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188" w:rsidRDefault="00B95188" w:rsidP="00B95188">
      <w:pPr>
        <w:pStyle w:val="a0"/>
      </w:pPr>
    </w:p>
    <w:p w:rsidR="000B7F65" w:rsidRPr="00A428C3" w:rsidRDefault="000B7F65" w:rsidP="00B95188">
      <w:pPr>
        <w:pStyle w:val="a0"/>
      </w:pPr>
    </w:p>
    <w:p w:rsidR="00B95188" w:rsidRPr="00A428C3" w:rsidRDefault="00B95188" w:rsidP="00B95188">
      <w:pPr>
        <w:pStyle w:val="a0"/>
      </w:pPr>
    </w:p>
    <w:p w:rsidR="00B95188" w:rsidRPr="00A428C3" w:rsidRDefault="00B95188" w:rsidP="00B95188">
      <w:pPr>
        <w:pStyle w:val="a0"/>
        <w:jc w:val="center"/>
        <w:rPr>
          <w:sz w:val="52"/>
        </w:rPr>
      </w:pPr>
      <w:r w:rsidRPr="00A428C3">
        <w:rPr>
          <w:sz w:val="52"/>
        </w:rPr>
        <w:t>Personal Research Database</w:t>
      </w:r>
    </w:p>
    <w:p w:rsidR="00B95188" w:rsidRPr="00A428C3" w:rsidRDefault="00B95188" w:rsidP="00B95188">
      <w:pPr>
        <w:pStyle w:val="a0"/>
        <w:jc w:val="center"/>
        <w:rPr>
          <w:sz w:val="52"/>
        </w:rPr>
      </w:pPr>
      <w:r w:rsidRPr="00A428C3">
        <w:rPr>
          <w:sz w:val="52"/>
        </w:rPr>
        <w:t xml:space="preserve">Part </w:t>
      </w:r>
      <w:r>
        <w:rPr>
          <w:rFonts w:hint="eastAsia"/>
          <w:sz w:val="52"/>
        </w:rPr>
        <w:t>F-</w:t>
      </w:r>
      <w:r w:rsidRPr="00A428C3">
        <w:rPr>
          <w:sz w:val="52"/>
        </w:rPr>
        <w:t>I</w:t>
      </w:r>
    </w:p>
    <w:p w:rsidR="00B95188" w:rsidRPr="00A428C3" w:rsidRDefault="00B95188" w:rsidP="00B95188">
      <w:pPr>
        <w:pStyle w:val="a0"/>
      </w:pPr>
    </w:p>
    <w:p w:rsidR="00B95188" w:rsidRPr="00A428C3" w:rsidRDefault="00B95188" w:rsidP="00B95188">
      <w:pPr>
        <w:pStyle w:val="a0"/>
        <w:jc w:val="center"/>
        <w:rPr>
          <w:sz w:val="36"/>
        </w:rPr>
      </w:pPr>
      <w:r w:rsidRPr="00A428C3">
        <w:rPr>
          <w:sz w:val="36"/>
        </w:rPr>
        <w:t>By</w:t>
      </w:r>
    </w:p>
    <w:p w:rsidR="00B95188" w:rsidRPr="00A428C3" w:rsidRDefault="00B95188" w:rsidP="00B95188">
      <w:pPr>
        <w:pStyle w:val="a0"/>
        <w:jc w:val="center"/>
        <w:rPr>
          <w:sz w:val="36"/>
        </w:rPr>
      </w:pPr>
      <w:r w:rsidRPr="00A428C3">
        <w:rPr>
          <w:sz w:val="36"/>
        </w:rPr>
        <w:t>Prof. Yuh-Shan Ho</w:t>
      </w:r>
    </w:p>
    <w:p w:rsidR="00B95188" w:rsidRPr="00F037A3" w:rsidRDefault="00B95188" w:rsidP="00B95188">
      <w:pPr>
        <w:pStyle w:val="a0"/>
      </w:pPr>
    </w:p>
    <w:p w:rsidR="00B95188" w:rsidRPr="00A428C3" w:rsidRDefault="00B95188" w:rsidP="00B95188">
      <w:pPr>
        <w:pStyle w:val="a0"/>
      </w:pPr>
    </w:p>
    <w:p w:rsidR="00291399" w:rsidRPr="00C73C58" w:rsidRDefault="00291399" w:rsidP="00291399">
      <w:pPr>
        <w:pStyle w:val="a0"/>
        <w:jc w:val="center"/>
        <w:rPr>
          <w:sz w:val="32"/>
        </w:rPr>
      </w:pPr>
      <w:r w:rsidRPr="00C73C58">
        <w:rPr>
          <w:sz w:val="32"/>
          <w:szCs w:val="32"/>
        </w:rPr>
        <w:t xml:space="preserve">Last data updates: </w:t>
      </w:r>
      <w:r>
        <w:rPr>
          <w:rFonts w:hint="eastAsia"/>
          <w:sz w:val="32"/>
          <w:szCs w:val="32"/>
        </w:rPr>
        <w:t>10</w:t>
      </w:r>
      <w:r w:rsidRPr="00C73C58">
        <w:rPr>
          <w:sz w:val="32"/>
        </w:rPr>
        <w:t>/</w:t>
      </w:r>
      <w:r>
        <w:rPr>
          <w:rFonts w:hint="eastAsia"/>
          <w:sz w:val="32"/>
        </w:rPr>
        <w:t>01</w:t>
      </w:r>
      <w:r w:rsidRPr="00C73C58">
        <w:rPr>
          <w:sz w:val="32"/>
        </w:rPr>
        <w:t>/1</w:t>
      </w:r>
      <w:r>
        <w:rPr>
          <w:rFonts w:hint="eastAsia"/>
          <w:sz w:val="32"/>
        </w:rPr>
        <w:t>2</w:t>
      </w:r>
    </w:p>
    <w:p w:rsidR="00B95188" w:rsidRPr="00A428C3" w:rsidRDefault="00B95188" w:rsidP="00B95188">
      <w:pPr>
        <w:pStyle w:val="a0"/>
        <w:sectPr w:rsidR="00B95188" w:rsidRPr="00A428C3" w:rsidSect="00B95188">
          <w:headerReference w:type="even" r:id="rId7"/>
          <w:headerReference w:type="default" r:id="rId8"/>
          <w:footerReference w:type="even" r:id="rId9"/>
          <w:footerReference w:type="default" r:id="rId10"/>
          <w:headerReference w:type="first" r:id="rId11"/>
          <w:footerReference w:type="first" r:id="rId12"/>
          <w:pgSz w:w="11907" w:h="16834" w:code="9"/>
          <w:pgMar w:top="1418" w:right="1701" w:bottom="1418" w:left="1701" w:header="720" w:footer="720" w:gutter="0"/>
          <w:cols w:space="720"/>
          <w:docGrid w:linePitch="326"/>
        </w:sectPr>
      </w:pPr>
    </w:p>
    <w:p w:rsidR="00B95188" w:rsidRPr="00A428C3" w:rsidRDefault="00B95188" w:rsidP="00B95188">
      <w:pPr>
        <w:pStyle w:val="a0"/>
      </w:pPr>
      <w:r w:rsidRPr="00A428C3">
        <w:lastRenderedPageBreak/>
        <w:t>#: in processing of inter-library loan</w:t>
      </w:r>
    </w:p>
    <w:p w:rsidR="00B95188" w:rsidRPr="00A428C3" w:rsidRDefault="00B95188" w:rsidP="00B95188">
      <w:pPr>
        <w:pStyle w:val="a0"/>
      </w:pPr>
      <w:r w:rsidRPr="00A428C3">
        <w:t>?: has not asked for inter-library loan yet</w:t>
      </w:r>
    </w:p>
    <w:p w:rsidR="00B95188" w:rsidRPr="00A428C3" w:rsidRDefault="00B95188" w:rsidP="00B95188">
      <w:pPr>
        <w:pStyle w:val="a0"/>
      </w:pPr>
      <w:r w:rsidRPr="00A428C3">
        <w:t>??: questions</w:t>
      </w:r>
    </w:p>
    <w:p w:rsidR="00B95188" w:rsidRPr="00A428C3" w:rsidRDefault="00B95188" w:rsidP="00B95188">
      <w:pPr>
        <w:pStyle w:val="a0"/>
      </w:pPr>
    </w:p>
    <w:bookmarkStart w:id="0" w:name="_Toc489709655"/>
    <w:bookmarkStart w:id="1" w:name="_Toc490687740"/>
    <w:bookmarkStart w:id="2" w:name="_Toc492779364"/>
    <w:p w:rsidR="00C82CAD" w:rsidRDefault="00C82CAD">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60806" w:history="1">
        <w:r w:rsidRPr="00B80388">
          <w:rPr>
            <w:rStyle w:val="a5"/>
            <w:noProof/>
          </w:rPr>
          <w:t>Title: Family Business Review</w:t>
        </w:r>
        <w:r>
          <w:rPr>
            <w:noProof/>
            <w:webHidden/>
          </w:rPr>
          <w:tab/>
        </w:r>
        <w:r>
          <w:rPr>
            <w:noProof/>
            <w:webHidden/>
          </w:rPr>
          <w:fldChar w:fldCharType="begin"/>
        </w:r>
        <w:r>
          <w:rPr>
            <w:noProof/>
            <w:webHidden/>
          </w:rPr>
          <w:instrText xml:space="preserve"> PAGEREF _Toc317160806 \h </w:instrText>
        </w:r>
        <w:r>
          <w:rPr>
            <w:noProof/>
            <w:webHidden/>
          </w:rPr>
        </w:r>
        <w:r>
          <w:rPr>
            <w:noProof/>
            <w:webHidden/>
          </w:rPr>
          <w:fldChar w:fldCharType="separate"/>
        </w:r>
        <w:r>
          <w:rPr>
            <w:noProof/>
            <w:webHidden/>
          </w:rPr>
          <w:t>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07" w:history="1">
        <w:r w:rsidRPr="00B80388">
          <w:rPr>
            <w:rStyle w:val="a5"/>
            <w:noProof/>
          </w:rPr>
          <w:t>Title: Family Medicine</w:t>
        </w:r>
        <w:r>
          <w:rPr>
            <w:noProof/>
            <w:webHidden/>
          </w:rPr>
          <w:tab/>
        </w:r>
        <w:r>
          <w:rPr>
            <w:noProof/>
            <w:webHidden/>
          </w:rPr>
          <w:fldChar w:fldCharType="begin"/>
        </w:r>
        <w:r>
          <w:rPr>
            <w:noProof/>
            <w:webHidden/>
          </w:rPr>
          <w:instrText xml:space="preserve"> PAGEREF _Toc317160807 \h </w:instrText>
        </w:r>
        <w:r>
          <w:rPr>
            <w:noProof/>
            <w:webHidden/>
          </w:rPr>
        </w:r>
        <w:r>
          <w:rPr>
            <w:noProof/>
            <w:webHidden/>
          </w:rPr>
          <w:fldChar w:fldCharType="separate"/>
        </w:r>
        <w:r>
          <w:rPr>
            <w:noProof/>
            <w:webHidden/>
          </w:rPr>
          <w:t>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08" w:history="1">
        <w:r w:rsidRPr="00B80388">
          <w:rPr>
            <w:rStyle w:val="a5"/>
            <w:noProof/>
          </w:rPr>
          <w:t xml:space="preserve">Title: </w:t>
        </w:r>
        <w:r w:rsidRPr="00B80388">
          <w:rPr>
            <w:rStyle w:val="a5"/>
            <w:iCs/>
            <w:noProof/>
          </w:rPr>
          <w:t>Family Practice</w:t>
        </w:r>
        <w:r>
          <w:rPr>
            <w:noProof/>
            <w:webHidden/>
          </w:rPr>
          <w:tab/>
        </w:r>
        <w:r>
          <w:rPr>
            <w:noProof/>
            <w:webHidden/>
          </w:rPr>
          <w:fldChar w:fldCharType="begin"/>
        </w:r>
        <w:r>
          <w:rPr>
            <w:noProof/>
            <w:webHidden/>
          </w:rPr>
          <w:instrText xml:space="preserve"> PAGEREF _Toc317160808 \h </w:instrText>
        </w:r>
        <w:r>
          <w:rPr>
            <w:noProof/>
            <w:webHidden/>
          </w:rPr>
        </w:r>
        <w:r>
          <w:rPr>
            <w:noProof/>
            <w:webHidden/>
          </w:rPr>
          <w:fldChar w:fldCharType="separate"/>
        </w:r>
        <w:r>
          <w:rPr>
            <w:noProof/>
            <w:webHidden/>
          </w:rPr>
          <w:t>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09" w:history="1">
        <w:r w:rsidRPr="00B80388">
          <w:rPr>
            <w:rStyle w:val="a5"/>
            <w:noProof/>
          </w:rPr>
          <w:t>Title: Faraday Discussions</w:t>
        </w:r>
        <w:r>
          <w:rPr>
            <w:noProof/>
            <w:webHidden/>
          </w:rPr>
          <w:tab/>
        </w:r>
        <w:r>
          <w:rPr>
            <w:noProof/>
            <w:webHidden/>
          </w:rPr>
          <w:fldChar w:fldCharType="begin"/>
        </w:r>
        <w:r>
          <w:rPr>
            <w:noProof/>
            <w:webHidden/>
          </w:rPr>
          <w:instrText xml:space="preserve"> PAGEREF _Toc317160809 \h </w:instrText>
        </w:r>
        <w:r>
          <w:rPr>
            <w:noProof/>
            <w:webHidden/>
          </w:rPr>
        </w:r>
        <w:r>
          <w:rPr>
            <w:noProof/>
            <w:webHidden/>
          </w:rPr>
          <w:fldChar w:fldCharType="separate"/>
        </w:r>
        <w:r>
          <w:rPr>
            <w:noProof/>
            <w:webHidden/>
          </w:rPr>
          <w:t>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0" w:history="1">
        <w:r w:rsidRPr="00B80388">
          <w:rPr>
            <w:rStyle w:val="a5"/>
            <w:noProof/>
          </w:rPr>
          <w:t>Title: Faraday Society of London, Transactionsc</w:t>
        </w:r>
        <w:r>
          <w:rPr>
            <w:noProof/>
            <w:webHidden/>
          </w:rPr>
          <w:tab/>
        </w:r>
        <w:r>
          <w:rPr>
            <w:noProof/>
            <w:webHidden/>
          </w:rPr>
          <w:fldChar w:fldCharType="begin"/>
        </w:r>
        <w:r>
          <w:rPr>
            <w:noProof/>
            <w:webHidden/>
          </w:rPr>
          <w:instrText xml:space="preserve"> PAGEREF _Toc317160810 \h </w:instrText>
        </w:r>
        <w:r>
          <w:rPr>
            <w:noProof/>
            <w:webHidden/>
          </w:rPr>
        </w:r>
        <w:r>
          <w:rPr>
            <w:noProof/>
            <w:webHidden/>
          </w:rPr>
          <w:fldChar w:fldCharType="separate"/>
        </w:r>
        <w:r>
          <w:rPr>
            <w:noProof/>
            <w:webHidden/>
          </w:rPr>
          <w:t>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1" w:history="1">
        <w:r w:rsidRPr="00B80388">
          <w:rPr>
            <w:rStyle w:val="a5"/>
            <w:noProof/>
          </w:rPr>
          <w:t>Title: Farmatsevtychnyĭ Zhurnal</w:t>
        </w:r>
        <w:r>
          <w:rPr>
            <w:noProof/>
            <w:webHidden/>
          </w:rPr>
          <w:tab/>
        </w:r>
        <w:r>
          <w:rPr>
            <w:noProof/>
            <w:webHidden/>
          </w:rPr>
          <w:fldChar w:fldCharType="begin"/>
        </w:r>
        <w:r>
          <w:rPr>
            <w:noProof/>
            <w:webHidden/>
          </w:rPr>
          <w:instrText xml:space="preserve"> PAGEREF _Toc317160811 \h </w:instrText>
        </w:r>
        <w:r>
          <w:rPr>
            <w:noProof/>
            <w:webHidden/>
          </w:rPr>
        </w:r>
        <w:r>
          <w:rPr>
            <w:noProof/>
            <w:webHidden/>
          </w:rPr>
          <w:fldChar w:fldCharType="separate"/>
        </w:r>
        <w:r>
          <w:rPr>
            <w:noProof/>
            <w:webHidden/>
          </w:rPr>
          <w:t>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2" w:history="1">
        <w:r w:rsidRPr="00B80388">
          <w:rPr>
            <w:rStyle w:val="a5"/>
            <w:noProof/>
          </w:rPr>
          <w:t>Title: FASEB Journal</w:t>
        </w:r>
        <w:r>
          <w:rPr>
            <w:noProof/>
            <w:webHidden/>
          </w:rPr>
          <w:tab/>
        </w:r>
        <w:r>
          <w:rPr>
            <w:noProof/>
            <w:webHidden/>
          </w:rPr>
          <w:fldChar w:fldCharType="begin"/>
        </w:r>
        <w:r>
          <w:rPr>
            <w:noProof/>
            <w:webHidden/>
          </w:rPr>
          <w:instrText xml:space="preserve"> PAGEREF _Toc317160812 \h </w:instrText>
        </w:r>
        <w:r>
          <w:rPr>
            <w:noProof/>
            <w:webHidden/>
          </w:rPr>
        </w:r>
        <w:r>
          <w:rPr>
            <w:noProof/>
            <w:webHidden/>
          </w:rPr>
          <w:fldChar w:fldCharType="separate"/>
        </w:r>
        <w:r>
          <w:rPr>
            <w:noProof/>
            <w:webHidden/>
          </w:rPr>
          <w:t>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3" w:history="1">
        <w:r w:rsidRPr="00B80388">
          <w:rPr>
            <w:rStyle w:val="a5"/>
            <w:noProof/>
          </w:rPr>
          <w:t>Title: FEBS Journal</w:t>
        </w:r>
        <w:r>
          <w:rPr>
            <w:noProof/>
            <w:webHidden/>
          </w:rPr>
          <w:tab/>
        </w:r>
        <w:r>
          <w:rPr>
            <w:noProof/>
            <w:webHidden/>
          </w:rPr>
          <w:fldChar w:fldCharType="begin"/>
        </w:r>
        <w:r>
          <w:rPr>
            <w:noProof/>
            <w:webHidden/>
          </w:rPr>
          <w:instrText xml:space="preserve"> PAGEREF _Toc317160813 \h </w:instrText>
        </w:r>
        <w:r>
          <w:rPr>
            <w:noProof/>
            <w:webHidden/>
          </w:rPr>
        </w:r>
        <w:r>
          <w:rPr>
            <w:noProof/>
            <w:webHidden/>
          </w:rPr>
          <w:fldChar w:fldCharType="separate"/>
        </w:r>
        <w:r>
          <w:rPr>
            <w:noProof/>
            <w:webHidden/>
          </w:rPr>
          <w:t>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4" w:history="1">
        <w:r w:rsidRPr="00B80388">
          <w:rPr>
            <w:rStyle w:val="a5"/>
            <w:noProof/>
          </w:rPr>
          <w:t xml:space="preserve">Title: </w:t>
        </w:r>
        <w:r w:rsidRPr="00B80388">
          <w:rPr>
            <w:rStyle w:val="a5"/>
            <w:iCs/>
            <w:noProof/>
          </w:rPr>
          <w:t>FEBS Letters</w:t>
        </w:r>
        <w:r>
          <w:rPr>
            <w:noProof/>
            <w:webHidden/>
          </w:rPr>
          <w:tab/>
        </w:r>
        <w:r>
          <w:rPr>
            <w:noProof/>
            <w:webHidden/>
          </w:rPr>
          <w:fldChar w:fldCharType="begin"/>
        </w:r>
        <w:r>
          <w:rPr>
            <w:noProof/>
            <w:webHidden/>
          </w:rPr>
          <w:instrText xml:space="preserve"> PAGEREF _Toc317160814 \h </w:instrText>
        </w:r>
        <w:r>
          <w:rPr>
            <w:noProof/>
            <w:webHidden/>
          </w:rPr>
        </w:r>
        <w:r>
          <w:rPr>
            <w:noProof/>
            <w:webHidden/>
          </w:rPr>
          <w:fldChar w:fldCharType="separate"/>
        </w:r>
        <w:r>
          <w:rPr>
            <w:noProof/>
            <w:webHidden/>
          </w:rPr>
          <w:t>16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5" w:history="1">
        <w:r w:rsidRPr="00B80388">
          <w:rPr>
            <w:rStyle w:val="a5"/>
            <w:noProof/>
          </w:rPr>
          <w:t xml:space="preserve">Title: </w:t>
        </w:r>
        <w:r w:rsidRPr="00B80388">
          <w:rPr>
            <w:rStyle w:val="a5"/>
            <w:iCs/>
            <w:noProof/>
          </w:rPr>
          <w:t>Federal Probation</w:t>
        </w:r>
        <w:r>
          <w:rPr>
            <w:noProof/>
            <w:webHidden/>
          </w:rPr>
          <w:tab/>
        </w:r>
        <w:r>
          <w:rPr>
            <w:noProof/>
            <w:webHidden/>
          </w:rPr>
          <w:fldChar w:fldCharType="begin"/>
        </w:r>
        <w:r>
          <w:rPr>
            <w:noProof/>
            <w:webHidden/>
          </w:rPr>
          <w:instrText xml:space="preserve"> PAGEREF _Toc317160815 \h </w:instrText>
        </w:r>
        <w:r>
          <w:rPr>
            <w:noProof/>
            <w:webHidden/>
          </w:rPr>
        </w:r>
        <w:r>
          <w:rPr>
            <w:noProof/>
            <w:webHidden/>
          </w:rPr>
          <w:fldChar w:fldCharType="separate"/>
        </w:r>
        <w:r>
          <w:rPr>
            <w:noProof/>
            <w:webHidden/>
          </w:rPr>
          <w:t>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6" w:history="1">
        <w:r w:rsidRPr="00B80388">
          <w:rPr>
            <w:rStyle w:val="a5"/>
            <w:noProof/>
          </w:rPr>
          <w:t>Title: Federation Proceedings</w:t>
        </w:r>
        <w:r>
          <w:rPr>
            <w:noProof/>
            <w:webHidden/>
          </w:rPr>
          <w:tab/>
        </w:r>
        <w:r>
          <w:rPr>
            <w:noProof/>
            <w:webHidden/>
          </w:rPr>
          <w:fldChar w:fldCharType="begin"/>
        </w:r>
        <w:r>
          <w:rPr>
            <w:noProof/>
            <w:webHidden/>
          </w:rPr>
          <w:instrText xml:space="preserve"> PAGEREF _Toc317160816 \h </w:instrText>
        </w:r>
        <w:r>
          <w:rPr>
            <w:noProof/>
            <w:webHidden/>
          </w:rPr>
        </w:r>
        <w:r>
          <w:rPr>
            <w:noProof/>
            <w:webHidden/>
          </w:rPr>
          <w:fldChar w:fldCharType="separate"/>
        </w:r>
        <w:r>
          <w:rPr>
            <w:noProof/>
            <w:webHidden/>
          </w:rPr>
          <w:t>18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7" w:history="1">
        <w:r w:rsidRPr="00B80388">
          <w:rPr>
            <w:rStyle w:val="a5"/>
            <w:noProof/>
          </w:rPr>
          <w:t>Title: FEMS Microbiology Ecology</w:t>
        </w:r>
        <w:r>
          <w:rPr>
            <w:noProof/>
            <w:webHidden/>
          </w:rPr>
          <w:tab/>
        </w:r>
        <w:r>
          <w:rPr>
            <w:noProof/>
            <w:webHidden/>
          </w:rPr>
          <w:fldChar w:fldCharType="begin"/>
        </w:r>
        <w:r>
          <w:rPr>
            <w:noProof/>
            <w:webHidden/>
          </w:rPr>
          <w:instrText xml:space="preserve"> PAGEREF _Toc317160817 \h </w:instrText>
        </w:r>
        <w:r>
          <w:rPr>
            <w:noProof/>
            <w:webHidden/>
          </w:rPr>
        </w:r>
        <w:r>
          <w:rPr>
            <w:noProof/>
            <w:webHidden/>
          </w:rPr>
          <w:fldChar w:fldCharType="separate"/>
        </w:r>
        <w:r>
          <w:rPr>
            <w:noProof/>
            <w:webHidden/>
          </w:rPr>
          <w:t>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8" w:history="1">
        <w:r w:rsidRPr="00B80388">
          <w:rPr>
            <w:rStyle w:val="a5"/>
            <w:noProof/>
          </w:rPr>
          <w:t>Title: FEMS Microbiology Letters</w:t>
        </w:r>
        <w:r>
          <w:rPr>
            <w:noProof/>
            <w:webHidden/>
          </w:rPr>
          <w:tab/>
        </w:r>
        <w:r>
          <w:rPr>
            <w:noProof/>
            <w:webHidden/>
          </w:rPr>
          <w:fldChar w:fldCharType="begin"/>
        </w:r>
        <w:r>
          <w:rPr>
            <w:noProof/>
            <w:webHidden/>
          </w:rPr>
          <w:instrText xml:space="preserve"> PAGEREF _Toc317160818 \h </w:instrText>
        </w:r>
        <w:r>
          <w:rPr>
            <w:noProof/>
            <w:webHidden/>
          </w:rPr>
        </w:r>
        <w:r>
          <w:rPr>
            <w:noProof/>
            <w:webHidden/>
          </w:rPr>
          <w:fldChar w:fldCharType="separate"/>
        </w:r>
        <w:r>
          <w:rPr>
            <w:noProof/>
            <w:webHidden/>
          </w:rPr>
          <w:t>20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19" w:history="1">
        <w:r w:rsidRPr="00B80388">
          <w:rPr>
            <w:rStyle w:val="a5"/>
            <w:noProof/>
          </w:rPr>
          <w:t>Title: FEMS Microbiology Reviews</w:t>
        </w:r>
        <w:r>
          <w:rPr>
            <w:noProof/>
            <w:webHidden/>
          </w:rPr>
          <w:tab/>
        </w:r>
        <w:r>
          <w:rPr>
            <w:noProof/>
            <w:webHidden/>
          </w:rPr>
          <w:fldChar w:fldCharType="begin"/>
        </w:r>
        <w:r>
          <w:rPr>
            <w:noProof/>
            <w:webHidden/>
          </w:rPr>
          <w:instrText xml:space="preserve"> PAGEREF _Toc317160819 \h </w:instrText>
        </w:r>
        <w:r>
          <w:rPr>
            <w:noProof/>
            <w:webHidden/>
          </w:rPr>
        </w:r>
        <w:r>
          <w:rPr>
            <w:noProof/>
            <w:webHidden/>
          </w:rPr>
          <w:fldChar w:fldCharType="separate"/>
        </w:r>
        <w:r>
          <w:rPr>
            <w:noProof/>
            <w:webHidden/>
          </w:rPr>
          <w:t>23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0" w:history="1">
        <w:r w:rsidRPr="00B80388">
          <w:rPr>
            <w:rStyle w:val="a5"/>
            <w:noProof/>
          </w:rPr>
          <w:t>Title: FEMS Symposium 12</w:t>
        </w:r>
        <w:r>
          <w:rPr>
            <w:noProof/>
            <w:webHidden/>
          </w:rPr>
          <w:tab/>
        </w:r>
        <w:r>
          <w:rPr>
            <w:noProof/>
            <w:webHidden/>
          </w:rPr>
          <w:fldChar w:fldCharType="begin"/>
        </w:r>
        <w:r>
          <w:rPr>
            <w:noProof/>
            <w:webHidden/>
          </w:rPr>
          <w:instrText xml:space="preserve"> PAGEREF _Toc317160820 \h </w:instrText>
        </w:r>
        <w:r>
          <w:rPr>
            <w:noProof/>
            <w:webHidden/>
          </w:rPr>
        </w:r>
        <w:r>
          <w:rPr>
            <w:noProof/>
            <w:webHidden/>
          </w:rPr>
          <w:fldChar w:fldCharType="separate"/>
        </w:r>
        <w:r>
          <w:rPr>
            <w:noProof/>
            <w:webHidden/>
          </w:rPr>
          <w:t>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1" w:history="1">
        <w:r w:rsidRPr="00B80388">
          <w:rPr>
            <w:rStyle w:val="a5"/>
            <w:noProof/>
          </w:rPr>
          <w:t>Title: Fertility and Sterility</w:t>
        </w:r>
        <w:r>
          <w:rPr>
            <w:noProof/>
            <w:webHidden/>
          </w:rPr>
          <w:tab/>
        </w:r>
        <w:r>
          <w:rPr>
            <w:noProof/>
            <w:webHidden/>
          </w:rPr>
          <w:fldChar w:fldCharType="begin"/>
        </w:r>
        <w:r>
          <w:rPr>
            <w:noProof/>
            <w:webHidden/>
          </w:rPr>
          <w:instrText xml:space="preserve"> PAGEREF _Toc317160821 \h </w:instrText>
        </w:r>
        <w:r>
          <w:rPr>
            <w:noProof/>
            <w:webHidden/>
          </w:rPr>
        </w:r>
        <w:r>
          <w:rPr>
            <w:noProof/>
            <w:webHidden/>
          </w:rPr>
          <w:fldChar w:fldCharType="separate"/>
        </w:r>
        <w:r>
          <w:rPr>
            <w:noProof/>
            <w:webHidden/>
          </w:rPr>
          <w:t>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2" w:history="1">
        <w:r w:rsidRPr="00B80388">
          <w:rPr>
            <w:rStyle w:val="a5"/>
            <w:noProof/>
          </w:rPr>
          <w:t>Title: Fertilizer Research</w:t>
        </w:r>
        <w:r>
          <w:rPr>
            <w:noProof/>
            <w:webHidden/>
          </w:rPr>
          <w:tab/>
        </w:r>
        <w:r>
          <w:rPr>
            <w:noProof/>
            <w:webHidden/>
          </w:rPr>
          <w:fldChar w:fldCharType="begin"/>
        </w:r>
        <w:r>
          <w:rPr>
            <w:noProof/>
            <w:webHidden/>
          </w:rPr>
          <w:instrText xml:space="preserve"> PAGEREF _Toc317160822 \h </w:instrText>
        </w:r>
        <w:r>
          <w:rPr>
            <w:noProof/>
            <w:webHidden/>
          </w:rPr>
        </w:r>
        <w:r>
          <w:rPr>
            <w:noProof/>
            <w:webHidden/>
          </w:rPr>
          <w:fldChar w:fldCharType="separate"/>
        </w:r>
        <w:r>
          <w:rPr>
            <w:noProof/>
            <w:webHidden/>
          </w:rPr>
          <w:t>31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3" w:history="1">
        <w:r w:rsidRPr="00B80388">
          <w:rPr>
            <w:rStyle w:val="a5"/>
            <w:noProof/>
          </w:rPr>
          <w:t xml:space="preserve">Title: </w:t>
        </w:r>
        <w:r w:rsidRPr="00B80388">
          <w:rPr>
            <w:rStyle w:val="a5"/>
            <w:iCs/>
            <w:noProof/>
          </w:rPr>
          <w:t>Festschrift W. Nernst</w:t>
        </w:r>
        <w:r>
          <w:rPr>
            <w:noProof/>
            <w:webHidden/>
          </w:rPr>
          <w:tab/>
        </w:r>
        <w:r>
          <w:rPr>
            <w:noProof/>
            <w:webHidden/>
          </w:rPr>
          <w:fldChar w:fldCharType="begin"/>
        </w:r>
        <w:r>
          <w:rPr>
            <w:noProof/>
            <w:webHidden/>
          </w:rPr>
          <w:instrText xml:space="preserve"> PAGEREF _Toc317160823 \h </w:instrText>
        </w:r>
        <w:r>
          <w:rPr>
            <w:noProof/>
            <w:webHidden/>
          </w:rPr>
        </w:r>
        <w:r>
          <w:rPr>
            <w:noProof/>
            <w:webHidden/>
          </w:rPr>
          <w:fldChar w:fldCharType="separate"/>
        </w:r>
        <w:r>
          <w:rPr>
            <w:noProof/>
            <w:webHidden/>
          </w:rPr>
          <w:t>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4" w:history="1">
        <w:r w:rsidRPr="00B80388">
          <w:rPr>
            <w:rStyle w:val="a5"/>
            <w:noProof/>
          </w:rPr>
          <w:t xml:space="preserve">Title: </w:t>
        </w:r>
        <w:r w:rsidRPr="00B80388">
          <w:rPr>
            <w:rStyle w:val="a5"/>
            <w:iCs/>
            <w:noProof/>
          </w:rPr>
          <w:t>Fette Seifen Anstrichmittel Verbunden Mit der Zeitschrift Die Ernahrungsindustrie</w:t>
        </w:r>
        <w:r>
          <w:rPr>
            <w:noProof/>
            <w:webHidden/>
          </w:rPr>
          <w:tab/>
        </w:r>
        <w:r>
          <w:rPr>
            <w:noProof/>
            <w:webHidden/>
          </w:rPr>
          <w:fldChar w:fldCharType="begin"/>
        </w:r>
        <w:r>
          <w:rPr>
            <w:noProof/>
            <w:webHidden/>
          </w:rPr>
          <w:instrText xml:space="preserve"> PAGEREF _Toc317160824 \h </w:instrText>
        </w:r>
        <w:r>
          <w:rPr>
            <w:noProof/>
            <w:webHidden/>
          </w:rPr>
        </w:r>
        <w:r>
          <w:rPr>
            <w:noProof/>
            <w:webHidden/>
          </w:rPr>
          <w:fldChar w:fldCharType="separate"/>
        </w:r>
        <w:r>
          <w:rPr>
            <w:noProof/>
            <w:webHidden/>
          </w:rPr>
          <w:t>33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5" w:history="1">
        <w:r w:rsidRPr="00B80388">
          <w:rPr>
            <w:rStyle w:val="a5"/>
            <w:noProof/>
          </w:rPr>
          <w:t>Title: Fibers and Polymers</w:t>
        </w:r>
        <w:r>
          <w:rPr>
            <w:noProof/>
            <w:webHidden/>
          </w:rPr>
          <w:tab/>
        </w:r>
        <w:r>
          <w:rPr>
            <w:noProof/>
            <w:webHidden/>
          </w:rPr>
          <w:fldChar w:fldCharType="begin"/>
        </w:r>
        <w:r>
          <w:rPr>
            <w:noProof/>
            <w:webHidden/>
          </w:rPr>
          <w:instrText xml:space="preserve"> PAGEREF _Toc317160825 \h </w:instrText>
        </w:r>
        <w:r>
          <w:rPr>
            <w:noProof/>
            <w:webHidden/>
          </w:rPr>
        </w:r>
        <w:r>
          <w:rPr>
            <w:noProof/>
            <w:webHidden/>
          </w:rPr>
          <w:fldChar w:fldCharType="separate"/>
        </w:r>
        <w:r>
          <w:rPr>
            <w:noProof/>
            <w:webHidden/>
          </w:rPr>
          <w:t>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6" w:history="1">
        <w:r w:rsidRPr="00B80388">
          <w:rPr>
            <w:rStyle w:val="a5"/>
            <w:noProof/>
          </w:rPr>
          <w:t>Title: Fibres &amp; Textiles in Eastern Europe</w:t>
        </w:r>
        <w:r>
          <w:rPr>
            <w:noProof/>
            <w:webHidden/>
          </w:rPr>
          <w:tab/>
        </w:r>
        <w:r>
          <w:rPr>
            <w:noProof/>
            <w:webHidden/>
          </w:rPr>
          <w:fldChar w:fldCharType="begin"/>
        </w:r>
        <w:r>
          <w:rPr>
            <w:noProof/>
            <w:webHidden/>
          </w:rPr>
          <w:instrText xml:space="preserve"> PAGEREF _Toc317160826 \h </w:instrText>
        </w:r>
        <w:r>
          <w:rPr>
            <w:noProof/>
            <w:webHidden/>
          </w:rPr>
        </w:r>
        <w:r>
          <w:rPr>
            <w:noProof/>
            <w:webHidden/>
          </w:rPr>
          <w:fldChar w:fldCharType="separate"/>
        </w:r>
        <w:r>
          <w:rPr>
            <w:noProof/>
            <w:webHidden/>
          </w:rPr>
          <w:t>38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7" w:history="1">
        <w:r w:rsidRPr="00B80388">
          <w:rPr>
            <w:rStyle w:val="a5"/>
            <w:noProof/>
          </w:rPr>
          <w:t>Title: Filtration &amp; Separation</w:t>
        </w:r>
        <w:r>
          <w:rPr>
            <w:noProof/>
            <w:webHidden/>
          </w:rPr>
          <w:tab/>
        </w:r>
        <w:r>
          <w:rPr>
            <w:noProof/>
            <w:webHidden/>
          </w:rPr>
          <w:fldChar w:fldCharType="begin"/>
        </w:r>
        <w:r>
          <w:rPr>
            <w:noProof/>
            <w:webHidden/>
          </w:rPr>
          <w:instrText xml:space="preserve"> PAGEREF _Toc317160827 \h </w:instrText>
        </w:r>
        <w:r>
          <w:rPr>
            <w:noProof/>
            <w:webHidden/>
          </w:rPr>
        </w:r>
        <w:r>
          <w:rPr>
            <w:noProof/>
            <w:webHidden/>
          </w:rPr>
          <w:fldChar w:fldCharType="separate"/>
        </w:r>
        <w:r>
          <w:rPr>
            <w:noProof/>
            <w:webHidden/>
          </w:rPr>
          <w:t>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8" w:history="1">
        <w:r w:rsidRPr="00B80388">
          <w:rPr>
            <w:rStyle w:val="a5"/>
            <w:noProof/>
          </w:rPr>
          <w:t>Title: Finance A Uver-Czech Journal of Economics and Finance</w:t>
        </w:r>
        <w:r>
          <w:rPr>
            <w:noProof/>
            <w:webHidden/>
          </w:rPr>
          <w:tab/>
        </w:r>
        <w:r>
          <w:rPr>
            <w:noProof/>
            <w:webHidden/>
          </w:rPr>
          <w:fldChar w:fldCharType="begin"/>
        </w:r>
        <w:r>
          <w:rPr>
            <w:noProof/>
            <w:webHidden/>
          </w:rPr>
          <w:instrText xml:space="preserve"> PAGEREF _Toc317160828 \h </w:instrText>
        </w:r>
        <w:r>
          <w:rPr>
            <w:noProof/>
            <w:webHidden/>
          </w:rPr>
        </w:r>
        <w:r>
          <w:rPr>
            <w:noProof/>
            <w:webHidden/>
          </w:rPr>
          <w:fldChar w:fldCharType="separate"/>
        </w:r>
        <w:r>
          <w:rPr>
            <w:noProof/>
            <w:webHidden/>
          </w:rPr>
          <w:t>41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29" w:history="1">
        <w:r w:rsidRPr="00B80388">
          <w:rPr>
            <w:rStyle w:val="a5"/>
            <w:noProof/>
          </w:rPr>
          <w:t>Title: Financial Management</w:t>
        </w:r>
        <w:r>
          <w:rPr>
            <w:noProof/>
            <w:webHidden/>
          </w:rPr>
          <w:tab/>
        </w:r>
        <w:r>
          <w:rPr>
            <w:noProof/>
            <w:webHidden/>
          </w:rPr>
          <w:fldChar w:fldCharType="begin"/>
        </w:r>
        <w:r>
          <w:rPr>
            <w:noProof/>
            <w:webHidden/>
          </w:rPr>
          <w:instrText xml:space="preserve"> PAGEREF _Toc317160829 \h </w:instrText>
        </w:r>
        <w:r>
          <w:rPr>
            <w:noProof/>
            <w:webHidden/>
          </w:rPr>
        </w:r>
        <w:r>
          <w:rPr>
            <w:noProof/>
            <w:webHidden/>
          </w:rPr>
          <w:fldChar w:fldCharType="separate"/>
        </w:r>
        <w:r>
          <w:rPr>
            <w:noProof/>
            <w:webHidden/>
          </w:rPr>
          <w:t>42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0" w:history="1">
        <w:r w:rsidRPr="00B80388">
          <w:rPr>
            <w:rStyle w:val="a5"/>
            <w:noProof/>
          </w:rPr>
          <w:t>Title: Fizika Tverdogo Tela</w:t>
        </w:r>
        <w:r>
          <w:rPr>
            <w:noProof/>
            <w:webHidden/>
          </w:rPr>
          <w:tab/>
        </w:r>
        <w:r>
          <w:rPr>
            <w:noProof/>
            <w:webHidden/>
          </w:rPr>
          <w:fldChar w:fldCharType="begin"/>
        </w:r>
        <w:r>
          <w:rPr>
            <w:noProof/>
            <w:webHidden/>
          </w:rPr>
          <w:instrText xml:space="preserve"> PAGEREF _Toc317160830 \h </w:instrText>
        </w:r>
        <w:r>
          <w:rPr>
            <w:noProof/>
            <w:webHidden/>
          </w:rPr>
        </w:r>
        <w:r>
          <w:rPr>
            <w:noProof/>
            <w:webHidden/>
          </w:rPr>
          <w:fldChar w:fldCharType="separate"/>
        </w:r>
        <w:r>
          <w:rPr>
            <w:noProof/>
            <w:webHidden/>
          </w:rPr>
          <w:t>44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1" w:history="1">
        <w:r w:rsidRPr="00B80388">
          <w:rPr>
            <w:rStyle w:val="a5"/>
            <w:noProof/>
          </w:rPr>
          <w:t>Title: Fizika Zemli</w:t>
        </w:r>
        <w:r>
          <w:rPr>
            <w:noProof/>
            <w:webHidden/>
          </w:rPr>
          <w:tab/>
        </w:r>
        <w:r>
          <w:rPr>
            <w:noProof/>
            <w:webHidden/>
          </w:rPr>
          <w:fldChar w:fldCharType="begin"/>
        </w:r>
        <w:r>
          <w:rPr>
            <w:noProof/>
            <w:webHidden/>
          </w:rPr>
          <w:instrText xml:space="preserve"> PAGEREF _Toc317160831 \h </w:instrText>
        </w:r>
        <w:r>
          <w:rPr>
            <w:noProof/>
            <w:webHidden/>
          </w:rPr>
        </w:r>
        <w:r>
          <w:rPr>
            <w:noProof/>
            <w:webHidden/>
          </w:rPr>
          <w:fldChar w:fldCharType="separate"/>
        </w:r>
        <w:r>
          <w:rPr>
            <w:noProof/>
            <w:webHidden/>
          </w:rPr>
          <w:t>45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2" w:history="1">
        <w:r w:rsidRPr="00B80388">
          <w:rPr>
            <w:rStyle w:val="a5"/>
            <w:noProof/>
          </w:rPr>
          <w:t>Title: Fiziologicheskiĭ Zhurnal</w:t>
        </w:r>
        <w:r>
          <w:rPr>
            <w:noProof/>
            <w:webHidden/>
          </w:rPr>
          <w:tab/>
        </w:r>
        <w:r>
          <w:rPr>
            <w:noProof/>
            <w:webHidden/>
          </w:rPr>
          <w:fldChar w:fldCharType="begin"/>
        </w:r>
        <w:r>
          <w:rPr>
            <w:noProof/>
            <w:webHidden/>
          </w:rPr>
          <w:instrText xml:space="preserve"> PAGEREF _Toc317160832 \h </w:instrText>
        </w:r>
        <w:r>
          <w:rPr>
            <w:noProof/>
            <w:webHidden/>
          </w:rPr>
        </w:r>
        <w:r>
          <w:rPr>
            <w:noProof/>
            <w:webHidden/>
          </w:rPr>
          <w:fldChar w:fldCharType="separate"/>
        </w:r>
        <w:r>
          <w:rPr>
            <w:noProof/>
            <w:webHidden/>
          </w:rPr>
          <w:t>46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3" w:history="1">
        <w:r w:rsidRPr="00B80388">
          <w:rPr>
            <w:rStyle w:val="a5"/>
            <w:noProof/>
          </w:rPr>
          <w:t>Title: Fiziologicheskii Zhurnal</w:t>
        </w:r>
        <w:r>
          <w:rPr>
            <w:noProof/>
            <w:webHidden/>
          </w:rPr>
          <w:tab/>
        </w:r>
        <w:r>
          <w:rPr>
            <w:noProof/>
            <w:webHidden/>
          </w:rPr>
          <w:fldChar w:fldCharType="begin"/>
        </w:r>
        <w:r>
          <w:rPr>
            <w:noProof/>
            <w:webHidden/>
          </w:rPr>
          <w:instrText xml:space="preserve"> PAGEREF _Toc317160833 \h </w:instrText>
        </w:r>
        <w:r>
          <w:rPr>
            <w:noProof/>
            <w:webHidden/>
          </w:rPr>
        </w:r>
        <w:r>
          <w:rPr>
            <w:noProof/>
            <w:webHidden/>
          </w:rPr>
          <w:fldChar w:fldCharType="separate"/>
        </w:r>
        <w:r>
          <w:rPr>
            <w:noProof/>
            <w:webHidden/>
          </w:rPr>
          <w:t>47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4" w:history="1">
        <w:r w:rsidRPr="00B80388">
          <w:rPr>
            <w:rStyle w:val="a5"/>
            <w:noProof/>
          </w:rPr>
          <w:t xml:space="preserve">Title: </w:t>
        </w:r>
        <w:r w:rsidRPr="00B80388">
          <w:rPr>
            <w:rStyle w:val="a5"/>
            <w:iCs/>
            <w:noProof/>
          </w:rPr>
          <w:t>Fleischwirtschaft</w:t>
        </w:r>
        <w:r>
          <w:rPr>
            <w:noProof/>
            <w:webHidden/>
          </w:rPr>
          <w:tab/>
        </w:r>
        <w:r>
          <w:rPr>
            <w:noProof/>
            <w:webHidden/>
          </w:rPr>
          <w:fldChar w:fldCharType="begin"/>
        </w:r>
        <w:r>
          <w:rPr>
            <w:noProof/>
            <w:webHidden/>
          </w:rPr>
          <w:instrText xml:space="preserve"> PAGEREF _Toc317160834 \h </w:instrText>
        </w:r>
        <w:r>
          <w:rPr>
            <w:noProof/>
            <w:webHidden/>
          </w:rPr>
        </w:r>
        <w:r>
          <w:rPr>
            <w:noProof/>
            <w:webHidden/>
          </w:rPr>
          <w:fldChar w:fldCharType="separate"/>
        </w:r>
        <w:r>
          <w:rPr>
            <w:noProof/>
            <w:webHidden/>
          </w:rPr>
          <w:t>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5" w:history="1">
        <w:r w:rsidRPr="00B80388">
          <w:rPr>
            <w:rStyle w:val="a5"/>
            <w:noProof/>
          </w:rPr>
          <w:t>Title: Fluid Phase Equilibria</w:t>
        </w:r>
        <w:r>
          <w:rPr>
            <w:noProof/>
            <w:webHidden/>
          </w:rPr>
          <w:tab/>
        </w:r>
        <w:r>
          <w:rPr>
            <w:noProof/>
            <w:webHidden/>
          </w:rPr>
          <w:fldChar w:fldCharType="begin"/>
        </w:r>
        <w:r>
          <w:rPr>
            <w:noProof/>
            <w:webHidden/>
          </w:rPr>
          <w:instrText xml:space="preserve"> PAGEREF _Toc317160835 \h </w:instrText>
        </w:r>
        <w:r>
          <w:rPr>
            <w:noProof/>
            <w:webHidden/>
          </w:rPr>
        </w:r>
        <w:r>
          <w:rPr>
            <w:noProof/>
            <w:webHidden/>
          </w:rPr>
          <w:fldChar w:fldCharType="separate"/>
        </w:r>
        <w:r>
          <w:rPr>
            <w:noProof/>
            <w:webHidden/>
          </w:rPr>
          <w:t>49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6" w:history="1">
        <w:r w:rsidRPr="00B80388">
          <w:rPr>
            <w:rStyle w:val="a5"/>
            <w:noProof/>
          </w:rPr>
          <w:t>Title: Fluoride</w:t>
        </w:r>
        <w:r>
          <w:rPr>
            <w:noProof/>
            <w:webHidden/>
          </w:rPr>
          <w:tab/>
        </w:r>
        <w:r>
          <w:rPr>
            <w:noProof/>
            <w:webHidden/>
          </w:rPr>
          <w:fldChar w:fldCharType="begin"/>
        </w:r>
        <w:r>
          <w:rPr>
            <w:noProof/>
            <w:webHidden/>
          </w:rPr>
          <w:instrText xml:space="preserve"> PAGEREF _Toc317160836 \h </w:instrText>
        </w:r>
        <w:r>
          <w:rPr>
            <w:noProof/>
            <w:webHidden/>
          </w:rPr>
        </w:r>
        <w:r>
          <w:rPr>
            <w:noProof/>
            <w:webHidden/>
          </w:rPr>
          <w:fldChar w:fldCharType="separate"/>
        </w:r>
        <w:r>
          <w:rPr>
            <w:noProof/>
            <w:webHidden/>
          </w:rPr>
          <w:t>51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7" w:history="1">
        <w:r w:rsidRPr="00B80388">
          <w:rPr>
            <w:rStyle w:val="a5"/>
            <w:noProof/>
          </w:rPr>
          <w:t>Title: Folia Biologica-Krakow</w:t>
        </w:r>
        <w:r>
          <w:rPr>
            <w:noProof/>
            <w:webHidden/>
          </w:rPr>
          <w:tab/>
        </w:r>
        <w:r>
          <w:rPr>
            <w:noProof/>
            <w:webHidden/>
          </w:rPr>
          <w:fldChar w:fldCharType="begin"/>
        </w:r>
        <w:r>
          <w:rPr>
            <w:noProof/>
            <w:webHidden/>
          </w:rPr>
          <w:instrText xml:space="preserve"> PAGEREF _Toc317160837 \h </w:instrText>
        </w:r>
        <w:r>
          <w:rPr>
            <w:noProof/>
            <w:webHidden/>
          </w:rPr>
        </w:r>
        <w:r>
          <w:rPr>
            <w:noProof/>
            <w:webHidden/>
          </w:rPr>
          <w:fldChar w:fldCharType="separate"/>
        </w:r>
        <w:r>
          <w:rPr>
            <w:noProof/>
            <w:webHidden/>
          </w:rPr>
          <w:t>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8" w:history="1">
        <w:r w:rsidRPr="00B80388">
          <w:rPr>
            <w:rStyle w:val="a5"/>
            <w:noProof/>
          </w:rPr>
          <w:t xml:space="preserve">Title: </w:t>
        </w:r>
        <w:r w:rsidRPr="00B80388">
          <w:rPr>
            <w:rStyle w:val="a5"/>
            <w:iCs/>
            <w:noProof/>
          </w:rPr>
          <w:t>Folia Entomologica Mexicana</w:t>
        </w:r>
        <w:r>
          <w:rPr>
            <w:noProof/>
            <w:webHidden/>
          </w:rPr>
          <w:tab/>
        </w:r>
        <w:r>
          <w:rPr>
            <w:noProof/>
            <w:webHidden/>
          </w:rPr>
          <w:fldChar w:fldCharType="begin"/>
        </w:r>
        <w:r>
          <w:rPr>
            <w:noProof/>
            <w:webHidden/>
          </w:rPr>
          <w:instrText xml:space="preserve"> PAGEREF _Toc317160838 \h </w:instrText>
        </w:r>
        <w:r>
          <w:rPr>
            <w:noProof/>
            <w:webHidden/>
          </w:rPr>
        </w:r>
        <w:r>
          <w:rPr>
            <w:noProof/>
            <w:webHidden/>
          </w:rPr>
          <w:fldChar w:fldCharType="separate"/>
        </w:r>
        <w:r>
          <w:rPr>
            <w:noProof/>
            <w:webHidden/>
          </w:rPr>
          <w:t>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39" w:history="1">
        <w:r w:rsidRPr="00B80388">
          <w:rPr>
            <w:rStyle w:val="a5"/>
            <w:noProof/>
          </w:rPr>
          <w:t>Title: Folia Phoniatrica et Logopaedica</w:t>
        </w:r>
        <w:r>
          <w:rPr>
            <w:noProof/>
            <w:webHidden/>
          </w:rPr>
          <w:tab/>
        </w:r>
        <w:r>
          <w:rPr>
            <w:noProof/>
            <w:webHidden/>
          </w:rPr>
          <w:fldChar w:fldCharType="begin"/>
        </w:r>
        <w:r>
          <w:rPr>
            <w:noProof/>
            <w:webHidden/>
          </w:rPr>
          <w:instrText xml:space="preserve"> PAGEREF _Toc317160839 \h </w:instrText>
        </w:r>
        <w:r>
          <w:rPr>
            <w:noProof/>
            <w:webHidden/>
          </w:rPr>
        </w:r>
        <w:r>
          <w:rPr>
            <w:noProof/>
            <w:webHidden/>
          </w:rPr>
          <w:fldChar w:fldCharType="separate"/>
        </w:r>
        <w:r>
          <w:rPr>
            <w:noProof/>
            <w:webHidden/>
          </w:rPr>
          <w:t>55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0" w:history="1">
        <w:r w:rsidRPr="00B80388">
          <w:rPr>
            <w:rStyle w:val="a5"/>
            <w:noProof/>
          </w:rPr>
          <w:t>Title: The Foot</w:t>
        </w:r>
        <w:r>
          <w:rPr>
            <w:noProof/>
            <w:webHidden/>
          </w:rPr>
          <w:tab/>
        </w:r>
        <w:r>
          <w:rPr>
            <w:noProof/>
            <w:webHidden/>
          </w:rPr>
          <w:fldChar w:fldCharType="begin"/>
        </w:r>
        <w:r>
          <w:rPr>
            <w:noProof/>
            <w:webHidden/>
          </w:rPr>
          <w:instrText xml:space="preserve"> PAGEREF _Toc317160840 \h </w:instrText>
        </w:r>
        <w:r>
          <w:rPr>
            <w:noProof/>
            <w:webHidden/>
          </w:rPr>
        </w:r>
        <w:r>
          <w:rPr>
            <w:noProof/>
            <w:webHidden/>
          </w:rPr>
          <w:fldChar w:fldCharType="separate"/>
        </w:r>
        <w:r>
          <w:rPr>
            <w:noProof/>
            <w:webHidden/>
          </w:rPr>
          <w:t>56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1" w:history="1">
        <w:r w:rsidRPr="00B80388">
          <w:rPr>
            <w:rStyle w:val="a5"/>
            <w:noProof/>
          </w:rPr>
          <w:t>Title: Food Additives and Contaminants</w:t>
        </w:r>
        <w:r>
          <w:rPr>
            <w:noProof/>
            <w:webHidden/>
          </w:rPr>
          <w:tab/>
        </w:r>
        <w:r>
          <w:rPr>
            <w:noProof/>
            <w:webHidden/>
          </w:rPr>
          <w:fldChar w:fldCharType="begin"/>
        </w:r>
        <w:r>
          <w:rPr>
            <w:noProof/>
            <w:webHidden/>
          </w:rPr>
          <w:instrText xml:space="preserve"> PAGEREF _Toc317160841 \h </w:instrText>
        </w:r>
        <w:r>
          <w:rPr>
            <w:noProof/>
            <w:webHidden/>
          </w:rPr>
        </w:r>
        <w:r>
          <w:rPr>
            <w:noProof/>
            <w:webHidden/>
          </w:rPr>
          <w:fldChar w:fldCharType="separate"/>
        </w:r>
        <w:r>
          <w:rPr>
            <w:noProof/>
            <w:webHidden/>
          </w:rPr>
          <w:t>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2" w:history="1">
        <w:r w:rsidRPr="00B80388">
          <w:rPr>
            <w:rStyle w:val="a5"/>
            <w:noProof/>
          </w:rPr>
          <w:t>Title: Food and Bioprocess Technology</w:t>
        </w:r>
        <w:r>
          <w:rPr>
            <w:noProof/>
            <w:webHidden/>
          </w:rPr>
          <w:tab/>
        </w:r>
        <w:r>
          <w:rPr>
            <w:noProof/>
            <w:webHidden/>
          </w:rPr>
          <w:fldChar w:fldCharType="begin"/>
        </w:r>
        <w:r>
          <w:rPr>
            <w:noProof/>
            <w:webHidden/>
          </w:rPr>
          <w:instrText xml:space="preserve"> PAGEREF _Toc317160842 \h </w:instrText>
        </w:r>
        <w:r>
          <w:rPr>
            <w:noProof/>
            <w:webHidden/>
          </w:rPr>
        </w:r>
        <w:r>
          <w:rPr>
            <w:noProof/>
            <w:webHidden/>
          </w:rPr>
          <w:fldChar w:fldCharType="separate"/>
        </w:r>
        <w:r>
          <w:rPr>
            <w:noProof/>
            <w:webHidden/>
          </w:rPr>
          <w:t>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3" w:history="1">
        <w:r w:rsidRPr="00B80388">
          <w:rPr>
            <w:rStyle w:val="a5"/>
            <w:noProof/>
          </w:rPr>
          <w:t>Title: Food and Bioproducts Processing</w:t>
        </w:r>
        <w:r>
          <w:rPr>
            <w:noProof/>
            <w:webHidden/>
          </w:rPr>
          <w:tab/>
        </w:r>
        <w:r>
          <w:rPr>
            <w:noProof/>
            <w:webHidden/>
          </w:rPr>
          <w:fldChar w:fldCharType="begin"/>
        </w:r>
        <w:r>
          <w:rPr>
            <w:noProof/>
            <w:webHidden/>
          </w:rPr>
          <w:instrText xml:space="preserve"> PAGEREF _Toc317160843 \h </w:instrText>
        </w:r>
        <w:r>
          <w:rPr>
            <w:noProof/>
            <w:webHidden/>
          </w:rPr>
        </w:r>
        <w:r>
          <w:rPr>
            <w:noProof/>
            <w:webHidden/>
          </w:rPr>
          <w:fldChar w:fldCharType="separate"/>
        </w:r>
        <w:r>
          <w:rPr>
            <w:noProof/>
            <w:webHidden/>
          </w:rPr>
          <w:t>60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4" w:history="1">
        <w:r w:rsidRPr="00B80388">
          <w:rPr>
            <w:rStyle w:val="a5"/>
            <w:noProof/>
          </w:rPr>
          <w:t>Title: Food and Chemical Toxicology</w:t>
        </w:r>
        <w:r>
          <w:rPr>
            <w:noProof/>
            <w:webHidden/>
          </w:rPr>
          <w:tab/>
        </w:r>
        <w:r>
          <w:rPr>
            <w:noProof/>
            <w:webHidden/>
          </w:rPr>
          <w:fldChar w:fldCharType="begin"/>
        </w:r>
        <w:r>
          <w:rPr>
            <w:noProof/>
            <w:webHidden/>
          </w:rPr>
          <w:instrText xml:space="preserve"> PAGEREF _Toc317160844 \h </w:instrText>
        </w:r>
        <w:r>
          <w:rPr>
            <w:noProof/>
            <w:webHidden/>
          </w:rPr>
        </w:r>
        <w:r>
          <w:rPr>
            <w:noProof/>
            <w:webHidden/>
          </w:rPr>
          <w:fldChar w:fldCharType="separate"/>
        </w:r>
        <w:r>
          <w:rPr>
            <w:noProof/>
            <w:webHidden/>
          </w:rPr>
          <w:t>62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5" w:history="1">
        <w:r w:rsidRPr="00B80388">
          <w:rPr>
            <w:rStyle w:val="a5"/>
            <w:noProof/>
          </w:rPr>
          <w:t>Title: Food Chemistry</w:t>
        </w:r>
        <w:r>
          <w:rPr>
            <w:noProof/>
            <w:webHidden/>
          </w:rPr>
          <w:tab/>
        </w:r>
        <w:r>
          <w:rPr>
            <w:noProof/>
            <w:webHidden/>
          </w:rPr>
          <w:fldChar w:fldCharType="begin"/>
        </w:r>
        <w:r>
          <w:rPr>
            <w:noProof/>
            <w:webHidden/>
          </w:rPr>
          <w:instrText xml:space="preserve"> PAGEREF _Toc317160845 \h </w:instrText>
        </w:r>
        <w:r>
          <w:rPr>
            <w:noProof/>
            <w:webHidden/>
          </w:rPr>
        </w:r>
        <w:r>
          <w:rPr>
            <w:noProof/>
            <w:webHidden/>
          </w:rPr>
          <w:fldChar w:fldCharType="separate"/>
        </w:r>
        <w:r>
          <w:rPr>
            <w:noProof/>
            <w:webHidden/>
          </w:rPr>
          <w:t>74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6" w:history="1">
        <w:r w:rsidRPr="00B80388">
          <w:rPr>
            <w:rStyle w:val="a5"/>
            <w:noProof/>
          </w:rPr>
          <w:t>Title: Food Control</w:t>
        </w:r>
        <w:r>
          <w:rPr>
            <w:noProof/>
            <w:webHidden/>
          </w:rPr>
          <w:tab/>
        </w:r>
        <w:r>
          <w:rPr>
            <w:noProof/>
            <w:webHidden/>
          </w:rPr>
          <w:fldChar w:fldCharType="begin"/>
        </w:r>
        <w:r>
          <w:rPr>
            <w:noProof/>
            <w:webHidden/>
          </w:rPr>
          <w:instrText xml:space="preserve"> PAGEREF _Toc317160846 \h </w:instrText>
        </w:r>
        <w:r>
          <w:rPr>
            <w:noProof/>
            <w:webHidden/>
          </w:rPr>
        </w:r>
        <w:r>
          <w:rPr>
            <w:noProof/>
            <w:webHidden/>
          </w:rPr>
          <w:fldChar w:fldCharType="separate"/>
        </w:r>
        <w:r>
          <w:rPr>
            <w:noProof/>
            <w:webHidden/>
          </w:rPr>
          <w:t>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7" w:history="1">
        <w:r w:rsidRPr="00B80388">
          <w:rPr>
            <w:rStyle w:val="a5"/>
            <w:noProof/>
          </w:rPr>
          <w:t>Title: Food Microbiology</w:t>
        </w:r>
        <w:r>
          <w:rPr>
            <w:noProof/>
            <w:webHidden/>
          </w:rPr>
          <w:tab/>
        </w:r>
        <w:r>
          <w:rPr>
            <w:noProof/>
            <w:webHidden/>
          </w:rPr>
          <w:fldChar w:fldCharType="begin"/>
        </w:r>
        <w:r>
          <w:rPr>
            <w:noProof/>
            <w:webHidden/>
          </w:rPr>
          <w:instrText xml:space="preserve"> PAGEREF _Toc317160847 \h </w:instrText>
        </w:r>
        <w:r>
          <w:rPr>
            <w:noProof/>
            <w:webHidden/>
          </w:rPr>
        </w:r>
        <w:r>
          <w:rPr>
            <w:noProof/>
            <w:webHidden/>
          </w:rPr>
          <w:fldChar w:fldCharType="separate"/>
        </w:r>
        <w:r>
          <w:rPr>
            <w:noProof/>
            <w:webHidden/>
          </w:rPr>
          <w:t>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8" w:history="1">
        <w:r w:rsidRPr="00B80388">
          <w:rPr>
            <w:rStyle w:val="a5"/>
            <w:noProof/>
          </w:rPr>
          <w:t>Title: Food Research International</w:t>
        </w:r>
        <w:r>
          <w:rPr>
            <w:noProof/>
            <w:webHidden/>
          </w:rPr>
          <w:tab/>
        </w:r>
        <w:r>
          <w:rPr>
            <w:noProof/>
            <w:webHidden/>
          </w:rPr>
          <w:fldChar w:fldCharType="begin"/>
        </w:r>
        <w:r>
          <w:rPr>
            <w:noProof/>
            <w:webHidden/>
          </w:rPr>
          <w:instrText xml:space="preserve"> PAGEREF _Toc317160848 \h </w:instrText>
        </w:r>
        <w:r>
          <w:rPr>
            <w:noProof/>
            <w:webHidden/>
          </w:rPr>
        </w:r>
        <w:r>
          <w:rPr>
            <w:noProof/>
            <w:webHidden/>
          </w:rPr>
          <w:fldChar w:fldCharType="separate"/>
        </w:r>
        <w:r>
          <w:rPr>
            <w:noProof/>
            <w:webHidden/>
          </w:rPr>
          <w:t>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49" w:history="1">
        <w:r w:rsidRPr="00B80388">
          <w:rPr>
            <w:rStyle w:val="a5"/>
            <w:noProof/>
          </w:rPr>
          <w:t xml:space="preserve">Title: </w:t>
        </w:r>
        <w:r w:rsidRPr="00B80388">
          <w:rPr>
            <w:rStyle w:val="a5"/>
            <w:iCs/>
            <w:noProof/>
          </w:rPr>
          <w:t>Food Science and Technology International</w:t>
        </w:r>
        <w:r>
          <w:rPr>
            <w:noProof/>
            <w:webHidden/>
          </w:rPr>
          <w:tab/>
        </w:r>
        <w:r>
          <w:rPr>
            <w:noProof/>
            <w:webHidden/>
          </w:rPr>
          <w:fldChar w:fldCharType="begin"/>
        </w:r>
        <w:r>
          <w:rPr>
            <w:noProof/>
            <w:webHidden/>
          </w:rPr>
          <w:instrText xml:space="preserve"> PAGEREF _Toc317160849 \h </w:instrText>
        </w:r>
        <w:r>
          <w:rPr>
            <w:noProof/>
            <w:webHidden/>
          </w:rPr>
        </w:r>
        <w:r>
          <w:rPr>
            <w:noProof/>
            <w:webHidden/>
          </w:rPr>
          <w:fldChar w:fldCharType="separate"/>
        </w:r>
        <w:r>
          <w:rPr>
            <w:noProof/>
            <w:webHidden/>
          </w:rPr>
          <w:t>85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0" w:history="1">
        <w:r w:rsidRPr="00B80388">
          <w:rPr>
            <w:rStyle w:val="a5"/>
            <w:noProof/>
          </w:rPr>
          <w:t>Title: Food Technology</w:t>
        </w:r>
        <w:r>
          <w:rPr>
            <w:noProof/>
            <w:webHidden/>
          </w:rPr>
          <w:tab/>
        </w:r>
        <w:r>
          <w:rPr>
            <w:noProof/>
            <w:webHidden/>
          </w:rPr>
          <w:fldChar w:fldCharType="begin"/>
        </w:r>
        <w:r>
          <w:rPr>
            <w:noProof/>
            <w:webHidden/>
          </w:rPr>
          <w:instrText xml:space="preserve"> PAGEREF _Toc317160850 \h </w:instrText>
        </w:r>
        <w:r>
          <w:rPr>
            <w:noProof/>
            <w:webHidden/>
          </w:rPr>
        </w:r>
        <w:r>
          <w:rPr>
            <w:noProof/>
            <w:webHidden/>
          </w:rPr>
          <w:fldChar w:fldCharType="separate"/>
        </w:r>
        <w:r>
          <w:rPr>
            <w:noProof/>
            <w:webHidden/>
          </w:rPr>
          <w:t>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1" w:history="1">
        <w:r w:rsidRPr="00B80388">
          <w:rPr>
            <w:rStyle w:val="a5"/>
            <w:noProof/>
          </w:rPr>
          <w:t>Title: Food Technology and Biotechnology</w:t>
        </w:r>
        <w:r>
          <w:rPr>
            <w:noProof/>
            <w:webHidden/>
          </w:rPr>
          <w:tab/>
        </w:r>
        <w:r>
          <w:rPr>
            <w:noProof/>
            <w:webHidden/>
          </w:rPr>
          <w:fldChar w:fldCharType="begin"/>
        </w:r>
        <w:r>
          <w:rPr>
            <w:noProof/>
            <w:webHidden/>
          </w:rPr>
          <w:instrText xml:space="preserve"> PAGEREF _Toc317160851 \h </w:instrText>
        </w:r>
        <w:r>
          <w:rPr>
            <w:noProof/>
            <w:webHidden/>
          </w:rPr>
        </w:r>
        <w:r>
          <w:rPr>
            <w:noProof/>
            <w:webHidden/>
          </w:rPr>
          <w:fldChar w:fldCharType="separate"/>
        </w:r>
        <w:r>
          <w:rPr>
            <w:noProof/>
            <w:webHidden/>
          </w:rPr>
          <w:t>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2" w:history="1">
        <w:r w:rsidRPr="00B80388">
          <w:rPr>
            <w:rStyle w:val="a5"/>
            <w:noProof/>
          </w:rPr>
          <w:t>Title: Forensic Science International</w:t>
        </w:r>
        <w:r>
          <w:rPr>
            <w:noProof/>
            <w:webHidden/>
          </w:rPr>
          <w:tab/>
        </w:r>
        <w:r>
          <w:rPr>
            <w:noProof/>
            <w:webHidden/>
          </w:rPr>
          <w:fldChar w:fldCharType="begin"/>
        </w:r>
        <w:r>
          <w:rPr>
            <w:noProof/>
            <w:webHidden/>
          </w:rPr>
          <w:instrText xml:space="preserve"> PAGEREF _Toc317160852 \h </w:instrText>
        </w:r>
        <w:r>
          <w:rPr>
            <w:noProof/>
            <w:webHidden/>
          </w:rPr>
        </w:r>
        <w:r>
          <w:rPr>
            <w:noProof/>
            <w:webHidden/>
          </w:rPr>
          <w:fldChar w:fldCharType="separate"/>
        </w:r>
        <w:r>
          <w:rPr>
            <w:noProof/>
            <w:webHidden/>
          </w:rPr>
          <w:t>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3" w:history="1">
        <w:r w:rsidRPr="00B80388">
          <w:rPr>
            <w:rStyle w:val="a5"/>
            <w:noProof/>
          </w:rPr>
          <w:t>Title: Foresight</w:t>
        </w:r>
        <w:r>
          <w:rPr>
            <w:noProof/>
            <w:webHidden/>
          </w:rPr>
          <w:tab/>
        </w:r>
        <w:r>
          <w:rPr>
            <w:noProof/>
            <w:webHidden/>
          </w:rPr>
          <w:fldChar w:fldCharType="begin"/>
        </w:r>
        <w:r>
          <w:rPr>
            <w:noProof/>
            <w:webHidden/>
          </w:rPr>
          <w:instrText xml:space="preserve"> PAGEREF _Toc317160853 \h </w:instrText>
        </w:r>
        <w:r>
          <w:rPr>
            <w:noProof/>
            <w:webHidden/>
          </w:rPr>
        </w:r>
        <w:r>
          <w:rPr>
            <w:noProof/>
            <w:webHidden/>
          </w:rPr>
          <w:fldChar w:fldCharType="separate"/>
        </w:r>
        <w:r>
          <w:rPr>
            <w:noProof/>
            <w:webHidden/>
          </w:rPr>
          <w:t>92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4" w:history="1">
        <w:r w:rsidRPr="00B80388">
          <w:rPr>
            <w:rStyle w:val="a5"/>
            <w:noProof/>
          </w:rPr>
          <w:t>Title: Forest Ecology and Management</w:t>
        </w:r>
        <w:r>
          <w:rPr>
            <w:noProof/>
            <w:webHidden/>
          </w:rPr>
          <w:tab/>
        </w:r>
        <w:r>
          <w:rPr>
            <w:noProof/>
            <w:webHidden/>
          </w:rPr>
          <w:fldChar w:fldCharType="begin"/>
        </w:r>
        <w:r>
          <w:rPr>
            <w:noProof/>
            <w:webHidden/>
          </w:rPr>
          <w:instrText xml:space="preserve"> PAGEREF _Toc317160854 \h </w:instrText>
        </w:r>
        <w:r>
          <w:rPr>
            <w:noProof/>
            <w:webHidden/>
          </w:rPr>
        </w:r>
        <w:r>
          <w:rPr>
            <w:noProof/>
            <w:webHidden/>
          </w:rPr>
          <w:fldChar w:fldCharType="separate"/>
        </w:r>
        <w:r>
          <w:rPr>
            <w:noProof/>
            <w:webHidden/>
          </w:rPr>
          <w:t>94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5" w:history="1">
        <w:r w:rsidRPr="00B80388">
          <w:rPr>
            <w:rStyle w:val="a5"/>
            <w:noProof/>
          </w:rPr>
          <w:t xml:space="preserve">Title: </w:t>
        </w:r>
        <w:r w:rsidRPr="00B80388">
          <w:rPr>
            <w:rStyle w:val="a5"/>
            <w:iCs/>
            <w:noProof/>
          </w:rPr>
          <w:t>Forest Policy and Economics</w:t>
        </w:r>
        <w:r>
          <w:rPr>
            <w:noProof/>
            <w:webHidden/>
          </w:rPr>
          <w:tab/>
        </w:r>
        <w:r>
          <w:rPr>
            <w:noProof/>
            <w:webHidden/>
          </w:rPr>
          <w:fldChar w:fldCharType="begin"/>
        </w:r>
        <w:r>
          <w:rPr>
            <w:noProof/>
            <w:webHidden/>
          </w:rPr>
          <w:instrText xml:space="preserve"> PAGEREF _Toc317160855 \h </w:instrText>
        </w:r>
        <w:r>
          <w:rPr>
            <w:noProof/>
            <w:webHidden/>
          </w:rPr>
        </w:r>
        <w:r>
          <w:rPr>
            <w:noProof/>
            <w:webHidden/>
          </w:rPr>
          <w:fldChar w:fldCharType="separate"/>
        </w:r>
        <w:r>
          <w:rPr>
            <w:noProof/>
            <w:webHidden/>
          </w:rPr>
          <w:t>95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6" w:history="1">
        <w:r w:rsidRPr="00B80388">
          <w:rPr>
            <w:rStyle w:val="a5"/>
            <w:noProof/>
          </w:rPr>
          <w:t>Title: Forest Products Journal</w:t>
        </w:r>
        <w:r>
          <w:rPr>
            <w:noProof/>
            <w:webHidden/>
          </w:rPr>
          <w:tab/>
        </w:r>
        <w:r>
          <w:rPr>
            <w:noProof/>
            <w:webHidden/>
          </w:rPr>
          <w:fldChar w:fldCharType="begin"/>
        </w:r>
        <w:r>
          <w:rPr>
            <w:noProof/>
            <w:webHidden/>
          </w:rPr>
          <w:instrText xml:space="preserve"> PAGEREF _Toc317160856 \h </w:instrText>
        </w:r>
        <w:r>
          <w:rPr>
            <w:noProof/>
            <w:webHidden/>
          </w:rPr>
        </w:r>
        <w:r>
          <w:rPr>
            <w:noProof/>
            <w:webHidden/>
          </w:rPr>
          <w:fldChar w:fldCharType="separate"/>
        </w:r>
        <w:r>
          <w:rPr>
            <w:noProof/>
            <w:webHidden/>
          </w:rPr>
          <w:t>96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7" w:history="1">
        <w:r w:rsidRPr="00B80388">
          <w:rPr>
            <w:rStyle w:val="a5"/>
            <w:noProof/>
          </w:rPr>
          <w:t>Title: Forestry Chronicle</w:t>
        </w:r>
        <w:r>
          <w:rPr>
            <w:noProof/>
            <w:webHidden/>
          </w:rPr>
          <w:tab/>
        </w:r>
        <w:r>
          <w:rPr>
            <w:noProof/>
            <w:webHidden/>
          </w:rPr>
          <w:fldChar w:fldCharType="begin"/>
        </w:r>
        <w:r>
          <w:rPr>
            <w:noProof/>
            <w:webHidden/>
          </w:rPr>
          <w:instrText xml:space="preserve"> PAGEREF _Toc317160857 \h </w:instrText>
        </w:r>
        <w:r>
          <w:rPr>
            <w:noProof/>
            <w:webHidden/>
          </w:rPr>
        </w:r>
        <w:r>
          <w:rPr>
            <w:noProof/>
            <w:webHidden/>
          </w:rPr>
          <w:fldChar w:fldCharType="separate"/>
        </w:r>
        <w:r>
          <w:rPr>
            <w:noProof/>
            <w:webHidden/>
          </w:rPr>
          <w:t>97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8" w:history="1">
        <w:r w:rsidRPr="00B80388">
          <w:rPr>
            <w:rStyle w:val="a5"/>
            <w:noProof/>
          </w:rPr>
          <w:t>Title: Forpride Digest</w:t>
        </w:r>
        <w:r>
          <w:rPr>
            <w:noProof/>
            <w:webHidden/>
          </w:rPr>
          <w:tab/>
        </w:r>
        <w:r>
          <w:rPr>
            <w:noProof/>
            <w:webHidden/>
          </w:rPr>
          <w:fldChar w:fldCharType="begin"/>
        </w:r>
        <w:r>
          <w:rPr>
            <w:noProof/>
            <w:webHidden/>
          </w:rPr>
          <w:instrText xml:space="preserve"> PAGEREF _Toc317160858 \h </w:instrText>
        </w:r>
        <w:r>
          <w:rPr>
            <w:noProof/>
            <w:webHidden/>
          </w:rPr>
        </w:r>
        <w:r>
          <w:rPr>
            <w:noProof/>
            <w:webHidden/>
          </w:rPr>
          <w:fldChar w:fldCharType="separate"/>
        </w:r>
        <w:r>
          <w:rPr>
            <w:noProof/>
            <w:webHidden/>
          </w:rPr>
          <w:t>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59" w:history="1">
        <w:r w:rsidRPr="00B80388">
          <w:rPr>
            <w:rStyle w:val="a5"/>
            <w:noProof/>
          </w:rPr>
          <w:t xml:space="preserve">Title: </w:t>
        </w:r>
        <w:r w:rsidRPr="00B80388">
          <w:rPr>
            <w:rStyle w:val="a5"/>
            <w:iCs/>
            <w:noProof/>
          </w:rPr>
          <w:t>Forschende Komplementarmedizin</w:t>
        </w:r>
        <w:r>
          <w:rPr>
            <w:noProof/>
            <w:webHidden/>
          </w:rPr>
          <w:tab/>
        </w:r>
        <w:r>
          <w:rPr>
            <w:noProof/>
            <w:webHidden/>
          </w:rPr>
          <w:fldChar w:fldCharType="begin"/>
        </w:r>
        <w:r>
          <w:rPr>
            <w:noProof/>
            <w:webHidden/>
          </w:rPr>
          <w:instrText xml:space="preserve"> PAGEREF _Toc317160859 \h </w:instrText>
        </w:r>
        <w:r>
          <w:rPr>
            <w:noProof/>
            <w:webHidden/>
          </w:rPr>
        </w:r>
        <w:r>
          <w:rPr>
            <w:noProof/>
            <w:webHidden/>
          </w:rPr>
          <w:fldChar w:fldCharType="separate"/>
        </w:r>
        <w:r>
          <w:rPr>
            <w:noProof/>
            <w:webHidden/>
          </w:rPr>
          <w:t>100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0" w:history="1">
        <w:r w:rsidRPr="00B80388">
          <w:rPr>
            <w:rStyle w:val="a5"/>
            <w:noProof/>
          </w:rPr>
          <w:t>Title: Fractals-Complex Geometry Patterns and Scaling in Nature and Society</w:t>
        </w:r>
        <w:r>
          <w:rPr>
            <w:noProof/>
            <w:webHidden/>
          </w:rPr>
          <w:tab/>
        </w:r>
        <w:r>
          <w:rPr>
            <w:noProof/>
            <w:webHidden/>
          </w:rPr>
          <w:fldChar w:fldCharType="begin"/>
        </w:r>
        <w:r>
          <w:rPr>
            <w:noProof/>
            <w:webHidden/>
          </w:rPr>
          <w:instrText xml:space="preserve"> PAGEREF _Toc317160860 \h </w:instrText>
        </w:r>
        <w:r>
          <w:rPr>
            <w:noProof/>
            <w:webHidden/>
          </w:rPr>
        </w:r>
        <w:r>
          <w:rPr>
            <w:noProof/>
            <w:webHidden/>
          </w:rPr>
          <w:fldChar w:fldCharType="separate"/>
        </w:r>
        <w:r>
          <w:rPr>
            <w:noProof/>
            <w:webHidden/>
          </w:rPr>
          <w:t>102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1" w:history="1">
        <w:r w:rsidRPr="00B80388">
          <w:rPr>
            <w:rStyle w:val="a5"/>
            <w:noProof/>
          </w:rPr>
          <w:t>Title: Free Radical Biology and Medicine</w:t>
        </w:r>
        <w:r>
          <w:rPr>
            <w:noProof/>
            <w:webHidden/>
          </w:rPr>
          <w:tab/>
        </w:r>
        <w:r>
          <w:rPr>
            <w:noProof/>
            <w:webHidden/>
          </w:rPr>
          <w:fldChar w:fldCharType="begin"/>
        </w:r>
        <w:r>
          <w:rPr>
            <w:noProof/>
            <w:webHidden/>
          </w:rPr>
          <w:instrText xml:space="preserve"> PAGEREF _Toc317160861 \h </w:instrText>
        </w:r>
        <w:r>
          <w:rPr>
            <w:noProof/>
            <w:webHidden/>
          </w:rPr>
        </w:r>
        <w:r>
          <w:rPr>
            <w:noProof/>
            <w:webHidden/>
          </w:rPr>
          <w:fldChar w:fldCharType="separate"/>
        </w:r>
        <w:r>
          <w:rPr>
            <w:noProof/>
            <w:webHidden/>
          </w:rPr>
          <w:t>103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2" w:history="1">
        <w:r w:rsidRPr="00B80388">
          <w:rPr>
            <w:rStyle w:val="a5"/>
            <w:noProof/>
          </w:rPr>
          <w:t>Title: Free Radical Research Communications</w:t>
        </w:r>
        <w:r>
          <w:rPr>
            <w:noProof/>
            <w:webHidden/>
          </w:rPr>
          <w:tab/>
        </w:r>
        <w:r>
          <w:rPr>
            <w:noProof/>
            <w:webHidden/>
          </w:rPr>
          <w:fldChar w:fldCharType="begin"/>
        </w:r>
        <w:r>
          <w:rPr>
            <w:noProof/>
            <w:webHidden/>
          </w:rPr>
          <w:instrText xml:space="preserve"> PAGEREF _Toc317160862 \h </w:instrText>
        </w:r>
        <w:r>
          <w:rPr>
            <w:noProof/>
            <w:webHidden/>
          </w:rPr>
        </w:r>
        <w:r>
          <w:rPr>
            <w:noProof/>
            <w:webHidden/>
          </w:rPr>
          <w:fldChar w:fldCharType="separate"/>
        </w:r>
        <w:r>
          <w:rPr>
            <w:noProof/>
            <w:webHidden/>
          </w:rPr>
          <w:t>106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3" w:history="1">
        <w:r w:rsidRPr="00B80388">
          <w:rPr>
            <w:rStyle w:val="a5"/>
            <w:noProof/>
          </w:rPr>
          <w:t xml:space="preserve">Title: </w:t>
        </w:r>
        <w:r w:rsidRPr="00B80388">
          <w:rPr>
            <w:rStyle w:val="a5"/>
            <w:iCs/>
            <w:noProof/>
          </w:rPr>
          <w:t>French Review</w:t>
        </w:r>
        <w:r>
          <w:rPr>
            <w:noProof/>
            <w:webHidden/>
          </w:rPr>
          <w:tab/>
        </w:r>
        <w:r>
          <w:rPr>
            <w:noProof/>
            <w:webHidden/>
          </w:rPr>
          <w:fldChar w:fldCharType="begin"/>
        </w:r>
        <w:r>
          <w:rPr>
            <w:noProof/>
            <w:webHidden/>
          </w:rPr>
          <w:instrText xml:space="preserve"> PAGEREF _Toc317160863 \h </w:instrText>
        </w:r>
        <w:r>
          <w:rPr>
            <w:noProof/>
            <w:webHidden/>
          </w:rPr>
        </w:r>
        <w:r>
          <w:rPr>
            <w:noProof/>
            <w:webHidden/>
          </w:rPr>
          <w:fldChar w:fldCharType="separate"/>
        </w:r>
        <w:r>
          <w:rPr>
            <w:noProof/>
            <w:webHidden/>
          </w:rPr>
          <w:t>107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4" w:history="1">
        <w:r w:rsidRPr="00B80388">
          <w:rPr>
            <w:rStyle w:val="a5"/>
            <w:noProof/>
          </w:rPr>
          <w:t>Title: Fresenius Environmental Bulletin</w:t>
        </w:r>
        <w:r>
          <w:rPr>
            <w:noProof/>
            <w:webHidden/>
          </w:rPr>
          <w:tab/>
        </w:r>
        <w:r>
          <w:rPr>
            <w:noProof/>
            <w:webHidden/>
          </w:rPr>
          <w:fldChar w:fldCharType="begin"/>
        </w:r>
        <w:r>
          <w:rPr>
            <w:noProof/>
            <w:webHidden/>
          </w:rPr>
          <w:instrText xml:space="preserve"> PAGEREF _Toc317160864 \h </w:instrText>
        </w:r>
        <w:r>
          <w:rPr>
            <w:noProof/>
            <w:webHidden/>
          </w:rPr>
        </w:r>
        <w:r>
          <w:rPr>
            <w:noProof/>
            <w:webHidden/>
          </w:rPr>
          <w:fldChar w:fldCharType="separate"/>
        </w:r>
        <w:r>
          <w:rPr>
            <w:noProof/>
            <w:webHidden/>
          </w:rPr>
          <w:t>108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5" w:history="1">
        <w:r w:rsidRPr="00B80388">
          <w:rPr>
            <w:rStyle w:val="a5"/>
            <w:noProof/>
          </w:rPr>
          <w:t>Title: Fresenius Journal of Analytical Chemistry</w:t>
        </w:r>
        <w:r>
          <w:rPr>
            <w:noProof/>
            <w:webHidden/>
          </w:rPr>
          <w:tab/>
        </w:r>
        <w:r>
          <w:rPr>
            <w:noProof/>
            <w:webHidden/>
          </w:rPr>
          <w:fldChar w:fldCharType="begin"/>
        </w:r>
        <w:r>
          <w:rPr>
            <w:noProof/>
            <w:webHidden/>
          </w:rPr>
          <w:instrText xml:space="preserve"> PAGEREF _Toc317160865 \h </w:instrText>
        </w:r>
        <w:r>
          <w:rPr>
            <w:noProof/>
            <w:webHidden/>
          </w:rPr>
        </w:r>
        <w:r>
          <w:rPr>
            <w:noProof/>
            <w:webHidden/>
          </w:rPr>
          <w:fldChar w:fldCharType="separate"/>
        </w:r>
        <w:r>
          <w:rPr>
            <w:noProof/>
            <w:webHidden/>
          </w:rPr>
          <w:t>171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6" w:history="1">
        <w:r w:rsidRPr="00B80388">
          <w:rPr>
            <w:rStyle w:val="a5"/>
            <w:noProof/>
          </w:rPr>
          <w:t>Title: Fresenius Zeitschrift fur Analytische Chemie</w:t>
        </w:r>
        <w:r>
          <w:rPr>
            <w:noProof/>
            <w:webHidden/>
          </w:rPr>
          <w:tab/>
        </w:r>
        <w:r>
          <w:rPr>
            <w:noProof/>
            <w:webHidden/>
          </w:rPr>
          <w:fldChar w:fldCharType="begin"/>
        </w:r>
        <w:r>
          <w:rPr>
            <w:noProof/>
            <w:webHidden/>
          </w:rPr>
          <w:instrText xml:space="preserve"> PAGEREF _Toc317160866 \h </w:instrText>
        </w:r>
        <w:r>
          <w:rPr>
            <w:noProof/>
            <w:webHidden/>
          </w:rPr>
        </w:r>
        <w:r>
          <w:rPr>
            <w:noProof/>
            <w:webHidden/>
          </w:rPr>
          <w:fldChar w:fldCharType="separate"/>
        </w:r>
        <w:r>
          <w:rPr>
            <w:noProof/>
            <w:webHidden/>
          </w:rPr>
          <w:t>175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7" w:history="1">
        <w:r w:rsidRPr="00B80388">
          <w:rPr>
            <w:rStyle w:val="a5"/>
            <w:noProof/>
          </w:rPr>
          <w:t xml:space="preserve">Title: </w:t>
        </w:r>
        <w:r w:rsidRPr="00B80388">
          <w:rPr>
            <w:rStyle w:val="a5"/>
            <w:noProof/>
            <w:lang w:val="de-DE"/>
          </w:rPr>
          <w:t>Freshwater Biology</w:t>
        </w:r>
        <w:r>
          <w:rPr>
            <w:noProof/>
            <w:webHidden/>
          </w:rPr>
          <w:tab/>
        </w:r>
        <w:r>
          <w:rPr>
            <w:noProof/>
            <w:webHidden/>
          </w:rPr>
          <w:fldChar w:fldCharType="begin"/>
        </w:r>
        <w:r>
          <w:rPr>
            <w:noProof/>
            <w:webHidden/>
          </w:rPr>
          <w:instrText xml:space="preserve"> PAGEREF _Toc317160867 \h </w:instrText>
        </w:r>
        <w:r>
          <w:rPr>
            <w:noProof/>
            <w:webHidden/>
          </w:rPr>
        </w:r>
        <w:r>
          <w:rPr>
            <w:noProof/>
            <w:webHidden/>
          </w:rPr>
          <w:fldChar w:fldCharType="separate"/>
        </w:r>
        <w:r>
          <w:rPr>
            <w:noProof/>
            <w:webHidden/>
          </w:rPr>
          <w:t>177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8" w:history="1">
        <w:r w:rsidRPr="00B80388">
          <w:rPr>
            <w:rStyle w:val="a5"/>
            <w:noProof/>
          </w:rPr>
          <w:t xml:space="preserve">Title: </w:t>
        </w:r>
        <w:r w:rsidRPr="00B80388">
          <w:rPr>
            <w:rStyle w:val="a5"/>
            <w:iCs/>
            <w:noProof/>
          </w:rPr>
          <w:t>Frontiers in Computational Neuroscience</w:t>
        </w:r>
        <w:r>
          <w:rPr>
            <w:noProof/>
            <w:webHidden/>
          </w:rPr>
          <w:tab/>
        </w:r>
        <w:r>
          <w:rPr>
            <w:noProof/>
            <w:webHidden/>
          </w:rPr>
          <w:fldChar w:fldCharType="begin"/>
        </w:r>
        <w:r>
          <w:rPr>
            <w:noProof/>
            <w:webHidden/>
          </w:rPr>
          <w:instrText xml:space="preserve"> PAGEREF _Toc317160868 \h </w:instrText>
        </w:r>
        <w:r>
          <w:rPr>
            <w:noProof/>
            <w:webHidden/>
          </w:rPr>
        </w:r>
        <w:r>
          <w:rPr>
            <w:noProof/>
            <w:webHidden/>
          </w:rPr>
          <w:fldChar w:fldCharType="separate"/>
        </w:r>
        <w:r>
          <w:rPr>
            <w:noProof/>
            <w:webHidden/>
          </w:rPr>
          <w:t>179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69" w:history="1">
        <w:r w:rsidRPr="00B80388">
          <w:rPr>
            <w:rStyle w:val="a5"/>
            <w:noProof/>
          </w:rPr>
          <w:t>Title: Frontiers in Education Fie’96 - 26th Annual Conference, Proceedings, Vols 1-3 - Technology-Based Re-Engineering Engineering Education</w:t>
        </w:r>
        <w:r>
          <w:rPr>
            <w:noProof/>
            <w:webHidden/>
          </w:rPr>
          <w:tab/>
        </w:r>
        <w:r>
          <w:rPr>
            <w:noProof/>
            <w:webHidden/>
          </w:rPr>
          <w:fldChar w:fldCharType="begin"/>
        </w:r>
        <w:r>
          <w:rPr>
            <w:noProof/>
            <w:webHidden/>
          </w:rPr>
          <w:instrText xml:space="preserve"> PAGEREF _Toc317160869 \h </w:instrText>
        </w:r>
        <w:r>
          <w:rPr>
            <w:noProof/>
            <w:webHidden/>
          </w:rPr>
        </w:r>
        <w:r>
          <w:rPr>
            <w:noProof/>
            <w:webHidden/>
          </w:rPr>
          <w:fldChar w:fldCharType="separate"/>
        </w:r>
        <w:r>
          <w:rPr>
            <w:noProof/>
            <w:webHidden/>
          </w:rPr>
          <w:t>181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0" w:history="1">
        <w:r w:rsidRPr="00B80388">
          <w:rPr>
            <w:rStyle w:val="a5"/>
            <w:noProof/>
          </w:rPr>
          <w:t xml:space="preserve">Title: </w:t>
        </w:r>
        <w:r w:rsidRPr="00B80388">
          <w:rPr>
            <w:rStyle w:val="a5"/>
            <w:iCs/>
            <w:noProof/>
          </w:rPr>
          <w:t>Frontiers of Environmental Science &amp; Engineering in China</w:t>
        </w:r>
        <w:r>
          <w:rPr>
            <w:noProof/>
            <w:webHidden/>
          </w:rPr>
          <w:tab/>
        </w:r>
        <w:r>
          <w:rPr>
            <w:noProof/>
            <w:webHidden/>
          </w:rPr>
          <w:fldChar w:fldCharType="begin"/>
        </w:r>
        <w:r>
          <w:rPr>
            <w:noProof/>
            <w:webHidden/>
          </w:rPr>
          <w:instrText xml:space="preserve"> PAGEREF _Toc317160870 \h </w:instrText>
        </w:r>
        <w:r>
          <w:rPr>
            <w:noProof/>
            <w:webHidden/>
          </w:rPr>
        </w:r>
        <w:r>
          <w:rPr>
            <w:noProof/>
            <w:webHidden/>
          </w:rPr>
          <w:fldChar w:fldCharType="separate"/>
        </w:r>
        <w:r>
          <w:rPr>
            <w:noProof/>
            <w:webHidden/>
          </w:rPr>
          <w:t>182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1" w:history="1">
        <w:r w:rsidRPr="00B80388">
          <w:rPr>
            <w:rStyle w:val="a5"/>
            <w:noProof/>
          </w:rPr>
          <w:t xml:space="preserve">Title: </w:t>
        </w:r>
        <w:r w:rsidRPr="00B80388">
          <w:rPr>
            <w:rStyle w:val="a5"/>
            <w:iCs/>
            <w:noProof/>
          </w:rPr>
          <w:t>Fruits</w:t>
        </w:r>
        <w:r>
          <w:rPr>
            <w:noProof/>
            <w:webHidden/>
          </w:rPr>
          <w:tab/>
        </w:r>
        <w:r>
          <w:rPr>
            <w:noProof/>
            <w:webHidden/>
          </w:rPr>
          <w:fldChar w:fldCharType="begin"/>
        </w:r>
        <w:r>
          <w:rPr>
            <w:noProof/>
            <w:webHidden/>
          </w:rPr>
          <w:instrText xml:space="preserve"> PAGEREF _Toc317160871 \h </w:instrText>
        </w:r>
        <w:r>
          <w:rPr>
            <w:noProof/>
            <w:webHidden/>
          </w:rPr>
        </w:r>
        <w:r>
          <w:rPr>
            <w:noProof/>
            <w:webHidden/>
          </w:rPr>
          <w:fldChar w:fldCharType="separate"/>
        </w:r>
        <w:r>
          <w:rPr>
            <w:noProof/>
            <w:webHidden/>
          </w:rPr>
          <w:t>188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2" w:history="1">
        <w:r w:rsidRPr="00B80388">
          <w:rPr>
            <w:rStyle w:val="a5"/>
            <w:noProof/>
          </w:rPr>
          <w:t xml:space="preserve">Title: </w:t>
        </w:r>
        <w:r w:rsidRPr="00B80388">
          <w:rPr>
            <w:rStyle w:val="a5"/>
            <w:iCs/>
            <w:noProof/>
          </w:rPr>
          <w:t>Fudan Xuebao (Yixuekexueban)</w:t>
        </w:r>
        <w:r>
          <w:rPr>
            <w:noProof/>
            <w:webHidden/>
          </w:rPr>
          <w:tab/>
        </w:r>
        <w:r>
          <w:rPr>
            <w:noProof/>
            <w:webHidden/>
          </w:rPr>
          <w:fldChar w:fldCharType="begin"/>
        </w:r>
        <w:r>
          <w:rPr>
            <w:noProof/>
            <w:webHidden/>
          </w:rPr>
          <w:instrText xml:space="preserve"> PAGEREF _Toc317160872 \h </w:instrText>
        </w:r>
        <w:r>
          <w:rPr>
            <w:noProof/>
            <w:webHidden/>
          </w:rPr>
        </w:r>
        <w:r>
          <w:rPr>
            <w:noProof/>
            <w:webHidden/>
          </w:rPr>
          <w:fldChar w:fldCharType="separate"/>
        </w:r>
        <w:r>
          <w:rPr>
            <w:noProof/>
            <w:webHidden/>
          </w:rPr>
          <w:t>191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3" w:history="1">
        <w:r w:rsidRPr="00B80388">
          <w:rPr>
            <w:rStyle w:val="a5"/>
            <w:noProof/>
          </w:rPr>
          <w:t>Title: Fuel</w:t>
        </w:r>
        <w:r>
          <w:rPr>
            <w:noProof/>
            <w:webHidden/>
          </w:rPr>
          <w:tab/>
        </w:r>
        <w:r>
          <w:rPr>
            <w:noProof/>
            <w:webHidden/>
          </w:rPr>
          <w:fldChar w:fldCharType="begin"/>
        </w:r>
        <w:r>
          <w:rPr>
            <w:noProof/>
            <w:webHidden/>
          </w:rPr>
          <w:instrText xml:space="preserve"> PAGEREF _Toc317160873 \h </w:instrText>
        </w:r>
        <w:r>
          <w:rPr>
            <w:noProof/>
            <w:webHidden/>
          </w:rPr>
        </w:r>
        <w:r>
          <w:rPr>
            <w:noProof/>
            <w:webHidden/>
          </w:rPr>
          <w:fldChar w:fldCharType="separate"/>
        </w:r>
        <w:r>
          <w:rPr>
            <w:noProof/>
            <w:webHidden/>
          </w:rPr>
          <w:t>192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4" w:history="1">
        <w:r w:rsidRPr="00B80388">
          <w:rPr>
            <w:rStyle w:val="a5"/>
            <w:noProof/>
          </w:rPr>
          <w:t>Title: Fuel and Energy Abstracts</w:t>
        </w:r>
        <w:r>
          <w:rPr>
            <w:noProof/>
            <w:webHidden/>
          </w:rPr>
          <w:tab/>
        </w:r>
        <w:r>
          <w:rPr>
            <w:noProof/>
            <w:webHidden/>
          </w:rPr>
          <w:fldChar w:fldCharType="begin"/>
        </w:r>
        <w:r>
          <w:rPr>
            <w:noProof/>
            <w:webHidden/>
          </w:rPr>
          <w:instrText xml:space="preserve"> PAGEREF _Toc317160874 \h </w:instrText>
        </w:r>
        <w:r>
          <w:rPr>
            <w:noProof/>
            <w:webHidden/>
          </w:rPr>
        </w:r>
        <w:r>
          <w:rPr>
            <w:noProof/>
            <w:webHidden/>
          </w:rPr>
          <w:fldChar w:fldCharType="separate"/>
        </w:r>
        <w:r>
          <w:rPr>
            <w:noProof/>
            <w:webHidden/>
          </w:rPr>
          <w:t>206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5" w:history="1">
        <w:r w:rsidRPr="00B80388">
          <w:rPr>
            <w:rStyle w:val="a5"/>
            <w:noProof/>
          </w:rPr>
          <w:t>Title: Fuel Processing Technology</w:t>
        </w:r>
        <w:r>
          <w:rPr>
            <w:noProof/>
            <w:webHidden/>
          </w:rPr>
          <w:tab/>
        </w:r>
        <w:r>
          <w:rPr>
            <w:noProof/>
            <w:webHidden/>
          </w:rPr>
          <w:fldChar w:fldCharType="begin"/>
        </w:r>
        <w:r>
          <w:rPr>
            <w:noProof/>
            <w:webHidden/>
          </w:rPr>
          <w:instrText xml:space="preserve"> PAGEREF _Toc317160875 \h </w:instrText>
        </w:r>
        <w:r>
          <w:rPr>
            <w:noProof/>
            <w:webHidden/>
          </w:rPr>
        </w:r>
        <w:r>
          <w:rPr>
            <w:noProof/>
            <w:webHidden/>
          </w:rPr>
          <w:fldChar w:fldCharType="separate"/>
        </w:r>
        <w:r>
          <w:rPr>
            <w:noProof/>
            <w:webHidden/>
          </w:rPr>
          <w:t>208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6" w:history="1">
        <w:r w:rsidRPr="00B80388">
          <w:rPr>
            <w:rStyle w:val="a5"/>
            <w:noProof/>
          </w:rPr>
          <w:t>Title: Fuel Science &amp; Technology International</w:t>
        </w:r>
        <w:r>
          <w:rPr>
            <w:noProof/>
            <w:webHidden/>
          </w:rPr>
          <w:tab/>
        </w:r>
        <w:r>
          <w:rPr>
            <w:noProof/>
            <w:webHidden/>
          </w:rPr>
          <w:fldChar w:fldCharType="begin"/>
        </w:r>
        <w:r>
          <w:rPr>
            <w:noProof/>
            <w:webHidden/>
          </w:rPr>
          <w:instrText xml:space="preserve"> PAGEREF _Toc317160876 \h </w:instrText>
        </w:r>
        <w:r>
          <w:rPr>
            <w:noProof/>
            <w:webHidden/>
          </w:rPr>
        </w:r>
        <w:r>
          <w:rPr>
            <w:noProof/>
            <w:webHidden/>
          </w:rPr>
          <w:fldChar w:fldCharType="separate"/>
        </w:r>
        <w:r>
          <w:rPr>
            <w:noProof/>
            <w:webHidden/>
          </w:rPr>
          <w:t>216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7" w:history="1">
        <w:r w:rsidRPr="00B80388">
          <w:rPr>
            <w:rStyle w:val="a5"/>
            <w:noProof/>
          </w:rPr>
          <w:t xml:space="preserve">Title: </w:t>
        </w:r>
        <w:r w:rsidRPr="00B80388">
          <w:rPr>
            <w:rStyle w:val="a5"/>
            <w:iCs/>
            <w:noProof/>
          </w:rPr>
          <w:t>Fullerenes Nanotubes and Carbon Nanostructures</w:t>
        </w:r>
        <w:r>
          <w:rPr>
            <w:noProof/>
            <w:webHidden/>
          </w:rPr>
          <w:tab/>
        </w:r>
        <w:r>
          <w:rPr>
            <w:noProof/>
            <w:webHidden/>
          </w:rPr>
          <w:fldChar w:fldCharType="begin"/>
        </w:r>
        <w:r>
          <w:rPr>
            <w:noProof/>
            <w:webHidden/>
          </w:rPr>
          <w:instrText xml:space="preserve"> PAGEREF _Toc317160877 \h </w:instrText>
        </w:r>
        <w:r>
          <w:rPr>
            <w:noProof/>
            <w:webHidden/>
          </w:rPr>
        </w:r>
        <w:r>
          <w:rPr>
            <w:noProof/>
            <w:webHidden/>
          </w:rPr>
          <w:fldChar w:fldCharType="separate"/>
        </w:r>
        <w:r>
          <w:rPr>
            <w:noProof/>
            <w:webHidden/>
          </w:rPr>
          <w:t>217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8" w:history="1">
        <w:r w:rsidRPr="00B80388">
          <w:rPr>
            <w:rStyle w:val="a5"/>
            <w:noProof/>
          </w:rPr>
          <w:t>Title: Functional Ecology</w:t>
        </w:r>
        <w:r>
          <w:rPr>
            <w:noProof/>
            <w:webHidden/>
          </w:rPr>
          <w:tab/>
        </w:r>
        <w:r>
          <w:rPr>
            <w:noProof/>
            <w:webHidden/>
          </w:rPr>
          <w:fldChar w:fldCharType="begin"/>
        </w:r>
        <w:r>
          <w:rPr>
            <w:noProof/>
            <w:webHidden/>
          </w:rPr>
          <w:instrText xml:space="preserve"> PAGEREF _Toc317160878 \h </w:instrText>
        </w:r>
        <w:r>
          <w:rPr>
            <w:noProof/>
            <w:webHidden/>
          </w:rPr>
        </w:r>
        <w:r>
          <w:rPr>
            <w:noProof/>
            <w:webHidden/>
          </w:rPr>
          <w:fldChar w:fldCharType="separate"/>
        </w:r>
        <w:r>
          <w:rPr>
            <w:noProof/>
            <w:webHidden/>
          </w:rPr>
          <w:t>219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79" w:history="1">
        <w:r w:rsidRPr="00B80388">
          <w:rPr>
            <w:rStyle w:val="a5"/>
            <w:noProof/>
          </w:rPr>
          <w:t>Title: Functional Manufacturing Technologies and Ceeusro I</w:t>
        </w:r>
        <w:r>
          <w:rPr>
            <w:noProof/>
            <w:webHidden/>
          </w:rPr>
          <w:tab/>
        </w:r>
        <w:r>
          <w:rPr>
            <w:noProof/>
            <w:webHidden/>
          </w:rPr>
          <w:fldChar w:fldCharType="begin"/>
        </w:r>
        <w:r>
          <w:rPr>
            <w:noProof/>
            <w:webHidden/>
          </w:rPr>
          <w:instrText xml:space="preserve"> PAGEREF _Toc317160879 \h </w:instrText>
        </w:r>
        <w:r>
          <w:rPr>
            <w:noProof/>
            <w:webHidden/>
          </w:rPr>
        </w:r>
        <w:r>
          <w:rPr>
            <w:noProof/>
            <w:webHidden/>
          </w:rPr>
          <w:fldChar w:fldCharType="separate"/>
        </w:r>
        <w:r>
          <w:rPr>
            <w:noProof/>
            <w:webHidden/>
          </w:rPr>
          <w:t>220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0" w:history="1">
        <w:r w:rsidRPr="00B80388">
          <w:rPr>
            <w:rStyle w:val="a5"/>
            <w:noProof/>
          </w:rPr>
          <w:t>Title: Functional Materials and Devices Materials Science Forum</w:t>
        </w:r>
        <w:r>
          <w:rPr>
            <w:noProof/>
            <w:webHidden/>
          </w:rPr>
          <w:tab/>
        </w:r>
        <w:r>
          <w:rPr>
            <w:noProof/>
            <w:webHidden/>
          </w:rPr>
          <w:fldChar w:fldCharType="begin"/>
        </w:r>
        <w:r>
          <w:rPr>
            <w:noProof/>
            <w:webHidden/>
          </w:rPr>
          <w:instrText xml:space="preserve"> PAGEREF _Toc317160880 \h </w:instrText>
        </w:r>
        <w:r>
          <w:rPr>
            <w:noProof/>
            <w:webHidden/>
          </w:rPr>
        </w:r>
        <w:r>
          <w:rPr>
            <w:noProof/>
            <w:webHidden/>
          </w:rPr>
          <w:fldChar w:fldCharType="separate"/>
        </w:r>
        <w:r>
          <w:rPr>
            <w:noProof/>
            <w:webHidden/>
          </w:rPr>
          <w:t>221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1" w:history="1">
        <w:r w:rsidRPr="00B80388">
          <w:rPr>
            <w:rStyle w:val="a5"/>
            <w:noProof/>
          </w:rPr>
          <w:t xml:space="preserve">Title: </w:t>
        </w:r>
        <w:r w:rsidRPr="00B80388">
          <w:rPr>
            <w:rStyle w:val="a5"/>
            <w:iCs/>
            <w:noProof/>
          </w:rPr>
          <w:t>Functions of Language</w:t>
        </w:r>
        <w:r>
          <w:rPr>
            <w:noProof/>
            <w:webHidden/>
          </w:rPr>
          <w:tab/>
        </w:r>
        <w:r>
          <w:rPr>
            <w:noProof/>
            <w:webHidden/>
          </w:rPr>
          <w:fldChar w:fldCharType="begin"/>
        </w:r>
        <w:r>
          <w:rPr>
            <w:noProof/>
            <w:webHidden/>
          </w:rPr>
          <w:instrText xml:space="preserve"> PAGEREF _Toc317160881 \h </w:instrText>
        </w:r>
        <w:r>
          <w:rPr>
            <w:noProof/>
            <w:webHidden/>
          </w:rPr>
        </w:r>
        <w:r>
          <w:rPr>
            <w:noProof/>
            <w:webHidden/>
          </w:rPr>
          <w:fldChar w:fldCharType="separate"/>
        </w:r>
        <w:r>
          <w:rPr>
            <w:noProof/>
            <w:webHidden/>
          </w:rPr>
          <w:t>222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2" w:history="1">
        <w:r w:rsidRPr="00B80388">
          <w:rPr>
            <w:rStyle w:val="a5"/>
            <w:noProof/>
          </w:rPr>
          <w:t>Title: Fundamental and Applied Biohydeometallurgy</w:t>
        </w:r>
        <w:r>
          <w:rPr>
            <w:noProof/>
            <w:webHidden/>
          </w:rPr>
          <w:tab/>
        </w:r>
        <w:r>
          <w:rPr>
            <w:noProof/>
            <w:webHidden/>
          </w:rPr>
          <w:fldChar w:fldCharType="begin"/>
        </w:r>
        <w:r>
          <w:rPr>
            <w:noProof/>
            <w:webHidden/>
          </w:rPr>
          <w:instrText xml:space="preserve"> PAGEREF _Toc317160882 \h </w:instrText>
        </w:r>
        <w:r>
          <w:rPr>
            <w:noProof/>
            <w:webHidden/>
          </w:rPr>
        </w:r>
        <w:r>
          <w:rPr>
            <w:noProof/>
            <w:webHidden/>
          </w:rPr>
          <w:fldChar w:fldCharType="separate"/>
        </w:r>
        <w:r>
          <w:rPr>
            <w:noProof/>
            <w:webHidden/>
          </w:rPr>
          <w:t>223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3" w:history="1">
        <w:r w:rsidRPr="00B80388">
          <w:rPr>
            <w:rStyle w:val="a5"/>
            <w:noProof/>
          </w:rPr>
          <w:t>Title: Fundamental and Applied Toxicology</w:t>
        </w:r>
        <w:r>
          <w:rPr>
            <w:noProof/>
            <w:webHidden/>
          </w:rPr>
          <w:tab/>
        </w:r>
        <w:r>
          <w:rPr>
            <w:noProof/>
            <w:webHidden/>
          </w:rPr>
          <w:fldChar w:fldCharType="begin"/>
        </w:r>
        <w:r>
          <w:rPr>
            <w:noProof/>
            <w:webHidden/>
          </w:rPr>
          <w:instrText xml:space="preserve"> PAGEREF _Toc317160883 \h </w:instrText>
        </w:r>
        <w:r>
          <w:rPr>
            <w:noProof/>
            <w:webHidden/>
          </w:rPr>
        </w:r>
        <w:r>
          <w:rPr>
            <w:noProof/>
            <w:webHidden/>
          </w:rPr>
          <w:fldChar w:fldCharType="separate"/>
        </w:r>
        <w:r>
          <w:rPr>
            <w:noProof/>
            <w:webHidden/>
          </w:rPr>
          <w:t>224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4" w:history="1">
        <w:r w:rsidRPr="00B80388">
          <w:rPr>
            <w:rStyle w:val="a5"/>
            <w:noProof/>
          </w:rPr>
          <w:t>Title: Fundamental &amp; Clinical Pharmacology</w:t>
        </w:r>
        <w:r>
          <w:rPr>
            <w:noProof/>
            <w:webHidden/>
          </w:rPr>
          <w:tab/>
        </w:r>
        <w:r>
          <w:rPr>
            <w:noProof/>
            <w:webHidden/>
          </w:rPr>
          <w:fldChar w:fldCharType="begin"/>
        </w:r>
        <w:r>
          <w:rPr>
            <w:noProof/>
            <w:webHidden/>
          </w:rPr>
          <w:instrText xml:space="preserve"> PAGEREF _Toc317160884 \h </w:instrText>
        </w:r>
        <w:r>
          <w:rPr>
            <w:noProof/>
            <w:webHidden/>
          </w:rPr>
        </w:r>
        <w:r>
          <w:rPr>
            <w:noProof/>
            <w:webHidden/>
          </w:rPr>
          <w:fldChar w:fldCharType="separate"/>
        </w:r>
        <w:r>
          <w:rPr>
            <w:noProof/>
            <w:webHidden/>
          </w:rPr>
          <w:t>228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5" w:history="1">
        <w:r w:rsidRPr="00B80388">
          <w:rPr>
            <w:rStyle w:val="a5"/>
            <w:noProof/>
          </w:rPr>
          <w:t>Title: Fundamentals of Adsorption</w:t>
        </w:r>
        <w:r>
          <w:rPr>
            <w:noProof/>
            <w:webHidden/>
          </w:rPr>
          <w:tab/>
        </w:r>
        <w:r>
          <w:rPr>
            <w:noProof/>
            <w:webHidden/>
          </w:rPr>
          <w:fldChar w:fldCharType="begin"/>
        </w:r>
        <w:r>
          <w:rPr>
            <w:noProof/>
            <w:webHidden/>
          </w:rPr>
          <w:instrText xml:space="preserve"> PAGEREF _Toc317160885 \h </w:instrText>
        </w:r>
        <w:r>
          <w:rPr>
            <w:noProof/>
            <w:webHidden/>
          </w:rPr>
        </w:r>
        <w:r>
          <w:rPr>
            <w:noProof/>
            <w:webHidden/>
          </w:rPr>
          <w:fldChar w:fldCharType="separate"/>
        </w:r>
        <w:r>
          <w:rPr>
            <w:noProof/>
            <w:webHidden/>
          </w:rPr>
          <w:t>230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6" w:history="1">
        <w:r w:rsidRPr="00B80388">
          <w:rPr>
            <w:rStyle w:val="a5"/>
            <w:noProof/>
          </w:rPr>
          <w:t xml:space="preserve">Title: </w:t>
        </w:r>
        <w:r w:rsidRPr="00B80388">
          <w:rPr>
            <w:rStyle w:val="a5"/>
            <w:iCs/>
            <w:noProof/>
          </w:rPr>
          <w:t>Fusion Engineering and Design</w:t>
        </w:r>
        <w:r>
          <w:rPr>
            <w:noProof/>
            <w:webHidden/>
          </w:rPr>
          <w:tab/>
        </w:r>
        <w:r>
          <w:rPr>
            <w:noProof/>
            <w:webHidden/>
          </w:rPr>
          <w:fldChar w:fldCharType="begin"/>
        </w:r>
        <w:r>
          <w:rPr>
            <w:noProof/>
            <w:webHidden/>
          </w:rPr>
          <w:instrText xml:space="preserve"> PAGEREF _Toc317160886 \h </w:instrText>
        </w:r>
        <w:r>
          <w:rPr>
            <w:noProof/>
            <w:webHidden/>
          </w:rPr>
        </w:r>
        <w:r>
          <w:rPr>
            <w:noProof/>
            <w:webHidden/>
          </w:rPr>
          <w:fldChar w:fldCharType="separate"/>
        </w:r>
        <w:r>
          <w:rPr>
            <w:noProof/>
            <w:webHidden/>
          </w:rPr>
          <w:t>232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7" w:history="1">
        <w:r w:rsidRPr="00B80388">
          <w:rPr>
            <w:rStyle w:val="a5"/>
            <w:noProof/>
          </w:rPr>
          <w:t>Title: Future Generation Computer Systems</w:t>
        </w:r>
        <w:r>
          <w:rPr>
            <w:noProof/>
            <w:webHidden/>
          </w:rPr>
          <w:tab/>
        </w:r>
        <w:r>
          <w:rPr>
            <w:noProof/>
            <w:webHidden/>
          </w:rPr>
          <w:fldChar w:fldCharType="begin"/>
        </w:r>
        <w:r>
          <w:rPr>
            <w:noProof/>
            <w:webHidden/>
          </w:rPr>
          <w:instrText xml:space="preserve"> PAGEREF _Toc317160887 \h </w:instrText>
        </w:r>
        <w:r>
          <w:rPr>
            <w:noProof/>
            <w:webHidden/>
          </w:rPr>
        </w:r>
        <w:r>
          <w:rPr>
            <w:noProof/>
            <w:webHidden/>
          </w:rPr>
          <w:fldChar w:fldCharType="separate"/>
        </w:r>
        <w:r>
          <w:rPr>
            <w:noProof/>
            <w:webHidden/>
          </w:rPr>
          <w:t>233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8" w:history="1">
        <w:r w:rsidRPr="00B80388">
          <w:rPr>
            <w:rStyle w:val="a5"/>
            <w:noProof/>
          </w:rPr>
          <w:t>Title: Futures</w:t>
        </w:r>
        <w:r>
          <w:rPr>
            <w:noProof/>
            <w:webHidden/>
          </w:rPr>
          <w:tab/>
        </w:r>
        <w:r>
          <w:rPr>
            <w:noProof/>
            <w:webHidden/>
          </w:rPr>
          <w:fldChar w:fldCharType="begin"/>
        </w:r>
        <w:r>
          <w:rPr>
            <w:noProof/>
            <w:webHidden/>
          </w:rPr>
          <w:instrText xml:space="preserve"> PAGEREF _Toc317160888 \h </w:instrText>
        </w:r>
        <w:r>
          <w:rPr>
            <w:noProof/>
            <w:webHidden/>
          </w:rPr>
        </w:r>
        <w:r>
          <w:rPr>
            <w:noProof/>
            <w:webHidden/>
          </w:rPr>
          <w:fldChar w:fldCharType="separate"/>
        </w:r>
        <w:r>
          <w:rPr>
            <w:noProof/>
            <w:webHidden/>
          </w:rPr>
          <w:t>234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89" w:history="1">
        <w:r w:rsidRPr="00B80388">
          <w:rPr>
            <w:rStyle w:val="a5"/>
            <w:noProof/>
          </w:rPr>
          <w:t>Title: Fuzzy Sets and Systems</w:t>
        </w:r>
        <w:r>
          <w:rPr>
            <w:noProof/>
            <w:webHidden/>
          </w:rPr>
          <w:tab/>
        </w:r>
        <w:r>
          <w:rPr>
            <w:noProof/>
            <w:webHidden/>
          </w:rPr>
          <w:fldChar w:fldCharType="begin"/>
        </w:r>
        <w:r>
          <w:rPr>
            <w:noProof/>
            <w:webHidden/>
          </w:rPr>
          <w:instrText xml:space="preserve"> PAGEREF _Toc317160889 \h </w:instrText>
        </w:r>
        <w:r>
          <w:rPr>
            <w:noProof/>
            <w:webHidden/>
          </w:rPr>
        </w:r>
        <w:r>
          <w:rPr>
            <w:noProof/>
            <w:webHidden/>
          </w:rPr>
          <w:fldChar w:fldCharType="separate"/>
        </w:r>
        <w:r>
          <w:rPr>
            <w:noProof/>
            <w:webHidden/>
          </w:rPr>
          <w:t>235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0" w:history="1">
        <w:r w:rsidRPr="00B80388">
          <w:rPr>
            <w:rStyle w:val="a5"/>
            <w:noProof/>
          </w:rPr>
          <w:t>Title: Gaceta Sanitaria</w:t>
        </w:r>
        <w:r>
          <w:rPr>
            <w:noProof/>
            <w:webHidden/>
          </w:rPr>
          <w:tab/>
        </w:r>
        <w:r>
          <w:rPr>
            <w:noProof/>
            <w:webHidden/>
          </w:rPr>
          <w:fldChar w:fldCharType="begin"/>
        </w:r>
        <w:r>
          <w:rPr>
            <w:noProof/>
            <w:webHidden/>
          </w:rPr>
          <w:instrText xml:space="preserve"> PAGEREF _Toc317160890 \h </w:instrText>
        </w:r>
        <w:r>
          <w:rPr>
            <w:noProof/>
            <w:webHidden/>
          </w:rPr>
        </w:r>
        <w:r>
          <w:rPr>
            <w:noProof/>
            <w:webHidden/>
          </w:rPr>
          <w:fldChar w:fldCharType="separate"/>
        </w:r>
        <w:r>
          <w:rPr>
            <w:noProof/>
            <w:webHidden/>
          </w:rPr>
          <w:t>237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1" w:history="1">
        <w:r w:rsidRPr="00B80388">
          <w:rPr>
            <w:rStyle w:val="a5"/>
            <w:noProof/>
          </w:rPr>
          <w:t>Title: GAIA-Ecological Perspectives for Science and Society</w:t>
        </w:r>
        <w:r>
          <w:rPr>
            <w:noProof/>
            <w:webHidden/>
          </w:rPr>
          <w:tab/>
        </w:r>
        <w:r>
          <w:rPr>
            <w:noProof/>
            <w:webHidden/>
          </w:rPr>
          <w:fldChar w:fldCharType="begin"/>
        </w:r>
        <w:r>
          <w:rPr>
            <w:noProof/>
            <w:webHidden/>
          </w:rPr>
          <w:instrText xml:space="preserve"> PAGEREF _Toc317160891 \h </w:instrText>
        </w:r>
        <w:r>
          <w:rPr>
            <w:noProof/>
            <w:webHidden/>
          </w:rPr>
        </w:r>
        <w:r>
          <w:rPr>
            <w:noProof/>
            <w:webHidden/>
          </w:rPr>
          <w:fldChar w:fldCharType="separate"/>
        </w:r>
        <w:r>
          <w:rPr>
            <w:noProof/>
            <w:webHidden/>
          </w:rPr>
          <w:t>243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2" w:history="1">
        <w:r w:rsidRPr="00B80388">
          <w:rPr>
            <w:rStyle w:val="a5"/>
            <w:noProof/>
          </w:rPr>
          <w:t>Title: Gait &amp; Posture</w:t>
        </w:r>
        <w:r>
          <w:rPr>
            <w:noProof/>
            <w:webHidden/>
          </w:rPr>
          <w:tab/>
        </w:r>
        <w:r>
          <w:rPr>
            <w:noProof/>
            <w:webHidden/>
          </w:rPr>
          <w:fldChar w:fldCharType="begin"/>
        </w:r>
        <w:r>
          <w:rPr>
            <w:noProof/>
            <w:webHidden/>
          </w:rPr>
          <w:instrText xml:space="preserve"> PAGEREF _Toc317160892 \h </w:instrText>
        </w:r>
        <w:r>
          <w:rPr>
            <w:noProof/>
            <w:webHidden/>
          </w:rPr>
        </w:r>
        <w:r>
          <w:rPr>
            <w:noProof/>
            <w:webHidden/>
          </w:rPr>
          <w:fldChar w:fldCharType="separate"/>
        </w:r>
        <w:r>
          <w:rPr>
            <w:noProof/>
            <w:webHidden/>
          </w:rPr>
          <w:t>245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3" w:history="1">
        <w:r w:rsidRPr="00B80388">
          <w:rPr>
            <w:rStyle w:val="a5"/>
            <w:noProof/>
          </w:rPr>
          <w:t>Title: Games and Economic Behavior</w:t>
        </w:r>
        <w:r>
          <w:rPr>
            <w:noProof/>
            <w:webHidden/>
          </w:rPr>
          <w:tab/>
        </w:r>
        <w:r>
          <w:rPr>
            <w:noProof/>
            <w:webHidden/>
          </w:rPr>
          <w:fldChar w:fldCharType="begin"/>
        </w:r>
        <w:r>
          <w:rPr>
            <w:noProof/>
            <w:webHidden/>
          </w:rPr>
          <w:instrText xml:space="preserve"> PAGEREF _Toc317160893 \h </w:instrText>
        </w:r>
        <w:r>
          <w:rPr>
            <w:noProof/>
            <w:webHidden/>
          </w:rPr>
        </w:r>
        <w:r>
          <w:rPr>
            <w:noProof/>
            <w:webHidden/>
          </w:rPr>
          <w:fldChar w:fldCharType="separate"/>
        </w:r>
        <w:r>
          <w:rPr>
            <w:noProof/>
            <w:webHidden/>
          </w:rPr>
          <w:t>247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4" w:history="1">
        <w:r w:rsidRPr="00B80388">
          <w:rPr>
            <w:rStyle w:val="a5"/>
            <w:noProof/>
          </w:rPr>
          <w:t>Title: Gas Adsorption Equilibria: Experimental Methods and Adsorptive Isotherms</w:t>
        </w:r>
        <w:r>
          <w:rPr>
            <w:noProof/>
            <w:webHidden/>
          </w:rPr>
          <w:tab/>
        </w:r>
        <w:r>
          <w:rPr>
            <w:noProof/>
            <w:webHidden/>
          </w:rPr>
          <w:fldChar w:fldCharType="begin"/>
        </w:r>
        <w:r>
          <w:rPr>
            <w:noProof/>
            <w:webHidden/>
          </w:rPr>
          <w:instrText xml:space="preserve"> PAGEREF _Toc317160894 \h </w:instrText>
        </w:r>
        <w:r>
          <w:rPr>
            <w:noProof/>
            <w:webHidden/>
          </w:rPr>
        </w:r>
        <w:r>
          <w:rPr>
            <w:noProof/>
            <w:webHidden/>
          </w:rPr>
          <w:fldChar w:fldCharType="separate"/>
        </w:r>
        <w:r>
          <w:rPr>
            <w:noProof/>
            <w:webHidden/>
          </w:rPr>
          <w:t>248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5" w:history="1">
        <w:r w:rsidRPr="00B80388">
          <w:rPr>
            <w:rStyle w:val="a5"/>
            <w:noProof/>
          </w:rPr>
          <w:t>Title: Gas Separation &amp; Purification</w:t>
        </w:r>
        <w:r>
          <w:rPr>
            <w:noProof/>
            <w:webHidden/>
          </w:rPr>
          <w:tab/>
        </w:r>
        <w:r>
          <w:rPr>
            <w:noProof/>
            <w:webHidden/>
          </w:rPr>
          <w:fldChar w:fldCharType="begin"/>
        </w:r>
        <w:r>
          <w:rPr>
            <w:noProof/>
            <w:webHidden/>
          </w:rPr>
          <w:instrText xml:space="preserve"> PAGEREF _Toc317160895 \h </w:instrText>
        </w:r>
        <w:r>
          <w:rPr>
            <w:noProof/>
            <w:webHidden/>
          </w:rPr>
        </w:r>
        <w:r>
          <w:rPr>
            <w:noProof/>
            <w:webHidden/>
          </w:rPr>
          <w:fldChar w:fldCharType="separate"/>
        </w:r>
        <w:r>
          <w:rPr>
            <w:noProof/>
            <w:webHidden/>
          </w:rPr>
          <w:t>249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6" w:history="1">
        <w:r w:rsidRPr="00B80388">
          <w:rPr>
            <w:rStyle w:val="a5"/>
            <w:noProof/>
          </w:rPr>
          <w:t>Title: Gastroenterologia y Hepatologia</w:t>
        </w:r>
        <w:r>
          <w:rPr>
            <w:noProof/>
            <w:webHidden/>
          </w:rPr>
          <w:tab/>
        </w:r>
        <w:r>
          <w:rPr>
            <w:noProof/>
            <w:webHidden/>
          </w:rPr>
          <w:fldChar w:fldCharType="begin"/>
        </w:r>
        <w:r>
          <w:rPr>
            <w:noProof/>
            <w:webHidden/>
          </w:rPr>
          <w:instrText xml:space="preserve"> PAGEREF _Toc317160896 \h </w:instrText>
        </w:r>
        <w:r>
          <w:rPr>
            <w:noProof/>
            <w:webHidden/>
          </w:rPr>
        </w:r>
        <w:r>
          <w:rPr>
            <w:noProof/>
            <w:webHidden/>
          </w:rPr>
          <w:fldChar w:fldCharType="separate"/>
        </w:r>
        <w:r>
          <w:rPr>
            <w:noProof/>
            <w:webHidden/>
          </w:rPr>
          <w:t>253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7" w:history="1">
        <w:r w:rsidRPr="00B80388">
          <w:rPr>
            <w:rStyle w:val="a5"/>
            <w:noProof/>
          </w:rPr>
          <w:t>Title: Gastroenterologie Clinique et Biologique</w:t>
        </w:r>
        <w:r>
          <w:rPr>
            <w:noProof/>
            <w:webHidden/>
          </w:rPr>
          <w:tab/>
        </w:r>
        <w:r>
          <w:rPr>
            <w:noProof/>
            <w:webHidden/>
          </w:rPr>
          <w:fldChar w:fldCharType="begin"/>
        </w:r>
        <w:r>
          <w:rPr>
            <w:noProof/>
            <w:webHidden/>
          </w:rPr>
          <w:instrText xml:space="preserve"> PAGEREF _Toc317160897 \h </w:instrText>
        </w:r>
        <w:r>
          <w:rPr>
            <w:noProof/>
            <w:webHidden/>
          </w:rPr>
        </w:r>
        <w:r>
          <w:rPr>
            <w:noProof/>
            <w:webHidden/>
          </w:rPr>
          <w:fldChar w:fldCharType="separate"/>
        </w:r>
        <w:r>
          <w:rPr>
            <w:noProof/>
            <w:webHidden/>
          </w:rPr>
          <w:t>254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8" w:history="1">
        <w:r w:rsidRPr="00B80388">
          <w:rPr>
            <w:rStyle w:val="a5"/>
            <w:noProof/>
          </w:rPr>
          <w:t>Title: Gastroenterology</w:t>
        </w:r>
        <w:r>
          <w:rPr>
            <w:noProof/>
            <w:webHidden/>
          </w:rPr>
          <w:tab/>
        </w:r>
        <w:r>
          <w:rPr>
            <w:noProof/>
            <w:webHidden/>
          </w:rPr>
          <w:fldChar w:fldCharType="begin"/>
        </w:r>
        <w:r>
          <w:rPr>
            <w:noProof/>
            <w:webHidden/>
          </w:rPr>
          <w:instrText xml:space="preserve"> PAGEREF _Toc317160898 \h </w:instrText>
        </w:r>
        <w:r>
          <w:rPr>
            <w:noProof/>
            <w:webHidden/>
          </w:rPr>
        </w:r>
        <w:r>
          <w:rPr>
            <w:noProof/>
            <w:webHidden/>
          </w:rPr>
          <w:fldChar w:fldCharType="separate"/>
        </w:r>
        <w:r>
          <w:rPr>
            <w:noProof/>
            <w:webHidden/>
          </w:rPr>
          <w:t>255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899" w:history="1">
        <w:r w:rsidRPr="00B80388">
          <w:rPr>
            <w:rStyle w:val="a5"/>
            <w:noProof/>
          </w:rPr>
          <w:t xml:space="preserve">Title: </w:t>
        </w:r>
        <w:r w:rsidRPr="00B80388">
          <w:rPr>
            <w:rStyle w:val="a5"/>
            <w:iCs/>
            <w:noProof/>
          </w:rPr>
          <w:t>Gastrointestinal Endoscopy</w:t>
        </w:r>
        <w:r>
          <w:rPr>
            <w:noProof/>
            <w:webHidden/>
          </w:rPr>
          <w:tab/>
        </w:r>
        <w:r>
          <w:rPr>
            <w:noProof/>
            <w:webHidden/>
          </w:rPr>
          <w:fldChar w:fldCharType="begin"/>
        </w:r>
        <w:r>
          <w:rPr>
            <w:noProof/>
            <w:webHidden/>
          </w:rPr>
          <w:instrText xml:space="preserve"> PAGEREF _Toc317160899 \h </w:instrText>
        </w:r>
        <w:r>
          <w:rPr>
            <w:noProof/>
            <w:webHidden/>
          </w:rPr>
        </w:r>
        <w:r>
          <w:rPr>
            <w:noProof/>
            <w:webHidden/>
          </w:rPr>
          <w:fldChar w:fldCharType="separate"/>
        </w:r>
        <w:r>
          <w:rPr>
            <w:noProof/>
            <w:webHidden/>
          </w:rPr>
          <w:t>259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0" w:history="1">
        <w:r w:rsidRPr="00B80388">
          <w:rPr>
            <w:rStyle w:val="a5"/>
            <w:noProof/>
          </w:rPr>
          <w:t>Title: Gazette Medicale de France</w:t>
        </w:r>
        <w:r>
          <w:rPr>
            <w:noProof/>
            <w:webHidden/>
          </w:rPr>
          <w:tab/>
        </w:r>
        <w:r>
          <w:rPr>
            <w:noProof/>
            <w:webHidden/>
          </w:rPr>
          <w:fldChar w:fldCharType="begin"/>
        </w:r>
        <w:r>
          <w:rPr>
            <w:noProof/>
            <w:webHidden/>
          </w:rPr>
          <w:instrText xml:space="preserve"> PAGEREF _Toc317160900 \h </w:instrText>
        </w:r>
        <w:r>
          <w:rPr>
            <w:noProof/>
            <w:webHidden/>
          </w:rPr>
        </w:r>
        <w:r>
          <w:rPr>
            <w:noProof/>
            <w:webHidden/>
          </w:rPr>
          <w:fldChar w:fldCharType="separate"/>
        </w:r>
        <w:r>
          <w:rPr>
            <w:noProof/>
            <w:webHidden/>
          </w:rPr>
          <w:t>261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1" w:history="1">
        <w:r w:rsidRPr="00B80388">
          <w:rPr>
            <w:rStyle w:val="a5"/>
            <w:noProof/>
          </w:rPr>
          <w:t>Title: Geburtshilfe und Frauenheilkunde</w:t>
        </w:r>
        <w:r>
          <w:rPr>
            <w:noProof/>
            <w:webHidden/>
          </w:rPr>
          <w:tab/>
        </w:r>
        <w:r>
          <w:rPr>
            <w:noProof/>
            <w:webHidden/>
          </w:rPr>
          <w:fldChar w:fldCharType="begin"/>
        </w:r>
        <w:r>
          <w:rPr>
            <w:noProof/>
            <w:webHidden/>
          </w:rPr>
          <w:instrText xml:space="preserve"> PAGEREF _Toc317160901 \h </w:instrText>
        </w:r>
        <w:r>
          <w:rPr>
            <w:noProof/>
            <w:webHidden/>
          </w:rPr>
        </w:r>
        <w:r>
          <w:rPr>
            <w:noProof/>
            <w:webHidden/>
          </w:rPr>
          <w:fldChar w:fldCharType="separate"/>
        </w:r>
        <w:r>
          <w:rPr>
            <w:noProof/>
            <w:webHidden/>
          </w:rPr>
          <w:t>262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2" w:history="1">
        <w:r w:rsidRPr="00B80388">
          <w:rPr>
            <w:rStyle w:val="a5"/>
            <w:noProof/>
            <w:lang w:val="de-DE"/>
          </w:rPr>
          <w:t>Title: Gefahrstoffe Reinhaltung der Luft</w:t>
        </w:r>
        <w:r>
          <w:rPr>
            <w:noProof/>
            <w:webHidden/>
          </w:rPr>
          <w:tab/>
        </w:r>
        <w:r>
          <w:rPr>
            <w:noProof/>
            <w:webHidden/>
          </w:rPr>
          <w:fldChar w:fldCharType="begin"/>
        </w:r>
        <w:r>
          <w:rPr>
            <w:noProof/>
            <w:webHidden/>
          </w:rPr>
          <w:instrText xml:space="preserve"> PAGEREF _Toc317160902 \h </w:instrText>
        </w:r>
        <w:r>
          <w:rPr>
            <w:noProof/>
            <w:webHidden/>
          </w:rPr>
        </w:r>
        <w:r>
          <w:rPr>
            <w:noProof/>
            <w:webHidden/>
          </w:rPr>
          <w:fldChar w:fldCharType="separate"/>
        </w:r>
        <w:r>
          <w:rPr>
            <w:noProof/>
            <w:webHidden/>
          </w:rPr>
          <w:t>265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3" w:history="1">
        <w:r w:rsidRPr="00B80388">
          <w:rPr>
            <w:rStyle w:val="a5"/>
            <w:noProof/>
          </w:rPr>
          <w:t xml:space="preserve">Title: </w:t>
        </w:r>
        <w:r w:rsidRPr="00B80388">
          <w:rPr>
            <w:rStyle w:val="a5"/>
            <w:iCs/>
            <w:noProof/>
          </w:rPr>
          <w:t>A general advantage theory of bibliometric and other cumulative advantage processes</w:t>
        </w:r>
        <w:r>
          <w:rPr>
            <w:noProof/>
            <w:webHidden/>
          </w:rPr>
          <w:tab/>
        </w:r>
        <w:r>
          <w:rPr>
            <w:noProof/>
            <w:webHidden/>
          </w:rPr>
          <w:fldChar w:fldCharType="begin"/>
        </w:r>
        <w:r>
          <w:rPr>
            <w:noProof/>
            <w:webHidden/>
          </w:rPr>
          <w:instrText xml:space="preserve"> PAGEREF _Toc317160903 \h </w:instrText>
        </w:r>
        <w:r>
          <w:rPr>
            <w:noProof/>
            <w:webHidden/>
          </w:rPr>
        </w:r>
        <w:r>
          <w:rPr>
            <w:noProof/>
            <w:webHidden/>
          </w:rPr>
          <w:fldChar w:fldCharType="separate"/>
        </w:r>
        <w:r>
          <w:rPr>
            <w:noProof/>
            <w:webHidden/>
          </w:rPr>
          <w:t>267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4" w:history="1">
        <w:r w:rsidRPr="00B80388">
          <w:rPr>
            <w:rStyle w:val="a5"/>
            <w:noProof/>
          </w:rPr>
          <w:t xml:space="preserve">Title: </w:t>
        </w:r>
        <w:r w:rsidRPr="00B80388">
          <w:rPr>
            <w:rStyle w:val="a5"/>
            <w:iCs/>
            <w:noProof/>
          </w:rPr>
          <w:t>Gender Medicine</w:t>
        </w:r>
        <w:r>
          <w:rPr>
            <w:noProof/>
            <w:webHidden/>
          </w:rPr>
          <w:tab/>
        </w:r>
        <w:r>
          <w:rPr>
            <w:noProof/>
            <w:webHidden/>
          </w:rPr>
          <w:fldChar w:fldCharType="begin"/>
        </w:r>
        <w:r>
          <w:rPr>
            <w:noProof/>
            <w:webHidden/>
          </w:rPr>
          <w:instrText xml:space="preserve"> PAGEREF _Toc317160904 \h </w:instrText>
        </w:r>
        <w:r>
          <w:rPr>
            <w:noProof/>
            <w:webHidden/>
          </w:rPr>
        </w:r>
        <w:r>
          <w:rPr>
            <w:noProof/>
            <w:webHidden/>
          </w:rPr>
          <w:fldChar w:fldCharType="separate"/>
        </w:r>
        <w:r>
          <w:rPr>
            <w:noProof/>
            <w:webHidden/>
          </w:rPr>
          <w:t>268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5" w:history="1">
        <w:r w:rsidRPr="00B80388">
          <w:rPr>
            <w:rStyle w:val="a5"/>
            <w:noProof/>
          </w:rPr>
          <w:t>Title: General and Comparative Endocrinology</w:t>
        </w:r>
        <w:r>
          <w:rPr>
            <w:noProof/>
            <w:webHidden/>
          </w:rPr>
          <w:tab/>
        </w:r>
        <w:r>
          <w:rPr>
            <w:noProof/>
            <w:webHidden/>
          </w:rPr>
          <w:fldChar w:fldCharType="begin"/>
        </w:r>
        <w:r>
          <w:rPr>
            <w:noProof/>
            <w:webHidden/>
          </w:rPr>
          <w:instrText xml:space="preserve"> PAGEREF _Toc317160905 \h </w:instrText>
        </w:r>
        <w:r>
          <w:rPr>
            <w:noProof/>
            <w:webHidden/>
          </w:rPr>
        </w:r>
        <w:r>
          <w:rPr>
            <w:noProof/>
            <w:webHidden/>
          </w:rPr>
          <w:fldChar w:fldCharType="separate"/>
        </w:r>
        <w:r>
          <w:rPr>
            <w:noProof/>
            <w:webHidden/>
          </w:rPr>
          <w:t>270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6" w:history="1">
        <w:r w:rsidRPr="00B80388">
          <w:rPr>
            <w:rStyle w:val="a5"/>
            <w:noProof/>
          </w:rPr>
          <w:t>Title: General Hospital Psychiatry</w:t>
        </w:r>
        <w:r>
          <w:rPr>
            <w:noProof/>
            <w:webHidden/>
          </w:rPr>
          <w:tab/>
        </w:r>
        <w:r>
          <w:rPr>
            <w:noProof/>
            <w:webHidden/>
          </w:rPr>
          <w:fldChar w:fldCharType="begin"/>
        </w:r>
        <w:r>
          <w:rPr>
            <w:noProof/>
            <w:webHidden/>
          </w:rPr>
          <w:instrText xml:space="preserve"> PAGEREF _Toc317160906 \h </w:instrText>
        </w:r>
        <w:r>
          <w:rPr>
            <w:noProof/>
            <w:webHidden/>
          </w:rPr>
        </w:r>
        <w:r>
          <w:rPr>
            <w:noProof/>
            <w:webHidden/>
          </w:rPr>
          <w:fldChar w:fldCharType="separate"/>
        </w:r>
        <w:r>
          <w:rPr>
            <w:noProof/>
            <w:webHidden/>
          </w:rPr>
          <w:t>271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7" w:history="1">
        <w:r w:rsidRPr="00B80388">
          <w:rPr>
            <w:rStyle w:val="a5"/>
            <w:noProof/>
          </w:rPr>
          <w:t>Title: Genes Chromosomes &amp; Cancer</w:t>
        </w:r>
        <w:r>
          <w:rPr>
            <w:noProof/>
            <w:webHidden/>
          </w:rPr>
          <w:tab/>
        </w:r>
        <w:r>
          <w:rPr>
            <w:noProof/>
            <w:webHidden/>
          </w:rPr>
          <w:fldChar w:fldCharType="begin"/>
        </w:r>
        <w:r>
          <w:rPr>
            <w:noProof/>
            <w:webHidden/>
          </w:rPr>
          <w:instrText xml:space="preserve"> PAGEREF _Toc317160907 \h </w:instrText>
        </w:r>
        <w:r>
          <w:rPr>
            <w:noProof/>
            <w:webHidden/>
          </w:rPr>
        </w:r>
        <w:r>
          <w:rPr>
            <w:noProof/>
            <w:webHidden/>
          </w:rPr>
          <w:fldChar w:fldCharType="separate"/>
        </w:r>
        <w:r>
          <w:rPr>
            <w:noProof/>
            <w:webHidden/>
          </w:rPr>
          <w:t>273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8" w:history="1">
        <w:r w:rsidRPr="00B80388">
          <w:rPr>
            <w:rStyle w:val="a5"/>
            <w:noProof/>
          </w:rPr>
          <w:t xml:space="preserve">Title: </w:t>
        </w:r>
        <w:r w:rsidRPr="00B80388">
          <w:rPr>
            <w:rStyle w:val="a5"/>
            <w:iCs/>
            <w:noProof/>
          </w:rPr>
          <w:t>Genetic Counseling</w:t>
        </w:r>
        <w:r>
          <w:rPr>
            <w:noProof/>
            <w:webHidden/>
          </w:rPr>
          <w:tab/>
        </w:r>
        <w:r>
          <w:rPr>
            <w:noProof/>
            <w:webHidden/>
          </w:rPr>
          <w:fldChar w:fldCharType="begin"/>
        </w:r>
        <w:r>
          <w:rPr>
            <w:noProof/>
            <w:webHidden/>
          </w:rPr>
          <w:instrText xml:space="preserve"> PAGEREF _Toc317160908 \h </w:instrText>
        </w:r>
        <w:r>
          <w:rPr>
            <w:noProof/>
            <w:webHidden/>
          </w:rPr>
        </w:r>
        <w:r>
          <w:rPr>
            <w:noProof/>
            <w:webHidden/>
          </w:rPr>
          <w:fldChar w:fldCharType="separate"/>
        </w:r>
        <w:r>
          <w:rPr>
            <w:noProof/>
            <w:webHidden/>
          </w:rPr>
          <w:t>274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09" w:history="1">
        <w:r w:rsidRPr="00B80388">
          <w:rPr>
            <w:rStyle w:val="a5"/>
            <w:noProof/>
          </w:rPr>
          <w:t>Title: Genetic Engineering News</w:t>
        </w:r>
        <w:r>
          <w:rPr>
            <w:noProof/>
            <w:webHidden/>
          </w:rPr>
          <w:tab/>
        </w:r>
        <w:r>
          <w:rPr>
            <w:noProof/>
            <w:webHidden/>
          </w:rPr>
          <w:fldChar w:fldCharType="begin"/>
        </w:r>
        <w:r>
          <w:rPr>
            <w:noProof/>
            <w:webHidden/>
          </w:rPr>
          <w:instrText xml:space="preserve"> PAGEREF _Toc317160909 \h </w:instrText>
        </w:r>
        <w:r>
          <w:rPr>
            <w:noProof/>
            <w:webHidden/>
          </w:rPr>
        </w:r>
        <w:r>
          <w:rPr>
            <w:noProof/>
            <w:webHidden/>
          </w:rPr>
          <w:fldChar w:fldCharType="separate"/>
        </w:r>
        <w:r>
          <w:rPr>
            <w:noProof/>
            <w:webHidden/>
          </w:rPr>
          <w:t>276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0" w:history="1">
        <w:r w:rsidRPr="00B80388">
          <w:rPr>
            <w:rStyle w:val="a5"/>
            <w:noProof/>
          </w:rPr>
          <w:t xml:space="preserve">Title: </w:t>
        </w:r>
        <w:r w:rsidRPr="00B80388">
          <w:rPr>
            <w:rStyle w:val="a5"/>
            <w:iCs/>
            <w:noProof/>
          </w:rPr>
          <w:t>Genetics in Medicine</w:t>
        </w:r>
        <w:r>
          <w:rPr>
            <w:noProof/>
            <w:webHidden/>
          </w:rPr>
          <w:tab/>
        </w:r>
        <w:r>
          <w:rPr>
            <w:noProof/>
            <w:webHidden/>
          </w:rPr>
          <w:fldChar w:fldCharType="begin"/>
        </w:r>
        <w:r>
          <w:rPr>
            <w:noProof/>
            <w:webHidden/>
          </w:rPr>
          <w:instrText xml:space="preserve"> PAGEREF _Toc317160910 \h </w:instrText>
        </w:r>
        <w:r>
          <w:rPr>
            <w:noProof/>
            <w:webHidden/>
          </w:rPr>
        </w:r>
        <w:r>
          <w:rPr>
            <w:noProof/>
            <w:webHidden/>
          </w:rPr>
          <w:fldChar w:fldCharType="separate"/>
        </w:r>
        <w:r>
          <w:rPr>
            <w:noProof/>
            <w:webHidden/>
          </w:rPr>
          <w:t>277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1" w:history="1">
        <w:r w:rsidRPr="00B80388">
          <w:rPr>
            <w:rStyle w:val="a5"/>
            <w:noProof/>
          </w:rPr>
          <w:t>Title: Genetics and Molecular Research</w:t>
        </w:r>
        <w:r>
          <w:rPr>
            <w:noProof/>
            <w:webHidden/>
          </w:rPr>
          <w:tab/>
        </w:r>
        <w:r>
          <w:rPr>
            <w:noProof/>
            <w:webHidden/>
          </w:rPr>
          <w:fldChar w:fldCharType="begin"/>
        </w:r>
        <w:r>
          <w:rPr>
            <w:noProof/>
            <w:webHidden/>
          </w:rPr>
          <w:instrText xml:space="preserve"> PAGEREF _Toc317160911 \h </w:instrText>
        </w:r>
        <w:r>
          <w:rPr>
            <w:noProof/>
            <w:webHidden/>
          </w:rPr>
        </w:r>
        <w:r>
          <w:rPr>
            <w:noProof/>
            <w:webHidden/>
          </w:rPr>
          <w:fldChar w:fldCharType="separate"/>
        </w:r>
        <w:r>
          <w:rPr>
            <w:noProof/>
            <w:webHidden/>
          </w:rPr>
          <w:t>279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2" w:history="1">
        <w:r w:rsidRPr="00B80388">
          <w:rPr>
            <w:rStyle w:val="a5"/>
            <w:noProof/>
          </w:rPr>
          <w:t>Title: Genome Biology</w:t>
        </w:r>
        <w:r>
          <w:rPr>
            <w:noProof/>
            <w:webHidden/>
          </w:rPr>
          <w:tab/>
        </w:r>
        <w:r>
          <w:rPr>
            <w:noProof/>
            <w:webHidden/>
          </w:rPr>
          <w:fldChar w:fldCharType="begin"/>
        </w:r>
        <w:r>
          <w:rPr>
            <w:noProof/>
            <w:webHidden/>
          </w:rPr>
          <w:instrText xml:space="preserve"> PAGEREF _Toc317160912 \h </w:instrText>
        </w:r>
        <w:r>
          <w:rPr>
            <w:noProof/>
            <w:webHidden/>
          </w:rPr>
        </w:r>
        <w:r>
          <w:rPr>
            <w:noProof/>
            <w:webHidden/>
          </w:rPr>
          <w:fldChar w:fldCharType="separate"/>
        </w:r>
        <w:r>
          <w:rPr>
            <w:noProof/>
            <w:webHidden/>
          </w:rPr>
          <w:t>280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3" w:history="1">
        <w:r w:rsidRPr="00B80388">
          <w:rPr>
            <w:rStyle w:val="a5"/>
            <w:noProof/>
          </w:rPr>
          <w:t>Title: Geochimica et Cosmochimica Acta</w:t>
        </w:r>
        <w:r>
          <w:rPr>
            <w:noProof/>
            <w:webHidden/>
          </w:rPr>
          <w:tab/>
        </w:r>
        <w:r>
          <w:rPr>
            <w:noProof/>
            <w:webHidden/>
          </w:rPr>
          <w:fldChar w:fldCharType="begin"/>
        </w:r>
        <w:r>
          <w:rPr>
            <w:noProof/>
            <w:webHidden/>
          </w:rPr>
          <w:instrText xml:space="preserve"> PAGEREF _Toc317160913 \h </w:instrText>
        </w:r>
        <w:r>
          <w:rPr>
            <w:noProof/>
            <w:webHidden/>
          </w:rPr>
        </w:r>
        <w:r>
          <w:rPr>
            <w:noProof/>
            <w:webHidden/>
          </w:rPr>
          <w:fldChar w:fldCharType="separate"/>
        </w:r>
        <w:r>
          <w:rPr>
            <w:noProof/>
            <w:webHidden/>
          </w:rPr>
          <w:t>281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4" w:history="1">
        <w:r w:rsidRPr="00B80388">
          <w:rPr>
            <w:rStyle w:val="a5"/>
            <w:noProof/>
          </w:rPr>
          <w:t xml:space="preserve">Title: </w:t>
        </w:r>
        <w:r w:rsidRPr="00B80388">
          <w:rPr>
            <w:rStyle w:val="a5"/>
            <w:iCs/>
            <w:noProof/>
          </w:rPr>
          <w:t>Geochemistry: Exploration, Environment, Analysis</w:t>
        </w:r>
        <w:r>
          <w:rPr>
            <w:noProof/>
            <w:webHidden/>
          </w:rPr>
          <w:tab/>
        </w:r>
        <w:r>
          <w:rPr>
            <w:noProof/>
            <w:webHidden/>
          </w:rPr>
          <w:fldChar w:fldCharType="begin"/>
        </w:r>
        <w:r>
          <w:rPr>
            <w:noProof/>
            <w:webHidden/>
          </w:rPr>
          <w:instrText xml:space="preserve"> PAGEREF _Toc317160914 \h </w:instrText>
        </w:r>
        <w:r>
          <w:rPr>
            <w:noProof/>
            <w:webHidden/>
          </w:rPr>
        </w:r>
        <w:r>
          <w:rPr>
            <w:noProof/>
            <w:webHidden/>
          </w:rPr>
          <w:fldChar w:fldCharType="separate"/>
        </w:r>
        <w:r>
          <w:rPr>
            <w:noProof/>
            <w:webHidden/>
          </w:rPr>
          <w:t>314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5" w:history="1">
        <w:r w:rsidRPr="00B80388">
          <w:rPr>
            <w:rStyle w:val="a5"/>
            <w:noProof/>
          </w:rPr>
          <w:t>Title: Geoderma</w:t>
        </w:r>
        <w:r>
          <w:rPr>
            <w:noProof/>
            <w:webHidden/>
          </w:rPr>
          <w:tab/>
        </w:r>
        <w:r>
          <w:rPr>
            <w:noProof/>
            <w:webHidden/>
          </w:rPr>
          <w:fldChar w:fldCharType="begin"/>
        </w:r>
        <w:r>
          <w:rPr>
            <w:noProof/>
            <w:webHidden/>
          </w:rPr>
          <w:instrText xml:space="preserve"> PAGEREF _Toc317160915 \h </w:instrText>
        </w:r>
        <w:r>
          <w:rPr>
            <w:noProof/>
            <w:webHidden/>
          </w:rPr>
        </w:r>
        <w:r>
          <w:rPr>
            <w:noProof/>
            <w:webHidden/>
          </w:rPr>
          <w:fldChar w:fldCharType="separate"/>
        </w:r>
        <w:r>
          <w:rPr>
            <w:noProof/>
            <w:webHidden/>
          </w:rPr>
          <w:t>315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6" w:history="1">
        <w:r w:rsidRPr="00B80388">
          <w:rPr>
            <w:rStyle w:val="a5"/>
            <w:noProof/>
          </w:rPr>
          <w:t xml:space="preserve">Title: </w:t>
        </w:r>
        <w:r w:rsidRPr="00B80388">
          <w:rPr>
            <w:rStyle w:val="a5"/>
            <w:iCs/>
            <w:noProof/>
          </w:rPr>
          <w:t>Geofizika</w:t>
        </w:r>
        <w:r>
          <w:rPr>
            <w:noProof/>
            <w:webHidden/>
          </w:rPr>
          <w:tab/>
        </w:r>
        <w:r>
          <w:rPr>
            <w:noProof/>
            <w:webHidden/>
          </w:rPr>
          <w:fldChar w:fldCharType="begin"/>
        </w:r>
        <w:r>
          <w:rPr>
            <w:noProof/>
            <w:webHidden/>
          </w:rPr>
          <w:instrText xml:space="preserve"> PAGEREF _Toc317160916 \h </w:instrText>
        </w:r>
        <w:r>
          <w:rPr>
            <w:noProof/>
            <w:webHidden/>
          </w:rPr>
        </w:r>
        <w:r>
          <w:rPr>
            <w:noProof/>
            <w:webHidden/>
          </w:rPr>
          <w:fldChar w:fldCharType="separate"/>
        </w:r>
        <w:r>
          <w:rPr>
            <w:noProof/>
            <w:webHidden/>
          </w:rPr>
          <w:t>331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7" w:history="1">
        <w:r w:rsidRPr="00B80388">
          <w:rPr>
            <w:rStyle w:val="a5"/>
            <w:noProof/>
          </w:rPr>
          <w:t>Title: Geographical Analysis</w:t>
        </w:r>
        <w:r>
          <w:rPr>
            <w:noProof/>
            <w:webHidden/>
          </w:rPr>
          <w:tab/>
        </w:r>
        <w:r>
          <w:rPr>
            <w:noProof/>
            <w:webHidden/>
          </w:rPr>
          <w:fldChar w:fldCharType="begin"/>
        </w:r>
        <w:r>
          <w:rPr>
            <w:noProof/>
            <w:webHidden/>
          </w:rPr>
          <w:instrText xml:space="preserve"> PAGEREF _Toc317160917 \h </w:instrText>
        </w:r>
        <w:r>
          <w:rPr>
            <w:noProof/>
            <w:webHidden/>
          </w:rPr>
        </w:r>
        <w:r>
          <w:rPr>
            <w:noProof/>
            <w:webHidden/>
          </w:rPr>
          <w:fldChar w:fldCharType="separate"/>
        </w:r>
        <w:r>
          <w:rPr>
            <w:noProof/>
            <w:webHidden/>
          </w:rPr>
          <w:t>332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8" w:history="1">
        <w:r w:rsidRPr="00B80388">
          <w:rPr>
            <w:rStyle w:val="a5"/>
            <w:noProof/>
          </w:rPr>
          <w:t>Title: Geographical Analysis</w:t>
        </w:r>
        <w:r>
          <w:rPr>
            <w:noProof/>
            <w:webHidden/>
          </w:rPr>
          <w:tab/>
        </w:r>
        <w:r>
          <w:rPr>
            <w:noProof/>
            <w:webHidden/>
          </w:rPr>
          <w:fldChar w:fldCharType="begin"/>
        </w:r>
        <w:r>
          <w:rPr>
            <w:noProof/>
            <w:webHidden/>
          </w:rPr>
          <w:instrText xml:space="preserve"> PAGEREF _Toc317160918 \h </w:instrText>
        </w:r>
        <w:r>
          <w:rPr>
            <w:noProof/>
            <w:webHidden/>
          </w:rPr>
        </w:r>
        <w:r>
          <w:rPr>
            <w:noProof/>
            <w:webHidden/>
          </w:rPr>
          <w:fldChar w:fldCharType="separate"/>
        </w:r>
        <w:r>
          <w:rPr>
            <w:noProof/>
            <w:webHidden/>
          </w:rPr>
          <w:t>334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19" w:history="1">
        <w:r w:rsidRPr="00B80388">
          <w:rPr>
            <w:rStyle w:val="a5"/>
            <w:noProof/>
          </w:rPr>
          <w:t>Title: Geographical Journal</w:t>
        </w:r>
        <w:r>
          <w:rPr>
            <w:noProof/>
            <w:webHidden/>
          </w:rPr>
          <w:tab/>
        </w:r>
        <w:r>
          <w:rPr>
            <w:noProof/>
            <w:webHidden/>
          </w:rPr>
          <w:fldChar w:fldCharType="begin"/>
        </w:r>
        <w:r>
          <w:rPr>
            <w:noProof/>
            <w:webHidden/>
          </w:rPr>
          <w:instrText xml:space="preserve"> PAGEREF _Toc317160919 \h </w:instrText>
        </w:r>
        <w:r>
          <w:rPr>
            <w:noProof/>
            <w:webHidden/>
          </w:rPr>
        </w:r>
        <w:r>
          <w:rPr>
            <w:noProof/>
            <w:webHidden/>
          </w:rPr>
          <w:fldChar w:fldCharType="separate"/>
        </w:r>
        <w:r>
          <w:rPr>
            <w:noProof/>
            <w:webHidden/>
          </w:rPr>
          <w:t>335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0" w:history="1">
        <w:r w:rsidRPr="00B80388">
          <w:rPr>
            <w:rStyle w:val="a5"/>
            <w:noProof/>
          </w:rPr>
          <w:t xml:space="preserve">Title: </w:t>
        </w:r>
        <w:r w:rsidRPr="00B80388">
          <w:rPr>
            <w:rStyle w:val="a5"/>
            <w:iCs/>
            <w:noProof/>
          </w:rPr>
          <w:t>Geographical Research</w:t>
        </w:r>
        <w:r>
          <w:rPr>
            <w:noProof/>
            <w:webHidden/>
          </w:rPr>
          <w:tab/>
        </w:r>
        <w:r>
          <w:rPr>
            <w:noProof/>
            <w:webHidden/>
          </w:rPr>
          <w:fldChar w:fldCharType="begin"/>
        </w:r>
        <w:r>
          <w:rPr>
            <w:noProof/>
            <w:webHidden/>
          </w:rPr>
          <w:instrText xml:space="preserve"> PAGEREF _Toc317160920 \h </w:instrText>
        </w:r>
        <w:r>
          <w:rPr>
            <w:noProof/>
            <w:webHidden/>
          </w:rPr>
        </w:r>
        <w:r>
          <w:rPr>
            <w:noProof/>
            <w:webHidden/>
          </w:rPr>
          <w:fldChar w:fldCharType="separate"/>
        </w:r>
        <w:r>
          <w:rPr>
            <w:noProof/>
            <w:webHidden/>
          </w:rPr>
          <w:t>337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1" w:history="1">
        <w:r w:rsidRPr="00B80388">
          <w:rPr>
            <w:rStyle w:val="a5"/>
            <w:noProof/>
          </w:rPr>
          <w:t>Title: Geographical Research</w:t>
        </w:r>
        <w:r>
          <w:rPr>
            <w:noProof/>
            <w:webHidden/>
          </w:rPr>
          <w:tab/>
        </w:r>
        <w:r>
          <w:rPr>
            <w:noProof/>
            <w:webHidden/>
          </w:rPr>
          <w:fldChar w:fldCharType="begin"/>
        </w:r>
        <w:r>
          <w:rPr>
            <w:noProof/>
            <w:webHidden/>
          </w:rPr>
          <w:instrText xml:space="preserve"> PAGEREF _Toc317160921 \h </w:instrText>
        </w:r>
        <w:r>
          <w:rPr>
            <w:noProof/>
            <w:webHidden/>
          </w:rPr>
        </w:r>
        <w:r>
          <w:rPr>
            <w:noProof/>
            <w:webHidden/>
          </w:rPr>
          <w:fldChar w:fldCharType="separate"/>
        </w:r>
        <w:r>
          <w:rPr>
            <w:noProof/>
            <w:webHidden/>
          </w:rPr>
          <w:t>339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2" w:history="1">
        <w:r w:rsidRPr="00B80388">
          <w:rPr>
            <w:rStyle w:val="a5"/>
            <w:noProof/>
          </w:rPr>
          <w:t>Title: Geography</w:t>
        </w:r>
        <w:r>
          <w:rPr>
            <w:noProof/>
            <w:webHidden/>
          </w:rPr>
          <w:tab/>
        </w:r>
        <w:r>
          <w:rPr>
            <w:noProof/>
            <w:webHidden/>
          </w:rPr>
          <w:fldChar w:fldCharType="begin"/>
        </w:r>
        <w:r>
          <w:rPr>
            <w:noProof/>
            <w:webHidden/>
          </w:rPr>
          <w:instrText xml:space="preserve"> PAGEREF _Toc317160922 \h </w:instrText>
        </w:r>
        <w:r>
          <w:rPr>
            <w:noProof/>
            <w:webHidden/>
          </w:rPr>
        </w:r>
        <w:r>
          <w:rPr>
            <w:noProof/>
            <w:webHidden/>
          </w:rPr>
          <w:fldChar w:fldCharType="separate"/>
        </w:r>
        <w:r>
          <w:rPr>
            <w:noProof/>
            <w:webHidden/>
          </w:rPr>
          <w:t>340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3" w:history="1">
        <w:r w:rsidRPr="00B80388">
          <w:rPr>
            <w:rStyle w:val="a5"/>
            <w:noProof/>
          </w:rPr>
          <w:t>Title: Geological Journal</w:t>
        </w:r>
        <w:r>
          <w:rPr>
            <w:noProof/>
            <w:webHidden/>
          </w:rPr>
          <w:tab/>
        </w:r>
        <w:r>
          <w:rPr>
            <w:noProof/>
            <w:webHidden/>
          </w:rPr>
          <w:fldChar w:fldCharType="begin"/>
        </w:r>
        <w:r>
          <w:rPr>
            <w:noProof/>
            <w:webHidden/>
          </w:rPr>
          <w:instrText xml:space="preserve"> PAGEREF _Toc317160923 \h </w:instrText>
        </w:r>
        <w:r>
          <w:rPr>
            <w:noProof/>
            <w:webHidden/>
          </w:rPr>
        </w:r>
        <w:r>
          <w:rPr>
            <w:noProof/>
            <w:webHidden/>
          </w:rPr>
          <w:fldChar w:fldCharType="separate"/>
        </w:r>
        <w:r>
          <w:rPr>
            <w:noProof/>
            <w:webHidden/>
          </w:rPr>
          <w:t>341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4" w:history="1">
        <w:r w:rsidRPr="00B80388">
          <w:rPr>
            <w:rStyle w:val="a5"/>
            <w:noProof/>
          </w:rPr>
          <w:t>Title: Geological Society of America Bulletin</w:t>
        </w:r>
        <w:r>
          <w:rPr>
            <w:noProof/>
            <w:webHidden/>
          </w:rPr>
          <w:tab/>
        </w:r>
        <w:r>
          <w:rPr>
            <w:noProof/>
            <w:webHidden/>
          </w:rPr>
          <w:fldChar w:fldCharType="begin"/>
        </w:r>
        <w:r>
          <w:rPr>
            <w:noProof/>
            <w:webHidden/>
          </w:rPr>
          <w:instrText xml:space="preserve"> PAGEREF _Toc317160924 \h </w:instrText>
        </w:r>
        <w:r>
          <w:rPr>
            <w:noProof/>
            <w:webHidden/>
          </w:rPr>
        </w:r>
        <w:r>
          <w:rPr>
            <w:noProof/>
            <w:webHidden/>
          </w:rPr>
          <w:fldChar w:fldCharType="separate"/>
        </w:r>
        <w:r>
          <w:rPr>
            <w:noProof/>
            <w:webHidden/>
          </w:rPr>
          <w:t>342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5" w:history="1">
        <w:r w:rsidRPr="00B80388">
          <w:rPr>
            <w:rStyle w:val="a5"/>
            <w:noProof/>
          </w:rPr>
          <w:t>Title: Geology</w:t>
        </w:r>
        <w:r>
          <w:rPr>
            <w:noProof/>
            <w:webHidden/>
          </w:rPr>
          <w:tab/>
        </w:r>
        <w:r>
          <w:rPr>
            <w:noProof/>
            <w:webHidden/>
          </w:rPr>
          <w:fldChar w:fldCharType="begin"/>
        </w:r>
        <w:r>
          <w:rPr>
            <w:noProof/>
            <w:webHidden/>
          </w:rPr>
          <w:instrText xml:space="preserve"> PAGEREF _Toc317160925 \h </w:instrText>
        </w:r>
        <w:r>
          <w:rPr>
            <w:noProof/>
            <w:webHidden/>
          </w:rPr>
        </w:r>
        <w:r>
          <w:rPr>
            <w:noProof/>
            <w:webHidden/>
          </w:rPr>
          <w:fldChar w:fldCharType="separate"/>
        </w:r>
        <w:r>
          <w:rPr>
            <w:noProof/>
            <w:webHidden/>
          </w:rPr>
          <w:t>344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6" w:history="1">
        <w:r w:rsidRPr="00B80388">
          <w:rPr>
            <w:rStyle w:val="a5"/>
            <w:noProof/>
          </w:rPr>
          <w:t>Title: Geomicrobiology Journal</w:t>
        </w:r>
        <w:r>
          <w:rPr>
            <w:noProof/>
            <w:webHidden/>
          </w:rPr>
          <w:tab/>
        </w:r>
        <w:r>
          <w:rPr>
            <w:noProof/>
            <w:webHidden/>
          </w:rPr>
          <w:fldChar w:fldCharType="begin"/>
        </w:r>
        <w:r>
          <w:rPr>
            <w:noProof/>
            <w:webHidden/>
          </w:rPr>
          <w:instrText xml:space="preserve"> PAGEREF _Toc317160926 \h </w:instrText>
        </w:r>
        <w:r>
          <w:rPr>
            <w:noProof/>
            <w:webHidden/>
          </w:rPr>
        </w:r>
        <w:r>
          <w:rPr>
            <w:noProof/>
            <w:webHidden/>
          </w:rPr>
          <w:fldChar w:fldCharType="separate"/>
        </w:r>
        <w:r>
          <w:rPr>
            <w:noProof/>
            <w:webHidden/>
          </w:rPr>
          <w:t>348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7" w:history="1">
        <w:r w:rsidRPr="00B80388">
          <w:rPr>
            <w:rStyle w:val="a5"/>
            <w:noProof/>
          </w:rPr>
          <w:t>Title: Geomorphology</w:t>
        </w:r>
        <w:r>
          <w:rPr>
            <w:noProof/>
            <w:webHidden/>
          </w:rPr>
          <w:tab/>
        </w:r>
        <w:r>
          <w:rPr>
            <w:noProof/>
            <w:webHidden/>
          </w:rPr>
          <w:fldChar w:fldCharType="begin"/>
        </w:r>
        <w:r>
          <w:rPr>
            <w:noProof/>
            <w:webHidden/>
          </w:rPr>
          <w:instrText xml:space="preserve"> PAGEREF _Toc317160927 \h </w:instrText>
        </w:r>
        <w:r>
          <w:rPr>
            <w:noProof/>
            <w:webHidden/>
          </w:rPr>
        </w:r>
        <w:r>
          <w:rPr>
            <w:noProof/>
            <w:webHidden/>
          </w:rPr>
          <w:fldChar w:fldCharType="separate"/>
        </w:r>
        <w:r>
          <w:rPr>
            <w:noProof/>
            <w:webHidden/>
          </w:rPr>
          <w:t>352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8" w:history="1">
        <w:r w:rsidRPr="00B80388">
          <w:rPr>
            <w:rStyle w:val="a5"/>
            <w:noProof/>
          </w:rPr>
          <w:t>Title: Geophysical Journal International</w:t>
        </w:r>
        <w:r>
          <w:rPr>
            <w:noProof/>
            <w:webHidden/>
          </w:rPr>
          <w:tab/>
        </w:r>
        <w:r>
          <w:rPr>
            <w:noProof/>
            <w:webHidden/>
          </w:rPr>
          <w:fldChar w:fldCharType="begin"/>
        </w:r>
        <w:r>
          <w:rPr>
            <w:noProof/>
            <w:webHidden/>
          </w:rPr>
          <w:instrText xml:space="preserve"> PAGEREF _Toc317160928 \h </w:instrText>
        </w:r>
        <w:r>
          <w:rPr>
            <w:noProof/>
            <w:webHidden/>
          </w:rPr>
        </w:r>
        <w:r>
          <w:rPr>
            <w:noProof/>
            <w:webHidden/>
          </w:rPr>
          <w:fldChar w:fldCharType="separate"/>
        </w:r>
        <w:r>
          <w:rPr>
            <w:noProof/>
            <w:webHidden/>
          </w:rPr>
          <w:t>354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29" w:history="1">
        <w:r w:rsidRPr="00B80388">
          <w:rPr>
            <w:rStyle w:val="a5"/>
            <w:noProof/>
          </w:rPr>
          <w:t>Title: Geophysical Research Letters</w:t>
        </w:r>
        <w:r>
          <w:rPr>
            <w:noProof/>
            <w:webHidden/>
          </w:rPr>
          <w:tab/>
        </w:r>
        <w:r>
          <w:rPr>
            <w:noProof/>
            <w:webHidden/>
          </w:rPr>
          <w:fldChar w:fldCharType="begin"/>
        </w:r>
        <w:r>
          <w:rPr>
            <w:noProof/>
            <w:webHidden/>
          </w:rPr>
          <w:instrText xml:space="preserve"> PAGEREF _Toc317160929 \h </w:instrText>
        </w:r>
        <w:r>
          <w:rPr>
            <w:noProof/>
            <w:webHidden/>
          </w:rPr>
        </w:r>
        <w:r>
          <w:rPr>
            <w:noProof/>
            <w:webHidden/>
          </w:rPr>
          <w:fldChar w:fldCharType="separate"/>
        </w:r>
        <w:r>
          <w:rPr>
            <w:noProof/>
            <w:webHidden/>
          </w:rPr>
          <w:t>357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0" w:history="1">
        <w:r w:rsidRPr="00B80388">
          <w:rPr>
            <w:rStyle w:val="a5"/>
            <w:noProof/>
          </w:rPr>
          <w:t xml:space="preserve">Title: </w:t>
        </w:r>
        <w:r w:rsidRPr="00B80388">
          <w:rPr>
            <w:rStyle w:val="a5"/>
            <w:iCs/>
            <w:noProof/>
          </w:rPr>
          <w:t>Geophysics</w:t>
        </w:r>
        <w:r>
          <w:rPr>
            <w:noProof/>
            <w:webHidden/>
          </w:rPr>
          <w:tab/>
        </w:r>
        <w:r>
          <w:rPr>
            <w:noProof/>
            <w:webHidden/>
          </w:rPr>
          <w:fldChar w:fldCharType="begin"/>
        </w:r>
        <w:r>
          <w:rPr>
            <w:noProof/>
            <w:webHidden/>
          </w:rPr>
          <w:instrText xml:space="preserve"> PAGEREF _Toc317160930 \h </w:instrText>
        </w:r>
        <w:r>
          <w:rPr>
            <w:noProof/>
            <w:webHidden/>
          </w:rPr>
        </w:r>
        <w:r>
          <w:rPr>
            <w:noProof/>
            <w:webHidden/>
          </w:rPr>
          <w:fldChar w:fldCharType="separate"/>
        </w:r>
        <w:r>
          <w:rPr>
            <w:noProof/>
            <w:webHidden/>
          </w:rPr>
          <w:t>367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1" w:history="1">
        <w:r w:rsidRPr="00B80388">
          <w:rPr>
            <w:rStyle w:val="a5"/>
            <w:noProof/>
          </w:rPr>
          <w:t>Title: Geosciences Journal</w:t>
        </w:r>
        <w:r>
          <w:rPr>
            <w:noProof/>
            <w:webHidden/>
          </w:rPr>
          <w:tab/>
        </w:r>
        <w:r>
          <w:rPr>
            <w:noProof/>
            <w:webHidden/>
          </w:rPr>
          <w:fldChar w:fldCharType="begin"/>
        </w:r>
        <w:r>
          <w:rPr>
            <w:noProof/>
            <w:webHidden/>
          </w:rPr>
          <w:instrText xml:space="preserve"> PAGEREF _Toc317160931 \h </w:instrText>
        </w:r>
        <w:r>
          <w:rPr>
            <w:noProof/>
            <w:webHidden/>
          </w:rPr>
        </w:r>
        <w:r>
          <w:rPr>
            <w:noProof/>
            <w:webHidden/>
          </w:rPr>
          <w:fldChar w:fldCharType="separate"/>
        </w:r>
        <w:r>
          <w:rPr>
            <w:noProof/>
            <w:webHidden/>
          </w:rPr>
          <w:t>370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2" w:history="1">
        <w:r w:rsidRPr="00B80388">
          <w:rPr>
            <w:rStyle w:val="a5"/>
            <w:noProof/>
          </w:rPr>
          <w:t>Title: Geotimes</w:t>
        </w:r>
        <w:r>
          <w:rPr>
            <w:noProof/>
            <w:webHidden/>
          </w:rPr>
          <w:tab/>
        </w:r>
        <w:r>
          <w:rPr>
            <w:noProof/>
            <w:webHidden/>
          </w:rPr>
          <w:fldChar w:fldCharType="begin"/>
        </w:r>
        <w:r>
          <w:rPr>
            <w:noProof/>
            <w:webHidden/>
          </w:rPr>
          <w:instrText xml:space="preserve"> PAGEREF _Toc317160932 \h </w:instrText>
        </w:r>
        <w:r>
          <w:rPr>
            <w:noProof/>
            <w:webHidden/>
          </w:rPr>
        </w:r>
        <w:r>
          <w:rPr>
            <w:noProof/>
            <w:webHidden/>
          </w:rPr>
          <w:fldChar w:fldCharType="separate"/>
        </w:r>
        <w:r>
          <w:rPr>
            <w:noProof/>
            <w:webHidden/>
          </w:rPr>
          <w:t>372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3" w:history="1">
        <w:r w:rsidRPr="00B80388">
          <w:rPr>
            <w:rStyle w:val="a5"/>
            <w:noProof/>
          </w:rPr>
          <w:t>Title: Geriatric Nursing</w:t>
        </w:r>
        <w:r>
          <w:rPr>
            <w:noProof/>
            <w:webHidden/>
          </w:rPr>
          <w:tab/>
        </w:r>
        <w:r>
          <w:rPr>
            <w:noProof/>
            <w:webHidden/>
          </w:rPr>
          <w:fldChar w:fldCharType="begin"/>
        </w:r>
        <w:r>
          <w:rPr>
            <w:noProof/>
            <w:webHidden/>
          </w:rPr>
          <w:instrText xml:space="preserve"> PAGEREF _Toc317160933 \h </w:instrText>
        </w:r>
        <w:r>
          <w:rPr>
            <w:noProof/>
            <w:webHidden/>
          </w:rPr>
        </w:r>
        <w:r>
          <w:rPr>
            <w:noProof/>
            <w:webHidden/>
          </w:rPr>
          <w:fldChar w:fldCharType="separate"/>
        </w:r>
        <w:r>
          <w:rPr>
            <w:noProof/>
            <w:webHidden/>
          </w:rPr>
          <w:t>373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4" w:history="1">
        <w:r w:rsidRPr="00B80388">
          <w:rPr>
            <w:rStyle w:val="a5"/>
            <w:noProof/>
          </w:rPr>
          <w:t xml:space="preserve">Title: </w:t>
        </w:r>
        <w:r w:rsidRPr="00B80388">
          <w:rPr>
            <w:rStyle w:val="a5"/>
            <w:iCs/>
            <w:noProof/>
          </w:rPr>
          <w:t>Geriatrika (Madrid)</w:t>
        </w:r>
        <w:r>
          <w:rPr>
            <w:noProof/>
            <w:webHidden/>
          </w:rPr>
          <w:tab/>
        </w:r>
        <w:r>
          <w:rPr>
            <w:noProof/>
            <w:webHidden/>
          </w:rPr>
          <w:fldChar w:fldCharType="begin"/>
        </w:r>
        <w:r>
          <w:rPr>
            <w:noProof/>
            <w:webHidden/>
          </w:rPr>
          <w:instrText xml:space="preserve"> PAGEREF _Toc317160934 \h </w:instrText>
        </w:r>
        <w:r>
          <w:rPr>
            <w:noProof/>
            <w:webHidden/>
          </w:rPr>
        </w:r>
        <w:r>
          <w:rPr>
            <w:noProof/>
            <w:webHidden/>
          </w:rPr>
          <w:fldChar w:fldCharType="separate"/>
        </w:r>
        <w:r>
          <w:rPr>
            <w:noProof/>
            <w:webHidden/>
          </w:rPr>
          <w:t>375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5" w:history="1">
        <w:r w:rsidRPr="00B80388">
          <w:rPr>
            <w:rStyle w:val="a5"/>
            <w:noProof/>
          </w:rPr>
          <w:t>Title: Gerodontology</w:t>
        </w:r>
        <w:r>
          <w:rPr>
            <w:noProof/>
            <w:webHidden/>
          </w:rPr>
          <w:tab/>
        </w:r>
        <w:r>
          <w:rPr>
            <w:noProof/>
            <w:webHidden/>
          </w:rPr>
          <w:fldChar w:fldCharType="begin"/>
        </w:r>
        <w:r>
          <w:rPr>
            <w:noProof/>
            <w:webHidden/>
          </w:rPr>
          <w:instrText xml:space="preserve"> PAGEREF _Toc317160935 \h </w:instrText>
        </w:r>
        <w:r>
          <w:rPr>
            <w:noProof/>
            <w:webHidden/>
          </w:rPr>
        </w:r>
        <w:r>
          <w:rPr>
            <w:noProof/>
            <w:webHidden/>
          </w:rPr>
          <w:fldChar w:fldCharType="separate"/>
        </w:r>
        <w:r>
          <w:rPr>
            <w:noProof/>
            <w:webHidden/>
          </w:rPr>
          <w:t>376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6" w:history="1">
        <w:r w:rsidRPr="00B80388">
          <w:rPr>
            <w:rStyle w:val="a5"/>
            <w:noProof/>
          </w:rPr>
          <w:t>Title: Gerontologist</w:t>
        </w:r>
        <w:r>
          <w:rPr>
            <w:noProof/>
            <w:webHidden/>
          </w:rPr>
          <w:tab/>
        </w:r>
        <w:r>
          <w:rPr>
            <w:noProof/>
            <w:webHidden/>
          </w:rPr>
          <w:fldChar w:fldCharType="begin"/>
        </w:r>
        <w:r>
          <w:rPr>
            <w:noProof/>
            <w:webHidden/>
          </w:rPr>
          <w:instrText xml:space="preserve"> PAGEREF _Toc317160936 \h </w:instrText>
        </w:r>
        <w:r>
          <w:rPr>
            <w:noProof/>
            <w:webHidden/>
          </w:rPr>
        </w:r>
        <w:r>
          <w:rPr>
            <w:noProof/>
            <w:webHidden/>
          </w:rPr>
          <w:fldChar w:fldCharType="separate"/>
        </w:r>
        <w:r>
          <w:rPr>
            <w:noProof/>
            <w:webHidden/>
          </w:rPr>
          <w:t>377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7" w:history="1">
        <w:r w:rsidRPr="00B80388">
          <w:rPr>
            <w:rStyle w:val="a5"/>
            <w:noProof/>
          </w:rPr>
          <w:t xml:space="preserve">Title: </w:t>
        </w:r>
        <w:r w:rsidRPr="00B80388">
          <w:rPr>
            <w:rStyle w:val="a5"/>
            <w:iCs/>
            <w:noProof/>
          </w:rPr>
          <w:t>Gerontology</w:t>
        </w:r>
        <w:r>
          <w:rPr>
            <w:noProof/>
            <w:webHidden/>
          </w:rPr>
          <w:tab/>
        </w:r>
        <w:r>
          <w:rPr>
            <w:noProof/>
            <w:webHidden/>
          </w:rPr>
          <w:fldChar w:fldCharType="begin"/>
        </w:r>
        <w:r>
          <w:rPr>
            <w:noProof/>
            <w:webHidden/>
          </w:rPr>
          <w:instrText xml:space="preserve"> PAGEREF _Toc317160937 \h </w:instrText>
        </w:r>
        <w:r>
          <w:rPr>
            <w:noProof/>
            <w:webHidden/>
          </w:rPr>
        </w:r>
        <w:r>
          <w:rPr>
            <w:noProof/>
            <w:webHidden/>
          </w:rPr>
          <w:fldChar w:fldCharType="separate"/>
        </w:r>
        <w:r>
          <w:rPr>
            <w:noProof/>
            <w:webHidden/>
          </w:rPr>
          <w:t>378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8" w:history="1">
        <w:r w:rsidRPr="00B80388">
          <w:rPr>
            <w:rStyle w:val="a5"/>
            <w:noProof/>
          </w:rPr>
          <w:t xml:space="preserve">Title: </w:t>
        </w:r>
        <w:r w:rsidRPr="00B80388">
          <w:rPr>
            <w:rStyle w:val="a5"/>
            <w:iCs/>
            <w:noProof/>
          </w:rPr>
          <w:t>Gestion Ambiental</w:t>
        </w:r>
        <w:r>
          <w:rPr>
            <w:noProof/>
            <w:webHidden/>
          </w:rPr>
          <w:tab/>
        </w:r>
        <w:r>
          <w:rPr>
            <w:noProof/>
            <w:webHidden/>
          </w:rPr>
          <w:fldChar w:fldCharType="begin"/>
        </w:r>
        <w:r>
          <w:rPr>
            <w:noProof/>
            <w:webHidden/>
          </w:rPr>
          <w:instrText xml:space="preserve"> PAGEREF _Toc317160938 \h </w:instrText>
        </w:r>
        <w:r>
          <w:rPr>
            <w:noProof/>
            <w:webHidden/>
          </w:rPr>
        </w:r>
        <w:r>
          <w:rPr>
            <w:noProof/>
            <w:webHidden/>
          </w:rPr>
          <w:fldChar w:fldCharType="separate"/>
        </w:r>
        <w:r>
          <w:rPr>
            <w:noProof/>
            <w:webHidden/>
          </w:rPr>
          <w:t>380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39" w:history="1">
        <w:r w:rsidRPr="00B80388">
          <w:rPr>
            <w:rStyle w:val="a5"/>
            <w:noProof/>
            <w:lang w:val="de-DE"/>
          </w:rPr>
          <w:t>Title: Gesundheits-Ingrnieur</w:t>
        </w:r>
        <w:r>
          <w:rPr>
            <w:noProof/>
            <w:webHidden/>
          </w:rPr>
          <w:tab/>
        </w:r>
        <w:r>
          <w:rPr>
            <w:noProof/>
            <w:webHidden/>
          </w:rPr>
          <w:fldChar w:fldCharType="begin"/>
        </w:r>
        <w:r>
          <w:rPr>
            <w:noProof/>
            <w:webHidden/>
          </w:rPr>
          <w:instrText xml:space="preserve"> PAGEREF _Toc317160939 \h </w:instrText>
        </w:r>
        <w:r>
          <w:rPr>
            <w:noProof/>
            <w:webHidden/>
          </w:rPr>
        </w:r>
        <w:r>
          <w:rPr>
            <w:noProof/>
            <w:webHidden/>
          </w:rPr>
          <w:fldChar w:fldCharType="separate"/>
        </w:r>
        <w:r>
          <w:rPr>
            <w:noProof/>
            <w:webHidden/>
          </w:rPr>
          <w:t>381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0" w:history="1">
        <w:r w:rsidRPr="00B80388">
          <w:rPr>
            <w:rStyle w:val="a5"/>
            <w:noProof/>
            <w:lang w:val="de-DE"/>
          </w:rPr>
          <w:t>Title: Gesundheitswesen</w:t>
        </w:r>
        <w:r>
          <w:rPr>
            <w:noProof/>
            <w:webHidden/>
          </w:rPr>
          <w:tab/>
        </w:r>
        <w:r>
          <w:rPr>
            <w:noProof/>
            <w:webHidden/>
          </w:rPr>
          <w:fldChar w:fldCharType="begin"/>
        </w:r>
        <w:r>
          <w:rPr>
            <w:noProof/>
            <w:webHidden/>
          </w:rPr>
          <w:instrText xml:space="preserve"> PAGEREF _Toc317160940 \h </w:instrText>
        </w:r>
        <w:r>
          <w:rPr>
            <w:noProof/>
            <w:webHidden/>
          </w:rPr>
        </w:r>
        <w:r>
          <w:rPr>
            <w:noProof/>
            <w:webHidden/>
          </w:rPr>
          <w:fldChar w:fldCharType="separate"/>
        </w:r>
        <w:r>
          <w:rPr>
            <w:noProof/>
            <w:webHidden/>
          </w:rPr>
          <w:t>382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1" w:history="1">
        <w:r w:rsidRPr="00B80388">
          <w:rPr>
            <w:rStyle w:val="a5"/>
            <w:noProof/>
          </w:rPr>
          <w:t>Title: The Ghana Engineer</w:t>
        </w:r>
        <w:r>
          <w:rPr>
            <w:noProof/>
            <w:webHidden/>
          </w:rPr>
          <w:tab/>
        </w:r>
        <w:r>
          <w:rPr>
            <w:noProof/>
            <w:webHidden/>
          </w:rPr>
          <w:fldChar w:fldCharType="begin"/>
        </w:r>
        <w:r>
          <w:rPr>
            <w:noProof/>
            <w:webHidden/>
          </w:rPr>
          <w:instrText xml:space="preserve"> PAGEREF _Toc317160941 \h </w:instrText>
        </w:r>
        <w:r>
          <w:rPr>
            <w:noProof/>
            <w:webHidden/>
          </w:rPr>
        </w:r>
        <w:r>
          <w:rPr>
            <w:noProof/>
            <w:webHidden/>
          </w:rPr>
          <w:fldChar w:fldCharType="separate"/>
        </w:r>
        <w:r>
          <w:rPr>
            <w:noProof/>
            <w:webHidden/>
          </w:rPr>
          <w:t>386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2" w:history="1">
        <w:r w:rsidRPr="00B80388">
          <w:rPr>
            <w:rStyle w:val="a5"/>
            <w:noProof/>
          </w:rPr>
          <w:t xml:space="preserve">Title: </w:t>
        </w:r>
        <w:r w:rsidRPr="00B80388">
          <w:rPr>
            <w:rStyle w:val="a5"/>
            <w:iCs/>
            <w:noProof/>
          </w:rPr>
          <w:t>Gifted Child Quarterly</w:t>
        </w:r>
        <w:r>
          <w:rPr>
            <w:noProof/>
            <w:webHidden/>
          </w:rPr>
          <w:tab/>
        </w:r>
        <w:r>
          <w:rPr>
            <w:noProof/>
            <w:webHidden/>
          </w:rPr>
          <w:fldChar w:fldCharType="begin"/>
        </w:r>
        <w:r>
          <w:rPr>
            <w:noProof/>
            <w:webHidden/>
          </w:rPr>
          <w:instrText xml:space="preserve"> PAGEREF _Toc317160942 \h </w:instrText>
        </w:r>
        <w:r>
          <w:rPr>
            <w:noProof/>
            <w:webHidden/>
          </w:rPr>
        </w:r>
        <w:r>
          <w:rPr>
            <w:noProof/>
            <w:webHidden/>
          </w:rPr>
          <w:fldChar w:fldCharType="separate"/>
        </w:r>
        <w:r>
          <w:rPr>
            <w:noProof/>
            <w:webHidden/>
          </w:rPr>
          <w:t>387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3" w:history="1">
        <w:r w:rsidRPr="00B80388">
          <w:rPr>
            <w:rStyle w:val="a5"/>
            <w:noProof/>
          </w:rPr>
          <w:t>Title: Giornale di Gerontologia</w:t>
        </w:r>
        <w:r>
          <w:rPr>
            <w:noProof/>
            <w:webHidden/>
          </w:rPr>
          <w:tab/>
        </w:r>
        <w:r>
          <w:rPr>
            <w:noProof/>
            <w:webHidden/>
          </w:rPr>
          <w:fldChar w:fldCharType="begin"/>
        </w:r>
        <w:r>
          <w:rPr>
            <w:noProof/>
            <w:webHidden/>
          </w:rPr>
          <w:instrText xml:space="preserve"> PAGEREF _Toc317160943 \h </w:instrText>
        </w:r>
        <w:r>
          <w:rPr>
            <w:noProof/>
            <w:webHidden/>
          </w:rPr>
        </w:r>
        <w:r>
          <w:rPr>
            <w:noProof/>
            <w:webHidden/>
          </w:rPr>
          <w:fldChar w:fldCharType="separate"/>
        </w:r>
        <w:r>
          <w:rPr>
            <w:noProof/>
            <w:webHidden/>
          </w:rPr>
          <w:t>388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4" w:history="1">
        <w:r w:rsidRPr="00B80388">
          <w:rPr>
            <w:rStyle w:val="a5"/>
            <w:noProof/>
          </w:rPr>
          <w:t>Title: GL6: Work on Grey in Progress, Conference Proceedings</w:t>
        </w:r>
        <w:r>
          <w:rPr>
            <w:noProof/>
            <w:webHidden/>
          </w:rPr>
          <w:tab/>
        </w:r>
        <w:r>
          <w:rPr>
            <w:noProof/>
            <w:webHidden/>
          </w:rPr>
          <w:fldChar w:fldCharType="begin"/>
        </w:r>
        <w:r>
          <w:rPr>
            <w:noProof/>
            <w:webHidden/>
          </w:rPr>
          <w:instrText xml:space="preserve"> PAGEREF _Toc317160944 \h </w:instrText>
        </w:r>
        <w:r>
          <w:rPr>
            <w:noProof/>
            <w:webHidden/>
          </w:rPr>
        </w:r>
        <w:r>
          <w:rPr>
            <w:noProof/>
            <w:webHidden/>
          </w:rPr>
          <w:fldChar w:fldCharType="separate"/>
        </w:r>
        <w:r>
          <w:rPr>
            <w:noProof/>
            <w:webHidden/>
          </w:rPr>
          <w:t>389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5" w:history="1">
        <w:r w:rsidRPr="00B80388">
          <w:rPr>
            <w:rStyle w:val="a5"/>
            <w:noProof/>
          </w:rPr>
          <w:t>Title: Glass Technology</w:t>
        </w:r>
        <w:r>
          <w:rPr>
            <w:noProof/>
            <w:webHidden/>
          </w:rPr>
          <w:tab/>
        </w:r>
        <w:r>
          <w:rPr>
            <w:noProof/>
            <w:webHidden/>
          </w:rPr>
          <w:fldChar w:fldCharType="begin"/>
        </w:r>
        <w:r>
          <w:rPr>
            <w:noProof/>
            <w:webHidden/>
          </w:rPr>
          <w:instrText xml:space="preserve"> PAGEREF _Toc317160945 \h </w:instrText>
        </w:r>
        <w:r>
          <w:rPr>
            <w:noProof/>
            <w:webHidden/>
          </w:rPr>
        </w:r>
        <w:r>
          <w:rPr>
            <w:noProof/>
            <w:webHidden/>
          </w:rPr>
          <w:fldChar w:fldCharType="separate"/>
        </w:r>
        <w:r>
          <w:rPr>
            <w:noProof/>
            <w:webHidden/>
          </w:rPr>
          <w:t>390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6" w:history="1">
        <w:r w:rsidRPr="00B80388">
          <w:rPr>
            <w:rStyle w:val="a5"/>
            <w:noProof/>
          </w:rPr>
          <w:t>Title: Global Biogeochemical Cycles</w:t>
        </w:r>
        <w:r>
          <w:rPr>
            <w:noProof/>
            <w:webHidden/>
          </w:rPr>
          <w:tab/>
        </w:r>
        <w:r>
          <w:rPr>
            <w:noProof/>
            <w:webHidden/>
          </w:rPr>
          <w:fldChar w:fldCharType="begin"/>
        </w:r>
        <w:r>
          <w:rPr>
            <w:noProof/>
            <w:webHidden/>
          </w:rPr>
          <w:instrText xml:space="preserve"> PAGEREF _Toc317160946 \h </w:instrText>
        </w:r>
        <w:r>
          <w:rPr>
            <w:noProof/>
            <w:webHidden/>
          </w:rPr>
        </w:r>
        <w:r>
          <w:rPr>
            <w:noProof/>
            <w:webHidden/>
          </w:rPr>
          <w:fldChar w:fldCharType="separate"/>
        </w:r>
        <w:r>
          <w:rPr>
            <w:noProof/>
            <w:webHidden/>
          </w:rPr>
          <w:t>391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7" w:history="1">
        <w:r w:rsidRPr="00B80388">
          <w:rPr>
            <w:rStyle w:val="a5"/>
            <w:noProof/>
          </w:rPr>
          <w:t>Title: Global Change Biology</w:t>
        </w:r>
        <w:r>
          <w:rPr>
            <w:noProof/>
            <w:webHidden/>
          </w:rPr>
          <w:tab/>
        </w:r>
        <w:r>
          <w:rPr>
            <w:noProof/>
            <w:webHidden/>
          </w:rPr>
          <w:fldChar w:fldCharType="begin"/>
        </w:r>
        <w:r>
          <w:rPr>
            <w:noProof/>
            <w:webHidden/>
          </w:rPr>
          <w:instrText xml:space="preserve"> PAGEREF _Toc317160947 \h </w:instrText>
        </w:r>
        <w:r>
          <w:rPr>
            <w:noProof/>
            <w:webHidden/>
          </w:rPr>
        </w:r>
        <w:r>
          <w:rPr>
            <w:noProof/>
            <w:webHidden/>
          </w:rPr>
          <w:fldChar w:fldCharType="separate"/>
        </w:r>
        <w:r>
          <w:rPr>
            <w:noProof/>
            <w:webHidden/>
          </w:rPr>
          <w:t>394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8" w:history="1">
        <w:r w:rsidRPr="00B80388">
          <w:rPr>
            <w:rStyle w:val="a5"/>
            <w:noProof/>
          </w:rPr>
          <w:t xml:space="preserve">Title: </w:t>
        </w:r>
        <w:r w:rsidRPr="00B80388">
          <w:rPr>
            <w:rStyle w:val="a5"/>
            <w:iCs/>
            <w:noProof/>
          </w:rPr>
          <w:t>Global Ecology and Biogeography</w:t>
        </w:r>
        <w:r>
          <w:rPr>
            <w:noProof/>
            <w:webHidden/>
          </w:rPr>
          <w:tab/>
        </w:r>
        <w:r>
          <w:rPr>
            <w:noProof/>
            <w:webHidden/>
          </w:rPr>
          <w:fldChar w:fldCharType="begin"/>
        </w:r>
        <w:r>
          <w:rPr>
            <w:noProof/>
            <w:webHidden/>
          </w:rPr>
          <w:instrText xml:space="preserve"> PAGEREF _Toc317160948 \h </w:instrText>
        </w:r>
        <w:r>
          <w:rPr>
            <w:noProof/>
            <w:webHidden/>
          </w:rPr>
        </w:r>
        <w:r>
          <w:rPr>
            <w:noProof/>
            <w:webHidden/>
          </w:rPr>
          <w:fldChar w:fldCharType="separate"/>
        </w:r>
        <w:r>
          <w:rPr>
            <w:noProof/>
            <w:webHidden/>
          </w:rPr>
          <w:t>396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49" w:history="1">
        <w:r w:rsidRPr="00B80388">
          <w:rPr>
            <w:rStyle w:val="a5"/>
            <w:noProof/>
          </w:rPr>
          <w:t>Title: Global Environmental Change</w:t>
        </w:r>
        <w:r>
          <w:rPr>
            <w:noProof/>
            <w:webHidden/>
          </w:rPr>
          <w:tab/>
        </w:r>
        <w:r>
          <w:rPr>
            <w:noProof/>
            <w:webHidden/>
          </w:rPr>
          <w:fldChar w:fldCharType="begin"/>
        </w:r>
        <w:r>
          <w:rPr>
            <w:noProof/>
            <w:webHidden/>
          </w:rPr>
          <w:instrText xml:space="preserve"> PAGEREF _Toc317160949 \h </w:instrText>
        </w:r>
        <w:r>
          <w:rPr>
            <w:noProof/>
            <w:webHidden/>
          </w:rPr>
        </w:r>
        <w:r>
          <w:rPr>
            <w:noProof/>
            <w:webHidden/>
          </w:rPr>
          <w:fldChar w:fldCharType="separate"/>
        </w:r>
        <w:r>
          <w:rPr>
            <w:noProof/>
            <w:webHidden/>
          </w:rPr>
          <w:t>399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0" w:history="1">
        <w:r w:rsidRPr="00B80388">
          <w:rPr>
            <w:rStyle w:val="a5"/>
            <w:noProof/>
          </w:rPr>
          <w:t xml:space="preserve">Title: </w:t>
        </w:r>
        <w:r w:rsidRPr="00B80388">
          <w:rPr>
            <w:rStyle w:val="a5"/>
            <w:iCs/>
            <w:noProof/>
          </w:rPr>
          <w:t>Global Environmental Change-Human and Policy Dimensions</w:t>
        </w:r>
        <w:r>
          <w:rPr>
            <w:noProof/>
            <w:webHidden/>
          </w:rPr>
          <w:tab/>
        </w:r>
        <w:r>
          <w:rPr>
            <w:noProof/>
            <w:webHidden/>
          </w:rPr>
          <w:fldChar w:fldCharType="begin"/>
        </w:r>
        <w:r>
          <w:rPr>
            <w:noProof/>
            <w:webHidden/>
          </w:rPr>
          <w:instrText xml:space="preserve"> PAGEREF _Toc317160950 \h </w:instrText>
        </w:r>
        <w:r>
          <w:rPr>
            <w:noProof/>
            <w:webHidden/>
          </w:rPr>
        </w:r>
        <w:r>
          <w:rPr>
            <w:noProof/>
            <w:webHidden/>
          </w:rPr>
          <w:fldChar w:fldCharType="separate"/>
        </w:r>
        <w:r>
          <w:rPr>
            <w:noProof/>
            <w:webHidden/>
          </w:rPr>
          <w:t>400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1" w:history="1">
        <w:r w:rsidRPr="00B80388">
          <w:rPr>
            <w:rStyle w:val="a5"/>
            <w:noProof/>
          </w:rPr>
          <w:t>Title: Global Journal of Library and Information Sciences</w:t>
        </w:r>
        <w:r>
          <w:rPr>
            <w:noProof/>
            <w:webHidden/>
          </w:rPr>
          <w:tab/>
        </w:r>
        <w:r>
          <w:rPr>
            <w:noProof/>
            <w:webHidden/>
          </w:rPr>
          <w:fldChar w:fldCharType="begin"/>
        </w:r>
        <w:r>
          <w:rPr>
            <w:noProof/>
            <w:webHidden/>
          </w:rPr>
          <w:instrText xml:space="preserve"> PAGEREF _Toc317160951 \h </w:instrText>
        </w:r>
        <w:r>
          <w:rPr>
            <w:noProof/>
            <w:webHidden/>
          </w:rPr>
        </w:r>
        <w:r>
          <w:rPr>
            <w:noProof/>
            <w:webHidden/>
          </w:rPr>
          <w:fldChar w:fldCharType="separate"/>
        </w:r>
        <w:r>
          <w:rPr>
            <w:noProof/>
            <w:webHidden/>
          </w:rPr>
          <w:t>402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2" w:history="1">
        <w:r w:rsidRPr="00B80388">
          <w:rPr>
            <w:rStyle w:val="a5"/>
            <w:noProof/>
          </w:rPr>
          <w:t>Title: Global Nest: the International Journal</w:t>
        </w:r>
        <w:r>
          <w:rPr>
            <w:noProof/>
            <w:webHidden/>
          </w:rPr>
          <w:tab/>
        </w:r>
        <w:r>
          <w:rPr>
            <w:noProof/>
            <w:webHidden/>
          </w:rPr>
          <w:fldChar w:fldCharType="begin"/>
        </w:r>
        <w:r>
          <w:rPr>
            <w:noProof/>
            <w:webHidden/>
          </w:rPr>
          <w:instrText xml:space="preserve"> PAGEREF _Toc317160952 \h </w:instrText>
        </w:r>
        <w:r>
          <w:rPr>
            <w:noProof/>
            <w:webHidden/>
          </w:rPr>
        </w:r>
        <w:r>
          <w:rPr>
            <w:noProof/>
            <w:webHidden/>
          </w:rPr>
          <w:fldChar w:fldCharType="separate"/>
        </w:r>
        <w:r>
          <w:rPr>
            <w:noProof/>
            <w:webHidden/>
          </w:rPr>
          <w:t>403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3" w:history="1">
        <w:r w:rsidRPr="00B80388">
          <w:rPr>
            <w:rStyle w:val="a5"/>
            <w:noProof/>
          </w:rPr>
          <w:t xml:space="preserve">Title: </w:t>
        </w:r>
        <w:r w:rsidRPr="00B80388">
          <w:rPr>
            <w:rStyle w:val="a5"/>
            <w:iCs/>
            <w:noProof/>
          </w:rPr>
          <w:t>Global Nest Journal</w:t>
        </w:r>
        <w:r>
          <w:rPr>
            <w:noProof/>
            <w:webHidden/>
          </w:rPr>
          <w:tab/>
        </w:r>
        <w:r>
          <w:rPr>
            <w:noProof/>
            <w:webHidden/>
          </w:rPr>
          <w:fldChar w:fldCharType="begin"/>
        </w:r>
        <w:r>
          <w:rPr>
            <w:noProof/>
            <w:webHidden/>
          </w:rPr>
          <w:instrText xml:space="preserve"> PAGEREF _Toc317160953 \h </w:instrText>
        </w:r>
        <w:r>
          <w:rPr>
            <w:noProof/>
            <w:webHidden/>
          </w:rPr>
        </w:r>
        <w:r>
          <w:rPr>
            <w:noProof/>
            <w:webHidden/>
          </w:rPr>
          <w:fldChar w:fldCharType="separate"/>
        </w:r>
        <w:r>
          <w:rPr>
            <w:noProof/>
            <w:webHidden/>
          </w:rPr>
          <w:t>406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4" w:history="1">
        <w:r w:rsidRPr="00B80388">
          <w:rPr>
            <w:rStyle w:val="a5"/>
            <w:noProof/>
          </w:rPr>
          <w:t>Title: Global and Planetary Change</w:t>
        </w:r>
        <w:r>
          <w:rPr>
            <w:noProof/>
            <w:webHidden/>
          </w:rPr>
          <w:tab/>
        </w:r>
        <w:r>
          <w:rPr>
            <w:noProof/>
            <w:webHidden/>
          </w:rPr>
          <w:fldChar w:fldCharType="begin"/>
        </w:r>
        <w:r>
          <w:rPr>
            <w:noProof/>
            <w:webHidden/>
          </w:rPr>
          <w:instrText xml:space="preserve"> PAGEREF _Toc317160954 \h </w:instrText>
        </w:r>
        <w:r>
          <w:rPr>
            <w:noProof/>
            <w:webHidden/>
          </w:rPr>
        </w:r>
        <w:r>
          <w:rPr>
            <w:noProof/>
            <w:webHidden/>
          </w:rPr>
          <w:fldChar w:fldCharType="separate"/>
        </w:r>
        <w:r>
          <w:rPr>
            <w:noProof/>
            <w:webHidden/>
          </w:rPr>
          <w:t>409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5" w:history="1">
        <w:r w:rsidRPr="00B80388">
          <w:rPr>
            <w:rStyle w:val="a5"/>
            <w:noProof/>
          </w:rPr>
          <w:t>Title: Global Public Health</w:t>
        </w:r>
        <w:r>
          <w:rPr>
            <w:noProof/>
            <w:webHidden/>
          </w:rPr>
          <w:tab/>
        </w:r>
        <w:r>
          <w:rPr>
            <w:noProof/>
            <w:webHidden/>
          </w:rPr>
          <w:fldChar w:fldCharType="begin"/>
        </w:r>
        <w:r>
          <w:rPr>
            <w:noProof/>
            <w:webHidden/>
          </w:rPr>
          <w:instrText xml:space="preserve"> PAGEREF _Toc317160955 \h </w:instrText>
        </w:r>
        <w:r>
          <w:rPr>
            <w:noProof/>
            <w:webHidden/>
          </w:rPr>
        </w:r>
        <w:r>
          <w:rPr>
            <w:noProof/>
            <w:webHidden/>
          </w:rPr>
          <w:fldChar w:fldCharType="separate"/>
        </w:r>
        <w:r>
          <w:rPr>
            <w:noProof/>
            <w:webHidden/>
          </w:rPr>
          <w:t>410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6" w:history="1">
        <w:r w:rsidRPr="00B80388">
          <w:rPr>
            <w:rStyle w:val="a5"/>
            <w:noProof/>
          </w:rPr>
          <w:t>Title: Gold Bulletin</w:t>
        </w:r>
        <w:r>
          <w:rPr>
            <w:noProof/>
            <w:webHidden/>
          </w:rPr>
          <w:tab/>
        </w:r>
        <w:r>
          <w:rPr>
            <w:noProof/>
            <w:webHidden/>
          </w:rPr>
          <w:fldChar w:fldCharType="begin"/>
        </w:r>
        <w:r>
          <w:rPr>
            <w:noProof/>
            <w:webHidden/>
          </w:rPr>
          <w:instrText xml:space="preserve"> PAGEREF _Toc317160956 \h </w:instrText>
        </w:r>
        <w:r>
          <w:rPr>
            <w:noProof/>
            <w:webHidden/>
          </w:rPr>
        </w:r>
        <w:r>
          <w:rPr>
            <w:noProof/>
            <w:webHidden/>
          </w:rPr>
          <w:fldChar w:fldCharType="separate"/>
        </w:r>
        <w:r>
          <w:rPr>
            <w:noProof/>
            <w:webHidden/>
          </w:rPr>
          <w:t>412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7" w:history="1">
        <w:r w:rsidRPr="00B80388">
          <w:rPr>
            <w:rStyle w:val="a5"/>
            <w:noProof/>
          </w:rPr>
          <w:t>Title: Government Information Quarterly</w:t>
        </w:r>
        <w:r>
          <w:rPr>
            <w:noProof/>
            <w:webHidden/>
          </w:rPr>
          <w:tab/>
        </w:r>
        <w:r>
          <w:rPr>
            <w:noProof/>
            <w:webHidden/>
          </w:rPr>
          <w:fldChar w:fldCharType="begin"/>
        </w:r>
        <w:r>
          <w:rPr>
            <w:noProof/>
            <w:webHidden/>
          </w:rPr>
          <w:instrText xml:space="preserve"> PAGEREF _Toc317160957 \h </w:instrText>
        </w:r>
        <w:r>
          <w:rPr>
            <w:noProof/>
            <w:webHidden/>
          </w:rPr>
        </w:r>
        <w:r>
          <w:rPr>
            <w:noProof/>
            <w:webHidden/>
          </w:rPr>
          <w:fldChar w:fldCharType="separate"/>
        </w:r>
        <w:r>
          <w:rPr>
            <w:noProof/>
            <w:webHidden/>
          </w:rPr>
          <w:t>413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8" w:history="1">
        <w:r w:rsidRPr="00B80388">
          <w:rPr>
            <w:rStyle w:val="a5"/>
            <w:noProof/>
          </w:rPr>
          <w:t>Title: Government Publications Review</w:t>
        </w:r>
        <w:r>
          <w:rPr>
            <w:noProof/>
            <w:webHidden/>
          </w:rPr>
          <w:tab/>
        </w:r>
        <w:r>
          <w:rPr>
            <w:noProof/>
            <w:webHidden/>
          </w:rPr>
          <w:fldChar w:fldCharType="begin"/>
        </w:r>
        <w:r>
          <w:rPr>
            <w:noProof/>
            <w:webHidden/>
          </w:rPr>
          <w:instrText xml:space="preserve"> PAGEREF _Toc317160958 \h </w:instrText>
        </w:r>
        <w:r>
          <w:rPr>
            <w:noProof/>
            <w:webHidden/>
          </w:rPr>
        </w:r>
        <w:r>
          <w:rPr>
            <w:noProof/>
            <w:webHidden/>
          </w:rPr>
          <w:fldChar w:fldCharType="separate"/>
        </w:r>
        <w:r>
          <w:rPr>
            <w:noProof/>
            <w:webHidden/>
          </w:rPr>
          <w:t>414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59" w:history="1">
        <w:r w:rsidRPr="00B80388">
          <w:rPr>
            <w:rStyle w:val="a5"/>
            <w:noProof/>
          </w:rPr>
          <w:t xml:space="preserve">Title: </w:t>
        </w:r>
        <w:r w:rsidRPr="00B80388">
          <w:rPr>
            <w:rStyle w:val="a5"/>
            <w:iCs/>
            <w:noProof/>
          </w:rPr>
          <w:t>Gradevinar</w:t>
        </w:r>
        <w:r>
          <w:rPr>
            <w:noProof/>
            <w:webHidden/>
          </w:rPr>
          <w:tab/>
        </w:r>
        <w:r>
          <w:rPr>
            <w:noProof/>
            <w:webHidden/>
          </w:rPr>
          <w:fldChar w:fldCharType="begin"/>
        </w:r>
        <w:r>
          <w:rPr>
            <w:noProof/>
            <w:webHidden/>
          </w:rPr>
          <w:instrText xml:space="preserve"> PAGEREF _Toc317160959 \h </w:instrText>
        </w:r>
        <w:r>
          <w:rPr>
            <w:noProof/>
            <w:webHidden/>
          </w:rPr>
        </w:r>
        <w:r>
          <w:rPr>
            <w:noProof/>
            <w:webHidden/>
          </w:rPr>
          <w:fldChar w:fldCharType="separate"/>
        </w:r>
        <w:r>
          <w:rPr>
            <w:noProof/>
            <w:webHidden/>
          </w:rPr>
          <w:t>415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0" w:history="1">
        <w:r w:rsidRPr="00B80388">
          <w:rPr>
            <w:rStyle w:val="a5"/>
            <w:noProof/>
          </w:rPr>
          <w:t>Title: Grasas y Aceites</w:t>
        </w:r>
        <w:r>
          <w:rPr>
            <w:noProof/>
            <w:webHidden/>
          </w:rPr>
          <w:tab/>
        </w:r>
        <w:r>
          <w:rPr>
            <w:noProof/>
            <w:webHidden/>
          </w:rPr>
          <w:fldChar w:fldCharType="begin"/>
        </w:r>
        <w:r>
          <w:rPr>
            <w:noProof/>
            <w:webHidden/>
          </w:rPr>
          <w:instrText xml:space="preserve"> PAGEREF _Toc317160960 \h </w:instrText>
        </w:r>
        <w:r>
          <w:rPr>
            <w:noProof/>
            <w:webHidden/>
          </w:rPr>
        </w:r>
        <w:r>
          <w:rPr>
            <w:noProof/>
            <w:webHidden/>
          </w:rPr>
          <w:fldChar w:fldCharType="separate"/>
        </w:r>
        <w:r>
          <w:rPr>
            <w:noProof/>
            <w:webHidden/>
          </w:rPr>
          <w:t>417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1" w:history="1">
        <w:r w:rsidRPr="00B80388">
          <w:rPr>
            <w:rStyle w:val="a5"/>
            <w:noProof/>
          </w:rPr>
          <w:t>Title: Green Chemistry</w:t>
        </w:r>
        <w:r>
          <w:rPr>
            <w:noProof/>
            <w:webHidden/>
          </w:rPr>
          <w:tab/>
        </w:r>
        <w:r>
          <w:rPr>
            <w:noProof/>
            <w:webHidden/>
          </w:rPr>
          <w:fldChar w:fldCharType="begin"/>
        </w:r>
        <w:r>
          <w:rPr>
            <w:noProof/>
            <w:webHidden/>
          </w:rPr>
          <w:instrText xml:space="preserve"> PAGEREF _Toc317160961 \h </w:instrText>
        </w:r>
        <w:r>
          <w:rPr>
            <w:noProof/>
            <w:webHidden/>
          </w:rPr>
        </w:r>
        <w:r>
          <w:rPr>
            <w:noProof/>
            <w:webHidden/>
          </w:rPr>
          <w:fldChar w:fldCharType="separate"/>
        </w:r>
        <w:r>
          <w:rPr>
            <w:noProof/>
            <w:webHidden/>
          </w:rPr>
          <w:t>419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2" w:history="1">
        <w:r w:rsidRPr="00B80388">
          <w:rPr>
            <w:rStyle w:val="a5"/>
            <w:noProof/>
          </w:rPr>
          <w:t>Title: Group Processes &amp; Intergroup Relations</w:t>
        </w:r>
        <w:r>
          <w:rPr>
            <w:noProof/>
            <w:webHidden/>
          </w:rPr>
          <w:tab/>
        </w:r>
        <w:r>
          <w:rPr>
            <w:noProof/>
            <w:webHidden/>
          </w:rPr>
          <w:fldChar w:fldCharType="begin"/>
        </w:r>
        <w:r>
          <w:rPr>
            <w:noProof/>
            <w:webHidden/>
          </w:rPr>
          <w:instrText xml:space="preserve"> PAGEREF _Toc317160962 \h </w:instrText>
        </w:r>
        <w:r>
          <w:rPr>
            <w:noProof/>
            <w:webHidden/>
          </w:rPr>
        </w:r>
        <w:r>
          <w:rPr>
            <w:noProof/>
            <w:webHidden/>
          </w:rPr>
          <w:fldChar w:fldCharType="separate"/>
        </w:r>
        <w:r>
          <w:rPr>
            <w:noProof/>
            <w:webHidden/>
          </w:rPr>
          <w:t>421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3" w:history="1">
        <w:r w:rsidRPr="00B80388">
          <w:rPr>
            <w:rStyle w:val="a5"/>
            <w:noProof/>
          </w:rPr>
          <w:t>Title: Ground Water</w:t>
        </w:r>
        <w:r>
          <w:rPr>
            <w:noProof/>
            <w:webHidden/>
          </w:rPr>
          <w:tab/>
        </w:r>
        <w:r>
          <w:rPr>
            <w:noProof/>
            <w:webHidden/>
          </w:rPr>
          <w:fldChar w:fldCharType="begin"/>
        </w:r>
        <w:r>
          <w:rPr>
            <w:noProof/>
            <w:webHidden/>
          </w:rPr>
          <w:instrText xml:space="preserve"> PAGEREF _Toc317160963 \h </w:instrText>
        </w:r>
        <w:r>
          <w:rPr>
            <w:noProof/>
            <w:webHidden/>
          </w:rPr>
        </w:r>
        <w:r>
          <w:rPr>
            <w:noProof/>
            <w:webHidden/>
          </w:rPr>
          <w:fldChar w:fldCharType="separate"/>
        </w:r>
        <w:r>
          <w:rPr>
            <w:noProof/>
            <w:webHidden/>
          </w:rPr>
          <w:t>422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4" w:history="1">
        <w:r w:rsidRPr="00B80388">
          <w:rPr>
            <w:rStyle w:val="a5"/>
            <w:noProof/>
          </w:rPr>
          <w:t>Title: Ground Water Monitoring and Remediation</w:t>
        </w:r>
        <w:r>
          <w:rPr>
            <w:noProof/>
            <w:webHidden/>
          </w:rPr>
          <w:tab/>
        </w:r>
        <w:r>
          <w:rPr>
            <w:noProof/>
            <w:webHidden/>
          </w:rPr>
          <w:fldChar w:fldCharType="begin"/>
        </w:r>
        <w:r>
          <w:rPr>
            <w:noProof/>
            <w:webHidden/>
          </w:rPr>
          <w:instrText xml:space="preserve"> PAGEREF _Toc317160964 \h </w:instrText>
        </w:r>
        <w:r>
          <w:rPr>
            <w:noProof/>
            <w:webHidden/>
          </w:rPr>
        </w:r>
        <w:r>
          <w:rPr>
            <w:noProof/>
            <w:webHidden/>
          </w:rPr>
          <w:fldChar w:fldCharType="separate"/>
        </w:r>
        <w:r>
          <w:rPr>
            <w:noProof/>
            <w:webHidden/>
          </w:rPr>
          <w:t>427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5" w:history="1">
        <w:r w:rsidRPr="00B80388">
          <w:rPr>
            <w:rStyle w:val="a5"/>
            <w:noProof/>
          </w:rPr>
          <w:t>Title: Gruppenpsychotherapie und Gruppendynamik</w:t>
        </w:r>
        <w:r>
          <w:rPr>
            <w:noProof/>
            <w:webHidden/>
          </w:rPr>
          <w:tab/>
        </w:r>
        <w:r>
          <w:rPr>
            <w:noProof/>
            <w:webHidden/>
          </w:rPr>
          <w:fldChar w:fldCharType="begin"/>
        </w:r>
        <w:r>
          <w:rPr>
            <w:noProof/>
            <w:webHidden/>
          </w:rPr>
          <w:instrText xml:space="preserve"> PAGEREF _Toc317160965 \h </w:instrText>
        </w:r>
        <w:r>
          <w:rPr>
            <w:noProof/>
            <w:webHidden/>
          </w:rPr>
        </w:r>
        <w:r>
          <w:rPr>
            <w:noProof/>
            <w:webHidden/>
          </w:rPr>
          <w:fldChar w:fldCharType="separate"/>
        </w:r>
        <w:r>
          <w:rPr>
            <w:noProof/>
            <w:webHidden/>
          </w:rPr>
          <w:t>428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6" w:history="1">
        <w:r w:rsidRPr="00B80388">
          <w:rPr>
            <w:rStyle w:val="a5"/>
            <w:noProof/>
          </w:rPr>
          <w:t>Title: Gulf Research Reports</w:t>
        </w:r>
        <w:r>
          <w:rPr>
            <w:noProof/>
            <w:webHidden/>
          </w:rPr>
          <w:tab/>
        </w:r>
        <w:r>
          <w:rPr>
            <w:noProof/>
            <w:webHidden/>
          </w:rPr>
          <w:fldChar w:fldCharType="begin"/>
        </w:r>
        <w:r>
          <w:rPr>
            <w:noProof/>
            <w:webHidden/>
          </w:rPr>
          <w:instrText xml:space="preserve"> PAGEREF _Toc317160966 \h </w:instrText>
        </w:r>
        <w:r>
          <w:rPr>
            <w:noProof/>
            <w:webHidden/>
          </w:rPr>
        </w:r>
        <w:r>
          <w:rPr>
            <w:noProof/>
            <w:webHidden/>
          </w:rPr>
          <w:fldChar w:fldCharType="separate"/>
        </w:r>
        <w:r>
          <w:rPr>
            <w:noProof/>
            <w:webHidden/>
          </w:rPr>
          <w:t>429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7" w:history="1">
        <w:r w:rsidRPr="00B80388">
          <w:rPr>
            <w:rStyle w:val="a5"/>
            <w:noProof/>
          </w:rPr>
          <w:t>Title: Gut</w:t>
        </w:r>
        <w:r>
          <w:rPr>
            <w:noProof/>
            <w:webHidden/>
          </w:rPr>
          <w:tab/>
        </w:r>
        <w:r>
          <w:rPr>
            <w:noProof/>
            <w:webHidden/>
          </w:rPr>
          <w:fldChar w:fldCharType="begin"/>
        </w:r>
        <w:r>
          <w:rPr>
            <w:noProof/>
            <w:webHidden/>
          </w:rPr>
          <w:instrText xml:space="preserve"> PAGEREF _Toc317160967 \h </w:instrText>
        </w:r>
        <w:r>
          <w:rPr>
            <w:noProof/>
            <w:webHidden/>
          </w:rPr>
        </w:r>
        <w:r>
          <w:rPr>
            <w:noProof/>
            <w:webHidden/>
          </w:rPr>
          <w:fldChar w:fldCharType="separate"/>
        </w:r>
        <w:r>
          <w:rPr>
            <w:noProof/>
            <w:webHidden/>
          </w:rPr>
          <w:t>430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8" w:history="1">
        <w:r w:rsidRPr="00B80388">
          <w:rPr>
            <w:rStyle w:val="a5"/>
            <w:noProof/>
          </w:rPr>
          <w:t>Title: Gynecologic Oncology</w:t>
        </w:r>
        <w:r>
          <w:rPr>
            <w:noProof/>
            <w:webHidden/>
          </w:rPr>
          <w:tab/>
        </w:r>
        <w:r>
          <w:rPr>
            <w:noProof/>
            <w:webHidden/>
          </w:rPr>
          <w:fldChar w:fldCharType="begin"/>
        </w:r>
        <w:r>
          <w:rPr>
            <w:noProof/>
            <w:webHidden/>
          </w:rPr>
          <w:instrText xml:space="preserve"> PAGEREF _Toc317160968 \h </w:instrText>
        </w:r>
        <w:r>
          <w:rPr>
            <w:noProof/>
            <w:webHidden/>
          </w:rPr>
        </w:r>
        <w:r>
          <w:rPr>
            <w:noProof/>
            <w:webHidden/>
          </w:rPr>
          <w:fldChar w:fldCharType="separate"/>
        </w:r>
        <w:r>
          <w:rPr>
            <w:noProof/>
            <w:webHidden/>
          </w:rPr>
          <w:t>436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69" w:history="1">
        <w:r w:rsidRPr="00B80388">
          <w:rPr>
            <w:rStyle w:val="a5"/>
            <w:noProof/>
          </w:rPr>
          <w:t xml:space="preserve">Title: </w:t>
        </w:r>
        <w:r w:rsidRPr="00B80388">
          <w:rPr>
            <w:rStyle w:val="a5"/>
            <w:iCs/>
            <w:noProof/>
          </w:rPr>
          <w:t>Gynaecological Endoscopy</w:t>
        </w:r>
        <w:r>
          <w:rPr>
            <w:noProof/>
            <w:webHidden/>
          </w:rPr>
          <w:tab/>
        </w:r>
        <w:r>
          <w:rPr>
            <w:noProof/>
            <w:webHidden/>
          </w:rPr>
          <w:fldChar w:fldCharType="begin"/>
        </w:r>
        <w:r>
          <w:rPr>
            <w:noProof/>
            <w:webHidden/>
          </w:rPr>
          <w:instrText xml:space="preserve"> PAGEREF _Toc317160969 \h </w:instrText>
        </w:r>
        <w:r>
          <w:rPr>
            <w:noProof/>
            <w:webHidden/>
          </w:rPr>
        </w:r>
        <w:r>
          <w:rPr>
            <w:noProof/>
            <w:webHidden/>
          </w:rPr>
          <w:fldChar w:fldCharType="separate"/>
        </w:r>
        <w:r>
          <w:rPr>
            <w:noProof/>
            <w:webHidden/>
          </w:rPr>
          <w:t>437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0" w:history="1">
        <w:r w:rsidRPr="00B80388">
          <w:rPr>
            <w:rStyle w:val="a5"/>
            <w:noProof/>
          </w:rPr>
          <w:t>Title: Gynäkologische Endokrinologie</w:t>
        </w:r>
        <w:r>
          <w:rPr>
            <w:noProof/>
            <w:webHidden/>
          </w:rPr>
          <w:tab/>
        </w:r>
        <w:r>
          <w:rPr>
            <w:noProof/>
            <w:webHidden/>
          </w:rPr>
          <w:fldChar w:fldCharType="begin"/>
        </w:r>
        <w:r>
          <w:rPr>
            <w:noProof/>
            <w:webHidden/>
          </w:rPr>
          <w:instrText xml:space="preserve"> PAGEREF _Toc317160970 \h </w:instrText>
        </w:r>
        <w:r>
          <w:rPr>
            <w:noProof/>
            <w:webHidden/>
          </w:rPr>
        </w:r>
        <w:r>
          <w:rPr>
            <w:noProof/>
            <w:webHidden/>
          </w:rPr>
          <w:fldChar w:fldCharType="separate"/>
        </w:r>
        <w:r>
          <w:rPr>
            <w:noProof/>
            <w:webHidden/>
          </w:rPr>
          <w:t>439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1" w:history="1">
        <w:r w:rsidRPr="00B80388">
          <w:rPr>
            <w:rStyle w:val="a5"/>
            <w:noProof/>
            <w:lang w:val="de-DE"/>
          </w:rPr>
          <w:t>Title: Haematologica</w:t>
        </w:r>
        <w:r>
          <w:rPr>
            <w:noProof/>
            <w:webHidden/>
          </w:rPr>
          <w:tab/>
        </w:r>
        <w:r>
          <w:rPr>
            <w:noProof/>
            <w:webHidden/>
          </w:rPr>
          <w:fldChar w:fldCharType="begin"/>
        </w:r>
        <w:r>
          <w:rPr>
            <w:noProof/>
            <w:webHidden/>
          </w:rPr>
          <w:instrText xml:space="preserve"> PAGEREF _Toc317160971 \h </w:instrText>
        </w:r>
        <w:r>
          <w:rPr>
            <w:noProof/>
            <w:webHidden/>
          </w:rPr>
        </w:r>
        <w:r>
          <w:rPr>
            <w:noProof/>
            <w:webHidden/>
          </w:rPr>
          <w:fldChar w:fldCharType="separate"/>
        </w:r>
        <w:r>
          <w:rPr>
            <w:noProof/>
            <w:webHidden/>
          </w:rPr>
          <w:t>440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2" w:history="1">
        <w:r w:rsidRPr="00B80388">
          <w:rPr>
            <w:rStyle w:val="a5"/>
            <w:noProof/>
          </w:rPr>
          <w:t>Title: Handbook of Nonlinear Regression Models</w:t>
        </w:r>
        <w:r>
          <w:rPr>
            <w:noProof/>
            <w:webHidden/>
          </w:rPr>
          <w:tab/>
        </w:r>
        <w:r>
          <w:rPr>
            <w:noProof/>
            <w:webHidden/>
          </w:rPr>
          <w:fldChar w:fldCharType="begin"/>
        </w:r>
        <w:r>
          <w:rPr>
            <w:noProof/>
            <w:webHidden/>
          </w:rPr>
          <w:instrText xml:space="preserve"> PAGEREF _Toc317160972 \h </w:instrText>
        </w:r>
        <w:r>
          <w:rPr>
            <w:noProof/>
            <w:webHidden/>
          </w:rPr>
        </w:r>
        <w:r>
          <w:rPr>
            <w:noProof/>
            <w:webHidden/>
          </w:rPr>
          <w:fldChar w:fldCharType="separate"/>
        </w:r>
        <w:r>
          <w:rPr>
            <w:noProof/>
            <w:webHidden/>
          </w:rPr>
          <w:t>452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3" w:history="1">
        <w:r w:rsidRPr="00B80388">
          <w:rPr>
            <w:rStyle w:val="a5"/>
            <w:noProof/>
          </w:rPr>
          <w:t>Title: Handbook on the Toxicology of Metals</w:t>
        </w:r>
        <w:r>
          <w:rPr>
            <w:noProof/>
            <w:webHidden/>
          </w:rPr>
          <w:tab/>
        </w:r>
        <w:r>
          <w:rPr>
            <w:noProof/>
            <w:webHidden/>
          </w:rPr>
          <w:fldChar w:fldCharType="begin"/>
        </w:r>
        <w:r>
          <w:rPr>
            <w:noProof/>
            <w:webHidden/>
          </w:rPr>
          <w:instrText xml:space="preserve"> PAGEREF _Toc317160973 \h </w:instrText>
        </w:r>
        <w:r>
          <w:rPr>
            <w:noProof/>
            <w:webHidden/>
          </w:rPr>
        </w:r>
        <w:r>
          <w:rPr>
            <w:noProof/>
            <w:webHidden/>
          </w:rPr>
          <w:fldChar w:fldCharType="separate"/>
        </w:r>
        <w:r>
          <w:rPr>
            <w:noProof/>
            <w:webHidden/>
          </w:rPr>
          <w:t>453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4" w:history="1">
        <w:r w:rsidRPr="00B80388">
          <w:rPr>
            <w:rStyle w:val="a5"/>
            <w:noProof/>
          </w:rPr>
          <w:t>Title:</w:t>
        </w:r>
        <w:r w:rsidRPr="00B80388">
          <w:rPr>
            <w:rStyle w:val="a5"/>
            <w:noProof/>
            <w:lang w:val="de-DE"/>
          </w:rPr>
          <w:t xml:space="preserve"> Harmful Algae</w:t>
        </w:r>
        <w:r>
          <w:rPr>
            <w:noProof/>
            <w:webHidden/>
          </w:rPr>
          <w:tab/>
        </w:r>
        <w:r>
          <w:rPr>
            <w:noProof/>
            <w:webHidden/>
          </w:rPr>
          <w:fldChar w:fldCharType="begin"/>
        </w:r>
        <w:r>
          <w:rPr>
            <w:noProof/>
            <w:webHidden/>
          </w:rPr>
          <w:instrText xml:space="preserve"> PAGEREF _Toc317160974 \h </w:instrText>
        </w:r>
        <w:r>
          <w:rPr>
            <w:noProof/>
            <w:webHidden/>
          </w:rPr>
        </w:r>
        <w:r>
          <w:rPr>
            <w:noProof/>
            <w:webHidden/>
          </w:rPr>
          <w:fldChar w:fldCharType="separate"/>
        </w:r>
        <w:r>
          <w:rPr>
            <w:noProof/>
            <w:webHidden/>
          </w:rPr>
          <w:t>454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5" w:history="1">
        <w:r w:rsidRPr="00B80388">
          <w:rPr>
            <w:rStyle w:val="a5"/>
            <w:noProof/>
          </w:rPr>
          <w:t>Title:</w:t>
        </w:r>
        <w:r w:rsidRPr="00B80388">
          <w:rPr>
            <w:rStyle w:val="a5"/>
            <w:noProof/>
            <w:lang w:val="de-DE"/>
          </w:rPr>
          <w:t xml:space="preserve"> </w:t>
        </w:r>
        <w:r w:rsidRPr="00B80388">
          <w:rPr>
            <w:rStyle w:val="a5"/>
            <w:iCs/>
            <w:noProof/>
          </w:rPr>
          <w:t>Harvard Review of Psychiatry</w:t>
        </w:r>
        <w:r>
          <w:rPr>
            <w:noProof/>
            <w:webHidden/>
          </w:rPr>
          <w:tab/>
        </w:r>
        <w:r>
          <w:rPr>
            <w:noProof/>
            <w:webHidden/>
          </w:rPr>
          <w:fldChar w:fldCharType="begin"/>
        </w:r>
        <w:r>
          <w:rPr>
            <w:noProof/>
            <w:webHidden/>
          </w:rPr>
          <w:instrText xml:space="preserve"> PAGEREF _Toc317160975 \h </w:instrText>
        </w:r>
        <w:r>
          <w:rPr>
            <w:noProof/>
            <w:webHidden/>
          </w:rPr>
        </w:r>
        <w:r>
          <w:rPr>
            <w:noProof/>
            <w:webHidden/>
          </w:rPr>
          <w:fldChar w:fldCharType="separate"/>
        </w:r>
        <w:r>
          <w:rPr>
            <w:noProof/>
            <w:webHidden/>
          </w:rPr>
          <w:t>455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6" w:history="1">
        <w:r w:rsidRPr="00B80388">
          <w:rPr>
            <w:rStyle w:val="a5"/>
            <w:noProof/>
          </w:rPr>
          <w:t>Title: Hautarzt</w:t>
        </w:r>
        <w:r>
          <w:rPr>
            <w:noProof/>
            <w:webHidden/>
          </w:rPr>
          <w:tab/>
        </w:r>
        <w:r>
          <w:rPr>
            <w:noProof/>
            <w:webHidden/>
          </w:rPr>
          <w:fldChar w:fldCharType="begin"/>
        </w:r>
        <w:r>
          <w:rPr>
            <w:noProof/>
            <w:webHidden/>
          </w:rPr>
          <w:instrText xml:space="preserve"> PAGEREF _Toc317160976 \h </w:instrText>
        </w:r>
        <w:r>
          <w:rPr>
            <w:noProof/>
            <w:webHidden/>
          </w:rPr>
        </w:r>
        <w:r>
          <w:rPr>
            <w:noProof/>
            <w:webHidden/>
          </w:rPr>
          <w:fldChar w:fldCharType="separate"/>
        </w:r>
        <w:r>
          <w:rPr>
            <w:noProof/>
            <w:webHidden/>
          </w:rPr>
          <w:t>457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7" w:history="1">
        <w:r w:rsidRPr="00B80388">
          <w:rPr>
            <w:rStyle w:val="a5"/>
            <w:noProof/>
          </w:rPr>
          <w:t>Title: Hazardous and Industrial Wastes</w:t>
        </w:r>
        <w:r>
          <w:rPr>
            <w:noProof/>
            <w:webHidden/>
          </w:rPr>
          <w:tab/>
        </w:r>
        <w:r>
          <w:rPr>
            <w:noProof/>
            <w:webHidden/>
          </w:rPr>
          <w:fldChar w:fldCharType="begin"/>
        </w:r>
        <w:r>
          <w:rPr>
            <w:noProof/>
            <w:webHidden/>
          </w:rPr>
          <w:instrText xml:space="preserve"> PAGEREF _Toc317160977 \h </w:instrText>
        </w:r>
        <w:r>
          <w:rPr>
            <w:noProof/>
            <w:webHidden/>
          </w:rPr>
        </w:r>
        <w:r>
          <w:rPr>
            <w:noProof/>
            <w:webHidden/>
          </w:rPr>
          <w:fldChar w:fldCharType="separate"/>
        </w:r>
        <w:r>
          <w:rPr>
            <w:noProof/>
            <w:webHidden/>
          </w:rPr>
          <w:t>458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8" w:history="1">
        <w:r w:rsidRPr="00B80388">
          <w:rPr>
            <w:rStyle w:val="a5"/>
            <w:noProof/>
          </w:rPr>
          <w:t>Title: Hazardous Waste Consultant</w:t>
        </w:r>
        <w:r>
          <w:rPr>
            <w:noProof/>
            <w:webHidden/>
          </w:rPr>
          <w:tab/>
        </w:r>
        <w:r>
          <w:rPr>
            <w:noProof/>
            <w:webHidden/>
          </w:rPr>
          <w:fldChar w:fldCharType="begin"/>
        </w:r>
        <w:r>
          <w:rPr>
            <w:noProof/>
            <w:webHidden/>
          </w:rPr>
          <w:instrText xml:space="preserve"> PAGEREF _Toc317160978 \h </w:instrText>
        </w:r>
        <w:r>
          <w:rPr>
            <w:noProof/>
            <w:webHidden/>
          </w:rPr>
        </w:r>
        <w:r>
          <w:rPr>
            <w:noProof/>
            <w:webHidden/>
          </w:rPr>
          <w:fldChar w:fldCharType="separate"/>
        </w:r>
        <w:r>
          <w:rPr>
            <w:noProof/>
            <w:webHidden/>
          </w:rPr>
          <w:t>459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79" w:history="1">
        <w:r w:rsidRPr="00B80388">
          <w:rPr>
            <w:rStyle w:val="a5"/>
            <w:noProof/>
          </w:rPr>
          <w:t>Title: Hazardous Waste &amp; Hazardous Materials</w:t>
        </w:r>
        <w:r>
          <w:rPr>
            <w:noProof/>
            <w:webHidden/>
          </w:rPr>
          <w:tab/>
        </w:r>
        <w:r>
          <w:rPr>
            <w:noProof/>
            <w:webHidden/>
          </w:rPr>
          <w:fldChar w:fldCharType="begin"/>
        </w:r>
        <w:r>
          <w:rPr>
            <w:noProof/>
            <w:webHidden/>
          </w:rPr>
          <w:instrText xml:space="preserve"> PAGEREF _Toc317160979 \h </w:instrText>
        </w:r>
        <w:r>
          <w:rPr>
            <w:noProof/>
            <w:webHidden/>
          </w:rPr>
        </w:r>
        <w:r>
          <w:rPr>
            <w:noProof/>
            <w:webHidden/>
          </w:rPr>
          <w:fldChar w:fldCharType="separate"/>
        </w:r>
        <w:r>
          <w:rPr>
            <w:noProof/>
            <w:webHidden/>
          </w:rPr>
          <w:t>461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0" w:history="1">
        <w:r w:rsidRPr="00B80388">
          <w:rPr>
            <w:rStyle w:val="a5"/>
            <w:noProof/>
          </w:rPr>
          <w:t xml:space="preserve">Title: </w:t>
        </w:r>
        <w:r w:rsidRPr="00B80388">
          <w:rPr>
            <w:rStyle w:val="a5"/>
            <w:iCs/>
            <w:noProof/>
          </w:rPr>
          <w:t>Headache</w:t>
        </w:r>
        <w:r>
          <w:rPr>
            <w:noProof/>
            <w:webHidden/>
          </w:rPr>
          <w:tab/>
        </w:r>
        <w:r>
          <w:rPr>
            <w:noProof/>
            <w:webHidden/>
          </w:rPr>
          <w:fldChar w:fldCharType="begin"/>
        </w:r>
        <w:r>
          <w:rPr>
            <w:noProof/>
            <w:webHidden/>
          </w:rPr>
          <w:instrText xml:space="preserve"> PAGEREF _Toc317160980 \h </w:instrText>
        </w:r>
        <w:r>
          <w:rPr>
            <w:noProof/>
            <w:webHidden/>
          </w:rPr>
        </w:r>
        <w:r>
          <w:rPr>
            <w:noProof/>
            <w:webHidden/>
          </w:rPr>
          <w:fldChar w:fldCharType="separate"/>
        </w:r>
        <w:r>
          <w:rPr>
            <w:noProof/>
            <w:webHidden/>
          </w:rPr>
          <w:t>466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1" w:history="1">
        <w:r w:rsidRPr="00B80388">
          <w:rPr>
            <w:rStyle w:val="a5"/>
            <w:noProof/>
          </w:rPr>
          <w:t>Title: Health</w:t>
        </w:r>
        <w:r>
          <w:rPr>
            <w:noProof/>
            <w:webHidden/>
          </w:rPr>
          <w:tab/>
        </w:r>
        <w:r>
          <w:rPr>
            <w:noProof/>
            <w:webHidden/>
          </w:rPr>
          <w:fldChar w:fldCharType="begin"/>
        </w:r>
        <w:r>
          <w:rPr>
            <w:noProof/>
            <w:webHidden/>
          </w:rPr>
          <w:instrText xml:space="preserve"> PAGEREF _Toc317160981 \h </w:instrText>
        </w:r>
        <w:r>
          <w:rPr>
            <w:noProof/>
            <w:webHidden/>
          </w:rPr>
        </w:r>
        <w:r>
          <w:rPr>
            <w:noProof/>
            <w:webHidden/>
          </w:rPr>
          <w:fldChar w:fldCharType="separate"/>
        </w:r>
        <w:r>
          <w:rPr>
            <w:noProof/>
            <w:webHidden/>
          </w:rPr>
          <w:t>469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2" w:history="1">
        <w:r w:rsidRPr="00B80388">
          <w:rPr>
            <w:rStyle w:val="a5"/>
            <w:noProof/>
          </w:rPr>
          <w:t>Title: Health Bulletin (Edinb)</w:t>
        </w:r>
        <w:r>
          <w:rPr>
            <w:noProof/>
            <w:webHidden/>
          </w:rPr>
          <w:tab/>
        </w:r>
        <w:r>
          <w:rPr>
            <w:noProof/>
            <w:webHidden/>
          </w:rPr>
          <w:fldChar w:fldCharType="begin"/>
        </w:r>
        <w:r>
          <w:rPr>
            <w:noProof/>
            <w:webHidden/>
          </w:rPr>
          <w:instrText xml:space="preserve"> PAGEREF _Toc317160982 \h </w:instrText>
        </w:r>
        <w:r>
          <w:rPr>
            <w:noProof/>
            <w:webHidden/>
          </w:rPr>
        </w:r>
        <w:r>
          <w:rPr>
            <w:noProof/>
            <w:webHidden/>
          </w:rPr>
          <w:fldChar w:fldCharType="separate"/>
        </w:r>
        <w:r>
          <w:rPr>
            <w:noProof/>
            <w:webHidden/>
          </w:rPr>
          <w:t>470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3" w:history="1">
        <w:r w:rsidRPr="00B80388">
          <w:rPr>
            <w:rStyle w:val="a5"/>
            <w:noProof/>
          </w:rPr>
          <w:t>Title: Health Care Management Review</w:t>
        </w:r>
        <w:r>
          <w:rPr>
            <w:noProof/>
            <w:webHidden/>
          </w:rPr>
          <w:tab/>
        </w:r>
        <w:r>
          <w:rPr>
            <w:noProof/>
            <w:webHidden/>
          </w:rPr>
          <w:fldChar w:fldCharType="begin"/>
        </w:r>
        <w:r>
          <w:rPr>
            <w:noProof/>
            <w:webHidden/>
          </w:rPr>
          <w:instrText xml:space="preserve"> PAGEREF _Toc317160983 \h </w:instrText>
        </w:r>
        <w:r>
          <w:rPr>
            <w:noProof/>
            <w:webHidden/>
          </w:rPr>
        </w:r>
        <w:r>
          <w:rPr>
            <w:noProof/>
            <w:webHidden/>
          </w:rPr>
          <w:fldChar w:fldCharType="separate"/>
        </w:r>
        <w:r>
          <w:rPr>
            <w:noProof/>
            <w:webHidden/>
          </w:rPr>
          <w:t>471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4" w:history="1">
        <w:r w:rsidRPr="00B80388">
          <w:rPr>
            <w:rStyle w:val="a5"/>
            <w:noProof/>
          </w:rPr>
          <w:t>Title: Health Communication</w:t>
        </w:r>
        <w:r>
          <w:rPr>
            <w:noProof/>
            <w:webHidden/>
          </w:rPr>
          <w:tab/>
        </w:r>
        <w:r>
          <w:rPr>
            <w:noProof/>
            <w:webHidden/>
          </w:rPr>
          <w:fldChar w:fldCharType="begin"/>
        </w:r>
        <w:r>
          <w:rPr>
            <w:noProof/>
            <w:webHidden/>
          </w:rPr>
          <w:instrText xml:space="preserve"> PAGEREF _Toc317160984 \h </w:instrText>
        </w:r>
        <w:r>
          <w:rPr>
            <w:noProof/>
            <w:webHidden/>
          </w:rPr>
        </w:r>
        <w:r>
          <w:rPr>
            <w:noProof/>
            <w:webHidden/>
          </w:rPr>
          <w:fldChar w:fldCharType="separate"/>
        </w:r>
        <w:r>
          <w:rPr>
            <w:noProof/>
            <w:webHidden/>
          </w:rPr>
          <w:t>472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5" w:history="1">
        <w:r w:rsidRPr="00B80388">
          <w:rPr>
            <w:rStyle w:val="a5"/>
            <w:noProof/>
          </w:rPr>
          <w:t>Title: Health Data in the Information Society</w:t>
        </w:r>
        <w:r>
          <w:rPr>
            <w:noProof/>
            <w:webHidden/>
          </w:rPr>
          <w:tab/>
        </w:r>
        <w:r>
          <w:rPr>
            <w:noProof/>
            <w:webHidden/>
          </w:rPr>
          <w:fldChar w:fldCharType="begin"/>
        </w:r>
        <w:r>
          <w:rPr>
            <w:noProof/>
            <w:webHidden/>
          </w:rPr>
          <w:instrText xml:space="preserve"> PAGEREF _Toc317160985 \h </w:instrText>
        </w:r>
        <w:r>
          <w:rPr>
            <w:noProof/>
            <w:webHidden/>
          </w:rPr>
        </w:r>
        <w:r>
          <w:rPr>
            <w:noProof/>
            <w:webHidden/>
          </w:rPr>
          <w:fldChar w:fldCharType="separate"/>
        </w:r>
        <w:r>
          <w:rPr>
            <w:noProof/>
            <w:webHidden/>
          </w:rPr>
          <w:t>474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6" w:history="1">
        <w:r w:rsidRPr="00B80388">
          <w:rPr>
            <w:rStyle w:val="a5"/>
            <w:noProof/>
          </w:rPr>
          <w:t>Title: Health Economics</w:t>
        </w:r>
        <w:r>
          <w:rPr>
            <w:noProof/>
            <w:webHidden/>
          </w:rPr>
          <w:tab/>
        </w:r>
        <w:r>
          <w:rPr>
            <w:noProof/>
            <w:webHidden/>
          </w:rPr>
          <w:fldChar w:fldCharType="begin"/>
        </w:r>
        <w:r>
          <w:rPr>
            <w:noProof/>
            <w:webHidden/>
          </w:rPr>
          <w:instrText xml:space="preserve"> PAGEREF _Toc317160986 \h </w:instrText>
        </w:r>
        <w:r>
          <w:rPr>
            <w:noProof/>
            <w:webHidden/>
          </w:rPr>
        </w:r>
        <w:r>
          <w:rPr>
            <w:noProof/>
            <w:webHidden/>
          </w:rPr>
          <w:fldChar w:fldCharType="separate"/>
        </w:r>
        <w:r>
          <w:rPr>
            <w:noProof/>
            <w:webHidden/>
          </w:rPr>
          <w:t>475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7" w:history="1">
        <w:r w:rsidRPr="00B80388">
          <w:rPr>
            <w:rStyle w:val="a5"/>
            <w:noProof/>
          </w:rPr>
          <w:t>Title: Health Education &amp; Behavior</w:t>
        </w:r>
        <w:r>
          <w:rPr>
            <w:noProof/>
            <w:webHidden/>
          </w:rPr>
          <w:tab/>
        </w:r>
        <w:r>
          <w:rPr>
            <w:noProof/>
            <w:webHidden/>
          </w:rPr>
          <w:fldChar w:fldCharType="begin"/>
        </w:r>
        <w:r>
          <w:rPr>
            <w:noProof/>
            <w:webHidden/>
          </w:rPr>
          <w:instrText xml:space="preserve"> PAGEREF _Toc317160987 \h </w:instrText>
        </w:r>
        <w:r>
          <w:rPr>
            <w:noProof/>
            <w:webHidden/>
          </w:rPr>
        </w:r>
        <w:r>
          <w:rPr>
            <w:noProof/>
            <w:webHidden/>
          </w:rPr>
          <w:fldChar w:fldCharType="separate"/>
        </w:r>
        <w:r>
          <w:rPr>
            <w:noProof/>
            <w:webHidden/>
          </w:rPr>
          <w:t>478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8" w:history="1">
        <w:r w:rsidRPr="00B80388">
          <w:rPr>
            <w:rStyle w:val="a5"/>
            <w:noProof/>
          </w:rPr>
          <w:t xml:space="preserve">Title: </w:t>
        </w:r>
        <w:r w:rsidRPr="00B80388">
          <w:rPr>
            <w:rStyle w:val="a5"/>
            <w:iCs/>
            <w:noProof/>
          </w:rPr>
          <w:t>Health Education Journal</w:t>
        </w:r>
        <w:r>
          <w:rPr>
            <w:noProof/>
            <w:webHidden/>
          </w:rPr>
          <w:tab/>
        </w:r>
        <w:r>
          <w:rPr>
            <w:noProof/>
            <w:webHidden/>
          </w:rPr>
          <w:fldChar w:fldCharType="begin"/>
        </w:r>
        <w:r>
          <w:rPr>
            <w:noProof/>
            <w:webHidden/>
          </w:rPr>
          <w:instrText xml:space="preserve"> PAGEREF _Toc317160988 \h </w:instrText>
        </w:r>
        <w:r>
          <w:rPr>
            <w:noProof/>
            <w:webHidden/>
          </w:rPr>
        </w:r>
        <w:r>
          <w:rPr>
            <w:noProof/>
            <w:webHidden/>
          </w:rPr>
          <w:fldChar w:fldCharType="separate"/>
        </w:r>
        <w:r>
          <w:rPr>
            <w:noProof/>
            <w:webHidden/>
          </w:rPr>
          <w:t>479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89" w:history="1">
        <w:r w:rsidRPr="00B80388">
          <w:rPr>
            <w:rStyle w:val="a5"/>
            <w:noProof/>
          </w:rPr>
          <w:t>Title: Health Education Quarterly</w:t>
        </w:r>
        <w:r>
          <w:rPr>
            <w:noProof/>
            <w:webHidden/>
          </w:rPr>
          <w:tab/>
        </w:r>
        <w:r>
          <w:rPr>
            <w:noProof/>
            <w:webHidden/>
          </w:rPr>
          <w:fldChar w:fldCharType="begin"/>
        </w:r>
        <w:r>
          <w:rPr>
            <w:noProof/>
            <w:webHidden/>
          </w:rPr>
          <w:instrText xml:space="preserve"> PAGEREF _Toc317160989 \h </w:instrText>
        </w:r>
        <w:r>
          <w:rPr>
            <w:noProof/>
            <w:webHidden/>
          </w:rPr>
        </w:r>
        <w:r>
          <w:rPr>
            <w:noProof/>
            <w:webHidden/>
          </w:rPr>
          <w:fldChar w:fldCharType="separate"/>
        </w:r>
        <w:r>
          <w:rPr>
            <w:noProof/>
            <w:webHidden/>
          </w:rPr>
          <w:t>480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0" w:history="1">
        <w:r w:rsidRPr="00B80388">
          <w:rPr>
            <w:rStyle w:val="a5"/>
            <w:noProof/>
          </w:rPr>
          <w:t>Title: Health Education Research</w:t>
        </w:r>
        <w:r>
          <w:rPr>
            <w:noProof/>
            <w:webHidden/>
          </w:rPr>
          <w:tab/>
        </w:r>
        <w:r>
          <w:rPr>
            <w:noProof/>
            <w:webHidden/>
          </w:rPr>
          <w:fldChar w:fldCharType="begin"/>
        </w:r>
        <w:r>
          <w:rPr>
            <w:noProof/>
            <w:webHidden/>
          </w:rPr>
          <w:instrText xml:space="preserve"> PAGEREF _Toc317160990 \h </w:instrText>
        </w:r>
        <w:r>
          <w:rPr>
            <w:noProof/>
            <w:webHidden/>
          </w:rPr>
        </w:r>
        <w:r>
          <w:rPr>
            <w:noProof/>
            <w:webHidden/>
          </w:rPr>
          <w:fldChar w:fldCharType="separate"/>
        </w:r>
        <w:r>
          <w:rPr>
            <w:noProof/>
            <w:webHidden/>
          </w:rPr>
          <w:t>481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1" w:history="1">
        <w:r w:rsidRPr="00B80388">
          <w:rPr>
            <w:rStyle w:val="a5"/>
            <w:noProof/>
          </w:rPr>
          <w:t>Title: Health Information and Libraries Journal</w:t>
        </w:r>
        <w:r>
          <w:rPr>
            <w:noProof/>
            <w:webHidden/>
          </w:rPr>
          <w:tab/>
        </w:r>
        <w:r>
          <w:rPr>
            <w:noProof/>
            <w:webHidden/>
          </w:rPr>
          <w:fldChar w:fldCharType="begin"/>
        </w:r>
        <w:r>
          <w:rPr>
            <w:noProof/>
            <w:webHidden/>
          </w:rPr>
          <w:instrText xml:space="preserve"> PAGEREF _Toc317160991 \h </w:instrText>
        </w:r>
        <w:r>
          <w:rPr>
            <w:noProof/>
            <w:webHidden/>
          </w:rPr>
        </w:r>
        <w:r>
          <w:rPr>
            <w:noProof/>
            <w:webHidden/>
          </w:rPr>
          <w:fldChar w:fldCharType="separate"/>
        </w:r>
        <w:r>
          <w:rPr>
            <w:noProof/>
            <w:webHidden/>
          </w:rPr>
          <w:t>483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2" w:history="1">
        <w:r w:rsidRPr="00B80388">
          <w:rPr>
            <w:rStyle w:val="a5"/>
            <w:noProof/>
          </w:rPr>
          <w:t>Title: Health Medicine Recsearch and Practice</w:t>
        </w:r>
        <w:r>
          <w:rPr>
            <w:noProof/>
            <w:webHidden/>
          </w:rPr>
          <w:tab/>
        </w:r>
        <w:r>
          <w:rPr>
            <w:noProof/>
            <w:webHidden/>
          </w:rPr>
          <w:fldChar w:fldCharType="begin"/>
        </w:r>
        <w:r>
          <w:rPr>
            <w:noProof/>
            <w:webHidden/>
          </w:rPr>
          <w:instrText xml:space="preserve"> PAGEREF _Toc317160992 \h </w:instrText>
        </w:r>
        <w:r>
          <w:rPr>
            <w:noProof/>
            <w:webHidden/>
          </w:rPr>
        </w:r>
        <w:r>
          <w:rPr>
            <w:noProof/>
            <w:webHidden/>
          </w:rPr>
          <w:fldChar w:fldCharType="separate"/>
        </w:r>
        <w:r>
          <w:rPr>
            <w:noProof/>
            <w:webHidden/>
          </w:rPr>
          <w:t>489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3" w:history="1">
        <w:r w:rsidRPr="00B80388">
          <w:rPr>
            <w:rStyle w:val="a5"/>
            <w:noProof/>
          </w:rPr>
          <w:t>Title: Health Physics</w:t>
        </w:r>
        <w:r>
          <w:rPr>
            <w:noProof/>
            <w:webHidden/>
          </w:rPr>
          <w:tab/>
        </w:r>
        <w:r>
          <w:rPr>
            <w:noProof/>
            <w:webHidden/>
          </w:rPr>
          <w:fldChar w:fldCharType="begin"/>
        </w:r>
        <w:r>
          <w:rPr>
            <w:noProof/>
            <w:webHidden/>
          </w:rPr>
          <w:instrText xml:space="preserve"> PAGEREF _Toc317160993 \h </w:instrText>
        </w:r>
        <w:r>
          <w:rPr>
            <w:noProof/>
            <w:webHidden/>
          </w:rPr>
        </w:r>
        <w:r>
          <w:rPr>
            <w:noProof/>
            <w:webHidden/>
          </w:rPr>
          <w:fldChar w:fldCharType="separate"/>
        </w:r>
        <w:r>
          <w:rPr>
            <w:noProof/>
            <w:webHidden/>
          </w:rPr>
          <w:t>490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4" w:history="1">
        <w:r w:rsidRPr="00B80388">
          <w:rPr>
            <w:rStyle w:val="a5"/>
            <w:noProof/>
          </w:rPr>
          <w:t>Title: Health &amp; Place</w:t>
        </w:r>
        <w:r>
          <w:rPr>
            <w:noProof/>
            <w:webHidden/>
          </w:rPr>
          <w:tab/>
        </w:r>
        <w:r>
          <w:rPr>
            <w:noProof/>
            <w:webHidden/>
          </w:rPr>
          <w:fldChar w:fldCharType="begin"/>
        </w:r>
        <w:r>
          <w:rPr>
            <w:noProof/>
            <w:webHidden/>
          </w:rPr>
          <w:instrText xml:space="preserve"> PAGEREF _Toc317160994 \h </w:instrText>
        </w:r>
        <w:r>
          <w:rPr>
            <w:noProof/>
            <w:webHidden/>
          </w:rPr>
        </w:r>
        <w:r>
          <w:rPr>
            <w:noProof/>
            <w:webHidden/>
          </w:rPr>
          <w:fldChar w:fldCharType="separate"/>
        </w:r>
        <w:r>
          <w:rPr>
            <w:noProof/>
            <w:webHidden/>
          </w:rPr>
          <w:t>492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5" w:history="1">
        <w:r w:rsidRPr="00B80388">
          <w:rPr>
            <w:rStyle w:val="a5"/>
            <w:noProof/>
          </w:rPr>
          <w:t>Title: Health Policy</w:t>
        </w:r>
        <w:r>
          <w:rPr>
            <w:noProof/>
            <w:webHidden/>
          </w:rPr>
          <w:tab/>
        </w:r>
        <w:r>
          <w:rPr>
            <w:noProof/>
            <w:webHidden/>
          </w:rPr>
          <w:fldChar w:fldCharType="begin"/>
        </w:r>
        <w:r>
          <w:rPr>
            <w:noProof/>
            <w:webHidden/>
          </w:rPr>
          <w:instrText xml:space="preserve"> PAGEREF _Toc317160995 \h </w:instrText>
        </w:r>
        <w:r>
          <w:rPr>
            <w:noProof/>
            <w:webHidden/>
          </w:rPr>
        </w:r>
        <w:r>
          <w:rPr>
            <w:noProof/>
            <w:webHidden/>
          </w:rPr>
          <w:fldChar w:fldCharType="separate"/>
        </w:r>
        <w:r>
          <w:rPr>
            <w:noProof/>
            <w:webHidden/>
          </w:rPr>
          <w:t>493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6" w:history="1">
        <w:r w:rsidRPr="00B80388">
          <w:rPr>
            <w:rStyle w:val="a5"/>
            <w:noProof/>
          </w:rPr>
          <w:t xml:space="preserve">Title: </w:t>
        </w:r>
        <w:r w:rsidRPr="00B80388">
          <w:rPr>
            <w:rStyle w:val="a5"/>
            <w:iCs/>
            <w:noProof/>
          </w:rPr>
          <w:t>Health Psychology</w:t>
        </w:r>
        <w:r>
          <w:rPr>
            <w:noProof/>
            <w:webHidden/>
          </w:rPr>
          <w:tab/>
        </w:r>
        <w:r>
          <w:rPr>
            <w:noProof/>
            <w:webHidden/>
          </w:rPr>
          <w:fldChar w:fldCharType="begin"/>
        </w:r>
        <w:r>
          <w:rPr>
            <w:noProof/>
            <w:webHidden/>
          </w:rPr>
          <w:instrText xml:space="preserve"> PAGEREF _Toc317160996 \h </w:instrText>
        </w:r>
        <w:r>
          <w:rPr>
            <w:noProof/>
            <w:webHidden/>
          </w:rPr>
        </w:r>
        <w:r>
          <w:rPr>
            <w:noProof/>
            <w:webHidden/>
          </w:rPr>
          <w:fldChar w:fldCharType="separate"/>
        </w:r>
        <w:r>
          <w:rPr>
            <w:noProof/>
            <w:webHidden/>
          </w:rPr>
          <w:t>496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7" w:history="1">
        <w:r w:rsidRPr="00B80388">
          <w:rPr>
            <w:rStyle w:val="a5"/>
            <w:noProof/>
          </w:rPr>
          <w:t xml:space="preserve">Title: </w:t>
        </w:r>
        <w:r w:rsidRPr="00B80388">
          <w:rPr>
            <w:rStyle w:val="a5"/>
            <w:iCs/>
            <w:noProof/>
          </w:rPr>
          <w:t>Health Psychology Review</w:t>
        </w:r>
        <w:r>
          <w:rPr>
            <w:noProof/>
            <w:webHidden/>
          </w:rPr>
          <w:tab/>
        </w:r>
        <w:r>
          <w:rPr>
            <w:noProof/>
            <w:webHidden/>
          </w:rPr>
          <w:fldChar w:fldCharType="begin"/>
        </w:r>
        <w:r>
          <w:rPr>
            <w:noProof/>
            <w:webHidden/>
          </w:rPr>
          <w:instrText xml:space="preserve"> PAGEREF _Toc317160997 \h </w:instrText>
        </w:r>
        <w:r>
          <w:rPr>
            <w:noProof/>
            <w:webHidden/>
          </w:rPr>
        </w:r>
        <w:r>
          <w:rPr>
            <w:noProof/>
            <w:webHidden/>
          </w:rPr>
          <w:fldChar w:fldCharType="separate"/>
        </w:r>
        <w:r>
          <w:rPr>
            <w:noProof/>
            <w:webHidden/>
          </w:rPr>
          <w:t>497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8" w:history="1">
        <w:r w:rsidRPr="00B80388">
          <w:rPr>
            <w:rStyle w:val="a5"/>
            <w:noProof/>
          </w:rPr>
          <w:t>Title: Health Research Policy and Systems</w:t>
        </w:r>
        <w:r>
          <w:rPr>
            <w:noProof/>
            <w:webHidden/>
          </w:rPr>
          <w:tab/>
        </w:r>
        <w:r>
          <w:rPr>
            <w:noProof/>
            <w:webHidden/>
          </w:rPr>
          <w:fldChar w:fldCharType="begin"/>
        </w:r>
        <w:r>
          <w:rPr>
            <w:noProof/>
            <w:webHidden/>
          </w:rPr>
          <w:instrText xml:space="preserve"> PAGEREF _Toc317160998 \h </w:instrText>
        </w:r>
        <w:r>
          <w:rPr>
            <w:noProof/>
            <w:webHidden/>
          </w:rPr>
        </w:r>
        <w:r>
          <w:rPr>
            <w:noProof/>
            <w:webHidden/>
          </w:rPr>
          <w:fldChar w:fldCharType="separate"/>
        </w:r>
        <w:r>
          <w:rPr>
            <w:noProof/>
            <w:webHidden/>
          </w:rPr>
          <w:t>498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0999" w:history="1">
        <w:r w:rsidRPr="00B80388">
          <w:rPr>
            <w:rStyle w:val="a5"/>
            <w:noProof/>
          </w:rPr>
          <w:t>Title: Health Risk &amp; Society</w:t>
        </w:r>
        <w:r>
          <w:rPr>
            <w:noProof/>
            <w:webHidden/>
          </w:rPr>
          <w:tab/>
        </w:r>
        <w:r>
          <w:rPr>
            <w:noProof/>
            <w:webHidden/>
          </w:rPr>
          <w:fldChar w:fldCharType="begin"/>
        </w:r>
        <w:r>
          <w:rPr>
            <w:noProof/>
            <w:webHidden/>
          </w:rPr>
          <w:instrText xml:space="preserve"> PAGEREF _Toc317160999 \h </w:instrText>
        </w:r>
        <w:r>
          <w:rPr>
            <w:noProof/>
            <w:webHidden/>
          </w:rPr>
        </w:r>
        <w:r>
          <w:rPr>
            <w:noProof/>
            <w:webHidden/>
          </w:rPr>
          <w:fldChar w:fldCharType="separate"/>
        </w:r>
        <w:r>
          <w:rPr>
            <w:noProof/>
            <w:webHidden/>
          </w:rPr>
          <w:t>501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0" w:history="1">
        <w:r w:rsidRPr="00B80388">
          <w:rPr>
            <w:rStyle w:val="a5"/>
            <w:noProof/>
          </w:rPr>
          <w:t>Title: Health Services Research</w:t>
        </w:r>
        <w:r>
          <w:rPr>
            <w:noProof/>
            <w:webHidden/>
          </w:rPr>
          <w:tab/>
        </w:r>
        <w:r>
          <w:rPr>
            <w:noProof/>
            <w:webHidden/>
          </w:rPr>
          <w:fldChar w:fldCharType="begin"/>
        </w:r>
        <w:r>
          <w:rPr>
            <w:noProof/>
            <w:webHidden/>
          </w:rPr>
          <w:instrText xml:space="preserve"> PAGEREF _Toc317161000 \h </w:instrText>
        </w:r>
        <w:r>
          <w:rPr>
            <w:noProof/>
            <w:webHidden/>
          </w:rPr>
        </w:r>
        <w:r>
          <w:rPr>
            <w:noProof/>
            <w:webHidden/>
          </w:rPr>
          <w:fldChar w:fldCharType="separate"/>
        </w:r>
        <w:r>
          <w:rPr>
            <w:noProof/>
            <w:webHidden/>
          </w:rPr>
          <w:t>504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1" w:history="1">
        <w:r w:rsidRPr="00B80388">
          <w:rPr>
            <w:rStyle w:val="a5"/>
            <w:noProof/>
          </w:rPr>
          <w:t xml:space="preserve">Title: </w:t>
        </w:r>
        <w:r w:rsidRPr="00B80388">
          <w:rPr>
            <w:rStyle w:val="a5"/>
            <w:iCs/>
            <w:noProof/>
          </w:rPr>
          <w:t>Health &amp; Social Care in the Community</w:t>
        </w:r>
        <w:r>
          <w:rPr>
            <w:noProof/>
            <w:webHidden/>
          </w:rPr>
          <w:tab/>
        </w:r>
        <w:r>
          <w:rPr>
            <w:noProof/>
            <w:webHidden/>
          </w:rPr>
          <w:fldChar w:fldCharType="begin"/>
        </w:r>
        <w:r>
          <w:rPr>
            <w:noProof/>
            <w:webHidden/>
          </w:rPr>
          <w:instrText xml:space="preserve"> PAGEREF _Toc317161001 \h </w:instrText>
        </w:r>
        <w:r>
          <w:rPr>
            <w:noProof/>
            <w:webHidden/>
          </w:rPr>
        </w:r>
        <w:r>
          <w:rPr>
            <w:noProof/>
            <w:webHidden/>
          </w:rPr>
          <w:fldChar w:fldCharType="separate"/>
        </w:r>
        <w:r>
          <w:rPr>
            <w:noProof/>
            <w:webHidden/>
          </w:rPr>
          <w:t>507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2" w:history="1">
        <w:r w:rsidRPr="00B80388">
          <w:rPr>
            <w:rStyle w:val="a5"/>
            <w:noProof/>
          </w:rPr>
          <w:t>Title: Health Technology Assessment</w:t>
        </w:r>
        <w:r>
          <w:rPr>
            <w:noProof/>
            <w:webHidden/>
          </w:rPr>
          <w:tab/>
        </w:r>
        <w:r>
          <w:rPr>
            <w:noProof/>
            <w:webHidden/>
          </w:rPr>
          <w:fldChar w:fldCharType="begin"/>
        </w:r>
        <w:r>
          <w:rPr>
            <w:noProof/>
            <w:webHidden/>
          </w:rPr>
          <w:instrText xml:space="preserve"> PAGEREF _Toc317161002 \h </w:instrText>
        </w:r>
        <w:r>
          <w:rPr>
            <w:noProof/>
            <w:webHidden/>
          </w:rPr>
        </w:r>
        <w:r>
          <w:rPr>
            <w:noProof/>
            <w:webHidden/>
          </w:rPr>
          <w:fldChar w:fldCharType="separate"/>
        </w:r>
        <w:r>
          <w:rPr>
            <w:noProof/>
            <w:webHidden/>
          </w:rPr>
          <w:t>509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3" w:history="1">
        <w:r w:rsidRPr="00B80388">
          <w:rPr>
            <w:rStyle w:val="a5"/>
            <w:noProof/>
          </w:rPr>
          <w:t>Title: Healthcare Quarterly</w:t>
        </w:r>
        <w:r>
          <w:rPr>
            <w:noProof/>
            <w:webHidden/>
          </w:rPr>
          <w:tab/>
        </w:r>
        <w:r>
          <w:rPr>
            <w:noProof/>
            <w:webHidden/>
          </w:rPr>
          <w:fldChar w:fldCharType="begin"/>
        </w:r>
        <w:r>
          <w:rPr>
            <w:noProof/>
            <w:webHidden/>
          </w:rPr>
          <w:instrText xml:space="preserve"> PAGEREF _Toc317161003 \h </w:instrText>
        </w:r>
        <w:r>
          <w:rPr>
            <w:noProof/>
            <w:webHidden/>
          </w:rPr>
        </w:r>
        <w:r>
          <w:rPr>
            <w:noProof/>
            <w:webHidden/>
          </w:rPr>
          <w:fldChar w:fldCharType="separate"/>
        </w:r>
        <w:r>
          <w:rPr>
            <w:noProof/>
            <w:webHidden/>
          </w:rPr>
          <w:t>553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4" w:history="1">
        <w:r w:rsidRPr="00B80388">
          <w:rPr>
            <w:rStyle w:val="a5"/>
            <w:noProof/>
          </w:rPr>
          <w:t>Title: Heart</w:t>
        </w:r>
        <w:r>
          <w:rPr>
            <w:noProof/>
            <w:webHidden/>
          </w:rPr>
          <w:tab/>
        </w:r>
        <w:r>
          <w:rPr>
            <w:noProof/>
            <w:webHidden/>
          </w:rPr>
          <w:fldChar w:fldCharType="begin"/>
        </w:r>
        <w:r>
          <w:rPr>
            <w:noProof/>
            <w:webHidden/>
          </w:rPr>
          <w:instrText xml:space="preserve"> PAGEREF _Toc317161004 \h </w:instrText>
        </w:r>
        <w:r>
          <w:rPr>
            <w:noProof/>
            <w:webHidden/>
          </w:rPr>
        </w:r>
        <w:r>
          <w:rPr>
            <w:noProof/>
            <w:webHidden/>
          </w:rPr>
          <w:fldChar w:fldCharType="separate"/>
        </w:r>
        <w:r>
          <w:rPr>
            <w:noProof/>
            <w:webHidden/>
          </w:rPr>
          <w:t>555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5" w:history="1">
        <w:r w:rsidRPr="00B80388">
          <w:rPr>
            <w:rStyle w:val="a5"/>
            <w:noProof/>
          </w:rPr>
          <w:t>Title: Heart Lung and Circulation</w:t>
        </w:r>
        <w:r>
          <w:rPr>
            <w:noProof/>
            <w:webHidden/>
          </w:rPr>
          <w:tab/>
        </w:r>
        <w:r>
          <w:rPr>
            <w:noProof/>
            <w:webHidden/>
          </w:rPr>
          <w:fldChar w:fldCharType="begin"/>
        </w:r>
        <w:r>
          <w:rPr>
            <w:noProof/>
            <w:webHidden/>
          </w:rPr>
          <w:instrText xml:space="preserve"> PAGEREF _Toc317161005 \h </w:instrText>
        </w:r>
        <w:r>
          <w:rPr>
            <w:noProof/>
            <w:webHidden/>
          </w:rPr>
        </w:r>
        <w:r>
          <w:rPr>
            <w:noProof/>
            <w:webHidden/>
          </w:rPr>
          <w:fldChar w:fldCharType="separate"/>
        </w:r>
        <w:r>
          <w:rPr>
            <w:noProof/>
            <w:webHidden/>
          </w:rPr>
          <w:t>561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6" w:history="1">
        <w:r w:rsidRPr="00B80388">
          <w:rPr>
            <w:rStyle w:val="a5"/>
            <w:noProof/>
          </w:rPr>
          <w:t xml:space="preserve">Title: </w:t>
        </w:r>
        <w:r w:rsidRPr="00B80388">
          <w:rPr>
            <w:rStyle w:val="a5"/>
            <w:iCs/>
            <w:noProof/>
          </w:rPr>
          <w:t>Heart Rhythm</w:t>
        </w:r>
        <w:r>
          <w:rPr>
            <w:noProof/>
            <w:webHidden/>
          </w:rPr>
          <w:tab/>
        </w:r>
        <w:r>
          <w:rPr>
            <w:noProof/>
            <w:webHidden/>
          </w:rPr>
          <w:fldChar w:fldCharType="begin"/>
        </w:r>
        <w:r>
          <w:rPr>
            <w:noProof/>
            <w:webHidden/>
          </w:rPr>
          <w:instrText xml:space="preserve"> PAGEREF _Toc317161006 \h </w:instrText>
        </w:r>
        <w:r>
          <w:rPr>
            <w:noProof/>
            <w:webHidden/>
          </w:rPr>
        </w:r>
        <w:r>
          <w:rPr>
            <w:noProof/>
            <w:webHidden/>
          </w:rPr>
          <w:fldChar w:fldCharType="separate"/>
        </w:r>
        <w:r>
          <w:rPr>
            <w:noProof/>
            <w:webHidden/>
          </w:rPr>
          <w:t>563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7" w:history="1">
        <w:r w:rsidRPr="00B80388">
          <w:rPr>
            <w:rStyle w:val="a5"/>
            <w:noProof/>
          </w:rPr>
          <w:t>Title: Heavy Metals in the Aquatic Environment an International Conference</w:t>
        </w:r>
        <w:r>
          <w:rPr>
            <w:noProof/>
            <w:webHidden/>
          </w:rPr>
          <w:tab/>
        </w:r>
        <w:r>
          <w:rPr>
            <w:noProof/>
            <w:webHidden/>
          </w:rPr>
          <w:fldChar w:fldCharType="begin"/>
        </w:r>
        <w:r>
          <w:rPr>
            <w:noProof/>
            <w:webHidden/>
          </w:rPr>
          <w:instrText xml:space="preserve"> PAGEREF _Toc317161007 \h </w:instrText>
        </w:r>
        <w:r>
          <w:rPr>
            <w:noProof/>
            <w:webHidden/>
          </w:rPr>
        </w:r>
        <w:r>
          <w:rPr>
            <w:noProof/>
            <w:webHidden/>
          </w:rPr>
          <w:fldChar w:fldCharType="separate"/>
        </w:r>
        <w:r>
          <w:rPr>
            <w:noProof/>
            <w:webHidden/>
          </w:rPr>
          <w:t>566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8" w:history="1">
        <w:r w:rsidRPr="00B80388">
          <w:rPr>
            <w:rStyle w:val="a5"/>
            <w:noProof/>
          </w:rPr>
          <w:t xml:space="preserve">Title: </w:t>
        </w:r>
        <w:r w:rsidRPr="00B80388">
          <w:rPr>
            <w:rStyle w:val="a5"/>
            <w:iCs/>
            <w:noProof/>
          </w:rPr>
          <w:t>Heavy Metals in the Environment</w:t>
        </w:r>
        <w:r>
          <w:rPr>
            <w:noProof/>
            <w:webHidden/>
          </w:rPr>
          <w:tab/>
        </w:r>
        <w:r>
          <w:rPr>
            <w:noProof/>
            <w:webHidden/>
          </w:rPr>
          <w:fldChar w:fldCharType="begin"/>
        </w:r>
        <w:r>
          <w:rPr>
            <w:noProof/>
            <w:webHidden/>
          </w:rPr>
          <w:instrText xml:space="preserve"> PAGEREF _Toc317161008 \h </w:instrText>
        </w:r>
        <w:r>
          <w:rPr>
            <w:noProof/>
            <w:webHidden/>
          </w:rPr>
        </w:r>
        <w:r>
          <w:rPr>
            <w:noProof/>
            <w:webHidden/>
          </w:rPr>
          <w:fldChar w:fldCharType="separate"/>
        </w:r>
        <w:r>
          <w:rPr>
            <w:noProof/>
            <w:webHidden/>
          </w:rPr>
          <w:t>567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09" w:history="1">
        <w:r w:rsidRPr="00B80388">
          <w:rPr>
            <w:rStyle w:val="a5"/>
            <w:noProof/>
          </w:rPr>
          <w:t>Title: Heavy Metals in Natural Waters Applied Monitoring and Impact Assessment</w:t>
        </w:r>
        <w:r>
          <w:rPr>
            <w:noProof/>
            <w:webHidden/>
          </w:rPr>
          <w:tab/>
        </w:r>
        <w:r>
          <w:rPr>
            <w:noProof/>
            <w:webHidden/>
          </w:rPr>
          <w:fldChar w:fldCharType="begin"/>
        </w:r>
        <w:r>
          <w:rPr>
            <w:noProof/>
            <w:webHidden/>
          </w:rPr>
          <w:instrText xml:space="preserve"> PAGEREF _Toc317161009 \h </w:instrText>
        </w:r>
        <w:r>
          <w:rPr>
            <w:noProof/>
            <w:webHidden/>
          </w:rPr>
        </w:r>
        <w:r>
          <w:rPr>
            <w:noProof/>
            <w:webHidden/>
          </w:rPr>
          <w:fldChar w:fldCharType="separate"/>
        </w:r>
        <w:r>
          <w:rPr>
            <w:noProof/>
            <w:webHidden/>
          </w:rPr>
          <w:t>568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0" w:history="1">
        <w:r w:rsidRPr="00B80388">
          <w:rPr>
            <w:rStyle w:val="a5"/>
            <w:noProof/>
          </w:rPr>
          <w:t xml:space="preserve">Title: </w:t>
        </w:r>
        <w:r w:rsidRPr="00B80388">
          <w:rPr>
            <w:rStyle w:val="a5"/>
            <w:iCs/>
            <w:noProof/>
          </w:rPr>
          <w:t>Helgoland Marine Research</w:t>
        </w:r>
        <w:r>
          <w:rPr>
            <w:noProof/>
            <w:webHidden/>
          </w:rPr>
          <w:tab/>
        </w:r>
        <w:r>
          <w:rPr>
            <w:noProof/>
            <w:webHidden/>
          </w:rPr>
          <w:fldChar w:fldCharType="begin"/>
        </w:r>
        <w:r>
          <w:rPr>
            <w:noProof/>
            <w:webHidden/>
          </w:rPr>
          <w:instrText xml:space="preserve"> PAGEREF _Toc317161010 \h </w:instrText>
        </w:r>
        <w:r>
          <w:rPr>
            <w:noProof/>
            <w:webHidden/>
          </w:rPr>
        </w:r>
        <w:r>
          <w:rPr>
            <w:noProof/>
            <w:webHidden/>
          </w:rPr>
          <w:fldChar w:fldCharType="separate"/>
        </w:r>
        <w:r>
          <w:rPr>
            <w:noProof/>
            <w:webHidden/>
          </w:rPr>
          <w:t>569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1" w:history="1">
        <w:r w:rsidRPr="00B80388">
          <w:rPr>
            <w:rStyle w:val="a5"/>
            <w:noProof/>
          </w:rPr>
          <w:t>Title: Helicobacter</w:t>
        </w:r>
        <w:r>
          <w:rPr>
            <w:noProof/>
            <w:webHidden/>
          </w:rPr>
          <w:tab/>
        </w:r>
        <w:r>
          <w:rPr>
            <w:noProof/>
            <w:webHidden/>
          </w:rPr>
          <w:fldChar w:fldCharType="begin"/>
        </w:r>
        <w:r>
          <w:rPr>
            <w:noProof/>
            <w:webHidden/>
          </w:rPr>
          <w:instrText xml:space="preserve"> PAGEREF _Toc317161011 \h </w:instrText>
        </w:r>
        <w:r>
          <w:rPr>
            <w:noProof/>
            <w:webHidden/>
          </w:rPr>
        </w:r>
        <w:r>
          <w:rPr>
            <w:noProof/>
            <w:webHidden/>
          </w:rPr>
          <w:fldChar w:fldCharType="separate"/>
        </w:r>
        <w:r>
          <w:rPr>
            <w:noProof/>
            <w:webHidden/>
          </w:rPr>
          <w:t>570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2" w:history="1">
        <w:r w:rsidRPr="00B80388">
          <w:rPr>
            <w:rStyle w:val="a5"/>
            <w:noProof/>
          </w:rPr>
          <w:t>Title: Helvetica Chimica Acta</w:t>
        </w:r>
        <w:r>
          <w:rPr>
            <w:noProof/>
            <w:webHidden/>
          </w:rPr>
          <w:tab/>
        </w:r>
        <w:r>
          <w:rPr>
            <w:noProof/>
            <w:webHidden/>
          </w:rPr>
          <w:fldChar w:fldCharType="begin"/>
        </w:r>
        <w:r>
          <w:rPr>
            <w:noProof/>
            <w:webHidden/>
          </w:rPr>
          <w:instrText xml:space="preserve"> PAGEREF _Toc317161012 \h </w:instrText>
        </w:r>
        <w:r>
          <w:rPr>
            <w:noProof/>
            <w:webHidden/>
          </w:rPr>
        </w:r>
        <w:r>
          <w:rPr>
            <w:noProof/>
            <w:webHidden/>
          </w:rPr>
          <w:fldChar w:fldCharType="separate"/>
        </w:r>
        <w:r>
          <w:rPr>
            <w:noProof/>
            <w:webHidden/>
          </w:rPr>
          <w:t>573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3" w:history="1">
        <w:r w:rsidRPr="00B80388">
          <w:rPr>
            <w:rStyle w:val="a5"/>
            <w:noProof/>
          </w:rPr>
          <w:t xml:space="preserve">Title: </w:t>
        </w:r>
        <w:r w:rsidRPr="00B80388">
          <w:rPr>
            <w:rStyle w:val="a5"/>
            <w:iCs/>
            <w:noProof/>
          </w:rPr>
          <w:t>Hemijska Industrija</w:t>
        </w:r>
        <w:r>
          <w:rPr>
            <w:noProof/>
            <w:webHidden/>
          </w:rPr>
          <w:tab/>
        </w:r>
        <w:r>
          <w:rPr>
            <w:noProof/>
            <w:webHidden/>
          </w:rPr>
          <w:fldChar w:fldCharType="begin"/>
        </w:r>
        <w:r>
          <w:rPr>
            <w:noProof/>
            <w:webHidden/>
          </w:rPr>
          <w:instrText xml:space="preserve"> PAGEREF _Toc317161013 \h </w:instrText>
        </w:r>
        <w:r>
          <w:rPr>
            <w:noProof/>
            <w:webHidden/>
          </w:rPr>
        </w:r>
        <w:r>
          <w:rPr>
            <w:noProof/>
            <w:webHidden/>
          </w:rPr>
          <w:fldChar w:fldCharType="separate"/>
        </w:r>
        <w:r>
          <w:rPr>
            <w:noProof/>
            <w:webHidden/>
          </w:rPr>
          <w:t>574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4" w:history="1">
        <w:r w:rsidRPr="00B80388">
          <w:rPr>
            <w:rStyle w:val="a5"/>
            <w:noProof/>
          </w:rPr>
          <w:t xml:space="preserve">Title: </w:t>
        </w:r>
        <w:r w:rsidRPr="00B80388">
          <w:rPr>
            <w:rStyle w:val="a5"/>
            <w:iCs/>
            <w:noProof/>
          </w:rPr>
          <w:t>Hepatobiliary &amp; Pancreatic Diseases International</w:t>
        </w:r>
        <w:r>
          <w:rPr>
            <w:noProof/>
            <w:webHidden/>
          </w:rPr>
          <w:tab/>
        </w:r>
        <w:r>
          <w:rPr>
            <w:noProof/>
            <w:webHidden/>
          </w:rPr>
          <w:fldChar w:fldCharType="begin"/>
        </w:r>
        <w:r>
          <w:rPr>
            <w:noProof/>
            <w:webHidden/>
          </w:rPr>
          <w:instrText xml:space="preserve"> PAGEREF _Toc317161014 \h </w:instrText>
        </w:r>
        <w:r>
          <w:rPr>
            <w:noProof/>
            <w:webHidden/>
          </w:rPr>
        </w:r>
        <w:r>
          <w:rPr>
            <w:noProof/>
            <w:webHidden/>
          </w:rPr>
          <w:fldChar w:fldCharType="separate"/>
        </w:r>
        <w:r>
          <w:rPr>
            <w:noProof/>
            <w:webHidden/>
          </w:rPr>
          <w:t>577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5" w:history="1">
        <w:r w:rsidRPr="00B80388">
          <w:rPr>
            <w:rStyle w:val="a5"/>
            <w:noProof/>
          </w:rPr>
          <w:t>Title: Hepato-Gastroenterology</w:t>
        </w:r>
        <w:r>
          <w:rPr>
            <w:noProof/>
            <w:webHidden/>
          </w:rPr>
          <w:tab/>
        </w:r>
        <w:r>
          <w:rPr>
            <w:noProof/>
            <w:webHidden/>
          </w:rPr>
          <w:fldChar w:fldCharType="begin"/>
        </w:r>
        <w:r>
          <w:rPr>
            <w:noProof/>
            <w:webHidden/>
          </w:rPr>
          <w:instrText xml:space="preserve"> PAGEREF _Toc317161015 \h </w:instrText>
        </w:r>
        <w:r>
          <w:rPr>
            <w:noProof/>
            <w:webHidden/>
          </w:rPr>
        </w:r>
        <w:r>
          <w:rPr>
            <w:noProof/>
            <w:webHidden/>
          </w:rPr>
          <w:fldChar w:fldCharType="separate"/>
        </w:r>
        <w:r>
          <w:rPr>
            <w:noProof/>
            <w:webHidden/>
          </w:rPr>
          <w:t>581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6" w:history="1">
        <w:r w:rsidRPr="00B80388">
          <w:rPr>
            <w:rStyle w:val="a5"/>
            <w:noProof/>
          </w:rPr>
          <w:t xml:space="preserve">Title: </w:t>
        </w:r>
        <w:r w:rsidRPr="00B80388">
          <w:rPr>
            <w:rStyle w:val="a5"/>
            <w:iCs/>
            <w:noProof/>
          </w:rPr>
          <w:t>Hepatology Research</w:t>
        </w:r>
        <w:r>
          <w:rPr>
            <w:noProof/>
            <w:webHidden/>
          </w:rPr>
          <w:tab/>
        </w:r>
        <w:r>
          <w:rPr>
            <w:noProof/>
            <w:webHidden/>
          </w:rPr>
          <w:fldChar w:fldCharType="begin"/>
        </w:r>
        <w:r>
          <w:rPr>
            <w:noProof/>
            <w:webHidden/>
          </w:rPr>
          <w:instrText xml:space="preserve"> PAGEREF _Toc317161016 \h </w:instrText>
        </w:r>
        <w:r>
          <w:rPr>
            <w:noProof/>
            <w:webHidden/>
          </w:rPr>
        </w:r>
        <w:r>
          <w:rPr>
            <w:noProof/>
            <w:webHidden/>
          </w:rPr>
          <w:fldChar w:fldCharType="separate"/>
        </w:r>
        <w:r>
          <w:rPr>
            <w:noProof/>
            <w:webHidden/>
          </w:rPr>
          <w:t>584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7" w:history="1">
        <w:r w:rsidRPr="00B80388">
          <w:rPr>
            <w:rStyle w:val="a5"/>
            <w:noProof/>
          </w:rPr>
          <w:t xml:space="preserve">Title: </w:t>
        </w:r>
        <w:r w:rsidRPr="00B80388">
          <w:rPr>
            <w:rStyle w:val="a5"/>
            <w:iCs/>
            <w:noProof/>
          </w:rPr>
          <w:t>Herald of the Russian Academy of Sciences</w:t>
        </w:r>
        <w:r>
          <w:rPr>
            <w:noProof/>
            <w:webHidden/>
          </w:rPr>
          <w:tab/>
        </w:r>
        <w:r>
          <w:rPr>
            <w:noProof/>
            <w:webHidden/>
          </w:rPr>
          <w:fldChar w:fldCharType="begin"/>
        </w:r>
        <w:r>
          <w:rPr>
            <w:noProof/>
            <w:webHidden/>
          </w:rPr>
          <w:instrText xml:space="preserve"> PAGEREF _Toc317161017 \h </w:instrText>
        </w:r>
        <w:r>
          <w:rPr>
            <w:noProof/>
            <w:webHidden/>
          </w:rPr>
        </w:r>
        <w:r>
          <w:rPr>
            <w:noProof/>
            <w:webHidden/>
          </w:rPr>
          <w:fldChar w:fldCharType="separate"/>
        </w:r>
        <w:r>
          <w:rPr>
            <w:noProof/>
            <w:webHidden/>
          </w:rPr>
          <w:t>586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8" w:history="1">
        <w:r w:rsidRPr="00B80388">
          <w:rPr>
            <w:rStyle w:val="a5"/>
            <w:noProof/>
          </w:rPr>
          <w:t xml:space="preserve">Title: </w:t>
        </w:r>
        <w:r w:rsidRPr="00B80388">
          <w:rPr>
            <w:rStyle w:val="a5"/>
            <w:iCs/>
            <w:noProof/>
          </w:rPr>
          <w:t>Hernia</w:t>
        </w:r>
        <w:r>
          <w:rPr>
            <w:noProof/>
            <w:webHidden/>
          </w:rPr>
          <w:tab/>
        </w:r>
        <w:r>
          <w:rPr>
            <w:noProof/>
            <w:webHidden/>
          </w:rPr>
          <w:fldChar w:fldCharType="begin"/>
        </w:r>
        <w:r>
          <w:rPr>
            <w:noProof/>
            <w:webHidden/>
          </w:rPr>
          <w:instrText xml:space="preserve"> PAGEREF _Toc317161018 \h </w:instrText>
        </w:r>
        <w:r>
          <w:rPr>
            <w:noProof/>
            <w:webHidden/>
          </w:rPr>
        </w:r>
        <w:r>
          <w:rPr>
            <w:noProof/>
            <w:webHidden/>
          </w:rPr>
          <w:fldChar w:fldCharType="separate"/>
        </w:r>
        <w:r>
          <w:rPr>
            <w:noProof/>
            <w:webHidden/>
          </w:rPr>
          <w:t>590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19" w:history="1">
        <w:r w:rsidRPr="00B80388">
          <w:rPr>
            <w:rStyle w:val="a5"/>
            <w:noProof/>
          </w:rPr>
          <w:t>Title: High Level Radioactive Waste Managemnet-Proceeding Annual International Coference</w:t>
        </w:r>
        <w:r>
          <w:rPr>
            <w:noProof/>
            <w:webHidden/>
          </w:rPr>
          <w:tab/>
        </w:r>
        <w:r>
          <w:rPr>
            <w:noProof/>
            <w:webHidden/>
          </w:rPr>
          <w:fldChar w:fldCharType="begin"/>
        </w:r>
        <w:r>
          <w:rPr>
            <w:noProof/>
            <w:webHidden/>
          </w:rPr>
          <w:instrText xml:space="preserve"> PAGEREF _Toc317161019 \h </w:instrText>
        </w:r>
        <w:r>
          <w:rPr>
            <w:noProof/>
            <w:webHidden/>
          </w:rPr>
        </w:r>
        <w:r>
          <w:rPr>
            <w:noProof/>
            <w:webHidden/>
          </w:rPr>
          <w:fldChar w:fldCharType="separate"/>
        </w:r>
        <w:r>
          <w:rPr>
            <w:noProof/>
            <w:webHidden/>
          </w:rPr>
          <w:t>592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0" w:history="1">
        <w:r w:rsidRPr="00B80388">
          <w:rPr>
            <w:rStyle w:val="a5"/>
            <w:noProof/>
          </w:rPr>
          <w:t>Title: Higher Education</w:t>
        </w:r>
        <w:r>
          <w:rPr>
            <w:noProof/>
            <w:webHidden/>
          </w:rPr>
          <w:tab/>
        </w:r>
        <w:r>
          <w:rPr>
            <w:noProof/>
            <w:webHidden/>
          </w:rPr>
          <w:fldChar w:fldCharType="begin"/>
        </w:r>
        <w:r>
          <w:rPr>
            <w:noProof/>
            <w:webHidden/>
          </w:rPr>
          <w:instrText xml:space="preserve"> PAGEREF _Toc317161020 \h </w:instrText>
        </w:r>
        <w:r>
          <w:rPr>
            <w:noProof/>
            <w:webHidden/>
          </w:rPr>
        </w:r>
        <w:r>
          <w:rPr>
            <w:noProof/>
            <w:webHidden/>
          </w:rPr>
          <w:fldChar w:fldCharType="separate"/>
        </w:r>
        <w:r>
          <w:rPr>
            <w:noProof/>
            <w:webHidden/>
          </w:rPr>
          <w:t>593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1" w:history="1">
        <w:r w:rsidRPr="00B80388">
          <w:rPr>
            <w:rStyle w:val="a5"/>
            <w:noProof/>
          </w:rPr>
          <w:t>Title: Higher Education in Europe</w:t>
        </w:r>
        <w:r>
          <w:rPr>
            <w:noProof/>
            <w:webHidden/>
          </w:rPr>
          <w:tab/>
        </w:r>
        <w:r>
          <w:rPr>
            <w:noProof/>
            <w:webHidden/>
          </w:rPr>
          <w:fldChar w:fldCharType="begin"/>
        </w:r>
        <w:r>
          <w:rPr>
            <w:noProof/>
            <w:webHidden/>
          </w:rPr>
          <w:instrText xml:space="preserve"> PAGEREF _Toc317161021 \h </w:instrText>
        </w:r>
        <w:r>
          <w:rPr>
            <w:noProof/>
            <w:webHidden/>
          </w:rPr>
        </w:r>
        <w:r>
          <w:rPr>
            <w:noProof/>
            <w:webHidden/>
          </w:rPr>
          <w:fldChar w:fldCharType="separate"/>
        </w:r>
        <w:r>
          <w:rPr>
            <w:noProof/>
            <w:webHidden/>
          </w:rPr>
          <w:t>598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2" w:history="1">
        <w:r w:rsidRPr="00B80388">
          <w:rPr>
            <w:rStyle w:val="a5"/>
            <w:noProof/>
          </w:rPr>
          <w:t>Title: Higher Education Policy</w:t>
        </w:r>
        <w:r>
          <w:rPr>
            <w:noProof/>
            <w:webHidden/>
          </w:rPr>
          <w:tab/>
        </w:r>
        <w:r>
          <w:rPr>
            <w:noProof/>
            <w:webHidden/>
          </w:rPr>
          <w:fldChar w:fldCharType="begin"/>
        </w:r>
        <w:r>
          <w:rPr>
            <w:noProof/>
            <w:webHidden/>
          </w:rPr>
          <w:instrText xml:space="preserve"> PAGEREF _Toc317161022 \h </w:instrText>
        </w:r>
        <w:r>
          <w:rPr>
            <w:noProof/>
            <w:webHidden/>
          </w:rPr>
        </w:r>
        <w:r>
          <w:rPr>
            <w:noProof/>
            <w:webHidden/>
          </w:rPr>
          <w:fldChar w:fldCharType="separate"/>
        </w:r>
        <w:r>
          <w:rPr>
            <w:noProof/>
            <w:webHidden/>
          </w:rPr>
          <w:t>599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3" w:history="1">
        <w:r w:rsidRPr="00B80388">
          <w:rPr>
            <w:rStyle w:val="a5"/>
            <w:noProof/>
          </w:rPr>
          <w:t>Title: Higher Education Research and Development</w:t>
        </w:r>
        <w:r>
          <w:rPr>
            <w:noProof/>
            <w:webHidden/>
          </w:rPr>
          <w:tab/>
        </w:r>
        <w:r>
          <w:rPr>
            <w:noProof/>
            <w:webHidden/>
          </w:rPr>
          <w:fldChar w:fldCharType="begin"/>
        </w:r>
        <w:r>
          <w:rPr>
            <w:noProof/>
            <w:webHidden/>
          </w:rPr>
          <w:instrText xml:space="preserve"> PAGEREF _Toc317161023 \h </w:instrText>
        </w:r>
        <w:r>
          <w:rPr>
            <w:noProof/>
            <w:webHidden/>
          </w:rPr>
        </w:r>
        <w:r>
          <w:rPr>
            <w:noProof/>
            <w:webHidden/>
          </w:rPr>
          <w:fldChar w:fldCharType="separate"/>
        </w:r>
        <w:r>
          <w:rPr>
            <w:noProof/>
            <w:webHidden/>
          </w:rPr>
          <w:t>600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4" w:history="1">
        <w:r w:rsidRPr="00B80388">
          <w:rPr>
            <w:rStyle w:val="a5"/>
            <w:noProof/>
          </w:rPr>
          <w:t xml:space="preserve">Title: </w:t>
        </w:r>
        <w:r w:rsidRPr="00B80388">
          <w:rPr>
            <w:rStyle w:val="a5"/>
            <w:iCs/>
            <w:noProof/>
          </w:rPr>
          <w:t>Hippokratia</w:t>
        </w:r>
        <w:r>
          <w:rPr>
            <w:noProof/>
            <w:webHidden/>
          </w:rPr>
          <w:tab/>
        </w:r>
        <w:r>
          <w:rPr>
            <w:noProof/>
            <w:webHidden/>
          </w:rPr>
          <w:fldChar w:fldCharType="begin"/>
        </w:r>
        <w:r>
          <w:rPr>
            <w:noProof/>
            <w:webHidden/>
          </w:rPr>
          <w:instrText xml:space="preserve"> PAGEREF _Toc317161024 \h </w:instrText>
        </w:r>
        <w:r>
          <w:rPr>
            <w:noProof/>
            <w:webHidden/>
          </w:rPr>
        </w:r>
        <w:r>
          <w:rPr>
            <w:noProof/>
            <w:webHidden/>
          </w:rPr>
          <w:fldChar w:fldCharType="separate"/>
        </w:r>
        <w:r>
          <w:rPr>
            <w:noProof/>
            <w:webHidden/>
          </w:rPr>
          <w:t>601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5" w:history="1">
        <w:r w:rsidRPr="00B80388">
          <w:rPr>
            <w:rStyle w:val="a5"/>
            <w:noProof/>
          </w:rPr>
          <w:t xml:space="preserve">Title: </w:t>
        </w:r>
        <w:r w:rsidRPr="00B80388">
          <w:rPr>
            <w:rStyle w:val="a5"/>
            <w:iCs/>
            <w:noProof/>
          </w:rPr>
          <w:t>Hispania-Revista Espanola de Historia</w:t>
        </w:r>
        <w:r>
          <w:rPr>
            <w:noProof/>
            <w:webHidden/>
          </w:rPr>
          <w:tab/>
        </w:r>
        <w:r>
          <w:rPr>
            <w:noProof/>
            <w:webHidden/>
          </w:rPr>
          <w:fldChar w:fldCharType="begin"/>
        </w:r>
        <w:r>
          <w:rPr>
            <w:noProof/>
            <w:webHidden/>
          </w:rPr>
          <w:instrText xml:space="preserve"> PAGEREF _Toc317161025 \h </w:instrText>
        </w:r>
        <w:r>
          <w:rPr>
            <w:noProof/>
            <w:webHidden/>
          </w:rPr>
        </w:r>
        <w:r>
          <w:rPr>
            <w:noProof/>
            <w:webHidden/>
          </w:rPr>
          <w:fldChar w:fldCharType="separate"/>
        </w:r>
        <w:r>
          <w:rPr>
            <w:noProof/>
            <w:webHidden/>
          </w:rPr>
          <w:t>603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6" w:history="1">
        <w:r w:rsidRPr="00B80388">
          <w:rPr>
            <w:rStyle w:val="a5"/>
            <w:noProof/>
          </w:rPr>
          <w:t>Title: Histopathology</w:t>
        </w:r>
        <w:r>
          <w:rPr>
            <w:noProof/>
            <w:webHidden/>
          </w:rPr>
          <w:tab/>
        </w:r>
        <w:r>
          <w:rPr>
            <w:noProof/>
            <w:webHidden/>
          </w:rPr>
          <w:fldChar w:fldCharType="begin"/>
        </w:r>
        <w:r>
          <w:rPr>
            <w:noProof/>
            <w:webHidden/>
          </w:rPr>
          <w:instrText xml:space="preserve"> PAGEREF _Toc317161026 \h </w:instrText>
        </w:r>
        <w:r>
          <w:rPr>
            <w:noProof/>
            <w:webHidden/>
          </w:rPr>
        </w:r>
        <w:r>
          <w:rPr>
            <w:noProof/>
            <w:webHidden/>
          </w:rPr>
          <w:fldChar w:fldCharType="separate"/>
        </w:r>
        <w:r>
          <w:rPr>
            <w:noProof/>
            <w:webHidden/>
          </w:rPr>
          <w:t>604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7" w:history="1">
        <w:r w:rsidRPr="00B80388">
          <w:rPr>
            <w:rStyle w:val="a5"/>
            <w:noProof/>
          </w:rPr>
          <w:t>Title: Historia Mathematica</w:t>
        </w:r>
        <w:r>
          <w:rPr>
            <w:noProof/>
            <w:webHidden/>
          </w:rPr>
          <w:tab/>
        </w:r>
        <w:r>
          <w:rPr>
            <w:noProof/>
            <w:webHidden/>
          </w:rPr>
          <w:fldChar w:fldCharType="begin"/>
        </w:r>
        <w:r>
          <w:rPr>
            <w:noProof/>
            <w:webHidden/>
          </w:rPr>
          <w:instrText xml:space="preserve"> PAGEREF _Toc317161027 \h </w:instrText>
        </w:r>
        <w:r>
          <w:rPr>
            <w:noProof/>
            <w:webHidden/>
          </w:rPr>
        </w:r>
        <w:r>
          <w:rPr>
            <w:noProof/>
            <w:webHidden/>
          </w:rPr>
          <w:fldChar w:fldCharType="separate"/>
        </w:r>
        <w:r>
          <w:rPr>
            <w:noProof/>
            <w:webHidden/>
          </w:rPr>
          <w:t>605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8" w:history="1">
        <w:r w:rsidRPr="00B80388">
          <w:rPr>
            <w:rStyle w:val="a5"/>
            <w:noProof/>
          </w:rPr>
          <w:t>Title: History and Philosophy of Logic</w:t>
        </w:r>
        <w:r>
          <w:rPr>
            <w:noProof/>
            <w:webHidden/>
          </w:rPr>
          <w:tab/>
        </w:r>
        <w:r>
          <w:rPr>
            <w:noProof/>
            <w:webHidden/>
          </w:rPr>
          <w:fldChar w:fldCharType="begin"/>
        </w:r>
        <w:r>
          <w:rPr>
            <w:noProof/>
            <w:webHidden/>
          </w:rPr>
          <w:instrText xml:space="preserve"> PAGEREF _Toc317161028 \h </w:instrText>
        </w:r>
        <w:r>
          <w:rPr>
            <w:noProof/>
            <w:webHidden/>
          </w:rPr>
        </w:r>
        <w:r>
          <w:rPr>
            <w:noProof/>
            <w:webHidden/>
          </w:rPr>
          <w:fldChar w:fldCharType="separate"/>
        </w:r>
        <w:r>
          <w:rPr>
            <w:noProof/>
            <w:webHidden/>
          </w:rPr>
          <w:t>607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29" w:history="1">
        <w:r w:rsidRPr="00B80388">
          <w:rPr>
            <w:rStyle w:val="a5"/>
            <w:noProof/>
          </w:rPr>
          <w:t xml:space="preserve">Title: </w:t>
        </w:r>
        <w:r w:rsidRPr="00B80388">
          <w:rPr>
            <w:rStyle w:val="a5"/>
            <w:rFonts w:asciiTheme="majorBidi" w:hAnsiTheme="majorBidi" w:cstheme="majorBidi"/>
            <w:noProof/>
          </w:rPr>
          <w:t>History and Philosophy of Logic</w:t>
        </w:r>
        <w:r>
          <w:rPr>
            <w:noProof/>
            <w:webHidden/>
          </w:rPr>
          <w:tab/>
        </w:r>
        <w:r>
          <w:rPr>
            <w:noProof/>
            <w:webHidden/>
          </w:rPr>
          <w:fldChar w:fldCharType="begin"/>
        </w:r>
        <w:r>
          <w:rPr>
            <w:noProof/>
            <w:webHidden/>
          </w:rPr>
          <w:instrText xml:space="preserve"> PAGEREF _Toc317161029 \h </w:instrText>
        </w:r>
        <w:r>
          <w:rPr>
            <w:noProof/>
            <w:webHidden/>
          </w:rPr>
        </w:r>
        <w:r>
          <w:rPr>
            <w:noProof/>
            <w:webHidden/>
          </w:rPr>
          <w:fldChar w:fldCharType="separate"/>
        </w:r>
        <w:r>
          <w:rPr>
            <w:noProof/>
            <w:webHidden/>
          </w:rPr>
          <w:t>608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0" w:history="1">
        <w:r w:rsidRPr="00B80388">
          <w:rPr>
            <w:rStyle w:val="a5"/>
            <w:noProof/>
          </w:rPr>
          <w:t>Title: History of Psychology</w:t>
        </w:r>
        <w:r>
          <w:rPr>
            <w:noProof/>
            <w:webHidden/>
          </w:rPr>
          <w:tab/>
        </w:r>
        <w:r>
          <w:rPr>
            <w:noProof/>
            <w:webHidden/>
          </w:rPr>
          <w:fldChar w:fldCharType="begin"/>
        </w:r>
        <w:r>
          <w:rPr>
            <w:noProof/>
            <w:webHidden/>
          </w:rPr>
          <w:instrText xml:space="preserve"> PAGEREF _Toc317161030 \h </w:instrText>
        </w:r>
        <w:r>
          <w:rPr>
            <w:noProof/>
            <w:webHidden/>
          </w:rPr>
        </w:r>
        <w:r>
          <w:rPr>
            <w:noProof/>
            <w:webHidden/>
          </w:rPr>
          <w:fldChar w:fldCharType="separate"/>
        </w:r>
        <w:r>
          <w:rPr>
            <w:noProof/>
            <w:webHidden/>
          </w:rPr>
          <w:t>609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1" w:history="1">
        <w:r w:rsidRPr="00B80388">
          <w:rPr>
            <w:rStyle w:val="a5"/>
            <w:noProof/>
          </w:rPr>
          <w:t>Title: Hitotsubashi Journal of Economics</w:t>
        </w:r>
        <w:r>
          <w:rPr>
            <w:noProof/>
            <w:webHidden/>
          </w:rPr>
          <w:tab/>
        </w:r>
        <w:r>
          <w:rPr>
            <w:noProof/>
            <w:webHidden/>
          </w:rPr>
          <w:fldChar w:fldCharType="begin"/>
        </w:r>
        <w:r>
          <w:rPr>
            <w:noProof/>
            <w:webHidden/>
          </w:rPr>
          <w:instrText xml:space="preserve"> PAGEREF _Toc317161031 \h </w:instrText>
        </w:r>
        <w:r>
          <w:rPr>
            <w:noProof/>
            <w:webHidden/>
          </w:rPr>
        </w:r>
        <w:r>
          <w:rPr>
            <w:noProof/>
            <w:webHidden/>
          </w:rPr>
          <w:fldChar w:fldCharType="separate"/>
        </w:r>
        <w:r>
          <w:rPr>
            <w:noProof/>
            <w:webHidden/>
          </w:rPr>
          <w:t>611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2" w:history="1">
        <w:r w:rsidRPr="00B80388">
          <w:rPr>
            <w:rStyle w:val="a5"/>
            <w:noProof/>
          </w:rPr>
          <w:t xml:space="preserve">Title: </w:t>
        </w:r>
        <w:r w:rsidRPr="00B80388">
          <w:rPr>
            <w:rStyle w:val="a5"/>
            <w:iCs/>
            <w:noProof/>
          </w:rPr>
          <w:t>HIV Medicine</w:t>
        </w:r>
        <w:r>
          <w:rPr>
            <w:noProof/>
            <w:webHidden/>
          </w:rPr>
          <w:tab/>
        </w:r>
        <w:r>
          <w:rPr>
            <w:noProof/>
            <w:webHidden/>
          </w:rPr>
          <w:fldChar w:fldCharType="begin"/>
        </w:r>
        <w:r>
          <w:rPr>
            <w:noProof/>
            <w:webHidden/>
          </w:rPr>
          <w:instrText xml:space="preserve"> PAGEREF _Toc317161032 \h </w:instrText>
        </w:r>
        <w:r>
          <w:rPr>
            <w:noProof/>
            <w:webHidden/>
          </w:rPr>
        </w:r>
        <w:r>
          <w:rPr>
            <w:noProof/>
            <w:webHidden/>
          </w:rPr>
          <w:fldChar w:fldCharType="separate"/>
        </w:r>
        <w:r>
          <w:rPr>
            <w:noProof/>
            <w:webHidden/>
          </w:rPr>
          <w:t>612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3" w:history="1">
        <w:r w:rsidRPr="00B80388">
          <w:rPr>
            <w:rStyle w:val="a5"/>
            <w:noProof/>
            <w:lang w:val="de-DE"/>
          </w:rPr>
          <w:t>Title: Holz Als Roh-und Werkstoff</w:t>
        </w:r>
        <w:r>
          <w:rPr>
            <w:noProof/>
            <w:webHidden/>
          </w:rPr>
          <w:tab/>
        </w:r>
        <w:r>
          <w:rPr>
            <w:noProof/>
            <w:webHidden/>
          </w:rPr>
          <w:fldChar w:fldCharType="begin"/>
        </w:r>
        <w:r>
          <w:rPr>
            <w:noProof/>
            <w:webHidden/>
          </w:rPr>
          <w:instrText xml:space="preserve"> PAGEREF _Toc317161033 \h </w:instrText>
        </w:r>
        <w:r>
          <w:rPr>
            <w:noProof/>
            <w:webHidden/>
          </w:rPr>
        </w:r>
        <w:r>
          <w:rPr>
            <w:noProof/>
            <w:webHidden/>
          </w:rPr>
          <w:fldChar w:fldCharType="separate"/>
        </w:r>
        <w:r>
          <w:rPr>
            <w:noProof/>
            <w:webHidden/>
          </w:rPr>
          <w:t>614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4" w:history="1">
        <w:r w:rsidRPr="00B80388">
          <w:rPr>
            <w:rStyle w:val="a5"/>
            <w:noProof/>
            <w:lang w:val="de-DE"/>
          </w:rPr>
          <w:t>Title: Holzforschung</w:t>
        </w:r>
        <w:r>
          <w:rPr>
            <w:noProof/>
            <w:webHidden/>
          </w:rPr>
          <w:tab/>
        </w:r>
        <w:r>
          <w:rPr>
            <w:noProof/>
            <w:webHidden/>
          </w:rPr>
          <w:fldChar w:fldCharType="begin"/>
        </w:r>
        <w:r>
          <w:rPr>
            <w:noProof/>
            <w:webHidden/>
          </w:rPr>
          <w:instrText xml:space="preserve"> PAGEREF _Toc317161034 \h </w:instrText>
        </w:r>
        <w:r>
          <w:rPr>
            <w:noProof/>
            <w:webHidden/>
          </w:rPr>
        </w:r>
        <w:r>
          <w:rPr>
            <w:noProof/>
            <w:webHidden/>
          </w:rPr>
          <w:fldChar w:fldCharType="separate"/>
        </w:r>
        <w:r>
          <w:rPr>
            <w:noProof/>
            <w:webHidden/>
          </w:rPr>
          <w:t>617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5" w:history="1">
        <w:r w:rsidRPr="00B80388">
          <w:rPr>
            <w:rStyle w:val="a5"/>
            <w:noProof/>
          </w:rPr>
          <w:t>Title: Home Health Care Services Quarterly</w:t>
        </w:r>
        <w:r>
          <w:rPr>
            <w:noProof/>
            <w:webHidden/>
          </w:rPr>
          <w:tab/>
        </w:r>
        <w:r>
          <w:rPr>
            <w:noProof/>
            <w:webHidden/>
          </w:rPr>
          <w:fldChar w:fldCharType="begin"/>
        </w:r>
        <w:r>
          <w:rPr>
            <w:noProof/>
            <w:webHidden/>
          </w:rPr>
          <w:instrText xml:space="preserve"> PAGEREF _Toc317161035 \h </w:instrText>
        </w:r>
        <w:r>
          <w:rPr>
            <w:noProof/>
            <w:webHidden/>
          </w:rPr>
        </w:r>
        <w:r>
          <w:rPr>
            <w:noProof/>
            <w:webHidden/>
          </w:rPr>
          <w:fldChar w:fldCharType="separate"/>
        </w:r>
        <w:r>
          <w:rPr>
            <w:noProof/>
            <w:webHidden/>
          </w:rPr>
          <w:t>621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6" w:history="1">
        <w:r w:rsidRPr="00B80388">
          <w:rPr>
            <w:rStyle w:val="a5"/>
            <w:noProof/>
          </w:rPr>
          <w:t>Title: Homeopathy</w:t>
        </w:r>
        <w:r>
          <w:rPr>
            <w:noProof/>
            <w:webHidden/>
          </w:rPr>
          <w:tab/>
        </w:r>
        <w:r>
          <w:rPr>
            <w:noProof/>
            <w:webHidden/>
          </w:rPr>
          <w:fldChar w:fldCharType="begin"/>
        </w:r>
        <w:r>
          <w:rPr>
            <w:noProof/>
            <w:webHidden/>
          </w:rPr>
          <w:instrText xml:space="preserve"> PAGEREF _Toc317161036 \h </w:instrText>
        </w:r>
        <w:r>
          <w:rPr>
            <w:noProof/>
            <w:webHidden/>
          </w:rPr>
        </w:r>
        <w:r>
          <w:rPr>
            <w:noProof/>
            <w:webHidden/>
          </w:rPr>
          <w:fldChar w:fldCharType="separate"/>
        </w:r>
        <w:r>
          <w:rPr>
            <w:noProof/>
            <w:webHidden/>
          </w:rPr>
          <w:t>623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7" w:history="1">
        <w:r w:rsidRPr="00B80388">
          <w:rPr>
            <w:rStyle w:val="a5"/>
            <w:noProof/>
          </w:rPr>
          <w:t>Title: Homo</w:t>
        </w:r>
        <w:r>
          <w:rPr>
            <w:noProof/>
            <w:webHidden/>
          </w:rPr>
          <w:tab/>
        </w:r>
        <w:r>
          <w:rPr>
            <w:noProof/>
            <w:webHidden/>
          </w:rPr>
          <w:fldChar w:fldCharType="begin"/>
        </w:r>
        <w:r>
          <w:rPr>
            <w:noProof/>
            <w:webHidden/>
          </w:rPr>
          <w:instrText xml:space="preserve"> PAGEREF _Toc317161037 \h </w:instrText>
        </w:r>
        <w:r>
          <w:rPr>
            <w:noProof/>
            <w:webHidden/>
          </w:rPr>
        </w:r>
        <w:r>
          <w:rPr>
            <w:noProof/>
            <w:webHidden/>
          </w:rPr>
          <w:fldChar w:fldCharType="separate"/>
        </w:r>
        <w:r>
          <w:rPr>
            <w:noProof/>
            <w:webHidden/>
          </w:rPr>
          <w:t>625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8" w:history="1">
        <w:r w:rsidRPr="00B80388">
          <w:rPr>
            <w:rStyle w:val="a5"/>
            <w:noProof/>
            <w:lang w:val="de-DE"/>
          </w:rPr>
          <w:t>Title: Hoppe-Seylers Zeitschrift Fur Physiologische Chemie</w:t>
        </w:r>
        <w:r>
          <w:rPr>
            <w:noProof/>
            <w:webHidden/>
          </w:rPr>
          <w:tab/>
        </w:r>
        <w:r>
          <w:rPr>
            <w:noProof/>
            <w:webHidden/>
          </w:rPr>
          <w:fldChar w:fldCharType="begin"/>
        </w:r>
        <w:r>
          <w:rPr>
            <w:noProof/>
            <w:webHidden/>
          </w:rPr>
          <w:instrText xml:space="preserve"> PAGEREF _Toc317161038 \h </w:instrText>
        </w:r>
        <w:r>
          <w:rPr>
            <w:noProof/>
            <w:webHidden/>
          </w:rPr>
        </w:r>
        <w:r>
          <w:rPr>
            <w:noProof/>
            <w:webHidden/>
          </w:rPr>
          <w:fldChar w:fldCharType="separate"/>
        </w:r>
        <w:r>
          <w:rPr>
            <w:noProof/>
            <w:webHidden/>
          </w:rPr>
          <w:t>626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39" w:history="1">
        <w:r w:rsidRPr="00B80388">
          <w:rPr>
            <w:rStyle w:val="a5"/>
            <w:noProof/>
            <w:lang w:val="de-DE"/>
          </w:rPr>
          <w:t xml:space="preserve">Title: </w:t>
        </w:r>
        <w:r w:rsidRPr="00B80388">
          <w:rPr>
            <w:rStyle w:val="a5"/>
            <w:iCs/>
            <w:noProof/>
          </w:rPr>
          <w:t>Hormone and Metabolic Research</w:t>
        </w:r>
        <w:r>
          <w:rPr>
            <w:noProof/>
            <w:webHidden/>
          </w:rPr>
          <w:tab/>
        </w:r>
        <w:r>
          <w:rPr>
            <w:noProof/>
            <w:webHidden/>
          </w:rPr>
          <w:fldChar w:fldCharType="begin"/>
        </w:r>
        <w:r>
          <w:rPr>
            <w:noProof/>
            <w:webHidden/>
          </w:rPr>
          <w:instrText xml:space="preserve"> PAGEREF _Toc317161039 \h </w:instrText>
        </w:r>
        <w:r>
          <w:rPr>
            <w:noProof/>
            <w:webHidden/>
          </w:rPr>
        </w:r>
        <w:r>
          <w:rPr>
            <w:noProof/>
            <w:webHidden/>
          </w:rPr>
          <w:fldChar w:fldCharType="separate"/>
        </w:r>
        <w:r>
          <w:rPr>
            <w:noProof/>
            <w:webHidden/>
          </w:rPr>
          <w:t>627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0" w:history="1">
        <w:r w:rsidRPr="00B80388">
          <w:rPr>
            <w:rStyle w:val="a5"/>
            <w:noProof/>
          </w:rPr>
          <w:t>Title: Hormone Research</w:t>
        </w:r>
        <w:r>
          <w:rPr>
            <w:noProof/>
            <w:webHidden/>
          </w:rPr>
          <w:tab/>
        </w:r>
        <w:r>
          <w:rPr>
            <w:noProof/>
            <w:webHidden/>
          </w:rPr>
          <w:fldChar w:fldCharType="begin"/>
        </w:r>
        <w:r>
          <w:rPr>
            <w:noProof/>
            <w:webHidden/>
          </w:rPr>
          <w:instrText xml:space="preserve"> PAGEREF _Toc317161040 \h </w:instrText>
        </w:r>
        <w:r>
          <w:rPr>
            <w:noProof/>
            <w:webHidden/>
          </w:rPr>
        </w:r>
        <w:r>
          <w:rPr>
            <w:noProof/>
            <w:webHidden/>
          </w:rPr>
          <w:fldChar w:fldCharType="separate"/>
        </w:r>
        <w:r>
          <w:rPr>
            <w:noProof/>
            <w:webHidden/>
          </w:rPr>
          <w:t>629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1" w:history="1">
        <w:r w:rsidRPr="00B80388">
          <w:rPr>
            <w:rStyle w:val="a5"/>
            <w:noProof/>
          </w:rPr>
          <w:t>Title: Hormones and Behavior</w:t>
        </w:r>
        <w:r>
          <w:rPr>
            <w:noProof/>
            <w:webHidden/>
          </w:rPr>
          <w:tab/>
        </w:r>
        <w:r>
          <w:rPr>
            <w:noProof/>
            <w:webHidden/>
          </w:rPr>
          <w:fldChar w:fldCharType="begin"/>
        </w:r>
        <w:r>
          <w:rPr>
            <w:noProof/>
            <w:webHidden/>
          </w:rPr>
          <w:instrText xml:space="preserve"> PAGEREF _Toc317161041 \h </w:instrText>
        </w:r>
        <w:r>
          <w:rPr>
            <w:noProof/>
            <w:webHidden/>
          </w:rPr>
        </w:r>
        <w:r>
          <w:rPr>
            <w:noProof/>
            <w:webHidden/>
          </w:rPr>
          <w:fldChar w:fldCharType="separate"/>
        </w:r>
        <w:r>
          <w:rPr>
            <w:noProof/>
            <w:webHidden/>
          </w:rPr>
          <w:t>630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2" w:history="1">
        <w:r w:rsidRPr="00B80388">
          <w:rPr>
            <w:rStyle w:val="a5"/>
            <w:noProof/>
          </w:rPr>
          <w:t>Title: Hortscience</w:t>
        </w:r>
        <w:r>
          <w:rPr>
            <w:noProof/>
            <w:webHidden/>
          </w:rPr>
          <w:tab/>
        </w:r>
        <w:r>
          <w:rPr>
            <w:noProof/>
            <w:webHidden/>
          </w:rPr>
          <w:fldChar w:fldCharType="begin"/>
        </w:r>
        <w:r>
          <w:rPr>
            <w:noProof/>
            <w:webHidden/>
          </w:rPr>
          <w:instrText xml:space="preserve"> PAGEREF _Toc317161042 \h </w:instrText>
        </w:r>
        <w:r>
          <w:rPr>
            <w:noProof/>
            <w:webHidden/>
          </w:rPr>
        </w:r>
        <w:r>
          <w:rPr>
            <w:noProof/>
            <w:webHidden/>
          </w:rPr>
          <w:fldChar w:fldCharType="separate"/>
        </w:r>
        <w:r>
          <w:rPr>
            <w:noProof/>
            <w:webHidden/>
          </w:rPr>
          <w:t>632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3" w:history="1">
        <w:r w:rsidRPr="00B80388">
          <w:rPr>
            <w:rStyle w:val="a5"/>
            <w:noProof/>
          </w:rPr>
          <w:t>Title: Hospital Medicine</w:t>
        </w:r>
        <w:r>
          <w:rPr>
            <w:noProof/>
            <w:webHidden/>
          </w:rPr>
          <w:tab/>
        </w:r>
        <w:r>
          <w:rPr>
            <w:noProof/>
            <w:webHidden/>
          </w:rPr>
          <w:fldChar w:fldCharType="begin"/>
        </w:r>
        <w:r>
          <w:rPr>
            <w:noProof/>
            <w:webHidden/>
          </w:rPr>
          <w:instrText xml:space="preserve"> PAGEREF _Toc317161043 \h </w:instrText>
        </w:r>
        <w:r>
          <w:rPr>
            <w:noProof/>
            <w:webHidden/>
          </w:rPr>
        </w:r>
        <w:r>
          <w:rPr>
            <w:noProof/>
            <w:webHidden/>
          </w:rPr>
          <w:fldChar w:fldCharType="separate"/>
        </w:r>
        <w:r>
          <w:rPr>
            <w:noProof/>
            <w:webHidden/>
          </w:rPr>
          <w:t>633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4" w:history="1">
        <w:r w:rsidRPr="00B80388">
          <w:rPr>
            <w:rStyle w:val="a5"/>
            <w:noProof/>
            <w:lang w:val="fr-FR"/>
          </w:rPr>
          <w:t>Title: Houille Blanche-Revue Internationale de L Eau</w:t>
        </w:r>
        <w:r>
          <w:rPr>
            <w:noProof/>
            <w:webHidden/>
          </w:rPr>
          <w:tab/>
        </w:r>
        <w:r>
          <w:rPr>
            <w:noProof/>
            <w:webHidden/>
          </w:rPr>
          <w:fldChar w:fldCharType="begin"/>
        </w:r>
        <w:r>
          <w:rPr>
            <w:noProof/>
            <w:webHidden/>
          </w:rPr>
          <w:instrText xml:space="preserve"> PAGEREF _Toc317161044 \h </w:instrText>
        </w:r>
        <w:r>
          <w:rPr>
            <w:noProof/>
            <w:webHidden/>
          </w:rPr>
        </w:r>
        <w:r>
          <w:rPr>
            <w:noProof/>
            <w:webHidden/>
          </w:rPr>
          <w:fldChar w:fldCharType="separate"/>
        </w:r>
        <w:r>
          <w:rPr>
            <w:noProof/>
            <w:webHidden/>
          </w:rPr>
          <w:t>634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5" w:history="1">
        <w:r w:rsidRPr="00B80388">
          <w:rPr>
            <w:rStyle w:val="a5"/>
            <w:noProof/>
          </w:rPr>
          <w:t>Title: How to Write and Publish a Scientific Paper</w:t>
        </w:r>
        <w:r>
          <w:rPr>
            <w:noProof/>
            <w:webHidden/>
          </w:rPr>
          <w:tab/>
        </w:r>
        <w:r>
          <w:rPr>
            <w:noProof/>
            <w:webHidden/>
          </w:rPr>
          <w:fldChar w:fldCharType="begin"/>
        </w:r>
        <w:r>
          <w:rPr>
            <w:noProof/>
            <w:webHidden/>
          </w:rPr>
          <w:instrText xml:space="preserve"> PAGEREF _Toc317161045 \h </w:instrText>
        </w:r>
        <w:r>
          <w:rPr>
            <w:noProof/>
            <w:webHidden/>
          </w:rPr>
        </w:r>
        <w:r>
          <w:rPr>
            <w:noProof/>
            <w:webHidden/>
          </w:rPr>
          <w:fldChar w:fldCharType="separate"/>
        </w:r>
        <w:r>
          <w:rPr>
            <w:noProof/>
            <w:webHidden/>
          </w:rPr>
          <w:t>635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6" w:history="1">
        <w:r w:rsidRPr="00B80388">
          <w:rPr>
            <w:rStyle w:val="a5"/>
            <w:noProof/>
          </w:rPr>
          <w:t xml:space="preserve">Title: </w:t>
        </w:r>
        <w:r w:rsidRPr="00B80388">
          <w:rPr>
            <w:rStyle w:val="a5"/>
            <w:iCs/>
            <w:noProof/>
          </w:rPr>
          <w:t>HPB</w:t>
        </w:r>
        <w:r>
          <w:rPr>
            <w:noProof/>
            <w:webHidden/>
          </w:rPr>
          <w:tab/>
        </w:r>
        <w:r>
          <w:rPr>
            <w:noProof/>
            <w:webHidden/>
          </w:rPr>
          <w:fldChar w:fldCharType="begin"/>
        </w:r>
        <w:r>
          <w:rPr>
            <w:noProof/>
            <w:webHidden/>
          </w:rPr>
          <w:instrText xml:space="preserve"> PAGEREF _Toc317161046 \h </w:instrText>
        </w:r>
        <w:r>
          <w:rPr>
            <w:noProof/>
            <w:webHidden/>
          </w:rPr>
        </w:r>
        <w:r>
          <w:rPr>
            <w:noProof/>
            <w:webHidden/>
          </w:rPr>
          <w:fldChar w:fldCharType="separate"/>
        </w:r>
        <w:r>
          <w:rPr>
            <w:noProof/>
            <w:webHidden/>
          </w:rPr>
          <w:t>636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7" w:history="1">
        <w:r w:rsidRPr="00B80388">
          <w:rPr>
            <w:rStyle w:val="a5"/>
            <w:noProof/>
          </w:rPr>
          <w:t xml:space="preserve">Title: </w:t>
        </w:r>
        <w:r w:rsidRPr="00B80388">
          <w:rPr>
            <w:rStyle w:val="a5"/>
            <w:iCs/>
            <w:noProof/>
          </w:rPr>
          <w:t>Huagong Xuebao/Journal of Chemical Industry and Engineering (China)</w:t>
        </w:r>
        <w:r>
          <w:rPr>
            <w:noProof/>
            <w:webHidden/>
          </w:rPr>
          <w:tab/>
        </w:r>
        <w:r>
          <w:rPr>
            <w:noProof/>
            <w:webHidden/>
          </w:rPr>
          <w:fldChar w:fldCharType="begin"/>
        </w:r>
        <w:r>
          <w:rPr>
            <w:noProof/>
            <w:webHidden/>
          </w:rPr>
          <w:instrText xml:space="preserve"> PAGEREF _Toc317161047 \h </w:instrText>
        </w:r>
        <w:r>
          <w:rPr>
            <w:noProof/>
            <w:webHidden/>
          </w:rPr>
        </w:r>
        <w:r>
          <w:rPr>
            <w:noProof/>
            <w:webHidden/>
          </w:rPr>
          <w:fldChar w:fldCharType="separate"/>
        </w:r>
        <w:r>
          <w:rPr>
            <w:noProof/>
            <w:webHidden/>
          </w:rPr>
          <w:t>638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8" w:history="1">
        <w:r w:rsidRPr="00B80388">
          <w:rPr>
            <w:rStyle w:val="a5"/>
            <w:noProof/>
          </w:rPr>
          <w:t>Title: Huanjing Kexue</w:t>
        </w:r>
        <w:r>
          <w:rPr>
            <w:noProof/>
            <w:webHidden/>
          </w:rPr>
          <w:tab/>
        </w:r>
        <w:r>
          <w:rPr>
            <w:noProof/>
            <w:webHidden/>
          </w:rPr>
          <w:fldChar w:fldCharType="begin"/>
        </w:r>
        <w:r>
          <w:rPr>
            <w:noProof/>
            <w:webHidden/>
          </w:rPr>
          <w:instrText xml:space="preserve"> PAGEREF _Toc317161048 \h </w:instrText>
        </w:r>
        <w:r>
          <w:rPr>
            <w:noProof/>
            <w:webHidden/>
          </w:rPr>
        </w:r>
        <w:r>
          <w:rPr>
            <w:noProof/>
            <w:webHidden/>
          </w:rPr>
          <w:fldChar w:fldCharType="separate"/>
        </w:r>
        <w:r>
          <w:rPr>
            <w:noProof/>
            <w:webHidden/>
          </w:rPr>
          <w:t>640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49" w:history="1">
        <w:r w:rsidRPr="00B80388">
          <w:rPr>
            <w:rStyle w:val="a5"/>
            <w:noProof/>
          </w:rPr>
          <w:t>Title: Human Communication Research</w:t>
        </w:r>
        <w:r>
          <w:rPr>
            <w:noProof/>
            <w:webHidden/>
          </w:rPr>
          <w:tab/>
        </w:r>
        <w:r>
          <w:rPr>
            <w:noProof/>
            <w:webHidden/>
          </w:rPr>
          <w:fldChar w:fldCharType="begin"/>
        </w:r>
        <w:r>
          <w:rPr>
            <w:noProof/>
            <w:webHidden/>
          </w:rPr>
          <w:instrText xml:space="preserve"> PAGEREF _Toc317161049 \h </w:instrText>
        </w:r>
        <w:r>
          <w:rPr>
            <w:noProof/>
            <w:webHidden/>
          </w:rPr>
        </w:r>
        <w:r>
          <w:rPr>
            <w:noProof/>
            <w:webHidden/>
          </w:rPr>
          <w:fldChar w:fldCharType="separate"/>
        </w:r>
        <w:r>
          <w:rPr>
            <w:noProof/>
            <w:webHidden/>
          </w:rPr>
          <w:t>641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0" w:history="1">
        <w:r w:rsidRPr="00B80388">
          <w:rPr>
            <w:rStyle w:val="a5"/>
            <w:noProof/>
          </w:rPr>
          <w:t>Title: Human Communication Research</w:t>
        </w:r>
        <w:r>
          <w:rPr>
            <w:noProof/>
            <w:webHidden/>
          </w:rPr>
          <w:tab/>
        </w:r>
        <w:r>
          <w:rPr>
            <w:noProof/>
            <w:webHidden/>
          </w:rPr>
          <w:fldChar w:fldCharType="begin"/>
        </w:r>
        <w:r>
          <w:rPr>
            <w:noProof/>
            <w:webHidden/>
          </w:rPr>
          <w:instrText xml:space="preserve"> PAGEREF _Toc317161050 \h </w:instrText>
        </w:r>
        <w:r>
          <w:rPr>
            <w:noProof/>
            <w:webHidden/>
          </w:rPr>
        </w:r>
        <w:r>
          <w:rPr>
            <w:noProof/>
            <w:webHidden/>
          </w:rPr>
          <w:fldChar w:fldCharType="separate"/>
        </w:r>
        <w:r>
          <w:rPr>
            <w:noProof/>
            <w:webHidden/>
          </w:rPr>
          <w:t>643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1" w:history="1">
        <w:r w:rsidRPr="00B80388">
          <w:rPr>
            <w:rStyle w:val="a5"/>
            <w:noProof/>
          </w:rPr>
          <w:t>Title: Human and Ecological Risk Assessment</w:t>
        </w:r>
        <w:r>
          <w:rPr>
            <w:noProof/>
            <w:webHidden/>
          </w:rPr>
          <w:tab/>
        </w:r>
        <w:r>
          <w:rPr>
            <w:noProof/>
            <w:webHidden/>
          </w:rPr>
          <w:fldChar w:fldCharType="begin"/>
        </w:r>
        <w:r>
          <w:rPr>
            <w:noProof/>
            <w:webHidden/>
          </w:rPr>
          <w:instrText xml:space="preserve"> PAGEREF _Toc317161051 \h </w:instrText>
        </w:r>
        <w:r>
          <w:rPr>
            <w:noProof/>
            <w:webHidden/>
          </w:rPr>
        </w:r>
        <w:r>
          <w:rPr>
            <w:noProof/>
            <w:webHidden/>
          </w:rPr>
          <w:fldChar w:fldCharType="separate"/>
        </w:r>
        <w:r>
          <w:rPr>
            <w:noProof/>
            <w:webHidden/>
          </w:rPr>
          <w:t>646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2" w:history="1">
        <w:r w:rsidRPr="00B80388">
          <w:rPr>
            <w:rStyle w:val="a5"/>
            <w:noProof/>
          </w:rPr>
          <w:t xml:space="preserve">Title: </w:t>
        </w:r>
        <w:r w:rsidRPr="00B80388">
          <w:rPr>
            <w:rStyle w:val="a5"/>
            <w:iCs/>
            <w:noProof/>
          </w:rPr>
          <w:t>Human Factors</w:t>
        </w:r>
        <w:r>
          <w:rPr>
            <w:noProof/>
            <w:webHidden/>
          </w:rPr>
          <w:tab/>
        </w:r>
        <w:r>
          <w:rPr>
            <w:noProof/>
            <w:webHidden/>
          </w:rPr>
          <w:fldChar w:fldCharType="begin"/>
        </w:r>
        <w:r>
          <w:rPr>
            <w:noProof/>
            <w:webHidden/>
          </w:rPr>
          <w:instrText xml:space="preserve"> PAGEREF _Toc317161052 \h </w:instrText>
        </w:r>
        <w:r>
          <w:rPr>
            <w:noProof/>
            <w:webHidden/>
          </w:rPr>
        </w:r>
        <w:r>
          <w:rPr>
            <w:noProof/>
            <w:webHidden/>
          </w:rPr>
          <w:fldChar w:fldCharType="separate"/>
        </w:r>
        <w:r>
          <w:rPr>
            <w:noProof/>
            <w:webHidden/>
          </w:rPr>
          <w:t>649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3" w:history="1">
        <w:r w:rsidRPr="00B80388">
          <w:rPr>
            <w:rStyle w:val="a5"/>
            <w:noProof/>
          </w:rPr>
          <w:t xml:space="preserve">Title: </w:t>
        </w:r>
        <w:r w:rsidRPr="00B80388">
          <w:rPr>
            <w:rStyle w:val="a5"/>
            <w:iCs/>
            <w:noProof/>
          </w:rPr>
          <w:t>Human Factors and Ergonomics in Manufacturing &amp; Service Industries</w:t>
        </w:r>
        <w:r>
          <w:rPr>
            <w:noProof/>
            <w:webHidden/>
          </w:rPr>
          <w:tab/>
        </w:r>
        <w:r>
          <w:rPr>
            <w:noProof/>
            <w:webHidden/>
          </w:rPr>
          <w:fldChar w:fldCharType="begin"/>
        </w:r>
        <w:r>
          <w:rPr>
            <w:noProof/>
            <w:webHidden/>
          </w:rPr>
          <w:instrText xml:space="preserve"> PAGEREF _Toc317161053 \h </w:instrText>
        </w:r>
        <w:r>
          <w:rPr>
            <w:noProof/>
            <w:webHidden/>
          </w:rPr>
        </w:r>
        <w:r>
          <w:rPr>
            <w:noProof/>
            <w:webHidden/>
          </w:rPr>
          <w:fldChar w:fldCharType="separate"/>
        </w:r>
        <w:r>
          <w:rPr>
            <w:noProof/>
            <w:webHidden/>
          </w:rPr>
          <w:t>651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4" w:history="1">
        <w:r w:rsidRPr="00B80388">
          <w:rPr>
            <w:rStyle w:val="a5"/>
            <w:noProof/>
          </w:rPr>
          <w:t xml:space="preserve">Title: </w:t>
        </w:r>
        <w:r w:rsidRPr="00B80388">
          <w:rPr>
            <w:rStyle w:val="a5"/>
            <w:iCs/>
            <w:noProof/>
          </w:rPr>
          <w:t>Human Organization</w:t>
        </w:r>
        <w:r>
          <w:rPr>
            <w:noProof/>
            <w:webHidden/>
          </w:rPr>
          <w:tab/>
        </w:r>
        <w:r>
          <w:rPr>
            <w:noProof/>
            <w:webHidden/>
          </w:rPr>
          <w:fldChar w:fldCharType="begin"/>
        </w:r>
        <w:r>
          <w:rPr>
            <w:noProof/>
            <w:webHidden/>
          </w:rPr>
          <w:instrText xml:space="preserve"> PAGEREF _Toc317161054 \h </w:instrText>
        </w:r>
        <w:r>
          <w:rPr>
            <w:noProof/>
            <w:webHidden/>
          </w:rPr>
        </w:r>
        <w:r>
          <w:rPr>
            <w:noProof/>
            <w:webHidden/>
          </w:rPr>
          <w:fldChar w:fldCharType="separate"/>
        </w:r>
        <w:r>
          <w:rPr>
            <w:noProof/>
            <w:webHidden/>
          </w:rPr>
          <w:t>652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5" w:history="1">
        <w:r w:rsidRPr="00B80388">
          <w:rPr>
            <w:rStyle w:val="a5"/>
            <w:noProof/>
          </w:rPr>
          <w:t xml:space="preserve">Title: </w:t>
        </w:r>
        <w:r w:rsidRPr="00B80388">
          <w:rPr>
            <w:rStyle w:val="a5"/>
            <w:iCs/>
            <w:noProof/>
          </w:rPr>
          <w:t>Human Psychopharmacology-Clinical and Experimental</w:t>
        </w:r>
        <w:r>
          <w:rPr>
            <w:noProof/>
            <w:webHidden/>
          </w:rPr>
          <w:tab/>
        </w:r>
        <w:r>
          <w:rPr>
            <w:noProof/>
            <w:webHidden/>
          </w:rPr>
          <w:fldChar w:fldCharType="begin"/>
        </w:r>
        <w:r>
          <w:rPr>
            <w:noProof/>
            <w:webHidden/>
          </w:rPr>
          <w:instrText xml:space="preserve"> PAGEREF _Toc317161055 \h </w:instrText>
        </w:r>
        <w:r>
          <w:rPr>
            <w:noProof/>
            <w:webHidden/>
          </w:rPr>
        </w:r>
        <w:r>
          <w:rPr>
            <w:noProof/>
            <w:webHidden/>
          </w:rPr>
          <w:fldChar w:fldCharType="separate"/>
        </w:r>
        <w:r>
          <w:rPr>
            <w:noProof/>
            <w:webHidden/>
          </w:rPr>
          <w:t>653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6" w:history="1">
        <w:r w:rsidRPr="00B80388">
          <w:rPr>
            <w:rStyle w:val="a5"/>
            <w:noProof/>
          </w:rPr>
          <w:t>Title: Human Resources for Health</w:t>
        </w:r>
        <w:r>
          <w:rPr>
            <w:noProof/>
            <w:webHidden/>
          </w:rPr>
          <w:tab/>
        </w:r>
        <w:r>
          <w:rPr>
            <w:noProof/>
            <w:webHidden/>
          </w:rPr>
          <w:fldChar w:fldCharType="begin"/>
        </w:r>
        <w:r>
          <w:rPr>
            <w:noProof/>
            <w:webHidden/>
          </w:rPr>
          <w:instrText xml:space="preserve"> PAGEREF _Toc317161056 \h </w:instrText>
        </w:r>
        <w:r>
          <w:rPr>
            <w:noProof/>
            <w:webHidden/>
          </w:rPr>
        </w:r>
        <w:r>
          <w:rPr>
            <w:noProof/>
            <w:webHidden/>
          </w:rPr>
          <w:fldChar w:fldCharType="separate"/>
        </w:r>
        <w:r>
          <w:rPr>
            <w:noProof/>
            <w:webHidden/>
          </w:rPr>
          <w:t>655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7" w:history="1">
        <w:r w:rsidRPr="00B80388">
          <w:rPr>
            <w:rStyle w:val="a5"/>
            <w:noProof/>
          </w:rPr>
          <w:t xml:space="preserve">Title: </w:t>
        </w:r>
        <w:r w:rsidRPr="00B80388">
          <w:rPr>
            <w:rStyle w:val="a5"/>
            <w:iCs/>
            <w:noProof/>
          </w:rPr>
          <w:t>Human Reproduction Update</w:t>
        </w:r>
        <w:r>
          <w:rPr>
            <w:noProof/>
            <w:webHidden/>
          </w:rPr>
          <w:tab/>
        </w:r>
        <w:r>
          <w:rPr>
            <w:noProof/>
            <w:webHidden/>
          </w:rPr>
          <w:fldChar w:fldCharType="begin"/>
        </w:r>
        <w:r>
          <w:rPr>
            <w:noProof/>
            <w:webHidden/>
          </w:rPr>
          <w:instrText xml:space="preserve"> PAGEREF _Toc317161057 \h </w:instrText>
        </w:r>
        <w:r>
          <w:rPr>
            <w:noProof/>
            <w:webHidden/>
          </w:rPr>
        </w:r>
        <w:r>
          <w:rPr>
            <w:noProof/>
            <w:webHidden/>
          </w:rPr>
          <w:fldChar w:fldCharType="separate"/>
        </w:r>
        <w:r>
          <w:rPr>
            <w:noProof/>
            <w:webHidden/>
          </w:rPr>
          <w:t>659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8" w:history="1">
        <w:r w:rsidRPr="00B80388">
          <w:rPr>
            <w:rStyle w:val="a5"/>
            <w:noProof/>
          </w:rPr>
          <w:t xml:space="preserve">Title: </w:t>
        </w:r>
        <w:r w:rsidRPr="00B80388">
          <w:rPr>
            <w:rStyle w:val="a5"/>
            <w:iCs/>
            <w:noProof/>
          </w:rPr>
          <w:t>Human Resources for Health</w:t>
        </w:r>
        <w:r>
          <w:rPr>
            <w:noProof/>
            <w:webHidden/>
          </w:rPr>
          <w:tab/>
        </w:r>
        <w:r>
          <w:rPr>
            <w:noProof/>
            <w:webHidden/>
          </w:rPr>
          <w:fldChar w:fldCharType="begin"/>
        </w:r>
        <w:r>
          <w:rPr>
            <w:noProof/>
            <w:webHidden/>
          </w:rPr>
          <w:instrText xml:space="preserve"> PAGEREF _Toc317161058 \h </w:instrText>
        </w:r>
        <w:r>
          <w:rPr>
            <w:noProof/>
            <w:webHidden/>
          </w:rPr>
        </w:r>
        <w:r>
          <w:rPr>
            <w:noProof/>
            <w:webHidden/>
          </w:rPr>
          <w:fldChar w:fldCharType="separate"/>
        </w:r>
        <w:r>
          <w:rPr>
            <w:noProof/>
            <w:webHidden/>
          </w:rPr>
          <w:t>663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59" w:history="1">
        <w:r w:rsidRPr="00B80388">
          <w:rPr>
            <w:rStyle w:val="a5"/>
            <w:noProof/>
          </w:rPr>
          <w:t xml:space="preserve">Title: </w:t>
        </w:r>
        <w:r w:rsidRPr="00B80388">
          <w:rPr>
            <w:rStyle w:val="a5"/>
            <w:iCs/>
            <w:noProof/>
          </w:rPr>
          <w:t>Human Resources Management in the Knowledge Economy Era</w:t>
        </w:r>
        <w:r>
          <w:rPr>
            <w:noProof/>
            <w:webHidden/>
          </w:rPr>
          <w:tab/>
        </w:r>
        <w:r>
          <w:rPr>
            <w:noProof/>
            <w:webHidden/>
          </w:rPr>
          <w:fldChar w:fldCharType="begin"/>
        </w:r>
        <w:r>
          <w:rPr>
            <w:noProof/>
            <w:webHidden/>
          </w:rPr>
          <w:instrText xml:space="preserve"> PAGEREF _Toc317161059 \h </w:instrText>
        </w:r>
        <w:r>
          <w:rPr>
            <w:noProof/>
            <w:webHidden/>
          </w:rPr>
        </w:r>
        <w:r>
          <w:rPr>
            <w:noProof/>
            <w:webHidden/>
          </w:rPr>
          <w:fldChar w:fldCharType="separate"/>
        </w:r>
        <w:r>
          <w:rPr>
            <w:noProof/>
            <w:webHidden/>
          </w:rPr>
          <w:t>665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0" w:history="1">
        <w:r w:rsidRPr="00B80388">
          <w:rPr>
            <w:rStyle w:val="a5"/>
            <w:noProof/>
          </w:rPr>
          <w:t>Title: Human Toxicology</w:t>
        </w:r>
        <w:r>
          <w:rPr>
            <w:noProof/>
            <w:webHidden/>
          </w:rPr>
          <w:tab/>
        </w:r>
        <w:r>
          <w:rPr>
            <w:noProof/>
            <w:webHidden/>
          </w:rPr>
          <w:fldChar w:fldCharType="begin"/>
        </w:r>
        <w:r>
          <w:rPr>
            <w:noProof/>
            <w:webHidden/>
          </w:rPr>
          <w:instrText xml:space="preserve"> PAGEREF _Toc317161060 \h </w:instrText>
        </w:r>
        <w:r>
          <w:rPr>
            <w:noProof/>
            <w:webHidden/>
          </w:rPr>
        </w:r>
        <w:r>
          <w:rPr>
            <w:noProof/>
            <w:webHidden/>
          </w:rPr>
          <w:fldChar w:fldCharType="separate"/>
        </w:r>
        <w:r>
          <w:rPr>
            <w:noProof/>
            <w:webHidden/>
          </w:rPr>
          <w:t>666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1" w:history="1">
        <w:r w:rsidRPr="00B80388">
          <w:rPr>
            <w:rStyle w:val="a5"/>
            <w:noProof/>
          </w:rPr>
          <w:t>Title: Human &amp; Experimental Toxicology</w:t>
        </w:r>
        <w:r>
          <w:rPr>
            <w:noProof/>
            <w:webHidden/>
          </w:rPr>
          <w:tab/>
        </w:r>
        <w:r>
          <w:rPr>
            <w:noProof/>
            <w:webHidden/>
          </w:rPr>
          <w:fldChar w:fldCharType="begin"/>
        </w:r>
        <w:r>
          <w:rPr>
            <w:noProof/>
            <w:webHidden/>
          </w:rPr>
          <w:instrText xml:space="preserve"> PAGEREF _Toc317161061 \h </w:instrText>
        </w:r>
        <w:r>
          <w:rPr>
            <w:noProof/>
            <w:webHidden/>
          </w:rPr>
        </w:r>
        <w:r>
          <w:rPr>
            <w:noProof/>
            <w:webHidden/>
          </w:rPr>
          <w:fldChar w:fldCharType="separate"/>
        </w:r>
        <w:r>
          <w:rPr>
            <w:noProof/>
            <w:webHidden/>
          </w:rPr>
          <w:t>667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2" w:history="1">
        <w:r w:rsidRPr="00B80388">
          <w:rPr>
            <w:rStyle w:val="a5"/>
            <w:noProof/>
          </w:rPr>
          <w:t>Title: Humic and Fulvic Acids ACS Symposium Series</w:t>
        </w:r>
        <w:r>
          <w:rPr>
            <w:noProof/>
            <w:webHidden/>
          </w:rPr>
          <w:tab/>
        </w:r>
        <w:r>
          <w:rPr>
            <w:noProof/>
            <w:webHidden/>
          </w:rPr>
          <w:fldChar w:fldCharType="begin"/>
        </w:r>
        <w:r>
          <w:rPr>
            <w:noProof/>
            <w:webHidden/>
          </w:rPr>
          <w:instrText xml:space="preserve"> PAGEREF _Toc317161062 \h </w:instrText>
        </w:r>
        <w:r>
          <w:rPr>
            <w:noProof/>
            <w:webHidden/>
          </w:rPr>
        </w:r>
        <w:r>
          <w:rPr>
            <w:noProof/>
            <w:webHidden/>
          </w:rPr>
          <w:fldChar w:fldCharType="separate"/>
        </w:r>
        <w:r>
          <w:rPr>
            <w:noProof/>
            <w:webHidden/>
          </w:rPr>
          <w:t>668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3" w:history="1">
        <w:r w:rsidRPr="00B80388">
          <w:rPr>
            <w:rStyle w:val="a5"/>
            <w:noProof/>
          </w:rPr>
          <w:t>Title: Humic Substances in the Environment</w:t>
        </w:r>
        <w:r>
          <w:rPr>
            <w:noProof/>
            <w:webHidden/>
          </w:rPr>
          <w:tab/>
        </w:r>
        <w:r>
          <w:rPr>
            <w:noProof/>
            <w:webHidden/>
          </w:rPr>
          <w:fldChar w:fldCharType="begin"/>
        </w:r>
        <w:r>
          <w:rPr>
            <w:noProof/>
            <w:webHidden/>
          </w:rPr>
          <w:instrText xml:space="preserve"> PAGEREF _Toc317161063 \h </w:instrText>
        </w:r>
        <w:r>
          <w:rPr>
            <w:noProof/>
            <w:webHidden/>
          </w:rPr>
        </w:r>
        <w:r>
          <w:rPr>
            <w:noProof/>
            <w:webHidden/>
          </w:rPr>
          <w:fldChar w:fldCharType="separate"/>
        </w:r>
        <w:r>
          <w:rPr>
            <w:noProof/>
            <w:webHidden/>
          </w:rPr>
          <w:t>671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4" w:history="1">
        <w:r w:rsidRPr="00B80388">
          <w:rPr>
            <w:rStyle w:val="a5"/>
            <w:noProof/>
          </w:rPr>
          <w:t xml:space="preserve">Title: Humic Substances in the Suwanne River, Georgia: Interactions, </w:t>
        </w:r>
        <w:r w:rsidRPr="00B80388">
          <w:rPr>
            <w:rStyle w:val="a5"/>
            <w:noProof/>
          </w:rPr>
          <w:lastRenderedPageBreak/>
          <w:t>Properties and Proposed Structure</w:t>
        </w:r>
        <w:r>
          <w:rPr>
            <w:noProof/>
            <w:webHidden/>
          </w:rPr>
          <w:tab/>
        </w:r>
        <w:r>
          <w:rPr>
            <w:noProof/>
            <w:webHidden/>
          </w:rPr>
          <w:fldChar w:fldCharType="begin"/>
        </w:r>
        <w:r>
          <w:rPr>
            <w:noProof/>
            <w:webHidden/>
          </w:rPr>
          <w:instrText xml:space="preserve"> PAGEREF _Toc317161064 \h </w:instrText>
        </w:r>
        <w:r>
          <w:rPr>
            <w:noProof/>
            <w:webHidden/>
          </w:rPr>
        </w:r>
        <w:r>
          <w:rPr>
            <w:noProof/>
            <w:webHidden/>
          </w:rPr>
          <w:fldChar w:fldCharType="separate"/>
        </w:r>
        <w:r>
          <w:rPr>
            <w:noProof/>
            <w:webHidden/>
          </w:rPr>
          <w:t>672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5" w:history="1">
        <w:r w:rsidRPr="00B80388">
          <w:rPr>
            <w:rStyle w:val="a5"/>
            <w:noProof/>
          </w:rPr>
          <w:t>Title: Hungarian Journal of Industrial Chemistry</w:t>
        </w:r>
        <w:r>
          <w:rPr>
            <w:noProof/>
            <w:webHidden/>
          </w:rPr>
          <w:tab/>
        </w:r>
        <w:r>
          <w:rPr>
            <w:noProof/>
            <w:webHidden/>
          </w:rPr>
          <w:fldChar w:fldCharType="begin"/>
        </w:r>
        <w:r>
          <w:rPr>
            <w:noProof/>
            <w:webHidden/>
          </w:rPr>
          <w:instrText xml:space="preserve"> PAGEREF _Toc317161065 \h </w:instrText>
        </w:r>
        <w:r>
          <w:rPr>
            <w:noProof/>
            <w:webHidden/>
          </w:rPr>
        </w:r>
        <w:r>
          <w:rPr>
            <w:noProof/>
            <w:webHidden/>
          </w:rPr>
          <w:fldChar w:fldCharType="separate"/>
        </w:r>
        <w:r>
          <w:rPr>
            <w:noProof/>
            <w:webHidden/>
          </w:rPr>
          <w:t>673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6" w:history="1">
        <w:r w:rsidRPr="00B80388">
          <w:rPr>
            <w:rStyle w:val="a5"/>
            <w:noProof/>
          </w:rPr>
          <w:t>Title: Hydrobiologia</w:t>
        </w:r>
        <w:r>
          <w:rPr>
            <w:noProof/>
            <w:webHidden/>
          </w:rPr>
          <w:tab/>
        </w:r>
        <w:r>
          <w:rPr>
            <w:noProof/>
            <w:webHidden/>
          </w:rPr>
          <w:fldChar w:fldCharType="begin"/>
        </w:r>
        <w:r>
          <w:rPr>
            <w:noProof/>
            <w:webHidden/>
          </w:rPr>
          <w:instrText xml:space="preserve"> PAGEREF _Toc317161066 \h </w:instrText>
        </w:r>
        <w:r>
          <w:rPr>
            <w:noProof/>
            <w:webHidden/>
          </w:rPr>
        </w:r>
        <w:r>
          <w:rPr>
            <w:noProof/>
            <w:webHidden/>
          </w:rPr>
          <w:fldChar w:fldCharType="separate"/>
        </w:r>
        <w:r>
          <w:rPr>
            <w:noProof/>
            <w:webHidden/>
          </w:rPr>
          <w:t>675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7" w:history="1">
        <w:r w:rsidRPr="00B80388">
          <w:rPr>
            <w:rStyle w:val="a5"/>
            <w:noProof/>
          </w:rPr>
          <w:t>Title: Hydrocarbon Processing</w:t>
        </w:r>
        <w:r>
          <w:rPr>
            <w:noProof/>
            <w:webHidden/>
          </w:rPr>
          <w:tab/>
        </w:r>
        <w:r>
          <w:rPr>
            <w:noProof/>
            <w:webHidden/>
          </w:rPr>
          <w:fldChar w:fldCharType="begin"/>
        </w:r>
        <w:r>
          <w:rPr>
            <w:noProof/>
            <w:webHidden/>
          </w:rPr>
          <w:instrText xml:space="preserve"> PAGEREF _Toc317161067 \h </w:instrText>
        </w:r>
        <w:r>
          <w:rPr>
            <w:noProof/>
            <w:webHidden/>
          </w:rPr>
        </w:r>
        <w:r>
          <w:rPr>
            <w:noProof/>
            <w:webHidden/>
          </w:rPr>
          <w:fldChar w:fldCharType="separate"/>
        </w:r>
        <w:r>
          <w:rPr>
            <w:noProof/>
            <w:webHidden/>
          </w:rPr>
          <w:t>679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8" w:history="1">
        <w:r w:rsidRPr="00B80388">
          <w:rPr>
            <w:rStyle w:val="a5"/>
            <w:noProof/>
          </w:rPr>
          <w:t>Title: Hydrogeology Journal</w:t>
        </w:r>
        <w:r>
          <w:rPr>
            <w:noProof/>
            <w:webHidden/>
          </w:rPr>
          <w:tab/>
        </w:r>
        <w:r>
          <w:rPr>
            <w:noProof/>
            <w:webHidden/>
          </w:rPr>
          <w:fldChar w:fldCharType="begin"/>
        </w:r>
        <w:r>
          <w:rPr>
            <w:noProof/>
            <w:webHidden/>
          </w:rPr>
          <w:instrText xml:space="preserve"> PAGEREF _Toc317161068 \h </w:instrText>
        </w:r>
        <w:r>
          <w:rPr>
            <w:noProof/>
            <w:webHidden/>
          </w:rPr>
        </w:r>
        <w:r>
          <w:rPr>
            <w:noProof/>
            <w:webHidden/>
          </w:rPr>
          <w:fldChar w:fldCharType="separate"/>
        </w:r>
        <w:r>
          <w:rPr>
            <w:noProof/>
            <w:webHidden/>
          </w:rPr>
          <w:t>680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69" w:history="1">
        <w:r w:rsidRPr="00B80388">
          <w:rPr>
            <w:rStyle w:val="a5"/>
            <w:noProof/>
          </w:rPr>
          <w:t>Title: Hydrological Processes</w:t>
        </w:r>
        <w:r>
          <w:rPr>
            <w:noProof/>
            <w:webHidden/>
          </w:rPr>
          <w:tab/>
        </w:r>
        <w:r>
          <w:rPr>
            <w:noProof/>
            <w:webHidden/>
          </w:rPr>
          <w:fldChar w:fldCharType="begin"/>
        </w:r>
        <w:r>
          <w:rPr>
            <w:noProof/>
            <w:webHidden/>
          </w:rPr>
          <w:instrText xml:space="preserve"> PAGEREF _Toc317161069 \h </w:instrText>
        </w:r>
        <w:r>
          <w:rPr>
            <w:noProof/>
            <w:webHidden/>
          </w:rPr>
        </w:r>
        <w:r>
          <w:rPr>
            <w:noProof/>
            <w:webHidden/>
          </w:rPr>
          <w:fldChar w:fldCharType="separate"/>
        </w:r>
        <w:r>
          <w:rPr>
            <w:noProof/>
            <w:webHidden/>
          </w:rPr>
          <w:t>681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0" w:history="1">
        <w:r w:rsidRPr="00B80388">
          <w:rPr>
            <w:rStyle w:val="a5"/>
            <w:noProof/>
            <w:lang w:val="fr-FR"/>
          </w:rPr>
          <w:t>Title: Hydrological Sciences Journal-Journal des Sciences Hydrologiques</w:t>
        </w:r>
        <w:r>
          <w:rPr>
            <w:noProof/>
            <w:webHidden/>
          </w:rPr>
          <w:tab/>
        </w:r>
        <w:r>
          <w:rPr>
            <w:noProof/>
            <w:webHidden/>
          </w:rPr>
          <w:fldChar w:fldCharType="begin"/>
        </w:r>
        <w:r>
          <w:rPr>
            <w:noProof/>
            <w:webHidden/>
          </w:rPr>
          <w:instrText xml:space="preserve"> PAGEREF _Toc317161070 \h </w:instrText>
        </w:r>
        <w:r>
          <w:rPr>
            <w:noProof/>
            <w:webHidden/>
          </w:rPr>
        </w:r>
        <w:r>
          <w:rPr>
            <w:noProof/>
            <w:webHidden/>
          </w:rPr>
          <w:fldChar w:fldCharType="separate"/>
        </w:r>
        <w:r>
          <w:rPr>
            <w:noProof/>
            <w:webHidden/>
          </w:rPr>
          <w:t>684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1" w:history="1">
        <w:r w:rsidRPr="00B80388">
          <w:rPr>
            <w:rStyle w:val="a5"/>
            <w:noProof/>
          </w:rPr>
          <w:t>Title: Hydrologiques</w:t>
        </w:r>
        <w:r>
          <w:rPr>
            <w:noProof/>
            <w:webHidden/>
          </w:rPr>
          <w:tab/>
        </w:r>
        <w:r>
          <w:rPr>
            <w:noProof/>
            <w:webHidden/>
          </w:rPr>
          <w:fldChar w:fldCharType="begin"/>
        </w:r>
        <w:r>
          <w:rPr>
            <w:noProof/>
            <w:webHidden/>
          </w:rPr>
          <w:instrText xml:space="preserve"> PAGEREF _Toc317161071 \h </w:instrText>
        </w:r>
        <w:r>
          <w:rPr>
            <w:noProof/>
            <w:webHidden/>
          </w:rPr>
        </w:r>
        <w:r>
          <w:rPr>
            <w:noProof/>
            <w:webHidden/>
          </w:rPr>
          <w:fldChar w:fldCharType="separate"/>
        </w:r>
        <w:r>
          <w:rPr>
            <w:noProof/>
            <w:webHidden/>
          </w:rPr>
          <w:t>687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2" w:history="1">
        <w:r w:rsidRPr="00B80388">
          <w:rPr>
            <w:rStyle w:val="a5"/>
            <w:noProof/>
          </w:rPr>
          <w:t xml:space="preserve">Title: </w:t>
        </w:r>
        <w:r w:rsidRPr="00B80388">
          <w:rPr>
            <w:rStyle w:val="a5"/>
            <w:iCs/>
            <w:noProof/>
          </w:rPr>
          <w:t>Hydrology and Earth System Sciences</w:t>
        </w:r>
        <w:r>
          <w:rPr>
            <w:noProof/>
            <w:webHidden/>
          </w:rPr>
          <w:tab/>
        </w:r>
        <w:r>
          <w:rPr>
            <w:noProof/>
            <w:webHidden/>
          </w:rPr>
          <w:fldChar w:fldCharType="begin"/>
        </w:r>
        <w:r>
          <w:rPr>
            <w:noProof/>
            <w:webHidden/>
          </w:rPr>
          <w:instrText xml:space="preserve"> PAGEREF _Toc317161072 \h </w:instrText>
        </w:r>
        <w:r>
          <w:rPr>
            <w:noProof/>
            <w:webHidden/>
          </w:rPr>
        </w:r>
        <w:r>
          <w:rPr>
            <w:noProof/>
            <w:webHidden/>
          </w:rPr>
          <w:fldChar w:fldCharType="separate"/>
        </w:r>
        <w:r>
          <w:rPr>
            <w:noProof/>
            <w:webHidden/>
          </w:rPr>
          <w:t>688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3" w:history="1">
        <w:r w:rsidRPr="00B80388">
          <w:rPr>
            <w:rStyle w:val="a5"/>
            <w:noProof/>
          </w:rPr>
          <w:t>Title: Hydrometallurgy</w:t>
        </w:r>
        <w:r>
          <w:rPr>
            <w:noProof/>
            <w:webHidden/>
          </w:rPr>
          <w:tab/>
        </w:r>
        <w:r>
          <w:rPr>
            <w:noProof/>
            <w:webHidden/>
          </w:rPr>
          <w:fldChar w:fldCharType="begin"/>
        </w:r>
        <w:r>
          <w:rPr>
            <w:noProof/>
            <w:webHidden/>
          </w:rPr>
          <w:instrText xml:space="preserve"> PAGEREF _Toc317161073 \h </w:instrText>
        </w:r>
        <w:r>
          <w:rPr>
            <w:noProof/>
            <w:webHidden/>
          </w:rPr>
        </w:r>
        <w:r>
          <w:rPr>
            <w:noProof/>
            <w:webHidden/>
          </w:rPr>
          <w:fldChar w:fldCharType="separate"/>
        </w:r>
        <w:r>
          <w:rPr>
            <w:noProof/>
            <w:webHidden/>
          </w:rPr>
          <w:t>691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4" w:history="1">
        <w:r w:rsidRPr="00B80388">
          <w:rPr>
            <w:rStyle w:val="a5"/>
            <w:noProof/>
          </w:rPr>
          <w:t xml:space="preserve">Title: </w:t>
        </w:r>
        <w:r w:rsidRPr="00B80388">
          <w:rPr>
            <w:rStyle w:val="a5"/>
            <w:iCs/>
            <w:noProof/>
          </w:rPr>
          <w:t>Hyperfine Interactions</w:t>
        </w:r>
        <w:r>
          <w:rPr>
            <w:noProof/>
            <w:webHidden/>
          </w:rPr>
          <w:tab/>
        </w:r>
        <w:r>
          <w:rPr>
            <w:noProof/>
            <w:webHidden/>
          </w:rPr>
          <w:fldChar w:fldCharType="begin"/>
        </w:r>
        <w:r>
          <w:rPr>
            <w:noProof/>
            <w:webHidden/>
          </w:rPr>
          <w:instrText xml:space="preserve"> PAGEREF _Toc317161074 \h </w:instrText>
        </w:r>
        <w:r>
          <w:rPr>
            <w:noProof/>
            <w:webHidden/>
          </w:rPr>
        </w:r>
        <w:r>
          <w:rPr>
            <w:noProof/>
            <w:webHidden/>
          </w:rPr>
          <w:fldChar w:fldCharType="separate"/>
        </w:r>
        <w:r>
          <w:rPr>
            <w:noProof/>
            <w:webHidden/>
          </w:rPr>
          <w:t>739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5" w:history="1">
        <w:r w:rsidRPr="00B80388">
          <w:rPr>
            <w:rStyle w:val="a5"/>
            <w:noProof/>
          </w:rPr>
          <w:t>Title: Hypertension</w:t>
        </w:r>
        <w:r>
          <w:rPr>
            <w:noProof/>
            <w:webHidden/>
          </w:rPr>
          <w:tab/>
        </w:r>
        <w:r>
          <w:rPr>
            <w:noProof/>
            <w:webHidden/>
          </w:rPr>
          <w:fldChar w:fldCharType="begin"/>
        </w:r>
        <w:r>
          <w:rPr>
            <w:noProof/>
            <w:webHidden/>
          </w:rPr>
          <w:instrText xml:space="preserve"> PAGEREF _Toc317161075 \h </w:instrText>
        </w:r>
        <w:r>
          <w:rPr>
            <w:noProof/>
            <w:webHidden/>
          </w:rPr>
        </w:r>
        <w:r>
          <w:rPr>
            <w:noProof/>
            <w:webHidden/>
          </w:rPr>
          <w:fldChar w:fldCharType="separate"/>
        </w:r>
        <w:r>
          <w:rPr>
            <w:noProof/>
            <w:webHidden/>
          </w:rPr>
          <w:t>740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6" w:history="1">
        <w:r w:rsidRPr="00B80388">
          <w:rPr>
            <w:rStyle w:val="a5"/>
            <w:noProof/>
          </w:rPr>
          <w:t>Title: IAENG Transactions on Engineering Technologies, Vol II</w:t>
        </w:r>
        <w:r>
          <w:rPr>
            <w:noProof/>
            <w:webHidden/>
          </w:rPr>
          <w:tab/>
        </w:r>
        <w:r>
          <w:rPr>
            <w:noProof/>
            <w:webHidden/>
          </w:rPr>
          <w:fldChar w:fldCharType="begin"/>
        </w:r>
        <w:r>
          <w:rPr>
            <w:noProof/>
            <w:webHidden/>
          </w:rPr>
          <w:instrText xml:space="preserve"> PAGEREF _Toc317161076 \h </w:instrText>
        </w:r>
        <w:r>
          <w:rPr>
            <w:noProof/>
            <w:webHidden/>
          </w:rPr>
        </w:r>
        <w:r>
          <w:rPr>
            <w:noProof/>
            <w:webHidden/>
          </w:rPr>
          <w:fldChar w:fldCharType="separate"/>
        </w:r>
        <w:r>
          <w:rPr>
            <w:noProof/>
            <w:webHidden/>
          </w:rPr>
          <w:t>742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7" w:history="1">
        <w:r w:rsidRPr="00B80388">
          <w:rPr>
            <w:rStyle w:val="a5"/>
            <w:noProof/>
          </w:rPr>
          <w:t>Title: IARC Scientific Publications</w:t>
        </w:r>
        <w:r>
          <w:rPr>
            <w:noProof/>
            <w:webHidden/>
          </w:rPr>
          <w:tab/>
        </w:r>
        <w:r>
          <w:rPr>
            <w:noProof/>
            <w:webHidden/>
          </w:rPr>
          <w:fldChar w:fldCharType="begin"/>
        </w:r>
        <w:r>
          <w:rPr>
            <w:noProof/>
            <w:webHidden/>
          </w:rPr>
          <w:instrText xml:space="preserve"> PAGEREF _Toc317161077 \h </w:instrText>
        </w:r>
        <w:r>
          <w:rPr>
            <w:noProof/>
            <w:webHidden/>
          </w:rPr>
        </w:r>
        <w:r>
          <w:rPr>
            <w:noProof/>
            <w:webHidden/>
          </w:rPr>
          <w:fldChar w:fldCharType="separate"/>
        </w:r>
        <w:r>
          <w:rPr>
            <w:noProof/>
            <w:webHidden/>
          </w:rPr>
          <w:t>744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8" w:history="1">
        <w:r w:rsidRPr="00B80388">
          <w:rPr>
            <w:rStyle w:val="a5"/>
            <w:noProof/>
          </w:rPr>
          <w:t>Title: IASLIC Bulletin</w:t>
        </w:r>
        <w:r>
          <w:rPr>
            <w:noProof/>
            <w:webHidden/>
          </w:rPr>
          <w:tab/>
        </w:r>
        <w:r>
          <w:rPr>
            <w:noProof/>
            <w:webHidden/>
          </w:rPr>
          <w:fldChar w:fldCharType="begin"/>
        </w:r>
        <w:r>
          <w:rPr>
            <w:noProof/>
            <w:webHidden/>
          </w:rPr>
          <w:instrText xml:space="preserve"> PAGEREF _Toc317161078 \h </w:instrText>
        </w:r>
        <w:r>
          <w:rPr>
            <w:noProof/>
            <w:webHidden/>
          </w:rPr>
        </w:r>
        <w:r>
          <w:rPr>
            <w:noProof/>
            <w:webHidden/>
          </w:rPr>
          <w:fldChar w:fldCharType="separate"/>
        </w:r>
        <w:r>
          <w:rPr>
            <w:noProof/>
            <w:webHidden/>
          </w:rPr>
          <w:t>746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79" w:history="1">
        <w:r w:rsidRPr="00B80388">
          <w:rPr>
            <w:rStyle w:val="a5"/>
            <w:noProof/>
          </w:rPr>
          <w:t xml:space="preserve">Title: </w:t>
        </w:r>
        <w:r w:rsidRPr="00B80388">
          <w:rPr>
            <w:rStyle w:val="a5"/>
            <w:iCs/>
            <w:noProof/>
          </w:rPr>
          <w:t>Iberica</w:t>
        </w:r>
        <w:r>
          <w:rPr>
            <w:noProof/>
            <w:webHidden/>
          </w:rPr>
          <w:tab/>
        </w:r>
        <w:r>
          <w:rPr>
            <w:noProof/>
            <w:webHidden/>
          </w:rPr>
          <w:fldChar w:fldCharType="begin"/>
        </w:r>
        <w:r>
          <w:rPr>
            <w:noProof/>
            <w:webHidden/>
          </w:rPr>
          <w:instrText xml:space="preserve"> PAGEREF _Toc317161079 \h </w:instrText>
        </w:r>
        <w:r>
          <w:rPr>
            <w:noProof/>
            <w:webHidden/>
          </w:rPr>
        </w:r>
        <w:r>
          <w:rPr>
            <w:noProof/>
            <w:webHidden/>
          </w:rPr>
          <w:fldChar w:fldCharType="separate"/>
        </w:r>
        <w:r>
          <w:rPr>
            <w:noProof/>
            <w:webHidden/>
          </w:rPr>
          <w:t>748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0" w:history="1">
        <w:r w:rsidRPr="00B80388">
          <w:rPr>
            <w:rStyle w:val="a5"/>
            <w:noProof/>
          </w:rPr>
          <w:t>Title: Ibid</w:t>
        </w:r>
        <w:r>
          <w:rPr>
            <w:noProof/>
            <w:webHidden/>
          </w:rPr>
          <w:tab/>
        </w:r>
        <w:r>
          <w:rPr>
            <w:noProof/>
            <w:webHidden/>
          </w:rPr>
          <w:fldChar w:fldCharType="begin"/>
        </w:r>
        <w:r>
          <w:rPr>
            <w:noProof/>
            <w:webHidden/>
          </w:rPr>
          <w:instrText xml:space="preserve"> PAGEREF _Toc317161080 \h </w:instrText>
        </w:r>
        <w:r>
          <w:rPr>
            <w:noProof/>
            <w:webHidden/>
          </w:rPr>
        </w:r>
        <w:r>
          <w:rPr>
            <w:noProof/>
            <w:webHidden/>
          </w:rPr>
          <w:fldChar w:fldCharType="separate"/>
        </w:r>
        <w:r>
          <w:rPr>
            <w:noProof/>
            <w:webHidden/>
          </w:rPr>
          <w:t>749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1" w:history="1">
        <w:r w:rsidRPr="00B80388">
          <w:rPr>
            <w:rStyle w:val="a5"/>
            <w:noProof/>
          </w:rPr>
          <w:t>Title: ICEM2007: Proceedings of the 11th International Conference on Environmental Remediation and Radioactive Waste Management, Pts A and B</w:t>
        </w:r>
        <w:r>
          <w:rPr>
            <w:noProof/>
            <w:webHidden/>
          </w:rPr>
          <w:tab/>
        </w:r>
        <w:r>
          <w:rPr>
            <w:noProof/>
            <w:webHidden/>
          </w:rPr>
          <w:fldChar w:fldCharType="begin"/>
        </w:r>
        <w:r>
          <w:rPr>
            <w:noProof/>
            <w:webHidden/>
          </w:rPr>
          <w:instrText xml:space="preserve"> PAGEREF _Toc317161081 \h </w:instrText>
        </w:r>
        <w:r>
          <w:rPr>
            <w:noProof/>
            <w:webHidden/>
          </w:rPr>
        </w:r>
        <w:r>
          <w:rPr>
            <w:noProof/>
            <w:webHidden/>
          </w:rPr>
          <w:fldChar w:fldCharType="separate"/>
        </w:r>
        <w:r>
          <w:rPr>
            <w:noProof/>
            <w:webHidden/>
          </w:rPr>
          <w:t>750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2" w:history="1">
        <w:r w:rsidRPr="00B80388">
          <w:rPr>
            <w:rStyle w:val="a5"/>
            <w:noProof/>
          </w:rPr>
          <w:t xml:space="preserve">Title: </w:t>
        </w:r>
        <w:r w:rsidRPr="00B80388">
          <w:rPr>
            <w:rStyle w:val="a5"/>
            <w:iCs/>
            <w:noProof/>
          </w:rPr>
          <w:t>2009 International Conference on Environmental Science and Information Application Technology, Proceedings</w:t>
        </w:r>
        <w:r>
          <w:rPr>
            <w:noProof/>
            <w:webHidden/>
          </w:rPr>
          <w:tab/>
        </w:r>
        <w:r>
          <w:rPr>
            <w:noProof/>
            <w:webHidden/>
          </w:rPr>
          <w:fldChar w:fldCharType="begin"/>
        </w:r>
        <w:r>
          <w:rPr>
            <w:noProof/>
            <w:webHidden/>
          </w:rPr>
          <w:instrText xml:space="preserve"> PAGEREF _Toc317161082 \h </w:instrText>
        </w:r>
        <w:r>
          <w:rPr>
            <w:noProof/>
            <w:webHidden/>
          </w:rPr>
        </w:r>
        <w:r>
          <w:rPr>
            <w:noProof/>
            <w:webHidden/>
          </w:rPr>
          <w:fldChar w:fldCharType="separate"/>
        </w:r>
        <w:r>
          <w:rPr>
            <w:noProof/>
            <w:webHidden/>
          </w:rPr>
          <w:t>752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3" w:history="1">
        <w:r w:rsidRPr="00B80388">
          <w:rPr>
            <w:rStyle w:val="a5"/>
            <w:noProof/>
          </w:rPr>
          <w:t>Title: 2004 IEEE International Engineering Management Conference</w:t>
        </w:r>
        <w:r>
          <w:rPr>
            <w:noProof/>
            <w:webHidden/>
          </w:rPr>
          <w:tab/>
        </w:r>
        <w:r>
          <w:rPr>
            <w:noProof/>
            <w:webHidden/>
          </w:rPr>
          <w:fldChar w:fldCharType="begin"/>
        </w:r>
        <w:r>
          <w:rPr>
            <w:noProof/>
            <w:webHidden/>
          </w:rPr>
          <w:instrText xml:space="preserve"> PAGEREF _Toc317161083 \h </w:instrText>
        </w:r>
        <w:r>
          <w:rPr>
            <w:noProof/>
            <w:webHidden/>
          </w:rPr>
        </w:r>
        <w:r>
          <w:rPr>
            <w:noProof/>
            <w:webHidden/>
          </w:rPr>
          <w:fldChar w:fldCharType="separate"/>
        </w:r>
        <w:r>
          <w:rPr>
            <w:noProof/>
            <w:webHidden/>
          </w:rPr>
          <w:t>754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4" w:history="1">
        <w:r w:rsidRPr="00B80388">
          <w:rPr>
            <w:rStyle w:val="a5"/>
            <w:noProof/>
          </w:rPr>
          <w:t>Title: 2008 IEEE International Conference on Granular Computing</w:t>
        </w:r>
        <w:r>
          <w:rPr>
            <w:noProof/>
            <w:webHidden/>
          </w:rPr>
          <w:tab/>
        </w:r>
        <w:r>
          <w:rPr>
            <w:noProof/>
            <w:webHidden/>
          </w:rPr>
          <w:fldChar w:fldCharType="begin"/>
        </w:r>
        <w:r>
          <w:rPr>
            <w:noProof/>
            <w:webHidden/>
          </w:rPr>
          <w:instrText xml:space="preserve"> PAGEREF _Toc317161084 \h </w:instrText>
        </w:r>
        <w:r>
          <w:rPr>
            <w:noProof/>
            <w:webHidden/>
          </w:rPr>
        </w:r>
        <w:r>
          <w:rPr>
            <w:noProof/>
            <w:webHidden/>
          </w:rPr>
          <w:fldChar w:fldCharType="separate"/>
        </w:r>
        <w:r>
          <w:rPr>
            <w:noProof/>
            <w:webHidden/>
          </w:rPr>
          <w:t>756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5" w:history="1">
        <w:r w:rsidRPr="00B80388">
          <w:rPr>
            <w:rStyle w:val="a5"/>
            <w:noProof/>
          </w:rPr>
          <w:t>Title: 2008 IEEE International Conference on Management of Innovation and Technology</w:t>
        </w:r>
        <w:r>
          <w:rPr>
            <w:noProof/>
            <w:webHidden/>
          </w:rPr>
          <w:tab/>
        </w:r>
        <w:r>
          <w:rPr>
            <w:noProof/>
            <w:webHidden/>
          </w:rPr>
          <w:fldChar w:fldCharType="begin"/>
        </w:r>
        <w:r>
          <w:rPr>
            <w:noProof/>
            <w:webHidden/>
          </w:rPr>
          <w:instrText xml:space="preserve"> PAGEREF _Toc317161085 \h </w:instrText>
        </w:r>
        <w:r>
          <w:rPr>
            <w:noProof/>
            <w:webHidden/>
          </w:rPr>
        </w:r>
        <w:r>
          <w:rPr>
            <w:noProof/>
            <w:webHidden/>
          </w:rPr>
          <w:fldChar w:fldCharType="separate"/>
        </w:r>
        <w:r>
          <w:rPr>
            <w:noProof/>
            <w:webHidden/>
          </w:rPr>
          <w:t>757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6" w:history="1">
        <w:r w:rsidRPr="00B80388">
          <w:rPr>
            <w:rStyle w:val="a5"/>
            <w:noProof/>
          </w:rPr>
          <w:t xml:space="preserve">Title: </w:t>
        </w:r>
        <w:r w:rsidRPr="00B80388">
          <w:rPr>
            <w:rStyle w:val="a5"/>
            <w:iCs/>
            <w:noProof/>
          </w:rPr>
          <w:t>IEEE Engineering in Medicine and Biology Magazine</w:t>
        </w:r>
        <w:r>
          <w:rPr>
            <w:noProof/>
            <w:webHidden/>
          </w:rPr>
          <w:tab/>
        </w:r>
        <w:r>
          <w:rPr>
            <w:noProof/>
            <w:webHidden/>
          </w:rPr>
          <w:fldChar w:fldCharType="begin"/>
        </w:r>
        <w:r>
          <w:rPr>
            <w:noProof/>
            <w:webHidden/>
          </w:rPr>
          <w:instrText xml:space="preserve"> PAGEREF _Toc317161086 \h </w:instrText>
        </w:r>
        <w:r>
          <w:rPr>
            <w:noProof/>
            <w:webHidden/>
          </w:rPr>
        </w:r>
        <w:r>
          <w:rPr>
            <w:noProof/>
            <w:webHidden/>
          </w:rPr>
          <w:fldChar w:fldCharType="separate"/>
        </w:r>
        <w:r>
          <w:rPr>
            <w:noProof/>
            <w:webHidden/>
          </w:rPr>
          <w:t>759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7" w:history="1">
        <w:r w:rsidRPr="00B80388">
          <w:rPr>
            <w:rStyle w:val="a5"/>
            <w:noProof/>
          </w:rPr>
          <w:t xml:space="preserve">Title: </w:t>
        </w:r>
        <w:r w:rsidRPr="00B80388">
          <w:rPr>
            <w:rStyle w:val="a5"/>
            <w:iCs/>
            <w:noProof/>
          </w:rPr>
          <w:t>IEEE Intelligent Systems</w:t>
        </w:r>
        <w:r>
          <w:rPr>
            <w:noProof/>
            <w:webHidden/>
          </w:rPr>
          <w:tab/>
        </w:r>
        <w:r>
          <w:rPr>
            <w:noProof/>
            <w:webHidden/>
          </w:rPr>
          <w:fldChar w:fldCharType="begin"/>
        </w:r>
        <w:r>
          <w:rPr>
            <w:noProof/>
            <w:webHidden/>
          </w:rPr>
          <w:instrText xml:space="preserve"> PAGEREF _Toc317161087 \h </w:instrText>
        </w:r>
        <w:r>
          <w:rPr>
            <w:noProof/>
            <w:webHidden/>
          </w:rPr>
        </w:r>
        <w:r>
          <w:rPr>
            <w:noProof/>
            <w:webHidden/>
          </w:rPr>
          <w:fldChar w:fldCharType="separate"/>
        </w:r>
        <w:r>
          <w:rPr>
            <w:noProof/>
            <w:webHidden/>
          </w:rPr>
          <w:t>760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8" w:history="1">
        <w:r w:rsidRPr="00B80388">
          <w:rPr>
            <w:rStyle w:val="a5"/>
            <w:noProof/>
          </w:rPr>
          <w:t>Title: IEEE International Symposium on Technology and Society</w:t>
        </w:r>
        <w:r>
          <w:rPr>
            <w:noProof/>
            <w:webHidden/>
          </w:rPr>
          <w:tab/>
        </w:r>
        <w:r>
          <w:rPr>
            <w:noProof/>
            <w:webHidden/>
          </w:rPr>
          <w:fldChar w:fldCharType="begin"/>
        </w:r>
        <w:r>
          <w:rPr>
            <w:noProof/>
            <w:webHidden/>
          </w:rPr>
          <w:instrText xml:space="preserve"> PAGEREF _Toc317161088 \h </w:instrText>
        </w:r>
        <w:r>
          <w:rPr>
            <w:noProof/>
            <w:webHidden/>
          </w:rPr>
        </w:r>
        <w:r>
          <w:rPr>
            <w:noProof/>
            <w:webHidden/>
          </w:rPr>
          <w:fldChar w:fldCharType="separate"/>
        </w:r>
        <w:r>
          <w:rPr>
            <w:noProof/>
            <w:webHidden/>
          </w:rPr>
          <w:t>761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89" w:history="1">
        <w:r w:rsidRPr="00B80388">
          <w:rPr>
            <w:rStyle w:val="a5"/>
            <w:noProof/>
          </w:rPr>
          <w:t xml:space="preserve">Title: </w:t>
        </w:r>
        <w:r w:rsidRPr="00B80388">
          <w:rPr>
            <w:rStyle w:val="a5"/>
            <w:iCs/>
            <w:noProof/>
          </w:rPr>
          <w:t>IEEE Software</w:t>
        </w:r>
        <w:r>
          <w:rPr>
            <w:noProof/>
            <w:webHidden/>
          </w:rPr>
          <w:tab/>
        </w:r>
        <w:r>
          <w:rPr>
            <w:noProof/>
            <w:webHidden/>
          </w:rPr>
          <w:fldChar w:fldCharType="begin"/>
        </w:r>
        <w:r>
          <w:rPr>
            <w:noProof/>
            <w:webHidden/>
          </w:rPr>
          <w:instrText xml:space="preserve"> PAGEREF _Toc317161089 \h </w:instrText>
        </w:r>
        <w:r>
          <w:rPr>
            <w:noProof/>
            <w:webHidden/>
          </w:rPr>
        </w:r>
        <w:r>
          <w:rPr>
            <w:noProof/>
            <w:webHidden/>
          </w:rPr>
          <w:fldChar w:fldCharType="separate"/>
        </w:r>
        <w:r>
          <w:rPr>
            <w:noProof/>
            <w:webHidden/>
          </w:rPr>
          <w:t>762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0" w:history="1">
        <w:r w:rsidRPr="00B80388">
          <w:rPr>
            <w:rStyle w:val="a5"/>
            <w:noProof/>
          </w:rPr>
          <w:t xml:space="preserve">Title: </w:t>
        </w:r>
        <w:r w:rsidRPr="00B80388">
          <w:rPr>
            <w:rStyle w:val="a5"/>
            <w:iCs/>
            <w:noProof/>
          </w:rPr>
          <w:t>IEEE Technology and Society Magazine</w:t>
        </w:r>
        <w:r>
          <w:rPr>
            <w:noProof/>
            <w:webHidden/>
          </w:rPr>
          <w:tab/>
        </w:r>
        <w:r>
          <w:rPr>
            <w:noProof/>
            <w:webHidden/>
          </w:rPr>
          <w:fldChar w:fldCharType="begin"/>
        </w:r>
        <w:r>
          <w:rPr>
            <w:noProof/>
            <w:webHidden/>
          </w:rPr>
          <w:instrText xml:space="preserve"> PAGEREF _Toc317161090 \h </w:instrText>
        </w:r>
        <w:r>
          <w:rPr>
            <w:noProof/>
            <w:webHidden/>
          </w:rPr>
        </w:r>
        <w:r>
          <w:rPr>
            <w:noProof/>
            <w:webHidden/>
          </w:rPr>
          <w:fldChar w:fldCharType="separate"/>
        </w:r>
        <w:r>
          <w:rPr>
            <w:noProof/>
            <w:webHidden/>
          </w:rPr>
          <w:t>763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1" w:history="1">
        <w:r w:rsidRPr="00B80388">
          <w:rPr>
            <w:rStyle w:val="a5"/>
            <w:noProof/>
          </w:rPr>
          <w:t xml:space="preserve">Title: </w:t>
        </w:r>
        <w:r w:rsidRPr="00B80388">
          <w:rPr>
            <w:rStyle w:val="a5"/>
            <w:iCs/>
            <w:noProof/>
          </w:rPr>
          <w:t xml:space="preserve">IEEE Transactions on </w:t>
        </w:r>
        <w:r w:rsidRPr="00B80388">
          <w:rPr>
            <w:rStyle w:val="a5"/>
            <w:noProof/>
          </w:rPr>
          <w:t>Automatic Control</w:t>
        </w:r>
        <w:r>
          <w:rPr>
            <w:noProof/>
            <w:webHidden/>
          </w:rPr>
          <w:tab/>
        </w:r>
        <w:r>
          <w:rPr>
            <w:noProof/>
            <w:webHidden/>
          </w:rPr>
          <w:fldChar w:fldCharType="begin"/>
        </w:r>
        <w:r>
          <w:rPr>
            <w:noProof/>
            <w:webHidden/>
          </w:rPr>
          <w:instrText xml:space="preserve"> PAGEREF _Toc317161091 \h </w:instrText>
        </w:r>
        <w:r>
          <w:rPr>
            <w:noProof/>
            <w:webHidden/>
          </w:rPr>
        </w:r>
        <w:r>
          <w:rPr>
            <w:noProof/>
            <w:webHidden/>
          </w:rPr>
          <w:fldChar w:fldCharType="separate"/>
        </w:r>
        <w:r>
          <w:rPr>
            <w:noProof/>
            <w:webHidden/>
          </w:rPr>
          <w:t>764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2" w:history="1">
        <w:r w:rsidRPr="00B80388">
          <w:rPr>
            <w:rStyle w:val="a5"/>
            <w:noProof/>
          </w:rPr>
          <w:t xml:space="preserve">Title: </w:t>
        </w:r>
        <w:r w:rsidRPr="00B80388">
          <w:rPr>
            <w:rStyle w:val="a5"/>
            <w:iCs/>
            <w:noProof/>
          </w:rPr>
          <w:t>IEEE Transactions on Education</w:t>
        </w:r>
        <w:r>
          <w:rPr>
            <w:noProof/>
            <w:webHidden/>
          </w:rPr>
          <w:tab/>
        </w:r>
        <w:r>
          <w:rPr>
            <w:noProof/>
            <w:webHidden/>
          </w:rPr>
          <w:fldChar w:fldCharType="begin"/>
        </w:r>
        <w:r>
          <w:rPr>
            <w:noProof/>
            <w:webHidden/>
          </w:rPr>
          <w:instrText xml:space="preserve"> PAGEREF _Toc317161092 \h </w:instrText>
        </w:r>
        <w:r>
          <w:rPr>
            <w:noProof/>
            <w:webHidden/>
          </w:rPr>
        </w:r>
        <w:r>
          <w:rPr>
            <w:noProof/>
            <w:webHidden/>
          </w:rPr>
          <w:fldChar w:fldCharType="separate"/>
        </w:r>
        <w:r>
          <w:rPr>
            <w:noProof/>
            <w:webHidden/>
          </w:rPr>
          <w:t>765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3" w:history="1">
        <w:r w:rsidRPr="00B80388">
          <w:rPr>
            <w:rStyle w:val="a5"/>
            <w:noProof/>
          </w:rPr>
          <w:t xml:space="preserve">Title: </w:t>
        </w:r>
        <w:r w:rsidRPr="00B80388">
          <w:rPr>
            <w:rStyle w:val="a5"/>
            <w:iCs/>
            <w:noProof/>
          </w:rPr>
          <w:t>IEEE Transactions on Engineering Management</w:t>
        </w:r>
        <w:r>
          <w:rPr>
            <w:noProof/>
            <w:webHidden/>
          </w:rPr>
          <w:tab/>
        </w:r>
        <w:r>
          <w:rPr>
            <w:noProof/>
            <w:webHidden/>
          </w:rPr>
          <w:fldChar w:fldCharType="begin"/>
        </w:r>
        <w:r>
          <w:rPr>
            <w:noProof/>
            <w:webHidden/>
          </w:rPr>
          <w:instrText xml:space="preserve"> PAGEREF _Toc317161093 \h </w:instrText>
        </w:r>
        <w:r>
          <w:rPr>
            <w:noProof/>
            <w:webHidden/>
          </w:rPr>
        </w:r>
        <w:r>
          <w:rPr>
            <w:noProof/>
            <w:webHidden/>
          </w:rPr>
          <w:fldChar w:fldCharType="separate"/>
        </w:r>
        <w:r>
          <w:rPr>
            <w:noProof/>
            <w:webHidden/>
          </w:rPr>
          <w:t>767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4" w:history="1">
        <w:r w:rsidRPr="00B80388">
          <w:rPr>
            <w:rStyle w:val="a5"/>
            <w:noProof/>
          </w:rPr>
          <w:t>Title: IEEE Transactions on Fuzzy Systems</w:t>
        </w:r>
        <w:r>
          <w:rPr>
            <w:noProof/>
            <w:webHidden/>
          </w:rPr>
          <w:tab/>
        </w:r>
        <w:r>
          <w:rPr>
            <w:noProof/>
            <w:webHidden/>
          </w:rPr>
          <w:fldChar w:fldCharType="begin"/>
        </w:r>
        <w:r>
          <w:rPr>
            <w:noProof/>
            <w:webHidden/>
          </w:rPr>
          <w:instrText xml:space="preserve"> PAGEREF _Toc317161094 \h </w:instrText>
        </w:r>
        <w:r>
          <w:rPr>
            <w:noProof/>
            <w:webHidden/>
          </w:rPr>
        </w:r>
        <w:r>
          <w:rPr>
            <w:noProof/>
            <w:webHidden/>
          </w:rPr>
          <w:fldChar w:fldCharType="separate"/>
        </w:r>
        <w:r>
          <w:rPr>
            <w:noProof/>
            <w:webHidden/>
          </w:rPr>
          <w:t>769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5" w:history="1">
        <w:r w:rsidRPr="00B80388">
          <w:rPr>
            <w:rStyle w:val="a5"/>
            <w:noProof/>
          </w:rPr>
          <w:t xml:space="preserve">Title: </w:t>
        </w:r>
        <w:r w:rsidRPr="00B80388">
          <w:rPr>
            <w:rStyle w:val="a5"/>
            <w:iCs/>
            <w:noProof/>
          </w:rPr>
          <w:t>IEEE Transactions on Information Technology in Biomedicine</w:t>
        </w:r>
        <w:r>
          <w:rPr>
            <w:noProof/>
            <w:webHidden/>
          </w:rPr>
          <w:tab/>
        </w:r>
        <w:r>
          <w:rPr>
            <w:noProof/>
            <w:webHidden/>
          </w:rPr>
          <w:fldChar w:fldCharType="begin"/>
        </w:r>
        <w:r>
          <w:rPr>
            <w:noProof/>
            <w:webHidden/>
          </w:rPr>
          <w:instrText xml:space="preserve"> PAGEREF _Toc317161095 \h </w:instrText>
        </w:r>
        <w:r>
          <w:rPr>
            <w:noProof/>
            <w:webHidden/>
          </w:rPr>
        </w:r>
        <w:r>
          <w:rPr>
            <w:noProof/>
            <w:webHidden/>
          </w:rPr>
          <w:fldChar w:fldCharType="separate"/>
        </w:r>
        <w:r>
          <w:rPr>
            <w:noProof/>
            <w:webHidden/>
          </w:rPr>
          <w:t>770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6" w:history="1">
        <w:r w:rsidRPr="00B80388">
          <w:rPr>
            <w:rStyle w:val="a5"/>
            <w:noProof/>
          </w:rPr>
          <w:t>Title: IEEE Transactions on Information Theory</w:t>
        </w:r>
        <w:r>
          <w:rPr>
            <w:noProof/>
            <w:webHidden/>
          </w:rPr>
          <w:tab/>
        </w:r>
        <w:r>
          <w:rPr>
            <w:noProof/>
            <w:webHidden/>
          </w:rPr>
          <w:fldChar w:fldCharType="begin"/>
        </w:r>
        <w:r>
          <w:rPr>
            <w:noProof/>
            <w:webHidden/>
          </w:rPr>
          <w:instrText xml:space="preserve"> PAGEREF _Toc317161096 \h </w:instrText>
        </w:r>
        <w:r>
          <w:rPr>
            <w:noProof/>
            <w:webHidden/>
          </w:rPr>
        </w:r>
        <w:r>
          <w:rPr>
            <w:noProof/>
            <w:webHidden/>
          </w:rPr>
          <w:fldChar w:fldCharType="separate"/>
        </w:r>
        <w:r>
          <w:rPr>
            <w:noProof/>
            <w:webHidden/>
          </w:rPr>
          <w:t>771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7" w:history="1">
        <w:r w:rsidRPr="00B80388">
          <w:rPr>
            <w:rStyle w:val="a5"/>
            <w:noProof/>
          </w:rPr>
          <w:t xml:space="preserve">Title: </w:t>
        </w:r>
        <w:r w:rsidRPr="00B80388">
          <w:rPr>
            <w:rStyle w:val="a5"/>
            <w:iCs/>
            <w:noProof/>
          </w:rPr>
          <w:t>IEEE Transactions on Knowledge and Data Engineering</w:t>
        </w:r>
        <w:r>
          <w:rPr>
            <w:noProof/>
            <w:webHidden/>
          </w:rPr>
          <w:tab/>
        </w:r>
        <w:r>
          <w:rPr>
            <w:noProof/>
            <w:webHidden/>
          </w:rPr>
          <w:fldChar w:fldCharType="begin"/>
        </w:r>
        <w:r>
          <w:rPr>
            <w:noProof/>
            <w:webHidden/>
          </w:rPr>
          <w:instrText xml:space="preserve"> PAGEREF _Toc317161097 \h </w:instrText>
        </w:r>
        <w:r>
          <w:rPr>
            <w:noProof/>
            <w:webHidden/>
          </w:rPr>
        </w:r>
        <w:r>
          <w:rPr>
            <w:noProof/>
            <w:webHidden/>
          </w:rPr>
          <w:fldChar w:fldCharType="separate"/>
        </w:r>
        <w:r>
          <w:rPr>
            <w:noProof/>
            <w:webHidden/>
          </w:rPr>
          <w:t>772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8" w:history="1">
        <w:r w:rsidRPr="00B80388">
          <w:rPr>
            <w:rStyle w:val="a5"/>
            <w:noProof/>
          </w:rPr>
          <w:t xml:space="preserve">Title: </w:t>
        </w:r>
        <w:r w:rsidRPr="00B80388">
          <w:rPr>
            <w:rStyle w:val="a5"/>
            <w:iCs/>
            <w:noProof/>
          </w:rPr>
          <w:t>IEEE Transactions on Neural Systems and Rehabilitation Engineering</w:t>
        </w:r>
        <w:r>
          <w:rPr>
            <w:noProof/>
            <w:webHidden/>
          </w:rPr>
          <w:tab/>
        </w:r>
        <w:r>
          <w:rPr>
            <w:noProof/>
            <w:webHidden/>
          </w:rPr>
          <w:fldChar w:fldCharType="begin"/>
        </w:r>
        <w:r>
          <w:rPr>
            <w:noProof/>
            <w:webHidden/>
          </w:rPr>
          <w:instrText xml:space="preserve"> PAGEREF _Toc317161098 \h </w:instrText>
        </w:r>
        <w:r>
          <w:rPr>
            <w:noProof/>
            <w:webHidden/>
          </w:rPr>
        </w:r>
        <w:r>
          <w:rPr>
            <w:noProof/>
            <w:webHidden/>
          </w:rPr>
          <w:fldChar w:fldCharType="separate"/>
        </w:r>
        <w:r>
          <w:rPr>
            <w:noProof/>
            <w:webHidden/>
          </w:rPr>
          <w:t>773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099" w:history="1">
        <w:r w:rsidRPr="00B80388">
          <w:rPr>
            <w:rStyle w:val="a5"/>
            <w:noProof/>
          </w:rPr>
          <w:t>Title: IEEE Transactions on Nuclear Science</w:t>
        </w:r>
        <w:r>
          <w:rPr>
            <w:noProof/>
            <w:webHidden/>
          </w:rPr>
          <w:tab/>
        </w:r>
        <w:r>
          <w:rPr>
            <w:noProof/>
            <w:webHidden/>
          </w:rPr>
          <w:fldChar w:fldCharType="begin"/>
        </w:r>
        <w:r>
          <w:rPr>
            <w:noProof/>
            <w:webHidden/>
          </w:rPr>
          <w:instrText xml:space="preserve"> PAGEREF _Toc317161099 \h </w:instrText>
        </w:r>
        <w:r>
          <w:rPr>
            <w:noProof/>
            <w:webHidden/>
          </w:rPr>
        </w:r>
        <w:r>
          <w:rPr>
            <w:noProof/>
            <w:webHidden/>
          </w:rPr>
          <w:fldChar w:fldCharType="separate"/>
        </w:r>
        <w:r>
          <w:rPr>
            <w:noProof/>
            <w:webHidden/>
          </w:rPr>
          <w:t>775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0" w:history="1">
        <w:r w:rsidRPr="00B80388">
          <w:rPr>
            <w:rStyle w:val="a5"/>
            <w:noProof/>
          </w:rPr>
          <w:t xml:space="preserve">Title: </w:t>
        </w:r>
        <w:r w:rsidRPr="00B80388">
          <w:rPr>
            <w:rStyle w:val="a5"/>
            <w:iCs/>
            <w:noProof/>
          </w:rPr>
          <w:t>IEEE Transactions on Professional Communication</w:t>
        </w:r>
        <w:r>
          <w:rPr>
            <w:noProof/>
            <w:webHidden/>
          </w:rPr>
          <w:tab/>
        </w:r>
        <w:r>
          <w:rPr>
            <w:noProof/>
            <w:webHidden/>
          </w:rPr>
          <w:fldChar w:fldCharType="begin"/>
        </w:r>
        <w:r>
          <w:rPr>
            <w:noProof/>
            <w:webHidden/>
          </w:rPr>
          <w:instrText xml:space="preserve"> PAGEREF _Toc317161100 \h </w:instrText>
        </w:r>
        <w:r>
          <w:rPr>
            <w:noProof/>
            <w:webHidden/>
          </w:rPr>
        </w:r>
        <w:r>
          <w:rPr>
            <w:noProof/>
            <w:webHidden/>
          </w:rPr>
          <w:fldChar w:fldCharType="separate"/>
        </w:r>
        <w:r>
          <w:rPr>
            <w:noProof/>
            <w:webHidden/>
          </w:rPr>
          <w:t>776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1" w:history="1">
        <w:r w:rsidRPr="00B80388">
          <w:rPr>
            <w:rStyle w:val="a5"/>
            <w:noProof/>
          </w:rPr>
          <w:t>Title: IEEE Transactions on Power Delivery</w:t>
        </w:r>
        <w:r>
          <w:rPr>
            <w:noProof/>
            <w:webHidden/>
          </w:rPr>
          <w:tab/>
        </w:r>
        <w:r>
          <w:rPr>
            <w:noProof/>
            <w:webHidden/>
          </w:rPr>
          <w:fldChar w:fldCharType="begin"/>
        </w:r>
        <w:r>
          <w:rPr>
            <w:noProof/>
            <w:webHidden/>
          </w:rPr>
          <w:instrText xml:space="preserve"> PAGEREF _Toc317161101 \h </w:instrText>
        </w:r>
        <w:r>
          <w:rPr>
            <w:noProof/>
            <w:webHidden/>
          </w:rPr>
        </w:r>
        <w:r>
          <w:rPr>
            <w:noProof/>
            <w:webHidden/>
          </w:rPr>
          <w:fldChar w:fldCharType="separate"/>
        </w:r>
        <w:r>
          <w:rPr>
            <w:noProof/>
            <w:webHidden/>
          </w:rPr>
          <w:t>778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2" w:history="1">
        <w:r w:rsidRPr="00B80388">
          <w:rPr>
            <w:rStyle w:val="a5"/>
            <w:noProof/>
          </w:rPr>
          <w:t>Title: (IE (I) Journal-EN)</w:t>
        </w:r>
        <w:r>
          <w:rPr>
            <w:noProof/>
            <w:webHidden/>
          </w:rPr>
          <w:tab/>
        </w:r>
        <w:r>
          <w:rPr>
            <w:noProof/>
            <w:webHidden/>
          </w:rPr>
          <w:fldChar w:fldCharType="begin"/>
        </w:r>
        <w:r>
          <w:rPr>
            <w:noProof/>
            <w:webHidden/>
          </w:rPr>
          <w:instrText xml:space="preserve"> PAGEREF _Toc317161102 \h </w:instrText>
        </w:r>
        <w:r>
          <w:rPr>
            <w:noProof/>
            <w:webHidden/>
          </w:rPr>
        </w:r>
        <w:r>
          <w:rPr>
            <w:noProof/>
            <w:webHidden/>
          </w:rPr>
          <w:fldChar w:fldCharType="separate"/>
        </w:r>
        <w:r>
          <w:rPr>
            <w:noProof/>
            <w:webHidden/>
          </w:rPr>
          <w:t>779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3" w:history="1">
        <w:r w:rsidRPr="00B80388">
          <w:rPr>
            <w:rStyle w:val="a5"/>
            <w:noProof/>
          </w:rPr>
          <w:t>Title: IFLA Council and General Conference</w:t>
        </w:r>
        <w:r>
          <w:rPr>
            <w:noProof/>
            <w:webHidden/>
          </w:rPr>
          <w:tab/>
        </w:r>
        <w:r>
          <w:rPr>
            <w:noProof/>
            <w:webHidden/>
          </w:rPr>
          <w:fldChar w:fldCharType="begin"/>
        </w:r>
        <w:r>
          <w:rPr>
            <w:noProof/>
            <w:webHidden/>
          </w:rPr>
          <w:instrText xml:space="preserve"> PAGEREF _Toc317161103 \h </w:instrText>
        </w:r>
        <w:r>
          <w:rPr>
            <w:noProof/>
            <w:webHidden/>
          </w:rPr>
        </w:r>
        <w:r>
          <w:rPr>
            <w:noProof/>
            <w:webHidden/>
          </w:rPr>
          <w:fldChar w:fldCharType="separate"/>
        </w:r>
        <w:r>
          <w:rPr>
            <w:noProof/>
            <w:webHidden/>
          </w:rPr>
          <w:t>780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4" w:history="1">
        <w:r w:rsidRPr="00B80388">
          <w:rPr>
            <w:rStyle w:val="a5"/>
            <w:noProof/>
          </w:rPr>
          <w:t>Title: IFLA Journal</w:t>
        </w:r>
        <w:r>
          <w:rPr>
            <w:noProof/>
            <w:webHidden/>
          </w:rPr>
          <w:tab/>
        </w:r>
        <w:r>
          <w:rPr>
            <w:noProof/>
            <w:webHidden/>
          </w:rPr>
          <w:fldChar w:fldCharType="begin"/>
        </w:r>
        <w:r>
          <w:rPr>
            <w:noProof/>
            <w:webHidden/>
          </w:rPr>
          <w:instrText xml:space="preserve"> PAGEREF _Toc317161104 \h </w:instrText>
        </w:r>
        <w:r>
          <w:rPr>
            <w:noProof/>
            <w:webHidden/>
          </w:rPr>
        </w:r>
        <w:r>
          <w:rPr>
            <w:noProof/>
            <w:webHidden/>
          </w:rPr>
          <w:fldChar w:fldCharType="separate"/>
        </w:r>
        <w:r>
          <w:rPr>
            <w:noProof/>
            <w:webHidden/>
          </w:rPr>
          <w:t>782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5" w:history="1">
        <w:r w:rsidRPr="00B80388">
          <w:rPr>
            <w:rStyle w:val="a5"/>
            <w:noProof/>
          </w:rPr>
          <w:t xml:space="preserve">Title: </w:t>
        </w:r>
        <w:r w:rsidRPr="00B80388">
          <w:rPr>
            <w:rStyle w:val="a5"/>
            <w:iCs/>
            <w:noProof/>
          </w:rPr>
          <w:t>Iheringia Serie Zoologia</w:t>
        </w:r>
        <w:r>
          <w:rPr>
            <w:noProof/>
            <w:webHidden/>
          </w:rPr>
          <w:tab/>
        </w:r>
        <w:r>
          <w:rPr>
            <w:noProof/>
            <w:webHidden/>
          </w:rPr>
          <w:fldChar w:fldCharType="begin"/>
        </w:r>
        <w:r>
          <w:rPr>
            <w:noProof/>
            <w:webHidden/>
          </w:rPr>
          <w:instrText xml:space="preserve"> PAGEREF _Toc317161105 \h </w:instrText>
        </w:r>
        <w:r>
          <w:rPr>
            <w:noProof/>
            <w:webHidden/>
          </w:rPr>
        </w:r>
        <w:r>
          <w:rPr>
            <w:noProof/>
            <w:webHidden/>
          </w:rPr>
          <w:fldChar w:fldCharType="separate"/>
        </w:r>
        <w:r>
          <w:rPr>
            <w:noProof/>
            <w:webHidden/>
          </w:rPr>
          <w:t>783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6" w:history="1">
        <w:r w:rsidRPr="00B80388">
          <w:rPr>
            <w:rStyle w:val="a5"/>
            <w:noProof/>
          </w:rPr>
          <w:t>Title: Image-the Journal of Nursing Scholarship</w:t>
        </w:r>
        <w:r>
          <w:rPr>
            <w:noProof/>
            <w:webHidden/>
          </w:rPr>
          <w:tab/>
        </w:r>
        <w:r>
          <w:rPr>
            <w:noProof/>
            <w:webHidden/>
          </w:rPr>
          <w:fldChar w:fldCharType="begin"/>
        </w:r>
        <w:r>
          <w:rPr>
            <w:noProof/>
            <w:webHidden/>
          </w:rPr>
          <w:instrText xml:space="preserve"> PAGEREF _Toc317161106 \h </w:instrText>
        </w:r>
        <w:r>
          <w:rPr>
            <w:noProof/>
            <w:webHidden/>
          </w:rPr>
        </w:r>
        <w:r>
          <w:rPr>
            <w:noProof/>
            <w:webHidden/>
          </w:rPr>
          <w:fldChar w:fldCharType="separate"/>
        </w:r>
        <w:r>
          <w:rPr>
            <w:noProof/>
            <w:webHidden/>
          </w:rPr>
          <w:t>785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7" w:history="1">
        <w:r w:rsidRPr="00B80388">
          <w:rPr>
            <w:rStyle w:val="a5"/>
            <w:noProof/>
          </w:rPr>
          <w:t>Title: Immunology</w:t>
        </w:r>
        <w:r>
          <w:rPr>
            <w:noProof/>
            <w:webHidden/>
          </w:rPr>
          <w:tab/>
        </w:r>
        <w:r>
          <w:rPr>
            <w:noProof/>
            <w:webHidden/>
          </w:rPr>
          <w:fldChar w:fldCharType="begin"/>
        </w:r>
        <w:r>
          <w:rPr>
            <w:noProof/>
            <w:webHidden/>
          </w:rPr>
          <w:instrText xml:space="preserve"> PAGEREF _Toc317161107 \h </w:instrText>
        </w:r>
        <w:r>
          <w:rPr>
            <w:noProof/>
            <w:webHidden/>
          </w:rPr>
        </w:r>
        <w:r>
          <w:rPr>
            <w:noProof/>
            <w:webHidden/>
          </w:rPr>
          <w:fldChar w:fldCharType="separate"/>
        </w:r>
        <w:r>
          <w:rPr>
            <w:noProof/>
            <w:webHidden/>
          </w:rPr>
          <w:t>786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8" w:history="1">
        <w:r w:rsidRPr="00B80388">
          <w:rPr>
            <w:rStyle w:val="a5"/>
            <w:noProof/>
          </w:rPr>
          <w:t>Title: Implementation Science</w:t>
        </w:r>
        <w:r>
          <w:rPr>
            <w:noProof/>
            <w:webHidden/>
          </w:rPr>
          <w:tab/>
        </w:r>
        <w:r>
          <w:rPr>
            <w:noProof/>
            <w:webHidden/>
          </w:rPr>
          <w:fldChar w:fldCharType="begin"/>
        </w:r>
        <w:r>
          <w:rPr>
            <w:noProof/>
            <w:webHidden/>
          </w:rPr>
          <w:instrText xml:space="preserve"> PAGEREF _Toc317161108 \h </w:instrText>
        </w:r>
        <w:r>
          <w:rPr>
            <w:noProof/>
            <w:webHidden/>
          </w:rPr>
        </w:r>
        <w:r>
          <w:rPr>
            <w:noProof/>
            <w:webHidden/>
          </w:rPr>
          <w:fldChar w:fldCharType="separate"/>
        </w:r>
        <w:r>
          <w:rPr>
            <w:noProof/>
            <w:webHidden/>
          </w:rPr>
          <w:t>788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09" w:history="1">
        <w:r w:rsidRPr="00B80388">
          <w:rPr>
            <w:rStyle w:val="a5"/>
            <w:noProof/>
          </w:rPr>
          <w:t>Title: Indexer</w:t>
        </w:r>
        <w:r>
          <w:rPr>
            <w:noProof/>
            <w:webHidden/>
          </w:rPr>
          <w:tab/>
        </w:r>
        <w:r>
          <w:rPr>
            <w:noProof/>
            <w:webHidden/>
          </w:rPr>
          <w:fldChar w:fldCharType="begin"/>
        </w:r>
        <w:r>
          <w:rPr>
            <w:noProof/>
            <w:webHidden/>
          </w:rPr>
          <w:instrText xml:space="preserve"> PAGEREF _Toc317161109 \h </w:instrText>
        </w:r>
        <w:r>
          <w:rPr>
            <w:noProof/>
            <w:webHidden/>
          </w:rPr>
        </w:r>
        <w:r>
          <w:rPr>
            <w:noProof/>
            <w:webHidden/>
          </w:rPr>
          <w:fldChar w:fldCharType="separate"/>
        </w:r>
        <w:r>
          <w:rPr>
            <w:noProof/>
            <w:webHidden/>
          </w:rPr>
          <w:t>793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0" w:history="1">
        <w:r w:rsidRPr="00B80388">
          <w:rPr>
            <w:rStyle w:val="a5"/>
            <w:noProof/>
          </w:rPr>
          <w:t>Title: Indian Chemical Engineer</w:t>
        </w:r>
        <w:r>
          <w:rPr>
            <w:noProof/>
            <w:webHidden/>
          </w:rPr>
          <w:tab/>
        </w:r>
        <w:r>
          <w:rPr>
            <w:noProof/>
            <w:webHidden/>
          </w:rPr>
          <w:fldChar w:fldCharType="begin"/>
        </w:r>
        <w:r>
          <w:rPr>
            <w:noProof/>
            <w:webHidden/>
          </w:rPr>
          <w:instrText xml:space="preserve"> PAGEREF _Toc317161110 \h </w:instrText>
        </w:r>
        <w:r>
          <w:rPr>
            <w:noProof/>
            <w:webHidden/>
          </w:rPr>
        </w:r>
        <w:r>
          <w:rPr>
            <w:noProof/>
            <w:webHidden/>
          </w:rPr>
          <w:fldChar w:fldCharType="separate"/>
        </w:r>
        <w:r>
          <w:rPr>
            <w:noProof/>
            <w:webHidden/>
          </w:rPr>
          <w:t>794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1" w:history="1">
        <w:r w:rsidRPr="00B80388">
          <w:rPr>
            <w:rStyle w:val="a5"/>
            <w:noProof/>
          </w:rPr>
          <w:t>Title: Indian Journal of Agricultural Sciences</w:t>
        </w:r>
        <w:r>
          <w:rPr>
            <w:noProof/>
            <w:webHidden/>
          </w:rPr>
          <w:tab/>
        </w:r>
        <w:r>
          <w:rPr>
            <w:noProof/>
            <w:webHidden/>
          </w:rPr>
          <w:fldChar w:fldCharType="begin"/>
        </w:r>
        <w:r>
          <w:rPr>
            <w:noProof/>
            <w:webHidden/>
          </w:rPr>
          <w:instrText xml:space="preserve"> PAGEREF _Toc317161111 \h </w:instrText>
        </w:r>
        <w:r>
          <w:rPr>
            <w:noProof/>
            <w:webHidden/>
          </w:rPr>
        </w:r>
        <w:r>
          <w:rPr>
            <w:noProof/>
            <w:webHidden/>
          </w:rPr>
          <w:fldChar w:fldCharType="separate"/>
        </w:r>
        <w:r>
          <w:rPr>
            <w:noProof/>
            <w:webHidden/>
          </w:rPr>
          <w:t>796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2" w:history="1">
        <w:r w:rsidRPr="00B80388">
          <w:rPr>
            <w:rStyle w:val="a5"/>
            <w:noProof/>
          </w:rPr>
          <w:t>Title: Indian Journal of Agronomy</w:t>
        </w:r>
        <w:r>
          <w:rPr>
            <w:noProof/>
            <w:webHidden/>
          </w:rPr>
          <w:tab/>
        </w:r>
        <w:r>
          <w:rPr>
            <w:noProof/>
            <w:webHidden/>
          </w:rPr>
          <w:fldChar w:fldCharType="begin"/>
        </w:r>
        <w:r>
          <w:rPr>
            <w:noProof/>
            <w:webHidden/>
          </w:rPr>
          <w:instrText xml:space="preserve"> PAGEREF _Toc317161112 \h </w:instrText>
        </w:r>
        <w:r>
          <w:rPr>
            <w:noProof/>
            <w:webHidden/>
          </w:rPr>
        </w:r>
        <w:r>
          <w:rPr>
            <w:noProof/>
            <w:webHidden/>
          </w:rPr>
          <w:fldChar w:fldCharType="separate"/>
        </w:r>
        <w:r>
          <w:rPr>
            <w:noProof/>
            <w:webHidden/>
          </w:rPr>
          <w:t>797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3" w:history="1">
        <w:r w:rsidRPr="00B80388">
          <w:rPr>
            <w:rStyle w:val="a5"/>
            <w:noProof/>
          </w:rPr>
          <w:t>Title: Indian Journal of Animal Sciences</w:t>
        </w:r>
        <w:r>
          <w:rPr>
            <w:noProof/>
            <w:webHidden/>
          </w:rPr>
          <w:tab/>
        </w:r>
        <w:r>
          <w:rPr>
            <w:noProof/>
            <w:webHidden/>
          </w:rPr>
          <w:fldChar w:fldCharType="begin"/>
        </w:r>
        <w:r>
          <w:rPr>
            <w:noProof/>
            <w:webHidden/>
          </w:rPr>
          <w:instrText xml:space="preserve"> PAGEREF _Toc317161113 \h </w:instrText>
        </w:r>
        <w:r>
          <w:rPr>
            <w:noProof/>
            <w:webHidden/>
          </w:rPr>
        </w:r>
        <w:r>
          <w:rPr>
            <w:noProof/>
            <w:webHidden/>
          </w:rPr>
          <w:fldChar w:fldCharType="separate"/>
        </w:r>
        <w:r>
          <w:rPr>
            <w:noProof/>
            <w:webHidden/>
          </w:rPr>
          <w:t>798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4" w:history="1">
        <w:r w:rsidRPr="00B80388">
          <w:rPr>
            <w:rStyle w:val="a5"/>
            <w:noProof/>
          </w:rPr>
          <w:t>Title: Indian Journal of Biochemistry &amp; Biophysics</w:t>
        </w:r>
        <w:r>
          <w:rPr>
            <w:noProof/>
            <w:webHidden/>
          </w:rPr>
          <w:tab/>
        </w:r>
        <w:r>
          <w:rPr>
            <w:noProof/>
            <w:webHidden/>
          </w:rPr>
          <w:fldChar w:fldCharType="begin"/>
        </w:r>
        <w:r>
          <w:rPr>
            <w:noProof/>
            <w:webHidden/>
          </w:rPr>
          <w:instrText xml:space="preserve"> PAGEREF _Toc317161114 \h </w:instrText>
        </w:r>
        <w:r>
          <w:rPr>
            <w:noProof/>
            <w:webHidden/>
          </w:rPr>
        </w:r>
        <w:r>
          <w:rPr>
            <w:noProof/>
            <w:webHidden/>
          </w:rPr>
          <w:fldChar w:fldCharType="separate"/>
        </w:r>
        <w:r>
          <w:rPr>
            <w:noProof/>
            <w:webHidden/>
          </w:rPr>
          <w:t>801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5" w:history="1">
        <w:r w:rsidRPr="00B80388">
          <w:rPr>
            <w:rStyle w:val="a5"/>
            <w:noProof/>
          </w:rPr>
          <w:t>Title: Indian Journal of Biotechnology</w:t>
        </w:r>
        <w:r>
          <w:rPr>
            <w:noProof/>
            <w:webHidden/>
          </w:rPr>
          <w:tab/>
        </w:r>
        <w:r>
          <w:rPr>
            <w:noProof/>
            <w:webHidden/>
          </w:rPr>
          <w:fldChar w:fldCharType="begin"/>
        </w:r>
        <w:r>
          <w:rPr>
            <w:noProof/>
            <w:webHidden/>
          </w:rPr>
          <w:instrText xml:space="preserve"> PAGEREF _Toc317161115 \h </w:instrText>
        </w:r>
        <w:r>
          <w:rPr>
            <w:noProof/>
            <w:webHidden/>
          </w:rPr>
        </w:r>
        <w:r>
          <w:rPr>
            <w:noProof/>
            <w:webHidden/>
          </w:rPr>
          <w:fldChar w:fldCharType="separate"/>
        </w:r>
        <w:r>
          <w:rPr>
            <w:noProof/>
            <w:webHidden/>
          </w:rPr>
          <w:t>802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6" w:history="1">
        <w:r w:rsidRPr="00B80388">
          <w:rPr>
            <w:rStyle w:val="a5"/>
            <w:noProof/>
          </w:rPr>
          <w:t>Title: Indian Journal of Chemical Technology</w:t>
        </w:r>
        <w:r>
          <w:rPr>
            <w:noProof/>
            <w:webHidden/>
          </w:rPr>
          <w:tab/>
        </w:r>
        <w:r>
          <w:rPr>
            <w:noProof/>
            <w:webHidden/>
          </w:rPr>
          <w:fldChar w:fldCharType="begin"/>
        </w:r>
        <w:r>
          <w:rPr>
            <w:noProof/>
            <w:webHidden/>
          </w:rPr>
          <w:instrText xml:space="preserve"> PAGEREF _Toc317161116 \h </w:instrText>
        </w:r>
        <w:r>
          <w:rPr>
            <w:noProof/>
            <w:webHidden/>
          </w:rPr>
        </w:r>
        <w:r>
          <w:rPr>
            <w:noProof/>
            <w:webHidden/>
          </w:rPr>
          <w:fldChar w:fldCharType="separate"/>
        </w:r>
        <w:r>
          <w:rPr>
            <w:noProof/>
            <w:webHidden/>
          </w:rPr>
          <w:t>803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7" w:history="1">
        <w:r w:rsidRPr="00B80388">
          <w:rPr>
            <w:rStyle w:val="a5"/>
            <w:noProof/>
          </w:rPr>
          <w:t>Title: Indian Journal of Chemistry</w:t>
        </w:r>
        <w:r>
          <w:rPr>
            <w:noProof/>
            <w:webHidden/>
          </w:rPr>
          <w:tab/>
        </w:r>
        <w:r>
          <w:rPr>
            <w:noProof/>
            <w:webHidden/>
          </w:rPr>
          <w:fldChar w:fldCharType="begin"/>
        </w:r>
        <w:r>
          <w:rPr>
            <w:noProof/>
            <w:webHidden/>
          </w:rPr>
          <w:instrText xml:space="preserve"> PAGEREF _Toc317161117 \h </w:instrText>
        </w:r>
        <w:r>
          <w:rPr>
            <w:noProof/>
            <w:webHidden/>
          </w:rPr>
        </w:r>
        <w:r>
          <w:rPr>
            <w:noProof/>
            <w:webHidden/>
          </w:rPr>
          <w:fldChar w:fldCharType="separate"/>
        </w:r>
        <w:r>
          <w:rPr>
            <w:noProof/>
            <w:webHidden/>
          </w:rPr>
          <w:t>887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8" w:history="1">
        <w:r w:rsidRPr="00B80388">
          <w:rPr>
            <w:rStyle w:val="a5"/>
            <w:noProof/>
          </w:rPr>
          <w:t>Title: Indian Journal of Chemistry Section A-Inorganic Bio-Inorganic Physical Theoretical &amp; Analytical Chemistry</w:t>
        </w:r>
        <w:r>
          <w:rPr>
            <w:noProof/>
            <w:webHidden/>
          </w:rPr>
          <w:tab/>
        </w:r>
        <w:r>
          <w:rPr>
            <w:noProof/>
            <w:webHidden/>
          </w:rPr>
          <w:fldChar w:fldCharType="begin"/>
        </w:r>
        <w:r>
          <w:rPr>
            <w:noProof/>
            <w:webHidden/>
          </w:rPr>
          <w:instrText xml:space="preserve"> PAGEREF _Toc317161118 \h </w:instrText>
        </w:r>
        <w:r>
          <w:rPr>
            <w:noProof/>
            <w:webHidden/>
          </w:rPr>
        </w:r>
        <w:r>
          <w:rPr>
            <w:noProof/>
            <w:webHidden/>
          </w:rPr>
          <w:fldChar w:fldCharType="separate"/>
        </w:r>
        <w:r>
          <w:rPr>
            <w:noProof/>
            <w:webHidden/>
          </w:rPr>
          <w:t>888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19" w:history="1">
        <w:r w:rsidRPr="00B80388">
          <w:rPr>
            <w:rStyle w:val="a5"/>
            <w:noProof/>
          </w:rPr>
          <w:t xml:space="preserve">Title: </w:t>
        </w:r>
        <w:r w:rsidRPr="00B80388">
          <w:rPr>
            <w:rStyle w:val="a5"/>
            <w:iCs/>
            <w:noProof/>
          </w:rPr>
          <w:t>Indian Journal of Dermatology Venereology &amp; Leprology</w:t>
        </w:r>
        <w:r>
          <w:rPr>
            <w:noProof/>
            <w:webHidden/>
          </w:rPr>
          <w:tab/>
        </w:r>
        <w:r>
          <w:rPr>
            <w:noProof/>
            <w:webHidden/>
          </w:rPr>
          <w:fldChar w:fldCharType="begin"/>
        </w:r>
        <w:r>
          <w:rPr>
            <w:noProof/>
            <w:webHidden/>
          </w:rPr>
          <w:instrText xml:space="preserve"> PAGEREF _Toc317161119 \h </w:instrText>
        </w:r>
        <w:r>
          <w:rPr>
            <w:noProof/>
            <w:webHidden/>
          </w:rPr>
        </w:r>
        <w:r>
          <w:rPr>
            <w:noProof/>
            <w:webHidden/>
          </w:rPr>
          <w:fldChar w:fldCharType="separate"/>
        </w:r>
        <w:r>
          <w:rPr>
            <w:noProof/>
            <w:webHidden/>
          </w:rPr>
          <w:t>893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0" w:history="1">
        <w:r w:rsidRPr="00B80388">
          <w:rPr>
            <w:rStyle w:val="a5"/>
            <w:noProof/>
          </w:rPr>
          <w:t>Title: Indian Journal of Engineering and Materials Sciences</w:t>
        </w:r>
        <w:r>
          <w:rPr>
            <w:noProof/>
            <w:webHidden/>
          </w:rPr>
          <w:tab/>
        </w:r>
        <w:r>
          <w:rPr>
            <w:noProof/>
            <w:webHidden/>
          </w:rPr>
          <w:fldChar w:fldCharType="begin"/>
        </w:r>
        <w:r>
          <w:rPr>
            <w:noProof/>
            <w:webHidden/>
          </w:rPr>
          <w:instrText xml:space="preserve"> PAGEREF _Toc317161120 \h </w:instrText>
        </w:r>
        <w:r>
          <w:rPr>
            <w:noProof/>
            <w:webHidden/>
          </w:rPr>
        </w:r>
        <w:r>
          <w:rPr>
            <w:noProof/>
            <w:webHidden/>
          </w:rPr>
          <w:fldChar w:fldCharType="separate"/>
        </w:r>
        <w:r>
          <w:rPr>
            <w:noProof/>
            <w:webHidden/>
          </w:rPr>
          <w:t>895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1" w:history="1">
        <w:r w:rsidRPr="00B80388">
          <w:rPr>
            <w:rStyle w:val="a5"/>
            <w:noProof/>
          </w:rPr>
          <w:t>Title: Indian Journal of Environment &amp; Ecoplanning</w:t>
        </w:r>
        <w:r>
          <w:rPr>
            <w:noProof/>
            <w:webHidden/>
          </w:rPr>
          <w:tab/>
        </w:r>
        <w:r>
          <w:rPr>
            <w:noProof/>
            <w:webHidden/>
          </w:rPr>
          <w:fldChar w:fldCharType="begin"/>
        </w:r>
        <w:r>
          <w:rPr>
            <w:noProof/>
            <w:webHidden/>
          </w:rPr>
          <w:instrText xml:space="preserve"> PAGEREF _Toc317161121 \h </w:instrText>
        </w:r>
        <w:r>
          <w:rPr>
            <w:noProof/>
            <w:webHidden/>
          </w:rPr>
        </w:r>
        <w:r>
          <w:rPr>
            <w:noProof/>
            <w:webHidden/>
          </w:rPr>
          <w:fldChar w:fldCharType="separate"/>
        </w:r>
        <w:r>
          <w:rPr>
            <w:noProof/>
            <w:webHidden/>
          </w:rPr>
          <w:t>901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2" w:history="1">
        <w:r w:rsidRPr="00B80388">
          <w:rPr>
            <w:rStyle w:val="a5"/>
            <w:noProof/>
          </w:rPr>
          <w:t>Title: Indian Journal of Environmental Health</w:t>
        </w:r>
        <w:r>
          <w:rPr>
            <w:noProof/>
            <w:webHidden/>
          </w:rPr>
          <w:tab/>
        </w:r>
        <w:r>
          <w:rPr>
            <w:noProof/>
            <w:webHidden/>
          </w:rPr>
          <w:fldChar w:fldCharType="begin"/>
        </w:r>
        <w:r>
          <w:rPr>
            <w:noProof/>
            <w:webHidden/>
          </w:rPr>
          <w:instrText xml:space="preserve"> PAGEREF _Toc317161122 \h </w:instrText>
        </w:r>
        <w:r>
          <w:rPr>
            <w:noProof/>
            <w:webHidden/>
          </w:rPr>
        </w:r>
        <w:r>
          <w:rPr>
            <w:noProof/>
            <w:webHidden/>
          </w:rPr>
          <w:fldChar w:fldCharType="separate"/>
        </w:r>
        <w:r>
          <w:rPr>
            <w:noProof/>
            <w:webHidden/>
          </w:rPr>
          <w:t>902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3" w:history="1">
        <w:r w:rsidRPr="00B80388">
          <w:rPr>
            <w:rStyle w:val="a5"/>
            <w:noProof/>
          </w:rPr>
          <w:t>Title: Indian Journal of Environmental Protection</w:t>
        </w:r>
        <w:r>
          <w:rPr>
            <w:noProof/>
            <w:webHidden/>
          </w:rPr>
          <w:tab/>
        </w:r>
        <w:r>
          <w:rPr>
            <w:noProof/>
            <w:webHidden/>
          </w:rPr>
          <w:fldChar w:fldCharType="begin"/>
        </w:r>
        <w:r>
          <w:rPr>
            <w:noProof/>
            <w:webHidden/>
          </w:rPr>
          <w:instrText xml:space="preserve"> PAGEREF _Toc317161123 \h </w:instrText>
        </w:r>
        <w:r>
          <w:rPr>
            <w:noProof/>
            <w:webHidden/>
          </w:rPr>
        </w:r>
        <w:r>
          <w:rPr>
            <w:noProof/>
            <w:webHidden/>
          </w:rPr>
          <w:fldChar w:fldCharType="separate"/>
        </w:r>
        <w:r>
          <w:rPr>
            <w:noProof/>
            <w:webHidden/>
          </w:rPr>
          <w:t>904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4" w:history="1">
        <w:r w:rsidRPr="00B80388">
          <w:rPr>
            <w:rStyle w:val="a5"/>
            <w:noProof/>
          </w:rPr>
          <w:t>Title: Indian Journal of Fibre &amp; Textile Research</w:t>
        </w:r>
        <w:r>
          <w:rPr>
            <w:noProof/>
            <w:webHidden/>
          </w:rPr>
          <w:tab/>
        </w:r>
        <w:r>
          <w:rPr>
            <w:noProof/>
            <w:webHidden/>
          </w:rPr>
          <w:fldChar w:fldCharType="begin"/>
        </w:r>
        <w:r>
          <w:rPr>
            <w:noProof/>
            <w:webHidden/>
          </w:rPr>
          <w:instrText xml:space="preserve"> PAGEREF _Toc317161124 \h </w:instrText>
        </w:r>
        <w:r>
          <w:rPr>
            <w:noProof/>
            <w:webHidden/>
          </w:rPr>
        </w:r>
        <w:r>
          <w:rPr>
            <w:noProof/>
            <w:webHidden/>
          </w:rPr>
          <w:fldChar w:fldCharType="separate"/>
        </w:r>
        <w:r>
          <w:rPr>
            <w:noProof/>
            <w:webHidden/>
          </w:rPr>
          <w:t>906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5" w:history="1">
        <w:r w:rsidRPr="00B80388">
          <w:rPr>
            <w:rStyle w:val="a5"/>
            <w:noProof/>
          </w:rPr>
          <w:t>Title: Indian Journal of Marine Sciences</w:t>
        </w:r>
        <w:r>
          <w:rPr>
            <w:noProof/>
            <w:webHidden/>
          </w:rPr>
          <w:tab/>
        </w:r>
        <w:r>
          <w:rPr>
            <w:noProof/>
            <w:webHidden/>
          </w:rPr>
          <w:fldChar w:fldCharType="begin"/>
        </w:r>
        <w:r>
          <w:rPr>
            <w:noProof/>
            <w:webHidden/>
          </w:rPr>
          <w:instrText xml:space="preserve"> PAGEREF _Toc317161125 \h </w:instrText>
        </w:r>
        <w:r>
          <w:rPr>
            <w:noProof/>
            <w:webHidden/>
          </w:rPr>
        </w:r>
        <w:r>
          <w:rPr>
            <w:noProof/>
            <w:webHidden/>
          </w:rPr>
          <w:fldChar w:fldCharType="separate"/>
        </w:r>
        <w:r>
          <w:rPr>
            <w:noProof/>
            <w:webHidden/>
          </w:rPr>
          <w:t>907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6" w:history="1">
        <w:r w:rsidRPr="00B80388">
          <w:rPr>
            <w:rStyle w:val="a5"/>
            <w:noProof/>
          </w:rPr>
          <w:t>Title: Indian Journal of Medical Research</w:t>
        </w:r>
        <w:r>
          <w:rPr>
            <w:noProof/>
            <w:webHidden/>
          </w:rPr>
          <w:tab/>
        </w:r>
        <w:r>
          <w:rPr>
            <w:noProof/>
            <w:webHidden/>
          </w:rPr>
          <w:fldChar w:fldCharType="begin"/>
        </w:r>
        <w:r>
          <w:rPr>
            <w:noProof/>
            <w:webHidden/>
          </w:rPr>
          <w:instrText xml:space="preserve"> PAGEREF _Toc317161126 \h </w:instrText>
        </w:r>
        <w:r>
          <w:rPr>
            <w:noProof/>
            <w:webHidden/>
          </w:rPr>
        </w:r>
        <w:r>
          <w:rPr>
            <w:noProof/>
            <w:webHidden/>
          </w:rPr>
          <w:fldChar w:fldCharType="separate"/>
        </w:r>
        <w:r>
          <w:rPr>
            <w:noProof/>
            <w:webHidden/>
          </w:rPr>
          <w:t>908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7" w:history="1">
        <w:r w:rsidRPr="00B80388">
          <w:rPr>
            <w:rStyle w:val="a5"/>
            <w:noProof/>
          </w:rPr>
          <w:t>Title: Indian Journal of Medical Research Section A-Infectious Diseases</w:t>
        </w:r>
        <w:r>
          <w:rPr>
            <w:noProof/>
            <w:webHidden/>
          </w:rPr>
          <w:tab/>
        </w:r>
        <w:r>
          <w:rPr>
            <w:noProof/>
            <w:webHidden/>
          </w:rPr>
          <w:fldChar w:fldCharType="begin"/>
        </w:r>
        <w:r>
          <w:rPr>
            <w:noProof/>
            <w:webHidden/>
          </w:rPr>
          <w:instrText xml:space="preserve"> PAGEREF _Toc317161127 \h </w:instrText>
        </w:r>
        <w:r>
          <w:rPr>
            <w:noProof/>
            <w:webHidden/>
          </w:rPr>
        </w:r>
        <w:r>
          <w:rPr>
            <w:noProof/>
            <w:webHidden/>
          </w:rPr>
          <w:fldChar w:fldCharType="separate"/>
        </w:r>
        <w:r>
          <w:rPr>
            <w:noProof/>
            <w:webHidden/>
          </w:rPr>
          <w:t>910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8" w:history="1">
        <w:r w:rsidRPr="00B80388">
          <w:rPr>
            <w:rStyle w:val="a5"/>
            <w:noProof/>
          </w:rPr>
          <w:t xml:space="preserve">Title: </w:t>
        </w:r>
        <w:r w:rsidRPr="00B80388">
          <w:rPr>
            <w:rStyle w:val="a5"/>
            <w:iCs/>
            <w:noProof/>
          </w:rPr>
          <w:t>Indian Journal of Ophthalmology</w:t>
        </w:r>
        <w:r>
          <w:rPr>
            <w:noProof/>
            <w:webHidden/>
          </w:rPr>
          <w:tab/>
        </w:r>
        <w:r>
          <w:rPr>
            <w:noProof/>
            <w:webHidden/>
          </w:rPr>
          <w:fldChar w:fldCharType="begin"/>
        </w:r>
        <w:r>
          <w:rPr>
            <w:noProof/>
            <w:webHidden/>
          </w:rPr>
          <w:instrText xml:space="preserve"> PAGEREF _Toc317161128 \h </w:instrText>
        </w:r>
        <w:r>
          <w:rPr>
            <w:noProof/>
            <w:webHidden/>
          </w:rPr>
        </w:r>
        <w:r>
          <w:rPr>
            <w:noProof/>
            <w:webHidden/>
          </w:rPr>
          <w:fldChar w:fldCharType="separate"/>
        </w:r>
        <w:r>
          <w:rPr>
            <w:noProof/>
            <w:webHidden/>
          </w:rPr>
          <w:t>911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29" w:history="1">
        <w:r w:rsidRPr="00B80388">
          <w:rPr>
            <w:rStyle w:val="a5"/>
            <w:noProof/>
          </w:rPr>
          <w:t xml:space="preserve">Title: </w:t>
        </w:r>
        <w:r w:rsidRPr="00B80388">
          <w:rPr>
            <w:rStyle w:val="a5"/>
            <w:iCs/>
            <w:noProof/>
          </w:rPr>
          <w:t>Indian Journal of Pharmaceutical Education and Research</w:t>
        </w:r>
        <w:r>
          <w:rPr>
            <w:noProof/>
            <w:webHidden/>
          </w:rPr>
          <w:tab/>
        </w:r>
        <w:r>
          <w:rPr>
            <w:noProof/>
            <w:webHidden/>
          </w:rPr>
          <w:fldChar w:fldCharType="begin"/>
        </w:r>
        <w:r>
          <w:rPr>
            <w:noProof/>
            <w:webHidden/>
          </w:rPr>
          <w:instrText xml:space="preserve"> PAGEREF _Toc317161129 \h </w:instrText>
        </w:r>
        <w:r>
          <w:rPr>
            <w:noProof/>
            <w:webHidden/>
          </w:rPr>
        </w:r>
        <w:r>
          <w:rPr>
            <w:noProof/>
            <w:webHidden/>
          </w:rPr>
          <w:fldChar w:fldCharType="separate"/>
        </w:r>
        <w:r>
          <w:rPr>
            <w:noProof/>
            <w:webHidden/>
          </w:rPr>
          <w:t>913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0" w:history="1">
        <w:r w:rsidRPr="00B80388">
          <w:rPr>
            <w:rStyle w:val="a5"/>
            <w:noProof/>
          </w:rPr>
          <w:t xml:space="preserve">Title: </w:t>
        </w:r>
        <w:r w:rsidRPr="00B80388">
          <w:rPr>
            <w:rStyle w:val="a5"/>
            <w:iCs/>
            <w:noProof/>
          </w:rPr>
          <w:t>Indian Journal of Pediatrics</w:t>
        </w:r>
        <w:r>
          <w:rPr>
            <w:noProof/>
            <w:webHidden/>
          </w:rPr>
          <w:tab/>
        </w:r>
        <w:r>
          <w:rPr>
            <w:noProof/>
            <w:webHidden/>
          </w:rPr>
          <w:fldChar w:fldCharType="begin"/>
        </w:r>
        <w:r>
          <w:rPr>
            <w:noProof/>
            <w:webHidden/>
          </w:rPr>
          <w:instrText xml:space="preserve"> PAGEREF _Toc317161130 \h </w:instrText>
        </w:r>
        <w:r>
          <w:rPr>
            <w:noProof/>
            <w:webHidden/>
          </w:rPr>
        </w:r>
        <w:r>
          <w:rPr>
            <w:noProof/>
            <w:webHidden/>
          </w:rPr>
          <w:fldChar w:fldCharType="separate"/>
        </w:r>
        <w:r>
          <w:rPr>
            <w:noProof/>
            <w:webHidden/>
          </w:rPr>
          <w:t>915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1" w:history="1">
        <w:r w:rsidRPr="00B80388">
          <w:rPr>
            <w:rStyle w:val="a5"/>
            <w:noProof/>
          </w:rPr>
          <w:t>Title: Indian Pediatrics</w:t>
        </w:r>
        <w:r>
          <w:rPr>
            <w:noProof/>
            <w:webHidden/>
          </w:rPr>
          <w:tab/>
        </w:r>
        <w:r>
          <w:rPr>
            <w:noProof/>
            <w:webHidden/>
          </w:rPr>
          <w:fldChar w:fldCharType="begin"/>
        </w:r>
        <w:r>
          <w:rPr>
            <w:noProof/>
            <w:webHidden/>
          </w:rPr>
          <w:instrText xml:space="preserve"> PAGEREF _Toc317161131 \h </w:instrText>
        </w:r>
        <w:r>
          <w:rPr>
            <w:noProof/>
            <w:webHidden/>
          </w:rPr>
        </w:r>
        <w:r>
          <w:rPr>
            <w:noProof/>
            <w:webHidden/>
          </w:rPr>
          <w:fldChar w:fldCharType="separate"/>
        </w:r>
        <w:r>
          <w:rPr>
            <w:noProof/>
            <w:webHidden/>
          </w:rPr>
          <w:t>917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2" w:history="1">
        <w:r w:rsidRPr="00B80388">
          <w:rPr>
            <w:rStyle w:val="a5"/>
            <w:noProof/>
          </w:rPr>
          <w:t>Title: Indian J Public Health</w:t>
        </w:r>
        <w:r>
          <w:rPr>
            <w:noProof/>
            <w:webHidden/>
          </w:rPr>
          <w:tab/>
        </w:r>
        <w:r>
          <w:rPr>
            <w:noProof/>
            <w:webHidden/>
          </w:rPr>
          <w:fldChar w:fldCharType="begin"/>
        </w:r>
        <w:r>
          <w:rPr>
            <w:noProof/>
            <w:webHidden/>
          </w:rPr>
          <w:instrText xml:space="preserve"> PAGEREF _Toc317161132 \h </w:instrText>
        </w:r>
        <w:r>
          <w:rPr>
            <w:noProof/>
            <w:webHidden/>
          </w:rPr>
        </w:r>
        <w:r>
          <w:rPr>
            <w:noProof/>
            <w:webHidden/>
          </w:rPr>
          <w:fldChar w:fldCharType="separate"/>
        </w:r>
        <w:r>
          <w:rPr>
            <w:noProof/>
            <w:webHidden/>
          </w:rPr>
          <w:t>919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3" w:history="1">
        <w:r w:rsidRPr="00B80388">
          <w:rPr>
            <w:rStyle w:val="a5"/>
            <w:noProof/>
          </w:rPr>
          <w:t>Title: Indian Journal of Technology</w:t>
        </w:r>
        <w:r>
          <w:rPr>
            <w:noProof/>
            <w:webHidden/>
          </w:rPr>
          <w:tab/>
        </w:r>
        <w:r>
          <w:rPr>
            <w:noProof/>
            <w:webHidden/>
          </w:rPr>
          <w:fldChar w:fldCharType="begin"/>
        </w:r>
        <w:r>
          <w:rPr>
            <w:noProof/>
            <w:webHidden/>
          </w:rPr>
          <w:instrText xml:space="preserve"> PAGEREF _Toc317161133 \h </w:instrText>
        </w:r>
        <w:r>
          <w:rPr>
            <w:noProof/>
            <w:webHidden/>
          </w:rPr>
        </w:r>
        <w:r>
          <w:rPr>
            <w:noProof/>
            <w:webHidden/>
          </w:rPr>
          <w:fldChar w:fldCharType="separate"/>
        </w:r>
        <w:r>
          <w:rPr>
            <w:noProof/>
            <w:webHidden/>
          </w:rPr>
          <w:t>921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4" w:history="1">
        <w:r w:rsidRPr="00B80388">
          <w:rPr>
            <w:rStyle w:val="a5"/>
            <w:noProof/>
          </w:rPr>
          <w:t xml:space="preserve">Title: </w:t>
        </w:r>
        <w:r w:rsidRPr="00B80388">
          <w:rPr>
            <w:rStyle w:val="a5"/>
            <w:iCs/>
            <w:noProof/>
          </w:rPr>
          <w:t>Indoor Air</w:t>
        </w:r>
        <w:r>
          <w:rPr>
            <w:noProof/>
            <w:webHidden/>
          </w:rPr>
          <w:tab/>
        </w:r>
        <w:r>
          <w:rPr>
            <w:noProof/>
            <w:webHidden/>
          </w:rPr>
          <w:fldChar w:fldCharType="begin"/>
        </w:r>
        <w:r>
          <w:rPr>
            <w:noProof/>
            <w:webHidden/>
          </w:rPr>
          <w:instrText xml:space="preserve"> PAGEREF _Toc317161134 \h </w:instrText>
        </w:r>
        <w:r>
          <w:rPr>
            <w:noProof/>
            <w:webHidden/>
          </w:rPr>
        </w:r>
        <w:r>
          <w:rPr>
            <w:noProof/>
            <w:webHidden/>
          </w:rPr>
          <w:fldChar w:fldCharType="separate"/>
        </w:r>
        <w:r>
          <w:rPr>
            <w:noProof/>
            <w:webHidden/>
          </w:rPr>
          <w:t>923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5" w:history="1">
        <w:r w:rsidRPr="00B80388">
          <w:rPr>
            <w:rStyle w:val="a5"/>
            <w:noProof/>
          </w:rPr>
          <w:t>Title: Indoor Air-International Journal of Indoor Air Quality and Climate</w:t>
        </w:r>
        <w:r>
          <w:rPr>
            <w:noProof/>
            <w:webHidden/>
          </w:rPr>
          <w:tab/>
        </w:r>
        <w:r>
          <w:rPr>
            <w:noProof/>
            <w:webHidden/>
          </w:rPr>
          <w:fldChar w:fldCharType="begin"/>
        </w:r>
        <w:r>
          <w:rPr>
            <w:noProof/>
            <w:webHidden/>
          </w:rPr>
          <w:instrText xml:space="preserve"> PAGEREF _Toc317161135 \h </w:instrText>
        </w:r>
        <w:r>
          <w:rPr>
            <w:noProof/>
            <w:webHidden/>
          </w:rPr>
        </w:r>
        <w:r>
          <w:rPr>
            <w:noProof/>
            <w:webHidden/>
          </w:rPr>
          <w:fldChar w:fldCharType="separate"/>
        </w:r>
        <w:r>
          <w:rPr>
            <w:noProof/>
            <w:webHidden/>
          </w:rPr>
          <w:t>924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6" w:history="1">
        <w:r w:rsidRPr="00B80388">
          <w:rPr>
            <w:rStyle w:val="a5"/>
            <w:noProof/>
          </w:rPr>
          <w:t>Title: Industrial and Corporate Change</w:t>
        </w:r>
        <w:r>
          <w:rPr>
            <w:noProof/>
            <w:webHidden/>
          </w:rPr>
          <w:tab/>
        </w:r>
        <w:r>
          <w:rPr>
            <w:noProof/>
            <w:webHidden/>
          </w:rPr>
          <w:fldChar w:fldCharType="begin"/>
        </w:r>
        <w:r>
          <w:rPr>
            <w:noProof/>
            <w:webHidden/>
          </w:rPr>
          <w:instrText xml:space="preserve"> PAGEREF _Toc317161136 \h </w:instrText>
        </w:r>
        <w:r>
          <w:rPr>
            <w:noProof/>
            <w:webHidden/>
          </w:rPr>
        </w:r>
        <w:r>
          <w:rPr>
            <w:noProof/>
            <w:webHidden/>
          </w:rPr>
          <w:fldChar w:fldCharType="separate"/>
        </w:r>
        <w:r>
          <w:rPr>
            <w:noProof/>
            <w:webHidden/>
          </w:rPr>
          <w:t>925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7" w:history="1">
        <w:r w:rsidRPr="00B80388">
          <w:rPr>
            <w:rStyle w:val="a5"/>
            <w:noProof/>
          </w:rPr>
          <w:t>Title: Industrial Crops and Products</w:t>
        </w:r>
        <w:r>
          <w:rPr>
            <w:noProof/>
            <w:webHidden/>
          </w:rPr>
          <w:tab/>
        </w:r>
        <w:r>
          <w:rPr>
            <w:noProof/>
            <w:webHidden/>
          </w:rPr>
          <w:fldChar w:fldCharType="begin"/>
        </w:r>
        <w:r>
          <w:rPr>
            <w:noProof/>
            <w:webHidden/>
          </w:rPr>
          <w:instrText xml:space="preserve"> PAGEREF _Toc317161137 \h </w:instrText>
        </w:r>
        <w:r>
          <w:rPr>
            <w:noProof/>
            <w:webHidden/>
          </w:rPr>
        </w:r>
        <w:r>
          <w:rPr>
            <w:noProof/>
            <w:webHidden/>
          </w:rPr>
          <w:fldChar w:fldCharType="separate"/>
        </w:r>
        <w:r>
          <w:rPr>
            <w:noProof/>
            <w:webHidden/>
          </w:rPr>
          <w:t>927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8" w:history="1">
        <w:r w:rsidRPr="00B80388">
          <w:rPr>
            <w:rStyle w:val="a5"/>
            <w:noProof/>
          </w:rPr>
          <w:t>Title: Industrial and Engineering Chemistry</w:t>
        </w:r>
        <w:r>
          <w:rPr>
            <w:noProof/>
            <w:webHidden/>
          </w:rPr>
          <w:tab/>
        </w:r>
        <w:r>
          <w:rPr>
            <w:noProof/>
            <w:webHidden/>
          </w:rPr>
          <w:fldChar w:fldCharType="begin"/>
        </w:r>
        <w:r>
          <w:rPr>
            <w:noProof/>
            <w:webHidden/>
          </w:rPr>
          <w:instrText xml:space="preserve"> PAGEREF _Toc317161138 \h </w:instrText>
        </w:r>
        <w:r>
          <w:rPr>
            <w:noProof/>
            <w:webHidden/>
          </w:rPr>
        </w:r>
        <w:r>
          <w:rPr>
            <w:noProof/>
            <w:webHidden/>
          </w:rPr>
          <w:fldChar w:fldCharType="separate"/>
        </w:r>
        <w:r>
          <w:rPr>
            <w:noProof/>
            <w:webHidden/>
          </w:rPr>
          <w:t>931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39" w:history="1">
        <w:r w:rsidRPr="00B80388">
          <w:rPr>
            <w:rStyle w:val="a5"/>
            <w:noProof/>
          </w:rPr>
          <w:t>Title: Industrial &amp; Engineering Chemistry</w:t>
        </w:r>
        <w:r>
          <w:rPr>
            <w:noProof/>
            <w:webHidden/>
          </w:rPr>
          <w:tab/>
        </w:r>
        <w:r>
          <w:rPr>
            <w:noProof/>
            <w:webHidden/>
          </w:rPr>
          <w:fldChar w:fldCharType="begin"/>
        </w:r>
        <w:r>
          <w:rPr>
            <w:noProof/>
            <w:webHidden/>
          </w:rPr>
          <w:instrText xml:space="preserve"> PAGEREF _Toc317161139 \h </w:instrText>
        </w:r>
        <w:r>
          <w:rPr>
            <w:noProof/>
            <w:webHidden/>
          </w:rPr>
        </w:r>
        <w:r>
          <w:rPr>
            <w:noProof/>
            <w:webHidden/>
          </w:rPr>
          <w:fldChar w:fldCharType="separate"/>
        </w:r>
        <w:r>
          <w:rPr>
            <w:noProof/>
            <w:webHidden/>
          </w:rPr>
          <w:t>934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0" w:history="1">
        <w:r w:rsidRPr="00B80388">
          <w:rPr>
            <w:rStyle w:val="a5"/>
            <w:noProof/>
          </w:rPr>
          <w:t>Title: Industrial and Engineering Chemistry Fundamentals</w:t>
        </w:r>
        <w:r>
          <w:rPr>
            <w:noProof/>
            <w:webHidden/>
          </w:rPr>
          <w:tab/>
        </w:r>
        <w:r>
          <w:rPr>
            <w:noProof/>
            <w:webHidden/>
          </w:rPr>
          <w:fldChar w:fldCharType="begin"/>
        </w:r>
        <w:r>
          <w:rPr>
            <w:noProof/>
            <w:webHidden/>
          </w:rPr>
          <w:instrText xml:space="preserve"> PAGEREF _Toc317161140 \h </w:instrText>
        </w:r>
        <w:r>
          <w:rPr>
            <w:noProof/>
            <w:webHidden/>
          </w:rPr>
        </w:r>
        <w:r>
          <w:rPr>
            <w:noProof/>
            <w:webHidden/>
          </w:rPr>
          <w:fldChar w:fldCharType="separate"/>
        </w:r>
        <w:r>
          <w:rPr>
            <w:noProof/>
            <w:webHidden/>
          </w:rPr>
          <w:t>935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1" w:history="1">
        <w:r w:rsidRPr="00B80388">
          <w:rPr>
            <w:rStyle w:val="a5"/>
            <w:noProof/>
          </w:rPr>
          <w:t>Title: Industrial &amp; Engineering Chemistry Fundamentals</w:t>
        </w:r>
        <w:r>
          <w:rPr>
            <w:noProof/>
            <w:webHidden/>
          </w:rPr>
          <w:tab/>
        </w:r>
        <w:r>
          <w:rPr>
            <w:noProof/>
            <w:webHidden/>
          </w:rPr>
          <w:fldChar w:fldCharType="begin"/>
        </w:r>
        <w:r>
          <w:rPr>
            <w:noProof/>
            <w:webHidden/>
          </w:rPr>
          <w:instrText xml:space="preserve"> PAGEREF _Toc317161141 \h </w:instrText>
        </w:r>
        <w:r>
          <w:rPr>
            <w:noProof/>
            <w:webHidden/>
          </w:rPr>
        </w:r>
        <w:r>
          <w:rPr>
            <w:noProof/>
            <w:webHidden/>
          </w:rPr>
          <w:fldChar w:fldCharType="separate"/>
        </w:r>
        <w:r>
          <w:rPr>
            <w:noProof/>
            <w:webHidden/>
          </w:rPr>
          <w:t>942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2" w:history="1">
        <w:r w:rsidRPr="00B80388">
          <w:rPr>
            <w:rStyle w:val="a5"/>
            <w:noProof/>
          </w:rPr>
          <w:t>Title: Industrial &amp; Engineering Chemistry Process Design and Development</w:t>
        </w:r>
        <w:r>
          <w:rPr>
            <w:noProof/>
            <w:webHidden/>
          </w:rPr>
          <w:tab/>
        </w:r>
        <w:r>
          <w:rPr>
            <w:noProof/>
            <w:webHidden/>
          </w:rPr>
          <w:fldChar w:fldCharType="begin"/>
        </w:r>
        <w:r>
          <w:rPr>
            <w:noProof/>
            <w:webHidden/>
          </w:rPr>
          <w:instrText xml:space="preserve"> PAGEREF _Toc317161142 \h </w:instrText>
        </w:r>
        <w:r>
          <w:rPr>
            <w:noProof/>
            <w:webHidden/>
          </w:rPr>
        </w:r>
        <w:r>
          <w:rPr>
            <w:noProof/>
            <w:webHidden/>
          </w:rPr>
          <w:fldChar w:fldCharType="separate"/>
        </w:r>
        <w:r>
          <w:rPr>
            <w:noProof/>
            <w:webHidden/>
          </w:rPr>
          <w:t>943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3" w:history="1">
        <w:r w:rsidRPr="00B80388">
          <w:rPr>
            <w:rStyle w:val="a5"/>
            <w:noProof/>
          </w:rPr>
          <w:t>Title: Industrial &amp; Engineering Chemistry Product Research and Development</w:t>
        </w:r>
        <w:r>
          <w:rPr>
            <w:noProof/>
            <w:webHidden/>
          </w:rPr>
          <w:tab/>
        </w:r>
        <w:r>
          <w:rPr>
            <w:noProof/>
            <w:webHidden/>
          </w:rPr>
          <w:fldChar w:fldCharType="begin"/>
        </w:r>
        <w:r>
          <w:rPr>
            <w:noProof/>
            <w:webHidden/>
          </w:rPr>
          <w:instrText xml:space="preserve"> PAGEREF _Toc317161143 \h </w:instrText>
        </w:r>
        <w:r>
          <w:rPr>
            <w:noProof/>
            <w:webHidden/>
          </w:rPr>
        </w:r>
        <w:r>
          <w:rPr>
            <w:noProof/>
            <w:webHidden/>
          </w:rPr>
          <w:fldChar w:fldCharType="separate"/>
        </w:r>
        <w:r>
          <w:rPr>
            <w:noProof/>
            <w:webHidden/>
          </w:rPr>
          <w:t>946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4" w:history="1">
        <w:r w:rsidRPr="00B80388">
          <w:rPr>
            <w:rStyle w:val="a5"/>
            <w:noProof/>
          </w:rPr>
          <w:t>Title: Industrial &amp; Engineering Chemistry Research</w:t>
        </w:r>
        <w:r>
          <w:rPr>
            <w:noProof/>
            <w:webHidden/>
          </w:rPr>
          <w:tab/>
        </w:r>
        <w:r>
          <w:rPr>
            <w:noProof/>
            <w:webHidden/>
          </w:rPr>
          <w:fldChar w:fldCharType="begin"/>
        </w:r>
        <w:r>
          <w:rPr>
            <w:noProof/>
            <w:webHidden/>
          </w:rPr>
          <w:instrText xml:space="preserve"> PAGEREF _Toc317161144 \h </w:instrText>
        </w:r>
        <w:r>
          <w:rPr>
            <w:noProof/>
            <w:webHidden/>
          </w:rPr>
        </w:r>
        <w:r>
          <w:rPr>
            <w:noProof/>
            <w:webHidden/>
          </w:rPr>
          <w:fldChar w:fldCharType="separate"/>
        </w:r>
        <w:r>
          <w:rPr>
            <w:noProof/>
            <w:webHidden/>
          </w:rPr>
          <w:t>948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5" w:history="1">
        <w:r w:rsidRPr="00B80388">
          <w:rPr>
            <w:rStyle w:val="a5"/>
            <w:noProof/>
          </w:rPr>
          <w:t>Title: Industrial Health</w:t>
        </w:r>
        <w:r>
          <w:rPr>
            <w:noProof/>
            <w:webHidden/>
          </w:rPr>
          <w:tab/>
        </w:r>
        <w:r>
          <w:rPr>
            <w:noProof/>
            <w:webHidden/>
          </w:rPr>
          <w:fldChar w:fldCharType="begin"/>
        </w:r>
        <w:r>
          <w:rPr>
            <w:noProof/>
            <w:webHidden/>
          </w:rPr>
          <w:instrText xml:space="preserve"> PAGEREF _Toc317161145 \h </w:instrText>
        </w:r>
        <w:r>
          <w:rPr>
            <w:noProof/>
            <w:webHidden/>
          </w:rPr>
        </w:r>
        <w:r>
          <w:rPr>
            <w:noProof/>
            <w:webHidden/>
          </w:rPr>
          <w:fldChar w:fldCharType="separate"/>
        </w:r>
        <w:r>
          <w:rPr>
            <w:noProof/>
            <w:webHidden/>
          </w:rPr>
          <w:t>1099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6" w:history="1">
        <w:r w:rsidRPr="00B80388">
          <w:rPr>
            <w:rStyle w:val="a5"/>
            <w:noProof/>
          </w:rPr>
          <w:t>Title: Industrial &amp; Labor Relations Review,</w:t>
        </w:r>
        <w:r>
          <w:rPr>
            <w:noProof/>
            <w:webHidden/>
          </w:rPr>
          <w:tab/>
        </w:r>
        <w:r>
          <w:rPr>
            <w:noProof/>
            <w:webHidden/>
          </w:rPr>
          <w:fldChar w:fldCharType="begin"/>
        </w:r>
        <w:r>
          <w:rPr>
            <w:noProof/>
            <w:webHidden/>
          </w:rPr>
          <w:instrText xml:space="preserve"> PAGEREF _Toc317161146 \h </w:instrText>
        </w:r>
        <w:r>
          <w:rPr>
            <w:noProof/>
            <w:webHidden/>
          </w:rPr>
        </w:r>
        <w:r>
          <w:rPr>
            <w:noProof/>
            <w:webHidden/>
          </w:rPr>
          <w:fldChar w:fldCharType="separate"/>
        </w:r>
        <w:r>
          <w:rPr>
            <w:noProof/>
            <w:webHidden/>
          </w:rPr>
          <w:t>1102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7" w:history="1">
        <w:r w:rsidRPr="00B80388">
          <w:rPr>
            <w:rStyle w:val="a5"/>
            <w:noProof/>
          </w:rPr>
          <w:t>Title: Industrial Laboratory</w:t>
        </w:r>
        <w:r>
          <w:rPr>
            <w:noProof/>
            <w:webHidden/>
          </w:rPr>
          <w:tab/>
        </w:r>
        <w:r>
          <w:rPr>
            <w:noProof/>
            <w:webHidden/>
          </w:rPr>
          <w:fldChar w:fldCharType="begin"/>
        </w:r>
        <w:r>
          <w:rPr>
            <w:noProof/>
            <w:webHidden/>
          </w:rPr>
          <w:instrText xml:space="preserve"> PAGEREF _Toc317161147 \h </w:instrText>
        </w:r>
        <w:r>
          <w:rPr>
            <w:noProof/>
            <w:webHidden/>
          </w:rPr>
        </w:r>
        <w:r>
          <w:rPr>
            <w:noProof/>
            <w:webHidden/>
          </w:rPr>
          <w:fldChar w:fldCharType="separate"/>
        </w:r>
        <w:r>
          <w:rPr>
            <w:noProof/>
            <w:webHidden/>
          </w:rPr>
          <w:t>1103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8" w:history="1">
        <w:r w:rsidRPr="00B80388">
          <w:rPr>
            <w:rStyle w:val="a5"/>
            <w:noProof/>
          </w:rPr>
          <w:t xml:space="preserve">Title: </w:t>
        </w:r>
        <w:r w:rsidRPr="00B80388">
          <w:rPr>
            <w:rStyle w:val="a5"/>
            <w:iCs/>
            <w:noProof/>
          </w:rPr>
          <w:t>Industrial Marketing Management</w:t>
        </w:r>
        <w:r>
          <w:rPr>
            <w:noProof/>
            <w:webHidden/>
          </w:rPr>
          <w:tab/>
        </w:r>
        <w:r>
          <w:rPr>
            <w:noProof/>
            <w:webHidden/>
          </w:rPr>
          <w:fldChar w:fldCharType="begin"/>
        </w:r>
        <w:r>
          <w:rPr>
            <w:noProof/>
            <w:webHidden/>
          </w:rPr>
          <w:instrText xml:space="preserve"> PAGEREF _Toc317161148 \h </w:instrText>
        </w:r>
        <w:r>
          <w:rPr>
            <w:noProof/>
            <w:webHidden/>
          </w:rPr>
        </w:r>
        <w:r>
          <w:rPr>
            <w:noProof/>
            <w:webHidden/>
          </w:rPr>
          <w:fldChar w:fldCharType="separate"/>
        </w:r>
        <w:r>
          <w:rPr>
            <w:noProof/>
            <w:webHidden/>
          </w:rPr>
          <w:t>1105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49" w:history="1">
        <w:r w:rsidRPr="00B80388">
          <w:rPr>
            <w:rStyle w:val="a5"/>
            <w:noProof/>
          </w:rPr>
          <w:t>Title: Industrial Pollution Control, the Practial Implications</w:t>
        </w:r>
        <w:r>
          <w:rPr>
            <w:noProof/>
            <w:webHidden/>
          </w:rPr>
          <w:tab/>
        </w:r>
        <w:r>
          <w:rPr>
            <w:noProof/>
            <w:webHidden/>
          </w:rPr>
          <w:fldChar w:fldCharType="begin"/>
        </w:r>
        <w:r>
          <w:rPr>
            <w:noProof/>
            <w:webHidden/>
          </w:rPr>
          <w:instrText xml:space="preserve"> PAGEREF _Toc317161149 \h </w:instrText>
        </w:r>
        <w:r>
          <w:rPr>
            <w:noProof/>
            <w:webHidden/>
          </w:rPr>
        </w:r>
        <w:r>
          <w:rPr>
            <w:noProof/>
            <w:webHidden/>
          </w:rPr>
          <w:fldChar w:fldCharType="separate"/>
        </w:r>
        <w:r>
          <w:rPr>
            <w:noProof/>
            <w:webHidden/>
          </w:rPr>
          <w:t>1106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0" w:history="1">
        <w:r w:rsidRPr="00B80388">
          <w:rPr>
            <w:rStyle w:val="a5"/>
            <w:noProof/>
          </w:rPr>
          <w:t>Title: Industrial Wastes</w:t>
        </w:r>
        <w:r>
          <w:rPr>
            <w:noProof/>
            <w:webHidden/>
          </w:rPr>
          <w:tab/>
        </w:r>
        <w:r>
          <w:rPr>
            <w:noProof/>
            <w:webHidden/>
          </w:rPr>
          <w:fldChar w:fldCharType="begin"/>
        </w:r>
        <w:r>
          <w:rPr>
            <w:noProof/>
            <w:webHidden/>
          </w:rPr>
          <w:instrText xml:space="preserve"> PAGEREF _Toc317161150 \h </w:instrText>
        </w:r>
        <w:r>
          <w:rPr>
            <w:noProof/>
            <w:webHidden/>
          </w:rPr>
        </w:r>
        <w:r>
          <w:rPr>
            <w:noProof/>
            <w:webHidden/>
          </w:rPr>
          <w:fldChar w:fldCharType="separate"/>
        </w:r>
        <w:r>
          <w:rPr>
            <w:noProof/>
            <w:webHidden/>
          </w:rPr>
          <w:t>1107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1" w:history="1">
        <w:r w:rsidRPr="00B80388">
          <w:rPr>
            <w:rStyle w:val="a5"/>
            <w:noProof/>
          </w:rPr>
          <w:t>Title: Industrial Water Treatment</w:t>
        </w:r>
        <w:r>
          <w:rPr>
            <w:noProof/>
            <w:webHidden/>
          </w:rPr>
          <w:tab/>
        </w:r>
        <w:r>
          <w:rPr>
            <w:noProof/>
            <w:webHidden/>
          </w:rPr>
          <w:fldChar w:fldCharType="begin"/>
        </w:r>
        <w:r>
          <w:rPr>
            <w:noProof/>
            <w:webHidden/>
          </w:rPr>
          <w:instrText xml:space="preserve"> PAGEREF _Toc317161151 \h </w:instrText>
        </w:r>
        <w:r>
          <w:rPr>
            <w:noProof/>
            <w:webHidden/>
          </w:rPr>
        </w:r>
        <w:r>
          <w:rPr>
            <w:noProof/>
            <w:webHidden/>
          </w:rPr>
          <w:fldChar w:fldCharType="separate"/>
        </w:r>
        <w:r>
          <w:rPr>
            <w:noProof/>
            <w:webHidden/>
          </w:rPr>
          <w:t>1108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2" w:history="1">
        <w:r w:rsidRPr="00B80388">
          <w:rPr>
            <w:rStyle w:val="a5"/>
            <w:noProof/>
          </w:rPr>
          <w:t>Title: Industrie Alimentari</w:t>
        </w:r>
        <w:r>
          <w:rPr>
            <w:noProof/>
            <w:webHidden/>
          </w:rPr>
          <w:tab/>
        </w:r>
        <w:r>
          <w:rPr>
            <w:noProof/>
            <w:webHidden/>
          </w:rPr>
          <w:fldChar w:fldCharType="begin"/>
        </w:r>
        <w:r>
          <w:rPr>
            <w:noProof/>
            <w:webHidden/>
          </w:rPr>
          <w:instrText xml:space="preserve"> PAGEREF _Toc317161152 \h </w:instrText>
        </w:r>
        <w:r>
          <w:rPr>
            <w:noProof/>
            <w:webHidden/>
          </w:rPr>
        </w:r>
        <w:r>
          <w:rPr>
            <w:noProof/>
            <w:webHidden/>
          </w:rPr>
          <w:fldChar w:fldCharType="separate"/>
        </w:r>
        <w:r>
          <w:rPr>
            <w:noProof/>
            <w:webHidden/>
          </w:rPr>
          <w:t>1110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3" w:history="1">
        <w:r w:rsidRPr="00B80388">
          <w:rPr>
            <w:rStyle w:val="a5"/>
            <w:noProof/>
          </w:rPr>
          <w:t>Title: Industry and Innovation</w:t>
        </w:r>
        <w:r>
          <w:rPr>
            <w:noProof/>
            <w:webHidden/>
          </w:rPr>
          <w:tab/>
        </w:r>
        <w:r>
          <w:rPr>
            <w:noProof/>
            <w:webHidden/>
          </w:rPr>
          <w:fldChar w:fldCharType="begin"/>
        </w:r>
        <w:r>
          <w:rPr>
            <w:noProof/>
            <w:webHidden/>
          </w:rPr>
          <w:instrText xml:space="preserve"> PAGEREF _Toc317161153 \h </w:instrText>
        </w:r>
        <w:r>
          <w:rPr>
            <w:noProof/>
            <w:webHidden/>
          </w:rPr>
        </w:r>
        <w:r>
          <w:rPr>
            <w:noProof/>
            <w:webHidden/>
          </w:rPr>
          <w:fldChar w:fldCharType="separate"/>
        </w:r>
        <w:r>
          <w:rPr>
            <w:noProof/>
            <w:webHidden/>
          </w:rPr>
          <w:t>1111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4" w:history="1">
        <w:r w:rsidRPr="00B80388">
          <w:rPr>
            <w:rStyle w:val="a5"/>
            <w:noProof/>
          </w:rPr>
          <w:t>Title: Infection</w:t>
        </w:r>
        <w:r>
          <w:rPr>
            <w:noProof/>
            <w:webHidden/>
          </w:rPr>
          <w:tab/>
        </w:r>
        <w:r>
          <w:rPr>
            <w:noProof/>
            <w:webHidden/>
          </w:rPr>
          <w:fldChar w:fldCharType="begin"/>
        </w:r>
        <w:r>
          <w:rPr>
            <w:noProof/>
            <w:webHidden/>
          </w:rPr>
          <w:instrText xml:space="preserve"> PAGEREF _Toc317161154 \h </w:instrText>
        </w:r>
        <w:r>
          <w:rPr>
            <w:noProof/>
            <w:webHidden/>
          </w:rPr>
        </w:r>
        <w:r>
          <w:rPr>
            <w:noProof/>
            <w:webHidden/>
          </w:rPr>
          <w:fldChar w:fldCharType="separate"/>
        </w:r>
        <w:r>
          <w:rPr>
            <w:noProof/>
            <w:webHidden/>
          </w:rPr>
          <w:t>1112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5" w:history="1">
        <w:r w:rsidRPr="00B80388">
          <w:rPr>
            <w:rStyle w:val="a5"/>
            <w:noProof/>
          </w:rPr>
          <w:t>Title: Infection, Genetics and Evolution</w:t>
        </w:r>
        <w:r>
          <w:rPr>
            <w:noProof/>
            <w:webHidden/>
          </w:rPr>
          <w:tab/>
        </w:r>
        <w:r>
          <w:rPr>
            <w:noProof/>
            <w:webHidden/>
          </w:rPr>
          <w:fldChar w:fldCharType="begin"/>
        </w:r>
        <w:r>
          <w:rPr>
            <w:noProof/>
            <w:webHidden/>
          </w:rPr>
          <w:instrText xml:space="preserve"> PAGEREF _Toc317161155 \h </w:instrText>
        </w:r>
        <w:r>
          <w:rPr>
            <w:noProof/>
            <w:webHidden/>
          </w:rPr>
        </w:r>
        <w:r>
          <w:rPr>
            <w:noProof/>
            <w:webHidden/>
          </w:rPr>
          <w:fldChar w:fldCharType="separate"/>
        </w:r>
        <w:r>
          <w:rPr>
            <w:noProof/>
            <w:webHidden/>
          </w:rPr>
          <w:t>1114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6" w:history="1">
        <w:r w:rsidRPr="00B80388">
          <w:rPr>
            <w:rStyle w:val="a5"/>
            <w:noProof/>
          </w:rPr>
          <w:t>Title: Infection and Immunity</w:t>
        </w:r>
        <w:r>
          <w:rPr>
            <w:noProof/>
            <w:webHidden/>
          </w:rPr>
          <w:tab/>
        </w:r>
        <w:r>
          <w:rPr>
            <w:noProof/>
            <w:webHidden/>
          </w:rPr>
          <w:fldChar w:fldCharType="begin"/>
        </w:r>
        <w:r>
          <w:rPr>
            <w:noProof/>
            <w:webHidden/>
          </w:rPr>
          <w:instrText xml:space="preserve"> PAGEREF _Toc317161156 \h </w:instrText>
        </w:r>
        <w:r>
          <w:rPr>
            <w:noProof/>
            <w:webHidden/>
          </w:rPr>
        </w:r>
        <w:r>
          <w:rPr>
            <w:noProof/>
            <w:webHidden/>
          </w:rPr>
          <w:fldChar w:fldCharType="separate"/>
        </w:r>
        <w:r>
          <w:rPr>
            <w:noProof/>
            <w:webHidden/>
          </w:rPr>
          <w:t>1115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7" w:history="1">
        <w:r w:rsidRPr="00B80388">
          <w:rPr>
            <w:rStyle w:val="a5"/>
            <w:noProof/>
          </w:rPr>
          <w:t>Title: Infectious Disease Clinics of North America</w:t>
        </w:r>
        <w:r>
          <w:rPr>
            <w:noProof/>
            <w:webHidden/>
          </w:rPr>
          <w:tab/>
        </w:r>
        <w:r>
          <w:rPr>
            <w:noProof/>
            <w:webHidden/>
          </w:rPr>
          <w:fldChar w:fldCharType="begin"/>
        </w:r>
        <w:r>
          <w:rPr>
            <w:noProof/>
            <w:webHidden/>
          </w:rPr>
          <w:instrText xml:space="preserve"> PAGEREF _Toc317161157 \h </w:instrText>
        </w:r>
        <w:r>
          <w:rPr>
            <w:noProof/>
            <w:webHidden/>
          </w:rPr>
        </w:r>
        <w:r>
          <w:rPr>
            <w:noProof/>
            <w:webHidden/>
          </w:rPr>
          <w:fldChar w:fldCharType="separate"/>
        </w:r>
        <w:r>
          <w:rPr>
            <w:noProof/>
            <w:webHidden/>
          </w:rPr>
          <w:t>1116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8" w:history="1">
        <w:r w:rsidRPr="00B80388">
          <w:rPr>
            <w:rStyle w:val="a5"/>
            <w:noProof/>
          </w:rPr>
          <w:t>Title: Infectious Diseases in Clinical Practic</w:t>
        </w:r>
        <w:r w:rsidRPr="00B80388">
          <w:rPr>
            <w:rStyle w:val="a5"/>
            <w:iCs/>
            <w:noProof/>
          </w:rPr>
          <w:t>e</w:t>
        </w:r>
        <w:r>
          <w:rPr>
            <w:noProof/>
            <w:webHidden/>
          </w:rPr>
          <w:tab/>
        </w:r>
        <w:r>
          <w:rPr>
            <w:noProof/>
            <w:webHidden/>
          </w:rPr>
          <w:fldChar w:fldCharType="begin"/>
        </w:r>
        <w:r>
          <w:rPr>
            <w:noProof/>
            <w:webHidden/>
          </w:rPr>
          <w:instrText xml:space="preserve"> PAGEREF _Toc317161158 \h </w:instrText>
        </w:r>
        <w:r>
          <w:rPr>
            <w:noProof/>
            <w:webHidden/>
          </w:rPr>
        </w:r>
        <w:r>
          <w:rPr>
            <w:noProof/>
            <w:webHidden/>
          </w:rPr>
          <w:fldChar w:fldCharType="separate"/>
        </w:r>
        <w:r>
          <w:rPr>
            <w:noProof/>
            <w:webHidden/>
          </w:rPr>
          <w:t>1118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59" w:history="1">
        <w:r w:rsidRPr="00B80388">
          <w:rPr>
            <w:rStyle w:val="a5"/>
            <w:noProof/>
          </w:rPr>
          <w:t>Title: Infections in Medicine</w:t>
        </w:r>
        <w:r>
          <w:rPr>
            <w:noProof/>
            <w:webHidden/>
          </w:rPr>
          <w:tab/>
        </w:r>
        <w:r>
          <w:rPr>
            <w:noProof/>
            <w:webHidden/>
          </w:rPr>
          <w:fldChar w:fldCharType="begin"/>
        </w:r>
        <w:r>
          <w:rPr>
            <w:noProof/>
            <w:webHidden/>
          </w:rPr>
          <w:instrText xml:space="preserve"> PAGEREF _Toc317161159 \h </w:instrText>
        </w:r>
        <w:r>
          <w:rPr>
            <w:noProof/>
            <w:webHidden/>
          </w:rPr>
        </w:r>
        <w:r>
          <w:rPr>
            <w:noProof/>
            <w:webHidden/>
          </w:rPr>
          <w:fldChar w:fldCharType="separate"/>
        </w:r>
        <w:r>
          <w:rPr>
            <w:noProof/>
            <w:webHidden/>
          </w:rPr>
          <w:t>1119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0" w:history="1">
        <w:r w:rsidRPr="00B80388">
          <w:rPr>
            <w:rStyle w:val="a5"/>
            <w:noProof/>
          </w:rPr>
          <w:t xml:space="preserve">Title: </w:t>
        </w:r>
        <w:r w:rsidRPr="00B80388">
          <w:rPr>
            <w:rStyle w:val="a5"/>
            <w:iCs/>
            <w:noProof/>
          </w:rPr>
          <w:t>Inflammatory Bowel Diseases</w:t>
        </w:r>
        <w:r>
          <w:rPr>
            <w:noProof/>
            <w:webHidden/>
          </w:rPr>
          <w:tab/>
        </w:r>
        <w:r>
          <w:rPr>
            <w:noProof/>
            <w:webHidden/>
          </w:rPr>
          <w:fldChar w:fldCharType="begin"/>
        </w:r>
        <w:r>
          <w:rPr>
            <w:noProof/>
            <w:webHidden/>
          </w:rPr>
          <w:instrText xml:space="preserve"> PAGEREF _Toc317161160 \h </w:instrText>
        </w:r>
        <w:r>
          <w:rPr>
            <w:noProof/>
            <w:webHidden/>
          </w:rPr>
        </w:r>
        <w:r>
          <w:rPr>
            <w:noProof/>
            <w:webHidden/>
          </w:rPr>
          <w:fldChar w:fldCharType="separate"/>
        </w:r>
        <w:r>
          <w:rPr>
            <w:noProof/>
            <w:webHidden/>
          </w:rPr>
          <w:t>1120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1" w:history="1">
        <w:r w:rsidRPr="00B80388">
          <w:rPr>
            <w:rStyle w:val="a5"/>
            <w:noProof/>
          </w:rPr>
          <w:t xml:space="preserve">Title: </w:t>
        </w:r>
        <w:r w:rsidRPr="00B80388">
          <w:rPr>
            <w:rStyle w:val="a5"/>
            <w:iCs/>
            <w:noProof/>
          </w:rPr>
          <w:t>Informacao &amp; Sociedade-Estudos</w:t>
        </w:r>
        <w:r>
          <w:rPr>
            <w:noProof/>
            <w:webHidden/>
          </w:rPr>
          <w:tab/>
        </w:r>
        <w:r>
          <w:rPr>
            <w:noProof/>
            <w:webHidden/>
          </w:rPr>
          <w:fldChar w:fldCharType="begin"/>
        </w:r>
        <w:r>
          <w:rPr>
            <w:noProof/>
            <w:webHidden/>
          </w:rPr>
          <w:instrText xml:space="preserve"> PAGEREF _Toc317161161 \h </w:instrText>
        </w:r>
        <w:r>
          <w:rPr>
            <w:noProof/>
            <w:webHidden/>
          </w:rPr>
        </w:r>
        <w:r>
          <w:rPr>
            <w:noProof/>
            <w:webHidden/>
          </w:rPr>
          <w:fldChar w:fldCharType="separate"/>
        </w:r>
        <w:r>
          <w:rPr>
            <w:noProof/>
            <w:webHidden/>
          </w:rPr>
          <w:t>1123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2" w:history="1">
        <w:r w:rsidRPr="00B80388">
          <w:rPr>
            <w:rStyle w:val="a5"/>
            <w:noProof/>
          </w:rPr>
          <w:t xml:space="preserve">Title: </w:t>
        </w:r>
        <w:r w:rsidRPr="00B80388">
          <w:rPr>
            <w:rStyle w:val="a5"/>
            <w:iCs/>
            <w:noProof/>
          </w:rPr>
          <w:t>Information Communication &amp; Society</w:t>
        </w:r>
        <w:r>
          <w:rPr>
            <w:noProof/>
            <w:webHidden/>
          </w:rPr>
          <w:tab/>
        </w:r>
        <w:r>
          <w:rPr>
            <w:noProof/>
            <w:webHidden/>
          </w:rPr>
          <w:fldChar w:fldCharType="begin"/>
        </w:r>
        <w:r>
          <w:rPr>
            <w:noProof/>
            <w:webHidden/>
          </w:rPr>
          <w:instrText xml:space="preserve"> PAGEREF _Toc317161162 \h </w:instrText>
        </w:r>
        <w:r>
          <w:rPr>
            <w:noProof/>
            <w:webHidden/>
          </w:rPr>
        </w:r>
        <w:r>
          <w:rPr>
            <w:noProof/>
            <w:webHidden/>
          </w:rPr>
          <w:fldChar w:fldCharType="separate"/>
        </w:r>
        <w:r>
          <w:rPr>
            <w:noProof/>
            <w:webHidden/>
          </w:rPr>
          <w:t>1126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3" w:history="1">
        <w:r w:rsidRPr="00B80388">
          <w:rPr>
            <w:rStyle w:val="a5"/>
            <w:noProof/>
          </w:rPr>
          <w:t>Title: Information Communication &amp; Society</w:t>
        </w:r>
        <w:r>
          <w:rPr>
            <w:noProof/>
            <w:webHidden/>
          </w:rPr>
          <w:tab/>
        </w:r>
        <w:r>
          <w:rPr>
            <w:noProof/>
            <w:webHidden/>
          </w:rPr>
          <w:fldChar w:fldCharType="begin"/>
        </w:r>
        <w:r>
          <w:rPr>
            <w:noProof/>
            <w:webHidden/>
          </w:rPr>
          <w:instrText xml:space="preserve"> PAGEREF _Toc317161163 \h </w:instrText>
        </w:r>
        <w:r>
          <w:rPr>
            <w:noProof/>
            <w:webHidden/>
          </w:rPr>
        </w:r>
        <w:r>
          <w:rPr>
            <w:noProof/>
            <w:webHidden/>
          </w:rPr>
          <w:fldChar w:fldCharType="separate"/>
        </w:r>
        <w:r>
          <w:rPr>
            <w:noProof/>
            <w:webHidden/>
          </w:rPr>
          <w:t>1127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4" w:history="1">
        <w:r w:rsidRPr="00B80388">
          <w:rPr>
            <w:rStyle w:val="a5"/>
            <w:noProof/>
          </w:rPr>
          <w:t>Title: Information &amp; Management</w:t>
        </w:r>
        <w:r>
          <w:rPr>
            <w:noProof/>
            <w:webHidden/>
          </w:rPr>
          <w:tab/>
        </w:r>
        <w:r>
          <w:rPr>
            <w:noProof/>
            <w:webHidden/>
          </w:rPr>
          <w:fldChar w:fldCharType="begin"/>
        </w:r>
        <w:r>
          <w:rPr>
            <w:noProof/>
            <w:webHidden/>
          </w:rPr>
          <w:instrText xml:space="preserve"> PAGEREF _Toc317161164 \h </w:instrText>
        </w:r>
        <w:r>
          <w:rPr>
            <w:noProof/>
            <w:webHidden/>
          </w:rPr>
        </w:r>
        <w:r>
          <w:rPr>
            <w:noProof/>
            <w:webHidden/>
          </w:rPr>
          <w:fldChar w:fldCharType="separate"/>
        </w:r>
        <w:r>
          <w:rPr>
            <w:noProof/>
            <w:webHidden/>
          </w:rPr>
          <w:t>1128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5" w:history="1">
        <w:r w:rsidRPr="00B80388">
          <w:rPr>
            <w:rStyle w:val="a5"/>
            <w:noProof/>
          </w:rPr>
          <w:t>Title: Information Processing &amp; Management</w:t>
        </w:r>
        <w:r>
          <w:rPr>
            <w:noProof/>
            <w:webHidden/>
          </w:rPr>
          <w:tab/>
        </w:r>
        <w:r>
          <w:rPr>
            <w:noProof/>
            <w:webHidden/>
          </w:rPr>
          <w:fldChar w:fldCharType="begin"/>
        </w:r>
        <w:r>
          <w:rPr>
            <w:noProof/>
            <w:webHidden/>
          </w:rPr>
          <w:instrText xml:space="preserve"> PAGEREF _Toc317161165 \h </w:instrText>
        </w:r>
        <w:r>
          <w:rPr>
            <w:noProof/>
            <w:webHidden/>
          </w:rPr>
        </w:r>
        <w:r>
          <w:rPr>
            <w:noProof/>
            <w:webHidden/>
          </w:rPr>
          <w:fldChar w:fldCharType="separate"/>
        </w:r>
        <w:r>
          <w:rPr>
            <w:noProof/>
            <w:webHidden/>
          </w:rPr>
          <w:t>1129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6" w:history="1">
        <w:r w:rsidRPr="00B80388">
          <w:rPr>
            <w:rStyle w:val="a5"/>
            <w:noProof/>
          </w:rPr>
          <w:t>Title: Information Research</w:t>
        </w:r>
        <w:r>
          <w:rPr>
            <w:noProof/>
            <w:webHidden/>
          </w:rPr>
          <w:tab/>
        </w:r>
        <w:r>
          <w:rPr>
            <w:noProof/>
            <w:webHidden/>
          </w:rPr>
          <w:fldChar w:fldCharType="begin"/>
        </w:r>
        <w:r>
          <w:rPr>
            <w:noProof/>
            <w:webHidden/>
          </w:rPr>
          <w:instrText xml:space="preserve"> PAGEREF _Toc317161166 \h </w:instrText>
        </w:r>
        <w:r>
          <w:rPr>
            <w:noProof/>
            <w:webHidden/>
          </w:rPr>
        </w:r>
        <w:r>
          <w:rPr>
            <w:noProof/>
            <w:webHidden/>
          </w:rPr>
          <w:fldChar w:fldCharType="separate"/>
        </w:r>
        <w:r>
          <w:rPr>
            <w:noProof/>
            <w:webHidden/>
          </w:rPr>
          <w:t>1166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7" w:history="1">
        <w:r w:rsidRPr="00B80388">
          <w:rPr>
            <w:rStyle w:val="a5"/>
            <w:noProof/>
          </w:rPr>
          <w:t xml:space="preserve">Title: </w:t>
        </w:r>
        <w:r w:rsidRPr="00B80388">
          <w:rPr>
            <w:rStyle w:val="a5"/>
            <w:iCs/>
            <w:noProof/>
          </w:rPr>
          <w:t>Information Research-An International Electronic Journal</w:t>
        </w:r>
        <w:r>
          <w:rPr>
            <w:noProof/>
            <w:webHidden/>
          </w:rPr>
          <w:tab/>
        </w:r>
        <w:r>
          <w:rPr>
            <w:noProof/>
            <w:webHidden/>
          </w:rPr>
          <w:fldChar w:fldCharType="begin"/>
        </w:r>
        <w:r>
          <w:rPr>
            <w:noProof/>
            <w:webHidden/>
          </w:rPr>
          <w:instrText xml:space="preserve"> PAGEREF _Toc317161167 \h </w:instrText>
        </w:r>
        <w:r>
          <w:rPr>
            <w:noProof/>
            <w:webHidden/>
          </w:rPr>
        </w:r>
        <w:r>
          <w:rPr>
            <w:noProof/>
            <w:webHidden/>
          </w:rPr>
          <w:fldChar w:fldCharType="separate"/>
        </w:r>
        <w:r>
          <w:rPr>
            <w:noProof/>
            <w:webHidden/>
          </w:rPr>
          <w:t>1169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8" w:history="1">
        <w:r w:rsidRPr="00B80388">
          <w:rPr>
            <w:rStyle w:val="a5"/>
            <w:noProof/>
          </w:rPr>
          <w:t xml:space="preserve">Title: </w:t>
        </w:r>
        <w:r w:rsidRPr="00B80388">
          <w:rPr>
            <w:rStyle w:val="a5"/>
            <w:iCs/>
            <w:noProof/>
          </w:rPr>
          <w:t>Information for Responsible Fisheries: Libraries as Mediators, Proceedings</w:t>
        </w:r>
        <w:r>
          <w:rPr>
            <w:noProof/>
            <w:webHidden/>
          </w:rPr>
          <w:tab/>
        </w:r>
        <w:r>
          <w:rPr>
            <w:noProof/>
            <w:webHidden/>
          </w:rPr>
          <w:fldChar w:fldCharType="begin"/>
        </w:r>
        <w:r>
          <w:rPr>
            <w:noProof/>
            <w:webHidden/>
          </w:rPr>
          <w:instrText xml:space="preserve"> PAGEREF _Toc317161168 \h </w:instrText>
        </w:r>
        <w:r>
          <w:rPr>
            <w:noProof/>
            <w:webHidden/>
          </w:rPr>
        </w:r>
        <w:r>
          <w:rPr>
            <w:noProof/>
            <w:webHidden/>
          </w:rPr>
          <w:fldChar w:fldCharType="separate"/>
        </w:r>
        <w:r>
          <w:rPr>
            <w:noProof/>
            <w:webHidden/>
          </w:rPr>
          <w:t>1180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69" w:history="1">
        <w:r w:rsidRPr="00B80388">
          <w:rPr>
            <w:rStyle w:val="a5"/>
            <w:noProof/>
          </w:rPr>
          <w:t xml:space="preserve">Title: </w:t>
        </w:r>
        <w:r w:rsidRPr="00B80388">
          <w:rPr>
            <w:rStyle w:val="a5"/>
            <w:iCs/>
            <w:noProof/>
          </w:rPr>
          <w:t>Information Retrieval</w:t>
        </w:r>
        <w:r>
          <w:rPr>
            <w:noProof/>
            <w:webHidden/>
          </w:rPr>
          <w:tab/>
        </w:r>
        <w:r>
          <w:rPr>
            <w:noProof/>
            <w:webHidden/>
          </w:rPr>
          <w:fldChar w:fldCharType="begin"/>
        </w:r>
        <w:r>
          <w:rPr>
            <w:noProof/>
            <w:webHidden/>
          </w:rPr>
          <w:instrText xml:space="preserve"> PAGEREF _Toc317161169 \h </w:instrText>
        </w:r>
        <w:r>
          <w:rPr>
            <w:noProof/>
            <w:webHidden/>
          </w:rPr>
        </w:r>
        <w:r>
          <w:rPr>
            <w:noProof/>
            <w:webHidden/>
          </w:rPr>
          <w:fldChar w:fldCharType="separate"/>
        </w:r>
        <w:r>
          <w:rPr>
            <w:noProof/>
            <w:webHidden/>
          </w:rPr>
          <w:t>1181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0" w:history="1">
        <w:r w:rsidRPr="00B80388">
          <w:rPr>
            <w:rStyle w:val="a5"/>
            <w:noProof/>
          </w:rPr>
          <w:t>Title: Information Science</w:t>
        </w:r>
        <w:r>
          <w:rPr>
            <w:noProof/>
            <w:webHidden/>
          </w:rPr>
          <w:tab/>
        </w:r>
        <w:r>
          <w:rPr>
            <w:noProof/>
            <w:webHidden/>
          </w:rPr>
          <w:fldChar w:fldCharType="begin"/>
        </w:r>
        <w:r>
          <w:rPr>
            <w:noProof/>
            <w:webHidden/>
          </w:rPr>
          <w:instrText xml:space="preserve"> PAGEREF _Toc317161170 \h </w:instrText>
        </w:r>
        <w:r>
          <w:rPr>
            <w:noProof/>
            <w:webHidden/>
          </w:rPr>
        </w:r>
        <w:r>
          <w:rPr>
            <w:noProof/>
            <w:webHidden/>
          </w:rPr>
          <w:fldChar w:fldCharType="separate"/>
        </w:r>
        <w:r>
          <w:rPr>
            <w:noProof/>
            <w:webHidden/>
          </w:rPr>
          <w:t>1182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1" w:history="1">
        <w:r w:rsidRPr="00B80388">
          <w:rPr>
            <w:rStyle w:val="a5"/>
            <w:noProof/>
          </w:rPr>
          <w:t>Title: Information Sciences</w:t>
        </w:r>
        <w:r>
          <w:rPr>
            <w:noProof/>
            <w:webHidden/>
          </w:rPr>
          <w:tab/>
        </w:r>
        <w:r>
          <w:rPr>
            <w:noProof/>
            <w:webHidden/>
          </w:rPr>
          <w:fldChar w:fldCharType="begin"/>
        </w:r>
        <w:r>
          <w:rPr>
            <w:noProof/>
            <w:webHidden/>
          </w:rPr>
          <w:instrText xml:space="preserve"> PAGEREF _Toc317161171 \h </w:instrText>
        </w:r>
        <w:r>
          <w:rPr>
            <w:noProof/>
            <w:webHidden/>
          </w:rPr>
        </w:r>
        <w:r>
          <w:rPr>
            <w:noProof/>
            <w:webHidden/>
          </w:rPr>
          <w:fldChar w:fldCharType="separate"/>
        </w:r>
        <w:r>
          <w:rPr>
            <w:noProof/>
            <w:webHidden/>
          </w:rPr>
          <w:t>1186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2" w:history="1">
        <w:r w:rsidRPr="00B80388">
          <w:rPr>
            <w:rStyle w:val="a5"/>
            <w:noProof/>
          </w:rPr>
          <w:t>Title: Information Scientist</w:t>
        </w:r>
        <w:r>
          <w:rPr>
            <w:noProof/>
            <w:webHidden/>
          </w:rPr>
          <w:tab/>
        </w:r>
        <w:r>
          <w:rPr>
            <w:noProof/>
            <w:webHidden/>
          </w:rPr>
          <w:fldChar w:fldCharType="begin"/>
        </w:r>
        <w:r>
          <w:rPr>
            <w:noProof/>
            <w:webHidden/>
          </w:rPr>
          <w:instrText xml:space="preserve"> PAGEREF _Toc317161172 \h </w:instrText>
        </w:r>
        <w:r>
          <w:rPr>
            <w:noProof/>
            <w:webHidden/>
          </w:rPr>
        </w:r>
        <w:r>
          <w:rPr>
            <w:noProof/>
            <w:webHidden/>
          </w:rPr>
          <w:fldChar w:fldCharType="separate"/>
        </w:r>
        <w:r>
          <w:rPr>
            <w:noProof/>
            <w:webHidden/>
          </w:rPr>
          <w:t>1189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3" w:history="1">
        <w:r w:rsidRPr="00B80388">
          <w:rPr>
            <w:rStyle w:val="a5"/>
            <w:noProof/>
          </w:rPr>
          <w:t>Title: Information Society</w:t>
        </w:r>
        <w:r>
          <w:rPr>
            <w:noProof/>
            <w:webHidden/>
          </w:rPr>
          <w:tab/>
        </w:r>
        <w:r>
          <w:rPr>
            <w:noProof/>
            <w:webHidden/>
          </w:rPr>
          <w:fldChar w:fldCharType="begin"/>
        </w:r>
        <w:r>
          <w:rPr>
            <w:noProof/>
            <w:webHidden/>
          </w:rPr>
          <w:instrText xml:space="preserve"> PAGEREF _Toc317161173 \h </w:instrText>
        </w:r>
        <w:r>
          <w:rPr>
            <w:noProof/>
            <w:webHidden/>
          </w:rPr>
        </w:r>
        <w:r>
          <w:rPr>
            <w:noProof/>
            <w:webHidden/>
          </w:rPr>
          <w:fldChar w:fldCharType="separate"/>
        </w:r>
        <w:r>
          <w:rPr>
            <w:noProof/>
            <w:webHidden/>
          </w:rPr>
          <w:t>1190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4" w:history="1">
        <w:r w:rsidRPr="00B80388">
          <w:rPr>
            <w:rStyle w:val="a5"/>
            <w:noProof/>
          </w:rPr>
          <w:t>Title: Information-An International Interdisciplinary Journal</w:t>
        </w:r>
        <w:r>
          <w:rPr>
            <w:noProof/>
            <w:webHidden/>
          </w:rPr>
          <w:tab/>
        </w:r>
        <w:r>
          <w:rPr>
            <w:noProof/>
            <w:webHidden/>
          </w:rPr>
          <w:fldChar w:fldCharType="begin"/>
        </w:r>
        <w:r>
          <w:rPr>
            <w:noProof/>
            <w:webHidden/>
          </w:rPr>
          <w:instrText xml:space="preserve"> PAGEREF _Toc317161174 \h </w:instrText>
        </w:r>
        <w:r>
          <w:rPr>
            <w:noProof/>
            <w:webHidden/>
          </w:rPr>
        </w:r>
        <w:r>
          <w:rPr>
            <w:noProof/>
            <w:webHidden/>
          </w:rPr>
          <w:fldChar w:fldCharType="separate"/>
        </w:r>
        <w:r>
          <w:rPr>
            <w:noProof/>
            <w:webHidden/>
          </w:rPr>
          <w:t>1191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5" w:history="1">
        <w:r w:rsidRPr="00B80388">
          <w:rPr>
            <w:rStyle w:val="a5"/>
            <w:noProof/>
          </w:rPr>
          <w:t>Title: Information and Software Technology</w:t>
        </w:r>
        <w:r>
          <w:rPr>
            <w:noProof/>
            <w:webHidden/>
          </w:rPr>
          <w:tab/>
        </w:r>
        <w:r>
          <w:rPr>
            <w:noProof/>
            <w:webHidden/>
          </w:rPr>
          <w:fldChar w:fldCharType="begin"/>
        </w:r>
        <w:r>
          <w:rPr>
            <w:noProof/>
            <w:webHidden/>
          </w:rPr>
          <w:instrText xml:space="preserve"> PAGEREF _Toc317161175 \h </w:instrText>
        </w:r>
        <w:r>
          <w:rPr>
            <w:noProof/>
            <w:webHidden/>
          </w:rPr>
        </w:r>
        <w:r>
          <w:rPr>
            <w:noProof/>
            <w:webHidden/>
          </w:rPr>
          <w:fldChar w:fldCharType="separate"/>
        </w:r>
        <w:r>
          <w:rPr>
            <w:noProof/>
            <w:webHidden/>
          </w:rPr>
          <w:t>1194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6" w:history="1">
        <w:r w:rsidRPr="00B80388">
          <w:rPr>
            <w:rStyle w:val="a5"/>
            <w:noProof/>
          </w:rPr>
          <w:t>Title: The Information Society</w:t>
        </w:r>
        <w:r>
          <w:rPr>
            <w:noProof/>
            <w:webHidden/>
          </w:rPr>
          <w:tab/>
        </w:r>
        <w:r>
          <w:rPr>
            <w:noProof/>
            <w:webHidden/>
          </w:rPr>
          <w:fldChar w:fldCharType="begin"/>
        </w:r>
        <w:r>
          <w:rPr>
            <w:noProof/>
            <w:webHidden/>
          </w:rPr>
          <w:instrText xml:space="preserve"> PAGEREF _Toc317161176 \h </w:instrText>
        </w:r>
        <w:r>
          <w:rPr>
            <w:noProof/>
            <w:webHidden/>
          </w:rPr>
        </w:r>
        <w:r>
          <w:rPr>
            <w:noProof/>
            <w:webHidden/>
          </w:rPr>
          <w:fldChar w:fldCharType="separate"/>
        </w:r>
        <w:r>
          <w:rPr>
            <w:noProof/>
            <w:webHidden/>
          </w:rPr>
          <w:t>1198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7" w:history="1">
        <w:r w:rsidRPr="00B80388">
          <w:rPr>
            <w:rStyle w:val="a5"/>
            <w:noProof/>
          </w:rPr>
          <w:t>Title: Information Storage and Retrieval</w:t>
        </w:r>
        <w:r>
          <w:rPr>
            <w:noProof/>
            <w:webHidden/>
          </w:rPr>
          <w:tab/>
        </w:r>
        <w:r>
          <w:rPr>
            <w:noProof/>
            <w:webHidden/>
          </w:rPr>
          <w:fldChar w:fldCharType="begin"/>
        </w:r>
        <w:r>
          <w:rPr>
            <w:noProof/>
            <w:webHidden/>
          </w:rPr>
          <w:instrText xml:space="preserve"> PAGEREF _Toc317161177 \h </w:instrText>
        </w:r>
        <w:r>
          <w:rPr>
            <w:noProof/>
            <w:webHidden/>
          </w:rPr>
        </w:r>
        <w:r>
          <w:rPr>
            <w:noProof/>
            <w:webHidden/>
          </w:rPr>
          <w:fldChar w:fldCharType="separate"/>
        </w:r>
        <w:r>
          <w:rPr>
            <w:noProof/>
            <w:webHidden/>
          </w:rPr>
          <w:t>1199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8" w:history="1">
        <w:r w:rsidRPr="00B80388">
          <w:rPr>
            <w:rStyle w:val="a5"/>
            <w:noProof/>
          </w:rPr>
          <w:t>Title: Information Studies: Theory &amp; Application</w:t>
        </w:r>
        <w:r>
          <w:rPr>
            <w:noProof/>
            <w:webHidden/>
          </w:rPr>
          <w:tab/>
        </w:r>
        <w:r>
          <w:rPr>
            <w:noProof/>
            <w:webHidden/>
          </w:rPr>
          <w:fldChar w:fldCharType="begin"/>
        </w:r>
        <w:r>
          <w:rPr>
            <w:noProof/>
            <w:webHidden/>
          </w:rPr>
          <w:instrText xml:space="preserve"> PAGEREF _Toc317161178 \h </w:instrText>
        </w:r>
        <w:r>
          <w:rPr>
            <w:noProof/>
            <w:webHidden/>
          </w:rPr>
        </w:r>
        <w:r>
          <w:rPr>
            <w:noProof/>
            <w:webHidden/>
          </w:rPr>
          <w:fldChar w:fldCharType="separate"/>
        </w:r>
        <w:r>
          <w:rPr>
            <w:noProof/>
            <w:webHidden/>
          </w:rPr>
          <w:t>1201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79" w:history="1">
        <w:r w:rsidRPr="00B80388">
          <w:rPr>
            <w:rStyle w:val="a5"/>
            <w:noProof/>
          </w:rPr>
          <w:t xml:space="preserve">Title: </w:t>
        </w:r>
        <w:r w:rsidRPr="00B80388">
          <w:rPr>
            <w:rStyle w:val="a5"/>
            <w:iCs/>
            <w:noProof/>
          </w:rPr>
          <w:t>Information Systems in the Changing ERA: Theory and Practice</w:t>
        </w:r>
        <w:r>
          <w:rPr>
            <w:noProof/>
            <w:webHidden/>
          </w:rPr>
          <w:tab/>
        </w:r>
        <w:r>
          <w:rPr>
            <w:noProof/>
            <w:webHidden/>
          </w:rPr>
          <w:fldChar w:fldCharType="begin"/>
        </w:r>
        <w:r>
          <w:rPr>
            <w:noProof/>
            <w:webHidden/>
          </w:rPr>
          <w:instrText xml:space="preserve"> PAGEREF _Toc317161179 \h </w:instrText>
        </w:r>
        <w:r>
          <w:rPr>
            <w:noProof/>
            <w:webHidden/>
          </w:rPr>
        </w:r>
        <w:r>
          <w:rPr>
            <w:noProof/>
            <w:webHidden/>
          </w:rPr>
          <w:fldChar w:fldCharType="separate"/>
        </w:r>
        <w:r>
          <w:rPr>
            <w:noProof/>
            <w:webHidden/>
          </w:rPr>
          <w:t>1202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0" w:history="1">
        <w:r w:rsidRPr="00B80388">
          <w:rPr>
            <w:rStyle w:val="a5"/>
            <w:noProof/>
          </w:rPr>
          <w:t xml:space="preserve">Title: </w:t>
        </w:r>
        <w:r w:rsidRPr="00B80388">
          <w:rPr>
            <w:rStyle w:val="a5"/>
            <w:iCs/>
            <w:noProof/>
          </w:rPr>
          <w:t>Information Systems Management</w:t>
        </w:r>
        <w:r>
          <w:rPr>
            <w:noProof/>
            <w:webHidden/>
          </w:rPr>
          <w:tab/>
        </w:r>
        <w:r>
          <w:rPr>
            <w:noProof/>
            <w:webHidden/>
          </w:rPr>
          <w:fldChar w:fldCharType="begin"/>
        </w:r>
        <w:r>
          <w:rPr>
            <w:noProof/>
            <w:webHidden/>
          </w:rPr>
          <w:instrText xml:space="preserve"> PAGEREF _Toc317161180 \h </w:instrText>
        </w:r>
        <w:r>
          <w:rPr>
            <w:noProof/>
            <w:webHidden/>
          </w:rPr>
        </w:r>
        <w:r>
          <w:rPr>
            <w:noProof/>
            <w:webHidden/>
          </w:rPr>
          <w:fldChar w:fldCharType="separate"/>
        </w:r>
        <w:r>
          <w:rPr>
            <w:noProof/>
            <w:webHidden/>
          </w:rPr>
          <w:t>1203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1" w:history="1">
        <w:r w:rsidRPr="00B80388">
          <w:rPr>
            <w:rStyle w:val="a5"/>
            <w:noProof/>
          </w:rPr>
          <w:t>Title: Information Systems Research</w:t>
        </w:r>
        <w:r>
          <w:rPr>
            <w:noProof/>
            <w:webHidden/>
          </w:rPr>
          <w:tab/>
        </w:r>
        <w:r>
          <w:rPr>
            <w:noProof/>
            <w:webHidden/>
          </w:rPr>
          <w:fldChar w:fldCharType="begin"/>
        </w:r>
        <w:r>
          <w:rPr>
            <w:noProof/>
            <w:webHidden/>
          </w:rPr>
          <w:instrText xml:space="preserve"> PAGEREF _Toc317161181 \h </w:instrText>
        </w:r>
        <w:r>
          <w:rPr>
            <w:noProof/>
            <w:webHidden/>
          </w:rPr>
        </w:r>
        <w:r>
          <w:rPr>
            <w:noProof/>
            <w:webHidden/>
          </w:rPr>
          <w:fldChar w:fldCharType="separate"/>
        </w:r>
        <w:r>
          <w:rPr>
            <w:noProof/>
            <w:webHidden/>
          </w:rPr>
          <w:t>1204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2" w:history="1">
        <w:r w:rsidRPr="00B80388">
          <w:rPr>
            <w:rStyle w:val="a5"/>
            <w:noProof/>
          </w:rPr>
          <w:t>Title: Information Technology and Libraries</w:t>
        </w:r>
        <w:r>
          <w:rPr>
            <w:noProof/>
            <w:webHidden/>
          </w:rPr>
          <w:tab/>
        </w:r>
        <w:r>
          <w:rPr>
            <w:noProof/>
            <w:webHidden/>
          </w:rPr>
          <w:fldChar w:fldCharType="begin"/>
        </w:r>
        <w:r>
          <w:rPr>
            <w:noProof/>
            <w:webHidden/>
          </w:rPr>
          <w:instrText xml:space="preserve"> PAGEREF _Toc317161182 \h </w:instrText>
        </w:r>
        <w:r>
          <w:rPr>
            <w:noProof/>
            <w:webHidden/>
          </w:rPr>
        </w:r>
        <w:r>
          <w:rPr>
            <w:noProof/>
            <w:webHidden/>
          </w:rPr>
          <w:fldChar w:fldCharType="separate"/>
        </w:r>
        <w:r>
          <w:rPr>
            <w:noProof/>
            <w:webHidden/>
          </w:rPr>
          <w:t>1206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3" w:history="1">
        <w:r w:rsidRPr="00B80388">
          <w:rPr>
            <w:rStyle w:val="a5"/>
            <w:noProof/>
          </w:rPr>
          <w:t>Title: Ingenieria Quimica</w:t>
        </w:r>
        <w:r>
          <w:rPr>
            <w:noProof/>
            <w:webHidden/>
          </w:rPr>
          <w:tab/>
        </w:r>
        <w:r>
          <w:rPr>
            <w:noProof/>
            <w:webHidden/>
          </w:rPr>
          <w:fldChar w:fldCharType="begin"/>
        </w:r>
        <w:r>
          <w:rPr>
            <w:noProof/>
            <w:webHidden/>
          </w:rPr>
          <w:instrText xml:space="preserve"> PAGEREF _Toc317161183 \h </w:instrText>
        </w:r>
        <w:r>
          <w:rPr>
            <w:noProof/>
            <w:webHidden/>
          </w:rPr>
        </w:r>
        <w:r>
          <w:rPr>
            <w:noProof/>
            <w:webHidden/>
          </w:rPr>
          <w:fldChar w:fldCharType="separate"/>
        </w:r>
        <w:r>
          <w:rPr>
            <w:noProof/>
            <w:webHidden/>
          </w:rPr>
          <w:t>1208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4" w:history="1">
        <w:r w:rsidRPr="00B80388">
          <w:rPr>
            <w:rStyle w:val="a5"/>
            <w:noProof/>
          </w:rPr>
          <w:t>Title: Inhalation Toxicology</w:t>
        </w:r>
        <w:r>
          <w:rPr>
            <w:noProof/>
            <w:webHidden/>
          </w:rPr>
          <w:tab/>
        </w:r>
        <w:r>
          <w:rPr>
            <w:noProof/>
            <w:webHidden/>
          </w:rPr>
          <w:fldChar w:fldCharType="begin"/>
        </w:r>
        <w:r>
          <w:rPr>
            <w:noProof/>
            <w:webHidden/>
          </w:rPr>
          <w:instrText xml:space="preserve"> PAGEREF _Toc317161184 \h </w:instrText>
        </w:r>
        <w:r>
          <w:rPr>
            <w:noProof/>
            <w:webHidden/>
          </w:rPr>
        </w:r>
        <w:r>
          <w:rPr>
            <w:noProof/>
            <w:webHidden/>
          </w:rPr>
          <w:fldChar w:fldCharType="separate"/>
        </w:r>
        <w:r>
          <w:rPr>
            <w:noProof/>
            <w:webHidden/>
          </w:rPr>
          <w:t>1210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5" w:history="1">
        <w:r w:rsidRPr="00B80388">
          <w:rPr>
            <w:rStyle w:val="a5"/>
            <w:noProof/>
          </w:rPr>
          <w:t xml:space="preserve">Title: </w:t>
        </w:r>
        <w:r w:rsidRPr="00B80388">
          <w:rPr>
            <w:rStyle w:val="a5"/>
            <w:iCs/>
            <w:noProof/>
          </w:rPr>
          <w:t>Injury-International Journal of the Care of the Injured</w:t>
        </w:r>
        <w:r>
          <w:rPr>
            <w:noProof/>
            <w:webHidden/>
          </w:rPr>
          <w:tab/>
        </w:r>
        <w:r>
          <w:rPr>
            <w:noProof/>
            <w:webHidden/>
          </w:rPr>
          <w:fldChar w:fldCharType="begin"/>
        </w:r>
        <w:r>
          <w:rPr>
            <w:noProof/>
            <w:webHidden/>
          </w:rPr>
          <w:instrText xml:space="preserve"> PAGEREF _Toc317161185 \h </w:instrText>
        </w:r>
        <w:r>
          <w:rPr>
            <w:noProof/>
            <w:webHidden/>
          </w:rPr>
        </w:r>
        <w:r>
          <w:rPr>
            <w:noProof/>
            <w:webHidden/>
          </w:rPr>
          <w:fldChar w:fldCharType="separate"/>
        </w:r>
        <w:r>
          <w:rPr>
            <w:noProof/>
            <w:webHidden/>
          </w:rPr>
          <w:t>1212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6" w:history="1">
        <w:r w:rsidRPr="00B80388">
          <w:rPr>
            <w:rStyle w:val="a5"/>
            <w:noProof/>
          </w:rPr>
          <w:t xml:space="preserve">Title: </w:t>
        </w:r>
        <w:r w:rsidRPr="00B80388">
          <w:rPr>
            <w:rStyle w:val="a5"/>
            <w:iCs/>
            <w:noProof/>
          </w:rPr>
          <w:t>Injury Prevention</w:t>
        </w:r>
        <w:r>
          <w:rPr>
            <w:noProof/>
            <w:webHidden/>
          </w:rPr>
          <w:tab/>
        </w:r>
        <w:r>
          <w:rPr>
            <w:noProof/>
            <w:webHidden/>
          </w:rPr>
          <w:fldChar w:fldCharType="begin"/>
        </w:r>
        <w:r>
          <w:rPr>
            <w:noProof/>
            <w:webHidden/>
          </w:rPr>
          <w:instrText xml:space="preserve"> PAGEREF _Toc317161186 \h </w:instrText>
        </w:r>
        <w:r>
          <w:rPr>
            <w:noProof/>
            <w:webHidden/>
          </w:rPr>
        </w:r>
        <w:r>
          <w:rPr>
            <w:noProof/>
            <w:webHidden/>
          </w:rPr>
          <w:fldChar w:fldCharType="separate"/>
        </w:r>
        <w:r>
          <w:rPr>
            <w:noProof/>
            <w:webHidden/>
          </w:rPr>
          <w:t>1214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7" w:history="1">
        <w:r w:rsidRPr="00B80388">
          <w:rPr>
            <w:rStyle w:val="a5"/>
            <w:noProof/>
          </w:rPr>
          <w:t xml:space="preserve">Title: </w:t>
        </w:r>
        <w:r w:rsidRPr="00B80388">
          <w:rPr>
            <w:rStyle w:val="a5"/>
            <w:iCs/>
            <w:noProof/>
          </w:rPr>
          <w:t>Innovation-Management Policy &amp; Practice</w:t>
        </w:r>
        <w:r>
          <w:rPr>
            <w:noProof/>
            <w:webHidden/>
          </w:rPr>
          <w:tab/>
        </w:r>
        <w:r>
          <w:rPr>
            <w:noProof/>
            <w:webHidden/>
          </w:rPr>
          <w:fldChar w:fldCharType="begin"/>
        </w:r>
        <w:r>
          <w:rPr>
            <w:noProof/>
            <w:webHidden/>
          </w:rPr>
          <w:instrText xml:space="preserve"> PAGEREF _Toc317161187 \h </w:instrText>
        </w:r>
        <w:r>
          <w:rPr>
            <w:noProof/>
            <w:webHidden/>
          </w:rPr>
        </w:r>
        <w:r>
          <w:rPr>
            <w:noProof/>
            <w:webHidden/>
          </w:rPr>
          <w:fldChar w:fldCharType="separate"/>
        </w:r>
        <w:r>
          <w:rPr>
            <w:noProof/>
            <w:webHidden/>
          </w:rPr>
          <w:t>1218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8" w:history="1">
        <w:r w:rsidRPr="00B80388">
          <w:rPr>
            <w:rStyle w:val="a5"/>
            <w:noProof/>
          </w:rPr>
          <w:t>Title: Innovation Policy and the Economy</w:t>
        </w:r>
        <w:r>
          <w:rPr>
            <w:noProof/>
            <w:webHidden/>
          </w:rPr>
          <w:tab/>
        </w:r>
        <w:r>
          <w:rPr>
            <w:noProof/>
            <w:webHidden/>
          </w:rPr>
          <w:fldChar w:fldCharType="begin"/>
        </w:r>
        <w:r>
          <w:rPr>
            <w:noProof/>
            <w:webHidden/>
          </w:rPr>
          <w:instrText xml:space="preserve"> PAGEREF _Toc317161188 \h </w:instrText>
        </w:r>
        <w:r>
          <w:rPr>
            <w:noProof/>
            <w:webHidden/>
          </w:rPr>
        </w:r>
        <w:r>
          <w:rPr>
            <w:noProof/>
            <w:webHidden/>
          </w:rPr>
          <w:fldChar w:fldCharType="separate"/>
        </w:r>
        <w:r>
          <w:rPr>
            <w:noProof/>
            <w:webHidden/>
          </w:rPr>
          <w:t>1219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89" w:history="1">
        <w:r w:rsidRPr="00B80388">
          <w:rPr>
            <w:rStyle w:val="a5"/>
            <w:noProof/>
          </w:rPr>
          <w:t xml:space="preserve">Title: </w:t>
        </w:r>
        <w:r w:rsidRPr="00B80388">
          <w:rPr>
            <w:rStyle w:val="a5"/>
            <w:iCs/>
            <w:noProof/>
          </w:rPr>
          <w:t>Innovations in Education and Teaching International</w:t>
        </w:r>
        <w:r>
          <w:rPr>
            <w:noProof/>
            <w:webHidden/>
          </w:rPr>
          <w:tab/>
        </w:r>
        <w:r>
          <w:rPr>
            <w:noProof/>
            <w:webHidden/>
          </w:rPr>
          <w:fldChar w:fldCharType="begin"/>
        </w:r>
        <w:r>
          <w:rPr>
            <w:noProof/>
            <w:webHidden/>
          </w:rPr>
          <w:instrText xml:space="preserve"> PAGEREF _Toc317161189 \h </w:instrText>
        </w:r>
        <w:r>
          <w:rPr>
            <w:noProof/>
            <w:webHidden/>
          </w:rPr>
        </w:r>
        <w:r>
          <w:rPr>
            <w:noProof/>
            <w:webHidden/>
          </w:rPr>
          <w:fldChar w:fldCharType="separate"/>
        </w:r>
        <w:r>
          <w:rPr>
            <w:noProof/>
            <w:webHidden/>
          </w:rPr>
          <w:t>1221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0" w:history="1">
        <w:r w:rsidRPr="00B80388">
          <w:rPr>
            <w:rStyle w:val="a5"/>
            <w:noProof/>
          </w:rPr>
          <w:t>Title: Inorganic Chemistry</w:t>
        </w:r>
        <w:r>
          <w:rPr>
            <w:noProof/>
            <w:webHidden/>
          </w:rPr>
          <w:tab/>
        </w:r>
        <w:r>
          <w:rPr>
            <w:noProof/>
            <w:webHidden/>
          </w:rPr>
          <w:fldChar w:fldCharType="begin"/>
        </w:r>
        <w:r>
          <w:rPr>
            <w:noProof/>
            <w:webHidden/>
          </w:rPr>
          <w:instrText xml:space="preserve"> PAGEREF _Toc317161190 \h </w:instrText>
        </w:r>
        <w:r>
          <w:rPr>
            <w:noProof/>
            <w:webHidden/>
          </w:rPr>
        </w:r>
        <w:r>
          <w:rPr>
            <w:noProof/>
            <w:webHidden/>
          </w:rPr>
          <w:fldChar w:fldCharType="separate"/>
        </w:r>
        <w:r>
          <w:rPr>
            <w:noProof/>
            <w:webHidden/>
          </w:rPr>
          <w:t>1222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1" w:history="1">
        <w:r w:rsidRPr="00B80388">
          <w:rPr>
            <w:rStyle w:val="a5"/>
            <w:noProof/>
          </w:rPr>
          <w:t xml:space="preserve">Title: </w:t>
        </w:r>
        <w:r w:rsidRPr="00B80388">
          <w:rPr>
            <w:rStyle w:val="a5"/>
            <w:iCs/>
            <w:noProof/>
          </w:rPr>
          <w:t>Inorganic Chemistry Communications</w:t>
        </w:r>
        <w:r>
          <w:rPr>
            <w:noProof/>
            <w:webHidden/>
          </w:rPr>
          <w:tab/>
        </w:r>
        <w:r>
          <w:rPr>
            <w:noProof/>
            <w:webHidden/>
          </w:rPr>
          <w:fldChar w:fldCharType="begin"/>
        </w:r>
        <w:r>
          <w:rPr>
            <w:noProof/>
            <w:webHidden/>
          </w:rPr>
          <w:instrText xml:space="preserve"> PAGEREF _Toc317161191 \h </w:instrText>
        </w:r>
        <w:r>
          <w:rPr>
            <w:noProof/>
            <w:webHidden/>
          </w:rPr>
        </w:r>
        <w:r>
          <w:rPr>
            <w:noProof/>
            <w:webHidden/>
          </w:rPr>
          <w:fldChar w:fldCharType="separate"/>
        </w:r>
        <w:r>
          <w:rPr>
            <w:noProof/>
            <w:webHidden/>
          </w:rPr>
          <w:t>1223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2" w:history="1">
        <w:r w:rsidRPr="00B80388">
          <w:rPr>
            <w:rStyle w:val="a5"/>
            <w:noProof/>
          </w:rPr>
          <w:t>Title: Inorganic Chemistry and the Earth, Chemical Resources, their extraction, Use and Environmental Impact</w:t>
        </w:r>
        <w:r>
          <w:rPr>
            <w:noProof/>
            <w:webHidden/>
          </w:rPr>
          <w:tab/>
        </w:r>
        <w:r>
          <w:rPr>
            <w:noProof/>
            <w:webHidden/>
          </w:rPr>
          <w:fldChar w:fldCharType="begin"/>
        </w:r>
        <w:r>
          <w:rPr>
            <w:noProof/>
            <w:webHidden/>
          </w:rPr>
          <w:instrText xml:space="preserve"> PAGEREF _Toc317161192 \h </w:instrText>
        </w:r>
        <w:r>
          <w:rPr>
            <w:noProof/>
            <w:webHidden/>
          </w:rPr>
        </w:r>
        <w:r>
          <w:rPr>
            <w:noProof/>
            <w:webHidden/>
          </w:rPr>
          <w:fldChar w:fldCharType="separate"/>
        </w:r>
        <w:r>
          <w:rPr>
            <w:noProof/>
            <w:webHidden/>
          </w:rPr>
          <w:t>1224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3" w:history="1">
        <w:r w:rsidRPr="00B80388">
          <w:rPr>
            <w:rStyle w:val="a5"/>
            <w:noProof/>
          </w:rPr>
          <w:t>Title: Inorganica Chimica Acta</w:t>
        </w:r>
        <w:r>
          <w:rPr>
            <w:noProof/>
            <w:webHidden/>
          </w:rPr>
          <w:tab/>
        </w:r>
        <w:r>
          <w:rPr>
            <w:noProof/>
            <w:webHidden/>
          </w:rPr>
          <w:fldChar w:fldCharType="begin"/>
        </w:r>
        <w:r>
          <w:rPr>
            <w:noProof/>
            <w:webHidden/>
          </w:rPr>
          <w:instrText xml:space="preserve"> PAGEREF _Toc317161193 \h </w:instrText>
        </w:r>
        <w:r>
          <w:rPr>
            <w:noProof/>
            <w:webHidden/>
          </w:rPr>
        </w:r>
        <w:r>
          <w:rPr>
            <w:noProof/>
            <w:webHidden/>
          </w:rPr>
          <w:fldChar w:fldCharType="separate"/>
        </w:r>
        <w:r>
          <w:rPr>
            <w:noProof/>
            <w:webHidden/>
          </w:rPr>
          <w:t>1225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4" w:history="1">
        <w:r w:rsidRPr="00B80388">
          <w:rPr>
            <w:rStyle w:val="a5"/>
            <w:noProof/>
          </w:rPr>
          <w:t>Title: Inorganica Chimica Acta-Bioinorganic Chemistry</w:t>
        </w:r>
        <w:r>
          <w:rPr>
            <w:noProof/>
            <w:webHidden/>
          </w:rPr>
          <w:tab/>
        </w:r>
        <w:r>
          <w:rPr>
            <w:noProof/>
            <w:webHidden/>
          </w:rPr>
          <w:fldChar w:fldCharType="begin"/>
        </w:r>
        <w:r>
          <w:rPr>
            <w:noProof/>
            <w:webHidden/>
          </w:rPr>
          <w:instrText xml:space="preserve"> PAGEREF _Toc317161194 \h </w:instrText>
        </w:r>
        <w:r>
          <w:rPr>
            <w:noProof/>
            <w:webHidden/>
          </w:rPr>
        </w:r>
        <w:r>
          <w:rPr>
            <w:noProof/>
            <w:webHidden/>
          </w:rPr>
          <w:fldChar w:fldCharType="separate"/>
        </w:r>
        <w:r>
          <w:rPr>
            <w:noProof/>
            <w:webHidden/>
          </w:rPr>
          <w:t>1228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5" w:history="1">
        <w:r w:rsidRPr="00B80388">
          <w:rPr>
            <w:rStyle w:val="a5"/>
            <w:noProof/>
          </w:rPr>
          <w:t>Title: Insect Science and Its Application</w:t>
        </w:r>
        <w:r>
          <w:rPr>
            <w:noProof/>
            <w:webHidden/>
          </w:rPr>
          <w:tab/>
        </w:r>
        <w:r>
          <w:rPr>
            <w:noProof/>
            <w:webHidden/>
          </w:rPr>
          <w:fldChar w:fldCharType="begin"/>
        </w:r>
        <w:r>
          <w:rPr>
            <w:noProof/>
            <w:webHidden/>
          </w:rPr>
          <w:instrText xml:space="preserve"> PAGEREF _Toc317161195 \h </w:instrText>
        </w:r>
        <w:r>
          <w:rPr>
            <w:noProof/>
            <w:webHidden/>
          </w:rPr>
        </w:r>
        <w:r>
          <w:rPr>
            <w:noProof/>
            <w:webHidden/>
          </w:rPr>
          <w:fldChar w:fldCharType="separate"/>
        </w:r>
        <w:r>
          <w:rPr>
            <w:noProof/>
            <w:webHidden/>
          </w:rPr>
          <w:t>1229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6" w:history="1">
        <w:r w:rsidRPr="00B80388">
          <w:rPr>
            <w:rStyle w:val="a5"/>
            <w:noProof/>
          </w:rPr>
          <w:t>Title: Institue of Chemical Engineering Research Event-European Conference Young Research Chemical Engineering, 1st</w:t>
        </w:r>
        <w:r>
          <w:rPr>
            <w:noProof/>
            <w:webHidden/>
          </w:rPr>
          <w:tab/>
        </w:r>
        <w:r>
          <w:rPr>
            <w:noProof/>
            <w:webHidden/>
          </w:rPr>
          <w:fldChar w:fldCharType="begin"/>
        </w:r>
        <w:r>
          <w:rPr>
            <w:noProof/>
            <w:webHidden/>
          </w:rPr>
          <w:instrText xml:space="preserve"> PAGEREF _Toc317161196 \h </w:instrText>
        </w:r>
        <w:r>
          <w:rPr>
            <w:noProof/>
            <w:webHidden/>
          </w:rPr>
        </w:r>
        <w:r>
          <w:rPr>
            <w:noProof/>
            <w:webHidden/>
          </w:rPr>
          <w:fldChar w:fldCharType="separate"/>
        </w:r>
        <w:r>
          <w:rPr>
            <w:noProof/>
            <w:webHidden/>
          </w:rPr>
          <w:t>1231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7" w:history="1">
        <w:r w:rsidRPr="00B80388">
          <w:rPr>
            <w:rStyle w:val="a5"/>
            <w:noProof/>
          </w:rPr>
          <w:t>Title: Institution of Chemical Engineers. Symposium Series: Use of Energy in Northern Ireland, Belfast</w:t>
        </w:r>
        <w:r>
          <w:rPr>
            <w:noProof/>
            <w:webHidden/>
          </w:rPr>
          <w:tab/>
        </w:r>
        <w:r>
          <w:rPr>
            <w:noProof/>
            <w:webHidden/>
          </w:rPr>
          <w:fldChar w:fldCharType="begin"/>
        </w:r>
        <w:r>
          <w:rPr>
            <w:noProof/>
            <w:webHidden/>
          </w:rPr>
          <w:instrText xml:space="preserve"> PAGEREF _Toc317161197 \h </w:instrText>
        </w:r>
        <w:r>
          <w:rPr>
            <w:noProof/>
            <w:webHidden/>
          </w:rPr>
        </w:r>
        <w:r>
          <w:rPr>
            <w:noProof/>
            <w:webHidden/>
          </w:rPr>
          <w:fldChar w:fldCharType="separate"/>
        </w:r>
        <w:r>
          <w:rPr>
            <w:noProof/>
            <w:webHidden/>
          </w:rPr>
          <w:t>1232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8" w:history="1">
        <w:r w:rsidRPr="00B80388">
          <w:rPr>
            <w:rStyle w:val="a5"/>
            <w:noProof/>
          </w:rPr>
          <w:t>Title: Insula-Revista de Letras y Ciencias Humanas</w:t>
        </w:r>
        <w:r>
          <w:rPr>
            <w:noProof/>
            <w:webHidden/>
          </w:rPr>
          <w:tab/>
        </w:r>
        <w:r>
          <w:rPr>
            <w:noProof/>
            <w:webHidden/>
          </w:rPr>
          <w:fldChar w:fldCharType="begin"/>
        </w:r>
        <w:r>
          <w:rPr>
            <w:noProof/>
            <w:webHidden/>
          </w:rPr>
          <w:instrText xml:space="preserve"> PAGEREF _Toc317161198 \h </w:instrText>
        </w:r>
        <w:r>
          <w:rPr>
            <w:noProof/>
            <w:webHidden/>
          </w:rPr>
        </w:r>
        <w:r>
          <w:rPr>
            <w:noProof/>
            <w:webHidden/>
          </w:rPr>
          <w:fldChar w:fldCharType="separate"/>
        </w:r>
        <w:r>
          <w:rPr>
            <w:noProof/>
            <w:webHidden/>
          </w:rPr>
          <w:t>1233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199" w:history="1">
        <w:r w:rsidRPr="00B80388">
          <w:rPr>
            <w:rStyle w:val="a5"/>
            <w:noProof/>
          </w:rPr>
          <w:t xml:space="preserve">Title: </w:t>
        </w:r>
        <w:r w:rsidRPr="00B80388">
          <w:rPr>
            <w:rStyle w:val="a5"/>
            <w:iCs/>
            <w:noProof/>
          </w:rPr>
          <w:t>InTech</w:t>
        </w:r>
        <w:r>
          <w:rPr>
            <w:noProof/>
            <w:webHidden/>
          </w:rPr>
          <w:tab/>
        </w:r>
        <w:r>
          <w:rPr>
            <w:noProof/>
            <w:webHidden/>
          </w:rPr>
          <w:fldChar w:fldCharType="begin"/>
        </w:r>
        <w:r>
          <w:rPr>
            <w:noProof/>
            <w:webHidden/>
          </w:rPr>
          <w:instrText xml:space="preserve"> PAGEREF _Toc317161199 \h </w:instrText>
        </w:r>
        <w:r>
          <w:rPr>
            <w:noProof/>
            <w:webHidden/>
          </w:rPr>
        </w:r>
        <w:r>
          <w:rPr>
            <w:noProof/>
            <w:webHidden/>
          </w:rPr>
          <w:fldChar w:fldCharType="separate"/>
        </w:r>
        <w:r>
          <w:rPr>
            <w:noProof/>
            <w:webHidden/>
          </w:rPr>
          <w:t>1234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0" w:history="1">
        <w:r w:rsidRPr="00B80388">
          <w:rPr>
            <w:rStyle w:val="a5"/>
            <w:noProof/>
          </w:rPr>
          <w:t xml:space="preserve">Title: </w:t>
        </w:r>
        <w:r w:rsidRPr="00B80388">
          <w:rPr>
            <w:rStyle w:val="a5"/>
            <w:iCs/>
            <w:noProof/>
          </w:rPr>
          <w:t>Intellect</w:t>
        </w:r>
        <w:r>
          <w:rPr>
            <w:noProof/>
            <w:webHidden/>
          </w:rPr>
          <w:tab/>
        </w:r>
        <w:r>
          <w:rPr>
            <w:noProof/>
            <w:webHidden/>
          </w:rPr>
          <w:fldChar w:fldCharType="begin"/>
        </w:r>
        <w:r>
          <w:rPr>
            <w:noProof/>
            <w:webHidden/>
          </w:rPr>
          <w:instrText xml:space="preserve"> PAGEREF _Toc317161200 \h </w:instrText>
        </w:r>
        <w:r>
          <w:rPr>
            <w:noProof/>
            <w:webHidden/>
          </w:rPr>
        </w:r>
        <w:r>
          <w:rPr>
            <w:noProof/>
            <w:webHidden/>
          </w:rPr>
          <w:fldChar w:fldCharType="separate"/>
        </w:r>
        <w:r>
          <w:rPr>
            <w:noProof/>
            <w:webHidden/>
          </w:rPr>
          <w:t>1235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1" w:history="1">
        <w:r w:rsidRPr="00B80388">
          <w:rPr>
            <w:rStyle w:val="a5"/>
            <w:noProof/>
          </w:rPr>
          <w:t xml:space="preserve">Title: </w:t>
        </w:r>
        <w:r w:rsidRPr="00B80388">
          <w:rPr>
            <w:rStyle w:val="a5"/>
            <w:iCs/>
            <w:noProof/>
          </w:rPr>
          <w:t>Intelligence</w:t>
        </w:r>
        <w:r>
          <w:rPr>
            <w:noProof/>
            <w:webHidden/>
          </w:rPr>
          <w:tab/>
        </w:r>
        <w:r>
          <w:rPr>
            <w:noProof/>
            <w:webHidden/>
          </w:rPr>
          <w:fldChar w:fldCharType="begin"/>
        </w:r>
        <w:r>
          <w:rPr>
            <w:noProof/>
            <w:webHidden/>
          </w:rPr>
          <w:instrText xml:space="preserve"> PAGEREF _Toc317161201 \h </w:instrText>
        </w:r>
        <w:r>
          <w:rPr>
            <w:noProof/>
            <w:webHidden/>
          </w:rPr>
        </w:r>
        <w:r>
          <w:rPr>
            <w:noProof/>
            <w:webHidden/>
          </w:rPr>
          <w:fldChar w:fldCharType="separate"/>
        </w:r>
        <w:r>
          <w:rPr>
            <w:noProof/>
            <w:webHidden/>
          </w:rPr>
          <w:t>1236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2" w:history="1">
        <w:r w:rsidRPr="00B80388">
          <w:rPr>
            <w:rStyle w:val="a5"/>
            <w:noProof/>
          </w:rPr>
          <w:t xml:space="preserve">Title: </w:t>
        </w:r>
        <w:r w:rsidRPr="00B80388">
          <w:rPr>
            <w:rStyle w:val="a5"/>
            <w:iCs/>
            <w:noProof/>
          </w:rPr>
          <w:t>Intelligence and Security Informatics</w:t>
        </w:r>
        <w:r>
          <w:rPr>
            <w:noProof/>
            <w:webHidden/>
          </w:rPr>
          <w:tab/>
        </w:r>
        <w:r>
          <w:rPr>
            <w:noProof/>
            <w:webHidden/>
          </w:rPr>
          <w:fldChar w:fldCharType="begin"/>
        </w:r>
        <w:r>
          <w:rPr>
            <w:noProof/>
            <w:webHidden/>
          </w:rPr>
          <w:instrText xml:space="preserve"> PAGEREF _Toc317161202 \h </w:instrText>
        </w:r>
        <w:r>
          <w:rPr>
            <w:noProof/>
            <w:webHidden/>
          </w:rPr>
        </w:r>
        <w:r>
          <w:rPr>
            <w:noProof/>
            <w:webHidden/>
          </w:rPr>
          <w:fldChar w:fldCharType="separate"/>
        </w:r>
        <w:r>
          <w:rPr>
            <w:noProof/>
            <w:webHidden/>
          </w:rPr>
          <w:t>1237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3" w:history="1">
        <w:r w:rsidRPr="00B80388">
          <w:rPr>
            <w:rStyle w:val="a5"/>
            <w:noProof/>
          </w:rPr>
          <w:t xml:space="preserve">Title: </w:t>
        </w:r>
        <w:r w:rsidRPr="00B80388">
          <w:rPr>
            <w:rStyle w:val="a5"/>
            <w:iCs/>
            <w:noProof/>
          </w:rPr>
          <w:t>Intensive Care Medicine</w:t>
        </w:r>
        <w:r>
          <w:rPr>
            <w:noProof/>
            <w:webHidden/>
          </w:rPr>
          <w:tab/>
        </w:r>
        <w:r>
          <w:rPr>
            <w:noProof/>
            <w:webHidden/>
          </w:rPr>
          <w:fldChar w:fldCharType="begin"/>
        </w:r>
        <w:r>
          <w:rPr>
            <w:noProof/>
            <w:webHidden/>
          </w:rPr>
          <w:instrText xml:space="preserve"> PAGEREF _Toc317161203 \h </w:instrText>
        </w:r>
        <w:r>
          <w:rPr>
            <w:noProof/>
            <w:webHidden/>
          </w:rPr>
        </w:r>
        <w:r>
          <w:rPr>
            <w:noProof/>
            <w:webHidden/>
          </w:rPr>
          <w:fldChar w:fldCharType="separate"/>
        </w:r>
        <w:r>
          <w:rPr>
            <w:noProof/>
            <w:webHidden/>
          </w:rPr>
          <w:t>1238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4" w:history="1">
        <w:r w:rsidRPr="00B80388">
          <w:rPr>
            <w:rStyle w:val="a5"/>
            <w:noProof/>
          </w:rPr>
          <w:t xml:space="preserve">Title: </w:t>
        </w:r>
        <w:r w:rsidRPr="00B80388">
          <w:rPr>
            <w:rStyle w:val="a5"/>
            <w:iCs/>
            <w:noProof/>
          </w:rPr>
          <w:t>Inter-Asia Cultural Studies</w:t>
        </w:r>
        <w:r>
          <w:rPr>
            <w:noProof/>
            <w:webHidden/>
          </w:rPr>
          <w:tab/>
        </w:r>
        <w:r>
          <w:rPr>
            <w:noProof/>
            <w:webHidden/>
          </w:rPr>
          <w:fldChar w:fldCharType="begin"/>
        </w:r>
        <w:r>
          <w:rPr>
            <w:noProof/>
            <w:webHidden/>
          </w:rPr>
          <w:instrText xml:space="preserve"> PAGEREF _Toc317161204 \h </w:instrText>
        </w:r>
        <w:r>
          <w:rPr>
            <w:noProof/>
            <w:webHidden/>
          </w:rPr>
        </w:r>
        <w:r>
          <w:rPr>
            <w:noProof/>
            <w:webHidden/>
          </w:rPr>
          <w:fldChar w:fldCharType="separate"/>
        </w:r>
        <w:r>
          <w:rPr>
            <w:noProof/>
            <w:webHidden/>
          </w:rPr>
          <w:t>1240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5" w:history="1">
        <w:r w:rsidRPr="00B80388">
          <w:rPr>
            <w:rStyle w:val="a5"/>
            <w:noProof/>
          </w:rPr>
          <w:t>Title: Interciencia</w:t>
        </w:r>
        <w:r>
          <w:rPr>
            <w:noProof/>
            <w:webHidden/>
          </w:rPr>
          <w:tab/>
        </w:r>
        <w:r>
          <w:rPr>
            <w:noProof/>
            <w:webHidden/>
          </w:rPr>
          <w:fldChar w:fldCharType="begin"/>
        </w:r>
        <w:r>
          <w:rPr>
            <w:noProof/>
            <w:webHidden/>
          </w:rPr>
          <w:instrText xml:space="preserve"> PAGEREF _Toc317161205 \h </w:instrText>
        </w:r>
        <w:r>
          <w:rPr>
            <w:noProof/>
            <w:webHidden/>
          </w:rPr>
        </w:r>
        <w:r>
          <w:rPr>
            <w:noProof/>
            <w:webHidden/>
          </w:rPr>
          <w:fldChar w:fldCharType="separate"/>
        </w:r>
        <w:r>
          <w:rPr>
            <w:noProof/>
            <w:webHidden/>
          </w:rPr>
          <w:t>1241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6" w:history="1">
        <w:r w:rsidRPr="00B80388">
          <w:rPr>
            <w:rStyle w:val="a5"/>
            <w:noProof/>
          </w:rPr>
          <w:t>Title: Interdisciplinary Science Reviews</w:t>
        </w:r>
        <w:r>
          <w:rPr>
            <w:noProof/>
            <w:webHidden/>
          </w:rPr>
          <w:tab/>
        </w:r>
        <w:r>
          <w:rPr>
            <w:noProof/>
            <w:webHidden/>
          </w:rPr>
          <w:fldChar w:fldCharType="begin"/>
        </w:r>
        <w:r>
          <w:rPr>
            <w:noProof/>
            <w:webHidden/>
          </w:rPr>
          <w:instrText xml:space="preserve"> PAGEREF _Toc317161206 \h </w:instrText>
        </w:r>
        <w:r>
          <w:rPr>
            <w:noProof/>
            <w:webHidden/>
          </w:rPr>
        </w:r>
        <w:r>
          <w:rPr>
            <w:noProof/>
            <w:webHidden/>
          </w:rPr>
          <w:fldChar w:fldCharType="separate"/>
        </w:r>
        <w:r>
          <w:rPr>
            <w:noProof/>
            <w:webHidden/>
          </w:rPr>
          <w:t>1252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7" w:history="1">
        <w:r w:rsidRPr="00B80388">
          <w:rPr>
            <w:rStyle w:val="a5"/>
            <w:noProof/>
          </w:rPr>
          <w:t>Title: Interfaces</w:t>
        </w:r>
        <w:r>
          <w:rPr>
            <w:noProof/>
            <w:webHidden/>
          </w:rPr>
          <w:tab/>
        </w:r>
        <w:r>
          <w:rPr>
            <w:noProof/>
            <w:webHidden/>
          </w:rPr>
          <w:fldChar w:fldCharType="begin"/>
        </w:r>
        <w:r>
          <w:rPr>
            <w:noProof/>
            <w:webHidden/>
          </w:rPr>
          <w:instrText xml:space="preserve"> PAGEREF _Toc317161207 \h </w:instrText>
        </w:r>
        <w:r>
          <w:rPr>
            <w:noProof/>
            <w:webHidden/>
          </w:rPr>
        </w:r>
        <w:r>
          <w:rPr>
            <w:noProof/>
            <w:webHidden/>
          </w:rPr>
          <w:fldChar w:fldCharType="separate"/>
        </w:r>
        <w:r>
          <w:rPr>
            <w:noProof/>
            <w:webHidden/>
          </w:rPr>
          <w:t>1254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8" w:history="1">
        <w:r w:rsidRPr="00B80388">
          <w:rPr>
            <w:rStyle w:val="a5"/>
            <w:noProof/>
          </w:rPr>
          <w:t>Title: Interlending &amp; Document Supply</w:t>
        </w:r>
        <w:r>
          <w:rPr>
            <w:noProof/>
            <w:webHidden/>
          </w:rPr>
          <w:tab/>
        </w:r>
        <w:r>
          <w:rPr>
            <w:noProof/>
            <w:webHidden/>
          </w:rPr>
          <w:fldChar w:fldCharType="begin"/>
        </w:r>
        <w:r>
          <w:rPr>
            <w:noProof/>
            <w:webHidden/>
          </w:rPr>
          <w:instrText xml:space="preserve"> PAGEREF _Toc317161208 \h </w:instrText>
        </w:r>
        <w:r>
          <w:rPr>
            <w:noProof/>
            <w:webHidden/>
          </w:rPr>
        </w:r>
        <w:r>
          <w:rPr>
            <w:noProof/>
            <w:webHidden/>
          </w:rPr>
          <w:fldChar w:fldCharType="separate"/>
        </w:r>
        <w:r>
          <w:rPr>
            <w:noProof/>
            <w:webHidden/>
          </w:rPr>
          <w:t>1256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09" w:history="1">
        <w:r w:rsidRPr="00B80388">
          <w:rPr>
            <w:rStyle w:val="a5"/>
            <w:noProof/>
          </w:rPr>
          <w:t>Title: Internal Medicine</w:t>
        </w:r>
        <w:r>
          <w:rPr>
            <w:noProof/>
            <w:webHidden/>
          </w:rPr>
          <w:tab/>
        </w:r>
        <w:r>
          <w:rPr>
            <w:noProof/>
            <w:webHidden/>
          </w:rPr>
          <w:fldChar w:fldCharType="begin"/>
        </w:r>
        <w:r>
          <w:rPr>
            <w:noProof/>
            <w:webHidden/>
          </w:rPr>
          <w:instrText xml:space="preserve"> PAGEREF _Toc317161209 \h </w:instrText>
        </w:r>
        <w:r>
          <w:rPr>
            <w:noProof/>
            <w:webHidden/>
          </w:rPr>
        </w:r>
        <w:r>
          <w:rPr>
            <w:noProof/>
            <w:webHidden/>
          </w:rPr>
          <w:fldChar w:fldCharType="separate"/>
        </w:r>
        <w:r>
          <w:rPr>
            <w:noProof/>
            <w:webHidden/>
          </w:rPr>
          <w:t>1260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0" w:history="1">
        <w:r w:rsidRPr="00B80388">
          <w:rPr>
            <w:rStyle w:val="a5"/>
            <w:noProof/>
          </w:rPr>
          <w:t xml:space="preserve">Title: </w:t>
        </w:r>
        <w:r w:rsidRPr="00B80388">
          <w:rPr>
            <w:rStyle w:val="a5"/>
            <w:iCs/>
            <w:noProof/>
          </w:rPr>
          <w:t>Internal Medicine Journal</w:t>
        </w:r>
        <w:r>
          <w:rPr>
            <w:noProof/>
            <w:webHidden/>
          </w:rPr>
          <w:tab/>
        </w:r>
        <w:r>
          <w:rPr>
            <w:noProof/>
            <w:webHidden/>
          </w:rPr>
          <w:fldChar w:fldCharType="begin"/>
        </w:r>
        <w:r>
          <w:rPr>
            <w:noProof/>
            <w:webHidden/>
          </w:rPr>
          <w:instrText xml:space="preserve"> PAGEREF _Toc317161210 \h </w:instrText>
        </w:r>
        <w:r>
          <w:rPr>
            <w:noProof/>
            <w:webHidden/>
          </w:rPr>
        </w:r>
        <w:r>
          <w:rPr>
            <w:noProof/>
            <w:webHidden/>
          </w:rPr>
          <w:fldChar w:fldCharType="separate"/>
        </w:r>
        <w:r>
          <w:rPr>
            <w:noProof/>
            <w:webHidden/>
          </w:rPr>
          <w:t>1264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1" w:history="1">
        <w:r w:rsidRPr="00B80388">
          <w:rPr>
            <w:rStyle w:val="a5"/>
            <w:noProof/>
          </w:rPr>
          <w:t>Title: International Applied Mechanics</w:t>
        </w:r>
        <w:r>
          <w:rPr>
            <w:noProof/>
            <w:webHidden/>
          </w:rPr>
          <w:tab/>
        </w:r>
        <w:r>
          <w:rPr>
            <w:noProof/>
            <w:webHidden/>
          </w:rPr>
          <w:fldChar w:fldCharType="begin"/>
        </w:r>
        <w:r>
          <w:rPr>
            <w:noProof/>
            <w:webHidden/>
          </w:rPr>
          <w:instrText xml:space="preserve"> PAGEREF _Toc317161211 \h </w:instrText>
        </w:r>
        <w:r>
          <w:rPr>
            <w:noProof/>
            <w:webHidden/>
          </w:rPr>
        </w:r>
        <w:r>
          <w:rPr>
            <w:noProof/>
            <w:webHidden/>
          </w:rPr>
          <w:fldChar w:fldCharType="separate"/>
        </w:r>
        <w:r>
          <w:rPr>
            <w:noProof/>
            <w:webHidden/>
          </w:rPr>
          <w:t>1266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2" w:history="1">
        <w:r w:rsidRPr="00B80388">
          <w:rPr>
            <w:rStyle w:val="a5"/>
            <w:noProof/>
          </w:rPr>
          <w:t>Title: International Archives of Occupational and Environmental Health</w:t>
        </w:r>
        <w:r>
          <w:rPr>
            <w:noProof/>
            <w:webHidden/>
          </w:rPr>
          <w:tab/>
        </w:r>
        <w:r>
          <w:rPr>
            <w:noProof/>
            <w:webHidden/>
          </w:rPr>
          <w:fldChar w:fldCharType="begin"/>
        </w:r>
        <w:r>
          <w:rPr>
            <w:noProof/>
            <w:webHidden/>
          </w:rPr>
          <w:instrText xml:space="preserve"> PAGEREF _Toc317161212 \h </w:instrText>
        </w:r>
        <w:r>
          <w:rPr>
            <w:noProof/>
            <w:webHidden/>
          </w:rPr>
        </w:r>
        <w:r>
          <w:rPr>
            <w:noProof/>
            <w:webHidden/>
          </w:rPr>
          <w:fldChar w:fldCharType="separate"/>
        </w:r>
        <w:r>
          <w:rPr>
            <w:noProof/>
            <w:webHidden/>
          </w:rPr>
          <w:t>1267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3" w:history="1">
        <w:r w:rsidRPr="00B80388">
          <w:rPr>
            <w:rStyle w:val="a5"/>
            <w:noProof/>
          </w:rPr>
          <w:t>Title: International Association of Marine Science Libraries and Information</w:t>
        </w:r>
        <w:r>
          <w:rPr>
            <w:noProof/>
            <w:webHidden/>
          </w:rPr>
          <w:tab/>
        </w:r>
        <w:r>
          <w:rPr>
            <w:noProof/>
            <w:webHidden/>
          </w:rPr>
          <w:fldChar w:fldCharType="begin"/>
        </w:r>
        <w:r>
          <w:rPr>
            <w:noProof/>
            <w:webHidden/>
          </w:rPr>
          <w:instrText xml:space="preserve"> PAGEREF _Toc317161213 \h </w:instrText>
        </w:r>
        <w:r>
          <w:rPr>
            <w:noProof/>
            <w:webHidden/>
          </w:rPr>
        </w:r>
        <w:r>
          <w:rPr>
            <w:noProof/>
            <w:webHidden/>
          </w:rPr>
          <w:fldChar w:fldCharType="separate"/>
        </w:r>
        <w:r>
          <w:rPr>
            <w:noProof/>
            <w:webHidden/>
          </w:rPr>
          <w:t>1277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4" w:history="1">
        <w:r w:rsidRPr="00B80388">
          <w:rPr>
            <w:rStyle w:val="a5"/>
            <w:noProof/>
          </w:rPr>
          <w:t>Title: 2006 1st International Conference on Digital Information Management</w:t>
        </w:r>
        <w:r>
          <w:rPr>
            <w:noProof/>
            <w:webHidden/>
          </w:rPr>
          <w:tab/>
        </w:r>
        <w:r>
          <w:rPr>
            <w:noProof/>
            <w:webHidden/>
          </w:rPr>
          <w:fldChar w:fldCharType="begin"/>
        </w:r>
        <w:r>
          <w:rPr>
            <w:noProof/>
            <w:webHidden/>
          </w:rPr>
          <w:instrText xml:space="preserve"> PAGEREF _Toc317161214 \h </w:instrText>
        </w:r>
        <w:r>
          <w:rPr>
            <w:noProof/>
            <w:webHidden/>
          </w:rPr>
        </w:r>
        <w:r>
          <w:rPr>
            <w:noProof/>
            <w:webHidden/>
          </w:rPr>
          <w:fldChar w:fldCharType="separate"/>
        </w:r>
        <w:r>
          <w:rPr>
            <w:noProof/>
            <w:webHidden/>
          </w:rPr>
          <w:t>1279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5" w:history="1">
        <w:r w:rsidRPr="00B80388">
          <w:rPr>
            <w:rStyle w:val="a5"/>
            <w:noProof/>
          </w:rPr>
          <w:t>Title: 2009 17th International Conference on Geoinformatics, Vols 1 and 2</w:t>
        </w:r>
        <w:r>
          <w:rPr>
            <w:noProof/>
            <w:webHidden/>
          </w:rPr>
          <w:tab/>
        </w:r>
        <w:r>
          <w:rPr>
            <w:noProof/>
            <w:webHidden/>
          </w:rPr>
          <w:fldChar w:fldCharType="begin"/>
        </w:r>
        <w:r>
          <w:rPr>
            <w:noProof/>
            <w:webHidden/>
          </w:rPr>
          <w:instrText xml:space="preserve"> PAGEREF _Toc317161215 \h </w:instrText>
        </w:r>
        <w:r>
          <w:rPr>
            <w:noProof/>
            <w:webHidden/>
          </w:rPr>
        </w:r>
        <w:r>
          <w:rPr>
            <w:noProof/>
            <w:webHidden/>
          </w:rPr>
          <w:fldChar w:fldCharType="separate"/>
        </w:r>
        <w:r>
          <w:rPr>
            <w:noProof/>
            <w:webHidden/>
          </w:rPr>
          <w:t>1280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6" w:history="1">
        <w:r w:rsidRPr="00B80388">
          <w:rPr>
            <w:rStyle w:val="a5"/>
            <w:noProof/>
          </w:rPr>
          <w:t>Title: International Biodeterioration</w:t>
        </w:r>
        <w:r>
          <w:rPr>
            <w:noProof/>
            <w:webHidden/>
          </w:rPr>
          <w:tab/>
        </w:r>
        <w:r>
          <w:rPr>
            <w:noProof/>
            <w:webHidden/>
          </w:rPr>
          <w:fldChar w:fldCharType="begin"/>
        </w:r>
        <w:r>
          <w:rPr>
            <w:noProof/>
            <w:webHidden/>
          </w:rPr>
          <w:instrText xml:space="preserve"> PAGEREF _Toc317161216 \h </w:instrText>
        </w:r>
        <w:r>
          <w:rPr>
            <w:noProof/>
            <w:webHidden/>
          </w:rPr>
        </w:r>
        <w:r>
          <w:rPr>
            <w:noProof/>
            <w:webHidden/>
          </w:rPr>
          <w:fldChar w:fldCharType="separate"/>
        </w:r>
        <w:r>
          <w:rPr>
            <w:noProof/>
            <w:webHidden/>
          </w:rPr>
          <w:t>1281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7" w:history="1">
        <w:r w:rsidRPr="00B80388">
          <w:rPr>
            <w:rStyle w:val="a5"/>
            <w:noProof/>
          </w:rPr>
          <w:t>Title: International Biodeterioration &amp; Biodegradation</w:t>
        </w:r>
        <w:r>
          <w:rPr>
            <w:noProof/>
            <w:webHidden/>
          </w:rPr>
          <w:tab/>
        </w:r>
        <w:r>
          <w:rPr>
            <w:noProof/>
            <w:webHidden/>
          </w:rPr>
          <w:fldChar w:fldCharType="begin"/>
        </w:r>
        <w:r>
          <w:rPr>
            <w:noProof/>
            <w:webHidden/>
          </w:rPr>
          <w:instrText xml:space="preserve"> PAGEREF _Toc317161217 \h </w:instrText>
        </w:r>
        <w:r>
          <w:rPr>
            <w:noProof/>
            <w:webHidden/>
          </w:rPr>
        </w:r>
        <w:r>
          <w:rPr>
            <w:noProof/>
            <w:webHidden/>
          </w:rPr>
          <w:fldChar w:fldCharType="separate"/>
        </w:r>
        <w:r>
          <w:rPr>
            <w:noProof/>
            <w:webHidden/>
          </w:rPr>
          <w:t>1282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8" w:history="1">
        <w:r w:rsidRPr="00B80388">
          <w:rPr>
            <w:rStyle w:val="a5"/>
            <w:noProof/>
          </w:rPr>
          <w:t>Title: International Biohydrometallurgy Symposium</w:t>
        </w:r>
        <w:r>
          <w:rPr>
            <w:noProof/>
            <w:webHidden/>
          </w:rPr>
          <w:tab/>
        </w:r>
        <w:r>
          <w:rPr>
            <w:noProof/>
            <w:webHidden/>
          </w:rPr>
          <w:fldChar w:fldCharType="begin"/>
        </w:r>
        <w:r>
          <w:rPr>
            <w:noProof/>
            <w:webHidden/>
          </w:rPr>
          <w:instrText xml:space="preserve"> PAGEREF _Toc317161218 \h </w:instrText>
        </w:r>
        <w:r>
          <w:rPr>
            <w:noProof/>
            <w:webHidden/>
          </w:rPr>
        </w:r>
        <w:r>
          <w:rPr>
            <w:noProof/>
            <w:webHidden/>
          </w:rPr>
          <w:fldChar w:fldCharType="separate"/>
        </w:r>
        <w:r>
          <w:rPr>
            <w:noProof/>
            <w:webHidden/>
          </w:rPr>
          <w:t>1296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19" w:history="1">
        <w:r w:rsidRPr="00B80388">
          <w:rPr>
            <w:rStyle w:val="a5"/>
            <w:noProof/>
          </w:rPr>
          <w:t xml:space="preserve">Title: </w:t>
        </w:r>
        <w:r w:rsidRPr="00B80388">
          <w:rPr>
            <w:rStyle w:val="a5"/>
            <w:iCs/>
            <w:noProof/>
          </w:rPr>
          <w:t>International Business Review</w:t>
        </w:r>
        <w:r>
          <w:rPr>
            <w:noProof/>
            <w:webHidden/>
          </w:rPr>
          <w:tab/>
        </w:r>
        <w:r>
          <w:rPr>
            <w:noProof/>
            <w:webHidden/>
          </w:rPr>
          <w:fldChar w:fldCharType="begin"/>
        </w:r>
        <w:r>
          <w:rPr>
            <w:noProof/>
            <w:webHidden/>
          </w:rPr>
          <w:instrText xml:space="preserve"> PAGEREF _Toc317161219 \h </w:instrText>
        </w:r>
        <w:r>
          <w:rPr>
            <w:noProof/>
            <w:webHidden/>
          </w:rPr>
        </w:r>
        <w:r>
          <w:rPr>
            <w:noProof/>
            <w:webHidden/>
          </w:rPr>
          <w:fldChar w:fldCharType="separate"/>
        </w:r>
        <w:r>
          <w:rPr>
            <w:noProof/>
            <w:webHidden/>
          </w:rPr>
          <w:t>1297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0" w:history="1">
        <w:r w:rsidRPr="00B80388">
          <w:rPr>
            <w:rStyle w:val="a5"/>
            <w:noProof/>
          </w:rPr>
          <w:t>Title: International Chemical Engineering</w:t>
        </w:r>
        <w:r>
          <w:rPr>
            <w:noProof/>
            <w:webHidden/>
          </w:rPr>
          <w:tab/>
        </w:r>
        <w:r>
          <w:rPr>
            <w:noProof/>
            <w:webHidden/>
          </w:rPr>
          <w:fldChar w:fldCharType="begin"/>
        </w:r>
        <w:r>
          <w:rPr>
            <w:noProof/>
            <w:webHidden/>
          </w:rPr>
          <w:instrText xml:space="preserve"> PAGEREF _Toc317161220 \h </w:instrText>
        </w:r>
        <w:r>
          <w:rPr>
            <w:noProof/>
            <w:webHidden/>
          </w:rPr>
        </w:r>
        <w:r>
          <w:rPr>
            <w:noProof/>
            <w:webHidden/>
          </w:rPr>
          <w:fldChar w:fldCharType="separate"/>
        </w:r>
        <w:r>
          <w:rPr>
            <w:noProof/>
            <w:webHidden/>
          </w:rPr>
          <w:t>1299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1" w:history="1">
        <w:r w:rsidRPr="00B80388">
          <w:rPr>
            <w:rStyle w:val="a5"/>
            <w:noProof/>
          </w:rPr>
          <w:t xml:space="preserve">Title: </w:t>
        </w:r>
        <w:r w:rsidRPr="00B80388">
          <w:rPr>
            <w:rStyle w:val="a5"/>
            <w:iCs/>
            <w:noProof/>
          </w:rPr>
          <w:t>International Classification</w:t>
        </w:r>
        <w:r>
          <w:rPr>
            <w:noProof/>
            <w:webHidden/>
          </w:rPr>
          <w:tab/>
        </w:r>
        <w:r>
          <w:rPr>
            <w:noProof/>
            <w:webHidden/>
          </w:rPr>
          <w:fldChar w:fldCharType="begin"/>
        </w:r>
        <w:r>
          <w:rPr>
            <w:noProof/>
            <w:webHidden/>
          </w:rPr>
          <w:instrText xml:space="preserve"> PAGEREF _Toc317161221 \h </w:instrText>
        </w:r>
        <w:r>
          <w:rPr>
            <w:noProof/>
            <w:webHidden/>
          </w:rPr>
        </w:r>
        <w:r>
          <w:rPr>
            <w:noProof/>
            <w:webHidden/>
          </w:rPr>
          <w:fldChar w:fldCharType="separate"/>
        </w:r>
        <w:r>
          <w:rPr>
            <w:noProof/>
            <w:webHidden/>
          </w:rPr>
          <w:t>1300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2" w:history="1">
        <w:r w:rsidRPr="00B80388">
          <w:rPr>
            <w:rStyle w:val="a5"/>
            <w:noProof/>
          </w:rPr>
          <w:t>Title: International Communications in Heat and Mass Transfer</w:t>
        </w:r>
        <w:r>
          <w:rPr>
            <w:noProof/>
            <w:webHidden/>
          </w:rPr>
          <w:tab/>
        </w:r>
        <w:r>
          <w:rPr>
            <w:noProof/>
            <w:webHidden/>
          </w:rPr>
          <w:fldChar w:fldCharType="begin"/>
        </w:r>
        <w:r>
          <w:rPr>
            <w:noProof/>
            <w:webHidden/>
          </w:rPr>
          <w:instrText xml:space="preserve"> PAGEREF _Toc317161222 \h </w:instrText>
        </w:r>
        <w:r>
          <w:rPr>
            <w:noProof/>
            <w:webHidden/>
          </w:rPr>
        </w:r>
        <w:r>
          <w:rPr>
            <w:noProof/>
            <w:webHidden/>
          </w:rPr>
          <w:fldChar w:fldCharType="separate"/>
        </w:r>
        <w:r>
          <w:rPr>
            <w:noProof/>
            <w:webHidden/>
          </w:rPr>
          <w:t>1301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3" w:history="1">
        <w:r w:rsidRPr="00B80388">
          <w:rPr>
            <w:rStyle w:val="a5"/>
            <w:noProof/>
          </w:rPr>
          <w:t>Title: 2nd International Conference on Bioinformatics and Biomedical Engineering</w:t>
        </w:r>
        <w:r>
          <w:rPr>
            <w:noProof/>
            <w:webHidden/>
          </w:rPr>
          <w:tab/>
        </w:r>
        <w:r>
          <w:rPr>
            <w:noProof/>
            <w:webHidden/>
          </w:rPr>
          <w:fldChar w:fldCharType="begin"/>
        </w:r>
        <w:r>
          <w:rPr>
            <w:noProof/>
            <w:webHidden/>
          </w:rPr>
          <w:instrText xml:space="preserve"> PAGEREF _Toc317161223 \h </w:instrText>
        </w:r>
        <w:r>
          <w:rPr>
            <w:noProof/>
            <w:webHidden/>
          </w:rPr>
        </w:r>
        <w:r>
          <w:rPr>
            <w:noProof/>
            <w:webHidden/>
          </w:rPr>
          <w:fldChar w:fldCharType="separate"/>
        </w:r>
        <w:r>
          <w:rPr>
            <w:noProof/>
            <w:webHidden/>
          </w:rPr>
          <w:t>1302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4" w:history="1">
        <w:r w:rsidRPr="00B80388">
          <w:rPr>
            <w:rStyle w:val="a5"/>
            <w:noProof/>
          </w:rPr>
          <w:t xml:space="preserve">Title: </w:t>
        </w:r>
        <w:r w:rsidRPr="00B80388">
          <w:rPr>
            <w:rStyle w:val="a5"/>
            <w:iCs/>
            <w:noProof/>
          </w:rPr>
          <w:t>IChEAP-9: 9th International Conference on Chemical and Process Engineering</w:t>
        </w:r>
        <w:r>
          <w:rPr>
            <w:noProof/>
            <w:webHidden/>
          </w:rPr>
          <w:tab/>
        </w:r>
        <w:r>
          <w:rPr>
            <w:noProof/>
            <w:webHidden/>
          </w:rPr>
          <w:fldChar w:fldCharType="begin"/>
        </w:r>
        <w:r>
          <w:rPr>
            <w:noProof/>
            <w:webHidden/>
          </w:rPr>
          <w:instrText xml:space="preserve"> PAGEREF _Toc317161224 \h </w:instrText>
        </w:r>
        <w:r>
          <w:rPr>
            <w:noProof/>
            <w:webHidden/>
          </w:rPr>
        </w:r>
        <w:r>
          <w:rPr>
            <w:noProof/>
            <w:webHidden/>
          </w:rPr>
          <w:fldChar w:fldCharType="separate"/>
        </w:r>
        <w:r>
          <w:rPr>
            <w:noProof/>
            <w:webHidden/>
          </w:rPr>
          <w:t>1303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5" w:history="1">
        <w:r w:rsidRPr="00B80388">
          <w:rPr>
            <w:rStyle w:val="a5"/>
            <w:noProof/>
          </w:rPr>
          <w:t>Title: International Conference on Communication Technology Proceedings</w:t>
        </w:r>
        <w:r>
          <w:rPr>
            <w:noProof/>
            <w:webHidden/>
          </w:rPr>
          <w:tab/>
        </w:r>
        <w:r>
          <w:rPr>
            <w:noProof/>
            <w:webHidden/>
          </w:rPr>
          <w:fldChar w:fldCharType="begin"/>
        </w:r>
        <w:r>
          <w:rPr>
            <w:noProof/>
            <w:webHidden/>
          </w:rPr>
          <w:instrText xml:space="preserve"> PAGEREF _Toc317161225 \h </w:instrText>
        </w:r>
        <w:r>
          <w:rPr>
            <w:noProof/>
            <w:webHidden/>
          </w:rPr>
        </w:r>
        <w:r>
          <w:rPr>
            <w:noProof/>
            <w:webHidden/>
          </w:rPr>
          <w:fldChar w:fldCharType="separate"/>
        </w:r>
        <w:r>
          <w:rPr>
            <w:noProof/>
            <w:webHidden/>
          </w:rPr>
          <w:t>1304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6" w:history="1">
        <w:r w:rsidRPr="00B80388">
          <w:rPr>
            <w:rStyle w:val="a5"/>
            <w:noProof/>
          </w:rPr>
          <w:t xml:space="preserve">Title: </w:t>
        </w:r>
        <w:r w:rsidRPr="00B80388">
          <w:rPr>
            <w:rStyle w:val="a5"/>
            <w:iCs/>
            <w:noProof/>
          </w:rPr>
          <w:t>2007 International Conference on Convergence Information Technology - ICCIT ‘07</w:t>
        </w:r>
        <w:r>
          <w:rPr>
            <w:noProof/>
            <w:webHidden/>
          </w:rPr>
          <w:tab/>
        </w:r>
        <w:r>
          <w:rPr>
            <w:noProof/>
            <w:webHidden/>
          </w:rPr>
          <w:fldChar w:fldCharType="begin"/>
        </w:r>
        <w:r>
          <w:rPr>
            <w:noProof/>
            <w:webHidden/>
          </w:rPr>
          <w:instrText xml:space="preserve"> PAGEREF _Toc317161226 \h </w:instrText>
        </w:r>
        <w:r>
          <w:rPr>
            <w:noProof/>
            <w:webHidden/>
          </w:rPr>
        </w:r>
        <w:r>
          <w:rPr>
            <w:noProof/>
            <w:webHidden/>
          </w:rPr>
          <w:fldChar w:fldCharType="separate"/>
        </w:r>
        <w:r>
          <w:rPr>
            <w:noProof/>
            <w:webHidden/>
          </w:rPr>
          <w:t>1305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7" w:history="1">
        <w:r w:rsidRPr="00B80388">
          <w:rPr>
            <w:rStyle w:val="a5"/>
            <w:noProof/>
          </w:rPr>
          <w:t>Title: Preprints. 2nd International Conference on the Effective Use of CD-ROM Databases</w:t>
        </w:r>
        <w:r>
          <w:rPr>
            <w:noProof/>
            <w:webHidden/>
          </w:rPr>
          <w:tab/>
        </w:r>
        <w:r>
          <w:rPr>
            <w:noProof/>
            <w:webHidden/>
          </w:rPr>
          <w:fldChar w:fldCharType="begin"/>
        </w:r>
        <w:r>
          <w:rPr>
            <w:noProof/>
            <w:webHidden/>
          </w:rPr>
          <w:instrText xml:space="preserve"> PAGEREF _Toc317161227 \h </w:instrText>
        </w:r>
        <w:r>
          <w:rPr>
            <w:noProof/>
            <w:webHidden/>
          </w:rPr>
        </w:r>
        <w:r>
          <w:rPr>
            <w:noProof/>
            <w:webHidden/>
          </w:rPr>
          <w:fldChar w:fldCharType="separate"/>
        </w:r>
        <w:r>
          <w:rPr>
            <w:noProof/>
            <w:webHidden/>
          </w:rPr>
          <w:t>1306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8" w:history="1">
        <w:r w:rsidRPr="00B80388">
          <w:rPr>
            <w:rStyle w:val="a5"/>
            <w:noProof/>
          </w:rPr>
          <w:t>Title: 6th International Conference &amp; Exhibition on Chemistry in Industry (CHEMINDIX 2004)</w:t>
        </w:r>
        <w:r>
          <w:rPr>
            <w:noProof/>
            <w:webHidden/>
          </w:rPr>
          <w:tab/>
        </w:r>
        <w:r>
          <w:rPr>
            <w:noProof/>
            <w:webHidden/>
          </w:rPr>
          <w:fldChar w:fldCharType="begin"/>
        </w:r>
        <w:r>
          <w:rPr>
            <w:noProof/>
            <w:webHidden/>
          </w:rPr>
          <w:instrText xml:space="preserve"> PAGEREF _Toc317161228 \h </w:instrText>
        </w:r>
        <w:r>
          <w:rPr>
            <w:noProof/>
            <w:webHidden/>
          </w:rPr>
        </w:r>
        <w:r>
          <w:rPr>
            <w:noProof/>
            <w:webHidden/>
          </w:rPr>
          <w:fldChar w:fldCharType="separate"/>
        </w:r>
        <w:r>
          <w:rPr>
            <w:noProof/>
            <w:webHidden/>
          </w:rPr>
          <w:t>1307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29" w:history="1">
        <w:r w:rsidRPr="00B80388">
          <w:rPr>
            <w:rStyle w:val="a5"/>
            <w:noProof/>
          </w:rPr>
          <w:t>Title: Ninth International Conference on Grey Literature, GL9 Conference Proceedings - Grey Foundations in Information Landscape</w:t>
        </w:r>
        <w:r>
          <w:rPr>
            <w:noProof/>
            <w:webHidden/>
          </w:rPr>
          <w:tab/>
        </w:r>
        <w:r>
          <w:rPr>
            <w:noProof/>
            <w:webHidden/>
          </w:rPr>
          <w:fldChar w:fldCharType="begin"/>
        </w:r>
        <w:r>
          <w:rPr>
            <w:noProof/>
            <w:webHidden/>
          </w:rPr>
          <w:instrText xml:space="preserve"> PAGEREF _Toc317161229 \h </w:instrText>
        </w:r>
        <w:r>
          <w:rPr>
            <w:noProof/>
            <w:webHidden/>
          </w:rPr>
        </w:r>
        <w:r>
          <w:rPr>
            <w:noProof/>
            <w:webHidden/>
          </w:rPr>
          <w:fldChar w:fldCharType="separate"/>
        </w:r>
        <w:r>
          <w:rPr>
            <w:noProof/>
            <w:webHidden/>
          </w:rPr>
          <w:t>1308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0" w:history="1">
        <w:r w:rsidRPr="00B80388">
          <w:rPr>
            <w:rStyle w:val="a5"/>
            <w:noProof/>
          </w:rPr>
          <w:t xml:space="preserve">Title: </w:t>
        </w:r>
        <w:r w:rsidRPr="00B80388">
          <w:rPr>
            <w:rStyle w:val="a5"/>
            <w:iCs/>
            <w:noProof/>
          </w:rPr>
          <w:t>2007 IEEE International Conference on Industrial Engineering and Engineering Management</w:t>
        </w:r>
        <w:r>
          <w:rPr>
            <w:noProof/>
            <w:webHidden/>
          </w:rPr>
          <w:tab/>
        </w:r>
        <w:r>
          <w:rPr>
            <w:noProof/>
            <w:webHidden/>
          </w:rPr>
          <w:fldChar w:fldCharType="begin"/>
        </w:r>
        <w:r>
          <w:rPr>
            <w:noProof/>
            <w:webHidden/>
          </w:rPr>
          <w:instrText xml:space="preserve"> PAGEREF _Toc317161230 \h </w:instrText>
        </w:r>
        <w:r>
          <w:rPr>
            <w:noProof/>
            <w:webHidden/>
          </w:rPr>
        </w:r>
        <w:r>
          <w:rPr>
            <w:noProof/>
            <w:webHidden/>
          </w:rPr>
          <w:fldChar w:fldCharType="separate"/>
        </w:r>
        <w:r>
          <w:rPr>
            <w:noProof/>
            <w:webHidden/>
          </w:rPr>
          <w:t>1310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1" w:history="1">
        <w:r w:rsidRPr="00B80388">
          <w:rPr>
            <w:rStyle w:val="a5"/>
            <w:noProof/>
          </w:rPr>
          <w:t xml:space="preserve">Title: </w:t>
        </w:r>
        <w:r w:rsidRPr="00B80388">
          <w:rPr>
            <w:rStyle w:val="a5"/>
            <w:iCs/>
            <w:noProof/>
          </w:rPr>
          <w:t>IEEM: 2008 International Conference on Industrial Engineering and Engineering Management</w:t>
        </w:r>
        <w:r>
          <w:rPr>
            <w:noProof/>
            <w:webHidden/>
          </w:rPr>
          <w:tab/>
        </w:r>
        <w:r>
          <w:rPr>
            <w:noProof/>
            <w:webHidden/>
          </w:rPr>
          <w:fldChar w:fldCharType="begin"/>
        </w:r>
        <w:r>
          <w:rPr>
            <w:noProof/>
            <w:webHidden/>
          </w:rPr>
          <w:instrText xml:space="preserve"> PAGEREF _Toc317161231 \h </w:instrText>
        </w:r>
        <w:r>
          <w:rPr>
            <w:noProof/>
            <w:webHidden/>
          </w:rPr>
        </w:r>
        <w:r>
          <w:rPr>
            <w:noProof/>
            <w:webHidden/>
          </w:rPr>
          <w:fldChar w:fldCharType="separate"/>
        </w:r>
        <w:r>
          <w:rPr>
            <w:noProof/>
            <w:webHidden/>
          </w:rPr>
          <w:t>1311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2" w:history="1">
        <w:r w:rsidRPr="00B80388">
          <w:rPr>
            <w:rStyle w:val="a5"/>
            <w:noProof/>
          </w:rPr>
          <w:t>Title: Seventh Conference of the International Society for Scientometrics and Informetrics, Proceedings - 1999</w:t>
        </w:r>
        <w:r>
          <w:rPr>
            <w:noProof/>
            <w:webHidden/>
          </w:rPr>
          <w:tab/>
        </w:r>
        <w:r>
          <w:rPr>
            <w:noProof/>
            <w:webHidden/>
          </w:rPr>
          <w:fldChar w:fldCharType="begin"/>
        </w:r>
        <w:r>
          <w:rPr>
            <w:noProof/>
            <w:webHidden/>
          </w:rPr>
          <w:instrText xml:space="preserve"> PAGEREF _Toc317161232 \h </w:instrText>
        </w:r>
        <w:r>
          <w:rPr>
            <w:noProof/>
            <w:webHidden/>
          </w:rPr>
        </w:r>
        <w:r>
          <w:rPr>
            <w:noProof/>
            <w:webHidden/>
          </w:rPr>
          <w:fldChar w:fldCharType="separate"/>
        </w:r>
        <w:r>
          <w:rPr>
            <w:noProof/>
            <w:webHidden/>
          </w:rPr>
          <w:t>1313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3" w:history="1">
        <w:r w:rsidRPr="00B80388">
          <w:rPr>
            <w:rStyle w:val="a5"/>
            <w:noProof/>
          </w:rPr>
          <w:t>Title: International Conference on Innovations in Information Technology</w:t>
        </w:r>
        <w:r>
          <w:rPr>
            <w:noProof/>
            <w:webHidden/>
          </w:rPr>
          <w:tab/>
        </w:r>
        <w:r>
          <w:rPr>
            <w:noProof/>
            <w:webHidden/>
          </w:rPr>
          <w:fldChar w:fldCharType="begin"/>
        </w:r>
        <w:r>
          <w:rPr>
            <w:noProof/>
            <w:webHidden/>
          </w:rPr>
          <w:instrText xml:space="preserve"> PAGEREF _Toc317161233 \h </w:instrText>
        </w:r>
        <w:r>
          <w:rPr>
            <w:noProof/>
            <w:webHidden/>
          </w:rPr>
        </w:r>
        <w:r>
          <w:rPr>
            <w:noProof/>
            <w:webHidden/>
          </w:rPr>
          <w:fldChar w:fldCharType="separate"/>
        </w:r>
        <w:r>
          <w:rPr>
            <w:noProof/>
            <w:webHidden/>
          </w:rPr>
          <w:t>1314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4" w:history="1">
        <w:r w:rsidRPr="00B80388">
          <w:rPr>
            <w:rStyle w:val="a5"/>
            <w:noProof/>
          </w:rPr>
          <w:t>Title: ISSI 2005: Proceedings of the 10th International Conference of the International Society for Scientometrics and Informetrics</w:t>
        </w:r>
        <w:r>
          <w:rPr>
            <w:noProof/>
            <w:webHidden/>
          </w:rPr>
          <w:tab/>
        </w:r>
        <w:r>
          <w:rPr>
            <w:noProof/>
            <w:webHidden/>
          </w:rPr>
          <w:fldChar w:fldCharType="begin"/>
        </w:r>
        <w:r>
          <w:rPr>
            <w:noProof/>
            <w:webHidden/>
          </w:rPr>
          <w:instrText xml:space="preserve"> PAGEREF _Toc317161234 \h </w:instrText>
        </w:r>
        <w:r>
          <w:rPr>
            <w:noProof/>
            <w:webHidden/>
          </w:rPr>
        </w:r>
        <w:r>
          <w:rPr>
            <w:noProof/>
            <w:webHidden/>
          </w:rPr>
          <w:fldChar w:fldCharType="separate"/>
        </w:r>
        <w:r>
          <w:rPr>
            <w:noProof/>
            <w:webHidden/>
          </w:rPr>
          <w:t>1315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5" w:history="1">
        <w:r w:rsidRPr="00B80388">
          <w:rPr>
            <w:rStyle w:val="a5"/>
            <w:noProof/>
          </w:rPr>
          <w:t xml:space="preserve">Title: </w:t>
        </w:r>
        <w:r w:rsidRPr="00B80388">
          <w:rPr>
            <w:rStyle w:val="a5"/>
            <w:iCs/>
            <w:noProof/>
          </w:rPr>
          <w:t>Proceedings of ISSI 2007: 11th International Conference of the International Society for Scientometrics and Informetrics</w:t>
        </w:r>
        <w:r>
          <w:rPr>
            <w:noProof/>
            <w:webHidden/>
          </w:rPr>
          <w:tab/>
        </w:r>
        <w:r>
          <w:rPr>
            <w:noProof/>
            <w:webHidden/>
          </w:rPr>
          <w:fldChar w:fldCharType="begin"/>
        </w:r>
        <w:r>
          <w:rPr>
            <w:noProof/>
            <w:webHidden/>
          </w:rPr>
          <w:instrText xml:space="preserve"> PAGEREF _Toc317161235 \h </w:instrText>
        </w:r>
        <w:r>
          <w:rPr>
            <w:noProof/>
            <w:webHidden/>
          </w:rPr>
        </w:r>
        <w:r>
          <w:rPr>
            <w:noProof/>
            <w:webHidden/>
          </w:rPr>
          <w:fldChar w:fldCharType="separate"/>
        </w:r>
        <w:r>
          <w:rPr>
            <w:noProof/>
            <w:webHidden/>
          </w:rPr>
          <w:t>1319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6" w:history="1">
        <w:r w:rsidRPr="00B80388">
          <w:rPr>
            <w:rStyle w:val="a5"/>
            <w:noProof/>
          </w:rPr>
          <w:t xml:space="preserve">Title: </w:t>
        </w:r>
        <w:r w:rsidRPr="00B80388">
          <w:rPr>
            <w:rStyle w:val="a5"/>
            <w:iCs/>
            <w:noProof/>
          </w:rPr>
          <w:t xml:space="preserve">Proceedings of ISSI 2009: 12th International Conference of the </w:t>
        </w:r>
        <w:r w:rsidRPr="00B80388">
          <w:rPr>
            <w:rStyle w:val="a5"/>
            <w:iCs/>
            <w:noProof/>
          </w:rPr>
          <w:lastRenderedPageBreak/>
          <w:t>International Society for Scientometrics and Informetrics</w:t>
        </w:r>
        <w:r>
          <w:rPr>
            <w:noProof/>
            <w:webHidden/>
          </w:rPr>
          <w:tab/>
        </w:r>
        <w:r>
          <w:rPr>
            <w:noProof/>
            <w:webHidden/>
          </w:rPr>
          <w:fldChar w:fldCharType="begin"/>
        </w:r>
        <w:r>
          <w:rPr>
            <w:noProof/>
            <w:webHidden/>
          </w:rPr>
          <w:instrText xml:space="preserve"> PAGEREF _Toc317161236 \h </w:instrText>
        </w:r>
        <w:r>
          <w:rPr>
            <w:noProof/>
            <w:webHidden/>
          </w:rPr>
        </w:r>
        <w:r>
          <w:rPr>
            <w:noProof/>
            <w:webHidden/>
          </w:rPr>
          <w:fldChar w:fldCharType="separate"/>
        </w:r>
        <w:r>
          <w:rPr>
            <w:noProof/>
            <w:webHidden/>
          </w:rPr>
          <w:t>1324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7" w:history="1">
        <w:r w:rsidRPr="00B80388">
          <w:rPr>
            <w:rStyle w:val="a5"/>
            <w:noProof/>
          </w:rPr>
          <w:t>Title: 2008 IEEE International Conference on Management of Innovation and Technology</w:t>
        </w:r>
        <w:r>
          <w:rPr>
            <w:noProof/>
            <w:webHidden/>
          </w:rPr>
          <w:tab/>
        </w:r>
        <w:r>
          <w:rPr>
            <w:noProof/>
            <w:webHidden/>
          </w:rPr>
          <w:fldChar w:fldCharType="begin"/>
        </w:r>
        <w:r>
          <w:rPr>
            <w:noProof/>
            <w:webHidden/>
          </w:rPr>
          <w:instrText xml:space="preserve"> PAGEREF _Toc317161237 \h </w:instrText>
        </w:r>
        <w:r>
          <w:rPr>
            <w:noProof/>
            <w:webHidden/>
          </w:rPr>
        </w:r>
        <w:r>
          <w:rPr>
            <w:noProof/>
            <w:webHidden/>
          </w:rPr>
          <w:fldChar w:fldCharType="separate"/>
        </w:r>
        <w:r>
          <w:rPr>
            <w:noProof/>
            <w:webHidden/>
          </w:rPr>
          <w:t>1351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8" w:history="1">
        <w:r w:rsidRPr="00B80388">
          <w:rPr>
            <w:rStyle w:val="a5"/>
            <w:noProof/>
          </w:rPr>
          <w:t>Title: 8th International Conference on Scientometrics and Informetrics</w:t>
        </w:r>
        <w:r>
          <w:rPr>
            <w:noProof/>
            <w:webHidden/>
          </w:rPr>
          <w:tab/>
        </w:r>
        <w:r>
          <w:rPr>
            <w:noProof/>
            <w:webHidden/>
          </w:rPr>
          <w:fldChar w:fldCharType="begin"/>
        </w:r>
        <w:r>
          <w:rPr>
            <w:noProof/>
            <w:webHidden/>
          </w:rPr>
          <w:instrText xml:space="preserve"> PAGEREF _Toc317161238 \h </w:instrText>
        </w:r>
        <w:r>
          <w:rPr>
            <w:noProof/>
            <w:webHidden/>
          </w:rPr>
        </w:r>
        <w:r>
          <w:rPr>
            <w:noProof/>
            <w:webHidden/>
          </w:rPr>
          <w:fldChar w:fldCharType="separate"/>
        </w:r>
        <w:r>
          <w:rPr>
            <w:noProof/>
            <w:webHidden/>
          </w:rPr>
          <w:t>1352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39" w:history="1">
        <w:r w:rsidRPr="00B80388">
          <w:rPr>
            <w:rStyle w:val="a5"/>
            <w:noProof/>
          </w:rPr>
          <w:t xml:space="preserve">Title: </w:t>
        </w:r>
        <w:r w:rsidRPr="00B80388">
          <w:rPr>
            <w:rStyle w:val="a5"/>
            <w:iCs/>
            <w:noProof/>
          </w:rPr>
          <w:t>2007 International Conference on Wireless Communications, Networking and Mobile Computing</w:t>
        </w:r>
        <w:r>
          <w:rPr>
            <w:noProof/>
            <w:webHidden/>
          </w:rPr>
          <w:tab/>
        </w:r>
        <w:r>
          <w:rPr>
            <w:noProof/>
            <w:webHidden/>
          </w:rPr>
          <w:fldChar w:fldCharType="begin"/>
        </w:r>
        <w:r>
          <w:rPr>
            <w:noProof/>
            <w:webHidden/>
          </w:rPr>
          <w:instrText xml:space="preserve"> PAGEREF _Toc317161239 \h </w:instrText>
        </w:r>
        <w:r>
          <w:rPr>
            <w:noProof/>
            <w:webHidden/>
          </w:rPr>
        </w:r>
        <w:r>
          <w:rPr>
            <w:noProof/>
            <w:webHidden/>
          </w:rPr>
          <w:fldChar w:fldCharType="separate"/>
        </w:r>
        <w:r>
          <w:rPr>
            <w:noProof/>
            <w:webHidden/>
          </w:rPr>
          <w:t>1353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0" w:history="1">
        <w:r w:rsidRPr="00B80388">
          <w:rPr>
            <w:rStyle w:val="a5"/>
            <w:noProof/>
          </w:rPr>
          <w:t>Title: 2008 4th International Conference on Wireless Communications, Networking and Mobile Computing</w:t>
        </w:r>
        <w:r>
          <w:rPr>
            <w:noProof/>
            <w:webHidden/>
          </w:rPr>
          <w:tab/>
        </w:r>
        <w:r>
          <w:rPr>
            <w:noProof/>
            <w:webHidden/>
          </w:rPr>
          <w:fldChar w:fldCharType="begin"/>
        </w:r>
        <w:r>
          <w:rPr>
            <w:noProof/>
            <w:webHidden/>
          </w:rPr>
          <w:instrText xml:space="preserve"> PAGEREF _Toc317161240 \h </w:instrText>
        </w:r>
        <w:r>
          <w:rPr>
            <w:noProof/>
            <w:webHidden/>
          </w:rPr>
        </w:r>
        <w:r>
          <w:rPr>
            <w:noProof/>
            <w:webHidden/>
          </w:rPr>
          <w:fldChar w:fldCharType="separate"/>
        </w:r>
        <w:r>
          <w:rPr>
            <w:noProof/>
            <w:webHidden/>
          </w:rPr>
          <w:t>1354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1" w:history="1">
        <w:r w:rsidRPr="00B80388">
          <w:rPr>
            <w:rStyle w:val="a5"/>
            <w:noProof/>
          </w:rPr>
          <w:t xml:space="preserve">Title: </w:t>
        </w:r>
        <w:r w:rsidRPr="00B80388">
          <w:rPr>
            <w:rStyle w:val="a5"/>
            <w:iCs/>
            <w:noProof/>
          </w:rPr>
          <w:t>IEEE Transactions on Engineering Management</w:t>
        </w:r>
        <w:r>
          <w:rPr>
            <w:noProof/>
            <w:webHidden/>
          </w:rPr>
          <w:tab/>
        </w:r>
        <w:r>
          <w:rPr>
            <w:noProof/>
            <w:webHidden/>
          </w:rPr>
          <w:fldChar w:fldCharType="begin"/>
        </w:r>
        <w:r>
          <w:rPr>
            <w:noProof/>
            <w:webHidden/>
          </w:rPr>
          <w:instrText xml:space="preserve"> PAGEREF _Toc317161241 \h </w:instrText>
        </w:r>
        <w:r>
          <w:rPr>
            <w:noProof/>
            <w:webHidden/>
          </w:rPr>
        </w:r>
        <w:r>
          <w:rPr>
            <w:noProof/>
            <w:webHidden/>
          </w:rPr>
          <w:fldChar w:fldCharType="separate"/>
        </w:r>
        <w:r>
          <w:rPr>
            <w:noProof/>
            <w:webHidden/>
          </w:rPr>
          <w:t>1355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2" w:history="1">
        <w:r w:rsidRPr="00B80388">
          <w:rPr>
            <w:rStyle w:val="a5"/>
            <w:noProof/>
          </w:rPr>
          <w:t xml:space="preserve">Title: </w:t>
        </w:r>
        <w:r w:rsidRPr="00B80388">
          <w:rPr>
            <w:rStyle w:val="a5"/>
            <w:iCs/>
            <w:noProof/>
          </w:rPr>
          <w:t>Information Visualization</w:t>
        </w:r>
        <w:r>
          <w:rPr>
            <w:noProof/>
            <w:webHidden/>
          </w:rPr>
          <w:tab/>
        </w:r>
        <w:r>
          <w:rPr>
            <w:noProof/>
            <w:webHidden/>
          </w:rPr>
          <w:fldChar w:fldCharType="begin"/>
        </w:r>
        <w:r>
          <w:rPr>
            <w:noProof/>
            <w:webHidden/>
          </w:rPr>
          <w:instrText xml:space="preserve"> PAGEREF _Toc317161242 \h </w:instrText>
        </w:r>
        <w:r>
          <w:rPr>
            <w:noProof/>
            <w:webHidden/>
          </w:rPr>
        </w:r>
        <w:r>
          <w:rPr>
            <w:noProof/>
            <w:webHidden/>
          </w:rPr>
          <w:fldChar w:fldCharType="separate"/>
        </w:r>
        <w:r>
          <w:rPr>
            <w:noProof/>
            <w:webHidden/>
          </w:rPr>
          <w:t>1357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3" w:history="1">
        <w:r w:rsidRPr="00B80388">
          <w:rPr>
            <w:rStyle w:val="a5"/>
            <w:noProof/>
          </w:rPr>
          <w:t xml:space="preserve">Title: </w:t>
        </w:r>
        <w:r w:rsidRPr="00B80388">
          <w:rPr>
            <w:rStyle w:val="a5"/>
            <w:iCs/>
            <w:noProof/>
          </w:rPr>
          <w:t>2007 11th International Conference on Information Visualization</w:t>
        </w:r>
        <w:r>
          <w:rPr>
            <w:noProof/>
            <w:webHidden/>
          </w:rPr>
          <w:tab/>
        </w:r>
        <w:r>
          <w:rPr>
            <w:noProof/>
            <w:webHidden/>
          </w:rPr>
          <w:fldChar w:fldCharType="begin"/>
        </w:r>
        <w:r>
          <w:rPr>
            <w:noProof/>
            <w:webHidden/>
          </w:rPr>
          <w:instrText xml:space="preserve"> PAGEREF _Toc317161243 \h </w:instrText>
        </w:r>
        <w:r>
          <w:rPr>
            <w:noProof/>
            <w:webHidden/>
          </w:rPr>
        </w:r>
        <w:r>
          <w:rPr>
            <w:noProof/>
            <w:webHidden/>
          </w:rPr>
          <w:fldChar w:fldCharType="separate"/>
        </w:r>
        <w:r>
          <w:rPr>
            <w:noProof/>
            <w:webHidden/>
          </w:rPr>
          <w:t>1358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4" w:history="1">
        <w:r w:rsidRPr="00B80388">
          <w:rPr>
            <w:rStyle w:val="a5"/>
            <w:noProof/>
          </w:rPr>
          <w:t xml:space="preserve">Title: </w:t>
        </w:r>
        <w:r w:rsidRPr="00B80388">
          <w:rPr>
            <w:rStyle w:val="a5"/>
            <w:iCs/>
            <w:noProof/>
          </w:rPr>
          <w:t>2007 International Conference on Management Science and Engineering</w:t>
        </w:r>
        <w:r>
          <w:rPr>
            <w:noProof/>
            <w:webHidden/>
          </w:rPr>
          <w:tab/>
        </w:r>
        <w:r>
          <w:rPr>
            <w:noProof/>
            <w:webHidden/>
          </w:rPr>
          <w:fldChar w:fldCharType="begin"/>
        </w:r>
        <w:r>
          <w:rPr>
            <w:noProof/>
            <w:webHidden/>
          </w:rPr>
          <w:instrText xml:space="preserve"> PAGEREF _Toc317161244 \h </w:instrText>
        </w:r>
        <w:r>
          <w:rPr>
            <w:noProof/>
            <w:webHidden/>
          </w:rPr>
        </w:r>
        <w:r>
          <w:rPr>
            <w:noProof/>
            <w:webHidden/>
          </w:rPr>
          <w:fldChar w:fldCharType="separate"/>
        </w:r>
        <w:r>
          <w:rPr>
            <w:noProof/>
            <w:webHidden/>
          </w:rPr>
          <w:t>1360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5" w:history="1">
        <w:r w:rsidRPr="00B80388">
          <w:rPr>
            <w:rStyle w:val="a5"/>
            <w:noProof/>
          </w:rPr>
          <w:t>Title: 7</w:t>
        </w:r>
        <w:r w:rsidRPr="00B80388">
          <w:rPr>
            <w:rStyle w:val="a5"/>
            <w:noProof/>
            <w:vertAlign w:val="superscript"/>
          </w:rPr>
          <w:t>th</w:t>
        </w:r>
        <w:r w:rsidRPr="00B80388">
          <w:rPr>
            <w:rStyle w:val="a5"/>
            <w:noProof/>
          </w:rPr>
          <w:t xml:space="preserve"> International Conference on Wetland Systems for Water Pollution Control</w:t>
        </w:r>
        <w:r>
          <w:rPr>
            <w:noProof/>
            <w:webHidden/>
          </w:rPr>
          <w:tab/>
        </w:r>
        <w:r>
          <w:rPr>
            <w:noProof/>
            <w:webHidden/>
          </w:rPr>
          <w:fldChar w:fldCharType="begin"/>
        </w:r>
        <w:r>
          <w:rPr>
            <w:noProof/>
            <w:webHidden/>
          </w:rPr>
          <w:instrText xml:space="preserve"> PAGEREF _Toc317161245 \h </w:instrText>
        </w:r>
        <w:r>
          <w:rPr>
            <w:noProof/>
            <w:webHidden/>
          </w:rPr>
        </w:r>
        <w:r>
          <w:rPr>
            <w:noProof/>
            <w:webHidden/>
          </w:rPr>
          <w:fldChar w:fldCharType="separate"/>
        </w:r>
        <w:r>
          <w:rPr>
            <w:noProof/>
            <w:webHidden/>
          </w:rPr>
          <w:t>1362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6" w:history="1">
        <w:r w:rsidRPr="00B80388">
          <w:rPr>
            <w:rStyle w:val="a5"/>
            <w:noProof/>
          </w:rPr>
          <w:t>Title: International Congress on Advances in Nonimpact Printing Technologies ISandT’S Eleventh International Congress on Advances in Non-Impact Printing Technologies ISandT Final Program and Proceedings</w:t>
        </w:r>
        <w:r>
          <w:rPr>
            <w:noProof/>
            <w:webHidden/>
          </w:rPr>
          <w:tab/>
        </w:r>
        <w:r>
          <w:rPr>
            <w:noProof/>
            <w:webHidden/>
          </w:rPr>
          <w:fldChar w:fldCharType="begin"/>
        </w:r>
        <w:r>
          <w:rPr>
            <w:noProof/>
            <w:webHidden/>
          </w:rPr>
          <w:instrText xml:space="preserve"> PAGEREF _Toc317161246 \h </w:instrText>
        </w:r>
        <w:r>
          <w:rPr>
            <w:noProof/>
            <w:webHidden/>
          </w:rPr>
        </w:r>
        <w:r>
          <w:rPr>
            <w:noProof/>
            <w:webHidden/>
          </w:rPr>
          <w:fldChar w:fldCharType="separate"/>
        </w:r>
        <w:r>
          <w:rPr>
            <w:noProof/>
            <w:webHidden/>
          </w:rPr>
          <w:t>1363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7" w:history="1">
        <w:r w:rsidRPr="00B80388">
          <w:rPr>
            <w:rStyle w:val="a5"/>
            <w:noProof/>
          </w:rPr>
          <w:t xml:space="preserve">Title: </w:t>
        </w:r>
        <w:r w:rsidRPr="00B80388">
          <w:rPr>
            <w:rStyle w:val="a5"/>
            <w:iCs/>
            <w:noProof/>
          </w:rPr>
          <w:t>International Dairy Journal</w:t>
        </w:r>
        <w:r>
          <w:rPr>
            <w:noProof/>
            <w:webHidden/>
          </w:rPr>
          <w:tab/>
        </w:r>
        <w:r>
          <w:rPr>
            <w:noProof/>
            <w:webHidden/>
          </w:rPr>
          <w:fldChar w:fldCharType="begin"/>
        </w:r>
        <w:r>
          <w:rPr>
            <w:noProof/>
            <w:webHidden/>
          </w:rPr>
          <w:instrText xml:space="preserve"> PAGEREF _Toc317161247 \h </w:instrText>
        </w:r>
        <w:r>
          <w:rPr>
            <w:noProof/>
            <w:webHidden/>
          </w:rPr>
        </w:r>
        <w:r>
          <w:rPr>
            <w:noProof/>
            <w:webHidden/>
          </w:rPr>
          <w:fldChar w:fldCharType="separate"/>
        </w:r>
        <w:r>
          <w:rPr>
            <w:noProof/>
            <w:webHidden/>
          </w:rPr>
          <w:t>1364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8" w:history="1">
        <w:r w:rsidRPr="00B80388">
          <w:rPr>
            <w:rStyle w:val="a5"/>
            <w:noProof/>
          </w:rPr>
          <w:t>Title: International Dental Journal</w:t>
        </w:r>
        <w:r>
          <w:rPr>
            <w:noProof/>
            <w:webHidden/>
          </w:rPr>
          <w:tab/>
        </w:r>
        <w:r>
          <w:rPr>
            <w:noProof/>
            <w:webHidden/>
          </w:rPr>
          <w:fldChar w:fldCharType="begin"/>
        </w:r>
        <w:r>
          <w:rPr>
            <w:noProof/>
            <w:webHidden/>
          </w:rPr>
          <w:instrText xml:space="preserve"> PAGEREF _Toc317161248 \h </w:instrText>
        </w:r>
        <w:r>
          <w:rPr>
            <w:noProof/>
            <w:webHidden/>
          </w:rPr>
        </w:r>
        <w:r>
          <w:rPr>
            <w:noProof/>
            <w:webHidden/>
          </w:rPr>
          <w:fldChar w:fldCharType="separate"/>
        </w:r>
        <w:r>
          <w:rPr>
            <w:noProof/>
            <w:webHidden/>
          </w:rPr>
          <w:t>1365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49" w:history="1">
        <w:r w:rsidRPr="00B80388">
          <w:rPr>
            <w:rStyle w:val="a5"/>
            <w:noProof/>
          </w:rPr>
          <w:t xml:space="preserve">Title: </w:t>
        </w:r>
        <w:r w:rsidRPr="00B80388">
          <w:rPr>
            <w:rStyle w:val="a5"/>
            <w:iCs/>
            <w:noProof/>
          </w:rPr>
          <w:t>International Endodontic Journal</w:t>
        </w:r>
        <w:r>
          <w:rPr>
            <w:noProof/>
            <w:webHidden/>
          </w:rPr>
          <w:tab/>
        </w:r>
        <w:r>
          <w:rPr>
            <w:noProof/>
            <w:webHidden/>
          </w:rPr>
          <w:fldChar w:fldCharType="begin"/>
        </w:r>
        <w:r>
          <w:rPr>
            <w:noProof/>
            <w:webHidden/>
          </w:rPr>
          <w:instrText xml:space="preserve"> PAGEREF _Toc317161249 \h </w:instrText>
        </w:r>
        <w:r>
          <w:rPr>
            <w:noProof/>
            <w:webHidden/>
          </w:rPr>
        </w:r>
        <w:r>
          <w:rPr>
            <w:noProof/>
            <w:webHidden/>
          </w:rPr>
          <w:fldChar w:fldCharType="separate"/>
        </w:r>
        <w:r>
          <w:rPr>
            <w:noProof/>
            <w:webHidden/>
          </w:rPr>
          <w:t>1368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0" w:history="1">
        <w:r w:rsidRPr="00B80388">
          <w:rPr>
            <w:rStyle w:val="a5"/>
            <w:noProof/>
          </w:rPr>
          <w:t>Title: International Food Research Journal</w:t>
        </w:r>
        <w:r>
          <w:rPr>
            <w:noProof/>
            <w:webHidden/>
          </w:rPr>
          <w:tab/>
        </w:r>
        <w:r>
          <w:rPr>
            <w:noProof/>
            <w:webHidden/>
          </w:rPr>
          <w:fldChar w:fldCharType="begin"/>
        </w:r>
        <w:r>
          <w:rPr>
            <w:noProof/>
            <w:webHidden/>
          </w:rPr>
          <w:instrText xml:space="preserve"> PAGEREF _Toc317161250 \h </w:instrText>
        </w:r>
        <w:r>
          <w:rPr>
            <w:noProof/>
            <w:webHidden/>
          </w:rPr>
        </w:r>
        <w:r>
          <w:rPr>
            <w:noProof/>
            <w:webHidden/>
          </w:rPr>
          <w:fldChar w:fldCharType="separate"/>
        </w:r>
        <w:r>
          <w:rPr>
            <w:noProof/>
            <w:webHidden/>
          </w:rPr>
          <w:t>1370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1" w:history="1">
        <w:r w:rsidRPr="00B80388">
          <w:rPr>
            <w:rStyle w:val="a5"/>
            <w:noProof/>
          </w:rPr>
          <w:t>Title: International Forestry Review</w:t>
        </w:r>
        <w:r>
          <w:rPr>
            <w:noProof/>
            <w:webHidden/>
          </w:rPr>
          <w:tab/>
        </w:r>
        <w:r>
          <w:rPr>
            <w:noProof/>
            <w:webHidden/>
          </w:rPr>
          <w:fldChar w:fldCharType="begin"/>
        </w:r>
        <w:r>
          <w:rPr>
            <w:noProof/>
            <w:webHidden/>
          </w:rPr>
          <w:instrText xml:space="preserve"> PAGEREF _Toc317161251 \h </w:instrText>
        </w:r>
        <w:r>
          <w:rPr>
            <w:noProof/>
            <w:webHidden/>
          </w:rPr>
        </w:r>
        <w:r>
          <w:rPr>
            <w:noProof/>
            <w:webHidden/>
          </w:rPr>
          <w:fldChar w:fldCharType="separate"/>
        </w:r>
        <w:r>
          <w:rPr>
            <w:noProof/>
            <w:webHidden/>
          </w:rPr>
          <w:t>1371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2" w:history="1">
        <w:r w:rsidRPr="00B80388">
          <w:rPr>
            <w:rStyle w:val="a5"/>
            <w:noProof/>
          </w:rPr>
          <w:t>Title: International Forum on Information and Documentation</w:t>
        </w:r>
        <w:r>
          <w:rPr>
            <w:noProof/>
            <w:webHidden/>
          </w:rPr>
          <w:tab/>
        </w:r>
        <w:r>
          <w:rPr>
            <w:noProof/>
            <w:webHidden/>
          </w:rPr>
          <w:fldChar w:fldCharType="begin"/>
        </w:r>
        <w:r>
          <w:rPr>
            <w:noProof/>
            <w:webHidden/>
          </w:rPr>
          <w:instrText xml:space="preserve"> PAGEREF _Toc317161252 \h </w:instrText>
        </w:r>
        <w:r>
          <w:rPr>
            <w:noProof/>
            <w:webHidden/>
          </w:rPr>
        </w:r>
        <w:r>
          <w:rPr>
            <w:noProof/>
            <w:webHidden/>
          </w:rPr>
          <w:fldChar w:fldCharType="separate"/>
        </w:r>
        <w:r>
          <w:rPr>
            <w:noProof/>
            <w:webHidden/>
          </w:rPr>
          <w:t>1372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3" w:history="1">
        <w:r w:rsidRPr="00B80388">
          <w:rPr>
            <w:rStyle w:val="a5"/>
            <w:noProof/>
          </w:rPr>
          <w:t>Title: International Geology Review</w:t>
        </w:r>
        <w:r>
          <w:rPr>
            <w:noProof/>
            <w:webHidden/>
          </w:rPr>
          <w:tab/>
        </w:r>
        <w:r>
          <w:rPr>
            <w:noProof/>
            <w:webHidden/>
          </w:rPr>
          <w:fldChar w:fldCharType="begin"/>
        </w:r>
        <w:r>
          <w:rPr>
            <w:noProof/>
            <w:webHidden/>
          </w:rPr>
          <w:instrText xml:space="preserve"> PAGEREF _Toc317161253 \h </w:instrText>
        </w:r>
        <w:r>
          <w:rPr>
            <w:noProof/>
            <w:webHidden/>
          </w:rPr>
        </w:r>
        <w:r>
          <w:rPr>
            <w:noProof/>
            <w:webHidden/>
          </w:rPr>
          <w:fldChar w:fldCharType="separate"/>
        </w:r>
        <w:r>
          <w:rPr>
            <w:noProof/>
            <w:webHidden/>
          </w:rPr>
          <w:t>1377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4" w:history="1">
        <w:r w:rsidRPr="00B80388">
          <w:rPr>
            <w:rStyle w:val="a5"/>
            <w:noProof/>
          </w:rPr>
          <w:t>Title: International Information, Communication and Education</w:t>
        </w:r>
        <w:r>
          <w:rPr>
            <w:noProof/>
            <w:webHidden/>
          </w:rPr>
          <w:tab/>
        </w:r>
        <w:r>
          <w:rPr>
            <w:noProof/>
            <w:webHidden/>
          </w:rPr>
          <w:fldChar w:fldCharType="begin"/>
        </w:r>
        <w:r>
          <w:rPr>
            <w:noProof/>
            <w:webHidden/>
          </w:rPr>
          <w:instrText xml:space="preserve"> PAGEREF _Toc317161254 \h </w:instrText>
        </w:r>
        <w:r>
          <w:rPr>
            <w:noProof/>
            <w:webHidden/>
          </w:rPr>
        </w:r>
        <w:r>
          <w:rPr>
            <w:noProof/>
            <w:webHidden/>
          </w:rPr>
          <w:fldChar w:fldCharType="separate"/>
        </w:r>
        <w:r>
          <w:rPr>
            <w:noProof/>
            <w:webHidden/>
          </w:rPr>
          <w:t>1378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5" w:history="1">
        <w:r w:rsidRPr="00B80388">
          <w:rPr>
            <w:rStyle w:val="a5"/>
            <w:noProof/>
          </w:rPr>
          <w:t>Title: International Information &amp; Library Review</w:t>
        </w:r>
        <w:r>
          <w:rPr>
            <w:noProof/>
            <w:webHidden/>
          </w:rPr>
          <w:tab/>
        </w:r>
        <w:r>
          <w:rPr>
            <w:noProof/>
            <w:webHidden/>
          </w:rPr>
          <w:fldChar w:fldCharType="begin"/>
        </w:r>
        <w:r>
          <w:rPr>
            <w:noProof/>
            <w:webHidden/>
          </w:rPr>
          <w:instrText xml:space="preserve"> PAGEREF _Toc317161255 \h </w:instrText>
        </w:r>
        <w:r>
          <w:rPr>
            <w:noProof/>
            <w:webHidden/>
          </w:rPr>
        </w:r>
        <w:r>
          <w:rPr>
            <w:noProof/>
            <w:webHidden/>
          </w:rPr>
          <w:fldChar w:fldCharType="separate"/>
        </w:r>
        <w:r>
          <w:rPr>
            <w:noProof/>
            <w:webHidden/>
          </w:rPr>
          <w:t>1379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6" w:history="1">
        <w:r w:rsidRPr="00B80388">
          <w:rPr>
            <w:rStyle w:val="a5"/>
            <w:noProof/>
          </w:rPr>
          <w:t>Title: International Journal of the Addictions</w:t>
        </w:r>
        <w:r>
          <w:rPr>
            <w:noProof/>
            <w:webHidden/>
          </w:rPr>
          <w:tab/>
        </w:r>
        <w:r>
          <w:rPr>
            <w:noProof/>
            <w:webHidden/>
          </w:rPr>
          <w:fldChar w:fldCharType="begin"/>
        </w:r>
        <w:r>
          <w:rPr>
            <w:noProof/>
            <w:webHidden/>
          </w:rPr>
          <w:instrText xml:space="preserve"> PAGEREF _Toc317161256 \h </w:instrText>
        </w:r>
        <w:r>
          <w:rPr>
            <w:noProof/>
            <w:webHidden/>
          </w:rPr>
        </w:r>
        <w:r>
          <w:rPr>
            <w:noProof/>
            <w:webHidden/>
          </w:rPr>
          <w:fldChar w:fldCharType="separate"/>
        </w:r>
        <w:r>
          <w:rPr>
            <w:noProof/>
            <w:webHidden/>
          </w:rPr>
          <w:t>1386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7" w:history="1">
        <w:r w:rsidRPr="00B80388">
          <w:rPr>
            <w:rStyle w:val="a5"/>
            <w:noProof/>
          </w:rPr>
          <w:t>Title: International Journal of Advanced Manufacturing Technology</w:t>
        </w:r>
        <w:r>
          <w:rPr>
            <w:noProof/>
            <w:webHidden/>
          </w:rPr>
          <w:tab/>
        </w:r>
        <w:r>
          <w:rPr>
            <w:noProof/>
            <w:webHidden/>
          </w:rPr>
          <w:fldChar w:fldCharType="begin"/>
        </w:r>
        <w:r>
          <w:rPr>
            <w:noProof/>
            <w:webHidden/>
          </w:rPr>
          <w:instrText xml:space="preserve"> PAGEREF _Toc317161257 \h </w:instrText>
        </w:r>
        <w:r>
          <w:rPr>
            <w:noProof/>
            <w:webHidden/>
          </w:rPr>
        </w:r>
        <w:r>
          <w:rPr>
            <w:noProof/>
            <w:webHidden/>
          </w:rPr>
          <w:fldChar w:fldCharType="separate"/>
        </w:r>
        <w:r>
          <w:rPr>
            <w:noProof/>
            <w:webHidden/>
          </w:rPr>
          <w:t>1387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8" w:history="1">
        <w:r w:rsidRPr="00B80388">
          <w:rPr>
            <w:rStyle w:val="a5"/>
            <w:noProof/>
          </w:rPr>
          <w:t>Title: International Journal of Agricultural Sustainability</w:t>
        </w:r>
        <w:r>
          <w:rPr>
            <w:noProof/>
            <w:webHidden/>
          </w:rPr>
          <w:tab/>
        </w:r>
        <w:r>
          <w:rPr>
            <w:noProof/>
            <w:webHidden/>
          </w:rPr>
          <w:fldChar w:fldCharType="begin"/>
        </w:r>
        <w:r>
          <w:rPr>
            <w:noProof/>
            <w:webHidden/>
          </w:rPr>
          <w:instrText xml:space="preserve"> PAGEREF _Toc317161258 \h </w:instrText>
        </w:r>
        <w:r>
          <w:rPr>
            <w:noProof/>
            <w:webHidden/>
          </w:rPr>
        </w:r>
        <w:r>
          <w:rPr>
            <w:noProof/>
            <w:webHidden/>
          </w:rPr>
          <w:fldChar w:fldCharType="separate"/>
        </w:r>
        <w:r>
          <w:rPr>
            <w:noProof/>
            <w:webHidden/>
          </w:rPr>
          <w:t>1388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59" w:history="1">
        <w:r w:rsidRPr="00B80388">
          <w:rPr>
            <w:rStyle w:val="a5"/>
            <w:noProof/>
          </w:rPr>
          <w:t xml:space="preserve">Title: </w:t>
        </w:r>
        <w:r w:rsidRPr="00B80388">
          <w:rPr>
            <w:rStyle w:val="a5"/>
            <w:iCs/>
            <w:noProof/>
          </w:rPr>
          <w:t>International Journal of Approximate Reasoning</w:t>
        </w:r>
        <w:r>
          <w:rPr>
            <w:noProof/>
            <w:webHidden/>
          </w:rPr>
          <w:tab/>
        </w:r>
        <w:r>
          <w:rPr>
            <w:noProof/>
            <w:webHidden/>
          </w:rPr>
          <w:fldChar w:fldCharType="begin"/>
        </w:r>
        <w:r>
          <w:rPr>
            <w:noProof/>
            <w:webHidden/>
          </w:rPr>
          <w:instrText xml:space="preserve"> PAGEREF _Toc317161259 \h </w:instrText>
        </w:r>
        <w:r>
          <w:rPr>
            <w:noProof/>
            <w:webHidden/>
          </w:rPr>
        </w:r>
        <w:r>
          <w:rPr>
            <w:noProof/>
            <w:webHidden/>
          </w:rPr>
          <w:fldChar w:fldCharType="separate"/>
        </w:r>
        <w:r>
          <w:rPr>
            <w:noProof/>
            <w:webHidden/>
          </w:rPr>
          <w:t>1390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0" w:history="1">
        <w:r w:rsidRPr="00B80388">
          <w:rPr>
            <w:rStyle w:val="a5"/>
            <w:noProof/>
          </w:rPr>
          <w:t>Title: International Journal of Artificial Organs</w:t>
        </w:r>
        <w:r>
          <w:rPr>
            <w:noProof/>
            <w:webHidden/>
          </w:rPr>
          <w:tab/>
        </w:r>
        <w:r>
          <w:rPr>
            <w:noProof/>
            <w:webHidden/>
          </w:rPr>
          <w:fldChar w:fldCharType="begin"/>
        </w:r>
        <w:r>
          <w:rPr>
            <w:noProof/>
            <w:webHidden/>
          </w:rPr>
          <w:instrText xml:space="preserve"> PAGEREF _Toc317161260 \h </w:instrText>
        </w:r>
        <w:r>
          <w:rPr>
            <w:noProof/>
            <w:webHidden/>
          </w:rPr>
        </w:r>
        <w:r>
          <w:rPr>
            <w:noProof/>
            <w:webHidden/>
          </w:rPr>
          <w:fldChar w:fldCharType="separate"/>
        </w:r>
        <w:r>
          <w:rPr>
            <w:noProof/>
            <w:webHidden/>
          </w:rPr>
          <w:t>1391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1" w:history="1">
        <w:r w:rsidRPr="00B80388">
          <w:rPr>
            <w:rStyle w:val="a5"/>
            <w:noProof/>
          </w:rPr>
          <w:t>Title: International Journal of Behavioral Development</w:t>
        </w:r>
        <w:r>
          <w:rPr>
            <w:noProof/>
            <w:webHidden/>
          </w:rPr>
          <w:tab/>
        </w:r>
        <w:r>
          <w:rPr>
            <w:noProof/>
            <w:webHidden/>
          </w:rPr>
          <w:fldChar w:fldCharType="begin"/>
        </w:r>
        <w:r>
          <w:rPr>
            <w:noProof/>
            <w:webHidden/>
          </w:rPr>
          <w:instrText xml:space="preserve"> PAGEREF _Toc317161261 \h </w:instrText>
        </w:r>
        <w:r>
          <w:rPr>
            <w:noProof/>
            <w:webHidden/>
          </w:rPr>
        </w:r>
        <w:r>
          <w:rPr>
            <w:noProof/>
            <w:webHidden/>
          </w:rPr>
          <w:fldChar w:fldCharType="separate"/>
        </w:r>
        <w:r>
          <w:rPr>
            <w:noProof/>
            <w:webHidden/>
          </w:rPr>
          <w:t>1393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2" w:history="1">
        <w:r w:rsidRPr="00B80388">
          <w:rPr>
            <w:rStyle w:val="a5"/>
            <w:noProof/>
          </w:rPr>
          <w:t xml:space="preserve">Title: </w:t>
        </w:r>
        <w:r w:rsidRPr="00B80388">
          <w:rPr>
            <w:rStyle w:val="a5"/>
            <w:iCs/>
            <w:noProof/>
          </w:rPr>
          <w:t>International Journal of Behavioral Medicine</w:t>
        </w:r>
        <w:r>
          <w:rPr>
            <w:noProof/>
            <w:webHidden/>
          </w:rPr>
          <w:tab/>
        </w:r>
        <w:r>
          <w:rPr>
            <w:noProof/>
            <w:webHidden/>
          </w:rPr>
          <w:fldChar w:fldCharType="begin"/>
        </w:r>
        <w:r>
          <w:rPr>
            <w:noProof/>
            <w:webHidden/>
          </w:rPr>
          <w:instrText xml:space="preserve"> PAGEREF _Toc317161262 \h </w:instrText>
        </w:r>
        <w:r>
          <w:rPr>
            <w:noProof/>
            <w:webHidden/>
          </w:rPr>
        </w:r>
        <w:r>
          <w:rPr>
            <w:noProof/>
            <w:webHidden/>
          </w:rPr>
          <w:fldChar w:fldCharType="separate"/>
        </w:r>
        <w:r>
          <w:rPr>
            <w:noProof/>
            <w:webHidden/>
          </w:rPr>
          <w:t>1394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3" w:history="1">
        <w:r w:rsidRPr="00B80388">
          <w:rPr>
            <w:rStyle w:val="a5"/>
            <w:noProof/>
          </w:rPr>
          <w:t xml:space="preserve">Title: </w:t>
        </w:r>
        <w:r w:rsidRPr="00B80388">
          <w:rPr>
            <w:rStyle w:val="a5"/>
            <w:iCs/>
            <w:noProof/>
          </w:rPr>
          <w:t>International Journal of Behavioral Nutrition and Physical Activity</w:t>
        </w:r>
        <w:r>
          <w:rPr>
            <w:noProof/>
            <w:webHidden/>
          </w:rPr>
          <w:tab/>
        </w:r>
        <w:r>
          <w:rPr>
            <w:noProof/>
            <w:webHidden/>
          </w:rPr>
          <w:fldChar w:fldCharType="begin"/>
        </w:r>
        <w:r>
          <w:rPr>
            <w:noProof/>
            <w:webHidden/>
          </w:rPr>
          <w:instrText xml:space="preserve"> PAGEREF _Toc317161263 \h </w:instrText>
        </w:r>
        <w:r>
          <w:rPr>
            <w:noProof/>
            <w:webHidden/>
          </w:rPr>
        </w:r>
        <w:r>
          <w:rPr>
            <w:noProof/>
            <w:webHidden/>
          </w:rPr>
          <w:fldChar w:fldCharType="separate"/>
        </w:r>
        <w:r>
          <w:rPr>
            <w:noProof/>
            <w:webHidden/>
          </w:rPr>
          <w:t>1395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4" w:history="1">
        <w:r w:rsidRPr="00B80388">
          <w:rPr>
            <w:rStyle w:val="a5"/>
            <w:noProof/>
          </w:rPr>
          <w:t>Title: International Journal of Bifurcation and Chaos</w:t>
        </w:r>
        <w:r>
          <w:rPr>
            <w:noProof/>
            <w:webHidden/>
          </w:rPr>
          <w:tab/>
        </w:r>
        <w:r>
          <w:rPr>
            <w:noProof/>
            <w:webHidden/>
          </w:rPr>
          <w:fldChar w:fldCharType="begin"/>
        </w:r>
        <w:r>
          <w:rPr>
            <w:noProof/>
            <w:webHidden/>
          </w:rPr>
          <w:instrText xml:space="preserve"> PAGEREF _Toc317161264 \h </w:instrText>
        </w:r>
        <w:r>
          <w:rPr>
            <w:noProof/>
            <w:webHidden/>
          </w:rPr>
        </w:r>
        <w:r>
          <w:rPr>
            <w:noProof/>
            <w:webHidden/>
          </w:rPr>
          <w:fldChar w:fldCharType="separate"/>
        </w:r>
        <w:r>
          <w:rPr>
            <w:noProof/>
            <w:webHidden/>
          </w:rPr>
          <w:t>1400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5" w:history="1">
        <w:r w:rsidRPr="00B80388">
          <w:rPr>
            <w:rStyle w:val="a5"/>
            <w:noProof/>
          </w:rPr>
          <w:t>Title: International Journal of Biological Macromolecules</w:t>
        </w:r>
        <w:r>
          <w:rPr>
            <w:noProof/>
            <w:webHidden/>
          </w:rPr>
          <w:tab/>
        </w:r>
        <w:r>
          <w:rPr>
            <w:noProof/>
            <w:webHidden/>
          </w:rPr>
          <w:fldChar w:fldCharType="begin"/>
        </w:r>
        <w:r>
          <w:rPr>
            <w:noProof/>
            <w:webHidden/>
          </w:rPr>
          <w:instrText xml:space="preserve"> PAGEREF _Toc317161265 \h </w:instrText>
        </w:r>
        <w:r>
          <w:rPr>
            <w:noProof/>
            <w:webHidden/>
          </w:rPr>
        </w:r>
        <w:r>
          <w:rPr>
            <w:noProof/>
            <w:webHidden/>
          </w:rPr>
          <w:fldChar w:fldCharType="separate"/>
        </w:r>
        <w:r>
          <w:rPr>
            <w:noProof/>
            <w:webHidden/>
          </w:rPr>
          <w:t>1401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6" w:history="1">
        <w:r w:rsidRPr="00B80388">
          <w:rPr>
            <w:rStyle w:val="a5"/>
            <w:noProof/>
          </w:rPr>
          <w:t>Title: International Journal of Cancer</w:t>
        </w:r>
        <w:r>
          <w:rPr>
            <w:noProof/>
            <w:webHidden/>
          </w:rPr>
          <w:tab/>
        </w:r>
        <w:r>
          <w:rPr>
            <w:noProof/>
            <w:webHidden/>
          </w:rPr>
          <w:fldChar w:fldCharType="begin"/>
        </w:r>
        <w:r>
          <w:rPr>
            <w:noProof/>
            <w:webHidden/>
          </w:rPr>
          <w:instrText xml:space="preserve"> PAGEREF _Toc317161266 \h </w:instrText>
        </w:r>
        <w:r>
          <w:rPr>
            <w:noProof/>
            <w:webHidden/>
          </w:rPr>
        </w:r>
        <w:r>
          <w:rPr>
            <w:noProof/>
            <w:webHidden/>
          </w:rPr>
          <w:fldChar w:fldCharType="separate"/>
        </w:r>
        <w:r>
          <w:rPr>
            <w:noProof/>
            <w:webHidden/>
          </w:rPr>
          <w:t>1414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7" w:history="1">
        <w:r w:rsidRPr="00B80388">
          <w:rPr>
            <w:rStyle w:val="a5"/>
            <w:noProof/>
          </w:rPr>
          <w:t>Title: International Journal of Cardiology</w:t>
        </w:r>
        <w:r>
          <w:rPr>
            <w:noProof/>
            <w:webHidden/>
          </w:rPr>
          <w:tab/>
        </w:r>
        <w:r>
          <w:rPr>
            <w:noProof/>
            <w:webHidden/>
          </w:rPr>
          <w:fldChar w:fldCharType="begin"/>
        </w:r>
        <w:r>
          <w:rPr>
            <w:noProof/>
            <w:webHidden/>
          </w:rPr>
          <w:instrText xml:space="preserve"> PAGEREF _Toc317161267 \h </w:instrText>
        </w:r>
        <w:r>
          <w:rPr>
            <w:noProof/>
            <w:webHidden/>
          </w:rPr>
        </w:r>
        <w:r>
          <w:rPr>
            <w:noProof/>
            <w:webHidden/>
          </w:rPr>
          <w:fldChar w:fldCharType="separate"/>
        </w:r>
        <w:r>
          <w:rPr>
            <w:noProof/>
            <w:webHidden/>
          </w:rPr>
          <w:t>1425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8" w:history="1">
        <w:r w:rsidRPr="00B80388">
          <w:rPr>
            <w:rStyle w:val="a5"/>
            <w:noProof/>
          </w:rPr>
          <w:t>Title: International Journal of Chemical Engineering</w:t>
        </w:r>
        <w:r>
          <w:rPr>
            <w:noProof/>
            <w:webHidden/>
          </w:rPr>
          <w:tab/>
        </w:r>
        <w:r>
          <w:rPr>
            <w:noProof/>
            <w:webHidden/>
          </w:rPr>
          <w:fldChar w:fldCharType="begin"/>
        </w:r>
        <w:r>
          <w:rPr>
            <w:noProof/>
            <w:webHidden/>
          </w:rPr>
          <w:instrText xml:space="preserve"> PAGEREF _Toc317161268 \h </w:instrText>
        </w:r>
        <w:r>
          <w:rPr>
            <w:noProof/>
            <w:webHidden/>
          </w:rPr>
        </w:r>
        <w:r>
          <w:rPr>
            <w:noProof/>
            <w:webHidden/>
          </w:rPr>
          <w:fldChar w:fldCharType="separate"/>
        </w:r>
        <w:r>
          <w:rPr>
            <w:noProof/>
            <w:webHidden/>
          </w:rPr>
          <w:t>1431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69" w:history="1">
        <w:r w:rsidRPr="00B80388">
          <w:rPr>
            <w:rStyle w:val="a5"/>
            <w:noProof/>
          </w:rPr>
          <w:t>Title: International Journal of Chemical Kinetics</w:t>
        </w:r>
        <w:r>
          <w:rPr>
            <w:noProof/>
            <w:webHidden/>
          </w:rPr>
          <w:tab/>
        </w:r>
        <w:r>
          <w:rPr>
            <w:noProof/>
            <w:webHidden/>
          </w:rPr>
          <w:fldChar w:fldCharType="begin"/>
        </w:r>
        <w:r>
          <w:rPr>
            <w:noProof/>
            <w:webHidden/>
          </w:rPr>
          <w:instrText xml:space="preserve"> PAGEREF _Toc317161269 \h </w:instrText>
        </w:r>
        <w:r>
          <w:rPr>
            <w:noProof/>
            <w:webHidden/>
          </w:rPr>
        </w:r>
        <w:r>
          <w:rPr>
            <w:noProof/>
            <w:webHidden/>
          </w:rPr>
          <w:fldChar w:fldCharType="separate"/>
        </w:r>
        <w:r>
          <w:rPr>
            <w:noProof/>
            <w:webHidden/>
          </w:rPr>
          <w:t>1432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0" w:history="1">
        <w:r w:rsidRPr="00B80388">
          <w:rPr>
            <w:rStyle w:val="a5"/>
            <w:noProof/>
          </w:rPr>
          <w:t xml:space="preserve">Title: </w:t>
        </w:r>
        <w:r w:rsidRPr="00B80388">
          <w:rPr>
            <w:rStyle w:val="a5"/>
            <w:iCs/>
            <w:noProof/>
          </w:rPr>
          <w:t>International Journal of Chemical Reactor Engineering</w:t>
        </w:r>
        <w:r>
          <w:rPr>
            <w:noProof/>
            <w:webHidden/>
          </w:rPr>
          <w:tab/>
        </w:r>
        <w:r>
          <w:rPr>
            <w:noProof/>
            <w:webHidden/>
          </w:rPr>
          <w:fldChar w:fldCharType="begin"/>
        </w:r>
        <w:r>
          <w:rPr>
            <w:noProof/>
            <w:webHidden/>
          </w:rPr>
          <w:instrText xml:space="preserve"> PAGEREF _Toc317161270 \h </w:instrText>
        </w:r>
        <w:r>
          <w:rPr>
            <w:noProof/>
            <w:webHidden/>
          </w:rPr>
        </w:r>
        <w:r>
          <w:rPr>
            <w:noProof/>
            <w:webHidden/>
          </w:rPr>
          <w:fldChar w:fldCharType="separate"/>
        </w:r>
        <w:r>
          <w:rPr>
            <w:noProof/>
            <w:webHidden/>
          </w:rPr>
          <w:t>1434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1" w:history="1">
        <w:r w:rsidRPr="00B80388">
          <w:rPr>
            <w:rStyle w:val="a5"/>
            <w:noProof/>
          </w:rPr>
          <w:t xml:space="preserve">Title: </w:t>
        </w:r>
        <w:r w:rsidRPr="00B80388">
          <w:rPr>
            <w:rStyle w:val="a5"/>
            <w:iCs/>
            <w:noProof/>
          </w:rPr>
          <w:t>International Journal of Circumpolar Health</w:t>
        </w:r>
        <w:r>
          <w:rPr>
            <w:noProof/>
            <w:webHidden/>
          </w:rPr>
          <w:tab/>
        </w:r>
        <w:r>
          <w:rPr>
            <w:noProof/>
            <w:webHidden/>
          </w:rPr>
          <w:fldChar w:fldCharType="begin"/>
        </w:r>
        <w:r>
          <w:rPr>
            <w:noProof/>
            <w:webHidden/>
          </w:rPr>
          <w:instrText xml:space="preserve"> PAGEREF _Toc317161271 \h </w:instrText>
        </w:r>
        <w:r>
          <w:rPr>
            <w:noProof/>
            <w:webHidden/>
          </w:rPr>
        </w:r>
        <w:r>
          <w:rPr>
            <w:noProof/>
            <w:webHidden/>
          </w:rPr>
          <w:fldChar w:fldCharType="separate"/>
        </w:r>
        <w:r>
          <w:rPr>
            <w:noProof/>
            <w:webHidden/>
          </w:rPr>
          <w:t>1445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2" w:history="1">
        <w:r w:rsidRPr="00B80388">
          <w:rPr>
            <w:rStyle w:val="a5"/>
            <w:noProof/>
          </w:rPr>
          <w:t xml:space="preserve">Title: </w:t>
        </w:r>
        <w:r w:rsidRPr="00B80388">
          <w:rPr>
            <w:rStyle w:val="a5"/>
            <w:iCs/>
            <w:noProof/>
          </w:rPr>
          <w:t>International Journal of Clinical and Health Psychology</w:t>
        </w:r>
        <w:r>
          <w:rPr>
            <w:noProof/>
            <w:webHidden/>
          </w:rPr>
          <w:tab/>
        </w:r>
        <w:r>
          <w:rPr>
            <w:noProof/>
            <w:webHidden/>
          </w:rPr>
          <w:fldChar w:fldCharType="begin"/>
        </w:r>
        <w:r>
          <w:rPr>
            <w:noProof/>
            <w:webHidden/>
          </w:rPr>
          <w:instrText xml:space="preserve"> PAGEREF _Toc317161272 \h </w:instrText>
        </w:r>
        <w:r>
          <w:rPr>
            <w:noProof/>
            <w:webHidden/>
          </w:rPr>
        </w:r>
        <w:r>
          <w:rPr>
            <w:noProof/>
            <w:webHidden/>
          </w:rPr>
          <w:fldChar w:fldCharType="separate"/>
        </w:r>
        <w:r>
          <w:rPr>
            <w:noProof/>
            <w:webHidden/>
          </w:rPr>
          <w:t>1448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3" w:history="1">
        <w:r w:rsidRPr="00B80388">
          <w:rPr>
            <w:rStyle w:val="a5"/>
            <w:noProof/>
          </w:rPr>
          <w:t>Title: International Journal</w:t>
        </w:r>
        <w:r w:rsidRPr="00B80388">
          <w:rPr>
            <w:rStyle w:val="a5"/>
            <w:iCs/>
            <w:noProof/>
          </w:rPr>
          <w:t xml:space="preserve"> of </w:t>
        </w:r>
        <w:r w:rsidRPr="00B80388">
          <w:rPr>
            <w:rStyle w:val="a5"/>
            <w:noProof/>
          </w:rPr>
          <w:t>Clinical Pharmacy</w:t>
        </w:r>
        <w:r>
          <w:rPr>
            <w:noProof/>
            <w:webHidden/>
          </w:rPr>
          <w:tab/>
        </w:r>
        <w:r>
          <w:rPr>
            <w:noProof/>
            <w:webHidden/>
          </w:rPr>
          <w:fldChar w:fldCharType="begin"/>
        </w:r>
        <w:r>
          <w:rPr>
            <w:noProof/>
            <w:webHidden/>
          </w:rPr>
          <w:instrText xml:space="preserve"> PAGEREF _Toc317161273 \h </w:instrText>
        </w:r>
        <w:r>
          <w:rPr>
            <w:noProof/>
            <w:webHidden/>
          </w:rPr>
        </w:r>
        <w:r>
          <w:rPr>
            <w:noProof/>
            <w:webHidden/>
          </w:rPr>
          <w:fldChar w:fldCharType="separate"/>
        </w:r>
        <w:r>
          <w:rPr>
            <w:noProof/>
            <w:webHidden/>
          </w:rPr>
          <w:t>1450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4" w:history="1">
        <w:r w:rsidRPr="00B80388">
          <w:rPr>
            <w:rStyle w:val="a5"/>
            <w:noProof/>
          </w:rPr>
          <w:t>Title: International Journal</w:t>
        </w:r>
        <w:r w:rsidRPr="00B80388">
          <w:rPr>
            <w:rStyle w:val="a5"/>
            <w:iCs/>
            <w:noProof/>
          </w:rPr>
          <w:t xml:space="preserve"> of </w:t>
        </w:r>
        <w:r w:rsidRPr="00B80388">
          <w:rPr>
            <w:rStyle w:val="a5"/>
            <w:noProof/>
          </w:rPr>
          <w:t>Clinical Practice</w:t>
        </w:r>
        <w:r>
          <w:rPr>
            <w:noProof/>
            <w:webHidden/>
          </w:rPr>
          <w:tab/>
        </w:r>
        <w:r>
          <w:rPr>
            <w:noProof/>
            <w:webHidden/>
          </w:rPr>
          <w:fldChar w:fldCharType="begin"/>
        </w:r>
        <w:r>
          <w:rPr>
            <w:noProof/>
            <w:webHidden/>
          </w:rPr>
          <w:instrText xml:space="preserve"> PAGEREF _Toc317161274 \h </w:instrText>
        </w:r>
        <w:r>
          <w:rPr>
            <w:noProof/>
            <w:webHidden/>
          </w:rPr>
        </w:r>
        <w:r>
          <w:rPr>
            <w:noProof/>
            <w:webHidden/>
          </w:rPr>
          <w:fldChar w:fldCharType="separate"/>
        </w:r>
        <w:r>
          <w:rPr>
            <w:noProof/>
            <w:webHidden/>
          </w:rPr>
          <w:t>1452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5" w:history="1">
        <w:r w:rsidRPr="00B80388">
          <w:rPr>
            <w:rStyle w:val="a5"/>
            <w:noProof/>
          </w:rPr>
          <w:t>Title: International Journal of Coal Geology</w:t>
        </w:r>
        <w:r>
          <w:rPr>
            <w:noProof/>
            <w:webHidden/>
          </w:rPr>
          <w:tab/>
        </w:r>
        <w:r>
          <w:rPr>
            <w:noProof/>
            <w:webHidden/>
          </w:rPr>
          <w:fldChar w:fldCharType="begin"/>
        </w:r>
        <w:r>
          <w:rPr>
            <w:noProof/>
            <w:webHidden/>
          </w:rPr>
          <w:instrText xml:space="preserve"> PAGEREF _Toc317161275 \h </w:instrText>
        </w:r>
        <w:r>
          <w:rPr>
            <w:noProof/>
            <w:webHidden/>
          </w:rPr>
        </w:r>
        <w:r>
          <w:rPr>
            <w:noProof/>
            <w:webHidden/>
          </w:rPr>
          <w:fldChar w:fldCharType="separate"/>
        </w:r>
        <w:r>
          <w:rPr>
            <w:noProof/>
            <w:webHidden/>
          </w:rPr>
          <w:t>1454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6" w:history="1">
        <w:r w:rsidRPr="00B80388">
          <w:rPr>
            <w:rStyle w:val="a5"/>
            <w:noProof/>
          </w:rPr>
          <w:t xml:space="preserve">Title: </w:t>
        </w:r>
        <w:r w:rsidRPr="00B80388">
          <w:rPr>
            <w:rStyle w:val="a5"/>
            <w:iCs/>
            <w:noProof/>
          </w:rPr>
          <w:t>International Journal of Colorectal Disease</w:t>
        </w:r>
        <w:r>
          <w:rPr>
            <w:noProof/>
            <w:webHidden/>
          </w:rPr>
          <w:tab/>
        </w:r>
        <w:r>
          <w:rPr>
            <w:noProof/>
            <w:webHidden/>
          </w:rPr>
          <w:fldChar w:fldCharType="begin"/>
        </w:r>
        <w:r>
          <w:rPr>
            <w:noProof/>
            <w:webHidden/>
          </w:rPr>
          <w:instrText xml:space="preserve"> PAGEREF _Toc317161276 \h </w:instrText>
        </w:r>
        <w:r>
          <w:rPr>
            <w:noProof/>
            <w:webHidden/>
          </w:rPr>
        </w:r>
        <w:r>
          <w:rPr>
            <w:noProof/>
            <w:webHidden/>
          </w:rPr>
          <w:fldChar w:fldCharType="separate"/>
        </w:r>
        <w:r>
          <w:rPr>
            <w:noProof/>
            <w:webHidden/>
          </w:rPr>
          <w:t>1467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7" w:history="1">
        <w:r w:rsidRPr="00B80388">
          <w:rPr>
            <w:rStyle w:val="a5"/>
            <w:noProof/>
          </w:rPr>
          <w:t xml:space="preserve">Title: </w:t>
        </w:r>
        <w:r w:rsidRPr="00B80388">
          <w:rPr>
            <w:rStyle w:val="a5"/>
            <w:iCs/>
            <w:noProof/>
          </w:rPr>
          <w:t>International Journal of Computers Communications &amp; Control</w:t>
        </w:r>
        <w:r>
          <w:rPr>
            <w:noProof/>
            <w:webHidden/>
          </w:rPr>
          <w:tab/>
        </w:r>
        <w:r>
          <w:rPr>
            <w:noProof/>
            <w:webHidden/>
          </w:rPr>
          <w:fldChar w:fldCharType="begin"/>
        </w:r>
        <w:r>
          <w:rPr>
            <w:noProof/>
            <w:webHidden/>
          </w:rPr>
          <w:instrText xml:space="preserve"> PAGEREF _Toc317161277 \h </w:instrText>
        </w:r>
        <w:r>
          <w:rPr>
            <w:noProof/>
            <w:webHidden/>
          </w:rPr>
        </w:r>
        <w:r>
          <w:rPr>
            <w:noProof/>
            <w:webHidden/>
          </w:rPr>
          <w:fldChar w:fldCharType="separate"/>
        </w:r>
        <w:r>
          <w:rPr>
            <w:noProof/>
            <w:webHidden/>
          </w:rPr>
          <w:t>1469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8" w:history="1">
        <w:r w:rsidRPr="00B80388">
          <w:rPr>
            <w:rStyle w:val="a5"/>
            <w:noProof/>
          </w:rPr>
          <w:t xml:space="preserve">Title: </w:t>
        </w:r>
        <w:r w:rsidRPr="00B80388">
          <w:rPr>
            <w:rStyle w:val="a5"/>
            <w:iCs/>
            <w:noProof/>
          </w:rPr>
          <w:t>International Journal of Consumer Studies</w:t>
        </w:r>
        <w:r>
          <w:rPr>
            <w:noProof/>
            <w:webHidden/>
          </w:rPr>
          <w:tab/>
        </w:r>
        <w:r>
          <w:rPr>
            <w:noProof/>
            <w:webHidden/>
          </w:rPr>
          <w:fldChar w:fldCharType="begin"/>
        </w:r>
        <w:r>
          <w:rPr>
            <w:noProof/>
            <w:webHidden/>
          </w:rPr>
          <w:instrText xml:space="preserve"> PAGEREF _Toc317161278 \h </w:instrText>
        </w:r>
        <w:r>
          <w:rPr>
            <w:noProof/>
            <w:webHidden/>
          </w:rPr>
        </w:r>
        <w:r>
          <w:rPr>
            <w:noProof/>
            <w:webHidden/>
          </w:rPr>
          <w:fldChar w:fldCharType="separate"/>
        </w:r>
        <w:r>
          <w:rPr>
            <w:noProof/>
            <w:webHidden/>
          </w:rPr>
          <w:t>1471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79" w:history="1">
        <w:r w:rsidRPr="00B80388">
          <w:rPr>
            <w:rStyle w:val="a5"/>
            <w:noProof/>
          </w:rPr>
          <w:t>Title: International Journal of Dermatology</w:t>
        </w:r>
        <w:r>
          <w:rPr>
            <w:noProof/>
            <w:webHidden/>
          </w:rPr>
          <w:tab/>
        </w:r>
        <w:r>
          <w:rPr>
            <w:noProof/>
            <w:webHidden/>
          </w:rPr>
          <w:fldChar w:fldCharType="begin"/>
        </w:r>
        <w:r>
          <w:rPr>
            <w:noProof/>
            <w:webHidden/>
          </w:rPr>
          <w:instrText xml:space="preserve"> PAGEREF _Toc317161279 \h </w:instrText>
        </w:r>
        <w:r>
          <w:rPr>
            <w:noProof/>
            <w:webHidden/>
          </w:rPr>
        </w:r>
        <w:r>
          <w:rPr>
            <w:noProof/>
            <w:webHidden/>
          </w:rPr>
          <w:fldChar w:fldCharType="separate"/>
        </w:r>
        <w:r>
          <w:rPr>
            <w:noProof/>
            <w:webHidden/>
          </w:rPr>
          <w:t>1473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0" w:history="1">
        <w:r w:rsidRPr="00B80388">
          <w:rPr>
            <w:rStyle w:val="a5"/>
            <w:noProof/>
          </w:rPr>
          <w:t xml:space="preserve">Title: </w:t>
        </w:r>
        <w:r w:rsidRPr="00B80388">
          <w:rPr>
            <w:rStyle w:val="a5"/>
            <w:iCs/>
            <w:noProof/>
          </w:rPr>
          <w:t>International Journal of Drug Policy</w:t>
        </w:r>
        <w:r>
          <w:rPr>
            <w:noProof/>
            <w:webHidden/>
          </w:rPr>
          <w:tab/>
        </w:r>
        <w:r>
          <w:rPr>
            <w:noProof/>
            <w:webHidden/>
          </w:rPr>
          <w:fldChar w:fldCharType="begin"/>
        </w:r>
        <w:r>
          <w:rPr>
            <w:noProof/>
            <w:webHidden/>
          </w:rPr>
          <w:instrText xml:space="preserve"> PAGEREF _Toc317161280 \h </w:instrText>
        </w:r>
        <w:r>
          <w:rPr>
            <w:noProof/>
            <w:webHidden/>
          </w:rPr>
        </w:r>
        <w:r>
          <w:rPr>
            <w:noProof/>
            <w:webHidden/>
          </w:rPr>
          <w:fldChar w:fldCharType="separate"/>
        </w:r>
        <w:r>
          <w:rPr>
            <w:noProof/>
            <w:webHidden/>
          </w:rPr>
          <w:t>1477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1" w:history="1">
        <w:r w:rsidRPr="00B80388">
          <w:rPr>
            <w:rStyle w:val="a5"/>
            <w:noProof/>
          </w:rPr>
          <w:t>Title: International Journal of the Economics of Business</w:t>
        </w:r>
        <w:r>
          <w:rPr>
            <w:noProof/>
            <w:webHidden/>
          </w:rPr>
          <w:tab/>
        </w:r>
        <w:r>
          <w:rPr>
            <w:noProof/>
            <w:webHidden/>
          </w:rPr>
          <w:fldChar w:fldCharType="begin"/>
        </w:r>
        <w:r>
          <w:rPr>
            <w:noProof/>
            <w:webHidden/>
          </w:rPr>
          <w:instrText xml:space="preserve"> PAGEREF _Toc317161281 \h </w:instrText>
        </w:r>
        <w:r>
          <w:rPr>
            <w:noProof/>
            <w:webHidden/>
          </w:rPr>
        </w:r>
        <w:r>
          <w:rPr>
            <w:noProof/>
            <w:webHidden/>
          </w:rPr>
          <w:fldChar w:fldCharType="separate"/>
        </w:r>
        <w:r>
          <w:rPr>
            <w:noProof/>
            <w:webHidden/>
          </w:rPr>
          <w:t>1480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2" w:history="1">
        <w:r w:rsidRPr="00B80388">
          <w:rPr>
            <w:rStyle w:val="a5"/>
            <w:noProof/>
          </w:rPr>
          <w:t>Title: International Journal of Electrochemical Science</w:t>
        </w:r>
        <w:r>
          <w:rPr>
            <w:noProof/>
            <w:webHidden/>
          </w:rPr>
          <w:tab/>
        </w:r>
        <w:r>
          <w:rPr>
            <w:noProof/>
            <w:webHidden/>
          </w:rPr>
          <w:fldChar w:fldCharType="begin"/>
        </w:r>
        <w:r>
          <w:rPr>
            <w:noProof/>
            <w:webHidden/>
          </w:rPr>
          <w:instrText xml:space="preserve"> PAGEREF _Toc317161282 \h </w:instrText>
        </w:r>
        <w:r>
          <w:rPr>
            <w:noProof/>
            <w:webHidden/>
          </w:rPr>
        </w:r>
        <w:r>
          <w:rPr>
            <w:noProof/>
            <w:webHidden/>
          </w:rPr>
          <w:fldChar w:fldCharType="separate"/>
        </w:r>
        <w:r>
          <w:rPr>
            <w:noProof/>
            <w:webHidden/>
          </w:rPr>
          <w:t>1482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3" w:history="1">
        <w:r w:rsidRPr="00B80388">
          <w:rPr>
            <w:rStyle w:val="a5"/>
            <w:noProof/>
          </w:rPr>
          <w:t>Title: International Journal of Energy Research</w:t>
        </w:r>
        <w:r>
          <w:rPr>
            <w:noProof/>
            <w:webHidden/>
          </w:rPr>
          <w:tab/>
        </w:r>
        <w:r>
          <w:rPr>
            <w:noProof/>
            <w:webHidden/>
          </w:rPr>
          <w:fldChar w:fldCharType="begin"/>
        </w:r>
        <w:r>
          <w:rPr>
            <w:noProof/>
            <w:webHidden/>
          </w:rPr>
          <w:instrText xml:space="preserve"> PAGEREF _Toc317161283 \h </w:instrText>
        </w:r>
        <w:r>
          <w:rPr>
            <w:noProof/>
            <w:webHidden/>
          </w:rPr>
        </w:r>
        <w:r>
          <w:rPr>
            <w:noProof/>
            <w:webHidden/>
          </w:rPr>
          <w:fldChar w:fldCharType="separate"/>
        </w:r>
        <w:r>
          <w:rPr>
            <w:noProof/>
            <w:webHidden/>
          </w:rPr>
          <w:t>1484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4" w:history="1">
        <w:r w:rsidRPr="00B80388">
          <w:rPr>
            <w:rStyle w:val="a5"/>
            <w:noProof/>
          </w:rPr>
          <w:t xml:space="preserve">Title: </w:t>
        </w:r>
        <w:r w:rsidRPr="00B80388">
          <w:rPr>
            <w:rStyle w:val="a5"/>
            <w:iCs/>
            <w:noProof/>
          </w:rPr>
          <w:t>International Journal of Engineering Education</w:t>
        </w:r>
        <w:r>
          <w:rPr>
            <w:noProof/>
            <w:webHidden/>
          </w:rPr>
          <w:tab/>
        </w:r>
        <w:r>
          <w:rPr>
            <w:noProof/>
            <w:webHidden/>
          </w:rPr>
          <w:fldChar w:fldCharType="begin"/>
        </w:r>
        <w:r>
          <w:rPr>
            <w:noProof/>
            <w:webHidden/>
          </w:rPr>
          <w:instrText xml:space="preserve"> PAGEREF _Toc317161284 \h </w:instrText>
        </w:r>
        <w:r>
          <w:rPr>
            <w:noProof/>
            <w:webHidden/>
          </w:rPr>
        </w:r>
        <w:r>
          <w:rPr>
            <w:noProof/>
            <w:webHidden/>
          </w:rPr>
          <w:fldChar w:fldCharType="separate"/>
        </w:r>
        <w:r>
          <w:rPr>
            <w:noProof/>
            <w:webHidden/>
          </w:rPr>
          <w:t>1487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5" w:history="1">
        <w:r w:rsidRPr="00B80388">
          <w:rPr>
            <w:rStyle w:val="a5"/>
            <w:noProof/>
          </w:rPr>
          <w:t>Title: International Journal of Environment and Pollution</w:t>
        </w:r>
        <w:r>
          <w:rPr>
            <w:noProof/>
            <w:webHidden/>
          </w:rPr>
          <w:tab/>
        </w:r>
        <w:r>
          <w:rPr>
            <w:noProof/>
            <w:webHidden/>
          </w:rPr>
          <w:fldChar w:fldCharType="begin"/>
        </w:r>
        <w:r>
          <w:rPr>
            <w:noProof/>
            <w:webHidden/>
          </w:rPr>
          <w:instrText xml:space="preserve"> PAGEREF _Toc317161285 \h </w:instrText>
        </w:r>
        <w:r>
          <w:rPr>
            <w:noProof/>
            <w:webHidden/>
          </w:rPr>
        </w:r>
        <w:r>
          <w:rPr>
            <w:noProof/>
            <w:webHidden/>
          </w:rPr>
          <w:fldChar w:fldCharType="separate"/>
        </w:r>
        <w:r>
          <w:rPr>
            <w:noProof/>
            <w:webHidden/>
          </w:rPr>
          <w:t>1489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6" w:history="1">
        <w:r w:rsidRPr="00B80388">
          <w:rPr>
            <w:rStyle w:val="a5"/>
            <w:noProof/>
          </w:rPr>
          <w:t>Title: International Journal of Environment and Waste Management</w:t>
        </w:r>
        <w:r>
          <w:rPr>
            <w:noProof/>
            <w:webHidden/>
          </w:rPr>
          <w:tab/>
        </w:r>
        <w:r>
          <w:rPr>
            <w:noProof/>
            <w:webHidden/>
          </w:rPr>
          <w:fldChar w:fldCharType="begin"/>
        </w:r>
        <w:r>
          <w:rPr>
            <w:noProof/>
            <w:webHidden/>
          </w:rPr>
          <w:instrText xml:space="preserve"> PAGEREF _Toc317161286 \h </w:instrText>
        </w:r>
        <w:r>
          <w:rPr>
            <w:noProof/>
            <w:webHidden/>
          </w:rPr>
        </w:r>
        <w:r>
          <w:rPr>
            <w:noProof/>
            <w:webHidden/>
          </w:rPr>
          <w:fldChar w:fldCharType="separate"/>
        </w:r>
        <w:r>
          <w:rPr>
            <w:noProof/>
            <w:webHidden/>
          </w:rPr>
          <w:t>1521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7" w:history="1">
        <w:r w:rsidRPr="00B80388">
          <w:rPr>
            <w:rStyle w:val="a5"/>
            <w:noProof/>
          </w:rPr>
          <w:t>Title: International Journal of Environmental Analytical Chemistry</w:t>
        </w:r>
        <w:r>
          <w:rPr>
            <w:noProof/>
            <w:webHidden/>
          </w:rPr>
          <w:tab/>
        </w:r>
        <w:r>
          <w:rPr>
            <w:noProof/>
            <w:webHidden/>
          </w:rPr>
          <w:fldChar w:fldCharType="begin"/>
        </w:r>
        <w:r>
          <w:rPr>
            <w:noProof/>
            <w:webHidden/>
          </w:rPr>
          <w:instrText xml:space="preserve"> PAGEREF _Toc317161287 \h </w:instrText>
        </w:r>
        <w:r>
          <w:rPr>
            <w:noProof/>
            <w:webHidden/>
          </w:rPr>
        </w:r>
        <w:r>
          <w:rPr>
            <w:noProof/>
            <w:webHidden/>
          </w:rPr>
          <w:fldChar w:fldCharType="separate"/>
        </w:r>
        <w:r>
          <w:rPr>
            <w:noProof/>
            <w:webHidden/>
          </w:rPr>
          <w:t>1522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8" w:history="1">
        <w:r w:rsidRPr="00B80388">
          <w:rPr>
            <w:rStyle w:val="a5"/>
            <w:noProof/>
          </w:rPr>
          <w:t>Title: International Journal of Environmental Health Research</w:t>
        </w:r>
        <w:r>
          <w:rPr>
            <w:noProof/>
            <w:webHidden/>
          </w:rPr>
          <w:tab/>
        </w:r>
        <w:r>
          <w:rPr>
            <w:noProof/>
            <w:webHidden/>
          </w:rPr>
          <w:fldChar w:fldCharType="begin"/>
        </w:r>
        <w:r>
          <w:rPr>
            <w:noProof/>
            <w:webHidden/>
          </w:rPr>
          <w:instrText xml:space="preserve"> PAGEREF _Toc317161288 \h </w:instrText>
        </w:r>
        <w:r>
          <w:rPr>
            <w:noProof/>
            <w:webHidden/>
          </w:rPr>
        </w:r>
        <w:r>
          <w:rPr>
            <w:noProof/>
            <w:webHidden/>
          </w:rPr>
          <w:fldChar w:fldCharType="separate"/>
        </w:r>
        <w:r>
          <w:rPr>
            <w:noProof/>
            <w:webHidden/>
          </w:rPr>
          <w:t>1532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89" w:history="1">
        <w:r w:rsidRPr="00B80388">
          <w:rPr>
            <w:rStyle w:val="a5"/>
            <w:noProof/>
          </w:rPr>
          <w:t>Title: International Journal of Environmental Research</w:t>
        </w:r>
        <w:r>
          <w:rPr>
            <w:noProof/>
            <w:webHidden/>
          </w:rPr>
          <w:tab/>
        </w:r>
        <w:r>
          <w:rPr>
            <w:noProof/>
            <w:webHidden/>
          </w:rPr>
          <w:fldChar w:fldCharType="begin"/>
        </w:r>
        <w:r>
          <w:rPr>
            <w:noProof/>
            <w:webHidden/>
          </w:rPr>
          <w:instrText xml:space="preserve"> PAGEREF _Toc317161289 \h </w:instrText>
        </w:r>
        <w:r>
          <w:rPr>
            <w:noProof/>
            <w:webHidden/>
          </w:rPr>
        </w:r>
        <w:r>
          <w:rPr>
            <w:noProof/>
            <w:webHidden/>
          </w:rPr>
          <w:fldChar w:fldCharType="separate"/>
        </w:r>
        <w:r>
          <w:rPr>
            <w:noProof/>
            <w:webHidden/>
          </w:rPr>
          <w:t>1533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0" w:history="1">
        <w:r w:rsidRPr="00B80388">
          <w:rPr>
            <w:rStyle w:val="a5"/>
            <w:noProof/>
          </w:rPr>
          <w:t xml:space="preserve">Title: </w:t>
        </w:r>
        <w:r w:rsidRPr="00B80388">
          <w:rPr>
            <w:rStyle w:val="a5"/>
            <w:iCs/>
            <w:noProof/>
          </w:rPr>
          <w:t>International Journal of Environmental Research and Public Health</w:t>
        </w:r>
        <w:r>
          <w:rPr>
            <w:noProof/>
            <w:webHidden/>
          </w:rPr>
          <w:tab/>
        </w:r>
        <w:r>
          <w:rPr>
            <w:noProof/>
            <w:webHidden/>
          </w:rPr>
          <w:fldChar w:fldCharType="begin"/>
        </w:r>
        <w:r>
          <w:rPr>
            <w:noProof/>
            <w:webHidden/>
          </w:rPr>
          <w:instrText xml:space="preserve"> PAGEREF _Toc317161290 \h </w:instrText>
        </w:r>
        <w:r>
          <w:rPr>
            <w:noProof/>
            <w:webHidden/>
          </w:rPr>
        </w:r>
        <w:r>
          <w:rPr>
            <w:noProof/>
            <w:webHidden/>
          </w:rPr>
          <w:fldChar w:fldCharType="separate"/>
        </w:r>
        <w:r>
          <w:rPr>
            <w:noProof/>
            <w:webHidden/>
          </w:rPr>
          <w:t>1548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1" w:history="1">
        <w:r w:rsidRPr="00B80388">
          <w:rPr>
            <w:rStyle w:val="a5"/>
            <w:noProof/>
          </w:rPr>
          <w:t xml:space="preserve">Title: </w:t>
        </w:r>
        <w:r w:rsidRPr="00B80388">
          <w:rPr>
            <w:rStyle w:val="a5"/>
            <w:iCs/>
            <w:noProof/>
          </w:rPr>
          <w:t>International Journal of Environmental Science and Technology</w:t>
        </w:r>
        <w:r>
          <w:rPr>
            <w:noProof/>
            <w:webHidden/>
          </w:rPr>
          <w:tab/>
        </w:r>
        <w:r>
          <w:rPr>
            <w:noProof/>
            <w:webHidden/>
          </w:rPr>
          <w:fldChar w:fldCharType="begin"/>
        </w:r>
        <w:r>
          <w:rPr>
            <w:noProof/>
            <w:webHidden/>
          </w:rPr>
          <w:instrText xml:space="preserve"> PAGEREF _Toc317161291 \h </w:instrText>
        </w:r>
        <w:r>
          <w:rPr>
            <w:noProof/>
            <w:webHidden/>
          </w:rPr>
        </w:r>
        <w:r>
          <w:rPr>
            <w:noProof/>
            <w:webHidden/>
          </w:rPr>
          <w:fldChar w:fldCharType="separate"/>
        </w:r>
        <w:r>
          <w:rPr>
            <w:noProof/>
            <w:webHidden/>
          </w:rPr>
          <w:t>1551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2" w:history="1">
        <w:r w:rsidRPr="00B80388">
          <w:rPr>
            <w:rStyle w:val="a5"/>
            <w:noProof/>
          </w:rPr>
          <w:t xml:space="preserve">Title: </w:t>
        </w:r>
        <w:r w:rsidRPr="00B80388">
          <w:rPr>
            <w:rStyle w:val="a5"/>
            <w:iCs/>
            <w:noProof/>
          </w:rPr>
          <w:t>International Journal of Environmental Sciences</w:t>
        </w:r>
        <w:r>
          <w:rPr>
            <w:noProof/>
            <w:webHidden/>
          </w:rPr>
          <w:tab/>
        </w:r>
        <w:r>
          <w:rPr>
            <w:noProof/>
            <w:webHidden/>
          </w:rPr>
          <w:fldChar w:fldCharType="begin"/>
        </w:r>
        <w:r>
          <w:rPr>
            <w:noProof/>
            <w:webHidden/>
          </w:rPr>
          <w:instrText xml:space="preserve"> PAGEREF _Toc317161292 \h </w:instrText>
        </w:r>
        <w:r>
          <w:rPr>
            <w:noProof/>
            <w:webHidden/>
          </w:rPr>
        </w:r>
        <w:r>
          <w:rPr>
            <w:noProof/>
            <w:webHidden/>
          </w:rPr>
          <w:fldChar w:fldCharType="separate"/>
        </w:r>
        <w:r>
          <w:rPr>
            <w:noProof/>
            <w:webHidden/>
          </w:rPr>
          <w:t>1580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3" w:history="1">
        <w:r w:rsidRPr="00B80388">
          <w:rPr>
            <w:rStyle w:val="a5"/>
            <w:noProof/>
          </w:rPr>
          <w:t>Title: International Journal of Environmental Studies</w:t>
        </w:r>
        <w:r>
          <w:rPr>
            <w:noProof/>
            <w:webHidden/>
          </w:rPr>
          <w:tab/>
        </w:r>
        <w:r>
          <w:rPr>
            <w:noProof/>
            <w:webHidden/>
          </w:rPr>
          <w:fldChar w:fldCharType="begin"/>
        </w:r>
        <w:r>
          <w:rPr>
            <w:noProof/>
            <w:webHidden/>
          </w:rPr>
          <w:instrText xml:space="preserve"> PAGEREF _Toc317161293 \h </w:instrText>
        </w:r>
        <w:r>
          <w:rPr>
            <w:noProof/>
            <w:webHidden/>
          </w:rPr>
        </w:r>
        <w:r>
          <w:rPr>
            <w:noProof/>
            <w:webHidden/>
          </w:rPr>
          <w:fldChar w:fldCharType="separate"/>
        </w:r>
        <w:r>
          <w:rPr>
            <w:noProof/>
            <w:webHidden/>
          </w:rPr>
          <w:t>1581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4" w:history="1">
        <w:r w:rsidRPr="00B80388">
          <w:rPr>
            <w:rStyle w:val="a5"/>
            <w:noProof/>
          </w:rPr>
          <w:t>Title: International Journal of Environmental Studies Section B Environmental Science and Technology</w:t>
        </w:r>
        <w:r>
          <w:rPr>
            <w:noProof/>
            <w:webHidden/>
          </w:rPr>
          <w:tab/>
        </w:r>
        <w:r>
          <w:rPr>
            <w:noProof/>
            <w:webHidden/>
          </w:rPr>
          <w:fldChar w:fldCharType="begin"/>
        </w:r>
        <w:r>
          <w:rPr>
            <w:noProof/>
            <w:webHidden/>
          </w:rPr>
          <w:instrText xml:space="preserve"> PAGEREF _Toc317161294 \h </w:instrText>
        </w:r>
        <w:r>
          <w:rPr>
            <w:noProof/>
            <w:webHidden/>
          </w:rPr>
        </w:r>
        <w:r>
          <w:rPr>
            <w:noProof/>
            <w:webHidden/>
          </w:rPr>
          <w:fldChar w:fldCharType="separate"/>
        </w:r>
        <w:r>
          <w:rPr>
            <w:noProof/>
            <w:webHidden/>
          </w:rPr>
          <w:t>1583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5" w:history="1">
        <w:r w:rsidRPr="00B80388">
          <w:rPr>
            <w:rStyle w:val="a5"/>
            <w:noProof/>
          </w:rPr>
          <w:t>Title: International Journal of Epidemiology</w:t>
        </w:r>
        <w:r>
          <w:rPr>
            <w:noProof/>
            <w:webHidden/>
          </w:rPr>
          <w:tab/>
        </w:r>
        <w:r>
          <w:rPr>
            <w:noProof/>
            <w:webHidden/>
          </w:rPr>
          <w:fldChar w:fldCharType="begin"/>
        </w:r>
        <w:r>
          <w:rPr>
            <w:noProof/>
            <w:webHidden/>
          </w:rPr>
          <w:instrText xml:space="preserve"> PAGEREF _Toc317161295 \h </w:instrText>
        </w:r>
        <w:r>
          <w:rPr>
            <w:noProof/>
            <w:webHidden/>
          </w:rPr>
        </w:r>
        <w:r>
          <w:rPr>
            <w:noProof/>
            <w:webHidden/>
          </w:rPr>
          <w:fldChar w:fldCharType="separate"/>
        </w:r>
        <w:r>
          <w:rPr>
            <w:noProof/>
            <w:webHidden/>
          </w:rPr>
          <w:t>1585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6" w:history="1">
        <w:r w:rsidRPr="00B80388">
          <w:rPr>
            <w:rStyle w:val="a5"/>
            <w:noProof/>
          </w:rPr>
          <w:t>Title: International Journal of Food Microbiology</w:t>
        </w:r>
        <w:r>
          <w:rPr>
            <w:noProof/>
            <w:webHidden/>
          </w:rPr>
          <w:tab/>
        </w:r>
        <w:r>
          <w:rPr>
            <w:noProof/>
            <w:webHidden/>
          </w:rPr>
          <w:fldChar w:fldCharType="begin"/>
        </w:r>
        <w:r>
          <w:rPr>
            <w:noProof/>
            <w:webHidden/>
          </w:rPr>
          <w:instrText xml:space="preserve"> PAGEREF _Toc317161296 \h </w:instrText>
        </w:r>
        <w:r>
          <w:rPr>
            <w:noProof/>
            <w:webHidden/>
          </w:rPr>
        </w:r>
        <w:r>
          <w:rPr>
            <w:noProof/>
            <w:webHidden/>
          </w:rPr>
          <w:fldChar w:fldCharType="separate"/>
        </w:r>
        <w:r>
          <w:rPr>
            <w:noProof/>
            <w:webHidden/>
          </w:rPr>
          <w:t>1603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7" w:history="1">
        <w:r w:rsidRPr="00B80388">
          <w:rPr>
            <w:rStyle w:val="a5"/>
            <w:noProof/>
          </w:rPr>
          <w:t>Title: International Journal of Food Science and Technology</w:t>
        </w:r>
        <w:r>
          <w:rPr>
            <w:noProof/>
            <w:webHidden/>
          </w:rPr>
          <w:tab/>
        </w:r>
        <w:r>
          <w:rPr>
            <w:noProof/>
            <w:webHidden/>
          </w:rPr>
          <w:fldChar w:fldCharType="begin"/>
        </w:r>
        <w:r>
          <w:rPr>
            <w:noProof/>
            <w:webHidden/>
          </w:rPr>
          <w:instrText xml:space="preserve"> PAGEREF _Toc317161297 \h </w:instrText>
        </w:r>
        <w:r>
          <w:rPr>
            <w:noProof/>
            <w:webHidden/>
          </w:rPr>
        </w:r>
        <w:r>
          <w:rPr>
            <w:noProof/>
            <w:webHidden/>
          </w:rPr>
          <w:fldChar w:fldCharType="separate"/>
        </w:r>
        <w:r>
          <w:rPr>
            <w:noProof/>
            <w:webHidden/>
          </w:rPr>
          <w:t>1608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8" w:history="1">
        <w:r w:rsidRPr="00B80388">
          <w:rPr>
            <w:rStyle w:val="a5"/>
            <w:noProof/>
          </w:rPr>
          <w:t xml:space="preserve">Title: </w:t>
        </w:r>
        <w:r w:rsidRPr="00B80388">
          <w:rPr>
            <w:rStyle w:val="a5"/>
            <w:iCs/>
            <w:noProof/>
          </w:rPr>
          <w:t>International Journal of Forecasting</w:t>
        </w:r>
        <w:r>
          <w:rPr>
            <w:noProof/>
            <w:webHidden/>
          </w:rPr>
          <w:tab/>
        </w:r>
        <w:r>
          <w:rPr>
            <w:noProof/>
            <w:webHidden/>
          </w:rPr>
          <w:fldChar w:fldCharType="begin"/>
        </w:r>
        <w:r>
          <w:rPr>
            <w:noProof/>
            <w:webHidden/>
          </w:rPr>
          <w:instrText xml:space="preserve"> PAGEREF _Toc317161298 \h </w:instrText>
        </w:r>
        <w:r>
          <w:rPr>
            <w:noProof/>
            <w:webHidden/>
          </w:rPr>
        </w:r>
        <w:r>
          <w:rPr>
            <w:noProof/>
            <w:webHidden/>
          </w:rPr>
          <w:fldChar w:fldCharType="separate"/>
        </w:r>
        <w:r>
          <w:rPr>
            <w:noProof/>
            <w:webHidden/>
          </w:rPr>
          <w:t>1610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299" w:history="1">
        <w:r w:rsidRPr="00B80388">
          <w:rPr>
            <w:rStyle w:val="a5"/>
            <w:noProof/>
          </w:rPr>
          <w:t>Title: International Journal of Geriatric Psychiatry</w:t>
        </w:r>
        <w:r>
          <w:rPr>
            <w:noProof/>
            <w:webHidden/>
          </w:rPr>
          <w:tab/>
        </w:r>
        <w:r>
          <w:rPr>
            <w:noProof/>
            <w:webHidden/>
          </w:rPr>
          <w:fldChar w:fldCharType="begin"/>
        </w:r>
        <w:r>
          <w:rPr>
            <w:noProof/>
            <w:webHidden/>
          </w:rPr>
          <w:instrText xml:space="preserve"> PAGEREF _Toc317161299 \h </w:instrText>
        </w:r>
        <w:r>
          <w:rPr>
            <w:noProof/>
            <w:webHidden/>
          </w:rPr>
        </w:r>
        <w:r>
          <w:rPr>
            <w:noProof/>
            <w:webHidden/>
          </w:rPr>
          <w:fldChar w:fldCharType="separate"/>
        </w:r>
        <w:r>
          <w:rPr>
            <w:noProof/>
            <w:webHidden/>
          </w:rPr>
          <w:t>1611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0" w:history="1">
        <w:r w:rsidRPr="00B80388">
          <w:rPr>
            <w:rStyle w:val="a5"/>
            <w:noProof/>
          </w:rPr>
          <w:t xml:space="preserve">Title: </w:t>
        </w:r>
        <w:r w:rsidRPr="00B80388">
          <w:rPr>
            <w:rStyle w:val="a5"/>
            <w:iCs/>
            <w:noProof/>
          </w:rPr>
          <w:t>International Journal of Green Energy</w:t>
        </w:r>
        <w:r>
          <w:rPr>
            <w:noProof/>
            <w:webHidden/>
          </w:rPr>
          <w:tab/>
        </w:r>
        <w:r>
          <w:rPr>
            <w:noProof/>
            <w:webHidden/>
          </w:rPr>
          <w:fldChar w:fldCharType="begin"/>
        </w:r>
        <w:r>
          <w:rPr>
            <w:noProof/>
            <w:webHidden/>
          </w:rPr>
          <w:instrText xml:space="preserve"> PAGEREF _Toc317161300 \h </w:instrText>
        </w:r>
        <w:r>
          <w:rPr>
            <w:noProof/>
            <w:webHidden/>
          </w:rPr>
        </w:r>
        <w:r>
          <w:rPr>
            <w:noProof/>
            <w:webHidden/>
          </w:rPr>
          <w:fldChar w:fldCharType="separate"/>
        </w:r>
        <w:r>
          <w:rPr>
            <w:noProof/>
            <w:webHidden/>
          </w:rPr>
          <w:t>1614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1" w:history="1">
        <w:r w:rsidRPr="00B80388">
          <w:rPr>
            <w:rStyle w:val="a5"/>
            <w:noProof/>
          </w:rPr>
          <w:t>Title: International Journal of Group Tensions</w:t>
        </w:r>
        <w:r>
          <w:rPr>
            <w:noProof/>
            <w:webHidden/>
          </w:rPr>
          <w:tab/>
        </w:r>
        <w:r>
          <w:rPr>
            <w:noProof/>
            <w:webHidden/>
          </w:rPr>
          <w:fldChar w:fldCharType="begin"/>
        </w:r>
        <w:r>
          <w:rPr>
            <w:noProof/>
            <w:webHidden/>
          </w:rPr>
          <w:instrText xml:space="preserve"> PAGEREF _Toc317161301 \h </w:instrText>
        </w:r>
        <w:r>
          <w:rPr>
            <w:noProof/>
            <w:webHidden/>
          </w:rPr>
        </w:r>
        <w:r>
          <w:rPr>
            <w:noProof/>
            <w:webHidden/>
          </w:rPr>
          <w:fldChar w:fldCharType="separate"/>
        </w:r>
        <w:r>
          <w:rPr>
            <w:noProof/>
            <w:webHidden/>
          </w:rPr>
          <w:t>1616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2" w:history="1">
        <w:r w:rsidRPr="00B80388">
          <w:rPr>
            <w:rStyle w:val="a5"/>
            <w:noProof/>
          </w:rPr>
          <w:t xml:space="preserve">Title: </w:t>
        </w:r>
        <w:r w:rsidRPr="00B80388">
          <w:rPr>
            <w:rStyle w:val="a5"/>
            <w:iCs/>
            <w:noProof/>
          </w:rPr>
          <w:t>International Journal of Gynecological Cancer</w:t>
        </w:r>
        <w:r>
          <w:rPr>
            <w:noProof/>
            <w:webHidden/>
          </w:rPr>
          <w:tab/>
        </w:r>
        <w:r>
          <w:rPr>
            <w:noProof/>
            <w:webHidden/>
          </w:rPr>
          <w:fldChar w:fldCharType="begin"/>
        </w:r>
        <w:r>
          <w:rPr>
            <w:noProof/>
            <w:webHidden/>
          </w:rPr>
          <w:instrText xml:space="preserve"> PAGEREF _Toc317161302 \h </w:instrText>
        </w:r>
        <w:r>
          <w:rPr>
            <w:noProof/>
            <w:webHidden/>
          </w:rPr>
        </w:r>
        <w:r>
          <w:rPr>
            <w:noProof/>
            <w:webHidden/>
          </w:rPr>
          <w:fldChar w:fldCharType="separate"/>
        </w:r>
        <w:r>
          <w:rPr>
            <w:noProof/>
            <w:webHidden/>
          </w:rPr>
          <w:t>1617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3" w:history="1">
        <w:r w:rsidRPr="00B80388">
          <w:rPr>
            <w:rStyle w:val="a5"/>
            <w:noProof/>
          </w:rPr>
          <w:t>Title: International Journal of Gynecology &amp; Obstetrics</w:t>
        </w:r>
        <w:r>
          <w:rPr>
            <w:noProof/>
            <w:webHidden/>
          </w:rPr>
          <w:tab/>
        </w:r>
        <w:r>
          <w:rPr>
            <w:noProof/>
            <w:webHidden/>
          </w:rPr>
          <w:fldChar w:fldCharType="begin"/>
        </w:r>
        <w:r>
          <w:rPr>
            <w:noProof/>
            <w:webHidden/>
          </w:rPr>
          <w:instrText xml:space="preserve"> PAGEREF _Toc317161303 \h </w:instrText>
        </w:r>
        <w:r>
          <w:rPr>
            <w:noProof/>
            <w:webHidden/>
          </w:rPr>
        </w:r>
        <w:r>
          <w:rPr>
            <w:noProof/>
            <w:webHidden/>
          </w:rPr>
          <w:fldChar w:fldCharType="separate"/>
        </w:r>
        <w:r>
          <w:rPr>
            <w:noProof/>
            <w:webHidden/>
          </w:rPr>
          <w:t>1620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4" w:history="1">
        <w:r w:rsidRPr="00B80388">
          <w:rPr>
            <w:rStyle w:val="a5"/>
            <w:noProof/>
          </w:rPr>
          <w:t>Title: International Journal of Health Geographics</w:t>
        </w:r>
        <w:r>
          <w:rPr>
            <w:noProof/>
            <w:webHidden/>
          </w:rPr>
          <w:tab/>
        </w:r>
        <w:r>
          <w:rPr>
            <w:noProof/>
            <w:webHidden/>
          </w:rPr>
          <w:fldChar w:fldCharType="begin"/>
        </w:r>
        <w:r>
          <w:rPr>
            <w:noProof/>
            <w:webHidden/>
          </w:rPr>
          <w:instrText xml:space="preserve"> PAGEREF _Toc317161304 \h </w:instrText>
        </w:r>
        <w:r>
          <w:rPr>
            <w:noProof/>
            <w:webHidden/>
          </w:rPr>
        </w:r>
        <w:r>
          <w:rPr>
            <w:noProof/>
            <w:webHidden/>
          </w:rPr>
          <w:fldChar w:fldCharType="separate"/>
        </w:r>
        <w:r>
          <w:rPr>
            <w:noProof/>
            <w:webHidden/>
          </w:rPr>
          <w:t>1622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5" w:history="1">
        <w:r w:rsidRPr="00B80388">
          <w:rPr>
            <w:rStyle w:val="a5"/>
            <w:noProof/>
          </w:rPr>
          <w:t>Title: International Journal of Health Services</w:t>
        </w:r>
        <w:r>
          <w:rPr>
            <w:noProof/>
            <w:webHidden/>
          </w:rPr>
          <w:tab/>
        </w:r>
        <w:r>
          <w:rPr>
            <w:noProof/>
            <w:webHidden/>
          </w:rPr>
          <w:fldChar w:fldCharType="begin"/>
        </w:r>
        <w:r>
          <w:rPr>
            <w:noProof/>
            <w:webHidden/>
          </w:rPr>
          <w:instrText xml:space="preserve"> PAGEREF _Toc317161305 \h </w:instrText>
        </w:r>
        <w:r>
          <w:rPr>
            <w:noProof/>
            <w:webHidden/>
          </w:rPr>
        </w:r>
        <w:r>
          <w:rPr>
            <w:noProof/>
            <w:webHidden/>
          </w:rPr>
          <w:fldChar w:fldCharType="separate"/>
        </w:r>
        <w:r>
          <w:rPr>
            <w:noProof/>
            <w:webHidden/>
          </w:rPr>
          <w:t>1624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6" w:history="1">
        <w:r w:rsidRPr="00B80388">
          <w:rPr>
            <w:rStyle w:val="a5"/>
            <w:noProof/>
          </w:rPr>
          <w:t xml:space="preserve">Title: </w:t>
        </w:r>
        <w:r w:rsidRPr="00B80388">
          <w:rPr>
            <w:rStyle w:val="a5"/>
            <w:iCs/>
            <w:noProof/>
          </w:rPr>
          <w:t>International Journal of Heat and Mass Transfer</w:t>
        </w:r>
        <w:r>
          <w:rPr>
            <w:noProof/>
            <w:webHidden/>
          </w:rPr>
          <w:tab/>
        </w:r>
        <w:r>
          <w:rPr>
            <w:noProof/>
            <w:webHidden/>
          </w:rPr>
          <w:fldChar w:fldCharType="begin"/>
        </w:r>
        <w:r>
          <w:rPr>
            <w:noProof/>
            <w:webHidden/>
          </w:rPr>
          <w:instrText xml:space="preserve"> PAGEREF _Toc317161306 \h </w:instrText>
        </w:r>
        <w:r>
          <w:rPr>
            <w:noProof/>
            <w:webHidden/>
          </w:rPr>
        </w:r>
        <w:r>
          <w:rPr>
            <w:noProof/>
            <w:webHidden/>
          </w:rPr>
          <w:fldChar w:fldCharType="separate"/>
        </w:r>
        <w:r>
          <w:rPr>
            <w:noProof/>
            <w:webHidden/>
          </w:rPr>
          <w:t>1625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7" w:history="1">
        <w:r w:rsidRPr="00B80388">
          <w:rPr>
            <w:rStyle w:val="a5"/>
            <w:noProof/>
          </w:rPr>
          <w:t xml:space="preserve">Title: </w:t>
        </w:r>
        <w:r w:rsidRPr="00B80388">
          <w:rPr>
            <w:rStyle w:val="a5"/>
            <w:iCs/>
            <w:noProof/>
          </w:rPr>
          <w:t>International Journal of High Performance Computing Applications</w:t>
        </w:r>
        <w:r>
          <w:rPr>
            <w:noProof/>
            <w:webHidden/>
          </w:rPr>
          <w:tab/>
        </w:r>
        <w:r>
          <w:rPr>
            <w:noProof/>
            <w:webHidden/>
          </w:rPr>
          <w:fldChar w:fldCharType="begin"/>
        </w:r>
        <w:r>
          <w:rPr>
            <w:noProof/>
            <w:webHidden/>
          </w:rPr>
          <w:instrText xml:space="preserve"> PAGEREF _Toc317161307 \h </w:instrText>
        </w:r>
        <w:r>
          <w:rPr>
            <w:noProof/>
            <w:webHidden/>
          </w:rPr>
        </w:r>
        <w:r>
          <w:rPr>
            <w:noProof/>
            <w:webHidden/>
          </w:rPr>
          <w:fldChar w:fldCharType="separate"/>
        </w:r>
        <w:r>
          <w:rPr>
            <w:noProof/>
            <w:webHidden/>
          </w:rPr>
          <w:t>1627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8" w:history="1">
        <w:r w:rsidRPr="00B80388">
          <w:rPr>
            <w:rStyle w:val="a5"/>
            <w:noProof/>
          </w:rPr>
          <w:t xml:space="preserve">Title: </w:t>
        </w:r>
        <w:r w:rsidRPr="00B80388">
          <w:rPr>
            <w:rStyle w:val="a5"/>
            <w:iCs/>
            <w:noProof/>
          </w:rPr>
          <w:t>International Journal of Human-Computer Studies</w:t>
        </w:r>
        <w:r>
          <w:rPr>
            <w:noProof/>
            <w:webHidden/>
          </w:rPr>
          <w:tab/>
        </w:r>
        <w:r>
          <w:rPr>
            <w:noProof/>
            <w:webHidden/>
          </w:rPr>
          <w:fldChar w:fldCharType="begin"/>
        </w:r>
        <w:r>
          <w:rPr>
            <w:noProof/>
            <w:webHidden/>
          </w:rPr>
          <w:instrText xml:space="preserve"> PAGEREF _Toc317161308 \h </w:instrText>
        </w:r>
        <w:r>
          <w:rPr>
            <w:noProof/>
            <w:webHidden/>
          </w:rPr>
        </w:r>
        <w:r>
          <w:rPr>
            <w:noProof/>
            <w:webHidden/>
          </w:rPr>
          <w:fldChar w:fldCharType="separate"/>
        </w:r>
        <w:r>
          <w:rPr>
            <w:noProof/>
            <w:webHidden/>
          </w:rPr>
          <w:t>1628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09" w:history="1">
        <w:r w:rsidRPr="00B80388">
          <w:rPr>
            <w:rStyle w:val="a5"/>
            <w:noProof/>
          </w:rPr>
          <w:t>Title: International Journal of Hydrogen Energy</w:t>
        </w:r>
        <w:r>
          <w:rPr>
            <w:noProof/>
            <w:webHidden/>
          </w:rPr>
          <w:tab/>
        </w:r>
        <w:r>
          <w:rPr>
            <w:noProof/>
            <w:webHidden/>
          </w:rPr>
          <w:fldChar w:fldCharType="begin"/>
        </w:r>
        <w:r>
          <w:rPr>
            <w:noProof/>
            <w:webHidden/>
          </w:rPr>
          <w:instrText xml:space="preserve"> PAGEREF _Toc317161309 \h </w:instrText>
        </w:r>
        <w:r>
          <w:rPr>
            <w:noProof/>
            <w:webHidden/>
          </w:rPr>
        </w:r>
        <w:r>
          <w:rPr>
            <w:noProof/>
            <w:webHidden/>
          </w:rPr>
          <w:fldChar w:fldCharType="separate"/>
        </w:r>
        <w:r>
          <w:rPr>
            <w:noProof/>
            <w:webHidden/>
          </w:rPr>
          <w:t>1630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0" w:history="1">
        <w:r w:rsidRPr="00B80388">
          <w:rPr>
            <w:rStyle w:val="a5"/>
            <w:noProof/>
          </w:rPr>
          <w:t>Title: International Journal of Hygiene and Environmental Health</w:t>
        </w:r>
        <w:r>
          <w:rPr>
            <w:noProof/>
            <w:webHidden/>
          </w:rPr>
          <w:tab/>
        </w:r>
        <w:r>
          <w:rPr>
            <w:noProof/>
            <w:webHidden/>
          </w:rPr>
          <w:fldChar w:fldCharType="begin"/>
        </w:r>
        <w:r>
          <w:rPr>
            <w:noProof/>
            <w:webHidden/>
          </w:rPr>
          <w:instrText xml:space="preserve"> PAGEREF _Toc317161310 \h </w:instrText>
        </w:r>
        <w:r>
          <w:rPr>
            <w:noProof/>
            <w:webHidden/>
          </w:rPr>
        </w:r>
        <w:r>
          <w:rPr>
            <w:noProof/>
            <w:webHidden/>
          </w:rPr>
          <w:fldChar w:fldCharType="separate"/>
        </w:r>
        <w:r>
          <w:rPr>
            <w:noProof/>
            <w:webHidden/>
          </w:rPr>
          <w:t>1634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1" w:history="1">
        <w:r w:rsidRPr="00B80388">
          <w:rPr>
            <w:rStyle w:val="a5"/>
            <w:noProof/>
          </w:rPr>
          <w:t xml:space="preserve">Title: </w:t>
        </w:r>
        <w:r w:rsidRPr="00B80388">
          <w:rPr>
            <w:rStyle w:val="a5"/>
            <w:iCs/>
            <w:noProof/>
          </w:rPr>
          <w:t>International Journal of Immunogenetics</w:t>
        </w:r>
        <w:r>
          <w:rPr>
            <w:noProof/>
            <w:webHidden/>
          </w:rPr>
          <w:tab/>
        </w:r>
        <w:r>
          <w:rPr>
            <w:noProof/>
            <w:webHidden/>
          </w:rPr>
          <w:fldChar w:fldCharType="begin"/>
        </w:r>
        <w:r>
          <w:rPr>
            <w:noProof/>
            <w:webHidden/>
          </w:rPr>
          <w:instrText xml:space="preserve"> PAGEREF _Toc317161311 \h </w:instrText>
        </w:r>
        <w:r>
          <w:rPr>
            <w:noProof/>
            <w:webHidden/>
          </w:rPr>
        </w:r>
        <w:r>
          <w:rPr>
            <w:noProof/>
            <w:webHidden/>
          </w:rPr>
          <w:fldChar w:fldCharType="separate"/>
        </w:r>
        <w:r>
          <w:rPr>
            <w:noProof/>
            <w:webHidden/>
          </w:rPr>
          <w:t>1635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2" w:history="1">
        <w:r w:rsidRPr="00B80388">
          <w:rPr>
            <w:rStyle w:val="a5"/>
            <w:noProof/>
          </w:rPr>
          <w:t xml:space="preserve">Title: </w:t>
        </w:r>
        <w:r w:rsidRPr="00B80388">
          <w:rPr>
            <w:rStyle w:val="a5"/>
            <w:iCs/>
            <w:noProof/>
          </w:rPr>
          <w:t>International Journal of Industrial Ergonomics</w:t>
        </w:r>
        <w:r>
          <w:rPr>
            <w:noProof/>
            <w:webHidden/>
          </w:rPr>
          <w:tab/>
        </w:r>
        <w:r>
          <w:rPr>
            <w:noProof/>
            <w:webHidden/>
          </w:rPr>
          <w:fldChar w:fldCharType="begin"/>
        </w:r>
        <w:r>
          <w:rPr>
            <w:noProof/>
            <w:webHidden/>
          </w:rPr>
          <w:instrText xml:space="preserve"> PAGEREF _Toc317161312 \h </w:instrText>
        </w:r>
        <w:r>
          <w:rPr>
            <w:noProof/>
            <w:webHidden/>
          </w:rPr>
        </w:r>
        <w:r>
          <w:rPr>
            <w:noProof/>
            <w:webHidden/>
          </w:rPr>
          <w:fldChar w:fldCharType="separate"/>
        </w:r>
        <w:r>
          <w:rPr>
            <w:noProof/>
            <w:webHidden/>
          </w:rPr>
          <w:t>1637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3" w:history="1">
        <w:r w:rsidRPr="00B80388">
          <w:rPr>
            <w:rStyle w:val="a5"/>
            <w:noProof/>
          </w:rPr>
          <w:t xml:space="preserve">Title: </w:t>
        </w:r>
        <w:r w:rsidRPr="00B80388">
          <w:rPr>
            <w:rStyle w:val="a5"/>
            <w:iCs/>
            <w:noProof/>
          </w:rPr>
          <w:t>International Journal of Industrial Organization</w:t>
        </w:r>
        <w:r>
          <w:rPr>
            <w:noProof/>
            <w:webHidden/>
          </w:rPr>
          <w:tab/>
        </w:r>
        <w:r>
          <w:rPr>
            <w:noProof/>
            <w:webHidden/>
          </w:rPr>
          <w:fldChar w:fldCharType="begin"/>
        </w:r>
        <w:r>
          <w:rPr>
            <w:noProof/>
            <w:webHidden/>
          </w:rPr>
          <w:instrText xml:space="preserve"> PAGEREF _Toc317161313 \h </w:instrText>
        </w:r>
        <w:r>
          <w:rPr>
            <w:noProof/>
            <w:webHidden/>
          </w:rPr>
        </w:r>
        <w:r>
          <w:rPr>
            <w:noProof/>
            <w:webHidden/>
          </w:rPr>
          <w:fldChar w:fldCharType="separate"/>
        </w:r>
        <w:r>
          <w:rPr>
            <w:noProof/>
            <w:webHidden/>
          </w:rPr>
          <w:t>1639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4" w:history="1">
        <w:r w:rsidRPr="00B80388">
          <w:rPr>
            <w:rStyle w:val="a5"/>
            <w:noProof/>
          </w:rPr>
          <w:t xml:space="preserve">Title: </w:t>
        </w:r>
        <w:r w:rsidRPr="00B80388">
          <w:rPr>
            <w:rStyle w:val="a5"/>
            <w:iCs/>
            <w:noProof/>
          </w:rPr>
          <w:t>International Journal of Infectious Diseases</w:t>
        </w:r>
        <w:r>
          <w:rPr>
            <w:noProof/>
            <w:webHidden/>
          </w:rPr>
          <w:tab/>
        </w:r>
        <w:r>
          <w:rPr>
            <w:noProof/>
            <w:webHidden/>
          </w:rPr>
          <w:fldChar w:fldCharType="begin"/>
        </w:r>
        <w:r>
          <w:rPr>
            <w:noProof/>
            <w:webHidden/>
          </w:rPr>
          <w:instrText xml:space="preserve"> PAGEREF _Toc317161314 \h </w:instrText>
        </w:r>
        <w:r>
          <w:rPr>
            <w:noProof/>
            <w:webHidden/>
          </w:rPr>
        </w:r>
        <w:r>
          <w:rPr>
            <w:noProof/>
            <w:webHidden/>
          </w:rPr>
          <w:fldChar w:fldCharType="separate"/>
        </w:r>
        <w:r>
          <w:rPr>
            <w:noProof/>
            <w:webHidden/>
          </w:rPr>
          <w:t>1640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5" w:history="1">
        <w:r w:rsidRPr="00B80388">
          <w:rPr>
            <w:rStyle w:val="a5"/>
            <w:noProof/>
          </w:rPr>
          <w:t>Title: International Journal of Information Management</w:t>
        </w:r>
        <w:r>
          <w:rPr>
            <w:noProof/>
            <w:webHidden/>
          </w:rPr>
          <w:tab/>
        </w:r>
        <w:r>
          <w:rPr>
            <w:noProof/>
            <w:webHidden/>
          </w:rPr>
          <w:fldChar w:fldCharType="begin"/>
        </w:r>
        <w:r>
          <w:rPr>
            <w:noProof/>
            <w:webHidden/>
          </w:rPr>
          <w:instrText xml:space="preserve"> PAGEREF _Toc317161315 \h </w:instrText>
        </w:r>
        <w:r>
          <w:rPr>
            <w:noProof/>
            <w:webHidden/>
          </w:rPr>
        </w:r>
        <w:r>
          <w:rPr>
            <w:noProof/>
            <w:webHidden/>
          </w:rPr>
          <w:fldChar w:fldCharType="separate"/>
        </w:r>
        <w:r>
          <w:rPr>
            <w:noProof/>
            <w:webHidden/>
          </w:rPr>
          <w:t>1643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6" w:history="1">
        <w:r w:rsidRPr="00B80388">
          <w:rPr>
            <w:rStyle w:val="a5"/>
            <w:noProof/>
          </w:rPr>
          <w:t>Title: International Journal of Intelligent Systems</w:t>
        </w:r>
        <w:r>
          <w:rPr>
            <w:noProof/>
            <w:webHidden/>
          </w:rPr>
          <w:tab/>
        </w:r>
        <w:r>
          <w:rPr>
            <w:noProof/>
            <w:webHidden/>
          </w:rPr>
          <w:fldChar w:fldCharType="begin"/>
        </w:r>
        <w:r>
          <w:rPr>
            <w:noProof/>
            <w:webHidden/>
          </w:rPr>
          <w:instrText xml:space="preserve"> PAGEREF _Toc317161316 \h </w:instrText>
        </w:r>
        <w:r>
          <w:rPr>
            <w:noProof/>
            <w:webHidden/>
          </w:rPr>
        </w:r>
        <w:r>
          <w:rPr>
            <w:noProof/>
            <w:webHidden/>
          </w:rPr>
          <w:fldChar w:fldCharType="separate"/>
        </w:r>
        <w:r>
          <w:rPr>
            <w:noProof/>
            <w:webHidden/>
          </w:rPr>
          <w:t>1645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7" w:history="1">
        <w:r w:rsidRPr="00B80388">
          <w:rPr>
            <w:rStyle w:val="a5"/>
            <w:noProof/>
          </w:rPr>
          <w:t>Title: International Journal of Language &amp; Communication Disorders</w:t>
        </w:r>
        <w:r>
          <w:rPr>
            <w:noProof/>
            <w:webHidden/>
          </w:rPr>
          <w:tab/>
        </w:r>
        <w:r>
          <w:rPr>
            <w:noProof/>
            <w:webHidden/>
          </w:rPr>
          <w:fldChar w:fldCharType="begin"/>
        </w:r>
        <w:r>
          <w:rPr>
            <w:noProof/>
            <w:webHidden/>
          </w:rPr>
          <w:instrText xml:space="preserve"> PAGEREF _Toc317161317 \h </w:instrText>
        </w:r>
        <w:r>
          <w:rPr>
            <w:noProof/>
            <w:webHidden/>
          </w:rPr>
        </w:r>
        <w:r>
          <w:rPr>
            <w:noProof/>
            <w:webHidden/>
          </w:rPr>
          <w:fldChar w:fldCharType="separate"/>
        </w:r>
        <w:r>
          <w:rPr>
            <w:noProof/>
            <w:webHidden/>
          </w:rPr>
          <w:t>1646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8" w:history="1">
        <w:r w:rsidRPr="00B80388">
          <w:rPr>
            <w:rStyle w:val="a5"/>
            <w:noProof/>
          </w:rPr>
          <w:t>Title: International Journal of Legal Medicine</w:t>
        </w:r>
        <w:r>
          <w:rPr>
            <w:noProof/>
            <w:webHidden/>
          </w:rPr>
          <w:tab/>
        </w:r>
        <w:r>
          <w:rPr>
            <w:noProof/>
            <w:webHidden/>
          </w:rPr>
          <w:fldChar w:fldCharType="begin"/>
        </w:r>
        <w:r>
          <w:rPr>
            <w:noProof/>
            <w:webHidden/>
          </w:rPr>
          <w:instrText xml:space="preserve"> PAGEREF _Toc317161318 \h </w:instrText>
        </w:r>
        <w:r>
          <w:rPr>
            <w:noProof/>
            <w:webHidden/>
          </w:rPr>
        </w:r>
        <w:r>
          <w:rPr>
            <w:noProof/>
            <w:webHidden/>
          </w:rPr>
          <w:fldChar w:fldCharType="separate"/>
        </w:r>
        <w:r>
          <w:rPr>
            <w:noProof/>
            <w:webHidden/>
          </w:rPr>
          <w:t>1648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19" w:history="1">
        <w:r w:rsidRPr="00B80388">
          <w:rPr>
            <w:rStyle w:val="a5"/>
            <w:noProof/>
          </w:rPr>
          <w:t xml:space="preserve">Title: </w:t>
        </w:r>
        <w:r w:rsidRPr="00B80388">
          <w:rPr>
            <w:rStyle w:val="a5"/>
            <w:iCs/>
            <w:noProof/>
          </w:rPr>
          <w:t>International Journal of Lexicography</w:t>
        </w:r>
        <w:r>
          <w:rPr>
            <w:noProof/>
            <w:webHidden/>
          </w:rPr>
          <w:tab/>
        </w:r>
        <w:r>
          <w:rPr>
            <w:noProof/>
            <w:webHidden/>
          </w:rPr>
          <w:fldChar w:fldCharType="begin"/>
        </w:r>
        <w:r>
          <w:rPr>
            <w:noProof/>
            <w:webHidden/>
          </w:rPr>
          <w:instrText xml:space="preserve"> PAGEREF _Toc317161319 \h </w:instrText>
        </w:r>
        <w:r>
          <w:rPr>
            <w:noProof/>
            <w:webHidden/>
          </w:rPr>
        </w:r>
        <w:r>
          <w:rPr>
            <w:noProof/>
            <w:webHidden/>
          </w:rPr>
          <w:fldChar w:fldCharType="separate"/>
        </w:r>
        <w:r>
          <w:rPr>
            <w:noProof/>
            <w:webHidden/>
          </w:rPr>
          <w:t>1652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0" w:history="1">
        <w:r w:rsidRPr="00B80388">
          <w:rPr>
            <w:rStyle w:val="a5"/>
            <w:noProof/>
          </w:rPr>
          <w:t xml:space="preserve">Title: </w:t>
        </w:r>
        <w:r w:rsidRPr="00B80388">
          <w:rPr>
            <w:rStyle w:val="a5"/>
            <w:iCs/>
            <w:noProof/>
          </w:rPr>
          <w:t>International Journal of Library and Information Science</w:t>
        </w:r>
        <w:r>
          <w:rPr>
            <w:noProof/>
            <w:webHidden/>
          </w:rPr>
          <w:tab/>
        </w:r>
        <w:r>
          <w:rPr>
            <w:noProof/>
            <w:webHidden/>
          </w:rPr>
          <w:fldChar w:fldCharType="begin"/>
        </w:r>
        <w:r>
          <w:rPr>
            <w:noProof/>
            <w:webHidden/>
          </w:rPr>
          <w:instrText xml:space="preserve"> PAGEREF _Toc317161320 \h </w:instrText>
        </w:r>
        <w:r>
          <w:rPr>
            <w:noProof/>
            <w:webHidden/>
          </w:rPr>
        </w:r>
        <w:r>
          <w:rPr>
            <w:noProof/>
            <w:webHidden/>
          </w:rPr>
          <w:fldChar w:fldCharType="separate"/>
        </w:r>
        <w:r>
          <w:rPr>
            <w:noProof/>
            <w:webHidden/>
          </w:rPr>
          <w:t>1653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1" w:history="1">
        <w:r w:rsidRPr="00B80388">
          <w:rPr>
            <w:rStyle w:val="a5"/>
            <w:noProof/>
          </w:rPr>
          <w:t xml:space="preserve">Title: </w:t>
        </w:r>
        <w:r w:rsidRPr="00B80388">
          <w:rPr>
            <w:rStyle w:val="a5"/>
            <w:iCs/>
            <w:noProof/>
          </w:rPr>
          <w:t>International Journal of Life Cycle Assessment</w:t>
        </w:r>
        <w:r>
          <w:rPr>
            <w:noProof/>
            <w:webHidden/>
          </w:rPr>
          <w:tab/>
        </w:r>
        <w:r>
          <w:rPr>
            <w:noProof/>
            <w:webHidden/>
          </w:rPr>
          <w:fldChar w:fldCharType="begin"/>
        </w:r>
        <w:r>
          <w:rPr>
            <w:noProof/>
            <w:webHidden/>
          </w:rPr>
          <w:instrText xml:space="preserve"> PAGEREF _Toc317161321 \h </w:instrText>
        </w:r>
        <w:r>
          <w:rPr>
            <w:noProof/>
            <w:webHidden/>
          </w:rPr>
        </w:r>
        <w:r>
          <w:rPr>
            <w:noProof/>
            <w:webHidden/>
          </w:rPr>
          <w:fldChar w:fldCharType="separate"/>
        </w:r>
        <w:r>
          <w:rPr>
            <w:noProof/>
            <w:webHidden/>
          </w:rPr>
          <w:t>1654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2" w:history="1">
        <w:r w:rsidRPr="00B80388">
          <w:rPr>
            <w:rStyle w:val="a5"/>
            <w:noProof/>
          </w:rPr>
          <w:t>Title: International Journal of Management and Enterprise Development</w:t>
        </w:r>
        <w:r>
          <w:rPr>
            <w:noProof/>
            <w:webHidden/>
          </w:rPr>
          <w:tab/>
        </w:r>
        <w:r>
          <w:rPr>
            <w:noProof/>
            <w:webHidden/>
          </w:rPr>
          <w:fldChar w:fldCharType="begin"/>
        </w:r>
        <w:r>
          <w:rPr>
            <w:noProof/>
            <w:webHidden/>
          </w:rPr>
          <w:instrText xml:space="preserve"> PAGEREF _Toc317161322 \h </w:instrText>
        </w:r>
        <w:r>
          <w:rPr>
            <w:noProof/>
            <w:webHidden/>
          </w:rPr>
        </w:r>
        <w:r>
          <w:rPr>
            <w:noProof/>
            <w:webHidden/>
          </w:rPr>
          <w:fldChar w:fldCharType="separate"/>
        </w:r>
        <w:r>
          <w:rPr>
            <w:noProof/>
            <w:webHidden/>
          </w:rPr>
          <w:t>1656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3" w:history="1">
        <w:r w:rsidRPr="00B80388">
          <w:rPr>
            <w:rStyle w:val="a5"/>
            <w:noProof/>
          </w:rPr>
          <w:t>Title: International Journal of Management Reviews</w:t>
        </w:r>
        <w:r>
          <w:rPr>
            <w:noProof/>
            <w:webHidden/>
          </w:rPr>
          <w:tab/>
        </w:r>
        <w:r>
          <w:rPr>
            <w:noProof/>
            <w:webHidden/>
          </w:rPr>
          <w:fldChar w:fldCharType="begin"/>
        </w:r>
        <w:r>
          <w:rPr>
            <w:noProof/>
            <w:webHidden/>
          </w:rPr>
          <w:instrText xml:space="preserve"> PAGEREF _Toc317161323 \h </w:instrText>
        </w:r>
        <w:r>
          <w:rPr>
            <w:noProof/>
            <w:webHidden/>
          </w:rPr>
        </w:r>
        <w:r>
          <w:rPr>
            <w:noProof/>
            <w:webHidden/>
          </w:rPr>
          <w:fldChar w:fldCharType="separate"/>
        </w:r>
        <w:r>
          <w:rPr>
            <w:noProof/>
            <w:webHidden/>
          </w:rPr>
          <w:t>1657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4" w:history="1">
        <w:r w:rsidRPr="00B80388">
          <w:rPr>
            <w:rStyle w:val="a5"/>
            <w:noProof/>
          </w:rPr>
          <w:t>Title: International Journal of Mass Spectrometry</w:t>
        </w:r>
        <w:r>
          <w:rPr>
            <w:noProof/>
            <w:webHidden/>
          </w:rPr>
          <w:tab/>
        </w:r>
        <w:r>
          <w:rPr>
            <w:noProof/>
            <w:webHidden/>
          </w:rPr>
          <w:fldChar w:fldCharType="begin"/>
        </w:r>
        <w:r>
          <w:rPr>
            <w:noProof/>
            <w:webHidden/>
          </w:rPr>
          <w:instrText xml:space="preserve"> PAGEREF _Toc317161324 \h </w:instrText>
        </w:r>
        <w:r>
          <w:rPr>
            <w:noProof/>
            <w:webHidden/>
          </w:rPr>
        </w:r>
        <w:r>
          <w:rPr>
            <w:noProof/>
            <w:webHidden/>
          </w:rPr>
          <w:fldChar w:fldCharType="separate"/>
        </w:r>
        <w:r>
          <w:rPr>
            <w:noProof/>
            <w:webHidden/>
          </w:rPr>
          <w:t>1658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5" w:history="1">
        <w:r w:rsidRPr="00B80388">
          <w:rPr>
            <w:rStyle w:val="a5"/>
            <w:noProof/>
          </w:rPr>
          <w:t>Title: International Journal of Mass Spectrometry and Ion Processes</w:t>
        </w:r>
        <w:r>
          <w:rPr>
            <w:noProof/>
            <w:webHidden/>
          </w:rPr>
          <w:tab/>
        </w:r>
        <w:r>
          <w:rPr>
            <w:noProof/>
            <w:webHidden/>
          </w:rPr>
          <w:fldChar w:fldCharType="begin"/>
        </w:r>
        <w:r>
          <w:rPr>
            <w:noProof/>
            <w:webHidden/>
          </w:rPr>
          <w:instrText xml:space="preserve"> PAGEREF _Toc317161325 \h </w:instrText>
        </w:r>
        <w:r>
          <w:rPr>
            <w:noProof/>
            <w:webHidden/>
          </w:rPr>
        </w:r>
        <w:r>
          <w:rPr>
            <w:noProof/>
            <w:webHidden/>
          </w:rPr>
          <w:fldChar w:fldCharType="separate"/>
        </w:r>
        <w:r>
          <w:rPr>
            <w:noProof/>
            <w:webHidden/>
          </w:rPr>
          <w:t>1659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6" w:history="1">
        <w:r w:rsidRPr="00B80388">
          <w:rPr>
            <w:rStyle w:val="a5"/>
            <w:noProof/>
          </w:rPr>
          <w:t>Title: International Journal of Materials Research</w:t>
        </w:r>
        <w:r>
          <w:rPr>
            <w:noProof/>
            <w:webHidden/>
          </w:rPr>
          <w:tab/>
        </w:r>
        <w:r>
          <w:rPr>
            <w:noProof/>
            <w:webHidden/>
          </w:rPr>
          <w:fldChar w:fldCharType="begin"/>
        </w:r>
        <w:r>
          <w:rPr>
            <w:noProof/>
            <w:webHidden/>
          </w:rPr>
          <w:instrText xml:space="preserve"> PAGEREF _Toc317161326 \h </w:instrText>
        </w:r>
        <w:r>
          <w:rPr>
            <w:noProof/>
            <w:webHidden/>
          </w:rPr>
        </w:r>
        <w:r>
          <w:rPr>
            <w:noProof/>
            <w:webHidden/>
          </w:rPr>
          <w:fldChar w:fldCharType="separate"/>
        </w:r>
        <w:r>
          <w:rPr>
            <w:noProof/>
            <w:webHidden/>
          </w:rPr>
          <w:t>1661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7" w:history="1">
        <w:r w:rsidRPr="00B80388">
          <w:rPr>
            <w:rStyle w:val="a5"/>
            <w:noProof/>
          </w:rPr>
          <w:t xml:space="preserve">Title: </w:t>
        </w:r>
        <w:r w:rsidRPr="00B80388">
          <w:rPr>
            <w:rStyle w:val="a5"/>
            <w:iCs/>
            <w:noProof/>
          </w:rPr>
          <w:t>International Journal of Medical Informatics</w:t>
        </w:r>
        <w:r>
          <w:rPr>
            <w:noProof/>
            <w:webHidden/>
          </w:rPr>
          <w:tab/>
        </w:r>
        <w:r>
          <w:rPr>
            <w:noProof/>
            <w:webHidden/>
          </w:rPr>
          <w:fldChar w:fldCharType="begin"/>
        </w:r>
        <w:r>
          <w:rPr>
            <w:noProof/>
            <w:webHidden/>
          </w:rPr>
          <w:instrText xml:space="preserve"> PAGEREF _Toc317161327 \h </w:instrText>
        </w:r>
        <w:r>
          <w:rPr>
            <w:noProof/>
            <w:webHidden/>
          </w:rPr>
        </w:r>
        <w:r>
          <w:rPr>
            <w:noProof/>
            <w:webHidden/>
          </w:rPr>
          <w:fldChar w:fldCharType="separate"/>
        </w:r>
        <w:r>
          <w:rPr>
            <w:noProof/>
            <w:webHidden/>
          </w:rPr>
          <w:t>1663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8" w:history="1">
        <w:r w:rsidRPr="00B80388">
          <w:rPr>
            <w:rStyle w:val="a5"/>
            <w:noProof/>
          </w:rPr>
          <w:t>Title: International Journal of Medical Microbiology</w:t>
        </w:r>
        <w:r>
          <w:rPr>
            <w:noProof/>
            <w:webHidden/>
          </w:rPr>
          <w:tab/>
        </w:r>
        <w:r>
          <w:rPr>
            <w:noProof/>
            <w:webHidden/>
          </w:rPr>
          <w:fldChar w:fldCharType="begin"/>
        </w:r>
        <w:r>
          <w:rPr>
            <w:noProof/>
            <w:webHidden/>
          </w:rPr>
          <w:instrText xml:space="preserve"> PAGEREF _Toc317161328 \h </w:instrText>
        </w:r>
        <w:r>
          <w:rPr>
            <w:noProof/>
            <w:webHidden/>
          </w:rPr>
        </w:r>
        <w:r>
          <w:rPr>
            <w:noProof/>
            <w:webHidden/>
          </w:rPr>
          <w:fldChar w:fldCharType="separate"/>
        </w:r>
        <w:r>
          <w:rPr>
            <w:noProof/>
            <w:webHidden/>
          </w:rPr>
          <w:t>1669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29" w:history="1">
        <w:r w:rsidRPr="00B80388">
          <w:rPr>
            <w:rStyle w:val="a5"/>
            <w:noProof/>
          </w:rPr>
          <w:t>Title: International Journal of Mineral Processing</w:t>
        </w:r>
        <w:r>
          <w:rPr>
            <w:noProof/>
            <w:webHidden/>
          </w:rPr>
          <w:tab/>
        </w:r>
        <w:r>
          <w:rPr>
            <w:noProof/>
            <w:webHidden/>
          </w:rPr>
          <w:fldChar w:fldCharType="begin"/>
        </w:r>
        <w:r>
          <w:rPr>
            <w:noProof/>
            <w:webHidden/>
          </w:rPr>
          <w:instrText xml:space="preserve"> PAGEREF _Toc317161329 \h </w:instrText>
        </w:r>
        <w:r>
          <w:rPr>
            <w:noProof/>
            <w:webHidden/>
          </w:rPr>
        </w:r>
        <w:r>
          <w:rPr>
            <w:noProof/>
            <w:webHidden/>
          </w:rPr>
          <w:fldChar w:fldCharType="separate"/>
        </w:r>
        <w:r>
          <w:rPr>
            <w:noProof/>
            <w:webHidden/>
          </w:rPr>
          <w:t>1671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0" w:history="1">
        <w:r w:rsidRPr="00B80388">
          <w:rPr>
            <w:rStyle w:val="a5"/>
            <w:noProof/>
          </w:rPr>
          <w:t xml:space="preserve">Title: </w:t>
        </w:r>
        <w:r w:rsidRPr="00B80388">
          <w:rPr>
            <w:rStyle w:val="a5"/>
            <w:iCs/>
            <w:noProof/>
          </w:rPr>
          <w:t>International Journal of Modern Physics B</w:t>
        </w:r>
        <w:r>
          <w:rPr>
            <w:noProof/>
            <w:webHidden/>
          </w:rPr>
          <w:tab/>
        </w:r>
        <w:r>
          <w:rPr>
            <w:noProof/>
            <w:webHidden/>
          </w:rPr>
          <w:fldChar w:fldCharType="begin"/>
        </w:r>
        <w:r>
          <w:rPr>
            <w:noProof/>
            <w:webHidden/>
          </w:rPr>
          <w:instrText xml:space="preserve"> PAGEREF _Toc317161330 \h </w:instrText>
        </w:r>
        <w:r>
          <w:rPr>
            <w:noProof/>
            <w:webHidden/>
          </w:rPr>
        </w:r>
        <w:r>
          <w:rPr>
            <w:noProof/>
            <w:webHidden/>
          </w:rPr>
          <w:fldChar w:fldCharType="separate"/>
        </w:r>
        <w:r>
          <w:rPr>
            <w:noProof/>
            <w:webHidden/>
          </w:rPr>
          <w:t>1683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1" w:history="1">
        <w:r w:rsidRPr="00B80388">
          <w:rPr>
            <w:rStyle w:val="a5"/>
            <w:noProof/>
          </w:rPr>
          <w:t xml:space="preserve">Title: </w:t>
        </w:r>
        <w:r w:rsidRPr="00B80388">
          <w:rPr>
            <w:rStyle w:val="a5"/>
            <w:iCs/>
            <w:noProof/>
          </w:rPr>
          <w:t>International Journal of Modern Physics C</w:t>
        </w:r>
        <w:r>
          <w:rPr>
            <w:noProof/>
            <w:webHidden/>
          </w:rPr>
          <w:tab/>
        </w:r>
        <w:r>
          <w:rPr>
            <w:noProof/>
            <w:webHidden/>
          </w:rPr>
          <w:fldChar w:fldCharType="begin"/>
        </w:r>
        <w:r>
          <w:rPr>
            <w:noProof/>
            <w:webHidden/>
          </w:rPr>
          <w:instrText xml:space="preserve"> PAGEREF _Toc317161331 \h </w:instrText>
        </w:r>
        <w:r>
          <w:rPr>
            <w:noProof/>
            <w:webHidden/>
          </w:rPr>
        </w:r>
        <w:r>
          <w:rPr>
            <w:noProof/>
            <w:webHidden/>
          </w:rPr>
          <w:fldChar w:fldCharType="separate"/>
        </w:r>
        <w:r>
          <w:rPr>
            <w:noProof/>
            <w:webHidden/>
          </w:rPr>
          <w:t>1685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2" w:history="1">
        <w:r w:rsidRPr="00B80388">
          <w:rPr>
            <w:rStyle w:val="a5"/>
            <w:noProof/>
          </w:rPr>
          <w:t xml:space="preserve">Title: </w:t>
        </w:r>
        <w:r w:rsidRPr="00B80388">
          <w:rPr>
            <w:rStyle w:val="a5"/>
            <w:iCs/>
            <w:noProof/>
          </w:rPr>
          <w:t>International Journal of Morphology</w:t>
        </w:r>
        <w:r>
          <w:rPr>
            <w:noProof/>
            <w:webHidden/>
          </w:rPr>
          <w:tab/>
        </w:r>
        <w:r>
          <w:rPr>
            <w:noProof/>
            <w:webHidden/>
          </w:rPr>
          <w:fldChar w:fldCharType="begin"/>
        </w:r>
        <w:r>
          <w:rPr>
            <w:noProof/>
            <w:webHidden/>
          </w:rPr>
          <w:instrText xml:space="preserve"> PAGEREF _Toc317161332 \h </w:instrText>
        </w:r>
        <w:r>
          <w:rPr>
            <w:noProof/>
            <w:webHidden/>
          </w:rPr>
        </w:r>
        <w:r>
          <w:rPr>
            <w:noProof/>
            <w:webHidden/>
          </w:rPr>
          <w:fldChar w:fldCharType="separate"/>
        </w:r>
        <w:r>
          <w:rPr>
            <w:noProof/>
            <w:webHidden/>
          </w:rPr>
          <w:t>1686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3" w:history="1">
        <w:r w:rsidRPr="00B80388">
          <w:rPr>
            <w:rStyle w:val="a5"/>
            <w:noProof/>
          </w:rPr>
          <w:t>Title: International Journal of Multiphase Flow</w:t>
        </w:r>
        <w:r>
          <w:rPr>
            <w:noProof/>
            <w:webHidden/>
          </w:rPr>
          <w:tab/>
        </w:r>
        <w:r>
          <w:rPr>
            <w:noProof/>
            <w:webHidden/>
          </w:rPr>
          <w:fldChar w:fldCharType="begin"/>
        </w:r>
        <w:r>
          <w:rPr>
            <w:noProof/>
            <w:webHidden/>
          </w:rPr>
          <w:instrText xml:space="preserve"> PAGEREF _Toc317161333 \h </w:instrText>
        </w:r>
        <w:r>
          <w:rPr>
            <w:noProof/>
            <w:webHidden/>
          </w:rPr>
        </w:r>
        <w:r>
          <w:rPr>
            <w:noProof/>
            <w:webHidden/>
          </w:rPr>
          <w:fldChar w:fldCharType="separate"/>
        </w:r>
        <w:r>
          <w:rPr>
            <w:noProof/>
            <w:webHidden/>
          </w:rPr>
          <w:t>1688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4" w:history="1">
        <w:r w:rsidRPr="00B80388">
          <w:rPr>
            <w:rStyle w:val="a5"/>
            <w:noProof/>
          </w:rPr>
          <w:t xml:space="preserve">Title: </w:t>
        </w:r>
        <w:r w:rsidRPr="00B80388">
          <w:rPr>
            <w:rStyle w:val="a5"/>
            <w:iCs/>
            <w:noProof/>
          </w:rPr>
          <w:t>International Journal of Nanotechnology</w:t>
        </w:r>
        <w:r>
          <w:rPr>
            <w:noProof/>
            <w:webHidden/>
          </w:rPr>
          <w:tab/>
        </w:r>
        <w:r>
          <w:rPr>
            <w:noProof/>
            <w:webHidden/>
          </w:rPr>
          <w:fldChar w:fldCharType="begin"/>
        </w:r>
        <w:r>
          <w:rPr>
            <w:noProof/>
            <w:webHidden/>
          </w:rPr>
          <w:instrText xml:space="preserve"> PAGEREF _Toc317161334 \h </w:instrText>
        </w:r>
        <w:r>
          <w:rPr>
            <w:noProof/>
            <w:webHidden/>
          </w:rPr>
        </w:r>
        <w:r>
          <w:rPr>
            <w:noProof/>
            <w:webHidden/>
          </w:rPr>
          <w:fldChar w:fldCharType="separate"/>
        </w:r>
        <w:r>
          <w:rPr>
            <w:noProof/>
            <w:webHidden/>
          </w:rPr>
          <w:t>1689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5" w:history="1">
        <w:r w:rsidRPr="00B80388">
          <w:rPr>
            <w:rStyle w:val="a5"/>
            <w:noProof/>
          </w:rPr>
          <w:t>Title: International Journal of Nursing Studies</w:t>
        </w:r>
        <w:r>
          <w:rPr>
            <w:noProof/>
            <w:webHidden/>
          </w:rPr>
          <w:tab/>
        </w:r>
        <w:r>
          <w:rPr>
            <w:noProof/>
            <w:webHidden/>
          </w:rPr>
          <w:fldChar w:fldCharType="begin"/>
        </w:r>
        <w:r>
          <w:rPr>
            <w:noProof/>
            <w:webHidden/>
          </w:rPr>
          <w:instrText xml:space="preserve"> PAGEREF _Toc317161335 \h </w:instrText>
        </w:r>
        <w:r>
          <w:rPr>
            <w:noProof/>
            <w:webHidden/>
          </w:rPr>
        </w:r>
        <w:r>
          <w:rPr>
            <w:noProof/>
            <w:webHidden/>
          </w:rPr>
          <w:fldChar w:fldCharType="separate"/>
        </w:r>
        <w:r>
          <w:rPr>
            <w:noProof/>
            <w:webHidden/>
          </w:rPr>
          <w:t>1690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6" w:history="1">
        <w:r w:rsidRPr="00B80388">
          <w:rPr>
            <w:rStyle w:val="a5"/>
            <w:noProof/>
          </w:rPr>
          <w:t>Title: International Journal of Obesity</w:t>
        </w:r>
        <w:r>
          <w:rPr>
            <w:noProof/>
            <w:webHidden/>
          </w:rPr>
          <w:tab/>
        </w:r>
        <w:r>
          <w:rPr>
            <w:noProof/>
            <w:webHidden/>
          </w:rPr>
          <w:fldChar w:fldCharType="begin"/>
        </w:r>
        <w:r>
          <w:rPr>
            <w:noProof/>
            <w:webHidden/>
          </w:rPr>
          <w:instrText xml:space="preserve"> PAGEREF _Toc317161336 \h </w:instrText>
        </w:r>
        <w:r>
          <w:rPr>
            <w:noProof/>
            <w:webHidden/>
          </w:rPr>
        </w:r>
        <w:r>
          <w:rPr>
            <w:noProof/>
            <w:webHidden/>
          </w:rPr>
          <w:fldChar w:fldCharType="separate"/>
        </w:r>
        <w:r>
          <w:rPr>
            <w:noProof/>
            <w:webHidden/>
          </w:rPr>
          <w:t>1698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7" w:history="1">
        <w:r w:rsidRPr="00B80388">
          <w:rPr>
            <w:rStyle w:val="a5"/>
            <w:noProof/>
          </w:rPr>
          <w:t>Title: Int J Occup Environ Health</w:t>
        </w:r>
        <w:r>
          <w:rPr>
            <w:noProof/>
            <w:webHidden/>
          </w:rPr>
          <w:tab/>
        </w:r>
        <w:r>
          <w:rPr>
            <w:noProof/>
            <w:webHidden/>
          </w:rPr>
          <w:fldChar w:fldCharType="begin"/>
        </w:r>
        <w:r>
          <w:rPr>
            <w:noProof/>
            <w:webHidden/>
          </w:rPr>
          <w:instrText xml:space="preserve"> PAGEREF _Toc317161337 \h </w:instrText>
        </w:r>
        <w:r>
          <w:rPr>
            <w:noProof/>
            <w:webHidden/>
          </w:rPr>
        </w:r>
        <w:r>
          <w:rPr>
            <w:noProof/>
            <w:webHidden/>
          </w:rPr>
          <w:fldChar w:fldCharType="separate"/>
        </w:r>
        <w:r>
          <w:rPr>
            <w:noProof/>
            <w:webHidden/>
          </w:rPr>
          <w:t>1701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8" w:history="1">
        <w:r w:rsidRPr="00B80388">
          <w:rPr>
            <w:rStyle w:val="a5"/>
            <w:noProof/>
          </w:rPr>
          <w:t>Title: International Journal of Offender Therapy and Comparative Criminology</w:t>
        </w:r>
        <w:r>
          <w:rPr>
            <w:noProof/>
            <w:webHidden/>
          </w:rPr>
          <w:tab/>
        </w:r>
        <w:r>
          <w:rPr>
            <w:noProof/>
            <w:webHidden/>
          </w:rPr>
          <w:fldChar w:fldCharType="begin"/>
        </w:r>
        <w:r>
          <w:rPr>
            <w:noProof/>
            <w:webHidden/>
          </w:rPr>
          <w:instrText xml:space="preserve"> PAGEREF _Toc317161338 \h </w:instrText>
        </w:r>
        <w:r>
          <w:rPr>
            <w:noProof/>
            <w:webHidden/>
          </w:rPr>
        </w:r>
        <w:r>
          <w:rPr>
            <w:noProof/>
            <w:webHidden/>
          </w:rPr>
          <w:fldChar w:fldCharType="separate"/>
        </w:r>
        <w:r>
          <w:rPr>
            <w:noProof/>
            <w:webHidden/>
          </w:rPr>
          <w:t>1702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39" w:history="1">
        <w:r w:rsidRPr="00B80388">
          <w:rPr>
            <w:rStyle w:val="a5"/>
            <w:noProof/>
          </w:rPr>
          <w:t>Title: International Journal of Oncology</w:t>
        </w:r>
        <w:r>
          <w:rPr>
            <w:noProof/>
            <w:webHidden/>
          </w:rPr>
          <w:tab/>
        </w:r>
        <w:r>
          <w:rPr>
            <w:noProof/>
            <w:webHidden/>
          </w:rPr>
          <w:fldChar w:fldCharType="begin"/>
        </w:r>
        <w:r>
          <w:rPr>
            <w:noProof/>
            <w:webHidden/>
          </w:rPr>
          <w:instrText xml:space="preserve"> PAGEREF _Toc317161339 \h </w:instrText>
        </w:r>
        <w:r>
          <w:rPr>
            <w:noProof/>
            <w:webHidden/>
          </w:rPr>
        </w:r>
        <w:r>
          <w:rPr>
            <w:noProof/>
            <w:webHidden/>
          </w:rPr>
          <w:fldChar w:fldCharType="separate"/>
        </w:r>
        <w:r>
          <w:rPr>
            <w:noProof/>
            <w:webHidden/>
          </w:rPr>
          <w:t>1704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0" w:history="1">
        <w:r w:rsidRPr="00B80388">
          <w:rPr>
            <w:rStyle w:val="a5"/>
            <w:noProof/>
          </w:rPr>
          <w:t>Title: International Journal of Operations &amp; Production Management</w:t>
        </w:r>
        <w:r>
          <w:rPr>
            <w:noProof/>
            <w:webHidden/>
          </w:rPr>
          <w:tab/>
        </w:r>
        <w:r>
          <w:rPr>
            <w:noProof/>
            <w:webHidden/>
          </w:rPr>
          <w:fldChar w:fldCharType="begin"/>
        </w:r>
        <w:r>
          <w:rPr>
            <w:noProof/>
            <w:webHidden/>
          </w:rPr>
          <w:instrText xml:space="preserve"> PAGEREF _Toc317161340 \h </w:instrText>
        </w:r>
        <w:r>
          <w:rPr>
            <w:noProof/>
            <w:webHidden/>
          </w:rPr>
        </w:r>
        <w:r>
          <w:rPr>
            <w:noProof/>
            <w:webHidden/>
          </w:rPr>
          <w:fldChar w:fldCharType="separate"/>
        </w:r>
        <w:r>
          <w:rPr>
            <w:noProof/>
            <w:webHidden/>
          </w:rPr>
          <w:t>1706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1" w:history="1">
        <w:r w:rsidRPr="00B80388">
          <w:rPr>
            <w:rStyle w:val="a5"/>
            <w:noProof/>
          </w:rPr>
          <w:t xml:space="preserve">Title: </w:t>
        </w:r>
        <w:r w:rsidRPr="00B80388">
          <w:rPr>
            <w:rStyle w:val="a5"/>
            <w:iCs/>
            <w:noProof/>
          </w:rPr>
          <w:t>International Journal of Ophthalmology</w:t>
        </w:r>
        <w:r>
          <w:rPr>
            <w:noProof/>
            <w:webHidden/>
          </w:rPr>
          <w:tab/>
        </w:r>
        <w:r>
          <w:rPr>
            <w:noProof/>
            <w:webHidden/>
          </w:rPr>
          <w:fldChar w:fldCharType="begin"/>
        </w:r>
        <w:r>
          <w:rPr>
            <w:noProof/>
            <w:webHidden/>
          </w:rPr>
          <w:instrText xml:space="preserve"> PAGEREF _Toc317161341 \h </w:instrText>
        </w:r>
        <w:r>
          <w:rPr>
            <w:noProof/>
            <w:webHidden/>
          </w:rPr>
        </w:r>
        <w:r>
          <w:rPr>
            <w:noProof/>
            <w:webHidden/>
          </w:rPr>
          <w:fldChar w:fldCharType="separate"/>
        </w:r>
        <w:r>
          <w:rPr>
            <w:noProof/>
            <w:webHidden/>
          </w:rPr>
          <w:t>1709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2" w:history="1">
        <w:r w:rsidRPr="00B80388">
          <w:rPr>
            <w:rStyle w:val="a5"/>
            <w:noProof/>
          </w:rPr>
          <w:t xml:space="preserve">Title: </w:t>
        </w:r>
        <w:r w:rsidRPr="00B80388">
          <w:rPr>
            <w:rStyle w:val="a5"/>
            <w:iCs/>
            <w:noProof/>
          </w:rPr>
          <w:t>International Journal of Oral and Maxillofacial Surgery</w:t>
        </w:r>
        <w:r>
          <w:rPr>
            <w:noProof/>
            <w:webHidden/>
          </w:rPr>
          <w:tab/>
        </w:r>
        <w:r>
          <w:rPr>
            <w:noProof/>
            <w:webHidden/>
          </w:rPr>
          <w:fldChar w:fldCharType="begin"/>
        </w:r>
        <w:r>
          <w:rPr>
            <w:noProof/>
            <w:webHidden/>
          </w:rPr>
          <w:instrText xml:space="preserve"> PAGEREF _Toc317161342 \h </w:instrText>
        </w:r>
        <w:r>
          <w:rPr>
            <w:noProof/>
            <w:webHidden/>
          </w:rPr>
        </w:r>
        <w:r>
          <w:rPr>
            <w:noProof/>
            <w:webHidden/>
          </w:rPr>
          <w:fldChar w:fldCharType="separate"/>
        </w:r>
        <w:r>
          <w:rPr>
            <w:noProof/>
            <w:webHidden/>
          </w:rPr>
          <w:t>1712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3" w:history="1">
        <w:r w:rsidRPr="00B80388">
          <w:rPr>
            <w:rStyle w:val="a5"/>
            <w:noProof/>
          </w:rPr>
          <w:t xml:space="preserve">Title: </w:t>
        </w:r>
        <w:r w:rsidRPr="00B80388">
          <w:rPr>
            <w:rStyle w:val="a5"/>
            <w:iCs/>
            <w:noProof/>
          </w:rPr>
          <w:t>International Journal of Osteoarchaeology</w:t>
        </w:r>
        <w:r>
          <w:rPr>
            <w:noProof/>
            <w:webHidden/>
          </w:rPr>
          <w:tab/>
        </w:r>
        <w:r>
          <w:rPr>
            <w:noProof/>
            <w:webHidden/>
          </w:rPr>
          <w:fldChar w:fldCharType="begin"/>
        </w:r>
        <w:r>
          <w:rPr>
            <w:noProof/>
            <w:webHidden/>
          </w:rPr>
          <w:instrText xml:space="preserve"> PAGEREF _Toc317161343 \h </w:instrText>
        </w:r>
        <w:r>
          <w:rPr>
            <w:noProof/>
            <w:webHidden/>
          </w:rPr>
        </w:r>
        <w:r>
          <w:rPr>
            <w:noProof/>
            <w:webHidden/>
          </w:rPr>
          <w:fldChar w:fldCharType="separate"/>
        </w:r>
        <w:r>
          <w:rPr>
            <w:noProof/>
            <w:webHidden/>
          </w:rPr>
          <w:t>1713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4" w:history="1">
        <w:r w:rsidRPr="00B80388">
          <w:rPr>
            <w:rStyle w:val="a5"/>
            <w:noProof/>
          </w:rPr>
          <w:t>Title: International Journal for Parasitology</w:t>
        </w:r>
        <w:r>
          <w:rPr>
            <w:noProof/>
            <w:webHidden/>
          </w:rPr>
          <w:tab/>
        </w:r>
        <w:r>
          <w:rPr>
            <w:noProof/>
            <w:webHidden/>
          </w:rPr>
          <w:fldChar w:fldCharType="begin"/>
        </w:r>
        <w:r>
          <w:rPr>
            <w:noProof/>
            <w:webHidden/>
          </w:rPr>
          <w:instrText xml:space="preserve"> PAGEREF _Toc317161344 \h </w:instrText>
        </w:r>
        <w:r>
          <w:rPr>
            <w:noProof/>
            <w:webHidden/>
          </w:rPr>
        </w:r>
        <w:r>
          <w:rPr>
            <w:noProof/>
            <w:webHidden/>
          </w:rPr>
          <w:fldChar w:fldCharType="separate"/>
        </w:r>
        <w:r>
          <w:rPr>
            <w:noProof/>
            <w:webHidden/>
          </w:rPr>
          <w:t>1715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5" w:history="1">
        <w:r w:rsidRPr="00B80388">
          <w:rPr>
            <w:rStyle w:val="a5"/>
            <w:noProof/>
          </w:rPr>
          <w:t xml:space="preserve">Title: </w:t>
        </w:r>
        <w:r w:rsidRPr="00B80388">
          <w:rPr>
            <w:rStyle w:val="a5"/>
            <w:iCs/>
            <w:noProof/>
          </w:rPr>
          <w:t>International Journal of Pediatric Otorhinolaryngology</w:t>
        </w:r>
        <w:r>
          <w:rPr>
            <w:noProof/>
            <w:webHidden/>
          </w:rPr>
          <w:tab/>
        </w:r>
        <w:r>
          <w:rPr>
            <w:noProof/>
            <w:webHidden/>
          </w:rPr>
          <w:fldChar w:fldCharType="begin"/>
        </w:r>
        <w:r>
          <w:rPr>
            <w:noProof/>
            <w:webHidden/>
          </w:rPr>
          <w:instrText xml:space="preserve"> PAGEREF _Toc317161345 \h </w:instrText>
        </w:r>
        <w:r>
          <w:rPr>
            <w:noProof/>
            <w:webHidden/>
          </w:rPr>
        </w:r>
        <w:r>
          <w:rPr>
            <w:noProof/>
            <w:webHidden/>
          </w:rPr>
          <w:fldChar w:fldCharType="separate"/>
        </w:r>
        <w:r>
          <w:rPr>
            <w:noProof/>
            <w:webHidden/>
          </w:rPr>
          <w:t>1717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6" w:history="1">
        <w:r w:rsidRPr="00B80388">
          <w:rPr>
            <w:rStyle w:val="a5"/>
            <w:noProof/>
          </w:rPr>
          <w:t>Title: International Journal of Pest Management</w:t>
        </w:r>
        <w:r>
          <w:rPr>
            <w:noProof/>
            <w:webHidden/>
          </w:rPr>
          <w:tab/>
        </w:r>
        <w:r>
          <w:rPr>
            <w:noProof/>
            <w:webHidden/>
          </w:rPr>
          <w:fldChar w:fldCharType="begin"/>
        </w:r>
        <w:r>
          <w:rPr>
            <w:noProof/>
            <w:webHidden/>
          </w:rPr>
          <w:instrText xml:space="preserve"> PAGEREF _Toc317161346 \h </w:instrText>
        </w:r>
        <w:r>
          <w:rPr>
            <w:noProof/>
            <w:webHidden/>
          </w:rPr>
        </w:r>
        <w:r>
          <w:rPr>
            <w:noProof/>
            <w:webHidden/>
          </w:rPr>
          <w:fldChar w:fldCharType="separate"/>
        </w:r>
        <w:r>
          <w:rPr>
            <w:noProof/>
            <w:webHidden/>
          </w:rPr>
          <w:t>1719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7" w:history="1">
        <w:r w:rsidRPr="00B80388">
          <w:rPr>
            <w:rStyle w:val="a5"/>
            <w:noProof/>
          </w:rPr>
          <w:t xml:space="preserve">Title: </w:t>
        </w:r>
        <w:r w:rsidRPr="00B80388">
          <w:rPr>
            <w:rStyle w:val="a5"/>
            <w:iCs/>
            <w:noProof/>
          </w:rPr>
          <w:t>International Journal of Pharmaceutics</w:t>
        </w:r>
        <w:r>
          <w:rPr>
            <w:noProof/>
            <w:webHidden/>
          </w:rPr>
          <w:tab/>
        </w:r>
        <w:r>
          <w:rPr>
            <w:noProof/>
            <w:webHidden/>
          </w:rPr>
          <w:fldChar w:fldCharType="begin"/>
        </w:r>
        <w:r>
          <w:rPr>
            <w:noProof/>
            <w:webHidden/>
          </w:rPr>
          <w:instrText xml:space="preserve"> PAGEREF _Toc317161347 \h </w:instrText>
        </w:r>
        <w:r>
          <w:rPr>
            <w:noProof/>
            <w:webHidden/>
          </w:rPr>
        </w:r>
        <w:r>
          <w:rPr>
            <w:noProof/>
            <w:webHidden/>
          </w:rPr>
          <w:fldChar w:fldCharType="separate"/>
        </w:r>
        <w:r>
          <w:rPr>
            <w:noProof/>
            <w:webHidden/>
          </w:rPr>
          <w:t>1720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8" w:history="1">
        <w:r w:rsidRPr="00B80388">
          <w:rPr>
            <w:rStyle w:val="a5"/>
            <w:noProof/>
          </w:rPr>
          <w:t xml:space="preserve">Title: </w:t>
        </w:r>
        <w:r w:rsidRPr="00B80388">
          <w:rPr>
            <w:rStyle w:val="a5"/>
            <w:iCs/>
            <w:noProof/>
          </w:rPr>
          <w:t>International Journal of Pharmacology</w:t>
        </w:r>
        <w:r>
          <w:rPr>
            <w:noProof/>
            <w:webHidden/>
          </w:rPr>
          <w:tab/>
        </w:r>
        <w:r>
          <w:rPr>
            <w:noProof/>
            <w:webHidden/>
          </w:rPr>
          <w:fldChar w:fldCharType="begin"/>
        </w:r>
        <w:r>
          <w:rPr>
            <w:noProof/>
            <w:webHidden/>
          </w:rPr>
          <w:instrText xml:space="preserve"> PAGEREF _Toc317161348 \h </w:instrText>
        </w:r>
        <w:r>
          <w:rPr>
            <w:noProof/>
            <w:webHidden/>
          </w:rPr>
        </w:r>
        <w:r>
          <w:rPr>
            <w:noProof/>
            <w:webHidden/>
          </w:rPr>
          <w:fldChar w:fldCharType="separate"/>
        </w:r>
        <w:r>
          <w:rPr>
            <w:noProof/>
            <w:webHidden/>
          </w:rPr>
          <w:t>1722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49" w:history="1">
        <w:r w:rsidRPr="00B80388">
          <w:rPr>
            <w:rStyle w:val="a5"/>
            <w:noProof/>
          </w:rPr>
          <w:t xml:space="preserve">Title: </w:t>
        </w:r>
        <w:r w:rsidRPr="00B80388">
          <w:rPr>
            <w:rStyle w:val="a5"/>
            <w:iCs/>
            <w:noProof/>
          </w:rPr>
          <w:t>International Journal of Philosophical Studies</w:t>
        </w:r>
        <w:r>
          <w:rPr>
            <w:noProof/>
            <w:webHidden/>
          </w:rPr>
          <w:tab/>
        </w:r>
        <w:r>
          <w:rPr>
            <w:noProof/>
            <w:webHidden/>
          </w:rPr>
          <w:fldChar w:fldCharType="begin"/>
        </w:r>
        <w:r>
          <w:rPr>
            <w:noProof/>
            <w:webHidden/>
          </w:rPr>
          <w:instrText xml:space="preserve"> PAGEREF _Toc317161349 \h </w:instrText>
        </w:r>
        <w:r>
          <w:rPr>
            <w:noProof/>
            <w:webHidden/>
          </w:rPr>
        </w:r>
        <w:r>
          <w:rPr>
            <w:noProof/>
            <w:webHidden/>
          </w:rPr>
          <w:fldChar w:fldCharType="separate"/>
        </w:r>
        <w:r>
          <w:rPr>
            <w:noProof/>
            <w:webHidden/>
          </w:rPr>
          <w:t>1727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0" w:history="1">
        <w:r w:rsidRPr="00B80388">
          <w:rPr>
            <w:rStyle w:val="a5"/>
            <w:noProof/>
          </w:rPr>
          <w:t xml:space="preserve">Title: </w:t>
        </w:r>
        <w:r w:rsidRPr="00B80388">
          <w:rPr>
            <w:rStyle w:val="a5"/>
            <w:iCs/>
            <w:noProof/>
          </w:rPr>
          <w:t>International Journal of Photoenergy</w:t>
        </w:r>
        <w:r>
          <w:rPr>
            <w:noProof/>
            <w:webHidden/>
          </w:rPr>
          <w:tab/>
        </w:r>
        <w:r>
          <w:rPr>
            <w:noProof/>
            <w:webHidden/>
          </w:rPr>
          <w:fldChar w:fldCharType="begin"/>
        </w:r>
        <w:r>
          <w:rPr>
            <w:noProof/>
            <w:webHidden/>
          </w:rPr>
          <w:instrText xml:space="preserve"> PAGEREF _Toc317161350 \h </w:instrText>
        </w:r>
        <w:r>
          <w:rPr>
            <w:noProof/>
            <w:webHidden/>
          </w:rPr>
        </w:r>
        <w:r>
          <w:rPr>
            <w:noProof/>
            <w:webHidden/>
          </w:rPr>
          <w:fldChar w:fldCharType="separate"/>
        </w:r>
        <w:r>
          <w:rPr>
            <w:noProof/>
            <w:webHidden/>
          </w:rPr>
          <w:t>1728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1" w:history="1">
        <w:r w:rsidRPr="00B80388">
          <w:rPr>
            <w:rStyle w:val="a5"/>
            <w:noProof/>
          </w:rPr>
          <w:t>Title: International Journal of the Physical Sciences</w:t>
        </w:r>
        <w:r>
          <w:rPr>
            <w:noProof/>
            <w:webHidden/>
          </w:rPr>
          <w:tab/>
        </w:r>
        <w:r>
          <w:rPr>
            <w:noProof/>
            <w:webHidden/>
          </w:rPr>
          <w:fldChar w:fldCharType="begin"/>
        </w:r>
        <w:r>
          <w:rPr>
            <w:noProof/>
            <w:webHidden/>
          </w:rPr>
          <w:instrText xml:space="preserve"> PAGEREF _Toc317161351 \h </w:instrText>
        </w:r>
        <w:r>
          <w:rPr>
            <w:noProof/>
            <w:webHidden/>
          </w:rPr>
        </w:r>
        <w:r>
          <w:rPr>
            <w:noProof/>
            <w:webHidden/>
          </w:rPr>
          <w:fldChar w:fldCharType="separate"/>
        </w:r>
        <w:r>
          <w:rPr>
            <w:noProof/>
            <w:webHidden/>
          </w:rPr>
          <w:t>1730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2" w:history="1">
        <w:r w:rsidRPr="00B80388">
          <w:rPr>
            <w:rStyle w:val="a5"/>
            <w:noProof/>
          </w:rPr>
          <w:t>Title: International Journal of Phytoremediation</w:t>
        </w:r>
        <w:r>
          <w:rPr>
            <w:noProof/>
            <w:webHidden/>
          </w:rPr>
          <w:tab/>
        </w:r>
        <w:r>
          <w:rPr>
            <w:noProof/>
            <w:webHidden/>
          </w:rPr>
          <w:fldChar w:fldCharType="begin"/>
        </w:r>
        <w:r>
          <w:rPr>
            <w:noProof/>
            <w:webHidden/>
          </w:rPr>
          <w:instrText xml:space="preserve"> PAGEREF _Toc317161352 \h </w:instrText>
        </w:r>
        <w:r>
          <w:rPr>
            <w:noProof/>
            <w:webHidden/>
          </w:rPr>
        </w:r>
        <w:r>
          <w:rPr>
            <w:noProof/>
            <w:webHidden/>
          </w:rPr>
          <w:fldChar w:fldCharType="separate"/>
        </w:r>
        <w:r>
          <w:rPr>
            <w:noProof/>
            <w:webHidden/>
          </w:rPr>
          <w:t>1736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3" w:history="1">
        <w:r w:rsidRPr="00B80388">
          <w:rPr>
            <w:rStyle w:val="a5"/>
            <w:noProof/>
          </w:rPr>
          <w:t>Title: International Journal of Plant Sciences</w:t>
        </w:r>
        <w:r>
          <w:rPr>
            <w:noProof/>
            <w:webHidden/>
          </w:rPr>
          <w:tab/>
        </w:r>
        <w:r>
          <w:rPr>
            <w:noProof/>
            <w:webHidden/>
          </w:rPr>
          <w:fldChar w:fldCharType="begin"/>
        </w:r>
        <w:r>
          <w:rPr>
            <w:noProof/>
            <w:webHidden/>
          </w:rPr>
          <w:instrText xml:space="preserve"> PAGEREF _Toc317161353 \h </w:instrText>
        </w:r>
        <w:r>
          <w:rPr>
            <w:noProof/>
            <w:webHidden/>
          </w:rPr>
        </w:r>
        <w:r>
          <w:rPr>
            <w:noProof/>
            <w:webHidden/>
          </w:rPr>
          <w:fldChar w:fldCharType="separate"/>
        </w:r>
        <w:r>
          <w:rPr>
            <w:noProof/>
            <w:webHidden/>
          </w:rPr>
          <w:t>1739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4" w:history="1">
        <w:r w:rsidRPr="00B80388">
          <w:rPr>
            <w:rStyle w:val="a5"/>
            <w:noProof/>
          </w:rPr>
          <w:t xml:space="preserve">Title: </w:t>
        </w:r>
        <w:r w:rsidRPr="00B80388">
          <w:rPr>
            <w:rStyle w:val="a5"/>
            <w:iCs/>
            <w:noProof/>
          </w:rPr>
          <w:t>International Journal of Plant Sciences</w:t>
        </w:r>
        <w:r>
          <w:rPr>
            <w:noProof/>
            <w:webHidden/>
          </w:rPr>
          <w:tab/>
        </w:r>
        <w:r>
          <w:rPr>
            <w:noProof/>
            <w:webHidden/>
          </w:rPr>
          <w:fldChar w:fldCharType="begin"/>
        </w:r>
        <w:r>
          <w:rPr>
            <w:noProof/>
            <w:webHidden/>
          </w:rPr>
          <w:instrText xml:space="preserve"> PAGEREF _Toc317161354 \h </w:instrText>
        </w:r>
        <w:r>
          <w:rPr>
            <w:noProof/>
            <w:webHidden/>
          </w:rPr>
        </w:r>
        <w:r>
          <w:rPr>
            <w:noProof/>
            <w:webHidden/>
          </w:rPr>
          <w:fldChar w:fldCharType="separate"/>
        </w:r>
        <w:r>
          <w:rPr>
            <w:noProof/>
            <w:webHidden/>
          </w:rPr>
          <w:t>1740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5" w:history="1">
        <w:r w:rsidRPr="00B80388">
          <w:rPr>
            <w:rStyle w:val="a5"/>
            <w:noProof/>
          </w:rPr>
          <w:t>Title: International Journal of Primatology</w:t>
        </w:r>
        <w:r>
          <w:rPr>
            <w:noProof/>
            <w:webHidden/>
          </w:rPr>
          <w:tab/>
        </w:r>
        <w:r>
          <w:rPr>
            <w:noProof/>
            <w:webHidden/>
          </w:rPr>
          <w:fldChar w:fldCharType="begin"/>
        </w:r>
        <w:r>
          <w:rPr>
            <w:noProof/>
            <w:webHidden/>
          </w:rPr>
          <w:instrText xml:space="preserve"> PAGEREF _Toc317161355 \h </w:instrText>
        </w:r>
        <w:r>
          <w:rPr>
            <w:noProof/>
            <w:webHidden/>
          </w:rPr>
        </w:r>
        <w:r>
          <w:rPr>
            <w:noProof/>
            <w:webHidden/>
          </w:rPr>
          <w:fldChar w:fldCharType="separate"/>
        </w:r>
        <w:r>
          <w:rPr>
            <w:noProof/>
            <w:webHidden/>
          </w:rPr>
          <w:t>1741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6" w:history="1">
        <w:r w:rsidRPr="00B80388">
          <w:rPr>
            <w:rStyle w:val="a5"/>
            <w:noProof/>
          </w:rPr>
          <w:t xml:space="preserve">Title: </w:t>
        </w:r>
        <w:r w:rsidRPr="00B80388">
          <w:rPr>
            <w:rStyle w:val="a5"/>
            <w:iCs/>
            <w:noProof/>
          </w:rPr>
          <w:t>International Journal of Production Economics</w:t>
        </w:r>
        <w:r>
          <w:rPr>
            <w:noProof/>
            <w:webHidden/>
          </w:rPr>
          <w:tab/>
        </w:r>
        <w:r>
          <w:rPr>
            <w:noProof/>
            <w:webHidden/>
          </w:rPr>
          <w:fldChar w:fldCharType="begin"/>
        </w:r>
        <w:r>
          <w:rPr>
            <w:noProof/>
            <w:webHidden/>
          </w:rPr>
          <w:instrText xml:space="preserve"> PAGEREF _Toc317161356 \h </w:instrText>
        </w:r>
        <w:r>
          <w:rPr>
            <w:noProof/>
            <w:webHidden/>
          </w:rPr>
        </w:r>
        <w:r>
          <w:rPr>
            <w:noProof/>
            <w:webHidden/>
          </w:rPr>
          <w:fldChar w:fldCharType="separate"/>
        </w:r>
        <w:r>
          <w:rPr>
            <w:noProof/>
            <w:webHidden/>
          </w:rPr>
          <w:t>1742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7" w:history="1">
        <w:r w:rsidRPr="00B80388">
          <w:rPr>
            <w:rStyle w:val="a5"/>
            <w:noProof/>
          </w:rPr>
          <w:t xml:space="preserve">Title: </w:t>
        </w:r>
        <w:r w:rsidRPr="00B80388">
          <w:rPr>
            <w:rStyle w:val="a5"/>
            <w:iCs/>
            <w:noProof/>
          </w:rPr>
          <w:t>International Journal of Production Research</w:t>
        </w:r>
        <w:r>
          <w:rPr>
            <w:noProof/>
            <w:webHidden/>
          </w:rPr>
          <w:tab/>
        </w:r>
        <w:r>
          <w:rPr>
            <w:noProof/>
            <w:webHidden/>
          </w:rPr>
          <w:fldChar w:fldCharType="begin"/>
        </w:r>
        <w:r>
          <w:rPr>
            <w:noProof/>
            <w:webHidden/>
          </w:rPr>
          <w:instrText xml:space="preserve"> PAGEREF _Toc317161357 \h </w:instrText>
        </w:r>
        <w:r>
          <w:rPr>
            <w:noProof/>
            <w:webHidden/>
          </w:rPr>
        </w:r>
        <w:r>
          <w:rPr>
            <w:noProof/>
            <w:webHidden/>
          </w:rPr>
          <w:fldChar w:fldCharType="separate"/>
        </w:r>
        <w:r>
          <w:rPr>
            <w:noProof/>
            <w:webHidden/>
          </w:rPr>
          <w:t>1744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8" w:history="1">
        <w:r w:rsidRPr="00B80388">
          <w:rPr>
            <w:rStyle w:val="a5"/>
            <w:noProof/>
          </w:rPr>
          <w:t>Title: International Journal of Project Management</w:t>
        </w:r>
        <w:r>
          <w:rPr>
            <w:noProof/>
            <w:webHidden/>
          </w:rPr>
          <w:tab/>
        </w:r>
        <w:r>
          <w:rPr>
            <w:noProof/>
            <w:webHidden/>
          </w:rPr>
          <w:fldChar w:fldCharType="begin"/>
        </w:r>
        <w:r>
          <w:rPr>
            <w:noProof/>
            <w:webHidden/>
          </w:rPr>
          <w:instrText xml:space="preserve"> PAGEREF _Toc317161358 \h </w:instrText>
        </w:r>
        <w:r>
          <w:rPr>
            <w:noProof/>
            <w:webHidden/>
          </w:rPr>
        </w:r>
        <w:r>
          <w:rPr>
            <w:noProof/>
            <w:webHidden/>
          </w:rPr>
          <w:fldChar w:fldCharType="separate"/>
        </w:r>
        <w:r>
          <w:rPr>
            <w:noProof/>
            <w:webHidden/>
          </w:rPr>
          <w:t>1746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59" w:history="1">
        <w:r w:rsidRPr="00B80388">
          <w:rPr>
            <w:rStyle w:val="a5"/>
            <w:noProof/>
          </w:rPr>
          <w:t>Title: International Journal of Prosthodontics</w:t>
        </w:r>
        <w:r>
          <w:rPr>
            <w:noProof/>
            <w:webHidden/>
          </w:rPr>
          <w:tab/>
        </w:r>
        <w:r>
          <w:rPr>
            <w:noProof/>
            <w:webHidden/>
          </w:rPr>
          <w:fldChar w:fldCharType="begin"/>
        </w:r>
        <w:r>
          <w:rPr>
            <w:noProof/>
            <w:webHidden/>
          </w:rPr>
          <w:instrText xml:space="preserve"> PAGEREF _Toc317161359 \h </w:instrText>
        </w:r>
        <w:r>
          <w:rPr>
            <w:noProof/>
            <w:webHidden/>
          </w:rPr>
        </w:r>
        <w:r>
          <w:rPr>
            <w:noProof/>
            <w:webHidden/>
          </w:rPr>
          <w:fldChar w:fldCharType="separate"/>
        </w:r>
        <w:r>
          <w:rPr>
            <w:noProof/>
            <w:webHidden/>
          </w:rPr>
          <w:t>1749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0" w:history="1">
        <w:r w:rsidRPr="00B80388">
          <w:rPr>
            <w:rStyle w:val="a5"/>
            <w:noProof/>
          </w:rPr>
          <w:t xml:space="preserve">Title: </w:t>
        </w:r>
        <w:r w:rsidRPr="00B80388">
          <w:rPr>
            <w:rStyle w:val="a5"/>
            <w:iCs/>
            <w:noProof/>
          </w:rPr>
          <w:t>International Journal of Psychiatry in Medicine</w:t>
        </w:r>
        <w:r>
          <w:rPr>
            <w:noProof/>
            <w:webHidden/>
          </w:rPr>
          <w:tab/>
        </w:r>
        <w:r>
          <w:rPr>
            <w:noProof/>
            <w:webHidden/>
          </w:rPr>
          <w:fldChar w:fldCharType="begin"/>
        </w:r>
        <w:r>
          <w:rPr>
            <w:noProof/>
            <w:webHidden/>
          </w:rPr>
          <w:instrText xml:space="preserve"> PAGEREF _Toc317161360 \h </w:instrText>
        </w:r>
        <w:r>
          <w:rPr>
            <w:noProof/>
            <w:webHidden/>
          </w:rPr>
        </w:r>
        <w:r>
          <w:rPr>
            <w:noProof/>
            <w:webHidden/>
          </w:rPr>
          <w:fldChar w:fldCharType="separate"/>
        </w:r>
        <w:r>
          <w:rPr>
            <w:noProof/>
            <w:webHidden/>
          </w:rPr>
          <w:t>1752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1" w:history="1">
        <w:r w:rsidRPr="00B80388">
          <w:rPr>
            <w:rStyle w:val="a5"/>
            <w:noProof/>
          </w:rPr>
          <w:t>Title: International Journal of Psychology</w:t>
        </w:r>
        <w:r>
          <w:rPr>
            <w:noProof/>
            <w:webHidden/>
          </w:rPr>
          <w:tab/>
        </w:r>
        <w:r>
          <w:rPr>
            <w:noProof/>
            <w:webHidden/>
          </w:rPr>
          <w:fldChar w:fldCharType="begin"/>
        </w:r>
        <w:r>
          <w:rPr>
            <w:noProof/>
            <w:webHidden/>
          </w:rPr>
          <w:instrText xml:space="preserve"> PAGEREF _Toc317161361 \h </w:instrText>
        </w:r>
        <w:r>
          <w:rPr>
            <w:noProof/>
            <w:webHidden/>
          </w:rPr>
        </w:r>
        <w:r>
          <w:rPr>
            <w:noProof/>
            <w:webHidden/>
          </w:rPr>
          <w:fldChar w:fldCharType="separate"/>
        </w:r>
        <w:r>
          <w:rPr>
            <w:noProof/>
            <w:webHidden/>
          </w:rPr>
          <w:t>1754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2" w:history="1">
        <w:r w:rsidRPr="00B80388">
          <w:rPr>
            <w:rStyle w:val="a5"/>
            <w:noProof/>
          </w:rPr>
          <w:t>Title: International Journal of Psychophysiology</w:t>
        </w:r>
        <w:r>
          <w:rPr>
            <w:noProof/>
            <w:webHidden/>
          </w:rPr>
          <w:tab/>
        </w:r>
        <w:r>
          <w:rPr>
            <w:noProof/>
            <w:webHidden/>
          </w:rPr>
          <w:fldChar w:fldCharType="begin"/>
        </w:r>
        <w:r>
          <w:rPr>
            <w:noProof/>
            <w:webHidden/>
          </w:rPr>
          <w:instrText xml:space="preserve"> PAGEREF _Toc317161362 \h </w:instrText>
        </w:r>
        <w:r>
          <w:rPr>
            <w:noProof/>
            <w:webHidden/>
          </w:rPr>
        </w:r>
        <w:r>
          <w:rPr>
            <w:noProof/>
            <w:webHidden/>
          </w:rPr>
          <w:fldChar w:fldCharType="separate"/>
        </w:r>
        <w:r>
          <w:rPr>
            <w:noProof/>
            <w:webHidden/>
          </w:rPr>
          <w:t>1756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3" w:history="1">
        <w:r w:rsidRPr="00B80388">
          <w:rPr>
            <w:rStyle w:val="a5"/>
            <w:noProof/>
          </w:rPr>
          <w:t xml:space="preserve">Title: </w:t>
        </w:r>
        <w:r w:rsidRPr="00B80388">
          <w:rPr>
            <w:rStyle w:val="a5"/>
            <w:iCs/>
            <w:noProof/>
          </w:rPr>
          <w:t>International Journal of Public Health</w:t>
        </w:r>
        <w:r>
          <w:rPr>
            <w:noProof/>
            <w:webHidden/>
          </w:rPr>
          <w:tab/>
        </w:r>
        <w:r>
          <w:rPr>
            <w:noProof/>
            <w:webHidden/>
          </w:rPr>
          <w:fldChar w:fldCharType="begin"/>
        </w:r>
        <w:r>
          <w:rPr>
            <w:noProof/>
            <w:webHidden/>
          </w:rPr>
          <w:instrText xml:space="preserve"> PAGEREF _Toc317161363 \h </w:instrText>
        </w:r>
        <w:r>
          <w:rPr>
            <w:noProof/>
            <w:webHidden/>
          </w:rPr>
        </w:r>
        <w:r>
          <w:rPr>
            <w:noProof/>
            <w:webHidden/>
          </w:rPr>
          <w:fldChar w:fldCharType="separate"/>
        </w:r>
        <w:r>
          <w:rPr>
            <w:noProof/>
            <w:webHidden/>
          </w:rPr>
          <w:t>1757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4" w:history="1">
        <w:r w:rsidRPr="00B80388">
          <w:rPr>
            <w:rStyle w:val="a5"/>
            <w:noProof/>
          </w:rPr>
          <w:t>Title: International Journal of Public Sector Management</w:t>
        </w:r>
        <w:r>
          <w:rPr>
            <w:noProof/>
            <w:webHidden/>
          </w:rPr>
          <w:tab/>
        </w:r>
        <w:r>
          <w:rPr>
            <w:noProof/>
            <w:webHidden/>
          </w:rPr>
          <w:fldChar w:fldCharType="begin"/>
        </w:r>
        <w:r>
          <w:rPr>
            <w:noProof/>
            <w:webHidden/>
          </w:rPr>
          <w:instrText xml:space="preserve"> PAGEREF _Toc317161364 \h </w:instrText>
        </w:r>
        <w:r>
          <w:rPr>
            <w:noProof/>
            <w:webHidden/>
          </w:rPr>
        </w:r>
        <w:r>
          <w:rPr>
            <w:noProof/>
            <w:webHidden/>
          </w:rPr>
          <w:fldChar w:fldCharType="separate"/>
        </w:r>
        <w:r>
          <w:rPr>
            <w:noProof/>
            <w:webHidden/>
          </w:rPr>
          <w:t>1759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5" w:history="1">
        <w:r w:rsidRPr="00B80388">
          <w:rPr>
            <w:rStyle w:val="a5"/>
            <w:noProof/>
          </w:rPr>
          <w:t>Title: International Journal for Quality in Health Care</w:t>
        </w:r>
        <w:r>
          <w:rPr>
            <w:noProof/>
            <w:webHidden/>
          </w:rPr>
          <w:tab/>
        </w:r>
        <w:r>
          <w:rPr>
            <w:noProof/>
            <w:webHidden/>
          </w:rPr>
          <w:fldChar w:fldCharType="begin"/>
        </w:r>
        <w:r>
          <w:rPr>
            <w:noProof/>
            <w:webHidden/>
          </w:rPr>
          <w:instrText xml:space="preserve"> PAGEREF _Toc317161365 \h </w:instrText>
        </w:r>
        <w:r>
          <w:rPr>
            <w:noProof/>
            <w:webHidden/>
          </w:rPr>
        </w:r>
        <w:r>
          <w:rPr>
            <w:noProof/>
            <w:webHidden/>
          </w:rPr>
          <w:fldChar w:fldCharType="separate"/>
        </w:r>
        <w:r>
          <w:rPr>
            <w:noProof/>
            <w:webHidden/>
          </w:rPr>
          <w:t>1760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6" w:history="1">
        <w:r w:rsidRPr="00B80388">
          <w:rPr>
            <w:rStyle w:val="a5"/>
            <w:noProof/>
          </w:rPr>
          <w:t>Title: International Journal of Quantum Chemistry</w:t>
        </w:r>
        <w:r>
          <w:rPr>
            <w:noProof/>
            <w:webHidden/>
          </w:rPr>
          <w:tab/>
        </w:r>
        <w:r>
          <w:rPr>
            <w:noProof/>
            <w:webHidden/>
          </w:rPr>
          <w:fldChar w:fldCharType="begin"/>
        </w:r>
        <w:r>
          <w:rPr>
            <w:noProof/>
            <w:webHidden/>
          </w:rPr>
          <w:instrText xml:space="preserve"> PAGEREF _Toc317161366 \h </w:instrText>
        </w:r>
        <w:r>
          <w:rPr>
            <w:noProof/>
            <w:webHidden/>
          </w:rPr>
        </w:r>
        <w:r>
          <w:rPr>
            <w:noProof/>
            <w:webHidden/>
          </w:rPr>
          <w:fldChar w:fldCharType="separate"/>
        </w:r>
        <w:r>
          <w:rPr>
            <w:noProof/>
            <w:webHidden/>
          </w:rPr>
          <w:t>1763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7" w:history="1">
        <w:r w:rsidRPr="00B80388">
          <w:rPr>
            <w:rStyle w:val="a5"/>
            <w:noProof/>
          </w:rPr>
          <w:t>Title: International Journal of Radiation Biology</w:t>
        </w:r>
        <w:r>
          <w:rPr>
            <w:noProof/>
            <w:webHidden/>
          </w:rPr>
          <w:tab/>
        </w:r>
        <w:r>
          <w:rPr>
            <w:noProof/>
            <w:webHidden/>
          </w:rPr>
          <w:fldChar w:fldCharType="begin"/>
        </w:r>
        <w:r>
          <w:rPr>
            <w:noProof/>
            <w:webHidden/>
          </w:rPr>
          <w:instrText xml:space="preserve"> PAGEREF _Toc317161367 \h </w:instrText>
        </w:r>
        <w:r>
          <w:rPr>
            <w:noProof/>
            <w:webHidden/>
          </w:rPr>
        </w:r>
        <w:r>
          <w:rPr>
            <w:noProof/>
            <w:webHidden/>
          </w:rPr>
          <w:fldChar w:fldCharType="separate"/>
        </w:r>
        <w:r>
          <w:rPr>
            <w:noProof/>
            <w:webHidden/>
          </w:rPr>
          <w:t>1764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8" w:history="1">
        <w:r w:rsidRPr="00B80388">
          <w:rPr>
            <w:rStyle w:val="a5"/>
            <w:noProof/>
          </w:rPr>
          <w:t>Title: International Journal of Radiation Oncology Biology Physics</w:t>
        </w:r>
        <w:r>
          <w:rPr>
            <w:noProof/>
            <w:webHidden/>
          </w:rPr>
          <w:tab/>
        </w:r>
        <w:r>
          <w:rPr>
            <w:noProof/>
            <w:webHidden/>
          </w:rPr>
          <w:fldChar w:fldCharType="begin"/>
        </w:r>
        <w:r>
          <w:rPr>
            <w:noProof/>
            <w:webHidden/>
          </w:rPr>
          <w:instrText xml:space="preserve"> PAGEREF _Toc317161368 \h </w:instrText>
        </w:r>
        <w:r>
          <w:rPr>
            <w:noProof/>
            <w:webHidden/>
          </w:rPr>
        </w:r>
        <w:r>
          <w:rPr>
            <w:noProof/>
            <w:webHidden/>
          </w:rPr>
          <w:fldChar w:fldCharType="separate"/>
        </w:r>
        <w:r>
          <w:rPr>
            <w:noProof/>
            <w:webHidden/>
          </w:rPr>
          <w:t>1765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69" w:history="1">
        <w:r w:rsidRPr="00B80388">
          <w:rPr>
            <w:rStyle w:val="a5"/>
            <w:noProof/>
          </w:rPr>
          <w:t xml:space="preserve">Title: </w:t>
        </w:r>
        <w:r w:rsidRPr="00B80388">
          <w:rPr>
            <w:rStyle w:val="a5"/>
            <w:iCs/>
            <w:noProof/>
          </w:rPr>
          <w:t>International Journal of Refractory Metals &amp; Hard Materials</w:t>
        </w:r>
        <w:r>
          <w:rPr>
            <w:noProof/>
            <w:webHidden/>
          </w:rPr>
          <w:tab/>
        </w:r>
        <w:r>
          <w:rPr>
            <w:noProof/>
            <w:webHidden/>
          </w:rPr>
          <w:fldChar w:fldCharType="begin"/>
        </w:r>
        <w:r>
          <w:rPr>
            <w:noProof/>
            <w:webHidden/>
          </w:rPr>
          <w:instrText xml:space="preserve"> PAGEREF _Toc317161369 \h </w:instrText>
        </w:r>
        <w:r>
          <w:rPr>
            <w:noProof/>
            <w:webHidden/>
          </w:rPr>
        </w:r>
        <w:r>
          <w:rPr>
            <w:noProof/>
            <w:webHidden/>
          </w:rPr>
          <w:fldChar w:fldCharType="separate"/>
        </w:r>
        <w:r>
          <w:rPr>
            <w:noProof/>
            <w:webHidden/>
          </w:rPr>
          <w:t>1770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0" w:history="1">
        <w:r w:rsidRPr="00B80388">
          <w:rPr>
            <w:rStyle w:val="a5"/>
            <w:noProof/>
          </w:rPr>
          <w:t>Title: International Journal of Rehabilitation Research</w:t>
        </w:r>
        <w:r>
          <w:rPr>
            <w:noProof/>
            <w:webHidden/>
          </w:rPr>
          <w:tab/>
        </w:r>
        <w:r>
          <w:rPr>
            <w:noProof/>
            <w:webHidden/>
          </w:rPr>
          <w:fldChar w:fldCharType="begin"/>
        </w:r>
        <w:r>
          <w:rPr>
            <w:noProof/>
            <w:webHidden/>
          </w:rPr>
          <w:instrText xml:space="preserve"> PAGEREF _Toc317161370 \h </w:instrText>
        </w:r>
        <w:r>
          <w:rPr>
            <w:noProof/>
            <w:webHidden/>
          </w:rPr>
        </w:r>
        <w:r>
          <w:rPr>
            <w:noProof/>
            <w:webHidden/>
          </w:rPr>
          <w:fldChar w:fldCharType="separate"/>
        </w:r>
        <w:r>
          <w:rPr>
            <w:noProof/>
            <w:webHidden/>
          </w:rPr>
          <w:t>1772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1" w:history="1">
        <w:r w:rsidRPr="00B80388">
          <w:rPr>
            <w:rStyle w:val="a5"/>
            <w:noProof/>
          </w:rPr>
          <w:t>Title: International Journal of Remote Sensing</w:t>
        </w:r>
        <w:r>
          <w:rPr>
            <w:noProof/>
            <w:webHidden/>
          </w:rPr>
          <w:tab/>
        </w:r>
        <w:r>
          <w:rPr>
            <w:noProof/>
            <w:webHidden/>
          </w:rPr>
          <w:fldChar w:fldCharType="begin"/>
        </w:r>
        <w:r>
          <w:rPr>
            <w:noProof/>
            <w:webHidden/>
          </w:rPr>
          <w:instrText xml:space="preserve"> PAGEREF _Toc317161371 \h </w:instrText>
        </w:r>
        <w:r>
          <w:rPr>
            <w:noProof/>
            <w:webHidden/>
          </w:rPr>
        </w:r>
        <w:r>
          <w:rPr>
            <w:noProof/>
            <w:webHidden/>
          </w:rPr>
          <w:fldChar w:fldCharType="separate"/>
        </w:r>
        <w:r>
          <w:rPr>
            <w:noProof/>
            <w:webHidden/>
          </w:rPr>
          <w:t>1775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2" w:history="1">
        <w:r w:rsidRPr="00B80388">
          <w:rPr>
            <w:rStyle w:val="a5"/>
            <w:noProof/>
          </w:rPr>
          <w:t>Title: International Journal of Research in Marketing</w:t>
        </w:r>
        <w:r>
          <w:rPr>
            <w:noProof/>
            <w:webHidden/>
          </w:rPr>
          <w:tab/>
        </w:r>
        <w:r>
          <w:rPr>
            <w:noProof/>
            <w:webHidden/>
          </w:rPr>
          <w:fldChar w:fldCharType="begin"/>
        </w:r>
        <w:r>
          <w:rPr>
            <w:noProof/>
            <w:webHidden/>
          </w:rPr>
          <w:instrText xml:space="preserve"> PAGEREF _Toc317161372 \h </w:instrText>
        </w:r>
        <w:r>
          <w:rPr>
            <w:noProof/>
            <w:webHidden/>
          </w:rPr>
        </w:r>
        <w:r>
          <w:rPr>
            <w:noProof/>
            <w:webHidden/>
          </w:rPr>
          <w:fldChar w:fldCharType="separate"/>
        </w:r>
        <w:r>
          <w:rPr>
            <w:noProof/>
            <w:webHidden/>
          </w:rPr>
          <w:t>1776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3" w:history="1">
        <w:r w:rsidRPr="00B80388">
          <w:rPr>
            <w:rStyle w:val="a5"/>
            <w:noProof/>
          </w:rPr>
          <w:t>Title: International Journal of Retail &amp; Distribution Management</w:t>
        </w:r>
        <w:r>
          <w:rPr>
            <w:noProof/>
            <w:webHidden/>
          </w:rPr>
          <w:tab/>
        </w:r>
        <w:r>
          <w:rPr>
            <w:noProof/>
            <w:webHidden/>
          </w:rPr>
          <w:fldChar w:fldCharType="begin"/>
        </w:r>
        <w:r>
          <w:rPr>
            <w:noProof/>
            <w:webHidden/>
          </w:rPr>
          <w:instrText xml:space="preserve"> PAGEREF _Toc317161373 \h </w:instrText>
        </w:r>
        <w:r>
          <w:rPr>
            <w:noProof/>
            <w:webHidden/>
          </w:rPr>
        </w:r>
        <w:r>
          <w:rPr>
            <w:noProof/>
            <w:webHidden/>
          </w:rPr>
          <w:fldChar w:fldCharType="separate"/>
        </w:r>
        <w:r>
          <w:rPr>
            <w:noProof/>
            <w:webHidden/>
          </w:rPr>
          <w:t>1778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4" w:history="1">
        <w:r w:rsidRPr="00B80388">
          <w:rPr>
            <w:rStyle w:val="a5"/>
            <w:noProof/>
          </w:rPr>
          <w:t>Title: International Journal of Social Research Methodology</w:t>
        </w:r>
        <w:r>
          <w:rPr>
            <w:noProof/>
            <w:webHidden/>
          </w:rPr>
          <w:tab/>
        </w:r>
        <w:r>
          <w:rPr>
            <w:noProof/>
            <w:webHidden/>
          </w:rPr>
          <w:fldChar w:fldCharType="begin"/>
        </w:r>
        <w:r>
          <w:rPr>
            <w:noProof/>
            <w:webHidden/>
          </w:rPr>
          <w:instrText xml:space="preserve"> PAGEREF _Toc317161374 \h </w:instrText>
        </w:r>
        <w:r>
          <w:rPr>
            <w:noProof/>
            <w:webHidden/>
          </w:rPr>
        </w:r>
        <w:r>
          <w:rPr>
            <w:noProof/>
            <w:webHidden/>
          </w:rPr>
          <w:fldChar w:fldCharType="separate"/>
        </w:r>
        <w:r>
          <w:rPr>
            <w:noProof/>
            <w:webHidden/>
          </w:rPr>
          <w:t>1779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5" w:history="1">
        <w:r w:rsidRPr="00B80388">
          <w:rPr>
            <w:rStyle w:val="a5"/>
            <w:noProof/>
          </w:rPr>
          <w:t>Title: International Journal of Special Libraries</w:t>
        </w:r>
        <w:r>
          <w:rPr>
            <w:noProof/>
            <w:webHidden/>
          </w:rPr>
          <w:tab/>
        </w:r>
        <w:r>
          <w:rPr>
            <w:noProof/>
            <w:webHidden/>
          </w:rPr>
          <w:fldChar w:fldCharType="begin"/>
        </w:r>
        <w:r>
          <w:rPr>
            <w:noProof/>
            <w:webHidden/>
          </w:rPr>
          <w:instrText xml:space="preserve"> PAGEREF _Toc317161375 \h </w:instrText>
        </w:r>
        <w:r>
          <w:rPr>
            <w:noProof/>
            <w:webHidden/>
          </w:rPr>
        </w:r>
        <w:r>
          <w:rPr>
            <w:noProof/>
            <w:webHidden/>
          </w:rPr>
          <w:fldChar w:fldCharType="separate"/>
        </w:r>
        <w:r>
          <w:rPr>
            <w:noProof/>
            <w:webHidden/>
          </w:rPr>
          <w:t>1780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6" w:history="1">
        <w:r w:rsidRPr="00B80388">
          <w:rPr>
            <w:rStyle w:val="a5"/>
            <w:noProof/>
          </w:rPr>
          <w:t xml:space="preserve">Title: </w:t>
        </w:r>
        <w:r w:rsidRPr="00B80388">
          <w:rPr>
            <w:rStyle w:val="a5"/>
            <w:iCs/>
            <w:noProof/>
          </w:rPr>
          <w:t>International Journal of Sport Finance</w:t>
        </w:r>
        <w:r>
          <w:rPr>
            <w:noProof/>
            <w:webHidden/>
          </w:rPr>
          <w:tab/>
        </w:r>
        <w:r>
          <w:rPr>
            <w:noProof/>
            <w:webHidden/>
          </w:rPr>
          <w:fldChar w:fldCharType="begin"/>
        </w:r>
        <w:r>
          <w:rPr>
            <w:noProof/>
            <w:webHidden/>
          </w:rPr>
          <w:instrText xml:space="preserve"> PAGEREF _Toc317161376 \h </w:instrText>
        </w:r>
        <w:r>
          <w:rPr>
            <w:noProof/>
            <w:webHidden/>
          </w:rPr>
        </w:r>
        <w:r>
          <w:rPr>
            <w:noProof/>
            <w:webHidden/>
          </w:rPr>
          <w:fldChar w:fldCharType="separate"/>
        </w:r>
        <w:r>
          <w:rPr>
            <w:noProof/>
            <w:webHidden/>
          </w:rPr>
          <w:t>1782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7" w:history="1">
        <w:r w:rsidRPr="00B80388">
          <w:rPr>
            <w:rStyle w:val="a5"/>
            <w:noProof/>
          </w:rPr>
          <w:t xml:space="preserve">Title: </w:t>
        </w:r>
        <w:r w:rsidRPr="00B80388">
          <w:rPr>
            <w:rStyle w:val="a5"/>
            <w:iCs/>
            <w:noProof/>
          </w:rPr>
          <w:t>International Journal of Sport Nutrition and Exercise Metabolism</w:t>
        </w:r>
        <w:r>
          <w:rPr>
            <w:noProof/>
            <w:webHidden/>
          </w:rPr>
          <w:tab/>
        </w:r>
        <w:r>
          <w:rPr>
            <w:noProof/>
            <w:webHidden/>
          </w:rPr>
          <w:fldChar w:fldCharType="begin"/>
        </w:r>
        <w:r>
          <w:rPr>
            <w:noProof/>
            <w:webHidden/>
          </w:rPr>
          <w:instrText xml:space="preserve"> PAGEREF _Toc317161377 \h </w:instrText>
        </w:r>
        <w:r>
          <w:rPr>
            <w:noProof/>
            <w:webHidden/>
          </w:rPr>
        </w:r>
        <w:r>
          <w:rPr>
            <w:noProof/>
            <w:webHidden/>
          </w:rPr>
          <w:fldChar w:fldCharType="separate"/>
        </w:r>
        <w:r>
          <w:rPr>
            <w:noProof/>
            <w:webHidden/>
          </w:rPr>
          <w:t>1783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8" w:history="1">
        <w:r w:rsidRPr="00B80388">
          <w:rPr>
            <w:rStyle w:val="a5"/>
            <w:noProof/>
          </w:rPr>
          <w:t>Title: International Journal of Sports Medicine</w:t>
        </w:r>
        <w:r>
          <w:rPr>
            <w:noProof/>
            <w:webHidden/>
          </w:rPr>
          <w:tab/>
        </w:r>
        <w:r>
          <w:rPr>
            <w:noProof/>
            <w:webHidden/>
          </w:rPr>
          <w:fldChar w:fldCharType="begin"/>
        </w:r>
        <w:r>
          <w:rPr>
            <w:noProof/>
            <w:webHidden/>
          </w:rPr>
          <w:instrText xml:space="preserve"> PAGEREF _Toc317161378 \h </w:instrText>
        </w:r>
        <w:r>
          <w:rPr>
            <w:noProof/>
            <w:webHidden/>
          </w:rPr>
        </w:r>
        <w:r>
          <w:rPr>
            <w:noProof/>
            <w:webHidden/>
          </w:rPr>
          <w:fldChar w:fldCharType="separate"/>
        </w:r>
        <w:r>
          <w:rPr>
            <w:noProof/>
            <w:webHidden/>
          </w:rPr>
          <w:t>1785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79" w:history="1">
        <w:r w:rsidRPr="00B80388">
          <w:rPr>
            <w:rStyle w:val="a5"/>
            <w:noProof/>
          </w:rPr>
          <w:t>Title: International Journal of Surgery</w:t>
        </w:r>
        <w:r>
          <w:rPr>
            <w:noProof/>
            <w:webHidden/>
          </w:rPr>
          <w:tab/>
        </w:r>
        <w:r>
          <w:rPr>
            <w:noProof/>
            <w:webHidden/>
          </w:rPr>
          <w:fldChar w:fldCharType="begin"/>
        </w:r>
        <w:r>
          <w:rPr>
            <w:noProof/>
            <w:webHidden/>
          </w:rPr>
          <w:instrText xml:space="preserve"> PAGEREF _Toc317161379 \h </w:instrText>
        </w:r>
        <w:r>
          <w:rPr>
            <w:noProof/>
            <w:webHidden/>
          </w:rPr>
        </w:r>
        <w:r>
          <w:rPr>
            <w:noProof/>
            <w:webHidden/>
          </w:rPr>
          <w:fldChar w:fldCharType="separate"/>
        </w:r>
        <w:r>
          <w:rPr>
            <w:noProof/>
            <w:webHidden/>
          </w:rPr>
          <w:t>1786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0" w:history="1">
        <w:r w:rsidRPr="00B80388">
          <w:rPr>
            <w:rStyle w:val="a5"/>
            <w:noProof/>
          </w:rPr>
          <w:t>Title: International Journal of Surgical Pathology</w:t>
        </w:r>
        <w:r>
          <w:rPr>
            <w:noProof/>
            <w:webHidden/>
          </w:rPr>
          <w:tab/>
        </w:r>
        <w:r>
          <w:rPr>
            <w:noProof/>
            <w:webHidden/>
          </w:rPr>
          <w:fldChar w:fldCharType="begin"/>
        </w:r>
        <w:r>
          <w:rPr>
            <w:noProof/>
            <w:webHidden/>
          </w:rPr>
          <w:instrText xml:space="preserve"> PAGEREF _Toc317161380 \h </w:instrText>
        </w:r>
        <w:r>
          <w:rPr>
            <w:noProof/>
            <w:webHidden/>
          </w:rPr>
        </w:r>
        <w:r>
          <w:rPr>
            <w:noProof/>
            <w:webHidden/>
          </w:rPr>
          <w:fldChar w:fldCharType="separate"/>
        </w:r>
        <w:r>
          <w:rPr>
            <w:noProof/>
            <w:webHidden/>
          </w:rPr>
          <w:t>1788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1" w:history="1">
        <w:r w:rsidRPr="00B80388">
          <w:rPr>
            <w:rStyle w:val="a5"/>
            <w:noProof/>
          </w:rPr>
          <w:t>Title: International Journal of Technology Assessment in Health Care</w:t>
        </w:r>
        <w:r>
          <w:rPr>
            <w:noProof/>
            <w:webHidden/>
          </w:rPr>
          <w:tab/>
        </w:r>
        <w:r>
          <w:rPr>
            <w:noProof/>
            <w:webHidden/>
          </w:rPr>
          <w:fldChar w:fldCharType="begin"/>
        </w:r>
        <w:r>
          <w:rPr>
            <w:noProof/>
            <w:webHidden/>
          </w:rPr>
          <w:instrText xml:space="preserve"> PAGEREF _Toc317161381 \h </w:instrText>
        </w:r>
        <w:r>
          <w:rPr>
            <w:noProof/>
            <w:webHidden/>
          </w:rPr>
        </w:r>
        <w:r>
          <w:rPr>
            <w:noProof/>
            <w:webHidden/>
          </w:rPr>
          <w:fldChar w:fldCharType="separate"/>
        </w:r>
        <w:r>
          <w:rPr>
            <w:noProof/>
            <w:webHidden/>
          </w:rPr>
          <w:t>1789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2" w:history="1">
        <w:r w:rsidRPr="00B80388">
          <w:rPr>
            <w:rStyle w:val="a5"/>
            <w:noProof/>
          </w:rPr>
          <w:t xml:space="preserve">Title: </w:t>
        </w:r>
        <w:r w:rsidRPr="00B80388">
          <w:rPr>
            <w:rStyle w:val="a5"/>
            <w:iCs/>
            <w:noProof/>
          </w:rPr>
          <w:t>International Journal of Technology Management</w:t>
        </w:r>
        <w:r>
          <w:rPr>
            <w:noProof/>
            <w:webHidden/>
          </w:rPr>
          <w:tab/>
        </w:r>
        <w:r>
          <w:rPr>
            <w:noProof/>
            <w:webHidden/>
          </w:rPr>
          <w:fldChar w:fldCharType="begin"/>
        </w:r>
        <w:r>
          <w:rPr>
            <w:noProof/>
            <w:webHidden/>
          </w:rPr>
          <w:instrText xml:space="preserve"> PAGEREF _Toc317161382 \h </w:instrText>
        </w:r>
        <w:r>
          <w:rPr>
            <w:noProof/>
            <w:webHidden/>
          </w:rPr>
        </w:r>
        <w:r>
          <w:rPr>
            <w:noProof/>
            <w:webHidden/>
          </w:rPr>
          <w:fldChar w:fldCharType="separate"/>
        </w:r>
        <w:r>
          <w:rPr>
            <w:noProof/>
            <w:webHidden/>
          </w:rPr>
          <w:t>1795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3" w:history="1">
        <w:r w:rsidRPr="00B80388">
          <w:rPr>
            <w:rStyle w:val="a5"/>
            <w:noProof/>
          </w:rPr>
          <w:t>Title: International Journal of Thermophysics</w:t>
        </w:r>
        <w:r>
          <w:rPr>
            <w:noProof/>
            <w:webHidden/>
          </w:rPr>
          <w:tab/>
        </w:r>
        <w:r>
          <w:rPr>
            <w:noProof/>
            <w:webHidden/>
          </w:rPr>
          <w:fldChar w:fldCharType="begin"/>
        </w:r>
        <w:r>
          <w:rPr>
            <w:noProof/>
            <w:webHidden/>
          </w:rPr>
          <w:instrText xml:space="preserve"> PAGEREF _Toc317161383 \h </w:instrText>
        </w:r>
        <w:r>
          <w:rPr>
            <w:noProof/>
            <w:webHidden/>
          </w:rPr>
        </w:r>
        <w:r>
          <w:rPr>
            <w:noProof/>
            <w:webHidden/>
          </w:rPr>
          <w:fldChar w:fldCharType="separate"/>
        </w:r>
        <w:r>
          <w:rPr>
            <w:noProof/>
            <w:webHidden/>
          </w:rPr>
          <w:t>1798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4" w:history="1">
        <w:r w:rsidRPr="00B80388">
          <w:rPr>
            <w:rStyle w:val="a5"/>
            <w:noProof/>
          </w:rPr>
          <w:t>Title: International Journal of Toxicology</w:t>
        </w:r>
        <w:r>
          <w:rPr>
            <w:noProof/>
            <w:webHidden/>
          </w:rPr>
          <w:tab/>
        </w:r>
        <w:r>
          <w:rPr>
            <w:noProof/>
            <w:webHidden/>
          </w:rPr>
          <w:fldChar w:fldCharType="begin"/>
        </w:r>
        <w:r>
          <w:rPr>
            <w:noProof/>
            <w:webHidden/>
          </w:rPr>
          <w:instrText xml:space="preserve"> PAGEREF _Toc317161384 \h </w:instrText>
        </w:r>
        <w:r>
          <w:rPr>
            <w:noProof/>
            <w:webHidden/>
          </w:rPr>
        </w:r>
        <w:r>
          <w:rPr>
            <w:noProof/>
            <w:webHidden/>
          </w:rPr>
          <w:fldChar w:fldCharType="separate"/>
        </w:r>
        <w:r>
          <w:rPr>
            <w:noProof/>
            <w:webHidden/>
          </w:rPr>
          <w:t>1799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5" w:history="1">
        <w:r w:rsidRPr="00B80388">
          <w:rPr>
            <w:rStyle w:val="a5"/>
            <w:noProof/>
          </w:rPr>
          <w:t>Title: International Journal of Tuberculosis and Lung Disease</w:t>
        </w:r>
        <w:r>
          <w:rPr>
            <w:noProof/>
            <w:webHidden/>
          </w:rPr>
          <w:tab/>
        </w:r>
        <w:r>
          <w:rPr>
            <w:noProof/>
            <w:webHidden/>
          </w:rPr>
          <w:fldChar w:fldCharType="begin"/>
        </w:r>
        <w:r>
          <w:rPr>
            <w:noProof/>
            <w:webHidden/>
          </w:rPr>
          <w:instrText xml:space="preserve"> PAGEREF _Toc317161385 \h </w:instrText>
        </w:r>
        <w:r>
          <w:rPr>
            <w:noProof/>
            <w:webHidden/>
          </w:rPr>
        </w:r>
        <w:r>
          <w:rPr>
            <w:noProof/>
            <w:webHidden/>
          </w:rPr>
          <w:fldChar w:fldCharType="separate"/>
        </w:r>
        <w:r>
          <w:rPr>
            <w:noProof/>
            <w:webHidden/>
          </w:rPr>
          <w:t>1801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6" w:history="1">
        <w:r w:rsidRPr="00B80388">
          <w:rPr>
            <w:rStyle w:val="a5"/>
            <w:noProof/>
          </w:rPr>
          <w:t>Title: International Journal of Uncertainty Fuzziness and Knowledge-Based Systems</w:t>
        </w:r>
        <w:r>
          <w:rPr>
            <w:noProof/>
            <w:webHidden/>
          </w:rPr>
          <w:tab/>
        </w:r>
        <w:r>
          <w:rPr>
            <w:noProof/>
            <w:webHidden/>
          </w:rPr>
          <w:fldChar w:fldCharType="begin"/>
        </w:r>
        <w:r>
          <w:rPr>
            <w:noProof/>
            <w:webHidden/>
          </w:rPr>
          <w:instrText xml:space="preserve"> PAGEREF _Toc317161386 \h </w:instrText>
        </w:r>
        <w:r>
          <w:rPr>
            <w:noProof/>
            <w:webHidden/>
          </w:rPr>
        </w:r>
        <w:r>
          <w:rPr>
            <w:noProof/>
            <w:webHidden/>
          </w:rPr>
          <w:fldChar w:fldCharType="separate"/>
        </w:r>
        <w:r>
          <w:rPr>
            <w:noProof/>
            <w:webHidden/>
          </w:rPr>
          <w:t>1803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7" w:history="1">
        <w:r w:rsidRPr="00B80388">
          <w:rPr>
            <w:rStyle w:val="a5"/>
            <w:noProof/>
          </w:rPr>
          <w:t>Title: International Journal of Urban and Regional Research</w:t>
        </w:r>
        <w:r>
          <w:rPr>
            <w:noProof/>
            <w:webHidden/>
          </w:rPr>
          <w:tab/>
        </w:r>
        <w:r>
          <w:rPr>
            <w:noProof/>
            <w:webHidden/>
          </w:rPr>
          <w:fldChar w:fldCharType="begin"/>
        </w:r>
        <w:r>
          <w:rPr>
            <w:noProof/>
            <w:webHidden/>
          </w:rPr>
          <w:instrText xml:space="preserve"> PAGEREF _Toc317161387 \h </w:instrText>
        </w:r>
        <w:r>
          <w:rPr>
            <w:noProof/>
            <w:webHidden/>
          </w:rPr>
        </w:r>
        <w:r>
          <w:rPr>
            <w:noProof/>
            <w:webHidden/>
          </w:rPr>
          <w:fldChar w:fldCharType="separate"/>
        </w:r>
        <w:r>
          <w:rPr>
            <w:noProof/>
            <w:webHidden/>
          </w:rPr>
          <w:t>1804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8" w:history="1">
        <w:r w:rsidRPr="00B80388">
          <w:rPr>
            <w:rStyle w:val="a5"/>
            <w:noProof/>
          </w:rPr>
          <w:t>Title: International Journal of Water</w:t>
        </w:r>
        <w:r>
          <w:rPr>
            <w:noProof/>
            <w:webHidden/>
          </w:rPr>
          <w:tab/>
        </w:r>
        <w:r>
          <w:rPr>
            <w:noProof/>
            <w:webHidden/>
          </w:rPr>
          <w:fldChar w:fldCharType="begin"/>
        </w:r>
        <w:r>
          <w:rPr>
            <w:noProof/>
            <w:webHidden/>
          </w:rPr>
          <w:instrText xml:space="preserve"> PAGEREF _Toc317161388 \h </w:instrText>
        </w:r>
        <w:r>
          <w:rPr>
            <w:noProof/>
            <w:webHidden/>
          </w:rPr>
        </w:r>
        <w:r>
          <w:rPr>
            <w:noProof/>
            <w:webHidden/>
          </w:rPr>
          <w:fldChar w:fldCharType="separate"/>
        </w:r>
        <w:r>
          <w:rPr>
            <w:noProof/>
            <w:webHidden/>
          </w:rPr>
          <w:t>1805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89" w:history="1">
        <w:r w:rsidRPr="00B80388">
          <w:rPr>
            <w:rStyle w:val="a5"/>
            <w:noProof/>
          </w:rPr>
          <w:t>Title: International Library Review</w:t>
        </w:r>
        <w:r>
          <w:rPr>
            <w:noProof/>
            <w:webHidden/>
          </w:rPr>
          <w:tab/>
        </w:r>
        <w:r>
          <w:rPr>
            <w:noProof/>
            <w:webHidden/>
          </w:rPr>
          <w:fldChar w:fldCharType="begin"/>
        </w:r>
        <w:r>
          <w:rPr>
            <w:noProof/>
            <w:webHidden/>
          </w:rPr>
          <w:instrText xml:space="preserve"> PAGEREF _Toc317161389 \h </w:instrText>
        </w:r>
        <w:r>
          <w:rPr>
            <w:noProof/>
            <w:webHidden/>
          </w:rPr>
        </w:r>
        <w:r>
          <w:rPr>
            <w:noProof/>
            <w:webHidden/>
          </w:rPr>
          <w:fldChar w:fldCharType="separate"/>
        </w:r>
        <w:r>
          <w:rPr>
            <w:noProof/>
            <w:webHidden/>
          </w:rPr>
          <w:t>1806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0" w:history="1">
        <w:r w:rsidRPr="00B80388">
          <w:rPr>
            <w:rStyle w:val="a5"/>
            <w:noProof/>
          </w:rPr>
          <w:t>Title: International Microbiology</w:t>
        </w:r>
        <w:r>
          <w:rPr>
            <w:noProof/>
            <w:webHidden/>
          </w:rPr>
          <w:tab/>
        </w:r>
        <w:r>
          <w:rPr>
            <w:noProof/>
            <w:webHidden/>
          </w:rPr>
          <w:fldChar w:fldCharType="begin"/>
        </w:r>
        <w:r>
          <w:rPr>
            <w:noProof/>
            <w:webHidden/>
          </w:rPr>
          <w:instrText xml:space="preserve"> PAGEREF _Toc317161390 \h </w:instrText>
        </w:r>
        <w:r>
          <w:rPr>
            <w:noProof/>
            <w:webHidden/>
          </w:rPr>
        </w:r>
        <w:r>
          <w:rPr>
            <w:noProof/>
            <w:webHidden/>
          </w:rPr>
          <w:fldChar w:fldCharType="separate"/>
        </w:r>
        <w:r>
          <w:rPr>
            <w:noProof/>
            <w:webHidden/>
          </w:rPr>
          <w:t>1807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1" w:history="1">
        <w:r w:rsidRPr="00B80388">
          <w:rPr>
            <w:rStyle w:val="a5"/>
            <w:noProof/>
          </w:rPr>
          <w:t>Title: International Nursing Review</w:t>
        </w:r>
        <w:r>
          <w:rPr>
            <w:noProof/>
            <w:webHidden/>
          </w:rPr>
          <w:tab/>
        </w:r>
        <w:r>
          <w:rPr>
            <w:noProof/>
            <w:webHidden/>
          </w:rPr>
          <w:fldChar w:fldCharType="begin"/>
        </w:r>
        <w:r>
          <w:rPr>
            <w:noProof/>
            <w:webHidden/>
          </w:rPr>
          <w:instrText xml:space="preserve"> PAGEREF _Toc317161391 \h </w:instrText>
        </w:r>
        <w:r>
          <w:rPr>
            <w:noProof/>
            <w:webHidden/>
          </w:rPr>
        </w:r>
        <w:r>
          <w:rPr>
            <w:noProof/>
            <w:webHidden/>
          </w:rPr>
          <w:fldChar w:fldCharType="separate"/>
        </w:r>
        <w:r>
          <w:rPr>
            <w:noProof/>
            <w:webHidden/>
          </w:rPr>
          <w:t>1809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2" w:history="1">
        <w:r w:rsidRPr="00B80388">
          <w:rPr>
            <w:rStyle w:val="a5"/>
            <w:noProof/>
          </w:rPr>
          <w:t xml:space="preserve">Title: </w:t>
        </w:r>
        <w:r w:rsidRPr="00B80388">
          <w:rPr>
            <w:rStyle w:val="a5"/>
            <w:iCs/>
            <w:noProof/>
          </w:rPr>
          <w:t>International Orthopaedics</w:t>
        </w:r>
        <w:r>
          <w:rPr>
            <w:noProof/>
            <w:webHidden/>
          </w:rPr>
          <w:tab/>
        </w:r>
        <w:r>
          <w:rPr>
            <w:noProof/>
            <w:webHidden/>
          </w:rPr>
          <w:fldChar w:fldCharType="begin"/>
        </w:r>
        <w:r>
          <w:rPr>
            <w:noProof/>
            <w:webHidden/>
          </w:rPr>
          <w:instrText xml:space="preserve"> PAGEREF _Toc317161392 \h </w:instrText>
        </w:r>
        <w:r>
          <w:rPr>
            <w:noProof/>
            <w:webHidden/>
          </w:rPr>
        </w:r>
        <w:r>
          <w:rPr>
            <w:noProof/>
            <w:webHidden/>
          </w:rPr>
          <w:fldChar w:fldCharType="separate"/>
        </w:r>
        <w:r>
          <w:rPr>
            <w:noProof/>
            <w:webHidden/>
          </w:rPr>
          <w:t>1815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3" w:history="1">
        <w:r w:rsidRPr="00B80388">
          <w:rPr>
            <w:rStyle w:val="a5"/>
            <w:noProof/>
          </w:rPr>
          <w:t>Title: International Peat Journal</w:t>
        </w:r>
        <w:r>
          <w:rPr>
            <w:noProof/>
            <w:webHidden/>
          </w:rPr>
          <w:tab/>
        </w:r>
        <w:r>
          <w:rPr>
            <w:noProof/>
            <w:webHidden/>
          </w:rPr>
          <w:fldChar w:fldCharType="begin"/>
        </w:r>
        <w:r>
          <w:rPr>
            <w:noProof/>
            <w:webHidden/>
          </w:rPr>
          <w:instrText xml:space="preserve"> PAGEREF _Toc317161393 \h </w:instrText>
        </w:r>
        <w:r>
          <w:rPr>
            <w:noProof/>
            <w:webHidden/>
          </w:rPr>
        </w:r>
        <w:r>
          <w:rPr>
            <w:noProof/>
            <w:webHidden/>
          </w:rPr>
          <w:fldChar w:fldCharType="separate"/>
        </w:r>
        <w:r>
          <w:rPr>
            <w:noProof/>
            <w:webHidden/>
          </w:rPr>
          <w:t>1817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4" w:history="1">
        <w:r w:rsidRPr="00B80388">
          <w:rPr>
            <w:rStyle w:val="a5"/>
            <w:noProof/>
          </w:rPr>
          <w:t>Title: International Psychogeriatrics</w:t>
        </w:r>
        <w:r>
          <w:rPr>
            <w:noProof/>
            <w:webHidden/>
          </w:rPr>
          <w:tab/>
        </w:r>
        <w:r>
          <w:rPr>
            <w:noProof/>
            <w:webHidden/>
          </w:rPr>
          <w:fldChar w:fldCharType="begin"/>
        </w:r>
        <w:r>
          <w:rPr>
            <w:noProof/>
            <w:webHidden/>
          </w:rPr>
          <w:instrText xml:space="preserve"> PAGEREF _Toc317161394 \h </w:instrText>
        </w:r>
        <w:r>
          <w:rPr>
            <w:noProof/>
            <w:webHidden/>
          </w:rPr>
        </w:r>
        <w:r>
          <w:rPr>
            <w:noProof/>
            <w:webHidden/>
          </w:rPr>
          <w:fldChar w:fldCharType="separate"/>
        </w:r>
        <w:r>
          <w:rPr>
            <w:noProof/>
            <w:webHidden/>
          </w:rPr>
          <w:t>1818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5" w:history="1">
        <w:r w:rsidRPr="00B80388">
          <w:rPr>
            <w:rStyle w:val="a5"/>
            <w:noProof/>
          </w:rPr>
          <w:t xml:space="preserve">Title: </w:t>
        </w:r>
        <w:r w:rsidRPr="00B80388">
          <w:rPr>
            <w:rStyle w:val="a5"/>
            <w:iCs/>
            <w:noProof/>
          </w:rPr>
          <w:t>International Review of Administrative Sciences</w:t>
        </w:r>
        <w:r>
          <w:rPr>
            <w:noProof/>
            <w:webHidden/>
          </w:rPr>
          <w:tab/>
        </w:r>
        <w:r>
          <w:rPr>
            <w:noProof/>
            <w:webHidden/>
          </w:rPr>
          <w:fldChar w:fldCharType="begin"/>
        </w:r>
        <w:r>
          <w:rPr>
            <w:noProof/>
            <w:webHidden/>
          </w:rPr>
          <w:instrText xml:space="preserve"> PAGEREF _Toc317161395 \h </w:instrText>
        </w:r>
        <w:r>
          <w:rPr>
            <w:noProof/>
            <w:webHidden/>
          </w:rPr>
        </w:r>
        <w:r>
          <w:rPr>
            <w:noProof/>
            <w:webHidden/>
          </w:rPr>
          <w:fldChar w:fldCharType="separate"/>
        </w:r>
        <w:r>
          <w:rPr>
            <w:noProof/>
            <w:webHidden/>
          </w:rPr>
          <w:t>1824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6" w:history="1">
        <w:r w:rsidRPr="00B80388">
          <w:rPr>
            <w:rStyle w:val="a5"/>
            <w:noProof/>
          </w:rPr>
          <w:t>Title: International Review of Chemical Engineering</w:t>
        </w:r>
        <w:r>
          <w:rPr>
            <w:noProof/>
            <w:webHidden/>
          </w:rPr>
          <w:tab/>
        </w:r>
        <w:r>
          <w:rPr>
            <w:noProof/>
            <w:webHidden/>
          </w:rPr>
          <w:fldChar w:fldCharType="begin"/>
        </w:r>
        <w:r>
          <w:rPr>
            <w:noProof/>
            <w:webHidden/>
          </w:rPr>
          <w:instrText xml:space="preserve"> PAGEREF _Toc317161396 \h </w:instrText>
        </w:r>
        <w:r>
          <w:rPr>
            <w:noProof/>
            <w:webHidden/>
          </w:rPr>
        </w:r>
        <w:r>
          <w:rPr>
            <w:noProof/>
            <w:webHidden/>
          </w:rPr>
          <w:fldChar w:fldCharType="separate"/>
        </w:r>
        <w:r>
          <w:rPr>
            <w:noProof/>
            <w:webHidden/>
          </w:rPr>
          <w:t>1825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7" w:history="1">
        <w:r w:rsidRPr="00B80388">
          <w:rPr>
            <w:rStyle w:val="a5"/>
            <w:noProof/>
          </w:rPr>
          <w:t xml:space="preserve">Title: </w:t>
        </w:r>
        <w:r w:rsidRPr="00B80388">
          <w:rPr>
            <w:rStyle w:val="a5"/>
            <w:iCs/>
            <w:noProof/>
          </w:rPr>
          <w:t>International Review of Psychiatry</w:t>
        </w:r>
        <w:r>
          <w:rPr>
            <w:noProof/>
            <w:webHidden/>
          </w:rPr>
          <w:tab/>
        </w:r>
        <w:r>
          <w:rPr>
            <w:noProof/>
            <w:webHidden/>
          </w:rPr>
          <w:fldChar w:fldCharType="begin"/>
        </w:r>
        <w:r>
          <w:rPr>
            <w:noProof/>
            <w:webHidden/>
          </w:rPr>
          <w:instrText xml:space="preserve"> PAGEREF _Toc317161397 \h </w:instrText>
        </w:r>
        <w:r>
          <w:rPr>
            <w:noProof/>
            <w:webHidden/>
          </w:rPr>
        </w:r>
        <w:r>
          <w:rPr>
            <w:noProof/>
            <w:webHidden/>
          </w:rPr>
          <w:fldChar w:fldCharType="separate"/>
        </w:r>
        <w:r>
          <w:rPr>
            <w:noProof/>
            <w:webHidden/>
          </w:rPr>
          <w:t>1826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8" w:history="1">
        <w:r w:rsidRPr="00B80388">
          <w:rPr>
            <w:rStyle w:val="a5"/>
            <w:noProof/>
          </w:rPr>
          <w:t>Title: International Society for Fluoride Research</w:t>
        </w:r>
        <w:r>
          <w:rPr>
            <w:noProof/>
            <w:webHidden/>
          </w:rPr>
          <w:tab/>
        </w:r>
        <w:r>
          <w:rPr>
            <w:noProof/>
            <w:webHidden/>
          </w:rPr>
          <w:fldChar w:fldCharType="begin"/>
        </w:r>
        <w:r>
          <w:rPr>
            <w:noProof/>
            <w:webHidden/>
          </w:rPr>
          <w:instrText xml:space="preserve"> PAGEREF _Toc317161398 \h </w:instrText>
        </w:r>
        <w:r>
          <w:rPr>
            <w:noProof/>
            <w:webHidden/>
          </w:rPr>
        </w:r>
        <w:r>
          <w:rPr>
            <w:noProof/>
            <w:webHidden/>
          </w:rPr>
          <w:fldChar w:fldCharType="separate"/>
        </w:r>
        <w:r>
          <w:rPr>
            <w:noProof/>
            <w:webHidden/>
          </w:rPr>
          <w:t>1827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399" w:history="1">
        <w:r w:rsidRPr="00B80388">
          <w:rPr>
            <w:rStyle w:val="a5"/>
            <w:noProof/>
          </w:rPr>
          <w:t xml:space="preserve">Title: </w:t>
        </w:r>
        <w:r w:rsidRPr="00B80388">
          <w:rPr>
            <w:rStyle w:val="a5"/>
            <w:iCs/>
            <w:noProof/>
          </w:rPr>
          <w:t>International Sportmed Journal</w:t>
        </w:r>
        <w:r>
          <w:rPr>
            <w:noProof/>
            <w:webHidden/>
          </w:rPr>
          <w:tab/>
        </w:r>
        <w:r>
          <w:rPr>
            <w:noProof/>
            <w:webHidden/>
          </w:rPr>
          <w:fldChar w:fldCharType="begin"/>
        </w:r>
        <w:r>
          <w:rPr>
            <w:noProof/>
            <w:webHidden/>
          </w:rPr>
          <w:instrText xml:space="preserve"> PAGEREF _Toc317161399 \h </w:instrText>
        </w:r>
        <w:r>
          <w:rPr>
            <w:noProof/>
            <w:webHidden/>
          </w:rPr>
        </w:r>
        <w:r>
          <w:rPr>
            <w:noProof/>
            <w:webHidden/>
          </w:rPr>
          <w:fldChar w:fldCharType="separate"/>
        </w:r>
        <w:r>
          <w:rPr>
            <w:noProof/>
            <w:webHidden/>
          </w:rPr>
          <w:t>1828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0" w:history="1">
        <w:r w:rsidRPr="00B80388">
          <w:rPr>
            <w:rStyle w:val="a5"/>
            <w:noProof/>
          </w:rPr>
          <w:t xml:space="preserve">Title: </w:t>
        </w:r>
        <w:r w:rsidRPr="00B80388">
          <w:rPr>
            <w:rStyle w:val="a5"/>
            <w:iCs/>
            <w:noProof/>
          </w:rPr>
          <w:t>International Studies Perspectives</w:t>
        </w:r>
        <w:r>
          <w:rPr>
            <w:noProof/>
            <w:webHidden/>
          </w:rPr>
          <w:tab/>
        </w:r>
        <w:r>
          <w:rPr>
            <w:noProof/>
            <w:webHidden/>
          </w:rPr>
          <w:fldChar w:fldCharType="begin"/>
        </w:r>
        <w:r>
          <w:rPr>
            <w:noProof/>
            <w:webHidden/>
          </w:rPr>
          <w:instrText xml:space="preserve"> PAGEREF _Toc317161400 \h </w:instrText>
        </w:r>
        <w:r>
          <w:rPr>
            <w:noProof/>
            <w:webHidden/>
          </w:rPr>
        </w:r>
        <w:r>
          <w:rPr>
            <w:noProof/>
            <w:webHidden/>
          </w:rPr>
          <w:fldChar w:fldCharType="separate"/>
        </w:r>
        <w:r>
          <w:rPr>
            <w:noProof/>
            <w:webHidden/>
          </w:rPr>
          <w:t>1830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1" w:history="1">
        <w:r w:rsidRPr="00B80388">
          <w:rPr>
            <w:rStyle w:val="a5"/>
            <w:noProof/>
          </w:rPr>
          <w:t xml:space="preserve">Title: </w:t>
        </w:r>
        <w:r w:rsidRPr="00B80388">
          <w:rPr>
            <w:rStyle w:val="a5"/>
            <w:iCs/>
            <w:noProof/>
          </w:rPr>
          <w:t>International Studies Quarterly</w:t>
        </w:r>
        <w:r>
          <w:rPr>
            <w:noProof/>
            <w:webHidden/>
          </w:rPr>
          <w:tab/>
        </w:r>
        <w:r>
          <w:rPr>
            <w:noProof/>
            <w:webHidden/>
          </w:rPr>
          <w:fldChar w:fldCharType="begin"/>
        </w:r>
        <w:r>
          <w:rPr>
            <w:noProof/>
            <w:webHidden/>
          </w:rPr>
          <w:instrText xml:space="preserve"> PAGEREF _Toc317161401 \h </w:instrText>
        </w:r>
        <w:r>
          <w:rPr>
            <w:noProof/>
            <w:webHidden/>
          </w:rPr>
        </w:r>
        <w:r>
          <w:rPr>
            <w:noProof/>
            <w:webHidden/>
          </w:rPr>
          <w:fldChar w:fldCharType="separate"/>
        </w:r>
        <w:r>
          <w:rPr>
            <w:noProof/>
            <w:webHidden/>
          </w:rPr>
          <w:t>1831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2" w:history="1">
        <w:r w:rsidRPr="00B80388">
          <w:rPr>
            <w:rStyle w:val="a5"/>
            <w:noProof/>
          </w:rPr>
          <w:t>Title: International Sugar Journal</w:t>
        </w:r>
        <w:r>
          <w:rPr>
            <w:noProof/>
            <w:webHidden/>
          </w:rPr>
          <w:tab/>
        </w:r>
        <w:r>
          <w:rPr>
            <w:noProof/>
            <w:webHidden/>
          </w:rPr>
          <w:fldChar w:fldCharType="begin"/>
        </w:r>
        <w:r>
          <w:rPr>
            <w:noProof/>
            <w:webHidden/>
          </w:rPr>
          <w:instrText xml:space="preserve"> PAGEREF _Toc317161402 \h </w:instrText>
        </w:r>
        <w:r>
          <w:rPr>
            <w:noProof/>
            <w:webHidden/>
          </w:rPr>
        </w:r>
        <w:r>
          <w:rPr>
            <w:noProof/>
            <w:webHidden/>
          </w:rPr>
          <w:fldChar w:fldCharType="separate"/>
        </w:r>
        <w:r>
          <w:rPr>
            <w:noProof/>
            <w:webHidden/>
          </w:rPr>
          <w:t>1832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3" w:history="1">
        <w:r w:rsidRPr="00B80388">
          <w:rPr>
            <w:rStyle w:val="a5"/>
            <w:noProof/>
          </w:rPr>
          <w:t>Title: International Symposium on Extraction and Processing for the Treatment and Minimixation of Wastes</w:t>
        </w:r>
        <w:r>
          <w:rPr>
            <w:noProof/>
            <w:webHidden/>
          </w:rPr>
          <w:tab/>
        </w:r>
        <w:r>
          <w:rPr>
            <w:noProof/>
            <w:webHidden/>
          </w:rPr>
          <w:fldChar w:fldCharType="begin"/>
        </w:r>
        <w:r>
          <w:rPr>
            <w:noProof/>
            <w:webHidden/>
          </w:rPr>
          <w:instrText xml:space="preserve"> PAGEREF _Toc317161403 \h </w:instrText>
        </w:r>
        <w:r>
          <w:rPr>
            <w:noProof/>
            <w:webHidden/>
          </w:rPr>
        </w:r>
        <w:r>
          <w:rPr>
            <w:noProof/>
            <w:webHidden/>
          </w:rPr>
          <w:fldChar w:fldCharType="separate"/>
        </w:r>
        <w:r>
          <w:rPr>
            <w:noProof/>
            <w:webHidden/>
          </w:rPr>
          <w:t>1833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4" w:history="1">
        <w:r w:rsidRPr="00B80388">
          <w:rPr>
            <w:rStyle w:val="a5"/>
            <w:noProof/>
          </w:rPr>
          <w:t>Title: International Symposium on Peat/Peatland</w:t>
        </w:r>
        <w:r>
          <w:rPr>
            <w:noProof/>
            <w:webHidden/>
          </w:rPr>
          <w:tab/>
        </w:r>
        <w:r>
          <w:rPr>
            <w:noProof/>
            <w:webHidden/>
          </w:rPr>
          <w:fldChar w:fldCharType="begin"/>
        </w:r>
        <w:r>
          <w:rPr>
            <w:noProof/>
            <w:webHidden/>
          </w:rPr>
          <w:instrText xml:space="preserve"> PAGEREF _Toc317161404 \h </w:instrText>
        </w:r>
        <w:r>
          <w:rPr>
            <w:noProof/>
            <w:webHidden/>
          </w:rPr>
        </w:r>
        <w:r>
          <w:rPr>
            <w:noProof/>
            <w:webHidden/>
          </w:rPr>
          <w:fldChar w:fldCharType="separate"/>
        </w:r>
        <w:r>
          <w:rPr>
            <w:noProof/>
            <w:webHidden/>
          </w:rPr>
          <w:t>1834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5" w:history="1">
        <w:r w:rsidRPr="00B80388">
          <w:rPr>
            <w:rStyle w:val="a5"/>
            <w:noProof/>
          </w:rPr>
          <w:t>Title: Introduction to the Principles of Heterogeneous Catalysis</w:t>
        </w:r>
        <w:r>
          <w:rPr>
            <w:noProof/>
            <w:webHidden/>
          </w:rPr>
          <w:tab/>
        </w:r>
        <w:r>
          <w:rPr>
            <w:noProof/>
            <w:webHidden/>
          </w:rPr>
          <w:fldChar w:fldCharType="begin"/>
        </w:r>
        <w:r>
          <w:rPr>
            <w:noProof/>
            <w:webHidden/>
          </w:rPr>
          <w:instrText xml:space="preserve"> PAGEREF _Toc317161405 \h </w:instrText>
        </w:r>
        <w:r>
          <w:rPr>
            <w:noProof/>
            <w:webHidden/>
          </w:rPr>
        </w:r>
        <w:r>
          <w:rPr>
            <w:noProof/>
            <w:webHidden/>
          </w:rPr>
          <w:fldChar w:fldCharType="separate"/>
        </w:r>
        <w:r>
          <w:rPr>
            <w:noProof/>
            <w:webHidden/>
          </w:rPr>
          <w:t>1835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6" w:history="1">
        <w:r w:rsidRPr="00B80388">
          <w:rPr>
            <w:rStyle w:val="a5"/>
            <w:noProof/>
          </w:rPr>
          <w:t xml:space="preserve">Title: </w:t>
        </w:r>
        <w:r w:rsidRPr="00B80388">
          <w:rPr>
            <w:rStyle w:val="a5"/>
            <w:iCs/>
            <w:noProof/>
          </w:rPr>
          <w:t>International Urology and Nephrology</w:t>
        </w:r>
        <w:r>
          <w:rPr>
            <w:noProof/>
            <w:webHidden/>
          </w:rPr>
          <w:tab/>
        </w:r>
        <w:r>
          <w:rPr>
            <w:noProof/>
            <w:webHidden/>
          </w:rPr>
          <w:fldChar w:fldCharType="begin"/>
        </w:r>
        <w:r>
          <w:rPr>
            <w:noProof/>
            <w:webHidden/>
          </w:rPr>
          <w:instrText xml:space="preserve"> PAGEREF _Toc317161406 \h </w:instrText>
        </w:r>
        <w:r>
          <w:rPr>
            <w:noProof/>
            <w:webHidden/>
          </w:rPr>
        </w:r>
        <w:r>
          <w:rPr>
            <w:noProof/>
            <w:webHidden/>
          </w:rPr>
          <w:fldChar w:fldCharType="separate"/>
        </w:r>
        <w:r>
          <w:rPr>
            <w:noProof/>
            <w:webHidden/>
          </w:rPr>
          <w:t>1836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7" w:history="1">
        <w:r w:rsidRPr="00B80388">
          <w:rPr>
            <w:rStyle w:val="a5"/>
            <w:noProof/>
          </w:rPr>
          <w:t>Title: International Urogynecology Journal</w:t>
        </w:r>
        <w:r>
          <w:rPr>
            <w:noProof/>
            <w:webHidden/>
          </w:rPr>
          <w:tab/>
        </w:r>
        <w:r>
          <w:rPr>
            <w:noProof/>
            <w:webHidden/>
          </w:rPr>
          <w:fldChar w:fldCharType="begin"/>
        </w:r>
        <w:r>
          <w:rPr>
            <w:noProof/>
            <w:webHidden/>
          </w:rPr>
          <w:instrText xml:space="preserve"> PAGEREF _Toc317161407 \h </w:instrText>
        </w:r>
        <w:r>
          <w:rPr>
            <w:noProof/>
            <w:webHidden/>
          </w:rPr>
        </w:r>
        <w:r>
          <w:rPr>
            <w:noProof/>
            <w:webHidden/>
          </w:rPr>
          <w:fldChar w:fldCharType="separate"/>
        </w:r>
        <w:r>
          <w:rPr>
            <w:noProof/>
            <w:webHidden/>
          </w:rPr>
          <w:t>1837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8" w:history="1">
        <w:r w:rsidRPr="00B80388">
          <w:rPr>
            <w:rStyle w:val="a5"/>
            <w:noProof/>
          </w:rPr>
          <w:t>Title: Introduction to Wastewater Treatment Processes</w:t>
        </w:r>
        <w:r>
          <w:rPr>
            <w:noProof/>
            <w:webHidden/>
          </w:rPr>
          <w:tab/>
        </w:r>
        <w:r>
          <w:rPr>
            <w:noProof/>
            <w:webHidden/>
          </w:rPr>
          <w:fldChar w:fldCharType="begin"/>
        </w:r>
        <w:r>
          <w:rPr>
            <w:noProof/>
            <w:webHidden/>
          </w:rPr>
          <w:instrText xml:space="preserve"> PAGEREF _Toc317161408 \h </w:instrText>
        </w:r>
        <w:r>
          <w:rPr>
            <w:noProof/>
            <w:webHidden/>
          </w:rPr>
        </w:r>
        <w:r>
          <w:rPr>
            <w:noProof/>
            <w:webHidden/>
          </w:rPr>
          <w:fldChar w:fldCharType="separate"/>
        </w:r>
        <w:r>
          <w:rPr>
            <w:noProof/>
            <w:webHidden/>
          </w:rPr>
          <w:t>1838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09" w:history="1">
        <w:r w:rsidRPr="00B80388">
          <w:rPr>
            <w:rStyle w:val="a5"/>
            <w:noProof/>
          </w:rPr>
          <w:t>Title: Investigational New Drugs</w:t>
        </w:r>
        <w:r>
          <w:rPr>
            <w:noProof/>
            <w:webHidden/>
          </w:rPr>
          <w:tab/>
        </w:r>
        <w:r>
          <w:rPr>
            <w:noProof/>
            <w:webHidden/>
          </w:rPr>
          <w:fldChar w:fldCharType="begin"/>
        </w:r>
        <w:r>
          <w:rPr>
            <w:noProof/>
            <w:webHidden/>
          </w:rPr>
          <w:instrText xml:space="preserve"> PAGEREF _Toc317161409 \h </w:instrText>
        </w:r>
        <w:r>
          <w:rPr>
            <w:noProof/>
            <w:webHidden/>
          </w:rPr>
        </w:r>
        <w:r>
          <w:rPr>
            <w:noProof/>
            <w:webHidden/>
          </w:rPr>
          <w:fldChar w:fldCharType="separate"/>
        </w:r>
        <w:r>
          <w:rPr>
            <w:noProof/>
            <w:webHidden/>
          </w:rPr>
          <w:t>1839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0" w:history="1">
        <w:r w:rsidRPr="00B80388">
          <w:rPr>
            <w:rStyle w:val="a5"/>
            <w:noProof/>
          </w:rPr>
          <w:t>Title: In Vitro Cellular and Developmental Biology-Animal</w:t>
        </w:r>
        <w:r>
          <w:rPr>
            <w:noProof/>
            <w:webHidden/>
          </w:rPr>
          <w:tab/>
        </w:r>
        <w:r>
          <w:rPr>
            <w:noProof/>
            <w:webHidden/>
          </w:rPr>
          <w:fldChar w:fldCharType="begin"/>
        </w:r>
        <w:r>
          <w:rPr>
            <w:noProof/>
            <w:webHidden/>
          </w:rPr>
          <w:instrText xml:space="preserve"> PAGEREF _Toc317161410 \h </w:instrText>
        </w:r>
        <w:r>
          <w:rPr>
            <w:noProof/>
            <w:webHidden/>
          </w:rPr>
        </w:r>
        <w:r>
          <w:rPr>
            <w:noProof/>
            <w:webHidden/>
          </w:rPr>
          <w:fldChar w:fldCharType="separate"/>
        </w:r>
        <w:r>
          <w:rPr>
            <w:noProof/>
            <w:webHidden/>
          </w:rPr>
          <w:t>1841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1" w:history="1">
        <w:r w:rsidRPr="00B80388">
          <w:rPr>
            <w:rStyle w:val="a5"/>
            <w:noProof/>
          </w:rPr>
          <w:t>Title: Investigación Bibliotecológica</w:t>
        </w:r>
        <w:r>
          <w:rPr>
            <w:noProof/>
            <w:webHidden/>
          </w:rPr>
          <w:tab/>
        </w:r>
        <w:r>
          <w:rPr>
            <w:noProof/>
            <w:webHidden/>
          </w:rPr>
          <w:fldChar w:fldCharType="begin"/>
        </w:r>
        <w:r>
          <w:rPr>
            <w:noProof/>
            <w:webHidden/>
          </w:rPr>
          <w:instrText xml:space="preserve"> PAGEREF _Toc317161411 \h </w:instrText>
        </w:r>
        <w:r>
          <w:rPr>
            <w:noProof/>
            <w:webHidden/>
          </w:rPr>
        </w:r>
        <w:r>
          <w:rPr>
            <w:noProof/>
            <w:webHidden/>
          </w:rPr>
          <w:fldChar w:fldCharType="separate"/>
        </w:r>
        <w:r>
          <w:rPr>
            <w:noProof/>
            <w:webHidden/>
          </w:rPr>
          <w:t>1842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2" w:history="1">
        <w:r w:rsidRPr="00B80388">
          <w:rPr>
            <w:rStyle w:val="a5"/>
            <w:noProof/>
          </w:rPr>
          <w:t>Title: Inzynieria Chemiczna I Procesowa</w:t>
        </w:r>
        <w:r>
          <w:rPr>
            <w:noProof/>
            <w:webHidden/>
          </w:rPr>
          <w:tab/>
        </w:r>
        <w:r>
          <w:rPr>
            <w:noProof/>
            <w:webHidden/>
          </w:rPr>
          <w:fldChar w:fldCharType="begin"/>
        </w:r>
        <w:r>
          <w:rPr>
            <w:noProof/>
            <w:webHidden/>
          </w:rPr>
          <w:instrText xml:space="preserve"> PAGEREF _Toc317161412 \h </w:instrText>
        </w:r>
        <w:r>
          <w:rPr>
            <w:noProof/>
            <w:webHidden/>
          </w:rPr>
        </w:r>
        <w:r>
          <w:rPr>
            <w:noProof/>
            <w:webHidden/>
          </w:rPr>
          <w:fldChar w:fldCharType="separate"/>
        </w:r>
        <w:r>
          <w:rPr>
            <w:noProof/>
            <w:webHidden/>
          </w:rPr>
          <w:t>1845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3" w:history="1">
        <w:r w:rsidRPr="00B80388">
          <w:rPr>
            <w:rStyle w:val="a5"/>
            <w:noProof/>
          </w:rPr>
          <w:t>Title: Ion Exchange</w:t>
        </w:r>
        <w:r>
          <w:rPr>
            <w:noProof/>
            <w:webHidden/>
          </w:rPr>
          <w:tab/>
        </w:r>
        <w:r>
          <w:rPr>
            <w:noProof/>
            <w:webHidden/>
          </w:rPr>
          <w:fldChar w:fldCharType="begin"/>
        </w:r>
        <w:r>
          <w:rPr>
            <w:noProof/>
            <w:webHidden/>
          </w:rPr>
          <w:instrText xml:space="preserve"> PAGEREF _Toc317161413 \h </w:instrText>
        </w:r>
        <w:r>
          <w:rPr>
            <w:noProof/>
            <w:webHidden/>
          </w:rPr>
        </w:r>
        <w:r>
          <w:rPr>
            <w:noProof/>
            <w:webHidden/>
          </w:rPr>
          <w:fldChar w:fldCharType="separate"/>
        </w:r>
        <w:r>
          <w:rPr>
            <w:noProof/>
            <w:webHidden/>
          </w:rPr>
          <w:t>1847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4" w:history="1">
        <w:r w:rsidRPr="00B80388">
          <w:rPr>
            <w:rStyle w:val="a5"/>
            <w:noProof/>
          </w:rPr>
          <w:t>Title: Ion Exchange and Adsorption</w:t>
        </w:r>
        <w:r>
          <w:rPr>
            <w:noProof/>
            <w:webHidden/>
          </w:rPr>
          <w:tab/>
        </w:r>
        <w:r>
          <w:rPr>
            <w:noProof/>
            <w:webHidden/>
          </w:rPr>
          <w:fldChar w:fldCharType="begin"/>
        </w:r>
        <w:r>
          <w:rPr>
            <w:noProof/>
            <w:webHidden/>
          </w:rPr>
          <w:instrText xml:space="preserve"> PAGEREF _Toc317161414 \h </w:instrText>
        </w:r>
        <w:r>
          <w:rPr>
            <w:noProof/>
            <w:webHidden/>
          </w:rPr>
        </w:r>
        <w:r>
          <w:rPr>
            <w:noProof/>
            <w:webHidden/>
          </w:rPr>
          <w:fldChar w:fldCharType="separate"/>
        </w:r>
        <w:r>
          <w:rPr>
            <w:noProof/>
            <w:webHidden/>
          </w:rPr>
          <w:t>1848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5" w:history="1">
        <w:r w:rsidRPr="00B80388">
          <w:rPr>
            <w:rStyle w:val="a5"/>
            <w:noProof/>
          </w:rPr>
          <w:t>Title: Ion Exchange Developments and Applications</w:t>
        </w:r>
        <w:r>
          <w:rPr>
            <w:noProof/>
            <w:webHidden/>
          </w:rPr>
          <w:tab/>
        </w:r>
        <w:r>
          <w:rPr>
            <w:noProof/>
            <w:webHidden/>
          </w:rPr>
          <w:fldChar w:fldCharType="begin"/>
        </w:r>
        <w:r>
          <w:rPr>
            <w:noProof/>
            <w:webHidden/>
          </w:rPr>
          <w:instrText xml:space="preserve"> PAGEREF _Toc317161415 \h </w:instrText>
        </w:r>
        <w:r>
          <w:rPr>
            <w:noProof/>
            <w:webHidden/>
          </w:rPr>
        </w:r>
        <w:r>
          <w:rPr>
            <w:noProof/>
            <w:webHidden/>
          </w:rPr>
          <w:fldChar w:fldCharType="separate"/>
        </w:r>
        <w:r>
          <w:rPr>
            <w:noProof/>
            <w:webHidden/>
          </w:rPr>
          <w:t>1849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6" w:history="1">
        <w:r w:rsidRPr="00B80388">
          <w:rPr>
            <w:rStyle w:val="a5"/>
            <w:noProof/>
          </w:rPr>
          <w:t>Title: Ion Exchange Technology: Advances in Pollution Control</w:t>
        </w:r>
        <w:r>
          <w:rPr>
            <w:noProof/>
            <w:webHidden/>
          </w:rPr>
          <w:tab/>
        </w:r>
        <w:r>
          <w:rPr>
            <w:noProof/>
            <w:webHidden/>
          </w:rPr>
          <w:fldChar w:fldCharType="begin"/>
        </w:r>
        <w:r>
          <w:rPr>
            <w:noProof/>
            <w:webHidden/>
          </w:rPr>
          <w:instrText xml:space="preserve"> PAGEREF _Toc317161416 \h </w:instrText>
        </w:r>
        <w:r>
          <w:rPr>
            <w:noProof/>
            <w:webHidden/>
          </w:rPr>
        </w:r>
        <w:r>
          <w:rPr>
            <w:noProof/>
            <w:webHidden/>
          </w:rPr>
          <w:fldChar w:fldCharType="separate"/>
        </w:r>
        <w:r>
          <w:rPr>
            <w:noProof/>
            <w:webHidden/>
          </w:rPr>
          <w:t>1850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7" w:history="1">
        <w:r w:rsidRPr="00B80388">
          <w:rPr>
            <w:rStyle w:val="a5"/>
            <w:noProof/>
          </w:rPr>
          <w:t>Title: Iranian Journal of Biotechnology</w:t>
        </w:r>
        <w:r>
          <w:rPr>
            <w:noProof/>
            <w:webHidden/>
          </w:rPr>
          <w:tab/>
        </w:r>
        <w:r>
          <w:rPr>
            <w:noProof/>
            <w:webHidden/>
          </w:rPr>
          <w:fldChar w:fldCharType="begin"/>
        </w:r>
        <w:r>
          <w:rPr>
            <w:noProof/>
            <w:webHidden/>
          </w:rPr>
          <w:instrText xml:space="preserve"> PAGEREF _Toc317161417 \h </w:instrText>
        </w:r>
        <w:r>
          <w:rPr>
            <w:noProof/>
            <w:webHidden/>
          </w:rPr>
        </w:r>
        <w:r>
          <w:rPr>
            <w:noProof/>
            <w:webHidden/>
          </w:rPr>
          <w:fldChar w:fldCharType="separate"/>
        </w:r>
        <w:r>
          <w:rPr>
            <w:noProof/>
            <w:webHidden/>
          </w:rPr>
          <w:t>1851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8" w:history="1">
        <w:r w:rsidRPr="00B80388">
          <w:rPr>
            <w:rStyle w:val="a5"/>
            <w:noProof/>
          </w:rPr>
          <w:t xml:space="preserve">Title: Iranian Journal of Chemistry &amp; Chemical Engineering-International </w:t>
        </w:r>
        <w:r w:rsidRPr="00B80388">
          <w:rPr>
            <w:rStyle w:val="a5"/>
            <w:noProof/>
          </w:rPr>
          <w:lastRenderedPageBreak/>
          <w:t>English Edition</w:t>
        </w:r>
        <w:r>
          <w:rPr>
            <w:noProof/>
            <w:webHidden/>
          </w:rPr>
          <w:tab/>
        </w:r>
        <w:r>
          <w:rPr>
            <w:noProof/>
            <w:webHidden/>
          </w:rPr>
          <w:fldChar w:fldCharType="begin"/>
        </w:r>
        <w:r>
          <w:rPr>
            <w:noProof/>
            <w:webHidden/>
          </w:rPr>
          <w:instrText xml:space="preserve"> PAGEREF _Toc317161418 \h </w:instrText>
        </w:r>
        <w:r>
          <w:rPr>
            <w:noProof/>
            <w:webHidden/>
          </w:rPr>
        </w:r>
        <w:r>
          <w:rPr>
            <w:noProof/>
            <w:webHidden/>
          </w:rPr>
          <w:fldChar w:fldCharType="separate"/>
        </w:r>
        <w:r>
          <w:rPr>
            <w:noProof/>
            <w:webHidden/>
          </w:rPr>
          <w:t>1852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19" w:history="1">
        <w:r w:rsidRPr="00B80388">
          <w:rPr>
            <w:rStyle w:val="a5"/>
            <w:noProof/>
          </w:rPr>
          <w:t xml:space="preserve">Title: </w:t>
        </w:r>
        <w:r w:rsidRPr="00B80388">
          <w:rPr>
            <w:rStyle w:val="a5"/>
            <w:iCs/>
            <w:noProof/>
          </w:rPr>
          <w:t>Iranica Journal of Energy &amp; Environment</w:t>
        </w:r>
        <w:r>
          <w:rPr>
            <w:noProof/>
            <w:webHidden/>
          </w:rPr>
          <w:tab/>
        </w:r>
        <w:r>
          <w:rPr>
            <w:noProof/>
            <w:webHidden/>
          </w:rPr>
          <w:fldChar w:fldCharType="begin"/>
        </w:r>
        <w:r>
          <w:rPr>
            <w:noProof/>
            <w:webHidden/>
          </w:rPr>
          <w:instrText xml:space="preserve"> PAGEREF _Toc317161419 \h </w:instrText>
        </w:r>
        <w:r>
          <w:rPr>
            <w:noProof/>
            <w:webHidden/>
          </w:rPr>
        </w:r>
        <w:r>
          <w:rPr>
            <w:noProof/>
            <w:webHidden/>
          </w:rPr>
          <w:fldChar w:fldCharType="separate"/>
        </w:r>
        <w:r>
          <w:rPr>
            <w:noProof/>
            <w:webHidden/>
          </w:rPr>
          <w:t>1856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0" w:history="1">
        <w:r w:rsidRPr="00B80388">
          <w:rPr>
            <w:rStyle w:val="a5"/>
            <w:noProof/>
          </w:rPr>
          <w:t>Title: Iranian Journal of Environmental Health Science &amp; Engineering</w:t>
        </w:r>
        <w:r>
          <w:rPr>
            <w:noProof/>
            <w:webHidden/>
          </w:rPr>
          <w:tab/>
        </w:r>
        <w:r>
          <w:rPr>
            <w:noProof/>
            <w:webHidden/>
          </w:rPr>
          <w:fldChar w:fldCharType="begin"/>
        </w:r>
        <w:r>
          <w:rPr>
            <w:noProof/>
            <w:webHidden/>
          </w:rPr>
          <w:instrText xml:space="preserve"> PAGEREF _Toc317161420 \h </w:instrText>
        </w:r>
        <w:r>
          <w:rPr>
            <w:noProof/>
            <w:webHidden/>
          </w:rPr>
        </w:r>
        <w:r>
          <w:rPr>
            <w:noProof/>
            <w:webHidden/>
          </w:rPr>
          <w:fldChar w:fldCharType="separate"/>
        </w:r>
        <w:r>
          <w:rPr>
            <w:noProof/>
            <w:webHidden/>
          </w:rPr>
          <w:t>1857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1" w:history="1">
        <w:r w:rsidRPr="00B80388">
          <w:rPr>
            <w:rStyle w:val="a5"/>
            <w:noProof/>
          </w:rPr>
          <w:t>Title: Iranian Polymer Journal</w:t>
        </w:r>
        <w:r>
          <w:rPr>
            <w:noProof/>
            <w:webHidden/>
          </w:rPr>
          <w:tab/>
        </w:r>
        <w:r>
          <w:rPr>
            <w:noProof/>
            <w:webHidden/>
          </w:rPr>
          <w:fldChar w:fldCharType="begin"/>
        </w:r>
        <w:r>
          <w:rPr>
            <w:noProof/>
            <w:webHidden/>
          </w:rPr>
          <w:instrText xml:space="preserve"> PAGEREF _Toc317161421 \h </w:instrText>
        </w:r>
        <w:r>
          <w:rPr>
            <w:noProof/>
            <w:webHidden/>
          </w:rPr>
        </w:r>
        <w:r>
          <w:rPr>
            <w:noProof/>
            <w:webHidden/>
          </w:rPr>
          <w:fldChar w:fldCharType="separate"/>
        </w:r>
        <w:r>
          <w:rPr>
            <w:noProof/>
            <w:webHidden/>
          </w:rPr>
          <w:t>1871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2" w:history="1">
        <w:r w:rsidRPr="00B80388">
          <w:rPr>
            <w:rStyle w:val="a5"/>
            <w:noProof/>
          </w:rPr>
          <w:t>Title: Iranian Journal of Public Health</w:t>
        </w:r>
        <w:r>
          <w:rPr>
            <w:noProof/>
            <w:webHidden/>
          </w:rPr>
          <w:tab/>
        </w:r>
        <w:r>
          <w:rPr>
            <w:noProof/>
            <w:webHidden/>
          </w:rPr>
          <w:fldChar w:fldCharType="begin"/>
        </w:r>
        <w:r>
          <w:rPr>
            <w:noProof/>
            <w:webHidden/>
          </w:rPr>
          <w:instrText xml:space="preserve"> PAGEREF _Toc317161422 \h </w:instrText>
        </w:r>
        <w:r>
          <w:rPr>
            <w:noProof/>
            <w:webHidden/>
          </w:rPr>
        </w:r>
        <w:r>
          <w:rPr>
            <w:noProof/>
            <w:webHidden/>
          </w:rPr>
          <w:fldChar w:fldCharType="separate"/>
        </w:r>
        <w:r>
          <w:rPr>
            <w:noProof/>
            <w:webHidden/>
          </w:rPr>
          <w:t>1874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3" w:history="1">
        <w:r w:rsidRPr="00B80388">
          <w:rPr>
            <w:rStyle w:val="a5"/>
            <w:noProof/>
          </w:rPr>
          <w:t>Title: Irish Journal of Food Science and Technology</w:t>
        </w:r>
        <w:r>
          <w:rPr>
            <w:noProof/>
            <w:webHidden/>
          </w:rPr>
          <w:tab/>
        </w:r>
        <w:r>
          <w:rPr>
            <w:noProof/>
            <w:webHidden/>
          </w:rPr>
          <w:fldChar w:fldCharType="begin"/>
        </w:r>
        <w:r>
          <w:rPr>
            <w:noProof/>
            <w:webHidden/>
          </w:rPr>
          <w:instrText xml:space="preserve"> PAGEREF _Toc317161423 \h </w:instrText>
        </w:r>
        <w:r>
          <w:rPr>
            <w:noProof/>
            <w:webHidden/>
          </w:rPr>
        </w:r>
        <w:r>
          <w:rPr>
            <w:noProof/>
            <w:webHidden/>
          </w:rPr>
          <w:fldChar w:fldCharType="separate"/>
        </w:r>
        <w:r>
          <w:rPr>
            <w:noProof/>
            <w:webHidden/>
          </w:rPr>
          <w:t>1876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4" w:history="1">
        <w:r w:rsidRPr="00B80388">
          <w:rPr>
            <w:rStyle w:val="a5"/>
            <w:noProof/>
          </w:rPr>
          <w:t xml:space="preserve">Title: </w:t>
        </w:r>
        <w:r w:rsidRPr="00B80388">
          <w:rPr>
            <w:rStyle w:val="a5"/>
            <w:iCs/>
            <w:noProof/>
          </w:rPr>
          <w:t>ISIJ International</w:t>
        </w:r>
        <w:r>
          <w:rPr>
            <w:noProof/>
            <w:webHidden/>
          </w:rPr>
          <w:tab/>
        </w:r>
        <w:r>
          <w:rPr>
            <w:noProof/>
            <w:webHidden/>
          </w:rPr>
          <w:fldChar w:fldCharType="begin"/>
        </w:r>
        <w:r>
          <w:rPr>
            <w:noProof/>
            <w:webHidden/>
          </w:rPr>
          <w:instrText xml:space="preserve"> PAGEREF _Toc317161424 \h </w:instrText>
        </w:r>
        <w:r>
          <w:rPr>
            <w:noProof/>
            <w:webHidden/>
          </w:rPr>
        </w:r>
        <w:r>
          <w:rPr>
            <w:noProof/>
            <w:webHidden/>
          </w:rPr>
          <w:fldChar w:fldCharType="separate"/>
        </w:r>
        <w:r>
          <w:rPr>
            <w:noProof/>
            <w:webHidden/>
          </w:rPr>
          <w:t>1877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5" w:history="1">
        <w:r w:rsidRPr="00B80388">
          <w:rPr>
            <w:rStyle w:val="a5"/>
            <w:noProof/>
          </w:rPr>
          <w:t>Title: Isis</w:t>
        </w:r>
        <w:r>
          <w:rPr>
            <w:noProof/>
            <w:webHidden/>
          </w:rPr>
          <w:tab/>
        </w:r>
        <w:r>
          <w:rPr>
            <w:noProof/>
            <w:webHidden/>
          </w:rPr>
          <w:fldChar w:fldCharType="begin"/>
        </w:r>
        <w:r>
          <w:rPr>
            <w:noProof/>
            <w:webHidden/>
          </w:rPr>
          <w:instrText xml:space="preserve"> PAGEREF _Toc317161425 \h </w:instrText>
        </w:r>
        <w:r>
          <w:rPr>
            <w:noProof/>
            <w:webHidden/>
          </w:rPr>
        </w:r>
        <w:r>
          <w:rPr>
            <w:noProof/>
            <w:webHidden/>
          </w:rPr>
          <w:fldChar w:fldCharType="separate"/>
        </w:r>
        <w:r>
          <w:rPr>
            <w:noProof/>
            <w:webHidden/>
          </w:rPr>
          <w:t>1878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6" w:history="1">
        <w:r w:rsidRPr="00B80388">
          <w:rPr>
            <w:rStyle w:val="a5"/>
            <w:noProof/>
          </w:rPr>
          <w:t>Title: Island Arc</w:t>
        </w:r>
        <w:r>
          <w:rPr>
            <w:noProof/>
            <w:webHidden/>
          </w:rPr>
          <w:tab/>
        </w:r>
        <w:r>
          <w:rPr>
            <w:noProof/>
            <w:webHidden/>
          </w:rPr>
          <w:fldChar w:fldCharType="begin"/>
        </w:r>
        <w:r>
          <w:rPr>
            <w:noProof/>
            <w:webHidden/>
          </w:rPr>
          <w:instrText xml:space="preserve"> PAGEREF _Toc317161426 \h </w:instrText>
        </w:r>
        <w:r>
          <w:rPr>
            <w:noProof/>
            <w:webHidden/>
          </w:rPr>
        </w:r>
        <w:r>
          <w:rPr>
            <w:noProof/>
            <w:webHidden/>
          </w:rPr>
          <w:fldChar w:fldCharType="separate"/>
        </w:r>
        <w:r>
          <w:rPr>
            <w:noProof/>
            <w:webHidden/>
          </w:rPr>
          <w:t>1879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7" w:history="1">
        <w:r w:rsidRPr="00B80388">
          <w:rPr>
            <w:rStyle w:val="a5"/>
            <w:noProof/>
          </w:rPr>
          <w:t xml:space="preserve">Title: </w:t>
        </w:r>
        <w:r w:rsidRPr="00B80388">
          <w:rPr>
            <w:rStyle w:val="a5"/>
            <w:iCs/>
            <w:noProof/>
          </w:rPr>
          <w:t>ISMOT’07: Proceedings of the Fifth International Symposium on Management of Technology, Vols 1 and 2 - Managing Total Innovation and Open Innovation in the 21st Century</w:t>
        </w:r>
        <w:r>
          <w:rPr>
            <w:noProof/>
            <w:webHidden/>
          </w:rPr>
          <w:tab/>
        </w:r>
        <w:r>
          <w:rPr>
            <w:noProof/>
            <w:webHidden/>
          </w:rPr>
          <w:fldChar w:fldCharType="begin"/>
        </w:r>
        <w:r>
          <w:rPr>
            <w:noProof/>
            <w:webHidden/>
          </w:rPr>
          <w:instrText xml:space="preserve"> PAGEREF _Toc317161427 \h </w:instrText>
        </w:r>
        <w:r>
          <w:rPr>
            <w:noProof/>
            <w:webHidden/>
          </w:rPr>
        </w:r>
        <w:r>
          <w:rPr>
            <w:noProof/>
            <w:webHidden/>
          </w:rPr>
          <w:fldChar w:fldCharType="separate"/>
        </w:r>
        <w:r>
          <w:rPr>
            <w:noProof/>
            <w:webHidden/>
          </w:rPr>
          <w:t>1880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8" w:history="1">
        <w:r w:rsidRPr="00B80388">
          <w:rPr>
            <w:rStyle w:val="a5"/>
            <w:noProof/>
          </w:rPr>
          <w:t xml:space="preserve">Title: </w:t>
        </w:r>
        <w:r w:rsidRPr="00B80388">
          <w:rPr>
            <w:rStyle w:val="a5"/>
            <w:iCs/>
            <w:noProof/>
          </w:rPr>
          <w:t>First International Workshop on Database Technology and Applications, Proceedings</w:t>
        </w:r>
        <w:r>
          <w:rPr>
            <w:noProof/>
            <w:webHidden/>
          </w:rPr>
          <w:tab/>
        </w:r>
        <w:r>
          <w:rPr>
            <w:noProof/>
            <w:webHidden/>
          </w:rPr>
          <w:fldChar w:fldCharType="begin"/>
        </w:r>
        <w:r>
          <w:rPr>
            <w:noProof/>
            <w:webHidden/>
          </w:rPr>
          <w:instrText xml:space="preserve"> PAGEREF _Toc317161428 \h </w:instrText>
        </w:r>
        <w:r>
          <w:rPr>
            <w:noProof/>
            <w:webHidden/>
          </w:rPr>
        </w:r>
        <w:r>
          <w:rPr>
            <w:noProof/>
            <w:webHidden/>
          </w:rPr>
          <w:fldChar w:fldCharType="separate"/>
        </w:r>
        <w:r>
          <w:rPr>
            <w:noProof/>
            <w:webHidden/>
          </w:rPr>
          <w:t>1881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29" w:history="1">
        <w:r w:rsidRPr="00B80388">
          <w:rPr>
            <w:rStyle w:val="a5"/>
            <w:noProof/>
          </w:rPr>
          <w:t>Title: WKDD: 2009 Second International Workshop on Knowledge Discovery and Data Mining, Proceedings</w:t>
        </w:r>
        <w:r>
          <w:rPr>
            <w:noProof/>
            <w:webHidden/>
          </w:rPr>
          <w:tab/>
        </w:r>
        <w:r>
          <w:rPr>
            <w:noProof/>
            <w:webHidden/>
          </w:rPr>
          <w:fldChar w:fldCharType="begin"/>
        </w:r>
        <w:r>
          <w:rPr>
            <w:noProof/>
            <w:webHidden/>
          </w:rPr>
          <w:instrText xml:space="preserve"> PAGEREF _Toc317161429 \h </w:instrText>
        </w:r>
        <w:r>
          <w:rPr>
            <w:noProof/>
            <w:webHidden/>
          </w:rPr>
        </w:r>
        <w:r>
          <w:rPr>
            <w:noProof/>
            <w:webHidden/>
          </w:rPr>
          <w:fldChar w:fldCharType="separate"/>
        </w:r>
        <w:r>
          <w:rPr>
            <w:noProof/>
            <w:webHidden/>
          </w:rPr>
          <w:t>1882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0" w:history="1">
        <w:r w:rsidRPr="00B80388">
          <w:rPr>
            <w:rStyle w:val="a5"/>
            <w:noProof/>
          </w:rPr>
          <w:t>Title: Ionics</w:t>
        </w:r>
        <w:r>
          <w:rPr>
            <w:noProof/>
            <w:webHidden/>
          </w:rPr>
          <w:tab/>
        </w:r>
        <w:r>
          <w:rPr>
            <w:noProof/>
            <w:webHidden/>
          </w:rPr>
          <w:fldChar w:fldCharType="begin"/>
        </w:r>
        <w:r>
          <w:rPr>
            <w:noProof/>
            <w:webHidden/>
          </w:rPr>
          <w:instrText xml:space="preserve"> PAGEREF _Toc317161430 \h </w:instrText>
        </w:r>
        <w:r>
          <w:rPr>
            <w:noProof/>
            <w:webHidden/>
          </w:rPr>
        </w:r>
        <w:r>
          <w:rPr>
            <w:noProof/>
            <w:webHidden/>
          </w:rPr>
          <w:fldChar w:fldCharType="separate"/>
        </w:r>
        <w:r>
          <w:rPr>
            <w:noProof/>
            <w:webHidden/>
          </w:rPr>
          <w:t>1883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1" w:history="1">
        <w:r w:rsidRPr="00B80388">
          <w:rPr>
            <w:rStyle w:val="a5"/>
            <w:noProof/>
          </w:rPr>
          <w:t xml:space="preserve">Title: </w:t>
        </w:r>
        <w:r w:rsidRPr="00B80388">
          <w:rPr>
            <w:rStyle w:val="a5"/>
            <w:iCs/>
            <w:noProof/>
          </w:rPr>
          <w:t>Isokinetics and Exercise Science</w:t>
        </w:r>
        <w:r>
          <w:rPr>
            <w:noProof/>
            <w:webHidden/>
          </w:rPr>
          <w:tab/>
        </w:r>
        <w:r>
          <w:rPr>
            <w:noProof/>
            <w:webHidden/>
          </w:rPr>
          <w:fldChar w:fldCharType="begin"/>
        </w:r>
        <w:r>
          <w:rPr>
            <w:noProof/>
            <w:webHidden/>
          </w:rPr>
          <w:instrText xml:space="preserve"> PAGEREF _Toc317161431 \h </w:instrText>
        </w:r>
        <w:r>
          <w:rPr>
            <w:noProof/>
            <w:webHidden/>
          </w:rPr>
        </w:r>
        <w:r>
          <w:rPr>
            <w:noProof/>
            <w:webHidden/>
          </w:rPr>
          <w:fldChar w:fldCharType="separate"/>
        </w:r>
        <w:r>
          <w:rPr>
            <w:noProof/>
            <w:webHidden/>
          </w:rPr>
          <w:t>1885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2" w:history="1">
        <w:r w:rsidRPr="00B80388">
          <w:rPr>
            <w:rStyle w:val="a5"/>
            <w:noProof/>
          </w:rPr>
          <w:t>Title: Isotopenpraxis</w:t>
        </w:r>
        <w:r>
          <w:rPr>
            <w:noProof/>
            <w:webHidden/>
          </w:rPr>
          <w:tab/>
        </w:r>
        <w:r>
          <w:rPr>
            <w:noProof/>
            <w:webHidden/>
          </w:rPr>
          <w:fldChar w:fldCharType="begin"/>
        </w:r>
        <w:r>
          <w:rPr>
            <w:noProof/>
            <w:webHidden/>
          </w:rPr>
          <w:instrText xml:space="preserve"> PAGEREF _Toc317161432 \h </w:instrText>
        </w:r>
        <w:r>
          <w:rPr>
            <w:noProof/>
            <w:webHidden/>
          </w:rPr>
        </w:r>
        <w:r>
          <w:rPr>
            <w:noProof/>
            <w:webHidden/>
          </w:rPr>
          <w:fldChar w:fldCharType="separate"/>
        </w:r>
        <w:r>
          <w:rPr>
            <w:noProof/>
            <w:webHidden/>
          </w:rPr>
          <w:t>1886</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3" w:history="1">
        <w:r w:rsidRPr="00B80388">
          <w:rPr>
            <w:rStyle w:val="a5"/>
            <w:noProof/>
          </w:rPr>
          <w:t xml:space="preserve">Title: </w:t>
        </w:r>
        <w:r w:rsidRPr="00B80388">
          <w:rPr>
            <w:rStyle w:val="a5"/>
            <w:iCs/>
            <w:noProof/>
          </w:rPr>
          <w:t>Isotopes in Environmental and Health Studies</w:t>
        </w:r>
        <w:r>
          <w:rPr>
            <w:noProof/>
            <w:webHidden/>
          </w:rPr>
          <w:tab/>
        </w:r>
        <w:r>
          <w:rPr>
            <w:noProof/>
            <w:webHidden/>
          </w:rPr>
          <w:fldChar w:fldCharType="begin"/>
        </w:r>
        <w:r>
          <w:rPr>
            <w:noProof/>
            <w:webHidden/>
          </w:rPr>
          <w:instrText xml:space="preserve"> PAGEREF _Toc317161433 \h </w:instrText>
        </w:r>
        <w:r>
          <w:rPr>
            <w:noProof/>
            <w:webHidden/>
          </w:rPr>
        </w:r>
        <w:r>
          <w:rPr>
            <w:noProof/>
            <w:webHidden/>
          </w:rPr>
          <w:fldChar w:fldCharType="separate"/>
        </w:r>
        <w:r>
          <w:rPr>
            <w:noProof/>
            <w:webHidden/>
          </w:rPr>
          <w:t>1887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4" w:history="1">
        <w:r w:rsidRPr="00B80388">
          <w:rPr>
            <w:rStyle w:val="a5"/>
            <w:noProof/>
          </w:rPr>
          <w:t>Title: Israel Journal of Chemistry</w:t>
        </w:r>
        <w:r>
          <w:rPr>
            <w:noProof/>
            <w:webHidden/>
          </w:rPr>
          <w:tab/>
        </w:r>
        <w:r>
          <w:rPr>
            <w:noProof/>
            <w:webHidden/>
          </w:rPr>
          <w:fldChar w:fldCharType="begin"/>
        </w:r>
        <w:r>
          <w:rPr>
            <w:noProof/>
            <w:webHidden/>
          </w:rPr>
          <w:instrText xml:space="preserve"> PAGEREF _Toc317161434 \h </w:instrText>
        </w:r>
        <w:r>
          <w:rPr>
            <w:noProof/>
            <w:webHidden/>
          </w:rPr>
        </w:r>
        <w:r>
          <w:rPr>
            <w:noProof/>
            <w:webHidden/>
          </w:rPr>
          <w:fldChar w:fldCharType="separate"/>
        </w:r>
        <w:r>
          <w:rPr>
            <w:noProof/>
            <w:webHidden/>
          </w:rPr>
          <w:t>1888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5" w:history="1">
        <w:r w:rsidRPr="00B80388">
          <w:rPr>
            <w:rStyle w:val="a5"/>
            <w:noProof/>
          </w:rPr>
          <w:t>Title: Israel Journal of Medical Sciences</w:t>
        </w:r>
        <w:r>
          <w:rPr>
            <w:noProof/>
            <w:webHidden/>
          </w:rPr>
          <w:tab/>
        </w:r>
        <w:r>
          <w:rPr>
            <w:noProof/>
            <w:webHidden/>
          </w:rPr>
          <w:fldChar w:fldCharType="begin"/>
        </w:r>
        <w:r>
          <w:rPr>
            <w:noProof/>
            <w:webHidden/>
          </w:rPr>
          <w:instrText xml:space="preserve"> PAGEREF _Toc317161435 \h </w:instrText>
        </w:r>
        <w:r>
          <w:rPr>
            <w:noProof/>
            <w:webHidden/>
          </w:rPr>
        </w:r>
        <w:r>
          <w:rPr>
            <w:noProof/>
            <w:webHidden/>
          </w:rPr>
          <w:fldChar w:fldCharType="separate"/>
        </w:r>
        <w:r>
          <w:rPr>
            <w:noProof/>
            <w:webHidden/>
          </w:rPr>
          <w:t>1889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6" w:history="1">
        <w:r w:rsidRPr="00B80388">
          <w:rPr>
            <w:rStyle w:val="a5"/>
            <w:noProof/>
          </w:rPr>
          <w:t>Title: ISRN Chemical Engineering</w:t>
        </w:r>
        <w:r>
          <w:rPr>
            <w:noProof/>
            <w:webHidden/>
          </w:rPr>
          <w:tab/>
        </w:r>
        <w:r>
          <w:rPr>
            <w:noProof/>
            <w:webHidden/>
          </w:rPr>
          <w:fldChar w:fldCharType="begin"/>
        </w:r>
        <w:r>
          <w:rPr>
            <w:noProof/>
            <w:webHidden/>
          </w:rPr>
          <w:instrText xml:space="preserve"> PAGEREF _Toc317161436 \h </w:instrText>
        </w:r>
        <w:r>
          <w:rPr>
            <w:noProof/>
            <w:webHidden/>
          </w:rPr>
        </w:r>
        <w:r>
          <w:rPr>
            <w:noProof/>
            <w:webHidden/>
          </w:rPr>
          <w:fldChar w:fldCharType="separate"/>
        </w:r>
        <w:r>
          <w:rPr>
            <w:noProof/>
            <w:webHidden/>
          </w:rPr>
          <w:t>1893</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7" w:history="1">
        <w:r w:rsidRPr="00B80388">
          <w:rPr>
            <w:rStyle w:val="a5"/>
            <w:noProof/>
          </w:rPr>
          <w:t>Title: Issues &amp; Studies</w:t>
        </w:r>
        <w:r>
          <w:rPr>
            <w:noProof/>
            <w:webHidden/>
          </w:rPr>
          <w:tab/>
        </w:r>
        <w:r>
          <w:rPr>
            <w:noProof/>
            <w:webHidden/>
          </w:rPr>
          <w:fldChar w:fldCharType="begin"/>
        </w:r>
        <w:r>
          <w:rPr>
            <w:noProof/>
            <w:webHidden/>
          </w:rPr>
          <w:instrText xml:space="preserve"> PAGEREF _Toc317161437 \h </w:instrText>
        </w:r>
        <w:r>
          <w:rPr>
            <w:noProof/>
            <w:webHidden/>
          </w:rPr>
        </w:r>
        <w:r>
          <w:rPr>
            <w:noProof/>
            <w:webHidden/>
          </w:rPr>
          <w:fldChar w:fldCharType="separate"/>
        </w:r>
        <w:r>
          <w:rPr>
            <w:noProof/>
            <w:webHidden/>
          </w:rPr>
          <w:t>1894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8" w:history="1">
        <w:r w:rsidRPr="00B80388">
          <w:rPr>
            <w:rStyle w:val="a5"/>
            <w:noProof/>
          </w:rPr>
          <w:t xml:space="preserve">Title: </w:t>
        </w:r>
        <w:r w:rsidRPr="00B80388">
          <w:rPr>
            <w:rStyle w:val="a5"/>
            <w:iCs/>
            <w:noProof/>
          </w:rPr>
          <w:t>Italian Journal of Animal Science</w:t>
        </w:r>
        <w:r>
          <w:rPr>
            <w:noProof/>
            <w:webHidden/>
          </w:rPr>
          <w:tab/>
        </w:r>
        <w:r>
          <w:rPr>
            <w:noProof/>
            <w:webHidden/>
          </w:rPr>
          <w:fldChar w:fldCharType="begin"/>
        </w:r>
        <w:r>
          <w:rPr>
            <w:noProof/>
            <w:webHidden/>
          </w:rPr>
          <w:instrText xml:space="preserve"> PAGEREF _Toc317161438 \h </w:instrText>
        </w:r>
        <w:r>
          <w:rPr>
            <w:noProof/>
            <w:webHidden/>
          </w:rPr>
        </w:r>
        <w:r>
          <w:rPr>
            <w:noProof/>
            <w:webHidden/>
          </w:rPr>
          <w:fldChar w:fldCharType="separate"/>
        </w:r>
        <w:r>
          <w:rPr>
            <w:noProof/>
            <w:webHidden/>
          </w:rPr>
          <w:t>1895</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39" w:history="1">
        <w:r w:rsidRPr="00B80388">
          <w:rPr>
            <w:rStyle w:val="a5"/>
            <w:noProof/>
          </w:rPr>
          <w:t>Title: Italian Journal of Neurological Sciences</w:t>
        </w:r>
        <w:r>
          <w:rPr>
            <w:noProof/>
            <w:webHidden/>
          </w:rPr>
          <w:tab/>
        </w:r>
        <w:r>
          <w:rPr>
            <w:noProof/>
            <w:webHidden/>
          </w:rPr>
          <w:fldChar w:fldCharType="begin"/>
        </w:r>
        <w:r>
          <w:rPr>
            <w:noProof/>
            <w:webHidden/>
          </w:rPr>
          <w:instrText xml:space="preserve"> PAGEREF _Toc317161439 \h </w:instrText>
        </w:r>
        <w:r>
          <w:rPr>
            <w:noProof/>
            <w:webHidden/>
          </w:rPr>
        </w:r>
        <w:r>
          <w:rPr>
            <w:noProof/>
            <w:webHidden/>
          </w:rPr>
          <w:fldChar w:fldCharType="separate"/>
        </w:r>
        <w:r>
          <w:rPr>
            <w:noProof/>
            <w:webHidden/>
          </w:rPr>
          <w:t>1897</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0" w:history="1">
        <w:r w:rsidRPr="00B80388">
          <w:rPr>
            <w:rStyle w:val="a5"/>
            <w:noProof/>
          </w:rPr>
          <w:t xml:space="preserve">Title: </w:t>
        </w:r>
        <w:r w:rsidRPr="00B80388">
          <w:rPr>
            <w:rStyle w:val="a5"/>
            <w:iCs/>
            <w:noProof/>
          </w:rPr>
          <w:t>Italian Studies</w:t>
        </w:r>
        <w:r>
          <w:rPr>
            <w:noProof/>
            <w:webHidden/>
          </w:rPr>
          <w:tab/>
        </w:r>
        <w:r>
          <w:rPr>
            <w:noProof/>
            <w:webHidden/>
          </w:rPr>
          <w:fldChar w:fldCharType="begin"/>
        </w:r>
        <w:r>
          <w:rPr>
            <w:noProof/>
            <w:webHidden/>
          </w:rPr>
          <w:instrText xml:space="preserve"> PAGEREF _Toc317161440 \h </w:instrText>
        </w:r>
        <w:r>
          <w:rPr>
            <w:noProof/>
            <w:webHidden/>
          </w:rPr>
        </w:r>
        <w:r>
          <w:rPr>
            <w:noProof/>
            <w:webHidden/>
          </w:rPr>
          <w:fldChar w:fldCharType="separate"/>
        </w:r>
        <w:r>
          <w:rPr>
            <w:noProof/>
            <w:webHidden/>
          </w:rPr>
          <w:t>1898</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1" w:history="1">
        <w:r w:rsidRPr="00B80388">
          <w:rPr>
            <w:rStyle w:val="a5"/>
            <w:noProof/>
          </w:rPr>
          <w:t>Title: ITT Research Institute Report</w:t>
        </w:r>
        <w:r>
          <w:rPr>
            <w:noProof/>
            <w:webHidden/>
          </w:rPr>
          <w:tab/>
        </w:r>
        <w:r>
          <w:rPr>
            <w:noProof/>
            <w:webHidden/>
          </w:rPr>
          <w:fldChar w:fldCharType="begin"/>
        </w:r>
        <w:r>
          <w:rPr>
            <w:noProof/>
            <w:webHidden/>
          </w:rPr>
          <w:instrText xml:space="preserve"> PAGEREF _Toc317161441 \h </w:instrText>
        </w:r>
        <w:r>
          <w:rPr>
            <w:noProof/>
            <w:webHidden/>
          </w:rPr>
        </w:r>
        <w:r>
          <w:rPr>
            <w:noProof/>
            <w:webHidden/>
          </w:rPr>
          <w:fldChar w:fldCharType="separate"/>
        </w:r>
        <w:r>
          <w:rPr>
            <w:noProof/>
            <w:webHidden/>
          </w:rPr>
          <w:t>1899</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2" w:history="1">
        <w:r w:rsidRPr="00B80388">
          <w:rPr>
            <w:rStyle w:val="a5"/>
            <w:noProof/>
          </w:rPr>
          <w:t>Title: Izvestiya Akademii Nauk Fizika Atmosfery I Okeana</w:t>
        </w:r>
        <w:r>
          <w:rPr>
            <w:noProof/>
            <w:webHidden/>
          </w:rPr>
          <w:tab/>
        </w:r>
        <w:r>
          <w:rPr>
            <w:noProof/>
            <w:webHidden/>
          </w:rPr>
          <w:fldChar w:fldCharType="begin"/>
        </w:r>
        <w:r>
          <w:rPr>
            <w:noProof/>
            <w:webHidden/>
          </w:rPr>
          <w:instrText xml:space="preserve"> PAGEREF _Toc317161442 \h </w:instrText>
        </w:r>
        <w:r>
          <w:rPr>
            <w:noProof/>
            <w:webHidden/>
          </w:rPr>
        </w:r>
        <w:r>
          <w:rPr>
            <w:noProof/>
            <w:webHidden/>
          </w:rPr>
          <w:fldChar w:fldCharType="separate"/>
        </w:r>
        <w:r>
          <w:rPr>
            <w:noProof/>
            <w:webHidden/>
          </w:rPr>
          <w:t>1900</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3" w:history="1">
        <w:r w:rsidRPr="00B80388">
          <w:rPr>
            <w:rStyle w:val="a5"/>
            <w:noProof/>
            <w:lang w:val="de-DE"/>
          </w:rPr>
          <w:t>Title: Izvestiya Akademii Nauk SSSR</w:t>
        </w:r>
        <w:r>
          <w:rPr>
            <w:noProof/>
            <w:webHidden/>
          </w:rPr>
          <w:tab/>
        </w:r>
        <w:r>
          <w:rPr>
            <w:noProof/>
            <w:webHidden/>
          </w:rPr>
          <w:fldChar w:fldCharType="begin"/>
        </w:r>
        <w:r>
          <w:rPr>
            <w:noProof/>
            <w:webHidden/>
          </w:rPr>
          <w:instrText xml:space="preserve"> PAGEREF _Toc317161443 \h </w:instrText>
        </w:r>
        <w:r>
          <w:rPr>
            <w:noProof/>
            <w:webHidden/>
          </w:rPr>
        </w:r>
        <w:r>
          <w:rPr>
            <w:noProof/>
            <w:webHidden/>
          </w:rPr>
          <w:fldChar w:fldCharType="separate"/>
        </w:r>
        <w:r>
          <w:rPr>
            <w:noProof/>
            <w:webHidden/>
          </w:rPr>
          <w:t>1901</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4" w:history="1">
        <w:r w:rsidRPr="00B80388">
          <w:rPr>
            <w:rStyle w:val="a5"/>
            <w:noProof/>
          </w:rPr>
          <w:t>Title: Izvestiya Akademii Nauk SSSR-Seriya Khimicheskaya</w:t>
        </w:r>
        <w:r>
          <w:rPr>
            <w:noProof/>
            <w:webHidden/>
          </w:rPr>
          <w:tab/>
        </w:r>
        <w:r>
          <w:rPr>
            <w:noProof/>
            <w:webHidden/>
          </w:rPr>
          <w:fldChar w:fldCharType="begin"/>
        </w:r>
        <w:r>
          <w:rPr>
            <w:noProof/>
            <w:webHidden/>
          </w:rPr>
          <w:instrText xml:space="preserve"> PAGEREF _Toc317161444 \h </w:instrText>
        </w:r>
        <w:r>
          <w:rPr>
            <w:noProof/>
            <w:webHidden/>
          </w:rPr>
        </w:r>
        <w:r>
          <w:rPr>
            <w:noProof/>
            <w:webHidden/>
          </w:rPr>
          <w:fldChar w:fldCharType="separate"/>
        </w:r>
        <w:r>
          <w:rPr>
            <w:noProof/>
            <w:webHidden/>
          </w:rPr>
          <w:t>1902</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5" w:history="1">
        <w:r w:rsidRPr="00B80388">
          <w:rPr>
            <w:rStyle w:val="a5"/>
            <w:noProof/>
          </w:rPr>
          <w:t>Title: Izvestiya Vysshikh Uchebnykh Zavedenii Fizika</w:t>
        </w:r>
        <w:r>
          <w:rPr>
            <w:noProof/>
            <w:webHidden/>
          </w:rPr>
          <w:tab/>
        </w:r>
        <w:r>
          <w:rPr>
            <w:noProof/>
            <w:webHidden/>
          </w:rPr>
          <w:fldChar w:fldCharType="begin"/>
        </w:r>
        <w:r>
          <w:rPr>
            <w:noProof/>
            <w:webHidden/>
          </w:rPr>
          <w:instrText xml:space="preserve"> PAGEREF _Toc317161445 \h </w:instrText>
        </w:r>
        <w:r>
          <w:rPr>
            <w:noProof/>
            <w:webHidden/>
          </w:rPr>
        </w:r>
        <w:r>
          <w:rPr>
            <w:noProof/>
            <w:webHidden/>
          </w:rPr>
          <w:fldChar w:fldCharType="separate"/>
        </w:r>
        <w:r>
          <w:rPr>
            <w:noProof/>
            <w:webHidden/>
          </w:rPr>
          <w:t>1904</w:t>
        </w:r>
        <w:r>
          <w:rPr>
            <w:noProof/>
            <w:webHidden/>
          </w:rPr>
          <w:fldChar w:fldCharType="end"/>
        </w:r>
      </w:hyperlink>
    </w:p>
    <w:p w:rsidR="00C82CAD" w:rsidRDefault="00C82CAD">
      <w:pPr>
        <w:pStyle w:val="11"/>
        <w:tabs>
          <w:tab w:val="right" w:leader="dot" w:pos="8493"/>
        </w:tabs>
        <w:rPr>
          <w:rFonts w:asciiTheme="minorHAnsi" w:eastAsiaTheme="minorEastAsia" w:hAnsiTheme="minorHAnsi" w:cstheme="minorBidi"/>
          <w:noProof/>
          <w:szCs w:val="22"/>
        </w:rPr>
      </w:pPr>
      <w:hyperlink w:anchor="_Toc317161446" w:history="1">
        <w:r w:rsidRPr="00B80388">
          <w:rPr>
            <w:rStyle w:val="a5"/>
            <w:noProof/>
          </w:rPr>
          <w:t>Title: Izvestiya Vysshikh Uchebnykh Zavedenii Khimiya I Khimicheskaya Tekhnologiya</w:t>
        </w:r>
        <w:r>
          <w:rPr>
            <w:noProof/>
            <w:webHidden/>
          </w:rPr>
          <w:tab/>
        </w:r>
        <w:r>
          <w:rPr>
            <w:noProof/>
            <w:webHidden/>
          </w:rPr>
          <w:fldChar w:fldCharType="begin"/>
        </w:r>
        <w:r>
          <w:rPr>
            <w:noProof/>
            <w:webHidden/>
          </w:rPr>
          <w:instrText xml:space="preserve"> PAGEREF _Toc317161446 \h </w:instrText>
        </w:r>
        <w:r>
          <w:rPr>
            <w:noProof/>
            <w:webHidden/>
          </w:rPr>
        </w:r>
        <w:r>
          <w:rPr>
            <w:noProof/>
            <w:webHidden/>
          </w:rPr>
          <w:fldChar w:fldCharType="separate"/>
        </w:r>
        <w:r>
          <w:rPr>
            <w:noProof/>
            <w:webHidden/>
          </w:rPr>
          <w:t>1905</w:t>
        </w:r>
        <w:r>
          <w:rPr>
            <w:noProof/>
            <w:webHidden/>
          </w:rPr>
          <w:fldChar w:fldCharType="end"/>
        </w:r>
      </w:hyperlink>
    </w:p>
    <w:p w:rsidR="0094155E" w:rsidRPr="00A428C3" w:rsidRDefault="00C82CAD" w:rsidP="006C7E86">
      <w:pPr>
        <w:pStyle w:val="a0"/>
        <w:sectPr w:rsidR="0094155E" w:rsidRPr="00A428C3">
          <w:headerReference w:type="even" r:id="rId13"/>
          <w:footerReference w:type="default" r:id="rId14"/>
          <w:type w:val="oddPage"/>
          <w:pgSz w:w="11906" w:h="16838" w:code="9"/>
          <w:pgMar w:top="1418" w:right="1418" w:bottom="1418" w:left="1418" w:header="851" w:footer="992" w:gutter="567"/>
          <w:pgNumType w:start="1"/>
          <w:cols w:space="425"/>
          <w:docGrid w:type="lines" w:linePitch="360"/>
        </w:sectPr>
      </w:pPr>
      <w:r>
        <w:rPr>
          <w:kern w:val="2"/>
        </w:rPr>
        <w:fldChar w:fldCharType="end"/>
      </w:r>
    </w:p>
    <w:p w:rsidR="00B95188" w:rsidRPr="00A428C3" w:rsidRDefault="00B95188" w:rsidP="00B95188">
      <w:pPr>
        <w:pStyle w:val="1"/>
      </w:pPr>
      <w:bookmarkStart w:id="3" w:name="_Toc186647652"/>
      <w:bookmarkStart w:id="4" w:name="_Toc108758517"/>
      <w:bookmarkStart w:id="5" w:name="_Toc487190665"/>
      <w:bookmarkStart w:id="6" w:name="_Toc487882168"/>
      <w:bookmarkStart w:id="7" w:name="_Toc317160806"/>
      <w:bookmarkEnd w:id="0"/>
      <w:bookmarkEnd w:id="1"/>
      <w:bookmarkEnd w:id="2"/>
      <w:r w:rsidRPr="00A428C3">
        <w:lastRenderedPageBreak/>
        <w:t>Title: Family Business Review</w:t>
      </w:r>
      <w:bookmarkEnd w:id="3"/>
      <w:bookmarkEnd w:id="7"/>
    </w:p>
    <w:p w:rsidR="00B95188" w:rsidRPr="00A428C3" w:rsidRDefault="00B95188" w:rsidP="00B72EF9">
      <w:pPr>
        <w:pStyle w:val="12"/>
      </w:pPr>
      <w:r w:rsidRPr="00A428C3">
        <w:t xml:space="preserve">Full Journal Title: </w:t>
      </w:r>
      <w:hyperlink r:id="rId15" w:history="1">
        <w:r w:rsidRPr="00A428C3">
          <w:rPr>
            <w:rStyle w:val="a5"/>
            <w:iCs/>
          </w:rPr>
          <w:t>Family Business Review</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0894-4865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Casillas, J.</w:t>
      </w:r>
      <w:r w:rsidR="00F81221">
        <w:t xml:space="preserve"> and </w:t>
      </w:r>
      <w:r w:rsidRPr="00A428C3">
        <w:t xml:space="preserve">Acedo, F. (2007), Evolution of the intellectual structure of family business literature: A bibliometric study of FBR. </w:t>
      </w:r>
      <w:r w:rsidRPr="00A428C3">
        <w:rPr>
          <w:i/>
          <w:iCs/>
        </w:rPr>
        <w:t>Family Business Review</w:t>
      </w:r>
      <w:r w:rsidRPr="00A428C3">
        <w:t xml:space="preserve">, </w:t>
      </w:r>
      <w:r w:rsidRPr="00A428C3">
        <w:rPr>
          <w:b/>
        </w:rPr>
        <w:t>20</w:t>
      </w:r>
      <w:r w:rsidRPr="00A428C3">
        <w:t xml:space="preserve"> (2), 141-162.</w:t>
      </w:r>
    </w:p>
    <w:p w:rsidR="00C8510D" w:rsidRPr="003862C4" w:rsidRDefault="00C8510D" w:rsidP="00C8510D">
      <w:pPr>
        <w:pStyle w:val="a0"/>
      </w:pPr>
      <w:r w:rsidRPr="003862C4">
        <w:rPr>
          <w:rFonts w:hint="eastAsia"/>
        </w:rPr>
        <w:t xml:space="preserve">Full Text: </w:t>
      </w:r>
      <w:hyperlink r:id="rId16" w:history="1">
        <w:r w:rsidRPr="00F866DC">
          <w:rPr>
            <w:rStyle w:val="a5"/>
          </w:rPr>
          <w:t>2007\Fam Bus Rev20, 141.pdf</w:t>
        </w:r>
      </w:hyperlink>
    </w:p>
    <w:p w:rsidR="00B95188" w:rsidRPr="00A428C3" w:rsidRDefault="00B95188" w:rsidP="00B95188">
      <w:pPr>
        <w:pStyle w:val="a0"/>
      </w:pPr>
      <w:r w:rsidRPr="00A428C3">
        <w:t>Abstract: This article aims at identifying the characteristics of the family business as a differentiated field within management. For that aim, we use author co-citation analysis (ACA) to identify different research trends within the field, studying all the papers published in the Family Business Review from its foundation in 1988 through to the December 2005 issue. Results show that despite the literature being fragmented</w:t>
      </w:r>
      <w:r w:rsidR="00F81221">
        <w:t xml:space="preserve"> and </w:t>
      </w:r>
      <w:r w:rsidRPr="00A428C3">
        <w:t>showing a lack of consensus, we are facing, in Kuhn</w:t>
      </w:r>
      <w:r w:rsidR="000352E7">
        <w:t>’</w:t>
      </w:r>
      <w:r w:rsidRPr="00A428C3">
        <w:t>s words, a development of the research frontier by enlarging the number of approaches used for understanding the family business.</w:t>
      </w:r>
    </w:p>
    <w:p w:rsidR="00B95188" w:rsidRPr="00A428C3" w:rsidRDefault="00B95188" w:rsidP="00B95188">
      <w:pPr>
        <w:pStyle w:val="a0"/>
      </w:pPr>
      <w:r w:rsidRPr="00A428C3">
        <w:t>Keywords: Analysis, Author Cocitation Analysis, Bibliometric, Bibliometric Study, Characteristics, Co-Citation, Co-Citation Analysis, Cocitation, Consensus, Development, Family, Firms, Intellectual Structure, Limitations, Management, Paradigms, Policy, Research, Research Trends, Science, Structure, Systems, Trends</w:t>
      </w:r>
    </w:p>
    <w:p w:rsidR="00B95188" w:rsidRPr="00A428C3" w:rsidRDefault="00B95188" w:rsidP="00B95188">
      <w:pPr>
        <w:pStyle w:val="1"/>
      </w:pPr>
      <w:r w:rsidRPr="00A428C3">
        <w:br w:type="page"/>
      </w:r>
      <w:bookmarkStart w:id="8" w:name="_Toc186647653"/>
      <w:bookmarkStart w:id="9" w:name="_Toc317160807"/>
      <w:r w:rsidRPr="00A428C3">
        <w:lastRenderedPageBreak/>
        <w:t>Title: Family Medicine</w:t>
      </w:r>
      <w:bookmarkEnd w:id="4"/>
      <w:bookmarkEnd w:id="8"/>
      <w:bookmarkEnd w:id="9"/>
    </w:p>
    <w:p w:rsidR="00B95188" w:rsidRPr="00A428C3" w:rsidRDefault="00B95188" w:rsidP="00B72EF9">
      <w:pPr>
        <w:pStyle w:val="12"/>
      </w:pPr>
      <w:r w:rsidRPr="00A428C3">
        <w:t>Full Journal Title: Family Medicine</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0742-3225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Merenstein, J., Rao, G.</w:t>
      </w:r>
      <w:r w:rsidR="00F81221">
        <w:t xml:space="preserve"> and </w:t>
      </w:r>
      <w:r w:rsidRPr="00A428C3">
        <w:t>D</w:t>
      </w:r>
      <w:r w:rsidR="000352E7">
        <w:t>’</w:t>
      </w:r>
      <w:r w:rsidRPr="00A428C3">
        <w:t>Amico, F. (2003), Clinical research in family medicine: Quantity</w:t>
      </w:r>
      <w:r w:rsidR="00F81221">
        <w:t xml:space="preserve"> and </w:t>
      </w:r>
      <w:r w:rsidRPr="00A428C3">
        <w:t xml:space="preserve">quality of published articles. </w:t>
      </w:r>
      <w:r w:rsidRPr="00A428C3">
        <w:rPr>
          <w:i/>
          <w:iCs/>
        </w:rPr>
        <w:t>Family Medicine</w:t>
      </w:r>
      <w:r w:rsidRPr="00A428C3">
        <w:t xml:space="preserve">, </w:t>
      </w:r>
      <w:r w:rsidRPr="00A428C3">
        <w:rPr>
          <w:b/>
        </w:rPr>
        <w:t>35</w:t>
      </w:r>
      <w:r w:rsidRPr="00A428C3">
        <w:t xml:space="preserve"> (4), 284-288.</w:t>
      </w:r>
    </w:p>
    <w:p w:rsidR="00B95188" w:rsidRPr="00A428C3" w:rsidRDefault="00B95188" w:rsidP="00B95188">
      <w:pPr>
        <w:pStyle w:val="a0"/>
      </w:pPr>
      <w:r w:rsidRPr="00A428C3">
        <w:t>Abstract: Background</w:t>
      </w:r>
      <w:r w:rsidR="00F81221">
        <w:t xml:space="preserve"> and </w:t>
      </w:r>
      <w:r w:rsidRPr="00A428C3">
        <w:t>Objective: Publication of clinical research in peer-reviewed journals is an important measure of scholarly productivity. This study determined the quantity</w:t>
      </w:r>
      <w:r w:rsidR="00F81221">
        <w:t xml:space="preserve"> and </w:t>
      </w:r>
      <w:r w:rsidRPr="00A428C3">
        <w:t xml:space="preserve">quality of original clinical research published by family physicians. Methods: We surveyed clinical research papers published in the year </w:t>
      </w:r>
      <w:smartTag w:uri="urn:schemas-microsoft-com:office:smarttags" w:element="chmetcnv">
        <w:smartTagPr>
          <w:attr w:name="TCSC" w:val="0"/>
          <w:attr w:name="NumberType" w:val="1"/>
          <w:attr w:name="Negative" w:val="False"/>
          <w:attr w:name="HasSpace" w:val="True"/>
          <w:attr w:name="SourceValue" w:val="2000"/>
          <w:attr w:name="UnitName" w:val="in"/>
        </w:smartTagPr>
        <w:r w:rsidRPr="00A428C3">
          <w:t>2000 in</w:t>
        </w:r>
      </w:smartTag>
      <w:r w:rsidRPr="00A428C3">
        <w:t xml:space="preserve"> four leading family medicine research journals</w:t>
      </w:r>
      <w:r w:rsidR="00F81221">
        <w:t xml:space="preserve"> and </w:t>
      </w:r>
      <w:r w:rsidRPr="00A428C3">
        <w:t>research originating in a family practice institution but published in 16 non-family medicine journals. All were selected on the basis of relevance to family physicians</w:t>
      </w:r>
      <w:r w:rsidR="00F81221">
        <w:t xml:space="preserve"> and </w:t>
      </w:r>
      <w:r w:rsidR="000352E7">
        <w:t>“</w:t>
      </w:r>
      <w:r w:rsidRPr="00A428C3">
        <w:t>impact factor.</w:t>
      </w:r>
      <w:r w:rsidR="000352E7">
        <w:t>”</w:t>
      </w:r>
      <w:r w:rsidRPr="00A428C3">
        <w:t xml:space="preserve"> The relevance</w:t>
      </w:r>
      <w:r w:rsidR="00F81221">
        <w:t xml:space="preserve"> and </w:t>
      </w:r>
      <w:r w:rsidRPr="00A428C3">
        <w:t>validity of papers was assessed using previously established criteria. Results: The survey of family medicine journals revealed a total of 170 original research articles. Ninety eight were from academic family practice programs,</w:t>
      </w:r>
      <w:r w:rsidR="00F81221">
        <w:t xml:space="preserve"> and </w:t>
      </w:r>
      <w:r w:rsidRPr="00A428C3">
        <w:t>the remaining 72 were from other medical specialities or health care institutions. Most of the papers were cross-sectional surveys. There were seven qualitative studies, six randomized controlled trials,</w:t>
      </w:r>
      <w:r w:rsidR="00F81221">
        <w:t xml:space="preserve"> and </w:t>
      </w:r>
      <w:r w:rsidRPr="00A428C3">
        <w:t>no systematic reviews from family practice programs in these journals. Eight of the articles were from practice-based research networks. A total of 79 articles were considered relevant or highly relevant,</w:t>
      </w:r>
      <w:r w:rsidR="00F81221">
        <w:t xml:space="preserve"> and </w:t>
      </w:r>
      <w:r w:rsidRPr="00A428C3">
        <w:t>22 of these were also considered valid (Patient-oriented Evidence That Matters or POEMs). The survey of 16 non-family medicine journals revealed 37 clinical research papers: 16 surveys, nine prospective cohort studies, seven randomized controlled trials, three systematic reviews/meta-analysis, one qualitative study,</w:t>
      </w:r>
      <w:r w:rsidR="00F81221">
        <w:t xml:space="preserve"> and </w:t>
      </w:r>
      <w:r w:rsidRPr="00A428C3">
        <w:t xml:space="preserve">one case-control study. There were nine </w:t>
      </w:r>
      <w:r w:rsidR="000352E7">
        <w:t>“</w:t>
      </w:r>
      <w:r w:rsidRPr="00A428C3">
        <w:t>highly relevant</w:t>
      </w:r>
      <w:r w:rsidR="000352E7">
        <w:t>”</w:t>
      </w:r>
      <w:r w:rsidRPr="00A428C3">
        <w:t xml:space="preserve"> papers-seven could be classified as POEMs. Conclusions: Most clinical family medicine research uses less-rigorous study designs, such as the cross-sectional survey. The majority of papers do not meet established criteria for relevance</w:t>
      </w:r>
      <w:r w:rsidR="00F81221">
        <w:t xml:space="preserve"> and </w:t>
      </w:r>
      <w:r w:rsidRPr="00A428C3">
        <w:t xml:space="preserve">validity. There are no </w:t>
      </w:r>
      <w:r w:rsidRPr="00A428C3">
        <w:lastRenderedPageBreak/>
        <w:t>standards or comparable studies to compare these results to prior years or to other disciplines.</w:t>
      </w:r>
    </w:p>
    <w:p w:rsidR="00B95188" w:rsidRPr="00A428C3" w:rsidRDefault="00B95188" w:rsidP="00B95188">
      <w:pPr>
        <w:pStyle w:val="a0"/>
      </w:pPr>
      <w:r w:rsidRPr="00A428C3">
        <w:t>Keywords: Institutions</w:t>
      </w:r>
    </w:p>
    <w:p w:rsidR="00BE3923" w:rsidRPr="00217FB1" w:rsidRDefault="00BE3923" w:rsidP="00BE3923">
      <w:pPr>
        <w:pStyle w:val="1"/>
      </w:pPr>
      <w:r>
        <w:br w:type="page"/>
      </w:r>
      <w:bookmarkStart w:id="10" w:name="_Toc317160808"/>
      <w:r w:rsidRPr="00217FB1">
        <w:lastRenderedPageBreak/>
        <w:t xml:space="preserve">Title: </w:t>
      </w:r>
      <w:r w:rsidRPr="00F65486">
        <w:rPr>
          <w:iCs/>
        </w:rPr>
        <w:t>Family Practice</w:t>
      </w:r>
      <w:bookmarkEnd w:id="10"/>
    </w:p>
    <w:p w:rsidR="00BE3923" w:rsidRPr="00F82F1B" w:rsidRDefault="00BE3923" w:rsidP="00B72EF9">
      <w:pPr>
        <w:pStyle w:val="12"/>
      </w:pPr>
      <w:r w:rsidRPr="00F82F1B">
        <w:t>Ful</w:t>
      </w:r>
      <w:r>
        <w:t>l Journal Title:</w:t>
      </w:r>
      <w:r>
        <w:rPr>
          <w:rFonts w:hint="eastAsia"/>
        </w:rPr>
        <w:t xml:space="preserve"> </w:t>
      </w:r>
      <w:r w:rsidRPr="00F65486">
        <w:rPr>
          <w:iCs/>
        </w:rPr>
        <w:t>Family Practice</w:t>
      </w:r>
    </w:p>
    <w:p w:rsidR="00BE3923" w:rsidRPr="00F82F1B" w:rsidRDefault="00BE3923" w:rsidP="00B72EF9">
      <w:pPr>
        <w:pStyle w:val="12"/>
      </w:pPr>
      <w:r w:rsidRPr="00F82F1B">
        <w:t xml:space="preserve">ISO Abbreviated Title: </w:t>
      </w:r>
    </w:p>
    <w:p w:rsidR="00BE3923" w:rsidRPr="00F82F1B" w:rsidRDefault="00BE3923" w:rsidP="00B72EF9">
      <w:pPr>
        <w:pStyle w:val="12"/>
      </w:pPr>
      <w:r w:rsidRPr="00F82F1B">
        <w:t>JCR Abbreviated Title</w:t>
      </w:r>
      <w:r>
        <w:t>:</w:t>
      </w:r>
      <w:r w:rsidRPr="00F82F1B">
        <w:t xml:space="preserve"> </w:t>
      </w:r>
    </w:p>
    <w:p w:rsidR="00BE3923" w:rsidRPr="00F82F1B" w:rsidRDefault="00BE3923" w:rsidP="00B72EF9">
      <w:pPr>
        <w:pStyle w:val="12"/>
      </w:pPr>
      <w:r>
        <w:t xml:space="preserve">ISSN: </w:t>
      </w:r>
    </w:p>
    <w:p w:rsidR="00BE3923" w:rsidRPr="00F82F1B" w:rsidRDefault="00BE3923" w:rsidP="00B72EF9">
      <w:pPr>
        <w:pStyle w:val="12"/>
      </w:pPr>
      <w:r w:rsidRPr="00F82F1B">
        <w:t xml:space="preserve">Issues/Year: </w:t>
      </w:r>
    </w:p>
    <w:p w:rsidR="00BE3923" w:rsidRPr="00F82F1B" w:rsidRDefault="00BE3923" w:rsidP="00B72EF9">
      <w:pPr>
        <w:pStyle w:val="12"/>
      </w:pPr>
      <w:r>
        <w:t xml:space="preserve">Journal Country/Territory: </w:t>
      </w:r>
    </w:p>
    <w:p w:rsidR="00BE3923" w:rsidRPr="00F82F1B" w:rsidRDefault="00BE3923" w:rsidP="00B72EF9">
      <w:pPr>
        <w:pStyle w:val="12"/>
      </w:pPr>
      <w:r w:rsidRPr="00F82F1B">
        <w:t xml:space="preserve">Language: </w:t>
      </w:r>
    </w:p>
    <w:p w:rsidR="00BE3923" w:rsidRPr="00F82F1B" w:rsidRDefault="00BE3923" w:rsidP="00B72EF9">
      <w:pPr>
        <w:pStyle w:val="12"/>
      </w:pPr>
      <w:r w:rsidRPr="00F82F1B">
        <w:t xml:space="preserve">Publisher: </w:t>
      </w:r>
    </w:p>
    <w:p w:rsidR="00BE3923" w:rsidRPr="00F82F1B" w:rsidRDefault="00BE3923" w:rsidP="00B72EF9">
      <w:pPr>
        <w:pStyle w:val="12"/>
      </w:pPr>
      <w:r w:rsidRPr="00F82F1B">
        <w:t xml:space="preserve">Publisher Address: </w:t>
      </w:r>
    </w:p>
    <w:p w:rsidR="00BE3923" w:rsidRPr="00F82F1B" w:rsidRDefault="00BE3923" w:rsidP="00B72EF9">
      <w:pPr>
        <w:pStyle w:val="12"/>
      </w:pPr>
      <w:r w:rsidRPr="00F82F1B">
        <w:t>Subject Categories:</w:t>
      </w:r>
    </w:p>
    <w:p w:rsidR="00BE3923" w:rsidRPr="00F82F1B" w:rsidRDefault="00BE3923" w:rsidP="00B72EF9">
      <w:pPr>
        <w:pStyle w:val="12"/>
      </w:pPr>
      <w:r w:rsidRPr="00F82F1B">
        <w:t xml:space="preserve">: Impact Factor </w:t>
      </w:r>
    </w:p>
    <w:p w:rsidR="00BE3923" w:rsidRDefault="00BE3923" w:rsidP="00BE3923">
      <w:pPr>
        <w:pStyle w:val="a0"/>
        <w:rPr>
          <w:kern w:val="0"/>
        </w:rPr>
      </w:pPr>
      <w:r>
        <w:rPr>
          <w:rFonts w:hint="eastAsia"/>
          <w:kern w:val="0"/>
        </w:rPr>
        <w:t xml:space="preserve">? </w:t>
      </w:r>
      <w:r>
        <w:rPr>
          <w:kern w:val="0"/>
        </w:rPr>
        <w:t>Daley, A., Jolly, K.</w:t>
      </w:r>
      <w:r w:rsidR="00F81221">
        <w:rPr>
          <w:kern w:val="0"/>
        </w:rPr>
        <w:t xml:space="preserve"> and </w:t>
      </w:r>
      <w:r>
        <w:rPr>
          <w:kern w:val="0"/>
        </w:rPr>
        <w:t>MacArthur, C. (2009), The effectiveness of exercise in the management of post-natal depression: Systematic review</w:t>
      </w:r>
      <w:r w:rsidR="00F81221">
        <w:rPr>
          <w:kern w:val="0"/>
        </w:rPr>
        <w:t xml:space="preserve"> and </w:t>
      </w:r>
      <w:r>
        <w:rPr>
          <w:kern w:val="0"/>
        </w:rPr>
        <w:t xml:space="preserve">meta-analysis. </w:t>
      </w:r>
      <w:r w:rsidRPr="00F65486">
        <w:rPr>
          <w:i/>
          <w:iCs/>
          <w:kern w:val="0"/>
        </w:rPr>
        <w:t>Family Practice</w:t>
      </w:r>
      <w:r>
        <w:rPr>
          <w:kern w:val="0"/>
        </w:rPr>
        <w:t xml:space="preserve">, </w:t>
      </w:r>
      <w:r>
        <w:rPr>
          <w:b/>
          <w:bCs/>
          <w:kern w:val="0"/>
        </w:rPr>
        <w:t>26</w:t>
      </w:r>
      <w:r>
        <w:rPr>
          <w:kern w:val="0"/>
        </w:rPr>
        <w:t xml:space="preserve"> (2), 154-162.</w:t>
      </w:r>
    </w:p>
    <w:p w:rsidR="00BE3923" w:rsidRDefault="00BE3923" w:rsidP="00BE3923">
      <w:pPr>
        <w:pStyle w:val="a0"/>
        <w:rPr>
          <w:kern w:val="0"/>
        </w:rPr>
      </w:pPr>
      <w:r>
        <w:rPr>
          <w:kern w:val="0"/>
        </w:rPr>
        <w:t>Abstract: Background. Post-natal depression (PND) is a serious mental health problem that may be reduced by exercise. National Institute for Health</w:t>
      </w:r>
      <w:r w:rsidR="00F81221">
        <w:rPr>
          <w:kern w:val="0"/>
        </w:rPr>
        <w:t xml:space="preserve"> and </w:t>
      </w:r>
      <w:r>
        <w:rPr>
          <w:kern w:val="0"/>
        </w:rPr>
        <w:t>Clinical Excellence in England have recommended that health professions should consider exercise as a treatment for PND. Objective. To evaluate the effectiveness of exercise in the management of PND. Methods. Systematic review</w:t>
      </w:r>
      <w:r w:rsidR="00F81221">
        <w:rPr>
          <w:kern w:val="0"/>
        </w:rPr>
        <w:t xml:space="preserve"> and </w:t>
      </w:r>
      <w:r>
        <w:rPr>
          <w:kern w:val="0"/>
        </w:rPr>
        <w:t>meta-analysis of randomized controlled trials (RCTs). Data sources involved in the study are Cochrane Library (CENTRAL), MEDLINE, EMBASE, PsycINFO, Science Citation Index</w:t>
      </w:r>
      <w:r w:rsidR="00F81221">
        <w:rPr>
          <w:kern w:val="0"/>
        </w:rPr>
        <w:t xml:space="preserve"> and </w:t>
      </w:r>
      <w:r>
        <w:rPr>
          <w:kern w:val="0"/>
        </w:rPr>
        <w:t>Social Science Citation Index, CINAHL</w:t>
      </w:r>
      <w:r w:rsidR="00F81221">
        <w:rPr>
          <w:kern w:val="0"/>
        </w:rPr>
        <w:t xml:space="preserve"> and </w:t>
      </w:r>
      <w:r>
        <w:rPr>
          <w:kern w:val="0"/>
        </w:rPr>
        <w:t>SPORTDiscus. Review methods. Selection criteria are RCTs</w:t>
      </w:r>
      <w:r w:rsidR="00F81221">
        <w:rPr>
          <w:kern w:val="0"/>
        </w:rPr>
        <w:t xml:space="preserve"> and </w:t>
      </w:r>
      <w:r>
        <w:rPr>
          <w:kern w:val="0"/>
        </w:rPr>
        <w:t>quasi-RCTs that compared any type of exercise intervention with other treatments or no treatment in women with PND. Database searches</w:t>
      </w:r>
      <w:r w:rsidR="00F81221">
        <w:rPr>
          <w:kern w:val="0"/>
        </w:rPr>
        <w:t xml:space="preserve"> and </w:t>
      </w:r>
      <w:r>
        <w:rPr>
          <w:kern w:val="0"/>
        </w:rPr>
        <w:t>abstracts were reviewed independently by two authors. The Delphi criteria were used to assess the quality of included studies. Data were abstracted by two reviewers. Data synthesis is meta-analysis. Main outcome measure is post-natal depression. Results. Five studies fulfilled our inclusion criteria. When compared with no exercise, exercise reduced symptoms of PND {SMD = -0.81 [95% confidence interval (CI): -1.53 to -0.10]}. The overall WMD in Edinburgh Post-natal Depression Scale score was -4.00 points (95% CI: -7.64 to -0.35). However, significant heterogeneity was found. The effect size was reduced considerably (non-significant) when the trial that included exercise as a co-intervention with social support was excluded [SMD = -0.42 (95% CI: -0.90 to 0.05)]</w:t>
      </w:r>
      <w:r w:rsidR="00F81221">
        <w:rPr>
          <w:kern w:val="0"/>
        </w:rPr>
        <w:t xml:space="preserve"> and </w:t>
      </w:r>
      <w:r>
        <w:rPr>
          <w:kern w:val="0"/>
        </w:rPr>
        <w:t xml:space="preserve">heterogeneity was no longer present. Conclusions. Due to heterogeneity, it is uncertain whether exercise reduces symptoms of PND. Caution is also required when interpreting findings from </w:t>
      </w:r>
      <w:r>
        <w:rPr>
          <w:kern w:val="0"/>
        </w:rPr>
        <w:lastRenderedPageBreak/>
        <w:t>the main analysis as only five small trials were included</w:t>
      </w:r>
      <w:r w:rsidR="00F81221">
        <w:rPr>
          <w:kern w:val="0"/>
        </w:rPr>
        <w:t xml:space="preserve"> and </w:t>
      </w:r>
      <w:r>
        <w:rPr>
          <w:kern w:val="0"/>
        </w:rPr>
        <w:t>CIs were wide. Further research is evidently required.</w:t>
      </w:r>
    </w:p>
    <w:p w:rsidR="00BE3923" w:rsidRDefault="00BE3923" w:rsidP="00BE3923">
      <w:pPr>
        <w:pStyle w:val="a0"/>
        <w:rPr>
          <w:kern w:val="0"/>
        </w:rPr>
      </w:pPr>
      <w:r>
        <w:rPr>
          <w:kern w:val="0"/>
        </w:rPr>
        <w:t>Keywords: Behavioural Sciences, Citation, Depression, Exercise, Management, Medline, Mental Health, Meta-Analysis, Postpartum Depression, Pregnancy, Program, Quality, Research, Science, Systematic Review, Women</w:t>
      </w:r>
    </w:p>
    <w:p w:rsidR="002D290A" w:rsidRDefault="002D290A" w:rsidP="002D290A">
      <w:pPr>
        <w:pStyle w:val="a0"/>
        <w:rPr>
          <w:kern w:val="0"/>
        </w:rPr>
      </w:pPr>
      <w:r>
        <w:rPr>
          <w:rFonts w:hint="eastAsia"/>
          <w:kern w:val="0"/>
        </w:rPr>
        <w:t xml:space="preserve">? </w:t>
      </w:r>
      <w:r>
        <w:rPr>
          <w:kern w:val="0"/>
        </w:rPr>
        <w:t>van Weel, C. (2011), The impact of research in primary care</w:t>
      </w:r>
      <w:r w:rsidR="00F81221">
        <w:rPr>
          <w:kern w:val="0"/>
        </w:rPr>
        <w:t xml:space="preserve"> and </w:t>
      </w:r>
      <w:r>
        <w:rPr>
          <w:kern w:val="0"/>
        </w:rPr>
        <w:t xml:space="preserve">family medicine: The Thomson Reuters Web of Science </w:t>
      </w:r>
      <w:r w:rsidR="00435BD4">
        <w:rPr>
          <w:kern w:val="0"/>
        </w:rPr>
        <w:t>subject cate</w:t>
      </w:r>
      <w:r>
        <w:rPr>
          <w:kern w:val="0"/>
        </w:rPr>
        <w:t xml:space="preserve">gory </w:t>
      </w:r>
      <w:r w:rsidR="000352E7">
        <w:rPr>
          <w:kern w:val="0"/>
        </w:rPr>
        <w:t>‘</w:t>
      </w:r>
      <w:r w:rsidR="00675296">
        <w:rPr>
          <w:kern w:val="0"/>
        </w:rPr>
        <w:t>primary health ca</w:t>
      </w:r>
      <w:r>
        <w:rPr>
          <w:kern w:val="0"/>
        </w:rPr>
        <w:t>re</w:t>
      </w:r>
      <w:r w:rsidR="000352E7">
        <w:rPr>
          <w:kern w:val="0"/>
        </w:rPr>
        <w:t>’</w:t>
      </w:r>
      <w:r>
        <w:rPr>
          <w:kern w:val="0"/>
        </w:rPr>
        <w:t xml:space="preserve">. </w:t>
      </w:r>
      <w:r>
        <w:rPr>
          <w:i/>
          <w:iCs/>
          <w:kern w:val="0"/>
        </w:rPr>
        <w:t>Family Practice</w:t>
      </w:r>
      <w:r>
        <w:rPr>
          <w:kern w:val="0"/>
        </w:rPr>
        <w:t xml:space="preserve">, </w:t>
      </w:r>
      <w:r>
        <w:rPr>
          <w:b/>
          <w:bCs/>
          <w:kern w:val="0"/>
        </w:rPr>
        <w:t>28</w:t>
      </w:r>
      <w:r>
        <w:rPr>
          <w:kern w:val="0"/>
        </w:rPr>
        <w:t xml:space="preserve"> (3), 239-240</w:t>
      </w:r>
      <w:r w:rsidR="00955C44">
        <w:rPr>
          <w:rFonts w:hint="eastAsia"/>
          <w:kern w:val="0"/>
        </w:rPr>
        <w:t>.</w:t>
      </w:r>
    </w:p>
    <w:p w:rsidR="002D290A" w:rsidRPr="001A3D2B" w:rsidRDefault="002D290A" w:rsidP="002D290A">
      <w:pPr>
        <w:pStyle w:val="a0"/>
        <w:rPr>
          <w:kern w:val="0"/>
        </w:rPr>
      </w:pPr>
      <w:r>
        <w:rPr>
          <w:rFonts w:hint="eastAsia"/>
          <w:kern w:val="0"/>
        </w:rPr>
        <w:t xml:space="preserve">Full Text: </w:t>
      </w:r>
      <w:hyperlink r:id="rId17" w:history="1">
        <w:r w:rsidRPr="00A726F2">
          <w:rPr>
            <w:rStyle w:val="a5"/>
            <w:kern w:val="0"/>
          </w:rPr>
          <w:t>2011\Fam Pra28, 239.pdf</w:t>
        </w:r>
      </w:hyperlink>
    </w:p>
    <w:p w:rsidR="00675296" w:rsidRDefault="00675296" w:rsidP="00675296">
      <w:pPr>
        <w:pStyle w:val="a0"/>
        <w:rPr>
          <w:kern w:val="0"/>
        </w:rPr>
      </w:pPr>
      <w:r>
        <w:rPr>
          <w:kern w:val="0"/>
        </w:rPr>
        <w:t>Keywords: Care, Family, Family Medicine, General-Practice, Health, Impact, Medicine, Primary, Primary Care, Primary Health Care, Research, Science, Thomson Reuters, Web of Science</w:t>
      </w:r>
    </w:p>
    <w:p w:rsidR="0027416B" w:rsidRDefault="0027416B" w:rsidP="0027416B">
      <w:pPr>
        <w:pStyle w:val="a0"/>
        <w:rPr>
          <w:kern w:val="0"/>
        </w:rPr>
      </w:pPr>
      <w:r w:rsidRPr="001A3D2B">
        <w:rPr>
          <w:kern w:val="0"/>
        </w:rPr>
        <w:t xml:space="preserve">? </w:t>
      </w:r>
      <w:r w:rsidRPr="00E0314D">
        <w:rPr>
          <w:kern w:val="0"/>
        </w:rPr>
        <w:t>van Weel, C</w:t>
      </w:r>
      <w:r>
        <w:rPr>
          <w:rFonts w:hint="eastAsia"/>
          <w:kern w:val="0"/>
        </w:rPr>
        <w:t>.</w:t>
      </w:r>
      <w:r w:rsidRPr="001A3D2B">
        <w:rPr>
          <w:kern w:val="0"/>
        </w:rPr>
        <w:t xml:space="preserve"> (20</w:t>
      </w:r>
      <w:r>
        <w:rPr>
          <w:rFonts w:hint="eastAsia"/>
          <w:kern w:val="0"/>
        </w:rPr>
        <w:t>11</w:t>
      </w:r>
      <w:r w:rsidRPr="001A3D2B">
        <w:rPr>
          <w:kern w:val="0"/>
        </w:rPr>
        <w:t xml:space="preserve">), </w:t>
      </w:r>
      <w:r w:rsidRPr="00E0314D">
        <w:rPr>
          <w:kern w:val="0"/>
        </w:rPr>
        <w:t xml:space="preserve">The </w:t>
      </w:r>
      <w:r w:rsidR="00435BD4">
        <w:rPr>
          <w:kern w:val="0"/>
        </w:rPr>
        <w:t>Web of Science</w:t>
      </w:r>
      <w:r>
        <w:rPr>
          <w:kern w:val="0"/>
        </w:rPr>
        <w:t xml:space="preserve"> subject category </w:t>
      </w:r>
      <w:r w:rsidR="000352E7">
        <w:rPr>
          <w:kern w:val="0"/>
        </w:rPr>
        <w:t>‘</w:t>
      </w:r>
      <w:r w:rsidRPr="00E0314D">
        <w:rPr>
          <w:kern w:val="0"/>
        </w:rPr>
        <w:t>primary health care</w:t>
      </w:r>
      <w:r w:rsidR="000352E7">
        <w:rPr>
          <w:kern w:val="0"/>
        </w:rPr>
        <w:t>’</w:t>
      </w:r>
      <w:r w:rsidRPr="001A3D2B">
        <w:rPr>
          <w:kern w:val="0"/>
        </w:rPr>
        <w:t xml:space="preserve">. </w:t>
      </w:r>
      <w:r w:rsidRPr="001A3D2B">
        <w:rPr>
          <w:i/>
          <w:iCs/>
          <w:kern w:val="0"/>
        </w:rPr>
        <w:t>Family Practice</w:t>
      </w:r>
      <w:r w:rsidRPr="001A3D2B">
        <w:rPr>
          <w:kern w:val="0"/>
        </w:rPr>
        <w:t xml:space="preserve">, </w:t>
      </w:r>
      <w:r w:rsidRPr="001A3D2B">
        <w:rPr>
          <w:b/>
          <w:bCs/>
          <w:kern w:val="0"/>
        </w:rPr>
        <w:t>2</w:t>
      </w:r>
      <w:r>
        <w:rPr>
          <w:rFonts w:hint="eastAsia"/>
          <w:b/>
          <w:bCs/>
          <w:kern w:val="0"/>
        </w:rPr>
        <w:t>8</w:t>
      </w:r>
      <w:r w:rsidRPr="001A3D2B">
        <w:rPr>
          <w:kern w:val="0"/>
        </w:rPr>
        <w:t xml:space="preserve"> (</w:t>
      </w:r>
      <w:r>
        <w:rPr>
          <w:rFonts w:hint="eastAsia"/>
          <w:kern w:val="0"/>
        </w:rPr>
        <w:t>4</w:t>
      </w:r>
      <w:r w:rsidRPr="001A3D2B">
        <w:rPr>
          <w:kern w:val="0"/>
        </w:rPr>
        <w:t xml:space="preserve">), </w:t>
      </w:r>
      <w:r w:rsidRPr="00E0314D">
        <w:rPr>
          <w:kern w:val="0"/>
        </w:rPr>
        <w:t>351</w:t>
      </w:r>
      <w:r w:rsidRPr="001A3D2B">
        <w:rPr>
          <w:kern w:val="0"/>
        </w:rPr>
        <w:t>.</w:t>
      </w:r>
    </w:p>
    <w:p w:rsidR="002D290A" w:rsidRPr="001A3D2B" w:rsidRDefault="002D290A" w:rsidP="002D290A">
      <w:pPr>
        <w:pStyle w:val="a0"/>
        <w:rPr>
          <w:kern w:val="0"/>
        </w:rPr>
      </w:pPr>
      <w:r>
        <w:rPr>
          <w:rFonts w:hint="eastAsia"/>
          <w:kern w:val="0"/>
        </w:rPr>
        <w:t xml:space="preserve">Full Text: </w:t>
      </w:r>
      <w:hyperlink r:id="rId18" w:history="1">
        <w:r w:rsidRPr="000F2C96">
          <w:rPr>
            <w:rStyle w:val="a5"/>
            <w:kern w:val="0"/>
          </w:rPr>
          <w:t>2011\Fam Pra28, 351.pdf</w:t>
        </w:r>
      </w:hyperlink>
    </w:p>
    <w:p w:rsidR="00675296" w:rsidRDefault="00675296" w:rsidP="00675296">
      <w:pPr>
        <w:pStyle w:val="a0"/>
        <w:rPr>
          <w:kern w:val="0"/>
        </w:rPr>
      </w:pPr>
      <w:r>
        <w:rPr>
          <w:kern w:val="0"/>
        </w:rPr>
        <w:t>Keywords: Health Care, Primary, Primary Health Care, Science, Subject Category, Web of Science</w:t>
      </w:r>
    </w:p>
    <w:p w:rsidR="003B46CA" w:rsidRDefault="003B46CA" w:rsidP="003B46CA">
      <w:pPr>
        <w:pStyle w:val="a0"/>
        <w:rPr>
          <w:kern w:val="0"/>
        </w:rPr>
      </w:pPr>
      <w:r>
        <w:rPr>
          <w:rFonts w:hint="eastAsia"/>
          <w:kern w:val="0"/>
        </w:rPr>
        <w:t xml:space="preserve">? </w:t>
      </w:r>
      <w:r>
        <w:rPr>
          <w:kern w:val="0"/>
        </w:rPr>
        <w:t xml:space="preserve">Tsang, C., Majeed, A. and Aylin, P. (2012), Routinely recorded patient safety events in primary care: A literature review. </w:t>
      </w:r>
      <w:r>
        <w:rPr>
          <w:i/>
          <w:iCs/>
          <w:kern w:val="0"/>
        </w:rPr>
        <w:t>Family Practice</w:t>
      </w:r>
      <w:r>
        <w:rPr>
          <w:kern w:val="0"/>
        </w:rPr>
        <w:t xml:space="preserve">, </w:t>
      </w:r>
      <w:r>
        <w:rPr>
          <w:b/>
          <w:bCs/>
          <w:kern w:val="0"/>
        </w:rPr>
        <w:t>29</w:t>
      </w:r>
      <w:r>
        <w:rPr>
          <w:kern w:val="0"/>
        </w:rPr>
        <w:t xml:space="preserve"> (1), 8-15.</w:t>
      </w:r>
    </w:p>
    <w:p w:rsidR="003B46CA" w:rsidRPr="001A3D2B" w:rsidRDefault="003B46CA" w:rsidP="003B46CA">
      <w:pPr>
        <w:pStyle w:val="a0"/>
        <w:rPr>
          <w:kern w:val="0"/>
        </w:rPr>
      </w:pPr>
      <w:r>
        <w:rPr>
          <w:rFonts w:hint="eastAsia"/>
          <w:kern w:val="0"/>
        </w:rPr>
        <w:t xml:space="preserve">Full Text: </w:t>
      </w:r>
      <w:hyperlink r:id="rId19" w:history="1">
        <w:r w:rsidRPr="00183D7B">
          <w:rPr>
            <w:rStyle w:val="a5"/>
            <w:kern w:val="0"/>
          </w:rPr>
          <w:t>2012\Fam Pra29, 8.pdf</w:t>
        </w:r>
      </w:hyperlink>
    </w:p>
    <w:p w:rsidR="003B46CA" w:rsidRDefault="003B46CA" w:rsidP="003B46CA">
      <w:pPr>
        <w:pStyle w:val="a0"/>
        <w:rPr>
          <w:kern w:val="0"/>
        </w:rPr>
      </w:pPr>
      <w:r>
        <w:rPr>
          <w:kern w:val="0"/>
        </w:rPr>
        <w:t xml:space="preserve">Abstract: Background. Existing patient-level data can be used to measure and monitor patient safety. Data from sources including electronic patient records are routinely collected in primary care and may be suitable for adverse event screening, such as patient safety indicators. To inform the feasibility of developing primary care measures of patient harm, information about routinely collected data is needed. Objective. A literature review was conducted to determine the types of adverse events that are routinely recorded in primary care. Methods. We searched ASSIA, Cochrane Library, Embase, HMIC, ISI Web of Science, Medline and PsycInfo databases, grey literature and websites. We included only original research studies in English where routinely collected patient data were used to identify adverse events occurring in primary or ambulatory care settings. Adverse events were defined as unexpected and undesirable patient outcomes arising from health care contact. Results. Of 5029 citations identified, 15 were reviewed. Twelve studies used multiple data sources. Approximately 6.5% of adult emergency admissions were due to drug-related events (n = 1225). Between 0.7% and 2.3% of deaths following adverse events were attributed to treatment in primary care. A large proportion of adverse events resulting in the most severe harm may be preventable. For example, one study estimated that 42% of serious adverse drug events were avoidable. Conclusions. There is limited use of routinely collected data to measure adverse </w:t>
      </w:r>
      <w:r>
        <w:rPr>
          <w:kern w:val="0"/>
        </w:rPr>
        <w:lastRenderedPageBreak/>
        <w:t>events in primary care despite large volumes of data generated. The potential for using readily available data recorded in primary care for active patient safety surveillance needs further exploration.</w:t>
      </w:r>
    </w:p>
    <w:p w:rsidR="003B46CA" w:rsidRDefault="003B46CA" w:rsidP="003B46CA">
      <w:pPr>
        <w:pStyle w:val="a0"/>
        <w:rPr>
          <w:kern w:val="0"/>
        </w:rPr>
      </w:pPr>
      <w:r>
        <w:rPr>
          <w:kern w:val="0"/>
        </w:rPr>
        <w:t>Keywords: Admission, Adult, Adverse Drug Events, Adverse Events, Ambulatory Care, Ambulatory-Care, Author, Care, Citations, Cochrane, Computerized, Countries, Databases, Drug, Emergency, England, English, Errors, Feasibility, General Practice, Health, Health Care, Iatrogenic Disease, Indicators, Information, isi, isi Web of Science, Literature, Literature Review, Medical Records Systems, Medline, Methods, Older Persons, Outcomes, Patient Outcomes, Primary, Primary Care, Quality, Research, Review, Safety, Science, Screening, Surveillance, Treatment, Visits, Web of Science, Web-of-Science, Websites</w:t>
      </w:r>
    </w:p>
    <w:p w:rsidR="00B95188" w:rsidRPr="00A428C3" w:rsidRDefault="00B95188" w:rsidP="00B95188">
      <w:pPr>
        <w:pStyle w:val="1"/>
      </w:pPr>
      <w:r w:rsidRPr="00A428C3">
        <w:br w:type="page"/>
      </w:r>
      <w:bookmarkStart w:id="11" w:name="_Toc186647654"/>
      <w:bookmarkStart w:id="12" w:name="_Toc317160809"/>
      <w:r w:rsidRPr="00A428C3">
        <w:lastRenderedPageBreak/>
        <w:t>Title: Faraday Discussions</w:t>
      </w:r>
      <w:bookmarkEnd w:id="11"/>
      <w:bookmarkEnd w:id="12"/>
    </w:p>
    <w:p w:rsidR="00B95188" w:rsidRPr="00A428C3" w:rsidRDefault="00B95188" w:rsidP="00B72EF9">
      <w:pPr>
        <w:pStyle w:val="12"/>
      </w:pPr>
      <w:r w:rsidRPr="00A428C3">
        <w:t xml:space="preserve">Full Journal Title: </w:t>
      </w:r>
      <w:hyperlink r:id="rId20" w:history="1">
        <w:r w:rsidRPr="00A428C3">
          <w:rPr>
            <w:rStyle w:val="a5"/>
          </w:rPr>
          <w:t>Faraday Discussions</w:t>
        </w:r>
      </w:hyperlink>
    </w:p>
    <w:p w:rsidR="00B95188" w:rsidRPr="00A428C3" w:rsidRDefault="00B95188" w:rsidP="00B72EF9">
      <w:pPr>
        <w:pStyle w:val="12"/>
      </w:pPr>
      <w:r w:rsidRPr="00A428C3">
        <w:t>ISO Abbreviated Title: Faraday Discuss.</w:t>
      </w:r>
    </w:p>
    <w:p w:rsidR="00B95188" w:rsidRPr="00A428C3" w:rsidRDefault="00B95188" w:rsidP="00B72EF9">
      <w:pPr>
        <w:pStyle w:val="12"/>
      </w:pPr>
      <w:r w:rsidRPr="00A428C3">
        <w:t>JCR Abbreviated Title: Faraday Discuss</w:t>
      </w:r>
    </w:p>
    <w:p w:rsidR="00B95188" w:rsidRPr="00A428C3" w:rsidRDefault="00B95188" w:rsidP="00B72EF9">
      <w:pPr>
        <w:pStyle w:val="12"/>
      </w:pPr>
      <w:r w:rsidRPr="00A428C3">
        <w:t>ISSN: 0301-7249</w:t>
      </w:r>
    </w:p>
    <w:p w:rsidR="00B95188" w:rsidRPr="00A428C3" w:rsidRDefault="00B95188" w:rsidP="00B72EF9">
      <w:pPr>
        <w:pStyle w:val="12"/>
      </w:pPr>
      <w:r w:rsidRPr="00A428C3">
        <w:t>Issues/Year: 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Royal Soc Chemistry</w:t>
      </w:r>
    </w:p>
    <w:p w:rsidR="00B95188" w:rsidRPr="00A428C3" w:rsidRDefault="00B95188" w:rsidP="00B72EF9">
      <w:pPr>
        <w:pStyle w:val="12"/>
      </w:pPr>
      <w:r w:rsidRPr="00A428C3">
        <w:t xml:space="preserve">Publisher Address: Thomas Graham House, </w:t>
      </w:r>
      <w:smartTag w:uri="urn:schemas-microsoft-com:office:smarttags" w:element="PlaceName">
        <w:r w:rsidRPr="00A428C3">
          <w:t>Science</w:t>
        </w:r>
      </w:smartTag>
      <w:r w:rsidRPr="00A428C3">
        <w:t xml:space="preserve"> </w:t>
      </w:r>
      <w:smartTag w:uri="urn:schemas-microsoft-com:office:smarttags" w:element="PlaceType">
        <w:r w:rsidRPr="00A428C3">
          <w:t>Park</w:t>
        </w:r>
      </w:smartTag>
      <w:r w:rsidRPr="00A428C3">
        <w:t xml:space="preserve">, </w:t>
      </w:r>
      <w:smartTag w:uri="urn:schemas-microsoft-com:office:smarttags" w:element="address">
        <w:smartTag w:uri="urn:schemas-microsoft-com:office:smarttags" w:element="Street">
          <w:r w:rsidRPr="00A428C3">
            <w:t>Milton Rd</w:t>
          </w:r>
        </w:smartTag>
        <w:r w:rsidRPr="00A428C3">
          <w:t xml:space="preserve">, </w:t>
        </w:r>
        <w:smartTag w:uri="urn:schemas-microsoft-com:office:smarttags" w:element="City">
          <w:r w:rsidRPr="00A428C3">
            <w:t>Cambridge</w:t>
          </w:r>
        </w:smartTag>
        <w:r w:rsidRPr="00A428C3">
          <w:t xml:space="preserve"> </w:t>
        </w:r>
        <w:smartTag w:uri="urn:schemas-microsoft-com:office:smarttags" w:element="PostalCode">
          <w:r w:rsidRPr="00A428C3">
            <w:t>CB4 0WF</w:t>
          </w:r>
        </w:smartTag>
      </w:smartTag>
      <w:r w:rsidRPr="00A428C3">
        <w:t xml:space="preserve">, </w:t>
      </w:r>
      <w:smartTag w:uri="urn:schemas-microsoft-com:office:smarttags" w:element="place">
        <w:smartTag w:uri="urn:schemas-microsoft-com:office:smarttags" w:element="City">
          <w:r w:rsidRPr="00A428C3">
            <w:t>Cambs</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Physical: Impact Factor 3.861, / (2000)</w:t>
      </w:r>
    </w:p>
    <w:p w:rsidR="00B95188" w:rsidRPr="00A428C3" w:rsidRDefault="00B95188" w:rsidP="00B95188">
      <w:pPr>
        <w:pStyle w:val="a0"/>
      </w:pPr>
      <w:r w:rsidRPr="00A428C3">
        <w:t xml:space="preserve">? Gileadi, E. (1973), Combined adsorption-isotherm for intermediates formed in electrode-reactions. </w:t>
      </w:r>
      <w:r w:rsidRPr="00A428C3">
        <w:rPr>
          <w:i/>
        </w:rPr>
        <w:t>Faraday Discussions</w:t>
      </w:r>
      <w:r w:rsidRPr="00A428C3">
        <w:t xml:space="preserve">, </w:t>
      </w:r>
      <w:r w:rsidRPr="00A428C3">
        <w:rPr>
          <w:b/>
        </w:rPr>
        <w:t>56</w:t>
      </w:r>
      <w:r w:rsidRPr="00A428C3">
        <w:t>, 228-234.</w:t>
      </w:r>
    </w:p>
    <w:p w:rsidR="00B95188" w:rsidRPr="00A428C3" w:rsidRDefault="00B95188" w:rsidP="00B95188">
      <w:pPr>
        <w:pStyle w:val="a0"/>
      </w:pPr>
      <w:r w:rsidRPr="00A428C3">
        <w:t xml:space="preserve">? Lucassen, J. (1975), Adsorption-kinetics in micellar systems. </w:t>
      </w:r>
      <w:r w:rsidRPr="00A428C3">
        <w:rPr>
          <w:i/>
        </w:rPr>
        <w:t>Faraday Discussions</w:t>
      </w:r>
      <w:r w:rsidRPr="00A428C3">
        <w:t xml:space="preserve">, </w:t>
      </w:r>
      <w:r w:rsidRPr="00A428C3">
        <w:rPr>
          <w:b/>
        </w:rPr>
        <w:t>59</w:t>
      </w:r>
      <w:r w:rsidRPr="00A428C3">
        <w:t>, 76-87.</w:t>
      </w:r>
    </w:p>
    <w:p w:rsidR="00B95188" w:rsidRPr="00A428C3" w:rsidRDefault="00B95188" w:rsidP="00B95188">
      <w:pPr>
        <w:pStyle w:val="1"/>
      </w:pPr>
      <w:r w:rsidRPr="00A428C3">
        <w:br w:type="page"/>
      </w:r>
      <w:bookmarkStart w:id="13" w:name="_Toc490687956"/>
      <w:bookmarkStart w:id="14" w:name="_Toc186647655"/>
      <w:bookmarkStart w:id="15" w:name="_Toc317160810"/>
      <w:r w:rsidRPr="00A428C3">
        <w:lastRenderedPageBreak/>
        <w:t xml:space="preserve">Title: Faraday Society of </w:t>
      </w:r>
      <w:smartTag w:uri="urn:schemas-microsoft-com:office:smarttags" w:element="place">
        <w:smartTag w:uri="urn:schemas-microsoft-com:office:smarttags" w:element="City">
          <w:r w:rsidRPr="00A428C3">
            <w:t>London</w:t>
          </w:r>
        </w:smartTag>
      </w:smartTag>
      <w:r w:rsidRPr="00A428C3">
        <w:t>, Transactionsc</w:t>
      </w:r>
      <w:bookmarkEnd w:id="13"/>
      <w:bookmarkEnd w:id="14"/>
      <w:bookmarkEnd w:id="15"/>
    </w:p>
    <w:p w:rsidR="00B95188" w:rsidRPr="00A428C3" w:rsidRDefault="00B95188" w:rsidP="00B95188">
      <w:pPr>
        <w:pStyle w:val="a0"/>
      </w:pPr>
      <w:r w:rsidRPr="00A428C3">
        <w:t>(Faraday Society, Transactions) (Trans. Faraday Soc.)</w:t>
      </w:r>
    </w:p>
    <w:p w:rsidR="00B95188" w:rsidRPr="00A428C3" w:rsidRDefault="00B95188" w:rsidP="00B72EF9">
      <w:pPr>
        <w:pStyle w:val="12"/>
      </w:pPr>
      <w:r w:rsidRPr="00A428C3">
        <w:t xml:space="preserve">Full Journal Title: Faraday Society of </w:t>
      </w:r>
      <w:smartTag w:uri="urn:schemas-microsoft-com:office:smarttags" w:element="place">
        <w:smartTag w:uri="urn:schemas-microsoft-com:office:smarttags" w:element="City">
          <w:r w:rsidRPr="00A428C3">
            <w:t>London</w:t>
          </w:r>
        </w:smartTag>
      </w:smartTag>
      <w:r w:rsidRPr="00A428C3">
        <w:t>, Transactionsc</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Publisher:</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smartTag w:uri="urn:schemas-microsoft-com:office:smarttags" w:element="place">
        <w:smartTag w:uri="urn:schemas-microsoft-com:office:smarttags" w:element="City">
          <w:r w:rsidRPr="00A428C3">
            <w:t>Taylor</w:t>
          </w:r>
        </w:smartTag>
      </w:smartTag>
      <w:r w:rsidRPr="00A428C3">
        <w:t>, H.S.</w:t>
      </w:r>
      <w:r w:rsidR="00F81221">
        <w:t xml:space="preserve"> and </w:t>
      </w:r>
      <w:bookmarkStart w:id="16" w:name="Ogden"/>
      <w:r w:rsidRPr="00A428C3">
        <w:t>Ogden</w:t>
      </w:r>
      <w:bookmarkEnd w:id="16"/>
      <w:r w:rsidRPr="00A428C3">
        <w:t>, G. (1934), The adsorption of hydrogen</w:t>
      </w:r>
      <w:r w:rsidR="00F81221">
        <w:t xml:space="preserve"> and </w:t>
      </w:r>
      <w:r w:rsidRPr="00A428C3">
        <w:t>of carbon momoxide on a surface of zinc</w:t>
      </w:r>
      <w:r w:rsidR="00F81221">
        <w:t xml:space="preserve"> and </w:t>
      </w:r>
      <w:r w:rsidRPr="00A428C3">
        <w:t xml:space="preserve">molybdenum oxides. </w:t>
      </w:r>
      <w:r w:rsidRPr="00A428C3">
        <w:rPr>
          <w:i/>
        </w:rPr>
        <w:t xml:space="preserve">Faraday Socidty of </w:t>
      </w:r>
      <w:smartTag w:uri="urn:schemas-microsoft-com:office:smarttags" w:element="place">
        <w:smartTag w:uri="urn:schemas-microsoft-com:office:smarttags" w:element="City">
          <w:r w:rsidRPr="00A428C3">
            <w:rPr>
              <w:i/>
            </w:rPr>
            <w:t>London</w:t>
          </w:r>
        </w:smartTag>
      </w:smartTag>
      <w:r w:rsidRPr="00A428C3">
        <w:rPr>
          <w:iCs/>
        </w:rPr>
        <w:t xml:space="preserve">, </w:t>
      </w:r>
      <w:r w:rsidRPr="00A428C3">
        <w:rPr>
          <w:i/>
        </w:rPr>
        <w:t>Transactions</w:t>
      </w:r>
      <w:r w:rsidRPr="00A428C3">
        <w:t xml:space="preserve">, </w:t>
      </w:r>
      <w:r w:rsidRPr="00A428C3">
        <w:rPr>
          <w:b/>
        </w:rPr>
        <w:t>30</w:t>
      </w:r>
      <w:r w:rsidRPr="00A428C3">
        <w:t>, 1178-1190.</w:t>
      </w:r>
    </w:p>
    <w:p w:rsidR="00B95188" w:rsidRPr="00A428C3" w:rsidRDefault="00B95188" w:rsidP="00B95188">
      <w:pPr>
        <w:pStyle w:val="a0"/>
      </w:pPr>
      <w:bookmarkStart w:id="17" w:name="Lottermoser"/>
      <w:r w:rsidRPr="00A428C3">
        <w:t>Lottermoser</w:t>
      </w:r>
      <w:bookmarkEnd w:id="17"/>
      <w:r w:rsidRPr="00A428C3">
        <w:t xml:space="preserve">, A. (1935), The influence of atmospheric carbonic acid upon the surface tension of aqueous solutions of sodium salts of fatty acids. </w:t>
      </w:r>
      <w:r w:rsidRPr="00A428C3">
        <w:rPr>
          <w:i/>
        </w:rPr>
        <w:t xml:space="preserve">Faraday Socidty of </w:t>
      </w:r>
      <w:smartTag w:uri="urn:schemas-microsoft-com:office:smarttags" w:element="place">
        <w:smartTag w:uri="urn:schemas-microsoft-com:office:smarttags" w:element="City">
          <w:r w:rsidRPr="00A428C3">
            <w:rPr>
              <w:i/>
            </w:rPr>
            <w:t>London</w:t>
          </w:r>
        </w:smartTag>
      </w:smartTag>
      <w:r w:rsidRPr="00A428C3">
        <w:rPr>
          <w:iCs/>
        </w:rPr>
        <w:t xml:space="preserve">, </w:t>
      </w:r>
      <w:r w:rsidRPr="00A428C3">
        <w:rPr>
          <w:i/>
        </w:rPr>
        <w:t>Transactions</w:t>
      </w:r>
      <w:r w:rsidRPr="00A428C3">
        <w:t xml:space="preserve">, </w:t>
      </w:r>
      <w:r w:rsidRPr="00A428C3">
        <w:rPr>
          <w:b/>
        </w:rPr>
        <w:t>31</w:t>
      </w:r>
      <w:r w:rsidRPr="00A428C3">
        <w:t>, 200-208.</w:t>
      </w:r>
    </w:p>
    <w:p w:rsidR="00B95188" w:rsidRPr="00A428C3" w:rsidRDefault="00B95188" w:rsidP="00B95188">
      <w:pPr>
        <w:pStyle w:val="a0"/>
      </w:pPr>
      <w:bookmarkStart w:id="18" w:name="Adam"/>
      <w:r w:rsidRPr="00A428C3">
        <w:t>Adam</w:t>
      </w:r>
      <w:bookmarkEnd w:id="18"/>
      <w:r w:rsidRPr="00A428C3">
        <w:t>, N.K.</w:t>
      </w:r>
      <w:r w:rsidR="00F81221">
        <w:t xml:space="preserve"> and </w:t>
      </w:r>
      <w:bookmarkStart w:id="19" w:name="Shute"/>
      <w:r w:rsidRPr="00A428C3">
        <w:t>Shute</w:t>
      </w:r>
      <w:bookmarkEnd w:id="19"/>
      <w:r w:rsidRPr="00A428C3">
        <w:t xml:space="preserve">, H.L. (1938), Anomalies in the suraface tension of paraffin chain salts. </w:t>
      </w:r>
      <w:r w:rsidRPr="00A428C3">
        <w:rPr>
          <w:i/>
        </w:rPr>
        <w:t xml:space="preserve">Faraday Socidty of </w:t>
      </w:r>
      <w:smartTag w:uri="urn:schemas-microsoft-com:office:smarttags" w:element="place">
        <w:smartTag w:uri="urn:schemas-microsoft-com:office:smarttags" w:element="City">
          <w:r w:rsidRPr="00A428C3">
            <w:rPr>
              <w:i/>
            </w:rPr>
            <w:t>London</w:t>
          </w:r>
        </w:smartTag>
      </w:smartTag>
      <w:r w:rsidRPr="00A428C3">
        <w:rPr>
          <w:iCs/>
        </w:rPr>
        <w:t xml:space="preserve">, </w:t>
      </w:r>
      <w:r w:rsidRPr="00A428C3">
        <w:rPr>
          <w:i/>
        </w:rPr>
        <w:t>Transactions</w:t>
      </w:r>
      <w:r w:rsidRPr="00A428C3">
        <w:t xml:space="preserve">, </w:t>
      </w:r>
      <w:r w:rsidRPr="00A428C3">
        <w:rPr>
          <w:b/>
        </w:rPr>
        <w:t>34</w:t>
      </w:r>
      <w:r w:rsidRPr="00A428C3">
        <w:t>, 758-765.</w:t>
      </w:r>
    </w:p>
    <w:p w:rsidR="00B95188" w:rsidRPr="00A428C3" w:rsidRDefault="00B95188" w:rsidP="00B95188">
      <w:pPr>
        <w:pStyle w:val="a0"/>
      </w:pPr>
      <w:r w:rsidRPr="00A428C3">
        <w:t>? Kembal, C., Rideal, E.K.</w:t>
      </w:r>
      <w:r w:rsidR="00F81221">
        <w:t xml:space="preserve"> and </w:t>
      </w:r>
      <w:r w:rsidRPr="00A428C3">
        <w:t xml:space="preserve">Guggenheim, E.A. (1948), ??. </w:t>
      </w:r>
      <w:r w:rsidRPr="00A428C3">
        <w:rPr>
          <w:i/>
        </w:rPr>
        <w:t xml:space="preserve">Faraday Socidty of </w:t>
      </w:r>
      <w:smartTag w:uri="urn:schemas-microsoft-com:office:smarttags" w:element="place">
        <w:smartTag w:uri="urn:schemas-microsoft-com:office:smarttags" w:element="City">
          <w:r w:rsidRPr="00A428C3">
            <w:rPr>
              <w:i/>
            </w:rPr>
            <w:t>London</w:t>
          </w:r>
        </w:smartTag>
      </w:smartTag>
      <w:r w:rsidRPr="00A428C3">
        <w:rPr>
          <w:iCs/>
        </w:rPr>
        <w:t xml:space="preserve">, </w:t>
      </w:r>
      <w:r w:rsidRPr="00A428C3">
        <w:rPr>
          <w:i/>
        </w:rPr>
        <w:t>Transactions</w:t>
      </w:r>
      <w:r w:rsidRPr="00A428C3">
        <w:t xml:space="preserve">, </w:t>
      </w:r>
      <w:r w:rsidRPr="00A428C3">
        <w:rPr>
          <w:b/>
        </w:rPr>
        <w:t>44</w:t>
      </w:r>
      <w:r w:rsidRPr="00A428C3">
        <w:t>, 952-??.</w:t>
      </w:r>
    </w:p>
    <w:p w:rsidR="002479BF" w:rsidRPr="00217FB1" w:rsidRDefault="002479BF" w:rsidP="002479BF">
      <w:pPr>
        <w:pStyle w:val="1"/>
      </w:pPr>
      <w:r>
        <w:br w:type="page"/>
      </w:r>
      <w:bookmarkStart w:id="20" w:name="_Toc238862918"/>
      <w:bookmarkStart w:id="21" w:name="_Toc317160811"/>
      <w:r w:rsidRPr="00217FB1">
        <w:lastRenderedPageBreak/>
        <w:t xml:space="preserve">Title: </w:t>
      </w:r>
      <w:r w:rsidRPr="00180B6E">
        <w:t>Farmatsevtychnyĭ Zhurnal</w:t>
      </w:r>
      <w:bookmarkEnd w:id="20"/>
      <w:bookmarkEnd w:id="21"/>
    </w:p>
    <w:p w:rsidR="002479BF" w:rsidRPr="00F82F1B" w:rsidRDefault="002479BF" w:rsidP="00B72EF9">
      <w:pPr>
        <w:pStyle w:val="12"/>
      </w:pPr>
      <w:r w:rsidRPr="00F82F1B">
        <w:t>Ful</w:t>
      </w:r>
      <w:r>
        <w:t>l Journal Title:</w:t>
      </w:r>
      <w:r>
        <w:rPr>
          <w:rFonts w:hint="eastAsia"/>
        </w:rPr>
        <w:t xml:space="preserve"> </w:t>
      </w:r>
      <w:r w:rsidRPr="00180B6E">
        <w:t>Farmatsevtychnyĭ Zhurnal</w:t>
      </w:r>
    </w:p>
    <w:p w:rsidR="002479BF" w:rsidRPr="00F82F1B" w:rsidRDefault="002479BF" w:rsidP="00B72EF9">
      <w:pPr>
        <w:pStyle w:val="12"/>
      </w:pPr>
      <w:r w:rsidRPr="00F82F1B">
        <w:t xml:space="preserve">ISO Abbreviated Title: </w:t>
      </w:r>
    </w:p>
    <w:p w:rsidR="002479BF" w:rsidRPr="00F82F1B" w:rsidRDefault="002479BF" w:rsidP="00B72EF9">
      <w:pPr>
        <w:pStyle w:val="12"/>
      </w:pPr>
      <w:r w:rsidRPr="00F82F1B">
        <w:t>JCR Abbreviated Title</w:t>
      </w:r>
      <w:r>
        <w:t>:</w:t>
      </w:r>
      <w:r w:rsidRPr="00F82F1B">
        <w:t xml:space="preserve"> </w:t>
      </w:r>
      <w:r w:rsidRPr="00A55B4C">
        <w:t>Farm Zh</w:t>
      </w:r>
    </w:p>
    <w:p w:rsidR="002479BF" w:rsidRPr="00F82F1B" w:rsidRDefault="002479BF" w:rsidP="00B72EF9">
      <w:pPr>
        <w:pStyle w:val="12"/>
      </w:pPr>
      <w:r>
        <w:t xml:space="preserve">ISSN: </w:t>
      </w:r>
      <w:r w:rsidRPr="00180B6E">
        <w:t>0014-8342</w:t>
      </w:r>
    </w:p>
    <w:p w:rsidR="002479BF" w:rsidRPr="00F82F1B" w:rsidRDefault="002479BF" w:rsidP="00B72EF9">
      <w:pPr>
        <w:pStyle w:val="12"/>
      </w:pPr>
      <w:r w:rsidRPr="00F82F1B">
        <w:t xml:space="preserve">Issues/Year: </w:t>
      </w:r>
    </w:p>
    <w:p w:rsidR="002479BF" w:rsidRPr="00F82F1B" w:rsidRDefault="00FB5623" w:rsidP="00B72EF9">
      <w:pPr>
        <w:pStyle w:val="12"/>
      </w:pPr>
      <w:r>
        <w:t>Journal Country/Territory:</w:t>
      </w:r>
      <w:r w:rsidR="002479BF">
        <w:t xml:space="preserve"> </w:t>
      </w:r>
    </w:p>
    <w:p w:rsidR="002479BF" w:rsidRPr="00F82F1B" w:rsidRDefault="002479BF" w:rsidP="00B72EF9">
      <w:pPr>
        <w:pStyle w:val="12"/>
      </w:pPr>
      <w:r w:rsidRPr="00F82F1B">
        <w:t xml:space="preserve">Language: </w:t>
      </w:r>
    </w:p>
    <w:p w:rsidR="002479BF" w:rsidRPr="00F82F1B" w:rsidRDefault="002479BF" w:rsidP="00B72EF9">
      <w:pPr>
        <w:pStyle w:val="12"/>
      </w:pPr>
      <w:r w:rsidRPr="00F82F1B">
        <w:t xml:space="preserve">Publisher: </w:t>
      </w:r>
    </w:p>
    <w:p w:rsidR="002479BF" w:rsidRPr="00F82F1B" w:rsidRDefault="002479BF" w:rsidP="00B72EF9">
      <w:pPr>
        <w:pStyle w:val="12"/>
      </w:pPr>
      <w:r w:rsidRPr="00F82F1B">
        <w:t xml:space="preserve">Publisher Address: </w:t>
      </w:r>
    </w:p>
    <w:p w:rsidR="002479BF" w:rsidRPr="00F82F1B" w:rsidRDefault="002479BF" w:rsidP="00B72EF9">
      <w:pPr>
        <w:pStyle w:val="12"/>
      </w:pPr>
      <w:r w:rsidRPr="00F82F1B">
        <w:t>Subject Categories:</w:t>
      </w:r>
    </w:p>
    <w:p w:rsidR="002479BF" w:rsidRPr="00F82F1B" w:rsidRDefault="002479BF" w:rsidP="00B72EF9">
      <w:pPr>
        <w:pStyle w:val="12"/>
      </w:pPr>
      <w:r w:rsidRPr="00F82F1B">
        <w:t xml:space="preserve">: Impact Factor </w:t>
      </w:r>
    </w:p>
    <w:p w:rsidR="002479BF" w:rsidRPr="003862C4" w:rsidRDefault="002479BF" w:rsidP="002479BF">
      <w:pPr>
        <w:pStyle w:val="a0"/>
      </w:pPr>
      <w:r w:rsidRPr="008B2BB0">
        <w:t>? Shuraeva, T.K.</w:t>
      </w:r>
      <w:r w:rsidR="00F81221">
        <w:t xml:space="preserve"> and </w:t>
      </w:r>
      <w:r w:rsidRPr="008B2BB0">
        <w:t xml:space="preserve">Galenko, D.N. (1978), Scientometric approach to studying trends in the development of pharmacy. I. </w:t>
      </w:r>
      <w:r w:rsidRPr="00CE7517">
        <w:rPr>
          <w:i/>
          <w:iCs/>
        </w:rPr>
        <w:t>Farmatsevtychnyĭ Zhurnal</w:t>
      </w:r>
      <w:r w:rsidRPr="003862C4">
        <w:t>, (2), 72-78</w:t>
      </w:r>
      <w:r w:rsidR="00277A57">
        <w:rPr>
          <w:rFonts w:hint="eastAsia"/>
        </w:rPr>
        <w:t>.</w:t>
      </w:r>
    </w:p>
    <w:p w:rsidR="002479BF" w:rsidRPr="003862C4" w:rsidRDefault="002479BF" w:rsidP="002479BF">
      <w:pPr>
        <w:pStyle w:val="a0"/>
      </w:pPr>
      <w:r w:rsidRPr="003862C4">
        <w:t>Keywords: Approach, Development, Pharmacy, Trends</w:t>
      </w:r>
    </w:p>
    <w:p w:rsidR="00B95188" w:rsidRPr="00A428C3" w:rsidRDefault="00B95188" w:rsidP="00B95188">
      <w:pPr>
        <w:pStyle w:val="1"/>
      </w:pPr>
      <w:r w:rsidRPr="00A428C3">
        <w:br w:type="page"/>
      </w:r>
      <w:bookmarkStart w:id="22" w:name="_Toc490687955"/>
      <w:bookmarkStart w:id="23" w:name="_Toc186647656"/>
      <w:bookmarkStart w:id="24" w:name="_Toc317160812"/>
      <w:r w:rsidRPr="00A428C3">
        <w:lastRenderedPageBreak/>
        <w:t xml:space="preserve">Title: </w:t>
      </w:r>
      <w:r w:rsidR="002479BF" w:rsidRPr="00A428C3">
        <w:t xml:space="preserve">FASEB </w:t>
      </w:r>
      <w:r w:rsidRPr="00A428C3">
        <w:t>Journal</w:t>
      </w:r>
      <w:bookmarkEnd w:id="22"/>
      <w:bookmarkEnd w:id="23"/>
      <w:bookmarkEnd w:id="24"/>
    </w:p>
    <w:bookmarkEnd w:id="5"/>
    <w:bookmarkEnd w:id="6"/>
    <w:p w:rsidR="00B95188" w:rsidRPr="00A428C3" w:rsidRDefault="00B95188" w:rsidP="00B72EF9">
      <w:pPr>
        <w:pStyle w:val="12"/>
      </w:pPr>
      <w:r w:rsidRPr="00A428C3">
        <w:t xml:space="preserve">Full Journal Title: </w:t>
      </w:r>
      <w:hyperlink r:id="rId21" w:history="1">
        <w:r w:rsidR="002479BF" w:rsidRPr="00A428C3">
          <w:rPr>
            <w:rStyle w:val="a5"/>
          </w:rPr>
          <w:t>FASEB Journal</w:t>
        </w:r>
      </w:hyperlink>
    </w:p>
    <w:p w:rsidR="00B95188" w:rsidRPr="00A428C3" w:rsidRDefault="00B95188" w:rsidP="00B72EF9">
      <w:pPr>
        <w:pStyle w:val="12"/>
      </w:pPr>
      <w:r w:rsidRPr="00A428C3">
        <w:t xml:space="preserve">ISO Abbreviated Title: </w:t>
      </w:r>
      <w:r w:rsidR="002479BF" w:rsidRPr="00A428C3">
        <w:t xml:space="preserve">FASEB </w:t>
      </w:r>
      <w:r w:rsidRPr="00A428C3">
        <w:t>J.</w:t>
      </w:r>
    </w:p>
    <w:p w:rsidR="00B95188" w:rsidRPr="00A428C3" w:rsidRDefault="00B95188" w:rsidP="00B72EF9">
      <w:pPr>
        <w:pStyle w:val="12"/>
      </w:pPr>
      <w:r w:rsidRPr="00A428C3">
        <w:t xml:space="preserve">JCR Abbreviated Title: </w:t>
      </w:r>
      <w:r w:rsidR="002479BF" w:rsidRPr="00A428C3">
        <w:t xml:space="preserve">FASEB </w:t>
      </w:r>
      <w:r w:rsidRPr="00A428C3">
        <w:t>J</w:t>
      </w:r>
    </w:p>
    <w:p w:rsidR="00B95188" w:rsidRPr="00A428C3" w:rsidRDefault="00B95188" w:rsidP="00B72EF9">
      <w:pPr>
        <w:pStyle w:val="12"/>
      </w:pPr>
      <w:r w:rsidRPr="00A428C3">
        <w:t>ISSN: 0892-6638</w:t>
      </w:r>
    </w:p>
    <w:p w:rsidR="00B95188" w:rsidRPr="00A428C3" w:rsidRDefault="00B95188" w:rsidP="00B72EF9">
      <w:pPr>
        <w:pStyle w:val="12"/>
      </w:pPr>
      <w:r w:rsidRPr="00A428C3">
        <w:t>Issues/Year: 14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Federation Amer Soc Exp Biol</w:t>
      </w:r>
    </w:p>
    <w:p w:rsidR="00B95188" w:rsidRPr="00A428C3" w:rsidRDefault="00B95188" w:rsidP="00B72EF9">
      <w:pPr>
        <w:pStyle w:val="12"/>
      </w:pPr>
      <w:r w:rsidRPr="00A428C3">
        <w:t xml:space="preserve">Publisher Address: 9650 Rockville Pike, </w:t>
      </w:r>
      <w:smartTag w:uri="urn:schemas-microsoft-com:office:smarttags" w:element="place">
        <w:smartTag w:uri="urn:schemas-microsoft-com:office:smarttags" w:element="City">
          <w:r w:rsidRPr="00A428C3">
            <w:t>Bethesda</w:t>
          </w:r>
        </w:smartTag>
        <w:r w:rsidRPr="00A428C3">
          <w:t xml:space="preserve">, </w:t>
        </w:r>
        <w:smartTag w:uri="urn:schemas-microsoft-com:office:smarttags" w:element="State">
          <w:r w:rsidRPr="00A428C3">
            <w:t>MD</w:t>
          </w:r>
        </w:smartTag>
        <w:r w:rsidRPr="00A428C3">
          <w:t xml:space="preserve"> </w:t>
        </w:r>
        <w:smartTag w:uri="urn:schemas-microsoft-com:office:smarttags" w:element="PostalCode">
          <w:r w:rsidRPr="00A428C3">
            <w:t>20814-3998</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Biochemistry &amp; Molecular Biology: Impact Factor 9.249, 18/310 (2000)</w:t>
      </w:r>
    </w:p>
    <w:p w:rsidR="00B95188" w:rsidRPr="00A428C3" w:rsidRDefault="00B95188" w:rsidP="00B72EF9">
      <w:pPr>
        <w:pStyle w:val="12"/>
      </w:pPr>
      <w:r w:rsidRPr="00A428C3">
        <w:t>Biology Cell Biology: Impact Factor 9.249, / (2000)</w:t>
      </w:r>
    </w:p>
    <w:p w:rsidR="00B95188" w:rsidRPr="00A428C3" w:rsidRDefault="00B95188" w:rsidP="00B95188">
      <w:pPr>
        <w:pStyle w:val="a0"/>
      </w:pPr>
      <w:r w:rsidRPr="00A428C3">
        <w:t>? Song, M.K., Heng, M.C.Y., Rolandelli, R., Ament, M.E.</w:t>
      </w:r>
      <w:r w:rsidR="00F81221">
        <w:t xml:space="preserve"> and </w:t>
      </w:r>
      <w:r w:rsidRPr="00A428C3">
        <w:t xml:space="preserve">Heng, M.K. (1993), High zinc intake may cause colon cancer incidence. </w:t>
      </w:r>
      <w:r w:rsidR="002479BF" w:rsidRPr="00A428C3">
        <w:rPr>
          <w:i/>
        </w:rPr>
        <w:t xml:space="preserve">FASEB </w:t>
      </w:r>
      <w:r w:rsidRPr="00A428C3">
        <w:rPr>
          <w:i/>
        </w:rPr>
        <w:t>Journal</w:t>
      </w:r>
      <w:r w:rsidRPr="00A428C3">
        <w:t xml:space="preserve">, </w:t>
      </w:r>
      <w:r w:rsidRPr="00A428C3">
        <w:rPr>
          <w:b/>
        </w:rPr>
        <w:t>7</w:t>
      </w:r>
      <w:r w:rsidRPr="00A428C3">
        <w:t xml:space="preserve"> (4), A733-A733.</w:t>
      </w:r>
    </w:p>
    <w:p w:rsidR="00B95188" w:rsidRPr="00A428C3" w:rsidRDefault="00B95188" w:rsidP="00B95188">
      <w:pPr>
        <w:pStyle w:val="a0"/>
      </w:pPr>
      <w:r w:rsidRPr="00A428C3">
        <w:t>Biagioli, M. (1998), The instability of authorship: Credit</w:t>
      </w:r>
      <w:r w:rsidR="00F81221">
        <w:t xml:space="preserve"> and </w:t>
      </w:r>
      <w:r w:rsidRPr="00A428C3">
        <w:t xml:space="preserve">responsibility in contemporary biomedicine. </w:t>
      </w:r>
      <w:r w:rsidR="002479BF" w:rsidRPr="00A428C3">
        <w:rPr>
          <w:i/>
        </w:rPr>
        <w:t xml:space="preserve">FASEB </w:t>
      </w:r>
      <w:r w:rsidRPr="00A428C3">
        <w:rPr>
          <w:i/>
        </w:rPr>
        <w:t>Journal</w:t>
      </w:r>
      <w:r w:rsidRPr="00A428C3">
        <w:t xml:space="preserve">, </w:t>
      </w:r>
      <w:r w:rsidRPr="00A428C3">
        <w:rPr>
          <w:b/>
        </w:rPr>
        <w:t>12</w:t>
      </w:r>
      <w:r w:rsidRPr="00A428C3">
        <w:t xml:space="preserve"> (1), 3-16.</w:t>
      </w:r>
    </w:p>
    <w:p w:rsidR="00EC391F" w:rsidRPr="001A3D2B" w:rsidRDefault="00EC391F" w:rsidP="00EC391F">
      <w:pPr>
        <w:pStyle w:val="a0"/>
      </w:pPr>
      <w:r w:rsidRPr="001A3D2B">
        <w:t xml:space="preserve">Full Text: </w:t>
      </w:r>
      <w:hyperlink r:id="rId22" w:history="1">
        <w:r w:rsidRPr="001A3D2B">
          <w:rPr>
            <w:rStyle w:val="a5"/>
          </w:rPr>
          <w:t>1998\Fas J12, 3.pdf</w:t>
        </w:r>
      </w:hyperlink>
    </w:p>
    <w:p w:rsidR="00B95188" w:rsidRPr="00A428C3" w:rsidRDefault="00B95188" w:rsidP="00B95188">
      <w:pPr>
        <w:pStyle w:val="a0"/>
      </w:pPr>
      <w:r w:rsidRPr="00A428C3">
        <w:t>Keywords: Medical-Research, Copyright, Integrity, Rights</w:t>
      </w:r>
    </w:p>
    <w:p w:rsidR="00B95188" w:rsidRPr="00A428C3" w:rsidRDefault="00B95188" w:rsidP="00B95188">
      <w:pPr>
        <w:pStyle w:val="a0"/>
      </w:pPr>
      <w:r w:rsidRPr="00A428C3">
        <w:t>? Igic, R. (2004), Can an outstanding research be done under less than ideal conditions? FASEB Meeting on Experimental Biology: Translating the Genome, April 17-21, 2004, Washington, District of Columbia, USA</w:t>
      </w:r>
      <w:r w:rsidRPr="00A428C3">
        <w:rPr>
          <w:iCs/>
        </w:rPr>
        <w:t xml:space="preserve">, </w:t>
      </w:r>
      <w:r w:rsidR="002479BF" w:rsidRPr="00A428C3">
        <w:rPr>
          <w:i/>
          <w:iCs/>
        </w:rPr>
        <w:t xml:space="preserve">FASEB </w:t>
      </w:r>
      <w:r w:rsidRPr="00A428C3">
        <w:rPr>
          <w:i/>
          <w:iCs/>
        </w:rPr>
        <w:t>Journal</w:t>
      </w:r>
      <w:r w:rsidRPr="00A428C3">
        <w:t xml:space="preserve">, </w:t>
      </w:r>
      <w:r w:rsidRPr="00A428C3">
        <w:rPr>
          <w:b/>
        </w:rPr>
        <w:t>18</w:t>
      </w:r>
      <w:r w:rsidRPr="00A428C3">
        <w:t xml:space="preserve"> (4-5). Abst. 708.2.</w:t>
      </w:r>
    </w:p>
    <w:p w:rsidR="00B95188" w:rsidRPr="00A428C3" w:rsidRDefault="00B95188" w:rsidP="00B95188">
      <w:pPr>
        <w:pStyle w:val="a0"/>
      </w:pPr>
      <w:r w:rsidRPr="00A428C3">
        <w:t>Abstract: Great scientific discoveries rarely originate from small</w:t>
      </w:r>
      <w:r w:rsidR="00F81221">
        <w:t xml:space="preserve"> and </w:t>
      </w:r>
      <w:r w:rsidRPr="00A428C3">
        <w:t>poor countries. However, some researchers have been successful in this environment. For example, we shall outline the lives</w:t>
      </w:r>
      <w:r w:rsidR="00F81221">
        <w:t xml:space="preserve"> and </w:t>
      </w:r>
      <w:r w:rsidRPr="00A428C3">
        <w:t>achievements of three Yugoslav scientists who were active in the biomedical sciences: Laza K. Lazarevic (1851-1891), Ivan Djaja (1884-1957)</w:t>
      </w:r>
      <w:r w:rsidR="00F81221">
        <w:t xml:space="preserve"> and </w:t>
      </w:r>
      <w:r w:rsidRPr="00A428C3">
        <w:t>Pavao Stern (1913-1976). (Two Nobel laureates of Yugoslav origin, Leopold Ruzicka (1887-1976)</w:t>
      </w:r>
      <w:r w:rsidR="00F81221">
        <w:t xml:space="preserve"> and </w:t>
      </w:r>
      <w:r w:rsidRPr="00A428C3">
        <w:t>Vladimir Prelog (1906-1998), are not included here because their scientific contributions were mainly performed in Switzerland.) These successful scientists overcame the obstacles of wars</w:t>
      </w:r>
      <w:r w:rsidR="00F81221">
        <w:t xml:space="preserve"> and </w:t>
      </w:r>
      <w:r w:rsidRPr="00A428C3">
        <w:t>civil unrests. What do these researchers have in common? Lazarevic, Djaja,</w:t>
      </w:r>
      <w:r w:rsidR="00F81221">
        <w:t xml:space="preserve"> and </w:t>
      </w:r>
      <w:r w:rsidRPr="00A428C3">
        <w:t>Stern were trained in foreign</w:t>
      </w:r>
      <w:r w:rsidR="00F81221">
        <w:t xml:space="preserve"> and </w:t>
      </w:r>
      <w:r w:rsidRPr="00A428C3">
        <w:t>developed countries. Upon return home, they received sufficient support</w:t>
      </w:r>
      <w:r w:rsidR="00F81221">
        <w:t xml:space="preserve"> and </w:t>
      </w:r>
      <w:r w:rsidRPr="00A428C3">
        <w:t xml:space="preserve">were given the freedom to initiate an independent research program. Unfortunately, each generation in the former </w:t>
      </w:r>
      <w:smartTag w:uri="urn:schemas-microsoft-com:office:smarttags" w:element="place">
        <w:smartTag w:uri="urn:schemas-microsoft-com:office:smarttags" w:element="country-region">
          <w:r w:rsidRPr="00A428C3">
            <w:t>Yugoslavia</w:t>
          </w:r>
        </w:smartTag>
      </w:smartTag>
      <w:r w:rsidRPr="00A428C3">
        <w:t xml:space="preserve"> is disturbed by at least one war. War</w:t>
      </w:r>
      <w:r w:rsidR="00F81221">
        <w:t xml:space="preserve"> and </w:t>
      </w:r>
      <w:r w:rsidRPr="00A428C3">
        <w:t xml:space="preserve">economic sanctions destroy, like a cancer, the normal functions of a </w:t>
      </w:r>
      <w:r w:rsidRPr="00A428C3">
        <w:lastRenderedPageBreak/>
        <w:t>society,</w:t>
      </w:r>
      <w:r w:rsidR="00F81221">
        <w:t xml:space="preserve"> and </w:t>
      </w:r>
      <w:r w:rsidRPr="00A428C3">
        <w:t>significantly damage scientific output (Scientometrics 2002;53:447- 452). New biomedical technologies are often expensive. Therefore, countries need to select the most promising</w:t>
      </w:r>
      <w:r w:rsidR="00F81221">
        <w:t xml:space="preserve"> and </w:t>
      </w:r>
      <w:r w:rsidRPr="00A428C3">
        <w:t>productive scientists. These decisions are especially challenging in small</w:t>
      </w:r>
      <w:r w:rsidR="00F81221">
        <w:t xml:space="preserve"> and </w:t>
      </w:r>
      <w:r w:rsidRPr="00A428C3">
        <w:t>war-torn countries.</w:t>
      </w:r>
    </w:p>
    <w:p w:rsidR="008A676A" w:rsidRDefault="008A676A" w:rsidP="008A676A">
      <w:pPr>
        <w:pStyle w:val="a0"/>
        <w:rPr>
          <w:kern w:val="0"/>
        </w:rPr>
      </w:pPr>
      <w:r>
        <w:rPr>
          <w:rFonts w:hint="eastAsia"/>
          <w:kern w:val="0"/>
        </w:rPr>
        <w:t xml:space="preserve">? </w:t>
      </w:r>
      <w:r>
        <w:rPr>
          <w:kern w:val="0"/>
        </w:rPr>
        <w:t>Evangelou, E., Trikalinos, T.A.</w:t>
      </w:r>
      <w:r w:rsidR="00F81221">
        <w:rPr>
          <w:kern w:val="0"/>
        </w:rPr>
        <w:t xml:space="preserve"> and </w:t>
      </w:r>
      <w:r>
        <w:rPr>
          <w:kern w:val="0"/>
        </w:rPr>
        <w:t xml:space="preserve">Ioannidis, J.P.A. (2005), Unavailability of online supplementary scientific information from articles published in major journals. </w:t>
      </w:r>
      <w:r>
        <w:rPr>
          <w:i/>
          <w:iCs/>
          <w:kern w:val="0"/>
        </w:rPr>
        <w:t>FASEB Journal</w:t>
      </w:r>
      <w:r>
        <w:rPr>
          <w:kern w:val="0"/>
        </w:rPr>
        <w:t xml:space="preserve">, </w:t>
      </w:r>
      <w:r>
        <w:rPr>
          <w:b/>
          <w:bCs/>
          <w:kern w:val="0"/>
        </w:rPr>
        <w:t>19</w:t>
      </w:r>
      <w:r>
        <w:rPr>
          <w:kern w:val="0"/>
        </w:rPr>
        <w:t xml:space="preserve"> (14), 1943-1944.</w:t>
      </w:r>
    </w:p>
    <w:p w:rsidR="008A676A" w:rsidRPr="00A428C3" w:rsidRDefault="008A676A" w:rsidP="008A676A">
      <w:pPr>
        <w:pStyle w:val="a0"/>
      </w:pPr>
      <w:r w:rsidRPr="00A428C3">
        <w:t xml:space="preserve">Full Text: </w:t>
      </w:r>
      <w:hyperlink r:id="rId23" w:history="1">
        <w:r w:rsidRPr="00E15615">
          <w:rPr>
            <w:rStyle w:val="a5"/>
          </w:rPr>
          <w:t>2005\Fas J19, 1943.pdf</w:t>
        </w:r>
      </w:hyperlink>
    </w:p>
    <w:p w:rsidR="008A676A" w:rsidRDefault="008A676A" w:rsidP="008A676A">
      <w:pPr>
        <w:pStyle w:val="a0"/>
        <w:rPr>
          <w:kern w:val="0"/>
        </w:rPr>
      </w:pPr>
      <w:r>
        <w:rPr>
          <w:kern w:val="0"/>
        </w:rPr>
        <w:t>Abstract: Printed articles increasingly rely on online supplements to store critical scientific information, but such data may eventually become unavailable. We checked the current availability of online supplementary scientific information published in six top-cited scientific journals (Science, Nature, Cell, New England Journal of Medicine, Lancet, Proceedings of the National Academy of Sciences USA). Here we show that in 4.7%</w:t>
      </w:r>
      <w:r w:rsidR="00F81221">
        <w:rPr>
          <w:kern w:val="0"/>
        </w:rPr>
        <w:t xml:space="preserve"> and </w:t>
      </w:r>
      <w:r>
        <w:rPr>
          <w:kern w:val="0"/>
        </w:rPr>
        <w:t>9.6% of articles with online supplementary material, some of the supplements became unavailable within 2</w:t>
      </w:r>
      <w:r w:rsidR="00F81221">
        <w:rPr>
          <w:kern w:val="0"/>
        </w:rPr>
        <w:t xml:space="preserve"> and </w:t>
      </w:r>
      <w:r>
        <w:rPr>
          <w:kern w:val="0"/>
        </w:rPr>
        <w:t>5 years of their publication, respectively.</w:t>
      </w:r>
    </w:p>
    <w:p w:rsidR="008A676A" w:rsidRDefault="008A676A" w:rsidP="008A676A">
      <w:pPr>
        <w:pStyle w:val="a0"/>
        <w:rPr>
          <w:kern w:val="0"/>
        </w:rPr>
      </w:pPr>
      <w:r>
        <w:rPr>
          <w:kern w:val="0"/>
        </w:rPr>
        <w:t>Keywords: Broken Links, Internet, Publication, Scientific Journals, Supplementary Information, Web Page</w:t>
      </w:r>
    </w:p>
    <w:p w:rsidR="007F1569" w:rsidRDefault="007F1569" w:rsidP="007F1569">
      <w:pPr>
        <w:pStyle w:val="a0"/>
        <w:rPr>
          <w:kern w:val="0"/>
        </w:rPr>
      </w:pPr>
      <w:r>
        <w:rPr>
          <w:kern w:val="0"/>
        </w:rPr>
        <w:t>? Falagas, M.E.</w:t>
      </w:r>
      <w:r w:rsidR="00F81221">
        <w:rPr>
          <w:kern w:val="0"/>
        </w:rPr>
        <w:t xml:space="preserve"> and </w:t>
      </w:r>
      <w:r>
        <w:rPr>
          <w:kern w:val="0"/>
        </w:rPr>
        <w:t xml:space="preserve">Kavvadia, P. (2006), </w:t>
      </w:r>
      <w:r w:rsidR="000352E7">
        <w:rPr>
          <w:kern w:val="0"/>
        </w:rPr>
        <w:t>“</w:t>
      </w:r>
      <w:r>
        <w:rPr>
          <w:kern w:val="0"/>
        </w:rPr>
        <w:t>Eigenlob</w:t>
      </w:r>
      <w:r w:rsidR="000352E7">
        <w:rPr>
          <w:kern w:val="0"/>
        </w:rPr>
        <w:t>”</w:t>
      </w:r>
      <w:r>
        <w:rPr>
          <w:kern w:val="0"/>
        </w:rPr>
        <w:t xml:space="preserve">: Self-citation in biomedical journals. </w:t>
      </w:r>
      <w:r>
        <w:rPr>
          <w:i/>
          <w:iCs/>
          <w:kern w:val="0"/>
        </w:rPr>
        <w:t>FASEB Journal</w:t>
      </w:r>
      <w:r>
        <w:rPr>
          <w:kern w:val="0"/>
        </w:rPr>
        <w:t xml:space="preserve">, </w:t>
      </w:r>
      <w:r>
        <w:rPr>
          <w:b/>
          <w:bCs/>
          <w:kern w:val="0"/>
        </w:rPr>
        <w:t>20</w:t>
      </w:r>
      <w:r>
        <w:rPr>
          <w:kern w:val="0"/>
        </w:rPr>
        <w:t xml:space="preserve"> (8), 1039-1042</w:t>
      </w:r>
      <w:r>
        <w:rPr>
          <w:rFonts w:hint="eastAsia"/>
          <w:kern w:val="0"/>
        </w:rPr>
        <w:t>.</w:t>
      </w:r>
    </w:p>
    <w:p w:rsidR="007F1569" w:rsidRPr="001A3D2B" w:rsidRDefault="007F1569" w:rsidP="007F1569">
      <w:pPr>
        <w:pStyle w:val="a0"/>
      </w:pPr>
      <w:r w:rsidRPr="001A3D2B">
        <w:t xml:space="preserve">Full Text: </w:t>
      </w:r>
      <w:hyperlink r:id="rId24" w:history="1">
        <w:r w:rsidRPr="00BA16FD">
          <w:rPr>
            <w:rStyle w:val="a5"/>
          </w:rPr>
          <w:t>2006\Fas J20, 1039.pdf</w:t>
        </w:r>
      </w:hyperlink>
    </w:p>
    <w:p w:rsidR="00EC391F" w:rsidRDefault="00EC391F" w:rsidP="00EC391F">
      <w:pPr>
        <w:pStyle w:val="a0"/>
        <w:rPr>
          <w:kern w:val="0"/>
        </w:rPr>
      </w:pPr>
      <w:r>
        <w:rPr>
          <w:kern w:val="0"/>
        </w:rPr>
        <w:t>Keywords: Bias, Impact, Journals, Self-Citation</w:t>
      </w:r>
    </w:p>
    <w:p w:rsidR="00A3620A" w:rsidRPr="008E2485" w:rsidRDefault="00A3620A" w:rsidP="00A3620A">
      <w:pPr>
        <w:pStyle w:val="a0"/>
      </w:pPr>
      <w:r w:rsidRPr="008E2485">
        <w:rPr>
          <w:rFonts w:hint="eastAsia"/>
        </w:rPr>
        <w:t xml:space="preserve">? </w:t>
      </w:r>
      <w:r w:rsidRPr="008E2485">
        <w:t xml:space="preserve">Falagas, M.E., Kouranos, V.D., </w:t>
      </w:r>
      <w:r w:rsidRPr="008E2485">
        <w:rPr>
          <w:rFonts w:hint="eastAsia"/>
        </w:rPr>
        <w:t>A</w:t>
      </w:r>
      <w:r w:rsidRPr="008E2485">
        <w:t>rencibia-Jorge, R.</w:t>
      </w:r>
      <w:r w:rsidR="00F81221">
        <w:t xml:space="preserve"> and </w:t>
      </w:r>
      <w:r w:rsidRPr="008E2485">
        <w:t xml:space="preserve">Karageorgopoulos, D.E. (2008), Comparison of SCImago journal rank indicator with journal impact factor. </w:t>
      </w:r>
      <w:r w:rsidRPr="008E2485">
        <w:rPr>
          <w:i/>
        </w:rPr>
        <w:t>FASEB Journal</w:t>
      </w:r>
      <w:r w:rsidRPr="008E2485">
        <w:t xml:space="preserve">, </w:t>
      </w:r>
      <w:r w:rsidRPr="008E2485">
        <w:rPr>
          <w:b/>
        </w:rPr>
        <w:t>22</w:t>
      </w:r>
      <w:r w:rsidRPr="008E2485">
        <w:t xml:space="preserve"> (8), 2623-2628.</w:t>
      </w:r>
    </w:p>
    <w:p w:rsidR="00A3620A" w:rsidRPr="00A428C3" w:rsidRDefault="00A3620A" w:rsidP="00A3620A">
      <w:pPr>
        <w:pStyle w:val="a0"/>
      </w:pPr>
      <w:r w:rsidRPr="00A428C3">
        <w:t xml:space="preserve">Full Text: </w:t>
      </w:r>
      <w:hyperlink r:id="rId25" w:history="1">
        <w:r w:rsidRPr="008A4915">
          <w:rPr>
            <w:rStyle w:val="a5"/>
          </w:rPr>
          <w:t>2008\Fas J22, 2623.pdf</w:t>
        </w:r>
      </w:hyperlink>
    </w:p>
    <w:p w:rsidR="00A3620A" w:rsidRPr="003862C4" w:rsidRDefault="00A3620A" w:rsidP="00A3620A">
      <w:pPr>
        <w:pStyle w:val="a0"/>
      </w:pPr>
      <w:r w:rsidRPr="003862C4">
        <w:t xml:space="preserve">Abstract: The application of currently available sophisticated algorithms of citation analysis allows for the incorporation of the </w:t>
      </w:r>
      <w:r w:rsidR="000352E7">
        <w:t>“</w:t>
      </w:r>
      <w:r w:rsidRPr="003862C4">
        <w:t>quality</w:t>
      </w:r>
      <w:r w:rsidR="000352E7">
        <w:t>”</w:t>
      </w:r>
      <w:r w:rsidRPr="003862C4">
        <w:t xml:space="preserve"> of citations in the evaluation of scientific journals. We sought to compare the newly introduced SCImago journal rank (SJR) indicator with the journal impact factor (IF). We retrieved relevant information from the official Web sites hosting the above indices</w:t>
      </w:r>
      <w:r w:rsidR="00F81221">
        <w:t xml:space="preserve"> and </w:t>
      </w:r>
      <w:r w:rsidRPr="003862C4">
        <w:t>their source databases. The SJR indicator is an open-access resource, while the journal IF requires paid subscription. The SJR indicator (based on Scopus data) lists considerably more journal titles published in a wider variety of countries</w:t>
      </w:r>
      <w:r w:rsidR="00F81221">
        <w:t xml:space="preserve"> and </w:t>
      </w:r>
      <w:r w:rsidRPr="003862C4">
        <w:t xml:space="preserve">languages, than the journal IF (based on </w:t>
      </w:r>
      <w:r>
        <w:t>Web of Science</w:t>
      </w:r>
      <w:r w:rsidRPr="003862C4">
        <w:t xml:space="preserve"> data). Both indices divide citations to a journal by articles of the journal, during a specific time period. However, contrary to the journal IF, the SJR indicator attributes different weight to citations depending on the </w:t>
      </w:r>
      <w:r w:rsidR="000352E7">
        <w:t>“</w:t>
      </w:r>
      <w:r w:rsidRPr="003862C4">
        <w:t>prestige</w:t>
      </w:r>
      <w:r w:rsidR="000352E7">
        <w:t>”</w:t>
      </w:r>
      <w:r w:rsidRPr="003862C4">
        <w:t xml:space="preserve"> of the citing journal without the influence of journal self-citations; prestige is estimated with the application of the PageRank </w:t>
      </w:r>
      <w:r w:rsidRPr="003862C4">
        <w:lastRenderedPageBreak/>
        <w:t xml:space="preserve">algorithm in the network of journals. In addition, the SJR indicator includes the total number of documents of a journal in the denominator of the relevant calculation, whereas the journal IF includes only </w:t>
      </w:r>
      <w:r w:rsidR="000352E7">
        <w:t>“</w:t>
      </w:r>
      <w:r w:rsidRPr="003862C4">
        <w:t>citable</w:t>
      </w:r>
      <w:r w:rsidR="000352E7">
        <w:t>”</w:t>
      </w:r>
      <w:r w:rsidRPr="003862C4">
        <w:t xml:space="preserve"> articles (mainly original articles</w:t>
      </w:r>
      <w:r w:rsidR="00F81221">
        <w:t xml:space="preserve"> and </w:t>
      </w:r>
      <w:r w:rsidRPr="003862C4">
        <w:t>reviews). A 3-yr period is analyzed in both indices but with the use of different approaches. Regarding the top 100 journals in the 2006 journal IF ranking order, the median absolute change in their ranking position with the use of the SJR indicator is 32 (1st quartile: 12; 3rd quartile: 75). Although further validation is warranted, the novel SJR indicator poses as a serious alternative to the well-established journal IF, mainly due to its openaccess nature, larger source database,</w:t>
      </w:r>
      <w:r w:rsidR="00F81221">
        <w:t xml:space="preserve"> and </w:t>
      </w:r>
      <w:r w:rsidRPr="003862C4">
        <w:t>assessment of the quality of citations.</w:t>
      </w:r>
    </w:p>
    <w:p w:rsidR="00A3620A" w:rsidRPr="003862C4" w:rsidRDefault="00A3620A" w:rsidP="00A3620A">
      <w:pPr>
        <w:pStyle w:val="a0"/>
      </w:pPr>
      <w:r w:rsidRPr="003862C4">
        <w:t xml:space="preserve">Keywords: Algorithm, Algorithms, Alternative, Analysis, Application, Assessment, Bias, Bibliographic Databases, Bibliometric Analysis, Calculation, Citation, Citation Analysis, Citations, Data, Database, Databases, Editors, English, Evaluation, Impact, Impact Factor, Indicator, Indices, Information, Journal, Journal Impact, Journals, Language, Languages, Mathematical Computing, Network, Open Access, Publication, Quality, Quality of, Quality of Publications, Rank, Ranking, Reviews, Science, Scientific Journals, Scientometrics, Scopus, Self-Citation, Self-Citations, Source, Trends, Validation, </w:t>
      </w:r>
      <w:r>
        <w:t>Web of Science</w:t>
      </w:r>
    </w:p>
    <w:p w:rsidR="00510B44" w:rsidRDefault="00510B44" w:rsidP="00510B44">
      <w:pPr>
        <w:pStyle w:val="a0"/>
        <w:rPr>
          <w:kern w:val="0"/>
        </w:rPr>
      </w:pPr>
      <w:r>
        <w:rPr>
          <w:rFonts w:hint="eastAsia"/>
          <w:kern w:val="0"/>
        </w:rPr>
        <w:t xml:space="preserve">? </w:t>
      </w:r>
      <w:r>
        <w:rPr>
          <w:kern w:val="0"/>
        </w:rPr>
        <w:t xml:space="preserve">Trikalinos, T.A. (2009), Does it mean anything if your own name is wrong in your published paper? </w:t>
      </w:r>
      <w:r>
        <w:rPr>
          <w:i/>
          <w:iCs/>
          <w:kern w:val="0"/>
        </w:rPr>
        <w:t>FASEB Journal</w:t>
      </w:r>
      <w:r>
        <w:rPr>
          <w:kern w:val="0"/>
        </w:rPr>
        <w:t xml:space="preserve">, </w:t>
      </w:r>
      <w:r>
        <w:rPr>
          <w:b/>
          <w:bCs/>
          <w:kern w:val="0"/>
        </w:rPr>
        <w:t>23</w:t>
      </w:r>
      <w:r>
        <w:rPr>
          <w:kern w:val="0"/>
        </w:rPr>
        <w:t xml:space="preserve"> (8), 2345-2348.</w:t>
      </w:r>
    </w:p>
    <w:p w:rsidR="00510B44" w:rsidRPr="00A428C3" w:rsidRDefault="00510B44" w:rsidP="008A676A">
      <w:pPr>
        <w:pStyle w:val="a0"/>
      </w:pPr>
      <w:r w:rsidRPr="00A428C3">
        <w:t xml:space="preserve">Full Text: </w:t>
      </w:r>
      <w:hyperlink r:id="rId26" w:history="1">
        <w:r w:rsidR="008A676A" w:rsidRPr="008A676A">
          <w:rPr>
            <w:rStyle w:val="a5"/>
          </w:rPr>
          <w:t>2009\Fas J23, 2345.pdf</w:t>
        </w:r>
      </w:hyperlink>
    </w:p>
    <w:p w:rsidR="00510B44" w:rsidRDefault="00510B44" w:rsidP="00510B44">
      <w:pPr>
        <w:pStyle w:val="a0"/>
        <w:rPr>
          <w:kern w:val="0"/>
        </w:rPr>
      </w:pPr>
      <w:r>
        <w:rPr>
          <w:kern w:val="0"/>
        </w:rPr>
        <w:t>Abstract: Journals instruct authors to proofread their accepted manuscripts before signing them off for publication</w:t>
      </w:r>
      <w:r w:rsidR="00F81221">
        <w:rPr>
          <w:kern w:val="0"/>
        </w:rPr>
        <w:t xml:space="preserve"> and </w:t>
      </w:r>
      <w:r>
        <w:rPr>
          <w:kern w:val="0"/>
        </w:rPr>
        <w:t>expect them to submit errata to correct any mistakes identified thereafter. Herein, I examine papers with obvious errors in the author name list. I queried PubMed for papers under common Greek forenames looking for citations where author surnames</w:t>
      </w:r>
      <w:r w:rsidR="00F81221">
        <w:rPr>
          <w:kern w:val="0"/>
        </w:rPr>
        <w:t xml:space="preserve"> and </w:t>
      </w:r>
      <w:r>
        <w:rPr>
          <w:kern w:val="0"/>
        </w:rPr>
        <w:t>forenames are swapped. I identified 113 such papers from 101 journals. Author names are corrected with errata only in 20, after a median of 6.5 mo. Time to name correction is shorter for journals with impact factor above the median (P=0.015). To further explore this suggested association of apparent author sloppiness with journal impact, I use as controls all errata published between 1996</w:t>
      </w:r>
      <w:r w:rsidR="00F81221">
        <w:rPr>
          <w:kern w:val="0"/>
        </w:rPr>
        <w:t xml:space="preserve"> and </w:t>
      </w:r>
      <w:r>
        <w:rPr>
          <w:kern w:val="0"/>
        </w:rPr>
        <w:t>2008 in 5 top-cited general medical journals (New England Journal of Medicine, JAMA, The Lancet, Annals of Internal Medicine,</w:t>
      </w:r>
      <w:r w:rsidR="00F81221">
        <w:rPr>
          <w:kern w:val="0"/>
        </w:rPr>
        <w:t xml:space="preserve"> and </w:t>
      </w:r>
      <w:r>
        <w:rPr>
          <w:kern w:val="0"/>
        </w:rPr>
        <w:t>British Medical Journal); 3.4% of the latter contain name corrections (vs. 18.1% of all errata in the 101 journals during the same period, P&lt;10(-6)). Egregious errors may be markers of cursory if any proofreading and, therefore, markers for additional unidentified inaccuracies. In addition, I wonder whether authors may be as reluctant to rectify other, nonobvious (yet potentially consequential) mistakes after a paper</w:t>
      </w:r>
      <w:r w:rsidR="000352E7">
        <w:rPr>
          <w:kern w:val="0"/>
        </w:rPr>
        <w:t>’</w:t>
      </w:r>
      <w:r>
        <w:rPr>
          <w:kern w:val="0"/>
        </w:rPr>
        <w:t>s publication. -Trikalinos, T. A. Does it mean anything if your own name is wrong in your published paper? FASEB J. 23, 2345-2348 (2009).</w:t>
      </w:r>
    </w:p>
    <w:p w:rsidR="00510B44" w:rsidRDefault="00510B44" w:rsidP="00510B44">
      <w:pPr>
        <w:pStyle w:val="a0"/>
        <w:rPr>
          <w:kern w:val="0"/>
        </w:rPr>
      </w:pPr>
      <w:r>
        <w:rPr>
          <w:kern w:val="0"/>
        </w:rPr>
        <w:lastRenderedPageBreak/>
        <w:t>Keywords: Citations, Errata, Errors, Galley Proofs, Impact Factor, Journal, Medical Journals, Proofs, Publication, Sloppiness</w:t>
      </w:r>
    </w:p>
    <w:p w:rsidR="009749F2" w:rsidRDefault="009749F2" w:rsidP="009749F2">
      <w:pPr>
        <w:pStyle w:val="a0"/>
        <w:rPr>
          <w:kern w:val="0"/>
        </w:rPr>
      </w:pPr>
      <w:r>
        <w:rPr>
          <w:rFonts w:hint="eastAsia"/>
          <w:kern w:val="0"/>
        </w:rPr>
        <w:t xml:space="preserve">? </w:t>
      </w:r>
      <w:r>
        <w:rPr>
          <w:kern w:val="0"/>
        </w:rPr>
        <w:t xml:space="preserve">Ioannidis, J.P.A. (2010), Is there a glass ceiling for highly cited scientists at the top of research universities? </w:t>
      </w:r>
      <w:r>
        <w:rPr>
          <w:i/>
          <w:iCs/>
          <w:kern w:val="0"/>
        </w:rPr>
        <w:t>Faseb Journal</w:t>
      </w:r>
      <w:r>
        <w:rPr>
          <w:kern w:val="0"/>
        </w:rPr>
        <w:t xml:space="preserve">, </w:t>
      </w:r>
      <w:r>
        <w:rPr>
          <w:b/>
          <w:bCs/>
          <w:kern w:val="0"/>
        </w:rPr>
        <w:t>24</w:t>
      </w:r>
      <w:r>
        <w:rPr>
          <w:kern w:val="0"/>
        </w:rPr>
        <w:t xml:space="preserve"> (12), 4635-4638.</w:t>
      </w:r>
    </w:p>
    <w:p w:rsidR="009749F2" w:rsidRPr="001A3D2B" w:rsidRDefault="009749F2" w:rsidP="009749F2">
      <w:pPr>
        <w:pStyle w:val="a0"/>
      </w:pPr>
      <w:r w:rsidRPr="001A3D2B">
        <w:t xml:space="preserve">Full Text: </w:t>
      </w:r>
      <w:hyperlink r:id="rId27" w:history="1">
        <w:r w:rsidRPr="007C39EB">
          <w:rPr>
            <w:rStyle w:val="a5"/>
          </w:rPr>
          <w:t>2010\Fas J24, 4635.pdf</w:t>
        </w:r>
      </w:hyperlink>
    </w:p>
    <w:p w:rsidR="009749F2" w:rsidRDefault="009749F2" w:rsidP="009749F2">
      <w:pPr>
        <w:pStyle w:val="a0"/>
        <w:rPr>
          <w:kern w:val="0"/>
        </w:rPr>
      </w:pPr>
      <w:r>
        <w:rPr>
          <w:kern w:val="0"/>
        </w:rPr>
        <w:t>Abstract: University leaders aim to protect, shape,</w:t>
      </w:r>
      <w:r w:rsidR="00F81221">
        <w:rPr>
          <w:kern w:val="0"/>
        </w:rPr>
        <w:t xml:space="preserve"> and </w:t>
      </w:r>
      <w:r>
        <w:rPr>
          <w:kern w:val="0"/>
        </w:rPr>
        <w:t>promote the missions of their institutions. I evaluated whether top highly cited scientists are likely to occupy these positions. Of the current leaders of 96 U. S. high research activity universities, only 6 presidents or chancellors were found among the 4009 U. S. scientists listed in the ISIHighlyCited.com database. Of the current leaders of 77 UK universities, only 2 vice-chancellors were found among the 483 UK scientists listed in the same database. In a sample of 100 top-cited clinical medicine scientists</w:t>
      </w:r>
      <w:r w:rsidR="00F81221">
        <w:rPr>
          <w:kern w:val="0"/>
        </w:rPr>
        <w:t xml:space="preserve"> and </w:t>
      </w:r>
      <w:r>
        <w:rPr>
          <w:kern w:val="0"/>
        </w:rPr>
        <w:t>100 top-cited biology</w:t>
      </w:r>
      <w:r w:rsidR="00F81221">
        <w:rPr>
          <w:kern w:val="0"/>
        </w:rPr>
        <w:t xml:space="preserve"> and </w:t>
      </w:r>
      <w:r>
        <w:rPr>
          <w:kern w:val="0"/>
        </w:rPr>
        <w:t>biochemistry scientists, only 1</w:t>
      </w:r>
      <w:r w:rsidR="00F81221">
        <w:rPr>
          <w:kern w:val="0"/>
        </w:rPr>
        <w:t xml:space="preserve"> and </w:t>
      </w:r>
      <w:r>
        <w:rPr>
          <w:kern w:val="0"/>
        </w:rPr>
        <w:t>1, respectively, had served at any time as president of a university. Among the leaders of 25 U. S. universities with the highest citation volumes, only 12 had doctoral degrees in life, natural, physical or computer sciences,</w:t>
      </w:r>
      <w:r w:rsidR="00F81221">
        <w:rPr>
          <w:kern w:val="0"/>
        </w:rPr>
        <w:t xml:space="preserve"> and </w:t>
      </w:r>
      <w:r>
        <w:rPr>
          <w:kern w:val="0"/>
        </w:rPr>
        <w:t>5 of these 12 had a Hirsch citation index m &lt; 1.0. The participation of highly cited scientists in the top leadership of universities is limited. This could have consequences for the research</w:t>
      </w:r>
      <w:r w:rsidR="00F81221">
        <w:rPr>
          <w:kern w:val="0"/>
        </w:rPr>
        <w:t xml:space="preserve"> and </w:t>
      </w:r>
      <w:r>
        <w:rPr>
          <w:kern w:val="0"/>
        </w:rPr>
        <w:t>overall mission of universities.-Ioannidis, J. P. A. Is there a glass ceiling for highly cited scientists at the top of research universities? FASEB J. 24, 4635-4638 (2010). www.fasebj.org.</w:t>
      </w:r>
    </w:p>
    <w:p w:rsidR="009749F2" w:rsidRDefault="009749F2" w:rsidP="009749F2">
      <w:pPr>
        <w:pStyle w:val="a0"/>
        <w:rPr>
          <w:kern w:val="0"/>
        </w:rPr>
      </w:pPr>
      <w:r>
        <w:rPr>
          <w:kern w:val="0"/>
        </w:rPr>
        <w:t>Keywords: 5 Futures, Academic Medicine, Biology, Citation, Citation Impact, Citation Index, Citations, h-Index, Leaders, Leaders, Research, University</w:t>
      </w:r>
    </w:p>
    <w:p w:rsidR="00277A57" w:rsidRDefault="00277A57" w:rsidP="00277A57">
      <w:pPr>
        <w:pStyle w:val="a0"/>
        <w:rPr>
          <w:kern w:val="0"/>
        </w:rPr>
      </w:pPr>
      <w:r>
        <w:rPr>
          <w:rFonts w:hint="eastAsia"/>
          <w:kern w:val="0"/>
        </w:rPr>
        <w:t xml:space="preserve">? </w:t>
      </w:r>
      <w:r>
        <w:rPr>
          <w:kern w:val="0"/>
        </w:rPr>
        <w:t xml:space="preserve">Davis, P.M. (2011), Open access, readership, citations: A randomized controlled trial of scientific journal publishing. </w:t>
      </w:r>
      <w:r>
        <w:rPr>
          <w:i/>
          <w:iCs/>
          <w:kern w:val="0"/>
        </w:rPr>
        <w:t>FASEB Journal</w:t>
      </w:r>
      <w:r>
        <w:rPr>
          <w:kern w:val="0"/>
        </w:rPr>
        <w:t xml:space="preserve">, </w:t>
      </w:r>
      <w:r>
        <w:rPr>
          <w:b/>
          <w:bCs/>
          <w:kern w:val="0"/>
        </w:rPr>
        <w:t>25</w:t>
      </w:r>
      <w:r>
        <w:rPr>
          <w:kern w:val="0"/>
        </w:rPr>
        <w:t xml:space="preserve"> (7), 2129-2134.</w:t>
      </w:r>
    </w:p>
    <w:p w:rsidR="00277A57" w:rsidRPr="001A3D2B" w:rsidRDefault="00277A57" w:rsidP="00277A57">
      <w:pPr>
        <w:pStyle w:val="a0"/>
      </w:pPr>
      <w:r w:rsidRPr="001A3D2B">
        <w:t xml:space="preserve">Full Text: </w:t>
      </w:r>
      <w:hyperlink r:id="rId28" w:history="1">
        <w:r w:rsidRPr="00277A57">
          <w:rPr>
            <w:rStyle w:val="a5"/>
          </w:rPr>
          <w:t>2011\Fas J25, 2129.pdf</w:t>
        </w:r>
      </w:hyperlink>
    </w:p>
    <w:p w:rsidR="00277A57" w:rsidRDefault="00277A57" w:rsidP="00277A57">
      <w:pPr>
        <w:pStyle w:val="a0"/>
        <w:rPr>
          <w:kern w:val="0"/>
        </w:rPr>
      </w:pPr>
      <w:r>
        <w:rPr>
          <w:kern w:val="0"/>
        </w:rPr>
        <w:t>Abstract: Does free access to journal articles result in greater diffusion of scientific knowledge? Using a randomized controlled trial of open access publishing, involving 36 participating journals in the sciences, social sciences,</w:t>
      </w:r>
      <w:r w:rsidR="00F81221">
        <w:rPr>
          <w:kern w:val="0"/>
        </w:rPr>
        <w:t xml:space="preserve"> and </w:t>
      </w:r>
      <w:r>
        <w:rPr>
          <w:kern w:val="0"/>
        </w:rPr>
        <w:t>humanities, we report on the effects of free access on article downloads</w:t>
      </w:r>
      <w:r w:rsidR="00F81221">
        <w:rPr>
          <w:kern w:val="0"/>
        </w:rPr>
        <w:t xml:space="preserve"> and </w:t>
      </w:r>
      <w:r>
        <w:rPr>
          <w:kern w:val="0"/>
        </w:rPr>
        <w:t>citations. Articles placed in the open access condition (n = 712) received significantly more downloads</w:t>
      </w:r>
      <w:r w:rsidR="00F81221">
        <w:rPr>
          <w:kern w:val="0"/>
        </w:rPr>
        <w:t xml:space="preserve"> and </w:t>
      </w:r>
      <w:r>
        <w:rPr>
          <w:kern w:val="0"/>
        </w:rPr>
        <w:t>reached a broader audience within the first year, yet were cited no more frequently, nor earlier, than subscription-access control articles (n = 2533) within 3 yr. These results may be explained by social stratification, a process that concentrates scientific authors at a small number of elite research universities with excellent access to the scientific literature. The real beneficiaries of open access publishing may not be the research community but communities of practice that consume, but rarely contribute to, the corpus of literature.-Davis, P. M. Open access, readership, citations: a randomized controlled trial of scientific journal publishing. FASEB J. 25, 2129-2134 (2011). www.fasebj.org.</w:t>
      </w:r>
    </w:p>
    <w:p w:rsidR="00277A57" w:rsidRDefault="00277A57" w:rsidP="00277A57">
      <w:pPr>
        <w:pStyle w:val="a0"/>
        <w:rPr>
          <w:kern w:val="0"/>
        </w:rPr>
      </w:pPr>
      <w:r>
        <w:rPr>
          <w:kern w:val="0"/>
        </w:rPr>
        <w:lastRenderedPageBreak/>
        <w:t>Keywords: Articles, Authors, Bibliometric Analysis, Citations, Downloads, Impact, Journal, Journal Publishing, Journals, Literature, Open Access, Publishing, Research, Science, Science Communication, Scientific Journal, Social Sciences, Usage Statistics, Web</w:t>
      </w:r>
    </w:p>
    <w:p w:rsidR="009C08A9" w:rsidRPr="00A428C3" w:rsidRDefault="009C08A9" w:rsidP="009C08A9">
      <w:pPr>
        <w:pStyle w:val="1"/>
      </w:pPr>
      <w:r w:rsidRPr="00A428C3">
        <w:br w:type="page"/>
      </w:r>
      <w:bookmarkStart w:id="25" w:name="_Toc317160813"/>
      <w:r w:rsidRPr="00A428C3">
        <w:lastRenderedPageBreak/>
        <w:t xml:space="preserve">Title: </w:t>
      </w:r>
      <w:r>
        <w:t>FEBS Journal</w:t>
      </w:r>
      <w:bookmarkEnd w:id="25"/>
    </w:p>
    <w:p w:rsidR="009C08A9" w:rsidRPr="00A428C3" w:rsidRDefault="009C08A9" w:rsidP="00B72EF9">
      <w:pPr>
        <w:pStyle w:val="12"/>
      </w:pPr>
      <w:r w:rsidRPr="00A428C3">
        <w:t xml:space="preserve">Full Journal Title: </w:t>
      </w:r>
      <w:hyperlink r:id="rId29" w:history="1">
        <w:r w:rsidRPr="009C08A9">
          <w:rPr>
            <w:rStyle w:val="a5"/>
          </w:rPr>
          <w:t>FEBS Journal</w:t>
        </w:r>
      </w:hyperlink>
    </w:p>
    <w:p w:rsidR="009C08A9" w:rsidRPr="00A428C3" w:rsidRDefault="009C08A9" w:rsidP="00B72EF9">
      <w:pPr>
        <w:pStyle w:val="12"/>
      </w:pPr>
      <w:r w:rsidRPr="00A428C3">
        <w:t xml:space="preserve">ISO Abbreviated Title: </w:t>
      </w:r>
    </w:p>
    <w:p w:rsidR="009C08A9" w:rsidRPr="00A428C3" w:rsidRDefault="009C08A9" w:rsidP="00B72EF9">
      <w:pPr>
        <w:pStyle w:val="12"/>
      </w:pPr>
      <w:r w:rsidRPr="00A428C3">
        <w:t xml:space="preserve">JCR Abbreviated Title: </w:t>
      </w:r>
    </w:p>
    <w:p w:rsidR="009C08A9" w:rsidRPr="00A428C3" w:rsidRDefault="009C08A9" w:rsidP="00B72EF9">
      <w:pPr>
        <w:pStyle w:val="12"/>
      </w:pPr>
      <w:r w:rsidRPr="00A428C3">
        <w:t xml:space="preserve">ISSN: </w:t>
      </w:r>
    </w:p>
    <w:p w:rsidR="009C08A9" w:rsidRPr="00A428C3" w:rsidRDefault="009C08A9" w:rsidP="00B72EF9">
      <w:pPr>
        <w:pStyle w:val="12"/>
      </w:pPr>
      <w:r w:rsidRPr="00A428C3">
        <w:t xml:space="preserve">Issues/Year: </w:t>
      </w:r>
    </w:p>
    <w:p w:rsidR="009C08A9" w:rsidRPr="00A428C3" w:rsidRDefault="009C08A9" w:rsidP="00B72EF9">
      <w:pPr>
        <w:pStyle w:val="12"/>
      </w:pPr>
      <w:r w:rsidRPr="00A428C3">
        <w:t xml:space="preserve">Journal Country/Territory: </w:t>
      </w:r>
    </w:p>
    <w:p w:rsidR="009C08A9" w:rsidRPr="00A428C3" w:rsidRDefault="009C08A9" w:rsidP="00B72EF9">
      <w:pPr>
        <w:pStyle w:val="12"/>
      </w:pPr>
      <w:r w:rsidRPr="00A428C3">
        <w:t xml:space="preserve">Language: </w:t>
      </w:r>
    </w:p>
    <w:p w:rsidR="009C08A9" w:rsidRPr="00A428C3" w:rsidRDefault="009C08A9" w:rsidP="00B72EF9">
      <w:pPr>
        <w:pStyle w:val="12"/>
      </w:pPr>
      <w:r w:rsidRPr="00A428C3">
        <w:t>Publisher:</w:t>
      </w:r>
    </w:p>
    <w:p w:rsidR="009C08A9" w:rsidRPr="00A428C3" w:rsidRDefault="009C08A9" w:rsidP="00B72EF9">
      <w:pPr>
        <w:pStyle w:val="12"/>
      </w:pPr>
      <w:r w:rsidRPr="00A428C3">
        <w:t xml:space="preserve">Publisher Address: </w:t>
      </w:r>
    </w:p>
    <w:p w:rsidR="009C08A9" w:rsidRPr="00A428C3" w:rsidRDefault="009C08A9" w:rsidP="00B72EF9">
      <w:pPr>
        <w:pStyle w:val="12"/>
      </w:pPr>
      <w:r w:rsidRPr="00A428C3">
        <w:t>Subject Categories:</w:t>
      </w:r>
    </w:p>
    <w:p w:rsidR="009C08A9" w:rsidRPr="00A428C3" w:rsidRDefault="009C08A9" w:rsidP="00B72EF9">
      <w:pPr>
        <w:pStyle w:val="12"/>
      </w:pPr>
      <w:r w:rsidRPr="00A428C3">
        <w:t xml:space="preserve">: Impact Factor </w:t>
      </w:r>
    </w:p>
    <w:p w:rsidR="009C08A9" w:rsidRDefault="009C08A9" w:rsidP="009C08A9">
      <w:pPr>
        <w:pStyle w:val="a0"/>
      </w:pPr>
      <w:r w:rsidRPr="00A428C3">
        <w:t xml:space="preserve">? </w:t>
      </w:r>
      <w:r>
        <w:t>Kuzu</w:t>
      </w:r>
      <w:r>
        <w:rPr>
          <w:rFonts w:hint="eastAsia"/>
        </w:rPr>
        <w:t>,</w:t>
      </w:r>
      <w:r>
        <w:t xml:space="preserve"> H</w:t>
      </w:r>
      <w:r>
        <w:rPr>
          <w:rFonts w:hint="eastAsia"/>
        </w:rPr>
        <w:t xml:space="preserve">., </w:t>
      </w:r>
      <w:r>
        <w:t>Altikatoglu</w:t>
      </w:r>
      <w:r>
        <w:rPr>
          <w:rFonts w:hint="eastAsia"/>
        </w:rPr>
        <w:t>,</w:t>
      </w:r>
      <w:r>
        <w:t xml:space="preserve"> M</w:t>
      </w:r>
      <w:r>
        <w:rPr>
          <w:rFonts w:hint="eastAsia"/>
        </w:rPr>
        <w:t>.,</w:t>
      </w:r>
      <w:r>
        <w:t xml:space="preserve"> Celebi</w:t>
      </w:r>
      <w:r>
        <w:rPr>
          <w:rFonts w:hint="eastAsia"/>
        </w:rPr>
        <w:t>,</w:t>
      </w:r>
      <w:r>
        <w:t xml:space="preserve"> M</w:t>
      </w:r>
      <w:r>
        <w:rPr>
          <w:rFonts w:hint="eastAsia"/>
        </w:rPr>
        <w:t>.</w:t>
      </w:r>
      <w:r w:rsidR="00F81221">
        <w:rPr>
          <w:rFonts w:hint="eastAsia"/>
        </w:rPr>
        <w:t xml:space="preserve"> and </w:t>
      </w:r>
      <w:r>
        <w:t>Ozlotan</w:t>
      </w:r>
      <w:r>
        <w:rPr>
          <w:rFonts w:hint="eastAsia"/>
        </w:rPr>
        <w:t>,</w:t>
      </w:r>
      <w:r>
        <w:t xml:space="preserve"> O</w:t>
      </w:r>
      <w:r>
        <w:rPr>
          <w:rFonts w:hint="eastAsia"/>
        </w:rPr>
        <w:t>.</w:t>
      </w:r>
      <w:r w:rsidRPr="00A428C3">
        <w:t xml:space="preserve"> (</w:t>
      </w:r>
      <w:r>
        <w:rPr>
          <w:rFonts w:hint="eastAsia"/>
        </w:rPr>
        <w:t>2008</w:t>
      </w:r>
      <w:r w:rsidRPr="00A428C3">
        <w:t xml:space="preserve">), </w:t>
      </w:r>
      <w:r>
        <w:t>Degradation of dyes with HRP</w:t>
      </w:r>
      <w:r w:rsidR="00F81221">
        <w:t xml:space="preserve"> and </w:t>
      </w:r>
      <w:r>
        <w:t>its dextran conjugate</w:t>
      </w:r>
      <w:r w:rsidRPr="00A428C3">
        <w:t xml:space="preserve">. </w:t>
      </w:r>
      <w:r w:rsidRPr="009C08A9">
        <w:rPr>
          <w:i/>
        </w:rPr>
        <w:t>FEBS Journal</w:t>
      </w:r>
      <w:r w:rsidRPr="00A428C3">
        <w:t xml:space="preserve">, </w:t>
      </w:r>
      <w:r>
        <w:rPr>
          <w:rFonts w:hint="eastAsia"/>
          <w:b/>
        </w:rPr>
        <w:t>275</w:t>
      </w:r>
      <w:r>
        <w:rPr>
          <w:rFonts w:hint="eastAsia"/>
        </w:rPr>
        <w:t xml:space="preserve"> (S1),</w:t>
      </w:r>
      <w:r w:rsidRPr="00A428C3">
        <w:t xml:space="preserve"> </w:t>
      </w:r>
      <w:r>
        <w:t>410</w:t>
      </w:r>
      <w:r w:rsidRPr="00A428C3">
        <w:t>.</w:t>
      </w:r>
    </w:p>
    <w:p w:rsidR="009C08A9" w:rsidRDefault="009C08A9" w:rsidP="009C08A9">
      <w:pPr>
        <w:pStyle w:val="a0"/>
      </w:pPr>
      <w:r>
        <w:rPr>
          <w:rFonts w:hint="eastAsia"/>
        </w:rPr>
        <w:t xml:space="preserve">Full Text: </w:t>
      </w:r>
      <w:hyperlink r:id="rId30" w:history="1">
        <w:r w:rsidRPr="009C08A9">
          <w:rPr>
            <w:rStyle w:val="a5"/>
          </w:rPr>
          <w:t>2008\FEB J275, 410.pdf</w:t>
        </w:r>
      </w:hyperlink>
    </w:p>
    <w:p w:rsidR="007A26DE" w:rsidRDefault="007A26DE" w:rsidP="007A26DE">
      <w:pPr>
        <w:pStyle w:val="a0"/>
      </w:pPr>
      <w:r>
        <w:rPr>
          <w:rFonts w:hint="eastAsia"/>
        </w:rPr>
        <w:t xml:space="preserve">Abstract: </w:t>
      </w:r>
      <w:r>
        <w:t>Introduction: Dyes are hazardous aromatic compounds, which are</w:t>
      </w:r>
      <w:r>
        <w:rPr>
          <w:rFonts w:hint="eastAsia"/>
        </w:rPr>
        <w:t xml:space="preserve"> </w:t>
      </w:r>
      <w:r>
        <w:t>normally used for coloration of various substrates like leather, textiles,</w:t>
      </w:r>
      <w:r>
        <w:rPr>
          <w:rFonts w:hint="eastAsia"/>
        </w:rPr>
        <w:t xml:space="preserve"> </w:t>
      </w:r>
      <w:r>
        <w:t>papers, etc. Enzymatic treatment is very useful due to the action of</w:t>
      </w:r>
      <w:r>
        <w:rPr>
          <w:rFonts w:hint="eastAsia"/>
        </w:rPr>
        <w:t xml:space="preserve"> </w:t>
      </w:r>
      <w:r>
        <w:t>enzymes on pollutants even when they are present in very dilute solutions</w:t>
      </w:r>
      <w:r w:rsidR="00F81221">
        <w:rPr>
          <w:rFonts w:hint="eastAsia"/>
        </w:rPr>
        <w:t xml:space="preserve"> and </w:t>
      </w:r>
      <w:r>
        <w:t>recalcitrant to the action of various microbes participating in</w:t>
      </w:r>
      <w:r>
        <w:rPr>
          <w:rFonts w:hint="eastAsia"/>
        </w:rPr>
        <w:t xml:space="preserve"> </w:t>
      </w:r>
      <w:r>
        <w:t>the degradation of dyes. The potential of the peroxidase enzymes has</w:t>
      </w:r>
      <w:r>
        <w:rPr>
          <w:rFonts w:hint="eastAsia"/>
        </w:rPr>
        <w:t xml:space="preserve"> </w:t>
      </w:r>
      <w:r>
        <w:t>been widely studied in the decolorization</w:t>
      </w:r>
      <w:r w:rsidR="00F81221">
        <w:t xml:space="preserve"> and </w:t>
      </w:r>
      <w:r>
        <w:t>degradation of dyes [1].</w:t>
      </w:r>
      <w:r>
        <w:rPr>
          <w:rFonts w:hint="eastAsia"/>
        </w:rPr>
        <w:t xml:space="preserve"> </w:t>
      </w:r>
      <w:r>
        <w:t>Methods: Dye removal by HRP-Dextran conjugate (nE/nD: 1/10)</w:t>
      </w:r>
      <w:r w:rsidR="00F81221">
        <w:t xml:space="preserve"> and </w:t>
      </w:r>
      <w:r>
        <w:t>purified HRP at different pHs (3, 4, 5, 6, 7, 8)</w:t>
      </w:r>
      <w:r w:rsidR="00F81221">
        <w:t xml:space="preserve"> and </w:t>
      </w:r>
      <w:r>
        <w:t>temperatures (25,</w:t>
      </w:r>
      <w:r>
        <w:rPr>
          <w:rFonts w:hint="eastAsia"/>
        </w:rPr>
        <w:t xml:space="preserve"> 3</w:t>
      </w:r>
      <w:r>
        <w:t>0, 35, 40, 50, 60, 70°C) were studied. After keeping them for 0, 1, 2,</w:t>
      </w:r>
      <w:r>
        <w:rPr>
          <w:rFonts w:hint="eastAsia"/>
        </w:rPr>
        <w:t xml:space="preserve"> </w:t>
      </w:r>
      <w:r>
        <w:t>3, 4, 5, 10, 15, 20, 25, 30, 35, 40, 45, 50, 60 minutes</w:t>
      </w:r>
      <w:r w:rsidR="00F81221">
        <w:t xml:space="preserve"> and </w:t>
      </w:r>
      <w:r>
        <w:t>recorded</w:t>
      </w:r>
      <w:r>
        <w:rPr>
          <w:rFonts w:hint="eastAsia"/>
        </w:rPr>
        <w:t xml:space="preserve"> </w:t>
      </w:r>
      <w:r>
        <w:t>absorbtion values were evaluated. The degradation of dye molecules</w:t>
      </w:r>
      <w:r>
        <w:rPr>
          <w:rFonts w:hint="eastAsia"/>
        </w:rPr>
        <w:t xml:space="preserve"> </w:t>
      </w:r>
      <w:r>
        <w:t>(naphthol blue black dye</w:t>
      </w:r>
      <w:r w:rsidR="00F81221">
        <w:t xml:space="preserve"> and </w:t>
      </w:r>
      <w:r>
        <w:t>Coomassie Brillant Blue R 250) with purified</w:t>
      </w:r>
      <w:r w:rsidR="00F81221">
        <w:rPr>
          <w:rFonts w:hint="eastAsia"/>
        </w:rPr>
        <w:t xml:space="preserve"> and </w:t>
      </w:r>
      <w:r>
        <w:t>conjugated HRP were monitored by recording absorption</w:t>
      </w:r>
      <w:r>
        <w:rPr>
          <w:rFonts w:hint="eastAsia"/>
        </w:rPr>
        <w:t xml:space="preserve"> </w:t>
      </w:r>
      <w:r>
        <w:t>values at 620 nm</w:t>
      </w:r>
      <w:r w:rsidR="00F81221">
        <w:t xml:space="preserve"> and </w:t>
      </w:r>
      <w:r>
        <w:t>550 nm respectively.</w:t>
      </w:r>
      <w:r>
        <w:rPr>
          <w:rFonts w:hint="eastAsia"/>
        </w:rPr>
        <w:t xml:space="preserve"> </w:t>
      </w:r>
      <w:r>
        <w:t>Results: The decrease at 620 nm</w:t>
      </w:r>
      <w:r w:rsidR="00F81221">
        <w:t xml:space="preserve"> and </w:t>
      </w:r>
      <w:r>
        <w:t>550 nm depending on time were</w:t>
      </w:r>
      <w:r>
        <w:rPr>
          <w:rFonts w:hint="eastAsia"/>
        </w:rPr>
        <w:t xml:space="preserve"> </w:t>
      </w:r>
      <w:r>
        <w:t>different for enzyme</w:t>
      </w:r>
      <w:r w:rsidR="00F81221">
        <w:t xml:space="preserve"> and </w:t>
      </w:r>
      <w:r>
        <w:t>conjugate for various assay conditions.</w:t>
      </w:r>
      <w:r>
        <w:rPr>
          <w:rFonts w:hint="eastAsia"/>
        </w:rPr>
        <w:t xml:space="preserve"> </w:t>
      </w:r>
      <w:r>
        <w:t>Conclusion: After 1 hour approximately 90% bleaching was observed.</w:t>
      </w:r>
    </w:p>
    <w:p w:rsidR="00E724A8" w:rsidRPr="00A428C3" w:rsidRDefault="00E724A8" w:rsidP="00E724A8">
      <w:pPr>
        <w:pStyle w:val="1"/>
      </w:pPr>
      <w:r w:rsidRPr="00A428C3">
        <w:br w:type="page"/>
      </w:r>
      <w:bookmarkStart w:id="26" w:name="_Toc317160814"/>
      <w:r w:rsidRPr="00A428C3">
        <w:lastRenderedPageBreak/>
        <w:t xml:space="preserve">Title: </w:t>
      </w:r>
      <w:r w:rsidRPr="00E724A8">
        <w:rPr>
          <w:iCs/>
        </w:rPr>
        <w:t>FEBS Letters</w:t>
      </w:r>
      <w:bookmarkEnd w:id="26"/>
    </w:p>
    <w:p w:rsidR="00E724A8" w:rsidRPr="00A428C3" w:rsidRDefault="00E724A8" w:rsidP="00E724A8">
      <w:pPr>
        <w:pStyle w:val="12"/>
      </w:pPr>
      <w:r w:rsidRPr="00A428C3">
        <w:t xml:space="preserve">Full Journal Title: </w:t>
      </w:r>
      <w:r w:rsidRPr="00E724A8">
        <w:rPr>
          <w:iCs/>
        </w:rPr>
        <w:t>FEBS Letters</w:t>
      </w:r>
    </w:p>
    <w:p w:rsidR="00E724A8" w:rsidRPr="00A428C3" w:rsidRDefault="00E724A8" w:rsidP="00E724A8">
      <w:pPr>
        <w:pStyle w:val="12"/>
      </w:pPr>
      <w:r w:rsidRPr="00A428C3">
        <w:t xml:space="preserve">ISO Abbreviated Title: </w:t>
      </w:r>
    </w:p>
    <w:p w:rsidR="00E724A8" w:rsidRPr="00A428C3" w:rsidRDefault="00E724A8" w:rsidP="00E724A8">
      <w:pPr>
        <w:pStyle w:val="12"/>
      </w:pPr>
      <w:r w:rsidRPr="00A428C3">
        <w:t xml:space="preserve">JCR Abbreviated Title: </w:t>
      </w:r>
    </w:p>
    <w:p w:rsidR="00E724A8" w:rsidRPr="00A428C3" w:rsidRDefault="00E724A8" w:rsidP="00E724A8">
      <w:pPr>
        <w:pStyle w:val="12"/>
      </w:pPr>
      <w:r w:rsidRPr="00A428C3">
        <w:t xml:space="preserve">ISSN: </w:t>
      </w:r>
    </w:p>
    <w:p w:rsidR="00E724A8" w:rsidRPr="00A428C3" w:rsidRDefault="00E724A8" w:rsidP="00E724A8">
      <w:pPr>
        <w:pStyle w:val="12"/>
      </w:pPr>
      <w:r w:rsidRPr="00A428C3">
        <w:t xml:space="preserve">Issues/Year: </w:t>
      </w:r>
    </w:p>
    <w:p w:rsidR="00E724A8" w:rsidRPr="00A428C3" w:rsidRDefault="00E724A8" w:rsidP="00E724A8">
      <w:pPr>
        <w:pStyle w:val="12"/>
      </w:pPr>
      <w:r w:rsidRPr="00A428C3">
        <w:t xml:space="preserve">Journal Country/Territory: </w:t>
      </w:r>
    </w:p>
    <w:p w:rsidR="00E724A8" w:rsidRPr="00A428C3" w:rsidRDefault="00E724A8" w:rsidP="00E724A8">
      <w:pPr>
        <w:pStyle w:val="12"/>
      </w:pPr>
      <w:r w:rsidRPr="00A428C3">
        <w:t xml:space="preserve">Language: </w:t>
      </w:r>
    </w:p>
    <w:p w:rsidR="00E724A8" w:rsidRPr="00A428C3" w:rsidRDefault="00E724A8" w:rsidP="00E724A8">
      <w:pPr>
        <w:pStyle w:val="12"/>
      </w:pPr>
      <w:r w:rsidRPr="00A428C3">
        <w:t>Publisher:</w:t>
      </w:r>
    </w:p>
    <w:p w:rsidR="00E724A8" w:rsidRPr="00A428C3" w:rsidRDefault="00E724A8" w:rsidP="00E724A8">
      <w:pPr>
        <w:pStyle w:val="12"/>
      </w:pPr>
      <w:r w:rsidRPr="00A428C3">
        <w:t xml:space="preserve">Publisher Address: </w:t>
      </w:r>
    </w:p>
    <w:p w:rsidR="00E724A8" w:rsidRPr="00A428C3" w:rsidRDefault="00E724A8" w:rsidP="00E724A8">
      <w:pPr>
        <w:pStyle w:val="12"/>
      </w:pPr>
      <w:r w:rsidRPr="00A428C3">
        <w:t>Subject Categories:</w:t>
      </w:r>
    </w:p>
    <w:p w:rsidR="00E724A8" w:rsidRPr="00A428C3" w:rsidRDefault="00E724A8" w:rsidP="00E724A8">
      <w:pPr>
        <w:pStyle w:val="12"/>
      </w:pPr>
      <w:r w:rsidRPr="00A428C3">
        <w:t xml:space="preserve">: Impact Factor </w:t>
      </w:r>
    </w:p>
    <w:p w:rsidR="00E724A8" w:rsidRDefault="00E724A8" w:rsidP="00E724A8">
      <w:pPr>
        <w:pStyle w:val="a0"/>
        <w:rPr>
          <w:kern w:val="0"/>
        </w:rPr>
      </w:pPr>
      <w:r>
        <w:rPr>
          <w:rFonts w:hint="eastAsia"/>
          <w:kern w:val="0"/>
        </w:rPr>
        <w:t>Notes: highly cited</w:t>
      </w:r>
    </w:p>
    <w:p w:rsidR="00E724A8" w:rsidRDefault="00E724A8" w:rsidP="00E724A8">
      <w:pPr>
        <w:pStyle w:val="a0"/>
        <w:rPr>
          <w:kern w:val="0"/>
        </w:rPr>
      </w:pPr>
      <w:r>
        <w:rPr>
          <w:rFonts w:hint="eastAsia"/>
          <w:kern w:val="0"/>
        </w:rPr>
        <w:t xml:space="preserve">? </w:t>
      </w:r>
      <w:r>
        <w:rPr>
          <w:kern w:val="0"/>
        </w:rPr>
        <w:t>Korshunov, S.S., Skulachev, V.P.</w:t>
      </w:r>
      <w:r w:rsidR="00F81221">
        <w:rPr>
          <w:kern w:val="0"/>
        </w:rPr>
        <w:t xml:space="preserve"> and </w:t>
      </w:r>
      <w:r>
        <w:rPr>
          <w:kern w:val="0"/>
        </w:rPr>
        <w:t xml:space="preserve">Starkov, A.A. (1997), High protonic potential actuates a mechanism of production of reactive oxygen species in mitochondria. </w:t>
      </w:r>
      <w:r w:rsidRPr="00E724A8">
        <w:rPr>
          <w:i/>
          <w:iCs/>
          <w:kern w:val="0"/>
        </w:rPr>
        <w:t>FEBS Letters</w:t>
      </w:r>
      <w:r>
        <w:rPr>
          <w:kern w:val="0"/>
        </w:rPr>
        <w:t xml:space="preserve">, </w:t>
      </w:r>
      <w:r>
        <w:rPr>
          <w:b/>
          <w:bCs/>
          <w:kern w:val="0"/>
        </w:rPr>
        <w:t>416</w:t>
      </w:r>
      <w:r>
        <w:rPr>
          <w:kern w:val="0"/>
        </w:rPr>
        <w:t xml:space="preserve"> (1), 15-18.</w:t>
      </w:r>
    </w:p>
    <w:p w:rsidR="00E724A8" w:rsidRDefault="00E724A8" w:rsidP="00E724A8">
      <w:pPr>
        <w:pStyle w:val="a0"/>
        <w:rPr>
          <w:kern w:val="0"/>
        </w:rPr>
      </w:pPr>
      <w:r>
        <w:rPr>
          <w:rFonts w:hint="eastAsia"/>
          <w:kern w:val="0"/>
        </w:rPr>
        <w:t xml:space="preserve">Full Text: </w:t>
      </w:r>
      <w:hyperlink r:id="rId31" w:history="1">
        <w:r w:rsidRPr="00E724A8">
          <w:rPr>
            <w:rStyle w:val="a5"/>
            <w:kern w:val="0"/>
          </w:rPr>
          <w:t>1997\FEBS Let416, 15.pdf</w:t>
        </w:r>
      </w:hyperlink>
    </w:p>
    <w:p w:rsidR="00E724A8" w:rsidRDefault="00E724A8" w:rsidP="00E724A8">
      <w:pPr>
        <w:pStyle w:val="a0"/>
        <w:rPr>
          <w:kern w:val="0"/>
        </w:rPr>
      </w:pPr>
      <w:r>
        <w:rPr>
          <w:kern w:val="0"/>
        </w:rPr>
        <w:t>Abstract: Formation of H2O2 has been studied in rat heart mitochondria, pretreated,vith H2O2</w:t>
      </w:r>
      <w:r w:rsidR="00F81221">
        <w:rPr>
          <w:kern w:val="0"/>
        </w:rPr>
        <w:t xml:space="preserve"> and </w:t>
      </w:r>
      <w:r>
        <w:rPr>
          <w:kern w:val="0"/>
        </w:rPr>
        <w:t>aminotriazole to lower their antioxidant capacity. It is shown that the rate of H2O2 formation by mitochondria oxidizing 6 mM succinate is inhibited by a protonophorous uncoupler, ADP</w:t>
      </w:r>
      <w:r w:rsidR="00F81221">
        <w:rPr>
          <w:kern w:val="0"/>
        </w:rPr>
        <w:t xml:space="preserve"> and </w:t>
      </w:r>
      <w:r>
        <w:rPr>
          <w:kern w:val="0"/>
        </w:rPr>
        <w:t>phosphate, malonate, rotenone</w:t>
      </w:r>
      <w:r w:rsidR="00F81221">
        <w:rPr>
          <w:kern w:val="0"/>
        </w:rPr>
        <w:t xml:space="preserve"> and </w:t>
      </w:r>
      <w:r>
        <w:rPr>
          <w:kern w:val="0"/>
        </w:rPr>
        <w:t>myxothiazol,</w:t>
      </w:r>
      <w:r w:rsidR="00F81221">
        <w:rPr>
          <w:kern w:val="0"/>
        </w:rPr>
        <w:t xml:space="preserve"> and </w:t>
      </w:r>
      <w:r>
        <w:rPr>
          <w:kern w:val="0"/>
        </w:rPr>
        <w:t>is stimulated by antimycin A. The effect of ADP is abolished by carboxyatractylate</w:t>
      </w:r>
      <w:r w:rsidR="00F81221">
        <w:rPr>
          <w:kern w:val="0"/>
        </w:rPr>
        <w:t xml:space="preserve"> and </w:t>
      </w:r>
      <w:r>
        <w:rPr>
          <w:kern w:val="0"/>
        </w:rPr>
        <w:t>oligomycin. Addition of uncoupler after rotenone induces further inhibition of H2O2 production. Inhibition of H2O2 formation by uncoupler, malonate</w:t>
      </w:r>
      <w:r w:rsidR="00F81221">
        <w:rPr>
          <w:kern w:val="0"/>
        </w:rPr>
        <w:t xml:space="preserve"> and </w:t>
      </w:r>
      <w:r>
        <w:rPr>
          <w:kern w:val="0"/>
        </w:rPr>
        <w:t>ADP+P-i is shown to be proportional to the Delta Psi decrease by these compounds. A threshold Delta Psi value is found, above which a very strong increase in H2O2 production takes place. This threshold slightly exceeds the state 3 Delta Psi level, The data obtained are in line with the concept [Skulachev, V.P., Q. Rev. Biophys. 29 (1996), 169-202] that a high proton motive force in state 4 is potentially dangerous for the cell due to an increase in the probability of superoxide formation. (C) 1997 Federation of European Biochemical Societies.</w:t>
      </w:r>
    </w:p>
    <w:p w:rsidR="00E724A8" w:rsidRDefault="00E724A8" w:rsidP="00E724A8">
      <w:pPr>
        <w:pStyle w:val="a0"/>
        <w:rPr>
          <w:kern w:val="0"/>
        </w:rPr>
      </w:pPr>
      <w:r>
        <w:rPr>
          <w:kern w:val="0"/>
        </w:rPr>
        <w:t>Keywords: Cells, Cytochrome-C, Hydrogen-Peroxide, Mitochondria, Probe, Protonic Potential, Rat, Reactive Oxygen Species, Safranine, Science, Systems, Uncoupling</w:t>
      </w:r>
    </w:p>
    <w:p w:rsidR="00913866" w:rsidRPr="00A428C3" w:rsidRDefault="00913866" w:rsidP="00913866">
      <w:pPr>
        <w:pStyle w:val="1"/>
      </w:pPr>
      <w:r w:rsidRPr="00A428C3">
        <w:br w:type="page"/>
      </w:r>
      <w:bookmarkStart w:id="27" w:name="_Toc317160815"/>
      <w:r w:rsidRPr="00A428C3">
        <w:lastRenderedPageBreak/>
        <w:t xml:space="preserve">Title: </w:t>
      </w:r>
      <w:r w:rsidRPr="00E3022B">
        <w:rPr>
          <w:iCs/>
        </w:rPr>
        <w:t>Federal Probation</w:t>
      </w:r>
      <w:bookmarkEnd w:id="27"/>
    </w:p>
    <w:p w:rsidR="00913866" w:rsidRPr="00A428C3" w:rsidRDefault="00913866" w:rsidP="00B72EF9">
      <w:pPr>
        <w:pStyle w:val="12"/>
      </w:pPr>
      <w:r w:rsidRPr="00A428C3">
        <w:t xml:space="preserve">Full Journal Title: </w:t>
      </w:r>
      <w:r w:rsidRPr="00E3022B">
        <w:rPr>
          <w:iCs/>
        </w:rPr>
        <w:t>Federal Probation</w:t>
      </w:r>
    </w:p>
    <w:p w:rsidR="00913866" w:rsidRPr="00A428C3" w:rsidRDefault="00913866" w:rsidP="00B72EF9">
      <w:pPr>
        <w:pStyle w:val="12"/>
      </w:pPr>
      <w:r w:rsidRPr="00A428C3">
        <w:t xml:space="preserve">ISO Abbreviated Title: </w:t>
      </w:r>
    </w:p>
    <w:p w:rsidR="00913866" w:rsidRPr="00A428C3" w:rsidRDefault="00913866" w:rsidP="00B72EF9">
      <w:pPr>
        <w:pStyle w:val="12"/>
      </w:pPr>
      <w:r w:rsidRPr="00A428C3">
        <w:t xml:space="preserve">JCR Abbreviated Title: </w:t>
      </w:r>
    </w:p>
    <w:p w:rsidR="00913866" w:rsidRPr="00A428C3" w:rsidRDefault="00913866" w:rsidP="00B72EF9">
      <w:pPr>
        <w:pStyle w:val="12"/>
      </w:pPr>
      <w:r w:rsidRPr="00A428C3">
        <w:t xml:space="preserve">ISSN: </w:t>
      </w:r>
    </w:p>
    <w:p w:rsidR="00913866" w:rsidRPr="00A428C3" w:rsidRDefault="00913866" w:rsidP="00B72EF9">
      <w:pPr>
        <w:pStyle w:val="12"/>
      </w:pPr>
      <w:r w:rsidRPr="00A428C3">
        <w:t xml:space="preserve">Issues/Year: </w:t>
      </w:r>
    </w:p>
    <w:p w:rsidR="00913866" w:rsidRPr="00A428C3" w:rsidRDefault="00913866" w:rsidP="00B72EF9">
      <w:pPr>
        <w:pStyle w:val="12"/>
      </w:pPr>
      <w:r w:rsidRPr="00A428C3">
        <w:t xml:space="preserve">Journal Country/Territory: </w:t>
      </w:r>
    </w:p>
    <w:p w:rsidR="00913866" w:rsidRPr="00A428C3" w:rsidRDefault="00913866" w:rsidP="00B72EF9">
      <w:pPr>
        <w:pStyle w:val="12"/>
      </w:pPr>
      <w:r w:rsidRPr="00A428C3">
        <w:t xml:space="preserve">Language: </w:t>
      </w:r>
    </w:p>
    <w:p w:rsidR="00913866" w:rsidRPr="00A428C3" w:rsidRDefault="00913866" w:rsidP="00B72EF9">
      <w:pPr>
        <w:pStyle w:val="12"/>
      </w:pPr>
      <w:r w:rsidRPr="00A428C3">
        <w:t>Publisher:</w:t>
      </w:r>
    </w:p>
    <w:p w:rsidR="00913866" w:rsidRPr="00A428C3" w:rsidRDefault="00913866" w:rsidP="00B72EF9">
      <w:pPr>
        <w:pStyle w:val="12"/>
      </w:pPr>
      <w:r w:rsidRPr="00A428C3">
        <w:t xml:space="preserve">Publisher Address: </w:t>
      </w:r>
    </w:p>
    <w:p w:rsidR="00913866" w:rsidRPr="00A428C3" w:rsidRDefault="00913866" w:rsidP="00B72EF9">
      <w:pPr>
        <w:pStyle w:val="12"/>
      </w:pPr>
      <w:r w:rsidRPr="00A428C3">
        <w:t>Subject Categories:</w:t>
      </w:r>
    </w:p>
    <w:p w:rsidR="00913866" w:rsidRPr="00A428C3" w:rsidRDefault="00913866" w:rsidP="00B72EF9">
      <w:pPr>
        <w:pStyle w:val="12"/>
      </w:pPr>
      <w:r w:rsidRPr="00A428C3">
        <w:t xml:space="preserve">: Impact Factor </w:t>
      </w:r>
    </w:p>
    <w:p w:rsidR="00913866" w:rsidRDefault="00913866" w:rsidP="00913866">
      <w:pPr>
        <w:pStyle w:val="a0"/>
        <w:rPr>
          <w:kern w:val="0"/>
        </w:rPr>
      </w:pPr>
      <w:r>
        <w:rPr>
          <w:kern w:val="0"/>
        </w:rPr>
        <w:t>? Corbett, R.P.</w:t>
      </w:r>
      <w:r w:rsidR="00F81221">
        <w:rPr>
          <w:kern w:val="0"/>
        </w:rPr>
        <w:t xml:space="preserve"> and </w:t>
      </w:r>
      <w:r>
        <w:rPr>
          <w:kern w:val="0"/>
        </w:rPr>
        <w:t xml:space="preserve">Harris, M.K. (1997), A review of research for practitioners: Our </w:t>
      </w:r>
      <w:r w:rsidR="000352E7">
        <w:rPr>
          <w:kern w:val="0"/>
        </w:rPr>
        <w:t>“</w:t>
      </w:r>
      <w:r>
        <w:rPr>
          <w:kern w:val="0"/>
        </w:rPr>
        <w:t>Top Ten</w:t>
      </w:r>
      <w:r w:rsidR="000352E7">
        <w:rPr>
          <w:kern w:val="0"/>
        </w:rPr>
        <w:t>”</w:t>
      </w:r>
      <w:r>
        <w:rPr>
          <w:kern w:val="0"/>
        </w:rPr>
        <w:t xml:space="preserve"> list of books</w:t>
      </w:r>
      <w:r w:rsidR="00F81221">
        <w:rPr>
          <w:kern w:val="0"/>
        </w:rPr>
        <w:t xml:space="preserve"> and </w:t>
      </w:r>
      <w:r>
        <w:rPr>
          <w:kern w:val="0"/>
        </w:rPr>
        <w:t xml:space="preserve">articles in 1996. </w:t>
      </w:r>
      <w:r w:rsidRPr="00E3022B">
        <w:rPr>
          <w:i/>
          <w:iCs/>
          <w:kern w:val="0"/>
        </w:rPr>
        <w:t>Federal Probation</w:t>
      </w:r>
      <w:r>
        <w:rPr>
          <w:kern w:val="0"/>
        </w:rPr>
        <w:t xml:space="preserve">, </w:t>
      </w:r>
      <w:r>
        <w:rPr>
          <w:b/>
          <w:bCs/>
          <w:kern w:val="0"/>
        </w:rPr>
        <w:t>61</w:t>
      </w:r>
      <w:r>
        <w:rPr>
          <w:kern w:val="0"/>
        </w:rPr>
        <w:t xml:space="preserve"> (3), 63-70.</w:t>
      </w:r>
    </w:p>
    <w:p w:rsidR="00913866" w:rsidRPr="001A3D2B" w:rsidRDefault="00913866" w:rsidP="00913866">
      <w:pPr>
        <w:pStyle w:val="a0"/>
      </w:pPr>
      <w:r w:rsidRPr="001A3D2B">
        <w:t xml:space="preserve">Full Text: </w:t>
      </w:r>
      <w:r w:rsidRPr="00381C7A">
        <w:t>Fed Pro61, 63.pdf</w:t>
      </w:r>
    </w:p>
    <w:p w:rsidR="00913866" w:rsidRDefault="00913866" w:rsidP="00913866">
      <w:pPr>
        <w:pStyle w:val="a0"/>
        <w:rPr>
          <w:kern w:val="0"/>
        </w:rPr>
      </w:pPr>
      <w:r>
        <w:rPr>
          <w:kern w:val="0"/>
        </w:rPr>
        <w:t>Keywords: Articles, Books, Research, Review</w:t>
      </w:r>
    </w:p>
    <w:p w:rsidR="00B95188" w:rsidRPr="00A428C3" w:rsidRDefault="00B95188" w:rsidP="00B95188">
      <w:pPr>
        <w:pStyle w:val="1"/>
      </w:pPr>
      <w:r w:rsidRPr="00A428C3">
        <w:br w:type="page"/>
      </w:r>
      <w:bookmarkStart w:id="28" w:name="_Toc186647657"/>
      <w:bookmarkStart w:id="29" w:name="_Toc317160816"/>
      <w:r w:rsidRPr="00A428C3">
        <w:lastRenderedPageBreak/>
        <w:t xml:space="preserve">Title: </w:t>
      </w:r>
      <w:r w:rsidRPr="00A428C3">
        <w:rPr>
          <w:szCs w:val="19"/>
        </w:rPr>
        <w:t>Federation Proceedings</w:t>
      </w:r>
      <w:bookmarkEnd w:id="28"/>
      <w:bookmarkEnd w:id="29"/>
    </w:p>
    <w:p w:rsidR="00B95188" w:rsidRPr="00A428C3" w:rsidRDefault="00B95188" w:rsidP="00B72EF9">
      <w:pPr>
        <w:pStyle w:val="12"/>
      </w:pPr>
      <w:r w:rsidRPr="00A428C3">
        <w:t>Full Journal Title: Federation Proceedings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Publisher:</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Boyle, A.J.</w:t>
      </w:r>
      <w:r w:rsidRPr="00A428C3">
        <w:rPr>
          <w:szCs w:val="19"/>
        </w:rPr>
        <w:t xml:space="preserve">, </w:t>
      </w:r>
      <w:r w:rsidRPr="00A428C3">
        <w:t>Mosher, R.E.</w:t>
      </w:r>
      <w:r w:rsidRPr="00A428C3">
        <w:rPr>
          <w:szCs w:val="19"/>
        </w:rPr>
        <w:t xml:space="preserve">, </w:t>
      </w:r>
      <w:smartTag w:uri="urn:schemas-microsoft-com:office:smarttags" w:element="City">
        <w:r w:rsidRPr="00A428C3">
          <w:t>Clarke</w:t>
        </w:r>
      </w:smartTag>
      <w:r w:rsidRPr="00A428C3">
        <w:t>, N.E.</w:t>
      </w:r>
      <w:r w:rsidR="00F81221">
        <w:t xml:space="preserve"> and </w:t>
      </w:r>
      <w:r w:rsidRPr="00A428C3">
        <w:t xml:space="preserve">Mccann, D.S. (1961), </w:t>
      </w:r>
      <w:r w:rsidRPr="00A428C3">
        <w:rPr>
          <w:szCs w:val="19"/>
        </w:rPr>
        <w:t>Chelation therapy in circulatory</w:t>
      </w:r>
      <w:r w:rsidR="00F81221">
        <w:rPr>
          <w:szCs w:val="19"/>
        </w:rPr>
        <w:t xml:space="preserve"> and </w:t>
      </w:r>
      <w:r w:rsidRPr="00A428C3">
        <w:rPr>
          <w:szCs w:val="19"/>
        </w:rPr>
        <w:t>sclerosing diseases</w:t>
      </w:r>
      <w:r w:rsidRPr="00A428C3">
        <w:t xml:space="preserve">. </w:t>
      </w:r>
      <w:r w:rsidRPr="00A428C3">
        <w:rPr>
          <w:i/>
          <w:szCs w:val="19"/>
        </w:rPr>
        <w:t>Federation Proceedings</w:t>
      </w:r>
      <w:r w:rsidRPr="00A428C3">
        <w:t xml:space="preserve">, </w:t>
      </w:r>
      <w:r w:rsidRPr="00A428C3">
        <w:rPr>
          <w:b/>
        </w:rPr>
        <w:t>20</w:t>
      </w:r>
      <w:r w:rsidRPr="00A428C3">
        <w:t xml:space="preserve"> (3), </w:t>
      </w:r>
      <w:r w:rsidRPr="00A428C3">
        <w:rPr>
          <w:szCs w:val="19"/>
        </w:rPr>
        <w:t>243-252</w:t>
      </w:r>
      <w:r w:rsidRPr="00A428C3">
        <w:t>.</w:t>
      </w:r>
    </w:p>
    <w:p w:rsidR="00B95188" w:rsidRPr="00A428C3" w:rsidRDefault="00B95188" w:rsidP="00B95188">
      <w:pPr>
        <w:pStyle w:val="a0"/>
      </w:pPr>
      <w:r w:rsidRPr="00A428C3">
        <w:t xml:space="preserve">? Perry, H.M. (1961), </w:t>
      </w:r>
      <w:r w:rsidRPr="00A428C3">
        <w:rPr>
          <w:szCs w:val="19"/>
        </w:rPr>
        <w:t>Chelation therapy in circulatory</w:t>
      </w:r>
      <w:r w:rsidR="00F81221">
        <w:rPr>
          <w:szCs w:val="19"/>
        </w:rPr>
        <w:t xml:space="preserve"> and </w:t>
      </w:r>
      <w:r w:rsidRPr="00A428C3">
        <w:rPr>
          <w:szCs w:val="19"/>
        </w:rPr>
        <w:t>sclerosing diseases</w:t>
      </w:r>
      <w:r w:rsidRPr="00A428C3">
        <w:t xml:space="preserve">. </w:t>
      </w:r>
      <w:r w:rsidRPr="00A428C3">
        <w:rPr>
          <w:i/>
          <w:szCs w:val="19"/>
        </w:rPr>
        <w:t>Federation Proceedings</w:t>
      </w:r>
      <w:r w:rsidRPr="00A428C3">
        <w:t xml:space="preserve">, </w:t>
      </w:r>
      <w:r w:rsidRPr="00A428C3">
        <w:rPr>
          <w:b/>
        </w:rPr>
        <w:t>20</w:t>
      </w:r>
      <w:r w:rsidRPr="00A428C3">
        <w:t xml:space="preserve"> (3), </w:t>
      </w:r>
      <w:r w:rsidRPr="00A428C3">
        <w:rPr>
          <w:szCs w:val="19"/>
        </w:rPr>
        <w:t>254-257</w:t>
      </w:r>
      <w:r w:rsidRPr="00A428C3">
        <w:t>.</w:t>
      </w:r>
    </w:p>
    <w:p w:rsidR="00B95188" w:rsidRPr="00A428C3" w:rsidRDefault="00B95188" w:rsidP="00B95188">
      <w:pPr>
        <w:pStyle w:val="1"/>
      </w:pPr>
      <w:r w:rsidRPr="00A428C3">
        <w:br w:type="page"/>
      </w:r>
      <w:bookmarkStart w:id="30" w:name="_Toc487192710"/>
      <w:bookmarkStart w:id="31" w:name="_Toc489709725"/>
      <w:bookmarkStart w:id="32" w:name="_Toc490687957"/>
      <w:bookmarkStart w:id="33" w:name="_Toc186647658"/>
      <w:bookmarkStart w:id="34" w:name="_Toc317160817"/>
      <w:r w:rsidRPr="00A428C3">
        <w:lastRenderedPageBreak/>
        <w:t>Title: FEMS Microbiology Ecology</w:t>
      </w:r>
      <w:bookmarkEnd w:id="30"/>
      <w:bookmarkEnd w:id="31"/>
      <w:bookmarkEnd w:id="32"/>
      <w:bookmarkEnd w:id="33"/>
      <w:bookmarkEnd w:id="34"/>
    </w:p>
    <w:p w:rsidR="00B95188" w:rsidRPr="00A428C3" w:rsidRDefault="00B95188" w:rsidP="00B72EF9">
      <w:pPr>
        <w:pStyle w:val="12"/>
      </w:pPr>
      <w:r w:rsidRPr="00A428C3">
        <w:t xml:space="preserve">Full Journal Title: </w:t>
      </w:r>
      <w:hyperlink r:id="rId32" w:history="1">
        <w:r w:rsidRPr="00A428C3">
          <w:rPr>
            <w:rStyle w:val="a5"/>
          </w:rPr>
          <w:t>FEMS Microbiology Ecology</w:t>
        </w:r>
      </w:hyperlink>
    </w:p>
    <w:p w:rsidR="00B95188" w:rsidRPr="00A428C3" w:rsidRDefault="00B95188" w:rsidP="00B72EF9">
      <w:pPr>
        <w:pStyle w:val="12"/>
      </w:pPr>
      <w:r w:rsidRPr="00A428C3">
        <w:t>ISO Abbreviated Title: FEMS Microbiol. Ecol.</w:t>
      </w:r>
    </w:p>
    <w:p w:rsidR="00B95188" w:rsidRPr="00A428C3" w:rsidRDefault="00B95188" w:rsidP="00B72EF9">
      <w:pPr>
        <w:pStyle w:val="12"/>
      </w:pPr>
      <w:r w:rsidRPr="00A428C3">
        <w:t>JCR Abbreviated Title: FEMS Microbiol Ecol</w:t>
      </w:r>
    </w:p>
    <w:p w:rsidR="00B95188" w:rsidRPr="00A428C3" w:rsidRDefault="00B95188" w:rsidP="00B72EF9">
      <w:pPr>
        <w:pStyle w:val="12"/>
      </w:pPr>
      <w:r w:rsidRPr="00A428C3">
        <w:t>ISSN: 0168-6496</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Microbiology: Impact Factor </w:t>
      </w:r>
    </w:p>
    <w:p w:rsidR="00B95188" w:rsidRPr="00A428C3" w:rsidRDefault="00B95188" w:rsidP="00B95188">
      <w:pPr>
        <w:pStyle w:val="a0"/>
      </w:pPr>
      <w:r w:rsidRPr="00A428C3">
        <w:t>Byrd, J.J.</w:t>
      </w:r>
      <w:r w:rsidR="00F81221">
        <w:t xml:space="preserve"> and </w:t>
      </w:r>
      <w:r w:rsidRPr="00A428C3">
        <w:t>Colwell, R.R. (1993), Long-term survival</w:t>
      </w:r>
      <w:r w:rsidR="00F81221">
        <w:t xml:space="preserve"> and </w:t>
      </w:r>
      <w:r w:rsidRPr="00A428C3">
        <w:t xml:space="preserve">plasmid maintenance of </w:t>
      </w:r>
      <w:r w:rsidRPr="00A428C3">
        <w:rPr>
          <w:i/>
          <w:iCs/>
        </w:rPr>
        <w:t>Escherichia</w:t>
      </w:r>
      <w:r w:rsidRPr="00A428C3">
        <w:t xml:space="preserve"> </w:t>
      </w:r>
      <w:r w:rsidRPr="00A428C3">
        <w:rPr>
          <w:i/>
          <w:iCs/>
        </w:rPr>
        <w:t>coli</w:t>
      </w:r>
      <w:r w:rsidRPr="00A428C3">
        <w:t xml:space="preserve"> in marine microcosms. </w:t>
      </w:r>
      <w:r w:rsidRPr="00A428C3">
        <w:rPr>
          <w:i/>
        </w:rPr>
        <w:t>FEMS Microbiology Ecology</w:t>
      </w:r>
      <w:r w:rsidRPr="00A428C3">
        <w:t xml:space="preserve">, </w:t>
      </w:r>
      <w:r w:rsidRPr="00A428C3">
        <w:rPr>
          <w:b/>
        </w:rPr>
        <w:t>12</w:t>
      </w:r>
      <w:r w:rsidRPr="00A428C3">
        <w:t xml:space="preserve"> (1), 9-14.</w:t>
      </w:r>
    </w:p>
    <w:p w:rsidR="00B95188" w:rsidRPr="00A428C3" w:rsidRDefault="00B95188" w:rsidP="00B95188">
      <w:pPr>
        <w:pStyle w:val="a0"/>
      </w:pPr>
      <w:r w:rsidRPr="00A428C3">
        <w:t xml:space="preserve">Full Text: </w:t>
      </w:r>
      <w:hyperlink r:id="rId33" w:history="1">
        <w:r w:rsidRPr="00A428C3">
          <w:rPr>
            <w:rStyle w:val="a5"/>
          </w:rPr>
          <w:t>F\FEM Mic Eco12, 9.pdf</w:t>
        </w:r>
      </w:hyperlink>
    </w:p>
    <w:p w:rsidR="00B95188" w:rsidRPr="00A428C3" w:rsidRDefault="00B95188" w:rsidP="00B95188">
      <w:pPr>
        <w:pStyle w:val="a0"/>
      </w:pPr>
      <w:r w:rsidRPr="00A428C3">
        <w:t>Abstract: The survival pattern</w:t>
      </w:r>
      <w:r w:rsidR="00F81221">
        <w:t xml:space="preserve"> and </w:t>
      </w:r>
      <w:r w:rsidRPr="00A428C3">
        <w:t xml:space="preserve">plasmid maintenance of </w:t>
      </w:r>
      <w:r w:rsidRPr="00A428C3">
        <w:rPr>
          <w:i/>
          <w:iCs/>
        </w:rPr>
        <w:t>Escherichia coli</w:t>
      </w:r>
      <w:r w:rsidRPr="00A428C3">
        <w:t xml:space="preserve"> was examined in an artificial seawater microcosm. It was found that the three strains of </w:t>
      </w:r>
      <w:r w:rsidRPr="00A428C3">
        <w:rPr>
          <w:i/>
          <w:iCs/>
        </w:rPr>
        <w:t>E. coli</w:t>
      </w:r>
      <w:r w:rsidRPr="00A428C3">
        <w:t xml:space="preserve"> (EK</w:t>
      </w:r>
      <w:smartTag w:uri="urn:schemas-microsoft-com:office:smarttags" w:element="chmetcnv">
        <w:smartTagPr>
          <w:attr w:name="TCSC" w:val="0"/>
          <w:attr w:name="NumberType" w:val="1"/>
          <w:attr w:name="Negative" w:val="False"/>
          <w:attr w:name="HasSpace" w:val="False"/>
          <w:attr w:name="SourceValue" w:val="3"/>
          <w:attr w:name="UnitName" w:val="C"/>
        </w:smartTagPr>
        <w:r w:rsidRPr="00A428C3">
          <w:t>3C</w:t>
        </w:r>
      </w:smartTag>
      <w:r w:rsidRPr="00A428C3">
        <w:t>, H10407</w:t>
      </w:r>
      <w:r w:rsidR="00F81221">
        <w:t xml:space="preserve"> and </w:t>
      </w:r>
      <w:r w:rsidRPr="00A428C3">
        <w:t xml:space="preserve">34309) included in the study were able to maintain a portion of cells in the culturable phase for at least 3 years in artificial seawater. Along with retaining culturability, that portion of the cell population also maintained their indigenous plasmids over the 3-year period. It is concluded that cells of </w:t>
      </w:r>
      <w:r w:rsidRPr="00A428C3">
        <w:rPr>
          <w:i/>
          <w:iCs/>
        </w:rPr>
        <w:t>E. coli</w:t>
      </w:r>
      <w:r w:rsidRPr="00A428C3">
        <w:t xml:space="preserve"> maintaining culturability in seawater are selectively adapted to the salinity of seawater, remaining in a culturable state. The results of the study are significant in that it has been assumed by many public health authorities that </w:t>
      </w:r>
      <w:r w:rsidRPr="00A428C3">
        <w:rPr>
          <w:i/>
          <w:iCs/>
        </w:rPr>
        <w:t>E. coli</w:t>
      </w:r>
      <w:r w:rsidRPr="00A428C3">
        <w:t xml:space="preserve"> cannot survive, without nutrient addition, in seawater for long periods of time, i.e., years of exposure to seawater.</w:t>
      </w:r>
    </w:p>
    <w:p w:rsidR="00B95188" w:rsidRPr="00A428C3" w:rsidRDefault="00B95188" w:rsidP="00B95188">
      <w:pPr>
        <w:pStyle w:val="a0"/>
      </w:pPr>
      <w:r w:rsidRPr="00A428C3">
        <w:t xml:space="preserve">Keywords: Long-Term Survival, Plasmid Maintenance, Survival of </w:t>
      </w:r>
      <w:r w:rsidRPr="00A428C3">
        <w:rPr>
          <w:i/>
          <w:iCs/>
        </w:rPr>
        <w:t>Escherichia Coli</w:t>
      </w:r>
    </w:p>
    <w:p w:rsidR="00B95188" w:rsidRPr="00A428C3" w:rsidRDefault="00B95188" w:rsidP="00B95188">
      <w:pPr>
        <w:pStyle w:val="1"/>
      </w:pPr>
      <w:r w:rsidRPr="00A428C3">
        <w:br w:type="page"/>
      </w:r>
      <w:bookmarkStart w:id="35" w:name="_Toc7177649"/>
      <w:bookmarkStart w:id="36" w:name="_Toc186647659"/>
      <w:bookmarkStart w:id="37" w:name="_Toc317160818"/>
      <w:r w:rsidRPr="00A428C3">
        <w:lastRenderedPageBreak/>
        <w:t>Title: FEMS Microbiology Letters</w:t>
      </w:r>
      <w:bookmarkEnd w:id="35"/>
      <w:bookmarkEnd w:id="36"/>
      <w:bookmarkEnd w:id="37"/>
    </w:p>
    <w:p w:rsidR="00B95188" w:rsidRPr="00A428C3" w:rsidRDefault="00B95188" w:rsidP="00B72EF9">
      <w:pPr>
        <w:pStyle w:val="12"/>
      </w:pPr>
      <w:r w:rsidRPr="00A428C3">
        <w:t xml:space="preserve">Full Journal Title: </w:t>
      </w:r>
      <w:hyperlink r:id="rId34" w:history="1">
        <w:r w:rsidRPr="00A428C3">
          <w:rPr>
            <w:rStyle w:val="a5"/>
          </w:rPr>
          <w:t>FEMS Microbiology Letters</w:t>
        </w:r>
      </w:hyperlink>
    </w:p>
    <w:p w:rsidR="00B95188" w:rsidRPr="00A428C3" w:rsidRDefault="00B95188" w:rsidP="00B72EF9">
      <w:pPr>
        <w:pStyle w:val="12"/>
      </w:pPr>
      <w:r w:rsidRPr="00A428C3">
        <w:t>ISO Abbreviated Title: FEMS Microbiol. Lett.</w:t>
      </w:r>
    </w:p>
    <w:p w:rsidR="00B95188" w:rsidRPr="00A428C3" w:rsidRDefault="00B95188" w:rsidP="00B72EF9">
      <w:pPr>
        <w:pStyle w:val="12"/>
      </w:pPr>
      <w:r w:rsidRPr="00A428C3">
        <w:t>JCR Abbreviated Title: FEMS Microbiol Lett</w:t>
      </w:r>
    </w:p>
    <w:p w:rsidR="00B95188" w:rsidRPr="00A428C3" w:rsidRDefault="00B95188" w:rsidP="00B72EF9">
      <w:pPr>
        <w:pStyle w:val="12"/>
      </w:pPr>
      <w:r w:rsidRPr="00A428C3">
        <w:t>ISSN: 0378-1097</w:t>
      </w:r>
    </w:p>
    <w:p w:rsidR="00B95188" w:rsidRPr="00A428C3" w:rsidRDefault="00B95188" w:rsidP="00B72EF9">
      <w:pPr>
        <w:pStyle w:val="12"/>
      </w:pPr>
      <w:r w:rsidRPr="00A428C3">
        <w:t>Issues/Year: 24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Microbiology: Impact Factor 1.615, 39/83 (2000)</w:t>
      </w:r>
    </w:p>
    <w:p w:rsidR="00B95188" w:rsidRPr="00A428C3" w:rsidRDefault="00B95188" w:rsidP="00B95188">
      <w:pPr>
        <w:pStyle w:val="a0"/>
      </w:pPr>
      <w:r w:rsidRPr="00A428C3">
        <w:t>Savvaidis, I., Hughes, M.N.</w:t>
      </w:r>
      <w:r w:rsidR="00F81221">
        <w:t xml:space="preserve"> and </w:t>
      </w:r>
      <w:r w:rsidRPr="00A428C3">
        <w:t>Poole, R.K. (1992), Differential pulse polarography: A method of directly measuring uptake of metal ions by live bacteria without separation of biomass</w:t>
      </w:r>
      <w:r w:rsidR="00F81221">
        <w:t xml:space="preserve"> and </w:t>
      </w:r>
      <w:r w:rsidRPr="00A428C3">
        <w:t xml:space="preserve">medium. </w:t>
      </w:r>
      <w:r w:rsidRPr="00A428C3">
        <w:rPr>
          <w:i/>
          <w:iCs/>
        </w:rPr>
        <w:t>FEMS Microbiology Letters</w:t>
      </w:r>
      <w:r w:rsidRPr="00A428C3">
        <w:t xml:space="preserve">, </w:t>
      </w:r>
      <w:r w:rsidRPr="00A428C3">
        <w:rPr>
          <w:b/>
        </w:rPr>
        <w:t>92</w:t>
      </w:r>
      <w:r w:rsidRPr="00A428C3">
        <w:t xml:space="preserve"> (2), 181-186.</w:t>
      </w:r>
    </w:p>
    <w:p w:rsidR="00B95188" w:rsidRPr="00A428C3" w:rsidRDefault="00B95188" w:rsidP="00B95188">
      <w:pPr>
        <w:pStyle w:val="a0"/>
      </w:pPr>
      <w:r w:rsidRPr="00A428C3">
        <w:t xml:space="preserve">Full Text: </w:t>
      </w:r>
      <w:hyperlink r:id="rId35" w:history="1">
        <w:r w:rsidRPr="00A428C3">
          <w:rPr>
            <w:rStyle w:val="a5"/>
          </w:rPr>
          <w:t>F\FEMS Mic Let92, 181.pdf</w:t>
        </w:r>
      </w:hyperlink>
    </w:p>
    <w:p w:rsidR="00B95188" w:rsidRPr="00A428C3" w:rsidRDefault="00B95188" w:rsidP="00B95188">
      <w:pPr>
        <w:pStyle w:val="a0"/>
      </w:pPr>
      <w:r w:rsidRPr="00A428C3">
        <w:t xml:space="preserve">Abstract: The technique of differential pulse polarography is shown here for the first time to be applicable to monitoring directly the uptake of metal ions from solution by live bacteria in the chamber of the polarograph. The potential at which the polarographic current peak is observed is characteristic of the metal, whereas peak height is proportional to metal concentration. Adding solutions of Cd(II) or Zn(II) to a suspension of </w:t>
      </w:r>
      <w:r w:rsidRPr="00A428C3">
        <w:rPr>
          <w:i/>
          <w:iCs/>
        </w:rPr>
        <w:t>Pseudomonas cepacia</w:t>
      </w:r>
      <w:r w:rsidRPr="00A428C3">
        <w:t xml:space="preserve"> in </w:t>
      </w:r>
      <w:smartTag w:uri="urn:schemas-microsoft-com:office:smarttags" w:element="chmetcnv">
        <w:smartTagPr>
          <w:attr w:name="TCSC" w:val="0"/>
          <w:attr w:name="NumberType" w:val="1"/>
          <w:attr w:name="Negative" w:val="False"/>
          <w:attr w:name="HasSpace" w:val="True"/>
          <w:attr w:name="SourceValue" w:val="50"/>
          <w:attr w:name="UnitName" w:val="mm"/>
        </w:smartTagPr>
        <w:r w:rsidRPr="00A428C3">
          <w:t>50 mM</w:t>
        </w:r>
      </w:smartTag>
      <w:r w:rsidRPr="00A428C3">
        <w:t xml:space="preserve"> Hepes buffer (pH 7.4) in the chamber gave polarographic peaks of lower amplitude than those observed when these metal solutions were added to buffer alone, due to metal binding or uptake by cells. Langmuir plots gave binding capacities of 0.13</w:t>
      </w:r>
      <w:r w:rsidR="00F81221">
        <w:t xml:space="preserve"> and </w:t>
      </w:r>
      <w:r w:rsidRPr="00A428C3">
        <w:t>0.20 mmol metal (Dd or Zn, respectively) per g (dry weight) biomass. Ni(II) uptake was biphasic. Metal uptake increased with pH. The value of polarography for rapid assessment of metal removal by cells</w:t>
      </w:r>
      <w:r w:rsidR="00F81221">
        <w:t xml:space="preserve"> and </w:t>
      </w:r>
      <w:r w:rsidRPr="00A428C3">
        <w:t>the ability to measure uptake from multi-metal solutions is demonstrated.</w:t>
      </w:r>
    </w:p>
    <w:p w:rsidR="00B95188" w:rsidRPr="00A428C3" w:rsidRDefault="00B95188" w:rsidP="00B95188">
      <w:pPr>
        <w:pStyle w:val="a0"/>
      </w:pPr>
      <w:r w:rsidRPr="00A428C3">
        <w:t xml:space="preserve">Keywords: Biosorption, </w:t>
      </w:r>
      <w:r w:rsidRPr="00A428C3">
        <w:rPr>
          <w:i/>
          <w:iCs/>
        </w:rPr>
        <w:t>Pseudomonas</w:t>
      </w:r>
      <w:r w:rsidRPr="00A428C3">
        <w:t>, Copper, Cadmium, Zinc, Nickel</w:t>
      </w:r>
    </w:p>
    <w:p w:rsidR="00CB24B4" w:rsidRPr="00A428C3" w:rsidRDefault="00CB24B4" w:rsidP="00CB24B4">
      <w:pPr>
        <w:pStyle w:val="a0"/>
      </w:pPr>
      <w:r>
        <w:rPr>
          <w:rFonts w:hint="eastAsia"/>
        </w:rPr>
        <w:t>?</w:t>
      </w:r>
      <w:r w:rsidRPr="00CB24B4">
        <w:t xml:space="preserve"> </w:t>
      </w:r>
      <w:r>
        <w:t>Heiss</w:t>
      </w:r>
      <w:r>
        <w:rPr>
          <w:rFonts w:hint="eastAsia"/>
        </w:rPr>
        <w:t>,</w:t>
      </w:r>
      <w:r>
        <w:t xml:space="preserve"> G</w:t>
      </w:r>
      <w:r>
        <w:rPr>
          <w:rFonts w:hint="eastAsia"/>
        </w:rPr>
        <w:t>.</w:t>
      </w:r>
      <w:r>
        <w:t>S</w:t>
      </w:r>
      <w:r>
        <w:rPr>
          <w:rFonts w:hint="eastAsia"/>
        </w:rPr>
        <w:t>.</w:t>
      </w:r>
      <w:r>
        <w:t>, Gowan</w:t>
      </w:r>
      <w:r>
        <w:rPr>
          <w:rFonts w:hint="eastAsia"/>
        </w:rPr>
        <w:t>,</w:t>
      </w:r>
      <w:r>
        <w:t xml:space="preserve"> B</w:t>
      </w:r>
      <w:r>
        <w:rPr>
          <w:rFonts w:hint="eastAsia"/>
        </w:rPr>
        <w:t>.</w:t>
      </w:r>
      <w:r w:rsidR="00F81221">
        <w:rPr>
          <w:rFonts w:hint="eastAsia"/>
        </w:rPr>
        <w:t xml:space="preserve"> and </w:t>
      </w:r>
      <w:r>
        <w:t>Dabbs</w:t>
      </w:r>
      <w:r>
        <w:rPr>
          <w:rFonts w:hint="eastAsia"/>
        </w:rPr>
        <w:t>,</w:t>
      </w:r>
      <w:r>
        <w:t xml:space="preserve"> E</w:t>
      </w:r>
      <w:r>
        <w:rPr>
          <w:rFonts w:hint="eastAsia"/>
        </w:rPr>
        <w:t>.</w:t>
      </w:r>
      <w:r>
        <w:t>R</w:t>
      </w:r>
      <w:r>
        <w:rPr>
          <w:rFonts w:hint="eastAsia"/>
        </w:rPr>
        <w:t>.</w:t>
      </w:r>
      <w:r w:rsidRPr="00A428C3">
        <w:t xml:space="preserve"> (1992), </w:t>
      </w:r>
      <w:r>
        <w:t xml:space="preserve">Cloning of DNA from a </w:t>
      </w:r>
      <w:r w:rsidRPr="00CB24B4">
        <w:rPr>
          <w:i/>
        </w:rPr>
        <w:t>Rhodococcus</w:t>
      </w:r>
      <w:r>
        <w:t xml:space="preserve"> strain conferring the ability to decolorize sulfonated azo dyes</w:t>
      </w:r>
      <w:r w:rsidRPr="00A428C3">
        <w:t xml:space="preserve">. </w:t>
      </w:r>
      <w:r w:rsidRPr="00A428C3">
        <w:rPr>
          <w:i/>
          <w:iCs/>
        </w:rPr>
        <w:t>FEMS Microbiology Letters</w:t>
      </w:r>
      <w:r w:rsidRPr="00A428C3">
        <w:t xml:space="preserve">, </w:t>
      </w:r>
      <w:r>
        <w:rPr>
          <w:rFonts w:hint="eastAsia"/>
          <w:b/>
        </w:rPr>
        <w:t>99</w:t>
      </w:r>
      <w:r w:rsidRPr="00A428C3">
        <w:t xml:space="preserve"> (</w:t>
      </w:r>
      <w:r>
        <w:rPr>
          <w:rFonts w:hint="eastAsia"/>
        </w:rPr>
        <w:t>2</w:t>
      </w:r>
      <w:r w:rsidRPr="00A428C3">
        <w:t xml:space="preserve">-3), </w:t>
      </w:r>
      <w:r>
        <w:t>221-226</w:t>
      </w:r>
      <w:r w:rsidRPr="00A428C3">
        <w:t>.</w:t>
      </w:r>
    </w:p>
    <w:p w:rsidR="00CB24B4" w:rsidRDefault="00CB24B4" w:rsidP="00CB24B4">
      <w:pPr>
        <w:pStyle w:val="a0"/>
      </w:pPr>
      <w:r w:rsidRPr="00A428C3">
        <w:t xml:space="preserve">Full Text: </w:t>
      </w:r>
      <w:hyperlink r:id="rId36" w:history="1">
        <w:r w:rsidRPr="00CB24B4">
          <w:rPr>
            <w:rStyle w:val="a5"/>
          </w:rPr>
          <w:t>1992\FEMS Mic Let99, 221.pdf</w:t>
        </w:r>
      </w:hyperlink>
    </w:p>
    <w:p w:rsidR="00CB24B4" w:rsidRDefault="00CB24B4" w:rsidP="00CB24B4">
      <w:pPr>
        <w:pStyle w:val="a0"/>
      </w:pPr>
      <w:r>
        <w:t>Abstract: Azo dyes are recalcitrant pollutants. Two sulfonated azo dyes, Orange II</w:t>
      </w:r>
      <w:r w:rsidR="00F81221">
        <w:t xml:space="preserve"> and </w:t>
      </w:r>
      <w:r>
        <w:t xml:space="preserve">Amido black, are effectively decolorized by certain nocardioform strains of the genus Rhodococcus. A mutant of one of these strains was isolated which had lost </w:t>
      </w:r>
      <w:r>
        <w:lastRenderedPageBreak/>
        <w:t>azo-dye decolorizing ability</w:t>
      </w:r>
      <w:r w:rsidR="00F81221">
        <w:t xml:space="preserve"> and </w:t>
      </w:r>
      <w:r>
        <w:t>the strain was used to clone DNA conferring this ability, by screening a BclI library constructed from DNA of a decolorizing strain. The relevant genetic information was located on a 6.3-kb fragment of DNA.</w:t>
      </w:r>
    </w:p>
    <w:p w:rsidR="00CB24B4" w:rsidRPr="00A428C3" w:rsidRDefault="00CB24B4" w:rsidP="00CB24B4">
      <w:pPr>
        <w:pStyle w:val="a0"/>
      </w:pPr>
      <w:r>
        <w:t>Keywords: Azo Dye Decolorization, Degradation of Xenobiotics, DNA Cloning, Rhodococcus, Nocardioforms, Microbial Reduction, Orange-II, Degradation</w:t>
      </w:r>
    </w:p>
    <w:p w:rsidR="00CB24B4" w:rsidRPr="00A428C3" w:rsidRDefault="00CB24B4" w:rsidP="00CB24B4">
      <w:pPr>
        <w:pStyle w:val="a0"/>
      </w:pPr>
      <w:r w:rsidRPr="00A428C3">
        <w:t>Garfield, E.</w:t>
      </w:r>
      <w:r w:rsidR="00F81221">
        <w:t xml:space="preserve"> and </w:t>
      </w:r>
      <w:r w:rsidRPr="00A428C3">
        <w:t>Welljamsdorof, A. (1992), The microbiology literature: Languages of publication</w:t>
      </w:r>
      <w:r w:rsidR="00F81221">
        <w:t xml:space="preserve"> and </w:t>
      </w:r>
      <w:r w:rsidRPr="00A428C3">
        <w:t xml:space="preserve">their relative citation impact. </w:t>
      </w:r>
      <w:r w:rsidRPr="00A428C3">
        <w:rPr>
          <w:i/>
          <w:iCs/>
        </w:rPr>
        <w:t>FEMS Microbiology Letters</w:t>
      </w:r>
      <w:r w:rsidRPr="00A428C3">
        <w:t xml:space="preserve">, </w:t>
      </w:r>
      <w:r w:rsidRPr="00A428C3">
        <w:rPr>
          <w:b/>
        </w:rPr>
        <w:t>100</w:t>
      </w:r>
      <w:r w:rsidRPr="00A428C3">
        <w:t xml:space="preserve"> (1-3), 33-37.</w:t>
      </w:r>
    </w:p>
    <w:p w:rsidR="00CB24B4" w:rsidRPr="00A428C3" w:rsidRDefault="00CB24B4" w:rsidP="00CB24B4">
      <w:pPr>
        <w:pStyle w:val="a0"/>
      </w:pPr>
      <w:r w:rsidRPr="00A428C3">
        <w:t xml:space="preserve">Full Text: </w:t>
      </w:r>
      <w:hyperlink r:id="rId37" w:history="1">
        <w:r w:rsidRPr="00A428C3">
          <w:rPr>
            <w:rStyle w:val="a5"/>
          </w:rPr>
          <w:t>F\FEMS Mic Let100, 33.pdf</w:t>
        </w:r>
      </w:hyperlink>
    </w:p>
    <w:p w:rsidR="00B95188" w:rsidRPr="00A428C3" w:rsidRDefault="00B95188" w:rsidP="00B95188">
      <w:pPr>
        <w:pStyle w:val="a0"/>
      </w:pPr>
      <w:r w:rsidRPr="00A428C3">
        <w:t>Abstract: This study examined trends in the number of papers published annually in various languages in 78 microbiology journals indexed in the Science Citation Index(R) (SCI(R)), 1981-1991. Trends in the average number of citations per paper (impact) for each language were also tracked. In addition, interlingual citation patterns were examined. The results showed that English is the lingua franca of microbiology research, accounting for 90-95 percent of all SCI-indexed papers in this time period. Also, the impact of English-language papers was greater than that of other languages by factors ranging from 2.4 to 14.4. Lastly, the majority of citations to papers published in English, German, French, or Italian were from English-language papers. The exception were papers in Russian: more than 90 percent of citations they received were from Russian-language papers.</w:t>
      </w:r>
    </w:p>
    <w:p w:rsidR="00B95188" w:rsidRPr="00A428C3" w:rsidRDefault="00B95188" w:rsidP="00B95188">
      <w:pPr>
        <w:pStyle w:val="a0"/>
      </w:pPr>
      <w:r w:rsidRPr="00A428C3">
        <w:t>Keywords: Citation Analysis, Science Citation Index, Language Trends, Impact Trends, Scientometrics</w:t>
      </w:r>
    </w:p>
    <w:p w:rsidR="00B95188" w:rsidRPr="00A428C3" w:rsidRDefault="00B95188" w:rsidP="00B95188">
      <w:pPr>
        <w:pStyle w:val="a0"/>
      </w:pPr>
      <w:r w:rsidRPr="00A428C3">
        <w:t>Conneely, A., Smyth, W.F.,</w:t>
      </w:r>
      <w:r w:rsidR="00F81221">
        <w:t xml:space="preserve"> and </w:t>
      </w:r>
      <w:r w:rsidRPr="00A428C3">
        <w:t xml:space="preserve">McMullan, G. (1999), Metabolism of the phthalocyanine textile dye remazol turquoise blue by </w:t>
      </w:r>
      <w:r w:rsidRPr="00A428C3">
        <w:rPr>
          <w:i/>
          <w:iCs/>
        </w:rPr>
        <w:t>Phanerochaete chrysosporium</w:t>
      </w:r>
      <w:r w:rsidRPr="00A428C3">
        <w:t xml:space="preserve">. </w:t>
      </w:r>
      <w:r w:rsidRPr="00A428C3">
        <w:rPr>
          <w:i/>
          <w:iCs/>
        </w:rPr>
        <w:t>FEMS Microbiology Letters</w:t>
      </w:r>
      <w:r w:rsidRPr="00A428C3">
        <w:t xml:space="preserve">, </w:t>
      </w:r>
      <w:r w:rsidRPr="00A428C3">
        <w:rPr>
          <w:b/>
        </w:rPr>
        <w:t>179</w:t>
      </w:r>
      <w:r w:rsidRPr="00A428C3">
        <w:t xml:space="preserve"> (2), 333-337.</w:t>
      </w:r>
    </w:p>
    <w:p w:rsidR="00B95188" w:rsidRPr="00A428C3" w:rsidRDefault="00B95188" w:rsidP="00B95188">
      <w:pPr>
        <w:pStyle w:val="a0"/>
      </w:pPr>
      <w:r w:rsidRPr="00A428C3">
        <w:t xml:space="preserve">Full Text: </w:t>
      </w:r>
      <w:hyperlink r:id="rId38" w:history="1">
        <w:r w:rsidRPr="00A428C3">
          <w:rPr>
            <w:rStyle w:val="a5"/>
          </w:rPr>
          <w:t>F\FEMS Mic Let179, 333.pdf</w:t>
        </w:r>
      </w:hyperlink>
    </w:p>
    <w:p w:rsidR="00B95188" w:rsidRPr="00A428C3" w:rsidRDefault="00B95188" w:rsidP="00B95188">
      <w:pPr>
        <w:pStyle w:val="a0"/>
      </w:pPr>
      <w:r w:rsidRPr="00A428C3">
        <w:t>Abstract: The ability of a strain of Phanerochaete chrysosporium to decolourise the commercially important copper-phthalocyanine dye Remazol turquoise blue was investigated. The fungus was found to completely decolourise the dye at a concentration of 200 mg l</w:t>
      </w:r>
      <w:r w:rsidRPr="00A428C3">
        <w:rPr>
          <w:vertAlign w:val="superscript"/>
        </w:rPr>
        <w:t>−1</w:t>
      </w:r>
      <w:r w:rsidRPr="00A428C3">
        <w:t xml:space="preserve"> within 7 days. High performance liquid chromatography (HPLC)</w:t>
      </w:r>
      <w:r w:rsidR="00F81221">
        <w:t xml:space="preserve"> and </w:t>
      </w:r>
      <w:r w:rsidRPr="00A428C3">
        <w:t>polarographic analysis of culture supernatants indicated that degradation of the dye structure was occurring with the detection of one major organic breakdown product</w:t>
      </w:r>
      <w:r w:rsidR="00F81221">
        <w:t xml:space="preserve"> and </w:t>
      </w:r>
      <w:r w:rsidRPr="00A428C3">
        <w:t>the release of up to 50% dye-bound copper into culture supernatants during decolourisation. Biosorption of copper to the fungal biomass was found to occur during the initial stages of dye decolourisation.</w:t>
      </w:r>
    </w:p>
    <w:p w:rsidR="00B95188" w:rsidRPr="00A428C3" w:rsidRDefault="00B95188" w:rsidP="00B95188">
      <w:pPr>
        <w:pStyle w:val="a0"/>
      </w:pPr>
      <w:r w:rsidRPr="00A428C3">
        <w:t>Keywords: Textile Dye, Bioremediation, Phanerochaete Chrysosporium</w:t>
      </w:r>
    </w:p>
    <w:p w:rsidR="00B95188" w:rsidRPr="00A428C3" w:rsidRDefault="00B95188" w:rsidP="00B95188">
      <w:pPr>
        <w:pStyle w:val="a0"/>
      </w:pPr>
      <w:r w:rsidRPr="00A428C3">
        <w:t>? Kwon, H.K., Woo, S.H.</w:t>
      </w:r>
      <w:r w:rsidR="00F81221">
        <w:t xml:space="preserve"> and </w:t>
      </w:r>
      <w:r w:rsidRPr="00A428C3">
        <w:t xml:space="preserve">Park, J.M. (2002), Degradation of tetracyanonickelate(II) by </w:t>
      </w:r>
      <w:r w:rsidRPr="00A428C3">
        <w:rPr>
          <w:i/>
        </w:rPr>
        <w:t>Cryptococcus humicolus</w:t>
      </w:r>
      <w:r w:rsidRPr="00A428C3">
        <w:t xml:space="preserve"> MCN2. </w:t>
      </w:r>
      <w:r w:rsidRPr="00A428C3">
        <w:rPr>
          <w:i/>
        </w:rPr>
        <w:t>FEMS Microbiology Letters</w:t>
      </w:r>
      <w:r w:rsidRPr="00A428C3">
        <w:t xml:space="preserve">, </w:t>
      </w:r>
      <w:r w:rsidRPr="00A428C3">
        <w:rPr>
          <w:b/>
        </w:rPr>
        <w:t>214</w:t>
      </w:r>
      <w:r w:rsidRPr="00A428C3">
        <w:t xml:space="preserve"> (2), 211-216.</w:t>
      </w:r>
    </w:p>
    <w:p w:rsidR="00B95188" w:rsidRPr="00A428C3" w:rsidRDefault="00B95188" w:rsidP="00B95188">
      <w:pPr>
        <w:pStyle w:val="a0"/>
      </w:pPr>
      <w:r w:rsidRPr="00A428C3">
        <w:t xml:space="preserve">Full Text: </w:t>
      </w:r>
      <w:hyperlink r:id="rId39" w:history="1">
        <w:r w:rsidRPr="00A428C3">
          <w:rPr>
            <w:rStyle w:val="a5"/>
          </w:rPr>
          <w:t>F\FEMS Mic Let214, 211.pdf</w:t>
        </w:r>
      </w:hyperlink>
    </w:p>
    <w:p w:rsidR="00B95188" w:rsidRPr="00A428C3" w:rsidRDefault="00B95188" w:rsidP="00B95188">
      <w:pPr>
        <w:pStyle w:val="a0"/>
      </w:pPr>
      <w:r w:rsidRPr="00A428C3">
        <w:lastRenderedPageBreak/>
        <w:t>Abstract: A new yeast strain capable of degrading free</w:t>
      </w:r>
      <w:r w:rsidR="00F81221">
        <w:t xml:space="preserve"> and </w:t>
      </w:r>
      <w:r w:rsidRPr="00A428C3">
        <w:t>metallocyanides was isolated from coke-plant wastewater. The isolated strain designated MCN2 was identified as Cryptococcus humicolus by 26S rDNA sequencing</w:t>
      </w:r>
      <w:r w:rsidR="00F81221">
        <w:t xml:space="preserve"> and </w:t>
      </w:r>
      <w:r w:rsidRPr="00A428C3">
        <w:t>phylogenetic analysis. During growth of the isolate with KCN as a sole nitrogen source, formamide</w:t>
      </w:r>
      <w:r w:rsidR="00F81221">
        <w:t xml:space="preserve"> and </w:t>
      </w:r>
      <w:r w:rsidRPr="00A428C3">
        <w:t>formic acid were found as transient intermediates by [C-13]nuclear magnetic resonance analysis</w:t>
      </w:r>
      <w:r w:rsidR="00F81221">
        <w:t xml:space="preserve"> and </w:t>
      </w:r>
      <w:r w:rsidRPr="00A428C3">
        <w:t>ammonia accumulated as a final product in the culture medium. The strain MCN</w:t>
      </w:r>
      <w:r w:rsidRPr="00A428C3">
        <w:rPr>
          <w:vertAlign w:val="subscript"/>
        </w:rPr>
        <w:t>2</w:t>
      </w:r>
      <w:r w:rsidRPr="00A428C3">
        <w:t xml:space="preserve"> could degrade high concentrations of tetracyanonickelate (II) (K</w:t>
      </w:r>
      <w:r w:rsidRPr="00A428C3">
        <w:rPr>
          <w:vertAlign w:val="subscript"/>
        </w:rPr>
        <w:t>2</w:t>
      </w:r>
      <w:r w:rsidRPr="00A428C3">
        <w:t>Ni(CN)</w:t>
      </w:r>
      <w:r w:rsidRPr="00A428C3">
        <w:rPr>
          <w:vertAlign w:val="subscript"/>
        </w:rPr>
        <w:t>4</w:t>
      </w:r>
      <w:r w:rsidRPr="00A428C3">
        <w:t xml:space="preserve">, TCN) up to </w:t>
      </w:r>
      <w:smartTag w:uri="urn:schemas-microsoft-com:office:smarttags" w:element="chmetcnv">
        <w:smartTagPr>
          <w:attr w:name="TCSC" w:val="0"/>
          <w:attr w:name="NumberType" w:val="1"/>
          <w:attr w:name="Negative" w:val="False"/>
          <w:attr w:name="HasSpace" w:val="True"/>
          <w:attr w:name="SourceValue" w:val="65"/>
          <w:attr w:name="UnitName" w:val="mm"/>
        </w:smartTagPr>
        <w:r w:rsidRPr="00A428C3">
          <w:t>65 mM</w:t>
        </w:r>
      </w:smartTag>
      <w:r w:rsidRPr="00A428C3">
        <w:t xml:space="preserve"> CN within 60 h when a sufficient amount of glucose was supplied as a carbon source. The maximal degradation rate of TCN was </w:t>
      </w:r>
      <w:smartTag w:uri="urn:schemas-microsoft-com:office:smarttags" w:element="chmetcnv">
        <w:smartTagPr>
          <w:attr w:name="TCSC" w:val="0"/>
          <w:attr w:name="NumberType" w:val="1"/>
          <w:attr w:name="Negative" w:val="False"/>
          <w:attr w:name="HasSpace" w:val="True"/>
          <w:attr w:name="SourceValue" w:val="2.5"/>
          <w:attr w:name="UnitName" w:val="mm"/>
        </w:smartTagPr>
        <w:r w:rsidRPr="00A428C3">
          <w:t>2.5 mM</w:t>
        </w:r>
      </w:smartTag>
      <w:r w:rsidRPr="00A428C3">
        <w:t xml:space="preserve"> CN h</w:t>
      </w:r>
      <w:r w:rsidRPr="00A428C3">
        <w:rPr>
          <w:vertAlign w:val="superscript"/>
        </w:rPr>
        <w:t>-1</w:t>
      </w:r>
      <w:r w:rsidRPr="00A428C3">
        <w:t xml:space="preserve"> at the initial concentration of </w:t>
      </w:r>
      <w:smartTag w:uri="urn:schemas-microsoft-com:office:smarttags" w:element="chmetcnv">
        <w:smartTagPr>
          <w:attr w:name="TCSC" w:val="0"/>
          <w:attr w:name="NumberType" w:val="1"/>
          <w:attr w:name="Negative" w:val="False"/>
          <w:attr w:name="HasSpace" w:val="True"/>
          <w:attr w:name="SourceValue" w:val="51"/>
          <w:attr w:name="UnitName" w:val="mm"/>
        </w:smartTagPr>
        <w:r w:rsidRPr="00A428C3">
          <w:t>51 mM</w:t>
        </w:r>
      </w:smartTag>
      <w:r w:rsidRPr="00A428C3">
        <w:t xml:space="preserve"> CN. (C) 2002 Federation of European Microbiological Societies. Published by Elsevier Science B.V. All rights reserved.</w:t>
      </w:r>
    </w:p>
    <w:p w:rsidR="00B95188" w:rsidRPr="00A428C3" w:rsidRDefault="00B95188" w:rsidP="00B95188">
      <w:pPr>
        <w:pStyle w:val="a0"/>
      </w:pPr>
      <w:r w:rsidRPr="00A428C3">
        <w:t>Keywords: Biodegradation, Biodegradation, Coke Plant Wastewater, Coke-Plant Wastewater, Cryptococcus Humicolus, Cyanide, Cyano Complex Tetracyanonickelate(I</w:t>
      </w:r>
      <w:r w:rsidRPr="00A428C3">
        <w:rPr>
          <w:rFonts w:eastAsia="SimSun"/>
          <w:lang w:eastAsia="zh-CN"/>
        </w:rPr>
        <w:t>I</w:t>
      </w:r>
      <w:r w:rsidRPr="00A428C3">
        <w:t>), Degradation, Enzyme, Fusarium-Solani, Growth, Metabolism, Nitrogen, Pseudomonas-Fluorescens, Strain, Tetracyanonickelate, Wastewater</w:t>
      </w:r>
    </w:p>
    <w:p w:rsidR="00B95188" w:rsidRPr="00A428C3" w:rsidRDefault="00B95188" w:rsidP="00B95188">
      <w:pPr>
        <w:pStyle w:val="1"/>
      </w:pPr>
      <w:r w:rsidRPr="00A428C3">
        <w:br w:type="page"/>
      </w:r>
      <w:bookmarkStart w:id="38" w:name="_Toc186647660"/>
      <w:bookmarkStart w:id="39" w:name="_Toc317160819"/>
      <w:r w:rsidRPr="00A428C3">
        <w:lastRenderedPageBreak/>
        <w:t>Title: FEMS Microbiology Reviews</w:t>
      </w:r>
      <w:bookmarkEnd w:id="38"/>
      <w:bookmarkEnd w:id="39"/>
    </w:p>
    <w:p w:rsidR="00B95188" w:rsidRPr="00A428C3" w:rsidRDefault="00B95188" w:rsidP="00B72EF9">
      <w:pPr>
        <w:pStyle w:val="12"/>
      </w:pPr>
      <w:r w:rsidRPr="00A428C3">
        <w:t xml:space="preserve">Full Journal Title: </w:t>
      </w:r>
      <w:hyperlink r:id="rId40" w:history="1">
        <w:r w:rsidRPr="00A428C3">
          <w:rPr>
            <w:rStyle w:val="a5"/>
          </w:rPr>
          <w:t>FEMS Microbiology Reviews</w:t>
        </w:r>
      </w:hyperlink>
      <w:r w:rsidR="00706A5D">
        <w:rPr>
          <w:rFonts w:hint="eastAsia"/>
        </w:rPr>
        <w:t>;</w:t>
      </w:r>
      <w:r w:rsidR="00706A5D" w:rsidRPr="00706A5D">
        <w:t xml:space="preserve"> </w:t>
      </w:r>
      <w:hyperlink r:id="rId41" w:history="1">
        <w:r w:rsidR="00706A5D" w:rsidRPr="00706A5D">
          <w:rPr>
            <w:rStyle w:val="a5"/>
          </w:rPr>
          <w:t>FEMS Microbiology Reviews</w:t>
        </w:r>
      </w:hyperlink>
    </w:p>
    <w:p w:rsidR="00B95188" w:rsidRPr="00A428C3" w:rsidRDefault="00B95188" w:rsidP="00B72EF9">
      <w:pPr>
        <w:pStyle w:val="12"/>
      </w:pPr>
      <w:r w:rsidRPr="00A428C3">
        <w:t>ISO Abbreviated Title: FEMS Microbiol. Rev.</w:t>
      </w:r>
    </w:p>
    <w:p w:rsidR="00B95188" w:rsidRPr="00A428C3" w:rsidRDefault="00B95188" w:rsidP="00B72EF9">
      <w:pPr>
        <w:pStyle w:val="12"/>
      </w:pPr>
      <w:r w:rsidRPr="00A428C3">
        <w:t>JCR Abbreviated Title: FEMS Microbiol Rev</w:t>
      </w:r>
    </w:p>
    <w:p w:rsidR="00B95188" w:rsidRPr="00A428C3" w:rsidRDefault="00B95188" w:rsidP="00B72EF9">
      <w:pPr>
        <w:pStyle w:val="12"/>
      </w:pPr>
      <w:r w:rsidRPr="00A428C3">
        <w:t>ISSN: 0168-6445</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Microbiology: Impact Factor 6.367, / (2000)</w:t>
      </w:r>
    </w:p>
    <w:p w:rsidR="00706A5D" w:rsidRDefault="00706A5D" w:rsidP="00706A5D">
      <w:pPr>
        <w:pStyle w:val="a0"/>
        <w:rPr>
          <w:kern w:val="0"/>
        </w:rPr>
      </w:pPr>
      <w:r>
        <w:rPr>
          <w:rFonts w:hint="eastAsia"/>
          <w:kern w:val="0"/>
        </w:rPr>
        <w:t xml:space="preserve">? </w:t>
      </w:r>
      <w:r>
        <w:rPr>
          <w:kern w:val="0"/>
        </w:rPr>
        <w:t>Alibhai, K.A.K., Dudeney, A.W.L., Leak, D.J., Agatzini, S.</w:t>
      </w:r>
      <w:r w:rsidR="00F81221">
        <w:rPr>
          <w:kern w:val="0"/>
        </w:rPr>
        <w:t xml:space="preserve"> and </w:t>
      </w:r>
      <w:r>
        <w:rPr>
          <w:kern w:val="0"/>
        </w:rPr>
        <w:t>Tzeferis, P. (1993), Bioleaching</w:t>
      </w:r>
      <w:r w:rsidR="00F81221">
        <w:rPr>
          <w:kern w:val="0"/>
        </w:rPr>
        <w:t xml:space="preserve"> and </w:t>
      </w:r>
      <w:r>
        <w:rPr>
          <w:kern w:val="0"/>
        </w:rPr>
        <w:t>bioprecipitation of nickel</w:t>
      </w:r>
      <w:r w:rsidR="00F81221">
        <w:rPr>
          <w:kern w:val="0"/>
        </w:rPr>
        <w:t xml:space="preserve"> and </w:t>
      </w:r>
      <w:r>
        <w:rPr>
          <w:kern w:val="0"/>
        </w:rPr>
        <w:t xml:space="preserve">iron from laterites. </w:t>
      </w:r>
      <w:r>
        <w:rPr>
          <w:i/>
          <w:iCs/>
          <w:kern w:val="0"/>
        </w:rPr>
        <w:t>FEMS Microbiology Reviews</w:t>
      </w:r>
      <w:r>
        <w:rPr>
          <w:kern w:val="0"/>
        </w:rPr>
        <w:t xml:space="preserve">, </w:t>
      </w:r>
      <w:r>
        <w:rPr>
          <w:b/>
          <w:bCs/>
          <w:kern w:val="0"/>
        </w:rPr>
        <w:t>11</w:t>
      </w:r>
      <w:r>
        <w:rPr>
          <w:kern w:val="0"/>
        </w:rPr>
        <w:t xml:space="preserve"> (1-3), 87-96.</w:t>
      </w:r>
    </w:p>
    <w:p w:rsidR="00706A5D" w:rsidRPr="00A428C3" w:rsidRDefault="00706A5D" w:rsidP="00706A5D">
      <w:pPr>
        <w:pStyle w:val="a0"/>
      </w:pPr>
      <w:r w:rsidRPr="00A428C3">
        <w:t xml:space="preserve">Full Text: </w:t>
      </w:r>
      <w:hyperlink r:id="rId42" w:history="1">
        <w:r w:rsidR="000D033C" w:rsidRPr="000D033C">
          <w:rPr>
            <w:rStyle w:val="a5"/>
          </w:rPr>
          <w:t>1993\FEMS Mic Rev11, 87.pdf</w:t>
        </w:r>
      </w:hyperlink>
    </w:p>
    <w:p w:rsidR="00706A5D" w:rsidRDefault="00706A5D" w:rsidP="00706A5D">
      <w:pPr>
        <w:pStyle w:val="a0"/>
        <w:rPr>
          <w:kern w:val="0"/>
        </w:rPr>
      </w:pPr>
      <w:r>
        <w:rPr>
          <w:kern w:val="0"/>
        </w:rPr>
        <w:t>Abstract: Leaching of silicate ores, particularly nickel laterites, with the aid of heterotrophic organisms has been briefly reviewed. Samples of laterite ores from Greece were characterised mineralogically</w:t>
      </w:r>
      <w:r w:rsidR="00F81221">
        <w:rPr>
          <w:kern w:val="0"/>
        </w:rPr>
        <w:t xml:space="preserve"> and </w:t>
      </w:r>
      <w:r>
        <w:rPr>
          <w:kern w:val="0"/>
        </w:rPr>
        <w:t>a number of microorganisms isolated from them. One of these organisms (code F1) was successfully acclimatized to 6400 ppm nickel. Samples of the high-grade Greek Kastoria nickel laterite were leached with sulphuric acid</w:t>
      </w:r>
      <w:r w:rsidR="00F81221">
        <w:rPr>
          <w:kern w:val="0"/>
        </w:rPr>
        <w:t xml:space="preserve"> and </w:t>
      </w:r>
      <w:r>
        <w:rPr>
          <w:kern w:val="0"/>
        </w:rPr>
        <w:t>a number of organic acids. Sulphuric</w:t>
      </w:r>
      <w:r w:rsidR="00F81221">
        <w:rPr>
          <w:kern w:val="0"/>
        </w:rPr>
        <w:t xml:space="preserve"> and </w:t>
      </w:r>
      <w:r>
        <w:rPr>
          <w:kern w:val="0"/>
        </w:rPr>
        <w:t>citric acids extracted over 60</w:t>
      </w:r>
      <w:r w:rsidR="00F81221">
        <w:rPr>
          <w:kern w:val="0"/>
        </w:rPr>
        <w:t xml:space="preserve"> and </w:t>
      </w:r>
      <w:r>
        <w:rPr>
          <w:kern w:val="0"/>
        </w:rPr>
        <w:t>40% of the contained nickel, respectively, but the other acids employed were less efficient leachants. Oxalic acid precipitated nickel oxalate. Roughly the same extraction of iron was observed. The main leaching parameter was confirmed to be hydrogen ion concentration, although complexation with organic anions was a contributor. Organism F1 (a strain of Penicillium) was used in comparison with organisms from various culture collections to bioleach nickel from samples of the low-grade Greek Litharakia nickel laterite. The organisms were cultivated in a mixture of a sugar-based nutrient mineral medium</w:t>
      </w:r>
      <w:r w:rsidR="00F81221">
        <w:rPr>
          <w:kern w:val="0"/>
        </w:rPr>
        <w:t xml:space="preserve"> and </w:t>
      </w:r>
      <w:r>
        <w:rPr>
          <w:kern w:val="0"/>
        </w:rPr>
        <w:t>finely ground ore. Several penicillia</w:t>
      </w:r>
      <w:r w:rsidR="00F81221">
        <w:rPr>
          <w:kern w:val="0"/>
        </w:rPr>
        <w:t xml:space="preserve"> and </w:t>
      </w:r>
      <w:r>
        <w:rPr>
          <w:kern w:val="0"/>
        </w:rPr>
        <w:t>aspergilli leached 55-60% of the contained nickel</w:t>
      </w:r>
      <w:r w:rsidR="00F81221">
        <w:rPr>
          <w:kern w:val="0"/>
        </w:rPr>
        <w:t xml:space="preserve"> and </w:t>
      </w:r>
      <w:r>
        <w:rPr>
          <w:kern w:val="0"/>
        </w:rPr>
        <w:t>cobalt,</w:t>
      </w:r>
      <w:r w:rsidR="00F81221">
        <w:rPr>
          <w:kern w:val="0"/>
        </w:rPr>
        <w:t xml:space="preserve"> and </w:t>
      </w:r>
      <w:r>
        <w:rPr>
          <w:kern w:val="0"/>
        </w:rPr>
        <w:t>25-35% of the iron when sucrose was the carbon source, but Fl was not efficient. However, in molasses medium, Fl extracted nearly 40% of the nickel. Biosorption</w:t>
      </w:r>
      <w:r w:rsidR="00F81221">
        <w:rPr>
          <w:kern w:val="0"/>
        </w:rPr>
        <w:t xml:space="preserve"> and </w:t>
      </w:r>
      <w:r>
        <w:rPr>
          <w:kern w:val="0"/>
        </w:rPr>
        <w:t>bioprecipitation reactions were observed. The mechanism of bioleaching or in situ leaching is discussed in terms of close physical</w:t>
      </w:r>
      <w:r w:rsidR="00F81221">
        <w:rPr>
          <w:kern w:val="0"/>
        </w:rPr>
        <w:t xml:space="preserve"> and </w:t>
      </w:r>
      <w:r>
        <w:rPr>
          <w:kern w:val="0"/>
        </w:rPr>
        <w:t>chemical association between the fungal hyphae</w:t>
      </w:r>
      <w:r w:rsidR="00F81221">
        <w:rPr>
          <w:kern w:val="0"/>
        </w:rPr>
        <w:t xml:space="preserve"> and </w:t>
      </w:r>
      <w:r>
        <w:rPr>
          <w:kern w:val="0"/>
        </w:rPr>
        <w:t>mineral phases in the ore. This accounted for the low overall hydrogen ion concentration observed during bioleaching.</w:t>
      </w:r>
    </w:p>
    <w:p w:rsidR="00706A5D" w:rsidRDefault="00706A5D" w:rsidP="00706A5D">
      <w:pPr>
        <w:pStyle w:val="a0"/>
        <w:rPr>
          <w:kern w:val="0"/>
        </w:rPr>
      </w:pPr>
      <w:r>
        <w:rPr>
          <w:kern w:val="0"/>
        </w:rPr>
        <w:lastRenderedPageBreak/>
        <w:t>Keywords: Acids, Bioacids, Bioleaching, Cobalt, Heterotrophic Fungi, In-Situ Leaching, Laterite, Nickel, Sulphuric Acid</w:t>
      </w:r>
    </w:p>
    <w:p w:rsidR="00B95188" w:rsidRPr="00A428C3" w:rsidRDefault="00B95188" w:rsidP="00B95188">
      <w:pPr>
        <w:pStyle w:val="a0"/>
      </w:pPr>
      <w:r w:rsidRPr="00A428C3">
        <w:t xml:space="preserve">Volesky, B. (1994), Advances in biosorption of metals: Selection of biomass types. </w:t>
      </w:r>
      <w:r w:rsidRPr="00A428C3">
        <w:rPr>
          <w:i/>
          <w:iCs/>
        </w:rPr>
        <w:t>FEMS Microbiology Reviews</w:t>
      </w:r>
      <w:r w:rsidRPr="00A428C3">
        <w:t xml:space="preserve">, </w:t>
      </w:r>
      <w:r w:rsidRPr="00A428C3">
        <w:rPr>
          <w:b/>
        </w:rPr>
        <w:t>14</w:t>
      </w:r>
      <w:r w:rsidRPr="00A428C3">
        <w:t xml:space="preserve"> (4), 291-302.</w:t>
      </w:r>
    </w:p>
    <w:p w:rsidR="00B95188" w:rsidRPr="00A428C3" w:rsidRDefault="00B95188" w:rsidP="00B95188">
      <w:pPr>
        <w:pStyle w:val="a0"/>
      </w:pPr>
      <w:r w:rsidRPr="00A428C3">
        <w:t xml:space="preserve">Full Text: </w:t>
      </w:r>
      <w:hyperlink r:id="rId43" w:history="1">
        <w:r w:rsidRPr="00A428C3">
          <w:rPr>
            <w:rStyle w:val="a5"/>
          </w:rPr>
          <w:t>F\FEMS Mic Rev14, 291.pdf</w:t>
        </w:r>
      </w:hyperlink>
    </w:p>
    <w:p w:rsidR="00B95188" w:rsidRPr="00A428C3" w:rsidRDefault="00B95188" w:rsidP="00B95188">
      <w:pPr>
        <w:pStyle w:val="a0"/>
      </w:pPr>
      <w:r w:rsidRPr="00A428C3">
        <w:t>Abstract: Within the past decade, the potential of metal biosorption has been well established. For economic reasons, of particular interest are abundant biomass types either generated as a waste by-product of large-scale industrial fermentations or certain metal-binding algae found in large quantities in the sea. Some of these high metal-sorbing biomass types serve as a basis for newly developed metal biosorption processes foreseen particularly as a very competitive means for detoxification of metal-bearing industrial effluents. Ions of lead</w:t>
      </w:r>
      <w:r w:rsidR="00F81221">
        <w:t xml:space="preserve"> and </w:t>
      </w:r>
      <w:r w:rsidRPr="00A428C3">
        <w:t>cadmium, for instance, have been found to be bound very efficiently from very dilute solutions by the dried biomass of some ubiquitous brown marine algae such as Ascophyllum</w:t>
      </w:r>
      <w:r w:rsidR="00F81221">
        <w:t xml:space="preserve"> and </w:t>
      </w:r>
      <w:r w:rsidRPr="00A428C3">
        <w:t>Sargassum which accumulate more than 30% of biomass dry weight in the metal. Mycelia of industrially steroid-transforming fungi Rhizopus</w:t>
      </w:r>
      <w:r w:rsidR="00F81221">
        <w:t xml:space="preserve"> and </w:t>
      </w:r>
      <w:r w:rsidRPr="00A428C3">
        <w:t>Absidia are excellent biosorbents lbr lead, cadmium, copper, zinc,</w:t>
      </w:r>
      <w:r w:rsidR="00F81221">
        <w:t xml:space="preserve"> and </w:t>
      </w:r>
      <w:r w:rsidRPr="00A428C3">
        <w:t xml:space="preserve">uranium, binding also other heavy metals up to 25% of the biomass dry weight. The common yeast </w:t>
      </w:r>
      <w:r w:rsidRPr="00A428C3">
        <w:rPr>
          <w:i/>
          <w:iCs/>
        </w:rPr>
        <w:t>Saccharomyces cerevisiae</w:t>
      </w:r>
      <w:r w:rsidRPr="00A428C3">
        <w:t xml:space="preserve"> is a </w:t>
      </w:r>
      <w:r w:rsidR="000352E7">
        <w:t>‘</w:t>
      </w:r>
      <w:r w:rsidRPr="00A428C3">
        <w:t>mediocre</w:t>
      </w:r>
      <w:r w:rsidR="000352E7">
        <w:t>’</w:t>
      </w:r>
      <w:r w:rsidRPr="00A428C3">
        <w:t xml:space="preserve"> metal biosorbent. Construction of biosorption isotherm curves serves as a basic technique assisting in evaluation of the metal uptake by different biosorbents. The methodology is based on batch equilibrium sorption experiments extensively used for screening</w:t>
      </w:r>
      <w:r w:rsidR="00F81221">
        <w:t xml:space="preserve"> and </w:t>
      </w:r>
      <w:r w:rsidRPr="00A428C3">
        <w:t>quantitative comparison of new biosorbent materials. Experimental methodologies used in the study of biosorption</w:t>
      </w:r>
      <w:r w:rsidR="00F81221">
        <w:t xml:space="preserve"> and </w:t>
      </w:r>
      <w:r w:rsidRPr="00A428C3">
        <w:t>selected recent research results demonstrate the route to novel biosorbent materials some of which can even be repeatedly regenerated for re-use.</w:t>
      </w:r>
    </w:p>
    <w:p w:rsidR="00B95188" w:rsidRPr="00A428C3" w:rsidRDefault="00B95188" w:rsidP="00B95188">
      <w:pPr>
        <w:pStyle w:val="a0"/>
      </w:pPr>
      <w:r w:rsidRPr="00A428C3">
        <w:t>Keywords: Biosorption, Microbial Biomass, Metal Binding, Heavy Metals, Sorption; Wastewater Detoxification, Metal Removal, Biomass Use</w:t>
      </w:r>
    </w:p>
    <w:p w:rsidR="00B95188" w:rsidRPr="00A428C3" w:rsidRDefault="00B95188" w:rsidP="00B95188">
      <w:pPr>
        <w:pStyle w:val="a0"/>
      </w:pPr>
      <w:r w:rsidRPr="00A428C3">
        <w:t>? Fourest, E., Canal, C.</w:t>
      </w:r>
      <w:r w:rsidR="00F81221">
        <w:t xml:space="preserve"> and </w:t>
      </w:r>
      <w:r w:rsidRPr="00A428C3">
        <w:t>Roux, J.C. (1994), Improvement of heavy metal biosorption by mycelial dead biomasses (</w:t>
      </w:r>
      <w:r w:rsidRPr="00A428C3">
        <w:rPr>
          <w:i/>
        </w:rPr>
        <w:t>Rhizopus arrhizus</w:t>
      </w:r>
      <w:r w:rsidRPr="00A428C3">
        <w:t xml:space="preserve">, </w:t>
      </w:r>
      <w:r w:rsidRPr="00A428C3">
        <w:rPr>
          <w:i/>
        </w:rPr>
        <w:t>Mucor miehei</w:t>
      </w:r>
      <w:r w:rsidR="00F81221">
        <w:t xml:space="preserve"> and </w:t>
      </w:r>
      <w:r w:rsidRPr="00A428C3">
        <w:rPr>
          <w:i/>
        </w:rPr>
        <w:t>Penicillium chrysogenum</w:t>
      </w:r>
      <w:r w:rsidRPr="00A428C3">
        <w:t>): pH control</w:t>
      </w:r>
      <w:r w:rsidR="00F81221">
        <w:t xml:space="preserve"> and </w:t>
      </w:r>
      <w:r w:rsidRPr="00A428C3">
        <w:t xml:space="preserve">cationic activation. </w:t>
      </w:r>
      <w:r w:rsidRPr="00A428C3">
        <w:rPr>
          <w:i/>
          <w:iCs/>
        </w:rPr>
        <w:t>FEMS Microbiology Reviews</w:t>
      </w:r>
      <w:r w:rsidRPr="00A428C3">
        <w:t xml:space="preserve">, </w:t>
      </w:r>
      <w:r w:rsidRPr="00A428C3">
        <w:rPr>
          <w:b/>
        </w:rPr>
        <w:t>14</w:t>
      </w:r>
      <w:r w:rsidRPr="00A428C3">
        <w:t xml:space="preserve"> (4), 325-332.</w:t>
      </w:r>
    </w:p>
    <w:p w:rsidR="00B95188" w:rsidRPr="00A428C3" w:rsidRDefault="00B95188" w:rsidP="00B95188">
      <w:pPr>
        <w:pStyle w:val="a0"/>
      </w:pPr>
      <w:r w:rsidRPr="00A428C3">
        <w:t xml:space="preserve">Full Text: </w:t>
      </w:r>
      <w:hyperlink r:id="rId44" w:history="1">
        <w:r w:rsidRPr="00A428C3">
          <w:rPr>
            <w:rStyle w:val="a5"/>
          </w:rPr>
          <w:t>1994\FEMS Mic Rev14, 325.pdf</w:t>
        </w:r>
      </w:hyperlink>
    </w:p>
    <w:p w:rsidR="00B95188" w:rsidRPr="00A428C3" w:rsidRDefault="00B95188" w:rsidP="00B95188">
      <w:pPr>
        <w:pStyle w:val="a0"/>
      </w:pPr>
      <w:r w:rsidRPr="00A13428">
        <w:t>Abstract:</w:t>
      </w:r>
      <w:r w:rsidRPr="00A428C3">
        <w:t xml:space="preserve"> Fungal mycelial by-products from fermentation industries present a considerable affinity for soluble metal ions (e.g. Zn, Cd, Ni, Pb, Cr, Ag)</w:t>
      </w:r>
      <w:r w:rsidR="00F81221">
        <w:t xml:space="preserve"> and </w:t>
      </w:r>
      <w:r w:rsidRPr="00A428C3">
        <w:t>could be used in biosorption processes for purification of contaminated effluents. In this work the influence of pH on sorption parameters is characterized by measuring the isotherms of five heavy metals (Ni, Zn, Cd, Ag</w:t>
      </w:r>
      <w:r w:rsidR="00F81221">
        <w:t xml:space="preserve"> and </w:t>
      </w:r>
      <w:r w:rsidRPr="00A428C3">
        <w:t>Pb) with Rhizopus arrhizus biomass under pH-controlled conditions. The maximum sorption capacity for lead was observed at pH 7.0 (200 mg g</w:t>
      </w:r>
      <w:r w:rsidRPr="00A428C3">
        <w:rPr>
          <w:vertAlign w:val="superscript"/>
        </w:rPr>
        <w:t>-1</w:t>
      </w:r>
      <w:r w:rsidRPr="00A428C3">
        <w:t xml:space="preserve">), while silver uptake was weakly affected. The </w:t>
      </w:r>
      <w:r w:rsidRPr="00A428C3">
        <w:lastRenderedPageBreak/>
        <w:t>stability of metal-biosorbent complexes is regularly enhanced by pH neutralization, except for lead. A transition in sorption mechanism was observed above pH 6.0. In addition, comparison of various industrial fungal biomasses (R. arrhizus, Mucor miehei</w:t>
      </w:r>
      <w:r w:rsidR="00F81221">
        <w:t xml:space="preserve"> and </w:t>
      </w:r>
      <w:r w:rsidRPr="00A428C3">
        <w:t>Penicillium chrysogenum) indicated important variations in zinc-binding</w:t>
      </w:r>
      <w:r w:rsidR="00F81221">
        <w:t xml:space="preserve"> and </w:t>
      </w:r>
      <w:r w:rsidRPr="00A428C3">
        <w:t>buffering properties (0.24, 0.08</w:t>
      </w:r>
      <w:r w:rsidR="00F81221">
        <w:t xml:space="preserve"> and </w:t>
      </w:r>
      <w:r w:rsidRPr="00A428C3">
        <w:t>0.05 mmol g</w:t>
      </w:r>
      <w:r w:rsidRPr="00A428C3">
        <w:rPr>
          <w:vertAlign w:val="superscript"/>
        </w:rPr>
        <w:t>-1</w:t>
      </w:r>
      <w:r w:rsidRPr="00A428C3">
        <w:t>, respectively). Without control, the equilibrium pH (5.8, 3.9</w:t>
      </w:r>
      <w:r w:rsidR="00F81221">
        <w:t xml:space="preserve"> and </w:t>
      </w:r>
      <w:r w:rsidRPr="00A428C3">
        <w:t>4.0) is shown to be related to the initial calcium content of the biosorbent. pH neutralization during metal adsorption increases zinc sorption in all fungi (0.57, 0.52</w:t>
      </w:r>
      <w:r w:rsidR="00F81221">
        <w:t xml:space="preserve"> and </w:t>
      </w:r>
      <w:r w:rsidRPr="00A428C3">
        <w:t>0.33 mmol g</w:t>
      </w:r>
      <w:r w:rsidRPr="00A428C3">
        <w:rPr>
          <w:vertAlign w:val="superscript"/>
        </w:rPr>
        <w:t>-1</w:t>
      </w:r>
      <w:r w:rsidRPr="00A428C3">
        <w:t>) but an improvement was also obtained (0.34, 0.33</w:t>
      </w:r>
      <w:r w:rsidR="00F81221">
        <w:t xml:space="preserve"> and </w:t>
      </w:r>
      <w:r w:rsidRPr="00A428C3">
        <w:t>0.10 mmol g</w:t>
      </w:r>
      <w:r w:rsidRPr="00A428C3">
        <w:rPr>
          <w:vertAlign w:val="superscript"/>
        </w:rPr>
        <w:t>-1</w:t>
      </w:r>
      <w:r w:rsidRPr="00A428C3">
        <w:t>) by calcium saturation of the biomass before heavy metal accumulation. Breakthrough curves of fixed bed biosorbent columns demonstrated the capacity of the biosorbent process to purify zinc</w:t>
      </w:r>
      <w:r w:rsidR="00F81221">
        <w:t xml:space="preserve"> and </w:t>
      </w:r>
      <w:r w:rsidRPr="00A428C3">
        <w:t>lead solutions in continuous-flow systems,</w:t>
      </w:r>
      <w:r w:rsidR="00F81221">
        <w:t xml:space="preserve"> and </w:t>
      </w:r>
      <w:r w:rsidRPr="00A428C3">
        <w:t>confirmed the necessity for cationic activation of the biosorbent before contact with the heavy-metal solution.</w:t>
      </w:r>
    </w:p>
    <w:p w:rsidR="00B95188" w:rsidRPr="00A428C3" w:rsidRDefault="00B95188" w:rsidP="00B95188">
      <w:pPr>
        <w:pStyle w:val="a0"/>
      </w:pPr>
      <w:r w:rsidRPr="00A13428">
        <w:t>Keywords:</w:t>
      </w:r>
      <w:r w:rsidRPr="00A428C3">
        <w:t xml:space="preserve"> Rhizopus Arrhizus, Biosorption, Ion-Exchange, Heavy Metal Removal, Mucor Miehei, Penicillium Chrysogenum, Waste Water Purification, Fungal By-Products</w:t>
      </w:r>
      <w:r w:rsidRPr="00A13428">
        <w:t xml:space="preserve">, </w:t>
      </w:r>
      <w:r w:rsidRPr="00A428C3">
        <w:t>Biosorbents, Recovery</w:t>
      </w:r>
    </w:p>
    <w:p w:rsidR="00B95188" w:rsidRPr="00A428C3" w:rsidRDefault="00B95188" w:rsidP="00B95188">
      <w:pPr>
        <w:pStyle w:val="a0"/>
      </w:pPr>
      <w:r w:rsidRPr="00A428C3">
        <w:t>Sánchez, A., Ballester, A., Blázquez, M.L., González, F., Muñoz, J.</w:t>
      </w:r>
      <w:r w:rsidR="00F81221">
        <w:t xml:space="preserve"> and </w:t>
      </w:r>
      <w:r w:rsidRPr="00A428C3">
        <w:t>Hammaini, A. (1999), Biosorption of copper</w:t>
      </w:r>
      <w:r w:rsidR="00F81221">
        <w:t xml:space="preserve"> and </w:t>
      </w:r>
      <w:r w:rsidRPr="00A428C3">
        <w:t xml:space="preserve">zinc by </w:t>
      </w:r>
      <w:r w:rsidRPr="00A428C3">
        <w:rPr>
          <w:i/>
          <w:iCs/>
        </w:rPr>
        <w:t>Cymodocea</w:t>
      </w:r>
      <w:r w:rsidRPr="00A428C3">
        <w:t xml:space="preserve"> </w:t>
      </w:r>
      <w:r w:rsidRPr="00A428C3">
        <w:rPr>
          <w:i/>
          <w:iCs/>
        </w:rPr>
        <w:t>nodosa</w:t>
      </w:r>
      <w:r w:rsidRPr="00A428C3">
        <w:t xml:space="preserve">. </w:t>
      </w:r>
      <w:r w:rsidRPr="00A428C3">
        <w:rPr>
          <w:i/>
          <w:iCs/>
        </w:rPr>
        <w:t>FEMS Microbiology Reviews</w:t>
      </w:r>
      <w:r w:rsidRPr="00A428C3">
        <w:t xml:space="preserve">, </w:t>
      </w:r>
      <w:r w:rsidRPr="00A428C3">
        <w:rPr>
          <w:b/>
        </w:rPr>
        <w:t>23</w:t>
      </w:r>
      <w:r w:rsidRPr="00A428C3">
        <w:t xml:space="preserve"> (5), 527-536.</w:t>
      </w:r>
    </w:p>
    <w:p w:rsidR="00B95188" w:rsidRPr="00A428C3" w:rsidRDefault="00B95188" w:rsidP="00B95188">
      <w:pPr>
        <w:pStyle w:val="a0"/>
      </w:pPr>
      <w:r w:rsidRPr="00A428C3">
        <w:t xml:space="preserve">Full Text: </w:t>
      </w:r>
      <w:hyperlink r:id="rId45" w:history="1">
        <w:r w:rsidRPr="00A428C3">
          <w:rPr>
            <w:rStyle w:val="a5"/>
          </w:rPr>
          <w:t>F\FEMS Mic Rev23, 527.pdf</w:t>
        </w:r>
      </w:hyperlink>
    </w:p>
    <w:p w:rsidR="00B95188" w:rsidRPr="00A428C3" w:rsidRDefault="00B95188" w:rsidP="00B95188">
      <w:pPr>
        <w:pStyle w:val="a0"/>
        <w:rPr>
          <w:rFonts w:eastAsia="Arial Unicode MS"/>
        </w:rPr>
      </w:pPr>
      <w:r w:rsidRPr="00A428C3">
        <w:t>Abstract: The adsorption of the two metal ions Cu</w:t>
      </w:r>
      <w:r w:rsidR="00F81221">
        <w:t xml:space="preserve"> and </w:t>
      </w:r>
      <w:r w:rsidRPr="00A428C3">
        <w:t xml:space="preserve">Zn in a single-component system by </w:t>
      </w:r>
      <w:r w:rsidRPr="00A428C3">
        <w:rPr>
          <w:i/>
          <w:iCs/>
        </w:rPr>
        <w:t>Cymodocea nodosa</w:t>
      </w:r>
      <w:r w:rsidRPr="00A428C3">
        <w:t>, a brown alga, under different pH conditions was investigated. The solution pH significantly affected the exhibited uptake, being maximum at a pH value of 3.5. Multi-component mixture biosorption in aqueous solutions is also reported. A comparison was made between the single-component saturation uptake</w:t>
      </w:r>
      <w:r w:rsidR="00F81221">
        <w:t xml:space="preserve"> and </w:t>
      </w:r>
      <w:r w:rsidRPr="00A428C3">
        <w:t>the multi-component uptakes. To evaluate the two-metal sorption system performance, simple isotherm curves had to be replaced by three-dimensional sorption isotherm surfaces. In order to describe the isotherm surfaces mathematically, three Langmuir-type models were evaluated. The isotherms indicate a competitive uptake with Cu being preferentially adsorbed. In addition, different tests were carried out to compare the process efficiency working continuously in small columns. (C) 1999 Federation of European Microbiological Societies. Published by Elsevier Science B.V. All rights reserved.</w:t>
      </w:r>
    </w:p>
    <w:p w:rsidR="00B95188" w:rsidRPr="00A428C3" w:rsidRDefault="00B95188" w:rsidP="00B95188">
      <w:pPr>
        <w:pStyle w:val="a0"/>
      </w:pPr>
      <w:r w:rsidRPr="00A428C3">
        <w:t xml:space="preserve">Keywords: Biosorption, </w:t>
      </w:r>
      <w:r w:rsidRPr="00A428C3">
        <w:rPr>
          <w:i/>
          <w:iCs/>
        </w:rPr>
        <w:t>Cymodocea Nodosa</w:t>
      </w:r>
      <w:r w:rsidRPr="00A428C3">
        <w:t>, Copper, Zinc, Wastewater Treatment, Biomass</w:t>
      </w:r>
    </w:p>
    <w:p w:rsidR="00B95188" w:rsidRPr="00A428C3" w:rsidRDefault="00B95188" w:rsidP="00B95188">
      <w:pPr>
        <w:pStyle w:val="a0"/>
      </w:pPr>
      <w:r w:rsidRPr="00A428C3">
        <w:t>Cervantes, C., Campos-García, J., Devars, S., Gutiérrez-Corona, F., Loza-Tavera, H., Torres-Guzmán, J.C.</w:t>
      </w:r>
      <w:r w:rsidR="00F81221">
        <w:t xml:space="preserve"> and </w:t>
      </w:r>
      <w:r w:rsidRPr="00A428C3">
        <w:t>Moreno-Sánchez, R. (2001), Interactions of chromium with microorganisms</w:t>
      </w:r>
      <w:r w:rsidR="00F81221">
        <w:t xml:space="preserve"> and </w:t>
      </w:r>
      <w:r w:rsidRPr="00A428C3">
        <w:t xml:space="preserve">plants. </w:t>
      </w:r>
      <w:r w:rsidRPr="00A428C3">
        <w:rPr>
          <w:i/>
          <w:iCs/>
        </w:rPr>
        <w:t>FEMS Microbiology Reviews</w:t>
      </w:r>
      <w:r w:rsidRPr="00A428C3">
        <w:t xml:space="preserve">, </w:t>
      </w:r>
      <w:r w:rsidRPr="00A428C3">
        <w:rPr>
          <w:b/>
        </w:rPr>
        <w:t>25</w:t>
      </w:r>
      <w:r w:rsidRPr="00A428C3">
        <w:t xml:space="preserve"> (3), 335-347.</w:t>
      </w:r>
    </w:p>
    <w:p w:rsidR="00B95188" w:rsidRPr="00A428C3" w:rsidRDefault="00B95188" w:rsidP="00B95188">
      <w:pPr>
        <w:pStyle w:val="a0"/>
      </w:pPr>
      <w:r w:rsidRPr="00A428C3">
        <w:t xml:space="preserve">Full Text: </w:t>
      </w:r>
      <w:hyperlink r:id="rId46" w:history="1">
        <w:r w:rsidRPr="00A428C3">
          <w:rPr>
            <w:rStyle w:val="a5"/>
          </w:rPr>
          <w:t>F\FEMS Mic Rev25, 335.pdf</w:t>
        </w:r>
      </w:hyperlink>
    </w:p>
    <w:p w:rsidR="00B95188" w:rsidRPr="00A428C3" w:rsidRDefault="00B95188" w:rsidP="00B95188">
      <w:pPr>
        <w:pStyle w:val="a0"/>
      </w:pPr>
      <w:r w:rsidRPr="00A428C3">
        <w:lastRenderedPageBreak/>
        <w:t>Abstract: Chromium is a highly toxic non-essential metal for microorganisms</w:t>
      </w:r>
      <w:r w:rsidR="00F81221">
        <w:t xml:space="preserve"> and </w:t>
      </w:r>
      <w:r w:rsidRPr="00A428C3">
        <w:t>plants. Due to its widespread industrial use, chromium (Cr) has become a serious pollutant in diverse environmental settings. The hexavalent form of the metal, Cr(VI), is considered a more toxic species than the relatively innocuous</w:t>
      </w:r>
      <w:r w:rsidR="00F81221">
        <w:t xml:space="preserve"> and </w:t>
      </w:r>
      <w:r w:rsidRPr="00A428C3">
        <w:t>less mobile Cr(III) form. The presence of Cr in the environment has selected microbial</w:t>
      </w:r>
      <w:r w:rsidR="00F81221">
        <w:t xml:space="preserve"> and </w:t>
      </w:r>
      <w:r w:rsidRPr="00A428C3">
        <w:t>plant variants able to tolerate high levels of Cr compounds. The diverse Cr-resistance mechanisms displayed by microorganisms,</w:t>
      </w:r>
      <w:r w:rsidR="00F81221">
        <w:t xml:space="preserve"> and </w:t>
      </w:r>
      <w:r w:rsidRPr="00A428C3">
        <w:t>probably by plants, include biosorption, diminished accumulation, precipitation, reduction of Cr(VI) to Cr(III),</w:t>
      </w:r>
      <w:r w:rsidR="00F81221">
        <w:t xml:space="preserve"> and </w:t>
      </w:r>
      <w:r w:rsidRPr="00A428C3">
        <w:t>chromate efflux. Some of these systems have been proposed as potential biotechnological tools for the bioremediation of Cr pollution. In this review we summarize the interactions of bacteria, algae, fungi</w:t>
      </w:r>
      <w:r w:rsidR="00F81221">
        <w:t xml:space="preserve"> and </w:t>
      </w:r>
      <w:r w:rsidRPr="00A428C3">
        <w:t>plants with Cr</w:t>
      </w:r>
      <w:r w:rsidR="00F81221">
        <w:t xml:space="preserve"> and </w:t>
      </w:r>
      <w:r w:rsidRPr="00A428C3">
        <w:t>its compounds.</w:t>
      </w:r>
    </w:p>
    <w:p w:rsidR="00B95188" w:rsidRPr="00A428C3" w:rsidRDefault="00B95188" w:rsidP="00B95188">
      <w:pPr>
        <w:pStyle w:val="a0"/>
      </w:pPr>
      <w:r w:rsidRPr="00A428C3">
        <w:t>Keywords: Chromium Transport, Chromium Toxicity, Chromate Reduction, Chromium Resistance, Bioremediation</w:t>
      </w:r>
    </w:p>
    <w:p w:rsidR="00B95188" w:rsidRPr="00A428C3" w:rsidRDefault="00B95188" w:rsidP="00B95188">
      <w:pPr>
        <w:pStyle w:val="1"/>
      </w:pPr>
      <w:r w:rsidRPr="00A428C3">
        <w:br w:type="page"/>
      </w:r>
      <w:bookmarkStart w:id="40" w:name="_Toc317160820"/>
      <w:r w:rsidRPr="00A428C3">
        <w:lastRenderedPageBreak/>
        <w:t xml:space="preserve">Title: </w:t>
      </w:r>
      <w:r>
        <w:t>FEMS</w:t>
      </w:r>
      <w:r>
        <w:rPr>
          <w:rFonts w:hint="eastAsia"/>
        </w:rPr>
        <w:t xml:space="preserve"> </w:t>
      </w:r>
      <w:r>
        <w:t>Symposium 12</w:t>
      </w:r>
      <w:bookmarkEnd w:id="40"/>
    </w:p>
    <w:p w:rsidR="00B95188" w:rsidRPr="00A428C3" w:rsidRDefault="00B95188" w:rsidP="00B95188">
      <w:pPr>
        <w:pStyle w:val="a0"/>
      </w:pPr>
      <w:r w:rsidRPr="00586CD8">
        <w:rPr>
          <w:rFonts w:hint="eastAsia"/>
          <w:kern w:val="2"/>
        </w:rPr>
        <w:t xml:space="preserve">? </w:t>
      </w:r>
      <w:r w:rsidRPr="00586CD8">
        <w:rPr>
          <w:kern w:val="2"/>
        </w:rPr>
        <w:t>Meyer</w:t>
      </w:r>
      <w:r w:rsidRPr="00586CD8">
        <w:rPr>
          <w:rFonts w:hint="eastAsia"/>
          <w:kern w:val="2"/>
        </w:rPr>
        <w:t>,</w:t>
      </w:r>
      <w:r w:rsidRPr="00586CD8">
        <w:rPr>
          <w:kern w:val="2"/>
        </w:rPr>
        <w:t xml:space="preserve"> U</w:t>
      </w:r>
      <w:r w:rsidRPr="00586CD8">
        <w:rPr>
          <w:rFonts w:hint="eastAsia"/>
          <w:kern w:val="2"/>
        </w:rPr>
        <w:t>.</w:t>
      </w:r>
      <w:r w:rsidRPr="00586CD8">
        <w:rPr>
          <w:kern w:val="2"/>
        </w:rPr>
        <w:t xml:space="preserve"> (1981)</w:t>
      </w:r>
      <w:r w:rsidRPr="00586CD8">
        <w:rPr>
          <w:rFonts w:hint="eastAsia"/>
          <w:kern w:val="2"/>
        </w:rPr>
        <w:t xml:space="preserve">, </w:t>
      </w:r>
      <w:r w:rsidRPr="00586CD8">
        <w:rPr>
          <w:kern w:val="2"/>
        </w:rPr>
        <w:t>Biodegradation of synthetic organic colorants. In:</w:t>
      </w:r>
      <w:r w:rsidRPr="00586CD8">
        <w:rPr>
          <w:rFonts w:hint="eastAsia"/>
          <w:kern w:val="2"/>
        </w:rPr>
        <w:t xml:space="preserve"> </w:t>
      </w:r>
      <w:r w:rsidRPr="00586CD8">
        <w:rPr>
          <w:kern w:val="2"/>
        </w:rPr>
        <w:t>Leisinger</w:t>
      </w:r>
      <w:r w:rsidRPr="00586CD8">
        <w:rPr>
          <w:rFonts w:hint="eastAsia"/>
          <w:kern w:val="2"/>
        </w:rPr>
        <w:t>,</w:t>
      </w:r>
      <w:r w:rsidRPr="00586CD8">
        <w:rPr>
          <w:kern w:val="2"/>
        </w:rPr>
        <w:t xml:space="preserve"> T</w:t>
      </w:r>
      <w:r w:rsidRPr="00586CD8">
        <w:rPr>
          <w:rFonts w:hint="eastAsia"/>
          <w:kern w:val="2"/>
        </w:rPr>
        <w:t>.</w:t>
      </w:r>
      <w:r w:rsidRPr="00586CD8">
        <w:rPr>
          <w:kern w:val="2"/>
        </w:rPr>
        <w:t>, Cook</w:t>
      </w:r>
      <w:r w:rsidRPr="00586CD8">
        <w:rPr>
          <w:rFonts w:hint="eastAsia"/>
          <w:kern w:val="2"/>
        </w:rPr>
        <w:t>,</w:t>
      </w:r>
      <w:r w:rsidRPr="00586CD8">
        <w:rPr>
          <w:kern w:val="2"/>
        </w:rPr>
        <w:t xml:space="preserve"> A</w:t>
      </w:r>
      <w:r w:rsidRPr="00586CD8">
        <w:rPr>
          <w:rFonts w:hint="eastAsia"/>
          <w:kern w:val="2"/>
        </w:rPr>
        <w:t>.</w:t>
      </w:r>
      <w:r w:rsidRPr="00586CD8">
        <w:rPr>
          <w:kern w:val="2"/>
        </w:rPr>
        <w:t>M</w:t>
      </w:r>
      <w:r w:rsidRPr="00586CD8">
        <w:rPr>
          <w:rFonts w:hint="eastAsia"/>
          <w:kern w:val="2"/>
        </w:rPr>
        <w:t>.</w:t>
      </w:r>
      <w:r w:rsidRPr="00586CD8">
        <w:rPr>
          <w:kern w:val="2"/>
        </w:rPr>
        <w:t>, Hutter</w:t>
      </w:r>
      <w:r w:rsidRPr="00586CD8">
        <w:rPr>
          <w:rFonts w:hint="eastAsia"/>
          <w:kern w:val="2"/>
        </w:rPr>
        <w:t>,</w:t>
      </w:r>
      <w:r w:rsidRPr="00586CD8">
        <w:rPr>
          <w:kern w:val="2"/>
        </w:rPr>
        <w:t xml:space="preserve"> R</w:t>
      </w:r>
      <w:r w:rsidRPr="00586CD8">
        <w:rPr>
          <w:rFonts w:hint="eastAsia"/>
          <w:kern w:val="2"/>
        </w:rPr>
        <w:t>.</w:t>
      </w:r>
      <w:r w:rsidRPr="00586CD8">
        <w:rPr>
          <w:kern w:val="2"/>
        </w:rPr>
        <w:t>, Nuesch</w:t>
      </w:r>
      <w:r w:rsidRPr="00586CD8">
        <w:rPr>
          <w:rFonts w:hint="eastAsia"/>
          <w:kern w:val="2"/>
        </w:rPr>
        <w:t>,</w:t>
      </w:r>
      <w:r w:rsidRPr="00586CD8">
        <w:rPr>
          <w:kern w:val="2"/>
        </w:rPr>
        <w:t xml:space="preserve"> J</w:t>
      </w:r>
      <w:r w:rsidRPr="00586CD8">
        <w:rPr>
          <w:rFonts w:hint="eastAsia"/>
          <w:kern w:val="2"/>
        </w:rPr>
        <w:t>.</w:t>
      </w:r>
      <w:r w:rsidRPr="00586CD8">
        <w:rPr>
          <w:kern w:val="2"/>
        </w:rPr>
        <w:t xml:space="preserve"> (eds) Microbial Degradation of Xenobiotic</w:t>
      </w:r>
      <w:r w:rsidR="00F81221">
        <w:rPr>
          <w:kern w:val="2"/>
        </w:rPr>
        <w:t xml:space="preserve"> and </w:t>
      </w:r>
      <w:r w:rsidRPr="00586CD8">
        <w:rPr>
          <w:kern w:val="2"/>
        </w:rPr>
        <w:t>Recalcitrant Compounds. FEMS</w:t>
      </w:r>
      <w:r w:rsidRPr="00586CD8">
        <w:rPr>
          <w:rFonts w:hint="eastAsia"/>
          <w:kern w:val="2"/>
        </w:rPr>
        <w:t xml:space="preserve"> </w:t>
      </w:r>
      <w:r w:rsidRPr="00586CD8">
        <w:rPr>
          <w:kern w:val="2"/>
        </w:rPr>
        <w:t>Symposium 12, Academic</w:t>
      </w:r>
      <w:r w:rsidRPr="005C2F98">
        <w:t xml:space="preserve"> </w:t>
      </w:r>
      <w:r w:rsidRPr="00442625">
        <w:t>Press</w:t>
      </w:r>
      <w:r w:rsidRPr="00586CD8">
        <w:rPr>
          <w:kern w:val="2"/>
        </w:rPr>
        <w:t>, London, pp 371</w:t>
      </w:r>
      <w:r w:rsidRPr="00586CD8">
        <w:rPr>
          <w:rFonts w:hint="eastAsia"/>
          <w:kern w:val="2"/>
        </w:rPr>
        <w:t>-</w:t>
      </w:r>
      <w:r w:rsidRPr="00586CD8">
        <w:rPr>
          <w:kern w:val="2"/>
        </w:rPr>
        <w:t>385</w:t>
      </w:r>
      <w:r w:rsidRPr="00A428C3">
        <w:t>.</w:t>
      </w:r>
    </w:p>
    <w:p w:rsidR="00B95188" w:rsidRPr="00A428C3" w:rsidRDefault="00B95188" w:rsidP="00B95188">
      <w:pPr>
        <w:pStyle w:val="1"/>
      </w:pPr>
      <w:r w:rsidRPr="00A428C3">
        <w:br w:type="page"/>
      </w:r>
      <w:bookmarkStart w:id="41" w:name="_Toc488467653"/>
      <w:bookmarkStart w:id="42" w:name="_Toc489709726"/>
      <w:bookmarkStart w:id="43" w:name="_Toc490687958"/>
      <w:bookmarkStart w:id="44" w:name="_Toc186647661"/>
      <w:bookmarkStart w:id="45" w:name="_Toc317160821"/>
      <w:r w:rsidRPr="00A428C3">
        <w:lastRenderedPageBreak/>
        <w:t>Title: Fertility</w:t>
      </w:r>
      <w:r w:rsidR="00F81221">
        <w:t xml:space="preserve"> and </w:t>
      </w:r>
      <w:r w:rsidRPr="00A428C3">
        <w:t>Sterility</w:t>
      </w:r>
      <w:bookmarkEnd w:id="41"/>
      <w:bookmarkEnd w:id="42"/>
      <w:bookmarkEnd w:id="43"/>
      <w:bookmarkEnd w:id="44"/>
      <w:bookmarkEnd w:id="45"/>
    </w:p>
    <w:p w:rsidR="008A676A" w:rsidRPr="001C6E1F" w:rsidRDefault="008A676A" w:rsidP="00B72EF9">
      <w:pPr>
        <w:pStyle w:val="12"/>
      </w:pPr>
      <w:r w:rsidRPr="001C6E1F">
        <w:t xml:space="preserve">Full Journal Title: </w:t>
      </w:r>
      <w:hyperlink r:id="rId47" w:history="1">
        <w:hyperlink r:id="rId48" w:history="1">
          <w:r w:rsidRPr="001C6E1F">
            <w:rPr>
              <w:rStyle w:val="a5"/>
            </w:rPr>
            <w:t>Fertility</w:t>
          </w:r>
          <w:r w:rsidR="00F81221">
            <w:rPr>
              <w:rStyle w:val="a5"/>
            </w:rPr>
            <w:t xml:space="preserve"> and </w:t>
          </w:r>
          <w:r w:rsidRPr="001C6E1F">
            <w:rPr>
              <w:rStyle w:val="a5"/>
            </w:rPr>
            <w:t>Sterility</w:t>
          </w:r>
        </w:hyperlink>
      </w:hyperlink>
    </w:p>
    <w:p w:rsidR="008A676A" w:rsidRPr="001C6E1F" w:rsidRDefault="008A676A" w:rsidP="00B72EF9">
      <w:pPr>
        <w:pStyle w:val="12"/>
      </w:pPr>
      <w:r w:rsidRPr="001C6E1F">
        <w:t>ISO Abbreviated Title: Fertil. Steril.</w:t>
      </w:r>
    </w:p>
    <w:p w:rsidR="008A676A" w:rsidRPr="001C6E1F" w:rsidRDefault="008A676A" w:rsidP="00B72EF9">
      <w:pPr>
        <w:pStyle w:val="12"/>
      </w:pPr>
      <w:r w:rsidRPr="001C6E1F">
        <w:t>JCR Abbreviated Title</w:t>
      </w:r>
      <w:r>
        <w:t>:</w:t>
      </w:r>
      <w:r w:rsidRPr="001C6E1F">
        <w:t xml:space="preserve"> Fertil Steril</w:t>
      </w:r>
    </w:p>
    <w:p w:rsidR="008A676A" w:rsidRPr="001C6E1F" w:rsidRDefault="008A676A" w:rsidP="00B72EF9">
      <w:pPr>
        <w:pStyle w:val="12"/>
      </w:pPr>
      <w:r w:rsidRPr="001C6E1F">
        <w:t>ISSN: 0015-0282</w:t>
      </w:r>
    </w:p>
    <w:p w:rsidR="008A676A" w:rsidRPr="001C6E1F" w:rsidRDefault="008A676A" w:rsidP="00B72EF9">
      <w:pPr>
        <w:pStyle w:val="12"/>
      </w:pPr>
      <w:r w:rsidRPr="001C6E1F">
        <w:t>Issues/Year: 12</w:t>
      </w:r>
    </w:p>
    <w:p w:rsidR="008A676A" w:rsidRPr="001C6E1F" w:rsidRDefault="00FB5623" w:rsidP="00B72EF9">
      <w:pPr>
        <w:pStyle w:val="12"/>
      </w:pPr>
      <w:r>
        <w:t>Journal Country/Territory:</w:t>
      </w:r>
      <w:r w:rsidR="008A676A">
        <w:t xml:space="preserve"> </w:t>
      </w:r>
      <w:r w:rsidR="008A676A" w:rsidRPr="001C6E1F">
        <w:t>United States</w:t>
      </w:r>
    </w:p>
    <w:p w:rsidR="008A676A" w:rsidRPr="001C6E1F" w:rsidRDefault="008A676A" w:rsidP="00B72EF9">
      <w:pPr>
        <w:pStyle w:val="12"/>
      </w:pPr>
      <w:r w:rsidRPr="001C6E1F">
        <w:t>Language: English</w:t>
      </w:r>
    </w:p>
    <w:p w:rsidR="008A676A" w:rsidRPr="001C6E1F" w:rsidRDefault="008A676A" w:rsidP="00B72EF9">
      <w:pPr>
        <w:pStyle w:val="12"/>
      </w:pPr>
      <w:r w:rsidRPr="001C6E1F">
        <w:t>Publisher: Elsevier Science Inc</w:t>
      </w:r>
    </w:p>
    <w:p w:rsidR="008A676A" w:rsidRPr="001C6E1F" w:rsidRDefault="008A676A" w:rsidP="00B72EF9">
      <w:pPr>
        <w:pStyle w:val="12"/>
      </w:pPr>
      <w:r w:rsidRPr="001C6E1F">
        <w:t>Publisher Address: 655 Avenue of the Americas, New York, NY 10010</w:t>
      </w:r>
    </w:p>
    <w:p w:rsidR="008A676A" w:rsidRPr="001C6E1F" w:rsidRDefault="008A676A" w:rsidP="00B72EF9">
      <w:pPr>
        <w:pStyle w:val="12"/>
      </w:pPr>
      <w:r w:rsidRPr="001C6E1F">
        <w:t>Subject Categories:</w:t>
      </w:r>
    </w:p>
    <w:p w:rsidR="008A676A" w:rsidRPr="001C6E1F" w:rsidRDefault="008A676A" w:rsidP="00B72EF9">
      <w:pPr>
        <w:pStyle w:val="12"/>
      </w:pPr>
      <w:r w:rsidRPr="001C6E1F">
        <w:t xml:space="preserve">Obstetrics &amp; Gynecology Reproductive Biology: Impact Factor </w:t>
      </w:r>
    </w:p>
    <w:p w:rsidR="00B95188" w:rsidRPr="00A428C3" w:rsidRDefault="00B95188" w:rsidP="00B95188">
      <w:pPr>
        <w:pStyle w:val="a0"/>
      </w:pPr>
      <w:r w:rsidRPr="00A428C3">
        <w:t xml:space="preserve">? Bobick, J.E. (1981), Citation data for selected journals in reproductive-biology. </w:t>
      </w:r>
      <w:r w:rsidRPr="00A428C3">
        <w:rPr>
          <w:i/>
        </w:rPr>
        <w:t>Fertility</w:t>
      </w:r>
      <w:r w:rsidR="00F81221">
        <w:rPr>
          <w:i/>
        </w:rPr>
        <w:t xml:space="preserve"> and </w:t>
      </w:r>
      <w:r w:rsidRPr="00A428C3">
        <w:rPr>
          <w:i/>
        </w:rPr>
        <w:t>Sterility</w:t>
      </w:r>
      <w:r w:rsidRPr="00A428C3">
        <w:t xml:space="preserve">, </w:t>
      </w:r>
      <w:r w:rsidRPr="00A428C3">
        <w:rPr>
          <w:b/>
        </w:rPr>
        <w:t>35</w:t>
      </w:r>
      <w:r w:rsidRPr="00A428C3">
        <w:t xml:space="preserve"> (2), 126-130.</w:t>
      </w:r>
    </w:p>
    <w:p w:rsidR="00B95188" w:rsidRPr="00A428C3" w:rsidRDefault="00B95188" w:rsidP="00B95188">
      <w:pPr>
        <w:pStyle w:val="a0"/>
      </w:pPr>
      <w:r w:rsidRPr="00A428C3">
        <w:t xml:space="preserve">? Barbieri, R.L. (1986), Citation analysis for the journal, </w:t>
      </w:r>
      <w:r w:rsidRPr="000D033C">
        <w:rPr>
          <w:i/>
        </w:rPr>
        <w:t>Fertility</w:t>
      </w:r>
      <w:r w:rsidR="00F81221">
        <w:rPr>
          <w:i/>
        </w:rPr>
        <w:t xml:space="preserve"> and </w:t>
      </w:r>
      <w:r w:rsidRPr="000D033C">
        <w:rPr>
          <w:i/>
        </w:rPr>
        <w:t>Sterility</w:t>
      </w:r>
      <w:r w:rsidRPr="00A428C3">
        <w:t xml:space="preserve">. </w:t>
      </w:r>
      <w:r w:rsidRPr="00A428C3">
        <w:rPr>
          <w:i/>
        </w:rPr>
        <w:t>Fertility</w:t>
      </w:r>
      <w:r w:rsidR="00F81221">
        <w:rPr>
          <w:i/>
        </w:rPr>
        <w:t xml:space="preserve"> and </w:t>
      </w:r>
      <w:r w:rsidRPr="00A428C3">
        <w:rPr>
          <w:i/>
        </w:rPr>
        <w:t>Sterility</w:t>
      </w:r>
      <w:r w:rsidRPr="00A428C3">
        <w:t xml:space="preserve">, </w:t>
      </w:r>
      <w:r w:rsidRPr="00A428C3">
        <w:rPr>
          <w:b/>
        </w:rPr>
        <w:t>45</w:t>
      </w:r>
      <w:r w:rsidRPr="00A428C3">
        <w:t xml:space="preserve"> (6), 892-893.</w:t>
      </w:r>
    </w:p>
    <w:p w:rsidR="00B95188" w:rsidRPr="00A428C3" w:rsidRDefault="00B95188" w:rsidP="00B95188">
      <w:pPr>
        <w:pStyle w:val="a0"/>
      </w:pPr>
      <w:r w:rsidRPr="00A428C3">
        <w:t>? Key, J.D.</w:t>
      </w:r>
      <w:r w:rsidR="00F81221">
        <w:t xml:space="preserve"> and </w:t>
      </w:r>
      <w:r w:rsidRPr="00A428C3">
        <w:t xml:space="preserve">Kempers, R.D. (1987), Citation-classics - most-cited articles from </w:t>
      </w:r>
      <w:r w:rsidR="00A55D2F">
        <w:rPr>
          <w:i/>
          <w:iCs/>
          <w:kern w:val="0"/>
        </w:rPr>
        <w:t>Fertility and Sterility</w:t>
      </w:r>
      <w:r w:rsidRPr="00A428C3">
        <w:t xml:space="preserve">. </w:t>
      </w:r>
      <w:r w:rsidRPr="00A428C3">
        <w:rPr>
          <w:i/>
        </w:rPr>
        <w:t>Fertility</w:t>
      </w:r>
      <w:r w:rsidR="00F81221">
        <w:rPr>
          <w:i/>
        </w:rPr>
        <w:t xml:space="preserve"> and </w:t>
      </w:r>
      <w:r w:rsidRPr="00A428C3">
        <w:rPr>
          <w:i/>
        </w:rPr>
        <w:t>Sterility</w:t>
      </w:r>
      <w:r w:rsidRPr="00A428C3">
        <w:t xml:space="preserve">, </w:t>
      </w:r>
      <w:r w:rsidRPr="00A428C3">
        <w:rPr>
          <w:b/>
        </w:rPr>
        <w:t>47</w:t>
      </w:r>
      <w:r w:rsidRPr="00A428C3">
        <w:t xml:space="preserve"> (6), 910-915.</w:t>
      </w:r>
    </w:p>
    <w:p w:rsidR="00B95188" w:rsidRPr="00A428C3" w:rsidRDefault="00B95188" w:rsidP="00B95188">
      <w:pPr>
        <w:pStyle w:val="a0"/>
      </w:pPr>
      <w:r w:rsidRPr="00A428C3">
        <w:t>? Andrews, F.M., Abbey, A.</w:t>
      </w:r>
      <w:r w:rsidR="00F81221">
        <w:t xml:space="preserve"> and </w:t>
      </w:r>
      <w:r w:rsidRPr="00A428C3">
        <w:t>Halman, L.J. (1992), Is fertility-problem stress different: The dynamics of stress in fertile</w:t>
      </w:r>
      <w:r w:rsidR="00F81221">
        <w:t xml:space="preserve"> and </w:t>
      </w:r>
      <w:r w:rsidRPr="00A428C3">
        <w:t xml:space="preserve">infertile couples. </w:t>
      </w:r>
      <w:r w:rsidRPr="00A428C3">
        <w:rPr>
          <w:i/>
        </w:rPr>
        <w:t>Fertility</w:t>
      </w:r>
      <w:r w:rsidR="00F81221">
        <w:rPr>
          <w:i/>
        </w:rPr>
        <w:t xml:space="preserve"> and </w:t>
      </w:r>
      <w:r w:rsidRPr="00A428C3">
        <w:rPr>
          <w:i/>
        </w:rPr>
        <w:t>Sterility</w:t>
      </w:r>
      <w:r w:rsidRPr="00A428C3">
        <w:t xml:space="preserve">, </w:t>
      </w:r>
      <w:r w:rsidRPr="00A428C3">
        <w:rPr>
          <w:b/>
        </w:rPr>
        <w:t>57</w:t>
      </w:r>
      <w:r w:rsidRPr="00A428C3">
        <w:t xml:space="preserve"> (6), 1247-1253.</w:t>
      </w:r>
    </w:p>
    <w:p w:rsidR="00B95188" w:rsidRPr="00A428C3" w:rsidRDefault="00B95188" w:rsidP="00B95188">
      <w:pPr>
        <w:pStyle w:val="a0"/>
      </w:pPr>
      <w:r w:rsidRPr="00A428C3">
        <w:t>Abstract: Objective: To compare the dynamics of fertility-problem stress experienced by wives</w:t>
      </w:r>
      <w:r w:rsidR="00F81221">
        <w:t xml:space="preserve"> and </w:t>
      </w:r>
      <w:r w:rsidRPr="00A428C3">
        <w:t>husbands in infertile couples with the dynamics of stress from other sources experienced by members of couples presumed to be fertile. Design: Relationships of stress to four marriage factors</w:t>
      </w:r>
      <w:r w:rsidR="00F81221">
        <w:t xml:space="preserve"> and </w:t>
      </w:r>
      <w:r w:rsidRPr="00A428C3">
        <w:t>four aspects of life quality (subjective well-being) are examined within a causal modeling framework using data from structured interviews. Setting: Face-to-face interviews were conducted in study participants</w:t>
      </w:r>
      <w:r w:rsidR="000352E7">
        <w:t>’</w:t>
      </w:r>
      <w:r w:rsidRPr="00A428C3">
        <w:t xml:space="preserve"> homes. Participants: Wives</w:t>
      </w:r>
      <w:r w:rsidR="00F81221">
        <w:t xml:space="preserve"> and </w:t>
      </w:r>
      <w:r w:rsidRPr="00A428C3">
        <w:t>husbands from 157 couples with primary infertility</w:t>
      </w:r>
      <w:r w:rsidR="00F81221">
        <w:t xml:space="preserve"> and </w:t>
      </w:r>
      <w:r w:rsidRPr="00A428C3">
        <w:t>from 82 presumed-fertile couples were studied. Main Outcome Measures: Final outcome measures were four multi-item scales assessing life quality with regard to the marriage, own self-efficacy, own health</w:t>
      </w:r>
      <w:r w:rsidR="00F81221">
        <w:t xml:space="preserve"> and </w:t>
      </w:r>
      <w:r w:rsidRPr="00A428C3">
        <w:t>appearance,</w:t>
      </w:r>
      <w:r w:rsidR="00F81221">
        <w:t xml:space="preserve"> and </w:t>
      </w:r>
      <w:r w:rsidRPr="00A428C3">
        <w:t>life as a whole. Intervening outcome scales measured four marriage factors: marital conflict, sexual self-esteem, sexual dissatisfaction,</w:t>
      </w:r>
      <w:r w:rsidR="00F81221">
        <w:t xml:space="preserve"> and </w:t>
      </w:r>
      <w:r w:rsidRPr="00A428C3">
        <w:t>frequency of intercourse. Results</w:t>
      </w:r>
      <w:r w:rsidR="00F81221">
        <w:t xml:space="preserve"> and </w:t>
      </w:r>
      <w:r w:rsidRPr="00A428C3">
        <w:t>Conclusions: Higher levels of stress, regardless of whether that stress was from attempting to solve a fertility problem or another problem, were related to reduced marital functioning</w:t>
      </w:r>
      <w:r w:rsidR="00F81221">
        <w:t xml:space="preserve"> and </w:t>
      </w:r>
      <w:r w:rsidRPr="00A428C3">
        <w:t xml:space="preserve">decreased life quality. For husbands, the strengths of the linkages did not depend on the source of the stress. For wives, </w:t>
      </w:r>
      <w:r w:rsidRPr="00A428C3">
        <w:lastRenderedPageBreak/>
        <w:t>however, the causal model suggested that fertility-problem stress had stronger negative impacts on sense of sexual identity</w:t>
      </w:r>
      <w:r w:rsidR="00F81221">
        <w:t xml:space="preserve"> and </w:t>
      </w:r>
      <w:r w:rsidRPr="00A428C3">
        <w:t>self-efficacy than did stress from other problems (P &lt; 0.05). Stress from any source had more impact on the lives of wives than of husbands, more impact on satisfaction with self</w:t>
      </w:r>
      <w:r w:rsidR="00F81221">
        <w:t xml:space="preserve"> and </w:t>
      </w:r>
      <w:r w:rsidRPr="00A428C3">
        <w:t>general well-being than on satisfaction with the marriage or health,</w:t>
      </w:r>
      <w:r w:rsidR="00F81221">
        <w:t xml:space="preserve"> and </w:t>
      </w:r>
      <w:r w:rsidRPr="00A428C3">
        <w:t>affected life quality mostly indirectly through its impacts on the marriage factors.</w:t>
      </w:r>
    </w:p>
    <w:p w:rsidR="00B95188" w:rsidRPr="00A428C3" w:rsidRDefault="00B95188" w:rsidP="00B95188">
      <w:pPr>
        <w:pStyle w:val="a0"/>
      </w:pPr>
      <w:r w:rsidRPr="00A428C3">
        <w:t>Keywords: Stress, Infertility, Life Quality, Subjective Well-Being, Marriage Factors, Psychosocial Factors</w:t>
      </w:r>
    </w:p>
    <w:p w:rsidR="00B95188" w:rsidRPr="00A428C3" w:rsidRDefault="00B95188" w:rsidP="00B95188">
      <w:pPr>
        <w:pStyle w:val="a0"/>
      </w:pPr>
      <w:r w:rsidRPr="00A428C3">
        <w:t xml:space="preserve">Kempers, R.D. (2002), Ethical issues in biomedical publications. </w:t>
      </w:r>
      <w:r w:rsidRPr="00A428C3">
        <w:rPr>
          <w:i/>
        </w:rPr>
        <w:t>Fertility</w:t>
      </w:r>
      <w:r w:rsidR="00F81221">
        <w:rPr>
          <w:i/>
        </w:rPr>
        <w:t xml:space="preserve"> and </w:t>
      </w:r>
      <w:r w:rsidRPr="00A428C3">
        <w:rPr>
          <w:i/>
        </w:rPr>
        <w:t>Sterility</w:t>
      </w:r>
      <w:r w:rsidRPr="00A428C3">
        <w:t xml:space="preserve">, </w:t>
      </w:r>
      <w:r w:rsidRPr="00A428C3">
        <w:rPr>
          <w:b/>
        </w:rPr>
        <w:t>77</w:t>
      </w:r>
      <w:r w:rsidRPr="00A428C3">
        <w:t xml:space="preserve"> (5), 883-888.</w:t>
      </w:r>
    </w:p>
    <w:p w:rsidR="00BF5D03" w:rsidRPr="001A3D2B" w:rsidRDefault="00BF5D03" w:rsidP="00BF5D03">
      <w:pPr>
        <w:pStyle w:val="a0"/>
      </w:pPr>
      <w:r w:rsidRPr="001A3D2B">
        <w:t xml:space="preserve">Full Text: </w:t>
      </w:r>
      <w:hyperlink r:id="rId49" w:history="1">
        <w:r w:rsidRPr="001A3D2B">
          <w:rPr>
            <w:rStyle w:val="a5"/>
          </w:rPr>
          <w:t>2002\Fer Ste77, 883.pdf</w:t>
        </w:r>
      </w:hyperlink>
    </w:p>
    <w:p w:rsidR="00B95188" w:rsidRPr="00A428C3" w:rsidRDefault="00B95188" w:rsidP="00B95188">
      <w:pPr>
        <w:pStyle w:val="a0"/>
      </w:pPr>
      <w:r w:rsidRPr="00A428C3">
        <w:t>Abstract: Peer-reviewed biomedical journals are expected to publish accurate</w:t>
      </w:r>
      <w:r w:rsidR="00F81221">
        <w:t xml:space="preserve"> and </w:t>
      </w:r>
      <w:r w:rsidRPr="00A428C3">
        <w:t>important information. In the process, numerous ethical issues may arise from within both the editorial</w:t>
      </w:r>
      <w:r w:rsidR="00F81221">
        <w:t xml:space="preserve"> and </w:t>
      </w:r>
      <w:r w:rsidRPr="00A428C3">
        <w:t>research communities. This paper will focus on four general ethical issues—authorship, peer review, duplicate or repetitive publication,</w:t>
      </w:r>
      <w:r w:rsidR="00F81221">
        <w:t xml:space="preserve"> and </w:t>
      </w:r>
      <w:r w:rsidRPr="00A428C3">
        <w:t>conflict of interest. Issues of authorship include multiple authorship, misconduct among coauthors, guest</w:t>
      </w:r>
      <w:r w:rsidR="00F81221">
        <w:t xml:space="preserve"> and </w:t>
      </w:r>
      <w:r w:rsidRPr="00A428C3">
        <w:t>honorary authorship, order of authorship,</w:t>
      </w:r>
      <w:r w:rsidR="00F81221">
        <w:t xml:space="preserve"> and </w:t>
      </w:r>
      <w:r w:rsidRPr="00A428C3">
        <w:t>credit for those not qualifying for authorship. Peer review attempts to ensure that what is published is valid. Peer review ethical issues include confidentiality of the manuscript, potential editor</w:t>
      </w:r>
      <w:r w:rsidR="00F81221">
        <w:t xml:space="preserve"> and </w:t>
      </w:r>
      <w:r w:rsidRPr="00A428C3">
        <w:t>reviewer bias,</w:t>
      </w:r>
      <w:r w:rsidR="00F81221">
        <w:t xml:space="preserve"> and </w:t>
      </w:r>
      <w:r w:rsidRPr="00A428C3">
        <w:t>conflict of interest on the part of the reviewer. Duplicate or repetitive publication, in which the same information is reported two or more times, can damage a journal</w:t>
      </w:r>
      <w:r w:rsidR="000352E7">
        <w:t>’</w:t>
      </w:r>
      <w:r w:rsidRPr="00A428C3">
        <w:t>s reputation for publishing new</w:t>
      </w:r>
      <w:r w:rsidR="00F81221">
        <w:t xml:space="preserve"> and </w:t>
      </w:r>
      <w:r w:rsidRPr="00A428C3">
        <w:t>important information</w:t>
      </w:r>
      <w:r w:rsidR="00F81221">
        <w:t xml:space="preserve"> and </w:t>
      </w:r>
      <w:r w:rsidRPr="00A428C3">
        <w:t>can waste its resources. Conflicts of interest, in which financial</w:t>
      </w:r>
      <w:r w:rsidR="00F81221">
        <w:t xml:space="preserve"> and </w:t>
      </w:r>
      <w:r w:rsidRPr="00A428C3">
        <w:t>personal considerations may affect the investigator</w:t>
      </w:r>
      <w:r w:rsidR="000352E7">
        <w:t>’</w:t>
      </w:r>
      <w:r w:rsidRPr="00A428C3">
        <w:t>s personal judgment, can seriously damage the integrity of the author</w:t>
      </w:r>
      <w:r w:rsidR="00F81221">
        <w:t xml:space="preserve"> and </w:t>
      </w:r>
      <w:r w:rsidRPr="00A428C3">
        <w:t>of the journal. Increased awareness of these ethical issues should stimulate everyone to take an active role in promulgating</w:t>
      </w:r>
      <w:r w:rsidR="00F81221">
        <w:t xml:space="preserve"> and </w:t>
      </w:r>
      <w:r w:rsidRPr="00A428C3">
        <w:t>enforcing the highest ethical standards in biomedical publications.</w:t>
      </w:r>
    </w:p>
    <w:p w:rsidR="00B95188" w:rsidRPr="00A428C3" w:rsidRDefault="00B95188" w:rsidP="00B95188">
      <w:pPr>
        <w:pStyle w:val="a0"/>
      </w:pPr>
      <w:r w:rsidRPr="00A428C3">
        <w:t>Keywords: Biomedical Publishing, Peer Review, Duplicate Publishing, Publishing Ethics</w:t>
      </w:r>
    </w:p>
    <w:p w:rsidR="00F82559" w:rsidRPr="008B2BB0" w:rsidRDefault="00F82559" w:rsidP="00F82559">
      <w:pPr>
        <w:pStyle w:val="a0"/>
      </w:pPr>
      <w:r w:rsidRPr="008B2BB0">
        <w:t>? Yang, H.</w:t>
      </w:r>
      <w:r w:rsidR="00F81221">
        <w:t xml:space="preserve"> and </w:t>
      </w:r>
      <w:r w:rsidRPr="008B2BB0">
        <w:t xml:space="preserve">Pan, B.C. (2006), Citation classics in </w:t>
      </w:r>
      <w:r w:rsidRPr="00CE7517">
        <w:rPr>
          <w:i/>
          <w:iCs/>
        </w:rPr>
        <w:t>Fertility</w:t>
      </w:r>
      <w:r w:rsidR="00F81221">
        <w:rPr>
          <w:i/>
          <w:iCs/>
        </w:rPr>
        <w:t xml:space="preserve"> and </w:t>
      </w:r>
      <w:r w:rsidRPr="00CE7517">
        <w:rPr>
          <w:i/>
          <w:iCs/>
        </w:rPr>
        <w:t>Sterility</w:t>
      </w:r>
      <w:r w:rsidRPr="008B2BB0">
        <w:t xml:space="preserve">, 1975-2004. </w:t>
      </w:r>
      <w:r w:rsidRPr="00CE7517">
        <w:rPr>
          <w:i/>
          <w:iCs/>
        </w:rPr>
        <w:t>Fertility</w:t>
      </w:r>
      <w:r w:rsidR="00F81221">
        <w:rPr>
          <w:i/>
          <w:iCs/>
        </w:rPr>
        <w:t xml:space="preserve"> and </w:t>
      </w:r>
      <w:r w:rsidRPr="00CE7517">
        <w:rPr>
          <w:i/>
          <w:iCs/>
        </w:rPr>
        <w:t>Sterility</w:t>
      </w:r>
      <w:r w:rsidRPr="008B2BB0">
        <w:t xml:space="preserve">, </w:t>
      </w:r>
      <w:r w:rsidRPr="00551655">
        <w:rPr>
          <w:b/>
          <w:bCs/>
        </w:rPr>
        <w:t>86</w:t>
      </w:r>
      <w:r w:rsidRPr="008B2BB0">
        <w:t xml:space="preserve"> (4), 795-797.</w:t>
      </w:r>
    </w:p>
    <w:p w:rsidR="00F82559" w:rsidRPr="00A428C3" w:rsidRDefault="00F82559" w:rsidP="00F82559">
      <w:pPr>
        <w:pStyle w:val="a0"/>
      </w:pPr>
      <w:r w:rsidRPr="00A428C3">
        <w:t xml:space="preserve">Full Text: </w:t>
      </w:r>
      <w:hyperlink r:id="rId50" w:history="1">
        <w:r w:rsidRPr="00B90C60">
          <w:rPr>
            <w:rStyle w:val="a5"/>
          </w:rPr>
          <w:t>2006\Fer Ste86, 795.pdf</w:t>
        </w:r>
      </w:hyperlink>
    </w:p>
    <w:p w:rsidR="00F82559" w:rsidRPr="003862C4" w:rsidRDefault="00F82559" w:rsidP="00F82559">
      <w:pPr>
        <w:pStyle w:val="a0"/>
      </w:pPr>
      <w:r w:rsidRPr="003862C4">
        <w:t>Abstract: The Science Citation Index of the Institute for Scientific Information was searched to identify the 102 most frequently cited articles in the Fertility</w:t>
      </w:r>
      <w:r w:rsidR="00F81221">
        <w:t xml:space="preserve"> and </w:t>
      </w:r>
      <w:r w:rsidRPr="003862C4">
        <w:t>Sterility journal for the past 30 years. Identification of the citation classic articles provides resourceful perspectives on the evolution of Fertility</w:t>
      </w:r>
      <w:r w:rsidR="00F81221">
        <w:t xml:space="preserve"> and </w:t>
      </w:r>
      <w:r w:rsidRPr="003862C4">
        <w:t>Sterility</w:t>
      </w:r>
      <w:r w:rsidR="00F81221">
        <w:t xml:space="preserve"> and </w:t>
      </w:r>
      <w:r w:rsidRPr="003862C4">
        <w:t>reproductive medicine.</w:t>
      </w:r>
    </w:p>
    <w:p w:rsidR="00F82559" w:rsidRPr="003862C4" w:rsidRDefault="00F82559" w:rsidP="00F82559">
      <w:pPr>
        <w:pStyle w:val="a0"/>
      </w:pPr>
      <w:r w:rsidRPr="003862C4">
        <w:t>Keywords: Citation, Evolution, Institute for Scientific Information, Journal, Medicine, Science Citation Index</w:t>
      </w:r>
    </w:p>
    <w:p w:rsidR="006A21F8" w:rsidRPr="00FB57D5" w:rsidRDefault="006A21F8" w:rsidP="006A21F8">
      <w:pPr>
        <w:pStyle w:val="a0"/>
      </w:pPr>
      <w:r w:rsidRPr="00FB57D5">
        <w:rPr>
          <w:rFonts w:hint="eastAsia"/>
        </w:rPr>
        <w:lastRenderedPageBreak/>
        <w:t xml:space="preserve">? </w:t>
      </w:r>
      <w:r w:rsidRPr="00FB57D5">
        <w:t xml:space="preserve">González-Alcaide, G., </w:t>
      </w:r>
      <w:r w:rsidRPr="00FB57D5">
        <w:rPr>
          <w:rFonts w:hint="eastAsia"/>
        </w:rPr>
        <w:t>Al</w:t>
      </w:r>
      <w:r w:rsidRPr="00FB57D5">
        <w:t>eixandre-Benavent, R., Navarro-Molina, C.</w:t>
      </w:r>
      <w:r w:rsidR="00F81221">
        <w:t xml:space="preserve"> and </w:t>
      </w:r>
      <w:r w:rsidRPr="00FB57D5">
        <w:t>Valderrama-Zurián, J.C. (2008), Coauthorship networks</w:t>
      </w:r>
      <w:r w:rsidR="00F81221">
        <w:t xml:space="preserve"> and </w:t>
      </w:r>
      <w:r w:rsidRPr="00FB57D5">
        <w:t xml:space="preserve">institutional collaboration patterns in reproductive biology. </w:t>
      </w:r>
      <w:r w:rsidRPr="00FB57D5">
        <w:rPr>
          <w:i/>
          <w:iCs/>
        </w:rPr>
        <w:t>Fertility</w:t>
      </w:r>
      <w:r w:rsidR="00F81221">
        <w:rPr>
          <w:i/>
          <w:iCs/>
        </w:rPr>
        <w:t xml:space="preserve"> and </w:t>
      </w:r>
      <w:r w:rsidRPr="00FB57D5">
        <w:rPr>
          <w:i/>
          <w:iCs/>
        </w:rPr>
        <w:t>Sterility</w:t>
      </w:r>
      <w:r w:rsidRPr="00FB57D5">
        <w:t xml:space="preserve">, </w:t>
      </w:r>
      <w:r w:rsidRPr="00FB57D5">
        <w:rPr>
          <w:b/>
          <w:bCs/>
        </w:rPr>
        <w:t>90</w:t>
      </w:r>
      <w:r w:rsidRPr="00FB57D5">
        <w:t xml:space="preserve"> (4), 941-956.</w:t>
      </w:r>
    </w:p>
    <w:p w:rsidR="006A21F8" w:rsidRPr="00A428C3" w:rsidRDefault="006A21F8" w:rsidP="006A21F8">
      <w:pPr>
        <w:pStyle w:val="a0"/>
      </w:pPr>
      <w:r w:rsidRPr="00A428C3">
        <w:t xml:space="preserve">Full Text: </w:t>
      </w:r>
      <w:hyperlink r:id="rId51" w:history="1">
        <w:r w:rsidRPr="003C0895">
          <w:rPr>
            <w:rStyle w:val="a5"/>
          </w:rPr>
          <w:t>2008\Fer Ste90, 941.pdf</w:t>
        </w:r>
      </w:hyperlink>
    </w:p>
    <w:p w:rsidR="006A21F8" w:rsidRPr="00FB57D5" w:rsidRDefault="006A21F8" w:rsidP="006A21F8">
      <w:pPr>
        <w:pStyle w:val="a0"/>
      </w:pPr>
      <w:r w:rsidRPr="00FB57D5">
        <w:t xml:space="preserve">Abstract: Objective: Reproductive biology is a highly productive area. By analyzing papers published in the major journals in the period 2003-2005, the collaborative patterns were characterized. Design: Original research papers published in 2004 in the journals included in the first quartile of the category </w:t>
      </w:r>
      <w:r w:rsidR="000352E7">
        <w:t>“</w:t>
      </w:r>
      <w:r w:rsidRPr="00FB57D5">
        <w:t>Reproductive Biology</w:t>
      </w:r>
      <w:r w:rsidR="000352E7">
        <w:t>”</w:t>
      </w:r>
      <w:r w:rsidRPr="00FB57D5">
        <w:t xml:space="preserve"> of the Journal Citation Reports (2005) were selected. A bibliometric analysis was carried out with the information obtained, thus building up the networks of coauthorship</w:t>
      </w:r>
      <w:r w:rsidR="00F81221">
        <w:t xml:space="preserve"> and </w:t>
      </w:r>
      <w:r w:rsidRPr="00FB57D5">
        <w:t>institutional collaboration. Result(s): A total of 4,702 papers were analyzed, 96.75% signed in collaboration by two or more authors, the authors per paper index being 5.24; 73.73% of the papers were collaborations between institutions. The U.S.A.</w:t>
      </w:r>
      <w:r w:rsidR="00F81221">
        <w:t xml:space="preserve"> and </w:t>
      </w:r>
      <w:r w:rsidRPr="00FB57D5">
        <w:t>the U.K. headed the absolute productivity ranking in number of papers,</w:t>
      </w:r>
      <w:r w:rsidR="00F81221">
        <w:t xml:space="preserve"> and </w:t>
      </w:r>
      <w:r w:rsidRPr="00FB57D5">
        <w:t>adapting the data with respect to the population, Israel, Australia,</w:t>
      </w:r>
      <w:r w:rsidR="00F81221">
        <w:t xml:space="preserve"> and </w:t>
      </w:r>
      <w:r w:rsidRPr="00FB57D5">
        <w:t>other European countries, such as Finland, Belgium, Sweden,</w:t>
      </w:r>
      <w:r w:rsidR="00F81221">
        <w:t xml:space="preserve"> and </w:t>
      </w:r>
      <w:r w:rsidRPr="00FB57D5">
        <w:t xml:space="preserve">The Netherlands, had notable contributions. Conclusion(s): We identified the networks of authors who publish in the journals with the greatest impact factor. Only some of the most productive institutions have consolidated collaborative relationships with other institutions. We identified the scientific </w:t>
      </w:r>
      <w:r w:rsidR="000352E7">
        <w:t>“</w:t>
      </w:r>
      <w:r w:rsidRPr="00FB57D5">
        <w:t>isolation</w:t>
      </w:r>
      <w:r w:rsidR="000352E7">
        <w:t>”</w:t>
      </w:r>
      <w:r w:rsidRPr="00FB57D5">
        <w:t xml:space="preserve"> of some countries which, although their productivity is high, have a small number of international collaborations.</w:t>
      </w:r>
    </w:p>
    <w:p w:rsidR="006A21F8" w:rsidRPr="00FB57D5" w:rsidRDefault="006A21F8" w:rsidP="006A21F8">
      <w:pPr>
        <w:pStyle w:val="a0"/>
      </w:pPr>
      <w:r w:rsidRPr="00FB57D5">
        <w:t>Keywords: Analysis, Analysis of Social Networks, Australia, Authors, Belgium, Bibliometric, Bibliometric Analysis, Biology, Building, Coauthorship, Collaboration, Collaborations, Data, Finland, First, Impact, Impact Factor, Index, Information, Institutions, International, Israel, Journal Citation Reports, Journals, Networks, Papers, Population, Productivity, Ranking, Reproductive Biology, Research, Scientific Collaboration, Scientific Publications, Small, Society, Sweden, The Netherlands</w:t>
      </w:r>
    </w:p>
    <w:p w:rsidR="00B95188" w:rsidRPr="00A428C3" w:rsidRDefault="00B95188" w:rsidP="00B95188">
      <w:pPr>
        <w:pStyle w:val="1"/>
      </w:pPr>
      <w:r w:rsidRPr="00A428C3">
        <w:br w:type="page"/>
      </w:r>
      <w:bookmarkStart w:id="46" w:name="_Toc186647662"/>
      <w:bookmarkStart w:id="47" w:name="_Toc317160822"/>
      <w:r w:rsidRPr="00A428C3">
        <w:lastRenderedPageBreak/>
        <w:t>Title: Fertilizer Research</w:t>
      </w:r>
      <w:bookmarkEnd w:id="46"/>
      <w:bookmarkEnd w:id="47"/>
    </w:p>
    <w:p w:rsidR="00B95188" w:rsidRPr="00A428C3" w:rsidRDefault="00B95188" w:rsidP="00B72EF9">
      <w:pPr>
        <w:pStyle w:val="12"/>
      </w:pPr>
      <w:r w:rsidRPr="00A428C3">
        <w:t>Full Journal Title: Fertilizer Research</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Default="00B95188" w:rsidP="00B95188">
      <w:pPr>
        <w:pStyle w:val="a0"/>
      </w:pPr>
      <w:r w:rsidRPr="00A428C3">
        <w:t xml:space="preserve">? Xiong, L.M. (1995), Influence of phosphate on cadmium adsorption by soils. </w:t>
      </w:r>
      <w:r w:rsidRPr="00A428C3">
        <w:rPr>
          <w:i/>
        </w:rPr>
        <w:t>Fertilizer Research</w:t>
      </w:r>
      <w:r w:rsidRPr="00A428C3">
        <w:t xml:space="preserve">, </w:t>
      </w:r>
      <w:r w:rsidRPr="00A428C3">
        <w:rPr>
          <w:b/>
        </w:rPr>
        <w:t>40</w:t>
      </w:r>
      <w:r w:rsidRPr="00A428C3">
        <w:t xml:space="preserve"> (1), 31-40.</w:t>
      </w:r>
    </w:p>
    <w:p w:rsidR="000D033C" w:rsidRPr="00A428C3" w:rsidRDefault="000D033C" w:rsidP="00B95188">
      <w:pPr>
        <w:pStyle w:val="a0"/>
      </w:pPr>
      <w:r>
        <w:rPr>
          <w:rFonts w:hint="eastAsia"/>
        </w:rPr>
        <w:t xml:space="preserve">Full Text: </w:t>
      </w:r>
      <w:hyperlink r:id="rId52" w:history="1">
        <w:r w:rsidRPr="000D033C">
          <w:rPr>
            <w:rStyle w:val="a5"/>
          </w:rPr>
          <w:t>1995\Fer Res40, 31.pdf</w:t>
        </w:r>
      </w:hyperlink>
    </w:p>
    <w:p w:rsidR="00B95188" w:rsidRPr="00A428C3" w:rsidRDefault="00B95188" w:rsidP="00B95188">
      <w:pPr>
        <w:pStyle w:val="a0"/>
      </w:pPr>
      <w:r w:rsidRPr="00A428C3">
        <w:t>Abstract: In batch equilibrium experiments, it was found that orthophosphate increased Cd adsorption</w:t>
      </w:r>
      <w:r w:rsidR="00F81221">
        <w:t xml:space="preserve"> and </w:t>
      </w:r>
      <w:r w:rsidRPr="00A428C3">
        <w:t>decreased its desorption by three representative soils. Ion activity products in the equilibrium solution indicated that cadmium activity was under saturated with respect to Cd</w:t>
      </w:r>
      <w:r w:rsidRPr="00A428C3">
        <w:rPr>
          <w:vertAlign w:val="superscript"/>
        </w:rPr>
        <w:t>-3</w:t>
      </w:r>
      <w:r w:rsidRPr="00A428C3">
        <w:t>(PO</w:t>
      </w:r>
      <w:r w:rsidRPr="00A428C3">
        <w:rPr>
          <w:vertAlign w:val="subscript"/>
        </w:rPr>
        <w:t>4</w:t>
      </w:r>
      <w:r w:rsidRPr="00A428C3">
        <w:t>) (a) on the Red earth(Typic Hapludult)</w:t>
      </w:r>
      <w:r w:rsidR="00F81221">
        <w:t xml:space="preserve"> and </w:t>
      </w:r>
      <w:r w:rsidRPr="00A428C3">
        <w:t>the Yellow-brown earth(Typic Hapludalf). With the calcareous Yellow fluvo-aquic soil(Typic Haplaquent), phosphate enhanced Cd adsorption at lower Cd concentration but it decreased the adsorption at high Cd level. Ion activity products</w:t>
      </w:r>
      <w:r w:rsidR="00F81221">
        <w:t xml:space="preserve"> and </w:t>
      </w:r>
      <w:r w:rsidRPr="00A428C3">
        <w:t>solubility diagrams suggested that at high Cd level Cd</w:t>
      </w:r>
      <w:r w:rsidRPr="00A428C3">
        <w:rPr>
          <w:vertAlign w:val="superscript"/>
        </w:rPr>
        <w:t>-3</w:t>
      </w:r>
      <w:r w:rsidRPr="00A428C3">
        <w:t>(PO</w:t>
      </w:r>
      <w:r w:rsidRPr="00A428C3">
        <w:rPr>
          <w:vertAlign w:val="subscript"/>
        </w:rPr>
        <w:t>4</w:t>
      </w:r>
      <w:r w:rsidRPr="00A428C3">
        <w:t>)</w:t>
      </w:r>
      <w:r w:rsidRPr="00A428C3">
        <w:rPr>
          <w:vertAlign w:val="subscript"/>
        </w:rPr>
        <w:t>2</w:t>
      </w:r>
      <w:r w:rsidRPr="00A428C3">
        <w:t xml:space="preserve"> had formed</w:t>
      </w:r>
      <w:r w:rsidR="00F81221">
        <w:t xml:space="preserve"> and </w:t>
      </w:r>
      <w:r w:rsidRPr="00A428C3">
        <w:t>the activity of Cd in solution was controlled by this precipitate. This implies that the formation of Cd</w:t>
      </w:r>
      <w:r w:rsidRPr="00A428C3">
        <w:rPr>
          <w:vertAlign w:val="superscript"/>
        </w:rPr>
        <w:t>-3</w:t>
      </w:r>
      <w:r w:rsidRPr="00A428C3">
        <w:t>(PO</w:t>
      </w:r>
      <w:r w:rsidRPr="00A428C3">
        <w:rPr>
          <w:vertAlign w:val="subscript"/>
        </w:rPr>
        <w:t>4</w:t>
      </w:r>
      <w:r w:rsidRPr="00A428C3">
        <w:t>)</w:t>
      </w:r>
      <w:r w:rsidRPr="00A428C3">
        <w:rPr>
          <w:vertAlign w:val="subscript"/>
        </w:rPr>
        <w:t>2(s)</w:t>
      </w:r>
      <w:r w:rsidRPr="00A428C3">
        <w:t xml:space="preserve"> is unable to decrease Cd activity so long as soil adsorption sites are unsaturated by Cd. It is suggested from these results that one could not expect decreasing soil Cd availability by phosphate fertilization unless a simultaneous rise in soil pH also occurs.</w:t>
      </w:r>
    </w:p>
    <w:p w:rsidR="00B95188" w:rsidRPr="00A428C3" w:rsidRDefault="00B95188" w:rsidP="00B95188">
      <w:pPr>
        <w:pStyle w:val="a0"/>
      </w:pPr>
      <w:r w:rsidRPr="00A428C3">
        <w:t>Keywords: Cadmium, Ion Activity Products, Isotherm, Phosphate, Soil Pollution, Solubility Diagram</w:t>
      </w:r>
    </w:p>
    <w:p w:rsidR="00B95188" w:rsidRPr="00A428C3" w:rsidRDefault="00B95188" w:rsidP="00B95188">
      <w:pPr>
        <w:pStyle w:val="1"/>
      </w:pPr>
      <w:r>
        <w:br w:type="page"/>
      </w:r>
      <w:bookmarkStart w:id="48" w:name="_Toc317160823"/>
      <w:r>
        <w:lastRenderedPageBreak/>
        <w:t xml:space="preserve">Title: </w:t>
      </w:r>
      <w:r w:rsidRPr="00D121AD">
        <w:rPr>
          <w:iCs/>
          <w:szCs w:val="24"/>
        </w:rPr>
        <w:t>Festschrift W.</w:t>
      </w:r>
      <w:r w:rsidRPr="00D121AD">
        <w:rPr>
          <w:rFonts w:hint="eastAsia"/>
          <w:iCs/>
          <w:szCs w:val="24"/>
        </w:rPr>
        <w:t xml:space="preserve"> </w:t>
      </w:r>
      <w:r w:rsidRPr="00D121AD">
        <w:rPr>
          <w:iCs/>
          <w:szCs w:val="24"/>
        </w:rPr>
        <w:t>Nernst</w:t>
      </w:r>
      <w:bookmarkEnd w:id="48"/>
    </w:p>
    <w:p w:rsidR="00B95188" w:rsidRPr="00A428C3" w:rsidRDefault="00B95188" w:rsidP="00B72EF9">
      <w:pPr>
        <w:pStyle w:val="12"/>
      </w:pPr>
      <w:r w:rsidRPr="00A428C3">
        <w:t xml:space="preserve">Full Journal Title: </w:t>
      </w:r>
      <w:r w:rsidRPr="00D121AD">
        <w:t>Festschrift W.</w:t>
      </w:r>
      <w:r w:rsidRPr="00D121AD">
        <w:rPr>
          <w:rFonts w:hint="eastAsia"/>
        </w:rPr>
        <w:t xml:space="preserve"> </w:t>
      </w:r>
      <w:r w:rsidRPr="00D121AD">
        <w:t>Nernst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586CD8" w:rsidRDefault="00B95188" w:rsidP="00B95188">
      <w:pPr>
        <w:pStyle w:val="a0"/>
        <w:rPr>
          <w:kern w:val="2"/>
        </w:rPr>
      </w:pPr>
      <w:r w:rsidRPr="00586CD8">
        <w:rPr>
          <w:rFonts w:hint="eastAsia"/>
          <w:kern w:val="2"/>
        </w:rPr>
        <w:t xml:space="preserve">? </w:t>
      </w:r>
      <w:r w:rsidRPr="00586CD8">
        <w:rPr>
          <w:kern w:val="2"/>
        </w:rPr>
        <w:t>Arndt, K.</w:t>
      </w:r>
      <w:r w:rsidR="00F81221">
        <w:rPr>
          <w:kern w:val="2"/>
        </w:rPr>
        <w:t xml:space="preserve"> and </w:t>
      </w:r>
      <w:r w:rsidRPr="00586CD8">
        <w:rPr>
          <w:kern w:val="2"/>
        </w:rPr>
        <w:t xml:space="preserve">Schraube, G. (1912), Adsorption by heated charcoal. </w:t>
      </w:r>
      <w:r w:rsidRPr="00D121AD">
        <w:rPr>
          <w:i/>
          <w:iCs/>
          <w:kern w:val="0"/>
        </w:rPr>
        <w:t>Festschrift W.</w:t>
      </w:r>
      <w:r w:rsidRPr="00D121AD">
        <w:rPr>
          <w:rFonts w:hint="eastAsia"/>
          <w:i/>
          <w:iCs/>
          <w:kern w:val="0"/>
        </w:rPr>
        <w:t xml:space="preserve"> </w:t>
      </w:r>
      <w:r w:rsidRPr="00D121AD">
        <w:rPr>
          <w:i/>
          <w:iCs/>
          <w:kern w:val="0"/>
        </w:rPr>
        <w:t>Nernst</w:t>
      </w:r>
      <w:r w:rsidRPr="00586CD8">
        <w:rPr>
          <w:kern w:val="2"/>
        </w:rPr>
        <w:t>, 46-52.</w:t>
      </w:r>
    </w:p>
    <w:p w:rsidR="00B95188" w:rsidRPr="00586CD8" w:rsidRDefault="00B95188" w:rsidP="00B95188">
      <w:pPr>
        <w:pStyle w:val="a0"/>
        <w:rPr>
          <w:kern w:val="2"/>
        </w:rPr>
      </w:pPr>
      <w:r w:rsidRPr="00586CD8">
        <w:rPr>
          <w:kern w:val="2"/>
        </w:rPr>
        <w:t>Abstract: Carbon dioxide</w:t>
      </w:r>
      <w:r w:rsidR="00F81221">
        <w:rPr>
          <w:kern w:val="2"/>
        </w:rPr>
        <w:t xml:space="preserve"> and </w:t>
      </w:r>
      <w:r w:rsidRPr="00586CD8">
        <w:rPr>
          <w:kern w:val="2"/>
        </w:rPr>
        <w:t>CO are shown to be both adsorbed by carefully purified wood charcoal, Co/sub 2/ being the more readily adsorbed,</w:t>
      </w:r>
      <w:r w:rsidR="00F81221">
        <w:rPr>
          <w:kern w:val="2"/>
        </w:rPr>
        <w:t xml:space="preserve"> and </w:t>
      </w:r>
      <w:r w:rsidRPr="00586CD8">
        <w:rPr>
          <w:kern w:val="2"/>
        </w:rPr>
        <w:t>the volume ratio of the adsorbed gas being, at the ordinary temperature, 3.4:1. If the gas adsorbed by charcoal from a mixture of CO/sub 2/</w:t>
      </w:r>
      <w:r w:rsidR="00F81221">
        <w:rPr>
          <w:kern w:val="2"/>
        </w:rPr>
        <w:t xml:space="preserve"> and </w:t>
      </w:r>
      <w:r w:rsidRPr="00586CD8">
        <w:rPr>
          <w:kern w:val="2"/>
        </w:rPr>
        <w:t>CO is removed in successive fractions, the ratio of CO/sub 2/ to Co increases very considerably in the later fractions, a similar variation in the ratio being also found in the successive fractions obtained from charcoal placed in CO/sub 2/ for several hours at 750-800 degrees, indicating that the adsorbed gas is under considerable pressure, which tends to displace the equilibrium between C, CO,</w:t>
      </w:r>
      <w:r w:rsidR="00F81221">
        <w:rPr>
          <w:kern w:val="2"/>
        </w:rPr>
        <w:t xml:space="preserve"> and </w:t>
      </w:r>
      <w:r w:rsidRPr="00586CD8">
        <w:rPr>
          <w:kern w:val="2"/>
        </w:rPr>
        <w:t>CO/sub 2/ in favour of the CO/sub 2/. Similar results are obtained by placing the charcoal in a mixture of CO/sub 2/</w:t>
      </w:r>
      <w:r w:rsidR="00F81221">
        <w:rPr>
          <w:kern w:val="2"/>
        </w:rPr>
        <w:t xml:space="preserve"> and </w:t>
      </w:r>
      <w:r w:rsidRPr="00586CD8">
        <w:rPr>
          <w:kern w:val="2"/>
        </w:rPr>
        <w:t>N at 200</w:t>
      </w:r>
      <w:r w:rsidR="004B192F">
        <w:rPr>
          <w:kern w:val="2"/>
        </w:rPr>
        <w:t>°</w:t>
      </w:r>
      <w:r w:rsidRPr="00586CD8">
        <w:rPr>
          <w:kern w:val="2"/>
        </w:rPr>
        <w:t>, 800</w:t>
      </w:r>
      <w:r w:rsidR="004B192F">
        <w:rPr>
          <w:kern w:val="2"/>
        </w:rPr>
        <w:t>°</w:t>
      </w:r>
      <w:r w:rsidRPr="00586CD8">
        <w:rPr>
          <w:kern w:val="2"/>
        </w:rPr>
        <w:t>,</w:t>
      </w:r>
      <w:r w:rsidR="00F81221">
        <w:rPr>
          <w:kern w:val="2"/>
        </w:rPr>
        <w:t xml:space="preserve"> and </w:t>
      </w:r>
      <w:r w:rsidRPr="00586CD8">
        <w:rPr>
          <w:kern w:val="2"/>
        </w:rPr>
        <w:t>400</w:t>
      </w:r>
      <w:r w:rsidR="004B192F">
        <w:rPr>
          <w:kern w:val="2"/>
        </w:rPr>
        <w:t>°</w:t>
      </w:r>
      <w:r w:rsidRPr="00586CD8">
        <w:rPr>
          <w:kern w:val="2"/>
        </w:rPr>
        <w:t>.</w:t>
      </w:r>
    </w:p>
    <w:p w:rsidR="00B95188" w:rsidRPr="00586CD8" w:rsidRDefault="00B95188" w:rsidP="00B95188">
      <w:pPr>
        <w:pStyle w:val="a0"/>
        <w:rPr>
          <w:kern w:val="2"/>
        </w:rPr>
      </w:pPr>
      <w:r w:rsidRPr="00586CD8">
        <w:rPr>
          <w:kern w:val="2"/>
        </w:rPr>
        <w:t>Keywords: Equilibrium, Temperature</w:t>
      </w:r>
    </w:p>
    <w:p w:rsidR="00B95188" w:rsidRPr="00A428C3" w:rsidRDefault="00B95188" w:rsidP="00B95188">
      <w:pPr>
        <w:pStyle w:val="1"/>
      </w:pPr>
      <w:r w:rsidRPr="00A428C3">
        <w:br w:type="page"/>
      </w:r>
      <w:bookmarkStart w:id="49" w:name="_Toc317160824"/>
      <w:r w:rsidRPr="00A428C3">
        <w:lastRenderedPageBreak/>
        <w:t xml:space="preserve">Title: </w:t>
      </w:r>
      <w:r w:rsidRPr="009E3D62">
        <w:rPr>
          <w:iCs/>
        </w:rPr>
        <w:t>Fette Seifen Anstrichmittel Verbunden Mit der Zeitschrift Die Ernahrungsindustrie</w:t>
      </w:r>
      <w:bookmarkEnd w:id="49"/>
    </w:p>
    <w:p w:rsidR="00B95188" w:rsidRPr="00A428C3" w:rsidRDefault="00B95188" w:rsidP="00B72EF9">
      <w:pPr>
        <w:pStyle w:val="12"/>
      </w:pPr>
      <w:r w:rsidRPr="00A428C3">
        <w:t xml:space="preserve">Full Journal Title: </w:t>
      </w:r>
      <w:hyperlink r:id="rId53" w:history="1">
        <w:r w:rsidRPr="005D532A">
          <w:rPr>
            <w:rStyle w:val="a5"/>
            <w:iCs/>
          </w:rPr>
          <w:t>Fette Seifen Anstrichmittel Verbunden Mit der Zeitschrift Die Ernahrungsindustrie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w:t>
      </w:r>
      <w:r>
        <w:t xml:space="preserve">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586CD8" w:rsidRDefault="00B95188" w:rsidP="00B95188">
      <w:pPr>
        <w:pStyle w:val="a0"/>
        <w:rPr>
          <w:kern w:val="2"/>
        </w:rPr>
      </w:pPr>
      <w:r w:rsidRPr="00586CD8">
        <w:rPr>
          <w:rFonts w:hint="eastAsia"/>
          <w:kern w:val="2"/>
        </w:rPr>
        <w:t xml:space="preserve">? </w:t>
      </w:r>
      <w:r w:rsidRPr="00586CD8">
        <w:rPr>
          <w:kern w:val="2"/>
        </w:rPr>
        <w:t>Schwuger, M.J. (1970),</w:t>
      </w:r>
      <w:r w:rsidRPr="006D0D59">
        <w:t xml:space="preserve"> Überlegungen und Experimente zur Tensidadsorption mit Aktivkohle im Bereich geringer Tensidkonzentrationen. </w:t>
      </w:r>
      <w:r>
        <w:rPr>
          <w:i/>
          <w:iCs/>
          <w:kern w:val="0"/>
        </w:rPr>
        <w:t>Fette Seifen Anstrichmittel Verbunden Mit der Zeitschrift Die Ernahrungsindustrie</w:t>
      </w:r>
      <w:r w:rsidRPr="00586CD8">
        <w:rPr>
          <w:kern w:val="2"/>
        </w:rPr>
        <w:t xml:space="preserve">, </w:t>
      </w:r>
      <w:r>
        <w:rPr>
          <w:b/>
          <w:bCs/>
          <w:kern w:val="0"/>
        </w:rPr>
        <w:t>72</w:t>
      </w:r>
      <w:r w:rsidRPr="00586CD8">
        <w:rPr>
          <w:kern w:val="2"/>
        </w:rPr>
        <w:t xml:space="preserve"> (1), 25-</w:t>
      </w:r>
      <w:r w:rsidRPr="00586CD8">
        <w:rPr>
          <w:rFonts w:hint="eastAsia"/>
          <w:kern w:val="2"/>
        </w:rPr>
        <w:t>31.</w:t>
      </w:r>
    </w:p>
    <w:p w:rsidR="00B95188" w:rsidRPr="00586CD8" w:rsidRDefault="00B95188" w:rsidP="00B95188">
      <w:pPr>
        <w:pStyle w:val="a0"/>
        <w:rPr>
          <w:kern w:val="2"/>
        </w:rPr>
      </w:pPr>
      <w:r w:rsidRPr="00586CD8">
        <w:rPr>
          <w:rFonts w:hint="eastAsia"/>
          <w:kern w:val="2"/>
        </w:rPr>
        <w:t xml:space="preserve">Full Text: </w:t>
      </w:r>
      <w:hyperlink r:id="rId54" w:history="1">
        <w:r w:rsidRPr="00F8537E">
          <w:rPr>
            <w:rStyle w:val="a5"/>
            <w:kern w:val="0"/>
          </w:rPr>
          <w:t>1960-80\Fet Sei Ans Ver Mit Zei Ern72, 25.pdf</w:t>
        </w:r>
      </w:hyperlink>
    </w:p>
    <w:p w:rsidR="00B95188" w:rsidRPr="00586CD8" w:rsidRDefault="00B95188" w:rsidP="00B95188">
      <w:pPr>
        <w:pStyle w:val="a0"/>
        <w:rPr>
          <w:kern w:val="2"/>
        </w:rPr>
      </w:pPr>
      <w:r w:rsidRPr="00586CD8">
        <w:rPr>
          <w:rFonts w:hint="eastAsia"/>
          <w:kern w:val="2"/>
        </w:rPr>
        <w:t xml:space="preserve">? </w:t>
      </w:r>
      <w:r w:rsidRPr="00586CD8">
        <w:rPr>
          <w:kern w:val="2"/>
        </w:rPr>
        <w:t>Schwuger, M.J. (1970), Considerations</w:t>
      </w:r>
      <w:r w:rsidR="00F81221">
        <w:rPr>
          <w:kern w:val="2"/>
        </w:rPr>
        <w:t xml:space="preserve"> and </w:t>
      </w:r>
      <w:r w:rsidRPr="00586CD8">
        <w:rPr>
          <w:kern w:val="2"/>
        </w:rPr>
        <w:t xml:space="preserve">experiments on adsorption of surfactants by activated carbon in range of low surfactant concentration. </w:t>
      </w:r>
      <w:r>
        <w:rPr>
          <w:i/>
          <w:iCs/>
          <w:kern w:val="0"/>
        </w:rPr>
        <w:t>Fette Seifen Anstrichmittel Verbunden Mit der Zeitschrift Die Ernahrungsindustrie</w:t>
      </w:r>
      <w:r w:rsidRPr="00586CD8">
        <w:rPr>
          <w:kern w:val="2"/>
        </w:rPr>
        <w:t xml:space="preserve">, </w:t>
      </w:r>
      <w:r>
        <w:rPr>
          <w:b/>
          <w:bCs/>
          <w:kern w:val="0"/>
        </w:rPr>
        <w:t>72</w:t>
      </w:r>
      <w:r w:rsidRPr="00586CD8">
        <w:rPr>
          <w:kern w:val="2"/>
        </w:rPr>
        <w:t xml:space="preserve"> (1), 25-</w:t>
      </w:r>
      <w:r w:rsidRPr="00586CD8">
        <w:rPr>
          <w:rFonts w:hint="eastAsia"/>
          <w:kern w:val="2"/>
        </w:rPr>
        <w:t>31.</w:t>
      </w:r>
    </w:p>
    <w:p w:rsidR="00B95188" w:rsidRPr="00586CD8" w:rsidRDefault="00B95188" w:rsidP="00B95188">
      <w:pPr>
        <w:pStyle w:val="a0"/>
        <w:rPr>
          <w:kern w:val="2"/>
        </w:rPr>
      </w:pPr>
      <w:r w:rsidRPr="00586CD8">
        <w:rPr>
          <w:rFonts w:hint="eastAsia"/>
          <w:kern w:val="2"/>
        </w:rPr>
        <w:t xml:space="preserve">Full Text: </w:t>
      </w:r>
      <w:hyperlink r:id="rId55" w:history="1">
        <w:r w:rsidRPr="00F8537E">
          <w:rPr>
            <w:rStyle w:val="a5"/>
            <w:kern w:val="0"/>
          </w:rPr>
          <w:t>1960-80\Fet Sei Ans Ver Mit Zei Ern72, 25.pdf</w:t>
        </w:r>
      </w:hyperlink>
    </w:p>
    <w:p w:rsidR="00B95188" w:rsidRPr="00586CD8" w:rsidRDefault="00B95188" w:rsidP="00B95188">
      <w:pPr>
        <w:pStyle w:val="a0"/>
        <w:rPr>
          <w:kern w:val="2"/>
        </w:rPr>
      </w:pPr>
      <w:r w:rsidRPr="00586CD8">
        <w:rPr>
          <w:rFonts w:hint="eastAsia"/>
          <w:kern w:val="2"/>
        </w:rPr>
        <w:t xml:space="preserve">Abstract: </w:t>
      </w:r>
      <w:r w:rsidRPr="00586CD8">
        <w:rPr>
          <w:kern w:val="2"/>
        </w:rPr>
        <w:t>Considerations have been made on the equilibrium adsorption</w:t>
      </w:r>
      <w:r w:rsidR="00F81221">
        <w:rPr>
          <w:kern w:val="2"/>
        </w:rPr>
        <w:t xml:space="preserve"> and </w:t>
      </w:r>
      <w:r w:rsidRPr="00586CD8">
        <w:rPr>
          <w:kern w:val="2"/>
        </w:rPr>
        <w:t>adsorption kinetics of surfactants on activated carbon</w:t>
      </w:r>
      <w:r w:rsidR="00F81221">
        <w:rPr>
          <w:kern w:val="2"/>
        </w:rPr>
        <w:t xml:space="preserve"> and </w:t>
      </w:r>
      <w:r w:rsidRPr="00586CD8">
        <w:rPr>
          <w:kern w:val="2"/>
        </w:rPr>
        <w:t>means for studying the same are shown. The results of these measurements as function of surfactant concentrations, temperature</w:t>
      </w:r>
      <w:r w:rsidR="00F81221">
        <w:rPr>
          <w:kern w:val="2"/>
        </w:rPr>
        <w:t xml:space="preserve"> and </w:t>
      </w:r>
      <w:r w:rsidRPr="00586CD8">
        <w:rPr>
          <w:kern w:val="2"/>
        </w:rPr>
        <w:t>constitution are compared with known data</w:t>
      </w:r>
      <w:r w:rsidR="00F81221">
        <w:rPr>
          <w:kern w:val="2"/>
        </w:rPr>
        <w:t xml:space="preserve"> and </w:t>
      </w:r>
      <w:r w:rsidRPr="00586CD8">
        <w:rPr>
          <w:kern w:val="2"/>
        </w:rPr>
        <w:t>discussed. Furthermore, it is shown that the activated carbon adsorbs surfactants more rapidly than other compounds having the same molecular weight but containing condensed rings in molecule, which as well may occur in surface waters</w:t>
      </w:r>
      <w:r w:rsidRPr="00586CD8">
        <w:rPr>
          <w:rFonts w:hint="eastAsia"/>
          <w:kern w:val="2"/>
        </w:rPr>
        <w:t>.</w:t>
      </w:r>
    </w:p>
    <w:p w:rsidR="00B95188" w:rsidRPr="00586CD8" w:rsidRDefault="00B95188" w:rsidP="00B95188">
      <w:pPr>
        <w:pStyle w:val="a0"/>
        <w:rPr>
          <w:kern w:val="2"/>
        </w:rPr>
      </w:pPr>
      <w:r w:rsidRPr="00586CD8">
        <w:rPr>
          <w:kern w:val="2"/>
        </w:rPr>
        <w:t>Keywords: Adsorption</w:t>
      </w:r>
    </w:p>
    <w:p w:rsidR="0013486F" w:rsidRPr="00A428C3" w:rsidRDefault="0013486F" w:rsidP="0013486F">
      <w:pPr>
        <w:pStyle w:val="1"/>
      </w:pPr>
      <w:r w:rsidRPr="00A428C3">
        <w:br w:type="page"/>
      </w:r>
      <w:bookmarkStart w:id="50" w:name="_Toc317160825"/>
      <w:r w:rsidRPr="00A428C3">
        <w:lastRenderedPageBreak/>
        <w:t xml:space="preserve">Title: </w:t>
      </w:r>
      <w:r w:rsidRPr="0013486F">
        <w:t>Fibers</w:t>
      </w:r>
      <w:r w:rsidR="00F81221">
        <w:t xml:space="preserve"> and </w:t>
      </w:r>
      <w:r w:rsidRPr="0013486F">
        <w:t>Polymers</w:t>
      </w:r>
      <w:bookmarkEnd w:id="50"/>
    </w:p>
    <w:p w:rsidR="0013486F" w:rsidRPr="00A428C3" w:rsidRDefault="0013486F" w:rsidP="00B72EF9">
      <w:pPr>
        <w:pStyle w:val="12"/>
      </w:pPr>
      <w:r w:rsidRPr="00A428C3">
        <w:t xml:space="preserve">Full Journal Title: </w:t>
      </w:r>
      <w:r w:rsidRPr="0013486F">
        <w:t>Fibers</w:t>
      </w:r>
      <w:r w:rsidR="00F81221">
        <w:t xml:space="preserve"> and </w:t>
      </w:r>
      <w:r w:rsidRPr="0013486F">
        <w:t>Polymers</w:t>
      </w:r>
    </w:p>
    <w:p w:rsidR="0013486F" w:rsidRPr="00A428C3" w:rsidRDefault="0013486F" w:rsidP="00B72EF9">
      <w:pPr>
        <w:pStyle w:val="12"/>
      </w:pPr>
      <w:r w:rsidRPr="00A428C3">
        <w:t xml:space="preserve">ISO Abbreviated Title: </w:t>
      </w:r>
    </w:p>
    <w:p w:rsidR="0013486F" w:rsidRPr="00A428C3" w:rsidRDefault="0013486F" w:rsidP="00B72EF9">
      <w:pPr>
        <w:pStyle w:val="12"/>
      </w:pPr>
      <w:r w:rsidRPr="00A428C3">
        <w:t xml:space="preserve">JCR Abbreviated Title: </w:t>
      </w:r>
    </w:p>
    <w:p w:rsidR="0013486F" w:rsidRPr="00A428C3" w:rsidRDefault="0013486F" w:rsidP="00B72EF9">
      <w:pPr>
        <w:pStyle w:val="12"/>
      </w:pPr>
      <w:r>
        <w:t xml:space="preserve">ISSN: </w:t>
      </w:r>
    </w:p>
    <w:p w:rsidR="0013486F" w:rsidRPr="00A428C3" w:rsidRDefault="0013486F" w:rsidP="00B72EF9">
      <w:pPr>
        <w:pStyle w:val="12"/>
      </w:pPr>
      <w:r w:rsidRPr="00A428C3">
        <w:t xml:space="preserve">Issues/Year: </w:t>
      </w:r>
    </w:p>
    <w:p w:rsidR="0013486F" w:rsidRPr="00A428C3" w:rsidRDefault="0013486F" w:rsidP="00B72EF9">
      <w:pPr>
        <w:pStyle w:val="12"/>
      </w:pPr>
      <w:r w:rsidRPr="00A428C3">
        <w:t xml:space="preserve">Journal Country/Territory: </w:t>
      </w:r>
    </w:p>
    <w:p w:rsidR="0013486F" w:rsidRPr="00A428C3" w:rsidRDefault="0013486F" w:rsidP="00B72EF9">
      <w:pPr>
        <w:pStyle w:val="12"/>
      </w:pPr>
      <w:r w:rsidRPr="00A428C3">
        <w:t xml:space="preserve">Language: </w:t>
      </w:r>
    </w:p>
    <w:p w:rsidR="0013486F" w:rsidRPr="00A428C3" w:rsidRDefault="0013486F" w:rsidP="00B72EF9">
      <w:pPr>
        <w:pStyle w:val="12"/>
      </w:pPr>
      <w:r w:rsidRPr="00A428C3">
        <w:t xml:space="preserve">Publisher: </w:t>
      </w:r>
    </w:p>
    <w:p w:rsidR="0013486F" w:rsidRPr="00A428C3" w:rsidRDefault="0013486F" w:rsidP="00B72EF9">
      <w:pPr>
        <w:pStyle w:val="12"/>
      </w:pPr>
      <w:r w:rsidRPr="00A428C3">
        <w:t xml:space="preserve">Publisher Address: </w:t>
      </w:r>
    </w:p>
    <w:p w:rsidR="0013486F" w:rsidRPr="00A428C3" w:rsidRDefault="0013486F" w:rsidP="00B72EF9">
      <w:pPr>
        <w:pStyle w:val="12"/>
      </w:pPr>
      <w:r w:rsidRPr="00A428C3">
        <w:t>Subject Categories:</w:t>
      </w:r>
    </w:p>
    <w:p w:rsidR="0013486F" w:rsidRPr="00A428C3" w:rsidRDefault="0013486F" w:rsidP="00B72EF9">
      <w:pPr>
        <w:pStyle w:val="12"/>
      </w:pPr>
      <w:r w:rsidRPr="00A428C3">
        <w:t>Impact Factor</w:t>
      </w:r>
    </w:p>
    <w:p w:rsidR="0013486F" w:rsidRDefault="0013486F" w:rsidP="0013486F">
      <w:pPr>
        <w:pStyle w:val="a0"/>
        <w:rPr>
          <w:kern w:val="0"/>
        </w:rPr>
      </w:pPr>
      <w:r>
        <w:rPr>
          <w:rFonts w:hint="eastAsia"/>
          <w:kern w:val="0"/>
        </w:rPr>
        <w:t xml:space="preserve">? </w:t>
      </w:r>
      <w:r>
        <w:rPr>
          <w:kern w:val="0"/>
        </w:rPr>
        <w:t>Septhum, C., Rattanaphani, S., Bremner, J.B.</w:t>
      </w:r>
      <w:r w:rsidR="00F81221">
        <w:rPr>
          <w:kern w:val="0"/>
        </w:rPr>
        <w:t xml:space="preserve"> and </w:t>
      </w:r>
      <w:r>
        <w:rPr>
          <w:kern w:val="0"/>
        </w:rPr>
        <w:t xml:space="preserve">Rattanaphani, V. (2009), An adsorption study of alum-morin dyeing onto silk yarn. </w:t>
      </w:r>
      <w:r w:rsidRPr="0013486F">
        <w:rPr>
          <w:i/>
          <w:iCs/>
          <w:kern w:val="0"/>
        </w:rPr>
        <w:t>Fibers</w:t>
      </w:r>
      <w:r w:rsidR="00F81221">
        <w:rPr>
          <w:i/>
          <w:iCs/>
          <w:kern w:val="0"/>
        </w:rPr>
        <w:t xml:space="preserve"> and </w:t>
      </w:r>
      <w:r w:rsidRPr="0013486F">
        <w:rPr>
          <w:i/>
          <w:iCs/>
          <w:kern w:val="0"/>
        </w:rPr>
        <w:t>Polymers</w:t>
      </w:r>
      <w:r>
        <w:rPr>
          <w:kern w:val="0"/>
        </w:rPr>
        <w:t xml:space="preserve">, </w:t>
      </w:r>
      <w:r>
        <w:rPr>
          <w:b/>
          <w:bCs/>
          <w:kern w:val="0"/>
        </w:rPr>
        <w:t>10</w:t>
      </w:r>
      <w:r>
        <w:rPr>
          <w:kern w:val="0"/>
        </w:rPr>
        <w:t xml:space="preserve"> (4), 481-487.</w:t>
      </w:r>
    </w:p>
    <w:p w:rsidR="0013486F" w:rsidRDefault="0013486F" w:rsidP="0013486F">
      <w:pPr>
        <w:pStyle w:val="a0"/>
        <w:rPr>
          <w:kern w:val="0"/>
        </w:rPr>
      </w:pPr>
      <w:r>
        <w:rPr>
          <w:rFonts w:hint="eastAsia"/>
          <w:kern w:val="0"/>
        </w:rPr>
        <w:t xml:space="preserve">Full Text: </w:t>
      </w:r>
      <w:hyperlink r:id="rId56" w:history="1">
        <w:r w:rsidRPr="002216DE">
          <w:rPr>
            <w:rStyle w:val="a5"/>
            <w:kern w:val="0"/>
          </w:rPr>
          <w:t>2009\Fib Pol10, 481.pdf</w:t>
        </w:r>
      </w:hyperlink>
    </w:p>
    <w:p w:rsidR="0013486F" w:rsidRDefault="0013486F" w:rsidP="0013486F">
      <w:pPr>
        <w:pStyle w:val="a0"/>
        <w:rPr>
          <w:kern w:val="0"/>
        </w:rPr>
      </w:pPr>
      <w:r>
        <w:rPr>
          <w:kern w:val="0"/>
        </w:rPr>
        <w:t>Abstract: Silk yam was dyed with morin (2</w:t>
      </w:r>
      <w:r w:rsidR="000352E7">
        <w:rPr>
          <w:kern w:val="0"/>
        </w:rPr>
        <w:t>’</w:t>
      </w:r>
      <w:r>
        <w:rPr>
          <w:kern w:val="0"/>
        </w:rPr>
        <w:t>,3,4</w:t>
      </w:r>
      <w:r w:rsidR="000352E7">
        <w:rPr>
          <w:kern w:val="0"/>
        </w:rPr>
        <w:t>’</w:t>
      </w:r>
      <w:r>
        <w:rPr>
          <w:kern w:val="0"/>
        </w:rPr>
        <w:t>,5,7-pentahydroxyflavone) by using alum as mordant. In order to optimize the process, three methods of dyeing involving: pre-mordanting, Simultaneous mordanting,</w:t>
      </w:r>
      <w:r w:rsidR="00F81221">
        <w:rPr>
          <w:kern w:val="0"/>
        </w:rPr>
        <w:t xml:space="preserve"> and </w:t>
      </w:r>
      <w:r>
        <w:rPr>
          <w:kern w:val="0"/>
        </w:rPr>
        <w:t>post-mordanting were assessed</w:t>
      </w:r>
      <w:r w:rsidR="00F81221">
        <w:rPr>
          <w:kern w:val="0"/>
        </w:rPr>
        <w:t xml:space="preserve"> and </w:t>
      </w:r>
      <w:r>
        <w:rPr>
          <w:kern w:val="0"/>
        </w:rPr>
        <w:t>compared with a mordant-free process. The adsorption of alum-morin dye onto silk fibers indicated that the adsorption capacities were significantly affected by pH, the initial dye concentration,</w:t>
      </w:r>
      <w:r w:rsidR="00F81221">
        <w:rPr>
          <w:kern w:val="0"/>
        </w:rPr>
        <w:t xml:space="preserve"> and </w:t>
      </w:r>
      <w:r>
        <w:rPr>
          <w:kern w:val="0"/>
        </w:rPr>
        <w:t>temperature. The initial dye adsorption rates of alum-morin dye on silk before equilibrium was reached increased with higher dyeing temperatures. The pseudo second-order kinetic model was indicated for alum-morin dyeing (Simultaneous mordanting) of silk at pH 4.0 with an activation energy (E-a) of 45.26 KJ/mol. The value of the enthalpy or activation (Δ</w:t>
      </w:r>
      <w:r w:rsidRPr="00565AFC">
        <w:rPr>
          <w:i/>
          <w:kern w:val="0"/>
        </w:rPr>
        <w:t>H</w:t>
      </w:r>
      <w:r>
        <w:rPr>
          <w:kern w:val="0"/>
        </w:rPr>
        <w:t>) for alum-morin dyeing on silk at pH 4.0 was -31.29 kJ/mol. Also, the free energy (Delta G degrees)</w:t>
      </w:r>
      <w:r w:rsidR="00F81221">
        <w:rPr>
          <w:kern w:val="0"/>
        </w:rPr>
        <w:t xml:space="preserve"> and </w:t>
      </w:r>
      <w:r>
        <w:rPr>
          <w:kern w:val="0"/>
        </w:rPr>
        <w:t>entropy changes (Delta S degrees) for alum-morin dyeing on silk were -17.73 kJ/mol</w:t>
      </w:r>
      <w:r w:rsidR="00F81221">
        <w:rPr>
          <w:kern w:val="0"/>
        </w:rPr>
        <w:t xml:space="preserve"> and </w:t>
      </w:r>
      <w:r>
        <w:rPr>
          <w:kern w:val="0"/>
        </w:rPr>
        <w:t>-45.7 J/molK, respectively, consistent with a spontaneous</w:t>
      </w:r>
      <w:r w:rsidR="00F81221">
        <w:rPr>
          <w:kern w:val="0"/>
        </w:rPr>
        <w:t xml:space="preserve"> and </w:t>
      </w:r>
      <w:r>
        <w:rPr>
          <w:kern w:val="0"/>
        </w:rPr>
        <w:t>exothermic adsorption process.</w:t>
      </w:r>
    </w:p>
    <w:p w:rsidR="0013486F" w:rsidRDefault="0013486F" w:rsidP="0013486F">
      <w:pPr>
        <w:pStyle w:val="a0"/>
        <w:rPr>
          <w:kern w:val="0"/>
        </w:rPr>
      </w:pPr>
      <w:r>
        <w:rPr>
          <w:kern w:val="0"/>
        </w:rPr>
        <w:t>Keywords: Activation, Activation Energy, Adsorption, Adsorption Capacities, Alum, Aqueous-Solution, Behavior, Changes, Complexes, Concentration, Cotton, Dye, Dye Adsorption, Energy, Enthalpy, Entropy, Equilibrium, Exothermic, Fibers, Kinetic, Kinetic Model, Kinetics, Linked Chitosan Beads, Methods, Model, Morin, pH, Pseudo Second Order, Pseudo Second-Order, Pseudo-Second-Order, Rates, Reactive Dyes, Removal, Second Order, Second-Order, Silk Dyeing, Sorption, Temperature, Thermodynamic, Value, Waters</w:t>
      </w:r>
    </w:p>
    <w:p w:rsidR="00060FD3" w:rsidRDefault="00060FD3" w:rsidP="00060FD3">
      <w:pPr>
        <w:pStyle w:val="a0"/>
        <w:rPr>
          <w:kern w:val="0"/>
        </w:rPr>
      </w:pPr>
      <w:r>
        <w:rPr>
          <w:rFonts w:hint="eastAsia"/>
          <w:kern w:val="0"/>
        </w:rPr>
        <w:lastRenderedPageBreak/>
        <w:t xml:space="preserve">? </w:t>
      </w:r>
      <w:r>
        <w:rPr>
          <w:kern w:val="0"/>
        </w:rPr>
        <w:t>Lee, H.C., Jeong, Y.G., Min, B.G., Lyoo, W.S.</w:t>
      </w:r>
      <w:r w:rsidR="00F81221">
        <w:rPr>
          <w:kern w:val="0"/>
        </w:rPr>
        <w:t xml:space="preserve"> and </w:t>
      </w:r>
      <w:r>
        <w:rPr>
          <w:kern w:val="0"/>
        </w:rPr>
        <w:t>Lee, S.C. (2009), Preparation</w:t>
      </w:r>
      <w:r w:rsidR="00F81221">
        <w:rPr>
          <w:kern w:val="0"/>
        </w:rPr>
        <w:t xml:space="preserve"> and </w:t>
      </w:r>
      <w:r>
        <w:rPr>
          <w:kern w:val="0"/>
        </w:rPr>
        <w:t xml:space="preserve">acid dye adsorption behavior of polyurethane/chitosan composite foams. </w:t>
      </w:r>
      <w:r>
        <w:rPr>
          <w:i/>
          <w:iCs/>
          <w:kern w:val="0"/>
        </w:rPr>
        <w:t>Fibers</w:t>
      </w:r>
      <w:r w:rsidR="00F81221">
        <w:rPr>
          <w:i/>
          <w:iCs/>
          <w:kern w:val="0"/>
        </w:rPr>
        <w:t xml:space="preserve"> and </w:t>
      </w:r>
      <w:r>
        <w:rPr>
          <w:i/>
          <w:iCs/>
          <w:kern w:val="0"/>
        </w:rPr>
        <w:t>Polymers</w:t>
      </w:r>
      <w:r>
        <w:rPr>
          <w:kern w:val="0"/>
        </w:rPr>
        <w:t xml:space="preserve">, </w:t>
      </w:r>
      <w:r>
        <w:rPr>
          <w:b/>
          <w:bCs/>
          <w:kern w:val="0"/>
        </w:rPr>
        <w:t>10</w:t>
      </w:r>
      <w:r>
        <w:rPr>
          <w:kern w:val="0"/>
        </w:rPr>
        <w:t xml:space="preserve"> (5), 636-642.</w:t>
      </w:r>
    </w:p>
    <w:p w:rsidR="00060FD3" w:rsidRDefault="00060FD3" w:rsidP="00060FD3">
      <w:pPr>
        <w:pStyle w:val="a0"/>
        <w:rPr>
          <w:kern w:val="0"/>
        </w:rPr>
      </w:pPr>
      <w:r>
        <w:rPr>
          <w:kern w:val="0"/>
        </w:rPr>
        <w:t>Full Text:</w:t>
      </w:r>
      <w:r w:rsidRPr="00B025C1">
        <w:t xml:space="preserve"> </w:t>
      </w:r>
      <w:hyperlink r:id="rId57" w:history="1">
        <w:r w:rsidRPr="000330C8">
          <w:rPr>
            <w:rStyle w:val="a5"/>
          </w:rPr>
          <w:t>2009\Fib Pol10, 636.pdf</w:t>
        </w:r>
      </w:hyperlink>
    </w:p>
    <w:p w:rsidR="00060FD3" w:rsidRDefault="00060FD3" w:rsidP="00060FD3">
      <w:pPr>
        <w:pStyle w:val="a0"/>
        <w:rPr>
          <w:kern w:val="0"/>
        </w:rPr>
      </w:pPr>
      <w:r>
        <w:rPr>
          <w:kern w:val="0"/>
        </w:rPr>
        <w:t>Abstract: We prepared a series of polyurethane(PU)/chitosan composite foams with different chitosan content of 5 similar to 20 wt%</w:t>
      </w:r>
      <w:r w:rsidR="00F81221">
        <w:rPr>
          <w:kern w:val="0"/>
        </w:rPr>
        <w:t xml:space="preserve"> and </w:t>
      </w:r>
      <w:r>
        <w:rPr>
          <w:kern w:val="0"/>
        </w:rPr>
        <w:t>investigated their adsorption performance of acid dye (Acid Violet 48) in aqueous solutions with various dye concentrations</w:t>
      </w:r>
      <w:r w:rsidR="00F81221">
        <w:rPr>
          <w:kern w:val="0"/>
        </w:rPr>
        <w:t xml:space="preserve"> and </w:t>
      </w:r>
      <w:r>
        <w:rPr>
          <w:kern w:val="0"/>
        </w:rPr>
        <w:t>pH values. It was observed that PU/chitosan composite foams exhibited well-developed open cell structures. Dye adsorption capacities of the composite foams increased with the increment of chitosan content in composite foams, because amine groups of chitosan serve as the binding sites for sulfonic ions of acid dyes in aqueous solutions. In addition, dye adsorption capacities of composite foams were found to increase with decreasing the pH value, which stems from the fact that the enhanced chemisorption between protonated amine groups of chitosan</w:t>
      </w:r>
      <w:r w:rsidR="00F81221">
        <w:rPr>
          <w:kern w:val="0"/>
        </w:rPr>
        <w:t xml:space="preserve"> and </w:t>
      </w:r>
      <w:r>
        <w:rPr>
          <w:kern w:val="0"/>
        </w:rPr>
        <w:t>sulfonic ions of acid dye is available in acidic solutions. The dye adsoption kinetics</w:t>
      </w:r>
      <w:r w:rsidR="00F81221">
        <w:rPr>
          <w:kern w:val="0"/>
        </w:rPr>
        <w:t xml:space="preserve"> and </w:t>
      </w:r>
      <w:r>
        <w:rPr>
          <w:kern w:val="0"/>
        </w:rPr>
        <w:t>equilibrium isotherm of the composite foams were well described with the pseudo-second order kinetic model</w:t>
      </w:r>
      <w:r w:rsidR="00F81221">
        <w:rPr>
          <w:kern w:val="0"/>
        </w:rPr>
        <w:t xml:space="preserve"> and </w:t>
      </w:r>
      <w:r>
        <w:rPr>
          <w:kern w:val="0"/>
        </w:rPr>
        <w:t>Langmuir isotherm model, respectively. The maximum adsorption capacity (</w:t>
      </w:r>
      <w:r w:rsidRPr="00C836B0">
        <w:rPr>
          <w:i/>
          <w:kern w:val="0"/>
        </w:rPr>
        <w:t>q</w:t>
      </w:r>
      <w:r w:rsidRPr="00C836B0">
        <w:rPr>
          <w:rFonts w:hint="eastAsia"/>
          <w:kern w:val="0"/>
          <w:vertAlign w:val="subscript"/>
        </w:rPr>
        <w:t>max</w:t>
      </w:r>
      <w:r>
        <w:rPr>
          <w:kern w:val="0"/>
        </w:rPr>
        <w:t>) for the PU/chitosan composite foams with 20 wt% chitosan content is evaluated to be ca. 30 mg/g.</w:t>
      </w:r>
    </w:p>
    <w:p w:rsidR="00060FD3" w:rsidRDefault="00060FD3" w:rsidP="00060FD3">
      <w:pPr>
        <w:pStyle w:val="a0"/>
        <w:rPr>
          <w:kern w:val="0"/>
        </w:rPr>
      </w:pPr>
      <w:r>
        <w:rPr>
          <w:kern w:val="0"/>
        </w:rPr>
        <w:t xml:space="preserve">Keywords: Acid Dye, Acid Dyes, Adsoption, Adsorbents, Adsorption, Adsorption Behavior, Adsorption Capacities, Adsorption Capacity, Adsorption Performance, Aqueous Solutions, Aqueous-Solution, Behavior, Binding, Binding Sites, Biosorbents, Capacity, Chemisorption, Chitosan, Composite, Composite Foam, Copper, Cross-Linked Chitosan, Dye, Dye Adsorption, Dyes, Equilibrium, Equilibrium Isotherm, Ions, Isotherm, Isotherm Model, Kinetic, Kinetic Model, Kinetics, Langmuir, Langmuir Isotherm, Langmuir Isotherm Model, Langmuir Model, Model, Open, Performance, </w:t>
      </w:r>
      <w:r w:rsidR="004956F7">
        <w:rPr>
          <w:rFonts w:hint="eastAsia"/>
          <w:kern w:val="0"/>
        </w:rPr>
        <w:t>pH</w:t>
      </w:r>
      <w:r>
        <w:rPr>
          <w:kern w:val="0"/>
        </w:rPr>
        <w:t xml:space="preserve">, </w:t>
      </w:r>
      <w:r w:rsidR="004956F7">
        <w:rPr>
          <w:rFonts w:hint="eastAsia"/>
          <w:kern w:val="0"/>
        </w:rPr>
        <w:t>pH</w:t>
      </w:r>
      <w:r w:rsidR="004956F7">
        <w:rPr>
          <w:kern w:val="0"/>
        </w:rPr>
        <w:t xml:space="preserve"> </w:t>
      </w:r>
      <w:r>
        <w:rPr>
          <w:kern w:val="0"/>
        </w:rPr>
        <w:t>Value, Polyurethane, Pseudo Second Order, Pseudo-Second Order, Pseudo-Second-Order, Reactive Dye, Removal, Solutions, Sorption, Value</w:t>
      </w:r>
    </w:p>
    <w:p w:rsidR="00A3164E" w:rsidRDefault="00A3164E" w:rsidP="00A3164E">
      <w:pPr>
        <w:pStyle w:val="a0"/>
        <w:rPr>
          <w:kern w:val="0"/>
        </w:rPr>
      </w:pPr>
      <w:r>
        <w:rPr>
          <w:kern w:val="0"/>
        </w:rPr>
        <w:t xml:space="preserve">? Arslan, M. (2010), Use of 1,6-diaminohexane-functionalized glycidyl methacrylate-g-poly(ethylene terephthalate) fiber for removal of acidic dye from aqueous solution. </w:t>
      </w:r>
      <w:r>
        <w:rPr>
          <w:i/>
          <w:iCs/>
          <w:kern w:val="0"/>
        </w:rPr>
        <w:t>Fibers</w:t>
      </w:r>
      <w:r w:rsidR="00F81221">
        <w:rPr>
          <w:i/>
          <w:iCs/>
          <w:kern w:val="0"/>
        </w:rPr>
        <w:t xml:space="preserve"> and </w:t>
      </w:r>
      <w:r>
        <w:rPr>
          <w:i/>
          <w:iCs/>
          <w:kern w:val="0"/>
        </w:rPr>
        <w:t>Polymers</w:t>
      </w:r>
      <w:r>
        <w:rPr>
          <w:kern w:val="0"/>
        </w:rPr>
        <w:t xml:space="preserve">, </w:t>
      </w:r>
      <w:r>
        <w:rPr>
          <w:b/>
          <w:bCs/>
          <w:kern w:val="0"/>
        </w:rPr>
        <w:t>11</w:t>
      </w:r>
      <w:r>
        <w:rPr>
          <w:kern w:val="0"/>
        </w:rPr>
        <w:t xml:space="preserve"> (2), 177-184.</w:t>
      </w:r>
    </w:p>
    <w:p w:rsidR="00A3164E" w:rsidRPr="00F03D2F" w:rsidRDefault="00A3164E" w:rsidP="00A3164E">
      <w:pPr>
        <w:pStyle w:val="a0"/>
        <w:rPr>
          <w:kern w:val="0"/>
        </w:rPr>
      </w:pPr>
      <w:r w:rsidRPr="00F03D2F">
        <w:rPr>
          <w:kern w:val="0"/>
        </w:rPr>
        <w:t>Full Text:</w:t>
      </w:r>
      <w:r w:rsidRPr="00D7601C">
        <w:t xml:space="preserve"> </w:t>
      </w:r>
      <w:hyperlink r:id="rId58" w:history="1">
        <w:r w:rsidRPr="000C6B76">
          <w:rPr>
            <w:rStyle w:val="a5"/>
          </w:rPr>
          <w:t>2010\Fib Pol11, 177.pdf</w:t>
        </w:r>
      </w:hyperlink>
    </w:p>
    <w:p w:rsidR="00A3164E" w:rsidRDefault="00A3164E" w:rsidP="00A3164E">
      <w:pPr>
        <w:pStyle w:val="a0"/>
        <w:rPr>
          <w:kern w:val="0"/>
        </w:rPr>
      </w:pPr>
      <w:r>
        <w:rPr>
          <w:kern w:val="0"/>
        </w:rPr>
        <w:t>Abstract: In this study, removal of Congo red (CR) from aqueous solution by 1,6-diaminohexane-functionalized glycidyl methacrylate-g-poly(ethylene terephthalate) (HMDA-GMA-g-PET) fiber was investigated. A new aminated fibrous adsorbent was prepared by a reaction between amine</w:t>
      </w:r>
      <w:r w:rsidR="00F81221">
        <w:rPr>
          <w:kern w:val="0"/>
        </w:rPr>
        <w:t xml:space="preserve"> and </w:t>
      </w:r>
      <w:r>
        <w:rPr>
          <w:kern w:val="0"/>
        </w:rPr>
        <w:t xml:space="preserve">epoxy group in GMA-g-PET fiber prepared by grafting GMA monomer onto poly (ethylene terephthalate) (PET) fiber. Effects of various parameters such as pH, treatment time, </w:t>
      </w:r>
      <w:r>
        <w:rPr>
          <w:kern w:val="0"/>
        </w:rPr>
        <w:lastRenderedPageBreak/>
        <w:t>initial, dye concentration,</w:t>
      </w:r>
      <w:r w:rsidR="00F81221">
        <w:rPr>
          <w:kern w:val="0"/>
        </w:rPr>
        <w:t xml:space="preserve"> and </w:t>
      </w:r>
      <w:r>
        <w:rPr>
          <w:kern w:val="0"/>
        </w:rPr>
        <w:t>reaction temperature on the adsorption amount of dye onto reactive fiber were investigated. The adsorption rates of CR were much higher on the HMDA-GMA-g-PET fiber than on GMA-g-PET</w:t>
      </w:r>
      <w:r w:rsidR="00F81221">
        <w:rPr>
          <w:kern w:val="0"/>
        </w:rPr>
        <w:t xml:space="preserve"> and </w:t>
      </w:r>
      <w:r>
        <w:rPr>
          <w:kern w:val="0"/>
        </w:rPr>
        <w:t>ungrafled PET fiber. The effective pH was 2.0 for adsorption on grafted PET fiber. It was found that the sufficient time to attain equilibrium was 60 min. The maximum adsorption capacity oldie reactive fiber for CR is 16.6 mg/g fiber. The rates of adsorption were found to conform to the pseudo-second order kinetics with good correlation. It was found that the adsorption isotherm of CR fitted Freundlich type isotherm.</w:t>
      </w:r>
    </w:p>
    <w:p w:rsidR="00A3164E" w:rsidRDefault="00A3164E" w:rsidP="00A3164E">
      <w:pPr>
        <w:pStyle w:val="a0"/>
        <w:rPr>
          <w:kern w:val="0"/>
        </w:rPr>
      </w:pPr>
      <w:r>
        <w:rPr>
          <w:kern w:val="0"/>
        </w:rPr>
        <w:t>Keywords: Adsorbent, Adsorption, Adsorption Capacity, Adsorption Isotherm, Aqueous Solution, Azo Dyes, Capacity, Color Removal, Concentration, Congo Red, Congo-Red, Correlation, Cr, Decoloration, Decolourization, Dye, Effluent, Equilibrium, Fiber, Freundlich, Glycidyl Methacrylate,1,6-Diaminohexane, Graft Copolymerization, Grafted, Grafting, Isotherm, Kinetics, PET, pH, Poly(Ethylene Terephthalate) Fiber, Pseudo Second Order, Pseudo Second Order Kinetics, Pseudo-Second Order, Pseudo-Second Order Kinetics, Pseudo-Second-Order, Rates, Reaction, Removal, Solution, Temperature, Textile Waste-Water, Time, Treatment</w:t>
      </w:r>
    </w:p>
    <w:p w:rsidR="004956F7" w:rsidRDefault="004956F7" w:rsidP="004956F7">
      <w:pPr>
        <w:pStyle w:val="a0"/>
        <w:rPr>
          <w:kern w:val="0"/>
        </w:rPr>
      </w:pPr>
      <w:r>
        <w:rPr>
          <w:rFonts w:hint="eastAsia"/>
          <w:kern w:val="0"/>
        </w:rPr>
        <w:t xml:space="preserve">? </w:t>
      </w:r>
      <w:r>
        <w:rPr>
          <w:kern w:val="0"/>
        </w:rPr>
        <w:t>Jiwalak, N., Rattanaphani, S., Bremner, J.B.</w:t>
      </w:r>
      <w:r w:rsidR="00F81221">
        <w:rPr>
          <w:kern w:val="0"/>
        </w:rPr>
        <w:t xml:space="preserve"> and </w:t>
      </w:r>
      <w:r>
        <w:rPr>
          <w:kern w:val="0"/>
        </w:rPr>
        <w:t>Rattanaphani, V. (2010), Equilibrium</w:t>
      </w:r>
      <w:r w:rsidR="00F81221">
        <w:rPr>
          <w:kern w:val="0"/>
        </w:rPr>
        <w:t xml:space="preserve"> and </w:t>
      </w:r>
      <w:r>
        <w:rPr>
          <w:kern w:val="0"/>
        </w:rPr>
        <w:t xml:space="preserve">kinetic modeling of the adsorption of indigo carmine onto silk. </w:t>
      </w:r>
      <w:r>
        <w:rPr>
          <w:i/>
          <w:iCs/>
          <w:kern w:val="0"/>
        </w:rPr>
        <w:t>Fibers</w:t>
      </w:r>
      <w:r w:rsidR="00F81221">
        <w:rPr>
          <w:i/>
          <w:iCs/>
          <w:kern w:val="0"/>
        </w:rPr>
        <w:t xml:space="preserve"> and </w:t>
      </w:r>
      <w:r>
        <w:rPr>
          <w:i/>
          <w:iCs/>
          <w:kern w:val="0"/>
        </w:rPr>
        <w:t>Polymers</w:t>
      </w:r>
      <w:r>
        <w:rPr>
          <w:kern w:val="0"/>
        </w:rPr>
        <w:t xml:space="preserve">, </w:t>
      </w:r>
      <w:r>
        <w:rPr>
          <w:b/>
          <w:bCs/>
          <w:kern w:val="0"/>
        </w:rPr>
        <w:t>11</w:t>
      </w:r>
      <w:r>
        <w:rPr>
          <w:kern w:val="0"/>
        </w:rPr>
        <w:t xml:space="preserve"> (4), 572-579.</w:t>
      </w:r>
    </w:p>
    <w:p w:rsidR="004956F7" w:rsidRPr="00DE2F11" w:rsidRDefault="004956F7" w:rsidP="004956F7">
      <w:pPr>
        <w:pStyle w:val="a0"/>
        <w:rPr>
          <w:kern w:val="0"/>
        </w:rPr>
      </w:pPr>
      <w:r w:rsidRPr="00DE2F11">
        <w:rPr>
          <w:kern w:val="0"/>
        </w:rPr>
        <w:t>Full Text:</w:t>
      </w:r>
      <w:r w:rsidRPr="00DE2F11">
        <w:t xml:space="preserve"> </w:t>
      </w:r>
      <w:r w:rsidRPr="00DE2F11">
        <w:rPr>
          <w:iCs/>
          <w:kern w:val="0"/>
        </w:rPr>
        <w:t>Fib Pol11, 572</w:t>
      </w:r>
      <w:r w:rsidRPr="00DE2F11">
        <w:t>.pdf</w:t>
      </w:r>
    </w:p>
    <w:p w:rsidR="004956F7" w:rsidRDefault="004956F7" w:rsidP="004956F7">
      <w:pPr>
        <w:pStyle w:val="a0"/>
        <w:rPr>
          <w:kern w:val="0"/>
        </w:rPr>
      </w:pPr>
      <w:r>
        <w:rPr>
          <w:kern w:val="0"/>
        </w:rPr>
        <w:t>Abstract: Quantitative adsorption kinetic</w:t>
      </w:r>
      <w:r w:rsidR="00F81221">
        <w:rPr>
          <w:kern w:val="0"/>
        </w:rPr>
        <w:t xml:space="preserve"> and </w:t>
      </w:r>
      <w:r>
        <w:rPr>
          <w:kern w:val="0"/>
        </w:rPr>
        <w:t>equilibrium parameters for indigo carmine dyeing of silk were studied using UV-visible absorption spectroscopy. The effect of initial dye concentration, contact time, pH, material to liquor ratio (MLR),</w:t>
      </w:r>
      <w:r w:rsidR="00F81221">
        <w:rPr>
          <w:kern w:val="0"/>
        </w:rPr>
        <w:t xml:space="preserve"> and </w:t>
      </w:r>
      <w:r>
        <w:rPr>
          <w:kern w:val="0"/>
        </w:rPr>
        <w:t>temperature were determined to find the optimal conditions for adsorption. The mechanism of adsorption of indigo carmine dyeing onto silk was investigated using the pseudo first-order</w:t>
      </w:r>
      <w:r w:rsidR="00F81221">
        <w:rPr>
          <w:kern w:val="0"/>
        </w:rPr>
        <w:t xml:space="preserve"> and </w:t>
      </w:r>
      <w:r>
        <w:rPr>
          <w:kern w:val="0"/>
        </w:rPr>
        <w:t>pseudo second-order kinetic models. The adsorption kinetics was found to follow a pseudo-second-order kinetic model with an activation energy (E-a) of 51.06 kJ/mol. The equilibrium adsorption data of indigo carmine dye on silk were analyzed by the Langmuir</w:t>
      </w:r>
      <w:r w:rsidR="00F81221">
        <w:rPr>
          <w:kern w:val="0"/>
        </w:rPr>
        <w:t xml:space="preserve"> and </w:t>
      </w:r>
      <w:r>
        <w:rPr>
          <w:kern w:val="0"/>
        </w:rPr>
        <w:t>Freundlich models. The results indicate that the Langmuir model provides the best correlation. Adsorption isotherms were also used to obtain thermodynamic parameters such as free energy (ΔGº), enthalpy (ΔHº),</w:t>
      </w:r>
      <w:r w:rsidR="00F81221">
        <w:rPr>
          <w:kern w:val="0"/>
        </w:rPr>
        <w:t xml:space="preserve"> and </w:t>
      </w:r>
      <w:r>
        <w:rPr>
          <w:kern w:val="0"/>
        </w:rPr>
        <w:t>entropy (ΔSº) of adsorption. The negative values of ΔGº</w:t>
      </w:r>
      <w:r w:rsidR="00F81221">
        <w:rPr>
          <w:kern w:val="0"/>
        </w:rPr>
        <w:t xml:space="preserve"> and </w:t>
      </w:r>
      <w:r>
        <w:rPr>
          <w:kern w:val="0"/>
        </w:rPr>
        <w:t>ΔHº indicate the overall adsorption process is a spontaneous</w:t>
      </w:r>
      <w:r w:rsidR="00F81221">
        <w:rPr>
          <w:kern w:val="0"/>
        </w:rPr>
        <w:t xml:space="preserve"> and </w:t>
      </w:r>
      <w:r>
        <w:rPr>
          <w:kern w:val="0"/>
        </w:rPr>
        <w:t>exothermic one.</w:t>
      </w:r>
    </w:p>
    <w:p w:rsidR="004956F7" w:rsidRDefault="004956F7" w:rsidP="004956F7">
      <w:pPr>
        <w:pStyle w:val="a0"/>
        <w:rPr>
          <w:kern w:val="0"/>
        </w:rPr>
      </w:pPr>
      <w:r>
        <w:rPr>
          <w:kern w:val="0"/>
        </w:rPr>
        <w:t xml:space="preserve">Keywords: Absorption, Acid Dye Adsorption, Activation, Activation Energy, Adsorption, Adsorption Isotherm, Adsorption Isotherms, Adsorption Kinetic, Adsorption Kinetics, Concentration, Correlation, Data, Decolorization, Dye, Energy, Enthalpy, Entropy, Equilibrium, Exothermic, First Order, Freundlich, Indigo Carmine, Isotherms, Kinetic, Kinetic Model, Kinetic Models, Kinetics, Langmuir, Langmuir Model, Linked Chitosan Beads, Mechanism, Mechanism of Adsorption, </w:t>
      </w:r>
      <w:r>
        <w:rPr>
          <w:kern w:val="0"/>
        </w:rPr>
        <w:lastRenderedPageBreak/>
        <w:t xml:space="preserve">Model, Modeling, Models, Palm Ash, </w:t>
      </w:r>
      <w:r>
        <w:rPr>
          <w:rFonts w:hint="eastAsia"/>
          <w:kern w:val="0"/>
        </w:rPr>
        <w:t>pH</w:t>
      </w:r>
      <w:r>
        <w:rPr>
          <w:kern w:val="0"/>
        </w:rPr>
        <w:t>, Pseudo First Order, Pseudo First-Order, Pseudo Second Order, Pseudo Second-Order, Pseudo-First-Order, Pseudo-Second-Order, Pseudo-Second-Order Kinetic Model, Reactive Dye, Removal, Second Order, Second-Order, Silk Dyeing, Spectroscopy, Temperature, Thermodynamic, Thermodynamic Parameters, Thermodynamics, Waste-Water</w:t>
      </w:r>
    </w:p>
    <w:p w:rsidR="00B95188" w:rsidRPr="00A428C3" w:rsidRDefault="00B95188" w:rsidP="00B95188">
      <w:pPr>
        <w:pStyle w:val="1"/>
      </w:pPr>
      <w:r w:rsidRPr="00A428C3">
        <w:br w:type="page"/>
      </w:r>
      <w:bookmarkStart w:id="51" w:name="_Toc186647663"/>
      <w:bookmarkStart w:id="52" w:name="_Toc317160826"/>
      <w:r w:rsidRPr="00A428C3">
        <w:lastRenderedPageBreak/>
        <w:t xml:space="preserve">Title: Fibres &amp; Textiles in </w:t>
      </w:r>
      <w:smartTag w:uri="urn:schemas-microsoft-com:office:smarttags" w:element="place">
        <w:r w:rsidRPr="00A428C3">
          <w:t>Eastern Europe</w:t>
        </w:r>
      </w:smartTag>
      <w:bookmarkEnd w:id="51"/>
      <w:bookmarkEnd w:id="52"/>
    </w:p>
    <w:p w:rsidR="00B95188" w:rsidRPr="00A428C3" w:rsidRDefault="00B95188" w:rsidP="00B72EF9">
      <w:pPr>
        <w:pStyle w:val="12"/>
      </w:pPr>
      <w:r w:rsidRPr="00A428C3">
        <w:t xml:space="preserve">Full Journal Title: </w:t>
      </w:r>
      <w:hyperlink r:id="rId59" w:history="1">
        <w:r w:rsidRPr="00A428C3">
          <w:rPr>
            <w:rStyle w:val="a5"/>
          </w:rPr>
          <w:t>Fibres &amp; Textiles in Eastern Europe</w:t>
        </w:r>
      </w:hyperlink>
      <w:r w:rsidRPr="00A428C3">
        <w:t xml:space="preserve">, </w:t>
      </w:r>
      <w:hyperlink r:id="rId60" w:history="1">
        <w:r w:rsidRPr="00A428C3">
          <w:rPr>
            <w:rStyle w:val="a5"/>
          </w:rPr>
          <w:t>Fibres &amp; Textiles in Eastern Europe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1230-3666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Default="00B95188" w:rsidP="00B95188">
      <w:pPr>
        <w:pStyle w:val="a0"/>
      </w:pPr>
      <w:r w:rsidRPr="00A428C3">
        <w:t>? Kulak, Z., Niekraszewicz, A.</w:t>
      </w:r>
      <w:r w:rsidR="00F81221">
        <w:t xml:space="preserve"> and </w:t>
      </w:r>
      <w:r w:rsidRPr="00A428C3">
        <w:t xml:space="preserve">Struszczyk, H. (1999), Application of chitosan forms with increased sorption for water purification from heavy metals ions. </w:t>
      </w:r>
      <w:r w:rsidRPr="00A428C3">
        <w:rPr>
          <w:i/>
          <w:iCs/>
        </w:rPr>
        <w:t xml:space="preserve">Fibres &amp; Textiles in </w:t>
      </w:r>
      <w:smartTag w:uri="urn:schemas-microsoft-com:office:smarttags" w:element="place">
        <w:r w:rsidRPr="00A428C3">
          <w:rPr>
            <w:i/>
            <w:iCs/>
          </w:rPr>
          <w:t>Eastern Europe</w:t>
        </w:r>
      </w:smartTag>
      <w:r w:rsidRPr="00A428C3">
        <w:t xml:space="preserve">, </w:t>
      </w:r>
      <w:r w:rsidRPr="00A428C3">
        <w:rPr>
          <w:b/>
        </w:rPr>
        <w:t>7</w:t>
      </w:r>
      <w:r w:rsidRPr="00A428C3">
        <w:t xml:space="preserve"> (4), 60-62.</w:t>
      </w:r>
    </w:p>
    <w:p w:rsidR="000D033C" w:rsidRPr="00A428C3" w:rsidRDefault="000D033C" w:rsidP="00B95188">
      <w:pPr>
        <w:pStyle w:val="a0"/>
      </w:pPr>
      <w:r>
        <w:rPr>
          <w:rFonts w:hint="eastAsia"/>
        </w:rPr>
        <w:t xml:space="preserve">Full Text: </w:t>
      </w:r>
      <w:r w:rsidRPr="000D033C">
        <w:rPr>
          <w:iCs/>
        </w:rPr>
        <w:t>Fib</w:t>
      </w:r>
      <w:r>
        <w:rPr>
          <w:iCs/>
        </w:rPr>
        <w:t xml:space="preserve"> Tex Eas Eur</w:t>
      </w:r>
      <w:r w:rsidRPr="000D033C">
        <w:t>7</w:t>
      </w:r>
      <w:r w:rsidRPr="00A428C3">
        <w:t>, 60</w:t>
      </w:r>
      <w:r>
        <w:rPr>
          <w:rFonts w:hint="eastAsia"/>
        </w:rPr>
        <w:t>.pdf</w:t>
      </w:r>
    </w:p>
    <w:p w:rsidR="00B95188" w:rsidRPr="00A428C3" w:rsidRDefault="00B95188" w:rsidP="00B95188">
      <w:pPr>
        <w:pStyle w:val="a0"/>
      </w:pPr>
      <w:r w:rsidRPr="00A428C3">
        <w:t>Abstract: Thanks to its unique properties, chitosan can be applied in different branches. One of the main trends in chitosan application in practice is that of preserving the natural Environment by means of its utilisation for the purpose of purifying water from even trace quantities of toxic impurities. This applications is extremaly! important in the textile industry, especially in laundering process</w:t>
      </w:r>
      <w:r w:rsidR="00F81221">
        <w:t xml:space="preserve"> and </w:t>
      </w:r>
      <w:r w:rsidRPr="00A428C3">
        <w:t>in dye - works waste water purification. In this paper the authors present the influence of mean molecular weight, degree of deacetylation, as well as of secondary swelling rate on the sorption properties of chitosan</w:t>
      </w:r>
      <w:r w:rsidR="00F81221">
        <w:t xml:space="preserve"> and </w:t>
      </w:r>
      <w:r w:rsidRPr="00A428C3">
        <w:t>its functional forms in the shape of globules. Sorption of chitosan</w:t>
      </w:r>
      <w:r w:rsidR="00F81221">
        <w:t xml:space="preserve"> and </w:t>
      </w:r>
      <w:r w:rsidRPr="00A428C3">
        <w:t>its granules has been assessed using selected metal salts. It has been found that chitosan globules, in comparison with the initial chitosan, show 3 to 6 times higher sorption dynamics</w:t>
      </w:r>
      <w:r w:rsidR="00F81221">
        <w:t xml:space="preserve"> and </w:t>
      </w:r>
      <w:r w:rsidRPr="00A428C3">
        <w:t>slightly higher sorption capacity. The best sorption by chitosan, with respect to chosen solutions, was noted in the case of CuSO</w:t>
      </w:r>
      <w:r w:rsidRPr="00A428C3">
        <w:rPr>
          <w:vertAlign w:val="subscript"/>
        </w:rPr>
        <w:t>4</w:t>
      </w:r>
      <w:r w:rsidRPr="00A428C3">
        <w:t xml:space="preserve"> salt.</w:t>
      </w:r>
    </w:p>
    <w:p w:rsidR="00B95188" w:rsidRPr="00A428C3" w:rsidRDefault="00B95188" w:rsidP="00B95188">
      <w:pPr>
        <w:pStyle w:val="a0"/>
      </w:pPr>
      <w:r w:rsidRPr="00A428C3">
        <w:t>Keywords: Chitosan, Chitosan Globules, Sorption, Purification, Metal Ions</w:t>
      </w:r>
    </w:p>
    <w:p w:rsidR="00B95188" w:rsidRPr="00A428C3" w:rsidRDefault="00B95188" w:rsidP="00B95188">
      <w:pPr>
        <w:pStyle w:val="a0"/>
      </w:pPr>
      <w:r w:rsidRPr="00A428C3">
        <w:t>? Matyjas, E., Blus, K.</w:t>
      </w:r>
      <w:r w:rsidR="00F81221">
        <w:t xml:space="preserve"> and </w:t>
      </w:r>
      <w:r w:rsidRPr="00A428C3">
        <w:t xml:space="preserve">Rybicki, E. (2003), Sorption studies of reactive red dyes. </w:t>
      </w:r>
      <w:r w:rsidRPr="00A428C3">
        <w:rPr>
          <w:i/>
          <w:iCs/>
        </w:rPr>
        <w:t xml:space="preserve">Fibres &amp; Textiles in </w:t>
      </w:r>
      <w:smartTag w:uri="urn:schemas-microsoft-com:office:smarttags" w:element="place">
        <w:r w:rsidRPr="00A428C3">
          <w:rPr>
            <w:i/>
            <w:iCs/>
          </w:rPr>
          <w:t>Eastern Europe</w:t>
        </w:r>
      </w:smartTag>
      <w:r w:rsidRPr="00A428C3">
        <w:t xml:space="preserve">, </w:t>
      </w:r>
      <w:r w:rsidRPr="00A428C3">
        <w:rPr>
          <w:b/>
        </w:rPr>
        <w:t>11</w:t>
      </w:r>
      <w:r w:rsidRPr="00A428C3">
        <w:t xml:space="preserve"> (2), 66-70.</w:t>
      </w:r>
    </w:p>
    <w:p w:rsidR="00B95188" w:rsidRPr="00A428C3" w:rsidRDefault="00B95188" w:rsidP="00B95188">
      <w:pPr>
        <w:pStyle w:val="a0"/>
      </w:pPr>
      <w:r w:rsidRPr="00A428C3">
        <w:t xml:space="preserve">Full Text: </w:t>
      </w:r>
      <w:hyperlink r:id="rId61" w:history="1">
        <w:r w:rsidRPr="00A428C3">
          <w:rPr>
            <w:rStyle w:val="a5"/>
          </w:rPr>
          <w:t>F\Fib Tex Eas Eur11, 66.pdf</w:t>
        </w:r>
      </w:hyperlink>
    </w:p>
    <w:p w:rsidR="00B95188" w:rsidRPr="00A428C3" w:rsidRDefault="00B95188" w:rsidP="00B95188">
      <w:pPr>
        <w:pStyle w:val="a0"/>
      </w:pPr>
      <w:r w:rsidRPr="00A428C3">
        <w:t>Abstract: The sorption kinetics of reactive dyes, analogues of CL Reactive Red 120, on cellulose fibres has been studied. The kinetic studies were carried out in a neutral medium, pH = 7.0±0.1, at temperatures of 40±1</w:t>
      </w:r>
      <w:r w:rsidR="00686D32">
        <w:t>°</w:t>
      </w:r>
      <w:r w:rsidRPr="00A428C3">
        <w:t>C</w:t>
      </w:r>
      <w:r w:rsidR="00F81221">
        <w:t xml:space="preserve"> and </w:t>
      </w:r>
      <w:r w:rsidRPr="00A428C3">
        <w:t>60±1</w:t>
      </w:r>
      <w:r w:rsidR="00686D32">
        <w:t>°</w:t>
      </w:r>
      <w:r w:rsidRPr="00A428C3">
        <w:t xml:space="preserve">C, with various </w:t>
      </w:r>
      <w:r w:rsidRPr="00A428C3">
        <w:lastRenderedPageBreak/>
        <w:t xml:space="preserve">concentrations of sodium chloride ranging from 0 to </w:t>
      </w:r>
      <w:smartTag w:uri="urn:schemas-microsoft-com:office:smarttags" w:element="chmetcnv">
        <w:smartTagPr>
          <w:attr w:name="TCSC" w:val="0"/>
          <w:attr w:name="NumberType" w:val="1"/>
          <w:attr w:name="Negative" w:val="False"/>
          <w:attr w:name="HasSpace" w:val="True"/>
          <w:attr w:name="SourceValue" w:val="40"/>
          <w:attr w:name="UnitName" w:val="g"/>
        </w:smartTagPr>
        <w:r w:rsidRPr="00A428C3">
          <w:t>40 g</w:t>
        </w:r>
      </w:smartTag>
      <w:r w:rsidRPr="00A428C3">
        <w:t>/dm</w:t>
      </w:r>
      <w:r w:rsidRPr="00A428C3">
        <w:rPr>
          <w:vertAlign w:val="superscript"/>
        </w:rPr>
        <w:t>3</w:t>
      </w:r>
      <w:r w:rsidRPr="00A428C3">
        <w:t>. It has been found that the sorption processes of the examined reactive dyes on cellulose fibres proceed in accordance with the reaction model proposed by Vickerstaff. This relationship can be described by the equation t/c(w) = a (.) t + b. The effect of the structure of dye on its sorption properties was determined. It has been found that the dye sorption is affected by, diamine - the coupling link of the two-chromophore system - as well as by the type of the active component used.</w:t>
      </w:r>
    </w:p>
    <w:p w:rsidR="00B95188" w:rsidRPr="00A428C3" w:rsidRDefault="00B95188" w:rsidP="00B95188">
      <w:pPr>
        <w:pStyle w:val="a0"/>
      </w:pPr>
      <w:r w:rsidRPr="00A428C3">
        <w:t>Keywords: Reactive Dyes, Sorption of Reactive Dyes, Kinetic of Sorption, Kinetic Model</w:t>
      </w:r>
    </w:p>
    <w:p w:rsidR="00B95188" w:rsidRPr="00A428C3" w:rsidRDefault="00B95188" w:rsidP="00B95188">
      <w:pPr>
        <w:pStyle w:val="1"/>
      </w:pPr>
      <w:r w:rsidRPr="00A428C3">
        <w:br w:type="page"/>
      </w:r>
      <w:bookmarkStart w:id="53" w:name="_Toc487190666"/>
      <w:bookmarkStart w:id="54" w:name="_Toc487882169"/>
      <w:bookmarkStart w:id="55" w:name="_Toc490687959"/>
      <w:bookmarkStart w:id="56" w:name="_Toc186647664"/>
      <w:bookmarkStart w:id="57" w:name="_Toc317160827"/>
      <w:r w:rsidRPr="00A428C3">
        <w:lastRenderedPageBreak/>
        <w:t>Title: Filtration &amp; Separation</w:t>
      </w:r>
      <w:bookmarkEnd w:id="53"/>
      <w:bookmarkEnd w:id="54"/>
      <w:bookmarkEnd w:id="55"/>
      <w:bookmarkEnd w:id="56"/>
      <w:bookmarkEnd w:id="57"/>
    </w:p>
    <w:p w:rsidR="00B95188" w:rsidRPr="00A428C3" w:rsidRDefault="00B95188" w:rsidP="00B72EF9">
      <w:pPr>
        <w:pStyle w:val="12"/>
      </w:pPr>
      <w:r w:rsidRPr="00A428C3">
        <w:t xml:space="preserve">Full Journal Title: </w:t>
      </w:r>
      <w:hyperlink r:id="rId62" w:history="1">
        <w:r w:rsidRPr="00A428C3">
          <w:rPr>
            <w:rStyle w:val="a5"/>
          </w:rPr>
          <w:t>Filtration &amp; Separation</w:t>
        </w:r>
      </w:hyperlink>
    </w:p>
    <w:p w:rsidR="00B95188" w:rsidRPr="00A428C3" w:rsidRDefault="00B95188" w:rsidP="00B72EF9">
      <w:pPr>
        <w:pStyle w:val="12"/>
      </w:pPr>
      <w:r w:rsidRPr="00A428C3">
        <w:t>ISO Abbreviated Title: Filtr. Sep.</w:t>
      </w:r>
    </w:p>
    <w:p w:rsidR="00B95188" w:rsidRPr="00A428C3" w:rsidRDefault="00B95188" w:rsidP="00B72EF9">
      <w:pPr>
        <w:pStyle w:val="12"/>
      </w:pPr>
      <w:r w:rsidRPr="00A428C3">
        <w:t>JCR Abbreviated Title: Filtr Separat</w:t>
      </w:r>
    </w:p>
    <w:p w:rsidR="00B95188" w:rsidRPr="00A428C3" w:rsidRDefault="00B95188" w:rsidP="00B72EF9">
      <w:pPr>
        <w:pStyle w:val="12"/>
      </w:pPr>
      <w:r w:rsidRPr="00A428C3">
        <w:t>ISSN: 0015-1882</w:t>
      </w:r>
    </w:p>
    <w:p w:rsidR="00B95188" w:rsidRPr="00A428C3" w:rsidRDefault="00B95188" w:rsidP="00B72EF9">
      <w:pPr>
        <w:pStyle w:val="12"/>
      </w:pPr>
      <w:r w:rsidRPr="00A428C3">
        <w:t>Issues/Year: 10</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Elsevier Advanced Technology</w:t>
      </w:r>
    </w:p>
    <w:p w:rsidR="00B95188" w:rsidRPr="00A428C3" w:rsidRDefault="00B95188" w:rsidP="00B72EF9">
      <w:pPr>
        <w:pStyle w:val="12"/>
      </w:pPr>
      <w:r w:rsidRPr="00A428C3">
        <w:t xml:space="preserve">Publisher Address: </w:t>
      </w:r>
      <w:smartTag w:uri="urn:schemas-microsoft-com:office:smarttags" w:element="City">
        <w:r w:rsidRPr="00A428C3">
          <w:t>Oxford</w:t>
        </w:r>
      </w:smartTag>
      <w:r w:rsidRPr="00A428C3">
        <w:t xml:space="preserve"> Fulfillment Centre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place">
        <w:smartTag w:uri="urn:schemas-microsoft-com:office:smarttags" w:element="City">
          <w:r w:rsidRPr="00A428C3">
            <w:t>Oxford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Engineering, Chemical: Impact Factor 0.125, 96/110</w:t>
      </w:r>
    </w:p>
    <w:p w:rsidR="00B95188" w:rsidRPr="00A428C3" w:rsidRDefault="00B95188" w:rsidP="00B95188">
      <w:pPr>
        <w:pStyle w:val="a0"/>
      </w:pPr>
      <w:r w:rsidRPr="00A428C3">
        <w:t>(1996), The continuing evolution</w:t>
      </w:r>
      <w:r w:rsidR="00F81221">
        <w:t xml:space="preserve"> and </w:t>
      </w:r>
      <w:r w:rsidRPr="00A428C3">
        <w:t xml:space="preserve">development of the dry scrubbing process for the treatment of incinerator flue gases. </w:t>
      </w:r>
      <w:r w:rsidRPr="00A428C3">
        <w:rPr>
          <w:i/>
        </w:rPr>
        <w:t>Filtration &amp; Separation</w:t>
      </w:r>
      <w:r w:rsidRPr="00A428C3">
        <w:t xml:space="preserve">, </w:t>
      </w:r>
      <w:r w:rsidRPr="00A428C3">
        <w:rPr>
          <w:b/>
        </w:rPr>
        <w:t>33</w:t>
      </w:r>
      <w:r w:rsidRPr="00A428C3">
        <w:t xml:space="preserve"> (5), 375-380.</w:t>
      </w:r>
    </w:p>
    <w:p w:rsidR="00B95188" w:rsidRPr="00A428C3" w:rsidRDefault="00B95188" w:rsidP="00B95188">
      <w:pPr>
        <w:pStyle w:val="a0"/>
      </w:pPr>
      <w:r w:rsidRPr="00A428C3">
        <w:t xml:space="preserve">Full Text: </w:t>
      </w:r>
      <w:hyperlink r:id="rId63" w:history="1">
        <w:r w:rsidRPr="00A428C3">
          <w:rPr>
            <w:rStyle w:val="a5"/>
          </w:rPr>
          <w:t>F\Fil Sep33, 375.pdf</w:t>
        </w:r>
      </w:hyperlink>
    </w:p>
    <w:p w:rsidR="00B95188" w:rsidRPr="00A428C3" w:rsidRDefault="00B95188" w:rsidP="00B95188">
      <w:pPr>
        <w:pStyle w:val="a0"/>
      </w:pPr>
      <w:r w:rsidRPr="00A428C3">
        <w:t>? (1996), The continuing evolution</w:t>
      </w:r>
      <w:r w:rsidR="00F81221">
        <w:t xml:space="preserve"> and </w:t>
      </w:r>
      <w:r w:rsidRPr="00A428C3">
        <w:t xml:space="preserve">development of the dry scrubbing process for the treatment of incinerator flue gases (Reprinted from Filtration &amp; Separation, May 1996). </w:t>
      </w:r>
      <w:r w:rsidRPr="00A428C3">
        <w:rPr>
          <w:i/>
        </w:rPr>
        <w:t>Filtration &amp; Separation</w:t>
      </w:r>
      <w:r w:rsidRPr="00A428C3">
        <w:t xml:space="preserve">, </w:t>
      </w:r>
      <w:r w:rsidRPr="00A428C3">
        <w:rPr>
          <w:b/>
        </w:rPr>
        <w:t>33</w:t>
      </w:r>
      <w:r w:rsidRPr="00A428C3">
        <w:t xml:space="preserve"> (7), A2-A7.</w:t>
      </w:r>
    </w:p>
    <w:p w:rsidR="00B95188" w:rsidRPr="00A428C3" w:rsidRDefault="00B95188" w:rsidP="00B95188">
      <w:pPr>
        <w:pStyle w:val="a0"/>
      </w:pPr>
      <w:r w:rsidRPr="00A428C3">
        <w:t xml:space="preserve">Roessler, N. (1998), Control of </w:t>
      </w:r>
      <w:r w:rsidRPr="00A428C3">
        <w:rPr>
          <w:i/>
          <w:iCs/>
        </w:rPr>
        <w:t>Cryptosporidium</w:t>
      </w:r>
      <w:r w:rsidRPr="00A428C3">
        <w:t xml:space="preserve"> in bottled water using cartridge filtration systems. </w:t>
      </w:r>
      <w:r w:rsidRPr="00A428C3">
        <w:rPr>
          <w:i/>
        </w:rPr>
        <w:t>Filtration &amp; Separation</w:t>
      </w:r>
      <w:r w:rsidRPr="00A428C3">
        <w:t xml:space="preserve">, </w:t>
      </w:r>
      <w:r w:rsidRPr="00A428C3">
        <w:rPr>
          <w:b/>
        </w:rPr>
        <w:t>35</w:t>
      </w:r>
      <w:r w:rsidRPr="00A428C3">
        <w:t xml:space="preserve"> (1), 37-39.</w:t>
      </w:r>
    </w:p>
    <w:p w:rsidR="00B95188" w:rsidRPr="00A428C3" w:rsidRDefault="00B95188" w:rsidP="00B95188">
      <w:pPr>
        <w:pStyle w:val="a0"/>
      </w:pPr>
      <w:r w:rsidRPr="00A428C3">
        <w:t xml:space="preserve">Full Text: </w:t>
      </w:r>
      <w:hyperlink r:id="rId64" w:history="1">
        <w:r w:rsidRPr="00A428C3">
          <w:rPr>
            <w:rStyle w:val="a5"/>
          </w:rPr>
          <w:t>F\Fil Sep35, 37.pdf</w:t>
        </w:r>
      </w:hyperlink>
    </w:p>
    <w:p w:rsidR="00B95188" w:rsidRPr="00A428C3" w:rsidRDefault="00B95188" w:rsidP="00B95188">
      <w:pPr>
        <w:pStyle w:val="a0"/>
      </w:pPr>
      <w:r w:rsidRPr="00A428C3">
        <w:t xml:space="preserve">Abstract: Recent outbreaks of disease associated with water contaminated by the parasite </w:t>
      </w:r>
      <w:r w:rsidRPr="00A428C3">
        <w:rPr>
          <w:i/>
          <w:iCs/>
        </w:rPr>
        <w:t>Cryptosporidium</w:t>
      </w:r>
      <w:r w:rsidRPr="00A428C3">
        <w:t xml:space="preserve"> have heightened public awareness of the need for pure drinking water. Since most common methods of microorganism control show little effect against </w:t>
      </w:r>
      <w:r w:rsidRPr="00A428C3">
        <w:rPr>
          <w:i/>
          <w:iCs/>
        </w:rPr>
        <w:t>Cryptosporidium</w:t>
      </w:r>
      <w:r w:rsidRPr="00A428C3">
        <w:t xml:space="preserve">, bottled water companies are actively evaluating alternative systems to assure purity for the consumer. In this article, Dr Norbert Roessler, Cuno Inc., </w:t>
      </w:r>
      <w:smartTag w:uri="urn:schemas-microsoft-com:office:smarttags" w:element="place">
        <w:smartTag w:uri="urn:schemas-microsoft-com:office:smarttags" w:element="country-region">
          <w:r w:rsidRPr="00A428C3">
            <w:t>USA</w:t>
          </w:r>
        </w:smartTag>
      </w:smartTag>
      <w:r w:rsidRPr="00A428C3">
        <w:t xml:space="preserve"> describes one such system which employs a graded-densify, polypropylene filter cartridge that acts as an effective final barrier against cyst contamination. The performance of this filter has been confirmed by the National Sanitation Foundation according to Standard 53 for cyst removal which uses a dust surrogate challenge. Comparable results were obtained when the filter was tested by a third party laboratory using an active, live cyst challenge.</w:t>
      </w:r>
    </w:p>
    <w:p w:rsidR="002479BF" w:rsidRPr="00217FB1" w:rsidRDefault="002479BF" w:rsidP="002479BF">
      <w:pPr>
        <w:pStyle w:val="1"/>
      </w:pPr>
      <w:r w:rsidRPr="00217FB1">
        <w:br w:type="page"/>
      </w:r>
      <w:bookmarkStart w:id="58" w:name="_Toc238862922"/>
      <w:bookmarkStart w:id="59" w:name="_Toc317160828"/>
      <w:r w:rsidRPr="00217FB1">
        <w:lastRenderedPageBreak/>
        <w:t xml:space="preserve">Title: </w:t>
      </w:r>
      <w:r w:rsidRPr="00753167">
        <w:t>Finance A Uver-Czech Journal of Economics</w:t>
      </w:r>
      <w:r w:rsidR="00F81221">
        <w:t xml:space="preserve"> and </w:t>
      </w:r>
      <w:r w:rsidRPr="00753167">
        <w:t>Finance</w:t>
      </w:r>
      <w:bookmarkEnd w:id="58"/>
      <w:bookmarkEnd w:id="59"/>
    </w:p>
    <w:p w:rsidR="002479BF" w:rsidRPr="00F82F1B" w:rsidRDefault="002479BF" w:rsidP="00B72EF9">
      <w:pPr>
        <w:pStyle w:val="12"/>
      </w:pPr>
      <w:r w:rsidRPr="00F82F1B">
        <w:t xml:space="preserve">Full Journal Title: </w:t>
      </w:r>
      <w:r w:rsidRPr="00834D5F">
        <w:t>Finance A Uver-Czech Journal of Economics</w:t>
      </w:r>
      <w:r w:rsidR="00F81221">
        <w:t xml:space="preserve"> and </w:t>
      </w:r>
      <w:r w:rsidRPr="00834D5F">
        <w:t>Finance</w:t>
      </w:r>
    </w:p>
    <w:p w:rsidR="002479BF" w:rsidRPr="00F82F1B" w:rsidRDefault="002479BF" w:rsidP="00B72EF9">
      <w:pPr>
        <w:pStyle w:val="12"/>
      </w:pPr>
      <w:r w:rsidRPr="00F82F1B">
        <w:t xml:space="preserve">ISO Abbreviated Title: </w:t>
      </w:r>
    </w:p>
    <w:p w:rsidR="002479BF" w:rsidRPr="00F82F1B" w:rsidRDefault="002479BF" w:rsidP="00B72EF9">
      <w:pPr>
        <w:pStyle w:val="12"/>
      </w:pPr>
      <w:r w:rsidRPr="00F82F1B">
        <w:t>JCR Abbreviated Title</w:t>
      </w:r>
      <w:r>
        <w:t>:</w:t>
      </w:r>
      <w:r w:rsidRPr="00F82F1B">
        <w:t xml:space="preserve"> </w:t>
      </w:r>
    </w:p>
    <w:p w:rsidR="002479BF" w:rsidRPr="00F82F1B" w:rsidRDefault="002479BF" w:rsidP="00B72EF9">
      <w:pPr>
        <w:pStyle w:val="12"/>
      </w:pPr>
      <w:r w:rsidRPr="00F82F1B">
        <w:t xml:space="preserve">ISSN: </w:t>
      </w:r>
      <w:r w:rsidRPr="00753167">
        <w:t>0015-1920</w:t>
      </w:r>
    </w:p>
    <w:p w:rsidR="002479BF" w:rsidRPr="00F82F1B" w:rsidRDefault="002479BF" w:rsidP="00B72EF9">
      <w:pPr>
        <w:pStyle w:val="12"/>
      </w:pPr>
      <w:r w:rsidRPr="00F82F1B">
        <w:t xml:space="preserve">Issues/Year: </w:t>
      </w:r>
    </w:p>
    <w:p w:rsidR="002479BF" w:rsidRPr="00F82F1B" w:rsidRDefault="00FB5623" w:rsidP="00B72EF9">
      <w:pPr>
        <w:pStyle w:val="12"/>
      </w:pPr>
      <w:r>
        <w:t>Journal Country/Territory:</w:t>
      </w:r>
      <w:r w:rsidR="002479BF">
        <w:t xml:space="preserve"> </w:t>
      </w:r>
    </w:p>
    <w:p w:rsidR="002479BF" w:rsidRPr="00F82F1B" w:rsidRDefault="002479BF" w:rsidP="00B72EF9">
      <w:pPr>
        <w:pStyle w:val="12"/>
      </w:pPr>
      <w:r w:rsidRPr="00F82F1B">
        <w:t xml:space="preserve">Language: </w:t>
      </w:r>
    </w:p>
    <w:p w:rsidR="002479BF" w:rsidRPr="00F82F1B" w:rsidRDefault="002479BF" w:rsidP="00B72EF9">
      <w:pPr>
        <w:pStyle w:val="12"/>
      </w:pPr>
      <w:r w:rsidRPr="00F82F1B">
        <w:t xml:space="preserve">Publisher: </w:t>
      </w:r>
    </w:p>
    <w:p w:rsidR="002479BF" w:rsidRPr="00F82F1B" w:rsidRDefault="002479BF" w:rsidP="00B72EF9">
      <w:pPr>
        <w:pStyle w:val="12"/>
      </w:pPr>
      <w:r w:rsidRPr="00F82F1B">
        <w:t xml:space="preserve">Publisher Address: </w:t>
      </w:r>
    </w:p>
    <w:p w:rsidR="002479BF" w:rsidRPr="00F82F1B" w:rsidRDefault="002479BF" w:rsidP="00B72EF9">
      <w:pPr>
        <w:pStyle w:val="12"/>
      </w:pPr>
      <w:r w:rsidRPr="00F82F1B">
        <w:t>Subject Categories:</w:t>
      </w:r>
    </w:p>
    <w:p w:rsidR="002479BF" w:rsidRPr="00F82F1B" w:rsidRDefault="002479BF" w:rsidP="00B72EF9">
      <w:pPr>
        <w:pStyle w:val="12"/>
      </w:pPr>
      <w:r w:rsidRPr="00F82F1B">
        <w:t xml:space="preserve">: Impact Factor </w:t>
      </w:r>
    </w:p>
    <w:p w:rsidR="002479BF" w:rsidRPr="00834D5F" w:rsidRDefault="002479BF" w:rsidP="002479BF">
      <w:pPr>
        <w:pStyle w:val="a0"/>
      </w:pPr>
      <w:r w:rsidRPr="00834D5F">
        <w:t>? Machacek, M.</w:t>
      </w:r>
      <w:r w:rsidR="00F81221">
        <w:t xml:space="preserve"> and </w:t>
      </w:r>
      <w:r w:rsidRPr="00834D5F">
        <w:t xml:space="preserve">Kolcunova, E. (2005), Publish or perish? On the importance of publishing on the economic sciences tenure-track in the CR. </w:t>
      </w:r>
      <w:r w:rsidRPr="00834D5F">
        <w:rPr>
          <w:i/>
          <w:iCs/>
        </w:rPr>
        <w:t>Finance A Uver-Czech Journal of Economics</w:t>
      </w:r>
      <w:r w:rsidR="00F81221">
        <w:rPr>
          <w:i/>
          <w:iCs/>
        </w:rPr>
        <w:t xml:space="preserve"> and </w:t>
      </w:r>
      <w:r w:rsidRPr="00834D5F">
        <w:rPr>
          <w:i/>
          <w:iCs/>
        </w:rPr>
        <w:t>Finance</w:t>
      </w:r>
      <w:r w:rsidRPr="00834D5F">
        <w:t xml:space="preserve">, </w:t>
      </w:r>
      <w:r w:rsidRPr="00834D5F">
        <w:rPr>
          <w:b/>
          <w:bCs/>
        </w:rPr>
        <w:t>55</w:t>
      </w:r>
      <w:r w:rsidRPr="00834D5F">
        <w:t xml:space="preserve"> (11-12), 563-577.</w:t>
      </w:r>
    </w:p>
    <w:p w:rsidR="002479BF" w:rsidRPr="00B35C55" w:rsidRDefault="002479BF" w:rsidP="002479BF">
      <w:pPr>
        <w:pStyle w:val="a0"/>
      </w:pPr>
      <w:r>
        <w:rPr>
          <w:rFonts w:hint="eastAsia"/>
        </w:rPr>
        <w:t>F</w:t>
      </w:r>
      <w:r>
        <w:t>u</w:t>
      </w:r>
      <w:r>
        <w:rPr>
          <w:rFonts w:hint="eastAsia"/>
        </w:rPr>
        <w:t xml:space="preserve">ll Text: </w:t>
      </w:r>
      <w:hyperlink r:id="rId65" w:history="1">
        <w:r w:rsidRPr="00F55E42">
          <w:rPr>
            <w:rStyle w:val="a5"/>
          </w:rPr>
          <w:t>2005\Fin Uve-Cze J Eco Fin55, 563.pdf</w:t>
        </w:r>
      </w:hyperlink>
    </w:p>
    <w:p w:rsidR="002479BF" w:rsidRPr="00834D5F" w:rsidRDefault="002479BF" w:rsidP="002479BF">
      <w:pPr>
        <w:pStyle w:val="a0"/>
      </w:pPr>
      <w:r w:rsidRPr="00834D5F">
        <w:t>Abstract: This paper scrutinizes the publishing histories of associate</w:t>
      </w:r>
      <w:r w:rsidR="00F81221">
        <w:t xml:space="preserve"> and </w:t>
      </w:r>
      <w:r w:rsidRPr="00834D5F">
        <w:t>tenured professors of economic sciences in the Czech Republic. According to domestic regulation, only certain universities may grant associate</w:t>
      </w:r>
      <w:r w:rsidR="00F81221">
        <w:t xml:space="preserve"> and </w:t>
      </w:r>
      <w:r w:rsidRPr="00834D5F">
        <w:t>tenured professorships. Such universities require that professorial candidates publish original work in internationally credible academic journals. To investigate whether such publishing requirement is indeed fulfilled, the authors studied the publishing histories of those who were granted tenured or associate professorships from January 1999 to June 2005 using the Social Sciences Citation Index developed by the Institute of Scientific Information. They found that, of the professors tenured in the respective period, almost 54 percent had not published any journal article before their appointment. At the same time, some 85 percent had not published an article in a foreign academic journal. Similar results held for those who were made associate professors in that period. It appears, then, that Czech universities in fact do not regard publishing as a principal factor on the academic tenure-track in the economic sciences.</w:t>
      </w:r>
    </w:p>
    <w:p w:rsidR="002479BF" w:rsidRPr="00FB57D5" w:rsidRDefault="002479BF" w:rsidP="002479BF">
      <w:pPr>
        <w:pStyle w:val="a0"/>
      </w:pPr>
      <w:r w:rsidRPr="00FB57D5">
        <w:t>Keywords: American, Authors, CR, Czech Republic, Economic, European Economists, Journal, Journal Article, Journals, Publishing, Regulation, Requirement, Sciences, United-States, Universities, Work</w:t>
      </w:r>
    </w:p>
    <w:p w:rsidR="00B95188" w:rsidRPr="00A428C3" w:rsidRDefault="00B95188" w:rsidP="00B95188">
      <w:pPr>
        <w:pStyle w:val="1"/>
      </w:pPr>
      <w:r w:rsidRPr="00A428C3">
        <w:br w:type="page"/>
      </w:r>
      <w:bookmarkStart w:id="60" w:name="_Toc186647665"/>
      <w:bookmarkStart w:id="61" w:name="_Toc317160829"/>
      <w:r w:rsidRPr="00A428C3">
        <w:lastRenderedPageBreak/>
        <w:t>Title: Financial Management</w:t>
      </w:r>
      <w:bookmarkEnd w:id="60"/>
      <w:bookmarkEnd w:id="61"/>
    </w:p>
    <w:p w:rsidR="00B95188" w:rsidRPr="00A428C3" w:rsidRDefault="00B95188" w:rsidP="00B72EF9">
      <w:pPr>
        <w:pStyle w:val="12"/>
      </w:pPr>
      <w:r w:rsidRPr="00A428C3">
        <w:t>Full Journal Title: Financial Management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Chung, K.H., Cox, R.A.K.</w:t>
      </w:r>
      <w:r w:rsidR="00F81221">
        <w:t xml:space="preserve"> and </w:t>
      </w:r>
      <w:r w:rsidRPr="00A428C3">
        <w:t xml:space="preserve">Mitchell, J.B. (1978), </w:t>
      </w:r>
      <w:r w:rsidRPr="00A428C3">
        <w:rPr>
          <w:szCs w:val="27"/>
        </w:rPr>
        <w:t>Citation patterns in the finance literature</w:t>
      </w:r>
      <w:r w:rsidRPr="00A428C3">
        <w:t xml:space="preserve">. </w:t>
      </w:r>
      <w:r w:rsidRPr="00A428C3">
        <w:rPr>
          <w:i/>
          <w:iCs/>
        </w:rPr>
        <w:t>Financial Management</w:t>
      </w:r>
      <w:r w:rsidRPr="00A428C3">
        <w:t xml:space="preserve">, </w:t>
      </w:r>
      <w:r w:rsidRPr="00A428C3">
        <w:rPr>
          <w:b/>
        </w:rPr>
        <w:t>30</w:t>
      </w:r>
      <w:r w:rsidRPr="00A428C3">
        <w:t xml:space="preserve"> (3), 99-118.</w:t>
      </w:r>
    </w:p>
    <w:p w:rsidR="00B95188" w:rsidRPr="00A428C3" w:rsidRDefault="00B95188" w:rsidP="00B95188">
      <w:pPr>
        <w:pStyle w:val="a0"/>
      </w:pPr>
      <w:r w:rsidRPr="00A428C3">
        <w:t xml:space="preserve">Full Text: </w:t>
      </w:r>
      <w:hyperlink r:id="rId66" w:history="1">
        <w:r w:rsidR="00D4498E" w:rsidRPr="00D4498E">
          <w:rPr>
            <w:rStyle w:val="a5"/>
          </w:rPr>
          <w:t>1960-80\Fin Man30, 99.pdf</w:t>
        </w:r>
      </w:hyperlink>
    </w:p>
    <w:p w:rsidR="00B95188" w:rsidRPr="00A428C3" w:rsidRDefault="00B95188" w:rsidP="00B95188">
      <w:pPr>
        <w:pStyle w:val="a0"/>
      </w:pPr>
      <w:r w:rsidRPr="00A428C3">
        <w:t>Abstract: Out of a total of 12,637 individuals whose works were ever cited in the leading finance journals over the past 25 years, the top 1% (10%) account for more than one third (3/4) of the number of citations to articles published in these journals. In contrast, nearly one half of the authors have been cited only once. Similarly, the top 1% (10%) of articles/books received 22% (56%) of the total number of citations. These results indicate that afew prominent researchers dominate citation in the leading finance journals. More than half of the 100 most cited works were published in the Journal of Finance</w:t>
      </w:r>
      <w:r w:rsidR="00F81221">
        <w:t xml:space="preserve"> and </w:t>
      </w:r>
      <w:r w:rsidRPr="00A428C3">
        <w:t>Journal of Financial Economics.</w:t>
      </w:r>
    </w:p>
    <w:p w:rsidR="00C167F0" w:rsidRPr="001A3D2B" w:rsidRDefault="00C167F0" w:rsidP="00C167F0">
      <w:pPr>
        <w:pStyle w:val="a0"/>
      </w:pPr>
      <w:r w:rsidRPr="001A3D2B">
        <w:t xml:space="preserve">? </w:t>
      </w:r>
      <w:r>
        <w:t>Borokhovich</w:t>
      </w:r>
      <w:r>
        <w:rPr>
          <w:rFonts w:hint="eastAsia"/>
        </w:rPr>
        <w:t>,</w:t>
      </w:r>
      <w:r>
        <w:t xml:space="preserve"> K</w:t>
      </w:r>
      <w:r>
        <w:rPr>
          <w:rFonts w:hint="eastAsia"/>
        </w:rPr>
        <w:t>.</w:t>
      </w:r>
      <w:r>
        <w:t>A</w:t>
      </w:r>
      <w:r>
        <w:rPr>
          <w:rFonts w:hint="eastAsia"/>
        </w:rPr>
        <w:t>.</w:t>
      </w:r>
      <w:r>
        <w:t>, Bricker</w:t>
      </w:r>
      <w:r>
        <w:rPr>
          <w:rFonts w:hint="eastAsia"/>
        </w:rPr>
        <w:t>,</w:t>
      </w:r>
      <w:r>
        <w:t xml:space="preserve"> R</w:t>
      </w:r>
      <w:r>
        <w:rPr>
          <w:rFonts w:hint="eastAsia"/>
        </w:rPr>
        <w:t>.</w:t>
      </w:r>
      <w:r>
        <w:t>J</w:t>
      </w:r>
      <w:r>
        <w:rPr>
          <w:rFonts w:hint="eastAsia"/>
        </w:rPr>
        <w:t>.</w:t>
      </w:r>
      <w:r w:rsidR="00F81221">
        <w:rPr>
          <w:rFonts w:hint="eastAsia"/>
        </w:rPr>
        <w:t xml:space="preserve"> and </w:t>
      </w:r>
      <w:r>
        <w:t>Simkins</w:t>
      </w:r>
      <w:r>
        <w:rPr>
          <w:rFonts w:hint="eastAsia"/>
        </w:rPr>
        <w:t>,</w:t>
      </w:r>
      <w:r>
        <w:t xml:space="preserve"> B</w:t>
      </w:r>
      <w:r>
        <w:rPr>
          <w:rFonts w:hint="eastAsia"/>
        </w:rPr>
        <w:t>.</w:t>
      </w:r>
      <w:r>
        <w:t>J</w:t>
      </w:r>
      <w:r>
        <w:rPr>
          <w:rFonts w:hint="eastAsia"/>
        </w:rPr>
        <w:t>.</w:t>
      </w:r>
      <w:r w:rsidRPr="001A3D2B">
        <w:t xml:space="preserve"> (</w:t>
      </w:r>
      <w:r>
        <w:rPr>
          <w:rFonts w:hint="eastAsia"/>
        </w:rPr>
        <w:t>1999</w:t>
      </w:r>
      <w:r w:rsidRPr="001A3D2B">
        <w:t xml:space="preserve">), </w:t>
      </w:r>
      <w:r>
        <w:t>Financial Management</w:t>
      </w:r>
      <w:r w:rsidR="000352E7">
        <w:t>’</w:t>
      </w:r>
      <w:r>
        <w:t>s success as an academic journal</w:t>
      </w:r>
      <w:r>
        <w:rPr>
          <w:rFonts w:hint="eastAsia"/>
        </w:rPr>
        <w:t>.</w:t>
      </w:r>
      <w:r w:rsidRPr="001A3D2B">
        <w:t xml:space="preserve"> </w:t>
      </w:r>
      <w:r w:rsidRPr="001A3D2B">
        <w:rPr>
          <w:i/>
          <w:iCs/>
        </w:rPr>
        <w:t>Financial Management</w:t>
      </w:r>
      <w:r w:rsidRPr="001A3D2B">
        <w:t xml:space="preserve">, </w:t>
      </w:r>
      <w:r>
        <w:rPr>
          <w:rFonts w:hint="eastAsia"/>
          <w:b/>
          <w:bCs/>
        </w:rPr>
        <w:t>28</w:t>
      </w:r>
      <w:r w:rsidRPr="001A3D2B">
        <w:t xml:space="preserve"> (</w:t>
      </w:r>
      <w:r>
        <w:rPr>
          <w:rFonts w:hint="eastAsia"/>
        </w:rPr>
        <w:t>3</w:t>
      </w:r>
      <w:r w:rsidRPr="001A3D2B">
        <w:t xml:space="preserve">), </w:t>
      </w:r>
      <w:r>
        <w:t>76-82</w:t>
      </w:r>
      <w:r w:rsidRPr="001A3D2B">
        <w:t>.</w:t>
      </w:r>
    </w:p>
    <w:p w:rsidR="00C167F0" w:rsidRDefault="00C167F0" w:rsidP="00C167F0">
      <w:pPr>
        <w:pStyle w:val="a0"/>
      </w:pPr>
      <w:r w:rsidRPr="001A3D2B">
        <w:t xml:space="preserve">Full Text: </w:t>
      </w:r>
      <w:r>
        <w:rPr>
          <w:rFonts w:hint="eastAsia"/>
        </w:rPr>
        <w:t>1999</w:t>
      </w:r>
      <w:r w:rsidRPr="006C2EDE">
        <w:t>\Fin Man</w:t>
      </w:r>
      <w:r>
        <w:rPr>
          <w:rFonts w:hint="eastAsia"/>
        </w:rPr>
        <w:t>28</w:t>
      </w:r>
      <w:r w:rsidRPr="006C2EDE">
        <w:t xml:space="preserve">, </w:t>
      </w:r>
      <w:r>
        <w:rPr>
          <w:rFonts w:hint="eastAsia"/>
        </w:rPr>
        <w:t>76</w:t>
      </w:r>
      <w:r w:rsidRPr="006C2EDE">
        <w:t>.pdf</w:t>
      </w:r>
    </w:p>
    <w:p w:rsidR="00C043E1" w:rsidRPr="001A3D2B" w:rsidRDefault="00C043E1" w:rsidP="00C043E1">
      <w:pPr>
        <w:pStyle w:val="a0"/>
      </w:pPr>
      <w:r w:rsidRPr="001A3D2B">
        <w:t xml:space="preserve">? Smith, S.D. (2004), Is an article in a top journal a top article? </w:t>
      </w:r>
      <w:r w:rsidRPr="001A3D2B">
        <w:rPr>
          <w:i/>
          <w:iCs/>
        </w:rPr>
        <w:t>Financial Management</w:t>
      </w:r>
      <w:r w:rsidRPr="001A3D2B">
        <w:t xml:space="preserve">, </w:t>
      </w:r>
      <w:r w:rsidRPr="001A3D2B">
        <w:rPr>
          <w:b/>
          <w:bCs/>
        </w:rPr>
        <w:t>33</w:t>
      </w:r>
      <w:r w:rsidRPr="001A3D2B">
        <w:t xml:space="preserve"> (4), 133-149.</w:t>
      </w:r>
    </w:p>
    <w:p w:rsidR="00C043E1" w:rsidRPr="001A3D2B" w:rsidRDefault="00C043E1" w:rsidP="00C043E1">
      <w:pPr>
        <w:pStyle w:val="a0"/>
      </w:pPr>
      <w:r w:rsidRPr="001A3D2B">
        <w:t xml:space="preserve">Full Text: </w:t>
      </w:r>
      <w:hyperlink r:id="rId67" w:history="1">
        <w:r w:rsidR="00B307B5" w:rsidRPr="00B307B5">
          <w:rPr>
            <w:rStyle w:val="a5"/>
          </w:rPr>
          <w:t>2004\Fin Man33, 133.pdf</w:t>
        </w:r>
      </w:hyperlink>
      <w:r w:rsidR="00B307B5">
        <w:rPr>
          <w:rFonts w:hint="eastAsia"/>
        </w:rPr>
        <w:t xml:space="preserve">; </w:t>
      </w:r>
      <w:hyperlink r:id="rId68" w:history="1">
        <w:r w:rsidR="00B307B5" w:rsidRPr="006C2EDE">
          <w:rPr>
            <w:rStyle w:val="a5"/>
          </w:rPr>
          <w:t>2004\Fin Man33, 133-1.pdf</w:t>
        </w:r>
      </w:hyperlink>
    </w:p>
    <w:p w:rsidR="00C043E1" w:rsidRPr="001A3D2B" w:rsidRDefault="00C043E1" w:rsidP="00C043E1">
      <w:pPr>
        <w:pStyle w:val="a0"/>
      </w:pPr>
      <w:r w:rsidRPr="001A3D2B">
        <w:t xml:space="preserve">Abstract: This study ranks 15 leading finance journals by the average number of Social Sciences Citation Index cites per articles for articles published in 1996. It also defines a </w:t>
      </w:r>
      <w:r w:rsidR="000352E7">
        <w:t>“</w:t>
      </w:r>
      <w:r w:rsidRPr="001A3D2B">
        <w:t>top article,</w:t>
      </w:r>
      <w:r w:rsidR="000352E7">
        <w:t>”</w:t>
      </w:r>
      <w:r w:rsidRPr="001A3D2B">
        <w:t xml:space="preserve"> compared to an </w:t>
      </w:r>
      <w:r w:rsidR="000352E7">
        <w:t>“</w:t>
      </w:r>
      <w:r w:rsidRPr="001A3D2B">
        <w:t>article in a top journal.</w:t>
      </w:r>
      <w:r w:rsidR="000352E7">
        <w:t>”</w:t>
      </w:r>
      <w:r w:rsidRPr="001A3D2B">
        <w:t xml:space="preserve"> Using diffierent criteria for top articles, I examine the Type I error (a top article is rejected by a particular decision rule, e.g., in top three journals)</w:t>
      </w:r>
      <w:r w:rsidR="00F81221">
        <w:t xml:space="preserve"> and </w:t>
      </w:r>
      <w:r w:rsidRPr="001A3D2B">
        <w:t xml:space="preserve">the Type </w:t>
      </w:r>
      <w:r w:rsidR="00A167B6">
        <w:rPr>
          <w:rFonts w:hint="eastAsia"/>
        </w:rPr>
        <w:t>II</w:t>
      </w:r>
      <w:r w:rsidRPr="001A3D2B">
        <w:t xml:space="preserve"> error (a </w:t>
      </w:r>
      <w:r w:rsidR="000352E7">
        <w:t>“</w:t>
      </w:r>
      <w:r w:rsidRPr="001A3D2B">
        <w:t>non-top</w:t>
      </w:r>
      <w:r w:rsidR="000352E7">
        <w:t>”</w:t>
      </w:r>
      <w:r w:rsidRPr="001A3D2B">
        <w:t xml:space="preserve"> article is accepted as a top article) for each journal</w:t>
      </w:r>
      <w:r w:rsidR="00F81221">
        <w:t xml:space="preserve"> and </w:t>
      </w:r>
      <w:r w:rsidRPr="001A3D2B">
        <w:t xml:space="preserve">combinations of the journals. Due to the high error rates, the results suggest that identifying top articles requires looking beyond the Top 3 journals, as well as examining each article more carefully </w:t>
      </w:r>
      <w:r w:rsidRPr="001A3D2B">
        <w:lastRenderedPageBreak/>
        <w:t>for its intrinsic quality.</w:t>
      </w:r>
    </w:p>
    <w:p w:rsidR="00C043E1" w:rsidRPr="001A3D2B" w:rsidRDefault="00C043E1" w:rsidP="00C043E1">
      <w:pPr>
        <w:pStyle w:val="a0"/>
      </w:pPr>
      <w:r w:rsidRPr="001A3D2B">
        <w:t>Keywords: Criteria, Decision, Error, Journal, Journals, Quality, Rates</w:t>
      </w:r>
    </w:p>
    <w:p w:rsidR="00B95188" w:rsidRPr="00A428C3" w:rsidRDefault="00B95188" w:rsidP="00B95188">
      <w:pPr>
        <w:pStyle w:val="1"/>
      </w:pPr>
      <w:r w:rsidRPr="00A428C3">
        <w:br w:type="page"/>
      </w:r>
      <w:bookmarkStart w:id="62" w:name="_Toc186647666"/>
      <w:bookmarkStart w:id="63" w:name="_Toc317160830"/>
      <w:r w:rsidRPr="00A428C3">
        <w:lastRenderedPageBreak/>
        <w:t>Title: Fizika Tverdogo Tela</w:t>
      </w:r>
      <w:bookmarkEnd w:id="62"/>
      <w:bookmarkEnd w:id="63"/>
    </w:p>
    <w:p w:rsidR="00B95188" w:rsidRPr="00A428C3" w:rsidRDefault="00B95188" w:rsidP="00B72EF9">
      <w:pPr>
        <w:pStyle w:val="12"/>
      </w:pPr>
      <w:r w:rsidRPr="00A428C3">
        <w:t>Full Journal Title: Fizika Tverdogo Tela</w:t>
      </w:r>
    </w:p>
    <w:p w:rsidR="00B95188" w:rsidRPr="00A428C3" w:rsidRDefault="00B95188" w:rsidP="00B72EF9">
      <w:pPr>
        <w:pStyle w:val="12"/>
      </w:pPr>
      <w:r w:rsidRPr="00A428C3">
        <w:t>ISO Abbreviated Title: Fiz. Tverd. Tela</w:t>
      </w:r>
    </w:p>
    <w:p w:rsidR="00B95188" w:rsidRPr="00A428C3" w:rsidRDefault="00B95188" w:rsidP="00B72EF9">
      <w:pPr>
        <w:pStyle w:val="12"/>
      </w:pPr>
      <w:r w:rsidRPr="00A428C3">
        <w:t>JCR Abbreviated Title: Fiz Tverd Tela</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Bokshtein, B.S., Gubchenko, L.I.</w:t>
      </w:r>
      <w:r w:rsidR="00F81221">
        <w:t xml:space="preserve"> and </w:t>
      </w:r>
      <w:r w:rsidRPr="00A428C3">
        <w:t xml:space="preserve">Shvindlerman, L.S. (1978), Isotherm of internal adsorption on dislocations. </w:t>
      </w:r>
      <w:r w:rsidRPr="00A428C3">
        <w:rPr>
          <w:i/>
          <w:iCs/>
        </w:rPr>
        <w:t>Fizika Tverdogo Tela</w:t>
      </w:r>
      <w:r w:rsidRPr="00A428C3">
        <w:t xml:space="preserve">, </w:t>
      </w:r>
      <w:r w:rsidRPr="00A428C3">
        <w:rPr>
          <w:b/>
        </w:rPr>
        <w:t>20</w:t>
      </w:r>
      <w:r w:rsidRPr="00A428C3">
        <w:t xml:space="preserve"> (7), 2230-2232.</w:t>
      </w:r>
    </w:p>
    <w:p w:rsidR="00B95188" w:rsidRPr="00A428C3" w:rsidRDefault="00B95188" w:rsidP="00B95188">
      <w:pPr>
        <w:pStyle w:val="a0"/>
      </w:pPr>
      <w:r w:rsidRPr="00A428C3">
        <w:t>? Tovbin, Y.K.</w:t>
      </w:r>
      <w:r w:rsidR="00F81221">
        <w:t xml:space="preserve"> and </w:t>
      </w:r>
      <w:r w:rsidRPr="00A428C3">
        <w:t xml:space="preserve">Fedyanin, V.K. (1980), Kinetics of dissociating molecule adsorption with account of adatom coupling. </w:t>
      </w:r>
      <w:r w:rsidRPr="00A428C3">
        <w:rPr>
          <w:i/>
          <w:iCs/>
        </w:rPr>
        <w:t>Fizika Tverdogo Tela</w:t>
      </w:r>
      <w:r w:rsidRPr="00A428C3">
        <w:t xml:space="preserve">, </w:t>
      </w:r>
      <w:r w:rsidRPr="00A428C3">
        <w:rPr>
          <w:b/>
        </w:rPr>
        <w:t>22</w:t>
      </w:r>
      <w:r w:rsidRPr="00A428C3">
        <w:t xml:space="preserve"> (6), 1599-1605.</w:t>
      </w:r>
    </w:p>
    <w:p w:rsidR="00B95188" w:rsidRPr="00A428C3" w:rsidRDefault="00B95188" w:rsidP="00B95188">
      <w:pPr>
        <w:pStyle w:val="a0"/>
      </w:pPr>
      <w:r w:rsidRPr="00A428C3">
        <w:t>? Aristov, V.Y., Kopetskii, C.V., Molodov, D.A.</w:t>
      </w:r>
      <w:r w:rsidR="00F81221">
        <w:t xml:space="preserve"> and </w:t>
      </w:r>
      <w:r w:rsidRPr="00A428C3">
        <w:t>Shvindlerman, L.S. (1980), Kinetic</w:t>
      </w:r>
      <w:r w:rsidR="00F81221">
        <w:t xml:space="preserve"> and </w:t>
      </w:r>
      <w:r w:rsidRPr="00A428C3">
        <w:t xml:space="preserve">adsorption properties of 36.5-degrees (111) tilt boundary in Al-Fe alloys. </w:t>
      </w:r>
      <w:r w:rsidRPr="00A428C3">
        <w:rPr>
          <w:i/>
          <w:iCs/>
        </w:rPr>
        <w:t>Fizika Tverdogo Tela</w:t>
      </w:r>
      <w:r w:rsidRPr="00A428C3">
        <w:t xml:space="preserve">, </w:t>
      </w:r>
      <w:r w:rsidRPr="00A428C3">
        <w:rPr>
          <w:b/>
        </w:rPr>
        <w:t>22</w:t>
      </w:r>
      <w:r w:rsidRPr="00A428C3">
        <w:t xml:space="preserve"> (11), 3247-3253.</w:t>
      </w:r>
    </w:p>
    <w:p w:rsidR="00B95188" w:rsidRPr="00A428C3" w:rsidRDefault="00B95188" w:rsidP="00B95188">
      <w:pPr>
        <w:pStyle w:val="1"/>
      </w:pPr>
      <w:r w:rsidRPr="00A428C3">
        <w:br w:type="page"/>
      </w:r>
      <w:bookmarkStart w:id="64" w:name="_Toc186647667"/>
      <w:bookmarkStart w:id="65" w:name="_Toc317160831"/>
      <w:r w:rsidRPr="00A428C3">
        <w:lastRenderedPageBreak/>
        <w:t>Title: Fizika Zemli</w:t>
      </w:r>
      <w:bookmarkEnd w:id="64"/>
      <w:bookmarkEnd w:id="65"/>
    </w:p>
    <w:p w:rsidR="00B95188" w:rsidRPr="00A428C3" w:rsidRDefault="00B95188" w:rsidP="00B72EF9">
      <w:pPr>
        <w:pStyle w:val="12"/>
      </w:pPr>
      <w:r w:rsidRPr="00A428C3">
        <w:t>Full Journal Title: Fizika Zemli</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0002-3337</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Ivano, V.V. (1999), Instantaneous spectra of the July 12, 1993, tsunami in the </w:t>
      </w:r>
      <w:smartTag w:uri="urn:schemas-microsoft-com:office:smarttags" w:element="place">
        <w:r w:rsidRPr="00A428C3">
          <w:t>Sea of Japan</w:t>
        </w:r>
      </w:smartTag>
      <w:r w:rsidRPr="00A428C3">
        <w:t xml:space="preserve">. </w:t>
      </w:r>
      <w:r w:rsidRPr="00A428C3">
        <w:rPr>
          <w:i/>
          <w:iCs/>
        </w:rPr>
        <w:t>Fizika Zemli</w:t>
      </w:r>
      <w:r w:rsidRPr="00A428C3">
        <w:t>, (1), 63-78.</w:t>
      </w:r>
    </w:p>
    <w:p w:rsidR="00B95188" w:rsidRPr="00A428C3" w:rsidRDefault="00B95188" w:rsidP="00B95188">
      <w:pPr>
        <w:pStyle w:val="a0"/>
      </w:pPr>
      <w:r w:rsidRPr="00A428C3">
        <w:t>Keywords: Earthquake</w:t>
      </w:r>
    </w:p>
    <w:p w:rsidR="00CF3A97" w:rsidRPr="00217FB1" w:rsidRDefault="00CF3A97" w:rsidP="00CF3A97">
      <w:pPr>
        <w:pStyle w:val="1"/>
      </w:pPr>
      <w:r w:rsidRPr="00217FB1">
        <w:br w:type="page"/>
      </w:r>
      <w:bookmarkStart w:id="66" w:name="_Toc234322654"/>
      <w:bookmarkStart w:id="67" w:name="_Toc317160832"/>
      <w:r w:rsidRPr="00217FB1">
        <w:lastRenderedPageBreak/>
        <w:t xml:space="preserve">Title: </w:t>
      </w:r>
      <w:r w:rsidRPr="007B2F1C">
        <w:t>Fiziologicheskiĭ Zhurnal</w:t>
      </w:r>
      <w:bookmarkEnd w:id="66"/>
      <w:bookmarkEnd w:id="67"/>
    </w:p>
    <w:p w:rsidR="00CF3A97" w:rsidRPr="00F82F1B" w:rsidRDefault="00CF3A97" w:rsidP="00B72EF9">
      <w:pPr>
        <w:pStyle w:val="12"/>
      </w:pPr>
      <w:r w:rsidRPr="00F82F1B">
        <w:t xml:space="preserve">Full Journal Title: </w:t>
      </w:r>
      <w:r w:rsidRPr="007B2F1C">
        <w:t>Fiziologicheskiĭ Zhurnal</w:t>
      </w:r>
    </w:p>
    <w:p w:rsidR="00CF3A97" w:rsidRPr="00F82F1B" w:rsidRDefault="00CF3A97" w:rsidP="00B72EF9">
      <w:pPr>
        <w:pStyle w:val="12"/>
      </w:pPr>
      <w:r w:rsidRPr="00F82F1B">
        <w:t xml:space="preserve">ISO Abbreviated Title: </w:t>
      </w:r>
    </w:p>
    <w:p w:rsidR="00CF3A97" w:rsidRPr="00F82F1B" w:rsidRDefault="00CF3A97" w:rsidP="00B72EF9">
      <w:pPr>
        <w:pStyle w:val="12"/>
      </w:pPr>
      <w:r w:rsidRPr="00F82F1B">
        <w:t>JCR Abbreviated Title</w:t>
      </w:r>
      <w:r>
        <w:t>:</w:t>
      </w:r>
      <w:r w:rsidRPr="00F82F1B">
        <w:t xml:space="preserve"> </w:t>
      </w:r>
      <w:r w:rsidRPr="00A55B4C">
        <w:t>Fiziol Zh</w:t>
      </w:r>
    </w:p>
    <w:p w:rsidR="00CF3A97" w:rsidRPr="00F82F1B" w:rsidRDefault="00CF3A97" w:rsidP="00B72EF9">
      <w:pPr>
        <w:pStyle w:val="12"/>
      </w:pPr>
      <w:r w:rsidRPr="00F82F1B">
        <w:t xml:space="preserve">ISSN: </w:t>
      </w:r>
      <w:r w:rsidRPr="007B2F1C">
        <w:t>0201-8489</w:t>
      </w:r>
    </w:p>
    <w:p w:rsidR="00CF3A97" w:rsidRPr="00F82F1B" w:rsidRDefault="00CF3A97" w:rsidP="00B72EF9">
      <w:pPr>
        <w:pStyle w:val="12"/>
      </w:pPr>
      <w:r w:rsidRPr="00F82F1B">
        <w:t xml:space="preserve">Issues/Year: </w:t>
      </w:r>
    </w:p>
    <w:p w:rsidR="00CF3A97" w:rsidRPr="00F82F1B" w:rsidRDefault="00FB5623" w:rsidP="00B72EF9">
      <w:pPr>
        <w:pStyle w:val="12"/>
      </w:pPr>
      <w:r>
        <w:t>Journal Country/Territory:</w:t>
      </w:r>
      <w:r w:rsidR="00CF3A97">
        <w:t xml:space="preserve"> </w:t>
      </w:r>
    </w:p>
    <w:p w:rsidR="00CF3A97" w:rsidRPr="00F82F1B" w:rsidRDefault="00CF3A97" w:rsidP="00B72EF9">
      <w:pPr>
        <w:pStyle w:val="12"/>
      </w:pPr>
      <w:r w:rsidRPr="00F82F1B">
        <w:t xml:space="preserve">Language: </w:t>
      </w:r>
    </w:p>
    <w:p w:rsidR="00CF3A97" w:rsidRPr="00F82F1B" w:rsidRDefault="00CF3A97" w:rsidP="00B72EF9">
      <w:pPr>
        <w:pStyle w:val="12"/>
      </w:pPr>
      <w:r w:rsidRPr="00F82F1B">
        <w:t xml:space="preserve">Publisher: </w:t>
      </w:r>
    </w:p>
    <w:p w:rsidR="00CF3A97" w:rsidRPr="00F82F1B" w:rsidRDefault="00CF3A97" w:rsidP="00B72EF9">
      <w:pPr>
        <w:pStyle w:val="12"/>
      </w:pPr>
      <w:r w:rsidRPr="00F82F1B">
        <w:t xml:space="preserve">Publisher Address: </w:t>
      </w:r>
    </w:p>
    <w:p w:rsidR="00CF3A97" w:rsidRPr="00F82F1B" w:rsidRDefault="00CF3A97" w:rsidP="00B72EF9">
      <w:pPr>
        <w:pStyle w:val="12"/>
      </w:pPr>
      <w:r w:rsidRPr="00F82F1B">
        <w:t>Subject Categories:</w:t>
      </w:r>
    </w:p>
    <w:p w:rsidR="00CF3A97" w:rsidRPr="00F82F1B" w:rsidRDefault="00CF3A97" w:rsidP="00B72EF9">
      <w:pPr>
        <w:pStyle w:val="12"/>
      </w:pPr>
      <w:r w:rsidRPr="00F82F1B">
        <w:t>: Impact Factor</w:t>
      </w:r>
    </w:p>
    <w:p w:rsidR="00CF3A97" w:rsidRPr="003862C4" w:rsidRDefault="00CF3A97" w:rsidP="00CF3A97">
      <w:pPr>
        <w:pStyle w:val="a0"/>
      </w:pPr>
      <w:r w:rsidRPr="008B2BB0">
        <w:t>? Duplenko, I.K.</w:t>
      </w:r>
      <w:r w:rsidR="00F81221">
        <w:t xml:space="preserve"> and </w:t>
      </w:r>
      <w:r w:rsidRPr="008B2BB0">
        <w:t xml:space="preserve">Burchinskii, S.G. (1991), Interdisciplinary research in gerontology: Citation analysis. </w:t>
      </w:r>
      <w:r w:rsidRPr="00CE7517">
        <w:rPr>
          <w:i/>
          <w:iCs/>
        </w:rPr>
        <w:t>Fiziologicheskiĭ Zhurnal</w:t>
      </w:r>
      <w:r w:rsidRPr="008B2BB0">
        <w:t xml:space="preserve">, </w:t>
      </w:r>
      <w:r w:rsidRPr="00551655">
        <w:rPr>
          <w:b/>
          <w:bCs/>
        </w:rPr>
        <w:t>37</w:t>
      </w:r>
      <w:r w:rsidRPr="003862C4">
        <w:t xml:space="preserve"> (1), 114-117.</w:t>
      </w:r>
    </w:p>
    <w:p w:rsidR="00CF3A97" w:rsidRPr="003862C4" w:rsidRDefault="00CF3A97" w:rsidP="00CF3A97">
      <w:pPr>
        <w:pStyle w:val="a0"/>
      </w:pPr>
      <w:r w:rsidRPr="003862C4">
        <w:t>Abstract: The results of the citation analysis carried out to assess the interdisciplinary research level in gerontology</w:t>
      </w:r>
      <w:r w:rsidR="00F81221">
        <w:t xml:space="preserve"> and </w:t>
      </w:r>
      <w:r w:rsidRPr="003862C4">
        <w:t>its separate research fields are presented. The data on the dynamics of the interdisciplinary index during 1975-1985 year period are analyzed. A conclusion is made on the possibility</w:t>
      </w:r>
      <w:r w:rsidR="00F81221">
        <w:t xml:space="preserve"> and </w:t>
      </w:r>
      <w:r w:rsidRPr="003862C4">
        <w:t>expediency to the scientometric indicators and, in particular the interdisciplinary index, in the evaluation of the qualitative peculiarities of the research process.</w:t>
      </w:r>
    </w:p>
    <w:p w:rsidR="00CF3A97" w:rsidRPr="003862C4" w:rsidRDefault="00CF3A97" w:rsidP="00CF3A97">
      <w:pPr>
        <w:pStyle w:val="a0"/>
      </w:pPr>
      <w:r w:rsidRPr="003862C4">
        <w:t>Keywords: Analysis, Citation, Citation Analysis, Data, Dynamics, Evaluation, Expediency, Gerontology, Index, Indicators, Interdisciplinary, Interdisciplinary Research, Qualitative, Research, Scientometric</w:t>
      </w:r>
    </w:p>
    <w:p w:rsidR="00CF3A97" w:rsidRPr="00217FB1" w:rsidRDefault="00CF3A97" w:rsidP="00CF3A97">
      <w:pPr>
        <w:pStyle w:val="1"/>
      </w:pPr>
      <w:r w:rsidRPr="00217FB1">
        <w:br w:type="page"/>
      </w:r>
      <w:bookmarkStart w:id="68" w:name="_Toc234322655"/>
      <w:bookmarkStart w:id="69" w:name="_Toc317160833"/>
      <w:r w:rsidRPr="00217FB1">
        <w:lastRenderedPageBreak/>
        <w:t xml:space="preserve">Title: </w:t>
      </w:r>
      <w:r w:rsidRPr="002509CF">
        <w:t>Fiziologicheskii Zhurnal</w:t>
      </w:r>
      <w:bookmarkEnd w:id="68"/>
      <w:bookmarkEnd w:id="69"/>
    </w:p>
    <w:p w:rsidR="00CF3A97" w:rsidRPr="00F82F1B" w:rsidRDefault="00CF3A97" w:rsidP="00B72EF9">
      <w:pPr>
        <w:pStyle w:val="12"/>
      </w:pPr>
      <w:r w:rsidRPr="00F82F1B">
        <w:t xml:space="preserve">Full Journal Title: </w:t>
      </w:r>
      <w:r w:rsidRPr="00A55B4C">
        <w:t>Fiziologicheskii Zhurnal</w:t>
      </w:r>
    </w:p>
    <w:p w:rsidR="00CF3A97" w:rsidRPr="00F82F1B" w:rsidRDefault="00CF3A97" w:rsidP="00B72EF9">
      <w:pPr>
        <w:pStyle w:val="12"/>
      </w:pPr>
      <w:r w:rsidRPr="00F82F1B">
        <w:t xml:space="preserve">ISO Abbreviated Title: </w:t>
      </w:r>
    </w:p>
    <w:p w:rsidR="00CF3A97" w:rsidRPr="00F82F1B" w:rsidRDefault="00CF3A97" w:rsidP="00B72EF9">
      <w:pPr>
        <w:pStyle w:val="12"/>
      </w:pPr>
      <w:r w:rsidRPr="00F82F1B">
        <w:t>JCR Abbreviated Title</w:t>
      </w:r>
      <w:r>
        <w:t>:</w:t>
      </w:r>
      <w:r w:rsidRPr="00F82F1B">
        <w:t xml:space="preserve"> </w:t>
      </w:r>
    </w:p>
    <w:p w:rsidR="00CF3A97" w:rsidRPr="00F82F1B" w:rsidRDefault="00CF3A97" w:rsidP="00B72EF9">
      <w:pPr>
        <w:pStyle w:val="12"/>
      </w:pPr>
      <w:r w:rsidRPr="00F82F1B">
        <w:t xml:space="preserve">ISSN: </w:t>
      </w:r>
      <w:r w:rsidRPr="002509CF">
        <w:t>0201-8489</w:t>
      </w:r>
    </w:p>
    <w:p w:rsidR="00CF3A97" w:rsidRPr="00F82F1B" w:rsidRDefault="00CF3A97" w:rsidP="00B72EF9">
      <w:pPr>
        <w:pStyle w:val="12"/>
      </w:pPr>
      <w:r w:rsidRPr="00F82F1B">
        <w:t xml:space="preserve">Issues/Year: </w:t>
      </w:r>
    </w:p>
    <w:p w:rsidR="00CF3A97" w:rsidRPr="00F82F1B" w:rsidRDefault="00FB5623" w:rsidP="00B72EF9">
      <w:pPr>
        <w:pStyle w:val="12"/>
      </w:pPr>
      <w:r>
        <w:t>Journal Country/Territory:</w:t>
      </w:r>
      <w:r w:rsidR="00CF3A97">
        <w:t xml:space="preserve"> </w:t>
      </w:r>
    </w:p>
    <w:p w:rsidR="00CF3A97" w:rsidRPr="00F82F1B" w:rsidRDefault="00CF3A97" w:rsidP="00B72EF9">
      <w:pPr>
        <w:pStyle w:val="12"/>
      </w:pPr>
      <w:r w:rsidRPr="00F82F1B">
        <w:t xml:space="preserve">Language: </w:t>
      </w:r>
    </w:p>
    <w:p w:rsidR="00CF3A97" w:rsidRPr="00F82F1B" w:rsidRDefault="00CF3A97" w:rsidP="00B72EF9">
      <w:pPr>
        <w:pStyle w:val="12"/>
      </w:pPr>
      <w:r w:rsidRPr="00F82F1B">
        <w:t xml:space="preserve">Publisher: </w:t>
      </w:r>
    </w:p>
    <w:p w:rsidR="00CF3A97" w:rsidRPr="00F82F1B" w:rsidRDefault="00CF3A97" w:rsidP="00B72EF9">
      <w:pPr>
        <w:pStyle w:val="12"/>
      </w:pPr>
      <w:r w:rsidRPr="00F82F1B">
        <w:t xml:space="preserve">Publisher Address: </w:t>
      </w:r>
    </w:p>
    <w:p w:rsidR="00CF3A97" w:rsidRPr="00F82F1B" w:rsidRDefault="00CF3A97" w:rsidP="00B72EF9">
      <w:pPr>
        <w:pStyle w:val="12"/>
      </w:pPr>
      <w:r w:rsidRPr="00F82F1B">
        <w:t>Subject Categories:</w:t>
      </w:r>
    </w:p>
    <w:p w:rsidR="00CF3A97" w:rsidRPr="00F82F1B" w:rsidRDefault="00CF3A97" w:rsidP="00B72EF9">
      <w:pPr>
        <w:pStyle w:val="12"/>
      </w:pPr>
      <w:r w:rsidRPr="00F82F1B">
        <w:t>: Impact Factor</w:t>
      </w:r>
    </w:p>
    <w:p w:rsidR="00CF3A97" w:rsidRPr="008B2BB0" w:rsidRDefault="00CF3A97" w:rsidP="00CF3A97">
      <w:pPr>
        <w:pStyle w:val="a0"/>
      </w:pPr>
      <w:r w:rsidRPr="008B2BB0">
        <w:t xml:space="preserve">? Burchinsky, S.G. (1988), Scientometrical analysis of modern trends of the aging biology development. </w:t>
      </w:r>
      <w:r w:rsidRPr="00CE7517">
        <w:rPr>
          <w:i/>
          <w:iCs/>
        </w:rPr>
        <w:t>Fiziologicheskii Zhurnal</w:t>
      </w:r>
      <w:r w:rsidRPr="008B2BB0">
        <w:t xml:space="preserve">, </w:t>
      </w:r>
      <w:r w:rsidRPr="00551655">
        <w:rPr>
          <w:b/>
          <w:bCs/>
        </w:rPr>
        <w:t>34</w:t>
      </w:r>
      <w:r w:rsidRPr="008B2BB0">
        <w:t xml:space="preserve"> (3), 93-100</w:t>
      </w:r>
      <w:r w:rsidRPr="008B2BB0">
        <w:rPr>
          <w:rFonts w:hint="eastAsia"/>
        </w:rPr>
        <w:t>.</w:t>
      </w:r>
    </w:p>
    <w:p w:rsidR="00CF3A97" w:rsidRPr="00134F36" w:rsidRDefault="00CF3A97" w:rsidP="00CF3A97">
      <w:pPr>
        <w:pStyle w:val="a0"/>
      </w:pPr>
      <w:r w:rsidRPr="00134F36">
        <w:t>Keywords: Aging</w:t>
      </w:r>
    </w:p>
    <w:p w:rsidR="00F17EF1" w:rsidRDefault="00F17EF1" w:rsidP="00F17EF1">
      <w:pPr>
        <w:pStyle w:val="a0"/>
        <w:rPr>
          <w:kern w:val="0"/>
        </w:rPr>
      </w:pPr>
      <w:r>
        <w:rPr>
          <w:rFonts w:hint="eastAsia"/>
          <w:kern w:val="0"/>
        </w:rPr>
        <w:t xml:space="preserve">? </w:t>
      </w:r>
      <w:r>
        <w:rPr>
          <w:kern w:val="0"/>
        </w:rPr>
        <w:t>Zadorozhny, A.G., Khorevin, V.I.</w:t>
      </w:r>
      <w:r w:rsidR="00F81221">
        <w:rPr>
          <w:kern w:val="0"/>
        </w:rPr>
        <w:t xml:space="preserve"> and </w:t>
      </w:r>
      <w:r>
        <w:rPr>
          <w:kern w:val="0"/>
        </w:rPr>
        <w:t>Kienko, V.M. (1992), Some aspects of analysis of scientific publications from Bogomoletz,</w:t>
      </w:r>
      <w:r>
        <w:rPr>
          <w:rFonts w:hint="eastAsia"/>
          <w:kern w:val="0"/>
        </w:rPr>
        <w:t xml:space="preserve"> </w:t>
      </w:r>
      <w:r>
        <w:rPr>
          <w:kern w:val="0"/>
        </w:rPr>
        <w:t xml:space="preserve">A.A institute of physiology Academy-of-Sciences-of-Ukraine. </w:t>
      </w:r>
      <w:r>
        <w:rPr>
          <w:i/>
          <w:iCs/>
          <w:kern w:val="0"/>
        </w:rPr>
        <w:t>Fiziologicheskii Zhurnal</w:t>
      </w:r>
      <w:r>
        <w:rPr>
          <w:kern w:val="0"/>
        </w:rPr>
        <w:t xml:space="preserve">, </w:t>
      </w:r>
      <w:r>
        <w:rPr>
          <w:b/>
          <w:bCs/>
          <w:kern w:val="0"/>
        </w:rPr>
        <w:t>38</w:t>
      </w:r>
      <w:r>
        <w:rPr>
          <w:kern w:val="0"/>
        </w:rPr>
        <w:t xml:space="preserve"> (4), 79-85.</w:t>
      </w:r>
    </w:p>
    <w:p w:rsidR="00F17EF1" w:rsidRDefault="00F17EF1" w:rsidP="00F17EF1">
      <w:pPr>
        <w:pStyle w:val="a0"/>
        <w:rPr>
          <w:kern w:val="0"/>
        </w:rPr>
      </w:pPr>
      <w:r>
        <w:rPr>
          <w:kern w:val="0"/>
        </w:rPr>
        <w:t>Abstract: Scientific publications from three sectors of the Institute have analyzed for the period since 1979 till 1988 inclusive. The analysis is based on data of annual reference books Science Citation Index (SCI)</w:t>
      </w:r>
      <w:r w:rsidR="00F81221">
        <w:rPr>
          <w:kern w:val="0"/>
        </w:rPr>
        <w:t xml:space="preserve"> and </w:t>
      </w:r>
      <w:r>
        <w:rPr>
          <w:kern w:val="0"/>
        </w:rPr>
        <w:t>lists of publications of each researcher of the Institute. It is shown that with almost equal numerical strength of researchers</w:t>
      </w:r>
      <w:r w:rsidR="00F81221">
        <w:rPr>
          <w:kern w:val="0"/>
        </w:rPr>
        <w:t xml:space="preserve"> and </w:t>
      </w:r>
      <w:r>
        <w:rPr>
          <w:kern w:val="0"/>
        </w:rPr>
        <w:t>similar number of publications the sector of molecular physiology contributed 43.6 % to cited works</w:t>
      </w:r>
      <w:r w:rsidR="00F81221">
        <w:rPr>
          <w:kern w:val="0"/>
        </w:rPr>
        <w:t xml:space="preserve"> and </w:t>
      </w:r>
      <w:r>
        <w:rPr>
          <w:kern w:val="0"/>
        </w:rPr>
        <w:t>48.2 % of these works are included into database of SCI. Such indices for the sectors of neurophysiology</w:t>
      </w:r>
      <w:r w:rsidR="00F81221">
        <w:rPr>
          <w:kern w:val="0"/>
        </w:rPr>
        <w:t xml:space="preserve"> and </w:t>
      </w:r>
      <w:r>
        <w:rPr>
          <w:kern w:val="0"/>
        </w:rPr>
        <w:t>physiology of visceral systems accounted for 33 %, 33.4 %</w:t>
      </w:r>
      <w:r w:rsidR="00F81221">
        <w:rPr>
          <w:kern w:val="0"/>
        </w:rPr>
        <w:t xml:space="preserve"> and </w:t>
      </w:r>
      <w:r>
        <w:rPr>
          <w:kern w:val="0"/>
        </w:rPr>
        <w:t>23.4, 18.4 % respectively. It is of interest that 475 % of references to the cited works of the molecular physiology sector were made by foreign scientists</w:t>
      </w:r>
      <w:r w:rsidR="00F81221">
        <w:rPr>
          <w:kern w:val="0"/>
        </w:rPr>
        <w:t xml:space="preserve"> and </w:t>
      </w:r>
      <w:r>
        <w:rPr>
          <w:kern w:val="0"/>
        </w:rPr>
        <w:t>self-citation constituted 17.4 %, while for the other sectors such indices had a reverse relationship. The problem on objectification of estimation of research is under discussion.</w:t>
      </w:r>
    </w:p>
    <w:p w:rsidR="00F17EF1" w:rsidRDefault="00F17EF1" w:rsidP="00F17EF1">
      <w:pPr>
        <w:pStyle w:val="a0"/>
        <w:rPr>
          <w:kern w:val="0"/>
        </w:rPr>
      </w:pPr>
      <w:r>
        <w:rPr>
          <w:kern w:val="0"/>
        </w:rPr>
        <w:t>Keywords: Analysis, Calcium, Citation, Mollusk Neurons, Publications, References, Research, Researchers, Sci, Science Citation Index, Self-Citation, Somatic Membrane</w:t>
      </w:r>
    </w:p>
    <w:p w:rsidR="00E00DFE" w:rsidRPr="001A3D2B" w:rsidRDefault="00E00DFE" w:rsidP="00E00DFE">
      <w:pPr>
        <w:pStyle w:val="1"/>
      </w:pPr>
      <w:r w:rsidRPr="001A3D2B">
        <w:br w:type="page"/>
      </w:r>
      <w:bookmarkStart w:id="70" w:name="_Toc317160834"/>
      <w:r w:rsidRPr="001A3D2B">
        <w:lastRenderedPageBreak/>
        <w:t xml:space="preserve">Title: </w:t>
      </w:r>
      <w:r w:rsidRPr="00422A92">
        <w:rPr>
          <w:iCs/>
        </w:rPr>
        <w:t>Fleischwirtschaft</w:t>
      </w:r>
      <w:bookmarkEnd w:id="70"/>
    </w:p>
    <w:p w:rsidR="00E00DFE" w:rsidRPr="001A3D2B" w:rsidRDefault="00E00DFE" w:rsidP="00B72EF9">
      <w:pPr>
        <w:pStyle w:val="12"/>
      </w:pPr>
      <w:r w:rsidRPr="001A3D2B">
        <w:t xml:space="preserve">Full Journal Title: </w:t>
      </w:r>
      <w:r w:rsidRPr="00422A92">
        <w:rPr>
          <w:iCs/>
        </w:rPr>
        <w:t>Fleischwirtschaft</w:t>
      </w:r>
    </w:p>
    <w:p w:rsidR="00E00DFE" w:rsidRPr="001A3D2B" w:rsidRDefault="00E00DFE" w:rsidP="00B72EF9">
      <w:pPr>
        <w:pStyle w:val="12"/>
      </w:pPr>
      <w:r w:rsidRPr="001A3D2B">
        <w:t xml:space="preserve">ISO Abbreviated Title: </w:t>
      </w:r>
    </w:p>
    <w:p w:rsidR="00E00DFE" w:rsidRPr="001A3D2B" w:rsidRDefault="00E00DFE" w:rsidP="00B72EF9">
      <w:pPr>
        <w:pStyle w:val="12"/>
      </w:pPr>
      <w:r w:rsidRPr="001A3D2B">
        <w:t xml:space="preserve">JCR Abbreviated Title: </w:t>
      </w:r>
    </w:p>
    <w:p w:rsidR="00E00DFE" w:rsidRPr="001A3D2B" w:rsidRDefault="00E00DFE" w:rsidP="00B72EF9">
      <w:pPr>
        <w:pStyle w:val="12"/>
      </w:pPr>
      <w:r w:rsidRPr="001A3D2B">
        <w:t xml:space="preserve">ISSN: </w:t>
      </w:r>
    </w:p>
    <w:p w:rsidR="00E00DFE" w:rsidRPr="001A3D2B" w:rsidRDefault="00E00DFE" w:rsidP="00B72EF9">
      <w:pPr>
        <w:pStyle w:val="12"/>
      </w:pPr>
      <w:r w:rsidRPr="001A3D2B">
        <w:t xml:space="preserve">Issues/Year: </w:t>
      </w:r>
    </w:p>
    <w:p w:rsidR="00E00DFE" w:rsidRPr="001A3D2B" w:rsidRDefault="00E00DFE" w:rsidP="00B72EF9">
      <w:pPr>
        <w:pStyle w:val="12"/>
      </w:pPr>
      <w:r w:rsidRPr="001A3D2B">
        <w:t xml:space="preserve">Journal Country/Territory: </w:t>
      </w:r>
    </w:p>
    <w:p w:rsidR="00E00DFE" w:rsidRPr="001A3D2B" w:rsidRDefault="00E00DFE" w:rsidP="00B72EF9">
      <w:pPr>
        <w:pStyle w:val="12"/>
      </w:pPr>
      <w:r w:rsidRPr="001A3D2B">
        <w:t xml:space="preserve">Language: </w:t>
      </w:r>
    </w:p>
    <w:p w:rsidR="00E00DFE" w:rsidRPr="001A3D2B" w:rsidRDefault="00E00DFE" w:rsidP="00B72EF9">
      <w:pPr>
        <w:pStyle w:val="12"/>
      </w:pPr>
      <w:r w:rsidRPr="001A3D2B">
        <w:t xml:space="preserve">Publisher: </w:t>
      </w:r>
    </w:p>
    <w:p w:rsidR="00E00DFE" w:rsidRPr="001A3D2B" w:rsidRDefault="00E00DFE" w:rsidP="00B72EF9">
      <w:pPr>
        <w:pStyle w:val="12"/>
      </w:pPr>
      <w:r w:rsidRPr="001A3D2B">
        <w:t xml:space="preserve">Publisher Address: </w:t>
      </w:r>
    </w:p>
    <w:p w:rsidR="00E00DFE" w:rsidRPr="001A3D2B" w:rsidRDefault="00E00DFE" w:rsidP="00B72EF9">
      <w:pPr>
        <w:pStyle w:val="12"/>
      </w:pPr>
      <w:r w:rsidRPr="001A3D2B">
        <w:t>Subject Categories:</w:t>
      </w:r>
    </w:p>
    <w:p w:rsidR="00E00DFE" w:rsidRPr="001A3D2B" w:rsidRDefault="00E00DFE" w:rsidP="00B72EF9">
      <w:pPr>
        <w:pStyle w:val="12"/>
      </w:pPr>
      <w:r w:rsidRPr="001A3D2B">
        <w:t>: Impact Factor</w:t>
      </w:r>
    </w:p>
    <w:p w:rsidR="00E00DFE" w:rsidRDefault="00E00DFE" w:rsidP="00E00DFE">
      <w:pPr>
        <w:pStyle w:val="a0"/>
        <w:rPr>
          <w:kern w:val="0"/>
        </w:rPr>
      </w:pPr>
      <w:r>
        <w:rPr>
          <w:rFonts w:hint="eastAsia"/>
          <w:kern w:val="0"/>
        </w:rPr>
        <w:t xml:space="preserve">? </w:t>
      </w:r>
      <w:r>
        <w:rPr>
          <w:kern w:val="0"/>
        </w:rPr>
        <w:t>Islam, R.</w:t>
      </w:r>
      <w:r w:rsidR="00F81221">
        <w:rPr>
          <w:kern w:val="0"/>
        </w:rPr>
        <w:t xml:space="preserve"> and </w:t>
      </w:r>
      <w:r>
        <w:rPr>
          <w:kern w:val="0"/>
        </w:rPr>
        <w:t xml:space="preserve">Jockel, J. (2005), Reponse of the first authors. </w:t>
      </w:r>
      <w:r w:rsidRPr="00422A92">
        <w:rPr>
          <w:i/>
          <w:iCs/>
          <w:kern w:val="0"/>
        </w:rPr>
        <w:t>Fleischwirtschaft</w:t>
      </w:r>
      <w:r>
        <w:rPr>
          <w:kern w:val="0"/>
        </w:rPr>
        <w:t xml:space="preserve">, </w:t>
      </w:r>
      <w:r>
        <w:rPr>
          <w:b/>
          <w:bCs/>
          <w:kern w:val="0"/>
        </w:rPr>
        <w:t>85</w:t>
      </w:r>
      <w:r>
        <w:rPr>
          <w:kern w:val="0"/>
        </w:rPr>
        <w:t xml:space="preserve"> (11), 120</w:t>
      </w:r>
      <w:r>
        <w:rPr>
          <w:rFonts w:hint="eastAsia"/>
          <w:kern w:val="0"/>
        </w:rPr>
        <w:t>.</w:t>
      </w:r>
    </w:p>
    <w:p w:rsidR="00B95188" w:rsidRPr="00A428C3" w:rsidRDefault="00CF3A97" w:rsidP="00CF3A97">
      <w:pPr>
        <w:pStyle w:val="1"/>
      </w:pPr>
      <w:r w:rsidRPr="00217FB1">
        <w:br w:type="page"/>
      </w:r>
      <w:bookmarkStart w:id="71" w:name="_Toc487190667"/>
      <w:bookmarkStart w:id="72" w:name="_Toc487882170"/>
      <w:bookmarkStart w:id="73" w:name="_Toc490687960"/>
      <w:bookmarkStart w:id="74" w:name="_Toc186647668"/>
      <w:bookmarkStart w:id="75" w:name="_Toc317160835"/>
      <w:r w:rsidR="00B95188" w:rsidRPr="00A428C3">
        <w:lastRenderedPageBreak/>
        <w:t>Title: Fluid Phase Equilibria</w:t>
      </w:r>
      <w:bookmarkEnd w:id="71"/>
      <w:bookmarkEnd w:id="72"/>
      <w:bookmarkEnd w:id="73"/>
      <w:bookmarkEnd w:id="74"/>
      <w:bookmarkEnd w:id="75"/>
    </w:p>
    <w:p w:rsidR="00B95188" w:rsidRPr="00A428C3" w:rsidRDefault="00B95188" w:rsidP="00B72EF9">
      <w:pPr>
        <w:pStyle w:val="12"/>
      </w:pPr>
      <w:r w:rsidRPr="00A428C3">
        <w:t xml:space="preserve">Full Journal Title: </w:t>
      </w:r>
      <w:hyperlink r:id="rId69" w:history="1">
        <w:r w:rsidRPr="00A428C3">
          <w:rPr>
            <w:rStyle w:val="a5"/>
          </w:rPr>
          <w:t>Fluid Phase Equilibria</w:t>
        </w:r>
      </w:hyperlink>
    </w:p>
    <w:p w:rsidR="00B95188" w:rsidRPr="005445A5" w:rsidRDefault="00B95188" w:rsidP="005445A5">
      <w:pPr>
        <w:pStyle w:val="12"/>
      </w:pPr>
      <w:r w:rsidRPr="005445A5">
        <w:t>ISO Abbreviated Title: Fluid Phase Equilib.</w:t>
      </w:r>
    </w:p>
    <w:p w:rsidR="00B95188" w:rsidRPr="005445A5" w:rsidRDefault="00B95188" w:rsidP="005445A5">
      <w:pPr>
        <w:pStyle w:val="12"/>
      </w:pPr>
      <w:r w:rsidRPr="005445A5">
        <w:t>JCR Abbreviated Title: Fluid Phase Equilibr</w:t>
      </w:r>
    </w:p>
    <w:p w:rsidR="00B95188" w:rsidRPr="005445A5" w:rsidRDefault="00B95188" w:rsidP="005445A5">
      <w:pPr>
        <w:pStyle w:val="12"/>
      </w:pPr>
      <w:r w:rsidRPr="005445A5">
        <w:t>ISSN: 0378-3812</w:t>
      </w:r>
    </w:p>
    <w:p w:rsidR="00B95188" w:rsidRPr="005445A5" w:rsidRDefault="00B95188" w:rsidP="005445A5">
      <w:pPr>
        <w:pStyle w:val="12"/>
      </w:pPr>
      <w:r w:rsidRPr="005445A5">
        <w:t>Issues/Year: 15</w:t>
      </w:r>
    </w:p>
    <w:p w:rsidR="00B95188" w:rsidRPr="005445A5" w:rsidRDefault="00B95188" w:rsidP="005445A5">
      <w:pPr>
        <w:pStyle w:val="12"/>
      </w:pPr>
      <w:r w:rsidRPr="005445A5">
        <w:t>Journal Country/Territory: Netherlands</w:t>
      </w:r>
    </w:p>
    <w:p w:rsidR="00B95188" w:rsidRPr="005445A5" w:rsidRDefault="00B95188" w:rsidP="005445A5">
      <w:pPr>
        <w:pStyle w:val="12"/>
      </w:pPr>
      <w:r w:rsidRPr="005445A5">
        <w:t>Language: Multi-Language</w:t>
      </w:r>
    </w:p>
    <w:p w:rsidR="00B95188" w:rsidRPr="005445A5" w:rsidRDefault="00B95188" w:rsidP="005445A5">
      <w:pPr>
        <w:pStyle w:val="12"/>
      </w:pPr>
      <w:r w:rsidRPr="005445A5">
        <w:t>Publisher: Elsevier Science BV</w:t>
      </w:r>
    </w:p>
    <w:p w:rsidR="00B95188" w:rsidRPr="005445A5" w:rsidRDefault="00B95188" w:rsidP="005445A5">
      <w:pPr>
        <w:pStyle w:val="12"/>
      </w:pPr>
      <w:r w:rsidRPr="005445A5">
        <w:t>Publisher Address: PO Box 211, 1000 AE Amsterdam, Netherlands</w:t>
      </w:r>
    </w:p>
    <w:p w:rsidR="00B95188" w:rsidRPr="005445A5" w:rsidRDefault="00B95188" w:rsidP="005445A5">
      <w:pPr>
        <w:pStyle w:val="12"/>
      </w:pPr>
      <w:r w:rsidRPr="005445A5">
        <w:t>Subject Categories:</w:t>
      </w:r>
    </w:p>
    <w:p w:rsidR="00B95188" w:rsidRPr="005445A5" w:rsidRDefault="00B95188" w:rsidP="005445A5">
      <w:pPr>
        <w:pStyle w:val="12"/>
      </w:pPr>
      <w:r w:rsidRPr="005445A5">
        <w:t xml:space="preserve">Thermodynamics: Impact Factor </w:t>
      </w:r>
    </w:p>
    <w:p w:rsidR="00B95188" w:rsidRPr="005445A5" w:rsidRDefault="00B95188" w:rsidP="005445A5">
      <w:pPr>
        <w:pStyle w:val="12"/>
      </w:pPr>
      <w:r w:rsidRPr="005445A5">
        <w:t>Chemistry, Physical: Impact Factor 0.869, 59/91 (2000)</w:t>
      </w:r>
    </w:p>
    <w:p w:rsidR="00B95188" w:rsidRPr="005445A5" w:rsidRDefault="00B95188" w:rsidP="005445A5">
      <w:pPr>
        <w:pStyle w:val="12"/>
      </w:pPr>
      <w:r w:rsidRPr="005445A5">
        <w:t>Engineering, Chemical: Impact Factor 0.929, 22/110 (1999); Impact Factor 0.869, 21/117 (2000)</w:t>
      </w:r>
    </w:p>
    <w:p w:rsidR="006C5334" w:rsidRDefault="006C5334" w:rsidP="006C5334">
      <w:pPr>
        <w:pStyle w:val="a0"/>
      </w:pPr>
      <w:r>
        <w:rPr>
          <w:rFonts w:hint="eastAsia"/>
        </w:rPr>
        <w:t>Notes: highly cited</w:t>
      </w:r>
    </w:p>
    <w:p w:rsidR="006C5334" w:rsidRPr="00A428C3" w:rsidRDefault="006C5334" w:rsidP="006C5334">
      <w:pPr>
        <w:pStyle w:val="a0"/>
      </w:pPr>
      <w:r>
        <w:rPr>
          <w:rFonts w:hint="eastAsia"/>
        </w:rPr>
        <w:t xml:space="preserve">? </w:t>
      </w:r>
      <w:r>
        <w:t>Huron, M</w:t>
      </w:r>
      <w:r>
        <w:rPr>
          <w:rFonts w:hint="eastAsia"/>
        </w:rPr>
        <w:t>.</w:t>
      </w:r>
      <w:r>
        <w:t>J</w:t>
      </w:r>
      <w:r>
        <w:rPr>
          <w:rFonts w:hint="eastAsia"/>
        </w:rPr>
        <w:t>. and</w:t>
      </w:r>
      <w:r>
        <w:t xml:space="preserve"> Vidal, J</w:t>
      </w:r>
      <w:r>
        <w:rPr>
          <w:rFonts w:hint="eastAsia"/>
        </w:rPr>
        <w:t>.</w:t>
      </w:r>
      <w:r>
        <w:t xml:space="preserve"> </w:t>
      </w:r>
      <w:r w:rsidRPr="00A428C3">
        <w:t>(19</w:t>
      </w:r>
      <w:r>
        <w:rPr>
          <w:rFonts w:hint="eastAsia"/>
        </w:rPr>
        <w:t>79</w:t>
      </w:r>
      <w:r w:rsidRPr="00A428C3">
        <w:t xml:space="preserve">), </w:t>
      </w:r>
      <w:r>
        <w:t>New mixing rules in simple equations of state for representing vapor-liquid-equilibria of strongly non-ideal mixtures</w:t>
      </w:r>
      <w:r w:rsidRPr="00A428C3">
        <w:t xml:space="preserve">. </w:t>
      </w:r>
      <w:r w:rsidRPr="00A428C3">
        <w:rPr>
          <w:i/>
        </w:rPr>
        <w:t>Fluid Phase Equilibria</w:t>
      </w:r>
      <w:r w:rsidRPr="00A428C3">
        <w:t xml:space="preserve">, </w:t>
      </w:r>
      <w:r>
        <w:rPr>
          <w:rFonts w:hint="eastAsia"/>
          <w:b/>
        </w:rPr>
        <w:t>3</w:t>
      </w:r>
      <w:r>
        <w:rPr>
          <w:rFonts w:hint="eastAsia"/>
        </w:rPr>
        <w:t xml:space="preserve"> (4),</w:t>
      </w:r>
      <w:r w:rsidRPr="00A428C3">
        <w:t xml:space="preserve"> </w:t>
      </w:r>
      <w:r>
        <w:t>255-271</w:t>
      </w:r>
      <w:r w:rsidRPr="00A428C3">
        <w:t>.</w:t>
      </w:r>
    </w:p>
    <w:p w:rsidR="006C5334" w:rsidRDefault="006C5334" w:rsidP="006C5334">
      <w:pPr>
        <w:pStyle w:val="a0"/>
      </w:pPr>
      <w:r w:rsidRPr="00A428C3">
        <w:t xml:space="preserve">Full Text: </w:t>
      </w:r>
      <w:hyperlink r:id="rId70" w:history="1">
        <w:r w:rsidRPr="006C5334">
          <w:rPr>
            <w:rStyle w:val="a5"/>
          </w:rPr>
          <w:t>1960-80\Flu Pha Equ3, 255.pdf</w:t>
        </w:r>
      </w:hyperlink>
    </w:p>
    <w:p w:rsidR="006C5334" w:rsidRPr="00A428C3" w:rsidRDefault="006C5334" w:rsidP="006C5334">
      <w:pPr>
        <w:pStyle w:val="a0"/>
      </w:pPr>
      <w:r>
        <w:rPr>
          <w:rFonts w:hint="eastAsia"/>
        </w:rPr>
        <w:t xml:space="preserve">? </w:t>
      </w:r>
      <w:r>
        <w:t>Robinson, D</w:t>
      </w:r>
      <w:r>
        <w:rPr>
          <w:rFonts w:hint="eastAsia"/>
        </w:rPr>
        <w:t>.</w:t>
      </w:r>
      <w:r>
        <w:t>B</w:t>
      </w:r>
      <w:r>
        <w:rPr>
          <w:rFonts w:hint="eastAsia"/>
        </w:rPr>
        <w:t>.,</w:t>
      </w:r>
      <w:r>
        <w:t xml:space="preserve"> Peng, D</w:t>
      </w:r>
      <w:r>
        <w:rPr>
          <w:rFonts w:hint="eastAsia"/>
        </w:rPr>
        <w:t>.</w:t>
      </w:r>
      <w:r>
        <w:t>Y</w:t>
      </w:r>
      <w:r>
        <w:rPr>
          <w:rFonts w:hint="eastAsia"/>
        </w:rPr>
        <w:t xml:space="preserve">. and </w:t>
      </w:r>
      <w:r>
        <w:t>Chung, S</w:t>
      </w:r>
      <w:r>
        <w:rPr>
          <w:rFonts w:hint="eastAsia"/>
        </w:rPr>
        <w:t>.</w:t>
      </w:r>
      <w:r>
        <w:t>Y</w:t>
      </w:r>
      <w:r>
        <w:rPr>
          <w:rFonts w:hint="eastAsia"/>
        </w:rPr>
        <w:t>.</w:t>
      </w:r>
      <w:r>
        <w:t>K</w:t>
      </w:r>
      <w:r>
        <w:rPr>
          <w:rFonts w:hint="eastAsia"/>
        </w:rPr>
        <w:t>.</w:t>
      </w:r>
      <w:r w:rsidRPr="00A428C3">
        <w:t xml:space="preserve"> (19</w:t>
      </w:r>
      <w:r>
        <w:rPr>
          <w:rFonts w:hint="eastAsia"/>
        </w:rPr>
        <w:t>85</w:t>
      </w:r>
      <w:r w:rsidRPr="00A428C3">
        <w:t xml:space="preserve">), </w:t>
      </w:r>
      <w:r>
        <w:t>The development of the Peng-Robinson equation and its application to phase-equilibrium in a system containing methanol</w:t>
      </w:r>
      <w:r w:rsidRPr="00A428C3">
        <w:t xml:space="preserve">. </w:t>
      </w:r>
      <w:r w:rsidRPr="00A428C3">
        <w:rPr>
          <w:i/>
        </w:rPr>
        <w:t>Fluid Phase Equilibria</w:t>
      </w:r>
      <w:r w:rsidRPr="00A428C3">
        <w:t xml:space="preserve">, </w:t>
      </w:r>
      <w:r>
        <w:rPr>
          <w:rFonts w:hint="eastAsia"/>
          <w:b/>
        </w:rPr>
        <w:t>24</w:t>
      </w:r>
      <w:r>
        <w:rPr>
          <w:rFonts w:hint="eastAsia"/>
        </w:rPr>
        <w:t xml:space="preserve"> (1-2),</w:t>
      </w:r>
      <w:r w:rsidRPr="00A428C3">
        <w:t xml:space="preserve"> </w:t>
      </w:r>
      <w:r>
        <w:t>25-41</w:t>
      </w:r>
      <w:r w:rsidRPr="00A428C3">
        <w:t>.</w:t>
      </w:r>
    </w:p>
    <w:p w:rsidR="006C5334" w:rsidRDefault="006C5334" w:rsidP="006C5334">
      <w:pPr>
        <w:pStyle w:val="a0"/>
      </w:pPr>
      <w:r w:rsidRPr="00A428C3">
        <w:t xml:space="preserve">Full Text: </w:t>
      </w:r>
      <w:hyperlink r:id="rId71" w:history="1">
        <w:r w:rsidRPr="005445A5">
          <w:rPr>
            <w:rStyle w:val="a5"/>
          </w:rPr>
          <w:t>1985\Flu Pha Equ24, 25.pdf</w:t>
        </w:r>
      </w:hyperlink>
    </w:p>
    <w:p w:rsidR="005445A5" w:rsidRDefault="005445A5" w:rsidP="005445A5">
      <w:pPr>
        <w:pStyle w:val="a0"/>
      </w:pPr>
      <w:r>
        <w:t>Abstract</w:t>
      </w:r>
      <w:r>
        <w:rPr>
          <w:rFonts w:hint="eastAsia"/>
        </w:rPr>
        <w:t xml:space="preserve">: </w:t>
      </w:r>
      <w:r>
        <w:t>The motivation for developing a cubic equation of state model having improved capabilities in the vicinity of the critical region</w:t>
      </w:r>
      <w:r w:rsidR="00F81221">
        <w:t xml:space="preserve"> and </w:t>
      </w:r>
      <w:r>
        <w:t>in predicting liquid densities is reviewed. The reliability of the resulting Peng-Robinson equation for predicting volumetric</w:t>
      </w:r>
      <w:r w:rsidR="00F81221">
        <w:t xml:space="preserve"> and </w:t>
      </w:r>
      <w:r>
        <w:t>phase behavior is illustrated for complex hydrocarbon systems.</w:t>
      </w:r>
    </w:p>
    <w:p w:rsidR="005445A5" w:rsidRDefault="005445A5" w:rsidP="005445A5">
      <w:pPr>
        <w:pStyle w:val="a0"/>
      </w:pPr>
      <w:r>
        <w:t>Modifications to improve the performance of the equation for two-</w:t>
      </w:r>
      <w:r w:rsidR="00F81221">
        <w:t xml:space="preserve"> and </w:t>
      </w:r>
      <w:r>
        <w:t>three-phase systems containing water are described. The reliability of the equation for system containing methanol is illustrated using new data on the methanol - carbon dioxide</w:t>
      </w:r>
      <w:r w:rsidR="00F81221">
        <w:t xml:space="preserve"> and </w:t>
      </w:r>
      <w:r>
        <w:t>methanol - propane systems. The agreement between experimental</w:t>
      </w:r>
      <w:r w:rsidR="00F81221">
        <w:t xml:space="preserve"> and </w:t>
      </w:r>
      <w:r>
        <w:t>calculated results is acceptable only over limited regions.</w:t>
      </w:r>
    </w:p>
    <w:p w:rsidR="005445A5" w:rsidRPr="00A428C3" w:rsidRDefault="005445A5" w:rsidP="005445A5">
      <w:pPr>
        <w:pStyle w:val="a0"/>
      </w:pPr>
      <w:r w:rsidRPr="00A428C3">
        <w:t>Donohue, M.D.</w:t>
      </w:r>
      <w:r w:rsidR="00F81221">
        <w:t xml:space="preserve"> and </w:t>
      </w:r>
      <w:r w:rsidRPr="00A428C3">
        <w:t xml:space="preserve">Aranovich, G.L. (1999), A new classification of isotherms for Gibbs adsorption of gases on solids. </w:t>
      </w:r>
      <w:r w:rsidRPr="00A428C3">
        <w:rPr>
          <w:i/>
        </w:rPr>
        <w:t>Fluid Phase Equilibria</w:t>
      </w:r>
      <w:r w:rsidRPr="00A428C3">
        <w:t xml:space="preserve">, </w:t>
      </w:r>
      <w:r w:rsidRPr="00A428C3">
        <w:rPr>
          <w:b/>
        </w:rPr>
        <w:t>160</w:t>
      </w:r>
      <w:r w:rsidRPr="00A428C3">
        <w:t>, 557-563.</w:t>
      </w:r>
    </w:p>
    <w:p w:rsidR="005445A5" w:rsidRPr="00A428C3" w:rsidRDefault="005445A5" w:rsidP="005445A5">
      <w:pPr>
        <w:pStyle w:val="a0"/>
      </w:pPr>
      <w:r w:rsidRPr="00A428C3">
        <w:t xml:space="preserve">Full Text: </w:t>
      </w:r>
      <w:hyperlink r:id="rId72" w:history="1">
        <w:r w:rsidRPr="00A428C3">
          <w:rPr>
            <w:rStyle w:val="a5"/>
          </w:rPr>
          <w:t>F\Flu Pha Equ160, 557.pdf</w:t>
        </w:r>
      </w:hyperlink>
    </w:p>
    <w:p w:rsidR="00B95188" w:rsidRPr="00A428C3" w:rsidRDefault="00B95188" w:rsidP="00B95188">
      <w:pPr>
        <w:pStyle w:val="a0"/>
      </w:pPr>
      <w:r w:rsidRPr="00A428C3">
        <w:lastRenderedPageBreak/>
        <w:t>Abstract: A systematic analysis of adsorption behavior has been performed. The results are presented here as a new classification of isotherms for fluid/solid equilibria.</w:t>
      </w:r>
    </w:p>
    <w:p w:rsidR="00B95188" w:rsidRPr="00A428C3" w:rsidRDefault="00B95188" w:rsidP="00B95188">
      <w:pPr>
        <w:pStyle w:val="1"/>
      </w:pPr>
      <w:r w:rsidRPr="00A428C3">
        <w:br w:type="page"/>
      </w:r>
      <w:bookmarkStart w:id="76" w:name="_Toc489709727"/>
      <w:bookmarkStart w:id="77" w:name="_Toc490687961"/>
      <w:bookmarkStart w:id="78" w:name="_Toc186647669"/>
      <w:bookmarkStart w:id="79" w:name="_Toc317160836"/>
      <w:r w:rsidRPr="00A428C3">
        <w:lastRenderedPageBreak/>
        <w:t>Title: Fluoride</w:t>
      </w:r>
      <w:bookmarkEnd w:id="76"/>
      <w:bookmarkEnd w:id="77"/>
      <w:bookmarkEnd w:id="78"/>
      <w:bookmarkEnd w:id="79"/>
    </w:p>
    <w:p w:rsidR="00B95188" w:rsidRPr="00A428C3" w:rsidRDefault="00B95188" w:rsidP="00B72EF9">
      <w:pPr>
        <w:pStyle w:val="12"/>
      </w:pPr>
      <w:r w:rsidRPr="00A428C3">
        <w:t>Full Journal Title: Fluoride</w:t>
      </w:r>
    </w:p>
    <w:p w:rsidR="00B95188" w:rsidRPr="00A428C3" w:rsidRDefault="00B95188" w:rsidP="00B72EF9">
      <w:pPr>
        <w:pStyle w:val="12"/>
      </w:pPr>
      <w:r w:rsidRPr="00A428C3">
        <w:t>ISO Abbreviated Title: Fluoride</w:t>
      </w:r>
    </w:p>
    <w:p w:rsidR="00B95188" w:rsidRPr="00A428C3" w:rsidRDefault="00B95188" w:rsidP="00B72EF9">
      <w:pPr>
        <w:pStyle w:val="12"/>
      </w:pPr>
      <w:r w:rsidRPr="00A428C3">
        <w:t>JCR Abbreviated Title: Fluoride</w:t>
      </w:r>
    </w:p>
    <w:p w:rsidR="00B95188" w:rsidRPr="00A428C3" w:rsidRDefault="00B95188" w:rsidP="00B72EF9">
      <w:pPr>
        <w:pStyle w:val="12"/>
      </w:pPr>
      <w:r w:rsidRPr="00A428C3">
        <w:t>ISSN: 0015-4725</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Int Soc Fluoride Research</w:t>
      </w:r>
    </w:p>
    <w:p w:rsidR="00B95188" w:rsidRPr="00A428C3" w:rsidRDefault="00B95188" w:rsidP="00B72EF9">
      <w:pPr>
        <w:pStyle w:val="12"/>
      </w:pPr>
      <w:r w:rsidRPr="00A428C3">
        <w:t xml:space="preserve">Publisher Address: </w:t>
      </w:r>
      <w:smartTag w:uri="urn:schemas-microsoft-com:office:smarttags" w:element="chmetcnv">
        <w:smartTagPr>
          <w:attr w:name="TCSC" w:val="0"/>
          <w:attr w:name="NumberType" w:val="1"/>
          <w:attr w:name="Negative" w:val="False"/>
          <w:attr w:name="HasSpace" w:val="False"/>
          <w:attr w:name="SourceValue" w:val="81"/>
          <w:attr w:name="UnitName" w:val="a"/>
        </w:smartTagPr>
        <w:r w:rsidRPr="00A428C3">
          <w:t>81A</w:t>
        </w:r>
      </w:smartTag>
      <w:r w:rsidRPr="00A428C3">
        <w:t xml:space="preserve"> </w:t>
      </w:r>
      <w:smartTag w:uri="urn:schemas-microsoft-com:office:smarttags" w:element="Street">
        <w:smartTag w:uri="urn:schemas-microsoft-com:office:smarttags" w:element="address">
          <w:r w:rsidRPr="00A428C3">
            <w:t>Landscape Rd</w:t>
          </w:r>
        </w:smartTag>
      </w:smartTag>
      <w:r w:rsidRPr="00A428C3">
        <w:t xml:space="preserve">, Mt Eden, </w:t>
      </w:r>
      <w:smartTag w:uri="urn:schemas-microsoft-com:office:smarttags" w:element="City">
        <w:r w:rsidRPr="00A428C3">
          <w:t>Auckland</w:t>
        </w:r>
      </w:smartTag>
      <w:r w:rsidRPr="00A428C3">
        <w:t xml:space="preserve"> 4, </w:t>
      </w:r>
      <w:smartTag w:uri="urn:schemas-microsoft-com:office:smarttags" w:element="place">
        <w:smartTag w:uri="urn:schemas-microsoft-com:office:smarttags" w:element="country-region">
          <w:r w:rsidRPr="00A428C3">
            <w:t>New Zealand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Biology, Miscellaneous:</w:t>
      </w:r>
      <w:r w:rsidRPr="00A428C3">
        <w:rPr>
          <w:color w:val="008000"/>
        </w:rPr>
        <w:t xml:space="preserve"> Impact Factor 0.469, </w:t>
      </w:r>
    </w:p>
    <w:p w:rsidR="00B95188" w:rsidRPr="00A428C3" w:rsidRDefault="00B95188" w:rsidP="00B72EF9">
      <w:pPr>
        <w:pStyle w:val="12"/>
      </w:pPr>
      <w:r w:rsidRPr="00A428C3">
        <w:t>Public, Environmental &amp; Occupational Health:</w:t>
      </w:r>
      <w:r w:rsidRPr="00A428C3">
        <w:rPr>
          <w:color w:val="008000"/>
        </w:rPr>
        <w:t xml:space="preserve"> Impact Factor 0.469, 71/85</w:t>
      </w:r>
    </w:p>
    <w:p w:rsidR="00B95188" w:rsidRPr="00A428C3" w:rsidRDefault="00B95188" w:rsidP="00B95188">
      <w:pPr>
        <w:pStyle w:val="a0"/>
      </w:pPr>
      <w:r w:rsidRPr="00A428C3">
        <w:t>? Teotia, S.P.S.</w:t>
      </w:r>
      <w:r w:rsidR="00F81221">
        <w:t xml:space="preserve"> and </w:t>
      </w:r>
      <w:r w:rsidRPr="00A428C3">
        <w:t>Teotia, M. (1994), Dental-caries: A disorder of high fluoride</w:t>
      </w:r>
      <w:r w:rsidR="00F81221">
        <w:t xml:space="preserve"> and </w:t>
      </w:r>
      <w:r w:rsidRPr="00A428C3">
        <w:t xml:space="preserve">low dietary calcium interactions-30 years of personal research. </w:t>
      </w:r>
      <w:r w:rsidRPr="00A428C3">
        <w:rPr>
          <w:i/>
        </w:rPr>
        <w:t>Fluoride</w:t>
      </w:r>
      <w:r w:rsidRPr="00A428C3">
        <w:t xml:space="preserve">, </w:t>
      </w:r>
      <w:r w:rsidRPr="00A428C3">
        <w:rPr>
          <w:b/>
        </w:rPr>
        <w:t>27</w:t>
      </w:r>
      <w:r w:rsidRPr="00A428C3">
        <w:t xml:space="preserve"> (2), 59-66.</w:t>
      </w:r>
    </w:p>
    <w:p w:rsidR="00B95188" w:rsidRPr="00A428C3" w:rsidRDefault="00B95188" w:rsidP="00B95188">
      <w:pPr>
        <w:pStyle w:val="a0"/>
      </w:pPr>
      <w:r w:rsidRPr="00A428C3">
        <w:t>Abstract: This comprehensive epidemiological study-performed during the period 1963-1993 on 0.4003 million children residing in non-endemic (F-less-than-or-equal-to 1.0 ppm)</w:t>
      </w:r>
      <w:r w:rsidR="00F81221">
        <w:t xml:space="preserve"> and </w:t>
      </w:r>
      <w:r w:rsidRPr="00A428C3">
        <w:t>endemic (F-&gt; 1.0 ppm) fluorosis villages of India-was designed to investigate the essentiality or otherwise of fluoride</w:t>
      </w:r>
      <w:r w:rsidR="00F81221">
        <w:t xml:space="preserve"> and </w:t>
      </w:r>
      <w:r w:rsidRPr="00A428C3">
        <w:t>calcium nutrition in the prevention</w:t>
      </w:r>
      <w:r w:rsidR="00F81221">
        <w:t xml:space="preserve"> and </w:t>
      </w:r>
      <w:r w:rsidRPr="00A428C3">
        <w:t>control of dental caries. In non-endemic arras, of the children with adequate calcium nutrition, 7 percent showed dental fluorosis</w:t>
      </w:r>
      <w:r w:rsidR="00F81221">
        <w:t xml:space="preserve"> and </w:t>
      </w:r>
      <w:r w:rsidRPr="00A428C3">
        <w:t>2 percent had dental canes, while of children with inadequate calcium nutrition 14.2 percent showed dental fluorosis</w:t>
      </w:r>
      <w:r w:rsidR="00F81221">
        <w:t xml:space="preserve"> and </w:t>
      </w:r>
      <w:r w:rsidRPr="00A428C3">
        <w:t>31.4 percent had dental caries. In endemic areas, of the children with adequate calcium intakes, 59 percent had dental fluorosis</w:t>
      </w:r>
      <w:r w:rsidR="00F81221">
        <w:t xml:space="preserve"> and </w:t>
      </w:r>
      <w:r w:rsidRPr="00A428C3">
        <w:t>10 percent had dental canes, while in the calcium-inadequate group, 100 percent exhibited dental fluorosis</w:t>
      </w:r>
      <w:r w:rsidR="00F81221">
        <w:t xml:space="preserve"> and </w:t>
      </w:r>
      <w:r w:rsidRPr="00A428C3">
        <w:t>74 percent had dental caries. Our findings indicate that dental canes was caused by high fluoride</w:t>
      </w:r>
      <w:r w:rsidR="00F81221">
        <w:t xml:space="preserve"> and </w:t>
      </w:r>
      <w:r w:rsidRPr="00A428C3">
        <w:t>low dietary calcium intakes, separately</w:t>
      </w:r>
      <w:r w:rsidR="00F81221">
        <w:t xml:space="preserve"> and </w:t>
      </w:r>
      <w:r w:rsidRPr="00A428C3">
        <w:t>through their interactions. Dental canes was most severe</w:t>
      </w:r>
      <w:r w:rsidR="00F81221">
        <w:t xml:space="preserve"> and </w:t>
      </w:r>
      <w:r w:rsidRPr="00A428C3">
        <w:t>complex in calcium-deficient children exposed to high intakes of endemic fluoride in drinking water. The only practical</w:t>
      </w:r>
      <w:r w:rsidR="00F81221">
        <w:t xml:space="preserve"> and </w:t>
      </w:r>
      <w:r w:rsidRPr="00A428C3">
        <w:t>effective public health measure for the prevention</w:t>
      </w:r>
      <w:r w:rsidR="00F81221">
        <w:t xml:space="preserve"> and </w:t>
      </w:r>
      <w:r w:rsidRPr="00A428C3">
        <w:t>control of dental caries is the limitation of the fluoride content of drinking water to &lt; 0.5 ppm,</w:t>
      </w:r>
      <w:r w:rsidR="00F81221">
        <w:t xml:space="preserve"> and </w:t>
      </w:r>
      <w:r w:rsidRPr="00A428C3">
        <w:t xml:space="preserve">adequate calcium nutrition (dietary calcium &gt; </w:t>
      </w:r>
      <w:smartTag w:uri="urn:schemas-microsoft-com:office:smarttags" w:element="chmetcnv">
        <w:smartTagPr>
          <w:attr w:name="TCSC" w:val="0"/>
          <w:attr w:name="NumberType" w:val="1"/>
          <w:attr w:name="Negative" w:val="False"/>
          <w:attr w:name="HasSpace" w:val="True"/>
          <w:attr w:name="SourceValue" w:val="1"/>
          <w:attr w:name="UnitName" w:val="g"/>
        </w:smartTagPr>
        <w:r w:rsidRPr="00A428C3">
          <w:t>1 g</w:t>
        </w:r>
      </w:smartTag>
      <w:r w:rsidRPr="00A428C3">
        <w:t>/day). The World Health Organisation policy</w:t>
      </w:r>
      <w:r w:rsidR="00F81221">
        <w:t xml:space="preserve"> and </w:t>
      </w:r>
      <w:r w:rsidRPr="00A428C3">
        <w:t>recommendations on fluorides are not universally acceptable, especially for the environment of developing countries, with nutritional deficiencies, endemic fluorosis,</w:t>
      </w:r>
      <w:r w:rsidR="00F81221">
        <w:t xml:space="preserve"> and </w:t>
      </w:r>
      <w:r w:rsidRPr="00A428C3">
        <w:t xml:space="preserve">different caries prevalence trends. In the light of our scientific data, WHO recommendations require modifications to achieve dental </w:t>
      </w:r>
      <w:r w:rsidRPr="00A428C3">
        <w:lastRenderedPageBreak/>
        <w:t>health for all by the year AD 2000.</w:t>
      </w:r>
    </w:p>
    <w:p w:rsidR="00B95188" w:rsidRPr="00A428C3" w:rsidRDefault="00B95188" w:rsidP="00B95188">
      <w:pPr>
        <w:pStyle w:val="a0"/>
      </w:pPr>
      <w:r w:rsidRPr="00A428C3">
        <w:t>? Diesendorf, M., Colquhoun, J., Spittle, B.J., Everingham, D.N.</w:t>
      </w:r>
      <w:r w:rsidR="00F81221">
        <w:t xml:space="preserve"> and </w:t>
      </w:r>
      <w:r w:rsidRPr="00A428C3">
        <w:t>Clutterbuck, F.W. (1997), New evidence on fluoridation (Reprinted from the Australian</w:t>
      </w:r>
      <w:r w:rsidR="00F81221">
        <w:t xml:space="preserve"> and </w:t>
      </w:r>
      <w:r w:rsidRPr="00A428C3">
        <w:t xml:space="preserve">New Zealand Journal of Public Health, vol 21, 1997). </w:t>
      </w:r>
      <w:r w:rsidRPr="00A428C3">
        <w:rPr>
          <w:i/>
          <w:iCs/>
        </w:rPr>
        <w:t>Fluoride</w:t>
      </w:r>
      <w:r w:rsidRPr="00A428C3">
        <w:t xml:space="preserve">, </w:t>
      </w:r>
      <w:r w:rsidRPr="00A428C3">
        <w:rPr>
          <w:b/>
        </w:rPr>
        <w:t>30</w:t>
      </w:r>
      <w:r w:rsidRPr="00A428C3">
        <w:t xml:space="preserve"> (3), 179-185.</w:t>
      </w:r>
    </w:p>
    <w:p w:rsidR="00B95188" w:rsidRPr="00A428C3" w:rsidRDefault="00B95188" w:rsidP="00B95188">
      <w:pPr>
        <w:pStyle w:val="a0"/>
      </w:pPr>
      <w:r w:rsidRPr="00A428C3">
        <w:t>Abstract: A review of recent scientific literature reveals a consistent pattern of evidence - hip fractures, skeletal fluorosis, the effect of fluoride on bone structure, fluoride levels in bones</w:t>
      </w:r>
      <w:r w:rsidR="00F81221">
        <w:t xml:space="preserve"> and </w:t>
      </w:r>
      <w:r w:rsidRPr="00A428C3">
        <w:t>osteosarcomas - pointing to the existence of causal mechanisms by which fluoride damages bones. In addition, there is evidence, accepted by some eminent dental researchers</w:t>
      </w:r>
      <w:r w:rsidR="00F81221">
        <w:t xml:space="preserve"> and </w:t>
      </w:r>
      <w:r w:rsidRPr="00A428C3">
        <w:t>at least one leading US proponent of fluoridation, that there is negligible benefit from ingesting fluoride,</w:t>
      </w:r>
      <w:r w:rsidR="00F81221">
        <w:t xml:space="preserve"> and </w:t>
      </w:r>
      <w:r w:rsidRPr="00A428C3">
        <w:t>that any (small) benefit from fluoridation comes from the action of fluoride at the surface of the teeth before fluoridated water is swallowed. Public health authorities in Australia</w:t>
      </w:r>
      <w:r w:rsidR="00F81221">
        <w:t xml:space="preserve"> and </w:t>
      </w:r>
      <w:r w:rsidRPr="00A428C3">
        <w:t>New Zealand have appeared reluctant to consider openly</w:t>
      </w:r>
      <w:r w:rsidR="00F81221">
        <w:t xml:space="preserve"> and </w:t>
      </w:r>
      <w:r w:rsidRPr="00A428C3">
        <w:t>frankly the implications of this</w:t>
      </w:r>
      <w:r w:rsidR="00F81221">
        <w:t xml:space="preserve"> and </w:t>
      </w:r>
      <w:r w:rsidRPr="00A428C3">
        <w:t>earlier scientific evidence unfavourable to the continuation of the fluoridation of drinking water supplies.</w:t>
      </w:r>
    </w:p>
    <w:p w:rsidR="00B95188" w:rsidRPr="00A428C3" w:rsidRDefault="00B95188" w:rsidP="00B95188">
      <w:pPr>
        <w:pStyle w:val="a0"/>
      </w:pPr>
      <w:r w:rsidRPr="00A428C3">
        <w:t>Keywords: Hip Fracture, Water Fluoridation, Sodium-Fluoride, Dental Benefit, Tooth-Decay, Bone, Caries, Women, Osteoporosis, Prevalence</w:t>
      </w:r>
    </w:p>
    <w:p w:rsidR="00B95188" w:rsidRPr="00A428C3" w:rsidRDefault="00B95188" w:rsidP="00B95188">
      <w:pPr>
        <w:pStyle w:val="1"/>
      </w:pPr>
      <w:r w:rsidRPr="00A428C3">
        <w:br w:type="page"/>
      </w:r>
      <w:bookmarkStart w:id="80" w:name="_Toc487190668"/>
      <w:bookmarkStart w:id="81" w:name="_Toc487882171"/>
      <w:bookmarkStart w:id="82" w:name="_Toc490687962"/>
      <w:bookmarkStart w:id="83" w:name="_Toc186647670"/>
      <w:bookmarkStart w:id="84" w:name="_Toc317160837"/>
      <w:r w:rsidRPr="00A428C3">
        <w:lastRenderedPageBreak/>
        <w:t>Title: Folia Biologica-Krakow</w:t>
      </w:r>
      <w:bookmarkEnd w:id="80"/>
      <w:bookmarkEnd w:id="81"/>
      <w:bookmarkEnd w:id="82"/>
      <w:bookmarkEnd w:id="83"/>
      <w:bookmarkEnd w:id="84"/>
    </w:p>
    <w:p w:rsidR="00B95188" w:rsidRPr="00A428C3" w:rsidRDefault="00B95188" w:rsidP="00B72EF9">
      <w:pPr>
        <w:pStyle w:val="12"/>
      </w:pPr>
      <w:r w:rsidRPr="00A428C3">
        <w:t>Full Journal Title: Folia Biologica</w:t>
      </w:r>
    </w:p>
    <w:p w:rsidR="00B95188" w:rsidRPr="00A428C3" w:rsidRDefault="00B95188" w:rsidP="00B72EF9">
      <w:pPr>
        <w:pStyle w:val="12"/>
      </w:pPr>
      <w:r w:rsidRPr="00A428C3">
        <w:t>ISO Abbreviated Title: Folia Biol.-Prague</w:t>
      </w:r>
    </w:p>
    <w:p w:rsidR="00B95188" w:rsidRPr="00A428C3" w:rsidRDefault="00B95188" w:rsidP="00B72EF9">
      <w:pPr>
        <w:pStyle w:val="12"/>
      </w:pPr>
      <w:r w:rsidRPr="00A428C3">
        <w:t>JCR Abbreviated Title: Folia Biol-Prague</w:t>
      </w:r>
    </w:p>
    <w:p w:rsidR="00B95188" w:rsidRPr="00A428C3" w:rsidRDefault="00B95188" w:rsidP="00B72EF9">
      <w:pPr>
        <w:pStyle w:val="12"/>
      </w:pPr>
      <w:r w:rsidRPr="00A428C3">
        <w:t>ISSN: 0015-5500</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PlaceName">
          <w:r w:rsidRPr="00A428C3">
            <w:t>Czech</w:t>
          </w:r>
        </w:smartTag>
        <w:r w:rsidRPr="00A428C3">
          <w:t xml:space="preserve"> </w:t>
        </w:r>
        <w:smartTag w:uri="urn:schemas-microsoft-com:office:smarttags" w:element="PlaceType">
          <w:r w:rsidRPr="00A428C3">
            <w:t>Republic</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Inst Molecular Genetics</w:t>
      </w:r>
    </w:p>
    <w:p w:rsidR="00B95188" w:rsidRPr="00A428C3" w:rsidRDefault="00B95188" w:rsidP="00B72EF9">
      <w:pPr>
        <w:pStyle w:val="12"/>
      </w:pPr>
      <w:r w:rsidRPr="00A428C3">
        <w:t xml:space="preserve">Publisher Address: Folia Biologica (Praha) Flemingovo N.2, </w:t>
      </w:r>
      <w:smartTag w:uri="urn:schemas-microsoft-com:office:smarttags" w:element="City">
        <w:r w:rsidRPr="00A428C3">
          <w:t>Prague</w:t>
        </w:r>
      </w:smartTag>
      <w:r w:rsidRPr="00A428C3">
        <w:t xml:space="preserve"> 6, </w:t>
      </w:r>
      <w:smartTag w:uri="urn:schemas-microsoft-com:office:smarttags" w:element="place">
        <w:smartTag w:uri="urn:schemas-microsoft-com:office:smarttags" w:element="PlaceName">
          <w:r w:rsidRPr="00A428C3">
            <w:t>Czech</w:t>
          </w:r>
        </w:smartTag>
        <w:r w:rsidRPr="00A428C3">
          <w:t xml:space="preserve"> </w:t>
        </w:r>
        <w:smartTag w:uri="urn:schemas-microsoft-com:office:smarttags" w:element="PlaceType">
          <w:r w:rsidRPr="00A428C3">
            <w:t>Republic</w:t>
          </w:r>
        </w:smartTag>
      </w:smartTag>
      <w:r w:rsidRPr="00A428C3">
        <w:t xml:space="preserve"> 166 37</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Biology: Impact Factor </w:t>
      </w:r>
    </w:p>
    <w:p w:rsidR="00B95188" w:rsidRPr="00A428C3" w:rsidRDefault="00B95188" w:rsidP="00B95188">
      <w:pPr>
        <w:pStyle w:val="a0"/>
      </w:pPr>
      <w:r w:rsidRPr="00A428C3">
        <w:t>? Glowacka, E.</w:t>
      </w:r>
      <w:r w:rsidR="00F81221">
        <w:t xml:space="preserve"> and </w:t>
      </w:r>
      <w:r w:rsidRPr="00A428C3">
        <w:t>Maryanska Nadachowska, A. (1998), Male reproductive system</w:t>
      </w:r>
      <w:r w:rsidR="00F81221">
        <w:t xml:space="preserve"> and </w:t>
      </w:r>
      <w:r w:rsidRPr="00A428C3">
        <w:t xml:space="preserve">karyotype of Mycopsylla fici (Tryon) (Homoptera, Psylloidea). </w:t>
      </w:r>
      <w:r w:rsidRPr="00A428C3">
        <w:rPr>
          <w:i/>
        </w:rPr>
        <w:t>Folia Biologica-Krakow</w:t>
      </w:r>
      <w:r w:rsidRPr="00A428C3">
        <w:t xml:space="preserve">, </w:t>
      </w:r>
      <w:r w:rsidRPr="00A428C3">
        <w:rPr>
          <w:b/>
        </w:rPr>
        <w:t>46</w:t>
      </w:r>
      <w:r w:rsidRPr="00A428C3">
        <w:t xml:space="preserve"> (1-2), 17-21.</w:t>
      </w:r>
    </w:p>
    <w:p w:rsidR="00B95188" w:rsidRPr="00A428C3" w:rsidRDefault="00B95188" w:rsidP="00B95188">
      <w:pPr>
        <w:pStyle w:val="a0"/>
      </w:pPr>
      <w:r w:rsidRPr="00A428C3">
        <w:t>Abstract: Anatomical features of the male reproductive system. Karyotype (2n = 24 + X0)</w:t>
      </w:r>
      <w:r w:rsidR="00F81221">
        <w:t xml:space="preserve"> and </w:t>
      </w:r>
      <w:r w:rsidRPr="00A428C3">
        <w:t>C bands in Mycopsylla fici were described for the first time.</w:t>
      </w:r>
    </w:p>
    <w:p w:rsidR="00B95188" w:rsidRPr="00A428C3" w:rsidRDefault="00B95188" w:rsidP="00B95188">
      <w:pPr>
        <w:pStyle w:val="1"/>
      </w:pPr>
      <w:r w:rsidRPr="00A428C3">
        <w:br w:type="page"/>
      </w:r>
      <w:bookmarkStart w:id="85" w:name="_Toc186647671"/>
      <w:bookmarkStart w:id="86" w:name="_Toc317160838"/>
      <w:r w:rsidRPr="00A428C3">
        <w:lastRenderedPageBreak/>
        <w:t xml:space="preserve">Title: </w:t>
      </w:r>
      <w:r w:rsidRPr="00A428C3">
        <w:rPr>
          <w:iCs/>
        </w:rPr>
        <w:t>Folia Entomologica Mexicana</w:t>
      </w:r>
      <w:bookmarkEnd w:id="85"/>
      <w:bookmarkEnd w:id="86"/>
    </w:p>
    <w:p w:rsidR="00B95188" w:rsidRPr="00A428C3" w:rsidRDefault="00B95188" w:rsidP="00B72EF9">
      <w:pPr>
        <w:pStyle w:val="12"/>
      </w:pPr>
      <w:r w:rsidRPr="00A428C3">
        <w:t>Full Journal Title: Folia Entomologica Mexicana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 /</w:t>
      </w:r>
    </w:p>
    <w:p w:rsidR="00B95188" w:rsidRPr="00A428C3" w:rsidRDefault="00B95188" w:rsidP="00B95188">
      <w:pPr>
        <w:pStyle w:val="a0"/>
      </w:pPr>
      <w:r w:rsidRPr="00A428C3">
        <w:t>? Galicia-Alcantara, M.A. (1990), Entomology in Latin America</w:t>
      </w:r>
      <w:r w:rsidR="009752FD">
        <w:rPr>
          <w:rFonts w:hint="eastAsia"/>
        </w:rPr>
        <w:t>:</w:t>
      </w:r>
      <w:r w:rsidRPr="00A428C3">
        <w:t xml:space="preserve"> </w:t>
      </w:r>
      <w:r w:rsidR="009752FD" w:rsidRPr="00A428C3">
        <w:t>A bibliometric e</w:t>
      </w:r>
      <w:r w:rsidRPr="00A428C3">
        <w:t xml:space="preserve">ssay. </w:t>
      </w:r>
      <w:r w:rsidRPr="00A428C3">
        <w:rPr>
          <w:i/>
          <w:iCs/>
        </w:rPr>
        <w:t>Folia Entomologica Mexicana</w:t>
      </w:r>
      <w:r w:rsidRPr="00A428C3">
        <w:t>, (80), 263-277.</w:t>
      </w:r>
    </w:p>
    <w:p w:rsidR="00B95188" w:rsidRPr="00A428C3" w:rsidRDefault="00B95188" w:rsidP="00B95188">
      <w:pPr>
        <w:pStyle w:val="a0"/>
      </w:pPr>
      <w:r w:rsidRPr="00A428C3">
        <w:t xml:space="preserve">Abstract: A bibliometric analysis of the entomological research in </w:t>
      </w:r>
      <w:smartTag w:uri="urn:schemas-microsoft-com:office:smarttags" w:element="place">
        <w:r w:rsidRPr="00A428C3">
          <w:t>Latin America</w:t>
        </w:r>
      </w:smartTag>
      <w:r w:rsidRPr="00A428C3">
        <w:t xml:space="preserve"> is made, through the production of published documents in the Latin American journals which are included in the data base named PERIODICA, during a five years period (1980-1984). The analysis includes countries, volume, institutions, disciplines treated, insect orders</w:t>
      </w:r>
      <w:r w:rsidR="00F81221">
        <w:t xml:space="preserve"> and </w:t>
      </w:r>
      <w:r w:rsidRPr="00A428C3">
        <w:t>the journals where such documents are published. Eleven countries published 1066 documents produced by 149 institutions in 148 journals treating 15 different subjects</w:t>
      </w:r>
      <w:r w:rsidR="00F81221">
        <w:t xml:space="preserve"> and </w:t>
      </w:r>
      <w:r w:rsidRPr="00A428C3">
        <w:t xml:space="preserve">21 insect orders. The contribution of </w:t>
      </w:r>
      <w:smartTag w:uri="urn:schemas-microsoft-com:office:smarttags" w:element="country-region">
        <w:r w:rsidRPr="00A428C3">
          <w:t>Brazil</w:t>
        </w:r>
      </w:smartTag>
      <w:r w:rsidRPr="00A428C3">
        <w:t xml:space="preserve">, </w:t>
      </w:r>
      <w:smartTag w:uri="urn:schemas-microsoft-com:office:smarttags" w:element="country-region">
        <w:r w:rsidRPr="00A428C3">
          <w:t>Mexico</w:t>
        </w:r>
      </w:smartTag>
      <w:r w:rsidRPr="00A428C3">
        <w:t xml:space="preserve">, </w:t>
      </w:r>
      <w:smartTag w:uri="urn:schemas-microsoft-com:office:smarttags" w:element="country-region">
        <w:r w:rsidRPr="00A428C3">
          <w:t>Argentina</w:t>
        </w:r>
      </w:smartTag>
      <w:r w:rsidRPr="00A428C3">
        <w:t>, Cuba</w:t>
      </w:r>
      <w:r w:rsidR="00F81221">
        <w:t xml:space="preserve"> and </w:t>
      </w:r>
      <w:r w:rsidRPr="00A428C3">
        <w:t>Chile (in decreasing order of importance) excessed 90% of the total.</w:t>
      </w:r>
    </w:p>
    <w:p w:rsidR="002479BF" w:rsidRPr="00A428C3" w:rsidRDefault="002479BF" w:rsidP="002479BF">
      <w:pPr>
        <w:pStyle w:val="1"/>
      </w:pPr>
      <w:r>
        <w:br w:type="page"/>
      </w:r>
      <w:bookmarkStart w:id="87" w:name="_Toc238862927"/>
      <w:bookmarkStart w:id="88" w:name="_Toc317160839"/>
      <w:r>
        <w:lastRenderedPageBreak/>
        <w:t xml:space="preserve">Title: </w:t>
      </w:r>
      <w:r w:rsidRPr="009B5AE9">
        <w:t>Folia Phoniatrica et Logopaedica</w:t>
      </w:r>
      <w:bookmarkEnd w:id="87"/>
      <w:bookmarkEnd w:id="88"/>
    </w:p>
    <w:p w:rsidR="002479BF" w:rsidRPr="00F82F1B" w:rsidRDefault="002479BF" w:rsidP="00B72EF9">
      <w:pPr>
        <w:pStyle w:val="12"/>
      </w:pPr>
      <w:r>
        <w:t xml:space="preserve">Full Journal Title: </w:t>
      </w:r>
      <w:hyperlink r:id="rId73" w:history="1">
        <w:r w:rsidRPr="00101934">
          <w:rPr>
            <w:rStyle w:val="a5"/>
            <w:iCs/>
          </w:rPr>
          <w:t>Folia Phoniatrica et Logopaedica</w:t>
        </w:r>
      </w:hyperlink>
    </w:p>
    <w:p w:rsidR="002479BF" w:rsidRPr="00F82F1B" w:rsidRDefault="002479BF" w:rsidP="00B72EF9">
      <w:pPr>
        <w:pStyle w:val="12"/>
      </w:pPr>
      <w:r w:rsidRPr="00F82F1B">
        <w:t xml:space="preserve">ISO Abbreviated Title: </w:t>
      </w:r>
    </w:p>
    <w:p w:rsidR="002479BF" w:rsidRPr="00F82F1B" w:rsidRDefault="002479BF" w:rsidP="00B72EF9">
      <w:pPr>
        <w:pStyle w:val="12"/>
      </w:pPr>
      <w:r w:rsidRPr="00F82F1B">
        <w:t>JCR Abbreviated Title</w:t>
      </w:r>
      <w:r>
        <w:t>:</w:t>
      </w:r>
      <w:r w:rsidRPr="00F82F1B">
        <w:t xml:space="preserve"> </w:t>
      </w:r>
    </w:p>
    <w:p w:rsidR="002479BF" w:rsidRPr="00F82F1B" w:rsidRDefault="002479BF" w:rsidP="00B72EF9">
      <w:pPr>
        <w:pStyle w:val="12"/>
      </w:pPr>
      <w:r w:rsidRPr="00F82F1B">
        <w:t xml:space="preserve">ISSN: </w:t>
      </w:r>
      <w:r w:rsidRPr="009B5AE9">
        <w:t>1021-7762</w:t>
      </w:r>
    </w:p>
    <w:p w:rsidR="002479BF" w:rsidRPr="00F82F1B" w:rsidRDefault="002479BF" w:rsidP="00B72EF9">
      <w:pPr>
        <w:pStyle w:val="12"/>
      </w:pPr>
      <w:r w:rsidRPr="00F82F1B">
        <w:t xml:space="preserve">Issues/Year: </w:t>
      </w:r>
    </w:p>
    <w:p w:rsidR="002479BF" w:rsidRPr="00F82F1B" w:rsidRDefault="00FB5623" w:rsidP="00B72EF9">
      <w:pPr>
        <w:pStyle w:val="12"/>
      </w:pPr>
      <w:r>
        <w:t>Journal Country/Territory:</w:t>
      </w:r>
      <w:r w:rsidR="002479BF">
        <w:t xml:space="preserve"> </w:t>
      </w:r>
    </w:p>
    <w:p w:rsidR="002479BF" w:rsidRPr="00F82F1B" w:rsidRDefault="002479BF" w:rsidP="00B72EF9">
      <w:pPr>
        <w:pStyle w:val="12"/>
      </w:pPr>
      <w:r w:rsidRPr="00F82F1B">
        <w:t xml:space="preserve">Language: </w:t>
      </w:r>
    </w:p>
    <w:p w:rsidR="002479BF" w:rsidRPr="00F82F1B" w:rsidRDefault="002479BF" w:rsidP="00B72EF9">
      <w:pPr>
        <w:pStyle w:val="12"/>
      </w:pPr>
      <w:r w:rsidRPr="00F82F1B">
        <w:t xml:space="preserve">Publisher: </w:t>
      </w:r>
    </w:p>
    <w:p w:rsidR="002479BF" w:rsidRPr="00F82F1B" w:rsidRDefault="002479BF" w:rsidP="00B72EF9">
      <w:pPr>
        <w:pStyle w:val="12"/>
      </w:pPr>
      <w:r w:rsidRPr="00F82F1B">
        <w:t xml:space="preserve">Publisher Address: </w:t>
      </w:r>
    </w:p>
    <w:p w:rsidR="002479BF" w:rsidRPr="00F82F1B" w:rsidRDefault="002479BF" w:rsidP="00B72EF9">
      <w:pPr>
        <w:pStyle w:val="12"/>
      </w:pPr>
      <w:r w:rsidRPr="00F82F1B">
        <w:t>Subject Categories:</w:t>
      </w:r>
    </w:p>
    <w:p w:rsidR="002479BF" w:rsidRPr="00F82F1B" w:rsidRDefault="002479BF" w:rsidP="00B72EF9">
      <w:pPr>
        <w:pStyle w:val="12"/>
      </w:pPr>
      <w:r w:rsidRPr="00F82F1B">
        <w:t>: Impact Factor</w:t>
      </w:r>
    </w:p>
    <w:p w:rsidR="002479BF" w:rsidRPr="003862C4" w:rsidRDefault="002479BF" w:rsidP="002479BF">
      <w:pPr>
        <w:pStyle w:val="a0"/>
      </w:pPr>
      <w:r w:rsidRPr="008B2BB0">
        <w:t>? Schutte, H.K.</w:t>
      </w:r>
      <w:r w:rsidR="00F81221">
        <w:t xml:space="preserve"> and </w:t>
      </w:r>
      <w:r w:rsidRPr="008B2BB0">
        <w:t xml:space="preserve">Švec, J.G. (2007), Reaction of </w:t>
      </w:r>
      <w:r w:rsidRPr="00CE7517">
        <w:rPr>
          <w:i/>
          <w:iCs/>
        </w:rPr>
        <w:t>Folia Phoniatrica et Logopaedica</w:t>
      </w:r>
      <w:r w:rsidRPr="008B2BB0">
        <w:t xml:space="preserve"> on the current trend of impact factor measures. </w:t>
      </w:r>
      <w:r w:rsidRPr="00CE7517">
        <w:rPr>
          <w:i/>
          <w:iCs/>
        </w:rPr>
        <w:t>Folia Phoniatrica et Logopaedica</w:t>
      </w:r>
      <w:r w:rsidRPr="008B2BB0">
        <w:t xml:space="preserve">, </w:t>
      </w:r>
      <w:r w:rsidRPr="00551655">
        <w:rPr>
          <w:b/>
          <w:bCs/>
        </w:rPr>
        <w:t>59</w:t>
      </w:r>
      <w:r w:rsidRPr="003862C4">
        <w:t>, 281-285.</w:t>
      </w:r>
    </w:p>
    <w:p w:rsidR="002479BF" w:rsidRPr="003862C4" w:rsidRDefault="002479BF" w:rsidP="002479BF">
      <w:pPr>
        <w:pStyle w:val="a0"/>
      </w:pPr>
      <w:r w:rsidRPr="003862C4">
        <w:rPr>
          <w:rFonts w:hint="eastAsia"/>
        </w:rPr>
        <w:t xml:space="preserve">Full Text: </w:t>
      </w:r>
      <w:hyperlink r:id="rId74" w:history="1">
        <w:r w:rsidRPr="00101934">
          <w:rPr>
            <w:rStyle w:val="a5"/>
          </w:rPr>
          <w:t>2007\Fol Pho Log59, 281.pdf</w:t>
        </w:r>
      </w:hyperlink>
    </w:p>
    <w:p w:rsidR="002479BF" w:rsidRPr="003862C4" w:rsidRDefault="002479BF" w:rsidP="002479BF">
      <w:pPr>
        <w:pStyle w:val="a0"/>
      </w:pPr>
      <w:r w:rsidRPr="003862C4">
        <w:t>Keywords: Impact, Impact Factor, Trend</w:t>
      </w:r>
    </w:p>
    <w:p w:rsidR="00B95188" w:rsidRPr="00A428C3" w:rsidRDefault="00B95188" w:rsidP="00B95188">
      <w:pPr>
        <w:pStyle w:val="1"/>
      </w:pPr>
      <w:r w:rsidRPr="00A428C3">
        <w:br w:type="page"/>
      </w:r>
      <w:bookmarkStart w:id="89" w:name="_Toc186647672"/>
      <w:bookmarkStart w:id="90" w:name="_Toc317160840"/>
      <w:r w:rsidRPr="00A428C3">
        <w:lastRenderedPageBreak/>
        <w:t>Title: The Foot</w:t>
      </w:r>
      <w:bookmarkEnd w:id="89"/>
      <w:bookmarkEnd w:id="90"/>
    </w:p>
    <w:p w:rsidR="00B95188" w:rsidRPr="00A428C3" w:rsidRDefault="00B95188" w:rsidP="00B72EF9">
      <w:pPr>
        <w:pStyle w:val="12"/>
      </w:pPr>
      <w:r w:rsidRPr="00A428C3">
        <w:t>Full Journal Title: The Foot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rPr>
          <w:rFonts w:eastAsia="新細明體"/>
          <w:szCs w:val="26"/>
        </w:rPr>
        <w:t>Menz, H.B.</w:t>
      </w:r>
      <w:r w:rsidRPr="00A428C3">
        <w:t xml:space="preserve"> (2001), The first ten years of The Foot: A retrospective analysis of publication patterns, 1991-2000. </w:t>
      </w:r>
      <w:r w:rsidRPr="00A428C3">
        <w:rPr>
          <w:i/>
          <w:iCs/>
        </w:rPr>
        <w:t xml:space="preserve">The </w:t>
      </w:r>
      <w:r w:rsidRPr="00A428C3">
        <w:rPr>
          <w:i/>
        </w:rPr>
        <w:t>Foot</w:t>
      </w:r>
      <w:r w:rsidRPr="00A428C3">
        <w:t xml:space="preserve">, </w:t>
      </w:r>
      <w:r w:rsidRPr="00A428C3">
        <w:rPr>
          <w:b/>
        </w:rPr>
        <w:t>11</w:t>
      </w:r>
      <w:r w:rsidRPr="00A428C3">
        <w:t>, 113-118.</w:t>
      </w:r>
    </w:p>
    <w:p w:rsidR="00B95188" w:rsidRPr="00A428C3" w:rsidRDefault="00B95188" w:rsidP="00B95188">
      <w:pPr>
        <w:pStyle w:val="a0"/>
      </w:pPr>
      <w:r w:rsidRPr="00A428C3">
        <w:t xml:space="preserve">Full Text: </w:t>
      </w:r>
      <w:hyperlink r:id="rId75" w:history="1">
        <w:r w:rsidRPr="00A428C3">
          <w:rPr>
            <w:rStyle w:val="a5"/>
          </w:rPr>
          <w:t>F\Foot11, 113.pdf</w:t>
        </w:r>
      </w:hyperlink>
    </w:p>
    <w:p w:rsidR="00B95188" w:rsidRPr="00A428C3" w:rsidRDefault="00B95188" w:rsidP="00B95188">
      <w:pPr>
        <w:pStyle w:val="a0"/>
      </w:pPr>
      <w:r w:rsidRPr="00A428C3">
        <w:t>Abstract: Background: The Foot commenced publication in 1991 to provide an international forum for clinical foot</w:t>
      </w:r>
      <w:r w:rsidR="00F81221">
        <w:t xml:space="preserve"> and </w:t>
      </w:r>
      <w:r w:rsidRPr="00A428C3">
        <w:t>ankle research. As the journal has just reached the end of its first decade, it is timely to look back</w:t>
      </w:r>
      <w:r w:rsidR="00F81221">
        <w:t xml:space="preserve"> and </w:t>
      </w:r>
      <w:r w:rsidRPr="00A428C3">
        <w:t>review publication patterns over this time.</w:t>
      </w:r>
    </w:p>
    <w:p w:rsidR="00B95188" w:rsidRPr="00A428C3" w:rsidRDefault="00B95188" w:rsidP="00B95188">
      <w:pPr>
        <w:pStyle w:val="a0"/>
      </w:pPr>
      <w:r w:rsidRPr="00A428C3">
        <w:t>Methods: A retrospective analysis of every paper published in The Foot between 1991</w:t>
      </w:r>
      <w:r w:rsidR="00F81221">
        <w:t xml:space="preserve"> and </w:t>
      </w:r>
      <w:r w:rsidRPr="00A428C3">
        <w:t>2000 was undertaken. Articles were evaluated to determine the article type (i.e.: original research, literature review, case report, etc), the topic area, the country of origin of the primary author</w:t>
      </w:r>
      <w:r w:rsidR="00F81221">
        <w:t xml:space="preserve"> and </w:t>
      </w:r>
      <w:r w:rsidRPr="00A428C3">
        <w:t>the professional background of the primary author.</w:t>
      </w:r>
    </w:p>
    <w:p w:rsidR="00B95188" w:rsidRPr="00A428C3" w:rsidRDefault="00B95188" w:rsidP="00B95188">
      <w:pPr>
        <w:pStyle w:val="a0"/>
      </w:pPr>
      <w:r w:rsidRPr="00A428C3">
        <w:t>Results: The majority of papers published have been original research (44%), followed by case reports (32%)</w:t>
      </w:r>
      <w:r w:rsidR="00F81221">
        <w:t xml:space="preserve"> and </w:t>
      </w:r>
      <w:r w:rsidRPr="00A428C3">
        <w:t xml:space="preserve">literature reviews (18%). The topic area of papers has been diverse, covering 23 different categories, with most papers pertaining to foot surgery (27%). Authors from 27 different countries have published in the journal, with most papers submitted by authors from the </w:t>
      </w:r>
      <w:smartTag w:uri="urn:schemas-microsoft-com:office:smarttags" w:element="place">
        <w:smartTag w:uri="urn:schemas-microsoft-com:office:smarttags" w:element="country-region">
          <w:r w:rsidRPr="00A428C3">
            <w:t>UK</w:t>
          </w:r>
        </w:smartTag>
      </w:smartTag>
      <w:r w:rsidRPr="00A428C3">
        <w:t xml:space="preserve"> (67%). The most frequent publishers in the journal were orthopaedic surgeons (63%), followed by podiatrists (25%). Between 1991</w:t>
      </w:r>
      <w:r w:rsidR="00F81221">
        <w:t xml:space="preserve"> and </w:t>
      </w:r>
      <w:r w:rsidRPr="00A428C3">
        <w:t>2000, there has been a steady increase in the number of papers published by podiatrists,</w:t>
      </w:r>
      <w:r w:rsidR="00F81221">
        <w:t xml:space="preserve"> and </w:t>
      </w:r>
      <w:r w:rsidRPr="00A428C3">
        <w:t xml:space="preserve">a small increase in the number of papers published by authors outside the </w:t>
      </w:r>
      <w:smartTag w:uri="urn:schemas-microsoft-com:office:smarttags" w:element="place">
        <w:smartTag w:uri="urn:schemas-microsoft-com:office:smarttags" w:element="country-region">
          <w:r w:rsidRPr="00A428C3">
            <w:t>UK</w:t>
          </w:r>
        </w:smartTag>
      </w:smartTag>
      <w:r w:rsidRPr="00A428C3">
        <w:t>.</w:t>
      </w:r>
    </w:p>
    <w:p w:rsidR="00B95188" w:rsidRPr="00A428C3" w:rsidRDefault="00B95188" w:rsidP="00B95188">
      <w:pPr>
        <w:pStyle w:val="a0"/>
        <w:rPr>
          <w:sz w:val="20"/>
        </w:rPr>
      </w:pPr>
      <w:r w:rsidRPr="00A428C3">
        <w:t>Conclusions: These results confirm the status of The Foot as a truly international, multidisciplinary forum for the publication of clinical foot</w:t>
      </w:r>
      <w:r w:rsidR="00F81221">
        <w:t xml:space="preserve"> and </w:t>
      </w:r>
      <w:r w:rsidRPr="00A428C3">
        <w:t>ankle research. ß 2001 Harcourt Publishers Ltd</w:t>
      </w:r>
    </w:p>
    <w:p w:rsidR="00B95188" w:rsidRPr="00A428C3" w:rsidRDefault="00B95188" w:rsidP="00B95188">
      <w:pPr>
        <w:pStyle w:val="1"/>
      </w:pPr>
      <w:r w:rsidRPr="00A428C3">
        <w:br w:type="page"/>
      </w:r>
      <w:bookmarkStart w:id="91" w:name="_Toc487192712"/>
      <w:bookmarkStart w:id="92" w:name="_Toc489709728"/>
      <w:bookmarkStart w:id="93" w:name="_Toc490687963"/>
      <w:bookmarkStart w:id="94" w:name="_Toc186647673"/>
      <w:bookmarkStart w:id="95" w:name="_Toc317160841"/>
      <w:r w:rsidRPr="00A428C3">
        <w:lastRenderedPageBreak/>
        <w:t xml:space="preserve">Title: </w:t>
      </w:r>
      <w:bookmarkEnd w:id="91"/>
      <w:bookmarkEnd w:id="92"/>
      <w:bookmarkEnd w:id="93"/>
      <w:r w:rsidRPr="00A428C3">
        <w:t>Food Additives</w:t>
      </w:r>
      <w:r w:rsidR="00F81221">
        <w:t xml:space="preserve"> and </w:t>
      </w:r>
      <w:r w:rsidRPr="00A428C3">
        <w:t>Contaminants</w:t>
      </w:r>
      <w:bookmarkEnd w:id="94"/>
      <w:bookmarkEnd w:id="95"/>
    </w:p>
    <w:p w:rsidR="00B95188" w:rsidRPr="00D17143" w:rsidRDefault="00B95188" w:rsidP="00D17143">
      <w:pPr>
        <w:pStyle w:val="12"/>
      </w:pPr>
      <w:r w:rsidRPr="00D17143">
        <w:t>Title: Food Additives</w:t>
      </w:r>
      <w:r w:rsidR="00F81221" w:rsidRPr="00D17143">
        <w:t xml:space="preserve"> and </w:t>
      </w:r>
      <w:r w:rsidRPr="00D17143">
        <w:t>Contaminants: Analysis, Surveillance, Evaluation, Control</w:t>
      </w:r>
    </w:p>
    <w:p w:rsidR="00B95188" w:rsidRPr="00D17143" w:rsidRDefault="00B95188" w:rsidP="00D17143">
      <w:pPr>
        <w:pStyle w:val="12"/>
      </w:pPr>
      <w:r w:rsidRPr="00D17143">
        <w:t>Full Journal Title: Food Additives</w:t>
      </w:r>
      <w:r w:rsidR="00F81221" w:rsidRPr="00D17143">
        <w:t xml:space="preserve"> and </w:t>
      </w:r>
      <w:r w:rsidRPr="00D17143">
        <w:t>Contaminants</w:t>
      </w:r>
    </w:p>
    <w:p w:rsidR="00B95188" w:rsidRPr="00D17143" w:rsidRDefault="00B95188" w:rsidP="00D17143">
      <w:pPr>
        <w:pStyle w:val="12"/>
      </w:pPr>
      <w:r w:rsidRPr="00D17143">
        <w:t>ISO Abbreviated Title: Food Addit. Contam.</w:t>
      </w:r>
    </w:p>
    <w:p w:rsidR="00B95188" w:rsidRPr="00D17143" w:rsidRDefault="00B95188" w:rsidP="00D17143">
      <w:pPr>
        <w:pStyle w:val="12"/>
      </w:pPr>
      <w:r w:rsidRPr="00D17143">
        <w:t>JCR Abbreviated Title: Food Addit Contam</w:t>
      </w:r>
    </w:p>
    <w:p w:rsidR="00B95188" w:rsidRPr="00D17143" w:rsidRDefault="00B95188" w:rsidP="00D17143">
      <w:pPr>
        <w:pStyle w:val="12"/>
      </w:pPr>
      <w:r w:rsidRPr="00D17143">
        <w:t>ISSN: 0265-203X</w:t>
      </w:r>
    </w:p>
    <w:p w:rsidR="00B95188" w:rsidRPr="00D17143" w:rsidRDefault="00B95188" w:rsidP="00D17143">
      <w:pPr>
        <w:pStyle w:val="12"/>
      </w:pPr>
      <w:r w:rsidRPr="00D17143">
        <w:t>Issues/Year: 12</w:t>
      </w:r>
    </w:p>
    <w:p w:rsidR="00B95188" w:rsidRPr="00D17143" w:rsidRDefault="00B95188" w:rsidP="00D17143">
      <w:pPr>
        <w:pStyle w:val="12"/>
      </w:pPr>
      <w:r w:rsidRPr="00D17143">
        <w:t>Journal Country/Territory: England</w:t>
      </w:r>
    </w:p>
    <w:p w:rsidR="00B95188" w:rsidRPr="00D17143" w:rsidRDefault="00B95188" w:rsidP="00D17143">
      <w:pPr>
        <w:pStyle w:val="12"/>
      </w:pPr>
      <w:r w:rsidRPr="00D17143">
        <w:t>Language: English</w:t>
      </w:r>
    </w:p>
    <w:p w:rsidR="00B95188" w:rsidRPr="00D17143" w:rsidRDefault="00B95188" w:rsidP="00D17143">
      <w:pPr>
        <w:pStyle w:val="12"/>
      </w:pPr>
      <w:r w:rsidRPr="00D17143">
        <w:t>Publisher: Taylor &amp; Francis Ltd</w:t>
      </w:r>
    </w:p>
    <w:p w:rsidR="00B95188" w:rsidRPr="00D17143" w:rsidRDefault="00B95188" w:rsidP="00D17143">
      <w:pPr>
        <w:pStyle w:val="12"/>
      </w:pPr>
      <w:r w:rsidRPr="00D17143">
        <w:t>Publisher Address: One Gunpowder Square, London EC</w:t>
      </w:r>
      <w:smartTag w:uri="urn:schemas-microsoft-com:office:smarttags" w:element="chmetcnv">
        <w:smartTagPr>
          <w:attr w:name="TCSC" w:val="0"/>
          <w:attr w:name="NumberType" w:val="1"/>
          <w:attr w:name="Negative" w:val="False"/>
          <w:attr w:name="HasSpace" w:val="False"/>
          <w:attr w:name="SourceValue" w:val="4"/>
          <w:attr w:name="UnitName" w:val="a"/>
        </w:smartTagPr>
        <w:r w:rsidRPr="00D17143">
          <w:t>4A</w:t>
        </w:r>
      </w:smartTag>
      <w:r w:rsidRPr="00D17143">
        <w:t xml:space="preserve"> 3DE, England</w:t>
      </w:r>
    </w:p>
    <w:p w:rsidR="00B95188" w:rsidRPr="00D17143" w:rsidRDefault="00B95188" w:rsidP="00D17143">
      <w:pPr>
        <w:pStyle w:val="12"/>
      </w:pPr>
      <w:r w:rsidRPr="00D17143">
        <w:t>Subject Categories:</w:t>
      </w:r>
    </w:p>
    <w:p w:rsidR="00B95188" w:rsidRPr="00D17143" w:rsidRDefault="00B95188" w:rsidP="00D17143">
      <w:pPr>
        <w:pStyle w:val="12"/>
      </w:pPr>
      <w:r w:rsidRPr="00D17143">
        <w:t>Chemistry, Applied: Impact Factor 1.368, 11/55 (2000)</w:t>
      </w:r>
    </w:p>
    <w:p w:rsidR="00B95188" w:rsidRPr="00D17143" w:rsidRDefault="00B95188" w:rsidP="00D17143">
      <w:pPr>
        <w:pStyle w:val="12"/>
      </w:pPr>
      <w:r w:rsidRPr="00D17143">
        <w:t>Food Science &amp; Technology: Impact Factor</w:t>
      </w:r>
    </w:p>
    <w:p w:rsidR="00B95188" w:rsidRPr="00D17143" w:rsidRDefault="00B95188" w:rsidP="00D17143">
      <w:pPr>
        <w:pStyle w:val="12"/>
      </w:pPr>
      <w:r w:rsidRPr="00D17143">
        <w:t>Toxicology: Impact Factor</w:t>
      </w:r>
    </w:p>
    <w:p w:rsidR="00B95188" w:rsidRPr="00A428C3" w:rsidRDefault="00B95188" w:rsidP="00B95188">
      <w:pPr>
        <w:pStyle w:val="a0"/>
      </w:pPr>
      <w:r w:rsidRPr="00A428C3">
        <w:t>? Omija, B., Mitema, E.S.</w:t>
      </w:r>
      <w:r w:rsidR="00F81221">
        <w:t xml:space="preserve"> and </w:t>
      </w:r>
      <w:r w:rsidRPr="00A428C3">
        <w:t xml:space="preserve">Maitho, T.E. (1994), Oxytetracycline residue levels in chicken eggs after oral administration of medicated drinking water to laying chickens. </w:t>
      </w:r>
      <w:r w:rsidRPr="00A428C3">
        <w:rPr>
          <w:i/>
        </w:rPr>
        <w:t>Food Additives</w:t>
      </w:r>
      <w:r w:rsidR="00F81221">
        <w:rPr>
          <w:i/>
        </w:rPr>
        <w:t xml:space="preserve"> and </w:t>
      </w:r>
      <w:r w:rsidRPr="00A428C3">
        <w:rPr>
          <w:i/>
        </w:rPr>
        <w:t>Contaminants</w:t>
      </w:r>
      <w:r w:rsidRPr="00A428C3">
        <w:t xml:space="preserve">, </w:t>
      </w:r>
      <w:r w:rsidRPr="00A428C3">
        <w:rPr>
          <w:b/>
        </w:rPr>
        <w:t>11</w:t>
      </w:r>
      <w:r w:rsidRPr="00A428C3">
        <w:t xml:space="preserve"> (6), 641-647.</w:t>
      </w:r>
    </w:p>
    <w:p w:rsidR="00B95188" w:rsidRPr="00A428C3" w:rsidRDefault="00B95188" w:rsidP="00B95188">
      <w:pPr>
        <w:pStyle w:val="a0"/>
      </w:pPr>
      <w:r w:rsidRPr="00A428C3">
        <w:t>Abstract: Twenty laying birds were divided into four groups (n = 5)</w:t>
      </w:r>
      <w:r w:rsidR="00F81221">
        <w:t xml:space="preserve"> and </w:t>
      </w:r>
      <w:r w:rsidRPr="00A428C3">
        <w:t>given drinking water containing 0, 400, 600,</w:t>
      </w:r>
      <w:r w:rsidR="00F81221">
        <w:t xml:space="preserve"> and </w:t>
      </w:r>
      <w:r w:rsidRPr="00A428C3">
        <w:t>800 mg/l of oxytetracycline respectively for 7 days. Eggs were collected continuously for 17 days after drug administration</w:t>
      </w:r>
      <w:r w:rsidR="00F81221">
        <w:t xml:space="preserve"> and </w:t>
      </w:r>
      <w:r w:rsidRPr="00A428C3">
        <w:t>stored at +4 degrees C. The oxytetracycline residues in yolk</w:t>
      </w:r>
      <w:r w:rsidR="00F81221">
        <w:t xml:space="preserve"> and </w:t>
      </w:r>
      <w:r w:rsidRPr="00A428C3">
        <w:t>albumen were analysed using a microbiological method with Bacillus cereus var. mycoides ATCC 11778 as the test organism. The mean maximum concentration of oxytetracycline was observed 2 days earlier in the albumen than in the yolk. The mean values in yolk</w:t>
      </w:r>
      <w:r w:rsidR="00F81221">
        <w:t xml:space="preserve"> and </w:t>
      </w:r>
      <w:r w:rsidRPr="00A428C3">
        <w:t>albumen were 0.526</w:t>
      </w:r>
      <w:r w:rsidR="00F81221">
        <w:t xml:space="preserve"> and </w:t>
      </w:r>
      <w:r w:rsidRPr="00A428C3">
        <w:t>0.280 mg/kg respectively. The depletion period was shorter for albumen than for yolk</w:t>
      </w:r>
      <w:r w:rsidR="00F81221">
        <w:t xml:space="preserve"> and </w:t>
      </w:r>
      <w:r w:rsidRPr="00A428C3">
        <w:t>oxytetracycline was detected in the yolk</w:t>
      </w:r>
      <w:r w:rsidR="00F81221">
        <w:t xml:space="preserve"> and </w:t>
      </w:r>
      <w:r w:rsidRPr="00A428C3">
        <w:t>albumen up to days 13</w:t>
      </w:r>
      <w:r w:rsidR="00F81221">
        <w:t xml:space="preserve"> and </w:t>
      </w:r>
      <w:r w:rsidRPr="00A428C3">
        <w:t>10 respectively. Withdrawal periods depended on the concentration of the antibiotic administered. Oxytetracycline residues reached a peak faster in albumen than in yolk, although the residues persisted for longer periods in the yolk.</w:t>
      </w:r>
    </w:p>
    <w:p w:rsidR="00B95188" w:rsidRPr="00A428C3" w:rsidRDefault="00B95188" w:rsidP="00B95188">
      <w:pPr>
        <w:pStyle w:val="a0"/>
      </w:pPr>
      <w:r w:rsidRPr="00A428C3">
        <w:t>? Martínez, O.B. Díaz, C., Borges, T.M., Díaz, E.</w:t>
      </w:r>
      <w:r w:rsidR="00F81221">
        <w:t xml:space="preserve"> and </w:t>
      </w:r>
      <w:r w:rsidRPr="00A428C3">
        <w:t xml:space="preserve">Pérez, J.P. (1998), Concentrations of fluoride in wines from the </w:t>
      </w:r>
      <w:smartTag w:uri="urn:schemas-microsoft-com:office:smarttags" w:element="place">
        <w:r w:rsidRPr="00A428C3">
          <w:t>Canary Islands</w:t>
        </w:r>
      </w:smartTag>
      <w:r w:rsidRPr="00A428C3">
        <w:t xml:space="preserve">. </w:t>
      </w:r>
      <w:r w:rsidRPr="00A428C3">
        <w:rPr>
          <w:i/>
        </w:rPr>
        <w:t>Food Additives</w:t>
      </w:r>
      <w:r w:rsidR="00F81221">
        <w:rPr>
          <w:i/>
        </w:rPr>
        <w:t xml:space="preserve"> and </w:t>
      </w:r>
      <w:r w:rsidRPr="00A428C3">
        <w:rPr>
          <w:i/>
        </w:rPr>
        <w:t>Contaminants</w:t>
      </w:r>
      <w:r w:rsidRPr="00A428C3">
        <w:t xml:space="preserve">, </w:t>
      </w:r>
      <w:r w:rsidRPr="00A428C3">
        <w:rPr>
          <w:b/>
        </w:rPr>
        <w:t>15</w:t>
      </w:r>
      <w:r w:rsidRPr="00A428C3">
        <w:t xml:space="preserve"> (8), 893-897.</w:t>
      </w:r>
    </w:p>
    <w:p w:rsidR="00B95188" w:rsidRPr="00A428C3" w:rsidRDefault="00B95188" w:rsidP="00B95188">
      <w:pPr>
        <w:pStyle w:val="a0"/>
      </w:pPr>
      <w:r w:rsidRPr="00A428C3">
        <w:t>Abstract: Potentiometry using an ion-selective electrode has widely been used for determining fluoride because of its simplicity</w:t>
      </w:r>
      <w:r w:rsidR="00F81221">
        <w:t xml:space="preserve"> and </w:t>
      </w:r>
      <w:r w:rsidRPr="00A428C3">
        <w:t>rapidity. The concentration of fluoride was determined (Gran</w:t>
      </w:r>
      <w:r w:rsidR="000352E7">
        <w:t>’</w:t>
      </w:r>
      <w:r w:rsidRPr="00A428C3">
        <w:t xml:space="preserve">s method) in 70 wines from the main wine-producing regions of the </w:t>
      </w:r>
      <w:smartTag w:uri="urn:schemas-microsoft-com:office:smarttags" w:element="place">
        <w:r w:rsidRPr="00A428C3">
          <w:t>Canary Islands</w:t>
        </w:r>
      </w:smartTag>
      <w:r w:rsidRPr="00A428C3">
        <w:t xml:space="preserve">. The mean concentration of fluoride in wines from a </w:t>
      </w:r>
      <w:r w:rsidRPr="00A428C3">
        <w:lastRenderedPageBreak/>
        <w:t>region with a high concentration of fluoride in drinking waters was significantly (p &lt; 0.05) higher than those mean concentrations obtained in the remaining wines. Non-important differences were found, Among the types of wine analysed. However, the fluoride concentrations of all the Canarian wines analysed here did not present a risk for the public health.</w:t>
      </w:r>
    </w:p>
    <w:p w:rsidR="00B95188" w:rsidRPr="00A428C3" w:rsidRDefault="00B95188" w:rsidP="00B95188">
      <w:pPr>
        <w:pStyle w:val="a0"/>
      </w:pPr>
      <w:r w:rsidRPr="00A428C3">
        <w:t>? Vaessen, H.A.</w:t>
      </w:r>
      <w:r w:rsidR="00F81221">
        <w:t xml:space="preserve"> and </w:t>
      </w:r>
      <w:r w:rsidRPr="00A428C3">
        <w:t>Schothorst, R.C. (1999), The oral nitrate</w:t>
      </w:r>
      <w:r w:rsidR="00F81221">
        <w:t xml:space="preserve"> and </w:t>
      </w:r>
      <w:r w:rsidRPr="00A428C3">
        <w:t xml:space="preserve">nitrite intake in The Netherlands: Evaluation of the results obtained by HPIC analysis of duplicate 24-hour diet samples collected in 1994. </w:t>
      </w:r>
      <w:r w:rsidRPr="00A428C3">
        <w:rPr>
          <w:i/>
        </w:rPr>
        <w:t>Food Additives</w:t>
      </w:r>
      <w:r w:rsidR="00F81221">
        <w:rPr>
          <w:i/>
        </w:rPr>
        <w:t xml:space="preserve"> and </w:t>
      </w:r>
      <w:r w:rsidRPr="00A428C3">
        <w:rPr>
          <w:i/>
        </w:rPr>
        <w:t>Contaminants</w:t>
      </w:r>
      <w:r w:rsidRPr="00A428C3">
        <w:t xml:space="preserve">, </w:t>
      </w:r>
      <w:r w:rsidRPr="00A428C3">
        <w:rPr>
          <w:b/>
        </w:rPr>
        <w:t>16</w:t>
      </w:r>
      <w:r w:rsidRPr="00A428C3">
        <w:t xml:space="preserve"> (5), 181-188.</w:t>
      </w:r>
    </w:p>
    <w:p w:rsidR="00B95188" w:rsidRPr="00A428C3" w:rsidRDefault="00B95188" w:rsidP="00B95188">
      <w:pPr>
        <w:pStyle w:val="a0"/>
      </w:pPr>
      <w:r w:rsidRPr="00A428C3">
        <w:t>Abstract: In spring</w:t>
      </w:r>
      <w:r w:rsidR="00F81221">
        <w:t xml:space="preserve"> and </w:t>
      </w:r>
      <w:r w:rsidRPr="00A428C3">
        <w:t>autumn of 1994 duplicates of 24-h diets were collected from 123 respondents. One of the goals of this study was to determine the amount of nitrite</w:t>
      </w:r>
      <w:r w:rsidR="00F81221">
        <w:t xml:space="preserve"> and </w:t>
      </w:r>
      <w:r w:rsidRPr="00A428C3">
        <w:t>nitrate in the duplicates of 24-h diets to establish the oral daily intake of these analytes. For this purpose an HPIC/UV method for the determination of nitrate</w:t>
      </w:r>
      <w:r w:rsidR="00F81221">
        <w:t xml:space="preserve"> and </w:t>
      </w:r>
      <w:r w:rsidRPr="00A428C3">
        <w:t>nitrite in duplicate diets was developed</w:t>
      </w:r>
      <w:r w:rsidR="00F81221">
        <w:t xml:space="preserve"> and </w:t>
      </w:r>
      <w:r w:rsidRPr="00A428C3">
        <w:t>validated. The sample preparation procedure was derived from the in-house method used for the determination of nitrate</w:t>
      </w:r>
      <w:r w:rsidR="00F81221">
        <w:t xml:space="preserve"> and </w:t>
      </w:r>
      <w:r w:rsidRPr="00A428C3">
        <w:t>nitrite in human blood plasma. The sample is diluted with water, deproteinized with Carrez reagent, followed by chromatographic clean-up on an SPE C18-column. Both the nitrate</w:t>
      </w:r>
      <w:r w:rsidR="00F81221">
        <w:t xml:space="preserve"> and </w:t>
      </w:r>
      <w:r w:rsidRPr="00A428C3">
        <w:t>the nitrite results are quantitative. The recovery for nitrite was on average 104% (n = 21, spiking levels: 0.84-95 mg/kg)</w:t>
      </w:r>
      <w:r w:rsidR="00F81221">
        <w:t xml:space="preserve"> and </w:t>
      </w:r>
      <w:r w:rsidRPr="00A428C3">
        <w:t>for nitrate on average 103% (N = 21, spiking levels: 1.8-404 mg/kg). Samples of duplicates of 24-h diets were analysed according to the method developed. The median intake of nitrite calculated from the samples collected in spring 1994 was 0.6 mg/person day (range &lt; 0.1-6.1 mg/person/day). For the samples collected in autumn 1994 these figures were &lt; 0.2 mg/person/day (range &lt; 0.1-16 mg/person/day). The mean intake of nitrate was 73 mg/person/day (range 7-322 mg/person/day) in spring 1994</w:t>
      </w:r>
      <w:r w:rsidR="00F81221">
        <w:t xml:space="preserve"> and </w:t>
      </w:r>
      <w:r w:rsidRPr="00A428C3">
        <w:t>87 mg/person/day (range 1-310 mg/person/day) in autumn 1994. The overall mean intake of nitrate in 1994 was 80 mg/person/day. The daily intake for nitrate was higher than that found in the duplicate diet study carried out in 1984/1985, when an average daily intake of 52 mg/person was measured. The intake of nitrite was also higher than found in the duplicate diets collected in 1984/1985. The findings of the study are discussed in the context of the ADI for nitrate</w:t>
      </w:r>
      <w:r w:rsidR="00F81221">
        <w:t xml:space="preserve"> and </w:t>
      </w:r>
      <w:r w:rsidRPr="00A428C3">
        <w:t>nitrite as well as the outcome of other recent European intake studies.</w:t>
      </w:r>
    </w:p>
    <w:p w:rsidR="00D17143" w:rsidRPr="00A428C3" w:rsidRDefault="00D17143" w:rsidP="00D17143">
      <w:pPr>
        <w:pStyle w:val="1"/>
      </w:pPr>
      <w:r w:rsidRPr="00A428C3">
        <w:br w:type="page"/>
      </w:r>
      <w:bookmarkStart w:id="96" w:name="_Toc317160842"/>
      <w:r w:rsidRPr="00A428C3">
        <w:lastRenderedPageBreak/>
        <w:t xml:space="preserve">Title: </w:t>
      </w:r>
      <w:r>
        <w:t>Food and Bioprocess Technology</w:t>
      </w:r>
      <w:bookmarkEnd w:id="96"/>
    </w:p>
    <w:p w:rsidR="00D17143" w:rsidRPr="00A428C3" w:rsidRDefault="00D17143" w:rsidP="00D17143">
      <w:pPr>
        <w:pStyle w:val="12"/>
      </w:pPr>
      <w:r w:rsidRPr="00A428C3">
        <w:t xml:space="preserve">Full Journal Title: </w:t>
      </w:r>
      <w:r>
        <w:t>Food and Bioprocess Technology</w:t>
      </w:r>
    </w:p>
    <w:p w:rsidR="00D17143" w:rsidRPr="00A428C3" w:rsidRDefault="00D17143" w:rsidP="00D17143">
      <w:pPr>
        <w:pStyle w:val="12"/>
      </w:pPr>
      <w:r w:rsidRPr="00A428C3">
        <w:t xml:space="preserve">ISO Abbreviated Title: </w:t>
      </w:r>
    </w:p>
    <w:p w:rsidR="00D17143" w:rsidRPr="00A428C3" w:rsidRDefault="00D17143" w:rsidP="00D17143">
      <w:pPr>
        <w:pStyle w:val="12"/>
      </w:pPr>
      <w:r w:rsidRPr="00A428C3">
        <w:t xml:space="preserve">JCR Abbreviated Title: </w:t>
      </w:r>
    </w:p>
    <w:p w:rsidR="00D17143" w:rsidRPr="00A428C3" w:rsidRDefault="00D17143" w:rsidP="00D17143">
      <w:pPr>
        <w:pStyle w:val="12"/>
      </w:pPr>
      <w:r w:rsidRPr="00A428C3">
        <w:t xml:space="preserve">ISSN: </w:t>
      </w:r>
    </w:p>
    <w:p w:rsidR="00D17143" w:rsidRPr="00A428C3" w:rsidRDefault="00D17143" w:rsidP="00D17143">
      <w:pPr>
        <w:pStyle w:val="12"/>
      </w:pPr>
      <w:r w:rsidRPr="00A428C3">
        <w:t xml:space="preserve">Issues/Year: </w:t>
      </w:r>
    </w:p>
    <w:p w:rsidR="00D17143" w:rsidRPr="00A428C3" w:rsidRDefault="00D17143" w:rsidP="00D17143">
      <w:pPr>
        <w:pStyle w:val="12"/>
      </w:pPr>
      <w:r w:rsidRPr="00A428C3">
        <w:t xml:space="preserve">Journal Country/Territory: </w:t>
      </w:r>
    </w:p>
    <w:p w:rsidR="00D17143" w:rsidRPr="00A428C3" w:rsidRDefault="00D17143" w:rsidP="00D17143">
      <w:pPr>
        <w:pStyle w:val="12"/>
      </w:pPr>
      <w:r w:rsidRPr="00A428C3">
        <w:t xml:space="preserve">Language: </w:t>
      </w:r>
    </w:p>
    <w:p w:rsidR="00D17143" w:rsidRPr="00A428C3" w:rsidRDefault="00D17143" w:rsidP="00D17143">
      <w:pPr>
        <w:pStyle w:val="12"/>
      </w:pPr>
      <w:r w:rsidRPr="00A428C3">
        <w:t xml:space="preserve">Publisher: </w:t>
      </w:r>
    </w:p>
    <w:p w:rsidR="00D17143" w:rsidRPr="00A428C3" w:rsidRDefault="00D17143" w:rsidP="00D17143">
      <w:pPr>
        <w:pStyle w:val="12"/>
      </w:pPr>
      <w:r w:rsidRPr="00A428C3">
        <w:t xml:space="preserve">Publisher Address: </w:t>
      </w:r>
    </w:p>
    <w:p w:rsidR="00D17143" w:rsidRPr="00A428C3" w:rsidRDefault="00D17143" w:rsidP="00D17143">
      <w:pPr>
        <w:pStyle w:val="12"/>
      </w:pPr>
      <w:r w:rsidRPr="00A428C3">
        <w:t>Subject Categories:</w:t>
      </w:r>
    </w:p>
    <w:p w:rsidR="00D17143" w:rsidRPr="00A428C3" w:rsidRDefault="00D17143" w:rsidP="00D17143">
      <w:pPr>
        <w:pStyle w:val="12"/>
      </w:pPr>
      <w:r w:rsidRPr="00A428C3">
        <w:t>: Impact Factor</w:t>
      </w:r>
    </w:p>
    <w:p w:rsidR="00D17143" w:rsidRDefault="00D17143" w:rsidP="00D17143">
      <w:pPr>
        <w:pStyle w:val="a0"/>
      </w:pPr>
      <w:r w:rsidRPr="00A428C3">
        <w:t xml:space="preserve">? </w:t>
      </w:r>
      <w:r>
        <w:t>Mussatto, S</w:t>
      </w:r>
      <w:r>
        <w:rPr>
          <w:rFonts w:hint="eastAsia"/>
        </w:rPr>
        <w:t>.</w:t>
      </w:r>
      <w:r>
        <w:t>I</w:t>
      </w:r>
      <w:r>
        <w:rPr>
          <w:rFonts w:hint="eastAsia"/>
        </w:rPr>
        <w:t>.,</w:t>
      </w:r>
      <w:r>
        <w:t xml:space="preserve"> Machado, E</w:t>
      </w:r>
      <w:r>
        <w:rPr>
          <w:rFonts w:hint="eastAsia"/>
        </w:rPr>
        <w:t>.</w:t>
      </w:r>
      <w:r>
        <w:t>M</w:t>
      </w:r>
      <w:r>
        <w:rPr>
          <w:rFonts w:hint="eastAsia"/>
        </w:rPr>
        <w:t>.</w:t>
      </w:r>
      <w:r>
        <w:t>S</w:t>
      </w:r>
      <w:r>
        <w:rPr>
          <w:rFonts w:hint="eastAsia"/>
        </w:rPr>
        <w:t>.,</w:t>
      </w:r>
      <w:r>
        <w:t xml:space="preserve"> Martins, S</w:t>
      </w:r>
      <w:r>
        <w:rPr>
          <w:rFonts w:hint="eastAsia"/>
        </w:rPr>
        <w:t>. and</w:t>
      </w:r>
      <w:r>
        <w:t xml:space="preserve"> Teixeira, J</w:t>
      </w:r>
      <w:r>
        <w:rPr>
          <w:rFonts w:hint="eastAsia"/>
        </w:rPr>
        <w:t>.</w:t>
      </w:r>
      <w:r>
        <w:t>A</w:t>
      </w:r>
      <w:r>
        <w:rPr>
          <w:rFonts w:hint="eastAsia"/>
        </w:rPr>
        <w:t>.</w:t>
      </w:r>
      <w:r w:rsidRPr="00A428C3">
        <w:t xml:space="preserve"> (</w:t>
      </w:r>
      <w:r>
        <w:rPr>
          <w:rFonts w:hint="eastAsia"/>
        </w:rPr>
        <w:t>2011</w:t>
      </w:r>
      <w:r w:rsidRPr="00A428C3">
        <w:t xml:space="preserve">), </w:t>
      </w:r>
      <w:r>
        <w:t>Production, composition, and application of coffee and its industrial residues</w:t>
      </w:r>
      <w:r w:rsidRPr="00A428C3">
        <w:t xml:space="preserve">. </w:t>
      </w:r>
      <w:r w:rsidRPr="00D17143">
        <w:rPr>
          <w:i/>
        </w:rPr>
        <w:t>Food and Bioprocess Technology</w:t>
      </w:r>
      <w:r w:rsidRPr="00A428C3">
        <w:t xml:space="preserve">, </w:t>
      </w:r>
      <w:r>
        <w:rPr>
          <w:rFonts w:hint="eastAsia"/>
          <w:b/>
        </w:rPr>
        <w:t>4</w:t>
      </w:r>
      <w:r w:rsidRPr="00A428C3">
        <w:t xml:space="preserve"> (</w:t>
      </w:r>
      <w:r>
        <w:rPr>
          <w:rFonts w:hint="eastAsia"/>
        </w:rPr>
        <w:t>5</w:t>
      </w:r>
      <w:r w:rsidRPr="00A428C3">
        <w:t xml:space="preserve">), </w:t>
      </w:r>
      <w:r>
        <w:t>661-672</w:t>
      </w:r>
      <w:r w:rsidRPr="00A428C3">
        <w:t>.</w:t>
      </w:r>
    </w:p>
    <w:p w:rsidR="00D17143" w:rsidRDefault="00D17143" w:rsidP="00D17143">
      <w:pPr>
        <w:pStyle w:val="a0"/>
      </w:pPr>
      <w:r>
        <w:rPr>
          <w:rFonts w:hint="eastAsia"/>
        </w:rPr>
        <w:t xml:space="preserve">Full Text: </w:t>
      </w:r>
      <w:hyperlink r:id="rId76" w:history="1">
        <w:r w:rsidRPr="00D17143">
          <w:rPr>
            <w:rStyle w:val="a5"/>
          </w:rPr>
          <w:t>2011\Foo Bio Tec4, 661.pdf</w:t>
        </w:r>
      </w:hyperlink>
    </w:p>
    <w:p w:rsidR="00D17143" w:rsidRDefault="00D17143" w:rsidP="00D17143">
      <w:pPr>
        <w:pStyle w:val="a0"/>
      </w:pPr>
      <w:r>
        <w:t xml:space="preserve">Abstract: Coffee is one of the most consumed beverages in the world and is the second largest traded commodity after petroleum. Due to the great demand of this product, large amounts of residues are generated in the coffee industry, which are toxic and represent serious environmental problems. Coffee silverskin and spent coffee grounds are the main coffee industry residues, obtained during the beans roasting, and the process to prepare </w:t>
      </w:r>
      <w:r w:rsidR="000352E7">
        <w:t>“</w:t>
      </w:r>
      <w:r>
        <w:t>instant coffee</w:t>
      </w:r>
      <w:r w:rsidR="000352E7">
        <w:t>”</w:t>
      </w:r>
      <w:r>
        <w:t>, respectively. Recently, some attempts have been made to use these residues for energy or value-added compounds production, as strategies to reduce their toxicity levels, while adding value to them. The present article provides an overview regarding coffee and its main industrial residues. In a first part, the composition of beans and their processing, as well as data about the coffee world production and exportation, are presented. In the sequence, the characteristics, chemical composition, and application of the main coffee industry residues are reviewed. Based on these data, it was concluded that coffee may be considered as one of the most valuable primary products in world trade, crucial to the economies and politics of many developing countries since its cultivation, processing, trading, transportation, and marketing provide employment for millions of people. As a consequence of this big market, the reuse of the main coffee industry residues is of large importance from environmental and economical viewpoints.</w:t>
      </w:r>
    </w:p>
    <w:p w:rsidR="00D17143" w:rsidRPr="00A428C3" w:rsidRDefault="00D17143" w:rsidP="00D17143">
      <w:pPr>
        <w:pStyle w:val="a0"/>
      </w:pPr>
      <w:r>
        <w:t>Keywords: Coffee, Silverskin, Spent Grounds, Cellulose, Hemicellulose, Brewers Spent Grain, Espresso Coffee, Roasted Coffee, Final Quality, Green Coffee, Enzymatic-Hydrolysis, Chlorogenic Acid, Arabica Coffee, Fermentation, Cellulose</w:t>
      </w:r>
    </w:p>
    <w:p w:rsidR="00B95188" w:rsidRPr="00A428C3" w:rsidRDefault="00B95188" w:rsidP="00B95188">
      <w:pPr>
        <w:pStyle w:val="1"/>
      </w:pPr>
      <w:r w:rsidRPr="00A428C3">
        <w:br w:type="page"/>
      </w:r>
      <w:bookmarkStart w:id="97" w:name="_Toc186647674"/>
      <w:bookmarkStart w:id="98" w:name="_Toc317160843"/>
      <w:r w:rsidRPr="00A428C3">
        <w:lastRenderedPageBreak/>
        <w:t>Title: Food</w:t>
      </w:r>
      <w:r w:rsidR="00F81221">
        <w:t xml:space="preserve"> and </w:t>
      </w:r>
      <w:r w:rsidRPr="00A428C3">
        <w:t>Bioproducts Processing</w:t>
      </w:r>
      <w:bookmarkEnd w:id="97"/>
      <w:bookmarkEnd w:id="98"/>
    </w:p>
    <w:p w:rsidR="00B95188" w:rsidRPr="00A428C3" w:rsidRDefault="00B95188" w:rsidP="00B72EF9">
      <w:pPr>
        <w:pStyle w:val="12"/>
      </w:pPr>
      <w:r w:rsidRPr="00A428C3">
        <w:t>Full Journal Title: Food</w:t>
      </w:r>
      <w:r w:rsidR="00F81221">
        <w:t xml:space="preserve"> and </w:t>
      </w:r>
      <w:r w:rsidRPr="00A428C3">
        <w:t>Bioproducts Processing</w:t>
      </w:r>
    </w:p>
    <w:p w:rsidR="00B95188" w:rsidRPr="00A428C3" w:rsidRDefault="00B95188" w:rsidP="00B72EF9">
      <w:pPr>
        <w:pStyle w:val="12"/>
      </w:pPr>
      <w:r w:rsidRPr="00A428C3">
        <w:t>ISO Abbreviated Title: Food Bioprod. Process.</w:t>
      </w:r>
    </w:p>
    <w:p w:rsidR="00B95188" w:rsidRPr="00A428C3" w:rsidRDefault="00B95188" w:rsidP="00B72EF9">
      <w:pPr>
        <w:pStyle w:val="12"/>
      </w:pPr>
      <w:r w:rsidRPr="00A428C3">
        <w:t>JCR Abbreviated Title: Food Bioprod Process</w:t>
      </w:r>
    </w:p>
    <w:p w:rsidR="00B95188" w:rsidRPr="00A428C3" w:rsidRDefault="00B95188" w:rsidP="00B72EF9">
      <w:pPr>
        <w:pStyle w:val="12"/>
      </w:pPr>
      <w:r w:rsidRPr="00A428C3">
        <w:t>ISSN: 0960-3085</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Inst Chemical Engineers</w:t>
      </w:r>
    </w:p>
    <w:p w:rsidR="00B95188" w:rsidRPr="00A428C3" w:rsidRDefault="00B95188" w:rsidP="00B72EF9">
      <w:pPr>
        <w:pStyle w:val="12"/>
      </w:pPr>
      <w:r w:rsidRPr="00A428C3">
        <w:t xml:space="preserve">Publisher Address: 165-189 Railway Terrace, </w:t>
      </w:r>
      <w:smartTag w:uri="urn:schemas-microsoft-com:office:smarttags" w:element="City">
        <w:r w:rsidRPr="00A428C3">
          <w:t>Davis</w:t>
        </w:r>
      </w:smartTag>
      <w:r w:rsidRPr="00A428C3">
        <w:t xml:space="preserve"> Bldg, </w:t>
      </w:r>
      <w:smartTag w:uri="urn:schemas-microsoft-com:office:smarttags" w:element="place">
        <w:smartTag w:uri="urn:schemas-microsoft-com:office:smarttags" w:element="City">
          <w:r w:rsidRPr="00A428C3">
            <w:t>Rugby</w:t>
          </w:r>
        </w:smartTag>
        <w:r w:rsidRPr="00A428C3">
          <w:t xml:space="preserve"> </w:t>
        </w:r>
        <w:smartTag w:uri="urn:schemas-microsoft-com:office:smarttags" w:element="PostalCode">
          <w:r w:rsidRPr="00A428C3">
            <w:t>CV21 3BR</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Biotechnology &amp; Applied Microbiology: Impact Factor 0.339, / (2000)</w:t>
      </w:r>
    </w:p>
    <w:p w:rsidR="00B95188" w:rsidRPr="00A428C3" w:rsidRDefault="00B95188" w:rsidP="00B72EF9">
      <w:pPr>
        <w:pStyle w:val="12"/>
      </w:pPr>
      <w:r w:rsidRPr="00A428C3">
        <w:t>Engineering, Chemical: Impact Factor 0.339, 76/117 (2000)</w:t>
      </w:r>
    </w:p>
    <w:p w:rsidR="00B95188" w:rsidRPr="00A428C3" w:rsidRDefault="00B95188" w:rsidP="00B72EF9">
      <w:pPr>
        <w:pStyle w:val="12"/>
      </w:pPr>
      <w:r w:rsidRPr="00A428C3">
        <w:t>Food Science &amp; Technology: Impact Factor 0.339, 69/95 (2000)</w:t>
      </w:r>
    </w:p>
    <w:p w:rsidR="00B95188" w:rsidRPr="00A428C3" w:rsidRDefault="00B95188" w:rsidP="00B95188">
      <w:pPr>
        <w:pStyle w:val="a0"/>
      </w:pPr>
      <w:r w:rsidRPr="00A428C3">
        <w:t>? Lee, V.K.C., Porter, J.F.</w:t>
      </w:r>
      <w:r w:rsidR="00F81221">
        <w:t xml:space="preserve"> and </w:t>
      </w:r>
      <w:r w:rsidRPr="00A428C3">
        <w:t xml:space="preserve">McKay, G. (2001), Modified design model for the adsorption of dye onto peat. </w:t>
      </w:r>
      <w:r w:rsidRPr="00A428C3">
        <w:rPr>
          <w:i/>
          <w:iCs/>
        </w:rPr>
        <w:t>Food</w:t>
      </w:r>
      <w:r w:rsidR="00F81221">
        <w:rPr>
          <w:i/>
          <w:iCs/>
        </w:rPr>
        <w:t xml:space="preserve"> and </w:t>
      </w:r>
      <w:r w:rsidRPr="00A428C3">
        <w:rPr>
          <w:i/>
          <w:iCs/>
        </w:rPr>
        <w:t>Bioproducts Processing</w:t>
      </w:r>
      <w:r w:rsidRPr="00A428C3">
        <w:t xml:space="preserve">, </w:t>
      </w:r>
      <w:r w:rsidRPr="00A428C3">
        <w:rPr>
          <w:b/>
        </w:rPr>
        <w:t>79</w:t>
      </w:r>
      <w:r w:rsidRPr="00A428C3">
        <w:t xml:space="preserve"> (C1), 21-26.</w:t>
      </w:r>
    </w:p>
    <w:p w:rsidR="00B95188" w:rsidRPr="00A428C3" w:rsidRDefault="00B95188" w:rsidP="00B95188">
      <w:pPr>
        <w:pStyle w:val="a0"/>
      </w:pPr>
      <w:r w:rsidRPr="00A428C3">
        <w:t>Full Text: Foo Bio Pro79, 21</w:t>
      </w:r>
    </w:p>
    <w:p w:rsidR="00B95188" w:rsidRPr="00A428C3" w:rsidRDefault="00B95188" w:rsidP="00B95188">
      <w:pPr>
        <w:pStyle w:val="a0"/>
        <w:rPr>
          <w:rFonts w:eastAsia="Arial Unicode MS"/>
        </w:rPr>
      </w:pPr>
      <w:r w:rsidRPr="00A428C3">
        <w:t>Abstract: For over 20 years, peat has been recognized as a potential biosorbent for the treatment of wastewaters. Several studies have been reported in the literature including its use in cleaning oil spills(1) the removal of heavy metals from wastewaters(2) the removal of herbicides(3), the treatment of slaughterhouse wastewaters, septic tank effluents</w:t>
      </w:r>
      <w:r w:rsidR="00F81221">
        <w:t xml:space="preserve"> and </w:t>
      </w:r>
      <w:r w:rsidRPr="00A428C3">
        <w:t>dairy wastes(4) The ability of peat to remove several dyes from aqueous effluent was reported some time ago(5). Further studies on single component adsorption of basic</w:t>
      </w:r>
      <w:r w:rsidR="00F81221">
        <w:t xml:space="preserve"> and </w:t>
      </w:r>
      <w:r w:rsidRPr="00A428C3">
        <w:t>acid dyes were carried out to study equilibrium isotherms(6) diffusion based mass transport processes for batch</w:t>
      </w:r>
      <w:r w:rsidR="00F81221">
        <w:t xml:space="preserve"> and </w:t>
      </w:r>
      <w:r w:rsidRPr="00A428C3">
        <w:t>fixed bed systems(7). Carbon has been used for acid dyes in fixed beds(8). However, in these previous studies, conventional simplified design methods-namely, bed depth service time (BDST)</w:t>
      </w:r>
      <w:r w:rsidR="00F81221">
        <w:t xml:space="preserve"> and </w:t>
      </w:r>
      <w:r w:rsidRPr="00A428C3">
        <w:t>empty bed residence time (EBRT) models-were applied to the experimental breakthrough curve data but failed to correlate these data due to the non-linearity of the BDST versus bed height data obtained. In the present paper new modifications have been developed based on an expression, N-t/N-0 = 1-exp(-a*sqrt(t)), where N-t, N-0, a, t represent the bed capacity at service time t, the saturated bed capacity found in isotherm experiments, a rate constant</w:t>
      </w:r>
      <w:r w:rsidR="00F81221">
        <w:t xml:space="preserve"> and </w:t>
      </w:r>
      <w:r w:rsidRPr="00A428C3">
        <w:t>the service time of the bed respectively. The expression correlates the residence time in the adsorption bed with the time dependent fraction degree of saturation of the bed. It enables modified BDST</w:t>
      </w:r>
      <w:r w:rsidR="00F81221">
        <w:t xml:space="preserve"> and </w:t>
      </w:r>
      <w:r w:rsidRPr="00A428C3">
        <w:t>EBRT models to be applied</w:t>
      </w:r>
      <w:r w:rsidR="00F81221">
        <w:t xml:space="preserve"> and </w:t>
      </w:r>
      <w:r w:rsidRPr="00A428C3">
        <w:t xml:space="preserve">correlate the experimental data very accurately. This model is particularly suited to predicting the </w:t>
      </w:r>
      <w:r w:rsidRPr="00A428C3">
        <w:lastRenderedPageBreak/>
        <w:t>performance of fixed bed adsorbers, when the system requires a long time to reach equilibrium or when several fixed bed adsorbers are used in series.</w:t>
      </w:r>
    </w:p>
    <w:p w:rsidR="00B95188" w:rsidRPr="00A428C3" w:rsidRDefault="00B95188" w:rsidP="00B95188">
      <w:pPr>
        <w:pStyle w:val="a0"/>
      </w:pPr>
      <w:r w:rsidRPr="00A428C3">
        <w:t>Keywords: Acid Dyes, Activated-Carbon, Adsorption, Basic Dye, Biosorbent, Breakthrough Curve, Capacity, Cleaning, Design, Diffusion, Dye, Dyes, Effluents, Equilibrium, Fixed Bed, Heavy Metals, Isotherm, Isotherms, Mass Transport, Metals, Model, Models, Oil, Paper, Peat, Performance, Predicting, Rate Constant, Residence Time, Saturation, Septic Tank, Simplified Modelling, Systems, Transport, Treatment</w:t>
      </w:r>
    </w:p>
    <w:p w:rsidR="00B95188" w:rsidRPr="00A428C3" w:rsidRDefault="00B95188" w:rsidP="00B95188">
      <w:pPr>
        <w:pStyle w:val="1"/>
      </w:pPr>
      <w:r w:rsidRPr="00A428C3">
        <w:br w:type="page"/>
      </w:r>
      <w:bookmarkStart w:id="99" w:name="_Toc487192713"/>
      <w:bookmarkStart w:id="100" w:name="_Toc489709729"/>
      <w:bookmarkStart w:id="101" w:name="_Toc490687964"/>
      <w:bookmarkStart w:id="102" w:name="_Toc186647675"/>
      <w:bookmarkStart w:id="103" w:name="_Toc317160844"/>
      <w:r w:rsidRPr="00A428C3">
        <w:lastRenderedPageBreak/>
        <w:t xml:space="preserve">Title: </w:t>
      </w:r>
      <w:bookmarkEnd w:id="99"/>
      <w:bookmarkEnd w:id="100"/>
      <w:bookmarkEnd w:id="101"/>
      <w:r w:rsidRPr="00A428C3">
        <w:t>Food</w:t>
      </w:r>
      <w:r w:rsidR="00F81221">
        <w:t xml:space="preserve"> and </w:t>
      </w:r>
      <w:r w:rsidRPr="00A428C3">
        <w:t>Chemical Toxicology</w:t>
      </w:r>
      <w:bookmarkEnd w:id="102"/>
      <w:bookmarkEnd w:id="103"/>
    </w:p>
    <w:p w:rsidR="00B95188" w:rsidRPr="00A428C3" w:rsidRDefault="00B95188" w:rsidP="00B72EF9">
      <w:pPr>
        <w:pStyle w:val="12"/>
      </w:pPr>
      <w:r w:rsidRPr="00A428C3">
        <w:t>Title: Food</w:t>
      </w:r>
      <w:r w:rsidR="00F81221">
        <w:t xml:space="preserve"> and </w:t>
      </w:r>
      <w:r w:rsidRPr="00A428C3">
        <w:t>Chemical Toxicology: an International Journal Published for the British Industrial Biological Research Association</w:t>
      </w:r>
    </w:p>
    <w:p w:rsidR="00B95188" w:rsidRPr="00A428C3" w:rsidRDefault="00B95188" w:rsidP="00B72EF9">
      <w:pPr>
        <w:pStyle w:val="12"/>
      </w:pPr>
      <w:r w:rsidRPr="00A428C3">
        <w:t xml:space="preserve">Full Journal Title: </w:t>
      </w:r>
      <w:hyperlink r:id="rId77" w:history="1">
        <w:r w:rsidRPr="00A428C3">
          <w:rPr>
            <w:rStyle w:val="a5"/>
          </w:rPr>
          <w:t>Food</w:t>
        </w:r>
        <w:r w:rsidR="00F81221">
          <w:rPr>
            <w:rStyle w:val="a5"/>
          </w:rPr>
          <w:t xml:space="preserve"> and </w:t>
        </w:r>
        <w:r w:rsidRPr="00A428C3">
          <w:rPr>
            <w:rStyle w:val="a5"/>
          </w:rPr>
          <w:t>Chemical Toxicology</w:t>
        </w:r>
      </w:hyperlink>
    </w:p>
    <w:p w:rsidR="00B95188" w:rsidRPr="00A428C3" w:rsidRDefault="00B95188" w:rsidP="00B72EF9">
      <w:pPr>
        <w:pStyle w:val="12"/>
      </w:pPr>
      <w:r w:rsidRPr="00A428C3">
        <w:t>ISO Abbreviated Title: Food Chem. Toxicol.</w:t>
      </w:r>
    </w:p>
    <w:p w:rsidR="00B95188" w:rsidRPr="00A428C3" w:rsidRDefault="00B95188" w:rsidP="00B72EF9">
      <w:pPr>
        <w:pStyle w:val="12"/>
      </w:pPr>
      <w:r w:rsidRPr="00A428C3">
        <w:t>JCR Abbreviated Title: Food Chem Toxicol</w:t>
      </w:r>
    </w:p>
    <w:p w:rsidR="00B95188" w:rsidRPr="00A428C3" w:rsidRDefault="00B95188" w:rsidP="00B72EF9">
      <w:pPr>
        <w:pStyle w:val="12"/>
      </w:pPr>
      <w:r w:rsidRPr="00A428C3">
        <w:t>ISSN: 0278-6915</w:t>
      </w:r>
    </w:p>
    <w:p w:rsidR="00B95188" w:rsidRPr="00A428C3" w:rsidRDefault="00B95188" w:rsidP="00B72EF9">
      <w:pPr>
        <w:pStyle w:val="12"/>
      </w:pPr>
      <w:r w:rsidRPr="00A428C3">
        <w:t>Issues/Year: 11</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Pergamon-Elsevier Science Ltd</w:t>
      </w:r>
    </w:p>
    <w:p w:rsidR="00B95188" w:rsidRPr="00A428C3" w:rsidRDefault="00B95188" w:rsidP="00B72EF9">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Food Science &amp; Technology: Impact Factor 1.598, 7/94 (2001)</w:t>
      </w:r>
    </w:p>
    <w:p w:rsidR="00B95188" w:rsidRPr="00A428C3" w:rsidRDefault="00B95188" w:rsidP="00B72EF9">
      <w:pPr>
        <w:pStyle w:val="12"/>
      </w:pPr>
      <w:r w:rsidRPr="00A428C3">
        <w:t>Toxicology: Impact Factor 1.598, 27/78 (2001)</w:t>
      </w:r>
    </w:p>
    <w:p w:rsidR="00B95188" w:rsidRPr="00A428C3" w:rsidRDefault="00B95188" w:rsidP="00B95188">
      <w:pPr>
        <w:pStyle w:val="a0"/>
      </w:pPr>
      <w:r w:rsidRPr="00A428C3">
        <w:t>Schlatter, J.</w:t>
      </w:r>
      <w:r w:rsidR="00F81221">
        <w:t xml:space="preserve"> and </w:t>
      </w:r>
      <w:r w:rsidRPr="00A428C3">
        <w:t xml:space="preserve">Lutz, W.K. (1990), The carcinogenic potential of ethyl carbamate (urethane): Risk assessment at human dietary exposure levels. </w:t>
      </w:r>
      <w:r w:rsidRPr="00A428C3">
        <w:rPr>
          <w:i/>
        </w:rPr>
        <w:t>Food</w:t>
      </w:r>
      <w:r w:rsidR="00F81221">
        <w:rPr>
          <w:i/>
        </w:rPr>
        <w:t xml:space="preserve"> and </w:t>
      </w:r>
      <w:r w:rsidRPr="00A428C3">
        <w:rPr>
          <w:i/>
        </w:rPr>
        <w:t>Chemical Toxicology</w:t>
      </w:r>
      <w:r w:rsidRPr="00A428C3">
        <w:t xml:space="preserve">, </w:t>
      </w:r>
      <w:r w:rsidRPr="00A428C3">
        <w:rPr>
          <w:b/>
        </w:rPr>
        <w:t>28</w:t>
      </w:r>
      <w:r w:rsidRPr="00A428C3">
        <w:t xml:space="preserve"> (3), 205-211.</w:t>
      </w:r>
    </w:p>
    <w:p w:rsidR="00B95188" w:rsidRPr="00A428C3" w:rsidRDefault="00B95188" w:rsidP="00B95188">
      <w:pPr>
        <w:pStyle w:val="a0"/>
      </w:pPr>
      <w:r w:rsidRPr="00A428C3">
        <w:t xml:space="preserve">Full Text: </w:t>
      </w:r>
      <w:hyperlink r:id="rId78" w:history="1">
        <w:r w:rsidRPr="00A428C3">
          <w:rPr>
            <w:rStyle w:val="a5"/>
          </w:rPr>
          <w:t>F\Foo Che Tox28, 205.pdf</w:t>
        </w:r>
      </w:hyperlink>
    </w:p>
    <w:p w:rsidR="00B95188" w:rsidRPr="00A428C3" w:rsidRDefault="00B95188" w:rsidP="00B95188">
      <w:pPr>
        <w:pStyle w:val="a0"/>
      </w:pPr>
      <w:r w:rsidRPr="00A428C3">
        <w:t>Abstract: Ethyl carbamate is found in fermented foods: bread contains 3-15 ng/g, stone-fruit brandies 200-20,000 ng/g,</w:t>
      </w:r>
      <w:r w:rsidR="00F81221">
        <w:t xml:space="preserve"> and </w:t>
      </w:r>
      <w:r w:rsidRPr="00A428C3">
        <w:t>about one-third of table-wine samples analysed contained more than 10 ng/g. In animals, ethyl carbamate is degraded to CO</w:t>
      </w:r>
      <w:r w:rsidRPr="00A428C3">
        <w:rPr>
          <w:vertAlign w:val="subscript"/>
        </w:rPr>
        <w:t>2</w:t>
      </w:r>
      <w:r w:rsidRPr="00A428C3">
        <w:t>, H</w:t>
      </w:r>
      <w:r w:rsidRPr="00A428C3">
        <w:rPr>
          <w:vertAlign w:val="subscript"/>
        </w:rPr>
        <w:t>2</w:t>
      </w:r>
      <w:r w:rsidRPr="00A428C3">
        <w:t>O</w:t>
      </w:r>
      <w:r w:rsidR="00F81221">
        <w:t xml:space="preserve"> and </w:t>
      </w:r>
      <w:r w:rsidRPr="00A428C3">
        <w:t>NH</w:t>
      </w:r>
      <w:r w:rsidRPr="00A428C3">
        <w:rPr>
          <w:vertAlign w:val="subscript"/>
        </w:rPr>
        <w:t>3</w:t>
      </w:r>
      <w:r w:rsidRPr="00A428C3">
        <w:t>, with intermediate formation of ethanol. This degradation has been shown to be inhibited (postponed) in the mouse by ethanol concentrations in the blood of about 0.15%</w:t>
      </w:r>
      <w:r w:rsidR="00F81221">
        <w:t xml:space="preserve"> and </w:t>
      </w:r>
      <w:r w:rsidRPr="00A428C3">
        <w:t>higher. A quantitatively minor pathway involves a two-step oxidation of the ethyl group to vinyl carbamate</w:t>
      </w:r>
      <w:r w:rsidR="00F81221">
        <w:t xml:space="preserve"> and </w:t>
      </w:r>
      <w:r w:rsidRPr="00A428C3">
        <w:t>epoxyethyl carbamate, the postulated electrophilic moiety that reacts with DNA. This reaction is probably the mode of the mutagenic action observed in many cellular</w:t>
      </w:r>
      <w:r w:rsidR="00F81221">
        <w:t xml:space="preserve"> and </w:t>
      </w:r>
      <w:r w:rsidRPr="00A428C3">
        <w:t>animal systems. The fact that only vinyl carbamate, but not ethyl carbamate, is mutagenic in a standard, A.M.es test is probably because there is insufficient production of the intermediate oxidation product in the standard test. Consistent with this metabolism is the carcinogenic activity of ethyl carbamate in various animal species</w:t>
      </w:r>
      <w:r w:rsidR="00F81221">
        <w:t xml:space="preserve"> and </w:t>
      </w:r>
      <w:r w:rsidRPr="00A428C3">
        <w:t>in different organs; this activity can be seen even after a single high dose in early life. Quantitative analysis of the total tumour incidences after chronic exposure of rats</w:t>
      </w:r>
      <w:r w:rsidR="00F81221">
        <w:t xml:space="preserve"> and </w:t>
      </w:r>
      <w:r w:rsidRPr="00A428C3">
        <w:t xml:space="preserve">mice to 0.1-12.5 mg ethyl carbamate/kg body weight/day in the drinking-water showed a dose-related increase. The main target organs were the mammary gland </w:t>
      </w:r>
      <w:r w:rsidRPr="00A428C3">
        <w:lastRenderedPageBreak/>
        <w:t>(female rats</w:t>
      </w:r>
      <w:r w:rsidR="00F81221">
        <w:t xml:space="preserve"> and </w:t>
      </w:r>
      <w:r w:rsidRPr="00A428C3">
        <w:t>mice having similar susceptibilities)</w:t>
      </w:r>
      <w:r w:rsidR="00F81221">
        <w:t xml:space="preserve"> and </w:t>
      </w:r>
      <w:r w:rsidRPr="00A428C3">
        <w:t>the lung (mice only). On the basis of sex-and organ-specific tumour data</w:t>
      </w:r>
      <w:r w:rsidR="00F81221">
        <w:t xml:space="preserve"> and </w:t>
      </w:r>
      <w:r w:rsidRPr="00A428C3">
        <w:t xml:space="preserve">with a linear extrapolation to a negligible increase of the lifetime tumour incidence by 0.0001% (one additional tumour in one million individuals exposed for life), a </w:t>
      </w:r>
      <w:r w:rsidR="000352E7">
        <w:t>“</w:t>
      </w:r>
      <w:r w:rsidRPr="00A428C3">
        <w:t>virtually safe dose</w:t>
      </w:r>
      <w:r w:rsidR="000352E7">
        <w:t>”</w:t>
      </w:r>
      <w:r w:rsidRPr="00A428C3">
        <w:t xml:space="preserve"> of 20 to 80 ng/kg body weight/day was estimated. The daily burden reached under normal dietary habits without alcoholic beverages is in the range of about 20 ng/kg body weight/day. Regular table-wine consumption would increase the risk by a factor of up to five. Regular drinking of 20 to 40 ml stone-fruit brandy per day could raise the calculated lifetime tumour risk to near 0.01%.</w:t>
      </w:r>
    </w:p>
    <w:p w:rsidR="00B95188" w:rsidRPr="00A428C3" w:rsidRDefault="00B95188" w:rsidP="00B95188">
      <w:pPr>
        <w:pStyle w:val="a0"/>
      </w:pPr>
      <w:r w:rsidRPr="00A428C3">
        <w:t>Benfenati, E., Natangelo, M., Davoli, E.</w:t>
      </w:r>
      <w:r w:rsidR="00F81221">
        <w:t xml:space="preserve"> and </w:t>
      </w:r>
      <w:r w:rsidRPr="00A428C3">
        <w:t xml:space="preserve">Fanelli, R. (1991), Migration of vinyl-chloride into PVC-bottled drinking-water assessed by gas-chromatography mass-spectrometry. </w:t>
      </w:r>
      <w:r w:rsidRPr="00A428C3">
        <w:rPr>
          <w:i/>
        </w:rPr>
        <w:t>Food</w:t>
      </w:r>
      <w:r w:rsidR="00F81221">
        <w:rPr>
          <w:i/>
        </w:rPr>
        <w:t xml:space="preserve"> and </w:t>
      </w:r>
      <w:r w:rsidRPr="00A428C3">
        <w:rPr>
          <w:i/>
        </w:rPr>
        <w:t>Chemical Toxicology</w:t>
      </w:r>
      <w:r w:rsidRPr="00A428C3">
        <w:t xml:space="preserve">, </w:t>
      </w:r>
      <w:r w:rsidRPr="00A428C3">
        <w:rPr>
          <w:b/>
        </w:rPr>
        <w:t>29</w:t>
      </w:r>
      <w:r w:rsidRPr="00A428C3">
        <w:t xml:space="preserve"> (2), 131-134.</w:t>
      </w:r>
    </w:p>
    <w:p w:rsidR="00B95188" w:rsidRPr="00A428C3" w:rsidRDefault="00B95188" w:rsidP="00B95188">
      <w:pPr>
        <w:pStyle w:val="a0"/>
      </w:pPr>
      <w:r w:rsidRPr="00A428C3">
        <w:t xml:space="preserve">Full Text: </w:t>
      </w:r>
      <w:hyperlink r:id="rId79" w:history="1">
        <w:r w:rsidRPr="00A428C3">
          <w:rPr>
            <w:rStyle w:val="a5"/>
          </w:rPr>
          <w:t>F\Foo Che Tox29, 131.pdf</w:t>
        </w:r>
      </w:hyperlink>
    </w:p>
    <w:p w:rsidR="00B95188" w:rsidRPr="00A428C3" w:rsidRDefault="00B95188" w:rsidP="00B95188">
      <w:pPr>
        <w:pStyle w:val="a0"/>
      </w:pPr>
      <w:r w:rsidRPr="00A428C3">
        <w:t>Abstract: The migration of vinyl chloride (VC) into drinking-water bottled in polyvinyl chloride (PVC) was studied in relation to storage time, using a gas chromatographic-mass spectrometric method. Trideuterated vinyl chloride was used as internal standard. VC concentrations in the water rose progressively in direct (linear) relation to the time after bottling (about 1 ng/litre/day). The time of storage of PVC-packaged foodstuffs may affect the daily oral intake of this monomer, which in some cases may exceed 100 ng/person/day.</w:t>
      </w:r>
    </w:p>
    <w:p w:rsidR="00B95188" w:rsidRPr="00A428C3" w:rsidRDefault="00B95188" w:rsidP="00B95188">
      <w:pPr>
        <w:pStyle w:val="a0"/>
      </w:pPr>
      <w:r w:rsidRPr="00A428C3">
        <w:t>? Osborne, R.</w:t>
      </w:r>
      <w:r w:rsidR="00F81221">
        <w:t xml:space="preserve"> and </w:t>
      </w:r>
      <w:r w:rsidRPr="00A428C3">
        <w:t xml:space="preserve">Perkins, M.A. (1994), An approach for development of alternative test methods based on mechanisms of skin irritation. </w:t>
      </w:r>
      <w:r w:rsidRPr="00A428C3">
        <w:rPr>
          <w:i/>
        </w:rPr>
        <w:t>Food</w:t>
      </w:r>
      <w:r w:rsidR="00F81221">
        <w:rPr>
          <w:i/>
        </w:rPr>
        <w:t xml:space="preserve"> and </w:t>
      </w:r>
      <w:r w:rsidRPr="00A428C3">
        <w:rPr>
          <w:i/>
        </w:rPr>
        <w:t>Chemical Toxicology</w:t>
      </w:r>
      <w:r w:rsidRPr="00A428C3">
        <w:t xml:space="preserve">, </w:t>
      </w:r>
      <w:r w:rsidRPr="00A428C3">
        <w:rPr>
          <w:b/>
        </w:rPr>
        <w:t>32</w:t>
      </w:r>
      <w:r w:rsidRPr="00A428C3">
        <w:t xml:space="preserve"> (2), 133-142.</w:t>
      </w:r>
    </w:p>
    <w:p w:rsidR="00B95188" w:rsidRPr="00A428C3" w:rsidRDefault="00B95188" w:rsidP="00B95188">
      <w:pPr>
        <w:pStyle w:val="a0"/>
      </w:pPr>
      <w:r w:rsidRPr="00A428C3">
        <w:t xml:space="preserve">Full Text: </w:t>
      </w:r>
      <w:hyperlink r:id="rId80" w:history="1">
        <w:r w:rsidRPr="00A428C3">
          <w:rPr>
            <w:rStyle w:val="a5"/>
          </w:rPr>
          <w:t>1994\Foo Che Tox32, 133.pdf</w:t>
        </w:r>
      </w:hyperlink>
    </w:p>
    <w:p w:rsidR="00B95188" w:rsidRPr="00A428C3" w:rsidRDefault="00B95188" w:rsidP="00B95188">
      <w:pPr>
        <w:pStyle w:val="a0"/>
      </w:pPr>
      <w:r w:rsidRPr="00A13428">
        <w:t>Abstract:</w:t>
      </w:r>
      <w:r w:rsidRPr="00A428C3">
        <w:t xml:space="preserve"> Recent advances in techniques for culture of human skin cells have led to their potential for use as in vitro models for skin irritation testing to augment or replace existing rabbit skin patch tests. Our work is directed towards the development of cultured human skin cells, together with endpoints that can be linked to in vivo mechanisms of skin irritation, as in vitro models for prediction of human skin irritation,</w:t>
      </w:r>
      <w:r w:rsidR="00F81221">
        <w:t xml:space="preserve"> and </w:t>
      </w:r>
      <w:r w:rsidRPr="00A428C3">
        <w:t>for study of mechanisms of contact irritant dermatitis. Three types of commercial human skin cell cultures have been evaluated, epidermal keratinocytes</w:t>
      </w:r>
      <w:r w:rsidR="00F81221">
        <w:t xml:space="preserve"> and </w:t>
      </w:r>
      <w:r w:rsidRPr="00A428C3">
        <w:t>partially or fully cornified keratinocyte-dermal fibroblast co-cultures. Human epidermal keratinocyte cultures (Clonetics) were treated with product ingredients</w:t>
      </w:r>
      <w:r w:rsidR="00F81221">
        <w:t xml:space="preserve"> and </w:t>
      </w:r>
      <w:r w:rsidRPr="00A428C3">
        <w:t>formulations,</w:t>
      </w:r>
      <w:r w:rsidR="00F81221">
        <w:t xml:space="preserve"> and </w:t>
      </w:r>
      <w:r w:rsidRPr="00A428C3">
        <w:t>the extent of cell damage was assessed by incorporation of the vital dye neutral red. Cell damage correlated with human skin patch data for ingredient chemicals with the exception of acids</w:t>
      </w:r>
      <w:r w:rsidR="00F81221">
        <w:t xml:space="preserve"> and </w:t>
      </w:r>
      <w:r w:rsidRPr="00A428C3">
        <w:t xml:space="preserve">alkalis, but did not correlate with skin irritation to surfactant-containing product formulations. Cultures of human skin equivalents were evaluated as potential models for measurement of responses to test materials that could not be measured in the keratinocyte/neutral red assay. We </w:t>
      </w:r>
      <w:r w:rsidRPr="00A428C3">
        <w:lastRenderedPageBreak/>
        <w:t>developed a battery of in vitro endpoints to measure responses to prototype ingredients</w:t>
      </w:r>
      <w:r w:rsidR="00F81221">
        <w:t xml:space="preserve"> and </w:t>
      </w:r>
      <w:r w:rsidRPr="00A428C3">
        <w:t>formulations in human epidermal keratinocyte-dermal fibroblast co-cultures grown on a nylon mesh (</w:t>
      </w:r>
      <w:r w:rsidR="000352E7">
        <w:t>‘</w:t>
      </w:r>
      <w:r w:rsidRPr="00A428C3">
        <w:t>Skin2</w:t>
      </w:r>
      <w:r w:rsidR="000352E7">
        <w:t>’</w:t>
      </w:r>
      <w:r w:rsidRPr="00A428C3">
        <w:t xml:space="preserve"> from Advanced Tissue Sciences) or on a collagen gel (</w:t>
      </w:r>
      <w:r w:rsidR="000352E7">
        <w:t>‘</w:t>
      </w:r>
      <w:r w:rsidRPr="00A428C3">
        <w:t>Testskin</w:t>
      </w:r>
      <w:r w:rsidR="000352E7">
        <w:t>’</w:t>
      </w:r>
      <w:r w:rsidRPr="00A428C3">
        <w:t xml:space="preserve"> from Organogenesis). The endpoints measure cytotoxicity (neutral red</w:t>
      </w:r>
      <w:r w:rsidR="00F81221">
        <w:t xml:space="preserve"> and </w:t>
      </w:r>
      <w:r w:rsidRPr="00A428C3">
        <w:t>MTT vital dye staining, lactate dehydrogenase</w:t>
      </w:r>
      <w:r w:rsidR="00F81221">
        <w:t xml:space="preserve"> and </w:t>
      </w:r>
      <w:r w:rsidRPr="00A428C3">
        <w:t>N-acetyl glucosaminidase release, glucose utilization)</w:t>
      </w:r>
      <w:r w:rsidR="00F81221">
        <w:t xml:space="preserve"> and </w:t>
      </w:r>
      <w:r w:rsidRPr="00A428C3">
        <w:t>inflammatory mediator (prostaglandin E2) release. Initial experiments indicate a promising correlation between responses of the Skin</w:t>
      </w:r>
      <w:r w:rsidR="000352E7">
        <w:t>’</w:t>
      </w:r>
      <w:r w:rsidRPr="00A428C3">
        <w:t xml:space="preserve"> model to prototype surfactants</w:t>
      </w:r>
      <w:r w:rsidR="00F81221">
        <w:t xml:space="preserve"> and </w:t>
      </w:r>
      <w:r w:rsidRPr="00A428C3">
        <w:t>in vivo human skin irritation. The responses of Testskin cultures to acids</w:t>
      </w:r>
      <w:r w:rsidR="00F81221">
        <w:t xml:space="preserve"> and </w:t>
      </w:r>
      <w:r w:rsidRPr="00A428C3">
        <w:t>alkalis help to prove the concept that a topical application model can measure responses to these materials. These results suggest that human skin cell models can provide useful systems for preclinical skin irritation assessments, as alternatives to rabbits, for at least certain classes of test substances.</w:t>
      </w:r>
    </w:p>
    <w:p w:rsidR="00B95188" w:rsidRPr="00A428C3" w:rsidRDefault="00B95188" w:rsidP="00B95188">
      <w:pPr>
        <w:pStyle w:val="a0"/>
      </w:pPr>
      <w:r w:rsidRPr="00A428C3">
        <w:t>Keywords: Keratinocyte, Cytokines</w:t>
      </w:r>
    </w:p>
    <w:p w:rsidR="00B95188" w:rsidRPr="00A428C3" w:rsidRDefault="00B95188" w:rsidP="00B95188">
      <w:pPr>
        <w:pStyle w:val="a0"/>
      </w:pPr>
      <w:r w:rsidRPr="00A428C3">
        <w:t>Vaittinen, S.L., Komulainen, H., Kosma, V.M., Julkunen, A., Mäki Paakkanen, J., Jansson, K., Vartiainen, T.</w:t>
      </w:r>
      <w:r w:rsidR="00F81221">
        <w:t xml:space="preserve"> and </w:t>
      </w:r>
      <w:r w:rsidRPr="00A428C3">
        <w:t xml:space="preserve">Tuomisto, J. (1995), Subchronic toxicity of 3-chloro-4-(dichloromethyl)-5-hydroxy-2 (5H)-furanone (MX) in Wistar rats. </w:t>
      </w:r>
      <w:r w:rsidRPr="00A428C3">
        <w:rPr>
          <w:i/>
        </w:rPr>
        <w:t>Food</w:t>
      </w:r>
      <w:r w:rsidR="00F81221">
        <w:rPr>
          <w:i/>
        </w:rPr>
        <w:t xml:space="preserve"> and </w:t>
      </w:r>
      <w:r w:rsidRPr="00A428C3">
        <w:rPr>
          <w:i/>
        </w:rPr>
        <w:t>Chemical Toxicology</w:t>
      </w:r>
      <w:r w:rsidRPr="00A428C3">
        <w:t xml:space="preserve">, </w:t>
      </w:r>
      <w:r w:rsidRPr="00A428C3">
        <w:rPr>
          <w:b/>
        </w:rPr>
        <w:t>33</w:t>
      </w:r>
      <w:r w:rsidRPr="00A428C3">
        <w:t xml:space="preserve"> (12), 1027-1037.</w:t>
      </w:r>
    </w:p>
    <w:p w:rsidR="00B95188" w:rsidRPr="00A428C3" w:rsidRDefault="00B95188" w:rsidP="00B95188">
      <w:pPr>
        <w:pStyle w:val="a0"/>
      </w:pPr>
      <w:r w:rsidRPr="00A428C3">
        <w:t xml:space="preserve">Full Text: </w:t>
      </w:r>
      <w:hyperlink r:id="rId81" w:history="1">
        <w:r w:rsidRPr="00A428C3">
          <w:rPr>
            <w:rStyle w:val="a5"/>
          </w:rPr>
          <w:t>F\Foo Che Tox33, 1027.pdf</w:t>
        </w:r>
      </w:hyperlink>
    </w:p>
    <w:p w:rsidR="00B95188" w:rsidRPr="00A428C3" w:rsidRDefault="00B95188" w:rsidP="00B95188">
      <w:pPr>
        <w:pStyle w:val="a0"/>
      </w:pPr>
      <w:r w:rsidRPr="00A428C3">
        <w:t>Abstract: The subchronic (14-18 wk) toxicity of 3-chloro-4-(dichloromethyl)-5-hydroxy-2 (5H)-furanone (MX), a mutagenic by-product in chlorinated drinking water, was evaluated in Wistar rats. In a range-finding study, MX was administered daily for 14 days by gavage in deionized water to male rats (five animals per group) at doses of 12.5, 25, 50, 100 or 200 mg/kg body weight. The doses above 50 mg/kg were lethal</w:t>
      </w:r>
      <w:r w:rsidR="00F81221">
        <w:t xml:space="preserve"> and </w:t>
      </w:r>
      <w:r w:rsidRPr="00A428C3">
        <w:t>three out of five animals also died during treatment at 50 mg/kg. The range-finding study was repeated with doses of 5, 10</w:t>
      </w:r>
      <w:r w:rsidR="00F81221">
        <w:t xml:space="preserve"> and </w:t>
      </w:r>
      <w:r w:rsidRPr="00A428C3">
        <w:t>20 mg MX/kg, given on 5 days a week, to both males</w:t>
      </w:r>
      <w:r w:rsidR="00F81221">
        <w:t xml:space="preserve"> and </w:t>
      </w:r>
      <w:r w:rsidRPr="00A428C3">
        <w:t>females (10 animals per group). These doses were not overtly toxic but caused several changes in plasma clinical chemistry at 10</w:t>
      </w:r>
      <w:r w:rsidR="00F81221">
        <w:t xml:space="preserve"> and </w:t>
      </w:r>
      <w:r w:rsidRPr="00A428C3">
        <w:t>20 mg MX/kg in comparison with the controls. These included increased urea, creatinine</w:t>
      </w:r>
      <w:r w:rsidR="00F81221">
        <w:t xml:space="preserve"> and </w:t>
      </w:r>
      <w:r w:rsidRPr="00A428C3">
        <w:t>bilirubin</w:t>
      </w:r>
      <w:r w:rsidR="00F81221">
        <w:t xml:space="preserve"> and </w:t>
      </w:r>
      <w:r w:rsidRPr="00A428C3">
        <w:t>decreased inorganic phosphate</w:t>
      </w:r>
      <w:r w:rsidR="00F81221">
        <w:t xml:space="preserve"> and </w:t>
      </w:r>
      <w:r w:rsidRPr="00A428C3">
        <w:t>potassium in females</w:t>
      </w:r>
      <w:r w:rsidR="00F81221">
        <w:t xml:space="preserve"> and </w:t>
      </w:r>
      <w:r w:rsidRPr="00A428C3">
        <w:t>increased cholesterol in males. In the subchronic toxicity study, rats (15 per group, were given MX by gavage, on 5 days a week, at doses of 0 (controls) or 30 md/kg (low dose) for 18 wk, or, in the high-dose group, at doses increasing from 45 to 75 mg/kg over 14 wk. The high dose was finally lethal (two males</w:t>
      </w:r>
      <w:r w:rsidR="00F81221">
        <w:t xml:space="preserve"> and </w:t>
      </w:r>
      <w:r w:rsidRPr="00A428C3">
        <w:t>one female died)</w:t>
      </w:r>
      <w:r w:rsidR="00F81221">
        <w:t xml:space="preserve"> and </w:t>
      </w:r>
      <w:r w:rsidRPr="00A428C3">
        <w:t>caused hypersalivation, wheezing respiration, emaciation</w:t>
      </w:r>
      <w:r w:rsidR="00F81221">
        <w:t xml:space="preserve"> and </w:t>
      </w:r>
      <w:r w:rsidRPr="00A428C3">
        <w:t>tangled fur in animals. The body weights of the high-dose males decreased by 15%,</w:t>
      </w:r>
      <w:r w:rsidR="00F81221">
        <w:t xml:space="preserve"> and </w:t>
      </w:r>
      <w:r w:rsidRPr="00A428C3">
        <w:t>food consumption was decreased by 15 to 20%, but the water consumption increased by 15% to 60%. Plasma cholesterol</w:t>
      </w:r>
      <w:r w:rsidR="00F81221">
        <w:t xml:space="preserve"> and </w:t>
      </w:r>
      <w:r w:rsidRPr="00A428C3">
        <w:t>triglycerides were elevated</w:t>
      </w:r>
      <w:r w:rsidR="00F81221">
        <w:t xml:space="preserve"> and </w:t>
      </w:r>
      <w:r w:rsidRPr="00A428C3">
        <w:t xml:space="preserve">urine excretion was increased. Urine specific gravity </w:t>
      </w:r>
      <w:r w:rsidRPr="00A428C3">
        <w:lastRenderedPageBreak/>
        <w:t>was decreased</w:t>
      </w:r>
      <w:r w:rsidR="00F81221">
        <w:t xml:space="preserve"> and </w:t>
      </w:r>
      <w:r w:rsidRPr="00A428C3">
        <w:t>the relative weights of the liver</w:t>
      </w:r>
      <w:r w:rsidR="00F81221">
        <w:t xml:space="preserve"> and </w:t>
      </w:r>
      <w:r w:rsidRPr="00A428C3">
        <w:t>kidneys were increased in both sexes at both doses in comparison with the controls. At both doses, duodenal hyperplasia occurred in males</w:t>
      </w:r>
      <w:r w:rsidR="00F81221">
        <w:t xml:space="preserve"> and </w:t>
      </w:r>
      <w:r w:rsidRPr="00A428C3">
        <w:t>females,</w:t>
      </w:r>
      <w:r w:rsidR="00F81221">
        <w:t xml:space="preserve"> and </w:t>
      </w:r>
      <w:r w:rsidRPr="00A428C3">
        <w:t>slight focal epithelial hyperplasia in the forestomach was observed in males. Splenic atrophy</w:t>
      </w:r>
      <w:r w:rsidR="00F81221">
        <w:t xml:space="preserve"> and </w:t>
      </w:r>
      <w:r w:rsidRPr="00A428C3">
        <w:t>haemosiderosis were seen in two high-dose females,</w:t>
      </w:r>
      <w:r w:rsidR="00F81221">
        <w:t xml:space="preserve"> and </w:t>
      </w:r>
      <w:r w:rsidRPr="00A428C3">
        <w:t>epithelial cell atypia in the urinary bladder of one high-dose male</w:t>
      </w:r>
      <w:r w:rsidR="00F81221">
        <w:t xml:space="preserve"> and </w:t>
      </w:r>
      <w:r w:rsidRPr="00A428C3">
        <w:t>female. The frequency of bone marrow polychromatic erythrocytes with micronuclei was slightly increased in low-dose males. The results indicate that repeated administration of MX disturbs the fluid-electrolyte balance</w:t>
      </w:r>
      <w:r w:rsidR="00F81221">
        <w:t xml:space="preserve"> and </w:t>
      </w:r>
      <w:r w:rsidRPr="00A428C3">
        <w:t>induces diuresis, causes mucosal hyperplasia in the gastro-intestinal tract as a local effect,</w:t>
      </w:r>
      <w:r w:rsidR="00F81221">
        <w:t xml:space="preserve"> and </w:t>
      </w:r>
      <w:r w:rsidRPr="00A428C3">
        <w:t>affects lipid metabolism.</w:t>
      </w:r>
    </w:p>
    <w:p w:rsidR="00B95188" w:rsidRPr="00A428C3" w:rsidRDefault="00B95188" w:rsidP="00B95188">
      <w:pPr>
        <w:pStyle w:val="a0"/>
      </w:pPr>
      <w:r w:rsidRPr="00A428C3">
        <w:t>Vleeming, W., van de Kuil, A., te Biesebeek, J.D., Meulenbelt, J.</w:t>
      </w:r>
      <w:r w:rsidR="00F81221">
        <w:t xml:space="preserve"> and </w:t>
      </w:r>
      <w:r w:rsidRPr="00A428C3">
        <w:t>Boink, A.B. (1997), Effect of nitrite on blood pressure in anaesthetized</w:t>
      </w:r>
      <w:r w:rsidR="00F81221">
        <w:t xml:space="preserve"> and </w:t>
      </w:r>
      <w:r w:rsidRPr="00A428C3">
        <w:t xml:space="preserve">free-moving rats. </w:t>
      </w:r>
      <w:r w:rsidRPr="00A428C3">
        <w:rPr>
          <w:i/>
        </w:rPr>
        <w:t>Food</w:t>
      </w:r>
      <w:r w:rsidR="00F81221">
        <w:rPr>
          <w:i/>
        </w:rPr>
        <w:t xml:space="preserve"> and </w:t>
      </w:r>
      <w:r w:rsidRPr="00A428C3">
        <w:rPr>
          <w:i/>
        </w:rPr>
        <w:t>Chemical Toxicology</w:t>
      </w:r>
      <w:r w:rsidRPr="00A428C3">
        <w:t xml:space="preserve">, </w:t>
      </w:r>
      <w:r w:rsidRPr="00A428C3">
        <w:rPr>
          <w:b/>
        </w:rPr>
        <w:t>35</w:t>
      </w:r>
      <w:r w:rsidRPr="00A428C3">
        <w:t xml:space="preserve"> (6), 615-619.</w:t>
      </w:r>
    </w:p>
    <w:p w:rsidR="00B95188" w:rsidRPr="00A428C3" w:rsidRDefault="00B95188" w:rsidP="00B95188">
      <w:pPr>
        <w:pStyle w:val="a0"/>
      </w:pPr>
      <w:r w:rsidRPr="00A428C3">
        <w:t xml:space="preserve">Full Text: </w:t>
      </w:r>
      <w:hyperlink r:id="rId82" w:history="1">
        <w:r w:rsidRPr="00A428C3">
          <w:rPr>
            <w:rStyle w:val="a5"/>
          </w:rPr>
          <w:t>F\Foo Che Tox35, 615.pdf</w:t>
        </w:r>
      </w:hyperlink>
    </w:p>
    <w:p w:rsidR="00B95188" w:rsidRPr="00A428C3" w:rsidRDefault="00B95188" w:rsidP="00B95188">
      <w:pPr>
        <w:pStyle w:val="a0"/>
      </w:pPr>
      <w:r w:rsidRPr="00A428C3">
        <w:t>Abstract: The effect of nitrite on blood pressure</w:t>
      </w:r>
      <w:r w:rsidR="00F81221">
        <w:t xml:space="preserve"> and </w:t>
      </w:r>
      <w:r w:rsidRPr="00A428C3">
        <w:t>heart rate was studied in anaesthetized (non-telemetric method)</w:t>
      </w:r>
      <w:r w:rsidR="00F81221">
        <w:t xml:space="preserve"> and </w:t>
      </w:r>
      <w:r w:rsidRPr="00A428C3">
        <w:t>free-moving rats (biotelemetry system). In anaesthetized rats, NaNO</w:t>
      </w:r>
      <w:r w:rsidRPr="00A428C3">
        <w:rPr>
          <w:vertAlign w:val="subscript"/>
        </w:rPr>
        <w:t>2</w:t>
      </w:r>
      <w:r w:rsidRPr="00A428C3">
        <w:t xml:space="preserve"> (10-1000 µmol/kg), infused over 5 min, induced a dose-related decrease in blood pressure. The maximal decrease in mean arterial blood pressure (MAP), caused by 1000 µmol/kg NaNO</w:t>
      </w:r>
      <w:r w:rsidRPr="00A428C3">
        <w:rPr>
          <w:vertAlign w:val="subscript"/>
        </w:rPr>
        <w:t>2</w:t>
      </w:r>
      <w:r w:rsidR="00F81221">
        <w:t xml:space="preserve"> and </w:t>
      </w:r>
      <w:r w:rsidRPr="00A428C3">
        <w:t>measured 15 min after infusion was 55.9±3.2% (n = 3). After NaNO</w:t>
      </w:r>
      <w:r w:rsidRPr="00A428C3">
        <w:rPr>
          <w:vertAlign w:val="subscript"/>
        </w:rPr>
        <w:t>2</w:t>
      </w:r>
      <w:r w:rsidRPr="00A428C3">
        <w:t xml:space="preserve"> infusion, in the plasma, rapid conversion of nitrite into nitrate was observed. However, sodium nitrate (NaNO</w:t>
      </w:r>
      <w:r w:rsidRPr="00A428C3">
        <w:rPr>
          <w:vertAlign w:val="subscript"/>
        </w:rPr>
        <w:t>3</w:t>
      </w:r>
      <w:r w:rsidRPr="00A428C3">
        <w:t>, 100 µmol/kg) did not decrease blood pressure</w:t>
      </w:r>
      <w:r w:rsidR="00F81221">
        <w:t xml:space="preserve"> and </w:t>
      </w:r>
      <w:r w:rsidRPr="00A428C3">
        <w:t>there was no conversion of nitrate into nitrite. Free-moving rats received KNO</w:t>
      </w:r>
      <w:r w:rsidRPr="00A428C3">
        <w:rPr>
          <w:vertAlign w:val="subscript"/>
        </w:rPr>
        <w:t>2</w:t>
      </w:r>
      <w:r w:rsidRPr="00A428C3">
        <w:t xml:space="preserve"> which was added to drinking water (36 mmol/litre) for a period of 3 days. KNO</w:t>
      </w:r>
      <w:r w:rsidRPr="00A428C3">
        <w:rPr>
          <w:vertAlign w:val="subscript"/>
        </w:rPr>
        <w:t>2</w:t>
      </w:r>
      <w:r w:rsidRPr="00A428C3">
        <w:t xml:space="preserve"> decreased the MAP</w:t>
      </w:r>
      <w:r w:rsidR="00F81221">
        <w:t xml:space="preserve"> and </w:t>
      </w:r>
      <w:r w:rsidRPr="00A428C3">
        <w:t>increased the heart rate during the rat</w:t>
      </w:r>
      <w:r w:rsidR="000352E7">
        <w:t>’</w:t>
      </w:r>
      <w:r w:rsidRPr="00A428C3">
        <w:t>s activity phase at night but not during their resting phase in the day. An equal concentration of potassium (KCl, 36 mmol/litre added to drinking water) for 3 days did not decrease blood pressure. It is concluded that nitrite decreases blood pressure in rats, which probably induces, by renin-angiotensin system activation, hypertrophy of the adrenal zona glomerulosa.</w:t>
      </w:r>
    </w:p>
    <w:p w:rsidR="00B95188" w:rsidRPr="00A428C3" w:rsidRDefault="00B95188" w:rsidP="00B95188">
      <w:pPr>
        <w:pStyle w:val="a0"/>
      </w:pPr>
      <w:r w:rsidRPr="00A428C3">
        <w:t xml:space="preserve">Calderon, R.L. (2000), The epidemiology of chemical contaminants of drinking water.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S13-S20.</w:t>
      </w:r>
    </w:p>
    <w:p w:rsidR="00B95188" w:rsidRPr="00A428C3" w:rsidRDefault="00B95188" w:rsidP="00B95188">
      <w:pPr>
        <w:pStyle w:val="a0"/>
      </w:pPr>
      <w:r w:rsidRPr="00A428C3">
        <w:t xml:space="preserve">Full Text: </w:t>
      </w:r>
      <w:hyperlink r:id="rId83" w:history="1">
        <w:r w:rsidRPr="00A428C3">
          <w:rPr>
            <w:rStyle w:val="a5"/>
          </w:rPr>
          <w:t>F\Foo Che Tox38, S13.pdf</w:t>
        </w:r>
      </w:hyperlink>
    </w:p>
    <w:p w:rsidR="00B95188" w:rsidRPr="00A428C3" w:rsidRDefault="00B95188" w:rsidP="00B95188">
      <w:pPr>
        <w:pStyle w:val="a0"/>
        <w:rPr>
          <w:rFonts w:eastAsia="Arial Unicode MS"/>
        </w:rPr>
      </w:pPr>
      <w:r w:rsidRPr="00A428C3">
        <w:t>Abstract: A number of chemical contaminants have been identified in drinking water. These contaminants reach drinking water supplies from various sources, including municipal</w:t>
      </w:r>
      <w:r w:rsidR="00F81221">
        <w:t xml:space="preserve"> and </w:t>
      </w:r>
      <w:r w:rsidRPr="00A428C3">
        <w:t>industrial discharges, urban</w:t>
      </w:r>
      <w:r w:rsidR="00F81221">
        <w:t xml:space="preserve"> and </w:t>
      </w:r>
      <w:r w:rsidRPr="00A428C3">
        <w:t>I ural run-off, natural geological formations, drinking water distribution materials</w:t>
      </w:r>
      <w:r w:rsidR="00F81221">
        <w:t xml:space="preserve"> and </w:t>
      </w:r>
      <w:r w:rsidRPr="00A428C3">
        <w:t>the drinking water treatment process. Chemical contaminants for which epidemiologic studies have reported associations include the following: aluminium, arsenic, disinfection by-products, fluoride, lead, pesticides</w:t>
      </w:r>
      <w:r w:rsidR="00F81221">
        <w:t xml:space="preserve"> and </w:t>
      </w:r>
      <w:r w:rsidRPr="00A428C3">
        <w:t xml:space="preserve">radon. Health effects reported have included various </w:t>
      </w:r>
      <w:r w:rsidRPr="00A428C3">
        <w:lastRenderedPageBreak/>
        <w:t>cancers, adverse reproductive outcomes, cardiovascular disease</w:t>
      </w:r>
      <w:r w:rsidR="00F81221">
        <w:t xml:space="preserve"> and </w:t>
      </w:r>
      <w:r w:rsidRPr="00A428C3">
        <w:t>neurological disease. In evaluating epidemiologic studies for risk assessment, considering whether the study design was qualitative (hypothesis generating) or quantitative (hypothesis testing) is important</w:t>
      </w:r>
      <w:r w:rsidR="00F81221">
        <w:t xml:space="preserve"> and </w:t>
      </w:r>
      <w:r w:rsidRPr="00A428C3">
        <w:t>whether sufficient epidemiologic data of a quantitative nature exists to determine the dose-response curve. Each of the chemical contaminants mentioned are summarized by study designs (qualitative</w:t>
      </w:r>
      <w:r w:rsidR="00F81221">
        <w:t xml:space="preserve"> and </w:t>
      </w:r>
      <w:r w:rsidRPr="00A428C3">
        <w:t>quantitative)</w:t>
      </w:r>
      <w:r w:rsidR="00F81221">
        <w:t xml:space="preserve"> and </w:t>
      </w:r>
      <w:r w:rsidRPr="00A428C3">
        <w:t>whether a dose-response curve based on epidemiologic data has been proposed. Environmental epidemiology studies are driven by environmental exposures of interest. For drinking water contaminants, the design of epidemiologic studies</w:t>
      </w:r>
      <w:r w:rsidR="00F81221">
        <w:t xml:space="preserve"> and </w:t>
      </w:r>
      <w:r w:rsidRPr="00A428C3">
        <w:t>their interpretation should consider the following exposure issues: the source of the contaminant: other sources of the contaminant; the route of exposure; the frequency, duration</w:t>
      </w:r>
      <w:r w:rsidR="00F81221">
        <w:t xml:space="preserve"> and </w:t>
      </w:r>
      <w:r w:rsidRPr="00A428C3">
        <w:t>magnitude of exposure; the ability to document an actual internal dose;</w:t>
      </w:r>
      <w:r w:rsidR="00F81221">
        <w:t xml:space="preserve"> and </w:t>
      </w:r>
      <w:r w:rsidRPr="00A428C3">
        <w:t>the ability to document the dose to the target organ. Health effects of concern have other risk factors that must be measured in the conduct of these studies. In evaluating epidemiologic studies, potential errors</w:t>
      </w:r>
      <w:r w:rsidR="00F81221">
        <w:t xml:space="preserve"> and </w:t>
      </w:r>
      <w:r w:rsidRPr="00A428C3">
        <w:t>biases that may occur must be considered given the very low magnitude of associations (less than 2.0 for either odds ratio or risk ratio). Given the issues. the next generation of drinking water epidemiologic studies should include a multidisciplinary team beyond traditional epidemiologists</w:t>
      </w:r>
      <w:r w:rsidR="00F81221">
        <w:t xml:space="preserve"> and </w:t>
      </w:r>
      <w:r w:rsidRPr="00A428C3">
        <w:t>statisticians. Study teams will require toxicologists, chemists, engineers</w:t>
      </w:r>
      <w:r w:rsidR="00F81221">
        <w:t xml:space="preserve"> and </w:t>
      </w:r>
      <w:r w:rsidRPr="00A428C3">
        <w:t>exposure assessors. Arsenic is briefly discussed as an example of the importance of susceptible populations. Disinfection by-products are discussed as an example of epidemiologic studies of mixtures. Published by Elsevier Science Ltd.</w:t>
      </w:r>
    </w:p>
    <w:p w:rsidR="00B95188" w:rsidRPr="00A428C3" w:rsidRDefault="00B95188" w:rsidP="00B95188">
      <w:pPr>
        <w:pStyle w:val="a0"/>
      </w:pPr>
      <w:r w:rsidRPr="00A428C3">
        <w:t>Keywords: Drinking Water, Chemicals, Epidemiology, Arsenic, Disinfection By-Products, Birth</w:t>
      </w:r>
    </w:p>
    <w:p w:rsidR="00B95188" w:rsidRPr="00A428C3" w:rsidRDefault="00B95188" w:rsidP="00B95188">
      <w:pPr>
        <w:pStyle w:val="a0"/>
      </w:pPr>
      <w:r w:rsidRPr="00A428C3">
        <w:t>Holt, M.S. (2000), Sources of chemical contaminants</w:t>
      </w:r>
      <w:r w:rsidR="00F81221">
        <w:t xml:space="preserve"> and </w:t>
      </w:r>
      <w:r w:rsidRPr="00A428C3">
        <w:t xml:space="preserve">routes into the freshwater environment.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S21-S27.</w:t>
      </w:r>
    </w:p>
    <w:p w:rsidR="00B95188" w:rsidRPr="00A428C3" w:rsidRDefault="00B95188" w:rsidP="00B95188">
      <w:pPr>
        <w:pStyle w:val="a0"/>
      </w:pPr>
      <w:r w:rsidRPr="00A428C3">
        <w:t xml:space="preserve">Full Text: </w:t>
      </w:r>
      <w:hyperlink r:id="rId84" w:history="1">
        <w:r w:rsidRPr="00A428C3">
          <w:rPr>
            <w:rStyle w:val="a5"/>
          </w:rPr>
          <w:t>F\Foo Che Tox38, S21.pdf</w:t>
        </w:r>
      </w:hyperlink>
    </w:p>
    <w:p w:rsidR="00B95188" w:rsidRPr="00A428C3" w:rsidRDefault="00B95188" w:rsidP="00B95188">
      <w:pPr>
        <w:pStyle w:val="a0"/>
        <w:rPr>
          <w:rFonts w:eastAsia="Arial Unicode MS"/>
        </w:rPr>
      </w:pPr>
      <w:r w:rsidRPr="00A428C3">
        <w:t>Abstract: Drinking water is derived from either surface waters or groundwater. The latter is of enormous importance, with more than 65% of Europe</w:t>
      </w:r>
      <w:r w:rsidR="000352E7">
        <w:t>’</w:t>
      </w:r>
      <w:r w:rsidRPr="00A428C3">
        <w:t>s drinking water needs being supplied in this way. However, water from either source is rarely, if ever, pure. Industrialization</w:t>
      </w:r>
      <w:r w:rsidR="00F81221">
        <w:t xml:space="preserve"> and </w:t>
      </w:r>
      <w:r w:rsidRPr="00A428C3">
        <w:t>urbanization together with intensified agricultural activity have led to increased demands for water on the one hand but to the potential for large scale release of contaminants on the other. The result is that surface water can be contaminated through direct or indirect emissions</w:t>
      </w:r>
      <w:r w:rsidR="00F81221">
        <w:t xml:space="preserve"> and </w:t>
      </w:r>
      <w:r w:rsidRPr="00A428C3">
        <w:t>groundwater can be contaminated by leaching from the soil. The diversity</w:t>
      </w:r>
      <w:r w:rsidR="00F81221">
        <w:t xml:space="preserve"> and </w:t>
      </w:r>
      <w:r w:rsidRPr="00A428C3">
        <w:t>number of existing</w:t>
      </w:r>
      <w:r w:rsidR="00F81221">
        <w:t xml:space="preserve"> and </w:t>
      </w:r>
      <w:r w:rsidRPr="00A428C3">
        <w:t>potential sources of chemical contamination are guile large. This paper reviews the major sources of chemical emissions</w:t>
      </w:r>
      <w:r w:rsidR="00F81221">
        <w:t xml:space="preserve"> and </w:t>
      </w:r>
      <w:r w:rsidRPr="00A428C3">
        <w:t>the routes by which contaminants can arise in surface waters</w:t>
      </w:r>
      <w:r w:rsidR="00F81221">
        <w:t xml:space="preserve"> and </w:t>
      </w:r>
      <w:r w:rsidRPr="00A428C3">
        <w:t xml:space="preserve">groundwaters intended for use as a supply of drinking water. It </w:t>
      </w:r>
      <w:r w:rsidRPr="00A428C3">
        <w:lastRenderedPageBreak/>
        <w:t>is estimated that there are between 90,000</w:t>
      </w:r>
      <w:r w:rsidR="00F81221">
        <w:t xml:space="preserve"> and </w:t>
      </w:r>
      <w:r w:rsidRPr="00A428C3">
        <w:t>100,000 chemicals in regular use but that as few as 3000 account for about 90% of the total mass used. Whether a substance may be found in the air, soil or aqueous environment depends on a number of factors, including how the chemical is released, the volume released, where the chemical is released, its release pattern</w:t>
      </w:r>
      <w:r w:rsidR="00F81221">
        <w:t xml:space="preserve"> and </w:t>
      </w:r>
      <w:r w:rsidRPr="00A428C3">
        <w:t>its physicochemical properties. of the major routes of contamination for the aquatic environment, the most significant are directly from treated</w:t>
      </w:r>
      <w:r w:rsidR="00F81221">
        <w:t xml:space="preserve"> and </w:t>
      </w:r>
      <w:r w:rsidRPr="00A428C3">
        <w:t>untreated waste waters, run-off</w:t>
      </w:r>
      <w:r w:rsidR="00F81221">
        <w:t xml:space="preserve"> and </w:t>
      </w:r>
      <w:r w:rsidRPr="00A428C3">
        <w:t>atmospheric deposition (including spray drift)</w:t>
      </w:r>
      <w:r w:rsidR="00F81221">
        <w:t xml:space="preserve"> and </w:t>
      </w:r>
      <w:r w:rsidRPr="00A428C3">
        <w:t>indirectly from leaching. The fate of emissions of contaminants in a particular water body will depend not only on the amount of the substance emitted but also on the transport, dispersion</w:t>
      </w:r>
      <w:r w:rsidR="00F81221">
        <w:t xml:space="preserve"> and </w:t>
      </w:r>
      <w:r w:rsidRPr="00A428C3">
        <w:t>transformation (biodegradation, hydrolysis, photolysis) processes in the receiving body. The preventative measures (biodegradation testing</w:t>
      </w:r>
      <w:r w:rsidR="00F81221">
        <w:t xml:space="preserve"> and </w:t>
      </w:r>
      <w:r w:rsidRPr="00A428C3">
        <w:t>sewage treatment) taken to minimize contamination are discussed. (C) 2000 Published by Elsevier Science Ltd. All rights reserved.</w:t>
      </w:r>
    </w:p>
    <w:p w:rsidR="00B95188" w:rsidRPr="00A428C3" w:rsidRDefault="00B95188" w:rsidP="00B95188">
      <w:pPr>
        <w:pStyle w:val="a0"/>
      </w:pPr>
      <w:r w:rsidRPr="00A428C3">
        <w:t>Keywords: Aquatic, Contamination, Emissions, Environmental Fate, Biodegradation</w:t>
      </w:r>
    </w:p>
    <w:p w:rsidR="00B95188" w:rsidRPr="00A428C3" w:rsidRDefault="00B95188" w:rsidP="00B95188">
      <w:pPr>
        <w:pStyle w:val="a0"/>
      </w:pPr>
      <w:r w:rsidRPr="00A428C3">
        <w:t>Bates, A.J. (2000), Water as consumed</w:t>
      </w:r>
      <w:r w:rsidR="00F81221">
        <w:t xml:space="preserve"> and </w:t>
      </w:r>
      <w:r w:rsidRPr="00A428C3">
        <w:t xml:space="preserve">its impact on the consumer: Do we understand the variables?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S29-S36.</w:t>
      </w:r>
    </w:p>
    <w:p w:rsidR="00B95188" w:rsidRPr="00A428C3" w:rsidRDefault="00B95188" w:rsidP="00B95188">
      <w:pPr>
        <w:pStyle w:val="a0"/>
      </w:pPr>
      <w:r w:rsidRPr="00A428C3">
        <w:t xml:space="preserve">Full Text: </w:t>
      </w:r>
      <w:hyperlink r:id="rId85" w:history="1">
        <w:r w:rsidRPr="00A428C3">
          <w:rPr>
            <w:rStyle w:val="a5"/>
          </w:rPr>
          <w:t>F\Foo Che Tox38, S29.pdf</w:t>
        </w:r>
      </w:hyperlink>
    </w:p>
    <w:p w:rsidR="00B95188" w:rsidRPr="00A428C3" w:rsidRDefault="00B95188" w:rsidP="00B95188">
      <w:pPr>
        <w:pStyle w:val="a0"/>
      </w:pPr>
      <w:r w:rsidRPr="00A428C3">
        <w:t xml:space="preserve">Abstract: Water is the most important natural resource in the world, without it life cannot exist. In </w:t>
      </w:r>
      <w:smartTag w:uri="urn:schemas-microsoft-com:office:smarttags" w:element="chmetcnv">
        <w:smartTagPr>
          <w:attr w:name="TCSC" w:val="0"/>
          <w:attr w:name="NumberType" w:val="1"/>
          <w:attr w:name="Negative" w:val="False"/>
          <w:attr w:name="HasSpace" w:val="True"/>
          <w:attr w:name="SourceValue" w:val="1854"/>
          <w:attr w:name="UnitName" w:val="a"/>
        </w:smartTagPr>
        <w:r w:rsidRPr="00A428C3">
          <w:t>1854 a</w:t>
        </w:r>
      </w:smartTag>
      <w:r w:rsidRPr="00A428C3">
        <w:t xml:space="preserve"> cholera outbreak in </w:t>
      </w:r>
      <w:smartTag w:uri="urn:schemas-microsoft-com:office:smarttags" w:element="place">
        <w:smartTag w:uri="urn:schemas-microsoft-com:office:smarttags" w:element="City">
          <w:r w:rsidRPr="00A428C3">
            <w:t>London</w:t>
          </w:r>
        </w:smartTag>
      </w:smartTag>
      <w:r w:rsidRPr="00A428C3">
        <w:t xml:space="preserve"> caused 10,000 deaths</w:t>
      </w:r>
      <w:r w:rsidR="00F81221">
        <w:t xml:space="preserve"> and </w:t>
      </w:r>
      <w:r w:rsidRPr="00A428C3">
        <w:t>positively linked enteric disease with bacterial contamination of drinking water by sewage pollution. Since then, adequate water hygiene standards</w:t>
      </w:r>
      <w:r w:rsidR="00F81221">
        <w:t xml:space="preserve"> and </w:t>
      </w:r>
      <w:r w:rsidRPr="00A428C3">
        <w:t>sewage purification have played the most significant role in disease eradication</w:t>
      </w:r>
      <w:r w:rsidR="00F81221">
        <w:t xml:space="preserve"> and </w:t>
      </w:r>
      <w:r w:rsidRPr="00A428C3">
        <w:t>public health improvements everywhere. Standards for drinking water have become an extensive range of microbiological</w:t>
      </w:r>
      <w:r w:rsidR="00F81221">
        <w:t xml:space="preserve"> and </w:t>
      </w:r>
      <w:r w:rsidRPr="00A428C3">
        <w:t>chemical parametric values. Which has not increased consumer, if the media is to be believed. Customers rightly expect that the water they drink is safe</w:t>
      </w:r>
      <w:r w:rsidR="00F81221">
        <w:t xml:space="preserve"> and </w:t>
      </w:r>
      <w:r w:rsidRPr="00A428C3">
        <w:t>wholesome. Standard setting is perceived as a precise science</w:t>
      </w:r>
      <w:r w:rsidR="00F81221">
        <w:t xml:space="preserve"> and </w:t>
      </w:r>
      <w:r w:rsidRPr="00A428C3">
        <w:t>meaningful to health. Is this justified</w:t>
      </w:r>
      <w:r w:rsidR="00F81221">
        <w:t xml:space="preserve"> and </w:t>
      </w:r>
      <w:r w:rsidRPr="00A428C3">
        <w:t>do scientists</w:t>
      </w:r>
      <w:r w:rsidR="00F81221">
        <w:t xml:space="preserve"> and </w:t>
      </w:r>
      <w:r w:rsidRPr="00A428C3">
        <w:t>regulators who derive</w:t>
      </w:r>
      <w:r w:rsidR="00F81221">
        <w:t xml:space="preserve"> and </w:t>
      </w:r>
      <w:r w:rsidRPr="00A428C3">
        <w:t>set the standards understand the uncertainties in the system? Water is the universal solvent, therefore it will never be pure; it will contain impurities prior to</w:t>
      </w:r>
      <w:r w:rsidR="00F81221">
        <w:t xml:space="preserve"> and </w:t>
      </w:r>
      <w:r w:rsidRPr="00A428C3">
        <w:t>after treatment. Knowledge of its potential to become contaminated is necessary to understand the epidemiology associated with waterborne contaminants</w:t>
      </w:r>
      <w:r w:rsidR="00F81221">
        <w:t xml:space="preserve"> and </w:t>
      </w:r>
      <w:r w:rsidRPr="00A428C3">
        <w:t>their effects. Water use patterns vary considerably</w:t>
      </w:r>
      <w:r w:rsidR="00F81221">
        <w:t xml:space="preserve"> and </w:t>
      </w:r>
      <w:r w:rsidRPr="00A428C3">
        <w:t>affect assumptions based on toxicology derived from laboratory studies under tightly controlled conditions. Consideration must be given to the model systems used to assess toxicity</w:t>
      </w:r>
      <w:r w:rsidR="00F81221">
        <w:t xml:space="preserve"> and </w:t>
      </w:r>
      <w:r w:rsidRPr="00A428C3">
        <w:t>translate results from the laboratory to the real world, if sensible scientifically-based water quality standards are to be set</w:t>
      </w:r>
      <w:r w:rsidR="00F81221">
        <w:t xml:space="preserve"> and </w:t>
      </w:r>
      <w:r w:rsidRPr="00A428C3">
        <w:t>achieved cost effectively.</w:t>
      </w:r>
    </w:p>
    <w:p w:rsidR="00B95188" w:rsidRPr="00A428C3" w:rsidRDefault="00B95188" w:rsidP="00B95188">
      <w:pPr>
        <w:pStyle w:val="a0"/>
      </w:pPr>
      <w:r w:rsidRPr="00A428C3">
        <w:t>Van Dijk-Loijaard, A.M.</w:t>
      </w:r>
      <w:r w:rsidR="00F81221">
        <w:t xml:space="preserve"> and </w:t>
      </w:r>
      <w:r w:rsidRPr="00A428C3">
        <w:t xml:space="preserve">van Genderen, J. (2000), Level of exposure from drinking water.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S37-S42.</w:t>
      </w:r>
    </w:p>
    <w:p w:rsidR="00B95188" w:rsidRPr="00A428C3" w:rsidRDefault="00B95188" w:rsidP="00B95188">
      <w:pPr>
        <w:pStyle w:val="a0"/>
      </w:pPr>
      <w:r w:rsidRPr="00A428C3">
        <w:lastRenderedPageBreak/>
        <w:t xml:space="preserve">Full Text: </w:t>
      </w:r>
      <w:hyperlink r:id="rId86" w:history="1">
        <w:r w:rsidRPr="00A428C3">
          <w:rPr>
            <w:rStyle w:val="a5"/>
          </w:rPr>
          <w:t>F\Foo Che Tox38, S37.pdf</w:t>
        </w:r>
      </w:hyperlink>
    </w:p>
    <w:p w:rsidR="00B95188" w:rsidRPr="00A428C3" w:rsidRDefault="00B95188" w:rsidP="00B95188">
      <w:pPr>
        <w:pStyle w:val="a0"/>
        <w:rPr>
          <w:rFonts w:eastAsia="Arial Unicode MS"/>
        </w:rPr>
      </w:pPr>
      <w:r w:rsidRPr="00A428C3">
        <w:t>Abstract: The relative exposure from drinking water is generally small, although there is a lack of information on total daily intake of individual organic micropollutants. There are, however, a few exceptions. Materials used in domestic distribution systems (lead, copper</w:t>
      </w:r>
      <w:r w:rsidR="00F81221">
        <w:t xml:space="preserve"> and </w:t>
      </w:r>
      <w:r w:rsidRPr="00A428C3">
        <w:t>plastics) may cause a deterioration of the water quality, especially in stagnant water. The relative exposure to the related compounds may increase considerably. Monitoring data from the tap (with defined sampling techniques) are needed. Also, disinfection/oxidation by-products (bromate, trihalomethanes) can be present in drinking water in considerable amounts</w:t>
      </w:r>
      <w:r w:rsidR="00F81221">
        <w:t xml:space="preserve"> and </w:t>
      </w:r>
      <w:r w:rsidRPr="00A428C3">
        <w:t>the relative exposure from drinking water may even approach 100%. Especially for volatile organic micropollutants, exposure routes from drinking water other than ingestion must be taken into account (inhalation, percutaneous uptake). When there is a need for detection of substances at very low levels it is important that the measurements are reliable. International interlaboratory comparisons for organic micropollutants are lacking at the moment. (C) 2000 Elsevier Science Ltd. All rights reserved.</w:t>
      </w:r>
    </w:p>
    <w:p w:rsidR="00B95188" w:rsidRPr="00A428C3" w:rsidRDefault="00B95188" w:rsidP="00B95188">
      <w:pPr>
        <w:pStyle w:val="a0"/>
      </w:pPr>
      <w:r w:rsidRPr="00A428C3">
        <w:t>Keywords: Exposure, Drinking Water, Chemical Contaminants, Inhalation, Percutaneous Uptake</w:t>
      </w:r>
    </w:p>
    <w:p w:rsidR="00B95188" w:rsidRPr="00A428C3" w:rsidRDefault="00B95188" w:rsidP="00B95188">
      <w:pPr>
        <w:pStyle w:val="a0"/>
      </w:pPr>
      <w:r w:rsidRPr="00A428C3">
        <w:t>van Leeuwen, F.X. (2000), Safe drinking water: The toxicologist</w:t>
      </w:r>
      <w:r w:rsidR="000352E7">
        <w:t>’</w:t>
      </w:r>
      <w:r w:rsidRPr="00A428C3">
        <w:t xml:space="preserve">s approach.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S51-S58.</w:t>
      </w:r>
    </w:p>
    <w:p w:rsidR="00B95188" w:rsidRPr="00A428C3" w:rsidRDefault="00B95188" w:rsidP="00B95188">
      <w:pPr>
        <w:pStyle w:val="a0"/>
      </w:pPr>
      <w:r w:rsidRPr="00A428C3">
        <w:t xml:space="preserve">Full Text: </w:t>
      </w:r>
      <w:hyperlink r:id="rId87" w:history="1">
        <w:r w:rsidRPr="00A428C3">
          <w:rPr>
            <w:rStyle w:val="a5"/>
          </w:rPr>
          <w:t>F\Foo Che Tox38, S51.pdf</w:t>
        </w:r>
      </w:hyperlink>
    </w:p>
    <w:p w:rsidR="00B95188" w:rsidRPr="00A428C3" w:rsidRDefault="00B95188" w:rsidP="00B95188">
      <w:pPr>
        <w:pStyle w:val="a0"/>
      </w:pPr>
      <w:r w:rsidRPr="00A428C3">
        <w:t>Abstract:The production of adequate</w:t>
      </w:r>
      <w:r w:rsidR="00F81221">
        <w:t xml:space="preserve"> and </w:t>
      </w:r>
      <w:r w:rsidRPr="00A428C3">
        <w:t>safe drinking water is a high priority issue for safeguarding the health</w:t>
      </w:r>
      <w:r w:rsidR="00F81221">
        <w:t xml:space="preserve"> and </w:t>
      </w:r>
      <w:r w:rsidRPr="00A428C3">
        <w:t>well-being of humans all over the world. Traditionally, microbiological quality of drinking water has been the main concern, but over the last decades the attention of the general public</w:t>
      </w:r>
      <w:r w:rsidR="00F81221">
        <w:t xml:space="preserve"> and </w:t>
      </w:r>
      <w:r w:rsidRPr="00A428C3">
        <w:t>health officials on the importance of chemical quality</w:t>
      </w:r>
      <w:r w:rsidR="00F81221">
        <w:t xml:space="preserve"> and </w:t>
      </w:r>
      <w:r w:rsidRPr="00A428C3">
        <w:t>the threat of chemical pollutants have increased with the increase of our knowledge on the hazards of chemical substances. There are many sources of contamination of drinking water. Broadly they can be divided into two categories: contaminants originating from surface</w:t>
      </w:r>
      <w:r w:rsidR="00F81221">
        <w:t xml:space="preserve"> and </w:t>
      </w:r>
      <w:r w:rsidRPr="00A428C3">
        <w:t>groundwater,</w:t>
      </w:r>
      <w:r w:rsidR="00F81221">
        <w:t xml:space="preserve"> and </w:t>
      </w:r>
      <w:r w:rsidRPr="00A428C3">
        <w:t>contaminants used or formed during the treatment</w:t>
      </w:r>
      <w:r w:rsidR="00F81221">
        <w:t xml:space="preserve"> and </w:t>
      </w:r>
      <w:r w:rsidRPr="00A428C3">
        <w:t>distribution of drinking water. Contaminants in surface</w:t>
      </w:r>
      <w:r w:rsidR="00F81221">
        <w:t xml:space="preserve"> and </w:t>
      </w:r>
      <w:r w:rsidRPr="00A428C3">
        <w:t>groundwater can range from natural substances such as arsenic</w:t>
      </w:r>
      <w:r w:rsidR="00F81221">
        <w:t xml:space="preserve"> and </w:t>
      </w:r>
      <w:r w:rsidRPr="00A428C3">
        <w:t>manganese leaching from soil, to contaminants introduced by human activities, such as run-off from agricultural activities, controlled discharge from sewage treatment works</w:t>
      </w:r>
      <w:r w:rsidR="00F81221">
        <w:t xml:space="preserve"> and </w:t>
      </w:r>
      <w:r w:rsidRPr="00A428C3">
        <w:t>industrial plants,</w:t>
      </w:r>
      <w:r w:rsidR="00F81221">
        <w:t xml:space="preserve"> and </w:t>
      </w:r>
      <w:r w:rsidRPr="00A428C3">
        <w:t>uncontrolled discharges or leakage from landfill sites</w:t>
      </w:r>
      <w:r w:rsidR="00F81221">
        <w:t xml:space="preserve"> and </w:t>
      </w:r>
      <w:r w:rsidRPr="00A428C3">
        <w:t>from chemical accidents. Disinfectants</w:t>
      </w:r>
      <w:r w:rsidR="00F81221">
        <w:t xml:space="preserve"> and </w:t>
      </w:r>
      <w:r w:rsidRPr="00A428C3">
        <w:t>disinfectant by-products are well known contaminants resulting from the processes used by the drinking water industry for the treatment</w:t>
      </w:r>
      <w:r w:rsidR="00F81221">
        <w:t xml:space="preserve"> and </w:t>
      </w:r>
      <w:r w:rsidRPr="00A428C3">
        <w:t>distribution of water. The basic question in the production of drinking water is how to rid drinking water of potentially dangerous microorganisms</w:t>
      </w:r>
      <w:r w:rsidR="00F81221">
        <w:t xml:space="preserve"> and </w:t>
      </w:r>
      <w:r w:rsidRPr="00A428C3">
        <w:t xml:space="preserve">chemicals without introducing new </w:t>
      </w:r>
      <w:r w:rsidRPr="00A428C3">
        <w:lastRenderedPageBreak/>
        <w:t>hazards that might pose new</w:t>
      </w:r>
      <w:r w:rsidR="00F81221">
        <w:t xml:space="preserve"> and </w:t>
      </w:r>
      <w:r w:rsidRPr="00A428C3">
        <w:t>different threats to human health. It is the responsibility of toxicologists to provide risk assessments for chemical pollutants</w:t>
      </w:r>
      <w:r w:rsidR="00F81221">
        <w:t xml:space="preserve"> and </w:t>
      </w:r>
      <w:r w:rsidRPr="00A428C3">
        <w:t>to derive guidelines or standards for drinking water quality below which no significant health risk is encountered, to assure consumers that drinking water is safe</w:t>
      </w:r>
      <w:r w:rsidR="00F81221">
        <w:t xml:space="preserve"> and </w:t>
      </w:r>
      <w:r w:rsidRPr="00A428C3">
        <w:t>can be consumed without any risk. This paper will focus on the toxicological procedures used by the World Health Organization to derive guideline values for chemical compounds in drinking water,</w:t>
      </w:r>
      <w:r w:rsidR="00F81221">
        <w:t xml:space="preserve"> and </w:t>
      </w:r>
      <w:r w:rsidRPr="00A428C3">
        <w:t>will touch upon some critical differences in the nature of guidelines</w:t>
      </w:r>
      <w:r w:rsidR="00F81221">
        <w:t xml:space="preserve"> and </w:t>
      </w:r>
      <w:r w:rsidRPr="00A428C3">
        <w:t>legally binding standards.</w:t>
      </w:r>
    </w:p>
    <w:p w:rsidR="00B95188" w:rsidRPr="00A428C3" w:rsidRDefault="00B95188" w:rsidP="00B95188">
      <w:pPr>
        <w:pStyle w:val="a0"/>
      </w:pPr>
      <w:r w:rsidRPr="00A428C3">
        <w:t>Groten, J.P. (2000), Mixtures</w:t>
      </w:r>
      <w:r w:rsidR="00F81221">
        <w:t xml:space="preserve"> and </w:t>
      </w:r>
      <w:r w:rsidRPr="00A428C3">
        <w:t xml:space="preserve">interactions.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S65-S71.</w:t>
      </w:r>
    </w:p>
    <w:p w:rsidR="00B95188" w:rsidRPr="00A428C3" w:rsidRDefault="00B95188" w:rsidP="00B95188">
      <w:pPr>
        <w:pStyle w:val="a0"/>
      </w:pPr>
      <w:r w:rsidRPr="00A428C3">
        <w:t xml:space="preserve">Full Text: </w:t>
      </w:r>
      <w:hyperlink r:id="rId88" w:history="1">
        <w:r w:rsidRPr="00A428C3">
          <w:rPr>
            <w:rStyle w:val="a5"/>
          </w:rPr>
          <w:t>F\Foo Che Tox38, S65.pdf</w:t>
        </w:r>
      </w:hyperlink>
    </w:p>
    <w:p w:rsidR="00B95188" w:rsidRPr="00A428C3" w:rsidRDefault="00B95188" w:rsidP="00B95188">
      <w:pPr>
        <w:pStyle w:val="a0"/>
      </w:pPr>
      <w:r w:rsidRPr="00A428C3">
        <w:t>Abstract: Drinking water can be considered as a complex mixture that consists of tens, hundreds or thousands of chemicals of which the composition is qualitatively</w:t>
      </w:r>
      <w:r w:rsidR="00F81221">
        <w:t xml:space="preserve"> and </w:t>
      </w:r>
      <w:r w:rsidRPr="00A428C3">
        <w:t xml:space="preserve">quantitatively not fully known. From a public health point of view it is most relevant to answer the question of whether chemicals in drinking water interact in a way that results in an increased overall response as compared to the sum of the responses to the individual chemicals in the mixture, or indeed in an effect that is simply a summation of the expected effects of the individual chemicals. Present methods for risk assessment of mixtures rely heavily on some form of additivity model, unless data are adequate for a direct risk assessment of the mixture of concern in its entirety. The </w:t>
      </w:r>
      <w:r w:rsidR="000352E7">
        <w:t>“</w:t>
      </w:r>
      <w:r w:rsidRPr="00A428C3">
        <w:t>dose-addition</w:t>
      </w:r>
      <w:r w:rsidR="000352E7">
        <w:t>”</w:t>
      </w:r>
      <w:r w:rsidRPr="00A428C3">
        <w:t xml:space="preserve"> concept (</w:t>
      </w:r>
      <w:r w:rsidR="000352E7">
        <w:t>“</w:t>
      </w:r>
      <w:r w:rsidRPr="00A428C3">
        <w:t>simple similar action</w:t>
      </w:r>
      <w:r w:rsidR="000352E7">
        <w:t>”</w:t>
      </w:r>
      <w:r w:rsidRPr="00A428C3">
        <w:t>) is the most common approach to risk assessment of mixtures</w:t>
      </w:r>
      <w:r w:rsidR="00F81221">
        <w:t xml:space="preserve"> and </w:t>
      </w:r>
      <w:r w:rsidRPr="00A428C3">
        <w:t xml:space="preserve">it is applicable over the whole range of exposure levels from low non-toxic to toxic levels when all chemicals in the mixture act in a similar way. However, in toxicity studies at environmentally relevant exposure scenarios the mixtures that meet such conditions are the exception rather than the rule. In that case the </w:t>
      </w:r>
      <w:r w:rsidR="000352E7">
        <w:t>“</w:t>
      </w:r>
      <w:r w:rsidRPr="00A428C3">
        <w:t>effect addition</w:t>
      </w:r>
      <w:r w:rsidR="000352E7">
        <w:t>”</w:t>
      </w:r>
      <w:r w:rsidRPr="00A428C3">
        <w:t xml:space="preserve"> model has to be followed assuming </w:t>
      </w:r>
      <w:r w:rsidR="000352E7">
        <w:t>“</w:t>
      </w:r>
      <w:r w:rsidRPr="00A428C3">
        <w:t>independent joint action</w:t>
      </w:r>
      <w:r w:rsidR="000352E7">
        <w:t>”</w:t>
      </w:r>
      <w:r w:rsidRPr="00A428C3">
        <w:t>. For these compounds now experimental data have indicated that the results at low exposure levels are probably difficult to predict based on response additivity found at higher dose levels. Thus, although the additivity models are mathematically simple, they require assumptions about the mechanisms of action</w:t>
      </w:r>
      <w:r w:rsidR="00F81221">
        <w:t xml:space="preserve"> and </w:t>
      </w:r>
      <w:r w:rsidRPr="00A428C3">
        <w:t>the high-to-low dose extrapolation. Therefore, theoretical considerations in risk assessment of chemical mixtures should be verified by simple case studies. Up till now, the number of environmentally relevant mixtures to which a direct risk assessment has been devoted is limited. Even if toxicity data on individual compounds are available, we are still facing the immense problem of extrapolation of findings obtained at relatively high exposure concentration in laboratory animals to man being exposed to (much) lower concentrations. Therefore the prioritization of compounds for further research</w:t>
      </w:r>
      <w:r w:rsidR="00F81221">
        <w:t xml:space="preserve"> and </w:t>
      </w:r>
      <w:r w:rsidRPr="00A428C3">
        <w:t xml:space="preserve">the extrapolation to low doses should be considered as key issues in the assessment of possible health risks </w:t>
      </w:r>
      <w:r w:rsidRPr="00A428C3">
        <w:lastRenderedPageBreak/>
        <w:t>from exposure to chemical mixtures such as drinking water.</w:t>
      </w:r>
    </w:p>
    <w:p w:rsidR="00B95188" w:rsidRPr="00A428C3" w:rsidRDefault="00B95188" w:rsidP="00B95188">
      <w:pPr>
        <w:pStyle w:val="a0"/>
      </w:pPr>
      <w:r w:rsidRPr="00A428C3">
        <w:t xml:space="preserve">Watt, G.C., Britton, A., Gilmour, H.G., </w:t>
      </w:r>
      <w:smartTag w:uri="urn:schemas-microsoft-com:office:smarttags" w:element="City">
        <w:r w:rsidRPr="00A428C3">
          <w:t>Moore</w:t>
        </w:r>
      </w:smartTag>
      <w:r w:rsidRPr="00A428C3">
        <w:t xml:space="preserve">, M.R., </w:t>
      </w:r>
      <w:smartTag w:uri="urn:schemas-microsoft-com:office:smarttags" w:element="place">
        <w:smartTag w:uri="urn:schemas-microsoft-com:office:smarttags" w:element="City">
          <w:r w:rsidRPr="00A428C3">
            <w:t>Murray</w:t>
          </w:r>
        </w:smartTag>
      </w:smartTag>
      <w:r w:rsidRPr="00A428C3">
        <w:t>, G.D.</w:t>
      </w:r>
      <w:r w:rsidR="00F81221">
        <w:t xml:space="preserve"> and </w:t>
      </w:r>
      <w:r w:rsidRPr="00A428C3">
        <w:t xml:space="preserve">Robertson, S.J. (2000), Public health implications of new guidelines for lead in drinking water: A case study in an area with historically high water lead levels.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S73-S79.</w:t>
      </w:r>
    </w:p>
    <w:p w:rsidR="00B95188" w:rsidRPr="00A428C3" w:rsidRDefault="00B95188" w:rsidP="00B95188">
      <w:pPr>
        <w:pStyle w:val="a0"/>
      </w:pPr>
      <w:r w:rsidRPr="00A428C3">
        <w:t xml:space="preserve">Full Text: </w:t>
      </w:r>
      <w:hyperlink r:id="rId89" w:history="1">
        <w:r w:rsidRPr="00A428C3">
          <w:rPr>
            <w:rStyle w:val="a5"/>
          </w:rPr>
          <w:t>F\Foo Che Tox38, S73.pdf</w:t>
        </w:r>
      </w:hyperlink>
    </w:p>
    <w:p w:rsidR="00B95188" w:rsidRPr="00A428C3" w:rsidRDefault="00B95188" w:rsidP="00B95188">
      <w:pPr>
        <w:pStyle w:val="a0"/>
      </w:pPr>
      <w:r w:rsidRPr="00A428C3">
        <w:t>Abstract: Concern about the neurotoxicity of lead, particularly in infants</w:t>
      </w:r>
      <w:r w:rsidR="00F81221">
        <w:t xml:space="preserve"> and </w:t>
      </w:r>
      <w:r w:rsidRPr="00A428C3">
        <w:t>young children, has led to a revision of blood lead levels which are considered to involve an acceptable level of human exposure. Drinking water guidelines have also been reviewed in order to reduce this source of population exposure to lead. In the last 20 years, guidelines have been reduced from 100 to 50 to 10 microg/litre. Lead in tap water used to be a major public health problem in Glasgow because of the high prevalence of houses with lead service pipes, the low pH of the public water supply</w:t>
      </w:r>
      <w:r w:rsidR="00F81221">
        <w:t xml:space="preserve"> and </w:t>
      </w:r>
      <w:r w:rsidRPr="00A428C3">
        <w:t xml:space="preserve">the resulting high levels of lead in water used for public consumption. Following two separate programmes of water treatment, involving the addition of lime and, a decade later, lime supplemented with orthophosphate, it is considered that maximal measures have been taken to reduce lead exposure by chemical treatment of the water supply. Any residual problem of public exposure would require large scale replacement of lead service pipes. In anticipation of the more stringent limits for lead in drinking water, we set out to measure current lead exposure from tap water in the population of </w:t>
      </w:r>
      <w:smartTag w:uri="urn:schemas-microsoft-com:office:smarttags" w:element="place">
        <w:smartTag w:uri="urn:schemas-microsoft-com:office:smarttags" w:element="City">
          <w:r w:rsidRPr="00A428C3">
            <w:t>Glasgow</w:t>
          </w:r>
        </w:smartTag>
      </w:smartTag>
      <w:r w:rsidRPr="00A428C3">
        <w:t xml:space="preserve"> served by the Loch Katrine water supply, to compare the current situation with 12 years previously</w:t>
      </w:r>
      <w:r w:rsidR="00F81221">
        <w:t xml:space="preserve"> and </w:t>
      </w:r>
      <w:r w:rsidRPr="00A428C3">
        <w:t>to assess the public health implications of different limits. The study was based on mothers of young children since maternal blood lead concentrations</w:t>
      </w:r>
      <w:r w:rsidR="00F81221">
        <w:t xml:space="preserve"> and </w:t>
      </w:r>
      <w:r w:rsidRPr="00A428C3">
        <w:t>the domestic water that mothers use to prepare bottle feeds are the principal sources of foetal</w:t>
      </w:r>
      <w:r w:rsidR="00F81221">
        <w:t xml:space="preserve"> and </w:t>
      </w:r>
      <w:r w:rsidRPr="00A428C3">
        <w:t>infant lead exposure. An estimated 17% of mothers lived in households with tap water lead concentrations of 10 microg/litre (the [WHO, ] guideline) or above in 1993 compared with 49% in 1981. Mean maternal blood lead concentrations fell by 69% in 12 years. For a given water lead concentration, maternal blood lead concentrations were 67% lower. The mean maternal blood lead concentration was 3.7 microg/litre in the population at large, compared with 3.3 microg/litre in households with negligible or absent tap water lead. Nevertheless, between 63%</w:t>
      </w:r>
      <w:r w:rsidR="00F81221">
        <w:t xml:space="preserve"> and </w:t>
      </w:r>
      <w:r w:rsidRPr="00A428C3">
        <w:t>76% of cases of mothers with blood lead concentrations of 10 microg/dl or above were attributable to tap water lead. The study found that maternal blood lead concentrations were well within limits currently considered safe for human health. About 15% of infants may be exposed via bottle feeds to tap water lead concentrations that exceed the WHO guideline of 10 microg/litre. In the context of the health</w:t>
      </w:r>
      <w:r w:rsidR="00F81221">
        <w:t xml:space="preserve"> and </w:t>
      </w:r>
      <w:r w:rsidRPr="00A428C3">
        <w:t>social problems which affect the well-being</w:t>
      </w:r>
      <w:r w:rsidR="00F81221">
        <w:t xml:space="preserve"> and </w:t>
      </w:r>
      <w:r w:rsidRPr="00A428C3">
        <w:t>development of infants</w:t>
      </w:r>
      <w:r w:rsidR="00F81221">
        <w:t xml:space="preserve"> and </w:t>
      </w:r>
      <w:r w:rsidRPr="00A428C3">
        <w:t xml:space="preserve">children in </w:t>
      </w:r>
      <w:smartTag w:uri="urn:schemas-microsoft-com:office:smarttags" w:element="place">
        <w:smartTag w:uri="urn:schemas-microsoft-com:office:smarttags" w:element="City">
          <w:r w:rsidRPr="00A428C3">
            <w:t>Glasgow</w:t>
          </w:r>
        </w:smartTag>
      </w:smartTag>
      <w:r w:rsidRPr="00A428C3">
        <w:t>, however, current levels of lead exposure are considered to present a relatively minor health problem.</w:t>
      </w:r>
    </w:p>
    <w:p w:rsidR="00B95188" w:rsidRPr="00A428C3" w:rsidRDefault="00B95188" w:rsidP="00B95188">
      <w:pPr>
        <w:pStyle w:val="a0"/>
      </w:pPr>
      <w:r w:rsidRPr="00A428C3">
        <w:lastRenderedPageBreak/>
        <w:t>Buchet, J.P.</w:t>
      </w:r>
      <w:r w:rsidR="00F81221">
        <w:t xml:space="preserve"> and </w:t>
      </w:r>
      <w:r w:rsidRPr="00A428C3">
        <w:t>Lison, D. (2000), Clues</w:t>
      </w:r>
      <w:r w:rsidR="00F81221">
        <w:t xml:space="preserve"> and </w:t>
      </w:r>
      <w:r w:rsidRPr="00A428C3">
        <w:t xml:space="preserve">uncertainties in the risk assessment of arsenic in drinking water. </w:t>
      </w:r>
      <w:r w:rsidRPr="00A428C3">
        <w:rPr>
          <w:i/>
          <w:iCs/>
        </w:rPr>
        <w:t>Food</w:t>
      </w:r>
      <w:r w:rsidR="00F81221">
        <w:rPr>
          <w:i/>
          <w:iCs/>
        </w:rPr>
        <w:t xml:space="preserve"> and </w:t>
      </w:r>
      <w:r w:rsidRPr="00A428C3">
        <w:rPr>
          <w:i/>
          <w:iCs/>
        </w:rPr>
        <w:t>Chemical Toxicology</w:t>
      </w:r>
      <w:r w:rsidRPr="00A428C3">
        <w:t xml:space="preserve">, </w:t>
      </w:r>
      <w:r w:rsidRPr="00A428C3">
        <w:rPr>
          <w:b/>
        </w:rPr>
        <w:t>38</w:t>
      </w:r>
      <w:r w:rsidRPr="00A428C3">
        <w:t xml:space="preserve"> (1), S81-S85.</w:t>
      </w:r>
    </w:p>
    <w:p w:rsidR="00B95188" w:rsidRPr="00A428C3" w:rsidRDefault="00B95188" w:rsidP="00B95188">
      <w:pPr>
        <w:pStyle w:val="a0"/>
      </w:pPr>
      <w:r w:rsidRPr="00A428C3">
        <w:t xml:space="preserve">Full Text: </w:t>
      </w:r>
      <w:hyperlink r:id="rId90" w:history="1">
        <w:r w:rsidRPr="00A428C3">
          <w:rPr>
            <w:rStyle w:val="a5"/>
          </w:rPr>
          <w:t>F\Foo Che Tox38, S81.pdf</w:t>
        </w:r>
      </w:hyperlink>
    </w:p>
    <w:p w:rsidR="00B95188" w:rsidRPr="00A428C3" w:rsidRDefault="00B95188" w:rsidP="00B95188">
      <w:pPr>
        <w:pStyle w:val="a0"/>
      </w:pPr>
      <w:r w:rsidRPr="00A428C3">
        <w:t xml:space="preserve">Abstract: On the basis of studies of the prevalence of skin cancer among users of As-rich well water in </w:t>
      </w:r>
      <w:smartTag w:uri="urn:schemas-microsoft-com:office:smarttags" w:element="place">
        <w:smartTag w:uri="urn:schemas-microsoft-com:office:smarttags" w:element="country-region">
          <w:r w:rsidRPr="00A428C3">
            <w:t>Taiwan</w:t>
          </w:r>
        </w:smartTag>
      </w:smartTag>
      <w:r w:rsidRPr="00A428C3">
        <w:t xml:space="preserve">, WHO experts recommended in </w:t>
      </w:r>
      <w:smartTag w:uri="urn:schemas-microsoft-com:office:smarttags" w:element="chmetcnv">
        <w:smartTagPr>
          <w:attr w:name="TCSC" w:val="0"/>
          <w:attr w:name="NumberType" w:val="1"/>
          <w:attr w:name="Negative" w:val="False"/>
          <w:attr w:name="HasSpace" w:val="True"/>
          <w:attr w:name="SourceValue" w:val="1984"/>
          <w:attr w:name="UnitName" w:val="a"/>
        </w:smartTagPr>
        <w:r w:rsidRPr="00A428C3">
          <w:t>1984 a</w:t>
        </w:r>
      </w:smartTag>
      <w:r w:rsidRPr="00A428C3">
        <w:t xml:space="preserve"> maximum As concentration of 50 µg/litre in drinking water. Since that time, a plethora of non-cancer as well as cancer effects has been observed in several other populations sustaining a chronic exposure to various As concentrations in drinking water. This prompted a revision of the standard</w:t>
      </w:r>
      <w:r w:rsidR="00F81221">
        <w:t xml:space="preserve"> and </w:t>
      </w:r>
      <w:r w:rsidRPr="00A428C3">
        <w:t>a provisional guideline of 10 µg/litre was recommended in 1993. While the uncertainty linked to the statistical inferences leading to the guideline are reduced by the fact that they are directly estimated from human data</w:t>
      </w:r>
      <w:r w:rsidR="00F81221">
        <w:t xml:space="preserve"> and </w:t>
      </w:r>
      <w:r w:rsidRPr="00A428C3">
        <w:t>result from extrapolations made relatively close to observed exposure levels, developed guideline depends strongly on the choice of the dose-response model (linear, quadratic, hockey-stick)</w:t>
      </w:r>
      <w:r w:rsidR="00F81221">
        <w:t xml:space="preserve"> and </w:t>
      </w:r>
      <w:r w:rsidRPr="00A428C3">
        <w:t>the accuracy of the exposure data. The potential exposure to As sources other than drinking water, dietary habits</w:t>
      </w:r>
      <w:r w:rsidR="00F81221">
        <w:t xml:space="preserve"> and </w:t>
      </w:r>
      <w:r w:rsidRPr="00A428C3">
        <w:t>genetic characteristics of the populations may also make more difficult the inference of a recommendation for As concentration in drinking water. Owing to the huge cost of strongly reducing the current As in water standard, many efforts are presently made to clarify the quantitative aspects of As-induced cancers, particularly at low dose levels. New data on the metabolism</w:t>
      </w:r>
      <w:r w:rsidR="00F81221">
        <w:t xml:space="preserve"> and </w:t>
      </w:r>
      <w:r w:rsidRPr="00A428C3">
        <w:t>carcinogenic mechanism of As in humans along with the results of epidemiological studies presently under way in several countries will help to reduce the uncertainty in the risk assessment of As. (C) 2000 Elsevier Science Ltd. All rights reserved.</w:t>
      </w:r>
    </w:p>
    <w:p w:rsidR="00B95188" w:rsidRPr="00A428C3" w:rsidRDefault="00B95188" w:rsidP="00B95188">
      <w:pPr>
        <w:pStyle w:val="a0"/>
      </w:pPr>
      <w:r w:rsidRPr="00A428C3">
        <w:t>Keywords: Arsenic, Drinking Water, Risk Assessment</w:t>
      </w:r>
    </w:p>
    <w:p w:rsidR="00B95188" w:rsidRPr="00A428C3" w:rsidRDefault="00B95188" w:rsidP="00B95188">
      <w:pPr>
        <w:pStyle w:val="a0"/>
      </w:pPr>
      <w:r w:rsidRPr="00A428C3">
        <w:t>Younes, M.</w:t>
      </w:r>
      <w:r w:rsidR="00F81221">
        <w:t xml:space="preserve"> and </w:t>
      </w:r>
      <w:r w:rsidRPr="00A428C3">
        <w:t xml:space="preserve">Galal-Gorchev, H. (2000), Pesticides in drinking water: A case study. </w:t>
      </w:r>
      <w:r w:rsidRPr="00A428C3">
        <w:rPr>
          <w:i/>
        </w:rPr>
        <w:t>Food</w:t>
      </w:r>
      <w:r w:rsidR="00F81221">
        <w:rPr>
          <w:i/>
        </w:rPr>
        <w:t xml:space="preserve"> and </w:t>
      </w:r>
      <w:r w:rsidRPr="00A428C3">
        <w:rPr>
          <w:i/>
        </w:rPr>
        <w:t>Chemical Toxicology</w:t>
      </w:r>
      <w:r w:rsidRPr="00A428C3">
        <w:t xml:space="preserve">, </w:t>
      </w:r>
      <w:r w:rsidRPr="00A428C3">
        <w:rPr>
          <w:b/>
        </w:rPr>
        <w:t>38</w:t>
      </w:r>
      <w:r w:rsidRPr="00A428C3">
        <w:t xml:space="preserve"> (1), S87-S90.</w:t>
      </w:r>
    </w:p>
    <w:p w:rsidR="00B95188" w:rsidRPr="00A428C3" w:rsidRDefault="00B95188" w:rsidP="00B95188">
      <w:pPr>
        <w:pStyle w:val="a0"/>
      </w:pPr>
      <w:r w:rsidRPr="00A428C3">
        <w:t xml:space="preserve">Full Text: </w:t>
      </w:r>
      <w:hyperlink r:id="rId91" w:history="1">
        <w:r w:rsidRPr="00A428C3">
          <w:rPr>
            <w:rStyle w:val="a5"/>
          </w:rPr>
          <w:t>F\Foo Che Tox38, S87.pdf</w:t>
        </w:r>
      </w:hyperlink>
    </w:p>
    <w:p w:rsidR="00B95188" w:rsidRPr="00A428C3" w:rsidRDefault="00B95188" w:rsidP="00B95188">
      <w:pPr>
        <w:pStyle w:val="a0"/>
      </w:pPr>
      <w:r w:rsidRPr="00A428C3">
        <w:t>Abstract: Pesticides occupy a unique position among chemicals found in drinking water, since they are deliberately used to control pests in agriculture</w:t>
      </w:r>
      <w:r w:rsidR="00F81221">
        <w:t xml:space="preserve"> and </w:t>
      </w:r>
      <w:r w:rsidRPr="00A428C3">
        <w:t>public health. They comprise a variety of compounds of various chemical properties (many of which being persistent in the environment), toxic potential,</w:t>
      </w:r>
      <w:r w:rsidR="00F81221">
        <w:t xml:space="preserve"> and </w:t>
      </w:r>
      <w:r w:rsidRPr="00A428C3">
        <w:t>mechanism of action. Safety assessment for drinking water is conducted by allocating health-based guidelines for exposure through this environmental medium. The tolerable daily intake (TDI) approach is used by WHO in the case of pesticides with assumed thresholds of effect, while low-dose extrapolation is used in the case of non-threshold carcinogens. Risk management, however, can also be based on the precautionary principle. Risk assessment evaluates the risk emanating from a given exposure on the basis of all available data.</w:t>
      </w:r>
    </w:p>
    <w:p w:rsidR="00B95188" w:rsidRPr="00A428C3" w:rsidRDefault="00B95188" w:rsidP="00B95188">
      <w:pPr>
        <w:pStyle w:val="a0"/>
      </w:pPr>
      <w:r w:rsidRPr="00A428C3">
        <w:t>Waisberg, M., Black, W.D., Waisberg, C.M.</w:t>
      </w:r>
      <w:r w:rsidR="00F81221">
        <w:t xml:space="preserve"> and </w:t>
      </w:r>
      <w:r w:rsidRPr="00A428C3">
        <w:t xml:space="preserve">Hale, B. (2004), The effect of pH, </w:t>
      </w:r>
      <w:r w:rsidRPr="00A428C3">
        <w:lastRenderedPageBreak/>
        <w:t>time</w:t>
      </w:r>
      <w:r w:rsidR="00F81221">
        <w:t xml:space="preserve"> and </w:t>
      </w:r>
      <w:r w:rsidRPr="00A428C3">
        <w:t>dietary source of cadmium on the bioaccessibility</w:t>
      </w:r>
      <w:r w:rsidR="00F81221">
        <w:t xml:space="preserve"> and </w:t>
      </w:r>
      <w:r w:rsidRPr="00A428C3">
        <w:t>adsorption of cadmium to/from lettuce (</w:t>
      </w:r>
      <w:r w:rsidRPr="00A428C3">
        <w:rPr>
          <w:i/>
          <w:iCs/>
        </w:rPr>
        <w:t>Lactuca sativa</w:t>
      </w:r>
      <w:r w:rsidRPr="00A428C3">
        <w:t xml:space="preserve"> L. cv. Ostinata). </w:t>
      </w:r>
      <w:r w:rsidRPr="00A428C3">
        <w:rPr>
          <w:i/>
        </w:rPr>
        <w:t>Food</w:t>
      </w:r>
      <w:r w:rsidR="00F81221">
        <w:rPr>
          <w:i/>
        </w:rPr>
        <w:t xml:space="preserve"> and </w:t>
      </w:r>
      <w:r w:rsidRPr="00A428C3">
        <w:rPr>
          <w:i/>
        </w:rPr>
        <w:t>Chemical Toxicology</w:t>
      </w:r>
      <w:r w:rsidRPr="00A428C3">
        <w:t xml:space="preserve">, </w:t>
      </w:r>
      <w:r w:rsidRPr="00A428C3">
        <w:rPr>
          <w:b/>
        </w:rPr>
        <w:t>42</w:t>
      </w:r>
      <w:r w:rsidRPr="00A428C3">
        <w:t xml:space="preserve"> (5), 835-842.</w:t>
      </w:r>
    </w:p>
    <w:p w:rsidR="00B95188" w:rsidRPr="00A428C3" w:rsidRDefault="00B95188" w:rsidP="00B95188">
      <w:pPr>
        <w:pStyle w:val="a0"/>
      </w:pPr>
      <w:r w:rsidRPr="00A428C3">
        <w:t xml:space="preserve">Full Text: </w:t>
      </w:r>
      <w:hyperlink r:id="rId92" w:history="1">
        <w:r w:rsidRPr="00A428C3">
          <w:rPr>
            <w:rStyle w:val="a5"/>
          </w:rPr>
          <w:t>F\Foo Che Tox42, 835.pdf</w:t>
        </w:r>
      </w:hyperlink>
    </w:p>
    <w:p w:rsidR="00B95188" w:rsidRPr="00A428C3" w:rsidRDefault="00B95188" w:rsidP="00B95188">
      <w:pPr>
        <w:pStyle w:val="a0"/>
      </w:pPr>
      <w:r w:rsidRPr="00A428C3">
        <w:t>Abstract: This study evaluated the influence of three variables in the effectiveness of an in vitro digestion protocol used to determine bioaccessibility of cadmium from the diet. The percentage of solubilized metal was measured in relation to digestion time, pH of each digestion phase</w:t>
      </w:r>
      <w:r w:rsidR="00F81221">
        <w:t xml:space="preserve"> and </w:t>
      </w:r>
      <w:r w:rsidRPr="00A428C3">
        <w:t>the dietary source of the metal in the diet. Because it would be convenient to add the metal to the diet before digestion instead of growing contaminated vegetables, the importance of metal incorporation in the plant in comparison to amendment through foliar spraying was also studied. From our results we conclude that the dietary source of metal in the protocols tested doesn</w:t>
      </w:r>
      <w:r w:rsidR="000352E7">
        <w:t>’</w:t>
      </w:r>
      <w:r w:rsidRPr="00A428C3">
        <w:t>t seem to be a significant factor when comparing the lettuce sprayed with cadmium with the lettuce that had cadmium incorporated in it, although the difference was barely significant (</w:t>
      </w:r>
      <w:r w:rsidRPr="00A428C3">
        <w:rPr>
          <w:i/>
          <w:iCs/>
        </w:rPr>
        <w:t>P</w:t>
      </w:r>
      <w:r w:rsidRPr="00A428C3">
        <w:t>=0.057). Time affects the digestion in different ways depending on the dietary source of cadmium. pH is a relevant factor in both intestinal</w:t>
      </w:r>
      <w:r w:rsidR="00F81221">
        <w:t xml:space="preserve"> and </w:t>
      </w:r>
      <w:r w:rsidRPr="00A428C3">
        <w:t>gastric phases</w:t>
      </w:r>
      <w:r w:rsidR="00F81221">
        <w:t xml:space="preserve"> and </w:t>
      </w:r>
      <w:r w:rsidRPr="00A428C3">
        <w:t>should be taken into consideration when analyzing the results from in vitro digestions. Since the intestinal phase in our experiments decreased the amount of cadmium solubilized during the digestion, we investigated the effect of pH on the adsorption of this metal to lettuce</w:t>
      </w:r>
      <w:r w:rsidR="00F81221">
        <w:t xml:space="preserve"> and </w:t>
      </w:r>
      <w:r w:rsidRPr="00A428C3">
        <w:t>found that there is an increased binding of cadmium at pH values above 3. Therefore we suggest that part of the reduction in bioaccessibility following intestinal digestion could be explained by an increase in adsorption of metal to the plant material at higher pH values.</w:t>
      </w:r>
    </w:p>
    <w:p w:rsidR="00B95188" w:rsidRPr="00A428C3" w:rsidRDefault="00B95188" w:rsidP="00B95188">
      <w:pPr>
        <w:pStyle w:val="a0"/>
      </w:pPr>
      <w:r w:rsidRPr="00A428C3">
        <w:t>Keywords: Cadmium, In Vitro Digestion, Bioaccessibility, Adsorption, Lettuce, Bioavailability, Binding</w:t>
      </w:r>
    </w:p>
    <w:p w:rsidR="00353E57" w:rsidRDefault="00353E57" w:rsidP="00353E57">
      <w:pPr>
        <w:pStyle w:val="a0"/>
        <w:rPr>
          <w:kern w:val="0"/>
        </w:rPr>
      </w:pPr>
      <w:r>
        <w:rPr>
          <w:rFonts w:hint="eastAsia"/>
          <w:kern w:val="0"/>
        </w:rPr>
        <w:t xml:space="preserve">? </w:t>
      </w:r>
      <w:r>
        <w:rPr>
          <w:kern w:val="0"/>
        </w:rPr>
        <w:t>Shokrolahi, A., Ghaedi, M., Shabani, R., Montazerozohori, M., Chehreh, F., Soylak, M.</w:t>
      </w:r>
      <w:r w:rsidR="00F81221">
        <w:rPr>
          <w:kern w:val="0"/>
        </w:rPr>
        <w:t xml:space="preserve"> and </w:t>
      </w:r>
      <w:r>
        <w:rPr>
          <w:kern w:val="0"/>
        </w:rPr>
        <w:t>Alipour, S. (2010), A preconcentration procedure for copper, nickel</w:t>
      </w:r>
      <w:r w:rsidR="00F81221">
        <w:rPr>
          <w:kern w:val="0"/>
        </w:rPr>
        <w:t xml:space="preserve"> and </w:t>
      </w:r>
      <w:r>
        <w:rPr>
          <w:kern w:val="0"/>
        </w:rPr>
        <w:t>chromium ions in some food</w:t>
      </w:r>
      <w:r w:rsidR="00F81221">
        <w:rPr>
          <w:kern w:val="0"/>
        </w:rPr>
        <w:t xml:space="preserve"> and </w:t>
      </w:r>
      <w:r>
        <w:rPr>
          <w:kern w:val="0"/>
        </w:rPr>
        <w:t xml:space="preserve">environmental samples on modified Diaion SP-850. </w:t>
      </w:r>
      <w:r>
        <w:rPr>
          <w:i/>
          <w:iCs/>
          <w:kern w:val="0"/>
        </w:rPr>
        <w:t>Food</w:t>
      </w:r>
      <w:r w:rsidR="00F81221">
        <w:rPr>
          <w:i/>
          <w:iCs/>
          <w:kern w:val="0"/>
        </w:rPr>
        <w:t xml:space="preserve"> and </w:t>
      </w:r>
      <w:r>
        <w:rPr>
          <w:i/>
          <w:iCs/>
          <w:kern w:val="0"/>
        </w:rPr>
        <w:t>Chemical Toxicology</w:t>
      </w:r>
      <w:r>
        <w:rPr>
          <w:kern w:val="0"/>
        </w:rPr>
        <w:t xml:space="preserve">, </w:t>
      </w:r>
      <w:r>
        <w:rPr>
          <w:b/>
          <w:bCs/>
          <w:kern w:val="0"/>
        </w:rPr>
        <w:t>48</w:t>
      </w:r>
      <w:r>
        <w:rPr>
          <w:kern w:val="0"/>
        </w:rPr>
        <w:t xml:space="preserve"> (2), 482-489.</w:t>
      </w:r>
    </w:p>
    <w:p w:rsidR="00353E57" w:rsidRPr="00F03D2F" w:rsidRDefault="00353E57" w:rsidP="00353E57">
      <w:pPr>
        <w:pStyle w:val="a0"/>
        <w:rPr>
          <w:kern w:val="0"/>
        </w:rPr>
      </w:pPr>
      <w:r w:rsidRPr="00F03D2F">
        <w:rPr>
          <w:kern w:val="0"/>
        </w:rPr>
        <w:t>Full Text:</w:t>
      </w:r>
      <w:r w:rsidRPr="00D7601C">
        <w:t xml:space="preserve"> </w:t>
      </w:r>
      <w:hyperlink r:id="rId93" w:history="1">
        <w:r w:rsidRPr="007B3199">
          <w:rPr>
            <w:rStyle w:val="a5"/>
          </w:rPr>
          <w:t>2010\Foo Che Tox48, 482.pdf</w:t>
        </w:r>
      </w:hyperlink>
    </w:p>
    <w:p w:rsidR="00353E57" w:rsidRDefault="00353E57" w:rsidP="00353E57">
      <w:pPr>
        <w:pStyle w:val="a0"/>
        <w:rPr>
          <w:kern w:val="0"/>
        </w:rPr>
      </w:pPr>
      <w:r>
        <w:rPr>
          <w:kern w:val="0"/>
        </w:rPr>
        <w:t>Abstract: A sensitive</w:t>
      </w:r>
      <w:r w:rsidR="00F81221">
        <w:rPr>
          <w:kern w:val="0"/>
        </w:rPr>
        <w:t xml:space="preserve"> and </w:t>
      </w:r>
      <w:r>
        <w:rPr>
          <w:kern w:val="0"/>
        </w:rPr>
        <w:t>simple method for the simultaneous preconcentration of trace amount of Cu</w:t>
      </w:r>
      <w:r w:rsidRPr="004205FB">
        <w:rPr>
          <w:kern w:val="0"/>
          <w:vertAlign w:val="superscript"/>
        </w:rPr>
        <w:t>2+</w:t>
      </w:r>
      <w:r>
        <w:rPr>
          <w:kern w:val="0"/>
        </w:rPr>
        <w:t>, Ni</w:t>
      </w:r>
      <w:r w:rsidRPr="004205FB">
        <w:rPr>
          <w:kern w:val="0"/>
          <w:vertAlign w:val="superscript"/>
        </w:rPr>
        <w:t>2+</w:t>
      </w:r>
      <w:r w:rsidR="00F81221">
        <w:rPr>
          <w:kern w:val="0"/>
        </w:rPr>
        <w:t xml:space="preserve"> and </w:t>
      </w:r>
      <w:r>
        <w:rPr>
          <w:kern w:val="0"/>
        </w:rPr>
        <w:t>Cr</w:t>
      </w:r>
      <w:r w:rsidRPr="004205FB">
        <w:rPr>
          <w:kern w:val="0"/>
          <w:vertAlign w:val="superscript"/>
        </w:rPr>
        <w:t>3+</w:t>
      </w:r>
      <w:r>
        <w:rPr>
          <w:kern w:val="0"/>
        </w:rPr>
        <w:t xml:space="preserve"> ions in some real samples has been reported In this method these elements are adsorbed as respective complex with Bis(2-hydroxyacetophenone)-1,2-propanediimine (BHAPPDI) on Diaion SP-850</w:t>
      </w:r>
      <w:r w:rsidR="00F81221">
        <w:rPr>
          <w:kern w:val="0"/>
        </w:rPr>
        <w:t xml:space="preserve"> and </w:t>
      </w:r>
      <w:r>
        <w:rPr>
          <w:kern w:val="0"/>
        </w:rPr>
        <w:t>the retained metal ions are eluted using 8 ml of 4 M nitric acid. The influences of the analytical parameters including pH, solid phase ingredients amount</w:t>
      </w:r>
      <w:r w:rsidR="00F81221">
        <w:rPr>
          <w:kern w:val="0"/>
        </w:rPr>
        <w:t xml:space="preserve"> and </w:t>
      </w:r>
      <w:r>
        <w:rPr>
          <w:kern w:val="0"/>
        </w:rPr>
        <w:t>condition of eluting solution</w:t>
      </w:r>
      <w:r w:rsidR="00F81221">
        <w:rPr>
          <w:kern w:val="0"/>
        </w:rPr>
        <w:t xml:space="preserve"> and </w:t>
      </w:r>
      <w:r>
        <w:rPr>
          <w:kern w:val="0"/>
        </w:rPr>
        <w:t xml:space="preserve">sample volume were investigated. The effects of matrix ions on retentions of the analytes were also examined. The recoveries of analytes were generally higher than 90% with a relatively low RSD. The method has been </w:t>
      </w:r>
      <w:r>
        <w:rPr>
          <w:kern w:val="0"/>
        </w:rPr>
        <w:lastRenderedPageBreak/>
        <w:t>successfully applied for these metal ions contents evaluation in some food</w:t>
      </w:r>
      <w:r w:rsidR="00F81221">
        <w:rPr>
          <w:kern w:val="0"/>
        </w:rPr>
        <w:t xml:space="preserve"> and </w:t>
      </w:r>
      <w:r>
        <w:rPr>
          <w:kern w:val="0"/>
        </w:rPr>
        <w:t>environmental samples. (C) 2009 Elsevier Ltd. All rights reserved.</w:t>
      </w:r>
    </w:p>
    <w:p w:rsidR="00353E57" w:rsidRDefault="00353E57" w:rsidP="00353E57">
      <w:pPr>
        <w:pStyle w:val="a0"/>
        <w:rPr>
          <w:kern w:val="0"/>
        </w:rPr>
      </w:pPr>
      <w:r>
        <w:rPr>
          <w:kern w:val="0"/>
        </w:rPr>
        <w:t>Keywords: Activated Carbon, Amberlite XAD-2, Atomic-Absorption-Spectrometry, Biological Samples, Chelating Resin, Chromium, Chromium Ions, Copper, Cu</w:t>
      </w:r>
      <w:r w:rsidRPr="004205FB">
        <w:rPr>
          <w:kern w:val="0"/>
          <w:vertAlign w:val="superscript"/>
        </w:rPr>
        <w:t>2+</w:t>
      </w:r>
      <w:r>
        <w:rPr>
          <w:kern w:val="0"/>
        </w:rPr>
        <w:t>, Diaion Sp-850, Environmental, Evaluation, Food, Food Samples, Heavy-Metals, Ions, Matrix, Metal, Metal Ions, Modified, Modified Silica-Gel, Ni</w:t>
      </w:r>
      <w:r w:rsidRPr="004205FB">
        <w:rPr>
          <w:kern w:val="0"/>
          <w:vertAlign w:val="superscript"/>
        </w:rPr>
        <w:t>2+</w:t>
      </w:r>
      <w:r>
        <w:rPr>
          <w:kern w:val="0"/>
        </w:rPr>
        <w:t xml:space="preserve">, Nickel, Online Preconcentration, </w:t>
      </w:r>
      <w:r>
        <w:rPr>
          <w:rFonts w:hint="eastAsia"/>
          <w:kern w:val="0"/>
        </w:rPr>
        <w:t>p</w:t>
      </w:r>
      <w:r>
        <w:rPr>
          <w:kern w:val="0"/>
        </w:rPr>
        <w:t>H, Preconcentration, Procedure, Rights, Solid Phase Extraction, Solid-Phase Extraction, Solution, Trace-Metal Ions, Volume</w:t>
      </w:r>
    </w:p>
    <w:p w:rsidR="00B95188" w:rsidRPr="00A428C3" w:rsidRDefault="00B95188" w:rsidP="00B95188">
      <w:pPr>
        <w:pStyle w:val="1"/>
      </w:pPr>
      <w:r w:rsidRPr="00A428C3">
        <w:br w:type="page"/>
      </w:r>
      <w:bookmarkStart w:id="104" w:name="_Toc518780855"/>
      <w:bookmarkStart w:id="105" w:name="_Toc186647676"/>
      <w:bookmarkStart w:id="106" w:name="_Toc317160845"/>
      <w:r w:rsidRPr="00A428C3">
        <w:lastRenderedPageBreak/>
        <w:t>Title: Food Chemistry</w:t>
      </w:r>
      <w:bookmarkEnd w:id="104"/>
      <w:bookmarkEnd w:id="105"/>
      <w:bookmarkEnd w:id="106"/>
    </w:p>
    <w:p w:rsidR="00B95188" w:rsidRPr="00A428C3" w:rsidRDefault="00B95188" w:rsidP="00B72EF9">
      <w:pPr>
        <w:pStyle w:val="12"/>
      </w:pPr>
      <w:r w:rsidRPr="00A428C3">
        <w:t xml:space="preserve">Full Journal Title: </w:t>
      </w:r>
      <w:hyperlink r:id="rId94" w:history="1">
        <w:r w:rsidRPr="00A428C3">
          <w:rPr>
            <w:rStyle w:val="a5"/>
          </w:rPr>
          <w:t>Food Chemistry</w:t>
        </w:r>
      </w:hyperlink>
    </w:p>
    <w:p w:rsidR="00B95188" w:rsidRPr="00A428C3" w:rsidRDefault="00B95188" w:rsidP="00B72EF9">
      <w:pPr>
        <w:pStyle w:val="12"/>
      </w:pPr>
      <w:r w:rsidRPr="00A428C3">
        <w:t>ISO Abbreviated Title: Food Chem.</w:t>
      </w:r>
    </w:p>
    <w:p w:rsidR="00B95188" w:rsidRPr="00A428C3" w:rsidRDefault="00B95188" w:rsidP="00B72EF9">
      <w:pPr>
        <w:pStyle w:val="12"/>
      </w:pPr>
      <w:r w:rsidRPr="00A428C3">
        <w:t>JCR Abbreviated Title: Food Chem</w:t>
      </w:r>
    </w:p>
    <w:p w:rsidR="00B95188" w:rsidRPr="00A428C3" w:rsidRDefault="00B95188" w:rsidP="00B72EF9">
      <w:pPr>
        <w:pStyle w:val="12"/>
      </w:pPr>
      <w:r w:rsidRPr="00A428C3">
        <w:t>ISSN: 0308-8146</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Elsevier Sci Ltd</w:t>
      </w:r>
    </w:p>
    <w:p w:rsidR="00B95188" w:rsidRPr="00A428C3" w:rsidRDefault="00B95188" w:rsidP="00B72EF9">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Applied: Impact Factor 0.921, / (2000)</w:t>
      </w:r>
    </w:p>
    <w:p w:rsidR="00B95188" w:rsidRPr="00A428C3" w:rsidRDefault="00B95188" w:rsidP="00B72EF9">
      <w:pPr>
        <w:pStyle w:val="12"/>
      </w:pPr>
      <w:r w:rsidRPr="00A428C3">
        <w:t>Food Science &amp; Technology: Impact Factor 0.921, / (2000)</w:t>
      </w:r>
    </w:p>
    <w:p w:rsidR="00B95188" w:rsidRPr="00A428C3" w:rsidRDefault="00B95188" w:rsidP="00B72EF9">
      <w:pPr>
        <w:pStyle w:val="12"/>
      </w:pPr>
      <w:r w:rsidRPr="00A428C3">
        <w:t>Nutrition &amp; Dietetics: Impact Factor 0.921, / (2000)</w:t>
      </w:r>
    </w:p>
    <w:p w:rsidR="002B32DB" w:rsidRPr="00A428C3" w:rsidRDefault="002B32DB" w:rsidP="002B32DB">
      <w:pPr>
        <w:pStyle w:val="a0"/>
      </w:pPr>
      <w:r>
        <w:rPr>
          <w:rFonts w:hint="eastAsia"/>
        </w:rPr>
        <w:t>?</w:t>
      </w:r>
      <w:r w:rsidRPr="002B32DB">
        <w:t xml:space="preserve"> </w:t>
      </w:r>
      <w:r>
        <w:t>Aworh</w:t>
      </w:r>
      <w:r>
        <w:rPr>
          <w:rFonts w:hint="eastAsia"/>
        </w:rPr>
        <w:t>,</w:t>
      </w:r>
      <w:r>
        <w:t xml:space="preserve"> O</w:t>
      </w:r>
      <w:r>
        <w:rPr>
          <w:rFonts w:hint="eastAsia"/>
        </w:rPr>
        <w:t>.</w:t>
      </w:r>
      <w:r>
        <w:t>C</w:t>
      </w:r>
      <w:r>
        <w:rPr>
          <w:rFonts w:hint="eastAsia"/>
        </w:rPr>
        <w:t>.</w:t>
      </w:r>
      <w:r w:rsidR="00F81221">
        <w:rPr>
          <w:rFonts w:hint="eastAsia"/>
        </w:rPr>
        <w:t xml:space="preserve"> and </w:t>
      </w:r>
      <w:r>
        <w:t>Muller</w:t>
      </w:r>
      <w:r>
        <w:rPr>
          <w:rFonts w:hint="eastAsia"/>
        </w:rPr>
        <w:t>,</w:t>
      </w:r>
      <w:r>
        <w:t xml:space="preserve"> H</w:t>
      </w:r>
      <w:r>
        <w:rPr>
          <w:rFonts w:hint="eastAsia"/>
        </w:rPr>
        <w:t>.</w:t>
      </w:r>
      <w:r>
        <w:t>G</w:t>
      </w:r>
      <w:r>
        <w:rPr>
          <w:rFonts w:hint="eastAsia"/>
        </w:rPr>
        <w:t>.</w:t>
      </w:r>
      <w:r w:rsidRPr="00A428C3">
        <w:t xml:space="preserve"> (19</w:t>
      </w:r>
      <w:r>
        <w:rPr>
          <w:rFonts w:hint="eastAsia"/>
        </w:rPr>
        <w:t>87</w:t>
      </w:r>
      <w:r w:rsidRPr="00A428C3">
        <w:t xml:space="preserve">), </w:t>
      </w:r>
      <w:r>
        <w:t>Cheese-making properties of vegetable rennet from sodom apple (</w:t>
      </w:r>
      <w:r w:rsidRPr="002B32DB">
        <w:rPr>
          <w:i/>
        </w:rPr>
        <w:t>Calotropis</w:t>
      </w:r>
      <w:r w:rsidRPr="002B32DB">
        <w:rPr>
          <w:rFonts w:hint="eastAsia"/>
          <w:i/>
        </w:rPr>
        <w:t xml:space="preserve"> </w:t>
      </w:r>
      <w:r w:rsidRPr="002B32DB">
        <w:rPr>
          <w:i/>
        </w:rPr>
        <w:t>procera</w:t>
      </w:r>
      <w:r>
        <w:t>)</w:t>
      </w:r>
      <w:r w:rsidRPr="00A428C3">
        <w:t xml:space="preserve">. </w:t>
      </w:r>
      <w:r w:rsidRPr="00A428C3">
        <w:rPr>
          <w:i/>
        </w:rPr>
        <w:t>Food Chemistry</w:t>
      </w:r>
      <w:r w:rsidRPr="00A428C3">
        <w:t xml:space="preserve">, </w:t>
      </w:r>
      <w:r>
        <w:rPr>
          <w:rFonts w:hint="eastAsia"/>
          <w:b/>
        </w:rPr>
        <w:t>26</w:t>
      </w:r>
      <w:r w:rsidRPr="00A428C3">
        <w:t xml:space="preserve"> (1), </w:t>
      </w:r>
      <w:r>
        <w:t>71-79</w:t>
      </w:r>
      <w:r w:rsidRPr="00A428C3">
        <w:t>.</w:t>
      </w:r>
    </w:p>
    <w:p w:rsidR="002B32DB" w:rsidRDefault="002B32DB" w:rsidP="002B32DB">
      <w:pPr>
        <w:pStyle w:val="a0"/>
      </w:pPr>
      <w:r w:rsidRPr="00A428C3">
        <w:t xml:space="preserve">Full Text: </w:t>
      </w:r>
      <w:hyperlink r:id="rId95" w:history="1">
        <w:r w:rsidRPr="002B32DB">
          <w:rPr>
            <w:rStyle w:val="a5"/>
          </w:rPr>
          <w:t>1987\Foo Che26, 71.pdf</w:t>
        </w:r>
      </w:hyperlink>
    </w:p>
    <w:p w:rsidR="002B32DB" w:rsidRPr="002B32DB" w:rsidRDefault="002B32DB" w:rsidP="002B32DB">
      <w:pPr>
        <w:pStyle w:val="a0"/>
      </w:pPr>
      <w:r>
        <w:rPr>
          <w:rFonts w:hint="eastAsia"/>
        </w:rPr>
        <w:t xml:space="preserve">Abstract: </w:t>
      </w:r>
      <w:r>
        <w:t>Yield, chemical composition</w:t>
      </w:r>
      <w:r w:rsidR="00F81221">
        <w:t xml:space="preserve"> and </w:t>
      </w:r>
      <w:r>
        <w:t>texture profile of cheese made with vegetable rennet from sodom apple leaves were compared with those of a direct acid cheese made with calf rennet. Yield, moisture, fat</w:t>
      </w:r>
      <w:r w:rsidR="00F81221">
        <w:t xml:space="preserve"> and </w:t>
      </w:r>
      <w:r>
        <w:t>protein contents were 14·47%, 49·70%, 26·15%</w:t>
      </w:r>
      <w:r w:rsidR="00F81221">
        <w:t xml:space="preserve"> and </w:t>
      </w:r>
      <w:r>
        <w:t>20·0%, respectively, for cheese made with vegetable rennet</w:t>
      </w:r>
      <w:r w:rsidR="00F81221">
        <w:t xml:space="preserve"> and </w:t>
      </w:r>
      <w:r>
        <w:t>12·45%, 44·80%, 29·84%</w:t>
      </w:r>
      <w:r w:rsidR="00F81221">
        <w:t xml:space="preserve"> and </w:t>
      </w:r>
      <w:r>
        <w:t>20·4%, respectively, for the direct acid cheese made with calf rennet. Cheese made with vegetable rennet had less soluble nitrogen than that made with calf rennet despite the fact that vegetable rennet was more proteolytic in casein solution than calf rennet. Relative to that made with calf rennet, cheese made with vegetable rennet was harder, less cohesive</w:t>
      </w:r>
      <w:r w:rsidR="00F81221">
        <w:t xml:space="preserve"> and </w:t>
      </w:r>
      <w:r>
        <w:t>more gummy, presumably because of differences in chemical composition</w:t>
      </w:r>
      <w:r w:rsidR="00F81221">
        <w:t xml:space="preserve"> and </w:t>
      </w:r>
      <w:r>
        <w:t>physical characteristics between the cheeses.</w:t>
      </w:r>
    </w:p>
    <w:p w:rsidR="002B32DB" w:rsidRPr="00A428C3" w:rsidRDefault="002B32DB" w:rsidP="002B32DB">
      <w:pPr>
        <w:pStyle w:val="a0"/>
      </w:pPr>
      <w:r w:rsidRPr="00A428C3">
        <w:t>Saad, B., Pok, F.W., Sujari, A.N.A.</w:t>
      </w:r>
      <w:r w:rsidR="00F81221">
        <w:t xml:space="preserve"> and </w:t>
      </w:r>
      <w:r w:rsidRPr="00A428C3">
        <w:t>Saleh, M.I. (1998), Analysis of anions</w:t>
      </w:r>
      <w:r w:rsidR="00F81221">
        <w:t xml:space="preserve"> and </w:t>
      </w:r>
      <w:r w:rsidRPr="00A428C3">
        <w:t xml:space="preserve">cations in drinking water samples by capillary ion analysis. </w:t>
      </w:r>
      <w:r w:rsidRPr="00A428C3">
        <w:rPr>
          <w:i/>
        </w:rPr>
        <w:t>Food Chemistry</w:t>
      </w:r>
      <w:r w:rsidRPr="00A428C3">
        <w:t xml:space="preserve">, </w:t>
      </w:r>
      <w:r w:rsidRPr="00A428C3">
        <w:rPr>
          <w:b/>
        </w:rPr>
        <w:t>61</w:t>
      </w:r>
      <w:r w:rsidRPr="00A428C3">
        <w:t xml:space="preserve"> (1-2), 249-254.</w:t>
      </w:r>
    </w:p>
    <w:p w:rsidR="002B32DB" w:rsidRPr="00A428C3" w:rsidRDefault="002B32DB" w:rsidP="002B32DB">
      <w:pPr>
        <w:pStyle w:val="a0"/>
      </w:pPr>
      <w:r w:rsidRPr="00A428C3">
        <w:t xml:space="preserve">Full Text: </w:t>
      </w:r>
      <w:hyperlink r:id="rId96" w:history="1">
        <w:r w:rsidRPr="00A428C3">
          <w:rPr>
            <w:rStyle w:val="a5"/>
          </w:rPr>
          <w:t>F\Foo Che61, 249.pdf</w:t>
        </w:r>
      </w:hyperlink>
    </w:p>
    <w:p w:rsidR="00B95188" w:rsidRPr="00A428C3" w:rsidRDefault="00B95188" w:rsidP="00B95188">
      <w:pPr>
        <w:pStyle w:val="a0"/>
      </w:pPr>
      <w:r w:rsidRPr="00A428C3">
        <w:t>Abstract: The use of capillary ion electrophoresis (CIE, Waters</w:t>
      </w:r>
      <w:r w:rsidR="000352E7">
        <w:t>’</w:t>
      </w:r>
      <w:r w:rsidRPr="00A428C3">
        <w:t xml:space="preserve"> tradename: Capillary Ion Analysis, CIA) for the analysis of four anions</w:t>
      </w:r>
      <w:r w:rsidR="00F81221">
        <w:t xml:space="preserve"> and </w:t>
      </w:r>
      <w:r w:rsidRPr="00A428C3">
        <w:t>four cations in drinking water samples available on the Malaysian market, such as natural mineral water, bottled drinking water</w:t>
      </w:r>
      <w:r w:rsidR="00F81221">
        <w:t xml:space="preserve"> and </w:t>
      </w:r>
      <w:r w:rsidRPr="00A428C3">
        <w:t xml:space="preserve">tap water, was investigated. In addition, zam-zam water (an </w:t>
      </w:r>
      <w:r w:rsidRPr="00A428C3">
        <w:lastRenderedPageBreak/>
        <w:t>underground water, much sought-after by Muslims</w:t>
      </w:r>
      <w:r w:rsidR="00F81221">
        <w:t xml:space="preserve"> and </w:t>
      </w:r>
      <w:r w:rsidRPr="00A428C3">
        <w:t xml:space="preserve">only available in </w:t>
      </w:r>
      <w:smartTag w:uri="urn:schemas-microsoft-com:office:smarttags" w:element="place">
        <w:smartTag w:uri="urn:schemas-microsoft-com:office:smarttags" w:element="City">
          <w:r w:rsidRPr="00A428C3">
            <w:t>Mekah</w:t>
          </w:r>
        </w:smartTag>
        <w:r w:rsidRPr="00A428C3">
          <w:t xml:space="preserve">, </w:t>
        </w:r>
        <w:smartTag w:uri="urn:schemas-microsoft-com:office:smarttags" w:element="country-region">
          <w:r w:rsidRPr="00A428C3">
            <w:t>Saudi Arabia</w:t>
          </w:r>
        </w:smartTag>
      </w:smartTag>
      <w:r w:rsidRPr="00A428C3">
        <w:t>) was also analyzed. The anions analyzed were chloride, sulphate, nitrate</w:t>
      </w:r>
      <w:r w:rsidR="00F81221">
        <w:t xml:space="preserve"> and </w:t>
      </w:r>
      <w:r w:rsidRPr="00A428C3">
        <w:t>fluoride while the cations analyzed were potassium, calcium, sodium</w:t>
      </w:r>
      <w:r w:rsidR="00F81221">
        <w:t xml:space="preserve"> and </w:t>
      </w:r>
      <w:r w:rsidRPr="00A428C3">
        <w:t>magnesium. Results of this determination generally show a low content of anions</w:t>
      </w:r>
      <w:r w:rsidR="00F81221">
        <w:t xml:space="preserve"> and </w:t>
      </w:r>
      <w:r w:rsidRPr="00A428C3">
        <w:t>high content of calcium</w:t>
      </w:r>
      <w:r w:rsidR="00F81221">
        <w:t xml:space="preserve"> and </w:t>
      </w:r>
      <w:r w:rsidRPr="00A428C3">
        <w:t>magnesium in natural mineral water</w:t>
      </w:r>
      <w:r w:rsidR="00F81221">
        <w:t xml:space="preserve"> and </w:t>
      </w:r>
      <w:r w:rsidRPr="00A428C3">
        <w:t>non-detectable amounts of anions</w:t>
      </w:r>
      <w:r w:rsidR="00F81221">
        <w:t xml:space="preserve"> and </w:t>
      </w:r>
      <w:r w:rsidRPr="00A428C3">
        <w:t>cations in bottled drinking water. Out of the 15 mineral waters of different brands that were analyzed, four brands show anionic</w:t>
      </w:r>
      <w:r w:rsidR="00F81221">
        <w:t xml:space="preserve"> and </w:t>
      </w:r>
      <w:r w:rsidRPr="00A428C3">
        <w:t>cationic levels almost similar to that of tap water. With the exception of fluoride, an abnormally high level of both anions</w:t>
      </w:r>
      <w:r w:rsidR="00F81221">
        <w:t xml:space="preserve"> and </w:t>
      </w:r>
      <w:r w:rsidRPr="00A428C3">
        <w:t>cations were detected in all the zam-zam water samples analyzed, as compared to the other drinking waters. (C) 1998 Elsevier Science Ltd. All rights reserved.</w:t>
      </w:r>
    </w:p>
    <w:p w:rsidR="00B95188" w:rsidRPr="00A428C3" w:rsidRDefault="00B95188" w:rsidP="00B95188">
      <w:pPr>
        <w:pStyle w:val="a0"/>
      </w:pPr>
      <w:r w:rsidRPr="00A428C3">
        <w:t>Keywords: Alkaline-Earth Metals, Indirect Photometric Detection, Flow-Injection Analysis, Inorganic Anions, Mineral Waters, Chromatographic Determination, Liquid-Chromatography, Electrophoresis, Nitrate, Separation</w:t>
      </w:r>
    </w:p>
    <w:p w:rsidR="00B95188" w:rsidRPr="00A428C3" w:rsidRDefault="00B95188" w:rsidP="00B95188">
      <w:pPr>
        <w:pStyle w:val="a0"/>
      </w:pPr>
      <w:r w:rsidRPr="00A428C3">
        <w:t>Edris, A.E., Girgis, B.S.</w:t>
      </w:r>
      <w:r w:rsidR="00F81221">
        <w:t xml:space="preserve"> and </w:t>
      </w:r>
      <w:r w:rsidRPr="00A428C3">
        <w:t xml:space="preserve">Fadel, H.H.M. (2003), Recovery of volatile aroma components from aqueous waste streams using an activated carbon column. </w:t>
      </w:r>
      <w:r w:rsidRPr="00A428C3">
        <w:rPr>
          <w:i/>
          <w:iCs/>
        </w:rPr>
        <w:t>Food Chemistry</w:t>
      </w:r>
      <w:r w:rsidRPr="00A428C3">
        <w:t xml:space="preserve">, </w:t>
      </w:r>
      <w:r w:rsidRPr="00A428C3">
        <w:rPr>
          <w:b/>
        </w:rPr>
        <w:t>82</w:t>
      </w:r>
      <w:r w:rsidRPr="00A428C3">
        <w:t xml:space="preserve"> (2), 195-202.</w:t>
      </w:r>
    </w:p>
    <w:p w:rsidR="00B95188" w:rsidRPr="00A428C3" w:rsidRDefault="00B95188" w:rsidP="00B95188">
      <w:pPr>
        <w:pStyle w:val="a0"/>
      </w:pPr>
      <w:r w:rsidRPr="00A428C3">
        <w:t xml:space="preserve">Full Text: </w:t>
      </w:r>
      <w:hyperlink r:id="rId97" w:history="1">
        <w:r w:rsidRPr="00A428C3">
          <w:rPr>
            <w:rStyle w:val="a5"/>
          </w:rPr>
          <w:t>F\Foo Che82, 195.pdf</w:t>
        </w:r>
      </w:hyperlink>
    </w:p>
    <w:p w:rsidR="00B95188" w:rsidRPr="00A428C3" w:rsidRDefault="00B95188" w:rsidP="00B95188">
      <w:pPr>
        <w:pStyle w:val="a0"/>
      </w:pPr>
      <w:r w:rsidRPr="00A428C3">
        <w:t>Abstract: The solid phase adsorption of aroma components depleted from essential oils</w:t>
      </w:r>
      <w:r w:rsidR="00F81221">
        <w:t xml:space="preserve"> and </w:t>
      </w:r>
      <w:r w:rsidRPr="00A428C3">
        <w:t>drained with the condensed water water during the distillation of aromatic plants onto granular activated carbon (GAC) is reported. A mini-column packed with laboratory-prepared activated carbon, derived from pistachio shells, which were previously treated with H</w:t>
      </w:r>
      <w:r w:rsidRPr="00A428C3">
        <w:rPr>
          <w:vertAlign w:val="subscript"/>
        </w:rPr>
        <w:t>3</w:t>
      </w:r>
      <w:r w:rsidRPr="00A428C3">
        <w:t>PO</w:t>
      </w:r>
      <w:r w:rsidRPr="00A428C3">
        <w:rPr>
          <w:vertAlign w:val="subscript"/>
        </w:rPr>
        <w:t>4</w:t>
      </w:r>
      <w:r w:rsidR="00F81221">
        <w:t xml:space="preserve"> and </w:t>
      </w:r>
      <w:r w:rsidRPr="00A428C3">
        <w:t>pyrolysed at 500 degreesC, was used. Three aromatic waste waters (peppermint, lemongrass,</w:t>
      </w:r>
      <w:r w:rsidR="00F81221">
        <w:t xml:space="preserve"> and </w:t>
      </w:r>
      <w:r w:rsidRPr="00A428C3">
        <w:t>spearmint) discharged from a distillation plant, were chosen</w:t>
      </w:r>
      <w:r w:rsidR="00F81221">
        <w:t xml:space="preserve"> and </w:t>
      </w:r>
      <w:r w:rsidRPr="00A428C3">
        <w:t>allowed to pass through the column. GC</w:t>
      </w:r>
      <w:r w:rsidR="00F81221">
        <w:t xml:space="preserve"> and </w:t>
      </w:r>
      <w:r w:rsidRPr="00A428C3">
        <w:t>GC-MS techniques were employed to detect</w:t>
      </w:r>
      <w:r w:rsidR="00F81221">
        <w:t xml:space="preserve"> and </w:t>
      </w:r>
      <w:r w:rsidRPr="00A428C3">
        <w:t>quantify the selected key aroma components in the waste waters,</w:t>
      </w:r>
      <w:r w:rsidR="00F81221">
        <w:t xml:space="preserve"> and </w:t>
      </w:r>
      <w:r w:rsidRPr="00A428C3">
        <w:t>in the effluent waste water after passing through the carbon column. The high surface area GAC (approximate to</w:t>
      </w:r>
      <w:smartTag w:uri="urn:schemas-microsoft-com:office:smarttags" w:element="chmetcnv">
        <w:smartTagPr>
          <w:attr w:name="TCSC" w:val="0"/>
          <w:attr w:name="NumberType" w:val="1"/>
          <w:attr w:name="Negative" w:val="False"/>
          <w:attr w:name="HasSpace" w:val="True"/>
          <w:attr w:name="SourceValue" w:val="1300"/>
          <w:attr w:name="UnitName" w:val="m2"/>
        </w:smartTagPr>
        <w:r w:rsidRPr="00A428C3">
          <w:t>1300 m</w:t>
        </w:r>
        <w:r w:rsidRPr="00A428C3">
          <w:rPr>
            <w:vertAlign w:val="superscript"/>
          </w:rPr>
          <w:t>2</w:t>
        </w:r>
      </w:smartTag>
      <w:r w:rsidRPr="00A428C3">
        <w:t>/g) proved highly efficient in retaining most of the selected aroma components of the waste waters up to 90 bed volumes of treatment without reaching exhaustion. The uptake of the aroma components by activated carbon was demonstrated to be dependent on their chemical structure</w:t>
      </w:r>
      <w:r w:rsidR="00F81221">
        <w:t xml:space="preserve"> and </w:t>
      </w:r>
      <w:r w:rsidRPr="00A428C3">
        <w:t>oxygen-functional groups. Hydrophilic aroma components were retained more selectively than hydrophobic ones, due to the acidic nature of the carbon surface, which had good affinity for water. Recovery of the aroma from the loaded carbon column, with diethyl ether, resulted in general quantitative recovery of the adsorped components</w:t>
      </w:r>
      <w:r w:rsidR="00F81221">
        <w:t xml:space="preserve"> and </w:t>
      </w:r>
      <w:r w:rsidRPr="00A428C3">
        <w:t xml:space="preserve">the degree of recovery (70-98%) depended on the chemical structure. Open chain components were partially entrapped within the internal porosity, which inhibited their complete recovery. The reported process of solid-phase separation appears useful for the recovery of </w:t>
      </w:r>
      <w:r w:rsidRPr="00A428C3">
        <w:lastRenderedPageBreak/>
        <w:t>water-soluble aroma components without affecting their physical or chemical characteristics</w:t>
      </w:r>
      <w:r w:rsidR="00F81221">
        <w:t xml:space="preserve"> and </w:t>
      </w:r>
      <w:r w:rsidRPr="00A428C3">
        <w:t>without need to raise the temperature. (C) 2003 Elsevier Science Ltd.. All rights reserved</w:t>
      </w:r>
    </w:p>
    <w:p w:rsidR="00B95188" w:rsidRPr="00A428C3" w:rsidRDefault="00B95188" w:rsidP="00B95188">
      <w:pPr>
        <w:pStyle w:val="a0"/>
      </w:pPr>
      <w:r w:rsidRPr="00A428C3">
        <w:t>Keywords: Activated Carbon, Recovery, Volatile Aroma, Essential Oils, Waste Water, Solid-Phase Extraction</w:t>
      </w:r>
    </w:p>
    <w:p w:rsidR="00934861" w:rsidRDefault="00934861" w:rsidP="00934861">
      <w:pPr>
        <w:pStyle w:val="a0"/>
        <w:rPr>
          <w:kern w:val="0"/>
        </w:rPr>
      </w:pPr>
      <w:r>
        <w:rPr>
          <w:kern w:val="0"/>
        </w:rPr>
        <w:t>? Liu, Y.F., Liu, J.X., Chen, X.F., Liu, Y.W.</w:t>
      </w:r>
      <w:r w:rsidR="00F81221">
        <w:rPr>
          <w:kern w:val="0"/>
        </w:rPr>
        <w:t xml:space="preserve"> and </w:t>
      </w:r>
      <w:r>
        <w:rPr>
          <w:kern w:val="0"/>
        </w:rPr>
        <w:t>Di, D.L. (2010), Preparative separation</w:t>
      </w:r>
      <w:r w:rsidR="00F81221">
        <w:rPr>
          <w:kern w:val="0"/>
        </w:rPr>
        <w:t xml:space="preserve"> and </w:t>
      </w:r>
      <w:r>
        <w:rPr>
          <w:kern w:val="0"/>
        </w:rPr>
        <w:t xml:space="preserve">purification of lycopene from tomato skins extracts by macroporous adsorption resins. </w:t>
      </w:r>
      <w:r>
        <w:rPr>
          <w:i/>
          <w:iCs/>
          <w:kern w:val="0"/>
        </w:rPr>
        <w:t>Food Chemistry</w:t>
      </w:r>
      <w:r>
        <w:rPr>
          <w:kern w:val="0"/>
        </w:rPr>
        <w:t xml:space="preserve">, </w:t>
      </w:r>
      <w:r>
        <w:rPr>
          <w:b/>
          <w:bCs/>
          <w:kern w:val="0"/>
        </w:rPr>
        <w:t>123</w:t>
      </w:r>
      <w:r>
        <w:rPr>
          <w:kern w:val="0"/>
        </w:rPr>
        <w:t xml:space="preserve"> (4), 1027-1034.</w:t>
      </w:r>
    </w:p>
    <w:p w:rsidR="00934861" w:rsidRPr="00F03D2F" w:rsidRDefault="00934861" w:rsidP="00934861">
      <w:pPr>
        <w:pStyle w:val="a0"/>
        <w:rPr>
          <w:kern w:val="0"/>
        </w:rPr>
      </w:pPr>
      <w:r w:rsidRPr="00F03D2F">
        <w:rPr>
          <w:kern w:val="0"/>
        </w:rPr>
        <w:t>Full Text:</w:t>
      </w:r>
      <w:r w:rsidRPr="00D7601C">
        <w:t xml:space="preserve"> </w:t>
      </w:r>
      <w:hyperlink r:id="rId98" w:history="1">
        <w:r w:rsidRPr="003539FE">
          <w:rPr>
            <w:rStyle w:val="a5"/>
          </w:rPr>
          <w:t>2010\Foo Che123, 1027.pdf</w:t>
        </w:r>
      </w:hyperlink>
    </w:p>
    <w:p w:rsidR="00934861" w:rsidRDefault="00934861" w:rsidP="00934861">
      <w:pPr>
        <w:pStyle w:val="a0"/>
        <w:rPr>
          <w:kern w:val="0"/>
        </w:rPr>
      </w:pPr>
      <w:r>
        <w:rPr>
          <w:kern w:val="0"/>
        </w:rPr>
        <w:t>Abstract: In order to separate</w:t>
      </w:r>
      <w:r w:rsidR="00F81221">
        <w:rPr>
          <w:kern w:val="0"/>
        </w:rPr>
        <w:t xml:space="preserve"> and </w:t>
      </w:r>
      <w:r>
        <w:rPr>
          <w:kern w:val="0"/>
        </w:rPr>
        <w:t>purify lycopene from tomato skins extracts (lycopene oleoresin) with macroporous adsorption resins (MARS), the adsorption properties of twenty-four kinds of MARs were evaluated. The results showed that LX-68 had higher separation efficiency than other resins. Based on the static experiments with LX-68, it was found that the experimental data fitted best to the pseudo-second-order kinetics model</w:t>
      </w:r>
      <w:r w:rsidR="00F81221">
        <w:rPr>
          <w:kern w:val="0"/>
        </w:rPr>
        <w:t xml:space="preserve"> and </w:t>
      </w:r>
      <w:r>
        <w:rPr>
          <w:kern w:val="0"/>
        </w:rPr>
        <w:t>Langmuir isotherm model. The separation parameters of lycopene from tomato skins extracts were optimised through dynamic adsorption/desorption experiments with the column packed by LX-68. Through only one cycle treatment, the lycopene content in lycopene oleoresin increased 30.4-fold from 0.21% to 6.38%, with a recovery yield of 66.9%, which were determined by HPLC method. The results showed that MARs would provide useful help for the development of large-scale manufacture in the separation of lycopene from tomato skins extracts. (C) 2010 Elsevier Ltd. All rights reserved.</w:t>
      </w:r>
    </w:p>
    <w:p w:rsidR="00934861" w:rsidRDefault="00934861" w:rsidP="00934861">
      <w:pPr>
        <w:pStyle w:val="a0"/>
        <w:rPr>
          <w:kern w:val="0"/>
        </w:rPr>
      </w:pPr>
      <w:r>
        <w:rPr>
          <w:kern w:val="0"/>
        </w:rPr>
        <w:t>Keywords: Adsorption, Adsorption Properties, Adsorption, Desorption, Column, Counter-Current Chromatography, Data, Development, Dynamic, Efficiency, Experimental, Experiments, Fluid, HPLC, Isotherm, Isotherm Model, Kinetics, Kinetics Model, Langmuir, Langmuir Isotherm, Langmuir Isotherm Model, Lycopene, Macroporous, Macroporous Adsorption Resins, Mar, Model, Optimization, Pseudo Second Order, Pseudo Second Order Kinetics, Pseudo-Second-Order, Pseudo-Second-Order Kinetics, Purification, Recovery, Resins, Rhodiola-Rosea, Rights, Separation, Temperature, Tomato Skins Extracts, Trans-Lycopene, Treatment</w:t>
      </w:r>
    </w:p>
    <w:p w:rsidR="00EE72C8" w:rsidRDefault="00EE72C8" w:rsidP="00EE72C8">
      <w:pPr>
        <w:pStyle w:val="a0"/>
        <w:rPr>
          <w:kern w:val="0"/>
        </w:rPr>
      </w:pPr>
      <w:r>
        <w:rPr>
          <w:rFonts w:hint="eastAsia"/>
          <w:kern w:val="0"/>
        </w:rPr>
        <w:t xml:space="preserve">? </w:t>
      </w:r>
      <w:r>
        <w:rPr>
          <w:kern w:val="0"/>
        </w:rPr>
        <w:t xml:space="preserve">Lin, L.Z., Zhao, H.F., Dong, Y., Yang, B. and Zhao, M.M. (2012), Macroporous resin purification behavior of phenolics and rosmarinic acid from </w:t>
      </w:r>
      <w:r w:rsidRPr="00E552BF">
        <w:rPr>
          <w:i/>
          <w:kern w:val="0"/>
        </w:rPr>
        <w:t>Rabdosia serra</w:t>
      </w:r>
      <w:r>
        <w:rPr>
          <w:kern w:val="0"/>
        </w:rPr>
        <w:t xml:space="preserve"> (MAXIM.) HARA leaf. </w:t>
      </w:r>
      <w:r>
        <w:rPr>
          <w:i/>
          <w:iCs/>
          <w:kern w:val="0"/>
        </w:rPr>
        <w:t>Food Chemistry</w:t>
      </w:r>
      <w:r>
        <w:rPr>
          <w:kern w:val="0"/>
        </w:rPr>
        <w:t xml:space="preserve">, </w:t>
      </w:r>
      <w:r>
        <w:rPr>
          <w:b/>
          <w:bCs/>
          <w:kern w:val="0"/>
        </w:rPr>
        <w:t>130</w:t>
      </w:r>
      <w:r>
        <w:rPr>
          <w:kern w:val="0"/>
        </w:rPr>
        <w:t xml:space="preserve"> (2), 417-424.</w:t>
      </w:r>
    </w:p>
    <w:p w:rsidR="00EE72C8" w:rsidRPr="007D79E8" w:rsidRDefault="00EE72C8" w:rsidP="00EE72C8">
      <w:pPr>
        <w:pStyle w:val="a0"/>
        <w:rPr>
          <w:kern w:val="0"/>
        </w:rPr>
      </w:pPr>
      <w:r w:rsidRPr="007D79E8">
        <w:rPr>
          <w:kern w:val="0"/>
        </w:rPr>
        <w:t>Full Text:</w:t>
      </w:r>
      <w:r>
        <w:rPr>
          <w:rFonts w:hint="eastAsia"/>
          <w:kern w:val="0"/>
        </w:rPr>
        <w:t xml:space="preserve"> </w:t>
      </w:r>
      <w:hyperlink r:id="rId99" w:history="1">
        <w:r w:rsidRPr="00807856">
          <w:rPr>
            <w:rStyle w:val="a5"/>
            <w:kern w:val="0"/>
          </w:rPr>
          <w:t>2012\Foo Che130, 417.pdf</w:t>
        </w:r>
      </w:hyperlink>
    </w:p>
    <w:p w:rsidR="00EE72C8" w:rsidRDefault="00EE72C8" w:rsidP="00EE72C8">
      <w:pPr>
        <w:pStyle w:val="a0"/>
        <w:rPr>
          <w:kern w:val="0"/>
        </w:rPr>
      </w:pPr>
      <w:r>
        <w:rPr>
          <w:kern w:val="0"/>
        </w:rPr>
        <w:t xml:space="preserve">Abstract: In the present study, the performance and separation characteristics of two macroporous resins for the purification of phenolics from </w:t>
      </w:r>
      <w:r w:rsidRPr="00E552BF">
        <w:rPr>
          <w:i/>
          <w:kern w:val="0"/>
        </w:rPr>
        <w:t>Rabdosia serra</w:t>
      </w:r>
      <w:r>
        <w:rPr>
          <w:kern w:val="0"/>
        </w:rPr>
        <w:t xml:space="preserve"> were evaluated. Both HP-20 and XAD-7HP resins were effective for phenolics enrichment, with insignificant difference of adsorption/desorption behaviors, according to their </w:t>
      </w:r>
      <w:r>
        <w:rPr>
          <w:kern w:val="0"/>
        </w:rPr>
        <w:lastRenderedPageBreak/>
        <w:t>chemical and physical properties. The pseudo-second-order kinetics model was the most favorable for illustrating the whole exothermic adsorption process, which was affected by the mutual effects of boundary layer diffusion and intraparticle diffusion kinetics. After treatment with gradient elution on resin columns, phenolics (from 16.66% to 67.87% by HP-20 and to 58.81% by XAD-7HP), antioxidants (3-4 times more than original) and rosmarinic acid (from 10.14% to 67.26% by HP-20 and to 63.16% by XAD-7HP) were enriched in 30% ethanol fractions. The production of highly concentrated phenolics and rosmarinic acid might expand the application of Rabdosia serra as a bioactive agent for both the food industry and pharmacy. (C) 2011 Elsevier Ltd. All rights reserved.</w:t>
      </w:r>
    </w:p>
    <w:p w:rsidR="00EE72C8" w:rsidRDefault="00EE72C8" w:rsidP="00EE72C8">
      <w:pPr>
        <w:pStyle w:val="a0"/>
        <w:rPr>
          <w:kern w:val="0"/>
        </w:rPr>
      </w:pPr>
      <w:r>
        <w:rPr>
          <w:kern w:val="0"/>
        </w:rPr>
        <w:t xml:space="preserve">Keywords: Adsorption, Antioxidant Activities, Antioxidants, Capacity, Components, Diterpenoids, Extracts, Kinetics, L., Macroporous Resin, Phenolics, </w:t>
      </w:r>
      <w:r w:rsidRPr="005C1D5A">
        <w:rPr>
          <w:i/>
          <w:kern w:val="0"/>
        </w:rPr>
        <w:t>Rabdosia serra</w:t>
      </w:r>
      <w:r>
        <w:rPr>
          <w:kern w:val="0"/>
        </w:rPr>
        <w:t>, Rosmarinic Acid, System</w:t>
      </w:r>
    </w:p>
    <w:p w:rsidR="00856E2C" w:rsidRDefault="00856E2C" w:rsidP="00856E2C">
      <w:pPr>
        <w:pStyle w:val="a0"/>
        <w:rPr>
          <w:kern w:val="0"/>
        </w:rPr>
      </w:pPr>
      <w:r>
        <w:rPr>
          <w:rFonts w:hint="eastAsia"/>
          <w:kern w:val="0"/>
        </w:rPr>
        <w:t xml:space="preserve">? </w:t>
      </w:r>
      <w:r>
        <w:rPr>
          <w:kern w:val="0"/>
        </w:rPr>
        <w:t xml:space="preserve">Li, C., Xue, F., Xu, Y.X., Ren, C.L. and Pan, S.Y. (2012), Influence of different gel complexes on flavour and colour change in Chongcai paste during storage. </w:t>
      </w:r>
      <w:r>
        <w:rPr>
          <w:i/>
          <w:iCs/>
          <w:kern w:val="0"/>
        </w:rPr>
        <w:t>Food Chemistry</w:t>
      </w:r>
      <w:r>
        <w:rPr>
          <w:kern w:val="0"/>
        </w:rPr>
        <w:t xml:space="preserve">, </w:t>
      </w:r>
      <w:r>
        <w:rPr>
          <w:b/>
          <w:bCs/>
          <w:kern w:val="0"/>
        </w:rPr>
        <w:t>130</w:t>
      </w:r>
      <w:r>
        <w:rPr>
          <w:kern w:val="0"/>
        </w:rPr>
        <w:t xml:space="preserve"> (3), 632-637.</w:t>
      </w:r>
    </w:p>
    <w:p w:rsidR="00856E2C" w:rsidRPr="007D79E8" w:rsidRDefault="00856E2C" w:rsidP="00856E2C">
      <w:pPr>
        <w:pStyle w:val="a0"/>
        <w:rPr>
          <w:kern w:val="0"/>
        </w:rPr>
      </w:pPr>
      <w:r w:rsidRPr="007D79E8">
        <w:rPr>
          <w:kern w:val="0"/>
        </w:rPr>
        <w:t>Full Text:</w:t>
      </w:r>
      <w:r>
        <w:rPr>
          <w:rFonts w:hint="eastAsia"/>
          <w:kern w:val="0"/>
        </w:rPr>
        <w:t xml:space="preserve"> </w:t>
      </w:r>
      <w:hyperlink r:id="rId100" w:history="1">
        <w:r w:rsidRPr="00A456DB">
          <w:rPr>
            <w:rStyle w:val="a5"/>
            <w:kern w:val="0"/>
          </w:rPr>
          <w:t>2011\Foo Che130, 632.pdf</w:t>
        </w:r>
      </w:hyperlink>
    </w:p>
    <w:p w:rsidR="00856E2C" w:rsidRDefault="00856E2C" w:rsidP="00856E2C">
      <w:pPr>
        <w:pStyle w:val="a0"/>
        <w:rPr>
          <w:kern w:val="0"/>
        </w:rPr>
      </w:pPr>
      <w:r>
        <w:rPr>
          <w:kern w:val="0"/>
        </w:rPr>
        <w:t>Abstract: Four types of Chongcai paste (pectin/xanthan/Chongcai, pectin/CMC-Na/Chongcai, CMC-Na/xanthan/Chongcai and pectin/CMC-Na/xanthan/Chongcai) were prepared, and the changes of flavour and colour of pastes were studied during fifteen days of storage. Nine pungent volatiles were detected in Chongcai paste; among the nine volatiles, ally! isothiocyanate (AITC) was the major component, and two volatiles (1-isothiocyanatobutane and n-pentylisothiocyanate) were detected in Cruciferae family plants for the first time. Pectin/xanthan complex applied in the paste proved to have the best capability in holding flavour, and CMC-Na/xanthan was the worst. A pseudo-second order kinetics model was applied to describe the colour change of pastes during storage for the first time, and the results suggested that the colour degradation could be well interpreted by the pseudo-second order kinetic model. (C) 2011 Elsevier Ltd. All rights reserved.</w:t>
      </w:r>
    </w:p>
    <w:p w:rsidR="00856E2C" w:rsidRDefault="00856E2C" w:rsidP="00856E2C">
      <w:pPr>
        <w:pStyle w:val="a0"/>
        <w:rPr>
          <w:kern w:val="0"/>
        </w:rPr>
      </w:pPr>
      <w:r>
        <w:rPr>
          <w:kern w:val="0"/>
        </w:rPr>
        <w:t>Keywords: Adsorption, Arabidopsis-Thaliana, Cauliflower, Chongcai Paste, Colour Degradation, Degradation Kinetics, Gel Complexes, Guar Gum, Kinetic, Kinetic Model, Kinetics, Plants, Pseudo Second Order, Pungent Volatiles, Release, Removal, Systems, Volatile Components, Xanthan</w:t>
      </w:r>
    </w:p>
    <w:p w:rsidR="00B95188" w:rsidRPr="00A428C3" w:rsidRDefault="00B95188" w:rsidP="00B95188">
      <w:pPr>
        <w:pStyle w:val="1"/>
      </w:pPr>
      <w:r w:rsidRPr="00A428C3">
        <w:br w:type="page"/>
      </w:r>
      <w:bookmarkStart w:id="107" w:name="_Toc186647677"/>
      <w:bookmarkStart w:id="108" w:name="_Toc317160846"/>
      <w:r w:rsidRPr="00A428C3">
        <w:lastRenderedPageBreak/>
        <w:t>Title: Food Control</w:t>
      </w:r>
      <w:bookmarkEnd w:id="107"/>
      <w:bookmarkEnd w:id="108"/>
    </w:p>
    <w:p w:rsidR="00B95188" w:rsidRPr="00706B62" w:rsidRDefault="00B95188" w:rsidP="00706B62">
      <w:pPr>
        <w:pStyle w:val="12"/>
      </w:pPr>
      <w:r w:rsidRPr="00A428C3">
        <w:t xml:space="preserve">Full Journal Title: </w:t>
      </w:r>
      <w:hyperlink r:id="rId101" w:history="1">
        <w:r w:rsidRPr="00A428C3">
          <w:rPr>
            <w:rStyle w:val="a5"/>
          </w:rPr>
          <w:t>Food Control</w:t>
        </w:r>
      </w:hyperlink>
    </w:p>
    <w:p w:rsidR="00B95188" w:rsidRPr="00706B62" w:rsidRDefault="00B95188" w:rsidP="00706B62">
      <w:pPr>
        <w:pStyle w:val="12"/>
      </w:pPr>
      <w:r w:rsidRPr="00706B62">
        <w:t>ISO Abbreviated Title: Food Control.</w:t>
      </w:r>
    </w:p>
    <w:p w:rsidR="00B95188" w:rsidRPr="00706B62" w:rsidRDefault="00B95188" w:rsidP="00706B62">
      <w:pPr>
        <w:pStyle w:val="12"/>
      </w:pPr>
      <w:r w:rsidRPr="00706B62">
        <w:t>JCR Abbreviated Title: Food Control</w:t>
      </w:r>
    </w:p>
    <w:p w:rsidR="00B95188" w:rsidRPr="00706B62" w:rsidRDefault="00B95188" w:rsidP="00706B62">
      <w:pPr>
        <w:pStyle w:val="12"/>
      </w:pPr>
      <w:r w:rsidRPr="00706B62">
        <w:t>ISSN: 0956-7135</w:t>
      </w:r>
    </w:p>
    <w:p w:rsidR="00B95188" w:rsidRPr="00706B62" w:rsidRDefault="00B95188" w:rsidP="00706B62">
      <w:pPr>
        <w:pStyle w:val="12"/>
      </w:pPr>
      <w:r w:rsidRPr="00706B62">
        <w:t>Issues/Year: 5</w:t>
      </w:r>
    </w:p>
    <w:p w:rsidR="00B95188" w:rsidRPr="00706B62" w:rsidRDefault="00B95188" w:rsidP="00706B62">
      <w:pPr>
        <w:pStyle w:val="12"/>
      </w:pPr>
      <w:r w:rsidRPr="00706B62">
        <w:t>Journal Country/Territory: England</w:t>
      </w:r>
    </w:p>
    <w:p w:rsidR="00B95188" w:rsidRPr="00706B62" w:rsidRDefault="00B95188" w:rsidP="00706B62">
      <w:pPr>
        <w:pStyle w:val="12"/>
      </w:pPr>
      <w:r w:rsidRPr="00706B62">
        <w:t>Language: English</w:t>
      </w:r>
    </w:p>
    <w:p w:rsidR="00B95188" w:rsidRPr="00706B62" w:rsidRDefault="00B95188" w:rsidP="00706B62">
      <w:pPr>
        <w:pStyle w:val="12"/>
      </w:pPr>
      <w:r w:rsidRPr="00706B62">
        <w:t>Publisher: Elsevier Sci Ltd, Oxford</w:t>
      </w:r>
    </w:p>
    <w:p w:rsidR="00B95188" w:rsidRPr="00706B62" w:rsidRDefault="00B95188" w:rsidP="00706B62">
      <w:pPr>
        <w:pStyle w:val="12"/>
      </w:pPr>
      <w:r w:rsidRPr="00706B62">
        <w:t>Publisher Address: The Boulevard, Langford Lane, Kidlington, Oxford Ox5 1gb, Oxon, England</w:t>
      </w:r>
    </w:p>
    <w:p w:rsidR="00B95188" w:rsidRPr="00706B62" w:rsidRDefault="00B95188" w:rsidP="00706B62">
      <w:pPr>
        <w:pStyle w:val="12"/>
      </w:pPr>
      <w:r w:rsidRPr="00706B62">
        <w:t>Subject Categories:</w:t>
      </w:r>
    </w:p>
    <w:p w:rsidR="00B95188" w:rsidRPr="00706B62" w:rsidRDefault="00B95188" w:rsidP="00706B62">
      <w:pPr>
        <w:pStyle w:val="12"/>
      </w:pPr>
      <w:r w:rsidRPr="00706B62">
        <w:t>Biotechnology &amp; applied microbiology: Impact Factor 0.903, / (2000)</w:t>
      </w:r>
    </w:p>
    <w:p w:rsidR="00B95188" w:rsidRPr="00706B62" w:rsidRDefault="00B95188" w:rsidP="00706B62">
      <w:pPr>
        <w:pStyle w:val="12"/>
      </w:pPr>
      <w:r w:rsidRPr="00706B62">
        <w:t>Food science &amp; technology: Impact Factor 0.903, / (2000)</w:t>
      </w:r>
    </w:p>
    <w:p w:rsidR="00B95188" w:rsidRPr="00A428C3" w:rsidRDefault="00B95188" w:rsidP="00B95188">
      <w:pPr>
        <w:pStyle w:val="a0"/>
      </w:pPr>
      <w:r w:rsidRPr="00A428C3">
        <w:t>Ramalho, R., Afonso, A., Cunha, J., Teixeira, P.</w:t>
      </w:r>
      <w:r w:rsidR="00F81221">
        <w:t xml:space="preserve"> and </w:t>
      </w:r>
      <w:r w:rsidRPr="00A428C3">
        <w:t xml:space="preserve">Gibbs, P.A. (2001), Survival characteristics of pathogens inoculated into bottled mineral water. </w:t>
      </w:r>
      <w:r w:rsidRPr="00A428C3">
        <w:rPr>
          <w:i/>
          <w:iCs/>
        </w:rPr>
        <w:t>Food Control</w:t>
      </w:r>
      <w:r w:rsidRPr="00A428C3">
        <w:t xml:space="preserve">, </w:t>
      </w:r>
      <w:r w:rsidRPr="00A428C3">
        <w:rPr>
          <w:b/>
        </w:rPr>
        <w:t>12</w:t>
      </w:r>
      <w:r w:rsidRPr="00A428C3">
        <w:t xml:space="preserve"> (5), 311-316.</w:t>
      </w:r>
    </w:p>
    <w:p w:rsidR="00B95188" w:rsidRPr="00A428C3" w:rsidRDefault="00B95188" w:rsidP="00B95188">
      <w:pPr>
        <w:pStyle w:val="a0"/>
      </w:pPr>
      <w:r w:rsidRPr="00A428C3">
        <w:t xml:space="preserve">Full Text: </w:t>
      </w:r>
      <w:hyperlink r:id="rId102" w:history="1">
        <w:r w:rsidRPr="00A428C3">
          <w:rPr>
            <w:rStyle w:val="a5"/>
          </w:rPr>
          <w:t>F\Foo Con12, 311.pdf</w:t>
        </w:r>
      </w:hyperlink>
    </w:p>
    <w:p w:rsidR="00B95188" w:rsidRPr="00A428C3" w:rsidRDefault="00B95188" w:rsidP="00B95188">
      <w:pPr>
        <w:pStyle w:val="a0"/>
        <w:rPr>
          <w:rFonts w:eastAsia="Arial Unicode MS"/>
        </w:rPr>
      </w:pPr>
      <w:r w:rsidRPr="00A428C3">
        <w:t>Abstract: To assess the risk of contracting a waterborne disease from mineral water</w:t>
      </w:r>
      <w:r w:rsidR="00F81221">
        <w:t xml:space="preserve"> and </w:t>
      </w:r>
      <w:r w:rsidRPr="00A428C3">
        <w:t>to implement control systems in the mineral water industry, knowledge of the factors affecting the survival</w:t>
      </w:r>
      <w:r w:rsidR="00F81221">
        <w:t xml:space="preserve"> and </w:t>
      </w:r>
      <w:r w:rsidRPr="00A428C3">
        <w:t xml:space="preserve">multiplication of non-indigenous bacteria is needed. The survival of </w:t>
      </w:r>
      <w:r w:rsidRPr="00A428C3">
        <w:rPr>
          <w:i/>
          <w:iCs/>
        </w:rPr>
        <w:t>Escherichia</w:t>
      </w:r>
      <w:r w:rsidRPr="00A428C3">
        <w:t xml:space="preserve"> coli, Salmonella typhimurium, Staphylococcus aureus</w:t>
      </w:r>
      <w:r w:rsidR="00F81221">
        <w:t xml:space="preserve"> and </w:t>
      </w:r>
      <w:r w:rsidRPr="00A428C3">
        <w:t>Yersinia enterocolitica inoculated into a Portuguese bottled mineral water was investigated under different conditions: light</w:t>
      </w:r>
      <w:r w:rsidR="00F81221">
        <w:t xml:space="preserve"> and </w:t>
      </w:r>
      <w:r w:rsidRPr="00A428C3">
        <w:t>dark, different recovery media, presence or absence of autochthonous flora</w:t>
      </w:r>
      <w:r w:rsidR="00F81221">
        <w:t xml:space="preserve"> and </w:t>
      </w:r>
      <w:r w:rsidRPr="00A428C3">
        <w:t>different ages of water, based on their culturability. For all the pathogenic bacteria higher survival was obtained under dark conditions of storage</w:t>
      </w:r>
      <w:r w:rsidR="00F81221">
        <w:t xml:space="preserve"> and </w:t>
      </w:r>
      <w:r w:rsidRPr="00A428C3">
        <w:t>when enumeration was performed on non-selective media. Survival of E. coli, Y. enterocolitica</w:t>
      </w:r>
      <w:r w:rsidR="00F81221">
        <w:t xml:space="preserve"> and </w:t>
      </w:r>
      <w:r w:rsidRPr="00A428C3">
        <w:t>S. typhimurium was longer in fresh water than in old water; results obtained with S. aureus were not conclusive. Survival of E. coli, Y. enterocolitica</w:t>
      </w:r>
      <w:r w:rsidR="00F81221">
        <w:t xml:space="preserve"> and </w:t>
      </w:r>
      <w:r w:rsidRPr="00A428C3">
        <w:t>S. typhimurium was lower in non-sterile mineral water while the survival of S. aureus was lower in sterilized mineral water. (C) 2001 Elsevier Science Ltd. All rights reserved.</w:t>
      </w:r>
    </w:p>
    <w:p w:rsidR="00B95188" w:rsidRPr="00A428C3" w:rsidRDefault="00B95188" w:rsidP="00B95188">
      <w:pPr>
        <w:pStyle w:val="a0"/>
      </w:pPr>
      <w:r w:rsidRPr="00A428C3">
        <w:t xml:space="preserve">Keywords: Pathogens, Mineral Water, Hazard, </w:t>
      </w:r>
      <w:r w:rsidRPr="00A428C3">
        <w:rPr>
          <w:i/>
          <w:iCs/>
        </w:rPr>
        <w:t>Escherichia</w:t>
      </w:r>
      <w:r w:rsidRPr="00A428C3">
        <w:t xml:space="preserve">-Coli, Allochthonous Bacteria, </w:t>
      </w:r>
      <w:r w:rsidRPr="00A428C3">
        <w:rPr>
          <w:i/>
          <w:iCs/>
        </w:rPr>
        <w:t>Campylobacter</w:t>
      </w:r>
      <w:r w:rsidRPr="00A428C3">
        <w:t xml:space="preserve">-Jejuni, Drinking-Water, Visible-Light, </w:t>
      </w:r>
      <w:smartTag w:uri="urn:schemas-microsoft-com:office:smarttags" w:element="place">
        <w:smartTag w:uri="urn:schemas-microsoft-com:office:smarttags" w:element="PersonName">
          <w:smartTagPr>
            <w:attr w:name="ProductID" w:val="lake water"/>
          </w:smartTagPr>
          <w:smartTag w:uri="urn:schemas-microsoft-com:office:smarttags" w:element="PlaceType">
            <w:r w:rsidRPr="00A428C3">
              <w:t>Lake</w:t>
            </w:r>
          </w:smartTag>
          <w:r w:rsidRPr="00A428C3">
            <w:t xml:space="preserve"> </w:t>
          </w:r>
          <w:smartTag w:uri="urn:schemas-microsoft-com:office:smarttags" w:element="PlaceName">
            <w:r w:rsidRPr="00A428C3">
              <w:t>Water</w:t>
            </w:r>
          </w:smartTag>
        </w:smartTag>
      </w:smartTag>
      <w:r w:rsidRPr="00A428C3">
        <w:t>, Growth, Inactivation, Microbiology, Seawater</w:t>
      </w:r>
    </w:p>
    <w:p w:rsidR="00706B62" w:rsidRDefault="00706B62" w:rsidP="00706B62">
      <w:pPr>
        <w:pStyle w:val="a0"/>
        <w:rPr>
          <w:kern w:val="0"/>
        </w:rPr>
      </w:pPr>
      <w:r>
        <w:rPr>
          <w:kern w:val="0"/>
        </w:rPr>
        <w:t xml:space="preserve">? Ilic, S., Rajic, A., Britton, C.J., Grasso, E., Wilkins, W., Totton, S., Wilhelm, B., Waddell, L. and LeJeune, J.T. (2012), A scoping study characterizing prevalence, </w:t>
      </w:r>
      <w:r>
        <w:rPr>
          <w:kern w:val="0"/>
        </w:rPr>
        <w:lastRenderedPageBreak/>
        <w:t xml:space="preserve">risk factor and intervention research, published between 1990 and 2010, for microbial hazards in leafy green vegetables. </w:t>
      </w:r>
      <w:r>
        <w:rPr>
          <w:i/>
          <w:iCs/>
          <w:kern w:val="0"/>
        </w:rPr>
        <w:t>Food Control</w:t>
      </w:r>
      <w:r>
        <w:rPr>
          <w:kern w:val="0"/>
        </w:rPr>
        <w:t xml:space="preserve">, </w:t>
      </w:r>
      <w:r>
        <w:rPr>
          <w:b/>
          <w:bCs/>
          <w:kern w:val="0"/>
        </w:rPr>
        <w:t>23</w:t>
      </w:r>
      <w:r>
        <w:rPr>
          <w:kern w:val="0"/>
        </w:rPr>
        <w:t xml:space="preserve"> (1), 7-19.</w:t>
      </w:r>
    </w:p>
    <w:p w:rsidR="00706B62" w:rsidRPr="00A428C3" w:rsidRDefault="00706B62" w:rsidP="00706B62">
      <w:pPr>
        <w:pStyle w:val="a0"/>
      </w:pPr>
      <w:r w:rsidRPr="00A428C3">
        <w:t xml:space="preserve">Full Text: </w:t>
      </w:r>
      <w:hyperlink r:id="rId103" w:history="1">
        <w:r w:rsidRPr="00706B62">
          <w:rPr>
            <w:rStyle w:val="a5"/>
          </w:rPr>
          <w:t>2012\Foo Con23, 7.pdf</w:t>
        </w:r>
      </w:hyperlink>
    </w:p>
    <w:p w:rsidR="00706B62" w:rsidRDefault="00706B62" w:rsidP="00706B62">
      <w:pPr>
        <w:pStyle w:val="a0"/>
        <w:rPr>
          <w:kern w:val="0"/>
        </w:rPr>
      </w:pPr>
      <w:r>
        <w:rPr>
          <w:kern w:val="0"/>
        </w:rPr>
        <w:t>Abstract: A scoping study was conducted to identify all published prevalence, risk factor, and intervention research investigating 16 microbial hazards in leafy green vegetables and to evaluate the volume, main characteristics, basic aspects of methodological soundness and/or reporting, and the main knowledge gaps and research needs. Our study included a comprehensive literature search, a replicable two-level relevance screening (abstract and article levels), and a two-phase quality assessment and data extraction (article level). All steps were conducted by two independent reviewers following general principles of systematic review methodology. From the initial 7961 citations, 657 articles were relevant, reporting one or more research themes: prevalence (314 studies), risk factor (472) and intervention research (269). These articles were published in 190 different scientific journals, 15% between 1990 and 2000, and the remaining 85% after year 2000. Sixty-five percent of studies was conducted in the USA, Canada, or Europe. Over 70% of all studies investigated lettuce. Collectively, four leafy greens (lettuce, cabbage, spinach, and fresh leafy herbs) and microorganism (Escherichia coil, Salmonella, Listeria and coliforms) combinations accounted for almost 80% of relevant studies. Forty-one percent of the research was conducted at the processing stage of production. Lack of reporting sufficient data and/or replicable laboratory protocols (first phase assessment) resulted in exclusion of 60% of relevant articles. In total, 231 papers were retained following second phase quality evaluation, and only 152 (20% of all relevant articles) met all ranking criteria. A lack of well designed, executed, and reported prevalence studies with sampled populations representative of the target populations and of experimental studies investigating the efficacy of intervention(s) under real-life conditions was observed. A limited number of articles investigating commonly accepted important risk factors, for example worker hygiene and health, equipment sanitation, and wildlife, was identified. We highlight research areas with the data potentially feasible for full systematic review-meta-analysis methodology and areas warranting additional investigation. The resulting information is necessary for the establishment of evidence-informed guidelines for food safety enhancement. (C) 2011 Elsevier Ltd. All rights reserved.</w:t>
      </w:r>
    </w:p>
    <w:p w:rsidR="00706B62" w:rsidRDefault="00706B62" w:rsidP="00706B62">
      <w:pPr>
        <w:pStyle w:val="a0"/>
        <w:rPr>
          <w:kern w:val="0"/>
        </w:rPr>
      </w:pPr>
      <w:r>
        <w:rPr>
          <w:kern w:val="0"/>
        </w:rPr>
        <w:t xml:space="preserve">Keywords: Assessment, Bibliometric Analysis, Canada, Citations, Efficacy, Enhancement, Escherichia-Coli O157-H7, Europe, Evaluation, Experimental, Extraction, Food Safety, Fruit, Guidelines, Health, Information, Intervention, Journals, Knowledge, Leafy Green Vegetables, Lettuce, Literature, Management, Metaanalysis, Methodological Assessment, Methodology, Microbial Hazards, Papers, Prevalence, Quality, Ranking, Research, Review, Risk, Risk Factor, Risk Factors, </w:t>
      </w:r>
      <w:r>
        <w:rPr>
          <w:kern w:val="0"/>
        </w:rPr>
        <w:lastRenderedPageBreak/>
        <w:t>Safety, Scoping Study, Screening, Systematic, Systematic Review, USA, Vegetables</w:t>
      </w:r>
    </w:p>
    <w:p w:rsidR="00B95188" w:rsidRPr="00A428C3" w:rsidRDefault="00B95188" w:rsidP="00B95188">
      <w:pPr>
        <w:pStyle w:val="1"/>
      </w:pPr>
      <w:r w:rsidRPr="00A428C3">
        <w:br w:type="page"/>
      </w:r>
      <w:bookmarkStart w:id="109" w:name="_Toc487192714"/>
      <w:bookmarkStart w:id="110" w:name="_Toc489709730"/>
      <w:bookmarkStart w:id="111" w:name="_Toc490687965"/>
      <w:bookmarkStart w:id="112" w:name="_Toc186647678"/>
      <w:bookmarkStart w:id="113" w:name="_Toc317160847"/>
      <w:r w:rsidRPr="00A428C3">
        <w:lastRenderedPageBreak/>
        <w:t>Title: Food Microbiology</w:t>
      </w:r>
      <w:bookmarkEnd w:id="109"/>
      <w:bookmarkEnd w:id="110"/>
      <w:bookmarkEnd w:id="111"/>
      <w:bookmarkEnd w:id="112"/>
      <w:bookmarkEnd w:id="113"/>
    </w:p>
    <w:p w:rsidR="00B95188" w:rsidRPr="00A428C3" w:rsidRDefault="00B95188" w:rsidP="00B72EF9">
      <w:pPr>
        <w:pStyle w:val="12"/>
      </w:pPr>
      <w:r w:rsidRPr="00A428C3">
        <w:t xml:space="preserve">Full Journal Title: </w:t>
      </w:r>
      <w:hyperlink r:id="rId104" w:history="1">
        <w:r w:rsidRPr="00A428C3">
          <w:rPr>
            <w:rStyle w:val="a5"/>
          </w:rPr>
          <w:t>Food Microbiology</w:t>
        </w:r>
      </w:hyperlink>
    </w:p>
    <w:p w:rsidR="00B95188" w:rsidRPr="00A428C3" w:rsidRDefault="00B95188" w:rsidP="00B72EF9">
      <w:pPr>
        <w:pStyle w:val="12"/>
      </w:pPr>
      <w:r w:rsidRPr="00A428C3">
        <w:t>ISO Abbreviated Title: Food Microbiol.</w:t>
      </w:r>
    </w:p>
    <w:p w:rsidR="00B95188" w:rsidRPr="00A428C3" w:rsidRDefault="00B95188" w:rsidP="00B72EF9">
      <w:pPr>
        <w:pStyle w:val="12"/>
      </w:pPr>
      <w:r w:rsidRPr="00A428C3">
        <w:t>JCR Abbreviated Title: Food Microbiol</w:t>
      </w:r>
    </w:p>
    <w:p w:rsidR="00B95188" w:rsidRPr="00A428C3" w:rsidRDefault="00B95188" w:rsidP="00B72EF9">
      <w:pPr>
        <w:pStyle w:val="12"/>
      </w:pPr>
      <w:r w:rsidRPr="00A428C3">
        <w:t>ISSN: 0740-0020</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Academic Press Ltd</w:t>
      </w:r>
    </w:p>
    <w:p w:rsidR="00B95188" w:rsidRPr="00A428C3" w:rsidRDefault="00B95188" w:rsidP="00B72EF9">
      <w:pPr>
        <w:pStyle w:val="12"/>
      </w:pPr>
      <w:r w:rsidRPr="00A428C3">
        <w:t xml:space="preserve">Publisher Address: </w:t>
      </w:r>
      <w:smartTag w:uri="urn:schemas-microsoft-com:office:smarttags" w:element="place">
        <w:r w:rsidRPr="00A428C3">
          <w:t xml:space="preserve">24-28 Oval Rd, </w:t>
        </w:r>
        <w:smartTag w:uri="urn:schemas-microsoft-com:office:smarttags" w:element="City">
          <w:r w:rsidRPr="00A428C3">
            <w:t>London</w:t>
          </w:r>
        </w:smartTag>
        <w:r w:rsidRPr="00A428C3">
          <w:t xml:space="preserve"> </w:t>
        </w:r>
        <w:smartTag w:uri="urn:schemas-microsoft-com:office:smarttags" w:element="PostalCode">
          <w:r w:rsidRPr="00A428C3">
            <w:t>NW1 7DX</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Biotechnology &amp; Applied Microbiology: </w:t>
      </w:r>
      <w:r w:rsidRPr="00A428C3">
        <w:rPr>
          <w:color w:val="008000"/>
        </w:rPr>
        <w:t>Impact Factor</w:t>
      </w:r>
    </w:p>
    <w:p w:rsidR="00B95188" w:rsidRPr="00A428C3" w:rsidRDefault="00B95188" w:rsidP="00B72EF9">
      <w:pPr>
        <w:pStyle w:val="12"/>
      </w:pPr>
      <w:r w:rsidRPr="00A428C3">
        <w:t xml:space="preserve">Food Science &amp; Technology Microbiology: </w:t>
      </w:r>
      <w:r w:rsidRPr="00A428C3">
        <w:rPr>
          <w:color w:val="008000"/>
        </w:rPr>
        <w:t xml:space="preserve">Impact Factor </w:t>
      </w:r>
    </w:p>
    <w:p w:rsidR="00B95188" w:rsidRPr="00A428C3" w:rsidRDefault="00B95188" w:rsidP="00B95188">
      <w:pPr>
        <w:pStyle w:val="a0"/>
      </w:pPr>
      <w:r w:rsidRPr="00A428C3">
        <w:t>Bhaskar, N., Setty, T.M.R., Mondal, S., Joseph, M.A., Raju, C.V., Raghunath, B.S.</w:t>
      </w:r>
      <w:r w:rsidR="00F81221">
        <w:t xml:space="preserve"> and </w:t>
      </w:r>
      <w:r w:rsidRPr="00A428C3">
        <w:t>Anantha, C.S. (1998), Prevalence of bacteria of public health significance in the cultured shrimp (</w:t>
      </w:r>
      <w:r w:rsidRPr="00A428C3">
        <w:rPr>
          <w:i/>
          <w:iCs/>
        </w:rPr>
        <w:t>Penaeus monodon</w:t>
      </w:r>
      <w:r w:rsidRPr="00A428C3">
        <w:t xml:space="preserve">). </w:t>
      </w:r>
      <w:r w:rsidRPr="00A428C3">
        <w:rPr>
          <w:i/>
        </w:rPr>
        <w:t>Food Microbiology</w:t>
      </w:r>
      <w:r w:rsidRPr="00A428C3">
        <w:t xml:space="preserve">, </w:t>
      </w:r>
      <w:r w:rsidRPr="00A428C3">
        <w:rPr>
          <w:b/>
        </w:rPr>
        <w:t>15</w:t>
      </w:r>
      <w:r w:rsidRPr="00A428C3">
        <w:t xml:space="preserve"> (5), 511-519.</w:t>
      </w:r>
    </w:p>
    <w:p w:rsidR="00B95188" w:rsidRPr="00A428C3" w:rsidRDefault="00B95188" w:rsidP="00B95188">
      <w:pPr>
        <w:pStyle w:val="a0"/>
      </w:pPr>
      <w:r w:rsidRPr="00A428C3">
        <w:t xml:space="preserve">Full Text: </w:t>
      </w:r>
      <w:hyperlink r:id="rId105" w:history="1">
        <w:r w:rsidRPr="00A428C3">
          <w:rPr>
            <w:rStyle w:val="a5"/>
          </w:rPr>
          <w:t>F\Foo Mic15, 511.pdf</w:t>
        </w:r>
      </w:hyperlink>
    </w:p>
    <w:p w:rsidR="00B95188" w:rsidRPr="00A428C3" w:rsidRDefault="00B95188" w:rsidP="00B95188">
      <w:pPr>
        <w:pStyle w:val="a0"/>
      </w:pPr>
      <w:r w:rsidRPr="00A428C3">
        <w:t>Abstract: The prevalence of some human pathogenic bacteria, namely Salmonella, Vibrio s</w:t>
      </w:r>
      <w:r w:rsidR="00F81221">
        <w:t xml:space="preserve"> and </w:t>
      </w:r>
      <w:r w:rsidRPr="00A428C3">
        <w:rPr>
          <w:i/>
        </w:rPr>
        <w:t xml:space="preserve">Listeria </w:t>
      </w:r>
      <w:r w:rsidRPr="00A428C3">
        <w:t>monocytogenes, in shrimps under different stages of farming operations was determined by using standard methods. Salmonella</w:t>
      </w:r>
      <w:r w:rsidR="00F81221">
        <w:t xml:space="preserve"> and </w:t>
      </w:r>
      <w:r w:rsidRPr="00A428C3">
        <w:t xml:space="preserve">Vibrio were present in ail samples analysed. </w:t>
      </w:r>
      <w:r w:rsidRPr="00A428C3">
        <w:rPr>
          <w:i/>
        </w:rPr>
        <w:t xml:space="preserve">Listeria </w:t>
      </w:r>
      <w:r w:rsidRPr="00A428C3">
        <w:t>s was absent from all the samples except clam meat analysed during the farming phase</w:t>
      </w:r>
      <w:r w:rsidR="00F81221">
        <w:t xml:space="preserve"> and </w:t>
      </w:r>
      <w:r w:rsidRPr="00A428C3">
        <w:t>sediment</w:t>
      </w:r>
      <w:r w:rsidR="00F81221">
        <w:t xml:space="preserve"> and </w:t>
      </w:r>
      <w:r w:rsidRPr="00A428C3">
        <w:t>shrimps at harvest. A poor correlation was observed between the level of indicator organisms (coliforms)</w:t>
      </w:r>
      <w:r w:rsidR="00F81221">
        <w:t xml:space="preserve"> and </w:t>
      </w:r>
      <w:r w:rsidRPr="00A428C3">
        <w:t>the incidence of these pathogens, indicating that these pathogens are a part of the natural microfauna of the shrimp culture environment. (C) 1998 Academic Press.</w:t>
      </w:r>
    </w:p>
    <w:p w:rsidR="00B95188" w:rsidRPr="00A428C3" w:rsidRDefault="00B95188" w:rsidP="00B95188">
      <w:pPr>
        <w:pStyle w:val="1"/>
      </w:pPr>
      <w:r w:rsidRPr="00A428C3">
        <w:br w:type="page"/>
      </w:r>
      <w:bookmarkStart w:id="114" w:name="_Toc186647679"/>
      <w:bookmarkStart w:id="115" w:name="_Toc317160848"/>
      <w:r w:rsidRPr="00A428C3">
        <w:lastRenderedPageBreak/>
        <w:t>Title: Food Research International</w:t>
      </w:r>
      <w:bookmarkEnd w:id="114"/>
      <w:bookmarkEnd w:id="115"/>
    </w:p>
    <w:p w:rsidR="00B95188" w:rsidRPr="00A428C3" w:rsidRDefault="00B95188" w:rsidP="00B72EF9">
      <w:pPr>
        <w:pStyle w:val="12"/>
      </w:pPr>
      <w:r w:rsidRPr="00A428C3">
        <w:t xml:space="preserve">Full Journal Title: </w:t>
      </w:r>
      <w:hyperlink r:id="rId106" w:history="1">
        <w:r w:rsidRPr="00A428C3">
          <w:rPr>
            <w:rStyle w:val="a5"/>
          </w:rPr>
          <w:t>Food Research International</w:t>
        </w:r>
      </w:hyperlink>
    </w:p>
    <w:p w:rsidR="00B95188" w:rsidRPr="00A428C3" w:rsidRDefault="00B95188" w:rsidP="00B72EF9">
      <w:pPr>
        <w:pStyle w:val="12"/>
      </w:pPr>
      <w:r w:rsidRPr="00A428C3">
        <w:t>ISO Abbreviated Title: Food Res. Int.</w:t>
      </w:r>
    </w:p>
    <w:p w:rsidR="00B95188" w:rsidRPr="00A428C3" w:rsidRDefault="00B95188" w:rsidP="00B72EF9">
      <w:pPr>
        <w:pStyle w:val="12"/>
      </w:pPr>
      <w:r w:rsidRPr="00A428C3">
        <w:t>JCR Abbreviated Title: Food Res Int</w:t>
      </w:r>
    </w:p>
    <w:p w:rsidR="00B95188" w:rsidRPr="00A428C3" w:rsidRDefault="00B95188" w:rsidP="00B72EF9">
      <w:pPr>
        <w:pStyle w:val="12"/>
      </w:pPr>
      <w:r w:rsidRPr="00A428C3">
        <w:t>ISSN: 0963-9969</w:t>
      </w:r>
    </w:p>
    <w:p w:rsidR="00B95188" w:rsidRPr="00A428C3" w:rsidRDefault="00B95188" w:rsidP="00B72EF9">
      <w:pPr>
        <w:pStyle w:val="12"/>
      </w:pPr>
      <w:r w:rsidRPr="00A428C3">
        <w:t>Issues/Year: 9</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address">
        <w:smartTag w:uri="urn:schemas-microsoft-com:office:smarttags" w:element="Street">
          <w:r w:rsidRPr="00A428C3">
            <w:t>Elsevier Science BV</w:t>
          </w:r>
        </w:smartTag>
        <w:r w:rsidRPr="00A428C3">
          <w:t xml:space="preserve">, </w:t>
        </w:r>
        <w:smartTag w:uri="urn:schemas-microsoft-com:office:smarttags" w:element="City">
          <w:r w:rsidRPr="00A428C3">
            <w:t>Amsterdam</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w:t>
      </w:r>
      <w:smartTag w:uri="urn:schemas-microsoft-com:office:smarttags" w:element="place">
        <w:smartTag w:uri="urn:schemas-microsoft-com:office:smarttags" w:element="City">
          <w:r w:rsidRPr="00A428C3">
            <w:t>Ae 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Food Science &amp; Technology: Impact Factor 0.707, / (2000)</w:t>
      </w:r>
    </w:p>
    <w:p w:rsidR="00B95188" w:rsidRPr="00A428C3" w:rsidRDefault="00B95188" w:rsidP="00B95188">
      <w:pPr>
        <w:pStyle w:val="a0"/>
      </w:pPr>
      <w:r w:rsidRPr="00A428C3">
        <w:t>Guillon, F.</w:t>
      </w:r>
      <w:r w:rsidR="00F81221">
        <w:t xml:space="preserve"> and </w:t>
      </w:r>
      <w:r w:rsidRPr="00A428C3">
        <w:t>Champ, M. (2000), Structural</w:t>
      </w:r>
      <w:r w:rsidR="00F81221">
        <w:t xml:space="preserve"> and </w:t>
      </w:r>
      <w:r w:rsidRPr="00A428C3">
        <w:t>physical properties of dietary fibres,</w:t>
      </w:r>
      <w:r w:rsidR="00F81221">
        <w:t xml:space="preserve"> and </w:t>
      </w:r>
      <w:r w:rsidRPr="00A428C3">
        <w:t xml:space="preserve">consequences of processing on human physiology. </w:t>
      </w:r>
      <w:r w:rsidRPr="00A428C3">
        <w:rPr>
          <w:i/>
        </w:rPr>
        <w:t>Food Research International</w:t>
      </w:r>
      <w:r w:rsidRPr="00A428C3">
        <w:rPr>
          <w:iCs/>
        </w:rPr>
        <w:t xml:space="preserve">, </w:t>
      </w:r>
      <w:r w:rsidRPr="00A428C3">
        <w:rPr>
          <w:b/>
        </w:rPr>
        <w:t>33</w:t>
      </w:r>
      <w:r w:rsidRPr="00A428C3">
        <w:t xml:space="preserve"> (3-4), 233-245.</w:t>
      </w:r>
    </w:p>
    <w:p w:rsidR="00B95188" w:rsidRPr="00A428C3" w:rsidRDefault="00B95188" w:rsidP="00B95188">
      <w:pPr>
        <w:pStyle w:val="a0"/>
      </w:pPr>
      <w:r w:rsidRPr="00A428C3">
        <w:t xml:space="preserve">Full Text: </w:t>
      </w:r>
      <w:hyperlink r:id="rId107" w:history="1">
        <w:r w:rsidRPr="00A428C3">
          <w:rPr>
            <w:rStyle w:val="a5"/>
          </w:rPr>
          <w:t>F\Foo Res Int33, 233.pdf</w:t>
        </w:r>
      </w:hyperlink>
    </w:p>
    <w:p w:rsidR="00B95188" w:rsidRPr="00A428C3" w:rsidRDefault="00B95188" w:rsidP="00B95188">
      <w:pPr>
        <w:pStyle w:val="a0"/>
      </w:pPr>
      <w:r w:rsidRPr="00A428C3">
        <w:t>Abstract: Dietary fibre encompasses very diverse macromolecules exhibiting a large variety of physico-chemical properties. They might be naturally present in the food (in cell walls of vegetables</w:t>
      </w:r>
      <w:r w:rsidR="00F81221">
        <w:t xml:space="preserve"> and </w:t>
      </w:r>
      <w:r w:rsidRPr="00A428C3">
        <w:t>fruits, for instance) or introduced in the food to improve their nutritional properties (e.g. bran in bread products) or their physical characteristics (e.g, gelling agents or improved resistance to storage). The properties that are nutritionally relevant are mainly the particle size</w:t>
      </w:r>
      <w:r w:rsidR="00F81221">
        <w:t xml:space="preserve"> and </w:t>
      </w:r>
      <w:r w:rsidRPr="00A428C3">
        <w:t>bulk volume, the surface area characteristics, the hydration</w:t>
      </w:r>
      <w:r w:rsidR="00F81221">
        <w:t xml:space="preserve"> and </w:t>
      </w:r>
      <w:r w:rsidRPr="00A428C3">
        <w:t>rheological properties,</w:t>
      </w:r>
      <w:r w:rsidR="00F81221">
        <w:t xml:space="preserve"> and </w:t>
      </w:r>
      <w:r w:rsidRPr="00A428C3">
        <w:t>the adsorption or entrapment of minerals</w:t>
      </w:r>
      <w:r w:rsidR="00F81221">
        <w:t xml:space="preserve"> and </w:t>
      </w:r>
      <w:r w:rsidRPr="00A428C3">
        <w:t>organic molecules. Amongst these properties, the viscosity</w:t>
      </w:r>
      <w:r w:rsidR="00F81221">
        <w:t xml:space="preserve"> and </w:t>
      </w:r>
      <w:r w:rsidRPr="00A428C3">
        <w:t>ion exchange capacity are the main contributors to metabolic effects (glucose</w:t>
      </w:r>
      <w:r w:rsidR="00F81221">
        <w:t xml:space="preserve"> and </w:t>
      </w:r>
      <w:r w:rsidRPr="00A428C3">
        <w:t>lipid metabolisms) whereas fermentation pattern, bulking effect</w:t>
      </w:r>
      <w:r w:rsidR="00F81221">
        <w:t xml:space="preserve"> and </w:t>
      </w:r>
      <w:r w:rsidRPr="00A428C3">
        <w:t>particle size are strongly involved in effects on colonic function. Technological treatments can modify the physico-chemical properties of the fibre. This can be further exploited to optimise both their techno-functional</w:t>
      </w:r>
      <w:r w:rsidR="00F81221">
        <w:t xml:space="preserve"> and </w:t>
      </w:r>
      <w:r w:rsidRPr="00A428C3">
        <w:t>physiological properties. (C) 2000 Elsevier Science Ltd. All rights reserved.</w:t>
      </w:r>
    </w:p>
    <w:p w:rsidR="00B95188" w:rsidRPr="00A428C3" w:rsidRDefault="00B95188" w:rsidP="00B95188">
      <w:pPr>
        <w:pStyle w:val="a0"/>
      </w:pPr>
      <w:r w:rsidRPr="00A428C3">
        <w:t>Keywords: Dietary Fibre, Physico-Chemical Properties, Glycaemic Index, Lipid Metabolism, Short Chain Fatty Acids, Fibre Rich Foods, Sugar-Beet Fiber, Physicochemical Properties, Extrusion-Cooking, Cell-Wall, Polysaccharides, Fermentation, Psyllium, Flora, Foods, Bran</w:t>
      </w:r>
    </w:p>
    <w:p w:rsidR="00B95188" w:rsidRPr="00A428C3" w:rsidRDefault="00B95188" w:rsidP="00B95188">
      <w:pPr>
        <w:pStyle w:val="a0"/>
      </w:pPr>
      <w:r w:rsidRPr="00A428C3">
        <w:t>Liceaga-Gesualdo, A., Li-Chan, E.C.Y.</w:t>
      </w:r>
      <w:r w:rsidR="00F81221">
        <w:t xml:space="preserve"> and </w:t>
      </w:r>
      <w:r w:rsidRPr="00A428C3">
        <w:t xml:space="preserve">Skura, B.J. (2000), Antimicrobial effect of lactoferrin digest on spores of a Penicillium sp isolated from bottled water. </w:t>
      </w:r>
      <w:r w:rsidRPr="00A428C3">
        <w:rPr>
          <w:i/>
          <w:iCs/>
        </w:rPr>
        <w:t>Food Research International</w:t>
      </w:r>
      <w:r w:rsidRPr="00A428C3">
        <w:t xml:space="preserve">, </w:t>
      </w:r>
      <w:r w:rsidRPr="00A428C3">
        <w:rPr>
          <w:b/>
        </w:rPr>
        <w:t>34</w:t>
      </w:r>
      <w:r w:rsidRPr="00A428C3">
        <w:t xml:space="preserve"> (6), 501-506.</w:t>
      </w:r>
    </w:p>
    <w:p w:rsidR="00B95188" w:rsidRPr="00A428C3" w:rsidRDefault="00B95188" w:rsidP="00B95188">
      <w:pPr>
        <w:pStyle w:val="a0"/>
      </w:pPr>
      <w:r w:rsidRPr="00A428C3">
        <w:lastRenderedPageBreak/>
        <w:t xml:space="preserve">Full Text: </w:t>
      </w:r>
      <w:hyperlink r:id="rId108" w:history="1">
        <w:r w:rsidRPr="00A428C3">
          <w:rPr>
            <w:rStyle w:val="a5"/>
          </w:rPr>
          <w:t>F\Foo Res Int34, 501.pdf</w:t>
        </w:r>
      </w:hyperlink>
    </w:p>
    <w:p w:rsidR="00B95188" w:rsidRPr="00A428C3" w:rsidRDefault="00B95188" w:rsidP="00B95188">
      <w:pPr>
        <w:pStyle w:val="a0"/>
      </w:pPr>
      <w:r w:rsidRPr="00A428C3">
        <w:t>Abstract: Fungal growth in bottled water has caused the bottled water industry a series of recalls</w:t>
      </w:r>
      <w:r w:rsidR="00F81221">
        <w:t xml:space="preserve"> and </w:t>
      </w:r>
      <w:r w:rsidRPr="00A428C3">
        <w:t>rejected products. Microorganisms isolated from bottled water were cultured</w:t>
      </w:r>
      <w:r w:rsidR="00F81221">
        <w:t xml:space="preserve"> and </w:t>
      </w:r>
      <w:r w:rsidRPr="00A428C3">
        <w:t>identified as Penicillum sp. A spore stock suspension was prepared by washing spores after 7 days incubation at 25 degreesC on potato dextrose agar. Lactoferrin (5% w/v), isolated from cheese whey, was digested at 37 degreesC for 4 h using porcine pepsin (3% w/w). For the antimicrobial assay, a 96 well microplate containing peptone yeast glucose medium</w:t>
      </w:r>
      <w:r w:rsidR="00F81221">
        <w:t xml:space="preserve"> and </w:t>
      </w:r>
      <w:r w:rsidRPr="00A428C3">
        <w:t>known concentrations of pepsin digest containing lactoferricin, was inoculated with the spore suspension (ca. 7×10</w:t>
      </w:r>
      <w:r w:rsidRPr="00A428C3">
        <w:rPr>
          <w:vertAlign w:val="superscript"/>
        </w:rPr>
        <w:t>4</w:t>
      </w:r>
      <w:r w:rsidRPr="00A428C3">
        <w:t xml:space="preserve"> ml</w:t>
      </w:r>
      <w:r w:rsidRPr="00A428C3">
        <w:rPr>
          <w:vertAlign w:val="superscript"/>
        </w:rPr>
        <w:t>-1</w:t>
      </w:r>
      <w:r w:rsidRPr="00A428C3">
        <w:t xml:space="preserve"> spores). Culture optical density was monitored at 595 nm. Lactoferricin at concentrations of 60</w:t>
      </w:r>
      <w:r w:rsidR="00F81221">
        <w:t xml:space="preserve"> and </w:t>
      </w:r>
      <w:r w:rsidRPr="00A428C3">
        <w:t>300 µg/ml inhibited spore germination</w:t>
      </w:r>
      <w:r w:rsidR="00F81221">
        <w:t xml:space="preserve"> and </w:t>
      </w:r>
      <w:r w:rsidRPr="00A428C3">
        <w:t>mycelial growth for up to 9</w:t>
      </w:r>
      <w:r w:rsidR="00F81221">
        <w:t xml:space="preserve"> and </w:t>
      </w:r>
      <w:r w:rsidRPr="00A428C3">
        <w:t>21 days at 30 degreesC, respectively, whereas a bovine serum albumin digest, used as a negative control, had no inhibitory effect on the spores. Lactoferricin may have potential as an antifungal agent in bottled water. (C) 2001 Published by Elsevier Science Ltd.</w:t>
      </w:r>
    </w:p>
    <w:p w:rsidR="00B95188" w:rsidRPr="00A428C3" w:rsidRDefault="00B95188" w:rsidP="00B95188">
      <w:pPr>
        <w:pStyle w:val="a0"/>
      </w:pPr>
      <w:r w:rsidRPr="00A428C3">
        <w:t xml:space="preserve">Keywords: Bottled Water, Lactoferrin Digest, Fungal Spores, Microbiological Quality, Bovine </w:t>
      </w:r>
      <w:smartTag w:uri="urn:schemas-microsoft-com:office:smarttags" w:element="place">
        <w:smartTag w:uri="urn:schemas-microsoft-com:office:smarttags" w:element="City">
          <w:r w:rsidRPr="00A428C3">
            <w:t>Lactoferrin</w:t>
          </w:r>
        </w:smartTag>
        <w:r w:rsidRPr="00A428C3">
          <w:t xml:space="preserve">, </w:t>
        </w:r>
        <w:smartTag w:uri="urn:schemas-microsoft-com:office:smarttags" w:element="country-region">
          <w:r w:rsidRPr="00A428C3">
            <w:t>Canada</w:t>
          </w:r>
        </w:smartTag>
      </w:smartTag>
      <w:r w:rsidRPr="00A428C3">
        <w:t>, Sold</w:t>
      </w:r>
    </w:p>
    <w:p w:rsidR="00DB0C81" w:rsidRPr="00A428C3" w:rsidRDefault="00DB0C81" w:rsidP="00DB0C81">
      <w:pPr>
        <w:pStyle w:val="a0"/>
      </w:pPr>
      <w:r>
        <w:rPr>
          <w:rFonts w:hint="eastAsia"/>
        </w:rPr>
        <w:t>?</w:t>
      </w:r>
      <w:r w:rsidRPr="00DB0C81">
        <w:t xml:space="preserve"> </w:t>
      </w:r>
      <w:r>
        <w:t>Peng, F</w:t>
      </w:r>
      <w:r>
        <w:rPr>
          <w:rFonts w:hint="eastAsia"/>
        </w:rPr>
        <w:t>.,</w:t>
      </w:r>
      <w:r>
        <w:t xml:space="preserve"> Ren, J</w:t>
      </w:r>
      <w:r>
        <w:rPr>
          <w:rFonts w:hint="eastAsia"/>
        </w:rPr>
        <w:t>.</w:t>
      </w:r>
      <w:r>
        <w:t>L</w:t>
      </w:r>
      <w:r>
        <w:rPr>
          <w:rFonts w:hint="eastAsia"/>
        </w:rPr>
        <w:t>.,</w:t>
      </w:r>
      <w:r>
        <w:t xml:space="preserve"> Xu, F</w:t>
      </w:r>
      <w:r>
        <w:rPr>
          <w:rFonts w:hint="eastAsia"/>
        </w:rPr>
        <w:t>.,</w:t>
      </w:r>
      <w:r>
        <w:t xml:space="preserve"> Bian, J</w:t>
      </w:r>
      <w:r>
        <w:rPr>
          <w:rFonts w:hint="eastAsia"/>
        </w:rPr>
        <w:t>.,</w:t>
      </w:r>
      <w:r>
        <w:t xml:space="preserve"> Peng, P</w:t>
      </w:r>
      <w:r>
        <w:rPr>
          <w:rFonts w:hint="eastAsia"/>
        </w:rPr>
        <w:t>.</w:t>
      </w:r>
      <w:r w:rsidR="00F81221">
        <w:rPr>
          <w:rFonts w:hint="eastAsia"/>
        </w:rPr>
        <w:t xml:space="preserve"> and </w:t>
      </w:r>
      <w:r>
        <w:t>Sun, R</w:t>
      </w:r>
      <w:r>
        <w:rPr>
          <w:rFonts w:hint="eastAsia"/>
        </w:rPr>
        <w:t>.</w:t>
      </w:r>
      <w:r>
        <w:t>C</w:t>
      </w:r>
      <w:r>
        <w:rPr>
          <w:rFonts w:hint="eastAsia"/>
        </w:rPr>
        <w:t>.</w:t>
      </w:r>
      <w:r w:rsidRPr="00A428C3">
        <w:t xml:space="preserve"> (20</w:t>
      </w:r>
      <w:r>
        <w:rPr>
          <w:rFonts w:hint="eastAsia"/>
        </w:rPr>
        <w:t>1</w:t>
      </w:r>
      <w:r w:rsidRPr="00A428C3">
        <w:t xml:space="preserve">0), </w:t>
      </w:r>
      <w:r>
        <w:t>Comparative studies on the physico-chemical properties of hemicelluloses obtained by DEAE-cellulose-52 chromatography from sugarcane bagasse</w:t>
      </w:r>
      <w:r w:rsidRPr="00A428C3">
        <w:t xml:space="preserve">. </w:t>
      </w:r>
      <w:r w:rsidRPr="00A428C3">
        <w:rPr>
          <w:i/>
          <w:iCs/>
        </w:rPr>
        <w:t>Food Research International</w:t>
      </w:r>
      <w:r w:rsidRPr="00A428C3">
        <w:t xml:space="preserve">, </w:t>
      </w:r>
      <w:r>
        <w:rPr>
          <w:rFonts w:hint="eastAsia"/>
          <w:b/>
        </w:rPr>
        <w:t>43</w:t>
      </w:r>
      <w:r w:rsidRPr="00A428C3">
        <w:t xml:space="preserve"> (</w:t>
      </w:r>
      <w:r>
        <w:rPr>
          <w:rFonts w:hint="eastAsia"/>
        </w:rPr>
        <w:t>3</w:t>
      </w:r>
      <w:r w:rsidRPr="00A428C3">
        <w:t xml:space="preserve">), </w:t>
      </w:r>
      <w:r>
        <w:t>683-693</w:t>
      </w:r>
      <w:r w:rsidRPr="00A428C3">
        <w:t>.</w:t>
      </w:r>
    </w:p>
    <w:p w:rsidR="00DB0C81" w:rsidRDefault="00DB0C81" w:rsidP="00DB0C81">
      <w:pPr>
        <w:pStyle w:val="a0"/>
      </w:pPr>
      <w:r w:rsidRPr="00A428C3">
        <w:t xml:space="preserve">Full Text: </w:t>
      </w:r>
      <w:hyperlink r:id="rId109" w:history="1">
        <w:r w:rsidRPr="00DB0C81">
          <w:rPr>
            <w:rStyle w:val="a5"/>
          </w:rPr>
          <w:t>2010\Foo Res Int43, 683.pdf</w:t>
        </w:r>
      </w:hyperlink>
    </w:p>
    <w:p w:rsidR="00DB0C81" w:rsidRDefault="00DB0C81" w:rsidP="00DB0C81">
      <w:pPr>
        <w:pStyle w:val="a0"/>
      </w:pPr>
      <w:r>
        <w:t>Abstract: Water-</w:t>
      </w:r>
      <w:r w:rsidR="00F81221">
        <w:t xml:space="preserve"> and </w:t>
      </w:r>
      <w:r>
        <w:t>alkali-soluble hemicelluloses isolated from dewaxed sugarcane bagasse were sub-fractionated on DEAE-cellulose-52 chromatography</w:t>
      </w:r>
      <w:r w:rsidR="00F81221">
        <w:t xml:space="preserve"> and </w:t>
      </w:r>
      <w:r>
        <w:t>obtained six hemicellulosic sub-fractions by eluting with water, 0.1 M</w:t>
      </w:r>
      <w:r w:rsidR="00F81221">
        <w:t xml:space="preserve"> and </w:t>
      </w:r>
      <w:r>
        <w:t>0.3 M NaG aqueous solution, respectively. Sugar composition</w:t>
      </w:r>
      <w:r w:rsidR="00F81221">
        <w:t xml:space="preserve"> and </w:t>
      </w:r>
      <w:r>
        <w:t>molecular weight analysis revealed that the lower molecular weight (14,180-43,590 g mol(-1))</w:t>
      </w:r>
      <w:r w:rsidR="00F81221">
        <w:t xml:space="preserve"> and </w:t>
      </w:r>
      <w:r>
        <w:t>more branches of hemicelluloses could be extracted by the hot water, which are rich in glucose, galactose,</w:t>
      </w:r>
      <w:r w:rsidR="00F81221">
        <w:t xml:space="preserve"> and </w:t>
      </w:r>
      <w:r>
        <w:t>xylose, while the higher molecular weight (75,430-138,170 g mol(-1))</w:t>
      </w:r>
      <w:r w:rsidR="00F81221">
        <w:t xml:space="preserve"> and </w:t>
      </w:r>
      <w:r>
        <w:t>more linear hemicelluloses were able to be dissolved into 1% NaCH aqueous solution, which are rich in xylose, principally resulting from L-arabino-(4-O-methyl-glucurono)-D-Xylans. In addition, it was found that with increasing the concentration of NaCl (aqueous), the hemicellulosic sub-fractions with both higher arabinose to xylose ratio</w:t>
      </w:r>
      <w:r w:rsidR="00F81221">
        <w:t xml:space="preserve"> and </w:t>
      </w:r>
      <w:r>
        <w:t>higher molecular weight were eluted. Based on the FT-IR, sugar composition</w:t>
      </w:r>
      <w:r w:rsidR="00F81221">
        <w:t xml:space="preserve"> and </w:t>
      </w:r>
      <w:r>
        <w:t>(1)H</w:t>
      </w:r>
      <w:r w:rsidR="00F81221">
        <w:t xml:space="preserve"> and </w:t>
      </w:r>
      <w:r>
        <w:t>(13)C NMR comparative studies, the alkali-soluble hemicellulosic sub-fractions had a classical structure, with a backbone of beta-(1 -&gt; 4)-linked xylosyl residue substituted with arabinose at C-2 and/or C-3 of main chain, whereas the difference may occur in the distribution of branches along the xylan backbone. (C) 2009 Elsevier Ltd. All rights reserved.</w:t>
      </w:r>
    </w:p>
    <w:p w:rsidR="00DB0C81" w:rsidRPr="00A428C3" w:rsidRDefault="00DB0C81" w:rsidP="00DB0C81">
      <w:pPr>
        <w:pStyle w:val="a0"/>
      </w:pPr>
      <w:r>
        <w:lastRenderedPageBreak/>
        <w:t>Keywords: Sugarcane Bagasse, Hemicelluloses, Deae-Cellulose-52 Chromatography, Water-Soluble Arabinoxylans, Wheat-Straw, Structural-Characterization, Alkali, Extraction, Lignin, Xylan, Bran, Cellulose, Polymers</w:t>
      </w:r>
    </w:p>
    <w:p w:rsidR="00083688" w:rsidRDefault="00083688" w:rsidP="00083688">
      <w:pPr>
        <w:pStyle w:val="a0"/>
        <w:rPr>
          <w:kern w:val="0"/>
        </w:rPr>
      </w:pPr>
      <w:r>
        <w:rPr>
          <w:rFonts w:hint="eastAsia"/>
          <w:kern w:val="0"/>
        </w:rPr>
        <w:t xml:space="preserve">? </w:t>
      </w:r>
      <w:r>
        <w:rPr>
          <w:kern w:val="0"/>
        </w:rPr>
        <w:t xml:space="preserve">Erdogan-Orhan, I. and Kartal, M. (2011), Insights into research on phytochemistry and biological activities of </w:t>
      </w:r>
      <w:r w:rsidRPr="00B975F2">
        <w:rPr>
          <w:i/>
          <w:kern w:val="0"/>
        </w:rPr>
        <w:t>Prunus armeniaca</w:t>
      </w:r>
      <w:r>
        <w:rPr>
          <w:kern w:val="0"/>
        </w:rPr>
        <w:t xml:space="preserve"> L. (apricot). </w:t>
      </w:r>
      <w:r>
        <w:rPr>
          <w:i/>
          <w:iCs/>
          <w:kern w:val="0"/>
        </w:rPr>
        <w:t>Food Research International</w:t>
      </w:r>
      <w:r>
        <w:rPr>
          <w:kern w:val="0"/>
        </w:rPr>
        <w:t xml:space="preserve">, </w:t>
      </w:r>
      <w:r>
        <w:rPr>
          <w:b/>
          <w:bCs/>
          <w:kern w:val="0"/>
        </w:rPr>
        <w:t>44</w:t>
      </w:r>
      <w:r>
        <w:rPr>
          <w:kern w:val="0"/>
        </w:rPr>
        <w:t xml:space="preserve"> (5), 1238-1243.</w:t>
      </w:r>
    </w:p>
    <w:p w:rsidR="00083688" w:rsidRDefault="00083688" w:rsidP="00083688">
      <w:pPr>
        <w:pStyle w:val="a0"/>
      </w:pPr>
      <w:r w:rsidRPr="00A428C3">
        <w:t xml:space="preserve">Full Text: </w:t>
      </w:r>
      <w:hyperlink r:id="rId110" w:history="1">
        <w:r w:rsidRPr="00B975F2">
          <w:rPr>
            <w:rStyle w:val="a5"/>
          </w:rPr>
          <w:t>2011\Foo Res Int44, 1238.pdf</w:t>
        </w:r>
      </w:hyperlink>
    </w:p>
    <w:p w:rsidR="00083688" w:rsidRDefault="00083688" w:rsidP="00083688">
      <w:pPr>
        <w:pStyle w:val="a0"/>
        <w:rPr>
          <w:kern w:val="0"/>
        </w:rPr>
      </w:pPr>
      <w:r>
        <w:rPr>
          <w:kern w:val="0"/>
        </w:rPr>
        <w:t xml:space="preserve">Abstract: Prunus armeniaca L (Rosaceae) is an important medicinal edible plant species commonly known as </w:t>
      </w:r>
      <w:r w:rsidR="000352E7">
        <w:rPr>
          <w:kern w:val="0"/>
        </w:rPr>
        <w:t>“</w:t>
      </w:r>
      <w:r>
        <w:rPr>
          <w:kern w:val="0"/>
        </w:rPr>
        <w:t>apricot</w:t>
      </w:r>
      <w:r w:rsidR="000352E7">
        <w:rPr>
          <w:kern w:val="0"/>
        </w:rPr>
        <w:t>”</w:t>
      </w:r>
      <w:r>
        <w:rPr>
          <w:kern w:val="0"/>
        </w:rPr>
        <w:t xml:space="preserve">. Apricot is one of the most delicious and commercially traded fruits in the world. The plant is rich in mono- and polysaccharides, polyphenols, fatty acids and sterol derivatives, carotenoids, cyanogenic glucosides, and volatile components due to its appealing smell. P. armeniaca has been also investigated for various biological activities such as antimicrobial, antimutagenic, inhibitory activity against several enzymes, cardioprotective, anti-inflammatory and antinociceptive as well as antioxidant activity. Among these activities, antioxidant activity of apricot has been studied extensively and the plant displayed a high antioxidant effect in both in vitro and in vivo test systems. In this review, the relevant literature summary is given on phytochemistry and biological activity reports published on apricot. The literature survey for this review was performed using the key words </w:t>
      </w:r>
      <w:r w:rsidR="000352E7">
        <w:rPr>
          <w:kern w:val="0"/>
        </w:rPr>
        <w:t>“</w:t>
      </w:r>
      <w:r>
        <w:rPr>
          <w:kern w:val="0"/>
        </w:rPr>
        <w:t>Prunus armeniaca and apricot</w:t>
      </w:r>
      <w:r w:rsidR="000352E7">
        <w:rPr>
          <w:kern w:val="0"/>
        </w:rPr>
        <w:t>”</w:t>
      </w:r>
      <w:r>
        <w:rPr>
          <w:kern w:val="0"/>
        </w:rPr>
        <w:t xml:space="preserve"> through the search Scopus, ScienceDirect, Pubmed, and Web of Science data bases between 1950 and 2010. (C) 2010 Published by Elsevier Ltd.</w:t>
      </w:r>
    </w:p>
    <w:p w:rsidR="00083688" w:rsidRDefault="00083688" w:rsidP="00083688">
      <w:pPr>
        <w:pStyle w:val="a0"/>
        <w:rPr>
          <w:kern w:val="0"/>
        </w:rPr>
      </w:pPr>
      <w:r>
        <w:rPr>
          <w:kern w:val="0"/>
        </w:rPr>
        <w:t>Keywords: Activities, Antioxidant Capacity, Apricot, Aroma Compounds, Beta-Carotene, Biological Activity, Carotenoid Content, Carotenoids, Cyanogenic Glycosides, Fatty Acids, Fatty-Acid, Fruit Product Authenticity, Fruits, In Vivo, Kernel Oil, Literature, Nitric-Oxide Synthase, Phytochemistry, Plant, Polyphenols, Prunus Armeniaca, Research, Review, Rosaceae, Science, Scopus, Smell, Survey, Volatile Constituents, Web of Science</w:t>
      </w:r>
    </w:p>
    <w:p w:rsidR="00C83368" w:rsidRPr="001A3D2B" w:rsidRDefault="00C83368" w:rsidP="00C83368">
      <w:pPr>
        <w:pStyle w:val="1"/>
      </w:pPr>
      <w:r w:rsidRPr="001A3D2B">
        <w:br w:type="page"/>
      </w:r>
      <w:bookmarkStart w:id="116" w:name="_Toc317160849"/>
      <w:r w:rsidRPr="001A3D2B">
        <w:lastRenderedPageBreak/>
        <w:t xml:space="preserve">Title: </w:t>
      </w:r>
      <w:r w:rsidRPr="00B80DC5">
        <w:rPr>
          <w:iCs/>
        </w:rPr>
        <w:t>Food Science and Technology International</w:t>
      </w:r>
      <w:bookmarkEnd w:id="116"/>
    </w:p>
    <w:p w:rsidR="00C83368" w:rsidRPr="001A3D2B" w:rsidRDefault="00C83368" w:rsidP="00C83368">
      <w:pPr>
        <w:pStyle w:val="12"/>
      </w:pPr>
      <w:r w:rsidRPr="001A3D2B">
        <w:t xml:space="preserve">Full Journal Title: </w:t>
      </w:r>
      <w:r w:rsidRPr="00B80DC5">
        <w:rPr>
          <w:iCs/>
        </w:rPr>
        <w:t>Food Science and Technology International</w:t>
      </w:r>
    </w:p>
    <w:p w:rsidR="00C83368" w:rsidRPr="001A3D2B" w:rsidRDefault="00C83368" w:rsidP="00C83368">
      <w:pPr>
        <w:pStyle w:val="12"/>
      </w:pPr>
      <w:r w:rsidRPr="001A3D2B">
        <w:t xml:space="preserve">ISO Abbreviated Title: </w:t>
      </w:r>
    </w:p>
    <w:p w:rsidR="00C83368" w:rsidRPr="001A3D2B" w:rsidRDefault="00C83368" w:rsidP="00C83368">
      <w:pPr>
        <w:pStyle w:val="12"/>
      </w:pPr>
      <w:r w:rsidRPr="001A3D2B">
        <w:t xml:space="preserve">JCR Abbreviated Title: </w:t>
      </w:r>
    </w:p>
    <w:p w:rsidR="00C83368" w:rsidRPr="001A3D2B" w:rsidRDefault="00C83368" w:rsidP="00C83368">
      <w:pPr>
        <w:pStyle w:val="12"/>
      </w:pPr>
      <w:r>
        <w:t xml:space="preserve">ISSN: </w:t>
      </w:r>
    </w:p>
    <w:p w:rsidR="00C83368" w:rsidRPr="001A3D2B" w:rsidRDefault="00C83368" w:rsidP="00C83368">
      <w:pPr>
        <w:pStyle w:val="12"/>
      </w:pPr>
      <w:r w:rsidRPr="001A3D2B">
        <w:t xml:space="preserve">Issues/Year: </w:t>
      </w:r>
    </w:p>
    <w:p w:rsidR="00C83368" w:rsidRPr="001A3D2B" w:rsidRDefault="00C83368" w:rsidP="00C83368">
      <w:pPr>
        <w:pStyle w:val="12"/>
      </w:pPr>
      <w:r w:rsidRPr="001A3D2B">
        <w:t xml:space="preserve">Journal Country/Territory: </w:t>
      </w:r>
    </w:p>
    <w:p w:rsidR="00C83368" w:rsidRPr="001A3D2B" w:rsidRDefault="00C83368" w:rsidP="00C83368">
      <w:pPr>
        <w:pStyle w:val="12"/>
      </w:pPr>
      <w:r w:rsidRPr="001A3D2B">
        <w:t xml:space="preserve">Language: </w:t>
      </w:r>
    </w:p>
    <w:p w:rsidR="00C83368" w:rsidRPr="001A3D2B" w:rsidRDefault="00C83368" w:rsidP="00C83368">
      <w:pPr>
        <w:pStyle w:val="12"/>
      </w:pPr>
      <w:r w:rsidRPr="001A3D2B">
        <w:t xml:space="preserve">Publisher: </w:t>
      </w:r>
    </w:p>
    <w:p w:rsidR="00C83368" w:rsidRPr="001A3D2B" w:rsidRDefault="00C83368" w:rsidP="00C83368">
      <w:pPr>
        <w:pStyle w:val="12"/>
      </w:pPr>
      <w:r w:rsidRPr="001A3D2B">
        <w:t xml:space="preserve">Publisher Address: </w:t>
      </w:r>
    </w:p>
    <w:p w:rsidR="00C83368" w:rsidRPr="001A3D2B" w:rsidRDefault="00C83368" w:rsidP="00C83368">
      <w:pPr>
        <w:pStyle w:val="12"/>
      </w:pPr>
      <w:r w:rsidRPr="001A3D2B">
        <w:t>Subject Categories:</w:t>
      </w:r>
    </w:p>
    <w:p w:rsidR="00C83368" w:rsidRPr="001A3D2B" w:rsidRDefault="00C83368" w:rsidP="00C83368">
      <w:pPr>
        <w:pStyle w:val="12"/>
      </w:pPr>
      <w:r w:rsidRPr="001A3D2B">
        <w:t>: Impact Factor</w:t>
      </w:r>
    </w:p>
    <w:p w:rsidR="00C83368" w:rsidRDefault="00C83368" w:rsidP="00C83368">
      <w:pPr>
        <w:pStyle w:val="a0"/>
        <w:rPr>
          <w:kern w:val="0"/>
        </w:rPr>
      </w:pPr>
      <w:r>
        <w:rPr>
          <w:rFonts w:hint="eastAsia"/>
          <w:kern w:val="0"/>
        </w:rPr>
        <w:t>? A</w:t>
      </w:r>
      <w:r>
        <w:rPr>
          <w:kern w:val="0"/>
        </w:rPr>
        <w:t xml:space="preserve">yala-Gascon, M., </w:t>
      </w:r>
      <w:r>
        <w:rPr>
          <w:rFonts w:hint="eastAsia"/>
          <w:kern w:val="0"/>
        </w:rPr>
        <w:t>Al</w:t>
      </w:r>
      <w:r>
        <w:rPr>
          <w:kern w:val="0"/>
        </w:rPr>
        <w:t xml:space="preserve">eixandre-Benavent, R. and Gandia-Balaguer, A. (2011), Eduardo Primo Yúfera, founder of </w:t>
      </w:r>
      <w:r w:rsidRPr="00B80DC5">
        <w:rPr>
          <w:i/>
          <w:kern w:val="0"/>
        </w:rPr>
        <w:t>Revista de Agroquímica y Tecnología de Alimentos</w:t>
      </w:r>
      <w:r>
        <w:rPr>
          <w:kern w:val="0"/>
        </w:rPr>
        <w:t xml:space="preserve"> and pioneer on Food Science and Technology research in Spain. </w:t>
      </w:r>
      <w:r w:rsidRPr="00B80DC5">
        <w:rPr>
          <w:i/>
          <w:iCs/>
          <w:kern w:val="0"/>
        </w:rPr>
        <w:t>Food Science and Technology International</w:t>
      </w:r>
      <w:r>
        <w:rPr>
          <w:kern w:val="0"/>
        </w:rPr>
        <w:t xml:space="preserve">, </w:t>
      </w:r>
      <w:r>
        <w:rPr>
          <w:b/>
          <w:bCs/>
          <w:kern w:val="0"/>
        </w:rPr>
        <w:t>17</w:t>
      </w:r>
      <w:r>
        <w:rPr>
          <w:kern w:val="0"/>
        </w:rPr>
        <w:t xml:space="preserve"> (6), 549-556.</w:t>
      </w:r>
    </w:p>
    <w:p w:rsidR="00C83368" w:rsidRDefault="00C83368" w:rsidP="00C83368">
      <w:pPr>
        <w:pStyle w:val="a0"/>
        <w:rPr>
          <w:kern w:val="0"/>
        </w:rPr>
      </w:pPr>
      <w:r>
        <w:rPr>
          <w:rFonts w:hint="eastAsia"/>
          <w:kern w:val="0"/>
        </w:rPr>
        <w:t xml:space="preserve">Full Text: </w:t>
      </w:r>
      <w:hyperlink r:id="rId111" w:history="1">
        <w:r w:rsidRPr="00B80DC5">
          <w:rPr>
            <w:rStyle w:val="a5"/>
            <w:kern w:val="0"/>
          </w:rPr>
          <w:t>2011\Foo Sci Tec Int17, 549.pdf</w:t>
        </w:r>
      </w:hyperlink>
    </w:p>
    <w:p w:rsidR="00C83368" w:rsidRDefault="00C83368" w:rsidP="00C83368">
      <w:pPr>
        <w:pStyle w:val="a0"/>
        <w:rPr>
          <w:kern w:val="0"/>
        </w:rPr>
      </w:pPr>
      <w:r>
        <w:rPr>
          <w:kern w:val="0"/>
        </w:rPr>
        <w:t>Abstract: Eduardo Primo Yufera was the founder and director of the Instituto de Agroquimica y Tecnologia de Alimentos (IATA, 1957-1974) until he was appointed president of the Consejo Superior de Investigaciones Cientificas (CSIC). His aim to publicize food science led him to create the Revista de Agroquimica y Tecnologia de Alimentos in 1961, the forerunner of this journal, Food Science and Technology International, which he directed until 1977. Of his scientific output, 50% has been published in this journal. He is considered to be the promoter and exponent of Food Science and Technology and Chemical Ecology in Spain as well as the instigator of the country</w:t>
      </w:r>
      <w:r w:rsidR="000352E7">
        <w:rPr>
          <w:kern w:val="0"/>
        </w:rPr>
        <w:t>’</w:t>
      </w:r>
      <w:r>
        <w:rPr>
          <w:kern w:val="0"/>
        </w:rPr>
        <w:t>s innovation model (R&amp;D and innovation). In his work, he was able to combine basic research excellence and socially relevant applied research to move both science and society forward. He was an example and inspiration to many colleagues and followers. The aim of this study is to highlight the influence and importance of Primo Yufera in the formation, development and consolidation of the journal Revista de Agroquimica y Tecnologia de Alimentos, and to appraise his scientific contribution to this journal.</w:t>
      </w:r>
    </w:p>
    <w:p w:rsidR="00C83368" w:rsidRDefault="00C83368" w:rsidP="00C83368">
      <w:pPr>
        <w:pStyle w:val="a0"/>
        <w:rPr>
          <w:kern w:val="0"/>
        </w:rPr>
      </w:pPr>
      <w:r>
        <w:rPr>
          <w:kern w:val="0"/>
        </w:rPr>
        <w:t>Keywords: Bibliometrics, Biography, Coauthorship Networks, Contribution, Csic, Development, Ecology, Eduardo Primo Yufera, Iata, Innovation, Institutional Collaboration, International, Journal, Model, Patterns, Research, Revista De Agroquimica Y Tecnologia De Alimentos, Science, Scientific Output, Spain, Technology</w:t>
      </w:r>
    </w:p>
    <w:p w:rsidR="00B95188" w:rsidRPr="00A428C3" w:rsidRDefault="00B95188" w:rsidP="00B95188">
      <w:pPr>
        <w:pStyle w:val="1"/>
      </w:pPr>
      <w:r w:rsidRPr="00A428C3">
        <w:br w:type="page"/>
      </w:r>
      <w:bookmarkStart w:id="117" w:name="_Toc186647680"/>
      <w:bookmarkStart w:id="118" w:name="_Toc317160850"/>
      <w:r w:rsidRPr="00A428C3">
        <w:lastRenderedPageBreak/>
        <w:t>Title: Food Technology</w:t>
      </w:r>
      <w:bookmarkEnd w:id="117"/>
      <w:bookmarkEnd w:id="118"/>
    </w:p>
    <w:p w:rsidR="00B95188" w:rsidRPr="00A428C3" w:rsidRDefault="00B95188" w:rsidP="00B72EF9">
      <w:pPr>
        <w:pStyle w:val="12"/>
      </w:pPr>
      <w:r w:rsidRPr="00A428C3">
        <w:t>Full Journal Title: Food Technology</w:t>
      </w:r>
    </w:p>
    <w:p w:rsidR="00B95188" w:rsidRPr="00A428C3" w:rsidRDefault="00B95188" w:rsidP="00B72EF9">
      <w:pPr>
        <w:pStyle w:val="12"/>
      </w:pPr>
      <w:r w:rsidRPr="00A428C3">
        <w:t>ISO Abbreviated Title: Food Technol.</w:t>
      </w:r>
    </w:p>
    <w:p w:rsidR="00B95188" w:rsidRPr="00A428C3" w:rsidRDefault="00B95188" w:rsidP="00B72EF9">
      <w:pPr>
        <w:pStyle w:val="12"/>
      </w:pPr>
      <w:r w:rsidRPr="00A428C3">
        <w:t>JCR Abbreviated Title: Food Technol-Chicago</w:t>
      </w:r>
    </w:p>
    <w:p w:rsidR="00B95188" w:rsidRPr="00A428C3" w:rsidRDefault="00B95188" w:rsidP="00B72EF9">
      <w:pPr>
        <w:pStyle w:val="12"/>
      </w:pPr>
      <w:r w:rsidRPr="00A428C3">
        <w:t>ISSN: 0015-6639</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Inst Food Technologists</w:t>
      </w:r>
    </w:p>
    <w:p w:rsidR="00B95188" w:rsidRPr="00A428C3" w:rsidRDefault="00B95188" w:rsidP="00B72EF9">
      <w:pPr>
        <w:pStyle w:val="12"/>
      </w:pPr>
      <w:r w:rsidRPr="00A428C3">
        <w:t xml:space="preserve">Publisher Address: 525 West Van Buren, </w:t>
      </w:r>
      <w:smartTag w:uri="urn:schemas-microsoft-com:office:smarttags" w:element="address">
        <w:smartTag w:uri="urn:schemas-microsoft-com:office:smarttags" w:element="Street">
          <w:r w:rsidRPr="00A428C3">
            <w:t>Ste</w:t>
          </w:r>
        </w:smartTag>
        <w:r w:rsidRPr="00A428C3">
          <w:t xml:space="preserve"> 1000</w:t>
        </w:r>
      </w:smartTag>
      <w:r w:rsidRPr="00A428C3">
        <w:t xml:space="preserve">, </w:t>
      </w:r>
      <w:smartTag w:uri="urn:schemas-microsoft-com:office:smarttags" w:element="place">
        <w:smartTag w:uri="urn:schemas-microsoft-com:office:smarttags" w:element="City">
          <w:r w:rsidRPr="00A428C3">
            <w:t>Chicago</w:t>
          </w:r>
        </w:smartTag>
        <w:r w:rsidRPr="00A428C3">
          <w:t xml:space="preserve">, </w:t>
        </w:r>
        <w:smartTag w:uri="urn:schemas-microsoft-com:office:smarttags" w:element="State">
          <w:r w:rsidRPr="00A428C3">
            <w:t>IL</w:t>
          </w:r>
        </w:smartTag>
        <w:r w:rsidRPr="00A428C3">
          <w:t xml:space="preserve"> </w:t>
        </w:r>
        <w:smartTag w:uri="urn:schemas-microsoft-com:office:smarttags" w:element="PostalCode">
          <w:r w:rsidRPr="00A428C3">
            <w:t>60607-3814</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Food Science &amp; Technology: </w:t>
      </w:r>
      <w:r w:rsidRPr="00A428C3">
        <w:rPr>
          <w:color w:val="008000"/>
        </w:rPr>
        <w:t>Impact Factor 0.936 (2003)</w:t>
      </w:r>
    </w:p>
    <w:p w:rsidR="00B95188" w:rsidRPr="00A428C3" w:rsidRDefault="00B95188" w:rsidP="00B95188">
      <w:pPr>
        <w:pStyle w:val="a0"/>
      </w:pPr>
      <w:r w:rsidRPr="00A428C3">
        <w:t>? Schwartzberg, H.G.</w:t>
      </w:r>
      <w:r w:rsidR="00F81221">
        <w:t xml:space="preserve"> and </w:t>
      </w:r>
      <w:r w:rsidRPr="00A428C3">
        <w:t xml:space="preserve">Chao, R.Y. (1982), Solute diffusivities in leaching processes. </w:t>
      </w:r>
      <w:r w:rsidRPr="00A428C3">
        <w:rPr>
          <w:i/>
          <w:iCs/>
        </w:rPr>
        <w:t>Food Technology</w:t>
      </w:r>
      <w:r w:rsidRPr="00A428C3">
        <w:t xml:space="preserve">, </w:t>
      </w:r>
      <w:r w:rsidRPr="00A428C3">
        <w:rPr>
          <w:b/>
        </w:rPr>
        <w:t>36</w:t>
      </w:r>
      <w:r w:rsidRPr="00A428C3">
        <w:t xml:space="preserve"> (2), 73-86.</w:t>
      </w:r>
    </w:p>
    <w:p w:rsidR="00B95188" w:rsidRPr="00A428C3" w:rsidRDefault="00B95188" w:rsidP="00B95188">
      <w:pPr>
        <w:pStyle w:val="1"/>
      </w:pPr>
      <w:r w:rsidRPr="00A428C3">
        <w:br w:type="page"/>
      </w:r>
      <w:bookmarkStart w:id="119" w:name="_Toc186647681"/>
      <w:bookmarkStart w:id="120" w:name="_Toc317160851"/>
      <w:r w:rsidRPr="00A428C3">
        <w:lastRenderedPageBreak/>
        <w:t>Title: Food Technology</w:t>
      </w:r>
      <w:r w:rsidR="00F81221">
        <w:t xml:space="preserve"> and </w:t>
      </w:r>
      <w:r w:rsidRPr="00A428C3">
        <w:t>Biotechnology</w:t>
      </w:r>
      <w:bookmarkEnd w:id="119"/>
      <w:bookmarkEnd w:id="120"/>
    </w:p>
    <w:p w:rsidR="00B95188" w:rsidRPr="00A428C3" w:rsidRDefault="00B95188" w:rsidP="00B72EF9">
      <w:pPr>
        <w:pStyle w:val="12"/>
      </w:pPr>
      <w:r w:rsidRPr="00A428C3">
        <w:t>Full Journal Title: Food Technology</w:t>
      </w:r>
      <w:r w:rsidR="00F81221">
        <w:t xml:space="preserve"> and </w:t>
      </w:r>
      <w:r w:rsidRPr="00A428C3">
        <w:t>Biotechnology</w:t>
      </w:r>
    </w:p>
    <w:p w:rsidR="00B95188" w:rsidRPr="00A428C3" w:rsidRDefault="00B95188" w:rsidP="00B72EF9">
      <w:pPr>
        <w:pStyle w:val="12"/>
      </w:pPr>
      <w:r w:rsidRPr="00A428C3">
        <w:t>ISO Abbreviated Title: Food Technol. Biotechnol.</w:t>
      </w:r>
    </w:p>
    <w:p w:rsidR="00B95188" w:rsidRPr="00A428C3" w:rsidRDefault="00B95188" w:rsidP="00B72EF9">
      <w:pPr>
        <w:pStyle w:val="12"/>
      </w:pPr>
      <w:r w:rsidRPr="00A428C3">
        <w:t>JCR Abbreviated Title: Food Technol Biotech</w:t>
      </w:r>
    </w:p>
    <w:p w:rsidR="00B95188" w:rsidRPr="00A428C3" w:rsidRDefault="00B95188" w:rsidP="00B72EF9">
      <w:pPr>
        <w:pStyle w:val="12"/>
      </w:pPr>
      <w:r w:rsidRPr="00A428C3">
        <w:t>ISSN: 1330-9862</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Croatia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Faculty Food Technology Biotechnology</w:t>
      </w:r>
    </w:p>
    <w:p w:rsidR="00B95188" w:rsidRPr="00A428C3" w:rsidRDefault="00B95188" w:rsidP="00B72EF9">
      <w:pPr>
        <w:pStyle w:val="12"/>
      </w:pPr>
      <w:r w:rsidRPr="00A428C3">
        <w:t xml:space="preserve">Publisher Address: Univ Zagreb, Kacieceva 23, 41000 </w:t>
      </w:r>
      <w:smartTag w:uri="urn:schemas-microsoft-com:office:smarttags" w:element="place">
        <w:smartTag w:uri="urn:schemas-microsoft-com:office:smarttags" w:element="City">
          <w:r w:rsidRPr="00A428C3">
            <w:t>Zagreb</w:t>
          </w:r>
        </w:smartTag>
        <w:r w:rsidRPr="00A428C3">
          <w:t xml:space="preserve">, </w:t>
        </w:r>
        <w:smartTag w:uri="urn:schemas-microsoft-com:office:smarttags" w:element="country-region">
          <w:r w:rsidRPr="00A428C3">
            <w:t>Croatia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Biotechnology &amp; Applied: </w:t>
      </w:r>
      <w:r w:rsidRPr="00A428C3">
        <w:rPr>
          <w:color w:val="008000"/>
        </w:rPr>
        <w:t xml:space="preserve">Impact Factor </w:t>
      </w:r>
    </w:p>
    <w:p w:rsidR="00B95188" w:rsidRPr="00A428C3" w:rsidRDefault="00B95188" w:rsidP="00B72EF9">
      <w:pPr>
        <w:pStyle w:val="12"/>
      </w:pPr>
      <w:r w:rsidRPr="00A428C3">
        <w:t xml:space="preserve">Microbiology: </w:t>
      </w:r>
      <w:r w:rsidRPr="00A428C3">
        <w:rPr>
          <w:color w:val="008000"/>
        </w:rPr>
        <w:t xml:space="preserve">Impact Factor </w:t>
      </w:r>
    </w:p>
    <w:p w:rsidR="00B95188" w:rsidRPr="00A428C3" w:rsidRDefault="00B95188" w:rsidP="00B72EF9">
      <w:pPr>
        <w:pStyle w:val="12"/>
      </w:pPr>
      <w:r w:rsidRPr="00A428C3">
        <w:t xml:space="preserve">Food Science &amp; Technology: </w:t>
      </w:r>
      <w:r w:rsidRPr="00A428C3">
        <w:rPr>
          <w:color w:val="008000"/>
        </w:rPr>
        <w:t xml:space="preserve">Impact Factor </w:t>
      </w:r>
    </w:p>
    <w:p w:rsidR="00B95188" w:rsidRPr="00A428C3" w:rsidRDefault="00B95188" w:rsidP="00B95188">
      <w:pPr>
        <w:pStyle w:val="a0"/>
      </w:pPr>
      <w:r w:rsidRPr="00A428C3">
        <w:t>? Filipovic-Kovacevic, Z., Sipos, L.</w:t>
      </w:r>
      <w:r w:rsidR="00F81221">
        <w:t xml:space="preserve"> and </w:t>
      </w:r>
      <w:r w:rsidRPr="00A428C3">
        <w:t>Briski, F. (2000), Biosorption of chromium, copper, nickel</w:t>
      </w:r>
      <w:r w:rsidR="00F81221">
        <w:t xml:space="preserve"> and </w:t>
      </w:r>
      <w:r w:rsidRPr="00A428C3">
        <w:t xml:space="preserve">zinc ions onto fungal pellets of </w:t>
      </w:r>
      <w:r w:rsidR="00B20869" w:rsidRPr="00B20869">
        <w:rPr>
          <w:i/>
          <w:iCs/>
        </w:rPr>
        <w:t>Aspergillus niger</w:t>
      </w:r>
      <w:r w:rsidRPr="00A428C3">
        <w:t xml:space="preserve"> 405 from aqueous solutions. </w:t>
      </w:r>
      <w:r w:rsidRPr="00A428C3">
        <w:rPr>
          <w:i/>
          <w:iCs/>
        </w:rPr>
        <w:t>Food Technology</w:t>
      </w:r>
      <w:r w:rsidR="00F81221">
        <w:rPr>
          <w:i/>
          <w:iCs/>
        </w:rPr>
        <w:t xml:space="preserve"> and </w:t>
      </w:r>
      <w:r w:rsidRPr="00A428C3">
        <w:rPr>
          <w:i/>
          <w:iCs/>
        </w:rPr>
        <w:t>Biotechnology</w:t>
      </w:r>
      <w:r w:rsidRPr="00A428C3">
        <w:t xml:space="preserve">, </w:t>
      </w:r>
      <w:r w:rsidRPr="00A428C3">
        <w:rPr>
          <w:b/>
        </w:rPr>
        <w:t>38</w:t>
      </w:r>
      <w:r w:rsidRPr="00A428C3">
        <w:t xml:space="preserve"> (3), 211-216.</w:t>
      </w:r>
    </w:p>
    <w:p w:rsidR="00B95188" w:rsidRPr="00A428C3" w:rsidRDefault="00B95188" w:rsidP="00B95188">
      <w:pPr>
        <w:pStyle w:val="a0"/>
      </w:pPr>
      <w:r w:rsidRPr="00A428C3">
        <w:t xml:space="preserve">Abstract: Fungal mycelium pellets of </w:t>
      </w:r>
      <w:r w:rsidR="00B20869" w:rsidRPr="00B20869">
        <w:rPr>
          <w:i/>
          <w:iCs/>
        </w:rPr>
        <w:t>Aspergillus niger</w:t>
      </w:r>
      <w:r w:rsidRPr="00A428C3">
        <w:t xml:space="preserve"> 405 were used for adsorption of different metal ions. The biosorption of Cu</w:t>
      </w:r>
      <w:r w:rsidRPr="00A428C3">
        <w:rPr>
          <w:vertAlign w:val="superscript"/>
        </w:rPr>
        <w:t>2+</w:t>
      </w:r>
      <w:r w:rsidRPr="00A428C3">
        <w:t>, Zn</w:t>
      </w:r>
      <w:r w:rsidRPr="00A428C3">
        <w:rPr>
          <w:vertAlign w:val="superscript"/>
        </w:rPr>
        <w:t>2+</w:t>
      </w:r>
      <w:r w:rsidRPr="00A428C3">
        <w:t>, Ni</w:t>
      </w:r>
      <w:r w:rsidRPr="00A428C3">
        <w:rPr>
          <w:vertAlign w:val="superscript"/>
        </w:rPr>
        <w:t>2+</w:t>
      </w:r>
      <w:r w:rsidR="00F81221">
        <w:t xml:space="preserve"> and </w:t>
      </w:r>
      <w:r w:rsidRPr="00A428C3">
        <w:t>CrO</w:t>
      </w:r>
      <w:r w:rsidRPr="00A428C3">
        <w:rPr>
          <w:vertAlign w:val="subscript"/>
        </w:rPr>
        <w:t>4</w:t>
      </w:r>
      <w:r w:rsidRPr="00A428C3">
        <w:rPr>
          <w:vertAlign w:val="superscript"/>
        </w:rPr>
        <w:t>2-</w:t>
      </w:r>
      <w:r w:rsidRPr="00A428C3">
        <w:t>was studied over a range of metal ion concentrations, adsorption time, pH</w:t>
      </w:r>
      <w:r w:rsidR="00F81221">
        <w:t xml:space="preserve"> and </w:t>
      </w:r>
      <w:r w:rsidRPr="00A428C3">
        <w:t>co-anions, The process of uptake obeyed both the Langmuir</w:t>
      </w:r>
      <w:r w:rsidR="00F81221">
        <w:t xml:space="preserve"> and </w:t>
      </w:r>
      <w:r w:rsidRPr="00A428C3">
        <w:t>Freundlich isotherms. The results showed better biosorption for the first three metal ions at pH ranging from 4 to 6. On the contrary, pH values from 3 to 7 had no influence on sorption of chromium. Comparison of metal uptake in single</w:t>
      </w:r>
      <w:r w:rsidR="00F81221">
        <w:t xml:space="preserve"> and </w:t>
      </w:r>
      <w:r w:rsidRPr="00A428C3">
        <w:t xml:space="preserve">multi-component aqueous solutions of Cu-Zn-Ni-Cr was discussed. Fungus </w:t>
      </w:r>
      <w:r w:rsidR="00B20869" w:rsidRPr="00B20869">
        <w:rPr>
          <w:i/>
          <w:iCs/>
        </w:rPr>
        <w:t>Aspergillus niger</w:t>
      </w:r>
      <w:r w:rsidRPr="00A428C3">
        <w:t xml:space="preserve"> 405 showed a good affinity for binding of Cu</w:t>
      </w:r>
      <w:r w:rsidRPr="00A428C3">
        <w:rPr>
          <w:vertAlign w:val="superscript"/>
        </w:rPr>
        <w:t>2+</w:t>
      </w:r>
      <w:r w:rsidRPr="00A428C3">
        <w:t>, Zn</w:t>
      </w:r>
      <w:r w:rsidRPr="00A428C3">
        <w:rPr>
          <w:vertAlign w:val="superscript"/>
        </w:rPr>
        <w:t>2+</w:t>
      </w:r>
      <w:r w:rsidR="00F81221">
        <w:t xml:space="preserve"> and </w:t>
      </w:r>
      <w:r w:rsidRPr="00A428C3">
        <w:t>Ni</w:t>
      </w:r>
      <w:r w:rsidRPr="00A428C3">
        <w:rPr>
          <w:vertAlign w:val="superscript"/>
        </w:rPr>
        <w:t>2+</w:t>
      </w:r>
      <w:r w:rsidRPr="00A428C3">
        <w:t xml:space="preserve"> ions in single, while in multi-component solution it occurred only for copper</w:t>
      </w:r>
      <w:r w:rsidR="00F81221">
        <w:t xml:space="preserve"> and </w:t>
      </w:r>
      <w:r w:rsidRPr="00A428C3">
        <w:t>zinc.</w:t>
      </w:r>
    </w:p>
    <w:p w:rsidR="00B95188" w:rsidRPr="00A428C3" w:rsidRDefault="00B95188" w:rsidP="00B95188">
      <w:pPr>
        <w:pStyle w:val="a0"/>
      </w:pPr>
      <w:r w:rsidRPr="00A428C3">
        <w:t xml:space="preserve">Keywords: Fungus </w:t>
      </w:r>
      <w:r w:rsidR="00B20869" w:rsidRPr="00B20869">
        <w:rPr>
          <w:i/>
          <w:iCs/>
        </w:rPr>
        <w:t>Aspergillus niger</w:t>
      </w:r>
      <w:r w:rsidRPr="00A428C3">
        <w:t xml:space="preserve"> 405, Heavy Metals, Biosorption, Single</w:t>
      </w:r>
      <w:r w:rsidR="00F81221">
        <w:t xml:space="preserve"> and </w:t>
      </w:r>
      <w:r w:rsidRPr="00A428C3">
        <w:t xml:space="preserve">Multi-Component Metal Aqueous Solutions, Heavy-Metal Biosorption, </w:t>
      </w:r>
      <w:r w:rsidRPr="00A428C3">
        <w:rPr>
          <w:i/>
          <w:iCs/>
        </w:rPr>
        <w:t>Saccharomyces-Cerevisiae</w:t>
      </w:r>
      <w:r w:rsidRPr="00A428C3">
        <w:t xml:space="preserve">, </w:t>
      </w:r>
      <w:r w:rsidRPr="00A428C3">
        <w:rPr>
          <w:i/>
          <w:iCs/>
        </w:rPr>
        <w:t>Rhizopus-arrhizus</w:t>
      </w:r>
      <w:r w:rsidRPr="00A428C3">
        <w:t xml:space="preserve">, </w:t>
      </w:r>
      <w:r w:rsidRPr="00A428C3">
        <w:rPr>
          <w:i/>
          <w:iCs/>
        </w:rPr>
        <w:t>Pseudomonas-Aeruginosa</w:t>
      </w:r>
      <w:r w:rsidRPr="00A428C3">
        <w:t>, Waste-Water, Removal, Cadmium, Biomass, Lead, Bioaccumulation</w:t>
      </w:r>
    </w:p>
    <w:p w:rsidR="00B95188" w:rsidRPr="00A428C3" w:rsidRDefault="00B95188" w:rsidP="00B95188">
      <w:pPr>
        <w:pStyle w:val="1"/>
      </w:pPr>
      <w:r w:rsidRPr="00A428C3">
        <w:br w:type="page"/>
      </w:r>
      <w:bookmarkStart w:id="121" w:name="_Toc186647682"/>
      <w:bookmarkStart w:id="122" w:name="_Toc317160852"/>
      <w:r w:rsidRPr="00A428C3">
        <w:lastRenderedPageBreak/>
        <w:t>Title: Forensic Science International</w:t>
      </w:r>
      <w:bookmarkEnd w:id="121"/>
      <w:bookmarkEnd w:id="122"/>
    </w:p>
    <w:p w:rsidR="00B95188" w:rsidRPr="00A428C3" w:rsidRDefault="00B95188" w:rsidP="00B72EF9">
      <w:pPr>
        <w:pStyle w:val="12"/>
      </w:pPr>
      <w:r w:rsidRPr="00A428C3">
        <w:t xml:space="preserve">Full Journal Title: </w:t>
      </w:r>
      <w:hyperlink r:id="rId112" w:history="1">
        <w:r w:rsidRPr="00A428C3">
          <w:rPr>
            <w:rStyle w:val="a5"/>
          </w:rPr>
          <w:t>Forensic Science International</w:t>
        </w:r>
      </w:hyperlink>
    </w:p>
    <w:p w:rsidR="00B95188" w:rsidRPr="00A428C3" w:rsidRDefault="00B95188" w:rsidP="00B72EF9">
      <w:pPr>
        <w:pStyle w:val="12"/>
      </w:pPr>
      <w:r w:rsidRPr="00A428C3">
        <w:t>ISO Abbreviated Title: Forensic Sci.Int.</w:t>
      </w:r>
    </w:p>
    <w:p w:rsidR="00B95188" w:rsidRPr="00A428C3" w:rsidRDefault="00B95188" w:rsidP="00B72EF9">
      <w:pPr>
        <w:pStyle w:val="12"/>
      </w:pPr>
      <w:r w:rsidRPr="00A428C3">
        <w:t>JCR Abbreviated Title: Forensic Sci Int</w:t>
      </w:r>
    </w:p>
    <w:p w:rsidR="00B95188" w:rsidRPr="00A428C3" w:rsidRDefault="00B95188" w:rsidP="00B72EF9">
      <w:pPr>
        <w:pStyle w:val="12"/>
      </w:pPr>
      <w:r w:rsidRPr="00A428C3">
        <w:t>ISSN: 0379-0738</w:t>
      </w:r>
    </w:p>
    <w:p w:rsidR="00B95188" w:rsidRPr="00A428C3" w:rsidRDefault="00B95188" w:rsidP="00B72EF9">
      <w:pPr>
        <w:pStyle w:val="12"/>
      </w:pPr>
      <w:r w:rsidRPr="00A428C3">
        <w:t>Issues/Year: 24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Ireland</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Elsevier Sci Ireland Ltd</w:t>
      </w:r>
    </w:p>
    <w:p w:rsidR="00B95188" w:rsidRPr="00A428C3" w:rsidRDefault="00B95188" w:rsidP="00B72EF9">
      <w:pPr>
        <w:pStyle w:val="12"/>
      </w:pPr>
      <w:r w:rsidRPr="00A428C3">
        <w:t xml:space="preserve">Publisher Address: Customer Relations Manager, Bay 15, Shannon Industrial Estate Co, </w:t>
      </w:r>
      <w:smartTag w:uri="urn:schemas-microsoft-com:office:smarttags" w:element="place">
        <w:smartTag w:uri="urn:schemas-microsoft-com:office:smarttags" w:element="City">
          <w:r w:rsidRPr="00A428C3">
            <w:t>Clare</w:t>
          </w:r>
        </w:smartTag>
        <w:r w:rsidRPr="00A428C3">
          <w:t xml:space="preserve">, </w:t>
        </w:r>
        <w:smartTag w:uri="urn:schemas-microsoft-com:office:smarttags" w:element="country-region">
          <w:r w:rsidRPr="00A428C3">
            <w:t>Ireland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Medicine, Legal: Impact Factor 1.052, / (2001)</w:t>
      </w:r>
    </w:p>
    <w:p w:rsidR="00B95188" w:rsidRPr="00A428C3" w:rsidRDefault="00B95188" w:rsidP="00B95188">
      <w:pPr>
        <w:pStyle w:val="a0"/>
      </w:pPr>
      <w:r w:rsidRPr="00A428C3">
        <w:t xml:space="preserve">Jones, A.W. (1993), The impact of Forensic Science Journals. </w:t>
      </w:r>
      <w:r w:rsidRPr="00A428C3">
        <w:rPr>
          <w:i/>
          <w:iCs/>
        </w:rPr>
        <w:t>Forensic Science International</w:t>
      </w:r>
      <w:r w:rsidRPr="00A428C3">
        <w:t xml:space="preserve">, </w:t>
      </w:r>
      <w:r w:rsidRPr="00A428C3">
        <w:rPr>
          <w:b/>
        </w:rPr>
        <w:t>62</w:t>
      </w:r>
      <w:r w:rsidRPr="00A428C3">
        <w:t xml:space="preserve"> (3), 173-178.</w:t>
      </w:r>
    </w:p>
    <w:p w:rsidR="00B95188" w:rsidRPr="00A428C3" w:rsidRDefault="00B95188" w:rsidP="00B95188">
      <w:pPr>
        <w:pStyle w:val="a0"/>
      </w:pPr>
      <w:r w:rsidRPr="00A428C3">
        <w:t xml:space="preserve">Full Text: </w:t>
      </w:r>
      <w:hyperlink r:id="rId113" w:history="1">
        <w:r w:rsidRPr="00A428C3">
          <w:rPr>
            <w:rStyle w:val="a5"/>
          </w:rPr>
          <w:t>F\For Sci Int62, 173.pdf</w:t>
        </w:r>
      </w:hyperlink>
    </w:p>
    <w:p w:rsidR="00B95188" w:rsidRPr="00A428C3" w:rsidRDefault="00B95188" w:rsidP="00B95188">
      <w:pPr>
        <w:pStyle w:val="a0"/>
      </w:pPr>
      <w:r w:rsidRPr="00A428C3">
        <w:t>Keywords: Bibliometrics, Peer-Review, Citations, Impact Factor, Citation Analysis, Policy</w:t>
      </w:r>
    </w:p>
    <w:p w:rsidR="00B95188" w:rsidRPr="00A428C3" w:rsidRDefault="00B95188" w:rsidP="00B95188">
      <w:pPr>
        <w:pStyle w:val="a0"/>
      </w:pPr>
      <w:r w:rsidRPr="00A428C3">
        <w:t>Jones, A.W. (2003), Impact Factors of forensic science</w:t>
      </w:r>
      <w:r w:rsidR="00F81221">
        <w:t xml:space="preserve"> and </w:t>
      </w:r>
      <w:r w:rsidRPr="00A428C3">
        <w:t xml:space="preserve">toxicology journals: What do the numbers really mean? </w:t>
      </w:r>
      <w:r w:rsidRPr="00A428C3">
        <w:rPr>
          <w:i/>
          <w:iCs/>
        </w:rPr>
        <w:t>Forensic Science International</w:t>
      </w:r>
      <w:r w:rsidRPr="00A428C3">
        <w:t xml:space="preserve">, </w:t>
      </w:r>
      <w:r w:rsidRPr="00A428C3">
        <w:rPr>
          <w:b/>
        </w:rPr>
        <w:t>133</w:t>
      </w:r>
      <w:r w:rsidRPr="00A428C3">
        <w:t xml:space="preserve"> (1-2), 1-8.</w:t>
      </w:r>
    </w:p>
    <w:p w:rsidR="00B95188" w:rsidRPr="00A428C3" w:rsidRDefault="00B95188" w:rsidP="00B95188">
      <w:pPr>
        <w:pStyle w:val="a0"/>
      </w:pPr>
      <w:r w:rsidRPr="00A428C3">
        <w:t xml:space="preserve">Full Text: </w:t>
      </w:r>
      <w:hyperlink r:id="rId114" w:history="1">
        <w:r w:rsidRPr="00A428C3">
          <w:rPr>
            <w:rStyle w:val="a5"/>
          </w:rPr>
          <w:t>F\For Sci Int133, 1.pdf</w:t>
        </w:r>
      </w:hyperlink>
    </w:p>
    <w:p w:rsidR="00B95188" w:rsidRPr="00A428C3" w:rsidRDefault="00B95188" w:rsidP="00B95188">
      <w:pPr>
        <w:pStyle w:val="a0"/>
      </w:pPr>
      <w:r w:rsidRPr="00A428C3">
        <w:t>Abstract: This article presents review</w:t>
      </w:r>
      <w:r w:rsidR="00F81221">
        <w:t xml:space="preserve"> and </w:t>
      </w:r>
      <w:r w:rsidRPr="00A428C3">
        <w:t>opinion about the use</w:t>
      </w:r>
      <w:r w:rsidR="00F81221">
        <w:t xml:space="preserve"> and </w:t>
      </w:r>
      <w:r w:rsidRPr="00A428C3">
        <w:t>abuse of journal impact factors for judging the importance</w:t>
      </w:r>
      <w:r w:rsidR="00F81221">
        <w:t xml:space="preserve"> and </w:t>
      </w:r>
      <w:r w:rsidRPr="00A428C3">
        <w:t>prestige of scientific journals in the field of forensic science</w:t>
      </w:r>
      <w:r w:rsidR="00F81221">
        <w:t xml:space="preserve"> and </w:t>
      </w:r>
      <w:r w:rsidRPr="00A428C3">
        <w:t>toxicology. The application of impact factors for evaluating the published work of individual scientists is also discussed. The impact factor of a particular journal is calculated by dividing the number of current year citations to a journal</w:t>
      </w:r>
      <w:r w:rsidR="000352E7">
        <w:t>’</w:t>
      </w:r>
      <w:r w:rsidRPr="00A428C3">
        <w:t>s articles that were published in the previous 2 years by the total number of citable items (articles</w:t>
      </w:r>
      <w:r w:rsidR="00F81221">
        <w:t xml:space="preserve"> and </w:t>
      </w:r>
      <w:r w:rsidRPr="00A428C3">
        <w:t>reviews) published in the same 2-year period. Journal impact factors differ from discipline to discipline</w:t>
      </w:r>
      <w:r w:rsidR="00F81221">
        <w:t xml:space="preserve"> and </w:t>
      </w:r>
      <w:r w:rsidRPr="00A428C3">
        <w:t>range from 0 for a journal whose articles are not cited in the previous 2 years to 46 for a journal where the average recent article is cited 46 times per year. The impact factor reflects the citation rate of the average article in a journal</w:t>
      </w:r>
      <w:r w:rsidR="00F81221">
        <w:t xml:space="preserve"> and </w:t>
      </w:r>
      <w:r w:rsidRPr="00A428C3">
        <w:t>not a specific article. Many parameters influence the citation rate of a particular journal</w:t>
      </w:r>
      <w:r w:rsidR="000352E7">
        <w:t>’</w:t>
      </w:r>
      <w:r w:rsidRPr="00A428C3">
        <w:t>s articles and, therefore, its impact factor. These include the visibility</w:t>
      </w:r>
      <w:r w:rsidR="00F81221">
        <w:t xml:space="preserve"> and </w:t>
      </w:r>
      <w:r w:rsidRPr="00A428C3">
        <w:t>size of the circulation of the journal including availability of electronic formats</w:t>
      </w:r>
      <w:r w:rsidR="00F81221">
        <w:t xml:space="preserve"> and </w:t>
      </w:r>
      <w:r w:rsidRPr="00A428C3">
        <w:t>options for on-line search</w:t>
      </w:r>
      <w:r w:rsidR="00F81221">
        <w:t xml:space="preserve"> and </w:t>
      </w:r>
      <w:r w:rsidRPr="00A428C3">
        <w:t>retrieval. Other things to consider are editorial standards especially rapid</w:t>
      </w:r>
      <w:r w:rsidR="00F81221">
        <w:t xml:space="preserve"> and </w:t>
      </w:r>
      <w:r w:rsidRPr="00A428C3">
        <w:t>effective peer-reviewing</w:t>
      </w:r>
      <w:r w:rsidR="00F81221">
        <w:t xml:space="preserve"> and </w:t>
      </w:r>
      <w:r w:rsidRPr="00A428C3">
        <w:t>a short time lag between acceptance</w:t>
      </w:r>
      <w:r w:rsidR="00F81221">
        <w:t xml:space="preserve"> and </w:t>
      </w:r>
      <w:r w:rsidRPr="00A428C3">
        <w:t xml:space="preserve">appearance in </w:t>
      </w:r>
      <w:r w:rsidRPr="00A428C3">
        <w:lastRenderedPageBreak/>
        <w:t>print. The number of self-citations</w:t>
      </w:r>
      <w:r w:rsidR="00F81221">
        <w:t xml:space="preserve"> and </w:t>
      </w:r>
      <w:r w:rsidRPr="00A428C3">
        <w:t>citation density (the ratio of references to articles)</w:t>
      </w:r>
      <w:r w:rsidR="00F81221">
        <w:t xml:space="preserve"> and </w:t>
      </w:r>
      <w:r w:rsidRPr="00A428C3">
        <w:t>also the inclusion of many review articles containing hundreds of references to recently published articles will boost the impact factor. Judging the importance of a scientist</w:t>
      </w:r>
      <w:r w:rsidR="000352E7">
        <w:t>’</w:t>
      </w:r>
      <w:r w:rsidRPr="00A428C3">
        <w:t>s work based on the average or median impact factor of the journals used to publish articles is not recommended. Instead an article-by-article citation count should be done, but this involves much more time</w:t>
      </w:r>
      <w:r w:rsidR="00F81221">
        <w:t xml:space="preserve"> and </w:t>
      </w:r>
      <w:r w:rsidRPr="00A428C3">
        <w:t>effort. Moreover, some weighting factor is necessary to allow for the number of co-authors on each article</w:t>
      </w:r>
      <w:r w:rsidR="00F81221">
        <w:t xml:space="preserve"> and </w:t>
      </w:r>
      <w:r w:rsidRPr="00A428C3">
        <w:t>the relative positioning of the individual names should also be considered. Authors should submit their research results</w:t>
      </w:r>
      <w:r w:rsidR="00F81221">
        <w:t xml:space="preserve"> and </w:t>
      </w:r>
      <w:r w:rsidRPr="00A428C3">
        <w:t>manuscripts to journals that are easily available</w:t>
      </w:r>
      <w:r w:rsidR="00F81221">
        <w:t xml:space="preserve"> and </w:t>
      </w:r>
      <w:r w:rsidRPr="00A428C3">
        <w:t>are read by their peers (the most interested audience)</w:t>
      </w:r>
      <w:r w:rsidR="00F81221">
        <w:t xml:space="preserve"> and </w:t>
      </w:r>
      <w:r w:rsidRPr="00A428C3">
        <w:t>pay less attention to journal impact factors. To assess the true usefulness of a person</w:t>
      </w:r>
      <w:r w:rsidR="000352E7">
        <w:t>’</w:t>
      </w:r>
      <w:r w:rsidRPr="00A428C3">
        <w:t>s contributions to forensic science</w:t>
      </w:r>
      <w:r w:rsidR="00F81221">
        <w:t xml:space="preserve"> and </w:t>
      </w:r>
      <w:r w:rsidRPr="00A428C3">
        <w:t>toxicology one needs to look beyond impact factor</w:t>
      </w:r>
      <w:r w:rsidR="00F81221">
        <w:t xml:space="preserve"> and </w:t>
      </w:r>
      <w:r w:rsidRPr="00A428C3">
        <w:t>citation counts. For example, one might consider whether the articles contained new ideas or innovations that proved useful in routine forensic casework or are widely relied upon in courts of law as proof source.</w:t>
      </w:r>
    </w:p>
    <w:p w:rsidR="00B95188" w:rsidRPr="00A428C3" w:rsidRDefault="00B95188" w:rsidP="00B95188">
      <w:pPr>
        <w:pStyle w:val="a0"/>
      </w:pPr>
      <w:r w:rsidRPr="00A428C3">
        <w:t>Keywords: Authorship, Bibliometrics, Forensic Science, Impact Factor, Journals, Toxicology</w:t>
      </w:r>
    </w:p>
    <w:p w:rsidR="00B95188" w:rsidRPr="00A428C3" w:rsidRDefault="00B95188" w:rsidP="00B95188">
      <w:pPr>
        <w:pStyle w:val="a0"/>
      </w:pPr>
      <w:r w:rsidRPr="00A428C3">
        <w:t>Chaudhry, R.</w:t>
      </w:r>
      <w:r w:rsidR="00F81221">
        <w:t xml:space="preserve"> and </w:t>
      </w:r>
      <w:r w:rsidRPr="00A428C3">
        <w:t xml:space="preserve">Pant, S.K. (2004), Identification of authorship using lateral palm print: A new concept. </w:t>
      </w:r>
      <w:r w:rsidRPr="00A428C3">
        <w:rPr>
          <w:i/>
          <w:iCs/>
        </w:rPr>
        <w:t>Forensic Science International</w:t>
      </w:r>
      <w:r w:rsidRPr="00A428C3">
        <w:t xml:space="preserve">, </w:t>
      </w:r>
      <w:r w:rsidRPr="00A428C3">
        <w:rPr>
          <w:b/>
        </w:rPr>
        <w:t>141</w:t>
      </w:r>
      <w:r w:rsidRPr="00A428C3">
        <w:t xml:space="preserve"> (1), 49-57.</w:t>
      </w:r>
    </w:p>
    <w:p w:rsidR="00B95188" w:rsidRPr="00A428C3" w:rsidRDefault="00B95188" w:rsidP="00B95188">
      <w:pPr>
        <w:pStyle w:val="a0"/>
      </w:pPr>
      <w:r w:rsidRPr="00A428C3">
        <w:t xml:space="preserve">Full Text: </w:t>
      </w:r>
      <w:hyperlink r:id="rId115" w:history="1">
        <w:r w:rsidRPr="00A428C3">
          <w:rPr>
            <w:rStyle w:val="a5"/>
          </w:rPr>
          <w:t>F\For Sci Int141, 49.pdf</w:t>
        </w:r>
      </w:hyperlink>
    </w:p>
    <w:p w:rsidR="00B95188" w:rsidRPr="00A428C3" w:rsidRDefault="00B95188" w:rsidP="00B95188">
      <w:pPr>
        <w:pStyle w:val="a0"/>
      </w:pPr>
      <w:r w:rsidRPr="00A428C3">
        <w:t>Abstract: Identification of individual by signature examination could be improved by the lateral palm print examination. By the use of new technique discussed by the author in this paper, the forensic expert can find out very useful information about the writer of writings even without going into the depth of questioned document/signature examination</w:t>
      </w:r>
      <w:r w:rsidR="00F81221">
        <w:t xml:space="preserve"> and </w:t>
      </w:r>
      <w:r w:rsidRPr="00A428C3">
        <w:t>without the formal or informal handwriting exemplars. The document expert with little more knowledge of the palm print can identify whether the signature is done by hand/leg/anything else, whether the author is right handed or left handed, the approximate age of the author, whether the signature is genuine or forged. Such information of author would be very much useful in elimination of the list of suspects of anonymous letters. In order to fix the authorship, standard</w:t>
      </w:r>
      <w:r w:rsidR="00F81221">
        <w:t xml:space="preserve"> and </w:t>
      </w:r>
      <w:r w:rsidRPr="00A428C3">
        <w:t>disputed lateral palm prints can be examined either with photographic superimposition technique or with the statistical study of the outline of the lateral palm print or with the standard method as implied in fingerprint examination. The evidential value of such lateral palm print can be placed at par with the finger prints in the court of law</w:t>
      </w:r>
      <w:r w:rsidR="00F81221">
        <w:t xml:space="preserve"> and </w:t>
      </w:r>
      <w:r w:rsidRPr="00A428C3">
        <w:t>could be placed right on the top of all other scientific evidences.</w:t>
      </w:r>
    </w:p>
    <w:p w:rsidR="00B95188" w:rsidRPr="00A428C3" w:rsidRDefault="00B95188" w:rsidP="00B95188">
      <w:pPr>
        <w:pStyle w:val="a0"/>
      </w:pPr>
      <w:r w:rsidRPr="00A428C3">
        <w:t>Keywords: Lateral Palm Print, Handwriting Examination, Line of Writing, Forged Signatures, Identification of Author</w:t>
      </w:r>
    </w:p>
    <w:p w:rsidR="00B95188" w:rsidRPr="00A428C3" w:rsidRDefault="00B95188" w:rsidP="00B95188">
      <w:pPr>
        <w:pStyle w:val="a0"/>
      </w:pPr>
      <w:r w:rsidRPr="00A428C3">
        <w:t xml:space="preserve">? Jones, A.W. (2007), The distribution of forensic journals, reflections on authorship </w:t>
      </w:r>
      <w:r w:rsidRPr="00A428C3">
        <w:lastRenderedPageBreak/>
        <w:t>practices, peer-review</w:t>
      </w:r>
      <w:r w:rsidR="00F81221">
        <w:t xml:space="preserve"> and </w:t>
      </w:r>
      <w:r w:rsidRPr="00A428C3">
        <w:t xml:space="preserve">role of the impact factor. </w:t>
      </w:r>
      <w:r w:rsidRPr="00A428C3">
        <w:rPr>
          <w:i/>
          <w:iCs/>
        </w:rPr>
        <w:t>Forensic Science International</w:t>
      </w:r>
      <w:r w:rsidRPr="00A428C3">
        <w:t xml:space="preserve">, </w:t>
      </w:r>
      <w:r w:rsidRPr="00A428C3">
        <w:rPr>
          <w:b/>
        </w:rPr>
        <w:t>165</w:t>
      </w:r>
      <w:r w:rsidRPr="00A428C3">
        <w:t xml:space="preserve"> (2-3), 115-128.</w:t>
      </w:r>
    </w:p>
    <w:p w:rsidR="00B95188" w:rsidRPr="00A428C3" w:rsidRDefault="00B95188" w:rsidP="00B95188">
      <w:pPr>
        <w:pStyle w:val="a0"/>
      </w:pPr>
      <w:r w:rsidRPr="00A428C3">
        <w:t xml:space="preserve">Full Text: </w:t>
      </w:r>
      <w:hyperlink r:id="rId116" w:history="1">
        <w:r w:rsidRPr="00A428C3">
          <w:rPr>
            <w:rStyle w:val="a5"/>
          </w:rPr>
          <w:t>2007\For Sci Int165, 115.pdf</w:t>
        </w:r>
      </w:hyperlink>
    </w:p>
    <w:p w:rsidR="00B95188" w:rsidRPr="00A428C3" w:rsidRDefault="00B95188" w:rsidP="00B95188">
      <w:pPr>
        <w:pStyle w:val="a0"/>
      </w:pPr>
      <w:r w:rsidRPr="00A428C3">
        <w:t>Abstract: This article presents information about journals specializing in the forensic sciences</w:t>
      </w:r>
      <w:r w:rsidR="00F81221">
        <w:t xml:space="preserve"> and </w:t>
      </w:r>
      <w:r w:rsidRPr="00A428C3">
        <w:t>legal medicine, their development</w:t>
      </w:r>
      <w:r w:rsidR="00F81221">
        <w:t xml:space="preserve"> and </w:t>
      </w:r>
      <w:r w:rsidRPr="00A428C3">
        <w:t>distribution</w:t>
      </w:r>
      <w:r w:rsidR="00F81221">
        <w:t xml:space="preserve"> and </w:t>
      </w:r>
      <w:r w:rsidRPr="00A428C3">
        <w:t>their current status as reflected in the journal impact factor. The first scientific journal devoted to spreading information</w:t>
      </w:r>
      <w:r w:rsidR="00F81221">
        <w:t xml:space="preserve"> and </w:t>
      </w:r>
      <w:r w:rsidRPr="00A428C3">
        <w:t>reporting new developments in social</w:t>
      </w:r>
      <w:r w:rsidR="00F81221">
        <w:t xml:space="preserve"> and </w:t>
      </w:r>
      <w:r w:rsidRPr="00A428C3">
        <w:t xml:space="preserve">legal medicine seemingly originated in </w:t>
      </w:r>
      <w:smartTag w:uri="urn:schemas-microsoft-com:office:smarttags" w:element="place">
        <w:smartTag w:uri="urn:schemas-microsoft-com:office:smarttags" w:element="country-region">
          <w:r w:rsidRPr="00A428C3">
            <w:t>Germany</w:t>
          </w:r>
        </w:smartTag>
      </w:smartTag>
      <w:r w:rsidRPr="00A428C3">
        <w:t xml:space="preserve"> about 150 years ago. The official journal of the </w:t>
      </w:r>
      <w:smartTag w:uri="urn:schemas-microsoft-com:office:smarttags" w:element="place">
        <w:smartTag w:uri="urn:schemas-microsoft-com:office:smarttags" w:element="PlaceName">
          <w:r w:rsidRPr="00A428C3">
            <w:t>American</w:t>
          </w:r>
        </w:smartTag>
        <w:r w:rsidRPr="00A428C3">
          <w:t xml:space="preserve"> </w:t>
        </w:r>
        <w:smartTag w:uri="urn:schemas-microsoft-com:office:smarttags" w:element="PlaceType">
          <w:r w:rsidRPr="00A428C3">
            <w:t>Academy</w:t>
          </w:r>
        </w:smartTag>
      </w:smartTag>
      <w:r w:rsidRPr="00A428C3">
        <w:t xml:space="preserve"> of Forensic Sciences (</w:t>
      </w:r>
      <w:r w:rsidRPr="00A428C3">
        <w:rPr>
          <w:i/>
          <w:iCs/>
        </w:rPr>
        <w:t>Journal of Forensic Sciences</w:t>
      </w:r>
      <w:r w:rsidRPr="00A428C3">
        <w:t>, JFS) was founded in 1956</w:t>
      </w:r>
      <w:r w:rsidR="00F81221">
        <w:t xml:space="preserve"> and </w:t>
      </w:r>
      <w:r w:rsidRPr="00A428C3">
        <w:t xml:space="preserve">has enjoyed 50 years of scholarly publishing. The two leading European journals specializing in forensics are </w:t>
      </w:r>
      <w:r w:rsidRPr="00A428C3">
        <w:rPr>
          <w:i/>
          <w:iCs/>
        </w:rPr>
        <w:t>Forensic Science International</w:t>
      </w:r>
      <w:r w:rsidRPr="00A428C3">
        <w:t xml:space="preserve"> (FSI)</w:t>
      </w:r>
      <w:r w:rsidR="00F81221">
        <w:t xml:space="preserve"> and </w:t>
      </w:r>
      <w:r w:rsidRPr="00A428C3">
        <w:rPr>
          <w:i/>
          <w:iCs/>
        </w:rPr>
        <w:t>International Journal of Legal Medicine</w:t>
      </w:r>
      <w:r w:rsidRPr="00A428C3">
        <w:t xml:space="preserve"> (IJLM). Besides the size of the circulation, the readership numbers, the quality of the editorial staff</w:t>
      </w:r>
      <w:r w:rsidR="00F81221">
        <w:t xml:space="preserve"> and </w:t>
      </w:r>
      <w:r w:rsidRPr="00A428C3">
        <w:t>the peer-reviewers, the number of submitted</w:t>
      </w:r>
      <w:r w:rsidR="00F81221">
        <w:t xml:space="preserve"> and </w:t>
      </w:r>
      <w:r w:rsidRPr="00A428C3">
        <w:t>accepted manuscripts, considerable interest has focused on the journal</w:t>
      </w:r>
      <w:r w:rsidR="000352E7">
        <w:t>’</w:t>
      </w:r>
      <w:r w:rsidRPr="00A428C3">
        <w:t>s impact factor as a measure of prestige. The 2006 impact factor of a certain journal is derived by counting the number of citations in 2006 to all material published in the journal in the previous 2 years (2004</w:t>
      </w:r>
      <w:r w:rsidR="00F81221">
        <w:t xml:space="preserve"> and </w:t>
      </w:r>
      <w:r w:rsidRPr="00A428C3">
        <w:t>2005)</w:t>
      </w:r>
      <w:r w:rsidR="00F81221">
        <w:t xml:space="preserve"> and </w:t>
      </w:r>
      <w:r w:rsidRPr="00A428C3">
        <w:t>dividing this total by the number of citable items (articles</w:t>
      </w:r>
      <w:r w:rsidR="00F81221">
        <w:t xml:space="preserve"> and </w:t>
      </w:r>
      <w:r w:rsidRPr="00A428C3">
        <w:t>reviews) published in the same 2 years. Impact factors for several thousand scientific journals are compiled</w:t>
      </w:r>
      <w:r w:rsidR="00F81221">
        <w:t xml:space="preserve"> and </w:t>
      </w:r>
      <w:r w:rsidRPr="00A428C3">
        <w:t>published by a company called Thomson Institute for Scientific Information (Thomson ISI)</w:t>
      </w:r>
      <w:r w:rsidR="00F81221">
        <w:t xml:space="preserve"> and </w:t>
      </w:r>
      <w:r w:rsidRPr="00A428C3">
        <w:t xml:space="preserve">are available on-line via the database Journal Citation Reports. Forensic journals are grouped within the subject category Medicine, Legal, which currently comprises nine journals a few of which are seemingly unrelated to mainstream forensics. The top-ranked forensic journal in terms of its impact factor was IJLM with a score of just over </w:t>
      </w:r>
      <w:smartTag w:uri="urn:schemas-microsoft-com:office:smarttags" w:element="chmetcnv">
        <w:smartTagPr>
          <w:attr w:name="TCSC" w:val="0"/>
          <w:attr w:name="NumberType" w:val="1"/>
          <w:attr w:name="Negative" w:val="False"/>
          <w:attr w:name="HasSpace" w:val="True"/>
          <w:attr w:name="SourceValue" w:val="2"/>
          <w:attr w:name="UnitName" w:val="in"/>
        </w:smartTagPr>
        <w:r w:rsidRPr="00A428C3">
          <w:t>2.0 in</w:t>
        </w:r>
      </w:smartTag>
      <w:r w:rsidRPr="00A428C3">
        <w:t xml:space="preserve"> 2004. This means that the average article published in 2003</w:t>
      </w:r>
      <w:r w:rsidR="00F81221">
        <w:t xml:space="preserve"> and </w:t>
      </w:r>
      <w:r w:rsidRPr="00A428C3">
        <w:t>2002 was cited twice per year in the 2-year window after publication. Impact factors of forensic journals are fairly low in comparison with many other disciplines, probably because of the small size of the field, fewer active researchers</w:t>
      </w:r>
      <w:r w:rsidR="00F81221">
        <w:t xml:space="preserve"> and </w:t>
      </w:r>
      <w:r w:rsidRPr="00A428C3">
        <w:t>less pressure to publish. The relatively low impact factors of forensic journals should be less of a concern than ensuring that manuscripts receive a rigorous</w:t>
      </w:r>
      <w:r w:rsidR="00F81221">
        <w:t xml:space="preserve"> and </w:t>
      </w:r>
      <w:r w:rsidRPr="00A428C3">
        <w:t>preferably an open peer-review prior to acceptance for publication. The information, conclusions</w:t>
      </w:r>
      <w:r w:rsidR="00F81221">
        <w:t xml:space="preserve"> and </w:t>
      </w:r>
      <w:r w:rsidRPr="00A428C3">
        <w:t>opinions published in forensic science journals might one day be proffered as evidence in criminal or civil litigation.</w:t>
      </w:r>
    </w:p>
    <w:p w:rsidR="00B95188" w:rsidRPr="00A428C3" w:rsidRDefault="00B95188" w:rsidP="00B95188">
      <w:pPr>
        <w:pStyle w:val="a0"/>
      </w:pPr>
      <w:r w:rsidRPr="00A428C3">
        <w:t xml:space="preserve">Keywords: Association, Authorship, Bibliometrics, Biomedical-Research, Citations, Comparison, Current, Development, Distribution, Forensic, Forensic Science, Forensic Science Journals, Gatekeepers, Germany, Impact, Impact Factor, Impact Factors, Information, Institute For Scientific Information, Isi, Journal, Journal Citation Reports, Journals, Legal-Medicine, Low, Medicine, Misconduct, Peer </w:t>
      </w:r>
      <w:r w:rsidRPr="00A428C3">
        <w:lastRenderedPageBreak/>
        <w:t>Review, Peer-Review, Pressure, Publication, Publishing, Quality, Reporting, Research Assessment Exercise, Reviews, Role, Science, Sciences, Scientific Journals, Size, Social, Spreading</w:t>
      </w:r>
    </w:p>
    <w:p w:rsidR="002479BF" w:rsidRPr="00217FB1" w:rsidRDefault="002479BF" w:rsidP="002479BF">
      <w:pPr>
        <w:pStyle w:val="1"/>
      </w:pPr>
      <w:r w:rsidRPr="00217FB1">
        <w:br w:type="page"/>
      </w:r>
      <w:bookmarkStart w:id="123" w:name="_Toc238862930"/>
      <w:bookmarkStart w:id="124" w:name="_Toc317160853"/>
      <w:r w:rsidRPr="00217FB1">
        <w:lastRenderedPageBreak/>
        <w:t xml:space="preserve">Title: </w:t>
      </w:r>
      <w:r w:rsidRPr="0093480A">
        <w:t>Foresight</w:t>
      </w:r>
      <w:bookmarkEnd w:id="123"/>
      <w:bookmarkEnd w:id="124"/>
    </w:p>
    <w:p w:rsidR="002479BF" w:rsidRPr="00217FB1" w:rsidRDefault="002479BF" w:rsidP="00B72EF9">
      <w:pPr>
        <w:pStyle w:val="12"/>
      </w:pPr>
      <w:r w:rsidRPr="00217FB1">
        <w:t xml:space="preserve">Full Journal Title: </w:t>
      </w:r>
      <w:r w:rsidRPr="00A55B4C">
        <w:t>Foresight</w:t>
      </w:r>
    </w:p>
    <w:p w:rsidR="002479BF" w:rsidRPr="00217FB1" w:rsidRDefault="002479BF" w:rsidP="00B72EF9">
      <w:pPr>
        <w:pStyle w:val="12"/>
      </w:pPr>
      <w:r w:rsidRPr="00217FB1">
        <w:t xml:space="preserve">ISO Abbreviated Title: </w:t>
      </w:r>
    </w:p>
    <w:p w:rsidR="002479BF" w:rsidRPr="00217FB1" w:rsidRDefault="002479BF" w:rsidP="00B72EF9">
      <w:pPr>
        <w:pStyle w:val="12"/>
      </w:pPr>
      <w:r w:rsidRPr="00217FB1">
        <w:t>JCR Abbreviated Title</w:t>
      </w:r>
      <w:r>
        <w:t>:</w:t>
      </w:r>
      <w:r w:rsidRPr="00217FB1">
        <w:t xml:space="preserve"> </w:t>
      </w:r>
    </w:p>
    <w:p w:rsidR="002479BF" w:rsidRPr="00217FB1" w:rsidRDefault="002479BF" w:rsidP="00B72EF9">
      <w:pPr>
        <w:pStyle w:val="12"/>
      </w:pPr>
      <w:r w:rsidRPr="00217FB1">
        <w:t xml:space="preserve">ISSN: </w:t>
      </w:r>
    </w:p>
    <w:p w:rsidR="002479BF" w:rsidRPr="00217FB1" w:rsidRDefault="002479BF" w:rsidP="00B72EF9">
      <w:pPr>
        <w:pStyle w:val="12"/>
      </w:pPr>
      <w:r w:rsidRPr="00217FB1">
        <w:t xml:space="preserve">Issues/Year: </w:t>
      </w:r>
    </w:p>
    <w:p w:rsidR="002479BF" w:rsidRPr="00217FB1" w:rsidRDefault="00FB5623" w:rsidP="00B72EF9">
      <w:pPr>
        <w:pStyle w:val="12"/>
      </w:pPr>
      <w:r>
        <w:t>Journal Country/Territory:</w:t>
      </w:r>
      <w:r w:rsidR="002479BF">
        <w:t xml:space="preserve"> </w:t>
      </w:r>
    </w:p>
    <w:p w:rsidR="002479BF" w:rsidRPr="00217FB1" w:rsidRDefault="002479BF" w:rsidP="00B72EF9">
      <w:pPr>
        <w:pStyle w:val="12"/>
      </w:pPr>
      <w:r w:rsidRPr="00217FB1">
        <w:t>Language:</w:t>
      </w:r>
    </w:p>
    <w:p w:rsidR="002479BF" w:rsidRPr="00217FB1" w:rsidRDefault="002479BF" w:rsidP="00B72EF9">
      <w:pPr>
        <w:pStyle w:val="12"/>
      </w:pPr>
      <w:r w:rsidRPr="00217FB1">
        <w:t xml:space="preserve">Publisher: </w:t>
      </w:r>
    </w:p>
    <w:p w:rsidR="002479BF" w:rsidRPr="00217FB1" w:rsidRDefault="002479BF" w:rsidP="00B72EF9">
      <w:pPr>
        <w:pStyle w:val="12"/>
      </w:pPr>
      <w:r w:rsidRPr="00217FB1">
        <w:t xml:space="preserve">Publisher Address: </w:t>
      </w:r>
    </w:p>
    <w:p w:rsidR="002479BF" w:rsidRPr="00217FB1" w:rsidRDefault="002479BF" w:rsidP="00B72EF9">
      <w:pPr>
        <w:pStyle w:val="12"/>
      </w:pPr>
      <w:r w:rsidRPr="00217FB1">
        <w:t>Subject Categories:</w:t>
      </w:r>
    </w:p>
    <w:p w:rsidR="002479BF" w:rsidRPr="00217FB1" w:rsidRDefault="002479BF" w:rsidP="00B72EF9">
      <w:pPr>
        <w:pStyle w:val="12"/>
      </w:pPr>
      <w:r w:rsidRPr="00217FB1">
        <w:t xml:space="preserve">: Impact Factor </w:t>
      </w:r>
    </w:p>
    <w:p w:rsidR="002479BF" w:rsidRPr="003862C4" w:rsidRDefault="002479BF" w:rsidP="002479BF">
      <w:pPr>
        <w:pStyle w:val="a0"/>
      </w:pPr>
      <w:r w:rsidRPr="008B2BB0">
        <w:t>? Daim, T., Monalisa, M., Dash, P.</w:t>
      </w:r>
      <w:r w:rsidR="00F81221">
        <w:t xml:space="preserve"> and </w:t>
      </w:r>
      <w:r w:rsidRPr="008B2BB0">
        <w:t>Brown, N. (2007), Time lag assessment between research funding</w:t>
      </w:r>
      <w:r w:rsidR="00F81221">
        <w:t xml:space="preserve"> and </w:t>
      </w:r>
      <w:r w:rsidRPr="008B2BB0">
        <w:t xml:space="preserve">output in emerging technologies. </w:t>
      </w:r>
      <w:r w:rsidRPr="00CE7517">
        <w:rPr>
          <w:i/>
          <w:iCs/>
        </w:rPr>
        <w:t>Foresight</w:t>
      </w:r>
      <w:r w:rsidRPr="008B2BB0">
        <w:t>,</w:t>
      </w:r>
      <w:r w:rsidRPr="008B2BB0">
        <w:rPr>
          <w:rFonts w:hint="eastAsia"/>
        </w:rPr>
        <w:t xml:space="preserve"> </w:t>
      </w:r>
      <w:r w:rsidRPr="00551655">
        <w:rPr>
          <w:rFonts w:hint="eastAsia"/>
          <w:b/>
          <w:bCs/>
        </w:rPr>
        <w:t>9</w:t>
      </w:r>
      <w:r w:rsidRPr="003862C4">
        <w:rPr>
          <w:rFonts w:hint="eastAsia"/>
        </w:rPr>
        <w:t xml:space="preserve"> (4),</w:t>
      </w:r>
      <w:r w:rsidRPr="003862C4">
        <w:t xml:space="preserve"> 33-44.</w:t>
      </w:r>
    </w:p>
    <w:p w:rsidR="002479BF" w:rsidRPr="003862C4" w:rsidRDefault="002479BF" w:rsidP="002479BF">
      <w:pPr>
        <w:pStyle w:val="a0"/>
      </w:pPr>
      <w:r w:rsidRPr="003862C4">
        <w:rPr>
          <w:rFonts w:hint="eastAsia"/>
        </w:rPr>
        <w:t xml:space="preserve">Full Text: </w:t>
      </w:r>
      <w:hyperlink r:id="rId117" w:history="1">
        <w:r w:rsidRPr="005B66DC">
          <w:rPr>
            <w:rStyle w:val="a5"/>
          </w:rPr>
          <w:t>2007\Foresight9, 33.pdf</w:t>
        </w:r>
      </w:hyperlink>
    </w:p>
    <w:p w:rsidR="002479BF" w:rsidRPr="003862C4" w:rsidRDefault="002479BF" w:rsidP="002479BF">
      <w:pPr>
        <w:pStyle w:val="a0"/>
      </w:pPr>
      <w:r w:rsidRPr="003862C4">
        <w:t>Abstract: Purpose - In this paper, an analysis is presented of the research funding towards nanotechnology at the National Nanotechnology Initiative (NNI)</w:t>
      </w:r>
      <w:r w:rsidR="00F81221">
        <w:t xml:space="preserve"> and </w:t>
      </w:r>
      <w:r w:rsidRPr="003862C4">
        <w:t>its relationship to the research output in Nanoscope, an application area of nanotechnology. Design/methodology/approach - The paper analyzes the data collected from 1997 till 2006</w:t>
      </w:r>
      <w:r w:rsidR="00F81221">
        <w:t xml:space="preserve"> and </w:t>
      </w:r>
      <w:r w:rsidRPr="003862C4">
        <w:t>derives a definitive time lag between the allocation of research funds</w:t>
      </w:r>
      <w:r w:rsidR="00F81221">
        <w:t xml:space="preserve"> and </w:t>
      </w:r>
      <w:r w:rsidRPr="003862C4">
        <w:t>issued patents</w:t>
      </w:r>
      <w:r w:rsidR="00F81221">
        <w:t xml:space="preserve"> and </w:t>
      </w:r>
      <w:r w:rsidRPr="003862C4">
        <w:t>published journals. This assessment is achieved by identifying growth trends in patents, funds</w:t>
      </w:r>
      <w:r w:rsidR="00F81221">
        <w:t xml:space="preserve"> and </w:t>
      </w:r>
      <w:r w:rsidRPr="003862C4">
        <w:t>publications</w:t>
      </w:r>
      <w:r w:rsidR="00F81221">
        <w:t xml:space="preserve"> and </w:t>
      </w:r>
      <w:r w:rsidRPr="003862C4">
        <w:t>doing a curve-fit analysis using the Fisher-Pry model. Linear regression analysis is used to show the correlation between the funding</w:t>
      </w:r>
      <w:r w:rsidR="00F81221">
        <w:t xml:space="preserve"> and </w:t>
      </w:r>
      <w:r w:rsidRPr="003862C4">
        <w:t>research outputs. Alongside, non-linear programming objective function optimization technique is used to derive the time lag in years for each of the research outputs from the year of funds granted. Findings - This paper demonstrated that there is a strong correlation between research funding</w:t>
      </w:r>
      <w:r w:rsidR="00F81221">
        <w:t xml:space="preserve"> and </w:t>
      </w:r>
      <w:r w:rsidRPr="003862C4">
        <w:t>different research outputs. The time lag between funding</w:t>
      </w:r>
      <w:r w:rsidR="00F81221">
        <w:t xml:space="preserve"> and </w:t>
      </w:r>
      <w:r w:rsidRPr="003862C4">
        <w:t>patents issued is evident from the patent trend analysis</w:t>
      </w:r>
      <w:r w:rsidR="00F81221">
        <w:t xml:space="preserve"> and </w:t>
      </w:r>
      <w:r w:rsidRPr="003862C4">
        <w:t>Bibliometric analysis. In the case of Nanoscope, the patent time lag was found to be approximately five to six years, for journal article it was approximately two to three years</w:t>
      </w:r>
      <w:r w:rsidR="00F81221">
        <w:t xml:space="preserve"> and </w:t>
      </w:r>
      <w:r w:rsidRPr="003862C4">
        <w:t>conference presentations happened right after the funding. The research outputs showed similar trends</w:t>
      </w:r>
      <w:r w:rsidR="00F81221">
        <w:t xml:space="preserve"> and </w:t>
      </w:r>
      <w:r w:rsidRPr="003862C4">
        <w:t>were found to be interdependent as evident from our mathematical analysis. Research limitations/implications - While this study has shown that lag times exist within the chosen example of Nanoscope,</w:t>
      </w:r>
      <w:r w:rsidR="00F81221">
        <w:t xml:space="preserve"> and </w:t>
      </w:r>
      <w:r w:rsidRPr="003862C4">
        <w:t xml:space="preserve">furthermore can be calculated to a precise degree, further data points in terms of additional emerging technologies would support the hypothesis in a more general term. A future study </w:t>
      </w:r>
      <w:r w:rsidRPr="003862C4">
        <w:lastRenderedPageBreak/>
        <w:t>can look at developing technology roadmaps of the future based on the funding happening today. Originality/value - The work takes bibliometric analysis to a further intelligence</w:t>
      </w:r>
      <w:r w:rsidR="00F81221">
        <w:t xml:space="preserve"> and </w:t>
      </w:r>
      <w:r w:rsidRPr="003862C4">
        <w:t>establishes key linkages between these indicators.</w:t>
      </w:r>
    </w:p>
    <w:p w:rsidR="002479BF" w:rsidRPr="003862C4" w:rsidRDefault="002479BF" w:rsidP="002479BF">
      <w:pPr>
        <w:pStyle w:val="a0"/>
      </w:pPr>
      <w:r w:rsidRPr="003862C4">
        <w:t>Keywords: Allocation, Analysis, Application, Assessment, Bibliometric, Bibliometric Analysis, Correlation, Data, Developing, Emerging Technologies, Function, Funding, General, Growth, Indicators, Journal, Journal Article, Journals, Linear Regression, Model, Nanotechnology, Optimization, Patent, Patents, Programming, Publications, Regression, Regression Analysis, Research, Research Funding, Right, Roadmaps, Support, Technologies, Technology, Term, Till, Trend, Trend Analysis, Trends, Work</w:t>
      </w:r>
    </w:p>
    <w:p w:rsidR="00B95188" w:rsidRPr="00A428C3" w:rsidRDefault="00B95188" w:rsidP="00B95188">
      <w:pPr>
        <w:pStyle w:val="1"/>
      </w:pPr>
      <w:r w:rsidRPr="00A428C3">
        <w:br w:type="page"/>
      </w:r>
      <w:bookmarkStart w:id="125" w:name="_Toc455569450"/>
      <w:bookmarkStart w:id="126" w:name="_Toc487190669"/>
      <w:bookmarkStart w:id="127" w:name="_Toc487882172"/>
      <w:bookmarkStart w:id="128" w:name="_Toc490687966"/>
      <w:bookmarkStart w:id="129" w:name="_Toc186647683"/>
      <w:bookmarkStart w:id="130" w:name="_Toc317160854"/>
      <w:r w:rsidRPr="00A428C3">
        <w:lastRenderedPageBreak/>
        <w:t xml:space="preserve">Title: </w:t>
      </w:r>
      <w:smartTag w:uri="urn:schemas-microsoft-com:office:smarttags" w:element="place">
        <w:r w:rsidRPr="00A428C3">
          <w:t>Forest</w:t>
        </w:r>
      </w:smartTag>
      <w:r w:rsidRPr="00A428C3">
        <w:t xml:space="preserve"> Ecology</w:t>
      </w:r>
      <w:r w:rsidR="00F81221">
        <w:t xml:space="preserve"> and </w:t>
      </w:r>
      <w:r w:rsidRPr="00A428C3">
        <w:t>Management</w:t>
      </w:r>
      <w:bookmarkEnd w:id="125"/>
      <w:bookmarkEnd w:id="126"/>
      <w:bookmarkEnd w:id="127"/>
      <w:bookmarkEnd w:id="128"/>
      <w:bookmarkEnd w:id="129"/>
      <w:bookmarkEnd w:id="130"/>
    </w:p>
    <w:p w:rsidR="00B95188" w:rsidRPr="00A428C3" w:rsidRDefault="00B95188" w:rsidP="00B72EF9">
      <w:pPr>
        <w:pStyle w:val="12"/>
      </w:pPr>
      <w:r w:rsidRPr="00A428C3">
        <w:t xml:space="preserve">Full Journal Title: </w:t>
      </w:r>
      <w:hyperlink r:id="rId118" w:history="1">
        <w:r w:rsidRPr="00A428C3">
          <w:rPr>
            <w:rStyle w:val="a5"/>
          </w:rPr>
          <w:t>Forest Ecology</w:t>
        </w:r>
        <w:r w:rsidR="00F81221">
          <w:rPr>
            <w:rStyle w:val="a5"/>
          </w:rPr>
          <w:t xml:space="preserve"> and </w:t>
        </w:r>
        <w:r w:rsidRPr="00A428C3">
          <w:rPr>
            <w:rStyle w:val="a5"/>
          </w:rPr>
          <w:t>Management</w:t>
        </w:r>
      </w:hyperlink>
    </w:p>
    <w:p w:rsidR="00B95188" w:rsidRPr="00A428C3" w:rsidRDefault="00B95188" w:rsidP="00B72EF9">
      <w:pPr>
        <w:pStyle w:val="12"/>
      </w:pPr>
      <w:r w:rsidRPr="00A428C3">
        <w:t>ISO Abbreviated Title: For. Ecol. Manage.</w:t>
      </w:r>
    </w:p>
    <w:p w:rsidR="00B95188" w:rsidRPr="00A428C3" w:rsidRDefault="00B95188" w:rsidP="00B72EF9">
      <w:pPr>
        <w:pStyle w:val="12"/>
      </w:pPr>
      <w:r w:rsidRPr="00A428C3">
        <w:t>JCR Abbreviated Title: Forest Ecol Manag</w:t>
      </w:r>
    </w:p>
    <w:p w:rsidR="00B95188" w:rsidRPr="00A428C3" w:rsidRDefault="00B95188" w:rsidP="00B72EF9">
      <w:pPr>
        <w:pStyle w:val="12"/>
      </w:pPr>
      <w:r w:rsidRPr="00A428C3">
        <w:t>ISSN: 0378-1127</w:t>
      </w:r>
    </w:p>
    <w:p w:rsidR="00B95188" w:rsidRPr="00A428C3" w:rsidRDefault="00B95188" w:rsidP="00B72EF9">
      <w:pPr>
        <w:pStyle w:val="12"/>
      </w:pPr>
      <w:r w:rsidRPr="00A428C3">
        <w:t>Issues/Year: 21</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Forestry: Impact Factor 0.982, 6/29 (2000)</w:t>
      </w:r>
    </w:p>
    <w:p w:rsidR="00B95188" w:rsidRPr="00A428C3" w:rsidRDefault="00B95188" w:rsidP="00B95188">
      <w:pPr>
        <w:pStyle w:val="a0"/>
      </w:pPr>
      <w:r w:rsidRPr="00A428C3">
        <w:t>Freer-Smith, P.H.</w:t>
      </w:r>
      <w:r w:rsidR="00F81221">
        <w:t xml:space="preserve"> and </w:t>
      </w:r>
      <w:r w:rsidRPr="00A428C3">
        <w:t>Read, D.B. (1995), The relationship between crown condition</w:t>
      </w:r>
      <w:r w:rsidR="00F81221">
        <w:t xml:space="preserve"> and </w:t>
      </w:r>
      <w:r w:rsidRPr="00A428C3">
        <w:t>soil solution chemistry in oak</w:t>
      </w:r>
      <w:r w:rsidR="00F81221">
        <w:t xml:space="preserve"> and </w:t>
      </w:r>
      <w:r w:rsidRPr="00A428C3">
        <w:t>sitka spruce in England</w:t>
      </w:r>
      <w:r w:rsidR="00F81221">
        <w:t xml:space="preserve"> and </w:t>
      </w:r>
      <w:r w:rsidRPr="00A428C3">
        <w:t xml:space="preserve">Wales. </w:t>
      </w:r>
      <w:smartTag w:uri="urn:schemas-microsoft-com:office:smarttags" w:element="place">
        <w:r w:rsidRPr="00A428C3">
          <w:rPr>
            <w:i/>
          </w:rPr>
          <w:t>Forest</w:t>
        </w:r>
      </w:smartTag>
      <w:r w:rsidRPr="00A428C3">
        <w:rPr>
          <w:i/>
        </w:rPr>
        <w:t xml:space="preserve"> Ecology</w:t>
      </w:r>
      <w:r w:rsidR="00F81221">
        <w:rPr>
          <w:i/>
        </w:rPr>
        <w:t xml:space="preserve"> and </w:t>
      </w:r>
      <w:r w:rsidRPr="00A428C3">
        <w:rPr>
          <w:i/>
        </w:rPr>
        <w:t>Management</w:t>
      </w:r>
      <w:r w:rsidRPr="00A428C3">
        <w:t xml:space="preserve">, </w:t>
      </w:r>
      <w:r w:rsidRPr="00A428C3">
        <w:rPr>
          <w:b/>
        </w:rPr>
        <w:t>79</w:t>
      </w:r>
      <w:r w:rsidRPr="00A428C3">
        <w:t xml:space="preserve"> (3), 185-196.</w:t>
      </w:r>
    </w:p>
    <w:p w:rsidR="00B95188" w:rsidRPr="00A428C3" w:rsidRDefault="00B95188" w:rsidP="00B95188">
      <w:pPr>
        <w:pStyle w:val="a0"/>
      </w:pPr>
      <w:r w:rsidRPr="00A428C3">
        <w:t xml:space="preserve">Full Text: </w:t>
      </w:r>
      <w:hyperlink r:id="rId119" w:history="1">
        <w:r w:rsidRPr="00A428C3">
          <w:rPr>
            <w:rStyle w:val="a5"/>
          </w:rPr>
          <w:t>F\For Eco Man79, 185.pdf</w:t>
        </w:r>
      </w:hyperlink>
    </w:p>
    <w:p w:rsidR="00B95188" w:rsidRPr="00A428C3" w:rsidRDefault="00B95188" w:rsidP="00B95188">
      <w:pPr>
        <w:pStyle w:val="a0"/>
      </w:pPr>
      <w:r w:rsidRPr="00A428C3">
        <w:t>Abstract: In recent years the critical loads concept has become the primary approach for formulating research on pollutant impacts</w:t>
      </w:r>
      <w:r w:rsidR="00F81221">
        <w:t xml:space="preserve"> and </w:t>
      </w:r>
      <w:r w:rsidRPr="00A428C3">
        <w:t>setting targets for pollution abatements. For forest soils critical loads have been set on the assumption that base cation uptake</w:t>
      </w:r>
      <w:r w:rsidR="00F81221">
        <w:t xml:space="preserve"> and </w:t>
      </w:r>
      <w:r w:rsidRPr="00A428C3">
        <w:t xml:space="preserve">tree growth an decreased when ratios of Ca + Mg to Al in soil solution fall below 1.0. Forests have been monitored in the </w:t>
      </w:r>
      <w:smartTag w:uri="urn:schemas-microsoft-com:office:smarttags" w:element="place">
        <w:smartTag w:uri="urn:schemas-microsoft-com:office:smarttags" w:element="country-region">
          <w:r w:rsidRPr="00A428C3">
            <w:t>UK</w:t>
          </w:r>
        </w:smartTag>
      </w:smartTag>
      <w:r w:rsidRPr="00A428C3">
        <w:t xml:space="preserve"> since 1984 under EU Air Pollution Regulations</w:t>
      </w:r>
      <w:r w:rsidR="00F81221">
        <w:t xml:space="preserve"> and </w:t>
      </w:r>
      <w:r w:rsidRPr="00A428C3">
        <w:t>the UN-ECE Convention on Long Range Transboundary Air Pollution (LRTAP) in order to identify any pollutant-related decline in forest condition. The soil solution chemistry of six oak</w:t>
      </w:r>
      <w:r w:rsidR="00F81221">
        <w:t xml:space="preserve"> and </w:t>
      </w:r>
      <w:r w:rsidRPr="00A428C3">
        <w:t xml:space="preserve">six </w:t>
      </w:r>
      <w:smartTag w:uri="urn:schemas-microsoft-com:office:smarttags" w:element="place">
        <w:smartTag w:uri="urn:schemas-microsoft-com:office:smarttags" w:element="City">
          <w:r w:rsidRPr="00A428C3">
            <w:t>Sitka</w:t>
          </w:r>
        </w:smartTag>
      </w:smartTag>
      <w:r w:rsidRPr="00A428C3">
        <w:t xml:space="preserve"> spruce plots from these surveys were analysed in the work reported here. (Ca + Mg)/Al was found to be above 1.0 at all sites in the organic</w:t>
      </w:r>
      <w:r w:rsidR="00F81221">
        <w:t xml:space="preserve"> and </w:t>
      </w:r>
      <w:r w:rsidRPr="00A428C3">
        <w:t>mineral soil horizons. Large ratios resulted from both large base cation concentrations</w:t>
      </w:r>
      <w:r w:rsidR="00F81221">
        <w:t xml:space="preserve"> and </w:t>
      </w:r>
      <w:r w:rsidRPr="00A428C3">
        <w:t>generally low Al values. Surprisingly, poorest tree condition (crown density) was associated with large Ca + Mg concentrations</w:t>
      </w:r>
      <w:r w:rsidR="00F81221">
        <w:t xml:space="preserve"> and </w:t>
      </w:r>
      <w:r w:rsidRPr="00A428C3">
        <w:t>large (Ca + Mg)/Al for spruce. This correlation contrasts in direction with the relationships between (Ca + Mg)/Al</w:t>
      </w:r>
      <w:r w:rsidR="00F81221">
        <w:t xml:space="preserve"> and </w:t>
      </w:r>
      <w:r w:rsidRPr="00A428C3">
        <w:t xml:space="preserve">tree growth which have been used to calculate forest soil critical loads. However, </w:t>
      </w:r>
      <w:smartTag w:uri="urn:schemas-microsoft-com:office:smarttags" w:element="place">
        <w:smartTag w:uri="urn:schemas-microsoft-com:office:smarttags" w:element="country-region">
          <w:r w:rsidRPr="00A428C3">
            <w:t>UK</w:t>
          </w:r>
        </w:smartTag>
      </w:smartTag>
      <w:r w:rsidRPr="00A428C3">
        <w:t xml:space="preserve"> values of this ratio lay entirely above the threshold for damage.</w:t>
      </w:r>
    </w:p>
    <w:p w:rsidR="00B95188" w:rsidRPr="00A428C3" w:rsidRDefault="00B95188" w:rsidP="00B95188">
      <w:pPr>
        <w:pStyle w:val="a0"/>
      </w:pPr>
      <w:r w:rsidRPr="00A428C3">
        <w:t>Keywords: Quercus Petraea, Quercus Robur, Picea Sitchensis, Crown Density, Soil Critical Load</w:t>
      </w:r>
    </w:p>
    <w:p w:rsidR="001C35DA" w:rsidRPr="00A428C3" w:rsidRDefault="001C35DA" w:rsidP="001C35DA">
      <w:pPr>
        <w:pStyle w:val="1"/>
      </w:pPr>
      <w:r w:rsidRPr="00A428C3">
        <w:br w:type="page"/>
      </w:r>
      <w:bookmarkStart w:id="131" w:name="_Toc317160855"/>
      <w:r w:rsidRPr="00A428C3">
        <w:lastRenderedPageBreak/>
        <w:t xml:space="preserve">Title: </w:t>
      </w:r>
      <w:r w:rsidRPr="001C35DA">
        <w:rPr>
          <w:iCs/>
          <w:szCs w:val="24"/>
        </w:rPr>
        <w:t>Forest Policy</w:t>
      </w:r>
      <w:r w:rsidR="00F81221">
        <w:rPr>
          <w:iCs/>
          <w:szCs w:val="24"/>
        </w:rPr>
        <w:t xml:space="preserve"> and </w:t>
      </w:r>
      <w:r w:rsidRPr="001C35DA">
        <w:rPr>
          <w:iCs/>
          <w:szCs w:val="24"/>
        </w:rPr>
        <w:t>Economics</w:t>
      </w:r>
      <w:bookmarkEnd w:id="131"/>
    </w:p>
    <w:p w:rsidR="001C35DA" w:rsidRPr="00A428C3" w:rsidRDefault="001C35DA" w:rsidP="00B72EF9">
      <w:pPr>
        <w:pStyle w:val="12"/>
      </w:pPr>
      <w:r w:rsidRPr="00A428C3">
        <w:t xml:space="preserve">Full Journal Title: </w:t>
      </w:r>
      <w:hyperlink r:id="rId120" w:history="1">
        <w:r w:rsidRPr="001C35DA">
          <w:rPr>
            <w:rStyle w:val="a5"/>
            <w:iCs/>
          </w:rPr>
          <w:t>Forest Policy</w:t>
        </w:r>
        <w:r w:rsidR="00F81221">
          <w:rPr>
            <w:rStyle w:val="a5"/>
            <w:iCs/>
          </w:rPr>
          <w:t xml:space="preserve"> and </w:t>
        </w:r>
        <w:r w:rsidRPr="001C35DA">
          <w:rPr>
            <w:rStyle w:val="a5"/>
            <w:iCs/>
          </w:rPr>
          <w:t>Economics</w:t>
        </w:r>
      </w:hyperlink>
    </w:p>
    <w:p w:rsidR="001C35DA" w:rsidRPr="00A428C3" w:rsidRDefault="001C35DA" w:rsidP="00B72EF9">
      <w:pPr>
        <w:pStyle w:val="12"/>
      </w:pPr>
      <w:r w:rsidRPr="00A428C3">
        <w:t xml:space="preserve">ISO Abbreviated Title: </w:t>
      </w:r>
    </w:p>
    <w:p w:rsidR="001C35DA" w:rsidRPr="00A428C3" w:rsidRDefault="001C35DA" w:rsidP="00B72EF9">
      <w:pPr>
        <w:pStyle w:val="12"/>
      </w:pPr>
      <w:r w:rsidRPr="00A428C3">
        <w:t xml:space="preserve">JCR Abbreviated Title: </w:t>
      </w:r>
    </w:p>
    <w:p w:rsidR="001C35DA" w:rsidRPr="00A428C3" w:rsidRDefault="001C35DA" w:rsidP="00B72EF9">
      <w:pPr>
        <w:pStyle w:val="12"/>
      </w:pPr>
      <w:r w:rsidRPr="00A428C3">
        <w:t xml:space="preserve">ISSN: </w:t>
      </w:r>
    </w:p>
    <w:p w:rsidR="001C35DA" w:rsidRPr="00A428C3" w:rsidRDefault="001C35DA" w:rsidP="00B72EF9">
      <w:pPr>
        <w:pStyle w:val="12"/>
      </w:pPr>
      <w:r w:rsidRPr="00A428C3">
        <w:t xml:space="preserve">Issues/Year: </w:t>
      </w:r>
    </w:p>
    <w:p w:rsidR="001C35DA" w:rsidRPr="00A428C3" w:rsidRDefault="001C35DA" w:rsidP="00B72EF9">
      <w:pPr>
        <w:pStyle w:val="12"/>
      </w:pPr>
      <w:r w:rsidRPr="00A428C3">
        <w:t xml:space="preserve">Journal Country/Territory: </w:t>
      </w:r>
    </w:p>
    <w:p w:rsidR="001C35DA" w:rsidRPr="00A428C3" w:rsidRDefault="001C35DA" w:rsidP="00B72EF9">
      <w:pPr>
        <w:pStyle w:val="12"/>
      </w:pPr>
      <w:r w:rsidRPr="00A428C3">
        <w:t>Language:</w:t>
      </w:r>
    </w:p>
    <w:p w:rsidR="001C35DA" w:rsidRPr="00A428C3" w:rsidRDefault="001C35DA" w:rsidP="00B72EF9">
      <w:pPr>
        <w:pStyle w:val="12"/>
      </w:pPr>
      <w:r w:rsidRPr="00A428C3">
        <w:t xml:space="preserve">Publisher: </w:t>
      </w:r>
    </w:p>
    <w:p w:rsidR="001C35DA" w:rsidRPr="00A428C3" w:rsidRDefault="001C35DA" w:rsidP="00B72EF9">
      <w:pPr>
        <w:pStyle w:val="12"/>
      </w:pPr>
      <w:r w:rsidRPr="00A428C3">
        <w:t xml:space="preserve">Publisher Address: </w:t>
      </w:r>
    </w:p>
    <w:p w:rsidR="001C35DA" w:rsidRPr="00A428C3" w:rsidRDefault="001C35DA" w:rsidP="00B72EF9">
      <w:pPr>
        <w:pStyle w:val="12"/>
      </w:pPr>
      <w:r w:rsidRPr="00A428C3">
        <w:t>Subject Categories:</w:t>
      </w:r>
    </w:p>
    <w:p w:rsidR="001C35DA" w:rsidRPr="00A428C3" w:rsidRDefault="001C35DA" w:rsidP="00B72EF9">
      <w:pPr>
        <w:pStyle w:val="12"/>
      </w:pPr>
      <w:r w:rsidRPr="00A428C3">
        <w:t xml:space="preserve">Impact Factor </w:t>
      </w:r>
    </w:p>
    <w:p w:rsidR="001C35DA" w:rsidRDefault="001C35DA" w:rsidP="001C35DA">
      <w:pPr>
        <w:pStyle w:val="a0"/>
      </w:pPr>
      <w:r w:rsidRPr="00A428C3">
        <w:t xml:space="preserve">? </w:t>
      </w:r>
      <w:r w:rsidRPr="00F25CAE">
        <w:rPr>
          <w:kern w:val="0"/>
          <w:szCs w:val="24"/>
        </w:rPr>
        <w:t>Wang</w:t>
      </w:r>
      <w:r>
        <w:rPr>
          <w:kern w:val="0"/>
          <w:szCs w:val="24"/>
        </w:rPr>
        <w:t xml:space="preserve">, </w:t>
      </w:r>
      <w:r w:rsidRPr="00F25CAE">
        <w:rPr>
          <w:kern w:val="0"/>
          <w:szCs w:val="24"/>
        </w:rPr>
        <w:t>S</w:t>
      </w:r>
      <w:r>
        <w:rPr>
          <w:rFonts w:hint="eastAsia"/>
          <w:kern w:val="0"/>
          <w:szCs w:val="24"/>
        </w:rPr>
        <w:t>.,</w:t>
      </w:r>
      <w:r w:rsidRPr="00F25CAE">
        <w:rPr>
          <w:kern w:val="0"/>
          <w:szCs w:val="24"/>
        </w:rPr>
        <w:t xml:space="preserve"> Liu</w:t>
      </w:r>
      <w:r>
        <w:rPr>
          <w:kern w:val="0"/>
          <w:szCs w:val="24"/>
        </w:rPr>
        <w:t>, C</w:t>
      </w:r>
      <w:r>
        <w:rPr>
          <w:rFonts w:hint="eastAsia"/>
          <w:kern w:val="0"/>
          <w:szCs w:val="24"/>
        </w:rPr>
        <w:t>.</w:t>
      </w:r>
      <w:r w:rsidR="00F81221">
        <w:rPr>
          <w:rFonts w:hint="eastAsia"/>
          <w:kern w:val="0"/>
          <w:szCs w:val="24"/>
        </w:rPr>
        <w:t xml:space="preserve"> and </w:t>
      </w:r>
      <w:r w:rsidRPr="00F25CAE">
        <w:rPr>
          <w:kern w:val="0"/>
          <w:szCs w:val="24"/>
        </w:rPr>
        <w:t>Wilson</w:t>
      </w:r>
      <w:r>
        <w:rPr>
          <w:kern w:val="0"/>
          <w:szCs w:val="24"/>
        </w:rPr>
        <w:t xml:space="preserve">, </w:t>
      </w:r>
      <w:r w:rsidRPr="00F25CAE">
        <w:rPr>
          <w:kern w:val="0"/>
          <w:szCs w:val="24"/>
        </w:rPr>
        <w:t>B.</w:t>
      </w:r>
      <w:r w:rsidRPr="00A428C3">
        <w:t xml:space="preserve"> (200</w:t>
      </w:r>
      <w:r>
        <w:rPr>
          <w:rFonts w:hint="eastAsia"/>
        </w:rPr>
        <w:t>7</w:t>
      </w:r>
      <w:r w:rsidRPr="00A428C3">
        <w:t xml:space="preserve">), </w:t>
      </w:r>
      <w:r w:rsidRPr="00F25CAE">
        <w:rPr>
          <w:kern w:val="0"/>
          <w:szCs w:val="24"/>
        </w:rPr>
        <w:t>Is China in a later stage of a U-shaped forest resource curve? A re-examination of empirical evidence</w:t>
      </w:r>
      <w:r w:rsidRPr="00A428C3">
        <w:t xml:space="preserve">. </w:t>
      </w:r>
      <w:r w:rsidRPr="001C35DA">
        <w:rPr>
          <w:i/>
          <w:iCs/>
          <w:kern w:val="0"/>
          <w:szCs w:val="24"/>
        </w:rPr>
        <w:t>Forest Policy</w:t>
      </w:r>
      <w:r w:rsidR="00F81221">
        <w:rPr>
          <w:i/>
          <w:iCs/>
          <w:kern w:val="0"/>
          <w:szCs w:val="24"/>
        </w:rPr>
        <w:t xml:space="preserve"> and </w:t>
      </w:r>
      <w:r w:rsidRPr="001C35DA">
        <w:rPr>
          <w:i/>
          <w:iCs/>
          <w:kern w:val="0"/>
          <w:szCs w:val="24"/>
        </w:rPr>
        <w:t>Economics</w:t>
      </w:r>
      <w:r w:rsidRPr="00A428C3">
        <w:t xml:space="preserve">, </w:t>
      </w:r>
      <w:r>
        <w:rPr>
          <w:rFonts w:hint="eastAsia"/>
          <w:b/>
        </w:rPr>
        <w:t>10</w:t>
      </w:r>
      <w:r w:rsidRPr="00A428C3">
        <w:t xml:space="preserve"> (1</w:t>
      </w:r>
      <w:r>
        <w:rPr>
          <w:rFonts w:hint="eastAsia"/>
        </w:rPr>
        <w:t>-2</w:t>
      </w:r>
      <w:r>
        <w:t xml:space="preserve">), </w:t>
      </w:r>
      <w:r w:rsidRPr="00F25CAE">
        <w:rPr>
          <w:kern w:val="0"/>
          <w:szCs w:val="24"/>
        </w:rPr>
        <w:t>1-6</w:t>
      </w:r>
      <w:r w:rsidRPr="00A428C3">
        <w:t>.</w:t>
      </w:r>
    </w:p>
    <w:p w:rsidR="001C35DA" w:rsidRDefault="001C35DA" w:rsidP="001C35DA">
      <w:pPr>
        <w:pStyle w:val="a0"/>
      </w:pPr>
      <w:r>
        <w:rPr>
          <w:rFonts w:hint="eastAsia"/>
        </w:rPr>
        <w:t xml:space="preserve">Full Text: </w:t>
      </w:r>
      <w:hyperlink r:id="rId121" w:history="1">
        <w:r w:rsidRPr="001C35DA">
          <w:rPr>
            <w:rStyle w:val="a5"/>
          </w:rPr>
          <w:t>2007\For Pol Eco10, 1.pdf</w:t>
        </w:r>
      </w:hyperlink>
    </w:p>
    <w:p w:rsidR="001C35DA" w:rsidRDefault="001C35DA" w:rsidP="001C35DA">
      <w:pPr>
        <w:pStyle w:val="a0"/>
        <w:rPr>
          <w:kern w:val="0"/>
          <w:szCs w:val="24"/>
        </w:rPr>
      </w:pPr>
      <w:r w:rsidRPr="00F25CAE">
        <w:rPr>
          <w:kern w:val="0"/>
          <w:szCs w:val="24"/>
        </w:rPr>
        <w:t>Abstract: Amidst surging interest in the policy implications of a hypothetical environmental Kuznets curve</w:t>
      </w:r>
      <w:r>
        <w:rPr>
          <w:kern w:val="0"/>
          <w:szCs w:val="24"/>
        </w:rPr>
        <w:t xml:space="preserve">, </w:t>
      </w:r>
      <w:r w:rsidRPr="00F25CAE">
        <w:rPr>
          <w:kern w:val="0"/>
          <w:szCs w:val="24"/>
        </w:rPr>
        <w:t>a claim has emerged recently arguing that China has entered a later stage of a U-shaped forest resource curve. Using published data for the past two decades</w:t>
      </w:r>
      <w:r>
        <w:rPr>
          <w:kern w:val="0"/>
          <w:szCs w:val="24"/>
        </w:rPr>
        <w:t xml:space="preserve">, </w:t>
      </w:r>
      <w:r w:rsidRPr="00F25CAE">
        <w:rPr>
          <w:kern w:val="0"/>
          <w:szCs w:val="24"/>
        </w:rPr>
        <w:t>we show that there is a lack of empirical evidence supporting that claim. At the level of provinces in China</w:t>
      </w:r>
      <w:r>
        <w:rPr>
          <w:kern w:val="0"/>
          <w:szCs w:val="24"/>
        </w:rPr>
        <w:t xml:space="preserve">, </w:t>
      </w:r>
      <w:r w:rsidRPr="00F25CAE">
        <w:rPr>
          <w:kern w:val="0"/>
          <w:szCs w:val="24"/>
        </w:rPr>
        <w:t>forest cover</w:t>
      </w:r>
      <w:r w:rsidR="00F81221">
        <w:rPr>
          <w:kern w:val="0"/>
          <w:szCs w:val="24"/>
        </w:rPr>
        <w:t xml:space="preserve"> and </w:t>
      </w:r>
      <w:r w:rsidRPr="00F25CAE">
        <w:rPr>
          <w:kern w:val="0"/>
          <w:szCs w:val="24"/>
        </w:rPr>
        <w:t>per capita GDP appear to have a nonlinear</w:t>
      </w:r>
      <w:r>
        <w:rPr>
          <w:kern w:val="0"/>
          <w:szCs w:val="24"/>
        </w:rPr>
        <w:t xml:space="preserve">, </w:t>
      </w:r>
      <w:r w:rsidRPr="00F25CAE">
        <w:rPr>
          <w:kern w:val="0"/>
          <w:szCs w:val="24"/>
        </w:rPr>
        <w:t>positive relationship</w:t>
      </w:r>
      <w:r>
        <w:rPr>
          <w:kern w:val="0"/>
          <w:szCs w:val="24"/>
        </w:rPr>
        <w:t xml:space="preserve">, </w:t>
      </w:r>
      <w:r w:rsidRPr="00F25CAE">
        <w:rPr>
          <w:kern w:val="0"/>
          <w:szCs w:val="24"/>
        </w:rPr>
        <w:t>but regression results do not lend support to the existence of a nicely-behaved U-shaped curve. The findings suggest that policy makers need to be cautious about the statement that a particular jurisdiction is in an advanced stage of forest resources management.</w:t>
      </w:r>
    </w:p>
    <w:p w:rsidR="00B95188" w:rsidRPr="00A428C3" w:rsidRDefault="00B95188" w:rsidP="00B95188">
      <w:pPr>
        <w:pStyle w:val="1"/>
      </w:pPr>
      <w:r w:rsidRPr="00A428C3">
        <w:br w:type="page"/>
      </w:r>
      <w:bookmarkStart w:id="132" w:name="_Toc186647684"/>
      <w:bookmarkStart w:id="133" w:name="_Toc317160856"/>
      <w:r w:rsidRPr="00A428C3">
        <w:lastRenderedPageBreak/>
        <w:t xml:space="preserve">Title: </w:t>
      </w:r>
      <w:smartTag w:uri="urn:schemas-microsoft-com:office:smarttags" w:element="place">
        <w:r w:rsidRPr="00A428C3">
          <w:rPr>
            <w:szCs w:val="19"/>
          </w:rPr>
          <w:t>Forest</w:t>
        </w:r>
      </w:smartTag>
      <w:r w:rsidRPr="00A428C3">
        <w:rPr>
          <w:szCs w:val="19"/>
        </w:rPr>
        <w:t xml:space="preserve"> Products Journal</w:t>
      </w:r>
      <w:bookmarkEnd w:id="132"/>
      <w:bookmarkEnd w:id="133"/>
    </w:p>
    <w:p w:rsidR="00B95188" w:rsidRPr="00A428C3" w:rsidRDefault="00B95188" w:rsidP="00B72EF9">
      <w:pPr>
        <w:pStyle w:val="12"/>
      </w:pPr>
      <w:r w:rsidRPr="00A428C3">
        <w:t xml:space="preserve">Full Journal Title: </w:t>
      </w:r>
      <w:hyperlink r:id="rId122" w:history="1">
        <w:r w:rsidRPr="00A428C3">
          <w:rPr>
            <w:rStyle w:val="a5"/>
          </w:rPr>
          <w:t>Forest Products Journal</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Language:</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Impact Factor </w:t>
      </w:r>
    </w:p>
    <w:p w:rsidR="00B95188" w:rsidRPr="00A428C3" w:rsidRDefault="00B95188" w:rsidP="00B95188">
      <w:pPr>
        <w:pStyle w:val="a0"/>
      </w:pPr>
      <w:r w:rsidRPr="00A428C3">
        <w:t>? Han, J.S., Min, S.H.</w:t>
      </w:r>
      <w:r w:rsidR="00F81221">
        <w:t xml:space="preserve"> and </w:t>
      </w:r>
      <w:r w:rsidRPr="00A428C3">
        <w:t xml:space="preserve">Kim, Y.K. (2005), Removal of phosphorus using AMD-treated lignocellulosic material. </w:t>
      </w:r>
      <w:smartTag w:uri="urn:schemas-microsoft-com:office:smarttags" w:element="place">
        <w:r w:rsidRPr="00A428C3">
          <w:rPr>
            <w:i/>
          </w:rPr>
          <w:t>Forest</w:t>
        </w:r>
      </w:smartTag>
      <w:r w:rsidRPr="00A428C3">
        <w:rPr>
          <w:i/>
        </w:rPr>
        <w:t xml:space="preserve"> Products Journal</w:t>
      </w:r>
      <w:r w:rsidRPr="00A428C3">
        <w:t xml:space="preserve">, </w:t>
      </w:r>
      <w:r w:rsidRPr="00A428C3">
        <w:rPr>
          <w:b/>
        </w:rPr>
        <w:t>55</w:t>
      </w:r>
      <w:r w:rsidRPr="00A428C3">
        <w:t xml:space="preserve"> (11), 48-53.</w:t>
      </w:r>
    </w:p>
    <w:p w:rsidR="00B95188" w:rsidRPr="00A428C3" w:rsidRDefault="00B95188" w:rsidP="00B95188">
      <w:pPr>
        <w:pStyle w:val="a0"/>
      </w:pPr>
      <w:r w:rsidRPr="00A428C3">
        <w:t>Abstract: Excess nutrients, including phosphorus, can cause eutrophication in surface water</w:t>
      </w:r>
      <w:r w:rsidR="00F81221">
        <w:t xml:space="preserve"> and </w:t>
      </w:r>
      <w:r w:rsidRPr="00A428C3">
        <w:t>reservoirs. We tested the phosphate removal capacity of juniper fiber through isotherm, kinetic, column,</w:t>
      </w:r>
      <w:r w:rsidR="00F81221">
        <w:t xml:space="preserve"> and </w:t>
      </w:r>
      <w:r w:rsidRPr="00A428C3">
        <w:t>field tests. Heavy metals from an acid mine drainage (AMD) site were precipitated on the surface of jumper fiber. The modified fiber was tested in laboratory-scaled batch</w:t>
      </w:r>
      <w:r w:rsidR="00F81221">
        <w:t xml:space="preserve"> and </w:t>
      </w:r>
      <w:r w:rsidRPr="00A428C3">
        <w:t>column tests. Elemental analysis showed that soluble iron species deposited on the modified fiber acted as an inorganic adsorbent for anions; sorption capacity of this juniper fiber was higher than that of other conventional adsorbents. A pseudo second-order kinetic model fitted well for sorption of phosphorus onto the modified medium. The modified lignocellulosic material was used to remove phosphorus from wastewater from two dairy farms in the Catskill/Delaware watershed. The fiber was installed inside a filter box, forming a nonwoven mat. Phosphorus removal efficiency of the material was about 41 percent at 59 mg/L of influent phosphorus concentration.</w:t>
      </w:r>
    </w:p>
    <w:p w:rsidR="00B95188" w:rsidRPr="00A428C3" w:rsidRDefault="00B95188" w:rsidP="00B95188">
      <w:pPr>
        <w:pStyle w:val="a0"/>
      </w:pPr>
      <w:r w:rsidRPr="00A428C3">
        <w:t>Keywords: Waste-Water, Phosphate, Adsorption, Iron, Exchangers, Kinetics, Sorbent, Binding, Ni(II), Ions</w:t>
      </w:r>
    </w:p>
    <w:p w:rsidR="00171077" w:rsidRPr="00217FB1" w:rsidRDefault="00171077" w:rsidP="00171077">
      <w:pPr>
        <w:pStyle w:val="1"/>
      </w:pPr>
      <w:r w:rsidRPr="00217FB1">
        <w:br w:type="page"/>
      </w:r>
      <w:bookmarkStart w:id="134" w:name="_Toc317160857"/>
      <w:r w:rsidRPr="00217FB1">
        <w:lastRenderedPageBreak/>
        <w:t xml:space="preserve">Title: </w:t>
      </w:r>
      <w:r w:rsidRPr="00171077">
        <w:rPr>
          <w:szCs w:val="24"/>
        </w:rPr>
        <w:t>Forestry Chronicle</w:t>
      </w:r>
      <w:bookmarkEnd w:id="134"/>
    </w:p>
    <w:p w:rsidR="00171077" w:rsidRPr="00217FB1" w:rsidRDefault="00171077" w:rsidP="00171077">
      <w:pPr>
        <w:pStyle w:val="12"/>
      </w:pPr>
      <w:r w:rsidRPr="00217FB1">
        <w:t xml:space="preserve">Full Journal Title: </w:t>
      </w:r>
      <w:r w:rsidRPr="002E016E">
        <w:t>Forestry Chronicle</w:t>
      </w:r>
    </w:p>
    <w:p w:rsidR="00171077" w:rsidRPr="00217FB1" w:rsidRDefault="00171077" w:rsidP="00171077">
      <w:pPr>
        <w:pStyle w:val="12"/>
      </w:pPr>
      <w:r w:rsidRPr="00217FB1">
        <w:t xml:space="preserve">ISO Abbreviated Title: </w:t>
      </w:r>
    </w:p>
    <w:p w:rsidR="00171077" w:rsidRPr="00217FB1" w:rsidRDefault="00171077" w:rsidP="00171077">
      <w:pPr>
        <w:pStyle w:val="12"/>
      </w:pPr>
      <w:r w:rsidRPr="00217FB1">
        <w:t>JCR Abbreviated Title</w:t>
      </w:r>
      <w:r>
        <w:t>:</w:t>
      </w:r>
      <w:r w:rsidRPr="00217FB1">
        <w:t xml:space="preserve"> </w:t>
      </w:r>
    </w:p>
    <w:p w:rsidR="00171077" w:rsidRPr="00217FB1" w:rsidRDefault="00171077" w:rsidP="00171077">
      <w:pPr>
        <w:pStyle w:val="12"/>
      </w:pPr>
      <w:r w:rsidRPr="00217FB1">
        <w:t xml:space="preserve">ISSN: </w:t>
      </w:r>
      <w:r w:rsidR="002E016E" w:rsidRPr="002E016E">
        <w:t>0015-7546</w:t>
      </w:r>
    </w:p>
    <w:p w:rsidR="00171077" w:rsidRPr="00217FB1" w:rsidRDefault="00171077" w:rsidP="00171077">
      <w:pPr>
        <w:pStyle w:val="12"/>
      </w:pPr>
      <w:r w:rsidRPr="00217FB1">
        <w:t xml:space="preserve">Issues/Year: </w:t>
      </w:r>
    </w:p>
    <w:p w:rsidR="00171077" w:rsidRPr="00217FB1" w:rsidRDefault="00171077" w:rsidP="00171077">
      <w:pPr>
        <w:pStyle w:val="12"/>
      </w:pPr>
      <w:r>
        <w:t xml:space="preserve">Journal Country/Territory: </w:t>
      </w:r>
    </w:p>
    <w:p w:rsidR="00171077" w:rsidRPr="00217FB1" w:rsidRDefault="00171077" w:rsidP="00171077">
      <w:pPr>
        <w:pStyle w:val="12"/>
      </w:pPr>
      <w:r w:rsidRPr="00217FB1">
        <w:t>Language:</w:t>
      </w:r>
    </w:p>
    <w:p w:rsidR="00171077" w:rsidRPr="00217FB1" w:rsidRDefault="00171077" w:rsidP="00171077">
      <w:pPr>
        <w:pStyle w:val="12"/>
      </w:pPr>
      <w:r w:rsidRPr="00217FB1">
        <w:t xml:space="preserve">Publisher: </w:t>
      </w:r>
    </w:p>
    <w:p w:rsidR="00171077" w:rsidRPr="00217FB1" w:rsidRDefault="00171077" w:rsidP="00171077">
      <w:pPr>
        <w:pStyle w:val="12"/>
      </w:pPr>
      <w:r w:rsidRPr="00217FB1">
        <w:t xml:space="preserve">Publisher Address: </w:t>
      </w:r>
    </w:p>
    <w:p w:rsidR="00171077" w:rsidRPr="00217FB1" w:rsidRDefault="00171077" w:rsidP="00171077">
      <w:pPr>
        <w:pStyle w:val="12"/>
      </w:pPr>
      <w:r w:rsidRPr="00217FB1">
        <w:t>Subject Categories:</w:t>
      </w:r>
    </w:p>
    <w:p w:rsidR="00171077" w:rsidRPr="00217FB1" w:rsidRDefault="00171077" w:rsidP="00171077">
      <w:pPr>
        <w:pStyle w:val="12"/>
      </w:pPr>
      <w:r w:rsidRPr="00217FB1">
        <w:t xml:space="preserve">: Impact Factor </w:t>
      </w:r>
    </w:p>
    <w:p w:rsidR="00171077" w:rsidRDefault="00171077" w:rsidP="00171077">
      <w:pPr>
        <w:pStyle w:val="a0"/>
        <w:rPr>
          <w:kern w:val="0"/>
          <w:szCs w:val="24"/>
        </w:rPr>
      </w:pPr>
      <w:r w:rsidRPr="00F621CE">
        <w:t xml:space="preserve">? </w:t>
      </w:r>
      <w:r w:rsidRPr="00171077">
        <w:rPr>
          <w:kern w:val="0"/>
          <w:szCs w:val="24"/>
        </w:rPr>
        <w:t>Chancey</w:t>
      </w:r>
      <w:r>
        <w:rPr>
          <w:rFonts w:hint="eastAsia"/>
          <w:kern w:val="0"/>
          <w:szCs w:val="24"/>
        </w:rPr>
        <w:t>,</w:t>
      </w:r>
      <w:r w:rsidRPr="00171077">
        <w:rPr>
          <w:kern w:val="0"/>
          <w:szCs w:val="24"/>
        </w:rPr>
        <w:t xml:space="preserve"> H</w:t>
      </w:r>
      <w:r>
        <w:rPr>
          <w:rFonts w:hint="eastAsia"/>
          <w:kern w:val="0"/>
          <w:szCs w:val="24"/>
        </w:rPr>
        <w:t>.</w:t>
      </w:r>
      <w:r w:rsidRPr="00171077">
        <w:rPr>
          <w:kern w:val="0"/>
          <w:szCs w:val="24"/>
        </w:rPr>
        <w:t>W</w:t>
      </w:r>
      <w:r>
        <w:rPr>
          <w:rFonts w:hint="eastAsia"/>
          <w:kern w:val="0"/>
          <w:szCs w:val="24"/>
        </w:rPr>
        <w:t>.</w:t>
      </w:r>
      <w:r w:rsidRPr="00171077">
        <w:rPr>
          <w:kern w:val="0"/>
          <w:szCs w:val="24"/>
        </w:rPr>
        <w:t>R</w:t>
      </w:r>
      <w:r>
        <w:rPr>
          <w:rFonts w:hint="eastAsia"/>
          <w:kern w:val="0"/>
          <w:szCs w:val="24"/>
        </w:rPr>
        <w:t>.</w:t>
      </w:r>
      <w:r>
        <w:rPr>
          <w:kern w:val="0"/>
          <w:szCs w:val="24"/>
        </w:rPr>
        <w:t xml:space="preserve"> (</w:t>
      </w:r>
      <w:r>
        <w:rPr>
          <w:rFonts w:hint="eastAsia"/>
          <w:kern w:val="0"/>
          <w:szCs w:val="24"/>
        </w:rPr>
        <w:t>1968</w:t>
      </w:r>
      <w:r>
        <w:rPr>
          <w:kern w:val="0"/>
          <w:szCs w:val="24"/>
        </w:rPr>
        <w:t xml:space="preserve">), </w:t>
      </w:r>
      <w:r w:rsidRPr="00171077">
        <w:rPr>
          <w:kern w:val="0"/>
          <w:szCs w:val="24"/>
        </w:rPr>
        <w:t>Use of peatlands in forestry</w:t>
      </w:r>
      <w:r w:rsidR="00F81221">
        <w:rPr>
          <w:kern w:val="0"/>
          <w:szCs w:val="24"/>
        </w:rPr>
        <w:t xml:space="preserve"> and </w:t>
      </w:r>
      <w:r w:rsidRPr="00171077">
        <w:rPr>
          <w:kern w:val="0"/>
          <w:szCs w:val="24"/>
        </w:rPr>
        <w:t>agriculture</w:t>
      </w:r>
      <w:r>
        <w:rPr>
          <w:kern w:val="0"/>
          <w:szCs w:val="24"/>
        </w:rPr>
        <w:t xml:space="preserve">. </w:t>
      </w:r>
      <w:r w:rsidRPr="00171077">
        <w:rPr>
          <w:i/>
          <w:kern w:val="0"/>
          <w:szCs w:val="24"/>
        </w:rPr>
        <w:t>Forestry Chronicle</w:t>
      </w:r>
      <w:r>
        <w:rPr>
          <w:kern w:val="0"/>
          <w:szCs w:val="24"/>
        </w:rPr>
        <w:t xml:space="preserve">, </w:t>
      </w:r>
      <w:r>
        <w:rPr>
          <w:rFonts w:hint="eastAsia"/>
          <w:b/>
          <w:bCs/>
          <w:kern w:val="0"/>
          <w:szCs w:val="24"/>
        </w:rPr>
        <w:t>44</w:t>
      </w:r>
      <w:r>
        <w:rPr>
          <w:kern w:val="0"/>
          <w:szCs w:val="24"/>
        </w:rPr>
        <w:t xml:space="preserve"> (</w:t>
      </w:r>
      <w:r>
        <w:rPr>
          <w:rFonts w:hint="eastAsia"/>
          <w:kern w:val="0"/>
          <w:szCs w:val="24"/>
        </w:rPr>
        <w:t>6</w:t>
      </w:r>
      <w:r>
        <w:rPr>
          <w:kern w:val="0"/>
          <w:szCs w:val="24"/>
        </w:rPr>
        <w:t xml:space="preserve">), </w:t>
      </w:r>
      <w:r>
        <w:rPr>
          <w:rFonts w:hint="eastAsia"/>
          <w:kern w:val="0"/>
          <w:szCs w:val="24"/>
        </w:rPr>
        <w:t>40</w:t>
      </w:r>
      <w:r>
        <w:rPr>
          <w:kern w:val="0"/>
          <w:szCs w:val="24"/>
        </w:rPr>
        <w:t>-</w:t>
      </w:r>
      <w:r>
        <w:rPr>
          <w:rFonts w:hint="eastAsia"/>
          <w:kern w:val="0"/>
          <w:szCs w:val="24"/>
        </w:rPr>
        <w:t>??</w:t>
      </w:r>
      <w:r>
        <w:rPr>
          <w:kern w:val="0"/>
          <w:szCs w:val="24"/>
        </w:rPr>
        <w:t>.</w:t>
      </w:r>
    </w:p>
    <w:p w:rsidR="00171077" w:rsidRDefault="00171077" w:rsidP="00171077">
      <w:pPr>
        <w:pStyle w:val="a0"/>
        <w:rPr>
          <w:kern w:val="0"/>
          <w:szCs w:val="24"/>
        </w:rPr>
      </w:pPr>
      <w:r>
        <w:rPr>
          <w:rFonts w:hint="eastAsia"/>
          <w:kern w:val="0"/>
          <w:szCs w:val="24"/>
        </w:rPr>
        <w:t xml:space="preserve">Full Text: </w:t>
      </w:r>
      <w:r>
        <w:rPr>
          <w:kern w:val="0"/>
          <w:szCs w:val="24"/>
        </w:rPr>
        <w:t>For Chr</w:t>
      </w:r>
      <w:r w:rsidRPr="00171077">
        <w:rPr>
          <w:rFonts w:hint="eastAsia"/>
          <w:bCs/>
          <w:kern w:val="0"/>
          <w:szCs w:val="24"/>
        </w:rPr>
        <w:t>44</w:t>
      </w:r>
      <w:r>
        <w:rPr>
          <w:kern w:val="0"/>
          <w:szCs w:val="24"/>
        </w:rPr>
        <w:t xml:space="preserve">, </w:t>
      </w:r>
      <w:r>
        <w:rPr>
          <w:rFonts w:hint="eastAsia"/>
          <w:kern w:val="0"/>
          <w:szCs w:val="24"/>
        </w:rPr>
        <w:t>40.pdf</w:t>
      </w:r>
    </w:p>
    <w:p w:rsidR="00183B79" w:rsidRDefault="00183B79" w:rsidP="00183B79">
      <w:pPr>
        <w:pStyle w:val="a0"/>
        <w:rPr>
          <w:kern w:val="0"/>
        </w:rPr>
      </w:pPr>
      <w:r>
        <w:rPr>
          <w:rFonts w:hint="eastAsia"/>
          <w:kern w:val="0"/>
        </w:rPr>
        <w:t xml:space="preserve">? </w:t>
      </w:r>
      <w:r>
        <w:rPr>
          <w:kern w:val="0"/>
        </w:rPr>
        <w:t>Cheveau, M., Imbeau, L., Drapeau, P.</w:t>
      </w:r>
      <w:r w:rsidR="00F81221">
        <w:rPr>
          <w:kern w:val="0"/>
        </w:rPr>
        <w:t xml:space="preserve"> and </w:t>
      </w:r>
      <w:r>
        <w:rPr>
          <w:kern w:val="0"/>
        </w:rPr>
        <w:t>Belanger, L. (2008), Current status</w:t>
      </w:r>
      <w:r w:rsidR="00F81221">
        <w:rPr>
          <w:kern w:val="0"/>
        </w:rPr>
        <w:t xml:space="preserve"> and </w:t>
      </w:r>
      <w:r>
        <w:rPr>
          <w:kern w:val="0"/>
        </w:rPr>
        <w:t xml:space="preserve">future directions of traditional ecological knowledge in forest management: A review. </w:t>
      </w:r>
      <w:r>
        <w:rPr>
          <w:i/>
          <w:iCs/>
          <w:kern w:val="0"/>
        </w:rPr>
        <w:t>Forestry Chronicle</w:t>
      </w:r>
      <w:r>
        <w:rPr>
          <w:kern w:val="0"/>
        </w:rPr>
        <w:t xml:space="preserve">, </w:t>
      </w:r>
      <w:r>
        <w:rPr>
          <w:b/>
          <w:bCs/>
          <w:kern w:val="0"/>
        </w:rPr>
        <w:t>84</w:t>
      </w:r>
      <w:r>
        <w:rPr>
          <w:kern w:val="0"/>
        </w:rPr>
        <w:t xml:space="preserve"> (2), 231-243.</w:t>
      </w:r>
    </w:p>
    <w:p w:rsidR="00183B79" w:rsidRDefault="00183B79" w:rsidP="00183B79">
      <w:pPr>
        <w:pStyle w:val="a0"/>
        <w:rPr>
          <w:kern w:val="0"/>
          <w:szCs w:val="24"/>
        </w:rPr>
      </w:pPr>
      <w:r>
        <w:rPr>
          <w:rFonts w:hint="eastAsia"/>
          <w:kern w:val="0"/>
          <w:szCs w:val="24"/>
        </w:rPr>
        <w:t xml:space="preserve">Full Text: </w:t>
      </w:r>
      <w:hyperlink r:id="rId123" w:history="1">
        <w:r w:rsidRPr="00183B79">
          <w:rPr>
            <w:rStyle w:val="a5"/>
            <w:kern w:val="0"/>
            <w:szCs w:val="24"/>
          </w:rPr>
          <w:t>2008\For Chr84, 231.pdf</w:t>
        </w:r>
      </w:hyperlink>
    </w:p>
    <w:p w:rsidR="00183B79" w:rsidRDefault="00183B79" w:rsidP="00183B79">
      <w:pPr>
        <w:pStyle w:val="a0"/>
        <w:rPr>
          <w:kern w:val="0"/>
        </w:rPr>
      </w:pPr>
      <w:r>
        <w:rPr>
          <w:kern w:val="0"/>
        </w:rPr>
        <w:t>Abstract: In the last 25 years, the number of published studies that refer to traditional ecological knowledge (TEK) has constantly increased, with now more than 200 papers published each year. The objective of this review was to determine how this knowledge is used in current forest management around the world,</w:t>
      </w:r>
      <w:r w:rsidR="00F81221">
        <w:rPr>
          <w:kern w:val="0"/>
        </w:rPr>
        <w:t xml:space="preserve"> and </w:t>
      </w:r>
      <w:r>
        <w:rPr>
          <w:kern w:val="0"/>
        </w:rPr>
        <w:t>how local communities are involved in forest management planning. Published papers from 1983 to 2005 relating to TEK were found using the ISI Web of Science database. Despite the growing amount of literature published on TEK, we found only 21 studies that specifically address forest management per se. In these studies, TEK integration took different paths: using traditional management rules as a framework (five studies), using value maps to adapt practices in time</w:t>
      </w:r>
      <w:r w:rsidR="00F81221">
        <w:rPr>
          <w:kern w:val="0"/>
        </w:rPr>
        <w:t xml:space="preserve"> and </w:t>
      </w:r>
      <w:r>
        <w:rPr>
          <w:kern w:val="0"/>
        </w:rPr>
        <w:t xml:space="preserve">space (three studies), or by a zoning process that divides the land into areas in which different land uses are emphasized (six studies). Some community involvements are </w:t>
      </w:r>
      <w:r w:rsidR="000352E7">
        <w:rPr>
          <w:kern w:val="0"/>
        </w:rPr>
        <w:t>“</w:t>
      </w:r>
      <w:r>
        <w:rPr>
          <w:kern w:val="0"/>
        </w:rPr>
        <w:t>active</w:t>
      </w:r>
      <w:r w:rsidR="000352E7">
        <w:rPr>
          <w:kern w:val="0"/>
        </w:rPr>
        <w:t>”</w:t>
      </w:r>
      <w:r>
        <w:rPr>
          <w:kern w:val="0"/>
        </w:rPr>
        <w:t xml:space="preserve"> with co-management committees composed of stakeholders (including community members), each having a voice; some are </w:t>
      </w:r>
      <w:r w:rsidR="000352E7">
        <w:rPr>
          <w:kern w:val="0"/>
        </w:rPr>
        <w:t>“</w:t>
      </w:r>
      <w:r>
        <w:rPr>
          <w:kern w:val="0"/>
        </w:rPr>
        <w:t>passive</w:t>
      </w:r>
      <w:r w:rsidR="000352E7">
        <w:rPr>
          <w:kern w:val="0"/>
        </w:rPr>
        <w:t>”</w:t>
      </w:r>
      <w:r>
        <w:rPr>
          <w:kern w:val="0"/>
        </w:rPr>
        <w:t xml:space="preserve"> with external managers using criteria</w:t>
      </w:r>
      <w:r w:rsidR="00F81221">
        <w:rPr>
          <w:kern w:val="0"/>
        </w:rPr>
        <w:t xml:space="preserve"> and </w:t>
      </w:r>
      <w:r>
        <w:rPr>
          <w:kern w:val="0"/>
        </w:rPr>
        <w:t>indicators previously developed from community values</w:t>
      </w:r>
      <w:r w:rsidR="00F81221">
        <w:rPr>
          <w:kern w:val="0"/>
        </w:rPr>
        <w:t xml:space="preserve"> and </w:t>
      </w:r>
      <w:r>
        <w:rPr>
          <w:kern w:val="0"/>
        </w:rPr>
        <w:t>objectives. Although important changes in mentality</w:t>
      </w:r>
      <w:r w:rsidR="00F81221">
        <w:rPr>
          <w:kern w:val="0"/>
        </w:rPr>
        <w:t xml:space="preserve"> and </w:t>
      </w:r>
      <w:r>
        <w:rPr>
          <w:kern w:val="0"/>
        </w:rPr>
        <w:t>firm political decisions are still required before more efficient partnership between TEK</w:t>
      </w:r>
      <w:r w:rsidR="00F81221">
        <w:rPr>
          <w:kern w:val="0"/>
        </w:rPr>
        <w:t xml:space="preserve"> and </w:t>
      </w:r>
      <w:r>
        <w:rPr>
          <w:kern w:val="0"/>
        </w:rPr>
        <w:t xml:space="preserve">western science is reached in forest management planning, our review showed that Canadian initiatives </w:t>
      </w:r>
      <w:r>
        <w:rPr>
          <w:kern w:val="0"/>
        </w:rPr>
        <w:lastRenderedPageBreak/>
        <w:t>proposed promising processes that could ensure better TEK incorporation</w:t>
      </w:r>
      <w:r w:rsidR="00F81221">
        <w:rPr>
          <w:kern w:val="0"/>
        </w:rPr>
        <w:t xml:space="preserve"> and </w:t>
      </w:r>
      <w:r>
        <w:rPr>
          <w:kern w:val="0"/>
        </w:rPr>
        <w:t>improved community participation.</w:t>
      </w:r>
    </w:p>
    <w:p w:rsidR="00183B79" w:rsidRDefault="00183B79" w:rsidP="00183B79">
      <w:pPr>
        <w:pStyle w:val="a0"/>
        <w:rPr>
          <w:kern w:val="0"/>
        </w:rPr>
      </w:pPr>
      <w:r>
        <w:rPr>
          <w:kern w:val="0"/>
        </w:rPr>
        <w:t>Keywords: Araucaria-Araucana Forest, Challenges, Community Participation, Ethnobotany, Expert Knowledge, First Nations, Forest Management Planning, Indicators, Indigenous Knowledge, ISI, Knowledge, Land-Use, Literature, Management, Midzichenda Tribes, Papers, Plant Uses, Resource-Management, Review, Science, Sustainable Forest Management, Tek, Traditional, Traditional Ecological Knowledge, Web of Science</w:t>
      </w:r>
    </w:p>
    <w:p w:rsidR="00CB110A" w:rsidRPr="00217FB1" w:rsidRDefault="00CB110A" w:rsidP="00CB110A">
      <w:pPr>
        <w:pStyle w:val="1"/>
      </w:pPr>
      <w:r w:rsidRPr="00217FB1">
        <w:br w:type="page"/>
      </w:r>
      <w:bookmarkStart w:id="135" w:name="_Toc317160858"/>
      <w:r w:rsidRPr="00217FB1">
        <w:lastRenderedPageBreak/>
        <w:t xml:space="preserve">Title: </w:t>
      </w:r>
      <w:r w:rsidRPr="00CB110A">
        <w:rPr>
          <w:szCs w:val="24"/>
        </w:rPr>
        <w:t>Forpride Digest</w:t>
      </w:r>
      <w:bookmarkEnd w:id="135"/>
    </w:p>
    <w:p w:rsidR="00CB110A" w:rsidRDefault="00CB110A" w:rsidP="00CB110A">
      <w:pPr>
        <w:pStyle w:val="12"/>
      </w:pPr>
      <w:r w:rsidRPr="00217FB1">
        <w:t xml:space="preserve">Full Journal Title: </w:t>
      </w:r>
      <w:r w:rsidRPr="00CB110A">
        <w:t>Forpride Digest</w:t>
      </w:r>
    </w:p>
    <w:p w:rsidR="00CB110A" w:rsidRPr="00217FB1" w:rsidRDefault="00CB110A" w:rsidP="00CB110A">
      <w:pPr>
        <w:pStyle w:val="12"/>
      </w:pPr>
      <w:r w:rsidRPr="00217FB1">
        <w:t xml:space="preserve">ISO Abbreviated Title: </w:t>
      </w:r>
    </w:p>
    <w:p w:rsidR="00CB110A" w:rsidRPr="00217FB1" w:rsidRDefault="00CB110A" w:rsidP="00CB110A">
      <w:pPr>
        <w:pStyle w:val="12"/>
      </w:pPr>
      <w:r w:rsidRPr="00217FB1">
        <w:t>JCR Abbreviated Title</w:t>
      </w:r>
      <w:r>
        <w:t>:</w:t>
      </w:r>
      <w:r w:rsidRPr="00217FB1">
        <w:t xml:space="preserve"> </w:t>
      </w:r>
    </w:p>
    <w:p w:rsidR="00CB110A" w:rsidRPr="00217FB1" w:rsidRDefault="00CB110A" w:rsidP="00CB110A">
      <w:pPr>
        <w:pStyle w:val="12"/>
      </w:pPr>
      <w:r w:rsidRPr="00217FB1">
        <w:t xml:space="preserve">ISSN: </w:t>
      </w:r>
    </w:p>
    <w:p w:rsidR="00CB110A" w:rsidRPr="00217FB1" w:rsidRDefault="00CB110A" w:rsidP="00CB110A">
      <w:pPr>
        <w:pStyle w:val="12"/>
      </w:pPr>
      <w:r w:rsidRPr="00217FB1">
        <w:t xml:space="preserve">Issues/Year: </w:t>
      </w:r>
    </w:p>
    <w:p w:rsidR="00CB110A" w:rsidRPr="00217FB1" w:rsidRDefault="00CB110A" w:rsidP="00CB110A">
      <w:pPr>
        <w:pStyle w:val="12"/>
      </w:pPr>
      <w:r>
        <w:t xml:space="preserve">Journal Country/Territory: </w:t>
      </w:r>
    </w:p>
    <w:p w:rsidR="00CB110A" w:rsidRPr="00217FB1" w:rsidRDefault="00CB110A" w:rsidP="00CB110A">
      <w:pPr>
        <w:pStyle w:val="12"/>
      </w:pPr>
      <w:r w:rsidRPr="00217FB1">
        <w:t>Language:</w:t>
      </w:r>
    </w:p>
    <w:p w:rsidR="00CB110A" w:rsidRPr="00217FB1" w:rsidRDefault="00CB110A" w:rsidP="00CB110A">
      <w:pPr>
        <w:pStyle w:val="12"/>
      </w:pPr>
      <w:r w:rsidRPr="00217FB1">
        <w:t xml:space="preserve">Publisher: </w:t>
      </w:r>
    </w:p>
    <w:p w:rsidR="00CB110A" w:rsidRPr="00217FB1" w:rsidRDefault="00CB110A" w:rsidP="00CB110A">
      <w:pPr>
        <w:pStyle w:val="12"/>
      </w:pPr>
      <w:r w:rsidRPr="00217FB1">
        <w:t xml:space="preserve">Publisher Address: </w:t>
      </w:r>
    </w:p>
    <w:p w:rsidR="00CB110A" w:rsidRPr="00217FB1" w:rsidRDefault="00CB110A" w:rsidP="00CB110A">
      <w:pPr>
        <w:pStyle w:val="12"/>
      </w:pPr>
      <w:r w:rsidRPr="00217FB1">
        <w:t>Subject Categories:</w:t>
      </w:r>
    </w:p>
    <w:p w:rsidR="00CB110A" w:rsidRPr="00217FB1" w:rsidRDefault="00CB110A" w:rsidP="00CB110A">
      <w:pPr>
        <w:pStyle w:val="12"/>
      </w:pPr>
      <w:r w:rsidRPr="00217FB1">
        <w:t xml:space="preserve">: Impact Factor </w:t>
      </w:r>
    </w:p>
    <w:p w:rsidR="00CB110A" w:rsidRDefault="00CB110A" w:rsidP="00CB110A">
      <w:pPr>
        <w:pStyle w:val="a0"/>
        <w:rPr>
          <w:kern w:val="0"/>
          <w:szCs w:val="24"/>
        </w:rPr>
      </w:pPr>
      <w:r>
        <w:rPr>
          <w:rFonts w:hint="eastAsia"/>
          <w:kern w:val="0"/>
          <w:szCs w:val="24"/>
        </w:rPr>
        <w:t xml:space="preserve">? </w:t>
      </w:r>
      <w:r>
        <w:rPr>
          <w:kern w:val="0"/>
          <w:szCs w:val="24"/>
        </w:rPr>
        <w:t>Laxamana, N.</w:t>
      </w:r>
      <w:r w:rsidRPr="00CB110A">
        <w:rPr>
          <w:kern w:val="0"/>
          <w:szCs w:val="24"/>
        </w:rPr>
        <w:t>B.</w:t>
      </w:r>
      <w:r>
        <w:rPr>
          <w:kern w:val="0"/>
          <w:szCs w:val="24"/>
        </w:rPr>
        <w:t xml:space="preserve"> (</w:t>
      </w:r>
      <w:r>
        <w:rPr>
          <w:rFonts w:hint="eastAsia"/>
          <w:kern w:val="0"/>
          <w:szCs w:val="24"/>
        </w:rPr>
        <w:t>1981</w:t>
      </w:r>
      <w:r>
        <w:rPr>
          <w:kern w:val="0"/>
          <w:szCs w:val="24"/>
        </w:rPr>
        <w:t xml:space="preserve">), </w:t>
      </w:r>
      <w:r w:rsidRPr="00CB110A">
        <w:rPr>
          <w:kern w:val="0"/>
          <w:szCs w:val="24"/>
        </w:rPr>
        <w:t>Evaluation of experimental activated Philippine wood and non-wood charcoals employing iodine adsorption</w:t>
      </w:r>
      <w:r>
        <w:rPr>
          <w:kern w:val="0"/>
          <w:szCs w:val="24"/>
        </w:rPr>
        <w:t xml:space="preserve">. </w:t>
      </w:r>
      <w:r w:rsidRPr="00CB110A">
        <w:rPr>
          <w:i/>
          <w:kern w:val="0"/>
          <w:szCs w:val="24"/>
        </w:rPr>
        <w:t>Forpride Digest</w:t>
      </w:r>
      <w:r>
        <w:rPr>
          <w:kern w:val="0"/>
          <w:szCs w:val="24"/>
        </w:rPr>
        <w:t xml:space="preserve">, </w:t>
      </w:r>
      <w:r>
        <w:rPr>
          <w:b/>
          <w:bCs/>
          <w:kern w:val="0"/>
          <w:szCs w:val="24"/>
        </w:rPr>
        <w:t>1</w:t>
      </w:r>
      <w:r>
        <w:rPr>
          <w:rFonts w:hint="eastAsia"/>
          <w:b/>
          <w:bCs/>
          <w:kern w:val="0"/>
          <w:szCs w:val="24"/>
        </w:rPr>
        <w:t>0</w:t>
      </w:r>
      <w:r>
        <w:rPr>
          <w:kern w:val="0"/>
          <w:szCs w:val="24"/>
        </w:rPr>
        <w:t xml:space="preserve"> (3</w:t>
      </w:r>
      <w:r>
        <w:rPr>
          <w:rFonts w:hint="eastAsia"/>
          <w:kern w:val="0"/>
          <w:szCs w:val="24"/>
        </w:rPr>
        <w:t>/4</w:t>
      </w:r>
      <w:r>
        <w:rPr>
          <w:kern w:val="0"/>
          <w:szCs w:val="24"/>
        </w:rPr>
        <w:t xml:space="preserve">), </w:t>
      </w:r>
      <w:r w:rsidRPr="00CB110A">
        <w:rPr>
          <w:kern w:val="0"/>
          <w:szCs w:val="24"/>
        </w:rPr>
        <w:t>7-12</w:t>
      </w:r>
      <w:r>
        <w:rPr>
          <w:kern w:val="0"/>
          <w:szCs w:val="24"/>
        </w:rPr>
        <w:t>.</w:t>
      </w:r>
    </w:p>
    <w:p w:rsidR="00CB110A" w:rsidRDefault="00CB110A" w:rsidP="00CB110A">
      <w:pPr>
        <w:pStyle w:val="a0"/>
        <w:rPr>
          <w:kern w:val="0"/>
          <w:szCs w:val="24"/>
        </w:rPr>
      </w:pPr>
      <w:r>
        <w:rPr>
          <w:rFonts w:hint="eastAsia"/>
          <w:kern w:val="0"/>
          <w:szCs w:val="24"/>
        </w:rPr>
        <w:t>Full Text</w:t>
      </w:r>
      <w:r>
        <w:rPr>
          <w:kern w:val="0"/>
          <w:szCs w:val="24"/>
        </w:rPr>
        <w:t xml:space="preserve">: </w:t>
      </w:r>
      <w:r>
        <w:rPr>
          <w:rFonts w:hint="eastAsia"/>
          <w:kern w:val="0"/>
          <w:szCs w:val="24"/>
        </w:rPr>
        <w:t>1981\For Dig</w:t>
      </w:r>
      <w:r w:rsidRPr="00230EB8">
        <w:rPr>
          <w:bCs/>
          <w:kern w:val="0"/>
          <w:szCs w:val="24"/>
        </w:rPr>
        <w:t>1</w:t>
      </w:r>
      <w:r>
        <w:rPr>
          <w:rFonts w:hint="eastAsia"/>
          <w:bCs/>
          <w:kern w:val="0"/>
          <w:szCs w:val="24"/>
        </w:rPr>
        <w:t>0</w:t>
      </w:r>
      <w:r>
        <w:rPr>
          <w:kern w:val="0"/>
          <w:szCs w:val="24"/>
        </w:rPr>
        <w:t xml:space="preserve">, </w:t>
      </w:r>
      <w:r>
        <w:rPr>
          <w:rFonts w:hint="eastAsia"/>
          <w:kern w:val="0"/>
          <w:szCs w:val="24"/>
        </w:rPr>
        <w:t>7.pdf</w:t>
      </w:r>
    </w:p>
    <w:p w:rsidR="00CB110A" w:rsidRDefault="00CB110A" w:rsidP="00CB110A">
      <w:pPr>
        <w:pStyle w:val="a0"/>
        <w:rPr>
          <w:kern w:val="0"/>
          <w:szCs w:val="24"/>
        </w:rPr>
      </w:pPr>
      <w:r w:rsidRPr="00CB110A">
        <w:rPr>
          <w:kern w:val="0"/>
          <w:szCs w:val="24"/>
        </w:rPr>
        <w:t xml:space="preserve">Abstract: Charcoal from 8 timber species and from coconut trunk sawdust was activated by (a) the ZnCl2 and (b) the high-temp. heat method, and activated samples evaluated by the iodine adsorption test. Carbons activated by (a) gave higher iodine values than those activated by (b). Carbons from manicnic (Palaquim teninpetiolatum [Palaquium tenuipetiolatum]), dita (Alstonia scholaris) and amugis (Koorder[s]iodendron pinnatum) charcoals had iodine values higher than commercial active carbon when activated by either (a) or (b). Use of these 3 species for active carbon production should </w:t>
      </w:r>
      <w:r>
        <w:rPr>
          <w:kern w:val="0"/>
          <w:szCs w:val="24"/>
        </w:rPr>
        <w:t>increase their economic value.</w:t>
      </w:r>
    </w:p>
    <w:p w:rsidR="00230EB8" w:rsidRPr="00217FB1" w:rsidRDefault="00230EB8" w:rsidP="00230EB8">
      <w:pPr>
        <w:pStyle w:val="1"/>
      </w:pPr>
      <w:r w:rsidRPr="00217FB1">
        <w:br w:type="page"/>
      </w:r>
      <w:bookmarkStart w:id="136" w:name="_Toc317160859"/>
      <w:r w:rsidRPr="00217FB1">
        <w:lastRenderedPageBreak/>
        <w:t xml:space="preserve">Title: </w:t>
      </w:r>
      <w:r w:rsidRPr="00230EB8">
        <w:rPr>
          <w:iCs/>
          <w:szCs w:val="24"/>
        </w:rPr>
        <w:t>Forschende Komplementarmedizin</w:t>
      </w:r>
      <w:bookmarkEnd w:id="136"/>
    </w:p>
    <w:p w:rsidR="00230EB8" w:rsidRDefault="00230EB8" w:rsidP="00230EB8">
      <w:pPr>
        <w:pStyle w:val="12"/>
      </w:pPr>
      <w:r w:rsidRPr="00217FB1">
        <w:t xml:space="preserve">Full Journal Title: </w:t>
      </w:r>
      <w:r w:rsidRPr="00230EB8">
        <w:rPr>
          <w:iCs/>
        </w:rPr>
        <w:t>Forschende Komplementarmedizin</w:t>
      </w:r>
    </w:p>
    <w:p w:rsidR="00230EB8" w:rsidRPr="00217FB1" w:rsidRDefault="00230EB8" w:rsidP="00230EB8">
      <w:pPr>
        <w:pStyle w:val="12"/>
      </w:pPr>
      <w:r w:rsidRPr="00217FB1">
        <w:t xml:space="preserve">ISO Abbreviated Title: </w:t>
      </w:r>
    </w:p>
    <w:p w:rsidR="00230EB8" w:rsidRPr="00217FB1" w:rsidRDefault="00230EB8" w:rsidP="00230EB8">
      <w:pPr>
        <w:pStyle w:val="12"/>
      </w:pPr>
      <w:r w:rsidRPr="00217FB1">
        <w:t>JCR Abbreviated Title</w:t>
      </w:r>
      <w:r>
        <w:t>:</w:t>
      </w:r>
      <w:r w:rsidRPr="00217FB1">
        <w:t xml:space="preserve"> </w:t>
      </w:r>
    </w:p>
    <w:p w:rsidR="00230EB8" w:rsidRPr="00217FB1" w:rsidRDefault="00230EB8" w:rsidP="00230EB8">
      <w:pPr>
        <w:pStyle w:val="12"/>
      </w:pPr>
      <w:r w:rsidRPr="00217FB1">
        <w:t xml:space="preserve">ISSN: </w:t>
      </w:r>
    </w:p>
    <w:p w:rsidR="00230EB8" w:rsidRPr="00217FB1" w:rsidRDefault="00230EB8" w:rsidP="00230EB8">
      <w:pPr>
        <w:pStyle w:val="12"/>
      </w:pPr>
      <w:r w:rsidRPr="00217FB1">
        <w:t xml:space="preserve">Issues/Year: </w:t>
      </w:r>
    </w:p>
    <w:p w:rsidR="00230EB8" w:rsidRPr="00217FB1" w:rsidRDefault="00230EB8" w:rsidP="00230EB8">
      <w:pPr>
        <w:pStyle w:val="12"/>
      </w:pPr>
      <w:r>
        <w:t xml:space="preserve">Journal Country/Territory: </w:t>
      </w:r>
    </w:p>
    <w:p w:rsidR="00230EB8" w:rsidRPr="00217FB1" w:rsidRDefault="00230EB8" w:rsidP="00230EB8">
      <w:pPr>
        <w:pStyle w:val="12"/>
      </w:pPr>
      <w:r w:rsidRPr="00217FB1">
        <w:t>Language:</w:t>
      </w:r>
    </w:p>
    <w:p w:rsidR="00230EB8" w:rsidRPr="00217FB1" w:rsidRDefault="00230EB8" w:rsidP="00230EB8">
      <w:pPr>
        <w:pStyle w:val="12"/>
      </w:pPr>
      <w:r w:rsidRPr="00217FB1">
        <w:t xml:space="preserve">Publisher: </w:t>
      </w:r>
    </w:p>
    <w:p w:rsidR="00230EB8" w:rsidRPr="00217FB1" w:rsidRDefault="00230EB8" w:rsidP="00230EB8">
      <w:pPr>
        <w:pStyle w:val="12"/>
      </w:pPr>
      <w:r w:rsidRPr="00217FB1">
        <w:t xml:space="preserve">Publisher Address: </w:t>
      </w:r>
    </w:p>
    <w:p w:rsidR="00230EB8" w:rsidRPr="00217FB1" w:rsidRDefault="00230EB8" w:rsidP="00230EB8">
      <w:pPr>
        <w:pStyle w:val="12"/>
      </w:pPr>
      <w:r w:rsidRPr="00217FB1">
        <w:t>Subject Categories:</w:t>
      </w:r>
    </w:p>
    <w:p w:rsidR="00230EB8" w:rsidRPr="00217FB1" w:rsidRDefault="00230EB8" w:rsidP="00230EB8">
      <w:pPr>
        <w:pStyle w:val="12"/>
      </w:pPr>
      <w:r w:rsidRPr="00217FB1">
        <w:t xml:space="preserve">: Impact Factor </w:t>
      </w:r>
    </w:p>
    <w:p w:rsidR="00230EB8" w:rsidRDefault="00230EB8" w:rsidP="00230EB8">
      <w:pPr>
        <w:pStyle w:val="a0"/>
        <w:rPr>
          <w:kern w:val="0"/>
          <w:szCs w:val="24"/>
        </w:rPr>
      </w:pPr>
      <w:r>
        <w:rPr>
          <w:rFonts w:hint="eastAsia"/>
          <w:kern w:val="0"/>
          <w:szCs w:val="24"/>
        </w:rPr>
        <w:t xml:space="preserve">? </w:t>
      </w:r>
      <w:r>
        <w:rPr>
          <w:kern w:val="0"/>
          <w:szCs w:val="24"/>
        </w:rPr>
        <w:t>Agdal, R., Hjelmborg, J.V.</w:t>
      </w:r>
      <w:r w:rsidR="00F81221">
        <w:rPr>
          <w:kern w:val="0"/>
          <w:szCs w:val="24"/>
        </w:rPr>
        <w:t xml:space="preserve"> and </w:t>
      </w:r>
      <w:r>
        <w:rPr>
          <w:kern w:val="0"/>
          <w:szCs w:val="24"/>
        </w:rPr>
        <w:t xml:space="preserve">Johannessen, H. (2011), Energy healing for cancer: A critical review. </w:t>
      </w:r>
      <w:r w:rsidRPr="00230EB8">
        <w:rPr>
          <w:i/>
          <w:iCs/>
          <w:kern w:val="0"/>
          <w:szCs w:val="24"/>
        </w:rPr>
        <w:t>Forschende Komplementarmedizin</w:t>
      </w:r>
      <w:r>
        <w:rPr>
          <w:kern w:val="0"/>
          <w:szCs w:val="24"/>
        </w:rPr>
        <w:t xml:space="preserve">, </w:t>
      </w:r>
      <w:r>
        <w:rPr>
          <w:b/>
          <w:bCs/>
          <w:kern w:val="0"/>
          <w:szCs w:val="24"/>
        </w:rPr>
        <w:t>18</w:t>
      </w:r>
      <w:r>
        <w:rPr>
          <w:kern w:val="0"/>
          <w:szCs w:val="24"/>
        </w:rPr>
        <w:t xml:space="preserve"> (3), 146-154.</w:t>
      </w:r>
    </w:p>
    <w:p w:rsidR="00230EB8" w:rsidRDefault="00230EB8" w:rsidP="00230EB8">
      <w:pPr>
        <w:pStyle w:val="a0"/>
        <w:rPr>
          <w:kern w:val="0"/>
          <w:szCs w:val="24"/>
        </w:rPr>
      </w:pPr>
      <w:r>
        <w:rPr>
          <w:rFonts w:hint="eastAsia"/>
          <w:kern w:val="0"/>
          <w:szCs w:val="24"/>
        </w:rPr>
        <w:t>Full Text</w:t>
      </w:r>
      <w:r>
        <w:rPr>
          <w:kern w:val="0"/>
          <w:szCs w:val="24"/>
        </w:rPr>
        <w:t xml:space="preserve">: </w:t>
      </w:r>
      <w:r>
        <w:rPr>
          <w:rFonts w:hint="eastAsia"/>
          <w:kern w:val="0"/>
          <w:szCs w:val="24"/>
        </w:rPr>
        <w:t>2011\</w:t>
      </w:r>
      <w:r>
        <w:rPr>
          <w:iCs/>
          <w:kern w:val="0"/>
          <w:szCs w:val="24"/>
        </w:rPr>
        <w:t>F</w:t>
      </w:r>
      <w:r>
        <w:rPr>
          <w:rFonts w:hint="eastAsia"/>
          <w:iCs/>
          <w:kern w:val="0"/>
          <w:szCs w:val="24"/>
        </w:rPr>
        <w:t>or</w:t>
      </w:r>
      <w:r>
        <w:rPr>
          <w:iCs/>
          <w:kern w:val="0"/>
          <w:szCs w:val="24"/>
        </w:rPr>
        <w:t xml:space="preserve"> Kom</w:t>
      </w:r>
      <w:r w:rsidRPr="00230EB8">
        <w:rPr>
          <w:bCs/>
          <w:kern w:val="0"/>
          <w:szCs w:val="24"/>
        </w:rPr>
        <w:t>18</w:t>
      </w:r>
      <w:r>
        <w:rPr>
          <w:kern w:val="0"/>
          <w:szCs w:val="24"/>
        </w:rPr>
        <w:t>, 146</w:t>
      </w:r>
      <w:r>
        <w:rPr>
          <w:rFonts w:hint="eastAsia"/>
          <w:kern w:val="0"/>
          <w:szCs w:val="24"/>
        </w:rPr>
        <w:t>.pdf</w:t>
      </w:r>
    </w:p>
    <w:p w:rsidR="00230EB8" w:rsidRDefault="00230EB8" w:rsidP="00230EB8">
      <w:pPr>
        <w:pStyle w:val="a0"/>
        <w:rPr>
          <w:kern w:val="0"/>
          <w:szCs w:val="24"/>
        </w:rPr>
      </w:pPr>
      <w:r>
        <w:rPr>
          <w:kern w:val="0"/>
          <w:szCs w:val="24"/>
        </w:rPr>
        <w:t>Abstract: Background: This article explores the evidence base of efficacy</w:t>
      </w:r>
      <w:r w:rsidR="00F81221">
        <w:rPr>
          <w:kern w:val="0"/>
          <w:szCs w:val="24"/>
        </w:rPr>
        <w:t xml:space="preserve"> and </w:t>
      </w:r>
      <w:r>
        <w:rPr>
          <w:kern w:val="0"/>
          <w:szCs w:val="24"/>
        </w:rPr>
        <w:t xml:space="preserve">effectiveness of </w:t>
      </w:r>
      <w:r w:rsidR="000352E7">
        <w:rPr>
          <w:kern w:val="0"/>
          <w:szCs w:val="24"/>
        </w:rPr>
        <w:t>‘</w:t>
      </w:r>
      <w:r>
        <w:rPr>
          <w:kern w:val="0"/>
          <w:szCs w:val="24"/>
        </w:rPr>
        <w:t>energy healing</w:t>
      </w:r>
      <w:r w:rsidR="000352E7">
        <w:rPr>
          <w:kern w:val="0"/>
          <w:szCs w:val="24"/>
        </w:rPr>
        <w:t>’</w:t>
      </w:r>
      <w:r>
        <w:rPr>
          <w:kern w:val="0"/>
          <w:szCs w:val="24"/>
        </w:rPr>
        <w:t xml:space="preserve"> for cancer patients. The term </w:t>
      </w:r>
      <w:r w:rsidR="000352E7">
        <w:rPr>
          <w:kern w:val="0"/>
          <w:szCs w:val="24"/>
        </w:rPr>
        <w:t>‘</w:t>
      </w:r>
      <w:r>
        <w:rPr>
          <w:kern w:val="0"/>
          <w:szCs w:val="24"/>
        </w:rPr>
        <w:t>energy healing</w:t>
      </w:r>
      <w:r w:rsidR="000352E7">
        <w:rPr>
          <w:kern w:val="0"/>
          <w:szCs w:val="24"/>
        </w:rPr>
        <w:t>’</w:t>
      </w:r>
      <w:r>
        <w:rPr>
          <w:kern w:val="0"/>
          <w:szCs w:val="24"/>
        </w:rPr>
        <w:t xml:space="preserve"> refers to a wide variety of therapies which are based on the premise that the healer transfers energy to the patient. Among the most researched forms of energy healing are reiki, therapeutic touch</w:t>
      </w:r>
      <w:r w:rsidR="00F81221">
        <w:rPr>
          <w:kern w:val="0"/>
          <w:szCs w:val="24"/>
        </w:rPr>
        <w:t xml:space="preserve"> and </w:t>
      </w:r>
      <w:r>
        <w:rPr>
          <w:kern w:val="0"/>
          <w:szCs w:val="24"/>
        </w:rPr>
        <w:t>healing touch. Material</w:t>
      </w:r>
      <w:r w:rsidR="00F81221">
        <w:rPr>
          <w:kern w:val="0"/>
          <w:szCs w:val="24"/>
        </w:rPr>
        <w:t xml:space="preserve"> and </w:t>
      </w:r>
      <w:r>
        <w:rPr>
          <w:kern w:val="0"/>
          <w:szCs w:val="24"/>
        </w:rPr>
        <w:t>Methods: PubMed, AMED, JStor, Social Science Citation Index</w:t>
      </w:r>
      <w:r w:rsidR="00F81221">
        <w:rPr>
          <w:kern w:val="0"/>
          <w:szCs w:val="24"/>
        </w:rPr>
        <w:t xml:space="preserve"> and </w:t>
      </w:r>
      <w:r>
        <w:rPr>
          <w:kern w:val="0"/>
          <w:szCs w:val="24"/>
        </w:rPr>
        <w:t>PsycInfo databases were searched,</w:t>
      </w:r>
      <w:r w:rsidR="00F81221">
        <w:rPr>
          <w:kern w:val="0"/>
          <w:szCs w:val="24"/>
        </w:rPr>
        <w:t xml:space="preserve"> and </w:t>
      </w:r>
      <w:r>
        <w:rPr>
          <w:kern w:val="0"/>
          <w:szCs w:val="24"/>
        </w:rPr>
        <w:t>articles were rated according to the SIGN (Scottish Intercollegiate Guidelines Network) quality scale. Six quantitative</w:t>
      </w:r>
      <w:r w:rsidR="00F81221">
        <w:rPr>
          <w:kern w:val="0"/>
          <w:szCs w:val="24"/>
        </w:rPr>
        <w:t xml:space="preserve"> and </w:t>
      </w:r>
      <w:r>
        <w:rPr>
          <w:kern w:val="0"/>
          <w:szCs w:val="24"/>
        </w:rPr>
        <w:t>two qualitative studies on the efficacy</w:t>
      </w:r>
      <w:r w:rsidR="00F81221">
        <w:rPr>
          <w:kern w:val="0"/>
          <w:szCs w:val="24"/>
        </w:rPr>
        <w:t xml:space="preserve"> and </w:t>
      </w:r>
      <w:r>
        <w:rPr>
          <w:kern w:val="0"/>
          <w:szCs w:val="24"/>
        </w:rPr>
        <w:t>effectiveness of energy healing for cancer patients met the inclusion criteria. Results: None of the studies are of a size or quality that allows to draw reliable conclusions. The results of the studies are, however, interesting</w:t>
      </w:r>
      <w:r w:rsidR="00F81221">
        <w:rPr>
          <w:kern w:val="0"/>
          <w:szCs w:val="24"/>
        </w:rPr>
        <w:t xml:space="preserve"> and </w:t>
      </w:r>
      <w:r>
        <w:rPr>
          <w:kern w:val="0"/>
          <w:szCs w:val="24"/>
        </w:rPr>
        <w:t>should be considered when developing new studies</w:t>
      </w:r>
      <w:r w:rsidR="00F81221">
        <w:rPr>
          <w:kern w:val="0"/>
          <w:szCs w:val="24"/>
        </w:rPr>
        <w:t xml:space="preserve"> and </w:t>
      </w:r>
      <w:r>
        <w:rPr>
          <w:kern w:val="0"/>
          <w:szCs w:val="24"/>
        </w:rPr>
        <w:t>hypotheses on working mechanisms. Conclusion: The existing research does not allow conclusions regarding the efficacy or effectiveness of energy healing. Future studies should adhere to existing standards of research on the efficacy</w:t>
      </w:r>
      <w:r w:rsidR="00F81221">
        <w:rPr>
          <w:kern w:val="0"/>
          <w:szCs w:val="24"/>
        </w:rPr>
        <w:t xml:space="preserve"> and </w:t>
      </w:r>
      <w:r>
        <w:rPr>
          <w:kern w:val="0"/>
          <w:szCs w:val="24"/>
        </w:rPr>
        <w:t>effectiveness of a treatment,</w:t>
      </w:r>
      <w:r w:rsidR="00F81221">
        <w:rPr>
          <w:kern w:val="0"/>
          <w:szCs w:val="24"/>
        </w:rPr>
        <w:t xml:space="preserve"> and </w:t>
      </w:r>
      <w:r>
        <w:rPr>
          <w:kern w:val="0"/>
          <w:szCs w:val="24"/>
        </w:rPr>
        <w:t>given the complex character of potential outcomes, cross-disciplinary methodologies may be relevant. To extend the scope of clinical trials, psychosocial processes should be taken into account</w:t>
      </w:r>
      <w:r w:rsidR="00F81221">
        <w:rPr>
          <w:kern w:val="0"/>
          <w:szCs w:val="24"/>
        </w:rPr>
        <w:t xml:space="preserve"> and </w:t>
      </w:r>
      <w:r>
        <w:rPr>
          <w:kern w:val="0"/>
          <w:szCs w:val="24"/>
        </w:rPr>
        <w:t>explored, rather than dismissed as placebo.</w:t>
      </w:r>
    </w:p>
    <w:p w:rsidR="00230EB8" w:rsidRDefault="00230EB8" w:rsidP="00230EB8">
      <w:pPr>
        <w:pStyle w:val="a0"/>
        <w:rPr>
          <w:kern w:val="0"/>
          <w:szCs w:val="24"/>
        </w:rPr>
      </w:pPr>
      <w:r>
        <w:rPr>
          <w:kern w:val="0"/>
          <w:szCs w:val="24"/>
        </w:rPr>
        <w:t xml:space="preserve">Keywords: Alternative Medicine, Cancer, Citation, Clinical Trials, Complementary, Databases, Effectiveness, Efficacy, Energy, Energy Healing, Healing Touch, Outcomes, Pain, Perceptions, Pubmed, Reiki, Research, Review, Science Citation Index, Standards, Therapeutic Touch, Therapeutic Touch, Trial, Tumor-Cell </w:t>
      </w:r>
      <w:r>
        <w:rPr>
          <w:kern w:val="0"/>
          <w:szCs w:val="24"/>
        </w:rPr>
        <w:lastRenderedPageBreak/>
        <w:t>Proliferation, Women</w:t>
      </w:r>
    </w:p>
    <w:p w:rsidR="00CF3A97" w:rsidRPr="00217FB1" w:rsidRDefault="00CF3A97" w:rsidP="00CF3A97">
      <w:pPr>
        <w:pStyle w:val="1"/>
      </w:pPr>
      <w:r w:rsidRPr="00217FB1">
        <w:br w:type="page"/>
      </w:r>
      <w:bookmarkStart w:id="137" w:name="_Toc317160860"/>
      <w:r w:rsidRPr="00217FB1">
        <w:lastRenderedPageBreak/>
        <w:t xml:space="preserve">Title: </w:t>
      </w:r>
      <w:r w:rsidRPr="001C429A">
        <w:t>Fractals-Complex Geometry Patterns</w:t>
      </w:r>
      <w:r w:rsidR="00F81221">
        <w:t xml:space="preserve"> and </w:t>
      </w:r>
      <w:r w:rsidRPr="001C429A">
        <w:t>Scaling in Nature</w:t>
      </w:r>
      <w:r w:rsidR="00F81221">
        <w:t xml:space="preserve"> and </w:t>
      </w:r>
      <w:r w:rsidRPr="001C429A">
        <w:t>Society</w:t>
      </w:r>
      <w:bookmarkEnd w:id="137"/>
    </w:p>
    <w:p w:rsidR="00CF3A97" w:rsidRPr="00217FB1" w:rsidRDefault="00CF3A97" w:rsidP="00B72EF9">
      <w:pPr>
        <w:pStyle w:val="12"/>
      </w:pPr>
      <w:r w:rsidRPr="00217FB1">
        <w:t xml:space="preserve">Full Journal Title: </w:t>
      </w:r>
      <w:hyperlink r:id="rId124" w:history="1">
        <w:r w:rsidRPr="00537771">
          <w:rPr>
            <w:rStyle w:val="a5"/>
          </w:rPr>
          <w:t>Fractals-Complex Geometry Patterns</w:t>
        </w:r>
        <w:r w:rsidR="00F81221">
          <w:rPr>
            <w:rStyle w:val="a5"/>
          </w:rPr>
          <w:t xml:space="preserve"> and </w:t>
        </w:r>
        <w:r w:rsidRPr="00537771">
          <w:rPr>
            <w:rStyle w:val="a5"/>
          </w:rPr>
          <w:t>Scaling in Nature</w:t>
        </w:r>
        <w:r w:rsidR="00F81221">
          <w:rPr>
            <w:rStyle w:val="a5"/>
          </w:rPr>
          <w:t xml:space="preserve"> and </w:t>
        </w:r>
        <w:r w:rsidRPr="00537771">
          <w:rPr>
            <w:rStyle w:val="a5"/>
          </w:rPr>
          <w:t>Society</w:t>
        </w:r>
      </w:hyperlink>
    </w:p>
    <w:p w:rsidR="00CF3A97" w:rsidRPr="00217FB1" w:rsidRDefault="00CF3A97" w:rsidP="00B72EF9">
      <w:pPr>
        <w:pStyle w:val="12"/>
      </w:pPr>
      <w:r w:rsidRPr="00217FB1">
        <w:t xml:space="preserve">ISO Abbreviated Title: </w:t>
      </w:r>
    </w:p>
    <w:p w:rsidR="00CF3A97" w:rsidRPr="00217FB1" w:rsidRDefault="00CF3A97" w:rsidP="00B72EF9">
      <w:pPr>
        <w:pStyle w:val="12"/>
      </w:pPr>
      <w:r w:rsidRPr="00217FB1">
        <w:t>JCR Abbreviated Title</w:t>
      </w:r>
      <w:r>
        <w:t>:</w:t>
      </w:r>
      <w:r w:rsidRPr="00217FB1">
        <w:t xml:space="preserve"> </w:t>
      </w:r>
    </w:p>
    <w:p w:rsidR="00CF3A97" w:rsidRPr="00217FB1" w:rsidRDefault="00CF3A97" w:rsidP="00B72EF9">
      <w:pPr>
        <w:pStyle w:val="12"/>
      </w:pPr>
      <w:r w:rsidRPr="00217FB1">
        <w:t xml:space="preserve">ISSN: </w:t>
      </w:r>
    </w:p>
    <w:p w:rsidR="00CF3A97" w:rsidRPr="00217FB1" w:rsidRDefault="00CF3A97" w:rsidP="00B72EF9">
      <w:pPr>
        <w:pStyle w:val="12"/>
      </w:pPr>
      <w:r w:rsidRPr="00217FB1">
        <w:t xml:space="preserve">Issues/Year: </w:t>
      </w:r>
    </w:p>
    <w:p w:rsidR="00CF3A97" w:rsidRPr="00217FB1" w:rsidRDefault="00FB5623" w:rsidP="00B72EF9">
      <w:pPr>
        <w:pStyle w:val="12"/>
      </w:pPr>
      <w:r>
        <w:t>Journal Country/Territory:</w:t>
      </w:r>
      <w:r w:rsidR="00CF3A97">
        <w:t xml:space="preserve"> </w:t>
      </w:r>
    </w:p>
    <w:p w:rsidR="00CF3A97" w:rsidRPr="00217FB1" w:rsidRDefault="00CF3A97" w:rsidP="00B72EF9">
      <w:pPr>
        <w:pStyle w:val="12"/>
      </w:pPr>
      <w:r w:rsidRPr="00217FB1">
        <w:t>Language:</w:t>
      </w:r>
    </w:p>
    <w:p w:rsidR="00CF3A97" w:rsidRPr="00217FB1" w:rsidRDefault="00CF3A97" w:rsidP="00B72EF9">
      <w:pPr>
        <w:pStyle w:val="12"/>
      </w:pPr>
      <w:r w:rsidRPr="00217FB1">
        <w:t xml:space="preserve">Publisher: </w:t>
      </w:r>
    </w:p>
    <w:p w:rsidR="00CF3A97" w:rsidRPr="00217FB1" w:rsidRDefault="00CF3A97" w:rsidP="00B72EF9">
      <w:pPr>
        <w:pStyle w:val="12"/>
      </w:pPr>
      <w:r w:rsidRPr="00217FB1">
        <w:t xml:space="preserve">Publisher Address: </w:t>
      </w:r>
    </w:p>
    <w:p w:rsidR="00CF3A97" w:rsidRPr="00217FB1" w:rsidRDefault="00CF3A97" w:rsidP="00B72EF9">
      <w:pPr>
        <w:pStyle w:val="12"/>
      </w:pPr>
      <w:r w:rsidRPr="00217FB1">
        <w:t>Subject Categories:</w:t>
      </w:r>
    </w:p>
    <w:p w:rsidR="00CF3A97" w:rsidRPr="00217FB1" w:rsidRDefault="00CF3A97" w:rsidP="00B72EF9">
      <w:pPr>
        <w:pStyle w:val="12"/>
      </w:pPr>
      <w:r w:rsidRPr="00217FB1">
        <w:t xml:space="preserve">: Impact Factor </w:t>
      </w:r>
    </w:p>
    <w:p w:rsidR="00CF3A97" w:rsidRDefault="00CF3A97" w:rsidP="00CF3A97">
      <w:pPr>
        <w:pStyle w:val="a0"/>
        <w:rPr>
          <w:kern w:val="0"/>
          <w:szCs w:val="24"/>
        </w:rPr>
      </w:pPr>
      <w:r w:rsidRPr="00F621CE">
        <w:t xml:space="preserve">? </w:t>
      </w:r>
      <w:r>
        <w:rPr>
          <w:kern w:val="0"/>
          <w:szCs w:val="24"/>
        </w:rPr>
        <w:t>Kostoff, R.N., Shlesinger, M.F.</w:t>
      </w:r>
      <w:r w:rsidR="00F81221">
        <w:rPr>
          <w:kern w:val="0"/>
          <w:szCs w:val="24"/>
        </w:rPr>
        <w:t xml:space="preserve"> and </w:t>
      </w:r>
      <w:r>
        <w:rPr>
          <w:kern w:val="0"/>
          <w:szCs w:val="24"/>
        </w:rPr>
        <w:t>Malpohl, G. (2004), Fractals text mining using bibliometrics</w:t>
      </w:r>
      <w:r w:rsidR="00F81221">
        <w:rPr>
          <w:kern w:val="0"/>
          <w:szCs w:val="24"/>
        </w:rPr>
        <w:t xml:space="preserve"> and </w:t>
      </w:r>
      <w:r>
        <w:rPr>
          <w:kern w:val="0"/>
          <w:szCs w:val="24"/>
        </w:rPr>
        <w:t xml:space="preserve">database tomography. </w:t>
      </w:r>
      <w:r>
        <w:rPr>
          <w:i/>
          <w:iCs/>
          <w:kern w:val="0"/>
          <w:szCs w:val="24"/>
        </w:rPr>
        <w:t>Fractals-Complex Geometry Patterns</w:t>
      </w:r>
      <w:r w:rsidR="00F81221">
        <w:rPr>
          <w:i/>
          <w:iCs/>
          <w:kern w:val="0"/>
          <w:szCs w:val="24"/>
        </w:rPr>
        <w:t xml:space="preserve"> and </w:t>
      </w:r>
      <w:r>
        <w:rPr>
          <w:i/>
          <w:iCs/>
          <w:kern w:val="0"/>
          <w:szCs w:val="24"/>
        </w:rPr>
        <w:t>Scaling in Nature</w:t>
      </w:r>
      <w:r w:rsidR="00F81221">
        <w:rPr>
          <w:i/>
          <w:iCs/>
          <w:kern w:val="0"/>
          <w:szCs w:val="24"/>
        </w:rPr>
        <w:t xml:space="preserve"> and </w:t>
      </w:r>
      <w:r>
        <w:rPr>
          <w:i/>
          <w:iCs/>
          <w:kern w:val="0"/>
          <w:szCs w:val="24"/>
        </w:rPr>
        <w:t>Society</w:t>
      </w:r>
      <w:r>
        <w:rPr>
          <w:kern w:val="0"/>
          <w:szCs w:val="24"/>
        </w:rPr>
        <w:t xml:space="preserve">, </w:t>
      </w:r>
      <w:r>
        <w:rPr>
          <w:b/>
          <w:bCs/>
          <w:kern w:val="0"/>
          <w:szCs w:val="24"/>
        </w:rPr>
        <w:t>12</w:t>
      </w:r>
      <w:r>
        <w:rPr>
          <w:kern w:val="0"/>
          <w:szCs w:val="24"/>
        </w:rPr>
        <w:t xml:space="preserve"> (1), 1-16.</w:t>
      </w:r>
    </w:p>
    <w:p w:rsidR="00537771" w:rsidRDefault="00537771" w:rsidP="00CF3A97">
      <w:pPr>
        <w:pStyle w:val="a0"/>
        <w:rPr>
          <w:kern w:val="0"/>
          <w:szCs w:val="24"/>
        </w:rPr>
      </w:pPr>
      <w:r>
        <w:rPr>
          <w:rFonts w:hint="eastAsia"/>
          <w:kern w:val="0"/>
          <w:szCs w:val="24"/>
        </w:rPr>
        <w:t xml:space="preserve">Full Text: </w:t>
      </w:r>
      <w:hyperlink r:id="rId125" w:history="1">
        <w:r w:rsidRPr="00537771">
          <w:rPr>
            <w:rStyle w:val="a5"/>
            <w:kern w:val="0"/>
            <w:szCs w:val="24"/>
          </w:rPr>
          <w:t>2004\Fra-Com Geo Pat Sca Nat Soc12, 1.pdf</w:t>
        </w:r>
      </w:hyperlink>
    </w:p>
    <w:p w:rsidR="00CF3A97" w:rsidRDefault="00CF3A97" w:rsidP="00CF3A97">
      <w:pPr>
        <w:pStyle w:val="a0"/>
        <w:rPr>
          <w:kern w:val="0"/>
          <w:szCs w:val="24"/>
        </w:rPr>
      </w:pPr>
      <w:r>
        <w:rPr>
          <w:kern w:val="0"/>
          <w:szCs w:val="24"/>
        </w:rPr>
        <w:t>Abstract: Database Tomography (DT) is a textual database analysis system consisting of two major components: (1) algorithms for extracting multi-word phrase frequencies</w:t>
      </w:r>
      <w:r w:rsidR="00F81221">
        <w:rPr>
          <w:kern w:val="0"/>
          <w:szCs w:val="24"/>
        </w:rPr>
        <w:t xml:space="preserve"> and </w:t>
      </w:r>
      <w:r>
        <w:rPr>
          <w:kern w:val="0"/>
          <w:szCs w:val="24"/>
        </w:rPr>
        <w:t>phrase proximities (physical closeness of the multi-word technical phrases) from any type of large textual database, to augment (2) interpretative capabilities of the expert human analyst. DT was used to obtain technical intelligence from a Fractals database derived from the Science Citation Index/Social Science Citation Index (SCI). Phrase frequency analysis by the technical domain experts provided the pervasive technical themes of the Fractals database,</w:t>
      </w:r>
      <w:r w:rsidR="00F81221">
        <w:rPr>
          <w:kern w:val="0"/>
          <w:szCs w:val="24"/>
        </w:rPr>
        <w:t xml:space="preserve"> and </w:t>
      </w:r>
      <w:r>
        <w:rPr>
          <w:kern w:val="0"/>
          <w:szCs w:val="24"/>
        </w:rPr>
        <w:t>the phrase proximity analysis provided the relationships among the pervasive technical themes. Bibliometric analysis of the Fractals literature supplemented the DT results with author/journal/institution publication</w:t>
      </w:r>
      <w:r w:rsidR="00F81221">
        <w:rPr>
          <w:kern w:val="0"/>
          <w:szCs w:val="24"/>
        </w:rPr>
        <w:t xml:space="preserve"> and </w:t>
      </w:r>
      <w:r>
        <w:rPr>
          <w:kern w:val="0"/>
          <w:szCs w:val="24"/>
        </w:rPr>
        <w:t>citation data.</w:t>
      </w:r>
    </w:p>
    <w:p w:rsidR="00CF3A97" w:rsidRPr="001C429A" w:rsidRDefault="00CF3A97" w:rsidP="00CF3A97">
      <w:pPr>
        <w:pStyle w:val="a0"/>
      </w:pPr>
      <w:r>
        <w:rPr>
          <w:kern w:val="0"/>
          <w:szCs w:val="24"/>
        </w:rPr>
        <w:t xml:space="preserve">Keywords: Bibliometric, Bibliometric Analysis, Bibliometrics, Citation, Citation Index, Computational Linguistics, Database, Fractals, Intelligence, Literature, Multi-Fractal, Roadmaps, </w:t>
      </w:r>
      <w:r w:rsidR="00537771">
        <w:rPr>
          <w:kern w:val="0"/>
          <w:szCs w:val="24"/>
        </w:rPr>
        <w:t>SCI</w:t>
      </w:r>
      <w:r>
        <w:rPr>
          <w:kern w:val="0"/>
          <w:szCs w:val="24"/>
        </w:rPr>
        <w:t>, Science, Science Citation Index, Self-Organized Criticality, Self-Similarity, System, Technical Intelligence, Text Mining, Text-Mining</w:t>
      </w:r>
    </w:p>
    <w:p w:rsidR="00B95188" w:rsidRPr="00A428C3" w:rsidRDefault="00CF3A97" w:rsidP="00CF3A97">
      <w:pPr>
        <w:pStyle w:val="1"/>
      </w:pPr>
      <w:r w:rsidRPr="00217FB1">
        <w:br w:type="page"/>
      </w:r>
      <w:bookmarkStart w:id="138" w:name="_Toc489709731"/>
      <w:bookmarkStart w:id="139" w:name="_Toc490687967"/>
      <w:bookmarkStart w:id="140" w:name="_Toc186647685"/>
      <w:bookmarkStart w:id="141" w:name="_Toc317160861"/>
      <w:r w:rsidR="00B95188" w:rsidRPr="00A428C3">
        <w:lastRenderedPageBreak/>
        <w:t>Title: Free Radical Biology</w:t>
      </w:r>
      <w:r w:rsidR="00F81221">
        <w:t xml:space="preserve"> and </w:t>
      </w:r>
      <w:r w:rsidR="00B95188" w:rsidRPr="00A428C3">
        <w:t>Medicine</w:t>
      </w:r>
      <w:bookmarkEnd w:id="138"/>
      <w:bookmarkEnd w:id="139"/>
      <w:bookmarkEnd w:id="140"/>
      <w:bookmarkEnd w:id="141"/>
    </w:p>
    <w:p w:rsidR="00B95188" w:rsidRPr="00A428C3" w:rsidRDefault="00B95188" w:rsidP="00B72EF9">
      <w:pPr>
        <w:pStyle w:val="12"/>
      </w:pPr>
      <w:r w:rsidRPr="00A428C3">
        <w:t xml:space="preserve">Full Journal Title: </w:t>
      </w:r>
      <w:hyperlink r:id="rId126" w:history="1">
        <w:r w:rsidRPr="00A428C3">
          <w:rPr>
            <w:rStyle w:val="a5"/>
          </w:rPr>
          <w:t>Free Radical Biology</w:t>
        </w:r>
        <w:r w:rsidR="00F81221">
          <w:rPr>
            <w:rStyle w:val="a5"/>
          </w:rPr>
          <w:t xml:space="preserve"> and </w:t>
        </w:r>
        <w:r w:rsidRPr="00A428C3">
          <w:rPr>
            <w:rStyle w:val="a5"/>
          </w:rPr>
          <w:t>Medicine</w:t>
        </w:r>
      </w:hyperlink>
    </w:p>
    <w:p w:rsidR="00B95188" w:rsidRPr="00A428C3" w:rsidRDefault="00B95188" w:rsidP="00B72EF9">
      <w:pPr>
        <w:pStyle w:val="12"/>
      </w:pPr>
      <w:r w:rsidRPr="00A428C3">
        <w:t>ISO Abbreviated Title: Free Radic. Biol. Med.</w:t>
      </w:r>
    </w:p>
    <w:p w:rsidR="00B95188" w:rsidRPr="00A428C3" w:rsidRDefault="00B95188" w:rsidP="00B72EF9">
      <w:pPr>
        <w:pStyle w:val="12"/>
      </w:pPr>
      <w:r w:rsidRPr="00A428C3">
        <w:t>JCR Abbreviated Title: Free Radical Bio Med</w:t>
      </w:r>
    </w:p>
    <w:p w:rsidR="00B95188" w:rsidRPr="00A428C3" w:rsidRDefault="00B95188" w:rsidP="00B72EF9">
      <w:pPr>
        <w:pStyle w:val="12"/>
      </w:pPr>
      <w:r w:rsidRPr="00A428C3">
        <w:t>ISSN: 0891-5849</w:t>
      </w:r>
    </w:p>
    <w:p w:rsidR="00B95188" w:rsidRPr="00A428C3" w:rsidRDefault="00B95188" w:rsidP="00B72EF9">
      <w:pPr>
        <w:pStyle w:val="12"/>
      </w:pPr>
      <w:r w:rsidRPr="00A428C3">
        <w:t>Issues/Year: 16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Pergamon-Elsevier Science Ltd</w:t>
      </w:r>
    </w:p>
    <w:p w:rsidR="00B95188" w:rsidRPr="00A428C3" w:rsidRDefault="00B95188" w:rsidP="00B72EF9">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Biochemistry &amp; Molecular Biology: Impact Factor 4.116, 62/310 (2000)</w:t>
      </w:r>
    </w:p>
    <w:p w:rsidR="00B95188" w:rsidRPr="00A428C3" w:rsidRDefault="00B95188" w:rsidP="00B72EF9">
      <w:pPr>
        <w:pStyle w:val="12"/>
      </w:pPr>
      <w:r w:rsidRPr="00A428C3">
        <w:t>Endocrinology &amp; Metabolism: Impact Factor 4.116, / (2000)</w:t>
      </w:r>
    </w:p>
    <w:p w:rsidR="00264E5D" w:rsidRPr="00A428C3" w:rsidRDefault="00264E5D" w:rsidP="00264E5D">
      <w:pPr>
        <w:pStyle w:val="a0"/>
      </w:pPr>
      <w:r>
        <w:rPr>
          <w:rFonts w:hint="eastAsia"/>
        </w:rPr>
        <w:t xml:space="preserve">? </w:t>
      </w:r>
      <w:r>
        <w:t>Sugiyama</w:t>
      </w:r>
      <w:r>
        <w:rPr>
          <w:rFonts w:hint="eastAsia"/>
        </w:rPr>
        <w:t>,</w:t>
      </w:r>
      <w:r>
        <w:t xml:space="preserve"> M</w:t>
      </w:r>
      <w:r>
        <w:rPr>
          <w:rFonts w:hint="eastAsia"/>
        </w:rPr>
        <w:t>.</w:t>
      </w:r>
      <w:r w:rsidRPr="00A428C3">
        <w:t xml:space="preserve"> (199</w:t>
      </w:r>
      <w:r>
        <w:rPr>
          <w:rFonts w:hint="eastAsia"/>
        </w:rPr>
        <w:t>2</w:t>
      </w:r>
      <w:r w:rsidRPr="00A428C3">
        <w:t xml:space="preserve">), </w:t>
      </w:r>
      <w:r>
        <w:t>Role of physiological antioxidants in chromium(VI)-induced cellular injury</w:t>
      </w:r>
      <w:r w:rsidRPr="00A428C3">
        <w:t xml:space="preserve">. </w:t>
      </w:r>
      <w:r w:rsidRPr="00A428C3">
        <w:rPr>
          <w:i/>
        </w:rPr>
        <w:t>Free Radical Biology</w:t>
      </w:r>
      <w:r w:rsidR="00F81221">
        <w:rPr>
          <w:i/>
        </w:rPr>
        <w:t xml:space="preserve"> and </w:t>
      </w:r>
      <w:r w:rsidRPr="00A428C3">
        <w:rPr>
          <w:i/>
        </w:rPr>
        <w:t>Medicine</w:t>
      </w:r>
      <w:r w:rsidRPr="00A428C3">
        <w:t xml:space="preserve">, </w:t>
      </w:r>
      <w:r>
        <w:rPr>
          <w:rFonts w:hint="eastAsia"/>
          <w:b/>
        </w:rPr>
        <w:t>12</w:t>
      </w:r>
      <w:r w:rsidRPr="00A428C3">
        <w:t xml:space="preserve"> (</w:t>
      </w:r>
      <w:r>
        <w:rPr>
          <w:rFonts w:hint="eastAsia"/>
        </w:rPr>
        <w:t>5</w:t>
      </w:r>
      <w:r w:rsidRPr="00A428C3">
        <w:t xml:space="preserve">), </w:t>
      </w:r>
      <w:r>
        <w:t>397-407</w:t>
      </w:r>
      <w:r w:rsidRPr="00A428C3">
        <w:t>.</w:t>
      </w:r>
    </w:p>
    <w:p w:rsidR="00264E5D" w:rsidRDefault="00264E5D" w:rsidP="00264E5D">
      <w:pPr>
        <w:pStyle w:val="a0"/>
      </w:pPr>
      <w:r w:rsidRPr="00A428C3">
        <w:t xml:space="preserve">Full Text: </w:t>
      </w:r>
      <w:hyperlink r:id="rId127" w:history="1">
        <w:r w:rsidRPr="00264E5D">
          <w:rPr>
            <w:rStyle w:val="a5"/>
          </w:rPr>
          <w:t>1992\Fre Rad Bio Med12, 397.pdf</w:t>
        </w:r>
      </w:hyperlink>
    </w:p>
    <w:p w:rsidR="00264E5D" w:rsidRDefault="00264E5D" w:rsidP="00264E5D">
      <w:pPr>
        <w:pStyle w:val="a0"/>
      </w:pPr>
      <w:r>
        <w:t>Abstract: Chromium(VI) compounds are well known to be potent toxic</w:t>
      </w:r>
      <w:r w:rsidR="00F81221">
        <w:t xml:space="preserve"> and </w:t>
      </w:r>
      <w:r>
        <w:t>carcinogenic agents. Because chromium(VI) is easily taken up by cells</w:t>
      </w:r>
      <w:r w:rsidR="00F81221">
        <w:t xml:space="preserve"> and </w:t>
      </w:r>
      <w:r>
        <w:t>is subsequently reduced to the trivalent form, the formation of chromium(III) or other intermediate oxidation states such as chromium(V)</w:t>
      </w:r>
      <w:r w:rsidR="00F81221">
        <w:t xml:space="preserve"> and </w:t>
      </w:r>
      <w:r>
        <w:t>(IV) is believed to play a role in the adverse biological effects of chromium(VI) compounds. Recent in vitro studies have shown that this reduction process generates free radical species such as active oxygen radicals. Furthermore, physiological antioxidants are reported to modify the genotoxic</w:t>
      </w:r>
      <w:r w:rsidR="00F81221">
        <w:t xml:space="preserve"> and </w:t>
      </w:r>
      <w:r>
        <w:t>toxic effects of chromate. This article reviewed the recent in vitro</w:t>
      </w:r>
      <w:r w:rsidR="00F81221">
        <w:t xml:space="preserve"> and </w:t>
      </w:r>
      <w:r>
        <w:t>in vivo studies of the effects of antioxidants including active oxygen scavengers: glutathione: vitamins B2, E,</w:t>
      </w:r>
      <w:r w:rsidR="00F81221">
        <w:t xml:space="preserve"> and </w:t>
      </w:r>
      <w:r>
        <w:t>C, on chromate-induced injury such as DNA lesions; lipid peroxidation; enzyme inhibition: cytotoxicity; mutation:</w:t>
      </w:r>
      <w:r w:rsidR="00F81221">
        <w:t xml:space="preserve"> and </w:t>
      </w:r>
      <w:r>
        <w:t>so on. In addition, the mechanism of action of these antioxidants was discussed with respect to the formation of active oxygen radicals</w:t>
      </w:r>
      <w:r w:rsidR="00F81221">
        <w:t xml:space="preserve"> and </w:t>
      </w:r>
      <w:r>
        <w:t>paramagnetic chromium such as chromium(V)</w:t>
      </w:r>
      <w:r w:rsidR="00F81221">
        <w:t xml:space="preserve"> and </w:t>
      </w:r>
      <w:r>
        <w:t>(III). Such studies may help elucidate the mechanism of chromium(VI) toxicity as well as the mechanism of protection.</w:t>
      </w:r>
    </w:p>
    <w:p w:rsidR="00264E5D" w:rsidRPr="00A428C3" w:rsidRDefault="00264E5D" w:rsidP="00264E5D">
      <w:pPr>
        <w:pStyle w:val="a0"/>
      </w:pPr>
      <w:r>
        <w:t>Keywords: Chromium, Free Radicals, Antioxidant, Glutathione, Vitamin-B2, Vitamin-E, Vitamin-C, Single-Strand Breaks, Hexavalent Chromium Compounds, Sister-Chromatid Exchanges, Electron-Paramagnetic-Res, Cultured Mammalian-Cells, Chinese-Hamster Cells, Vitamin-E Protects, Ascorbic-Acid, Dna Lesions, Chromosomal-Aberrations</w:t>
      </w:r>
    </w:p>
    <w:p w:rsidR="00264E5D" w:rsidRPr="00A428C3" w:rsidRDefault="00264E5D" w:rsidP="00264E5D">
      <w:pPr>
        <w:pStyle w:val="a0"/>
      </w:pPr>
      <w:r w:rsidRPr="00A428C3">
        <w:lastRenderedPageBreak/>
        <w:t>Risby, T.H.</w:t>
      </w:r>
      <w:r w:rsidR="00F81221">
        <w:t xml:space="preserve"> and </w:t>
      </w:r>
      <w:r w:rsidRPr="00A428C3">
        <w:t xml:space="preserve">Sehnert, S.S. (1999), Clinical application of breath biomarkers of oxidative stress status. </w:t>
      </w:r>
      <w:r w:rsidRPr="00A428C3">
        <w:rPr>
          <w:i/>
        </w:rPr>
        <w:t>Free Radical Biology</w:t>
      </w:r>
      <w:r w:rsidR="00F81221">
        <w:rPr>
          <w:i/>
        </w:rPr>
        <w:t xml:space="preserve"> and </w:t>
      </w:r>
      <w:r w:rsidRPr="00A428C3">
        <w:rPr>
          <w:i/>
        </w:rPr>
        <w:t>Medicine</w:t>
      </w:r>
      <w:r w:rsidRPr="00A428C3">
        <w:t xml:space="preserve">, </w:t>
      </w:r>
      <w:r w:rsidRPr="00A428C3">
        <w:rPr>
          <w:b/>
        </w:rPr>
        <w:t>27</w:t>
      </w:r>
      <w:r w:rsidRPr="00A428C3">
        <w:t xml:space="preserve"> (11-12), 1182-1192.</w:t>
      </w:r>
    </w:p>
    <w:p w:rsidR="00264E5D" w:rsidRPr="00A428C3" w:rsidRDefault="00264E5D" w:rsidP="00264E5D">
      <w:pPr>
        <w:pStyle w:val="a0"/>
      </w:pPr>
      <w:r w:rsidRPr="00A428C3">
        <w:t xml:space="preserve">Full Text: </w:t>
      </w:r>
      <w:hyperlink r:id="rId128" w:history="1">
        <w:r w:rsidRPr="00A428C3">
          <w:rPr>
            <w:rStyle w:val="a5"/>
          </w:rPr>
          <w:t>F\Fre Rad Bio Med27, 1182.pdf</w:t>
        </w:r>
      </w:hyperlink>
    </w:p>
    <w:p w:rsidR="00B95188" w:rsidRPr="00A428C3" w:rsidRDefault="00B95188" w:rsidP="00B95188">
      <w:pPr>
        <w:pStyle w:val="a0"/>
      </w:pPr>
      <w:r w:rsidRPr="00A428C3">
        <w:t>Abstract: Isolation</w:t>
      </w:r>
      <w:r w:rsidR="00F81221">
        <w:t xml:space="preserve"> and </w:t>
      </w:r>
      <w:r w:rsidRPr="00A428C3">
        <w:t>quantification of volatile breath biomarkers indicative of relevant alterations in clinical status has required development of new techniques</w:t>
      </w:r>
      <w:r w:rsidR="00F81221">
        <w:t xml:space="preserve"> and </w:t>
      </w:r>
      <w:r w:rsidRPr="00A428C3">
        <w:t>applications of existing analytical chemical methods. The most significant obstacles to successful application of this type of sample have been reduction in required sample volume permitting replicate analysis (an absolute requirement for all clinical studies), separation of the analyte (s) of interest from background molecules, water vapor</w:t>
      </w:r>
      <w:r w:rsidR="00F81221">
        <w:t xml:space="preserve"> and </w:t>
      </w:r>
      <w:r w:rsidRPr="00A428C3">
        <w:t>other molecules with similar physical properties, introduction of automation in analysis</w:t>
      </w:r>
      <w:r w:rsidR="00F81221">
        <w:t xml:space="preserve"> and </w:t>
      </w:r>
      <w:r w:rsidRPr="00A428C3">
        <w:t>the use of selective detection systems (electron impact mass spectrometry, flame photometric, thermionic detectors),</w:t>
      </w:r>
      <w:r w:rsidR="00F81221">
        <w:t xml:space="preserve"> and </w:t>
      </w:r>
      <w:r w:rsidRPr="00A428C3">
        <w:t>automated sample collection from the human subject. Advances in adsorption technology</w:t>
      </w:r>
      <w:r w:rsidR="00F81221">
        <w:t xml:space="preserve"> and </w:t>
      </w:r>
      <w:r w:rsidRPr="00A428C3">
        <w:t>trace gas analysis have permitted rapid progress in this area of clinical chemistry. (C) 1999 Elsevier Science Inc.</w:t>
      </w:r>
    </w:p>
    <w:p w:rsidR="00B95188" w:rsidRPr="00A428C3" w:rsidRDefault="00B95188" w:rsidP="00B95188">
      <w:pPr>
        <w:pStyle w:val="a0"/>
      </w:pPr>
      <w:r w:rsidRPr="00A428C3">
        <w:t>Keywords: Mediated Lipid-Peroxidation, Vitamin-E, Reperfusion, Ethane, Liver, Generation, Smoking, Infants, Free Radical, Reactive Oxygen Species, Antioxidant Vitamins, Smoking, Ionizing Radiation, Reperfusion Injury, Breach Ethane</w:t>
      </w:r>
    </w:p>
    <w:p w:rsidR="00B95188" w:rsidRPr="00A428C3" w:rsidRDefault="00B95188" w:rsidP="00B95188">
      <w:pPr>
        <w:pStyle w:val="a0"/>
      </w:pPr>
      <w:r w:rsidRPr="00A428C3">
        <w:t>? Gurer, H.</w:t>
      </w:r>
      <w:r w:rsidR="00F81221">
        <w:t xml:space="preserve"> and </w:t>
      </w:r>
      <w:r w:rsidRPr="00A428C3">
        <w:t xml:space="preserve">Ercal, N. (2000), </w:t>
      </w:r>
      <w:r w:rsidRPr="00A428C3">
        <w:rPr>
          <w:szCs w:val="19"/>
        </w:rPr>
        <w:t>Can antioxidants be beneficial in the treatment of lead poisoning?</w:t>
      </w:r>
      <w:r w:rsidRPr="00A428C3">
        <w:t xml:space="preserve"> </w:t>
      </w:r>
      <w:r w:rsidRPr="00A428C3">
        <w:rPr>
          <w:i/>
        </w:rPr>
        <w:t>Free Radical Biology</w:t>
      </w:r>
      <w:r w:rsidR="00F81221">
        <w:rPr>
          <w:i/>
        </w:rPr>
        <w:t xml:space="preserve"> and </w:t>
      </w:r>
      <w:r w:rsidRPr="00A428C3">
        <w:rPr>
          <w:i/>
        </w:rPr>
        <w:t>Medicine</w:t>
      </w:r>
      <w:r w:rsidRPr="00A428C3">
        <w:t xml:space="preserve">, </w:t>
      </w:r>
      <w:r w:rsidRPr="00A428C3">
        <w:rPr>
          <w:b/>
        </w:rPr>
        <w:t>29</w:t>
      </w:r>
      <w:r w:rsidRPr="00A428C3">
        <w:t xml:space="preserve"> (10), </w:t>
      </w:r>
      <w:r w:rsidRPr="00A428C3">
        <w:rPr>
          <w:szCs w:val="19"/>
        </w:rPr>
        <w:t>927-945</w:t>
      </w:r>
      <w:r w:rsidRPr="00A428C3">
        <w:t>.</w:t>
      </w:r>
    </w:p>
    <w:p w:rsidR="00B95188" w:rsidRPr="00A428C3" w:rsidRDefault="00B95188" w:rsidP="00B95188">
      <w:pPr>
        <w:pStyle w:val="a0"/>
      </w:pPr>
      <w:r w:rsidRPr="00A428C3">
        <w:t xml:space="preserve">Full Text: </w:t>
      </w:r>
      <w:hyperlink r:id="rId129" w:history="1">
        <w:r w:rsidR="00264E5D" w:rsidRPr="00264E5D">
          <w:rPr>
            <w:rStyle w:val="a5"/>
          </w:rPr>
          <w:t>2000\Fre Rad Bio Med29, 927.pdf</w:t>
        </w:r>
      </w:hyperlink>
    </w:p>
    <w:p w:rsidR="00B95188" w:rsidRPr="00A428C3" w:rsidRDefault="00B95188" w:rsidP="00B95188">
      <w:pPr>
        <w:pStyle w:val="a0"/>
      </w:pPr>
      <w:r w:rsidRPr="00A428C3">
        <w:t>Abstract: Recent studies have shown that lead causes oxidative stress by inducing the generation of reactive oxygen species, reducing the antioxidant defense system of cells via depleting glutathione, inhibiting sulfhydryl-dependent enzymes, interfering with some essential metals needed for antioxidant enzyme activities, and/or increasing susceptibility of cells to oxidative attack by altering the membrane integrity</w:t>
      </w:r>
      <w:r w:rsidR="00F81221">
        <w:t xml:space="preserve"> and </w:t>
      </w:r>
      <w:r w:rsidRPr="00A428C3">
        <w:t>fatty acid composition. Consequently, it is plausible that impaired oxidant/antioxidant balance can be partially responsible for the toxic effects of lead. Where enhanced oxidative stress contributes to lead-induced toxicity, restoration of a cell</w:t>
      </w:r>
      <w:r w:rsidR="000352E7">
        <w:t>’</w:t>
      </w:r>
      <w:r w:rsidRPr="00A428C3">
        <w:t>s antioxidant capacity appears to provide a partial remedy. Several studies are underway to determine the effect of antioxidant supplementation following lead exposure. Data suggest that antioxidants may play an important role in abating some hazards of lead. To explain the importance of using antioxidants in treating lead poisoning the following topics are addressed: (i) Oxidative damage caused by lead poisoning; (ii) conventional treatment of lead poisoning</w:t>
      </w:r>
      <w:r w:rsidR="00F81221">
        <w:t xml:space="preserve"> and </w:t>
      </w:r>
      <w:r w:rsidRPr="00A428C3">
        <w:t>its side effects;</w:t>
      </w:r>
      <w:r w:rsidR="00F81221">
        <w:t xml:space="preserve"> and </w:t>
      </w:r>
      <w:r w:rsidRPr="00A428C3">
        <w:t>(iii) possible protective effects of antioxidants in lead toxicity. (C) 2000 Elsevier Science Inc.</w:t>
      </w:r>
    </w:p>
    <w:p w:rsidR="00B95188" w:rsidRPr="00A428C3" w:rsidRDefault="00B95188" w:rsidP="00B95188">
      <w:pPr>
        <w:pStyle w:val="a0"/>
      </w:pPr>
      <w:r w:rsidRPr="00A428C3">
        <w:t xml:space="preserve">Keywords: Free Radicals, Lead Poisoning, Antioxidants, Oxidative Stress, Treatment, Delta-Aminolevulinic-Acid, Alpha-Lipoic Acid, Superoxide-Dismutase Activity, </w:t>
      </w:r>
      <w:r w:rsidRPr="00A428C3">
        <w:lastRenderedPageBreak/>
        <w:t>Acute Intermittent Porphyria, Red-Blood-Cells, N-Acetylcysteine, Lipid-Peroxidation, Chelation-Therapy, Induced Hypertension, Fatty-Acid</w:t>
      </w:r>
    </w:p>
    <w:p w:rsidR="00B95188" w:rsidRPr="00A428C3" w:rsidRDefault="00B95188" w:rsidP="00B95188">
      <w:pPr>
        <w:pStyle w:val="1"/>
      </w:pPr>
      <w:r w:rsidRPr="00A428C3">
        <w:br w:type="page"/>
      </w:r>
      <w:bookmarkStart w:id="142" w:name="_Toc490687968"/>
      <w:bookmarkStart w:id="143" w:name="_Toc186647686"/>
      <w:bookmarkStart w:id="144" w:name="_Toc487190670"/>
      <w:bookmarkStart w:id="145" w:name="_Toc487882173"/>
      <w:bookmarkStart w:id="146" w:name="_Toc317160862"/>
      <w:r w:rsidRPr="00A428C3">
        <w:lastRenderedPageBreak/>
        <w:t>Title: Free Radical Research Communications</w:t>
      </w:r>
      <w:bookmarkEnd w:id="142"/>
      <w:bookmarkEnd w:id="143"/>
      <w:bookmarkEnd w:id="146"/>
    </w:p>
    <w:p w:rsidR="00B95188" w:rsidRPr="00A428C3" w:rsidRDefault="00B95188" w:rsidP="00B72EF9">
      <w:pPr>
        <w:pStyle w:val="12"/>
      </w:pPr>
      <w:r w:rsidRPr="00A428C3">
        <w:t>Full Journal Title: Free Radical Research Communications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Stclair, D.K.</w:t>
      </w:r>
      <w:r w:rsidR="00F81221">
        <w:t xml:space="preserve"> and </w:t>
      </w:r>
      <w:r w:rsidRPr="00A428C3">
        <w:t xml:space="preserve">Oberley, L.W. (1991), Manganese superoxide-dismutase expression in human cancer-cells-a possible role of messenger-RNA processing. </w:t>
      </w:r>
      <w:r w:rsidRPr="00A428C3">
        <w:rPr>
          <w:i/>
        </w:rPr>
        <w:t>Free Radical Research Communications</w:t>
      </w:r>
      <w:r w:rsidRPr="00A428C3">
        <w:t xml:space="preserve">, </w:t>
      </w:r>
      <w:r w:rsidRPr="00A428C3">
        <w:rPr>
          <w:b/>
        </w:rPr>
        <w:t>12-3</w:t>
      </w:r>
      <w:r w:rsidRPr="00A428C3">
        <w:t xml:space="preserve"> (P2), 771-778.</w:t>
      </w:r>
    </w:p>
    <w:p w:rsidR="00B95188" w:rsidRPr="00A428C3" w:rsidRDefault="00B95188" w:rsidP="00B95188">
      <w:pPr>
        <w:pStyle w:val="a0"/>
      </w:pPr>
      <w:r w:rsidRPr="00A428C3">
        <w:t>Keywords: Tumor Necrosis Factor, Induction, Fibroblasts, Acid, Mnsod, Human Cancer, Messenger RNA Processing, Western Blot, Northern Blot</w:t>
      </w:r>
    </w:p>
    <w:p w:rsidR="00982590" w:rsidRPr="00A428C3" w:rsidRDefault="00982590" w:rsidP="00982590">
      <w:pPr>
        <w:pStyle w:val="1"/>
      </w:pPr>
      <w:r w:rsidRPr="00A428C3">
        <w:br w:type="page"/>
      </w:r>
      <w:bookmarkStart w:id="147" w:name="_Toc317160863"/>
      <w:r w:rsidRPr="00A428C3">
        <w:lastRenderedPageBreak/>
        <w:t xml:space="preserve">Title: </w:t>
      </w:r>
      <w:r w:rsidRPr="00437B60">
        <w:rPr>
          <w:iCs/>
          <w:szCs w:val="24"/>
        </w:rPr>
        <w:t>French Review</w:t>
      </w:r>
      <w:bookmarkEnd w:id="147"/>
    </w:p>
    <w:p w:rsidR="00982590" w:rsidRPr="00A428C3" w:rsidRDefault="00982590" w:rsidP="00982590">
      <w:pPr>
        <w:pStyle w:val="12"/>
        <w:rPr>
          <w:lang w:val="de-DE"/>
        </w:rPr>
      </w:pPr>
      <w:r w:rsidRPr="00A428C3">
        <w:rPr>
          <w:lang w:val="de-DE"/>
        </w:rPr>
        <w:t xml:space="preserve">Full Journal Title: </w:t>
      </w:r>
      <w:r w:rsidRPr="00437B60">
        <w:rPr>
          <w:iCs/>
        </w:rPr>
        <w:t>French Review</w:t>
      </w:r>
    </w:p>
    <w:p w:rsidR="00982590" w:rsidRPr="00A428C3" w:rsidRDefault="00982590" w:rsidP="00982590">
      <w:pPr>
        <w:pStyle w:val="12"/>
      </w:pPr>
      <w:r w:rsidRPr="00A428C3">
        <w:t xml:space="preserve">ISO Abbreviated Title: </w:t>
      </w:r>
    </w:p>
    <w:p w:rsidR="00982590" w:rsidRPr="00A428C3" w:rsidRDefault="00982590" w:rsidP="00982590">
      <w:pPr>
        <w:pStyle w:val="12"/>
      </w:pPr>
      <w:r w:rsidRPr="00A428C3">
        <w:t xml:space="preserve">JCR Abbreviated Title: </w:t>
      </w:r>
    </w:p>
    <w:p w:rsidR="00982590" w:rsidRPr="00A428C3" w:rsidRDefault="00982590" w:rsidP="00982590">
      <w:pPr>
        <w:pStyle w:val="12"/>
      </w:pPr>
      <w:r w:rsidRPr="00A428C3">
        <w:t xml:space="preserve">ISSN: </w:t>
      </w:r>
    </w:p>
    <w:p w:rsidR="00982590" w:rsidRPr="00A428C3" w:rsidRDefault="00982590" w:rsidP="00982590">
      <w:pPr>
        <w:pStyle w:val="12"/>
      </w:pPr>
      <w:r w:rsidRPr="00A428C3">
        <w:t xml:space="preserve">Issues/Year: </w:t>
      </w:r>
    </w:p>
    <w:p w:rsidR="00982590" w:rsidRPr="00A428C3" w:rsidRDefault="00982590" w:rsidP="00982590">
      <w:pPr>
        <w:pStyle w:val="12"/>
      </w:pPr>
      <w:r w:rsidRPr="00A428C3">
        <w:t xml:space="preserve">Journal Country/Territory: </w:t>
      </w:r>
    </w:p>
    <w:p w:rsidR="00982590" w:rsidRPr="00A428C3" w:rsidRDefault="00982590" w:rsidP="00982590">
      <w:pPr>
        <w:pStyle w:val="12"/>
      </w:pPr>
      <w:r w:rsidRPr="00A428C3">
        <w:t xml:space="preserve">Language: </w:t>
      </w:r>
    </w:p>
    <w:p w:rsidR="00982590" w:rsidRPr="00A428C3" w:rsidRDefault="00982590" w:rsidP="00982590">
      <w:pPr>
        <w:pStyle w:val="12"/>
      </w:pPr>
      <w:r w:rsidRPr="00A428C3">
        <w:t xml:space="preserve">Publisher: </w:t>
      </w:r>
    </w:p>
    <w:p w:rsidR="00982590" w:rsidRPr="00A428C3" w:rsidRDefault="00982590" w:rsidP="00982590">
      <w:pPr>
        <w:pStyle w:val="12"/>
      </w:pPr>
      <w:r w:rsidRPr="00A428C3">
        <w:t xml:space="preserve">Publisher Address: </w:t>
      </w:r>
    </w:p>
    <w:p w:rsidR="00982590" w:rsidRPr="00A428C3" w:rsidRDefault="00982590" w:rsidP="00982590">
      <w:pPr>
        <w:pStyle w:val="12"/>
      </w:pPr>
      <w:r w:rsidRPr="00A428C3">
        <w:t>Subject Categories:</w:t>
      </w:r>
    </w:p>
    <w:p w:rsidR="00982590" w:rsidRPr="00A428C3" w:rsidRDefault="00982590" w:rsidP="00982590">
      <w:pPr>
        <w:pStyle w:val="12"/>
      </w:pPr>
      <w:r w:rsidRPr="00A428C3">
        <w:t>: Impact Factor</w:t>
      </w:r>
    </w:p>
    <w:p w:rsidR="00982590" w:rsidRDefault="00982590" w:rsidP="00982590">
      <w:pPr>
        <w:pStyle w:val="a0"/>
        <w:rPr>
          <w:kern w:val="0"/>
          <w:szCs w:val="24"/>
        </w:rPr>
      </w:pPr>
      <w:r>
        <w:rPr>
          <w:kern w:val="0"/>
          <w:szCs w:val="24"/>
        </w:rPr>
        <w:t>? Porter, L.M. (2010), Plagiarism</w:t>
      </w:r>
      <w:r w:rsidR="00F81221">
        <w:rPr>
          <w:kern w:val="0"/>
          <w:szCs w:val="24"/>
        </w:rPr>
        <w:t xml:space="preserve"> and </w:t>
      </w:r>
      <w:r>
        <w:rPr>
          <w:kern w:val="0"/>
          <w:szCs w:val="24"/>
        </w:rPr>
        <w:t>creativity (thirteen inquiries about the author</w:t>
      </w:r>
      <w:r w:rsidR="00F81221">
        <w:rPr>
          <w:kern w:val="0"/>
          <w:szCs w:val="24"/>
        </w:rPr>
        <w:t xml:space="preserve"> and </w:t>
      </w:r>
      <w:r>
        <w:rPr>
          <w:kern w:val="0"/>
          <w:szCs w:val="24"/>
        </w:rPr>
        <w:t xml:space="preserve">other). </w:t>
      </w:r>
      <w:r w:rsidRPr="00437B60">
        <w:rPr>
          <w:i/>
          <w:iCs/>
          <w:kern w:val="0"/>
          <w:szCs w:val="24"/>
        </w:rPr>
        <w:t>French Review</w:t>
      </w:r>
      <w:r>
        <w:rPr>
          <w:kern w:val="0"/>
          <w:szCs w:val="24"/>
        </w:rPr>
        <w:t xml:space="preserve">, </w:t>
      </w:r>
      <w:r>
        <w:rPr>
          <w:b/>
          <w:bCs/>
          <w:kern w:val="0"/>
          <w:szCs w:val="24"/>
        </w:rPr>
        <w:t>83</w:t>
      </w:r>
      <w:r>
        <w:rPr>
          <w:kern w:val="0"/>
          <w:szCs w:val="24"/>
        </w:rPr>
        <w:t xml:space="preserve"> (5), 1068-1069.</w:t>
      </w:r>
    </w:p>
    <w:p w:rsidR="00982590" w:rsidRDefault="00982590" w:rsidP="00982590">
      <w:pPr>
        <w:pStyle w:val="a0"/>
        <w:rPr>
          <w:kern w:val="0"/>
          <w:szCs w:val="24"/>
        </w:rPr>
      </w:pPr>
      <w:r>
        <w:rPr>
          <w:kern w:val="0"/>
          <w:szCs w:val="24"/>
        </w:rPr>
        <w:t>Keywords: Creativity, Plagiarism</w:t>
      </w:r>
    </w:p>
    <w:p w:rsidR="00B95188" w:rsidRPr="00A428C3" w:rsidRDefault="00B95188" w:rsidP="00B95188">
      <w:pPr>
        <w:pStyle w:val="1"/>
      </w:pPr>
      <w:r w:rsidRPr="00A428C3">
        <w:br w:type="page"/>
      </w:r>
      <w:bookmarkStart w:id="148" w:name="_Toc487190671"/>
      <w:bookmarkStart w:id="149" w:name="_Toc487882174"/>
      <w:bookmarkStart w:id="150" w:name="_Toc490687970"/>
      <w:bookmarkStart w:id="151" w:name="_Toc186647688"/>
      <w:bookmarkStart w:id="152" w:name="_Toc317160864"/>
      <w:r w:rsidRPr="00A428C3">
        <w:lastRenderedPageBreak/>
        <w:t>Title: Fresenius Environmental Bulletin</w:t>
      </w:r>
      <w:bookmarkEnd w:id="148"/>
      <w:bookmarkEnd w:id="149"/>
      <w:bookmarkEnd w:id="150"/>
      <w:bookmarkEnd w:id="151"/>
      <w:bookmarkEnd w:id="152"/>
    </w:p>
    <w:p w:rsidR="00B95188" w:rsidRPr="00A428C3" w:rsidRDefault="00B95188" w:rsidP="00B72EF9">
      <w:pPr>
        <w:pStyle w:val="12"/>
      </w:pPr>
      <w:r w:rsidRPr="00A428C3">
        <w:t xml:space="preserve">Full Journal Title: </w:t>
      </w:r>
      <w:hyperlink r:id="rId130" w:history="1">
        <w:r w:rsidRPr="00A428C3">
          <w:rPr>
            <w:rStyle w:val="a5"/>
          </w:rPr>
          <w:t>Fresenius Environmental Bulletin</w:t>
        </w:r>
      </w:hyperlink>
    </w:p>
    <w:p w:rsidR="00B95188" w:rsidRPr="00A428C3" w:rsidRDefault="00B95188" w:rsidP="00B72EF9">
      <w:pPr>
        <w:pStyle w:val="12"/>
      </w:pPr>
      <w:r w:rsidRPr="00A428C3">
        <w:t>ISO Abbreviated Title: Fresenius Environ. Bull.</w:t>
      </w:r>
    </w:p>
    <w:p w:rsidR="00B95188" w:rsidRPr="00A428C3" w:rsidRDefault="00B95188" w:rsidP="00B72EF9">
      <w:pPr>
        <w:pStyle w:val="12"/>
      </w:pPr>
      <w:r w:rsidRPr="00A428C3">
        <w:t>JCR Abbreviated Title: Fresen Environ Bull</w:t>
      </w:r>
    </w:p>
    <w:p w:rsidR="00B95188" w:rsidRPr="00A428C3" w:rsidRDefault="00B95188" w:rsidP="00B72EF9">
      <w:pPr>
        <w:pStyle w:val="12"/>
      </w:pPr>
      <w:r w:rsidRPr="00A428C3">
        <w:t>ISSN: 1018-4619</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rPr>
          <w:lang w:val="de-DE"/>
        </w:rPr>
      </w:pPr>
      <w:r w:rsidRPr="00A428C3">
        <w:rPr>
          <w:lang w:val="de-DE"/>
        </w:rPr>
        <w:t>Language: English</w:t>
      </w:r>
    </w:p>
    <w:p w:rsidR="00B95188" w:rsidRPr="00A428C3" w:rsidRDefault="00B95188" w:rsidP="00B72EF9">
      <w:pPr>
        <w:pStyle w:val="12"/>
        <w:rPr>
          <w:lang w:val="de-DE"/>
        </w:rPr>
      </w:pPr>
      <w:r w:rsidRPr="00A428C3">
        <w:rPr>
          <w:lang w:val="de-DE"/>
        </w:rPr>
        <w:t>Publisher: Inst Lebensmitteltechnologie Analytische Chemie</w:t>
      </w:r>
    </w:p>
    <w:p w:rsidR="00B95188" w:rsidRPr="00A428C3" w:rsidRDefault="00B95188" w:rsidP="00B72EF9">
      <w:pPr>
        <w:pStyle w:val="12"/>
      </w:pPr>
      <w:r w:rsidRPr="00A428C3">
        <w:t xml:space="preserve">Publisher Address: Technische Universitat Munchen, D-85350 </w:t>
      </w:r>
      <w:smartTag w:uri="urn:schemas-microsoft-com:office:smarttags" w:element="place">
        <w:smartTag w:uri="urn:schemas-microsoft-com:office:smarttags" w:element="City">
          <w:r w:rsidRPr="00A428C3">
            <w:t>Freising-Weihenstephan</w:t>
          </w:r>
        </w:smartTag>
        <w:r w:rsidRPr="00A428C3">
          <w:t xml:space="preserve">, </w:t>
        </w:r>
        <w:smartTag w:uri="urn:schemas-microsoft-com:office:smarttags" w:element="country-region">
          <w:r w:rsidRPr="00A428C3">
            <w:t>Germany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Environmental Sciences: Impact Factor 0.225, 115/126 (1999); Impact Factor 0.277, 112/127 (2000); Impact Factor 0.325, 123/131 (2003); Impact Factor 0.480, 118/134 (2004); Impact Factor 0.509, 124/140 (2005)</w:t>
      </w:r>
      <w:r>
        <w:rPr>
          <w:rFonts w:hint="eastAsia"/>
        </w:rPr>
        <w:t xml:space="preserve">; </w:t>
      </w:r>
      <w:r w:rsidRPr="00A428C3">
        <w:t>Impact Factor 0.4</w:t>
      </w:r>
      <w:r>
        <w:rPr>
          <w:rFonts w:hint="eastAsia"/>
        </w:rPr>
        <w:t>29</w:t>
      </w:r>
      <w:r w:rsidRPr="00A428C3">
        <w:t xml:space="preserve">, </w:t>
      </w:r>
      <w:r>
        <w:rPr>
          <w:rFonts w:hint="eastAsia"/>
        </w:rPr>
        <w:t>148</w:t>
      </w:r>
      <w:r w:rsidRPr="00A428C3">
        <w:t>/1</w:t>
      </w:r>
      <w:r>
        <w:rPr>
          <w:rFonts w:hint="eastAsia"/>
        </w:rPr>
        <w:t>60</w:t>
      </w:r>
      <w:r w:rsidRPr="00A428C3">
        <w:t xml:space="preserve"> (200</w:t>
      </w:r>
      <w:r>
        <w:rPr>
          <w:rFonts w:hint="eastAsia"/>
        </w:rPr>
        <w:t>7</w:t>
      </w:r>
      <w:r w:rsidRPr="00A428C3">
        <w:t>)</w:t>
      </w:r>
      <w:r w:rsidR="00A8410E">
        <w:rPr>
          <w:rFonts w:hint="eastAsia"/>
        </w:rPr>
        <w:t xml:space="preserve">; </w:t>
      </w:r>
      <w:r w:rsidR="00A8410E" w:rsidRPr="00A428C3">
        <w:t>Impact Factor 0.4</w:t>
      </w:r>
      <w:r w:rsidR="00A8410E">
        <w:rPr>
          <w:rFonts w:hint="eastAsia"/>
        </w:rPr>
        <w:t>63</w:t>
      </w:r>
      <w:r w:rsidR="00A8410E" w:rsidRPr="00A428C3">
        <w:t xml:space="preserve">, </w:t>
      </w:r>
      <w:r w:rsidR="00A8410E">
        <w:rPr>
          <w:rFonts w:hint="eastAsia"/>
        </w:rPr>
        <w:t>154</w:t>
      </w:r>
      <w:r w:rsidR="00A8410E" w:rsidRPr="00A428C3">
        <w:t>/1</w:t>
      </w:r>
      <w:r w:rsidR="00A8410E">
        <w:rPr>
          <w:rFonts w:hint="eastAsia"/>
        </w:rPr>
        <w:t>63</w:t>
      </w:r>
      <w:r w:rsidR="00A8410E" w:rsidRPr="00A428C3">
        <w:t xml:space="preserve"> (200</w:t>
      </w:r>
      <w:r w:rsidR="00A8410E">
        <w:rPr>
          <w:rFonts w:hint="eastAsia"/>
        </w:rPr>
        <w:t>8</w:t>
      </w:r>
      <w:r w:rsidR="00A8410E" w:rsidRPr="00A428C3">
        <w:t>)</w:t>
      </w:r>
      <w:r w:rsidR="00A82B07">
        <w:rPr>
          <w:rFonts w:hint="eastAsia"/>
        </w:rPr>
        <w:t xml:space="preserve">; </w:t>
      </w:r>
      <w:r w:rsidR="00A82B07" w:rsidRPr="00A428C3">
        <w:t>Impact Factor 0.</w:t>
      </w:r>
      <w:r w:rsidR="00A82B07">
        <w:rPr>
          <w:rFonts w:hint="eastAsia"/>
        </w:rPr>
        <w:t>531</w:t>
      </w:r>
      <w:r w:rsidR="00A82B07" w:rsidRPr="00A428C3">
        <w:t xml:space="preserve">, </w:t>
      </w:r>
      <w:r w:rsidR="00A82B07">
        <w:rPr>
          <w:rFonts w:hint="eastAsia"/>
        </w:rPr>
        <w:t>168/181</w:t>
      </w:r>
      <w:r w:rsidR="00A82B07" w:rsidRPr="00A428C3">
        <w:t xml:space="preserve"> (200</w:t>
      </w:r>
      <w:r w:rsidR="00A82B07">
        <w:rPr>
          <w:rFonts w:hint="eastAsia"/>
        </w:rPr>
        <w:t>9</w:t>
      </w:r>
      <w:r w:rsidR="00A82B07" w:rsidRPr="00A428C3">
        <w:t>)</w:t>
      </w:r>
    </w:p>
    <w:p w:rsidR="00B95188" w:rsidRPr="00A428C3" w:rsidRDefault="00B95188" w:rsidP="00B95188">
      <w:pPr>
        <w:pStyle w:val="a0"/>
      </w:pPr>
      <w:r w:rsidRPr="00A428C3">
        <w:t>Viraraghavan, T.</w:t>
      </w:r>
      <w:r w:rsidR="00F81221">
        <w:t xml:space="preserve"> and </w:t>
      </w:r>
      <w:r w:rsidRPr="00A428C3">
        <w:t xml:space="preserve">Mihial, D.J. (1995), Color removal using peat. </w:t>
      </w:r>
      <w:r w:rsidRPr="00A428C3">
        <w:rPr>
          <w:i/>
        </w:rPr>
        <w:t>Fresenius Environmental Bulletin</w:t>
      </w:r>
      <w:r w:rsidRPr="00A428C3">
        <w:t xml:space="preserve">, </w:t>
      </w:r>
      <w:r w:rsidRPr="00A428C3">
        <w:rPr>
          <w:b/>
        </w:rPr>
        <w:t>4</w:t>
      </w:r>
      <w:r w:rsidRPr="00A428C3">
        <w:t xml:space="preserve"> (6), 346-351.</w:t>
      </w:r>
    </w:p>
    <w:p w:rsidR="00B95188" w:rsidRPr="00A428C3" w:rsidRDefault="00B95188" w:rsidP="00B95188">
      <w:pPr>
        <w:pStyle w:val="a0"/>
      </w:pPr>
      <w:r w:rsidRPr="00A428C3">
        <w:t xml:space="preserve">Abstract: Peat is a highly organic material found in damp, marshy areas around the world. Laboratory batch studies were conducted to assess the potential of </w:t>
      </w:r>
      <w:smartTag w:uri="urn:schemas-microsoft-com:office:smarttags" w:element="place">
        <w:smartTag w:uri="urn:schemas-microsoft-com:office:smarttags" w:element="State">
          <w:r w:rsidRPr="00A428C3">
            <w:t>Saskatchewan</w:t>
          </w:r>
        </w:smartTag>
      </w:smartTag>
      <w:r w:rsidRPr="00A428C3">
        <w:t xml:space="preserve"> horticultural peat for treating dye coloured effluent similar to those produced in textile dyehouses. Two dyes, one basic</w:t>
      </w:r>
      <w:r w:rsidR="00F81221">
        <w:t xml:space="preserve"> and </w:t>
      </w:r>
      <w:r w:rsidRPr="00A428C3">
        <w:t>the other acidic, were used to determine the difference in adsorption between the two. Batch studies showed that the basic dye was adsorbed better (99%) compared with the acidic dye (48%). The equilibrium time for adsorption was 30 minutes</w:t>
      </w:r>
      <w:r w:rsidR="00F81221">
        <w:t xml:space="preserve"> and </w:t>
      </w:r>
      <w:r w:rsidRPr="00A428C3">
        <w:t>100 minutes for the basic</w:t>
      </w:r>
      <w:r w:rsidR="00F81221">
        <w:t xml:space="preserve"> and </w:t>
      </w:r>
      <w:r w:rsidRPr="00A428C3">
        <w:t>acidic dyes respectively. The adsorption of both dyes by peat followed both the Langmuir</w:t>
      </w:r>
      <w:r w:rsidR="00F81221">
        <w:t xml:space="preserve"> and </w:t>
      </w:r>
      <w:r w:rsidRPr="00A428C3">
        <w:t>Freundlich isotherms.</w:t>
      </w:r>
    </w:p>
    <w:p w:rsidR="00B95188" w:rsidRPr="00A428C3" w:rsidRDefault="00B95188" w:rsidP="00B95188">
      <w:pPr>
        <w:pStyle w:val="a0"/>
      </w:pPr>
      <w:r w:rsidRPr="00A428C3">
        <w:t>Keywords: Peat, Color, Adsorption, Isotherms, Textile Dyes</w:t>
      </w:r>
    </w:p>
    <w:p w:rsidR="00091BE3" w:rsidRDefault="00091BE3" w:rsidP="00091BE3">
      <w:pPr>
        <w:pStyle w:val="a0"/>
        <w:rPr>
          <w:kern w:val="0"/>
        </w:rPr>
      </w:pPr>
      <w:r>
        <w:rPr>
          <w:rFonts w:hint="eastAsia"/>
          <w:kern w:val="0"/>
        </w:rPr>
        <w:t xml:space="preserve">? </w:t>
      </w:r>
      <w:r>
        <w:rPr>
          <w:kern w:val="0"/>
        </w:rPr>
        <w:t>Bayer, E., Maurer, A., Deyle, C.J.</w:t>
      </w:r>
      <w:r w:rsidR="00F81221">
        <w:rPr>
          <w:kern w:val="0"/>
        </w:rPr>
        <w:t xml:space="preserve"> and </w:t>
      </w:r>
      <w:r>
        <w:rPr>
          <w:kern w:val="0"/>
        </w:rPr>
        <w:t>Kutubuddin, M. (1995), Recovery of activated carbons from wastes via low-temperature conversion.</w:t>
      </w:r>
      <w:r>
        <w:rPr>
          <w:rFonts w:hint="eastAsia"/>
          <w:kern w:val="0"/>
        </w:rPr>
        <w:t xml:space="preserve"> </w:t>
      </w:r>
      <w:r>
        <w:rPr>
          <w:kern w:val="0"/>
        </w:rPr>
        <w:t>2. Analysis</w:t>
      </w:r>
      <w:r w:rsidR="00F81221">
        <w:rPr>
          <w:kern w:val="0"/>
        </w:rPr>
        <w:t xml:space="preserve"> and </w:t>
      </w:r>
      <w:r>
        <w:rPr>
          <w:kern w:val="0"/>
        </w:rPr>
        <w:t xml:space="preserve">evaluation of applicability. </w:t>
      </w:r>
      <w:r>
        <w:rPr>
          <w:i/>
          <w:iCs/>
          <w:kern w:val="0"/>
        </w:rPr>
        <w:t>Fresenius Environmental Bulletin</w:t>
      </w:r>
      <w:r>
        <w:rPr>
          <w:kern w:val="0"/>
        </w:rPr>
        <w:t xml:space="preserve">, </w:t>
      </w:r>
      <w:r>
        <w:rPr>
          <w:b/>
          <w:bCs/>
          <w:kern w:val="0"/>
        </w:rPr>
        <w:t>4</w:t>
      </w:r>
      <w:r>
        <w:rPr>
          <w:kern w:val="0"/>
        </w:rPr>
        <w:t xml:space="preserve"> (9), 539-544.</w:t>
      </w:r>
    </w:p>
    <w:p w:rsidR="00091BE3" w:rsidRDefault="00091BE3" w:rsidP="00091BE3">
      <w:pPr>
        <w:pStyle w:val="a0"/>
        <w:rPr>
          <w:kern w:val="0"/>
        </w:rPr>
      </w:pPr>
      <w:r>
        <w:rPr>
          <w:kern w:val="0"/>
        </w:rPr>
        <w:t>Abstract: Activated carbons produced from Low Temperature Conversion chars of various wastes were subjected to a number of adsorption tests (methylene blue, iodine, COD-</w:t>
      </w:r>
      <w:r w:rsidR="00F81221">
        <w:rPr>
          <w:kern w:val="0"/>
        </w:rPr>
        <w:t xml:space="preserve"> and </w:t>
      </w:r>
      <w:r>
        <w:rPr>
          <w:kern w:val="0"/>
        </w:rPr>
        <w:t>humic acid adsorption, hexane</w:t>
      </w:r>
      <w:r w:rsidR="00F81221">
        <w:rPr>
          <w:kern w:val="0"/>
        </w:rPr>
        <w:t xml:space="preserve"> and </w:t>
      </w:r>
      <w:r>
        <w:rPr>
          <w:kern w:val="0"/>
        </w:rPr>
        <w:t>tetrachloromethane adsorption) in order to compare their adsorption properties with commercial samples. Together with the characterization of the inorganic components</w:t>
      </w:r>
      <w:r w:rsidR="00F81221">
        <w:rPr>
          <w:kern w:val="0"/>
        </w:rPr>
        <w:t xml:space="preserve"> and </w:t>
      </w:r>
      <w:r>
        <w:rPr>
          <w:kern w:val="0"/>
        </w:rPr>
        <w:t>water-solubles, these data permit an approximate estimation of their ecological impact</w:t>
      </w:r>
      <w:r w:rsidR="00F81221">
        <w:rPr>
          <w:kern w:val="0"/>
        </w:rPr>
        <w:t xml:space="preserve"> and </w:t>
      </w:r>
      <w:r>
        <w:rPr>
          <w:kern w:val="0"/>
        </w:rPr>
        <w:t xml:space="preserve">possible fields of </w:t>
      </w:r>
      <w:r>
        <w:rPr>
          <w:kern w:val="0"/>
        </w:rPr>
        <w:lastRenderedPageBreak/>
        <w:t>application.</w:t>
      </w:r>
    </w:p>
    <w:p w:rsidR="00091BE3" w:rsidRDefault="00091BE3" w:rsidP="00091BE3">
      <w:pPr>
        <w:pStyle w:val="a0"/>
        <w:rPr>
          <w:kern w:val="0"/>
        </w:rPr>
      </w:pPr>
      <w:r>
        <w:rPr>
          <w:kern w:val="0"/>
        </w:rPr>
        <w:t>Keywords: Activated Carbon, Activated Carbons, Adsorption, Adsorption Properties, Adsorption,Water Purification, COD, Evaluation, Feedstock Recycling, Humic Acid, Impact, Ion, Low Temperature Conversion, Methylene Blue, Recovery, Temperature, Wastes</w:t>
      </w:r>
    </w:p>
    <w:p w:rsidR="00B95188" w:rsidRPr="00A428C3" w:rsidRDefault="00B95188" w:rsidP="00B95188">
      <w:pPr>
        <w:pStyle w:val="a0"/>
      </w:pPr>
      <w:r w:rsidRPr="00A428C3">
        <w:t>? Pires, M.A.F., Dantas, E.S.K.</w:t>
      </w:r>
      <w:r w:rsidR="00F81221">
        <w:t xml:space="preserve"> and </w:t>
      </w:r>
      <w:r w:rsidRPr="00A428C3">
        <w:t xml:space="preserve">Munita, C.S. (1995), An attempt to identify commercial drinking-water through means of some ionic species. </w:t>
      </w:r>
      <w:r w:rsidRPr="00A428C3">
        <w:rPr>
          <w:i/>
        </w:rPr>
        <w:t>Fresenius Environmental Bulletin</w:t>
      </w:r>
      <w:r w:rsidRPr="00A428C3">
        <w:t xml:space="preserve">, </w:t>
      </w:r>
      <w:r w:rsidRPr="00A428C3">
        <w:rPr>
          <w:b/>
        </w:rPr>
        <w:t>4</w:t>
      </w:r>
      <w:r w:rsidRPr="00A428C3">
        <w:t xml:space="preserve"> (11), 673-678.</w:t>
      </w:r>
    </w:p>
    <w:p w:rsidR="00B95188" w:rsidRPr="00A428C3" w:rsidRDefault="00B95188" w:rsidP="00B95188">
      <w:pPr>
        <w:pStyle w:val="a0"/>
      </w:pPr>
      <w:r w:rsidRPr="00A428C3">
        <w:t>Abstract: Ion chromatography technique was used to determine the concentrations of F, Cl</w:t>
      </w:r>
      <w:r w:rsidRPr="00A428C3">
        <w:rPr>
          <w:vertAlign w:val="superscript"/>
        </w:rPr>
        <w:t>-</w:t>
      </w:r>
      <w:r w:rsidRPr="00A428C3">
        <w:t>, NO</w:t>
      </w:r>
      <w:r w:rsidRPr="00A428C3">
        <w:rPr>
          <w:vertAlign w:val="subscript"/>
        </w:rPr>
        <w:t>3</w:t>
      </w:r>
      <w:r w:rsidRPr="00A428C3">
        <w:rPr>
          <w:vertAlign w:val="superscript"/>
        </w:rPr>
        <w:t>-</w:t>
      </w:r>
      <w:r w:rsidRPr="00A428C3">
        <w:t>, SO</w:t>
      </w:r>
      <w:r w:rsidRPr="00A428C3">
        <w:rPr>
          <w:vertAlign w:val="subscript"/>
        </w:rPr>
        <w:t>4</w:t>
      </w:r>
      <w:r w:rsidRPr="00A428C3">
        <w:rPr>
          <w:vertAlign w:val="superscript"/>
        </w:rPr>
        <w:t>2-</w:t>
      </w:r>
      <w:r w:rsidRPr="00A428C3">
        <w:t>, Mg</w:t>
      </w:r>
      <w:r w:rsidRPr="00A428C3">
        <w:rPr>
          <w:vertAlign w:val="superscript"/>
        </w:rPr>
        <w:t>2+</w:t>
      </w:r>
      <w:r w:rsidRPr="00A428C3">
        <w:t>, Ca</w:t>
      </w:r>
      <w:r w:rsidRPr="00A428C3">
        <w:rPr>
          <w:vertAlign w:val="superscript"/>
        </w:rPr>
        <w:t>2+</w:t>
      </w:r>
      <w:r w:rsidR="00F81221">
        <w:t xml:space="preserve"> and </w:t>
      </w:r>
      <w:r w:rsidRPr="00A428C3">
        <w:t>pH in five different brands of bottled drinking water sold in Sao Paulo supermarkets. To choose from the samples, the consumption criteria was used. Results were compared to the recommended standards of the World Health Organization (WHO)</w:t>
      </w:r>
      <w:r w:rsidR="00F81221">
        <w:t xml:space="preserve"> and </w:t>
      </w:r>
      <w:r w:rsidRPr="00A428C3">
        <w:t>the standards applied to the member states of the European Community (EC). A statistical method was used to determine which of the ionic species differentiated from the different brands.</w:t>
      </w:r>
    </w:p>
    <w:p w:rsidR="00B95188" w:rsidRPr="00A428C3" w:rsidRDefault="00B95188" w:rsidP="00B95188">
      <w:pPr>
        <w:pStyle w:val="a0"/>
      </w:pPr>
      <w:r w:rsidRPr="00A428C3">
        <w:t>Keywords: Drinking Water, Ion Chromatography, Ionic Species, Anions, Cations</w:t>
      </w:r>
    </w:p>
    <w:p w:rsidR="00B95188" w:rsidRPr="00A428C3" w:rsidRDefault="00B95188" w:rsidP="00B95188">
      <w:pPr>
        <w:pStyle w:val="a0"/>
      </w:pPr>
      <w:r w:rsidRPr="00A428C3">
        <w:t xml:space="preserve">? Dahab, O.A. (1996), Phenolic compounds in two different coastal environments. </w:t>
      </w:r>
      <w:r w:rsidRPr="00A428C3">
        <w:rPr>
          <w:i/>
        </w:rPr>
        <w:t>Fresenius Environmental Bulletin</w:t>
      </w:r>
      <w:r w:rsidRPr="00A428C3">
        <w:t xml:space="preserve">, </w:t>
      </w:r>
      <w:r w:rsidRPr="00A428C3">
        <w:rPr>
          <w:b/>
        </w:rPr>
        <w:t>5</w:t>
      </w:r>
      <w:r w:rsidRPr="00A428C3">
        <w:t xml:space="preserve"> (5-6), 264-269.</w:t>
      </w:r>
    </w:p>
    <w:p w:rsidR="00B95188" w:rsidRPr="00A428C3" w:rsidRDefault="00B95188" w:rsidP="00B95188">
      <w:pPr>
        <w:pStyle w:val="a0"/>
      </w:pPr>
      <w:r w:rsidRPr="00A428C3">
        <w:t>Abstract: The total phenolic compounds in sea water</w:t>
      </w:r>
      <w:r w:rsidR="00F81221">
        <w:t xml:space="preserve"> and </w:t>
      </w:r>
      <w:r w:rsidRPr="00A428C3">
        <w:t>fish from Alexandria</w:t>
      </w:r>
      <w:r w:rsidR="00F81221">
        <w:t xml:space="preserve"> and </w:t>
      </w:r>
      <w:r w:rsidRPr="00A428C3">
        <w:t>Doha coastal environments were determined spectrophotometrically by the 4-aminoantipyrine method. Phenolic compounds are omnipresent in the investigated environments. The impact of human activities in raising the phenolic concentrations found in sea water of the two environments was considerable especially in Abu Kir Bay of Alexandria</w:t>
      </w:r>
      <w:r w:rsidR="00F81221">
        <w:t xml:space="preserve"> and </w:t>
      </w:r>
      <w:r w:rsidRPr="00A428C3">
        <w:t xml:space="preserve">the landfill site of </w:t>
      </w:r>
      <w:smartTag w:uri="urn:schemas-microsoft-com:office:smarttags" w:element="place">
        <w:smartTag w:uri="urn:schemas-microsoft-com:office:smarttags" w:element="City">
          <w:r w:rsidRPr="00A428C3">
            <w:t>Doha</w:t>
          </w:r>
        </w:smartTag>
      </w:smartTag>
      <w:r w:rsidRPr="00A428C3">
        <w:t xml:space="preserve">. Phenols found in fish caught from </w:t>
      </w:r>
      <w:smartTag w:uri="urn:schemas-microsoft-com:office:smarttags" w:element="City">
        <w:r w:rsidRPr="00A428C3">
          <w:t>Alexandria</w:t>
        </w:r>
      </w:smartTag>
      <w:r w:rsidRPr="00A428C3">
        <w:t xml:space="preserve"> wafers were undoubtedly higher than those found in </w:t>
      </w:r>
      <w:smartTag w:uri="urn:schemas-microsoft-com:office:smarttags" w:element="place">
        <w:smartTag w:uri="urn:schemas-microsoft-com:office:smarttags" w:element="City">
          <w:r w:rsidRPr="00A428C3">
            <w:t>Doha</w:t>
          </w:r>
        </w:smartTag>
      </w:smartTag>
      <w:r w:rsidRPr="00A428C3">
        <w:t xml:space="preserve"> samples. It was difficult to compare the obtained results with those from other areas in the Mediterranean Sea</w:t>
      </w:r>
      <w:r w:rsidR="00F81221">
        <w:t xml:space="preserve"> and </w:t>
      </w:r>
      <w:r w:rsidRPr="00A428C3">
        <w:t xml:space="preserve">the </w:t>
      </w:r>
      <w:smartTag w:uri="urn:schemas-microsoft-com:office:smarttags" w:element="place">
        <w:r w:rsidRPr="00A428C3">
          <w:t>Arabian Gulf</w:t>
        </w:r>
      </w:smartTag>
      <w:r w:rsidRPr="00A428C3">
        <w:t xml:space="preserve"> due to scarcity of the published data about phenol pollution in these areas.</w:t>
      </w:r>
    </w:p>
    <w:p w:rsidR="00B95188" w:rsidRPr="00A428C3" w:rsidRDefault="00B95188" w:rsidP="00B95188">
      <w:pPr>
        <w:pStyle w:val="a0"/>
      </w:pPr>
      <w:r w:rsidRPr="00A13428">
        <w:t>Keywords:</w:t>
      </w:r>
      <w:r w:rsidRPr="00A428C3">
        <w:t xml:space="preserve"> </w:t>
      </w:r>
      <w:smartTag w:uri="urn:schemas-microsoft-com:office:smarttags" w:element="PlaceName">
        <w:r w:rsidRPr="00A428C3">
          <w:t>Alexandria</w:t>
        </w:r>
      </w:smartTag>
      <w:r w:rsidRPr="00A428C3">
        <w:t xml:space="preserve"> </w:t>
      </w:r>
      <w:smartTag w:uri="urn:schemas-microsoft-com:office:smarttags" w:element="PlaceType">
        <w:r w:rsidRPr="00A428C3">
          <w:t>Coast</w:t>
        </w:r>
      </w:smartTag>
      <w:r w:rsidRPr="00A428C3">
        <w:t xml:space="preserve">, </w:t>
      </w:r>
      <w:smartTag w:uri="urn:schemas-microsoft-com:office:smarttags" w:element="place">
        <w:smartTag w:uri="urn:schemas-microsoft-com:office:smarttags" w:element="PlaceName">
          <w:r w:rsidRPr="00A428C3">
            <w:t>Doha</w:t>
          </w:r>
        </w:smartTag>
        <w:r w:rsidRPr="00A428C3">
          <w:t xml:space="preserve"> </w:t>
        </w:r>
        <w:smartTag w:uri="urn:schemas-microsoft-com:office:smarttags" w:element="PlaceType">
          <w:r w:rsidRPr="00A428C3">
            <w:t>Coast</w:t>
          </w:r>
        </w:smartTag>
      </w:smartTag>
      <w:r w:rsidRPr="00A428C3">
        <w:t>, Phenolic Compounds, Phenols in Fish Muscle, Phenols in Sea Water</w:t>
      </w:r>
    </w:p>
    <w:p w:rsidR="00B95188" w:rsidRPr="00A428C3" w:rsidRDefault="00B95188" w:rsidP="00B95188">
      <w:pPr>
        <w:pStyle w:val="a0"/>
      </w:pPr>
      <w:r w:rsidRPr="00A428C3">
        <w:t>? Payman, M.A.</w:t>
      </w:r>
      <w:r w:rsidR="00F81221">
        <w:t xml:space="preserve"> and </w:t>
      </w:r>
      <w:r w:rsidRPr="00A428C3">
        <w:t xml:space="preserve">Mahnaz, M.A. (1998), Decolourization of textile effluent by </w:t>
      </w:r>
      <w:r w:rsidR="00B20869" w:rsidRPr="00B20869">
        <w:rPr>
          <w:i/>
          <w:iCs/>
        </w:rPr>
        <w:t>Aspergillus niger</w:t>
      </w:r>
      <w:r w:rsidRPr="00A428C3">
        <w:t xml:space="preserve"> (marine</w:t>
      </w:r>
      <w:r w:rsidR="00F81221">
        <w:t xml:space="preserve"> and </w:t>
      </w:r>
      <w:r w:rsidRPr="00A428C3">
        <w:t xml:space="preserve">terrestrial). </w:t>
      </w:r>
      <w:r w:rsidRPr="00A428C3">
        <w:rPr>
          <w:i/>
        </w:rPr>
        <w:t>Fresenius Environmental Bulletin</w:t>
      </w:r>
      <w:r w:rsidRPr="00A428C3">
        <w:t xml:space="preserve">, </w:t>
      </w:r>
      <w:r w:rsidRPr="00A428C3">
        <w:rPr>
          <w:b/>
        </w:rPr>
        <w:t>7</w:t>
      </w:r>
      <w:r w:rsidRPr="00A428C3">
        <w:t xml:space="preserve"> (1-2), 1-7.</w:t>
      </w:r>
    </w:p>
    <w:p w:rsidR="00B95188" w:rsidRPr="00A428C3" w:rsidRDefault="00B95188" w:rsidP="00B95188">
      <w:pPr>
        <w:pStyle w:val="a0"/>
      </w:pPr>
      <w:r w:rsidRPr="00A428C3">
        <w:t xml:space="preserve">Abstract: Two types of </w:t>
      </w:r>
      <w:r w:rsidR="00B20869" w:rsidRPr="00B20869">
        <w:rPr>
          <w:i/>
          <w:iCs/>
        </w:rPr>
        <w:t>Aspergillus niger</w:t>
      </w:r>
      <w:r w:rsidRPr="00A428C3">
        <w:t xml:space="preserve"> [one was Isolated from soil (A)</w:t>
      </w:r>
      <w:r w:rsidR="00F81221">
        <w:t xml:space="preserve"> and </w:t>
      </w:r>
      <w:r w:rsidRPr="00A428C3">
        <w:t>the other is a marine fungus (B) which was isolated from Gorgan bay], both the fungi showed a high capacity for rapid decolourization of textile wastewater. About 90-95% of dyes (Azo-reactive-sulfuric, pigmentous) were absorbed from solutions by using the above mentioned fungi. The potential of both the soil</w:t>
      </w:r>
      <w:r w:rsidR="00F81221">
        <w:t xml:space="preserve"> and </w:t>
      </w:r>
      <w:r w:rsidRPr="00A428C3">
        <w:t>marine fungi were compared.</w:t>
      </w:r>
    </w:p>
    <w:p w:rsidR="00B95188" w:rsidRPr="00A428C3" w:rsidRDefault="00B95188" w:rsidP="00B95188">
      <w:pPr>
        <w:pStyle w:val="a0"/>
      </w:pPr>
      <w:r w:rsidRPr="00A428C3">
        <w:lastRenderedPageBreak/>
        <w:t xml:space="preserve">Keywords: Absorption, </w:t>
      </w:r>
      <w:r w:rsidR="00B20869" w:rsidRPr="00B20869">
        <w:rPr>
          <w:i/>
          <w:iCs/>
        </w:rPr>
        <w:t>Aspergillus niger</w:t>
      </w:r>
      <w:r w:rsidRPr="00A428C3">
        <w:t xml:space="preserve">, Decolourization, Textile Effluent, </w:t>
      </w:r>
      <w:r w:rsidRPr="00A428C3">
        <w:rPr>
          <w:i/>
          <w:iCs/>
        </w:rPr>
        <w:t>Phanerochaete-Chrysosporium</w:t>
      </w:r>
      <w:r w:rsidRPr="00A428C3">
        <w:t>, Plant Effluent, Azo Dyes, Decolorization, Fungi</w:t>
      </w:r>
    </w:p>
    <w:p w:rsidR="00B95188" w:rsidRPr="00A428C3" w:rsidRDefault="00B95188" w:rsidP="00B95188">
      <w:pPr>
        <w:pStyle w:val="a0"/>
      </w:pPr>
      <w:r w:rsidRPr="00A428C3">
        <w:t>? Schuhmacher, M., Meneses, M., Granero, S., Llobet, J.M.</w:t>
      </w:r>
      <w:r w:rsidR="00F81221">
        <w:t xml:space="preserve"> and </w:t>
      </w:r>
      <w:r w:rsidRPr="00A428C3">
        <w:t xml:space="preserve">Domingo, J.L. (1998), Trace metals in vegetation grown near to an old municipal solid waste incinerator from Catalonia, Spain. </w:t>
      </w:r>
      <w:r w:rsidRPr="00A428C3">
        <w:rPr>
          <w:i/>
        </w:rPr>
        <w:t>Fresenius Environmental Bulletin</w:t>
      </w:r>
      <w:r w:rsidRPr="00A428C3">
        <w:t xml:space="preserve">, </w:t>
      </w:r>
      <w:r w:rsidRPr="00A428C3">
        <w:rPr>
          <w:b/>
        </w:rPr>
        <w:t>7</w:t>
      </w:r>
      <w:r w:rsidRPr="00A428C3">
        <w:t xml:space="preserve"> (1-2), 42-50.</w:t>
      </w:r>
    </w:p>
    <w:p w:rsidR="00B95188" w:rsidRPr="00A428C3" w:rsidRDefault="00B95188" w:rsidP="00B95188">
      <w:pPr>
        <w:pStyle w:val="a0"/>
      </w:pPr>
      <w:r w:rsidRPr="00A428C3">
        <w:t>? Mohan, S.V., Mamatha, V.V.S.</w:t>
      </w:r>
      <w:r w:rsidR="00F81221">
        <w:t xml:space="preserve"> and </w:t>
      </w:r>
      <w:r w:rsidRPr="00A428C3">
        <w:t>Karthikeyan, J. (1998), Removal of color from acid</w:t>
      </w:r>
      <w:r w:rsidR="00F81221">
        <w:t xml:space="preserve"> and </w:t>
      </w:r>
      <w:r w:rsidRPr="00A428C3">
        <w:t xml:space="preserve">direct dyes by adsorption onto silica fumes. </w:t>
      </w:r>
      <w:r w:rsidRPr="00A428C3">
        <w:rPr>
          <w:i/>
        </w:rPr>
        <w:t>Fresenius Environmental Bulletin</w:t>
      </w:r>
      <w:r w:rsidRPr="00A428C3">
        <w:t xml:space="preserve">, </w:t>
      </w:r>
      <w:r w:rsidRPr="00A428C3">
        <w:rPr>
          <w:b/>
        </w:rPr>
        <w:t>7</w:t>
      </w:r>
      <w:r w:rsidRPr="00A428C3">
        <w:t xml:space="preserve"> (1-2), 51-58.</w:t>
      </w:r>
    </w:p>
    <w:p w:rsidR="00B95188" w:rsidRPr="00A428C3" w:rsidRDefault="00B95188" w:rsidP="00B95188">
      <w:pPr>
        <w:pStyle w:val="a0"/>
      </w:pPr>
      <w:r w:rsidRPr="00A428C3">
        <w:t>Abstract: Silica fumes, a solid waste generated From the production of iron alloys, is used in this investigation to remove the color of persistent</w:t>
      </w:r>
      <w:r w:rsidR="00F81221">
        <w:t xml:space="preserve"> and </w:t>
      </w:r>
      <w:r w:rsidRPr="00A428C3">
        <w:t>microtoxic acid</w:t>
      </w:r>
      <w:r w:rsidR="00F81221">
        <w:t xml:space="preserve"> and </w:t>
      </w:r>
      <w:r w:rsidRPr="00A428C3">
        <w:t>direct azo dyes. The results indicate the ability of silica fumes to remove color of acid</w:t>
      </w:r>
      <w:r w:rsidR="00F81221">
        <w:t xml:space="preserve"> and </w:t>
      </w:r>
      <w:r w:rsidRPr="00A428C3">
        <w:t>direct dyes. Silica fumes exhibited good percentage of color removal (90 to 99%)</w:t>
      </w:r>
      <w:r w:rsidR="00F81221">
        <w:t xml:space="preserve"> and </w:t>
      </w:r>
      <w:r w:rsidRPr="00A428C3">
        <w:t>the adsorption of the dyes were found to be independent of system pH. Adsorption data fit well into the Langmuir adsorption isotherm model. Regeneration studies indicate the nature of adsorption to be of the type chemisorption.</w:t>
      </w:r>
    </w:p>
    <w:p w:rsidR="00B95188" w:rsidRPr="00A428C3" w:rsidRDefault="00B95188" w:rsidP="00B95188">
      <w:pPr>
        <w:pStyle w:val="a0"/>
      </w:pPr>
      <w:r w:rsidRPr="00A428C3">
        <w:t>Keywords: Silica Fumes, Low-Cost Adsorbent, Adsorption, Dyes, Color Removal</w:t>
      </w:r>
    </w:p>
    <w:p w:rsidR="00B95188" w:rsidRPr="00A428C3" w:rsidRDefault="00B95188" w:rsidP="00B95188">
      <w:pPr>
        <w:pStyle w:val="a0"/>
      </w:pPr>
      <w:r w:rsidRPr="00A428C3">
        <w:t>? Namasivayam, C.</w:t>
      </w:r>
      <w:r w:rsidR="00F81221">
        <w:t xml:space="preserve"> and </w:t>
      </w:r>
      <w:r w:rsidRPr="00A428C3">
        <w:t xml:space="preserve">Thamaraiselvi, K. (1998), Adsorption of 2-chlorophenol by </w:t>
      </w:r>
      <w:r w:rsidR="000352E7">
        <w:t>“</w:t>
      </w:r>
      <w:r w:rsidRPr="00A428C3">
        <w:t>waste</w:t>
      </w:r>
      <w:r w:rsidR="000352E7">
        <w:t>”</w:t>
      </w:r>
      <w:r w:rsidRPr="00A428C3">
        <w:t xml:space="preserve"> red mud. </w:t>
      </w:r>
      <w:r w:rsidRPr="00A428C3">
        <w:rPr>
          <w:i/>
        </w:rPr>
        <w:t>Fresenius Environmental Bulletin</w:t>
      </w:r>
      <w:r w:rsidRPr="00A428C3">
        <w:t xml:space="preserve">, </w:t>
      </w:r>
      <w:r w:rsidRPr="00A428C3">
        <w:rPr>
          <w:b/>
        </w:rPr>
        <w:t>7</w:t>
      </w:r>
      <w:r w:rsidRPr="00A428C3">
        <w:t xml:space="preserve"> (5-6), 314-319.</w:t>
      </w:r>
    </w:p>
    <w:p w:rsidR="00B95188" w:rsidRPr="00A428C3" w:rsidRDefault="00B95188" w:rsidP="00B95188">
      <w:pPr>
        <w:pStyle w:val="a0"/>
        <w:rPr>
          <w:rFonts w:eastAsia="Arial Unicode MS"/>
        </w:rPr>
      </w:pPr>
      <w:r w:rsidRPr="00A428C3">
        <w:t xml:space="preserve">Abstract: The ability of </w:t>
      </w:r>
      <w:r w:rsidR="000352E7">
        <w:t>“</w:t>
      </w:r>
      <w:r w:rsidRPr="00A428C3">
        <w:t>waste</w:t>
      </w:r>
      <w:r w:rsidR="000352E7">
        <w:t>”</w:t>
      </w:r>
      <w:r w:rsidRPr="00A428C3">
        <w:t xml:space="preserve"> red mud to adsorb 2-chlorophenol was investigated. Effects of contact time, initial concentration, pH. adsorbant dose</w:t>
      </w:r>
      <w:r w:rsidR="00F81221">
        <w:t xml:space="preserve"> and </w:t>
      </w:r>
      <w:r w:rsidRPr="00A428C3">
        <w:t>agitation speed on adsorption capacity</w:t>
      </w:r>
      <w:r w:rsidR="00F81221">
        <w:t xml:space="preserve"> and </w:t>
      </w:r>
      <w:r w:rsidRPr="00A428C3">
        <w:t>desorption were studied. The adsorption kinetics followed the first order rate expression. Adsorption followed Freundlich isotherm. A maximum removal of 83% was observed at pH 8.00. Desorption of phenol from the spent adsorbent with water at pH 11.0 was only 41%, indicating that both physisorption</w:t>
      </w:r>
      <w:r w:rsidR="00F81221">
        <w:t xml:space="preserve"> and </w:t>
      </w:r>
      <w:r w:rsidRPr="00A428C3">
        <w:t>chemisorption occur in the adsorption process.</w:t>
      </w:r>
    </w:p>
    <w:p w:rsidR="00B95188" w:rsidRPr="00A428C3" w:rsidRDefault="00B95188" w:rsidP="00B95188">
      <w:pPr>
        <w:pStyle w:val="a0"/>
      </w:pPr>
      <w:r w:rsidRPr="00A428C3">
        <w:t>Keywords: 2-Chlorophenol, Adsorption, Waste Red Mud, pH Effect, Desorption, Fe(III)/Cr(III) Hydroxide, Substituted Phenols, Chlorophenols, Oxidation, Removal</w:t>
      </w:r>
    </w:p>
    <w:p w:rsidR="00B95188" w:rsidRPr="00A428C3" w:rsidRDefault="00B95188" w:rsidP="00B95188">
      <w:pPr>
        <w:pStyle w:val="a0"/>
      </w:pPr>
      <w:r w:rsidRPr="00A428C3">
        <w:t>Thirunavukkarasu, O.S., Viraraghavan, T.</w:t>
      </w:r>
      <w:r w:rsidR="00F81221">
        <w:t xml:space="preserve"> and </w:t>
      </w:r>
      <w:r w:rsidRPr="00A428C3">
        <w:t>Selvapathy, P. (2000), A comparative account of phosphorus release from sediments of a lake</w:t>
      </w:r>
      <w:r w:rsidR="00F81221">
        <w:t xml:space="preserve"> and </w:t>
      </w:r>
      <w:r w:rsidRPr="00A428C3">
        <w:t xml:space="preserve">a reservoir: Laboratory experiments. </w:t>
      </w:r>
      <w:r w:rsidRPr="00A428C3">
        <w:rPr>
          <w:i/>
        </w:rPr>
        <w:t>Fresenius Environmental Bulletin</w:t>
      </w:r>
      <w:r w:rsidRPr="00A428C3">
        <w:t xml:space="preserve">, </w:t>
      </w:r>
      <w:r w:rsidRPr="00A428C3">
        <w:rPr>
          <w:b/>
        </w:rPr>
        <w:t>9</w:t>
      </w:r>
      <w:r w:rsidRPr="00A428C3">
        <w:t xml:space="preserve"> (7-8), 461-467.</w:t>
      </w:r>
    </w:p>
    <w:p w:rsidR="00B95188" w:rsidRPr="00A428C3" w:rsidRDefault="00B95188" w:rsidP="00B95188">
      <w:pPr>
        <w:pStyle w:val="a0"/>
      </w:pPr>
      <w:r w:rsidRPr="00A428C3">
        <w:t>Abstract: Phosphorus is one of the most critical nutrients, which is released from bottom sediments. Release rate of phosphorus is an important part of lake management</w:t>
      </w:r>
      <w:r w:rsidR="00F81221">
        <w:t xml:space="preserve"> and </w:t>
      </w:r>
      <w:r w:rsidRPr="00A428C3">
        <w:t>restoration programs. This paper reports about batch experiments that were conducted to determine the phosphorus release from bottom sediments of Chengalpattu Lake</w:t>
      </w:r>
      <w:r w:rsidR="00F81221">
        <w:t xml:space="preserve"> and </w:t>
      </w:r>
      <w:r w:rsidRPr="00A428C3">
        <w:t>Poondi reservoir, located near Chennai (Madras), India. The effects of acetate, nitrate,</w:t>
      </w:r>
      <w:r w:rsidR="00F81221">
        <w:t xml:space="preserve"> and </w:t>
      </w:r>
      <w:r w:rsidRPr="00A428C3">
        <w:t xml:space="preserve">acetate + nitrate on sediment phosphorus release were studied. Several extraction procedures were performed to characterize the sediment phosphorus. The sediments from Poondi reservoir had a higher adsorption capacity (54.96%) than the sediments from </w:t>
      </w:r>
      <w:smartTag w:uri="urn:schemas-microsoft-com:office:smarttags" w:element="place">
        <w:smartTag w:uri="urn:schemas-microsoft-com:office:smarttags" w:element="PlaceName">
          <w:r w:rsidRPr="00A428C3">
            <w:t>Chengalpattu</w:t>
          </w:r>
        </w:smartTag>
        <w:r w:rsidRPr="00A428C3">
          <w:t xml:space="preserve"> </w:t>
        </w:r>
        <w:smartTag w:uri="urn:schemas-microsoft-com:office:smarttags" w:element="PlaceType">
          <w:r w:rsidRPr="00A428C3">
            <w:t>Lake</w:t>
          </w:r>
        </w:smartTag>
      </w:smartTag>
      <w:r w:rsidRPr="00A428C3">
        <w:t xml:space="preserve">. The sediment fractions for </w:t>
      </w:r>
      <w:r w:rsidRPr="00A428C3">
        <w:lastRenderedPageBreak/>
        <w:t>phosphorus (H</w:t>
      </w:r>
      <w:r w:rsidRPr="00A428C3">
        <w:rPr>
          <w:vertAlign w:val="subscript"/>
        </w:rPr>
        <w:t>2</w:t>
      </w:r>
      <w:r w:rsidRPr="00A428C3">
        <w:t>O-P), HCl-P,</w:t>
      </w:r>
      <w:r w:rsidR="00F81221">
        <w:t xml:space="preserve"> and </w:t>
      </w:r>
      <w:r w:rsidRPr="00A428C3">
        <w:t xml:space="preserve">CDB-P) of </w:t>
      </w:r>
      <w:smartTag w:uri="urn:schemas-microsoft-com:office:smarttags" w:element="place">
        <w:smartTag w:uri="urn:schemas-microsoft-com:office:smarttags" w:element="PlaceName">
          <w:r w:rsidRPr="00A428C3">
            <w:t>Chengalpattu</w:t>
          </w:r>
        </w:smartTag>
        <w:r w:rsidRPr="00A428C3">
          <w:t xml:space="preserve"> </w:t>
        </w:r>
        <w:smartTag w:uri="urn:schemas-microsoft-com:office:smarttags" w:element="PlaceType">
          <w:r w:rsidRPr="00A428C3">
            <w:t>Lake</w:t>
          </w:r>
        </w:smartTag>
      </w:smartTag>
      <w:r w:rsidRPr="00A428C3">
        <w:t xml:space="preserve"> were higher (15.4 mg P</w:t>
      </w:r>
      <w:r w:rsidRPr="00A428C3">
        <w:rPr>
          <w:vertAlign w:val="subscript"/>
        </w:rPr>
        <w:t>2</w:t>
      </w:r>
      <w:r w:rsidRPr="00A428C3">
        <w:t>O</w:t>
      </w:r>
      <w:r w:rsidRPr="00A428C3">
        <w:rPr>
          <w:vertAlign w:val="subscript"/>
        </w:rPr>
        <w:t>5</w:t>
      </w:r>
      <w:r w:rsidRPr="00A428C3">
        <w:t>/</w:t>
      </w:r>
      <w:smartTag w:uri="urn:schemas-microsoft-com:office:smarttags" w:element="chmetcnv">
        <w:smartTagPr>
          <w:attr w:name="TCSC" w:val="0"/>
          <w:attr w:name="NumberType" w:val="1"/>
          <w:attr w:name="Negative" w:val="False"/>
          <w:attr w:name="HasSpace" w:val="True"/>
          <w:attr w:name="SourceValue" w:val="100"/>
          <w:attr w:name="UnitName" w:val="g"/>
        </w:smartTagPr>
        <w:r w:rsidRPr="00A428C3">
          <w:t>100 g</w:t>
        </w:r>
      </w:smartTag>
      <w:r w:rsidRPr="00A428C3">
        <w:t xml:space="preserve"> of sediment) than those of the Poondi reservoir (9.1 ms P</w:t>
      </w:r>
      <w:r w:rsidRPr="00A428C3">
        <w:rPr>
          <w:vertAlign w:val="subscript"/>
        </w:rPr>
        <w:t>2</w:t>
      </w:r>
      <w:r w:rsidRPr="00A428C3">
        <w:t>O</w:t>
      </w:r>
      <w:r w:rsidRPr="00A428C3">
        <w:rPr>
          <w:vertAlign w:val="subscript"/>
        </w:rPr>
        <w:t>5</w:t>
      </w:r>
      <w:r w:rsidRPr="00A428C3">
        <w:t>/</w:t>
      </w:r>
      <w:smartTag w:uri="urn:schemas-microsoft-com:office:smarttags" w:element="chmetcnv">
        <w:smartTagPr>
          <w:attr w:name="TCSC" w:val="0"/>
          <w:attr w:name="NumberType" w:val="1"/>
          <w:attr w:name="Negative" w:val="False"/>
          <w:attr w:name="HasSpace" w:val="True"/>
          <w:attr w:name="SourceValue" w:val="100"/>
          <w:attr w:name="UnitName" w:val="g"/>
        </w:smartTagPr>
        <w:r w:rsidRPr="00A428C3">
          <w:t>100 g</w:t>
        </w:r>
      </w:smartTag>
      <w:r w:rsidRPr="00A428C3">
        <w:t xml:space="preserve"> of sediment). Laboratory extracts showed that also the phosphate release from the sediments of </w:t>
      </w:r>
      <w:smartTag w:uri="urn:schemas-microsoft-com:office:smarttags" w:element="place">
        <w:smartTag w:uri="urn:schemas-microsoft-com:office:smarttags" w:element="PlaceName">
          <w:r w:rsidRPr="00A428C3">
            <w:t>Chengalpattu</w:t>
          </w:r>
        </w:smartTag>
        <w:r w:rsidRPr="00A428C3">
          <w:t xml:space="preserve"> </w:t>
        </w:r>
        <w:smartTag w:uri="urn:schemas-microsoft-com:office:smarttags" w:element="PlaceType">
          <w:r w:rsidRPr="00A428C3">
            <w:t>Lake</w:t>
          </w:r>
        </w:smartTag>
      </w:smartTag>
      <w:r w:rsidRPr="00A428C3">
        <w:t xml:space="preserve"> was higher than from the sediments of Poondi reservoir.</w:t>
      </w:r>
    </w:p>
    <w:p w:rsidR="00B95188" w:rsidRPr="00A428C3" w:rsidRDefault="00B95188" w:rsidP="00B95188">
      <w:pPr>
        <w:pStyle w:val="a0"/>
      </w:pPr>
      <w:r w:rsidRPr="00A428C3">
        <w:t xml:space="preserve">Keywords: Lakes, Sediments, Phosphorus Release, Batch Experiments, Characterization, Phosphate Release, Aerobic Sediments, </w:t>
      </w:r>
      <w:smartTag w:uri="urn:schemas-microsoft-com:office:smarttags" w:element="place">
        <w:smartTag w:uri="urn:schemas-microsoft-com:office:smarttags" w:element="PlaceName">
          <w:r w:rsidRPr="00A428C3">
            <w:t>Shallow</w:t>
          </w:r>
        </w:smartTag>
        <w:r w:rsidRPr="00A428C3">
          <w:t xml:space="preserve"> </w:t>
        </w:r>
        <w:smartTag w:uri="urn:schemas-microsoft-com:office:smarttags" w:element="PlaceType">
          <w:r w:rsidRPr="00A428C3">
            <w:t>Lake</w:t>
          </w:r>
        </w:smartTag>
      </w:smartTag>
      <w:r w:rsidRPr="00A428C3">
        <w:t>, Nitrate, Water</w:t>
      </w:r>
    </w:p>
    <w:p w:rsidR="00B95188" w:rsidRPr="00A428C3" w:rsidRDefault="00B95188" w:rsidP="00B95188">
      <w:pPr>
        <w:pStyle w:val="a0"/>
      </w:pPr>
      <w:r w:rsidRPr="00A428C3">
        <w:t>? Capar, G., Demirer, G.N., Dilek, F.B.</w:t>
      </w:r>
      <w:r w:rsidR="00F81221">
        <w:t xml:space="preserve"> and </w:t>
      </w:r>
      <w:r w:rsidRPr="00A428C3">
        <w:t xml:space="preserve">Yetis, U. (2001), Removal of trihalomethane precursors by granular activated carbon treatment. </w:t>
      </w:r>
      <w:r w:rsidRPr="00A428C3">
        <w:rPr>
          <w:i/>
        </w:rPr>
        <w:t>Fresenius Environmental Bulletin</w:t>
      </w:r>
      <w:r w:rsidRPr="00A428C3">
        <w:t xml:space="preserve">, </w:t>
      </w:r>
      <w:r w:rsidRPr="00A428C3">
        <w:rPr>
          <w:b/>
        </w:rPr>
        <w:t>10</w:t>
      </w:r>
      <w:r w:rsidRPr="00A428C3">
        <w:t xml:space="preserve"> (2), 197-202.</w:t>
      </w:r>
    </w:p>
    <w:p w:rsidR="00B95188" w:rsidRPr="00A428C3" w:rsidRDefault="00B95188" w:rsidP="00B95188">
      <w:pPr>
        <w:pStyle w:val="a0"/>
      </w:pPr>
      <w:r w:rsidRPr="00A428C3">
        <w:t xml:space="preserve">Full Text: </w:t>
      </w:r>
      <w:hyperlink r:id="rId131" w:history="1">
        <w:r w:rsidRPr="00A428C3">
          <w:rPr>
            <w:rStyle w:val="a5"/>
          </w:rPr>
          <w:t>2001\Fre Env Bul10, 197.pdf</w:t>
        </w:r>
      </w:hyperlink>
    </w:p>
    <w:p w:rsidR="00B95188" w:rsidRPr="00A428C3" w:rsidRDefault="00B95188" w:rsidP="00B95188">
      <w:pPr>
        <w:pStyle w:val="a0"/>
      </w:pPr>
      <w:r w:rsidRPr="00A428C3">
        <w:t>Abstract: This research covers the determination of the existing situation of trihalomethane (THM) levels in the distribution system of Ankara City</w:t>
      </w:r>
      <w:r w:rsidR="00F81221">
        <w:t xml:space="preserve"> and </w:t>
      </w:r>
      <w:r w:rsidRPr="00A428C3">
        <w:t>also focuses on the investigation of effectiveness of granular activated carbon (GAC) adsorption for the removal of natural organic matter (NOM) that are THM precursors</w:t>
      </w:r>
      <w:r w:rsidR="00F81221">
        <w:t xml:space="preserve"> and </w:t>
      </w:r>
      <w:r w:rsidRPr="00A428C3">
        <w:t>also THMs. For this purpose, a survey was carried out at 14 selected points in the city</w:t>
      </w:r>
      <w:r w:rsidR="00F81221">
        <w:t xml:space="preserve"> and </w:t>
      </w:r>
      <w:r w:rsidRPr="00A428C3">
        <w:t>the THMs were observed to be present in the Ivedik Water Treatment Plant (IWTP) filter effluent</w:t>
      </w:r>
      <w:r w:rsidR="00F81221">
        <w:t xml:space="preserve"> and </w:t>
      </w:r>
      <w:r w:rsidRPr="00A428C3">
        <w:t>in the distribution system (DS). THM concentrations increased within the DS, however, total THM (TTHM) levels did not exceed the EPA Stage I Limit of 80 µg/L.</w:t>
      </w:r>
    </w:p>
    <w:p w:rsidR="00B95188" w:rsidRPr="00A428C3" w:rsidRDefault="00B95188" w:rsidP="00B95188">
      <w:pPr>
        <w:pStyle w:val="a0"/>
      </w:pPr>
      <w:r w:rsidRPr="00A428C3">
        <w:t>Keywords: Activated Carbon, Adsorption, Natural Organic Matter, Trihalomethanes</w:t>
      </w:r>
    </w:p>
    <w:p w:rsidR="00B95188" w:rsidRPr="00A428C3" w:rsidRDefault="00B95188" w:rsidP="00B95188">
      <w:pPr>
        <w:pStyle w:val="a0"/>
      </w:pPr>
      <w:r w:rsidRPr="00A428C3">
        <w:t>? Panayotova, M. (2001), Kinetics</w:t>
      </w:r>
      <w:r w:rsidR="00F81221">
        <w:t xml:space="preserve"> and </w:t>
      </w:r>
      <w:r w:rsidRPr="00A428C3">
        <w:t>thermodynamics of removal of nickel ions from wastewater by use of natural</w:t>
      </w:r>
      <w:r w:rsidR="00F81221">
        <w:t xml:space="preserve"> and </w:t>
      </w:r>
      <w:r w:rsidRPr="00A428C3">
        <w:t xml:space="preserve">modified zeolite. </w:t>
      </w:r>
      <w:r w:rsidRPr="00A428C3">
        <w:rPr>
          <w:i/>
        </w:rPr>
        <w:t>Fresenius Environmental Bulletin</w:t>
      </w:r>
      <w:r w:rsidRPr="00A428C3">
        <w:t xml:space="preserve">, </w:t>
      </w:r>
      <w:r w:rsidRPr="00A428C3">
        <w:rPr>
          <w:b/>
        </w:rPr>
        <w:t>10</w:t>
      </w:r>
      <w:r w:rsidRPr="00A428C3">
        <w:t xml:space="preserve"> (3), 267-272.</w:t>
      </w:r>
    </w:p>
    <w:p w:rsidR="00B95188" w:rsidRPr="00A428C3" w:rsidRDefault="00B95188" w:rsidP="00B95188">
      <w:pPr>
        <w:pStyle w:val="a0"/>
      </w:pPr>
      <w:r w:rsidRPr="00A428C3">
        <w:t xml:space="preserve">Full Text: </w:t>
      </w:r>
      <w:hyperlink r:id="rId132" w:history="1">
        <w:r w:rsidRPr="00A428C3">
          <w:rPr>
            <w:rStyle w:val="a5"/>
          </w:rPr>
          <w:t>2001\Fre Env Bul10, 267.pdf</w:t>
        </w:r>
      </w:hyperlink>
    </w:p>
    <w:p w:rsidR="00B95188" w:rsidRPr="00A428C3" w:rsidRDefault="00B95188" w:rsidP="00B95188">
      <w:pPr>
        <w:pStyle w:val="a0"/>
      </w:pPr>
      <w:r w:rsidRPr="00A428C3">
        <w:t>Abstract: Natural</w:t>
      </w:r>
      <w:r w:rsidR="00F81221">
        <w:t xml:space="preserve"> and </w:t>
      </w:r>
      <w:r w:rsidRPr="00A428C3">
        <w:t>modified (by means of heating, and/or treating with NaOH, NaCl, HCl, CH</w:t>
      </w:r>
      <w:r w:rsidRPr="00A428C3">
        <w:rPr>
          <w:vertAlign w:val="subscript"/>
        </w:rPr>
        <w:t>3</w:t>
      </w:r>
      <w:r w:rsidRPr="00A428C3">
        <w:t>COONa) zeolite has been tested in a batch process for its ability to remove Ni</w:t>
      </w:r>
      <w:r w:rsidRPr="00A428C3">
        <w:rPr>
          <w:vertAlign w:val="superscript"/>
        </w:rPr>
        <w:t>2+</w:t>
      </w:r>
      <w:r w:rsidRPr="00A428C3">
        <w:t xml:space="preserve"> from wastewater. The role of some of process parameters on removal effectiveness has been investigated for unmodified zeolite. Wastewater to zeolite ratio of 100:1 has been found as the optimum. Use of zeolite with finer particles increases its uptake ability. Best results have been obtained at pH=5-6 of water to be treated. Presence of Ca</w:t>
      </w:r>
      <w:r w:rsidRPr="00A428C3">
        <w:rPr>
          <w:vertAlign w:val="superscript"/>
        </w:rPr>
        <w:t>2+</w:t>
      </w:r>
      <w:r w:rsidR="00F81221">
        <w:t xml:space="preserve"> and </w:t>
      </w:r>
      <w:r w:rsidRPr="00A428C3">
        <w:t>Me in the wastewater (in relatively high concentrations) decreases the uptake of Ni</w:t>
      </w:r>
      <w:r w:rsidRPr="00A428C3">
        <w:rPr>
          <w:vertAlign w:val="superscript"/>
        </w:rPr>
        <w:t>2+</w:t>
      </w:r>
      <w:r w:rsidRPr="00A428C3">
        <w:t>. The uptake process obeys the kinetic equation for the first order irreversible reactions. Initially the process of Ni</w:t>
      </w:r>
      <w:r w:rsidRPr="00A428C3">
        <w:rPr>
          <w:vertAlign w:val="superscript"/>
        </w:rPr>
        <w:t>2+</w:t>
      </w:r>
      <w:r w:rsidRPr="00A428C3">
        <w:t xml:space="preserve"> uptake is relatively fast - overall rate constants k=3.81</w:t>
      </w:r>
      <w:r w:rsidRPr="00A428C3">
        <w:sym w:font="Symbol" w:char="F0B4"/>
      </w:r>
      <w:r w:rsidRPr="00A428C3">
        <w:t>10</w:t>
      </w:r>
      <w:r w:rsidRPr="00A428C3">
        <w:rPr>
          <w:vertAlign w:val="superscript"/>
        </w:rPr>
        <w:t>-3</w:t>
      </w:r>
      <w:r w:rsidR="00F81221">
        <w:t xml:space="preserve"> and </w:t>
      </w:r>
      <w:r w:rsidRPr="00A428C3">
        <w:t>k=4.16</w:t>
      </w:r>
      <w:r w:rsidRPr="00A428C3">
        <w:sym w:font="Symbol" w:char="F0B4"/>
      </w:r>
      <w:r w:rsidRPr="00A428C3">
        <w:t>10</w:t>
      </w:r>
      <w:r w:rsidRPr="00A428C3">
        <w:rPr>
          <w:vertAlign w:val="superscript"/>
        </w:rPr>
        <w:t>-3</w:t>
      </w:r>
      <w:r w:rsidRPr="00A428C3">
        <w:t xml:space="preserve"> min</w:t>
      </w:r>
      <w:r w:rsidRPr="00A428C3">
        <w:rPr>
          <w:vertAlign w:val="superscript"/>
        </w:rPr>
        <w:t>-1</w:t>
      </w:r>
      <w:r w:rsidRPr="00A428C3">
        <w:t xml:space="preserve"> have been determined for the first 30 min for solutions containing 10</w:t>
      </w:r>
      <w:r w:rsidR="00F81221">
        <w:t xml:space="preserve"> and </w:t>
      </w:r>
      <w:r w:rsidRPr="00A428C3">
        <w:t>50 mg/dm</w:t>
      </w:r>
      <w:r w:rsidRPr="00A428C3">
        <w:rPr>
          <w:vertAlign w:val="superscript"/>
        </w:rPr>
        <w:t>3</w:t>
      </w:r>
      <w:r w:rsidRPr="00A428C3">
        <w:t xml:space="preserve"> of Ni</w:t>
      </w:r>
      <w:r w:rsidRPr="00A428C3">
        <w:rPr>
          <w:vertAlign w:val="superscript"/>
        </w:rPr>
        <w:t>2+</w:t>
      </w:r>
      <w:r w:rsidRPr="00A428C3">
        <w:t>, respectively. Concentrations of 1-2 mg/dm</w:t>
      </w:r>
      <w:r w:rsidRPr="00A428C3">
        <w:rPr>
          <w:vertAlign w:val="superscript"/>
        </w:rPr>
        <w:t>3</w:t>
      </w:r>
      <w:r w:rsidRPr="00A428C3">
        <w:t xml:space="preserve"> can be reached for less than half an hour, at an initial Ni</w:t>
      </w:r>
      <w:r w:rsidRPr="00A428C3">
        <w:rPr>
          <w:vertAlign w:val="superscript"/>
        </w:rPr>
        <w:t>2+</w:t>
      </w:r>
      <w:r w:rsidRPr="00A428C3">
        <w:t xml:space="preserve"> concentration of 10-15 mg/dm</w:t>
      </w:r>
      <w:r w:rsidRPr="00A428C3">
        <w:rPr>
          <w:vertAlign w:val="superscript"/>
        </w:rPr>
        <w:t>3</w:t>
      </w:r>
      <w:r w:rsidRPr="00A428C3">
        <w:t xml:space="preserve">. The uptake equilibrium is best described by the </w:t>
      </w:r>
      <w:r w:rsidRPr="00A428C3">
        <w:lastRenderedPageBreak/>
        <w:t>Langmuir adsorption isotherm. The apparent equilibrium constant found, as well as the values of Langmuir constants show moderate to low affinity of natural zeolite to Ni</w:t>
      </w:r>
      <w:r w:rsidRPr="00A428C3">
        <w:rPr>
          <w:vertAlign w:val="superscript"/>
        </w:rPr>
        <w:t>2+</w:t>
      </w:r>
      <w:r w:rsidRPr="00A428C3">
        <w:t>. Zeolite modification with CH</w:t>
      </w:r>
      <w:r w:rsidRPr="00A428C3">
        <w:rPr>
          <w:vertAlign w:val="subscript"/>
        </w:rPr>
        <w:t>3</w:t>
      </w:r>
      <w:r w:rsidRPr="00A428C3">
        <w:t>COONa</w:t>
      </w:r>
      <w:r w:rsidR="00F81221">
        <w:t xml:space="preserve"> and </w:t>
      </w:r>
      <w:r w:rsidRPr="00A428C3">
        <w:t>NaCl increases (by 25-30 %) its ability to remove Ni</w:t>
      </w:r>
      <w:r w:rsidRPr="00A428C3">
        <w:rPr>
          <w:vertAlign w:val="superscript"/>
        </w:rPr>
        <w:t>2+</w:t>
      </w:r>
      <w:r w:rsidRPr="00A428C3">
        <w:t xml:space="preserve"> from wastewater</w:t>
      </w:r>
      <w:r w:rsidR="00F81221">
        <w:t xml:space="preserve"> and </w:t>
      </w:r>
      <w:r w:rsidRPr="00A428C3">
        <w:t>decreases mobilization of Ni</w:t>
      </w:r>
      <w:r w:rsidRPr="00A428C3">
        <w:rPr>
          <w:vertAlign w:val="superscript"/>
        </w:rPr>
        <w:t>2+</w:t>
      </w:r>
      <w:r w:rsidRPr="00A428C3">
        <w:t xml:space="preserve"> caused by contact of loaded zeolite with acidified water (pH=2.5). Contacting with 2 mol/dm(3) of NaCl solution can easily regenerate loaded natural</w:t>
      </w:r>
      <w:r w:rsidR="00F81221">
        <w:t xml:space="preserve"> and </w:t>
      </w:r>
      <w:r w:rsidRPr="00A428C3">
        <w:t>modified zeolite. Investigations made have shown that natural</w:t>
      </w:r>
      <w:r w:rsidR="00F81221">
        <w:t xml:space="preserve"> and </w:t>
      </w:r>
      <w:r w:rsidRPr="00A428C3">
        <w:t>modified zeolites can be used for treating wastewater released by mines, metallurgical enterprises processing Ni-bearing material or resulting from Ni-plating process, as well as for additional conditioning of liquid wastes from Ni-Cd batteries recycling.</w:t>
      </w:r>
    </w:p>
    <w:p w:rsidR="00B95188" w:rsidRPr="00A428C3" w:rsidRDefault="00B95188" w:rsidP="00B95188">
      <w:pPr>
        <w:pStyle w:val="a0"/>
        <w:rPr>
          <w:lang w:val="de-DE"/>
        </w:rPr>
      </w:pPr>
      <w:r w:rsidRPr="00A428C3">
        <w:rPr>
          <w:lang w:val="de-DE"/>
        </w:rPr>
        <w:t>Keywords: Nickel, Wastewater, Zeolite, Metal</w:t>
      </w:r>
    </w:p>
    <w:p w:rsidR="00B95188" w:rsidRPr="00A428C3" w:rsidRDefault="00B95188" w:rsidP="00B95188">
      <w:pPr>
        <w:pStyle w:val="a0"/>
      </w:pPr>
      <w:r w:rsidRPr="00A428C3">
        <w:rPr>
          <w:lang w:val="de-DE"/>
        </w:rPr>
        <w:t xml:space="preserve">? </w:t>
      </w:r>
      <w:r w:rsidRPr="00A428C3">
        <w:t>Danis,Ü., Kaya, Y.</w:t>
      </w:r>
      <w:r w:rsidR="00F81221">
        <w:t xml:space="preserve"> and </w:t>
      </w:r>
      <w:r w:rsidRPr="00A428C3">
        <w:t xml:space="preserve">Algur, Ö.F. (2000), Biosorption of copper(II) by pollens of </w:t>
      </w:r>
      <w:r w:rsidRPr="00A428C3">
        <w:rPr>
          <w:i/>
        </w:rPr>
        <w:t>Typha latifolia L</w:t>
      </w:r>
      <w:r w:rsidRPr="00A428C3">
        <w:t xml:space="preserve">. </w:t>
      </w:r>
      <w:r w:rsidRPr="00A428C3">
        <w:rPr>
          <w:i/>
        </w:rPr>
        <w:t>Fresenius Environmental Bulletin</w:t>
      </w:r>
      <w:r w:rsidRPr="00A428C3">
        <w:t xml:space="preserve">, </w:t>
      </w:r>
      <w:r w:rsidRPr="00A428C3">
        <w:rPr>
          <w:b/>
        </w:rPr>
        <w:t>10</w:t>
      </w:r>
      <w:r w:rsidRPr="00A428C3">
        <w:t xml:space="preserve"> (4), 363-367.</w:t>
      </w:r>
    </w:p>
    <w:p w:rsidR="00B95188" w:rsidRPr="00A428C3" w:rsidRDefault="00B95188" w:rsidP="00B95188">
      <w:pPr>
        <w:pStyle w:val="a0"/>
      </w:pPr>
      <w:r w:rsidRPr="00A428C3">
        <w:t xml:space="preserve">Full Text: </w:t>
      </w:r>
      <w:hyperlink r:id="rId133" w:history="1">
        <w:r w:rsidRPr="00A428C3">
          <w:rPr>
            <w:rStyle w:val="a5"/>
          </w:rPr>
          <w:t>2001\Fre Env Bul10, 363.pdf</w:t>
        </w:r>
      </w:hyperlink>
    </w:p>
    <w:p w:rsidR="00B95188" w:rsidRPr="00A428C3" w:rsidRDefault="00B95188" w:rsidP="00B95188">
      <w:pPr>
        <w:pStyle w:val="a0"/>
      </w:pPr>
      <w:r w:rsidRPr="00A428C3">
        <w:t xml:space="preserve">Abstract: The removal of Cu(II) ions from aqueous solution by adsorption on nonliving dried pollens of </w:t>
      </w:r>
      <w:r w:rsidRPr="00A428C3">
        <w:rPr>
          <w:i/>
        </w:rPr>
        <w:t>Typha latifolia L</w:t>
      </w:r>
      <w:r w:rsidRPr="00A428C3">
        <w:t>. was studied in batch system. Concentrations ranging from 10 to 150 mg l</w:t>
      </w:r>
      <w:r w:rsidRPr="00A428C3">
        <w:rPr>
          <w:vertAlign w:val="superscript"/>
        </w:rPr>
        <w:t>-1</w:t>
      </w:r>
      <w:r w:rsidRPr="00A428C3">
        <w:t xml:space="preserve"> Cu(II) were tested</w:t>
      </w:r>
      <w:r w:rsidR="00F81221">
        <w:t xml:space="preserve"> and </w:t>
      </w:r>
      <w:r w:rsidRPr="00A428C3">
        <w:t>metal removal achieved nearly 96 %. The biosorption of Cu(II) ions by pollen was strongly affected by pH. Within the pH range of 4 to 6, the saturated uptake capacity for Cu(II) sorption was 6.23 mg g</w:t>
      </w:r>
      <w:r w:rsidRPr="00A428C3">
        <w:rPr>
          <w:vertAlign w:val="superscript"/>
        </w:rPr>
        <w:t>-1</w:t>
      </w:r>
      <w:r w:rsidRPr="00A428C3">
        <w:t>. In general, higher adsorptive uptake was observed at 20 degreesC. The adsorption of Cu(II) on pollen appeared to follow the Langmuir adsorption isotherms. Results indicated that nonliving pollen have a high adsorptive capacity for copper.</w:t>
      </w:r>
    </w:p>
    <w:p w:rsidR="00B95188" w:rsidRPr="00A428C3" w:rsidRDefault="00B95188" w:rsidP="00B95188">
      <w:pPr>
        <w:pStyle w:val="a0"/>
      </w:pPr>
      <w:r w:rsidRPr="00A428C3">
        <w:t xml:space="preserve">Keywords: Biosorption, Copper Removal, Copper Biosorption, Pollen, </w:t>
      </w:r>
      <w:r w:rsidRPr="00A428C3">
        <w:rPr>
          <w:i/>
        </w:rPr>
        <w:t>Typha Latifolia</w:t>
      </w:r>
      <w:r w:rsidRPr="00A428C3">
        <w:t xml:space="preserve">, Heavy-Metal Biosorption, Marine-Algae, </w:t>
      </w:r>
      <w:r w:rsidRPr="00A428C3">
        <w:rPr>
          <w:i/>
          <w:iCs/>
        </w:rPr>
        <w:t>Rhizopus-arrhizus</w:t>
      </w:r>
      <w:r w:rsidRPr="00A428C3">
        <w:t>, Aqueous-Solutions, Removal, Biomass, Recovery, Radiata, Cadmium, Water</w:t>
      </w:r>
    </w:p>
    <w:p w:rsidR="00B95188" w:rsidRPr="00A428C3" w:rsidRDefault="00B95188" w:rsidP="00B95188">
      <w:pPr>
        <w:pStyle w:val="a0"/>
      </w:pPr>
      <w:r w:rsidRPr="00A428C3">
        <w:t>? Mitrakas, M. (2001), A survey of arsenic levels in tap, underground</w:t>
      </w:r>
      <w:r w:rsidR="00F81221">
        <w:t xml:space="preserve"> and </w:t>
      </w:r>
      <w:r w:rsidRPr="00A428C3">
        <w:t xml:space="preserve">thermal mineral waters of </w:t>
      </w:r>
      <w:smartTag w:uri="urn:schemas-microsoft-com:office:smarttags" w:element="place">
        <w:smartTag w:uri="urn:schemas-microsoft-com:office:smarttags" w:element="country-region">
          <w:r w:rsidRPr="00A428C3">
            <w:t>Greece</w:t>
          </w:r>
        </w:smartTag>
      </w:smartTag>
      <w:r w:rsidRPr="00A428C3">
        <w:t xml:space="preserve">. </w:t>
      </w:r>
      <w:r w:rsidRPr="00A428C3">
        <w:rPr>
          <w:i/>
        </w:rPr>
        <w:t>Fresenius Environmental Bulletin</w:t>
      </w:r>
      <w:r w:rsidRPr="00A428C3">
        <w:t xml:space="preserve">, </w:t>
      </w:r>
      <w:r w:rsidRPr="00A428C3">
        <w:rPr>
          <w:b/>
        </w:rPr>
        <w:t>10</w:t>
      </w:r>
      <w:r w:rsidRPr="00A428C3">
        <w:t xml:space="preserve"> (9), 717-721.</w:t>
      </w:r>
    </w:p>
    <w:p w:rsidR="00B95188" w:rsidRPr="00A428C3" w:rsidRDefault="00B95188" w:rsidP="00B95188">
      <w:pPr>
        <w:pStyle w:val="a0"/>
      </w:pPr>
      <w:r w:rsidRPr="00A428C3">
        <w:t xml:space="preserve">Full Text: </w:t>
      </w:r>
      <w:hyperlink r:id="rId134" w:history="1">
        <w:r w:rsidRPr="00A428C3">
          <w:rPr>
            <w:rStyle w:val="a5"/>
          </w:rPr>
          <w:t>2001\Fre Env Bul10, 717.pdf</w:t>
        </w:r>
      </w:hyperlink>
    </w:p>
    <w:p w:rsidR="00B95188" w:rsidRPr="00A428C3" w:rsidRDefault="00B95188" w:rsidP="00B95188">
      <w:pPr>
        <w:pStyle w:val="a0"/>
        <w:rPr>
          <w:rFonts w:eastAsia="Arial Unicode MS"/>
        </w:rPr>
      </w:pPr>
      <w:r w:rsidRPr="00A428C3">
        <w:t xml:space="preserve">Abstract: Arsenic analyses in various kinds of waters of </w:t>
      </w:r>
      <w:smartTag w:uri="urn:schemas-microsoft-com:office:smarttags" w:element="place">
        <w:smartTag w:uri="urn:schemas-microsoft-com:office:smarttags" w:element="country-region">
          <w:r w:rsidRPr="00A428C3">
            <w:t>Greece</w:t>
          </w:r>
        </w:smartTag>
      </w:smartTag>
      <w:r w:rsidRPr="00A428C3">
        <w:t xml:space="preserve"> revealed that its concentration in tap water of 24 big Greek cities did not exceed the new Maximum Contaminant Level (MCL) of 10 µg/L. Moreover, analysis of 125 tap water samples of smaller cities</w:t>
      </w:r>
      <w:r w:rsidR="00F81221">
        <w:t xml:space="preserve"> and </w:t>
      </w:r>
      <w:r w:rsidRPr="00A428C3">
        <w:t xml:space="preserve">communities, mainly from </w:t>
      </w:r>
      <w:smartTag w:uri="urn:schemas-microsoft-com:office:smarttags" w:element="place">
        <w:r w:rsidRPr="00A428C3">
          <w:t>Northern Greece</w:t>
        </w:r>
      </w:smartTag>
      <w:r w:rsidRPr="00A428C3">
        <w:t>, showed that the highest percentage of them (86.4%) complied with the new MCL of 10 µg/L. This percentage was lower (73.6%) in the underground waters used for irrigation. Bottled waters were the least polluted, containing arsenic less than 5 µg/L in general. On the contrary, most of the thermal mineral waters analyzed contained more than 10 µg/L arsenic.</w:t>
      </w:r>
    </w:p>
    <w:p w:rsidR="00B95188" w:rsidRPr="00A428C3" w:rsidRDefault="00B95188" w:rsidP="00B95188">
      <w:pPr>
        <w:pStyle w:val="a0"/>
      </w:pPr>
      <w:r w:rsidRPr="00A428C3">
        <w:t>Keywords: Arsenic, Water, Tap, Underground, Thermal, Drinking-Water, Groundwater, Removal</w:t>
      </w:r>
    </w:p>
    <w:p w:rsidR="00B95188" w:rsidRPr="00A428C3" w:rsidRDefault="00B95188" w:rsidP="00B95188">
      <w:pPr>
        <w:pStyle w:val="a0"/>
      </w:pPr>
      <w:r w:rsidRPr="00A428C3">
        <w:lastRenderedPageBreak/>
        <w:t>? Kannan, N.</w:t>
      </w:r>
      <w:r w:rsidR="00F81221">
        <w:t xml:space="preserve"> and </w:t>
      </w:r>
      <w:r w:rsidRPr="00A428C3">
        <w:t xml:space="preserve">Sundaram, M.M. (2001), Studies on the removal of Rhodamine B by adsorption using various carbons: A comparative study. </w:t>
      </w:r>
      <w:r w:rsidRPr="00A428C3">
        <w:rPr>
          <w:i/>
        </w:rPr>
        <w:t>Fresenius Environmental Bulletin</w:t>
      </w:r>
      <w:r w:rsidRPr="00A428C3">
        <w:t xml:space="preserve">, </w:t>
      </w:r>
      <w:r w:rsidRPr="00A428C3">
        <w:rPr>
          <w:b/>
        </w:rPr>
        <w:t>10</w:t>
      </w:r>
      <w:r w:rsidRPr="00A428C3">
        <w:t xml:space="preserve"> (11), 814-822.</w:t>
      </w:r>
    </w:p>
    <w:p w:rsidR="00B95188" w:rsidRPr="00A428C3" w:rsidRDefault="00B95188" w:rsidP="00B95188">
      <w:pPr>
        <w:pStyle w:val="a0"/>
      </w:pPr>
      <w:r w:rsidRPr="00A428C3">
        <w:t xml:space="preserve">Full Text: </w:t>
      </w:r>
      <w:hyperlink r:id="rId135" w:history="1">
        <w:r w:rsidRPr="00A428C3">
          <w:rPr>
            <w:rStyle w:val="a5"/>
          </w:rPr>
          <w:t>2001\Fre Env Bul10, 814.pdf</w:t>
        </w:r>
      </w:hyperlink>
    </w:p>
    <w:p w:rsidR="00B95188" w:rsidRPr="00A428C3" w:rsidRDefault="00B95188" w:rsidP="00B95188">
      <w:pPr>
        <w:pStyle w:val="a0"/>
      </w:pPr>
      <w:r w:rsidRPr="00A428C3">
        <w:t>Abstract: Studies on the removal of rhodamine B base (RB) by adsorption on various carbons (commercial activated carbon-CAC</w:t>
      </w:r>
      <w:r w:rsidR="00F81221">
        <w:t xml:space="preserve"> and </w:t>
      </w:r>
      <w:r w:rsidRPr="00A428C3">
        <w:t>indigenously prepared activated carbons (IACs) from raw materials like bamboo dust, coconut shell, groundnut shell, rice husk,</w:t>
      </w:r>
      <w:r w:rsidR="00F81221">
        <w:t xml:space="preserve"> and </w:t>
      </w:r>
      <w:r w:rsidRPr="00A428C3">
        <w:t>straw) have been carried out with an aim to obtain information on treating effluents from dye industries. The effect of various experimental parameters such as (i) initial concentration of dye, (ii) contact time, (iii) dose of adsorbent, (iv) initial pH of the solution, with CAC</w:t>
      </w:r>
      <w:r w:rsidR="00F81221">
        <w:t xml:space="preserve"> and </w:t>
      </w:r>
      <w:r w:rsidRPr="00A428C3">
        <w:t>IACs</w:t>
      </w:r>
      <w:r w:rsidR="00F81221">
        <w:t xml:space="preserve"> and </w:t>
      </w:r>
      <w:r w:rsidRPr="00A428C3">
        <w:t>(v) particle size of the IACs only at 200 rpm speed of agitation has been investigated by following batch adsorption technique at 30</w:t>
      </w:r>
      <w:r w:rsidR="009B0C58">
        <w:t>°</w:t>
      </w:r>
      <w:r w:rsidRPr="00A428C3">
        <w:t>C. The percentage removal of dye (RB) increased with the decrease in initial concentration of dye</w:t>
      </w:r>
      <w:r w:rsidR="00F81221">
        <w:t xml:space="preserve"> and </w:t>
      </w:r>
      <w:r w:rsidRPr="00A428C3">
        <w:t>particle size of the adsorbent</w:t>
      </w:r>
      <w:r w:rsidR="00F81221">
        <w:t xml:space="preserve"> and </w:t>
      </w:r>
      <w:r w:rsidRPr="00A428C3">
        <w:t>increased with the increase in contact time, dose of adsorbent</w:t>
      </w:r>
      <w:r w:rsidR="00F81221">
        <w:t xml:space="preserve"> and </w:t>
      </w:r>
      <w:r w:rsidRPr="00A428C3">
        <w:t>initial pH of the solution. Adsorption data were modelled with the Freundlich</w:t>
      </w:r>
      <w:r w:rsidR="00F81221">
        <w:t xml:space="preserve"> and </w:t>
      </w:r>
      <w:r w:rsidRPr="00A428C3">
        <w:t>Langmuir adsorption isotherms</w:t>
      </w:r>
      <w:r w:rsidR="00F81221">
        <w:t xml:space="preserve"> and </w:t>
      </w:r>
      <w:r w:rsidRPr="00A428C3">
        <w:t>first order kinetic equations, such as Natarajan</w:t>
      </w:r>
      <w:r w:rsidR="00F81221">
        <w:t xml:space="preserve"> and </w:t>
      </w:r>
      <w:r w:rsidRPr="00A428C3">
        <w:t>Khalaf, Lagergren</w:t>
      </w:r>
      <w:r w:rsidR="00F81221">
        <w:t xml:space="preserve"> and </w:t>
      </w:r>
      <w:r w:rsidRPr="00A428C3">
        <w:t>Bhattacharya</w:t>
      </w:r>
      <w:r w:rsidR="00F81221">
        <w:t xml:space="preserve"> and </w:t>
      </w:r>
      <w:r w:rsidRPr="00A428C3">
        <w:t>Venkobachar</w:t>
      </w:r>
      <w:r w:rsidR="00F81221">
        <w:t xml:space="preserve"> and </w:t>
      </w:r>
      <w:r w:rsidRPr="00A428C3">
        <w:t>intra-particle diffusion model. The kinetics of adsorption is found to be first order with intra-particle diffusion as one of the rate determining steps. The results conclude that IACs could be considered as low-cost adsorbents alternative to CAC in wastewater treatment for the removal of colour</w:t>
      </w:r>
      <w:r w:rsidR="00F81221">
        <w:t xml:space="preserve"> and </w:t>
      </w:r>
      <w:r w:rsidRPr="00A428C3">
        <w:t>dyes, in general,</w:t>
      </w:r>
      <w:r w:rsidR="00F81221">
        <w:t xml:space="preserve"> and </w:t>
      </w:r>
      <w:r w:rsidRPr="00A428C3">
        <w:t>rhodamine B, in particular.</w:t>
      </w:r>
    </w:p>
    <w:p w:rsidR="00B95188" w:rsidRPr="00A428C3" w:rsidRDefault="00B95188" w:rsidP="00B95188">
      <w:pPr>
        <w:pStyle w:val="a0"/>
      </w:pPr>
      <w:r w:rsidRPr="00A428C3">
        <w:t>Keywords: Adsorption, Removal of Rhodamine B, Various Carbons, Freundlich</w:t>
      </w:r>
      <w:r w:rsidR="00F81221">
        <w:t xml:space="preserve"> and </w:t>
      </w:r>
      <w:r w:rsidRPr="00A428C3">
        <w:t>Langmuir Adsorption Isotherms, Kinetics of Adsorption, Intra-Particle Diffusion, Adsorption Capacity, Comparison, Water</w:t>
      </w:r>
      <w:r w:rsidR="00F81221">
        <w:t xml:space="preserve"> and </w:t>
      </w:r>
      <w:r w:rsidRPr="00A428C3">
        <w:t>Wastewater Treatment, Low-Cost Adsorbents, Aqueous-Solutions, Waste-Water, Equilibrium</w:t>
      </w:r>
    </w:p>
    <w:p w:rsidR="00B95188" w:rsidRPr="00A428C3" w:rsidRDefault="00B95188" w:rsidP="00B95188">
      <w:pPr>
        <w:pStyle w:val="a0"/>
      </w:pPr>
      <w:r w:rsidRPr="00A428C3">
        <w:t>? Yavuz, Ö., Ziyadanogullari, B., Aydin, I.</w:t>
      </w:r>
      <w:r w:rsidR="00F81221">
        <w:t xml:space="preserve"> and </w:t>
      </w:r>
      <w:r w:rsidRPr="00A428C3">
        <w:t>Bingol, H. (2002), Removal of cadmium from aqueous solution by natural</w:t>
      </w:r>
      <w:r w:rsidR="00F81221">
        <w:t xml:space="preserve"> and </w:t>
      </w:r>
      <w:r w:rsidRPr="00A428C3">
        <w:t xml:space="preserve">thermally activated dolomite. </w:t>
      </w:r>
      <w:r w:rsidRPr="00A428C3">
        <w:rPr>
          <w:i/>
          <w:iCs/>
        </w:rPr>
        <w:t>Fresenius Environmental Bulletin</w:t>
      </w:r>
      <w:r w:rsidRPr="00A428C3">
        <w:t xml:space="preserve">, </w:t>
      </w:r>
      <w:r w:rsidRPr="00A428C3">
        <w:rPr>
          <w:b/>
        </w:rPr>
        <w:t>11</w:t>
      </w:r>
      <w:r w:rsidRPr="00A428C3">
        <w:t xml:space="preserve"> (3), 123-126.</w:t>
      </w:r>
    </w:p>
    <w:p w:rsidR="00B95188" w:rsidRPr="00A428C3" w:rsidRDefault="00B95188" w:rsidP="00B95188">
      <w:pPr>
        <w:pStyle w:val="a0"/>
      </w:pPr>
      <w:r w:rsidRPr="00A428C3">
        <w:t xml:space="preserve">Full Text: </w:t>
      </w:r>
      <w:hyperlink r:id="rId136" w:history="1">
        <w:r w:rsidRPr="00A428C3">
          <w:rPr>
            <w:rStyle w:val="a5"/>
          </w:rPr>
          <w:t>2002\Fre Env Bul11, 123.pdf</w:t>
        </w:r>
      </w:hyperlink>
    </w:p>
    <w:p w:rsidR="00B95188" w:rsidRPr="00A428C3" w:rsidRDefault="00B95188" w:rsidP="00B95188">
      <w:pPr>
        <w:pStyle w:val="a0"/>
      </w:pPr>
      <w:r w:rsidRPr="00A428C3">
        <w:t>Abstract: Removal of Cd(II) from aqueous solution by natural</w:t>
      </w:r>
      <w:r w:rsidR="00F81221">
        <w:t xml:space="preserve"> and </w:t>
      </w:r>
      <w:r w:rsidRPr="00A428C3">
        <w:t>thermally activated dolomite was investigated. Maximum activation temperature</w:t>
      </w:r>
      <w:r w:rsidR="00F81221">
        <w:t xml:space="preserve"> and </w:t>
      </w:r>
      <w:r w:rsidRPr="00A428C3">
        <w:t>maximum adsorption capacities were determined as 700</w:t>
      </w:r>
      <w:r w:rsidR="009B0C58">
        <w:t>°</w:t>
      </w:r>
      <w:r w:rsidRPr="00A428C3">
        <w:t>C for 2 hours</w:t>
      </w:r>
      <w:r w:rsidR="00F81221">
        <w:t xml:space="preserve"> and </w:t>
      </w:r>
      <w:r w:rsidRPr="00A428C3">
        <w:t>1.02 mg g</w:t>
      </w:r>
      <w:r w:rsidRPr="00A428C3">
        <w:rPr>
          <w:vertAlign w:val="superscript"/>
        </w:rPr>
        <w:t>-1</w:t>
      </w:r>
      <w:r w:rsidRPr="00A428C3">
        <w:t xml:space="preserve"> for natural dolomite, but 64.93 mg g</w:t>
      </w:r>
      <w:r w:rsidRPr="00A428C3">
        <w:rPr>
          <w:vertAlign w:val="superscript"/>
        </w:rPr>
        <w:t>-1</w:t>
      </w:r>
      <w:r w:rsidRPr="00A428C3">
        <w:t xml:space="preserve"> for thermally activated dolomite at 25</w:t>
      </w:r>
      <w:r w:rsidR="009B0C58">
        <w:t>°</w:t>
      </w:r>
      <w:r w:rsidRPr="00A428C3">
        <w:t>C, respectively. Equilibrium contact time of cadmium was determined as 1 hour. Adsorption of Cd(II) on dolomite conforms to Langmuir</w:t>
      </w:r>
      <w:r w:rsidR="000352E7">
        <w:t>’</w:t>
      </w:r>
      <w:r w:rsidRPr="00A428C3">
        <w:t>s isotherm.</w:t>
      </w:r>
    </w:p>
    <w:p w:rsidR="00B95188" w:rsidRPr="00A428C3" w:rsidRDefault="00B95188" w:rsidP="00B95188">
      <w:pPr>
        <w:pStyle w:val="a0"/>
      </w:pPr>
      <w:r w:rsidRPr="00A428C3">
        <w:t>Keywords: Cadmium, Dolomite, Removal, Sorption, Adsorption, Desorption, Soils, Lead, Zinc</w:t>
      </w:r>
    </w:p>
    <w:p w:rsidR="00B95188" w:rsidRPr="00A428C3" w:rsidRDefault="00B95188" w:rsidP="00B95188">
      <w:pPr>
        <w:pStyle w:val="a0"/>
      </w:pPr>
      <w:r w:rsidRPr="00A428C3">
        <w:t>? Yavuz, Ö.</w:t>
      </w:r>
      <w:r w:rsidR="00F81221">
        <w:t xml:space="preserve"> and </w:t>
      </w:r>
      <w:r w:rsidRPr="00A428C3">
        <w:t xml:space="preserve">Aslan, H. (2002), Removal of cadmium from aqueous solution by </w:t>
      </w:r>
      <w:r w:rsidRPr="00A428C3">
        <w:lastRenderedPageBreak/>
        <w:t>natural</w:t>
      </w:r>
      <w:r w:rsidR="00F81221">
        <w:t xml:space="preserve"> and </w:t>
      </w:r>
      <w:r w:rsidRPr="00A428C3">
        <w:t xml:space="preserve">thermally activated kaolinite. </w:t>
      </w:r>
      <w:r w:rsidRPr="00A428C3">
        <w:rPr>
          <w:i/>
          <w:iCs/>
        </w:rPr>
        <w:t>Fresenius Environmental Bulletin</w:t>
      </w:r>
      <w:r w:rsidRPr="00A428C3">
        <w:t xml:space="preserve">, </w:t>
      </w:r>
      <w:r w:rsidRPr="00A428C3">
        <w:rPr>
          <w:b/>
        </w:rPr>
        <w:t>11</w:t>
      </w:r>
      <w:r w:rsidRPr="00A428C3">
        <w:t xml:space="preserve"> (4), 194-197.</w:t>
      </w:r>
    </w:p>
    <w:p w:rsidR="00B95188" w:rsidRPr="00A428C3" w:rsidRDefault="00B95188" w:rsidP="00B95188">
      <w:pPr>
        <w:pStyle w:val="a0"/>
      </w:pPr>
      <w:r w:rsidRPr="00A428C3">
        <w:t xml:space="preserve">Full Text: </w:t>
      </w:r>
      <w:hyperlink r:id="rId137" w:history="1">
        <w:r w:rsidRPr="00A428C3">
          <w:rPr>
            <w:rStyle w:val="a5"/>
          </w:rPr>
          <w:t>2002\Fre Env Bul11, 194.pdf</w:t>
        </w:r>
      </w:hyperlink>
    </w:p>
    <w:p w:rsidR="00B95188" w:rsidRPr="00A428C3" w:rsidRDefault="00B95188" w:rsidP="00B95188">
      <w:pPr>
        <w:pStyle w:val="a0"/>
      </w:pPr>
      <w:r w:rsidRPr="00A428C3">
        <w:t>Abstract: Removal of Cd(II) from aqueous solution</w:t>
      </w:r>
      <w:r w:rsidR="00F81221">
        <w:t xml:space="preserve"> and </w:t>
      </w:r>
      <w:r w:rsidRPr="00A428C3">
        <w:t>effect of activation temperature on the adsorption by kaolinite was investigated. Maximum activation temperature was determined as 600</w:t>
      </w:r>
      <w:r w:rsidR="009B0C58">
        <w:t>°</w:t>
      </w:r>
      <w:r w:rsidRPr="00A428C3">
        <w:t>C for 1 hour</w:t>
      </w:r>
      <w:r w:rsidR="00F81221">
        <w:t xml:space="preserve"> and </w:t>
      </w:r>
      <w:r w:rsidRPr="00A428C3">
        <w:t>maximum adsorption capacities for natural kaolinite as 0.835 mg g</w:t>
      </w:r>
      <w:r w:rsidRPr="00A428C3">
        <w:rPr>
          <w:vertAlign w:val="superscript"/>
        </w:rPr>
        <w:t>-1</w:t>
      </w:r>
      <w:r w:rsidRPr="00A428C3">
        <w:t xml:space="preserve"> at 5</w:t>
      </w:r>
      <w:r w:rsidR="009B0C58">
        <w:t>°</w:t>
      </w:r>
      <w:r w:rsidRPr="00A428C3">
        <w:t>C</w:t>
      </w:r>
      <w:r w:rsidR="00F81221">
        <w:t xml:space="preserve"> and </w:t>
      </w:r>
      <w:r w:rsidRPr="00A428C3">
        <w:t>1.117 mg g</w:t>
      </w:r>
      <w:r w:rsidRPr="00A428C3">
        <w:rPr>
          <w:vertAlign w:val="superscript"/>
        </w:rPr>
        <w:t>-1</w:t>
      </w:r>
      <w:r w:rsidRPr="00A428C3">
        <w:t xml:space="preserve"> at 40</w:t>
      </w:r>
      <w:r w:rsidR="009B0C58">
        <w:t>°</w:t>
      </w:r>
      <w:r w:rsidRPr="00A428C3">
        <w:t>C, for thermally activated kaolinite as 6.75 mg g</w:t>
      </w:r>
      <w:r w:rsidRPr="00A428C3">
        <w:rPr>
          <w:vertAlign w:val="superscript"/>
        </w:rPr>
        <w:t>-1</w:t>
      </w:r>
      <w:r w:rsidRPr="00A428C3">
        <w:t xml:space="preserve"> at 25</w:t>
      </w:r>
      <w:r w:rsidR="009B0C58">
        <w:t>°</w:t>
      </w:r>
      <w:r w:rsidRPr="00A428C3">
        <w:t>C</w:t>
      </w:r>
      <w:r w:rsidR="00F81221">
        <w:t xml:space="preserve"> and </w:t>
      </w:r>
      <w:r w:rsidRPr="00A428C3">
        <w:t>7.518 mg g</w:t>
      </w:r>
      <w:r w:rsidRPr="00A428C3">
        <w:rPr>
          <w:vertAlign w:val="superscript"/>
        </w:rPr>
        <w:t>-1</w:t>
      </w:r>
      <w:r w:rsidRPr="00A428C3">
        <w:t xml:space="preserve"> at 40</w:t>
      </w:r>
      <w:r w:rsidR="009B0C58">
        <w:t>°</w:t>
      </w:r>
      <w:r w:rsidRPr="00A428C3">
        <w:t>C, respectively. Equilibrium contact time of cadmium was determined to be I hour. Adsorption of Cd(H) on kaolinite conforms to Langmuir</w:t>
      </w:r>
      <w:r w:rsidR="000352E7">
        <w:t>’</w:t>
      </w:r>
      <w:r w:rsidRPr="00A428C3">
        <w:t>s isotherm.</w:t>
      </w:r>
    </w:p>
    <w:p w:rsidR="00B95188" w:rsidRPr="00A428C3" w:rsidRDefault="00B95188" w:rsidP="00B95188">
      <w:pPr>
        <w:pStyle w:val="a0"/>
      </w:pPr>
      <w:r w:rsidRPr="00A428C3">
        <w:t>Keywords: Cadmium, Removal, Sorption, Kaolinite Adsorption, Desorption, Goethite, Sorption, Soils, Lead, Zinc</w:t>
      </w:r>
    </w:p>
    <w:p w:rsidR="00B95188" w:rsidRPr="00A428C3" w:rsidRDefault="00B95188" w:rsidP="00B95188">
      <w:pPr>
        <w:pStyle w:val="a0"/>
      </w:pPr>
      <w:r w:rsidRPr="00A428C3">
        <w:t>? Asyhar, R., Wichmann, H., Bahadir, M.</w:t>
      </w:r>
      <w:r w:rsidR="00F81221">
        <w:t xml:space="preserve"> and </w:t>
      </w:r>
      <w:r w:rsidRPr="00A428C3">
        <w:t>Cammenga, H.K. (2002), Equilibrium adsorption studies of activated coke towards phenol</w:t>
      </w:r>
      <w:r w:rsidR="00F81221">
        <w:t xml:space="preserve"> and </w:t>
      </w:r>
      <w:r w:rsidRPr="00A428C3">
        <w:t xml:space="preserve">4-nitrophenol. </w:t>
      </w:r>
      <w:r w:rsidRPr="00A428C3">
        <w:rPr>
          <w:i/>
          <w:iCs/>
        </w:rPr>
        <w:t>Fresenius Environmental Bulletin</w:t>
      </w:r>
      <w:r w:rsidRPr="00A428C3">
        <w:t xml:space="preserve">, </w:t>
      </w:r>
      <w:r w:rsidRPr="00A428C3">
        <w:rPr>
          <w:b/>
        </w:rPr>
        <w:t>11</w:t>
      </w:r>
      <w:r w:rsidRPr="00A428C3">
        <w:t xml:space="preserve"> (6), 270-277.</w:t>
      </w:r>
    </w:p>
    <w:p w:rsidR="00B95188" w:rsidRPr="00A428C3" w:rsidRDefault="00B95188" w:rsidP="00B95188">
      <w:pPr>
        <w:pStyle w:val="a0"/>
      </w:pPr>
      <w:r w:rsidRPr="00A428C3">
        <w:t xml:space="preserve">Full Text: </w:t>
      </w:r>
      <w:hyperlink r:id="rId138" w:history="1">
        <w:r w:rsidRPr="00A428C3">
          <w:rPr>
            <w:rStyle w:val="a5"/>
          </w:rPr>
          <w:t>2002\Fre Env Bul11, 270.pdf</w:t>
        </w:r>
      </w:hyperlink>
    </w:p>
    <w:p w:rsidR="00B95188" w:rsidRPr="00A428C3" w:rsidRDefault="00B95188" w:rsidP="00B95188">
      <w:pPr>
        <w:pStyle w:val="a0"/>
      </w:pPr>
      <w:r w:rsidRPr="00A428C3">
        <w:t>Abstract: Equilibrium adsorption of activated coke towards phenol</w:t>
      </w:r>
      <w:r w:rsidR="00F81221">
        <w:t xml:space="preserve"> and </w:t>
      </w:r>
      <w:r w:rsidRPr="00A428C3">
        <w:t>4- nitrophenol has been studied. The activated coke was produced by impregnating ground green coke with pulverized KOH (2:3)</w:t>
      </w:r>
      <w:r w:rsidR="00F81221">
        <w:t xml:space="preserve"> and </w:t>
      </w:r>
      <w:r w:rsidRPr="00A428C3">
        <w:t>then washing the activation product with 15% HCl solution after thermal treatment. The experimental variables investigated in these studies were contact time, initial concentration, temperature</w:t>
      </w:r>
      <w:r w:rsidR="00F81221">
        <w:t xml:space="preserve"> and </w:t>
      </w:r>
      <w:r w:rsidRPr="00A428C3">
        <w:t>pH of solution,</w:t>
      </w:r>
      <w:r w:rsidR="00F81221">
        <w:t xml:space="preserve"> and </w:t>
      </w:r>
      <w:r w:rsidRPr="00A428C3">
        <w:t>sorbent dosage. Adsorption dynamics parameters, namely the rate constants for film diffusion (K-ad), intraparticle diffusion (K-p)</w:t>
      </w:r>
      <w:r w:rsidR="00F81221">
        <w:t xml:space="preserve"> and </w:t>
      </w:r>
      <w:r w:rsidRPr="00A428C3">
        <w:t>the diffusion coefficient (D-i) were determined. Isotherm modeling was carried out using both Langmuir</w:t>
      </w:r>
      <w:r w:rsidR="00F81221">
        <w:t xml:space="preserve"> and </w:t>
      </w:r>
      <w:r w:rsidRPr="00A428C3">
        <w:t>Freundlich equations. From the experimental data thermodynamic parameters including free energy (</w:t>
      </w:r>
      <w:r w:rsidR="009B0C58">
        <w:sym w:font="Symbol" w:char="F044"/>
      </w:r>
      <w:r w:rsidRPr="00A428C3">
        <w:t>G</w:t>
      </w:r>
      <w:r w:rsidR="009B0C58">
        <w:t>°</w:t>
      </w:r>
      <w:r w:rsidRPr="00A428C3">
        <w:t>), enthalpy (</w:t>
      </w:r>
      <w:r w:rsidR="009B0C58">
        <w:sym w:font="Symbol" w:char="F044"/>
      </w:r>
      <w:r w:rsidRPr="00A428C3">
        <w:t>H</w:t>
      </w:r>
      <w:r w:rsidR="009B0C58">
        <w:t>°</w:t>
      </w:r>
      <w:r w:rsidRPr="00A428C3">
        <w:t>)</w:t>
      </w:r>
      <w:r w:rsidR="00F81221">
        <w:t xml:space="preserve"> and </w:t>
      </w:r>
      <w:r w:rsidRPr="00A428C3">
        <w:t>entropy (</w:t>
      </w:r>
      <w:r w:rsidR="009B0C58">
        <w:sym w:font="Symbol" w:char="F044"/>
      </w:r>
      <w:r w:rsidRPr="00A428C3">
        <w:t>S</w:t>
      </w:r>
      <w:r w:rsidR="009B0C58">
        <w:t>°</w:t>
      </w:r>
      <w:r w:rsidRPr="00A428C3">
        <w:t>) were also calculated.</w:t>
      </w:r>
    </w:p>
    <w:p w:rsidR="00B95188" w:rsidRPr="00A428C3" w:rsidRDefault="00B95188" w:rsidP="00B95188">
      <w:pPr>
        <w:pStyle w:val="a0"/>
      </w:pPr>
      <w:r w:rsidRPr="00A428C3">
        <w:t>Keywords: 4-Nitrophenol, Adsorbents, Adsorption, Aqueous-Solutions, Carbon, Dynamic Parameters, Fly-Ash, Langmuir</w:t>
      </w:r>
      <w:r w:rsidR="00F81221">
        <w:t xml:space="preserve"> and </w:t>
      </w:r>
      <w:r w:rsidRPr="00A428C3">
        <w:t>Freundlich Isotherms, Petroleum Coke, Petroleum Coke, Phenol, Phosphoric-Acid, Rate Constants, Removal, Sorbent, Thermodynamic, Thermodynamic Parameters, Waste-Water</w:t>
      </w:r>
    </w:p>
    <w:p w:rsidR="00B95188" w:rsidRPr="00A428C3" w:rsidRDefault="00B95188" w:rsidP="00B95188">
      <w:pPr>
        <w:pStyle w:val="a0"/>
      </w:pPr>
      <w:r w:rsidRPr="00A428C3">
        <w:t>? Yavuz, Ö.</w:t>
      </w:r>
      <w:r w:rsidR="00F81221">
        <w:t xml:space="preserve"> and </w:t>
      </w:r>
      <w:r w:rsidRPr="00A428C3">
        <w:t xml:space="preserve">Aydin, A.H. (2002), The removal of acid dye from aqueous solution by different adsorbents. </w:t>
      </w:r>
      <w:r w:rsidRPr="00A428C3">
        <w:rPr>
          <w:i/>
          <w:iCs/>
        </w:rPr>
        <w:t>Fresenius Environmental Bulletin</w:t>
      </w:r>
      <w:r w:rsidRPr="00A428C3">
        <w:t xml:space="preserve">, </w:t>
      </w:r>
      <w:r w:rsidRPr="00A428C3">
        <w:rPr>
          <w:b/>
        </w:rPr>
        <w:t>11</w:t>
      </w:r>
      <w:r w:rsidRPr="00A428C3">
        <w:t xml:space="preserve"> (7), 377-383.</w:t>
      </w:r>
    </w:p>
    <w:p w:rsidR="00B95188" w:rsidRPr="00A428C3" w:rsidRDefault="00B95188" w:rsidP="00B95188">
      <w:pPr>
        <w:pStyle w:val="a0"/>
      </w:pPr>
      <w:r w:rsidRPr="00A428C3">
        <w:t xml:space="preserve">Full Text: </w:t>
      </w:r>
      <w:hyperlink r:id="rId139" w:history="1">
        <w:r w:rsidRPr="00A428C3">
          <w:rPr>
            <w:rStyle w:val="a5"/>
          </w:rPr>
          <w:t>2002\Fre Env Bul11, 377.pdf</w:t>
        </w:r>
      </w:hyperlink>
    </w:p>
    <w:p w:rsidR="00B95188" w:rsidRPr="00A428C3" w:rsidRDefault="00B95188" w:rsidP="00B95188">
      <w:pPr>
        <w:pStyle w:val="a0"/>
      </w:pPr>
      <w:r w:rsidRPr="00A428C3">
        <w:t>Abstract: Colour removal is an important task in textile wastewater treatment. Removal of dyestuff from aqueous solutions by different adsorbents, such as activated carbon, kaolinite</w:t>
      </w:r>
      <w:r w:rsidR="00F81221">
        <w:t xml:space="preserve"> and </w:t>
      </w:r>
      <w:r w:rsidRPr="00A428C3">
        <w:t>montmorillonite was investigated. Equilibrium isotherms have been determined</w:t>
      </w:r>
      <w:r w:rsidR="00F81221">
        <w:t xml:space="preserve"> and </w:t>
      </w:r>
      <w:r w:rsidRPr="00A428C3">
        <w:t>analysed using the Langmuir equations. The monolayer saturation adsorption capacities for acid dye are 967.0, 50.5, 43.7</w:t>
      </w:r>
      <w:r w:rsidR="00F81221">
        <w:t xml:space="preserve"> and </w:t>
      </w:r>
      <w:r w:rsidRPr="00A428C3">
        <w:t xml:space="preserve">31.3 mg/g adsorbent for RAC (a commercial activated carbon), HAC (activated carbon obtained from </w:t>
      </w:r>
      <w:r w:rsidRPr="00A428C3">
        <w:lastRenderedPageBreak/>
        <w:t>hazelnut), KC (raw kaolinite)</w:t>
      </w:r>
      <w:r w:rsidR="00F81221">
        <w:t xml:space="preserve"> and </w:t>
      </w:r>
      <w:r w:rsidRPr="00A428C3">
        <w:t>MC (montmorillonite) at 25 degreesC, respectively.</w:t>
      </w:r>
    </w:p>
    <w:p w:rsidR="00B95188" w:rsidRPr="00A428C3" w:rsidRDefault="00B95188" w:rsidP="00B95188">
      <w:pPr>
        <w:pStyle w:val="a0"/>
      </w:pPr>
      <w:r w:rsidRPr="00A428C3">
        <w:t>Keywords: Dyestuff Adsorption, Wastewater Treatment, Kaolinite, Montmoronilite, Activated Carbon, Removal, Adsorption</w:t>
      </w:r>
    </w:p>
    <w:p w:rsidR="00B95188" w:rsidRPr="00A428C3" w:rsidRDefault="00B95188" w:rsidP="00B95188">
      <w:pPr>
        <w:pStyle w:val="a0"/>
      </w:pPr>
      <w:r w:rsidRPr="00A428C3">
        <w:t>? Aydogan, M.N., Algur, O.F.</w:t>
      </w:r>
      <w:r w:rsidR="00F81221">
        <w:t xml:space="preserve"> and </w:t>
      </w:r>
      <w:r w:rsidRPr="00A428C3">
        <w:t xml:space="preserve">Danis, U. (2002), Batch zinc(II) biosorption by a non-living Phanerochaete chrysosporium biomass. </w:t>
      </w:r>
      <w:r w:rsidRPr="00A428C3">
        <w:rPr>
          <w:i/>
          <w:iCs/>
        </w:rPr>
        <w:t>Fresenius Environmental Bulletin</w:t>
      </w:r>
      <w:r w:rsidRPr="00A428C3">
        <w:t xml:space="preserve">, </w:t>
      </w:r>
      <w:r w:rsidRPr="00A428C3">
        <w:rPr>
          <w:b/>
        </w:rPr>
        <w:t>11</w:t>
      </w:r>
      <w:r w:rsidRPr="00A428C3">
        <w:t xml:space="preserve"> (11), 985-988.</w:t>
      </w:r>
    </w:p>
    <w:p w:rsidR="00B95188" w:rsidRPr="00A428C3" w:rsidRDefault="00B95188" w:rsidP="00B95188">
      <w:pPr>
        <w:pStyle w:val="a0"/>
      </w:pPr>
      <w:r w:rsidRPr="00A428C3">
        <w:t xml:space="preserve">Full Text: </w:t>
      </w:r>
      <w:hyperlink r:id="rId140" w:history="1">
        <w:r w:rsidRPr="00A428C3">
          <w:rPr>
            <w:rStyle w:val="a5"/>
          </w:rPr>
          <w:t>2002\Fre Env Bul11, 985.pdf</w:t>
        </w:r>
      </w:hyperlink>
    </w:p>
    <w:p w:rsidR="00B95188" w:rsidRPr="00A428C3" w:rsidRDefault="00B95188" w:rsidP="00B95188">
      <w:pPr>
        <w:pStyle w:val="a0"/>
      </w:pPr>
      <w:r w:rsidRPr="00A428C3">
        <w:t>Abstract: The zinc(II) biosorption capacity of non-living biomass of Phanerochaete chrysosporium was studied in the batch system. Concentrations ranging from 10 to 150 mg/l Zn(II) were tested. The biosorption of metals was strongly affected by pH</w:t>
      </w:r>
      <w:r w:rsidR="00F81221">
        <w:t xml:space="preserve"> and </w:t>
      </w:r>
      <w:r w:rsidRPr="00A428C3">
        <w:t>the concentrations of zinc adsorbed increased from pH 2.0 to maximum levels at pH 6.0. A biosorption equilibrium was established after about 15 min</w:t>
      </w:r>
      <w:r w:rsidR="00F81221">
        <w:t xml:space="preserve"> and </w:t>
      </w:r>
      <w:r w:rsidRPr="00A428C3">
        <w:t>the adsorbed Zn(II) ions did not significantly change further with time. Reduction in biomass concentration in the suspension at a given metal concentration enhanced the metal/biosorbent ratio,</w:t>
      </w:r>
      <w:r w:rsidR="00F81221">
        <w:t xml:space="preserve"> and </w:t>
      </w:r>
      <w:r w:rsidRPr="00A428C3">
        <w:t>thus increased metal uptake per gram of biosorbent. The equilibrium data could be fitted by a Langmuir isotherm equation. Under optimal conditions, up to 79.24 mg Zn(II) g biomass was adsorbed.</w:t>
      </w:r>
    </w:p>
    <w:p w:rsidR="00B95188" w:rsidRPr="00A428C3" w:rsidRDefault="00B95188" w:rsidP="00B95188">
      <w:pPr>
        <w:pStyle w:val="a0"/>
      </w:pPr>
      <w:r w:rsidRPr="00A428C3">
        <w:t>Keywords: Biosorption, Metal Removal, Phanerochaete Chrysosporium, Zinc, Biomass, Aqueous-Solutions, Waste Biomass, Removal, Lead, Copper(II), Adsorption, Recovery, Mycelium, Radiata, Cu(II)</w:t>
      </w:r>
    </w:p>
    <w:p w:rsidR="00B95188" w:rsidRPr="00A428C3" w:rsidRDefault="00B95188" w:rsidP="00B95188">
      <w:pPr>
        <w:pStyle w:val="a0"/>
      </w:pPr>
      <w:r w:rsidRPr="00A428C3">
        <w:t>? Beyazit, N., Sarioğlu, M.</w:t>
      </w:r>
      <w:r w:rsidR="00F81221">
        <w:t xml:space="preserve"> and </w:t>
      </w:r>
      <w:r w:rsidRPr="00A428C3">
        <w:t>Peker,</w:t>
      </w:r>
      <w:r w:rsidR="009B0C58">
        <w:rPr>
          <w:rFonts w:hint="eastAsia"/>
        </w:rPr>
        <w:t xml:space="preserve"> </w:t>
      </w:r>
      <w:r w:rsidRPr="00A428C3">
        <w:t xml:space="preserve">İ. (2002), Removal of copper ions from wastewaters using amasya zeolites, </w:t>
      </w:r>
      <w:smartTag w:uri="urn:schemas-microsoft-com:office:smarttags" w:element="place">
        <w:smartTag w:uri="urn:schemas-microsoft-com:office:smarttags" w:element="country-region">
          <w:r w:rsidRPr="00A428C3">
            <w:t>Turkey</w:t>
          </w:r>
        </w:smartTag>
      </w:smartTag>
      <w:r w:rsidRPr="00A428C3">
        <w:t xml:space="preserve">. </w:t>
      </w:r>
      <w:r w:rsidRPr="00A428C3">
        <w:rPr>
          <w:i/>
          <w:iCs/>
        </w:rPr>
        <w:t>Fresenius Environmental Bulletin</w:t>
      </w:r>
      <w:r w:rsidRPr="00A428C3">
        <w:t xml:space="preserve">, </w:t>
      </w:r>
      <w:r w:rsidRPr="00A428C3">
        <w:rPr>
          <w:b/>
        </w:rPr>
        <w:t>11</w:t>
      </w:r>
      <w:r w:rsidRPr="00A428C3">
        <w:t xml:space="preserve"> (</w:t>
      </w:r>
      <w:smartTag w:uri="urn:schemas-microsoft-com:office:smarttags" w:element="chmetcnv">
        <w:smartTagPr>
          <w:attr w:name="TCSC" w:val="0"/>
          <w:attr w:name="NumberType" w:val="1"/>
          <w:attr w:name="Negative" w:val="False"/>
          <w:attr w:name="HasSpace" w:val="False"/>
          <w:attr w:name="SourceValue" w:val="12"/>
          <w:attr w:name="UnitName" w:val="a"/>
        </w:smartTagPr>
        <w:r w:rsidRPr="00A428C3">
          <w:t>12A</w:t>
        </w:r>
      </w:smartTag>
      <w:r w:rsidRPr="00A428C3">
        <w:t>), 1066-1070.</w:t>
      </w:r>
    </w:p>
    <w:p w:rsidR="00B95188" w:rsidRPr="00A428C3" w:rsidRDefault="00B95188" w:rsidP="00B95188">
      <w:pPr>
        <w:pStyle w:val="a0"/>
      </w:pPr>
      <w:r w:rsidRPr="00A428C3">
        <w:t xml:space="preserve">Full Text: </w:t>
      </w:r>
      <w:hyperlink r:id="rId141" w:history="1">
        <w:r w:rsidRPr="00A428C3">
          <w:rPr>
            <w:rStyle w:val="a5"/>
          </w:rPr>
          <w:t>2002\Fre Env Bul11, 1066.pdf</w:t>
        </w:r>
      </w:hyperlink>
    </w:p>
    <w:p w:rsidR="00B95188" w:rsidRPr="00A428C3" w:rsidRDefault="00B95188" w:rsidP="00B95188">
      <w:pPr>
        <w:pStyle w:val="a0"/>
      </w:pPr>
      <w:r w:rsidRPr="00A428C3">
        <w:t>Abstract: In this study, removal of copper ions from wastewaters in a copper production plant (K.B.I.) located in Samsun by using zeolitic tuffs containing 45% clinoptilolite</w:t>
      </w:r>
      <w:r w:rsidR="00F81221">
        <w:t xml:space="preserve"> and </w:t>
      </w:r>
      <w:r w:rsidRPr="00A428C3">
        <w:t>35% mordenite, were investigated. Total adsorption/ion exchange capacity was found to be 0.11 mg Cu</w:t>
      </w:r>
      <w:r w:rsidRPr="00A428C3">
        <w:rPr>
          <w:vertAlign w:val="superscript"/>
        </w:rPr>
        <w:t>2+</w:t>
      </w:r>
      <w:r w:rsidRPr="00A428C3">
        <w:t>/g zeolite. t was determined that sodium was the most effective exchangeable ion for ion exchange of copper ions. Calcium, potassium</w:t>
      </w:r>
      <w:r w:rsidR="00F81221">
        <w:t xml:space="preserve"> and </w:t>
      </w:r>
      <w:r w:rsidRPr="00A428C3">
        <w:t>magnesium contents of wastewater interfaced with the removal of copper ions</w:t>
      </w:r>
      <w:r w:rsidR="00F81221">
        <w:t xml:space="preserve"> and </w:t>
      </w:r>
      <w:r w:rsidRPr="00A428C3">
        <w:t>greatly increased the amount of zeolite needed to treat a given volume of wastewater.</w:t>
      </w:r>
    </w:p>
    <w:p w:rsidR="00B95188" w:rsidRPr="00A428C3" w:rsidRDefault="00B95188" w:rsidP="00B95188">
      <w:pPr>
        <w:pStyle w:val="a0"/>
      </w:pPr>
      <w:r w:rsidRPr="00A428C3">
        <w:t>Keywords: Zeolites, Copper, Industrial Wastewater, Removal, Cadmium Removal, Metal, Exchange, Water, Lead</w:t>
      </w:r>
    </w:p>
    <w:p w:rsidR="00B95188" w:rsidRPr="00A428C3" w:rsidRDefault="00B95188" w:rsidP="00B95188">
      <w:pPr>
        <w:pStyle w:val="a0"/>
      </w:pPr>
      <w:r w:rsidRPr="00A428C3">
        <w:t>? Kizilcikli, I.</w:t>
      </w:r>
      <w:r w:rsidR="00F81221">
        <w:t xml:space="preserve"> and </w:t>
      </w:r>
      <w:r w:rsidRPr="00A428C3">
        <w:t xml:space="preserve">Mahramanlioglu, M. (2002), 2,4 D adsorption by the adsorbents produced from contaminated soil. </w:t>
      </w:r>
      <w:r w:rsidRPr="00A428C3">
        <w:rPr>
          <w:i/>
          <w:iCs/>
        </w:rPr>
        <w:t>Fresenius Environmental Bulletin</w:t>
      </w:r>
      <w:r w:rsidRPr="00A428C3">
        <w:t xml:space="preserve">, </w:t>
      </w:r>
      <w:r w:rsidRPr="00A428C3">
        <w:rPr>
          <w:b/>
        </w:rPr>
        <w:t>11</w:t>
      </w:r>
      <w:r w:rsidRPr="00A428C3">
        <w:t xml:space="preserve"> (12B), 1098-1104.</w:t>
      </w:r>
    </w:p>
    <w:p w:rsidR="00B95188" w:rsidRPr="00A428C3" w:rsidRDefault="00B95188" w:rsidP="00B95188">
      <w:pPr>
        <w:pStyle w:val="a0"/>
      </w:pPr>
      <w:r w:rsidRPr="00A428C3">
        <w:t>Full Text: Fre Env Bul11, 1098</w:t>
      </w:r>
    </w:p>
    <w:p w:rsidR="00B95188" w:rsidRPr="00A428C3" w:rsidRDefault="00B95188" w:rsidP="00B95188">
      <w:pPr>
        <w:pStyle w:val="a0"/>
      </w:pPr>
      <w:r w:rsidRPr="00A428C3">
        <w:t xml:space="preserve">Abstract: The waste material from a gaswork site was converted into low cost </w:t>
      </w:r>
      <w:r w:rsidRPr="00A428C3">
        <w:lastRenderedPageBreak/>
        <w:t>adsorbents by physical</w:t>
      </w:r>
      <w:r w:rsidR="00F81221">
        <w:t xml:space="preserve"> and </w:t>
      </w:r>
      <w:r w:rsidRPr="00A428C3">
        <w:t>chemical methods</w:t>
      </w:r>
      <w:r w:rsidR="00F81221">
        <w:t xml:space="preserve"> and </w:t>
      </w:r>
      <w:r w:rsidRPr="00A428C3">
        <w:t>utilized for the adsorption of 2,4 - D (2,4-dichlorophenoxy acetic acid). Chemical activation method was found to be more effective than physical method, as confirmed by surface area</w:t>
      </w:r>
      <w:r w:rsidR="00F81221">
        <w:t xml:space="preserve"> and </w:t>
      </w:r>
      <w:r w:rsidRPr="00A428C3">
        <w:t>porosity data. In the batch experiments, some parameters such as contact time, adsorbent concentration,</w:t>
      </w:r>
      <w:r w:rsidR="00F81221">
        <w:t xml:space="preserve"> and </w:t>
      </w:r>
      <w:r w:rsidRPr="00A428C3">
        <w:t>temperature were studied. Kinetic studies were made using the first order equation. The equilibrium data fit well to the Langmuir</w:t>
      </w:r>
      <w:r w:rsidR="00F81221">
        <w:t xml:space="preserve"> and </w:t>
      </w:r>
      <w:r w:rsidRPr="00A428C3">
        <w:t>Freundlich models. Thermodynamic parameters were calculated</w:t>
      </w:r>
      <w:r w:rsidR="00F81221">
        <w:t xml:space="preserve"> and </w:t>
      </w:r>
      <w:r w:rsidRPr="00A428C3">
        <w:t>these values showed that adsorption process was exothermic</w:t>
      </w:r>
      <w:r w:rsidR="00F81221">
        <w:t xml:space="preserve"> and </w:t>
      </w:r>
      <w:r w:rsidRPr="00A428C3">
        <w:t>favoured at low temperatures.</w:t>
      </w:r>
    </w:p>
    <w:p w:rsidR="00B95188" w:rsidRPr="00A428C3" w:rsidRDefault="00B95188" w:rsidP="00B95188">
      <w:pPr>
        <w:pStyle w:val="a0"/>
      </w:pPr>
      <w:r w:rsidRPr="00A428C3">
        <w:t>Keywords: Adsorption, Contaminated Soil, Activation Method, 2,4-dichlorophenoxy Acetic Acid (2,4-D), Pesticides, Granular Activated Carbon, Zinc-Chloride Activation, Spent Bleaching Earth, Fly-Ash, Aqueous-Solution, Removal, Conversion, Bentonite, Water, Dyes</w:t>
      </w:r>
    </w:p>
    <w:p w:rsidR="00091BE3" w:rsidRDefault="00091BE3" w:rsidP="00091BE3">
      <w:pPr>
        <w:pStyle w:val="a0"/>
        <w:rPr>
          <w:kern w:val="0"/>
        </w:rPr>
      </w:pPr>
      <w:r>
        <w:rPr>
          <w:rFonts w:hint="eastAsia"/>
          <w:kern w:val="0"/>
        </w:rPr>
        <w:t xml:space="preserve">? </w:t>
      </w:r>
      <w:r>
        <w:rPr>
          <w:kern w:val="0"/>
        </w:rPr>
        <w:t>Alkan, M.</w:t>
      </w:r>
      <w:r w:rsidR="00F81221">
        <w:rPr>
          <w:kern w:val="0"/>
        </w:rPr>
        <w:t xml:space="preserve"> and </w:t>
      </w:r>
      <w:r>
        <w:rPr>
          <w:kern w:val="0"/>
        </w:rPr>
        <w:t xml:space="preserve">Dogan, M. (2003), Adsorption kinetics of victoria blue onto perlite. </w:t>
      </w:r>
      <w:r>
        <w:rPr>
          <w:i/>
          <w:iCs/>
          <w:kern w:val="0"/>
        </w:rPr>
        <w:t>Fresenius Environmental Bulletin</w:t>
      </w:r>
      <w:r>
        <w:rPr>
          <w:kern w:val="0"/>
        </w:rPr>
        <w:t xml:space="preserve">, </w:t>
      </w:r>
      <w:r>
        <w:rPr>
          <w:b/>
          <w:bCs/>
          <w:kern w:val="0"/>
        </w:rPr>
        <w:t>12</w:t>
      </w:r>
      <w:r>
        <w:rPr>
          <w:kern w:val="0"/>
        </w:rPr>
        <w:t xml:space="preserve"> (5), 418-425.</w:t>
      </w:r>
    </w:p>
    <w:p w:rsidR="00091BE3" w:rsidRDefault="00091BE3" w:rsidP="00091BE3">
      <w:pPr>
        <w:pStyle w:val="a0"/>
        <w:rPr>
          <w:kern w:val="0"/>
        </w:rPr>
      </w:pPr>
      <w:r>
        <w:rPr>
          <w:kern w:val="0"/>
        </w:rPr>
        <w:t>Abstract: The effects of various experimental parameters such as initial dye concentration, temperature</w:t>
      </w:r>
      <w:r w:rsidR="00F81221">
        <w:rPr>
          <w:kern w:val="0"/>
        </w:rPr>
        <w:t xml:space="preserve"> and </w:t>
      </w:r>
      <w:r>
        <w:rPr>
          <w:kern w:val="0"/>
        </w:rPr>
        <w:t>pH on adsorption capacity of victoria blue on perlite have been investigated. The extent of dye removal increased, with the increase in initial concentration, pH</w:t>
      </w:r>
      <w:r w:rsidR="00F81221">
        <w:rPr>
          <w:kern w:val="0"/>
        </w:rPr>
        <w:t xml:space="preserve"> and </w:t>
      </w:r>
      <w:r>
        <w:rPr>
          <w:kern w:val="0"/>
        </w:rPr>
        <w:t>temperature of the dye</w:t>
      </w:r>
      <w:r w:rsidR="00F81221">
        <w:rPr>
          <w:kern w:val="0"/>
        </w:rPr>
        <w:t xml:space="preserve"> and </w:t>
      </w:r>
      <w:r>
        <w:rPr>
          <w:kern w:val="0"/>
        </w:rPr>
        <w:t>contact time. Adsorption measurements show that the process is fast</w:t>
      </w:r>
      <w:r w:rsidR="00F81221">
        <w:rPr>
          <w:kern w:val="0"/>
        </w:rPr>
        <w:t xml:space="preserve"> and </w:t>
      </w:r>
      <w:r>
        <w:rPr>
          <w:kern w:val="0"/>
        </w:rPr>
        <w:t>the adsorption data were modeled using the first order kinetic equation. The results indicate that perlite could be employed as a low cost alternative to commercial adsorbents in wastewater treatment for the removal of colour</w:t>
      </w:r>
      <w:r w:rsidR="00F81221">
        <w:rPr>
          <w:kern w:val="0"/>
        </w:rPr>
        <w:t xml:space="preserve"> and </w:t>
      </w:r>
      <w:r>
        <w:rPr>
          <w:kern w:val="0"/>
        </w:rPr>
        <w:t>dyes. The activation energy was calculated as 2.4 kJ/mol.</w:t>
      </w:r>
    </w:p>
    <w:p w:rsidR="00091BE3" w:rsidRDefault="00091BE3" w:rsidP="00091BE3">
      <w:pPr>
        <w:pStyle w:val="a0"/>
        <w:rPr>
          <w:kern w:val="0"/>
        </w:rPr>
      </w:pPr>
      <w:r>
        <w:rPr>
          <w:kern w:val="0"/>
        </w:rPr>
        <w:t xml:space="preserve">Keywords: Activation, Activation Energy, Adsorption, Adsorption Capacity, Adsorption Kinetics, Ash, Capacity, Carbons, Dye, Dye Removal, Dyes, First Order, Kinetic, Kinetics, Kinetics of Adsorption, Mechanism, Methylene-Blue, Model, Perlite, </w:t>
      </w:r>
      <w:r>
        <w:rPr>
          <w:rFonts w:hint="eastAsia"/>
          <w:kern w:val="0"/>
        </w:rPr>
        <w:t>p</w:t>
      </w:r>
      <w:r>
        <w:rPr>
          <w:kern w:val="0"/>
        </w:rPr>
        <w:t>H, Removal, Temperature, Treatment, Victoria Blue, Wastewater, Wastewater Treatment</w:t>
      </w:r>
    </w:p>
    <w:p w:rsidR="00B95188" w:rsidRPr="00A428C3" w:rsidRDefault="00B95188" w:rsidP="00B95188">
      <w:pPr>
        <w:pStyle w:val="a0"/>
      </w:pPr>
      <w:r w:rsidRPr="00A428C3">
        <w:t>? Doner, G.</w:t>
      </w:r>
      <w:r w:rsidR="00F81221">
        <w:t xml:space="preserve"> and </w:t>
      </w:r>
      <w:r w:rsidRPr="00A428C3">
        <w:t>Akman, S. (2003), The removal of copper, cadmium</w:t>
      </w:r>
      <w:r w:rsidR="00F81221">
        <w:t xml:space="preserve"> and </w:t>
      </w:r>
      <w:r w:rsidRPr="00A428C3">
        <w:t xml:space="preserve">lead by rice husk ash. </w:t>
      </w:r>
      <w:r w:rsidRPr="00A428C3">
        <w:rPr>
          <w:i/>
          <w:iCs/>
        </w:rPr>
        <w:t>Fresenius Environmental Bulletin</w:t>
      </w:r>
      <w:r w:rsidRPr="00A428C3">
        <w:t xml:space="preserve">, </w:t>
      </w:r>
      <w:r w:rsidRPr="00A428C3">
        <w:rPr>
          <w:b/>
        </w:rPr>
        <w:t>12</w:t>
      </w:r>
      <w:r w:rsidRPr="00A428C3">
        <w:t xml:space="preserve"> (7), 736-739.</w:t>
      </w:r>
    </w:p>
    <w:p w:rsidR="00B95188" w:rsidRPr="00A428C3" w:rsidRDefault="00B95188" w:rsidP="00B95188">
      <w:pPr>
        <w:pStyle w:val="a0"/>
      </w:pPr>
      <w:r w:rsidRPr="00A428C3">
        <w:t xml:space="preserve">Full Text: </w:t>
      </w:r>
      <w:hyperlink r:id="rId142" w:history="1">
        <w:r w:rsidRPr="00A428C3">
          <w:rPr>
            <w:rStyle w:val="a5"/>
          </w:rPr>
          <w:t>2003\Fre Env Bul12, 736.pdf</w:t>
        </w:r>
      </w:hyperlink>
    </w:p>
    <w:p w:rsidR="00B95188" w:rsidRPr="00A428C3" w:rsidRDefault="00B95188" w:rsidP="00B95188">
      <w:pPr>
        <w:pStyle w:val="a0"/>
      </w:pPr>
      <w:r w:rsidRPr="00A428C3">
        <w:t>Abstract: In this study, a major agricultural waste, rice husk ash, was used for the removal of copper, cadmium</w:t>
      </w:r>
      <w:r w:rsidR="00F81221">
        <w:t xml:space="preserve"> and </w:t>
      </w:r>
      <w:r w:rsidRPr="00A428C3">
        <w:t>lead</w:t>
      </w:r>
      <w:r w:rsidR="00F81221">
        <w:t xml:space="preserve"> and </w:t>
      </w:r>
      <w:r w:rsidRPr="00A428C3">
        <w:t>their preconcentration</w:t>
      </w:r>
      <w:r w:rsidR="00F81221">
        <w:t xml:space="preserve"> and </w:t>
      </w:r>
      <w:r w:rsidRPr="00A428C3">
        <w:t>separation prior to analysis by graphite furnace atomic absorption spectrometry was observed. For this purpose, rice husk was thermally treated at 300</w:t>
      </w:r>
      <w:r w:rsidR="009B0C58">
        <w:t>°</w:t>
      </w:r>
      <w:r w:rsidRPr="00A428C3">
        <w:t>C, 500</w:t>
      </w:r>
      <w:r w:rsidR="009B0C58">
        <w:t>°</w:t>
      </w:r>
      <w:r w:rsidRPr="00A428C3">
        <w:t>C</w:t>
      </w:r>
      <w:r w:rsidR="00F81221">
        <w:t xml:space="preserve"> and </w:t>
      </w:r>
      <w:r w:rsidRPr="00A428C3">
        <w:t>800</w:t>
      </w:r>
      <w:r w:rsidR="009B0C58">
        <w:t>°</w:t>
      </w:r>
      <w:r w:rsidRPr="00A428C3">
        <w:t>C for 8 hrs in a muffle furnace. The effects of thermal treatment</w:t>
      </w:r>
      <w:r w:rsidR="00F81221">
        <w:t xml:space="preserve"> and </w:t>
      </w:r>
      <w:r w:rsidRPr="00A428C3">
        <w:t>various experimental conditions on retention</w:t>
      </w:r>
      <w:r w:rsidR="00F81221">
        <w:t xml:space="preserve"> and </w:t>
      </w:r>
      <w:r w:rsidRPr="00A428C3">
        <w:t>elution efficiencies of the elements studied were investigated by applying batch</w:t>
      </w:r>
      <w:r w:rsidR="00F81221">
        <w:t xml:space="preserve"> and </w:t>
      </w:r>
      <w:r w:rsidRPr="00A428C3">
        <w:t xml:space="preserve">column methods. All elements were nearly quantitatively (&gt;90%) retained at pH greater than or equal to 6 with a shaking time of </w:t>
      </w:r>
      <w:r w:rsidRPr="00A428C3">
        <w:lastRenderedPageBreak/>
        <w:t>10 min. Maximum lead adsorption capacity of rice husk ash heated at 300</w:t>
      </w:r>
      <w:r w:rsidR="009B0C58">
        <w:t>°</w:t>
      </w:r>
      <w:r w:rsidRPr="00A428C3">
        <w:t>C, 500</w:t>
      </w:r>
      <w:r w:rsidR="009B0C58">
        <w:t>°</w:t>
      </w:r>
      <w:r w:rsidRPr="00A428C3">
        <w:t>C</w:t>
      </w:r>
      <w:r w:rsidR="00F81221">
        <w:t xml:space="preserve"> and </w:t>
      </w:r>
      <w:r w:rsidRPr="00A428C3">
        <w:t>800</w:t>
      </w:r>
      <w:r w:rsidR="009B0C58">
        <w:t>°</w:t>
      </w:r>
      <w:r w:rsidRPr="00A428C3">
        <w:t>C were 12.3, 9.7, 8.6 mg Pb/g adsorbent. The results showed that rice husk ash, especially heated at 300</w:t>
      </w:r>
      <w:r w:rsidR="009B0C58">
        <w:t>°</w:t>
      </w:r>
      <w:r w:rsidRPr="00A428C3">
        <w:t>C, could be used as an efficient</w:t>
      </w:r>
      <w:r w:rsidR="00F81221">
        <w:t xml:space="preserve"> and </w:t>
      </w:r>
      <w:r w:rsidRPr="00A428C3">
        <w:t>inexpensive adsorbent for the removal of some toxic heavy metals from polluted wastewaters.</w:t>
      </w:r>
    </w:p>
    <w:p w:rsidR="00B95188" w:rsidRPr="00A428C3" w:rsidRDefault="00B95188" w:rsidP="00B95188">
      <w:pPr>
        <w:pStyle w:val="a0"/>
      </w:pPr>
      <w:r w:rsidRPr="00A428C3">
        <w:t>Keywords: Adsorption, Heavy Metals, Rice Husk Ash, Atomic Absorption Spectrometry, Heavy-Metals, Ion-Exchange, Preconcentration, Adsorption, Nickel, Silica, Hulls</w:t>
      </w:r>
    </w:p>
    <w:p w:rsidR="00B95188" w:rsidRPr="00A428C3" w:rsidRDefault="00B95188" w:rsidP="00B95188">
      <w:pPr>
        <w:pStyle w:val="a0"/>
      </w:pPr>
      <w:r w:rsidRPr="00A428C3">
        <w:t>? Şener, Ş., Sayilkan, F., Erdemoglu, S.B., Akarsu, M.</w:t>
      </w:r>
      <w:r w:rsidR="00F81221">
        <w:t xml:space="preserve"> and </w:t>
      </w:r>
      <w:r w:rsidRPr="00A428C3">
        <w:t>Sayilkan, H. (2003), The synthesis</w:t>
      </w:r>
      <w:r w:rsidR="00F81221">
        <w:t xml:space="preserve"> and </w:t>
      </w:r>
      <w:r w:rsidRPr="00A428C3">
        <w:t>application of new adsorbents for removal of heavy metal ions</w:t>
      </w:r>
      <w:r w:rsidR="00F81221">
        <w:t xml:space="preserve"> and </w:t>
      </w:r>
      <w:r w:rsidRPr="00A428C3">
        <w:t xml:space="preserve">phenols from aqueous solution. </w:t>
      </w:r>
      <w:r w:rsidRPr="00A428C3">
        <w:rPr>
          <w:i/>
          <w:iCs/>
        </w:rPr>
        <w:t>Fresenius Environmental Bulletin</w:t>
      </w:r>
      <w:r w:rsidRPr="00A428C3">
        <w:t xml:space="preserve">, </w:t>
      </w:r>
      <w:r w:rsidRPr="00A428C3">
        <w:rPr>
          <w:b/>
        </w:rPr>
        <w:t>12</w:t>
      </w:r>
      <w:r w:rsidRPr="00A428C3">
        <w:t xml:space="preserve"> (7), 797-800.</w:t>
      </w:r>
    </w:p>
    <w:p w:rsidR="00B95188" w:rsidRPr="00A428C3" w:rsidRDefault="00B95188" w:rsidP="00B95188">
      <w:pPr>
        <w:pStyle w:val="a0"/>
      </w:pPr>
      <w:r w:rsidRPr="00A428C3">
        <w:t xml:space="preserve">Full Text: </w:t>
      </w:r>
      <w:hyperlink r:id="rId143" w:history="1">
        <w:r w:rsidRPr="00A428C3">
          <w:rPr>
            <w:rStyle w:val="a5"/>
          </w:rPr>
          <w:t>2003\Fre Env Bul12, 797.pdf</w:t>
        </w:r>
      </w:hyperlink>
    </w:p>
    <w:p w:rsidR="00B95188" w:rsidRPr="00A428C3" w:rsidRDefault="00B95188" w:rsidP="00B95188">
      <w:pPr>
        <w:pStyle w:val="a0"/>
      </w:pPr>
      <w:r w:rsidRPr="00A428C3">
        <w:t>Abstract: In this study, a TiO</w:t>
      </w:r>
      <w:r w:rsidRPr="00A428C3">
        <w:rPr>
          <w:vertAlign w:val="subscript"/>
        </w:rPr>
        <w:t>2</w:t>
      </w:r>
      <w:r w:rsidRPr="00A428C3">
        <w:t xml:space="preserve"> adsorbent powder was synthesized from Titan (IV)-n-propoxyallyl acetoacetate by the sol-gel process. This powder</w:t>
      </w:r>
      <w:r w:rsidR="00F81221">
        <w:t xml:space="preserve"> and </w:t>
      </w:r>
      <w:r w:rsidRPr="00A428C3">
        <w:t>its coated forms (SH-and NH</w:t>
      </w:r>
      <w:r w:rsidRPr="00A428C3">
        <w:rPr>
          <w:vertAlign w:val="subscript"/>
        </w:rPr>
        <w:t>2</w:t>
      </w:r>
      <w:r w:rsidRPr="00A428C3">
        <w:t>- functional silanes) were investigated for their phenol, p-chlorophenol, Cu</w:t>
      </w:r>
      <w:r w:rsidRPr="00A428C3">
        <w:rPr>
          <w:vertAlign w:val="superscript"/>
        </w:rPr>
        <w:t>2+</w:t>
      </w:r>
      <w:r w:rsidRPr="00A428C3">
        <w:t>, Ph</w:t>
      </w:r>
      <w:r w:rsidRPr="00A428C3">
        <w:rPr>
          <w:vertAlign w:val="superscript"/>
        </w:rPr>
        <w:t>2+</w:t>
      </w:r>
      <w:r w:rsidR="00F81221">
        <w:t xml:space="preserve"> and </w:t>
      </w:r>
      <w:r w:rsidRPr="00A428C3">
        <w:t>Zn</w:t>
      </w:r>
      <w:r w:rsidRPr="00A428C3">
        <w:rPr>
          <w:vertAlign w:val="superscript"/>
        </w:rPr>
        <w:t>2+</w:t>
      </w:r>
      <w:r w:rsidRPr="00A428C3">
        <w:t xml:space="preserve"> adsorption. It was found that Pb</w:t>
      </w:r>
      <w:r w:rsidRPr="00A428C3">
        <w:rPr>
          <w:vertAlign w:val="superscript"/>
        </w:rPr>
        <w:t>2+</w:t>
      </w:r>
      <w:r w:rsidR="00F81221">
        <w:t xml:space="preserve"> and </w:t>
      </w:r>
      <w:r w:rsidRPr="00A428C3">
        <w:t>Zn</w:t>
      </w:r>
      <w:r w:rsidRPr="00A428C3">
        <w:rPr>
          <w:vertAlign w:val="superscript"/>
        </w:rPr>
        <w:t>2+</w:t>
      </w:r>
      <w:r w:rsidRPr="00A428C3">
        <w:t xml:space="preserve"> adsorption on the adsorbent coated with NH</w:t>
      </w:r>
      <w:r w:rsidRPr="00A428C3">
        <w:rPr>
          <w:vertAlign w:val="subscript"/>
        </w:rPr>
        <w:t>2</w:t>
      </w:r>
      <w:r w:rsidRPr="00A428C3">
        <w:t>-functional silane</w:t>
      </w:r>
      <w:r w:rsidR="00F81221">
        <w:t xml:space="preserve"> and </w:t>
      </w:r>
      <w:r w:rsidRPr="00A428C3">
        <w:t>Cu</w:t>
      </w:r>
      <w:r w:rsidRPr="00A428C3">
        <w:rPr>
          <w:vertAlign w:val="superscript"/>
        </w:rPr>
        <w:t>2+</w:t>
      </w:r>
      <w:r w:rsidRPr="00A428C3">
        <w:t>, Pb</w:t>
      </w:r>
      <w:r w:rsidRPr="00A428C3">
        <w:rPr>
          <w:vertAlign w:val="superscript"/>
        </w:rPr>
        <w:t>2+</w:t>
      </w:r>
      <w:r w:rsidRPr="00A428C3">
        <w:t xml:space="preserve"> adsorption on the adsorbent coated with SH- functional silane were nearly complete</w:t>
      </w:r>
    </w:p>
    <w:p w:rsidR="00B95188" w:rsidRPr="00A428C3" w:rsidRDefault="00B95188" w:rsidP="00B95188">
      <w:pPr>
        <w:pStyle w:val="a0"/>
      </w:pPr>
      <w:r w:rsidRPr="00A428C3">
        <w:t>Keywords: Acid, Activated Carbons, Adsorbent, Adsorption, Adsorption, Color Removal, Copper, Decolorization, Dye, Fly-Ash, Kinetics, Lead, Phenols, Sawdust, Sol-Gel Process, Waste-Water, Zinc</w:t>
      </w:r>
    </w:p>
    <w:p w:rsidR="00B95188" w:rsidRPr="00A428C3" w:rsidRDefault="00B95188" w:rsidP="00B95188">
      <w:pPr>
        <w:pStyle w:val="a0"/>
      </w:pPr>
      <w:r w:rsidRPr="00A428C3">
        <w:t>? Özer, A.</w:t>
      </w:r>
      <w:r w:rsidR="00F81221">
        <w:t xml:space="preserve"> and </w:t>
      </w:r>
      <w:r w:rsidRPr="00A428C3">
        <w:t xml:space="preserve">Tümen, F. (2003), Cd(II) adsorption from aqueous solution by activated carbon from sugar beet pulp impregnated with phosphoric acid. </w:t>
      </w:r>
      <w:r w:rsidRPr="00A428C3">
        <w:rPr>
          <w:i/>
          <w:iCs/>
        </w:rPr>
        <w:t>Fresenius Environmental Bulletin</w:t>
      </w:r>
      <w:r w:rsidRPr="00A428C3">
        <w:t xml:space="preserve">, </w:t>
      </w:r>
      <w:r w:rsidRPr="00A428C3">
        <w:rPr>
          <w:b/>
        </w:rPr>
        <w:t>12</w:t>
      </w:r>
      <w:r w:rsidRPr="00A428C3">
        <w:t xml:space="preserve"> (9), 1050-1058.</w:t>
      </w:r>
    </w:p>
    <w:p w:rsidR="00B95188" w:rsidRPr="00A428C3" w:rsidRDefault="00B95188" w:rsidP="00B95188">
      <w:pPr>
        <w:pStyle w:val="a0"/>
      </w:pPr>
      <w:r w:rsidRPr="00A428C3">
        <w:t xml:space="preserve">Full Text: </w:t>
      </w:r>
      <w:hyperlink r:id="rId144" w:history="1">
        <w:r w:rsidRPr="00A428C3">
          <w:rPr>
            <w:rStyle w:val="a5"/>
          </w:rPr>
          <w:t>2003\Fre Env Bul12, 1050.pdf</w:t>
        </w:r>
      </w:hyperlink>
    </w:p>
    <w:p w:rsidR="00B95188" w:rsidRPr="00A428C3" w:rsidRDefault="00B95188" w:rsidP="00B95188">
      <w:pPr>
        <w:pStyle w:val="a0"/>
      </w:pPr>
      <w:r w:rsidRPr="00A428C3">
        <w:t>Abstract: The adsorption of Cd(II) ions from aqueous solutions onto activated carbon obtained by carbonising sugar beet pulp impregnated with 30% phosphoric acid was studied. By increasing the temperature of carbonisation, the removal efficiency of Cd(H) ions increased. The maximum removal (95.8%) was attained by activated carbon samples obtained by carbonising acid-impregnated sugar beet pulp at 500 degreesC for 90 min. The removal efficiency of Cd(II) ions is, to a large extent, dependent on pH of medium. The results of experiments carried out at various temperatures were applied to Langmuir</w:t>
      </w:r>
      <w:r w:rsidR="00F81221">
        <w:t xml:space="preserve"> and </w:t>
      </w:r>
      <w:r w:rsidRPr="00A428C3">
        <w:t>Freundlich isotherm equations. The values of Langmuir constant (q</w:t>
      </w:r>
      <w:r w:rsidRPr="00A428C3">
        <w:rPr>
          <w:vertAlign w:val="subscript"/>
        </w:rPr>
        <w:t>max</w:t>
      </w:r>
      <w:r w:rsidRPr="00A428C3">
        <w:t>) at 20</w:t>
      </w:r>
      <w:r w:rsidR="009B0C58">
        <w:t>°</w:t>
      </w:r>
      <w:r w:rsidRPr="00A428C3">
        <w:t>C were calculated as 68.03, 71.99</w:t>
      </w:r>
      <w:r w:rsidR="00F81221">
        <w:t xml:space="preserve"> and </w:t>
      </w:r>
      <w:r w:rsidRPr="00A428C3">
        <w:t>72.99 mg/g for activated carbons obtained at 300, 400</w:t>
      </w:r>
      <w:r w:rsidR="00F81221">
        <w:t xml:space="preserve"> and </w:t>
      </w:r>
      <w:r w:rsidRPr="00A428C3">
        <w:t>500</w:t>
      </w:r>
      <w:r w:rsidR="009B0C58">
        <w:t>°</w:t>
      </w:r>
      <w:r w:rsidRPr="00A428C3">
        <w:t>C, respectively. The adsorption process was found to be exothermic</w:t>
      </w:r>
      <w:r w:rsidR="00F81221">
        <w:t xml:space="preserve"> and </w:t>
      </w:r>
      <w:r w:rsidRPr="00A428C3">
        <w:t>Langmuir isotherm data were evaluated to determine the thermodynamic parameters for the adsorption process. It was found that the values of qmax</w:t>
      </w:r>
      <w:r w:rsidR="00F81221">
        <w:t xml:space="preserve"> and </w:t>
      </w:r>
      <w:r w:rsidRPr="00A428C3">
        <w:t>K-f decreased with increasing temperature. The data are better fitted by the second-order kinetic model as compared to first-order kinetic model.</w:t>
      </w:r>
    </w:p>
    <w:p w:rsidR="00B95188" w:rsidRPr="00A428C3" w:rsidRDefault="00B95188" w:rsidP="00B95188">
      <w:pPr>
        <w:pStyle w:val="a0"/>
      </w:pPr>
      <w:r w:rsidRPr="00A428C3">
        <w:lastRenderedPageBreak/>
        <w:t>Keywords: Sugar Beet Pulp, Activated Carbon, Cd(II) Ions Removal, Phosphoric Acid, Heavy-Metals, Pretreated Biomass, Removal, Cadmium, Sorption, Ions, Isotherms, Water, Shell, Waste</w:t>
      </w:r>
    </w:p>
    <w:p w:rsidR="00B95188" w:rsidRPr="00A428C3" w:rsidRDefault="00B95188" w:rsidP="00B95188">
      <w:pPr>
        <w:pStyle w:val="a0"/>
      </w:pPr>
      <w:r w:rsidRPr="00A428C3">
        <w:t>Viraraghavan, T.</w:t>
      </w:r>
      <w:r w:rsidR="00F81221">
        <w:t xml:space="preserve"> and </w:t>
      </w:r>
      <w:r w:rsidRPr="00A428C3">
        <w:t xml:space="preserve">Moazed, H. (2003), Removal of oil from water by bentonite. </w:t>
      </w:r>
      <w:r w:rsidRPr="00A428C3">
        <w:rPr>
          <w:i/>
          <w:iCs/>
        </w:rPr>
        <w:t>Fresenius Environmental Bulletin</w:t>
      </w:r>
      <w:r w:rsidRPr="00A428C3">
        <w:t xml:space="preserve">, </w:t>
      </w:r>
      <w:r w:rsidRPr="00A428C3">
        <w:rPr>
          <w:b/>
        </w:rPr>
        <w:t>12</w:t>
      </w:r>
      <w:r w:rsidRPr="00A428C3">
        <w:t xml:space="preserve"> (9), 1092-1097.</w:t>
      </w:r>
    </w:p>
    <w:p w:rsidR="00B95188" w:rsidRPr="00A428C3" w:rsidRDefault="00B95188" w:rsidP="00B95188">
      <w:pPr>
        <w:pStyle w:val="a0"/>
      </w:pPr>
      <w:r w:rsidRPr="00A428C3">
        <w:t xml:space="preserve">Full Text: </w:t>
      </w:r>
      <w:hyperlink r:id="rId145" w:history="1">
        <w:r w:rsidRPr="00A428C3">
          <w:rPr>
            <w:rStyle w:val="a5"/>
          </w:rPr>
          <w:t>2003\Fre Env Bul12, 1092.pdf</w:t>
        </w:r>
      </w:hyperlink>
    </w:p>
    <w:p w:rsidR="00B95188" w:rsidRPr="00A428C3" w:rsidRDefault="00B95188" w:rsidP="00B95188">
      <w:pPr>
        <w:pStyle w:val="a0"/>
      </w:pPr>
      <w:r w:rsidRPr="00A428C3">
        <w:t>Abstract: Na-bentonite was used in this study. The oil-in-water emulsions used were as follows: standard mineral oil (SMO); Kutwell45 (KUT45)</w:t>
      </w:r>
      <w:r w:rsidR="00F81221">
        <w:t xml:space="preserve"> and </w:t>
      </w:r>
      <w:r w:rsidRPr="00A428C3">
        <w:t>Valcool (VAL), two cutting oils; refinery effluent (RE);</w:t>
      </w:r>
      <w:r w:rsidR="00F81221">
        <w:t xml:space="preserve"> and </w:t>
      </w:r>
      <w:r w:rsidRPr="00A428C3">
        <w:t xml:space="preserve">produced water (PW) from production wells at </w:t>
      </w:r>
      <w:smartTag w:uri="urn:schemas-microsoft-com:office:smarttags" w:element="place">
        <w:smartTag w:uri="urn:schemas-microsoft-com:office:smarttags" w:element="City">
          <w:r w:rsidRPr="00A428C3">
            <w:t>Estevan</w:t>
          </w:r>
        </w:smartTag>
        <w:r w:rsidRPr="00A428C3">
          <w:t xml:space="preserve">, </w:t>
        </w:r>
        <w:smartTag w:uri="urn:schemas-microsoft-com:office:smarttags" w:element="State">
          <w:r w:rsidRPr="00A428C3">
            <w:t>Saskatchewan</w:t>
          </w:r>
        </w:smartTag>
      </w:smartTag>
      <w:r w:rsidRPr="00A428C3">
        <w:t>. The concentrations of oil in oily waters varied from 5 to 500 mg/L. Batch kinetic studies showed that the equilibrium time was one hour for oils tested. The results showed that both pseudo first order (Lagergren)</w:t>
      </w:r>
      <w:r w:rsidR="00F81221">
        <w:t xml:space="preserve"> and </w:t>
      </w:r>
      <w:r w:rsidRPr="00A428C3">
        <w:t>pseudo second order (Ho et al.) models provided realistic descriptions of the kinetics of sorption of oil by bentonite. Batch adsorption experiments showed that the oil removal efficiencies obtained at equilibrium time were 85-96% for VAL; 87-96% for KUT45; 84-86% for PW;</w:t>
      </w:r>
      <w:r w:rsidR="00F81221">
        <w:t xml:space="preserve"> and </w:t>
      </w:r>
      <w:r w:rsidRPr="00A428C3">
        <w:t>54-87% for RE in the range of the amount of bentonite used. Batch adsorption studies also indicated that the most applicable model for the sorption of SMO, KUT45, VAL</w:t>
      </w:r>
      <w:r w:rsidR="00F81221">
        <w:t xml:space="preserve"> and </w:t>
      </w:r>
      <w:r w:rsidRPr="00A428C3">
        <w:t>PW was the Freundlich isotherm. In the case of RE, the BET model was the most valid isotherm.</w:t>
      </w:r>
    </w:p>
    <w:p w:rsidR="00B95188" w:rsidRPr="00A428C3" w:rsidRDefault="00B95188" w:rsidP="00B95188">
      <w:pPr>
        <w:pStyle w:val="a0"/>
      </w:pPr>
      <w:r w:rsidRPr="00A428C3">
        <w:t>Keywords: Bentonite, Oil-in-Water Emulsion, Oily Wastewater, Emulsion, Oil Removal, Adsorption, Waste-Water, Peat</w:t>
      </w:r>
    </w:p>
    <w:p w:rsidR="00B95188" w:rsidRPr="00A428C3" w:rsidRDefault="00B95188" w:rsidP="00B95188">
      <w:pPr>
        <w:pStyle w:val="a0"/>
      </w:pPr>
      <w:r w:rsidRPr="00A428C3">
        <w:t xml:space="preserve">? Özer, A. (2003), Application of pseudo second order kinetic model to lead(II) biosorption on </w:t>
      </w:r>
      <w:r w:rsidRPr="00A428C3">
        <w:rPr>
          <w:i/>
          <w:iCs/>
        </w:rPr>
        <w:t>Schizomeris leibleinii</w:t>
      </w:r>
      <w:r w:rsidRPr="00A428C3">
        <w:t xml:space="preserve">. </w:t>
      </w:r>
      <w:r w:rsidRPr="00A428C3">
        <w:rPr>
          <w:i/>
          <w:iCs/>
        </w:rPr>
        <w:t>Fresenius Environmental Bulletin</w:t>
      </w:r>
      <w:r w:rsidRPr="00A428C3">
        <w:t xml:space="preserve">, </w:t>
      </w:r>
      <w:r w:rsidRPr="00A428C3">
        <w:rPr>
          <w:b/>
        </w:rPr>
        <w:t>12</w:t>
      </w:r>
      <w:r w:rsidRPr="00A428C3">
        <w:t xml:space="preserve"> (10), 1239-1245.</w:t>
      </w:r>
    </w:p>
    <w:p w:rsidR="00B95188" w:rsidRPr="00A428C3" w:rsidRDefault="00B95188" w:rsidP="00B95188">
      <w:pPr>
        <w:pStyle w:val="a0"/>
      </w:pPr>
      <w:r w:rsidRPr="00A428C3">
        <w:t xml:space="preserve">Full Text: </w:t>
      </w:r>
      <w:hyperlink r:id="rId146" w:history="1">
        <w:r w:rsidRPr="00A428C3">
          <w:rPr>
            <w:rStyle w:val="a5"/>
          </w:rPr>
          <w:t>2003\Fre Env Bul12, 1239.pdf</w:t>
        </w:r>
      </w:hyperlink>
    </w:p>
    <w:p w:rsidR="00B95188" w:rsidRPr="00A428C3" w:rsidRDefault="00B95188" w:rsidP="00B95188">
      <w:pPr>
        <w:pStyle w:val="a0"/>
      </w:pPr>
      <w:r w:rsidRPr="00A428C3">
        <w:t>Abstract: The biosorption of lead(II) ions on Schizomeris leibleinii was studied in a batch system with respect to initial pH, temperature, initial lead(II) ion</w:t>
      </w:r>
      <w:r w:rsidR="00F81221">
        <w:t xml:space="preserve"> and </w:t>
      </w:r>
      <w:r w:rsidRPr="00A428C3">
        <w:t>biomass concentration. The algal biomass exhibited the highest lead(II) uptake capacity at the initial pH of 4.5</w:t>
      </w:r>
      <w:r w:rsidR="00F81221">
        <w:t xml:space="preserve"> and </w:t>
      </w:r>
      <w:r w:rsidRPr="00A428C3">
        <w:t>30</w:t>
      </w:r>
      <w:r w:rsidR="009B0C58">
        <w:t>°</w:t>
      </w:r>
      <w:r w:rsidRPr="00A428C3">
        <w:t>C. The pseudo second-order kinetic model was applied to the kinetic data</w:t>
      </w:r>
      <w:r w:rsidR="00F81221">
        <w:t xml:space="preserve"> and </w:t>
      </w:r>
      <w:r w:rsidRPr="00A428C3">
        <w:t>the rate constants were evaluated in the concentration range of lead(II) ions examined, but also biomass at all the temperatures</w:t>
      </w:r>
      <w:r w:rsidR="00F81221">
        <w:t xml:space="preserve"> and </w:t>
      </w:r>
      <w:r w:rsidRPr="00A428C3">
        <w:t>pH values studied. The experimental data fitted well to the pseudo second order kinetic model with a high correlation coefficient (R</w:t>
      </w:r>
      <w:r w:rsidRPr="00A428C3">
        <w:rPr>
          <w:vertAlign w:val="superscript"/>
        </w:rPr>
        <w:t>2</w:t>
      </w:r>
      <w:r w:rsidRPr="00A428C3">
        <w:t>&gt;0.99), which indicates that the external mass transfer limitations in the system can be neglected</w:t>
      </w:r>
      <w:r w:rsidR="00F81221">
        <w:t xml:space="preserve"> and </w:t>
      </w:r>
      <w:r w:rsidRPr="00A428C3">
        <w:t>the chemical sorption is the rate-limiting step. The pseudo second order kinetic constants were also used to calculate the activation energy of lead(II) biosorption.</w:t>
      </w:r>
    </w:p>
    <w:p w:rsidR="00B95188" w:rsidRPr="00A428C3" w:rsidRDefault="00B95188" w:rsidP="00B95188">
      <w:pPr>
        <w:pStyle w:val="a0"/>
      </w:pPr>
      <w:r w:rsidRPr="00A428C3">
        <w:t>Keywords: Adsorption, Equilibrium, Pseudo Second Order Kinetics, Activation Energy, Batch System, Equilibrium, Vulgaris, Temperature, Adsorption, Sorption, Uranium, Biomass, Removal, Metals</w:t>
      </w:r>
    </w:p>
    <w:p w:rsidR="00B95188" w:rsidRPr="00A428C3" w:rsidRDefault="00B95188" w:rsidP="00B95188">
      <w:pPr>
        <w:pStyle w:val="a0"/>
      </w:pPr>
      <w:r w:rsidRPr="00A428C3">
        <w:lastRenderedPageBreak/>
        <w:t>? Ozyurt, M.</w:t>
      </w:r>
      <w:r w:rsidR="00F81221">
        <w:t xml:space="preserve"> and </w:t>
      </w:r>
      <w:r w:rsidRPr="00A428C3">
        <w:t xml:space="preserve">Ataçag, H. (2003), Biodegradation of azo dyes: A review. </w:t>
      </w:r>
      <w:r w:rsidRPr="00A428C3">
        <w:rPr>
          <w:i/>
          <w:iCs/>
        </w:rPr>
        <w:t>Fresenius Environmental Bulletin</w:t>
      </w:r>
      <w:r w:rsidRPr="00A428C3">
        <w:t xml:space="preserve">, </w:t>
      </w:r>
      <w:r w:rsidRPr="00A428C3">
        <w:rPr>
          <w:b/>
        </w:rPr>
        <w:t>12</w:t>
      </w:r>
      <w:r w:rsidRPr="00A428C3">
        <w:t xml:space="preserve"> (11), 1294-1302.</w:t>
      </w:r>
    </w:p>
    <w:p w:rsidR="00B95188" w:rsidRPr="00A428C3" w:rsidRDefault="00B95188" w:rsidP="00B95188">
      <w:pPr>
        <w:pStyle w:val="a0"/>
      </w:pPr>
      <w:r w:rsidRPr="00A428C3">
        <w:t xml:space="preserve">Full Text: </w:t>
      </w:r>
      <w:hyperlink r:id="rId147" w:history="1">
        <w:r w:rsidRPr="00A428C3">
          <w:rPr>
            <w:rStyle w:val="a5"/>
          </w:rPr>
          <w:t>2003\Fre Env Bul12, 1294.pdf</w:t>
        </w:r>
      </w:hyperlink>
    </w:p>
    <w:p w:rsidR="00B95188" w:rsidRPr="00A428C3" w:rsidRDefault="00B95188" w:rsidP="00B95188">
      <w:pPr>
        <w:pStyle w:val="a0"/>
      </w:pPr>
      <w:r w:rsidRPr="00A428C3">
        <w:t>Abstract: Commercially available dyes include several structural varieties of dyes, such as acidic, basic, disperse, azo, diazo, anthroquinone-based</w:t>
      </w:r>
      <w:r w:rsidR="00F81221">
        <w:t xml:space="preserve"> and </w:t>
      </w:r>
      <w:r w:rsidRPr="00A428C3">
        <w:t>metal complex dyes. Colour is the first contaminant to be recognised in waste-water</w:t>
      </w:r>
      <w:r w:rsidR="00F81221">
        <w:t xml:space="preserve"> and </w:t>
      </w:r>
      <w:r w:rsidRPr="00A428C3">
        <w:t>has to be removed before discharging into waterways or land. Recent fundamental works have shown the existence of many microorganisms capable of decolorizing wide range of dyes. In this text, articles related to the biodegradation of azo dyes are reviewed after giving representative studies about different characteristics of azo dyes such as isolation of bacteria reducing azo dyes, metabolism, mutagenicity, analysis of azo dyes, kinetics of bacterial decolorization, bacterial</w:t>
      </w:r>
      <w:r w:rsidR="00F81221">
        <w:t xml:space="preserve"> and </w:t>
      </w:r>
      <w:r w:rsidRPr="00A428C3">
        <w:t>fungal biodegradation of azo dyes.</w:t>
      </w:r>
    </w:p>
    <w:p w:rsidR="00B95188" w:rsidRPr="00A428C3" w:rsidRDefault="00B95188" w:rsidP="00B95188">
      <w:pPr>
        <w:pStyle w:val="a0"/>
      </w:pPr>
      <w:r w:rsidRPr="00A428C3">
        <w:t>Keywords: Adsorption, Azo Dyes, Biodegradation, Degradation, Dye Decolourizing, Microbial Decolorization, Microorganisms, Phanerochaete- Chrysosporium, Redox Mediators, Reduction, Simulated Textile Effluent, SP Strain BN6, Textile Wastewater, Waste-Water, Wastewater, Water Pollution</w:t>
      </w:r>
    </w:p>
    <w:p w:rsidR="00B95188" w:rsidRPr="00A428C3" w:rsidRDefault="00B95188" w:rsidP="00B95188">
      <w:pPr>
        <w:pStyle w:val="a0"/>
      </w:pPr>
      <w:r w:rsidRPr="00A428C3">
        <w:t>? Zhou, P.J., Lin, J., Shen, H., Li, T., Song, L.R., Shen, Y.W.</w:t>
      </w:r>
      <w:r w:rsidR="00F81221">
        <w:t xml:space="preserve"> and </w:t>
      </w:r>
      <w:r w:rsidRPr="00A428C3">
        <w:t>Liu, Y.D. (2003), Kinetic studies on the effects of rare earth elements (REES) on the growth of Microcystis</w:t>
      </w:r>
      <w:r w:rsidR="00F81221">
        <w:t xml:space="preserve"> and </w:t>
      </w:r>
      <w:r w:rsidRPr="00A428C3">
        <w:t xml:space="preserve">their accumulation by Microcystis. </w:t>
      </w:r>
      <w:r w:rsidRPr="00A428C3">
        <w:rPr>
          <w:i/>
          <w:iCs/>
        </w:rPr>
        <w:t>Fresenius Environmental Bulletin</w:t>
      </w:r>
      <w:r w:rsidRPr="00A428C3">
        <w:t xml:space="preserve">, </w:t>
      </w:r>
      <w:r w:rsidRPr="00A428C3">
        <w:rPr>
          <w:b/>
        </w:rPr>
        <w:t>12</w:t>
      </w:r>
      <w:r w:rsidRPr="00A428C3">
        <w:t xml:space="preserve"> (11), 1328-1333.</w:t>
      </w:r>
    </w:p>
    <w:p w:rsidR="00B95188" w:rsidRPr="00A428C3" w:rsidRDefault="00B95188" w:rsidP="00B95188">
      <w:pPr>
        <w:pStyle w:val="a0"/>
      </w:pPr>
      <w:r w:rsidRPr="00A428C3">
        <w:t xml:space="preserve">Full Text: </w:t>
      </w:r>
      <w:hyperlink r:id="rId148" w:history="1">
        <w:r w:rsidRPr="00A428C3">
          <w:rPr>
            <w:rStyle w:val="a5"/>
          </w:rPr>
          <w:t>2003\Fre Env Bul12, 1328.pdf</w:t>
        </w:r>
      </w:hyperlink>
    </w:p>
    <w:p w:rsidR="00B95188" w:rsidRPr="00A428C3" w:rsidRDefault="00B95188" w:rsidP="00B95188">
      <w:pPr>
        <w:pStyle w:val="a0"/>
      </w:pPr>
      <w:r w:rsidRPr="00A428C3">
        <w:t>Abstract: In the paper the kinetic effects of La</w:t>
      </w:r>
      <w:r w:rsidRPr="00A428C3">
        <w:rPr>
          <w:vertAlign w:val="superscript"/>
        </w:rPr>
        <w:t>3+</w:t>
      </w:r>
      <w:r w:rsidR="00F81221">
        <w:t xml:space="preserve"> and </w:t>
      </w:r>
      <w:r w:rsidRPr="00A428C3">
        <w:t>Ce</w:t>
      </w:r>
      <w:r w:rsidRPr="00A428C3">
        <w:rPr>
          <w:vertAlign w:val="superscript"/>
        </w:rPr>
        <w:t>4+</w:t>
      </w:r>
      <w:r w:rsidRPr="00A428C3">
        <w:t xml:space="preserve"> on the growth of Microcystis</w:t>
      </w:r>
      <w:r w:rsidR="00F81221">
        <w:t xml:space="preserve"> and </w:t>
      </w:r>
      <w:r w:rsidRPr="00A428C3">
        <w:t>the accumulation kinetics of Microcystis in the single</w:t>
      </w:r>
      <w:r w:rsidR="00F81221">
        <w:t xml:space="preserve"> and </w:t>
      </w:r>
      <w:r w:rsidRPr="00A428C3">
        <w:t>combined systems of La</w:t>
      </w:r>
      <w:r w:rsidRPr="00A428C3">
        <w:rPr>
          <w:vertAlign w:val="superscript"/>
        </w:rPr>
        <w:t>3+</w:t>
      </w:r>
      <w:r w:rsidR="00F81221">
        <w:t xml:space="preserve"> and </w:t>
      </w:r>
      <w:r w:rsidRPr="00A428C3">
        <w:t>Ce</w:t>
      </w:r>
      <w:r w:rsidRPr="00A428C3">
        <w:rPr>
          <w:vertAlign w:val="superscript"/>
        </w:rPr>
        <w:t>4+</w:t>
      </w:r>
      <w:r w:rsidRPr="00A428C3">
        <w:t xml:space="preserve"> were studied. The mechanism of the effects of La</w:t>
      </w:r>
      <w:r w:rsidRPr="00A428C3">
        <w:rPr>
          <w:vertAlign w:val="superscript"/>
        </w:rPr>
        <w:t>3+</w:t>
      </w:r>
      <w:r w:rsidR="00F81221">
        <w:t xml:space="preserve"> and </w:t>
      </w:r>
      <w:r w:rsidRPr="00A428C3">
        <w:t>Ce</w:t>
      </w:r>
      <w:r w:rsidRPr="00A428C3">
        <w:rPr>
          <w:vertAlign w:val="superscript"/>
        </w:rPr>
        <w:t>4+</w:t>
      </w:r>
      <w:r w:rsidRPr="00A428C3">
        <w:t xml:space="preserve"> on the growth of Microcystis</w:t>
      </w:r>
      <w:r w:rsidR="00F81221">
        <w:t xml:space="preserve"> and </w:t>
      </w:r>
      <w:r w:rsidRPr="00A428C3">
        <w:t>their accumulation kinetics were also discussed. In the single system, La</w:t>
      </w:r>
      <w:r w:rsidRPr="00A428C3">
        <w:rPr>
          <w:vertAlign w:val="superscript"/>
        </w:rPr>
        <w:t>3+</w:t>
      </w:r>
      <w:r w:rsidRPr="00A428C3">
        <w:t xml:space="preserve"> stimulated the growth of Microcystis at initial concentrations below 2 mg / 1, but inhibited it above 2 mg / 1. Ce</w:t>
      </w:r>
      <w:r w:rsidRPr="00A428C3">
        <w:rPr>
          <w:vertAlign w:val="superscript"/>
        </w:rPr>
        <w:t>4+</w:t>
      </w:r>
      <w:r w:rsidRPr="00A428C3">
        <w:t xml:space="preserve"> accelerated the growth of Microcystis at initial concentrations below 0.2 mg / 1</w:t>
      </w:r>
      <w:r w:rsidR="00F81221">
        <w:t xml:space="preserve"> and </w:t>
      </w:r>
      <w:r w:rsidRPr="00A428C3">
        <w:t>inhibited at above 0.2 mg /l. Furthermore, the stimulation weakened with the increase of initial concentrations of La</w:t>
      </w:r>
      <w:r w:rsidRPr="00A428C3">
        <w:rPr>
          <w:vertAlign w:val="superscript"/>
        </w:rPr>
        <w:t>3+</w:t>
      </w:r>
      <w:r w:rsidR="00F81221">
        <w:t xml:space="preserve"> and </w:t>
      </w:r>
      <w:r w:rsidRPr="00A428C3">
        <w:t>Ce</w:t>
      </w:r>
      <w:r w:rsidRPr="00A428C3">
        <w:rPr>
          <w:vertAlign w:val="superscript"/>
        </w:rPr>
        <w:t>4+</w:t>
      </w:r>
      <w:r w:rsidRPr="00A428C3">
        <w:t>. In the combined system, the growth of Microcystis was accelerated in the over all cases. In the single system, the amount of La</w:t>
      </w:r>
      <w:r w:rsidRPr="00A428C3">
        <w:rPr>
          <w:vertAlign w:val="superscript"/>
        </w:rPr>
        <w:t>3+</w:t>
      </w:r>
      <w:r w:rsidR="00F81221">
        <w:t xml:space="preserve"> and </w:t>
      </w:r>
      <w:r w:rsidRPr="00A428C3">
        <w:t>Ce</w:t>
      </w:r>
      <w:r w:rsidRPr="00A428C3">
        <w:rPr>
          <w:vertAlign w:val="superscript"/>
        </w:rPr>
        <w:t>4+</w:t>
      </w:r>
      <w:r w:rsidRPr="00A428C3">
        <w:t xml:space="preserve"> uptake was more at higher initial concentrations than at lower ones. At the same initial concentrations, La</w:t>
      </w:r>
      <w:r w:rsidRPr="00A428C3">
        <w:rPr>
          <w:vertAlign w:val="superscript"/>
        </w:rPr>
        <w:t>3+</w:t>
      </w:r>
      <w:r w:rsidR="00F81221">
        <w:t xml:space="preserve"> and </w:t>
      </w:r>
      <w:r w:rsidRPr="00A428C3">
        <w:t>Ce</w:t>
      </w:r>
      <w:r w:rsidRPr="00A428C3">
        <w:rPr>
          <w:vertAlign w:val="superscript"/>
        </w:rPr>
        <w:t>4+</w:t>
      </w:r>
      <w:r w:rsidRPr="00A428C3">
        <w:t xml:space="preserve"> uptake in the combined system was less than that in the single system. The kinetic process of La</w:t>
      </w:r>
      <w:r w:rsidRPr="00A428C3">
        <w:rPr>
          <w:vertAlign w:val="superscript"/>
        </w:rPr>
        <w:t>3+</w:t>
      </w:r>
      <w:r w:rsidR="00F81221">
        <w:t xml:space="preserve"> and </w:t>
      </w:r>
      <w:r w:rsidRPr="00A428C3">
        <w:t>Ce</w:t>
      </w:r>
      <w:r w:rsidRPr="00A428C3">
        <w:rPr>
          <w:vertAlign w:val="superscript"/>
        </w:rPr>
        <w:t>4+</w:t>
      </w:r>
      <w:r w:rsidRPr="00A428C3">
        <w:t xml:space="preserve"> adsorpted by Microcystis can be explained with the second order kinetics adsorption model.</w:t>
      </w:r>
    </w:p>
    <w:p w:rsidR="00B95188" w:rsidRPr="00A428C3" w:rsidRDefault="00B95188" w:rsidP="00B95188">
      <w:pPr>
        <w:pStyle w:val="a0"/>
      </w:pPr>
      <w:r w:rsidRPr="00A428C3">
        <w:t>Keywords: Rare Earth Elements (REEs), Microcystis, Effects, Accumulation, Adsorption, Second Order Kinetics Adsorption Model, Bioavailability</w:t>
      </w:r>
    </w:p>
    <w:p w:rsidR="00B95188" w:rsidRPr="00A428C3" w:rsidRDefault="00B95188" w:rsidP="00B95188">
      <w:pPr>
        <w:pStyle w:val="a0"/>
      </w:pPr>
      <w:r w:rsidRPr="00A428C3">
        <w:t xml:space="preserve">? Wu, X., Wang, H.P., </w:t>
      </w:r>
      <w:smartTag w:uri="urn:schemas-microsoft-com:office:smarttags" w:element="City">
        <w:r w:rsidRPr="00A428C3">
          <w:t>Deng</w:t>
        </w:r>
      </w:smartTag>
      <w:r w:rsidRPr="00A428C3">
        <w:t>, N.S.</w:t>
      </w:r>
      <w:r w:rsidR="00F81221">
        <w:t xml:space="preserve"> and </w:t>
      </w:r>
      <w:r w:rsidRPr="00A428C3">
        <w:t xml:space="preserve">Wu, F. (2003), Feasibility study on heavy metal </w:t>
      </w:r>
      <w:r w:rsidRPr="00A428C3">
        <w:lastRenderedPageBreak/>
        <w:t xml:space="preserve">removal from mine water by using geological material. </w:t>
      </w:r>
      <w:r w:rsidRPr="00A428C3">
        <w:rPr>
          <w:i/>
          <w:iCs/>
        </w:rPr>
        <w:t>Fresenius Environmental Bulletin</w:t>
      </w:r>
      <w:r w:rsidRPr="00A428C3">
        <w:t xml:space="preserve">, </w:t>
      </w:r>
      <w:r w:rsidRPr="00A428C3">
        <w:rPr>
          <w:b/>
        </w:rPr>
        <w:t>12</w:t>
      </w:r>
      <w:r w:rsidRPr="00A428C3">
        <w:t xml:space="preserve"> (11), 1400-1406.</w:t>
      </w:r>
    </w:p>
    <w:p w:rsidR="00B95188" w:rsidRPr="00A428C3" w:rsidRDefault="00B95188" w:rsidP="00B95188">
      <w:pPr>
        <w:pStyle w:val="a0"/>
      </w:pPr>
      <w:r w:rsidRPr="00A428C3">
        <w:t xml:space="preserve">Full Text: </w:t>
      </w:r>
      <w:hyperlink r:id="rId149" w:history="1">
        <w:r w:rsidRPr="00A428C3">
          <w:rPr>
            <w:rStyle w:val="a5"/>
          </w:rPr>
          <w:t>2003\Fre Env Bul12, 1400.pdf</w:t>
        </w:r>
      </w:hyperlink>
    </w:p>
    <w:p w:rsidR="00B95188" w:rsidRPr="00A428C3" w:rsidRDefault="00B95188" w:rsidP="00B95188">
      <w:pPr>
        <w:pStyle w:val="a0"/>
      </w:pPr>
      <w:r w:rsidRPr="00A428C3">
        <w:t>Abstract: The removal of Cu, Cd, Zn</w:t>
      </w:r>
      <w:r w:rsidR="00F81221">
        <w:t xml:space="preserve"> and </w:t>
      </w:r>
      <w:r w:rsidRPr="00A428C3">
        <w:t>Ni from dilute mine water by using several geological materials including pure limestone, carbonaceous limestone, brecciated limestone</w:t>
      </w:r>
      <w:r w:rsidR="00F81221">
        <w:t xml:space="preserve"> and </w:t>
      </w:r>
      <w:r w:rsidRPr="00A428C3">
        <w:t>sand, were performed on a laboratory scale. The results showed that the adding of geological material combined with sodium carbonate injection notably enhanced the efficiency of heavy metal removal in varying degrees. Pure limestone was found to be the best geological material for removing heavy metals. The effects of material amount on metal removal efficiency were remarkable, but also influences of material size</w:t>
      </w:r>
      <w:r w:rsidR="00F81221">
        <w:t xml:space="preserve"> and </w:t>
      </w:r>
      <w:r w:rsidRPr="00A428C3">
        <w:t>temperature were apparent. However, the effects Of [CO</w:t>
      </w:r>
      <w:r w:rsidRPr="00A428C3">
        <w:rPr>
          <w:vertAlign w:val="subscript"/>
        </w:rPr>
        <w:t>3</w:t>
      </w:r>
      <w:r w:rsidRPr="00A428C3">
        <w:rPr>
          <w:vertAlign w:val="superscript"/>
        </w:rPr>
        <w:t>2-</w:t>
      </w:r>
      <w:r w:rsidRPr="00A428C3">
        <w:t>], [metals], the reaction manner, on heavy metal removal efficiencies seemed to be ambiguous. The mechanisms of higher effective removal seem to be primarily due to coprecipitation controlled by the calcite-related pH value. According to this research, a practical method for heavy metal removal might be established, using local limestone material, which means lower maintenance costs</w:t>
      </w:r>
      <w:r w:rsidR="00F81221">
        <w:t xml:space="preserve"> and </w:t>
      </w:r>
      <w:r w:rsidRPr="00A428C3">
        <w:t>no production of sludge.</w:t>
      </w:r>
    </w:p>
    <w:p w:rsidR="00B95188" w:rsidRPr="00A428C3" w:rsidRDefault="00B95188" w:rsidP="00B95188">
      <w:pPr>
        <w:pStyle w:val="a0"/>
      </w:pPr>
      <w:r w:rsidRPr="00A428C3">
        <w:t>Keywords: Drainage, Heavy Metal Removal, Heavy Metals, Limestone, Mine Water, Sorption</w:t>
      </w:r>
    </w:p>
    <w:p w:rsidR="00B95188" w:rsidRPr="00A428C3" w:rsidRDefault="00B95188" w:rsidP="00B95188">
      <w:pPr>
        <w:pStyle w:val="a0"/>
      </w:pPr>
      <w:r w:rsidRPr="00A428C3">
        <w:t>? Öztürk, N.</w:t>
      </w:r>
      <w:r w:rsidR="00F81221">
        <w:t xml:space="preserve"> and </w:t>
      </w:r>
      <w:r w:rsidRPr="00A428C3">
        <w:t xml:space="preserve">Kavak, D. (2003), Boron removal from aqueous solutions by adsorption using full factorial design. </w:t>
      </w:r>
      <w:r w:rsidRPr="00A428C3">
        <w:rPr>
          <w:i/>
          <w:iCs/>
        </w:rPr>
        <w:t>Fresenius Environmental Bulletin</w:t>
      </w:r>
      <w:r w:rsidRPr="00A428C3">
        <w:t xml:space="preserve">, </w:t>
      </w:r>
      <w:r w:rsidRPr="00A428C3">
        <w:rPr>
          <w:b/>
        </w:rPr>
        <w:t>12</w:t>
      </w:r>
      <w:r w:rsidRPr="00A428C3">
        <w:t xml:space="preserve"> (12), 1450-1456.</w:t>
      </w:r>
    </w:p>
    <w:p w:rsidR="00B95188" w:rsidRPr="00A428C3" w:rsidRDefault="00B95188" w:rsidP="00B95188">
      <w:pPr>
        <w:pStyle w:val="a0"/>
      </w:pPr>
      <w:r w:rsidRPr="00A428C3">
        <w:t xml:space="preserve">Full Text: </w:t>
      </w:r>
      <w:hyperlink r:id="rId150" w:history="1">
        <w:r w:rsidRPr="00A428C3">
          <w:rPr>
            <w:rStyle w:val="a5"/>
          </w:rPr>
          <w:t>2003\Fre Env Bul12, 1450.pdf</w:t>
        </w:r>
      </w:hyperlink>
    </w:p>
    <w:p w:rsidR="00B95188" w:rsidRPr="00A428C3" w:rsidRDefault="00B95188" w:rsidP="00B95188">
      <w:pPr>
        <w:pStyle w:val="a0"/>
      </w:pPr>
      <w:r w:rsidRPr="00A428C3">
        <w:t>Abstract: In this study, boron removal from aqueous solutions by adsorption was investigated by applying an experimental design. Alumina</w:t>
      </w:r>
      <w:r w:rsidR="00F81221">
        <w:t xml:space="preserve"> and </w:t>
      </w:r>
      <w:r w:rsidRPr="00A428C3">
        <w:t>activated carbon were used as adsorbents. The experimental test was carried out using a 2 3 full factorial design. The statistical test showed that adsorbent type, pH of solution</w:t>
      </w:r>
      <w:r w:rsidR="00F81221">
        <w:t xml:space="preserve"> and </w:t>
      </w:r>
      <w:r w:rsidRPr="00A428C3">
        <w:t>temperature affect boron removal by adsorption. Regression equation formulated for boron adsorption was represented as a function of response variables. The accuracy of the equation has been verified by Fisher</w:t>
      </w:r>
      <w:r w:rsidR="000352E7">
        <w:t>’</w:t>
      </w:r>
      <w:r w:rsidRPr="00A428C3">
        <w:t>s adequacy test. It was observed that the coefficient of adsorbent type had the highest value, followed by temperature,</w:t>
      </w:r>
      <w:r w:rsidR="00F81221">
        <w:t xml:space="preserve"> and </w:t>
      </w:r>
      <w:r w:rsidRPr="00A428C3">
        <w:t>the lowest value was the pH of the solution. The results obtained from the study on parameters showed that as pH increased</w:t>
      </w:r>
      <w:r w:rsidR="00F81221">
        <w:t xml:space="preserve"> and </w:t>
      </w:r>
      <w:r w:rsidRPr="00A428C3">
        <w:t>temperature decreased boron removal by adsorption increased. Maximum boron removal was obtained at pH 10</w:t>
      </w:r>
      <w:r w:rsidR="00F81221">
        <w:t xml:space="preserve"> and </w:t>
      </w:r>
      <w:r w:rsidRPr="00A428C3">
        <w:t>20 degreesC. Adsorption of boron on alumina</w:t>
      </w:r>
      <w:r w:rsidR="00F81221">
        <w:t xml:space="preserve"> and </w:t>
      </w:r>
      <w:r w:rsidRPr="00A428C3">
        <w:t>activated carbon conforms to Langmuir</w:t>
      </w:r>
      <w:r w:rsidR="000352E7">
        <w:t>’</w:t>
      </w:r>
      <w:r w:rsidRPr="00A428C3">
        <w:t>s isotherm. It has been reported that the adsorption capacities of alumina</w:t>
      </w:r>
      <w:r w:rsidR="00F81221">
        <w:t xml:space="preserve"> and </w:t>
      </w:r>
      <w:r w:rsidRPr="00A428C3">
        <w:t>activated carbon are 86.21, 166.67 mgg</w:t>
      </w:r>
      <w:r w:rsidRPr="00A428C3">
        <w:rPr>
          <w:vertAlign w:val="superscript"/>
        </w:rPr>
        <w:t>-1</w:t>
      </w:r>
      <w:r w:rsidRPr="00A428C3">
        <w:t>, respectively.</w:t>
      </w:r>
    </w:p>
    <w:p w:rsidR="00B95188" w:rsidRPr="00A428C3" w:rsidRDefault="00B95188" w:rsidP="00B95188">
      <w:pPr>
        <w:pStyle w:val="a0"/>
      </w:pPr>
      <w:r w:rsidRPr="00A428C3">
        <w:t xml:space="preserve">Keywords: Acid, Activated Carbon, Adsorption, Agricultural Solid-Waste, Alumina, Boron Removal, Coir Pith, Dyes, Experimental Design, Ion-Exchange, Variables, </w:t>
      </w:r>
      <w:r w:rsidRPr="00A428C3">
        <w:lastRenderedPageBreak/>
        <w:t>Water</w:t>
      </w:r>
    </w:p>
    <w:p w:rsidR="00B95188" w:rsidRPr="00A428C3" w:rsidRDefault="00B95188" w:rsidP="00B95188">
      <w:pPr>
        <w:pStyle w:val="a0"/>
      </w:pPr>
      <w:r w:rsidRPr="00A428C3">
        <w:t>Bulut, Y.</w:t>
      </w:r>
      <w:r w:rsidR="00F81221">
        <w:t xml:space="preserve"> and </w:t>
      </w:r>
      <w:r w:rsidRPr="00A428C3">
        <w:t xml:space="preserve">Tez, Z. (2003), Removal of heavy metal ions by modified sawdust of walnut. </w:t>
      </w:r>
      <w:r w:rsidRPr="00A428C3">
        <w:rPr>
          <w:i/>
          <w:iCs/>
        </w:rPr>
        <w:t>Fresenius Environmental Bulletin</w:t>
      </w:r>
      <w:r w:rsidRPr="00A428C3">
        <w:t xml:space="preserve">, </w:t>
      </w:r>
      <w:r w:rsidRPr="00A428C3">
        <w:rPr>
          <w:b/>
        </w:rPr>
        <w:t>12</w:t>
      </w:r>
      <w:r w:rsidRPr="00A428C3">
        <w:t xml:space="preserve"> (12), 1499-1504.</w:t>
      </w:r>
    </w:p>
    <w:p w:rsidR="00B95188" w:rsidRPr="00A428C3" w:rsidRDefault="00B95188" w:rsidP="00B95188">
      <w:pPr>
        <w:pStyle w:val="a0"/>
      </w:pPr>
      <w:r w:rsidRPr="00A428C3">
        <w:t xml:space="preserve">Full Text: </w:t>
      </w:r>
      <w:hyperlink r:id="rId151" w:history="1">
        <w:r w:rsidRPr="00A428C3">
          <w:rPr>
            <w:rStyle w:val="a5"/>
          </w:rPr>
          <w:t>2003\Fre Env Bul12, 1499.pdf</w:t>
        </w:r>
      </w:hyperlink>
    </w:p>
    <w:p w:rsidR="00B95188" w:rsidRPr="00A428C3" w:rsidRDefault="00B95188" w:rsidP="00B95188">
      <w:pPr>
        <w:pStyle w:val="a0"/>
      </w:pPr>
      <w:r w:rsidRPr="00A428C3">
        <w:t>Abstract: Modified walnut sawdust was found to be effective in removing Ni(II), Cd(II)</w:t>
      </w:r>
      <w:r w:rsidR="00F81221">
        <w:t xml:space="preserve"> and </w:t>
      </w:r>
      <w:r w:rsidRPr="00A428C3">
        <w:t>Pb(II) from aqueous solution. The extent of removal depends on the contact time, concentration</w:t>
      </w:r>
      <w:r w:rsidR="00F81221">
        <w:t xml:space="preserve"> and </w:t>
      </w:r>
      <w:r w:rsidRPr="00A428C3">
        <w:t>temperature of the solution. The equilibrium time was found to be about 60 min. The adsorption rate constants were calculated by kinetics which fit a pseudo first-order</w:t>
      </w:r>
      <w:r w:rsidR="00F81221">
        <w:t xml:space="preserve"> and </w:t>
      </w:r>
      <w:r w:rsidRPr="00A428C3">
        <w:t>second-order laws.</w:t>
      </w:r>
    </w:p>
    <w:p w:rsidR="00B95188" w:rsidRPr="00A428C3" w:rsidRDefault="00B95188" w:rsidP="00B95188">
      <w:pPr>
        <w:pStyle w:val="a0"/>
      </w:pPr>
      <w:r w:rsidRPr="00A428C3">
        <w:t>Experiments were carried out at three different temperatures, expressed as both Freundlich</w:t>
      </w:r>
      <w:r w:rsidR="00F81221">
        <w:t xml:space="preserve"> and </w:t>
      </w:r>
      <w:r w:rsidRPr="00A428C3">
        <w:t>Langmuir isotherms,</w:t>
      </w:r>
      <w:r w:rsidR="00F81221">
        <w:t xml:space="preserve"> and </w:t>
      </w:r>
      <w:r w:rsidRPr="00A428C3">
        <w:t>Freundlich</w:t>
      </w:r>
      <w:r w:rsidR="00F81221">
        <w:t xml:space="preserve"> and </w:t>
      </w:r>
      <w:r w:rsidRPr="00A428C3">
        <w:t xml:space="preserve">Langmuir constants as well as the thermodynamic parameters </w:t>
      </w:r>
      <w:r w:rsidR="009B0C58">
        <w:sym w:font="Symbol" w:char="F044"/>
      </w:r>
      <w:r w:rsidRPr="00A428C3">
        <w:t xml:space="preserve">G, </w:t>
      </w:r>
      <w:r w:rsidR="009B0C58">
        <w:sym w:font="Symbol" w:char="F044"/>
      </w:r>
      <w:r w:rsidRPr="00A428C3">
        <w:t>H</w:t>
      </w:r>
      <w:r w:rsidR="00F81221">
        <w:t xml:space="preserve"> and </w:t>
      </w:r>
      <w:r w:rsidR="009B0C58">
        <w:sym w:font="Symbol" w:char="F044"/>
      </w:r>
      <w:r w:rsidRPr="00A428C3">
        <w:t>S were calculated. A possible explanation for the adsorption of metal ions by the sawdust may be attributed to the exchange between metal ions</w:t>
      </w:r>
      <w:r w:rsidR="00F81221">
        <w:t xml:space="preserve"> and </w:t>
      </w:r>
      <w:r w:rsidRPr="00A428C3">
        <w:t>acidic protons in sawdust matter.</w:t>
      </w:r>
    </w:p>
    <w:p w:rsidR="00B95188" w:rsidRPr="00A428C3" w:rsidRDefault="00B95188" w:rsidP="00B95188">
      <w:pPr>
        <w:pStyle w:val="a0"/>
      </w:pPr>
      <w:r w:rsidRPr="00A428C3">
        <w:t>Keywords: Adsorption, Heavy Metals, Removal, Sawdust, Kinetics, Thermodynamics, Aqueous-Solutions, Adsorption Thermodynamics, Modified Barks, Kinetics, Copper, Carbofuran</w:t>
      </w:r>
    </w:p>
    <w:p w:rsidR="00B95188" w:rsidRPr="00A428C3" w:rsidRDefault="00B95188" w:rsidP="00B95188">
      <w:pPr>
        <w:pStyle w:val="a0"/>
      </w:pPr>
      <w:r w:rsidRPr="00A428C3">
        <w:t>? Veli, S.</w:t>
      </w:r>
      <w:r w:rsidR="00F81221">
        <w:t xml:space="preserve"> and </w:t>
      </w:r>
      <w:r w:rsidRPr="00A428C3">
        <w:t xml:space="preserve">Pekey, B. (2004), Removal of copper from aqueous solution by ion exchange resins. </w:t>
      </w:r>
      <w:r w:rsidRPr="00A428C3">
        <w:rPr>
          <w:i/>
          <w:iCs/>
        </w:rPr>
        <w:t>Fresenius Environmental Bulletin</w:t>
      </w:r>
      <w:r w:rsidRPr="00A428C3">
        <w:t xml:space="preserve">, </w:t>
      </w:r>
      <w:r w:rsidRPr="00A428C3">
        <w:rPr>
          <w:b/>
        </w:rPr>
        <w:t>13</w:t>
      </w:r>
      <w:r w:rsidRPr="00A428C3">
        <w:t xml:space="preserve"> (3B), 244-250.</w:t>
      </w:r>
    </w:p>
    <w:p w:rsidR="00B95188" w:rsidRPr="00A428C3" w:rsidRDefault="00B95188" w:rsidP="00B95188">
      <w:pPr>
        <w:pStyle w:val="a0"/>
      </w:pPr>
      <w:r w:rsidRPr="00A428C3">
        <w:t xml:space="preserve">Full Text: </w:t>
      </w:r>
      <w:hyperlink r:id="rId152" w:history="1">
        <w:r w:rsidRPr="00A428C3">
          <w:rPr>
            <w:rStyle w:val="a5"/>
          </w:rPr>
          <w:t>2004\Fre Env Bul13, 244.pdf</w:t>
        </w:r>
      </w:hyperlink>
    </w:p>
    <w:p w:rsidR="00B95188" w:rsidRPr="00A428C3" w:rsidRDefault="00B95188" w:rsidP="00B95188">
      <w:pPr>
        <w:pStyle w:val="a0"/>
      </w:pPr>
      <w:r w:rsidRPr="00A428C3">
        <w:t>Abstract: In this study the usability of ion exchanging resins is handled for the purpose of copper removal from aqueous solutions. The chosen resins were Dowex HCR S/S (strong cationic)</w:t>
      </w:r>
      <w:r w:rsidR="00F81221">
        <w:t xml:space="preserve"> and </w:t>
      </w:r>
      <w:r w:rsidRPr="00A428C3">
        <w:t>Dowex. Marathon C (strong cationic). During the removal process using the batch technique the effects of pH, dosage of the resin, concentration of copper</w:t>
      </w:r>
      <w:r w:rsidR="00F81221">
        <w:t xml:space="preserve"> and </w:t>
      </w:r>
      <w:r w:rsidRPr="00A428C3">
        <w:t>contact time were studied. The results showed that Freundlich</w:t>
      </w:r>
      <w:r w:rsidR="00F81221">
        <w:t xml:space="preserve"> and </w:t>
      </w:r>
      <w:r w:rsidRPr="00A428C3">
        <w:t>Langmuir isotherms are linear. From the Freundlich adsorption isotherm the capacity/intensity of copper adsorption on Dowex HCR S/S</w:t>
      </w:r>
      <w:r w:rsidR="00F81221">
        <w:t xml:space="preserve"> and </w:t>
      </w:r>
      <w:r w:rsidRPr="00A428C3">
        <w:t>Dowex Marathon C were calculated as 26.27 ing g</w:t>
      </w:r>
      <w:r w:rsidRPr="00A428C3">
        <w:rPr>
          <w:vertAlign w:val="superscript"/>
        </w:rPr>
        <w:t>-1</w:t>
      </w:r>
      <w:r w:rsidRPr="00A428C3">
        <w:t xml:space="preserve"> / 2.14</w:t>
      </w:r>
      <w:r w:rsidR="00F81221">
        <w:t xml:space="preserve"> and </w:t>
      </w:r>
      <w:r w:rsidRPr="00A428C3">
        <w:t>46.55 mg g</w:t>
      </w:r>
      <w:r w:rsidRPr="00A428C3">
        <w:rPr>
          <w:vertAlign w:val="superscript"/>
        </w:rPr>
        <w:t>-1</w:t>
      </w:r>
      <w:r w:rsidRPr="00A428C3">
        <w:t xml:space="preserve"> / 2.56, respectively. Derived from the Langmuir adsorption isotherm, the copper equilibrium constant was calculated as 1.81 for Dowex HCR S/S</w:t>
      </w:r>
      <w:r w:rsidR="00F81221">
        <w:t xml:space="preserve"> and </w:t>
      </w:r>
      <w:r w:rsidRPr="00A428C3">
        <w:t>4.71 for Dowex Marathon C. The separation factors</w:t>
      </w:r>
      <w:r w:rsidR="00F81221">
        <w:t xml:space="preserve"> and </w:t>
      </w:r>
      <w:r w:rsidRPr="00A428C3">
        <w:t>distribution coefficients of copper for Dowex HCR S/S</w:t>
      </w:r>
      <w:r w:rsidR="00F81221">
        <w:t xml:space="preserve"> and </w:t>
      </w:r>
      <w:r w:rsidRPr="00A428C3">
        <w:t>Dowex Marathon C were presented. It was observed that copper removal by ion exchange resins can be described by the first-order reversible kinetics. In this study it was clearly shown that ion exchange resins can be used for removal of copper from aqueous solutions.</w:t>
      </w:r>
    </w:p>
    <w:p w:rsidR="00B95188" w:rsidRPr="00A428C3" w:rsidRDefault="00B95188" w:rsidP="00B95188">
      <w:pPr>
        <w:pStyle w:val="a0"/>
      </w:pPr>
      <w:r w:rsidRPr="00A428C3">
        <w:t>Keywords: Ion Exchange Resins, Copper Removal, Adsorption Isotherms, Separation Factors, Equilibrium Distribution Coefficients, Adsorption Kinetics, Waste-Water, Activated Carbon, Heavy-Metals, Adsorption, Equilibrium, Kinetics, Recovery, Cations, Shell, Acid</w:t>
      </w:r>
    </w:p>
    <w:p w:rsidR="00B95188" w:rsidRPr="00A428C3" w:rsidRDefault="00B95188" w:rsidP="00B95188">
      <w:pPr>
        <w:pStyle w:val="a0"/>
      </w:pPr>
      <w:r w:rsidRPr="00A428C3">
        <w:lastRenderedPageBreak/>
        <w:t>? Dogan, M.</w:t>
      </w:r>
      <w:r w:rsidR="00F81221">
        <w:t xml:space="preserve"> and </w:t>
      </w:r>
      <w:r w:rsidRPr="00A428C3">
        <w:t xml:space="preserve">Alkan, M. (2004), Some physicochemical properties of perlite as an adsorbent. </w:t>
      </w:r>
      <w:r w:rsidRPr="00A428C3">
        <w:rPr>
          <w:i/>
          <w:iCs/>
        </w:rPr>
        <w:t>Fresenius Environmental Bulletin</w:t>
      </w:r>
      <w:r w:rsidRPr="00A428C3">
        <w:t xml:space="preserve">, </w:t>
      </w:r>
      <w:r w:rsidRPr="00A428C3">
        <w:rPr>
          <w:b/>
        </w:rPr>
        <w:t>13</w:t>
      </w:r>
      <w:r w:rsidRPr="00A428C3">
        <w:t xml:space="preserve"> (3B), </w:t>
      </w:r>
      <w:r w:rsidRPr="00A428C3">
        <w:rPr>
          <w:lang w:val="en-GB"/>
        </w:rPr>
        <w:t>251-257</w:t>
      </w:r>
      <w:r w:rsidRPr="00A428C3">
        <w:t>.</w:t>
      </w:r>
    </w:p>
    <w:p w:rsidR="00B95188" w:rsidRPr="00A428C3" w:rsidRDefault="00B95188" w:rsidP="00B95188">
      <w:pPr>
        <w:pStyle w:val="a0"/>
      </w:pPr>
      <w:r w:rsidRPr="00A428C3">
        <w:t xml:space="preserve">Full Text: </w:t>
      </w:r>
      <w:hyperlink r:id="rId153" w:history="1">
        <w:r w:rsidRPr="00A428C3">
          <w:rPr>
            <w:rStyle w:val="a5"/>
          </w:rPr>
          <w:t>2004\Fre Env Bul13, 251.pdf</w:t>
        </w:r>
      </w:hyperlink>
    </w:p>
    <w:p w:rsidR="00B95188" w:rsidRPr="00A428C3" w:rsidRDefault="00B95188" w:rsidP="00B95188">
      <w:pPr>
        <w:pStyle w:val="a0"/>
      </w:pPr>
      <w:r w:rsidRPr="00A428C3">
        <w:t>Abstract: Perlite is a glassy volcanic rock, which will, upon rapid controlled heating, expand into a frothy material of bulk density. Considering the fact that the uses of perlite are based primarily upon its physical</w:t>
      </w:r>
      <w:r w:rsidR="00F81221">
        <w:t xml:space="preserve"> and </w:t>
      </w:r>
      <w:r w:rsidRPr="00A428C3">
        <w:t>chemical properties, it is aimed to investigate some physical</w:t>
      </w:r>
      <w:r w:rsidR="00F81221">
        <w:t xml:space="preserve"> and </w:t>
      </w:r>
      <w:r w:rsidRPr="00A428C3">
        <w:t>chemical properties of unexpanded</w:t>
      </w:r>
      <w:r w:rsidR="00F81221">
        <w:t xml:space="preserve"> and </w:t>
      </w:r>
      <w:r w:rsidRPr="00A428C3">
        <w:t>expanded perlite. Structural changes occurring during the expansion of perlite are discussed.</w:t>
      </w:r>
    </w:p>
    <w:p w:rsidR="00B95188" w:rsidRPr="00A428C3" w:rsidRDefault="00B95188" w:rsidP="00B95188">
      <w:pPr>
        <w:pStyle w:val="a0"/>
      </w:pPr>
      <w:r w:rsidRPr="00A428C3">
        <w:t>During the expansion a transition from amorphous structure to a crystalline form has been found to occur,</w:t>
      </w:r>
      <w:r w:rsidR="00F81221">
        <w:t xml:space="preserve"> and </w:t>
      </w:r>
      <w:r w:rsidRPr="00A428C3">
        <w:t>also some part of water has been removed, but there has still been some water in crystal lattice. Acid activation has caused a little increase in cation exchange capacity of perlite, while the density has remained almost unchanged.</w:t>
      </w:r>
    </w:p>
    <w:p w:rsidR="00B95188" w:rsidRPr="00A428C3" w:rsidRDefault="00B95188" w:rsidP="00B95188">
      <w:pPr>
        <w:pStyle w:val="a0"/>
      </w:pPr>
      <w:r w:rsidRPr="00A428C3">
        <w:t>Keywords: Perlite, Acid Activation, Surface Area, Cation Exchange Capacity, Adsorption-Kinetics, Aqueous-Solution, Methyl Violet, Blue</w:t>
      </w:r>
    </w:p>
    <w:p w:rsidR="00B95188" w:rsidRPr="00A428C3" w:rsidRDefault="00B95188" w:rsidP="00B95188">
      <w:pPr>
        <w:pStyle w:val="a0"/>
      </w:pPr>
      <w:r w:rsidRPr="00A428C3">
        <w:t>Bektaş, N.</w:t>
      </w:r>
      <w:r w:rsidR="00F81221">
        <w:t xml:space="preserve"> and </w:t>
      </w:r>
      <w:r w:rsidRPr="00A428C3">
        <w:t xml:space="preserve">Soysal, D. (2004), Kinetics of phosphate removal using surfactant modified clinoptilolite. </w:t>
      </w:r>
      <w:r w:rsidRPr="00A428C3">
        <w:rPr>
          <w:i/>
          <w:iCs/>
        </w:rPr>
        <w:t>Fresenius Environmental Bulletin</w:t>
      </w:r>
      <w:r w:rsidRPr="00A428C3">
        <w:t xml:space="preserve">, </w:t>
      </w:r>
      <w:r w:rsidRPr="00A428C3">
        <w:rPr>
          <w:b/>
        </w:rPr>
        <w:t>13</w:t>
      </w:r>
      <w:r w:rsidRPr="00A428C3">
        <w:t xml:space="preserve"> (4), 366-369.</w:t>
      </w:r>
    </w:p>
    <w:p w:rsidR="00B95188" w:rsidRPr="00A428C3" w:rsidRDefault="00B95188" w:rsidP="00B95188">
      <w:pPr>
        <w:pStyle w:val="a0"/>
      </w:pPr>
      <w:r w:rsidRPr="00A428C3">
        <w:t xml:space="preserve">Full Text: </w:t>
      </w:r>
      <w:hyperlink r:id="rId154" w:history="1">
        <w:r w:rsidRPr="00A428C3">
          <w:rPr>
            <w:rStyle w:val="a5"/>
          </w:rPr>
          <w:t>2004\Fre Env Bul13, 366.pdf</w:t>
        </w:r>
      </w:hyperlink>
    </w:p>
    <w:p w:rsidR="00B95188" w:rsidRPr="00A428C3" w:rsidRDefault="00B95188" w:rsidP="00B95188">
      <w:pPr>
        <w:pStyle w:val="a0"/>
      </w:pPr>
      <w:r w:rsidRPr="00A428C3">
        <w:t>Abstract: In this work, the preliminary results on the removal pathways for phosphate ions from aqueous solution using surfactant-modified clinoptilolite (SMC) were investigated. The chemical kinetic describes the time course of reaction pathways to reach the equilibrium, whereas chemical equilibrium gives no information about pathways</w:t>
      </w:r>
      <w:r w:rsidR="00F81221">
        <w:t xml:space="preserve"> and </w:t>
      </w:r>
      <w:r w:rsidRPr="00A428C3">
        <w:t>reaction rates. Langmuir</w:t>
      </w:r>
      <w:r w:rsidR="00F81221">
        <w:t xml:space="preserve"> and </w:t>
      </w:r>
      <w:r w:rsidRPr="00A428C3">
        <w:t>Freundlich isotherm constants</w:t>
      </w:r>
      <w:r w:rsidR="00F81221">
        <w:t xml:space="preserve"> and </w:t>
      </w:r>
      <w:r w:rsidRPr="00A428C3">
        <w:t>correlation coefficients for the present system were calculated</w:t>
      </w:r>
      <w:r w:rsidR="00F81221">
        <w:t xml:space="preserve"> and </w:t>
      </w:r>
      <w:r w:rsidRPr="00A428C3">
        <w:t>compared. The equilibrium process of phosphate removal was described well by the Langmuir isotherm. The sorption kinetic was tested for Elovich, pseudo-first order</w:t>
      </w:r>
      <w:r w:rsidR="00F81221">
        <w:t xml:space="preserve"> and </w:t>
      </w:r>
      <w:r w:rsidRPr="00A428C3">
        <w:t>pseudo-second order reaction models. The rate constants of sorption for all these kinetic models were calculated. The pseudo-second order kinetic reaction model was found to be the best for correlation of the data for phosphate removal from aqueous solution using modified clinoptilolite.</w:t>
      </w:r>
    </w:p>
    <w:p w:rsidR="00B95188" w:rsidRPr="00A428C3" w:rsidRDefault="00B95188" w:rsidP="00B95188">
      <w:pPr>
        <w:pStyle w:val="a0"/>
      </w:pPr>
      <w:r w:rsidRPr="00A428C3">
        <w:t>Keywords: Langmuir, Phosphate Removal, Sorption Kinetics</w:t>
      </w:r>
      <w:r w:rsidR="00F81221">
        <w:t xml:space="preserve"> and </w:t>
      </w:r>
      <w:r w:rsidRPr="00A428C3">
        <w:t>Isotherms, Surfactant-Modified Clinoptilolite, Natural Clinoptilolite, Sorption, Chromate</w:t>
      </w:r>
    </w:p>
    <w:p w:rsidR="00B95188" w:rsidRPr="00A428C3" w:rsidRDefault="00B95188" w:rsidP="00B95188">
      <w:pPr>
        <w:pStyle w:val="a0"/>
      </w:pPr>
      <w:r w:rsidRPr="00A428C3">
        <w:t xml:space="preserve">Ho, Y.S. (2004), Comment on </w:t>
      </w:r>
      <w:r w:rsidR="000352E7">
        <w:t>“</w:t>
      </w:r>
      <w:r w:rsidRPr="00A428C3">
        <w:t>Removal of heavy metal ions by modified sawdust of walnut</w:t>
      </w:r>
      <w:r w:rsidR="000352E7">
        <w:t>”</w:t>
      </w:r>
      <w:r w:rsidRPr="00A428C3">
        <w:t xml:space="preserve"> by Bulut, Y.</w:t>
      </w:r>
      <w:r w:rsidR="00F81221">
        <w:t xml:space="preserve"> and </w:t>
      </w:r>
      <w:r w:rsidRPr="00A428C3">
        <w:t xml:space="preserve">Tez, Z. </w:t>
      </w:r>
      <w:r w:rsidRPr="00A428C3">
        <w:rPr>
          <w:i/>
          <w:iCs/>
        </w:rPr>
        <w:t>Fresenius Environmental Bulletin</w:t>
      </w:r>
      <w:r w:rsidRPr="00A428C3">
        <w:t xml:space="preserve">, </w:t>
      </w:r>
      <w:r w:rsidRPr="00A428C3">
        <w:rPr>
          <w:b/>
        </w:rPr>
        <w:t>13</w:t>
      </w:r>
      <w:r w:rsidRPr="00A428C3">
        <w:t xml:space="preserve"> (4), 370-373.</w:t>
      </w:r>
    </w:p>
    <w:p w:rsidR="00B95188" w:rsidRPr="00A428C3" w:rsidRDefault="00B95188" w:rsidP="00B95188">
      <w:pPr>
        <w:pStyle w:val="a0"/>
      </w:pPr>
      <w:r w:rsidRPr="00A428C3">
        <w:t xml:space="preserve">Full Text: </w:t>
      </w:r>
      <w:hyperlink r:id="rId155" w:history="1">
        <w:r w:rsidRPr="00A428C3">
          <w:rPr>
            <w:rStyle w:val="a5"/>
          </w:rPr>
          <w:t>2004\Fre Env Bul13, 307.pdf</w:t>
        </w:r>
      </w:hyperlink>
    </w:p>
    <w:p w:rsidR="00B95188" w:rsidRPr="00A428C3" w:rsidRDefault="00B95188" w:rsidP="00B95188">
      <w:pPr>
        <w:pStyle w:val="a0"/>
      </w:pPr>
      <w:r w:rsidRPr="00A428C3">
        <w:t>Keywords: Fungus Aspergillus-Niger, Sugarcane Bagasse Pith, Activated Date Pits, Sphagnum Moss Peat, Aqueous-Solutions, Kinetic-Models, Adsorption-Kinetics, Sorption Kinetics, Dye Sorption, Cadmium Ion</w:t>
      </w:r>
    </w:p>
    <w:p w:rsidR="00B95188" w:rsidRPr="00A428C3" w:rsidRDefault="00B95188" w:rsidP="00B95188">
      <w:pPr>
        <w:pStyle w:val="a0"/>
      </w:pPr>
      <w:r w:rsidRPr="00A428C3">
        <w:t>? Özdemir, M., Şahin, Ö.</w:t>
      </w:r>
      <w:r w:rsidR="00F81221">
        <w:t xml:space="preserve"> and </w:t>
      </w:r>
      <w:r w:rsidRPr="00A428C3">
        <w:t xml:space="preserve">Güler, E. (2004), Removal of Pb(II) ions from water by </w:t>
      </w:r>
      <w:r w:rsidRPr="00A428C3">
        <w:lastRenderedPageBreak/>
        <w:t xml:space="preserve">sunflower seed peel. </w:t>
      </w:r>
      <w:r w:rsidRPr="00A428C3">
        <w:rPr>
          <w:i/>
          <w:iCs/>
        </w:rPr>
        <w:t>Fresenius Environmental Bulletin</w:t>
      </w:r>
      <w:r w:rsidRPr="00A428C3">
        <w:t xml:space="preserve">, </w:t>
      </w:r>
      <w:r w:rsidRPr="00A428C3">
        <w:rPr>
          <w:b/>
        </w:rPr>
        <w:t>13</w:t>
      </w:r>
      <w:r w:rsidRPr="00A428C3">
        <w:t xml:space="preserve"> (6), 524-531.</w:t>
      </w:r>
    </w:p>
    <w:p w:rsidR="00B95188" w:rsidRPr="00A428C3" w:rsidRDefault="00B95188" w:rsidP="00B95188">
      <w:pPr>
        <w:pStyle w:val="a0"/>
      </w:pPr>
      <w:r w:rsidRPr="00A428C3">
        <w:t xml:space="preserve">Full Text: </w:t>
      </w:r>
      <w:hyperlink r:id="rId156" w:history="1">
        <w:r w:rsidRPr="00A428C3">
          <w:rPr>
            <w:rStyle w:val="a5"/>
          </w:rPr>
          <w:t>2004\Fre Env Bul13, 524.pdf</w:t>
        </w:r>
      </w:hyperlink>
    </w:p>
    <w:p w:rsidR="00B95188" w:rsidRPr="00A428C3" w:rsidRDefault="00B95188" w:rsidP="00B95188">
      <w:pPr>
        <w:pStyle w:val="a0"/>
      </w:pPr>
      <w:r w:rsidRPr="00A428C3">
        <w:t>Abstract: The removal of lead from water by sunflower seed peel was investigated. It was found to depend on the solution pH, temperature, adsorbent dose</w:t>
      </w:r>
      <w:r w:rsidR="00F81221">
        <w:t xml:space="preserve"> and </w:t>
      </w:r>
      <w:r w:rsidRPr="00A428C3">
        <w:t>initial concentration. The maximum adsorption efficiency observed was 99% at the equilibrium state. The most successful adsorption was performed at pH 6, 60</w:t>
      </w:r>
      <w:r w:rsidR="009B0C58">
        <w:t>°</w:t>
      </w:r>
      <w:r w:rsidRPr="00A428C3">
        <w:t>C</w:t>
      </w:r>
      <w:r w:rsidR="00F81221">
        <w:t xml:space="preserve"> and </w:t>
      </w:r>
      <w:r w:rsidRPr="00A428C3">
        <w:t>initial concentration of 30 ppm. It was also found that the temperature changes have no big effect on the adsorption capacity. In summary, it can be concluded that metal ions such as Pb</w:t>
      </w:r>
      <w:r w:rsidRPr="00A428C3">
        <w:rPr>
          <w:vertAlign w:val="superscript"/>
        </w:rPr>
        <w:t>2+</w:t>
      </w:r>
      <w:r w:rsidRPr="00A428C3">
        <w:t xml:space="preserve"> can be removed efficiently from aqueous solutions using sunflower seed peel, which is a low-cost sorbent</w:t>
      </w:r>
      <w:r w:rsidR="00F81221">
        <w:t xml:space="preserve"> and </w:t>
      </w:r>
      <w:r w:rsidRPr="00A428C3">
        <w:t>abundantly available. It could be an alternative for the more costly processes.</w:t>
      </w:r>
    </w:p>
    <w:p w:rsidR="00B95188" w:rsidRPr="00A428C3" w:rsidRDefault="00B95188" w:rsidP="00B95188">
      <w:pPr>
        <w:pStyle w:val="a0"/>
      </w:pPr>
      <w:r w:rsidRPr="00A428C3">
        <w:t>Keywords: Adsorption of Pb</w:t>
      </w:r>
      <w:r w:rsidRPr="00A428C3">
        <w:rPr>
          <w:vertAlign w:val="superscript"/>
        </w:rPr>
        <w:t>2+</w:t>
      </w:r>
      <w:r w:rsidRPr="00A428C3">
        <w:t xml:space="preserve"> Ions, Sunflower Seed Peel, Surface Activity, Adsorption Efficiency, Aqueous-Solutions, Heavy-Metals, Lead, Copper(II), Adsorption, Kinetics</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Mysore</w:t>
          </w:r>
        </w:smartTag>
      </w:smartTag>
      <w:r w:rsidRPr="00A428C3">
        <w:t>, D., Viraraghavan, T.</w:t>
      </w:r>
      <w:r w:rsidR="00F81221">
        <w:t xml:space="preserve"> and </w:t>
      </w:r>
      <w:r w:rsidRPr="00A428C3">
        <w:t xml:space="preserve">Jin, Y.C. (2004), Removal of oil by vermiculite. </w:t>
      </w:r>
      <w:r w:rsidRPr="00A428C3">
        <w:rPr>
          <w:i/>
          <w:iCs/>
        </w:rPr>
        <w:t>Fresenius Environmental Bulletin</w:t>
      </w:r>
      <w:r w:rsidRPr="00A428C3">
        <w:t xml:space="preserve">, </w:t>
      </w:r>
      <w:r w:rsidRPr="00A428C3">
        <w:rPr>
          <w:b/>
        </w:rPr>
        <w:t>13</w:t>
      </w:r>
      <w:r w:rsidRPr="00A428C3">
        <w:t xml:space="preserve"> (6), 560-567.</w:t>
      </w:r>
    </w:p>
    <w:p w:rsidR="00B95188" w:rsidRPr="00A428C3" w:rsidRDefault="00B95188" w:rsidP="00B95188">
      <w:pPr>
        <w:pStyle w:val="a0"/>
      </w:pPr>
      <w:r w:rsidRPr="00A428C3">
        <w:t xml:space="preserve">Full Text: </w:t>
      </w:r>
      <w:hyperlink r:id="rId157" w:history="1">
        <w:r w:rsidRPr="00A428C3">
          <w:rPr>
            <w:rStyle w:val="a5"/>
          </w:rPr>
          <w:t>2004\Fre Env Bul13, 560.pdf</w:t>
        </w:r>
      </w:hyperlink>
    </w:p>
    <w:p w:rsidR="00B95188" w:rsidRPr="00A428C3" w:rsidRDefault="00B95188" w:rsidP="00B95188">
      <w:pPr>
        <w:pStyle w:val="a0"/>
      </w:pPr>
      <w:r w:rsidRPr="00A428C3">
        <w:t>Abstract: Studies were carried out to evaluate the sorption capacities of expanded</w:t>
      </w:r>
      <w:r w:rsidR="00F81221">
        <w:t xml:space="preserve"> and </w:t>
      </w:r>
      <w:r w:rsidRPr="00A428C3">
        <w:t>hydrophobizied vermiculite. Sorption capacity is the weight of oil picked up by unit weight of a sorbent Vermiculite was made hydrophobic by adding carnauba (cerifera) wax. Initial oil pick-up by the sorbents; on pure oil</w:t>
      </w:r>
      <w:r w:rsidR="00F81221">
        <w:t xml:space="preserve"> and </w:t>
      </w:r>
      <w:r w:rsidRPr="00A428C3">
        <w:t>oil on aqueous medium was evaluated. Batch kinetic studies were conducted to evaluate the saturation speed of expanded</w:t>
      </w:r>
      <w:r w:rsidR="00F81221">
        <w:t xml:space="preserve"> and </w:t>
      </w:r>
      <w:r w:rsidRPr="00A428C3">
        <w:t xml:space="preserve">hydrophobized vermiculite on sorption of oil. Expanded vermiculite showed sorption capacities of </w:t>
      </w:r>
      <w:smartTag w:uri="urn:schemas-microsoft-com:office:smarttags" w:element="chmetcnv">
        <w:smartTagPr>
          <w:attr w:name="TCSC" w:val="0"/>
          <w:attr w:name="NumberType" w:val="1"/>
          <w:attr w:name="Negative" w:val="False"/>
          <w:attr w:name="HasSpace" w:val="False"/>
          <w:attr w:name="SourceValue" w:val="2.53"/>
          <w:attr w:name="UnitName" w:val="g"/>
        </w:smartTagPr>
        <w:r w:rsidRPr="00A428C3">
          <w:t>2.53g</w:t>
        </w:r>
      </w:smartTag>
      <w:r w:rsidRPr="00A428C3">
        <w:t xml:space="preserve">/g, </w:t>
      </w:r>
      <w:smartTag w:uri="urn:schemas-microsoft-com:office:smarttags" w:element="chmetcnv">
        <w:smartTagPr>
          <w:attr w:name="TCSC" w:val="0"/>
          <w:attr w:name="NumberType" w:val="1"/>
          <w:attr w:name="Negative" w:val="False"/>
          <w:attr w:name="HasSpace" w:val="False"/>
          <w:attr w:name="SourceValue" w:val="2.56"/>
          <w:attr w:name="UnitName" w:val="g"/>
        </w:smartTagPr>
        <w:r w:rsidRPr="00A428C3">
          <w:t>2.56g</w:t>
        </w:r>
      </w:smartTag>
      <w:r w:rsidRPr="00A428C3">
        <w:t>/g</w:t>
      </w:r>
      <w:r w:rsidR="00F81221">
        <w:t xml:space="preserve"> and </w:t>
      </w:r>
      <w:smartTag w:uri="urn:schemas-microsoft-com:office:smarttags" w:element="chmetcnv">
        <w:smartTagPr>
          <w:attr w:name="TCSC" w:val="0"/>
          <w:attr w:name="NumberType" w:val="1"/>
          <w:attr w:name="Negative" w:val="False"/>
          <w:attr w:name="HasSpace" w:val="False"/>
          <w:attr w:name="SourceValue" w:val="2.62"/>
          <w:attr w:name="UnitName" w:val="g"/>
        </w:smartTagPr>
        <w:r w:rsidRPr="00A428C3">
          <w:t>2.62g</w:t>
        </w:r>
      </w:smartTag>
      <w:r w:rsidRPr="00A428C3">
        <w:t>/g for synthetic mineral oil (SMO), vegetable oil</w:t>
      </w:r>
      <w:r w:rsidR="00F81221">
        <w:t xml:space="preserve"> and </w:t>
      </w:r>
      <w:r w:rsidRPr="00A428C3">
        <w:t xml:space="preserve">Kutwell oil, respectively, whereas hydrophobized vermiculite showed </w:t>
      </w:r>
      <w:smartTag w:uri="urn:schemas-microsoft-com:office:smarttags" w:element="chmetcnv">
        <w:smartTagPr>
          <w:attr w:name="TCSC" w:val="0"/>
          <w:attr w:name="NumberType" w:val="1"/>
          <w:attr w:name="Negative" w:val="False"/>
          <w:attr w:name="HasSpace" w:val="False"/>
          <w:attr w:name="SourceValue" w:val="2.46"/>
          <w:attr w:name="UnitName" w:val="g"/>
        </w:smartTagPr>
        <w:r w:rsidRPr="00A428C3">
          <w:t>2.46g</w:t>
        </w:r>
      </w:smartTag>
      <w:r w:rsidRPr="00A428C3">
        <w:t xml:space="preserve">/g, </w:t>
      </w:r>
      <w:smartTag w:uri="urn:schemas-microsoft-com:office:smarttags" w:element="chmetcnv">
        <w:smartTagPr>
          <w:attr w:name="TCSC" w:val="0"/>
          <w:attr w:name="NumberType" w:val="1"/>
          <w:attr w:name="Negative" w:val="False"/>
          <w:attr w:name="HasSpace" w:val="False"/>
          <w:attr w:name="SourceValue" w:val="2.49"/>
          <w:attr w:name="UnitName" w:val="g"/>
        </w:smartTagPr>
        <w:r w:rsidRPr="00A428C3">
          <w:t>2.49g</w:t>
        </w:r>
      </w:smartTag>
      <w:r w:rsidRPr="00A428C3">
        <w:t>/g</w:t>
      </w:r>
      <w:r w:rsidR="00F81221">
        <w:t xml:space="preserve"> and </w:t>
      </w:r>
      <w:smartTag w:uri="urn:schemas-microsoft-com:office:smarttags" w:element="chmetcnv">
        <w:smartTagPr>
          <w:attr w:name="TCSC" w:val="0"/>
          <w:attr w:name="NumberType" w:val="1"/>
          <w:attr w:name="Negative" w:val="False"/>
          <w:attr w:name="HasSpace" w:val="False"/>
          <w:attr w:name="SourceValue" w:val="2.53"/>
          <w:attr w:name="UnitName" w:val="g"/>
        </w:smartTagPr>
        <w:r w:rsidRPr="00A428C3">
          <w:t>2.53g</w:t>
        </w:r>
      </w:smartTag>
      <w:r w:rsidRPr="00A428C3">
        <w:t xml:space="preserve">/g. In the case of oil on an aqueous medium, hydrophobized vermiculite showed higher sorption capacity than expanded vermiculite. In this case, the sorption capacities of expanded vermiculite were </w:t>
      </w:r>
      <w:smartTag w:uri="urn:schemas-microsoft-com:office:smarttags" w:element="chmetcnv">
        <w:smartTagPr>
          <w:attr w:name="TCSC" w:val="0"/>
          <w:attr w:name="NumberType" w:val="1"/>
          <w:attr w:name="Negative" w:val="False"/>
          <w:attr w:name="HasSpace" w:val="False"/>
          <w:attr w:name="SourceValue" w:val="1.8"/>
          <w:attr w:name="UnitName" w:val="g"/>
        </w:smartTagPr>
        <w:r w:rsidRPr="00A428C3">
          <w:t>1.8g</w:t>
        </w:r>
      </w:smartTag>
      <w:r w:rsidRPr="00A428C3">
        <w:t xml:space="preserve">/g, </w:t>
      </w:r>
      <w:smartTag w:uri="urn:schemas-microsoft-com:office:smarttags" w:element="chmetcnv">
        <w:smartTagPr>
          <w:attr w:name="TCSC" w:val="0"/>
          <w:attr w:name="NumberType" w:val="1"/>
          <w:attr w:name="Negative" w:val="False"/>
          <w:attr w:name="HasSpace" w:val="False"/>
          <w:attr w:name="SourceValue" w:val="1.91"/>
          <w:attr w:name="UnitName" w:val="g"/>
        </w:smartTagPr>
        <w:r w:rsidRPr="00A428C3">
          <w:t>1.91g</w:t>
        </w:r>
      </w:smartTag>
      <w:r w:rsidRPr="00A428C3">
        <w:t>/g</w:t>
      </w:r>
      <w:r w:rsidR="00F81221">
        <w:t xml:space="preserve"> and </w:t>
      </w:r>
      <w:smartTag w:uri="urn:schemas-microsoft-com:office:smarttags" w:element="chmetcnv">
        <w:smartTagPr>
          <w:attr w:name="TCSC" w:val="0"/>
          <w:attr w:name="NumberType" w:val="1"/>
          <w:attr w:name="Negative" w:val="False"/>
          <w:attr w:name="HasSpace" w:val="False"/>
          <w:attr w:name="SourceValue" w:val="2.89"/>
          <w:attr w:name="UnitName" w:val="g"/>
        </w:smartTagPr>
        <w:r w:rsidRPr="00A428C3">
          <w:t>2.89g</w:t>
        </w:r>
      </w:smartTag>
      <w:r w:rsidRPr="00A428C3">
        <w:t>/g for SMO, vegetable oil</w:t>
      </w:r>
      <w:r w:rsidR="00F81221">
        <w:t xml:space="preserve"> and </w:t>
      </w:r>
      <w:r w:rsidRPr="00A428C3">
        <w:t xml:space="preserve">Kutwell oil, respectively, whereas those of hydrophobized vermiculite were </w:t>
      </w:r>
      <w:smartTag w:uri="urn:schemas-microsoft-com:office:smarttags" w:element="chmetcnv">
        <w:smartTagPr>
          <w:attr w:name="TCSC" w:val="0"/>
          <w:attr w:name="NumberType" w:val="1"/>
          <w:attr w:name="Negative" w:val="False"/>
          <w:attr w:name="HasSpace" w:val="False"/>
          <w:attr w:name="SourceValue" w:val="3.45"/>
          <w:attr w:name="UnitName" w:val="g"/>
        </w:smartTagPr>
        <w:r w:rsidRPr="00A428C3">
          <w:t>3.45g</w:t>
        </w:r>
      </w:smartTag>
      <w:r w:rsidRPr="00A428C3">
        <w:t xml:space="preserve">/g, </w:t>
      </w:r>
      <w:smartTag w:uri="urn:schemas-microsoft-com:office:smarttags" w:element="chmetcnv">
        <w:smartTagPr>
          <w:attr w:name="TCSC" w:val="0"/>
          <w:attr w:name="NumberType" w:val="1"/>
          <w:attr w:name="Negative" w:val="False"/>
          <w:attr w:name="HasSpace" w:val="False"/>
          <w:attr w:name="SourceValue" w:val="3.87"/>
          <w:attr w:name="UnitName" w:val="g"/>
        </w:smartTagPr>
        <w:r w:rsidRPr="00A428C3">
          <w:t>3.87g</w:t>
        </w:r>
      </w:smartTag>
      <w:r w:rsidRPr="00A428C3">
        <w:t>/g</w:t>
      </w:r>
      <w:r w:rsidR="00F81221">
        <w:t xml:space="preserve"> and </w:t>
      </w:r>
      <w:smartTag w:uri="urn:schemas-microsoft-com:office:smarttags" w:element="chmetcnv">
        <w:smartTagPr>
          <w:attr w:name="TCSC" w:val="0"/>
          <w:attr w:name="NumberType" w:val="1"/>
          <w:attr w:name="Negative" w:val="False"/>
          <w:attr w:name="HasSpace" w:val="False"/>
          <w:attr w:name="SourceValue" w:val="4.08"/>
          <w:attr w:name="UnitName" w:val="g"/>
        </w:smartTagPr>
        <w:r w:rsidRPr="00A428C3">
          <w:t>4.08g</w:t>
        </w:r>
      </w:smartTag>
      <w:r w:rsidRPr="00A428C3">
        <w:t>/g. It was found that oil can be recovered from vermiculite by applying pressure. These studies also showed that vermiculite can be used as a sorbent for oil removal</w:t>
      </w:r>
      <w:r w:rsidR="00F81221">
        <w:t xml:space="preserve"> and </w:t>
      </w:r>
      <w:r w:rsidRPr="00A428C3">
        <w:t>hydrophobized vermiculite is a better adsorbent for oil floating on water.</w:t>
      </w:r>
    </w:p>
    <w:p w:rsidR="00B95188" w:rsidRPr="00A428C3" w:rsidRDefault="00B95188" w:rsidP="00B95188">
      <w:pPr>
        <w:pStyle w:val="a0"/>
      </w:pPr>
      <w:r w:rsidRPr="00A428C3">
        <w:t>Keywords: Expanded Vermiculite, Hydrophobized Vermiculite, Pure Oil, Oil in Aqueous Medium, Sorption Capacity, Oil Removal, Water, Sorbents, Cleanup, Fibers</w:t>
      </w:r>
    </w:p>
    <w:p w:rsidR="00B95188" w:rsidRPr="00A428C3" w:rsidRDefault="00B95188" w:rsidP="00B95188">
      <w:pPr>
        <w:pStyle w:val="a0"/>
      </w:pPr>
      <w:r w:rsidRPr="00A428C3">
        <w:t>? Türkman, A.E.</w:t>
      </w:r>
      <w:r w:rsidR="00F81221">
        <w:t xml:space="preserve"> and </w:t>
      </w:r>
      <w:r w:rsidRPr="00A428C3">
        <w:t>Aslan, Ş.</w:t>
      </w:r>
      <w:r w:rsidR="00F81221">
        <w:t xml:space="preserve"> and </w:t>
      </w:r>
      <w:r w:rsidRPr="00A428C3">
        <w:t xml:space="preserve">Ege, İ. (2004), Treatment of metal containing wastewaters by natural zeolites. </w:t>
      </w:r>
      <w:r w:rsidRPr="00A428C3">
        <w:rPr>
          <w:i/>
          <w:iCs/>
        </w:rPr>
        <w:t>Fresenius Environmental Bulletin</w:t>
      </w:r>
      <w:r w:rsidRPr="00A428C3">
        <w:t xml:space="preserve">, </w:t>
      </w:r>
      <w:r w:rsidRPr="00A428C3">
        <w:rPr>
          <w:b/>
        </w:rPr>
        <w:t>13</w:t>
      </w:r>
      <w:r w:rsidRPr="00A428C3">
        <w:t xml:space="preserve"> (6), 574-580.</w:t>
      </w:r>
    </w:p>
    <w:p w:rsidR="00B95188" w:rsidRPr="00A428C3" w:rsidRDefault="00B95188" w:rsidP="00B95188">
      <w:pPr>
        <w:pStyle w:val="a0"/>
      </w:pPr>
      <w:r w:rsidRPr="00A428C3">
        <w:t xml:space="preserve">Full Text: </w:t>
      </w:r>
      <w:hyperlink r:id="rId158" w:history="1">
        <w:r w:rsidRPr="00A428C3">
          <w:rPr>
            <w:rStyle w:val="a5"/>
          </w:rPr>
          <w:t>2004\Fre Env Bul13, 574.pdf</w:t>
        </w:r>
      </w:hyperlink>
    </w:p>
    <w:p w:rsidR="00B95188" w:rsidRPr="00A428C3" w:rsidRDefault="00B95188" w:rsidP="00B95188">
      <w:pPr>
        <w:pStyle w:val="a0"/>
      </w:pPr>
      <w:r w:rsidRPr="00A428C3">
        <w:lastRenderedPageBreak/>
        <w:t>Abstract: In this study, removal of heavy metals in synthetic</w:t>
      </w:r>
      <w:r w:rsidR="00F81221">
        <w:t xml:space="preserve"> and </w:t>
      </w:r>
      <w:r w:rsidRPr="00A428C3">
        <w:t>wastewaters was studied by using natural zeolite, clinoptilolite. The activated</w:t>
      </w:r>
      <w:r w:rsidR="00F81221">
        <w:t xml:space="preserve"> and </w:t>
      </w:r>
      <w:r w:rsidRPr="00A428C3">
        <w:t>non-activated zeolites used were crushed</w:t>
      </w:r>
      <w:r w:rsidR="00F81221">
        <w:t xml:space="preserve"> and </w:t>
      </w:r>
      <w:r w:rsidRPr="00A428C3">
        <w:t>grinded to sizes between 1.0</w:t>
      </w:r>
      <w:smartTag w:uri="urn:schemas-microsoft-com:office:smarttags" w:element="chmetcnv">
        <w:smartTagPr>
          <w:attr w:name="TCSC" w:val="0"/>
          <w:attr w:name="NumberType" w:val="1"/>
          <w:attr w:name="Negative" w:val="True"/>
          <w:attr w:name="HasSpace" w:val="True"/>
          <w:attr w:name="SourceValue" w:val="2"/>
          <w:attr w:name="UnitName" w:val="mm"/>
        </w:smartTagPr>
        <w:r w:rsidRPr="00A428C3">
          <w:t>-2.0 mm</w:t>
        </w:r>
      </w:smartTag>
      <w:r w:rsidRPr="00A428C3">
        <w:t>. Ion exchange studies were conducted as batch experiments for various mixing time, speed</w:t>
      </w:r>
      <w:r w:rsidR="00F81221">
        <w:t xml:space="preserve"> and </w:t>
      </w:r>
      <w:r w:rsidRPr="00A428C3">
        <w:t>different concentrations of Pb</w:t>
      </w:r>
      <w:r w:rsidRPr="00A428C3">
        <w:rPr>
          <w:vertAlign w:val="superscript"/>
        </w:rPr>
        <w:t>2+</w:t>
      </w:r>
      <w:r w:rsidRPr="00A428C3">
        <w:t>, Cd</w:t>
      </w:r>
      <w:r w:rsidRPr="00A428C3">
        <w:rPr>
          <w:vertAlign w:val="superscript"/>
        </w:rPr>
        <w:t>2+</w:t>
      </w:r>
      <w:r w:rsidRPr="00A428C3">
        <w:t>, Ni</w:t>
      </w:r>
      <w:r w:rsidRPr="00A428C3">
        <w:rPr>
          <w:vertAlign w:val="superscript"/>
        </w:rPr>
        <w:t>2+</w:t>
      </w:r>
      <w:r w:rsidRPr="00A428C3">
        <w:t>,</w:t>
      </w:r>
      <w:r w:rsidR="00F81221">
        <w:t xml:space="preserve"> and </w:t>
      </w:r>
      <w:r w:rsidRPr="00A428C3">
        <w:t>Zn</w:t>
      </w:r>
      <w:r w:rsidRPr="00A428C3">
        <w:rPr>
          <w:vertAlign w:val="superscript"/>
        </w:rPr>
        <w:t>2+</w:t>
      </w:r>
      <w:r w:rsidRPr="00A428C3">
        <w:t>. Gordes</w:t>
      </w:r>
      <w:r w:rsidR="00F81221">
        <w:t xml:space="preserve"> and </w:t>
      </w:r>
      <w:r w:rsidRPr="00A428C3">
        <w:t>Bigadic zeolites were used for Cd</w:t>
      </w:r>
      <w:r w:rsidRPr="00A428C3">
        <w:rPr>
          <w:vertAlign w:val="superscript"/>
        </w:rPr>
        <w:t>2+</w:t>
      </w:r>
      <w:r w:rsidR="00F81221">
        <w:t xml:space="preserve"> and </w:t>
      </w:r>
      <w:r w:rsidRPr="00A428C3">
        <w:t>Ni</w:t>
      </w:r>
      <w:r w:rsidRPr="00A428C3">
        <w:rPr>
          <w:vertAlign w:val="superscript"/>
        </w:rPr>
        <w:t>2+</w:t>
      </w:r>
      <w:r w:rsidRPr="00A428C3">
        <w:t xml:space="preserve"> removal</w:t>
      </w:r>
      <w:r w:rsidR="00F81221">
        <w:t xml:space="preserve"> and </w:t>
      </w:r>
      <w:r w:rsidRPr="00A428C3">
        <w:t>their efficiencies were compared with that of natural zeolites from different areas. Although Cd</w:t>
      </w:r>
      <w:r w:rsidRPr="00A428C3">
        <w:rPr>
          <w:vertAlign w:val="superscript"/>
        </w:rPr>
        <w:t>2+</w:t>
      </w:r>
      <w:r w:rsidRPr="00A428C3">
        <w:t xml:space="preserve"> was not removed effectively by Bigadic zeolite, in applying Gordes zeolite 46% removal efficiency was achieved for 90 min of contact time in batch tests. Column studies were performed for the removal of Pb</w:t>
      </w:r>
      <w:r w:rsidRPr="00A428C3">
        <w:rPr>
          <w:vertAlign w:val="superscript"/>
        </w:rPr>
        <w:t>2+</w:t>
      </w:r>
      <w:r w:rsidRPr="00A428C3">
        <w:t>, Cd</w:t>
      </w:r>
      <w:r w:rsidRPr="00A428C3">
        <w:rPr>
          <w:vertAlign w:val="superscript"/>
        </w:rPr>
        <w:t>2+</w:t>
      </w:r>
      <w:r w:rsidRPr="00A428C3">
        <w:t>,</w:t>
      </w:r>
      <w:r w:rsidR="00F81221">
        <w:t xml:space="preserve"> and </w:t>
      </w:r>
      <w:r w:rsidRPr="00A428C3">
        <w:t>Zn</w:t>
      </w:r>
      <w:r w:rsidRPr="00A428C3">
        <w:rPr>
          <w:vertAlign w:val="superscript"/>
        </w:rPr>
        <w:t>2+</w:t>
      </w:r>
      <w:r w:rsidRPr="00A428C3">
        <w:t xml:space="preserve"> from a lead-zinc mining process raw wastewater. The clinoptilolite exhibited about 100%, 98%,</w:t>
      </w:r>
      <w:r w:rsidR="00F81221">
        <w:t xml:space="preserve"> and </w:t>
      </w:r>
      <w:r w:rsidRPr="00A428C3">
        <w:t>96% removal efficiency for Pb, Zn</w:t>
      </w:r>
      <w:r w:rsidRPr="00A428C3">
        <w:rPr>
          <w:vertAlign w:val="superscript"/>
        </w:rPr>
        <w:t>2+</w:t>
      </w:r>
      <w:r w:rsidRPr="00A428C3">
        <w:t>,</w:t>
      </w:r>
      <w:r w:rsidR="00F81221">
        <w:t xml:space="preserve"> and </w:t>
      </w:r>
      <w:r w:rsidRPr="00A428C3">
        <w:t>Cd</w:t>
      </w:r>
      <w:r w:rsidRPr="00A428C3">
        <w:rPr>
          <w:vertAlign w:val="superscript"/>
        </w:rPr>
        <w:t>2+</w:t>
      </w:r>
      <w:r w:rsidRPr="00A428C3">
        <w:t>, respectively. The overall adsorption capacity for Bigadic clinoptilolite was around 23 mg Pb</w:t>
      </w:r>
      <w:r w:rsidRPr="00A428C3">
        <w:rPr>
          <w:vertAlign w:val="superscript"/>
        </w:rPr>
        <w:t>2+</w:t>
      </w:r>
      <w:r w:rsidRPr="00A428C3">
        <w:t>/g, 24 mg Zn</w:t>
      </w:r>
      <w:r w:rsidRPr="00A428C3">
        <w:rPr>
          <w:vertAlign w:val="superscript"/>
        </w:rPr>
        <w:t>2+</w:t>
      </w:r>
      <w:r w:rsidRPr="00A428C3">
        <w:t>/g,</w:t>
      </w:r>
      <w:r w:rsidR="00F81221">
        <w:t xml:space="preserve"> and </w:t>
      </w:r>
      <w:r w:rsidRPr="00A428C3">
        <w:t>0.6 mg Cd</w:t>
      </w:r>
      <w:r w:rsidRPr="00A428C3">
        <w:rPr>
          <w:vertAlign w:val="superscript"/>
        </w:rPr>
        <w:t>2+</w:t>
      </w:r>
      <w:r w:rsidRPr="00A428C3">
        <w:t>/g.</w:t>
      </w:r>
    </w:p>
    <w:p w:rsidR="00B95188" w:rsidRPr="00A428C3" w:rsidRDefault="00B95188" w:rsidP="00B95188">
      <w:pPr>
        <w:pStyle w:val="a0"/>
      </w:pPr>
      <w:r w:rsidRPr="00A428C3">
        <w:t>Keywords: Clinoptilolite, Heavy Metals, Industrial Wastewater, Heavy-Metals, Aqueous-Solution, Waste-Water, Removal, Clinoptilolite, Exchangers, Ni</w:t>
      </w:r>
      <w:r w:rsidRPr="00A428C3">
        <w:rPr>
          <w:vertAlign w:val="superscript"/>
        </w:rPr>
        <w:t>2+</w:t>
      </w:r>
    </w:p>
    <w:p w:rsidR="00B95188" w:rsidRPr="00A428C3" w:rsidRDefault="00B95188" w:rsidP="00B95188">
      <w:pPr>
        <w:pStyle w:val="a0"/>
      </w:pPr>
      <w:r w:rsidRPr="00A428C3">
        <w:t>? Acemioglu, B.</w:t>
      </w:r>
      <w:r w:rsidR="00F81221">
        <w:t xml:space="preserve"> and </w:t>
      </w:r>
      <w:r w:rsidRPr="00A428C3">
        <w:t xml:space="preserve">Alma, M.H. (2004), Removal of Cu(II) from aqueous solutions by Calabrian pine bark wastes. </w:t>
      </w:r>
      <w:r w:rsidRPr="00A428C3">
        <w:rPr>
          <w:i/>
          <w:iCs/>
        </w:rPr>
        <w:t>Fresenius Environmental Bulletin</w:t>
      </w:r>
      <w:r w:rsidRPr="00A428C3">
        <w:t xml:space="preserve">, </w:t>
      </w:r>
      <w:r w:rsidRPr="00A428C3">
        <w:rPr>
          <w:b/>
        </w:rPr>
        <w:t>13</w:t>
      </w:r>
      <w:r w:rsidRPr="00A428C3">
        <w:t xml:space="preserve"> (7), 585-590.</w:t>
      </w:r>
    </w:p>
    <w:p w:rsidR="00B95188" w:rsidRPr="00A428C3" w:rsidRDefault="00B95188" w:rsidP="00B95188">
      <w:pPr>
        <w:pStyle w:val="a0"/>
      </w:pPr>
      <w:r w:rsidRPr="00A428C3">
        <w:t xml:space="preserve">Full Text: </w:t>
      </w:r>
      <w:hyperlink r:id="rId159" w:history="1">
        <w:r w:rsidRPr="00A428C3">
          <w:rPr>
            <w:rStyle w:val="a5"/>
          </w:rPr>
          <w:t>2004\Fre Env Bul13, 585.pdf</w:t>
        </w:r>
      </w:hyperlink>
    </w:p>
    <w:p w:rsidR="00B95188" w:rsidRPr="00A428C3" w:rsidRDefault="00B95188" w:rsidP="009B0C58">
      <w:pPr>
        <w:pStyle w:val="a0"/>
      </w:pPr>
      <w:r w:rsidRPr="00A428C3">
        <w:t>Abstract: In this study the sorption capacity of the Calabrian pine bark wastes (Pinus brutia Ten) to remove Cu(II) ions from aqueous solutions was tested as function of experimental parameters, such as contact time, initial solution concentration, solution pH</w:t>
      </w:r>
      <w:r w:rsidR="00F81221">
        <w:t xml:space="preserve"> and </w:t>
      </w:r>
      <w:r w:rsidRPr="00A428C3">
        <w:t>solution temperature. Adsorption of copper ions on the bark wastes was so brisk that within 10 min approximately 60- 71% of Cu(II) ions could be removed. The amount of Cu(II) adsorbed increased with increasing initial solution concentration</w:t>
      </w:r>
      <w:r w:rsidR="00F81221">
        <w:t xml:space="preserve"> and </w:t>
      </w:r>
      <w:r w:rsidRPr="00A428C3">
        <w:t>pH, however, it varied partially with temperature. Experimental data showed that adsorption isotherm followed the Freundlich model,</w:t>
      </w:r>
      <w:r w:rsidR="00F81221">
        <w:t xml:space="preserve"> and </w:t>
      </w:r>
      <w:r w:rsidRPr="00A428C3">
        <w:t>isotherm parameters were calculated at different temperatures. Kinetic studies revealed that adsorption process followed the intra-particle diffusion kinetic. From the rate constants of intra-particle diffusion kinetics at various temperatures, it could be deduced that boundary layer thickness decreased with increasing, temperature. The activation energy of adsorption was -10.43 k J mol</w:t>
      </w:r>
      <w:r w:rsidRPr="00A428C3">
        <w:rPr>
          <w:vertAlign w:val="superscript"/>
        </w:rPr>
        <w:t>-1</w:t>
      </w:r>
      <w:r w:rsidRPr="00A428C3">
        <w:t>. Moreover, the thermodynamic parameters, standard free energy (</w:t>
      </w:r>
      <w:r w:rsidR="009B0C58">
        <w:sym w:font="Symbol" w:char="F044"/>
      </w:r>
      <w:r w:rsidRPr="00A428C3">
        <w:t>G), standard enthalpy (</w:t>
      </w:r>
      <w:r w:rsidR="009B0C58">
        <w:sym w:font="Symbol" w:char="F044"/>
      </w:r>
      <w:r w:rsidRPr="00A428C3">
        <w:t>H)</w:t>
      </w:r>
      <w:r w:rsidR="00F81221">
        <w:t xml:space="preserve"> and </w:t>
      </w:r>
      <w:r w:rsidRPr="00A428C3">
        <w:t xml:space="preserve">standard entropy </w:t>
      </w:r>
      <w:r w:rsidR="009B0C58">
        <w:sym w:font="Symbol" w:char="F044"/>
      </w:r>
      <w:r w:rsidRPr="00A428C3">
        <w:t>S), of the adsorption process were calculated. The results from experimental data indicated that adsorption process was of exothermic nature.</w:t>
      </w:r>
    </w:p>
    <w:p w:rsidR="00B95188" w:rsidRPr="00A428C3" w:rsidRDefault="00B95188" w:rsidP="00B95188">
      <w:pPr>
        <w:pStyle w:val="a0"/>
      </w:pPr>
      <w:r w:rsidRPr="00A428C3">
        <w:t>Keywords: Adsorption, Adsorption Isotherm, Cadmium, Calabri</w:t>
      </w:r>
      <w:r>
        <w:t>an Pine Bark Wastes, Copper, Cu</w:t>
      </w:r>
      <w:r w:rsidRPr="00A428C3">
        <w:t>(II) Removal, Equilibrium, Intra-Particle Transport Rate Constant, Kinetics, Lead(II), Lignin, Phenolysis, Thermodynamic Parameters, Water, Wollastonite</w:t>
      </w:r>
    </w:p>
    <w:p w:rsidR="00B95188" w:rsidRPr="00A428C3" w:rsidRDefault="00B95188" w:rsidP="00B95188">
      <w:pPr>
        <w:pStyle w:val="a0"/>
      </w:pPr>
      <w:r w:rsidRPr="00A428C3">
        <w:t>? Alkan, M., Demirbaş, Ö.</w:t>
      </w:r>
      <w:r w:rsidR="00F81221">
        <w:t xml:space="preserve"> and </w:t>
      </w:r>
      <w:r w:rsidRPr="00A428C3">
        <w:t xml:space="preserve">Doğan, M. (2004), Removal of acid yellow 49 from </w:t>
      </w:r>
      <w:r w:rsidRPr="00A428C3">
        <w:lastRenderedPageBreak/>
        <w:t xml:space="preserve">aqueous solution by adsorption. </w:t>
      </w:r>
      <w:r w:rsidRPr="00A428C3">
        <w:rPr>
          <w:i/>
          <w:iCs/>
        </w:rPr>
        <w:t>Fresenius Environmental Bulletin</w:t>
      </w:r>
      <w:r w:rsidRPr="00A428C3">
        <w:t xml:space="preserve">, </w:t>
      </w:r>
      <w:r w:rsidRPr="00A428C3">
        <w:rPr>
          <w:b/>
        </w:rPr>
        <w:t>13</w:t>
      </w:r>
      <w:r w:rsidRPr="00A428C3">
        <w:t xml:space="preserve"> (</w:t>
      </w:r>
      <w:smartTag w:uri="urn:schemas-microsoft-com:office:smarttags" w:element="chmetcnv">
        <w:smartTagPr>
          <w:attr w:name="TCSC" w:val="0"/>
          <w:attr w:name="NumberType" w:val="1"/>
          <w:attr w:name="Negative" w:val="False"/>
          <w:attr w:name="HasSpace" w:val="False"/>
          <w:attr w:name="SourceValue" w:val="11"/>
          <w:attr w:name="UnitName" w:val="a"/>
        </w:smartTagPr>
        <w:r w:rsidRPr="00A428C3">
          <w:t>11A</w:t>
        </w:r>
      </w:smartTag>
      <w:r w:rsidRPr="00A428C3">
        <w:t>), 1112-1121.</w:t>
      </w:r>
    </w:p>
    <w:p w:rsidR="00B95188" w:rsidRPr="00A428C3" w:rsidRDefault="00B95188" w:rsidP="00B95188">
      <w:pPr>
        <w:pStyle w:val="a0"/>
      </w:pPr>
      <w:r w:rsidRPr="00A428C3">
        <w:t xml:space="preserve">Full Text: </w:t>
      </w:r>
      <w:hyperlink r:id="rId160" w:history="1">
        <w:r w:rsidRPr="00A428C3">
          <w:rPr>
            <w:rStyle w:val="a5"/>
          </w:rPr>
          <w:t>2004\Fre Env Bul13, 1112.pdf</w:t>
        </w:r>
      </w:hyperlink>
    </w:p>
    <w:p w:rsidR="00B95188" w:rsidRPr="00A428C3" w:rsidRDefault="00B95188" w:rsidP="00B95188">
      <w:pPr>
        <w:pStyle w:val="a0"/>
      </w:pPr>
      <w:r w:rsidRPr="00A428C3">
        <w:t>Abstract: In this study, the removal of an acid dye, acid yellow 49, used in the textile industry with sepiolite was investigated as a function of ionic strength, pH</w:t>
      </w:r>
      <w:r w:rsidR="00F81221">
        <w:t xml:space="preserve"> and </w:t>
      </w:r>
      <w:r w:rsidRPr="00A428C3">
        <w:t>temperature. Adsorption process was attained to the equilibrium within 1 h. The adsorbed amount of acid yellow 49 increased with increasing ionic strength</w:t>
      </w:r>
      <w:r w:rsidR="00F81221">
        <w:t xml:space="preserve"> and </w:t>
      </w:r>
      <w:r w:rsidRPr="00A428C3">
        <w:t>temperature, but decreased with increasing pH. The experimental data were analysed by Langmuir</w:t>
      </w:r>
      <w:r w:rsidR="00F81221">
        <w:t xml:space="preserve"> and </w:t>
      </w:r>
      <w:r w:rsidRPr="00A428C3">
        <w:t>Freundlich isotherms,</w:t>
      </w:r>
      <w:r w:rsidR="00F81221">
        <w:t xml:space="preserve"> and </w:t>
      </w:r>
      <w:r w:rsidRPr="00A428C3">
        <w:t>it was found that the isotherm data were reasonably correlated by Freundlich isotherm. Furthermore, for the removal of acid yellow 49, a batch reactor was designed. The results indicated that sepiolite could be employed as an alternative to commercial adsorbents in wastewater treatment for the removal of colour</w:t>
      </w:r>
      <w:r w:rsidR="00F81221">
        <w:t xml:space="preserve"> and </w:t>
      </w:r>
      <w:r w:rsidRPr="00A428C3">
        <w:t>dyes.</w:t>
      </w:r>
    </w:p>
    <w:p w:rsidR="00B95188" w:rsidRPr="00A428C3" w:rsidRDefault="00B95188" w:rsidP="00B95188">
      <w:pPr>
        <w:pStyle w:val="a0"/>
      </w:pPr>
      <w:r w:rsidRPr="00A428C3">
        <w:t>Keywords: Adsorption, Sepiolite, Adsorption Isotherm, Batch Design, Dye, Reactive Dyes, Methyl Violet, Basic-Dyes, Equilibrium, Sepiolite, Perlite, Surfactants, Adsorbents, Kinetics, Green</w:t>
      </w:r>
    </w:p>
    <w:p w:rsidR="00B95188" w:rsidRPr="00A428C3" w:rsidRDefault="00B95188" w:rsidP="00B95188">
      <w:pPr>
        <w:pStyle w:val="a0"/>
      </w:pPr>
      <w:r w:rsidRPr="00A428C3">
        <w:t>? Veli, S.</w:t>
      </w:r>
      <w:r w:rsidR="00F81221">
        <w:t xml:space="preserve"> and </w:t>
      </w:r>
      <w:r w:rsidRPr="00A428C3">
        <w:t>Öztürk, T. (2005), Kinetic modeling of adsorption of reactive azo dye on powdered activated carbon</w:t>
      </w:r>
      <w:r w:rsidR="00F81221">
        <w:t xml:space="preserve"> and </w:t>
      </w:r>
      <w:r w:rsidRPr="00A428C3">
        <w:t xml:space="preserve">pumice. </w:t>
      </w:r>
      <w:r w:rsidRPr="00A428C3">
        <w:rPr>
          <w:i/>
          <w:iCs/>
        </w:rPr>
        <w:t>Fresenius Environmental Bulletin</w:t>
      </w:r>
      <w:r w:rsidRPr="00A428C3">
        <w:t xml:space="preserve">, </w:t>
      </w:r>
      <w:r w:rsidRPr="00A428C3">
        <w:rPr>
          <w:b/>
        </w:rPr>
        <w:t>14</w:t>
      </w:r>
      <w:r w:rsidRPr="00A428C3">
        <w:t xml:space="preserve"> (3), 212-218.</w:t>
      </w:r>
    </w:p>
    <w:p w:rsidR="00B95188" w:rsidRPr="00A428C3" w:rsidRDefault="00B95188" w:rsidP="00B95188">
      <w:pPr>
        <w:pStyle w:val="a0"/>
      </w:pPr>
      <w:r w:rsidRPr="00A428C3">
        <w:t xml:space="preserve">Full Text: </w:t>
      </w:r>
      <w:hyperlink r:id="rId161" w:history="1">
        <w:r w:rsidRPr="00A428C3">
          <w:rPr>
            <w:rStyle w:val="a5"/>
          </w:rPr>
          <w:t>2005\Fre Env Bul14, 212.pdf</w:t>
        </w:r>
      </w:hyperlink>
    </w:p>
    <w:p w:rsidR="00B95188" w:rsidRPr="00A428C3" w:rsidRDefault="00B95188" w:rsidP="00B95188">
      <w:pPr>
        <w:pStyle w:val="a0"/>
      </w:pPr>
      <w:r w:rsidRPr="00A428C3">
        <w:t>Abstract: The reactive adsorption of azo dye from aqueous solutions by powdered activated carbon (PAC)</w:t>
      </w:r>
      <w:r w:rsidR="00F81221">
        <w:t xml:space="preserve"> and </w:t>
      </w:r>
      <w:r w:rsidRPr="00A428C3">
        <w:t>pumice was investigated. The impacts of several parameters, such as adsorbent quantity, pH, initial dye concentration,</w:t>
      </w:r>
      <w:r w:rsidR="00F81221">
        <w:t xml:space="preserve"> and </w:t>
      </w:r>
      <w:r w:rsidRPr="00A428C3">
        <w:t>stirring velocity on adsorption, were examined. The pseudo first-</w:t>
      </w:r>
      <w:r w:rsidR="00F81221">
        <w:t xml:space="preserve"> and </w:t>
      </w:r>
      <w:r w:rsidRPr="00A428C3">
        <w:t>second-order kinetic models were applied to describe the kinetic data,</w:t>
      </w:r>
      <w:r w:rsidR="00F81221">
        <w:t xml:space="preserve"> and </w:t>
      </w:r>
      <w:r w:rsidRPr="00A428C3">
        <w:t>to evaluate the rate constants. For both adsorbents, i.e. PAC</w:t>
      </w:r>
      <w:r w:rsidR="00F81221">
        <w:t xml:space="preserve"> and </w:t>
      </w:r>
      <w:r w:rsidRPr="00A428C3">
        <w:t>pumice, the experimental data fitted well with the second-order kinetic model, indicating that chemical sorption was the rate-limiting step of mass transfer.</w:t>
      </w:r>
    </w:p>
    <w:p w:rsidR="00B95188" w:rsidRPr="00A428C3" w:rsidRDefault="00B95188" w:rsidP="00B95188">
      <w:pPr>
        <w:pStyle w:val="a0"/>
      </w:pPr>
      <w:r w:rsidRPr="00A428C3">
        <w:t>Keywords: Reactive Azo Dye, Powdered Activated Carbon, Pumice, Kinetic Models, Aqueous-Solutions, Fly-Ash, Removal, Adsorbents, Dyestuffs, Sorption</w:t>
      </w:r>
    </w:p>
    <w:p w:rsidR="00B95188" w:rsidRPr="00A428C3" w:rsidRDefault="00B95188" w:rsidP="00B95188">
      <w:pPr>
        <w:pStyle w:val="a0"/>
      </w:pPr>
      <w:r w:rsidRPr="00A428C3">
        <w:t>? Kannan, N.</w:t>
      </w:r>
      <w:r w:rsidR="00F81221">
        <w:t xml:space="preserve"> and </w:t>
      </w:r>
      <w:r w:rsidRPr="00A428C3">
        <w:t xml:space="preserve">Rengasamy, G. (2005), Studies on the removal of nickel(II) ions by adsorption using various carbons: A comparative study. </w:t>
      </w:r>
      <w:r w:rsidRPr="00A428C3">
        <w:rPr>
          <w:i/>
          <w:iCs/>
        </w:rPr>
        <w:t>Fresenius Environmental Bulletin</w:t>
      </w:r>
      <w:r w:rsidRPr="00A428C3">
        <w:t xml:space="preserve">, </w:t>
      </w:r>
      <w:r w:rsidRPr="00A428C3">
        <w:rPr>
          <w:b/>
        </w:rPr>
        <w:t>14</w:t>
      </w:r>
      <w:r w:rsidRPr="00A428C3">
        <w:t xml:space="preserve"> (6), 435-443.</w:t>
      </w:r>
    </w:p>
    <w:p w:rsidR="00B95188" w:rsidRPr="00A428C3" w:rsidRDefault="00B95188" w:rsidP="00B95188">
      <w:pPr>
        <w:pStyle w:val="a0"/>
      </w:pPr>
      <w:r w:rsidRPr="00A428C3">
        <w:t xml:space="preserve">Full Text: </w:t>
      </w:r>
      <w:hyperlink r:id="rId162" w:history="1">
        <w:r w:rsidRPr="00A428C3">
          <w:rPr>
            <w:rStyle w:val="a5"/>
          </w:rPr>
          <w:t>2005\Fre Env Bul14, 435.pdf</w:t>
        </w:r>
      </w:hyperlink>
    </w:p>
    <w:p w:rsidR="00B95188" w:rsidRPr="00A428C3" w:rsidRDefault="00B95188" w:rsidP="00B95188">
      <w:pPr>
        <w:pStyle w:val="a0"/>
      </w:pPr>
      <w:r w:rsidRPr="00A428C3">
        <w:t>Abstract: Studies on the removal of nickel(II) ions by adsorption on various carbons (commercial activated carbon (CAC)</w:t>
      </w:r>
      <w:r w:rsidR="00F81221">
        <w:t xml:space="preserve"> and </w:t>
      </w:r>
      <w:r w:rsidRPr="00A428C3">
        <w:t>chemically prepared ACs (CPACs) from raw materials like straw, saw dust</w:t>
      </w:r>
      <w:r w:rsidR="00F81221">
        <w:t xml:space="preserve"> and </w:t>
      </w:r>
      <w:r w:rsidRPr="00A428C3">
        <w:t>dates nut) have been carried out under batch mode of adsorption at 30</w:t>
      </w:r>
      <w:r w:rsidR="008A7E71">
        <w:t>°</w:t>
      </w:r>
      <w:r w:rsidRPr="00A428C3">
        <w:t xml:space="preserve">C with an aim to obtain information on treating effluents containing Ni(II) ions. The effect of various experimental parameters such as (i) </w:t>
      </w:r>
      <w:r w:rsidRPr="00A428C3">
        <w:lastRenderedPageBreak/>
        <w:t>initial concentration (ii) contact time, (iii) dose of adsorbent, (iv) initial pH of the solution, with CAC</w:t>
      </w:r>
      <w:r w:rsidR="00F81221">
        <w:t xml:space="preserve"> and </w:t>
      </w:r>
      <w:r w:rsidRPr="00A428C3">
        <w:t>CPACs, (v) particle size of CPACs (except CAC)</w:t>
      </w:r>
      <w:r w:rsidR="00F81221">
        <w:t xml:space="preserve"> and </w:t>
      </w:r>
      <w:r w:rsidRPr="00A428C3">
        <w:t>(vi) ionic strength (with CAC</w:t>
      </w:r>
      <w:r w:rsidR="00F81221">
        <w:t xml:space="preserve"> and </w:t>
      </w:r>
      <w:r w:rsidRPr="00A428C3">
        <w:t>CPACs) at 200 rpm speed of agitation has been investigated. The percentage removal of Ni</w:t>
      </w:r>
      <w:r w:rsidRPr="00A428C3">
        <w:rPr>
          <w:vertAlign w:val="superscript"/>
        </w:rPr>
        <w:t>2+</w:t>
      </w:r>
      <w:r w:rsidRPr="00A428C3">
        <w:t xml:space="preserve"> ions increased with the decrease in initial concentration</w:t>
      </w:r>
      <w:r w:rsidR="00F81221">
        <w:t xml:space="preserve"> and </w:t>
      </w:r>
      <w:r w:rsidRPr="00A428C3">
        <w:t>particle size of the adsorbent</w:t>
      </w:r>
      <w:r w:rsidR="00F81221">
        <w:t xml:space="preserve"> and </w:t>
      </w:r>
      <w:r w:rsidRPr="00A428C3">
        <w:t>increased with the increase in contact time, dose of adsorbent</w:t>
      </w:r>
      <w:r w:rsidR="00F81221">
        <w:t xml:space="preserve"> and </w:t>
      </w:r>
      <w:r w:rsidRPr="00A428C3">
        <w:t>initial pH (6) of the slurry. Ionic strength decreased the extent of adsorption. The adsorption data were modelled with the Freundlich, Langmuir, Dubinin-Radushkevich</w:t>
      </w:r>
      <w:r w:rsidR="00F81221">
        <w:t xml:space="preserve"> and </w:t>
      </w:r>
      <w:r w:rsidRPr="00A428C3">
        <w:t>Redlich</w:t>
      </w:r>
      <w:r w:rsidR="00F81221">
        <w:t xml:space="preserve"> and </w:t>
      </w:r>
      <w:r w:rsidRPr="00A428C3">
        <w:t>Paterson adsorption isotherms</w:t>
      </w:r>
      <w:r w:rsidR="00F81221">
        <w:t xml:space="preserve"> and </w:t>
      </w:r>
      <w:r w:rsidRPr="00A428C3">
        <w:t>first-order kinetic equations such as of Natarajan</w:t>
      </w:r>
      <w:r w:rsidR="00F81221">
        <w:t xml:space="preserve"> and </w:t>
      </w:r>
      <w:r w:rsidRPr="00A428C3">
        <w:t>Khalaf, Lagergren, Bhattacharya</w:t>
      </w:r>
      <w:r w:rsidR="00F81221">
        <w:t xml:space="preserve"> and </w:t>
      </w:r>
      <w:r w:rsidRPr="00A428C3">
        <w:t>Venkobachar</w:t>
      </w:r>
      <w:r w:rsidR="00F81221">
        <w:t xml:space="preserve"> and </w:t>
      </w:r>
      <w:r w:rsidRPr="00A428C3">
        <w:t>modified Elovich equations</w:t>
      </w:r>
      <w:r w:rsidR="00F81221">
        <w:t xml:space="preserve"> and </w:t>
      </w:r>
      <w:r w:rsidRPr="00A428C3">
        <w:t>intraparticle diffusion model. The kinetics of adsorption is found to be of first order with intra-particle diffusion as one of the rate determining steps. Thermodynamic parameters were evaluated from the equilibrium studies carried out at 30</w:t>
      </w:r>
      <w:r w:rsidR="008A7E71">
        <w:t>°</w:t>
      </w:r>
      <w:r w:rsidRPr="00A428C3">
        <w:t>, 35</w:t>
      </w:r>
      <w:r w:rsidR="008A7E71">
        <w:t>°</w:t>
      </w:r>
      <w:r w:rsidR="00F81221">
        <w:t xml:space="preserve"> and </w:t>
      </w:r>
      <w:r w:rsidRPr="00A428C3">
        <w:t>40</w:t>
      </w:r>
      <w:r w:rsidR="008A7E71">
        <w:t>°</w:t>
      </w:r>
      <w:r w:rsidRPr="00A428C3">
        <w:t>C. Investigations on the desorption of Ni(II) ions from metal loaded ACs with various eluents</w:t>
      </w:r>
      <w:r w:rsidR="00F81221">
        <w:t xml:space="preserve"> and </w:t>
      </w:r>
      <w:r w:rsidRPr="00A428C3">
        <w:t>the possibility of reuse of regenerated ACs have also been carried out at 30 degrees C. The results on the removal of Ni(H) ions by CPACs are compared with CAC</w:t>
      </w:r>
      <w:r w:rsidR="00F81221">
        <w:t xml:space="preserve"> and </w:t>
      </w:r>
      <w:r w:rsidRPr="00A428C3">
        <w:t>cationic resin, Tulsion CXO-9(H). The results conclude that these carbons could be employed as low-cost alternative adsorbents to CAC in wastewater treatment for the removal of metal ions, in general,</w:t>
      </w:r>
      <w:r w:rsidR="00F81221">
        <w:t xml:space="preserve"> and </w:t>
      </w:r>
      <w:r w:rsidRPr="00A428C3">
        <w:t>nickel(R) ions, in particular.</w:t>
      </w:r>
    </w:p>
    <w:p w:rsidR="00B95188" w:rsidRPr="00A428C3" w:rsidRDefault="00B95188" w:rsidP="00B95188">
      <w:pPr>
        <w:pStyle w:val="a0"/>
      </w:pPr>
      <w:r w:rsidRPr="00A428C3">
        <w:t>Keywords: Adsorption, Removal of Nickel(II) Ions, Various Carbons, Adsorption Isotherms, Kinetics of Adsorption, Intra-Particle Diffusion, Adsorption Capacity, Comparison, Thermodynamic Parameters, Desorption, Reuse, Water</w:t>
      </w:r>
      <w:r w:rsidR="00F81221">
        <w:t xml:space="preserve"> and </w:t>
      </w:r>
      <w:r w:rsidRPr="00A428C3">
        <w:t>Wastewater Treatment, Low-Cost Adsorbents, Aqueous-Solutions, Metal-Ions, Isotherm</w:t>
      </w:r>
    </w:p>
    <w:p w:rsidR="00B95188" w:rsidRPr="00A428C3" w:rsidRDefault="00B95188" w:rsidP="00B95188">
      <w:pPr>
        <w:pStyle w:val="a0"/>
      </w:pPr>
      <w:r w:rsidRPr="00A428C3">
        <w:t>? Malkoc, E.</w:t>
      </w:r>
      <w:r w:rsidR="00F81221">
        <w:t xml:space="preserve"> and </w:t>
      </w:r>
      <w:r w:rsidRPr="00A428C3">
        <w:t xml:space="preserve">Acar, F.N. (2005), A comparision of adsorption kinetics: Cr(VI) removal from aqueous solutions. </w:t>
      </w:r>
      <w:r w:rsidRPr="00A428C3">
        <w:rPr>
          <w:i/>
          <w:iCs/>
        </w:rPr>
        <w:t>Fresenius Environmental Bulletin</w:t>
      </w:r>
      <w:r w:rsidRPr="00A428C3">
        <w:t xml:space="preserve">, </w:t>
      </w:r>
      <w:r w:rsidRPr="00A428C3">
        <w:rPr>
          <w:b/>
        </w:rPr>
        <w:t>14</w:t>
      </w:r>
      <w:r w:rsidRPr="00A428C3">
        <w:t xml:space="preserve"> (6), 509-513.</w:t>
      </w:r>
    </w:p>
    <w:p w:rsidR="00B95188" w:rsidRPr="00A428C3" w:rsidRDefault="00B95188" w:rsidP="00B95188">
      <w:pPr>
        <w:pStyle w:val="a0"/>
      </w:pPr>
      <w:r w:rsidRPr="00A428C3">
        <w:t xml:space="preserve">Full Text: </w:t>
      </w:r>
      <w:hyperlink r:id="rId163" w:history="1">
        <w:r w:rsidRPr="00A428C3">
          <w:rPr>
            <w:rStyle w:val="a5"/>
          </w:rPr>
          <w:t>2005\Fre Env Bul14, 509.pdf</w:t>
        </w:r>
      </w:hyperlink>
    </w:p>
    <w:p w:rsidR="00B95188" w:rsidRPr="00A428C3" w:rsidRDefault="00B95188" w:rsidP="00B95188">
      <w:pPr>
        <w:pStyle w:val="a0"/>
      </w:pPr>
      <w:r w:rsidRPr="00A428C3">
        <w:t>Abstract: Batch sorption studies have been carried out to determine the effects of initial pH</w:t>
      </w:r>
      <w:r w:rsidR="00F81221">
        <w:t xml:space="preserve"> and </w:t>
      </w:r>
      <w:r w:rsidRPr="00A428C3">
        <w:t>metal concentration on the adsorption of Cr(VI) on Fagus orientalis L. The process was found to be dependent of pH</w:t>
      </w:r>
      <w:r w:rsidR="00F81221">
        <w:t xml:space="preserve"> and </w:t>
      </w:r>
      <w:r w:rsidRPr="00A428C3">
        <w:t>initial metal concentration. The most effective initial pH was determined to be 1.0 for Cr(VI) ions. The experimental data were analysed using the pseudo-first</w:t>
      </w:r>
      <w:r w:rsidR="00F81221">
        <w:t xml:space="preserve"> and </w:t>
      </w:r>
      <w:r w:rsidRPr="00A428C3">
        <w:t>pseudo-second order adsorption kinetic models,</w:t>
      </w:r>
      <w:r w:rsidR="00F81221">
        <w:t xml:space="preserve"> and </w:t>
      </w:r>
      <w:r w:rsidRPr="00A428C3">
        <w:t>kinetic constants were calculated depending on initial pH</w:t>
      </w:r>
      <w:r w:rsidR="00F81221">
        <w:t xml:space="preserve"> and </w:t>
      </w:r>
      <w:r w:rsidRPr="00A428C3">
        <w:t>Cr(VI) concentration values. The experimental data were fitted by the second order kinetic model, which indicates that chemical adsorption is the rate-limiting step, both for initial pH</w:t>
      </w:r>
      <w:r w:rsidR="00F81221">
        <w:t xml:space="preserve"> and </w:t>
      </w:r>
      <w:r w:rsidRPr="00A428C3">
        <w:t>initial Cr(VI) level.</w:t>
      </w:r>
    </w:p>
    <w:p w:rsidR="00B95188" w:rsidRPr="00A428C3" w:rsidRDefault="00B95188" w:rsidP="00B95188">
      <w:pPr>
        <w:pStyle w:val="a0"/>
      </w:pPr>
      <w:r w:rsidRPr="00A428C3">
        <w:t>Keywords: Chromium Removal, Adsorption, Adsorption Kinetics, Sphagnum Moss Peat, Waste-Water, Chromium, Biosorption, Adsorbents, Carbons, Sludge</w:t>
      </w:r>
    </w:p>
    <w:p w:rsidR="00B95188" w:rsidRPr="00A428C3" w:rsidRDefault="00B95188" w:rsidP="00B95188">
      <w:pPr>
        <w:pStyle w:val="a0"/>
      </w:pPr>
      <w:r w:rsidRPr="00A428C3">
        <w:t>? El-Sharouny, E.E.</w:t>
      </w:r>
      <w:r w:rsidR="00F81221">
        <w:t xml:space="preserve"> and </w:t>
      </w:r>
      <w:r w:rsidRPr="00A428C3">
        <w:t>El-Sersy, N.A. (2005), Biosorption of textile dyes by brewer</w:t>
      </w:r>
      <w:r w:rsidR="000352E7">
        <w:t>’</w:t>
      </w:r>
      <w:r w:rsidRPr="00A428C3">
        <w:t xml:space="preserve">s </w:t>
      </w:r>
      <w:r w:rsidRPr="00A428C3">
        <w:lastRenderedPageBreak/>
        <w:t xml:space="preserve">yeast biomass. </w:t>
      </w:r>
      <w:r w:rsidRPr="00A428C3">
        <w:rPr>
          <w:i/>
          <w:iCs/>
        </w:rPr>
        <w:t>Fresenius Environmental Bulletin</w:t>
      </w:r>
      <w:r w:rsidRPr="00A428C3">
        <w:t xml:space="preserve">, </w:t>
      </w:r>
      <w:r w:rsidRPr="00A428C3">
        <w:rPr>
          <w:b/>
        </w:rPr>
        <w:t>14</w:t>
      </w:r>
      <w:r w:rsidRPr="00A428C3">
        <w:t xml:space="preserve"> (10), 928-933.</w:t>
      </w:r>
    </w:p>
    <w:p w:rsidR="00B95188" w:rsidRPr="00A428C3" w:rsidRDefault="00B95188" w:rsidP="00B95188">
      <w:pPr>
        <w:pStyle w:val="a0"/>
      </w:pPr>
      <w:r w:rsidRPr="00A428C3">
        <w:t xml:space="preserve">Full Text: </w:t>
      </w:r>
      <w:hyperlink r:id="rId164" w:history="1">
        <w:r w:rsidRPr="00A428C3">
          <w:rPr>
            <w:rStyle w:val="a5"/>
          </w:rPr>
          <w:t>2005\Fre Env Bul14, 928.pdf</w:t>
        </w:r>
      </w:hyperlink>
    </w:p>
    <w:p w:rsidR="00B95188" w:rsidRPr="00A428C3" w:rsidRDefault="00B95188" w:rsidP="00B95188">
      <w:pPr>
        <w:pStyle w:val="a0"/>
      </w:pPr>
      <w:r w:rsidRPr="00A428C3">
        <w:t>Abstract: Biosorption is becoming a promising alternative to replace or supplement the present dye removal processes from dye wastewaters. Based on the successful results of metal biosorption by brewer</w:t>
      </w:r>
      <w:r w:rsidR="000352E7">
        <w:t>’</w:t>
      </w:r>
      <w:r w:rsidRPr="00A428C3">
        <w:t>s yeast, the same dried biomass was used in batch studies for textile dyes biosorption. Out of ten tested azo dyes, Fast Blue (FB)</w:t>
      </w:r>
      <w:r w:rsidR="00F81221">
        <w:t xml:space="preserve"> and </w:t>
      </w:r>
      <w:r w:rsidRPr="00A428C3">
        <w:t>Direct Pink (DP) were shown to be highly sequestered by the non-living yeast biomass where uptake values of about 3400mg/gdwt</w:t>
      </w:r>
      <w:r w:rsidR="00F81221">
        <w:t xml:space="preserve"> and </w:t>
      </w:r>
      <w:r w:rsidRPr="00A428C3">
        <w:t>6400mg/gdwt were achieved at initial dye concentrations of 300</w:t>
      </w:r>
      <w:r w:rsidR="00F81221">
        <w:t xml:space="preserve"> and </w:t>
      </w:r>
      <w:r w:rsidRPr="00A428C3">
        <w:t>400 mg/l, respectively. These results were confirmed by the Freundlich isotherm. Aiming to reach a maximal dye biosorption, an optimization of the reaction conditions was applied by using the steepest ascent experimental design, in which two factors were changed; dye concentration</w:t>
      </w:r>
      <w:r w:rsidR="00F81221">
        <w:t xml:space="preserve"> and </w:t>
      </w:r>
      <w:r w:rsidRPr="00A428C3">
        <w:t>cell mass. A maximum dye removal of approximately 450</w:t>
      </w:r>
      <w:r w:rsidR="00F81221">
        <w:t xml:space="preserve"> and </w:t>
      </w:r>
      <w:r w:rsidRPr="00A428C3">
        <w:t>850 mg/g for FB</w:t>
      </w:r>
      <w:r w:rsidR="00F81221">
        <w:t xml:space="preserve"> and </w:t>
      </w:r>
      <w:r w:rsidRPr="00A428C3">
        <w:t>DP, respectively, was achieved in the solution of the trial number 12, which had an initial dye concentration of 1000 mg/l</w:t>
      </w:r>
      <w:r w:rsidR="00F81221">
        <w:t xml:space="preserve"> and </w:t>
      </w:r>
      <w:r w:rsidRPr="00A428C3">
        <w:t xml:space="preserve">a mass concentration of </w:t>
      </w:r>
      <w:smartTag w:uri="urn:schemas-microsoft-com:office:smarttags" w:element="chmetcnv">
        <w:smartTagPr>
          <w:attr w:name="TCSC" w:val="0"/>
          <w:attr w:name="NumberType" w:val="1"/>
          <w:attr w:name="Negative" w:val="False"/>
          <w:attr w:name="HasSpace" w:val="True"/>
          <w:attr w:name="SourceValue" w:val="7"/>
          <w:attr w:name="UnitName" w:val="g"/>
        </w:smartTagPr>
        <w:r w:rsidRPr="00A428C3">
          <w:t>7 g</w:t>
        </w:r>
      </w:smartTag>
      <w:r w:rsidRPr="00A428C3">
        <w:t>/l. The localization of the dyes in the yeast cells was detected using Transmission Electron Microscope (TEM). Dyes were found to be mainly adhered to the cell wall,</w:t>
      </w:r>
      <w:r w:rsidR="00F81221">
        <w:t xml:space="preserve"> and </w:t>
      </w:r>
      <w:r w:rsidRPr="00A428C3">
        <w:t>some was found in the shrunken cytoplasm in case of Fast Blue.</w:t>
      </w:r>
    </w:p>
    <w:p w:rsidR="00B95188" w:rsidRPr="00A428C3" w:rsidRDefault="00B95188" w:rsidP="00B95188">
      <w:pPr>
        <w:pStyle w:val="a0"/>
      </w:pPr>
      <w:r w:rsidRPr="00A428C3">
        <w:t>Keywords: Azo, Azo Dyes, Biosorption, Effluents, Freundlich Isotherm, Fungal Biomass, Microbial Decolorization, Pb</w:t>
      </w:r>
      <w:r w:rsidRPr="00A428C3">
        <w:rPr>
          <w:vertAlign w:val="superscript"/>
        </w:rPr>
        <w:t>2+</w:t>
      </w:r>
      <w:r w:rsidRPr="00A428C3">
        <w:t xml:space="preserve"> Accumulation, Saccharomyces-Cerevisiae, Steepest Ascent Design, Yeast</w:t>
      </w:r>
    </w:p>
    <w:p w:rsidR="00B95188" w:rsidRPr="00A428C3" w:rsidRDefault="00B95188" w:rsidP="00B95188">
      <w:pPr>
        <w:pStyle w:val="a0"/>
      </w:pPr>
      <w:r w:rsidRPr="00A428C3">
        <w:t>? Du, D.Y., Yu, Z.S., Liu, J.Z.</w:t>
      </w:r>
      <w:r w:rsidR="00F81221">
        <w:t xml:space="preserve"> and </w:t>
      </w:r>
      <w:r w:rsidRPr="00A428C3">
        <w:t xml:space="preserve">Lu, X.H. (2005), Adsorption of fluoride from aqueous solution by aluminum pillared rectorite. </w:t>
      </w:r>
      <w:r w:rsidRPr="00A428C3">
        <w:rPr>
          <w:i/>
          <w:iCs/>
        </w:rPr>
        <w:t>Fresenius Environmental Bulletin</w:t>
      </w:r>
      <w:r w:rsidRPr="00A428C3">
        <w:t xml:space="preserve">, </w:t>
      </w:r>
      <w:r w:rsidRPr="00A428C3">
        <w:rPr>
          <w:b/>
        </w:rPr>
        <w:t>14</w:t>
      </w:r>
      <w:r w:rsidRPr="00A428C3">
        <w:t xml:space="preserve"> (11), 972-975.</w:t>
      </w:r>
    </w:p>
    <w:p w:rsidR="00B95188" w:rsidRPr="00A428C3" w:rsidRDefault="00B95188" w:rsidP="00B95188">
      <w:pPr>
        <w:pStyle w:val="a0"/>
      </w:pPr>
      <w:r w:rsidRPr="00A428C3">
        <w:t xml:space="preserve">Full Text: </w:t>
      </w:r>
      <w:hyperlink r:id="rId165" w:history="1">
        <w:r w:rsidRPr="00A428C3">
          <w:rPr>
            <w:rStyle w:val="a5"/>
          </w:rPr>
          <w:t>2005\Fre Env Bul14, 972.pdf</w:t>
        </w:r>
      </w:hyperlink>
    </w:p>
    <w:p w:rsidR="00B95188" w:rsidRPr="00A428C3" w:rsidRDefault="00B95188" w:rsidP="00B95188">
      <w:pPr>
        <w:pStyle w:val="a0"/>
      </w:pPr>
      <w:r w:rsidRPr="00A428C3">
        <w:t>Abstract: In this paper, aluminum-pillared rectorite as a new fluo-ride remover is examined. Its preparation method</w:t>
      </w:r>
      <w:r w:rsidR="00F81221">
        <w:t xml:space="preserve"> and </w:t>
      </w:r>
      <w:r w:rsidRPr="00A428C3">
        <w:t>ad-sorbability for fluorine are reported. This adsorbent has ad-vantageous characteristics, such as easy preparation, strong adsorptive capacity, no disintegration in water,</w:t>
      </w:r>
      <w:r w:rsidR="00F81221">
        <w:t xml:space="preserve"> and </w:t>
      </w:r>
      <w:r w:rsidRPr="00A428C3">
        <w:t>easy regeneration. When the concentration of fluorine is 30 mg/ L, the adsorptive capacity for fluorine reaches 0.85 mg/g. Its adsorbability is stronger than that of the commonly used active alumina under the same conditions.</w:t>
      </w:r>
    </w:p>
    <w:p w:rsidR="00B95188" w:rsidRPr="00A428C3" w:rsidRDefault="00B95188" w:rsidP="00B95188">
      <w:pPr>
        <w:pStyle w:val="a0"/>
      </w:pPr>
      <w:r w:rsidRPr="00A428C3">
        <w:t>? Çiçek, H.</w:t>
      </w:r>
      <w:r w:rsidR="00F81221">
        <w:t xml:space="preserve"> and </w:t>
      </w:r>
      <w:r w:rsidRPr="00A428C3">
        <w:t xml:space="preserve">Dursun, G. (2005), The removal of phenol from aqueous solutions by dehydrated beet pulp carbon. </w:t>
      </w:r>
      <w:r w:rsidRPr="00A428C3">
        <w:rPr>
          <w:i/>
          <w:iCs/>
        </w:rPr>
        <w:t>Fresenius Environmental Bulletin</w:t>
      </w:r>
      <w:r w:rsidRPr="00A428C3">
        <w:t xml:space="preserve">, </w:t>
      </w:r>
      <w:r w:rsidRPr="00A428C3">
        <w:rPr>
          <w:b/>
        </w:rPr>
        <w:t>14</w:t>
      </w:r>
      <w:r w:rsidRPr="00A428C3">
        <w:t xml:space="preserve"> (11), 976-982.</w:t>
      </w:r>
    </w:p>
    <w:p w:rsidR="00B95188" w:rsidRPr="00A428C3" w:rsidRDefault="00B95188" w:rsidP="00B95188">
      <w:pPr>
        <w:pStyle w:val="a0"/>
      </w:pPr>
      <w:r w:rsidRPr="00A428C3">
        <w:t xml:space="preserve">Full Text: </w:t>
      </w:r>
      <w:hyperlink r:id="rId166" w:history="1">
        <w:r w:rsidRPr="00A428C3">
          <w:rPr>
            <w:rStyle w:val="a5"/>
          </w:rPr>
          <w:t>2005\Fre Env Bul14, 976.pdf</w:t>
        </w:r>
      </w:hyperlink>
    </w:p>
    <w:p w:rsidR="00B95188" w:rsidRPr="00A428C3" w:rsidRDefault="00B95188" w:rsidP="00B95188">
      <w:pPr>
        <w:pStyle w:val="a0"/>
      </w:pPr>
      <w:r w:rsidRPr="00A428C3">
        <w:t>Abstract: The adsorption of phenol onto dehydrated beet pulp (DBP) was investigated at different initial pHs (1-12), temperatures (25-60 degrees C),</w:t>
      </w:r>
      <w:r w:rsidR="00F81221">
        <w:t xml:space="preserve"> and </w:t>
      </w:r>
      <w:r w:rsidRPr="00A428C3">
        <w:t>phenol concentrations (25500 mg L</w:t>
      </w:r>
      <w:r w:rsidRPr="00A428C3">
        <w:rPr>
          <w:vertAlign w:val="superscript"/>
        </w:rPr>
        <w:t>-1</w:t>
      </w:r>
      <w:r w:rsidRPr="00A428C3">
        <w:t>). The optimum adsorption conditions were found to be 8.0 for initial pH, 100 mg L</w:t>
      </w:r>
      <w:r w:rsidRPr="00A428C3">
        <w:rPr>
          <w:vertAlign w:val="superscript"/>
        </w:rPr>
        <w:t>-1</w:t>
      </w:r>
      <w:r w:rsidRPr="00A428C3">
        <w:t xml:space="preserve"> for initial phenol concentration, 60 degrees C for </w:t>
      </w:r>
      <w:r w:rsidRPr="00A428C3">
        <w:lastRenderedPageBreak/>
        <w:t>temperature</w:t>
      </w:r>
      <w:r w:rsidR="00F81221">
        <w:t xml:space="preserve"> and </w:t>
      </w:r>
      <w:smartTag w:uri="urn:schemas-microsoft-com:office:smarttags" w:element="chmetcnv">
        <w:smartTagPr>
          <w:attr w:name="TCSC" w:val="0"/>
          <w:attr w:name="NumberType" w:val="1"/>
          <w:attr w:name="Negative" w:val="False"/>
          <w:attr w:name="HasSpace" w:val="True"/>
          <w:attr w:name="SourceValue" w:val="0.5"/>
          <w:attr w:name="UnitName" w:val="g"/>
        </w:smartTagPr>
        <w:r w:rsidRPr="00A428C3">
          <w:t>0.5 g</w:t>
        </w:r>
      </w:smartTag>
      <w:r w:rsidRPr="00A428C3">
        <w:t xml:space="preserve"> L</w:t>
      </w:r>
      <w:r w:rsidRPr="00A428C3">
        <w:rPr>
          <w:vertAlign w:val="superscript"/>
        </w:rPr>
        <w:t>-1</w:t>
      </w:r>
      <w:r w:rsidRPr="00A428C3">
        <w:t xml:space="preserve"> for adsorbent dosage. Adsorption data were well-described by the Freundlich model, although they could also be modelled by Langmuir. The pseudo-first order</w:t>
      </w:r>
      <w:r w:rsidR="00F81221">
        <w:t xml:space="preserve"> and </w:t>
      </w:r>
      <w:r w:rsidRPr="00A428C3">
        <w:t>pseudo-second order kinetic models were applied to test the experimental data. It was concluded that the pseudo-second order kinetic model provided better correlation of the experimental data rather than the pseudo-first order model. The thermodynamic constants of the adsorption process were also evaluated by using the thermodynamic equilibrium coefficients obtained at different temperatures.</w:t>
      </w:r>
    </w:p>
    <w:p w:rsidR="00B95188" w:rsidRPr="00A428C3" w:rsidRDefault="00B95188" w:rsidP="00B95188">
      <w:pPr>
        <w:pStyle w:val="a0"/>
      </w:pPr>
      <w:r w:rsidRPr="00A428C3">
        <w:t>Keywords: Phenol, Adsorption, Dehydrated Beet Pulp (DBP), Equilibrium; Kinetic, Thermodynamic Parameters, Activated Carbon, Waste-Water, Adsorption, Equilibrium, Sorption</w:t>
      </w:r>
    </w:p>
    <w:p w:rsidR="00B95188" w:rsidRPr="00A428C3" w:rsidRDefault="00B95188" w:rsidP="00B95188">
      <w:pPr>
        <w:pStyle w:val="a0"/>
      </w:pPr>
      <w:r w:rsidRPr="00A428C3">
        <w:t>?</w:t>
      </w:r>
      <w:r w:rsidRPr="00A428C3">
        <w:rPr>
          <w:rStyle w:val="a4"/>
        </w:rPr>
        <w:t xml:space="preserve"> </w:t>
      </w:r>
      <w:r w:rsidRPr="00A428C3">
        <w:t>Aktaş, Y.K.</w:t>
      </w:r>
      <w:r w:rsidR="00F81221">
        <w:t xml:space="preserve"> and </w:t>
      </w:r>
      <w:r w:rsidRPr="00A428C3">
        <w:t>İbar, H. (2005), Sorption</w:t>
      </w:r>
      <w:r w:rsidR="00F81221">
        <w:t xml:space="preserve"> and </w:t>
      </w:r>
      <w:r w:rsidRPr="00A428C3">
        <w:t>preconcentration of cadmium, iron</w:t>
      </w:r>
      <w:r w:rsidR="00F81221">
        <w:t xml:space="preserve"> and </w:t>
      </w:r>
      <w:r w:rsidRPr="00A428C3">
        <w:t xml:space="preserve">antimony on bentonite modified with trioctylamine. </w:t>
      </w:r>
      <w:r w:rsidRPr="00A428C3">
        <w:rPr>
          <w:i/>
          <w:iCs/>
        </w:rPr>
        <w:t>Fresenius Environmental Bulletin</w:t>
      </w:r>
      <w:r w:rsidRPr="00A428C3">
        <w:t xml:space="preserve">, </w:t>
      </w:r>
      <w:r w:rsidRPr="00A428C3">
        <w:rPr>
          <w:b/>
        </w:rPr>
        <w:t>14</w:t>
      </w:r>
      <w:r w:rsidRPr="00A428C3">
        <w:t xml:space="preserve"> (11), 983-985.</w:t>
      </w:r>
    </w:p>
    <w:p w:rsidR="00B95188" w:rsidRPr="00A428C3" w:rsidRDefault="00B95188" w:rsidP="00B95188">
      <w:pPr>
        <w:pStyle w:val="a0"/>
      </w:pPr>
      <w:r w:rsidRPr="00A428C3">
        <w:t xml:space="preserve">Full Text: </w:t>
      </w:r>
      <w:hyperlink r:id="rId167" w:history="1">
        <w:r w:rsidRPr="00A428C3">
          <w:rPr>
            <w:rStyle w:val="a5"/>
          </w:rPr>
          <w:t>2005\Fre Env Bul14, 983.pdf</w:t>
        </w:r>
      </w:hyperlink>
    </w:p>
    <w:p w:rsidR="00B95188" w:rsidRPr="00A428C3" w:rsidRDefault="00B95188" w:rsidP="00B95188">
      <w:pPr>
        <w:pStyle w:val="a0"/>
      </w:pPr>
      <w:r w:rsidRPr="00A428C3">
        <w:t>Abstract: Bentonite, loaded with trioctylamine (C</w:t>
      </w:r>
      <w:r w:rsidRPr="008A7E71">
        <w:rPr>
          <w:vertAlign w:val="subscript"/>
        </w:rPr>
        <w:t>24</w:t>
      </w:r>
      <w:r w:rsidRPr="00A428C3">
        <w:t>H</w:t>
      </w:r>
      <w:r w:rsidRPr="008A7E71">
        <w:rPr>
          <w:vertAlign w:val="subscript"/>
        </w:rPr>
        <w:t>51</w:t>
      </w:r>
      <w:r w:rsidRPr="00A428C3">
        <w:t>N, TOA), was used as pre-concentration sorbent for cadmium, iron</w:t>
      </w:r>
      <w:r w:rsidR="00F81221">
        <w:t xml:space="preserve"> and </w:t>
      </w:r>
      <w:r w:rsidRPr="00A428C3">
        <w:t>antimony prior to their determination by flame atomic absorption spectrometry (FAAS). The analytes were quan-titatively retained on the proposed adsorbent at pH 4,</w:t>
      </w:r>
      <w:r w:rsidR="00F81221">
        <w:t xml:space="preserve"> and </w:t>
      </w:r>
      <w:r w:rsidRPr="00A428C3">
        <w:t>its adsorptive capacity was determined to be 13.23 mg/g, 3.33 mg/g</w:t>
      </w:r>
      <w:r w:rsidR="00F81221">
        <w:t xml:space="preserve"> and </w:t>
      </w:r>
      <w:r w:rsidRPr="00A428C3">
        <w:t>10 mg/g for Cd, Fe</w:t>
      </w:r>
      <w:r w:rsidR="00F81221">
        <w:t xml:space="preserve"> and </w:t>
      </w:r>
      <w:r w:rsidRPr="00A428C3">
        <w:t xml:space="preserve">Sb, respectively. The metal ions could then be quantitatively eluted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A428C3">
          <w:t>1 M</w:t>
        </w:r>
      </w:smartTag>
      <w:r w:rsidRPr="00A428C3">
        <w:t xml:space="preserve"> nitric acid,</w:t>
      </w:r>
      <w:r w:rsidR="00F81221">
        <w:t xml:space="preserve"> and </w:t>
      </w:r>
      <w:r w:rsidRPr="00A428C3">
        <w:t>recoveries were 99.9</w:t>
      </w:r>
      <w:r w:rsidRPr="00A428C3">
        <w:sym w:font="Symbol" w:char="F0B1"/>
      </w:r>
      <w:r w:rsidRPr="00A428C3">
        <w:t>1 %, 97.0</w:t>
      </w:r>
      <w:r w:rsidRPr="00A428C3">
        <w:sym w:font="Symbol" w:char="F0B1"/>
      </w:r>
      <w:r w:rsidRPr="00A428C3">
        <w:t>2 %</w:t>
      </w:r>
      <w:r w:rsidR="00F81221">
        <w:t xml:space="preserve"> and </w:t>
      </w:r>
      <w:r w:rsidRPr="00A428C3">
        <w:t>92.1</w:t>
      </w:r>
      <w:r w:rsidRPr="00A428C3">
        <w:sym w:font="Symbol" w:char="F0B1"/>
      </w:r>
      <w:r w:rsidRPr="00A428C3">
        <w:t>3 % for Cd, Fe</w:t>
      </w:r>
      <w:r w:rsidR="00F81221">
        <w:t xml:space="preserve"> and </w:t>
      </w:r>
      <w:r w:rsidRPr="00A428C3">
        <w:t xml:space="preserve">Sb (95% confidence level). The relative standard deviations varied between 1.0 - 7.1%. Detection limits (3s) were </w:t>
      </w:r>
      <w:smartTag w:uri="urn:schemas-microsoft-com:office:smarttags" w:element="chmetcnv">
        <w:smartTagPr>
          <w:attr w:name="TCSC" w:val="0"/>
          <w:attr w:name="NumberType" w:val="1"/>
          <w:attr w:name="Negative" w:val="False"/>
          <w:attr w:name="HasSpace" w:val="False"/>
          <w:attr w:name="SourceValue" w:val="0.9"/>
          <w:attr w:name="UnitName" w:val="l"/>
        </w:smartTagPr>
        <w:r w:rsidRPr="00A428C3">
          <w:t xml:space="preserve">0.9 </w:t>
        </w:r>
      </w:smartTag>
      <w:r w:rsidRPr="00A428C3">
        <w:sym w:font="Symbol" w:char="F06D"/>
      </w:r>
      <w:r w:rsidRPr="00A428C3">
        <w:t>L</w:t>
      </w:r>
      <w:r w:rsidRPr="00A428C3">
        <w:rPr>
          <w:vertAlign w:val="superscript"/>
        </w:rPr>
        <w:t>-1</w:t>
      </w:r>
      <w:r w:rsidRPr="00A428C3">
        <w:t xml:space="preserve"> for Cd, </w:t>
      </w:r>
      <w:smartTag w:uri="urn:schemas-microsoft-com:office:smarttags" w:element="chmetcnv">
        <w:smartTagPr>
          <w:attr w:name="TCSC" w:val="0"/>
          <w:attr w:name="NumberType" w:val="1"/>
          <w:attr w:name="Negative" w:val="False"/>
          <w:attr w:name="HasSpace" w:val="False"/>
          <w:attr w:name="SourceValue" w:val="1.2"/>
          <w:attr w:name="UnitName" w:val="l"/>
        </w:smartTagPr>
        <w:r w:rsidRPr="00A428C3">
          <w:t xml:space="preserve">1.2 </w:t>
        </w:r>
      </w:smartTag>
      <w:r w:rsidRPr="00A428C3">
        <w:sym w:font="Symbol" w:char="F06D"/>
      </w:r>
      <w:r w:rsidRPr="00A428C3">
        <w:t>L</w:t>
      </w:r>
      <w:r w:rsidRPr="00A428C3">
        <w:rPr>
          <w:vertAlign w:val="superscript"/>
        </w:rPr>
        <w:t>-1</w:t>
      </w:r>
      <w:r w:rsidRPr="00A428C3">
        <w:t xml:space="preserve"> for Fe</w:t>
      </w:r>
      <w:r w:rsidR="00F81221">
        <w:t xml:space="preserve"> and </w:t>
      </w:r>
      <w:smartTag w:uri="urn:schemas-microsoft-com:office:smarttags" w:element="chmetcnv">
        <w:smartTagPr>
          <w:attr w:name="TCSC" w:val="0"/>
          <w:attr w:name="NumberType" w:val="1"/>
          <w:attr w:name="Negative" w:val="False"/>
          <w:attr w:name="HasSpace" w:val="False"/>
          <w:attr w:name="SourceValue" w:val="1.4"/>
          <w:attr w:name="UnitName" w:val="l"/>
        </w:smartTagPr>
        <w:r w:rsidRPr="00A428C3">
          <w:t xml:space="preserve">1.4 </w:t>
        </w:r>
      </w:smartTag>
      <w:r w:rsidRPr="00A428C3">
        <w:sym w:font="Symbol" w:char="F06D"/>
      </w:r>
      <w:r w:rsidRPr="00A428C3">
        <w:t>L</w:t>
      </w:r>
      <w:r w:rsidRPr="00A428C3">
        <w:rPr>
          <w:vertAlign w:val="superscript"/>
        </w:rPr>
        <w:t>-1</w:t>
      </w:r>
      <w:r w:rsidRPr="00A428C3">
        <w:t xml:space="preserve"> for Sb. By applying this column proce-dure, the elements studied can be reliably determined in the presence of Na</w:t>
      </w:r>
      <w:r w:rsidRPr="00A428C3">
        <w:rPr>
          <w:vertAlign w:val="superscript"/>
        </w:rPr>
        <w:t>+</w:t>
      </w:r>
      <w:r w:rsidRPr="00A428C3">
        <w:t>, K</w:t>
      </w:r>
      <w:r w:rsidRPr="00A428C3">
        <w:rPr>
          <w:vertAlign w:val="superscript"/>
        </w:rPr>
        <w:t>+</w:t>
      </w:r>
      <w:r w:rsidR="00F81221">
        <w:t xml:space="preserve"> and </w:t>
      </w:r>
      <w:r w:rsidRPr="00A428C3">
        <w:t>Mg</w:t>
      </w:r>
      <w:r w:rsidRPr="00A428C3">
        <w:rPr>
          <w:vertAlign w:val="superscript"/>
        </w:rPr>
        <w:t>+</w:t>
      </w:r>
      <w:r w:rsidRPr="00A428C3">
        <w:t>. Finally, the method was applied to wastewater analysis.</w:t>
      </w:r>
    </w:p>
    <w:p w:rsidR="00B95188" w:rsidRPr="00A428C3" w:rsidRDefault="00B95188" w:rsidP="00B95188">
      <w:pPr>
        <w:pStyle w:val="a0"/>
      </w:pPr>
      <w:r w:rsidRPr="00A428C3">
        <w:t>Keywords: Absorption, Acid, Adsorption, Analysis, Antimony, Aqueous-Solution, Bentonite, Cadmium, Capacity, Copper, Determination, Elements, Flame Atomic Absorption Spectrometry (FAAS), Iron, K</w:t>
      </w:r>
      <w:r w:rsidRPr="00A428C3">
        <w:rPr>
          <w:vertAlign w:val="superscript"/>
        </w:rPr>
        <w:t>+</w:t>
      </w:r>
      <w:r w:rsidRPr="00A428C3">
        <w:t>, Modified, Nitric Acid, pH, Preconcentration, Removal, Standard, Trioctylamine (TOA), Wastewater, Zinc</w:t>
      </w:r>
    </w:p>
    <w:p w:rsidR="00B95188" w:rsidRPr="00A428C3" w:rsidRDefault="00B95188" w:rsidP="00B95188">
      <w:pPr>
        <w:pStyle w:val="a0"/>
      </w:pPr>
      <w:r w:rsidRPr="00A428C3">
        <w:t>?</w:t>
      </w:r>
      <w:r w:rsidRPr="00A428C3">
        <w:rPr>
          <w:rStyle w:val="a4"/>
        </w:rPr>
        <w:t xml:space="preserve"> Şahin, Ö., Demirel, S.</w:t>
      </w:r>
      <w:r w:rsidR="00F81221">
        <w:rPr>
          <w:rStyle w:val="a4"/>
        </w:rPr>
        <w:t xml:space="preserve"> and </w:t>
      </w:r>
      <w:r w:rsidRPr="00A428C3">
        <w:rPr>
          <w:rStyle w:val="a4"/>
        </w:rPr>
        <w:t>Dilekoğlu, M.F.</w:t>
      </w:r>
      <w:r w:rsidRPr="00A428C3">
        <w:t xml:space="preserve"> (2005), Removal of Pb(II) from aqueous solution by antep pistachio shells. </w:t>
      </w:r>
      <w:r w:rsidRPr="00A428C3">
        <w:rPr>
          <w:i/>
          <w:iCs/>
        </w:rPr>
        <w:t>Fresenius Environmental Bulletin</w:t>
      </w:r>
      <w:r w:rsidRPr="00A428C3">
        <w:t xml:space="preserve">, </w:t>
      </w:r>
      <w:r w:rsidRPr="00A428C3">
        <w:rPr>
          <w:b/>
        </w:rPr>
        <w:t>14</w:t>
      </w:r>
      <w:r w:rsidRPr="00A428C3">
        <w:t xml:space="preserve"> (11), 986-992.</w:t>
      </w:r>
    </w:p>
    <w:p w:rsidR="00B95188" w:rsidRPr="00A428C3" w:rsidRDefault="00B95188" w:rsidP="00B95188">
      <w:pPr>
        <w:pStyle w:val="a0"/>
      </w:pPr>
      <w:r w:rsidRPr="00A428C3">
        <w:t xml:space="preserve">Full Text: </w:t>
      </w:r>
      <w:hyperlink r:id="rId168" w:history="1">
        <w:r w:rsidRPr="00A428C3">
          <w:rPr>
            <w:rStyle w:val="a5"/>
          </w:rPr>
          <w:t>2005\Fre Env Bul14, 986.pdf</w:t>
        </w:r>
      </w:hyperlink>
    </w:p>
    <w:p w:rsidR="00B95188" w:rsidRPr="00A428C3" w:rsidRDefault="00B95188" w:rsidP="00B95188">
      <w:pPr>
        <w:pStyle w:val="a0"/>
      </w:pPr>
      <w:r w:rsidRPr="00A428C3">
        <w:t>Abstract: Adsorption studies for Pb(II) removal from aqueous solution on soft shell of Antep pistachio (Pistacia vera L.) were carried out in a batch system under varying experi-mental conditions of contact time, pH, temperature, initial Pb(II) concentration</w:t>
      </w:r>
      <w:r w:rsidR="00F81221">
        <w:t xml:space="preserve"> and </w:t>
      </w:r>
      <w:r w:rsidRPr="00A428C3">
        <w:t xml:space="preserve">adsorbent dosage. It was found that all equilibrium isotherms fitted </w:t>
      </w:r>
      <w:r w:rsidRPr="00A428C3">
        <w:lastRenderedPageBreak/>
        <w:t>the Freundlich isotherm well in the concentration rage of 5-100 mg.l</w:t>
      </w:r>
      <w:r w:rsidRPr="00A428C3">
        <w:rPr>
          <w:vertAlign w:val="superscript"/>
        </w:rPr>
        <w:t>-1</w:t>
      </w:r>
      <w:r w:rsidRPr="00A428C3">
        <w:t xml:space="preserve"> Pb(II). The adsorption of Pb(II) on the soft shell of Antep pistachio obeys first order reversible kinetics. The adsorption effi-ciency remained constant across the pH range of 4 to 7 for a Pb(II) solution with the concentration of 30 mg.l</w:t>
      </w:r>
      <w:r w:rsidRPr="00A428C3">
        <w:rPr>
          <w:vertAlign w:val="superscript"/>
        </w:rPr>
        <w:t>-1</w:t>
      </w:r>
      <w:r w:rsidRPr="00A428C3">
        <w:t>. This pH range was also favorable for the adsorption of Pb(II) in wastewater. It was determined that temperature of adsorp-tion media does not play an important role on the adsorp-tion efficiency.</w:t>
      </w:r>
    </w:p>
    <w:p w:rsidR="00B95188" w:rsidRPr="00A428C3" w:rsidRDefault="00B95188" w:rsidP="00B95188">
      <w:pPr>
        <w:pStyle w:val="a0"/>
      </w:pPr>
      <w:r w:rsidRPr="00A428C3">
        <w:t>? Turabik, M.</w:t>
      </w:r>
      <w:r w:rsidR="00F81221">
        <w:t xml:space="preserve"> and </w:t>
      </w:r>
      <w:r w:rsidRPr="00A428C3">
        <w:t>Kumbur, H. (2005), Equilibrium</w:t>
      </w:r>
      <w:r w:rsidR="00F81221">
        <w:t xml:space="preserve"> and </w:t>
      </w:r>
      <w:r w:rsidRPr="00A428C3">
        <w:t xml:space="preserve">kinetic modelling of adsorption of a basic dye on bentonite. </w:t>
      </w:r>
      <w:r w:rsidRPr="00A428C3">
        <w:rPr>
          <w:i/>
          <w:iCs/>
        </w:rPr>
        <w:t>Fresenius Environmental Bulletin</w:t>
      </w:r>
      <w:r w:rsidRPr="00A428C3">
        <w:t xml:space="preserve">, </w:t>
      </w:r>
      <w:r w:rsidRPr="00A428C3">
        <w:rPr>
          <w:b/>
        </w:rPr>
        <w:t>14</w:t>
      </w:r>
      <w:r w:rsidRPr="00A428C3">
        <w:t xml:space="preserve"> (12B), 1105-1114.</w:t>
      </w:r>
    </w:p>
    <w:p w:rsidR="00B95188" w:rsidRPr="00A428C3" w:rsidRDefault="00B95188" w:rsidP="00B95188">
      <w:pPr>
        <w:pStyle w:val="a0"/>
      </w:pPr>
      <w:r w:rsidRPr="00A428C3">
        <w:t xml:space="preserve">Full Text: </w:t>
      </w:r>
      <w:hyperlink r:id="rId169" w:history="1">
        <w:r w:rsidRPr="00A428C3">
          <w:rPr>
            <w:rStyle w:val="a5"/>
          </w:rPr>
          <w:t>2005\Fre Env Bul14, 1105.pdf</w:t>
        </w:r>
      </w:hyperlink>
    </w:p>
    <w:p w:rsidR="00B95188" w:rsidRPr="00A428C3" w:rsidRDefault="00B95188" w:rsidP="00B95188">
      <w:pPr>
        <w:pStyle w:val="a0"/>
      </w:pPr>
      <w:r w:rsidRPr="00A428C3">
        <w:t>Abstract: The adsorption of a basic dye (Basic Red 46) from aqueous solutions onto bentonite was studied in a batch system with respect to initial dye concentrations (200 800 mg/L), different particle sizes, dp (dp &lt; 45, 75-45, 12575, 150</w:t>
      </w:r>
      <w:smartTag w:uri="urn:schemas-microsoft-com:office:smarttags" w:element="chmetcnv">
        <w:smartTagPr>
          <w:attr w:name="TCSC" w:val="0"/>
          <w:attr w:name="NumberType" w:val="1"/>
          <w:attr w:name="Negative" w:val="True"/>
          <w:attr w:name="HasSpace" w:val="False"/>
          <w:attr w:name="SourceValue" w:val="125"/>
          <w:attr w:name="UnitName" w:val="m"/>
        </w:smartTagPr>
        <w:r w:rsidRPr="00A428C3">
          <w:t xml:space="preserve">-125 </w:t>
        </w:r>
      </w:smartTag>
      <w:r w:rsidRPr="00A428C3">
        <w:sym w:font="Symbol" w:char="F06D"/>
      </w:r>
      <w:r w:rsidRPr="00A428C3">
        <w:t>m)</w:t>
      </w:r>
      <w:r w:rsidR="00F81221">
        <w:t xml:space="preserve"> and </w:t>
      </w:r>
      <w:r w:rsidRPr="00A428C3">
        <w:t>temperatures (10-50</w:t>
      </w:r>
      <w:r w:rsidR="008A7E71">
        <w:t>°</w:t>
      </w:r>
      <w:r w:rsidRPr="00A428C3">
        <w:t>C). The adsorption equilibrium was described by Langmuir isotherm model with a maximum adsorption capacity of 322.6 mg/g (r</w:t>
      </w:r>
      <w:r w:rsidRPr="00A428C3">
        <w:rPr>
          <w:vertAlign w:val="superscript"/>
        </w:rPr>
        <w:t>2</w:t>
      </w:r>
      <w:r w:rsidRPr="00A428C3">
        <w:t xml:space="preserve"> = 0.999). The results showed that the initial dye concentration, particle size</w:t>
      </w:r>
      <w:r w:rsidR="00F81221">
        <w:t xml:space="preserve"> and </w:t>
      </w:r>
      <w:r w:rsidRPr="00A428C3">
        <w:t>temperature affect adsorption capacity. An increase in initial dye concentration</w:t>
      </w:r>
      <w:r w:rsidR="00F81221">
        <w:t xml:space="preserve"> and </w:t>
      </w:r>
      <w:r w:rsidRPr="00A428C3">
        <w:t>a decrease in particle size results in a significant increase of adsorption capacity. Pseudo-first</w:t>
      </w:r>
      <w:r w:rsidR="00F81221">
        <w:t xml:space="preserve"> and </w:t>
      </w:r>
      <w:r w:rsidRPr="00A428C3">
        <w:t>pseudo-second order kinetic models were used to describe the kinetic data,</w:t>
      </w:r>
      <w:r w:rsidR="00F81221">
        <w:t xml:space="preserve"> and </w:t>
      </w:r>
      <w:r w:rsidRPr="00A428C3">
        <w:t>the rate constants</w:t>
      </w:r>
      <w:r w:rsidR="00F81221">
        <w:t xml:space="preserve"> and </w:t>
      </w:r>
      <w:r w:rsidRPr="00A428C3">
        <w:t>regression coefficients were evaluated. The experimental data fitted well to the pseudo-second order kinetic model, which indicates that the chemical sorption is the rate-limiting step. Activation energy has also been evaluated by using the pseudo-second order rate constants</w:t>
      </w:r>
      <w:r w:rsidR="00F81221">
        <w:t xml:space="preserve"> and </w:t>
      </w:r>
      <w:r w:rsidRPr="00A428C3">
        <w:t>found to be 33.0 kJ/mol for Basic Red 46 adsorption onto bentonite. Thermodynamic studies showed that this adsorption is endothermic</w:t>
      </w:r>
      <w:r w:rsidR="00F81221">
        <w:t xml:space="preserve"> and </w:t>
      </w:r>
      <w:r w:rsidRPr="00A428C3">
        <w:t>spontaneous in nature.</w:t>
      </w:r>
    </w:p>
    <w:p w:rsidR="00B95188" w:rsidRPr="00A428C3" w:rsidRDefault="00B95188" w:rsidP="00B95188">
      <w:pPr>
        <w:pStyle w:val="a0"/>
      </w:pPr>
      <w:r w:rsidRPr="00A428C3">
        <w:t>Keywords: Adsorption, Bentonite, Basic Red 46, Equilibrium, Pseudo Kinetic Models, Aqueous-Solutions, Schizomeris-Leibleinii, Activated Clay, Waste-Water, Removal, Ions, Biosorption, Sorption, Montmorillonite, Wastewaters</w:t>
      </w:r>
    </w:p>
    <w:p w:rsidR="00B95188" w:rsidRPr="00A428C3" w:rsidRDefault="00B95188" w:rsidP="00B95188">
      <w:pPr>
        <w:pStyle w:val="a0"/>
      </w:pPr>
      <w:r w:rsidRPr="00A428C3">
        <w:t xml:space="preserve">? </w:t>
      </w:r>
      <w:r w:rsidRPr="0077430B">
        <w:t>Turhan, K., Ekinci-Dogan, C., Akcin, G.</w:t>
      </w:r>
      <w:r w:rsidR="00F81221">
        <w:t xml:space="preserve"> and </w:t>
      </w:r>
      <w:r w:rsidRPr="0077430B">
        <w:t>Aslan, A</w:t>
      </w:r>
      <w:r w:rsidRPr="00A428C3">
        <w:t>. (2005), Biosorption of Au(III)</w:t>
      </w:r>
      <w:r w:rsidR="00F81221">
        <w:t xml:space="preserve"> and </w:t>
      </w:r>
      <w:r w:rsidRPr="00A428C3">
        <w:t xml:space="preserve">Cu(II) from aqueous solution by a non-living </w:t>
      </w:r>
      <w:r w:rsidRPr="00A428C3">
        <w:rPr>
          <w:i/>
        </w:rPr>
        <w:t>Usnea longissima</w:t>
      </w:r>
      <w:r w:rsidRPr="00A428C3">
        <w:t xml:space="preserve"> biomass. </w:t>
      </w:r>
      <w:r w:rsidRPr="00A428C3">
        <w:rPr>
          <w:i/>
          <w:iCs/>
        </w:rPr>
        <w:t>Fresenius Environmental Bulletin</w:t>
      </w:r>
      <w:r w:rsidRPr="00A428C3">
        <w:t xml:space="preserve">, </w:t>
      </w:r>
      <w:r w:rsidRPr="00A428C3">
        <w:rPr>
          <w:b/>
        </w:rPr>
        <w:t>14</w:t>
      </w:r>
      <w:r w:rsidRPr="00A428C3">
        <w:t xml:space="preserve"> (</w:t>
      </w:r>
      <w:smartTag w:uri="urn:schemas-microsoft-com:office:smarttags" w:element="chmetcnv">
        <w:smartTagPr>
          <w:attr w:name="TCSC" w:val="0"/>
          <w:attr w:name="NumberType" w:val="1"/>
          <w:attr w:name="Negative" w:val="False"/>
          <w:attr w:name="HasSpace" w:val="False"/>
          <w:attr w:name="SourceValue" w:val="12"/>
          <w:attr w:name="UnitName" w:val="a"/>
        </w:smartTagPr>
        <w:r w:rsidRPr="00A428C3">
          <w:t>12A</w:t>
        </w:r>
      </w:smartTag>
      <w:r w:rsidRPr="00A428C3">
        <w:t>), 1129-1135.</w:t>
      </w:r>
    </w:p>
    <w:p w:rsidR="00B95188" w:rsidRPr="00A428C3" w:rsidRDefault="00B95188" w:rsidP="00B95188">
      <w:pPr>
        <w:pStyle w:val="a0"/>
      </w:pPr>
      <w:r w:rsidRPr="00A428C3">
        <w:t xml:space="preserve">Full Text: </w:t>
      </w:r>
      <w:hyperlink r:id="rId170" w:history="1">
        <w:r w:rsidRPr="00A428C3">
          <w:rPr>
            <w:rStyle w:val="a5"/>
          </w:rPr>
          <w:t>2005\Fre Env Bul14, 1129.pdf</w:t>
        </w:r>
      </w:hyperlink>
    </w:p>
    <w:p w:rsidR="00B95188" w:rsidRPr="00A428C3" w:rsidRDefault="00B95188" w:rsidP="00B95188">
      <w:pPr>
        <w:pStyle w:val="a0"/>
      </w:pPr>
      <w:r w:rsidRPr="00A428C3">
        <w:t>Abstract: The preconcentration of trace copper</w:t>
      </w:r>
      <w:r w:rsidR="00F81221">
        <w:t xml:space="preserve"> and </w:t>
      </w:r>
      <w:r w:rsidRPr="00A428C3">
        <w:t xml:space="preserve">gold from aqueous solutions by Flame Atomic Absorption Spectrometry (FAAS) determination was studied by using lichen (Usnea longissinia), as </w:t>
      </w:r>
      <w:r>
        <w:t>a biosorbent. Biosorption of Au(III)</w:t>
      </w:r>
      <w:r w:rsidR="00F81221">
        <w:t xml:space="preserve"> and </w:t>
      </w:r>
      <w:r>
        <w:t>Cu</w:t>
      </w:r>
      <w:r w:rsidRPr="00A428C3">
        <w:t>(II) from dilute aqueous solutions by biomass of the lichen Usnea longissima was investigated. The removal</w:t>
      </w:r>
      <w:r w:rsidR="00F81221">
        <w:t xml:space="preserve"> and </w:t>
      </w:r>
      <w:r w:rsidRPr="00A428C3">
        <w:t>recovery of gold</w:t>
      </w:r>
      <w:r w:rsidR="00F81221">
        <w:t xml:space="preserve"> and </w:t>
      </w:r>
      <w:r w:rsidRPr="00A428C3">
        <w:t>copper were studied by applying batch technique. The experimental parameters which are the pH of the solution, stirring time, the amount of lichen, the concentration of metals on retention</w:t>
      </w:r>
      <w:r w:rsidR="00F81221">
        <w:t xml:space="preserve"> and </w:t>
      </w:r>
      <w:r w:rsidRPr="00A428C3">
        <w:t xml:space="preserve">elution have </w:t>
      </w:r>
      <w:r w:rsidRPr="00A428C3">
        <w:lastRenderedPageBreak/>
        <w:t>been investigated. Gold</w:t>
      </w:r>
      <w:r w:rsidR="00F81221">
        <w:t xml:space="preserve"> and </w:t>
      </w:r>
      <w:r w:rsidRPr="00A428C3">
        <w:t>copper were adsorbed on lichen at pH 2</w:t>
      </w:r>
      <w:r w:rsidR="00F81221">
        <w:t xml:space="preserve"> and </w:t>
      </w:r>
      <w:r w:rsidRPr="00A428C3">
        <w:t>pH 8, respectively. Quantitative retention (between 94%</w:t>
      </w:r>
      <w:r w:rsidR="00F81221">
        <w:t xml:space="preserve"> and </w:t>
      </w:r>
      <w:r w:rsidRPr="00A428C3">
        <w:t xml:space="preserve">99%) was obtained within 75 minutes for both metals. Maximum capacity of </w:t>
      </w:r>
      <w:smartTag w:uri="urn:schemas-microsoft-com:office:smarttags" w:element="chmetcnv">
        <w:smartTagPr>
          <w:attr w:name="TCSC" w:val="0"/>
          <w:attr w:name="NumberType" w:val="1"/>
          <w:attr w:name="Negative" w:val="False"/>
          <w:attr w:name="HasSpace" w:val="True"/>
          <w:attr w:name="SourceValue" w:val="1"/>
          <w:attr w:name="UnitName" w:val="g"/>
        </w:smartTagPr>
        <w:r w:rsidRPr="00A428C3">
          <w:t>1.0 g</w:t>
        </w:r>
      </w:smartTag>
      <w:r w:rsidRPr="00A428C3">
        <w:t xml:space="preserve"> of dried lichen for biosorption of Au(III)</w:t>
      </w:r>
      <w:r w:rsidR="00F81221">
        <w:t xml:space="preserve"> and </w:t>
      </w:r>
      <w:r w:rsidRPr="00A428C3">
        <w:t>Cu(II) were found as 9.4 mg of Au(III)</w:t>
      </w:r>
      <w:r w:rsidR="00F81221">
        <w:t xml:space="preserve"> and </w:t>
      </w:r>
      <w:r w:rsidRPr="00A428C3">
        <w:t>24.0 mg of Cu(II). It was seen that the adsorption equilibrium data conformed well to the Langmuir model</w:t>
      </w:r>
      <w:r w:rsidR="00F81221">
        <w:t xml:space="preserve"> and </w:t>
      </w:r>
      <w:r w:rsidRPr="00A428C3">
        <w:t>Freundlich equation for Au(III)</w:t>
      </w:r>
      <w:r w:rsidR="00F81221">
        <w:t xml:space="preserve"> and </w:t>
      </w:r>
      <w:r w:rsidRPr="00A428C3">
        <w:t>Cu(II). The method proposed in this study was applied to spring mineral water analysis</w:t>
      </w:r>
      <w:r w:rsidR="00F81221">
        <w:t xml:space="preserve"> and </w:t>
      </w:r>
      <w:r w:rsidRPr="00A428C3">
        <w:t>metals adsorbed on the lichens were quantitatively (&gt;= 90%) recovered from mineral water samples by using 0.5 mol.L</w:t>
      </w:r>
      <w:r w:rsidRPr="00A428C3">
        <w:rPr>
          <w:vertAlign w:val="superscript"/>
        </w:rPr>
        <w:t>-1</w:t>
      </w:r>
      <w:r w:rsidRPr="00A428C3">
        <w:t xml:space="preserve"> hydrochloric acid.</w:t>
      </w:r>
    </w:p>
    <w:p w:rsidR="00B95188" w:rsidRPr="00A428C3" w:rsidRDefault="00B95188" w:rsidP="00B95188">
      <w:pPr>
        <w:pStyle w:val="a0"/>
      </w:pPr>
      <w:r w:rsidRPr="00A428C3">
        <w:t>Keywords: Biosorption, Metal Removing, Usnea Longissima, FAAS, Adsorption Isotherms,</w:t>
      </w:r>
      <w:r w:rsidRPr="00A13428">
        <w:t xml:space="preserve"> </w:t>
      </w:r>
      <w:smartTag w:uri="urn:schemas-microsoft-com:office:smarttags" w:element="place">
        <w:smartTag w:uri="urn:schemas-microsoft-com:office:smarttags" w:element="country-region">
          <w:r w:rsidRPr="00A428C3">
            <w:t>Turkey</w:t>
          </w:r>
        </w:smartTag>
      </w:smartTag>
      <w:r w:rsidRPr="00A428C3">
        <w:t>, Lichens, Removal, Regions, Artvin, Copper, Water</w:t>
      </w:r>
    </w:p>
    <w:p w:rsidR="00B95188" w:rsidRPr="00A428C3" w:rsidRDefault="00B95188" w:rsidP="00B95188">
      <w:pPr>
        <w:pStyle w:val="a0"/>
      </w:pPr>
      <w:r w:rsidRPr="00A428C3">
        <w:t>? Öğünç, T., Şener, E.</w:t>
      </w:r>
      <w:r w:rsidR="00F81221">
        <w:t xml:space="preserve"> and </w:t>
      </w:r>
      <w:r w:rsidRPr="00A428C3">
        <w:t>Şener, Ş. (2005), Phenol</w:t>
      </w:r>
      <w:r w:rsidR="00F81221">
        <w:t xml:space="preserve"> and </w:t>
      </w:r>
      <w:r w:rsidRPr="00A428C3">
        <w:t>p-chlorophenol adsorption on modified</w:t>
      </w:r>
      <w:r w:rsidR="00F81221">
        <w:t xml:space="preserve"> and </w:t>
      </w:r>
      <w:r w:rsidRPr="00A428C3">
        <w:t>unmodified Ti(OEt)</w:t>
      </w:r>
      <w:r w:rsidRPr="00A428C3">
        <w:rPr>
          <w:vertAlign w:val="subscript"/>
        </w:rPr>
        <w:t>4</w:t>
      </w:r>
      <w:r w:rsidRPr="00A428C3">
        <w:t xml:space="preserve">. </w:t>
      </w:r>
      <w:r w:rsidRPr="00A428C3">
        <w:rPr>
          <w:i/>
          <w:iCs/>
        </w:rPr>
        <w:t>Fresenius Environmental Bulletin</w:t>
      </w:r>
      <w:r w:rsidRPr="00A428C3">
        <w:t xml:space="preserve">, </w:t>
      </w:r>
      <w:r w:rsidRPr="00A428C3">
        <w:rPr>
          <w:b/>
        </w:rPr>
        <w:t>14</w:t>
      </w:r>
      <w:r w:rsidRPr="00A428C3">
        <w:t xml:space="preserve"> (12B), 1153-1157.</w:t>
      </w:r>
    </w:p>
    <w:p w:rsidR="00B95188" w:rsidRPr="00A428C3" w:rsidRDefault="00B95188" w:rsidP="00B95188">
      <w:pPr>
        <w:pStyle w:val="a0"/>
      </w:pPr>
      <w:r w:rsidRPr="00A428C3">
        <w:t xml:space="preserve">Full Text: </w:t>
      </w:r>
      <w:hyperlink r:id="rId171" w:history="1">
        <w:r w:rsidRPr="00A428C3">
          <w:rPr>
            <w:rStyle w:val="a5"/>
          </w:rPr>
          <w:t>2005\Fre Env Bul14, 1153.pdf</w:t>
        </w:r>
      </w:hyperlink>
    </w:p>
    <w:p w:rsidR="00B95188" w:rsidRPr="00A428C3" w:rsidRDefault="00B95188" w:rsidP="00B95188">
      <w:pPr>
        <w:pStyle w:val="a0"/>
      </w:pPr>
      <w:r w:rsidRPr="00A13428">
        <w:t>Abstract:</w:t>
      </w:r>
      <w:r w:rsidRPr="00A428C3">
        <w:t xml:space="preserve"> n this study, adsorption of phenol</w:t>
      </w:r>
      <w:r w:rsidR="00F81221">
        <w:t xml:space="preserve"> and </w:t>
      </w:r>
      <w:r w:rsidRPr="00A428C3">
        <w:t>p-chlorophenol (PCF) on metal-organic adsorbents, prepared by hydrolysis</w:t>
      </w:r>
      <w:r w:rsidR="00F81221">
        <w:t xml:space="preserve"> and </w:t>
      </w:r>
      <w:r w:rsidRPr="00A428C3">
        <w:t>subsequent condensation of acid-modified</w:t>
      </w:r>
      <w:r w:rsidR="00F81221">
        <w:t xml:space="preserve"> and </w:t>
      </w:r>
      <w:r w:rsidRPr="00A428C3">
        <w:t>unmodified Ti(OEt)</w:t>
      </w:r>
      <w:r w:rsidRPr="00A428C3">
        <w:rPr>
          <w:vertAlign w:val="subscript"/>
        </w:rPr>
        <w:t>4</w:t>
      </w:r>
      <w:r w:rsidRPr="00A428C3">
        <w:t>, were investigated. Phenol</w:t>
      </w:r>
      <w:r w:rsidR="00F81221">
        <w:t xml:space="preserve"> and </w:t>
      </w:r>
      <w:r w:rsidRPr="00A428C3">
        <w:t>PCF uptake was related to adsorbate concentration, adsorbent</w:t>
      </w:r>
      <w:r w:rsidR="000352E7">
        <w:t>’</w:t>
      </w:r>
      <w:r w:rsidRPr="00A428C3">
        <w:t>s type, contact time,</w:t>
      </w:r>
      <w:r w:rsidR="00F81221">
        <w:t xml:space="preserve"> and </w:t>
      </w:r>
      <w:r w:rsidRPr="00A428C3">
        <w:t>temperature. The adsorption equilibrium of phenol</w:t>
      </w:r>
      <w:r w:rsidR="00F81221">
        <w:t xml:space="preserve"> and </w:t>
      </w:r>
      <w:r w:rsidRPr="00A428C3">
        <w:t>PCF on the prepared adsorbents was described by the Langmuir</w:t>
      </w:r>
      <w:r w:rsidR="00F81221">
        <w:t xml:space="preserve"> and </w:t>
      </w:r>
      <w:r w:rsidRPr="00A428C3">
        <w:t>the Freundlich models. It was observed that the adsorbents based on modified Ti(OEt)</w:t>
      </w:r>
      <w:r w:rsidRPr="00A428C3">
        <w:rPr>
          <w:vertAlign w:val="subscript"/>
        </w:rPr>
        <w:t>4</w:t>
      </w:r>
      <w:r w:rsidRPr="00A428C3">
        <w:t xml:space="preserve"> were more effective for organics than the nonmodified counterparts. In addition, adsorption of PCF was greater than that of phenol on all adsorbent powders.</w:t>
      </w:r>
    </w:p>
    <w:p w:rsidR="00B95188" w:rsidRPr="00A428C3" w:rsidRDefault="00B95188" w:rsidP="00B95188">
      <w:pPr>
        <w:pStyle w:val="a0"/>
      </w:pPr>
      <w:r w:rsidRPr="00A428C3">
        <w:t>Keywords: Activated Carbons, Adsorbents, Adsorption, Adsorption Equilibrium, Aqueous-Solutions, Concentration, Condensation, Dyes, Equilibrium, Hydrolysis, Isotherm, Isotherm, Liquid-Phase Adsorption, Models, Organic Pollutant, Organics, P-Chlorophenol, Phenol, Removal, Sorption, Temperature, Uptake, Waste-Water</w:t>
      </w:r>
    </w:p>
    <w:p w:rsidR="00B95188" w:rsidRPr="00A428C3" w:rsidRDefault="00B95188" w:rsidP="00B95188">
      <w:pPr>
        <w:pStyle w:val="a0"/>
      </w:pPr>
      <w:r w:rsidRPr="00A428C3">
        <w:t>? Kahraman, S.</w:t>
      </w:r>
      <w:r w:rsidR="00F81221">
        <w:t xml:space="preserve"> and </w:t>
      </w:r>
      <w:r w:rsidRPr="00A428C3">
        <w:t xml:space="preserve">Yalcin, P. (2005), Removal of dyes from aqueous solution using various agricultural wastes as biosorbent. </w:t>
      </w:r>
      <w:r w:rsidRPr="00A428C3">
        <w:rPr>
          <w:i/>
          <w:iCs/>
        </w:rPr>
        <w:t>Fresenius Environmental Bulletin</w:t>
      </w:r>
      <w:r w:rsidRPr="00A428C3">
        <w:t xml:space="preserve">, </w:t>
      </w:r>
      <w:r w:rsidRPr="00A428C3">
        <w:rPr>
          <w:b/>
        </w:rPr>
        <w:t>14</w:t>
      </w:r>
      <w:r w:rsidRPr="00A428C3">
        <w:t xml:space="preserve"> (12B), 1196-1201.</w:t>
      </w:r>
    </w:p>
    <w:p w:rsidR="00B95188" w:rsidRPr="00A428C3" w:rsidRDefault="00B95188" w:rsidP="00B95188">
      <w:pPr>
        <w:pStyle w:val="a0"/>
      </w:pPr>
      <w:r w:rsidRPr="00A428C3">
        <w:t xml:space="preserve">Full Text: </w:t>
      </w:r>
      <w:hyperlink r:id="rId172" w:history="1">
        <w:r w:rsidRPr="00A428C3">
          <w:rPr>
            <w:rStyle w:val="a5"/>
          </w:rPr>
          <w:t>2005\Fre Env Bul14, 1196.pdf</w:t>
        </w:r>
      </w:hyperlink>
    </w:p>
    <w:p w:rsidR="00B95188" w:rsidRPr="00A428C3" w:rsidRDefault="00B95188" w:rsidP="00B95188">
      <w:pPr>
        <w:pStyle w:val="a0"/>
      </w:pPr>
      <w:r w:rsidRPr="00A13428">
        <w:t>Abstract:</w:t>
      </w:r>
      <w:r w:rsidRPr="00A428C3">
        <w:t xml:space="preserve"> Low cost</w:t>
      </w:r>
      <w:r w:rsidR="00F81221">
        <w:t xml:space="preserve"> and </w:t>
      </w:r>
      <w:r w:rsidRPr="00A428C3">
        <w:t>locally available two renewable biosorbents (cotton stalk</w:t>
      </w:r>
      <w:r w:rsidR="00F81221">
        <w:t xml:space="preserve"> and </w:t>
      </w:r>
      <w:r w:rsidRPr="00A428C3">
        <w:t>apricot seed) were investigated to remove Astrazone Blue</w:t>
      </w:r>
      <w:r w:rsidR="00F81221">
        <w:t xml:space="preserve"> and </w:t>
      </w:r>
      <w:r w:rsidRPr="00A428C3">
        <w:t>Astrazone Red from aqueous solution. The effects of various experimental parameters such as dye concentration, adsorbent amount, adsorbent particle size</w:t>
      </w:r>
      <w:r w:rsidR="00F81221">
        <w:t xml:space="preserve"> and </w:t>
      </w:r>
      <w:r w:rsidRPr="00A428C3">
        <w:t>initial pH were tested</w:t>
      </w:r>
      <w:r w:rsidR="00F81221">
        <w:t xml:space="preserve"> and </w:t>
      </w:r>
      <w:r w:rsidRPr="00A428C3">
        <w:t xml:space="preserve">optimal experimental conditions were examined. The results showed that as the amount of adsorbent was increased, the percentage of dye removal increased accordingly. The ratios of dye sorbed increased as the adsorbent particle size </w:t>
      </w:r>
      <w:r w:rsidRPr="00A428C3">
        <w:lastRenderedPageBreak/>
        <w:t>decreased. The dye removal efficiency of two agricultural waste was in the order cotton stalk &gt; apricot seed. In addition, the antibacterial effect of untreated</w:t>
      </w:r>
      <w:r w:rsidR="00F81221">
        <w:t xml:space="preserve"> and </w:t>
      </w:r>
      <w:r w:rsidRPr="00A428C3">
        <w:t>treated dyes on a soil bacterium, P. aeruginosa was determined. The adsorption of these dyes with agricultural wastes reduced the toxic effect on P. aeruginosa. This reduction in toxic effect is important both in respect of environmental biotechnology</w:t>
      </w:r>
      <w:r w:rsidR="00F81221">
        <w:t xml:space="preserve"> and </w:t>
      </w:r>
      <w:r w:rsidRPr="00A428C3">
        <w:t>waste detoxification. The results in this study indicated that cotton stalk</w:t>
      </w:r>
      <w:r w:rsidR="00F81221">
        <w:t xml:space="preserve"> and </w:t>
      </w:r>
      <w:r w:rsidRPr="00A428C3">
        <w:t>apricot seed can be employed as lowcost</w:t>
      </w:r>
      <w:r w:rsidR="00F81221">
        <w:t xml:space="preserve"> and </w:t>
      </w:r>
      <w:r w:rsidRPr="00A428C3">
        <w:t>attractive alternatives in wastewater treatment for the removal of dyes.</w:t>
      </w:r>
    </w:p>
    <w:p w:rsidR="00B95188" w:rsidRPr="00A428C3" w:rsidRDefault="00B95188" w:rsidP="00B95188">
      <w:pPr>
        <w:pStyle w:val="a0"/>
      </w:pPr>
      <w:r w:rsidRPr="00A13428">
        <w:t>Keywords:</w:t>
      </w:r>
      <w:r w:rsidRPr="00A428C3">
        <w:t xml:space="preserve"> Agricultural Waste, Antibacterial Effect, Decolorization, Dyes, Removal of Dye</w:t>
      </w:r>
      <w:r w:rsidRPr="00A13428">
        <w:t xml:space="preserve">, </w:t>
      </w:r>
      <w:r w:rsidRPr="00A428C3">
        <w:t>Textile Dyes, Industry Waste, Funalia-Trogii, Basic Dye, Adsorption, Decolorization, Water, Effluents, Residues, Pellets</w:t>
      </w:r>
    </w:p>
    <w:p w:rsidR="00B95188" w:rsidRPr="00A428C3" w:rsidRDefault="00B95188" w:rsidP="00B95188">
      <w:pPr>
        <w:pStyle w:val="a0"/>
      </w:pPr>
      <w:r w:rsidRPr="00A428C3">
        <w:t>? Ergene, A., Tan, S., Katircioğlu, H.</w:t>
      </w:r>
      <w:r w:rsidR="00F81221">
        <w:t xml:space="preserve"> and </w:t>
      </w:r>
      <w:r w:rsidRPr="00A428C3">
        <w:t xml:space="preserve">Oktem, Z. (2006), Biosorption of copper(II) on immobilised </w:t>
      </w:r>
      <w:r w:rsidRPr="00A428C3">
        <w:rPr>
          <w:i/>
        </w:rPr>
        <w:t>Synechocystis</w:t>
      </w:r>
      <w:r w:rsidRPr="00A428C3">
        <w:t xml:space="preserve"> </w:t>
      </w:r>
      <w:r w:rsidRPr="00A428C3">
        <w:rPr>
          <w:i/>
        </w:rPr>
        <w:t>aquatilis</w:t>
      </w:r>
      <w:r w:rsidRPr="00A428C3">
        <w:t xml:space="preserve">. </w:t>
      </w:r>
      <w:r w:rsidRPr="00A428C3">
        <w:rPr>
          <w:i/>
          <w:iCs/>
        </w:rPr>
        <w:t>Fresenius Environmental Bulletin</w:t>
      </w:r>
      <w:r w:rsidRPr="00A428C3">
        <w:t xml:space="preserve">, </w:t>
      </w:r>
      <w:r w:rsidRPr="00A428C3">
        <w:rPr>
          <w:b/>
        </w:rPr>
        <w:t>15</w:t>
      </w:r>
      <w:r w:rsidRPr="00A428C3">
        <w:t xml:space="preserve"> (4), 283-288.</w:t>
      </w:r>
    </w:p>
    <w:p w:rsidR="00B95188" w:rsidRPr="00A428C3" w:rsidRDefault="00B95188" w:rsidP="00B95188">
      <w:pPr>
        <w:pStyle w:val="a0"/>
      </w:pPr>
      <w:r w:rsidRPr="00A428C3">
        <w:t xml:space="preserve">Full Text: </w:t>
      </w:r>
      <w:hyperlink r:id="rId173" w:history="1">
        <w:r w:rsidRPr="00A428C3">
          <w:rPr>
            <w:rStyle w:val="a5"/>
          </w:rPr>
          <w:t>2006\Fre Env Bul15, 283.pdf</w:t>
        </w:r>
      </w:hyperlink>
    </w:p>
    <w:p w:rsidR="00B95188" w:rsidRPr="00A428C3" w:rsidRDefault="00B95188" w:rsidP="00B95188">
      <w:pPr>
        <w:pStyle w:val="a0"/>
      </w:pPr>
      <w:r w:rsidRPr="00A428C3">
        <w:t>Abstract: Synechocystis aquatilis was immobilized in Ca-alginate via entrapment. The plain alginate,</w:t>
      </w:r>
      <w:r w:rsidR="00F81221">
        <w:t xml:space="preserve"> and </w:t>
      </w:r>
      <w:r w:rsidRPr="00A428C3">
        <w:t>alive</w:t>
      </w:r>
      <w:r w:rsidR="00F81221">
        <w:t xml:space="preserve"> and </w:t>
      </w:r>
      <w:r w:rsidRPr="00A428C3">
        <w:t>heat-inactivated immobilized algae beads were used for the sorption of Cu</w:t>
      </w:r>
      <w:r w:rsidRPr="00A428C3">
        <w:rPr>
          <w:vertAlign w:val="superscript"/>
        </w:rPr>
        <w:t>2+</w:t>
      </w:r>
      <w:r w:rsidRPr="00A428C3">
        <w:t xml:space="preserve"> ions from aqueous solutions at 25</w:t>
      </w:r>
      <w:r w:rsidR="008A7E71">
        <w:t>°</w:t>
      </w:r>
      <w:r w:rsidRPr="00A428C3">
        <w:t>C. Kinetic studies showed a fast initial rate, followed by a slower biosorption one. Adsorption of Cu</w:t>
      </w:r>
      <w:r w:rsidRPr="00A428C3">
        <w:rPr>
          <w:vertAlign w:val="superscript"/>
        </w:rPr>
        <w:t>2+</w:t>
      </w:r>
      <w:r w:rsidRPr="00A428C3">
        <w:t xml:space="preserve"> on the biosorbents increased with increasing initial Cu</w:t>
      </w:r>
      <w:r w:rsidRPr="00A428C3">
        <w:rPr>
          <w:vertAlign w:val="superscript"/>
        </w:rPr>
        <w:t>2+</w:t>
      </w:r>
      <w:r w:rsidRPr="00A428C3">
        <w:t xml:space="preserve"> ions level in the solution. The heat-inactivated alga preparation showed a higher biosorption capacity than the alive counterpart.</w:t>
      </w:r>
    </w:p>
    <w:p w:rsidR="00B95188" w:rsidRPr="00A428C3" w:rsidRDefault="00B95188" w:rsidP="00B95188">
      <w:pPr>
        <w:pStyle w:val="a0"/>
      </w:pPr>
      <w:r w:rsidRPr="00A428C3">
        <w:t>The biosorption equilibrium was established approx. in 3 h,</w:t>
      </w:r>
      <w:r w:rsidR="00F81221">
        <w:t xml:space="preserve"> and </w:t>
      </w:r>
      <w:r w:rsidRPr="00A428C3">
        <w:t>the equilibrium was well-described by the Langmuir</w:t>
      </w:r>
      <w:r w:rsidR="00F81221">
        <w:t xml:space="preserve"> and </w:t>
      </w:r>
      <w:r w:rsidRPr="00A428C3">
        <w:t>Freundlich adsorption isotherms. The effect of pH was also investigated</w:t>
      </w:r>
      <w:r w:rsidR="00F81221">
        <w:t xml:space="preserve"> and </w:t>
      </w:r>
      <w:r w:rsidRPr="00A428C3">
        <w:t>the maximum adsorption of Cu</w:t>
      </w:r>
      <w:r w:rsidRPr="00A428C3">
        <w:rPr>
          <w:vertAlign w:val="superscript"/>
        </w:rPr>
        <w:t>2+</w:t>
      </w:r>
      <w:r w:rsidRPr="00A428C3">
        <w:t xml:space="preserve"> ions on the biosorbents was obtained approx. at pH 5.6.</w:t>
      </w:r>
    </w:p>
    <w:p w:rsidR="00B95188" w:rsidRPr="00A428C3" w:rsidRDefault="00B95188" w:rsidP="00B95188">
      <w:pPr>
        <w:pStyle w:val="a0"/>
      </w:pPr>
      <w:r w:rsidRPr="00A428C3">
        <w:t>Keywords: Copper(II) Removal, Biosorption of Heavy Metals, Algal Biosorbent, Ca-Alginate, Synechocystis Aquatilis, Heavy-Metals, Cell-Walls, Alginate, Removal, Binding, Equilibrium, Cadmium, Biomass, Algae, Ions</w:t>
      </w:r>
    </w:p>
    <w:p w:rsidR="00B95188" w:rsidRPr="00A428C3" w:rsidRDefault="00B95188" w:rsidP="00B95188">
      <w:pPr>
        <w:pStyle w:val="a0"/>
      </w:pPr>
      <w:r w:rsidRPr="00A428C3">
        <w:t xml:space="preserve">? Kaya, Y., Vergili, </w:t>
      </w:r>
      <w:smartTag w:uri="urn:schemas-microsoft-com:office:smarttags" w:element="place">
        <w:r w:rsidRPr="00A428C3">
          <w:t>I.</w:t>
        </w:r>
      </w:smartTag>
      <w:r w:rsidRPr="00A428C3">
        <w:t>, Gonder, Z.B.</w:t>
      </w:r>
      <w:r w:rsidR="00F81221">
        <w:t xml:space="preserve"> and </w:t>
      </w:r>
      <w:r w:rsidRPr="00A428C3">
        <w:t xml:space="preserve">Barlas, H. (2006), Investigation of organic matter removal from waters with adsorption polymers. </w:t>
      </w:r>
      <w:r w:rsidRPr="00A428C3">
        <w:rPr>
          <w:i/>
          <w:iCs/>
        </w:rPr>
        <w:t>Fresenius Environmental Bulletin</w:t>
      </w:r>
      <w:r w:rsidRPr="00A428C3">
        <w:t xml:space="preserve">, </w:t>
      </w:r>
      <w:r w:rsidRPr="00A428C3">
        <w:rPr>
          <w:b/>
        </w:rPr>
        <w:t>15</w:t>
      </w:r>
      <w:r w:rsidRPr="00A428C3">
        <w:t xml:space="preserve"> (5), 437-440.</w:t>
      </w:r>
    </w:p>
    <w:p w:rsidR="00B95188" w:rsidRPr="00A428C3" w:rsidRDefault="00B95188" w:rsidP="00B95188">
      <w:pPr>
        <w:pStyle w:val="a0"/>
      </w:pPr>
      <w:r w:rsidRPr="00A428C3">
        <w:t xml:space="preserve">Full Text: </w:t>
      </w:r>
      <w:hyperlink r:id="rId174" w:history="1">
        <w:r w:rsidRPr="00A428C3">
          <w:rPr>
            <w:rStyle w:val="a5"/>
          </w:rPr>
          <w:t>2006\Fre Env Bul15, 437.pdf</w:t>
        </w:r>
      </w:hyperlink>
    </w:p>
    <w:p w:rsidR="00B95188" w:rsidRPr="00A428C3" w:rsidRDefault="00B95188" w:rsidP="00B95188">
      <w:pPr>
        <w:pStyle w:val="a0"/>
      </w:pPr>
      <w:r w:rsidRPr="00A428C3">
        <w:t>Abstract: In the recent years, concentrations of anthropogenic organic matters have increased in ground</w:t>
      </w:r>
      <w:r w:rsidR="00F81221">
        <w:t xml:space="preserve"> and </w:t>
      </w:r>
      <w:r w:rsidRPr="00A428C3">
        <w:t>surface waters. Due to carcinogenic</w:t>
      </w:r>
      <w:r w:rsidR="00F81221">
        <w:t xml:space="preserve"> and </w:t>
      </w:r>
      <w:r w:rsidRPr="00A428C3">
        <w:t>toxic effects of some of these pollutants. they have to be removed, in order to guarantee safe drinking</w:t>
      </w:r>
      <w:r w:rsidR="00F81221">
        <w:t xml:space="preserve"> and </w:t>
      </w:r>
      <w:r w:rsidRPr="00A428C3">
        <w:t>potable water. Adsorption polymers are becoming alternatives to activated carbon for re-moval of organics from waters, wastewaters</w:t>
      </w:r>
      <w:r w:rsidR="00F81221">
        <w:t xml:space="preserve"> and </w:t>
      </w:r>
      <w:r w:rsidRPr="00A428C3">
        <w:t>waste gases by adsorption techniques.</w:t>
      </w:r>
    </w:p>
    <w:p w:rsidR="00B95188" w:rsidRPr="00A428C3" w:rsidRDefault="00B95188" w:rsidP="00B95188">
      <w:pPr>
        <w:pStyle w:val="a0"/>
      </w:pPr>
      <w:r w:rsidRPr="00A428C3">
        <w:lastRenderedPageBreak/>
        <w:t>In this study, the removal of p-nitroaniline, p-nitrophenol</w:t>
      </w:r>
      <w:r w:rsidR="00F81221">
        <w:t xml:space="preserve"> and </w:t>
      </w:r>
      <w:r w:rsidRPr="00A428C3">
        <w:t>p-nitrobenzaldehyde from water by using adsorption polymers was investigated. The results obtained with Lewatit VP OC 1163 showed that p-nitroaniline was more effectively adsorbed than the other compounds. In addition, it was found that all the tests can be controlled by means of ratio coefficients between different organic matter parameters.</w:t>
      </w:r>
    </w:p>
    <w:p w:rsidR="00B95188" w:rsidRPr="00A428C3" w:rsidRDefault="00B95188" w:rsidP="00B95188">
      <w:pPr>
        <w:pStyle w:val="a0"/>
      </w:pPr>
      <w:r w:rsidRPr="00A428C3">
        <w:t>Keywords: Adsorption Polymers, SAK(254), Aromatic Compounds, Organic Matter Removal</w:t>
      </w:r>
    </w:p>
    <w:p w:rsidR="00B95188" w:rsidRPr="00A428C3" w:rsidRDefault="00B95188" w:rsidP="00B95188">
      <w:pPr>
        <w:pStyle w:val="a0"/>
      </w:pPr>
      <w:r w:rsidRPr="00A428C3">
        <w:t>? Öztürk, N.</w:t>
      </w:r>
      <w:r w:rsidR="00F81221">
        <w:t xml:space="preserve"> and </w:t>
      </w:r>
      <w:r w:rsidRPr="00A428C3">
        <w:t xml:space="preserve">Bektaş, T.E. (2006), Batch adsorption of dyestuff from aqueous solutions onto various adsorbents. </w:t>
      </w:r>
      <w:r w:rsidRPr="00A428C3">
        <w:rPr>
          <w:i/>
          <w:iCs/>
        </w:rPr>
        <w:t>Fresenius Environmental Bulletin</w:t>
      </w:r>
      <w:r w:rsidRPr="00A428C3">
        <w:t xml:space="preserve">, </w:t>
      </w:r>
      <w:r w:rsidRPr="00A428C3">
        <w:rPr>
          <w:b/>
        </w:rPr>
        <w:t>15</w:t>
      </w:r>
      <w:r w:rsidRPr="00A428C3">
        <w:t xml:space="preserve"> (6), 489-496.</w:t>
      </w:r>
    </w:p>
    <w:p w:rsidR="00B95188" w:rsidRPr="00A428C3" w:rsidRDefault="00B95188" w:rsidP="00B95188">
      <w:pPr>
        <w:pStyle w:val="a0"/>
      </w:pPr>
      <w:r w:rsidRPr="00A428C3">
        <w:t xml:space="preserve">Full Text: </w:t>
      </w:r>
      <w:hyperlink r:id="rId175" w:history="1">
        <w:r w:rsidRPr="00A428C3">
          <w:rPr>
            <w:rStyle w:val="a5"/>
          </w:rPr>
          <w:t>2006\Fre Env Bul15, 489.pdf</w:t>
        </w:r>
      </w:hyperlink>
    </w:p>
    <w:p w:rsidR="00B95188" w:rsidRPr="00A428C3" w:rsidRDefault="00B95188" w:rsidP="00B95188">
      <w:pPr>
        <w:pStyle w:val="a0"/>
      </w:pPr>
      <w:r w:rsidRPr="00A428C3">
        <w:t>Abstract: In this study, removal of dyestuff from aqueous solu-tions by adsorption was investigated. Sepiolite, sepiolite activated by HCl, sepiolite activated by HNO</w:t>
      </w:r>
      <w:r w:rsidRPr="00A428C3">
        <w:rPr>
          <w:vertAlign w:val="subscript"/>
        </w:rPr>
        <w:t>3</w:t>
      </w:r>
      <w:r w:rsidRPr="00A428C3">
        <w:t>, slag,</w:t>
      </w:r>
      <w:r w:rsidR="00F81221">
        <w:t xml:space="preserve"> and </w:t>
      </w:r>
      <w:r w:rsidRPr="00A428C3">
        <w:t>powdered activated carbon were used as adsorbents. Black B solution (30 mg L</w:t>
      </w:r>
      <w:r w:rsidRPr="00A428C3">
        <w:rPr>
          <w:vertAlign w:val="superscript"/>
        </w:rPr>
        <w:t>-1</w:t>
      </w:r>
      <w:r w:rsidRPr="00A428C3">
        <w:t>) was used in batch adsorption ex-periments. Different parameters (contact time, pH, adsorb-ent dosage, initial dye concentration,</w:t>
      </w:r>
      <w:r w:rsidR="00F81221">
        <w:t xml:space="preserve"> and </w:t>
      </w:r>
      <w:r w:rsidRPr="00A428C3">
        <w:t>temperature) ef- fects on removal of Black B were examined. The equilib-rium time was found to be 1320, 150, 120, 360</w:t>
      </w:r>
      <w:r w:rsidR="00F81221">
        <w:t xml:space="preserve"> and </w:t>
      </w:r>
      <w:r w:rsidRPr="00A428C3">
        <w:t>45 min. for sepiolite, sepiolite activated by HCl, sepiolite acti-vated by HNO</w:t>
      </w:r>
      <w:r w:rsidRPr="00A428C3">
        <w:rPr>
          <w:vertAlign w:val="subscript"/>
        </w:rPr>
        <w:t>3</w:t>
      </w:r>
      <w:r w:rsidRPr="00A428C3">
        <w:t>, slag,</w:t>
      </w:r>
      <w:r w:rsidR="00F81221">
        <w:t xml:space="preserve"> and </w:t>
      </w:r>
      <w:r w:rsidRPr="00A428C3">
        <w:t>powdered activated carbon, re-spectively. The most effective pH for Black B removal was 2 for sepiolite, sepiolite activated by HCl,</w:t>
      </w:r>
      <w:r w:rsidR="00F81221">
        <w:t xml:space="preserve"> and </w:t>
      </w:r>
      <w:r w:rsidRPr="00A428C3">
        <w:t>slag,</w:t>
      </w:r>
      <w:r w:rsidR="00F81221">
        <w:t xml:space="preserve"> and </w:t>
      </w:r>
      <w:r w:rsidRPr="00A428C3">
        <w:t>pH did not affect Black B removal significantly for the other adsorbents. Adsorbent dosages were varied from 0.1</w:t>
      </w:r>
      <w:smartTag w:uri="urn:schemas-microsoft-com:office:smarttags" w:element="chmetcnv">
        <w:smartTagPr>
          <w:attr w:name="TCSC" w:val="0"/>
          <w:attr w:name="NumberType" w:val="1"/>
          <w:attr w:name="Negative" w:val="True"/>
          <w:attr w:name="HasSpace" w:val="True"/>
          <w:attr w:name="SourceValue" w:val="2"/>
          <w:attr w:name="UnitName" w:val="g"/>
        </w:smartTagPr>
        <w:r w:rsidRPr="00A428C3">
          <w:t>-2 g</w:t>
        </w:r>
      </w:smartTag>
      <w:r w:rsidRPr="00A428C3">
        <w:t xml:space="preserve"> per 50 mL solution. An increase in adsorbent dos-age increased the percent re-moval of Black B. A series of isotherm studies were undertaken,</w:t>
      </w:r>
      <w:r w:rsidR="00F81221">
        <w:t xml:space="preserve"> and </w:t>
      </w:r>
      <w:r w:rsidRPr="00A428C3">
        <w:t>the data evaluated for compliance with the Langmuir</w:t>
      </w:r>
      <w:r w:rsidR="00F81221">
        <w:t xml:space="preserve"> and </w:t>
      </w:r>
      <w:r w:rsidRPr="00A428C3">
        <w:t>Freundlich isotherm models. To investigate the adsorption mechanisms, three simplified kinetic models, i.e., pseudo first-order, pseudo second-order,</w:t>
      </w:r>
      <w:r w:rsidR="00F81221">
        <w:t xml:space="preserve"> and </w:t>
      </w:r>
      <w:r w:rsidRPr="00A428C3">
        <w:t>intraparticle diffusion, were tested. Ad-sorption followed pseudo second-order rate kinetics. The correlation coefficients for pseudo-second order kinetic model are greater than 0.9926. Experimental data show that slag</w:t>
      </w:r>
      <w:r w:rsidR="00F81221">
        <w:t xml:space="preserve"> and </w:t>
      </w:r>
      <w:r w:rsidRPr="00A428C3">
        <w:t>powdered activated carbon were effective for Black B removal.</w:t>
      </w:r>
    </w:p>
    <w:p w:rsidR="00B95188" w:rsidRPr="00A428C3" w:rsidRDefault="00B95188" w:rsidP="00B95188">
      <w:pPr>
        <w:pStyle w:val="a0"/>
      </w:pPr>
      <w:r w:rsidRPr="00A428C3">
        <w:t>? Kucukgul, E.Y.</w:t>
      </w:r>
      <w:r w:rsidR="00F81221">
        <w:t xml:space="preserve"> and </w:t>
      </w:r>
      <w:r w:rsidRPr="00A428C3">
        <w:t>Kudu, S. (2006), Zinc</w:t>
      </w:r>
      <w:r w:rsidR="00F81221">
        <w:t xml:space="preserve"> and </w:t>
      </w:r>
      <w:r w:rsidRPr="00A428C3">
        <w:t xml:space="preserve">copper adsorption from an aqueous solution onto activated carbon. </w:t>
      </w:r>
      <w:r w:rsidRPr="00A428C3">
        <w:rPr>
          <w:i/>
          <w:iCs/>
        </w:rPr>
        <w:t>Fresenius Environmental Bulletin</w:t>
      </w:r>
      <w:r w:rsidRPr="00A428C3">
        <w:t xml:space="preserve">, </w:t>
      </w:r>
      <w:r w:rsidRPr="00A428C3">
        <w:rPr>
          <w:b/>
        </w:rPr>
        <w:t>15</w:t>
      </w:r>
      <w:r w:rsidRPr="00A428C3">
        <w:t xml:space="preserve"> (6), 512-517.</w:t>
      </w:r>
    </w:p>
    <w:p w:rsidR="00B95188" w:rsidRPr="00A428C3" w:rsidRDefault="00B95188" w:rsidP="00B95188">
      <w:pPr>
        <w:pStyle w:val="a0"/>
      </w:pPr>
      <w:r w:rsidRPr="00A428C3">
        <w:t xml:space="preserve">Full Text: </w:t>
      </w:r>
      <w:hyperlink r:id="rId176" w:history="1">
        <w:r w:rsidRPr="00A428C3">
          <w:rPr>
            <w:rStyle w:val="a5"/>
          </w:rPr>
          <w:t>2006\Fre Env Bul15, 512.pdf</w:t>
        </w:r>
      </w:hyperlink>
    </w:p>
    <w:p w:rsidR="00B95188" w:rsidRPr="00A428C3" w:rsidRDefault="00B95188" w:rsidP="00B95188">
      <w:pPr>
        <w:pStyle w:val="a0"/>
      </w:pPr>
      <w:r w:rsidRPr="00A428C3">
        <w:t>Abstract: Batch studies were carried out to evaluate the potential of Type 1</w:t>
      </w:r>
      <w:r w:rsidR="00F81221">
        <w:t xml:space="preserve"> and </w:t>
      </w:r>
      <w:r w:rsidRPr="00A428C3">
        <w:t>Type 2 activated carbons for the adsorption of zinc</w:t>
      </w:r>
      <w:r w:rsidR="00F81221">
        <w:t xml:space="preserve"> and </w:t>
      </w:r>
      <w:r w:rsidRPr="00A428C3">
        <w:t>copper from aqueous solutions. The effects of particle size, pH, initial concentrations,</w:t>
      </w:r>
      <w:r w:rsidR="00F81221">
        <w:t xml:space="preserve"> and </w:t>
      </w:r>
      <w:r w:rsidRPr="00A428C3">
        <w:t>contact time on adsorption of zinc</w:t>
      </w:r>
      <w:r w:rsidR="00F81221">
        <w:t xml:space="preserve"> and </w:t>
      </w:r>
      <w:r w:rsidRPr="00A428C3">
        <w:t>copper,</w:t>
      </w:r>
      <w:r w:rsidR="00F81221">
        <w:t xml:space="preserve"> and </w:t>
      </w:r>
      <w:r w:rsidRPr="00A428C3">
        <w:t>the adsorption capacities of adsorbents were investigated. The adsorption in both systems is highly dependent on particle size, pH, initial adsorbate concentration,</w:t>
      </w:r>
      <w:r w:rsidR="00F81221">
        <w:t xml:space="preserve"> and </w:t>
      </w:r>
      <w:r w:rsidRPr="00A428C3">
        <w:t>contact time. The finest particle size (0.25</w:t>
      </w:r>
      <w:smartTag w:uri="urn:schemas-microsoft-com:office:smarttags" w:element="chmetcnv">
        <w:smartTagPr>
          <w:attr w:name="TCSC" w:val="0"/>
          <w:attr w:name="NumberType" w:val="1"/>
          <w:attr w:name="Negative" w:val="True"/>
          <w:attr w:name="HasSpace" w:val="True"/>
          <w:attr w:name="SourceValue" w:val="0.5"/>
          <w:attr w:name="UnitName" w:val="mm"/>
        </w:smartTagPr>
        <w:r w:rsidRPr="00A428C3">
          <w:t>-0.50 mm</w:t>
        </w:r>
      </w:smartTag>
      <w:r w:rsidRPr="00A428C3">
        <w:t xml:space="preserve">) showed the </w:t>
      </w:r>
      <w:r w:rsidRPr="00A428C3">
        <w:lastRenderedPageBreak/>
        <w:t>best Zn(II)((aq))</w:t>
      </w:r>
      <w:r w:rsidR="00F81221">
        <w:t xml:space="preserve"> and </w:t>
      </w:r>
      <w:r w:rsidRPr="00A428C3">
        <w:t>Cu(II)((aq)) removal efficiencies, at pHs 7.03</w:t>
      </w:r>
      <w:r w:rsidR="00F81221">
        <w:t xml:space="preserve"> and </w:t>
      </w:r>
      <w:r w:rsidRPr="00A428C3">
        <w:t>4.49, for both activated carbons. The Langmuir isotherm successfully represented the adsorption phenomenon at these specific conditions. Langmuir constants Q(0) (mg/g) belonging to Type</w:t>
      </w:r>
      <w:smartTag w:uri="urn:schemas-microsoft-com:office:smarttags" w:element="chmetcnv">
        <w:smartTagPr>
          <w:attr w:name="TCSC" w:val="0"/>
          <w:attr w:name="NumberType" w:val="1"/>
          <w:attr w:name="Negative" w:val="False"/>
          <w:attr w:name="HasSpace" w:val="True"/>
          <w:attr w:name="SourceValue" w:val="1"/>
          <w:attr w:name="UnitName" w:val="ac"/>
        </w:smartTagPr>
        <w:r w:rsidRPr="00A428C3">
          <w:t>1 AC</w:t>
        </w:r>
      </w:smartTag>
      <w:r w:rsidR="00F81221">
        <w:t xml:space="preserve"> and </w:t>
      </w:r>
      <w:r w:rsidRPr="00A428C3">
        <w:t>Type</w:t>
      </w:r>
      <w:smartTag w:uri="urn:schemas-microsoft-com:office:smarttags" w:element="chmetcnv">
        <w:smartTagPr>
          <w:attr w:name="TCSC" w:val="0"/>
          <w:attr w:name="NumberType" w:val="1"/>
          <w:attr w:name="Negative" w:val="False"/>
          <w:attr w:name="HasSpace" w:val="True"/>
          <w:attr w:name="SourceValue" w:val="2"/>
          <w:attr w:name="UnitName" w:val="ac"/>
        </w:smartTagPr>
        <w:r w:rsidRPr="00A428C3">
          <w:t>2 AC</w:t>
        </w:r>
      </w:smartTag>
      <w:r w:rsidRPr="00A428C3">
        <w:t>, respectively, are 6.035</w:t>
      </w:r>
      <w:r w:rsidR="00F81221">
        <w:t xml:space="preserve"> and </w:t>
      </w:r>
      <w:r w:rsidRPr="00A428C3">
        <w:t>3.821 mg/g for Zn(II)((aq)) removal, but 6.930</w:t>
      </w:r>
      <w:r w:rsidR="00F81221">
        <w:t xml:space="preserve"> and </w:t>
      </w:r>
      <w:r w:rsidRPr="00A428C3">
        <w:t>0.267 mg/g for Cu(II)((aq)) removal.</w:t>
      </w:r>
    </w:p>
    <w:p w:rsidR="00B95188" w:rsidRPr="00A428C3" w:rsidRDefault="00B95188" w:rsidP="00B95188">
      <w:pPr>
        <w:pStyle w:val="a0"/>
      </w:pPr>
      <w:r w:rsidRPr="00A428C3">
        <w:rPr>
          <w:rStyle w:val="a4"/>
        </w:rPr>
        <w:t>Keywords: Adsorption, Activated Carbon, Zinc, Copper, Heavy Metal Removal,</w:t>
      </w:r>
      <w:r w:rsidRPr="00A428C3">
        <w:t xml:space="preserve"> Heavy-Metals, Solid-Wastes, Removal, Cadmium, Sorption, Cu(II), Peat</w:t>
      </w:r>
    </w:p>
    <w:p w:rsidR="00B95188" w:rsidRPr="00A428C3" w:rsidRDefault="00B95188" w:rsidP="00B95188">
      <w:pPr>
        <w:pStyle w:val="a0"/>
      </w:pPr>
      <w:r w:rsidRPr="00A428C3">
        <w:t>? Cui, L.Z.</w:t>
      </w:r>
      <w:r w:rsidRPr="00A428C3">
        <w:rPr>
          <w:szCs w:val="19"/>
        </w:rPr>
        <w:t xml:space="preserve">, </w:t>
      </w:r>
      <w:r w:rsidRPr="00A428C3">
        <w:t>Wu, G.</w:t>
      </w:r>
      <w:r w:rsidRPr="00A428C3">
        <w:rPr>
          <w:szCs w:val="19"/>
        </w:rPr>
        <w:t xml:space="preserve">, </w:t>
      </w:r>
      <w:r w:rsidRPr="00A428C3">
        <w:t>Deng, K.J.</w:t>
      </w:r>
      <w:r w:rsidRPr="00A428C3">
        <w:rPr>
          <w:szCs w:val="19"/>
        </w:rPr>
        <w:t xml:space="preserve">, </w:t>
      </w:r>
      <w:r w:rsidRPr="00A428C3">
        <w:t>Won, S.W.</w:t>
      </w:r>
      <w:r w:rsidR="00F81221">
        <w:t xml:space="preserve"> and </w:t>
      </w:r>
      <w:r w:rsidRPr="00A428C3">
        <w:t xml:space="preserve">Yun, Y.S. (2006), </w:t>
      </w:r>
      <w:r w:rsidRPr="00A428C3">
        <w:rPr>
          <w:szCs w:val="19"/>
        </w:rPr>
        <w:t>Application of RR 4 biosorption models</w:t>
      </w:r>
      <w:r w:rsidRPr="00A428C3">
        <w:t xml:space="preserve">. </w:t>
      </w:r>
      <w:r w:rsidRPr="00A428C3">
        <w:rPr>
          <w:i/>
          <w:iCs/>
        </w:rPr>
        <w:t>Fresenius Environmental Bulletin</w:t>
      </w:r>
      <w:r w:rsidRPr="00A428C3">
        <w:t xml:space="preserve">, </w:t>
      </w:r>
      <w:r w:rsidRPr="00A428C3">
        <w:rPr>
          <w:b/>
        </w:rPr>
        <w:t>15</w:t>
      </w:r>
      <w:r w:rsidRPr="00A428C3">
        <w:t xml:space="preserve"> (11), </w:t>
      </w:r>
      <w:r w:rsidRPr="00A428C3">
        <w:rPr>
          <w:szCs w:val="19"/>
        </w:rPr>
        <w:t>1442-1446</w:t>
      </w:r>
      <w:r w:rsidRPr="00A428C3">
        <w:t>.</w:t>
      </w:r>
    </w:p>
    <w:p w:rsidR="00B95188" w:rsidRPr="00A428C3" w:rsidRDefault="00B95188" w:rsidP="00B95188">
      <w:pPr>
        <w:pStyle w:val="a0"/>
      </w:pPr>
      <w:r w:rsidRPr="00A428C3">
        <w:t xml:space="preserve">Full Text: </w:t>
      </w:r>
      <w:hyperlink r:id="rId177" w:history="1">
        <w:r w:rsidRPr="00A428C3">
          <w:rPr>
            <w:rStyle w:val="a5"/>
          </w:rPr>
          <w:t>2006\Fre Env Bul15, 1442.pdf</w:t>
        </w:r>
      </w:hyperlink>
    </w:p>
    <w:p w:rsidR="00B95188" w:rsidRPr="00A428C3" w:rsidRDefault="00B95188" w:rsidP="00B95188">
      <w:pPr>
        <w:pStyle w:val="a0"/>
      </w:pPr>
      <w:r w:rsidRPr="00A428C3">
        <w:t>Abstract: Protonated beer waste was used as a new type of adsorbent for the removal of Reactive Red 4 (RR 4). Various experimental parameters were investigated. Adsorption reached equilibrium in 18 hours. As the solution pH decreased the dye uptake increased,</w:t>
      </w:r>
      <w:r w:rsidR="00F81221">
        <w:t xml:space="preserve"> and </w:t>
      </w:r>
      <w:r w:rsidRPr="00A428C3">
        <w:t>under alkaline conditions desorption was dominating. The pseudo-second-order model</w:t>
      </w:r>
      <w:r w:rsidR="00F81221">
        <w:t xml:space="preserve"> and </w:t>
      </w:r>
      <w:r w:rsidRPr="00A428C3">
        <w:t>Langmuir isotherm model provided a high degree of correlation with the experimental data for the biosorption processes. The rate constant, the equilibrium sorption capacity</w:t>
      </w:r>
      <w:r w:rsidR="00F81221">
        <w:t xml:space="preserve"> and </w:t>
      </w:r>
      <w:r w:rsidRPr="00A428C3">
        <w:t xml:space="preserve">the initial sorption rate were calculated. The maximum adsorption capacities of beer waste were 82.23 </w:t>
      </w:r>
      <w:r w:rsidRPr="00A428C3">
        <w:sym w:font="Symbol" w:char="F0B1"/>
      </w:r>
      <w:r w:rsidRPr="00A428C3">
        <w:t xml:space="preserve"> 8.67</w:t>
      </w:r>
      <w:r w:rsidR="00F81221">
        <w:t xml:space="preserve"> and </w:t>
      </w:r>
      <w:r w:rsidRPr="00A428C3">
        <w:t xml:space="preserve">72.50 </w:t>
      </w:r>
      <w:r w:rsidRPr="00A428C3">
        <w:sym w:font="Symbol" w:char="F0B1"/>
      </w:r>
      <w:r w:rsidRPr="00A428C3">
        <w:t xml:space="preserve"> 6.45 mg/g at pHs 1</w:t>
      </w:r>
      <w:r w:rsidR="00F81221">
        <w:t xml:space="preserve"> and </w:t>
      </w:r>
      <w:r w:rsidRPr="00A428C3">
        <w:t>2, respectively. Kinetic study showed a pseudo-second-order rate of adsorption with respect to the solution. These results of adsorption performance indicate the beer waste as a potentially economical adsorbent for dye removal.</w:t>
      </w:r>
    </w:p>
    <w:p w:rsidR="00B95188" w:rsidRPr="00A428C3" w:rsidRDefault="00B95188" w:rsidP="00B95188">
      <w:pPr>
        <w:pStyle w:val="a0"/>
      </w:pPr>
      <w:r w:rsidRPr="00A428C3">
        <w:t>Keywords: Waste, Biosortpion, Reactive Red 4, Textile Dyes, Removal, Biomass</w:t>
      </w:r>
    </w:p>
    <w:p w:rsidR="00B95188" w:rsidRPr="00A428C3" w:rsidRDefault="00B95188" w:rsidP="00B95188">
      <w:pPr>
        <w:pStyle w:val="a0"/>
      </w:pPr>
      <w:r w:rsidRPr="00A428C3">
        <w:t>? Selek-Murathan, A.</w:t>
      </w:r>
      <w:r w:rsidR="00F81221">
        <w:t xml:space="preserve"> and </w:t>
      </w:r>
      <w:r w:rsidRPr="00A428C3">
        <w:t xml:space="preserve">Bütün, M. (2006), Removal of lead ions from dilute aqueous solution in packed columns by using natural fruit shells through adsorption. </w:t>
      </w:r>
      <w:r w:rsidRPr="00A428C3">
        <w:rPr>
          <w:i/>
          <w:iCs/>
        </w:rPr>
        <w:t>Fresenius Environmental Bulletin</w:t>
      </w:r>
      <w:r w:rsidRPr="00A428C3">
        <w:t xml:space="preserve">, </w:t>
      </w:r>
      <w:r w:rsidRPr="00A428C3">
        <w:rPr>
          <w:b/>
        </w:rPr>
        <w:t>15</w:t>
      </w:r>
      <w:r w:rsidRPr="00A428C3">
        <w:t xml:space="preserve"> (</w:t>
      </w:r>
      <w:smartTag w:uri="urn:schemas-microsoft-com:office:smarttags" w:element="chmetcnv">
        <w:smartTagPr>
          <w:attr w:name="TCSC" w:val="0"/>
          <w:attr w:name="NumberType" w:val="1"/>
          <w:attr w:name="Negative" w:val="False"/>
          <w:attr w:name="HasSpace" w:val="False"/>
          <w:attr w:name="SourceValue" w:val="12"/>
          <w:attr w:name="UnitName" w:val="a"/>
        </w:smartTagPr>
        <w:r w:rsidRPr="00A428C3">
          <w:t>12A</w:t>
        </w:r>
      </w:smartTag>
      <w:r w:rsidRPr="00A428C3">
        <w:t>), 1491-1498.</w:t>
      </w:r>
    </w:p>
    <w:p w:rsidR="00B95188" w:rsidRPr="00A428C3" w:rsidRDefault="00B95188" w:rsidP="00B95188">
      <w:pPr>
        <w:pStyle w:val="a0"/>
      </w:pPr>
      <w:r w:rsidRPr="00A428C3">
        <w:t xml:space="preserve">Full Text: </w:t>
      </w:r>
      <w:hyperlink r:id="rId178" w:history="1">
        <w:r w:rsidRPr="00A428C3">
          <w:rPr>
            <w:rStyle w:val="a5"/>
          </w:rPr>
          <w:t>2006\Fre Env Bul15, 1491.pdf</w:t>
        </w:r>
      </w:hyperlink>
    </w:p>
    <w:p w:rsidR="00B95188" w:rsidRPr="00A428C3" w:rsidRDefault="00B95188" w:rsidP="00B95188">
      <w:pPr>
        <w:pStyle w:val="a0"/>
      </w:pPr>
      <w:r w:rsidRPr="00A428C3">
        <w:t>Abstract: In this study, removal of lead ions using packed adsorption columns was investigated. The effect of initial concentration, temperature</w:t>
      </w:r>
      <w:r w:rsidR="00F81221">
        <w:t xml:space="preserve"> and </w:t>
      </w:r>
      <w:r w:rsidRPr="00A428C3">
        <w:t>type of sorbent (natural</w:t>
      </w:r>
      <w:r w:rsidR="00F81221">
        <w:t xml:space="preserve"> and </w:t>
      </w:r>
      <w:r w:rsidRPr="00A428C3">
        <w:t>regenerated horse chestnut) on lead removal was studied. In the sorption process, the outer layer of horse chestnut was more effective than the inner layer,</w:t>
      </w:r>
      <w:r w:rsidR="00F81221">
        <w:t xml:space="preserve"> and </w:t>
      </w:r>
      <w:r w:rsidRPr="00A428C3">
        <w:t>the calculation value of lead adsorption on the outer layer of horse chestnut was 109.60 mg per kg sorbent. The equilibrium sorption isotherms have been analyzed by Langmuir</w:t>
      </w:r>
      <w:r w:rsidR="00F81221">
        <w:t xml:space="preserve"> and </w:t>
      </w:r>
      <w:r w:rsidRPr="00A428C3">
        <w:t>Freundlich models. The Langmuir isotherms have the highest correlation coefficients. Sorption process was an endothermic process, as a result of thermodynamic parameter calculations. The kinetic data of the sorption showed that the second-order equation was more appropriate, indicating that the intraparticle diffusion is the rate-limiting, factor.</w:t>
      </w:r>
    </w:p>
    <w:p w:rsidR="00B95188" w:rsidRPr="00A428C3" w:rsidRDefault="00B95188" w:rsidP="00B95188">
      <w:pPr>
        <w:pStyle w:val="a0"/>
      </w:pPr>
      <w:r w:rsidRPr="00A428C3">
        <w:t xml:space="preserve">Keywords: Adsorbent, Adsorption, Azo Dyes, Biosorption, Diffusion, Equilibrium, </w:t>
      </w:r>
      <w:r w:rsidRPr="00A428C3">
        <w:lastRenderedPageBreak/>
        <w:t>Equilibrium, Fixed-Bed, Heavy-Metals, Horse Chestnut, Isotherms, Kinetic, Lead, Lead Ions, Packed Columns, Reactive Dyes, Sepiolite, Sorption, Temperature, Waste-Water, Zinc</w:t>
      </w:r>
    </w:p>
    <w:p w:rsidR="00B95188" w:rsidRPr="00A428C3" w:rsidRDefault="00B95188" w:rsidP="00B95188">
      <w:pPr>
        <w:pStyle w:val="a0"/>
      </w:pPr>
      <w:bookmarkStart w:id="153" w:name="_Toc490687969"/>
      <w:r w:rsidRPr="00A428C3">
        <w:t>? Bhatnagar, A.,</w:t>
      </w:r>
      <w:r w:rsidRPr="00A428C3">
        <w:rPr>
          <w:szCs w:val="19"/>
        </w:rPr>
        <w:t xml:space="preserve"> </w:t>
      </w:r>
      <w:smartTag w:uri="urn:schemas-microsoft-com:office:smarttags" w:element="City">
        <w:r w:rsidRPr="00A428C3">
          <w:t>Minocha</w:t>
        </w:r>
      </w:smartTag>
      <w:r w:rsidRPr="00A428C3">
        <w:t>, A.K.,</w:t>
      </w:r>
      <w:r w:rsidRPr="00A428C3">
        <w:rPr>
          <w:szCs w:val="19"/>
        </w:rPr>
        <w:t xml:space="preserve"> </w:t>
      </w:r>
      <w:r w:rsidRPr="00A428C3">
        <w:t>Kim, S.H.</w:t>
      </w:r>
      <w:r w:rsidR="00F81221">
        <w:t xml:space="preserve"> and </w:t>
      </w:r>
      <w:r w:rsidRPr="00A428C3">
        <w:t xml:space="preserve">Jeon, B.H. (2007), </w:t>
      </w:r>
      <w:r w:rsidRPr="00A428C3">
        <w:rPr>
          <w:szCs w:val="19"/>
        </w:rPr>
        <w:t>Removal of some metal ions from water using battery industry waste</w:t>
      </w:r>
      <w:r w:rsidR="00F81221">
        <w:rPr>
          <w:szCs w:val="19"/>
        </w:rPr>
        <w:t xml:space="preserve"> and </w:t>
      </w:r>
      <w:r w:rsidRPr="00A428C3">
        <w:rPr>
          <w:szCs w:val="19"/>
        </w:rPr>
        <w:t>its cement fixation</w:t>
      </w:r>
      <w:r w:rsidRPr="00A428C3">
        <w:t xml:space="preserve">. </w:t>
      </w:r>
      <w:r w:rsidRPr="00A428C3">
        <w:rPr>
          <w:i/>
          <w:iCs/>
        </w:rPr>
        <w:t>Fresenius Environmental Bulletin</w:t>
      </w:r>
      <w:r w:rsidRPr="00A428C3">
        <w:t xml:space="preserve">, </w:t>
      </w:r>
      <w:r w:rsidRPr="00A428C3">
        <w:rPr>
          <w:b/>
        </w:rPr>
        <w:t>16</w:t>
      </w:r>
      <w:r w:rsidRPr="00A428C3">
        <w:t xml:space="preserve"> (1), </w:t>
      </w:r>
      <w:r w:rsidRPr="00A428C3">
        <w:rPr>
          <w:szCs w:val="19"/>
        </w:rPr>
        <w:t>99-103</w:t>
      </w:r>
      <w:r w:rsidRPr="00A428C3">
        <w:t>.</w:t>
      </w:r>
    </w:p>
    <w:p w:rsidR="00B95188" w:rsidRPr="00A428C3" w:rsidRDefault="00B95188" w:rsidP="00B95188">
      <w:pPr>
        <w:pStyle w:val="a0"/>
      </w:pPr>
      <w:r w:rsidRPr="00A428C3">
        <w:t xml:space="preserve">Full Text: </w:t>
      </w:r>
      <w:r w:rsidR="00371127">
        <w:rPr>
          <w:rFonts w:hint="eastAsia"/>
        </w:rPr>
        <w:t>2007\</w:t>
      </w:r>
      <w:r w:rsidRPr="00A428C3">
        <w:t>Fre Env Bul16, 99</w:t>
      </w:r>
      <w:r w:rsidR="00371127">
        <w:rPr>
          <w:rFonts w:hint="eastAsia"/>
        </w:rPr>
        <w:t>.pdf</w:t>
      </w:r>
    </w:p>
    <w:p w:rsidR="00B95188" w:rsidRPr="00A428C3" w:rsidRDefault="00B95188" w:rsidP="00B95188">
      <w:pPr>
        <w:pStyle w:val="a0"/>
      </w:pPr>
      <w:r w:rsidRPr="00A428C3">
        <w:t>Abstract: A cheap adsorbent has been prepared utilizing battery industry waste,</w:t>
      </w:r>
      <w:r w:rsidR="00F81221">
        <w:t xml:space="preserve"> and </w:t>
      </w:r>
      <w:r w:rsidRPr="00A428C3">
        <w:t>investigated for the removal of some metal ions (Pb, Cu, Cr</w:t>
      </w:r>
      <w:r w:rsidR="00F81221">
        <w:t xml:space="preserve"> and </w:t>
      </w:r>
      <w:r w:rsidRPr="00A428C3">
        <w:t>Zn) from aqueous solutions. The results have shown that it adsorbs metal ions to a sufficient extent (33-64 mg g</w:t>
      </w:r>
      <w:r w:rsidRPr="00A428C3">
        <w:rPr>
          <w:vertAlign w:val="superscript"/>
        </w:rPr>
        <w:t>-1</w:t>
      </w:r>
      <w:r w:rsidRPr="00A428C3">
        <w:t>). The analysis of kinetic data indicates that adsorption is a first-order process. Further, the metal-laden adsorbent was immobilized into cement for ultimate disposal,</w:t>
      </w:r>
      <w:r w:rsidR="00F81221">
        <w:t xml:space="preserve"> and </w:t>
      </w:r>
      <w:r w:rsidRPr="00A428C3">
        <w:t>no significant leaching was observed from the stabilized products. A mortar specimen prepared with 10% metal-laden adsorbent showed nearly the same compressive strength than cement alone. Thus, the present studies clearly reveal that battery industry waste can be fruitfully employed in treating industrial effluents containing toxic metal ions. The proposed technology (utilization of industrial wastes for effluent treatment</w:t>
      </w:r>
      <w:r w:rsidR="00F81221">
        <w:t xml:space="preserve"> and </w:t>
      </w:r>
      <w:r w:rsidRPr="00A428C3">
        <w:t>ultimate disposal of adsorbents laden with pollutants in cementitious materials by fixation) provides a double-fold aim of waste-water treatment</w:t>
      </w:r>
      <w:r w:rsidR="00F81221">
        <w:t xml:space="preserve"> and </w:t>
      </w:r>
      <w:r w:rsidRPr="00A428C3">
        <w:t>solid waste management.</w:t>
      </w:r>
    </w:p>
    <w:p w:rsidR="00B95188" w:rsidRPr="00A428C3" w:rsidRDefault="00B95188" w:rsidP="00B95188">
      <w:pPr>
        <w:pStyle w:val="a0"/>
      </w:pPr>
      <w:r w:rsidRPr="00A428C3">
        <w:t xml:space="preserve">Keywords: Industrial Waste Minimization, </w:t>
      </w:r>
      <w:smartTag w:uri="urn:schemas-microsoft-com:office:smarttags" w:element="place">
        <w:r w:rsidRPr="00A428C3">
          <w:t>Battery</w:t>
        </w:r>
      </w:smartTag>
      <w:r w:rsidRPr="00A428C3">
        <w:t xml:space="preserve"> Industry Waste, Adsorbent, Metal Ions Removal, Water Treatment, Blast-Furnace Sludge, Aqueous-Solution, Fly-Ash, Sorption, Adsorbent, Adsorption, Lead(II), Peat, Slag</w:t>
      </w:r>
    </w:p>
    <w:p w:rsidR="00B95188" w:rsidRPr="00A428C3" w:rsidRDefault="00B95188" w:rsidP="00B95188">
      <w:pPr>
        <w:pStyle w:val="a0"/>
      </w:pPr>
      <w:r w:rsidRPr="00A428C3">
        <w:t>? Kuleyin, A.</w:t>
      </w:r>
      <w:r w:rsidR="00F81221">
        <w:t xml:space="preserve"> and </w:t>
      </w:r>
      <w:r w:rsidRPr="00A428C3">
        <w:t>Ergun, O.N. (2007), Studies on removal of ammonium ions from synthetic aqueous solutions</w:t>
      </w:r>
      <w:r w:rsidR="00F81221">
        <w:t xml:space="preserve"> and </w:t>
      </w:r>
      <w:r w:rsidRPr="00A428C3">
        <w:t xml:space="preserve">field leachate samples using clinoptilolite. </w:t>
      </w:r>
      <w:r w:rsidRPr="00A428C3">
        <w:rPr>
          <w:i/>
          <w:iCs/>
        </w:rPr>
        <w:t>Fresenius Environmental Bulletin</w:t>
      </w:r>
      <w:r w:rsidRPr="00A428C3">
        <w:t xml:space="preserve">, </w:t>
      </w:r>
      <w:r w:rsidRPr="00A428C3">
        <w:rPr>
          <w:b/>
        </w:rPr>
        <w:t>16</w:t>
      </w:r>
      <w:r w:rsidRPr="00A428C3">
        <w:t xml:space="preserve"> (2), 168-175.</w:t>
      </w:r>
    </w:p>
    <w:p w:rsidR="00B95188" w:rsidRPr="00A428C3" w:rsidRDefault="00B95188" w:rsidP="00B95188">
      <w:pPr>
        <w:pStyle w:val="a0"/>
      </w:pPr>
      <w:r w:rsidRPr="00A428C3">
        <w:t xml:space="preserve">Full Text: </w:t>
      </w:r>
      <w:r w:rsidR="00371127">
        <w:rPr>
          <w:rFonts w:hint="eastAsia"/>
        </w:rPr>
        <w:t>2007\</w:t>
      </w:r>
      <w:r w:rsidRPr="00A428C3">
        <w:t>Fre Env Bul16, 168</w:t>
      </w:r>
      <w:r w:rsidR="00371127">
        <w:rPr>
          <w:rFonts w:hint="eastAsia"/>
        </w:rPr>
        <w:t>.pdf</w:t>
      </w:r>
    </w:p>
    <w:p w:rsidR="00B95188" w:rsidRPr="00A428C3" w:rsidRDefault="00B95188" w:rsidP="00B95188">
      <w:pPr>
        <w:pStyle w:val="a0"/>
      </w:pPr>
      <w:r w:rsidRPr="00A428C3">
        <w:t>Abstract: The aim of this study is to investigate the capacity of the clinoptilolite for ammonium nitrogen removal from both synthetic solutions</w:t>
      </w:r>
      <w:r w:rsidR="00F81221">
        <w:t xml:space="preserve"> and </w:t>
      </w:r>
      <w:r w:rsidRPr="00A428C3">
        <w:t>solid waste leachate. Initially, studies were performed in batch reactors using synthetic ammonia nitrogen solutions, in order to establish the applicability of both kinetic sorption rate models as well as the adsorption isotherm models. Subsequently, column studies were carried out with leachate collections from the field to establish the breakthrough time intervals</w:t>
      </w:r>
      <w:r w:rsidR="00F81221">
        <w:t xml:space="preserve"> and </w:t>
      </w:r>
      <w:r w:rsidRPr="00A428C3">
        <w:t>concentrations, specifically for ammonia nitrogen. The effect of clinoptilolite sample pre-treatments on removal efficiency was also investigated in a series of batch-wise experiments. The Langmuir, Freundlich</w:t>
      </w:r>
      <w:r w:rsidR="00F81221">
        <w:t xml:space="preserve"> and </w:t>
      </w:r>
      <w:r w:rsidRPr="00A428C3">
        <w:t>Tempkin equations, which are in common use for describing sorption equilibrium of wastewater-treatment applications, were applied to the experimental data. The sorption kinetics were tested for pseudo-first order, pseudo-second order, Elovich</w:t>
      </w:r>
      <w:r w:rsidR="00F81221">
        <w:t xml:space="preserve"> </w:t>
      </w:r>
      <w:r w:rsidR="00F81221">
        <w:lastRenderedPageBreak/>
        <w:t xml:space="preserve">and </w:t>
      </w:r>
      <w:r w:rsidRPr="00A428C3">
        <w:t>intra-particle diffusion models,</w:t>
      </w:r>
      <w:r w:rsidR="00F81221">
        <w:t xml:space="preserve"> and </w:t>
      </w:r>
      <w:r w:rsidRPr="00A428C3">
        <w:t>the rate constants of all kinetic models were calculated</w:t>
      </w:r>
      <w:r w:rsidR="00F81221">
        <w:t xml:space="preserve"> and </w:t>
      </w:r>
      <w:r w:rsidRPr="00A428C3">
        <w:t xml:space="preserve">compared. The best correlation coefficient was obtained using the pseudo second-order kinetic model, which shows that ammonium uptake process followed the pseudo-second order rate expression. The results obtained clearly showed that the zeolitic tuffs of the </w:t>
      </w:r>
      <w:smartTag w:uri="urn:schemas-microsoft-com:office:smarttags" w:element="PlaceName">
        <w:r w:rsidRPr="00A428C3">
          <w:t>Cankiri-Corum</w:t>
        </w:r>
      </w:smartTag>
      <w:r w:rsidRPr="00A428C3">
        <w:t xml:space="preserve"> </w:t>
      </w:r>
      <w:smartTag w:uri="urn:schemas-microsoft-com:office:smarttags" w:element="PlaceType">
        <w:r w:rsidRPr="00A428C3">
          <w:t>Basin</w:t>
        </w:r>
      </w:smartTag>
      <w:r w:rsidRPr="00A428C3">
        <w:t xml:space="preserve"> in </w:t>
      </w:r>
      <w:smartTag w:uri="urn:schemas-microsoft-com:office:smarttags" w:element="place">
        <w:smartTag w:uri="urn:schemas-microsoft-com:office:smarttags" w:element="country-region">
          <w:r w:rsidRPr="00A428C3">
            <w:t>Turkey</w:t>
          </w:r>
        </w:smartTag>
      </w:smartTag>
      <w:r w:rsidRPr="00A428C3">
        <w:t xml:space="preserve"> can be used for removal of ammonium ions both from synthetic aqueous solutions</w:t>
      </w:r>
      <w:r w:rsidR="00F81221">
        <w:t xml:space="preserve"> and </w:t>
      </w:r>
      <w:r w:rsidRPr="00A428C3">
        <w:t>leachate.</w:t>
      </w:r>
    </w:p>
    <w:p w:rsidR="00B95188" w:rsidRPr="00A428C3" w:rsidRDefault="00B95188" w:rsidP="00B95188">
      <w:pPr>
        <w:pStyle w:val="a0"/>
      </w:pPr>
      <w:r w:rsidRPr="00A428C3">
        <w:t>Keywords: Adsorption, Adsorption Isotherm, Ammonia, Ammonium, Ammonium Removal, Ammonium Uptake, Applications, Capacity, Clinoptilolite, Concentrations, Correlation, Diffusion, Efficiency, Equilibrium, Exchange, Freundlich, Intra-Particle Diffusion, Isotherm, Kinetic, Kinetic Model, Kinetic Models, Kinetics, Landfill Leachate, Langmuir, Leachate, Lead, Model, Models, Natural Zeolite, Nitrogen, Nitrogen Removal, Pretreatment, Pseudo-Second-Order, Removal, Removal Efficiency, Solid Waste, Sorption, Sorption Equilibrium, Sorption Kinetics, Turkey, Uptake, Waste, Wastewater Treatment, Waters</w:t>
      </w:r>
    </w:p>
    <w:p w:rsidR="003D1E55" w:rsidRDefault="003D1E55" w:rsidP="003D1E55">
      <w:pPr>
        <w:pStyle w:val="a0"/>
        <w:rPr>
          <w:kern w:val="0"/>
        </w:rPr>
      </w:pPr>
      <w:r>
        <w:rPr>
          <w:rFonts w:hint="eastAsia"/>
          <w:kern w:val="0"/>
        </w:rPr>
        <w:t xml:space="preserve">? </w:t>
      </w:r>
      <w:r>
        <w:rPr>
          <w:kern w:val="0"/>
        </w:rPr>
        <w:t>Narr, J., Viraraghavan, T.</w:t>
      </w:r>
      <w:r w:rsidR="00F81221">
        <w:rPr>
          <w:kern w:val="0"/>
        </w:rPr>
        <w:t xml:space="preserve"> and </w:t>
      </w:r>
      <w:r>
        <w:rPr>
          <w:kern w:val="0"/>
        </w:rPr>
        <w:t xml:space="preserve">Jin, Y.C. (2007), Applications of nanotechnology in water/wastewater treatment: A review. </w:t>
      </w:r>
      <w:r>
        <w:rPr>
          <w:i/>
          <w:iCs/>
          <w:kern w:val="0"/>
        </w:rPr>
        <w:t>Fresenius Environmental Bulletin</w:t>
      </w:r>
      <w:r>
        <w:rPr>
          <w:kern w:val="0"/>
        </w:rPr>
        <w:t xml:space="preserve">, </w:t>
      </w:r>
      <w:r>
        <w:rPr>
          <w:b/>
          <w:bCs/>
          <w:kern w:val="0"/>
        </w:rPr>
        <w:t>16</w:t>
      </w:r>
      <w:r>
        <w:rPr>
          <w:kern w:val="0"/>
        </w:rPr>
        <w:t xml:space="preserve"> (4), 320-329.</w:t>
      </w:r>
    </w:p>
    <w:p w:rsidR="003D1E55" w:rsidRPr="00A428C3" w:rsidRDefault="003D1E55" w:rsidP="003D1E55">
      <w:pPr>
        <w:pStyle w:val="a0"/>
      </w:pPr>
      <w:r w:rsidRPr="00A428C3">
        <w:t xml:space="preserve">Full Text: </w:t>
      </w:r>
      <w:r>
        <w:rPr>
          <w:rFonts w:hint="eastAsia"/>
        </w:rPr>
        <w:t>2007\</w:t>
      </w:r>
      <w:r w:rsidRPr="00A428C3">
        <w:t>Fre Env Bul16, 720</w:t>
      </w:r>
      <w:r>
        <w:rPr>
          <w:rFonts w:hint="eastAsia"/>
        </w:rPr>
        <w:t>.pdf</w:t>
      </w:r>
    </w:p>
    <w:p w:rsidR="003D1E55" w:rsidRDefault="003D1E55" w:rsidP="003D1E55">
      <w:pPr>
        <w:pStyle w:val="a0"/>
        <w:rPr>
          <w:kern w:val="0"/>
        </w:rPr>
      </w:pPr>
      <w:r>
        <w:rPr>
          <w:kern w:val="0"/>
        </w:rPr>
        <w:t>Abstract: The applications of nanotechnology in environmental engineering are vast with emphasis in areas, such as pollution prevention, treatment</w:t>
      </w:r>
      <w:r w:rsidR="00F81221">
        <w:rPr>
          <w:kern w:val="0"/>
        </w:rPr>
        <w:t xml:space="preserve"> and </w:t>
      </w:r>
      <w:r>
        <w:rPr>
          <w:kern w:val="0"/>
        </w:rPr>
        <w:t>remediation. In water</w:t>
      </w:r>
      <w:r w:rsidR="00F81221">
        <w:rPr>
          <w:kern w:val="0"/>
        </w:rPr>
        <w:t xml:space="preserve"> and </w:t>
      </w:r>
      <w:r>
        <w:rPr>
          <w:kern w:val="0"/>
        </w:rPr>
        <w:t>wastewater treatment research has been shown that nanoparticles have expedited reactions, eliminated the use of expensive UV lights,</w:t>
      </w:r>
      <w:r w:rsidR="00F81221">
        <w:rPr>
          <w:kern w:val="0"/>
        </w:rPr>
        <w:t xml:space="preserve"> and </w:t>
      </w:r>
      <w:r>
        <w:rPr>
          <w:kern w:val="0"/>
        </w:rPr>
        <w:t>removed organic dyes</w:t>
      </w:r>
      <w:r w:rsidR="00F81221">
        <w:rPr>
          <w:kern w:val="0"/>
        </w:rPr>
        <w:t xml:space="preserve"> and </w:t>
      </w:r>
      <w:r>
        <w:rPr>
          <w:kern w:val="0"/>
        </w:rPr>
        <w:t>inorganic compounds, such as nitrates, efficiently. In case of groundwater remediation, refractory organic compounds have been treated more efficiently</w:t>
      </w:r>
      <w:r w:rsidR="00F81221">
        <w:rPr>
          <w:kern w:val="0"/>
        </w:rPr>
        <w:t xml:space="preserve"> and </w:t>
      </w:r>
      <w:r>
        <w:rPr>
          <w:kern w:val="0"/>
        </w:rPr>
        <w:t>with simpler infrastructure compared to conventional treatment methods. However, there is insufficient data pertaining to pilot or field scale studies. There is also a lack of complete life cycle analysis of the fate</w:t>
      </w:r>
      <w:r w:rsidR="00F81221">
        <w:rPr>
          <w:kern w:val="0"/>
        </w:rPr>
        <w:t xml:space="preserve"> and </w:t>
      </w:r>
      <w:r>
        <w:rPr>
          <w:kern w:val="0"/>
        </w:rPr>
        <w:t>transport of the nanoparticles in the environment,</w:t>
      </w:r>
      <w:r w:rsidR="00F81221">
        <w:rPr>
          <w:kern w:val="0"/>
        </w:rPr>
        <w:t xml:space="preserve"> and </w:t>
      </w:r>
      <w:r>
        <w:rPr>
          <w:kern w:val="0"/>
        </w:rPr>
        <w:t>their general effects on health implications. This review paper presents information on nanotechnology applications in water</w:t>
      </w:r>
      <w:r w:rsidR="00F81221">
        <w:rPr>
          <w:kern w:val="0"/>
        </w:rPr>
        <w:t xml:space="preserve"> and </w:t>
      </w:r>
      <w:r>
        <w:rPr>
          <w:kern w:val="0"/>
        </w:rPr>
        <w:t>wastewater treatment</w:t>
      </w:r>
      <w:r w:rsidR="00F81221">
        <w:rPr>
          <w:kern w:val="0"/>
        </w:rPr>
        <w:t xml:space="preserve"> and </w:t>
      </w:r>
      <w:r>
        <w:rPr>
          <w:kern w:val="0"/>
        </w:rPr>
        <w:t>groundwater remediation.</w:t>
      </w:r>
    </w:p>
    <w:p w:rsidR="003D1E55" w:rsidRDefault="003D1E55" w:rsidP="003D1E55">
      <w:pPr>
        <w:pStyle w:val="a0"/>
        <w:rPr>
          <w:kern w:val="0"/>
        </w:rPr>
      </w:pPr>
      <w:r>
        <w:rPr>
          <w:kern w:val="0"/>
        </w:rPr>
        <w:t>Keywords: Analysis, Applications, Chelating-Agents, Complete, Compounds, Data, Dechlorination, Dyes, Environment, Field, Life-Cycle, Nanomaterials, Nanoparticies, Nanoparticles, Nanoscale Iron Particles, Nanotechnology, Nitrates, Organic Compounds, Photocatalytic Degradation, Pollution, Poly(Amidoamine) Dendrimers, Reduction, Remediation, Remediation, Research, Review, Titanium Dioxide (TiO</w:t>
      </w:r>
      <w:r w:rsidRPr="00416A86">
        <w:rPr>
          <w:kern w:val="0"/>
          <w:vertAlign w:val="subscript"/>
        </w:rPr>
        <w:t>2</w:t>
      </w:r>
      <w:r>
        <w:rPr>
          <w:kern w:val="0"/>
        </w:rPr>
        <w:t>), Treatment, UV, Wastewater, Wastewater Treatment, Water, Zero-Valent Iron (ZVI)</w:t>
      </w:r>
    </w:p>
    <w:p w:rsidR="00B95188" w:rsidRPr="00A428C3" w:rsidRDefault="00B95188" w:rsidP="00B95188">
      <w:pPr>
        <w:pStyle w:val="a0"/>
      </w:pPr>
      <w:r w:rsidRPr="00A428C3">
        <w:t>? Ozmetin, C.</w:t>
      </w:r>
      <w:r w:rsidR="00F81221">
        <w:t xml:space="preserve"> and </w:t>
      </w:r>
      <w:r w:rsidRPr="00A428C3">
        <w:t xml:space="preserve">Aydin, O. (2007), A semi-empirical model for adsorption of magnesium ion from magnesium impurity-containing saturated boric acid solutions on Amberlite IR-120 resin. </w:t>
      </w:r>
      <w:r w:rsidRPr="00A428C3">
        <w:rPr>
          <w:i/>
          <w:iCs/>
        </w:rPr>
        <w:t>Fresenius Environmental Bulletin</w:t>
      </w:r>
      <w:r w:rsidRPr="00A428C3">
        <w:t xml:space="preserve">, </w:t>
      </w:r>
      <w:r w:rsidRPr="00A428C3">
        <w:rPr>
          <w:b/>
          <w:bCs/>
        </w:rPr>
        <w:t>16</w:t>
      </w:r>
      <w:r w:rsidRPr="00A428C3">
        <w:t xml:space="preserve"> (7), 720-725.</w:t>
      </w:r>
    </w:p>
    <w:p w:rsidR="00B95188" w:rsidRPr="00A428C3" w:rsidRDefault="00B95188" w:rsidP="00B95188">
      <w:pPr>
        <w:pStyle w:val="a0"/>
      </w:pPr>
      <w:r w:rsidRPr="00A428C3">
        <w:lastRenderedPageBreak/>
        <w:t xml:space="preserve">Full Text: </w:t>
      </w:r>
      <w:r w:rsidR="00371127">
        <w:rPr>
          <w:rFonts w:hint="eastAsia"/>
        </w:rPr>
        <w:t>2007\</w:t>
      </w:r>
      <w:r w:rsidRPr="00A428C3">
        <w:t>Fre Env Bul16, 720</w:t>
      </w:r>
      <w:r w:rsidR="00371127">
        <w:rPr>
          <w:rFonts w:hint="eastAsia"/>
        </w:rPr>
        <w:t>.pdf</w:t>
      </w:r>
    </w:p>
    <w:p w:rsidR="00B95188" w:rsidRPr="00A428C3" w:rsidRDefault="00B95188" w:rsidP="00B95188">
      <w:pPr>
        <w:pStyle w:val="a0"/>
      </w:pPr>
      <w:r w:rsidRPr="00A428C3">
        <w:t>Abstract: In this study, the use of Amberlite IR-120, strong acidic cation exchange resin, was investigated to remove magnesium impurity from saturated boric acid solutions. The magnesium impurity caused by magnesium compounds in raw colemanite is a very important problem, which has to be solved by the industry. The experiments were carried out in a batch reactor. Adsorption kinetics of magnesium was studied as a function of resin/solution ratio (g/100 mQ, initial solution pH</w:t>
      </w:r>
      <w:r w:rsidR="00F81221">
        <w:t xml:space="preserve"> and </w:t>
      </w:r>
      <w:r w:rsidRPr="00A428C3">
        <w:t>temperature (K). The obtained kinetic data were employed with pseudo-first order</w:t>
      </w:r>
      <w:r w:rsidR="00F81221">
        <w:t xml:space="preserve"> and </w:t>
      </w:r>
      <w:r w:rsidRPr="00A428C3">
        <w:t>pseudo-second order models. It was determined that the pseudo-second order model was the best fitting kinetic model. Furthermore, a semi empirical model was developed to predict operational conditions of the batch process in the following form; t / q(1) = 313.737 x [H](0.0055) x (S / L)(0-9228) x exp(-5209.856/RT)x t(1.0129).</w:t>
      </w:r>
    </w:p>
    <w:p w:rsidR="00B95188" w:rsidRPr="00A428C3" w:rsidRDefault="00B95188" w:rsidP="00B95188">
      <w:pPr>
        <w:pStyle w:val="a0"/>
      </w:pPr>
      <w:r w:rsidRPr="00A428C3">
        <w:t>Keywords: Acid, Adsorption, Adsorption Kinetics, Amberlite, Amberlite IR-120, Aqueous-Solution, Batch, Batch Reactor, Boric Acid, Cation, Cation Exchange, Cation Exchange Resin, Exchange, Fitting, Function, Impurity, Ion, Ion Exchange, Kinetic, Kinetic Model, Kinetics, Magnesium, Magnesium Removal, Model, Models, Order, pH, Predict, Process, Pseudo Second Order, Pseudo-First Order, Pseudo-First-Order, Pseudo-Second Order, Pseudo-Second Order Model, Pseudo-Second-Order, Reactor, Resin, Semi-Empirical, Semi-Empirical Model, Solution Ph, Solutions, Sorption, T, Temperature</w:t>
      </w:r>
    </w:p>
    <w:p w:rsidR="00B95188" w:rsidRPr="00A428C3" w:rsidRDefault="00B95188" w:rsidP="00B95188">
      <w:pPr>
        <w:pStyle w:val="a0"/>
      </w:pPr>
      <w:r w:rsidRPr="00A428C3">
        <w:t>? Zhou, P.J., Xie, L.L., Liu, L.J., Li, J., He, F.</w:t>
      </w:r>
      <w:r w:rsidR="00F81221">
        <w:t xml:space="preserve"> and </w:t>
      </w:r>
      <w:r w:rsidRPr="00A428C3">
        <w:t>Wu, Z.B. (2007), Studies on the adsorption equilibrium</w:t>
      </w:r>
      <w:r w:rsidR="00F81221">
        <w:t xml:space="preserve"> and </w:t>
      </w:r>
      <w:r w:rsidRPr="00A428C3">
        <w:t xml:space="preserve">kinetics of pentachlorophenol on suspended particulate matter of </w:t>
      </w:r>
      <w:smartTag w:uri="urn:schemas-microsoft-com:office:smarttags" w:element="place">
        <w:smartTag w:uri="urn:schemas-microsoft-com:office:smarttags" w:element="PlaceName">
          <w:r w:rsidRPr="00A428C3">
            <w:t>Donghu</w:t>
          </w:r>
        </w:smartTag>
        <w:r w:rsidRPr="00A428C3">
          <w:t xml:space="preserve"> </w:t>
        </w:r>
        <w:smartTag w:uri="urn:schemas-microsoft-com:office:smarttags" w:element="PlaceType">
          <w:r w:rsidRPr="00A428C3">
            <w:t>Lake</w:t>
          </w:r>
        </w:smartTag>
      </w:smartTag>
      <w:r w:rsidRPr="00A428C3">
        <w:t xml:space="preserve"> water. </w:t>
      </w:r>
      <w:r w:rsidRPr="00A428C3">
        <w:rPr>
          <w:i/>
          <w:iCs/>
        </w:rPr>
        <w:t>Fresenius Environmental Bulletin</w:t>
      </w:r>
      <w:r w:rsidRPr="00A428C3">
        <w:t xml:space="preserve">, </w:t>
      </w:r>
      <w:r w:rsidRPr="00A428C3">
        <w:rPr>
          <w:b/>
        </w:rPr>
        <w:t>16</w:t>
      </w:r>
      <w:r w:rsidRPr="00A428C3">
        <w:t xml:space="preserve"> (8), 856-860.</w:t>
      </w:r>
    </w:p>
    <w:p w:rsidR="00B95188" w:rsidRPr="00A428C3" w:rsidRDefault="00B95188" w:rsidP="00B95188">
      <w:pPr>
        <w:pStyle w:val="a0"/>
      </w:pPr>
      <w:r w:rsidRPr="00A428C3">
        <w:t xml:space="preserve">Full Text: </w:t>
      </w:r>
      <w:r w:rsidR="00371127">
        <w:rPr>
          <w:rFonts w:hint="eastAsia"/>
        </w:rPr>
        <w:t>2007\</w:t>
      </w:r>
      <w:r w:rsidRPr="00A428C3">
        <w:t>Fre Env Bul16, 856</w:t>
      </w:r>
      <w:r w:rsidR="00371127">
        <w:rPr>
          <w:rFonts w:hint="eastAsia"/>
        </w:rPr>
        <w:t>.pdf</w:t>
      </w:r>
    </w:p>
    <w:p w:rsidR="00B95188" w:rsidRPr="00A428C3" w:rsidRDefault="00B95188" w:rsidP="00B95188">
      <w:pPr>
        <w:pStyle w:val="a0"/>
      </w:pPr>
      <w:r w:rsidRPr="00A428C3">
        <w:t>Abstract: In this paper, the adsorption equilibrium</w:t>
      </w:r>
      <w:r w:rsidR="00F81221">
        <w:t xml:space="preserve"> and </w:t>
      </w:r>
      <w:r w:rsidRPr="00A428C3">
        <w:t xml:space="preserve">kinetic behaviors of pentachlorophenol (PCP) on suspended particulate matter (SPM) in </w:t>
      </w:r>
      <w:smartTag w:uri="urn:schemas-microsoft-com:office:smarttags" w:element="place">
        <w:smartTag w:uri="urn:schemas-microsoft-com:office:smarttags" w:element="PlaceName">
          <w:r w:rsidRPr="00A428C3">
            <w:t>Donghu</w:t>
          </w:r>
        </w:smartTag>
        <w:r w:rsidRPr="00A428C3">
          <w:t xml:space="preserve"> </w:t>
        </w:r>
        <w:smartTag w:uri="urn:schemas-microsoft-com:office:smarttags" w:element="PersonName">
          <w:smartTagPr>
            <w:attr w:name="ProductID" w:val="lake water"/>
          </w:smartTagPr>
          <w:smartTag w:uri="urn:schemas-microsoft-com:office:smarttags" w:element="PlaceType">
            <w:r w:rsidRPr="00A428C3">
              <w:t>Lake</w:t>
            </w:r>
          </w:smartTag>
        </w:smartTag>
      </w:smartTag>
      <w:r w:rsidRPr="00A428C3">
        <w:t xml:space="preserve"> water were investigated. The Langmuir</w:t>
      </w:r>
      <w:r w:rsidR="00F81221">
        <w:t xml:space="preserve"> and </w:t>
      </w:r>
      <w:r w:rsidRPr="00A428C3">
        <w:t>Freundlich adsorption models were applied to describe the equilibrium isotherms</w:t>
      </w:r>
      <w:r w:rsidR="00F81221">
        <w:t xml:space="preserve"> and </w:t>
      </w:r>
      <w:r w:rsidRPr="00A428C3">
        <w:t>their constants were evaluated. The results indicated that the adsorption of PCP on Donghu Lake SPM followed the Freundlich isotherm. Furthermore, the first order Lagergren rate equation</w:t>
      </w:r>
      <w:r w:rsidR="00F81221">
        <w:t xml:space="preserve"> and </w:t>
      </w:r>
      <w:r w:rsidRPr="00A428C3">
        <w:t>the pseudo-second order rate equation were used to describe the kinetic behaviors of PCP adsorption on Donghu Lake SPM, the rate constants were determined,</w:t>
      </w:r>
      <w:r w:rsidR="00F81221">
        <w:t xml:space="preserve"> and </w:t>
      </w:r>
      <w:r w:rsidRPr="00A428C3">
        <w:t>the kinetic process of the adsorption of PCP on Donghu Lake SPM followed the second order kinetic model.</w:t>
      </w:r>
    </w:p>
    <w:p w:rsidR="00B95188" w:rsidRPr="00A428C3" w:rsidRDefault="00B95188" w:rsidP="00B95188">
      <w:pPr>
        <w:pStyle w:val="a0"/>
      </w:pPr>
      <w:r w:rsidRPr="00A428C3">
        <w:t>Keywords: Activated-Sludge, Adsorption, Adsorption Equilibrium, Adsorption Equilibrium</w:t>
      </w:r>
      <w:r w:rsidR="00F81221">
        <w:t xml:space="preserve"> and </w:t>
      </w:r>
      <w:r w:rsidRPr="00A428C3">
        <w:t xml:space="preserve">Kinetics, Adsorption Models, Aqueous-Solution, Biosorption, Constants, Donghu Lake, Dyes, Equilibrium, Equilibrium Isotherms, First Order, Freundlich, Freundlich Isotherm, Isotherm, Isotherms, Kinetic, Kinetic Model, Kinetics, Lagergren, Langmuir, Matter, Model, Models, Nonionic Surfactant, Order, </w:t>
      </w:r>
      <w:r w:rsidRPr="00A428C3">
        <w:lastRenderedPageBreak/>
        <w:t>Ozonation, Paper, Particulate, Particulate Matter, PCP, Pentachlorophenol, Pentachlorophenol (PCP), Process, Pseudo Second Order, Pseudo-Second Order, Pseudo-Second-Order, Rate, Rate Constants, Rate Equation, Second Order, Sorption, Spm, Suspended Particulate Matter, Suspended Particulate Matter (SPM), System, Water</w:t>
      </w:r>
    </w:p>
    <w:p w:rsidR="00B95188" w:rsidRPr="00A428C3" w:rsidRDefault="00B95188" w:rsidP="00B95188">
      <w:pPr>
        <w:pStyle w:val="a0"/>
      </w:pPr>
      <w:r w:rsidRPr="00A428C3">
        <w:t>? Ugurlu, M.</w:t>
      </w:r>
      <w:r w:rsidR="00F81221">
        <w:t xml:space="preserve"> and </w:t>
      </w:r>
      <w:r w:rsidRPr="00A428C3">
        <w:t xml:space="preserve">Hazirbulan, S. (2007), Removal of some organic compounds from pre-treated olive mill wastewater by sepiolite. </w:t>
      </w:r>
      <w:r w:rsidRPr="00A428C3">
        <w:rPr>
          <w:i/>
          <w:iCs/>
        </w:rPr>
        <w:t>Fresenius Environmental Bulletin</w:t>
      </w:r>
      <w:r w:rsidRPr="00A428C3">
        <w:t xml:space="preserve">, </w:t>
      </w:r>
      <w:r w:rsidRPr="00A428C3">
        <w:rPr>
          <w:b/>
        </w:rPr>
        <w:t>16</w:t>
      </w:r>
      <w:r w:rsidRPr="00A428C3">
        <w:t xml:space="preserve"> (8), 887-895.</w:t>
      </w:r>
    </w:p>
    <w:p w:rsidR="00B95188" w:rsidRPr="00A428C3" w:rsidRDefault="00B95188" w:rsidP="00B95188">
      <w:pPr>
        <w:pStyle w:val="a0"/>
      </w:pPr>
      <w:r w:rsidRPr="00A428C3">
        <w:t xml:space="preserve">Full Text: </w:t>
      </w:r>
      <w:r w:rsidR="00371127">
        <w:rPr>
          <w:rFonts w:hint="eastAsia"/>
        </w:rPr>
        <w:t>2007\</w:t>
      </w:r>
      <w:r w:rsidRPr="00A428C3">
        <w:t>Fre Env Bul16, 887</w:t>
      </w:r>
      <w:r w:rsidR="00371127">
        <w:rPr>
          <w:rFonts w:hint="eastAsia"/>
        </w:rPr>
        <w:t>.pdf</w:t>
      </w:r>
    </w:p>
    <w:p w:rsidR="00B95188" w:rsidRPr="00A428C3" w:rsidRDefault="00B95188" w:rsidP="00B95188">
      <w:pPr>
        <w:pStyle w:val="a0"/>
      </w:pPr>
      <w:r w:rsidRPr="00A428C3">
        <w:t>Abstract: In this study, Olive Mill Wastewater (OMW) was treated with lime to a pH.7.0, followed by 30% H</w:t>
      </w:r>
      <w:r w:rsidRPr="00A428C3">
        <w:rPr>
          <w:vertAlign w:val="subscript"/>
        </w:rPr>
        <w:t>2</w:t>
      </w:r>
      <w:r w:rsidRPr="00A428C3">
        <w:t>O</w:t>
      </w:r>
      <w:r w:rsidRPr="00A428C3">
        <w:rPr>
          <w:vertAlign w:val="subscript"/>
        </w:rPr>
        <w:t>2</w:t>
      </w:r>
      <w:r w:rsidRPr="00A428C3">
        <w:t xml:space="preserve"> solution. Phenol. lignin</w:t>
      </w:r>
      <w:r w:rsidR="00F81221">
        <w:t xml:space="preserve"> and </w:t>
      </w:r>
      <w:r w:rsidRPr="00A428C3">
        <w:t>colour changes were analyzed by UV- VIS spectrophotometry after a one-week period. Phenol</w:t>
      </w:r>
      <w:r w:rsidR="00F81221">
        <w:t xml:space="preserve"> and </w:t>
      </w:r>
      <w:r w:rsidRPr="00A428C3">
        <w:t>lianin removals were found to be 99.5 %</w:t>
      </w:r>
      <w:r w:rsidR="00F81221">
        <w:t xml:space="preserve"> and </w:t>
      </w:r>
      <w:r w:rsidRPr="00A428C3">
        <w:t>35 %, respectively. Then, adsorption experiments were conducted on these solutions by using different sepiolite samples, i.e. heat-activated sepiolite (AS), thermal-acid-activated sepiolites (AAS),</w:t>
      </w:r>
      <w:r w:rsidR="00F81221">
        <w:t xml:space="preserve"> and </w:t>
      </w:r>
      <w:r w:rsidRPr="00A428C3">
        <w:t>thermal-base-activated sepiolites (BAS). The surface modification of these samples was examined by the SEM, XRD</w:t>
      </w:r>
      <w:r w:rsidR="00F81221">
        <w:t xml:space="preserve"> and </w:t>
      </w:r>
      <w:r w:rsidRPr="00A428C3">
        <w:t>FT-IR techniques. Phenol</w:t>
      </w:r>
      <w:r w:rsidR="00F81221">
        <w:t xml:space="preserve"> and </w:t>
      </w:r>
      <w:r w:rsidRPr="00A428C3">
        <w:t>lignin removal was investigated at different adsorption times by these sepiolite samples. BAS samples were shown to provide more removal than those of AAS</w:t>
      </w:r>
      <w:r w:rsidR="00F81221">
        <w:t xml:space="preserve"> and </w:t>
      </w:r>
      <w:r w:rsidRPr="00A428C3">
        <w:t>AS. In addition, the kinetic data supported the pseudo-second order model, but showed very poor fit for pseudo-first order</w:t>
      </w:r>
      <w:r w:rsidR="00F81221">
        <w:t xml:space="preserve"> and </w:t>
      </w:r>
      <w:r w:rsidRPr="00A428C3">
        <w:t>intraparticle diffusion models. The adsorption data for AS were also fitted to Lanomuir</w:t>
      </w:r>
      <w:r w:rsidR="00F81221">
        <w:t xml:space="preserve"> and </w:t>
      </w:r>
      <w:r w:rsidRPr="00A428C3">
        <w:t>Freundlich isotherms. AS exhibited a better fit to Langmuir than Freundlich. Finally, Gibbs-free energy for lignin</w:t>
      </w:r>
      <w:r w:rsidR="00F81221">
        <w:t xml:space="preserve"> and </w:t>
      </w:r>
      <w:r w:rsidRPr="00A428C3">
        <w:t>phenol were calculated.</w:t>
      </w:r>
    </w:p>
    <w:p w:rsidR="00B95188" w:rsidRPr="00A428C3" w:rsidRDefault="00B95188" w:rsidP="00B95188">
      <w:pPr>
        <w:pStyle w:val="a0"/>
      </w:pPr>
      <w:r w:rsidRPr="00A428C3">
        <w:t>Keywords: Aas, Adsorption, Adsorption, Aqueous-Solutions, Clay, Clays, Colour, Diffusion, Diffusion Models, Effluent, Energy, Freundlich, Freundlich Isotherms, FT-IR, Ftir, Gibbs Free Energy, H</w:t>
      </w:r>
      <w:r w:rsidRPr="00A428C3">
        <w:rPr>
          <w:vertAlign w:val="subscript"/>
        </w:rPr>
        <w:t>2</w:t>
      </w:r>
      <w:r w:rsidRPr="00A428C3">
        <w:t>O</w:t>
      </w:r>
      <w:r w:rsidRPr="00A428C3">
        <w:rPr>
          <w:vertAlign w:val="subscript"/>
        </w:rPr>
        <w:t>2</w:t>
      </w:r>
      <w:r w:rsidRPr="00A428C3">
        <w:t>, Intraparticle Diffusion, Isotherms, Kinetic, Langmuir, Lignin, Lime, Model, Models, Modification, Olive, Olive Mill Waste-Water, Order, Organic, Organic Compounds, Phenol, Phenolic-Compounds, Pretreated, Pseudo Second Order, Pseudo-First Order, Pseudo-First-Order, Pseudo-Second Order, Pseudo-Second Order Model, Pseudo-Second-Order, Removal, Sem, Sepiolite, Solutions, Spectrophotometry, Surface, Surface Modification, System, Techniques, UV, VI, Wastewater, XRD</w:t>
      </w:r>
    </w:p>
    <w:p w:rsidR="00B95188" w:rsidRPr="00A428C3" w:rsidRDefault="00B95188" w:rsidP="00B95188">
      <w:pPr>
        <w:pStyle w:val="a0"/>
      </w:pPr>
      <w:r w:rsidRPr="00A428C3">
        <w:t>? Bhatnagar, A., Minocha, A.K., Jeon, B.H., Park, J.M.</w:t>
      </w:r>
      <w:r w:rsidR="00F81221">
        <w:t xml:space="preserve"> and </w:t>
      </w:r>
      <w:r w:rsidRPr="00A428C3">
        <w:t>Lee, G. (2007), Adsorption of orange G dye on paper mill sludge: Equilibrium</w:t>
      </w:r>
      <w:r w:rsidR="00F81221">
        <w:t xml:space="preserve"> and </w:t>
      </w:r>
      <w:r w:rsidRPr="00A428C3">
        <w:t xml:space="preserve">kinetic modeling. </w:t>
      </w:r>
      <w:r w:rsidRPr="00A428C3">
        <w:rPr>
          <w:i/>
          <w:iCs/>
        </w:rPr>
        <w:t>Fresenius Environmental Bulletin</w:t>
      </w:r>
      <w:r w:rsidRPr="00A428C3">
        <w:t xml:space="preserve">, </w:t>
      </w:r>
      <w:r w:rsidRPr="00A428C3">
        <w:rPr>
          <w:b/>
        </w:rPr>
        <w:t>16</w:t>
      </w:r>
      <w:r w:rsidRPr="00A428C3">
        <w:t xml:space="preserve"> (</w:t>
      </w:r>
      <w:smartTag w:uri="urn:schemas-microsoft-com:office:smarttags" w:element="chmetcnv">
        <w:smartTagPr>
          <w:attr w:name="TCSC" w:val="0"/>
          <w:attr w:name="NumberType" w:val="1"/>
          <w:attr w:name="Negative" w:val="False"/>
          <w:attr w:name="HasSpace" w:val="False"/>
          <w:attr w:name="SourceValue" w:val="9"/>
          <w:attr w:name="UnitName" w:val="a"/>
        </w:smartTagPr>
        <w:r w:rsidRPr="00A428C3">
          <w:t>9A</w:t>
        </w:r>
      </w:smartTag>
      <w:r w:rsidRPr="00A428C3">
        <w:t>), 1049-1055.</w:t>
      </w:r>
    </w:p>
    <w:p w:rsidR="00B95188" w:rsidRPr="00A428C3" w:rsidRDefault="00B95188" w:rsidP="00B95188">
      <w:pPr>
        <w:pStyle w:val="a0"/>
      </w:pPr>
      <w:r w:rsidRPr="00A428C3">
        <w:t xml:space="preserve">Full Text: </w:t>
      </w:r>
      <w:r w:rsidR="00371127">
        <w:rPr>
          <w:rFonts w:hint="eastAsia"/>
        </w:rPr>
        <w:t>2007\</w:t>
      </w:r>
      <w:r w:rsidRPr="00A428C3">
        <w:t xml:space="preserve">Fre Env Bul16, </w:t>
      </w:r>
      <w:r>
        <w:rPr>
          <w:rFonts w:hint="eastAsia"/>
        </w:rPr>
        <w:t>1049</w:t>
      </w:r>
      <w:r w:rsidR="00371127">
        <w:rPr>
          <w:rFonts w:hint="eastAsia"/>
        </w:rPr>
        <w:t>.pdf</w:t>
      </w:r>
    </w:p>
    <w:p w:rsidR="00B95188" w:rsidRPr="00A428C3" w:rsidRDefault="00B95188" w:rsidP="00B95188">
      <w:pPr>
        <w:pStyle w:val="a0"/>
      </w:pPr>
      <w:r w:rsidRPr="00A428C3">
        <w:t xml:space="preserve">Abstract: In the present study, paper mill sludge (generated as a waste material from paper industries) was investigated as an adsorbent for the removal of orange G dye </w:t>
      </w:r>
      <w:r w:rsidRPr="00A428C3">
        <w:lastRenderedPageBreak/>
        <w:t>(an anionic dye) from aqueous solutions. The adsorption capacity of paper mill sludge adsorbent for orange G dye was found to be 62.3 mg/g at 25</w:t>
      </w:r>
      <w:r w:rsidR="008A7E71">
        <w:t>°</w:t>
      </w:r>
      <w:r w:rsidRPr="00A428C3">
        <w:t>C. The adsorption was studied as a function of contact time, concentration,</w:t>
      </w:r>
      <w:r w:rsidR="00F81221">
        <w:t xml:space="preserve"> and </w:t>
      </w:r>
      <w:r w:rsidRPr="00A428C3">
        <w:t>pH, by batch method. The adsorption data conform best to the Langmuir model. Three simplified kinetic models viz. pseudo-first-order, pseudo-second-order,</w:t>
      </w:r>
      <w:r w:rsidR="00F81221">
        <w:t xml:space="preserve"> and </w:t>
      </w:r>
      <w:r w:rsidRPr="00A428C3">
        <w:t>intra-particle diffusion models were tested to fit the experimental data. Kinetic parameters, rate constants, equilibrium sorption capacities</w:t>
      </w:r>
      <w:r w:rsidR="00F81221">
        <w:t xml:space="preserve"> and </w:t>
      </w:r>
      <w:r w:rsidRPr="00A428C3">
        <w:t>related correlation coefficients, for each kinetic model were determined. It was shown that the present system of orange G dye adsorption on paper mill sludge adsorbent could be well described by pseudo-second-order kinetic model. Based on the present investigations, it is reasonable to conclude that paper mill sludge can be utilized as low-cost adsorbent in treating colored dye effluents.</w:t>
      </w:r>
    </w:p>
    <w:p w:rsidR="00B95188" w:rsidRPr="00A428C3" w:rsidRDefault="00B95188" w:rsidP="00B95188">
      <w:pPr>
        <w:pStyle w:val="a0"/>
      </w:pPr>
      <w:r w:rsidRPr="00A428C3">
        <w:t>Keywords: Acid Dyes, Activated Carbons, Adsorbent, Adsorbents, Adsorption, Adsorption Capacity,</w:t>
      </w:r>
      <w:r w:rsidR="00F81221">
        <w:t xml:space="preserve"> and </w:t>
      </w:r>
      <w:r w:rsidRPr="00A428C3">
        <w:t>pH, Anionic, Anionic Dye, Aqueous Solutions, Aqueous-Solutions, Batch, Capacity, Color Removal, Concentration, Congo Red, Constants, Contact Time, Correlation, Diffusion, Diffusion Models, Dye, Dye Adsorption, Dye-Adsorption, Effluents, Equilibrium, Equilibrium Sorption, Experimental, Experimental Data, Function, G, Industries, Intra Particle Diffusion, Intra-Particle Diffusion, Intraparticle, Intraparticle Diffusion, Investigations, Kinetic, Kinetic Model, Kinetic Modeling, Kinetic Models, Kinetics, Langmuir, Langmuir Model, Low Cost Adsorbent, Low-Cost, Low-Cost Adsorbent, Method, Model, Modeling, Models, Orange G Dye, Paper, Paper Mill Sludge, Parameters, pH, Pseudo Second Order, Pseudo Second Order Kinetic, Pseudo-First-Order, Pseudo-Second-Order, Pseudo-Second-Order Kinetic Model, Rate, Rate Constants, Removal, Sludge, Solutions, Sorption, Time, Waste, Waste Material, Waste-Water</w:t>
      </w:r>
    </w:p>
    <w:p w:rsidR="003D1E55" w:rsidRDefault="003D1E55" w:rsidP="003D1E55">
      <w:pPr>
        <w:pStyle w:val="a0"/>
        <w:rPr>
          <w:kern w:val="0"/>
        </w:rPr>
      </w:pPr>
      <w:r>
        <w:rPr>
          <w:rFonts w:hint="eastAsia"/>
          <w:kern w:val="0"/>
        </w:rPr>
        <w:t xml:space="preserve">? </w:t>
      </w:r>
      <w:r>
        <w:rPr>
          <w:kern w:val="0"/>
        </w:rPr>
        <w:t>Srinivasan, A.</w:t>
      </w:r>
      <w:r w:rsidR="00F81221">
        <w:rPr>
          <w:kern w:val="0"/>
        </w:rPr>
        <w:t xml:space="preserve"> and </w:t>
      </w:r>
      <w:r>
        <w:rPr>
          <w:kern w:val="0"/>
        </w:rPr>
        <w:t xml:space="preserve">Viraraghavan, T. (2007), Biological processes for removal of oil from wastewater - A review. </w:t>
      </w:r>
      <w:r>
        <w:rPr>
          <w:i/>
          <w:iCs/>
          <w:kern w:val="0"/>
        </w:rPr>
        <w:t>Fresenius Environmental Bulletin</w:t>
      </w:r>
      <w:r>
        <w:rPr>
          <w:kern w:val="0"/>
        </w:rPr>
        <w:t xml:space="preserve">, </w:t>
      </w:r>
      <w:r>
        <w:rPr>
          <w:b/>
          <w:bCs/>
          <w:kern w:val="0"/>
        </w:rPr>
        <w:t>16</w:t>
      </w:r>
      <w:r>
        <w:rPr>
          <w:kern w:val="0"/>
        </w:rPr>
        <w:t xml:space="preserve"> (12A), 1532-1543.</w:t>
      </w:r>
    </w:p>
    <w:p w:rsidR="003D1E55" w:rsidRDefault="003D1E55" w:rsidP="003D1E55">
      <w:pPr>
        <w:pStyle w:val="a0"/>
      </w:pPr>
      <w:r w:rsidRPr="00A428C3">
        <w:t xml:space="preserve">Full Text: </w:t>
      </w:r>
      <w:r>
        <w:rPr>
          <w:rFonts w:hint="eastAsia"/>
        </w:rPr>
        <w:t>2007\</w:t>
      </w:r>
      <w:r w:rsidRPr="00A428C3">
        <w:t xml:space="preserve">Fre Env Bul16, </w:t>
      </w:r>
      <w:r>
        <w:rPr>
          <w:rFonts w:hint="eastAsia"/>
        </w:rPr>
        <w:t>1532.pdf</w:t>
      </w:r>
    </w:p>
    <w:p w:rsidR="003D1E55" w:rsidRDefault="003D1E55" w:rsidP="003D1E55">
      <w:pPr>
        <w:pStyle w:val="a0"/>
        <w:rPr>
          <w:kern w:val="0"/>
        </w:rPr>
      </w:pPr>
      <w:r>
        <w:rPr>
          <w:kern w:val="0"/>
        </w:rPr>
        <w:t>Abstract: Wastewater from oil extraction industries such as palm oil</w:t>
      </w:r>
      <w:r w:rsidR="00F81221">
        <w:rPr>
          <w:kern w:val="0"/>
        </w:rPr>
        <w:t xml:space="preserve"> and </w:t>
      </w:r>
      <w:r>
        <w:rPr>
          <w:kern w:val="0"/>
        </w:rPr>
        <w:t>olive oil mills contain high levels of oil. Oil containing wastewater is of great concern as it creates problems such as foaming, growth of filamentous bacteria</w:t>
      </w:r>
      <w:r w:rsidR="00F81221">
        <w:rPr>
          <w:kern w:val="0"/>
        </w:rPr>
        <w:t xml:space="preserve"> and </w:t>
      </w:r>
      <w:r>
        <w:rPr>
          <w:kern w:val="0"/>
        </w:rPr>
        <w:t>floc formation in the treatment system. Physico-chemical methods such as Rotation, adsorption</w:t>
      </w:r>
      <w:r w:rsidR="00F81221">
        <w:rPr>
          <w:kern w:val="0"/>
        </w:rPr>
        <w:t xml:space="preserve"> and </w:t>
      </w:r>
      <w:r>
        <w:rPr>
          <w:kern w:val="0"/>
        </w:rPr>
        <w:t>skimming are employed to remove oil. Biological processes are also commonly used because most oils are biodegradable. Biological processes such as aerobic</w:t>
      </w:r>
      <w:r w:rsidR="00F81221">
        <w:rPr>
          <w:kern w:val="0"/>
        </w:rPr>
        <w:t xml:space="preserve"> and </w:t>
      </w:r>
      <w:r>
        <w:rPr>
          <w:kern w:val="0"/>
        </w:rPr>
        <w:t>anaerobic treatment systems</w:t>
      </w:r>
      <w:r w:rsidR="00F81221">
        <w:rPr>
          <w:kern w:val="0"/>
        </w:rPr>
        <w:t xml:space="preserve"> and </w:t>
      </w:r>
      <w:r>
        <w:rPr>
          <w:kern w:val="0"/>
        </w:rPr>
        <w:t>biodegradation methods using microorganisms</w:t>
      </w:r>
      <w:r w:rsidR="00F81221">
        <w:rPr>
          <w:kern w:val="0"/>
        </w:rPr>
        <w:t xml:space="preserve"> and </w:t>
      </w:r>
      <w:r>
        <w:rPr>
          <w:kern w:val="0"/>
        </w:rPr>
        <w:t>enzymes have been used for reducing the oil content. Aerobic systems such as activated sludge process using both acclimatized</w:t>
      </w:r>
      <w:r w:rsidR="00F81221">
        <w:rPr>
          <w:kern w:val="0"/>
        </w:rPr>
        <w:t xml:space="preserve"> and </w:t>
      </w:r>
      <w:r>
        <w:rPr>
          <w:kern w:val="0"/>
        </w:rPr>
        <w:t>non-acclimatized sludge are common. Among the biodegradation methods, the use of microorganisms</w:t>
      </w:r>
      <w:r w:rsidR="00F81221">
        <w:rPr>
          <w:kern w:val="0"/>
        </w:rPr>
        <w:t xml:space="preserve"> and </w:t>
      </w:r>
      <w:r>
        <w:rPr>
          <w:kern w:val="0"/>
        </w:rPr>
        <w:lastRenderedPageBreak/>
        <w:t>enzymes, either alone or in various combinations have been reported. Bacteria such as Acinetobacter sp., Pseudomonas sp., fungus such as Aspergillus sp., Mucor sp.</w:t>
      </w:r>
      <w:r w:rsidR="00F81221">
        <w:rPr>
          <w:kern w:val="0"/>
        </w:rPr>
        <w:t xml:space="preserve"> and </w:t>
      </w:r>
      <w:r>
        <w:rPr>
          <w:kern w:val="0"/>
        </w:rPr>
        <w:t>photosynthetic bacteria were found to remove oil. Microorganisms that produce hydrolytic enzymes include fungi such as Penicillium restrictum</w:t>
      </w:r>
      <w:r w:rsidR="00F81221">
        <w:rPr>
          <w:kern w:val="0"/>
        </w:rPr>
        <w:t xml:space="preserve"> and </w:t>
      </w:r>
      <w:r>
        <w:rPr>
          <w:kern w:val="0"/>
        </w:rPr>
        <w:t>Candida rugosa. Anaerobic systems involve use of reactors such as upflow anaerobic sludge blanket reactors, upflow anaerobic sludge fixed film bioreactor</w:t>
      </w:r>
      <w:r w:rsidR="00F81221">
        <w:rPr>
          <w:kern w:val="0"/>
        </w:rPr>
        <w:t xml:space="preserve"> and </w:t>
      </w:r>
      <w:r>
        <w:rPr>
          <w:kern w:val="0"/>
        </w:rPr>
        <w:t>modified anaerobic bioreactors. The review shows that vegetable oils present in wastewater can be readily removed by biological treatment methods.</w:t>
      </w:r>
    </w:p>
    <w:p w:rsidR="003D1E55" w:rsidRDefault="003D1E55" w:rsidP="003D1E55">
      <w:pPr>
        <w:pStyle w:val="a0"/>
        <w:rPr>
          <w:kern w:val="0"/>
        </w:rPr>
      </w:pPr>
      <w:r>
        <w:rPr>
          <w:kern w:val="0"/>
        </w:rPr>
        <w:t>Keywords: Activated-Sludge, Adsorption, Aerobic, Aerobic Biodegradation, Anaerobic, Anaerobic Treatment, Bacteria, Biodegradation, Biological Treatment, Enzymatic Pre-Hydrolysis, Enzymes, Extraction, Fatty-Acids, Fungi, Growth, Immobilized Lipases, Microorganisms, Mill Effluents, Oil, Oily Wastewater, Olive Oil, Phenolic Removal, Photosynthetic, Poultry Slaughterhouse Waste, Process, Processes, Removal, Review, System, Treatment, Wastewater, Yarrowia-Lipolytica</w:t>
      </w:r>
    </w:p>
    <w:p w:rsidR="00B95188" w:rsidRPr="00A428C3" w:rsidRDefault="00B95188" w:rsidP="00B95188">
      <w:pPr>
        <w:pStyle w:val="a0"/>
      </w:pPr>
      <w:r w:rsidRPr="00A428C3">
        <w:t xml:space="preserve">? </w:t>
      </w:r>
      <w:r>
        <w:t>Sutcu</w:t>
      </w:r>
      <w:r>
        <w:rPr>
          <w:rFonts w:hint="eastAsia"/>
        </w:rPr>
        <w:t>,</w:t>
      </w:r>
      <w:r>
        <w:t xml:space="preserve"> H</w:t>
      </w:r>
      <w:r>
        <w:rPr>
          <w:rFonts w:hint="eastAsia"/>
        </w:rPr>
        <w:t>.</w:t>
      </w:r>
      <w:r w:rsidRPr="00A428C3">
        <w:t xml:space="preserve"> (2007), </w:t>
      </w:r>
      <w:r>
        <w:t>Removal of Pb(II)</w:t>
      </w:r>
      <w:r w:rsidR="00F81221">
        <w:t xml:space="preserve"> and </w:t>
      </w:r>
      <w:r>
        <w:t>Ni(II) ions from aqueous solution by peat</w:t>
      </w:r>
      <w:r w:rsidRPr="00A428C3">
        <w:t xml:space="preserve">. </w:t>
      </w:r>
      <w:r w:rsidRPr="00A428C3">
        <w:rPr>
          <w:i/>
          <w:iCs/>
        </w:rPr>
        <w:t>Fresenius Environmental Bulletin</w:t>
      </w:r>
      <w:r w:rsidRPr="00A428C3">
        <w:t xml:space="preserve">, </w:t>
      </w:r>
      <w:r w:rsidRPr="00A428C3">
        <w:rPr>
          <w:b/>
        </w:rPr>
        <w:t>16</w:t>
      </w:r>
      <w:r w:rsidRPr="00A428C3">
        <w:t xml:space="preserve"> (</w:t>
      </w:r>
      <w:r>
        <w:rPr>
          <w:rFonts w:hint="eastAsia"/>
        </w:rPr>
        <w:t>12</w:t>
      </w:r>
      <w:r w:rsidRPr="00A428C3">
        <w:t xml:space="preserve">A), </w:t>
      </w:r>
      <w:r>
        <w:t>1551-1555</w:t>
      </w:r>
      <w:r w:rsidRPr="00A428C3">
        <w:t>.</w:t>
      </w:r>
    </w:p>
    <w:p w:rsidR="00B95188" w:rsidRDefault="00B95188" w:rsidP="00B95188">
      <w:pPr>
        <w:pStyle w:val="a0"/>
      </w:pPr>
      <w:r w:rsidRPr="00A428C3">
        <w:t xml:space="preserve">Full Text: </w:t>
      </w:r>
      <w:r w:rsidR="00371127">
        <w:rPr>
          <w:rFonts w:hint="eastAsia"/>
        </w:rPr>
        <w:t>2007\</w:t>
      </w:r>
      <w:r w:rsidRPr="00A428C3">
        <w:t xml:space="preserve">Fre Env Bul16, </w:t>
      </w:r>
      <w:r>
        <w:t>1551</w:t>
      </w:r>
      <w:r w:rsidR="00371127">
        <w:rPr>
          <w:rFonts w:hint="eastAsia"/>
        </w:rPr>
        <w:t>.pdf</w:t>
      </w:r>
    </w:p>
    <w:p w:rsidR="00B95188" w:rsidRDefault="00B95188" w:rsidP="00B95188">
      <w:pPr>
        <w:pStyle w:val="a0"/>
      </w:pPr>
      <w:r>
        <w:t>Abstract: The purpose of this study is to investigate the tendency of peat to adsorb Pb(II)</w:t>
      </w:r>
      <w:r w:rsidR="00F81221">
        <w:t xml:space="preserve"> and </w:t>
      </w:r>
      <w:r>
        <w:t>Ni(H) ions from an aqueous solution. The experiments conducted aimed at studying the effect of initial metal ion concentration, adsorbent dosage, aqueous solution pH</w:t>
      </w:r>
      <w:r w:rsidR="00F81221">
        <w:t xml:space="preserve"> and </w:t>
      </w:r>
      <w:r>
        <w:t>aqueous solution temperature in the single-component aqueous solutions. In addition, a binary-component aqueous solution was used to investigate the effects of contact time</w:t>
      </w:r>
      <w:r w:rsidR="00F81221">
        <w:t xml:space="preserve"> and </w:t>
      </w:r>
      <w:r>
        <w:t>desorption. According to the results of the experiments carried out under these conditions, it has been established that the optimum peat dosage is 2 g peat/L, the optimum pH 6, the optimum initial metal ion concentration 5 mg/L Pb(II)</w:t>
      </w:r>
      <w:r w:rsidR="00F81221">
        <w:t xml:space="preserve"> and </w:t>
      </w:r>
      <w:r>
        <w:t xml:space="preserve">5 mg/L Ni(II), the </w:t>
      </w:r>
      <w:r w:rsidR="008A7E71">
        <w:t>aqueous solution temperature 20°</w:t>
      </w:r>
      <w:r>
        <w:t>C,</w:t>
      </w:r>
      <w:r w:rsidR="00F81221">
        <w:t xml:space="preserve"> and </w:t>
      </w:r>
      <w:r>
        <w:t>contact time 60 min. According to the results of all experimental conditions, the adsorption capacity was found to be Pb(H)&gt;Ni(II). It has been established that the adsorption isotherm is well-suited to the Langmuir isotherm.</w:t>
      </w:r>
    </w:p>
    <w:p w:rsidR="00B95188" w:rsidRPr="00A428C3" w:rsidRDefault="00B95188" w:rsidP="00B95188">
      <w:pPr>
        <w:pStyle w:val="a0"/>
      </w:pPr>
      <w:r>
        <w:t>Keywords: Adsorption, Lead, Nickel, Peat, Langmuir, Heavy-Metals, Sorption, Kinetics, Cadmium, Copper, Moss</w:t>
      </w:r>
      <w:r w:rsidR="002F1E82">
        <w:t xml:space="preserve"> </w:t>
      </w:r>
    </w:p>
    <w:p w:rsidR="00AC3CFB" w:rsidRDefault="00AC3CFB" w:rsidP="00AC3CFB">
      <w:pPr>
        <w:pStyle w:val="a0"/>
        <w:rPr>
          <w:kern w:val="0"/>
        </w:rPr>
      </w:pPr>
      <w:r>
        <w:rPr>
          <w:rFonts w:hint="eastAsia"/>
          <w:kern w:val="0"/>
        </w:rPr>
        <w:t xml:space="preserve">? </w:t>
      </w:r>
      <w:r>
        <w:rPr>
          <w:kern w:val="0"/>
        </w:rPr>
        <w:t>Shi, X.Y., Xiao, B., Yang, X.Y., Zhou, X.P.</w:t>
      </w:r>
      <w:r w:rsidR="00F81221">
        <w:rPr>
          <w:kern w:val="0"/>
        </w:rPr>
        <w:t xml:space="preserve"> and </w:t>
      </w:r>
      <w:r>
        <w:rPr>
          <w:kern w:val="0"/>
        </w:rPr>
        <w:t xml:space="preserve">Li, J.F. (2007), Batch study of dye removal from aqueous solutions by adsorption on NaOH-treated firry sawdust. </w:t>
      </w:r>
      <w:r>
        <w:rPr>
          <w:i/>
          <w:iCs/>
          <w:kern w:val="0"/>
        </w:rPr>
        <w:t>Fresenius Environmental Bulletin</w:t>
      </w:r>
      <w:r>
        <w:rPr>
          <w:kern w:val="0"/>
        </w:rPr>
        <w:t xml:space="preserve">, </w:t>
      </w:r>
      <w:r>
        <w:rPr>
          <w:b/>
          <w:bCs/>
          <w:kern w:val="0"/>
        </w:rPr>
        <w:t>16</w:t>
      </w:r>
      <w:r>
        <w:rPr>
          <w:kern w:val="0"/>
        </w:rPr>
        <w:t xml:space="preserve"> (12A), 1583-1587.</w:t>
      </w:r>
    </w:p>
    <w:p w:rsidR="00AC3CFB" w:rsidRDefault="00AC3CFB" w:rsidP="00AC3CFB">
      <w:pPr>
        <w:pStyle w:val="a0"/>
      </w:pPr>
      <w:r w:rsidRPr="00A428C3">
        <w:t xml:space="preserve">Full Text: </w:t>
      </w:r>
      <w:r w:rsidR="00371127">
        <w:rPr>
          <w:rFonts w:hint="eastAsia"/>
        </w:rPr>
        <w:t>2007\</w:t>
      </w:r>
      <w:r w:rsidRPr="00A428C3">
        <w:t xml:space="preserve">Fre Env Bul16, </w:t>
      </w:r>
      <w:r>
        <w:rPr>
          <w:rFonts w:hint="eastAsia"/>
        </w:rPr>
        <w:t>1583</w:t>
      </w:r>
      <w:r w:rsidR="00371127">
        <w:rPr>
          <w:rFonts w:hint="eastAsia"/>
        </w:rPr>
        <w:t>.pdf</w:t>
      </w:r>
    </w:p>
    <w:p w:rsidR="00AC3CFB" w:rsidRDefault="00AC3CFB" w:rsidP="00AC3CFB">
      <w:pPr>
        <w:pStyle w:val="a0"/>
        <w:rPr>
          <w:kern w:val="0"/>
        </w:rPr>
      </w:pPr>
      <w:r>
        <w:rPr>
          <w:kern w:val="0"/>
        </w:rPr>
        <w:t>Abstract: This paper presents a study on the batch adsorption of a basic dye, methylene blue, from aqueous solution onto NaOH-treated firry sawdust in order to explore its potential use as low-cost adsorbent for wastewater dye removal. The effects of initial pH, initial dye concentration</w:t>
      </w:r>
      <w:r w:rsidR="00F81221">
        <w:rPr>
          <w:kern w:val="0"/>
        </w:rPr>
        <w:t xml:space="preserve"> and </w:t>
      </w:r>
      <w:r>
        <w:rPr>
          <w:kern w:val="0"/>
        </w:rPr>
        <w:t xml:space="preserve">adsorbent dose on dye removal are studied. The </w:t>
      </w:r>
      <w:r>
        <w:rPr>
          <w:kern w:val="0"/>
        </w:rPr>
        <w:lastRenderedPageBreak/>
        <w:t>isotherm study indicates that the sorption data can be modelled by Temkin isotherms,</w:t>
      </w:r>
      <w:r w:rsidR="00F81221">
        <w:rPr>
          <w:kern w:val="0"/>
        </w:rPr>
        <w:t xml:space="preserve"> and </w:t>
      </w:r>
      <w:r>
        <w:rPr>
          <w:kern w:val="0"/>
        </w:rPr>
        <w:t>initial pH &gt;7 is favourable. The results indicate that the treated firry sawdust can be an attractive option for dye removal from diluted industrial effluents.</w:t>
      </w:r>
    </w:p>
    <w:p w:rsidR="00AC3CFB" w:rsidRDefault="00AC3CFB" w:rsidP="00AC3CFB">
      <w:pPr>
        <w:pStyle w:val="a0"/>
        <w:rPr>
          <w:kern w:val="0"/>
        </w:rPr>
      </w:pPr>
      <w:r>
        <w:rPr>
          <w:kern w:val="0"/>
        </w:rPr>
        <w:t xml:space="preserve">Keywords: Adsorption, Aqueous, Basic Dye, Biosorption, Blue, Dye, Dye Removal, Industry Waste, Isotherm, Isotherms, Methylene Blue, </w:t>
      </w:r>
      <w:r>
        <w:rPr>
          <w:rFonts w:hint="eastAsia"/>
          <w:kern w:val="0"/>
        </w:rPr>
        <w:t>p</w:t>
      </w:r>
      <w:r>
        <w:rPr>
          <w:kern w:val="0"/>
        </w:rPr>
        <w:t>H, Removal, Sawdust, Solutions, Sorption, Wastewater, Water</w:t>
      </w:r>
    </w:p>
    <w:p w:rsidR="00B95188" w:rsidRDefault="00B95188" w:rsidP="00B95188">
      <w:pPr>
        <w:pStyle w:val="a0"/>
        <w:rPr>
          <w:kern w:val="0"/>
        </w:rPr>
      </w:pPr>
      <w:r>
        <w:rPr>
          <w:rFonts w:hint="eastAsia"/>
          <w:kern w:val="0"/>
        </w:rPr>
        <w:t xml:space="preserve">? </w:t>
      </w:r>
      <w:r>
        <w:rPr>
          <w:kern w:val="0"/>
        </w:rPr>
        <w:t>Zvinowanda, C.M., Okonkwo, J.O., Mpangela, V., Phaleng, J., Shabalala, P.N., Dennis, T., Forbes, P., Agyei, N.M.</w:t>
      </w:r>
      <w:r w:rsidR="00F81221">
        <w:rPr>
          <w:kern w:val="0"/>
        </w:rPr>
        <w:t xml:space="preserve"> and </w:t>
      </w:r>
      <w:r>
        <w:rPr>
          <w:kern w:val="0"/>
        </w:rPr>
        <w:t xml:space="preserve">Ozoemena, K.I. (2008), Biosorption of toxic metals: The potential use of maize tassel for the removal of Pb(II) from aqueous solutions. </w:t>
      </w:r>
      <w:r>
        <w:rPr>
          <w:i/>
          <w:iCs/>
          <w:kern w:val="0"/>
        </w:rPr>
        <w:t>Fresenius Environmental Bulletin</w:t>
      </w:r>
      <w:r>
        <w:rPr>
          <w:kern w:val="0"/>
        </w:rPr>
        <w:t xml:space="preserve">, </w:t>
      </w:r>
      <w:r>
        <w:rPr>
          <w:b/>
          <w:bCs/>
          <w:kern w:val="0"/>
        </w:rPr>
        <w:t>17</w:t>
      </w:r>
      <w:r>
        <w:rPr>
          <w:kern w:val="0"/>
        </w:rPr>
        <w:t xml:space="preserve"> (7A), 814-818.</w:t>
      </w:r>
    </w:p>
    <w:p w:rsidR="00B95188" w:rsidRDefault="00B95188" w:rsidP="00B95188">
      <w:pPr>
        <w:pStyle w:val="a0"/>
        <w:rPr>
          <w:kern w:val="0"/>
        </w:rPr>
      </w:pPr>
      <w:r w:rsidRPr="00A428C3">
        <w:t>Full Text:</w:t>
      </w:r>
      <w:r>
        <w:rPr>
          <w:rFonts w:hint="eastAsia"/>
        </w:rPr>
        <w:t xml:space="preserve"> </w:t>
      </w:r>
      <w:r w:rsidR="00371127">
        <w:rPr>
          <w:rFonts w:hint="eastAsia"/>
        </w:rPr>
        <w:t>2008\</w:t>
      </w:r>
      <w:r>
        <w:t>Fre Env Bul17, 81</w:t>
      </w:r>
      <w:r>
        <w:rPr>
          <w:rFonts w:hint="eastAsia"/>
        </w:rPr>
        <w:t>4</w:t>
      </w:r>
    </w:p>
    <w:p w:rsidR="00B95188" w:rsidRDefault="00B95188" w:rsidP="00B95188">
      <w:pPr>
        <w:pStyle w:val="a0"/>
        <w:rPr>
          <w:kern w:val="0"/>
        </w:rPr>
      </w:pPr>
      <w:r>
        <w:rPr>
          <w:kern w:val="0"/>
        </w:rPr>
        <w:t>Abstract: In this study, we show for the first time the removal of Pb(II) from aqueous solutions by tassel powder. Batch experiments were conducted on tassel powder,</w:t>
      </w:r>
      <w:r w:rsidR="00F81221">
        <w:rPr>
          <w:kern w:val="0"/>
        </w:rPr>
        <w:t xml:space="preserve"> and </w:t>
      </w:r>
      <w:r>
        <w:rPr>
          <w:kern w:val="0"/>
        </w:rPr>
        <w:t>the effects of contact time, pH, temperature</w:t>
      </w:r>
      <w:r w:rsidR="00F81221">
        <w:rPr>
          <w:kern w:val="0"/>
        </w:rPr>
        <w:t xml:space="preserve"> and </w:t>
      </w:r>
      <w:r>
        <w:rPr>
          <w:kern w:val="0"/>
        </w:rPr>
        <w:t>concentration on the extent of Pb(II) removal studied. The highest adsorption (about 80 %) was at pH 7,</w:t>
      </w:r>
      <w:r w:rsidR="00F81221">
        <w:rPr>
          <w:kern w:val="0"/>
        </w:rPr>
        <w:t xml:space="preserve"> and </w:t>
      </w:r>
      <w:r>
        <w:rPr>
          <w:kern w:val="0"/>
        </w:rPr>
        <w:t>equilibrium was established between contact times 4-24 h. Adsorption of 5 mg/L Pb(II) standard concentration was rapid suggesting that adsorption may have been controlled by external diffusion. When increasing the concentration from 10-20 mg/L, the controlling step of adsorption was suggested to be that of internal diffusion.</w:t>
      </w:r>
    </w:p>
    <w:p w:rsidR="00B95188" w:rsidRDefault="00B95188" w:rsidP="00B95188">
      <w:pPr>
        <w:pStyle w:val="a0"/>
        <w:rPr>
          <w:kern w:val="0"/>
        </w:rPr>
      </w:pPr>
      <w:r>
        <w:rPr>
          <w:kern w:val="0"/>
        </w:rPr>
        <w:t xml:space="preserve">Keywords: Adsorption, Batch Adsorption Procedure, Cadmium, Contact Time, Cu, Diffusion, Heavy-Metals, Influence of </w:t>
      </w:r>
      <w:r>
        <w:rPr>
          <w:rFonts w:hint="eastAsia"/>
          <w:kern w:val="0"/>
        </w:rPr>
        <w:t>p</w:t>
      </w:r>
      <w:r>
        <w:rPr>
          <w:kern w:val="0"/>
        </w:rPr>
        <w:t>H, Ions, Low-Cost Adsorbent, Pb, Shells, Waste-Water</w:t>
      </w:r>
    </w:p>
    <w:p w:rsidR="00AC3CFB" w:rsidRDefault="00AC3CFB" w:rsidP="00AC3CFB">
      <w:pPr>
        <w:pStyle w:val="a0"/>
        <w:rPr>
          <w:kern w:val="0"/>
        </w:rPr>
      </w:pPr>
      <w:r>
        <w:rPr>
          <w:rFonts w:hint="eastAsia"/>
          <w:kern w:val="0"/>
        </w:rPr>
        <w:t xml:space="preserve">? </w:t>
      </w:r>
      <w:r>
        <w:rPr>
          <w:kern w:val="0"/>
        </w:rPr>
        <w:t>Aci, F., Nebioglu, M., Arslan, M., Imamoglu, M., Zengin, M.</w:t>
      </w:r>
      <w:r w:rsidR="00F81221">
        <w:rPr>
          <w:kern w:val="0"/>
        </w:rPr>
        <w:t xml:space="preserve"> and </w:t>
      </w:r>
      <w:r>
        <w:rPr>
          <w:kern w:val="0"/>
        </w:rPr>
        <w:t>Kucukislamoglu, M. (2008), Preparation of activated carbon from sugar beet molasses</w:t>
      </w:r>
      <w:r w:rsidR="00F81221">
        <w:rPr>
          <w:kern w:val="0"/>
        </w:rPr>
        <w:t xml:space="preserve"> and </w:t>
      </w:r>
      <w:r>
        <w:rPr>
          <w:kern w:val="0"/>
        </w:rPr>
        <w:t xml:space="preserve">adsorption of Methylene blue. </w:t>
      </w:r>
      <w:r>
        <w:rPr>
          <w:i/>
          <w:iCs/>
          <w:kern w:val="0"/>
        </w:rPr>
        <w:t>Fresenius Environmental Bulletin</w:t>
      </w:r>
      <w:r>
        <w:rPr>
          <w:kern w:val="0"/>
        </w:rPr>
        <w:t xml:space="preserve">, </w:t>
      </w:r>
      <w:r>
        <w:rPr>
          <w:b/>
          <w:bCs/>
          <w:kern w:val="0"/>
        </w:rPr>
        <w:t>17</w:t>
      </w:r>
      <w:r>
        <w:rPr>
          <w:kern w:val="0"/>
        </w:rPr>
        <w:t xml:space="preserve"> (8A), 997-1001.</w:t>
      </w:r>
    </w:p>
    <w:p w:rsidR="00AC3CFB" w:rsidRPr="00A428C3" w:rsidRDefault="00AC3CFB" w:rsidP="00AC3CFB">
      <w:pPr>
        <w:pStyle w:val="a0"/>
      </w:pPr>
      <w:r w:rsidRPr="00A428C3">
        <w:t xml:space="preserve">Full Text: </w:t>
      </w:r>
      <w:r w:rsidR="00371127">
        <w:rPr>
          <w:rFonts w:hint="eastAsia"/>
        </w:rPr>
        <w:t>2008\</w:t>
      </w:r>
      <w:r w:rsidRPr="00A428C3">
        <w:t>Fre Env Bul1</w:t>
      </w:r>
      <w:r>
        <w:rPr>
          <w:rFonts w:hint="eastAsia"/>
        </w:rPr>
        <w:t>7</w:t>
      </w:r>
      <w:r w:rsidRPr="00A428C3">
        <w:t xml:space="preserve">, </w:t>
      </w:r>
      <w:r>
        <w:rPr>
          <w:rFonts w:hint="eastAsia"/>
          <w:kern w:val="0"/>
        </w:rPr>
        <w:t>997.pdf</w:t>
      </w:r>
    </w:p>
    <w:p w:rsidR="00AC3CFB" w:rsidRDefault="00AC3CFB" w:rsidP="00AC3CFB">
      <w:pPr>
        <w:pStyle w:val="a0"/>
        <w:rPr>
          <w:kern w:val="0"/>
        </w:rPr>
      </w:pPr>
      <w:r>
        <w:rPr>
          <w:kern w:val="0"/>
        </w:rPr>
        <w:t>Abstract: Four activated carbon samples were prepared from sugar beet molasses with zinc chloride as the chemical activating agent at different temperatures (600-800°C)</w:t>
      </w:r>
      <w:r w:rsidR="00F81221">
        <w:rPr>
          <w:kern w:val="0"/>
        </w:rPr>
        <w:t xml:space="preserve"> and </w:t>
      </w:r>
      <w:r>
        <w:rPr>
          <w:kern w:val="0"/>
        </w:rPr>
        <w:t>residence carbonization times (0-120 min.) under nitrogen atmosphere. The activated carbons were characterized by using N</w:t>
      </w:r>
      <w:r>
        <w:rPr>
          <w:rFonts w:hint="eastAsia"/>
          <w:kern w:val="0"/>
          <w:vertAlign w:val="subscript"/>
        </w:rPr>
        <w:t>2</w:t>
      </w:r>
      <w:r>
        <w:rPr>
          <w:kern w:val="0"/>
        </w:rPr>
        <w:t>- BET surface area</w:t>
      </w:r>
      <w:r w:rsidR="00F81221">
        <w:rPr>
          <w:kern w:val="0"/>
        </w:rPr>
        <w:t xml:space="preserve"> and </w:t>
      </w:r>
      <w:r>
        <w:rPr>
          <w:kern w:val="0"/>
        </w:rPr>
        <w:t>iodine number measurements. The results obtained are found to be between 1368.5-792.2 m</w:t>
      </w:r>
      <w:r>
        <w:rPr>
          <w:rFonts w:hint="eastAsia"/>
          <w:kern w:val="0"/>
          <w:vertAlign w:val="superscript"/>
        </w:rPr>
        <w:t>2</w:t>
      </w:r>
      <w:r>
        <w:rPr>
          <w:kern w:val="0"/>
        </w:rPr>
        <w:t>/g,</w:t>
      </w:r>
      <w:r w:rsidR="00F81221">
        <w:rPr>
          <w:kern w:val="0"/>
        </w:rPr>
        <w:t xml:space="preserve"> and </w:t>
      </w:r>
      <w:r>
        <w:rPr>
          <w:kern w:val="0"/>
        </w:rPr>
        <w:t>221-162 mg/g, respectively. Adsorption of methylene blue from aqueous solution on the activated carbons produced using sugar beet molasses has been studied. Equilibrium concentrations were determined by using a UV-spectrophotometer. The adsorption data of each carbon sample (including the commercial AC) was analyzed by Freundlich adsorption isotherms. Experimental data are fitted into the Freundlich equation.</w:t>
      </w:r>
    </w:p>
    <w:p w:rsidR="00AC3CFB" w:rsidRDefault="00AC3CFB" w:rsidP="00AC3CFB">
      <w:pPr>
        <w:pStyle w:val="a0"/>
        <w:rPr>
          <w:kern w:val="0"/>
        </w:rPr>
      </w:pPr>
      <w:r>
        <w:rPr>
          <w:kern w:val="0"/>
        </w:rPr>
        <w:t xml:space="preserve">Keywords: Activated Carbon, Adsorption, Adsorption Isotherms, Aqueous, Aqueous-Solutions, BET Surface Area, Cadmium, Carbon, Dyes, Equilibrium, </w:t>
      </w:r>
      <w:r>
        <w:rPr>
          <w:kern w:val="0"/>
        </w:rPr>
        <w:lastRenderedPageBreak/>
        <w:t>Freundlich, Ions, Isotherms, Methylene Blue, Nitrogen, Phase Adsorption, Phenols, Plum Kernels, Removal, Rice Hulls, Spectrophotometry, Stones, Sugar Beet Molasses, Surface Area</w:t>
      </w:r>
    </w:p>
    <w:p w:rsidR="00B95188" w:rsidRDefault="00B95188" w:rsidP="00B95188">
      <w:pPr>
        <w:pStyle w:val="a0"/>
        <w:rPr>
          <w:kern w:val="0"/>
        </w:rPr>
      </w:pPr>
      <w:r>
        <w:rPr>
          <w:rFonts w:hint="eastAsia"/>
          <w:kern w:val="0"/>
        </w:rPr>
        <w:t xml:space="preserve">? </w:t>
      </w:r>
      <w:r>
        <w:rPr>
          <w:kern w:val="0"/>
        </w:rPr>
        <w:t>Ozdemir, M. (2008), Removal of methyl violet from water by sunflower seed peel with adsorption method</w:t>
      </w:r>
      <w:r w:rsidR="00F81221">
        <w:rPr>
          <w:kern w:val="0"/>
        </w:rPr>
        <w:t xml:space="preserve"> and </w:t>
      </w:r>
      <w:r>
        <w:rPr>
          <w:kern w:val="0"/>
        </w:rPr>
        <w:t xml:space="preserve">determination of electrical field effect on adsorption. </w:t>
      </w:r>
      <w:r>
        <w:rPr>
          <w:i/>
          <w:iCs/>
          <w:kern w:val="0"/>
        </w:rPr>
        <w:t>Fresenius Environmental Bulletin</w:t>
      </w:r>
      <w:r>
        <w:rPr>
          <w:kern w:val="0"/>
        </w:rPr>
        <w:t xml:space="preserve">, </w:t>
      </w:r>
      <w:r>
        <w:rPr>
          <w:b/>
          <w:bCs/>
          <w:kern w:val="0"/>
        </w:rPr>
        <w:t>17</w:t>
      </w:r>
      <w:r>
        <w:rPr>
          <w:kern w:val="0"/>
        </w:rPr>
        <w:t xml:space="preserve"> (9A), 1226-1235.</w:t>
      </w:r>
    </w:p>
    <w:p w:rsidR="00B95188" w:rsidRPr="00A428C3" w:rsidRDefault="00B95188" w:rsidP="00B95188">
      <w:pPr>
        <w:pStyle w:val="a0"/>
      </w:pPr>
      <w:r w:rsidRPr="00A428C3">
        <w:t xml:space="preserve">Full Text: </w:t>
      </w:r>
      <w:r w:rsidR="00371127">
        <w:rPr>
          <w:rFonts w:hint="eastAsia"/>
        </w:rPr>
        <w:t>2008\</w:t>
      </w:r>
      <w:r w:rsidRPr="00A428C3">
        <w:t>Fre Env Bul1</w:t>
      </w:r>
      <w:r>
        <w:rPr>
          <w:rFonts w:hint="eastAsia"/>
        </w:rPr>
        <w:t>7</w:t>
      </w:r>
      <w:r w:rsidRPr="00A428C3">
        <w:t xml:space="preserve">, </w:t>
      </w:r>
      <w:r>
        <w:rPr>
          <w:kern w:val="0"/>
        </w:rPr>
        <w:t>1226</w:t>
      </w:r>
    </w:p>
    <w:p w:rsidR="00B95188" w:rsidRDefault="00B95188" w:rsidP="00B95188">
      <w:pPr>
        <w:pStyle w:val="a0"/>
        <w:rPr>
          <w:kern w:val="0"/>
        </w:rPr>
      </w:pPr>
      <w:r>
        <w:rPr>
          <w:kern w:val="0"/>
        </w:rPr>
        <w:t>Abstract: The removal of methyl violets from water by using sunflower seed peel as adsorbing agent was determined. Effect of pH, adsorbent dose, initial concentration</w:t>
      </w:r>
      <w:r w:rsidR="00F81221">
        <w:rPr>
          <w:kern w:val="0"/>
        </w:rPr>
        <w:t xml:space="preserve"> and </w:t>
      </w:r>
      <w:r>
        <w:rPr>
          <w:kern w:val="0"/>
        </w:rPr>
        <w:t>electrical field application were investigated. The adsorption efficiency was found to be about 99%, in case of pH = 7, initial concentration = 50 mg/l</w:t>
      </w:r>
      <w:r w:rsidR="00F81221">
        <w:rPr>
          <w:kern w:val="0"/>
        </w:rPr>
        <w:t xml:space="preserve"> and </w:t>
      </w:r>
      <w:r>
        <w:rPr>
          <w:kern w:val="0"/>
        </w:rPr>
        <w:t>adsorbent dose = 0.5 g. Applied electrical field of 300 V/m had a considerable effect on adsorption at pH 2, but not a significant role above this value. Kinetic studies showed that the process of adsorption of methyl violet to sunflower seed peel followed the pseudo-second order kinetic model. The values of rate constants indicated that adsorption was controlled by both pseudo-second order kinetics</w:t>
      </w:r>
      <w:r w:rsidR="00F81221">
        <w:rPr>
          <w:kern w:val="0"/>
        </w:rPr>
        <w:t xml:space="preserve"> and </w:t>
      </w:r>
      <w:r>
        <w:rPr>
          <w:kern w:val="0"/>
        </w:rPr>
        <w:t>intra-particle diffusion mechanism, but mainly by pseudo-second order kinetics. The equilibrium nature of methyl violet adsorption to sunflower seed peel has been described by Freundlich isotherms, but also thermodynamic parameters like free energy, entropy</w:t>
      </w:r>
      <w:r w:rsidR="00F81221">
        <w:rPr>
          <w:kern w:val="0"/>
        </w:rPr>
        <w:t xml:space="preserve"> and </w:t>
      </w:r>
      <w:r>
        <w:rPr>
          <w:kern w:val="0"/>
        </w:rPr>
        <w:t>enthalpy changes for the adsorption of methyl violet have been found</w:t>
      </w:r>
      <w:r w:rsidR="00F81221">
        <w:rPr>
          <w:kern w:val="0"/>
        </w:rPr>
        <w:t xml:space="preserve"> and </w:t>
      </w:r>
      <w:r>
        <w:rPr>
          <w:kern w:val="0"/>
        </w:rPr>
        <w:t>discussed.</w:t>
      </w:r>
    </w:p>
    <w:p w:rsidR="00B95188" w:rsidRDefault="00B95188" w:rsidP="00B95188">
      <w:pPr>
        <w:pStyle w:val="a0"/>
        <w:rPr>
          <w:kern w:val="0"/>
        </w:rPr>
      </w:pPr>
      <w:r>
        <w:rPr>
          <w:kern w:val="0"/>
        </w:rPr>
        <w:t>Keywords: Adsorbent, Adsorbent Dose, Adsorption, Adsorption Efficiency, Application, Aqueous-Solutions, Changes, Concentration, Diffusion, Dye, Efficiency, Electrical Field Effect, Energy, Enthalpy, Entropy, Equilibrium, Field, Freundlich, Intra-Particle Diffusion, Intraparticle Diffusion, Isotherms, Kinetic, Kinetic Model, Kinetic Studies, Kinetics, Kinetics</w:t>
      </w:r>
      <w:r w:rsidR="00F81221">
        <w:rPr>
          <w:kern w:val="0"/>
        </w:rPr>
        <w:t xml:space="preserve"> and </w:t>
      </w:r>
      <w:r>
        <w:rPr>
          <w:kern w:val="0"/>
        </w:rPr>
        <w:t xml:space="preserve">Isotherms, Mechanism, Methyl Violet, Model, Pb(II) Ions, Perlite, </w:t>
      </w:r>
      <w:r>
        <w:rPr>
          <w:rFonts w:hint="eastAsia"/>
          <w:kern w:val="0"/>
        </w:rPr>
        <w:t>p</w:t>
      </w:r>
      <w:r>
        <w:rPr>
          <w:kern w:val="0"/>
        </w:rPr>
        <w:t>H, Pine Bark Wastes, Pseudo Second Order, Pseudo Second Order Kinetics, Pseudo-Second Order, Pseudo-Second Order Kinetics, Pseudo-Second-Order, Rate Constants, Removal, Role, Surface Potential, Thermodynamic, Thermodynamic Parameters, Value, Water</w:t>
      </w:r>
    </w:p>
    <w:p w:rsidR="00B95188" w:rsidRDefault="00B95188" w:rsidP="00B95188">
      <w:pPr>
        <w:pStyle w:val="a0"/>
        <w:rPr>
          <w:kern w:val="0"/>
        </w:rPr>
      </w:pPr>
      <w:r>
        <w:rPr>
          <w:rFonts w:hint="eastAsia"/>
          <w:kern w:val="0"/>
        </w:rPr>
        <w:t xml:space="preserve">? </w:t>
      </w:r>
      <w:r w:rsidR="00894F11">
        <w:rPr>
          <w:kern w:val="0"/>
        </w:rPr>
        <w:t>Uğ</w:t>
      </w:r>
      <w:r>
        <w:rPr>
          <w:kern w:val="0"/>
        </w:rPr>
        <w:t>urlu, M. (2008), Adsorption of phosphate from paper mill effluent onto sepiolite</w:t>
      </w:r>
      <w:r w:rsidR="00F81221">
        <w:rPr>
          <w:kern w:val="0"/>
        </w:rPr>
        <w:t xml:space="preserve"> and </w:t>
      </w:r>
      <w:r>
        <w:rPr>
          <w:kern w:val="0"/>
        </w:rPr>
        <w:t xml:space="preserve">fly ash. </w:t>
      </w:r>
      <w:r>
        <w:rPr>
          <w:i/>
          <w:iCs/>
          <w:kern w:val="0"/>
        </w:rPr>
        <w:t>Fresenius Environmental Bulletin</w:t>
      </w:r>
      <w:r>
        <w:rPr>
          <w:kern w:val="0"/>
        </w:rPr>
        <w:t xml:space="preserve">, </w:t>
      </w:r>
      <w:r>
        <w:rPr>
          <w:b/>
          <w:bCs/>
          <w:kern w:val="0"/>
        </w:rPr>
        <w:t>17</w:t>
      </w:r>
      <w:r>
        <w:rPr>
          <w:kern w:val="0"/>
        </w:rPr>
        <w:t xml:space="preserve"> (9A), 1307-1315.</w:t>
      </w:r>
    </w:p>
    <w:p w:rsidR="00B95188" w:rsidRPr="00A428C3" w:rsidRDefault="00B95188" w:rsidP="00B95188">
      <w:pPr>
        <w:pStyle w:val="a0"/>
      </w:pPr>
      <w:r w:rsidRPr="00A428C3">
        <w:t xml:space="preserve">Full Text: </w:t>
      </w:r>
      <w:hyperlink r:id="rId179" w:history="1">
        <w:r w:rsidR="00BB4CE8" w:rsidRPr="00BB4CE8">
          <w:rPr>
            <w:rStyle w:val="a5"/>
          </w:rPr>
          <w:t>2008\Fre Env Bul17, 1307.pdf</w:t>
        </w:r>
      </w:hyperlink>
    </w:p>
    <w:p w:rsidR="00B95188" w:rsidRDefault="00B95188" w:rsidP="00B95188">
      <w:pPr>
        <w:pStyle w:val="a0"/>
        <w:rPr>
          <w:kern w:val="0"/>
        </w:rPr>
      </w:pPr>
      <w:r>
        <w:rPr>
          <w:kern w:val="0"/>
        </w:rPr>
        <w:t>Abstract: This study aimed to remove phosphate from paper mill industry (4500m</w:t>
      </w:r>
      <w:r>
        <w:rPr>
          <w:rFonts w:hint="eastAsia"/>
          <w:kern w:val="0"/>
          <w:vertAlign w:val="superscript"/>
        </w:rPr>
        <w:t>3</w:t>
      </w:r>
      <w:r>
        <w:rPr>
          <w:kern w:val="0"/>
        </w:rPr>
        <w:t>/h) wastewaters, which are discharged to the sea from a plant located in western Turkey. As adsorbents, fly ash, raw sepiolite</w:t>
      </w:r>
      <w:r w:rsidR="00F81221">
        <w:rPr>
          <w:kern w:val="0"/>
        </w:rPr>
        <w:t xml:space="preserve"> and </w:t>
      </w:r>
      <w:r>
        <w:rPr>
          <w:kern w:val="0"/>
        </w:rPr>
        <w:t>heat-activated sepiolite were used. The effect of factors such as, particle size, temperature, pH</w:t>
      </w:r>
      <w:r w:rsidR="00F81221">
        <w:rPr>
          <w:kern w:val="0"/>
        </w:rPr>
        <w:t xml:space="preserve"> and </w:t>
      </w:r>
      <w:r>
        <w:rPr>
          <w:kern w:val="0"/>
        </w:rPr>
        <w:t>initial of phosphate concentration on adsorption process was investigated. From kinetic studies, equilibrium time was found to be I h for fly ash</w:t>
      </w:r>
      <w:r w:rsidR="00F81221">
        <w:rPr>
          <w:kern w:val="0"/>
        </w:rPr>
        <w:t xml:space="preserve"> and </w:t>
      </w:r>
      <w:r>
        <w:rPr>
          <w:kern w:val="0"/>
        </w:rPr>
        <w:t xml:space="preserve">heat-activated sepiolite. The </w:t>
      </w:r>
      <w:r>
        <w:rPr>
          <w:kern w:val="0"/>
        </w:rPr>
        <w:lastRenderedPageBreak/>
        <w:t>kinetic data supports pseudo-second order model (r</w:t>
      </w:r>
      <w:r>
        <w:rPr>
          <w:rFonts w:hint="eastAsia"/>
          <w:kern w:val="0"/>
          <w:vertAlign w:val="superscript"/>
        </w:rPr>
        <w:t>2</w:t>
      </w:r>
      <w:r>
        <w:rPr>
          <w:kern w:val="0"/>
        </w:rPr>
        <w:t xml:space="preserve"> &gt;= 0.99) but shows very poor fit for pseudo-first order model (0.81 &gt;= r</w:t>
      </w:r>
      <w:r>
        <w:rPr>
          <w:rFonts w:hint="eastAsia"/>
          <w:kern w:val="0"/>
          <w:vertAlign w:val="superscript"/>
        </w:rPr>
        <w:t>2</w:t>
      </w:r>
      <w:r>
        <w:rPr>
          <w:kern w:val="0"/>
        </w:rPr>
        <w:t>). Intraparticle model also shows that there are two separate stages in sorption process, namely, external diffusion</w:t>
      </w:r>
      <w:r w:rsidR="00F81221">
        <w:rPr>
          <w:kern w:val="0"/>
        </w:rPr>
        <w:t xml:space="preserve"> and </w:t>
      </w:r>
      <w:r>
        <w:rPr>
          <w:kern w:val="0"/>
        </w:rPr>
        <w:t>pore diffusion. Adsorption isotherms for fly ash</w:t>
      </w:r>
      <w:r w:rsidR="00F81221">
        <w:rPr>
          <w:kern w:val="0"/>
        </w:rPr>
        <w:t xml:space="preserve"> and </w:t>
      </w:r>
      <w:r>
        <w:rPr>
          <w:kern w:val="0"/>
        </w:rPr>
        <w:t>activated sepiolite were obtained at three different temperatures. It was seen that Langmuir isotherm model is better than Freundlich for both sepiolit</w:t>
      </w:r>
      <w:r w:rsidR="00F81221">
        <w:rPr>
          <w:kern w:val="0"/>
        </w:rPr>
        <w:t xml:space="preserve"> and </w:t>
      </w:r>
      <w:r>
        <w:rPr>
          <w:kern w:val="0"/>
        </w:rPr>
        <w:t>fly ash (r</w:t>
      </w:r>
      <w:r>
        <w:rPr>
          <w:rFonts w:hint="eastAsia"/>
          <w:kern w:val="0"/>
          <w:vertAlign w:val="superscript"/>
        </w:rPr>
        <w:t>2</w:t>
      </w:r>
      <w:r>
        <w:rPr>
          <w:kern w:val="0"/>
        </w:rPr>
        <w:t>&gt;0.98). From experiments carried out at different pH values, it was observed that pH plays an important role in the adsorption process in removal of phosphate, providing both ionizating the compounds</w:t>
      </w:r>
      <w:r w:rsidR="00F81221">
        <w:rPr>
          <w:kern w:val="0"/>
        </w:rPr>
        <w:t xml:space="preserve"> and </w:t>
      </w:r>
      <w:r>
        <w:rPr>
          <w:kern w:val="0"/>
        </w:rPr>
        <w:t>modifying sorbent surfaces. It was also observed that heat-activated sepiolite is more effective than raw sepiolite</w:t>
      </w:r>
      <w:r w:rsidR="00F81221">
        <w:rPr>
          <w:kern w:val="0"/>
        </w:rPr>
        <w:t xml:space="preserve"> and </w:t>
      </w:r>
      <w:r>
        <w:rPr>
          <w:kern w:val="0"/>
        </w:rPr>
        <w:t>fly ash to remove. Adsorption of phosphate compounds increases with decreasing particle size.</w:t>
      </w:r>
    </w:p>
    <w:p w:rsidR="00B95188" w:rsidRDefault="00B95188" w:rsidP="00B95188">
      <w:pPr>
        <w:pStyle w:val="a0"/>
        <w:rPr>
          <w:kern w:val="0"/>
        </w:rPr>
      </w:pPr>
      <w:r>
        <w:rPr>
          <w:kern w:val="0"/>
        </w:rPr>
        <w:t xml:space="preserve">Keywords: Acid, Adsorbents, Adsorption, Adsorption Isotherms, Adsorption Process, Aqueous-Solution, Carbon, Concentration, Data, Diffusion, Equilibrium, Equilibrium Time, Experiments, External Diffusion, Fly Ash, Freundlich, Isotherm, Isotherm Model, Isotherms, Kinetic, Kinetic Models, Kinetic Studies, Kinetics, Langmuir, Langmuir Isotherm, Langmuir Isotherm Model, Methylene-Blue, Model, Olive Stone, Paper Mill Effluents, Particle Size, </w:t>
      </w:r>
      <w:r>
        <w:rPr>
          <w:rFonts w:hint="eastAsia"/>
          <w:kern w:val="0"/>
        </w:rPr>
        <w:t>p</w:t>
      </w:r>
      <w:r>
        <w:rPr>
          <w:kern w:val="0"/>
        </w:rPr>
        <w:t>H, Phosphate, Plant, Pore Diffusion, Pseudo First Order, Pseudo Second Order, Pseudo-First Order, Pseudo-First-Order, Pseudo-Second Order, Pseudo-Second Order Model, Pseudo-Second-Order, Removal, Removal of Phosphate, Role, Sepiolite, Size, Sorbent, Sorption, Sorption Process, Surfaces, Temperature, Textile Dyeing Effluent, Turkey, Wastewaters, Zn</w:t>
      </w:r>
      <w:r>
        <w:rPr>
          <w:rFonts w:hint="eastAsia"/>
          <w:kern w:val="0"/>
        </w:rPr>
        <w:t>C</w:t>
      </w:r>
      <w:r>
        <w:rPr>
          <w:kern w:val="0"/>
        </w:rPr>
        <w:t>l</w:t>
      </w:r>
      <w:r w:rsidRPr="00393631">
        <w:rPr>
          <w:kern w:val="0"/>
          <w:vertAlign w:val="subscript"/>
        </w:rPr>
        <w:t>2</w:t>
      </w:r>
      <w:r>
        <w:rPr>
          <w:kern w:val="0"/>
        </w:rPr>
        <w:t xml:space="preserve"> Activation</w:t>
      </w:r>
    </w:p>
    <w:p w:rsidR="00BD3FDF" w:rsidRDefault="00BD3FDF" w:rsidP="00BD3FDF">
      <w:pPr>
        <w:pStyle w:val="a0"/>
        <w:rPr>
          <w:kern w:val="0"/>
          <w:szCs w:val="24"/>
        </w:rPr>
      </w:pPr>
      <w:r>
        <w:rPr>
          <w:rFonts w:hint="eastAsia"/>
          <w:kern w:val="0"/>
          <w:szCs w:val="24"/>
        </w:rPr>
        <w:t xml:space="preserve">? </w:t>
      </w:r>
      <w:r>
        <w:rPr>
          <w:kern w:val="0"/>
          <w:szCs w:val="24"/>
        </w:rPr>
        <w:t>Zhang, D.Y., Pan, X.L.</w:t>
      </w:r>
      <w:r w:rsidR="00F81221">
        <w:rPr>
          <w:kern w:val="0"/>
          <w:szCs w:val="24"/>
        </w:rPr>
        <w:t xml:space="preserve"> and </w:t>
      </w:r>
      <w:r>
        <w:rPr>
          <w:kern w:val="0"/>
          <w:szCs w:val="24"/>
        </w:rPr>
        <w:t xml:space="preserve">Wang, J.L. (2008), Enhanced </w:t>
      </w:r>
      <w:r w:rsidR="00FE1CAE">
        <w:rPr>
          <w:kern w:val="0"/>
          <w:szCs w:val="24"/>
        </w:rPr>
        <w:t xml:space="preserve">adsorption of cobalt to spent swine bone </w:t>
      </w:r>
      <w:r>
        <w:rPr>
          <w:kern w:val="0"/>
          <w:szCs w:val="24"/>
        </w:rPr>
        <w:t>by Na</w:t>
      </w:r>
      <w:r w:rsidR="00FE1CAE">
        <w:rPr>
          <w:kern w:val="0"/>
          <w:szCs w:val="24"/>
        </w:rPr>
        <w:t>OH</w:t>
      </w:r>
      <w:r>
        <w:rPr>
          <w:kern w:val="0"/>
          <w:szCs w:val="24"/>
        </w:rPr>
        <w:t xml:space="preserve"> </w:t>
      </w:r>
      <w:r w:rsidR="00FE1CAE">
        <w:rPr>
          <w:kern w:val="0"/>
          <w:szCs w:val="24"/>
        </w:rPr>
        <w:t>tre</w:t>
      </w:r>
      <w:r>
        <w:rPr>
          <w:kern w:val="0"/>
          <w:szCs w:val="24"/>
        </w:rPr>
        <w:t xml:space="preserve">atment: Kinetic, </w:t>
      </w:r>
      <w:r w:rsidR="00FE1CAE">
        <w:rPr>
          <w:kern w:val="0"/>
          <w:szCs w:val="24"/>
        </w:rPr>
        <w:t>isothermal, thermodynamic</w:t>
      </w:r>
      <w:r w:rsidR="00F81221">
        <w:rPr>
          <w:kern w:val="0"/>
          <w:szCs w:val="24"/>
        </w:rPr>
        <w:t xml:space="preserve"> and </w:t>
      </w:r>
      <w:r w:rsidR="00FE1CAE">
        <w:rPr>
          <w:kern w:val="0"/>
          <w:szCs w:val="24"/>
        </w:rPr>
        <w:t>FTIR studies</w:t>
      </w:r>
      <w:r>
        <w:rPr>
          <w:kern w:val="0"/>
          <w:szCs w:val="24"/>
        </w:rPr>
        <w:t xml:space="preserve">. </w:t>
      </w:r>
      <w:r>
        <w:rPr>
          <w:i/>
          <w:iCs/>
          <w:kern w:val="0"/>
          <w:szCs w:val="24"/>
        </w:rPr>
        <w:t>Fresenius Environmental Bulletin</w:t>
      </w:r>
      <w:r>
        <w:rPr>
          <w:kern w:val="0"/>
          <w:szCs w:val="24"/>
        </w:rPr>
        <w:t xml:space="preserve">, </w:t>
      </w:r>
      <w:r>
        <w:rPr>
          <w:b/>
          <w:bCs/>
          <w:kern w:val="0"/>
          <w:szCs w:val="24"/>
        </w:rPr>
        <w:t>17</w:t>
      </w:r>
      <w:r>
        <w:rPr>
          <w:kern w:val="0"/>
          <w:szCs w:val="24"/>
        </w:rPr>
        <w:t xml:space="preserve"> (12A), 2091-2097.</w:t>
      </w:r>
    </w:p>
    <w:p w:rsidR="00BD3FDF" w:rsidRDefault="00BD3FDF" w:rsidP="00BD3FDF">
      <w:pPr>
        <w:pStyle w:val="a0"/>
        <w:rPr>
          <w:kern w:val="0"/>
        </w:rPr>
      </w:pPr>
      <w:r>
        <w:rPr>
          <w:rFonts w:hint="eastAsia"/>
          <w:kern w:val="0"/>
        </w:rPr>
        <w:t xml:space="preserve">Full Text: </w:t>
      </w:r>
      <w:hyperlink r:id="rId180" w:history="1">
        <w:r w:rsidR="005229AF" w:rsidRPr="005229AF">
          <w:rPr>
            <w:rStyle w:val="a5"/>
            <w:kern w:val="0"/>
          </w:rPr>
          <w:t>2008\Fre Env Bul17, 2091.pdf</w:t>
        </w:r>
      </w:hyperlink>
    </w:p>
    <w:p w:rsidR="00BD3FDF" w:rsidRDefault="00BD3FDF" w:rsidP="00BD3FDF">
      <w:pPr>
        <w:pStyle w:val="a0"/>
        <w:rPr>
          <w:kern w:val="0"/>
          <w:szCs w:val="24"/>
        </w:rPr>
      </w:pPr>
      <w:r>
        <w:rPr>
          <w:kern w:val="0"/>
          <w:szCs w:val="24"/>
        </w:rPr>
        <w:t>Abstract: Effects of NaOH treatment on the cobalt adsorption to bone were studied. Compared with the untreated bone, NaOH treatment increased cobalt sorption capacity of bone from 20.1-25.1 mg g</w:t>
      </w:r>
      <w:r>
        <w:rPr>
          <w:rFonts w:hint="eastAsia"/>
          <w:kern w:val="0"/>
          <w:szCs w:val="24"/>
          <w:vertAlign w:val="superscript"/>
        </w:rPr>
        <w:t>-1</w:t>
      </w:r>
      <w:r>
        <w:rPr>
          <w:kern w:val="0"/>
          <w:szCs w:val="24"/>
        </w:rPr>
        <w:t xml:space="preserve"> to 58.75 mg g</w:t>
      </w:r>
      <w:r>
        <w:rPr>
          <w:rFonts w:hint="eastAsia"/>
          <w:kern w:val="0"/>
          <w:szCs w:val="24"/>
          <w:vertAlign w:val="superscript"/>
        </w:rPr>
        <w:t>-1</w:t>
      </w:r>
      <w:r>
        <w:rPr>
          <w:kern w:val="0"/>
          <w:szCs w:val="24"/>
        </w:rPr>
        <w:t>. The kinetic studies demonstrated that the cobalt adsorption data for untreated bone or NaOH treated bone a-reed well with pseudo second-order equation. NaOH treatment resulted in an increase in initial sorption rate by a factor about 2</w:t>
      </w:r>
      <w:r w:rsidR="00F81221">
        <w:rPr>
          <w:kern w:val="0"/>
          <w:szCs w:val="24"/>
        </w:rPr>
        <w:t xml:space="preserve"> and </w:t>
      </w:r>
      <w:r>
        <w:rPr>
          <w:kern w:val="0"/>
          <w:szCs w:val="24"/>
        </w:rPr>
        <w:t>a decrease in half-adsorption time (t(1/2)) by 40% at different temperature. Intraparticle diffusion study showed that intraparticle diffusion was not the only rate-limiting step in cobalt sorption to both untreated bone</w:t>
      </w:r>
      <w:r w:rsidR="00F81221">
        <w:rPr>
          <w:kern w:val="0"/>
          <w:szCs w:val="24"/>
        </w:rPr>
        <w:t xml:space="preserve"> and </w:t>
      </w:r>
      <w:r>
        <w:rPr>
          <w:kern w:val="0"/>
          <w:szCs w:val="24"/>
        </w:rPr>
        <w:t>NaOH treated bone. Both the Langmuir</w:t>
      </w:r>
      <w:r w:rsidR="00F81221">
        <w:rPr>
          <w:kern w:val="0"/>
          <w:szCs w:val="24"/>
        </w:rPr>
        <w:t xml:space="preserve"> and </w:t>
      </w:r>
      <w:r>
        <w:rPr>
          <w:kern w:val="0"/>
          <w:szCs w:val="24"/>
        </w:rPr>
        <w:t>the Freundlich models described the sorption data well for untreated bone</w:t>
      </w:r>
      <w:r w:rsidR="00F81221">
        <w:rPr>
          <w:kern w:val="0"/>
          <w:szCs w:val="24"/>
        </w:rPr>
        <w:t xml:space="preserve"> and </w:t>
      </w:r>
      <w:r>
        <w:rPr>
          <w:kern w:val="0"/>
          <w:szCs w:val="24"/>
        </w:rPr>
        <w:t>NaOH treated bone at different temperature. Thermodynamic studies showed that adsorption of cobalt to untreated or NaOH treated was endothermic but not spontaneous. Higher temperature was favorable for the sorption process toward spontaneous reaction</w:t>
      </w:r>
      <w:r w:rsidR="00F81221">
        <w:rPr>
          <w:kern w:val="0"/>
          <w:szCs w:val="24"/>
        </w:rPr>
        <w:t xml:space="preserve"> and </w:t>
      </w:r>
      <w:r>
        <w:rPr>
          <w:kern w:val="0"/>
          <w:szCs w:val="24"/>
        </w:rPr>
        <w:t xml:space="preserve">NaOH </w:t>
      </w:r>
      <w:r>
        <w:rPr>
          <w:kern w:val="0"/>
          <w:szCs w:val="24"/>
        </w:rPr>
        <w:lastRenderedPageBreak/>
        <w:t>treatment also contributed to sorption process toward spontaneous reaction. The activation energy of sorption, E-a, was 8.01 kJ mol</w:t>
      </w:r>
      <w:r>
        <w:rPr>
          <w:rFonts w:hint="eastAsia"/>
          <w:kern w:val="0"/>
          <w:szCs w:val="24"/>
          <w:vertAlign w:val="superscript"/>
        </w:rPr>
        <w:t>-1</w:t>
      </w:r>
      <w:r>
        <w:rPr>
          <w:kern w:val="0"/>
          <w:szCs w:val="24"/>
        </w:rPr>
        <w:t xml:space="preserve"> for untreated bone</w:t>
      </w:r>
      <w:r w:rsidR="00F81221">
        <w:rPr>
          <w:kern w:val="0"/>
          <w:szCs w:val="24"/>
        </w:rPr>
        <w:t xml:space="preserve"> and </w:t>
      </w:r>
      <w:r>
        <w:rPr>
          <w:kern w:val="0"/>
          <w:szCs w:val="24"/>
        </w:rPr>
        <w:t>13.38kJ mol</w:t>
      </w:r>
      <w:r>
        <w:rPr>
          <w:rFonts w:hint="eastAsia"/>
          <w:kern w:val="0"/>
          <w:szCs w:val="24"/>
          <w:vertAlign w:val="superscript"/>
        </w:rPr>
        <w:t>-1</w:t>
      </w:r>
      <w:r>
        <w:rPr>
          <w:kern w:val="0"/>
          <w:szCs w:val="24"/>
        </w:rPr>
        <w:t xml:space="preserve"> for NaOH treated bone, respectively, at an initial cobalt concentration of 200mg L</w:t>
      </w:r>
      <w:r>
        <w:rPr>
          <w:rFonts w:hint="eastAsia"/>
          <w:kern w:val="0"/>
          <w:szCs w:val="24"/>
          <w:vertAlign w:val="superscript"/>
        </w:rPr>
        <w:t>-1</w:t>
      </w:r>
      <w:r>
        <w:rPr>
          <w:kern w:val="0"/>
          <w:szCs w:val="24"/>
        </w:rPr>
        <w:t>at 298K. FT-IR spectra analysis showed that ion-exchange could be the most predominant mechanism involved in cobalt sorption by bone.</w:t>
      </w:r>
    </w:p>
    <w:p w:rsidR="00BD3FDF" w:rsidRDefault="00BD3FDF" w:rsidP="00BD3FDF">
      <w:pPr>
        <w:pStyle w:val="a0"/>
        <w:rPr>
          <w:kern w:val="0"/>
          <w:szCs w:val="24"/>
        </w:rPr>
      </w:pPr>
      <w:r>
        <w:rPr>
          <w:kern w:val="0"/>
          <w:szCs w:val="24"/>
        </w:rPr>
        <w:t>Keywords: Adsorption, Animal Bones, Chemical Modification, Cobalt, Kinetic, Lead, Meat, Removal, Sorption, Swine Bone</w:t>
      </w:r>
    </w:p>
    <w:p w:rsidR="00BD3FDF" w:rsidRDefault="00BD3FDF" w:rsidP="00BD3FDF">
      <w:pPr>
        <w:pStyle w:val="a0"/>
        <w:rPr>
          <w:kern w:val="0"/>
          <w:szCs w:val="24"/>
        </w:rPr>
      </w:pPr>
      <w:r>
        <w:rPr>
          <w:rFonts w:hint="eastAsia"/>
          <w:kern w:val="0"/>
        </w:rPr>
        <w:t xml:space="preserve">? </w:t>
      </w:r>
      <w:r>
        <w:rPr>
          <w:kern w:val="0"/>
          <w:szCs w:val="24"/>
        </w:rPr>
        <w:t>Zafar, S.I., Bisma, M., Saeed, A.</w:t>
      </w:r>
      <w:r w:rsidR="00F81221">
        <w:rPr>
          <w:kern w:val="0"/>
          <w:szCs w:val="24"/>
        </w:rPr>
        <w:t xml:space="preserve"> and </w:t>
      </w:r>
      <w:r>
        <w:rPr>
          <w:kern w:val="0"/>
          <w:szCs w:val="24"/>
        </w:rPr>
        <w:t>Iqbal, M. (2008), FTIR spectrophotometry, kinetics</w:t>
      </w:r>
      <w:r w:rsidR="00F81221">
        <w:rPr>
          <w:kern w:val="0"/>
          <w:szCs w:val="24"/>
        </w:rPr>
        <w:t xml:space="preserve"> and </w:t>
      </w:r>
      <w:r>
        <w:rPr>
          <w:kern w:val="0"/>
          <w:szCs w:val="24"/>
        </w:rPr>
        <w:t>adsorption isotherms modelling,</w:t>
      </w:r>
      <w:r w:rsidR="00F81221">
        <w:rPr>
          <w:kern w:val="0"/>
          <w:szCs w:val="24"/>
        </w:rPr>
        <w:t xml:space="preserve"> and </w:t>
      </w:r>
      <w:r>
        <w:rPr>
          <w:kern w:val="0"/>
          <w:szCs w:val="24"/>
        </w:rPr>
        <w:t xml:space="preserve">SEM-EDX analysis for describing mechanism of biosorption of the cationic basic dye </w:t>
      </w:r>
      <w:r w:rsidR="00D97A79">
        <w:rPr>
          <w:kern w:val="0"/>
          <w:szCs w:val="24"/>
        </w:rPr>
        <w:t xml:space="preserve">Methylene </w:t>
      </w:r>
      <w:r>
        <w:rPr>
          <w:kern w:val="0"/>
          <w:szCs w:val="24"/>
        </w:rPr>
        <w:t xml:space="preserve">blue by a new biosorbent (Sawdust of Silver Fir; Abies Pindrow). </w:t>
      </w:r>
      <w:r>
        <w:rPr>
          <w:i/>
          <w:iCs/>
          <w:kern w:val="0"/>
          <w:szCs w:val="24"/>
        </w:rPr>
        <w:t>Fresenius Environmental Bulletin</w:t>
      </w:r>
      <w:r>
        <w:rPr>
          <w:kern w:val="0"/>
          <w:szCs w:val="24"/>
        </w:rPr>
        <w:t xml:space="preserve">, </w:t>
      </w:r>
      <w:r>
        <w:rPr>
          <w:b/>
          <w:bCs/>
          <w:kern w:val="0"/>
          <w:szCs w:val="24"/>
        </w:rPr>
        <w:t>17</w:t>
      </w:r>
      <w:r>
        <w:rPr>
          <w:kern w:val="0"/>
          <w:szCs w:val="24"/>
        </w:rPr>
        <w:t xml:space="preserve"> (12A), 2109-2121.</w:t>
      </w:r>
    </w:p>
    <w:p w:rsidR="00BD3FDF" w:rsidRDefault="00BD3FDF" w:rsidP="00BD3FDF">
      <w:pPr>
        <w:pStyle w:val="a0"/>
        <w:rPr>
          <w:kern w:val="0"/>
        </w:rPr>
      </w:pPr>
      <w:r>
        <w:rPr>
          <w:rFonts w:hint="eastAsia"/>
          <w:kern w:val="0"/>
        </w:rPr>
        <w:t xml:space="preserve">Full Text: </w:t>
      </w:r>
      <w:r w:rsidR="00371127">
        <w:rPr>
          <w:rFonts w:hint="eastAsia"/>
          <w:kern w:val="0"/>
        </w:rPr>
        <w:t>2008\</w:t>
      </w:r>
      <w:r w:rsidRPr="00060705">
        <w:rPr>
          <w:kern w:val="0"/>
        </w:rPr>
        <w:t xml:space="preserve">Fre Env Bul17, </w:t>
      </w:r>
      <w:r>
        <w:rPr>
          <w:kern w:val="0"/>
          <w:szCs w:val="24"/>
        </w:rPr>
        <w:t>2109</w:t>
      </w:r>
      <w:r w:rsidRPr="00060705">
        <w:rPr>
          <w:kern w:val="0"/>
        </w:rPr>
        <w:t>.pdf</w:t>
      </w:r>
    </w:p>
    <w:p w:rsidR="00BD3FDF" w:rsidRDefault="00BD3FDF" w:rsidP="00BD3FDF">
      <w:pPr>
        <w:pStyle w:val="a0"/>
        <w:rPr>
          <w:kern w:val="0"/>
          <w:szCs w:val="24"/>
        </w:rPr>
      </w:pPr>
      <w:r>
        <w:rPr>
          <w:kern w:val="0"/>
          <w:szCs w:val="24"/>
        </w:rPr>
        <w:t>Abstract: Significantly high adsorption capacity (154 mg/g in 120 min) of a new adsorbent (silver fir sawdust; Abies pindrow) to remove methylene blue from aqueous medium is reported. Onset of dye adsorption was fast with 85% removal within 10 min. Adsorption kinetics was well described by pseudo-second-order equation, whereas fit to pseudo-first-order Lagergren equation was limited to pre-equilibrium rapid adsorption phase. Adsorption isotherms followed both Langmuir</w:t>
      </w:r>
      <w:r w:rsidR="00F81221">
        <w:rPr>
          <w:kern w:val="0"/>
          <w:szCs w:val="24"/>
        </w:rPr>
        <w:t xml:space="preserve"> and </w:t>
      </w:r>
      <w:r>
        <w:rPr>
          <w:kern w:val="0"/>
          <w:szCs w:val="24"/>
        </w:rPr>
        <w:t>Freundlich models. FTIR spectrophotometry showed major peaks of adsorption at 3400, 2900</w:t>
      </w:r>
      <w:r w:rsidR="00F81221">
        <w:rPr>
          <w:kern w:val="0"/>
          <w:szCs w:val="24"/>
        </w:rPr>
        <w:t xml:space="preserve"> and </w:t>
      </w:r>
      <w:r>
        <w:rPr>
          <w:kern w:val="0"/>
          <w:szCs w:val="24"/>
        </w:rPr>
        <w:t>1153/1058 cm</w:t>
      </w:r>
      <w:r>
        <w:rPr>
          <w:rFonts w:hint="eastAsia"/>
          <w:kern w:val="0"/>
          <w:szCs w:val="24"/>
          <w:vertAlign w:val="superscript"/>
        </w:rPr>
        <w:t>-1</w:t>
      </w:r>
      <w:r>
        <w:rPr>
          <w:kern w:val="0"/>
          <w:szCs w:val="24"/>
        </w:rPr>
        <w:t xml:space="preserve"> (-OH of phenols, C-H of methyl</w:t>
      </w:r>
      <w:r w:rsidR="00F81221">
        <w:rPr>
          <w:kern w:val="0"/>
          <w:szCs w:val="24"/>
        </w:rPr>
        <w:t xml:space="preserve"> and </w:t>
      </w:r>
      <w:r>
        <w:rPr>
          <w:kern w:val="0"/>
          <w:szCs w:val="24"/>
        </w:rPr>
        <w:t>methylene.</w:t>
      </w:r>
      <w:r w:rsidR="00F81221">
        <w:rPr>
          <w:kern w:val="0"/>
          <w:szCs w:val="24"/>
        </w:rPr>
        <w:t xml:space="preserve"> and </w:t>
      </w:r>
      <w:r>
        <w:rPr>
          <w:kern w:val="0"/>
          <w:szCs w:val="24"/>
        </w:rPr>
        <w:t>C-O present in lignin), 1423 cm</w:t>
      </w:r>
      <w:r>
        <w:rPr>
          <w:rFonts w:hint="eastAsia"/>
          <w:kern w:val="0"/>
          <w:szCs w:val="24"/>
          <w:vertAlign w:val="superscript"/>
        </w:rPr>
        <w:t>-1</w:t>
      </w:r>
      <w:r>
        <w:rPr>
          <w:kern w:val="0"/>
          <w:szCs w:val="24"/>
        </w:rPr>
        <w:t xml:space="preserve"> (aromatic rings of lignin</w:t>
      </w:r>
      <w:r w:rsidR="00F81221">
        <w:rPr>
          <w:kern w:val="0"/>
          <w:szCs w:val="24"/>
        </w:rPr>
        <w:t xml:space="preserve"> and </w:t>
      </w:r>
      <w:r>
        <w:rPr>
          <w:kern w:val="0"/>
          <w:szCs w:val="24"/>
        </w:rPr>
        <w:t>cellulose),</w:t>
      </w:r>
      <w:r w:rsidR="00F81221">
        <w:rPr>
          <w:kern w:val="0"/>
          <w:szCs w:val="24"/>
        </w:rPr>
        <w:t xml:space="preserve"> and </w:t>
      </w:r>
      <w:r>
        <w:rPr>
          <w:kern w:val="0"/>
          <w:szCs w:val="24"/>
        </w:rPr>
        <w:t>1263 cm</w:t>
      </w:r>
      <w:r>
        <w:rPr>
          <w:rFonts w:hint="eastAsia"/>
          <w:kern w:val="0"/>
          <w:szCs w:val="24"/>
          <w:vertAlign w:val="superscript"/>
        </w:rPr>
        <w:t>-1</w:t>
      </w:r>
      <w:r>
        <w:rPr>
          <w:kern w:val="0"/>
          <w:szCs w:val="24"/>
        </w:rPr>
        <w:t xml:space="preserve"> (cellulose bending modes), which relate well with 69.4% fibre (42.1% cellulose+hemicellulose; 27.3% lignin) present in the sawdust. Correspondence of active sites in the raw adsorbent with sorption of the dye on these sites using FTIR spectra is reported for the first time. Also reported for the first time, as evidence of dye adsorption, is the detection of S</w:t>
      </w:r>
      <w:r w:rsidR="00F81221">
        <w:rPr>
          <w:kern w:val="0"/>
          <w:szCs w:val="24"/>
        </w:rPr>
        <w:t xml:space="preserve"> and </w:t>
      </w:r>
      <w:r>
        <w:rPr>
          <w:kern w:val="0"/>
          <w:szCs w:val="24"/>
        </w:rPr>
        <w:t>N atoms in the dye-loaded sawdust,</w:t>
      </w:r>
      <w:r w:rsidR="00F81221">
        <w:rPr>
          <w:kern w:val="0"/>
          <w:szCs w:val="24"/>
        </w:rPr>
        <w:t xml:space="preserve"> and </w:t>
      </w:r>
      <w:r>
        <w:rPr>
          <w:kern w:val="0"/>
          <w:szCs w:val="24"/>
        </w:rPr>
        <w:t>no detection of these in raw sawdust using SEM-EDX analysis.</w:t>
      </w:r>
    </w:p>
    <w:p w:rsidR="00BD3FDF" w:rsidRDefault="00BD3FDF" w:rsidP="00BD3FDF">
      <w:pPr>
        <w:pStyle w:val="a0"/>
        <w:rPr>
          <w:kern w:val="0"/>
          <w:szCs w:val="24"/>
        </w:rPr>
      </w:pPr>
      <w:r>
        <w:rPr>
          <w:kern w:val="0"/>
          <w:szCs w:val="24"/>
        </w:rPr>
        <w:t>Keywords: Activated Carbon, Adsorption, Agricultural Waste, Aqueous-Solutions, Decolorization, Dye-Adsorption, Dye-Adsorption Kinetics, Effluent, Equilibrium, Ftir Spectrophotometry, Methylene Blue, Removal, SEM-EDX Analysis, Silver Fir Sawdust, Sorption, Textile Dyes, Water-Hyacinth</w:t>
      </w:r>
    </w:p>
    <w:p w:rsidR="00BD3FDF" w:rsidRDefault="00BD3FDF" w:rsidP="00BD3FDF">
      <w:pPr>
        <w:pStyle w:val="a0"/>
        <w:rPr>
          <w:kern w:val="0"/>
        </w:rPr>
      </w:pPr>
      <w:r>
        <w:rPr>
          <w:rFonts w:hint="eastAsia"/>
          <w:kern w:val="0"/>
        </w:rPr>
        <w:t xml:space="preserve">? </w:t>
      </w:r>
      <w:r>
        <w:rPr>
          <w:kern w:val="0"/>
        </w:rPr>
        <w:t>Zhu, Y.N., Wang, D.Q., Zhang, X.H.</w:t>
      </w:r>
      <w:r w:rsidR="00F81221">
        <w:rPr>
          <w:kern w:val="0"/>
        </w:rPr>
        <w:t xml:space="preserve"> and </w:t>
      </w:r>
      <w:r>
        <w:rPr>
          <w:kern w:val="0"/>
        </w:rPr>
        <w:t xml:space="preserve">Qin, H.D. (2009), Adsorption removal of </w:t>
      </w:r>
      <w:r w:rsidR="00E364C2">
        <w:rPr>
          <w:kern w:val="0"/>
        </w:rPr>
        <w:t xml:space="preserve">Methylene </w:t>
      </w:r>
      <w:r>
        <w:rPr>
          <w:kern w:val="0"/>
        </w:rPr>
        <w:t xml:space="preserve">blue from aqueous solution by using bamboo charcoal. </w:t>
      </w:r>
      <w:r>
        <w:rPr>
          <w:i/>
          <w:iCs/>
          <w:kern w:val="0"/>
        </w:rPr>
        <w:t>Fresenius Environmental Bulletin</w:t>
      </w:r>
      <w:r>
        <w:rPr>
          <w:kern w:val="0"/>
        </w:rPr>
        <w:t xml:space="preserve">, </w:t>
      </w:r>
      <w:r>
        <w:rPr>
          <w:b/>
          <w:bCs/>
          <w:kern w:val="0"/>
        </w:rPr>
        <w:t>18</w:t>
      </w:r>
      <w:r>
        <w:rPr>
          <w:kern w:val="0"/>
        </w:rPr>
        <w:t xml:space="preserve"> (3), 369-376.</w:t>
      </w:r>
    </w:p>
    <w:p w:rsidR="00BD3FDF" w:rsidRDefault="00BD3FDF" w:rsidP="00BD3FDF">
      <w:pPr>
        <w:pStyle w:val="a0"/>
        <w:rPr>
          <w:kern w:val="0"/>
        </w:rPr>
      </w:pPr>
      <w:r>
        <w:rPr>
          <w:rFonts w:hint="eastAsia"/>
          <w:kern w:val="0"/>
        </w:rPr>
        <w:t xml:space="preserve">Full Text: </w:t>
      </w:r>
      <w:hyperlink r:id="rId181" w:history="1">
        <w:r w:rsidR="00843ABD" w:rsidRPr="00843ABD">
          <w:rPr>
            <w:rStyle w:val="a5"/>
            <w:kern w:val="0"/>
          </w:rPr>
          <w:t>2009\Fre Env Bul18, 369.pdf</w:t>
        </w:r>
      </w:hyperlink>
    </w:p>
    <w:p w:rsidR="00BD3FDF" w:rsidRDefault="00BD3FDF" w:rsidP="00BD3FDF">
      <w:pPr>
        <w:pStyle w:val="a0"/>
        <w:rPr>
          <w:kern w:val="0"/>
        </w:rPr>
      </w:pPr>
      <w:r>
        <w:rPr>
          <w:kern w:val="0"/>
        </w:rPr>
        <w:t xml:space="preserve">Abstract: The adsorption removal of </w:t>
      </w:r>
      <w:r w:rsidR="00686D32">
        <w:rPr>
          <w:kern w:val="0"/>
        </w:rPr>
        <w:t xml:space="preserve">Methylene </w:t>
      </w:r>
      <w:r>
        <w:rPr>
          <w:kern w:val="0"/>
        </w:rPr>
        <w:t>blue from water by bamboo charcoal was studied in a batch adsorption system. Experiments were carried out as function of contact time, temperature, adsorbent dose</w:t>
      </w:r>
      <w:r w:rsidR="00F81221">
        <w:rPr>
          <w:kern w:val="0"/>
        </w:rPr>
        <w:t xml:space="preserve"> and </w:t>
      </w:r>
      <w:r>
        <w:rPr>
          <w:kern w:val="0"/>
        </w:rPr>
        <w:t xml:space="preserve">particle size, initial adsorbate </w:t>
      </w:r>
      <w:r>
        <w:rPr>
          <w:kern w:val="0"/>
        </w:rPr>
        <w:lastRenderedPageBreak/>
        <w:t>concentration,</w:t>
      </w:r>
      <w:r w:rsidR="00F81221">
        <w:rPr>
          <w:kern w:val="0"/>
        </w:rPr>
        <w:t xml:space="preserve"> and </w:t>
      </w:r>
      <w:r>
        <w:rPr>
          <w:kern w:val="0"/>
        </w:rPr>
        <w:t>solution pH. The dynamical data fit well with the pseudo-second-order kinetic model (R</w:t>
      </w:r>
      <w:r>
        <w:rPr>
          <w:rFonts w:hint="eastAsia"/>
          <w:kern w:val="0"/>
          <w:vertAlign w:val="superscript"/>
        </w:rPr>
        <w:t>2</w:t>
      </w:r>
      <w:r>
        <w:rPr>
          <w:kern w:val="0"/>
        </w:rPr>
        <w:t>&gt;0.9968), which was indicated with the apparent activation energy of 27.634 kJ/mol. The Langmuir model agrees very well with the experimental data (R</w:t>
      </w:r>
      <w:r>
        <w:rPr>
          <w:rFonts w:hint="eastAsia"/>
          <w:kern w:val="0"/>
          <w:vertAlign w:val="superscript"/>
        </w:rPr>
        <w:t>2</w:t>
      </w:r>
      <w:r>
        <w:rPr>
          <w:kern w:val="0"/>
        </w:rPr>
        <w:t>&gt;0.9995). On the basis of the Langmuir analysis, the maximum adsorption capacities were determined to be 58.48 mg/g at 30</w:t>
      </w:r>
      <w:r w:rsidR="008A7E71">
        <w:t>°</w:t>
      </w:r>
      <w:r>
        <w:rPr>
          <w:kern w:val="0"/>
        </w:rPr>
        <w:t>C, 64.10 mg/g at 40</w:t>
      </w:r>
      <w:r w:rsidR="008A7E71">
        <w:t>°</w:t>
      </w:r>
      <w:r>
        <w:rPr>
          <w:kern w:val="0"/>
        </w:rPr>
        <w:t>C</w:t>
      </w:r>
      <w:r w:rsidR="00F81221">
        <w:rPr>
          <w:kern w:val="0"/>
        </w:rPr>
        <w:t xml:space="preserve"> and </w:t>
      </w:r>
      <w:r>
        <w:rPr>
          <w:kern w:val="0"/>
        </w:rPr>
        <w:t>69.93 mg/g at 50</w:t>
      </w:r>
      <w:r w:rsidR="008A7E71">
        <w:t>°</w:t>
      </w:r>
      <w:r>
        <w:rPr>
          <w:kern w:val="0"/>
        </w:rPr>
        <w:t>C. The negative values of Gibbs free energy (-12.382 - -15.625 kJ/mol) indicate the spontaneous nature of the adsorption. It is suggested that the adsorption is likely to be at the state between physical</w:t>
      </w:r>
      <w:r w:rsidR="00F81221">
        <w:rPr>
          <w:kern w:val="0"/>
        </w:rPr>
        <w:t xml:space="preserve"> and </w:t>
      </w:r>
      <w:r>
        <w:rPr>
          <w:kern w:val="0"/>
        </w:rPr>
        <w:t>chemical adsorption.</w:t>
      </w:r>
    </w:p>
    <w:p w:rsidR="00BD3FDF" w:rsidRDefault="00BD3FDF" w:rsidP="00BD3FDF">
      <w:pPr>
        <w:pStyle w:val="a0"/>
        <w:rPr>
          <w:kern w:val="0"/>
        </w:rPr>
      </w:pPr>
      <w:r>
        <w:rPr>
          <w:kern w:val="0"/>
        </w:rPr>
        <w:t>Keywords: Activated Carbon, Adsorption, Adsorption Removal, Bamboo Charcoal, Batch, Behavior, Equilibrium, Isotherm, Kinetics, Methylene Blue, Reactive Dyes, Waste</w:t>
      </w:r>
    </w:p>
    <w:p w:rsidR="00A30796" w:rsidRDefault="00A30796" w:rsidP="00A30796">
      <w:pPr>
        <w:pStyle w:val="a0"/>
        <w:rPr>
          <w:kern w:val="0"/>
        </w:rPr>
      </w:pPr>
      <w:r>
        <w:rPr>
          <w:rFonts w:hint="eastAsia"/>
          <w:kern w:val="0"/>
        </w:rPr>
        <w:t xml:space="preserve">? </w:t>
      </w:r>
      <w:r>
        <w:rPr>
          <w:kern w:val="0"/>
        </w:rPr>
        <w:t>Jia, J.J., Peng, X.J., Luan, Z.K., Fan, B.</w:t>
      </w:r>
      <w:r w:rsidR="00F81221">
        <w:rPr>
          <w:kern w:val="0"/>
        </w:rPr>
        <w:t xml:space="preserve"> and </w:t>
      </w:r>
      <w:r>
        <w:rPr>
          <w:kern w:val="0"/>
        </w:rPr>
        <w:t xml:space="preserve">Wang, J. (2009), Removal of </w:t>
      </w:r>
      <w:r w:rsidR="00F55B09">
        <w:rPr>
          <w:kern w:val="0"/>
        </w:rPr>
        <w:t>dyes from water by carbon nanotube</w:t>
      </w:r>
      <w:r>
        <w:rPr>
          <w:kern w:val="0"/>
        </w:rPr>
        <w:t xml:space="preserve">s. </w:t>
      </w:r>
      <w:r>
        <w:rPr>
          <w:i/>
          <w:iCs/>
          <w:kern w:val="0"/>
        </w:rPr>
        <w:t>Fresenius Environmental Bulletin</w:t>
      </w:r>
      <w:r>
        <w:rPr>
          <w:kern w:val="0"/>
        </w:rPr>
        <w:t xml:space="preserve">, </w:t>
      </w:r>
      <w:r>
        <w:rPr>
          <w:b/>
          <w:bCs/>
          <w:kern w:val="0"/>
        </w:rPr>
        <w:t>18</w:t>
      </w:r>
      <w:r>
        <w:rPr>
          <w:kern w:val="0"/>
        </w:rPr>
        <w:t xml:space="preserve"> (5), 615-618.</w:t>
      </w:r>
    </w:p>
    <w:p w:rsidR="00A30796" w:rsidRDefault="00A30796" w:rsidP="00A30796">
      <w:pPr>
        <w:pStyle w:val="a0"/>
        <w:rPr>
          <w:kern w:val="2"/>
        </w:rPr>
      </w:pPr>
      <w:r w:rsidRPr="00FC7835">
        <w:t xml:space="preserve">Full Text: </w:t>
      </w:r>
      <w:r w:rsidR="00371127">
        <w:rPr>
          <w:rFonts w:hint="eastAsia"/>
        </w:rPr>
        <w:t>2009\</w:t>
      </w:r>
      <w:r w:rsidRPr="009F373A">
        <w:t>Fre Env Bul18, 615</w:t>
      </w:r>
      <w:r w:rsidRPr="00B36434">
        <w:t>.pdf</w:t>
      </w:r>
    </w:p>
    <w:p w:rsidR="00A30796" w:rsidRDefault="00A30796" w:rsidP="00A30796">
      <w:pPr>
        <w:pStyle w:val="a0"/>
        <w:rPr>
          <w:kern w:val="0"/>
        </w:rPr>
      </w:pPr>
      <w:r>
        <w:rPr>
          <w:kern w:val="0"/>
        </w:rPr>
        <w:t>Abstract: The removal of one kind of dye, acid red B (ARB), by two kinds of carbon nanotubes (CNTs), single-walled CNTs (SWCNTs)</w:t>
      </w:r>
      <w:r w:rsidR="00F81221">
        <w:rPr>
          <w:kern w:val="0"/>
        </w:rPr>
        <w:t xml:space="preserve"> and </w:t>
      </w:r>
      <w:r>
        <w:rPr>
          <w:kern w:val="0"/>
        </w:rPr>
        <w:t>muti-walled CNTs (MWCNTs), were investigated. The results show that CNTs have high adsorption capacity for ARB,</w:t>
      </w:r>
      <w:r w:rsidR="00F81221">
        <w:rPr>
          <w:kern w:val="0"/>
        </w:rPr>
        <w:t xml:space="preserve"> and </w:t>
      </w:r>
      <w:r>
        <w:rPr>
          <w:kern w:val="0"/>
        </w:rPr>
        <w:t>the adsorption capacities for SWCNTs</w:t>
      </w:r>
      <w:r w:rsidR="00F81221">
        <w:rPr>
          <w:kern w:val="0"/>
        </w:rPr>
        <w:t xml:space="preserve"> and </w:t>
      </w:r>
      <w:r>
        <w:rPr>
          <w:kern w:val="0"/>
        </w:rPr>
        <w:t>MWCNTs are 585</w:t>
      </w:r>
      <w:r w:rsidR="00F81221">
        <w:rPr>
          <w:kern w:val="0"/>
        </w:rPr>
        <w:t xml:space="preserve"> and </w:t>
      </w:r>
      <w:r>
        <w:rPr>
          <w:kern w:val="0"/>
        </w:rPr>
        <w:t>85 mg/g, respectively. Kinetic study shows that the equilibrium time for adsorption of ARB to CNTs is 60 min,</w:t>
      </w:r>
      <w:r w:rsidR="00F81221">
        <w:rPr>
          <w:kern w:val="0"/>
        </w:rPr>
        <w:t xml:space="preserve"> and </w:t>
      </w:r>
      <w:r>
        <w:rPr>
          <w:kern w:val="0"/>
        </w:rPr>
        <w:t>the adsorption kinetic can be well described by the pseudo-second-order model. The adsorption increases with the increase in solution pH,</w:t>
      </w:r>
      <w:r w:rsidR="00F81221">
        <w:rPr>
          <w:kern w:val="0"/>
        </w:rPr>
        <w:t xml:space="preserve"> and </w:t>
      </w:r>
      <w:r>
        <w:rPr>
          <w:kern w:val="0"/>
        </w:rPr>
        <w:t>coexisting NaCl</w:t>
      </w:r>
      <w:r w:rsidR="00F81221">
        <w:rPr>
          <w:kern w:val="0"/>
        </w:rPr>
        <w:t xml:space="preserve"> and </w:t>
      </w:r>
      <w:r>
        <w:rPr>
          <w:kern w:val="0"/>
        </w:rPr>
        <w:t>CaCl</w:t>
      </w:r>
      <w:r w:rsidRPr="00A93158">
        <w:rPr>
          <w:kern w:val="0"/>
          <w:vertAlign w:val="subscript"/>
        </w:rPr>
        <w:t>2</w:t>
      </w:r>
      <w:r>
        <w:rPr>
          <w:kern w:val="0"/>
        </w:rPr>
        <w:t xml:space="preserve"> enhance the removal.</w:t>
      </w:r>
    </w:p>
    <w:p w:rsidR="00A30796" w:rsidRDefault="00A30796" w:rsidP="00A30796">
      <w:pPr>
        <w:pStyle w:val="a0"/>
        <w:rPr>
          <w:kern w:val="0"/>
        </w:rPr>
      </w:pPr>
      <w:r>
        <w:rPr>
          <w:kern w:val="0"/>
        </w:rPr>
        <w:t>Keywords: Acid Red B (ARB), Adsorption, Adsorption, Aqueous-Solution, Azo-Dye, Carbon Nanotubes (CNTS), Dyes, Kinetic-Models, Peat, Sorption, Wastewater</w:t>
      </w:r>
    </w:p>
    <w:p w:rsidR="00A6085F" w:rsidRDefault="00A6085F" w:rsidP="00A6085F">
      <w:pPr>
        <w:pStyle w:val="a0"/>
        <w:rPr>
          <w:kern w:val="0"/>
        </w:rPr>
      </w:pPr>
      <w:r>
        <w:rPr>
          <w:rFonts w:hint="eastAsia"/>
          <w:kern w:val="0"/>
        </w:rPr>
        <w:t xml:space="preserve">? </w:t>
      </w:r>
      <w:r>
        <w:rPr>
          <w:kern w:val="0"/>
        </w:rPr>
        <w:t>Teker, M., Imamoglu, M.</w:t>
      </w:r>
      <w:r w:rsidR="00F81221">
        <w:rPr>
          <w:kern w:val="0"/>
        </w:rPr>
        <w:t xml:space="preserve"> and </w:t>
      </w:r>
      <w:r>
        <w:rPr>
          <w:kern w:val="0"/>
        </w:rPr>
        <w:t xml:space="preserve">Bocek, N. (2009), Adsorption of some textile dyes on activated carbon prepared from rice hulls. </w:t>
      </w:r>
      <w:r>
        <w:rPr>
          <w:i/>
          <w:iCs/>
          <w:kern w:val="0"/>
        </w:rPr>
        <w:t>Fresenius Environmental Bulletin</w:t>
      </w:r>
      <w:r>
        <w:rPr>
          <w:kern w:val="0"/>
        </w:rPr>
        <w:t xml:space="preserve">, </w:t>
      </w:r>
      <w:r>
        <w:rPr>
          <w:b/>
          <w:bCs/>
          <w:kern w:val="0"/>
        </w:rPr>
        <w:t>18</w:t>
      </w:r>
      <w:r>
        <w:rPr>
          <w:kern w:val="0"/>
        </w:rPr>
        <w:t xml:space="preserve"> (5A), 709-714.</w:t>
      </w:r>
    </w:p>
    <w:p w:rsidR="00371127" w:rsidRDefault="00371127" w:rsidP="00371127">
      <w:pPr>
        <w:pStyle w:val="a0"/>
        <w:rPr>
          <w:kern w:val="0"/>
        </w:rPr>
      </w:pPr>
      <w:r>
        <w:rPr>
          <w:rFonts w:hint="eastAsia"/>
          <w:kern w:val="0"/>
        </w:rPr>
        <w:t>Full Text: 2009\</w:t>
      </w:r>
      <w:r>
        <w:rPr>
          <w:kern w:val="0"/>
        </w:rPr>
        <w:t xml:space="preserve">Fre Env Bul18, </w:t>
      </w:r>
      <w:r>
        <w:rPr>
          <w:rFonts w:hint="eastAsia"/>
          <w:kern w:val="0"/>
        </w:rPr>
        <w:t>709</w:t>
      </w:r>
      <w:r w:rsidRPr="007118E7">
        <w:rPr>
          <w:kern w:val="0"/>
        </w:rPr>
        <w:t>.pdf</w:t>
      </w:r>
    </w:p>
    <w:p w:rsidR="00A6085F" w:rsidRDefault="00A6085F" w:rsidP="00A6085F">
      <w:pPr>
        <w:pStyle w:val="a0"/>
        <w:rPr>
          <w:kern w:val="0"/>
        </w:rPr>
      </w:pPr>
      <w:r>
        <w:rPr>
          <w:kern w:val="0"/>
        </w:rPr>
        <w:t>Abstract: The removal of textile dyes (CI acid blue 40</w:t>
      </w:r>
      <w:r w:rsidR="00F81221">
        <w:rPr>
          <w:kern w:val="0"/>
        </w:rPr>
        <w:t xml:space="preserve"> and </w:t>
      </w:r>
      <w:r>
        <w:rPr>
          <w:kern w:val="0"/>
        </w:rPr>
        <w:t>CI basic blue 41) from aqueous solutions, by adsorption on activated carbon prepared from rice hulls (ACRH), have been investigated depending on pH, activated carbon dosage, contact time</w:t>
      </w:r>
      <w:r w:rsidR="00F81221">
        <w:rPr>
          <w:kern w:val="0"/>
        </w:rPr>
        <w:t xml:space="preserve"> and </w:t>
      </w:r>
      <w:r>
        <w:rPr>
          <w:kern w:val="0"/>
        </w:rPr>
        <w:t>initial concentration. The optimum values of pH, contact time</w:t>
      </w:r>
      <w:r w:rsidR="00F81221">
        <w:rPr>
          <w:kern w:val="0"/>
        </w:rPr>
        <w:t xml:space="preserve"> and </w:t>
      </w:r>
      <w:r>
        <w:rPr>
          <w:kern w:val="0"/>
        </w:rPr>
        <w:t>activated carbon dosage at 75 mg/L initial concentration</w:t>
      </w:r>
      <w:r w:rsidR="00F81221">
        <w:rPr>
          <w:kern w:val="0"/>
        </w:rPr>
        <w:t xml:space="preserve"> and </w:t>
      </w:r>
      <w:r>
        <w:rPr>
          <w:kern w:val="0"/>
        </w:rPr>
        <w:t>100 mL volume of the dyes solutions have been determined as 2-9, 20 min</w:t>
      </w:r>
      <w:r w:rsidR="00F81221">
        <w:rPr>
          <w:kern w:val="0"/>
        </w:rPr>
        <w:t xml:space="preserve"> and </w:t>
      </w:r>
      <w:r>
        <w:rPr>
          <w:kern w:val="0"/>
        </w:rPr>
        <w:t>0.25 for CI basic blue 41</w:t>
      </w:r>
      <w:r w:rsidR="00F81221">
        <w:rPr>
          <w:kern w:val="0"/>
        </w:rPr>
        <w:t xml:space="preserve"> and </w:t>
      </w:r>
      <w:r>
        <w:rPr>
          <w:kern w:val="0"/>
        </w:rPr>
        <w:t>2-6, 40 min.</w:t>
      </w:r>
      <w:r w:rsidR="00F81221">
        <w:rPr>
          <w:kern w:val="0"/>
        </w:rPr>
        <w:t xml:space="preserve"> and </w:t>
      </w:r>
      <w:r>
        <w:rPr>
          <w:kern w:val="0"/>
        </w:rPr>
        <w:t>0.50 g for CI acid blue 40, respectively. Freundlich</w:t>
      </w:r>
      <w:r w:rsidR="00F81221">
        <w:rPr>
          <w:kern w:val="0"/>
        </w:rPr>
        <w:t xml:space="preserve"> and </w:t>
      </w:r>
      <w:r>
        <w:rPr>
          <w:kern w:val="0"/>
        </w:rPr>
        <w:t>Langmuir equations were applied for the adsorption of both dyes</w:t>
      </w:r>
      <w:r w:rsidR="00F81221">
        <w:rPr>
          <w:kern w:val="0"/>
        </w:rPr>
        <w:t xml:space="preserve"> and </w:t>
      </w:r>
      <w:r>
        <w:rPr>
          <w:kern w:val="0"/>
        </w:rPr>
        <w:t>their adsorption followed both isotherms. Adsorption capacity has been found as 130.87</w:t>
      </w:r>
      <w:r w:rsidR="00F81221">
        <w:rPr>
          <w:kern w:val="0"/>
        </w:rPr>
        <w:t xml:space="preserve"> and </w:t>
      </w:r>
      <w:r>
        <w:rPr>
          <w:kern w:val="0"/>
        </w:rPr>
        <w:t>53.55 mg/g for CI basic blue 41</w:t>
      </w:r>
      <w:r w:rsidR="00F81221">
        <w:rPr>
          <w:kern w:val="0"/>
        </w:rPr>
        <w:t xml:space="preserve"> and </w:t>
      </w:r>
      <w:r>
        <w:rPr>
          <w:kern w:val="0"/>
        </w:rPr>
        <w:t>CI acid blue 40 from Langmuir isotherms, respectively.</w:t>
      </w:r>
    </w:p>
    <w:p w:rsidR="00A6085F" w:rsidRDefault="00A6085F" w:rsidP="00A6085F">
      <w:pPr>
        <w:pStyle w:val="a0"/>
        <w:rPr>
          <w:kern w:val="0"/>
        </w:rPr>
      </w:pPr>
      <w:r>
        <w:rPr>
          <w:kern w:val="0"/>
        </w:rPr>
        <w:lastRenderedPageBreak/>
        <w:t xml:space="preserve">Keywords: Activated Carbon, Adsorption, Adsorption Capacity, Agricultural Solid-Waste, Apricot Stone, Aqueous, Aqueous-Solutions, Basic Dye, Batch Adsorption, Capacity, Carbon, CI Acid Blue 40, CI Basic Blue 41, Dye, Dyes, Freundlich, Hazelnut Shells, Heavy-Metal Ions, Isotherms, Langmuir, Langmuir Isotherms, Malachite Green, Methylene-Blue, </w:t>
      </w:r>
      <w:r>
        <w:rPr>
          <w:rFonts w:hint="eastAsia"/>
          <w:kern w:val="0"/>
        </w:rPr>
        <w:t>p</w:t>
      </w:r>
      <w:r>
        <w:rPr>
          <w:kern w:val="0"/>
        </w:rPr>
        <w:t>H, Reactive Dyes, Removal, Rice, Rice Hulls, Solutions, Textile Dyes</w:t>
      </w:r>
    </w:p>
    <w:p w:rsidR="00686D32" w:rsidRDefault="00686D32" w:rsidP="00686D32">
      <w:pPr>
        <w:pStyle w:val="a0"/>
        <w:rPr>
          <w:kern w:val="0"/>
        </w:rPr>
      </w:pPr>
      <w:r>
        <w:rPr>
          <w:rFonts w:hint="eastAsia"/>
          <w:kern w:val="0"/>
        </w:rPr>
        <w:t xml:space="preserve">? </w:t>
      </w:r>
      <w:r>
        <w:rPr>
          <w:kern w:val="0"/>
        </w:rPr>
        <w:t>Celekli, A., Yavuzatmaca, M., Beyazcicek, E.</w:t>
      </w:r>
      <w:r w:rsidR="00F81221">
        <w:rPr>
          <w:kern w:val="0"/>
        </w:rPr>
        <w:t xml:space="preserve"> and </w:t>
      </w:r>
      <w:r>
        <w:rPr>
          <w:kern w:val="0"/>
        </w:rPr>
        <w:t>Bozkurt, H. (2009), Effect of initial Reactive Red 120 concentrations on the biomass production</w:t>
      </w:r>
      <w:r w:rsidR="00F81221">
        <w:rPr>
          <w:kern w:val="0"/>
        </w:rPr>
        <w:t xml:space="preserve"> and </w:t>
      </w:r>
      <w:r>
        <w:rPr>
          <w:kern w:val="0"/>
        </w:rPr>
        <w:t xml:space="preserve">dye uptake by </w:t>
      </w:r>
      <w:r w:rsidRPr="00686D32">
        <w:rPr>
          <w:i/>
          <w:kern w:val="0"/>
        </w:rPr>
        <w:t>Spirulina platensis</w:t>
      </w:r>
      <w:r>
        <w:rPr>
          <w:kern w:val="0"/>
        </w:rPr>
        <w:t xml:space="preserve">. </w:t>
      </w:r>
      <w:r>
        <w:rPr>
          <w:i/>
          <w:iCs/>
          <w:kern w:val="0"/>
        </w:rPr>
        <w:t>Fresenius Environmental Bulletin</w:t>
      </w:r>
      <w:r>
        <w:rPr>
          <w:kern w:val="0"/>
        </w:rPr>
        <w:t xml:space="preserve">, </w:t>
      </w:r>
      <w:r>
        <w:rPr>
          <w:b/>
          <w:bCs/>
          <w:kern w:val="0"/>
        </w:rPr>
        <w:t>18</w:t>
      </w:r>
      <w:r>
        <w:rPr>
          <w:kern w:val="0"/>
        </w:rPr>
        <w:t xml:space="preserve"> (6), 994-998.</w:t>
      </w:r>
    </w:p>
    <w:p w:rsidR="00686D32" w:rsidRDefault="00686D32" w:rsidP="00686D32">
      <w:pPr>
        <w:pStyle w:val="a0"/>
        <w:rPr>
          <w:kern w:val="0"/>
        </w:rPr>
      </w:pPr>
      <w:r>
        <w:rPr>
          <w:rFonts w:hint="eastAsia"/>
          <w:kern w:val="0"/>
        </w:rPr>
        <w:t xml:space="preserve">Full Text: </w:t>
      </w:r>
      <w:r w:rsidR="0028263D">
        <w:rPr>
          <w:rFonts w:hint="eastAsia"/>
          <w:kern w:val="0"/>
        </w:rPr>
        <w:t>2009\</w:t>
      </w:r>
      <w:r>
        <w:rPr>
          <w:kern w:val="0"/>
        </w:rPr>
        <w:t xml:space="preserve">Fre Env Bul18, </w:t>
      </w:r>
      <w:r>
        <w:rPr>
          <w:rFonts w:hint="eastAsia"/>
          <w:kern w:val="0"/>
        </w:rPr>
        <w:t>994</w:t>
      </w:r>
      <w:r w:rsidRPr="007118E7">
        <w:rPr>
          <w:kern w:val="0"/>
        </w:rPr>
        <w:t>.pdf</w:t>
      </w:r>
    </w:p>
    <w:p w:rsidR="00686D32" w:rsidRDefault="00686D32" w:rsidP="00686D32">
      <w:pPr>
        <w:pStyle w:val="a0"/>
        <w:rPr>
          <w:kern w:val="0"/>
        </w:rPr>
      </w:pPr>
      <w:r>
        <w:rPr>
          <w:kern w:val="0"/>
        </w:rPr>
        <w:t>Abstract: Uptake of Reactive Red (RR) 120</w:t>
      </w:r>
      <w:r w:rsidR="00F81221">
        <w:rPr>
          <w:kern w:val="0"/>
        </w:rPr>
        <w:t xml:space="preserve"> and </w:t>
      </w:r>
      <w:r>
        <w:rPr>
          <w:kern w:val="0"/>
        </w:rPr>
        <w:t>biomass production by Spirulina platensis in the Schlosser medium was followed at different initial dye concentrations (0, 15, 25, 50, 75</w:t>
      </w:r>
      <w:r w:rsidR="00F81221">
        <w:rPr>
          <w:kern w:val="0"/>
        </w:rPr>
        <w:t xml:space="preserve"> and </w:t>
      </w:r>
      <w:r>
        <w:rPr>
          <w:kern w:val="0"/>
        </w:rPr>
        <w:t>100 mg L</w:t>
      </w:r>
      <w:r w:rsidRPr="007118E7">
        <w:rPr>
          <w:kern w:val="0"/>
          <w:vertAlign w:val="superscript"/>
        </w:rPr>
        <w:t>-1</w:t>
      </w:r>
      <w:r>
        <w:rPr>
          <w:kern w:val="0"/>
        </w:rPr>
        <w:t>) under 2.0 klux continuous illuminations. Initial dye concentrations</w:t>
      </w:r>
      <w:r w:rsidR="00F81221">
        <w:rPr>
          <w:kern w:val="0"/>
        </w:rPr>
        <w:t xml:space="preserve"> and </w:t>
      </w:r>
      <w:r>
        <w:rPr>
          <w:kern w:val="0"/>
        </w:rPr>
        <w:t>cultivation time significantly affected (p&lt;0.01) biomass productions. It was observed that increment rate of biomass was especially achieved between 77</w:t>
      </w:r>
      <w:r w:rsidR="00F81221">
        <w:rPr>
          <w:kern w:val="0"/>
        </w:rPr>
        <w:t xml:space="preserve"> and </w:t>
      </w:r>
      <w:r>
        <w:rPr>
          <w:kern w:val="0"/>
        </w:rPr>
        <w:t>144 h at dye concentration range between 0.0-75 mg L</w:t>
      </w:r>
      <w:r w:rsidRPr="007118E7">
        <w:rPr>
          <w:kern w:val="0"/>
          <w:vertAlign w:val="superscript"/>
        </w:rPr>
        <w:t>-1</w:t>
      </w:r>
      <w:r>
        <w:rPr>
          <w:kern w:val="0"/>
        </w:rPr>
        <w:t>. However, remarkable increment rate was not observed at 100 mg L</w:t>
      </w:r>
      <w:r w:rsidRPr="007118E7">
        <w:rPr>
          <w:kern w:val="0"/>
          <w:vertAlign w:val="superscript"/>
        </w:rPr>
        <w:t>-1</w:t>
      </w:r>
      <w:r>
        <w:rPr>
          <w:kern w:val="0"/>
        </w:rPr>
        <w:t xml:space="preserve"> dye concentration. Change in initial dye concentrations from 15 to 100 mg L</w:t>
      </w:r>
      <w:r w:rsidRPr="007118E7">
        <w:rPr>
          <w:kern w:val="0"/>
          <w:vertAlign w:val="superscript"/>
        </w:rPr>
        <w:t>-1</w:t>
      </w:r>
      <w:r>
        <w:rPr>
          <w:kern w:val="0"/>
        </w:rPr>
        <w:t xml:space="preserve"> strongly affected (p&lt;0.01) amount of the dye uptake (q(t)). Increasing initial dye concentrations from 15 to 1100 mg L</w:t>
      </w:r>
      <w:r w:rsidRPr="007118E7">
        <w:rPr>
          <w:kern w:val="0"/>
          <w:vertAlign w:val="superscript"/>
        </w:rPr>
        <w:t>-1</w:t>
      </w:r>
      <w:r>
        <w:rPr>
          <w:kern w:val="0"/>
        </w:rPr>
        <w:t xml:space="preserve"> increased (p&lt;0.01) the equilibrium dye uptake (q(eq)) values from 8.08 to 18.31 mg g</w:t>
      </w:r>
      <w:r w:rsidRPr="007118E7">
        <w:rPr>
          <w:kern w:val="0"/>
          <w:vertAlign w:val="superscript"/>
        </w:rPr>
        <w:t>-1</w:t>
      </w:r>
      <w:r>
        <w:rPr>
          <w:kern w:val="0"/>
        </w:rPr>
        <w:t>. Tukey HSD test revealed that there was no significant difference (p&gt;0.05) among q(eq) values at initial dye concentrations of 25, 50,</w:t>
      </w:r>
      <w:r w:rsidR="00F81221">
        <w:rPr>
          <w:kern w:val="0"/>
        </w:rPr>
        <w:t xml:space="preserve"> and </w:t>
      </w:r>
      <w:r>
        <w:rPr>
          <w:kern w:val="0"/>
        </w:rPr>
        <w:t>75 mg L</w:t>
      </w:r>
      <w:r w:rsidRPr="007118E7">
        <w:rPr>
          <w:kern w:val="0"/>
          <w:vertAlign w:val="superscript"/>
        </w:rPr>
        <w:t>-1</w:t>
      </w:r>
      <w:r>
        <w:rPr>
          <w:kern w:val="0"/>
        </w:rPr>
        <w:t>. This cyanobacterium is able to withstand high concentrations of RR 120, which is to be important for waste-water treatment systems.</w:t>
      </w:r>
    </w:p>
    <w:p w:rsidR="00686D32" w:rsidRDefault="00686D32" w:rsidP="00686D32">
      <w:pPr>
        <w:pStyle w:val="a0"/>
        <w:rPr>
          <w:kern w:val="0"/>
        </w:rPr>
      </w:pPr>
      <w:r>
        <w:rPr>
          <w:kern w:val="0"/>
        </w:rPr>
        <w:t>Keywords: Batch System, Biomass, Biosorption, Decolorization, Dye, Dye Uptake, Equilibrium, Fresh-Water, Reactive Red 120, Removal, Spirulina, Spirulina Platensis, Temperature, Treatment, Waste, Waste Water, Waste Water Treatment, Wastewater, Wastewater Treatment</w:t>
      </w:r>
    </w:p>
    <w:p w:rsidR="00F55B09" w:rsidRDefault="00F55B09" w:rsidP="00F55B09">
      <w:pPr>
        <w:pStyle w:val="a0"/>
        <w:rPr>
          <w:kern w:val="0"/>
        </w:rPr>
      </w:pPr>
      <w:r>
        <w:rPr>
          <w:rFonts w:hint="eastAsia"/>
          <w:kern w:val="0"/>
        </w:rPr>
        <w:t xml:space="preserve">? </w:t>
      </w:r>
      <w:r>
        <w:rPr>
          <w:kern w:val="0"/>
        </w:rPr>
        <w:t>Liu, Z.R., Chen, X.S., Wei, P.</w:t>
      </w:r>
      <w:r w:rsidR="00F81221">
        <w:rPr>
          <w:kern w:val="0"/>
        </w:rPr>
        <w:t xml:space="preserve"> and </w:t>
      </w:r>
      <w:r>
        <w:rPr>
          <w:kern w:val="0"/>
        </w:rPr>
        <w:t>Wang, Y. (2009), Adsorption of cerium, dysprosium</w:t>
      </w:r>
      <w:r w:rsidR="00F81221">
        <w:rPr>
          <w:kern w:val="0"/>
        </w:rPr>
        <w:t xml:space="preserve"> and </w:t>
      </w:r>
      <w:r>
        <w:rPr>
          <w:kern w:val="0"/>
        </w:rPr>
        <w:t xml:space="preserve">Europium on peat. </w:t>
      </w:r>
      <w:r>
        <w:rPr>
          <w:i/>
          <w:iCs/>
          <w:kern w:val="0"/>
        </w:rPr>
        <w:t>Fresenius Environmental Bulletin</w:t>
      </w:r>
      <w:r>
        <w:rPr>
          <w:kern w:val="0"/>
        </w:rPr>
        <w:t xml:space="preserve">, </w:t>
      </w:r>
      <w:r>
        <w:rPr>
          <w:b/>
          <w:bCs/>
          <w:kern w:val="0"/>
        </w:rPr>
        <w:t>18</w:t>
      </w:r>
      <w:r>
        <w:rPr>
          <w:kern w:val="0"/>
        </w:rPr>
        <w:t xml:space="preserve"> (7B), 1302-1306.</w:t>
      </w:r>
    </w:p>
    <w:p w:rsidR="00526888" w:rsidRDefault="00526888" w:rsidP="00526888">
      <w:pPr>
        <w:pStyle w:val="a0"/>
        <w:rPr>
          <w:kern w:val="2"/>
        </w:rPr>
      </w:pPr>
      <w:r w:rsidRPr="00FC7835">
        <w:t xml:space="preserve">Full Text: </w:t>
      </w:r>
      <w:hyperlink r:id="rId182" w:history="1">
        <w:r w:rsidRPr="00526888">
          <w:rPr>
            <w:rStyle w:val="a5"/>
          </w:rPr>
          <w:t>2009\Fre Env Bul18, 1302.pdf</w:t>
        </w:r>
      </w:hyperlink>
    </w:p>
    <w:p w:rsidR="00F55B09" w:rsidRDefault="00F55B09" w:rsidP="00F55B09">
      <w:pPr>
        <w:pStyle w:val="a0"/>
        <w:rPr>
          <w:kern w:val="0"/>
        </w:rPr>
      </w:pPr>
      <w:r>
        <w:rPr>
          <w:kern w:val="0"/>
        </w:rPr>
        <w:t>Abstract: The adsorption of cerium, dysprosium,</w:t>
      </w:r>
      <w:r w:rsidR="00F81221">
        <w:rPr>
          <w:kern w:val="0"/>
        </w:rPr>
        <w:t xml:space="preserve"> and </w:t>
      </w:r>
      <w:r>
        <w:rPr>
          <w:kern w:val="0"/>
        </w:rPr>
        <w:t>europium on peat has been studied under static conditions. Experiments were carried out as a function of solution pH, initial concentration, contact time</w:t>
      </w:r>
      <w:r w:rsidR="00F81221">
        <w:rPr>
          <w:kern w:val="0"/>
        </w:rPr>
        <w:t xml:space="preserve"> and </w:t>
      </w:r>
      <w:r>
        <w:rPr>
          <w:kern w:val="0"/>
        </w:rPr>
        <w:t>temperature. The results showed that the pH has pronounced effect on the adsorption process. The pseudo-second-order kinetics model described the process of adsorption fairly well,</w:t>
      </w:r>
      <w:r w:rsidR="00F81221">
        <w:rPr>
          <w:kern w:val="0"/>
        </w:rPr>
        <w:t xml:space="preserve"> and </w:t>
      </w:r>
      <w:r>
        <w:rPr>
          <w:kern w:val="0"/>
        </w:rPr>
        <w:t>the Freundlich model best fitted the adsorption isotherm with regression coefficients close to 1. The adsorption processes were spontaneous</w:t>
      </w:r>
      <w:r w:rsidR="00F81221">
        <w:rPr>
          <w:kern w:val="0"/>
        </w:rPr>
        <w:t xml:space="preserve"> and </w:t>
      </w:r>
      <w:r>
        <w:rPr>
          <w:kern w:val="0"/>
        </w:rPr>
        <w:t xml:space="preserve">irreversible. The increase of temperature was not </w:t>
      </w:r>
      <w:r>
        <w:rPr>
          <w:kern w:val="0"/>
        </w:rPr>
        <w:lastRenderedPageBreak/>
        <w:t>significant to the adsorption processes. Higher electro-negativity of rare earth elements (REEs) increased their adsorption affinity for peat, which were different due to their chemical properties.</w:t>
      </w:r>
    </w:p>
    <w:p w:rsidR="00F55B09" w:rsidRDefault="00F55B09" w:rsidP="00F55B09">
      <w:pPr>
        <w:pStyle w:val="a0"/>
        <w:rPr>
          <w:kern w:val="0"/>
        </w:rPr>
      </w:pPr>
      <w:r>
        <w:rPr>
          <w:kern w:val="0"/>
        </w:rPr>
        <w:t xml:space="preserve">Keywords: Adsorption, Adsorption Isotherm, Aqueous-Solution, Cerium, Chemical, Concentration, Copper, Europium, Freundlich, Freundlich Model, Function, Isotherm, Kinetic, Kinetics, Kinetics Model, Model, Nickel, Peat, </w:t>
      </w:r>
      <w:r>
        <w:rPr>
          <w:rFonts w:hint="eastAsia"/>
          <w:kern w:val="0"/>
        </w:rPr>
        <w:t>p</w:t>
      </w:r>
      <w:r>
        <w:rPr>
          <w:kern w:val="0"/>
        </w:rPr>
        <w:t>H, Pseudo Second Order, Pseudo Second Order Kinetics, Pseudo-Second-Order, Pseudo-Second-Order Kinetics, Rare Earth, Rare Earth Elements, Regression, Removal, Solution, Sphagnum, Temperature, Waste-Water, Zinc</w:t>
      </w:r>
    </w:p>
    <w:p w:rsidR="00FE1CAE" w:rsidRDefault="00FE1CAE" w:rsidP="00FE1CAE">
      <w:pPr>
        <w:pStyle w:val="a0"/>
        <w:rPr>
          <w:kern w:val="0"/>
        </w:rPr>
      </w:pPr>
      <w:r>
        <w:rPr>
          <w:rFonts w:hint="eastAsia"/>
          <w:kern w:val="0"/>
        </w:rPr>
        <w:t xml:space="preserve">? </w:t>
      </w:r>
      <w:r>
        <w:rPr>
          <w:kern w:val="0"/>
        </w:rPr>
        <w:t>Gao, J.F., Chen, R.N., Su, K., Zhang, Q.</w:t>
      </w:r>
      <w:r w:rsidR="00F81221">
        <w:rPr>
          <w:kern w:val="0"/>
        </w:rPr>
        <w:t xml:space="preserve"> and </w:t>
      </w:r>
      <w:r>
        <w:rPr>
          <w:kern w:val="0"/>
        </w:rPr>
        <w:t>Peng, Y.Z. (2009), Inactive aerobic granules as biosorbent for the removal of anionic azo dye acid red 14 from aqueous solution: Isotherms, kinetics</w:t>
      </w:r>
      <w:r w:rsidR="00F81221">
        <w:rPr>
          <w:kern w:val="0"/>
        </w:rPr>
        <w:t xml:space="preserve"> and </w:t>
      </w:r>
      <w:r>
        <w:rPr>
          <w:kern w:val="0"/>
        </w:rPr>
        <w:t xml:space="preserve">thermodynamics. </w:t>
      </w:r>
      <w:r>
        <w:rPr>
          <w:i/>
          <w:iCs/>
          <w:kern w:val="0"/>
        </w:rPr>
        <w:t>Fresenius Environmental Bulletin</w:t>
      </w:r>
      <w:r>
        <w:rPr>
          <w:kern w:val="0"/>
        </w:rPr>
        <w:t xml:space="preserve">, </w:t>
      </w:r>
      <w:r>
        <w:rPr>
          <w:b/>
          <w:bCs/>
          <w:kern w:val="0"/>
        </w:rPr>
        <w:t>18</w:t>
      </w:r>
      <w:r>
        <w:rPr>
          <w:kern w:val="0"/>
        </w:rPr>
        <w:t xml:space="preserve"> (9A), 1681-1691.</w:t>
      </w:r>
    </w:p>
    <w:p w:rsidR="00526888" w:rsidRDefault="00526888" w:rsidP="00526888">
      <w:pPr>
        <w:pStyle w:val="a0"/>
        <w:rPr>
          <w:kern w:val="2"/>
        </w:rPr>
      </w:pPr>
      <w:r w:rsidRPr="00FC7835">
        <w:t xml:space="preserve">Full Text: </w:t>
      </w:r>
      <w:hyperlink r:id="rId183" w:history="1">
        <w:r w:rsidR="007A1584" w:rsidRPr="007A1584">
          <w:rPr>
            <w:rStyle w:val="a5"/>
          </w:rPr>
          <w:t>2009\Fre Env Bul18, 1681.pdf</w:t>
        </w:r>
      </w:hyperlink>
    </w:p>
    <w:p w:rsidR="00FE1CAE" w:rsidRDefault="00FE1CAE" w:rsidP="00FE1CAE">
      <w:pPr>
        <w:pStyle w:val="a0"/>
        <w:rPr>
          <w:kern w:val="0"/>
        </w:rPr>
      </w:pPr>
      <w:r>
        <w:rPr>
          <w:kern w:val="0"/>
        </w:rPr>
        <w:t>Abstract: The aim of this study was to determine the feasibility of the use of inactive aerobic granules as a biosorbent for removing Acid Red 14 (AR 14), an anionic azo dye, from aqueous solution. The effects of pH, biosorbent dosage, initial AR 14 concentration, NaCl concentration</w:t>
      </w:r>
      <w:r w:rsidR="00F81221">
        <w:rPr>
          <w:kern w:val="0"/>
        </w:rPr>
        <w:t xml:space="preserve"> and </w:t>
      </w:r>
      <w:r>
        <w:rPr>
          <w:kern w:val="0"/>
        </w:rPr>
        <w:t>temperature on the biosorption were investigated. The results show that initial pH would be the most important parameter affecting AR 14 biosorption</w:t>
      </w:r>
      <w:r w:rsidR="00F81221">
        <w:rPr>
          <w:kern w:val="0"/>
        </w:rPr>
        <w:t xml:space="preserve"> and </w:t>
      </w:r>
      <w:r>
        <w:rPr>
          <w:kern w:val="0"/>
        </w:rPr>
        <w:t>the optimal pH was 2.0. The biosorption capacity increased with an increase in initial dye concentration, but decreased with an increase in biosorbent dosage</w:t>
      </w:r>
      <w:r w:rsidR="00F81221">
        <w:rPr>
          <w:kern w:val="0"/>
        </w:rPr>
        <w:t xml:space="preserve"> and </w:t>
      </w:r>
      <w:r>
        <w:rPr>
          <w:kern w:val="0"/>
        </w:rPr>
        <w:t>NaCl concentration. The Langmuir</w:t>
      </w:r>
      <w:r w:rsidR="00F81221">
        <w:rPr>
          <w:kern w:val="0"/>
        </w:rPr>
        <w:t xml:space="preserve"> and </w:t>
      </w:r>
      <w:r>
        <w:rPr>
          <w:kern w:val="0"/>
        </w:rPr>
        <w:t>Redlich-Peterson isotherms fitted better to the equilibrium data than the Freundlich isotherm. Pseudo-first-order, pseudo-second-order</w:t>
      </w:r>
      <w:r w:rsidR="00F81221">
        <w:rPr>
          <w:kern w:val="0"/>
        </w:rPr>
        <w:t xml:space="preserve"> and </w:t>
      </w:r>
      <w:r>
        <w:rPr>
          <w:kern w:val="0"/>
        </w:rPr>
        <w:t>intraparticle diffusion models were applied to fit the experimental data,</w:t>
      </w:r>
      <w:r w:rsidR="00F81221">
        <w:rPr>
          <w:kern w:val="0"/>
        </w:rPr>
        <w:t xml:space="preserve"> and </w:t>
      </w:r>
      <w:r>
        <w:rPr>
          <w:kern w:val="0"/>
        </w:rPr>
        <w:t>the results show that the biosorption of AR 14 followed the pseudo-second-order kinetic model. The thermodynamic analysis indicates that the biosorption process was endothermic in nature</w:t>
      </w:r>
      <w:r w:rsidR="00F81221">
        <w:rPr>
          <w:kern w:val="0"/>
        </w:rPr>
        <w:t xml:space="preserve"> and </w:t>
      </w:r>
      <w:r>
        <w:rPr>
          <w:kern w:val="0"/>
        </w:rPr>
        <w:t>could occur spontaneously. The FTIR analysis revealed that chemical functional groups (e.g., amine, carboxyl, hydroxyl</w:t>
      </w:r>
      <w:r w:rsidR="00F81221">
        <w:rPr>
          <w:kern w:val="0"/>
        </w:rPr>
        <w:t xml:space="preserve"> and </w:t>
      </w:r>
      <w:r>
        <w:rPr>
          <w:kern w:val="0"/>
        </w:rPr>
        <w:t>either) on aerobic granules would be the active binding sites for biosorption of AR 14. These results show that inactive aerobic granules could be employed as a low-cost</w:t>
      </w:r>
      <w:r w:rsidR="00F81221">
        <w:rPr>
          <w:kern w:val="0"/>
        </w:rPr>
        <w:t xml:space="preserve"> and </w:t>
      </w:r>
      <w:r>
        <w:rPr>
          <w:kern w:val="0"/>
        </w:rPr>
        <w:t>alternative biosorbent in the wastewater treatment for the removal of anionic azo dye AR 14.</w:t>
      </w:r>
    </w:p>
    <w:p w:rsidR="00FE1CAE" w:rsidRDefault="00FE1CAE" w:rsidP="00FE1CAE">
      <w:pPr>
        <w:pStyle w:val="a0"/>
        <w:rPr>
          <w:kern w:val="0"/>
        </w:rPr>
      </w:pPr>
      <w:r>
        <w:rPr>
          <w:kern w:val="0"/>
        </w:rPr>
        <w:t xml:space="preserve">Keywords: Acid Red 14, Adsorption, Aerobic Granules, Alternative, Analysis, Aqueous Solution, Azo Dye, Binding, Binding Sites, Biomass, Biosorbent, Biosorption, Biosorption, Capacity, Chemical, Chitosan, Concentration, Data, Diffusion, Dye, Endothermic, Equilibrium, Experimental, Feasibility, Freundlich, Freundlich Isotherm, FTIR, FTIR Analysis, Functional Groups, Inactive Aerobic Granule, Intraparticle Diffusion, Isotherm, Isotherms, Kinetic, Kinetic Model, Kinetics, Langmuir, Low Cost, Malachite Green, Mechanisms, Model, Models, NaCl, </w:t>
      </w:r>
      <w:r>
        <w:rPr>
          <w:rFonts w:hint="eastAsia"/>
          <w:kern w:val="0"/>
        </w:rPr>
        <w:t>p</w:t>
      </w:r>
      <w:r>
        <w:rPr>
          <w:kern w:val="0"/>
        </w:rPr>
        <w:t xml:space="preserve">H, </w:t>
      </w:r>
      <w:r>
        <w:rPr>
          <w:kern w:val="0"/>
        </w:rPr>
        <w:lastRenderedPageBreak/>
        <w:t>Pseudo Second Order, Pseudo-First-Order, Pseudo-Second-Order, Pseudo-Second-Order Kinetic Model, Redlich-Peterson, Removal, Sequencing Batch Reactor, Sludge, Solution, Temperature, Thermodynamic, Thermodynamics, Treatment, Waste-Water, Wastewater, Wastewater Treatment</w:t>
      </w:r>
    </w:p>
    <w:p w:rsidR="00852028" w:rsidRDefault="00852028" w:rsidP="00852028">
      <w:pPr>
        <w:pStyle w:val="a0"/>
        <w:rPr>
          <w:kern w:val="0"/>
        </w:rPr>
      </w:pPr>
      <w:r>
        <w:rPr>
          <w:rFonts w:hint="eastAsia"/>
          <w:kern w:val="0"/>
        </w:rPr>
        <w:t xml:space="preserve">? </w:t>
      </w:r>
      <w:r>
        <w:rPr>
          <w:kern w:val="0"/>
        </w:rPr>
        <w:t>Ozer, A., Turabik, M.</w:t>
      </w:r>
      <w:r w:rsidR="00F81221">
        <w:rPr>
          <w:kern w:val="0"/>
        </w:rPr>
        <w:t xml:space="preserve"> and </w:t>
      </w:r>
      <w:r>
        <w:rPr>
          <w:kern w:val="0"/>
        </w:rPr>
        <w:t>Akkaya, G. (2009), Biosorption of acid dyes by brown alga dictyota dichotoma: Equilibrium, kinetic</w:t>
      </w:r>
      <w:r w:rsidR="00F81221">
        <w:rPr>
          <w:kern w:val="0"/>
        </w:rPr>
        <w:t xml:space="preserve"> and </w:t>
      </w:r>
      <w:r>
        <w:rPr>
          <w:kern w:val="0"/>
        </w:rPr>
        <w:t xml:space="preserve">thermodynamic studies. </w:t>
      </w:r>
      <w:r>
        <w:rPr>
          <w:i/>
          <w:iCs/>
          <w:kern w:val="0"/>
        </w:rPr>
        <w:t>Fresenius Environmental Bulletin</w:t>
      </w:r>
      <w:r>
        <w:rPr>
          <w:kern w:val="0"/>
        </w:rPr>
        <w:t xml:space="preserve">, </w:t>
      </w:r>
      <w:r>
        <w:rPr>
          <w:b/>
          <w:bCs/>
          <w:kern w:val="0"/>
        </w:rPr>
        <w:t>18</w:t>
      </w:r>
      <w:r>
        <w:rPr>
          <w:kern w:val="0"/>
        </w:rPr>
        <w:t xml:space="preserve"> (10), 1798-1808.</w:t>
      </w:r>
    </w:p>
    <w:p w:rsidR="0028263D" w:rsidRPr="003D3F85" w:rsidRDefault="0028263D" w:rsidP="0028263D">
      <w:pPr>
        <w:pStyle w:val="a0"/>
        <w:rPr>
          <w:kern w:val="0"/>
        </w:rPr>
      </w:pPr>
      <w:r w:rsidRPr="003D3F85">
        <w:rPr>
          <w:kern w:val="0"/>
        </w:rPr>
        <w:t>Full Text:</w:t>
      </w:r>
      <w:r w:rsidRPr="003D3F85">
        <w:t xml:space="preserve"> </w:t>
      </w:r>
      <w:r>
        <w:rPr>
          <w:rFonts w:hint="eastAsia"/>
        </w:rPr>
        <w:t>2009\</w:t>
      </w:r>
      <w:r w:rsidRPr="003D3F85">
        <w:rPr>
          <w:iCs/>
          <w:kern w:val="0"/>
        </w:rPr>
        <w:t>Fre Env Bul1</w:t>
      </w:r>
      <w:r>
        <w:rPr>
          <w:rFonts w:hint="eastAsia"/>
          <w:iCs/>
          <w:kern w:val="0"/>
        </w:rPr>
        <w:t>8</w:t>
      </w:r>
      <w:r w:rsidRPr="003D3F85">
        <w:rPr>
          <w:iCs/>
          <w:kern w:val="0"/>
        </w:rPr>
        <w:t xml:space="preserve">, </w:t>
      </w:r>
      <w:r>
        <w:rPr>
          <w:rFonts w:hint="eastAsia"/>
          <w:iCs/>
          <w:kern w:val="0"/>
        </w:rPr>
        <w:t>1798</w:t>
      </w:r>
      <w:r w:rsidRPr="003D3F85">
        <w:t>.pdf</w:t>
      </w:r>
    </w:p>
    <w:p w:rsidR="00852028" w:rsidRDefault="00852028" w:rsidP="00852028">
      <w:pPr>
        <w:pStyle w:val="a0"/>
        <w:rPr>
          <w:kern w:val="0"/>
        </w:rPr>
      </w:pPr>
      <w:r>
        <w:rPr>
          <w:kern w:val="0"/>
        </w:rPr>
        <w:t>Abstract: In this study, the biosorption of Acid Blue 324 (AB324)</w:t>
      </w:r>
      <w:r w:rsidR="00F81221">
        <w:rPr>
          <w:kern w:val="0"/>
        </w:rPr>
        <w:t xml:space="preserve"> and </w:t>
      </w:r>
      <w:r>
        <w:rPr>
          <w:kern w:val="0"/>
        </w:rPr>
        <w:t>Acid Red 337 (AR337) dyes, known as the components of textile industry wastewaters, on Dictyota dichotoma was studied in a batch system. The optimum biosorption conditions were determined,</w:t>
      </w:r>
      <w:r w:rsidR="00F81221">
        <w:rPr>
          <w:kern w:val="0"/>
        </w:rPr>
        <w:t xml:space="preserve"> and </w:t>
      </w:r>
      <w:r>
        <w:rPr>
          <w:kern w:val="0"/>
        </w:rPr>
        <w:t>then the equilibrium for both dyes</w:t>
      </w:r>
      <w:r w:rsidR="000352E7">
        <w:rPr>
          <w:kern w:val="0"/>
        </w:rPr>
        <w:t>’</w:t>
      </w:r>
      <w:r>
        <w:rPr>
          <w:kern w:val="0"/>
        </w:rPr>
        <w:t xml:space="preserve"> biosorption was modeled by using Langmuir</w:t>
      </w:r>
      <w:r w:rsidR="00F81221">
        <w:rPr>
          <w:kern w:val="0"/>
        </w:rPr>
        <w:t xml:space="preserve"> and </w:t>
      </w:r>
      <w:r>
        <w:rPr>
          <w:kern w:val="0"/>
        </w:rPr>
        <w:t>Freundlich isotherm models. The equilibrium studies showed that the biosorption equilibrium data of AB324</w:t>
      </w:r>
      <w:r w:rsidR="00F81221">
        <w:rPr>
          <w:kern w:val="0"/>
        </w:rPr>
        <w:t xml:space="preserve"> and </w:t>
      </w:r>
      <w:r>
        <w:rPr>
          <w:kern w:val="0"/>
        </w:rPr>
        <w:t>AR337 fitted to both Langmuir</w:t>
      </w:r>
      <w:r w:rsidR="00F81221">
        <w:rPr>
          <w:kern w:val="0"/>
        </w:rPr>
        <w:t xml:space="preserve"> and </w:t>
      </w:r>
      <w:r>
        <w:rPr>
          <w:kern w:val="0"/>
        </w:rPr>
        <w:t>Freundlich isotherms in the concentration</w:t>
      </w:r>
      <w:r w:rsidR="00F81221">
        <w:rPr>
          <w:kern w:val="0"/>
        </w:rPr>
        <w:t xml:space="preserve"> and </w:t>
      </w:r>
      <w:r>
        <w:rPr>
          <w:kern w:val="0"/>
        </w:rPr>
        <w:t>temperature ranges studied. The monolayer coverage of AB324</w:t>
      </w:r>
      <w:r w:rsidR="00F81221">
        <w:rPr>
          <w:kern w:val="0"/>
        </w:rPr>
        <w:t xml:space="preserve"> and </w:t>
      </w:r>
      <w:r>
        <w:rPr>
          <w:kern w:val="0"/>
        </w:rPr>
        <w:t>AR337 dyes were determined as 244</w:t>
      </w:r>
      <w:r w:rsidR="00F81221">
        <w:rPr>
          <w:kern w:val="0"/>
        </w:rPr>
        <w:t xml:space="preserve"> and </w:t>
      </w:r>
      <w:r>
        <w:rPr>
          <w:kern w:val="0"/>
        </w:rPr>
        <w:t>323 mg g</w:t>
      </w:r>
      <w:r>
        <w:rPr>
          <w:rFonts w:hint="eastAsia"/>
          <w:kern w:val="0"/>
          <w:vertAlign w:val="superscript"/>
        </w:rPr>
        <w:t>-1</w:t>
      </w:r>
      <w:r>
        <w:rPr>
          <w:kern w:val="0"/>
        </w:rPr>
        <w:t xml:space="preserve"> respectively. The intraparticle diffusion model was applied to the experimental data,</w:t>
      </w:r>
      <w:r w:rsidR="00F81221">
        <w:rPr>
          <w:kern w:val="0"/>
        </w:rPr>
        <w:t xml:space="preserve"> and </w:t>
      </w:r>
      <w:r>
        <w:rPr>
          <w:kern w:val="0"/>
        </w:rPr>
        <w:t>it was found that both surface adsorption</w:t>
      </w:r>
      <w:r w:rsidR="00F81221">
        <w:rPr>
          <w:kern w:val="0"/>
        </w:rPr>
        <w:t xml:space="preserve"> and </w:t>
      </w:r>
      <w:r>
        <w:rPr>
          <w:kern w:val="0"/>
        </w:rPr>
        <w:t>intraparticle diffusion contribute to the rate-limiting step. Analysis of biosorption data using a Boyd plot confirmed that external mass transfer was the main rate-limiting step in the biosorption process. It was observed that AB324</w:t>
      </w:r>
      <w:r w:rsidR="00F81221">
        <w:rPr>
          <w:kern w:val="0"/>
        </w:rPr>
        <w:t xml:space="preserve"> and </w:t>
      </w:r>
      <w:r>
        <w:rPr>
          <w:kern w:val="0"/>
        </w:rPr>
        <w:t>AR337-D. dichotoma biosorption processes followed the pseudo-second order kinetics,</w:t>
      </w:r>
      <w:r w:rsidR="00F81221">
        <w:rPr>
          <w:kern w:val="0"/>
        </w:rPr>
        <w:t xml:space="preserve"> and </w:t>
      </w:r>
      <w:r>
        <w:rPr>
          <w:kern w:val="0"/>
        </w:rPr>
        <w:t>their activation energies were determined in the range of physical adsorption. Thermodynamic studies showed that the biosorption of AB324</w:t>
      </w:r>
      <w:r w:rsidR="00F81221">
        <w:rPr>
          <w:kern w:val="0"/>
        </w:rPr>
        <w:t xml:space="preserve"> and </w:t>
      </w:r>
      <w:r>
        <w:rPr>
          <w:kern w:val="0"/>
        </w:rPr>
        <w:t>AR337 on D. dichotoma is exothermic</w:t>
      </w:r>
      <w:r w:rsidR="00F81221">
        <w:rPr>
          <w:kern w:val="0"/>
        </w:rPr>
        <w:t xml:space="preserve"> and </w:t>
      </w:r>
      <w:r>
        <w:rPr>
          <w:kern w:val="0"/>
        </w:rPr>
        <w:t>spontaneous in nature.</w:t>
      </w:r>
    </w:p>
    <w:p w:rsidR="00852028" w:rsidRDefault="00852028" w:rsidP="00852028">
      <w:pPr>
        <w:pStyle w:val="a0"/>
        <w:rPr>
          <w:kern w:val="0"/>
        </w:rPr>
      </w:pPr>
      <w:r>
        <w:rPr>
          <w:kern w:val="0"/>
        </w:rPr>
        <w:t>Keywords: Acid Dyes, Activated Carbon, Activation, Adsorption, Aqueous-Solutions, Batch, Batch System, Biosorption, Boyd Plot, Chlorella-Vulgaris, Concentration, Coverage, Data, Dictyota Dichotoma, Diffusion, Diffusion Model, Dyes, Equilibrium, Equilibrium Isotherm Models, Equilibrium Studies, Exothermic, Experimental, Fresh-Water Algae, Freundlich, Freundlich Isotherm, Intraparticle Diffusion, Intraparticle Diffusion Model, Isotherm, Isotherm Analyses, Isotherms, Kinetic, Kinetic Models, Kinetics, Langmuir, Langmuir</w:t>
      </w:r>
      <w:r w:rsidR="00F81221">
        <w:rPr>
          <w:kern w:val="0"/>
        </w:rPr>
        <w:t xml:space="preserve"> and </w:t>
      </w:r>
      <w:r>
        <w:rPr>
          <w:kern w:val="0"/>
        </w:rPr>
        <w:t xml:space="preserve">Freundlich Isotherms, Malachite Green, Mass Transfer, Methylene-Blue, Model, Models, Monolayer, Physical, Pithophora sp., Process Design, Pseudo Second Order, Pseudo Second Order Kinetics, Pseudo-Second Order, Pseudo-Second Order Kinetics, Pseudo-Second-Order, Rate Limiting Step, Rate-Limiting Step, </w:t>
      </w:r>
      <w:r w:rsidRPr="001D5A69">
        <w:rPr>
          <w:i/>
          <w:kern w:val="0"/>
        </w:rPr>
        <w:t>Rhizopus-arrhizus</w:t>
      </w:r>
      <w:r>
        <w:rPr>
          <w:kern w:val="0"/>
        </w:rPr>
        <w:t>, Surface, Temperature, Thermodynamic, Wastewaters</w:t>
      </w:r>
    </w:p>
    <w:p w:rsidR="00852028" w:rsidRDefault="00852028" w:rsidP="00852028">
      <w:pPr>
        <w:pStyle w:val="a0"/>
        <w:rPr>
          <w:kern w:val="0"/>
        </w:rPr>
      </w:pPr>
      <w:r>
        <w:rPr>
          <w:rFonts w:hint="eastAsia"/>
          <w:kern w:val="0"/>
        </w:rPr>
        <w:t xml:space="preserve">? </w:t>
      </w:r>
      <w:r>
        <w:rPr>
          <w:kern w:val="0"/>
        </w:rPr>
        <w:t xml:space="preserve">Gulnaz, O. (2009), Adsorption of </w:t>
      </w:r>
      <w:r w:rsidR="0028263D">
        <w:rPr>
          <w:kern w:val="0"/>
        </w:rPr>
        <w:t>Ni(II)</w:t>
      </w:r>
      <w:r>
        <w:rPr>
          <w:kern w:val="0"/>
        </w:rPr>
        <w:t xml:space="preserve"> ions by waste-activated sludge</w:t>
      </w:r>
      <w:r w:rsidR="00F81221">
        <w:rPr>
          <w:kern w:val="0"/>
        </w:rPr>
        <w:t xml:space="preserve"> and </w:t>
      </w:r>
      <w:r>
        <w:rPr>
          <w:kern w:val="0"/>
        </w:rPr>
        <w:t xml:space="preserve">kinetic modeling. </w:t>
      </w:r>
      <w:r>
        <w:rPr>
          <w:i/>
          <w:iCs/>
          <w:kern w:val="0"/>
        </w:rPr>
        <w:t>Fresenius Environmental Bulletin</w:t>
      </w:r>
      <w:r>
        <w:rPr>
          <w:kern w:val="0"/>
        </w:rPr>
        <w:t xml:space="preserve">, </w:t>
      </w:r>
      <w:r>
        <w:rPr>
          <w:b/>
          <w:bCs/>
          <w:kern w:val="0"/>
        </w:rPr>
        <w:t>18</w:t>
      </w:r>
      <w:r>
        <w:rPr>
          <w:kern w:val="0"/>
        </w:rPr>
        <w:t xml:space="preserve"> (10), 1839-1845.</w:t>
      </w:r>
    </w:p>
    <w:p w:rsidR="0028263D" w:rsidRPr="003D3F85" w:rsidRDefault="0028263D" w:rsidP="0028263D">
      <w:pPr>
        <w:pStyle w:val="a0"/>
        <w:rPr>
          <w:kern w:val="0"/>
        </w:rPr>
      </w:pPr>
      <w:r w:rsidRPr="003D3F85">
        <w:rPr>
          <w:kern w:val="0"/>
        </w:rPr>
        <w:lastRenderedPageBreak/>
        <w:t>Full Text:</w:t>
      </w:r>
      <w:r w:rsidRPr="003D3F85">
        <w:t xml:space="preserve"> </w:t>
      </w:r>
      <w:r>
        <w:rPr>
          <w:rFonts w:hint="eastAsia"/>
        </w:rPr>
        <w:t>2009\</w:t>
      </w:r>
      <w:r w:rsidRPr="003D3F85">
        <w:rPr>
          <w:iCs/>
          <w:kern w:val="0"/>
        </w:rPr>
        <w:t>Fre Env Bul1</w:t>
      </w:r>
      <w:r>
        <w:rPr>
          <w:rFonts w:hint="eastAsia"/>
          <w:iCs/>
          <w:kern w:val="0"/>
        </w:rPr>
        <w:t>8</w:t>
      </w:r>
      <w:r w:rsidRPr="003D3F85">
        <w:rPr>
          <w:iCs/>
          <w:kern w:val="0"/>
        </w:rPr>
        <w:t xml:space="preserve">, </w:t>
      </w:r>
      <w:r>
        <w:rPr>
          <w:rFonts w:hint="eastAsia"/>
          <w:iCs/>
          <w:kern w:val="0"/>
        </w:rPr>
        <w:t>1839</w:t>
      </w:r>
      <w:r w:rsidRPr="003D3F85">
        <w:t>.pdf</w:t>
      </w:r>
    </w:p>
    <w:p w:rsidR="00852028" w:rsidRDefault="00852028" w:rsidP="00852028">
      <w:pPr>
        <w:pStyle w:val="a0"/>
        <w:rPr>
          <w:kern w:val="0"/>
        </w:rPr>
      </w:pPr>
      <w:r>
        <w:rPr>
          <w:kern w:val="0"/>
        </w:rPr>
        <w:t xml:space="preserve">Abstract: Environmental pollution is an important global issue. In this study, adsorption of </w:t>
      </w:r>
      <w:r w:rsidR="0028263D">
        <w:rPr>
          <w:kern w:val="0"/>
        </w:rPr>
        <w:t>Ni(II)</w:t>
      </w:r>
      <w:r>
        <w:rPr>
          <w:kern w:val="0"/>
        </w:rPr>
        <w:t xml:space="preserve"> ions from aqueous solution was evaluated. Ni(II) was selected as an adsorbent due to its toxic properties,</w:t>
      </w:r>
      <w:r w:rsidR="00F81221">
        <w:rPr>
          <w:kern w:val="0"/>
        </w:rPr>
        <w:t xml:space="preserve"> and </w:t>
      </w:r>
      <w:r>
        <w:rPr>
          <w:kern w:val="0"/>
        </w:rPr>
        <w:t>optimum adsorption pH was determined to be 5. Langmuir adsorption isotherm model was used to determine the maximum adsorption capacities of activated sludge (95. 88</w:t>
      </w:r>
      <w:r w:rsidR="00F81221">
        <w:rPr>
          <w:kern w:val="0"/>
        </w:rPr>
        <w:t xml:space="preserve"> and </w:t>
      </w:r>
      <w:r>
        <w:rPr>
          <w:kern w:val="0"/>
        </w:rPr>
        <w:t>78 mg g</w:t>
      </w:r>
      <w:r>
        <w:rPr>
          <w:rFonts w:hint="eastAsia"/>
          <w:kern w:val="0"/>
          <w:vertAlign w:val="superscript"/>
        </w:rPr>
        <w:t>-1</w:t>
      </w:r>
      <w:r>
        <w:rPr>
          <w:kern w:val="0"/>
        </w:rPr>
        <w:t xml:space="preserve"> at 20, 35</w:t>
      </w:r>
      <w:r w:rsidR="00F81221">
        <w:rPr>
          <w:kern w:val="0"/>
        </w:rPr>
        <w:t xml:space="preserve"> and </w:t>
      </w:r>
      <w:r>
        <w:rPr>
          <w:kern w:val="0"/>
        </w:rPr>
        <w:t>50ºC, respectively. Initial metal concentrations</w:t>
      </w:r>
      <w:r w:rsidR="00F81221">
        <w:rPr>
          <w:kern w:val="0"/>
        </w:rPr>
        <w:t xml:space="preserve"> and </w:t>
      </w:r>
      <w:r>
        <w:rPr>
          <w:kern w:val="0"/>
        </w:rPr>
        <w:t>particle size of activated sludge affected its adsorption capacity, which increased with increasing, initial metal concentrations, but decreased with increasing particle size of adsorbent. Surface structure</w:t>
      </w:r>
      <w:r w:rsidR="00F81221">
        <w:rPr>
          <w:kern w:val="0"/>
        </w:rPr>
        <w:t xml:space="preserve"> and </w:t>
      </w:r>
      <w:r>
        <w:rPr>
          <w:kern w:val="0"/>
        </w:rPr>
        <w:t>functional groups of activated sludge biomass were determined by FT-IR</w:t>
      </w:r>
      <w:r w:rsidR="00F81221">
        <w:rPr>
          <w:kern w:val="0"/>
        </w:rPr>
        <w:t xml:space="preserve"> and </w:t>
      </w:r>
      <w:r>
        <w:rPr>
          <w:kern w:val="0"/>
        </w:rPr>
        <w:t>SEM analyses. Different functional groups have been identified for activated sludge. These functional groups can react with metal ions in aqueous solution. The pseudo second-order</w:t>
      </w:r>
      <w:r w:rsidR="00F81221">
        <w:rPr>
          <w:kern w:val="0"/>
        </w:rPr>
        <w:t xml:space="preserve"> and </w:t>
      </w:r>
      <w:r>
        <w:rPr>
          <w:kern w:val="0"/>
        </w:rPr>
        <w:t xml:space="preserve">intra-particle diffusion kinetic models were used to determine adsorption kinetics. Both kinetic models well described the adsorption of </w:t>
      </w:r>
      <w:r w:rsidR="0028263D">
        <w:rPr>
          <w:kern w:val="0"/>
        </w:rPr>
        <w:t>Ni(II)</w:t>
      </w:r>
      <w:r>
        <w:rPr>
          <w:kern w:val="0"/>
        </w:rPr>
        <w:t>.</w:t>
      </w:r>
    </w:p>
    <w:p w:rsidR="00852028" w:rsidRDefault="00852028" w:rsidP="00852028">
      <w:pPr>
        <w:pStyle w:val="a0"/>
        <w:rPr>
          <w:kern w:val="0"/>
        </w:rPr>
      </w:pPr>
      <w:r>
        <w:rPr>
          <w:kern w:val="0"/>
        </w:rPr>
        <w:t xml:space="preserve">Keywords: Activated Sludge, Activated Sludge Biomass, Adsorbent, Adsorption, Adsorption Capacities, Adsorption Capacity, Adsorption Isotherm, Adsorption Isotherm Model, Adsorption Kinetic, Adsorption Kinetics, Analyses, Aqueous Solution, Aqueous-Solution, Biomass, Cadmium, Capacity, Chitosan, Cr(VI), Cu(II), Diffusion, FT-IR, FTIR, Functional Groups, Heavy Metal, Heavy-Metals, Intra-Particle Diffusion, Intraparticle Diffusion, Ions, Isotherm, Isotherm Model, Kinetic, Kinetic Models, Kinetics, Langmuir, Langmuir Adsorption Isotherm, Metal, Metal Ions, Model, Modeling, Models, Nickel, Nickel, Particle Size, </w:t>
      </w:r>
      <w:r>
        <w:rPr>
          <w:rFonts w:hint="eastAsia"/>
          <w:kern w:val="0"/>
        </w:rPr>
        <w:t>p</w:t>
      </w:r>
      <w:r>
        <w:rPr>
          <w:kern w:val="0"/>
        </w:rPr>
        <w:t>H, Physicochemical Environment, Pollution, Pseudo Second Order, Pseudo Second-Order, Pseudo-Second-Order, Removal, Second Order, Second-Order, SEM, Simultaneous Biosorption, Size, Sludge, Solution, Structure, Surface Structure, Toxic</w:t>
      </w:r>
    </w:p>
    <w:p w:rsidR="00852028" w:rsidRDefault="00852028" w:rsidP="00852028">
      <w:pPr>
        <w:pStyle w:val="a0"/>
        <w:rPr>
          <w:kern w:val="0"/>
        </w:rPr>
      </w:pPr>
      <w:r>
        <w:rPr>
          <w:rFonts w:hint="eastAsia"/>
          <w:kern w:val="0"/>
        </w:rPr>
        <w:t xml:space="preserve">? </w:t>
      </w:r>
      <w:r w:rsidR="00710E82">
        <w:rPr>
          <w:kern w:val="0"/>
        </w:rPr>
        <w:t>Rodrí</w:t>
      </w:r>
      <w:r>
        <w:rPr>
          <w:kern w:val="0"/>
        </w:rPr>
        <w:t>guez, A., Garc</w:t>
      </w:r>
      <w:r w:rsidR="00710E82">
        <w:rPr>
          <w:kern w:val="0"/>
        </w:rPr>
        <w:t>í</w:t>
      </w:r>
      <w:r>
        <w:rPr>
          <w:kern w:val="0"/>
        </w:rPr>
        <w:t>a, J., Sotelo, J.L., Ovejero, G.</w:t>
      </w:r>
      <w:r w:rsidR="00F81221">
        <w:rPr>
          <w:kern w:val="0"/>
        </w:rPr>
        <w:t xml:space="preserve"> and </w:t>
      </w:r>
      <w:r>
        <w:rPr>
          <w:kern w:val="0"/>
        </w:rPr>
        <w:t>Mestanza, M. (2009), Removal of the pesticides diuron</w:t>
      </w:r>
      <w:r w:rsidR="00F81221">
        <w:rPr>
          <w:kern w:val="0"/>
        </w:rPr>
        <w:t xml:space="preserve"> and </w:t>
      </w:r>
      <w:r>
        <w:rPr>
          <w:kern w:val="0"/>
        </w:rPr>
        <w:t xml:space="preserve">carbofuran in aqueous solutions by activated carbon. </w:t>
      </w:r>
      <w:r>
        <w:rPr>
          <w:i/>
          <w:iCs/>
          <w:kern w:val="0"/>
        </w:rPr>
        <w:t>Fresenius Environmental Bulletin</w:t>
      </w:r>
      <w:r>
        <w:rPr>
          <w:kern w:val="0"/>
        </w:rPr>
        <w:t xml:space="preserve">, </w:t>
      </w:r>
      <w:r>
        <w:rPr>
          <w:b/>
          <w:bCs/>
          <w:kern w:val="0"/>
        </w:rPr>
        <w:t>18</w:t>
      </w:r>
      <w:r>
        <w:rPr>
          <w:kern w:val="0"/>
        </w:rPr>
        <w:t xml:space="preserve"> (11), 2093-2101.</w:t>
      </w:r>
    </w:p>
    <w:p w:rsidR="0028263D" w:rsidRPr="003D3F85" w:rsidRDefault="0028263D" w:rsidP="0028263D">
      <w:pPr>
        <w:pStyle w:val="a0"/>
        <w:rPr>
          <w:kern w:val="0"/>
        </w:rPr>
      </w:pPr>
      <w:r w:rsidRPr="003D3F85">
        <w:rPr>
          <w:kern w:val="0"/>
        </w:rPr>
        <w:t>Full Text:</w:t>
      </w:r>
      <w:r w:rsidRPr="003D3F85">
        <w:t xml:space="preserve"> </w:t>
      </w:r>
      <w:hyperlink r:id="rId184" w:history="1">
        <w:r w:rsidR="005708D6" w:rsidRPr="005708D6">
          <w:rPr>
            <w:rStyle w:val="a5"/>
          </w:rPr>
          <w:t>2009\Fre Env Bul18, 2093.pdf</w:t>
        </w:r>
      </w:hyperlink>
    </w:p>
    <w:p w:rsidR="00852028" w:rsidRDefault="00852028" w:rsidP="00852028">
      <w:pPr>
        <w:pStyle w:val="a0"/>
        <w:rPr>
          <w:kern w:val="0"/>
        </w:rPr>
      </w:pPr>
      <w:r>
        <w:rPr>
          <w:kern w:val="0"/>
        </w:rPr>
        <w:t>Abstract: The adsorption of diuron</w:t>
      </w:r>
      <w:r w:rsidR="00F81221">
        <w:rPr>
          <w:kern w:val="0"/>
        </w:rPr>
        <w:t xml:space="preserve"> and </w:t>
      </w:r>
      <w:r>
        <w:rPr>
          <w:kern w:val="0"/>
        </w:rPr>
        <w:t>carbofuran from aqueous solutions onto granular activated carbon in a batch system for initial pesticide concentrations in the range of 10-40 mg.L</w:t>
      </w:r>
      <w:r w:rsidRPr="001D5A69">
        <w:rPr>
          <w:kern w:val="0"/>
          <w:vertAlign w:val="superscript"/>
        </w:rPr>
        <w:t>-1</w:t>
      </w:r>
      <w:r>
        <w:rPr>
          <w:kern w:val="0"/>
        </w:rPr>
        <w:t>, with different pHs (3.0, 5.0</w:t>
      </w:r>
      <w:r w:rsidR="00F81221">
        <w:rPr>
          <w:kern w:val="0"/>
        </w:rPr>
        <w:t xml:space="preserve"> and </w:t>
      </w:r>
      <w:r>
        <w:rPr>
          <w:kern w:val="0"/>
        </w:rPr>
        <w:t>7.0)</w:t>
      </w:r>
      <w:r w:rsidR="00F81221">
        <w:rPr>
          <w:kern w:val="0"/>
        </w:rPr>
        <w:t xml:space="preserve"> and </w:t>
      </w:r>
      <w:r>
        <w:rPr>
          <w:kern w:val="0"/>
        </w:rPr>
        <w:t>temperatures (20-40ºC), was studied. The adsorption equilibrium was described by the Langmuir</w:t>
      </w:r>
      <w:r w:rsidR="00F81221">
        <w:rPr>
          <w:kern w:val="0"/>
        </w:rPr>
        <w:t xml:space="preserve"> and </w:t>
      </w:r>
      <w:r>
        <w:rPr>
          <w:kern w:val="0"/>
        </w:rPr>
        <w:t>Freundlich models. Adsorption capacity is affected by the initial pesticide concentration, pH</w:t>
      </w:r>
      <w:r w:rsidR="00F81221">
        <w:rPr>
          <w:kern w:val="0"/>
        </w:rPr>
        <w:t xml:space="preserve"> and </w:t>
      </w:r>
      <w:r>
        <w:rPr>
          <w:kern w:val="0"/>
        </w:rPr>
        <w:t>temperature as the experimental results show. An increase in pH results in a significant increase of adsorption capacity. The adsorption kinetics for both pesticides have been experimentally established. Pseudo-first</w:t>
      </w:r>
      <w:r w:rsidR="00F81221">
        <w:rPr>
          <w:kern w:val="0"/>
        </w:rPr>
        <w:t xml:space="preserve"> and </w:t>
      </w:r>
      <w:r>
        <w:rPr>
          <w:kern w:val="0"/>
        </w:rPr>
        <w:t xml:space="preserve">pseudo-second </w:t>
      </w:r>
      <w:r>
        <w:rPr>
          <w:kern w:val="0"/>
        </w:rPr>
        <w:lastRenderedPageBreak/>
        <w:t>order kinetic models were used to describe the experimental data,</w:t>
      </w:r>
      <w:r w:rsidR="00F81221">
        <w:rPr>
          <w:kern w:val="0"/>
        </w:rPr>
        <w:t xml:space="preserve"> and </w:t>
      </w:r>
      <w:r>
        <w:rPr>
          <w:kern w:val="0"/>
        </w:rPr>
        <w:t>the rate constants were evaluated.</w:t>
      </w:r>
    </w:p>
    <w:p w:rsidR="00852028" w:rsidRDefault="00852028" w:rsidP="00852028">
      <w:pPr>
        <w:pStyle w:val="a0"/>
        <w:rPr>
          <w:kern w:val="0"/>
        </w:rPr>
      </w:pPr>
      <w:r>
        <w:rPr>
          <w:kern w:val="0"/>
        </w:rPr>
        <w:t xml:space="preserve">Keywords: Activated Carbon, Adsorption, Adsorption Capacity, Adsorption Equilibrium, Adsorption Kinetics, Aqueous Solutions, Batch, Batch Experiments, Batch System, Binary Adsorption, Capacity, Carbon, Cloth, Concentration, Data, Dyes, Equilibrium, Experimental, Freundlich, Granular Activated Carbon, Isotherms, Kinetic, Kinetic Models, Kinetics, Langmuir, Models, Pesticide, Pesticides, </w:t>
      </w:r>
      <w:r>
        <w:rPr>
          <w:rFonts w:hint="eastAsia"/>
          <w:kern w:val="0"/>
        </w:rPr>
        <w:t>p</w:t>
      </w:r>
      <w:r>
        <w:rPr>
          <w:kern w:val="0"/>
        </w:rPr>
        <w:t>H, Phenolic-Compounds, Photocatalytic Degradation, Pseudo Second Order, Pseudo-Second Order, Pseudo-Second-Order, Rate Constants, Removal, Solutions, Temperature, Waste-Water, Wastewater</w:t>
      </w:r>
    </w:p>
    <w:p w:rsidR="00852028" w:rsidRDefault="00852028" w:rsidP="00852028">
      <w:pPr>
        <w:pStyle w:val="a0"/>
        <w:rPr>
          <w:kern w:val="0"/>
        </w:rPr>
      </w:pPr>
      <w:r>
        <w:rPr>
          <w:rFonts w:hint="eastAsia"/>
          <w:kern w:val="0"/>
        </w:rPr>
        <w:t xml:space="preserve">? </w:t>
      </w:r>
      <w:r>
        <w:rPr>
          <w:kern w:val="0"/>
        </w:rPr>
        <w:t xml:space="preserve">Gulnaz, O. (2009), Adsorption of reactive dyes from aqueous solution by </w:t>
      </w:r>
      <w:r w:rsidR="0028263D" w:rsidRPr="0028263D">
        <w:rPr>
          <w:i/>
          <w:kern w:val="0"/>
        </w:rPr>
        <w:t xml:space="preserve">Chara </w:t>
      </w:r>
      <w:r w:rsidRPr="0028263D">
        <w:rPr>
          <w:i/>
          <w:kern w:val="0"/>
        </w:rPr>
        <w:t>vulgaris</w:t>
      </w:r>
      <w:r>
        <w:rPr>
          <w:kern w:val="0"/>
        </w:rPr>
        <w:t xml:space="preserve">. </w:t>
      </w:r>
      <w:r>
        <w:rPr>
          <w:i/>
          <w:iCs/>
          <w:kern w:val="0"/>
        </w:rPr>
        <w:t>Fresenius Environmental Bulletin</w:t>
      </w:r>
      <w:r>
        <w:rPr>
          <w:kern w:val="0"/>
        </w:rPr>
        <w:t xml:space="preserve">, </w:t>
      </w:r>
      <w:r>
        <w:rPr>
          <w:b/>
          <w:bCs/>
          <w:kern w:val="0"/>
        </w:rPr>
        <w:t>18</w:t>
      </w:r>
      <w:r>
        <w:rPr>
          <w:kern w:val="0"/>
        </w:rPr>
        <w:t xml:space="preserve"> (11A), 2243-2248.</w:t>
      </w:r>
    </w:p>
    <w:p w:rsidR="0028263D" w:rsidRPr="003D3F85" w:rsidRDefault="0028263D" w:rsidP="0028263D">
      <w:pPr>
        <w:pStyle w:val="a0"/>
        <w:rPr>
          <w:kern w:val="0"/>
        </w:rPr>
      </w:pPr>
      <w:r w:rsidRPr="003D3F85">
        <w:rPr>
          <w:kern w:val="0"/>
        </w:rPr>
        <w:t>Full Text:</w:t>
      </w:r>
      <w:r w:rsidRPr="003D3F85">
        <w:t xml:space="preserve"> </w:t>
      </w:r>
      <w:r>
        <w:rPr>
          <w:rFonts w:hint="eastAsia"/>
        </w:rPr>
        <w:t>2009\</w:t>
      </w:r>
      <w:r w:rsidRPr="003D3F85">
        <w:rPr>
          <w:iCs/>
          <w:kern w:val="0"/>
        </w:rPr>
        <w:t>Fre Env Bul1</w:t>
      </w:r>
      <w:r>
        <w:rPr>
          <w:rFonts w:hint="eastAsia"/>
          <w:iCs/>
          <w:kern w:val="0"/>
        </w:rPr>
        <w:t>8</w:t>
      </w:r>
      <w:r w:rsidRPr="003D3F85">
        <w:rPr>
          <w:iCs/>
          <w:kern w:val="0"/>
        </w:rPr>
        <w:t xml:space="preserve">, </w:t>
      </w:r>
      <w:r>
        <w:rPr>
          <w:rFonts w:hint="eastAsia"/>
          <w:iCs/>
          <w:kern w:val="0"/>
        </w:rPr>
        <w:t>2243</w:t>
      </w:r>
      <w:r w:rsidRPr="003D3F85">
        <w:t>.pdf</w:t>
      </w:r>
    </w:p>
    <w:p w:rsidR="00852028" w:rsidRDefault="00852028" w:rsidP="00852028">
      <w:pPr>
        <w:pStyle w:val="a0"/>
        <w:rPr>
          <w:kern w:val="0"/>
        </w:rPr>
      </w:pPr>
      <w:r>
        <w:rPr>
          <w:kern w:val="0"/>
        </w:rPr>
        <w:t>Abstract: In the present study, the adsorption of reactive dyes from aqueous solution by the aquatic macrophyte Chara vulgaris (C vulgaris) was evaluated. Effect of pH on dye adsorption was determined</w:t>
      </w:r>
      <w:r w:rsidR="00F81221">
        <w:rPr>
          <w:kern w:val="0"/>
        </w:rPr>
        <w:t xml:space="preserve"> and </w:t>
      </w:r>
      <w:r>
        <w:rPr>
          <w:kern w:val="0"/>
        </w:rPr>
        <w:t>the maximum adsorption capacities of C vulgaris were determined to be 11.3, 13.2, 16.2, 24.2, 32.6, 26.2, 35.2</w:t>
      </w:r>
      <w:r w:rsidR="00F81221">
        <w:rPr>
          <w:kern w:val="0"/>
        </w:rPr>
        <w:t xml:space="preserve"> and </w:t>
      </w:r>
      <w:r>
        <w:rPr>
          <w:kern w:val="0"/>
        </w:rPr>
        <w:t>31.4 mgg</w:t>
      </w:r>
      <w:r>
        <w:rPr>
          <w:rFonts w:hint="eastAsia"/>
          <w:kern w:val="0"/>
          <w:vertAlign w:val="superscript"/>
        </w:rPr>
        <w:t>-1</w:t>
      </w:r>
      <w:r>
        <w:rPr>
          <w:kern w:val="0"/>
        </w:rPr>
        <w:t xml:space="preserve"> for Reactive Red 147 (at pH 2). Reactive Brown 19 (at pH 3), Reactive Yellow 160 (at pH 2), Reactive Blue 220 (at pH 2), Reactive Orange 30 (at pH 3), Reactive Blue 29 (at pH 2), Reactive Blue 171 (at pH 3)</w:t>
      </w:r>
      <w:r w:rsidR="00F81221">
        <w:rPr>
          <w:kern w:val="0"/>
        </w:rPr>
        <w:t xml:space="preserve"> and </w:t>
      </w:r>
      <w:r>
        <w:rPr>
          <w:kern w:val="0"/>
        </w:rPr>
        <w:t>Reactive Black 5 (at pH 2), respectively. The intraparticle diffusion model</w:t>
      </w:r>
      <w:r w:rsidR="00F81221">
        <w:rPr>
          <w:kern w:val="0"/>
        </w:rPr>
        <w:t xml:space="preserve"> and </w:t>
      </w:r>
      <w:r>
        <w:rPr>
          <w:kern w:val="0"/>
        </w:rPr>
        <w:t>pseudo-second order kinetic models were found to be suitable to describe reactive dye adsorption rates. Obtained experimental findings revealed that that the adsorption was governed by more than one mechanism.</w:t>
      </w:r>
    </w:p>
    <w:p w:rsidR="00852028" w:rsidRDefault="00852028" w:rsidP="00852028">
      <w:pPr>
        <w:pStyle w:val="a0"/>
        <w:rPr>
          <w:kern w:val="0"/>
        </w:rPr>
      </w:pPr>
      <w:r>
        <w:rPr>
          <w:kern w:val="0"/>
        </w:rPr>
        <w:t xml:space="preserve">Keywords: Adsorption, Adsorption Capacities, Aqueous Solution, Azo-Dye, Biomass, Biosorption, Chara, Chara Vulgaris, Diffusion, Diffusion Model, Dried Activated-Sludge, Dye, Dye Adsorption, Dyes, Equilibrium, Experimental, Intraparticle Diffusion, Intraparticle Diffusion Model, Kinetic, Kinetic Modeling, Kinetic Models, Mechanism, Model, Models, Ozonation, Ph, Pseudo Second Order, Pseudo-Second Order, Pseudo-Second-Order, Rates, Reactive Black 5, Reactive Dye, Reactive Dyes, Removal, </w:t>
      </w:r>
      <w:r w:rsidRPr="001D5A69">
        <w:rPr>
          <w:i/>
          <w:kern w:val="0"/>
        </w:rPr>
        <w:t>Rhizopus-arrhizus</w:t>
      </w:r>
      <w:r>
        <w:rPr>
          <w:kern w:val="0"/>
        </w:rPr>
        <w:t>, Solution, Sorption, Textile Dye, Waste-Water</w:t>
      </w:r>
    </w:p>
    <w:p w:rsidR="00852028" w:rsidRDefault="00852028" w:rsidP="00852028">
      <w:pPr>
        <w:pStyle w:val="a0"/>
        <w:rPr>
          <w:kern w:val="0"/>
        </w:rPr>
      </w:pPr>
      <w:r>
        <w:rPr>
          <w:rFonts w:hint="eastAsia"/>
          <w:kern w:val="0"/>
        </w:rPr>
        <w:t xml:space="preserve">? </w:t>
      </w:r>
      <w:r>
        <w:rPr>
          <w:kern w:val="0"/>
        </w:rPr>
        <w:t>Li, N., Mei, Z.</w:t>
      </w:r>
      <w:r w:rsidR="00F81221">
        <w:rPr>
          <w:kern w:val="0"/>
        </w:rPr>
        <w:t xml:space="preserve"> and </w:t>
      </w:r>
      <w:r>
        <w:rPr>
          <w:kern w:val="0"/>
        </w:rPr>
        <w:t xml:space="preserve">Chen, S.M. (2009), Removal of 4-chlorophenol from aqueous solutions by cyclodextrin polymer. </w:t>
      </w:r>
      <w:r>
        <w:rPr>
          <w:i/>
          <w:iCs/>
          <w:kern w:val="0"/>
        </w:rPr>
        <w:t>Fresenius Environmental Bulletin</w:t>
      </w:r>
      <w:r>
        <w:rPr>
          <w:kern w:val="0"/>
        </w:rPr>
        <w:t xml:space="preserve">, </w:t>
      </w:r>
      <w:r>
        <w:rPr>
          <w:b/>
          <w:bCs/>
          <w:kern w:val="0"/>
        </w:rPr>
        <w:t>18</w:t>
      </w:r>
      <w:r>
        <w:rPr>
          <w:kern w:val="0"/>
        </w:rPr>
        <w:t xml:space="preserve"> (11A), 2249-2253.</w:t>
      </w:r>
    </w:p>
    <w:p w:rsidR="0028263D" w:rsidRPr="003D3F85" w:rsidRDefault="0028263D" w:rsidP="0028263D">
      <w:pPr>
        <w:pStyle w:val="a0"/>
        <w:rPr>
          <w:kern w:val="0"/>
        </w:rPr>
      </w:pPr>
      <w:r w:rsidRPr="003D3F85">
        <w:rPr>
          <w:kern w:val="0"/>
        </w:rPr>
        <w:t>Full Text:</w:t>
      </w:r>
      <w:r w:rsidRPr="003D3F85">
        <w:t xml:space="preserve"> </w:t>
      </w:r>
      <w:r>
        <w:rPr>
          <w:rFonts w:hint="eastAsia"/>
        </w:rPr>
        <w:t>2009\</w:t>
      </w:r>
      <w:r w:rsidRPr="003D3F85">
        <w:rPr>
          <w:iCs/>
          <w:kern w:val="0"/>
        </w:rPr>
        <w:t>Fre Env Bul1</w:t>
      </w:r>
      <w:r>
        <w:rPr>
          <w:rFonts w:hint="eastAsia"/>
          <w:iCs/>
          <w:kern w:val="0"/>
        </w:rPr>
        <w:t>8</w:t>
      </w:r>
      <w:r w:rsidRPr="003D3F85">
        <w:rPr>
          <w:iCs/>
          <w:kern w:val="0"/>
        </w:rPr>
        <w:t xml:space="preserve">, </w:t>
      </w:r>
      <w:r>
        <w:rPr>
          <w:rFonts w:hint="eastAsia"/>
          <w:iCs/>
          <w:kern w:val="0"/>
        </w:rPr>
        <w:t>2249</w:t>
      </w:r>
      <w:r w:rsidRPr="003D3F85">
        <w:t>.pdf</w:t>
      </w:r>
    </w:p>
    <w:p w:rsidR="00852028" w:rsidRDefault="00852028" w:rsidP="00852028">
      <w:pPr>
        <w:pStyle w:val="a0"/>
        <w:rPr>
          <w:kern w:val="0"/>
        </w:rPr>
      </w:pPr>
      <w:r>
        <w:rPr>
          <w:kern w:val="0"/>
        </w:rPr>
        <w:t>Abstract: The removal of 4-chlorophenol (4-CP) from aqueous solutions by beta-cyclodextrin polymer (beta-CDP) has been studied. The effects of contact time, pH, NaCl concentration</w:t>
      </w:r>
      <w:r w:rsidR="00F81221">
        <w:rPr>
          <w:kern w:val="0"/>
        </w:rPr>
        <w:t xml:space="preserve"> and </w:t>
      </w:r>
      <w:r>
        <w:rPr>
          <w:kern w:val="0"/>
        </w:rPr>
        <w:t xml:space="preserve">initial 4-CP concentration were studied to obtain the best </w:t>
      </w:r>
      <w:r>
        <w:rPr>
          <w:kern w:val="0"/>
        </w:rPr>
        <w:lastRenderedPageBreak/>
        <w:t>experimental conditions. Results of batch experiments showed that beta-CDP exhibited high sorption capacities toward 4-CP (up to 24.4 mg/g when initial concentration of 4-CP solution was 140 mg/L at 283K). Adsorption kinetics followed a pseudo 2(nd) order (Ho</w:t>
      </w:r>
      <w:r w:rsidR="00F81221">
        <w:rPr>
          <w:kern w:val="0"/>
        </w:rPr>
        <w:t xml:space="preserve"> and </w:t>
      </w:r>
      <w:r>
        <w:rPr>
          <w:kern w:val="0"/>
        </w:rPr>
        <w:t>McKay) equation, suggesting that the rate-limiting step may be chemisorption. Freundlich isotherm gave the best correlation for the adsorption of 4-CP on beta-CDP. The regeneration capacity of beta-CDP was so strong that it could be used as a kind of recyclable adsorbent.</w:t>
      </w:r>
    </w:p>
    <w:p w:rsidR="00852028" w:rsidRDefault="00852028" w:rsidP="00852028">
      <w:pPr>
        <w:pStyle w:val="a0"/>
        <w:rPr>
          <w:kern w:val="0"/>
        </w:rPr>
      </w:pPr>
      <w:r>
        <w:rPr>
          <w:kern w:val="0"/>
        </w:rPr>
        <w:t xml:space="preserve">Keywords: 4-Chlorophenol, Adsorbent, Adsorption, Adsorption, Adsorption Kinetics, Aqueous Solutions, Aromatic-Compounds, Batch, Batch Experiments, Beta-Cyclodextrin, Capacity, Chemisorption, Concentration, Correlation, Cyclodextrin, Cyclodextrin Polymer, Degradation, Experimental, Experiments, Extraction, Freundlich, Freundlich Isotherm, Isotherm, Kinetics, NaCl, </w:t>
      </w:r>
      <w:r>
        <w:rPr>
          <w:rFonts w:hint="eastAsia"/>
          <w:kern w:val="0"/>
        </w:rPr>
        <w:t>p</w:t>
      </w:r>
      <w:r>
        <w:rPr>
          <w:kern w:val="0"/>
        </w:rPr>
        <w:t>H, Polymer, Rate Limiting Step, Rate-Limiting Step, Regeneration, Removal, Solution, Solutions, Sorption, Water</w:t>
      </w:r>
    </w:p>
    <w:p w:rsidR="006F22F1" w:rsidRDefault="006F22F1" w:rsidP="006F22F1">
      <w:pPr>
        <w:pStyle w:val="a0"/>
        <w:rPr>
          <w:kern w:val="0"/>
        </w:rPr>
      </w:pPr>
      <w:r>
        <w:rPr>
          <w:rFonts w:hint="eastAsia"/>
          <w:kern w:val="0"/>
        </w:rPr>
        <w:t xml:space="preserve">? </w:t>
      </w:r>
      <w:r>
        <w:rPr>
          <w:kern w:val="0"/>
        </w:rPr>
        <w:t>Ugurlu, M. (2009), Adsorption studies</w:t>
      </w:r>
      <w:r w:rsidR="00F81221">
        <w:rPr>
          <w:kern w:val="0"/>
        </w:rPr>
        <w:t xml:space="preserve"> and </w:t>
      </w:r>
      <w:r>
        <w:rPr>
          <w:kern w:val="0"/>
        </w:rPr>
        <w:t>removal of nitrate from bleached kraft mill effluent by fly-ash</w:t>
      </w:r>
      <w:r w:rsidR="00F81221">
        <w:rPr>
          <w:kern w:val="0"/>
        </w:rPr>
        <w:t xml:space="preserve"> and </w:t>
      </w:r>
      <w:r>
        <w:rPr>
          <w:kern w:val="0"/>
        </w:rPr>
        <w:t xml:space="preserve">sepiolite. </w:t>
      </w:r>
      <w:r>
        <w:rPr>
          <w:i/>
          <w:iCs/>
          <w:kern w:val="0"/>
        </w:rPr>
        <w:t>Fresenius Environmental Bulletin</w:t>
      </w:r>
      <w:r>
        <w:rPr>
          <w:kern w:val="0"/>
        </w:rPr>
        <w:t xml:space="preserve">, </w:t>
      </w:r>
      <w:r>
        <w:rPr>
          <w:b/>
          <w:bCs/>
          <w:kern w:val="0"/>
        </w:rPr>
        <w:t>18</w:t>
      </w:r>
      <w:r>
        <w:rPr>
          <w:kern w:val="0"/>
        </w:rPr>
        <w:t xml:space="preserve"> (12), 2328-2335.</w:t>
      </w:r>
    </w:p>
    <w:p w:rsidR="0028263D" w:rsidRPr="003D3F85" w:rsidRDefault="0028263D" w:rsidP="0028263D">
      <w:pPr>
        <w:pStyle w:val="a0"/>
        <w:rPr>
          <w:kern w:val="0"/>
        </w:rPr>
      </w:pPr>
      <w:r w:rsidRPr="003D3F85">
        <w:rPr>
          <w:kern w:val="0"/>
        </w:rPr>
        <w:t>Full Text:</w:t>
      </w:r>
      <w:r w:rsidRPr="003D3F85">
        <w:t xml:space="preserve"> </w:t>
      </w:r>
      <w:r>
        <w:rPr>
          <w:rFonts w:hint="eastAsia"/>
        </w:rPr>
        <w:t>2009\</w:t>
      </w:r>
      <w:r w:rsidRPr="003D3F85">
        <w:rPr>
          <w:iCs/>
          <w:kern w:val="0"/>
        </w:rPr>
        <w:t>Fre Env Bul1</w:t>
      </w:r>
      <w:r>
        <w:rPr>
          <w:rFonts w:hint="eastAsia"/>
          <w:iCs/>
          <w:kern w:val="0"/>
        </w:rPr>
        <w:t>8</w:t>
      </w:r>
      <w:r w:rsidRPr="003D3F85">
        <w:rPr>
          <w:iCs/>
          <w:kern w:val="0"/>
        </w:rPr>
        <w:t xml:space="preserve">, </w:t>
      </w:r>
      <w:r>
        <w:rPr>
          <w:rFonts w:hint="eastAsia"/>
          <w:iCs/>
          <w:kern w:val="0"/>
        </w:rPr>
        <w:t>2328</w:t>
      </w:r>
      <w:r w:rsidRPr="003D3F85">
        <w:t>.pdf</w:t>
      </w:r>
    </w:p>
    <w:p w:rsidR="006F22F1" w:rsidRDefault="006F22F1" w:rsidP="006F22F1">
      <w:pPr>
        <w:pStyle w:val="a0"/>
        <w:rPr>
          <w:kern w:val="0"/>
        </w:rPr>
      </w:pPr>
      <w:r>
        <w:rPr>
          <w:kern w:val="0"/>
        </w:rPr>
        <w:t>Abstract: This study aimed to remove nitrate from paper mill industry (4500 m</w:t>
      </w:r>
      <w:r>
        <w:rPr>
          <w:rFonts w:hint="eastAsia"/>
          <w:kern w:val="0"/>
          <w:vertAlign w:val="superscript"/>
        </w:rPr>
        <w:t>3</w:t>
      </w:r>
      <w:r>
        <w:rPr>
          <w:kern w:val="0"/>
        </w:rPr>
        <w:t xml:space="preserve"> h</w:t>
      </w:r>
      <w:r>
        <w:rPr>
          <w:rFonts w:hint="eastAsia"/>
          <w:kern w:val="0"/>
          <w:vertAlign w:val="superscript"/>
        </w:rPr>
        <w:t>-1</w:t>
      </w:r>
      <w:r>
        <w:rPr>
          <w:kern w:val="0"/>
        </w:rPr>
        <w:t>) wastewater, which is discharged to sea from a plant located in western Turkey. As adsorbents, fly-ash, raw</w:t>
      </w:r>
      <w:r w:rsidR="00F81221">
        <w:rPr>
          <w:kern w:val="0"/>
        </w:rPr>
        <w:t xml:space="preserve"> and </w:t>
      </w:r>
      <w:r>
        <w:rPr>
          <w:kern w:val="0"/>
        </w:rPr>
        <w:t>heat-activated sepiolite were used. The effect of factors, such as particle size, temperature</w:t>
      </w:r>
      <w:r w:rsidR="00F81221">
        <w:rPr>
          <w:kern w:val="0"/>
        </w:rPr>
        <w:t xml:space="preserve"> and </w:t>
      </w:r>
      <w:r>
        <w:rPr>
          <w:kern w:val="0"/>
        </w:rPr>
        <w:t>pH, on adsorption process was investigated. From kinetic studies, equilibrium time was found as 1h for both adsorbents. The kinetic data support a pseudo-second order model (0.999 &gt;= r(2)) but show very poor fit for a pseudo-first order model. Intra-particle model also shows that there are two separate stages in sorption process, namely, external diffusion</w:t>
      </w:r>
      <w:r w:rsidR="00F81221">
        <w:rPr>
          <w:kern w:val="0"/>
        </w:rPr>
        <w:t xml:space="preserve"> and </w:t>
      </w:r>
      <w:r>
        <w:rPr>
          <w:kern w:val="0"/>
        </w:rPr>
        <w:t>pore diffusion. Adsorption isotherms for fly-ash</w:t>
      </w:r>
      <w:r w:rsidR="00F81221">
        <w:rPr>
          <w:kern w:val="0"/>
        </w:rPr>
        <w:t xml:space="preserve"> and </w:t>
      </w:r>
      <w:r>
        <w:rPr>
          <w:kern w:val="0"/>
        </w:rPr>
        <w:t>activated sepiolite were obtained at three different temperatures. From experiments carried out at different pHs, it was observed that pH plays an important role in the nitrate adsorption process, both ionizing the compounds</w:t>
      </w:r>
      <w:r w:rsidR="00F81221">
        <w:rPr>
          <w:kern w:val="0"/>
        </w:rPr>
        <w:t xml:space="preserve"> and </w:t>
      </w:r>
      <w:r>
        <w:rPr>
          <w:kern w:val="0"/>
        </w:rPr>
        <w:t>modifying sorbent surfaces. It was also observed that heat-activated sepiolite is more effective than raw sepiolite</w:t>
      </w:r>
      <w:r w:rsidR="00F81221">
        <w:rPr>
          <w:kern w:val="0"/>
        </w:rPr>
        <w:t xml:space="preserve"> and </w:t>
      </w:r>
      <w:r>
        <w:rPr>
          <w:kern w:val="0"/>
        </w:rPr>
        <w:t>fly-ash to remove nitrate and, in addition, adsorption of nitrate increases with decreasing particle size. The results of this study suggest that sepiolite</w:t>
      </w:r>
      <w:r w:rsidR="00F81221">
        <w:rPr>
          <w:kern w:val="0"/>
        </w:rPr>
        <w:t xml:space="preserve"> and </w:t>
      </w:r>
      <w:r>
        <w:rPr>
          <w:kern w:val="0"/>
        </w:rPr>
        <w:t>fly-ash, with low-cost</w:t>
      </w:r>
      <w:r w:rsidR="00F81221">
        <w:rPr>
          <w:kern w:val="0"/>
        </w:rPr>
        <w:t xml:space="preserve"> and </w:t>
      </w:r>
      <w:r>
        <w:rPr>
          <w:kern w:val="0"/>
        </w:rPr>
        <w:t>abundant availability, have a potential of being used as sorbent for removal of nitrate from Bleached Kraft Mills Effluent (BKME).</w:t>
      </w:r>
    </w:p>
    <w:p w:rsidR="006F22F1" w:rsidRDefault="006F22F1" w:rsidP="006F22F1">
      <w:pPr>
        <w:pStyle w:val="a0"/>
        <w:rPr>
          <w:kern w:val="0"/>
        </w:rPr>
      </w:pPr>
      <w:r>
        <w:rPr>
          <w:kern w:val="0"/>
        </w:rPr>
        <w:t xml:space="preserve">Keywords: Adsorbents, Adsorption, Adsorption Isotherms, Aqueous-Solution, Availability, Basic-Dyes, Bentonite, Bleached Kraft Mills Effluent, Bleached Kraft Mills Effluent (Bkme), Data, Diffusion, Equilibrium, Experiments, Fly Ash, Flyash, Isotherms, Kinetic, Kinetic Studies, Kinetics, Low Cost, Mechanism, </w:t>
      </w:r>
      <w:r>
        <w:rPr>
          <w:kern w:val="0"/>
        </w:rPr>
        <w:lastRenderedPageBreak/>
        <w:t>Methylene-Blue, Model, Nitrate, Particle Size, Peat, pH, Plant, Pore Diffusion, Potential, Pseudo First Order, Pseudo Second Order, Pseudo-First Order, Pseudo-First-Order, Pseudo-Second Order, Pseudo-Second Order Model, Pseudo-Second-Order, Removal, Removal of Nitrate, Role, Sepiolite, Size, Sorbent, Sorption, Sorption Process, Support, Surfaces, Surfactant-Modified Sepiolite, Temperature, Turkey, Waste-Water, Wastewater</w:t>
      </w:r>
    </w:p>
    <w:p w:rsidR="00832D74" w:rsidRDefault="00832D74" w:rsidP="00832D74">
      <w:pPr>
        <w:pStyle w:val="a0"/>
        <w:rPr>
          <w:kern w:val="0"/>
          <w:szCs w:val="24"/>
        </w:rPr>
      </w:pPr>
      <w:r>
        <w:rPr>
          <w:rFonts w:hint="eastAsia"/>
          <w:kern w:val="0"/>
          <w:szCs w:val="24"/>
        </w:rPr>
        <w:t xml:space="preserve">? </w:t>
      </w:r>
      <w:r>
        <w:rPr>
          <w:kern w:val="0"/>
          <w:szCs w:val="24"/>
        </w:rPr>
        <w:t>Yalcin, E., Cavusoglu, K.</w:t>
      </w:r>
      <w:r w:rsidR="00F81221">
        <w:rPr>
          <w:kern w:val="0"/>
          <w:szCs w:val="24"/>
        </w:rPr>
        <w:t xml:space="preserve"> and </w:t>
      </w:r>
      <w:r>
        <w:rPr>
          <w:kern w:val="0"/>
          <w:szCs w:val="24"/>
        </w:rPr>
        <w:t xml:space="preserve">Sengul, U. (2010), Biosorption potential of </w:t>
      </w:r>
      <w:r w:rsidRPr="00D33D73">
        <w:rPr>
          <w:i/>
          <w:kern w:val="0"/>
          <w:szCs w:val="24"/>
        </w:rPr>
        <w:t>Phanerochaeta Chrysosporium</w:t>
      </w:r>
      <w:r>
        <w:rPr>
          <w:kern w:val="0"/>
          <w:szCs w:val="24"/>
        </w:rPr>
        <w:t xml:space="preserve"> for different textile dyes with modified surface polarities. </w:t>
      </w:r>
      <w:r>
        <w:rPr>
          <w:i/>
          <w:iCs/>
          <w:kern w:val="0"/>
          <w:szCs w:val="24"/>
        </w:rPr>
        <w:t>Fresenius Environmental Bulletin</w:t>
      </w:r>
      <w:r>
        <w:rPr>
          <w:kern w:val="0"/>
          <w:szCs w:val="24"/>
        </w:rPr>
        <w:t xml:space="preserve">, </w:t>
      </w:r>
      <w:r>
        <w:rPr>
          <w:b/>
          <w:bCs/>
          <w:kern w:val="0"/>
          <w:szCs w:val="24"/>
        </w:rPr>
        <w:t>19</w:t>
      </w:r>
      <w:r>
        <w:rPr>
          <w:kern w:val="0"/>
          <w:szCs w:val="24"/>
        </w:rPr>
        <w:t xml:space="preserve"> (1), 108-114.</w:t>
      </w:r>
    </w:p>
    <w:p w:rsidR="0028263D" w:rsidRPr="003D3F85" w:rsidRDefault="0028263D" w:rsidP="0028263D">
      <w:pPr>
        <w:pStyle w:val="a0"/>
        <w:rPr>
          <w:kern w:val="0"/>
        </w:rPr>
      </w:pPr>
      <w:r w:rsidRPr="003D3F85">
        <w:rPr>
          <w:kern w:val="0"/>
        </w:rPr>
        <w:t>Full Text:</w:t>
      </w:r>
      <w:r w:rsidRPr="003D3F85">
        <w:t xml:space="preserve"> </w:t>
      </w:r>
      <w:r>
        <w:rPr>
          <w:rFonts w:hint="eastAsia"/>
        </w:rPr>
        <w:t>2010\</w:t>
      </w:r>
      <w:r w:rsidRPr="003D3F85">
        <w:rPr>
          <w:iCs/>
          <w:kern w:val="0"/>
        </w:rPr>
        <w:t xml:space="preserve">Fre Env Bul19, </w:t>
      </w:r>
      <w:r>
        <w:rPr>
          <w:rFonts w:hint="eastAsia"/>
          <w:iCs/>
          <w:kern w:val="0"/>
        </w:rPr>
        <w:t>108</w:t>
      </w:r>
      <w:r w:rsidRPr="003D3F85">
        <w:t>.pdf</w:t>
      </w:r>
    </w:p>
    <w:p w:rsidR="00832D74" w:rsidRDefault="00832D74" w:rsidP="00832D74">
      <w:pPr>
        <w:pStyle w:val="a0"/>
        <w:rPr>
          <w:kern w:val="0"/>
          <w:szCs w:val="24"/>
        </w:rPr>
      </w:pPr>
      <w:r>
        <w:rPr>
          <w:kern w:val="0"/>
          <w:szCs w:val="24"/>
        </w:rPr>
        <w:t>Abstract: Decolorization of Basic Yellow 2, Basic Green 4</w:t>
      </w:r>
      <w:r w:rsidR="00F81221">
        <w:rPr>
          <w:kern w:val="0"/>
          <w:szCs w:val="24"/>
        </w:rPr>
        <w:t xml:space="preserve"> and </w:t>
      </w:r>
      <w:r>
        <w:rPr>
          <w:kern w:val="0"/>
          <w:szCs w:val="24"/>
        </w:rPr>
        <w:t>Reactive Orange 113 in aqueous solutions by raw</w:t>
      </w:r>
      <w:r w:rsidR="00F81221">
        <w:rPr>
          <w:kern w:val="0"/>
          <w:szCs w:val="24"/>
        </w:rPr>
        <w:t xml:space="preserve"> and </w:t>
      </w:r>
      <w:r>
        <w:rPr>
          <w:kern w:val="0"/>
          <w:szCs w:val="24"/>
        </w:rPr>
        <w:t>treated Phanerochaeta chrysosporium was studied. Modification process was applied by autoclavation for 30 min at 121°C. The effects of system parameters, such as pH, initial dye concentration</w:t>
      </w:r>
      <w:r w:rsidR="00F81221">
        <w:rPr>
          <w:kern w:val="0"/>
          <w:szCs w:val="24"/>
        </w:rPr>
        <w:t xml:space="preserve"> and </w:t>
      </w:r>
      <w:r>
        <w:rPr>
          <w:kern w:val="0"/>
          <w:szCs w:val="24"/>
        </w:rPr>
        <w:t>biosorbent dose, were investigated. Maximum biosorption rates of Basic Yellow 2, Reactive Orange 113</w:t>
      </w:r>
      <w:r w:rsidR="00F81221">
        <w:rPr>
          <w:kern w:val="0"/>
          <w:szCs w:val="24"/>
        </w:rPr>
        <w:t xml:space="preserve"> and </w:t>
      </w:r>
      <w:r>
        <w:rPr>
          <w:kern w:val="0"/>
          <w:szCs w:val="24"/>
        </w:rPr>
        <w:t>Basic Green 4 with raw biomass were obtained at pH 4.0</w:t>
      </w:r>
      <w:r w:rsidR="00F81221">
        <w:rPr>
          <w:kern w:val="0"/>
          <w:szCs w:val="24"/>
        </w:rPr>
        <w:t xml:space="preserve"> and </w:t>
      </w:r>
      <w:r>
        <w:rPr>
          <w:kern w:val="0"/>
          <w:szCs w:val="24"/>
        </w:rPr>
        <w:t>maximum biosorption capacities of 23.1, 26.3</w:t>
      </w:r>
      <w:r w:rsidR="00F81221">
        <w:rPr>
          <w:kern w:val="0"/>
          <w:szCs w:val="24"/>
        </w:rPr>
        <w:t xml:space="preserve"> and </w:t>
      </w:r>
      <w:r>
        <w:rPr>
          <w:kern w:val="0"/>
          <w:szCs w:val="24"/>
        </w:rPr>
        <w:t>18.7 mg/g were recorded, respectively, but being, on autoclaved biomass, 1.34, 1.38</w:t>
      </w:r>
      <w:r w:rsidR="00F81221">
        <w:rPr>
          <w:kern w:val="0"/>
          <w:szCs w:val="24"/>
        </w:rPr>
        <w:t xml:space="preserve"> and </w:t>
      </w:r>
      <w:r>
        <w:rPr>
          <w:kern w:val="0"/>
          <w:szCs w:val="24"/>
        </w:rPr>
        <w:t>1.23 times higher than on raw counterparts, respectively. Biosorption of dyes on Phanerochaeta chrysosporium increased much quickly with increasing initial dye concentration from 10 to 200 mg L</w:t>
      </w:r>
      <w:r w:rsidRPr="00D33D73">
        <w:rPr>
          <w:kern w:val="0"/>
          <w:szCs w:val="24"/>
          <w:vertAlign w:val="superscript"/>
        </w:rPr>
        <w:t>-1</w:t>
      </w:r>
      <w:r>
        <w:rPr>
          <w:kern w:val="0"/>
          <w:szCs w:val="24"/>
        </w:rPr>
        <w:t>. The experimental results suggest that the Freundlich isotherm is the most appropriate model to predict the dye biosorption onto treated Phanerochaeta chrysosporium. Surface polarity of raw</w:t>
      </w:r>
      <w:r w:rsidR="00F81221">
        <w:rPr>
          <w:kern w:val="0"/>
          <w:szCs w:val="24"/>
        </w:rPr>
        <w:t xml:space="preserve"> and </w:t>
      </w:r>
      <w:r>
        <w:rPr>
          <w:kern w:val="0"/>
          <w:szCs w:val="24"/>
        </w:rPr>
        <w:t>treated Phanerochaeta chrysosporium was investigated by contact angle measurements. The measurements of the contact angle to water</w:t>
      </w:r>
      <w:r w:rsidR="00F81221">
        <w:rPr>
          <w:kern w:val="0"/>
          <w:szCs w:val="24"/>
        </w:rPr>
        <w:t xml:space="preserve"> and </w:t>
      </w:r>
      <w:r>
        <w:rPr>
          <w:kern w:val="0"/>
          <w:szCs w:val="24"/>
        </w:rPr>
        <w:t>diiodomethane on the samples were made by sessile drop method. The highest contact angles were obtained with water and, as expected, modification</w:t>
      </w:r>
      <w:r w:rsidR="00F81221">
        <w:rPr>
          <w:kern w:val="0"/>
          <w:szCs w:val="24"/>
        </w:rPr>
        <w:t xml:space="preserve"> and </w:t>
      </w:r>
      <w:r>
        <w:rPr>
          <w:kern w:val="0"/>
          <w:szCs w:val="24"/>
        </w:rPr>
        <w:t>biosorption process changed both the contact angles</w:t>
      </w:r>
      <w:r w:rsidR="00F81221">
        <w:rPr>
          <w:kern w:val="0"/>
          <w:szCs w:val="24"/>
        </w:rPr>
        <w:t xml:space="preserve"> and </w:t>
      </w:r>
      <w:r>
        <w:rPr>
          <w:kern w:val="0"/>
          <w:szCs w:val="24"/>
        </w:rPr>
        <w:t>polarity of samples.</w:t>
      </w:r>
    </w:p>
    <w:p w:rsidR="00832D74" w:rsidRDefault="00832D74" w:rsidP="00832D74">
      <w:pPr>
        <w:pStyle w:val="a0"/>
        <w:rPr>
          <w:kern w:val="0"/>
          <w:szCs w:val="24"/>
        </w:rPr>
      </w:pPr>
      <w:r>
        <w:rPr>
          <w:kern w:val="0"/>
          <w:szCs w:val="24"/>
        </w:rPr>
        <w:t xml:space="preserve">Keywords: Adsorption, Algae, Aqueous Solutions, Aqueous-Solution, Biomass, Biosorbent, Biosorption, Chlorella-Vulgaris, Concentration, Contact Angle, Contact Angle Measurements, Dye, Dye Biosorption, Dyes, Equilibrium, Experimental, Freundlich, Freundlich Isotherm, Isotherm, L1, Mechanism, Model, Modification, Modified, </w:t>
      </w:r>
      <w:r>
        <w:rPr>
          <w:rFonts w:hint="eastAsia"/>
          <w:kern w:val="0"/>
          <w:szCs w:val="24"/>
        </w:rPr>
        <w:t>p</w:t>
      </w:r>
      <w:r>
        <w:rPr>
          <w:kern w:val="0"/>
          <w:szCs w:val="24"/>
        </w:rPr>
        <w:t>H, Phanerochaeta Chrysosporium, Polarity, Rates, Reactive Dyes, Removal, Solutions, Sorption, Water</w:t>
      </w:r>
    </w:p>
    <w:p w:rsidR="008370C8" w:rsidRDefault="008370C8" w:rsidP="008370C8">
      <w:pPr>
        <w:pStyle w:val="a0"/>
        <w:rPr>
          <w:kern w:val="0"/>
        </w:rPr>
      </w:pPr>
      <w:r>
        <w:rPr>
          <w:kern w:val="0"/>
        </w:rPr>
        <w:t>? Eren, E., Caglar, B., Eren, B.</w:t>
      </w:r>
      <w:r w:rsidR="00F81221">
        <w:rPr>
          <w:kern w:val="0"/>
        </w:rPr>
        <w:t xml:space="preserve"> and </w:t>
      </w:r>
      <w:r>
        <w:rPr>
          <w:kern w:val="0"/>
        </w:rPr>
        <w:t>Tabak, A. (2010), Equilibrium</w:t>
      </w:r>
      <w:r w:rsidR="00F81221">
        <w:rPr>
          <w:kern w:val="0"/>
        </w:rPr>
        <w:t xml:space="preserve"> and </w:t>
      </w:r>
      <w:r>
        <w:rPr>
          <w:kern w:val="0"/>
        </w:rPr>
        <w:t>kinetic studies on the removal of basic dye using raw</w:t>
      </w:r>
      <w:r w:rsidR="00F81221">
        <w:rPr>
          <w:kern w:val="0"/>
        </w:rPr>
        <w:t xml:space="preserve"> and </w:t>
      </w:r>
      <w:r>
        <w:rPr>
          <w:kern w:val="0"/>
        </w:rPr>
        <w:t xml:space="preserve">thermal-activated fatsa bentonite. </w:t>
      </w:r>
      <w:r>
        <w:rPr>
          <w:i/>
          <w:iCs/>
          <w:kern w:val="0"/>
        </w:rPr>
        <w:t>Fresenius Environmental Bulletin</w:t>
      </w:r>
      <w:r>
        <w:rPr>
          <w:kern w:val="0"/>
        </w:rPr>
        <w:t xml:space="preserve">, </w:t>
      </w:r>
      <w:r>
        <w:rPr>
          <w:b/>
          <w:bCs/>
          <w:kern w:val="0"/>
        </w:rPr>
        <w:t>19</w:t>
      </w:r>
      <w:r>
        <w:rPr>
          <w:kern w:val="0"/>
        </w:rPr>
        <w:t xml:space="preserve"> (5), 773-782.</w:t>
      </w:r>
    </w:p>
    <w:p w:rsidR="008370C8" w:rsidRPr="003D3F85" w:rsidRDefault="008370C8" w:rsidP="008370C8">
      <w:pPr>
        <w:pStyle w:val="a0"/>
        <w:rPr>
          <w:kern w:val="0"/>
        </w:rPr>
      </w:pPr>
      <w:r w:rsidRPr="003D3F85">
        <w:rPr>
          <w:kern w:val="0"/>
        </w:rPr>
        <w:t>Full Text:</w:t>
      </w:r>
      <w:r w:rsidRPr="003D3F85">
        <w:t xml:space="preserve"> </w:t>
      </w:r>
      <w:hyperlink r:id="rId185" w:history="1">
        <w:r w:rsidR="00DF070F" w:rsidRPr="00DF070F">
          <w:rPr>
            <w:rStyle w:val="a5"/>
          </w:rPr>
          <w:t>2010\Fre Env Bul19, 773.pdf</w:t>
        </w:r>
      </w:hyperlink>
    </w:p>
    <w:p w:rsidR="008370C8" w:rsidRDefault="008370C8" w:rsidP="008370C8">
      <w:pPr>
        <w:pStyle w:val="a0"/>
        <w:rPr>
          <w:kern w:val="0"/>
        </w:rPr>
      </w:pPr>
      <w:r>
        <w:rPr>
          <w:kern w:val="0"/>
        </w:rPr>
        <w:t>Abstract: The adsorption behavior of crystal violet (CV</w:t>
      </w:r>
      <w:r w:rsidRPr="00B453EA">
        <w:rPr>
          <w:kern w:val="0"/>
          <w:vertAlign w:val="superscript"/>
        </w:rPr>
        <w:t>+</w:t>
      </w:r>
      <w:r>
        <w:rPr>
          <w:kern w:val="0"/>
        </w:rPr>
        <w:t>) from aqueous solution onto raw Fatsa (RFB)</w:t>
      </w:r>
      <w:r w:rsidR="00F81221">
        <w:rPr>
          <w:kern w:val="0"/>
        </w:rPr>
        <w:t xml:space="preserve"> and </w:t>
      </w:r>
      <w:r>
        <w:rPr>
          <w:kern w:val="0"/>
        </w:rPr>
        <w:t xml:space="preserve">thermal-activated Fatsa (TAFB) bentonite samples was </w:t>
      </w:r>
      <w:r>
        <w:rPr>
          <w:kern w:val="0"/>
        </w:rPr>
        <w:lastRenderedPageBreak/>
        <w:t>investigated as a function of parameters, such as pH, temperature, initial CV</w:t>
      </w:r>
      <w:r w:rsidRPr="009E76B9">
        <w:rPr>
          <w:kern w:val="0"/>
          <w:vertAlign w:val="superscript"/>
        </w:rPr>
        <w:t>+</w:t>
      </w:r>
      <w:r>
        <w:rPr>
          <w:kern w:val="0"/>
        </w:rPr>
        <w:t xml:space="preserve"> concentration</w:t>
      </w:r>
      <w:r w:rsidR="00F81221">
        <w:rPr>
          <w:kern w:val="0"/>
        </w:rPr>
        <w:t xml:space="preserve"> and </w:t>
      </w:r>
      <w:r>
        <w:rPr>
          <w:kern w:val="0"/>
        </w:rPr>
        <w:t>contact time. X-ray diffraction (XRD)</w:t>
      </w:r>
      <w:r w:rsidR="00F81221">
        <w:rPr>
          <w:kern w:val="0"/>
        </w:rPr>
        <w:t xml:space="preserve"> and </w:t>
      </w:r>
      <w:r>
        <w:rPr>
          <w:kern w:val="0"/>
        </w:rPr>
        <w:t>differential thermal analysis (DTA) were used for structural</w:t>
      </w:r>
      <w:r w:rsidR="00F81221">
        <w:rPr>
          <w:kern w:val="0"/>
        </w:rPr>
        <w:t xml:space="preserve"> and </w:t>
      </w:r>
      <w:r>
        <w:rPr>
          <w:kern w:val="0"/>
        </w:rPr>
        <w:t>thermal characterization. The Langmuir</w:t>
      </w:r>
      <w:r w:rsidR="00F81221">
        <w:rPr>
          <w:kern w:val="0"/>
        </w:rPr>
        <w:t xml:space="preserve"> and </w:t>
      </w:r>
      <w:r>
        <w:rPr>
          <w:kern w:val="0"/>
        </w:rPr>
        <w:t>Freundlich adsorption models were applied to describe the equilibrium isotherms. The pseudo-first-order, pseudo-second-order kinetic</w:t>
      </w:r>
      <w:r w:rsidR="00F81221">
        <w:rPr>
          <w:kern w:val="0"/>
        </w:rPr>
        <w:t xml:space="preserve"> and </w:t>
      </w:r>
      <w:r>
        <w:rPr>
          <w:kern w:val="0"/>
        </w:rPr>
        <w:t>intra-particle diffusion models were used to describe the kinetic data.</w:t>
      </w:r>
    </w:p>
    <w:p w:rsidR="008370C8" w:rsidRDefault="008370C8" w:rsidP="008370C8">
      <w:pPr>
        <w:pStyle w:val="a0"/>
        <w:rPr>
          <w:kern w:val="0"/>
        </w:rPr>
      </w:pPr>
      <w:r>
        <w:rPr>
          <w:kern w:val="0"/>
        </w:rPr>
        <w:t>Keywords: Adsorption, Adsorption Behavior, Adsorption Thermodynamics, Analysis, Aqueous Solution, Aqueous-Solution, Behavior, Bentonite, Characterization, Clays, Concentration, Congo-Red, Crystal Violet, Data, Diffusion, Dye, Dye Adsorption, Equilibrium, Equilibrium Isotherms, Fly-Ash, Freundlich, Function, Intra-Particle Diffusion, Intraparticle Diffusion, Isotherms, Kinetic, Kinetic Data, Langmuir, Models, Montmorillonite, Organic Cation, pH, Pseudo First Order, Pseudo Second Order, Pseudo-First-Order, Pseudo-Second-Order, Removal, Silicate Minerals, Solution, Sorption, Temperature, Thermal Activation, Thermal Analysis, Water, X-Ray, X-Ray Diffraction, XRD</w:t>
      </w:r>
    </w:p>
    <w:p w:rsidR="008370C8" w:rsidRDefault="008370C8" w:rsidP="008370C8">
      <w:pPr>
        <w:pStyle w:val="a0"/>
        <w:rPr>
          <w:kern w:val="0"/>
        </w:rPr>
      </w:pPr>
      <w:r>
        <w:rPr>
          <w:kern w:val="0"/>
        </w:rPr>
        <w:t>? Wang, G.H., Zhou, Y.M., Choi, X.J., Wang, X.G., Liu, J.S.</w:t>
      </w:r>
      <w:r w:rsidR="00F81221">
        <w:rPr>
          <w:kern w:val="0"/>
        </w:rPr>
        <w:t xml:space="preserve"> and </w:t>
      </w:r>
      <w:r>
        <w:rPr>
          <w:kern w:val="0"/>
        </w:rPr>
        <w:t xml:space="preserve">Deng, N.S. (2010), Adsorption behavior of azo dye acid Red R in aqueous solution onto beta-cyclodextrin-grafted chitosan. </w:t>
      </w:r>
      <w:r>
        <w:rPr>
          <w:i/>
          <w:iCs/>
          <w:kern w:val="0"/>
        </w:rPr>
        <w:t>Fresenius Environmental Bulletin</w:t>
      </w:r>
      <w:r>
        <w:rPr>
          <w:kern w:val="0"/>
        </w:rPr>
        <w:t xml:space="preserve">, </w:t>
      </w:r>
      <w:r>
        <w:rPr>
          <w:b/>
          <w:bCs/>
          <w:kern w:val="0"/>
        </w:rPr>
        <w:t>19</w:t>
      </w:r>
      <w:r>
        <w:rPr>
          <w:kern w:val="0"/>
        </w:rPr>
        <w:t xml:space="preserve"> (5), 811-817.</w:t>
      </w:r>
    </w:p>
    <w:p w:rsidR="008370C8" w:rsidRPr="003D3F85" w:rsidRDefault="008370C8" w:rsidP="008370C8">
      <w:pPr>
        <w:pStyle w:val="a0"/>
        <w:rPr>
          <w:kern w:val="0"/>
        </w:rPr>
      </w:pPr>
      <w:r w:rsidRPr="003D3F85">
        <w:rPr>
          <w:kern w:val="0"/>
        </w:rPr>
        <w:t>Full Text:</w:t>
      </w:r>
      <w:r w:rsidRPr="003D3F85">
        <w:t xml:space="preserve"> </w:t>
      </w:r>
      <w:r w:rsidR="007E3FEC">
        <w:rPr>
          <w:rFonts w:hint="eastAsia"/>
        </w:rPr>
        <w:t>2010\</w:t>
      </w:r>
      <w:r w:rsidRPr="003D3F85">
        <w:rPr>
          <w:iCs/>
          <w:kern w:val="0"/>
        </w:rPr>
        <w:t xml:space="preserve">Fre Env Bul19, </w:t>
      </w:r>
      <w:r>
        <w:rPr>
          <w:kern w:val="0"/>
        </w:rPr>
        <w:t>811</w:t>
      </w:r>
      <w:r w:rsidRPr="003D3F85">
        <w:t>.pdf</w:t>
      </w:r>
    </w:p>
    <w:p w:rsidR="008370C8" w:rsidRDefault="008370C8" w:rsidP="008370C8">
      <w:pPr>
        <w:pStyle w:val="a0"/>
        <w:rPr>
          <w:kern w:val="0"/>
        </w:rPr>
      </w:pPr>
      <w:r>
        <w:rPr>
          <w:kern w:val="0"/>
        </w:rPr>
        <w:t>Abstract: To improve the adsorption capacity of chitosan, a novel technique for preparation of beta-cyclodextrin-grafted chitosan (CD-CTS) was carried out by the reaction of beta-cyclodextrin with epoxy-activated chitosan under alkaline conditions. Adsorption of Acid Red R (ARR) in aqueous solution onto CD-CTS was investigated in a batch system. Adsorption isotherm, adsorption kinetics</w:t>
      </w:r>
      <w:r w:rsidR="00F81221">
        <w:rPr>
          <w:kern w:val="0"/>
        </w:rPr>
        <w:t xml:space="preserve"> and </w:t>
      </w:r>
      <w:r>
        <w:rPr>
          <w:kern w:val="0"/>
        </w:rPr>
        <w:t>adsorption thermodynamics of ARR onto CD-CTS were examined. The influence factors on ARR adsorption were also investigated</w:t>
      </w:r>
      <w:r w:rsidR="00F81221">
        <w:rPr>
          <w:kern w:val="0"/>
        </w:rPr>
        <w:t xml:space="preserve"> and </w:t>
      </w:r>
      <w:r>
        <w:rPr>
          <w:kern w:val="0"/>
        </w:rPr>
        <w:t>described in details, such as contact time, pH value</w:t>
      </w:r>
      <w:r w:rsidR="00F81221">
        <w:rPr>
          <w:kern w:val="0"/>
        </w:rPr>
        <w:t xml:space="preserve"> and </w:t>
      </w:r>
      <w:r>
        <w:rPr>
          <w:kern w:val="0"/>
        </w:rPr>
        <w:t>initial ARR concentration. Equilibrium data agreed very well with the Langmuir model. Kinetic studies showed that the adsorption followed a pseudo second-order kinetic model. Thermodynamic parameters showed the endothermic heat of adsorption</w:t>
      </w:r>
      <w:r w:rsidR="00F81221">
        <w:rPr>
          <w:kern w:val="0"/>
        </w:rPr>
        <w:t xml:space="preserve"> and </w:t>
      </w:r>
      <w:r>
        <w:rPr>
          <w:kern w:val="0"/>
        </w:rPr>
        <w:t>the feasibility of the process. Compared with chitosan (CTS), the adsorption capacity of CD-CTS for ARR was increased by 20.2 mg/g after adsorption equilibrium. Results showed that CD-CTS is a favorable adsorbent.</w:t>
      </w:r>
    </w:p>
    <w:p w:rsidR="008370C8" w:rsidRDefault="008370C8" w:rsidP="008370C8">
      <w:pPr>
        <w:pStyle w:val="a0"/>
        <w:rPr>
          <w:kern w:val="0"/>
        </w:rPr>
      </w:pPr>
      <w:r>
        <w:rPr>
          <w:kern w:val="0"/>
        </w:rPr>
        <w:t xml:space="preserve">Keywords: Acid Red R (ARR), Adsorbent, Adsorbents, Adsorption, Adsorption Capacity, Adsorption Equilibrium, Adsorption Isotherm, Adsorption Kinetics, Adsorption Thermodynamics, Aqueous Solution, Ash, Batch, Batch System, Beads, Beta-Cyclodextrin, Beta-Cyclodextrin-Grafted Chitosan (CD-CTS), Capacity, Chitosan, Complexes, Concentration, Ct, Data, Dye, Endothermic, Equilibrium, </w:t>
      </w:r>
      <w:r>
        <w:rPr>
          <w:kern w:val="0"/>
        </w:rPr>
        <w:lastRenderedPageBreak/>
        <w:t>Feasibility, Heat of Adsorption, Isotherm, Kinetic, Kinetic Model, Kinetic Studies, Kinetics, Langmuir, Langmuir Model, Model, pH, pH Value, Photocatalytic Degradation, Preparation, Pseudo Second Order, Pseudo Second-Order, Pseudo-Second-Order, Reactive Dye, Removal, Second Order, Second-Order, Solution, Suspensions, Thermodynamic, Thermodynamic Parameters, Thermodynamics, Value, Wastes</w:t>
      </w:r>
    </w:p>
    <w:p w:rsidR="008370C8" w:rsidRDefault="008370C8" w:rsidP="008370C8">
      <w:pPr>
        <w:pStyle w:val="a0"/>
        <w:rPr>
          <w:kern w:val="0"/>
        </w:rPr>
      </w:pPr>
      <w:r>
        <w:rPr>
          <w:kern w:val="0"/>
        </w:rPr>
        <w:t>? Yao, Y.J., Xu, F.F., Zhu, Z.W., Xu, Z.X.</w:t>
      </w:r>
      <w:r w:rsidR="00F81221">
        <w:rPr>
          <w:kern w:val="0"/>
        </w:rPr>
        <w:t xml:space="preserve"> and </w:t>
      </w:r>
      <w:r>
        <w:rPr>
          <w:kern w:val="0"/>
        </w:rPr>
        <w:t>Chen, M. (2010), Adsorption of methyl violet onto multi-walled carbon nanotubes: Equilibrium, kinetics</w:t>
      </w:r>
      <w:r w:rsidR="00F81221">
        <w:rPr>
          <w:kern w:val="0"/>
        </w:rPr>
        <w:t xml:space="preserve"> and </w:t>
      </w:r>
      <w:r>
        <w:rPr>
          <w:kern w:val="0"/>
        </w:rPr>
        <w:t xml:space="preserve">modeling. </w:t>
      </w:r>
      <w:r>
        <w:rPr>
          <w:i/>
          <w:iCs/>
          <w:kern w:val="0"/>
        </w:rPr>
        <w:t>Fresenius Environmental Bulletin</w:t>
      </w:r>
      <w:r>
        <w:rPr>
          <w:kern w:val="0"/>
        </w:rPr>
        <w:t xml:space="preserve">, </w:t>
      </w:r>
      <w:r>
        <w:rPr>
          <w:b/>
          <w:bCs/>
          <w:kern w:val="0"/>
        </w:rPr>
        <w:t>19</w:t>
      </w:r>
      <w:r>
        <w:rPr>
          <w:kern w:val="0"/>
        </w:rPr>
        <w:t xml:space="preserve"> (5), 854-861.</w:t>
      </w:r>
    </w:p>
    <w:p w:rsidR="008370C8" w:rsidRPr="003D3F85" w:rsidRDefault="008370C8" w:rsidP="008370C8">
      <w:pPr>
        <w:pStyle w:val="a0"/>
        <w:rPr>
          <w:kern w:val="0"/>
        </w:rPr>
      </w:pPr>
      <w:r w:rsidRPr="003D3F85">
        <w:rPr>
          <w:kern w:val="0"/>
        </w:rPr>
        <w:t>Full Text:</w:t>
      </w:r>
      <w:r w:rsidRPr="003D3F85">
        <w:t xml:space="preserve"> </w:t>
      </w:r>
      <w:r w:rsidR="007E3FEC">
        <w:rPr>
          <w:rFonts w:hint="eastAsia"/>
        </w:rPr>
        <w:t>2010\</w:t>
      </w:r>
      <w:r w:rsidRPr="003D3F85">
        <w:rPr>
          <w:iCs/>
          <w:kern w:val="0"/>
        </w:rPr>
        <w:t xml:space="preserve">Fre Env Bul19, </w:t>
      </w:r>
      <w:r>
        <w:rPr>
          <w:kern w:val="0"/>
        </w:rPr>
        <w:t>854</w:t>
      </w:r>
      <w:r w:rsidRPr="003D3F85">
        <w:t>.pdf</w:t>
      </w:r>
    </w:p>
    <w:p w:rsidR="008370C8" w:rsidRDefault="008370C8" w:rsidP="008370C8">
      <w:pPr>
        <w:pStyle w:val="a0"/>
        <w:rPr>
          <w:kern w:val="0"/>
        </w:rPr>
      </w:pPr>
      <w:r>
        <w:rPr>
          <w:kern w:val="0"/>
        </w:rPr>
        <w:t>Abstract: Adsorption equilibrium</w:t>
      </w:r>
      <w:r w:rsidR="00F81221">
        <w:rPr>
          <w:kern w:val="0"/>
        </w:rPr>
        <w:t xml:space="preserve"> and </w:t>
      </w:r>
      <w:r>
        <w:rPr>
          <w:kern w:val="0"/>
        </w:rPr>
        <w:t>kinetics of methyl violet onto multi-walled carbon nano-tubes were studied in a batch system. Experiments were carried out as function of contact time, initial concentration,</w:t>
      </w:r>
      <w:r w:rsidR="00F81221">
        <w:rPr>
          <w:kern w:val="0"/>
        </w:rPr>
        <w:t xml:space="preserve"> and </w:t>
      </w:r>
      <w:r>
        <w:rPr>
          <w:kern w:val="0"/>
        </w:rPr>
        <w:t>temperature. Langmuir, Freundlich</w:t>
      </w:r>
      <w:r w:rsidR="00F81221">
        <w:rPr>
          <w:kern w:val="0"/>
        </w:rPr>
        <w:t xml:space="preserve"> and </w:t>
      </w:r>
      <w:r>
        <w:rPr>
          <w:kern w:val="0"/>
        </w:rPr>
        <w:t>Temkin isotherm models were applied to experimental equilibrium data of methyl violet adsorption depending on temperature. The data fitted well with the Langmuir isotherm. The maximum adsorption capacities were found to be 32.87, 46.10, 58.01,</w:t>
      </w:r>
      <w:r w:rsidR="00F81221">
        <w:rPr>
          <w:kern w:val="0"/>
        </w:rPr>
        <w:t xml:space="preserve"> and </w:t>
      </w:r>
      <w:r>
        <w:rPr>
          <w:kern w:val="0"/>
        </w:rPr>
        <w:t>71.76 mg/g at 0, 25, 45,</w:t>
      </w:r>
      <w:r w:rsidR="00F81221">
        <w:rPr>
          <w:kern w:val="0"/>
        </w:rPr>
        <w:t xml:space="preserve"> and </w:t>
      </w:r>
      <w:r>
        <w:rPr>
          <w:kern w:val="0"/>
        </w:rPr>
        <w:t>60ºC. The adsorption data were modeled using pseudo-first</w:t>
      </w:r>
      <w:r w:rsidR="00F81221">
        <w:rPr>
          <w:kern w:val="0"/>
        </w:rPr>
        <w:t xml:space="preserve"> and </w:t>
      </w:r>
      <w:r>
        <w:rPr>
          <w:kern w:val="0"/>
        </w:rPr>
        <w:t>second-order models. It was shown that the second-order kinetic equation could best describe the sorption kinetics. Thermodynamic parameters Δ</w:t>
      </w:r>
      <w:r w:rsidRPr="009951A4">
        <w:rPr>
          <w:i/>
          <w:kern w:val="0"/>
        </w:rPr>
        <w:t>H</w:t>
      </w:r>
      <w:r w:rsidR="007C1EFD">
        <w:rPr>
          <w:kern w:val="0"/>
        </w:rPr>
        <w:t>°</w:t>
      </w:r>
      <w:r>
        <w:rPr>
          <w:kern w:val="0"/>
        </w:rPr>
        <w:t>, Δ</w:t>
      </w:r>
      <w:r w:rsidRPr="009951A4">
        <w:rPr>
          <w:i/>
          <w:kern w:val="0"/>
        </w:rPr>
        <w:t>S</w:t>
      </w:r>
      <w:r w:rsidR="007C1EFD">
        <w:rPr>
          <w:kern w:val="0"/>
        </w:rPr>
        <w:t>°</w:t>
      </w:r>
      <w:r w:rsidR="00F81221">
        <w:rPr>
          <w:kern w:val="0"/>
        </w:rPr>
        <w:t xml:space="preserve"> and </w:t>
      </w:r>
      <w:r>
        <w:rPr>
          <w:kern w:val="0"/>
        </w:rPr>
        <w:t>Δ</w:t>
      </w:r>
      <w:r w:rsidRPr="009951A4">
        <w:rPr>
          <w:i/>
          <w:kern w:val="0"/>
        </w:rPr>
        <w:t>G</w:t>
      </w:r>
      <w:r w:rsidR="007C1EFD">
        <w:rPr>
          <w:kern w:val="0"/>
        </w:rPr>
        <w:t>°</w:t>
      </w:r>
      <w:r>
        <w:rPr>
          <w:kern w:val="0"/>
        </w:rPr>
        <w:t xml:space="preserve"> have been calculated. Results suggested that methyl violet adsorption on multi-walled carbon nano-tubes is a spontaneous</w:t>
      </w:r>
      <w:r w:rsidR="00F81221">
        <w:rPr>
          <w:kern w:val="0"/>
        </w:rPr>
        <w:t xml:space="preserve"> and </w:t>
      </w:r>
      <w:r>
        <w:rPr>
          <w:kern w:val="0"/>
        </w:rPr>
        <w:t>endothermic process.</w:t>
      </w:r>
    </w:p>
    <w:p w:rsidR="008370C8" w:rsidRDefault="008370C8" w:rsidP="008370C8">
      <w:pPr>
        <w:pStyle w:val="a0"/>
        <w:rPr>
          <w:kern w:val="0"/>
        </w:rPr>
      </w:pPr>
      <w:r>
        <w:rPr>
          <w:kern w:val="0"/>
        </w:rPr>
        <w:t>Keywords: Acid-Blue-193, Adsorbents, Adsorption, Adsorption Capacities, Adsorption Equilibrium, Aqueous-Solutions, Batch, Batch System, Blue, Carbon, Carbon Nanotubes, Concentration, Data, Endothermic, Equilibrium, Experimental, Fly-Ash, Freundlich, Function, Isotherm, Kinetic, Kinetic Equation, Kinetics, Langmuir, Langmuir Isotherm, Mechanism, Methyl Violet, Modeling, Models, Multiwalled Carbon Nanotubes, Nanotubes, Pseudo-First and, Removal, Second Order, Second-Order, Sepiolite, Sorption, Sorption Kinetics, Temkin Isotherm, Temperature, Thermodynamic, Thermodynamic Parameters, Thermodynamics, Thermodynamics, Water</w:t>
      </w:r>
    </w:p>
    <w:p w:rsidR="00B9344F" w:rsidRDefault="00B9344F" w:rsidP="00B9344F">
      <w:pPr>
        <w:pStyle w:val="a0"/>
        <w:rPr>
          <w:kern w:val="0"/>
        </w:rPr>
      </w:pPr>
      <w:r>
        <w:rPr>
          <w:rFonts w:hint="eastAsia"/>
          <w:kern w:val="0"/>
        </w:rPr>
        <w:t xml:space="preserve">? </w:t>
      </w:r>
      <w:r>
        <w:rPr>
          <w:kern w:val="0"/>
        </w:rPr>
        <w:t>Canli, O.</w:t>
      </w:r>
      <w:r w:rsidR="00F81221">
        <w:rPr>
          <w:kern w:val="0"/>
        </w:rPr>
        <w:t xml:space="preserve"> and </w:t>
      </w:r>
      <w:r>
        <w:rPr>
          <w:kern w:val="0"/>
        </w:rPr>
        <w:t xml:space="preserve">Demirbas, E. (2010), Response surface methodology to optimize adsorption parameters for naphthalene removal in aqueous solutions by activated carbon. </w:t>
      </w:r>
      <w:r>
        <w:rPr>
          <w:i/>
          <w:iCs/>
          <w:kern w:val="0"/>
        </w:rPr>
        <w:t>Fresenius Environmental Bulletin</w:t>
      </w:r>
      <w:r>
        <w:rPr>
          <w:kern w:val="0"/>
        </w:rPr>
        <w:t xml:space="preserve">, </w:t>
      </w:r>
      <w:r>
        <w:rPr>
          <w:b/>
          <w:bCs/>
          <w:kern w:val="0"/>
        </w:rPr>
        <w:t>19</w:t>
      </w:r>
      <w:r>
        <w:rPr>
          <w:kern w:val="0"/>
        </w:rPr>
        <w:t xml:space="preserve"> (5A), 945-955.</w:t>
      </w:r>
    </w:p>
    <w:p w:rsidR="00B9344F" w:rsidRPr="002D0E04" w:rsidRDefault="00B9344F" w:rsidP="00B9344F">
      <w:pPr>
        <w:pStyle w:val="a0"/>
        <w:rPr>
          <w:kern w:val="0"/>
        </w:rPr>
      </w:pPr>
      <w:r w:rsidRPr="002D0E04">
        <w:rPr>
          <w:kern w:val="0"/>
        </w:rPr>
        <w:t xml:space="preserve">Full Text: </w:t>
      </w:r>
      <w:hyperlink r:id="rId186" w:history="1">
        <w:r w:rsidR="00E34789" w:rsidRPr="00E34789">
          <w:rPr>
            <w:rStyle w:val="a5"/>
            <w:kern w:val="0"/>
          </w:rPr>
          <w:t>2010\Fre Env Bul19, 945.pdf</w:t>
        </w:r>
      </w:hyperlink>
    </w:p>
    <w:p w:rsidR="00B9344F" w:rsidRDefault="00B9344F" w:rsidP="00B9344F">
      <w:pPr>
        <w:pStyle w:val="a0"/>
        <w:rPr>
          <w:kern w:val="0"/>
        </w:rPr>
      </w:pPr>
      <w:r>
        <w:rPr>
          <w:kern w:val="0"/>
        </w:rPr>
        <w:t>Abstract: The adsorption characteristics of naphthalene from aqueous solutions on coconut husk-activated carbon (AC) were evaluated. Batch adsorption studies were conducted to study the effects of various parameters, such as initial concentration, agitation time</w:t>
      </w:r>
      <w:r w:rsidR="00F81221">
        <w:rPr>
          <w:kern w:val="0"/>
        </w:rPr>
        <w:t xml:space="preserve"> and </w:t>
      </w:r>
      <w:r>
        <w:rPr>
          <w:kern w:val="0"/>
        </w:rPr>
        <w:t>adsorbent dosage, on naphthalene adsorption. The kinetic data were analyzed using pseudo first-order, pseudo second-order</w:t>
      </w:r>
      <w:r w:rsidR="00F81221">
        <w:rPr>
          <w:kern w:val="0"/>
        </w:rPr>
        <w:t xml:space="preserve"> and </w:t>
      </w:r>
      <w:r>
        <w:rPr>
          <w:kern w:val="0"/>
        </w:rPr>
        <w:t xml:space="preserve">intra-particle </w:t>
      </w:r>
      <w:r>
        <w:rPr>
          <w:kern w:val="0"/>
        </w:rPr>
        <w:lastRenderedPageBreak/>
        <w:t>diffusion equations. The experimental data fitted very well the pseudo second-order kinetic model. The equilibrium data were analyzed by the Langmuir</w:t>
      </w:r>
      <w:r w:rsidR="00F81221">
        <w:rPr>
          <w:kern w:val="0"/>
        </w:rPr>
        <w:t xml:space="preserve"> and </w:t>
      </w:r>
      <w:r>
        <w:rPr>
          <w:kern w:val="0"/>
        </w:rPr>
        <w:t>Freundlich adsorption isotherm models. The adsorption isotherm data fitted well to Langmuir isotherm,</w:t>
      </w:r>
      <w:r w:rsidR="00F81221">
        <w:rPr>
          <w:kern w:val="0"/>
        </w:rPr>
        <w:t xml:space="preserve"> and </w:t>
      </w:r>
      <w:r>
        <w:rPr>
          <w:kern w:val="0"/>
        </w:rPr>
        <w:t>the monolayer adsorption capacity was found to be 15.60 mg/g at 20°C. In this study, the central composite face-centered experimental design matrix</w:t>
      </w:r>
      <w:r w:rsidR="00F81221">
        <w:rPr>
          <w:kern w:val="0"/>
        </w:rPr>
        <w:t xml:space="preserve"> and </w:t>
      </w:r>
      <w:r>
        <w:rPr>
          <w:kern w:val="0"/>
        </w:rPr>
        <w:t>response surface methodology (RSM) were applied to design the experiments</w:t>
      </w:r>
      <w:r w:rsidR="00F81221">
        <w:rPr>
          <w:kern w:val="0"/>
        </w:rPr>
        <w:t xml:space="preserve"> and </w:t>
      </w:r>
      <w:r>
        <w:rPr>
          <w:kern w:val="0"/>
        </w:rPr>
        <w:t>evaluate the interactive effects of the 3 most important operating variables, adsorbent dosage (1.0-3.0 g/L), agitation time (10.0-25.0 min)</w:t>
      </w:r>
      <w:r w:rsidR="00F81221">
        <w:rPr>
          <w:kern w:val="0"/>
        </w:rPr>
        <w:t xml:space="preserve"> and </w:t>
      </w:r>
      <w:r>
        <w:rPr>
          <w:kern w:val="0"/>
        </w:rPr>
        <w:t>initial naphthalene concentration (10.0-30.0 mg/L), on adsorption of naphthalene with AC. A total of 20 experimental runs were set,</w:t>
      </w:r>
      <w:r w:rsidR="00F81221">
        <w:rPr>
          <w:kern w:val="0"/>
        </w:rPr>
        <w:t xml:space="preserve"> and </w:t>
      </w:r>
      <w:r>
        <w:rPr>
          <w:kern w:val="0"/>
        </w:rPr>
        <w:t>the experimental data fitted to the empirical second-order polynomial model of a suitable degree for the maximum adsorption of naphthalene from aqueous solutions by AC. An initial concentration of 10 mg/L, adsorption time of 25 min</w:t>
      </w:r>
      <w:r w:rsidR="00F81221">
        <w:rPr>
          <w:kern w:val="0"/>
        </w:rPr>
        <w:t xml:space="preserve"> and </w:t>
      </w:r>
      <w:r>
        <w:rPr>
          <w:kern w:val="0"/>
        </w:rPr>
        <w:t>carbon dosage of 3 g/L were found to be optimal for the maximum removal of naphthalene (97.8%) from aqueous solutions. Analysis of variance of the quadratic model showed that the model was highly significant (R</w:t>
      </w:r>
      <w:r>
        <w:rPr>
          <w:rFonts w:hint="eastAsia"/>
          <w:kern w:val="0"/>
          <w:vertAlign w:val="superscript"/>
        </w:rPr>
        <w:t>2</w:t>
      </w:r>
      <w:r>
        <w:rPr>
          <w:kern w:val="0"/>
        </w:rPr>
        <w:t xml:space="preserve"> = 0.970, predicted R</w:t>
      </w:r>
      <w:r>
        <w:rPr>
          <w:rFonts w:hint="eastAsia"/>
          <w:kern w:val="0"/>
          <w:vertAlign w:val="superscript"/>
        </w:rPr>
        <w:t>2</w:t>
      </w:r>
      <w:r>
        <w:rPr>
          <w:kern w:val="0"/>
        </w:rPr>
        <w:t xml:space="preserve"> = 0.766 for q(t) as well as R</w:t>
      </w:r>
      <w:r>
        <w:rPr>
          <w:rFonts w:hint="eastAsia"/>
          <w:kern w:val="0"/>
          <w:vertAlign w:val="superscript"/>
        </w:rPr>
        <w:t>2</w:t>
      </w:r>
      <w:r>
        <w:rPr>
          <w:kern w:val="0"/>
        </w:rPr>
        <w:t xml:space="preserve"> = 0.989, predicted R</w:t>
      </w:r>
      <w:r>
        <w:rPr>
          <w:rFonts w:hint="eastAsia"/>
          <w:kern w:val="0"/>
          <w:vertAlign w:val="superscript"/>
        </w:rPr>
        <w:t>2</w:t>
      </w:r>
      <w:r>
        <w:rPr>
          <w:kern w:val="0"/>
        </w:rPr>
        <w:t xml:space="preserve"> = 0.917 for Re %).</w:t>
      </w:r>
    </w:p>
    <w:p w:rsidR="00B9344F" w:rsidRDefault="00B9344F" w:rsidP="00B9344F">
      <w:pPr>
        <w:pStyle w:val="a0"/>
        <w:rPr>
          <w:kern w:val="0"/>
        </w:rPr>
      </w:pPr>
      <w:r>
        <w:rPr>
          <w:kern w:val="0"/>
        </w:rPr>
        <w:t>Keywords: Activated Carbon, Adsorbent, Adsorbents, Adsorption, Adsorption Isotherm, Biodegradation, Biosorption, Diffusion, Dye Removal, Equilibrium, Isotherm, Kinetic, Kinetics, Langmuir, Langmuir Isotherm, Lead, Naphthalene Adsorption, Optimization, Polycyclic Aromatic-Hydrocarbons, Removal, Response Surface Methodology, Sorption, Water</w:t>
      </w:r>
    </w:p>
    <w:p w:rsidR="00AD401A" w:rsidRDefault="00AD401A" w:rsidP="00AD401A">
      <w:pPr>
        <w:pStyle w:val="a0"/>
        <w:rPr>
          <w:kern w:val="0"/>
        </w:rPr>
      </w:pPr>
      <w:r>
        <w:rPr>
          <w:kern w:val="0"/>
        </w:rPr>
        <w:t>? Wan, C.L., Yang, X., Du, M.A., Xing, D.F., Yu, C.G.</w:t>
      </w:r>
      <w:r w:rsidR="00F81221">
        <w:rPr>
          <w:kern w:val="0"/>
        </w:rPr>
        <w:t xml:space="preserve"> and </w:t>
      </w:r>
      <w:r>
        <w:rPr>
          <w:kern w:val="0"/>
        </w:rPr>
        <w:t xml:space="preserve">Yang, Q.L. (2010), Desorption of oil in naturally polluted soil promoted by beta-cyclodextrin. </w:t>
      </w:r>
      <w:r>
        <w:rPr>
          <w:i/>
          <w:iCs/>
          <w:kern w:val="0"/>
        </w:rPr>
        <w:t>Fresenius Environmental Bulletin</w:t>
      </w:r>
      <w:r>
        <w:rPr>
          <w:kern w:val="0"/>
        </w:rPr>
        <w:t xml:space="preserve">, </w:t>
      </w:r>
      <w:r>
        <w:rPr>
          <w:b/>
          <w:bCs/>
          <w:kern w:val="0"/>
        </w:rPr>
        <w:t>19</w:t>
      </w:r>
      <w:r>
        <w:rPr>
          <w:kern w:val="0"/>
        </w:rPr>
        <w:t xml:space="preserve"> (7), 1231-1237.</w:t>
      </w:r>
    </w:p>
    <w:p w:rsidR="00AD401A" w:rsidRPr="00F03D2F" w:rsidRDefault="00AD401A" w:rsidP="00AD401A">
      <w:pPr>
        <w:pStyle w:val="a0"/>
        <w:jc w:val="left"/>
        <w:rPr>
          <w:kern w:val="0"/>
        </w:rPr>
      </w:pPr>
      <w:r w:rsidRPr="00F03D2F">
        <w:rPr>
          <w:kern w:val="0"/>
        </w:rPr>
        <w:t>Full Text:</w:t>
      </w:r>
      <w:r w:rsidRPr="00D7601C">
        <w:t xml:space="preserve"> </w:t>
      </w:r>
      <w:r w:rsidR="007E3FEC">
        <w:rPr>
          <w:rFonts w:hint="eastAsia"/>
        </w:rPr>
        <w:t>2010\</w:t>
      </w:r>
      <w:r w:rsidRPr="002502F4">
        <w:t>Fre Env Bul19, 1231.</w:t>
      </w:r>
      <w:r>
        <w:t>PDF</w:t>
      </w:r>
    </w:p>
    <w:p w:rsidR="00AD401A" w:rsidRDefault="00AD401A" w:rsidP="00AD401A">
      <w:pPr>
        <w:pStyle w:val="a0"/>
        <w:rPr>
          <w:kern w:val="0"/>
        </w:rPr>
      </w:pPr>
      <w:r>
        <w:rPr>
          <w:kern w:val="0"/>
        </w:rPr>
        <w:t>Abstract: In this study, beta-cyclodextrin (beta-CD) was used to promote desorption of total petroleum hydrocarbons (TPH) in severely naturally oil-polluted soil close to oil-producing wells because it has a better solubilization of hydrophobic organics</w:t>
      </w:r>
      <w:r w:rsidR="00F81221">
        <w:rPr>
          <w:kern w:val="0"/>
        </w:rPr>
        <w:t xml:space="preserve"> and </w:t>
      </w:r>
      <w:r>
        <w:rPr>
          <w:kern w:val="0"/>
        </w:rPr>
        <w:t>nearly no toxic effect on soil. The experimental results indicated that different concentrations of beta-CD all had a solubilizing effect on contaminants. The desorption process had a good fit with a pseudo-second-order kinetics equation,</w:t>
      </w:r>
      <w:r w:rsidR="00F81221">
        <w:rPr>
          <w:kern w:val="0"/>
        </w:rPr>
        <w:t xml:space="preserve"> and </w:t>
      </w:r>
      <w:r>
        <w:rPr>
          <w:kern w:val="0"/>
        </w:rPr>
        <w:t>the R-2 values were all above 0.9. Since soil adsorbed beta-CD, the desorption of TPH was not enhanced with an increase in beta-CD concentration. Therefore, the best removal of 79% was obtained when TPH content was 78.61mg/g dry soil (DS),</w:t>
      </w:r>
      <w:r w:rsidR="00F81221">
        <w:rPr>
          <w:kern w:val="0"/>
        </w:rPr>
        <w:t xml:space="preserve"> and </w:t>
      </w:r>
      <w:r>
        <w:rPr>
          <w:kern w:val="0"/>
        </w:rPr>
        <w:t>beta-CD concentration was 1674 mg/L. GC-MS analysis was used to determine the component changes of TPH with the addition of beta-CD,</w:t>
      </w:r>
      <w:r w:rsidR="00F81221">
        <w:rPr>
          <w:kern w:val="0"/>
        </w:rPr>
        <w:t xml:space="preserve"> and </w:t>
      </w:r>
      <w:r>
        <w:rPr>
          <w:kern w:val="0"/>
        </w:rPr>
        <w:t xml:space="preserve">it was suggested that the removal of shorter chain hydrocarbons (C &lt;20) was more efficient. Results of this study revealed that beta-CD can efficiently promote the desorption of TPH in </w:t>
      </w:r>
      <w:r>
        <w:rPr>
          <w:kern w:val="0"/>
        </w:rPr>
        <w:lastRenderedPageBreak/>
        <w:t>soil</w:t>
      </w:r>
      <w:r w:rsidR="00F81221">
        <w:rPr>
          <w:kern w:val="0"/>
        </w:rPr>
        <w:t xml:space="preserve"> and </w:t>
      </w:r>
      <w:r>
        <w:rPr>
          <w:kern w:val="0"/>
        </w:rPr>
        <w:t>support field elution tests of oil-contaminated soil.</w:t>
      </w:r>
    </w:p>
    <w:p w:rsidR="00AD401A" w:rsidRDefault="00AD401A" w:rsidP="00AD401A">
      <w:pPr>
        <w:pStyle w:val="a0"/>
        <w:rPr>
          <w:kern w:val="0"/>
        </w:rPr>
      </w:pPr>
      <w:r>
        <w:rPr>
          <w:kern w:val="0"/>
        </w:rPr>
        <w:t>Keywords: 2,4,6-Trichlorophenol, Adsorption, Analysis, Aqueous-Solution, Beta-Cyclodextrin, Beta-Cyclodextrin (Beta-Cd), Changes, Concentration, Contaminants, Contaminated Soils, Desorption, Elution, Experimental, Field, GC-MS, Hydrophobic, Kinetics, Kinetics Equation, Naturally Oil-Polluted Soil, Organic-Compounds, Organics, Pseudo Second Order, Pseudo Second Order Kinetics, Pseudo Second Order Kinetics Equation, Pseudo-Second-Order, Pseudo-Second-Order Kinetics, Remediation, Removal, Soil, Solubilization, Sorption, Support, Surfactant, Total Petroleum Hydrocarbons (TPH), Toxic, Water, Wells</w:t>
      </w:r>
    </w:p>
    <w:p w:rsidR="003C68CC" w:rsidRDefault="003C68CC" w:rsidP="003C68CC">
      <w:pPr>
        <w:pStyle w:val="a0"/>
        <w:rPr>
          <w:kern w:val="0"/>
        </w:rPr>
      </w:pPr>
      <w:r>
        <w:rPr>
          <w:rFonts w:hint="eastAsia"/>
          <w:kern w:val="0"/>
        </w:rPr>
        <w:t xml:space="preserve">? </w:t>
      </w:r>
      <w:r>
        <w:rPr>
          <w:kern w:val="0"/>
        </w:rPr>
        <w:t>Mao, Y.L., Yang, G.J., Liu, R.Q., Luo, S.T., Pan, J.M., Zhang, K., Zhang, Y.F., Xu, P.X.</w:t>
      </w:r>
      <w:r w:rsidR="00F81221">
        <w:rPr>
          <w:kern w:val="0"/>
        </w:rPr>
        <w:t xml:space="preserve"> and </w:t>
      </w:r>
      <w:r>
        <w:rPr>
          <w:kern w:val="0"/>
        </w:rPr>
        <w:t>Yan, Y.S. (2010), Biosorption of Cd(II) from aqueous solution by a novel extracellular biopolymer secreted from pseudomonas fluorescens C-2: Equilibrium</w:t>
      </w:r>
      <w:r w:rsidR="00F81221">
        <w:rPr>
          <w:kern w:val="0"/>
        </w:rPr>
        <w:t xml:space="preserve"> and </w:t>
      </w:r>
      <w:r>
        <w:rPr>
          <w:kern w:val="0"/>
        </w:rPr>
        <w:t xml:space="preserve">kinetic studies. </w:t>
      </w:r>
      <w:r>
        <w:rPr>
          <w:i/>
          <w:iCs/>
          <w:kern w:val="0"/>
        </w:rPr>
        <w:t>Fresenius Environmental Bulletin</w:t>
      </w:r>
      <w:r>
        <w:rPr>
          <w:kern w:val="0"/>
        </w:rPr>
        <w:t xml:space="preserve">, </w:t>
      </w:r>
      <w:r>
        <w:rPr>
          <w:b/>
          <w:bCs/>
          <w:kern w:val="0"/>
        </w:rPr>
        <w:t>19</w:t>
      </w:r>
      <w:r>
        <w:rPr>
          <w:kern w:val="0"/>
        </w:rPr>
        <w:t xml:space="preserve"> (8A), 1599-1607.</w:t>
      </w:r>
    </w:p>
    <w:p w:rsidR="003C68CC" w:rsidRPr="00F03D2F" w:rsidRDefault="003C68CC" w:rsidP="003C68CC">
      <w:pPr>
        <w:pStyle w:val="a0"/>
        <w:rPr>
          <w:kern w:val="0"/>
        </w:rPr>
      </w:pPr>
      <w:r w:rsidRPr="00F03D2F">
        <w:rPr>
          <w:kern w:val="0"/>
        </w:rPr>
        <w:t>Full Text:</w:t>
      </w:r>
      <w:r w:rsidRPr="00D7601C">
        <w:t xml:space="preserve"> </w:t>
      </w:r>
      <w:r w:rsidR="007E3FEC">
        <w:rPr>
          <w:rFonts w:hint="eastAsia"/>
        </w:rPr>
        <w:t>2010\</w:t>
      </w:r>
      <w:r w:rsidRPr="00EB1A5A">
        <w:t>Fre Env Bul19, 1599.pdf</w:t>
      </w:r>
    </w:p>
    <w:p w:rsidR="003C68CC" w:rsidRDefault="003C68CC" w:rsidP="003C68CC">
      <w:pPr>
        <w:pStyle w:val="a0"/>
        <w:rPr>
          <w:kern w:val="0"/>
        </w:rPr>
      </w:pPr>
      <w:r>
        <w:rPr>
          <w:kern w:val="0"/>
        </w:rPr>
        <w:t>Abstract: The biosorption characteristics of Cd(II) from aqueous solution using the extracellular biopolymer (PFC02) secreted from Pseudomonas fluorescens C-2 were investigated as a function of pH, adsorbent dosage, contact time</w:t>
      </w:r>
      <w:r w:rsidR="00F81221">
        <w:rPr>
          <w:kern w:val="0"/>
        </w:rPr>
        <w:t xml:space="preserve"> and </w:t>
      </w:r>
      <w:r>
        <w:rPr>
          <w:kern w:val="0"/>
        </w:rPr>
        <w:t>initial concentration. The optimal solution pH for the removal of Cd(II) was determined to be 6.0. The Lagergren-first-order, pseudo-second-order kinetic</w:t>
      </w:r>
      <w:r w:rsidR="00F81221">
        <w:rPr>
          <w:kern w:val="0"/>
        </w:rPr>
        <w:t xml:space="preserve"> and </w:t>
      </w:r>
      <w:r>
        <w:rPr>
          <w:kern w:val="0"/>
        </w:rPr>
        <w:t>intraparticle diffusion models were used to test the kinetic data. The pseudo-second-order kinetic model was found to be well suited for the entire adsorption process of Cd(II) on PFC02. Langmuir</w:t>
      </w:r>
      <w:r w:rsidR="00F81221">
        <w:rPr>
          <w:kern w:val="0"/>
        </w:rPr>
        <w:t xml:space="preserve"> and </w:t>
      </w:r>
      <w:r>
        <w:rPr>
          <w:kern w:val="0"/>
        </w:rPr>
        <w:t>Freundlich models were applied to describe the biosorption isotherm of the Cd(II) ions by PFC02. Langmuir model fitted the equilibrium data better than Freundlich isotherm. The maximum adsorption capacity of PFC02 for Cd(II) according to Langmuir isotherm was 37.17 mg g</w:t>
      </w:r>
      <w:r>
        <w:rPr>
          <w:rFonts w:hint="eastAsia"/>
          <w:kern w:val="0"/>
          <w:vertAlign w:val="superscript"/>
        </w:rPr>
        <w:t>-1</w:t>
      </w:r>
      <w:r>
        <w:rPr>
          <w:kern w:val="0"/>
        </w:rPr>
        <w:t xml:space="preserve"> at pH 6.0</w:t>
      </w:r>
      <w:r w:rsidR="00F81221">
        <w:rPr>
          <w:kern w:val="0"/>
        </w:rPr>
        <w:t xml:space="preserve"> and </w:t>
      </w:r>
      <w:r>
        <w:rPr>
          <w:kern w:val="0"/>
        </w:rPr>
        <w:t>25º. FT-IR analysis of PFC02 showed the possible functional groups of PFC02. Responsible for the cadmium adsorption were hydroxyl, carboxyl</w:t>
      </w:r>
      <w:r w:rsidR="00F81221">
        <w:rPr>
          <w:kern w:val="0"/>
        </w:rPr>
        <w:t xml:space="preserve"> and </w:t>
      </w:r>
      <w:r>
        <w:rPr>
          <w:kern w:val="0"/>
        </w:rPr>
        <w:t>phosphate groups etc. SEM analysis demonstrated the microporous structure of the material while EDX analysis confirmed the adsorption of Cd(II) on PFC02. Furthermore, PFC02 could be resed five times with only about 9.15% regeneration loss,</w:t>
      </w:r>
      <w:r w:rsidR="00F81221">
        <w:rPr>
          <w:kern w:val="0"/>
        </w:rPr>
        <w:t xml:space="preserve"> and </w:t>
      </w:r>
      <w:r>
        <w:rPr>
          <w:kern w:val="0"/>
        </w:rPr>
        <w:t>the enrichment factor was 50.0. The developed method was successfully utilized for the removal of Cd(II) ions from environmental</w:t>
      </w:r>
      <w:r w:rsidR="00F81221">
        <w:rPr>
          <w:kern w:val="0"/>
        </w:rPr>
        <w:t xml:space="preserve"> and </w:t>
      </w:r>
      <w:r>
        <w:rPr>
          <w:kern w:val="0"/>
        </w:rPr>
        <w:t>industrial wastewater samples analyzed by inductively coupled plasma-atomic emission spectroscopy (ICP-AES).</w:t>
      </w:r>
    </w:p>
    <w:p w:rsidR="003C68CC" w:rsidRDefault="003C68CC" w:rsidP="003C68CC">
      <w:pPr>
        <w:pStyle w:val="a0"/>
        <w:rPr>
          <w:kern w:val="0"/>
        </w:rPr>
      </w:pPr>
      <w:r>
        <w:rPr>
          <w:kern w:val="0"/>
        </w:rPr>
        <w:t xml:space="preserve">Keywords: Adsorbent, Adsorbent Dosage, Adsorption, Adsorption Capacity, Analysis, Aqueous Solution, Biosorbent, Biosorption, Biosorption Characteristics, Biosorption Isotherm, Cadmium, Cadmium Adsorption, Capacity, Cd(II), Cd(II) Ions, Characteristics, Concentration, Cone Biomass, Cu(II), Data, Diffusion, EDX, Emission, Enrichment, Enrichment Factor, Environmental, Equilibrium, </w:t>
      </w:r>
      <w:r>
        <w:rPr>
          <w:kern w:val="0"/>
        </w:rPr>
        <w:lastRenderedPageBreak/>
        <w:t xml:space="preserve">Extracellular Biopolymer, Freundlich, Freundlich Isotherm, FT-IR, FTIR, FTIR Analysis, Function, Functional Groups, Heavy-Metals, Industrial Wastewater, Intraparticle Diffusion, Ions, Isotherm, Kinetic, Kinetic Model, Langmuir, Langmuir Isotherm, Langmuir Model, Mechanism, Model, Models, </w:t>
      </w:r>
      <w:r>
        <w:rPr>
          <w:rFonts w:hint="eastAsia"/>
          <w:kern w:val="0"/>
        </w:rPr>
        <w:t>p</w:t>
      </w:r>
      <w:r>
        <w:rPr>
          <w:kern w:val="0"/>
        </w:rPr>
        <w:t xml:space="preserve">H, Phosphate, Pseudo Second Order, Pseudo-Second-Order, Pseudo-Second-Order Kinetic Model, Pseudomonas Fluorescens C-2, Regeneration, Removal, </w:t>
      </w:r>
      <w:r w:rsidRPr="00D07915">
        <w:rPr>
          <w:i/>
          <w:kern w:val="0"/>
        </w:rPr>
        <w:t>Saccharomyces-cerevisiae</w:t>
      </w:r>
      <w:r>
        <w:rPr>
          <w:kern w:val="0"/>
        </w:rPr>
        <w:t>, SEM, Solution, Spectroscopy, Structure, Wastewater</w:t>
      </w:r>
    </w:p>
    <w:p w:rsidR="00D200FC" w:rsidRDefault="00D200FC" w:rsidP="00D200FC">
      <w:pPr>
        <w:pStyle w:val="a0"/>
        <w:rPr>
          <w:kern w:val="0"/>
        </w:rPr>
      </w:pPr>
      <w:r>
        <w:rPr>
          <w:rFonts w:hint="eastAsia"/>
          <w:kern w:val="0"/>
        </w:rPr>
        <w:t xml:space="preserve">? </w:t>
      </w:r>
      <w:r w:rsidRPr="00D200FC">
        <w:rPr>
          <w:kern w:val="0"/>
        </w:rPr>
        <w:t>Liu</w:t>
      </w:r>
      <w:r>
        <w:rPr>
          <w:rFonts w:hint="eastAsia"/>
          <w:kern w:val="0"/>
        </w:rPr>
        <w:t>,</w:t>
      </w:r>
      <w:r w:rsidRPr="00D200FC">
        <w:rPr>
          <w:kern w:val="0"/>
        </w:rPr>
        <w:t xml:space="preserve"> N</w:t>
      </w:r>
      <w:r>
        <w:rPr>
          <w:rFonts w:hint="eastAsia"/>
          <w:kern w:val="0"/>
        </w:rPr>
        <w:t>.,</w:t>
      </w:r>
      <w:r w:rsidRPr="00D200FC">
        <w:rPr>
          <w:kern w:val="0"/>
        </w:rPr>
        <w:t xml:space="preserve"> Xia</w:t>
      </w:r>
      <w:r>
        <w:rPr>
          <w:rFonts w:hint="eastAsia"/>
          <w:kern w:val="0"/>
        </w:rPr>
        <w:t>,</w:t>
      </w:r>
      <w:r w:rsidRPr="00D200FC">
        <w:rPr>
          <w:kern w:val="0"/>
        </w:rPr>
        <w:t xml:space="preserve"> J</w:t>
      </w:r>
      <w:r>
        <w:rPr>
          <w:rFonts w:hint="eastAsia"/>
          <w:kern w:val="0"/>
        </w:rPr>
        <w:t>.,</w:t>
      </w:r>
      <w:r w:rsidRPr="00D200FC">
        <w:rPr>
          <w:kern w:val="0"/>
        </w:rPr>
        <w:t xml:space="preserve"> Dai</w:t>
      </w:r>
      <w:r>
        <w:rPr>
          <w:rFonts w:hint="eastAsia"/>
          <w:kern w:val="0"/>
        </w:rPr>
        <w:t>,</w:t>
      </w:r>
      <w:r w:rsidRPr="00D200FC">
        <w:rPr>
          <w:kern w:val="0"/>
        </w:rPr>
        <w:t xml:space="preserve"> M</w:t>
      </w:r>
      <w:r>
        <w:rPr>
          <w:rFonts w:hint="eastAsia"/>
          <w:kern w:val="0"/>
        </w:rPr>
        <w:t>.</w:t>
      </w:r>
      <w:r w:rsidRPr="00D200FC">
        <w:rPr>
          <w:kern w:val="0"/>
        </w:rPr>
        <w:t>Z</w:t>
      </w:r>
      <w:r>
        <w:rPr>
          <w:rFonts w:hint="eastAsia"/>
          <w:kern w:val="0"/>
        </w:rPr>
        <w:t>.,</w:t>
      </w:r>
      <w:r w:rsidRPr="00D200FC">
        <w:rPr>
          <w:kern w:val="0"/>
        </w:rPr>
        <w:t xml:space="preserve"> Ni</w:t>
      </w:r>
      <w:r>
        <w:rPr>
          <w:rFonts w:hint="eastAsia"/>
          <w:kern w:val="0"/>
        </w:rPr>
        <w:t>,</w:t>
      </w:r>
      <w:r w:rsidRPr="00D200FC">
        <w:rPr>
          <w:kern w:val="0"/>
        </w:rPr>
        <w:t xml:space="preserve"> T</w:t>
      </w:r>
      <w:r>
        <w:rPr>
          <w:rFonts w:hint="eastAsia"/>
          <w:kern w:val="0"/>
        </w:rPr>
        <w:t>.</w:t>
      </w:r>
      <w:r w:rsidRPr="00D200FC">
        <w:rPr>
          <w:kern w:val="0"/>
        </w:rPr>
        <w:t>H</w:t>
      </w:r>
      <w:r>
        <w:rPr>
          <w:rFonts w:hint="eastAsia"/>
          <w:kern w:val="0"/>
        </w:rPr>
        <w:t>.,</w:t>
      </w:r>
      <w:r w:rsidRPr="00D200FC">
        <w:rPr>
          <w:kern w:val="0"/>
        </w:rPr>
        <w:t xml:space="preserve"> He</w:t>
      </w:r>
      <w:r>
        <w:rPr>
          <w:rFonts w:hint="eastAsia"/>
          <w:kern w:val="0"/>
        </w:rPr>
        <w:t>,</w:t>
      </w:r>
      <w:r w:rsidRPr="00D200FC">
        <w:rPr>
          <w:kern w:val="0"/>
        </w:rPr>
        <w:t xml:space="preserve"> C</w:t>
      </w:r>
      <w:r>
        <w:rPr>
          <w:rFonts w:hint="eastAsia"/>
          <w:kern w:val="0"/>
        </w:rPr>
        <w:t>.</w:t>
      </w:r>
      <w:r w:rsidRPr="00D200FC">
        <w:rPr>
          <w:kern w:val="0"/>
        </w:rPr>
        <w:t>Y</w:t>
      </w:r>
      <w:r>
        <w:rPr>
          <w:rFonts w:hint="eastAsia"/>
          <w:kern w:val="0"/>
        </w:rPr>
        <w:t>.,</w:t>
      </w:r>
      <w:r w:rsidRPr="00D200FC">
        <w:rPr>
          <w:kern w:val="0"/>
        </w:rPr>
        <w:t xml:space="preserve"> Zhang</w:t>
      </w:r>
      <w:r>
        <w:rPr>
          <w:rFonts w:hint="eastAsia"/>
          <w:kern w:val="0"/>
        </w:rPr>
        <w:t>,</w:t>
      </w:r>
      <w:r w:rsidRPr="00D200FC">
        <w:rPr>
          <w:kern w:val="0"/>
        </w:rPr>
        <w:t xml:space="preserve"> X</w:t>
      </w:r>
      <w:r>
        <w:rPr>
          <w:rFonts w:hint="eastAsia"/>
          <w:kern w:val="0"/>
        </w:rPr>
        <w:t>.</w:t>
      </w:r>
      <w:r w:rsidRPr="00D200FC">
        <w:rPr>
          <w:kern w:val="0"/>
        </w:rPr>
        <w:t>X</w:t>
      </w:r>
      <w:r>
        <w:rPr>
          <w:rFonts w:hint="eastAsia"/>
          <w:kern w:val="0"/>
        </w:rPr>
        <w:t>.</w:t>
      </w:r>
      <w:r w:rsidR="00F81221">
        <w:rPr>
          <w:rFonts w:hint="eastAsia"/>
          <w:kern w:val="0"/>
        </w:rPr>
        <w:t xml:space="preserve"> and </w:t>
      </w:r>
      <w:r w:rsidRPr="00D200FC">
        <w:rPr>
          <w:kern w:val="0"/>
        </w:rPr>
        <w:t>Lu</w:t>
      </w:r>
      <w:r>
        <w:rPr>
          <w:rFonts w:hint="eastAsia"/>
          <w:kern w:val="0"/>
        </w:rPr>
        <w:t>,</w:t>
      </w:r>
      <w:r w:rsidRPr="00D200FC">
        <w:rPr>
          <w:kern w:val="0"/>
        </w:rPr>
        <w:t xml:space="preserve"> G</w:t>
      </w:r>
      <w:r>
        <w:rPr>
          <w:rFonts w:hint="eastAsia"/>
          <w:kern w:val="0"/>
        </w:rPr>
        <w:t>.</w:t>
      </w:r>
      <w:r w:rsidRPr="00D200FC">
        <w:rPr>
          <w:kern w:val="0"/>
        </w:rPr>
        <w:t>F</w:t>
      </w:r>
      <w:r>
        <w:rPr>
          <w:rFonts w:hint="eastAsia"/>
          <w:kern w:val="0"/>
        </w:rPr>
        <w:t>.</w:t>
      </w:r>
      <w:r>
        <w:rPr>
          <w:kern w:val="0"/>
        </w:rPr>
        <w:t xml:space="preserve"> (2010), </w:t>
      </w:r>
      <w:r w:rsidRPr="00D200FC">
        <w:rPr>
          <w:kern w:val="0"/>
        </w:rPr>
        <w:t>A preliminary non-carcinogenic risk assessment on metals in source water of the Yangtze River (lower reach)</w:t>
      </w:r>
      <w:r>
        <w:rPr>
          <w:kern w:val="0"/>
        </w:rPr>
        <w:t xml:space="preserve">. </w:t>
      </w:r>
      <w:r>
        <w:rPr>
          <w:i/>
          <w:iCs/>
          <w:kern w:val="0"/>
        </w:rPr>
        <w:t>Fresenius Environmental Bulletin</w:t>
      </w:r>
      <w:r>
        <w:rPr>
          <w:kern w:val="0"/>
        </w:rPr>
        <w:t xml:space="preserve">, </w:t>
      </w:r>
      <w:r>
        <w:rPr>
          <w:b/>
          <w:bCs/>
          <w:kern w:val="0"/>
        </w:rPr>
        <w:t>19</w:t>
      </w:r>
      <w:r>
        <w:rPr>
          <w:kern w:val="0"/>
        </w:rPr>
        <w:t xml:space="preserve"> (8A), </w:t>
      </w:r>
      <w:r w:rsidRPr="00D200FC">
        <w:rPr>
          <w:kern w:val="0"/>
        </w:rPr>
        <w:t>1648-1654</w:t>
      </w:r>
      <w:r>
        <w:rPr>
          <w:kern w:val="0"/>
        </w:rPr>
        <w:t>.</w:t>
      </w:r>
    </w:p>
    <w:p w:rsidR="00D200FC" w:rsidRDefault="00D200FC" w:rsidP="00D200FC">
      <w:pPr>
        <w:pStyle w:val="a0"/>
      </w:pPr>
      <w:r w:rsidRPr="00F03D2F">
        <w:rPr>
          <w:kern w:val="0"/>
        </w:rPr>
        <w:t>Full Text:</w:t>
      </w:r>
      <w:r w:rsidRPr="00D7601C">
        <w:t xml:space="preserve"> </w:t>
      </w:r>
      <w:r>
        <w:rPr>
          <w:rFonts w:hint="eastAsia"/>
        </w:rPr>
        <w:t>2010\</w:t>
      </w:r>
      <w:r w:rsidRPr="00EB1A5A">
        <w:t xml:space="preserve">Fre Env Bul19, </w:t>
      </w:r>
      <w:r w:rsidRPr="00D200FC">
        <w:rPr>
          <w:kern w:val="0"/>
        </w:rPr>
        <w:t>1648</w:t>
      </w:r>
      <w:r w:rsidRPr="00EB1A5A">
        <w:t>.pdf</w:t>
      </w:r>
    </w:p>
    <w:p w:rsidR="00D200FC" w:rsidRPr="00D200FC" w:rsidRDefault="00D200FC" w:rsidP="00D200FC">
      <w:pPr>
        <w:pStyle w:val="a0"/>
        <w:rPr>
          <w:kern w:val="0"/>
        </w:rPr>
      </w:pPr>
      <w:r w:rsidRPr="00D200FC">
        <w:rPr>
          <w:kern w:val="0"/>
        </w:rPr>
        <w:t>Abstract: A preliminary non-carcinogenic risk assessment was performed on seven metals in source water of 22 tap water treatment plants (WTPs) along the lower reach of the Yangtze River, based on chemical analyses during 2007-2009. Among the metals, Fe was the pollutant with the highest concentration (114.2 mu g L-1)</w:t>
      </w:r>
      <w:r w:rsidR="00F81221">
        <w:rPr>
          <w:kern w:val="0"/>
        </w:rPr>
        <w:t xml:space="preserve"> and </w:t>
      </w:r>
      <w:r w:rsidRPr="00D200FC">
        <w:rPr>
          <w:kern w:val="0"/>
        </w:rPr>
        <w:t>Pb contributed the most (34.5%) to the hazard index (HI) of the 22 WTPs, followed by Cr (30.3%)</w:t>
      </w:r>
      <w:r w:rsidR="00F81221">
        <w:rPr>
          <w:kern w:val="0"/>
        </w:rPr>
        <w:t xml:space="preserve"> and </w:t>
      </w:r>
      <w:r w:rsidRPr="00D200FC">
        <w:rPr>
          <w:kern w:val="0"/>
        </w:rPr>
        <w:t>Cd (18.4%), suggesting that the three metals may be of serious health concerns for local residents. The level of each metal could meet the related criteria of China</w:t>
      </w:r>
      <w:r w:rsidR="00F81221">
        <w:rPr>
          <w:kern w:val="0"/>
        </w:rPr>
        <w:t xml:space="preserve"> and </w:t>
      </w:r>
      <w:r w:rsidRPr="00D200FC">
        <w:rPr>
          <w:kern w:val="0"/>
        </w:rPr>
        <w:t>USA, except for Pb. Both hazard quotients of individual metals</w:t>
      </w:r>
      <w:r w:rsidR="00F81221">
        <w:rPr>
          <w:kern w:val="0"/>
        </w:rPr>
        <w:t xml:space="preserve"> and </w:t>
      </w:r>
      <w:r w:rsidRPr="00D200FC">
        <w:rPr>
          <w:kern w:val="0"/>
        </w:rPr>
        <w:t>HI of total non-carcinogenic risk in each WTP were below 1.0, suggesting that these pollutants posed little hazard to local residents. Temporal</w:t>
      </w:r>
      <w:r w:rsidR="00F81221">
        <w:rPr>
          <w:kern w:val="0"/>
        </w:rPr>
        <w:t xml:space="preserve"> and </w:t>
      </w:r>
      <w:r w:rsidRPr="00D200FC">
        <w:rPr>
          <w:kern w:val="0"/>
        </w:rPr>
        <w:t>spatial comparisons showed that high His more frequently occurred in low water seasons,</w:t>
      </w:r>
      <w:r w:rsidR="00F81221">
        <w:rPr>
          <w:kern w:val="0"/>
        </w:rPr>
        <w:t xml:space="preserve"> and </w:t>
      </w:r>
      <w:r w:rsidRPr="00D200FC">
        <w:rPr>
          <w:kern w:val="0"/>
        </w:rPr>
        <w:t>Jiangpu WTP had the highest HI, followed by Jiangning</w:t>
      </w:r>
      <w:r w:rsidR="00F81221">
        <w:rPr>
          <w:kern w:val="0"/>
        </w:rPr>
        <w:t xml:space="preserve"> and </w:t>
      </w:r>
      <w:r w:rsidRPr="00D200FC">
        <w:rPr>
          <w:kern w:val="0"/>
        </w:rPr>
        <w:t>Taichang. This study may provide some baseline information for the authorities to regulate</w:t>
      </w:r>
      <w:r w:rsidR="00F81221">
        <w:rPr>
          <w:kern w:val="0"/>
        </w:rPr>
        <w:t xml:space="preserve"> and </w:t>
      </w:r>
      <w:r w:rsidRPr="00D200FC">
        <w:rPr>
          <w:kern w:val="0"/>
        </w:rPr>
        <w:t>control the discharge of the metals into the Yangtze River,</w:t>
      </w:r>
      <w:r w:rsidR="00F81221">
        <w:rPr>
          <w:kern w:val="0"/>
        </w:rPr>
        <w:t xml:space="preserve"> and </w:t>
      </w:r>
      <w:r w:rsidRPr="00D200FC">
        <w:rPr>
          <w:kern w:val="0"/>
        </w:rPr>
        <w:t>serve as a basis for comparison to other riv</w:t>
      </w:r>
      <w:r>
        <w:rPr>
          <w:kern w:val="0"/>
        </w:rPr>
        <w:t>ers in the world.</w:t>
      </w:r>
    </w:p>
    <w:p w:rsidR="00D200FC" w:rsidRPr="00F03D2F" w:rsidRDefault="00D200FC" w:rsidP="00D200FC">
      <w:pPr>
        <w:pStyle w:val="a0"/>
        <w:rPr>
          <w:kern w:val="0"/>
        </w:rPr>
      </w:pPr>
      <w:r w:rsidRPr="00D200FC">
        <w:rPr>
          <w:kern w:val="0"/>
        </w:rPr>
        <w:t>Keywords: Non-Carcinogenic Risk Assessment</w:t>
      </w:r>
      <w:r>
        <w:rPr>
          <w:kern w:val="0"/>
        </w:rPr>
        <w:t>,</w:t>
      </w:r>
      <w:r w:rsidRPr="00D200FC">
        <w:rPr>
          <w:kern w:val="0"/>
        </w:rPr>
        <w:t xml:space="preserve"> Metallic Element</w:t>
      </w:r>
      <w:r>
        <w:rPr>
          <w:kern w:val="0"/>
        </w:rPr>
        <w:t>,</w:t>
      </w:r>
      <w:r w:rsidRPr="00D200FC">
        <w:rPr>
          <w:kern w:val="0"/>
        </w:rPr>
        <w:t xml:space="preserve"> The Yangtze River</w:t>
      </w:r>
      <w:r>
        <w:rPr>
          <w:kern w:val="0"/>
        </w:rPr>
        <w:t>,</w:t>
      </w:r>
      <w:r w:rsidRPr="00D200FC">
        <w:rPr>
          <w:kern w:val="0"/>
        </w:rPr>
        <w:t xml:space="preserve"> Source Water</w:t>
      </w:r>
      <w:r>
        <w:rPr>
          <w:kern w:val="0"/>
        </w:rPr>
        <w:t>,</w:t>
      </w:r>
      <w:r w:rsidRPr="00D200FC">
        <w:rPr>
          <w:kern w:val="0"/>
        </w:rPr>
        <w:t xml:space="preserve"> Heavy-Metals</w:t>
      </w:r>
      <w:r>
        <w:rPr>
          <w:kern w:val="0"/>
        </w:rPr>
        <w:t>,</w:t>
      </w:r>
      <w:r w:rsidRPr="00D200FC">
        <w:rPr>
          <w:kern w:val="0"/>
        </w:rPr>
        <w:t xml:space="preserve"> China</w:t>
      </w:r>
      <w:r>
        <w:rPr>
          <w:kern w:val="0"/>
        </w:rPr>
        <w:t>,</w:t>
      </w:r>
      <w:r w:rsidRPr="00D200FC">
        <w:rPr>
          <w:kern w:val="0"/>
        </w:rPr>
        <w:t xml:space="preserve"> Sediments</w:t>
      </w:r>
      <w:r>
        <w:rPr>
          <w:kern w:val="0"/>
        </w:rPr>
        <w:t>,</w:t>
      </w:r>
      <w:r w:rsidRPr="00D200FC">
        <w:rPr>
          <w:kern w:val="0"/>
        </w:rPr>
        <w:t xml:space="preserve"> Pollution</w:t>
      </w:r>
      <w:r>
        <w:rPr>
          <w:kern w:val="0"/>
        </w:rPr>
        <w:t>,</w:t>
      </w:r>
      <w:r w:rsidRPr="00D200FC">
        <w:rPr>
          <w:kern w:val="0"/>
        </w:rPr>
        <w:t xml:space="preserve"> Contamination</w:t>
      </w:r>
      <w:r>
        <w:rPr>
          <w:kern w:val="0"/>
        </w:rPr>
        <w:t>,</w:t>
      </w:r>
      <w:r w:rsidRPr="00D200FC">
        <w:rPr>
          <w:kern w:val="0"/>
        </w:rPr>
        <w:t xml:space="preserve"> Estuary</w:t>
      </w:r>
      <w:r>
        <w:rPr>
          <w:kern w:val="0"/>
        </w:rPr>
        <w:t>,</w:t>
      </w:r>
      <w:r w:rsidRPr="00D200FC">
        <w:rPr>
          <w:kern w:val="0"/>
        </w:rPr>
        <w:t xml:space="preserve"> Health</w:t>
      </w:r>
      <w:r>
        <w:rPr>
          <w:kern w:val="0"/>
        </w:rPr>
        <w:t>, Lakes, Lead, Dam</w:t>
      </w:r>
    </w:p>
    <w:p w:rsidR="0040614B" w:rsidRDefault="0040614B" w:rsidP="0040614B">
      <w:pPr>
        <w:pStyle w:val="a0"/>
        <w:rPr>
          <w:kern w:val="0"/>
        </w:rPr>
      </w:pPr>
      <w:r>
        <w:rPr>
          <w:kern w:val="0"/>
        </w:rPr>
        <w:t xml:space="preserve">? </w:t>
      </w:r>
      <w:r>
        <w:t>H</w:t>
      </w:r>
      <w:r>
        <w:rPr>
          <w:rFonts w:hint="eastAsia"/>
        </w:rPr>
        <w:t>e</w:t>
      </w:r>
      <w:r w:rsidRPr="006E5C21">
        <w:t xml:space="preserve">, </w:t>
      </w:r>
      <w:r>
        <w:rPr>
          <w:rFonts w:hint="eastAsia"/>
        </w:rPr>
        <w:t xml:space="preserve">J., </w:t>
      </w:r>
      <w:r>
        <w:t>Hon</w:t>
      </w:r>
      <w:r>
        <w:rPr>
          <w:rFonts w:hint="eastAsia"/>
        </w:rPr>
        <w:t>g</w:t>
      </w:r>
      <w:r>
        <w:t xml:space="preserve">, </w:t>
      </w:r>
      <w:r>
        <w:rPr>
          <w:rFonts w:hint="eastAsia"/>
        </w:rPr>
        <w:t xml:space="preserve">S., </w:t>
      </w:r>
      <w:r w:rsidRPr="006E5C21">
        <w:t>Gan</w:t>
      </w:r>
      <w:r>
        <w:rPr>
          <w:rFonts w:hint="eastAsia"/>
        </w:rPr>
        <w:t>, F.X.,</w:t>
      </w:r>
      <w:r w:rsidRPr="006E67A2">
        <w:t xml:space="preserve"> </w:t>
      </w:r>
      <w:r w:rsidRPr="00DB30D6">
        <w:t>Zhang,</w:t>
      </w:r>
      <w:r>
        <w:rPr>
          <w:rFonts w:hint="eastAsia"/>
        </w:rPr>
        <w:t xml:space="preserve"> L.</w:t>
      </w:r>
      <w:r w:rsidR="00F81221">
        <w:t xml:space="preserve"> and </w:t>
      </w:r>
      <w:r w:rsidRPr="009B27B9">
        <w:t>Ho, Y.S.</w:t>
      </w:r>
      <w:r w:rsidRPr="0025572F">
        <w:t xml:space="preserve"> (20</w:t>
      </w:r>
      <w:r>
        <w:rPr>
          <w:rFonts w:hint="eastAsia"/>
        </w:rPr>
        <w:t>10</w:t>
      </w:r>
      <w:r w:rsidRPr="0025572F">
        <w:t xml:space="preserve">), </w:t>
      </w:r>
      <w:r w:rsidRPr="00057A97">
        <w:t>Equilibrium</w:t>
      </w:r>
      <w:r w:rsidR="00F81221">
        <w:t xml:space="preserve"> and </w:t>
      </w:r>
      <w:r w:rsidRPr="00057A97">
        <w:t xml:space="preserve">thermodynamic parameters of adsorption of Methylene blue onto </w:t>
      </w:r>
      <w:r>
        <w:t>rectorite</w:t>
      </w:r>
      <w:r w:rsidRPr="0025572F">
        <w:t>.</w:t>
      </w:r>
      <w:r>
        <w:rPr>
          <w:kern w:val="0"/>
        </w:rPr>
        <w:t xml:space="preserve"> </w:t>
      </w:r>
      <w:r>
        <w:rPr>
          <w:i/>
          <w:iCs/>
          <w:kern w:val="0"/>
        </w:rPr>
        <w:t>Fresenius Environmental Bulletin</w:t>
      </w:r>
      <w:r>
        <w:rPr>
          <w:kern w:val="0"/>
        </w:rPr>
        <w:t xml:space="preserve">, </w:t>
      </w:r>
      <w:r w:rsidR="009A5AE9">
        <w:rPr>
          <w:rFonts w:hint="eastAsia"/>
          <w:b/>
          <w:bCs/>
          <w:kern w:val="0"/>
        </w:rPr>
        <w:t>19</w:t>
      </w:r>
      <w:r>
        <w:rPr>
          <w:kern w:val="0"/>
        </w:rPr>
        <w:t xml:space="preserve"> (</w:t>
      </w:r>
      <w:r w:rsidR="009A5AE9">
        <w:rPr>
          <w:rFonts w:hint="eastAsia"/>
          <w:kern w:val="0"/>
        </w:rPr>
        <w:t>11A</w:t>
      </w:r>
      <w:r>
        <w:rPr>
          <w:kern w:val="0"/>
        </w:rPr>
        <w:t xml:space="preserve">), </w:t>
      </w:r>
      <w:r w:rsidR="009A5AE9">
        <w:rPr>
          <w:rFonts w:hint="eastAsia"/>
          <w:kern w:val="0"/>
        </w:rPr>
        <w:t>2651-2656.</w:t>
      </w:r>
    </w:p>
    <w:p w:rsidR="0040614B" w:rsidRDefault="0040614B" w:rsidP="0040614B">
      <w:pPr>
        <w:pStyle w:val="a0"/>
        <w:jc w:val="left"/>
      </w:pPr>
      <w:r w:rsidRPr="00F03D2F">
        <w:rPr>
          <w:kern w:val="0"/>
        </w:rPr>
        <w:t>Full Text:</w:t>
      </w:r>
      <w:r w:rsidR="009A5AE9">
        <w:rPr>
          <w:rFonts w:hint="eastAsia"/>
          <w:kern w:val="0"/>
        </w:rPr>
        <w:t xml:space="preserve"> </w:t>
      </w:r>
      <w:hyperlink r:id="rId187" w:history="1">
        <w:r w:rsidR="009A5AE9" w:rsidRPr="009A5AE9">
          <w:rPr>
            <w:rStyle w:val="a5"/>
            <w:kern w:val="0"/>
          </w:rPr>
          <w:t>2010\Fre Env Bul19, 2651.pdf</w:t>
        </w:r>
      </w:hyperlink>
      <w:r w:rsidR="009A5AE9">
        <w:rPr>
          <w:rFonts w:hint="eastAsia"/>
        </w:rPr>
        <w:t>;</w:t>
      </w:r>
      <w:r w:rsidRPr="00D7601C">
        <w:t xml:space="preserve"> </w:t>
      </w:r>
      <w:hyperlink r:id="rId188" w:history="1">
        <w:r w:rsidRPr="0040614B">
          <w:rPr>
            <w:rStyle w:val="a5"/>
          </w:rPr>
          <w:t>2010\Fre Env Bul-He.pdf</w:t>
        </w:r>
      </w:hyperlink>
    </w:p>
    <w:p w:rsidR="0040614B" w:rsidRDefault="0040614B" w:rsidP="0040614B">
      <w:pPr>
        <w:pStyle w:val="a0"/>
        <w:jc w:val="left"/>
      </w:pPr>
      <w:r w:rsidRPr="0077761F">
        <w:t xml:space="preserve">The effect of temperature on the equilibrium adsorption </w:t>
      </w:r>
      <w:r w:rsidRPr="0077761F">
        <w:rPr>
          <w:rFonts w:ascii="(Asiatische Schriftart verwende" w:hAnsi="(Asiatische Schriftart verwende"/>
          <w:spacing w:val="4"/>
        </w:rPr>
        <w:t>of methylene blue dye from aqueous solution</w:t>
      </w:r>
      <w:r w:rsidRPr="0077761F">
        <w:t xml:space="preserve"> using </w:t>
      </w:r>
      <w:r w:rsidRPr="0077761F">
        <w:rPr>
          <w:rFonts w:ascii="(Asiatische Schriftart verwende" w:hAnsi="(Asiatische Schriftart verwende"/>
          <w:spacing w:val="-2"/>
        </w:rPr>
        <w:t>rectorite was investigated. The equilibrium adsorption data</w:t>
      </w:r>
      <w:r w:rsidRPr="0077761F">
        <w:t xml:space="preserve"> </w:t>
      </w:r>
      <w:r w:rsidRPr="0077761F">
        <w:rPr>
          <w:rFonts w:ascii="(Asiatische Schriftart verwende" w:hAnsi="(Asiatische Schriftart verwende"/>
          <w:spacing w:val="-2"/>
        </w:rPr>
        <w:t>were analyzed using three widely applied isotherms; Langmuir, Freundlich,</w:t>
      </w:r>
      <w:r w:rsidR="00F81221">
        <w:rPr>
          <w:rFonts w:ascii="(Asiatische Schriftart verwende" w:hAnsi="(Asiatische Schriftart verwende"/>
          <w:spacing w:val="-2"/>
        </w:rPr>
        <w:t xml:space="preserve"> and </w:t>
      </w:r>
      <w:r w:rsidRPr="0077761F">
        <w:rPr>
          <w:rFonts w:ascii="(Asiatische Schriftart verwende" w:hAnsi="(Asiatische Schriftart verwende"/>
          <w:spacing w:val="-2"/>
        </w:rPr>
        <w:t>Redlich-Peterson isotherm. A non-linear</w:t>
      </w:r>
      <w:r w:rsidRPr="0077761F">
        <w:t xml:space="preserve"> method was used for comparing the best fitting of the isotherms. Best fits were found to be Redlich-Peterson isotherm. </w:t>
      </w:r>
      <w:r w:rsidRPr="0077761F">
        <w:lastRenderedPageBreak/>
        <w:t>Thermodynamic parameters, such as ∆</w:t>
      </w:r>
      <w:r w:rsidRPr="0077761F">
        <w:rPr>
          <w:i/>
          <w:iCs/>
        </w:rPr>
        <w:t>G</w:t>
      </w:r>
      <w:r w:rsidRPr="0077761F">
        <w:sym w:font="Symbol" w:char="F0B0"/>
      </w:r>
      <w:r w:rsidRPr="0077761F">
        <w:t>, ∆</w:t>
      </w:r>
      <w:r w:rsidRPr="0077761F">
        <w:rPr>
          <w:i/>
          <w:iCs/>
        </w:rPr>
        <w:t>H</w:t>
      </w:r>
      <w:r w:rsidRPr="0077761F">
        <w:sym w:font="Symbol" w:char="F0B0"/>
      </w:r>
      <w:r w:rsidRPr="0077761F">
        <w:t>,</w:t>
      </w:r>
      <w:r w:rsidR="00F81221">
        <w:t xml:space="preserve"> and </w:t>
      </w:r>
      <w:r w:rsidRPr="0077761F">
        <w:rPr>
          <w:rFonts w:ascii="(Asiatische Schriftart verwende" w:hAnsi="(Asiatische Schriftart verwende"/>
          <w:spacing w:val="4"/>
        </w:rPr>
        <w:t>∆</w:t>
      </w:r>
      <w:r w:rsidRPr="0077761F">
        <w:rPr>
          <w:rFonts w:ascii="(Asiatische Schriftart verwende" w:hAnsi="(Asiatische Schriftart verwende"/>
          <w:i/>
          <w:iCs/>
          <w:spacing w:val="4"/>
        </w:rPr>
        <w:t>S</w:t>
      </w:r>
      <w:r w:rsidRPr="0077761F">
        <w:rPr>
          <w:rFonts w:ascii="(Asiatische Schriftart verwende" w:hAnsi="(Asiatische Schriftart verwende"/>
          <w:spacing w:val="4"/>
        </w:rPr>
        <w:sym w:font="Symbol" w:char="F0B0"/>
      </w:r>
      <w:r w:rsidRPr="0077761F">
        <w:rPr>
          <w:rFonts w:ascii="(Asiatische Schriftart verwende" w:hAnsi="(Asiatische Schriftart verwende"/>
          <w:spacing w:val="4"/>
        </w:rPr>
        <w:t>, were calculated using adsorption equilibrium</w:t>
      </w:r>
      <w:r w:rsidRPr="0077761F">
        <w:t xml:space="preserve"> </w:t>
      </w:r>
      <w:r w:rsidRPr="0077761F">
        <w:rPr>
          <w:rFonts w:ascii="(Asiatische Schriftart verwende" w:hAnsi="(Asiatische Schriftart verwende"/>
          <w:spacing w:val="2"/>
        </w:rPr>
        <w:t>constant obtained from the Langmuir isotherm. Results</w:t>
      </w:r>
      <w:r w:rsidRPr="0077761F">
        <w:rPr>
          <w:rFonts w:ascii="(Asiatische Schriftart verwende" w:hAnsi="(Asiatische Schriftart verwende"/>
          <w:spacing w:val="-2"/>
        </w:rPr>
        <w:t xml:space="preserve"> suggested that the methylene blue adsorption on rectorite was</w:t>
      </w:r>
      <w:r w:rsidRPr="0077761F">
        <w:t xml:space="preserve"> a spontaneous</w:t>
      </w:r>
      <w:r w:rsidR="00F81221">
        <w:t xml:space="preserve"> and </w:t>
      </w:r>
      <w:r w:rsidRPr="0077761F">
        <w:t>endothermic process.</w:t>
      </w:r>
    </w:p>
    <w:p w:rsidR="00C7409C" w:rsidRPr="00F03D2F" w:rsidRDefault="00C7409C" w:rsidP="00C7409C">
      <w:pPr>
        <w:pStyle w:val="a0"/>
        <w:rPr>
          <w:kern w:val="0"/>
        </w:rPr>
      </w:pPr>
      <w:r>
        <w:t>Keywords: Sorption, Methylene Blue, Trial</w:t>
      </w:r>
      <w:r w:rsidR="00F81221">
        <w:t xml:space="preserve"> and </w:t>
      </w:r>
      <w:r>
        <w:t>Error Method Rectorite, Thermodynamic Parameters, Adsorbed Solution Theory, Aqueous-Solution, Sorption Isotherm, Activated Carbon, Basic Dye, Removal, Kinetics, Biosorption, Mechanism, Water</w:t>
      </w:r>
    </w:p>
    <w:p w:rsidR="00EC1474" w:rsidRDefault="00EC1474" w:rsidP="00EC1474">
      <w:pPr>
        <w:pStyle w:val="a0"/>
        <w:rPr>
          <w:kern w:val="0"/>
        </w:rPr>
      </w:pPr>
      <w:r>
        <w:rPr>
          <w:rFonts w:hint="eastAsia"/>
          <w:kern w:val="0"/>
        </w:rPr>
        <w:t xml:space="preserve">? </w:t>
      </w:r>
      <w:r>
        <w:rPr>
          <w:kern w:val="0"/>
        </w:rPr>
        <w:t>Hassanein, T.F.</w:t>
      </w:r>
      <w:r w:rsidR="00F81221">
        <w:rPr>
          <w:kern w:val="0"/>
        </w:rPr>
        <w:t xml:space="preserve"> and </w:t>
      </w:r>
      <w:r>
        <w:rPr>
          <w:kern w:val="0"/>
        </w:rPr>
        <w:t xml:space="preserve">Koumanova, B. (2010), Decolourisation of waters using </w:t>
      </w:r>
      <w:r w:rsidR="007C449E" w:rsidRPr="007C449E">
        <w:rPr>
          <w:i/>
          <w:kern w:val="0"/>
        </w:rPr>
        <w:t>Flax Shives</w:t>
      </w:r>
      <w:r>
        <w:rPr>
          <w:kern w:val="0"/>
        </w:rPr>
        <w:t xml:space="preserve"> wasted from agriculture. </w:t>
      </w:r>
      <w:r>
        <w:rPr>
          <w:i/>
          <w:iCs/>
          <w:kern w:val="0"/>
        </w:rPr>
        <w:t>Fresenius Environmental Bulletin</w:t>
      </w:r>
      <w:r>
        <w:rPr>
          <w:kern w:val="0"/>
        </w:rPr>
        <w:t xml:space="preserve">, </w:t>
      </w:r>
      <w:r>
        <w:rPr>
          <w:b/>
          <w:bCs/>
          <w:kern w:val="0"/>
        </w:rPr>
        <w:t>19</w:t>
      </w:r>
      <w:r>
        <w:rPr>
          <w:kern w:val="0"/>
        </w:rPr>
        <w:t xml:space="preserve"> (9), 1894-1905.</w:t>
      </w:r>
    </w:p>
    <w:p w:rsidR="00EC1474" w:rsidRPr="00F219CA" w:rsidRDefault="00EC1474" w:rsidP="00EC1474">
      <w:pPr>
        <w:pStyle w:val="a0"/>
        <w:rPr>
          <w:kern w:val="0"/>
        </w:rPr>
      </w:pPr>
      <w:r>
        <w:rPr>
          <w:rFonts w:hint="eastAsia"/>
          <w:kern w:val="0"/>
        </w:rPr>
        <w:t xml:space="preserve">Full Text: </w:t>
      </w:r>
      <w:hyperlink r:id="rId189" w:history="1">
        <w:r w:rsidR="007C449E" w:rsidRPr="007C449E">
          <w:rPr>
            <w:rStyle w:val="a5"/>
            <w:kern w:val="0"/>
          </w:rPr>
          <w:t>2010\Fre Env Bul19, 1894.pdf</w:t>
        </w:r>
      </w:hyperlink>
    </w:p>
    <w:p w:rsidR="00EC1474" w:rsidRDefault="00EC1474" w:rsidP="00EC1474">
      <w:pPr>
        <w:pStyle w:val="a0"/>
        <w:rPr>
          <w:kern w:val="0"/>
        </w:rPr>
      </w:pPr>
      <w:r>
        <w:rPr>
          <w:kern w:val="0"/>
        </w:rPr>
        <w:t>Abstract: Laboratory investigations for the potential usage of agricultural waste Flax shives as an adsorbent for water decolourisation were conducted in a batch sorption system. Flax (Linum usitatisimum) is a plant grown in Egypt consisting of long fibres used for linen production, the seeds for oil production,</w:t>
      </w:r>
      <w:r w:rsidR="00F81221">
        <w:rPr>
          <w:kern w:val="0"/>
        </w:rPr>
        <w:t xml:space="preserve"> and </w:t>
      </w:r>
      <w:r>
        <w:rPr>
          <w:kern w:val="0"/>
        </w:rPr>
        <w:t>short fibres (shives, a main fiber flax by-product) are wasted during the processing of flax stocks. The adsorption equilibrium using model aqueous solutions of Basic Yellow 21 has been studied. The experimental data fit Tempkin equation better than those of Langmuir</w:t>
      </w:r>
      <w:r w:rsidR="00F81221">
        <w:rPr>
          <w:kern w:val="0"/>
        </w:rPr>
        <w:t xml:space="preserve"> and </w:t>
      </w:r>
      <w:r>
        <w:rPr>
          <w:kern w:val="0"/>
        </w:rPr>
        <w:t>Freundlich. The adsorption capacity of the Flax shives for Basic Yellow 21 was found to be 76.92 mg/g. The adsorption kinetics with respect to the initial dye concentration, adsorbent mass</w:t>
      </w:r>
      <w:r w:rsidR="00F81221">
        <w:rPr>
          <w:kern w:val="0"/>
        </w:rPr>
        <w:t xml:space="preserve"> and </w:t>
      </w:r>
      <w:r>
        <w:rPr>
          <w:kern w:val="0"/>
        </w:rPr>
        <w:t>stirring rate was investigated. The pseudo-first order, pseudo-second order</w:t>
      </w:r>
      <w:r w:rsidR="00F81221">
        <w:rPr>
          <w:kern w:val="0"/>
        </w:rPr>
        <w:t xml:space="preserve"> and </w:t>
      </w:r>
      <w:r>
        <w:rPr>
          <w:kern w:val="0"/>
        </w:rPr>
        <w:t>intra-particle diffusion models were used to describe the kinetic data. The rate constants were also evaluated. The adsorption kinetics fit very well the second-order kinetic model. Sorption mechanism onto Flax shives was also discussed. The results obtained during this study revealed the possible usage of Flax shives as an alternative, low-cost adsorbent for decolourisation of wastewaters.</w:t>
      </w:r>
    </w:p>
    <w:p w:rsidR="00EC1474" w:rsidRDefault="00EC1474" w:rsidP="00EC1474">
      <w:pPr>
        <w:pStyle w:val="a0"/>
        <w:rPr>
          <w:kern w:val="0"/>
        </w:rPr>
      </w:pPr>
      <w:r>
        <w:rPr>
          <w:kern w:val="0"/>
        </w:rPr>
        <w:t>Keywords: Activated Carbon, Adsorbent, Adsorption, Adsorption, Adsorption Capacity, Adsorption Equilibrium, Adsorption Kinetics, Agricultural Waste, Aqueous Solutions, Aqueous-Solutions, Basic Dye, Basic Yellow 21, Batch, Capacity, Data, Decolourisation, Diffusion, Dye, Equilibrium, Equilibrium, Fiber, Flax Shives, Freundlich, Intra Particle Diffusion, Intra-Particle Diffusion, Intraparticle Diffusion, Kinetic, Kinetic Model, Kinetics, Kinetics, Langmuir, Low Cost Adsorbent, Low-Cost Adsorbent, Mechanism, Methylene-Blue, Model, Models, Production, Pseudo Second Order, Pseudo-Second Order, Pseudo-Second-Order, Reactive Dye, Removal, Second-Order, Si, Sorption, Sorption Mechanism, System, Water</w:t>
      </w:r>
    </w:p>
    <w:p w:rsidR="0053757F" w:rsidRDefault="0053757F" w:rsidP="0053757F">
      <w:pPr>
        <w:pStyle w:val="a0"/>
        <w:rPr>
          <w:kern w:val="0"/>
        </w:rPr>
      </w:pPr>
      <w:r>
        <w:rPr>
          <w:rFonts w:hint="eastAsia"/>
          <w:kern w:val="0"/>
        </w:rPr>
        <w:t xml:space="preserve">? </w:t>
      </w:r>
      <w:r>
        <w:rPr>
          <w:kern w:val="0"/>
        </w:rPr>
        <w:t>Wang, G.H., Luo, J.A., Wang, X.G., Huang, L.</w:t>
      </w:r>
      <w:r w:rsidR="00F81221">
        <w:rPr>
          <w:kern w:val="0"/>
        </w:rPr>
        <w:t xml:space="preserve"> and </w:t>
      </w:r>
      <w:r>
        <w:rPr>
          <w:kern w:val="0"/>
        </w:rPr>
        <w:t xml:space="preserve">Deng, N.S. (2010), Removal of atrazine from contaminated soils with glycine-beta-cyclodextrin. </w:t>
      </w:r>
      <w:r>
        <w:rPr>
          <w:i/>
          <w:iCs/>
          <w:kern w:val="0"/>
        </w:rPr>
        <w:t>Fresenius Environmental Bulletin</w:t>
      </w:r>
      <w:r>
        <w:rPr>
          <w:kern w:val="0"/>
        </w:rPr>
        <w:t xml:space="preserve">, </w:t>
      </w:r>
      <w:r>
        <w:rPr>
          <w:b/>
          <w:bCs/>
          <w:kern w:val="0"/>
        </w:rPr>
        <w:t>19</w:t>
      </w:r>
      <w:r>
        <w:rPr>
          <w:kern w:val="0"/>
        </w:rPr>
        <w:t xml:space="preserve"> (11), 2536-2542.</w:t>
      </w:r>
    </w:p>
    <w:p w:rsidR="0053757F" w:rsidRPr="00F219CA" w:rsidRDefault="0053757F" w:rsidP="0053757F">
      <w:pPr>
        <w:pStyle w:val="a0"/>
      </w:pPr>
      <w:r w:rsidRPr="00F219CA">
        <w:lastRenderedPageBreak/>
        <w:t xml:space="preserve">Full Text: </w:t>
      </w:r>
      <w:r w:rsidRPr="008D35F7">
        <w:t>20</w:t>
      </w:r>
      <w:r>
        <w:rPr>
          <w:rFonts w:hint="eastAsia"/>
        </w:rPr>
        <w:t>10</w:t>
      </w:r>
      <w:r w:rsidRPr="008D35F7">
        <w:t>\</w:t>
      </w:r>
      <w:r w:rsidRPr="00893609">
        <w:t>Fre Env Bul19, 2536</w:t>
      </w:r>
      <w:r w:rsidRPr="008D35F7">
        <w:t>.pdf</w:t>
      </w:r>
    </w:p>
    <w:p w:rsidR="0053757F" w:rsidRDefault="0053757F" w:rsidP="0053757F">
      <w:pPr>
        <w:pStyle w:val="a0"/>
        <w:rPr>
          <w:kern w:val="0"/>
        </w:rPr>
      </w:pPr>
      <w:r>
        <w:rPr>
          <w:kern w:val="0"/>
        </w:rPr>
        <w:t>Abstract: Beta-cyclodextrin (beta-CD) reacted with glycine in the presence of KOH</w:t>
      </w:r>
      <w:r w:rsidR="00F81221">
        <w:rPr>
          <w:kern w:val="0"/>
        </w:rPr>
        <w:t xml:space="preserve"> and </w:t>
      </w:r>
      <w:r>
        <w:rPr>
          <w:kern w:val="0"/>
        </w:rPr>
        <w:t>epichlorohydrin,</w:t>
      </w:r>
      <w:r w:rsidR="00F81221">
        <w:rPr>
          <w:kern w:val="0"/>
        </w:rPr>
        <w:t xml:space="preserve"> and </w:t>
      </w:r>
      <w:r>
        <w:rPr>
          <w:kern w:val="0"/>
        </w:rPr>
        <w:t>glycine-beta-cyclodextrin (G-beta-CD) with high water solubility was obtained</w:t>
      </w:r>
      <w:r w:rsidR="00F81221">
        <w:rPr>
          <w:kern w:val="0"/>
        </w:rPr>
        <w:t xml:space="preserve"> and </w:t>
      </w:r>
      <w:r>
        <w:rPr>
          <w:kern w:val="0"/>
        </w:rPr>
        <w:t>characterized with infrared spectra. The enhanced solubilization behavior of atrazine by G-beta-CD was studied,</w:t>
      </w:r>
      <w:r w:rsidR="00F81221">
        <w:rPr>
          <w:kern w:val="0"/>
        </w:rPr>
        <w:t xml:space="preserve"> and </w:t>
      </w:r>
      <w:r>
        <w:rPr>
          <w:kern w:val="0"/>
        </w:rPr>
        <w:t>the desorption behavior of atrazine from contaminated soil was also studied,</w:t>
      </w:r>
      <w:r w:rsidR="00F81221">
        <w:rPr>
          <w:kern w:val="0"/>
        </w:rPr>
        <w:t xml:space="preserve"> and </w:t>
      </w:r>
      <w:r>
        <w:rPr>
          <w:kern w:val="0"/>
        </w:rPr>
        <w:t>the influence factors on desorption of atrazine were investigated</w:t>
      </w:r>
      <w:r w:rsidR="00F81221">
        <w:rPr>
          <w:kern w:val="0"/>
        </w:rPr>
        <w:t xml:space="preserve"> and </w:t>
      </w:r>
      <w:r>
        <w:rPr>
          <w:kern w:val="0"/>
        </w:rPr>
        <w:t>described in details, such as pH initial concentration of G-beta-CD, temperature</w:t>
      </w:r>
      <w:r w:rsidR="00F81221">
        <w:rPr>
          <w:kern w:val="0"/>
        </w:rPr>
        <w:t xml:space="preserve"> and </w:t>
      </w:r>
      <w:r>
        <w:rPr>
          <w:kern w:val="0"/>
        </w:rPr>
        <w:t>CD type. The results showed that the solubilization capacity of G-beta-CD for atrazine is higher than that of beta-CD for atrazine, the G-beta-CD has obvious solubilization for atrazine,</w:t>
      </w:r>
      <w:r w:rsidR="00F81221">
        <w:rPr>
          <w:kern w:val="0"/>
        </w:rPr>
        <w:t xml:space="preserve"> and </w:t>
      </w:r>
      <w:r>
        <w:rPr>
          <w:kern w:val="0"/>
        </w:rPr>
        <w:t>the solubility of atrazine in 30g/L of G-beta-CD was enhanced about 4.2-fold. The removal efficiency of the G-beta-CD for atrazine in soil decreased with increasing pH. It was beneficial to the removal of atrazine in soil by raising temperature</w:t>
      </w:r>
      <w:r w:rsidR="00F81221">
        <w:rPr>
          <w:kern w:val="0"/>
        </w:rPr>
        <w:t xml:space="preserve"> and </w:t>
      </w:r>
      <w:r>
        <w:rPr>
          <w:kern w:val="0"/>
        </w:rPr>
        <w:t>initial concentration of G-beta-CD,</w:t>
      </w:r>
      <w:r w:rsidR="00F81221">
        <w:rPr>
          <w:kern w:val="0"/>
        </w:rPr>
        <w:t xml:space="preserve"> and </w:t>
      </w:r>
      <w:r>
        <w:rPr>
          <w:kern w:val="0"/>
        </w:rPr>
        <w:t>the removal efficiency of the G-beta-CD for atrazine in soil is higher than that of alpha-</w:t>
      </w:r>
      <w:r w:rsidR="00F81221">
        <w:rPr>
          <w:kern w:val="0"/>
        </w:rPr>
        <w:t xml:space="preserve"> and </w:t>
      </w:r>
      <w:r>
        <w:rPr>
          <w:kern w:val="0"/>
        </w:rPr>
        <w:t>beta-cyclodextrin for atrazine in soil. Desorption process of G-beta-CD for atrazine in soil followed the pseudo-second-order rate equation. The use of G-beta-CD as an extractant to enhance the removal of organic-contaminated soils appears as a promising remediation method.</w:t>
      </w:r>
    </w:p>
    <w:p w:rsidR="0053757F" w:rsidRDefault="0053757F" w:rsidP="0053757F">
      <w:pPr>
        <w:pStyle w:val="a0"/>
        <w:rPr>
          <w:kern w:val="0"/>
        </w:rPr>
      </w:pPr>
      <w:r>
        <w:rPr>
          <w:kern w:val="0"/>
        </w:rPr>
        <w:t>Keywords: Adsorption, Atrazine, Behavior, Beta-Cyclodextrin, Capacity, Cd, Concentration, Desorption, Efficiency, Enhanced Solubilization, Glycine-Beta-Cyclodextrin, Koh, Organic-Compounds, Ph, Pseudo Second Order, Pseudo-Second-Order, Pseudo-Second-Order Rate, Remediation, Removal, Removal Efficiency, Soil, Soil Remediation, Soils, Solubility, Solubilization, Surfactants, Temperature, Water</w:t>
      </w:r>
    </w:p>
    <w:p w:rsidR="0053757F" w:rsidRDefault="0053757F" w:rsidP="0053757F">
      <w:pPr>
        <w:pStyle w:val="a0"/>
        <w:rPr>
          <w:kern w:val="0"/>
        </w:rPr>
      </w:pPr>
      <w:r>
        <w:rPr>
          <w:rFonts w:hint="eastAsia"/>
          <w:kern w:val="0"/>
        </w:rPr>
        <w:t xml:space="preserve">? </w:t>
      </w:r>
      <w:r>
        <w:rPr>
          <w:kern w:val="0"/>
        </w:rPr>
        <w:t>Ding, L., Deng, H.P., Han, X., Dong, L., Wang, P.</w:t>
      </w:r>
      <w:r w:rsidR="00F81221">
        <w:rPr>
          <w:kern w:val="0"/>
        </w:rPr>
        <w:t xml:space="preserve"> and </w:t>
      </w:r>
      <w:r>
        <w:rPr>
          <w:kern w:val="0"/>
        </w:rPr>
        <w:t xml:space="preserve">de Ridder, D. (2010), Adsorption </w:t>
      </w:r>
      <w:r w:rsidR="002F4867">
        <w:rPr>
          <w:kern w:val="0"/>
        </w:rPr>
        <w:t>characteristics of phosphate from aqueous solutions by sponge iron: Isotherm, kinetics,</w:t>
      </w:r>
      <w:r w:rsidR="00F81221">
        <w:rPr>
          <w:kern w:val="0"/>
        </w:rPr>
        <w:t xml:space="preserve"> and </w:t>
      </w:r>
      <w:r w:rsidR="002F4867">
        <w:rPr>
          <w:kern w:val="0"/>
        </w:rPr>
        <w:t>thermodynamics stud</w:t>
      </w:r>
      <w:r>
        <w:rPr>
          <w:kern w:val="0"/>
        </w:rPr>
        <w:t xml:space="preserve">ies. </w:t>
      </w:r>
      <w:r>
        <w:rPr>
          <w:i/>
          <w:iCs/>
          <w:kern w:val="0"/>
        </w:rPr>
        <w:t>Fresenius Environmental Bulletin</w:t>
      </w:r>
      <w:r>
        <w:rPr>
          <w:kern w:val="0"/>
        </w:rPr>
        <w:t xml:space="preserve">, </w:t>
      </w:r>
      <w:r>
        <w:rPr>
          <w:b/>
          <w:bCs/>
          <w:kern w:val="0"/>
        </w:rPr>
        <w:t>19</w:t>
      </w:r>
      <w:r>
        <w:rPr>
          <w:kern w:val="0"/>
        </w:rPr>
        <w:t xml:space="preserve"> (11), 2548-2561.</w:t>
      </w:r>
    </w:p>
    <w:p w:rsidR="0053757F" w:rsidRPr="00F219CA" w:rsidRDefault="0053757F" w:rsidP="0053757F">
      <w:pPr>
        <w:pStyle w:val="a0"/>
      </w:pPr>
      <w:r w:rsidRPr="00F219CA">
        <w:t xml:space="preserve">Full Text: </w:t>
      </w:r>
      <w:hyperlink r:id="rId190" w:history="1">
        <w:r w:rsidR="004D339D" w:rsidRPr="004D339D">
          <w:rPr>
            <w:rStyle w:val="a5"/>
          </w:rPr>
          <w:t>2010\Fre Env Bul19, 2548.pdf</w:t>
        </w:r>
      </w:hyperlink>
    </w:p>
    <w:p w:rsidR="0053757F" w:rsidRDefault="0053757F" w:rsidP="0053757F">
      <w:pPr>
        <w:pStyle w:val="a0"/>
        <w:rPr>
          <w:kern w:val="0"/>
        </w:rPr>
      </w:pPr>
      <w:r>
        <w:rPr>
          <w:kern w:val="0"/>
        </w:rPr>
        <w:t>Abstract: In order to improve understanding of the mechanisms of phosphate removal by sponge iron, equilibrium</w:t>
      </w:r>
      <w:r w:rsidR="00F81221">
        <w:rPr>
          <w:kern w:val="0"/>
        </w:rPr>
        <w:t xml:space="preserve"> and </w:t>
      </w:r>
      <w:r>
        <w:rPr>
          <w:kern w:val="0"/>
        </w:rPr>
        <w:t>kinetic experiments were carried out in batch-scale. Five isotherm models, namely, Langmuir, Freundlich, Langmuir-Freundlich, Temkin</w:t>
      </w:r>
      <w:r w:rsidR="00F81221">
        <w:rPr>
          <w:kern w:val="0"/>
        </w:rPr>
        <w:t xml:space="preserve"> and </w:t>
      </w:r>
      <w:r>
        <w:rPr>
          <w:kern w:val="0"/>
        </w:rPr>
        <w:t>Dubinin-Radushkevich, are applied to lit the equilibrium data at 298 K. The results show both Freundlich</w:t>
      </w:r>
      <w:r w:rsidR="00F81221">
        <w:rPr>
          <w:kern w:val="0"/>
        </w:rPr>
        <w:t xml:space="preserve"> and </w:t>
      </w:r>
      <w:r>
        <w:rPr>
          <w:kern w:val="0"/>
        </w:rPr>
        <w:t>Langmuir-Freundlich can well describe the adsorption equilibrium. The kinetic data obtained in various conditions, such as varying particle size, initial pH of solution, initial phosphate concentration</w:t>
      </w:r>
      <w:r w:rsidR="00F81221">
        <w:rPr>
          <w:kern w:val="0"/>
        </w:rPr>
        <w:t xml:space="preserve"> and </w:t>
      </w:r>
      <w:r>
        <w:rPr>
          <w:kern w:val="0"/>
        </w:rPr>
        <w:t>temperature, are analyzed using the pseudo first-order, pseudo second-order, Elovich</w:t>
      </w:r>
      <w:r w:rsidR="00F81221">
        <w:rPr>
          <w:kern w:val="0"/>
        </w:rPr>
        <w:t xml:space="preserve"> and </w:t>
      </w:r>
      <w:r>
        <w:rPr>
          <w:kern w:val="0"/>
        </w:rPr>
        <w:t>Bangham</w:t>
      </w:r>
      <w:r w:rsidR="000352E7">
        <w:rPr>
          <w:kern w:val="0"/>
        </w:rPr>
        <w:t>’</w:t>
      </w:r>
      <w:r>
        <w:rPr>
          <w:kern w:val="0"/>
        </w:rPr>
        <w:t xml:space="preserve">s models. The results represent the pseudo second-order model can </w:t>
      </w:r>
      <w:r>
        <w:rPr>
          <w:kern w:val="0"/>
        </w:rPr>
        <w:lastRenderedPageBreak/>
        <w:t>give a good simulation for the process of phosphate adsorption on sponge iron, The thermodynamic parameters are evaluated. The results reflect the adsorption process of phosphate on sponge has different characteristics in different temperature ranges. The adsorption process is exothermic at low temperature conditions (288-298 K) whereas it is endothermic at high temperature stage (303-318 K). Besides, the negative ΔG(0), in the whole temperature range investigated, confirms the adsorption process is spontaneous. Therefore, the adsorption mechanisms of phosphate on sponge iron may be proposed that the physical sorption mainly takes place at low temperature but chemisorption may be dominant at high temperature.</w:t>
      </w:r>
    </w:p>
    <w:p w:rsidR="0053757F" w:rsidRDefault="0053757F" w:rsidP="0053757F">
      <w:pPr>
        <w:pStyle w:val="a0"/>
        <w:rPr>
          <w:kern w:val="0"/>
        </w:rPr>
      </w:pPr>
      <w:r>
        <w:rPr>
          <w:kern w:val="0"/>
        </w:rPr>
        <w:t xml:space="preserve">Keywords: Activated Carbon, Adsorption, Adsorption Equilibrium, Adsorption Mechanisms, Blast-Furnace Slag, Characteristics, Chemisorption, Concentration, Data, Elovich, Endothermic, Equilibrium, Exothermic, Experiments, First Order, Fly-Ash, Freundlich, Iron, Isotherm, Kinetic, Kinetics, Langmuir, Langmuir-Freundlich, Layered Double Hydroxides, Low Temperature, Mechanisms, Model, Models, Modified Diatomite, Particle Size, </w:t>
      </w:r>
      <w:r>
        <w:rPr>
          <w:rFonts w:hint="eastAsia"/>
          <w:kern w:val="0"/>
        </w:rPr>
        <w:t>p</w:t>
      </w:r>
      <w:r>
        <w:rPr>
          <w:kern w:val="0"/>
        </w:rPr>
        <w:t>H, Phosphate, Phosphate Adsorption, Phosphate Removal, Phosphorus Removal, Physical, Pseudo First Order, Pseudo First-Order, Pseudo Second Order, Pseudo Second-Order, Pseudo-First-Order, Pseudo-Second-Order, Red Mud, Removal, Second Order, Second-Order, Second-Order Model, Simulation, Size, Solution, Sorption, Sponge Iron, Temperature, Thermodynamic, Thermodynamic Parameters, Thermodynamics, Understanding, Waste-Water, Water Treatment Plants</w:t>
      </w:r>
    </w:p>
    <w:p w:rsidR="002F4867" w:rsidRDefault="002F4867" w:rsidP="002F4867">
      <w:pPr>
        <w:pStyle w:val="a0"/>
        <w:rPr>
          <w:kern w:val="0"/>
        </w:rPr>
      </w:pPr>
      <w:r>
        <w:rPr>
          <w:rFonts w:hint="eastAsia"/>
          <w:kern w:val="0"/>
        </w:rPr>
        <w:t xml:space="preserve">? </w:t>
      </w:r>
      <w:r>
        <w:rPr>
          <w:kern w:val="0"/>
        </w:rPr>
        <w:t>Duan, J.M., Wang, J.H., Zhang, B., Zhao, Y.F.</w:t>
      </w:r>
      <w:r w:rsidR="00F81221">
        <w:rPr>
          <w:kern w:val="0"/>
        </w:rPr>
        <w:t xml:space="preserve"> and </w:t>
      </w:r>
      <w:r>
        <w:rPr>
          <w:kern w:val="0"/>
        </w:rPr>
        <w:t xml:space="preserve">Liu, J.D. (2010), Cr(VI) adsorption on mercaptopropyl-functionalized halloysite nanotubes. </w:t>
      </w:r>
      <w:r>
        <w:rPr>
          <w:i/>
          <w:iCs/>
          <w:kern w:val="0"/>
        </w:rPr>
        <w:t>Fresenius Environmental Bulletin</w:t>
      </w:r>
      <w:r>
        <w:rPr>
          <w:kern w:val="0"/>
        </w:rPr>
        <w:t xml:space="preserve">, </w:t>
      </w:r>
      <w:r>
        <w:rPr>
          <w:b/>
          <w:bCs/>
          <w:kern w:val="0"/>
        </w:rPr>
        <w:t>19</w:t>
      </w:r>
      <w:r>
        <w:rPr>
          <w:kern w:val="0"/>
        </w:rPr>
        <w:t xml:space="preserve"> (12), 2783-2787.</w:t>
      </w:r>
    </w:p>
    <w:p w:rsidR="002F4867" w:rsidRPr="007D79E8" w:rsidRDefault="002F4867" w:rsidP="002F4867">
      <w:pPr>
        <w:pStyle w:val="a0"/>
        <w:rPr>
          <w:kern w:val="0"/>
        </w:rPr>
      </w:pPr>
      <w:r w:rsidRPr="007D79E8">
        <w:rPr>
          <w:kern w:val="0"/>
        </w:rPr>
        <w:t xml:space="preserve">Full Text: </w:t>
      </w:r>
      <w:r w:rsidR="00AA5993" w:rsidRPr="00BB509E">
        <w:rPr>
          <w:kern w:val="0"/>
        </w:rPr>
        <w:t>2010\Fre Env Bul19, 2783.pdf</w:t>
      </w:r>
    </w:p>
    <w:p w:rsidR="002F4867" w:rsidRDefault="002F4867" w:rsidP="002F4867">
      <w:pPr>
        <w:pStyle w:val="a0"/>
        <w:rPr>
          <w:kern w:val="0"/>
        </w:rPr>
      </w:pPr>
      <w:r>
        <w:rPr>
          <w:kern w:val="0"/>
        </w:rPr>
        <w:t>Abstract: The natural halloysite nanotubes (HNTs) were modified with gamma-mercaptopropyltrimethoxy silane (KH-590) to form a new adsorbent. The as-prepared adsorbent was characterized by FTIR spectra, thermogravimetric analysis</w:t>
      </w:r>
      <w:r w:rsidR="00F81221">
        <w:rPr>
          <w:kern w:val="0"/>
        </w:rPr>
        <w:t xml:space="preserve"> and </w:t>
      </w:r>
      <w:r>
        <w:rPr>
          <w:kern w:val="0"/>
        </w:rPr>
        <w:t>transmission electron microscopy. The results showed that mercaptopropyl was grafted successfully onto the nanotube surface. While the modified HNTs were used as adsorbent for Cr(VI) removal from its aqueous solution, kinetic studies showed that the rate of adsorption of Cr(VI) obeyed a pseudo-second-order kinetic model.</w:t>
      </w:r>
      <w:r w:rsidR="00F81221">
        <w:rPr>
          <w:kern w:val="0"/>
        </w:rPr>
        <w:t xml:space="preserve"> and </w:t>
      </w:r>
      <w:r>
        <w:rPr>
          <w:kern w:val="0"/>
        </w:rPr>
        <w:t>the adsorption data of Cr(VI) on the modified HNTs are well consistent with Langmuir model,</w:t>
      </w:r>
      <w:r w:rsidR="00F81221">
        <w:rPr>
          <w:kern w:val="0"/>
        </w:rPr>
        <w:t xml:space="preserve"> and </w:t>
      </w:r>
      <w:r>
        <w:rPr>
          <w:kern w:val="0"/>
        </w:rPr>
        <w:t>the maximum adsorption capacity of 2.79 mg/g can be deduced from the model.</w:t>
      </w:r>
    </w:p>
    <w:p w:rsidR="002F4867" w:rsidRDefault="002F4867" w:rsidP="002F4867">
      <w:pPr>
        <w:pStyle w:val="a0"/>
        <w:rPr>
          <w:kern w:val="0"/>
        </w:rPr>
      </w:pPr>
      <w:r>
        <w:rPr>
          <w:kern w:val="0"/>
        </w:rPr>
        <w:t xml:space="preserve">Keywords: Adsorbent, Adsorbents, Adsorption, Adsorption Capacity, Adsorption Isotherm, Adsorption Kinetic Studies, Analysis, Aqueous Solution, Aqueous-Solutions, Behavior, Bentonite, Capacity, Chromate, Chromium(VI), Cr(VI), Data, Electron Microscopy, FTIR, FTIR Spectra, Grafted, Halloysite </w:t>
      </w:r>
      <w:r>
        <w:rPr>
          <w:kern w:val="0"/>
        </w:rPr>
        <w:lastRenderedPageBreak/>
        <w:t>Nanotubes, Kinetic, Kinetic Model, Kinetic Studies, Langmuir, Langmuir Model, Metal-Cations, Model, Modified, Nanotube, Nanotubes, Natural, Pseudo Second Order, Pseudo-Second-Order, Pseudo-Second-Order Kinetic Model, Rectorite, Removal, Solution, Surface, Transmission, Waste-Water</w:t>
      </w:r>
    </w:p>
    <w:p w:rsidR="002F4867" w:rsidRDefault="002F4867" w:rsidP="002F4867">
      <w:pPr>
        <w:pStyle w:val="a0"/>
        <w:rPr>
          <w:kern w:val="0"/>
        </w:rPr>
      </w:pPr>
      <w:r>
        <w:rPr>
          <w:rFonts w:hint="eastAsia"/>
          <w:kern w:val="0"/>
        </w:rPr>
        <w:t xml:space="preserve">? </w:t>
      </w:r>
      <w:r>
        <w:rPr>
          <w:kern w:val="0"/>
        </w:rPr>
        <w:t>Chou, W.L., Wang, C.T.</w:t>
      </w:r>
      <w:r w:rsidR="00F81221">
        <w:rPr>
          <w:kern w:val="0"/>
        </w:rPr>
        <w:t xml:space="preserve"> and </w:t>
      </w:r>
      <w:r>
        <w:rPr>
          <w:kern w:val="0"/>
        </w:rPr>
        <w:t xml:space="preserve">Huang, Y.H. (2010), Removal of gallium ions from aqueous solutions using tea waste by adsorption. </w:t>
      </w:r>
      <w:r>
        <w:rPr>
          <w:i/>
          <w:iCs/>
          <w:kern w:val="0"/>
        </w:rPr>
        <w:t>Fresenius Environmental Bulletin</w:t>
      </w:r>
      <w:r>
        <w:rPr>
          <w:kern w:val="0"/>
        </w:rPr>
        <w:t xml:space="preserve">, </w:t>
      </w:r>
      <w:r>
        <w:rPr>
          <w:b/>
          <w:bCs/>
          <w:kern w:val="0"/>
        </w:rPr>
        <w:t>19</w:t>
      </w:r>
      <w:r>
        <w:rPr>
          <w:kern w:val="0"/>
        </w:rPr>
        <w:t xml:space="preserve"> (12), 2848-2856.</w:t>
      </w:r>
    </w:p>
    <w:p w:rsidR="002F4867" w:rsidRPr="007D79E8" w:rsidRDefault="002F4867" w:rsidP="002F4867">
      <w:pPr>
        <w:pStyle w:val="a0"/>
        <w:rPr>
          <w:kern w:val="0"/>
        </w:rPr>
      </w:pPr>
      <w:r w:rsidRPr="007D79E8">
        <w:rPr>
          <w:kern w:val="0"/>
        </w:rPr>
        <w:t>Full Text: 20</w:t>
      </w:r>
      <w:r w:rsidRPr="007D79E8">
        <w:rPr>
          <w:rFonts w:hint="eastAsia"/>
          <w:kern w:val="0"/>
        </w:rPr>
        <w:t>1</w:t>
      </w:r>
      <w:r>
        <w:rPr>
          <w:rFonts w:hint="eastAsia"/>
          <w:kern w:val="0"/>
        </w:rPr>
        <w:t>0</w:t>
      </w:r>
      <w:r w:rsidRPr="007D79E8">
        <w:rPr>
          <w:kern w:val="0"/>
        </w:rPr>
        <w:t>\</w:t>
      </w:r>
      <w:r w:rsidRPr="00516F1D">
        <w:rPr>
          <w:kern w:val="0"/>
        </w:rPr>
        <w:t xml:space="preserve">Fre Env Bul19, </w:t>
      </w:r>
      <w:r>
        <w:rPr>
          <w:kern w:val="0"/>
        </w:rPr>
        <w:t>2848</w:t>
      </w:r>
      <w:r w:rsidRPr="007D79E8">
        <w:rPr>
          <w:kern w:val="0"/>
        </w:rPr>
        <w:t>.pdf</w:t>
      </w:r>
    </w:p>
    <w:p w:rsidR="002F4867" w:rsidRDefault="002F4867" w:rsidP="002F4867">
      <w:pPr>
        <w:pStyle w:val="a0"/>
        <w:rPr>
          <w:kern w:val="0"/>
        </w:rPr>
      </w:pPr>
      <w:r>
        <w:rPr>
          <w:kern w:val="0"/>
        </w:rPr>
        <w:t>Abstract: This study used batch adsorption techniques to evaluate the potential suitability of tea waste as a low-cost adsorbent for the removal of gallium ions from aqueous solution. In addition, we also investigated the effects of process parameters, such as the initial concentration of gallium ions, adsorbent dose</w:t>
      </w:r>
      <w:r w:rsidR="00F81221">
        <w:rPr>
          <w:kern w:val="0"/>
        </w:rPr>
        <w:t xml:space="preserve"> and </w:t>
      </w:r>
      <w:r>
        <w:rPr>
          <w:kern w:val="0"/>
        </w:rPr>
        <w:t>temperature on adsorption performance. The experimental data were fitted with several adsorption isotherm models to describe the adsorption process of gallium ions onto the tea waste. The predictions of the Freundlich isotherm model satisfactorily matched the experimental observations. In addition, the kinetic data obtained at different initial concentrations were analyzed using pseudo-first-order</w:t>
      </w:r>
      <w:r w:rsidR="00F81221">
        <w:rPr>
          <w:kern w:val="0"/>
        </w:rPr>
        <w:t xml:space="preserve"> and </w:t>
      </w:r>
      <w:r>
        <w:rPr>
          <w:kern w:val="0"/>
        </w:rPr>
        <w:t>pseudo-second-order kinetic models. A pseudo-second-order model provided a good fit to the experimental results with correlation coefficients greater than 0.99. Thermodynamic parameters, including the Gibbs free energy, enthalpy,</w:t>
      </w:r>
      <w:r w:rsidR="00F81221">
        <w:rPr>
          <w:kern w:val="0"/>
        </w:rPr>
        <w:t xml:space="preserve"> and </w:t>
      </w:r>
      <w:r>
        <w:rPr>
          <w:kern w:val="0"/>
        </w:rPr>
        <w:t>entropy, indicated that the gallium adsorption of aqueous solutions onto tea waste was feasible, spontaneous</w:t>
      </w:r>
      <w:r w:rsidR="00F81221">
        <w:rPr>
          <w:kern w:val="0"/>
        </w:rPr>
        <w:t xml:space="preserve"> and </w:t>
      </w:r>
      <w:r>
        <w:rPr>
          <w:kern w:val="0"/>
        </w:rPr>
        <w:t>endothermic in the temperature range of 288 K to 318K. This study indicated that tea waste could be used as an effective</w:t>
      </w:r>
      <w:r w:rsidR="00F81221">
        <w:rPr>
          <w:kern w:val="0"/>
        </w:rPr>
        <w:t xml:space="preserve"> and </w:t>
      </w:r>
      <w:r>
        <w:rPr>
          <w:kern w:val="0"/>
        </w:rPr>
        <w:t>environmentally friendly adsorbent for the treatment of gallium-containing aqueous solutions.</w:t>
      </w:r>
    </w:p>
    <w:p w:rsidR="002F4867" w:rsidRDefault="002F4867" w:rsidP="002F4867">
      <w:pPr>
        <w:pStyle w:val="a0"/>
        <w:rPr>
          <w:kern w:val="0"/>
        </w:rPr>
      </w:pPr>
      <w:r>
        <w:rPr>
          <w:kern w:val="0"/>
        </w:rPr>
        <w:t>Keywords: Adsorbent, Adsorbent Dose, Adsorbents, Adsorption, Adsorption Isotherm, Adsorption Isotherm Models, Adsorption Performance, Aqueous Solution, Aqueous Solutions, Batch, Batch Adsorption, Biosorption, Cadmium, Complexation, Concentration, Correlation, Data, Endothermic, Energy, Enthalpy, Entropy, Environmentally Friendly, Equilibrium, Experimental, Extraction, Factory Waste, Freundlich, Freundlich Isotherm, Freundlich Isotherm Model, Gallium, Gallium Ions, Gibbs Free Energy, Ions, Isotherm, Isotherm Model, Isotherms, Kinetic, Kinetic Models, Kinetics, Low Cost, Low Cost Adsorbent, Low-Cost Adsorbent, Metal-Ions, Model, Models, Performance, Potential, Predictions, Pseudo First Order, Pseudo Second Order, Pseudo-First-Order, Pseudo-Second-Order, Pseudo-Second-Order Model, Removal, Solution, Solutions, Sorption, Tea Waste, Techniques, Temperature, Thermodynamic, Thermodynamic Parameters, Thermodynamics, Treatment, Waste, Water</w:t>
      </w:r>
    </w:p>
    <w:p w:rsidR="002F4867" w:rsidRDefault="002F4867" w:rsidP="002F4867">
      <w:pPr>
        <w:pStyle w:val="a0"/>
        <w:rPr>
          <w:kern w:val="0"/>
        </w:rPr>
      </w:pPr>
      <w:r>
        <w:rPr>
          <w:rFonts w:hint="eastAsia"/>
          <w:kern w:val="0"/>
        </w:rPr>
        <w:t xml:space="preserve">? </w:t>
      </w:r>
      <w:r>
        <w:rPr>
          <w:kern w:val="0"/>
        </w:rPr>
        <w:t xml:space="preserve">Netzahuatl-Munoz, A.R., </w:t>
      </w:r>
      <w:r w:rsidR="007E3FEC">
        <w:rPr>
          <w:rFonts w:hint="eastAsia"/>
          <w:kern w:val="0"/>
        </w:rPr>
        <w:t>A</w:t>
      </w:r>
      <w:r>
        <w:rPr>
          <w:kern w:val="0"/>
        </w:rPr>
        <w:t>randa-Garcia, E., Cristiani-Urbina, M.D., Barragan-Huerta, B.E., Villegas-Garrido, T.L.</w:t>
      </w:r>
      <w:r w:rsidR="00F81221">
        <w:rPr>
          <w:kern w:val="0"/>
        </w:rPr>
        <w:t xml:space="preserve"> and </w:t>
      </w:r>
      <w:r>
        <w:rPr>
          <w:kern w:val="0"/>
        </w:rPr>
        <w:t>Cristiani-Urbina, E. (2010), Removal of hexavalent</w:t>
      </w:r>
      <w:r w:rsidR="00F81221">
        <w:rPr>
          <w:kern w:val="0"/>
        </w:rPr>
        <w:t xml:space="preserve"> </w:t>
      </w:r>
      <w:r w:rsidR="00F81221">
        <w:rPr>
          <w:kern w:val="0"/>
        </w:rPr>
        <w:lastRenderedPageBreak/>
        <w:t xml:space="preserve">and </w:t>
      </w:r>
      <w:r>
        <w:rPr>
          <w:kern w:val="0"/>
        </w:rPr>
        <w:t xml:space="preserve">total chromium from aqueous solutions by </w:t>
      </w:r>
      <w:r w:rsidR="00205E99" w:rsidRPr="00205E99">
        <w:rPr>
          <w:i/>
          <w:kern w:val="0"/>
        </w:rPr>
        <w:t xml:space="preserve">Schinus </w:t>
      </w:r>
      <w:r w:rsidRPr="00205E99">
        <w:rPr>
          <w:i/>
          <w:kern w:val="0"/>
        </w:rPr>
        <w:t>molle</w:t>
      </w:r>
      <w:r>
        <w:rPr>
          <w:kern w:val="0"/>
        </w:rPr>
        <w:t xml:space="preserve"> bark. </w:t>
      </w:r>
      <w:r>
        <w:rPr>
          <w:i/>
          <w:iCs/>
          <w:kern w:val="0"/>
        </w:rPr>
        <w:t>Fresenius Environmental Bulletin</w:t>
      </w:r>
      <w:r>
        <w:rPr>
          <w:kern w:val="0"/>
        </w:rPr>
        <w:t xml:space="preserve">, </w:t>
      </w:r>
      <w:r>
        <w:rPr>
          <w:b/>
          <w:bCs/>
          <w:kern w:val="0"/>
        </w:rPr>
        <w:t>19</w:t>
      </w:r>
      <w:r>
        <w:rPr>
          <w:kern w:val="0"/>
        </w:rPr>
        <w:t xml:space="preserve"> (12), 2911-2918.</w:t>
      </w:r>
    </w:p>
    <w:p w:rsidR="002F4867" w:rsidRPr="007D79E8" w:rsidRDefault="002F4867" w:rsidP="002F4867">
      <w:pPr>
        <w:pStyle w:val="a0"/>
        <w:rPr>
          <w:kern w:val="0"/>
        </w:rPr>
      </w:pPr>
      <w:r w:rsidRPr="007D79E8">
        <w:rPr>
          <w:kern w:val="0"/>
        </w:rPr>
        <w:t xml:space="preserve">Full Text: </w:t>
      </w:r>
      <w:hyperlink r:id="rId191" w:history="1">
        <w:r w:rsidR="00205E99" w:rsidRPr="00205E99">
          <w:rPr>
            <w:rStyle w:val="a5"/>
            <w:kern w:val="0"/>
          </w:rPr>
          <w:t>2010\Fre Env Bul19, 2911.pdf</w:t>
        </w:r>
      </w:hyperlink>
    </w:p>
    <w:p w:rsidR="002F4867" w:rsidRDefault="002F4867" w:rsidP="002F4867">
      <w:pPr>
        <w:pStyle w:val="a0"/>
        <w:rPr>
          <w:kern w:val="0"/>
        </w:rPr>
      </w:pPr>
      <w:r>
        <w:rPr>
          <w:kern w:val="0"/>
        </w:rPr>
        <w:t>Abstract: The main purpose of this work was to evaluate the potential of Schinus molle bark to remove hexavalent chromium [Cr(VI)]</w:t>
      </w:r>
      <w:r w:rsidR="00F81221">
        <w:rPr>
          <w:kern w:val="0"/>
        </w:rPr>
        <w:t xml:space="preserve"> and </w:t>
      </w:r>
      <w:r>
        <w:rPr>
          <w:kern w:val="0"/>
        </w:rPr>
        <w:t>total chromium from aqueous solutions. Results showed that Schinus molle bark removed Cr(VI) by two different mechanisms: chromium biosorption</w:t>
      </w:r>
      <w:r w:rsidR="00F81221">
        <w:rPr>
          <w:kern w:val="0"/>
        </w:rPr>
        <w:t xml:space="preserve"> and </w:t>
      </w:r>
      <w:r>
        <w:rPr>
          <w:kern w:val="0"/>
        </w:rPr>
        <w:t>bioreduction of Cr(VI) to Cr(III). The capacity for removing Cr(VI)</w:t>
      </w:r>
      <w:r w:rsidR="00F81221">
        <w:rPr>
          <w:kern w:val="0"/>
        </w:rPr>
        <w:t xml:space="preserve"> and </w:t>
      </w:r>
      <w:r>
        <w:rPr>
          <w:kern w:val="0"/>
        </w:rPr>
        <w:t>total chromium gradually increased as the contact time proceeded, reaching values of 97.56</w:t>
      </w:r>
      <w:r w:rsidR="00F81221">
        <w:rPr>
          <w:kern w:val="0"/>
        </w:rPr>
        <w:t xml:space="preserve"> and </w:t>
      </w:r>
      <w:r>
        <w:rPr>
          <w:kern w:val="0"/>
        </w:rPr>
        <w:t>73.18 mg g</w:t>
      </w:r>
      <w:r>
        <w:rPr>
          <w:rFonts w:hint="eastAsia"/>
          <w:kern w:val="0"/>
          <w:vertAlign w:val="superscript"/>
        </w:rPr>
        <w:t>-1</w:t>
      </w:r>
      <w:r>
        <w:rPr>
          <w:kern w:val="0"/>
        </w:rPr>
        <w:t xml:space="preserve"> respectively, after 120 h. The opposite behavior was observed concerning the volumetric rates of Cr(VI)</w:t>
      </w:r>
      <w:r w:rsidR="00F81221">
        <w:rPr>
          <w:kern w:val="0"/>
        </w:rPr>
        <w:t xml:space="preserve"> and </w:t>
      </w:r>
      <w:r>
        <w:rPr>
          <w:kern w:val="0"/>
        </w:rPr>
        <w:t>total chromium removal. The pseudo-second order model adequately described the kinetic process of chromium biosorption by Schinus molle bark, which suggests that this process chiefly occurs as a result of chemisorption.</w:t>
      </w:r>
    </w:p>
    <w:p w:rsidR="002F4867" w:rsidRDefault="002F4867" w:rsidP="002F4867">
      <w:pPr>
        <w:pStyle w:val="a0"/>
        <w:rPr>
          <w:kern w:val="0"/>
        </w:rPr>
      </w:pPr>
      <w:r>
        <w:rPr>
          <w:kern w:val="0"/>
        </w:rPr>
        <w:t xml:space="preserve">Keywords: Adsorption, Aqueous Solutions, </w:t>
      </w:r>
      <w:r w:rsidRPr="00CB50CD">
        <w:rPr>
          <w:i/>
          <w:kern w:val="0"/>
        </w:rPr>
        <w:t>Aspergillus-niger</w:t>
      </w:r>
      <w:r>
        <w:rPr>
          <w:kern w:val="0"/>
        </w:rPr>
        <w:t xml:space="preserve">, Bark, Behavior, Bioreduction, Biosorption, Biosorption, Capacity, Chemisorption, Chromium, Chromium Removal, Cone Biomass, Cr(III), Cr(VI), Cr(VI) Reduction, Dead Fungal Biomass, Heavy-Metals, Hexavalent Chromium, Hexavalent Chromium [Cr(VI)], Kinetic, Mechanism, Mechanisms, Model, </w:t>
      </w:r>
      <w:r w:rsidRPr="00267CB9">
        <w:rPr>
          <w:i/>
          <w:kern w:val="0"/>
        </w:rPr>
        <w:t>Pinus-sylvestris</w:t>
      </w:r>
      <w:r>
        <w:rPr>
          <w:kern w:val="0"/>
        </w:rPr>
        <w:t>, Potential, Pseudo Second Order, Pseudo-Second Order, Pseudo-Second Order Model, Pseudo-Second-Order, Purpose, Rates, Removal, Schinus Molle Bark, Solutions, Sorption, Total Chromium, Work</w:t>
      </w:r>
    </w:p>
    <w:p w:rsidR="0086551D" w:rsidRDefault="0086551D" w:rsidP="0086551D">
      <w:pPr>
        <w:pStyle w:val="a0"/>
        <w:rPr>
          <w:kern w:val="0"/>
        </w:rPr>
      </w:pPr>
      <w:r>
        <w:rPr>
          <w:kern w:val="0"/>
        </w:rPr>
        <w:t>? Karaoglu, M.H.</w:t>
      </w:r>
      <w:r w:rsidR="00F81221">
        <w:rPr>
          <w:kern w:val="0"/>
        </w:rPr>
        <w:t xml:space="preserve"> and </w:t>
      </w:r>
      <w:r>
        <w:rPr>
          <w:kern w:val="0"/>
        </w:rPr>
        <w:t>Ugurlu, M. (2010), Kinetic</w:t>
      </w:r>
      <w:r w:rsidR="00F81221">
        <w:rPr>
          <w:kern w:val="0"/>
        </w:rPr>
        <w:t xml:space="preserve"> and </w:t>
      </w:r>
      <w:r>
        <w:rPr>
          <w:kern w:val="0"/>
        </w:rPr>
        <w:t xml:space="preserve">equilibrium studies of </w:t>
      </w:r>
      <w:r w:rsidR="007E3FEC">
        <w:rPr>
          <w:kern w:val="0"/>
        </w:rPr>
        <w:t xml:space="preserve">Methylene </w:t>
      </w:r>
      <w:r>
        <w:rPr>
          <w:kern w:val="0"/>
        </w:rPr>
        <w:t xml:space="preserve">blue biosorption by vineyard pruning waste. </w:t>
      </w:r>
      <w:r>
        <w:rPr>
          <w:i/>
          <w:iCs/>
          <w:kern w:val="0"/>
        </w:rPr>
        <w:t>Fresenius Environmental Bulletin</w:t>
      </w:r>
      <w:r>
        <w:rPr>
          <w:kern w:val="0"/>
        </w:rPr>
        <w:t xml:space="preserve">, </w:t>
      </w:r>
      <w:r>
        <w:rPr>
          <w:b/>
          <w:bCs/>
          <w:kern w:val="0"/>
        </w:rPr>
        <w:t>19</w:t>
      </w:r>
      <w:r>
        <w:rPr>
          <w:kern w:val="0"/>
        </w:rPr>
        <w:t xml:space="preserve"> (12B), 3199-3208.</w:t>
      </w:r>
    </w:p>
    <w:p w:rsidR="0086551D" w:rsidRDefault="0086551D" w:rsidP="0086551D">
      <w:pPr>
        <w:pStyle w:val="a0"/>
        <w:rPr>
          <w:kern w:val="0"/>
        </w:rPr>
      </w:pPr>
      <w:r w:rsidRPr="007D79E8">
        <w:rPr>
          <w:kern w:val="0"/>
        </w:rPr>
        <w:t>Full Text:</w:t>
      </w:r>
      <w:r>
        <w:rPr>
          <w:kern w:val="0"/>
        </w:rPr>
        <w:t xml:space="preserve"> </w:t>
      </w:r>
      <w:r w:rsidRPr="00B66459">
        <w:rPr>
          <w:kern w:val="0"/>
        </w:rPr>
        <w:t>2010\Fre Env Bul19, 3199.pdf</w:t>
      </w:r>
    </w:p>
    <w:p w:rsidR="0086551D" w:rsidRDefault="0086551D" w:rsidP="0086551D">
      <w:pPr>
        <w:pStyle w:val="a0"/>
        <w:rPr>
          <w:kern w:val="0"/>
        </w:rPr>
      </w:pPr>
      <w:r>
        <w:rPr>
          <w:kern w:val="0"/>
        </w:rPr>
        <w:t>Abstract: Adsorption studies were conducted to measure the removal of methylene blue (MB) from aqueous solution on vineyard pruning waste (VPW) under varying experimental conditions, such as different pH values, initial concentrations, adsorbent dosages, ionic strength</w:t>
      </w:r>
      <w:r w:rsidR="00F81221">
        <w:rPr>
          <w:kern w:val="0"/>
        </w:rPr>
        <w:t xml:space="preserve"> and </w:t>
      </w:r>
      <w:r>
        <w:rPr>
          <w:kern w:val="0"/>
        </w:rPr>
        <w:t>temperatures. The adsorption amount increased with increasing pH from 3.0 to 11.0,</w:t>
      </w:r>
      <w:r w:rsidR="00F81221">
        <w:rPr>
          <w:kern w:val="0"/>
        </w:rPr>
        <w:t xml:space="preserve"> and </w:t>
      </w:r>
      <w:r>
        <w:rPr>
          <w:kern w:val="0"/>
        </w:rPr>
        <w:t>it was seen that the increase in ionic strength resulted in a decrease of adsorption amount. VPW exhibited the highest MB uptake capacity of 46.082 mg g(-1) at 298 K</w:t>
      </w:r>
      <w:r w:rsidR="00F81221">
        <w:rPr>
          <w:kern w:val="0"/>
        </w:rPr>
        <w:t xml:space="preserve"> and </w:t>
      </w:r>
      <w:r>
        <w:rPr>
          <w:kern w:val="0"/>
        </w:rPr>
        <w:t>natural pH. Kinetic studies were fitted to the pseudo-second-order kinetic model (R-2: 0.999). But, the first order kinetic model (R-2 &lt; 0.960)</w:t>
      </w:r>
      <w:r w:rsidR="00F81221">
        <w:rPr>
          <w:kern w:val="0"/>
        </w:rPr>
        <w:t xml:space="preserve"> and </w:t>
      </w:r>
      <w:r>
        <w:rPr>
          <w:kern w:val="0"/>
        </w:rPr>
        <w:t>intra-particle model (R-2 &lt; 0.973) did not adequately fit to experimental values. The diffusion coefficient values calculated for MB were in the range of 3.48x10(-9) to 38.10x10(-9) cm(2)s(-1). The equilibrium adsorption data were interpreted using Langmuir</w:t>
      </w:r>
      <w:r w:rsidR="00F81221">
        <w:rPr>
          <w:kern w:val="0"/>
        </w:rPr>
        <w:t xml:space="preserve"> and </w:t>
      </w:r>
      <w:r>
        <w:rPr>
          <w:kern w:val="0"/>
        </w:rPr>
        <w:t>Freundlich models,</w:t>
      </w:r>
      <w:r w:rsidR="00F81221">
        <w:rPr>
          <w:kern w:val="0"/>
        </w:rPr>
        <w:t xml:space="preserve"> and </w:t>
      </w:r>
      <w:r>
        <w:rPr>
          <w:kern w:val="0"/>
        </w:rPr>
        <w:t xml:space="preserve">the adsorption of MB on VPW was better represented by the Langmuir (R-2 &gt; 0.990) than Freundlich (R-2 &lt; 0.844) equation. Thermodynamic parameters; standard </w:t>
      </w:r>
      <w:r>
        <w:rPr>
          <w:kern w:val="0"/>
        </w:rPr>
        <w:lastRenderedPageBreak/>
        <w:t>enthalpy (ΔHº), standard entropy (ΔSº)</w:t>
      </w:r>
      <w:r w:rsidR="00F81221">
        <w:rPr>
          <w:kern w:val="0"/>
        </w:rPr>
        <w:t xml:space="preserve"> and </w:t>
      </w:r>
      <w:r>
        <w:rPr>
          <w:kern w:val="0"/>
        </w:rPr>
        <w:t>standard free energy (ΔGº) were found to be -7,638 kJmol(-1)</w:t>
      </w:r>
      <w:r w:rsidR="00F81221">
        <w:rPr>
          <w:kern w:val="0"/>
        </w:rPr>
        <w:t xml:space="preserve"> and </w:t>
      </w:r>
      <w:r>
        <w:rPr>
          <w:kern w:val="0"/>
        </w:rPr>
        <w:t>-280.83 jmol(-1)K(-1),</w:t>
      </w:r>
      <w:r w:rsidR="00F81221">
        <w:rPr>
          <w:kern w:val="0"/>
        </w:rPr>
        <w:t xml:space="preserve"> and </w:t>
      </w:r>
      <w:r>
        <w:rPr>
          <w:kern w:val="0"/>
        </w:rPr>
        <w:t>78.86 kJmol(-1), respectively. VPW was characterized by FTIR</w:t>
      </w:r>
      <w:r w:rsidR="00F81221">
        <w:rPr>
          <w:kern w:val="0"/>
        </w:rPr>
        <w:t xml:space="preserve"> and </w:t>
      </w:r>
      <w:r>
        <w:rPr>
          <w:kern w:val="0"/>
        </w:rPr>
        <w:t>scanning electron microscopy (SEM).</w:t>
      </w:r>
    </w:p>
    <w:p w:rsidR="0086551D" w:rsidRDefault="0086551D" w:rsidP="0086551D">
      <w:pPr>
        <w:pStyle w:val="a0"/>
        <w:rPr>
          <w:kern w:val="0"/>
        </w:rPr>
      </w:pPr>
      <w:r>
        <w:rPr>
          <w:kern w:val="0"/>
        </w:rPr>
        <w:t>Keywords: Adsorbents, Adsorption, Aqueous-Solutions, Biosorbent, Biosorption, Dye, Equilibrium, Fly-Ash, Freundlich, FTIR, Kaolinite, Kinetic, Kinetic Model, Kinetics, Langmuir, Leaf Powder, Methylene Blue, Mill Effluent, pH, Recovery, Removal, Sorption, Thermodynamic, Thermodynamic Parameters, Vineyard Pruning Waste</w:t>
      </w:r>
    </w:p>
    <w:p w:rsidR="0038783C" w:rsidRDefault="0038783C" w:rsidP="0038783C">
      <w:pPr>
        <w:pStyle w:val="a0"/>
        <w:rPr>
          <w:kern w:val="0"/>
        </w:rPr>
      </w:pPr>
      <w:r>
        <w:rPr>
          <w:rFonts w:hint="eastAsia"/>
          <w:kern w:val="0"/>
        </w:rPr>
        <w:t xml:space="preserve">? </w:t>
      </w:r>
      <w:r>
        <w:rPr>
          <w:kern w:val="0"/>
        </w:rPr>
        <w:t>Gao, J.F., Wang, J.H., Wu, X.L., Zhang, Q.A.</w:t>
      </w:r>
      <w:r w:rsidR="00F81221">
        <w:rPr>
          <w:kern w:val="0"/>
        </w:rPr>
        <w:t xml:space="preserve"> and </w:t>
      </w:r>
      <w:r>
        <w:rPr>
          <w:kern w:val="0"/>
        </w:rPr>
        <w:t xml:space="preserve">Peng, Y.Z. (2011), Protonated spent mushroom substrate as a potential low-cost biosorbent for the removal of reactive red 15 from aqueous solutions. </w:t>
      </w:r>
      <w:r>
        <w:rPr>
          <w:i/>
          <w:iCs/>
          <w:kern w:val="0"/>
        </w:rPr>
        <w:t>Fresenius Environmental Bulletin</w:t>
      </w:r>
      <w:r>
        <w:rPr>
          <w:kern w:val="0"/>
        </w:rPr>
        <w:t xml:space="preserve">, </w:t>
      </w:r>
      <w:r>
        <w:rPr>
          <w:b/>
          <w:bCs/>
          <w:kern w:val="0"/>
        </w:rPr>
        <w:t>20</w:t>
      </w:r>
      <w:r>
        <w:rPr>
          <w:kern w:val="0"/>
        </w:rPr>
        <w:t xml:space="preserve"> (1), 51-62.</w:t>
      </w:r>
    </w:p>
    <w:p w:rsidR="0038783C" w:rsidRPr="007D79E8" w:rsidRDefault="0038783C" w:rsidP="0038783C">
      <w:pPr>
        <w:pStyle w:val="a0"/>
        <w:rPr>
          <w:kern w:val="0"/>
        </w:rPr>
      </w:pPr>
      <w:r w:rsidRPr="007D79E8">
        <w:rPr>
          <w:kern w:val="0"/>
        </w:rPr>
        <w:t xml:space="preserve">Full Text: </w:t>
      </w:r>
      <w:hyperlink r:id="rId192" w:history="1">
        <w:r w:rsidR="001C5EC9" w:rsidRPr="001C5EC9">
          <w:rPr>
            <w:rStyle w:val="a5"/>
            <w:kern w:val="0"/>
          </w:rPr>
          <w:t>2011\Fre Env Bul20, 51.pdf</w:t>
        </w:r>
      </w:hyperlink>
    </w:p>
    <w:p w:rsidR="0038783C" w:rsidRDefault="0038783C" w:rsidP="0038783C">
      <w:pPr>
        <w:pStyle w:val="a0"/>
        <w:rPr>
          <w:kern w:val="0"/>
        </w:rPr>
      </w:pPr>
      <w:r>
        <w:rPr>
          <w:kern w:val="0"/>
        </w:rPr>
        <w:t>Abstract: This study aimed at determining the feasibility of using protonated spent mushroom substrate (PSMS), an abundant agricultural waste in China, as a low cost biosorbent for the removal of Reactive Red 15 (RR15) from aqueous solutions. Batch biosorption studies were conducted to evaluate the effects of pH value, biosorbent dosage, initial dye concentration</w:t>
      </w:r>
      <w:r w:rsidR="00F81221">
        <w:rPr>
          <w:kern w:val="0"/>
        </w:rPr>
        <w:t xml:space="preserve"> and </w:t>
      </w:r>
      <w:r>
        <w:rPr>
          <w:kern w:val="0"/>
        </w:rPr>
        <w:t>contact time on the removal of RR15. The results show that initial pH would be the most important parameter affecting RR15 biosorption,</w:t>
      </w:r>
      <w:r w:rsidR="00F81221">
        <w:rPr>
          <w:kern w:val="0"/>
        </w:rPr>
        <w:t xml:space="preserve"> and </w:t>
      </w:r>
      <w:r>
        <w:rPr>
          <w:kern w:val="0"/>
        </w:rPr>
        <w:t>the optimal pH was 1.2. Freundlich isotherm fitted well with the equilibium data. Kinetic studies show that biosorption of RR15 followed the pseudo-second-order kinetic model, both intraparticle diffusion</w:t>
      </w:r>
      <w:r w:rsidR="00F81221">
        <w:rPr>
          <w:kern w:val="0"/>
        </w:rPr>
        <w:t xml:space="preserve"> and </w:t>
      </w:r>
      <w:r>
        <w:rPr>
          <w:kern w:val="0"/>
        </w:rPr>
        <w:t>boundary layer diffusion might affect the biosorption rate. The thermodynamic analysis indicates that the biosorption process is spontaneous</w:t>
      </w:r>
      <w:r w:rsidR="00F81221">
        <w:rPr>
          <w:kern w:val="0"/>
        </w:rPr>
        <w:t xml:space="preserve"> and </w:t>
      </w:r>
      <w:r>
        <w:rPr>
          <w:kern w:val="0"/>
        </w:rPr>
        <w:t>exothermic. The FTIR analysis reveals that chemical functional groups (e.g., amine, phosphonate</w:t>
      </w:r>
      <w:r w:rsidR="00F81221">
        <w:rPr>
          <w:kern w:val="0"/>
        </w:rPr>
        <w:t xml:space="preserve"> and </w:t>
      </w:r>
      <w:r>
        <w:rPr>
          <w:kern w:val="0"/>
        </w:rPr>
        <w:t>others) on PSMS would be the active binding sites for biosorption of PSMS. These results show that PSMS could be employed is a low-cost</w:t>
      </w:r>
      <w:r w:rsidR="00F81221">
        <w:rPr>
          <w:kern w:val="0"/>
        </w:rPr>
        <w:t xml:space="preserve"> and </w:t>
      </w:r>
      <w:r>
        <w:rPr>
          <w:kern w:val="0"/>
        </w:rPr>
        <w:t>alternative biosorbent for the removal of RR15 from wastewater.</w:t>
      </w:r>
    </w:p>
    <w:p w:rsidR="0038783C" w:rsidRDefault="0038783C" w:rsidP="0038783C">
      <w:pPr>
        <w:pStyle w:val="a0"/>
        <w:rPr>
          <w:kern w:val="0"/>
        </w:rPr>
      </w:pPr>
      <w:r>
        <w:rPr>
          <w:kern w:val="0"/>
        </w:rPr>
        <w:t>Keywords: Activated Carbon, Adsorption, Batch, Biomass, Biosorbent, Biosorption, Biosorption, Black-5, Corynebacterium-Glutamicum, Dye, Dye Removal, Equilibrium, Freundlich, Freundlich Isotherm, FTIR, Isotherm, Kinetic, Kinetic Model, Kinetics, Metal-Ions, pH, Protonated Spent Mushroom Substrate (PSMS), Reactive Red 15, Removal, Thermodynamic, Waste, Wastewater</w:t>
      </w:r>
    </w:p>
    <w:p w:rsidR="0038783C" w:rsidRDefault="0038783C" w:rsidP="0038783C">
      <w:pPr>
        <w:pStyle w:val="a0"/>
        <w:rPr>
          <w:kern w:val="0"/>
        </w:rPr>
      </w:pPr>
      <w:r>
        <w:rPr>
          <w:rFonts w:hint="eastAsia"/>
          <w:kern w:val="0"/>
        </w:rPr>
        <w:t xml:space="preserve">? </w:t>
      </w:r>
      <w:r>
        <w:rPr>
          <w:kern w:val="0"/>
        </w:rPr>
        <w:t>Demiral,</w:t>
      </w:r>
      <w:r w:rsidR="00E21371">
        <w:rPr>
          <w:rFonts w:hint="eastAsia"/>
          <w:kern w:val="0"/>
        </w:rPr>
        <w:t xml:space="preserve"> </w:t>
      </w:r>
      <w:r w:rsidR="00E21371">
        <w:rPr>
          <w:kern w:val="0"/>
        </w:rPr>
        <w:t>İ</w:t>
      </w:r>
      <w:r>
        <w:rPr>
          <w:kern w:val="0"/>
        </w:rPr>
        <w:t xml:space="preserve">. (2011), Methylene blue adsorption from aqueous solution using activated carbon prepared from olive bagasse. </w:t>
      </w:r>
      <w:r>
        <w:rPr>
          <w:i/>
          <w:iCs/>
          <w:kern w:val="0"/>
        </w:rPr>
        <w:t>Fresenius Environmental Bulletin</w:t>
      </w:r>
      <w:r>
        <w:rPr>
          <w:kern w:val="0"/>
        </w:rPr>
        <w:t xml:space="preserve">, </w:t>
      </w:r>
      <w:r>
        <w:rPr>
          <w:b/>
          <w:bCs/>
          <w:kern w:val="0"/>
        </w:rPr>
        <w:t>20</w:t>
      </w:r>
      <w:r>
        <w:rPr>
          <w:kern w:val="0"/>
        </w:rPr>
        <w:t xml:space="preserve"> (1), 127-134.</w:t>
      </w:r>
    </w:p>
    <w:p w:rsidR="0038783C" w:rsidRPr="007D79E8" w:rsidRDefault="0038783C" w:rsidP="0038783C">
      <w:pPr>
        <w:pStyle w:val="a0"/>
        <w:rPr>
          <w:kern w:val="0"/>
        </w:rPr>
      </w:pPr>
      <w:r w:rsidRPr="007D79E8">
        <w:rPr>
          <w:kern w:val="0"/>
        </w:rPr>
        <w:t xml:space="preserve">Full Text: </w:t>
      </w:r>
      <w:hyperlink r:id="rId193" w:history="1">
        <w:r w:rsidR="00E21371" w:rsidRPr="00E21371">
          <w:rPr>
            <w:rStyle w:val="a5"/>
            <w:kern w:val="0"/>
          </w:rPr>
          <w:t>2011\Fre Env Bul20, 127.pdf</w:t>
        </w:r>
      </w:hyperlink>
    </w:p>
    <w:p w:rsidR="0038783C" w:rsidRDefault="0038783C" w:rsidP="0038783C">
      <w:pPr>
        <w:pStyle w:val="a0"/>
        <w:rPr>
          <w:kern w:val="0"/>
        </w:rPr>
      </w:pPr>
      <w:r>
        <w:rPr>
          <w:kern w:val="0"/>
        </w:rPr>
        <w:t>Abstract: In this study, activated carbon was prepared from olive bagasse by chemical activation with phosphoric acid,</w:t>
      </w:r>
      <w:r w:rsidR="00F81221">
        <w:rPr>
          <w:kern w:val="0"/>
        </w:rPr>
        <w:t xml:space="preserve"> and </w:t>
      </w:r>
      <w:r>
        <w:rPr>
          <w:kern w:val="0"/>
        </w:rPr>
        <w:t>the prepared activated carbon was used to remove methylene blue from aqueous solutions. The surface area</w:t>
      </w:r>
      <w:r w:rsidR="00F81221">
        <w:rPr>
          <w:kern w:val="0"/>
        </w:rPr>
        <w:t xml:space="preserve"> and </w:t>
      </w:r>
      <w:r>
        <w:rPr>
          <w:kern w:val="0"/>
        </w:rPr>
        <w:t xml:space="preserve">total pore </w:t>
      </w:r>
      <w:r>
        <w:rPr>
          <w:kern w:val="0"/>
        </w:rPr>
        <w:lastRenderedPageBreak/>
        <w:t>volume of chemically modified activated carbon were 036 m</w:t>
      </w:r>
      <w:r>
        <w:rPr>
          <w:rFonts w:hint="eastAsia"/>
          <w:kern w:val="0"/>
          <w:vertAlign w:val="superscript"/>
        </w:rPr>
        <w:t>2</w:t>
      </w:r>
      <w:r>
        <w:rPr>
          <w:kern w:val="0"/>
        </w:rPr>
        <w:t>/g</w:t>
      </w:r>
      <w:r w:rsidR="00F81221">
        <w:rPr>
          <w:kern w:val="0"/>
        </w:rPr>
        <w:t xml:space="preserve"> and </w:t>
      </w:r>
      <w:r>
        <w:rPr>
          <w:kern w:val="0"/>
        </w:rPr>
        <w:t>0.598 cm</w:t>
      </w:r>
      <w:r>
        <w:rPr>
          <w:rFonts w:hint="eastAsia"/>
          <w:kern w:val="0"/>
          <w:vertAlign w:val="superscript"/>
        </w:rPr>
        <w:t>3</w:t>
      </w:r>
      <w:r>
        <w:rPr>
          <w:kern w:val="0"/>
        </w:rPr>
        <w:t>/g, respectively. The effects of various experimental parameters, such as pH, contact time, temperature</w:t>
      </w:r>
      <w:r w:rsidR="00F81221">
        <w:rPr>
          <w:kern w:val="0"/>
        </w:rPr>
        <w:t xml:space="preserve"> and </w:t>
      </w:r>
      <w:r>
        <w:rPr>
          <w:kern w:val="0"/>
        </w:rPr>
        <w:t>the amounts of adsorbent, were investigated in batch adsorption. The experimental data indicated that the adsorption isotherms are well described by the Langmuir equilibrium isotherm equation</w:t>
      </w:r>
      <w:r w:rsidR="00F81221">
        <w:rPr>
          <w:kern w:val="0"/>
        </w:rPr>
        <w:t xml:space="preserve"> and </w:t>
      </w:r>
      <w:r>
        <w:rPr>
          <w:kern w:val="0"/>
        </w:rPr>
        <w:t>the calculated adsorption capacity of activated carbon was 88.49 mg/g at 45ºC. The maximum adsorption capacities onto activated carbon at 25, 35</w:t>
      </w:r>
      <w:r w:rsidR="00F81221">
        <w:rPr>
          <w:kern w:val="0"/>
        </w:rPr>
        <w:t xml:space="preserve"> and </w:t>
      </w:r>
      <w:r>
        <w:rPr>
          <w:kern w:val="0"/>
        </w:rPr>
        <w:t>45ºC were found to be 71.43, 73.53,</w:t>
      </w:r>
      <w:r w:rsidR="00F81221">
        <w:rPr>
          <w:kern w:val="0"/>
        </w:rPr>
        <w:t xml:space="preserve"> and </w:t>
      </w:r>
      <w:r>
        <w:rPr>
          <w:kern w:val="0"/>
        </w:rPr>
        <w:t>88.49 mg/g, respectively. The pseudo first-order, pseudo second-order</w:t>
      </w:r>
      <w:r w:rsidR="00F81221">
        <w:rPr>
          <w:kern w:val="0"/>
        </w:rPr>
        <w:t xml:space="preserve"> and </w:t>
      </w:r>
      <w:r>
        <w:rPr>
          <w:kern w:val="0"/>
        </w:rPr>
        <w:t>intra-particle diffusion kinetic models were used to describe the kinetic data,</w:t>
      </w:r>
      <w:r w:rsidR="00F81221">
        <w:rPr>
          <w:kern w:val="0"/>
        </w:rPr>
        <w:t xml:space="preserve"> and </w:t>
      </w:r>
      <w:r>
        <w:rPr>
          <w:kern w:val="0"/>
        </w:rPr>
        <w:t>the rate constants were evaluated as well. The experimental data fitted very well to pseudo second-order kinetic model. The thermodynamic parameters, such as ΔGº, ΔHº</w:t>
      </w:r>
      <w:r w:rsidR="00F81221">
        <w:rPr>
          <w:rFonts w:hint="eastAsia"/>
          <w:kern w:val="0"/>
        </w:rPr>
        <w:t xml:space="preserve"> and </w:t>
      </w:r>
      <w:r>
        <w:rPr>
          <w:kern w:val="0"/>
        </w:rPr>
        <w:t>ΔSº, were calculated to,</w:t>
      </w:r>
      <w:r>
        <w:rPr>
          <w:rFonts w:hint="eastAsia"/>
          <w:kern w:val="0"/>
        </w:rPr>
        <w:t xml:space="preserve"> </w:t>
      </w:r>
      <w:r>
        <w:rPr>
          <w:kern w:val="0"/>
        </w:rPr>
        <w:t>stimate the nature of adsorption.</w:t>
      </w:r>
    </w:p>
    <w:p w:rsidR="0038783C" w:rsidRDefault="0038783C" w:rsidP="0038783C">
      <w:pPr>
        <w:pStyle w:val="a0"/>
        <w:rPr>
          <w:kern w:val="0"/>
        </w:rPr>
      </w:pPr>
      <w:r>
        <w:rPr>
          <w:kern w:val="0"/>
        </w:rPr>
        <w:t>Keywords: Activated Carbon, Adsorption, Agricultural Waste, Basic Dye, Carbon, Chemical Activation, Equilibrium, Isotherm, Isotherms, Kinetic, Kinetic Model, Kinetics, Langmuir, Malachite Green, Methylene Blue, Olive Bagasse, pH, Phosphoric Acid, Phosphoric-Acid Activation, Removal, Rice Husk, Shells, Thermodynamic, Thermodynamic Parameters</w:t>
      </w:r>
    </w:p>
    <w:p w:rsidR="0086551D" w:rsidRDefault="0086551D" w:rsidP="0086551D">
      <w:pPr>
        <w:pStyle w:val="a0"/>
        <w:rPr>
          <w:kern w:val="0"/>
        </w:rPr>
      </w:pPr>
      <w:r>
        <w:rPr>
          <w:kern w:val="0"/>
        </w:rPr>
        <w:t>? Hosseini, S.J., Kokhdan, S.N., Ghaedi, A.M.</w:t>
      </w:r>
      <w:r w:rsidR="00F81221">
        <w:rPr>
          <w:kern w:val="0"/>
        </w:rPr>
        <w:t xml:space="preserve"> and </w:t>
      </w:r>
      <w:r>
        <w:rPr>
          <w:kern w:val="0"/>
        </w:rPr>
        <w:t>Moosavian, S.S. (2011), Comparison of multiwalled carbon nanotubes</w:t>
      </w:r>
      <w:r w:rsidR="00F81221">
        <w:rPr>
          <w:kern w:val="0"/>
        </w:rPr>
        <w:t xml:space="preserve"> and </w:t>
      </w:r>
      <w:r>
        <w:rPr>
          <w:kern w:val="0"/>
        </w:rPr>
        <w:t>activated carbon for efficient removal of methyl orange: Kinetic</w:t>
      </w:r>
      <w:r w:rsidR="00F81221">
        <w:rPr>
          <w:kern w:val="0"/>
        </w:rPr>
        <w:t xml:space="preserve"> and </w:t>
      </w:r>
      <w:r>
        <w:rPr>
          <w:kern w:val="0"/>
        </w:rPr>
        <w:t xml:space="preserve">thermodynamic investigation. </w:t>
      </w:r>
      <w:r>
        <w:rPr>
          <w:i/>
          <w:iCs/>
          <w:kern w:val="0"/>
        </w:rPr>
        <w:t>Fresenius Environmental Bulletin</w:t>
      </w:r>
      <w:r>
        <w:rPr>
          <w:kern w:val="0"/>
        </w:rPr>
        <w:t xml:space="preserve">, </w:t>
      </w:r>
      <w:r>
        <w:rPr>
          <w:b/>
          <w:bCs/>
          <w:kern w:val="0"/>
        </w:rPr>
        <w:t>20</w:t>
      </w:r>
      <w:r>
        <w:rPr>
          <w:kern w:val="0"/>
        </w:rPr>
        <w:t xml:space="preserve"> (1A), 219-234.</w:t>
      </w:r>
    </w:p>
    <w:p w:rsidR="0086551D" w:rsidRDefault="0086551D" w:rsidP="0086551D">
      <w:pPr>
        <w:pStyle w:val="a0"/>
        <w:rPr>
          <w:kern w:val="0"/>
        </w:rPr>
      </w:pPr>
      <w:r w:rsidRPr="007D79E8">
        <w:rPr>
          <w:kern w:val="0"/>
        </w:rPr>
        <w:t>Full Text:</w:t>
      </w:r>
      <w:r>
        <w:rPr>
          <w:kern w:val="0"/>
        </w:rPr>
        <w:t xml:space="preserve"> </w:t>
      </w:r>
      <w:hyperlink r:id="rId194" w:history="1">
        <w:r w:rsidR="00BA253B" w:rsidRPr="00BA253B">
          <w:rPr>
            <w:rStyle w:val="a5"/>
            <w:kern w:val="0"/>
          </w:rPr>
          <w:t>2011\Fre Env Bul20, 219.pdf</w:t>
        </w:r>
      </w:hyperlink>
    </w:p>
    <w:p w:rsidR="0086551D" w:rsidRDefault="0086551D" w:rsidP="0086551D">
      <w:pPr>
        <w:pStyle w:val="a0"/>
        <w:rPr>
          <w:kern w:val="0"/>
        </w:rPr>
      </w:pPr>
      <w:r>
        <w:rPr>
          <w:kern w:val="0"/>
        </w:rPr>
        <w:t>Abstract: Commercially powdered activated carbon</w:t>
      </w:r>
      <w:r w:rsidR="00F81221">
        <w:rPr>
          <w:kern w:val="0"/>
        </w:rPr>
        <w:t xml:space="preserve"> and </w:t>
      </w:r>
      <w:r>
        <w:rPr>
          <w:kern w:val="0"/>
        </w:rPr>
        <w:t>multi-walled carbon nanotubes were used for the removal of methyl orange (MO) from aqueous solutions. The effects of solution pH, initial dye concentration, temperature</w:t>
      </w:r>
      <w:r w:rsidR="00F81221">
        <w:rPr>
          <w:kern w:val="0"/>
        </w:rPr>
        <w:t xml:space="preserve"> and </w:t>
      </w:r>
      <w:r>
        <w:rPr>
          <w:kern w:val="0"/>
        </w:rPr>
        <w:t>sorption time on MO removal were studied. The equilibrium sorption isotherms have been analyzed by Langmuir, Freundlich, Dubinin</w:t>
      </w:r>
      <w:r w:rsidR="00F81221">
        <w:rPr>
          <w:kern w:val="0"/>
        </w:rPr>
        <w:t xml:space="preserve"> and </w:t>
      </w:r>
      <w:r>
        <w:rPr>
          <w:kern w:val="0"/>
        </w:rPr>
        <w:t>Radushkevich (D-R),</w:t>
      </w:r>
      <w:r w:rsidR="00F81221">
        <w:rPr>
          <w:kern w:val="0"/>
        </w:rPr>
        <w:t xml:space="preserve"> and </w:t>
      </w:r>
      <w:r>
        <w:rPr>
          <w:kern w:val="0"/>
        </w:rPr>
        <w:t>Harkins-Jura (H-J) models,</w:t>
      </w:r>
      <w:r w:rsidR="00F81221">
        <w:rPr>
          <w:kern w:val="0"/>
        </w:rPr>
        <w:t xml:space="preserve"> and </w:t>
      </w:r>
      <w:r>
        <w:rPr>
          <w:kern w:val="0"/>
        </w:rPr>
        <w:t>Langmuir isotherms had the highest correlation coefficients. The apparent thermodynamic parameters were calculated,</w:t>
      </w:r>
      <w:r w:rsidR="00F81221">
        <w:rPr>
          <w:kern w:val="0"/>
        </w:rPr>
        <w:t xml:space="preserve"> and </w:t>
      </w:r>
      <w:r>
        <w:rPr>
          <w:kern w:val="0"/>
        </w:rPr>
        <w:t>the obtained values support the conclusion that MO molecules sorb by an entropy-driven, endothermic process. The kinetic of the sorption was analyzed using pseudo-first order, pseudo-second order, Elovich</w:t>
      </w:r>
      <w:r w:rsidR="00F81221">
        <w:rPr>
          <w:kern w:val="0"/>
        </w:rPr>
        <w:t xml:space="preserve"> and </w:t>
      </w:r>
      <w:r>
        <w:rPr>
          <w:kern w:val="0"/>
        </w:rPr>
        <w:t>intraparticle diffusion kinetic models. The data showed that the second-order equation was the more appropriate one, although intraparticle diffusion is the rate-limiting factor.</w:t>
      </w:r>
    </w:p>
    <w:p w:rsidR="0086551D" w:rsidRDefault="0086551D" w:rsidP="0086551D">
      <w:pPr>
        <w:pStyle w:val="a0"/>
        <w:rPr>
          <w:kern w:val="0"/>
        </w:rPr>
      </w:pPr>
      <w:r>
        <w:rPr>
          <w:kern w:val="0"/>
        </w:rPr>
        <w:t xml:space="preserve">Keywords: Activated Carbon, Activated Carbon (AC), Adsorbents, Adsorption, Aqueous-Solutions, Azo Dyes, Basic Dye, Biosorption, Blue, Carbon, Carbon Nanotubes (CNTS), Dye, Equilibrium, Freundlich, Isotherm, Isotherms, Kinetic, Langmuir, Methyl Orange (MO), Multiwalled Carbon Nanotubes (MWCNTS), pH, </w:t>
      </w:r>
      <w:r>
        <w:rPr>
          <w:kern w:val="0"/>
        </w:rPr>
        <w:lastRenderedPageBreak/>
        <w:t>Reduction, Removal, Sorption, Thermodynamic, Thermodynamic Parameters</w:t>
      </w:r>
    </w:p>
    <w:p w:rsidR="00BC07A0" w:rsidRDefault="00BC07A0" w:rsidP="00BC07A0">
      <w:pPr>
        <w:pStyle w:val="a0"/>
        <w:rPr>
          <w:kern w:val="0"/>
        </w:rPr>
      </w:pPr>
      <w:r>
        <w:rPr>
          <w:rFonts w:hint="eastAsia"/>
          <w:kern w:val="0"/>
        </w:rPr>
        <w:t xml:space="preserve">? </w:t>
      </w:r>
      <w:r>
        <w:rPr>
          <w:kern w:val="0"/>
        </w:rPr>
        <w:t>Tolga, D., Yunus, O., Selim, E.</w:t>
      </w:r>
      <w:r w:rsidR="00F81221">
        <w:rPr>
          <w:kern w:val="0"/>
        </w:rPr>
        <w:t xml:space="preserve"> and </w:t>
      </w:r>
      <w:r>
        <w:rPr>
          <w:kern w:val="0"/>
        </w:rPr>
        <w:t>Canan, A.B. (2011), Adsorption</w:t>
      </w:r>
      <w:r w:rsidR="00F81221">
        <w:rPr>
          <w:kern w:val="0"/>
        </w:rPr>
        <w:t xml:space="preserve"> and </w:t>
      </w:r>
      <w:r>
        <w:rPr>
          <w:kern w:val="0"/>
        </w:rPr>
        <w:t xml:space="preserve">kinetics of hazardous dye Rhodamine-B from aqueous solutions with activated carbon-based low-rank coal. </w:t>
      </w:r>
      <w:r>
        <w:rPr>
          <w:i/>
          <w:iCs/>
          <w:kern w:val="0"/>
        </w:rPr>
        <w:t>Fresenius Environmental Bulletin</w:t>
      </w:r>
      <w:r>
        <w:rPr>
          <w:kern w:val="0"/>
        </w:rPr>
        <w:t xml:space="preserve">, </w:t>
      </w:r>
      <w:r>
        <w:rPr>
          <w:b/>
          <w:bCs/>
          <w:kern w:val="0"/>
        </w:rPr>
        <w:t>20</w:t>
      </w:r>
      <w:r>
        <w:rPr>
          <w:kern w:val="0"/>
        </w:rPr>
        <w:t xml:space="preserve"> (2), 303-309.</w:t>
      </w:r>
    </w:p>
    <w:p w:rsidR="00BC07A0" w:rsidRPr="007D79E8" w:rsidRDefault="00BC07A0" w:rsidP="00BC07A0">
      <w:pPr>
        <w:pStyle w:val="a0"/>
        <w:rPr>
          <w:kern w:val="0"/>
        </w:rPr>
      </w:pPr>
      <w:r w:rsidRPr="007D79E8">
        <w:rPr>
          <w:kern w:val="0"/>
        </w:rPr>
        <w:t xml:space="preserve">Full Text: </w:t>
      </w:r>
      <w:r w:rsidRPr="00713762">
        <w:rPr>
          <w:kern w:val="0"/>
        </w:rPr>
        <w:t>20</w:t>
      </w:r>
      <w:r>
        <w:rPr>
          <w:rFonts w:hint="eastAsia"/>
          <w:kern w:val="0"/>
        </w:rPr>
        <w:t>11</w:t>
      </w:r>
      <w:r w:rsidRPr="00713762">
        <w:rPr>
          <w:kern w:val="0"/>
        </w:rPr>
        <w:t>\</w:t>
      </w:r>
      <w:r w:rsidRPr="00630E5B">
        <w:rPr>
          <w:kern w:val="0"/>
        </w:rPr>
        <w:t xml:space="preserve">Fre Env Bul20, </w:t>
      </w:r>
      <w:r>
        <w:rPr>
          <w:kern w:val="0"/>
        </w:rPr>
        <w:t>303</w:t>
      </w:r>
      <w:r w:rsidRPr="00713762">
        <w:rPr>
          <w:kern w:val="0"/>
        </w:rPr>
        <w:t>.pdf</w:t>
      </w:r>
    </w:p>
    <w:p w:rsidR="00BC07A0" w:rsidRDefault="00BC07A0" w:rsidP="00BC07A0">
      <w:pPr>
        <w:pStyle w:val="a0"/>
        <w:rPr>
          <w:kern w:val="0"/>
        </w:rPr>
      </w:pPr>
      <w:r>
        <w:rPr>
          <w:kern w:val="0"/>
        </w:rPr>
        <w:t>Abstract: Activated carbon was prepared from Tuncbilek-Kutahya (Turkey) lignite by chemical activation with KOH (impregnation ratio 1:2). Pore characteristics of the activated carbon, such as BET surface area, pore volume, size distribution</w:t>
      </w:r>
      <w:r w:rsidR="00F81221">
        <w:rPr>
          <w:kern w:val="0"/>
        </w:rPr>
        <w:t xml:space="preserve"> and </w:t>
      </w:r>
      <w:r>
        <w:rPr>
          <w:kern w:val="0"/>
        </w:rPr>
        <w:t>the diameter of pores, were determined. BET surface area was found to be 902 m</w:t>
      </w:r>
      <w:r>
        <w:rPr>
          <w:rFonts w:hint="eastAsia"/>
          <w:kern w:val="0"/>
          <w:vertAlign w:val="superscript"/>
        </w:rPr>
        <w:t>2</w:t>
      </w:r>
      <w:r>
        <w:rPr>
          <w:kern w:val="0"/>
        </w:rPr>
        <w:t>/g,</w:t>
      </w:r>
      <w:r w:rsidR="00F81221">
        <w:rPr>
          <w:kern w:val="0"/>
        </w:rPr>
        <w:t xml:space="preserve"> and </w:t>
      </w:r>
      <w:r>
        <w:rPr>
          <w:kern w:val="0"/>
        </w:rPr>
        <w:t>other characteristic values are as follows: S-micro:560 m</w:t>
      </w:r>
      <w:r>
        <w:rPr>
          <w:rFonts w:hint="eastAsia"/>
          <w:kern w:val="0"/>
          <w:vertAlign w:val="superscript"/>
        </w:rPr>
        <w:t>2</w:t>
      </w:r>
      <w:r>
        <w:rPr>
          <w:kern w:val="0"/>
        </w:rPr>
        <w:t>/g V-total: 0.50 cm</w:t>
      </w:r>
      <w:r>
        <w:rPr>
          <w:rFonts w:hint="eastAsia"/>
          <w:kern w:val="0"/>
          <w:vertAlign w:val="superscript"/>
        </w:rPr>
        <w:t>3</w:t>
      </w:r>
      <w:r>
        <w:rPr>
          <w:kern w:val="0"/>
        </w:rPr>
        <w:t>/g, V-micro: 0.30 cm</w:t>
      </w:r>
      <w:r>
        <w:rPr>
          <w:rFonts w:hint="eastAsia"/>
          <w:kern w:val="0"/>
          <w:vertAlign w:val="superscript"/>
        </w:rPr>
        <w:t>3</w:t>
      </w:r>
      <w:r>
        <w:rPr>
          <w:kern w:val="0"/>
        </w:rPr>
        <w:t>/g</w:t>
      </w:r>
      <w:r w:rsidR="00F81221">
        <w:rPr>
          <w:kern w:val="0"/>
        </w:rPr>
        <w:t xml:space="preserve"> and </w:t>
      </w:r>
      <w:r>
        <w:rPr>
          <w:kern w:val="0"/>
        </w:rPr>
        <w:t>average pore diameter: 2.21 nm (4 V/A by BET). The prepared activated carbon was used to adsorb Rhodamine-B (RB) from aqueous solution in a batch reactor. The adsorption isotherm of process could be best identified using the Langmuir model since it gave a better fit</w:t>
      </w:r>
      <w:r w:rsidR="00F81221">
        <w:rPr>
          <w:kern w:val="0"/>
        </w:rPr>
        <w:t xml:space="preserve"> and </w:t>
      </w:r>
      <w:r>
        <w:rPr>
          <w:kern w:val="0"/>
        </w:rPr>
        <w:t>had a higher R-2 value (0.9908) than Freundlich model. The kinetics of the adsorption of RB was tested using a pseudo-second order equation</w:t>
      </w:r>
      <w:r w:rsidR="00F81221">
        <w:rPr>
          <w:kern w:val="0"/>
        </w:rPr>
        <w:t xml:space="preserve"> and </w:t>
      </w:r>
      <w:r>
        <w:rPr>
          <w:kern w:val="0"/>
        </w:rPr>
        <w:t>an intraparticle diffusion model. Adsorption capacity was determined to be between 1.80-2.55 10</w:t>
      </w:r>
      <w:r>
        <w:rPr>
          <w:rFonts w:hint="eastAsia"/>
          <w:kern w:val="0"/>
          <w:vertAlign w:val="superscript"/>
        </w:rPr>
        <w:t>-4</w:t>
      </w:r>
      <w:r>
        <w:rPr>
          <w:kern w:val="0"/>
        </w:rPr>
        <w:t xml:space="preserve"> mol.g</w:t>
      </w:r>
      <w:r>
        <w:rPr>
          <w:rFonts w:hint="eastAsia"/>
          <w:kern w:val="0"/>
          <w:vertAlign w:val="superscript"/>
        </w:rPr>
        <w:t>-1</w:t>
      </w:r>
      <w:r>
        <w:rPr>
          <w:kern w:val="0"/>
        </w:rPr>
        <w:t>. It was found that the boundary layer thickness increased as the temperature increased (50.641 - 64.271).</w:t>
      </w:r>
    </w:p>
    <w:p w:rsidR="00BC07A0" w:rsidRDefault="00BC07A0" w:rsidP="00BC07A0">
      <w:pPr>
        <w:pStyle w:val="a0"/>
        <w:rPr>
          <w:kern w:val="0"/>
        </w:rPr>
      </w:pPr>
      <w:r>
        <w:rPr>
          <w:kern w:val="0"/>
        </w:rPr>
        <w:t>Keywords: Activated Carbon, Activated Carbon (Ac), Adsorption, Adsorption Isotherm, Basic-Dyes, Congo Red, Dye, Fly-Ash, Freundlich, Isotherm, Kinetics, Langmuir, Low-Rank Coal, Malachite Green, Methylene-Blue, Removal, Rhodamine B, Rice-Husk, Solid-Waste, Sorption, Waste-Water</w:t>
      </w:r>
    </w:p>
    <w:p w:rsidR="007E3FEC" w:rsidRDefault="007E3FEC" w:rsidP="007E3FEC">
      <w:pPr>
        <w:pStyle w:val="a0"/>
        <w:rPr>
          <w:kern w:val="0"/>
        </w:rPr>
      </w:pPr>
      <w:r>
        <w:rPr>
          <w:rFonts w:hint="eastAsia"/>
          <w:kern w:val="0"/>
        </w:rPr>
        <w:t xml:space="preserve">? </w:t>
      </w:r>
      <w:r>
        <w:rPr>
          <w:kern w:val="0"/>
        </w:rPr>
        <w:t>Patel, H.</w:t>
      </w:r>
      <w:r w:rsidR="00F81221">
        <w:rPr>
          <w:kern w:val="0"/>
        </w:rPr>
        <w:t xml:space="preserve"> and </w:t>
      </w:r>
      <w:r>
        <w:rPr>
          <w:kern w:val="0"/>
        </w:rPr>
        <w:t>Vashi, R.T. (2011), Equilibrium, kinetic</w:t>
      </w:r>
      <w:r w:rsidR="00F81221">
        <w:rPr>
          <w:kern w:val="0"/>
        </w:rPr>
        <w:t xml:space="preserve"> and </w:t>
      </w:r>
      <w:r>
        <w:rPr>
          <w:kern w:val="0"/>
        </w:rPr>
        <w:t xml:space="preserve">thermodynamic studies on adsorption of reactive dyes onto activated guava leaf powder. </w:t>
      </w:r>
      <w:r>
        <w:rPr>
          <w:i/>
          <w:iCs/>
          <w:kern w:val="0"/>
        </w:rPr>
        <w:t>Fresenius Environmental Bulletin</w:t>
      </w:r>
      <w:r>
        <w:rPr>
          <w:kern w:val="0"/>
        </w:rPr>
        <w:t xml:space="preserve">, </w:t>
      </w:r>
      <w:r>
        <w:rPr>
          <w:b/>
          <w:bCs/>
          <w:kern w:val="0"/>
        </w:rPr>
        <w:t>20</w:t>
      </w:r>
      <w:r>
        <w:rPr>
          <w:kern w:val="0"/>
        </w:rPr>
        <w:t xml:space="preserve"> (3), 561-568.</w:t>
      </w:r>
    </w:p>
    <w:p w:rsidR="007E3FEC" w:rsidRPr="007D79E8" w:rsidRDefault="007E3FEC" w:rsidP="007E3FEC">
      <w:pPr>
        <w:pStyle w:val="a0"/>
        <w:rPr>
          <w:kern w:val="0"/>
        </w:rPr>
      </w:pPr>
      <w:r w:rsidRPr="007D79E8">
        <w:rPr>
          <w:kern w:val="0"/>
        </w:rPr>
        <w:t xml:space="preserve">Full Text: </w:t>
      </w:r>
      <w:hyperlink r:id="rId195" w:history="1">
        <w:r w:rsidR="006E384A" w:rsidRPr="006E384A">
          <w:rPr>
            <w:rStyle w:val="a5"/>
            <w:kern w:val="0"/>
          </w:rPr>
          <w:t>2011\Fre Env Bul20, 561.pdf</w:t>
        </w:r>
      </w:hyperlink>
    </w:p>
    <w:p w:rsidR="007E3FEC" w:rsidRDefault="007E3FEC" w:rsidP="007E3FEC">
      <w:pPr>
        <w:pStyle w:val="a0"/>
        <w:rPr>
          <w:kern w:val="0"/>
        </w:rPr>
      </w:pPr>
      <w:r>
        <w:rPr>
          <w:kern w:val="0"/>
        </w:rPr>
        <w:t>Abstract: Due to excessive consumption of reactive dyes, textile industrial wastewater having high quantity of these contaminants causes pollution problems. Adsorption is an efficient method for removal of dyes</w:t>
      </w:r>
      <w:r w:rsidR="00F81221">
        <w:rPr>
          <w:kern w:val="0"/>
        </w:rPr>
        <w:t xml:space="preserve"> and </w:t>
      </w:r>
      <w:r>
        <w:rPr>
          <w:kern w:val="0"/>
        </w:rPr>
        <w:t>other contaminations using natural adsorbent as well as activated carbon materials. In this investigation, the removal of Reactive Black 5</w:t>
      </w:r>
      <w:r w:rsidR="00F81221">
        <w:rPr>
          <w:kern w:val="0"/>
        </w:rPr>
        <w:t xml:space="preserve"> and </w:t>
      </w:r>
      <w:r>
        <w:rPr>
          <w:kern w:val="0"/>
        </w:rPr>
        <w:t>Reactive Green 12 has performed by adsorption method using activated guava leaf powder from dye concentrations of 50 gm/L prepared in deionized water. The equilibrium isotherm</w:t>
      </w:r>
      <w:r w:rsidR="00F81221">
        <w:rPr>
          <w:kern w:val="0"/>
        </w:rPr>
        <w:t xml:space="preserve"> and </w:t>
      </w:r>
      <w:r>
        <w:rPr>
          <w:kern w:val="0"/>
        </w:rPr>
        <w:t>kinetic model were studied by altering different process parameters like adsorbent dosage</w:t>
      </w:r>
      <w:r w:rsidR="00F81221">
        <w:rPr>
          <w:kern w:val="0"/>
        </w:rPr>
        <w:t xml:space="preserve"> and </w:t>
      </w:r>
      <w:r>
        <w:rPr>
          <w:kern w:val="0"/>
        </w:rPr>
        <w:t>contact duration, respectively. Freundlich, Langmuir, Redlich-Peterson, Dubinin-Raduskevich</w:t>
      </w:r>
      <w:r w:rsidR="00F81221">
        <w:rPr>
          <w:kern w:val="0"/>
        </w:rPr>
        <w:t xml:space="preserve"> and </w:t>
      </w:r>
      <w:r>
        <w:rPr>
          <w:kern w:val="0"/>
        </w:rPr>
        <w:t>Temkin isotherms were utilized to describe the equilibrium characteristics of adsorption. The data were analyzed using kinetic models viz, pseudo first-</w:t>
      </w:r>
      <w:r w:rsidR="00F81221">
        <w:rPr>
          <w:kern w:val="0"/>
        </w:rPr>
        <w:t xml:space="preserve"> and </w:t>
      </w:r>
      <w:r>
        <w:rPr>
          <w:kern w:val="0"/>
        </w:rPr>
        <w:t>second-order, intra-particle</w:t>
      </w:r>
      <w:r w:rsidR="00F81221">
        <w:rPr>
          <w:kern w:val="0"/>
        </w:rPr>
        <w:t xml:space="preserve"> and </w:t>
      </w:r>
      <w:r>
        <w:rPr>
          <w:kern w:val="0"/>
        </w:rPr>
        <w:t>Elovich equations. Among all, Freundlich</w:t>
      </w:r>
      <w:r w:rsidR="00F81221">
        <w:rPr>
          <w:kern w:val="0"/>
        </w:rPr>
        <w:t xml:space="preserve"> and </w:t>
      </w:r>
      <w:r>
        <w:rPr>
          <w:kern w:val="0"/>
        </w:rPr>
        <w:lastRenderedPageBreak/>
        <w:t>pseudo isotherm second-order equation were best fitted with the resulting data. The thermodynamic parameters, such as free energy of adsorption (</w:t>
      </w:r>
      <w:r>
        <w:rPr>
          <w:kern w:val="0"/>
        </w:rPr>
        <w:sym w:font="Symbol" w:char="F044"/>
      </w:r>
      <w:r>
        <w:rPr>
          <w:kern w:val="0"/>
        </w:rPr>
        <w:t>Gº) enthalpy change (</w:t>
      </w:r>
      <w:r>
        <w:rPr>
          <w:kern w:val="0"/>
        </w:rPr>
        <w:sym w:font="Symbol" w:char="F044"/>
      </w:r>
      <w:r>
        <w:rPr>
          <w:kern w:val="0"/>
        </w:rPr>
        <w:t>Hº)</w:t>
      </w:r>
      <w:r w:rsidR="00F81221">
        <w:rPr>
          <w:kern w:val="0"/>
        </w:rPr>
        <w:t xml:space="preserve"> and </w:t>
      </w:r>
      <w:r>
        <w:rPr>
          <w:kern w:val="0"/>
        </w:rPr>
        <w:t>entropy change (</w:t>
      </w:r>
      <w:r>
        <w:rPr>
          <w:kern w:val="0"/>
        </w:rPr>
        <w:sym w:font="Symbol" w:char="F044"/>
      </w:r>
      <w:r>
        <w:rPr>
          <w:kern w:val="0"/>
        </w:rPr>
        <w:t>Sº) were also determined</w:t>
      </w:r>
      <w:r w:rsidR="00F81221">
        <w:rPr>
          <w:kern w:val="0"/>
        </w:rPr>
        <w:t xml:space="preserve"> and </w:t>
      </w:r>
      <w:r>
        <w:rPr>
          <w:kern w:val="0"/>
        </w:rPr>
        <w:t>evaluated by varying temperature of a system.</w:t>
      </w:r>
    </w:p>
    <w:p w:rsidR="007E3FEC" w:rsidRDefault="007E3FEC" w:rsidP="007E3FEC">
      <w:pPr>
        <w:pStyle w:val="a0"/>
        <w:rPr>
          <w:kern w:val="0"/>
        </w:rPr>
      </w:pPr>
      <w:r>
        <w:rPr>
          <w:kern w:val="0"/>
        </w:rPr>
        <w:t>Keywords: Activated Carbon, Activated Guava Leaf Powder, Adsorbent, Adsorbent Dosage, Adsorption, Adsorption Equilibrium Isotherms, Aqueous-Solution, Basic Dye, Bentonite, Biosorption, Carbon, Characteristics, Chitosan, Consumption, Contaminants, Data, Duration, Dye, Dyes, Elovich, Energy, Enthalpy, Entropy, Equilibrium, Equilibrium Isotherm, First, Freundlich, Guava Leaf Powder, Industrial Wastewater, Investigation, Isotherm, Isotherms, Kinetic, Kinetic Model, Kinetic Models, Langmuir, Model, Models, Natural, Natural Adsorbent, Natural Adsorbents, Pollution, Process Design, Pseudo-Isotherm, Reactive Black 5, Reactive Dyes, Redlich-Peterson, Removal, Removal of Dyes, Sawdust, Second Order, Second-Order, Second-Order Equation, Temperature, Thermodynamic, Thermodynamic Parameters, Thermodynamic Study, Waste-Water, Wastewater, Water</w:t>
      </w:r>
    </w:p>
    <w:p w:rsidR="00BC07A0" w:rsidRDefault="00BC07A0" w:rsidP="00BC07A0">
      <w:pPr>
        <w:pStyle w:val="a0"/>
        <w:rPr>
          <w:kern w:val="0"/>
        </w:rPr>
      </w:pPr>
      <w:r>
        <w:rPr>
          <w:rFonts w:hint="eastAsia"/>
          <w:kern w:val="0"/>
        </w:rPr>
        <w:t xml:space="preserve">? </w:t>
      </w:r>
      <w:r>
        <w:rPr>
          <w:kern w:val="0"/>
        </w:rPr>
        <w:t>Chou, W.L., Chen, L.S., Huang, Y.H.</w:t>
      </w:r>
      <w:r w:rsidR="00F81221">
        <w:rPr>
          <w:kern w:val="0"/>
        </w:rPr>
        <w:t xml:space="preserve"> and </w:t>
      </w:r>
      <w:r>
        <w:rPr>
          <w:kern w:val="0"/>
        </w:rPr>
        <w:t xml:space="preserve">Huang, C.Y. (2011), Effect of process parameters on the removal of indium ions from aqueous solutions by adsorption onto tea waste. </w:t>
      </w:r>
      <w:r>
        <w:rPr>
          <w:i/>
          <w:iCs/>
          <w:kern w:val="0"/>
        </w:rPr>
        <w:t>Fresenius Environmental Bulletin</w:t>
      </w:r>
      <w:r>
        <w:rPr>
          <w:kern w:val="0"/>
        </w:rPr>
        <w:t xml:space="preserve">, </w:t>
      </w:r>
      <w:r>
        <w:rPr>
          <w:b/>
          <w:bCs/>
          <w:kern w:val="0"/>
        </w:rPr>
        <w:t>20</w:t>
      </w:r>
      <w:r>
        <w:rPr>
          <w:kern w:val="0"/>
        </w:rPr>
        <w:t xml:space="preserve"> (3), 603-610.</w:t>
      </w:r>
    </w:p>
    <w:p w:rsidR="00BC07A0" w:rsidRPr="007D79E8" w:rsidRDefault="00BC07A0" w:rsidP="00BC07A0">
      <w:pPr>
        <w:pStyle w:val="a0"/>
        <w:rPr>
          <w:kern w:val="0"/>
        </w:rPr>
      </w:pPr>
      <w:r w:rsidRPr="007D79E8">
        <w:rPr>
          <w:kern w:val="0"/>
        </w:rPr>
        <w:t xml:space="preserve">Full Text: </w:t>
      </w:r>
      <w:r w:rsidRPr="00713762">
        <w:rPr>
          <w:kern w:val="0"/>
        </w:rPr>
        <w:t>20</w:t>
      </w:r>
      <w:r>
        <w:rPr>
          <w:rFonts w:hint="eastAsia"/>
          <w:kern w:val="0"/>
        </w:rPr>
        <w:t>11</w:t>
      </w:r>
      <w:r w:rsidRPr="00713762">
        <w:rPr>
          <w:kern w:val="0"/>
        </w:rPr>
        <w:t>\</w:t>
      </w:r>
      <w:r w:rsidRPr="00630E5B">
        <w:rPr>
          <w:kern w:val="0"/>
        </w:rPr>
        <w:t xml:space="preserve">Fre Env Bul20, </w:t>
      </w:r>
      <w:r>
        <w:rPr>
          <w:kern w:val="0"/>
        </w:rPr>
        <w:t>603</w:t>
      </w:r>
      <w:r w:rsidRPr="00713762">
        <w:rPr>
          <w:kern w:val="0"/>
        </w:rPr>
        <w:t>.pdf</w:t>
      </w:r>
    </w:p>
    <w:p w:rsidR="00BC07A0" w:rsidRDefault="00BC07A0" w:rsidP="00BC07A0">
      <w:pPr>
        <w:pStyle w:val="a0"/>
        <w:rPr>
          <w:kern w:val="0"/>
        </w:rPr>
      </w:pPr>
      <w:r>
        <w:rPr>
          <w:kern w:val="0"/>
        </w:rPr>
        <w:t>Abstract: This study used batch adsorption techniques to evaluate the potential suitability of tea waste as an environmentally friendly adsorbent for the removal of indium ions from aqueous solution. In addition, we also investigated the effects of process parameters, such as the solution pH, initial concentration of indium ions, adsorbent dose</w:t>
      </w:r>
      <w:r w:rsidR="00F81221">
        <w:rPr>
          <w:kern w:val="0"/>
        </w:rPr>
        <w:t xml:space="preserve"> and </w:t>
      </w:r>
      <w:r>
        <w:rPr>
          <w:kern w:val="0"/>
        </w:rPr>
        <w:t>temperature on adsorption performance. The experimental data were fitted with several adsorption isotherm models to describe the adsorption process of indium ions onto the tea waste. The predictions of the Freundlich isotherm model satisfactorily matched the experimental observations. In addition, the kinetic data obtained at different initial concentrations were analyzed using pseudo-first-order</w:t>
      </w:r>
      <w:r w:rsidR="00F81221">
        <w:rPr>
          <w:kern w:val="0"/>
        </w:rPr>
        <w:t xml:space="preserve"> and </w:t>
      </w:r>
      <w:r>
        <w:rPr>
          <w:kern w:val="0"/>
        </w:rPr>
        <w:t>pseudo-second-order kinetic models. A pseudo-second-order model provided a good fit to the experimental results with correlation coefficients greater than 0.99. Thermodynamic parameters, including the Gibbs free energy, enthalpy,</w:t>
      </w:r>
      <w:r w:rsidR="00F81221">
        <w:rPr>
          <w:kern w:val="0"/>
        </w:rPr>
        <w:t xml:space="preserve"> and </w:t>
      </w:r>
      <w:r>
        <w:rPr>
          <w:kern w:val="0"/>
        </w:rPr>
        <w:t>entropy, indicated that the indium adsorption of aqueous solutions onto tea waste was feasible, spontaneous</w:t>
      </w:r>
      <w:r w:rsidR="00F81221">
        <w:rPr>
          <w:kern w:val="0"/>
        </w:rPr>
        <w:t xml:space="preserve"> and </w:t>
      </w:r>
      <w:r>
        <w:rPr>
          <w:kern w:val="0"/>
        </w:rPr>
        <w:t>endothermic in the temperature range of 288 K to 318K. This study indicated that tea waste could be used as an effective</w:t>
      </w:r>
      <w:r w:rsidR="00F81221">
        <w:rPr>
          <w:kern w:val="0"/>
        </w:rPr>
        <w:t xml:space="preserve"> and </w:t>
      </w:r>
      <w:r>
        <w:rPr>
          <w:kern w:val="0"/>
        </w:rPr>
        <w:t>environmentally friendly adsorbent for the treatment of indium-containing aqueous solutions.</w:t>
      </w:r>
    </w:p>
    <w:p w:rsidR="00BC07A0" w:rsidRDefault="00BC07A0" w:rsidP="00BC07A0">
      <w:pPr>
        <w:pStyle w:val="a0"/>
        <w:rPr>
          <w:kern w:val="0"/>
        </w:rPr>
      </w:pPr>
      <w:r>
        <w:rPr>
          <w:kern w:val="0"/>
        </w:rPr>
        <w:t xml:space="preserve">Keywords: Activated Carbon, Adsorbents, Adsorption, Adsorption Isotherm, Copper, Equilibrium, Extraction, Factory Waste, Freundlich, Freundlich Isotherm, Gallium, </w:t>
      </w:r>
      <w:r>
        <w:rPr>
          <w:kern w:val="0"/>
        </w:rPr>
        <w:lastRenderedPageBreak/>
        <w:t xml:space="preserve">Indium Ions, Isotherm, Isotherms, Kinetic, Kinetics, Kinetics, Metal-Ions, Part I, </w:t>
      </w:r>
      <w:r>
        <w:rPr>
          <w:rFonts w:hint="eastAsia"/>
          <w:kern w:val="0"/>
        </w:rPr>
        <w:t>p</w:t>
      </w:r>
      <w:r>
        <w:rPr>
          <w:kern w:val="0"/>
        </w:rPr>
        <w:t>H, Removal, Tea Waste, Thermodynamic, Thermodynamics, Waste</w:t>
      </w:r>
    </w:p>
    <w:p w:rsidR="00BC07A0" w:rsidRDefault="00BC07A0" w:rsidP="00BC07A0">
      <w:pPr>
        <w:pStyle w:val="a0"/>
        <w:rPr>
          <w:kern w:val="0"/>
        </w:rPr>
      </w:pPr>
      <w:r>
        <w:rPr>
          <w:rFonts w:hint="eastAsia"/>
          <w:kern w:val="0"/>
        </w:rPr>
        <w:t xml:space="preserve">? </w:t>
      </w:r>
      <w:r>
        <w:rPr>
          <w:kern w:val="0"/>
        </w:rPr>
        <w:t>Rahmani, A.R., Samadi, M.T.</w:t>
      </w:r>
      <w:r w:rsidR="00F81221">
        <w:rPr>
          <w:kern w:val="0"/>
        </w:rPr>
        <w:t xml:space="preserve"> and </w:t>
      </w:r>
      <w:r>
        <w:rPr>
          <w:kern w:val="0"/>
        </w:rPr>
        <w:t xml:space="preserve">Kamangar, F. (2011), </w:t>
      </w:r>
      <w:r w:rsidR="007E3FEC">
        <w:rPr>
          <w:kern w:val="0"/>
        </w:rPr>
        <w:t>Arsenic(III)</w:t>
      </w:r>
      <w:r>
        <w:rPr>
          <w:kern w:val="0"/>
        </w:rPr>
        <w:t xml:space="preserve"> biosorption from aqueous solution using holly, sallow</w:t>
      </w:r>
      <w:r w:rsidR="00F81221">
        <w:rPr>
          <w:kern w:val="0"/>
        </w:rPr>
        <w:t xml:space="preserve"> and </w:t>
      </w:r>
      <w:r>
        <w:rPr>
          <w:kern w:val="0"/>
        </w:rPr>
        <w:t>poplar sawdust: Kinetics</w:t>
      </w:r>
      <w:r w:rsidR="00F81221">
        <w:rPr>
          <w:kern w:val="0"/>
        </w:rPr>
        <w:t xml:space="preserve"> and </w:t>
      </w:r>
      <w:r>
        <w:rPr>
          <w:kern w:val="0"/>
        </w:rPr>
        <w:t xml:space="preserve">equilibrium studies. </w:t>
      </w:r>
      <w:r>
        <w:rPr>
          <w:i/>
          <w:iCs/>
          <w:kern w:val="0"/>
        </w:rPr>
        <w:t>Fresenius Environmental Bulletin</w:t>
      </w:r>
      <w:r>
        <w:rPr>
          <w:kern w:val="0"/>
        </w:rPr>
        <w:t xml:space="preserve">, </w:t>
      </w:r>
      <w:r>
        <w:rPr>
          <w:b/>
          <w:bCs/>
          <w:kern w:val="0"/>
        </w:rPr>
        <w:t>20</w:t>
      </w:r>
      <w:r>
        <w:rPr>
          <w:kern w:val="0"/>
        </w:rPr>
        <w:t xml:space="preserve"> (3A), 720-726.</w:t>
      </w:r>
    </w:p>
    <w:p w:rsidR="00BC07A0" w:rsidRPr="007D79E8" w:rsidRDefault="00BC07A0" w:rsidP="00BC07A0">
      <w:pPr>
        <w:pStyle w:val="a0"/>
        <w:rPr>
          <w:kern w:val="0"/>
        </w:rPr>
      </w:pPr>
      <w:r w:rsidRPr="007D79E8">
        <w:rPr>
          <w:kern w:val="0"/>
        </w:rPr>
        <w:t xml:space="preserve">Full Text: </w:t>
      </w:r>
      <w:hyperlink r:id="rId196" w:history="1">
        <w:r w:rsidR="006D2887" w:rsidRPr="006D2887">
          <w:rPr>
            <w:rStyle w:val="a5"/>
            <w:kern w:val="0"/>
          </w:rPr>
          <w:t>2011\Fre Env Bul20, 720.pdf</w:t>
        </w:r>
      </w:hyperlink>
    </w:p>
    <w:p w:rsidR="00BC07A0" w:rsidRDefault="00BC07A0" w:rsidP="00BC07A0">
      <w:pPr>
        <w:pStyle w:val="a0"/>
        <w:rPr>
          <w:kern w:val="0"/>
        </w:rPr>
      </w:pPr>
      <w:r>
        <w:rPr>
          <w:kern w:val="0"/>
        </w:rPr>
        <w:t>Abstract: In this research, sawdust was studied as an economic</w:t>
      </w:r>
      <w:r w:rsidR="00F81221">
        <w:rPr>
          <w:kern w:val="0"/>
        </w:rPr>
        <w:t xml:space="preserve"> and </w:t>
      </w:r>
      <w:r>
        <w:rPr>
          <w:kern w:val="0"/>
        </w:rPr>
        <w:t xml:space="preserve">low cost material for the removal of </w:t>
      </w:r>
      <w:r w:rsidR="007E3FEC">
        <w:rPr>
          <w:kern w:val="0"/>
        </w:rPr>
        <w:t>Arsenic(III)</w:t>
      </w:r>
      <w:r>
        <w:rPr>
          <w:kern w:val="0"/>
        </w:rPr>
        <w:t xml:space="preserve"> from aqueous solution. Three different kinds of sawdust, holly, sallow,</w:t>
      </w:r>
      <w:r w:rsidR="00F81221">
        <w:rPr>
          <w:kern w:val="0"/>
        </w:rPr>
        <w:t xml:space="preserve"> and </w:t>
      </w:r>
      <w:r>
        <w:rPr>
          <w:kern w:val="0"/>
        </w:rPr>
        <w:t xml:space="preserve">poplar were used in this study. </w:t>
      </w:r>
      <w:r w:rsidR="007E3FEC">
        <w:rPr>
          <w:kern w:val="0"/>
        </w:rPr>
        <w:t>Arsenic(III)</w:t>
      </w:r>
      <w:r>
        <w:rPr>
          <w:kern w:val="0"/>
        </w:rPr>
        <w:t xml:space="preserve"> synthetic samples were prepared using NaAsO</w:t>
      </w:r>
      <w:r w:rsidRPr="004D051A">
        <w:rPr>
          <w:kern w:val="0"/>
          <w:vertAlign w:val="subscript"/>
        </w:rPr>
        <w:t>2</w:t>
      </w:r>
      <w:r>
        <w:rPr>
          <w:kern w:val="0"/>
        </w:rPr>
        <w:t xml:space="preserve"> in distilled water</w:t>
      </w:r>
      <w:r w:rsidR="00F81221">
        <w:rPr>
          <w:kern w:val="0"/>
        </w:rPr>
        <w:t xml:space="preserve"> and </w:t>
      </w:r>
      <w:r>
        <w:rPr>
          <w:kern w:val="0"/>
        </w:rPr>
        <w:t>effects of contact time</w:t>
      </w:r>
      <w:r w:rsidR="00F81221">
        <w:rPr>
          <w:kern w:val="0"/>
        </w:rPr>
        <w:t xml:space="preserve"> and </w:t>
      </w:r>
      <w:r>
        <w:rPr>
          <w:kern w:val="0"/>
        </w:rPr>
        <w:t>arsenic concentration were studied. The results showed that the holly sawdust with contact time of 150 min</w:t>
      </w:r>
      <w:r w:rsidR="00F81221">
        <w:rPr>
          <w:kern w:val="0"/>
        </w:rPr>
        <w:t xml:space="preserve"> and </w:t>
      </w:r>
      <w:r>
        <w:rPr>
          <w:kern w:val="0"/>
        </w:rPr>
        <w:t>1000 mu g/L of initial arsenic concentration had the greatest efficiency (&gt;94%). The kinetic of the adsorption process fitted well to the pseudo second order adsorption model</w:t>
      </w:r>
      <w:r w:rsidR="00F81221">
        <w:rPr>
          <w:kern w:val="0"/>
        </w:rPr>
        <w:t xml:space="preserve"> and </w:t>
      </w:r>
      <w:r>
        <w:rPr>
          <w:kern w:val="0"/>
        </w:rPr>
        <w:t xml:space="preserve">the equilibrium was achieved after 150 min. The results showed that biosorption was well described by Freundlich isotherm. The maximum biosorption capacity of the sawdust for </w:t>
      </w:r>
      <w:r w:rsidR="007E3FEC">
        <w:rPr>
          <w:kern w:val="0"/>
        </w:rPr>
        <w:t>Arsenic(III)</w:t>
      </w:r>
      <w:r>
        <w:rPr>
          <w:kern w:val="0"/>
        </w:rPr>
        <w:t xml:space="preserve"> was 20.625 mg/g. Based on high removal efficiency, availability</w:t>
      </w:r>
      <w:r w:rsidR="00F81221">
        <w:rPr>
          <w:kern w:val="0"/>
        </w:rPr>
        <w:t xml:space="preserve"> and </w:t>
      </w:r>
      <w:r>
        <w:rPr>
          <w:kern w:val="0"/>
        </w:rPr>
        <w:t xml:space="preserve">low cost, the use of sawdust as an effective adsorbent for the removal of </w:t>
      </w:r>
      <w:r w:rsidR="007E3FEC">
        <w:rPr>
          <w:kern w:val="0"/>
        </w:rPr>
        <w:t>Arsenic(III)</w:t>
      </w:r>
      <w:r>
        <w:rPr>
          <w:kern w:val="0"/>
        </w:rPr>
        <w:t xml:space="preserve"> from polluted water</w:t>
      </w:r>
      <w:r w:rsidR="00F81221">
        <w:rPr>
          <w:kern w:val="0"/>
        </w:rPr>
        <w:t xml:space="preserve"> and </w:t>
      </w:r>
      <w:r>
        <w:rPr>
          <w:kern w:val="0"/>
        </w:rPr>
        <w:t>wastewater is recommended.</w:t>
      </w:r>
    </w:p>
    <w:p w:rsidR="00BC07A0" w:rsidRDefault="00BC07A0" w:rsidP="00BC07A0">
      <w:pPr>
        <w:pStyle w:val="a0"/>
        <w:rPr>
          <w:kern w:val="0"/>
        </w:rPr>
      </w:pPr>
      <w:r>
        <w:rPr>
          <w:kern w:val="0"/>
        </w:rPr>
        <w:t>Keywords: Adsorption, Aqueous Solution, Arsenic, Biosorption, Equilibrium, Freundlich, Freundlich Isotherm, Hexavalent Chromium, Isotherm, Kinetic, Kinetics, Removal, Sawdust, Wastewater, Zero-Valent Iron</w:t>
      </w:r>
    </w:p>
    <w:p w:rsidR="00BC07A0" w:rsidRDefault="00BC07A0" w:rsidP="00BC07A0">
      <w:pPr>
        <w:pStyle w:val="a0"/>
        <w:rPr>
          <w:kern w:val="0"/>
        </w:rPr>
      </w:pPr>
      <w:r>
        <w:rPr>
          <w:rFonts w:hint="eastAsia"/>
          <w:kern w:val="0"/>
        </w:rPr>
        <w:t xml:space="preserve">? </w:t>
      </w:r>
      <w:r>
        <w:rPr>
          <w:kern w:val="0"/>
        </w:rPr>
        <w:t>Li, N., Xiong, X.L., Shao, C.B.</w:t>
      </w:r>
      <w:r w:rsidR="00F81221">
        <w:rPr>
          <w:kern w:val="0"/>
        </w:rPr>
        <w:t xml:space="preserve"> and </w:t>
      </w:r>
      <w:r>
        <w:rPr>
          <w:kern w:val="0"/>
        </w:rPr>
        <w:t xml:space="preserve">Chen, S.M. (2011), Adsorption of </w:t>
      </w:r>
      <w:r w:rsidRPr="00016333">
        <w:rPr>
          <w:i/>
          <w:kern w:val="0"/>
        </w:rPr>
        <w:t>p</w:t>
      </w:r>
      <w:r>
        <w:rPr>
          <w:kern w:val="0"/>
        </w:rPr>
        <w:t xml:space="preserve">-chlorophenol from aqueous solution on modified corncob. </w:t>
      </w:r>
      <w:r>
        <w:rPr>
          <w:i/>
          <w:iCs/>
          <w:kern w:val="0"/>
        </w:rPr>
        <w:t>Fresenius Environmental Bulletin</w:t>
      </w:r>
      <w:r>
        <w:rPr>
          <w:kern w:val="0"/>
        </w:rPr>
        <w:t xml:space="preserve">, </w:t>
      </w:r>
      <w:r>
        <w:rPr>
          <w:b/>
          <w:bCs/>
          <w:kern w:val="0"/>
        </w:rPr>
        <w:t>20</w:t>
      </w:r>
      <w:r>
        <w:rPr>
          <w:kern w:val="0"/>
        </w:rPr>
        <w:t xml:space="preserve"> (3A), 747-753.</w:t>
      </w:r>
    </w:p>
    <w:p w:rsidR="00BC07A0" w:rsidRPr="007D79E8" w:rsidRDefault="00BC07A0" w:rsidP="00BC07A0">
      <w:pPr>
        <w:pStyle w:val="a0"/>
        <w:rPr>
          <w:kern w:val="0"/>
        </w:rPr>
      </w:pPr>
      <w:r w:rsidRPr="007D79E8">
        <w:rPr>
          <w:kern w:val="0"/>
        </w:rPr>
        <w:t xml:space="preserve">Full Text: </w:t>
      </w:r>
      <w:r w:rsidRPr="00713762">
        <w:rPr>
          <w:kern w:val="0"/>
        </w:rPr>
        <w:t>20</w:t>
      </w:r>
      <w:r>
        <w:rPr>
          <w:rFonts w:hint="eastAsia"/>
          <w:kern w:val="0"/>
        </w:rPr>
        <w:t>11</w:t>
      </w:r>
      <w:r w:rsidRPr="00713762">
        <w:rPr>
          <w:kern w:val="0"/>
        </w:rPr>
        <w:t>\</w:t>
      </w:r>
      <w:r w:rsidRPr="00630E5B">
        <w:rPr>
          <w:kern w:val="0"/>
        </w:rPr>
        <w:t xml:space="preserve">Fre Env Bul20, </w:t>
      </w:r>
      <w:r>
        <w:rPr>
          <w:kern w:val="0"/>
        </w:rPr>
        <w:t>747</w:t>
      </w:r>
      <w:r w:rsidRPr="00713762">
        <w:rPr>
          <w:kern w:val="0"/>
        </w:rPr>
        <w:t>.pdf</w:t>
      </w:r>
    </w:p>
    <w:p w:rsidR="00BC07A0" w:rsidRDefault="00BC07A0" w:rsidP="00BC07A0">
      <w:pPr>
        <w:pStyle w:val="a0"/>
        <w:rPr>
          <w:kern w:val="0"/>
        </w:rPr>
      </w:pPr>
      <w:r>
        <w:rPr>
          <w:kern w:val="0"/>
        </w:rPr>
        <w:t>Abstract: The objective of this study was to convert corncob into an adsorbent</w:t>
      </w:r>
      <w:r w:rsidR="00F81221">
        <w:rPr>
          <w:kern w:val="0"/>
        </w:rPr>
        <w:t xml:space="preserve"> and </w:t>
      </w:r>
      <w:r>
        <w:rPr>
          <w:kern w:val="0"/>
        </w:rPr>
        <w:t xml:space="preserve">further to investigate the potential of the adsorbent for the removal of </w:t>
      </w:r>
      <w:r w:rsidRPr="006C7B2D">
        <w:rPr>
          <w:i/>
          <w:kern w:val="0"/>
        </w:rPr>
        <w:t>p</w:t>
      </w:r>
      <w:r>
        <w:rPr>
          <w:kern w:val="0"/>
        </w:rPr>
        <w:t>-chlorophenol (</w:t>
      </w:r>
      <w:r w:rsidRPr="006C7B2D">
        <w:rPr>
          <w:i/>
          <w:kern w:val="0"/>
        </w:rPr>
        <w:t>p</w:t>
      </w:r>
      <w:r>
        <w:rPr>
          <w:kern w:val="0"/>
        </w:rPr>
        <w:t>-CP) from aqueous solution. The crushed corncob was treated with 1 M phosphoric acid (PA) in ultrasound irradiation (45 kHz) to enhance its nature adsorption capacity. The characteristics of the adsorbent were evaluated by Fourier transform-infrared spectroscopy (FT-IR)</w:t>
      </w:r>
      <w:r w:rsidR="00F81221">
        <w:rPr>
          <w:kern w:val="0"/>
        </w:rPr>
        <w:t xml:space="preserve"> and </w:t>
      </w:r>
      <w:r>
        <w:rPr>
          <w:kern w:val="0"/>
        </w:rPr>
        <w:t>specific surface area analysis. The effects of various experimental parameters (e.g. contact time, p-CP concentration, pH) were examined</w:t>
      </w:r>
      <w:r w:rsidR="00F81221">
        <w:rPr>
          <w:kern w:val="0"/>
        </w:rPr>
        <w:t xml:space="preserve"> and </w:t>
      </w:r>
      <w:r>
        <w:rPr>
          <w:kern w:val="0"/>
        </w:rPr>
        <w:t>optimal experimental conditions were determined. The adsorption capacity of p-CP on PTC was up to 45.5 mg/g when initial concentration of p-CP solution was 200 mg/L at 293K. Adsorption kinetics followed the Ho</w:t>
      </w:r>
      <w:r w:rsidR="00F81221">
        <w:rPr>
          <w:kern w:val="0"/>
        </w:rPr>
        <w:t xml:space="preserve"> and </w:t>
      </w:r>
      <w:r>
        <w:rPr>
          <w:kern w:val="0"/>
        </w:rPr>
        <w:t xml:space="preserve">McKay equation in the concentration range studied. Rate limiting step in the process of adsorption was pore or particle diffusion. Equilibrium isotherm data were satisfactorily fitted by the Freundlich equation. This study confirmed that corncob by impregnation with </w:t>
      </w:r>
      <w:r>
        <w:rPr>
          <w:kern w:val="0"/>
        </w:rPr>
        <w:lastRenderedPageBreak/>
        <w:t>phosphoric acid solution using ultrasound irradiation was an excellent attractive adsorbent for removal of p-CP from aqueous solution.</w:t>
      </w:r>
    </w:p>
    <w:p w:rsidR="00BC07A0" w:rsidRDefault="00BC07A0" w:rsidP="00BC07A0">
      <w:pPr>
        <w:pStyle w:val="a0"/>
        <w:rPr>
          <w:kern w:val="0"/>
        </w:rPr>
      </w:pPr>
      <w:r>
        <w:rPr>
          <w:kern w:val="0"/>
        </w:rPr>
        <w:t xml:space="preserve">Keywords: 4-Chlorophenol, Activated Carbon, Adsorption, Adsorption Kinetics, Aqueous Solution, Bottom Ash, Citric-Acid, Corncob, Equilibrium, Equilibrium Isotherm, Freundlich, FT-IR, FTIR, Industry, Ions, Isotherm, Kinetics, Modified, Optimization, </w:t>
      </w:r>
      <w:r w:rsidRPr="00016333">
        <w:rPr>
          <w:i/>
          <w:kern w:val="0"/>
        </w:rPr>
        <w:t>p</w:t>
      </w:r>
      <w:r>
        <w:rPr>
          <w:kern w:val="0"/>
        </w:rPr>
        <w:t xml:space="preserve">-chlorophenol, </w:t>
      </w:r>
      <w:r>
        <w:rPr>
          <w:rFonts w:hint="eastAsia"/>
          <w:kern w:val="0"/>
        </w:rPr>
        <w:t>p</w:t>
      </w:r>
      <w:r>
        <w:rPr>
          <w:kern w:val="0"/>
        </w:rPr>
        <w:t>H, Phosphoric Acid, Removal, Sorption, Ultrasonic Impregnation, Waste-Water</w:t>
      </w:r>
    </w:p>
    <w:p w:rsidR="007E3FEC" w:rsidRDefault="007E3FEC" w:rsidP="007E3FEC">
      <w:pPr>
        <w:pStyle w:val="a0"/>
        <w:rPr>
          <w:kern w:val="0"/>
        </w:rPr>
      </w:pPr>
      <w:r>
        <w:rPr>
          <w:rFonts w:hint="eastAsia"/>
          <w:kern w:val="0"/>
        </w:rPr>
        <w:t xml:space="preserve">? </w:t>
      </w:r>
      <w:r>
        <w:rPr>
          <w:kern w:val="0"/>
        </w:rPr>
        <w:t>Qiao, J.L., Dong, L.</w:t>
      </w:r>
      <w:r w:rsidR="00F81221">
        <w:rPr>
          <w:kern w:val="0"/>
        </w:rPr>
        <w:t xml:space="preserve"> and </w:t>
      </w:r>
      <w:r>
        <w:rPr>
          <w:kern w:val="0"/>
        </w:rPr>
        <w:t xml:space="preserve">Hu, Y.H. (2011), Removal of harmful algal blooms using activated fly ash-modified chitosan. </w:t>
      </w:r>
      <w:r>
        <w:rPr>
          <w:i/>
          <w:iCs/>
          <w:kern w:val="0"/>
        </w:rPr>
        <w:t>Fresenius Environmental Bulletin</w:t>
      </w:r>
      <w:r>
        <w:rPr>
          <w:kern w:val="0"/>
        </w:rPr>
        <w:t xml:space="preserve">, </w:t>
      </w:r>
      <w:r>
        <w:rPr>
          <w:b/>
          <w:bCs/>
          <w:kern w:val="0"/>
        </w:rPr>
        <w:t>20</w:t>
      </w:r>
      <w:r>
        <w:rPr>
          <w:kern w:val="0"/>
        </w:rPr>
        <w:t xml:space="preserve"> (3A), 764-772.</w:t>
      </w:r>
    </w:p>
    <w:p w:rsidR="007E3FEC" w:rsidRPr="007D79E8" w:rsidRDefault="007E3FEC" w:rsidP="007E3FEC">
      <w:pPr>
        <w:pStyle w:val="a0"/>
        <w:rPr>
          <w:kern w:val="0"/>
        </w:rPr>
      </w:pPr>
      <w:r w:rsidRPr="007D79E8">
        <w:rPr>
          <w:kern w:val="0"/>
        </w:rPr>
        <w:t xml:space="preserve">Full Text: </w:t>
      </w:r>
      <w:hyperlink r:id="rId197" w:history="1">
        <w:r w:rsidR="00573641" w:rsidRPr="00573641">
          <w:rPr>
            <w:rStyle w:val="a5"/>
            <w:kern w:val="0"/>
          </w:rPr>
          <w:t>2011\Fre Env Bul20, 764.pdf</w:t>
        </w:r>
      </w:hyperlink>
    </w:p>
    <w:p w:rsidR="007E3FEC" w:rsidRDefault="007E3FEC" w:rsidP="007E3FEC">
      <w:pPr>
        <w:pStyle w:val="a0"/>
        <w:rPr>
          <w:kern w:val="0"/>
        </w:rPr>
      </w:pPr>
      <w:r>
        <w:rPr>
          <w:kern w:val="0"/>
        </w:rPr>
        <w:t>Abstract: The performance of activated fly ash-modified chitosan (FA-MC) as a flocculant to remove Microcystis aeruginosa (M.A.) was assessed</w:t>
      </w:r>
      <w:r w:rsidR="00F81221">
        <w:rPr>
          <w:kern w:val="0"/>
        </w:rPr>
        <w:t xml:space="preserve"> and </w:t>
      </w:r>
      <w:r>
        <w:rPr>
          <w:kern w:val="0"/>
        </w:rPr>
        <w:t>its removal mechanism was studied. FA-MC was very effective at removing M.A.: 90% of algae were removed at the dosage of 0.5 ml/L (corresponding to 0.25 mg/L chitosan) within 1 h or at the dosage of 0.7 inn (0.35 mg/L chitosan) within 40 min. An increased FA-MC dosage slightly increased the formation of dense floccules. After treatment, algal photosynthesis decreased remarkably,</w:t>
      </w:r>
      <w:r w:rsidR="00F81221">
        <w:rPr>
          <w:kern w:val="0"/>
        </w:rPr>
        <w:t xml:space="preserve"> and </w:t>
      </w:r>
      <w:r>
        <w:rPr>
          <w:kern w:val="0"/>
        </w:rPr>
        <w:t>metal ion concentration in the supernatant was below the safe concentration. Flocculation kinetics were investigated using two models: The fitting equations based on the second-order reaction model were closer to the actual treatment efficiency,</w:t>
      </w:r>
      <w:r w:rsidR="00F81221">
        <w:rPr>
          <w:kern w:val="0"/>
        </w:rPr>
        <w:t xml:space="preserve"> and </w:t>
      </w:r>
      <w:r>
        <w:rPr>
          <w:kern w:val="0"/>
        </w:rPr>
        <w:t>the equations based on the exponential reaction revealed the ceiling of algal removal efficiency. The effect of algal extracellular organic matter (EOM) on the ability of FA-MC to remove M.A. also was analyzed: These substances had a priority to consumption of flocculant in initial period of flocculation</w:t>
      </w:r>
      <w:r w:rsidR="00F81221">
        <w:rPr>
          <w:kern w:val="0"/>
        </w:rPr>
        <w:t xml:space="preserve"> and </w:t>
      </w:r>
      <w:r>
        <w:rPr>
          <w:kern w:val="0"/>
        </w:rPr>
        <w:t>reduced the effective dosage</w:t>
      </w:r>
      <w:r w:rsidR="00F81221">
        <w:rPr>
          <w:kern w:val="0"/>
        </w:rPr>
        <w:t xml:space="preserve"> and </w:t>
      </w:r>
      <w:r>
        <w:rPr>
          <w:kern w:val="0"/>
        </w:rPr>
        <w:t>hindered the charge neutrality function of FA-MC. However, eliminating EOM can strengthen the adsorption bridging</w:t>
      </w:r>
      <w:r w:rsidR="00F81221">
        <w:rPr>
          <w:kern w:val="0"/>
        </w:rPr>
        <w:t xml:space="preserve"> and </w:t>
      </w:r>
      <w:r>
        <w:rPr>
          <w:kern w:val="0"/>
        </w:rPr>
        <w:t>entrappings-weeping functions of FA-MC in the late stage of flocculation.</w:t>
      </w:r>
    </w:p>
    <w:p w:rsidR="007E3FEC" w:rsidRDefault="007E3FEC" w:rsidP="007E3FEC">
      <w:pPr>
        <w:pStyle w:val="a0"/>
        <w:rPr>
          <w:kern w:val="0"/>
        </w:rPr>
      </w:pPr>
      <w:r>
        <w:rPr>
          <w:kern w:val="0"/>
        </w:rPr>
        <w:t>Keywords: Adsorption, Algae, Algogenic Organic-Matter, Charge, China, Chitosan, Coagulation, Concentration, Consumption, Cyanobacterial Blooms, Efficiency, Flocculation, Flocculation, Function, Functions, Impact, Kinetics, Local Soils, Mechanism, Metal, Microcystis Aeruginosa, Model, Models, Organic, Organic Matter, Performance, Photosynthesis, Powder Fly Ash, Red Tide, Removal, Removal Efficiency, Removal Mechanism, Second Order, Second-Order, Taihu Lake, Treatment, Water</w:t>
      </w:r>
    </w:p>
    <w:p w:rsidR="00C50CE9" w:rsidRDefault="00C50CE9" w:rsidP="00C50CE9">
      <w:pPr>
        <w:pStyle w:val="a0"/>
        <w:rPr>
          <w:kern w:val="0"/>
        </w:rPr>
      </w:pPr>
      <w:r>
        <w:rPr>
          <w:rFonts w:hint="eastAsia"/>
          <w:kern w:val="0"/>
        </w:rPr>
        <w:t xml:space="preserve">? </w:t>
      </w:r>
      <w:r w:rsidR="00E26A43">
        <w:rPr>
          <w:kern w:val="0"/>
        </w:rPr>
        <w:t>Rıza, K.A., Tolga, D., İ</w:t>
      </w:r>
      <w:r>
        <w:rPr>
          <w:kern w:val="0"/>
        </w:rPr>
        <w:t>hsan, A., Salih, A.</w:t>
      </w:r>
      <w:r w:rsidR="00F81221">
        <w:rPr>
          <w:kern w:val="0"/>
        </w:rPr>
        <w:t xml:space="preserve"> and </w:t>
      </w:r>
      <w:r>
        <w:rPr>
          <w:kern w:val="0"/>
        </w:rPr>
        <w:t>Yunus, O. (2011), Equilibrium, kinetic</w:t>
      </w:r>
      <w:r w:rsidR="00F81221">
        <w:rPr>
          <w:kern w:val="0"/>
        </w:rPr>
        <w:t xml:space="preserve"> and </w:t>
      </w:r>
      <w:r>
        <w:rPr>
          <w:kern w:val="0"/>
        </w:rPr>
        <w:t>thermodynamic studies of nickel adsorption onto natural</w:t>
      </w:r>
      <w:r w:rsidR="00F81221">
        <w:rPr>
          <w:kern w:val="0"/>
        </w:rPr>
        <w:t xml:space="preserve"> and </w:t>
      </w:r>
      <w:r>
        <w:rPr>
          <w:kern w:val="0"/>
        </w:rPr>
        <w:t xml:space="preserve">modified kaolinites. </w:t>
      </w:r>
      <w:r>
        <w:rPr>
          <w:i/>
          <w:iCs/>
          <w:kern w:val="0"/>
        </w:rPr>
        <w:t>Fresenius Environmental Bulletin</w:t>
      </w:r>
      <w:r>
        <w:rPr>
          <w:kern w:val="0"/>
        </w:rPr>
        <w:t xml:space="preserve">, </w:t>
      </w:r>
      <w:r>
        <w:rPr>
          <w:b/>
          <w:bCs/>
          <w:kern w:val="0"/>
        </w:rPr>
        <w:t>20</w:t>
      </w:r>
      <w:r>
        <w:rPr>
          <w:kern w:val="0"/>
        </w:rPr>
        <w:t xml:space="preserve"> (5), 1155-1166.</w:t>
      </w:r>
    </w:p>
    <w:p w:rsidR="00C50CE9" w:rsidRPr="003F57E3" w:rsidRDefault="00C50CE9" w:rsidP="00C50CE9">
      <w:pPr>
        <w:pStyle w:val="a0"/>
        <w:rPr>
          <w:kern w:val="0"/>
        </w:rPr>
      </w:pPr>
      <w:r w:rsidRPr="003F57E3">
        <w:rPr>
          <w:kern w:val="0"/>
        </w:rPr>
        <w:t xml:space="preserve">Full Text: </w:t>
      </w:r>
      <w:hyperlink r:id="rId198" w:history="1">
        <w:r w:rsidR="00E26A43" w:rsidRPr="00E26A43">
          <w:rPr>
            <w:rStyle w:val="a5"/>
            <w:kern w:val="0"/>
          </w:rPr>
          <w:t>2011\Fre Env Bul20, 1155.pdf</w:t>
        </w:r>
      </w:hyperlink>
    </w:p>
    <w:p w:rsidR="00C50CE9" w:rsidRDefault="00C50CE9" w:rsidP="00C50CE9">
      <w:pPr>
        <w:pStyle w:val="a0"/>
        <w:rPr>
          <w:kern w:val="0"/>
        </w:rPr>
      </w:pPr>
      <w:r>
        <w:rPr>
          <w:kern w:val="0"/>
        </w:rPr>
        <w:lastRenderedPageBreak/>
        <w:t>Abstract: Availability of clay</w:t>
      </w:r>
      <w:r w:rsidR="00F81221">
        <w:rPr>
          <w:kern w:val="0"/>
        </w:rPr>
        <w:t xml:space="preserve"> and </w:t>
      </w:r>
      <w:r>
        <w:rPr>
          <w:kern w:val="0"/>
        </w:rPr>
        <w:t>its modified forms makes them a viable candidate for an alternative adsorbent. In this study, kaolinite</w:t>
      </w:r>
      <w:r w:rsidR="00F81221">
        <w:rPr>
          <w:kern w:val="0"/>
        </w:rPr>
        <w:t xml:space="preserve"> and </w:t>
      </w:r>
      <w:r>
        <w:rPr>
          <w:kern w:val="0"/>
        </w:rPr>
        <w:t>modified kaolinites were tested to determine their suitability for removal of Ni(II) ions from aqueous medium. Parameters, such as kaolinite type, concentration of Ni ions, time</w:t>
      </w:r>
      <w:r w:rsidR="00F81221">
        <w:rPr>
          <w:kern w:val="0"/>
        </w:rPr>
        <w:t xml:space="preserve"> and </w:t>
      </w:r>
      <w:r>
        <w:rPr>
          <w:kern w:val="0"/>
        </w:rPr>
        <w:t>temperature of interaction, were investigated to evaluate the adsorption capacity, kinetics, equilibrium</w:t>
      </w:r>
      <w:r w:rsidR="00F81221">
        <w:rPr>
          <w:kern w:val="0"/>
        </w:rPr>
        <w:t xml:space="preserve"> and </w:t>
      </w:r>
      <w:r>
        <w:rPr>
          <w:kern w:val="0"/>
        </w:rPr>
        <w:t>thermodynamic properties of Ni(II) adsorption. The adsorption isotherms followed Freundlich, Dubinin-Redushkevich (D-R)</w:t>
      </w:r>
      <w:r w:rsidR="00F81221">
        <w:rPr>
          <w:kern w:val="0"/>
        </w:rPr>
        <w:t xml:space="preserve"> and </w:t>
      </w:r>
      <w:r>
        <w:rPr>
          <w:kern w:val="0"/>
        </w:rPr>
        <w:t>Halsey isotherms but DR isotherm was chosen due to its applicability to all adsorption isotherms. The kinetics of adsorption mechanism of Ni(II) was tested using pseudo-first-order, pseudo-second-order</w:t>
      </w:r>
      <w:r w:rsidR="00F81221">
        <w:rPr>
          <w:kern w:val="0"/>
        </w:rPr>
        <w:t xml:space="preserve"> and </w:t>
      </w:r>
      <w:r>
        <w:rPr>
          <w:kern w:val="0"/>
        </w:rPr>
        <w:t>intraparticle diffusion models. The results showed that adsorption mechanism could be perfectly explained with pseudo-second order equation. The intraparticle diffusion of Ni(II) ions within the natural</w:t>
      </w:r>
      <w:r w:rsidR="00F81221">
        <w:rPr>
          <w:kern w:val="0"/>
        </w:rPr>
        <w:t xml:space="preserve"> and </w:t>
      </w:r>
      <w:r>
        <w:rPr>
          <w:kern w:val="0"/>
        </w:rPr>
        <w:t>modified kaolinite was more likely to be governed by the diffusion step. Adsorption mechanism for activated kaolinite was intra-particle diffusion model. Ni(II) adsorptions on activated kaolinites were exothermic</w:t>
      </w:r>
      <w:r w:rsidR="00F81221">
        <w:rPr>
          <w:kern w:val="0"/>
        </w:rPr>
        <w:t xml:space="preserve"> and </w:t>
      </w:r>
      <w:r>
        <w:rPr>
          <w:kern w:val="0"/>
        </w:rPr>
        <w:t>spontaneous in nature. The results of this study indicated that activated kaolinite can be employed for removal of Ni(II) from industrial wastewater.</w:t>
      </w:r>
    </w:p>
    <w:p w:rsidR="00C50CE9" w:rsidRDefault="00C50CE9" w:rsidP="00C50CE9">
      <w:pPr>
        <w:pStyle w:val="a0"/>
        <w:rPr>
          <w:kern w:val="0"/>
        </w:rPr>
      </w:pPr>
      <w:r>
        <w:rPr>
          <w:kern w:val="0"/>
        </w:rPr>
        <w:t>Keywords: Acid, Activated Kaolinites, Adsorption, Adsorption Isotherms, Adsorption Mechanism, Aqueous-Solution, Cadmium, Copper, Diffusion, Equilibrium, Freundlich, Heavy-Metals, Industrial Wastewater, Isotherm, Isotherms, Kaolinite, Kinetic, Kinetics, Mechanism, Modified, Modified Clay, Nickel, Removal, Sorption, Temperature, Thermodynamic, Waste-Water, Wastewater, Zinc</w:t>
      </w:r>
    </w:p>
    <w:p w:rsidR="00C50CE9" w:rsidRDefault="00C50CE9" w:rsidP="00C50CE9">
      <w:pPr>
        <w:pStyle w:val="a0"/>
        <w:rPr>
          <w:kern w:val="0"/>
        </w:rPr>
      </w:pPr>
      <w:r>
        <w:rPr>
          <w:rFonts w:hint="eastAsia"/>
          <w:kern w:val="0"/>
        </w:rPr>
        <w:t xml:space="preserve">? </w:t>
      </w:r>
      <w:r>
        <w:rPr>
          <w:kern w:val="0"/>
        </w:rPr>
        <w:t>Zhu, Y.N., Liang, M.N., Lu, R.R., Zhang, H., Zhu, Z.Q., You, S.H., Liu, J.</w:t>
      </w:r>
      <w:r w:rsidR="00F81221">
        <w:rPr>
          <w:kern w:val="0"/>
        </w:rPr>
        <w:t xml:space="preserve"> and </w:t>
      </w:r>
      <w:r>
        <w:rPr>
          <w:kern w:val="0"/>
        </w:rPr>
        <w:t xml:space="preserve">Liu, H.L. (2011), Phosphorus removal from aqueous solution by the Fe(III)-impregnated sorbent prepared from sugarcane bagasse. </w:t>
      </w:r>
      <w:r>
        <w:rPr>
          <w:i/>
          <w:iCs/>
          <w:kern w:val="0"/>
        </w:rPr>
        <w:t>Fresenius Environmental Bulletin</w:t>
      </w:r>
      <w:r>
        <w:rPr>
          <w:kern w:val="0"/>
        </w:rPr>
        <w:t xml:space="preserve">, </w:t>
      </w:r>
      <w:r>
        <w:rPr>
          <w:b/>
          <w:bCs/>
          <w:kern w:val="0"/>
        </w:rPr>
        <w:t>20</w:t>
      </w:r>
      <w:r>
        <w:rPr>
          <w:kern w:val="0"/>
        </w:rPr>
        <w:t xml:space="preserve"> (5A), 1288-1296.</w:t>
      </w:r>
    </w:p>
    <w:p w:rsidR="00C50CE9" w:rsidRPr="003F57E3" w:rsidRDefault="00C50CE9" w:rsidP="00C50CE9">
      <w:pPr>
        <w:pStyle w:val="a0"/>
        <w:rPr>
          <w:kern w:val="0"/>
        </w:rPr>
      </w:pPr>
      <w:r w:rsidRPr="003F57E3">
        <w:rPr>
          <w:kern w:val="0"/>
        </w:rPr>
        <w:t xml:space="preserve">Full Text: </w:t>
      </w:r>
      <w:hyperlink r:id="rId199" w:history="1">
        <w:r w:rsidR="00080ADA" w:rsidRPr="00080ADA">
          <w:rPr>
            <w:rStyle w:val="a5"/>
            <w:kern w:val="0"/>
          </w:rPr>
          <w:t>2011\Fre Env Bul20, 1288.pdf</w:t>
        </w:r>
      </w:hyperlink>
    </w:p>
    <w:p w:rsidR="00C50CE9" w:rsidRDefault="00C50CE9" w:rsidP="00C50CE9">
      <w:pPr>
        <w:pStyle w:val="a0"/>
        <w:rPr>
          <w:kern w:val="0"/>
        </w:rPr>
      </w:pPr>
      <w:r>
        <w:rPr>
          <w:kern w:val="0"/>
        </w:rPr>
        <w:t>Abstract: An Fe(III)-impregnated sorbent was prepared from sugarcane bagasse</w:t>
      </w:r>
      <w:r w:rsidR="00F81221">
        <w:rPr>
          <w:kern w:val="0"/>
        </w:rPr>
        <w:t xml:space="preserve"> and </w:t>
      </w:r>
      <w:r>
        <w:rPr>
          <w:kern w:val="0"/>
        </w:rPr>
        <w:t>FeCl3 solution via carbonization/activation in a muffle furnace at 500 degrees C for 4h. The sorption removal of phosphorus from aqueous solution by the prepared sorbent was then studied in a batch system. The amount of phosphorus sorbed decreased from 1.03 to 0.19 mg/g with increasing amount of sorbent from 200 to 1200 mg in 50 mL test solution. With increasing initial phosphorus concentration from 2 to 50 mg/L, the amount of phosphorus sorbed increased from 0.33 to 2.67 mg/g at 25 degrees C, from 0.32 to 3.66 mg/g at 35 degrees C</w:t>
      </w:r>
      <w:r w:rsidR="00F81221">
        <w:rPr>
          <w:kern w:val="0"/>
        </w:rPr>
        <w:t xml:space="preserve"> and </w:t>
      </w:r>
      <w:r>
        <w:rPr>
          <w:kern w:val="0"/>
        </w:rPr>
        <w:t>from 0.32 to 3.85 mg/g at 45 degrees C,</w:t>
      </w:r>
      <w:r w:rsidR="00F81221">
        <w:rPr>
          <w:kern w:val="0"/>
        </w:rPr>
        <w:t xml:space="preserve"> and </w:t>
      </w:r>
      <w:r>
        <w:rPr>
          <w:kern w:val="0"/>
        </w:rPr>
        <w:t>the corresponding removal rate decreased from 98.89 to 32.06% at 25 degrees C, from 94.52 to 43.79% at 35 degrees C</w:t>
      </w:r>
      <w:r w:rsidR="00F81221">
        <w:rPr>
          <w:kern w:val="0"/>
        </w:rPr>
        <w:t xml:space="preserve"> and </w:t>
      </w:r>
      <w:r>
        <w:rPr>
          <w:kern w:val="0"/>
        </w:rPr>
        <w:t>from 96.01 to 46.35% at 45 degrees C. As the initial pH increased from 2 to 10, the sorption capacity increased from 0.55 to 0.77 mg/g</w:t>
      </w:r>
      <w:r w:rsidR="00F81221">
        <w:rPr>
          <w:kern w:val="0"/>
        </w:rPr>
        <w:t xml:space="preserve"> and </w:t>
      </w:r>
      <w:r>
        <w:rPr>
          <w:kern w:val="0"/>
        </w:rPr>
        <w:t xml:space="preserve">the corresponding removal rate </w:t>
      </w:r>
      <w:r>
        <w:rPr>
          <w:kern w:val="0"/>
        </w:rPr>
        <w:lastRenderedPageBreak/>
        <w:t>increased from 71.23 to 92.89%. The pseudo-second-order kinetic model generated the best fit to the experimental data with regression coefficients R-2&gt;0.9970.</w:t>
      </w:r>
    </w:p>
    <w:p w:rsidR="00C50CE9" w:rsidRDefault="00C50CE9" w:rsidP="00C50CE9">
      <w:pPr>
        <w:pStyle w:val="a0"/>
        <w:rPr>
          <w:kern w:val="0"/>
        </w:rPr>
      </w:pPr>
      <w:r>
        <w:rPr>
          <w:kern w:val="0"/>
        </w:rPr>
        <w:t xml:space="preserve">Keywords: Activated Carbon, Adsorption, Agricultural Waste, Aqueous Solution, Bagasse, Basic Dye, Equilibrium, Fe(III)-Impregnation, Kinetic, Kinetic Model, Methylene-Blue, </w:t>
      </w:r>
      <w:r>
        <w:rPr>
          <w:rFonts w:hint="eastAsia"/>
          <w:kern w:val="0"/>
        </w:rPr>
        <w:t>p</w:t>
      </w:r>
      <w:r>
        <w:rPr>
          <w:kern w:val="0"/>
        </w:rPr>
        <w:t>H, Phosphorus, Raw, Removal, Sorbent, Sorption, Sorption Removal, Sugarcane Bagasse</w:t>
      </w:r>
    </w:p>
    <w:p w:rsidR="005D25BF" w:rsidRDefault="005D25BF" w:rsidP="005D25BF">
      <w:pPr>
        <w:pStyle w:val="a0"/>
        <w:rPr>
          <w:kern w:val="0"/>
        </w:rPr>
      </w:pPr>
      <w:r>
        <w:rPr>
          <w:rFonts w:hint="eastAsia"/>
          <w:kern w:val="0"/>
        </w:rPr>
        <w:t xml:space="preserve">? </w:t>
      </w:r>
      <w:r w:rsidRPr="005D25BF">
        <w:rPr>
          <w:kern w:val="0"/>
        </w:rPr>
        <w:t>Zhang, L</w:t>
      </w:r>
      <w:r>
        <w:rPr>
          <w:rFonts w:hint="eastAsia"/>
          <w:kern w:val="0"/>
        </w:rPr>
        <w:t>.</w:t>
      </w:r>
      <w:r w:rsidRPr="005D25BF">
        <w:rPr>
          <w:kern w:val="0"/>
        </w:rPr>
        <w:t>Y</w:t>
      </w:r>
      <w:r>
        <w:rPr>
          <w:rFonts w:hint="eastAsia"/>
          <w:kern w:val="0"/>
        </w:rPr>
        <w:t>.,</w:t>
      </w:r>
      <w:r w:rsidRPr="005D25BF">
        <w:rPr>
          <w:kern w:val="0"/>
        </w:rPr>
        <w:t xml:space="preserve"> Ying, Z</w:t>
      </w:r>
      <w:r>
        <w:rPr>
          <w:rFonts w:hint="eastAsia"/>
          <w:kern w:val="0"/>
        </w:rPr>
        <w:t>.,</w:t>
      </w:r>
      <w:r w:rsidRPr="005D25BF">
        <w:rPr>
          <w:kern w:val="0"/>
        </w:rPr>
        <w:t xml:space="preserve"> Donghai, Y</w:t>
      </w:r>
      <w:r>
        <w:rPr>
          <w:rFonts w:hint="eastAsia"/>
          <w:kern w:val="0"/>
        </w:rPr>
        <w:t xml:space="preserve">., </w:t>
      </w:r>
      <w:r w:rsidRPr="005D25BF">
        <w:rPr>
          <w:kern w:val="0"/>
        </w:rPr>
        <w:t>Xi, B</w:t>
      </w:r>
      <w:r>
        <w:rPr>
          <w:rFonts w:hint="eastAsia"/>
          <w:kern w:val="0"/>
        </w:rPr>
        <w:t>.</w:t>
      </w:r>
      <w:r w:rsidRPr="005D25BF">
        <w:rPr>
          <w:kern w:val="0"/>
        </w:rPr>
        <w:t>D</w:t>
      </w:r>
      <w:r>
        <w:rPr>
          <w:rFonts w:hint="eastAsia"/>
          <w:kern w:val="0"/>
        </w:rPr>
        <w:t>.,</w:t>
      </w:r>
      <w:r w:rsidRPr="005D25BF">
        <w:rPr>
          <w:kern w:val="0"/>
        </w:rPr>
        <w:t xml:space="preserve"> Huo, S</w:t>
      </w:r>
      <w:r>
        <w:rPr>
          <w:rFonts w:hint="eastAsia"/>
          <w:kern w:val="0"/>
        </w:rPr>
        <w:t>.</w:t>
      </w:r>
      <w:r w:rsidRPr="005D25BF">
        <w:rPr>
          <w:kern w:val="0"/>
        </w:rPr>
        <w:t>L</w:t>
      </w:r>
      <w:r>
        <w:rPr>
          <w:rFonts w:hint="eastAsia"/>
          <w:kern w:val="0"/>
        </w:rPr>
        <w:t>.,</w:t>
      </w:r>
      <w:r w:rsidRPr="005D25BF">
        <w:rPr>
          <w:kern w:val="0"/>
        </w:rPr>
        <w:t xml:space="preserve"> Xiong, Y</w:t>
      </w:r>
      <w:r>
        <w:rPr>
          <w:rFonts w:hint="eastAsia"/>
          <w:kern w:val="0"/>
        </w:rPr>
        <w:t>.</w:t>
      </w:r>
      <w:r w:rsidR="00F81221">
        <w:rPr>
          <w:rFonts w:hint="eastAsia"/>
          <w:kern w:val="0"/>
        </w:rPr>
        <w:t xml:space="preserve"> and </w:t>
      </w:r>
      <w:r w:rsidRPr="005D25BF">
        <w:rPr>
          <w:kern w:val="0"/>
        </w:rPr>
        <w:t>Xia, X</w:t>
      </w:r>
      <w:r>
        <w:rPr>
          <w:rFonts w:hint="eastAsia"/>
          <w:kern w:val="0"/>
        </w:rPr>
        <w:t>.</w:t>
      </w:r>
      <w:r w:rsidRPr="005D25BF">
        <w:rPr>
          <w:kern w:val="0"/>
        </w:rPr>
        <w:t>F</w:t>
      </w:r>
      <w:r>
        <w:rPr>
          <w:rFonts w:hint="eastAsia"/>
          <w:kern w:val="0"/>
        </w:rPr>
        <w:t>.</w:t>
      </w:r>
      <w:r>
        <w:rPr>
          <w:kern w:val="0"/>
        </w:rPr>
        <w:t xml:space="preserve"> (2011), </w:t>
      </w:r>
      <w:r w:rsidRPr="005D25BF">
        <w:rPr>
          <w:kern w:val="0"/>
        </w:rPr>
        <w:t>Effect of season, nitrogen loading rate</w:t>
      </w:r>
      <w:r w:rsidR="00F81221">
        <w:rPr>
          <w:kern w:val="0"/>
        </w:rPr>
        <w:t xml:space="preserve"> and </w:t>
      </w:r>
      <w:r w:rsidRPr="005D25BF">
        <w:rPr>
          <w:kern w:val="0"/>
        </w:rPr>
        <w:t>operational age on nitrogen removal rate of full-scale horizontal subsurface flow constructed wetlands: Three year</w:t>
      </w:r>
      <w:r w:rsidR="000352E7">
        <w:rPr>
          <w:kern w:val="0"/>
        </w:rPr>
        <w:t>’</w:t>
      </w:r>
      <w:r w:rsidRPr="005D25BF">
        <w:rPr>
          <w:kern w:val="0"/>
        </w:rPr>
        <w:t>s study</w:t>
      </w:r>
      <w:r>
        <w:rPr>
          <w:kern w:val="0"/>
        </w:rPr>
        <w:t xml:space="preserve">. </w:t>
      </w:r>
      <w:r>
        <w:rPr>
          <w:i/>
          <w:iCs/>
          <w:kern w:val="0"/>
        </w:rPr>
        <w:t>Fresenius Environmental Bulletin</w:t>
      </w:r>
      <w:r>
        <w:rPr>
          <w:kern w:val="0"/>
        </w:rPr>
        <w:t xml:space="preserve">, </w:t>
      </w:r>
      <w:r>
        <w:rPr>
          <w:b/>
          <w:bCs/>
          <w:kern w:val="0"/>
        </w:rPr>
        <w:t>20</w:t>
      </w:r>
      <w:r>
        <w:rPr>
          <w:kern w:val="0"/>
        </w:rPr>
        <w:t xml:space="preserve"> (</w:t>
      </w:r>
      <w:r>
        <w:rPr>
          <w:rFonts w:hint="eastAsia"/>
          <w:kern w:val="0"/>
        </w:rPr>
        <w:t>7</w:t>
      </w:r>
      <w:r>
        <w:rPr>
          <w:kern w:val="0"/>
        </w:rPr>
        <w:t xml:space="preserve">A), </w:t>
      </w:r>
      <w:r w:rsidRPr="005D25BF">
        <w:rPr>
          <w:kern w:val="0"/>
        </w:rPr>
        <w:t>1749-1757</w:t>
      </w:r>
      <w:r>
        <w:rPr>
          <w:kern w:val="0"/>
        </w:rPr>
        <w:t>.</w:t>
      </w:r>
    </w:p>
    <w:p w:rsidR="005D25BF" w:rsidRDefault="005D25BF" w:rsidP="005D25BF">
      <w:pPr>
        <w:pStyle w:val="a0"/>
        <w:rPr>
          <w:kern w:val="0"/>
        </w:rPr>
      </w:pPr>
      <w:r w:rsidRPr="003F57E3">
        <w:rPr>
          <w:kern w:val="0"/>
        </w:rPr>
        <w:t xml:space="preserve">Full Text: </w:t>
      </w:r>
      <w:r w:rsidRPr="005D25BF">
        <w:rPr>
          <w:kern w:val="0"/>
        </w:rPr>
        <w:t xml:space="preserve">2011\Fre Env Bul20, </w:t>
      </w:r>
      <w:r>
        <w:rPr>
          <w:kern w:val="0"/>
        </w:rPr>
        <w:t>1749</w:t>
      </w:r>
      <w:r w:rsidRPr="005D25BF">
        <w:rPr>
          <w:kern w:val="0"/>
        </w:rPr>
        <w:t>.pdf</w:t>
      </w:r>
    </w:p>
    <w:p w:rsidR="005D25BF" w:rsidRPr="005D25BF" w:rsidRDefault="005D25BF" w:rsidP="005D25BF">
      <w:pPr>
        <w:pStyle w:val="a0"/>
        <w:rPr>
          <w:kern w:val="0"/>
        </w:rPr>
      </w:pPr>
      <w:r w:rsidRPr="005D25BF">
        <w:rPr>
          <w:kern w:val="0"/>
        </w:rPr>
        <w:t>Abstract: In order to investigate the effect of season, nitrogen loading rate</w:t>
      </w:r>
      <w:r w:rsidR="00F81221">
        <w:rPr>
          <w:kern w:val="0"/>
        </w:rPr>
        <w:t xml:space="preserve"> and </w:t>
      </w:r>
      <w:r w:rsidRPr="005D25BF">
        <w:rPr>
          <w:kern w:val="0"/>
        </w:rPr>
        <w:t>operation age on nitrogen removal rate of horizontal subsurface flow (HSF) constructed wetlands treating wastewater, three full-scale constructed wetlands with same design parameters were operated continuously from 2006 until 2008 in parallel experiments. It was found that nitrogen removal rate of the studied CWs varied widely by season</w:t>
      </w:r>
      <w:r w:rsidR="00F81221">
        <w:rPr>
          <w:kern w:val="0"/>
        </w:rPr>
        <w:t xml:space="preserve"> and </w:t>
      </w:r>
      <w:r w:rsidRPr="005D25BF">
        <w:rPr>
          <w:kern w:val="0"/>
        </w:rPr>
        <w:t>it was in positive correlation with temperature. The highest nitrogen removal efficiency was found in summer</w:t>
      </w:r>
      <w:r w:rsidR="00F81221">
        <w:rPr>
          <w:kern w:val="0"/>
        </w:rPr>
        <w:t xml:space="preserve"> and </w:t>
      </w:r>
      <w:r w:rsidRPr="005D25BF">
        <w:rPr>
          <w:kern w:val="0"/>
        </w:rPr>
        <w:t>the lowest in early spring. Although the CWs have the same design parameters, nitrogen removal appeared significant different. The average nitrogen removal rate in DCW with high nitrogen loading rate was 1.63g NH(3)-N m(-2)d(-1)</w:t>
      </w:r>
      <w:r w:rsidR="00F81221">
        <w:rPr>
          <w:kern w:val="0"/>
        </w:rPr>
        <w:t xml:space="preserve"> and </w:t>
      </w:r>
      <w:r w:rsidRPr="005D25BF">
        <w:rPr>
          <w:kern w:val="0"/>
        </w:rPr>
        <w:t>1.65g TN m(-2)d(-1), whereas lower nitrogen removal rate of 0.12g NH(3)-N m(-2)d(-1)</w:t>
      </w:r>
      <w:r w:rsidR="00F81221">
        <w:rPr>
          <w:kern w:val="0"/>
        </w:rPr>
        <w:t xml:space="preserve"> and </w:t>
      </w:r>
      <w:r w:rsidRPr="005D25BF">
        <w:rPr>
          <w:kern w:val="0"/>
        </w:rPr>
        <w:t>0.16g TN m(-2)d was found in ECW with low carbon</w:t>
      </w:r>
      <w:r w:rsidR="00F81221">
        <w:rPr>
          <w:kern w:val="0"/>
        </w:rPr>
        <w:t xml:space="preserve"> and </w:t>
      </w:r>
      <w:r w:rsidRPr="005D25BF">
        <w:rPr>
          <w:kern w:val="0"/>
        </w:rPr>
        <w:t>low nitrogen influent loading rate. The capability of nitrogen removal rates increases gradually with the operation time of CWs</w:t>
      </w:r>
      <w:r w:rsidR="00F81221">
        <w:rPr>
          <w:kern w:val="0"/>
        </w:rPr>
        <w:t xml:space="preserve"> and </w:t>
      </w:r>
      <w:r w:rsidRPr="005D25BF">
        <w:rPr>
          <w:kern w:val="0"/>
        </w:rPr>
        <w:t>it was proven that there wa</w:t>
      </w:r>
      <w:r>
        <w:rPr>
          <w:kern w:val="0"/>
        </w:rPr>
        <w:t>s a mature process for new CWs.</w:t>
      </w:r>
    </w:p>
    <w:p w:rsidR="005D25BF" w:rsidRPr="003F57E3" w:rsidRDefault="005D25BF" w:rsidP="005D25BF">
      <w:pPr>
        <w:pStyle w:val="a0"/>
        <w:rPr>
          <w:kern w:val="0"/>
        </w:rPr>
      </w:pPr>
      <w:r w:rsidRPr="005D25BF">
        <w:rPr>
          <w:kern w:val="0"/>
        </w:rPr>
        <w:t>Keywords: Constructed Wetland</w:t>
      </w:r>
      <w:r>
        <w:rPr>
          <w:kern w:val="0"/>
        </w:rPr>
        <w:t>,</w:t>
      </w:r>
      <w:r w:rsidRPr="005D25BF">
        <w:rPr>
          <w:kern w:val="0"/>
        </w:rPr>
        <w:t xml:space="preserve"> Nitrogen Loading Rate</w:t>
      </w:r>
      <w:r>
        <w:rPr>
          <w:kern w:val="0"/>
        </w:rPr>
        <w:t>,</w:t>
      </w:r>
      <w:r w:rsidRPr="005D25BF">
        <w:rPr>
          <w:kern w:val="0"/>
        </w:rPr>
        <w:t xml:space="preserve"> Seasonal Effect</w:t>
      </w:r>
      <w:r>
        <w:rPr>
          <w:kern w:val="0"/>
        </w:rPr>
        <w:t>,</w:t>
      </w:r>
      <w:r w:rsidRPr="005D25BF">
        <w:rPr>
          <w:kern w:val="0"/>
        </w:rPr>
        <w:t xml:space="preserve"> Operational Age</w:t>
      </w:r>
      <w:r>
        <w:rPr>
          <w:kern w:val="0"/>
        </w:rPr>
        <w:t>,</w:t>
      </w:r>
      <w:r w:rsidRPr="005D25BF">
        <w:rPr>
          <w:kern w:val="0"/>
        </w:rPr>
        <w:t xml:space="preserve"> Nitrogen Removal Rate</w:t>
      </w:r>
      <w:r>
        <w:rPr>
          <w:kern w:val="0"/>
        </w:rPr>
        <w:t>,</w:t>
      </w:r>
      <w:r w:rsidRPr="005D25BF">
        <w:rPr>
          <w:kern w:val="0"/>
        </w:rPr>
        <w:t xml:space="preserve"> Waste-Water</w:t>
      </w:r>
      <w:r>
        <w:rPr>
          <w:kern w:val="0"/>
        </w:rPr>
        <w:t>,</w:t>
      </w:r>
      <w:r w:rsidRPr="005D25BF">
        <w:rPr>
          <w:kern w:val="0"/>
        </w:rPr>
        <w:t xml:space="preserve"> Performance</w:t>
      </w:r>
      <w:r>
        <w:rPr>
          <w:kern w:val="0"/>
        </w:rPr>
        <w:t>,</w:t>
      </w:r>
      <w:r w:rsidRPr="005D25BF">
        <w:rPr>
          <w:kern w:val="0"/>
        </w:rPr>
        <w:t xml:space="preserve"> Systems</w:t>
      </w:r>
      <w:r>
        <w:rPr>
          <w:kern w:val="0"/>
        </w:rPr>
        <w:t>,</w:t>
      </w:r>
      <w:r w:rsidRPr="005D25BF">
        <w:rPr>
          <w:kern w:val="0"/>
        </w:rPr>
        <w:t xml:space="preserve"> China</w:t>
      </w:r>
      <w:r>
        <w:rPr>
          <w:kern w:val="0"/>
        </w:rPr>
        <w:t>,</w:t>
      </w:r>
      <w:r w:rsidRPr="005D25BF">
        <w:rPr>
          <w:kern w:val="0"/>
        </w:rPr>
        <w:t xml:space="preserve"> Denitrification</w:t>
      </w:r>
      <w:r>
        <w:rPr>
          <w:kern w:val="0"/>
        </w:rPr>
        <w:t>,</w:t>
      </w:r>
      <w:r w:rsidRPr="005D25BF">
        <w:rPr>
          <w:kern w:val="0"/>
        </w:rPr>
        <w:t xml:space="preserve"> Nitrification</w:t>
      </w:r>
      <w:r>
        <w:rPr>
          <w:kern w:val="0"/>
        </w:rPr>
        <w:t>,</w:t>
      </w:r>
      <w:r w:rsidRPr="005D25BF">
        <w:rPr>
          <w:kern w:val="0"/>
        </w:rPr>
        <w:t xml:space="preserve"> </w:t>
      </w:r>
      <w:r>
        <w:rPr>
          <w:kern w:val="0"/>
        </w:rPr>
        <w:t>Efficiency, Oxidation, Climate</w:t>
      </w:r>
    </w:p>
    <w:p w:rsidR="00EE7BA1" w:rsidRDefault="00EE7BA1" w:rsidP="00EE7BA1">
      <w:pPr>
        <w:pStyle w:val="a0"/>
        <w:rPr>
          <w:kern w:val="0"/>
        </w:rPr>
      </w:pPr>
      <w:r>
        <w:rPr>
          <w:rFonts w:hint="eastAsia"/>
          <w:kern w:val="0"/>
        </w:rPr>
        <w:t xml:space="preserve">? </w:t>
      </w:r>
      <w:r>
        <w:rPr>
          <w:kern w:val="0"/>
        </w:rPr>
        <w:t>Saltaba</w:t>
      </w:r>
      <w:r w:rsidR="001B26D2">
        <w:rPr>
          <w:kern w:val="0"/>
        </w:rPr>
        <w:t>ş</w:t>
      </w:r>
      <w:r>
        <w:rPr>
          <w:kern w:val="0"/>
        </w:rPr>
        <w:t>,</w:t>
      </w:r>
      <w:r w:rsidR="001B26D2">
        <w:rPr>
          <w:rFonts w:hint="eastAsia"/>
          <w:kern w:val="0"/>
        </w:rPr>
        <w:t xml:space="preserve"> </w:t>
      </w:r>
      <w:r w:rsidR="001B26D2">
        <w:rPr>
          <w:kern w:val="0"/>
        </w:rPr>
        <w:t>Ö</w:t>
      </w:r>
      <w:r>
        <w:rPr>
          <w:kern w:val="0"/>
        </w:rPr>
        <w:t>., Teker, M. and Kurtulmu</w:t>
      </w:r>
      <w:r w:rsidR="001B26D2">
        <w:rPr>
          <w:kern w:val="0"/>
        </w:rPr>
        <w:t>ş</w:t>
      </w:r>
      <w:r>
        <w:rPr>
          <w:kern w:val="0"/>
        </w:rPr>
        <w:t>, E. (2011), Recovery of silver from aqueous solution by water hyacinth (</w:t>
      </w:r>
      <w:r w:rsidRPr="008F3D75">
        <w:rPr>
          <w:i/>
          <w:kern w:val="0"/>
        </w:rPr>
        <w:t>Eichhornia crassipes</w:t>
      </w:r>
      <w:r>
        <w:rPr>
          <w:kern w:val="0"/>
        </w:rPr>
        <w:t xml:space="preserve">) roots. </w:t>
      </w:r>
      <w:r>
        <w:rPr>
          <w:i/>
          <w:iCs/>
          <w:kern w:val="0"/>
        </w:rPr>
        <w:t>Fresenius Environmental Bulletin</w:t>
      </w:r>
      <w:r>
        <w:rPr>
          <w:kern w:val="0"/>
        </w:rPr>
        <w:t xml:space="preserve">, </w:t>
      </w:r>
      <w:r>
        <w:rPr>
          <w:b/>
          <w:bCs/>
          <w:kern w:val="0"/>
        </w:rPr>
        <w:t>20</w:t>
      </w:r>
      <w:r>
        <w:rPr>
          <w:kern w:val="0"/>
        </w:rPr>
        <w:t xml:space="preserve"> (9), 2232-2237.</w:t>
      </w:r>
    </w:p>
    <w:p w:rsidR="00EE7BA1" w:rsidRPr="007D79E8" w:rsidRDefault="00EE7BA1" w:rsidP="00EE7BA1">
      <w:pPr>
        <w:pStyle w:val="a0"/>
        <w:rPr>
          <w:kern w:val="0"/>
        </w:rPr>
      </w:pPr>
      <w:r w:rsidRPr="007D79E8">
        <w:rPr>
          <w:kern w:val="0"/>
        </w:rPr>
        <w:t>Full Text:</w:t>
      </w:r>
      <w:r>
        <w:rPr>
          <w:rFonts w:hint="eastAsia"/>
          <w:kern w:val="0"/>
        </w:rPr>
        <w:t xml:space="preserve"> </w:t>
      </w:r>
      <w:hyperlink r:id="rId200" w:history="1">
        <w:r w:rsidR="007068E2" w:rsidRPr="007068E2">
          <w:rPr>
            <w:rStyle w:val="a5"/>
            <w:kern w:val="0"/>
          </w:rPr>
          <w:t>2011\Fre Env Bul20, 2232.pdf</w:t>
        </w:r>
      </w:hyperlink>
    </w:p>
    <w:p w:rsidR="00EE7BA1" w:rsidRDefault="00EE7BA1" w:rsidP="00EE7BA1">
      <w:pPr>
        <w:pStyle w:val="a0"/>
        <w:rPr>
          <w:kern w:val="0"/>
        </w:rPr>
      </w:pPr>
      <w:r>
        <w:rPr>
          <w:kern w:val="0"/>
        </w:rPr>
        <w:t>Abstract: Roots of water hyacinth, Eichhornia crassipes, were found to have biosorption capacity for silver. To evaluate the biosorption capacity and characteristics, the effect of solution pH, dose of biosorbent loading, contact time, temperature and initial silver concentration were investigated in a batch mode. The Langmuir and Freundlich adsorption models were used for mathematical description of the sorption equilibrium. Equilibrium data was fitted to the Langmuir model at 293 and 398 K and concentrations of 10-150 mg L</w:t>
      </w:r>
      <w:r>
        <w:rPr>
          <w:rFonts w:hint="eastAsia"/>
          <w:kern w:val="0"/>
          <w:vertAlign w:val="superscript"/>
        </w:rPr>
        <w:t>-1</w:t>
      </w:r>
      <w:r>
        <w:rPr>
          <w:kern w:val="0"/>
        </w:rPr>
        <w:t xml:space="preserve">. Based on the Langmuir isotherm plots, the </w:t>
      </w:r>
      <w:r>
        <w:rPr>
          <w:kern w:val="0"/>
        </w:rPr>
        <w:lastRenderedPageBreak/>
        <w:t>maximum biosorption capacity value was calculated to be 141.54 mmol g</w:t>
      </w:r>
      <w:r>
        <w:rPr>
          <w:rFonts w:hint="eastAsia"/>
          <w:kern w:val="0"/>
          <w:vertAlign w:val="superscript"/>
        </w:rPr>
        <w:t>-1</w:t>
      </w:r>
      <w:r>
        <w:rPr>
          <w:kern w:val="0"/>
        </w:rPr>
        <w:t xml:space="preserve"> at 293 K. Various thermodynamic parameters, such as ΔGº, ΔHº, and ΔSº, were evaluated with results indicating that this system was an exothermic spontaneous reaction and kinetically suited to pseudo second order model.</w:t>
      </w:r>
    </w:p>
    <w:p w:rsidR="00EE7BA1" w:rsidRDefault="00EE7BA1" w:rsidP="00EE7BA1">
      <w:pPr>
        <w:pStyle w:val="a0"/>
        <w:rPr>
          <w:kern w:val="0"/>
        </w:rPr>
      </w:pPr>
      <w:r>
        <w:rPr>
          <w:kern w:val="0"/>
        </w:rPr>
        <w:t>Keywords: AAS, Activated Carbon, Adsorption, Aqueous Solution, Biosorbent, Biosorption, Equilibrium, Freundlich, Gold(III), Heavy-Metal Removal, Ions, Isotherm, Langmuir, Langmuir Isotherm, pH, Pseudo Second Order, Recovery, Resins, Rice Hulls, Silver, Sorption, Temperature, Thermodynamic, Thermodynamic Parameters, Turkey, Waste-Water, Water, Water Hyacinth</w:t>
      </w:r>
    </w:p>
    <w:p w:rsidR="009A4763" w:rsidRDefault="009A4763" w:rsidP="009A4763">
      <w:pPr>
        <w:pStyle w:val="a0"/>
        <w:rPr>
          <w:kern w:val="0"/>
        </w:rPr>
      </w:pPr>
      <w:r>
        <w:rPr>
          <w:rFonts w:hint="eastAsia"/>
          <w:kern w:val="0"/>
        </w:rPr>
        <w:t xml:space="preserve">? </w:t>
      </w:r>
      <w:r>
        <w:rPr>
          <w:kern w:val="0"/>
        </w:rPr>
        <w:t xml:space="preserve">Ramazani, S., Ghaedi, M. and Mortazavi, K. (2011), Multiwalled carbon nanotubes as efficient adsorbent for the removal of Congo red. </w:t>
      </w:r>
      <w:r>
        <w:rPr>
          <w:i/>
          <w:iCs/>
          <w:kern w:val="0"/>
        </w:rPr>
        <w:t>Fresenius Environmental Bulletin</w:t>
      </w:r>
      <w:r>
        <w:rPr>
          <w:kern w:val="0"/>
        </w:rPr>
        <w:t xml:space="preserve">, </w:t>
      </w:r>
      <w:r>
        <w:rPr>
          <w:b/>
          <w:bCs/>
          <w:kern w:val="0"/>
        </w:rPr>
        <w:t>20</w:t>
      </w:r>
      <w:r>
        <w:rPr>
          <w:kern w:val="0"/>
        </w:rPr>
        <w:t xml:space="preserve"> (10), 2514-2520.</w:t>
      </w:r>
    </w:p>
    <w:p w:rsidR="009A4763" w:rsidRPr="007D79E8" w:rsidRDefault="009A4763" w:rsidP="009A4763">
      <w:pPr>
        <w:pStyle w:val="a0"/>
        <w:rPr>
          <w:kern w:val="0"/>
        </w:rPr>
      </w:pPr>
      <w:r w:rsidRPr="007D79E8">
        <w:rPr>
          <w:kern w:val="0"/>
        </w:rPr>
        <w:t>Full Text:</w:t>
      </w:r>
      <w:r>
        <w:rPr>
          <w:rFonts w:hint="eastAsia"/>
          <w:kern w:val="0"/>
        </w:rPr>
        <w:t xml:space="preserve"> </w:t>
      </w:r>
      <w:r w:rsidRPr="00C44502">
        <w:rPr>
          <w:kern w:val="0"/>
        </w:rPr>
        <w:t>2011\</w:t>
      </w:r>
      <w:r w:rsidRPr="00E827BA">
        <w:rPr>
          <w:kern w:val="0"/>
        </w:rPr>
        <w:t>Fre Env Bul20, 2514</w:t>
      </w:r>
      <w:r w:rsidRPr="00C44502">
        <w:rPr>
          <w:kern w:val="0"/>
        </w:rPr>
        <w:t>.pdf</w:t>
      </w:r>
    </w:p>
    <w:p w:rsidR="009A4763" w:rsidRDefault="009A4763" w:rsidP="009A4763">
      <w:pPr>
        <w:pStyle w:val="a0"/>
        <w:rPr>
          <w:kern w:val="0"/>
        </w:rPr>
      </w:pPr>
      <w:r>
        <w:rPr>
          <w:kern w:val="0"/>
        </w:rPr>
        <w:t>Abstract: The present investigation assesses the applicability of multiwalled carbon nanotubes (MWCNTs) for the removal of Congo red (CR) from wastewaters. The CR removal rates of MWCNTs have been determined by investigating factors, such as pH effect, initial CR concentration, amount of MWCNT, contact time, and temperature. Langmuir, Freundlich, Tempkin and Dubinin-Radushkevich isotherm models have been used to evaluate the phenomenal adsorption process. With the help of adsorption isotherm data, different thermodynamic parameters, such as free energy; enthalpy, and entropy, have been calculated. At optimum values of all variables, the removal process followed the pseudo-first-order and pseudo-second-order kinetic equations.</w:t>
      </w:r>
    </w:p>
    <w:p w:rsidR="009A4763" w:rsidRDefault="009A4763" w:rsidP="009A4763">
      <w:pPr>
        <w:pStyle w:val="a0"/>
        <w:rPr>
          <w:kern w:val="0"/>
        </w:rPr>
      </w:pPr>
      <w:r>
        <w:rPr>
          <w:kern w:val="0"/>
        </w:rPr>
        <w:t>Keywords: Acid Dyes, Activated Carbon, Adsorption, Adsorptive Removal, Aqueous-Solution, Carbon, Congo Red, Equilibrium, Isotherm, Kinetic And Thermodynamics of Adsorption, Kinetics, Langmuir, Methylene-Blue, Multiwalled Carbon Nanotubes (MWCNTs), pH, Removal, Rice-Husk, Waste-Water</w:t>
      </w:r>
    </w:p>
    <w:p w:rsidR="00B95188" w:rsidRPr="00A428C3" w:rsidRDefault="00B95188" w:rsidP="00B95188">
      <w:pPr>
        <w:pStyle w:val="1"/>
      </w:pPr>
      <w:r w:rsidRPr="00A428C3">
        <w:br w:type="page"/>
      </w:r>
      <w:bookmarkStart w:id="154" w:name="_Toc186647689"/>
      <w:bookmarkStart w:id="155" w:name="_Toc317160865"/>
      <w:r w:rsidRPr="00A428C3">
        <w:lastRenderedPageBreak/>
        <w:t>Title: Fresenius Journal of Analytical Chemistry</w:t>
      </w:r>
      <w:bookmarkEnd w:id="144"/>
      <w:bookmarkEnd w:id="145"/>
      <w:bookmarkEnd w:id="153"/>
      <w:bookmarkEnd w:id="154"/>
      <w:bookmarkEnd w:id="155"/>
    </w:p>
    <w:p w:rsidR="00B95188" w:rsidRPr="00A428C3" w:rsidRDefault="00B95188" w:rsidP="00B72EF9">
      <w:pPr>
        <w:pStyle w:val="12"/>
      </w:pPr>
      <w:r w:rsidRPr="00A428C3">
        <w:t xml:space="preserve">Full Journal Title: </w:t>
      </w:r>
      <w:hyperlink r:id="rId201" w:history="1">
        <w:r w:rsidRPr="00A428C3">
          <w:rPr>
            <w:rStyle w:val="a5"/>
          </w:rPr>
          <w:t>Fresenius Journal of Analytical Chemistry</w:t>
        </w:r>
      </w:hyperlink>
    </w:p>
    <w:p w:rsidR="00B95188" w:rsidRPr="00A428C3" w:rsidRDefault="00B95188" w:rsidP="00B72EF9">
      <w:pPr>
        <w:pStyle w:val="12"/>
      </w:pPr>
      <w:r w:rsidRPr="00A428C3">
        <w:t>ISO Abbreviated Title: Fresenius J. Anal. Chem.</w:t>
      </w:r>
    </w:p>
    <w:p w:rsidR="00B95188" w:rsidRPr="00A428C3" w:rsidRDefault="00B95188" w:rsidP="00B72EF9">
      <w:pPr>
        <w:pStyle w:val="12"/>
      </w:pPr>
      <w:r w:rsidRPr="00A428C3">
        <w:t>JCR Abbreviated Title: Fresen J Anal Chem</w:t>
      </w:r>
    </w:p>
    <w:p w:rsidR="00B95188" w:rsidRPr="00A428C3" w:rsidRDefault="00B95188" w:rsidP="00B72EF9">
      <w:pPr>
        <w:pStyle w:val="12"/>
      </w:pPr>
      <w:r w:rsidRPr="00A428C3">
        <w:t>ISSN: 0937-0633</w:t>
      </w:r>
    </w:p>
    <w:p w:rsidR="00B95188" w:rsidRPr="00A428C3" w:rsidRDefault="00B95188" w:rsidP="00B72EF9">
      <w:pPr>
        <w:pStyle w:val="12"/>
      </w:pPr>
      <w:r w:rsidRPr="00A428C3">
        <w:t>Issues/Year: 24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Springer Verlag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Analytical: Impact Factor</w:t>
      </w:r>
    </w:p>
    <w:p w:rsidR="00B95188" w:rsidRPr="00A428C3" w:rsidRDefault="00B95188" w:rsidP="00B95188">
      <w:pPr>
        <w:pStyle w:val="a0"/>
      </w:pPr>
      <w:r w:rsidRPr="00A428C3">
        <w:t>Harju, T., Laitinen, T., Parkka, M., Revitzer, H.</w:t>
      </w:r>
      <w:r w:rsidR="00F81221">
        <w:t xml:space="preserve"> and </w:t>
      </w:r>
      <w:r w:rsidRPr="00A428C3">
        <w:t xml:space="preserve">Yliruokanen, </w:t>
      </w:r>
      <w:smartTag w:uri="urn:schemas-microsoft-com:office:smarttags" w:element="place">
        <w:r w:rsidRPr="00A428C3">
          <w:t>I.</w:t>
        </w:r>
      </w:smartTag>
      <w:r w:rsidRPr="00A428C3">
        <w:t xml:space="preserve"> (1997), Critical evaluation of adsorption-based sampling of vaporized metalspecies in flue gases. </w:t>
      </w:r>
      <w:r w:rsidRPr="00A428C3">
        <w:rPr>
          <w:i/>
        </w:rPr>
        <w:t>Fresenius Journal of Analytical Chemistry</w:t>
      </w:r>
      <w:r w:rsidRPr="00A428C3">
        <w:t xml:space="preserve">, </w:t>
      </w:r>
      <w:r w:rsidRPr="00A428C3">
        <w:rPr>
          <w:b/>
        </w:rPr>
        <w:t>357</w:t>
      </w:r>
      <w:r w:rsidRPr="00A428C3">
        <w:t xml:space="preserve"> (7), 801-805.</w:t>
      </w:r>
    </w:p>
    <w:p w:rsidR="00B95188" w:rsidRPr="00A428C3" w:rsidRDefault="00B95188" w:rsidP="00B95188">
      <w:pPr>
        <w:pStyle w:val="a0"/>
      </w:pPr>
      <w:r w:rsidRPr="00A428C3">
        <w:t xml:space="preserve">Full Text: </w:t>
      </w:r>
      <w:hyperlink r:id="rId202" w:history="1">
        <w:r w:rsidRPr="00A428C3">
          <w:rPr>
            <w:rStyle w:val="a5"/>
          </w:rPr>
          <w:t>F\Fre J Ana Che357, 801.pdf</w:t>
        </w:r>
      </w:hyperlink>
    </w:p>
    <w:p w:rsidR="00B95188" w:rsidRPr="00A428C3" w:rsidRDefault="00B95188" w:rsidP="00B95188">
      <w:pPr>
        <w:pStyle w:val="a0"/>
      </w:pPr>
      <w:r w:rsidRPr="00A428C3">
        <w:t>Abstract: Diffusion-controlled sampling techniques, i.e., diffusion screens</w:t>
      </w:r>
      <w:r w:rsidR="00F81221">
        <w:t xml:space="preserve"> and </w:t>
      </w:r>
      <w:r w:rsidRPr="00A428C3">
        <w:t>diffusion tubes (= denuders), can be used in the collection of several vaporized heavy metalspecies in clean gases (pure N</w:t>
      </w:r>
      <w:r w:rsidRPr="00A428C3">
        <w:rPr>
          <w:vertAlign w:val="subscript"/>
        </w:rPr>
        <w:t>2</w:t>
      </w:r>
      <w:r w:rsidRPr="00A428C3">
        <w:t xml:space="preserve"> atmosphere) at elevated temperatures. Collection efficiencies obtained for Hg, HgCl</w:t>
      </w:r>
      <w:r w:rsidRPr="00A428C3">
        <w:rPr>
          <w:vertAlign w:val="subscript"/>
        </w:rPr>
        <w:t>2</w:t>
      </w:r>
      <w:r w:rsidRPr="00A428C3">
        <w:t>, Cd, CdCl</w:t>
      </w:r>
      <w:r w:rsidRPr="00A428C3">
        <w:rPr>
          <w:vertAlign w:val="subscript"/>
        </w:rPr>
        <w:t>2</w:t>
      </w:r>
      <w:r w:rsidR="00F81221">
        <w:t xml:space="preserve"> and </w:t>
      </w:r>
      <w:r w:rsidRPr="00A428C3">
        <w:t>ZnCl</w:t>
      </w:r>
      <w:r w:rsidRPr="00A428C3">
        <w:rPr>
          <w:vertAlign w:val="subscript"/>
        </w:rPr>
        <w:t>2</w:t>
      </w:r>
      <w:r w:rsidRPr="00A428C3">
        <w:t xml:space="preserve"> were over 90% using adsorption on Au-coated diffusion screens</w:t>
      </w:r>
      <w:r w:rsidR="00F81221">
        <w:t xml:space="preserve"> and </w:t>
      </w:r>
      <w:r w:rsidRPr="00A428C3">
        <w:t>Ag-coated denuders. However, the collection efficiencies for Znand PbCl</w:t>
      </w:r>
      <w:r w:rsidRPr="00A428C3">
        <w:rPr>
          <w:vertAlign w:val="subscript"/>
        </w:rPr>
        <w:t>2</w:t>
      </w:r>
      <w:r w:rsidRPr="00A428C3">
        <w:t xml:space="preserve"> were significantly lower. In field measurements performed at a hazardous waste incineration plant</w:t>
      </w:r>
      <w:r w:rsidR="00F81221">
        <w:t xml:space="preserve"> and </w:t>
      </w:r>
      <w:r w:rsidRPr="00A428C3">
        <w:t>in a power plant equipped with a circulating fluidized-bed boiler, collection efficiencies seemed to vary noticeably depending on the sampling conditions</w:t>
      </w:r>
      <w:r w:rsidR="00F81221">
        <w:t xml:space="preserve"> and </w:t>
      </w:r>
      <w:r w:rsidRPr="00A428C3">
        <w:t>metalspecies to be sampled. Best collection efficiencies were obtained for mercury with both Ag coated denuders</w:t>
      </w:r>
      <w:r w:rsidR="00F81221">
        <w:t xml:space="preserve"> and </w:t>
      </w:r>
      <w:r w:rsidRPr="00A428C3">
        <w:t>Au coated screens whereas cadmium showed significantly poorer results in field measurements than in the laboratory. Sampling of zinc</w:t>
      </w:r>
      <w:r w:rsidR="00F81221">
        <w:t xml:space="preserve"> and </w:t>
      </w:r>
      <w:r w:rsidRPr="00A428C3">
        <w:t>lead species seemed to be problematic in all cases. of the two sampling techniques, the denuder technique is more recommendable than the screen technique for sampling in relatively clean gases. However, neither of these techniques should be used in flue gases without further understanding of the collection mechanisms.</w:t>
      </w:r>
    </w:p>
    <w:p w:rsidR="00B95188" w:rsidRPr="00A428C3" w:rsidRDefault="00B95188" w:rsidP="00B95188">
      <w:pPr>
        <w:pStyle w:val="a0"/>
      </w:pPr>
      <w:r w:rsidRPr="00A428C3">
        <w:t>Keywords: Mercury, Gold, Removal, Denuder, System, Air</w:t>
      </w:r>
    </w:p>
    <w:p w:rsidR="00B95188" w:rsidRPr="00A428C3" w:rsidRDefault="00B95188" w:rsidP="00B95188">
      <w:pPr>
        <w:pStyle w:val="a0"/>
      </w:pPr>
      <w:r w:rsidRPr="00A428C3">
        <w:t>Sturm, B., Knauth, H.D., Theobald, N.</w:t>
      </w:r>
      <w:r w:rsidR="00F81221">
        <w:t xml:space="preserve"> and </w:t>
      </w:r>
      <w:r w:rsidRPr="00A428C3">
        <w:t>Wunsch, G. (1998), Hydrophobic organic micropollutants in samples of coastal waters: Efficiencies of solid-phase extraction in the presence of humic substances.</w:t>
      </w:r>
      <w:r w:rsidRPr="00A428C3">
        <w:rPr>
          <w:color w:val="FF0000"/>
        </w:rPr>
        <w:t xml:space="preserve"> </w:t>
      </w:r>
      <w:r w:rsidRPr="00A428C3">
        <w:rPr>
          <w:i/>
          <w:color w:val="000000"/>
        </w:rPr>
        <w:t>Fresenius</w:t>
      </w:r>
      <w:r w:rsidRPr="00A428C3">
        <w:rPr>
          <w:i/>
        </w:rPr>
        <w:t xml:space="preserve"> Journal of Analytical Chemistry</w:t>
      </w:r>
      <w:r w:rsidRPr="00A428C3">
        <w:t xml:space="preserve">, </w:t>
      </w:r>
      <w:r w:rsidRPr="00A428C3">
        <w:rPr>
          <w:b/>
        </w:rPr>
        <w:t>361</w:t>
      </w:r>
      <w:r w:rsidRPr="00A428C3">
        <w:t xml:space="preserve"> (8), 803-810.</w:t>
      </w:r>
    </w:p>
    <w:p w:rsidR="00B95188" w:rsidRPr="00A428C3" w:rsidRDefault="00B95188" w:rsidP="00B95188">
      <w:pPr>
        <w:pStyle w:val="a0"/>
      </w:pPr>
      <w:r w:rsidRPr="00A428C3">
        <w:lastRenderedPageBreak/>
        <w:t xml:space="preserve">Full Text: </w:t>
      </w:r>
      <w:hyperlink r:id="rId203" w:history="1">
        <w:r w:rsidRPr="00A428C3">
          <w:rPr>
            <w:rStyle w:val="a5"/>
          </w:rPr>
          <w:t>F\Fre J Ana Che361, 803.pdf</w:t>
        </w:r>
      </w:hyperlink>
    </w:p>
    <w:p w:rsidR="00B95188" w:rsidRPr="00A428C3" w:rsidRDefault="00B95188" w:rsidP="00B95188">
      <w:pPr>
        <w:pStyle w:val="a0"/>
      </w:pPr>
      <w:r w:rsidRPr="00A428C3">
        <w:t>Abstract: Solid-phase extraction (SPE) has been used to enrich organic micropollutants (hydrophobic chlorinated</w:t>
      </w:r>
      <w:r w:rsidR="00F81221">
        <w:t xml:space="preserve"> and </w:t>
      </w:r>
      <w:r w:rsidRPr="00A428C3">
        <w:t>polycyclic aromatic hydrocarbons, CHC</w:t>
      </w:r>
      <w:r w:rsidR="00F81221">
        <w:t xml:space="preserve"> and </w:t>
      </w:r>
      <w:r w:rsidRPr="00A428C3">
        <w:t>PAH) from coastal water samples</w:t>
      </w:r>
      <w:r w:rsidR="00F81221">
        <w:t xml:space="preserve"> and </w:t>
      </w:r>
      <w:r w:rsidRPr="00A428C3">
        <w:t>to systematically study the influence of humic substances (HS) on SPE. A reversed phase (RP) system with high flow rates (rapid chromatography, RC) was used to show the basic adsorption principles</w:t>
      </w:r>
      <w:r w:rsidR="00F81221">
        <w:t xml:space="preserve"> and </w:t>
      </w:r>
      <w:r w:rsidRPr="00A428C3">
        <w:t>interaction processes which influence the enrichment of organic compounds. A model humic substance was found to hinder the enrichment of individual hydrophobic micropollutants (MP), depending on their octanol-water distribution coefficient P-OW. This effect was found to be lower with natural humic substances. For longer contact time between water sample</w:t>
      </w:r>
      <w:r w:rsidR="00F81221">
        <w:t xml:space="preserve"> and </w:t>
      </w:r>
      <w:r w:rsidRPr="00A428C3">
        <w:t>adsorption material, the pollutant/humic substance bonding proved to be reversible.</w:t>
      </w:r>
    </w:p>
    <w:p w:rsidR="00B95188" w:rsidRPr="00A428C3" w:rsidRDefault="00B95188" w:rsidP="00B95188">
      <w:pPr>
        <w:pStyle w:val="a0"/>
      </w:pPr>
      <w:r w:rsidRPr="00A428C3">
        <w:t>Keywords: Matter, Acid, Hydrocarbons</w:t>
      </w:r>
    </w:p>
    <w:p w:rsidR="00B95188" w:rsidRPr="00A428C3" w:rsidRDefault="00B95188" w:rsidP="00B95188">
      <w:pPr>
        <w:pStyle w:val="a0"/>
      </w:pPr>
      <w:r w:rsidRPr="00A428C3">
        <w:t xml:space="preserve">Marqués, M.J., </w:t>
      </w:r>
      <w:smartTag w:uri="urn:schemas-microsoft-com:office:smarttags" w:element="place">
        <w:smartTag w:uri="urn:schemas-microsoft-com:office:smarttags" w:element="City">
          <w:r w:rsidRPr="00A428C3">
            <w:t>Salvador</w:t>
          </w:r>
        </w:smartTag>
      </w:smartTag>
      <w:r w:rsidRPr="00A428C3">
        <w:t>, A., Morales-Rubio, A.E.</w:t>
      </w:r>
      <w:r w:rsidR="00F81221">
        <w:t xml:space="preserve"> and </w:t>
      </w:r>
      <w:r w:rsidRPr="00A428C3">
        <w:t>de la Guardia, M. (1998), Analytical methodologies for chromium speciation in solid matrices: A survey of literature.</w:t>
      </w:r>
      <w:r w:rsidRPr="00A428C3">
        <w:rPr>
          <w:color w:val="FF0000"/>
        </w:rPr>
        <w:t xml:space="preserve"> </w:t>
      </w:r>
      <w:r w:rsidRPr="00A428C3">
        <w:rPr>
          <w:i/>
          <w:color w:val="000000"/>
        </w:rPr>
        <w:t>Fresenius</w:t>
      </w:r>
      <w:r w:rsidRPr="00A428C3">
        <w:rPr>
          <w:i/>
        </w:rPr>
        <w:t xml:space="preserve"> Journal of Analytical Chemistry</w:t>
      </w:r>
      <w:r w:rsidRPr="00A428C3">
        <w:t xml:space="preserve">, </w:t>
      </w:r>
      <w:r w:rsidRPr="00A428C3">
        <w:rPr>
          <w:b/>
        </w:rPr>
        <w:t>362</w:t>
      </w:r>
      <w:r w:rsidRPr="00A428C3">
        <w:t xml:space="preserve"> (3), 239-248.</w:t>
      </w:r>
    </w:p>
    <w:p w:rsidR="00B95188" w:rsidRPr="00A428C3" w:rsidRDefault="00B95188" w:rsidP="00B95188">
      <w:pPr>
        <w:pStyle w:val="a0"/>
      </w:pPr>
      <w:r w:rsidRPr="00A428C3">
        <w:t xml:space="preserve">Full Text: </w:t>
      </w:r>
      <w:hyperlink r:id="rId204" w:history="1">
        <w:r w:rsidRPr="00A428C3">
          <w:rPr>
            <w:rStyle w:val="a5"/>
          </w:rPr>
          <w:t>F\Fre J Ana Che362, 239.pdf</w:t>
        </w:r>
      </w:hyperlink>
    </w:p>
    <w:p w:rsidR="00B95188" w:rsidRPr="00A428C3" w:rsidRDefault="00B95188" w:rsidP="00B95188">
      <w:pPr>
        <w:pStyle w:val="a0"/>
      </w:pPr>
      <w:r w:rsidRPr="00A428C3">
        <w:t>Abstract: The analytical literature about chromium speciation in solid samples has been surveyed. From 451 articles published on the speciation of chromium from 1983 to 1997, the methodologies to do speciation in solids after sample pretreatment are discussed, through consideration of the types of samples</w:t>
      </w:r>
      <w:r w:rsidR="00F81221">
        <w:t xml:space="preserve"> and </w:t>
      </w:r>
      <w:r w:rsidRPr="00A428C3">
        <w:t>their dissolution, the analytical techniques employed for chromium measurement,</w:t>
      </w:r>
      <w:r w:rsidR="00F81221">
        <w:t xml:space="preserve"> and </w:t>
      </w:r>
      <w:r w:rsidRPr="00A428C3">
        <w:t>the figures of merit of the 86 papers reported in the Analytical Abstracts data base.</w:t>
      </w:r>
    </w:p>
    <w:p w:rsidR="00B95188" w:rsidRPr="00A428C3" w:rsidRDefault="00B95188" w:rsidP="00B95188">
      <w:pPr>
        <w:pStyle w:val="a0"/>
      </w:pPr>
      <w:r w:rsidRPr="00A428C3">
        <w:t>Keywords: Atomic-Absorption Spectrometry, Extraction-Spectrophotometric Determination, Hexavalent-Chromium, Emission-Spectrometry, Liquid-Chromatography, Molten Naphthalene, Soil Extracts, Trace Amounts, Separation, Metals</w:t>
      </w:r>
    </w:p>
    <w:p w:rsidR="00B95188" w:rsidRPr="00A428C3" w:rsidRDefault="00B95188" w:rsidP="00B95188">
      <w:pPr>
        <w:pStyle w:val="a0"/>
      </w:pPr>
      <w:r w:rsidRPr="00A428C3">
        <w:t>Liu, R.X., Zhang, B.W.</w:t>
      </w:r>
      <w:r w:rsidR="00F81221">
        <w:t xml:space="preserve"> and </w:t>
      </w:r>
      <w:r w:rsidRPr="00A428C3">
        <w:t>Tang, H.X. (1998), Dynamic adsorption</w:t>
      </w:r>
      <w:r w:rsidR="00F81221">
        <w:t xml:space="preserve"> and </w:t>
      </w:r>
      <w:r w:rsidRPr="00A428C3">
        <w:t>desorption of heavy metal ions on poly (acrylaminophosphonic-carboxyl-hydrazide) chelating fiber.</w:t>
      </w:r>
      <w:r w:rsidRPr="00A428C3">
        <w:rPr>
          <w:color w:val="FF0000"/>
        </w:rPr>
        <w:t xml:space="preserve"> </w:t>
      </w:r>
      <w:r w:rsidRPr="00A428C3">
        <w:rPr>
          <w:i/>
          <w:color w:val="000000"/>
        </w:rPr>
        <w:t>Fresenius</w:t>
      </w:r>
      <w:r w:rsidRPr="00A428C3">
        <w:rPr>
          <w:i/>
        </w:rPr>
        <w:t xml:space="preserve"> Journal of Analytical Chemistry</w:t>
      </w:r>
      <w:r w:rsidRPr="00A428C3">
        <w:t xml:space="preserve">, </w:t>
      </w:r>
      <w:r w:rsidRPr="00A428C3">
        <w:rPr>
          <w:b/>
        </w:rPr>
        <w:t>362</w:t>
      </w:r>
      <w:r w:rsidRPr="00A428C3">
        <w:t xml:space="preserve"> (3), 258-262.</w:t>
      </w:r>
    </w:p>
    <w:p w:rsidR="00B95188" w:rsidRPr="00A428C3" w:rsidRDefault="00B95188" w:rsidP="00B95188">
      <w:pPr>
        <w:pStyle w:val="a0"/>
      </w:pPr>
      <w:r w:rsidRPr="00A428C3">
        <w:t xml:space="preserve">Full Text: </w:t>
      </w:r>
      <w:hyperlink r:id="rId205" w:history="1">
        <w:r w:rsidRPr="00A428C3">
          <w:rPr>
            <w:rStyle w:val="a5"/>
          </w:rPr>
          <w:t>F\Fre J Ana Che362, 258.pdf</w:t>
        </w:r>
      </w:hyperlink>
    </w:p>
    <w:p w:rsidR="00B95188" w:rsidRPr="00A428C3" w:rsidRDefault="00B95188" w:rsidP="00B95188">
      <w:pPr>
        <w:pStyle w:val="a0"/>
      </w:pPr>
      <w:r w:rsidRPr="00A428C3">
        <w:t>Abstract: The dynamic adsorption</w:t>
      </w:r>
      <w:r w:rsidR="00F81221">
        <w:t xml:space="preserve"> and </w:t>
      </w:r>
      <w:r w:rsidRPr="00A428C3">
        <w:t>desorption properties, including the effect of pH value</w:t>
      </w:r>
      <w:r w:rsidR="00F81221">
        <w:t xml:space="preserve"> and </w:t>
      </w:r>
      <w:r w:rsidRPr="00A428C3">
        <w:t>flow rate on the adsorption, eluent acidity</w:t>
      </w:r>
      <w:r w:rsidR="00F81221">
        <w:t xml:space="preserve"> and </w:t>
      </w:r>
      <w:r w:rsidRPr="00A428C3">
        <w:t>volume, eluting velocity</w:t>
      </w:r>
      <w:r w:rsidR="00F81221">
        <w:t xml:space="preserve"> and </w:t>
      </w:r>
      <w:r w:rsidRPr="00A428C3">
        <w:t>re-use, of Cu(II), Pb(II), Zn(II), Cd(II), Mn(II), Ni(II), Co(II)</w:t>
      </w:r>
      <w:r w:rsidR="00F81221">
        <w:t xml:space="preserve"> and </w:t>
      </w:r>
      <w:r w:rsidRPr="00A428C3">
        <w:t>Hg(II) ions on the column loaded with poly (acryiaminophosphonic-carboxyl-hydrazide) chelating fiber were investigated. The recovery of Mn(II), Co(II), Cd(II), Ni(II)</w:t>
      </w:r>
      <w:r w:rsidR="00F81221">
        <w:t xml:space="preserve"> and </w:t>
      </w:r>
      <w:r w:rsidRPr="00A428C3">
        <w:t>Zn(II) ions in the presence of Na, K, Ca</w:t>
      </w:r>
      <w:r w:rsidR="00F81221">
        <w:t xml:space="preserve"> and </w:t>
      </w:r>
      <w:r w:rsidRPr="00A428C3">
        <w:t>Mg ions was examined. The preconcentration of trace amounts of Mn(II), Co(II), Cd(II), Ni(II)</w:t>
      </w:r>
      <w:r w:rsidR="00F81221">
        <w:t xml:space="preserve"> and </w:t>
      </w:r>
      <w:r w:rsidRPr="00A428C3">
        <w:t xml:space="preserve">Zn(II) ions from model solution samples was carried out with satisfactory results. The amount of the metal ions </w:t>
      </w:r>
      <w:r w:rsidRPr="00A428C3">
        <w:lastRenderedPageBreak/>
        <w:t>detected after preconcentration</w:t>
      </w:r>
      <w:r w:rsidR="00F81221">
        <w:t xml:space="preserve"> and </w:t>
      </w:r>
      <w:r w:rsidRPr="00A428C3">
        <w:t>recovery by this technique was basically in agreement with the added amount. The method is rapid, precise</w:t>
      </w:r>
      <w:r w:rsidR="00F81221">
        <w:t xml:space="preserve"> and </w:t>
      </w:r>
      <w:r w:rsidRPr="00A428C3">
        <w:t>simple.</w:t>
      </w:r>
    </w:p>
    <w:p w:rsidR="00B95188" w:rsidRPr="00A428C3" w:rsidRDefault="00B95188" w:rsidP="00B95188">
      <w:pPr>
        <w:pStyle w:val="a0"/>
      </w:pPr>
      <w:r w:rsidRPr="00A428C3">
        <w:t>Keywords: Enrichment Separation, Solution Samples, Resin, Palladium, Gold, Preconcentration, Performance, Efficiency, Ruthenium, Mechanism</w:t>
      </w:r>
    </w:p>
    <w:p w:rsidR="00B95188" w:rsidRPr="00A428C3" w:rsidRDefault="00B95188" w:rsidP="00B95188">
      <w:pPr>
        <w:pStyle w:val="a0"/>
      </w:pPr>
      <w:r w:rsidRPr="00A428C3">
        <w:t>Sahayam, A.C. (1998), Determination of Cd, Cu, Pb</w:t>
      </w:r>
      <w:r w:rsidR="00F81221">
        <w:t xml:space="preserve"> and </w:t>
      </w:r>
      <w:r w:rsidRPr="00A428C3">
        <w:t>Sb in environmental samples by ICP-AES using polyaniline for separation.</w:t>
      </w:r>
      <w:r w:rsidRPr="00A428C3">
        <w:rPr>
          <w:color w:val="FF0000"/>
        </w:rPr>
        <w:t xml:space="preserve"> </w:t>
      </w:r>
      <w:r w:rsidRPr="00A428C3">
        <w:rPr>
          <w:i/>
          <w:color w:val="000000"/>
        </w:rPr>
        <w:t>Fresenius</w:t>
      </w:r>
      <w:r w:rsidRPr="00A428C3">
        <w:rPr>
          <w:i/>
        </w:rPr>
        <w:t xml:space="preserve"> Journal of Analytical Chemistry</w:t>
      </w:r>
      <w:r w:rsidRPr="00A428C3">
        <w:t xml:space="preserve">, </w:t>
      </w:r>
      <w:r w:rsidRPr="00A428C3">
        <w:rPr>
          <w:b/>
        </w:rPr>
        <w:t>362</w:t>
      </w:r>
      <w:r w:rsidRPr="00A428C3">
        <w:t xml:space="preserve"> (3), 285-288.</w:t>
      </w:r>
    </w:p>
    <w:p w:rsidR="00B95188" w:rsidRPr="00A428C3" w:rsidRDefault="00B95188" w:rsidP="00B95188">
      <w:pPr>
        <w:pStyle w:val="a0"/>
      </w:pPr>
      <w:r w:rsidRPr="00A428C3">
        <w:t xml:space="preserve">Full Text: </w:t>
      </w:r>
      <w:hyperlink r:id="rId206" w:history="1">
        <w:r w:rsidRPr="00A428C3">
          <w:rPr>
            <w:rStyle w:val="a5"/>
          </w:rPr>
          <w:t>F\Fre J Ana Che362, 285.pdf</w:t>
        </w:r>
      </w:hyperlink>
    </w:p>
    <w:p w:rsidR="00B95188" w:rsidRPr="00A428C3" w:rsidRDefault="00B95188" w:rsidP="00B95188">
      <w:pPr>
        <w:pStyle w:val="a0"/>
      </w:pPr>
      <w:r w:rsidRPr="00A428C3">
        <w:t>Abstract: The anion exchange properties of polyaniline for Cd, Cu, Pb</w:t>
      </w:r>
      <w:r w:rsidR="00F81221">
        <w:t xml:space="preserve"> and </w:t>
      </w:r>
      <w:r w:rsidRPr="00A428C3">
        <w:t>Sb in potassium iodide were studied. The analytes converted into anionic complexes by KI (0.03-0.96 mol/L) in HCl were adsorbed on polyaniline</w:t>
      </w:r>
      <w:r w:rsidR="00F81221">
        <w:t xml:space="preserve"> and </w:t>
      </w:r>
      <w:r w:rsidRPr="00A428C3">
        <w:t>eluted with HNO</w:t>
      </w:r>
      <w:r w:rsidRPr="00A428C3">
        <w:rPr>
          <w:vertAlign w:val="subscript"/>
        </w:rPr>
        <w:t>3</w:t>
      </w:r>
      <w:r w:rsidRPr="00A428C3">
        <w:t>. The optimum conditions for adsorption</w:t>
      </w:r>
      <w:r w:rsidR="00F81221">
        <w:t xml:space="preserve"> and </w:t>
      </w:r>
      <w:r w:rsidRPr="00A428C3">
        <w:t>elution were determined. Quantitative recoveries were obtained for Cd, Cu</w:t>
      </w:r>
      <w:r w:rsidR="00F81221">
        <w:t xml:space="preserve"> and </w:t>
      </w:r>
      <w:r w:rsidRPr="00A428C3">
        <w:t>Pb, whereas, the recoveries for Sb were about 75%. This separation procedure was used with subsequent ICP-AES determination for Cd, Cu,</w:t>
      </w:r>
      <w:r w:rsidR="00F81221">
        <w:t xml:space="preserve"> and </w:t>
      </w:r>
      <w:r w:rsidRPr="00A428C3">
        <w:t>Pb in NIST-coal fly ash (1633b)</w:t>
      </w:r>
      <w:r w:rsidR="00F81221">
        <w:t xml:space="preserve"> and </w:t>
      </w:r>
      <w:r w:rsidRPr="00A428C3">
        <w:t>a sea plant with an R.S.D of 5% (n = 5).</w:t>
      </w:r>
    </w:p>
    <w:p w:rsidR="00B95188" w:rsidRPr="00A428C3" w:rsidRDefault="00B95188" w:rsidP="00B95188">
      <w:pPr>
        <w:pStyle w:val="a0"/>
      </w:pPr>
      <w:r w:rsidRPr="00A428C3">
        <w:t>Keywords: Neutron-Activation Analysis, Poly(Aniline), Resin</w:t>
      </w:r>
    </w:p>
    <w:p w:rsidR="00B95188" w:rsidRPr="00A428C3" w:rsidRDefault="00B95188" w:rsidP="00FE4CA3">
      <w:pPr>
        <w:pStyle w:val="a0"/>
      </w:pPr>
      <w:r w:rsidRPr="00A428C3">
        <w:t>? Ba</w:t>
      </w:r>
      <w:r w:rsidR="00FE4CA3">
        <w:t>ğ</w:t>
      </w:r>
      <w:r w:rsidRPr="00A428C3">
        <w:t>, H., Lale, M.</w:t>
      </w:r>
      <w:r w:rsidR="00F81221">
        <w:t xml:space="preserve"> and </w:t>
      </w:r>
      <w:r w:rsidRPr="00A428C3">
        <w:t>T</w:t>
      </w:r>
      <w:r w:rsidR="00FE4CA3">
        <w:t>ü</w:t>
      </w:r>
      <w:r w:rsidRPr="00A428C3">
        <w:t>rker, A.R. (1999), Determination of Cu, Zn</w:t>
      </w:r>
      <w:r w:rsidR="00F81221">
        <w:t xml:space="preserve"> and </w:t>
      </w:r>
      <w:r w:rsidRPr="00A428C3">
        <w:t>Cd in water by FAAS after preconcentration by baker</w:t>
      </w:r>
      <w:r w:rsidR="000352E7">
        <w:t>’</w:t>
      </w:r>
      <w:r w:rsidRPr="00A428C3">
        <w:t>s yeast (</w:t>
      </w:r>
      <w:r w:rsidRPr="00A428C3">
        <w:rPr>
          <w:i/>
        </w:rPr>
        <w:t>Saccharomyces cerevisiae</w:t>
      </w:r>
      <w:r w:rsidRPr="00A428C3">
        <w:t xml:space="preserve">) immobilized on sepiolite. </w:t>
      </w:r>
      <w:r w:rsidRPr="00A428C3">
        <w:rPr>
          <w:i/>
          <w:iCs/>
        </w:rPr>
        <w:t>Fresenius Journal of Analytical Chemistry</w:t>
      </w:r>
      <w:r w:rsidRPr="00A428C3">
        <w:t xml:space="preserve">, </w:t>
      </w:r>
      <w:r w:rsidRPr="00A428C3">
        <w:rPr>
          <w:b/>
        </w:rPr>
        <w:t>363</w:t>
      </w:r>
      <w:r w:rsidRPr="00A428C3">
        <w:t xml:space="preserve"> (3), 224-230.</w:t>
      </w:r>
    </w:p>
    <w:p w:rsidR="00B95188" w:rsidRPr="00A428C3" w:rsidRDefault="00B95188" w:rsidP="00A91BE3">
      <w:pPr>
        <w:pStyle w:val="a0"/>
      </w:pPr>
      <w:r w:rsidRPr="00A428C3">
        <w:t xml:space="preserve">Full Text: </w:t>
      </w:r>
      <w:hyperlink r:id="rId207" w:history="1">
        <w:r w:rsidR="00A91BE3" w:rsidRPr="00A91BE3">
          <w:rPr>
            <w:rStyle w:val="a5"/>
          </w:rPr>
          <w:t>1999\Fre J Ana Che363, 224.pdf</w:t>
        </w:r>
      </w:hyperlink>
    </w:p>
    <w:p w:rsidR="00B95188" w:rsidRPr="00A428C3" w:rsidRDefault="00B95188" w:rsidP="00B95188">
      <w:pPr>
        <w:pStyle w:val="a0"/>
      </w:pPr>
      <w:r w:rsidRPr="00A428C3">
        <w:t xml:space="preserve">Abstract: By using the adsorbent </w:t>
      </w:r>
      <w:r w:rsidRPr="00A91BE3">
        <w:rPr>
          <w:i/>
          <w:iCs/>
        </w:rPr>
        <w:t>Saccharomyces cerevisine</w:t>
      </w:r>
      <w:r w:rsidRPr="00A428C3">
        <w:t xml:space="preserve"> immobilized on sepiolite an adsorption-elution method was developed for the preconcentration of Cu, Zn,</w:t>
      </w:r>
      <w:r w:rsidR="00F81221">
        <w:t xml:space="preserve"> and </w:t>
      </w:r>
      <w:r w:rsidRPr="00A428C3">
        <w:t>Cd followed by flame atomic absorption spectrometry (FAAS). Recoveries were 98.3±0.4% for Cu, 94.2±0.3% for Zn.</w:t>
      </w:r>
      <w:r w:rsidR="00F81221">
        <w:t xml:space="preserve"> and </w:t>
      </w:r>
      <w:r w:rsidRPr="00A428C3">
        <w:t>99.04±0.04% for Cd at 95% confidence level obtained by the column method. The influence of sea water matrix elements on the separation of the trace elements was also assessed by using the column procedure. The breakthrough capacities were found to be 74 mu mol/g for copper, 128 mu mol/g for zinc</w:t>
      </w:r>
      <w:r w:rsidR="00F81221">
        <w:t xml:space="preserve"> and </w:t>
      </w:r>
      <w:r w:rsidRPr="00A428C3">
        <w:t>97 mu mol/g for cadmium. After optimization the proposed method was applied to the trace metal determination in sea</w:t>
      </w:r>
      <w:r w:rsidR="00F81221">
        <w:t xml:space="preserve"> and </w:t>
      </w:r>
      <w:r w:rsidRPr="00A428C3">
        <w:t>river water.</w:t>
      </w:r>
    </w:p>
    <w:p w:rsidR="00B95188" w:rsidRPr="00A428C3" w:rsidRDefault="00B95188" w:rsidP="00B95188">
      <w:pPr>
        <w:pStyle w:val="a0"/>
      </w:pPr>
      <w:r w:rsidRPr="00A428C3">
        <w:t>Keywords: Algal Biomass, Atomic-Absorption Spectrometry, Baker</w:t>
      </w:r>
      <w:r w:rsidR="000352E7">
        <w:t>’</w:t>
      </w:r>
      <w:r w:rsidRPr="00A428C3">
        <w:t xml:space="preserve">s Yeast, Cadmium, Elements, Emission-Spectrometry, Flame Atomic Absorption Spectrometry, Gold, Preconcentration, Reagent, </w:t>
      </w:r>
      <w:r w:rsidRPr="00A428C3">
        <w:rPr>
          <w:i/>
        </w:rPr>
        <w:t>Saccharomyces Cerevisiae</w:t>
      </w:r>
      <w:r w:rsidRPr="00A428C3">
        <w:t>, Separation, Speciation, Trace-Metal Preconcentration, Yeast</w:t>
      </w:r>
    </w:p>
    <w:p w:rsidR="00B95188" w:rsidRPr="00A428C3" w:rsidRDefault="00B95188" w:rsidP="00B95188">
      <w:pPr>
        <w:pStyle w:val="a0"/>
      </w:pPr>
      <w:r w:rsidRPr="00A428C3">
        <w:t>? Liang, P., Qin, Y.C., Hu, B., Li, C.X., Peng, T.Y.</w:t>
      </w:r>
      <w:r w:rsidR="00F81221">
        <w:t xml:space="preserve"> and </w:t>
      </w:r>
      <w:r w:rsidRPr="00A428C3">
        <w:t>Jiang, Z.C. (2000), Study of the adsorption behavior of heavy metal ions on nanometer-size titanium dioxide with ICP-AES.</w:t>
      </w:r>
      <w:r w:rsidRPr="00A428C3">
        <w:rPr>
          <w:color w:val="FF0000"/>
        </w:rPr>
        <w:t xml:space="preserve"> </w:t>
      </w:r>
      <w:r w:rsidRPr="00A428C3">
        <w:rPr>
          <w:i/>
          <w:color w:val="000000"/>
        </w:rPr>
        <w:t>Fresenius</w:t>
      </w:r>
      <w:r w:rsidRPr="00A428C3">
        <w:rPr>
          <w:i/>
        </w:rPr>
        <w:t xml:space="preserve"> Journal of Analytical Chemistry</w:t>
      </w:r>
      <w:r w:rsidRPr="00A428C3">
        <w:t xml:space="preserve">, </w:t>
      </w:r>
      <w:r w:rsidRPr="00A428C3">
        <w:rPr>
          <w:b/>
        </w:rPr>
        <w:t>368</w:t>
      </w:r>
      <w:r w:rsidRPr="00A428C3">
        <w:t xml:space="preserve"> (6), 638-640.</w:t>
      </w:r>
    </w:p>
    <w:p w:rsidR="00B95188" w:rsidRPr="00A428C3" w:rsidRDefault="00B95188" w:rsidP="00B95188">
      <w:pPr>
        <w:pStyle w:val="a0"/>
      </w:pPr>
      <w:r w:rsidRPr="00A428C3">
        <w:t xml:space="preserve">Full Text: </w:t>
      </w:r>
      <w:hyperlink r:id="rId208" w:history="1">
        <w:r w:rsidRPr="00A428C3">
          <w:rPr>
            <w:rStyle w:val="a5"/>
          </w:rPr>
          <w:t>F\Fre J Ana Che368, 638.pdf</w:t>
        </w:r>
      </w:hyperlink>
    </w:p>
    <w:p w:rsidR="00B95188" w:rsidRPr="00A428C3" w:rsidRDefault="00B95188" w:rsidP="00B95188">
      <w:pPr>
        <w:pStyle w:val="a0"/>
      </w:pPr>
      <w:r w:rsidRPr="00A428C3">
        <w:lastRenderedPageBreak/>
        <w:t>Abstract: A new method using nanoparticle TiO</w:t>
      </w:r>
      <w:r w:rsidRPr="00A428C3">
        <w:rPr>
          <w:vertAlign w:val="subscript"/>
        </w:rPr>
        <w:t>2</w:t>
      </w:r>
      <w:r w:rsidRPr="00A428C3">
        <w:t xml:space="preserve"> as solidphase extractant coupled with ICP-AES was proposed for simultaneous determination of trace elements. The adsorption behavior of nanometer TiO</w:t>
      </w:r>
      <w:r w:rsidRPr="00A428C3">
        <w:rPr>
          <w:vertAlign w:val="subscript"/>
        </w:rPr>
        <w:t>2</w:t>
      </w:r>
      <w:r w:rsidRPr="00A428C3">
        <w:t xml:space="preserve"> towards Cu, Cr, Mn</w:t>
      </w:r>
      <w:r w:rsidR="00F81221">
        <w:t xml:space="preserve"> and </w:t>
      </w:r>
      <w:r w:rsidRPr="00A428C3">
        <w:t>Ni was investigated by ICP-AES,</w:t>
      </w:r>
      <w:r w:rsidR="00F81221">
        <w:t xml:space="preserve"> and </w:t>
      </w:r>
      <w:r w:rsidRPr="00A428C3">
        <w:t>the adsorption pH curves, adsorption isotherms</w:t>
      </w:r>
      <w:r w:rsidR="00F81221">
        <w:t xml:space="preserve"> and </w:t>
      </w:r>
      <w:r w:rsidRPr="00A428C3">
        <w:t>adsorption capacities were obtained. It was found that the adsorption rates of the metal ions studied were more than 90% in pH 8.0-9.0,</w:t>
      </w:r>
      <w:r w:rsidR="00F81221">
        <w:t xml:space="preserve"> and </w:t>
      </w:r>
      <w:r w:rsidRPr="00A428C3">
        <w:t>2.0 mol L</w:t>
      </w:r>
      <w:r w:rsidRPr="00A428C3">
        <w:rPr>
          <w:vertAlign w:val="superscript"/>
        </w:rPr>
        <w:t>-1</w:t>
      </w:r>
      <w:r w:rsidRPr="00A428C3">
        <w:t xml:space="preserve"> HCl was sufficient for complete elution. Nanometer TiO</w:t>
      </w:r>
      <w:r w:rsidRPr="00A428C3">
        <w:rPr>
          <w:vertAlign w:val="subscript"/>
        </w:rPr>
        <w:t>2</w:t>
      </w:r>
      <w:r w:rsidRPr="00A428C3">
        <w:t xml:space="preserve"> possesses a significant capacity for the sorption of the metal ions studied which is higher than the capacity of silica, the commonly used extractant. The method has been applied to the analysis of some environmental samples with satisfactory results.</w:t>
      </w:r>
    </w:p>
    <w:p w:rsidR="00B95188" w:rsidRPr="00A428C3" w:rsidRDefault="00B95188" w:rsidP="00B95188">
      <w:pPr>
        <w:pStyle w:val="a0"/>
      </w:pPr>
      <w:r w:rsidRPr="00A428C3">
        <w:t>Keywords: Atomic-Absorption Spectrometry, Solid-Phase Extraction, Emission-Spectrometry, Trace-Elements, Electrothermal Atomization, Preconcentration, Separation; Particles, Sorption, Samples</w:t>
      </w:r>
    </w:p>
    <w:p w:rsidR="00B95188" w:rsidRPr="00A428C3" w:rsidRDefault="00B95188" w:rsidP="00B95188">
      <w:pPr>
        <w:pStyle w:val="1"/>
      </w:pPr>
      <w:r w:rsidRPr="00A428C3">
        <w:br w:type="page"/>
      </w:r>
      <w:bookmarkStart w:id="156" w:name="_Toc186647690"/>
      <w:bookmarkStart w:id="157" w:name="_Toc317160866"/>
      <w:r w:rsidRPr="00A428C3">
        <w:lastRenderedPageBreak/>
        <w:t>Title: Fresenius Zeitschrift fur Analytische Chemie</w:t>
      </w:r>
      <w:bookmarkEnd w:id="156"/>
      <w:bookmarkEnd w:id="157"/>
    </w:p>
    <w:p w:rsidR="00B95188" w:rsidRPr="00A428C3" w:rsidRDefault="00B95188" w:rsidP="00B72EF9">
      <w:pPr>
        <w:pStyle w:val="12"/>
        <w:rPr>
          <w:lang w:val="de-DE"/>
        </w:rPr>
      </w:pPr>
      <w:r w:rsidRPr="00A428C3">
        <w:rPr>
          <w:lang w:val="de-DE"/>
        </w:rPr>
        <w:t xml:space="preserve">Full Journal Title: </w:t>
      </w:r>
      <w:hyperlink r:id="rId209" w:history="1">
        <w:r w:rsidRPr="00A428C3">
          <w:rPr>
            <w:rStyle w:val="a5"/>
            <w:lang w:val="de-DE"/>
          </w:rPr>
          <w:t>Fresenius Zeitschrift fur Analytische Chemie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0016-1152</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rPr>
          <w:lang w:val="de-DE"/>
        </w:rPr>
      </w:pPr>
      <w:r w:rsidRPr="00A428C3">
        <w:t>? Golimowski, J., Valenta, P.</w:t>
      </w:r>
      <w:r w:rsidR="00F81221">
        <w:t xml:space="preserve"> and </w:t>
      </w:r>
      <w:r w:rsidRPr="00A428C3">
        <w:t xml:space="preserve">Nürnberg, H.W. (1985), Trace determination of chromium in various water types by adsorption differential pulse voltammetry. </w:t>
      </w:r>
      <w:r w:rsidRPr="00A428C3">
        <w:rPr>
          <w:i/>
          <w:iCs/>
          <w:lang w:val="de-DE"/>
        </w:rPr>
        <w:t>Fresenius Zeitschrift fur Analytische Chemie</w:t>
      </w:r>
      <w:r w:rsidRPr="00A428C3">
        <w:rPr>
          <w:lang w:val="de-DE"/>
        </w:rPr>
        <w:t xml:space="preserve">, </w:t>
      </w:r>
      <w:r w:rsidRPr="00A428C3">
        <w:rPr>
          <w:b/>
          <w:lang w:val="de-DE"/>
        </w:rPr>
        <w:t>322</w:t>
      </w:r>
      <w:r w:rsidRPr="00A428C3">
        <w:rPr>
          <w:lang w:val="de-DE"/>
        </w:rPr>
        <w:t xml:space="preserve"> (3), 315-322.</w:t>
      </w:r>
    </w:p>
    <w:p w:rsidR="00B95188" w:rsidRPr="00A428C3" w:rsidRDefault="00B95188" w:rsidP="00B95188">
      <w:pPr>
        <w:pStyle w:val="a0"/>
        <w:rPr>
          <w:lang w:val="de-DE"/>
        </w:rPr>
      </w:pPr>
      <w:r w:rsidRPr="00A428C3">
        <w:rPr>
          <w:lang w:val="de-DE"/>
        </w:rPr>
        <w:t xml:space="preserve">Full Text: </w:t>
      </w:r>
      <w:r w:rsidRPr="00A428C3">
        <w:rPr>
          <w:iCs/>
          <w:lang w:val="de-DE"/>
        </w:rPr>
        <w:t>Fre Zei Ana Che</w:t>
      </w:r>
      <w:r w:rsidRPr="00A428C3">
        <w:rPr>
          <w:lang w:val="de-DE"/>
        </w:rPr>
        <w:t>322, 315</w:t>
      </w:r>
    </w:p>
    <w:p w:rsidR="00B95188" w:rsidRPr="00A428C3" w:rsidRDefault="00B95188" w:rsidP="00B95188">
      <w:pPr>
        <w:pStyle w:val="a0"/>
      </w:pPr>
      <w:r w:rsidRPr="00A428C3">
        <w:t>Abstract: A new sensitive voltammetric method is presented for the determination of trace amounts of total chromium [Cr(III)</w:t>
      </w:r>
      <w:r w:rsidR="00F81221">
        <w:t xml:space="preserve"> and </w:t>
      </w:r>
      <w:r w:rsidRPr="00A428C3">
        <w:t>Cr(VI)] in natural waters. The method is based on the preconcentration of the Cr(III)-DTPA complex by adsorption at the HMDE at the potential of –1.0 V. The adsorbed complex is then reduced producing a response with a peak potential of –1.22 V</w:t>
      </w:r>
      <w:r w:rsidR="00F81221">
        <w:t xml:space="preserve"> and </w:t>
      </w:r>
      <w:r w:rsidRPr="00A428C3">
        <w:t>the peak height of the Cr(III) reduction is measured. The catalytic action of nitrate</w:t>
      </w:r>
      <w:r w:rsidR="00F81221">
        <w:t xml:space="preserve"> and </w:t>
      </w:r>
      <w:r w:rsidRPr="00A428C3">
        <w:t>bromate ions on the Cr(III)-DTPA reduction has been elucidated using cyclic voltammetry. The adsorption of chromium complexes at the HMDE was investigated using out-of-phase a. c. voltammetry</w:t>
      </w:r>
      <w:r w:rsidR="00F81221">
        <w:t xml:space="preserve"> and </w:t>
      </w:r>
      <w:r w:rsidRPr="00A428C3">
        <w:t>the potential range of adsorption was determined. Based on these investigations optimal conditions for the determination of the total chromium concentration in the range 20–2,000 ng/l have been established. The determination limit is 20 ng/l</w:t>
      </w:r>
      <w:r w:rsidR="00F81221">
        <w:t xml:space="preserve"> and </w:t>
      </w:r>
      <w:r w:rsidRPr="00A428C3">
        <w:t xml:space="preserve">the RSD is 5% for chromium concentrations </w:t>
      </w:r>
      <w:r w:rsidRPr="00A428C3">
        <w:sym w:font="Symbol" w:char="F0B3"/>
      </w:r>
      <w:r w:rsidRPr="00A428C3">
        <w:t xml:space="preserve"> 200 ng/l.</w:t>
      </w:r>
    </w:p>
    <w:p w:rsidR="00B95188" w:rsidRPr="00A428C3" w:rsidRDefault="00B95188" w:rsidP="00B95188">
      <w:pPr>
        <w:pStyle w:val="a0"/>
      </w:pPr>
      <w:r w:rsidRPr="00A428C3">
        <w:t>The usefulness</w:t>
      </w:r>
      <w:r w:rsidR="00F81221">
        <w:t xml:space="preserve"> and </w:t>
      </w:r>
      <w:r w:rsidRPr="00A428C3">
        <w:t>wide scope of this new voltammetric method for reliable</w:t>
      </w:r>
      <w:r w:rsidR="00F81221">
        <w:t xml:space="preserve"> and </w:t>
      </w:r>
      <w:r w:rsidRPr="00A428C3">
        <w:t>highly sensitive chromium analysis down to the natural ultra trace levels existing in various types of natural waters is demonstrated by determinations of the total dissolved chromium content in river, lake, sea</w:t>
      </w:r>
      <w:r w:rsidR="00F81221">
        <w:t xml:space="preserve"> and </w:t>
      </w:r>
      <w:r w:rsidRPr="00A428C3">
        <w:t>rain water.</w:t>
      </w:r>
    </w:p>
    <w:p w:rsidR="00B95188" w:rsidRPr="00A428C3" w:rsidRDefault="00B95188" w:rsidP="00B95188">
      <w:pPr>
        <w:pStyle w:val="a0"/>
        <w:rPr>
          <w:lang w:val="de-DE"/>
        </w:rPr>
      </w:pPr>
      <w:r w:rsidRPr="00A428C3">
        <w:t>? Hofmann, B.</w:t>
      </w:r>
      <w:r w:rsidR="00F81221">
        <w:t xml:space="preserve"> and </w:t>
      </w:r>
      <w:r w:rsidRPr="00A428C3">
        <w:t>Lieser, K.H. (1986), Sorption of gold, silver</w:t>
      </w:r>
      <w:r w:rsidR="00F81221">
        <w:t xml:space="preserve"> and </w:t>
      </w:r>
      <w:r w:rsidRPr="00A428C3">
        <w:t xml:space="preserve">mercury on cellulose. </w:t>
      </w:r>
      <w:r w:rsidRPr="00A428C3">
        <w:rPr>
          <w:i/>
          <w:iCs/>
          <w:lang w:val="de-DE"/>
        </w:rPr>
        <w:t>Fresenius Zeitschrift fur Analytische Chemie</w:t>
      </w:r>
      <w:r w:rsidRPr="00A428C3">
        <w:rPr>
          <w:lang w:val="de-DE"/>
        </w:rPr>
        <w:t xml:space="preserve">, </w:t>
      </w:r>
      <w:r w:rsidRPr="00A428C3">
        <w:rPr>
          <w:b/>
          <w:lang w:val="de-DE"/>
        </w:rPr>
        <w:t>325</w:t>
      </w:r>
      <w:r w:rsidRPr="00A428C3">
        <w:rPr>
          <w:lang w:val="de-DE"/>
        </w:rPr>
        <w:t xml:space="preserve"> (7), 618-620.</w:t>
      </w:r>
    </w:p>
    <w:p w:rsidR="00B95188" w:rsidRPr="00A428C3" w:rsidRDefault="00B95188" w:rsidP="00B95188">
      <w:pPr>
        <w:pStyle w:val="a0"/>
        <w:rPr>
          <w:lang w:val="de-DE"/>
        </w:rPr>
      </w:pPr>
      <w:r w:rsidRPr="00A428C3">
        <w:rPr>
          <w:lang w:val="de-DE"/>
        </w:rPr>
        <w:t xml:space="preserve">Full Text: </w:t>
      </w:r>
      <w:r w:rsidRPr="00A428C3">
        <w:rPr>
          <w:iCs/>
          <w:lang w:val="de-DE"/>
        </w:rPr>
        <w:t>Fre Zei Ana Che</w:t>
      </w:r>
      <w:r w:rsidRPr="00A428C3">
        <w:rPr>
          <w:lang w:val="de-DE"/>
        </w:rPr>
        <w:t>325, 618</w:t>
      </w:r>
    </w:p>
    <w:p w:rsidR="00B95188" w:rsidRPr="00A428C3" w:rsidRDefault="00B95188" w:rsidP="00B95188">
      <w:pPr>
        <w:pStyle w:val="a0"/>
      </w:pPr>
      <w:r w:rsidRPr="00A428C3">
        <w:t>Abstract: Distribution coefficients of Au</w:t>
      </w:r>
      <w:r w:rsidRPr="00A428C3">
        <w:rPr>
          <w:vertAlign w:val="superscript"/>
        </w:rPr>
        <w:t>3+</w:t>
      </w:r>
      <w:r w:rsidRPr="00A428C3">
        <w:t xml:space="preserve"> on cellulose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NaNO</w:t>
      </w:r>
      <w:r w:rsidRPr="00A428C3">
        <w:rPr>
          <w:vertAlign w:val="subscript"/>
        </w:rPr>
        <w:t>3</w:t>
      </w:r>
      <w:r w:rsidRPr="00A428C3">
        <w:t xml:space="preserve"> are rather high in the pH range 2 to 8 (D ≈ 5·103 ml/g). They are appreciably lower in presence of </w:t>
      </w:r>
      <w:r w:rsidRPr="00A428C3">
        <w:lastRenderedPageBreak/>
        <w:t xml:space="preserve">NaCl or NaCN. Distribution coefficients of Ag+ are relatively low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NaNO</w:t>
      </w:r>
      <w:r w:rsidRPr="00A428C3">
        <w:rPr>
          <w:vertAlign w:val="subscript"/>
        </w:rPr>
        <w:t>3</w:t>
      </w:r>
      <w:r w:rsidRPr="00A428C3">
        <w:t>, appreciably higher in presence of NH4NO</w:t>
      </w:r>
      <w:r w:rsidRPr="00A428C3">
        <w:rPr>
          <w:vertAlign w:val="subscript"/>
        </w:rPr>
        <w:t>3</w:t>
      </w:r>
      <w:r w:rsidRPr="00A428C3">
        <w:t xml:space="preserve"> (D ≈ 103 ml/g in weakly acid media)</w:t>
      </w:r>
      <w:r w:rsidR="00F81221">
        <w:t xml:space="preserve"> and </w:t>
      </w:r>
      <w:r w:rsidRPr="00A428C3">
        <w:t>low in presence of NaCl, Na</w:t>
      </w:r>
      <w:r w:rsidRPr="00A428C3">
        <w:rPr>
          <w:vertAlign w:val="subscript"/>
        </w:rPr>
        <w:t>2</w:t>
      </w:r>
      <w:r w:rsidRPr="00A428C3">
        <w:t>S</w:t>
      </w:r>
      <w:r w:rsidRPr="00A428C3">
        <w:rPr>
          <w:vertAlign w:val="subscript"/>
        </w:rPr>
        <w:t>2</w:t>
      </w:r>
      <w:r w:rsidRPr="00A428C3">
        <w:t>O</w:t>
      </w:r>
      <w:r w:rsidRPr="00A428C3">
        <w:rPr>
          <w:vertAlign w:val="subscript"/>
        </w:rPr>
        <w:t>3</w:t>
      </w:r>
      <w:r w:rsidRPr="00A428C3">
        <w:t xml:space="preserve"> or NaCN. Distrubution coefficients of Hg</w:t>
      </w:r>
      <w:r w:rsidRPr="00A428C3">
        <w:rPr>
          <w:vertAlign w:val="superscript"/>
        </w:rPr>
        <w:t>2+</w:t>
      </w:r>
      <w:r w:rsidRPr="00A428C3">
        <w:t xml:space="preserve"> are low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NaNO</w:t>
      </w:r>
      <w:r w:rsidRPr="00A428C3">
        <w:rPr>
          <w:vertAlign w:val="subscript"/>
        </w:rPr>
        <w:t>3</w:t>
      </w:r>
      <w:r w:rsidRPr="00A428C3">
        <w:t>,</w:t>
      </w:r>
      <w:r w:rsidR="00F81221">
        <w:t xml:space="preserve"> and </w:t>
      </w:r>
      <w:r w:rsidRPr="00A428C3">
        <w:t xml:space="preserve">in presence of NaCN, but higher in </w:t>
      </w:r>
      <w:smartTag w:uri="urn:schemas-microsoft-com:office:smarttags" w:element="chmetcnv">
        <w:smartTagPr>
          <w:attr w:name="TCSC" w:val="0"/>
          <w:attr w:name="NumberType" w:val="1"/>
          <w:attr w:name="Negative" w:val="False"/>
          <w:attr w:name="HasSpace" w:val="True"/>
          <w:attr w:name="SourceValue" w:val="0.5"/>
          <w:attr w:name="UnitName" w:val="m"/>
        </w:smartTagPr>
        <w:r w:rsidRPr="00A428C3">
          <w:t>0.5 M</w:t>
        </w:r>
      </w:smartTag>
      <w:r w:rsidRPr="00A428C3">
        <w:t xml:space="preserve"> NaCl (D ≈ 2·102 ml/ g). Responsible for the equilibria are mainly the special interactions between the predominant species with the sorbent under the given conditions,</w:t>
      </w:r>
      <w:r w:rsidR="00F81221">
        <w:t xml:space="preserve"> and </w:t>
      </w:r>
      <w:r w:rsidRPr="00A428C3">
        <w:t>less the complex equilibria in solution.</w:t>
      </w:r>
    </w:p>
    <w:p w:rsidR="00244306" w:rsidRPr="00A428C3" w:rsidRDefault="00244306" w:rsidP="00244306">
      <w:pPr>
        <w:pStyle w:val="1"/>
      </w:pPr>
      <w:r w:rsidRPr="00A428C3">
        <w:br w:type="page"/>
      </w:r>
      <w:bookmarkStart w:id="158" w:name="_Toc317160867"/>
      <w:r w:rsidRPr="00A428C3">
        <w:lastRenderedPageBreak/>
        <w:t xml:space="preserve">Title: </w:t>
      </w:r>
      <w:r w:rsidRPr="00244306">
        <w:rPr>
          <w:lang w:val="de-DE"/>
        </w:rPr>
        <w:t>Freshwater Biology</w:t>
      </w:r>
      <w:bookmarkEnd w:id="158"/>
    </w:p>
    <w:p w:rsidR="00244306" w:rsidRPr="00A428C3" w:rsidRDefault="00244306" w:rsidP="00B72EF9">
      <w:pPr>
        <w:pStyle w:val="12"/>
        <w:rPr>
          <w:lang w:val="de-DE"/>
        </w:rPr>
      </w:pPr>
      <w:r w:rsidRPr="00A428C3">
        <w:rPr>
          <w:lang w:val="de-DE"/>
        </w:rPr>
        <w:t xml:space="preserve">Full Journal Title: </w:t>
      </w:r>
      <w:hyperlink r:id="rId210" w:history="1">
        <w:r w:rsidRPr="00244306">
          <w:rPr>
            <w:rStyle w:val="a5"/>
            <w:lang w:val="de-DE"/>
          </w:rPr>
          <w:t>Freshwater Biology</w:t>
        </w:r>
      </w:hyperlink>
    </w:p>
    <w:p w:rsidR="00244306" w:rsidRPr="00A428C3" w:rsidRDefault="00244306" w:rsidP="00B72EF9">
      <w:pPr>
        <w:pStyle w:val="12"/>
      </w:pPr>
      <w:r w:rsidRPr="00A428C3">
        <w:t xml:space="preserve">ISO Abbreviated Title: </w:t>
      </w:r>
    </w:p>
    <w:p w:rsidR="00244306" w:rsidRPr="00A428C3" w:rsidRDefault="00244306" w:rsidP="00B72EF9">
      <w:pPr>
        <w:pStyle w:val="12"/>
      </w:pPr>
      <w:r w:rsidRPr="00A428C3">
        <w:t xml:space="preserve">JCR Abbreviated Title: </w:t>
      </w:r>
    </w:p>
    <w:p w:rsidR="00244306" w:rsidRPr="00A428C3" w:rsidRDefault="00244306" w:rsidP="00B72EF9">
      <w:pPr>
        <w:pStyle w:val="12"/>
      </w:pPr>
      <w:r w:rsidRPr="00A428C3">
        <w:t xml:space="preserve">ISSN: </w:t>
      </w:r>
    </w:p>
    <w:p w:rsidR="00244306" w:rsidRPr="00A428C3" w:rsidRDefault="00244306" w:rsidP="00B72EF9">
      <w:pPr>
        <w:pStyle w:val="12"/>
      </w:pPr>
      <w:r w:rsidRPr="00A428C3">
        <w:t xml:space="preserve">Issues/Year: </w:t>
      </w:r>
    </w:p>
    <w:p w:rsidR="00244306" w:rsidRPr="00A428C3" w:rsidRDefault="00244306" w:rsidP="00B72EF9">
      <w:pPr>
        <w:pStyle w:val="12"/>
      </w:pPr>
      <w:r w:rsidRPr="00A428C3">
        <w:t xml:space="preserve">Journal Country/Territory: </w:t>
      </w:r>
    </w:p>
    <w:p w:rsidR="00244306" w:rsidRPr="00A428C3" w:rsidRDefault="00244306" w:rsidP="00B72EF9">
      <w:pPr>
        <w:pStyle w:val="12"/>
      </w:pPr>
      <w:r w:rsidRPr="00A428C3">
        <w:t xml:space="preserve">Language: </w:t>
      </w:r>
    </w:p>
    <w:p w:rsidR="00244306" w:rsidRPr="00A428C3" w:rsidRDefault="00244306" w:rsidP="00B72EF9">
      <w:pPr>
        <w:pStyle w:val="12"/>
      </w:pPr>
      <w:r w:rsidRPr="00A428C3">
        <w:t xml:space="preserve">Publisher: </w:t>
      </w:r>
    </w:p>
    <w:p w:rsidR="00244306" w:rsidRPr="00A428C3" w:rsidRDefault="00244306" w:rsidP="00B72EF9">
      <w:pPr>
        <w:pStyle w:val="12"/>
      </w:pPr>
      <w:r w:rsidRPr="00A428C3">
        <w:t xml:space="preserve">Publisher Address: </w:t>
      </w:r>
    </w:p>
    <w:p w:rsidR="00244306" w:rsidRPr="00A428C3" w:rsidRDefault="00244306" w:rsidP="00B72EF9">
      <w:pPr>
        <w:pStyle w:val="12"/>
      </w:pPr>
      <w:r w:rsidRPr="00A428C3">
        <w:t>Subject Categories:</w:t>
      </w:r>
    </w:p>
    <w:p w:rsidR="00244306" w:rsidRPr="00A428C3" w:rsidRDefault="00244306" w:rsidP="00B72EF9">
      <w:pPr>
        <w:pStyle w:val="12"/>
      </w:pPr>
      <w:r w:rsidRPr="00A428C3">
        <w:t>: Impact Factor</w:t>
      </w:r>
    </w:p>
    <w:p w:rsidR="00244306" w:rsidRPr="00A428C3" w:rsidRDefault="00244306" w:rsidP="00244306">
      <w:pPr>
        <w:pStyle w:val="a0"/>
        <w:rPr>
          <w:lang w:val="de-DE"/>
        </w:rPr>
      </w:pPr>
      <w:r w:rsidRPr="00A428C3">
        <w:t xml:space="preserve">? </w:t>
      </w:r>
      <w:r w:rsidRPr="00244306">
        <w:rPr>
          <w:lang w:val="de-DE"/>
        </w:rPr>
        <w:t>Wishart</w:t>
      </w:r>
      <w:r>
        <w:rPr>
          <w:rFonts w:hint="eastAsia"/>
          <w:lang w:val="de-DE"/>
        </w:rPr>
        <w:t>,</w:t>
      </w:r>
      <w:r w:rsidRPr="00244306">
        <w:rPr>
          <w:lang w:val="de-DE"/>
        </w:rPr>
        <w:t xml:space="preserve"> M</w:t>
      </w:r>
      <w:r>
        <w:rPr>
          <w:rFonts w:hint="eastAsia"/>
          <w:lang w:val="de-DE"/>
        </w:rPr>
        <w:t>.</w:t>
      </w:r>
      <w:r w:rsidRPr="00244306">
        <w:rPr>
          <w:lang w:val="de-DE"/>
        </w:rPr>
        <w:t>J</w:t>
      </w:r>
      <w:r>
        <w:rPr>
          <w:rFonts w:hint="eastAsia"/>
          <w:lang w:val="de-DE"/>
        </w:rPr>
        <w:t>.</w:t>
      </w:r>
      <w:r w:rsidR="00F81221">
        <w:rPr>
          <w:rFonts w:hint="eastAsia"/>
          <w:lang w:val="de-DE"/>
        </w:rPr>
        <w:t xml:space="preserve"> and </w:t>
      </w:r>
      <w:r w:rsidRPr="00244306">
        <w:rPr>
          <w:lang w:val="de-DE"/>
        </w:rPr>
        <w:t>Davies</w:t>
      </w:r>
      <w:r>
        <w:rPr>
          <w:rFonts w:hint="eastAsia"/>
          <w:lang w:val="de-DE"/>
        </w:rPr>
        <w:t>,</w:t>
      </w:r>
      <w:r w:rsidRPr="00244306">
        <w:rPr>
          <w:lang w:val="de-DE"/>
        </w:rPr>
        <w:t xml:space="preserve"> B</w:t>
      </w:r>
      <w:r>
        <w:rPr>
          <w:rFonts w:hint="eastAsia"/>
          <w:lang w:val="de-DE"/>
        </w:rPr>
        <w:t>.</w:t>
      </w:r>
      <w:r w:rsidRPr="00244306">
        <w:rPr>
          <w:lang w:val="de-DE"/>
        </w:rPr>
        <w:t>R</w:t>
      </w:r>
      <w:r>
        <w:rPr>
          <w:rFonts w:hint="eastAsia"/>
          <w:lang w:val="de-DE"/>
        </w:rPr>
        <w:t>.</w:t>
      </w:r>
      <w:r w:rsidRPr="00A428C3">
        <w:t xml:space="preserve"> (19</w:t>
      </w:r>
      <w:r>
        <w:rPr>
          <w:rFonts w:hint="eastAsia"/>
        </w:rPr>
        <w:t>98</w:t>
      </w:r>
      <w:r w:rsidRPr="00A428C3">
        <w:t xml:space="preserve">), </w:t>
      </w:r>
      <w:r w:rsidRPr="00244306">
        <w:rPr>
          <w:lang w:val="de-DE"/>
        </w:rPr>
        <w:t>The increasing divide between First</w:t>
      </w:r>
      <w:r w:rsidR="00F81221">
        <w:rPr>
          <w:lang w:val="de-DE"/>
        </w:rPr>
        <w:t xml:space="preserve"> and </w:t>
      </w:r>
      <w:r w:rsidRPr="00244306">
        <w:rPr>
          <w:lang w:val="de-DE"/>
        </w:rPr>
        <w:t>Third Worlds: Science, collaboration</w:t>
      </w:r>
      <w:r w:rsidR="00F81221">
        <w:rPr>
          <w:lang w:val="de-DE"/>
        </w:rPr>
        <w:t xml:space="preserve"> and </w:t>
      </w:r>
      <w:r w:rsidRPr="00244306">
        <w:rPr>
          <w:lang w:val="de-DE"/>
        </w:rPr>
        <w:t>conservation of Third World aquatic ecosystems</w:t>
      </w:r>
      <w:r w:rsidRPr="00A428C3">
        <w:t xml:space="preserve">. </w:t>
      </w:r>
      <w:r w:rsidRPr="00244306">
        <w:rPr>
          <w:i/>
          <w:lang w:val="de-DE"/>
        </w:rPr>
        <w:t>Freshwater Biology</w:t>
      </w:r>
      <w:r w:rsidRPr="00A428C3">
        <w:rPr>
          <w:lang w:val="de-DE"/>
        </w:rPr>
        <w:t xml:space="preserve">, </w:t>
      </w:r>
      <w:r>
        <w:rPr>
          <w:rFonts w:hint="eastAsia"/>
          <w:b/>
          <w:lang w:val="de-DE"/>
        </w:rPr>
        <w:t>39</w:t>
      </w:r>
      <w:r w:rsidRPr="00A428C3">
        <w:rPr>
          <w:lang w:val="de-DE"/>
        </w:rPr>
        <w:t xml:space="preserve"> (3), </w:t>
      </w:r>
      <w:r w:rsidRPr="00244306">
        <w:rPr>
          <w:lang w:val="de-DE"/>
        </w:rPr>
        <w:t>557-567</w:t>
      </w:r>
      <w:r w:rsidRPr="00A428C3">
        <w:rPr>
          <w:lang w:val="de-DE"/>
        </w:rPr>
        <w:t>.</w:t>
      </w:r>
    </w:p>
    <w:p w:rsidR="00244306" w:rsidRDefault="00244306" w:rsidP="00244306">
      <w:pPr>
        <w:pStyle w:val="a0"/>
        <w:rPr>
          <w:lang w:val="de-DE"/>
        </w:rPr>
      </w:pPr>
      <w:r w:rsidRPr="00A428C3">
        <w:rPr>
          <w:lang w:val="de-DE"/>
        </w:rPr>
        <w:t xml:space="preserve">Full Text: </w:t>
      </w:r>
      <w:hyperlink r:id="rId211" w:history="1">
        <w:r w:rsidRPr="00244306">
          <w:rPr>
            <w:rStyle w:val="a5"/>
            <w:lang w:val="de-DE"/>
          </w:rPr>
          <w:t>1998\Fre Bio39, 557.pdf</w:t>
        </w:r>
      </w:hyperlink>
    </w:p>
    <w:p w:rsidR="00244306" w:rsidRPr="00244306" w:rsidRDefault="00244306" w:rsidP="00244306">
      <w:pPr>
        <w:pStyle w:val="a0"/>
        <w:rPr>
          <w:lang w:val="de-DE"/>
        </w:rPr>
      </w:pPr>
      <w:r w:rsidRPr="00244306">
        <w:rPr>
          <w:lang w:val="de-DE"/>
        </w:rPr>
        <w:t>Abstract: 1. Ten of the leading journals in the field of freshwater ecology were identified using the Science Citation Index</w:t>
      </w:r>
      <w:r w:rsidR="000352E7">
        <w:rPr>
          <w:lang w:val="de-DE"/>
        </w:rPr>
        <w:t>’</w:t>
      </w:r>
      <w:r w:rsidRPr="00244306">
        <w:rPr>
          <w:lang w:val="de-DE"/>
        </w:rPr>
        <w:t>s Journal Citation Reports. These journals were surveyed to assess the levels</w:t>
      </w:r>
      <w:r w:rsidR="00F81221">
        <w:rPr>
          <w:lang w:val="de-DE"/>
        </w:rPr>
        <w:t xml:space="preserve"> and </w:t>
      </w:r>
      <w:r w:rsidRPr="00244306">
        <w:rPr>
          <w:lang w:val="de-DE"/>
        </w:rPr>
        <w:t>patterns of collaboration in research initiatives in regions of the Third World. Membership demographics of five professional societies in this field were also examined to elucidate distribution patterns of practitioners in the field.</w:t>
      </w:r>
    </w:p>
    <w:p w:rsidR="00244306" w:rsidRPr="00244306" w:rsidRDefault="00244306" w:rsidP="00244306">
      <w:pPr>
        <w:pStyle w:val="a0"/>
        <w:rPr>
          <w:lang w:val="de-DE"/>
        </w:rPr>
      </w:pPr>
      <w:r w:rsidRPr="00244306">
        <w:rPr>
          <w:lang w:val="de-DE"/>
        </w:rPr>
        <w:t>2. In total, 8960 papers were surveyed, of which only forty were published in a language other than English. Senior authors came from 114 of the 130 different countries listed among authors</w:t>
      </w:r>
      <w:r w:rsidR="000352E7">
        <w:rPr>
          <w:lang w:val="de-DE"/>
        </w:rPr>
        <w:t>’</w:t>
      </w:r>
      <w:r w:rsidRPr="00244306">
        <w:rPr>
          <w:lang w:val="de-DE"/>
        </w:rPr>
        <w:t xml:space="preserve"> addresses. Of these, forty-five were from Third World countries</w:t>
      </w:r>
      <w:r w:rsidR="00F81221">
        <w:rPr>
          <w:lang w:val="de-DE"/>
        </w:rPr>
        <w:t xml:space="preserve"> and </w:t>
      </w:r>
      <w:r w:rsidRPr="00244306">
        <w:rPr>
          <w:lang w:val="de-DE"/>
        </w:rPr>
        <w:t>sixty-nine from the First World. Five countries were responsible for 60.64% of the papers submitted; the United States = 25.65%; Canada = 11.55%; Australia = 10.15%; the United Kingdom = 6.73%; New Zealand = 6.56%. Multi-authored papers accounted for 73.05% of all papers.</w:t>
      </w:r>
    </w:p>
    <w:p w:rsidR="00244306" w:rsidRPr="00244306" w:rsidRDefault="00244306" w:rsidP="00244306">
      <w:pPr>
        <w:pStyle w:val="a0"/>
        <w:rPr>
          <w:lang w:val="de-DE"/>
        </w:rPr>
      </w:pPr>
      <w:r w:rsidRPr="00244306">
        <w:rPr>
          <w:lang w:val="de-DE"/>
        </w:rPr>
        <w:t>3. Papers by authors from Third World countries accounted for only 10.93% of single-author papers</w:t>
      </w:r>
      <w:r w:rsidR="00F81221">
        <w:rPr>
          <w:lang w:val="de-DE"/>
        </w:rPr>
        <w:t xml:space="preserve"> and </w:t>
      </w:r>
      <w:r w:rsidRPr="00244306">
        <w:rPr>
          <w:lang w:val="de-DE"/>
        </w:rPr>
        <w:t>less than 10% of multi-authored papers. Collaboration was found in 73.05% of the papers surveyed, the vast majority of which (87.39%) was between authors from First World countries. Only 825 (9.21%) of the papers surveyed involved authors from different countries. Most of this collaboration (72.36%) was between authors from different First World countries.</w:t>
      </w:r>
    </w:p>
    <w:p w:rsidR="00244306" w:rsidRPr="00244306" w:rsidRDefault="00244306" w:rsidP="00244306">
      <w:pPr>
        <w:pStyle w:val="a0"/>
        <w:rPr>
          <w:lang w:val="de-DE"/>
        </w:rPr>
      </w:pPr>
      <w:r w:rsidRPr="00244306">
        <w:rPr>
          <w:lang w:val="de-DE"/>
        </w:rPr>
        <w:t xml:space="preserve">4. Some 1038 papers surveyed included research undertaken in, or included authors from, Third World countries. The majority of these papers (69.08%) were submitted </w:t>
      </w:r>
      <w:r w:rsidRPr="00244306">
        <w:rPr>
          <w:lang w:val="de-DE"/>
        </w:rPr>
        <w:lastRenderedPageBreak/>
        <w:t>by authors from Third World countries, involving either multiple or single authorship. The third most common publication relating to research in Third World regions (17.4%) came from single-author papers in which the authors were from a First World country. Only four of the papers surveyed were submitted by single authors from Third World countries working in First World countries.</w:t>
      </w:r>
    </w:p>
    <w:p w:rsidR="00244306" w:rsidRPr="00244306" w:rsidRDefault="00244306" w:rsidP="00244306">
      <w:pPr>
        <w:pStyle w:val="a0"/>
        <w:rPr>
          <w:lang w:val="de-DE"/>
        </w:rPr>
      </w:pPr>
      <w:r w:rsidRPr="00244306">
        <w:rPr>
          <w:lang w:val="de-DE"/>
        </w:rPr>
        <w:t>5. There is a disproportionate representation of taxonomic (20.3%)</w:t>
      </w:r>
      <w:r w:rsidR="00F81221">
        <w:rPr>
          <w:lang w:val="de-DE"/>
        </w:rPr>
        <w:t xml:space="preserve"> and </w:t>
      </w:r>
      <w:r w:rsidRPr="00244306">
        <w:rPr>
          <w:lang w:val="de-DE"/>
        </w:rPr>
        <w:t>marine (10.5%) papers from the Third World regions in comparison to both lentic (8.0%)</w:t>
      </w:r>
      <w:r w:rsidR="00F81221">
        <w:rPr>
          <w:lang w:val="de-DE"/>
        </w:rPr>
        <w:t xml:space="preserve"> and </w:t>
      </w:r>
      <w:r w:rsidRPr="00244306">
        <w:rPr>
          <w:lang w:val="de-DE"/>
        </w:rPr>
        <w:t>lotic (7.4%) papers.</w:t>
      </w:r>
    </w:p>
    <w:p w:rsidR="00244306" w:rsidRPr="00244306" w:rsidRDefault="00244306" w:rsidP="00244306">
      <w:pPr>
        <w:pStyle w:val="a0"/>
        <w:rPr>
          <w:lang w:val="de-DE"/>
        </w:rPr>
      </w:pPr>
      <w:r w:rsidRPr="00244306">
        <w:rPr>
          <w:lang w:val="de-DE"/>
        </w:rPr>
        <w:t>6. Membership demographics of the professional societies surveyed continue to reflect the historical origins of freshwater ecology. More than 80% of members in the three largest societies examined are registered in Europe</w:t>
      </w:r>
      <w:r w:rsidR="00F81221">
        <w:rPr>
          <w:lang w:val="de-DE"/>
        </w:rPr>
        <w:t xml:space="preserve"> and </w:t>
      </w:r>
      <w:r w:rsidRPr="00244306">
        <w:rPr>
          <w:lang w:val="de-DE"/>
        </w:rPr>
        <w:t>North America, while membership of the remaining societies remains largely regional.</w:t>
      </w:r>
    </w:p>
    <w:p w:rsidR="00244306" w:rsidRPr="00244306" w:rsidRDefault="00244306" w:rsidP="00244306">
      <w:pPr>
        <w:pStyle w:val="a0"/>
        <w:rPr>
          <w:lang w:val="de-DE"/>
        </w:rPr>
      </w:pPr>
      <w:r w:rsidRPr="00244306">
        <w:rPr>
          <w:lang w:val="de-DE"/>
        </w:rPr>
        <w:t>7. It is argued that present levels of collaboration</w:t>
      </w:r>
      <w:r w:rsidR="00F81221">
        <w:rPr>
          <w:lang w:val="de-DE"/>
        </w:rPr>
        <w:t xml:space="preserve"> and </w:t>
      </w:r>
      <w:r w:rsidRPr="00244306">
        <w:rPr>
          <w:lang w:val="de-DE"/>
        </w:rPr>
        <w:t>technology transfer from the First World to the Third World are inadequate</w:t>
      </w:r>
      <w:r w:rsidR="00F81221">
        <w:rPr>
          <w:lang w:val="de-DE"/>
        </w:rPr>
        <w:t xml:space="preserve"> and </w:t>
      </w:r>
      <w:r w:rsidRPr="00244306">
        <w:rPr>
          <w:lang w:val="de-DE"/>
        </w:rPr>
        <w:t>that, given the widening gulf in terms of personnel</w:t>
      </w:r>
      <w:r w:rsidR="00F81221">
        <w:rPr>
          <w:lang w:val="de-DE"/>
        </w:rPr>
        <w:t xml:space="preserve"> and </w:t>
      </w:r>
      <w:r w:rsidRPr="00244306">
        <w:rPr>
          <w:lang w:val="de-DE"/>
        </w:rPr>
        <w:t>resources, the future of essential research on inland waters in the Third World does not bode well unless in situ capacity building within Third World countries becomes a target of First World research</w:t>
      </w:r>
      <w:r w:rsidR="00F81221">
        <w:rPr>
          <w:lang w:val="de-DE"/>
        </w:rPr>
        <w:t xml:space="preserve"> and </w:t>
      </w:r>
      <w:r w:rsidRPr="00244306">
        <w:rPr>
          <w:lang w:val="de-DE"/>
        </w:rPr>
        <w:t>funding agencies.</w:t>
      </w:r>
    </w:p>
    <w:p w:rsidR="00244306" w:rsidRPr="00A428C3" w:rsidRDefault="00244306" w:rsidP="00244306">
      <w:pPr>
        <w:pStyle w:val="a0"/>
        <w:rPr>
          <w:lang w:val="de-DE"/>
        </w:rPr>
      </w:pPr>
      <w:r w:rsidRPr="00244306">
        <w:rPr>
          <w:lang w:val="de-DE"/>
        </w:rPr>
        <w:t>Keywords</w:t>
      </w:r>
      <w:r>
        <w:rPr>
          <w:lang w:val="de-DE"/>
        </w:rPr>
        <w:t>: Scientific Collaboration</w:t>
      </w:r>
    </w:p>
    <w:p w:rsidR="00C82CAD" w:rsidRPr="00A428C3" w:rsidRDefault="00C82CAD" w:rsidP="00C82CAD">
      <w:pPr>
        <w:pStyle w:val="1"/>
      </w:pPr>
      <w:r w:rsidRPr="00A428C3">
        <w:br w:type="page"/>
      </w:r>
      <w:bookmarkStart w:id="159" w:name="_Toc317160868"/>
      <w:r w:rsidRPr="00A428C3">
        <w:lastRenderedPageBreak/>
        <w:t xml:space="preserve">Title: </w:t>
      </w:r>
      <w:r w:rsidRPr="00897953">
        <w:rPr>
          <w:iCs/>
        </w:rPr>
        <w:t>Frontiers in Computational Neuroscience</w:t>
      </w:r>
      <w:bookmarkEnd w:id="159"/>
    </w:p>
    <w:p w:rsidR="00C82CAD" w:rsidRPr="00A428C3" w:rsidRDefault="00C82CAD" w:rsidP="00C82CAD">
      <w:pPr>
        <w:pStyle w:val="12"/>
        <w:rPr>
          <w:lang w:val="de-DE"/>
        </w:rPr>
      </w:pPr>
      <w:r w:rsidRPr="00A428C3">
        <w:rPr>
          <w:lang w:val="de-DE"/>
        </w:rPr>
        <w:t xml:space="preserve">Full Journal Title: </w:t>
      </w:r>
      <w:r w:rsidRPr="00897953">
        <w:rPr>
          <w:iCs/>
        </w:rPr>
        <w:t>Frontiers in Computational Neuroscience</w:t>
      </w:r>
    </w:p>
    <w:p w:rsidR="00C82CAD" w:rsidRPr="00A428C3" w:rsidRDefault="00C82CAD" w:rsidP="00C82CAD">
      <w:pPr>
        <w:pStyle w:val="12"/>
      </w:pPr>
      <w:r w:rsidRPr="00A428C3">
        <w:t xml:space="preserve">ISO Abbreviated Title: </w:t>
      </w:r>
    </w:p>
    <w:p w:rsidR="00C82CAD" w:rsidRPr="00A428C3" w:rsidRDefault="00C82CAD" w:rsidP="00C82CAD">
      <w:pPr>
        <w:pStyle w:val="12"/>
      </w:pPr>
      <w:r w:rsidRPr="00A428C3">
        <w:t xml:space="preserve">JCR Abbreviated Title: </w:t>
      </w:r>
    </w:p>
    <w:p w:rsidR="00C82CAD" w:rsidRPr="00A428C3" w:rsidRDefault="00C82CAD" w:rsidP="00C82CAD">
      <w:pPr>
        <w:pStyle w:val="12"/>
      </w:pPr>
      <w:r w:rsidRPr="00A428C3">
        <w:t xml:space="preserve">ISSN: </w:t>
      </w:r>
    </w:p>
    <w:p w:rsidR="00C82CAD" w:rsidRPr="00A428C3" w:rsidRDefault="00C82CAD" w:rsidP="00C82CAD">
      <w:pPr>
        <w:pStyle w:val="12"/>
      </w:pPr>
      <w:r w:rsidRPr="00A428C3">
        <w:t xml:space="preserve">Issues/Year: </w:t>
      </w:r>
    </w:p>
    <w:p w:rsidR="00C82CAD" w:rsidRPr="00A428C3" w:rsidRDefault="00C82CAD" w:rsidP="00C82CAD">
      <w:pPr>
        <w:pStyle w:val="12"/>
      </w:pPr>
      <w:r w:rsidRPr="00A428C3">
        <w:t xml:space="preserve">Journal Country/Territory: </w:t>
      </w:r>
    </w:p>
    <w:p w:rsidR="00C82CAD" w:rsidRPr="00A428C3" w:rsidRDefault="00C82CAD" w:rsidP="00C82CAD">
      <w:pPr>
        <w:pStyle w:val="12"/>
      </w:pPr>
      <w:r w:rsidRPr="00A428C3">
        <w:t xml:space="preserve">Language: </w:t>
      </w:r>
    </w:p>
    <w:p w:rsidR="00C82CAD" w:rsidRPr="00A428C3" w:rsidRDefault="00C82CAD" w:rsidP="00C82CAD">
      <w:pPr>
        <w:pStyle w:val="12"/>
      </w:pPr>
      <w:r w:rsidRPr="00A428C3">
        <w:t xml:space="preserve">Publisher: </w:t>
      </w:r>
    </w:p>
    <w:p w:rsidR="00C82CAD" w:rsidRPr="00A428C3" w:rsidRDefault="00C82CAD" w:rsidP="00C82CAD">
      <w:pPr>
        <w:pStyle w:val="12"/>
      </w:pPr>
      <w:r w:rsidRPr="00A428C3">
        <w:t xml:space="preserve">Publisher Address: </w:t>
      </w:r>
    </w:p>
    <w:p w:rsidR="00C82CAD" w:rsidRPr="00A428C3" w:rsidRDefault="00C82CAD" w:rsidP="00C82CAD">
      <w:pPr>
        <w:pStyle w:val="12"/>
      </w:pPr>
      <w:r w:rsidRPr="00A428C3">
        <w:t>Subject Categories:</w:t>
      </w:r>
    </w:p>
    <w:p w:rsidR="00C82CAD" w:rsidRPr="00A428C3" w:rsidRDefault="00C82CAD" w:rsidP="00C82CAD">
      <w:pPr>
        <w:pStyle w:val="12"/>
      </w:pPr>
      <w:r w:rsidRPr="00A428C3">
        <w:t>: Impact Factor</w:t>
      </w:r>
    </w:p>
    <w:p w:rsidR="00C82CAD" w:rsidRDefault="00C82CAD" w:rsidP="00C82CAD">
      <w:pPr>
        <w:pStyle w:val="a0"/>
        <w:rPr>
          <w:rFonts w:hint="eastAsia"/>
        </w:rPr>
      </w:pPr>
      <w:r>
        <w:rPr>
          <w:rFonts w:hint="eastAsia"/>
          <w:kern w:val="0"/>
        </w:rPr>
        <w:t xml:space="preserve">? </w:t>
      </w:r>
      <w:r>
        <w:rPr>
          <w:kern w:val="0"/>
        </w:rPr>
        <w:t xml:space="preserve">Kreiman, G. and Maunsell, J.H.R. (2011), Nine criteria for a measure of scientific output. </w:t>
      </w:r>
      <w:r w:rsidRPr="00897953">
        <w:rPr>
          <w:i/>
          <w:iCs/>
          <w:kern w:val="0"/>
        </w:rPr>
        <w:t>Frontiers in Computational Neuroscience</w:t>
      </w:r>
      <w:r>
        <w:rPr>
          <w:kern w:val="0"/>
        </w:rPr>
        <w:t xml:space="preserve">, </w:t>
      </w:r>
      <w:r>
        <w:rPr>
          <w:b/>
          <w:bCs/>
          <w:kern w:val="0"/>
        </w:rPr>
        <w:t>5</w:t>
      </w:r>
      <w:r>
        <w:rPr>
          <w:rFonts w:hint="eastAsia"/>
          <w:kern w:val="0"/>
        </w:rPr>
        <w:t xml:space="preserve">, </w:t>
      </w:r>
      <w:r>
        <w:rPr>
          <w:rStyle w:val="label"/>
        </w:rPr>
        <w:t xml:space="preserve">Article Number: </w:t>
      </w:r>
      <w:r>
        <w:rPr>
          <w:rStyle w:val="databold"/>
        </w:rPr>
        <w:t>48</w:t>
      </w:r>
      <w:r>
        <w:rPr>
          <w:rFonts w:hint="eastAsia"/>
        </w:rPr>
        <w:t>.</w:t>
      </w:r>
    </w:p>
    <w:p w:rsidR="00C82CAD" w:rsidRDefault="00C82CAD" w:rsidP="00C82CAD">
      <w:pPr>
        <w:pStyle w:val="a0"/>
        <w:rPr>
          <w:kern w:val="0"/>
        </w:rPr>
      </w:pPr>
      <w:r>
        <w:rPr>
          <w:rFonts w:hint="eastAsia"/>
        </w:rPr>
        <w:t xml:space="preserve">Full Text: </w:t>
      </w:r>
      <w:hyperlink r:id="rId212" w:history="1">
        <w:r w:rsidRPr="00897953">
          <w:rPr>
            <w:rStyle w:val="a5"/>
          </w:rPr>
          <w:t>2011\Fro Com Neu5, 48.pdf</w:t>
        </w:r>
      </w:hyperlink>
    </w:p>
    <w:p w:rsidR="00C82CAD" w:rsidRDefault="00C82CAD" w:rsidP="00C82CAD">
      <w:pPr>
        <w:pStyle w:val="a0"/>
        <w:rPr>
          <w:kern w:val="0"/>
        </w:rPr>
      </w:pPr>
      <w:r>
        <w:rPr>
          <w:kern w:val="0"/>
        </w:rPr>
        <w:t>Abstract: Scientific research produces new knowledge, technologies, and clinical treatments that can lead to enormous returns. Often, the path from basic research to new paradigms and direct impact on society takes time. Precise quantification of scientific output in the short-term is not an easy task but is critical for evaluating scientists, laboratories, departments, and institutions. While there have been attempts to quantifying scientific output, we argue that current methods are not ideal and suffer from solvable difficulties. Here we propose criteria that a metric should have to be considered a good index of scientific output. Specifically, we argue that such an index should be quantitative, based on robust data, rapidly updated and retrospective, presented with confidence intervals, normalized by number of contributors, career stage and discipline, impractical to manipulate, and focused on quality over quantity. Such an index should be validated through empirical testing. The purpose of quantitatively evaluating scientific output is not to replace careful, rigorous review by experts but rather to complement those efforts. Because it has the potential to greatly influence the efficiency of scientific research, we have a duty to reflect upon and implement novel and rigorous ways of evaluating scientific output. The criteria proposed here provide initial steps toward the systematic development and validation of a metric to evaluate scientific output.</w:t>
      </w:r>
    </w:p>
    <w:p w:rsidR="00C82CAD" w:rsidRDefault="00C82CAD" w:rsidP="00C82CAD">
      <w:pPr>
        <w:pStyle w:val="a0"/>
        <w:rPr>
          <w:kern w:val="0"/>
        </w:rPr>
      </w:pPr>
      <w:r>
        <w:rPr>
          <w:kern w:val="0"/>
        </w:rPr>
        <w:t xml:space="preserve">Keywords: Author, Bibliometric Analysis, Citation, Confidence Intervals, Development, Efficiency, Impact, Impact Factors, Institutions, Journals Impact Factor, Knowledge, Lead, Paper, Peer Review, Productivity, Quality, Quality Versus Quantity, Quantitative, Research, Review, Scientific Output, Scientific Research, Systematic, </w:t>
      </w:r>
      <w:r>
        <w:rPr>
          <w:kern w:val="0"/>
        </w:rPr>
        <w:lastRenderedPageBreak/>
        <w:t>USA, Validation</w:t>
      </w:r>
    </w:p>
    <w:p w:rsidR="00C82CAD" w:rsidRDefault="00C82CAD" w:rsidP="00C82CAD">
      <w:pPr>
        <w:pStyle w:val="a0"/>
        <w:rPr>
          <w:rFonts w:hint="eastAsia"/>
        </w:rPr>
      </w:pPr>
      <w:r>
        <w:rPr>
          <w:rFonts w:hint="eastAsia"/>
          <w:kern w:val="0"/>
        </w:rPr>
        <w:t xml:space="preserve">? </w:t>
      </w:r>
      <w:r>
        <w:rPr>
          <w:kern w:val="0"/>
        </w:rPr>
        <w:t xml:space="preserve">Lee, C. (2012), Open peer review by a selected-papers network. </w:t>
      </w:r>
      <w:r>
        <w:rPr>
          <w:i/>
          <w:iCs/>
          <w:kern w:val="0"/>
        </w:rPr>
        <w:t>Frontiers in Computational Neuroscience</w:t>
      </w:r>
      <w:r>
        <w:rPr>
          <w:kern w:val="0"/>
        </w:rPr>
        <w:t xml:space="preserve">, </w:t>
      </w:r>
      <w:r>
        <w:rPr>
          <w:b/>
          <w:bCs/>
          <w:kern w:val="0"/>
        </w:rPr>
        <w:t>6</w:t>
      </w:r>
      <w:r>
        <w:rPr>
          <w:rFonts w:hint="eastAsia"/>
          <w:kern w:val="0"/>
        </w:rPr>
        <w:t xml:space="preserve">, </w:t>
      </w:r>
      <w:r>
        <w:rPr>
          <w:rStyle w:val="label"/>
        </w:rPr>
        <w:t xml:space="preserve">Article Number: </w:t>
      </w:r>
      <w:r>
        <w:rPr>
          <w:rStyle w:val="databold"/>
          <w:rFonts w:hint="eastAsia"/>
        </w:rPr>
        <w:t>1</w:t>
      </w:r>
      <w:r>
        <w:rPr>
          <w:rFonts w:hint="eastAsia"/>
        </w:rPr>
        <w:t>.</w:t>
      </w:r>
    </w:p>
    <w:p w:rsidR="00C82CAD" w:rsidRDefault="00C82CAD" w:rsidP="00C82CAD">
      <w:pPr>
        <w:pStyle w:val="a0"/>
        <w:rPr>
          <w:kern w:val="0"/>
        </w:rPr>
      </w:pPr>
      <w:r>
        <w:rPr>
          <w:rFonts w:hint="eastAsia"/>
        </w:rPr>
        <w:t xml:space="preserve">Full Text: </w:t>
      </w:r>
      <w:hyperlink r:id="rId213" w:history="1">
        <w:r w:rsidRPr="00897953">
          <w:rPr>
            <w:rStyle w:val="a5"/>
          </w:rPr>
          <w:t>2012\Fro Com Neu6, 1.pdf</w:t>
        </w:r>
      </w:hyperlink>
    </w:p>
    <w:p w:rsidR="00C82CAD" w:rsidRDefault="00C82CAD" w:rsidP="00C82CAD">
      <w:pPr>
        <w:pStyle w:val="a0"/>
        <w:rPr>
          <w:kern w:val="0"/>
        </w:rPr>
      </w:pPr>
      <w:r>
        <w:rPr>
          <w:kern w:val="0"/>
        </w:rPr>
        <w:t>Abstract: A selected-papers (SP) network is a network in which researchers who read, write, and review articles subscribe to each other based on common interests. Instead of reviewing a manuscript in secret for the Edit or of a journal, each reviewer simply publishesh is review (typically of a paper he wishes to recommend) to his SP network subscribers. Once the SP network reviewers complete their review decisions, the authors can invite any journal editor they want to consider these reviews and initial audience size, and make a publication decision. Since all impact assessment, reviews, and revisions are complete, this decision process should be short. I show how the SP network can provide a new way of measuring impact, catalyze the emergence of new subfields, and accelerate discovery in existing fields, by providing each reader a fine-grained filter for high-impact. I present a three phase plan for building a basic SP network, and making it an effective peer review platform that can be used by journals, conferences, users of repositories such as arXiv, and users of search engines such as PubMed. I show how the SP network can greatly improve review and dissemination of research articles in areas that are not well-supported by existing journals. Finally, I illustrate how the SP network concept can work well with existing publication services such as journals, conferences, arXiv, PubMed, and online citation management sites.</w:t>
      </w:r>
    </w:p>
    <w:p w:rsidR="00C82CAD" w:rsidRDefault="00C82CAD" w:rsidP="00C82CAD">
      <w:pPr>
        <w:pStyle w:val="a0"/>
        <w:rPr>
          <w:kern w:val="0"/>
        </w:rPr>
      </w:pPr>
      <w:r>
        <w:rPr>
          <w:kern w:val="0"/>
        </w:rPr>
        <w:t>Keywords: Articles, Assessment, Author, Authors, Citation, Dissemination, Filter, Impact, Interdisciplinary Research, Journal, Journals, Management, Network, Open Evaluation, Open Peer Review, Peer Review, Peer-Review, Process, Publication, Publishing, Pubmed, Research, Researchers, Review, Reviewing, Scientometrics, Sites, Subscribers, USA</w:t>
      </w:r>
    </w:p>
    <w:p w:rsidR="00D23691" w:rsidRPr="00A428C3" w:rsidRDefault="00D23691" w:rsidP="00D23691">
      <w:pPr>
        <w:pStyle w:val="1"/>
      </w:pPr>
      <w:r w:rsidRPr="00A428C3">
        <w:br w:type="page"/>
      </w:r>
      <w:bookmarkStart w:id="160" w:name="_Toc317160869"/>
      <w:r w:rsidRPr="00A428C3">
        <w:lastRenderedPageBreak/>
        <w:t xml:space="preserve">Title: </w:t>
      </w:r>
      <w:r w:rsidRPr="00D23691">
        <w:t>Frontiers in Education Fie</w:t>
      </w:r>
      <w:r w:rsidR="000352E7">
        <w:t>’</w:t>
      </w:r>
      <w:r w:rsidRPr="00D23691">
        <w:t>96 - 26th Annual Conference, Proceedings, Vols 1-3 - Technology-Based Re-Engineering Engineering Education</w:t>
      </w:r>
      <w:bookmarkEnd w:id="160"/>
    </w:p>
    <w:p w:rsidR="00D23691" w:rsidRPr="00A428C3" w:rsidRDefault="00D23691" w:rsidP="00B72EF9">
      <w:pPr>
        <w:pStyle w:val="12"/>
      </w:pPr>
      <w:r w:rsidRPr="00A428C3">
        <w:t xml:space="preserve">Full Journal Title: </w:t>
      </w:r>
      <w:r w:rsidRPr="00D23691">
        <w:t>Frontiers in Education Fie</w:t>
      </w:r>
      <w:r w:rsidR="000352E7">
        <w:t>’</w:t>
      </w:r>
      <w:r w:rsidRPr="00D23691">
        <w:t>96 - 26th Annual Conference, Proceedings, Vols 1-3 - Technology-Based Re-Engineering Engineering Education</w:t>
      </w:r>
    </w:p>
    <w:p w:rsidR="00D23691" w:rsidRPr="00A428C3" w:rsidRDefault="00D23691" w:rsidP="00B72EF9">
      <w:pPr>
        <w:pStyle w:val="12"/>
      </w:pPr>
      <w:r w:rsidRPr="00A428C3">
        <w:t xml:space="preserve">ISO Abbreviated Title: </w:t>
      </w:r>
    </w:p>
    <w:p w:rsidR="00D23691" w:rsidRPr="00A428C3" w:rsidRDefault="00D23691" w:rsidP="00B72EF9">
      <w:pPr>
        <w:pStyle w:val="12"/>
      </w:pPr>
      <w:r w:rsidRPr="00A428C3">
        <w:t xml:space="preserve">JCR Abbreviated Title: </w:t>
      </w:r>
    </w:p>
    <w:p w:rsidR="00D23691" w:rsidRPr="00A428C3" w:rsidRDefault="00D23691" w:rsidP="00B72EF9">
      <w:pPr>
        <w:pStyle w:val="12"/>
      </w:pPr>
      <w:r w:rsidRPr="00A428C3">
        <w:t xml:space="preserve">ISSN: </w:t>
      </w:r>
      <w:r w:rsidRPr="00D23691">
        <w:t>0190-5848</w:t>
      </w:r>
    </w:p>
    <w:p w:rsidR="00D23691" w:rsidRPr="00A428C3" w:rsidRDefault="00D23691" w:rsidP="00B72EF9">
      <w:pPr>
        <w:pStyle w:val="12"/>
      </w:pPr>
      <w:r w:rsidRPr="00A428C3">
        <w:t xml:space="preserve">Issues/Year: </w:t>
      </w:r>
    </w:p>
    <w:p w:rsidR="00D23691" w:rsidRPr="00A428C3" w:rsidRDefault="00D23691" w:rsidP="00B72EF9">
      <w:pPr>
        <w:pStyle w:val="12"/>
      </w:pPr>
      <w:r w:rsidRPr="00A428C3">
        <w:t xml:space="preserve">Journal Country/Territory: </w:t>
      </w:r>
    </w:p>
    <w:p w:rsidR="00D23691" w:rsidRPr="00A428C3" w:rsidRDefault="00D23691" w:rsidP="00B72EF9">
      <w:pPr>
        <w:pStyle w:val="12"/>
      </w:pPr>
      <w:r w:rsidRPr="00A428C3">
        <w:t>Language:</w:t>
      </w:r>
    </w:p>
    <w:p w:rsidR="00D23691" w:rsidRPr="00A428C3" w:rsidRDefault="00D23691" w:rsidP="00B72EF9">
      <w:pPr>
        <w:pStyle w:val="12"/>
      </w:pPr>
      <w:r w:rsidRPr="00A428C3">
        <w:t xml:space="preserve">Publisher: </w:t>
      </w:r>
    </w:p>
    <w:p w:rsidR="00D23691" w:rsidRPr="00A428C3" w:rsidRDefault="00D23691" w:rsidP="00B72EF9">
      <w:pPr>
        <w:pStyle w:val="12"/>
      </w:pPr>
      <w:r w:rsidRPr="00A428C3">
        <w:t xml:space="preserve">Publisher Address: </w:t>
      </w:r>
    </w:p>
    <w:p w:rsidR="00D23691" w:rsidRPr="00A428C3" w:rsidRDefault="00D23691" w:rsidP="00B72EF9">
      <w:pPr>
        <w:pStyle w:val="12"/>
      </w:pPr>
      <w:r w:rsidRPr="00A428C3">
        <w:t>Subject Categories:</w:t>
      </w:r>
    </w:p>
    <w:p w:rsidR="00D23691" w:rsidRPr="00A428C3" w:rsidRDefault="00D23691" w:rsidP="00B72EF9">
      <w:pPr>
        <w:pStyle w:val="12"/>
      </w:pPr>
      <w:r w:rsidRPr="00A428C3">
        <w:t xml:space="preserve">: Impact Factor </w:t>
      </w:r>
    </w:p>
    <w:p w:rsidR="00D23691" w:rsidRPr="00F621CE" w:rsidRDefault="00D23691" w:rsidP="00D23691">
      <w:pPr>
        <w:pStyle w:val="a0"/>
      </w:pPr>
      <w:r w:rsidRPr="00F621CE">
        <w:t xml:space="preserve">? </w:t>
      </w:r>
      <w:r>
        <w:t>Li</w:t>
      </w:r>
      <w:r>
        <w:rPr>
          <w:rFonts w:hint="eastAsia"/>
        </w:rPr>
        <w:t>,</w:t>
      </w:r>
      <w:r>
        <w:t xml:space="preserve"> Y</w:t>
      </w:r>
      <w:r>
        <w:rPr>
          <w:rFonts w:hint="eastAsia"/>
        </w:rPr>
        <w:t>.</w:t>
      </w:r>
      <w:r>
        <w:t>B</w:t>
      </w:r>
      <w:r>
        <w:rPr>
          <w:rFonts w:hint="eastAsia"/>
        </w:rPr>
        <w:t>.</w:t>
      </w:r>
      <w:r>
        <w:t>, He</w:t>
      </w:r>
      <w:r>
        <w:rPr>
          <w:rFonts w:hint="eastAsia"/>
        </w:rPr>
        <w:t>,</w:t>
      </w:r>
      <w:r>
        <w:t xml:space="preserve"> L</w:t>
      </w:r>
      <w:r>
        <w:rPr>
          <w:rFonts w:hint="eastAsia"/>
        </w:rPr>
        <w:t>.</w:t>
      </w:r>
      <w:r>
        <w:t>Q</w:t>
      </w:r>
      <w:r>
        <w:rPr>
          <w:rFonts w:hint="eastAsia"/>
        </w:rPr>
        <w:t>.</w:t>
      </w:r>
      <w:r w:rsidR="00F81221">
        <w:rPr>
          <w:rFonts w:hint="eastAsia"/>
        </w:rPr>
        <w:t xml:space="preserve"> and </w:t>
      </w:r>
      <w:r>
        <w:t>Xi</w:t>
      </w:r>
      <w:r>
        <w:rPr>
          <w:rFonts w:hint="eastAsia"/>
        </w:rPr>
        <w:t>,</w:t>
      </w:r>
      <w:r>
        <w:t xml:space="preserve"> D</w:t>
      </w:r>
      <w:r>
        <w:rPr>
          <w:rFonts w:hint="eastAsia"/>
        </w:rPr>
        <w:t>.</w:t>
      </w:r>
      <w:r>
        <w:t>X</w:t>
      </w:r>
      <w:r>
        <w:rPr>
          <w:rFonts w:hint="eastAsia"/>
        </w:rPr>
        <w:t>.</w:t>
      </w:r>
      <w:r w:rsidRPr="00F621CE">
        <w:t xml:space="preserve"> (</w:t>
      </w:r>
      <w:r>
        <w:rPr>
          <w:rFonts w:hint="eastAsia"/>
        </w:rPr>
        <w:t>1996</w:t>
      </w:r>
      <w:r>
        <w:t>),</w:t>
      </w:r>
      <w:r w:rsidRPr="00D23691">
        <w:t xml:space="preserve"> Towards 21st century China</w:t>
      </w:r>
      <w:r w:rsidR="000352E7">
        <w:t>’</w:t>
      </w:r>
      <w:r w:rsidRPr="00D23691">
        <w:t xml:space="preserve">s higher education of engineering. </w:t>
      </w:r>
      <w:r w:rsidRPr="00D23691">
        <w:rPr>
          <w:i/>
        </w:rPr>
        <w:t>Frontiers in Education Fie</w:t>
      </w:r>
      <w:r w:rsidR="000352E7">
        <w:rPr>
          <w:i/>
        </w:rPr>
        <w:t>’</w:t>
      </w:r>
      <w:r w:rsidRPr="00D23691">
        <w:rPr>
          <w:i/>
        </w:rPr>
        <w:t>96 - 26th Annual Conference, Proceedings, Vols 1-3 - Technology-Based Re-Engineering Engineering Education</w:t>
      </w:r>
      <w:r w:rsidRPr="00D23691">
        <w:t>: 354-355. edited by Iskander, M</w:t>
      </w:r>
      <w:r>
        <w:rPr>
          <w:rFonts w:hint="eastAsia"/>
        </w:rPr>
        <w:t>.</w:t>
      </w:r>
      <w:r w:rsidRPr="00D23691">
        <w:t>F</w:t>
      </w:r>
      <w:r>
        <w:rPr>
          <w:rFonts w:hint="eastAsia"/>
        </w:rPr>
        <w:t>.,</w:t>
      </w:r>
      <w:r w:rsidRPr="00D23691">
        <w:t xml:space="preserve"> Gonzalez, M</w:t>
      </w:r>
      <w:r>
        <w:rPr>
          <w:rFonts w:hint="eastAsia"/>
        </w:rPr>
        <w:t>.</w:t>
      </w:r>
      <w:r w:rsidRPr="00D23691">
        <w:t>J</w:t>
      </w:r>
      <w:r>
        <w:rPr>
          <w:rFonts w:hint="eastAsia"/>
        </w:rPr>
        <w:t>.,</w:t>
      </w:r>
      <w:r w:rsidRPr="00D23691">
        <w:t xml:space="preserve"> Engel, G</w:t>
      </w:r>
      <w:r>
        <w:rPr>
          <w:rFonts w:hint="eastAsia"/>
        </w:rPr>
        <w:t>.</w:t>
      </w:r>
      <w:r w:rsidRPr="00D23691">
        <w:t>L</w:t>
      </w:r>
      <w:r>
        <w:rPr>
          <w:rFonts w:hint="eastAsia"/>
        </w:rPr>
        <w:t>.,</w:t>
      </w:r>
      <w:r w:rsidRPr="00D23691">
        <w:t xml:space="preserve"> Rushforth, C</w:t>
      </w:r>
      <w:r>
        <w:rPr>
          <w:rFonts w:hint="eastAsia"/>
        </w:rPr>
        <w:t>.</w:t>
      </w:r>
      <w:r w:rsidRPr="00D23691">
        <w:t>K</w:t>
      </w:r>
      <w:r>
        <w:rPr>
          <w:rFonts w:hint="eastAsia"/>
        </w:rPr>
        <w:t>.,</w:t>
      </w:r>
      <w:r w:rsidRPr="00D23691">
        <w:t xml:space="preserve"> Y</w:t>
      </w:r>
      <w:r>
        <w:t>oder, M</w:t>
      </w:r>
      <w:r>
        <w:rPr>
          <w:rFonts w:hint="eastAsia"/>
        </w:rPr>
        <w:t>.</w:t>
      </w:r>
      <w:r>
        <w:t>A</w:t>
      </w:r>
      <w:r>
        <w:rPr>
          <w:rFonts w:hint="eastAsia"/>
        </w:rPr>
        <w:t>.,</w:t>
      </w:r>
      <w:r>
        <w:t xml:space="preserve"> Grow, R</w:t>
      </w:r>
      <w:r>
        <w:rPr>
          <w:rFonts w:hint="eastAsia"/>
        </w:rPr>
        <w:t>.</w:t>
      </w:r>
      <w:r>
        <w:t>W</w:t>
      </w:r>
      <w:r>
        <w:rPr>
          <w:rFonts w:hint="eastAsia"/>
        </w:rPr>
        <w:t>.</w:t>
      </w:r>
      <w:r w:rsidR="00F81221">
        <w:rPr>
          <w:rFonts w:hint="eastAsia"/>
        </w:rPr>
        <w:t xml:space="preserve"> and </w:t>
      </w:r>
      <w:r>
        <w:t>Durney, C</w:t>
      </w:r>
      <w:r>
        <w:rPr>
          <w:rFonts w:hint="eastAsia"/>
        </w:rPr>
        <w:t>.</w:t>
      </w:r>
      <w:r>
        <w:t>H.</w:t>
      </w:r>
    </w:p>
    <w:p w:rsidR="00D23691" w:rsidRDefault="00D23691" w:rsidP="00D23691">
      <w:pPr>
        <w:pStyle w:val="a0"/>
      </w:pPr>
      <w:r>
        <w:t>Abstract: Southeast University is one of the oldest institutions of higher learning in China. In this paper, we summarize the experience China gained in the field of higher education of engineering, make an assessment of the current situation</w:t>
      </w:r>
      <w:r w:rsidR="00F81221">
        <w:t xml:space="preserve"> and </w:t>
      </w:r>
      <w:r>
        <w:t>set objectives for the reform</w:t>
      </w:r>
      <w:r w:rsidR="00F81221">
        <w:t xml:space="preserve"> and </w:t>
      </w:r>
      <w:r>
        <w:t>development of higher education. One is China</w:t>
      </w:r>
      <w:r w:rsidR="000352E7">
        <w:t>’</w:t>
      </w:r>
      <w:r>
        <w:t>s 211 project, another is the reform</w:t>
      </w:r>
      <w:r w:rsidR="00F81221">
        <w:t xml:space="preserve"> and </w:t>
      </w:r>
      <w:r>
        <w:t>construction of teaching</w:t>
      </w:r>
      <w:r w:rsidR="00F81221">
        <w:t xml:space="preserve"> and </w:t>
      </w:r>
      <w:r>
        <w:t>curriculum design.</w:t>
      </w:r>
    </w:p>
    <w:p w:rsidR="00D83A7F" w:rsidRPr="00A428C3" w:rsidRDefault="00D83A7F" w:rsidP="00D83A7F">
      <w:pPr>
        <w:pStyle w:val="1"/>
      </w:pPr>
      <w:r w:rsidRPr="00A428C3">
        <w:br w:type="page"/>
      </w:r>
      <w:bookmarkStart w:id="161" w:name="_Toc317160870"/>
      <w:r w:rsidRPr="00A428C3">
        <w:lastRenderedPageBreak/>
        <w:t xml:space="preserve">Title: </w:t>
      </w:r>
      <w:r w:rsidRPr="00D83A7F">
        <w:rPr>
          <w:iCs/>
        </w:rPr>
        <w:t>Frontiers of Environmental Science &amp; Engineering in China</w:t>
      </w:r>
      <w:bookmarkEnd w:id="161"/>
    </w:p>
    <w:p w:rsidR="00D83A7F" w:rsidRPr="00A428C3" w:rsidRDefault="00D83A7F" w:rsidP="00B72EF9">
      <w:pPr>
        <w:pStyle w:val="12"/>
      </w:pPr>
      <w:r w:rsidRPr="00A428C3">
        <w:t xml:space="preserve">Full Journal Title: </w:t>
      </w:r>
      <w:hyperlink r:id="rId214" w:history="1">
        <w:r w:rsidRPr="00D83A7F">
          <w:rPr>
            <w:rStyle w:val="a5"/>
            <w:iCs/>
          </w:rPr>
          <w:t>Frontiers of Environmental Science &amp; Engineering in China</w:t>
        </w:r>
      </w:hyperlink>
    </w:p>
    <w:p w:rsidR="00D83A7F" w:rsidRPr="00A428C3" w:rsidRDefault="00D83A7F" w:rsidP="00B72EF9">
      <w:pPr>
        <w:pStyle w:val="12"/>
      </w:pPr>
      <w:r w:rsidRPr="00A428C3">
        <w:t xml:space="preserve">ISO Abbreviated Title: </w:t>
      </w:r>
    </w:p>
    <w:p w:rsidR="00D83A7F" w:rsidRPr="00A428C3" w:rsidRDefault="00D83A7F" w:rsidP="00B72EF9">
      <w:pPr>
        <w:pStyle w:val="12"/>
      </w:pPr>
      <w:r w:rsidRPr="00A428C3">
        <w:t xml:space="preserve">JCR Abbreviated Title: </w:t>
      </w:r>
    </w:p>
    <w:p w:rsidR="00D83A7F" w:rsidRPr="00A428C3" w:rsidRDefault="00D83A7F" w:rsidP="00B72EF9">
      <w:pPr>
        <w:pStyle w:val="12"/>
      </w:pPr>
      <w:r w:rsidRPr="00A428C3">
        <w:t xml:space="preserve">ISSN: </w:t>
      </w:r>
      <w:r w:rsidR="00481348" w:rsidRPr="00481348">
        <w:t>1673-7415</w:t>
      </w:r>
    </w:p>
    <w:p w:rsidR="00D83A7F" w:rsidRPr="00A428C3" w:rsidRDefault="00D83A7F" w:rsidP="00B72EF9">
      <w:pPr>
        <w:pStyle w:val="12"/>
      </w:pPr>
      <w:r w:rsidRPr="00A428C3">
        <w:t xml:space="preserve">Issues/Year: </w:t>
      </w:r>
    </w:p>
    <w:p w:rsidR="00D83A7F" w:rsidRPr="00A428C3" w:rsidRDefault="00D83A7F" w:rsidP="00B72EF9">
      <w:pPr>
        <w:pStyle w:val="12"/>
      </w:pPr>
      <w:r w:rsidRPr="00A428C3">
        <w:t xml:space="preserve">Journal Country/Territory: </w:t>
      </w:r>
    </w:p>
    <w:p w:rsidR="00D83A7F" w:rsidRPr="00A428C3" w:rsidRDefault="00D83A7F" w:rsidP="00B72EF9">
      <w:pPr>
        <w:pStyle w:val="12"/>
      </w:pPr>
      <w:r w:rsidRPr="00A428C3">
        <w:t>Language:</w:t>
      </w:r>
    </w:p>
    <w:p w:rsidR="00D83A7F" w:rsidRPr="00A428C3" w:rsidRDefault="00D83A7F" w:rsidP="00B72EF9">
      <w:pPr>
        <w:pStyle w:val="12"/>
      </w:pPr>
      <w:r w:rsidRPr="00A428C3">
        <w:t xml:space="preserve">Publisher: </w:t>
      </w:r>
      <w:r w:rsidR="00481348" w:rsidRPr="00481348">
        <w:t>Higher Education Press</w:t>
      </w:r>
    </w:p>
    <w:p w:rsidR="00D83A7F" w:rsidRPr="00A428C3" w:rsidRDefault="00D83A7F" w:rsidP="00B72EF9">
      <w:pPr>
        <w:pStyle w:val="12"/>
      </w:pPr>
      <w:r w:rsidRPr="00A428C3">
        <w:t>Publisher Address:</w:t>
      </w:r>
      <w:r w:rsidR="00481348" w:rsidRPr="00481348">
        <w:t xml:space="preserve"> Shatanhou St 55, Beijing 100009, Peoples R China</w:t>
      </w:r>
    </w:p>
    <w:p w:rsidR="00D83A7F" w:rsidRPr="00A428C3" w:rsidRDefault="00D83A7F" w:rsidP="00B72EF9">
      <w:pPr>
        <w:pStyle w:val="12"/>
      </w:pPr>
      <w:r w:rsidRPr="00A428C3">
        <w:t>Subject Categories:</w:t>
      </w:r>
    </w:p>
    <w:p w:rsidR="00481348" w:rsidRPr="00A428C3" w:rsidRDefault="00481348" w:rsidP="00B72EF9">
      <w:pPr>
        <w:pStyle w:val="12"/>
      </w:pPr>
      <w:r w:rsidRPr="00481348">
        <w:t>Engineering, Environmental</w:t>
      </w:r>
      <w:r w:rsidRPr="00A428C3">
        <w:t xml:space="preserve">: Impact Factor </w:t>
      </w:r>
    </w:p>
    <w:p w:rsidR="00481348" w:rsidRPr="00A428C3" w:rsidRDefault="00481348" w:rsidP="00B72EF9">
      <w:pPr>
        <w:pStyle w:val="12"/>
      </w:pPr>
      <w:r w:rsidRPr="00481348">
        <w:t>Environmental Sciences</w:t>
      </w:r>
      <w:r w:rsidRPr="00A428C3">
        <w:t xml:space="preserve">: Impact Factor </w:t>
      </w:r>
    </w:p>
    <w:p w:rsidR="00D302C9" w:rsidRDefault="00D302C9" w:rsidP="00D302C9">
      <w:pPr>
        <w:pStyle w:val="a0"/>
        <w:rPr>
          <w:kern w:val="0"/>
        </w:rPr>
      </w:pPr>
      <w:r>
        <w:rPr>
          <w:rFonts w:hint="eastAsia"/>
          <w:kern w:val="0"/>
        </w:rPr>
        <w:t xml:space="preserve">? </w:t>
      </w:r>
      <w:r w:rsidR="00584886" w:rsidRPr="00D302C9">
        <w:rPr>
          <w:kern w:val="0"/>
        </w:rPr>
        <w:t>Liu</w:t>
      </w:r>
      <w:r w:rsidR="00584886">
        <w:rPr>
          <w:rFonts w:hint="eastAsia"/>
          <w:kern w:val="0"/>
        </w:rPr>
        <w:t>,</w:t>
      </w:r>
      <w:r w:rsidR="00584886" w:rsidRPr="00D302C9">
        <w:rPr>
          <w:kern w:val="0"/>
        </w:rPr>
        <w:t xml:space="preserve"> J</w:t>
      </w:r>
      <w:r w:rsidR="00584886">
        <w:rPr>
          <w:rFonts w:hint="eastAsia"/>
          <w:kern w:val="0"/>
        </w:rPr>
        <w:t>.</w:t>
      </w:r>
      <w:r w:rsidR="00584886" w:rsidRPr="00D302C9">
        <w:rPr>
          <w:kern w:val="0"/>
        </w:rPr>
        <w:t>Q</w:t>
      </w:r>
      <w:r w:rsidR="00584886">
        <w:rPr>
          <w:rFonts w:hint="eastAsia"/>
          <w:kern w:val="0"/>
        </w:rPr>
        <w:t>.,</w:t>
      </w:r>
      <w:r w:rsidR="00584886" w:rsidRPr="00D302C9">
        <w:rPr>
          <w:kern w:val="0"/>
        </w:rPr>
        <w:t xml:space="preserve"> Zhang</w:t>
      </w:r>
      <w:r w:rsidR="00584886">
        <w:rPr>
          <w:rFonts w:hint="eastAsia"/>
          <w:kern w:val="0"/>
        </w:rPr>
        <w:t>,</w:t>
      </w:r>
      <w:r w:rsidR="00584886" w:rsidRPr="00D302C9">
        <w:rPr>
          <w:kern w:val="0"/>
        </w:rPr>
        <w:t xml:space="preserve"> Y</w:t>
      </w:r>
      <w:r w:rsidR="00584886">
        <w:rPr>
          <w:rFonts w:hint="eastAsia"/>
          <w:kern w:val="0"/>
        </w:rPr>
        <w:t>.</w:t>
      </w:r>
      <w:r w:rsidR="00584886" w:rsidRPr="00D302C9">
        <w:rPr>
          <w:kern w:val="0"/>
        </w:rPr>
        <w:t>B</w:t>
      </w:r>
      <w:r w:rsidR="00584886">
        <w:rPr>
          <w:rFonts w:hint="eastAsia"/>
          <w:kern w:val="0"/>
        </w:rPr>
        <w:t>.,</w:t>
      </w:r>
      <w:r w:rsidR="00584886" w:rsidRPr="00D302C9">
        <w:rPr>
          <w:kern w:val="0"/>
        </w:rPr>
        <w:t xml:space="preserve"> Chen</w:t>
      </w:r>
      <w:r w:rsidR="00584886">
        <w:rPr>
          <w:rFonts w:hint="eastAsia"/>
          <w:kern w:val="0"/>
        </w:rPr>
        <w:t>,</w:t>
      </w:r>
      <w:r w:rsidR="00584886" w:rsidRPr="00D302C9">
        <w:rPr>
          <w:kern w:val="0"/>
        </w:rPr>
        <w:t xml:space="preserve"> H</w:t>
      </w:r>
      <w:r w:rsidR="00584886">
        <w:rPr>
          <w:rFonts w:hint="eastAsia"/>
          <w:kern w:val="0"/>
        </w:rPr>
        <w:t xml:space="preserve">., </w:t>
      </w:r>
      <w:r w:rsidR="00584886" w:rsidRPr="00D302C9">
        <w:rPr>
          <w:kern w:val="0"/>
        </w:rPr>
        <w:t>Zhao</w:t>
      </w:r>
      <w:r w:rsidR="00584886">
        <w:rPr>
          <w:rFonts w:hint="eastAsia"/>
          <w:kern w:val="0"/>
        </w:rPr>
        <w:t>,</w:t>
      </w:r>
      <w:r w:rsidR="00584886" w:rsidRPr="00D302C9">
        <w:rPr>
          <w:kern w:val="0"/>
        </w:rPr>
        <w:t xml:space="preserve"> Y</w:t>
      </w:r>
      <w:r w:rsidR="00584886">
        <w:rPr>
          <w:rFonts w:hint="eastAsia"/>
          <w:kern w:val="0"/>
        </w:rPr>
        <w:t>.</w:t>
      </w:r>
      <w:r w:rsidR="00584886" w:rsidRPr="00D302C9">
        <w:rPr>
          <w:kern w:val="0"/>
        </w:rPr>
        <w:t>Z</w:t>
      </w:r>
      <w:r w:rsidR="00584886">
        <w:rPr>
          <w:rFonts w:hint="eastAsia"/>
          <w:kern w:val="0"/>
        </w:rPr>
        <w:t>.</w:t>
      </w:r>
      <w:r w:rsidR="00F81221">
        <w:rPr>
          <w:rFonts w:hint="eastAsia"/>
          <w:kern w:val="0"/>
        </w:rPr>
        <w:t xml:space="preserve"> and </w:t>
      </w:r>
      <w:r w:rsidR="00584886" w:rsidRPr="00D302C9">
        <w:rPr>
          <w:kern w:val="0"/>
        </w:rPr>
        <w:t>Quan</w:t>
      </w:r>
      <w:r w:rsidR="00584886">
        <w:rPr>
          <w:rFonts w:hint="eastAsia"/>
          <w:kern w:val="0"/>
        </w:rPr>
        <w:t>,</w:t>
      </w:r>
      <w:r w:rsidR="00584886" w:rsidRPr="00D302C9">
        <w:rPr>
          <w:kern w:val="0"/>
        </w:rPr>
        <w:t xml:space="preserve"> X</w:t>
      </w:r>
      <w:r w:rsidR="00584886">
        <w:rPr>
          <w:rFonts w:hint="eastAsia"/>
          <w:kern w:val="0"/>
        </w:rPr>
        <w:t>.</w:t>
      </w:r>
      <w:r>
        <w:rPr>
          <w:kern w:val="0"/>
        </w:rPr>
        <w:t xml:space="preserve"> (2009), </w:t>
      </w:r>
      <w:r w:rsidRPr="00D302C9">
        <w:rPr>
          <w:kern w:val="0"/>
        </w:rPr>
        <w:t>Contribution of black carbon to nonlinearity of sorption</w:t>
      </w:r>
      <w:r w:rsidR="00F81221">
        <w:rPr>
          <w:kern w:val="0"/>
        </w:rPr>
        <w:t xml:space="preserve"> and </w:t>
      </w:r>
      <w:r w:rsidRPr="00D302C9">
        <w:rPr>
          <w:kern w:val="0"/>
        </w:rPr>
        <w:t>desorption of acetochlor on sediment</w:t>
      </w:r>
      <w:r>
        <w:rPr>
          <w:kern w:val="0"/>
        </w:rPr>
        <w:t xml:space="preserve">. </w:t>
      </w:r>
      <w:r w:rsidRPr="00D83A7F">
        <w:rPr>
          <w:i/>
          <w:iCs/>
          <w:kern w:val="0"/>
        </w:rPr>
        <w:t>Frontiers of Environmental Science &amp; Engineering in China</w:t>
      </w:r>
      <w:r>
        <w:rPr>
          <w:kern w:val="0"/>
        </w:rPr>
        <w:t xml:space="preserve">, </w:t>
      </w:r>
      <w:r>
        <w:rPr>
          <w:b/>
          <w:bCs/>
          <w:kern w:val="0"/>
        </w:rPr>
        <w:t>3</w:t>
      </w:r>
      <w:r>
        <w:rPr>
          <w:kern w:val="0"/>
        </w:rPr>
        <w:t xml:space="preserve"> (</w:t>
      </w:r>
      <w:r w:rsidR="00584886">
        <w:rPr>
          <w:rFonts w:hint="eastAsia"/>
          <w:kern w:val="0"/>
        </w:rPr>
        <w:t>1</w:t>
      </w:r>
      <w:r>
        <w:rPr>
          <w:kern w:val="0"/>
        </w:rPr>
        <w:t xml:space="preserve">), </w:t>
      </w:r>
      <w:r w:rsidR="00584886" w:rsidRPr="00D302C9">
        <w:rPr>
          <w:kern w:val="0"/>
        </w:rPr>
        <w:t>69-74</w:t>
      </w:r>
      <w:r>
        <w:rPr>
          <w:kern w:val="0"/>
        </w:rPr>
        <w:t>.</w:t>
      </w:r>
    </w:p>
    <w:p w:rsidR="00D302C9" w:rsidRDefault="00D302C9" w:rsidP="00D302C9">
      <w:pPr>
        <w:pStyle w:val="a0"/>
        <w:rPr>
          <w:kern w:val="0"/>
        </w:rPr>
      </w:pPr>
      <w:r>
        <w:rPr>
          <w:rFonts w:hint="eastAsia"/>
          <w:kern w:val="0"/>
        </w:rPr>
        <w:t xml:space="preserve">Full Text: </w:t>
      </w:r>
      <w:hyperlink r:id="rId215" w:history="1">
        <w:r w:rsidR="00E12842" w:rsidRPr="00E12842">
          <w:rPr>
            <w:rStyle w:val="a5"/>
            <w:kern w:val="0"/>
          </w:rPr>
          <w:t>2009\Fro Env Sci Eng Chi3, 69.pdf</w:t>
        </w:r>
      </w:hyperlink>
    </w:p>
    <w:p w:rsidR="00D302C9" w:rsidRPr="00D302C9" w:rsidRDefault="00D302C9" w:rsidP="00D302C9">
      <w:pPr>
        <w:pStyle w:val="a0"/>
        <w:rPr>
          <w:kern w:val="0"/>
        </w:rPr>
      </w:pPr>
      <w:r w:rsidRPr="00D302C9">
        <w:rPr>
          <w:kern w:val="0"/>
        </w:rPr>
        <w:t>Abstract: In order to investigate the contribution of various black carbon (BC) contents to nonlinearity of sorption</w:t>
      </w:r>
      <w:r w:rsidR="00F81221">
        <w:rPr>
          <w:kern w:val="0"/>
        </w:rPr>
        <w:t xml:space="preserve"> and </w:t>
      </w:r>
      <w:r w:rsidRPr="00D302C9">
        <w:rPr>
          <w:kern w:val="0"/>
        </w:rPr>
        <w:t>desorption isotherms for acetochlor on sediment, equilibrium sorption</w:t>
      </w:r>
      <w:r w:rsidR="00F81221">
        <w:rPr>
          <w:kern w:val="0"/>
        </w:rPr>
        <w:t xml:space="preserve"> and </w:t>
      </w:r>
      <w:r w:rsidRPr="00D302C9">
        <w:rPr>
          <w:kern w:val="0"/>
        </w:rPr>
        <w:t>desorption isotherms were determined to measure sorption</w:t>
      </w:r>
      <w:r w:rsidR="00F81221">
        <w:rPr>
          <w:kern w:val="0"/>
        </w:rPr>
        <w:t xml:space="preserve"> and </w:t>
      </w:r>
      <w:r w:rsidRPr="00D302C9">
        <w:rPr>
          <w:kern w:val="0"/>
        </w:rPr>
        <w:t>desorption of acetochlor in sediment amended with various amounts of BC. In this paper, two types of BC referred to as BC400</w:t>
      </w:r>
      <w:r w:rsidR="00F81221">
        <w:rPr>
          <w:kern w:val="0"/>
        </w:rPr>
        <w:t xml:space="preserve"> and </w:t>
      </w:r>
      <w:r w:rsidRPr="00D302C9">
        <w:rPr>
          <w:kern w:val="0"/>
        </w:rPr>
        <w:t>BC500 were prepared at 400</w:t>
      </w:r>
      <w:r>
        <w:rPr>
          <w:kern w:val="0"/>
        </w:rPr>
        <w:t>°</w:t>
      </w:r>
      <w:r w:rsidRPr="00D302C9">
        <w:rPr>
          <w:kern w:val="0"/>
        </w:rPr>
        <w:t>C</w:t>
      </w:r>
      <w:r w:rsidR="00F81221">
        <w:rPr>
          <w:kern w:val="0"/>
        </w:rPr>
        <w:t xml:space="preserve"> and </w:t>
      </w:r>
      <w:r w:rsidRPr="00D302C9">
        <w:rPr>
          <w:kern w:val="0"/>
        </w:rPr>
        <w:t>500</w:t>
      </w:r>
      <w:r>
        <w:rPr>
          <w:kern w:val="0"/>
        </w:rPr>
        <w:t>°</w:t>
      </w:r>
      <w:r w:rsidRPr="00D302C9">
        <w:rPr>
          <w:kern w:val="0"/>
        </w:rPr>
        <w:t>C, respectively. Higher preparation temperature facilitated the formation of micropores on BC to enhance its sorption capacity. Increase of the BC content obviously increased the sorption amount</w:t>
      </w:r>
      <w:r w:rsidR="00F81221">
        <w:rPr>
          <w:kern w:val="0"/>
        </w:rPr>
        <w:t xml:space="preserve"> and </w:t>
      </w:r>
      <w:r w:rsidRPr="00D302C9">
        <w:rPr>
          <w:kern w:val="0"/>
        </w:rPr>
        <w:t>reduced the desorption amount for acetochlor. When the BC500 contents in total organic carbon (TOC) increased from 0 to 60%, Freundlich sorption coefficient (K-f) increased from 4.07 to 35.74,</w:t>
      </w:r>
      <w:r w:rsidR="00F81221">
        <w:rPr>
          <w:kern w:val="0"/>
        </w:rPr>
        <w:t xml:space="preserve"> and </w:t>
      </w:r>
      <w:r w:rsidRPr="00D302C9">
        <w:rPr>
          <w:kern w:val="0"/>
        </w:rPr>
        <w:t>desorption hysteresis became gradually obvious. When the content of BC in TOC was lower than 23%, the sorption isotherm had a significant linear correlation (p = 0.05). In case of desorption, a significant nonlinear change could be observed when the content of BC was up to 13%. Increase of BC content in the sediment would result in shifting the sorption-desorption isotherms from linearity to nonlinearity, which indicated that contribution of BC to nonlinear adsorption fracti</w:t>
      </w:r>
      <w:r>
        <w:rPr>
          <w:kern w:val="0"/>
        </w:rPr>
        <w:t>on became gradually remarkable.</w:t>
      </w:r>
    </w:p>
    <w:p w:rsidR="00D302C9" w:rsidRPr="00D302C9" w:rsidRDefault="00D302C9" w:rsidP="00D302C9">
      <w:pPr>
        <w:pStyle w:val="a0"/>
        <w:rPr>
          <w:kern w:val="0"/>
        </w:rPr>
      </w:pPr>
      <w:r w:rsidRPr="00D302C9">
        <w:rPr>
          <w:kern w:val="0"/>
        </w:rPr>
        <w:t>Keywords: Black Carbon (BC)</w:t>
      </w:r>
      <w:r>
        <w:rPr>
          <w:kern w:val="0"/>
        </w:rPr>
        <w:t>,</w:t>
      </w:r>
      <w:r w:rsidRPr="00D302C9">
        <w:rPr>
          <w:kern w:val="0"/>
        </w:rPr>
        <w:t xml:space="preserve"> Sorption</w:t>
      </w:r>
      <w:r>
        <w:rPr>
          <w:kern w:val="0"/>
        </w:rPr>
        <w:t>,</w:t>
      </w:r>
      <w:r w:rsidRPr="00D302C9">
        <w:rPr>
          <w:kern w:val="0"/>
        </w:rPr>
        <w:t xml:space="preserve"> Desorption</w:t>
      </w:r>
      <w:r>
        <w:rPr>
          <w:kern w:val="0"/>
        </w:rPr>
        <w:t>,</w:t>
      </w:r>
      <w:r w:rsidRPr="00D302C9">
        <w:rPr>
          <w:kern w:val="0"/>
        </w:rPr>
        <w:t xml:space="preserve"> Sediment</w:t>
      </w:r>
      <w:r>
        <w:rPr>
          <w:kern w:val="0"/>
        </w:rPr>
        <w:t>,</w:t>
      </w:r>
      <w:r w:rsidRPr="00D302C9">
        <w:rPr>
          <w:kern w:val="0"/>
        </w:rPr>
        <w:t xml:space="preserve"> Organic Contaminants</w:t>
      </w:r>
      <w:r>
        <w:rPr>
          <w:kern w:val="0"/>
        </w:rPr>
        <w:t>,</w:t>
      </w:r>
      <w:r w:rsidRPr="00D302C9">
        <w:rPr>
          <w:kern w:val="0"/>
        </w:rPr>
        <w:t xml:space="preserve"> Soils</w:t>
      </w:r>
      <w:r>
        <w:rPr>
          <w:kern w:val="0"/>
        </w:rPr>
        <w:t>,</w:t>
      </w:r>
      <w:r w:rsidRPr="00D302C9">
        <w:rPr>
          <w:kern w:val="0"/>
        </w:rPr>
        <w:t xml:space="preserve"> Hysteresis</w:t>
      </w:r>
      <w:r>
        <w:rPr>
          <w:kern w:val="0"/>
        </w:rPr>
        <w:t>,</w:t>
      </w:r>
      <w:r w:rsidRPr="00D302C9">
        <w:rPr>
          <w:kern w:val="0"/>
        </w:rPr>
        <w:t xml:space="preserve"> Matter</w:t>
      </w:r>
      <w:r>
        <w:rPr>
          <w:kern w:val="0"/>
        </w:rPr>
        <w:t>, Model</w:t>
      </w:r>
    </w:p>
    <w:p w:rsidR="004C46C4" w:rsidRDefault="004C46C4" w:rsidP="004C46C4">
      <w:pPr>
        <w:pStyle w:val="a0"/>
        <w:rPr>
          <w:kern w:val="0"/>
        </w:rPr>
      </w:pPr>
      <w:r>
        <w:rPr>
          <w:rFonts w:hint="eastAsia"/>
          <w:kern w:val="0"/>
        </w:rPr>
        <w:lastRenderedPageBreak/>
        <w:t xml:space="preserve">? </w:t>
      </w:r>
      <w:r w:rsidRPr="004C46C4">
        <w:rPr>
          <w:kern w:val="0"/>
        </w:rPr>
        <w:t>Deng</w:t>
      </w:r>
      <w:r>
        <w:rPr>
          <w:rFonts w:hint="eastAsia"/>
          <w:kern w:val="0"/>
        </w:rPr>
        <w:t>,</w:t>
      </w:r>
      <w:r w:rsidRPr="004C46C4">
        <w:rPr>
          <w:kern w:val="0"/>
        </w:rPr>
        <w:t xml:space="preserve"> S</w:t>
      </w:r>
      <w:r>
        <w:rPr>
          <w:rFonts w:hint="eastAsia"/>
          <w:kern w:val="0"/>
        </w:rPr>
        <w:t>.</w:t>
      </w:r>
      <w:r w:rsidRPr="004C46C4">
        <w:rPr>
          <w:kern w:val="0"/>
        </w:rPr>
        <w:t>B</w:t>
      </w:r>
      <w:r>
        <w:rPr>
          <w:rFonts w:hint="eastAsia"/>
          <w:kern w:val="0"/>
        </w:rPr>
        <w:t>.,</w:t>
      </w:r>
      <w:r w:rsidRPr="004C46C4">
        <w:rPr>
          <w:kern w:val="0"/>
        </w:rPr>
        <w:t xml:space="preserve"> Shuai</w:t>
      </w:r>
      <w:r>
        <w:rPr>
          <w:rFonts w:hint="eastAsia"/>
          <w:kern w:val="0"/>
        </w:rPr>
        <w:t>,</w:t>
      </w:r>
      <w:r w:rsidRPr="004C46C4">
        <w:rPr>
          <w:kern w:val="0"/>
        </w:rPr>
        <w:t xml:space="preserve"> D</w:t>
      </w:r>
      <w:r>
        <w:rPr>
          <w:rFonts w:hint="eastAsia"/>
          <w:kern w:val="0"/>
        </w:rPr>
        <w:t>.</w:t>
      </w:r>
      <w:r w:rsidRPr="004C46C4">
        <w:rPr>
          <w:kern w:val="0"/>
        </w:rPr>
        <w:t>M</w:t>
      </w:r>
      <w:r>
        <w:rPr>
          <w:rFonts w:hint="eastAsia"/>
          <w:kern w:val="0"/>
        </w:rPr>
        <w:t>.,</w:t>
      </w:r>
      <w:r w:rsidRPr="004C46C4">
        <w:rPr>
          <w:kern w:val="0"/>
        </w:rPr>
        <w:t xml:space="preserve"> Yu</w:t>
      </w:r>
      <w:r>
        <w:rPr>
          <w:rFonts w:hint="eastAsia"/>
          <w:kern w:val="0"/>
        </w:rPr>
        <w:t>,</w:t>
      </w:r>
      <w:r w:rsidRPr="004C46C4">
        <w:rPr>
          <w:kern w:val="0"/>
        </w:rPr>
        <w:t xml:space="preserve"> Q</w:t>
      </w:r>
      <w:r>
        <w:rPr>
          <w:rFonts w:hint="eastAsia"/>
          <w:kern w:val="0"/>
        </w:rPr>
        <w:t>.,</w:t>
      </w:r>
      <w:r w:rsidRPr="004C46C4">
        <w:rPr>
          <w:kern w:val="0"/>
        </w:rPr>
        <w:t xml:space="preserve"> Huang</w:t>
      </w:r>
      <w:r>
        <w:rPr>
          <w:rFonts w:hint="eastAsia"/>
          <w:kern w:val="0"/>
        </w:rPr>
        <w:t>,</w:t>
      </w:r>
      <w:r w:rsidRPr="004C46C4">
        <w:rPr>
          <w:kern w:val="0"/>
        </w:rPr>
        <w:t xml:space="preserve"> J</w:t>
      </w:r>
      <w:r>
        <w:rPr>
          <w:rFonts w:hint="eastAsia"/>
          <w:kern w:val="0"/>
        </w:rPr>
        <w:t>.</w:t>
      </w:r>
      <w:r w:rsidR="00F81221">
        <w:rPr>
          <w:rFonts w:hint="eastAsia"/>
          <w:kern w:val="0"/>
        </w:rPr>
        <w:t xml:space="preserve"> and </w:t>
      </w:r>
      <w:r w:rsidRPr="004C46C4">
        <w:rPr>
          <w:kern w:val="0"/>
        </w:rPr>
        <w:t>Yu</w:t>
      </w:r>
      <w:r>
        <w:rPr>
          <w:rFonts w:hint="eastAsia"/>
          <w:kern w:val="0"/>
        </w:rPr>
        <w:t>,</w:t>
      </w:r>
      <w:r w:rsidRPr="004C46C4">
        <w:rPr>
          <w:kern w:val="0"/>
        </w:rPr>
        <w:t xml:space="preserve"> G</w:t>
      </w:r>
      <w:r>
        <w:rPr>
          <w:rFonts w:hint="eastAsia"/>
          <w:kern w:val="0"/>
        </w:rPr>
        <w:t>.</w:t>
      </w:r>
      <w:r>
        <w:rPr>
          <w:kern w:val="0"/>
        </w:rPr>
        <w:t xml:space="preserve"> (2009), </w:t>
      </w:r>
      <w:r w:rsidRPr="004C46C4">
        <w:rPr>
          <w:kern w:val="0"/>
        </w:rPr>
        <w:t>Selective sorption of perfluorooctane sulfonate on molecularly imprinted polymer adsorbents</w:t>
      </w:r>
      <w:r>
        <w:rPr>
          <w:kern w:val="0"/>
        </w:rPr>
        <w:t xml:space="preserve">. </w:t>
      </w:r>
      <w:r w:rsidRPr="00D83A7F">
        <w:rPr>
          <w:i/>
          <w:iCs/>
          <w:kern w:val="0"/>
        </w:rPr>
        <w:t>Frontiers of Environmental Science &amp; Engineering in China</w:t>
      </w:r>
      <w:r>
        <w:rPr>
          <w:kern w:val="0"/>
        </w:rPr>
        <w:t xml:space="preserve">, </w:t>
      </w:r>
      <w:r>
        <w:rPr>
          <w:b/>
          <w:bCs/>
          <w:kern w:val="0"/>
        </w:rPr>
        <w:t>3</w:t>
      </w:r>
      <w:r>
        <w:rPr>
          <w:kern w:val="0"/>
        </w:rPr>
        <w:t xml:space="preserve"> (</w:t>
      </w:r>
      <w:r>
        <w:rPr>
          <w:rFonts w:hint="eastAsia"/>
          <w:kern w:val="0"/>
        </w:rPr>
        <w:t>2</w:t>
      </w:r>
      <w:r>
        <w:rPr>
          <w:kern w:val="0"/>
        </w:rPr>
        <w:t xml:space="preserve">), </w:t>
      </w:r>
      <w:r w:rsidRPr="004C46C4">
        <w:rPr>
          <w:kern w:val="0"/>
        </w:rPr>
        <w:t>171-177</w:t>
      </w:r>
      <w:r>
        <w:rPr>
          <w:kern w:val="0"/>
        </w:rPr>
        <w:t>.</w:t>
      </w:r>
    </w:p>
    <w:p w:rsidR="004C46C4" w:rsidRDefault="004C46C4" w:rsidP="004C46C4">
      <w:pPr>
        <w:pStyle w:val="a0"/>
        <w:rPr>
          <w:kern w:val="0"/>
        </w:rPr>
      </w:pPr>
      <w:r>
        <w:rPr>
          <w:rFonts w:hint="eastAsia"/>
          <w:kern w:val="0"/>
        </w:rPr>
        <w:t xml:space="preserve">Full Text: </w:t>
      </w:r>
      <w:hyperlink r:id="rId216" w:history="1">
        <w:r w:rsidR="00E12842" w:rsidRPr="00E12842">
          <w:rPr>
            <w:rStyle w:val="a5"/>
            <w:kern w:val="0"/>
          </w:rPr>
          <w:t>2009\Fro Env Sci Eng Chi3, 171.pdf</w:t>
        </w:r>
      </w:hyperlink>
    </w:p>
    <w:p w:rsidR="004C46C4" w:rsidRPr="004C46C4" w:rsidRDefault="004C46C4" w:rsidP="004C46C4">
      <w:pPr>
        <w:pStyle w:val="a0"/>
        <w:rPr>
          <w:kern w:val="0"/>
        </w:rPr>
      </w:pPr>
      <w:r w:rsidRPr="004C46C4">
        <w:rPr>
          <w:kern w:val="0"/>
        </w:rPr>
        <w:t>Abstract: Perfluorooctane sulfonate (PFOS), as a potential persistent organic pollutant, has been widely detected in water environments,</w:t>
      </w:r>
      <w:r w:rsidR="00F81221">
        <w:rPr>
          <w:kern w:val="0"/>
        </w:rPr>
        <w:t xml:space="preserve"> and </w:t>
      </w:r>
      <w:r w:rsidRPr="004C46C4">
        <w:rPr>
          <w:kern w:val="0"/>
        </w:rPr>
        <w:t>has become a great concern in recent years. PFOS is very stable</w:t>
      </w:r>
      <w:r w:rsidR="00F81221">
        <w:rPr>
          <w:kern w:val="0"/>
        </w:rPr>
        <w:t xml:space="preserve"> and </w:t>
      </w:r>
      <w:r w:rsidRPr="004C46C4">
        <w:rPr>
          <w:kern w:val="0"/>
        </w:rPr>
        <w:t>difficult to decompose using conventional techniques. Sorption may be an attractive method to remove it from water. In this study, the molecularly imprinted polymer (MIP) adsorbents were prepared through the polymerization of 4-vinylpyridine under different preparation conditions in order to remove perfluorooctane sulfonate (PFOS) from water. The MIP adsorbents using perfluorooctanoic acid (PFOA) as the template had good imprinting effects</w:t>
      </w:r>
      <w:r w:rsidR="00F81221">
        <w:rPr>
          <w:kern w:val="0"/>
        </w:rPr>
        <w:t xml:space="preserve"> and </w:t>
      </w:r>
      <w:r w:rsidRPr="004C46C4">
        <w:rPr>
          <w:kern w:val="0"/>
        </w:rPr>
        <w:t>could selectively remove PFOS from aqueous solution. The sorption behaviors including sorption kinetics, isotherms,</w:t>
      </w:r>
      <w:r w:rsidR="00F81221">
        <w:rPr>
          <w:kern w:val="0"/>
        </w:rPr>
        <w:t xml:space="preserve"> and </w:t>
      </w:r>
      <w:r w:rsidRPr="004C46C4">
        <w:rPr>
          <w:kern w:val="0"/>
        </w:rPr>
        <w:t>effect of pH, salt,</w:t>
      </w:r>
      <w:r w:rsidR="00F81221">
        <w:rPr>
          <w:kern w:val="0"/>
        </w:rPr>
        <w:t xml:space="preserve"> and </w:t>
      </w:r>
      <w:r w:rsidRPr="004C46C4">
        <w:rPr>
          <w:kern w:val="0"/>
        </w:rPr>
        <w:t>competitive anions were investigated. Experimental results showed that the sorption of PFOS on the MIP adsorbents was very fast, pH-dependent,</w:t>
      </w:r>
      <w:r w:rsidR="00F81221">
        <w:rPr>
          <w:kern w:val="0"/>
        </w:rPr>
        <w:t xml:space="preserve"> and </w:t>
      </w:r>
      <w:r w:rsidRPr="004C46C4">
        <w:rPr>
          <w:kern w:val="0"/>
        </w:rPr>
        <w:t>highly selective. The achieved fast sorption equilibrium within 1 h was attributed to the surface sorption on the. ne adsorbents. The sorption isotherms showed that the sorption selectivity of PFOS on the MIP adsorbents decreased at high PFOS concentrations, which may be due to the double-layer sorption</w:t>
      </w:r>
      <w:r w:rsidR="00F81221">
        <w:rPr>
          <w:kern w:val="0"/>
        </w:rPr>
        <w:t xml:space="preserve"> and </w:t>
      </w:r>
      <w:r w:rsidRPr="004C46C4">
        <w:rPr>
          <w:kern w:val="0"/>
        </w:rPr>
        <w:t>the formation of PFOS micelles on the sorbent surface. The sorption of PFOS on the MIP adsorbents was mainly dominated by the electrostatic interaction between the protonated vinylpyridine on the adsorbent surface</w:t>
      </w:r>
      <w:r w:rsidR="00F81221">
        <w:rPr>
          <w:kern w:val="0"/>
        </w:rPr>
        <w:t xml:space="preserve"> and </w:t>
      </w:r>
      <w:r w:rsidRPr="004C46C4">
        <w:rPr>
          <w:kern w:val="0"/>
        </w:rPr>
        <w:t>the anionic PFOS. The prepared MIP adsorbents can potentially be applied in water</w:t>
      </w:r>
      <w:r w:rsidR="00F81221">
        <w:rPr>
          <w:kern w:val="0"/>
        </w:rPr>
        <w:t xml:space="preserve"> and </w:t>
      </w:r>
      <w:r w:rsidRPr="004C46C4">
        <w:rPr>
          <w:kern w:val="0"/>
        </w:rPr>
        <w:t>wastewater treatment</w:t>
      </w:r>
      <w:r>
        <w:rPr>
          <w:kern w:val="0"/>
        </w:rPr>
        <w:t xml:space="preserve"> for selective removal of PFOS.</w:t>
      </w:r>
    </w:p>
    <w:p w:rsidR="004C46C4" w:rsidRDefault="004C46C4" w:rsidP="004C46C4">
      <w:pPr>
        <w:pStyle w:val="a0"/>
        <w:rPr>
          <w:kern w:val="0"/>
        </w:rPr>
      </w:pPr>
      <w:r w:rsidRPr="004C46C4">
        <w:rPr>
          <w:kern w:val="0"/>
        </w:rPr>
        <w:t>Keywords: Perfluorooctane Sulfonate (PFOS)</w:t>
      </w:r>
      <w:r>
        <w:rPr>
          <w:kern w:val="0"/>
        </w:rPr>
        <w:t>,</w:t>
      </w:r>
      <w:r w:rsidRPr="004C46C4">
        <w:rPr>
          <w:kern w:val="0"/>
        </w:rPr>
        <w:t xml:space="preserve"> Molecularly Imprinted Polymer (MIP) Adsorbents</w:t>
      </w:r>
      <w:r>
        <w:rPr>
          <w:kern w:val="0"/>
        </w:rPr>
        <w:t>,</w:t>
      </w:r>
      <w:r w:rsidRPr="004C46C4">
        <w:rPr>
          <w:kern w:val="0"/>
        </w:rPr>
        <w:t xml:space="preserve"> Selective Sorption</w:t>
      </w:r>
      <w:r>
        <w:rPr>
          <w:kern w:val="0"/>
        </w:rPr>
        <w:t>,</w:t>
      </w:r>
      <w:r w:rsidRPr="004C46C4">
        <w:rPr>
          <w:kern w:val="0"/>
        </w:rPr>
        <w:t xml:space="preserve"> Electrostatic Interaction</w:t>
      </w:r>
      <w:r>
        <w:rPr>
          <w:kern w:val="0"/>
        </w:rPr>
        <w:t>,</w:t>
      </w:r>
      <w:r w:rsidRPr="004C46C4">
        <w:rPr>
          <w:kern w:val="0"/>
        </w:rPr>
        <w:t xml:space="preserve"> Perfluorinated Surfactants</w:t>
      </w:r>
      <w:r>
        <w:rPr>
          <w:kern w:val="0"/>
        </w:rPr>
        <w:t>,</w:t>
      </w:r>
      <w:r w:rsidRPr="004C46C4">
        <w:rPr>
          <w:kern w:val="0"/>
        </w:rPr>
        <w:t xml:space="preserve"> Waste-Water</w:t>
      </w:r>
      <w:r>
        <w:rPr>
          <w:kern w:val="0"/>
        </w:rPr>
        <w:t>,</w:t>
      </w:r>
      <w:r w:rsidRPr="004C46C4">
        <w:rPr>
          <w:kern w:val="0"/>
        </w:rPr>
        <w:t xml:space="preserve"> Perfluoroalkyl Surfactants</w:t>
      </w:r>
      <w:r>
        <w:rPr>
          <w:kern w:val="0"/>
        </w:rPr>
        <w:t>,</w:t>
      </w:r>
      <w:r w:rsidRPr="004C46C4">
        <w:rPr>
          <w:kern w:val="0"/>
        </w:rPr>
        <w:t xml:space="preserve"> Reverse-Osmosis</w:t>
      </w:r>
      <w:r>
        <w:rPr>
          <w:kern w:val="0"/>
        </w:rPr>
        <w:t>,</w:t>
      </w:r>
      <w:r w:rsidRPr="004C46C4">
        <w:rPr>
          <w:kern w:val="0"/>
        </w:rPr>
        <w:t xml:space="preserve"> Fate</w:t>
      </w:r>
      <w:r>
        <w:rPr>
          <w:kern w:val="0"/>
        </w:rPr>
        <w:t>,</w:t>
      </w:r>
      <w:r w:rsidRPr="004C46C4">
        <w:rPr>
          <w:kern w:val="0"/>
        </w:rPr>
        <w:t xml:space="preserve"> Decomposition</w:t>
      </w:r>
      <w:r>
        <w:rPr>
          <w:kern w:val="0"/>
        </w:rPr>
        <w:t>,</w:t>
      </w:r>
      <w:r w:rsidRPr="004C46C4">
        <w:rPr>
          <w:kern w:val="0"/>
        </w:rPr>
        <w:t xml:space="preserve"> Membr</w:t>
      </w:r>
      <w:r>
        <w:rPr>
          <w:kern w:val="0"/>
        </w:rPr>
        <w:t>anes, Sediments, Removal, Iron</w:t>
      </w:r>
    </w:p>
    <w:p w:rsidR="00D302C9" w:rsidRDefault="00D302C9" w:rsidP="00D302C9">
      <w:pPr>
        <w:pStyle w:val="a0"/>
        <w:rPr>
          <w:kern w:val="0"/>
        </w:rPr>
      </w:pPr>
      <w:r>
        <w:rPr>
          <w:rFonts w:hint="eastAsia"/>
          <w:kern w:val="0"/>
        </w:rPr>
        <w:t xml:space="preserve">? </w:t>
      </w:r>
      <w:r w:rsidR="00584886" w:rsidRPr="00584886">
        <w:rPr>
          <w:kern w:val="0"/>
        </w:rPr>
        <w:t>Chen</w:t>
      </w:r>
      <w:r w:rsidR="00584886">
        <w:rPr>
          <w:rFonts w:hint="eastAsia"/>
          <w:kern w:val="0"/>
        </w:rPr>
        <w:t>,</w:t>
      </w:r>
      <w:r w:rsidR="00584886" w:rsidRPr="00584886">
        <w:rPr>
          <w:kern w:val="0"/>
        </w:rPr>
        <w:t xml:space="preserve"> J</w:t>
      </w:r>
      <w:r w:rsidR="00584886">
        <w:rPr>
          <w:rFonts w:hint="eastAsia"/>
          <w:kern w:val="0"/>
        </w:rPr>
        <w:t>.</w:t>
      </w:r>
      <w:r w:rsidR="00584886" w:rsidRPr="00584886">
        <w:rPr>
          <w:kern w:val="0"/>
        </w:rPr>
        <w:t>J</w:t>
      </w:r>
      <w:r w:rsidR="00584886">
        <w:rPr>
          <w:rFonts w:hint="eastAsia"/>
          <w:kern w:val="0"/>
        </w:rPr>
        <w:t>.,</w:t>
      </w:r>
      <w:r w:rsidR="00584886" w:rsidRPr="00584886">
        <w:rPr>
          <w:kern w:val="0"/>
        </w:rPr>
        <w:t xml:space="preserve"> Wang</w:t>
      </w:r>
      <w:r w:rsidR="00584886">
        <w:rPr>
          <w:rFonts w:hint="eastAsia"/>
          <w:kern w:val="0"/>
        </w:rPr>
        <w:t>,</w:t>
      </w:r>
      <w:r w:rsidR="00584886" w:rsidRPr="00584886">
        <w:rPr>
          <w:kern w:val="0"/>
        </w:rPr>
        <w:t xml:space="preserve"> H</w:t>
      </w:r>
      <w:r w:rsidR="00584886">
        <w:rPr>
          <w:rFonts w:hint="eastAsia"/>
          <w:kern w:val="0"/>
        </w:rPr>
        <w:t>.</w:t>
      </w:r>
      <w:r w:rsidR="00F81221">
        <w:rPr>
          <w:rFonts w:hint="eastAsia"/>
          <w:kern w:val="0"/>
        </w:rPr>
        <w:t xml:space="preserve"> and </w:t>
      </w:r>
      <w:r w:rsidR="00584886" w:rsidRPr="00584886">
        <w:rPr>
          <w:kern w:val="0"/>
        </w:rPr>
        <w:t>Zhang</w:t>
      </w:r>
      <w:r w:rsidR="00584886">
        <w:rPr>
          <w:rFonts w:hint="eastAsia"/>
          <w:kern w:val="0"/>
        </w:rPr>
        <w:t>,</w:t>
      </w:r>
      <w:r w:rsidR="00584886" w:rsidRPr="00584886">
        <w:rPr>
          <w:kern w:val="0"/>
        </w:rPr>
        <w:t xml:space="preserve"> N</w:t>
      </w:r>
      <w:r w:rsidR="00584886">
        <w:rPr>
          <w:rFonts w:hint="eastAsia"/>
          <w:kern w:val="0"/>
        </w:rPr>
        <w:t>.</w:t>
      </w:r>
      <w:r>
        <w:rPr>
          <w:kern w:val="0"/>
        </w:rPr>
        <w:t xml:space="preserve"> (2009), </w:t>
      </w:r>
      <w:r w:rsidR="00584886" w:rsidRPr="00584886">
        <w:rPr>
          <w:kern w:val="0"/>
        </w:rPr>
        <w:t>Modified landfill gas generation rate model of first-order kinetics</w:t>
      </w:r>
      <w:r w:rsidR="00F81221">
        <w:rPr>
          <w:kern w:val="0"/>
        </w:rPr>
        <w:t xml:space="preserve"> and </w:t>
      </w:r>
      <w:r w:rsidR="00584886" w:rsidRPr="00584886">
        <w:rPr>
          <w:kern w:val="0"/>
        </w:rPr>
        <w:t>two-stage reaction</w:t>
      </w:r>
      <w:r>
        <w:rPr>
          <w:kern w:val="0"/>
        </w:rPr>
        <w:t xml:space="preserve">. </w:t>
      </w:r>
      <w:r w:rsidRPr="00D83A7F">
        <w:rPr>
          <w:i/>
          <w:iCs/>
          <w:kern w:val="0"/>
        </w:rPr>
        <w:t>Frontiers of Environmental Science &amp; Engineering in China</w:t>
      </w:r>
      <w:r>
        <w:rPr>
          <w:kern w:val="0"/>
        </w:rPr>
        <w:t xml:space="preserve">, </w:t>
      </w:r>
      <w:r>
        <w:rPr>
          <w:b/>
          <w:bCs/>
          <w:kern w:val="0"/>
        </w:rPr>
        <w:t>3</w:t>
      </w:r>
      <w:r>
        <w:rPr>
          <w:kern w:val="0"/>
        </w:rPr>
        <w:t xml:space="preserve"> (3), </w:t>
      </w:r>
      <w:r>
        <w:rPr>
          <w:rFonts w:hint="eastAsia"/>
          <w:kern w:val="0"/>
        </w:rPr>
        <w:t>313</w:t>
      </w:r>
      <w:r>
        <w:rPr>
          <w:kern w:val="0"/>
        </w:rPr>
        <w:t>-</w:t>
      </w:r>
      <w:r>
        <w:rPr>
          <w:rFonts w:hint="eastAsia"/>
          <w:kern w:val="0"/>
        </w:rPr>
        <w:t>319</w:t>
      </w:r>
      <w:r>
        <w:rPr>
          <w:kern w:val="0"/>
        </w:rPr>
        <w:t>.</w:t>
      </w:r>
    </w:p>
    <w:p w:rsidR="00D302C9" w:rsidRDefault="00D302C9" w:rsidP="00D302C9">
      <w:pPr>
        <w:pStyle w:val="a0"/>
        <w:rPr>
          <w:kern w:val="0"/>
        </w:rPr>
      </w:pPr>
      <w:r>
        <w:rPr>
          <w:rFonts w:hint="eastAsia"/>
          <w:kern w:val="0"/>
        </w:rPr>
        <w:t xml:space="preserve">Full Text: </w:t>
      </w:r>
      <w:hyperlink r:id="rId217" w:history="1">
        <w:r w:rsidR="00E12842" w:rsidRPr="00E12842">
          <w:rPr>
            <w:rStyle w:val="a5"/>
            <w:rFonts w:hint="eastAsia"/>
            <w:kern w:val="0"/>
          </w:rPr>
          <w:t>2009\</w:t>
        </w:r>
        <w:r w:rsidRPr="00E12842">
          <w:rPr>
            <w:rStyle w:val="a5"/>
            <w:iCs/>
            <w:kern w:val="0"/>
          </w:rPr>
          <w:t>Fro Env Sci Eng Chi</w:t>
        </w:r>
        <w:r w:rsidRPr="00E12842">
          <w:rPr>
            <w:rStyle w:val="a5"/>
            <w:kern w:val="0"/>
          </w:rPr>
          <w:t xml:space="preserve">, </w:t>
        </w:r>
        <w:r w:rsidRPr="00E12842">
          <w:rPr>
            <w:rStyle w:val="a5"/>
            <w:bCs/>
            <w:kern w:val="0"/>
          </w:rPr>
          <w:t>3</w:t>
        </w:r>
        <w:r w:rsidRPr="00E12842">
          <w:rPr>
            <w:rStyle w:val="a5"/>
            <w:kern w:val="0"/>
          </w:rPr>
          <w:t xml:space="preserve">, </w:t>
        </w:r>
        <w:r w:rsidRPr="00E12842">
          <w:rPr>
            <w:rStyle w:val="a5"/>
            <w:rFonts w:hint="eastAsia"/>
            <w:kern w:val="0"/>
          </w:rPr>
          <w:t>313.pdf</w:t>
        </w:r>
      </w:hyperlink>
    </w:p>
    <w:p w:rsidR="00584886" w:rsidRPr="00584886" w:rsidRDefault="00584886" w:rsidP="00584886">
      <w:pPr>
        <w:pStyle w:val="a0"/>
        <w:rPr>
          <w:kern w:val="0"/>
        </w:rPr>
      </w:pPr>
      <w:r w:rsidRPr="00584886">
        <w:rPr>
          <w:kern w:val="0"/>
        </w:rPr>
        <w:t>Abstract: This investigation was carried out to establish a new domestic landfill gas (LFG) generation rate model that takes into account the impact of leachate recirculation. The first-order kinetics</w:t>
      </w:r>
      <w:r w:rsidR="00F81221">
        <w:rPr>
          <w:kern w:val="0"/>
        </w:rPr>
        <w:t xml:space="preserve"> and </w:t>
      </w:r>
      <w:r w:rsidRPr="00584886">
        <w:rPr>
          <w:kern w:val="0"/>
        </w:rPr>
        <w:t>two-stage reaction (FKTSR) model of the LFG generation rate includes mechanisms of the nutrient balance for biochemical reaction in two main stages. In this study, the FKTSR model was modified by the introduction of the outflow function</w:t>
      </w:r>
      <w:r w:rsidR="00F81221">
        <w:rPr>
          <w:kern w:val="0"/>
        </w:rPr>
        <w:t xml:space="preserve"> and </w:t>
      </w:r>
      <w:r w:rsidRPr="00584886">
        <w:rPr>
          <w:kern w:val="0"/>
        </w:rPr>
        <w:t xml:space="preserve">the organic acid conversion coefficient in order to represent the in-situ condition of nutrient loss through leachate. Laboratory </w:t>
      </w:r>
      <w:r w:rsidRPr="00584886">
        <w:rPr>
          <w:kern w:val="0"/>
        </w:rPr>
        <w:lastRenderedPageBreak/>
        <w:t>experiments were carried out to simulate the impact of leachate recirculation</w:t>
      </w:r>
      <w:r w:rsidR="00F81221">
        <w:rPr>
          <w:kern w:val="0"/>
        </w:rPr>
        <w:t xml:space="preserve"> and </w:t>
      </w:r>
      <w:r w:rsidRPr="00584886">
        <w:rPr>
          <w:kern w:val="0"/>
        </w:rPr>
        <w:t>verify the modified FKTSR model. The model calibration was then calculated by using the experimental data. The results suggested that the new model was in line with the experimental data. The main parameters of the modified FKTSR model, including the LFG production potential (L-0), the reaction rate constant in the first stage (K-1),</w:t>
      </w:r>
      <w:r w:rsidR="00F81221">
        <w:rPr>
          <w:kern w:val="0"/>
        </w:rPr>
        <w:t xml:space="preserve"> and </w:t>
      </w:r>
      <w:r w:rsidRPr="00584886">
        <w:rPr>
          <w:kern w:val="0"/>
        </w:rPr>
        <w:t>the reaction rate constant in the second stage (K-2) of 64.746 L, 0.202 d</w:t>
      </w:r>
      <w:r>
        <w:rPr>
          <w:rFonts w:hint="eastAsia"/>
          <w:kern w:val="0"/>
          <w:vertAlign w:val="superscript"/>
        </w:rPr>
        <w:t>-1</w:t>
      </w:r>
      <w:r w:rsidRPr="00584886">
        <w:rPr>
          <w:kern w:val="0"/>
        </w:rPr>
        <w:t>,</w:t>
      </w:r>
      <w:r w:rsidR="00F81221">
        <w:rPr>
          <w:kern w:val="0"/>
        </w:rPr>
        <w:t xml:space="preserve"> and </w:t>
      </w:r>
      <w:r w:rsidRPr="00584886">
        <w:rPr>
          <w:kern w:val="0"/>
        </w:rPr>
        <w:t>0.338 d</w:t>
      </w:r>
      <w:r>
        <w:rPr>
          <w:rFonts w:hint="eastAsia"/>
          <w:kern w:val="0"/>
          <w:vertAlign w:val="superscript"/>
        </w:rPr>
        <w:t>-1</w:t>
      </w:r>
      <w:r w:rsidRPr="00584886">
        <w:rPr>
          <w:kern w:val="0"/>
        </w:rPr>
        <w:t>, respectively, were comparable to the old ones of 42.069 L, 0.231 d</w:t>
      </w:r>
      <w:r>
        <w:rPr>
          <w:rFonts w:hint="eastAsia"/>
          <w:kern w:val="0"/>
          <w:vertAlign w:val="superscript"/>
        </w:rPr>
        <w:t>-1</w:t>
      </w:r>
      <w:r w:rsidRPr="00584886">
        <w:rPr>
          <w:kern w:val="0"/>
        </w:rPr>
        <w:t>,</w:t>
      </w:r>
      <w:r w:rsidR="00F81221">
        <w:rPr>
          <w:kern w:val="0"/>
        </w:rPr>
        <w:t xml:space="preserve"> and </w:t>
      </w:r>
      <w:r w:rsidRPr="00584886">
        <w:rPr>
          <w:kern w:val="0"/>
        </w:rPr>
        <w:t>0.231 d</w:t>
      </w:r>
      <w:r>
        <w:rPr>
          <w:rFonts w:hint="eastAsia"/>
          <w:kern w:val="0"/>
          <w:vertAlign w:val="superscript"/>
        </w:rPr>
        <w:t>-1</w:t>
      </w:r>
      <w:r w:rsidRPr="00584886">
        <w:rPr>
          <w:kern w:val="0"/>
        </w:rPr>
        <w:t>. The new model is better able to explain the mechani</w:t>
      </w:r>
      <w:r>
        <w:rPr>
          <w:kern w:val="0"/>
        </w:rPr>
        <w:t>sms involved in LFG generation.</w:t>
      </w:r>
    </w:p>
    <w:p w:rsidR="00D302C9" w:rsidRDefault="00584886" w:rsidP="00584886">
      <w:pPr>
        <w:pStyle w:val="a0"/>
        <w:rPr>
          <w:kern w:val="0"/>
        </w:rPr>
      </w:pPr>
      <w:r w:rsidRPr="00584886">
        <w:rPr>
          <w:kern w:val="0"/>
        </w:rPr>
        <w:t>Keywords: Landfill Gas (LFG)</w:t>
      </w:r>
      <w:r>
        <w:rPr>
          <w:kern w:val="0"/>
        </w:rPr>
        <w:t>,</w:t>
      </w:r>
      <w:r w:rsidRPr="00584886">
        <w:rPr>
          <w:kern w:val="0"/>
        </w:rPr>
        <w:t xml:space="preserve"> Generation Rate Model</w:t>
      </w:r>
      <w:r>
        <w:rPr>
          <w:kern w:val="0"/>
        </w:rPr>
        <w:t>,</w:t>
      </w:r>
      <w:r w:rsidRPr="00584886">
        <w:rPr>
          <w:kern w:val="0"/>
        </w:rPr>
        <w:t xml:space="preserve"> First-Order Kinetics</w:t>
      </w:r>
      <w:r>
        <w:rPr>
          <w:kern w:val="0"/>
        </w:rPr>
        <w:t>,</w:t>
      </w:r>
      <w:r w:rsidRPr="00584886">
        <w:rPr>
          <w:kern w:val="0"/>
        </w:rPr>
        <w:t xml:space="preserve"> Two-Stage Reaction</w:t>
      </w:r>
      <w:r>
        <w:rPr>
          <w:kern w:val="0"/>
        </w:rPr>
        <w:t>,</w:t>
      </w:r>
      <w:r w:rsidRPr="00584886">
        <w:rPr>
          <w:kern w:val="0"/>
        </w:rPr>
        <w:t xml:space="preserve"> Outflow Function</w:t>
      </w:r>
      <w:r>
        <w:rPr>
          <w:kern w:val="0"/>
        </w:rPr>
        <w:t>,</w:t>
      </w:r>
      <w:r w:rsidRPr="00584886">
        <w:rPr>
          <w:kern w:val="0"/>
        </w:rPr>
        <w:t xml:space="preserve"> Methane Production</w:t>
      </w:r>
      <w:r>
        <w:rPr>
          <w:kern w:val="0"/>
        </w:rPr>
        <w:t>,</w:t>
      </w:r>
      <w:r w:rsidRPr="00584886">
        <w:rPr>
          <w:kern w:val="0"/>
        </w:rPr>
        <w:t xml:space="preserve"> Biore</w:t>
      </w:r>
      <w:r>
        <w:rPr>
          <w:kern w:val="0"/>
        </w:rPr>
        <w:t>actor</w:t>
      </w:r>
    </w:p>
    <w:p w:rsidR="00D302C9" w:rsidRDefault="00D302C9" w:rsidP="00D302C9">
      <w:pPr>
        <w:pStyle w:val="a0"/>
        <w:rPr>
          <w:kern w:val="0"/>
        </w:rPr>
      </w:pPr>
      <w:r>
        <w:rPr>
          <w:rFonts w:hint="eastAsia"/>
          <w:kern w:val="0"/>
        </w:rPr>
        <w:t xml:space="preserve">? </w:t>
      </w:r>
      <w:r>
        <w:rPr>
          <w:kern w:val="0"/>
        </w:rPr>
        <w:t>Lin, J.X.</w:t>
      </w:r>
      <w:r w:rsidR="00F81221">
        <w:rPr>
          <w:kern w:val="0"/>
        </w:rPr>
        <w:t xml:space="preserve"> and </w:t>
      </w:r>
      <w:r>
        <w:rPr>
          <w:kern w:val="0"/>
        </w:rPr>
        <w:t>Wang, L. (2009), Comparison between linear</w:t>
      </w:r>
      <w:r w:rsidR="00F81221">
        <w:rPr>
          <w:kern w:val="0"/>
        </w:rPr>
        <w:t xml:space="preserve"> and </w:t>
      </w:r>
      <w:r>
        <w:rPr>
          <w:kern w:val="0"/>
        </w:rPr>
        <w:t>non-linear forms of pseudo-first-order</w:t>
      </w:r>
      <w:r w:rsidR="00F81221">
        <w:rPr>
          <w:kern w:val="0"/>
        </w:rPr>
        <w:t xml:space="preserve"> and </w:t>
      </w:r>
      <w:r>
        <w:rPr>
          <w:kern w:val="0"/>
        </w:rPr>
        <w:t xml:space="preserve">pseudo-second-order adsorption kinetic models for the removal of methylene blue by activated carbon. </w:t>
      </w:r>
      <w:r w:rsidRPr="00D83A7F">
        <w:rPr>
          <w:i/>
          <w:iCs/>
          <w:kern w:val="0"/>
        </w:rPr>
        <w:t>Frontiers of Environmental Science &amp; Engineering in China</w:t>
      </w:r>
      <w:r>
        <w:rPr>
          <w:kern w:val="0"/>
        </w:rPr>
        <w:t xml:space="preserve">, </w:t>
      </w:r>
      <w:r>
        <w:rPr>
          <w:b/>
          <w:bCs/>
          <w:kern w:val="0"/>
        </w:rPr>
        <w:t>3</w:t>
      </w:r>
      <w:r>
        <w:rPr>
          <w:kern w:val="0"/>
        </w:rPr>
        <w:t xml:space="preserve"> (3), 320-324.</w:t>
      </w:r>
    </w:p>
    <w:p w:rsidR="00D302C9" w:rsidRDefault="00D302C9" w:rsidP="00D302C9">
      <w:pPr>
        <w:pStyle w:val="a0"/>
        <w:rPr>
          <w:kern w:val="0"/>
        </w:rPr>
      </w:pPr>
      <w:r>
        <w:rPr>
          <w:rFonts w:hint="eastAsia"/>
          <w:kern w:val="0"/>
        </w:rPr>
        <w:t xml:space="preserve">Full Text: </w:t>
      </w:r>
      <w:hyperlink r:id="rId218" w:history="1">
        <w:r w:rsidR="00E12842" w:rsidRPr="00E12842">
          <w:rPr>
            <w:rStyle w:val="a5"/>
            <w:kern w:val="0"/>
          </w:rPr>
          <w:t>2009\Fro Env Sci Eng Chi, 3, 320.pdf</w:t>
        </w:r>
      </w:hyperlink>
    </w:p>
    <w:p w:rsidR="00D83A7F" w:rsidRDefault="00D83A7F" w:rsidP="00D83A7F">
      <w:pPr>
        <w:pStyle w:val="a0"/>
        <w:rPr>
          <w:kern w:val="0"/>
        </w:rPr>
      </w:pPr>
      <w:r>
        <w:rPr>
          <w:kern w:val="0"/>
        </w:rPr>
        <w:t>Abstract: The best-fit equations of linear</w:t>
      </w:r>
      <w:r w:rsidR="00F81221">
        <w:rPr>
          <w:kern w:val="0"/>
        </w:rPr>
        <w:t xml:space="preserve"> and </w:t>
      </w:r>
      <w:r>
        <w:rPr>
          <w:kern w:val="0"/>
        </w:rPr>
        <w:t>non-linear forms of the two widely used kinetic models, namely pseudo-first-order</w:t>
      </w:r>
      <w:r w:rsidR="00F81221">
        <w:rPr>
          <w:kern w:val="0"/>
        </w:rPr>
        <w:t xml:space="preserve"> and </w:t>
      </w:r>
      <w:r>
        <w:rPr>
          <w:kern w:val="0"/>
        </w:rPr>
        <w:t>pseudo-second-order equations, were compared in this study. The experimental kinetics of methylene blue adsorption on activated carbon was used for this research. Both the correlation coefficient (R-2)</w:t>
      </w:r>
      <w:r w:rsidR="00F81221">
        <w:rPr>
          <w:kern w:val="0"/>
        </w:rPr>
        <w:t xml:space="preserve"> and </w:t>
      </w:r>
      <w:r>
        <w:rPr>
          <w:kern w:val="0"/>
        </w:rPr>
        <w:t>the normalized standard deviation Delta q(%) were employed as error analysis methods to determine the best-fitting equations. The results show that the non-linear forms of pseudo-first-order</w:t>
      </w:r>
      <w:r w:rsidR="00F81221">
        <w:rPr>
          <w:kern w:val="0"/>
        </w:rPr>
        <w:t xml:space="preserve"> and </w:t>
      </w:r>
      <w:r>
        <w:rPr>
          <w:kern w:val="0"/>
        </w:rPr>
        <w:t>pseudo-second-order models were more suitable than the linear forms for fitting the experimental data. The experimental kinetics may have been distorted by linearization of the linear kinetic equations,</w:t>
      </w:r>
      <w:r w:rsidR="00F81221">
        <w:rPr>
          <w:kern w:val="0"/>
        </w:rPr>
        <w:t xml:space="preserve"> and </w:t>
      </w:r>
      <w:r>
        <w:rPr>
          <w:kern w:val="0"/>
        </w:rPr>
        <w:t>thus, the non-linear forms of kinetic equations should be primarily used to obtain the adsorption parameters. In addition, the Delta q(%) method for error analysis may be better to determine the best-fitting model in this case.</w:t>
      </w:r>
    </w:p>
    <w:p w:rsidR="00D83A7F" w:rsidRDefault="00D83A7F" w:rsidP="00D83A7F">
      <w:pPr>
        <w:pStyle w:val="a0"/>
        <w:rPr>
          <w:kern w:val="0"/>
        </w:rPr>
      </w:pPr>
      <w:r>
        <w:rPr>
          <w:kern w:val="0"/>
        </w:rPr>
        <w:t>Keywords: Activated Carbon, Adsorption, Adsorption Kinetic, Analysis, Aqueous-Solution, Basic Dye, Biosorbent, Carbon, Correlation, Correlation Coefficient, Data, Equilibrium, Error, Error Analysis, Experimental, Forms, Isotherm, Kinetic, Kinetic Equations, Kinetic Model, Kinetic Models, Kinetics, Linear Method, Methods, Methylene Blue, Methylene Blue Adsorption, Model, Models, Non-Linear Method, Pseudo First Order, Pseudo Second Order, Pseudo-First Order, Pseudo-First-Order, Pseudo-Second Order, Pseudo-Second-Order, Removal, Research, Sorption, Standard</w:t>
      </w:r>
    </w:p>
    <w:p w:rsidR="004C46C4" w:rsidRDefault="004C46C4" w:rsidP="004C46C4">
      <w:pPr>
        <w:pStyle w:val="a0"/>
        <w:rPr>
          <w:kern w:val="0"/>
        </w:rPr>
      </w:pPr>
      <w:r>
        <w:rPr>
          <w:rFonts w:hint="eastAsia"/>
          <w:kern w:val="0"/>
        </w:rPr>
        <w:t xml:space="preserve">? </w:t>
      </w:r>
      <w:r w:rsidRPr="004C46C4">
        <w:rPr>
          <w:kern w:val="0"/>
        </w:rPr>
        <w:t>Zhang</w:t>
      </w:r>
      <w:r>
        <w:rPr>
          <w:rFonts w:hint="eastAsia"/>
          <w:kern w:val="0"/>
        </w:rPr>
        <w:t>,</w:t>
      </w:r>
      <w:r w:rsidRPr="004C46C4">
        <w:rPr>
          <w:kern w:val="0"/>
        </w:rPr>
        <w:t xml:space="preserve"> J</w:t>
      </w:r>
      <w:r>
        <w:rPr>
          <w:rFonts w:hint="eastAsia"/>
          <w:kern w:val="0"/>
        </w:rPr>
        <w:t>.</w:t>
      </w:r>
      <w:r w:rsidRPr="004C46C4">
        <w:rPr>
          <w:kern w:val="0"/>
        </w:rPr>
        <w:t>H</w:t>
      </w:r>
      <w:r>
        <w:rPr>
          <w:rFonts w:hint="eastAsia"/>
          <w:kern w:val="0"/>
        </w:rPr>
        <w:t>.,</w:t>
      </w:r>
      <w:r w:rsidRPr="004C46C4">
        <w:rPr>
          <w:kern w:val="0"/>
        </w:rPr>
        <w:t xml:space="preserve"> He</w:t>
      </w:r>
      <w:r>
        <w:rPr>
          <w:rFonts w:hint="eastAsia"/>
          <w:kern w:val="0"/>
        </w:rPr>
        <w:t>,</w:t>
      </w:r>
      <w:r w:rsidRPr="004C46C4">
        <w:rPr>
          <w:kern w:val="0"/>
        </w:rPr>
        <w:t xml:space="preserve"> M</w:t>
      </w:r>
      <w:r>
        <w:rPr>
          <w:rFonts w:hint="eastAsia"/>
          <w:kern w:val="0"/>
        </w:rPr>
        <w:t>.</w:t>
      </w:r>
      <w:r w:rsidRPr="004C46C4">
        <w:rPr>
          <w:kern w:val="0"/>
        </w:rPr>
        <w:t>C</w:t>
      </w:r>
      <w:r>
        <w:rPr>
          <w:rFonts w:hint="eastAsia"/>
          <w:kern w:val="0"/>
        </w:rPr>
        <w:t>.</w:t>
      </w:r>
      <w:r w:rsidRPr="004C46C4">
        <w:rPr>
          <w:kern w:val="0"/>
        </w:rPr>
        <w:t>, Lin</w:t>
      </w:r>
      <w:r>
        <w:rPr>
          <w:rFonts w:hint="eastAsia"/>
          <w:kern w:val="0"/>
        </w:rPr>
        <w:t>,</w:t>
      </w:r>
      <w:r w:rsidRPr="004C46C4">
        <w:rPr>
          <w:kern w:val="0"/>
        </w:rPr>
        <w:t xml:space="preserve"> C</w:t>
      </w:r>
      <w:r>
        <w:rPr>
          <w:rFonts w:hint="eastAsia"/>
          <w:kern w:val="0"/>
        </w:rPr>
        <w:t>.</w:t>
      </w:r>
      <w:r w:rsidRPr="004C46C4">
        <w:rPr>
          <w:kern w:val="0"/>
        </w:rPr>
        <w:t>Y</w:t>
      </w:r>
      <w:r>
        <w:rPr>
          <w:rFonts w:hint="eastAsia"/>
          <w:kern w:val="0"/>
        </w:rPr>
        <w:t>.,</w:t>
      </w:r>
      <w:r w:rsidRPr="004C46C4">
        <w:rPr>
          <w:kern w:val="0"/>
        </w:rPr>
        <w:t xml:space="preserve"> Sun</w:t>
      </w:r>
      <w:r>
        <w:rPr>
          <w:rFonts w:hint="eastAsia"/>
          <w:kern w:val="0"/>
        </w:rPr>
        <w:t>,</w:t>
      </w:r>
      <w:r w:rsidRPr="004C46C4">
        <w:rPr>
          <w:kern w:val="0"/>
        </w:rPr>
        <w:t xml:space="preserve"> K</w:t>
      </w:r>
      <w:r>
        <w:rPr>
          <w:rFonts w:hint="eastAsia"/>
          <w:kern w:val="0"/>
        </w:rPr>
        <w:t>.</w:t>
      </w:r>
      <w:r w:rsidRPr="004C46C4">
        <w:rPr>
          <w:kern w:val="0"/>
        </w:rPr>
        <w:t>, Men</w:t>
      </w:r>
      <w:r>
        <w:rPr>
          <w:rFonts w:hint="eastAsia"/>
          <w:kern w:val="0"/>
        </w:rPr>
        <w:t>,</w:t>
      </w:r>
      <w:r w:rsidRPr="004C46C4">
        <w:rPr>
          <w:kern w:val="0"/>
        </w:rPr>
        <w:t xml:space="preserve"> B</w:t>
      </w:r>
      <w:r>
        <w:rPr>
          <w:rFonts w:hint="eastAsia"/>
          <w:kern w:val="0"/>
        </w:rPr>
        <w:t>.</w:t>
      </w:r>
      <w:r w:rsidR="00F81221">
        <w:rPr>
          <w:rFonts w:hint="eastAsia"/>
          <w:kern w:val="0"/>
        </w:rPr>
        <w:t xml:space="preserve"> and </w:t>
      </w:r>
      <w:r w:rsidRPr="004C46C4">
        <w:rPr>
          <w:kern w:val="0"/>
        </w:rPr>
        <w:t>Zhou</w:t>
      </w:r>
      <w:r>
        <w:rPr>
          <w:rFonts w:hint="eastAsia"/>
          <w:kern w:val="0"/>
        </w:rPr>
        <w:t>,</w:t>
      </w:r>
      <w:r w:rsidRPr="004C46C4">
        <w:rPr>
          <w:kern w:val="0"/>
        </w:rPr>
        <w:t xml:space="preserve"> J</w:t>
      </w:r>
      <w:r>
        <w:rPr>
          <w:rFonts w:hint="eastAsia"/>
          <w:kern w:val="0"/>
        </w:rPr>
        <w:t>.</w:t>
      </w:r>
      <w:r w:rsidRPr="004C46C4">
        <w:rPr>
          <w:kern w:val="0"/>
        </w:rPr>
        <w:t>L</w:t>
      </w:r>
      <w:r>
        <w:rPr>
          <w:rFonts w:hint="eastAsia"/>
          <w:kern w:val="0"/>
        </w:rPr>
        <w:t>.</w:t>
      </w:r>
      <w:r>
        <w:rPr>
          <w:kern w:val="0"/>
        </w:rPr>
        <w:t xml:space="preserve"> (2009), </w:t>
      </w:r>
      <w:r w:rsidRPr="004C46C4">
        <w:rPr>
          <w:kern w:val="0"/>
        </w:rPr>
        <w:t>Phenanthrene sorption to environmental black carbon in sediments from the Song-Liao watershed (China)</w:t>
      </w:r>
      <w:r>
        <w:rPr>
          <w:kern w:val="0"/>
        </w:rPr>
        <w:t xml:space="preserve">. </w:t>
      </w:r>
      <w:r w:rsidRPr="00D83A7F">
        <w:rPr>
          <w:i/>
          <w:iCs/>
          <w:kern w:val="0"/>
        </w:rPr>
        <w:t xml:space="preserve">Frontiers of Environmental Science &amp; Engineering in </w:t>
      </w:r>
      <w:r w:rsidRPr="00D83A7F">
        <w:rPr>
          <w:i/>
          <w:iCs/>
          <w:kern w:val="0"/>
        </w:rPr>
        <w:lastRenderedPageBreak/>
        <w:t>China</w:t>
      </w:r>
      <w:r>
        <w:rPr>
          <w:kern w:val="0"/>
        </w:rPr>
        <w:t xml:space="preserve">, </w:t>
      </w:r>
      <w:r>
        <w:rPr>
          <w:b/>
          <w:bCs/>
          <w:kern w:val="0"/>
        </w:rPr>
        <w:t>3</w:t>
      </w:r>
      <w:r>
        <w:rPr>
          <w:kern w:val="0"/>
        </w:rPr>
        <w:t xml:space="preserve"> (</w:t>
      </w:r>
      <w:r>
        <w:rPr>
          <w:rFonts w:hint="eastAsia"/>
          <w:kern w:val="0"/>
        </w:rPr>
        <w:t>4</w:t>
      </w:r>
      <w:r>
        <w:rPr>
          <w:kern w:val="0"/>
        </w:rPr>
        <w:t xml:space="preserve">), </w:t>
      </w:r>
      <w:r w:rsidRPr="004C46C4">
        <w:rPr>
          <w:kern w:val="0"/>
        </w:rPr>
        <w:t>434-442</w:t>
      </w:r>
      <w:r>
        <w:rPr>
          <w:kern w:val="0"/>
        </w:rPr>
        <w:t>.</w:t>
      </w:r>
    </w:p>
    <w:p w:rsidR="004C46C4" w:rsidRDefault="004C46C4" w:rsidP="004C46C4">
      <w:pPr>
        <w:pStyle w:val="a0"/>
        <w:rPr>
          <w:kern w:val="0"/>
        </w:rPr>
      </w:pPr>
      <w:r>
        <w:rPr>
          <w:rFonts w:hint="eastAsia"/>
          <w:kern w:val="0"/>
        </w:rPr>
        <w:t xml:space="preserve">Full Text: </w:t>
      </w:r>
      <w:hyperlink r:id="rId219" w:history="1">
        <w:r w:rsidR="00E12842" w:rsidRPr="00E12842">
          <w:rPr>
            <w:rStyle w:val="a5"/>
            <w:kern w:val="0"/>
          </w:rPr>
          <w:t>2009\Fro Env Sci Eng Chi, 3, 434.pdf</w:t>
        </w:r>
      </w:hyperlink>
    </w:p>
    <w:p w:rsidR="004C46C4" w:rsidRDefault="004C46C4" w:rsidP="004C46C4">
      <w:pPr>
        <w:pStyle w:val="a0"/>
        <w:rPr>
          <w:kern w:val="0"/>
        </w:rPr>
      </w:pPr>
      <w:r w:rsidRPr="004C46C4">
        <w:rPr>
          <w:kern w:val="0"/>
        </w:rPr>
        <w:t>Abstract: Black carbon (BC) in ten contaminated sediments from the Song-Liao watershed, NE China, was isolated upon treatments using a combustion method at 375</w:t>
      </w:r>
      <w:r>
        <w:rPr>
          <w:kern w:val="0"/>
        </w:rPr>
        <w:t>°</w:t>
      </w:r>
      <w:r w:rsidRPr="004C46C4">
        <w:rPr>
          <w:kern w:val="0"/>
        </w:rPr>
        <w:t>C,</w:t>
      </w:r>
      <w:r w:rsidR="00F81221">
        <w:rPr>
          <w:kern w:val="0"/>
        </w:rPr>
        <w:t xml:space="preserve"> and </w:t>
      </w:r>
      <w:r w:rsidRPr="004C46C4">
        <w:rPr>
          <w:kern w:val="0"/>
        </w:rPr>
        <w:t>the isolates</w:t>
      </w:r>
      <w:r w:rsidR="000352E7">
        <w:rPr>
          <w:kern w:val="0"/>
        </w:rPr>
        <w:t>’</w:t>
      </w:r>
      <w:r w:rsidRPr="004C46C4">
        <w:rPr>
          <w:kern w:val="0"/>
        </w:rPr>
        <w:t xml:space="preserve"> sorption isotherms for phenanthrene (Phen) were determined. All sorption isotherms were nonlinear</w:t>
      </w:r>
      <w:r w:rsidR="00F81221">
        <w:rPr>
          <w:kern w:val="0"/>
        </w:rPr>
        <w:t xml:space="preserve"> and </w:t>
      </w:r>
      <w:r w:rsidRPr="004C46C4">
        <w:rPr>
          <w:kern w:val="0"/>
        </w:rPr>
        <w:t>fitted well by the Freundlich model. A negative relation was found between Freundlich sorption nonlinearity parameter (n values)</w:t>
      </w:r>
      <w:r w:rsidR="00F81221">
        <w:rPr>
          <w:kern w:val="0"/>
        </w:rPr>
        <w:t xml:space="preserve"> and </w:t>
      </w:r>
      <w:r w:rsidRPr="004C46C4">
        <w:rPr>
          <w:kern w:val="0"/>
        </w:rPr>
        <w:t>BC/total organic carbon (TOC) content of the original sediments (r(2) = 0.687, p &lt; 0.01), indicating the dominance of BC in Phen sorption nonlinearity. The BC isolates from this industrialized region had n values of 0.342 to 0.505</w:t>
      </w:r>
      <w:r w:rsidR="00F81221">
        <w:rPr>
          <w:kern w:val="0"/>
        </w:rPr>
        <w:t xml:space="preserve"> and </w:t>
      </w:r>
      <w:r w:rsidRPr="004C46C4">
        <w:rPr>
          <w:kern w:val="0"/>
        </w:rPr>
        <w:t>logK(FOC) values of 6.02 to 6.42 (mu g.kg</w:t>
      </w:r>
      <w:r>
        <w:rPr>
          <w:rFonts w:hint="eastAsia"/>
          <w:kern w:val="0"/>
          <w:vertAlign w:val="superscript"/>
        </w:rPr>
        <w:t>-1</w:t>
      </w:r>
      <w:r w:rsidRPr="004C46C4">
        <w:rPr>
          <w:kern w:val="0"/>
        </w:rPr>
        <w:t>.OC</w:t>
      </w:r>
      <w:r>
        <w:rPr>
          <w:rFonts w:hint="eastAsia"/>
          <w:kern w:val="0"/>
          <w:vertAlign w:val="superscript"/>
        </w:rPr>
        <w:t>-1</w:t>
      </w:r>
      <w:r w:rsidRPr="004C46C4">
        <w:rPr>
          <w:kern w:val="0"/>
        </w:rPr>
        <w:t>)/(mu g.L</w:t>
      </w:r>
      <w:r>
        <w:rPr>
          <w:rFonts w:hint="eastAsia"/>
          <w:kern w:val="0"/>
          <w:vertAlign w:val="superscript"/>
        </w:rPr>
        <w:t>-1</w:t>
      </w:r>
      <w:r w:rsidRPr="004C46C4">
        <w:rPr>
          <w:kern w:val="0"/>
        </w:rPr>
        <w:t>)(n) for Phen. At a given C-e, the BC had higher K-oc value than the original sediments, revealing a higher sorption capacity for BC. BC was responsible for 50.0% to 87.3% of the total sorption at C-e=0.05 S-w, clearly indicating the dominance of BC particles in overall</w:t>
      </w:r>
      <w:r>
        <w:rPr>
          <w:kern w:val="0"/>
        </w:rPr>
        <w:t xml:space="preserve"> sorption of Phen by sediments.</w:t>
      </w:r>
    </w:p>
    <w:p w:rsidR="004C46C4" w:rsidRDefault="004C46C4" w:rsidP="004C46C4">
      <w:pPr>
        <w:pStyle w:val="a0"/>
        <w:rPr>
          <w:kern w:val="0"/>
        </w:rPr>
      </w:pPr>
      <w:r w:rsidRPr="004C46C4">
        <w:rPr>
          <w:kern w:val="0"/>
        </w:rPr>
        <w:t>Keywords: Phenanthrene, Sorption, Black Carbon, Sediment, Song-Liao Watershed, Polycyclic Aromatic-Hydrocarbons, Distributed Reactivity Model, Organic-Matter, Continental-Shelf, Activated Carbon, Aquatic Systems, Soils, Soot, Adsorption, Equilibrium</w:t>
      </w:r>
    </w:p>
    <w:p w:rsidR="00344BAA" w:rsidRDefault="00344BAA" w:rsidP="00344BAA">
      <w:pPr>
        <w:pStyle w:val="a0"/>
        <w:rPr>
          <w:kern w:val="0"/>
        </w:rPr>
      </w:pPr>
      <w:r>
        <w:rPr>
          <w:kern w:val="0"/>
        </w:rPr>
        <w:t>? Kannan, R.R., Rajasimman, M., Rajamohan, N.</w:t>
      </w:r>
      <w:r w:rsidR="00F81221">
        <w:rPr>
          <w:kern w:val="0"/>
        </w:rPr>
        <w:t xml:space="preserve"> and </w:t>
      </w:r>
      <w:r>
        <w:rPr>
          <w:kern w:val="0"/>
        </w:rPr>
        <w:t>Sivaprakash, B. (2010), Brown marine algae turbinaria conoides as biosorbent for Malachite green removal: Equilibrium</w:t>
      </w:r>
      <w:r w:rsidR="00F81221">
        <w:rPr>
          <w:kern w:val="0"/>
        </w:rPr>
        <w:t xml:space="preserve"> and </w:t>
      </w:r>
      <w:r>
        <w:rPr>
          <w:kern w:val="0"/>
        </w:rPr>
        <w:t xml:space="preserve">kinetic modeling. </w:t>
      </w:r>
      <w:r>
        <w:rPr>
          <w:i/>
          <w:iCs/>
          <w:kern w:val="0"/>
        </w:rPr>
        <w:t>Frontiers of Environmental Science &amp; Engineering in China</w:t>
      </w:r>
      <w:r>
        <w:rPr>
          <w:kern w:val="0"/>
        </w:rPr>
        <w:t xml:space="preserve">, </w:t>
      </w:r>
      <w:r>
        <w:rPr>
          <w:b/>
          <w:bCs/>
          <w:kern w:val="0"/>
        </w:rPr>
        <w:t>4</w:t>
      </w:r>
      <w:r>
        <w:rPr>
          <w:kern w:val="0"/>
        </w:rPr>
        <w:t xml:space="preserve"> (1), 116-122.</w:t>
      </w:r>
    </w:p>
    <w:p w:rsidR="00344BAA" w:rsidRPr="00395192" w:rsidRDefault="00344BAA" w:rsidP="00344BAA">
      <w:pPr>
        <w:pStyle w:val="a0"/>
        <w:rPr>
          <w:kern w:val="0"/>
        </w:rPr>
      </w:pPr>
      <w:r w:rsidRPr="00395192">
        <w:rPr>
          <w:kern w:val="0"/>
        </w:rPr>
        <w:t>Full Text:</w:t>
      </w:r>
      <w:r w:rsidRPr="00395192">
        <w:t xml:space="preserve"> </w:t>
      </w:r>
      <w:hyperlink r:id="rId220" w:history="1">
        <w:r w:rsidR="005B686A" w:rsidRPr="005B686A">
          <w:rPr>
            <w:rStyle w:val="a5"/>
          </w:rPr>
          <w:t>2010\Fro Env Sci Eng Chi4, 116.pdf</w:t>
        </w:r>
      </w:hyperlink>
    </w:p>
    <w:p w:rsidR="00344BAA" w:rsidRDefault="00344BAA" w:rsidP="00344BAA">
      <w:pPr>
        <w:pStyle w:val="a0"/>
        <w:rPr>
          <w:kern w:val="0"/>
        </w:rPr>
      </w:pPr>
      <w:r>
        <w:rPr>
          <w:kern w:val="0"/>
        </w:rPr>
        <w:t>Abstract: In this study, the biosorption of Malachite green (MG) onto Turbinaria conoides, brown marine algae, was studied with respect to initial pH, temperature, initial dye concentration,</w:t>
      </w:r>
      <w:r w:rsidR="00F81221">
        <w:rPr>
          <w:kern w:val="0"/>
        </w:rPr>
        <w:t xml:space="preserve"> and </w:t>
      </w:r>
      <w:r>
        <w:rPr>
          <w:kern w:val="0"/>
        </w:rPr>
        <w:t>sorbent dosage. The optimum initial pH</w:t>
      </w:r>
      <w:r w:rsidR="00F81221">
        <w:rPr>
          <w:kern w:val="0"/>
        </w:rPr>
        <w:t xml:space="preserve"> and </w:t>
      </w:r>
      <w:r>
        <w:rPr>
          <w:kern w:val="0"/>
        </w:rPr>
        <w:t>temperature values for MG removal were found to be 8.0</w:t>
      </w:r>
      <w:r w:rsidR="00F81221">
        <w:rPr>
          <w:kern w:val="0"/>
        </w:rPr>
        <w:t xml:space="preserve"> and </w:t>
      </w:r>
      <w:r>
        <w:rPr>
          <w:kern w:val="0"/>
        </w:rPr>
        <w:t>30ºC, respectively. Sorbent dosage was found to strongly influence the removal of MG. Equilibrium studies were carried out to test the validity of the Langmuir (q</w:t>
      </w:r>
      <w:r>
        <w:rPr>
          <w:kern w:val="0"/>
          <w:vertAlign w:val="subscript"/>
        </w:rPr>
        <w:t>max</w:t>
      </w:r>
      <w:r>
        <w:rPr>
          <w:kern w:val="0"/>
        </w:rPr>
        <w:t xml:space="preserve"> = 66.6 mg/g</w:t>
      </w:r>
      <w:r w:rsidR="00F81221">
        <w:rPr>
          <w:kern w:val="0"/>
        </w:rPr>
        <w:t xml:space="preserve"> and </w:t>
      </w:r>
      <w:r>
        <w:rPr>
          <w:kern w:val="0"/>
        </w:rPr>
        <w:t>b = 0.526 mL mol/L)</w:t>
      </w:r>
      <w:r w:rsidR="00F81221">
        <w:rPr>
          <w:kern w:val="0"/>
        </w:rPr>
        <w:t xml:space="preserve"> and </w:t>
      </w:r>
      <w:r>
        <w:rPr>
          <w:kern w:val="0"/>
        </w:rPr>
        <w:t>the Freundlich (n = 1.826</w:t>
      </w:r>
      <w:r w:rsidR="00F81221">
        <w:rPr>
          <w:kern w:val="0"/>
        </w:rPr>
        <w:t xml:space="preserve"> and </w:t>
      </w:r>
      <w:r>
        <w:rPr>
          <w:kern w:val="0"/>
        </w:rPr>
        <w:t>K = 3.751 mg/g) isotherms. The kinetic studies indicated the validity of the pseudo first-order</w:t>
      </w:r>
      <w:r w:rsidR="00F81221">
        <w:rPr>
          <w:kern w:val="0"/>
        </w:rPr>
        <w:t xml:space="preserve"> and </w:t>
      </w:r>
      <w:r>
        <w:rPr>
          <w:kern w:val="0"/>
        </w:rPr>
        <w:t>second-order equation.</w:t>
      </w:r>
    </w:p>
    <w:p w:rsidR="00344BAA" w:rsidRDefault="00344BAA" w:rsidP="00344BAA">
      <w:pPr>
        <w:pStyle w:val="a0"/>
        <w:rPr>
          <w:kern w:val="0"/>
        </w:rPr>
      </w:pPr>
      <w:r>
        <w:rPr>
          <w:kern w:val="0"/>
        </w:rPr>
        <w:t xml:space="preserve">Keywords: Adsorbent, Adsorption, Algae, Aqueous-Solutions, Biosorbent, Biosorption, Biosorption, Cationic Dye, Concentration, Dye, Equilibrium, Equilibrium Studies, First Order, Freundlich, Isotherm, Isotherms, Kinetic, Kinetic Modeling, Kinetic Studies, Langmuir, Malachite Green, Malachite Green (Mg), Mar, Marine Algae, Mg, Modeling, pH, Pseudo First Order, Pseudo First-Order, Pseudo-First-Order, Removal, Rice-Husk, Sawdust, Second Order, Second-Order, Second-Order Equation, Sorbent, </w:t>
      </w:r>
      <w:r>
        <w:rPr>
          <w:kern w:val="0"/>
        </w:rPr>
        <w:lastRenderedPageBreak/>
        <w:t>Temperature, Turbinaria Conoides, Validity</w:t>
      </w:r>
    </w:p>
    <w:p w:rsidR="005B686A" w:rsidRDefault="005B686A" w:rsidP="005B686A">
      <w:pPr>
        <w:pStyle w:val="a0"/>
        <w:rPr>
          <w:kern w:val="0"/>
        </w:rPr>
      </w:pPr>
      <w:r>
        <w:rPr>
          <w:rFonts w:hint="eastAsia"/>
          <w:kern w:val="0"/>
        </w:rPr>
        <w:t xml:space="preserve">? </w:t>
      </w:r>
      <w:r>
        <w:rPr>
          <w:kern w:val="0"/>
        </w:rPr>
        <w:t>Li, Z.J., Deng, S.B., Zhang, X.Y., Zhou, W., Huang, J.</w:t>
      </w:r>
      <w:r w:rsidR="00F81221">
        <w:rPr>
          <w:kern w:val="0"/>
        </w:rPr>
        <w:t xml:space="preserve"> and </w:t>
      </w:r>
      <w:r>
        <w:rPr>
          <w:kern w:val="0"/>
        </w:rPr>
        <w:t xml:space="preserve">Yu, G. (2010), Removal of fluoride from water using titanium-based adsorbents. </w:t>
      </w:r>
      <w:r>
        <w:rPr>
          <w:i/>
          <w:iCs/>
          <w:kern w:val="0"/>
        </w:rPr>
        <w:t>Frontiers of Environmental Science &amp; Engineering in China</w:t>
      </w:r>
      <w:r>
        <w:rPr>
          <w:kern w:val="0"/>
        </w:rPr>
        <w:t xml:space="preserve">, </w:t>
      </w:r>
      <w:r>
        <w:rPr>
          <w:b/>
          <w:bCs/>
          <w:kern w:val="0"/>
        </w:rPr>
        <w:t>4</w:t>
      </w:r>
      <w:r>
        <w:rPr>
          <w:kern w:val="0"/>
        </w:rPr>
        <w:t xml:space="preserve"> (4), 414-420.</w:t>
      </w:r>
    </w:p>
    <w:p w:rsidR="005B686A" w:rsidRPr="00F219CA" w:rsidRDefault="005B686A" w:rsidP="005B686A">
      <w:pPr>
        <w:pStyle w:val="a0"/>
        <w:rPr>
          <w:kern w:val="0"/>
        </w:rPr>
      </w:pPr>
      <w:r>
        <w:rPr>
          <w:rFonts w:hint="eastAsia"/>
          <w:kern w:val="0"/>
        </w:rPr>
        <w:t xml:space="preserve">Full Text: </w:t>
      </w:r>
      <w:hyperlink r:id="rId221" w:history="1">
        <w:r w:rsidR="00180C2B" w:rsidRPr="00180C2B">
          <w:rPr>
            <w:rStyle w:val="a5"/>
            <w:kern w:val="0"/>
          </w:rPr>
          <w:t>2010\Fro Env Sci Eng Chi4, 414.pdf</w:t>
        </w:r>
      </w:hyperlink>
    </w:p>
    <w:p w:rsidR="005B686A" w:rsidRDefault="005B686A" w:rsidP="005B686A">
      <w:pPr>
        <w:pStyle w:val="a0"/>
        <w:rPr>
          <w:kern w:val="0"/>
        </w:rPr>
      </w:pPr>
      <w:r>
        <w:rPr>
          <w:kern w:val="0"/>
        </w:rPr>
        <w:t>Abstract: Three adsorbents including TiO</w:t>
      </w:r>
      <w:r w:rsidRPr="00D5798A">
        <w:rPr>
          <w:kern w:val="0"/>
          <w:vertAlign w:val="subscript"/>
        </w:rPr>
        <w:t>2</w:t>
      </w:r>
      <w:r>
        <w:rPr>
          <w:kern w:val="0"/>
        </w:rPr>
        <w:t>, Ti-Ce,</w:t>
      </w:r>
      <w:r w:rsidR="00F81221">
        <w:rPr>
          <w:kern w:val="0"/>
        </w:rPr>
        <w:t xml:space="preserve"> and </w:t>
      </w:r>
      <w:r>
        <w:rPr>
          <w:kern w:val="0"/>
        </w:rPr>
        <w:t>Ti-La hybrid oxides were prepared to remove fluoride from aqueous solution. The Ti-Ce</w:t>
      </w:r>
      <w:r w:rsidR="00F81221">
        <w:rPr>
          <w:kern w:val="0"/>
        </w:rPr>
        <w:t xml:space="preserve"> and </w:t>
      </w:r>
      <w:r>
        <w:rPr>
          <w:kern w:val="0"/>
        </w:rPr>
        <w:t>Ti-La hybrid adsorbents obtained by the hydrolysis-precipitation method had much higher sorption capacity for fluoride than the TiO</w:t>
      </w:r>
      <w:r w:rsidRPr="00D5798A">
        <w:rPr>
          <w:kern w:val="0"/>
          <w:vertAlign w:val="subscript"/>
        </w:rPr>
        <w:t>2</w:t>
      </w:r>
      <w:r>
        <w:rPr>
          <w:kern w:val="0"/>
        </w:rPr>
        <w:t xml:space="preserve"> adsorbent prepared through hydrolysis. Rare earth (Ce</w:t>
      </w:r>
      <w:r w:rsidR="00F81221">
        <w:rPr>
          <w:kern w:val="0"/>
        </w:rPr>
        <w:t xml:space="preserve"> and </w:t>
      </w:r>
      <w:r>
        <w:rPr>
          <w:kern w:val="0"/>
        </w:rPr>
        <w:t>La) oxides</w:t>
      </w:r>
      <w:r w:rsidR="00F81221">
        <w:rPr>
          <w:kern w:val="0"/>
        </w:rPr>
        <w:t xml:space="preserve"> and </w:t>
      </w:r>
      <w:r>
        <w:rPr>
          <w:kern w:val="0"/>
        </w:rPr>
        <w:t>TiO</w:t>
      </w:r>
      <w:r w:rsidRPr="00D5798A">
        <w:rPr>
          <w:kern w:val="0"/>
          <w:vertAlign w:val="subscript"/>
        </w:rPr>
        <w:t>2</w:t>
      </w:r>
      <w:r>
        <w:rPr>
          <w:kern w:val="0"/>
        </w:rPr>
        <w:t xml:space="preserve"> exhibited a synergistic effect in the hybrid adsorbents for fluoride sorption. The sorption equilibrium of fluoride on the three adsorbents was achieved within 4 h,</w:t>
      </w:r>
      <w:r w:rsidR="00F81221">
        <w:rPr>
          <w:kern w:val="0"/>
        </w:rPr>
        <w:t xml:space="preserve"> and </w:t>
      </w:r>
      <w:r>
        <w:rPr>
          <w:kern w:val="0"/>
        </w:rPr>
        <w:t>the pseudo-second-order model described the sorption kinetics well. The sorption isotherms fitted the Langmuir model well,</w:t>
      </w:r>
      <w:r w:rsidR="00F81221">
        <w:rPr>
          <w:kern w:val="0"/>
        </w:rPr>
        <w:t xml:space="preserve"> and </w:t>
      </w:r>
      <w:r>
        <w:rPr>
          <w:kern w:val="0"/>
        </w:rPr>
        <w:t>the adsorption capacities of fluoride on the Ti-Ce</w:t>
      </w:r>
      <w:r w:rsidR="00F81221">
        <w:rPr>
          <w:kern w:val="0"/>
        </w:rPr>
        <w:t xml:space="preserve"> and </w:t>
      </w:r>
      <w:r>
        <w:rPr>
          <w:kern w:val="0"/>
        </w:rPr>
        <w:t>Ti-La adsorbents were about 9.6</w:t>
      </w:r>
      <w:r w:rsidR="00F81221">
        <w:rPr>
          <w:kern w:val="0"/>
        </w:rPr>
        <w:t xml:space="preserve"> and </w:t>
      </w:r>
      <w:r>
        <w:rPr>
          <w:kern w:val="0"/>
        </w:rPr>
        <w:t>15.1 mg center dot g(-1), respectively, at the equilibrium fluoride concentration of 1.0 mg center dot L-1, much higher than the 1.7 mg center dot g(-1) on the TiO</w:t>
      </w:r>
      <w:r w:rsidRPr="00D5798A">
        <w:rPr>
          <w:kern w:val="0"/>
          <w:vertAlign w:val="subscript"/>
        </w:rPr>
        <w:t>2</w:t>
      </w:r>
      <w:r>
        <w:rPr>
          <w:kern w:val="0"/>
        </w:rPr>
        <w:t>. The sorption capacities of fluoride on the three adsorbents decreased significantly when the solution pH increased from 3 to 9.5. The electrostatic interaction played an important role in fluoride removal by the three adsorbents,</w:t>
      </w:r>
      <w:r w:rsidR="00F81221">
        <w:rPr>
          <w:kern w:val="0"/>
        </w:rPr>
        <w:t xml:space="preserve"> and </w:t>
      </w:r>
      <w:r>
        <w:rPr>
          <w:kern w:val="0"/>
        </w:rPr>
        <w:t>Fourier transform infrared (FTIR) analysis indicated that the hydroxyl groups on the adsorbent surface were involved in fluoride adsorption.</w:t>
      </w:r>
    </w:p>
    <w:p w:rsidR="005B686A" w:rsidRDefault="005B686A" w:rsidP="005B686A">
      <w:pPr>
        <w:pStyle w:val="a0"/>
        <w:rPr>
          <w:kern w:val="0"/>
        </w:rPr>
      </w:pPr>
      <w:r>
        <w:rPr>
          <w:kern w:val="0"/>
        </w:rPr>
        <w:t>Keywords: Adsorbent, Adsorbents, Adsorption, Analysis, Aqueous-Solutions, Arsenate, Capacity, Defluoridation, Drinking-Water, Equilibrium, Fluoride, Fluoride Adsorption, Fluoride Removal, Fourier Transform Infrared, FTIR, Hydrolysis, Infrared, Isotherms, Kinetics, Langmuir, Langmuir Model, Model, Oxide Adsorbent, pH, Polyvinyl-Alcohol, Pseudo Second Order, Pseudo-Second-Order, Removal, Sorption, Sorption Capacity, Sorption Isotherms, Sorption Kinetics, Sorption Mechanism, TiO</w:t>
      </w:r>
      <w:r w:rsidRPr="0071742F">
        <w:rPr>
          <w:kern w:val="0"/>
          <w:vertAlign w:val="subscript"/>
        </w:rPr>
        <w:t>2</w:t>
      </w:r>
      <w:r>
        <w:rPr>
          <w:kern w:val="0"/>
        </w:rPr>
        <w:t>, Titanium Dioxide, Titanium-Based Adsorbent, Water</w:t>
      </w:r>
    </w:p>
    <w:p w:rsidR="00C6184C" w:rsidRDefault="00C6184C" w:rsidP="00C6184C">
      <w:pPr>
        <w:pStyle w:val="a0"/>
        <w:rPr>
          <w:kern w:val="0"/>
        </w:rPr>
      </w:pPr>
      <w:r>
        <w:rPr>
          <w:rFonts w:hint="eastAsia"/>
          <w:kern w:val="0"/>
        </w:rPr>
        <w:t xml:space="preserve">? </w:t>
      </w:r>
      <w:r>
        <w:rPr>
          <w:kern w:val="0"/>
        </w:rPr>
        <w:t>Zhan, Y.H., Lin, J.W., Qiu, Y.L., Gao, N.Y.</w:t>
      </w:r>
      <w:r w:rsidR="00F81221">
        <w:rPr>
          <w:kern w:val="0"/>
        </w:rPr>
        <w:t xml:space="preserve"> and </w:t>
      </w:r>
      <w:r>
        <w:rPr>
          <w:kern w:val="0"/>
        </w:rPr>
        <w:t xml:space="preserve">Zhu, Z.L. (2011), Adsorption of humic acid from aqueous solution on bilayer hexadecyltrimethyl ammonium bromide-modified zeolite. </w:t>
      </w:r>
      <w:r>
        <w:rPr>
          <w:i/>
          <w:iCs/>
          <w:kern w:val="0"/>
        </w:rPr>
        <w:t>Frontiers of Environmental Science &amp; Engineering in China</w:t>
      </w:r>
      <w:r>
        <w:rPr>
          <w:kern w:val="0"/>
        </w:rPr>
        <w:t xml:space="preserve">, </w:t>
      </w:r>
      <w:r>
        <w:rPr>
          <w:b/>
          <w:bCs/>
          <w:kern w:val="0"/>
        </w:rPr>
        <w:t>5</w:t>
      </w:r>
      <w:r>
        <w:rPr>
          <w:kern w:val="0"/>
        </w:rPr>
        <w:t xml:space="preserve"> (1), 65-75.</w:t>
      </w:r>
    </w:p>
    <w:p w:rsidR="00C6184C" w:rsidRPr="007D79E8" w:rsidRDefault="00C6184C" w:rsidP="00C6184C">
      <w:pPr>
        <w:pStyle w:val="a0"/>
        <w:rPr>
          <w:kern w:val="0"/>
        </w:rPr>
      </w:pPr>
      <w:r w:rsidRPr="007D79E8">
        <w:rPr>
          <w:kern w:val="0"/>
        </w:rPr>
        <w:t xml:space="preserve">Full Text: </w:t>
      </w:r>
      <w:r w:rsidRPr="004D5CB4">
        <w:rPr>
          <w:kern w:val="0"/>
        </w:rPr>
        <w:t>201</w:t>
      </w:r>
      <w:r>
        <w:rPr>
          <w:rFonts w:hint="eastAsia"/>
          <w:kern w:val="0"/>
        </w:rPr>
        <w:t>1</w:t>
      </w:r>
      <w:r w:rsidRPr="004D5CB4">
        <w:rPr>
          <w:kern w:val="0"/>
        </w:rPr>
        <w:t>\</w:t>
      </w:r>
      <w:r w:rsidRPr="00BB5960">
        <w:rPr>
          <w:kern w:val="0"/>
        </w:rPr>
        <w:t>Fro Env Sci Eng Chi5, 65</w:t>
      </w:r>
      <w:r w:rsidRPr="004D5CB4">
        <w:rPr>
          <w:kern w:val="0"/>
        </w:rPr>
        <w:t>.pdf</w:t>
      </w:r>
    </w:p>
    <w:p w:rsidR="00C6184C" w:rsidRDefault="00C6184C" w:rsidP="00C6184C">
      <w:pPr>
        <w:pStyle w:val="a0"/>
        <w:rPr>
          <w:kern w:val="0"/>
        </w:rPr>
      </w:pPr>
      <w:r>
        <w:rPr>
          <w:kern w:val="0"/>
        </w:rPr>
        <w:t>Abstract: Surfactant-modified natural zeolites (SMNZ) with different coverage types were prepared by loading hexadecyltrimethyl ammonium bromide (HTAB) onto the surface of a natural zeolite. The adsorption behavior of humic acid (HA) on SMNZ was investigated. Results indicate that the adsorbent SMNZ exhibited a higher affinity toward HA than the natural zeolite. HA removal efficiency by SMNZ increased with HTAB loading. Coexisting Ca</w:t>
      </w:r>
      <w:r w:rsidRPr="003B4BA1">
        <w:rPr>
          <w:kern w:val="0"/>
          <w:vertAlign w:val="superscript"/>
        </w:rPr>
        <w:t>2+</w:t>
      </w:r>
      <w:r>
        <w:rPr>
          <w:kern w:val="0"/>
        </w:rPr>
        <w:t xml:space="preserve"> in solution favored HA adsorption </w:t>
      </w:r>
      <w:r>
        <w:rPr>
          <w:kern w:val="0"/>
        </w:rPr>
        <w:lastRenderedPageBreak/>
        <w:t>onto SMNZ. Adsorption capacity decreased with an increasing solution pH. For typical SMNZ with bilayer HTAB coverage, HA adsorption process is well described by a pseudo-second-order kinetic model. The experimental isotherm data fitted well with the Langmuir model. Calculated maximum HA adsorption capacities for SMNZ with bilayer HTAB coverage at pH 5.5</w:t>
      </w:r>
      <w:r w:rsidR="00F81221">
        <w:rPr>
          <w:kern w:val="0"/>
        </w:rPr>
        <w:t xml:space="preserve"> and </w:t>
      </w:r>
      <w:r>
        <w:rPr>
          <w:kern w:val="0"/>
        </w:rPr>
        <w:t>7.5 were 63</w:t>
      </w:r>
      <w:r w:rsidR="00F81221">
        <w:rPr>
          <w:kern w:val="0"/>
        </w:rPr>
        <w:t xml:space="preserve"> and </w:t>
      </w:r>
      <w:r>
        <w:rPr>
          <w:kern w:val="0"/>
        </w:rPr>
        <w:t>41 mg center dot g</w:t>
      </w:r>
      <w:r>
        <w:rPr>
          <w:rFonts w:hint="eastAsia"/>
          <w:kern w:val="0"/>
          <w:vertAlign w:val="superscript"/>
        </w:rPr>
        <w:t>-1</w:t>
      </w:r>
      <w:r>
        <w:rPr>
          <w:kern w:val="0"/>
        </w:rPr>
        <w:t>, respectively. E2/E3 (absorbance at 250 nm to that at 365 nm)</w:t>
      </w:r>
      <w:r w:rsidR="00F81221">
        <w:rPr>
          <w:kern w:val="0"/>
        </w:rPr>
        <w:t xml:space="preserve"> and </w:t>
      </w:r>
      <w:r>
        <w:rPr>
          <w:kern w:val="0"/>
        </w:rPr>
        <w:t>E4/E6 (absorbance at 465 nm to that at 665 nm) ratios of the residual HA in solution were lower than that of the original HA solution. This indicates that the HA fractions with high polar functional groups, low molecular weight (MW),</w:t>
      </w:r>
      <w:r w:rsidR="00F81221">
        <w:rPr>
          <w:kern w:val="0"/>
        </w:rPr>
        <w:t xml:space="preserve"> and </w:t>
      </w:r>
      <w:r>
        <w:rPr>
          <w:kern w:val="0"/>
        </w:rPr>
        <w:t>aromaticity had a stronger tendency for adsorption onto SMNZ with bilayer HTAB coverage. Results show that HTAB-modified natural zeolite is a promising adsorbent for removal of HA from aqueous solution.</w:t>
      </w:r>
    </w:p>
    <w:p w:rsidR="00C6184C" w:rsidRDefault="00C6184C" w:rsidP="00C6184C">
      <w:pPr>
        <w:pStyle w:val="a0"/>
        <w:rPr>
          <w:kern w:val="0"/>
        </w:rPr>
      </w:pPr>
      <w:r>
        <w:rPr>
          <w:kern w:val="0"/>
        </w:rPr>
        <w:t>Keywords: Adsorption, Bentonite, Bilayer Surfactant-Modified Zeolite, Carbon, Chitosan, Coagulation, Drinking-Water, Fulvic-Acid, Hexadecyltrimethyl Ammonium Bromide (HTAB), Humic Acid (HA), Kinetic Model, Langmuir, pH, Removal, Sorption, Substances, Surfactant-Modified Zeolite</w:t>
      </w:r>
    </w:p>
    <w:p w:rsidR="00487EA2" w:rsidRPr="00217FB1" w:rsidRDefault="00487EA2" w:rsidP="00487EA2">
      <w:pPr>
        <w:pStyle w:val="1"/>
      </w:pPr>
      <w:r w:rsidRPr="00217FB1">
        <w:br w:type="page"/>
      </w:r>
      <w:bookmarkStart w:id="162" w:name="_Toc317160871"/>
      <w:r w:rsidRPr="00217FB1">
        <w:lastRenderedPageBreak/>
        <w:t xml:space="preserve">Title: </w:t>
      </w:r>
      <w:r w:rsidRPr="00824163">
        <w:rPr>
          <w:iCs/>
          <w:szCs w:val="24"/>
        </w:rPr>
        <w:t>Fruits</w:t>
      </w:r>
      <w:bookmarkEnd w:id="162"/>
    </w:p>
    <w:p w:rsidR="00487EA2" w:rsidRPr="00217FB1" w:rsidRDefault="00487EA2" w:rsidP="00B72EF9">
      <w:pPr>
        <w:pStyle w:val="12"/>
      </w:pPr>
      <w:r w:rsidRPr="00217FB1">
        <w:t xml:space="preserve">Full Journal Title: </w:t>
      </w:r>
      <w:r w:rsidRPr="00824163">
        <w:rPr>
          <w:iCs/>
        </w:rPr>
        <w:t>Fruits</w:t>
      </w:r>
    </w:p>
    <w:p w:rsidR="00487EA2" w:rsidRPr="00217FB1" w:rsidRDefault="00487EA2" w:rsidP="00B72EF9">
      <w:pPr>
        <w:pStyle w:val="12"/>
      </w:pPr>
      <w:r w:rsidRPr="00217FB1">
        <w:t xml:space="preserve">ISO Abbreviated Title: </w:t>
      </w:r>
      <w:r w:rsidRPr="00824163">
        <w:rPr>
          <w:iCs/>
        </w:rPr>
        <w:t>Fruits</w:t>
      </w:r>
    </w:p>
    <w:p w:rsidR="00487EA2" w:rsidRPr="00217FB1" w:rsidRDefault="00487EA2" w:rsidP="00B72EF9">
      <w:pPr>
        <w:pStyle w:val="12"/>
      </w:pPr>
      <w:r w:rsidRPr="00217FB1">
        <w:t>JCR Abbreviated Title</w:t>
      </w:r>
      <w:r>
        <w:t>:</w:t>
      </w:r>
      <w:r w:rsidRPr="00217FB1">
        <w:t xml:space="preserve"> </w:t>
      </w:r>
      <w:r w:rsidRPr="00824163">
        <w:rPr>
          <w:iCs/>
        </w:rPr>
        <w:t>Fruits</w:t>
      </w:r>
    </w:p>
    <w:p w:rsidR="00487EA2" w:rsidRPr="00217FB1" w:rsidRDefault="00487EA2" w:rsidP="00B72EF9">
      <w:pPr>
        <w:pStyle w:val="12"/>
      </w:pPr>
      <w:r w:rsidRPr="00217FB1">
        <w:t xml:space="preserve">ISSN: </w:t>
      </w:r>
    </w:p>
    <w:p w:rsidR="00487EA2" w:rsidRPr="00217FB1" w:rsidRDefault="00487EA2" w:rsidP="00B72EF9">
      <w:pPr>
        <w:pStyle w:val="12"/>
      </w:pPr>
      <w:r w:rsidRPr="00217FB1">
        <w:t xml:space="preserve">Issues/Year: </w:t>
      </w:r>
    </w:p>
    <w:p w:rsidR="00487EA2" w:rsidRPr="00217FB1" w:rsidRDefault="00487EA2" w:rsidP="00B72EF9">
      <w:pPr>
        <w:pStyle w:val="12"/>
      </w:pPr>
      <w:r>
        <w:t xml:space="preserve">Journal Country/Territory: </w:t>
      </w:r>
    </w:p>
    <w:p w:rsidR="00487EA2" w:rsidRPr="00217FB1" w:rsidRDefault="00487EA2" w:rsidP="00B72EF9">
      <w:pPr>
        <w:pStyle w:val="12"/>
      </w:pPr>
      <w:r w:rsidRPr="00217FB1">
        <w:t>Language:</w:t>
      </w:r>
    </w:p>
    <w:p w:rsidR="00487EA2" w:rsidRPr="00217FB1" w:rsidRDefault="00487EA2" w:rsidP="00B72EF9">
      <w:pPr>
        <w:pStyle w:val="12"/>
      </w:pPr>
      <w:r w:rsidRPr="00217FB1">
        <w:t xml:space="preserve">Publisher: </w:t>
      </w:r>
    </w:p>
    <w:p w:rsidR="00487EA2" w:rsidRPr="00217FB1" w:rsidRDefault="00487EA2" w:rsidP="00B72EF9">
      <w:pPr>
        <w:pStyle w:val="12"/>
      </w:pPr>
      <w:r w:rsidRPr="00217FB1">
        <w:t xml:space="preserve">Publisher Address: </w:t>
      </w:r>
    </w:p>
    <w:p w:rsidR="00487EA2" w:rsidRPr="00217FB1" w:rsidRDefault="00487EA2" w:rsidP="00B72EF9">
      <w:pPr>
        <w:pStyle w:val="12"/>
      </w:pPr>
      <w:r w:rsidRPr="00217FB1">
        <w:t>Subject Categories:</w:t>
      </w:r>
    </w:p>
    <w:p w:rsidR="00487EA2" w:rsidRPr="00217FB1" w:rsidRDefault="00487EA2" w:rsidP="00B72EF9">
      <w:pPr>
        <w:pStyle w:val="12"/>
      </w:pPr>
      <w:r w:rsidRPr="00217FB1">
        <w:t xml:space="preserve">: Impact Factor </w:t>
      </w:r>
    </w:p>
    <w:p w:rsidR="00487EA2" w:rsidRDefault="00487EA2" w:rsidP="00487EA2">
      <w:pPr>
        <w:pStyle w:val="a0"/>
        <w:rPr>
          <w:kern w:val="0"/>
          <w:szCs w:val="24"/>
        </w:rPr>
      </w:pPr>
      <w:r>
        <w:rPr>
          <w:rFonts w:hint="eastAsia"/>
          <w:kern w:val="0"/>
          <w:szCs w:val="24"/>
        </w:rPr>
        <w:t xml:space="preserve">? </w:t>
      </w:r>
      <w:r>
        <w:rPr>
          <w:kern w:val="0"/>
          <w:szCs w:val="24"/>
        </w:rPr>
        <w:t>Leiser, H., Aventurier, P., Fournier, D., Dosba, F.</w:t>
      </w:r>
      <w:r w:rsidR="00F81221">
        <w:rPr>
          <w:kern w:val="0"/>
          <w:szCs w:val="24"/>
        </w:rPr>
        <w:t xml:space="preserve"> and </w:t>
      </w:r>
      <w:r>
        <w:rPr>
          <w:kern w:val="0"/>
          <w:szCs w:val="24"/>
        </w:rPr>
        <w:t>Jeannequin, B. (2009), Tools for producing indicators from a bibliometric study of scientific production: The case of fruit</w:t>
      </w:r>
      <w:r w:rsidR="00F81221">
        <w:rPr>
          <w:kern w:val="0"/>
          <w:szCs w:val="24"/>
        </w:rPr>
        <w:t xml:space="preserve"> and </w:t>
      </w:r>
      <w:r>
        <w:rPr>
          <w:kern w:val="0"/>
          <w:szCs w:val="24"/>
        </w:rPr>
        <w:t xml:space="preserve">vegetable publications by the French National Institute for Agricultural Research (INRA). </w:t>
      </w:r>
      <w:r w:rsidRPr="00824163">
        <w:rPr>
          <w:i/>
          <w:iCs/>
          <w:kern w:val="0"/>
          <w:szCs w:val="24"/>
        </w:rPr>
        <w:t>Fruits</w:t>
      </w:r>
      <w:r>
        <w:rPr>
          <w:kern w:val="0"/>
          <w:szCs w:val="24"/>
        </w:rPr>
        <w:t xml:space="preserve">, </w:t>
      </w:r>
      <w:r>
        <w:rPr>
          <w:b/>
          <w:bCs/>
          <w:kern w:val="0"/>
          <w:szCs w:val="24"/>
        </w:rPr>
        <w:t>64</w:t>
      </w:r>
      <w:r>
        <w:rPr>
          <w:kern w:val="0"/>
          <w:szCs w:val="24"/>
        </w:rPr>
        <w:t xml:space="preserve"> (5), 305-312.</w:t>
      </w:r>
    </w:p>
    <w:p w:rsidR="00487EA2" w:rsidRDefault="00487EA2" w:rsidP="00487EA2">
      <w:pPr>
        <w:pStyle w:val="a0"/>
        <w:rPr>
          <w:kern w:val="0"/>
          <w:szCs w:val="24"/>
        </w:rPr>
      </w:pPr>
      <w:r>
        <w:rPr>
          <w:rFonts w:hint="eastAsia"/>
          <w:kern w:val="0"/>
          <w:szCs w:val="24"/>
        </w:rPr>
        <w:t xml:space="preserve">Full Text: </w:t>
      </w:r>
      <w:hyperlink r:id="rId222" w:history="1">
        <w:r w:rsidRPr="00487EA2">
          <w:rPr>
            <w:rStyle w:val="a5"/>
            <w:kern w:val="0"/>
            <w:szCs w:val="24"/>
          </w:rPr>
          <w:t>2009\Fruits64, 305.pdf</w:t>
        </w:r>
      </w:hyperlink>
    </w:p>
    <w:p w:rsidR="00487EA2" w:rsidRDefault="00487EA2" w:rsidP="00487EA2">
      <w:pPr>
        <w:pStyle w:val="a0"/>
        <w:rPr>
          <w:kern w:val="0"/>
          <w:szCs w:val="24"/>
        </w:rPr>
      </w:pPr>
      <w:r>
        <w:rPr>
          <w:kern w:val="0"/>
          <w:szCs w:val="24"/>
        </w:rPr>
        <w:t>Abstract: Introduction. The fruit</w:t>
      </w:r>
      <w:r w:rsidR="00F81221">
        <w:rPr>
          <w:kern w:val="0"/>
          <w:szCs w:val="24"/>
        </w:rPr>
        <w:t xml:space="preserve"> and </w:t>
      </w:r>
      <w:r>
        <w:rPr>
          <w:kern w:val="0"/>
          <w:szCs w:val="24"/>
        </w:rPr>
        <w:t>vegetable sector group of the French National Institute for Agricultural Research (INRA) undertook a bibliometric analysis of INRA scientific academic literature on fruits</w:t>
      </w:r>
      <w:r w:rsidR="00F81221">
        <w:rPr>
          <w:kern w:val="0"/>
          <w:szCs w:val="24"/>
        </w:rPr>
        <w:t xml:space="preserve"> and </w:t>
      </w:r>
      <w:r>
        <w:rPr>
          <w:kern w:val="0"/>
          <w:szCs w:val="24"/>
        </w:rPr>
        <w:t>vegetables for the 2000-2006 period. This study made it possible to produce quantitative</w:t>
      </w:r>
      <w:r w:rsidR="00F81221">
        <w:rPr>
          <w:kern w:val="0"/>
          <w:szCs w:val="24"/>
        </w:rPr>
        <w:t xml:space="preserve"> and </w:t>
      </w:r>
      <w:r>
        <w:rPr>
          <w:kern w:val="0"/>
          <w:szCs w:val="24"/>
        </w:rPr>
        <w:t>qualitative indicators that will shed light on the institute</w:t>
      </w:r>
      <w:r w:rsidR="000352E7">
        <w:rPr>
          <w:kern w:val="0"/>
          <w:szCs w:val="24"/>
        </w:rPr>
        <w:t>’</w:t>
      </w:r>
      <w:r>
        <w:rPr>
          <w:kern w:val="0"/>
          <w:szCs w:val="24"/>
        </w:rPr>
        <w:t>s scientific position in relation to the fruit</w:t>
      </w:r>
      <w:r w:rsidR="00F81221">
        <w:rPr>
          <w:kern w:val="0"/>
          <w:szCs w:val="24"/>
        </w:rPr>
        <w:t xml:space="preserve"> and </w:t>
      </w:r>
      <w:r>
        <w:rPr>
          <w:kern w:val="0"/>
          <w:szCs w:val="24"/>
        </w:rPr>
        <w:t>vegetable sectors. Materials</w:t>
      </w:r>
      <w:r w:rsidR="00F81221">
        <w:rPr>
          <w:kern w:val="0"/>
          <w:szCs w:val="24"/>
        </w:rPr>
        <w:t xml:space="preserve"> and </w:t>
      </w:r>
      <w:r>
        <w:rPr>
          <w:kern w:val="0"/>
          <w:szCs w:val="24"/>
        </w:rPr>
        <w:t>methods. Different steps were taken to constitute</w:t>
      </w:r>
      <w:r w:rsidR="00F81221">
        <w:rPr>
          <w:kern w:val="0"/>
          <w:szCs w:val="24"/>
        </w:rPr>
        <w:t xml:space="preserve"> and </w:t>
      </w:r>
      <w:r>
        <w:rPr>
          <w:kern w:val="0"/>
          <w:szCs w:val="24"/>
        </w:rPr>
        <w:t>process a corpus of INRA researcher publication data. The citation corpus gathering bibliographic data was constituted using the Web of Science. The Sphinx data processing program allowed the constituted databases to be structured</w:t>
      </w:r>
      <w:r w:rsidR="00F81221">
        <w:rPr>
          <w:kern w:val="0"/>
          <w:szCs w:val="24"/>
        </w:rPr>
        <w:t xml:space="preserve"> and </w:t>
      </w:r>
      <w:r>
        <w:rPr>
          <w:kern w:val="0"/>
          <w:szCs w:val="24"/>
        </w:rPr>
        <w:t>manipulated. Results. After the data were cleaned, there was a total of 1463 articles published by INRA authors between 2000</w:t>
      </w:r>
      <w:r w:rsidR="00F81221">
        <w:rPr>
          <w:kern w:val="0"/>
          <w:szCs w:val="24"/>
        </w:rPr>
        <w:t xml:space="preserve"> and </w:t>
      </w:r>
      <w:r>
        <w:rPr>
          <w:kern w:val="0"/>
          <w:szCs w:val="24"/>
        </w:rPr>
        <w:t xml:space="preserve">2006; this constituted the </w:t>
      </w:r>
      <w:r w:rsidR="000352E7">
        <w:rPr>
          <w:kern w:val="0"/>
          <w:szCs w:val="24"/>
        </w:rPr>
        <w:t>“</w:t>
      </w:r>
      <w:r>
        <w:rPr>
          <w:kern w:val="0"/>
          <w:szCs w:val="24"/>
        </w:rPr>
        <w:t>fruit</w:t>
      </w:r>
      <w:r w:rsidR="00F81221">
        <w:rPr>
          <w:kern w:val="0"/>
          <w:szCs w:val="24"/>
        </w:rPr>
        <w:t xml:space="preserve"> and </w:t>
      </w:r>
      <w:r>
        <w:rPr>
          <w:kern w:val="0"/>
          <w:szCs w:val="24"/>
        </w:rPr>
        <w:t>vegetable corpus</w:t>
      </w:r>
      <w:r w:rsidR="000352E7">
        <w:rPr>
          <w:kern w:val="0"/>
          <w:szCs w:val="24"/>
        </w:rPr>
        <w:t>”</w:t>
      </w:r>
      <w:r>
        <w:rPr>
          <w:kern w:val="0"/>
          <w:szCs w:val="24"/>
        </w:rPr>
        <w:t xml:space="preserve"> studied, which represented 8% of the total number of INRA publications during this period. The typology of fruits</w:t>
      </w:r>
      <w:r w:rsidR="00F81221">
        <w:rPr>
          <w:kern w:val="0"/>
          <w:szCs w:val="24"/>
        </w:rPr>
        <w:t xml:space="preserve"> and </w:t>
      </w:r>
      <w:r>
        <w:rPr>
          <w:kern w:val="0"/>
          <w:szCs w:val="24"/>
        </w:rPr>
        <w:t>vegetables studied at INRA, the INRA research centres involved, the main subjects addressed by INRA research divisions</w:t>
      </w:r>
      <w:r w:rsidR="00F81221">
        <w:rPr>
          <w:kern w:val="0"/>
          <w:szCs w:val="24"/>
        </w:rPr>
        <w:t xml:space="preserve"> and </w:t>
      </w:r>
      <w:r>
        <w:rPr>
          <w:kern w:val="0"/>
          <w:szCs w:val="24"/>
        </w:rPr>
        <w:t>the national</w:t>
      </w:r>
      <w:r w:rsidR="00F81221">
        <w:rPr>
          <w:kern w:val="0"/>
          <w:szCs w:val="24"/>
        </w:rPr>
        <w:t xml:space="preserve"> and </w:t>
      </w:r>
      <w:r>
        <w:rPr>
          <w:kern w:val="0"/>
          <w:szCs w:val="24"/>
        </w:rPr>
        <w:t>international partnerships of INRA authors were analysed. Conclusion. The analysis presented highlights the overall magnitude of research dedicated to fruits</w:t>
      </w:r>
      <w:r w:rsidR="00F81221">
        <w:rPr>
          <w:kern w:val="0"/>
          <w:szCs w:val="24"/>
        </w:rPr>
        <w:t xml:space="preserve"> and </w:t>
      </w:r>
      <w:r>
        <w:rPr>
          <w:kern w:val="0"/>
          <w:szCs w:val="24"/>
        </w:rPr>
        <w:t>vegetables at INRA. This research is undertaken in the principal research centres of horticulture and/or fruit regions, with a high level of involvement of Southeast centres of France. Partnerships with other French</w:t>
      </w:r>
      <w:r w:rsidR="00F81221">
        <w:rPr>
          <w:kern w:val="0"/>
          <w:szCs w:val="24"/>
        </w:rPr>
        <w:t xml:space="preserve"> and </w:t>
      </w:r>
      <w:r>
        <w:rPr>
          <w:kern w:val="0"/>
          <w:szCs w:val="24"/>
        </w:rPr>
        <w:t xml:space="preserve">foreign organisations are numerous. This assessment allows an understanding of the </w:t>
      </w:r>
      <w:r>
        <w:rPr>
          <w:kern w:val="0"/>
          <w:szCs w:val="24"/>
        </w:rPr>
        <w:lastRenderedPageBreak/>
        <w:t>rapid evolution of research that has occurred over the past several years in the fruit</w:t>
      </w:r>
      <w:r w:rsidR="00F81221">
        <w:rPr>
          <w:kern w:val="0"/>
          <w:szCs w:val="24"/>
        </w:rPr>
        <w:t xml:space="preserve"> and </w:t>
      </w:r>
      <w:r>
        <w:rPr>
          <w:kern w:val="0"/>
          <w:szCs w:val="24"/>
        </w:rPr>
        <w:t>vegetable field, notably the growing involvement of nutrition</w:t>
      </w:r>
      <w:r w:rsidR="00F81221">
        <w:rPr>
          <w:kern w:val="0"/>
          <w:szCs w:val="24"/>
        </w:rPr>
        <w:t xml:space="preserve"> and </w:t>
      </w:r>
      <w:r>
        <w:rPr>
          <w:kern w:val="0"/>
          <w:szCs w:val="24"/>
        </w:rPr>
        <w:t>consumer sciences. The development of multi-disciplinary</w:t>
      </w:r>
      <w:r w:rsidR="00F81221">
        <w:rPr>
          <w:kern w:val="0"/>
          <w:szCs w:val="24"/>
        </w:rPr>
        <w:t xml:space="preserve"> and </w:t>
      </w:r>
      <w:r>
        <w:rPr>
          <w:kern w:val="0"/>
          <w:szCs w:val="24"/>
        </w:rPr>
        <w:t>integrated approaches must also be emphasised.</w:t>
      </w:r>
    </w:p>
    <w:p w:rsidR="00487EA2" w:rsidRDefault="00487EA2" w:rsidP="00487EA2">
      <w:pPr>
        <w:pStyle w:val="a0"/>
        <w:rPr>
          <w:kern w:val="0"/>
          <w:szCs w:val="24"/>
        </w:rPr>
      </w:pPr>
      <w:r>
        <w:rPr>
          <w:kern w:val="0"/>
          <w:szCs w:val="24"/>
        </w:rPr>
        <w:t>Keywords: Bibliometric Analysis, Bibliometrics, Data Collection, France, Fruits, Information Processing, Information Science, Public Research, Research, Research Institutions, Scientific Production, Vegetables</w:t>
      </w:r>
    </w:p>
    <w:p w:rsidR="003D5623" w:rsidRDefault="003D5623" w:rsidP="003D5623">
      <w:pPr>
        <w:pStyle w:val="a0"/>
        <w:rPr>
          <w:kern w:val="0"/>
        </w:rPr>
      </w:pPr>
      <w:r>
        <w:rPr>
          <w:rFonts w:hint="eastAsia"/>
          <w:kern w:val="0"/>
        </w:rPr>
        <w:t xml:space="preserve">? </w:t>
      </w:r>
      <w:r>
        <w:rPr>
          <w:kern w:val="0"/>
        </w:rPr>
        <w:t>Tatry, M.V., Fournier, D., Jeannequin, B.</w:t>
      </w:r>
      <w:r w:rsidR="00F81221">
        <w:rPr>
          <w:kern w:val="0"/>
        </w:rPr>
        <w:t xml:space="preserve"> and </w:t>
      </w:r>
      <w:r>
        <w:rPr>
          <w:kern w:val="0"/>
        </w:rPr>
        <w:t>Dosba, F. (2011), Tools for analyzing</w:t>
      </w:r>
      <w:r w:rsidR="00F81221">
        <w:rPr>
          <w:kern w:val="0"/>
        </w:rPr>
        <w:t xml:space="preserve"> and </w:t>
      </w:r>
      <w:r>
        <w:rPr>
          <w:kern w:val="0"/>
        </w:rPr>
        <w:t>mapping scholarly publications not indexed by the Web of Science: The case of fruit</w:t>
      </w:r>
      <w:r w:rsidR="00F81221">
        <w:rPr>
          <w:kern w:val="0"/>
        </w:rPr>
        <w:t xml:space="preserve"> and </w:t>
      </w:r>
      <w:r>
        <w:rPr>
          <w:kern w:val="0"/>
        </w:rPr>
        <w:t xml:space="preserve">vegetable publications by the French National Institute for Agricultural Research (INRA). </w:t>
      </w:r>
      <w:r>
        <w:rPr>
          <w:i/>
          <w:iCs/>
          <w:kern w:val="0"/>
        </w:rPr>
        <w:t>Fruits</w:t>
      </w:r>
      <w:r>
        <w:rPr>
          <w:kern w:val="0"/>
        </w:rPr>
        <w:t xml:space="preserve">, </w:t>
      </w:r>
      <w:r>
        <w:rPr>
          <w:b/>
          <w:bCs/>
          <w:kern w:val="0"/>
        </w:rPr>
        <w:t>66</w:t>
      </w:r>
      <w:r>
        <w:rPr>
          <w:kern w:val="0"/>
        </w:rPr>
        <w:t xml:space="preserve"> (2), 131-140.</w:t>
      </w:r>
    </w:p>
    <w:p w:rsidR="003D5623" w:rsidRDefault="003D5623" w:rsidP="003D5623">
      <w:pPr>
        <w:pStyle w:val="a0"/>
        <w:rPr>
          <w:kern w:val="0"/>
          <w:szCs w:val="24"/>
        </w:rPr>
      </w:pPr>
      <w:r>
        <w:rPr>
          <w:rFonts w:hint="eastAsia"/>
          <w:kern w:val="0"/>
          <w:szCs w:val="24"/>
        </w:rPr>
        <w:t xml:space="preserve">Full Text: </w:t>
      </w:r>
      <w:hyperlink r:id="rId223" w:history="1">
        <w:r w:rsidRPr="00B50E71">
          <w:rPr>
            <w:rStyle w:val="a5"/>
            <w:kern w:val="0"/>
            <w:szCs w:val="24"/>
          </w:rPr>
          <w:t>2011\Fruits66, 131.pdf</w:t>
        </w:r>
      </w:hyperlink>
    </w:p>
    <w:p w:rsidR="003D5623" w:rsidRDefault="003D5623" w:rsidP="003D5623">
      <w:pPr>
        <w:pStyle w:val="a0"/>
        <w:rPr>
          <w:kern w:val="0"/>
        </w:rPr>
      </w:pPr>
      <w:r>
        <w:rPr>
          <w:kern w:val="0"/>
        </w:rPr>
        <w:t>Abstract: Introduction. The fruit</w:t>
      </w:r>
      <w:r w:rsidR="00F81221">
        <w:rPr>
          <w:kern w:val="0"/>
        </w:rPr>
        <w:t xml:space="preserve"> and </w:t>
      </w:r>
      <w:r>
        <w:rPr>
          <w:kern w:val="0"/>
        </w:rPr>
        <w:t>vegetable sector group of the French National Institute for Agricultural Research (INRA) carried out a bibliometric analysis of INRA publications on fruits</w:t>
      </w:r>
      <w:r w:rsidR="00F81221">
        <w:rPr>
          <w:kern w:val="0"/>
        </w:rPr>
        <w:t xml:space="preserve"> and </w:t>
      </w:r>
      <w:r>
        <w:rPr>
          <w:kern w:val="0"/>
        </w:rPr>
        <w:t>vegetables produced between 2002</w:t>
      </w:r>
      <w:r w:rsidR="00F81221">
        <w:rPr>
          <w:kern w:val="0"/>
        </w:rPr>
        <w:t xml:space="preserve"> and </w:t>
      </w:r>
      <w:r>
        <w:rPr>
          <w:kern w:val="0"/>
        </w:rPr>
        <w:t>2006. While a previous study focused on scientific publications indexed by the Web of Science, this study took into account the remaining INRA publications, i.e., gray literature, technical papers</w:t>
      </w:r>
      <w:r w:rsidR="00F81221">
        <w:rPr>
          <w:kern w:val="0"/>
        </w:rPr>
        <w:t xml:space="preserve"> and </w:t>
      </w:r>
      <w:r>
        <w:rPr>
          <w:kern w:val="0"/>
        </w:rPr>
        <w:t>scientific papers not indexed by the Web of Science. Materials</w:t>
      </w:r>
      <w:r w:rsidR="00F81221">
        <w:rPr>
          <w:kern w:val="0"/>
        </w:rPr>
        <w:t xml:space="preserve"> and </w:t>
      </w:r>
      <w:r>
        <w:rPr>
          <w:kern w:val="0"/>
        </w:rPr>
        <w:t>methods. Different steps were taken to constitute</w:t>
      </w:r>
      <w:r w:rsidR="00F81221">
        <w:rPr>
          <w:kern w:val="0"/>
        </w:rPr>
        <w:t xml:space="preserve"> and </w:t>
      </w:r>
      <w:r>
        <w:rPr>
          <w:kern w:val="0"/>
        </w:rPr>
        <w:t>process a corpus of INRA researchers</w:t>
      </w:r>
      <w:r w:rsidR="000352E7">
        <w:rPr>
          <w:kern w:val="0"/>
        </w:rPr>
        <w:t>’</w:t>
      </w:r>
      <w:r>
        <w:rPr>
          <w:kern w:val="0"/>
        </w:rPr>
        <w:t xml:space="preserve"> publication data. The citation corpus gathering bibliographic data was mainly constituted using the INRA institutional repository (ProdINRA). To ensure exhaustivity, a survey was carried out to collect INRA researchers</w:t>
      </w:r>
      <w:r w:rsidR="000352E7">
        <w:rPr>
          <w:kern w:val="0"/>
        </w:rPr>
        <w:t>’</w:t>
      </w:r>
      <w:r>
        <w:rPr>
          <w:kern w:val="0"/>
        </w:rPr>
        <w:t xml:space="preserve"> publications. Due to the different types of publications involved, we had to develop an original method to constitute a complete database which could allow bibliometric analysis. The Sphinx Plus(2) Survey program was used to analyze publications</w:t>
      </w:r>
      <w:r w:rsidR="00F81221">
        <w:rPr>
          <w:kern w:val="0"/>
        </w:rPr>
        <w:t xml:space="preserve"> and </w:t>
      </w:r>
      <w:r>
        <w:rPr>
          <w:kern w:val="0"/>
        </w:rPr>
        <w:t>Pajek software was used to visualize networks. Results. A total of 2,224 publications were authored by INRA between 2002</w:t>
      </w:r>
      <w:r w:rsidR="00F81221">
        <w:rPr>
          <w:kern w:val="0"/>
        </w:rPr>
        <w:t xml:space="preserve"> and </w:t>
      </w:r>
      <w:r>
        <w:rPr>
          <w:kern w:val="0"/>
        </w:rPr>
        <w:t>2006. We analyzed the typology of fruits</w:t>
      </w:r>
      <w:r w:rsidR="00F81221">
        <w:rPr>
          <w:kern w:val="0"/>
        </w:rPr>
        <w:t xml:space="preserve"> and </w:t>
      </w:r>
      <w:r>
        <w:rPr>
          <w:kern w:val="0"/>
        </w:rPr>
        <w:t>vegetables studied at INRA, the INRA research centers</w:t>
      </w:r>
      <w:r w:rsidR="00F81221">
        <w:rPr>
          <w:kern w:val="0"/>
        </w:rPr>
        <w:t xml:space="preserve"> and </w:t>
      </w:r>
      <w:r>
        <w:rPr>
          <w:kern w:val="0"/>
        </w:rPr>
        <w:t>research divisions involved, the main research topics,</w:t>
      </w:r>
      <w:r w:rsidR="00F81221">
        <w:rPr>
          <w:kern w:val="0"/>
        </w:rPr>
        <w:t xml:space="preserve"> and </w:t>
      </w:r>
      <w:r>
        <w:rPr>
          <w:kern w:val="0"/>
        </w:rPr>
        <w:t>the national</w:t>
      </w:r>
      <w:r w:rsidR="00F81221">
        <w:rPr>
          <w:kern w:val="0"/>
        </w:rPr>
        <w:t xml:space="preserve"> and </w:t>
      </w:r>
      <w:r>
        <w:rPr>
          <w:kern w:val="0"/>
        </w:rPr>
        <w:t>international partners of INRA authors. Graphic visualizations allowed an attractive presentation of relationships between authors within</w:t>
      </w:r>
      <w:r w:rsidR="00F81221">
        <w:rPr>
          <w:kern w:val="0"/>
        </w:rPr>
        <w:t xml:space="preserve"> and </w:t>
      </w:r>
      <w:r>
        <w:rPr>
          <w:kern w:val="0"/>
        </w:rPr>
        <w:t>outside INRA. Conclusion. This study led to the mapping of INRA fruit</w:t>
      </w:r>
      <w:r w:rsidR="00F81221">
        <w:rPr>
          <w:kern w:val="0"/>
        </w:rPr>
        <w:t xml:space="preserve"> and </w:t>
      </w:r>
      <w:r>
        <w:rPr>
          <w:kern w:val="0"/>
        </w:rPr>
        <w:t>vegetable research publications. It confirmed that INRA plays an active role in the field of fruit</w:t>
      </w:r>
      <w:r w:rsidR="00F81221">
        <w:rPr>
          <w:kern w:val="0"/>
        </w:rPr>
        <w:t xml:space="preserve"> and </w:t>
      </w:r>
      <w:r>
        <w:rPr>
          <w:kern w:val="0"/>
        </w:rPr>
        <w:t>vegetable research. French research is carried out in the main INRA research centers located in horticultural and/or fruit regions, particularly in South-Eastern France. Despite the fact that the nature of these publications provides less opportunity for co-publication, this study highlights the relationships between INRA</w:t>
      </w:r>
      <w:r w:rsidR="00F81221">
        <w:rPr>
          <w:kern w:val="0"/>
        </w:rPr>
        <w:t xml:space="preserve"> and </w:t>
      </w:r>
      <w:r>
        <w:rPr>
          <w:kern w:val="0"/>
        </w:rPr>
        <w:t>French partners or foreign countries.</w:t>
      </w:r>
    </w:p>
    <w:p w:rsidR="003D5623" w:rsidRDefault="003D5623" w:rsidP="003D5623">
      <w:pPr>
        <w:pStyle w:val="a0"/>
        <w:rPr>
          <w:kern w:val="0"/>
        </w:rPr>
      </w:pPr>
      <w:r>
        <w:rPr>
          <w:kern w:val="0"/>
        </w:rPr>
        <w:t xml:space="preserve">Keywords: Analysis, Authors, Bibliometric, Bibliometric Analysis, Bibliometrics, Citation, Data, Data Collection, Database, Field, France, Fruits, Gray Literature, </w:t>
      </w:r>
      <w:r>
        <w:rPr>
          <w:kern w:val="0"/>
        </w:rPr>
        <w:lastRenderedPageBreak/>
        <w:t>Information Processing, Information Science, International, Literature, Mapping, Mar, Methods, Networks, Papers, Partnerships, Presentation, Publication, Publications, Research, Research Centers, Research Institutions, Role, Science, Scientific Production, Scientific Publications, Sector, Software, Survey, Vegetables, Web of Science</w:t>
      </w:r>
    </w:p>
    <w:p w:rsidR="00B95188" w:rsidRPr="00A428C3" w:rsidRDefault="00B95188" w:rsidP="00B95188">
      <w:pPr>
        <w:pStyle w:val="1"/>
      </w:pPr>
      <w:r w:rsidRPr="00A428C3">
        <w:br w:type="page"/>
      </w:r>
      <w:bookmarkStart w:id="163" w:name="_Toc186647691"/>
      <w:bookmarkStart w:id="164" w:name="_Toc317160872"/>
      <w:r w:rsidRPr="00A428C3">
        <w:lastRenderedPageBreak/>
        <w:t xml:space="preserve">Title: </w:t>
      </w:r>
      <w:r w:rsidRPr="00A428C3">
        <w:rPr>
          <w:iCs/>
        </w:rPr>
        <w:t>Fudan Xuebao (Yixuekexueban)</w:t>
      </w:r>
      <w:bookmarkEnd w:id="163"/>
      <w:bookmarkEnd w:id="164"/>
    </w:p>
    <w:p w:rsidR="00B95188" w:rsidRPr="00A428C3" w:rsidRDefault="00B95188" w:rsidP="00B72EF9">
      <w:pPr>
        <w:pStyle w:val="12"/>
      </w:pPr>
      <w:r w:rsidRPr="00A428C3">
        <w:t>Full Journal Title: Fudan Xuebao (Yixuekexueban)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Language:</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Shi, W., Wang, Y., Li, D., Li, S., Yan, M., Chen, B.</w:t>
      </w:r>
      <w:r w:rsidR="00F81221">
        <w:t xml:space="preserve"> and </w:t>
      </w:r>
      <w:r w:rsidRPr="00A428C3">
        <w:t xml:space="preserve">Cheng, N. (2004), Analysis of adverse drug reaction of NSAIDs reported in domestic medical journals within past 43 years. </w:t>
      </w:r>
      <w:r w:rsidRPr="00A428C3">
        <w:rPr>
          <w:i/>
          <w:iCs/>
        </w:rPr>
        <w:t>Fudan Xuebao (Yixuekexueban)</w:t>
      </w:r>
      <w:r w:rsidRPr="00A428C3">
        <w:t xml:space="preserve">, </w:t>
      </w:r>
      <w:r w:rsidRPr="00A428C3">
        <w:rPr>
          <w:b/>
        </w:rPr>
        <w:t>31</w:t>
      </w:r>
      <w:r w:rsidRPr="00A428C3">
        <w:t xml:space="preserve"> (5), 527-531.</w:t>
      </w:r>
    </w:p>
    <w:p w:rsidR="00B95188" w:rsidRPr="00A428C3" w:rsidRDefault="00B95188" w:rsidP="00B95188">
      <w:pPr>
        <w:pStyle w:val="a0"/>
      </w:pPr>
      <w:r w:rsidRPr="00A428C3">
        <w:t>Abstract: Purpose To explore the rules</w:t>
      </w:r>
      <w:r w:rsidR="00F81221">
        <w:t xml:space="preserve"> and </w:t>
      </w:r>
      <w:r w:rsidRPr="00A428C3">
        <w:t>characteristics of adverse drug reaction(ADR) of nonsteroidal anti-inflammatory drugs(NSAIDs). Methods A metrological analysis was conducted on data of ADR of analgesics from Chinese medical journal reports in past 43 years. All reports were evaluated according to the ADR guidance of state food</w:t>
      </w:r>
      <w:r w:rsidR="00F81221">
        <w:t xml:space="preserve"> and </w:t>
      </w:r>
      <w:r w:rsidRPr="00A428C3">
        <w:t>drug administration bureau (SFDA). Results The amounts of ADR were not statistically different among groups of different sex</w:t>
      </w:r>
      <w:r w:rsidR="00F81221">
        <w:t xml:space="preserve"> and </w:t>
      </w:r>
      <w:r w:rsidRPr="00A428C3">
        <w:t>age strata. The ADRs commonly appeared within 3 months after taken medicine. Gastrointestinal reactions was the most frequent injured. Followed were skin injury, respiratory system injury, nervous system injury</w:t>
      </w:r>
      <w:r w:rsidR="00F81221">
        <w:t xml:space="preserve"> and </w:t>
      </w:r>
      <w:r w:rsidRPr="00A428C3">
        <w:t>hepototoxicity. The outcome of ADR was well, 98.3% patients could fay recover or improve, but also quite a number of patients left sequela or death. Conclusions NSAIDs are widely used in clinical therapy</w:t>
      </w:r>
      <w:r w:rsidR="00F81221">
        <w:t xml:space="preserve"> and </w:t>
      </w:r>
      <w:r w:rsidRPr="00A428C3">
        <w:t>their ADR is comprehensive. Some of them belong to over the counter (OTC) drugs, so it is important to enhance the clinical monitoring</w:t>
      </w:r>
      <w:r w:rsidR="00F81221">
        <w:t xml:space="preserve"> and </w:t>
      </w:r>
      <w:r w:rsidRPr="00A428C3">
        <w:t>improve educations in common population.</w:t>
      </w:r>
    </w:p>
    <w:p w:rsidR="00B95188" w:rsidRPr="00A428C3" w:rsidRDefault="00B95188" w:rsidP="00B95188">
      <w:pPr>
        <w:pStyle w:val="1"/>
      </w:pPr>
      <w:r w:rsidRPr="00A428C3">
        <w:br w:type="page"/>
      </w:r>
      <w:bookmarkStart w:id="165" w:name="_Toc455569451"/>
      <w:bookmarkStart w:id="166" w:name="_Toc487190673"/>
      <w:bookmarkStart w:id="167" w:name="_Toc487882176"/>
      <w:bookmarkStart w:id="168" w:name="_Toc490687972"/>
      <w:bookmarkStart w:id="169" w:name="_Toc186647692"/>
      <w:bookmarkStart w:id="170" w:name="_Toc317160873"/>
      <w:r w:rsidRPr="00A428C3">
        <w:lastRenderedPageBreak/>
        <w:t>Title: Fuel</w:t>
      </w:r>
      <w:bookmarkEnd w:id="165"/>
      <w:bookmarkEnd w:id="166"/>
      <w:bookmarkEnd w:id="167"/>
      <w:bookmarkEnd w:id="168"/>
      <w:bookmarkEnd w:id="169"/>
      <w:bookmarkEnd w:id="170"/>
    </w:p>
    <w:p w:rsidR="00B95188" w:rsidRPr="00A428C3" w:rsidRDefault="00B95188" w:rsidP="00B72EF9">
      <w:pPr>
        <w:pStyle w:val="12"/>
      </w:pPr>
      <w:r w:rsidRPr="00A428C3">
        <w:t xml:space="preserve">Full Journal Title: </w:t>
      </w:r>
      <w:hyperlink r:id="rId224" w:history="1">
        <w:r w:rsidRPr="00A428C3">
          <w:rPr>
            <w:rStyle w:val="a5"/>
          </w:rPr>
          <w:t>Fuel</w:t>
        </w:r>
      </w:hyperlink>
    </w:p>
    <w:p w:rsidR="00B95188" w:rsidRPr="00C33727" w:rsidRDefault="00B95188" w:rsidP="00B72EF9">
      <w:pPr>
        <w:pStyle w:val="12"/>
      </w:pPr>
      <w:r w:rsidRPr="00C33727">
        <w:t>ISO Abbreviated Title: Fuel</w:t>
      </w:r>
    </w:p>
    <w:p w:rsidR="00B95188" w:rsidRPr="00C33727" w:rsidRDefault="00B95188" w:rsidP="00B72EF9">
      <w:pPr>
        <w:pStyle w:val="12"/>
      </w:pPr>
      <w:r w:rsidRPr="00C33727">
        <w:t>JCR Abbreviated Title: Fuel</w:t>
      </w:r>
    </w:p>
    <w:p w:rsidR="00B95188" w:rsidRPr="00C33727" w:rsidRDefault="00B95188" w:rsidP="00B72EF9">
      <w:pPr>
        <w:pStyle w:val="12"/>
      </w:pPr>
      <w:r w:rsidRPr="00C33727">
        <w:t>ISSN: 0016-2361</w:t>
      </w:r>
    </w:p>
    <w:p w:rsidR="00B95188" w:rsidRPr="00C33727" w:rsidRDefault="00B95188" w:rsidP="00B72EF9">
      <w:pPr>
        <w:pStyle w:val="12"/>
      </w:pPr>
      <w:r w:rsidRPr="00C33727">
        <w:t>Issues/Year: 13</w:t>
      </w:r>
    </w:p>
    <w:p w:rsidR="00B95188" w:rsidRPr="00C33727" w:rsidRDefault="00B95188" w:rsidP="00B72EF9">
      <w:pPr>
        <w:pStyle w:val="12"/>
      </w:pPr>
      <w:r w:rsidRPr="00C33727">
        <w:t>Journal Country/Territory: England</w:t>
      </w:r>
    </w:p>
    <w:p w:rsidR="00B95188" w:rsidRPr="00C33727" w:rsidRDefault="00B95188" w:rsidP="00B72EF9">
      <w:pPr>
        <w:pStyle w:val="12"/>
      </w:pPr>
      <w:r w:rsidRPr="00C33727">
        <w:t>Language: English</w:t>
      </w:r>
    </w:p>
    <w:p w:rsidR="00B95188" w:rsidRPr="00C33727" w:rsidRDefault="00B95188" w:rsidP="00B72EF9">
      <w:pPr>
        <w:pStyle w:val="12"/>
      </w:pPr>
      <w:r w:rsidRPr="00C33727">
        <w:t>Publisher: Elsevier Sci Ltd</w:t>
      </w:r>
    </w:p>
    <w:p w:rsidR="00B95188" w:rsidRPr="00C33727" w:rsidRDefault="00B95188" w:rsidP="00B72EF9">
      <w:pPr>
        <w:pStyle w:val="12"/>
      </w:pPr>
      <w:r w:rsidRPr="00C33727">
        <w:t>Publisher Address: The Boulevard, Langford Lane, Kidlington, Oxford OX5 1GB, Oxon, England</w:t>
      </w:r>
    </w:p>
    <w:p w:rsidR="00B95188" w:rsidRPr="00C33727" w:rsidRDefault="00B95188" w:rsidP="00B72EF9">
      <w:pPr>
        <w:pStyle w:val="12"/>
      </w:pPr>
      <w:r w:rsidRPr="00C33727">
        <w:t>Subject Categories:</w:t>
      </w:r>
    </w:p>
    <w:p w:rsidR="00B95188" w:rsidRPr="00C33727" w:rsidRDefault="00B95188" w:rsidP="00B72EF9">
      <w:pPr>
        <w:pStyle w:val="12"/>
      </w:pPr>
      <w:r w:rsidRPr="00C33727">
        <w:t>Energy &amp; Fuels: Impact Factor</w:t>
      </w:r>
    </w:p>
    <w:p w:rsidR="00B95188" w:rsidRPr="00C33727" w:rsidRDefault="00B95188" w:rsidP="00B72EF9">
      <w:pPr>
        <w:pStyle w:val="12"/>
      </w:pPr>
      <w:r w:rsidRPr="00C33727">
        <w:t>Engineering, Chemical: Impact Factor 0.789, 28/110</w:t>
      </w:r>
    </w:p>
    <w:p w:rsidR="00433AB4" w:rsidRPr="00A428C3" w:rsidRDefault="00433AB4" w:rsidP="00433AB4">
      <w:pPr>
        <w:pStyle w:val="a0"/>
      </w:pPr>
      <w:r>
        <w:rPr>
          <w:rFonts w:hint="eastAsia"/>
        </w:rPr>
        <w:t xml:space="preserve">? </w:t>
      </w:r>
      <w:r>
        <w:t>Eskenazy</w:t>
      </w:r>
      <w:r>
        <w:rPr>
          <w:rFonts w:hint="eastAsia"/>
        </w:rPr>
        <w:t>,</w:t>
      </w:r>
      <w:r>
        <w:t xml:space="preserve"> G</w:t>
      </w:r>
      <w:r>
        <w:rPr>
          <w:rFonts w:hint="eastAsia"/>
        </w:rPr>
        <w:t>.</w:t>
      </w:r>
      <w:r w:rsidRPr="00A428C3">
        <w:t xml:space="preserve"> (19</w:t>
      </w:r>
      <w:r>
        <w:rPr>
          <w:rFonts w:hint="eastAsia"/>
        </w:rPr>
        <w:t>67</w:t>
      </w:r>
      <w:r w:rsidRPr="00A428C3">
        <w:t xml:space="preserve">), </w:t>
      </w:r>
      <w:r>
        <w:t>Adsorption of gallium on peat</w:t>
      </w:r>
      <w:r w:rsidR="00F81221">
        <w:t xml:space="preserve"> and </w:t>
      </w:r>
      <w:r>
        <w:t>humic acids</w:t>
      </w:r>
      <w:r w:rsidRPr="00A428C3">
        <w:t xml:space="preserve">. </w:t>
      </w:r>
      <w:r w:rsidRPr="00A428C3">
        <w:rPr>
          <w:i/>
        </w:rPr>
        <w:t>Fuel</w:t>
      </w:r>
      <w:r w:rsidRPr="00A428C3">
        <w:t xml:space="preserve">, </w:t>
      </w:r>
      <w:r>
        <w:rPr>
          <w:rFonts w:hint="eastAsia"/>
          <w:b/>
        </w:rPr>
        <w:t>46</w:t>
      </w:r>
      <w:r w:rsidRPr="00A428C3">
        <w:t xml:space="preserve"> (</w:t>
      </w:r>
      <w:r>
        <w:rPr>
          <w:rFonts w:hint="eastAsia"/>
        </w:rPr>
        <w:t>3</w:t>
      </w:r>
      <w:r w:rsidRPr="00A428C3">
        <w:t xml:space="preserve">), </w:t>
      </w:r>
      <w:r>
        <w:t>187</w:t>
      </w:r>
      <w:r w:rsidRPr="00A428C3">
        <w:t>-</w:t>
      </w:r>
      <w:r>
        <w:rPr>
          <w:rFonts w:hint="eastAsia"/>
        </w:rPr>
        <w:t>192</w:t>
      </w:r>
      <w:r w:rsidRPr="00A428C3">
        <w:t>.</w:t>
      </w:r>
    </w:p>
    <w:p w:rsidR="00433AB4" w:rsidRDefault="00433AB4" w:rsidP="00433AB4">
      <w:pPr>
        <w:pStyle w:val="a0"/>
      </w:pPr>
      <w:r w:rsidRPr="00A428C3">
        <w:t xml:space="preserve">Full Text: </w:t>
      </w:r>
      <w:r w:rsidRPr="001563CA">
        <w:t>Fuel</w:t>
      </w:r>
      <w:r>
        <w:rPr>
          <w:rFonts w:hint="eastAsia"/>
        </w:rPr>
        <w:t>46</w:t>
      </w:r>
      <w:r w:rsidRPr="001563CA">
        <w:t xml:space="preserve">, </w:t>
      </w:r>
      <w:r>
        <w:t>187</w:t>
      </w:r>
      <w:r w:rsidRPr="001563CA">
        <w:t>.pdf</w:t>
      </w:r>
    </w:p>
    <w:p w:rsidR="00433AB4" w:rsidRPr="00A428C3" w:rsidRDefault="00433AB4" w:rsidP="00433AB4">
      <w:pPr>
        <w:pStyle w:val="a0"/>
      </w:pPr>
      <w:r>
        <w:rPr>
          <w:rFonts w:hint="eastAsia"/>
        </w:rPr>
        <w:t xml:space="preserve">? </w:t>
      </w:r>
      <w:r>
        <w:t>Eskenazy</w:t>
      </w:r>
      <w:r>
        <w:rPr>
          <w:rFonts w:hint="eastAsia"/>
        </w:rPr>
        <w:t>,</w:t>
      </w:r>
      <w:r>
        <w:t xml:space="preserve"> G</w:t>
      </w:r>
      <w:r>
        <w:rPr>
          <w:rFonts w:hint="eastAsia"/>
        </w:rPr>
        <w:t>.</w:t>
      </w:r>
      <w:r w:rsidRPr="00A428C3">
        <w:t xml:space="preserve"> (19</w:t>
      </w:r>
      <w:r w:rsidR="004B6A9E">
        <w:rPr>
          <w:rFonts w:hint="eastAsia"/>
        </w:rPr>
        <w:t>70</w:t>
      </w:r>
      <w:r w:rsidRPr="00A428C3">
        <w:t xml:space="preserve">), </w:t>
      </w:r>
      <w:r>
        <w:t>Adsorption of beryllium on peat</w:t>
      </w:r>
      <w:r w:rsidR="00F81221">
        <w:t xml:space="preserve"> and </w:t>
      </w:r>
      <w:r>
        <w:t>coals</w:t>
      </w:r>
      <w:r w:rsidRPr="00A428C3">
        <w:t xml:space="preserve">. </w:t>
      </w:r>
      <w:r w:rsidRPr="00A428C3">
        <w:rPr>
          <w:i/>
        </w:rPr>
        <w:t>Fuel</w:t>
      </w:r>
      <w:r w:rsidRPr="00A428C3">
        <w:t xml:space="preserve">, </w:t>
      </w:r>
      <w:r>
        <w:rPr>
          <w:rFonts w:hint="eastAsia"/>
          <w:b/>
        </w:rPr>
        <w:t>49</w:t>
      </w:r>
      <w:r w:rsidRPr="00A428C3">
        <w:t xml:space="preserve"> (</w:t>
      </w:r>
      <w:r>
        <w:rPr>
          <w:rFonts w:hint="eastAsia"/>
        </w:rPr>
        <w:t>1</w:t>
      </w:r>
      <w:r w:rsidRPr="00A428C3">
        <w:t xml:space="preserve">), </w:t>
      </w:r>
      <w:r>
        <w:rPr>
          <w:rFonts w:hint="eastAsia"/>
        </w:rPr>
        <w:t>61</w:t>
      </w:r>
      <w:r w:rsidRPr="00A428C3">
        <w:t>-</w:t>
      </w:r>
      <w:r>
        <w:rPr>
          <w:rFonts w:hint="eastAsia"/>
        </w:rPr>
        <w:t>68</w:t>
      </w:r>
      <w:r w:rsidRPr="00A428C3">
        <w:t>.</w:t>
      </w:r>
    </w:p>
    <w:p w:rsidR="00433AB4" w:rsidRDefault="00433AB4" w:rsidP="001563CA">
      <w:pPr>
        <w:pStyle w:val="a0"/>
      </w:pPr>
      <w:r w:rsidRPr="00A428C3">
        <w:t xml:space="preserve">Full Text: </w:t>
      </w:r>
      <w:hyperlink r:id="rId225" w:history="1">
        <w:r w:rsidR="004B6A9E" w:rsidRPr="004B6A9E">
          <w:rPr>
            <w:rStyle w:val="a5"/>
          </w:rPr>
          <w:t>1960-80\Fuel49, 61.pdf</w:t>
        </w:r>
      </w:hyperlink>
    </w:p>
    <w:p w:rsidR="004B6A9E" w:rsidRDefault="004B6A9E" w:rsidP="004B6A9E">
      <w:pPr>
        <w:pStyle w:val="a0"/>
      </w:pPr>
      <w:r>
        <w:t>Abstract</w:t>
      </w:r>
      <w:r>
        <w:rPr>
          <w:rFonts w:hint="eastAsia"/>
        </w:rPr>
        <w:t xml:space="preserve">: </w:t>
      </w:r>
      <w:r>
        <w:t>The adsorption</w:t>
      </w:r>
      <w:r w:rsidR="00F81221">
        <w:t xml:space="preserve"> and </w:t>
      </w:r>
      <w:r>
        <w:t>desorption of ionic beryllium has been investigated for seven samples (mainly peat</w:t>
      </w:r>
      <w:r w:rsidR="00F81221">
        <w:t xml:space="preserve"> and </w:t>
      </w:r>
      <w:r>
        <w:t>coal macerals), as a function of solution concentration</w:t>
      </w:r>
      <w:r w:rsidR="00F81221">
        <w:t xml:space="preserve"> and </w:t>
      </w:r>
      <w:r>
        <w:t>pH. High pH favours the adsorption of beryllium, which appears to be chemisorbed on acidic groups.</w:t>
      </w:r>
    </w:p>
    <w:p w:rsidR="00433AB4" w:rsidRPr="00A428C3" w:rsidRDefault="00433AB4" w:rsidP="00433AB4">
      <w:pPr>
        <w:pStyle w:val="a0"/>
      </w:pPr>
      <w:r>
        <w:rPr>
          <w:rFonts w:hint="eastAsia"/>
        </w:rPr>
        <w:t xml:space="preserve">? </w:t>
      </w:r>
      <w:r>
        <w:t>Eskenazy</w:t>
      </w:r>
      <w:r>
        <w:rPr>
          <w:rFonts w:hint="eastAsia"/>
        </w:rPr>
        <w:t>,</w:t>
      </w:r>
      <w:r>
        <w:t xml:space="preserve"> G</w:t>
      </w:r>
      <w:r>
        <w:rPr>
          <w:rFonts w:hint="eastAsia"/>
        </w:rPr>
        <w:t>.</w:t>
      </w:r>
      <w:r w:rsidRPr="00A428C3">
        <w:t xml:space="preserve"> (19</w:t>
      </w:r>
      <w:r>
        <w:rPr>
          <w:rFonts w:hint="eastAsia"/>
        </w:rPr>
        <w:t>72</w:t>
      </w:r>
      <w:r w:rsidRPr="00A428C3">
        <w:t xml:space="preserve">), </w:t>
      </w:r>
      <w:r>
        <w:t>Adsorption of titanium on peat</w:t>
      </w:r>
      <w:r w:rsidR="00F81221">
        <w:t xml:space="preserve"> and </w:t>
      </w:r>
      <w:r>
        <w:t>coals</w:t>
      </w:r>
      <w:r w:rsidRPr="00A428C3">
        <w:t xml:space="preserve">. </w:t>
      </w:r>
      <w:r w:rsidRPr="00A428C3">
        <w:rPr>
          <w:i/>
        </w:rPr>
        <w:t>Fuel</w:t>
      </w:r>
      <w:r w:rsidRPr="00A428C3">
        <w:t xml:space="preserve">, </w:t>
      </w:r>
      <w:r>
        <w:rPr>
          <w:rFonts w:hint="eastAsia"/>
          <w:b/>
        </w:rPr>
        <w:t>51</w:t>
      </w:r>
      <w:r w:rsidRPr="00A428C3">
        <w:t xml:space="preserve"> (</w:t>
      </w:r>
      <w:r>
        <w:rPr>
          <w:rFonts w:hint="eastAsia"/>
        </w:rPr>
        <w:t>3</w:t>
      </w:r>
      <w:r w:rsidRPr="00A428C3">
        <w:t xml:space="preserve">), </w:t>
      </w:r>
      <w:r>
        <w:t>221</w:t>
      </w:r>
      <w:r w:rsidRPr="00A428C3">
        <w:t>-</w:t>
      </w:r>
      <w:r w:rsidR="004B6A9E">
        <w:rPr>
          <w:rFonts w:hint="eastAsia"/>
        </w:rPr>
        <w:t>223</w:t>
      </w:r>
      <w:r w:rsidRPr="00A428C3">
        <w:t>.</w:t>
      </w:r>
    </w:p>
    <w:p w:rsidR="00433AB4" w:rsidRDefault="00433AB4" w:rsidP="00433AB4">
      <w:pPr>
        <w:pStyle w:val="a0"/>
      </w:pPr>
      <w:r w:rsidRPr="00A428C3">
        <w:t xml:space="preserve">Full Text: </w:t>
      </w:r>
      <w:hyperlink r:id="rId226" w:history="1">
        <w:r w:rsidRPr="00433AB4">
          <w:rPr>
            <w:rStyle w:val="a5"/>
          </w:rPr>
          <w:t>1960-80\Fuel51, 221.pdf</w:t>
        </w:r>
      </w:hyperlink>
    </w:p>
    <w:p w:rsidR="00433AB4" w:rsidRDefault="00433AB4" w:rsidP="00433AB4">
      <w:pPr>
        <w:pStyle w:val="a0"/>
      </w:pPr>
      <w:r>
        <w:t>Abstract</w:t>
      </w:r>
      <w:r>
        <w:rPr>
          <w:rFonts w:hint="eastAsia"/>
        </w:rPr>
        <w:t xml:space="preserve">: </w:t>
      </w:r>
      <w:r>
        <w:t>Adsorption of titanium on humic acids, peat</w:t>
      </w:r>
      <w:r w:rsidR="00F81221">
        <w:t xml:space="preserve"> and </w:t>
      </w:r>
      <w:r>
        <w:t>coal macerals has been studied at pH values ranging from 0.8 to 2.0. Higher pH favours adsorption. An adsorption isotherm has been plotted. The rate of adsorption, the desorption,</w:t>
      </w:r>
      <w:r w:rsidR="00F81221">
        <w:t xml:space="preserve"> and </w:t>
      </w:r>
      <w:r>
        <w:t>the degree of adsorption in the presence of extraneous electrolytes have been examined. It is concluded that titanium is attached to peat</w:t>
      </w:r>
      <w:r w:rsidR="00F81221">
        <w:t xml:space="preserve"> and </w:t>
      </w:r>
      <w:r>
        <w:t>coals predominantly by an ion-exchange mechanism.</w:t>
      </w:r>
    </w:p>
    <w:p w:rsidR="001563CA" w:rsidRPr="00A428C3" w:rsidRDefault="001563CA" w:rsidP="001563CA">
      <w:pPr>
        <w:pStyle w:val="a0"/>
      </w:pPr>
      <w:r w:rsidRPr="00A428C3">
        <w:t>Harris, J.A.</w:t>
      </w:r>
      <w:r w:rsidR="00F81221">
        <w:t xml:space="preserve"> and </w:t>
      </w:r>
      <w:r w:rsidRPr="00A428C3">
        <w:t>Evans, D.G. (1975), Low-temperature oxidation of brown coal. 2. Elovich adsorption kinetics</w:t>
      </w:r>
      <w:r w:rsidR="00F81221">
        <w:t xml:space="preserve"> and </w:t>
      </w:r>
      <w:r w:rsidRPr="00A428C3">
        <w:t xml:space="preserve">porous materials. </w:t>
      </w:r>
      <w:r w:rsidRPr="00A428C3">
        <w:rPr>
          <w:i/>
        </w:rPr>
        <w:t>Fuel</w:t>
      </w:r>
      <w:r w:rsidRPr="00A428C3">
        <w:t xml:space="preserve">, </w:t>
      </w:r>
      <w:r w:rsidRPr="00A428C3">
        <w:rPr>
          <w:b/>
        </w:rPr>
        <w:t>54</w:t>
      </w:r>
      <w:r w:rsidRPr="00A428C3">
        <w:t xml:space="preserve"> (4), 276-278.</w:t>
      </w:r>
    </w:p>
    <w:p w:rsidR="001563CA" w:rsidRPr="00A428C3" w:rsidRDefault="001563CA" w:rsidP="001563CA">
      <w:pPr>
        <w:pStyle w:val="a0"/>
      </w:pPr>
      <w:r w:rsidRPr="00A428C3">
        <w:t xml:space="preserve">Full Text: </w:t>
      </w:r>
      <w:hyperlink r:id="rId227" w:history="1">
        <w:r w:rsidRPr="00A428C3">
          <w:rPr>
            <w:rStyle w:val="a5"/>
          </w:rPr>
          <w:t>F\Fuel54, 276.pdf</w:t>
        </w:r>
      </w:hyperlink>
    </w:p>
    <w:p w:rsidR="00B95188" w:rsidRPr="00A428C3" w:rsidRDefault="00B95188" w:rsidP="00B95188">
      <w:pPr>
        <w:pStyle w:val="a0"/>
      </w:pPr>
      <w:r w:rsidRPr="00A428C3">
        <w:t xml:space="preserve">Abstract: Computer-generated diffusion data are shown to be fitted closely for long periods by the Elovich equation. The graphs obtained also show the discontinuities that frequently occur in Elovich plots of experimental adsorption data. Use of the </w:t>
      </w:r>
      <w:r w:rsidRPr="00A428C3">
        <w:lastRenderedPageBreak/>
        <w:t>Elovich equation to interpret sorption on porous materials is therefore a dubious procedure.</w:t>
      </w:r>
    </w:p>
    <w:p w:rsidR="00B95188" w:rsidRPr="00A428C3" w:rsidRDefault="00B95188" w:rsidP="00B95188">
      <w:pPr>
        <w:pStyle w:val="a0"/>
      </w:pPr>
      <w:r w:rsidRPr="00A428C3">
        <w:t xml:space="preserve">Allen, S.J. (1987), Equilibrium adsorption isotherms for peat. </w:t>
      </w:r>
      <w:r w:rsidRPr="00A428C3">
        <w:rPr>
          <w:i/>
        </w:rPr>
        <w:t>Fuel</w:t>
      </w:r>
      <w:r w:rsidRPr="00A428C3">
        <w:t xml:space="preserve">, </w:t>
      </w:r>
      <w:r w:rsidRPr="00A428C3">
        <w:rPr>
          <w:b/>
        </w:rPr>
        <w:t>66</w:t>
      </w:r>
      <w:r w:rsidRPr="00A428C3">
        <w:t xml:space="preserve"> (9), 1171-1175.</w:t>
      </w:r>
    </w:p>
    <w:p w:rsidR="00B95188" w:rsidRPr="00A428C3" w:rsidRDefault="00B95188" w:rsidP="00B95188">
      <w:pPr>
        <w:pStyle w:val="a0"/>
      </w:pPr>
      <w:r w:rsidRPr="00A428C3">
        <w:t xml:space="preserve">Full Text: </w:t>
      </w:r>
      <w:hyperlink r:id="rId228" w:history="1">
        <w:r w:rsidRPr="00A428C3">
          <w:rPr>
            <w:rStyle w:val="a5"/>
          </w:rPr>
          <w:t>F\Fuel66, 1171.pdf</w:t>
        </w:r>
      </w:hyperlink>
    </w:p>
    <w:p w:rsidR="00B95188" w:rsidRPr="00A428C3" w:rsidRDefault="00B95188" w:rsidP="00B95188">
      <w:pPr>
        <w:pStyle w:val="a0"/>
      </w:pPr>
      <w:r w:rsidRPr="00A428C3">
        <w:t>Abstract: The adsorptive capacity of sphagnum moss peat for a range of adsorbates has been studied. The adsorption of acid dyes, basic dyes</w:t>
      </w:r>
      <w:r w:rsidR="00F81221">
        <w:t xml:space="preserve"> and </w:t>
      </w:r>
      <w:r w:rsidRPr="00A428C3">
        <w:t>zinc ions is reported. The adsorption isotherms are described by means of the Freundlich</w:t>
      </w:r>
      <w:r w:rsidR="00F81221">
        <w:t xml:space="preserve"> and </w:t>
      </w:r>
      <w:r w:rsidRPr="00A428C3">
        <w:t>Langmuir isotherms. High adsorptive capacities for some basic dyes were found.</w:t>
      </w:r>
    </w:p>
    <w:p w:rsidR="00B95188" w:rsidRPr="00A428C3" w:rsidRDefault="00B95188" w:rsidP="00B95188">
      <w:pPr>
        <w:pStyle w:val="a0"/>
      </w:pPr>
      <w:r w:rsidRPr="00A428C3">
        <w:t>Keywords: Peat, Adsorption Isotherms, Dyes</w:t>
      </w:r>
    </w:p>
    <w:p w:rsidR="00B95188" w:rsidRPr="00A428C3" w:rsidRDefault="00B95188" w:rsidP="00B95188">
      <w:pPr>
        <w:pStyle w:val="a0"/>
      </w:pPr>
      <w:r w:rsidRPr="00A428C3">
        <w:t>McKay, G., Allen, S.J.</w:t>
      </w:r>
      <w:r w:rsidR="00F81221">
        <w:t xml:space="preserve"> and </w:t>
      </w:r>
      <w:r w:rsidRPr="00A428C3">
        <w:t xml:space="preserve">McGookin, C. (1988), Montan wax extraction from </w:t>
      </w:r>
      <w:smartTag w:uri="urn:schemas-microsoft-com:office:smarttags" w:element="place">
        <w:smartTag w:uri="urn:schemas-microsoft-com:office:smarttags" w:element="country-region">
          <w:r w:rsidRPr="00A428C3">
            <w:t>Northern Ireland</w:t>
          </w:r>
        </w:smartTag>
      </w:smartTag>
      <w:r w:rsidRPr="00A428C3">
        <w:t xml:space="preserve"> lignite. </w:t>
      </w:r>
      <w:r w:rsidRPr="00A428C3">
        <w:rPr>
          <w:i/>
        </w:rPr>
        <w:t>Fuel</w:t>
      </w:r>
      <w:r w:rsidRPr="00A428C3">
        <w:t xml:space="preserve">, </w:t>
      </w:r>
      <w:r w:rsidRPr="00A428C3">
        <w:rPr>
          <w:b/>
        </w:rPr>
        <w:t>67</w:t>
      </w:r>
      <w:r w:rsidRPr="00A428C3">
        <w:t xml:space="preserve"> (12), 1703-1705.</w:t>
      </w:r>
    </w:p>
    <w:p w:rsidR="00B95188" w:rsidRPr="00A428C3" w:rsidRDefault="00B95188" w:rsidP="00B95188">
      <w:pPr>
        <w:pStyle w:val="a0"/>
      </w:pPr>
      <w:r w:rsidRPr="00A428C3">
        <w:t xml:space="preserve">Full Text: </w:t>
      </w:r>
      <w:hyperlink r:id="rId229" w:history="1">
        <w:r w:rsidRPr="00A428C3">
          <w:rPr>
            <w:rStyle w:val="a5"/>
          </w:rPr>
          <w:t>F\Fuel67, 1703.pdf</w:t>
        </w:r>
      </w:hyperlink>
    </w:p>
    <w:p w:rsidR="00B95188" w:rsidRPr="00A428C3" w:rsidRDefault="00B95188" w:rsidP="00B95188">
      <w:pPr>
        <w:pStyle w:val="a0"/>
      </w:pPr>
      <w:r w:rsidRPr="00A428C3">
        <w:t xml:space="preserve">Abstract: In preliminary studies of the extraction of wax from </w:t>
      </w:r>
      <w:smartTag w:uri="urn:schemas-microsoft-com:office:smarttags" w:element="place">
        <w:smartTag w:uri="urn:schemas-microsoft-com:office:smarttags" w:element="country-region">
          <w:r w:rsidRPr="00A428C3">
            <w:t>Northern Ireland</w:t>
          </w:r>
        </w:smartTag>
      </w:smartTag>
      <w:r w:rsidRPr="00A428C3">
        <w:t xml:space="preserve"> (Crumlin deposit) lignite, a number of extractions were carried out with three solvents for different contact times</w:t>
      </w:r>
      <w:r w:rsidR="00F81221">
        <w:t xml:space="preserve"> and </w:t>
      </w:r>
      <w:r w:rsidRPr="00A428C3">
        <w:t>two extraction temperatures. Exhaustive extraction with toluene shows that Crumlin lignite contains 16.6 wt% wax on a dry basis.</w:t>
      </w:r>
    </w:p>
    <w:p w:rsidR="00B95188" w:rsidRPr="00A428C3" w:rsidRDefault="00B95188" w:rsidP="00B95188">
      <w:pPr>
        <w:pStyle w:val="a0"/>
      </w:pPr>
      <w:r w:rsidRPr="00A428C3">
        <w:t>Keywords: Lignite, Solvent Extraction, Wax</w:t>
      </w:r>
    </w:p>
    <w:p w:rsidR="00B95188" w:rsidRPr="00A428C3" w:rsidRDefault="00B95188" w:rsidP="00B95188">
      <w:pPr>
        <w:pStyle w:val="a0"/>
      </w:pPr>
      <w:r w:rsidRPr="00A428C3">
        <w:t>Diamond, N.C., Magee, T.R.A.</w:t>
      </w:r>
      <w:r w:rsidR="00F81221">
        <w:t xml:space="preserve"> and </w:t>
      </w:r>
      <w:r w:rsidRPr="00A428C3">
        <w:t>McKay, G. (1990), The effect of temperature</w:t>
      </w:r>
      <w:r w:rsidR="00F81221">
        <w:t xml:space="preserve"> and </w:t>
      </w:r>
      <w:r w:rsidRPr="00A428C3">
        <w:t xml:space="preserve">particle size on the fluid bed drying of Northern Ireland lignite. </w:t>
      </w:r>
      <w:r w:rsidRPr="00A428C3">
        <w:rPr>
          <w:i/>
        </w:rPr>
        <w:t>Fuel</w:t>
      </w:r>
      <w:r w:rsidRPr="00A428C3">
        <w:t xml:space="preserve">, </w:t>
      </w:r>
      <w:r w:rsidRPr="00A428C3">
        <w:rPr>
          <w:b/>
        </w:rPr>
        <w:t>69</w:t>
      </w:r>
      <w:r w:rsidRPr="00A428C3">
        <w:t xml:space="preserve"> (2), 189-193.</w:t>
      </w:r>
    </w:p>
    <w:p w:rsidR="00B95188" w:rsidRPr="00A428C3" w:rsidRDefault="00B95188" w:rsidP="00B95188">
      <w:pPr>
        <w:pStyle w:val="a0"/>
      </w:pPr>
      <w:r w:rsidRPr="00A428C3">
        <w:t xml:space="preserve">Full Text: </w:t>
      </w:r>
      <w:hyperlink r:id="rId230" w:history="1">
        <w:r w:rsidRPr="00A428C3">
          <w:rPr>
            <w:rStyle w:val="a5"/>
          </w:rPr>
          <w:t>F\Fuel69, 189.pdf</w:t>
        </w:r>
      </w:hyperlink>
    </w:p>
    <w:p w:rsidR="00B95188" w:rsidRPr="00A428C3" w:rsidRDefault="00B95188" w:rsidP="00B95188">
      <w:pPr>
        <w:pStyle w:val="a0"/>
      </w:pPr>
      <w:r w:rsidRPr="00A428C3">
        <w:t>Abstract: This paper investigates fluid-bed drying of lignite, in a batch-wise laboratory scale dryer. Based on experimental data, the rate controlling step was partly characterized by determining the observed activation energy for the process. The effects of temperature</w:t>
      </w:r>
      <w:r w:rsidR="00F81221">
        <w:t xml:space="preserve"> and </w:t>
      </w:r>
      <w:r w:rsidRPr="00A428C3">
        <w:t>particle size on drying rate were studied to obtain information relating to optimum operating conditions. The boundary layer resistance was also shown to affect the rate of evaporation of moisture from the particulate solid.</w:t>
      </w:r>
    </w:p>
    <w:p w:rsidR="00B95188" w:rsidRPr="00A428C3" w:rsidRDefault="00B95188" w:rsidP="00B95188">
      <w:pPr>
        <w:pStyle w:val="a0"/>
      </w:pPr>
      <w:r w:rsidRPr="00A428C3">
        <w:t>Keywords: Lignite, Fluidized Beds, Particle Size</w:t>
      </w:r>
    </w:p>
    <w:p w:rsidR="00B95188" w:rsidRPr="00A428C3" w:rsidRDefault="00B95188" w:rsidP="00B95188">
      <w:pPr>
        <w:pStyle w:val="a0"/>
      </w:pPr>
      <w:r w:rsidRPr="00A428C3">
        <w:t>Jaroniec, M., Lu, X., Madey, R., Choma, J.</w:t>
      </w:r>
      <w:r w:rsidR="00F81221">
        <w:t xml:space="preserve"> and </w:t>
      </w:r>
      <w:r w:rsidRPr="00A428C3">
        <w:t xml:space="preserve">Klinik, J. (1990), Use of argon adsorption-isotherms for characterizing microporous activated carbons. </w:t>
      </w:r>
      <w:r w:rsidRPr="00A428C3">
        <w:rPr>
          <w:i/>
        </w:rPr>
        <w:t>Fuel</w:t>
      </w:r>
      <w:r w:rsidRPr="00A428C3">
        <w:t xml:space="preserve">, </w:t>
      </w:r>
      <w:r w:rsidRPr="00A428C3">
        <w:rPr>
          <w:b/>
        </w:rPr>
        <w:t>69</w:t>
      </w:r>
      <w:r w:rsidRPr="00A428C3">
        <w:t xml:space="preserve"> (4), 516-518.</w:t>
      </w:r>
    </w:p>
    <w:p w:rsidR="00B95188" w:rsidRPr="00A428C3" w:rsidRDefault="00B95188" w:rsidP="00B95188">
      <w:pPr>
        <w:pStyle w:val="a0"/>
      </w:pPr>
      <w:r w:rsidRPr="00A428C3">
        <w:t xml:space="preserve">Full Text: </w:t>
      </w:r>
      <w:hyperlink r:id="rId231" w:history="1">
        <w:r w:rsidRPr="00A428C3">
          <w:rPr>
            <w:rStyle w:val="a5"/>
          </w:rPr>
          <w:t>F\Fuel69, 516.pdf</w:t>
        </w:r>
      </w:hyperlink>
    </w:p>
    <w:p w:rsidR="00B95188" w:rsidRPr="00A428C3" w:rsidRDefault="00B95188" w:rsidP="00B95188">
      <w:pPr>
        <w:pStyle w:val="a0"/>
      </w:pPr>
      <w:r w:rsidRPr="00A428C3">
        <w:t xml:space="preserve">Abstract: Argon adsorption isotherms measured at 77.5 K on various microporous activated carbons were analysed to characterize the structural heterogeneities of these sorbents. It was found that the adsorption isotherms could be described by an isotherm equation associated with the gamma micropore-size distribution. Parameters of this distribution function characterized the structural heterogeneity of </w:t>
      </w:r>
      <w:r w:rsidRPr="00A428C3">
        <w:lastRenderedPageBreak/>
        <w:t>the microporous activated carbon studied. Comparison of these parameters for various activated carbons showed the dependence of the microporosity of these carbons on the kind of raw material used</w:t>
      </w:r>
      <w:r w:rsidR="00F81221">
        <w:t xml:space="preserve"> and </w:t>
      </w:r>
      <w:r w:rsidRPr="00A428C3">
        <w:t>on the preparation conditions.</w:t>
      </w:r>
    </w:p>
    <w:p w:rsidR="00B95188" w:rsidRPr="00A428C3" w:rsidRDefault="00B95188" w:rsidP="00B95188">
      <w:pPr>
        <w:pStyle w:val="a0"/>
      </w:pPr>
      <w:r w:rsidRPr="00A428C3">
        <w:t>Keywords: Carbon, Microporosity, Adsorption Isotherm</w:t>
      </w:r>
    </w:p>
    <w:p w:rsidR="00B95188" w:rsidRPr="00A428C3" w:rsidRDefault="00B95188" w:rsidP="00B95188">
      <w:pPr>
        <w:pStyle w:val="a0"/>
      </w:pPr>
      <w:r w:rsidRPr="00A428C3">
        <w:t xml:space="preserve">Aho, M.J., </w:t>
      </w:r>
      <w:bookmarkStart w:id="171" w:name="Hämäläinen"/>
      <w:r w:rsidRPr="00A428C3">
        <w:t>H</w:t>
      </w:r>
      <w:r w:rsidRPr="00A428C3">
        <w:rPr>
          <w:color w:val="000000"/>
        </w:rPr>
        <w:t>ämäläin</w:t>
      </w:r>
      <w:r w:rsidRPr="00A428C3">
        <w:t>en</w:t>
      </w:r>
      <w:bookmarkEnd w:id="171"/>
      <w:r w:rsidRPr="00A428C3">
        <w:t>, J.P.</w:t>
      </w:r>
      <w:r w:rsidR="00F81221">
        <w:t xml:space="preserve"> and </w:t>
      </w:r>
      <w:r w:rsidRPr="00A428C3">
        <w:t xml:space="preserve">Tummavuori, J.L. (1991), Catalytic effects of metals on peat combustion. </w:t>
      </w:r>
      <w:r w:rsidRPr="00A428C3">
        <w:rPr>
          <w:i/>
        </w:rPr>
        <w:t>Fuel</w:t>
      </w:r>
      <w:r w:rsidRPr="00A428C3">
        <w:t xml:space="preserve">, </w:t>
      </w:r>
      <w:r w:rsidRPr="00A428C3">
        <w:rPr>
          <w:b/>
        </w:rPr>
        <w:t>70</w:t>
      </w:r>
      <w:r w:rsidRPr="00A428C3">
        <w:t xml:space="preserve"> (10), 1143-1145.</w:t>
      </w:r>
    </w:p>
    <w:p w:rsidR="00B95188" w:rsidRPr="00A428C3" w:rsidRDefault="00B95188" w:rsidP="00B95188">
      <w:pPr>
        <w:pStyle w:val="a0"/>
      </w:pPr>
      <w:r w:rsidRPr="00A428C3">
        <w:t xml:space="preserve">Full Text: </w:t>
      </w:r>
      <w:hyperlink r:id="rId232" w:history="1">
        <w:r w:rsidRPr="00A428C3">
          <w:rPr>
            <w:rStyle w:val="a5"/>
          </w:rPr>
          <w:t>F\Fuel70, 1143.pdf</w:t>
        </w:r>
      </w:hyperlink>
    </w:p>
    <w:p w:rsidR="00B95188" w:rsidRPr="00A428C3" w:rsidRDefault="00B95188" w:rsidP="00B95188">
      <w:pPr>
        <w:pStyle w:val="a0"/>
      </w:pPr>
      <w:r w:rsidRPr="00A428C3">
        <w:t>Abstract: A comparison was made of the effects of Fe, Mn, Cr, Ni, Co, Zn, Al, Mg</w:t>
      </w:r>
      <w:r w:rsidR="00F81221">
        <w:t xml:space="preserve"> and </w:t>
      </w:r>
      <w:r w:rsidRPr="00A428C3">
        <w:t>Ca on slow</w:t>
      </w:r>
      <w:r w:rsidR="00F81221">
        <w:t xml:space="preserve"> and </w:t>
      </w:r>
      <w:r w:rsidRPr="00A428C3">
        <w:t>rapid peat combustion. The concentrations used were 100–200 mmol kg</w:t>
      </w:r>
      <w:r w:rsidRPr="00A428C3">
        <w:rPr>
          <w:vertAlign w:val="superscript"/>
        </w:rPr>
        <w:t>−1</w:t>
      </w:r>
      <w:r w:rsidR="00F81221">
        <w:t xml:space="preserve"> and </w:t>
      </w:r>
      <w:r w:rsidRPr="00A428C3">
        <w:t>lower</w:t>
      </w:r>
      <w:r w:rsidR="00F81221">
        <w:t xml:space="preserve"> and </w:t>
      </w:r>
      <w:r w:rsidRPr="00A428C3">
        <w:t>higher concentrations were also used for Fe. The order of the catalytic effects of the metals on the combustion of peat particles (100–</w:t>
      </w:r>
      <w:smartTag w:uri="urn:schemas-microsoft-com:office:smarttags" w:element="chmetcnv">
        <w:smartTagPr>
          <w:attr w:name="TCSC" w:val="0"/>
          <w:attr w:name="NumberType" w:val="1"/>
          <w:attr w:name="Negative" w:val="False"/>
          <w:attr w:name="HasSpace" w:val="False"/>
          <w:attr w:name="SourceValue" w:val="125"/>
          <w:attr w:name="UnitName" w:val="m"/>
        </w:smartTagPr>
        <w:r w:rsidRPr="00A428C3">
          <w:t xml:space="preserve">125 </w:t>
        </w:r>
      </w:smartTag>
      <w:r w:rsidRPr="00A428C3">
        <w:sym w:font="Symbol" w:char="F06D"/>
      </w:r>
      <w:r w:rsidRPr="00A428C3">
        <w:t>m diameter) in an entrained flow reactor (particle heating rate 15000 ± 5000 °Cs</w:t>
      </w:r>
      <w:r w:rsidRPr="00A428C3">
        <w:rPr>
          <w:vertAlign w:val="superscript"/>
        </w:rPr>
        <w:t>−1</w:t>
      </w:r>
      <w:r w:rsidRPr="00A428C3">
        <w:t xml:space="preserve">) was: </w:t>
      </w:r>
      <w:r w:rsidRPr="00A428C3">
        <w:rPr>
          <w:i/>
          <w:iCs/>
        </w:rPr>
        <w:t>Cr</w:t>
      </w:r>
      <w:r w:rsidRPr="00A428C3">
        <w:t xml:space="preserve"> &gt; </w:t>
      </w:r>
      <w:r w:rsidRPr="00A428C3">
        <w:rPr>
          <w:i/>
          <w:iCs/>
        </w:rPr>
        <w:t>Mn</w:t>
      </w:r>
      <w:r w:rsidRPr="00A428C3">
        <w:t xml:space="preserve">, </w:t>
      </w:r>
      <w:r w:rsidRPr="00A428C3">
        <w:rPr>
          <w:i/>
          <w:iCs/>
        </w:rPr>
        <w:t>Fe</w:t>
      </w:r>
      <w:r w:rsidRPr="00A428C3">
        <w:t xml:space="preserve"> &gt; </w:t>
      </w:r>
      <w:r w:rsidRPr="00A428C3">
        <w:rPr>
          <w:i/>
          <w:iCs/>
        </w:rPr>
        <w:t>Co</w:t>
      </w:r>
      <w:r w:rsidRPr="00A428C3">
        <w:t xml:space="preserve">, </w:t>
      </w:r>
      <w:r w:rsidRPr="00A428C3">
        <w:rPr>
          <w:i/>
          <w:iCs/>
        </w:rPr>
        <w:t>Ni</w:t>
      </w:r>
      <w:r w:rsidRPr="00A428C3">
        <w:t xml:space="preserve"> &gt; </w:t>
      </w:r>
      <w:r w:rsidRPr="00A428C3">
        <w:rPr>
          <w:i/>
          <w:iCs/>
        </w:rPr>
        <w:t>Ca</w:t>
      </w:r>
      <w:r w:rsidRPr="00A428C3">
        <w:t xml:space="preserve"> &gt; </w:t>
      </w:r>
      <w:r w:rsidRPr="00A428C3">
        <w:rPr>
          <w:i/>
          <w:iCs/>
        </w:rPr>
        <w:t>Zn</w:t>
      </w:r>
      <w:r w:rsidRPr="00A428C3">
        <w:t xml:space="preserve">, </w:t>
      </w:r>
      <w:r w:rsidRPr="00A428C3">
        <w:rPr>
          <w:i/>
          <w:iCs/>
        </w:rPr>
        <w:t>Mg</w:t>
      </w:r>
      <w:r w:rsidRPr="00A428C3">
        <w:t xml:space="preserve"> &gt; </w:t>
      </w:r>
      <w:r w:rsidRPr="00A428C3">
        <w:rPr>
          <w:i/>
          <w:iCs/>
        </w:rPr>
        <w:t>Al</w:t>
      </w:r>
      <w:r w:rsidRPr="00A428C3">
        <w:t>. In the presence of 100 mmol kg</w:t>
      </w:r>
      <w:r w:rsidRPr="00A428C3">
        <w:rPr>
          <w:vertAlign w:val="superscript"/>
        </w:rPr>
        <w:t>−1</w:t>
      </w:r>
      <w:r w:rsidRPr="00A428C3">
        <w:t xml:space="preserve"> Cr, the combustion time decreased by 26% compared with acid-washed peat having a low content of inorganic material. The decrease was only 4% with Al. Thermogravimetric experiments predicted the order: Fe, </w:t>
      </w:r>
      <w:r w:rsidRPr="00A428C3">
        <w:rPr>
          <w:i/>
          <w:iCs/>
        </w:rPr>
        <w:t>Cr</w:t>
      </w:r>
      <w:r w:rsidRPr="00A428C3">
        <w:t xml:space="preserve"> &gt; </w:t>
      </w:r>
      <w:r w:rsidRPr="00A428C3">
        <w:rPr>
          <w:i/>
          <w:iCs/>
        </w:rPr>
        <w:t>Mn</w:t>
      </w:r>
      <w:r w:rsidRPr="00A428C3">
        <w:t xml:space="preserve">, </w:t>
      </w:r>
      <w:r w:rsidRPr="00A428C3">
        <w:rPr>
          <w:i/>
          <w:iCs/>
        </w:rPr>
        <w:t>Ni</w:t>
      </w:r>
      <w:r w:rsidRPr="00A428C3">
        <w:t xml:space="preserve"> &gt; </w:t>
      </w:r>
      <w:r w:rsidRPr="00A428C3">
        <w:rPr>
          <w:i/>
          <w:iCs/>
        </w:rPr>
        <w:t>Co</w:t>
      </w:r>
      <w:r w:rsidRPr="00A428C3">
        <w:t xml:space="preserve"> &gt; </w:t>
      </w:r>
      <w:r w:rsidRPr="00A428C3">
        <w:rPr>
          <w:i/>
          <w:iCs/>
        </w:rPr>
        <w:t>Ca</w:t>
      </w:r>
      <w:r w:rsidRPr="00A428C3">
        <w:t xml:space="preserve"> &gt; </w:t>
      </w:r>
      <w:r w:rsidRPr="00A428C3">
        <w:rPr>
          <w:i/>
          <w:iCs/>
        </w:rPr>
        <w:t>Mg</w:t>
      </w:r>
      <w:r w:rsidRPr="00A428C3">
        <w:t xml:space="preserve"> &gt; </w:t>
      </w:r>
      <w:r w:rsidRPr="00A428C3">
        <w:rPr>
          <w:i/>
          <w:iCs/>
        </w:rPr>
        <w:t>Zn</w:t>
      </w:r>
      <w:r w:rsidRPr="00A428C3">
        <w:t xml:space="preserve"> &gt; </w:t>
      </w:r>
      <w:r w:rsidRPr="00A428C3">
        <w:rPr>
          <w:i/>
          <w:iCs/>
        </w:rPr>
        <w:t>Al</w:t>
      </w:r>
      <w:r w:rsidRPr="00A428C3">
        <w:t xml:space="preserve"> (heating rate 0.17 °Cs</w:t>
      </w:r>
      <w:r w:rsidRPr="00A428C3">
        <w:rPr>
          <w:vertAlign w:val="superscript"/>
        </w:rPr>
        <w:t>−1</w:t>
      </w:r>
      <w:r w:rsidRPr="00A428C3">
        <w:t>). Experiments with Fe in the entrained flow reactor showed an increase in concentration from 105 to 330 mmol kg</w:t>
      </w:r>
      <w:r w:rsidRPr="00A428C3">
        <w:rPr>
          <w:vertAlign w:val="superscript"/>
        </w:rPr>
        <w:t>−1</w:t>
      </w:r>
      <w:r w:rsidRPr="00A428C3">
        <w:t xml:space="preserve"> to have little effect, but a decrease from 105 to 42mmol kg</w:t>
      </w:r>
      <w:r w:rsidRPr="00A428C3">
        <w:rPr>
          <w:vertAlign w:val="superscript"/>
        </w:rPr>
        <w:t>−1</w:t>
      </w:r>
      <w:r w:rsidRPr="00A428C3">
        <w:t xml:space="preserve"> weakened the catalytic effect markedly. The thermogravimetric experiments predicted that concentrations between 105 mmol kg</w:t>
      </w:r>
      <w:r w:rsidRPr="00A428C3">
        <w:rPr>
          <w:vertAlign w:val="superscript"/>
        </w:rPr>
        <w:t>−1</w:t>
      </w:r>
      <w:r w:rsidR="00F81221">
        <w:t xml:space="preserve"> and </w:t>
      </w:r>
      <w:r w:rsidRPr="00A428C3">
        <w:t>330 mmol kg</w:t>
      </w:r>
      <w:r w:rsidRPr="00A428C3">
        <w:rPr>
          <w:vertAlign w:val="superscript"/>
        </w:rPr>
        <w:t>−1</w:t>
      </w:r>
      <w:r w:rsidRPr="00A428C3">
        <w:t xml:space="preserve"> would strengthen the catalytic effect. Catalytic effects of metals on combustion can be predicted on the basis of atomic structure. Transition metals are good catalysts</w:t>
      </w:r>
      <w:r w:rsidR="00F81221">
        <w:t xml:space="preserve"> and </w:t>
      </w:r>
      <w:r w:rsidRPr="00A428C3">
        <w:t>the best of them have five or six electrons in d orbitals, whereas metals with only one stable oxidation state</w:t>
      </w:r>
      <w:r w:rsidR="00F81221">
        <w:t xml:space="preserve"> and </w:t>
      </w:r>
      <w:r w:rsidRPr="00A428C3">
        <w:t>completely occupied or empty s, p</w:t>
      </w:r>
      <w:r w:rsidR="00F81221">
        <w:t xml:space="preserve"> and </w:t>
      </w:r>
      <w:r w:rsidRPr="00A428C3">
        <w:t>d orbitals are poor catalysts. These effects probably prevail in the combustion of coals. In the case of dried Finnish bog peat, the catalytic effects of cations are mainly due to Fe, because the contents of other strong catalysts (Cr</w:t>
      </w:r>
      <w:r w:rsidR="00F81221">
        <w:t xml:space="preserve"> and </w:t>
      </w:r>
      <w:r w:rsidRPr="00A428C3">
        <w:t>Mn) are very low relative to Fe; Ca causes some additional effects.</w:t>
      </w:r>
    </w:p>
    <w:p w:rsidR="00B95188" w:rsidRPr="00A428C3" w:rsidRDefault="00B95188" w:rsidP="00B95188">
      <w:pPr>
        <w:pStyle w:val="a0"/>
      </w:pPr>
      <w:r w:rsidRPr="00A428C3">
        <w:t>Keywords: Combustion, Peat, Metal Catalysts</w:t>
      </w:r>
    </w:p>
    <w:p w:rsidR="00B95188" w:rsidRPr="00A428C3" w:rsidRDefault="00B95188" w:rsidP="00B95188">
      <w:pPr>
        <w:pStyle w:val="a0"/>
      </w:pPr>
      <w:r w:rsidRPr="00A428C3">
        <w:t>Aho, M.J.</w:t>
      </w:r>
      <w:r w:rsidR="00F81221">
        <w:t xml:space="preserve"> and </w:t>
      </w:r>
      <w:bookmarkStart w:id="172" w:name="Pirkonen"/>
      <w:r w:rsidRPr="00A428C3">
        <w:t>Pirkonen</w:t>
      </w:r>
      <w:bookmarkEnd w:id="172"/>
      <w:r w:rsidRPr="00A428C3">
        <w:t>, P.M. (1993), Efficiency</w:t>
      </w:r>
      <w:r w:rsidR="00F81221">
        <w:t xml:space="preserve"> and </w:t>
      </w:r>
      <w:r w:rsidRPr="00A428C3">
        <w:t xml:space="preserve">environmental effects of peat dewatering by mechanical pressing. </w:t>
      </w:r>
      <w:r w:rsidRPr="00A428C3">
        <w:rPr>
          <w:i/>
        </w:rPr>
        <w:t>Fuel</w:t>
      </w:r>
      <w:r w:rsidRPr="00A428C3">
        <w:t xml:space="preserve">, </w:t>
      </w:r>
      <w:r w:rsidRPr="00A428C3">
        <w:rPr>
          <w:b/>
        </w:rPr>
        <w:t>72</w:t>
      </w:r>
      <w:r w:rsidRPr="00A428C3">
        <w:t xml:space="preserve"> (2), 239-243.</w:t>
      </w:r>
    </w:p>
    <w:p w:rsidR="00B95188" w:rsidRPr="00A428C3" w:rsidRDefault="00B95188" w:rsidP="00B95188">
      <w:pPr>
        <w:pStyle w:val="a0"/>
      </w:pPr>
      <w:r w:rsidRPr="00A428C3">
        <w:t xml:space="preserve">Full Text: </w:t>
      </w:r>
      <w:hyperlink r:id="rId233" w:history="1">
        <w:r w:rsidRPr="00A428C3">
          <w:rPr>
            <w:rStyle w:val="a5"/>
          </w:rPr>
          <w:t>F\Fuel72, 239.pdf</w:t>
        </w:r>
      </w:hyperlink>
    </w:p>
    <w:p w:rsidR="00B95188" w:rsidRPr="00A428C3" w:rsidRDefault="00B95188" w:rsidP="00B95188">
      <w:pPr>
        <w:pStyle w:val="a0"/>
      </w:pPr>
      <w:r w:rsidRPr="00A428C3">
        <w:t>Abstract: Changes in the chemical</w:t>
      </w:r>
      <w:r w:rsidR="00F81221">
        <w:t xml:space="preserve"> and </w:t>
      </w:r>
      <w:r w:rsidRPr="00A428C3">
        <w:t>physical structures of three types of Finnish peat (C, B</w:t>
      </w:r>
      <w:r w:rsidR="00F81221">
        <w:t xml:space="preserve"> and </w:t>
      </w:r>
      <w:r w:rsidRPr="00A428C3">
        <w:t>S) were studied during mechanical pressing. The effects of these changes on the efficiency of pressing</w:t>
      </w:r>
      <w:r w:rsidR="00F81221">
        <w:t xml:space="preserve"> and </w:t>
      </w:r>
      <w:r w:rsidRPr="00A428C3">
        <w:t>on the emissions into the pressing water were also investigated. Pressing was done at pH 3.2 by using Fennopol A3006 (a weakly anionic polyacrylamide-type chemical), a combination previously found inexpensive</w:t>
      </w:r>
      <w:r w:rsidR="00F81221">
        <w:t xml:space="preserve"> and </w:t>
      </w:r>
      <w:r w:rsidRPr="00A428C3">
        <w:t xml:space="preserve">effective. The dry solids load was </w:t>
      </w:r>
      <w:smartTag w:uri="urn:schemas-microsoft-com:office:smarttags" w:element="chmetcnv">
        <w:smartTagPr>
          <w:attr w:name="TCSC" w:val="0"/>
          <w:attr w:name="NumberType" w:val="1"/>
          <w:attr w:name="Negative" w:val="False"/>
          <w:attr w:name="HasSpace" w:val="True"/>
          <w:attr w:name="SourceValue" w:val="2.4"/>
          <w:attr w:name="UnitName" w:val="kg"/>
        </w:smartTagPr>
        <w:r w:rsidRPr="00A428C3">
          <w:t>2.4 kg</w:t>
        </w:r>
      </w:smartTag>
      <w:r w:rsidRPr="00A428C3">
        <w:t xml:space="preserve"> m</w:t>
      </w:r>
      <w:r w:rsidRPr="00A428C3">
        <w:rPr>
          <w:vertAlign w:val="superscript"/>
        </w:rPr>
        <w:t>−2</w:t>
      </w:r>
      <w:r w:rsidRPr="00A428C3">
        <w:t xml:space="preserve">. Clear differences were found in the water-binding capacities of the peats. The dry solids contents (wt%) of the peats </w:t>
      </w:r>
      <w:r w:rsidRPr="00A428C3">
        <w:lastRenderedPageBreak/>
        <w:t>after pressing for 500 s at 2.0 MPa by a computer-controlled piston press with two-way water outlet were: C, 37.0, B 33.5, S 27.5. A high content of humic substances</w:t>
      </w:r>
      <w:r w:rsidR="00F81221">
        <w:t xml:space="preserve"> and </w:t>
      </w:r>
      <w:r w:rsidRPr="00A428C3">
        <w:t xml:space="preserve">&lt;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A428C3">
          <w:t xml:space="preserve">10 </w:t>
        </w:r>
      </w:smartTag>
      <w:r w:rsidRPr="00A428C3">
        <w:sym w:font="Symbol" w:char="F06D"/>
      </w:r>
      <w:r w:rsidRPr="00A428C3">
        <w:t>m particles increased the water binding capacity of the peats. A large amount of Fennopol was bound to the peat during flocculation, making its recovery difficult. 20–40% of Ca</w:t>
      </w:r>
      <w:r w:rsidR="00F81221">
        <w:t xml:space="preserve"> and </w:t>
      </w:r>
      <w:r w:rsidRPr="00A428C3">
        <w:t>Mg were released from the peat owing to the low pH,</w:t>
      </w:r>
      <w:r w:rsidR="00F81221">
        <w:t xml:space="preserve"> and </w:t>
      </w:r>
      <w:r w:rsidRPr="00A428C3">
        <w:t>&gt; 80% of Fe</w:t>
      </w:r>
      <w:r w:rsidR="00F81221">
        <w:t xml:space="preserve"> and </w:t>
      </w:r>
      <w:r w:rsidRPr="00A428C3">
        <w:t>Al remained in the peat. Most of the S of the H</w:t>
      </w:r>
      <w:r w:rsidRPr="00A428C3">
        <w:rPr>
          <w:vertAlign w:val="subscript"/>
        </w:rPr>
        <w:t>2</w:t>
      </w:r>
      <w:r w:rsidRPr="00A428C3">
        <w:t>SO</w:t>
      </w:r>
      <w:r w:rsidRPr="00A428C3">
        <w:rPr>
          <w:vertAlign w:val="subscript"/>
        </w:rPr>
        <w:t>4</w:t>
      </w:r>
      <w:r w:rsidRPr="00A428C3">
        <w:t xml:space="preserve"> used for pH lowering was found in the pressing water. Neutralization of the pressing water by Ca(OH)</w:t>
      </w:r>
      <w:r w:rsidRPr="00A428C3">
        <w:rPr>
          <w:vertAlign w:val="subscript"/>
        </w:rPr>
        <w:t>2</w:t>
      </w:r>
      <w:r w:rsidRPr="00A428C3">
        <w:t xml:space="preserve"> to pH 7 costs ~US$8 per </w:t>
      </w:r>
      <w:smartTag w:uri="urn:schemas-microsoft-com:office:smarttags" w:element="chmetcnv">
        <w:smartTagPr>
          <w:attr w:name="TCSC" w:val="0"/>
          <w:attr w:name="NumberType" w:val="1"/>
          <w:attr w:name="Negative" w:val="False"/>
          <w:attr w:name="HasSpace" w:val="True"/>
          <w:attr w:name="SourceValue" w:val="1000"/>
          <w:attr w:name="UnitName" w:val="m3"/>
        </w:smartTagPr>
        <w:r w:rsidRPr="00A428C3">
          <w:t>1000 m</w:t>
        </w:r>
        <w:r w:rsidRPr="00A428C3">
          <w:rPr>
            <w:vertAlign w:val="superscript"/>
          </w:rPr>
          <w:t>3</w:t>
        </w:r>
      </w:smartTag>
      <w:r w:rsidRPr="00A428C3">
        <w:t>. The chemical costs of pressing are ~US$5 per tonne of dried peat.</w:t>
      </w:r>
    </w:p>
    <w:p w:rsidR="00B95188" w:rsidRPr="00A428C3" w:rsidRDefault="00B95188" w:rsidP="00B95188">
      <w:pPr>
        <w:pStyle w:val="a0"/>
      </w:pPr>
      <w:r w:rsidRPr="00A428C3">
        <w:t>Keywords: Peat, Dewatering, Environmental Effects</w:t>
      </w:r>
    </w:p>
    <w:p w:rsidR="00B95188" w:rsidRPr="00A428C3" w:rsidRDefault="00B95188" w:rsidP="00B95188">
      <w:pPr>
        <w:pStyle w:val="a0"/>
      </w:pPr>
      <w:r w:rsidRPr="00A428C3">
        <w:t>Heschel, W.</w:t>
      </w:r>
      <w:r w:rsidR="00F81221">
        <w:t xml:space="preserve"> and </w:t>
      </w:r>
      <w:r w:rsidRPr="00A428C3">
        <w:t xml:space="preserve">Klose, E. (1995), On the suitability of agricultural by-products for the manufacture of granular activated carbon. </w:t>
      </w:r>
      <w:r w:rsidRPr="00A428C3">
        <w:rPr>
          <w:i/>
        </w:rPr>
        <w:t>Fuel</w:t>
      </w:r>
      <w:r w:rsidRPr="00A428C3">
        <w:t xml:space="preserve">, </w:t>
      </w:r>
      <w:r w:rsidRPr="00A428C3">
        <w:rPr>
          <w:b/>
        </w:rPr>
        <w:t>74</w:t>
      </w:r>
      <w:r w:rsidRPr="00A428C3">
        <w:t xml:space="preserve"> (12), 1786-1791.</w:t>
      </w:r>
    </w:p>
    <w:p w:rsidR="00B95188" w:rsidRPr="00A428C3" w:rsidRDefault="00B95188" w:rsidP="00B95188">
      <w:pPr>
        <w:pStyle w:val="a0"/>
      </w:pPr>
      <w:r w:rsidRPr="00A428C3">
        <w:t xml:space="preserve">Full Text: </w:t>
      </w:r>
      <w:hyperlink r:id="rId234" w:history="1">
        <w:r w:rsidRPr="00A428C3">
          <w:rPr>
            <w:rStyle w:val="a5"/>
          </w:rPr>
          <w:t>F\Fuel74, 1786.pdf</w:t>
        </w:r>
      </w:hyperlink>
    </w:p>
    <w:p w:rsidR="00B95188" w:rsidRPr="00A428C3" w:rsidRDefault="00B95188" w:rsidP="00B95188">
      <w:pPr>
        <w:pStyle w:val="a0"/>
      </w:pPr>
      <w:r w:rsidRPr="00A428C3">
        <w:t>Abstract: An investigation of several agricultural by-products revealed that their suitability for activated carbon production is not determined by general material-specific features (elemental composition) but by type-specific features. A coarse-cellular structure (as in wood), which is indicated by porosities of the raw materials higher than ~35% is disadvantageous. A specific change in the properties of cokes (porosity, density, hardness) is possible by varying the conditions of pyrolysis. By rapid heating in the pyrolysis step, for instance, macroporous residues are produced. Temperature</w:t>
      </w:r>
      <w:r w:rsidR="00F81221">
        <w:t xml:space="preserve"> and </w:t>
      </w:r>
      <w:r w:rsidRPr="00A428C3">
        <w:t>burnoff have the greatest influence on the quality of the activated carbon during the activation step. Of the investigated materials, coconut shells yield granular activated carbon of the highest quality. The following order of suitability of raw materials for activated carbon production was established: coconut shells&gt; peach stones&gt; plum stones&gt; hazelnut shells&gt; walnut shells&gt; cherry stones.</w:t>
      </w:r>
    </w:p>
    <w:p w:rsidR="00B95188" w:rsidRPr="00A428C3" w:rsidRDefault="00B95188" w:rsidP="00B95188">
      <w:pPr>
        <w:pStyle w:val="a0"/>
      </w:pPr>
      <w:r w:rsidRPr="00A428C3">
        <w:t>Keywords: Activated Carbon, Agricultural By-Products, Pyrolysis</w:t>
      </w:r>
    </w:p>
    <w:p w:rsidR="00B95188" w:rsidRPr="00A428C3" w:rsidRDefault="00B95188" w:rsidP="00B95188">
      <w:pPr>
        <w:pStyle w:val="a0"/>
      </w:pPr>
      <w:r w:rsidRPr="00A428C3">
        <w:t xml:space="preserve">Bayat, O. (1998), Characterisation of Turkish fly ashes. </w:t>
      </w:r>
      <w:r w:rsidRPr="00A428C3">
        <w:rPr>
          <w:i/>
        </w:rPr>
        <w:t>Fuel</w:t>
      </w:r>
      <w:r w:rsidRPr="00A428C3">
        <w:t xml:space="preserve">, </w:t>
      </w:r>
      <w:r w:rsidRPr="00A428C3">
        <w:rPr>
          <w:b/>
        </w:rPr>
        <w:t>77</w:t>
      </w:r>
      <w:r w:rsidRPr="00A428C3">
        <w:t xml:space="preserve"> (9-10), 1059-1066.</w:t>
      </w:r>
    </w:p>
    <w:p w:rsidR="00B95188" w:rsidRPr="00A428C3" w:rsidRDefault="00B95188" w:rsidP="00B95188">
      <w:pPr>
        <w:pStyle w:val="a0"/>
      </w:pPr>
      <w:r w:rsidRPr="00A428C3">
        <w:t xml:space="preserve">Full Text: </w:t>
      </w:r>
      <w:hyperlink r:id="rId235" w:history="1">
        <w:r w:rsidRPr="00A428C3">
          <w:rPr>
            <w:rStyle w:val="a5"/>
          </w:rPr>
          <w:t>F\Fuel77, 1059.pdf</w:t>
        </w:r>
      </w:hyperlink>
    </w:p>
    <w:p w:rsidR="00B95188" w:rsidRPr="00A428C3" w:rsidRDefault="00B95188" w:rsidP="00B95188">
      <w:pPr>
        <w:pStyle w:val="a0"/>
      </w:pPr>
      <w:r w:rsidRPr="00A428C3">
        <w:t>Abstract: The mineralogical, morphological, physical</w:t>
      </w:r>
      <w:r w:rsidR="00F81221">
        <w:t xml:space="preserve"> and </w:t>
      </w:r>
      <w:r w:rsidRPr="00A428C3">
        <w:t>chemical properties of seven different fly ashes from eastern, central</w:t>
      </w:r>
      <w:r w:rsidR="00F81221">
        <w:t xml:space="preserve"> and </w:t>
      </w:r>
      <w:r w:rsidRPr="00A428C3">
        <w:t>western lignite</w:t>
      </w:r>
      <w:r w:rsidR="00F81221">
        <w:t xml:space="preserve"> and </w:t>
      </w:r>
      <w:r w:rsidRPr="00A428C3">
        <w:t xml:space="preserve">bituminous coal fields in </w:t>
      </w:r>
      <w:smartTag w:uri="urn:schemas-microsoft-com:office:smarttags" w:element="place">
        <w:smartTag w:uri="urn:schemas-microsoft-com:office:smarttags" w:element="country-region">
          <w:r w:rsidRPr="00A428C3">
            <w:t>Turkey</w:t>
          </w:r>
        </w:smartTag>
      </w:smartTag>
      <w:r w:rsidRPr="00A428C3">
        <w:t xml:space="preserve"> are compared in this study. The mineral matter in the fly ashes, determined by means of X-ray diffraction, is dominated mainly by anhydrite, lime, quartz</w:t>
      </w:r>
      <w:r w:rsidR="00F81221">
        <w:t xml:space="preserve"> and </w:t>
      </w:r>
      <w:r w:rsidRPr="00A428C3">
        <w:t>hematite + ferrite spinel. The three low-calcium ashes-Soma, Seyitomer</w:t>
      </w:r>
      <w:r w:rsidR="00F81221">
        <w:t xml:space="preserve"> and </w:t>
      </w:r>
      <w:r w:rsidRPr="00A428C3">
        <w:t>Catalagz</w:t>
      </w:r>
      <w:r>
        <w:rPr>
          <w:noProof/>
        </w:rPr>
        <w:drawing>
          <wp:inline distT="0" distB="0" distL="0" distR="0">
            <wp:extent cx="38100" cy="119380"/>
            <wp:effectExtent l="19050" t="0" r="0" b="0"/>
            <wp:docPr id="10" name="圖片 10" descr="small i without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i without dot"/>
                    <pic:cNvPicPr>
                      <a:picLocks noChangeAspect="1" noChangeArrowheads="1"/>
                    </pic:cNvPicPr>
                  </pic:nvPicPr>
                  <pic:blipFill>
                    <a:blip r:embed="rId236" cstate="print"/>
                    <a:srcRect/>
                    <a:stretch>
                      <a:fillRect/>
                    </a:stretch>
                  </pic:blipFill>
                  <pic:spPr bwMode="auto">
                    <a:xfrm>
                      <a:off x="0" y="0"/>
                      <a:ext cx="38100" cy="119380"/>
                    </a:xfrm>
                    <a:prstGeom prst="rect">
                      <a:avLst/>
                    </a:prstGeom>
                    <a:noFill/>
                    <a:ln w="9525">
                      <a:noFill/>
                      <a:miter lim="800000"/>
                      <a:headEnd/>
                      <a:tailEnd/>
                    </a:ln>
                  </pic:spPr>
                </pic:pic>
              </a:graphicData>
            </a:graphic>
          </wp:inline>
        </w:drawing>
      </w:r>
      <w:r w:rsidRPr="00A428C3">
        <w:t>-have the typical, relatively simple, crystalline phases Q, M, H</w:t>
      </w:r>
      <w:r w:rsidR="00F81221">
        <w:t xml:space="preserve"> and </w:t>
      </w:r>
      <w:r w:rsidRPr="00A428C3">
        <w:t>FS. The high-calcium fly ashes-Yenikoy</w:t>
      </w:r>
      <w:r w:rsidR="00F81221">
        <w:t xml:space="preserve"> and </w:t>
      </w:r>
      <w:r w:rsidRPr="00A428C3">
        <w:t>Afsin-Elbistan-have the most complex assemblage of crystalline phases. The much higher calcium concentrations in these samples result in the formation of lime (CaO), melilite [(Ca, Na)</w:t>
      </w:r>
      <w:r w:rsidRPr="00A428C3">
        <w:rPr>
          <w:vertAlign w:val="subscript"/>
        </w:rPr>
        <w:t>2</w:t>
      </w:r>
      <w:r w:rsidRPr="00A428C3">
        <w:t>(Mg, Al, Fe)(Si, Al)</w:t>
      </w:r>
      <w:r w:rsidRPr="00A428C3">
        <w:rPr>
          <w:vertAlign w:val="subscript"/>
        </w:rPr>
        <w:t>2</w:t>
      </w:r>
      <w:r w:rsidRPr="00A428C3">
        <w:t>O</w:t>
      </w:r>
      <w:r w:rsidRPr="00A428C3">
        <w:rPr>
          <w:vertAlign w:val="subscript"/>
        </w:rPr>
        <w:t>7</w:t>
      </w:r>
      <w:r w:rsidRPr="00A428C3">
        <w:t>]</w:t>
      </w:r>
      <w:r w:rsidR="00F81221">
        <w:t xml:space="preserve"> and </w:t>
      </w:r>
      <w:r w:rsidRPr="00A428C3">
        <w:t>merwinite (possible phase) [Ca</w:t>
      </w:r>
      <w:r w:rsidRPr="00A428C3">
        <w:rPr>
          <w:vertAlign w:val="subscript"/>
        </w:rPr>
        <w:t>3</w:t>
      </w:r>
      <w:r w:rsidRPr="00A428C3">
        <w:t>Mg(SiO</w:t>
      </w:r>
      <w:r w:rsidRPr="00A428C3">
        <w:rPr>
          <w:vertAlign w:val="subscript"/>
        </w:rPr>
        <w:t>4</w:t>
      </w:r>
      <w:r w:rsidRPr="00A428C3">
        <w:t>)</w:t>
      </w:r>
      <w:r w:rsidRPr="00A428C3">
        <w:rPr>
          <w:vertAlign w:val="subscript"/>
        </w:rPr>
        <w:t>2</w:t>
      </w:r>
      <w:r w:rsidRPr="00A428C3">
        <w:t xml:space="preserve">]. The presence of anhydrite in all samples indicates that the high activity of calcium not only promotes the </w:t>
      </w:r>
      <w:r w:rsidRPr="00A428C3">
        <w:lastRenderedPageBreak/>
        <w:t>formation of sulfates (Ah</w:t>
      </w:r>
      <w:r w:rsidR="00F81221">
        <w:t xml:space="preserve"> and </w:t>
      </w:r>
      <w:r w:rsidRPr="00A428C3">
        <w:t>SO) from calcite (in the presence of sulfur</w:t>
      </w:r>
      <w:r w:rsidR="00F81221">
        <w:t xml:space="preserve"> and </w:t>
      </w:r>
      <w:r w:rsidRPr="00A428C3">
        <w:t>oxygen), but also the dehydration of gypsum during</w:t>
      </w:r>
      <w:r w:rsidR="00F81221">
        <w:t xml:space="preserve"> and </w:t>
      </w:r>
      <w:r w:rsidRPr="00A428C3">
        <w:t>after combustion, which occurs at temperatures above 400</w:t>
      </w:r>
      <w:smartTag w:uri="urn:schemas-microsoft-com:office:smarttags" w:element="chmetcnv">
        <w:smartTagPr>
          <w:attr w:name="TCSC" w:val="0"/>
          <w:attr w:name="NumberType" w:val="1"/>
          <w:attr w:name="Negative" w:val="True"/>
          <w:attr w:name="HasSpace" w:val="False"/>
          <w:attr w:name="SourceValue" w:val="500"/>
          <w:attr w:name="UnitName" w:val="ﾰC"/>
        </w:smartTagPr>
        <w:r w:rsidRPr="00A428C3">
          <w:t>-500°C</w:t>
        </w:r>
      </w:smartTag>
      <w:r w:rsidRPr="00A428C3">
        <w:t>. It is very important to understand the interaction of high-calcium fly ashes with water occurring in Portland cement (C</w:t>
      </w:r>
      <w:smartTag w:uri="urn:schemas-microsoft-com:office:smarttags" w:element="chmetcnv">
        <w:smartTagPr>
          <w:attr w:name="TCSC" w:val="0"/>
          <w:attr w:name="NumberType" w:val="1"/>
          <w:attr w:name="Negative" w:val="False"/>
          <w:attr w:name="HasSpace" w:val="False"/>
          <w:attr w:name="SourceValue" w:val="3"/>
          <w:attr w:name="UnitName" w:val="a"/>
        </w:smartTagPr>
        <w:r w:rsidRPr="00A428C3">
          <w:rPr>
            <w:vertAlign w:val="subscript"/>
          </w:rPr>
          <w:t>3</w:t>
        </w:r>
        <w:r w:rsidRPr="00A428C3">
          <w:t>A</w:t>
        </w:r>
      </w:smartTag>
      <w:r w:rsidRPr="00A428C3">
        <w:t>, C</w:t>
      </w:r>
      <w:r w:rsidRPr="00A428C3">
        <w:rPr>
          <w:vertAlign w:val="subscript"/>
        </w:rPr>
        <w:t>2</w:t>
      </w:r>
      <w:r w:rsidRPr="00A428C3">
        <w:t>S), Ah, which hydrates to give gypsum</w:t>
      </w:r>
      <w:r w:rsidR="00F81221">
        <w:t xml:space="preserve"> and </w:t>
      </w:r>
      <w:r w:rsidRPr="00A428C3">
        <w:t>lime, with the latter hydrating to give the Ca(OH)</w:t>
      </w:r>
      <w:r w:rsidRPr="00A428C3">
        <w:rPr>
          <w:vertAlign w:val="subscript"/>
        </w:rPr>
        <w:t>2</w:t>
      </w:r>
      <w:r w:rsidRPr="00A428C3">
        <w:t xml:space="preserve"> solutions that promote pozzolonic reactions. It was clear from the microscopy data that some of the particles comprised predominantly irregularly formed, vesicular particles with some well-formed individual spheres in Catalagz</w:t>
      </w:r>
      <w:r>
        <w:rPr>
          <w:noProof/>
        </w:rPr>
        <w:drawing>
          <wp:inline distT="0" distB="0" distL="0" distR="0">
            <wp:extent cx="38100" cy="119380"/>
            <wp:effectExtent l="19050" t="0" r="0" b="0"/>
            <wp:docPr id="11" name="圖片 11" descr="small i without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 i without dot"/>
                    <pic:cNvPicPr>
                      <a:picLocks noChangeAspect="1" noChangeArrowheads="1"/>
                    </pic:cNvPicPr>
                  </pic:nvPicPr>
                  <pic:blipFill>
                    <a:blip r:embed="rId236" cstate="print"/>
                    <a:srcRect/>
                    <a:stretch>
                      <a:fillRect/>
                    </a:stretch>
                  </pic:blipFill>
                  <pic:spPr bwMode="auto">
                    <a:xfrm>
                      <a:off x="0" y="0"/>
                      <a:ext cx="38100" cy="119380"/>
                    </a:xfrm>
                    <a:prstGeom prst="rect">
                      <a:avLst/>
                    </a:prstGeom>
                    <a:noFill/>
                    <a:ln w="9525">
                      <a:noFill/>
                      <a:miter lim="800000"/>
                      <a:headEnd/>
                      <a:tailEnd/>
                    </a:ln>
                  </pic:spPr>
                </pic:pic>
              </a:graphicData>
            </a:graphic>
          </wp:inline>
        </w:drawing>
      </w:r>
      <w:r w:rsidR="00F81221">
        <w:t xml:space="preserve"> and </w:t>
      </w:r>
      <w:r w:rsidRPr="00A428C3">
        <w:t xml:space="preserve">Tuncbilek fly ashes. About 55-80 wt% was less than </w:t>
      </w:r>
      <w:smartTag w:uri="urn:schemas-microsoft-com:office:smarttags" w:element="chmetcnv">
        <w:smartTagPr>
          <w:attr w:name="TCSC" w:val="0"/>
          <w:attr w:name="NumberType" w:val="1"/>
          <w:attr w:name="Negative" w:val="False"/>
          <w:attr w:name="HasSpace" w:val="False"/>
          <w:attr w:name="SourceValue" w:val="45"/>
          <w:attr w:name="UnitName" w:val="m"/>
        </w:smartTagPr>
        <w:r w:rsidRPr="00A428C3">
          <w:t xml:space="preserve">45 </w:t>
        </w:r>
      </w:smartTag>
      <w:r w:rsidRPr="00A428C3">
        <w:sym w:font="Symbol" w:char="F06D"/>
      </w:r>
      <w:r w:rsidRPr="00A428C3">
        <w:t>m in size for Yatagan, Soma, Yenikoy</w:t>
      </w:r>
      <w:r w:rsidR="00F81221">
        <w:t xml:space="preserve"> and </w:t>
      </w:r>
      <w:r w:rsidRPr="00A428C3">
        <w:t>Afsin-Elbistan fly ashes. Chemical analyses of the fly ashes showed that they were mainly composed of CaO, SiO</w:t>
      </w:r>
      <w:r w:rsidRPr="00A428C3">
        <w:rPr>
          <w:vertAlign w:val="subscript"/>
        </w:rPr>
        <w:t>2</w:t>
      </w:r>
      <w:r w:rsidR="00F81221">
        <w:t xml:space="preserve"> and </w:t>
      </w:r>
      <w:r w:rsidRPr="00A428C3">
        <w:t>Al</w:t>
      </w:r>
      <w:r w:rsidRPr="00A428C3">
        <w:rPr>
          <w:vertAlign w:val="subscript"/>
        </w:rPr>
        <w:t>2</w:t>
      </w:r>
      <w:r w:rsidRPr="00A428C3">
        <w:t>O</w:t>
      </w:r>
      <w:r w:rsidRPr="00A428C3">
        <w:rPr>
          <w:vertAlign w:val="subscript"/>
        </w:rPr>
        <w:t>3</w:t>
      </w:r>
      <w:r w:rsidRPr="00A428C3">
        <w:t>. These fly ashes have a potential use in wastewater treatment since they can be easily obtained in large quantities at low price or even without price. The chemical</w:t>
      </w:r>
      <w:r w:rsidR="00F81221">
        <w:t xml:space="preserve"> and </w:t>
      </w:r>
      <w:r w:rsidRPr="00A428C3">
        <w:t>mineralogical compositions of the high-calcium Turkish fly ashes investigated make them a good binding agent</w:t>
      </w:r>
      <w:r w:rsidR="00F81221">
        <w:t xml:space="preserve"> and </w:t>
      </w:r>
      <w:r w:rsidRPr="00A428C3">
        <w:t>a possible substitute for slags, pozzolana</w:t>
      </w:r>
      <w:r w:rsidR="00F81221">
        <w:t xml:space="preserve"> and </w:t>
      </w:r>
      <w:r w:rsidRPr="00A428C3">
        <w:t xml:space="preserve">gypsum in the amelioration of clinker. Moreover, the fly ashes could be also used as a liming material to raise the low pH of acid soils in humid regions, such as around the Black Sea coast of </w:t>
      </w:r>
      <w:smartTag w:uri="urn:schemas-microsoft-com:office:smarttags" w:element="place">
        <w:smartTag w:uri="urn:schemas-microsoft-com:office:smarttags" w:element="country-region">
          <w:r w:rsidRPr="00A428C3">
            <w:t>Turkey</w:t>
          </w:r>
        </w:smartTag>
      </w:smartTag>
      <w:r w:rsidRPr="00A428C3">
        <w:t>.</w:t>
      </w:r>
    </w:p>
    <w:p w:rsidR="00B95188" w:rsidRPr="00A428C3" w:rsidRDefault="00B95188" w:rsidP="00B95188">
      <w:pPr>
        <w:pStyle w:val="a0"/>
      </w:pPr>
      <w:r w:rsidRPr="00A428C3">
        <w:t>Keywords: Coal, Fly Ash, Utilization, Cement, Leaching</w:t>
      </w:r>
    </w:p>
    <w:p w:rsidR="00B95188" w:rsidRPr="00A428C3" w:rsidRDefault="00B95188" w:rsidP="00B95188">
      <w:pPr>
        <w:pStyle w:val="a0"/>
      </w:pPr>
      <w:r w:rsidRPr="00A428C3">
        <w:t>Ayala, J., Blanco, F., García, P., Rodriguez, P.</w:t>
      </w:r>
      <w:r w:rsidR="00F81221">
        <w:t xml:space="preserve"> and </w:t>
      </w:r>
      <w:r w:rsidRPr="00A428C3">
        <w:t xml:space="preserve">Sancho, J. (1998), Asturian fly ash as a heavy metals removal material. </w:t>
      </w:r>
      <w:r w:rsidRPr="00A428C3">
        <w:rPr>
          <w:i/>
        </w:rPr>
        <w:t>Fuel</w:t>
      </w:r>
      <w:r w:rsidRPr="00A428C3">
        <w:t xml:space="preserve">, </w:t>
      </w:r>
      <w:r w:rsidRPr="00A428C3">
        <w:rPr>
          <w:b/>
        </w:rPr>
        <w:t>77</w:t>
      </w:r>
      <w:r w:rsidRPr="00A428C3">
        <w:t xml:space="preserve"> (11), 1147-1154.</w:t>
      </w:r>
    </w:p>
    <w:p w:rsidR="00B95188" w:rsidRPr="00A428C3" w:rsidRDefault="00B95188" w:rsidP="00B95188">
      <w:pPr>
        <w:pStyle w:val="a0"/>
      </w:pPr>
      <w:r w:rsidRPr="00A428C3">
        <w:t>Full Text:</w:t>
      </w:r>
      <w:r w:rsidRPr="00A428C3">
        <w:rPr>
          <w:iCs/>
        </w:rPr>
        <w:t xml:space="preserve"> </w:t>
      </w:r>
      <w:hyperlink r:id="rId237" w:history="1">
        <w:r w:rsidRPr="00A428C3">
          <w:rPr>
            <w:rStyle w:val="a5"/>
          </w:rPr>
          <w:t>F\Fuel77, 1147.pdf</w:t>
        </w:r>
      </w:hyperlink>
    </w:p>
    <w:p w:rsidR="00B95188" w:rsidRPr="00A428C3" w:rsidRDefault="00B95188" w:rsidP="00B95188">
      <w:pPr>
        <w:pStyle w:val="a0"/>
      </w:pPr>
      <w:r w:rsidRPr="00A428C3">
        <w:t>Abstract: Coal-burning plants produce large amounts of fly ash as a residue. Fly ash has been used in construction, agriculture, metal recovery</w:t>
      </w:r>
      <w:r w:rsidR="00F81221">
        <w:t xml:space="preserve"> and </w:t>
      </w:r>
      <w:r w:rsidRPr="00A428C3">
        <w:t>water pollution control. This paper considers the efficiency of fly ash in the removal of heavy metals (Cd</w:t>
      </w:r>
      <w:r w:rsidR="00F81221">
        <w:t xml:space="preserve"> and </w:t>
      </w:r>
      <w:r w:rsidRPr="00A428C3">
        <w:t>Cu). The fly ash is shown to be an effective metal adsorbent for these two metals. Adsorption capacity increases as metal initial concentration decreases.</w:t>
      </w:r>
    </w:p>
    <w:p w:rsidR="00B95188" w:rsidRPr="00A428C3" w:rsidRDefault="00B95188" w:rsidP="00B95188">
      <w:pPr>
        <w:pStyle w:val="a0"/>
      </w:pPr>
      <w:r w:rsidRPr="00A428C3">
        <w:t>The removal phenomenon appears to be that the fly ash neutralises the metal solution due to its alkaline nature. The presence of high ionic strength, or appreciable quantities of Ca</w:t>
      </w:r>
      <w:r w:rsidR="00F81221">
        <w:t xml:space="preserve"> and </w:t>
      </w:r>
      <w:r w:rsidRPr="00A428C3">
        <w:t>Cl ions does not have a significant effect on the adsorption of these metals by fly ash.</w:t>
      </w:r>
    </w:p>
    <w:p w:rsidR="00B95188" w:rsidRPr="00A428C3" w:rsidRDefault="00B95188" w:rsidP="00B95188">
      <w:pPr>
        <w:pStyle w:val="a0"/>
      </w:pPr>
      <w:r w:rsidRPr="00A428C3">
        <w:t>Keywords: Fly Ash, Removal, Heavy Metal</w:t>
      </w:r>
    </w:p>
    <w:p w:rsidR="00B95188" w:rsidRPr="00A428C3" w:rsidRDefault="00B95188" w:rsidP="00B95188">
      <w:pPr>
        <w:pStyle w:val="a0"/>
      </w:pPr>
      <w:r w:rsidRPr="00A428C3">
        <w:t>Manz, O.E. (1999), Coal fly ash: A retrospective</w:t>
      </w:r>
      <w:r w:rsidR="00F81221">
        <w:t xml:space="preserve"> and </w:t>
      </w:r>
      <w:r w:rsidRPr="00A428C3">
        <w:t xml:space="preserve">future look. </w:t>
      </w:r>
      <w:r w:rsidRPr="00A428C3">
        <w:rPr>
          <w:i/>
        </w:rPr>
        <w:t>Fuel</w:t>
      </w:r>
      <w:r w:rsidRPr="00A428C3">
        <w:t xml:space="preserve">, </w:t>
      </w:r>
      <w:r w:rsidRPr="00A428C3">
        <w:rPr>
          <w:b/>
        </w:rPr>
        <w:t>78</w:t>
      </w:r>
      <w:r w:rsidRPr="00A428C3">
        <w:t xml:space="preserve"> (2), 133-136.</w:t>
      </w:r>
    </w:p>
    <w:p w:rsidR="00B95188" w:rsidRPr="00A428C3" w:rsidRDefault="00B95188" w:rsidP="00B95188">
      <w:pPr>
        <w:pStyle w:val="a0"/>
      </w:pPr>
      <w:r w:rsidRPr="00A428C3">
        <w:t>Full Text:</w:t>
      </w:r>
      <w:r w:rsidRPr="00A428C3">
        <w:rPr>
          <w:iCs/>
        </w:rPr>
        <w:t xml:space="preserve"> </w:t>
      </w:r>
      <w:hyperlink r:id="rId238" w:history="1">
        <w:r w:rsidRPr="00A428C3">
          <w:rPr>
            <w:rStyle w:val="a5"/>
          </w:rPr>
          <w:t>F\Fuel78, 133.pdf</w:t>
        </w:r>
      </w:hyperlink>
    </w:p>
    <w:p w:rsidR="00B95188" w:rsidRPr="00A428C3" w:rsidRDefault="00B95188" w:rsidP="00B95188">
      <w:pPr>
        <w:pStyle w:val="a0"/>
      </w:pPr>
      <w:r w:rsidRPr="00A428C3">
        <w:t>Abstract: To accommodate the many new subbituminous fly ashes, the American Society for Testing</w:t>
      </w:r>
      <w:r w:rsidR="00F81221">
        <w:t xml:space="preserve"> and </w:t>
      </w:r>
      <w:r w:rsidRPr="00A428C3">
        <w:t>Materials (ASTM) established two classes of fly ash, Class F from bituminous coal</w:t>
      </w:r>
      <w:r w:rsidR="00F81221">
        <w:t xml:space="preserve"> and </w:t>
      </w:r>
      <w:r w:rsidRPr="00A428C3">
        <w:t>Class C from subbituminous</w:t>
      </w:r>
      <w:r w:rsidR="00F81221">
        <w:t xml:space="preserve"> and </w:t>
      </w:r>
      <w:r w:rsidRPr="00A428C3">
        <w:t xml:space="preserve">lignite coal. However, the wide variability of the Class C ashes from location to location led to extensive X-ray diffraction studies, with the conclusion that the mineralogy was more </w:t>
      </w:r>
      <w:r w:rsidRPr="00A428C3">
        <w:lastRenderedPageBreak/>
        <w:t>important than the chemical analysis</w:t>
      </w:r>
      <w:r w:rsidR="00F81221">
        <w:t xml:space="preserve"> and </w:t>
      </w:r>
      <w:r w:rsidRPr="00A428C3">
        <w:t>that the classification by type of coal was erroneous. A need exists to produce a performance-oriented standard rather than a prescriptive one. Recently, the installation of NO</w:t>
      </w:r>
      <w:r w:rsidRPr="00A428C3">
        <w:rPr>
          <w:i/>
          <w:iCs/>
          <w:vertAlign w:val="subscript"/>
        </w:rPr>
        <w:t>x</w:t>
      </w:r>
      <w:r w:rsidRPr="00A428C3">
        <w:t xml:space="preserve"> burners has increased the carbon content of fly ash and, consequently, the instability of entrained air in concrete. This paper presents a retrospective</w:t>
      </w:r>
      <w:r w:rsidR="00F81221">
        <w:t xml:space="preserve"> and </w:t>
      </w:r>
      <w:r w:rsidRPr="00A428C3">
        <w:t>future look on the use of fly ash for concrete production in the United States</w:t>
      </w:r>
      <w:r w:rsidR="00F81221">
        <w:t xml:space="preserve"> and </w:t>
      </w:r>
      <w:r w:rsidRPr="00A428C3">
        <w:t>makes suggestions for future research.</w:t>
      </w:r>
    </w:p>
    <w:p w:rsidR="00B95188" w:rsidRPr="00A428C3" w:rsidRDefault="00B95188" w:rsidP="00B95188">
      <w:pPr>
        <w:pStyle w:val="a0"/>
      </w:pPr>
      <w:r w:rsidRPr="00A428C3">
        <w:t>Keywords: Fly Ash, Concrete, Mineralogy</w:t>
      </w:r>
    </w:p>
    <w:p w:rsidR="00B95188" w:rsidRPr="00A428C3" w:rsidRDefault="00B95188" w:rsidP="00B95188">
      <w:pPr>
        <w:pStyle w:val="a0"/>
      </w:pPr>
      <w:r w:rsidRPr="00A428C3">
        <w:t>Héquet, V., Ricou, P., Lecuyer, I.</w:t>
      </w:r>
      <w:r w:rsidR="00F81221">
        <w:t xml:space="preserve"> and </w:t>
      </w:r>
      <w:r w:rsidRPr="00A428C3">
        <w:t>Le Cloirec, P. (2001), Removal of Cu</w:t>
      </w:r>
      <w:r w:rsidRPr="00A428C3">
        <w:rPr>
          <w:vertAlign w:val="superscript"/>
        </w:rPr>
        <w:t>2+</w:t>
      </w:r>
      <w:r w:rsidR="00F81221">
        <w:t xml:space="preserve"> and </w:t>
      </w:r>
      <w:r w:rsidRPr="00A428C3">
        <w:t>Zn</w:t>
      </w:r>
      <w:r w:rsidRPr="00A428C3">
        <w:rPr>
          <w:vertAlign w:val="superscript"/>
        </w:rPr>
        <w:t>2+</w:t>
      </w:r>
      <w:r w:rsidRPr="00A428C3">
        <w:t xml:space="preserve"> in aqueous solutions by sorption onto mixed fly ash. </w:t>
      </w:r>
      <w:r w:rsidRPr="00A428C3">
        <w:rPr>
          <w:i/>
        </w:rPr>
        <w:t>Fuel</w:t>
      </w:r>
      <w:r w:rsidRPr="00A428C3">
        <w:t xml:space="preserve">, </w:t>
      </w:r>
      <w:r w:rsidRPr="00A428C3">
        <w:rPr>
          <w:b/>
        </w:rPr>
        <w:t>80</w:t>
      </w:r>
      <w:r w:rsidRPr="00A428C3">
        <w:t xml:space="preserve"> (6), 851-856.</w:t>
      </w:r>
    </w:p>
    <w:p w:rsidR="00B95188" w:rsidRPr="00A428C3" w:rsidRDefault="00B95188" w:rsidP="00B95188">
      <w:pPr>
        <w:pStyle w:val="a0"/>
      </w:pPr>
      <w:r w:rsidRPr="00A428C3">
        <w:t xml:space="preserve">Full Text: </w:t>
      </w:r>
      <w:hyperlink r:id="rId239" w:history="1">
        <w:r w:rsidRPr="00A428C3">
          <w:rPr>
            <w:rStyle w:val="a5"/>
          </w:rPr>
          <w:t>F\Fuel80, 851.pdf</w:t>
        </w:r>
      </w:hyperlink>
    </w:p>
    <w:p w:rsidR="00B95188" w:rsidRPr="00A428C3" w:rsidRDefault="00B95188" w:rsidP="00B95188">
      <w:pPr>
        <w:pStyle w:val="a0"/>
      </w:pPr>
      <w:r w:rsidRPr="00A428C3">
        <w:t>Abstract: Disposal of a growing amount of fly ash creates environmental problems due to the leachability of their heavy metal content. However, fly ash is shown to be efficient in the removal of heavy metallic ions in the aqueous phase, for example, in the polluted wastewater resulting from desulfurization treatment in power plants. The objectives of this work were to study the removal of Cu</w:t>
      </w:r>
      <w:r w:rsidRPr="00A428C3">
        <w:rPr>
          <w:vertAlign w:val="superscript"/>
        </w:rPr>
        <w:t>2+</w:t>
      </w:r>
      <w:r w:rsidR="00F81221">
        <w:t xml:space="preserve"> and </w:t>
      </w:r>
      <w:r w:rsidRPr="00A428C3">
        <w:t>Zn</w:t>
      </w:r>
      <w:r w:rsidRPr="00A428C3">
        <w:rPr>
          <w:vertAlign w:val="superscript"/>
        </w:rPr>
        <w:t>2+</w:t>
      </w:r>
      <w:r w:rsidRPr="00A428C3">
        <w:t xml:space="preserve"> in water by sorption onto fly ash</w:t>
      </w:r>
      <w:r w:rsidR="00F81221">
        <w:t xml:space="preserve"> and </w:t>
      </w:r>
      <w:r w:rsidRPr="00A428C3">
        <w:t>fly ash mixture. The stability of the resulting cake was also approached in terms of leaching capability. Experimental design methodology was used in order to identify influential parameters</w:t>
      </w:r>
      <w:r w:rsidR="00F81221">
        <w:t xml:space="preserve"> and </w:t>
      </w:r>
      <w:r w:rsidRPr="00A428C3">
        <w:t>to evaluate their interactions. Temperature, fly ash to ion concentration ratio,</w:t>
      </w:r>
      <w:r w:rsidR="00F81221">
        <w:t xml:space="preserve"> and </w:t>
      </w:r>
      <w:r w:rsidRPr="00A428C3">
        <w:t>ash quality were particularly studied. Different ashes</w:t>
      </w:r>
      <w:r w:rsidR="00F81221">
        <w:t xml:space="preserve"> and </w:t>
      </w:r>
      <w:r w:rsidRPr="00A428C3">
        <w:t>a fly ash mixture were investigated. They each have alkaline reaction with water to a different extent,</w:t>
      </w:r>
      <w:r w:rsidR="00F81221">
        <w:t xml:space="preserve"> and </w:t>
      </w:r>
      <w:r w:rsidRPr="00A428C3">
        <w:t>this allows the control of the pH solution without lime addition. Final metal ion concentration in solution, sorption capacity</w:t>
      </w:r>
      <w:r w:rsidR="00F81221">
        <w:t xml:space="preserve"> and </w:t>
      </w:r>
      <w:r w:rsidRPr="00A428C3">
        <w:t>ion leaching were determined. The results are discussed in order to get the optimal operating parameters in terms of ion control to develop industrial techniques to remove</w:t>
      </w:r>
      <w:r w:rsidR="00F81221">
        <w:t xml:space="preserve"> and </w:t>
      </w:r>
      <w:r w:rsidRPr="00A428C3">
        <w:t>stabilize heavy metal ions present in wastewater. (C) 2001 Elsevier Science Ltd. All rights reserved.</w:t>
      </w:r>
    </w:p>
    <w:p w:rsidR="00B95188" w:rsidRPr="00A428C3" w:rsidRDefault="00B95188" w:rsidP="00B95188">
      <w:pPr>
        <w:pStyle w:val="a0"/>
      </w:pPr>
      <w:r w:rsidRPr="00A428C3">
        <w:t>Keywords: Fly Ash, Sorption, Metallic Ions, Water Treatment, Heavy Metal</w:t>
      </w:r>
    </w:p>
    <w:p w:rsidR="00C14381" w:rsidRPr="00A428C3" w:rsidRDefault="00C14381" w:rsidP="00C14381">
      <w:pPr>
        <w:pStyle w:val="a0"/>
      </w:pPr>
      <w:r w:rsidRPr="00A428C3">
        <w:t xml:space="preserve">? </w:t>
      </w:r>
      <w:r>
        <w:t>Lakatos</w:t>
      </w:r>
      <w:r>
        <w:rPr>
          <w:rFonts w:hint="eastAsia"/>
        </w:rPr>
        <w:t>,</w:t>
      </w:r>
      <w:r>
        <w:t xml:space="preserve"> J</w:t>
      </w:r>
      <w:r>
        <w:rPr>
          <w:rFonts w:hint="eastAsia"/>
        </w:rPr>
        <w:t>.</w:t>
      </w:r>
      <w:r>
        <w:t>, Brown</w:t>
      </w:r>
      <w:r>
        <w:rPr>
          <w:rFonts w:hint="eastAsia"/>
        </w:rPr>
        <w:t>,</w:t>
      </w:r>
      <w:r>
        <w:t xml:space="preserve"> S</w:t>
      </w:r>
      <w:r>
        <w:rPr>
          <w:rFonts w:hint="eastAsia"/>
        </w:rPr>
        <w:t>.</w:t>
      </w:r>
      <w:r>
        <w:t>D</w:t>
      </w:r>
      <w:r>
        <w:rPr>
          <w:rFonts w:hint="eastAsia"/>
        </w:rPr>
        <w:t>.</w:t>
      </w:r>
      <w:r w:rsidR="00F81221">
        <w:rPr>
          <w:rFonts w:hint="eastAsia"/>
        </w:rPr>
        <w:t xml:space="preserve"> and </w:t>
      </w:r>
      <w:r>
        <w:t>Snape</w:t>
      </w:r>
      <w:r>
        <w:rPr>
          <w:rFonts w:hint="eastAsia"/>
        </w:rPr>
        <w:t>,</w:t>
      </w:r>
      <w:r>
        <w:t xml:space="preserve"> C</w:t>
      </w:r>
      <w:r>
        <w:rPr>
          <w:rFonts w:hint="eastAsia"/>
        </w:rPr>
        <w:t>.</w:t>
      </w:r>
      <w:r>
        <w:t>E</w:t>
      </w:r>
      <w:r>
        <w:rPr>
          <w:rFonts w:hint="eastAsia"/>
        </w:rPr>
        <w:t>.</w:t>
      </w:r>
      <w:r w:rsidRPr="00A428C3">
        <w:t xml:space="preserve"> (2002), </w:t>
      </w:r>
      <w:r>
        <w:t>Coals as sorbents for the removal</w:t>
      </w:r>
      <w:r w:rsidR="00F81221">
        <w:t xml:space="preserve"> and </w:t>
      </w:r>
      <w:r>
        <w:t>reduction of hexavalent chromium from aqueous waste streams</w:t>
      </w:r>
      <w:r w:rsidRPr="00A428C3">
        <w:t xml:space="preserve">. </w:t>
      </w:r>
      <w:r w:rsidRPr="00A428C3">
        <w:rPr>
          <w:i/>
          <w:iCs/>
        </w:rPr>
        <w:t>Fuel</w:t>
      </w:r>
      <w:r w:rsidRPr="00A428C3">
        <w:t xml:space="preserve">, </w:t>
      </w:r>
      <w:r w:rsidRPr="00A428C3">
        <w:rPr>
          <w:b/>
        </w:rPr>
        <w:t>81</w:t>
      </w:r>
      <w:r w:rsidRPr="00A428C3">
        <w:t xml:space="preserve"> (18), </w:t>
      </w:r>
      <w:r>
        <w:t>691-698</w:t>
      </w:r>
      <w:r w:rsidRPr="00A428C3">
        <w:t>.</w:t>
      </w:r>
    </w:p>
    <w:p w:rsidR="00C14381" w:rsidRDefault="00C14381" w:rsidP="00C14381">
      <w:pPr>
        <w:pStyle w:val="a0"/>
      </w:pPr>
      <w:r w:rsidRPr="00A428C3">
        <w:t xml:space="preserve">Full Text: </w:t>
      </w:r>
      <w:hyperlink r:id="rId240" w:history="1">
        <w:r w:rsidRPr="00C14381">
          <w:rPr>
            <w:rStyle w:val="a5"/>
          </w:rPr>
          <w:t>2002\Fuel81, 691.pdf</w:t>
        </w:r>
      </w:hyperlink>
    </w:p>
    <w:p w:rsidR="00C14381" w:rsidRDefault="00C14381" w:rsidP="00C14381">
      <w:pPr>
        <w:pStyle w:val="a0"/>
      </w:pPr>
      <w:r>
        <w:t>Abstract: The aim of this study is to demonstrate the potential of coals as a low-cost reactive barrier material for environmental protection applications, with the ability to prevent leaching of toxic Cr(VI)</w:t>
      </w:r>
      <w:r w:rsidR="00F81221">
        <w:t xml:space="preserve"> and </w:t>
      </w:r>
      <w:r>
        <w:t>other transition metals. Depending upon the type of ion</w:t>
      </w:r>
      <w:r w:rsidR="00F81221">
        <w:t xml:space="preserve"> and </w:t>
      </w:r>
      <w:r>
        <w:t>the surface functionalities, the uptake can involve ion sorption, ion exchange, chelation</w:t>
      </w:r>
      <w:r w:rsidR="00F81221">
        <w:t xml:space="preserve"> and </w:t>
      </w:r>
      <w:r>
        <w:t>redox mechanisms with the surface functionalities being considered as partners in electron transfer processes. The capacity for Cr(VI) uptake of low rank coals</w:t>
      </w:r>
      <w:r w:rsidR="00F81221">
        <w:t xml:space="preserve"> and </w:t>
      </w:r>
      <w:r>
        <w:t>oxidized bituminous coals has been found to lie within the range 0.2-0.6 mM g</w:t>
      </w:r>
      <w:r>
        <w:rPr>
          <w:rFonts w:hint="eastAsia"/>
          <w:vertAlign w:val="superscript"/>
        </w:rPr>
        <w:t>-1</w:t>
      </w:r>
      <w:r>
        <w:t xml:space="preserve">. Air oxidation of bituminous coals can increase their Cr(VI) </w:t>
      </w:r>
      <w:r>
        <w:lastRenderedPageBreak/>
        <w:t>removal capacities. The effect of air oxidation of coals on uptake capacity was more pronounced for Cr(VI) than Cr(III), but less than for Hg(II)</w:t>
      </w:r>
      <w:r w:rsidR="00F81221">
        <w:t xml:space="preserve"> and </w:t>
      </w:r>
      <w:r>
        <w:t>the other ions (Ca</w:t>
      </w:r>
      <w:r w:rsidRPr="00C14381">
        <w:rPr>
          <w:vertAlign w:val="superscript"/>
        </w:rPr>
        <w:t>2+</w:t>
      </w:r>
      <w:r>
        <w:t>, Ba</w:t>
      </w:r>
      <w:r w:rsidRPr="00C14381">
        <w:rPr>
          <w:vertAlign w:val="superscript"/>
        </w:rPr>
        <w:t>2+</w:t>
      </w:r>
      <w:r>
        <w:t>, Zn</w:t>
      </w:r>
      <w:r w:rsidRPr="00C14381">
        <w:rPr>
          <w:vertAlign w:val="superscript"/>
        </w:rPr>
        <w:t>2+</w:t>
      </w:r>
      <w:r>
        <w:t>, Cd</w:t>
      </w:r>
      <w:r w:rsidRPr="00C14381">
        <w:rPr>
          <w:vertAlign w:val="superscript"/>
        </w:rPr>
        <w:t>2+</w:t>
      </w:r>
      <w:r>
        <w:t>) investigated. As previously found for Hg(II), redox mechanisms play an important role in Cr(VI) uptake, with sorption of the resultant Cr(III) being aided by the functionalities arising from oxidation of the coal surface. In acidic media, much of the resultant Cr(III) is exchanged back into solution by hydrogen ions, but some of the sorbed chromium is irreversibly bound to the coal. The reduction of Cr(VI) alone is often considered a satisfactory solution in view of Cr(</w:t>
      </w:r>
      <w:r>
        <w:rPr>
          <w:rFonts w:hint="eastAsia"/>
        </w:rPr>
        <w:t>III</w:t>
      </w:r>
      <w:r>
        <w:t>) being essentially non-toxic. (C) 2001 Elsevier Science Ltd. All rights reserved.</w:t>
      </w:r>
    </w:p>
    <w:p w:rsidR="00C14381" w:rsidRPr="00A428C3" w:rsidRDefault="00C14381" w:rsidP="00C14381">
      <w:pPr>
        <w:pStyle w:val="a0"/>
      </w:pPr>
      <w:r>
        <w:t>Keywords: Coal, Chromium Removal, Redox Capacity, Water Purification, Humic Acids, Cr(VI) Reduction, Heavy-Metals, Adsorption, Temperature, Substances, Chromate, Behavior, Cations, Fe(III)</w:t>
      </w:r>
    </w:p>
    <w:p w:rsidR="00C14381" w:rsidRPr="00A428C3" w:rsidRDefault="00C14381" w:rsidP="00C14381">
      <w:pPr>
        <w:pStyle w:val="a0"/>
      </w:pPr>
      <w:r w:rsidRPr="00A428C3">
        <w:t>? Tseng, H.H., Wey, M.Y., Chen, J.C.</w:t>
      </w:r>
      <w:r w:rsidR="00F81221">
        <w:t xml:space="preserve"> and </w:t>
      </w:r>
      <w:r w:rsidRPr="00A428C3">
        <w:t>Lu, C.Y. (2002), The adsorption of PAHs, BTEX,</w:t>
      </w:r>
      <w:r w:rsidR="00F81221">
        <w:t xml:space="preserve"> and </w:t>
      </w:r>
      <w:r w:rsidRPr="00A428C3">
        <w:t xml:space="preserve">heavy metals on surfactant-modified desulfurization sorbents in a dry scrubber. </w:t>
      </w:r>
      <w:r w:rsidRPr="00A428C3">
        <w:rPr>
          <w:i/>
          <w:iCs/>
        </w:rPr>
        <w:t>Fuel</w:t>
      </w:r>
      <w:r w:rsidRPr="00A428C3">
        <w:t xml:space="preserve">, </w:t>
      </w:r>
      <w:r w:rsidRPr="00A428C3">
        <w:rPr>
          <w:b/>
        </w:rPr>
        <w:t>81</w:t>
      </w:r>
      <w:r w:rsidRPr="00A428C3">
        <w:t xml:space="preserve"> (18), 2407-2416.</w:t>
      </w:r>
    </w:p>
    <w:p w:rsidR="00C14381" w:rsidRPr="00A428C3" w:rsidRDefault="00C14381" w:rsidP="00C14381">
      <w:pPr>
        <w:pStyle w:val="a0"/>
      </w:pPr>
      <w:r w:rsidRPr="00A428C3">
        <w:t xml:space="preserve">Full Text: </w:t>
      </w:r>
      <w:hyperlink r:id="rId241" w:history="1">
        <w:r w:rsidRPr="00A428C3">
          <w:rPr>
            <w:rStyle w:val="a5"/>
          </w:rPr>
          <w:t>2002\Fuel81, 2407.pdf</w:t>
        </w:r>
      </w:hyperlink>
    </w:p>
    <w:p w:rsidR="00B95188" w:rsidRPr="00A428C3" w:rsidRDefault="00B95188" w:rsidP="00B95188">
      <w:pPr>
        <w:pStyle w:val="a0"/>
      </w:pPr>
      <w:r w:rsidRPr="00A428C3">
        <w:t>Abstract: The injection of dry Ca-based sorbents for removing acid gases had been investigated previously. However, the utilization of Ca-based sorbents for adsorbing other air pollutants was rarely examined. The objective of this study was to investigate the reduction of organic compounds polycyclic aromatic hydrocarbons (PAHs)</w:t>
      </w:r>
      <w:r w:rsidR="00F81221">
        <w:t xml:space="preserve"> and </w:t>
      </w:r>
      <w:r w:rsidRPr="00A428C3">
        <w:t>benzene, toluene, ethylbenzene,</w:t>
      </w:r>
      <w:r w:rsidR="00F81221">
        <w:t xml:space="preserve"> and </w:t>
      </w:r>
      <w:r w:rsidRPr="00A428C3">
        <w:t>xylene (BTEX)</w:t>
      </w:r>
      <w:r w:rsidR="00F81221">
        <w:t xml:space="preserve"> and </w:t>
      </w:r>
      <w:r w:rsidRPr="00A428C3">
        <w:t>heavy metals by using the desulfurization sorbents in a dry scrubber integrated with a fabric filter. Four surfactants, calcium lignosulfonate, sodium lignosulfonate, alkyl naphthalene sodium sulfonate</w:t>
      </w:r>
      <w:r w:rsidR="00F81221">
        <w:t xml:space="preserve"> and </w:t>
      </w:r>
      <w:r w:rsidRPr="00A428C3">
        <w:t>beta-naphthalene sodium sulfonate condensates, were used as additives to modify the surface characteristics of desulfurization sorbent calcium hydroxide (Ca(OH)(2)). Modifying the desulfurization sorbents with surfactants showed different effects on removal of PAHs, BTEX,</w:t>
      </w:r>
      <w:r w:rsidR="00F81221">
        <w:t xml:space="preserve"> and </w:t>
      </w:r>
      <w:r w:rsidRPr="00A428C3">
        <w:t>heavy metals,</w:t>
      </w:r>
      <w:r w:rsidR="00F81221">
        <w:t xml:space="preserve"> and </w:t>
      </w:r>
      <w:r w:rsidRPr="00A428C3">
        <w:t>exploited the potential of Ca-based sorbents for adsorbing air pollutants other than SO2. (C) 2002 Elsevier Science Ltd. All rights reserved.</w:t>
      </w:r>
    </w:p>
    <w:p w:rsidR="00B95188" w:rsidRPr="00A428C3" w:rsidRDefault="00B95188" w:rsidP="00B95188">
      <w:pPr>
        <w:pStyle w:val="a0"/>
      </w:pPr>
      <w:r w:rsidRPr="00A428C3">
        <w:t>Keywords: Acid Gases, Additives, Adsorption, Air, Air Pollutants, Aromatic, Aromatic Hydrocarbons, Benzene, Btex, Calcium, Desulfurization Sorbents, Ethylbenzene, Fabric, Gases, Heavy Metal, Heavy Metals, Hydrocarbons, Injection, Metals, Organic, Organic Compounds, Pahs, Pollutants, Polycyclic Aromatic Hydrocarbons, Reduction, SO</w:t>
      </w:r>
      <w:r w:rsidRPr="00A428C3">
        <w:rPr>
          <w:vertAlign w:val="subscript"/>
        </w:rPr>
        <w:t>2</w:t>
      </w:r>
      <w:r w:rsidRPr="00A428C3">
        <w:t>, Sodium, Surface, Surface Characteristics, Surfactant, Surfactants, Toluene, Utilization</w:t>
      </w:r>
    </w:p>
    <w:p w:rsidR="00B95188" w:rsidRPr="00A428C3" w:rsidRDefault="00B95188" w:rsidP="00B95188">
      <w:pPr>
        <w:pStyle w:val="a0"/>
      </w:pPr>
      <w:r w:rsidRPr="00A428C3">
        <w:t>Shawabkeh, R., Al-Harahsheh, A., Hami, M.</w:t>
      </w:r>
      <w:r w:rsidR="00F81221">
        <w:t xml:space="preserve"> and </w:t>
      </w:r>
      <w:r w:rsidRPr="00A428C3">
        <w:t>Khlaifat, A. (2004), Conversion of oil shale ash into zeolite for cadmium</w:t>
      </w:r>
      <w:r w:rsidR="00F81221">
        <w:t xml:space="preserve"> and </w:t>
      </w:r>
      <w:r w:rsidRPr="00A428C3">
        <w:t xml:space="preserve">lead removal from wastewater. </w:t>
      </w:r>
      <w:r w:rsidRPr="00A428C3">
        <w:rPr>
          <w:i/>
        </w:rPr>
        <w:t>Fuel</w:t>
      </w:r>
      <w:r w:rsidRPr="00A428C3">
        <w:t xml:space="preserve">, </w:t>
      </w:r>
      <w:r w:rsidRPr="00A428C3">
        <w:rPr>
          <w:b/>
        </w:rPr>
        <w:t>83</w:t>
      </w:r>
      <w:r w:rsidRPr="00A428C3">
        <w:t xml:space="preserve"> (7-8), 981-985.</w:t>
      </w:r>
    </w:p>
    <w:p w:rsidR="00B95188" w:rsidRPr="00A428C3" w:rsidRDefault="00B95188" w:rsidP="00B95188">
      <w:pPr>
        <w:pStyle w:val="a0"/>
      </w:pPr>
      <w:r w:rsidRPr="00A428C3">
        <w:t xml:space="preserve">Full Text: </w:t>
      </w:r>
      <w:hyperlink r:id="rId242" w:history="1">
        <w:r w:rsidRPr="00A428C3">
          <w:rPr>
            <w:rStyle w:val="a5"/>
          </w:rPr>
          <w:t>F\Fuel83, 981.pdf</w:t>
        </w:r>
      </w:hyperlink>
    </w:p>
    <w:p w:rsidR="00B95188" w:rsidRPr="00A428C3" w:rsidRDefault="00B95188" w:rsidP="00B95188">
      <w:pPr>
        <w:pStyle w:val="a0"/>
      </w:pPr>
      <w:r w:rsidRPr="00A428C3">
        <w:lastRenderedPageBreak/>
        <w:t xml:space="preserve">Abstract: A by-product fly ash from oil shale processing was converted into zeolite by alkali hydrothermal activation using sodium hydroxide. The activation was performed at different activation temperatures using </w:t>
      </w:r>
      <w:smartTag w:uri="urn:schemas-microsoft-com:office:smarttags" w:element="chmetcnv">
        <w:smartTagPr>
          <w:attr w:name="TCSC" w:val="0"/>
          <w:attr w:name="NumberType" w:val="1"/>
          <w:attr w:name="Negative" w:val="False"/>
          <w:attr w:name="HasSpace" w:val="True"/>
          <w:attr w:name="SourceValue" w:val="8"/>
          <w:attr w:name="UnitName" w:val="m"/>
        </w:smartTagPr>
        <w:r w:rsidRPr="00A428C3">
          <w:t>8 M</w:t>
        </w:r>
      </w:smartTag>
      <w:r w:rsidRPr="00A428C3">
        <w:t xml:space="preserve"> sodium hydroxide. The obtained cation exchange capacity (CEC) showed that the best condition for synthesis of zeolite performed in a closed reactor at 160</w:t>
      </w:r>
      <w:r w:rsidR="008A7E71">
        <w:t>°</w:t>
      </w:r>
      <w:r w:rsidRPr="00A428C3">
        <w:t>C for 24 h. Powder patterns of X-ray diffraction analysis have shown that zeolite of type Na-PI was successfully synthesized at 29.5, 32.2</w:t>
      </w:r>
      <w:r w:rsidR="00F81221">
        <w:t xml:space="preserve"> and </w:t>
      </w:r>
      <w:r w:rsidRPr="00A428C3">
        <w:t>34.4</w:t>
      </w:r>
      <w:r w:rsidR="008A7E71">
        <w:t>°</w:t>
      </w:r>
      <w:r w:rsidRPr="00A428C3">
        <w:t>. The produced zeolite was used as an ion exchanger for the treatment of wastewater for metal ions. Lead</w:t>
      </w:r>
      <w:r w:rsidR="00F81221">
        <w:t xml:space="preserve"> and </w:t>
      </w:r>
      <w:r w:rsidRPr="00A428C3">
        <w:t>cadmium were chosen as target metal ions. The adsorption capacity was estimated to be 70.58 mg lead/g-zeolite</w:t>
      </w:r>
      <w:r w:rsidR="00F81221">
        <w:t xml:space="preserve"> and </w:t>
      </w:r>
      <w:r w:rsidRPr="00A428C3">
        <w:t>95.6 mg cadmium/g-zeolite when the initial concentration for both ions was 100 mg/l. The results were correlated using Redlich-Peterson</w:t>
      </w:r>
      <w:r w:rsidR="00F81221">
        <w:t xml:space="preserve"> and </w:t>
      </w:r>
      <w:r w:rsidRPr="00A428C3">
        <w:t>Sips models. For cadmium the best fit was obtained with the Sips model while, for lead the Sips models fits the experimental data adequately. Based on such results, it is concluded that the treated ash may possess strong potentials for zeolite production used in wastewater treatment. (C) 2003 Elsevier Ltd. All fights reserved.</w:t>
      </w:r>
    </w:p>
    <w:p w:rsidR="00B95188" w:rsidRPr="00A428C3" w:rsidRDefault="00B95188" w:rsidP="00B95188">
      <w:pPr>
        <w:pStyle w:val="a0"/>
      </w:pPr>
      <w:r w:rsidRPr="00A428C3">
        <w:t>Keywords: Oil Shale, Ash, Zeolite, Cadmium</w:t>
      </w:r>
      <w:r w:rsidR="00F81221">
        <w:t xml:space="preserve"> and </w:t>
      </w:r>
      <w:r w:rsidRPr="00A428C3">
        <w:t>Lead Removal, Fly-Ash, Metal-Ions, Adsorption, Sorption, Equilibrium, Nickel</w:t>
      </w:r>
    </w:p>
    <w:p w:rsidR="00B95188" w:rsidRPr="00A428C3" w:rsidRDefault="00B95188" w:rsidP="00B95188">
      <w:pPr>
        <w:pStyle w:val="a0"/>
      </w:pPr>
      <w:r w:rsidRPr="00A428C3">
        <w:t>? Roldan, P.S., Alcantara, I.L., Padilha, C.C.F.</w:t>
      </w:r>
      <w:r w:rsidR="00F81221">
        <w:t xml:space="preserve"> and </w:t>
      </w:r>
      <w:r w:rsidRPr="00A428C3">
        <w:t>Padilha, P.M. (2005), Determination of copper, iron, nickel</w:t>
      </w:r>
      <w:r w:rsidR="00F81221">
        <w:t xml:space="preserve"> and </w:t>
      </w:r>
      <w:r w:rsidRPr="00A428C3">
        <w:t>zinc in gasoline by FAAS after sorption</w:t>
      </w:r>
      <w:r w:rsidR="00F81221">
        <w:t xml:space="preserve"> and </w:t>
      </w:r>
      <w:r w:rsidRPr="00A428C3">
        <w:t xml:space="preserve">preconcentration on silica modified with 2-aminotiazole groups. </w:t>
      </w:r>
      <w:r w:rsidRPr="00A428C3">
        <w:rPr>
          <w:i/>
          <w:iCs/>
        </w:rPr>
        <w:t>Fuel</w:t>
      </w:r>
      <w:r w:rsidRPr="00A428C3">
        <w:t xml:space="preserve">, </w:t>
      </w:r>
      <w:r w:rsidRPr="00A428C3">
        <w:rPr>
          <w:b/>
        </w:rPr>
        <w:t>84</w:t>
      </w:r>
      <w:r w:rsidRPr="00A428C3">
        <w:t xml:space="preserve"> (2-3), 305-309.</w:t>
      </w:r>
    </w:p>
    <w:p w:rsidR="00B95188" w:rsidRPr="00A428C3" w:rsidRDefault="00B95188" w:rsidP="00B95188">
      <w:pPr>
        <w:pStyle w:val="a0"/>
      </w:pPr>
      <w:r w:rsidRPr="00A428C3">
        <w:t xml:space="preserve">Full Text: </w:t>
      </w:r>
      <w:hyperlink r:id="rId243" w:history="1">
        <w:r w:rsidRPr="00A428C3">
          <w:rPr>
            <w:rStyle w:val="a5"/>
          </w:rPr>
          <w:t>2005\Fuel84, 305.pdf</w:t>
        </w:r>
      </w:hyperlink>
    </w:p>
    <w:p w:rsidR="00B95188" w:rsidRPr="00A428C3" w:rsidRDefault="00B95188" w:rsidP="00B95188">
      <w:pPr>
        <w:pStyle w:val="a0"/>
      </w:pPr>
      <w:r w:rsidRPr="00A428C3">
        <w:t>Abstract: Silica gel chemically modified with 2-aminotiazole groups (SiAT), was used for preconcentration of cupper, zinc, nickel</w:t>
      </w:r>
      <w:r w:rsidR="00F81221">
        <w:t xml:space="preserve"> and </w:t>
      </w:r>
      <w:r w:rsidRPr="00A428C3">
        <w:t>iron from gasoline, normally used as a engine fuel. Surface characteristics</w:t>
      </w:r>
      <w:r w:rsidR="00F81221">
        <w:t xml:space="preserve"> and </w:t>
      </w:r>
      <w:r w:rsidRPr="00A428C3">
        <w:t>surface area of the silica gel were obtained before</w:t>
      </w:r>
      <w:r w:rsidR="00F81221">
        <w:t xml:space="preserve"> and </w:t>
      </w:r>
      <w:r w:rsidRPr="00A428C3">
        <w:t>after chemical modification using FT-IR, Kjeldhal</w:t>
      </w:r>
      <w:r w:rsidR="00F81221">
        <w:t xml:space="preserve"> and </w:t>
      </w:r>
      <w:r w:rsidRPr="00A428C3">
        <w:t>surface area analysis (B.E.T.). The retention</w:t>
      </w:r>
      <w:r w:rsidR="00F81221">
        <w:t xml:space="preserve"> and </w:t>
      </w:r>
      <w:r w:rsidRPr="00A428C3">
        <w:t>recovery of the analyte elements were studied by applying batch</w:t>
      </w:r>
      <w:r w:rsidR="00F81221">
        <w:t xml:space="preserve"> and </w:t>
      </w:r>
      <w:r w:rsidRPr="00A428C3">
        <w:t>column techniques. The experimental parameters, such as shaking time in batch technique, flow rate</w:t>
      </w:r>
      <w:r w:rsidR="00F81221">
        <w:t xml:space="preserve"> and </w:t>
      </w:r>
      <w:r w:rsidRPr="00A428C3">
        <w:t>concentration of the eluent (HCl-0.25-2.00 mol 1</w:t>
      </w:r>
      <w:r w:rsidRPr="00A428C3">
        <w:rPr>
          <w:vertAlign w:val="superscript"/>
        </w:rPr>
        <w:t>-1</w:t>
      </w:r>
      <w:r w:rsidRPr="00A428C3">
        <w:t>)</w:t>
      </w:r>
      <w:r w:rsidR="00F81221">
        <w:t xml:space="preserve"> and </w:t>
      </w:r>
      <w:r w:rsidRPr="00A428C3">
        <w:t>the amount of silica, on retention</w:t>
      </w:r>
      <w:r w:rsidR="00F81221">
        <w:t xml:space="preserve"> and </w:t>
      </w:r>
      <w:r w:rsidRPr="00A428C3">
        <w:t>elution, have been investigated. Detection limits of the method for cupper, iron, nickel</w:t>
      </w:r>
      <w:r w:rsidR="00F81221">
        <w:t xml:space="preserve"> and </w:t>
      </w:r>
      <w:r w:rsidRPr="00A428C3">
        <w:t>zinc are 0.8, 3, 2</w:t>
      </w:r>
      <w:r w:rsidR="00F81221">
        <w:t xml:space="preserve"> and </w:t>
      </w:r>
      <w:r w:rsidRPr="00A428C3">
        <w:t>0.1 mug 1</w:t>
      </w:r>
      <w:r w:rsidRPr="00A428C3">
        <w:rPr>
          <w:vertAlign w:val="superscript"/>
        </w:rPr>
        <w:t>-1</w:t>
      </w:r>
      <w:r w:rsidRPr="00A428C3">
        <w:t>, respectively. The sorption-desorption of the studied metal ions made possible the development of a preconcentration method for metal ions at trace level in gasoline using flame AAS for their quantification. (C) 2004 Published by Elsevier Ltd.</w:t>
      </w:r>
    </w:p>
    <w:p w:rsidR="00B95188" w:rsidRPr="00A428C3" w:rsidRDefault="00B95188" w:rsidP="00B95188">
      <w:pPr>
        <w:pStyle w:val="a0"/>
      </w:pPr>
      <w:r w:rsidRPr="00A428C3">
        <w:t xml:space="preserve">Keywords: AAS, Adsorption, Analysis, Cations, Chemical, Chemical Modification, Chemisorption, Concentration, Copper, Development, Elements, Ethanol, FAAS Determinations, Flow, FT-IR, FTIR, Gasoline, Gel, Iron, Made, Metal Ions, Metal-Ions, Modification, Modified, Nickel, Parameters, Preconcentration, </w:t>
      </w:r>
      <w:r w:rsidRPr="00A428C3">
        <w:lastRenderedPageBreak/>
        <w:t>Quantification, Recovery, Retention, Silica, Silica Gel, Sorption, Surface, Surface Area, Techniques, Zinc</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Burns</w:t>
          </w:r>
        </w:smartTag>
        <w:r w:rsidRPr="00A428C3">
          <w:t xml:space="preserve">, </w:t>
        </w:r>
        <w:smartTag w:uri="urn:schemas-microsoft-com:office:smarttags" w:element="country-region">
          <w:r w:rsidRPr="00A428C3">
            <w:t>C.A.</w:t>
          </w:r>
        </w:smartTag>
      </w:smartTag>
      <w:r w:rsidRPr="00A428C3">
        <w:t>, Boily, J.F., Crawford, R.J.</w:t>
      </w:r>
      <w:r w:rsidR="00F81221">
        <w:t xml:space="preserve"> and </w:t>
      </w:r>
      <w:r w:rsidRPr="00A428C3">
        <w:t xml:space="preserve">Harding, I.H. (2005), Cd(II) sorption onto chemically modified Australian coals. </w:t>
      </w:r>
      <w:r w:rsidRPr="00A428C3">
        <w:rPr>
          <w:i/>
          <w:iCs/>
        </w:rPr>
        <w:t>Fuel</w:t>
      </w:r>
      <w:r w:rsidRPr="00A428C3">
        <w:t xml:space="preserve">, </w:t>
      </w:r>
      <w:r w:rsidRPr="00A428C3">
        <w:rPr>
          <w:b/>
        </w:rPr>
        <w:t>84</w:t>
      </w:r>
      <w:r w:rsidRPr="00A428C3">
        <w:t xml:space="preserve"> (12-13), 1653-1660.</w:t>
      </w:r>
    </w:p>
    <w:p w:rsidR="00B95188" w:rsidRPr="00A428C3" w:rsidRDefault="00B95188" w:rsidP="00B95188">
      <w:pPr>
        <w:pStyle w:val="a0"/>
      </w:pPr>
      <w:r w:rsidRPr="00A428C3">
        <w:t xml:space="preserve">Full Text: </w:t>
      </w:r>
      <w:hyperlink r:id="rId244" w:history="1">
        <w:r w:rsidRPr="00A428C3">
          <w:rPr>
            <w:rStyle w:val="a5"/>
          </w:rPr>
          <w:t>2005\Fuel84, 1653.pdf</w:t>
        </w:r>
      </w:hyperlink>
    </w:p>
    <w:p w:rsidR="00B95188" w:rsidRPr="00A428C3" w:rsidRDefault="00B95188" w:rsidP="00B95188">
      <w:pPr>
        <w:pStyle w:val="a0"/>
      </w:pPr>
      <w:r>
        <w:t>Abstract: Cadmium</w:t>
      </w:r>
      <w:r w:rsidRPr="00A428C3">
        <w:t>(II) adsorption onto chemically modified Australian coals has been studied as a function of p[H</w:t>
      </w:r>
      <w:r w:rsidRPr="00A428C3">
        <w:rPr>
          <w:vertAlign w:val="superscript"/>
        </w:rPr>
        <w:t>+</w:t>
      </w:r>
      <w:r w:rsidRPr="00A428C3">
        <w:t>] at 25</w:t>
      </w:r>
      <w:r w:rsidR="008A7E71">
        <w:t>°</w:t>
      </w:r>
      <w:r w:rsidRPr="00A428C3">
        <w:t>C. The low rank Collie</w:t>
      </w:r>
      <w:r w:rsidR="00F81221">
        <w:t xml:space="preserve"> and </w:t>
      </w:r>
      <w:r w:rsidRPr="00A428C3">
        <w:t>Loy Yang coals</w:t>
      </w:r>
      <w:r w:rsidR="00F81221">
        <w:t xml:space="preserve"> and </w:t>
      </w:r>
      <w:r w:rsidRPr="00A428C3">
        <w:t xml:space="preserve">the bituminous </w:t>
      </w:r>
      <w:smartTag w:uri="urn:schemas-microsoft-com:office:smarttags" w:element="PlaceName">
        <w:r w:rsidRPr="00A428C3">
          <w:t>Norwich</w:t>
        </w:r>
      </w:smartTag>
      <w:r w:rsidRPr="00A428C3">
        <w:t xml:space="preserve"> Park</w:t>
      </w:r>
      <w:r w:rsidR="00F81221">
        <w:t xml:space="preserve"> and </w:t>
      </w:r>
      <w:r w:rsidRPr="00A428C3">
        <w:t xml:space="preserve">Mount </w:t>
      </w:r>
      <w:smartTag w:uri="urn:schemas-microsoft-com:office:smarttags" w:element="PlaceName">
        <w:r w:rsidRPr="00A428C3">
          <w:t>Arthur</w:t>
        </w:r>
      </w:smartTag>
      <w:r w:rsidRPr="00A428C3">
        <w:t xml:space="preserve"> coals were modified with hydrogen peroxide. While both treated bituminous coals showed little affinity for Cd(II) the adsorption properties of the two low rank coals were drastically modified by treatment with hydrogen peroxide. NICA-Donnan model calculations for the treated Collie coal indicated an increase in functionality (ca. 5-fold) which was reflected in the important increase in Cd(II) adsorption obtained from batch adsorption experiments. On the other hand, the modified Loy Yang coal underwent a c</w:t>
      </w:r>
      <w:smartTag w:uri="urn:schemas-microsoft-com:office:smarttags" w:element="chsdate">
        <w:smartTagPr>
          <w:attr w:name="IsROCDate" w:val="False"/>
          <w:attr w:name="IsLunarDate" w:val="False"/>
          <w:attr w:name="Day" w:val="30"/>
          <w:attr w:name="Month" w:val="12"/>
          <w:attr w:name="Year" w:val="1899"/>
        </w:smartTagPr>
        <w:r w:rsidRPr="00A428C3">
          <w:t>a. 6.25</w:t>
        </w:r>
      </w:smartTag>
      <w:r w:rsidRPr="00A428C3">
        <w:t xml:space="preserve"> decrease in surface functionality</w:t>
      </w:r>
      <w:r w:rsidR="00F81221">
        <w:t xml:space="preserve"> and </w:t>
      </w:r>
      <w:r w:rsidRPr="00A428C3">
        <w:t>decomposition of the coal structure itself. These changes were reflected in the DRIFT spectra in bands characteristic of the oxygen-containing functional groups. The Cd(II) adsorption capacity of this modified coal was consequently substantially decreased. The two low rank coals were also treated with ammonia at p[H</w:t>
      </w:r>
      <w:r w:rsidRPr="00A428C3">
        <w:rPr>
          <w:vertAlign w:val="superscript"/>
        </w:rPr>
        <w:t>+</w:t>
      </w:r>
      <w:r w:rsidRPr="00A428C3">
        <w:t>] 7.5</w:t>
      </w:r>
      <w:r w:rsidR="00F81221">
        <w:t xml:space="preserve"> and </w:t>
      </w:r>
      <w:r w:rsidRPr="00A428C3">
        <w:t>9.5. This treatment did not, however, induce any substantial change in the adsorption of Cd(II). DRIFT spectra showed that the predominant functional groups present in both Collie</w:t>
      </w:r>
      <w:r w:rsidR="00F81221">
        <w:t xml:space="preserve"> and </w:t>
      </w:r>
      <w:r w:rsidRPr="00A428C3">
        <w:t>Loy Yang coal remained essentially unchanged after treatment with aqueous ammonia. (c) 2005 Elsevier Ltd. All rights reserved.</w:t>
      </w:r>
    </w:p>
    <w:p w:rsidR="00B95188" w:rsidRPr="00A428C3" w:rsidRDefault="00B95188" w:rsidP="00B95188">
      <w:pPr>
        <w:pStyle w:val="a0"/>
      </w:pPr>
      <w:r w:rsidRPr="00A428C3">
        <w:t>Keywords: Activation, Adsorption, Adsorption, Adsorption Properties, Ammonia, Ammoniacal Solutions, Binding, Bituminous Coal, Brown Coals, Capacity, Cd(II), Chemistry, Coal, Coals, Decomposition, Drift, Functional Groups, Heavy-Metals, Hydrogen, Hydrogen Peroxide, Low-Rank Coals, Model, Modification, Modified, Oxidation, Peroxide, Properties, Sorption, Structure, Surface, Surface Functionality, Treatment</w:t>
      </w:r>
    </w:p>
    <w:p w:rsidR="007459B5" w:rsidRPr="00A428C3" w:rsidRDefault="007459B5" w:rsidP="007459B5">
      <w:pPr>
        <w:pStyle w:val="a0"/>
      </w:pPr>
      <w:r w:rsidRPr="00A428C3">
        <w:t xml:space="preserve">? </w:t>
      </w:r>
      <w:r>
        <w:t>Bartoňová</w:t>
      </w:r>
      <w:r>
        <w:rPr>
          <w:rFonts w:hint="eastAsia"/>
        </w:rPr>
        <w:t>,</w:t>
      </w:r>
      <w:r>
        <w:t xml:space="preserve"> L</w:t>
      </w:r>
      <w:r>
        <w:rPr>
          <w:rFonts w:hint="eastAsia"/>
        </w:rPr>
        <w:t>.,</w:t>
      </w:r>
      <w:r>
        <w:t xml:space="preserve"> Klika</w:t>
      </w:r>
      <w:r>
        <w:rPr>
          <w:rFonts w:hint="eastAsia"/>
        </w:rPr>
        <w:t>,</w:t>
      </w:r>
      <w:r>
        <w:t xml:space="preserve"> Z</w:t>
      </w:r>
      <w:r>
        <w:rPr>
          <w:rFonts w:hint="eastAsia"/>
        </w:rPr>
        <w:t>.</w:t>
      </w:r>
      <w:r w:rsidR="00F81221">
        <w:rPr>
          <w:rFonts w:hint="eastAsia"/>
        </w:rPr>
        <w:t xml:space="preserve"> and </w:t>
      </w:r>
      <w:r>
        <w:t>Spears</w:t>
      </w:r>
      <w:r>
        <w:rPr>
          <w:rFonts w:hint="eastAsia"/>
        </w:rPr>
        <w:t>,</w:t>
      </w:r>
      <w:r>
        <w:t xml:space="preserve"> D</w:t>
      </w:r>
      <w:r>
        <w:rPr>
          <w:rFonts w:hint="eastAsia"/>
        </w:rPr>
        <w:t>.</w:t>
      </w:r>
      <w:r>
        <w:t>A</w:t>
      </w:r>
      <w:r>
        <w:rPr>
          <w:rFonts w:hint="eastAsia"/>
        </w:rPr>
        <w:t>.</w:t>
      </w:r>
      <w:r w:rsidRPr="00A428C3">
        <w:t xml:space="preserve"> (200</w:t>
      </w:r>
      <w:r>
        <w:rPr>
          <w:rFonts w:hint="eastAsia"/>
        </w:rPr>
        <w:t>7</w:t>
      </w:r>
      <w:r w:rsidRPr="00A428C3">
        <w:t xml:space="preserve">), </w:t>
      </w:r>
      <w:r>
        <w:t>Characterization of unburned carbon from ash after bituminous coal</w:t>
      </w:r>
      <w:r w:rsidR="00F81221">
        <w:t xml:space="preserve"> and </w:t>
      </w:r>
      <w:r>
        <w:t>lignite combustion in CFBs</w:t>
      </w:r>
      <w:r w:rsidRPr="00A428C3">
        <w:t xml:space="preserve">. </w:t>
      </w:r>
      <w:r w:rsidRPr="00A428C3">
        <w:rPr>
          <w:i/>
          <w:iCs/>
        </w:rPr>
        <w:t>Fuel</w:t>
      </w:r>
      <w:r w:rsidRPr="00A428C3">
        <w:t xml:space="preserve">, </w:t>
      </w:r>
      <w:r w:rsidRPr="00A428C3">
        <w:rPr>
          <w:b/>
        </w:rPr>
        <w:t>8</w:t>
      </w:r>
      <w:r>
        <w:rPr>
          <w:rFonts w:hint="eastAsia"/>
          <w:b/>
        </w:rPr>
        <w:t>6</w:t>
      </w:r>
      <w:r w:rsidRPr="00A428C3">
        <w:t xml:space="preserve"> (</w:t>
      </w:r>
      <w:r>
        <w:rPr>
          <w:rFonts w:hint="eastAsia"/>
        </w:rPr>
        <w:t>3</w:t>
      </w:r>
      <w:r w:rsidRPr="00A428C3">
        <w:t xml:space="preserve">), </w:t>
      </w:r>
      <w:r>
        <w:t>455-463</w:t>
      </w:r>
      <w:r w:rsidRPr="00A428C3">
        <w:t>.</w:t>
      </w:r>
    </w:p>
    <w:p w:rsidR="007459B5" w:rsidRDefault="007459B5" w:rsidP="007459B5">
      <w:pPr>
        <w:pStyle w:val="a0"/>
      </w:pPr>
      <w:r w:rsidRPr="00A428C3">
        <w:t xml:space="preserve">Full Text: </w:t>
      </w:r>
      <w:hyperlink r:id="rId245" w:history="1">
        <w:r w:rsidRPr="007459B5">
          <w:rPr>
            <w:rStyle w:val="a5"/>
          </w:rPr>
          <w:t>2007\Fuel86, 455.pdf</w:t>
        </w:r>
      </w:hyperlink>
    </w:p>
    <w:p w:rsidR="007459B5" w:rsidRDefault="007459B5" w:rsidP="007459B5">
      <w:pPr>
        <w:pStyle w:val="a0"/>
      </w:pPr>
      <w:r>
        <w:t>Abstract: This paper deals with the characterisation of carbon (UC) from bottom ash (BA)</w:t>
      </w:r>
      <w:r w:rsidR="00F81221">
        <w:t xml:space="preserve"> and </w:t>
      </w:r>
      <w:r>
        <w:t>fly ash (FA) samples from two fluidised-bed power stations burning bituminous coal</w:t>
      </w:r>
      <w:r w:rsidR="00F81221">
        <w:t xml:space="preserve"> and </w:t>
      </w:r>
      <w:r>
        <w:t>lignite. The laboratory results for the carbon determinations</w:t>
      </w:r>
      <w:r w:rsidR="00F81221">
        <w:t xml:space="preserve"> and </w:t>
      </w:r>
      <w:r>
        <w:t>its mass balances are evaluated. Chemical</w:t>
      </w:r>
      <w:r w:rsidR="00F81221">
        <w:t xml:space="preserve"> and </w:t>
      </w:r>
      <w:r>
        <w:t>mineral analyses</w:t>
      </w:r>
      <w:r w:rsidR="00F81221">
        <w:t xml:space="preserve"> and </w:t>
      </w:r>
      <w:r>
        <w:t>textural characteristics (specific surface area</w:t>
      </w:r>
      <w:r w:rsidR="00F81221">
        <w:t xml:space="preserve"> and </w:t>
      </w:r>
      <w:r>
        <w:t>pore-size distribution) are presented. Depletion/enrichment of selected elements (S, Cl, V, Cr, Ni, Cu, Zn, As, Se, Sb, Hg,</w:t>
      </w:r>
      <w:r w:rsidR="00F81221">
        <w:t xml:space="preserve"> </w:t>
      </w:r>
      <w:r w:rsidR="00F81221">
        <w:lastRenderedPageBreak/>
        <w:t xml:space="preserve">and </w:t>
      </w:r>
      <w:r>
        <w:t>Ph) in carbon from the bottom ash are compared with both ash compostions. The strong positive relationships between the concentrations of some trace element contents (Hg, Se, As, Cu, Ni, V</w:t>
      </w:r>
      <w:r w:rsidR="00F81221">
        <w:t xml:space="preserve"> and </w:t>
      </w:r>
      <w:r>
        <w:t>Cl) in fly ash with the content of carbon</w:t>
      </w:r>
      <w:r w:rsidR="00F81221">
        <w:t xml:space="preserve"> and </w:t>
      </w:r>
      <w:r>
        <w:t>the specific surface area of FA are presented</w:t>
      </w:r>
      <w:r w:rsidR="00F81221">
        <w:t xml:space="preserve"> and </w:t>
      </w:r>
      <w:r>
        <w:t>expressed by regression equations with very high correlation coefficients. Laser ablation-ICP-MS has been used to obtain an insight into element distributions within carbon grains from the bottom ash. (c) 2006 Elsevier Ltd. All rights reserved.</w:t>
      </w:r>
    </w:p>
    <w:p w:rsidR="007459B5" w:rsidRDefault="007459B5" w:rsidP="007459B5">
      <w:pPr>
        <w:pStyle w:val="a0"/>
      </w:pPr>
      <w:r>
        <w:t>Keywords: Coal Combustion, Unburned Carbon, Trace Elements, Fly-Ash, Mercury Capture, Residual Carbon, Particles, Behavior, Elements, Burnout, Samples, Boiler, Forms</w:t>
      </w:r>
    </w:p>
    <w:p w:rsidR="007459B5" w:rsidRPr="00A428C3" w:rsidRDefault="007459B5" w:rsidP="007459B5">
      <w:pPr>
        <w:pStyle w:val="a0"/>
      </w:pPr>
      <w:r w:rsidRPr="00A428C3">
        <w:t xml:space="preserve">? </w:t>
      </w:r>
      <w:r>
        <w:t>Alinnor</w:t>
      </w:r>
      <w:r>
        <w:rPr>
          <w:rFonts w:hint="eastAsia"/>
        </w:rPr>
        <w:t>,</w:t>
      </w:r>
      <w:r>
        <w:t xml:space="preserve"> I</w:t>
      </w:r>
      <w:r>
        <w:rPr>
          <w:rFonts w:hint="eastAsia"/>
        </w:rPr>
        <w:t>.</w:t>
      </w:r>
      <w:r>
        <w:t>J</w:t>
      </w:r>
      <w:r>
        <w:rPr>
          <w:rFonts w:hint="eastAsia"/>
        </w:rPr>
        <w:t>.</w:t>
      </w:r>
      <w:r w:rsidRPr="00A428C3">
        <w:t xml:space="preserve"> (200</w:t>
      </w:r>
      <w:r>
        <w:rPr>
          <w:rFonts w:hint="eastAsia"/>
        </w:rPr>
        <w:t>7</w:t>
      </w:r>
      <w:r w:rsidRPr="00A428C3">
        <w:t xml:space="preserve">), </w:t>
      </w:r>
      <w:r>
        <w:t>Adsorption of heavy metal ions from aqueous solution by fly ash</w:t>
      </w:r>
      <w:r w:rsidRPr="00A428C3">
        <w:t xml:space="preserve">. </w:t>
      </w:r>
      <w:r w:rsidRPr="00A428C3">
        <w:rPr>
          <w:i/>
          <w:iCs/>
        </w:rPr>
        <w:t>Fuel</w:t>
      </w:r>
      <w:r w:rsidRPr="00A428C3">
        <w:t xml:space="preserve">, </w:t>
      </w:r>
      <w:r w:rsidRPr="00A428C3">
        <w:rPr>
          <w:b/>
        </w:rPr>
        <w:t>8</w:t>
      </w:r>
      <w:r>
        <w:rPr>
          <w:rFonts w:hint="eastAsia"/>
          <w:b/>
        </w:rPr>
        <w:t>6</w:t>
      </w:r>
      <w:r w:rsidRPr="00A428C3">
        <w:t xml:space="preserve"> (</w:t>
      </w:r>
      <w:r>
        <w:rPr>
          <w:rFonts w:hint="eastAsia"/>
        </w:rPr>
        <w:t>5-6</w:t>
      </w:r>
      <w:r w:rsidRPr="00A428C3">
        <w:t xml:space="preserve">), </w:t>
      </w:r>
      <w:r>
        <w:t>853-857</w:t>
      </w:r>
      <w:r w:rsidRPr="00A428C3">
        <w:t>.</w:t>
      </w:r>
    </w:p>
    <w:p w:rsidR="007459B5" w:rsidRDefault="007459B5" w:rsidP="007459B5">
      <w:pPr>
        <w:pStyle w:val="a0"/>
      </w:pPr>
      <w:r w:rsidRPr="00A428C3">
        <w:t xml:space="preserve">Full Text: </w:t>
      </w:r>
      <w:hyperlink r:id="rId246" w:history="1">
        <w:r w:rsidRPr="00EC7077">
          <w:rPr>
            <w:rStyle w:val="a5"/>
          </w:rPr>
          <w:t>2007\Fuel86, 853.pdf</w:t>
        </w:r>
      </w:hyperlink>
    </w:p>
    <w:p w:rsidR="00B95188" w:rsidRDefault="00B95188" w:rsidP="00B95188">
      <w:pPr>
        <w:pStyle w:val="a0"/>
      </w:pPr>
      <w:r>
        <w:t>Abstract: The removal characteristics of lead</w:t>
      </w:r>
      <w:r w:rsidR="00F81221">
        <w:t xml:space="preserve"> and </w:t>
      </w:r>
      <w:r>
        <w:t>copper ions from aqueous solution by fly ash were investigated under various conditions of contact time, pH</w:t>
      </w:r>
      <w:r w:rsidR="00F81221">
        <w:t xml:space="preserve"> and </w:t>
      </w:r>
      <w:r>
        <w:t>temperature. The influence of pH of the metal ion solutions on the uptake levels of the metal ions by fly ash were carried out between pH 4</w:t>
      </w:r>
      <w:r w:rsidR="00F81221">
        <w:t xml:space="preserve"> and </w:t>
      </w:r>
      <w:r>
        <w:t>12. The level of uptake of Pb</w:t>
      </w:r>
      <w:r w:rsidRPr="00C33727">
        <w:rPr>
          <w:vertAlign w:val="superscript"/>
        </w:rPr>
        <w:t>2+</w:t>
      </w:r>
      <w:r w:rsidR="00F81221">
        <w:t xml:space="preserve"> and </w:t>
      </w:r>
      <w:r>
        <w:t>Cu</w:t>
      </w:r>
      <w:r w:rsidRPr="00C33727">
        <w:rPr>
          <w:vertAlign w:val="superscript"/>
        </w:rPr>
        <w:t>2+</w:t>
      </w:r>
      <w:r>
        <w:t xml:space="preserve"> ions by the fly ash generally increased, but not in a progressive manner, at higher pH values. The effect of temperature on the uptake of Pb</w:t>
      </w:r>
      <w:r w:rsidRPr="00C33727">
        <w:rPr>
          <w:vertAlign w:val="superscript"/>
        </w:rPr>
        <w:t>2+</w:t>
      </w:r>
      <w:r w:rsidR="00F81221">
        <w:t xml:space="preserve"> and </w:t>
      </w:r>
      <w:r>
        <w:t>Cu</w:t>
      </w:r>
      <w:r w:rsidRPr="00C33727">
        <w:rPr>
          <w:vertAlign w:val="superscript"/>
        </w:rPr>
        <w:t>2+</w:t>
      </w:r>
      <w:r>
        <w:t xml:space="preserve"> ions was investigated between 30</w:t>
      </w:r>
      <w:r w:rsidR="008A7E71">
        <w:t>°</w:t>
      </w:r>
      <w:r>
        <w:t>C</w:t>
      </w:r>
      <w:r w:rsidR="00F81221">
        <w:t xml:space="preserve"> and </w:t>
      </w:r>
      <w:r>
        <w:t>60</w:t>
      </w:r>
      <w:r w:rsidR="008A7E71">
        <w:t>°</w:t>
      </w:r>
      <w:r>
        <w:t>C, the adsorption of being enhanced at the lowest temperature. Rate constants were evaluated in terms of a first-order kinetics. The rate constant, k for uptake of Pb</w:t>
      </w:r>
      <w:r w:rsidRPr="00C33727">
        <w:rPr>
          <w:vertAlign w:val="superscript"/>
        </w:rPr>
        <w:t>2+</w:t>
      </w:r>
      <w:r w:rsidR="00F81221">
        <w:t xml:space="preserve"> and </w:t>
      </w:r>
      <w:r>
        <w:t>Cu</w:t>
      </w:r>
      <w:r w:rsidRPr="00C33727">
        <w:rPr>
          <w:vertAlign w:val="superscript"/>
        </w:rPr>
        <w:t>2+</w:t>
      </w:r>
      <w:r>
        <w:t xml:space="preserve"> ions were 1.77×10</w:t>
      </w:r>
      <w:r>
        <w:rPr>
          <w:rFonts w:hint="eastAsia"/>
          <w:vertAlign w:val="superscript"/>
        </w:rPr>
        <w:t>-2</w:t>
      </w:r>
      <w:r>
        <w:t xml:space="preserve"> s</w:t>
      </w:r>
      <w:r>
        <w:rPr>
          <w:rFonts w:hint="eastAsia"/>
          <w:vertAlign w:val="superscript"/>
        </w:rPr>
        <w:t>-1</w:t>
      </w:r>
      <w:r w:rsidR="00F81221">
        <w:t xml:space="preserve"> and </w:t>
      </w:r>
      <w:r>
        <w:t>2.11×10</w:t>
      </w:r>
      <w:r>
        <w:rPr>
          <w:rFonts w:hint="eastAsia"/>
          <w:vertAlign w:val="superscript"/>
        </w:rPr>
        <w:t>-2</w:t>
      </w:r>
      <w:r>
        <w:t xml:space="preserve"> s</w:t>
      </w:r>
      <w:r>
        <w:rPr>
          <w:rFonts w:hint="eastAsia"/>
          <w:vertAlign w:val="superscript"/>
        </w:rPr>
        <w:t>-1</w:t>
      </w:r>
      <w:r>
        <w:t>, respectively. The experimental results underline the potential of coal fly ash for the recovery of metal ions from waste water. The main mechanisms involved in the removal of heavy metal ions from solution were adsorption at the surface of the fly ash</w:t>
      </w:r>
      <w:r w:rsidR="00F81221">
        <w:t xml:space="preserve"> and </w:t>
      </w:r>
      <w:r>
        <w:t>precipitation. (c) 2006 Elsevier Ltd. All rights reserved.</w:t>
      </w:r>
    </w:p>
    <w:p w:rsidR="00B95188" w:rsidRPr="00A428C3" w:rsidRDefault="00B95188" w:rsidP="00B95188">
      <w:pPr>
        <w:pStyle w:val="a0"/>
      </w:pPr>
      <w:r>
        <w:t>Keywords: Adsorption, Kinetics, Mechanism, Waste-Water, Coal Ash, Removal, Cadmium, Copper(II), Sorption</w:t>
      </w:r>
    </w:p>
    <w:p w:rsidR="00342866" w:rsidRPr="00586CD8" w:rsidRDefault="00342866" w:rsidP="00342866">
      <w:pPr>
        <w:pStyle w:val="a0"/>
        <w:rPr>
          <w:kern w:val="2"/>
        </w:rPr>
      </w:pPr>
      <w:r w:rsidRPr="00586CD8">
        <w:rPr>
          <w:kern w:val="2"/>
        </w:rPr>
        <w:t xml:space="preserve">? </w:t>
      </w:r>
      <w:r w:rsidRPr="00342866">
        <w:rPr>
          <w:kern w:val="2"/>
        </w:rPr>
        <w:t>Hsu</w:t>
      </w:r>
      <w:r>
        <w:rPr>
          <w:rFonts w:hint="eastAsia"/>
          <w:kern w:val="2"/>
        </w:rPr>
        <w:t>,</w:t>
      </w:r>
      <w:r w:rsidRPr="00342866">
        <w:rPr>
          <w:kern w:val="2"/>
        </w:rPr>
        <w:t xml:space="preserve"> T</w:t>
      </w:r>
      <w:r>
        <w:rPr>
          <w:rFonts w:hint="eastAsia"/>
          <w:kern w:val="2"/>
        </w:rPr>
        <w:t>.</w:t>
      </w:r>
      <w:r w:rsidRPr="00342866">
        <w:rPr>
          <w:kern w:val="2"/>
        </w:rPr>
        <w:t>C</w:t>
      </w:r>
      <w:r>
        <w:rPr>
          <w:rFonts w:hint="eastAsia"/>
          <w:kern w:val="2"/>
        </w:rPr>
        <w:t>.,</w:t>
      </w:r>
      <w:r w:rsidRPr="00342866">
        <w:rPr>
          <w:kern w:val="2"/>
        </w:rPr>
        <w:t xml:space="preserve"> Yu</w:t>
      </w:r>
      <w:r>
        <w:rPr>
          <w:rFonts w:hint="eastAsia"/>
          <w:kern w:val="2"/>
        </w:rPr>
        <w:t>,</w:t>
      </w:r>
      <w:r w:rsidRPr="00342866">
        <w:rPr>
          <w:kern w:val="2"/>
        </w:rPr>
        <w:t xml:space="preserve"> C</w:t>
      </w:r>
      <w:r>
        <w:rPr>
          <w:rFonts w:hint="eastAsia"/>
          <w:kern w:val="2"/>
        </w:rPr>
        <w:t>.</w:t>
      </w:r>
      <w:r w:rsidRPr="00342866">
        <w:rPr>
          <w:kern w:val="2"/>
        </w:rPr>
        <w:t>C</w:t>
      </w:r>
      <w:r>
        <w:rPr>
          <w:rFonts w:hint="eastAsia"/>
          <w:kern w:val="2"/>
        </w:rPr>
        <w:t>.</w:t>
      </w:r>
      <w:r w:rsidR="00F81221">
        <w:rPr>
          <w:rFonts w:hint="eastAsia"/>
          <w:kern w:val="2"/>
        </w:rPr>
        <w:t xml:space="preserve"> and </w:t>
      </w:r>
      <w:r w:rsidRPr="00342866">
        <w:rPr>
          <w:kern w:val="2"/>
        </w:rPr>
        <w:t>Yeh</w:t>
      </w:r>
      <w:r>
        <w:rPr>
          <w:rFonts w:hint="eastAsia"/>
          <w:kern w:val="2"/>
        </w:rPr>
        <w:t>,</w:t>
      </w:r>
      <w:r w:rsidRPr="00342866">
        <w:rPr>
          <w:kern w:val="2"/>
        </w:rPr>
        <w:t xml:space="preserve"> C</w:t>
      </w:r>
      <w:r>
        <w:rPr>
          <w:rFonts w:hint="eastAsia"/>
          <w:kern w:val="2"/>
        </w:rPr>
        <w:t>.</w:t>
      </w:r>
      <w:r w:rsidRPr="00342866">
        <w:rPr>
          <w:kern w:val="2"/>
        </w:rPr>
        <w:t>M</w:t>
      </w:r>
      <w:r>
        <w:rPr>
          <w:rFonts w:hint="eastAsia"/>
          <w:kern w:val="2"/>
        </w:rPr>
        <w:t>.</w:t>
      </w:r>
      <w:r w:rsidRPr="00586CD8">
        <w:rPr>
          <w:kern w:val="2"/>
        </w:rPr>
        <w:t xml:space="preserve"> (2008), </w:t>
      </w:r>
      <w:r w:rsidRPr="00342866">
        <w:rPr>
          <w:kern w:val="2"/>
        </w:rPr>
        <w:t>Adsorption of Cu</w:t>
      </w:r>
      <w:r w:rsidRPr="00342866">
        <w:rPr>
          <w:kern w:val="2"/>
          <w:vertAlign w:val="superscript"/>
        </w:rPr>
        <w:t>2+</w:t>
      </w:r>
      <w:r w:rsidRPr="00342866">
        <w:rPr>
          <w:kern w:val="2"/>
        </w:rPr>
        <w:t xml:space="preserve"> from water using raw</w:t>
      </w:r>
      <w:r w:rsidR="00F81221">
        <w:rPr>
          <w:kern w:val="2"/>
        </w:rPr>
        <w:t xml:space="preserve"> and </w:t>
      </w:r>
      <w:r w:rsidRPr="00342866">
        <w:rPr>
          <w:kern w:val="2"/>
        </w:rPr>
        <w:t>modified coal fly ashes</w:t>
      </w:r>
      <w:r w:rsidRPr="00586CD8">
        <w:rPr>
          <w:kern w:val="2"/>
        </w:rPr>
        <w:t xml:space="preserve">. </w:t>
      </w:r>
      <w:r>
        <w:rPr>
          <w:i/>
          <w:iCs/>
          <w:kern w:val="0"/>
        </w:rPr>
        <w:t>Fuel</w:t>
      </w:r>
      <w:r w:rsidRPr="00586CD8">
        <w:rPr>
          <w:kern w:val="2"/>
        </w:rPr>
        <w:t xml:space="preserve">, </w:t>
      </w:r>
      <w:r>
        <w:rPr>
          <w:b/>
          <w:bCs/>
          <w:kern w:val="0"/>
        </w:rPr>
        <w:t>87</w:t>
      </w:r>
      <w:r w:rsidRPr="00586CD8">
        <w:rPr>
          <w:kern w:val="2"/>
        </w:rPr>
        <w:t xml:space="preserve"> (</w:t>
      </w:r>
      <w:r>
        <w:rPr>
          <w:rFonts w:hint="eastAsia"/>
          <w:kern w:val="2"/>
        </w:rPr>
        <w:t>7</w:t>
      </w:r>
      <w:r w:rsidRPr="00586CD8">
        <w:rPr>
          <w:kern w:val="2"/>
        </w:rPr>
        <w:t xml:space="preserve">), </w:t>
      </w:r>
      <w:r w:rsidRPr="00342866">
        <w:rPr>
          <w:kern w:val="2"/>
        </w:rPr>
        <w:t>1355-1359</w:t>
      </w:r>
      <w:r w:rsidRPr="00586CD8">
        <w:rPr>
          <w:kern w:val="2"/>
        </w:rPr>
        <w:t>.</w:t>
      </w:r>
    </w:p>
    <w:p w:rsidR="00342866" w:rsidRDefault="00342866" w:rsidP="00342866">
      <w:pPr>
        <w:pStyle w:val="a0"/>
      </w:pPr>
      <w:r>
        <w:t xml:space="preserve">Full Text: </w:t>
      </w:r>
      <w:hyperlink r:id="rId247" w:history="1">
        <w:r w:rsidRPr="00342866">
          <w:rPr>
            <w:rStyle w:val="a5"/>
          </w:rPr>
          <w:t>2008\Fuel87, 1355.pdf</w:t>
        </w:r>
      </w:hyperlink>
    </w:p>
    <w:p w:rsidR="000D35B9" w:rsidRPr="000D35B9" w:rsidRDefault="000D35B9" w:rsidP="000D35B9">
      <w:pPr>
        <w:pStyle w:val="a0"/>
        <w:rPr>
          <w:kern w:val="2"/>
        </w:rPr>
      </w:pPr>
      <w:r w:rsidRPr="000D35B9">
        <w:rPr>
          <w:kern w:val="2"/>
        </w:rPr>
        <w:t>Abstract</w:t>
      </w:r>
      <w:r>
        <w:rPr>
          <w:rFonts w:hint="eastAsia"/>
          <w:kern w:val="2"/>
        </w:rPr>
        <w:t xml:space="preserve">: </w:t>
      </w:r>
      <w:r w:rsidRPr="000D35B9">
        <w:rPr>
          <w:kern w:val="2"/>
        </w:rPr>
        <w:t>In this study, we found that both raw</w:t>
      </w:r>
      <w:r w:rsidR="00F81221">
        <w:rPr>
          <w:kern w:val="2"/>
        </w:rPr>
        <w:t xml:space="preserve"> and </w:t>
      </w:r>
      <w:r w:rsidRPr="000D35B9">
        <w:rPr>
          <w:kern w:val="2"/>
        </w:rPr>
        <w:t>modified coal fly ashes effectively adsorb Cu</w:t>
      </w:r>
      <w:r w:rsidRPr="000D35B9">
        <w:rPr>
          <w:kern w:val="2"/>
          <w:vertAlign w:val="superscript"/>
        </w:rPr>
        <w:t>2+</w:t>
      </w:r>
      <w:r w:rsidRPr="000D35B9">
        <w:rPr>
          <w:kern w:val="2"/>
        </w:rPr>
        <w:t xml:space="preserve"> from wastewater. The adsorption capacities followed the order CFA&gt; CFA-600&gt; CFA–NaOH. The adsorption isotherms for Cu</w:t>
      </w:r>
      <w:r w:rsidRPr="000D35B9">
        <w:rPr>
          <w:kern w:val="2"/>
          <w:vertAlign w:val="superscript"/>
        </w:rPr>
        <w:t>2+</w:t>
      </w:r>
      <w:r w:rsidRPr="000D35B9">
        <w:rPr>
          <w:kern w:val="2"/>
        </w:rPr>
        <w:t xml:space="preserve"> on the raw</w:t>
      </w:r>
      <w:r w:rsidR="00F81221">
        <w:rPr>
          <w:kern w:val="2"/>
        </w:rPr>
        <w:t xml:space="preserve"> and </w:t>
      </w:r>
      <w:r w:rsidRPr="000D35B9">
        <w:rPr>
          <w:kern w:val="2"/>
        </w:rPr>
        <w:t>modified coal fly ashes fit the Langmuir, Freundlich,</w:t>
      </w:r>
      <w:r w:rsidR="00F81221">
        <w:rPr>
          <w:kern w:val="2"/>
        </w:rPr>
        <w:t xml:space="preserve"> and </w:t>
      </w:r>
      <w:r w:rsidRPr="000D35B9">
        <w:rPr>
          <w:kern w:val="2"/>
        </w:rPr>
        <w:t>DKR isotherms quite well. These adsorptions were endothermic in nature; the values of E (between 1.3</w:t>
      </w:r>
      <w:r w:rsidR="00F81221">
        <w:rPr>
          <w:kern w:val="2"/>
        </w:rPr>
        <w:t xml:space="preserve"> and </w:t>
      </w:r>
      <w:r w:rsidRPr="000D35B9">
        <w:rPr>
          <w:kern w:val="2"/>
        </w:rPr>
        <w:t>9.6 kJ mol</w:t>
      </w:r>
      <w:r w:rsidRPr="000D35B9">
        <w:rPr>
          <w:kern w:val="2"/>
          <w:vertAlign w:val="superscript"/>
        </w:rPr>
        <w:t>−1</w:t>
      </w:r>
      <w:r w:rsidRPr="000D35B9">
        <w:rPr>
          <w:kern w:val="2"/>
        </w:rPr>
        <w:t>) were consistent with an ion-exchange adsorption mechanism. The adsorptions of Cu</w:t>
      </w:r>
      <w:r w:rsidRPr="000D35B9">
        <w:rPr>
          <w:kern w:val="2"/>
          <w:vertAlign w:val="superscript"/>
        </w:rPr>
        <w:t>2+</w:t>
      </w:r>
      <w:r w:rsidRPr="000D35B9">
        <w:rPr>
          <w:kern w:val="2"/>
        </w:rPr>
        <w:t xml:space="preserve"> onto CFA, CFA-600,</w:t>
      </w:r>
      <w:r w:rsidR="00F81221">
        <w:rPr>
          <w:kern w:val="2"/>
        </w:rPr>
        <w:t xml:space="preserve"> and </w:t>
      </w:r>
      <w:r w:rsidRPr="000D35B9">
        <w:rPr>
          <w:kern w:val="2"/>
        </w:rPr>
        <w:t xml:space="preserve">CFA–NaOH followed pseudo-second-order </w:t>
      </w:r>
      <w:r w:rsidRPr="000D35B9">
        <w:rPr>
          <w:kern w:val="2"/>
        </w:rPr>
        <w:lastRenderedPageBreak/>
        <w:t>kinetics.</w:t>
      </w:r>
    </w:p>
    <w:p w:rsidR="00342866" w:rsidRDefault="00342866" w:rsidP="000D35B9">
      <w:pPr>
        <w:pStyle w:val="a0"/>
        <w:rPr>
          <w:kern w:val="2"/>
        </w:rPr>
      </w:pPr>
      <w:r w:rsidRPr="00342866">
        <w:rPr>
          <w:kern w:val="2"/>
        </w:rPr>
        <w:t>Keywords: Sugar-Industry Waste</w:t>
      </w:r>
      <w:r>
        <w:rPr>
          <w:kern w:val="2"/>
        </w:rPr>
        <w:t>,</w:t>
      </w:r>
      <w:r w:rsidRPr="00342866">
        <w:rPr>
          <w:kern w:val="2"/>
        </w:rPr>
        <w:t xml:space="preserve"> Aqueous-Solutions</w:t>
      </w:r>
      <w:r>
        <w:rPr>
          <w:kern w:val="2"/>
        </w:rPr>
        <w:t>,</w:t>
      </w:r>
      <w:r w:rsidRPr="00342866">
        <w:rPr>
          <w:kern w:val="2"/>
        </w:rPr>
        <w:t xml:space="preserve"> Heavy-Metals</w:t>
      </w:r>
      <w:r>
        <w:rPr>
          <w:kern w:val="2"/>
        </w:rPr>
        <w:t>,</w:t>
      </w:r>
      <w:r w:rsidRPr="00342866">
        <w:rPr>
          <w:kern w:val="2"/>
        </w:rPr>
        <w:t xml:space="preserve"> Red Mud</w:t>
      </w:r>
      <w:r>
        <w:rPr>
          <w:kern w:val="2"/>
        </w:rPr>
        <w:t>,</w:t>
      </w:r>
      <w:r w:rsidRPr="00342866">
        <w:rPr>
          <w:kern w:val="2"/>
        </w:rPr>
        <w:t xml:space="preserve"> Removal</w:t>
      </w:r>
      <w:r>
        <w:rPr>
          <w:kern w:val="2"/>
        </w:rPr>
        <w:t>,</w:t>
      </w:r>
      <w:r w:rsidRPr="00342866">
        <w:rPr>
          <w:kern w:val="2"/>
        </w:rPr>
        <w:t xml:space="preserve"> Zinc</w:t>
      </w:r>
      <w:r>
        <w:rPr>
          <w:kern w:val="2"/>
        </w:rPr>
        <w:t>,</w:t>
      </w:r>
      <w:r w:rsidRPr="00342866">
        <w:rPr>
          <w:kern w:val="2"/>
        </w:rPr>
        <w:t xml:space="preserve"> Adsorbents</w:t>
      </w:r>
      <w:r>
        <w:rPr>
          <w:kern w:val="2"/>
        </w:rPr>
        <w:t>, Behavior, Kinetics, Sorption</w:t>
      </w:r>
    </w:p>
    <w:p w:rsidR="00B95188" w:rsidRPr="00586CD8" w:rsidRDefault="00B95188" w:rsidP="00B95188">
      <w:pPr>
        <w:pStyle w:val="a0"/>
        <w:rPr>
          <w:kern w:val="2"/>
        </w:rPr>
      </w:pPr>
      <w:r w:rsidRPr="00586CD8">
        <w:rPr>
          <w:kern w:val="2"/>
        </w:rPr>
        <w:t xml:space="preserve">? Hsu, T.C. (2008), Adsorption of an acid dye onto coal fly ash. </w:t>
      </w:r>
      <w:r>
        <w:rPr>
          <w:i/>
          <w:iCs/>
          <w:kern w:val="0"/>
        </w:rPr>
        <w:t>Fuel</w:t>
      </w:r>
      <w:r w:rsidRPr="00586CD8">
        <w:rPr>
          <w:kern w:val="2"/>
        </w:rPr>
        <w:t xml:space="preserve">, </w:t>
      </w:r>
      <w:r>
        <w:rPr>
          <w:b/>
          <w:bCs/>
          <w:kern w:val="0"/>
        </w:rPr>
        <w:t>87</w:t>
      </w:r>
      <w:r w:rsidRPr="00586CD8">
        <w:rPr>
          <w:kern w:val="2"/>
        </w:rPr>
        <w:t xml:space="preserve"> (13-14), 3040-3045.</w:t>
      </w:r>
    </w:p>
    <w:p w:rsidR="00B95188" w:rsidRDefault="00B95188" w:rsidP="00B95188">
      <w:pPr>
        <w:pStyle w:val="a0"/>
      </w:pPr>
      <w:r>
        <w:t xml:space="preserve">Full Text: </w:t>
      </w:r>
      <w:hyperlink r:id="rId248" w:history="1">
        <w:r w:rsidRPr="00C501BE">
          <w:rPr>
            <w:rStyle w:val="a5"/>
          </w:rPr>
          <w:t>2008\Fuel87, 3040.pdf</w:t>
        </w:r>
      </w:hyperlink>
    </w:p>
    <w:p w:rsidR="00B95188" w:rsidRPr="00586CD8" w:rsidRDefault="00B95188" w:rsidP="00B95188">
      <w:pPr>
        <w:pStyle w:val="a0"/>
        <w:rPr>
          <w:kern w:val="2"/>
        </w:rPr>
      </w:pPr>
      <w:r w:rsidRPr="00586CD8">
        <w:rPr>
          <w:kern w:val="2"/>
        </w:rPr>
        <w:t>Abstract: In this study, we found the raw coal fly ash (CFA) that had not been subjected to any pretreatment process had superior adsorbing ability for the anionic dye Acid Red 1 (AR1) than did two modified coal fly ashes (CFA-600</w:t>
      </w:r>
      <w:r w:rsidR="00F81221">
        <w:rPr>
          <w:kern w:val="2"/>
        </w:rPr>
        <w:t xml:space="preserve"> and </w:t>
      </w:r>
      <w:r w:rsidRPr="00586CD8">
        <w:rPr>
          <w:kern w:val="2"/>
        </w:rPr>
        <w:t>CFA-NaOH). The adsorption capacities followed the order CIA &gt; CFA-600 &gt; CFA-NaOH,</w:t>
      </w:r>
      <w:r w:rsidR="00F81221">
        <w:rPr>
          <w:kern w:val="2"/>
        </w:rPr>
        <w:t xml:space="preserve"> and </w:t>
      </w:r>
      <w:r w:rsidRPr="00586CD8">
        <w:rPr>
          <w:kern w:val="2"/>
        </w:rPr>
        <w:t>they each increased upon increasing the temperature (60</w:t>
      </w:r>
      <w:r w:rsidR="00342866">
        <w:rPr>
          <w:kern w:val="2"/>
        </w:rPr>
        <w:t>°</w:t>
      </w:r>
      <w:r w:rsidRPr="00586CD8">
        <w:rPr>
          <w:kern w:val="2"/>
        </w:rPr>
        <w:t>C &gt; 45</w:t>
      </w:r>
      <w:r w:rsidR="00342866">
        <w:rPr>
          <w:kern w:val="2"/>
        </w:rPr>
        <w:t>°</w:t>
      </w:r>
      <w:r w:rsidRPr="00586CD8">
        <w:rPr>
          <w:kern w:val="2"/>
        </w:rPr>
        <w:t>C &gt; 30</w:t>
      </w:r>
      <w:r w:rsidR="00342866">
        <w:rPr>
          <w:kern w:val="2"/>
        </w:rPr>
        <w:t>°</w:t>
      </w:r>
      <w:r w:rsidRPr="00586CD8">
        <w:rPr>
          <w:kern w:val="2"/>
        </w:rPr>
        <w:t>C). The adsorptions of AR1 onto CFA, CFA-600,</w:t>
      </w:r>
      <w:r w:rsidR="00F81221">
        <w:rPr>
          <w:kern w:val="2"/>
        </w:rPr>
        <w:t xml:space="preserve"> and </w:t>
      </w:r>
      <w:r w:rsidRPr="00586CD8">
        <w:rPr>
          <w:kern w:val="2"/>
        </w:rPr>
        <w:t>CFA-NaOH all followed pseudo-second-order kinetics. The isotherms for the adsorption of AR1 onto the raw</w:t>
      </w:r>
      <w:r w:rsidR="00F81221">
        <w:rPr>
          <w:kern w:val="2"/>
        </w:rPr>
        <w:t xml:space="preserve"> and </w:t>
      </w:r>
      <w:r w:rsidRPr="00586CD8">
        <w:rPr>
          <w:kern w:val="2"/>
        </w:rPr>
        <w:t>modified coal fly ashes fit the Langmuir isotherm quite well; the adsorption capacities of CFA, CFA-600,</w:t>
      </w:r>
      <w:r w:rsidR="00F81221">
        <w:rPr>
          <w:kern w:val="2"/>
        </w:rPr>
        <w:t xml:space="preserve"> and </w:t>
      </w:r>
      <w:r w:rsidRPr="00586CD8">
        <w:rPr>
          <w:kern w:val="2"/>
        </w:rPr>
        <w:t>CFA-NaOH for AR1 were 92.59-103.09, 32.79-52.63,</w:t>
      </w:r>
      <w:r w:rsidR="00F81221">
        <w:rPr>
          <w:kern w:val="2"/>
        </w:rPr>
        <w:t xml:space="preserve"> and </w:t>
      </w:r>
      <w:r w:rsidRPr="00586CD8">
        <w:rPr>
          <w:kern w:val="2"/>
        </w:rPr>
        <w:t>12.66-25.12 mg g</w:t>
      </w:r>
      <w:r>
        <w:rPr>
          <w:kern w:val="0"/>
          <w:vertAlign w:val="superscript"/>
        </w:rPr>
        <w:t>-1</w:t>
      </w:r>
      <w:r w:rsidRPr="00586CD8">
        <w:rPr>
          <w:kern w:val="2"/>
        </w:rPr>
        <w:t xml:space="preserve">, respectively. According to the positive values of </w:t>
      </w:r>
      <w:r w:rsidR="008A7E71">
        <w:rPr>
          <w:kern w:val="2"/>
        </w:rPr>
        <w:sym w:font="Symbol" w:char="F044"/>
      </w:r>
      <w:r w:rsidRPr="00586CD8">
        <w:rPr>
          <w:kern w:val="2"/>
        </w:rPr>
        <w:t>H</w:t>
      </w:r>
      <w:r w:rsidR="008A7E71">
        <w:t>°</w:t>
      </w:r>
      <w:r w:rsidR="00F81221">
        <w:rPr>
          <w:kern w:val="2"/>
        </w:rPr>
        <w:t xml:space="preserve"> and </w:t>
      </w:r>
      <w:r w:rsidR="008A7E71">
        <w:rPr>
          <w:kern w:val="2"/>
        </w:rPr>
        <w:sym w:font="Symbol" w:char="F044"/>
      </w:r>
      <w:r w:rsidRPr="00586CD8">
        <w:rPr>
          <w:kern w:val="2"/>
        </w:rPr>
        <w:t>S</w:t>
      </w:r>
      <w:r w:rsidR="008A7E71">
        <w:t>°</w:t>
      </w:r>
      <w:r w:rsidRPr="00586CD8">
        <w:rPr>
          <w:kern w:val="2"/>
        </w:rPr>
        <w:t>, these adsorptions were endothermic processes. The ARE</w:t>
      </w:r>
      <w:r w:rsidR="00F81221">
        <w:rPr>
          <w:kern w:val="2"/>
        </w:rPr>
        <w:t xml:space="preserve"> and </w:t>
      </w:r>
      <w:r w:rsidRPr="00586CD8">
        <w:rPr>
          <w:kern w:val="2"/>
        </w:rPr>
        <w:t>EABS error function methods provided the best parameters for the Langmuir isotherms</w:t>
      </w:r>
      <w:r w:rsidR="00F81221">
        <w:rPr>
          <w:kern w:val="2"/>
        </w:rPr>
        <w:t xml:space="preserve"> and </w:t>
      </w:r>
      <w:r w:rsidRPr="00586CD8">
        <w:rPr>
          <w:kern w:val="2"/>
        </w:rPr>
        <w:t>pseudo-second-order equations, respectively, in the AR1-CFA adsorption system. (C) 2008 Elsevier Ltd. All rights reserved.</w:t>
      </w:r>
    </w:p>
    <w:p w:rsidR="00B95188" w:rsidRPr="00586CD8" w:rsidRDefault="00B95188" w:rsidP="00B95188">
      <w:pPr>
        <w:pStyle w:val="a0"/>
        <w:rPr>
          <w:kern w:val="2"/>
        </w:rPr>
      </w:pPr>
      <w:r w:rsidRPr="00586CD8">
        <w:rPr>
          <w:kern w:val="2"/>
        </w:rPr>
        <w:t>Keywords: Acid Dye, Activated Carbon, Adsorption, Aqueous-Solutions, AR1, Basic-Dyes, Bottom Ash, Coal Fly Ash, Dye, Endothermic, Error, Fly Ash, Function, Industry Waste, Isotherm, Isotherms, Kinetic, Kinetics, Langmuir, Langmuir Isotherm, Langmuir Isotherms, Low-Cost Adsorbents, Malachite Green, Methods, Methylene-Blue, Pretreatment, Pseudo Second Order, Pseudo Second Order Kinetics, Pseudo-Second-Order, Pseudo-Second-Order Kinetics, Red Mud, Rhodamine-B, Rights, Temperature</w:t>
      </w:r>
    </w:p>
    <w:p w:rsidR="005E6B9E" w:rsidRPr="00586CD8" w:rsidRDefault="005E6B9E" w:rsidP="005E6B9E">
      <w:pPr>
        <w:pStyle w:val="a0"/>
        <w:rPr>
          <w:kern w:val="2"/>
        </w:rPr>
      </w:pPr>
      <w:r w:rsidRPr="00586CD8">
        <w:rPr>
          <w:kern w:val="2"/>
        </w:rPr>
        <w:t xml:space="preserve">? </w:t>
      </w:r>
      <w:r w:rsidRPr="005E6B9E">
        <w:rPr>
          <w:kern w:val="0"/>
        </w:rPr>
        <w:t>Yagmur</w:t>
      </w:r>
      <w:r>
        <w:rPr>
          <w:rFonts w:hint="eastAsia"/>
          <w:kern w:val="0"/>
        </w:rPr>
        <w:t>,</w:t>
      </w:r>
      <w:r w:rsidRPr="005E6B9E">
        <w:rPr>
          <w:kern w:val="0"/>
        </w:rPr>
        <w:t xml:space="preserve"> E</w:t>
      </w:r>
      <w:r>
        <w:rPr>
          <w:rFonts w:hint="eastAsia"/>
          <w:kern w:val="0"/>
        </w:rPr>
        <w:t>.,</w:t>
      </w:r>
      <w:r w:rsidRPr="005E6B9E">
        <w:rPr>
          <w:kern w:val="0"/>
        </w:rPr>
        <w:t xml:space="preserve"> Ozmak</w:t>
      </w:r>
      <w:r>
        <w:rPr>
          <w:rFonts w:hint="eastAsia"/>
          <w:kern w:val="0"/>
        </w:rPr>
        <w:t>,</w:t>
      </w:r>
      <w:r w:rsidRPr="005E6B9E">
        <w:rPr>
          <w:kern w:val="0"/>
        </w:rPr>
        <w:t xml:space="preserve"> M</w:t>
      </w:r>
      <w:r>
        <w:rPr>
          <w:rFonts w:hint="eastAsia"/>
          <w:kern w:val="0"/>
        </w:rPr>
        <w:t>.</w:t>
      </w:r>
      <w:r w:rsidR="00F81221">
        <w:rPr>
          <w:rFonts w:hint="eastAsia"/>
          <w:kern w:val="0"/>
        </w:rPr>
        <w:t xml:space="preserve"> and </w:t>
      </w:r>
      <w:r w:rsidRPr="005E6B9E">
        <w:rPr>
          <w:kern w:val="0"/>
        </w:rPr>
        <w:t>Aktas</w:t>
      </w:r>
      <w:r>
        <w:rPr>
          <w:rFonts w:hint="eastAsia"/>
          <w:kern w:val="0"/>
        </w:rPr>
        <w:t>,</w:t>
      </w:r>
      <w:r w:rsidRPr="005E6B9E">
        <w:rPr>
          <w:kern w:val="0"/>
        </w:rPr>
        <w:t xml:space="preserve"> Z</w:t>
      </w:r>
      <w:r>
        <w:rPr>
          <w:rFonts w:hint="eastAsia"/>
          <w:kern w:val="0"/>
        </w:rPr>
        <w:t>.</w:t>
      </w:r>
      <w:r w:rsidRPr="00586CD8">
        <w:rPr>
          <w:kern w:val="2"/>
        </w:rPr>
        <w:t xml:space="preserve"> (2008), </w:t>
      </w:r>
      <w:r w:rsidRPr="005E6B9E">
        <w:rPr>
          <w:kern w:val="0"/>
        </w:rPr>
        <w:t>A novel method for production of activated carbon from waste tea by chemical activation with microwave energy</w:t>
      </w:r>
      <w:r w:rsidRPr="00586CD8">
        <w:rPr>
          <w:kern w:val="2"/>
        </w:rPr>
        <w:t xml:space="preserve">. </w:t>
      </w:r>
      <w:r>
        <w:rPr>
          <w:i/>
          <w:iCs/>
          <w:kern w:val="0"/>
        </w:rPr>
        <w:t>Fuel</w:t>
      </w:r>
      <w:r w:rsidRPr="00586CD8">
        <w:rPr>
          <w:kern w:val="2"/>
        </w:rPr>
        <w:t xml:space="preserve">, </w:t>
      </w:r>
      <w:r>
        <w:rPr>
          <w:b/>
          <w:bCs/>
          <w:kern w:val="0"/>
        </w:rPr>
        <w:t>87</w:t>
      </w:r>
      <w:r w:rsidRPr="00586CD8">
        <w:rPr>
          <w:kern w:val="2"/>
        </w:rPr>
        <w:t xml:space="preserve"> (</w:t>
      </w:r>
      <w:r w:rsidRPr="005E6B9E">
        <w:rPr>
          <w:kern w:val="0"/>
        </w:rPr>
        <w:t>15-16</w:t>
      </w:r>
      <w:r w:rsidRPr="00586CD8">
        <w:rPr>
          <w:kern w:val="2"/>
        </w:rPr>
        <w:t xml:space="preserve">), </w:t>
      </w:r>
      <w:r w:rsidRPr="005E6B9E">
        <w:rPr>
          <w:kern w:val="0"/>
        </w:rPr>
        <w:t>3278-3285</w:t>
      </w:r>
      <w:r w:rsidRPr="00586CD8">
        <w:rPr>
          <w:kern w:val="2"/>
        </w:rPr>
        <w:t>.</w:t>
      </w:r>
    </w:p>
    <w:p w:rsidR="005E6B9E" w:rsidRDefault="005E6B9E" w:rsidP="005E6B9E">
      <w:pPr>
        <w:pStyle w:val="a0"/>
      </w:pPr>
      <w:r>
        <w:t xml:space="preserve">Full Text: </w:t>
      </w:r>
      <w:hyperlink r:id="rId249" w:history="1">
        <w:r w:rsidRPr="005E6B9E">
          <w:rPr>
            <w:rStyle w:val="a5"/>
          </w:rPr>
          <w:t>2008\Fuel87, 3278.pdf</w:t>
        </w:r>
      </w:hyperlink>
    </w:p>
    <w:p w:rsidR="005E6B9E" w:rsidRPr="005E6B9E" w:rsidRDefault="005E6B9E" w:rsidP="005E6B9E">
      <w:pPr>
        <w:pStyle w:val="a0"/>
        <w:rPr>
          <w:kern w:val="0"/>
        </w:rPr>
      </w:pPr>
      <w:r w:rsidRPr="005E6B9E">
        <w:rPr>
          <w:kern w:val="0"/>
        </w:rPr>
        <w:t>Abstract: This study presents the production of activated carbon from waste tea. Activated carbons were prepared by phosphoric acid activation with</w:t>
      </w:r>
      <w:r w:rsidR="00F81221">
        <w:rPr>
          <w:kern w:val="0"/>
        </w:rPr>
        <w:t xml:space="preserve"> and </w:t>
      </w:r>
      <w:r w:rsidRPr="005E6B9E">
        <w:rPr>
          <w:kern w:val="0"/>
        </w:rPr>
        <w:t>without microwave treatment</w:t>
      </w:r>
      <w:r w:rsidR="00F81221">
        <w:rPr>
          <w:kern w:val="0"/>
        </w:rPr>
        <w:t xml:space="preserve"> and </w:t>
      </w:r>
      <w:r w:rsidRPr="005E6B9E">
        <w:rPr>
          <w:kern w:val="0"/>
        </w:rPr>
        <w:t>carbonisation of the waste tea under nitrogen atmosphere at various temperatures</w:t>
      </w:r>
      <w:r w:rsidR="00F81221">
        <w:rPr>
          <w:kern w:val="0"/>
        </w:rPr>
        <w:t xml:space="preserve"> and </w:t>
      </w:r>
      <w:r w:rsidRPr="005E6B9E">
        <w:rPr>
          <w:kern w:val="0"/>
        </w:rPr>
        <w:t>different phosphoric acid/precursor impregnation ratios. The surface properties of the activated carbons were investigated by elemental analysis, BET surface area, SEM, FTIR. Prior to heat treatment conducted in a furnace, the mixture of the waste tea</w:t>
      </w:r>
      <w:r w:rsidR="00F81221">
        <w:rPr>
          <w:kern w:val="0"/>
        </w:rPr>
        <w:t xml:space="preserve"> and </w:t>
      </w:r>
      <w:r w:rsidRPr="005E6B9E">
        <w:rPr>
          <w:kern w:val="0"/>
        </w:rPr>
        <w:t>H</w:t>
      </w:r>
      <w:r w:rsidRPr="005E6B9E">
        <w:rPr>
          <w:kern w:val="0"/>
          <w:vertAlign w:val="subscript"/>
        </w:rPr>
        <w:t>3</w:t>
      </w:r>
      <w:r w:rsidRPr="005E6B9E">
        <w:rPr>
          <w:kern w:val="0"/>
        </w:rPr>
        <w:t>PO</w:t>
      </w:r>
      <w:r w:rsidRPr="005E6B9E">
        <w:rPr>
          <w:kern w:val="0"/>
          <w:vertAlign w:val="subscript"/>
        </w:rPr>
        <w:t>4</w:t>
      </w:r>
      <w:r w:rsidRPr="005E6B9E">
        <w:rPr>
          <w:kern w:val="0"/>
        </w:rPr>
        <w:t xml:space="preserve"> Was treated with microwave heating. The maximum BET surface area was 1157 m</w:t>
      </w:r>
      <w:r>
        <w:rPr>
          <w:rFonts w:hint="eastAsia"/>
          <w:kern w:val="0"/>
          <w:vertAlign w:val="superscript"/>
        </w:rPr>
        <w:t>2</w:t>
      </w:r>
      <w:r w:rsidRPr="005E6B9E">
        <w:rPr>
          <w:kern w:val="0"/>
        </w:rPr>
        <w:t xml:space="preserve">/g for the sample treated with </w:t>
      </w:r>
      <w:r w:rsidRPr="005E6B9E">
        <w:rPr>
          <w:kern w:val="0"/>
        </w:rPr>
        <w:lastRenderedPageBreak/>
        <w:t>microwave energy</w:t>
      </w:r>
      <w:r w:rsidR="00F81221">
        <w:rPr>
          <w:kern w:val="0"/>
        </w:rPr>
        <w:t xml:space="preserve"> and </w:t>
      </w:r>
      <w:r w:rsidRPr="005E6B9E">
        <w:rPr>
          <w:kern w:val="0"/>
        </w:rPr>
        <w:t>then carbonised at 350</w:t>
      </w:r>
      <w:r>
        <w:rPr>
          <w:kern w:val="0"/>
        </w:rPr>
        <w:t>°</w:t>
      </w:r>
      <w:r w:rsidRPr="005E6B9E">
        <w:rPr>
          <w:kern w:val="0"/>
        </w:rPr>
        <w:t>C. In case of application of conventional method, the BET surface area of the resultant material was 928.8 m</w:t>
      </w:r>
      <w:r>
        <w:rPr>
          <w:rFonts w:hint="eastAsia"/>
          <w:kern w:val="0"/>
          <w:vertAlign w:val="superscript"/>
        </w:rPr>
        <w:t>2</w:t>
      </w:r>
      <w:r w:rsidRPr="005E6B9E">
        <w:rPr>
          <w:kern w:val="0"/>
        </w:rPr>
        <w:t>/g using the same precursor</w:t>
      </w:r>
      <w:r w:rsidR="00F81221">
        <w:rPr>
          <w:kern w:val="0"/>
        </w:rPr>
        <w:t xml:space="preserve"> and </w:t>
      </w:r>
      <w:r w:rsidRPr="005E6B9E">
        <w:rPr>
          <w:kern w:val="0"/>
        </w:rPr>
        <w:t>conditions. According to the Dubinin-Radushkevich (DR) method the micropore surface area for the sample treated with microwave energy was higher than the sample obtained from the conventional method. Results show that microwave heating reasonably influenced the micropore surface area of the samples as well as the BET surface area.</w:t>
      </w:r>
    </w:p>
    <w:p w:rsidR="005E6B9E" w:rsidRPr="005E6B9E" w:rsidRDefault="005E6B9E" w:rsidP="005E6B9E">
      <w:pPr>
        <w:pStyle w:val="a0"/>
        <w:rPr>
          <w:kern w:val="0"/>
        </w:rPr>
      </w:pPr>
      <w:r w:rsidRPr="005E6B9E">
        <w:rPr>
          <w:kern w:val="0"/>
        </w:rPr>
        <w:t>The samples activated were also characterised in terms of the cumulative pore</w:t>
      </w:r>
      <w:r w:rsidR="00F81221">
        <w:rPr>
          <w:kern w:val="0"/>
        </w:rPr>
        <w:t xml:space="preserve"> and </w:t>
      </w:r>
      <w:r w:rsidRPr="005E6B9E">
        <w:rPr>
          <w:kern w:val="0"/>
        </w:rPr>
        <w:t>micropore volumes according to the BJH, DR</w:t>
      </w:r>
      <w:r w:rsidR="00F81221">
        <w:rPr>
          <w:kern w:val="0"/>
        </w:rPr>
        <w:t xml:space="preserve"> and </w:t>
      </w:r>
      <w:r w:rsidRPr="005E6B9E">
        <w:rPr>
          <w:kern w:val="0"/>
        </w:rPr>
        <w:t>t-methods, respectively. (c) 2008 El</w:t>
      </w:r>
      <w:r>
        <w:rPr>
          <w:kern w:val="0"/>
        </w:rPr>
        <w:t>sevier Ltd. All rights reserved</w:t>
      </w:r>
      <w:r>
        <w:rPr>
          <w:rFonts w:hint="eastAsia"/>
          <w:kern w:val="0"/>
        </w:rPr>
        <w:t>.</w:t>
      </w:r>
    </w:p>
    <w:p w:rsidR="005E6B9E" w:rsidRDefault="005E6B9E" w:rsidP="005E6B9E">
      <w:pPr>
        <w:pStyle w:val="a0"/>
        <w:rPr>
          <w:kern w:val="0"/>
        </w:rPr>
      </w:pPr>
      <w:r w:rsidRPr="005E6B9E">
        <w:rPr>
          <w:kern w:val="0"/>
        </w:rPr>
        <w:t>Keywords: Activated Carbon</w:t>
      </w:r>
      <w:r>
        <w:rPr>
          <w:kern w:val="0"/>
        </w:rPr>
        <w:t>,</w:t>
      </w:r>
      <w:r w:rsidRPr="005E6B9E">
        <w:rPr>
          <w:kern w:val="0"/>
        </w:rPr>
        <w:t xml:space="preserve"> Biomass</w:t>
      </w:r>
      <w:r>
        <w:rPr>
          <w:kern w:val="0"/>
        </w:rPr>
        <w:t>,</w:t>
      </w:r>
      <w:r w:rsidRPr="005E6B9E">
        <w:rPr>
          <w:kern w:val="0"/>
        </w:rPr>
        <w:t xml:space="preserve"> Chemical Activation</w:t>
      </w:r>
      <w:r>
        <w:rPr>
          <w:kern w:val="0"/>
        </w:rPr>
        <w:t>,</w:t>
      </w:r>
      <w:r w:rsidRPr="005E6B9E">
        <w:rPr>
          <w:kern w:val="0"/>
        </w:rPr>
        <w:t xml:space="preserve"> Microwave Energy</w:t>
      </w:r>
      <w:r>
        <w:rPr>
          <w:kern w:val="0"/>
        </w:rPr>
        <w:t>,</w:t>
      </w:r>
      <w:r w:rsidRPr="005E6B9E">
        <w:rPr>
          <w:kern w:val="0"/>
        </w:rPr>
        <w:t xml:space="preserve"> </w:t>
      </w:r>
      <w:r>
        <w:rPr>
          <w:kern w:val="0"/>
        </w:rPr>
        <w:t>Carbonization,</w:t>
      </w:r>
      <w:r w:rsidRPr="005E6B9E">
        <w:rPr>
          <w:kern w:val="0"/>
        </w:rPr>
        <w:t xml:space="preserve"> Phosphoric-Acid Activation</w:t>
      </w:r>
      <w:r>
        <w:rPr>
          <w:kern w:val="0"/>
        </w:rPr>
        <w:t>,</w:t>
      </w:r>
      <w:r w:rsidRPr="005E6B9E">
        <w:rPr>
          <w:kern w:val="0"/>
        </w:rPr>
        <w:t xml:space="preserve"> Porosity Development</w:t>
      </w:r>
      <w:r>
        <w:rPr>
          <w:kern w:val="0"/>
        </w:rPr>
        <w:t>,</w:t>
      </w:r>
      <w:r w:rsidRPr="005E6B9E">
        <w:rPr>
          <w:kern w:val="0"/>
        </w:rPr>
        <w:t xml:space="preserve"> Apple Pulp</w:t>
      </w:r>
      <w:r>
        <w:rPr>
          <w:kern w:val="0"/>
        </w:rPr>
        <w:t>,</w:t>
      </w:r>
      <w:r w:rsidRPr="005E6B9E">
        <w:rPr>
          <w:kern w:val="0"/>
        </w:rPr>
        <w:t xml:space="preserve"> Pyrolysis</w:t>
      </w:r>
      <w:r>
        <w:rPr>
          <w:kern w:val="0"/>
        </w:rPr>
        <w:t>,</w:t>
      </w:r>
      <w:r w:rsidRPr="005E6B9E">
        <w:rPr>
          <w:kern w:val="0"/>
        </w:rPr>
        <w:t xml:space="preserve"> Wood</w:t>
      </w:r>
      <w:r>
        <w:rPr>
          <w:kern w:val="0"/>
        </w:rPr>
        <w:t>,</w:t>
      </w:r>
      <w:r w:rsidRPr="005E6B9E">
        <w:rPr>
          <w:kern w:val="0"/>
        </w:rPr>
        <w:t xml:space="preserve"> Biomass</w:t>
      </w:r>
      <w:r>
        <w:rPr>
          <w:kern w:val="0"/>
        </w:rPr>
        <w:t>,</w:t>
      </w:r>
      <w:r w:rsidRPr="005E6B9E">
        <w:rPr>
          <w:kern w:val="0"/>
        </w:rPr>
        <w:t xml:space="preserve"> Carbonization</w:t>
      </w:r>
      <w:r>
        <w:rPr>
          <w:kern w:val="0"/>
        </w:rPr>
        <w:t>,</w:t>
      </w:r>
      <w:r w:rsidRPr="005E6B9E">
        <w:rPr>
          <w:kern w:val="0"/>
        </w:rPr>
        <w:t xml:space="preserve"> Regenera</w:t>
      </w:r>
      <w:r>
        <w:rPr>
          <w:kern w:val="0"/>
        </w:rPr>
        <w:t>tion, Impregnation, Adsorption</w:t>
      </w:r>
    </w:p>
    <w:p w:rsidR="00743FF9" w:rsidRDefault="00743FF9" w:rsidP="00743FF9">
      <w:pPr>
        <w:pStyle w:val="a0"/>
        <w:rPr>
          <w:kern w:val="0"/>
        </w:rPr>
      </w:pPr>
      <w:r>
        <w:rPr>
          <w:rFonts w:hint="eastAsia"/>
          <w:kern w:val="0"/>
        </w:rPr>
        <w:t xml:space="preserve">? </w:t>
      </w:r>
      <w:r>
        <w:rPr>
          <w:kern w:val="0"/>
        </w:rPr>
        <w:t>Kumagai, S., Ishizawa, H.</w:t>
      </w:r>
      <w:r w:rsidR="00F81221">
        <w:rPr>
          <w:kern w:val="0"/>
        </w:rPr>
        <w:t xml:space="preserve"> and </w:t>
      </w:r>
      <w:r>
        <w:rPr>
          <w:kern w:val="0"/>
        </w:rPr>
        <w:t>Toida, Y. (2010), Influence of solvent type on dibenzothiophene adsorption onto activated carbon fiber</w:t>
      </w:r>
      <w:r w:rsidR="00F81221">
        <w:rPr>
          <w:kern w:val="0"/>
        </w:rPr>
        <w:t xml:space="preserve"> and </w:t>
      </w:r>
      <w:r>
        <w:rPr>
          <w:kern w:val="0"/>
        </w:rPr>
        <w:t xml:space="preserve">granular coconut-shell activated carbon. </w:t>
      </w:r>
      <w:r>
        <w:rPr>
          <w:i/>
          <w:iCs/>
          <w:kern w:val="0"/>
        </w:rPr>
        <w:t>Fuel</w:t>
      </w:r>
      <w:r>
        <w:rPr>
          <w:kern w:val="0"/>
        </w:rPr>
        <w:t xml:space="preserve">, </w:t>
      </w:r>
      <w:r>
        <w:rPr>
          <w:b/>
          <w:bCs/>
          <w:kern w:val="0"/>
        </w:rPr>
        <w:t>89</w:t>
      </w:r>
      <w:r>
        <w:rPr>
          <w:kern w:val="0"/>
        </w:rPr>
        <w:t xml:space="preserve"> (2), 365-371.</w:t>
      </w:r>
    </w:p>
    <w:p w:rsidR="00743FF9" w:rsidRDefault="00743FF9" w:rsidP="00743FF9">
      <w:pPr>
        <w:pStyle w:val="a0"/>
        <w:rPr>
          <w:kern w:val="0"/>
        </w:rPr>
      </w:pPr>
      <w:r>
        <w:rPr>
          <w:kern w:val="0"/>
        </w:rPr>
        <w:t>Full Text:</w:t>
      </w:r>
      <w:r w:rsidRPr="006C11AD">
        <w:t xml:space="preserve"> </w:t>
      </w:r>
      <w:hyperlink r:id="rId250" w:history="1">
        <w:r w:rsidRPr="008635B4">
          <w:rPr>
            <w:rStyle w:val="a5"/>
          </w:rPr>
          <w:t>2009\Fuel89, 365.pdf</w:t>
        </w:r>
      </w:hyperlink>
    </w:p>
    <w:p w:rsidR="00743FF9" w:rsidRDefault="00743FF9" w:rsidP="00743FF9">
      <w:pPr>
        <w:pStyle w:val="a0"/>
        <w:rPr>
          <w:kern w:val="0"/>
        </w:rPr>
      </w:pPr>
      <w:r>
        <w:rPr>
          <w:kern w:val="0"/>
        </w:rPr>
        <w:t>Abstract: The adsorption behavior of dibenzothiophene (DBT) on an activated carbon fiber (ACF)</w:t>
      </w:r>
      <w:r w:rsidR="00F81221">
        <w:rPr>
          <w:kern w:val="0"/>
        </w:rPr>
        <w:t xml:space="preserve"> and </w:t>
      </w:r>
      <w:r>
        <w:rPr>
          <w:kern w:val="0"/>
        </w:rPr>
        <w:t>a granular coconut-shell activated carbon (GCSAC) in the solvents n-hexane, n-decane, toluene,</w:t>
      </w:r>
      <w:r w:rsidR="00F81221">
        <w:rPr>
          <w:kern w:val="0"/>
        </w:rPr>
        <w:t xml:space="preserve"> and </w:t>
      </w:r>
      <w:r>
        <w:rPr>
          <w:kern w:val="0"/>
        </w:rPr>
        <w:t>mixture of n-decane</w:t>
      </w:r>
      <w:r w:rsidR="00F81221">
        <w:rPr>
          <w:kern w:val="0"/>
        </w:rPr>
        <w:t xml:space="preserve"> and </w:t>
      </w:r>
      <w:r>
        <w:rPr>
          <w:kern w:val="0"/>
        </w:rPr>
        <w:t>toluene was investigated. The DBT adsorption onto both samples was more active in n-hexane than in n-decane. The lowest DBT adsorption was observed in toluene. Regardless of the type of activated carbons</w:t>
      </w:r>
      <w:r w:rsidR="00F81221">
        <w:rPr>
          <w:kern w:val="0"/>
        </w:rPr>
        <w:t xml:space="preserve"> and </w:t>
      </w:r>
      <w:r>
        <w:rPr>
          <w:kern w:val="0"/>
        </w:rPr>
        <w:t>solvents, all the isotherms fit the Freundlich equation better than the Langmuir equation. At low equilibrium concentrations of &lt;2 mass ppm-S, GCSAC displayed greater capacity for DBT adsorption than did ACF in all the tested solvents. The adsorption kinetics of ACF</w:t>
      </w:r>
      <w:r w:rsidR="00F81221">
        <w:rPr>
          <w:kern w:val="0"/>
        </w:rPr>
        <w:t xml:space="preserve"> and </w:t>
      </w:r>
      <w:r>
        <w:rPr>
          <w:kern w:val="0"/>
        </w:rPr>
        <w:t>GCSAC in all the tested solvents were governed by a pseudo-second-order model. (c) 2009 Elsevier Ltd. All rights reserved.</w:t>
      </w:r>
    </w:p>
    <w:p w:rsidR="00743FF9" w:rsidRDefault="00743FF9" w:rsidP="00743FF9">
      <w:pPr>
        <w:pStyle w:val="a0"/>
        <w:rPr>
          <w:kern w:val="0"/>
        </w:rPr>
      </w:pPr>
      <w:r>
        <w:rPr>
          <w:kern w:val="0"/>
        </w:rPr>
        <w:t>Keywords: ACF, Activated Carbon, Activated Carbon Fiber, Activated Carbons, Adsorption, Adsorption Behavior, Adsorption Kinetics, Behavior, Capacity, Carbon, Coconut Shell, Deep Desulfurization, Desulfurization, Dibenzothiophene, Diesel Fuel, Dye, Equilibrium, Freundlich, Freundlich Equation, Fuel Oil, Fuel-Cell Applications, Hydrodesulfurization, Isotherms, Kinetics, Langmuir, Langmuir Equation, Model, Oil, Pseudo Second Order, Pseudo-Second-Order, Pseudo-Second-Order Model, Removal, Rights, Toluene</w:t>
      </w:r>
    </w:p>
    <w:p w:rsidR="004956F7" w:rsidRDefault="004956F7" w:rsidP="004956F7">
      <w:pPr>
        <w:pStyle w:val="a0"/>
        <w:rPr>
          <w:kern w:val="0"/>
        </w:rPr>
      </w:pPr>
      <w:r w:rsidRPr="0048698C">
        <w:rPr>
          <w:rFonts w:hint="eastAsia"/>
          <w:kern w:val="0"/>
        </w:rPr>
        <w:t xml:space="preserve">? </w:t>
      </w:r>
      <w:r w:rsidRPr="0048698C">
        <w:rPr>
          <w:kern w:val="0"/>
        </w:rPr>
        <w:t>Gonzalez, A., Moreno, N., Navia, R.</w:t>
      </w:r>
      <w:r w:rsidR="00F81221">
        <w:rPr>
          <w:kern w:val="0"/>
        </w:rPr>
        <w:t xml:space="preserve"> and </w:t>
      </w:r>
      <w:r w:rsidRPr="0048698C">
        <w:rPr>
          <w:kern w:val="0"/>
        </w:rPr>
        <w:t>Querol, X. (2010), Study of a Chilean petroleum coke fluidized bed combustion fly ash</w:t>
      </w:r>
      <w:r w:rsidR="00F81221">
        <w:rPr>
          <w:kern w:val="0"/>
        </w:rPr>
        <w:t xml:space="preserve"> and </w:t>
      </w:r>
      <w:r w:rsidRPr="0048698C">
        <w:rPr>
          <w:kern w:val="0"/>
        </w:rPr>
        <w:t>its potential application in copper, lead</w:t>
      </w:r>
      <w:r w:rsidR="00F81221">
        <w:rPr>
          <w:kern w:val="0"/>
        </w:rPr>
        <w:t xml:space="preserve"> and </w:t>
      </w:r>
      <w:r w:rsidRPr="0048698C">
        <w:rPr>
          <w:kern w:val="0"/>
        </w:rPr>
        <w:t xml:space="preserve">hexavalent chromium removal. </w:t>
      </w:r>
      <w:r w:rsidRPr="0048698C">
        <w:rPr>
          <w:i/>
          <w:iCs/>
          <w:kern w:val="0"/>
        </w:rPr>
        <w:t>Fuel</w:t>
      </w:r>
      <w:r w:rsidRPr="0048698C">
        <w:rPr>
          <w:kern w:val="0"/>
        </w:rPr>
        <w:t xml:space="preserve">, </w:t>
      </w:r>
      <w:r w:rsidRPr="0048698C">
        <w:rPr>
          <w:b/>
          <w:bCs/>
          <w:kern w:val="0"/>
        </w:rPr>
        <w:t>89</w:t>
      </w:r>
      <w:r w:rsidRPr="0048698C">
        <w:rPr>
          <w:kern w:val="0"/>
        </w:rPr>
        <w:t xml:space="preserve"> (10), 3012-3021.</w:t>
      </w:r>
    </w:p>
    <w:p w:rsidR="004956F7" w:rsidRPr="00DE2F11" w:rsidRDefault="004956F7" w:rsidP="004956F7">
      <w:pPr>
        <w:pStyle w:val="a0"/>
        <w:rPr>
          <w:kern w:val="0"/>
        </w:rPr>
      </w:pPr>
      <w:r w:rsidRPr="00DE2F11">
        <w:rPr>
          <w:kern w:val="0"/>
        </w:rPr>
        <w:t>Full Text:</w:t>
      </w:r>
      <w:r w:rsidRPr="00DE2F11">
        <w:t xml:space="preserve"> </w:t>
      </w:r>
      <w:hyperlink r:id="rId251" w:history="1">
        <w:r w:rsidRPr="002B22D9">
          <w:rPr>
            <w:rStyle w:val="a5"/>
          </w:rPr>
          <w:t>2010\Fuel89, 3012.pdf</w:t>
        </w:r>
      </w:hyperlink>
    </w:p>
    <w:p w:rsidR="004956F7" w:rsidRDefault="004956F7" w:rsidP="004956F7">
      <w:pPr>
        <w:pStyle w:val="a0"/>
        <w:rPr>
          <w:kern w:val="0"/>
        </w:rPr>
      </w:pPr>
      <w:r>
        <w:rPr>
          <w:kern w:val="0"/>
        </w:rPr>
        <w:lastRenderedPageBreak/>
        <w:t>Abstract: This work deals with the characterization of a circulated fluidized bed combustion (CFCB) Chilean petroleum coke fly ash (FA) from a petroleum coke power plant,</w:t>
      </w:r>
      <w:r w:rsidR="00F81221">
        <w:rPr>
          <w:kern w:val="0"/>
        </w:rPr>
        <w:t xml:space="preserve"> and </w:t>
      </w:r>
      <w:r>
        <w:rPr>
          <w:kern w:val="0"/>
        </w:rPr>
        <w:t>its potential use in neutralization</w:t>
      </w:r>
      <w:r w:rsidR="00F81221">
        <w:rPr>
          <w:kern w:val="0"/>
        </w:rPr>
        <w:t xml:space="preserve"> and </w:t>
      </w:r>
      <w:r>
        <w:rPr>
          <w:kern w:val="0"/>
        </w:rPr>
        <w:t>heavy metals removal from acid wastewaters. FA presents a high Ca</w:t>
      </w:r>
      <w:r w:rsidR="00F81221">
        <w:rPr>
          <w:kern w:val="0"/>
        </w:rPr>
        <w:t xml:space="preserve"> and </w:t>
      </w:r>
      <w:r>
        <w:rPr>
          <w:kern w:val="0"/>
        </w:rPr>
        <w:t>SO</w:t>
      </w:r>
      <w:r w:rsidRPr="00DE2F11">
        <w:rPr>
          <w:kern w:val="0"/>
          <w:vertAlign w:val="subscript"/>
        </w:rPr>
        <w:t>4</w:t>
      </w:r>
      <w:r w:rsidRPr="00DE2F11">
        <w:rPr>
          <w:kern w:val="0"/>
          <w:vertAlign w:val="superscript"/>
        </w:rPr>
        <w:t>2-</w:t>
      </w:r>
      <w:r>
        <w:rPr>
          <w:kern w:val="0"/>
        </w:rPr>
        <w:t xml:space="preserve"> content, being anhydrite the major crystalline mineral phase, with minor proportions of calcite, portlandite</w:t>
      </w:r>
      <w:r w:rsidR="00F81221">
        <w:rPr>
          <w:kern w:val="0"/>
        </w:rPr>
        <w:t xml:space="preserve"> and </w:t>
      </w:r>
      <w:r>
        <w:rPr>
          <w:kern w:val="0"/>
        </w:rPr>
        <w:t>lime. Regarding to environmental characterization of this fly ash, leaching tests allowed concluding that FA is a non-hazardous residue. Heavy metals removal tests indicate that FA is able to remove Cu</w:t>
      </w:r>
      <w:r w:rsidRPr="00DE2F11">
        <w:rPr>
          <w:kern w:val="0"/>
          <w:vertAlign w:val="superscript"/>
        </w:rPr>
        <w:t>2+</w:t>
      </w:r>
      <w:r w:rsidR="00F81221">
        <w:rPr>
          <w:kern w:val="0"/>
        </w:rPr>
        <w:t xml:space="preserve"> and </w:t>
      </w:r>
      <w:r>
        <w:rPr>
          <w:kern w:val="0"/>
        </w:rPr>
        <w:t>Pb</w:t>
      </w:r>
      <w:r w:rsidRPr="00DE2F11">
        <w:rPr>
          <w:kern w:val="0"/>
          <w:vertAlign w:val="superscript"/>
        </w:rPr>
        <w:t>2+</w:t>
      </w:r>
      <w:r>
        <w:rPr>
          <w:kern w:val="0"/>
        </w:rPr>
        <w:t xml:space="preserve"> mainly due to a precipitation process, while Cr(VI) is being removed probably due to a reduction process to Cr(III), at high liquid to solid ratios. Cu-2+, Pb-2+</w:t>
      </w:r>
      <w:r w:rsidR="00F81221">
        <w:rPr>
          <w:kern w:val="0"/>
        </w:rPr>
        <w:t xml:space="preserve"> and </w:t>
      </w:r>
      <w:r>
        <w:rPr>
          <w:kern w:val="0"/>
        </w:rPr>
        <w:t>Cr(VI) kinetic experimental data present acceptable fit to a pseudo-second order kinetic model. According to these results, FA may be used to remove heavy metals</w:t>
      </w:r>
      <w:r w:rsidR="00F81221">
        <w:rPr>
          <w:kern w:val="0"/>
        </w:rPr>
        <w:t xml:space="preserve"> and </w:t>
      </w:r>
      <w:r>
        <w:rPr>
          <w:kern w:val="0"/>
        </w:rPr>
        <w:t>neutralize acid wastewaters, suggesting a possible replacement of pure</w:t>
      </w:r>
      <w:r w:rsidR="00F81221">
        <w:rPr>
          <w:kern w:val="0"/>
        </w:rPr>
        <w:t xml:space="preserve"> and </w:t>
      </w:r>
      <w:r>
        <w:rPr>
          <w:kern w:val="0"/>
        </w:rPr>
        <w:t>costly alkaline materials. (c) 2010 Elsevier Ltd. All rights reserved.</w:t>
      </w:r>
    </w:p>
    <w:p w:rsidR="004956F7" w:rsidRDefault="004956F7" w:rsidP="004956F7">
      <w:pPr>
        <w:pStyle w:val="a0"/>
        <w:rPr>
          <w:kern w:val="0"/>
        </w:rPr>
      </w:pPr>
      <w:r>
        <w:rPr>
          <w:kern w:val="0"/>
        </w:rPr>
        <w:t>Keywords: Acid-Mine Drainage, Adsorption, Application, Aqueous-Solution, Calcite, Characterization, Chromium, Chromium Removal, Circulating Fluidized Bed Combustion, Coal, Combustion, Copper, Cr(III), Cr(VI), Cu</w:t>
      </w:r>
      <w:r w:rsidRPr="00497E08">
        <w:rPr>
          <w:kern w:val="0"/>
          <w:vertAlign w:val="superscript"/>
        </w:rPr>
        <w:t>2+</w:t>
      </w:r>
      <w:r>
        <w:rPr>
          <w:kern w:val="0"/>
        </w:rPr>
        <w:t>, Data, Environmental, Experimental, Fluidized Bed, Fly Ash, Fly Ashes, Heavy Metals, Hexavalent Chromium, Kinetic, Kinetic Model, Leachability, Leaching, Leaching Tests, Lead, Lime, Liquid, Low-Cost Adsorbents, Metals, Metals Removal, Minor, Model, Neutralization, Pb</w:t>
      </w:r>
      <w:r w:rsidRPr="00DE2F11">
        <w:rPr>
          <w:kern w:val="0"/>
          <w:vertAlign w:val="superscript"/>
        </w:rPr>
        <w:t>2+</w:t>
      </w:r>
      <w:r>
        <w:rPr>
          <w:kern w:val="0"/>
        </w:rPr>
        <w:t>, Petroleum Coke, Plant, Potential, Power, Power Plant, Power-Plant, Precipitation, Pseudo Second Order, Pseudo-Second Order, Pseudo-Second-Order, Reduction, Removal, Rights, Sewage-Sludge, Volcanic Soil, Waste-Water, Wastewaters, Work</w:t>
      </w:r>
    </w:p>
    <w:p w:rsidR="001D6375" w:rsidRDefault="001D6375" w:rsidP="001D6375">
      <w:pPr>
        <w:pStyle w:val="a0"/>
        <w:rPr>
          <w:kern w:val="0"/>
        </w:rPr>
      </w:pPr>
      <w:r>
        <w:rPr>
          <w:rFonts w:hint="eastAsia"/>
          <w:kern w:val="0"/>
        </w:rPr>
        <w:t xml:space="preserve">? </w:t>
      </w:r>
      <w:r>
        <w:rPr>
          <w:kern w:val="0"/>
        </w:rPr>
        <w:t xml:space="preserve">Qu, R.J., Sun, C.M., Ma, F., Cui, Z.Z., Zhang, Y., Sun, X.Y., Ji, C.N., Wang, C.H. and Yin, P. (2012), Adsorption kinetics and equilibrium of copper from ethanol fuel on silica-gel functionalized with amino-terminated dendrimer-like polyamidoamine polymers. </w:t>
      </w:r>
      <w:r>
        <w:rPr>
          <w:i/>
          <w:iCs/>
          <w:kern w:val="0"/>
        </w:rPr>
        <w:t>Fuel</w:t>
      </w:r>
      <w:r>
        <w:rPr>
          <w:kern w:val="0"/>
        </w:rPr>
        <w:t xml:space="preserve">, </w:t>
      </w:r>
      <w:r>
        <w:rPr>
          <w:b/>
          <w:bCs/>
          <w:kern w:val="0"/>
        </w:rPr>
        <w:t>92</w:t>
      </w:r>
      <w:r>
        <w:rPr>
          <w:kern w:val="0"/>
        </w:rPr>
        <w:t xml:space="preserve"> (1), 204-210.</w:t>
      </w:r>
    </w:p>
    <w:p w:rsidR="001D6375" w:rsidRDefault="001D6375" w:rsidP="001D6375">
      <w:pPr>
        <w:pStyle w:val="a0"/>
        <w:rPr>
          <w:kern w:val="0"/>
        </w:rPr>
      </w:pPr>
      <w:r>
        <w:rPr>
          <w:kern w:val="0"/>
        </w:rPr>
        <w:t>Full Text:</w:t>
      </w:r>
      <w:r w:rsidRPr="00B025C1">
        <w:t xml:space="preserve"> </w:t>
      </w:r>
      <w:hyperlink r:id="rId252" w:history="1">
        <w:r w:rsidRPr="00722F91">
          <w:rPr>
            <w:rStyle w:val="a5"/>
          </w:rPr>
          <w:t>2012\Fuel92, 204.pdf</w:t>
        </w:r>
      </w:hyperlink>
    </w:p>
    <w:p w:rsidR="001D6375" w:rsidRDefault="001D6375" w:rsidP="001D6375">
      <w:pPr>
        <w:pStyle w:val="a0"/>
        <w:rPr>
          <w:kern w:val="0"/>
        </w:rPr>
      </w:pPr>
      <w:r>
        <w:rPr>
          <w:kern w:val="0"/>
        </w:rPr>
        <w:t>Abstract: The adsorption kinetics and equilibrium of silica-gel functionalized with amino-terminated dendrimer-like polyamidoamine (PAMAM) polymers SiO</w:t>
      </w:r>
      <w:r>
        <w:rPr>
          <w:rFonts w:hint="eastAsia"/>
          <w:kern w:val="0"/>
          <w:vertAlign w:val="subscript"/>
        </w:rPr>
        <w:t>2</w:t>
      </w:r>
      <w:r>
        <w:rPr>
          <w:kern w:val="0"/>
        </w:rPr>
        <w:t>-G1.0, SiO</w:t>
      </w:r>
      <w:r>
        <w:rPr>
          <w:rFonts w:hint="eastAsia"/>
          <w:kern w:val="0"/>
          <w:vertAlign w:val="subscript"/>
        </w:rPr>
        <w:t>2</w:t>
      </w:r>
      <w:r>
        <w:rPr>
          <w:kern w:val="0"/>
        </w:rPr>
        <w:t>-G2.0 and SiO</w:t>
      </w:r>
      <w:r>
        <w:rPr>
          <w:rFonts w:hint="eastAsia"/>
          <w:kern w:val="0"/>
          <w:vertAlign w:val="subscript"/>
        </w:rPr>
        <w:t>2</w:t>
      </w:r>
      <w:r>
        <w:rPr>
          <w:kern w:val="0"/>
        </w:rPr>
        <w:t>-G3.0 for Cu</w:t>
      </w:r>
      <w:r>
        <w:rPr>
          <w:rFonts w:hint="eastAsia"/>
          <w:kern w:val="0"/>
          <w:vertAlign w:val="superscript"/>
        </w:rPr>
        <w:t>2+</w:t>
      </w:r>
      <w:r>
        <w:rPr>
          <w:kern w:val="0"/>
        </w:rPr>
        <w:t xml:space="preserve"> in ethanol fuel were investigated by using batch method. The results indicated that the all the adsorptions of the three adsorbents followed well the pseudo second-order model. The adsorption isotherms were fitted by Langmuir model, Freundlich model and Dubinin-Radushkevich (D-R) model. The results showed that Langmuir model was more suitable to describe the equilibrium data than the Freundlich model. From the D-R isotherm model, the mean free energy E calculated of the three adsorbents showed that the adsorptions were taken place by physical processes. Thermodynamic parameters, ΔG(0), ΔH(0) and ΔS(0) indicated </w:t>
      </w:r>
      <w:r>
        <w:rPr>
          <w:kern w:val="0"/>
        </w:rPr>
        <w:lastRenderedPageBreak/>
        <w:t>the Cu</w:t>
      </w:r>
      <w:r>
        <w:rPr>
          <w:rFonts w:hint="eastAsia"/>
          <w:kern w:val="0"/>
          <w:vertAlign w:val="superscript"/>
        </w:rPr>
        <w:t>2+</w:t>
      </w:r>
      <w:r>
        <w:rPr>
          <w:kern w:val="0"/>
        </w:rPr>
        <w:t xml:space="preserve"> adsorption to be endothermic and spontaneous with decreased randomness at the solid-solution interface, resulting in their higher adsorption capacities at higher temperature. The effect of generation number of PAMAM polymers loaded on silica-gel, contact time, initial concentration and temperatures on the adsorption capabilities were studied in detail. Moreover, the adsorption mechanism of copper from ethanol fuel was also presumed. (C) 2011 Elsevier Ltd. All rights reserved.</w:t>
      </w:r>
    </w:p>
    <w:p w:rsidR="001D6375" w:rsidRDefault="001D6375" w:rsidP="001D6375">
      <w:pPr>
        <w:pStyle w:val="a0"/>
        <w:rPr>
          <w:kern w:val="0"/>
        </w:rPr>
      </w:pPr>
      <w:r>
        <w:rPr>
          <w:kern w:val="0"/>
        </w:rPr>
        <w:t>Keywords: Activated Carbon, Adsorption, Adsorption Kinetics, Aqueous-Solutions, Atomic-Absorption-Spectrometry, Copper Ion, Cu, Cu</w:t>
      </w:r>
      <w:r>
        <w:rPr>
          <w:rFonts w:hint="eastAsia"/>
          <w:kern w:val="0"/>
          <w:vertAlign w:val="superscript"/>
        </w:rPr>
        <w:t>2+</w:t>
      </w:r>
      <w:r>
        <w:rPr>
          <w:kern w:val="0"/>
        </w:rPr>
        <w:t xml:space="preserve"> Adsorption, Dubinin-Radushkevich, Equilibrium, Ethanol Solution, Freundlich, Gasoline, Isotherm, Kinetics, Langmuir, Metal-Ions, Plasma-Mass Spectrometry, Preconcentration, Si Engine, Silica-Gel Functionalized With Polyamidoamine, Sorption, Thermodynamic, Thermodynamic Parameters</w:t>
      </w:r>
    </w:p>
    <w:p w:rsidR="00B95188" w:rsidRPr="00A428C3" w:rsidRDefault="00B95188" w:rsidP="00B95188">
      <w:pPr>
        <w:pStyle w:val="1"/>
      </w:pPr>
      <w:r w:rsidRPr="00A428C3">
        <w:br w:type="page"/>
      </w:r>
      <w:bookmarkStart w:id="173" w:name="_Toc487190672"/>
      <w:bookmarkStart w:id="174" w:name="_Toc487882175"/>
      <w:bookmarkStart w:id="175" w:name="_Toc490687971"/>
      <w:bookmarkStart w:id="176" w:name="_Toc186647693"/>
      <w:bookmarkStart w:id="177" w:name="_Toc317160874"/>
      <w:r w:rsidRPr="00A428C3">
        <w:lastRenderedPageBreak/>
        <w:t>Title: Fuel</w:t>
      </w:r>
      <w:r w:rsidR="00F81221">
        <w:t xml:space="preserve"> and </w:t>
      </w:r>
      <w:r w:rsidRPr="00A428C3">
        <w:t>Energy Abstracts</w:t>
      </w:r>
      <w:bookmarkEnd w:id="173"/>
      <w:bookmarkEnd w:id="174"/>
      <w:bookmarkEnd w:id="175"/>
      <w:bookmarkEnd w:id="176"/>
      <w:bookmarkEnd w:id="177"/>
    </w:p>
    <w:p w:rsidR="00B95188" w:rsidRPr="00A428C3" w:rsidRDefault="00B95188" w:rsidP="00B95188">
      <w:pPr>
        <w:pStyle w:val="a0"/>
      </w:pPr>
      <w:r w:rsidRPr="00A428C3">
        <w:t>(Fuel Energy Abstr.)</w:t>
      </w:r>
    </w:p>
    <w:p w:rsidR="00B95188" w:rsidRPr="00A428C3" w:rsidRDefault="00B95188" w:rsidP="00B72EF9">
      <w:pPr>
        <w:pStyle w:val="12"/>
      </w:pPr>
      <w:r w:rsidRPr="00A428C3">
        <w:t xml:space="preserve">Full Journal Title: </w:t>
      </w:r>
      <w:hyperlink r:id="rId253" w:history="1">
        <w:r w:rsidRPr="00A428C3">
          <w:rPr>
            <w:rStyle w:val="a5"/>
          </w:rPr>
          <w:t>Fuel</w:t>
        </w:r>
        <w:r w:rsidR="00F81221">
          <w:rPr>
            <w:rStyle w:val="a5"/>
          </w:rPr>
          <w:t xml:space="preserve"> and </w:t>
        </w:r>
        <w:r w:rsidRPr="00A428C3">
          <w:rPr>
            <w:rStyle w:val="a5"/>
          </w:rPr>
          <w:t>Energy Abstracts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0140-6701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Namasivayam, C.</w:t>
      </w:r>
      <w:r w:rsidR="00F81221">
        <w:t xml:space="preserve"> and </w:t>
      </w:r>
      <w:r w:rsidRPr="00A428C3">
        <w:t>Yamuna, R.T. (1995), Waste biogas residual slurry as an adsorbent for the removal of Pb(II) from aqueous solution</w:t>
      </w:r>
      <w:r w:rsidR="00F81221">
        <w:t xml:space="preserve"> and </w:t>
      </w:r>
      <w:r w:rsidRPr="00A428C3">
        <w:t xml:space="preserve">radiator manufacturing industry wastewater. </w:t>
      </w:r>
      <w:r w:rsidRPr="00A428C3">
        <w:rPr>
          <w:i/>
          <w:iCs/>
        </w:rPr>
        <w:t>Fuel</w:t>
      </w:r>
      <w:r w:rsidR="00F81221">
        <w:rPr>
          <w:i/>
          <w:iCs/>
        </w:rPr>
        <w:t xml:space="preserve"> and </w:t>
      </w:r>
      <w:r w:rsidRPr="00A428C3">
        <w:rPr>
          <w:i/>
          <w:iCs/>
        </w:rPr>
        <w:t>Energy Abstracts</w:t>
      </w:r>
      <w:r w:rsidRPr="00A428C3">
        <w:t xml:space="preserve">, </w:t>
      </w:r>
      <w:r w:rsidRPr="00A428C3">
        <w:rPr>
          <w:b/>
        </w:rPr>
        <w:t>36</w:t>
      </w:r>
      <w:r w:rsidRPr="00A428C3">
        <w:t xml:space="preserve"> (5), 377.</w:t>
      </w:r>
    </w:p>
    <w:p w:rsidR="00B95188" w:rsidRPr="00A428C3" w:rsidRDefault="00B95188" w:rsidP="00B95188">
      <w:pPr>
        <w:pStyle w:val="a0"/>
      </w:pPr>
      <w:r w:rsidRPr="00A428C3">
        <w:t xml:space="preserve">Full Text: </w:t>
      </w:r>
      <w:hyperlink r:id="rId254" w:history="1">
        <w:r w:rsidRPr="00A428C3">
          <w:rPr>
            <w:rStyle w:val="a5"/>
          </w:rPr>
          <w:t>F\Fue Ene Abs36, 377.pdf</w:t>
        </w:r>
      </w:hyperlink>
    </w:p>
    <w:p w:rsidR="00B95188" w:rsidRPr="00A428C3" w:rsidRDefault="00B95188" w:rsidP="00B95188">
      <w:pPr>
        <w:pStyle w:val="a0"/>
      </w:pPr>
      <w:r w:rsidRPr="00A428C3">
        <w:t>Abstract: Waste biogas residual slurry (BRS) was used for the adsorption of Pb(II) from aqueous solution, over a range of initial metal ion concentrations (20-100 mg litre</w:t>
      </w:r>
      <w:r w:rsidRPr="00A428C3">
        <w:rPr>
          <w:vertAlign w:val="superscript"/>
        </w:rPr>
        <w:t>-1</w:t>
      </w:r>
      <w:r w:rsidRPr="00A428C3">
        <w:t>), agitation times (5-70 min), adsorbent doses (0.4</w:t>
      </w:r>
      <w:smartTag w:uri="urn:schemas-microsoft-com:office:smarttags" w:element="chmetcnv">
        <w:smartTagPr>
          <w:attr w:name="TCSC" w:val="0"/>
          <w:attr w:name="NumberType" w:val="1"/>
          <w:attr w:name="Negative" w:val="True"/>
          <w:attr w:name="HasSpace" w:val="True"/>
          <w:attr w:name="SourceValue" w:val="5"/>
          <w:attr w:name="UnitName" w:val="g"/>
        </w:smartTagPr>
        <w:r w:rsidRPr="00A428C3">
          <w:t>-5.0 g</w:t>
        </w:r>
      </w:smartTag>
      <w:r w:rsidRPr="00A428C3">
        <w:t xml:space="preserve"> litre</w:t>
      </w:r>
      <w:r w:rsidRPr="00A428C3">
        <w:rPr>
          <w:vertAlign w:val="superscript"/>
        </w:rPr>
        <w:t>-1</w:t>
      </w:r>
      <w:r w:rsidRPr="00A428C3">
        <w:t>)</w:t>
      </w:r>
      <w:r w:rsidR="00F81221">
        <w:t xml:space="preserve"> and </w:t>
      </w:r>
      <w:r w:rsidRPr="00A428C3">
        <w:t>initial pH values (1.5-6.0). The amount of Pb(II) adsorbed (mg g</w:t>
      </w:r>
      <w:r w:rsidRPr="00A428C3">
        <w:rPr>
          <w:vertAlign w:val="superscript"/>
        </w:rPr>
        <w:t>-1</w:t>
      </w:r>
      <w:r w:rsidRPr="00A428C3">
        <w:t xml:space="preserve"> adsorbent) increased with increases in the initial concentration of Pb(II). The applicability of the Lagergren rate equation was also investigated.</w:t>
      </w:r>
    </w:p>
    <w:p w:rsidR="00B95188" w:rsidRPr="00A428C3" w:rsidRDefault="00B95188" w:rsidP="00B95188">
      <w:pPr>
        <w:pStyle w:val="a0"/>
      </w:pPr>
      <w:r w:rsidRPr="00A428C3">
        <w:t>Periasamy, K.</w:t>
      </w:r>
      <w:r w:rsidR="00F81221">
        <w:t xml:space="preserve"> and </w:t>
      </w:r>
      <w:r w:rsidRPr="00A428C3">
        <w:t>Namasivayam, C. (1995), Removal of nickel(II) from aqueous solution</w:t>
      </w:r>
      <w:r w:rsidR="00F81221">
        <w:t xml:space="preserve"> and </w:t>
      </w:r>
      <w:r w:rsidRPr="00A428C3">
        <w:t xml:space="preserve">nickel plating industry wastewater using an agricultural waste: Peanut hulls. </w:t>
      </w:r>
      <w:r w:rsidRPr="00A428C3">
        <w:rPr>
          <w:i/>
          <w:iCs/>
        </w:rPr>
        <w:t>Fuel</w:t>
      </w:r>
      <w:r w:rsidR="00F81221">
        <w:rPr>
          <w:i/>
          <w:iCs/>
        </w:rPr>
        <w:t xml:space="preserve"> and </w:t>
      </w:r>
      <w:r w:rsidRPr="00A428C3">
        <w:rPr>
          <w:i/>
          <w:iCs/>
        </w:rPr>
        <w:t>Energy Abstracts</w:t>
      </w:r>
      <w:r w:rsidRPr="00A428C3">
        <w:t xml:space="preserve">, </w:t>
      </w:r>
      <w:r w:rsidRPr="00A428C3">
        <w:rPr>
          <w:b/>
        </w:rPr>
        <w:t>36</w:t>
      </w:r>
      <w:r w:rsidRPr="00A428C3">
        <w:t xml:space="preserve"> (5), 385.</w:t>
      </w:r>
    </w:p>
    <w:p w:rsidR="00B95188" w:rsidRPr="00A428C3" w:rsidRDefault="00B95188" w:rsidP="00B95188">
      <w:pPr>
        <w:pStyle w:val="a0"/>
      </w:pPr>
      <w:r w:rsidRPr="00A428C3">
        <w:t xml:space="preserve">Full Text: </w:t>
      </w:r>
      <w:hyperlink r:id="rId255" w:history="1">
        <w:r w:rsidRPr="00A428C3">
          <w:rPr>
            <w:rStyle w:val="a5"/>
          </w:rPr>
          <w:t>F\Fue Ene Abs36, 385.pdf</w:t>
        </w:r>
      </w:hyperlink>
    </w:p>
    <w:p w:rsidR="00B95188" w:rsidRPr="00A428C3" w:rsidRDefault="00B95188" w:rsidP="00B95188">
      <w:pPr>
        <w:pStyle w:val="a0"/>
      </w:pPr>
      <w:r w:rsidRPr="00A428C3">
        <w:t>Abstract: Activated carbon prepared from peanut hulls (PHC), an agricultural waste by-product, has been used for the adsorption of Ni(II) from aqueous solution. The process of uptake obeys both Freundlich</w:t>
      </w:r>
      <w:r w:rsidR="00F81221">
        <w:t xml:space="preserve"> and </w:t>
      </w:r>
      <w:r w:rsidRPr="00A428C3">
        <w:t>Langmuir adsorption isotherms. The applicability of Lagergren kinetic model has also been investigated.</w:t>
      </w:r>
    </w:p>
    <w:p w:rsidR="00B95188" w:rsidRPr="00A428C3" w:rsidRDefault="00B95188" w:rsidP="00B95188">
      <w:pPr>
        <w:pStyle w:val="a0"/>
      </w:pPr>
      <w:r w:rsidRPr="00A428C3">
        <w:t xml:space="preserve">Ho, Y.S. (1995), Batch nickel removal from aqueous solution by sphagnum moss peat. </w:t>
      </w:r>
      <w:r w:rsidRPr="00A428C3">
        <w:rPr>
          <w:i/>
        </w:rPr>
        <w:t>Fuel</w:t>
      </w:r>
      <w:r w:rsidR="00F81221">
        <w:rPr>
          <w:i/>
        </w:rPr>
        <w:t xml:space="preserve"> and </w:t>
      </w:r>
      <w:r w:rsidRPr="00A428C3">
        <w:rPr>
          <w:i/>
        </w:rPr>
        <w:t>Energy Abstracts</w:t>
      </w:r>
      <w:r w:rsidRPr="00A428C3">
        <w:t xml:space="preserve">, </w:t>
      </w:r>
      <w:r w:rsidRPr="00A428C3">
        <w:rPr>
          <w:b/>
        </w:rPr>
        <w:t>36</w:t>
      </w:r>
      <w:r w:rsidRPr="00A428C3">
        <w:t xml:space="preserve"> (6), 457.</w:t>
      </w:r>
    </w:p>
    <w:p w:rsidR="00B95188" w:rsidRPr="00A428C3" w:rsidRDefault="00B95188" w:rsidP="00B95188">
      <w:pPr>
        <w:pStyle w:val="a0"/>
      </w:pPr>
      <w:r w:rsidRPr="00A428C3">
        <w:t xml:space="preserve">Full Text: </w:t>
      </w:r>
      <w:hyperlink r:id="rId256" w:history="1">
        <w:r w:rsidRPr="00A428C3">
          <w:rPr>
            <w:rStyle w:val="a5"/>
          </w:rPr>
          <w:t>F\Fue Ene Abs36, 457.pdf</w:t>
        </w:r>
      </w:hyperlink>
    </w:p>
    <w:p w:rsidR="00B95188" w:rsidRPr="00A428C3" w:rsidRDefault="00B95188" w:rsidP="00B95188">
      <w:pPr>
        <w:pStyle w:val="a0"/>
      </w:pPr>
      <w:r w:rsidRPr="00A428C3">
        <w:t>Abstract: The batch adsorption of Ni(II) onto sphagnum moss peat was studied. The reaction was pH dependent with an optimum 4.0-7.0. Langmuir</w:t>
      </w:r>
      <w:r w:rsidR="00F81221">
        <w:t xml:space="preserve"> and </w:t>
      </w:r>
      <w:r w:rsidRPr="00A428C3">
        <w:t>Freundich isotherms, established for various initial Ni concentrations</w:t>
      </w:r>
      <w:r w:rsidR="00F81221">
        <w:t xml:space="preserve"> and </w:t>
      </w:r>
      <w:r w:rsidRPr="00A428C3">
        <w:t xml:space="preserve">for a range of pH, </w:t>
      </w:r>
      <w:r w:rsidRPr="00A428C3">
        <w:lastRenderedPageBreak/>
        <w:t>were used to obtain a single relation between initial metal concentration, metal removal,</w:t>
      </w:r>
      <w:r w:rsidR="00F81221">
        <w:t xml:space="preserve"> and </w:t>
      </w:r>
      <w:r w:rsidRPr="00A428C3">
        <w:t>initial pH. The latter controlled efficiency of Ni removal.</w:t>
      </w:r>
    </w:p>
    <w:p w:rsidR="00B95188" w:rsidRPr="00A428C3" w:rsidRDefault="00B95188" w:rsidP="00B95188">
      <w:pPr>
        <w:pStyle w:val="a0"/>
      </w:pPr>
      <w:r w:rsidRPr="00A428C3">
        <w:t>Kapoor, A.</w:t>
      </w:r>
      <w:r w:rsidR="00F81221">
        <w:t xml:space="preserve"> and </w:t>
      </w:r>
      <w:r w:rsidRPr="00A428C3">
        <w:t xml:space="preserve">Viraraghavan, T. (1996), Fungal biosorption - An alternative treatment option for heavy metal bearing wastewaters: A review. </w:t>
      </w:r>
      <w:r w:rsidRPr="00A428C3">
        <w:rPr>
          <w:i/>
        </w:rPr>
        <w:t>Fuel</w:t>
      </w:r>
      <w:r w:rsidR="00F81221">
        <w:rPr>
          <w:i/>
        </w:rPr>
        <w:t xml:space="preserve"> and </w:t>
      </w:r>
      <w:r w:rsidRPr="00A428C3">
        <w:rPr>
          <w:i/>
        </w:rPr>
        <w:t>Energy Abstracts</w:t>
      </w:r>
      <w:r w:rsidRPr="00A428C3">
        <w:t xml:space="preserve">, </w:t>
      </w:r>
      <w:r w:rsidRPr="00A428C3">
        <w:rPr>
          <w:b/>
        </w:rPr>
        <w:t>37</w:t>
      </w:r>
      <w:r w:rsidRPr="00A428C3">
        <w:t xml:space="preserve"> (2), 140.</w:t>
      </w:r>
    </w:p>
    <w:p w:rsidR="00B95188" w:rsidRPr="00A428C3" w:rsidRDefault="00B95188" w:rsidP="00B95188">
      <w:pPr>
        <w:pStyle w:val="a0"/>
      </w:pPr>
      <w:r w:rsidRPr="00A428C3">
        <w:t xml:space="preserve">Full Text: </w:t>
      </w:r>
      <w:hyperlink r:id="rId257" w:history="1">
        <w:r w:rsidRPr="00A428C3">
          <w:rPr>
            <w:rStyle w:val="a5"/>
          </w:rPr>
          <w:t>F\Fue Ene Abs37, 140.pdf</w:t>
        </w:r>
      </w:hyperlink>
    </w:p>
    <w:p w:rsidR="00B95188" w:rsidRPr="00A428C3" w:rsidRDefault="00B95188" w:rsidP="00B95188">
      <w:pPr>
        <w:pStyle w:val="a0"/>
      </w:pPr>
      <w:r w:rsidRPr="00A428C3">
        <w:t>Abstract: Rapid industrialization has led to increased disposal of heavy metals</w:t>
      </w:r>
      <w:r w:rsidR="00F81221">
        <w:t xml:space="preserve"> and </w:t>
      </w:r>
      <w:r w:rsidRPr="00A428C3">
        <w:t>radio nuclides into the environment. Removal of heavy metals</w:t>
      </w:r>
      <w:r w:rsidR="00F81221">
        <w:t xml:space="preserve"> and </w:t>
      </w:r>
      <w:r w:rsidRPr="00A428C3">
        <w:t>radio nuclides from metal-bearing wastewater is usually achieved by physicochemical processes before discharging the effluents into natural waterbody systems. This paper reviews the removal of heavy metals</w:t>
      </w:r>
      <w:r w:rsidR="00F81221">
        <w:t xml:space="preserve"> and </w:t>
      </w:r>
      <w:r w:rsidRPr="00A428C3">
        <w:t>radio nuclides by fungi.</w:t>
      </w:r>
    </w:p>
    <w:p w:rsidR="00B95188" w:rsidRPr="00A428C3" w:rsidRDefault="00B95188" w:rsidP="00B95188">
      <w:pPr>
        <w:pStyle w:val="a0"/>
      </w:pPr>
      <w:r w:rsidRPr="00A428C3">
        <w:t>Dudarchik, V.M. (1998), Structure</w:t>
      </w:r>
      <w:r w:rsidR="00F81221">
        <w:t xml:space="preserve"> and </w:t>
      </w:r>
      <w:r w:rsidRPr="00A428C3">
        <w:t xml:space="preserve">properties of water-soluble humic substances of peat. </w:t>
      </w:r>
      <w:r w:rsidRPr="00A428C3">
        <w:rPr>
          <w:i/>
        </w:rPr>
        <w:t>Fuel</w:t>
      </w:r>
      <w:r w:rsidR="00F81221">
        <w:rPr>
          <w:i/>
        </w:rPr>
        <w:t xml:space="preserve"> and </w:t>
      </w:r>
      <w:r w:rsidRPr="00A428C3">
        <w:rPr>
          <w:i/>
        </w:rPr>
        <w:t>Energy Abstracts</w:t>
      </w:r>
      <w:r w:rsidRPr="00A428C3">
        <w:t xml:space="preserve">, </w:t>
      </w:r>
      <w:r w:rsidRPr="00A428C3">
        <w:rPr>
          <w:b/>
        </w:rPr>
        <w:t>39</w:t>
      </w:r>
      <w:r w:rsidRPr="00A428C3">
        <w:t xml:space="preserve"> (1), 29.</w:t>
      </w:r>
    </w:p>
    <w:p w:rsidR="00B95188" w:rsidRPr="00A428C3" w:rsidRDefault="00B95188" w:rsidP="00B95188">
      <w:pPr>
        <w:pStyle w:val="a0"/>
      </w:pPr>
      <w:r w:rsidRPr="00A428C3">
        <w:t xml:space="preserve">Full Text: </w:t>
      </w:r>
      <w:hyperlink r:id="rId258" w:history="1">
        <w:r w:rsidRPr="00A428C3">
          <w:rPr>
            <w:rStyle w:val="a5"/>
          </w:rPr>
          <w:t>F\Fue Ene Abs39, 29.pdf</w:t>
        </w:r>
      </w:hyperlink>
    </w:p>
    <w:p w:rsidR="00B95188" w:rsidRPr="00A428C3" w:rsidRDefault="00B95188" w:rsidP="00B95188">
      <w:pPr>
        <w:pStyle w:val="a0"/>
      </w:pPr>
      <w:r w:rsidRPr="00A428C3">
        <w:t xml:space="preserve">Abstract: </w:t>
      </w:r>
      <w:smartTag w:uri="urn:schemas-microsoft-com:office:smarttags" w:element="chmetcnv">
        <w:smartTagPr>
          <w:attr w:name="TCSC" w:val="0"/>
          <w:attr w:name="NumberType" w:val="1"/>
          <w:attr w:name="Negative" w:val="False"/>
          <w:attr w:name="HasSpace" w:val="False"/>
          <w:attr w:name="SourceValue" w:val="13"/>
          <w:attr w:name="UnitName" w:val="C"/>
        </w:smartTagPr>
        <w:r w:rsidRPr="00A428C3">
          <w:rPr>
            <w:vertAlign w:val="superscript"/>
          </w:rPr>
          <w:t>13</w:t>
        </w:r>
        <w:r w:rsidRPr="00A428C3">
          <w:t>C</w:t>
        </w:r>
      </w:smartTag>
      <w:r w:rsidRPr="00A428C3">
        <w:t xml:space="preserve"> NMR spectroscopy was used to examine the structure of humic acids in peat</w:t>
      </w:r>
      <w:r w:rsidR="00F81221">
        <w:t xml:space="preserve"> and </w:t>
      </w:r>
      <w:r w:rsidRPr="00A428C3">
        <w:t>products of their oxidation destruction. Water-soluble products of oxidation destruction are highly oxidized fragments of humic acids enriched with O-containing functional groups</w:t>
      </w:r>
      <w:r w:rsidR="00F81221">
        <w:t xml:space="preserve"> and </w:t>
      </w:r>
      <w:r w:rsidRPr="00A428C3">
        <w:t>having a high cation-absorption capacity.</w:t>
      </w:r>
    </w:p>
    <w:p w:rsidR="00B95188" w:rsidRPr="00A428C3" w:rsidRDefault="00B95188" w:rsidP="00B95188">
      <w:pPr>
        <w:pStyle w:val="a0"/>
      </w:pPr>
      <w:r w:rsidRPr="00A428C3">
        <w:t xml:space="preserve">Shao, Y. (1998), Study on activated fly ash as an adsorbent for Weak Acid Brilliant Green GS. </w:t>
      </w:r>
      <w:r w:rsidRPr="00A428C3">
        <w:rPr>
          <w:i/>
        </w:rPr>
        <w:t>Fuel</w:t>
      </w:r>
      <w:r w:rsidR="00F81221">
        <w:rPr>
          <w:i/>
        </w:rPr>
        <w:t xml:space="preserve"> and </w:t>
      </w:r>
      <w:r w:rsidRPr="00A428C3">
        <w:rPr>
          <w:i/>
        </w:rPr>
        <w:t>Energy Abstracts</w:t>
      </w:r>
      <w:r w:rsidRPr="00A428C3">
        <w:t xml:space="preserve">, </w:t>
      </w:r>
      <w:r w:rsidRPr="00A428C3">
        <w:rPr>
          <w:b/>
        </w:rPr>
        <w:t>39</w:t>
      </w:r>
      <w:r w:rsidRPr="00A428C3">
        <w:t xml:space="preserve"> (1), 29.</w:t>
      </w:r>
    </w:p>
    <w:p w:rsidR="00B95188" w:rsidRPr="00A428C3" w:rsidRDefault="00B95188" w:rsidP="00B95188">
      <w:pPr>
        <w:pStyle w:val="a0"/>
      </w:pPr>
      <w:r w:rsidRPr="00A428C3">
        <w:t xml:space="preserve">Full Text: </w:t>
      </w:r>
      <w:hyperlink r:id="rId259" w:history="1">
        <w:r w:rsidRPr="00A428C3">
          <w:rPr>
            <w:rStyle w:val="a5"/>
          </w:rPr>
          <w:t>F\Fue Ene Abs39, 29.pdf</w:t>
        </w:r>
      </w:hyperlink>
    </w:p>
    <w:p w:rsidR="00B95188" w:rsidRPr="00A428C3" w:rsidRDefault="00B95188" w:rsidP="00B95188">
      <w:pPr>
        <w:pStyle w:val="a0"/>
      </w:pPr>
      <w:r w:rsidRPr="00A428C3">
        <w:t>Abstract: Original fly ash was mixed with slaked lime</w:t>
      </w:r>
      <w:r w:rsidR="00F81221">
        <w:t xml:space="preserve"> and </w:t>
      </w:r>
      <w:r w:rsidRPr="00A428C3">
        <w:t>then heated to produce activated fly ash. The effect of lime content</w:t>
      </w:r>
      <w:r w:rsidR="00F81221">
        <w:t xml:space="preserve"> and </w:t>
      </w:r>
      <w:r w:rsidRPr="00A428C3">
        <w:t>temperature on the ability of the product to adsorb Weak Acid Brilliant Green GS dye was studied. The saturation adsorption capacity of the best product was 47 times that of inactivated fly ash. The removal of COD in wastewater was 90%</w:t>
      </w:r>
      <w:r w:rsidR="00F81221">
        <w:t xml:space="preserve"> and </w:t>
      </w:r>
      <w:r w:rsidRPr="00A428C3">
        <w:t>the decolorization was &gt; 90%. The structure of the activated fly ash</w:t>
      </w:r>
      <w:r w:rsidR="00F81221">
        <w:t xml:space="preserve"> and </w:t>
      </w:r>
      <w:r w:rsidRPr="00A428C3">
        <w:t>its adsorbing mechanism were studied by TGA, DTA</w:t>
      </w:r>
      <w:r w:rsidR="00F81221">
        <w:t xml:space="preserve"> and </w:t>
      </w:r>
      <w:r w:rsidRPr="00A428C3">
        <w:t>IR.</w:t>
      </w:r>
    </w:p>
    <w:p w:rsidR="00B95188" w:rsidRPr="00A428C3" w:rsidRDefault="00B95188" w:rsidP="00B95188">
      <w:pPr>
        <w:pStyle w:val="1"/>
      </w:pPr>
      <w:r w:rsidRPr="00A428C3">
        <w:br w:type="page"/>
      </w:r>
      <w:bookmarkStart w:id="178" w:name="_Toc487190674"/>
      <w:bookmarkStart w:id="179" w:name="_Toc487882177"/>
      <w:bookmarkStart w:id="180" w:name="_Toc490687973"/>
      <w:bookmarkStart w:id="181" w:name="_Toc186647694"/>
      <w:bookmarkStart w:id="182" w:name="_Toc317160875"/>
      <w:r w:rsidRPr="00A428C3">
        <w:lastRenderedPageBreak/>
        <w:t>Title: Fuel Processing Technology</w:t>
      </w:r>
      <w:bookmarkEnd w:id="178"/>
      <w:bookmarkEnd w:id="179"/>
      <w:bookmarkEnd w:id="180"/>
      <w:bookmarkEnd w:id="181"/>
      <w:bookmarkEnd w:id="182"/>
    </w:p>
    <w:p w:rsidR="00B95188" w:rsidRPr="00CE75B5" w:rsidRDefault="00B95188" w:rsidP="00B72EF9">
      <w:pPr>
        <w:pStyle w:val="12"/>
      </w:pPr>
      <w:r w:rsidRPr="00CE75B5">
        <w:t xml:space="preserve">Full Journal Title: </w:t>
      </w:r>
      <w:hyperlink r:id="rId260" w:history="1">
        <w:r w:rsidRPr="00CE75B5">
          <w:rPr>
            <w:rStyle w:val="a5"/>
          </w:rPr>
          <w:t>Fuel Processing Technology</w:t>
        </w:r>
      </w:hyperlink>
    </w:p>
    <w:p w:rsidR="00B95188" w:rsidRPr="00CE75B5" w:rsidRDefault="00B95188" w:rsidP="00B72EF9">
      <w:pPr>
        <w:pStyle w:val="12"/>
      </w:pPr>
      <w:r w:rsidRPr="00CE75B5">
        <w:t>ISO Abbreviated Title: Fuel Process. Technol.</w:t>
      </w:r>
    </w:p>
    <w:p w:rsidR="00B95188" w:rsidRPr="00CE75B5" w:rsidRDefault="00B95188" w:rsidP="00B72EF9">
      <w:pPr>
        <w:pStyle w:val="12"/>
      </w:pPr>
      <w:r w:rsidRPr="00CE75B5">
        <w:t>JCR Abbreviated Title: Fuel Process Technol</w:t>
      </w:r>
    </w:p>
    <w:p w:rsidR="00B95188" w:rsidRPr="00CE75B5" w:rsidRDefault="00B95188" w:rsidP="00B72EF9">
      <w:pPr>
        <w:pStyle w:val="12"/>
      </w:pPr>
      <w:r w:rsidRPr="00CE75B5">
        <w:t>ISSN: 0378-3820</w:t>
      </w:r>
    </w:p>
    <w:p w:rsidR="00B95188" w:rsidRPr="00CE75B5" w:rsidRDefault="00B95188" w:rsidP="00B72EF9">
      <w:pPr>
        <w:pStyle w:val="12"/>
      </w:pPr>
      <w:r w:rsidRPr="00CE75B5">
        <w:t>Issues/Year: 6</w:t>
      </w:r>
    </w:p>
    <w:p w:rsidR="00B95188" w:rsidRPr="00CE75B5" w:rsidRDefault="00B95188" w:rsidP="00B72EF9">
      <w:pPr>
        <w:pStyle w:val="12"/>
      </w:pPr>
      <w:r w:rsidRPr="00CE75B5">
        <w:t>Journal Country/Territory: Netherlands</w:t>
      </w:r>
    </w:p>
    <w:p w:rsidR="00B95188" w:rsidRPr="00CE75B5" w:rsidRDefault="00B95188" w:rsidP="00B72EF9">
      <w:pPr>
        <w:pStyle w:val="12"/>
      </w:pPr>
      <w:r w:rsidRPr="00CE75B5">
        <w:t>Language: English</w:t>
      </w:r>
    </w:p>
    <w:p w:rsidR="00B95188" w:rsidRPr="00CE75B5" w:rsidRDefault="00B95188" w:rsidP="00B72EF9">
      <w:pPr>
        <w:pStyle w:val="12"/>
      </w:pPr>
      <w:r w:rsidRPr="00CE75B5">
        <w:t>Publisher: Elsevier Science BV</w:t>
      </w:r>
    </w:p>
    <w:p w:rsidR="00B95188" w:rsidRPr="00CE75B5" w:rsidRDefault="00B95188" w:rsidP="00B72EF9">
      <w:pPr>
        <w:pStyle w:val="12"/>
      </w:pPr>
      <w:r w:rsidRPr="00CE75B5">
        <w:t>Publisher Address: PO Box 211, 1000 AE Amsterdam, Netherlands</w:t>
      </w:r>
    </w:p>
    <w:p w:rsidR="00B95188" w:rsidRPr="00CE75B5" w:rsidRDefault="00B95188" w:rsidP="00B72EF9">
      <w:pPr>
        <w:pStyle w:val="12"/>
      </w:pPr>
      <w:r w:rsidRPr="00CE75B5">
        <w:t>Subject Categories:</w:t>
      </w:r>
    </w:p>
    <w:p w:rsidR="00B95188" w:rsidRPr="00CE75B5" w:rsidRDefault="00B95188" w:rsidP="00B72EF9">
      <w:pPr>
        <w:pStyle w:val="12"/>
      </w:pPr>
      <w:r w:rsidRPr="00CE75B5">
        <w:t>Chemistry, Applied: Impact Factor 0.563, 31/55 (2000)</w:t>
      </w:r>
    </w:p>
    <w:p w:rsidR="00B95188" w:rsidRPr="00CE75B5" w:rsidRDefault="00B95188" w:rsidP="00B72EF9">
      <w:pPr>
        <w:pStyle w:val="12"/>
      </w:pPr>
      <w:r w:rsidRPr="00CE75B5">
        <w:t>Energy &amp; Fuels: Impact Factor</w:t>
      </w:r>
    </w:p>
    <w:p w:rsidR="00B95188" w:rsidRPr="00CE75B5" w:rsidRDefault="00B95188" w:rsidP="00B72EF9">
      <w:pPr>
        <w:pStyle w:val="12"/>
      </w:pPr>
      <w:r w:rsidRPr="00CE75B5">
        <w:t>Engineering, Chemical: Impact Factor 0.526, 53/110 (1999)</w:t>
      </w:r>
    </w:p>
    <w:p w:rsidR="00B95188" w:rsidRPr="00A428C3" w:rsidRDefault="00B95188" w:rsidP="00B95188">
      <w:pPr>
        <w:pStyle w:val="a0"/>
      </w:pPr>
      <w:r w:rsidRPr="00A428C3">
        <w:t>Martinez-Tarazona, M.R.</w:t>
      </w:r>
      <w:r w:rsidR="00F81221">
        <w:t xml:space="preserve"> and </w:t>
      </w:r>
      <w:r w:rsidRPr="00A428C3">
        <w:t>Spears, D.A. (1996), Fate of trace elements</w:t>
      </w:r>
      <w:r w:rsidR="00F81221">
        <w:t xml:space="preserve"> and </w:t>
      </w:r>
      <w:r w:rsidRPr="00A428C3">
        <w:t xml:space="preserve">bulk minerals in pulverized coal combustion in a power station. </w:t>
      </w:r>
      <w:r w:rsidRPr="00A428C3">
        <w:rPr>
          <w:i/>
          <w:iCs/>
        </w:rPr>
        <w:t>Fuel Processing Technology</w:t>
      </w:r>
      <w:r w:rsidRPr="00A428C3">
        <w:t xml:space="preserve">, </w:t>
      </w:r>
      <w:r w:rsidRPr="00A428C3">
        <w:rPr>
          <w:b/>
        </w:rPr>
        <w:t>47</w:t>
      </w:r>
      <w:r w:rsidRPr="00A428C3">
        <w:t xml:space="preserve"> (1), 79-92.</w:t>
      </w:r>
    </w:p>
    <w:p w:rsidR="00B95188" w:rsidRPr="00A428C3" w:rsidRDefault="00B95188" w:rsidP="00B95188">
      <w:pPr>
        <w:pStyle w:val="a0"/>
      </w:pPr>
      <w:r w:rsidRPr="00A428C3">
        <w:t xml:space="preserve">Full Text: </w:t>
      </w:r>
      <w:hyperlink r:id="rId261" w:history="1">
        <w:r w:rsidRPr="00A428C3">
          <w:rPr>
            <w:rStyle w:val="a5"/>
          </w:rPr>
          <w:t>F\Fue Pro Tec47, 79.pdf</w:t>
        </w:r>
      </w:hyperlink>
    </w:p>
    <w:p w:rsidR="00B95188" w:rsidRPr="00A428C3" w:rsidRDefault="00B95188" w:rsidP="00B95188">
      <w:pPr>
        <w:pStyle w:val="a0"/>
      </w:pPr>
      <w:r w:rsidRPr="00A428C3">
        <w:t>Arpa, C., Başyilmaz, E., Bektaş, S., Genç, Ö.</w:t>
      </w:r>
      <w:r w:rsidR="00F81221">
        <w:t xml:space="preserve"> and </w:t>
      </w:r>
      <w:r w:rsidRPr="00A428C3">
        <w:t>Yürüm, Y. (1996), Cation exchange properties of low rank Turkish coals: Removal of Hg, Cd</w:t>
      </w:r>
      <w:r w:rsidR="00F81221">
        <w:t xml:space="preserve"> and </w:t>
      </w:r>
      <w:r w:rsidRPr="00A428C3">
        <w:t xml:space="preserve">Pb from waste water. </w:t>
      </w:r>
      <w:r w:rsidRPr="00A428C3">
        <w:rPr>
          <w:i/>
        </w:rPr>
        <w:t>Fuel Processing Technology</w:t>
      </w:r>
      <w:r w:rsidRPr="00A428C3">
        <w:t xml:space="preserve">, </w:t>
      </w:r>
      <w:r w:rsidRPr="00A428C3">
        <w:rPr>
          <w:b/>
        </w:rPr>
        <w:t>68</w:t>
      </w:r>
      <w:r w:rsidRPr="00A428C3">
        <w:t xml:space="preserve"> (2), 111-120.</w:t>
      </w:r>
    </w:p>
    <w:p w:rsidR="00B95188" w:rsidRPr="00A428C3" w:rsidRDefault="00B95188" w:rsidP="00B95188">
      <w:pPr>
        <w:pStyle w:val="a0"/>
      </w:pPr>
      <w:r w:rsidRPr="00A428C3">
        <w:t xml:space="preserve">Full Text: </w:t>
      </w:r>
      <w:hyperlink r:id="rId262" w:history="1">
        <w:r w:rsidRPr="00A428C3">
          <w:rPr>
            <w:rStyle w:val="a5"/>
          </w:rPr>
          <w:t>F\Fue Pro Tec68, 111.pdf</w:t>
        </w:r>
      </w:hyperlink>
    </w:p>
    <w:p w:rsidR="00B95188" w:rsidRPr="00A428C3" w:rsidRDefault="00B95188" w:rsidP="00B95188">
      <w:pPr>
        <w:pStyle w:val="a0"/>
      </w:pPr>
      <w:r w:rsidRPr="00A428C3">
        <w:t>Abstract: The removal of contaminant heavy-metal ions from spiked aqueous samples containing low-to-moderate levels of contamination using Turkish Beypazari low rank coal was investigated. Carboxylic acid</w:t>
      </w:r>
      <w:r w:rsidR="00F81221">
        <w:t xml:space="preserve"> and </w:t>
      </w:r>
      <w:r w:rsidRPr="00A428C3">
        <w:t>phenolic hydroxyl functional groups present on the coals surface were the adsorption site to remove cations from solution via ion exchange. The equilibrium pH of the coal/solution mixture has been shown to be the principal factor controlling the extent of removal of Hg(II), Cd(II),</w:t>
      </w:r>
      <w:r w:rsidR="00F81221">
        <w:t xml:space="preserve"> and </w:t>
      </w:r>
      <w:r w:rsidRPr="00A428C3">
        <w:t>Pb(II) ions from aqueous solutions. The optimum pH was measured to be 4.0 for Hg</w:t>
      </w:r>
      <w:r w:rsidR="00F81221">
        <w:t xml:space="preserve"> and </w:t>
      </w:r>
      <w:r w:rsidRPr="00A428C3">
        <w:t>Cd,</w:t>
      </w:r>
      <w:r w:rsidR="00F81221">
        <w:t xml:space="preserve"> and </w:t>
      </w:r>
      <w:r w:rsidRPr="00A428C3">
        <w:t>5.0 for Pb</w:t>
      </w:r>
      <w:r w:rsidR="00F81221">
        <w:t xml:space="preserve"> and </w:t>
      </w:r>
      <w:r w:rsidRPr="00A428C3">
        <w:t>it was found that the system reached equilibrium in 20 min. The maximum adsorption capacities of the metal ions from their single solutions were 0.039 mmol for Hg(LI), 0.008 mmol for Cd(II)</w:t>
      </w:r>
      <w:r w:rsidR="00F81221">
        <w:t xml:space="preserve"> and </w:t>
      </w:r>
      <w:r w:rsidRPr="00A428C3">
        <w:t xml:space="preserve">0.041 mmol for Pb(II) per gram of coal. The order of affinity on; a mole basis was as follows: Pb(II) &gt; Hg(II) &gt; Cd(II). The same behavior was observed during the competitive adsorption, that is in the case of adsorption from their ternary solutions. Waste water samples were obtained from a mining industry plant located within Aegean Region, </w:t>
      </w:r>
      <w:smartTag w:uri="urn:schemas-microsoft-com:office:smarttags" w:element="place">
        <w:smartTag w:uri="urn:schemas-microsoft-com:office:smarttags" w:element="country-region">
          <w:r w:rsidRPr="00A428C3">
            <w:t>Turkey</w:t>
          </w:r>
        </w:smartTag>
      </w:smartTag>
      <w:r w:rsidRPr="00A428C3">
        <w:t xml:space="preserve">. It was observed that the use of low rank coal was considerably effective in removing Hg, </w:t>
      </w:r>
      <w:r w:rsidRPr="00A428C3">
        <w:lastRenderedPageBreak/>
        <w:t>Cd</w:t>
      </w:r>
      <w:r w:rsidR="00F81221">
        <w:t xml:space="preserve"> and </w:t>
      </w:r>
      <w:r w:rsidRPr="00A428C3">
        <w:t>Pb cations from water. (C) 2000 Elsevier Science B.V. All rights reserved.</w:t>
      </w:r>
    </w:p>
    <w:p w:rsidR="00B95188" w:rsidRPr="00A428C3" w:rsidRDefault="00B95188" w:rsidP="00B95188">
      <w:pPr>
        <w:pStyle w:val="a0"/>
      </w:pPr>
      <w:r w:rsidRPr="00A428C3">
        <w:t>Keywords: Turkish Low Rank Coal, Heavy-Metal Ions, Ion Exchange, Monodisperse Polystyrene Microspheres, Adsorption, Sorbents</w:t>
      </w:r>
    </w:p>
    <w:p w:rsidR="00B95188" w:rsidRPr="00A428C3" w:rsidRDefault="00B95188" w:rsidP="00B95188">
      <w:pPr>
        <w:pStyle w:val="a0"/>
      </w:pPr>
      <w:r w:rsidRPr="00A428C3">
        <w:t>Gurses, A., Yalcin, M., Sozbilir, M.</w:t>
      </w:r>
      <w:r w:rsidR="00F81221">
        <w:t xml:space="preserve"> and </w:t>
      </w:r>
      <w:r w:rsidRPr="00A428C3">
        <w:t>Dogar, C. (2003), The investigation of adsorption thermodynamics</w:t>
      </w:r>
      <w:r w:rsidR="00F81221">
        <w:t xml:space="preserve"> and </w:t>
      </w:r>
      <w:r w:rsidRPr="00A428C3">
        <w:t xml:space="preserve">mechanism of a cationic surfactant, CTAB, onto powdered active carbon. </w:t>
      </w:r>
      <w:r w:rsidRPr="00A428C3">
        <w:rPr>
          <w:i/>
        </w:rPr>
        <w:t>Fuel Processing Technology</w:t>
      </w:r>
      <w:r w:rsidRPr="00A428C3">
        <w:t xml:space="preserve">, </w:t>
      </w:r>
      <w:r w:rsidRPr="00A428C3">
        <w:rPr>
          <w:b/>
        </w:rPr>
        <w:t>81</w:t>
      </w:r>
      <w:r w:rsidRPr="00A428C3">
        <w:t xml:space="preserve"> (1), 57-66.</w:t>
      </w:r>
    </w:p>
    <w:p w:rsidR="00B95188" w:rsidRPr="00A428C3" w:rsidRDefault="00B95188" w:rsidP="00B95188">
      <w:pPr>
        <w:pStyle w:val="a0"/>
      </w:pPr>
      <w:r w:rsidRPr="00A428C3">
        <w:t xml:space="preserve">Full Text: </w:t>
      </w:r>
      <w:hyperlink r:id="rId263" w:history="1">
        <w:r w:rsidRPr="00A428C3">
          <w:rPr>
            <w:rStyle w:val="a5"/>
          </w:rPr>
          <w:t>F\Fue Pro Tec81, 57.pdf</w:t>
        </w:r>
      </w:hyperlink>
    </w:p>
    <w:p w:rsidR="00B95188" w:rsidRPr="00A428C3" w:rsidRDefault="00B95188" w:rsidP="00B95188">
      <w:pPr>
        <w:pStyle w:val="a0"/>
      </w:pPr>
      <w:r w:rsidRPr="00A428C3">
        <w:t>Abstract: In this study, the adsorption mechanism of cethyltrimethylammonium bromide (CTAB), a cationic surfactant, onto powdered active carbon (PAC) from aqueous solution was investigated</w:t>
      </w:r>
      <w:r w:rsidR="00F81221">
        <w:t xml:space="preserve"> and </w:t>
      </w:r>
      <w:r w:rsidRPr="00A428C3">
        <w:t>also some thermodynamic quantities such as isosteric adsorption enthalpy</w:t>
      </w:r>
      <w:r w:rsidR="00F81221">
        <w:t xml:space="preserve"> and </w:t>
      </w:r>
      <w:r w:rsidRPr="00A428C3">
        <w:t>entropy for this system were determined. In addition, the mechanistic</w:t>
      </w:r>
      <w:r w:rsidR="00F81221">
        <w:t xml:space="preserve"> and </w:t>
      </w:r>
      <w:r w:rsidRPr="00A428C3">
        <w:t>thermodynamic results of the experiments were supported with the surface zeta potential measurements. It was found that 5 min is sufficient in order to reach adsorption equilibrium. The adsorption of CTAB onto active carbon/water interface mainly takes place through ion exchange, the ion pairing</w:t>
      </w:r>
      <w:r w:rsidR="00F81221">
        <w:t xml:space="preserve"> and </w:t>
      </w:r>
      <w:r w:rsidRPr="00A428C3">
        <w:t>hydrophobic bonding. The predominant mechanisms in the lower CTAB concentrations are probably ion exchange</w:t>
      </w:r>
      <w:r w:rsidR="00F81221">
        <w:t xml:space="preserve"> and </w:t>
      </w:r>
      <w:r w:rsidRPr="00A428C3">
        <w:t>ion pairing. The hydrophobic bonding mechanism predominates with the increasing CTAB concentration. It was determined that the signs of isosteric adsorption enthalpy (</w:t>
      </w:r>
      <w:r w:rsidR="00CE75B5">
        <w:sym w:font="Symbol" w:char="F044"/>
      </w:r>
      <w:r w:rsidRPr="00A428C3">
        <w:t>H(zeta))</w:t>
      </w:r>
      <w:r w:rsidR="00F81221">
        <w:t xml:space="preserve"> and </w:t>
      </w:r>
      <w:r w:rsidRPr="00A428C3">
        <w:t>isosteric adsorption entropy (</w:t>
      </w:r>
      <w:r w:rsidR="00CE75B5">
        <w:sym w:font="Symbol" w:char="F044"/>
      </w:r>
      <w:r w:rsidRPr="00A428C3">
        <w:t>S(zeta)) for adsorption of CTAB onto PAC are negative</w:t>
      </w:r>
      <w:r w:rsidR="00F81221">
        <w:t xml:space="preserve"> and </w:t>
      </w:r>
      <w:r w:rsidRPr="00A428C3">
        <w:t>positive, respectively. As temperature increases, the amount of CTAB adsorbed is decreased indicating the exothermic nature of adsorption process. This decreasing verifies the negative sign expected of (</w:t>
      </w:r>
      <w:r w:rsidR="00CE75B5">
        <w:sym w:font="Symbol" w:char="F044"/>
      </w:r>
      <w:r w:rsidRPr="00A428C3">
        <w:t>H(ads))(zeta). As a result of the adsorption, since the number of the water molecules surrounding the hydrocarbon tails of CTAB molecules decreases</w:t>
      </w:r>
      <w:r w:rsidR="00F81221">
        <w:t xml:space="preserve"> and </w:t>
      </w:r>
      <w:r w:rsidRPr="00A428C3">
        <w:t>thus the degree of freedom of the water molecules increases, the positive sign of (</w:t>
      </w:r>
      <w:r w:rsidR="00CE75B5">
        <w:sym w:font="Symbol" w:char="F044"/>
      </w:r>
      <w:r w:rsidRPr="00A428C3">
        <w:t>S(ads))(zeta) points out the hydrophobic bonding mechanisms. (C) 2003 Elsevier Science B.V. All rights reserved.</w:t>
      </w:r>
    </w:p>
    <w:p w:rsidR="00B95188" w:rsidRPr="00A428C3" w:rsidRDefault="00B95188" w:rsidP="00B95188">
      <w:pPr>
        <w:pStyle w:val="a0"/>
      </w:pPr>
      <w:r w:rsidRPr="00A428C3">
        <w:t xml:space="preserve">Keywords: Adsorption, </w:t>
      </w:r>
      <w:r w:rsidR="00CE75B5" w:rsidRPr="00A428C3">
        <w:t>CTAB</w:t>
      </w:r>
      <w:r w:rsidRPr="00A428C3">
        <w:t>, Powdered Active Carbon, Zeta Potential, Hydrophobic Interaction, Cetyltrimethylammonium Bromide, Silica, Coadsorption, Interface, Stability, Micelles</w:t>
      </w:r>
    </w:p>
    <w:p w:rsidR="00B95188" w:rsidRPr="00586CD8" w:rsidRDefault="00B95188" w:rsidP="00B95188">
      <w:pPr>
        <w:pStyle w:val="a0"/>
        <w:rPr>
          <w:kern w:val="2"/>
        </w:rPr>
      </w:pPr>
      <w:r w:rsidRPr="00586CD8">
        <w:rPr>
          <w:rFonts w:hint="eastAsia"/>
          <w:kern w:val="2"/>
        </w:rPr>
        <w:t xml:space="preserve">? </w:t>
      </w:r>
      <w:r w:rsidRPr="00586CD8">
        <w:rPr>
          <w:kern w:val="2"/>
        </w:rPr>
        <w:t xml:space="preserve">Pimentel, P.M., Melo, M.A.F., Melo, D.M.A., </w:t>
      </w:r>
      <w:r>
        <w:rPr>
          <w:rFonts w:ascii="AdvTT6a9e2faf.B" w:eastAsia="新細明體" w:hAnsi="AdvTT6a9e2faf.B" w:cs="AdvTT6a9e2faf.B"/>
          <w:kern w:val="0"/>
          <w:szCs w:val="24"/>
        </w:rPr>
        <w:t>Assunção</w:t>
      </w:r>
      <w:r w:rsidRPr="00586CD8">
        <w:rPr>
          <w:kern w:val="2"/>
        </w:rPr>
        <w:t>, A.L.C., Henrique, D.M., Silva,</w:t>
      </w:r>
      <w:r w:rsidRPr="00586CD8">
        <w:rPr>
          <w:rFonts w:hint="eastAsia"/>
          <w:kern w:val="2"/>
        </w:rPr>
        <w:t xml:space="preserve"> Jr.,</w:t>
      </w:r>
      <w:r w:rsidRPr="00586CD8">
        <w:rPr>
          <w:kern w:val="2"/>
        </w:rPr>
        <w:t xml:space="preserve"> C.N.</w:t>
      </w:r>
      <w:r w:rsidR="00F81221">
        <w:rPr>
          <w:kern w:val="2"/>
        </w:rPr>
        <w:t xml:space="preserve"> and </w:t>
      </w:r>
      <w:r>
        <w:rPr>
          <w:rFonts w:ascii="AdvTT6a9e2faf.B" w:eastAsia="新細明體" w:hAnsi="AdvTT6a9e2faf.B" w:cs="AdvTT6a9e2faf.B"/>
          <w:kern w:val="0"/>
          <w:szCs w:val="24"/>
        </w:rPr>
        <w:t>González</w:t>
      </w:r>
      <w:r w:rsidRPr="00586CD8">
        <w:rPr>
          <w:kern w:val="2"/>
        </w:rPr>
        <w:t>, G. (2008), Kinetics</w:t>
      </w:r>
      <w:r w:rsidR="00F81221">
        <w:rPr>
          <w:kern w:val="2"/>
        </w:rPr>
        <w:t xml:space="preserve"> and </w:t>
      </w:r>
      <w:r w:rsidRPr="00586CD8">
        <w:rPr>
          <w:kern w:val="2"/>
        </w:rPr>
        <w:t xml:space="preserve">thermodynamics of Cu(II) adsorption on oil shale wastes. </w:t>
      </w:r>
      <w:r>
        <w:rPr>
          <w:i/>
          <w:iCs/>
          <w:kern w:val="0"/>
        </w:rPr>
        <w:t>Fuel Processing Technology</w:t>
      </w:r>
      <w:r w:rsidRPr="00586CD8">
        <w:rPr>
          <w:kern w:val="2"/>
        </w:rPr>
        <w:t xml:space="preserve">, </w:t>
      </w:r>
      <w:r>
        <w:rPr>
          <w:b/>
          <w:bCs/>
          <w:kern w:val="0"/>
        </w:rPr>
        <w:t>89</w:t>
      </w:r>
      <w:r w:rsidRPr="00586CD8">
        <w:rPr>
          <w:kern w:val="2"/>
        </w:rPr>
        <w:t xml:space="preserve"> (1), 62-67.</w:t>
      </w:r>
    </w:p>
    <w:p w:rsidR="00B95188" w:rsidRPr="00586CD8" w:rsidRDefault="00B95188" w:rsidP="00B95188">
      <w:pPr>
        <w:pStyle w:val="a0"/>
        <w:rPr>
          <w:kern w:val="2"/>
        </w:rPr>
      </w:pPr>
      <w:r w:rsidRPr="00586CD8">
        <w:rPr>
          <w:rFonts w:hint="eastAsia"/>
          <w:kern w:val="2"/>
        </w:rPr>
        <w:t xml:space="preserve">Full Text: </w:t>
      </w:r>
      <w:hyperlink r:id="rId264" w:history="1">
        <w:r w:rsidRPr="006E032D">
          <w:rPr>
            <w:rStyle w:val="a5"/>
            <w:kern w:val="0"/>
          </w:rPr>
          <w:t>2008\Fue Pro Tec89, 62.pdf</w:t>
        </w:r>
      </w:hyperlink>
    </w:p>
    <w:p w:rsidR="00B95188" w:rsidRPr="00586CD8" w:rsidRDefault="00B95188" w:rsidP="00B95188">
      <w:pPr>
        <w:pStyle w:val="a0"/>
        <w:rPr>
          <w:kern w:val="2"/>
        </w:rPr>
      </w:pPr>
      <w:r w:rsidRPr="00586CD8">
        <w:rPr>
          <w:kern w:val="2"/>
        </w:rPr>
        <w:t>Abstract: The oil shale waste material, retorted shale, was utilized as an adsorbent for Cu(II) removal from aqueous solution. The kinetics</w:t>
      </w:r>
      <w:r w:rsidR="00F81221">
        <w:rPr>
          <w:kern w:val="2"/>
        </w:rPr>
        <w:t xml:space="preserve"> and </w:t>
      </w:r>
      <w:r w:rsidRPr="00586CD8">
        <w:rPr>
          <w:kern w:val="2"/>
        </w:rPr>
        <w:t>thermodynamic adsorption was investigated during a series of batch adsorption experiments. The removal efficiency was controlled by solution pH, temperature, initial ion concentration</w:t>
      </w:r>
      <w:r w:rsidR="00F81221">
        <w:rPr>
          <w:kern w:val="2"/>
        </w:rPr>
        <w:t xml:space="preserve"> and </w:t>
      </w:r>
      <w:r w:rsidRPr="00586CD8">
        <w:rPr>
          <w:kern w:val="2"/>
        </w:rPr>
        <w:t xml:space="preserve">contact time. Two simple kinetic models, pseudo-first-and second-order, were used to </w:t>
      </w:r>
      <w:r w:rsidRPr="00586CD8">
        <w:rPr>
          <w:kern w:val="2"/>
        </w:rPr>
        <w:lastRenderedPageBreak/>
        <w:t>investigate the adsorption mechanisms. The pseudo-second-order chemical reaction kinetics provides the best correlation with the experimental data. Langmuir</w:t>
      </w:r>
      <w:r w:rsidR="00F81221">
        <w:rPr>
          <w:kern w:val="2"/>
        </w:rPr>
        <w:t xml:space="preserve"> and </w:t>
      </w:r>
      <w:r w:rsidRPr="00586CD8">
        <w:rPr>
          <w:kern w:val="2"/>
        </w:rPr>
        <w:t>Freundlich models were used to fit the equilibrium data, which showed that Langmuir best-fitted these data. Thermodynamic parameters such as free energy, enthalpy</w:t>
      </w:r>
      <w:r w:rsidR="00F81221">
        <w:rPr>
          <w:kern w:val="2"/>
        </w:rPr>
        <w:t xml:space="preserve"> and </w:t>
      </w:r>
      <w:r w:rsidRPr="00586CD8">
        <w:rPr>
          <w:kern w:val="2"/>
        </w:rPr>
        <w:t>entropy were calculated to predict the nature of the adsorption process. (c) 2007 Published by Elsevier B.V.</w:t>
      </w:r>
    </w:p>
    <w:p w:rsidR="00B95188" w:rsidRPr="00586CD8" w:rsidRDefault="00B95188" w:rsidP="00B95188">
      <w:pPr>
        <w:pStyle w:val="a0"/>
        <w:rPr>
          <w:kern w:val="2"/>
        </w:rPr>
      </w:pPr>
      <w:r w:rsidRPr="00586CD8">
        <w:rPr>
          <w:kern w:val="2"/>
        </w:rPr>
        <w:t xml:space="preserve">Keywords: Adsorbent, Adsorption, Adsorption Isotherms, Aqueous Solution, Binding, Cadmium, Cooper(II), Copper(II), Cu(II), Equilibrium, Heavy-Metal Ions, Kinetic, Kinetic Models, Kinetics, Langmuir, Parameters, </w:t>
      </w:r>
      <w:r w:rsidRPr="00586CD8">
        <w:rPr>
          <w:rFonts w:hint="eastAsia"/>
          <w:kern w:val="2"/>
        </w:rPr>
        <w:t>p</w:t>
      </w:r>
      <w:r w:rsidRPr="00586CD8">
        <w:rPr>
          <w:kern w:val="2"/>
        </w:rPr>
        <w:t>H, Reaction Kinetics, Removal, Removal Efficiency, Retorted Shale, Shale, Solution, Temperature, Thermodynamics</w:t>
      </w:r>
    </w:p>
    <w:p w:rsidR="00CE75B5" w:rsidRDefault="00CE75B5" w:rsidP="00CE75B5">
      <w:pPr>
        <w:pStyle w:val="a0"/>
        <w:rPr>
          <w:kern w:val="0"/>
          <w:szCs w:val="24"/>
        </w:rPr>
      </w:pPr>
      <w:r>
        <w:rPr>
          <w:kern w:val="0"/>
          <w:szCs w:val="24"/>
        </w:rPr>
        <w:t>Notes: highly cited</w:t>
      </w:r>
    </w:p>
    <w:p w:rsidR="00CE75B5" w:rsidRDefault="00CE75B5" w:rsidP="00CE75B5">
      <w:pPr>
        <w:pStyle w:val="a0"/>
        <w:rPr>
          <w:kern w:val="0"/>
          <w:szCs w:val="24"/>
        </w:rPr>
      </w:pPr>
      <w:r>
        <w:rPr>
          <w:kern w:val="0"/>
          <w:szCs w:val="24"/>
        </w:rPr>
        <w:t>? Pavlish, J.H., Sondreal, E.A., Mann, M.D., Olson, E.S., Galbreath, K.C., Laudal, D.L.</w:t>
      </w:r>
      <w:r w:rsidR="00F81221">
        <w:rPr>
          <w:kern w:val="0"/>
          <w:szCs w:val="24"/>
        </w:rPr>
        <w:t xml:space="preserve"> and </w:t>
      </w:r>
      <w:r>
        <w:rPr>
          <w:kern w:val="0"/>
          <w:szCs w:val="24"/>
        </w:rPr>
        <w:t xml:space="preserve">Benson, S.A. (2003), State review of mercury control options for coal-fired power plants. </w:t>
      </w:r>
      <w:r>
        <w:rPr>
          <w:i/>
          <w:iCs/>
          <w:kern w:val="0"/>
          <w:szCs w:val="24"/>
        </w:rPr>
        <w:t>Fuel Processing Technology</w:t>
      </w:r>
      <w:r>
        <w:rPr>
          <w:kern w:val="0"/>
          <w:szCs w:val="24"/>
        </w:rPr>
        <w:t xml:space="preserve">, </w:t>
      </w:r>
      <w:r>
        <w:rPr>
          <w:b/>
          <w:bCs/>
          <w:kern w:val="0"/>
          <w:szCs w:val="24"/>
        </w:rPr>
        <w:t>82</w:t>
      </w:r>
      <w:r>
        <w:rPr>
          <w:kern w:val="0"/>
          <w:szCs w:val="24"/>
        </w:rPr>
        <w:t xml:space="preserve"> (2-3), 89-165.</w:t>
      </w:r>
    </w:p>
    <w:p w:rsidR="00CE75B5" w:rsidRDefault="00CE75B5" w:rsidP="00CE75B5">
      <w:pPr>
        <w:pStyle w:val="a0"/>
        <w:rPr>
          <w:kern w:val="0"/>
        </w:rPr>
      </w:pPr>
      <w:r>
        <w:rPr>
          <w:rFonts w:hint="eastAsia"/>
          <w:kern w:val="0"/>
        </w:rPr>
        <w:t xml:space="preserve">Full Text: </w:t>
      </w:r>
      <w:hyperlink r:id="rId265" w:history="1">
        <w:r w:rsidR="008A6919" w:rsidRPr="008A6919">
          <w:rPr>
            <w:rStyle w:val="a5"/>
            <w:kern w:val="0"/>
          </w:rPr>
          <w:t>2003\Fue Pro Tec82, 89.pdf</w:t>
        </w:r>
      </w:hyperlink>
    </w:p>
    <w:p w:rsidR="00CE75B5" w:rsidRDefault="00CE75B5" w:rsidP="00CE75B5">
      <w:pPr>
        <w:pStyle w:val="a0"/>
        <w:rPr>
          <w:kern w:val="0"/>
          <w:szCs w:val="24"/>
        </w:rPr>
      </w:pPr>
      <w:r>
        <w:rPr>
          <w:kern w:val="0"/>
          <w:szCs w:val="24"/>
        </w:rPr>
        <w:t>Abstract: This paper presents an overview of research related to mercury control technology for coal-fired power plants</w:t>
      </w:r>
      <w:r w:rsidR="00F81221">
        <w:rPr>
          <w:kern w:val="0"/>
          <w:szCs w:val="24"/>
        </w:rPr>
        <w:t xml:space="preserve"> and </w:t>
      </w:r>
      <w:r>
        <w:rPr>
          <w:kern w:val="0"/>
          <w:szCs w:val="24"/>
        </w:rPr>
        <w:t>identifies areas requiring additional research</w:t>
      </w:r>
      <w:r w:rsidR="00F81221">
        <w:rPr>
          <w:kern w:val="0"/>
          <w:szCs w:val="24"/>
        </w:rPr>
        <w:t xml:space="preserve"> and </w:t>
      </w:r>
      <w:r>
        <w:rPr>
          <w:kern w:val="0"/>
          <w:szCs w:val="24"/>
        </w:rPr>
        <w:t>development. It critically reviews measured mercury emissions; the chemistry of mercury transformation</w:t>
      </w:r>
      <w:r w:rsidR="00F81221">
        <w:rPr>
          <w:kern w:val="0"/>
          <w:szCs w:val="24"/>
        </w:rPr>
        <w:t xml:space="preserve"> and </w:t>
      </w:r>
      <w:r>
        <w:rPr>
          <w:kern w:val="0"/>
          <w:szCs w:val="24"/>
        </w:rPr>
        <w:t>control; progress in the development of promising control technologies: sorbent injection, control in wet scrubbers,</w:t>
      </w:r>
      <w:r w:rsidR="00F81221">
        <w:rPr>
          <w:kern w:val="0"/>
          <w:szCs w:val="24"/>
        </w:rPr>
        <w:t xml:space="preserve"> and </w:t>
      </w:r>
      <w:r>
        <w:rPr>
          <w:kern w:val="0"/>
          <w:szCs w:val="24"/>
        </w:rPr>
        <w:t>coal cleaning;</w:t>
      </w:r>
      <w:r w:rsidR="00F81221">
        <w:rPr>
          <w:kern w:val="0"/>
          <w:szCs w:val="24"/>
        </w:rPr>
        <w:t xml:space="preserve"> and </w:t>
      </w:r>
      <w:r>
        <w:rPr>
          <w:kern w:val="0"/>
          <w:szCs w:val="24"/>
        </w:rPr>
        <w:t>projects costs for mercury control. Currently, there is no single best technology that can be broadly applied. Combinations of available control methods may be able to provide up to 90% control for some plants but not others. In August 2000, the National Research Council completed a study that determined that the U.S. Environmental Protection Agency</w:t>
      </w:r>
      <w:r w:rsidR="000352E7">
        <w:rPr>
          <w:kern w:val="0"/>
          <w:szCs w:val="24"/>
        </w:rPr>
        <w:t>’</w:t>
      </w:r>
      <w:r>
        <w:rPr>
          <w:kern w:val="0"/>
          <w:szCs w:val="24"/>
        </w:rPr>
        <w:t>s (EPA) conservative exposure reference dose of 0.1 mug mercury/ kg body weight/day was scientifically justified to protect against harmful neurological effects during fetal development</w:t>
      </w:r>
      <w:r w:rsidR="00F81221">
        <w:rPr>
          <w:kern w:val="0"/>
          <w:szCs w:val="24"/>
        </w:rPr>
        <w:t xml:space="preserve"> and </w:t>
      </w:r>
      <w:r>
        <w:rPr>
          <w:kern w:val="0"/>
          <w:szCs w:val="24"/>
        </w:rPr>
        <w:t>early childhood. Subsequently, in December 2000, EPA made its regulatory decision that mercury emissions from coal-fired electric generating plants will need to be controlled on a schedule that calls for a proposed rule by December 2003, a final rule by December 2004,</w:t>
      </w:r>
      <w:r w:rsidR="00F81221">
        <w:rPr>
          <w:kern w:val="0"/>
          <w:szCs w:val="24"/>
        </w:rPr>
        <w:t xml:space="preserve"> and </w:t>
      </w:r>
      <w:r>
        <w:rPr>
          <w:kern w:val="0"/>
          <w:szCs w:val="24"/>
        </w:rPr>
        <w:t>full compliance by the end of 2007. Coal-fired utility boilers are currently the largest single-known source of mercury emissions in the United States. EPA</w:t>
      </w:r>
      <w:r w:rsidR="000352E7">
        <w:rPr>
          <w:kern w:val="0"/>
          <w:szCs w:val="24"/>
        </w:rPr>
        <w:t>’</w:t>
      </w:r>
      <w:r>
        <w:rPr>
          <w:kern w:val="0"/>
          <w:szCs w:val="24"/>
        </w:rPr>
        <w:t>s Information Collection Request (ICR) to coal-burning utilities indicated that there were 75 tons of mercury in the 900 million tons of coal used in U.S. power plants during 1999. Estimates of total mercury emissions from coal-fired plants based on ICR data range from 40 to 52 tons. On average, about 40% of the mercury entering a coal-fired power plant is captured</w:t>
      </w:r>
      <w:r w:rsidR="00F81221">
        <w:rPr>
          <w:kern w:val="0"/>
          <w:szCs w:val="24"/>
        </w:rPr>
        <w:t xml:space="preserve"> and </w:t>
      </w:r>
      <w:r>
        <w:rPr>
          <w:kern w:val="0"/>
          <w:szCs w:val="24"/>
        </w:rPr>
        <w:t>60% emitted. Percentage emissions of mercury for individual plants tested under the ICR varied widely depending on coal type</w:t>
      </w:r>
      <w:r w:rsidR="00F81221">
        <w:rPr>
          <w:kern w:val="0"/>
          <w:szCs w:val="24"/>
        </w:rPr>
        <w:t xml:space="preserve"> and </w:t>
      </w:r>
      <w:r>
        <w:rPr>
          <w:kern w:val="0"/>
          <w:szCs w:val="24"/>
        </w:rPr>
        <w:t xml:space="preserve">emission control equipment. Western subbituminous coals on average </w:t>
      </w:r>
      <w:r>
        <w:rPr>
          <w:kern w:val="0"/>
          <w:szCs w:val="24"/>
        </w:rPr>
        <w:lastRenderedPageBreak/>
        <w:t>contain only about half as much mercury as Appalachian bituminous coals, but the higher chlorine content of the latter promotes mercury oxidation</w:t>
      </w:r>
      <w:r w:rsidR="00F81221">
        <w:rPr>
          <w:kern w:val="0"/>
          <w:szCs w:val="24"/>
        </w:rPr>
        <w:t xml:space="preserve"> and </w:t>
      </w:r>
      <w:r>
        <w:rPr>
          <w:kern w:val="0"/>
          <w:szCs w:val="24"/>
        </w:rPr>
        <w:t>results in a higher percentage of mercury capture. Some iron minerals found in coal also catalyze mercury oxidation, whereas calcium</w:t>
      </w:r>
      <w:r w:rsidR="00F81221">
        <w:rPr>
          <w:kern w:val="0"/>
          <w:szCs w:val="24"/>
        </w:rPr>
        <w:t xml:space="preserve"> and </w:t>
      </w:r>
      <w:r>
        <w:rPr>
          <w:kern w:val="0"/>
          <w:szCs w:val="24"/>
        </w:rPr>
        <w:t>sulfur tend to impede oxidation. Review of ICR data on mercury capture in boilers</w:t>
      </w:r>
      <w:r w:rsidR="00F81221">
        <w:rPr>
          <w:kern w:val="0"/>
          <w:szCs w:val="24"/>
        </w:rPr>
        <w:t xml:space="preserve"> and </w:t>
      </w:r>
      <w:r>
        <w:rPr>
          <w:kern w:val="0"/>
          <w:szCs w:val="24"/>
        </w:rPr>
        <w:t>existing control devices indicates very little mercury removal within a pulverized coal-fired boiler,</w:t>
      </w:r>
      <w:r w:rsidR="00F81221">
        <w:rPr>
          <w:kern w:val="0"/>
          <w:szCs w:val="24"/>
        </w:rPr>
        <w:t xml:space="preserve"> and </w:t>
      </w:r>
      <w:r>
        <w:rPr>
          <w:kern w:val="0"/>
          <w:szCs w:val="24"/>
        </w:rPr>
        <w:t>the level of mercury oxidation at the exit of the boiler was increased for higher coal chlorine contents</w:t>
      </w:r>
      <w:r w:rsidR="00F81221">
        <w:rPr>
          <w:kern w:val="0"/>
          <w:szCs w:val="24"/>
        </w:rPr>
        <w:t xml:space="preserve"> and </w:t>
      </w:r>
      <w:r>
        <w:rPr>
          <w:kern w:val="0"/>
          <w:szCs w:val="24"/>
        </w:rPr>
        <w:t>lower exit temperatures. Mercury removals across cold-side electrostatic precipitators (ESPs) averaged 27%, compared to 4% for hot-side ESPs. Removals for fabric filters (FFs) were higher, averaging 58%, owing to additional gas-solid contact time for oxidation. Both wet</w:t>
      </w:r>
      <w:r w:rsidR="00F81221">
        <w:rPr>
          <w:kern w:val="0"/>
          <w:szCs w:val="24"/>
        </w:rPr>
        <w:t xml:space="preserve"> and </w:t>
      </w:r>
      <w:r>
        <w:rPr>
          <w:kern w:val="0"/>
          <w:szCs w:val="24"/>
        </w:rPr>
        <w:t>dry flue gas desulfurization (FGD) systems removed 80% to 90% of the gaseous mercury(II), but elemental mercury (Hg</w:t>
      </w:r>
      <w:r w:rsidR="008A6919">
        <w:rPr>
          <w:rFonts w:hint="eastAsia"/>
          <w:kern w:val="0"/>
          <w:szCs w:val="24"/>
          <w:vertAlign w:val="superscript"/>
        </w:rPr>
        <w:t>0</w:t>
      </w:r>
      <w:r>
        <w:rPr>
          <w:kern w:val="0"/>
          <w:szCs w:val="24"/>
        </w:rPr>
        <w:t>) was not affected. High mercury removals, averaging 86%, in fluidized-bed combustors with FFs were attributed to mercury capture on high-carbon fly ash. Tests on the two coal-fired integrated gasification combined-cycle plants in the United States suggest that about half of the coal mercury was emitted predominantly in elemental form. ICR tests on selective catalytic reduction</w:t>
      </w:r>
      <w:r w:rsidR="00F81221">
        <w:rPr>
          <w:kern w:val="0"/>
          <w:szCs w:val="24"/>
        </w:rPr>
        <w:t xml:space="preserve"> and </w:t>
      </w:r>
      <w:r>
        <w:rPr>
          <w:kern w:val="0"/>
          <w:szCs w:val="24"/>
        </w:rPr>
        <w:t>selective noncatalytic reduction used for NO, control were inconclusive,</w:t>
      </w:r>
      <w:r w:rsidR="00F81221">
        <w:rPr>
          <w:kern w:val="0"/>
          <w:szCs w:val="24"/>
        </w:rPr>
        <w:t xml:space="preserve"> and </w:t>
      </w:r>
      <w:r>
        <w:rPr>
          <w:kern w:val="0"/>
          <w:szCs w:val="24"/>
        </w:rPr>
        <w:t>additional full-scale tests are in progress. The mechanisms responsible for varied levels of mercury oxidation</w:t>
      </w:r>
      <w:r w:rsidR="00F81221">
        <w:rPr>
          <w:kern w:val="0"/>
          <w:szCs w:val="24"/>
        </w:rPr>
        <w:t xml:space="preserve"> and </w:t>
      </w:r>
      <w:r>
        <w:rPr>
          <w:kern w:val="0"/>
          <w:szCs w:val="24"/>
        </w:rPr>
        <w:t>capture are beginning to be understood. Mercury in coal occurs in association with pyrite</w:t>
      </w:r>
      <w:r w:rsidR="00F81221">
        <w:rPr>
          <w:kern w:val="0"/>
          <w:szCs w:val="24"/>
        </w:rPr>
        <w:t xml:space="preserve"> and </w:t>
      </w:r>
      <w:r>
        <w:rPr>
          <w:kern w:val="0"/>
          <w:szCs w:val="24"/>
        </w:rPr>
        <w:t>other sulfide minerals</w:t>
      </w:r>
      <w:r w:rsidR="00F81221">
        <w:rPr>
          <w:kern w:val="0"/>
          <w:szCs w:val="24"/>
        </w:rPr>
        <w:t xml:space="preserve"> and </w:t>
      </w:r>
      <w:r>
        <w:rPr>
          <w:kern w:val="0"/>
          <w:szCs w:val="24"/>
        </w:rPr>
        <w:t>may also be organically bound. Coal mercury is converted to gaseous Hg</w:t>
      </w:r>
      <w:r w:rsidR="008A6919">
        <w:rPr>
          <w:rFonts w:hint="eastAsia"/>
          <w:kern w:val="0"/>
          <w:szCs w:val="24"/>
          <w:vertAlign w:val="superscript"/>
        </w:rPr>
        <w:t>0</w:t>
      </w:r>
      <w:r>
        <w:rPr>
          <w:kern w:val="0"/>
          <w:szCs w:val="24"/>
        </w:rPr>
        <w:t xml:space="preserve"> in the combustion flame</w:t>
      </w:r>
      <w:r w:rsidR="00F81221">
        <w:rPr>
          <w:kern w:val="0"/>
          <w:szCs w:val="24"/>
        </w:rPr>
        <w:t xml:space="preserve"> and </w:t>
      </w:r>
      <w:r>
        <w:rPr>
          <w:kern w:val="0"/>
          <w:szCs w:val="24"/>
        </w:rPr>
        <w:t>is subsequently partially oxidized (35% to 95%) as the combustion gases cool. Mercury oxidation in boiler systems is kinetically controlled; homogeneous oxidation reactions are promoted by chlorine</w:t>
      </w:r>
      <w:r w:rsidR="00F81221">
        <w:rPr>
          <w:kern w:val="0"/>
          <w:szCs w:val="24"/>
        </w:rPr>
        <w:t xml:space="preserve"> and </w:t>
      </w:r>
      <w:r>
        <w:rPr>
          <w:kern w:val="0"/>
          <w:szCs w:val="24"/>
        </w:rPr>
        <w:t>atomic chlorine,</w:t>
      </w:r>
      <w:r w:rsidR="00F81221">
        <w:rPr>
          <w:kern w:val="0"/>
          <w:szCs w:val="24"/>
        </w:rPr>
        <w:t xml:space="preserve"> and </w:t>
      </w:r>
      <w:r>
        <w:rPr>
          <w:kern w:val="0"/>
          <w:szCs w:val="24"/>
        </w:rPr>
        <w:t>heterogeneous oxidation is promoted by fly ash</w:t>
      </w:r>
      <w:r w:rsidR="00F81221">
        <w:rPr>
          <w:kern w:val="0"/>
          <w:szCs w:val="24"/>
        </w:rPr>
        <w:t xml:space="preserve"> and </w:t>
      </w:r>
      <w:r>
        <w:rPr>
          <w:kern w:val="0"/>
          <w:szCs w:val="24"/>
        </w:rPr>
        <w:t>sorbents. Acid gases critically influence the heterogeneous oxidation of mercury, particularly as it affects capture on sorbents. HCl, NO,</w:t>
      </w:r>
      <w:r w:rsidR="00F81221">
        <w:rPr>
          <w:kern w:val="0"/>
          <w:szCs w:val="24"/>
        </w:rPr>
        <w:t xml:space="preserve"> and </w:t>
      </w:r>
      <w:r>
        <w:rPr>
          <w:kern w:val="0"/>
          <w:szCs w:val="24"/>
        </w:rPr>
        <w:t>NO, all promote oxidation</w:t>
      </w:r>
      <w:r w:rsidR="00F81221">
        <w:rPr>
          <w:kern w:val="0"/>
          <w:szCs w:val="24"/>
        </w:rPr>
        <w:t xml:space="preserve"> and </w:t>
      </w:r>
      <w:r>
        <w:rPr>
          <w:kern w:val="0"/>
          <w:szCs w:val="24"/>
        </w:rPr>
        <w:t>capture both individually</w:t>
      </w:r>
      <w:r w:rsidR="00F81221">
        <w:rPr>
          <w:kern w:val="0"/>
          <w:szCs w:val="24"/>
        </w:rPr>
        <w:t xml:space="preserve"> and </w:t>
      </w:r>
      <w:r>
        <w:rPr>
          <w:kern w:val="0"/>
          <w:szCs w:val="24"/>
        </w:rPr>
        <w:t>in combination. However, the combination of SO</w:t>
      </w:r>
      <w:r w:rsidRPr="00CE75B5">
        <w:rPr>
          <w:kern w:val="0"/>
          <w:szCs w:val="24"/>
          <w:vertAlign w:val="subscript"/>
        </w:rPr>
        <w:t>2</w:t>
      </w:r>
      <w:r>
        <w:rPr>
          <w:kern w:val="0"/>
          <w:szCs w:val="24"/>
        </w:rPr>
        <w:t xml:space="preserve"> with NO</w:t>
      </w:r>
      <w:r w:rsidRPr="00CE75B5">
        <w:rPr>
          <w:kern w:val="0"/>
          <w:szCs w:val="24"/>
          <w:vertAlign w:val="subscript"/>
        </w:rPr>
        <w:t>2</w:t>
      </w:r>
      <w:r>
        <w:rPr>
          <w:kern w:val="0"/>
          <w:szCs w:val="24"/>
        </w:rPr>
        <w:t xml:space="preserve"> greatly reduces capture of Hg</w:t>
      </w:r>
      <w:r w:rsidR="008A6919">
        <w:rPr>
          <w:rFonts w:hint="eastAsia"/>
          <w:kern w:val="0"/>
          <w:szCs w:val="24"/>
          <w:vertAlign w:val="superscript"/>
        </w:rPr>
        <w:t>0</w:t>
      </w:r>
      <w:r>
        <w:rPr>
          <w:kern w:val="0"/>
          <w:szCs w:val="24"/>
        </w:rPr>
        <w:t xml:space="preserve"> on activated carbon, whereas oxidation continues on the solid surface. Mass transfer of gaseous mercury by diffusion from the bulk gas to the solid surface can also limit heterogeneous oxidation</w:t>
      </w:r>
      <w:r w:rsidR="00F81221">
        <w:rPr>
          <w:kern w:val="0"/>
          <w:szCs w:val="24"/>
        </w:rPr>
        <w:t xml:space="preserve"> and </w:t>
      </w:r>
      <w:r>
        <w:rPr>
          <w:kern w:val="0"/>
          <w:szCs w:val="24"/>
        </w:rPr>
        <w:t>capture of mercury, but diffusion within a porous sorbent is not believed to be rate-limiting. Reducing the size of the sorbent particles</w:t>
      </w:r>
      <w:r w:rsidR="00F81221">
        <w:rPr>
          <w:kern w:val="0"/>
          <w:szCs w:val="24"/>
        </w:rPr>
        <w:t xml:space="preserve"> and </w:t>
      </w:r>
      <w:r>
        <w:rPr>
          <w:kern w:val="0"/>
          <w:szCs w:val="24"/>
        </w:rPr>
        <w:t xml:space="preserve">increasing their dispersion can greatly enhance control where mass transfer is limiting. To achieve 90% control of a mercury concentration of 10 mug/scm in 2-s residence time by activated carbon injection requires a minimum carbon-to-mercury (C/Hg) mass ratio of about 3000:1 for 4-mum particles compared to 18,000:1 for 10-mum particles. Mercury removals in some tests performed to characterize sorbents have been mass transfer-limited by the large particle size of the sorbents used. Mercury </w:t>
      </w:r>
      <w:r>
        <w:rPr>
          <w:kern w:val="0"/>
          <w:szCs w:val="24"/>
        </w:rPr>
        <w:lastRenderedPageBreak/>
        <w:t>sorption capacities between about 200</w:t>
      </w:r>
      <w:r w:rsidR="00F81221">
        <w:rPr>
          <w:kern w:val="0"/>
          <w:szCs w:val="24"/>
        </w:rPr>
        <w:t xml:space="preserve"> and </w:t>
      </w:r>
      <w:r>
        <w:rPr>
          <w:kern w:val="0"/>
          <w:szCs w:val="24"/>
        </w:rPr>
        <w:t>5000 mug Hg/g C have been reported for conditions applying to coal combustion. However, higher measured capacities do not always correlate with higher removal levels in practice because of the effect of other variables. What is important is that several of the activated carbons tested have sufficient capacity to capture mercury at carbon injection rates below a C/Hg mass ratio of 10,000, based on both laboratory</w:t>
      </w:r>
      <w:r w:rsidR="00F81221">
        <w:rPr>
          <w:kern w:val="0"/>
          <w:szCs w:val="24"/>
        </w:rPr>
        <w:t xml:space="preserve"> and </w:t>
      </w:r>
      <w:r>
        <w:rPr>
          <w:kern w:val="0"/>
          <w:szCs w:val="24"/>
        </w:rPr>
        <w:t>field sorption tests. Since capacity is defined in reference to an assumed sorption equilibrium, the equilibrium capacity of a sorbent determined over a period of hours in the laboratory may have limited relevance to the amount of mercury captured in a few seconds</w:t>
      </w:r>
      <w:r w:rsidR="000352E7">
        <w:rPr>
          <w:kern w:val="0"/>
          <w:szCs w:val="24"/>
        </w:rPr>
        <w:t>’</w:t>
      </w:r>
      <w:r>
        <w:rPr>
          <w:kern w:val="0"/>
          <w:szCs w:val="24"/>
        </w:rPr>
        <w:t xml:space="preserve"> time of flight or in minutes of contact time on an FF. Laboratory tests that are more representative of the conditions in an actual control device are needed to determine more useful capacity factors. Injection of activated carbon upstream of either an ESP or an FF baghouse is a retrofit control technology that has potential application to 75% of all coal-fired power plants in the United States that are not equipped with FGD scrubbers. Field</w:t>
      </w:r>
      <w:r w:rsidR="00F81221">
        <w:rPr>
          <w:kern w:val="0"/>
          <w:szCs w:val="24"/>
        </w:rPr>
        <w:t xml:space="preserve"> and </w:t>
      </w:r>
      <w:r>
        <w:rPr>
          <w:kern w:val="0"/>
          <w:szCs w:val="24"/>
        </w:rPr>
        <w:t>pilot-scale tests on activated carbon injection for mercury control have resulted in mercury removals between about 25%</w:t>
      </w:r>
      <w:r w:rsidR="00F81221">
        <w:rPr>
          <w:kern w:val="0"/>
          <w:szCs w:val="24"/>
        </w:rPr>
        <w:t xml:space="preserve"> and </w:t>
      </w:r>
      <w:r>
        <w:rPr>
          <w:kern w:val="0"/>
          <w:szCs w:val="24"/>
        </w:rPr>
        <w:t>95% over the range of 2000-15,000 C/Hg mass ratio. The mercury removal data from some tests could be correlated with carbon injection rates by assuming that the removal was mass transfer-limited, whereas in tests on other coals, removals appeared to be controlled by catalytic oxidation</w:t>
      </w:r>
      <w:r w:rsidR="00F81221">
        <w:rPr>
          <w:kern w:val="0"/>
          <w:szCs w:val="24"/>
        </w:rPr>
        <w:t xml:space="preserve"> and </w:t>
      </w:r>
      <w:r>
        <w:rPr>
          <w:kern w:val="0"/>
          <w:szCs w:val="24"/>
        </w:rPr>
        <w:t>capture on fly ash. Mercury capture on sorbents, therefore, depends on the properties of the coal being burned,</w:t>
      </w:r>
      <w:r w:rsidR="00F81221">
        <w:rPr>
          <w:kern w:val="0"/>
          <w:szCs w:val="24"/>
        </w:rPr>
        <w:t xml:space="preserve"> and </w:t>
      </w:r>
      <w:r>
        <w:rPr>
          <w:kern w:val="0"/>
          <w:szCs w:val="24"/>
        </w:rPr>
        <w:t>pilot-scale tests on particular coals should be performed before a full-scale sorbent injection system is designed. Development of low-cost, ultrafine sorbents with high effective sorption capacities</w:t>
      </w:r>
      <w:r w:rsidR="00F81221">
        <w:rPr>
          <w:kern w:val="0"/>
          <w:szCs w:val="24"/>
        </w:rPr>
        <w:t xml:space="preserve"> and </w:t>
      </w:r>
      <w:r>
        <w:rPr>
          <w:kern w:val="0"/>
          <w:szCs w:val="24"/>
        </w:rPr>
        <w:t>rapid reaction kinetics would revolutionize injection technology. Engineering development is also needed to improve sorbent dispersion</w:t>
      </w:r>
      <w:r w:rsidR="00F81221">
        <w:rPr>
          <w:kern w:val="0"/>
          <w:szCs w:val="24"/>
        </w:rPr>
        <w:t xml:space="preserve"> and </w:t>
      </w:r>
      <w:r>
        <w:rPr>
          <w:kern w:val="0"/>
          <w:szCs w:val="24"/>
        </w:rPr>
        <w:t>to optimize gas-solid contact time. Wet FGD units currently installed on about 25% of the U.S. coal-fired utility boilers remove nearly 90% of the mercury(II) entering but essentially none of the Hg</w:t>
      </w:r>
      <w:r w:rsidR="008A6919">
        <w:rPr>
          <w:rFonts w:hint="eastAsia"/>
          <w:kern w:val="0"/>
          <w:szCs w:val="24"/>
          <w:vertAlign w:val="superscript"/>
        </w:rPr>
        <w:t>0</w:t>
      </w:r>
      <w:r>
        <w:rPr>
          <w:kern w:val="0"/>
          <w:szCs w:val="24"/>
        </w:rPr>
        <w:t>. Research to enhance mercury removal in scrubbers focuses on converting Hg-0 to an oxidized form in or ahead of the scrubber using proprietary reagents. Palladium</w:t>
      </w:r>
      <w:r w:rsidR="00F81221">
        <w:rPr>
          <w:kern w:val="0"/>
          <w:szCs w:val="24"/>
        </w:rPr>
        <w:t xml:space="preserve"> and </w:t>
      </w:r>
      <w:r>
        <w:rPr>
          <w:kern w:val="0"/>
          <w:szCs w:val="24"/>
        </w:rPr>
        <w:t>carbon-based catalysts have shown the most promise for oxidizing Hg</w:t>
      </w:r>
      <w:r w:rsidR="008A6919">
        <w:rPr>
          <w:rFonts w:hint="eastAsia"/>
          <w:kern w:val="0"/>
          <w:szCs w:val="24"/>
          <w:vertAlign w:val="superscript"/>
        </w:rPr>
        <w:t>0</w:t>
      </w:r>
      <w:r>
        <w:rPr>
          <w:kern w:val="0"/>
          <w:szCs w:val="24"/>
        </w:rPr>
        <w:t>. Mercury removals from near 0% to about 60% are reported for the physical washing methods of the type that are widely used to remove pyritic sulfur</w:t>
      </w:r>
      <w:r w:rsidR="00F81221">
        <w:rPr>
          <w:kern w:val="0"/>
          <w:szCs w:val="24"/>
        </w:rPr>
        <w:t xml:space="preserve"> and </w:t>
      </w:r>
      <w:r>
        <w:rPr>
          <w:kern w:val="0"/>
          <w:szCs w:val="24"/>
        </w:rPr>
        <w:t>ash from 77% of all bituminous coal used in the United States. Advanced cleaning methods</w:t>
      </w:r>
      <w:r w:rsidR="00F81221">
        <w:rPr>
          <w:kern w:val="0"/>
          <w:szCs w:val="24"/>
        </w:rPr>
        <w:t xml:space="preserve"> and </w:t>
      </w:r>
      <w:r>
        <w:rPr>
          <w:kern w:val="0"/>
          <w:szCs w:val="24"/>
        </w:rPr>
        <w:t xml:space="preserve">hydrothermal treatment offer higher removals, but no coal-cleaning method is likely to reliably meet a 70% or greater removal requirement. Coal cleaning could, however, contribute to overall mercury control under a cap-and-trade form of mercury regulation. Concerns over the release of mercury from coal combustion by-products by leaching or atmospheric reemission will be heightened with the installation of mercury control technologies. Concentrations of mercury in </w:t>
      </w:r>
      <w:r>
        <w:rPr>
          <w:kern w:val="0"/>
          <w:szCs w:val="24"/>
        </w:rPr>
        <w:lastRenderedPageBreak/>
        <w:t>leachates from fly ashes, FGD materials,</w:t>
      </w:r>
      <w:r w:rsidR="00F81221">
        <w:rPr>
          <w:kern w:val="0"/>
          <w:szCs w:val="24"/>
        </w:rPr>
        <w:t xml:space="preserve"> and </w:t>
      </w:r>
      <w:r>
        <w:rPr>
          <w:kern w:val="0"/>
          <w:szCs w:val="24"/>
        </w:rPr>
        <w:t>activated carbon saturated with mercury are very low</w:t>
      </w:r>
      <w:r w:rsidR="00F81221">
        <w:rPr>
          <w:kern w:val="0"/>
          <w:szCs w:val="24"/>
        </w:rPr>
        <w:t xml:space="preserve"> and </w:t>
      </w:r>
      <w:r>
        <w:rPr>
          <w:kern w:val="0"/>
          <w:szCs w:val="24"/>
        </w:rPr>
        <w:t>usually below detection limits. Essentially, no mercury emission from these materials into air has been measured at ambient temperature. However, mercury is released from saturated sorbents upon heating above 135</w:t>
      </w:r>
      <w:r w:rsidR="008A6919">
        <w:rPr>
          <w:kern w:val="0"/>
          <w:szCs w:val="24"/>
        </w:rPr>
        <w:t>°</w:t>
      </w:r>
      <w:r>
        <w:rPr>
          <w:kern w:val="0"/>
          <w:szCs w:val="24"/>
        </w:rPr>
        <w:t>C. Preliminary results on the stability of mercury on fly ash, FGD materials,</w:t>
      </w:r>
      <w:r w:rsidR="00F81221">
        <w:rPr>
          <w:kern w:val="0"/>
          <w:szCs w:val="24"/>
        </w:rPr>
        <w:t xml:space="preserve"> and </w:t>
      </w:r>
      <w:r>
        <w:rPr>
          <w:kern w:val="0"/>
          <w:szCs w:val="24"/>
        </w:rPr>
        <w:t>saturated carbons are encouraging, but more testing is needed before the concerns are fully resolved. Published by Elsevier Science B.V.</w:t>
      </w:r>
    </w:p>
    <w:p w:rsidR="00CE75B5" w:rsidRDefault="00CE75B5" w:rsidP="00CE75B5">
      <w:pPr>
        <w:pStyle w:val="a0"/>
        <w:rPr>
          <w:kern w:val="0"/>
          <w:szCs w:val="24"/>
        </w:rPr>
      </w:pPr>
      <w:r>
        <w:rPr>
          <w:kern w:val="0"/>
          <w:szCs w:val="24"/>
        </w:rPr>
        <w:t>Keywords: Activated Carbon, Activated Carbons, Atmospheric Mercury, Carbon, Coal-Fired, Combustion, Combustion Flue-Gas, Elemental Mercury, Emission Control, Equilibrium, Fluorescence Spectrometry, Fly-Ash, Incineration, Kinetics, Mass Transfer, Mercury, Mercury Control, Particles, Power Plants, Review, SO</w:t>
      </w:r>
      <w:r w:rsidRPr="000C4B4A">
        <w:rPr>
          <w:kern w:val="0"/>
          <w:szCs w:val="24"/>
          <w:vertAlign w:val="subscript"/>
        </w:rPr>
        <w:t>2</w:t>
      </w:r>
      <w:r>
        <w:rPr>
          <w:kern w:val="0"/>
          <w:szCs w:val="24"/>
        </w:rPr>
        <w:t>, Sorption, Speciation, Trace-Elements, Transformations</w:t>
      </w:r>
    </w:p>
    <w:p w:rsidR="00AF5C23" w:rsidRDefault="00AF5C23" w:rsidP="00AF5C23">
      <w:pPr>
        <w:pStyle w:val="a0"/>
        <w:rPr>
          <w:kern w:val="0"/>
          <w:szCs w:val="24"/>
        </w:rPr>
      </w:pPr>
      <w:r>
        <w:rPr>
          <w:rFonts w:hint="eastAsia"/>
          <w:kern w:val="0"/>
          <w:szCs w:val="24"/>
        </w:rPr>
        <w:t xml:space="preserve">? </w:t>
      </w:r>
      <w:r>
        <w:rPr>
          <w:kern w:val="0"/>
          <w:szCs w:val="24"/>
        </w:rPr>
        <w:t>Wang, S.B., Ma, Q.</w:t>
      </w:r>
      <w:r w:rsidR="00F81221">
        <w:rPr>
          <w:kern w:val="0"/>
          <w:szCs w:val="24"/>
        </w:rPr>
        <w:t xml:space="preserve"> and </w:t>
      </w:r>
      <w:r>
        <w:rPr>
          <w:kern w:val="0"/>
          <w:szCs w:val="24"/>
        </w:rPr>
        <w:t>Zhu, Z.H. (2009), Characteristics of unburned carbons</w:t>
      </w:r>
      <w:r w:rsidR="00F81221">
        <w:rPr>
          <w:kern w:val="0"/>
          <w:szCs w:val="24"/>
        </w:rPr>
        <w:t xml:space="preserve"> and </w:t>
      </w:r>
      <w:r>
        <w:rPr>
          <w:kern w:val="0"/>
          <w:szCs w:val="24"/>
        </w:rPr>
        <w:t xml:space="preserve">their application for humic acid removal from water. </w:t>
      </w:r>
      <w:r>
        <w:rPr>
          <w:i/>
          <w:iCs/>
          <w:kern w:val="0"/>
          <w:szCs w:val="24"/>
        </w:rPr>
        <w:t>Fuel Processing Technology</w:t>
      </w:r>
      <w:r>
        <w:rPr>
          <w:kern w:val="0"/>
          <w:szCs w:val="24"/>
        </w:rPr>
        <w:t xml:space="preserve">, </w:t>
      </w:r>
      <w:r>
        <w:rPr>
          <w:b/>
          <w:bCs/>
          <w:kern w:val="0"/>
          <w:szCs w:val="24"/>
        </w:rPr>
        <w:t>90</w:t>
      </w:r>
      <w:r>
        <w:rPr>
          <w:kern w:val="0"/>
          <w:szCs w:val="24"/>
        </w:rPr>
        <w:t xml:space="preserve"> (3), 375-380.</w:t>
      </w:r>
    </w:p>
    <w:p w:rsidR="00AF5C23" w:rsidRDefault="00AF5C23" w:rsidP="00AF5C23">
      <w:pPr>
        <w:pStyle w:val="a0"/>
        <w:rPr>
          <w:kern w:val="0"/>
        </w:rPr>
      </w:pPr>
      <w:r>
        <w:rPr>
          <w:rFonts w:hint="eastAsia"/>
          <w:kern w:val="0"/>
        </w:rPr>
        <w:t xml:space="preserve">Full Text: </w:t>
      </w:r>
      <w:hyperlink r:id="rId266" w:history="1">
        <w:r w:rsidRPr="009562E9">
          <w:rPr>
            <w:rStyle w:val="a5"/>
            <w:kern w:val="0"/>
          </w:rPr>
          <w:t>2009\Fue Pro Tec90, 375.pdf</w:t>
        </w:r>
      </w:hyperlink>
    </w:p>
    <w:p w:rsidR="00AF5C23" w:rsidRDefault="00AF5C23" w:rsidP="00AF5C23">
      <w:pPr>
        <w:pStyle w:val="a0"/>
        <w:rPr>
          <w:kern w:val="0"/>
          <w:szCs w:val="24"/>
        </w:rPr>
      </w:pPr>
      <w:r>
        <w:rPr>
          <w:kern w:val="0"/>
          <w:szCs w:val="24"/>
        </w:rPr>
        <w:t>Abstract: Two unburned carbons (UCs) were separated from coal fly ash</w:t>
      </w:r>
      <w:r w:rsidR="00F81221">
        <w:rPr>
          <w:kern w:val="0"/>
          <w:szCs w:val="24"/>
        </w:rPr>
        <w:t xml:space="preserve"> and </w:t>
      </w:r>
      <w:r>
        <w:rPr>
          <w:kern w:val="0"/>
          <w:szCs w:val="24"/>
        </w:rPr>
        <w:t>their physicochemical properties were characterised using N-2 adsorption, XRD, SEM, XPS, FT-IR</w:t>
      </w:r>
      <w:r w:rsidR="00F81221">
        <w:rPr>
          <w:kern w:val="0"/>
          <w:szCs w:val="24"/>
        </w:rPr>
        <w:t xml:space="preserve"> and </w:t>
      </w:r>
      <w:r>
        <w:rPr>
          <w:kern w:val="0"/>
          <w:szCs w:val="24"/>
        </w:rPr>
        <w:t>potentiometric mass titration. Chemical treatments using HNO</w:t>
      </w:r>
      <w:r w:rsidRPr="009562E9">
        <w:rPr>
          <w:kern w:val="0"/>
          <w:szCs w:val="24"/>
          <w:vertAlign w:val="subscript"/>
        </w:rPr>
        <w:t>3</w:t>
      </w:r>
      <w:r w:rsidR="00F81221">
        <w:rPr>
          <w:kern w:val="0"/>
          <w:szCs w:val="24"/>
        </w:rPr>
        <w:t xml:space="preserve"> and </w:t>
      </w:r>
      <w:r>
        <w:rPr>
          <w:kern w:val="0"/>
          <w:szCs w:val="24"/>
        </w:rPr>
        <w:t>KOH were also conducted on one of the unburned carbons. The adsorption of humic acid from aqueous solution was performed on these untreated</w:t>
      </w:r>
      <w:r w:rsidR="00F81221">
        <w:rPr>
          <w:kern w:val="0"/>
          <w:szCs w:val="24"/>
        </w:rPr>
        <w:t xml:space="preserve"> and </w:t>
      </w:r>
      <w:r>
        <w:rPr>
          <w:kern w:val="0"/>
          <w:szCs w:val="24"/>
        </w:rPr>
        <w:t>chemically treated UCs. It was found that the UCs showed different porous structure</w:t>
      </w:r>
      <w:r w:rsidR="00F81221">
        <w:rPr>
          <w:kern w:val="0"/>
          <w:szCs w:val="24"/>
        </w:rPr>
        <w:t xml:space="preserve"> and </w:t>
      </w:r>
      <w:r>
        <w:rPr>
          <w:kern w:val="0"/>
          <w:szCs w:val="24"/>
        </w:rPr>
        <w:t>surface chemical properties, which influenced their adsorption behaviour. UCs exhibited high adsorption capacity for humic acid. After chemical treatment. the textural structure</w:t>
      </w:r>
      <w:r w:rsidR="00F81221">
        <w:rPr>
          <w:kern w:val="0"/>
          <w:szCs w:val="24"/>
        </w:rPr>
        <w:t xml:space="preserve"> and </w:t>
      </w:r>
      <w:r>
        <w:rPr>
          <w:kern w:val="0"/>
          <w:szCs w:val="24"/>
        </w:rPr>
        <w:t>surface functional groups of the unburned carbon were changed</w:t>
      </w:r>
      <w:r w:rsidR="00F81221">
        <w:rPr>
          <w:kern w:val="0"/>
          <w:szCs w:val="24"/>
        </w:rPr>
        <w:t xml:space="preserve"> and </w:t>
      </w:r>
      <w:r>
        <w:rPr>
          <w:kern w:val="0"/>
          <w:szCs w:val="24"/>
        </w:rPr>
        <w:t>the adsorption behaviour showed significant difference. Acid treatment did not change the surface area but reduced the functional groups while basic treatment significantly enhanced the surface area in microporous section but still reduced the surface functional groups. Particle size</w:t>
      </w:r>
      <w:r w:rsidR="00F81221">
        <w:rPr>
          <w:kern w:val="0"/>
          <w:szCs w:val="24"/>
        </w:rPr>
        <w:t xml:space="preserve"> and </w:t>
      </w:r>
      <w:r>
        <w:rPr>
          <w:kern w:val="0"/>
          <w:szCs w:val="24"/>
        </w:rPr>
        <w:t>pH solution will also influence the adsorption capacity. The adsorption will increase with decreasing particle size for humic acid. Higher pH solution will reduce humic acid adsorption on unburned carbon. Ionic strength will also affect humic acid adsorption showing positive effect on adsorption capacity. (c) 2008 Elsevier B.V. All rights reserved.</w:t>
      </w:r>
    </w:p>
    <w:p w:rsidR="00AF5C23" w:rsidRDefault="00AF5C23" w:rsidP="00AF5C23">
      <w:pPr>
        <w:pStyle w:val="a0"/>
        <w:rPr>
          <w:kern w:val="0"/>
          <w:szCs w:val="24"/>
        </w:rPr>
      </w:pPr>
      <w:r>
        <w:rPr>
          <w:kern w:val="0"/>
          <w:szCs w:val="24"/>
        </w:rPr>
        <w:t>Keywords: Activated Carbon, Adsorption, Capture, Chemical Treatment, Combustion, Dye Adsorption, Fly-Ash, Humic Acid, Kinetics, Mercury, Sorption, Substances, Unburned Carbon</w:t>
      </w:r>
    </w:p>
    <w:p w:rsidR="00AF5C23" w:rsidRDefault="00AF5C23" w:rsidP="00AF5C23">
      <w:pPr>
        <w:pStyle w:val="a0"/>
        <w:rPr>
          <w:kern w:val="0"/>
          <w:szCs w:val="24"/>
        </w:rPr>
      </w:pPr>
      <w:r>
        <w:rPr>
          <w:rFonts w:hint="eastAsia"/>
          <w:kern w:val="0"/>
          <w:szCs w:val="24"/>
        </w:rPr>
        <w:t xml:space="preserve">? </w:t>
      </w:r>
      <w:r>
        <w:rPr>
          <w:kern w:val="0"/>
          <w:szCs w:val="24"/>
        </w:rPr>
        <w:t>Dehkordi, A.M., Kiaei, Z.</w:t>
      </w:r>
      <w:r w:rsidR="00F81221">
        <w:rPr>
          <w:kern w:val="0"/>
          <w:szCs w:val="24"/>
        </w:rPr>
        <w:t xml:space="preserve"> and </w:t>
      </w:r>
      <w:r>
        <w:rPr>
          <w:kern w:val="0"/>
          <w:szCs w:val="24"/>
        </w:rPr>
        <w:t>Sobati, M.A. (2009), Oxidative desulfurization of simulated light fuel oil</w:t>
      </w:r>
      <w:r w:rsidR="00F81221">
        <w:rPr>
          <w:kern w:val="0"/>
          <w:szCs w:val="24"/>
        </w:rPr>
        <w:t xml:space="preserve"> and </w:t>
      </w:r>
      <w:r>
        <w:rPr>
          <w:kern w:val="0"/>
          <w:szCs w:val="24"/>
        </w:rPr>
        <w:t xml:space="preserve">untreated kerosene. </w:t>
      </w:r>
      <w:r>
        <w:rPr>
          <w:i/>
          <w:iCs/>
          <w:kern w:val="0"/>
          <w:szCs w:val="24"/>
        </w:rPr>
        <w:t>Fuel Processing Technology</w:t>
      </w:r>
      <w:r>
        <w:rPr>
          <w:kern w:val="0"/>
          <w:szCs w:val="24"/>
        </w:rPr>
        <w:t xml:space="preserve">, </w:t>
      </w:r>
      <w:r>
        <w:rPr>
          <w:b/>
          <w:bCs/>
          <w:kern w:val="0"/>
          <w:szCs w:val="24"/>
        </w:rPr>
        <w:t>90</w:t>
      </w:r>
      <w:r>
        <w:rPr>
          <w:kern w:val="0"/>
          <w:szCs w:val="24"/>
        </w:rPr>
        <w:t xml:space="preserve"> (3), 435-445.</w:t>
      </w:r>
    </w:p>
    <w:p w:rsidR="00AF5C23" w:rsidRDefault="00AF5C23" w:rsidP="00AF5C23">
      <w:pPr>
        <w:pStyle w:val="a0"/>
        <w:rPr>
          <w:kern w:val="0"/>
        </w:rPr>
      </w:pPr>
      <w:r>
        <w:rPr>
          <w:rFonts w:hint="eastAsia"/>
          <w:kern w:val="0"/>
        </w:rPr>
        <w:lastRenderedPageBreak/>
        <w:t xml:space="preserve">Full Text: </w:t>
      </w:r>
      <w:hyperlink r:id="rId267" w:history="1">
        <w:r w:rsidRPr="00014CDB">
          <w:rPr>
            <w:rStyle w:val="a5"/>
            <w:kern w:val="0"/>
          </w:rPr>
          <w:t>2009\Fue Pro Tec90, 435.pdf</w:t>
        </w:r>
      </w:hyperlink>
    </w:p>
    <w:p w:rsidR="00AF5C23" w:rsidRDefault="00AF5C23" w:rsidP="00AF5C23">
      <w:pPr>
        <w:pStyle w:val="a0"/>
        <w:rPr>
          <w:kern w:val="0"/>
          <w:szCs w:val="24"/>
        </w:rPr>
      </w:pPr>
      <w:r>
        <w:rPr>
          <w:kern w:val="0"/>
          <w:szCs w:val="24"/>
        </w:rPr>
        <w:t>Abstract: An experimental investigation was conducted on the oxidative desulfurization of model sulfur compounds such as dibenzothiophene</w:t>
      </w:r>
      <w:r w:rsidR="00F81221">
        <w:rPr>
          <w:kern w:val="0"/>
          <w:szCs w:val="24"/>
        </w:rPr>
        <w:t xml:space="preserve"> and </w:t>
      </w:r>
      <w:r>
        <w:rPr>
          <w:kern w:val="0"/>
          <w:szCs w:val="24"/>
        </w:rPr>
        <w:t>benzothiophene in toluene as a simulated light fuel oil with a mixture of hydrogen peroxide as the oxidant</w:t>
      </w:r>
      <w:r w:rsidR="00F81221">
        <w:rPr>
          <w:kern w:val="0"/>
          <w:szCs w:val="24"/>
        </w:rPr>
        <w:t xml:space="preserve"> and </w:t>
      </w:r>
      <w:r>
        <w:rPr>
          <w:kern w:val="0"/>
          <w:szCs w:val="24"/>
        </w:rPr>
        <w:t>various acids as the catalyst. The influences of various parameters including reaction temperature (T), acid to sulfur molar ratio (Acid/S), oxidant to sulfur molar ratio (O/S), type of acid,</w:t>
      </w:r>
      <w:r w:rsidR="00F81221">
        <w:rPr>
          <w:kern w:val="0"/>
          <w:szCs w:val="24"/>
        </w:rPr>
        <w:t xml:space="preserve"> and </w:t>
      </w:r>
      <w:r>
        <w:rPr>
          <w:kern w:val="0"/>
          <w:szCs w:val="24"/>
        </w:rPr>
        <w:t>the presence of sodium tungstate</w:t>
      </w:r>
      <w:r w:rsidR="00F81221">
        <w:rPr>
          <w:kern w:val="0"/>
          <w:szCs w:val="24"/>
        </w:rPr>
        <w:t xml:space="preserve"> and </w:t>
      </w:r>
      <w:r>
        <w:rPr>
          <w:kern w:val="0"/>
          <w:szCs w:val="24"/>
        </w:rPr>
        <w:t>commercial activated carbon as a co-catalyst on the fractional conversion of the model sulfur compounds were investigated. The experimental data obtained were used to determine the reaction rate constant of the model sulfur compounds</w:t>
      </w:r>
      <w:r w:rsidR="00F81221">
        <w:rPr>
          <w:kern w:val="0"/>
          <w:szCs w:val="24"/>
        </w:rPr>
        <w:t xml:space="preserve"> and </w:t>
      </w:r>
      <w:r>
        <w:rPr>
          <w:kern w:val="0"/>
          <w:szCs w:val="24"/>
        </w:rPr>
        <w:t>the corresponding activation energy. Moreover, the adsorption of model sulfur compounds on the commercial activated carbons supplied by Jacobi Co. (Sweden, AquaSorb 101) was studied</w:t>
      </w:r>
      <w:r w:rsidR="00F81221">
        <w:rPr>
          <w:kern w:val="0"/>
          <w:szCs w:val="24"/>
        </w:rPr>
        <w:t xml:space="preserve"> and </w:t>
      </w:r>
      <w:r>
        <w:rPr>
          <w:kern w:val="0"/>
          <w:szCs w:val="24"/>
        </w:rPr>
        <w:t>the effects of different parameters such as temperature,</w:t>
      </w:r>
      <w:r w:rsidR="00F81221">
        <w:rPr>
          <w:kern w:val="0"/>
          <w:szCs w:val="24"/>
        </w:rPr>
        <w:t xml:space="preserve"> and </w:t>
      </w:r>
      <w:r>
        <w:rPr>
          <w:kern w:val="0"/>
          <w:szCs w:val="24"/>
        </w:rPr>
        <w:t>various chemical treatments on the adsorption of the sulfur compounds were investigated. Furthermore. the oxidative desulfurization of untreated kerosene with the total sulfur content of 1700 ppmw produced by an Iranian refining company (Isfahan refinery) was successfully investigated. These experiments were performed using formic acid as the catalyst</w:t>
      </w:r>
      <w:r w:rsidR="00F81221">
        <w:rPr>
          <w:kern w:val="0"/>
          <w:szCs w:val="24"/>
        </w:rPr>
        <w:t xml:space="preserve"> and </w:t>
      </w:r>
      <w:r>
        <w:rPr>
          <w:kern w:val="0"/>
          <w:szCs w:val="24"/>
        </w:rPr>
        <w:t>hydrogen peroxide as the oxidant at the mild operating conditions of T=50</w:t>
      </w:r>
      <w:r w:rsidR="008A7E71">
        <w:t>°</w:t>
      </w:r>
      <w:r>
        <w:rPr>
          <w:kern w:val="0"/>
          <w:szCs w:val="24"/>
        </w:rPr>
        <w:t>C, O/S=5,</w:t>
      </w:r>
      <w:r w:rsidR="00F81221">
        <w:rPr>
          <w:kern w:val="0"/>
          <w:szCs w:val="24"/>
        </w:rPr>
        <w:t xml:space="preserve"> and </w:t>
      </w:r>
      <w:r>
        <w:rPr>
          <w:kern w:val="0"/>
          <w:szCs w:val="24"/>
        </w:rPr>
        <w:t>the Acid/S=10. It was realized that about 87% of the total sulfur content of untreated kerosene could be removed after 30 min oxidation followed by liquid-liquid extraction. (c) 2008 Elsevier B.V. All rights reserved.</w:t>
      </w:r>
    </w:p>
    <w:p w:rsidR="00AF5C23" w:rsidRDefault="00AF5C23" w:rsidP="00AF5C23">
      <w:pPr>
        <w:pStyle w:val="a0"/>
        <w:rPr>
          <w:kern w:val="0"/>
          <w:szCs w:val="24"/>
        </w:rPr>
      </w:pPr>
      <w:r>
        <w:rPr>
          <w:kern w:val="0"/>
          <w:szCs w:val="24"/>
        </w:rPr>
        <w:t>Keywords: Activated Carbon, Adsorption, Benzothiophene, Cell Applications, Chemical Oxidation, Deep Desulfurization, Deep Desulfurization, Dibenzothiophene, Diesel Fuel, Gas Oil, Hydrogen-Peroxide, Metal-Ions, Organosulfur Compounds, Oxidation, Oxidative Desulfurization, Tert-Butyl Hydroperoxide</w:t>
      </w:r>
    </w:p>
    <w:p w:rsidR="00C50CE9" w:rsidRDefault="00C50CE9" w:rsidP="00C50CE9">
      <w:pPr>
        <w:pStyle w:val="a0"/>
        <w:rPr>
          <w:kern w:val="0"/>
        </w:rPr>
      </w:pPr>
      <w:r>
        <w:rPr>
          <w:rFonts w:hint="eastAsia"/>
          <w:kern w:val="0"/>
        </w:rPr>
        <w:t xml:space="preserve">? </w:t>
      </w:r>
      <w:r>
        <w:rPr>
          <w:kern w:val="0"/>
        </w:rPr>
        <w:t>Wajima, T.</w:t>
      </w:r>
      <w:r w:rsidR="00F81221">
        <w:rPr>
          <w:kern w:val="0"/>
        </w:rPr>
        <w:t xml:space="preserve"> and </w:t>
      </w:r>
      <w:r>
        <w:rPr>
          <w:kern w:val="0"/>
        </w:rPr>
        <w:t xml:space="preserve">Sugawara, K. (2011), Adsorption behaviors of mercury from aqueous solution using sulfur-impregnated adsorbent developed from coal. </w:t>
      </w:r>
      <w:r>
        <w:rPr>
          <w:i/>
          <w:iCs/>
          <w:kern w:val="0"/>
        </w:rPr>
        <w:t>Fuel Processing Technology</w:t>
      </w:r>
      <w:r>
        <w:rPr>
          <w:kern w:val="0"/>
        </w:rPr>
        <w:t xml:space="preserve">, </w:t>
      </w:r>
      <w:r>
        <w:rPr>
          <w:b/>
          <w:bCs/>
          <w:kern w:val="0"/>
        </w:rPr>
        <w:t>92</w:t>
      </w:r>
      <w:r>
        <w:rPr>
          <w:kern w:val="0"/>
        </w:rPr>
        <w:t xml:space="preserve"> (7), 1322-1327.</w:t>
      </w:r>
    </w:p>
    <w:p w:rsidR="00C50CE9" w:rsidRPr="003F57E3" w:rsidRDefault="00C50CE9" w:rsidP="00C50CE9">
      <w:pPr>
        <w:pStyle w:val="a0"/>
        <w:rPr>
          <w:kern w:val="0"/>
        </w:rPr>
      </w:pPr>
      <w:r w:rsidRPr="003F57E3">
        <w:rPr>
          <w:kern w:val="0"/>
        </w:rPr>
        <w:t xml:space="preserve">Full Text: </w:t>
      </w:r>
      <w:hyperlink r:id="rId268" w:history="1">
        <w:r w:rsidRPr="00A86180">
          <w:rPr>
            <w:rStyle w:val="a5"/>
            <w:kern w:val="0"/>
          </w:rPr>
          <w:t>2011\Fue Pro Tec92, 1322.pdf</w:t>
        </w:r>
      </w:hyperlink>
    </w:p>
    <w:p w:rsidR="00C50CE9" w:rsidRDefault="00C50CE9" w:rsidP="00C50CE9">
      <w:pPr>
        <w:pStyle w:val="a0"/>
        <w:rPr>
          <w:kern w:val="0"/>
        </w:rPr>
      </w:pPr>
      <w:r>
        <w:rPr>
          <w:kern w:val="0"/>
        </w:rPr>
        <w:t>Abstract: Adsorption of mercury from aqueous solution on sulfur-impregnated adsorbent has been studied. Raw coal was mixed with K2S powder,</w:t>
      </w:r>
      <w:r w:rsidR="00F81221">
        <w:rPr>
          <w:kern w:val="0"/>
        </w:rPr>
        <w:t xml:space="preserve"> and </w:t>
      </w:r>
      <w:r>
        <w:rPr>
          <w:kern w:val="0"/>
        </w:rPr>
        <w:t>then heated at 800-1000ºC for 30 min in nitrogen to produce sulfur-impregnated adsorbent. The sulfur content</w:t>
      </w:r>
      <w:r w:rsidR="00F81221">
        <w:rPr>
          <w:kern w:val="0"/>
        </w:rPr>
        <w:t xml:space="preserve"> and </w:t>
      </w:r>
      <w:r>
        <w:rPr>
          <w:kern w:val="0"/>
        </w:rPr>
        <w:t>specific surface area of the adsorbent were determined,</w:t>
      </w:r>
      <w:r w:rsidR="00F81221">
        <w:rPr>
          <w:kern w:val="0"/>
        </w:rPr>
        <w:t xml:space="preserve"> and </w:t>
      </w:r>
      <w:r>
        <w:rPr>
          <w:kern w:val="0"/>
        </w:rPr>
        <w:t>the ability of the adsorbent to adsorb mercury in aqueous solution was examined. With increasing temperature of sulfur-impregnation, specific surface area of the adsorbent increases, while sulfur content of the adsorbent is almost constant. The adsorbent obtained at 900ºC shows the highest</w:t>
      </w:r>
      <w:r w:rsidR="00F81221">
        <w:rPr>
          <w:kern w:val="0"/>
        </w:rPr>
        <w:t xml:space="preserve"> and </w:t>
      </w:r>
      <w:r>
        <w:rPr>
          <w:kern w:val="0"/>
        </w:rPr>
        <w:t>fastest adsorption of mercury from aqueous solution at 25ºC,</w:t>
      </w:r>
      <w:r w:rsidR="00F81221">
        <w:rPr>
          <w:kern w:val="0"/>
        </w:rPr>
        <w:t xml:space="preserve"> and </w:t>
      </w:r>
      <w:r>
        <w:rPr>
          <w:kern w:val="0"/>
        </w:rPr>
        <w:t>the elution extents of adsorbed mercury are negligible in distilled water</w:t>
      </w:r>
      <w:r w:rsidR="00F81221">
        <w:rPr>
          <w:kern w:val="0"/>
        </w:rPr>
        <w:t xml:space="preserve"> and </w:t>
      </w:r>
      <w:r>
        <w:rPr>
          <w:kern w:val="0"/>
        </w:rPr>
        <w:t xml:space="preserve">10% in 0.1 M HCl solution, respectively. Adsorption kinetics was </w:t>
      </w:r>
      <w:r>
        <w:rPr>
          <w:kern w:val="0"/>
        </w:rPr>
        <w:lastRenderedPageBreak/>
        <w:t>tested for pseudo-first order</w:t>
      </w:r>
      <w:r w:rsidR="00F81221">
        <w:rPr>
          <w:kern w:val="0"/>
        </w:rPr>
        <w:t xml:space="preserve"> and </w:t>
      </w:r>
      <w:r>
        <w:rPr>
          <w:kern w:val="0"/>
        </w:rPr>
        <w:t>pseudo-second order reactions,</w:t>
      </w:r>
      <w:r w:rsidR="00F81221">
        <w:rPr>
          <w:kern w:val="0"/>
        </w:rPr>
        <w:t xml:space="preserve"> and </w:t>
      </w:r>
      <w:r>
        <w:rPr>
          <w:kern w:val="0"/>
        </w:rPr>
        <w:t>the rate constants of adsorption for these kinetic models were calculated. Adsorption experiments demonstrate that the adsorption process corresponds to pseudo-second-order kinetic model than pseudo-first-order model. With increasing temperature of aqueous solution, the kinetics of adsorption becomes faster</w:t>
      </w:r>
      <w:r w:rsidR="00F81221">
        <w:rPr>
          <w:kern w:val="0"/>
        </w:rPr>
        <w:t xml:space="preserve"> and </w:t>
      </w:r>
      <w:r>
        <w:rPr>
          <w:kern w:val="0"/>
        </w:rPr>
        <w:t xml:space="preserve">the amount of mercury adsorbed on the adsorbent increases. The thermodynamic values, </w:t>
      </w:r>
      <w:r>
        <w:rPr>
          <w:kern w:val="0"/>
        </w:rPr>
        <w:sym w:font="Symbol" w:char="F044"/>
      </w:r>
      <w:r>
        <w:rPr>
          <w:kern w:val="0"/>
        </w:rPr>
        <w:t xml:space="preserve">Gº, </w:t>
      </w:r>
      <w:r>
        <w:rPr>
          <w:kern w:val="0"/>
        </w:rPr>
        <w:sym w:font="Symbol" w:char="F044"/>
      </w:r>
      <w:r>
        <w:rPr>
          <w:kern w:val="0"/>
        </w:rPr>
        <w:t>Hº</w:t>
      </w:r>
      <w:r w:rsidR="00F81221">
        <w:rPr>
          <w:kern w:val="0"/>
        </w:rPr>
        <w:t xml:space="preserve"> and </w:t>
      </w:r>
      <w:r>
        <w:rPr>
          <w:kern w:val="0"/>
        </w:rPr>
        <w:sym w:font="Symbol" w:char="F044"/>
      </w:r>
      <w:r>
        <w:rPr>
          <w:kern w:val="0"/>
        </w:rPr>
        <w:t>Sº, indicated that adsorption was an endothermic</w:t>
      </w:r>
      <w:r w:rsidR="00F81221">
        <w:rPr>
          <w:kern w:val="0"/>
        </w:rPr>
        <w:t xml:space="preserve"> and </w:t>
      </w:r>
      <w:r>
        <w:rPr>
          <w:kern w:val="0"/>
        </w:rPr>
        <w:t>spontaneous process. (C) 2011 Elsevier B.V. All rights reserved.</w:t>
      </w:r>
    </w:p>
    <w:p w:rsidR="00C50CE9" w:rsidRDefault="00C50CE9" w:rsidP="00C50CE9">
      <w:pPr>
        <w:pStyle w:val="a0"/>
        <w:rPr>
          <w:kern w:val="0"/>
        </w:rPr>
      </w:pPr>
      <w:r>
        <w:rPr>
          <w:kern w:val="0"/>
        </w:rPr>
        <w:t>Keywords: Activated Carbon, Adsorption, Adsorption Kinetics, Aqueous Solution, Coal, Extraction, Gas-Phase Mercury, Heavy-Metals, Ion-Exchange, Kinetic, Kinetic Model, Kinetic Models, Kinetics, Kinetics, Mercury, Mercury Adsorption, Removal, Sulfur-Impregnation, Temperature, Thermodynamic, Thiol-Groups, Truex Process Solvent, Waste-Water, Water</w:t>
      </w:r>
    </w:p>
    <w:p w:rsidR="005348EC" w:rsidRDefault="005348EC" w:rsidP="005348EC">
      <w:pPr>
        <w:pStyle w:val="a0"/>
        <w:rPr>
          <w:kern w:val="0"/>
        </w:rPr>
      </w:pPr>
      <w:r>
        <w:rPr>
          <w:rFonts w:hint="eastAsia"/>
          <w:kern w:val="0"/>
        </w:rPr>
        <w:t xml:space="preserve">? </w:t>
      </w:r>
      <w:r>
        <w:rPr>
          <w:kern w:val="0"/>
        </w:rPr>
        <w:t xml:space="preserve">Stavropoulos, G.G. (2011), A fundamental approach in liquid phase adsorption kinetics. </w:t>
      </w:r>
      <w:r>
        <w:rPr>
          <w:i/>
          <w:iCs/>
          <w:kern w:val="0"/>
        </w:rPr>
        <w:t>Fuel Processing Technology</w:t>
      </w:r>
      <w:r>
        <w:rPr>
          <w:kern w:val="0"/>
        </w:rPr>
        <w:t xml:space="preserve">, </w:t>
      </w:r>
      <w:r>
        <w:rPr>
          <w:b/>
          <w:bCs/>
          <w:kern w:val="0"/>
        </w:rPr>
        <w:t>92</w:t>
      </w:r>
      <w:r>
        <w:rPr>
          <w:kern w:val="0"/>
        </w:rPr>
        <w:t xml:space="preserve"> (10), 2123-2126.</w:t>
      </w:r>
    </w:p>
    <w:p w:rsidR="005348EC" w:rsidRPr="007D79E8" w:rsidRDefault="005348EC" w:rsidP="005348EC">
      <w:pPr>
        <w:pStyle w:val="a0"/>
        <w:rPr>
          <w:kern w:val="0"/>
        </w:rPr>
      </w:pPr>
      <w:r w:rsidRPr="007D79E8">
        <w:rPr>
          <w:kern w:val="0"/>
        </w:rPr>
        <w:t>Full Text:</w:t>
      </w:r>
      <w:r>
        <w:rPr>
          <w:rFonts w:hint="eastAsia"/>
          <w:kern w:val="0"/>
        </w:rPr>
        <w:t xml:space="preserve"> </w:t>
      </w:r>
      <w:hyperlink r:id="rId269" w:history="1">
        <w:r w:rsidRPr="003A6FF1">
          <w:rPr>
            <w:rStyle w:val="a5"/>
            <w:kern w:val="0"/>
          </w:rPr>
          <w:t>2011\Fue Pro Tec92, 2123.pdf</w:t>
        </w:r>
      </w:hyperlink>
    </w:p>
    <w:p w:rsidR="005348EC" w:rsidRDefault="005348EC" w:rsidP="005348EC">
      <w:pPr>
        <w:pStyle w:val="a0"/>
        <w:rPr>
          <w:kern w:val="0"/>
        </w:rPr>
      </w:pPr>
      <w:r>
        <w:rPr>
          <w:kern w:val="0"/>
        </w:rPr>
        <w:t>Abstract: Liquid-solid adsorption kinetic data are mostly interpreted by a limited number of rate equations, (pseudo-first, pseudo-second order</w:t>
      </w:r>
      <w:r w:rsidR="00F81221">
        <w:rPr>
          <w:kern w:val="0"/>
        </w:rPr>
        <w:t xml:space="preserve"> and </w:t>
      </w:r>
      <w:r>
        <w:rPr>
          <w:kern w:val="0"/>
        </w:rPr>
        <w:t>Elovich). Besides, a fundamental tool in heterogeneous reactions, the Langmuir theory of adsorption, is used almost exclusively to model equilibrium isotherms but, surprisingly, not kinetics. Considering the limited applicability of the mentioned kinetic models, especially in estimating kinetic constants</w:t>
      </w:r>
      <w:r w:rsidR="00F81221">
        <w:rPr>
          <w:kern w:val="0"/>
        </w:rPr>
        <w:t xml:space="preserve"> and </w:t>
      </w:r>
      <w:r>
        <w:rPr>
          <w:kern w:val="0"/>
        </w:rPr>
        <w:t>predicting adsorption mechanism, it seems more reasonable to apply the Langmuir kinetic equation in modeling the liquid phase adsorption. In the diffusion-free regime, by constructing the experimental equilibrium isotherm of a system, one can easily check the validity of the Langmuir model. Afterwards, kinetic constants can be readily calculated</w:t>
      </w:r>
      <w:r w:rsidR="00F81221">
        <w:rPr>
          <w:kern w:val="0"/>
        </w:rPr>
        <w:t xml:space="preserve"> and </w:t>
      </w:r>
      <w:r>
        <w:rPr>
          <w:kern w:val="0"/>
        </w:rPr>
        <w:t>used to predict adsorption performance under different operating conditions. The proposed procedure was tested in the experimental results of cyanide adsorption in activated carbon to verify the applicability of the Langmuir adsorption mechanism</w:t>
      </w:r>
      <w:r w:rsidR="00F81221">
        <w:rPr>
          <w:kern w:val="0"/>
        </w:rPr>
        <w:t xml:space="preserve"> and </w:t>
      </w:r>
      <w:r>
        <w:rPr>
          <w:kern w:val="0"/>
        </w:rPr>
        <w:t>estimate the equilibrium</w:t>
      </w:r>
      <w:r w:rsidR="00F81221">
        <w:rPr>
          <w:kern w:val="0"/>
        </w:rPr>
        <w:t xml:space="preserve"> and </w:t>
      </w:r>
      <w:r>
        <w:rPr>
          <w:kern w:val="0"/>
        </w:rPr>
        <w:t>kinetic constants. (C) 2011 Elsevier B.V. All rights reserved.</w:t>
      </w:r>
    </w:p>
    <w:p w:rsidR="005348EC" w:rsidRDefault="005348EC" w:rsidP="005348EC">
      <w:pPr>
        <w:pStyle w:val="a0"/>
        <w:rPr>
          <w:kern w:val="0"/>
        </w:rPr>
      </w:pPr>
      <w:r>
        <w:rPr>
          <w:kern w:val="0"/>
        </w:rPr>
        <w:t>Keywords: Activated Carbon, Activated Carbon, Adsorption, Adsorption Kinetics, Equilibrium, Equilibrium Isotherms, Isotherm, Isotherms, Kinetic, Kinetic Models, Kinetics, Langmuir, Mechanism, Modeling, Models, Removal</w:t>
      </w:r>
    </w:p>
    <w:p w:rsidR="00B95188" w:rsidRPr="00A428C3" w:rsidRDefault="00B95188" w:rsidP="00B95188">
      <w:pPr>
        <w:pStyle w:val="1"/>
      </w:pPr>
      <w:r w:rsidRPr="00A428C3">
        <w:br w:type="page"/>
      </w:r>
      <w:bookmarkStart w:id="183" w:name="_Toc186647687"/>
      <w:bookmarkStart w:id="184" w:name="_Toc317160876"/>
      <w:r w:rsidRPr="00A428C3">
        <w:lastRenderedPageBreak/>
        <w:t>Title: Fuel Science &amp; Technology International</w:t>
      </w:r>
      <w:bookmarkEnd w:id="183"/>
      <w:bookmarkEnd w:id="184"/>
    </w:p>
    <w:p w:rsidR="00B95188" w:rsidRPr="00A428C3" w:rsidRDefault="00B95188" w:rsidP="00B72EF9">
      <w:pPr>
        <w:pStyle w:val="12"/>
      </w:pPr>
      <w:r w:rsidRPr="00A428C3">
        <w:t>Full Journal Title: Fuel Science &amp; Technology International</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0884-3759</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Zhang, P.Z., Li, L.Y.</w:t>
      </w:r>
      <w:r w:rsidR="00F81221">
        <w:t xml:space="preserve"> and </w:t>
      </w:r>
      <w:r w:rsidRPr="00A428C3">
        <w:t>Ye, C.H. (1994), Study of structural feature of peat, lignite</w:t>
      </w:r>
      <w:r w:rsidR="00F81221">
        <w:t xml:space="preserve"> and </w:t>
      </w:r>
      <w:r w:rsidRPr="00A428C3">
        <w:t xml:space="preserve">humic-acid by solid-state C-13 NMR-spectroscopy. </w:t>
      </w:r>
      <w:r w:rsidRPr="00A428C3">
        <w:rPr>
          <w:i/>
        </w:rPr>
        <w:t>Fuel Science &amp; Technology International</w:t>
      </w:r>
      <w:r w:rsidRPr="00A428C3">
        <w:t xml:space="preserve">, </w:t>
      </w:r>
      <w:r w:rsidRPr="00A428C3">
        <w:rPr>
          <w:b/>
        </w:rPr>
        <w:t>12</w:t>
      </w:r>
      <w:r w:rsidRPr="00A428C3">
        <w:t xml:space="preserve"> (4), 631-648.</w:t>
      </w:r>
    </w:p>
    <w:p w:rsidR="00B95188" w:rsidRPr="00A428C3" w:rsidRDefault="00B95188" w:rsidP="00B95188">
      <w:pPr>
        <w:pStyle w:val="a0"/>
      </w:pPr>
      <w:r w:rsidRPr="00A428C3">
        <w:t>Abstract: Four low rank coals (peat</w:t>
      </w:r>
      <w:r w:rsidR="00F81221">
        <w:t xml:space="preserve"> and </w:t>
      </w:r>
      <w:r w:rsidRPr="00A428C3">
        <w:t>lignite)</w:t>
      </w:r>
      <w:r w:rsidR="00F81221">
        <w:t xml:space="preserve"> and </w:t>
      </w:r>
      <w:r w:rsidRPr="00A428C3">
        <w:t>their derived humic acids have been investigated by the C-13 CP/MAS/TOSS NMR technique. The NMR analysis indicates that the peat contains a significant amount of unaltered plant components including cellulose, hemicellulose, lignin, waxes,</w:t>
      </w:r>
      <w:r w:rsidR="00F81221">
        <w:t xml:space="preserve"> and </w:t>
      </w:r>
      <w:r w:rsidRPr="00A428C3">
        <w:t>resins.</w:t>
      </w:r>
    </w:p>
    <w:p w:rsidR="00B95188" w:rsidRPr="00A428C3" w:rsidRDefault="00B95188" w:rsidP="00B95188">
      <w:pPr>
        <w:pStyle w:val="a0"/>
      </w:pPr>
      <w:r w:rsidRPr="00A428C3">
        <w:t>Variable contact time</w:t>
      </w:r>
      <w:r w:rsidR="00F81221">
        <w:t xml:space="preserve"> and </w:t>
      </w:r>
      <w:r w:rsidRPr="00A428C3">
        <w:t>dipolar dephasing experiments were performed on each sample. The data from above experiments, together with normal CP/MAS integration over selected chemical shift range, were used to derive 12 parameters of carbon skeletal structure including the aromaticity.</w:t>
      </w:r>
    </w:p>
    <w:p w:rsidR="00B95188" w:rsidRPr="00A428C3" w:rsidRDefault="00B95188" w:rsidP="00B95188">
      <w:pPr>
        <w:pStyle w:val="a0"/>
      </w:pPr>
      <w:r w:rsidRPr="00A428C3">
        <w:t>From the ratio of aromatic bridgehead carbons, f(a)B, to the aromatic peripheral carbons, f(a)CP, x(BP), as measured by NMR, the aromatic cluster size may be estimated for each coal.</w:t>
      </w:r>
    </w:p>
    <w:p w:rsidR="00B95188" w:rsidRPr="00A428C3" w:rsidRDefault="00B95188" w:rsidP="00B95188">
      <w:pPr>
        <w:pStyle w:val="a0"/>
      </w:pPr>
      <w:r w:rsidRPr="00A428C3">
        <w:t>Keywords: High-Resolution, Cellulose, Spectra</w:t>
      </w:r>
    </w:p>
    <w:p w:rsidR="00B95188" w:rsidRPr="00A428C3" w:rsidRDefault="00B95188" w:rsidP="00B95188">
      <w:pPr>
        <w:pStyle w:val="1"/>
      </w:pPr>
      <w:r w:rsidRPr="00A428C3">
        <w:br w:type="page"/>
      </w:r>
      <w:bookmarkStart w:id="185" w:name="_Toc186647695"/>
      <w:bookmarkStart w:id="186" w:name="_Toc317160877"/>
      <w:r w:rsidRPr="00A428C3">
        <w:lastRenderedPageBreak/>
        <w:t xml:space="preserve">Title: </w:t>
      </w:r>
      <w:r w:rsidRPr="00A428C3">
        <w:rPr>
          <w:iCs/>
        </w:rPr>
        <w:t>Fullerenes Nanotubes</w:t>
      </w:r>
      <w:r w:rsidR="00F81221">
        <w:rPr>
          <w:iCs/>
        </w:rPr>
        <w:t xml:space="preserve"> and </w:t>
      </w:r>
      <w:r w:rsidRPr="00A428C3">
        <w:rPr>
          <w:iCs/>
        </w:rPr>
        <w:t>Carbon Nanostructures</w:t>
      </w:r>
      <w:bookmarkEnd w:id="185"/>
      <w:bookmarkEnd w:id="186"/>
    </w:p>
    <w:p w:rsidR="00B95188" w:rsidRPr="00A428C3" w:rsidRDefault="00B95188" w:rsidP="00B72EF9">
      <w:pPr>
        <w:pStyle w:val="12"/>
      </w:pPr>
      <w:r w:rsidRPr="00A428C3">
        <w:t xml:space="preserve">Full Journal Title: </w:t>
      </w:r>
      <w:hyperlink r:id="rId270" w:anchor="A1" w:history="1">
        <w:r w:rsidRPr="00A428C3">
          <w:rPr>
            <w:rStyle w:val="a5"/>
            <w:iCs/>
          </w:rPr>
          <w:t>Fullerenes Nanotubes</w:t>
        </w:r>
        <w:r w:rsidR="00F81221">
          <w:rPr>
            <w:rStyle w:val="a5"/>
            <w:iCs/>
          </w:rPr>
          <w:t xml:space="preserve"> and </w:t>
        </w:r>
        <w:r w:rsidRPr="00A428C3">
          <w:rPr>
            <w:rStyle w:val="a5"/>
            <w:iCs/>
          </w:rPr>
          <w:t>Carbon Nanostructures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1536-383X</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Language:</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Terekhov, A.I., Efremenkova, V.M., Stankevich, I.V., Krukovskaya, N.V.</w:t>
      </w:r>
      <w:r w:rsidR="00F81221">
        <w:t xml:space="preserve"> and </w:t>
      </w:r>
      <w:r w:rsidRPr="00A428C3">
        <w:t xml:space="preserve">Terekhov, A.A. (2006), Information resources for evaluating the development of research direction - </w:t>
      </w:r>
      <w:r w:rsidR="000352E7">
        <w:t>‘</w:t>
      </w:r>
      <w:r w:rsidRPr="00A428C3">
        <w:t>Fullerenes</w:t>
      </w:r>
      <w:r w:rsidR="000352E7">
        <w:t>’</w:t>
      </w:r>
      <w:r w:rsidRPr="00A428C3">
        <w:t xml:space="preserve">. </w:t>
      </w:r>
      <w:r w:rsidRPr="00A428C3">
        <w:rPr>
          <w:i/>
          <w:iCs/>
        </w:rPr>
        <w:t>Fullerenes Nanotubes</w:t>
      </w:r>
      <w:r w:rsidR="00F81221">
        <w:rPr>
          <w:i/>
          <w:iCs/>
        </w:rPr>
        <w:t xml:space="preserve"> and </w:t>
      </w:r>
      <w:r w:rsidRPr="00A428C3">
        <w:rPr>
          <w:i/>
          <w:iCs/>
        </w:rPr>
        <w:t>Carbon Nanostructures</w:t>
      </w:r>
      <w:r w:rsidRPr="00A428C3">
        <w:t xml:space="preserve">, </w:t>
      </w:r>
      <w:r w:rsidRPr="00A428C3">
        <w:rPr>
          <w:b/>
        </w:rPr>
        <w:t>14</w:t>
      </w:r>
      <w:r w:rsidRPr="00A428C3">
        <w:t xml:space="preserve"> (2-3), 579-584.</w:t>
      </w:r>
    </w:p>
    <w:p w:rsidR="00B95188" w:rsidRPr="00A428C3" w:rsidRDefault="00B95188" w:rsidP="00B95188">
      <w:pPr>
        <w:pStyle w:val="a0"/>
      </w:pPr>
      <w:r w:rsidRPr="00A428C3">
        <w:t xml:space="preserve">Full Text: </w:t>
      </w:r>
      <w:hyperlink r:id="rId271" w:history="1">
        <w:r w:rsidRPr="00A428C3">
          <w:rPr>
            <w:rStyle w:val="a5"/>
          </w:rPr>
          <w:t>2006\Ful Nan Car Nan14, 579.pdf</w:t>
        </w:r>
      </w:hyperlink>
    </w:p>
    <w:p w:rsidR="00B95188" w:rsidRPr="00A428C3" w:rsidRDefault="00B95188" w:rsidP="00B95188">
      <w:pPr>
        <w:pStyle w:val="a0"/>
      </w:pPr>
      <w:r w:rsidRPr="00A428C3">
        <w:t xml:space="preserve">Abstract: The intent of the paper is to evaluate the progress of R&amp;D in the field of fullerene science in </w:t>
      </w:r>
      <w:smartTag w:uri="urn:schemas-microsoft-com:office:smarttags" w:element="place">
        <w:smartTag w:uri="urn:schemas-microsoft-com:office:smarttags" w:element="country-region">
          <w:r w:rsidRPr="00A428C3">
            <w:t>Russia</w:t>
          </w:r>
        </w:smartTag>
      </w:smartTag>
      <w:r w:rsidRPr="00A428C3">
        <w:t xml:space="preserve"> in comparison with the world trends. With that end in view we use the databases (DBs) of Scientific</w:t>
      </w:r>
      <w:r w:rsidR="00F81221">
        <w:t xml:space="preserve"> and </w:t>
      </w:r>
      <w:r w:rsidRPr="00A428C3">
        <w:t>Technical Network International (STN)</w:t>
      </w:r>
      <w:r w:rsidR="00F81221">
        <w:t xml:space="preserve"> and </w:t>
      </w:r>
      <w:r w:rsidRPr="00A428C3">
        <w:t>also less known Russian DBs: of the Russian Foundation for Basic Research (applications</w:t>
      </w:r>
      <w:r w:rsidR="00F81221">
        <w:t xml:space="preserve"> and </w:t>
      </w:r>
      <w:r w:rsidRPr="00A428C3">
        <w:t>grants received, research teams, titles</w:t>
      </w:r>
      <w:r w:rsidR="00F81221">
        <w:t xml:space="preserve"> and </w:t>
      </w:r>
      <w:r w:rsidRPr="00A428C3">
        <w:t>abstracts of the papers, published by projects participants); of ROSPATENT (patents),</w:t>
      </w:r>
      <w:r w:rsidR="00F81221">
        <w:t xml:space="preserve"> and </w:t>
      </w:r>
      <w:r w:rsidRPr="00A428C3">
        <w:t>of the Russian Higher Certification Commission (dissertation abstracts). Together with bibliometric statistics, institutional structure</w:t>
      </w:r>
      <w:r w:rsidR="00F81221">
        <w:t xml:space="preserve"> and </w:t>
      </w:r>
      <w:r w:rsidRPr="00A428C3">
        <w:t>socioeconomic problems of the scientific field development are considered.</w:t>
      </w:r>
    </w:p>
    <w:p w:rsidR="00B95188" w:rsidRPr="00A428C3" w:rsidRDefault="00B95188" w:rsidP="00B95188">
      <w:pPr>
        <w:pStyle w:val="a0"/>
      </w:pPr>
      <w:r w:rsidRPr="00A428C3">
        <w:t>Keywords: Applications, Bibliometric, Bibliometric Analysis, Databases, Development, Fullerenes, Paper, Patents, Research, Research</w:t>
      </w:r>
      <w:r w:rsidR="00F81221">
        <w:t xml:space="preserve"> and </w:t>
      </w:r>
      <w:r w:rsidRPr="00A428C3">
        <w:t xml:space="preserve">Development, </w:t>
      </w:r>
      <w:smartTag w:uri="urn:schemas-microsoft-com:office:smarttags" w:element="place">
        <w:smartTag w:uri="urn:schemas-microsoft-com:office:smarttags" w:element="country-region">
          <w:r w:rsidRPr="00A428C3">
            <w:t>Russia</w:t>
          </w:r>
        </w:smartTag>
      </w:smartTag>
      <w:r w:rsidRPr="00A428C3">
        <w:t>, Science, Socioeconomic Appraisal, Statistics, Structure, Trends</w:t>
      </w:r>
    </w:p>
    <w:p w:rsidR="00973481" w:rsidRDefault="00973481" w:rsidP="00973481">
      <w:pPr>
        <w:pStyle w:val="a0"/>
        <w:rPr>
          <w:kern w:val="0"/>
        </w:rPr>
      </w:pPr>
      <w:r>
        <w:rPr>
          <w:rFonts w:hint="eastAsia"/>
          <w:kern w:val="0"/>
        </w:rPr>
        <w:t xml:space="preserve">? </w:t>
      </w:r>
      <w:r>
        <w:rPr>
          <w:kern w:val="0"/>
        </w:rPr>
        <w:t>Moradi, O., Zare, K., Monajjemi, M., Yari, M.</w:t>
      </w:r>
      <w:r w:rsidR="00F81221">
        <w:rPr>
          <w:kern w:val="0"/>
        </w:rPr>
        <w:t xml:space="preserve"> and </w:t>
      </w:r>
      <w:r>
        <w:rPr>
          <w:kern w:val="0"/>
        </w:rPr>
        <w:t>Aghaie, H. (2010), The Studies of Equilibrium</w:t>
      </w:r>
      <w:r w:rsidR="00F81221">
        <w:rPr>
          <w:kern w:val="0"/>
        </w:rPr>
        <w:t xml:space="preserve"> and </w:t>
      </w:r>
      <w:r>
        <w:rPr>
          <w:kern w:val="0"/>
        </w:rPr>
        <w:t>Thermodynamic Adsorption of Pb(II), Cd(II)</w:t>
      </w:r>
      <w:r w:rsidR="00F81221">
        <w:rPr>
          <w:kern w:val="0"/>
        </w:rPr>
        <w:t xml:space="preserve"> and </w:t>
      </w:r>
      <w:r>
        <w:rPr>
          <w:kern w:val="0"/>
        </w:rPr>
        <w:t>Cu(II) Ions from Aqueous Solution onto SWCNTs</w:t>
      </w:r>
      <w:r w:rsidR="00F81221">
        <w:rPr>
          <w:kern w:val="0"/>
        </w:rPr>
        <w:t xml:space="preserve"> and </w:t>
      </w:r>
      <w:r>
        <w:rPr>
          <w:kern w:val="0"/>
        </w:rPr>
        <w:t xml:space="preserve">SWCNT-COOH Surfaces. </w:t>
      </w:r>
      <w:r>
        <w:rPr>
          <w:i/>
          <w:iCs/>
          <w:kern w:val="0"/>
        </w:rPr>
        <w:t>Fullerenes Nanotubes</w:t>
      </w:r>
      <w:r w:rsidR="00F81221">
        <w:rPr>
          <w:i/>
          <w:iCs/>
          <w:kern w:val="0"/>
        </w:rPr>
        <w:t xml:space="preserve"> and </w:t>
      </w:r>
      <w:r>
        <w:rPr>
          <w:i/>
          <w:iCs/>
          <w:kern w:val="0"/>
        </w:rPr>
        <w:t>Carbon Nanostructures</w:t>
      </w:r>
      <w:r>
        <w:rPr>
          <w:kern w:val="0"/>
        </w:rPr>
        <w:t xml:space="preserve">, </w:t>
      </w:r>
      <w:r>
        <w:rPr>
          <w:b/>
          <w:bCs/>
          <w:kern w:val="0"/>
        </w:rPr>
        <w:t>18</w:t>
      </w:r>
      <w:r>
        <w:rPr>
          <w:kern w:val="0"/>
        </w:rPr>
        <w:t xml:space="preserve"> (3), 285-302.</w:t>
      </w:r>
    </w:p>
    <w:p w:rsidR="00973481" w:rsidRPr="00A428C3" w:rsidRDefault="00973481" w:rsidP="00973481">
      <w:pPr>
        <w:pStyle w:val="a0"/>
      </w:pPr>
      <w:r w:rsidRPr="00A428C3">
        <w:t xml:space="preserve">Full Text: </w:t>
      </w:r>
      <w:hyperlink r:id="rId272" w:history="1">
        <w:r w:rsidRPr="00973481">
          <w:rPr>
            <w:rStyle w:val="a5"/>
          </w:rPr>
          <w:t>2010\Ful Nan Car Nan18, 285.pdf</w:t>
        </w:r>
      </w:hyperlink>
    </w:p>
    <w:p w:rsidR="00973481" w:rsidRDefault="00973481" w:rsidP="00973481">
      <w:pPr>
        <w:pStyle w:val="a0"/>
        <w:rPr>
          <w:kern w:val="0"/>
        </w:rPr>
      </w:pPr>
      <w:r>
        <w:rPr>
          <w:kern w:val="0"/>
        </w:rPr>
        <w:t>Abstract: The equilibrium</w:t>
      </w:r>
      <w:r w:rsidR="00F81221">
        <w:rPr>
          <w:kern w:val="0"/>
        </w:rPr>
        <w:t xml:space="preserve"> and </w:t>
      </w:r>
      <w:r>
        <w:rPr>
          <w:kern w:val="0"/>
        </w:rPr>
        <w:t>thermodynamics of Pb(II), Cd(II)</w:t>
      </w:r>
      <w:r w:rsidR="00F81221">
        <w:rPr>
          <w:kern w:val="0"/>
        </w:rPr>
        <w:t xml:space="preserve"> and </w:t>
      </w:r>
      <w:r>
        <w:rPr>
          <w:kern w:val="0"/>
        </w:rPr>
        <w:t>Cu(II) ions adsorption from aqueous solution onto single-walled carbon nanotube (SWCNT)</w:t>
      </w:r>
      <w:r w:rsidR="00F81221">
        <w:rPr>
          <w:kern w:val="0"/>
        </w:rPr>
        <w:t xml:space="preserve"> and </w:t>
      </w:r>
      <w:r>
        <w:rPr>
          <w:kern w:val="0"/>
        </w:rPr>
        <w:t xml:space="preserve">carboxylate group functionalized single-walled carbon nanotube (SWCNT-COOH) </w:t>
      </w:r>
      <w:r>
        <w:rPr>
          <w:kern w:val="0"/>
        </w:rPr>
        <w:lastRenderedPageBreak/>
        <w:t>surfaces were studied by atomic absorption spectroscopy. The effect of contact time, pH, initial concentration of ion, ionic strength</w:t>
      </w:r>
      <w:r w:rsidR="00F81221">
        <w:rPr>
          <w:kern w:val="0"/>
        </w:rPr>
        <w:t xml:space="preserve"> and </w:t>
      </w:r>
      <w:r>
        <w:rPr>
          <w:kern w:val="0"/>
        </w:rPr>
        <w:t>temperature on the adsorption of ion was investigated. The results indicated that Langmuir model fits adsorption isotherm data better than the Freundlich model. The results also demonstrated that SWCNT-COOH surfaces can more effectively adsorb mentioned ions than a SWCNT surface. Maximum adsorption capacities (qm) for Pb(II), Cu(II)</w:t>
      </w:r>
      <w:r w:rsidR="00F81221">
        <w:rPr>
          <w:kern w:val="0"/>
        </w:rPr>
        <w:t xml:space="preserve"> and </w:t>
      </w:r>
      <w:r>
        <w:rPr>
          <w:kern w:val="0"/>
        </w:rPr>
        <w:t>Cd(II) ions onto SWCNT-COOH were obtained as 96.02, 77.00</w:t>
      </w:r>
      <w:r w:rsidR="00F81221">
        <w:rPr>
          <w:kern w:val="0"/>
        </w:rPr>
        <w:t xml:space="preserve"> and </w:t>
      </w:r>
      <w:r>
        <w:rPr>
          <w:kern w:val="0"/>
        </w:rPr>
        <w:t>55.89 mg/g, respectively,</w:t>
      </w:r>
      <w:r w:rsidR="00F81221">
        <w:rPr>
          <w:kern w:val="0"/>
        </w:rPr>
        <w:t xml:space="preserve"> and </w:t>
      </w:r>
      <w:r>
        <w:rPr>
          <w:kern w:val="0"/>
        </w:rPr>
        <w:t>by SWCNTs as 33.55, 24.29</w:t>
      </w:r>
      <w:r w:rsidR="00F81221">
        <w:rPr>
          <w:kern w:val="0"/>
        </w:rPr>
        <w:t xml:space="preserve"> and </w:t>
      </w:r>
      <w:r>
        <w:rPr>
          <w:kern w:val="0"/>
        </w:rPr>
        <w:t>24.07 mg/g, respectively. Thermodynamic parameters values showed that the adsorption of ions on SWCNT-COOH</w:t>
      </w:r>
      <w:r w:rsidR="00F81221">
        <w:rPr>
          <w:kern w:val="0"/>
        </w:rPr>
        <w:t xml:space="preserve"> and </w:t>
      </w:r>
      <w:r>
        <w:rPr>
          <w:kern w:val="0"/>
        </w:rPr>
        <w:t>SWCNTs at 283-313 K is spontaneous</w:t>
      </w:r>
      <w:r w:rsidR="00F81221">
        <w:rPr>
          <w:kern w:val="0"/>
        </w:rPr>
        <w:t xml:space="preserve"> and </w:t>
      </w:r>
      <w:r>
        <w:rPr>
          <w:kern w:val="0"/>
        </w:rPr>
        <w:t>endothermic.</w:t>
      </w:r>
    </w:p>
    <w:p w:rsidR="00973481" w:rsidRDefault="00973481" w:rsidP="00973481">
      <w:pPr>
        <w:pStyle w:val="a0"/>
        <w:rPr>
          <w:kern w:val="0"/>
        </w:rPr>
      </w:pPr>
      <w:r>
        <w:rPr>
          <w:kern w:val="0"/>
        </w:rPr>
        <w:t xml:space="preserve">Keywords: Adsorption, Adsorption Isotherm, Cadmium, Copper(II), Equilibrium, Granular Activated Carbon, Heavy Metal Ions, Isotherm, Isotherm Models, Langmuir, Lead, Metal-Ions, Natural Organic-Matter, Pb(II), </w:t>
      </w:r>
      <w:r>
        <w:rPr>
          <w:rFonts w:hint="eastAsia"/>
          <w:kern w:val="0"/>
        </w:rPr>
        <w:t>p</w:t>
      </w:r>
      <w:r>
        <w:rPr>
          <w:kern w:val="0"/>
        </w:rPr>
        <w:t>H, Removal, Single-Walled Carbon Nanotube, Sorption, Thermodynamic, Thermodynamic Functions, Thermodynamics, Walled Carbon Nanotubes, Water</w:t>
      </w:r>
    </w:p>
    <w:p w:rsidR="00B95188" w:rsidRPr="00A428C3" w:rsidRDefault="00B95188" w:rsidP="00B95188">
      <w:pPr>
        <w:pStyle w:val="1"/>
      </w:pPr>
      <w:r w:rsidRPr="00A428C3">
        <w:br w:type="page"/>
      </w:r>
      <w:bookmarkStart w:id="187" w:name="_Toc455569452"/>
      <w:bookmarkStart w:id="188" w:name="_Toc487190675"/>
      <w:bookmarkStart w:id="189" w:name="_Toc487882178"/>
      <w:bookmarkStart w:id="190" w:name="_Toc490687974"/>
      <w:bookmarkStart w:id="191" w:name="_Toc186647696"/>
      <w:bookmarkStart w:id="192" w:name="_Toc317160878"/>
      <w:r w:rsidRPr="00A428C3">
        <w:lastRenderedPageBreak/>
        <w:t>Title: Functional Ecology</w:t>
      </w:r>
      <w:bookmarkEnd w:id="187"/>
      <w:bookmarkEnd w:id="188"/>
      <w:bookmarkEnd w:id="189"/>
      <w:bookmarkEnd w:id="190"/>
      <w:bookmarkEnd w:id="191"/>
      <w:bookmarkEnd w:id="192"/>
    </w:p>
    <w:p w:rsidR="00B95188" w:rsidRPr="00A428C3" w:rsidRDefault="00B95188" w:rsidP="00B72EF9">
      <w:pPr>
        <w:pStyle w:val="12"/>
      </w:pPr>
      <w:r w:rsidRPr="00A428C3">
        <w:t xml:space="preserve">Full Journal Title: </w:t>
      </w:r>
      <w:hyperlink r:id="rId273" w:history="1">
        <w:r w:rsidRPr="00A428C3">
          <w:rPr>
            <w:rStyle w:val="a5"/>
          </w:rPr>
          <w:t>Functional Ecology</w:t>
        </w:r>
      </w:hyperlink>
    </w:p>
    <w:p w:rsidR="00B95188" w:rsidRPr="00A428C3" w:rsidRDefault="00B95188" w:rsidP="00B72EF9">
      <w:pPr>
        <w:pStyle w:val="12"/>
      </w:pPr>
      <w:r w:rsidRPr="00A428C3">
        <w:t>ISO Abbreviated Title: Funct. Ecol.</w:t>
      </w:r>
    </w:p>
    <w:p w:rsidR="00B95188" w:rsidRPr="00A428C3" w:rsidRDefault="00B95188" w:rsidP="00B72EF9">
      <w:pPr>
        <w:pStyle w:val="12"/>
      </w:pPr>
      <w:r w:rsidRPr="00A428C3">
        <w:t>JCR Abbreviated Title: Funct Ecol</w:t>
      </w:r>
    </w:p>
    <w:p w:rsidR="00B95188" w:rsidRPr="00A428C3" w:rsidRDefault="00B95188" w:rsidP="00B72EF9">
      <w:pPr>
        <w:pStyle w:val="12"/>
      </w:pPr>
      <w:r w:rsidRPr="00A428C3">
        <w:t>ISSN: 0269-8463</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Blackwell Science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88</w:t>
        </w:r>
      </w:smartTag>
      <w:r w:rsidRPr="00A428C3">
        <w:t xml:space="preserve">, Osney Mead, </w:t>
      </w:r>
      <w:smartTag w:uri="urn:schemas-microsoft-com:office:smarttags" w:element="City">
        <w:r w:rsidRPr="00A428C3">
          <w:t>Oxford</w:t>
        </w:r>
      </w:smartTag>
      <w:r w:rsidRPr="00A428C3">
        <w:t xml:space="preserve"> OX2 0NE,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Ecology: Impact Factor</w:t>
      </w:r>
    </w:p>
    <w:p w:rsidR="00B95188" w:rsidRPr="00A428C3" w:rsidRDefault="00B95188" w:rsidP="00B95188">
      <w:pPr>
        <w:pStyle w:val="a0"/>
      </w:pPr>
      <w:r w:rsidRPr="00A428C3">
        <w:t>Jones, D.T.</w:t>
      </w:r>
      <w:r w:rsidR="00F81221">
        <w:t xml:space="preserve"> and </w:t>
      </w:r>
      <w:r w:rsidRPr="00A428C3">
        <w:t>Hopkin, S.P. (1996), Reproductive allocation in the terrestrial isopods porcellio scaber</w:t>
      </w:r>
      <w:r w:rsidR="00F81221">
        <w:t xml:space="preserve"> and </w:t>
      </w:r>
      <w:r w:rsidRPr="00A428C3">
        <w:t xml:space="preserve">oniscus asellus in a metal polluted environment. </w:t>
      </w:r>
      <w:r w:rsidRPr="00A428C3">
        <w:rPr>
          <w:i/>
        </w:rPr>
        <w:t>Functional Ecology</w:t>
      </w:r>
      <w:r w:rsidRPr="00A428C3">
        <w:t xml:space="preserve">, </w:t>
      </w:r>
      <w:r w:rsidRPr="00A428C3">
        <w:rPr>
          <w:b/>
        </w:rPr>
        <w:t>10</w:t>
      </w:r>
      <w:r w:rsidRPr="00A428C3">
        <w:t xml:space="preserve"> (6), 741-750.</w:t>
      </w:r>
    </w:p>
    <w:p w:rsidR="00B95188" w:rsidRPr="00A428C3" w:rsidRDefault="00B95188" w:rsidP="00B95188">
      <w:pPr>
        <w:pStyle w:val="a0"/>
      </w:pPr>
      <w:r w:rsidRPr="00A428C3">
        <w:t xml:space="preserve">Full Text: </w:t>
      </w:r>
      <w:hyperlink r:id="rId274" w:history="1">
        <w:r w:rsidRPr="00A428C3">
          <w:rPr>
            <w:rStyle w:val="a5"/>
          </w:rPr>
          <w:t>F\Fun Eco10, 741.pdf</w:t>
        </w:r>
      </w:hyperlink>
    </w:p>
    <w:p w:rsidR="00B95188" w:rsidRPr="00A428C3" w:rsidRDefault="00B95188" w:rsidP="00B95188">
      <w:pPr>
        <w:pStyle w:val="a0"/>
      </w:pPr>
      <w:r w:rsidRPr="00A428C3">
        <w:t>Abstract: Terrestrial isopods (woodlice) exposed to toxic concentrations of metals can suffer early mortality</w:t>
      </w:r>
      <w:r w:rsidR="00F81221">
        <w:t xml:space="preserve"> and </w:t>
      </w:r>
      <w:r w:rsidRPr="00A428C3">
        <w:t>reduced body size, suggesting that the cost of metal detoxification causes trade-offs in resource allocation. This study investigates whether woodlice from populations that persist in sites heavily polluted with metals have a level of reproductive success different from that of woodlice from less polluted sites. Two species of woodlice, Porcellio scaber Latreille</w:t>
      </w:r>
      <w:r w:rsidR="00F81221">
        <w:t xml:space="preserve"> and </w:t>
      </w:r>
      <w:r w:rsidRPr="00A428C3">
        <w:t xml:space="preserve">Oniscus asellus L., were collected from eight sites at different distances from an industrial smelting works at </w:t>
      </w:r>
      <w:smartTag w:uri="urn:schemas-microsoft-com:office:smarttags" w:element="place">
        <w:smartTag w:uri="urn:schemas-microsoft-com:office:smarttags" w:element="City">
          <w:r w:rsidRPr="00A428C3">
            <w:t>Avonmouth</w:t>
          </w:r>
        </w:smartTag>
        <w:r w:rsidRPr="00A428C3">
          <w:t xml:space="preserve">, </w:t>
        </w:r>
        <w:smartTag w:uri="urn:schemas-microsoft-com:office:smarttags" w:element="country-region">
          <w:r w:rsidRPr="00A428C3">
            <w:t>England</w:t>
          </w:r>
        </w:smartTag>
      </w:smartTag>
      <w:r w:rsidRPr="00A428C3">
        <w:t>. The sites represented a continuum of concentrations of Zn, Cd, Pb</w:t>
      </w:r>
      <w:r w:rsidR="00F81221">
        <w:t xml:space="preserve"> and </w:t>
      </w:r>
      <w:r w:rsidRPr="00A428C3">
        <w:t>Cu in the woodlice, from background concentrations to a grossly contaminated site close to the smelter. Gravid females were reared in the laboratory until the release of the brood. For both species there was no significant difference among sites in the number of live offspring per adult mass, the degree of brood-pouch mortality in affected adults, or the reproductive allocation. Significant differences were found among sites in the proportion of adults experiencing some degree of brood-pouch mortality</w:t>
      </w:r>
      <w:r w:rsidR="00F81221">
        <w:t xml:space="preserve"> and </w:t>
      </w:r>
      <w:r w:rsidRPr="00A428C3">
        <w:t>in the mean dry mass of offspring per adult mass. However, these differences could not be attributed to contamination by metals. Females of both species that survive to reproduce in the most polluted sites around the smelter show no evidence of detrimental effects on reproduction. However, high concentrations of Zn at these sites causes early mortality of woodlice</w:t>
      </w:r>
      <w:r w:rsidR="00F81221">
        <w:t xml:space="preserve"> and </w:t>
      </w:r>
      <w:r w:rsidRPr="00A428C3">
        <w:t>therefore reduces the size of the breeding population.</w:t>
      </w:r>
    </w:p>
    <w:p w:rsidR="00B242B5" w:rsidRPr="00A428C3" w:rsidRDefault="00B242B5" w:rsidP="00B242B5">
      <w:pPr>
        <w:pStyle w:val="1"/>
      </w:pPr>
      <w:r w:rsidRPr="00A428C3">
        <w:br w:type="page"/>
      </w:r>
      <w:bookmarkStart w:id="193" w:name="_Toc317160879"/>
      <w:r w:rsidRPr="00A428C3">
        <w:lastRenderedPageBreak/>
        <w:t xml:space="preserve">Title: </w:t>
      </w:r>
      <w:r w:rsidRPr="00B242B5">
        <w:t>Functional Manufacturing Technologies</w:t>
      </w:r>
      <w:r w:rsidR="00F81221">
        <w:t xml:space="preserve"> and </w:t>
      </w:r>
      <w:r w:rsidRPr="00B242B5">
        <w:t>Ceeusro I</w:t>
      </w:r>
      <w:bookmarkEnd w:id="193"/>
    </w:p>
    <w:p w:rsidR="00B242B5" w:rsidRPr="00A428C3" w:rsidRDefault="00B242B5" w:rsidP="00B72EF9">
      <w:pPr>
        <w:pStyle w:val="12"/>
      </w:pPr>
      <w:r w:rsidRPr="00A428C3">
        <w:t xml:space="preserve">Full Journal Title: </w:t>
      </w:r>
      <w:r w:rsidRPr="00B242B5">
        <w:t>Functional Manufacturing Technologies</w:t>
      </w:r>
      <w:r w:rsidR="00F81221">
        <w:t xml:space="preserve"> and </w:t>
      </w:r>
      <w:r w:rsidRPr="00B242B5">
        <w:t>Ceeusro I</w:t>
      </w:r>
    </w:p>
    <w:p w:rsidR="00B242B5" w:rsidRPr="00A428C3" w:rsidRDefault="00B242B5" w:rsidP="00B72EF9">
      <w:pPr>
        <w:pStyle w:val="12"/>
      </w:pPr>
      <w:r w:rsidRPr="00A428C3">
        <w:t xml:space="preserve">ISO Abbreviated Title: </w:t>
      </w:r>
    </w:p>
    <w:p w:rsidR="00B242B5" w:rsidRPr="00A428C3" w:rsidRDefault="00B242B5" w:rsidP="00B72EF9">
      <w:pPr>
        <w:pStyle w:val="12"/>
      </w:pPr>
      <w:r w:rsidRPr="00A428C3">
        <w:t xml:space="preserve">JCR Abbreviated Title: </w:t>
      </w:r>
    </w:p>
    <w:p w:rsidR="00B242B5" w:rsidRPr="00A428C3" w:rsidRDefault="00B242B5" w:rsidP="00B72EF9">
      <w:pPr>
        <w:pStyle w:val="12"/>
      </w:pPr>
      <w:r w:rsidRPr="00A428C3">
        <w:t xml:space="preserve">ISSN: </w:t>
      </w:r>
    </w:p>
    <w:p w:rsidR="00B242B5" w:rsidRPr="00A428C3" w:rsidRDefault="00B242B5" w:rsidP="00B72EF9">
      <w:pPr>
        <w:pStyle w:val="12"/>
      </w:pPr>
      <w:r w:rsidRPr="00A428C3">
        <w:t xml:space="preserve">Issues/Year: </w:t>
      </w:r>
    </w:p>
    <w:p w:rsidR="00B242B5" w:rsidRPr="00A428C3" w:rsidRDefault="00B242B5" w:rsidP="00B72EF9">
      <w:pPr>
        <w:pStyle w:val="12"/>
      </w:pPr>
      <w:r w:rsidRPr="00A428C3">
        <w:t xml:space="preserve">Journal Country/Territory: </w:t>
      </w:r>
    </w:p>
    <w:p w:rsidR="00B242B5" w:rsidRPr="00A428C3" w:rsidRDefault="00B242B5" w:rsidP="00B72EF9">
      <w:pPr>
        <w:pStyle w:val="12"/>
      </w:pPr>
      <w:r w:rsidRPr="00A428C3">
        <w:t xml:space="preserve">Language: </w:t>
      </w:r>
    </w:p>
    <w:p w:rsidR="00B242B5" w:rsidRPr="00A428C3" w:rsidRDefault="00B242B5" w:rsidP="00B72EF9">
      <w:pPr>
        <w:pStyle w:val="12"/>
      </w:pPr>
      <w:r w:rsidRPr="00A428C3">
        <w:t xml:space="preserve">Publisher: </w:t>
      </w:r>
    </w:p>
    <w:p w:rsidR="00B242B5" w:rsidRPr="00A428C3" w:rsidRDefault="00B242B5" w:rsidP="00B72EF9">
      <w:pPr>
        <w:pStyle w:val="12"/>
      </w:pPr>
      <w:r w:rsidRPr="00A428C3">
        <w:t xml:space="preserve">Publisher Address: </w:t>
      </w:r>
    </w:p>
    <w:p w:rsidR="00B242B5" w:rsidRPr="00A428C3" w:rsidRDefault="00B242B5" w:rsidP="00B72EF9">
      <w:pPr>
        <w:pStyle w:val="12"/>
      </w:pPr>
      <w:r w:rsidRPr="00A428C3">
        <w:t xml:space="preserve">Subject Categories: </w:t>
      </w:r>
    </w:p>
    <w:p w:rsidR="00B242B5" w:rsidRPr="00A428C3" w:rsidRDefault="00B242B5" w:rsidP="00B72EF9">
      <w:pPr>
        <w:pStyle w:val="12"/>
      </w:pPr>
      <w:r w:rsidRPr="00A428C3">
        <w:t>: Impact Factor</w:t>
      </w:r>
    </w:p>
    <w:p w:rsidR="00B242B5" w:rsidRDefault="00B242B5" w:rsidP="00B242B5">
      <w:pPr>
        <w:pStyle w:val="a0"/>
        <w:rPr>
          <w:kern w:val="0"/>
        </w:rPr>
      </w:pPr>
      <w:r>
        <w:rPr>
          <w:rFonts w:hint="eastAsia"/>
          <w:kern w:val="0"/>
        </w:rPr>
        <w:t xml:space="preserve">? </w:t>
      </w:r>
      <w:r>
        <w:rPr>
          <w:kern w:val="0"/>
        </w:rPr>
        <w:t>Wang, Z., Zhang, L.S.</w:t>
      </w:r>
      <w:r w:rsidR="00F81221">
        <w:rPr>
          <w:kern w:val="0"/>
        </w:rPr>
        <w:t xml:space="preserve"> and </w:t>
      </w:r>
      <w:r>
        <w:rPr>
          <w:kern w:val="0"/>
        </w:rPr>
        <w:t xml:space="preserve">Jing, Z.Q. (2010), Study the Adsorption of Phenol on Attapulgite-zeolite Nano-structure Adsorbent from Aqueous Solution. </w:t>
      </w:r>
      <w:r>
        <w:rPr>
          <w:i/>
          <w:iCs/>
          <w:kern w:val="0"/>
        </w:rPr>
        <w:t>Functional Manufacturing Technologies</w:t>
      </w:r>
      <w:r w:rsidR="00F81221">
        <w:rPr>
          <w:i/>
          <w:iCs/>
          <w:kern w:val="0"/>
        </w:rPr>
        <w:t xml:space="preserve"> and </w:t>
      </w:r>
      <w:r>
        <w:rPr>
          <w:i/>
          <w:iCs/>
          <w:kern w:val="0"/>
        </w:rPr>
        <w:t>Ceeusro I</w:t>
      </w:r>
      <w:r>
        <w:rPr>
          <w:kern w:val="0"/>
        </w:rPr>
        <w:t xml:space="preserve">, </w:t>
      </w:r>
      <w:r>
        <w:rPr>
          <w:b/>
          <w:bCs/>
          <w:kern w:val="0"/>
        </w:rPr>
        <w:t>426-427</w:t>
      </w:r>
      <w:r>
        <w:rPr>
          <w:kern w:val="0"/>
        </w:rPr>
        <w:t>, 118-121.</w:t>
      </w:r>
    </w:p>
    <w:p w:rsidR="00B242B5" w:rsidRDefault="00B242B5" w:rsidP="00B242B5">
      <w:pPr>
        <w:pStyle w:val="a0"/>
        <w:rPr>
          <w:kern w:val="0"/>
        </w:rPr>
      </w:pPr>
      <w:r>
        <w:rPr>
          <w:kern w:val="0"/>
        </w:rPr>
        <w:t>Abstract: Attapulgite-zeolite composite nano-structure adsorbent was manufactured using natural attapulgite</w:t>
      </w:r>
      <w:r w:rsidR="00F81221">
        <w:rPr>
          <w:kern w:val="0"/>
        </w:rPr>
        <w:t xml:space="preserve"> and </w:t>
      </w:r>
      <w:r>
        <w:rPr>
          <w:kern w:val="0"/>
        </w:rPr>
        <w:t>zeolite. The obtained adsorbent was characterized by scanning electron microscope, energy dispersive X-ray spectrometer</w:t>
      </w:r>
      <w:r w:rsidR="00F81221">
        <w:rPr>
          <w:kern w:val="0"/>
        </w:rPr>
        <w:t xml:space="preserve"> and </w:t>
      </w:r>
      <w:r>
        <w:rPr>
          <w:kern w:val="0"/>
        </w:rPr>
        <w:t>mercury porosimeter. After elementary characterization of this adsorbent, batch tests were carried out to examine its removal mechanism of phenol. The influence of pH, contact time</w:t>
      </w:r>
      <w:r w:rsidR="00F81221">
        <w:rPr>
          <w:kern w:val="0"/>
        </w:rPr>
        <w:t xml:space="preserve"> and </w:t>
      </w:r>
      <w:r>
        <w:rPr>
          <w:kern w:val="0"/>
        </w:rPr>
        <w:t>initial phenol concentration were investigated. The pH variation studies showed that the optimum pH for adsorption of phenol was found to be 7. Adsorption equilibrium attained within 1 h time. The adsorption process followed pseudo-second-order kinetic model. Adsorption isotherm studies showed that Langmuir model fitted the experimental data better than Freundlich model. The attapulgite-zeolite composite nano-structure adsorbent in this study shows very good promise for practical applicability of phenol removal from aqueous solution.</w:t>
      </w:r>
    </w:p>
    <w:p w:rsidR="00B242B5" w:rsidRDefault="00B242B5" w:rsidP="00B242B5">
      <w:pPr>
        <w:pStyle w:val="a0"/>
        <w:rPr>
          <w:kern w:val="0"/>
        </w:rPr>
      </w:pPr>
      <w:r>
        <w:rPr>
          <w:kern w:val="0"/>
        </w:rPr>
        <w:t>Keywords: Adsorbent, Adsorption, Adsorption Isotherm, Attapulgite, Composite Nano-Structure Adsorbent, Equilibrium, Isotherm, Kinetic, Kinetics, Langmuir, Mechanism, Phenol, Sepiolite, Sorption, Zeolite</w:t>
      </w:r>
    </w:p>
    <w:p w:rsidR="00B95188" w:rsidRPr="00A428C3" w:rsidRDefault="00B95188" w:rsidP="00B95188">
      <w:pPr>
        <w:pStyle w:val="1"/>
      </w:pPr>
      <w:r w:rsidRPr="00A428C3">
        <w:br w:type="page"/>
      </w:r>
      <w:bookmarkStart w:id="194" w:name="_Toc186647697"/>
      <w:bookmarkStart w:id="195" w:name="_Toc317160880"/>
      <w:r w:rsidRPr="00A428C3">
        <w:lastRenderedPageBreak/>
        <w:t>Title: Functional Materials</w:t>
      </w:r>
      <w:r w:rsidR="00F81221">
        <w:t xml:space="preserve"> and </w:t>
      </w:r>
      <w:r w:rsidRPr="00A428C3">
        <w:t>Devices Materials Science Forum</w:t>
      </w:r>
      <w:bookmarkEnd w:id="194"/>
      <w:bookmarkEnd w:id="195"/>
    </w:p>
    <w:p w:rsidR="00B95188" w:rsidRPr="00A428C3" w:rsidRDefault="00B95188" w:rsidP="00B72EF9">
      <w:pPr>
        <w:pStyle w:val="12"/>
      </w:pPr>
      <w:r w:rsidRPr="00A428C3">
        <w:t>Full Journal Title: Functional Materials</w:t>
      </w:r>
      <w:r w:rsidR="00F81221">
        <w:t xml:space="preserve"> and </w:t>
      </w:r>
      <w:r w:rsidRPr="00A428C3">
        <w:t>Devices Materials Science Forum</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Hanafiah, M.A.K.M., Shafiei, S., Harun, M.K.</w:t>
      </w:r>
      <w:r w:rsidR="00F81221">
        <w:t xml:space="preserve"> and </w:t>
      </w:r>
      <w:r w:rsidRPr="00A428C3">
        <w:t>Yahya, M.Z.A. (2006), Kinetic</w:t>
      </w:r>
      <w:r w:rsidR="00F81221">
        <w:t xml:space="preserve"> and </w:t>
      </w:r>
      <w:r w:rsidRPr="00A428C3">
        <w:t>thermodynamic study of Cd</w:t>
      </w:r>
      <w:r w:rsidRPr="00A428C3">
        <w:rPr>
          <w:vertAlign w:val="superscript"/>
        </w:rPr>
        <w:t>2+</w:t>
      </w:r>
      <w:r w:rsidRPr="00A428C3">
        <w:t xml:space="preserve"> adsorption onto rubber tree (Hevea Brasiliensis) leaf powder. </w:t>
      </w:r>
      <w:r w:rsidRPr="00A428C3">
        <w:rPr>
          <w:i/>
        </w:rPr>
        <w:t>Functional Materials</w:t>
      </w:r>
      <w:r w:rsidR="00F81221">
        <w:rPr>
          <w:i/>
        </w:rPr>
        <w:t xml:space="preserve"> and </w:t>
      </w:r>
      <w:r w:rsidRPr="00A428C3">
        <w:rPr>
          <w:i/>
        </w:rPr>
        <w:t>Devices Materials Science Forum</w:t>
      </w:r>
      <w:r w:rsidRPr="00A428C3">
        <w:t xml:space="preserve">, </w:t>
      </w:r>
      <w:r w:rsidRPr="00A428C3">
        <w:rPr>
          <w:b/>
        </w:rPr>
        <w:t>517</w:t>
      </w:r>
      <w:r w:rsidRPr="00A428C3">
        <w:t>, 217-221.</w:t>
      </w:r>
    </w:p>
    <w:p w:rsidR="00B95188" w:rsidRPr="00A428C3" w:rsidRDefault="00B95188" w:rsidP="00B95188">
      <w:pPr>
        <w:pStyle w:val="a0"/>
      </w:pPr>
      <w:r w:rsidRPr="00A428C3">
        <w:t>Abstract: A batch adsorption system was applied to study the adsorption of Cd</w:t>
      </w:r>
      <w:r w:rsidRPr="00A428C3">
        <w:rPr>
          <w:vertAlign w:val="superscript"/>
        </w:rPr>
        <w:t>2+</w:t>
      </w:r>
      <w:r w:rsidRPr="00A428C3">
        <w:t xml:space="preserve"> ions from aqueous solution by Hevea Brasiliensis, HB leaf powder. The adsorption capacities</w:t>
      </w:r>
      <w:r w:rsidR="00F81221">
        <w:t xml:space="preserve"> and </w:t>
      </w:r>
      <w:r w:rsidRPr="00A428C3">
        <w:t>rates of Cd</w:t>
      </w:r>
      <w:r w:rsidRPr="00A428C3">
        <w:rPr>
          <w:vertAlign w:val="superscript"/>
        </w:rPr>
        <w:t>2+</w:t>
      </w:r>
      <w:r w:rsidRPr="00A428C3">
        <w:t xml:space="preserve"> ions onto HB leaf powder were evaluated. Langmuir</w:t>
      </w:r>
      <w:r w:rsidR="00F81221">
        <w:t xml:space="preserve"> and </w:t>
      </w:r>
      <w:r w:rsidRPr="00A428C3">
        <w:t>Freundlich models were applied to describe the isotherms</w:t>
      </w:r>
      <w:r w:rsidR="00F81221">
        <w:t xml:space="preserve"> and </w:t>
      </w:r>
      <w:r w:rsidRPr="00A428C3">
        <w:t>isotherms constants. Equilibrium data agreed well with the Freundlich model. The kinetic experimental data correlated well with the pseudo-second-order kinetic model, indicating that the chemical sorption was the rate-limiting step.</w:t>
      </w:r>
    </w:p>
    <w:p w:rsidR="00B95188" w:rsidRPr="00A428C3" w:rsidRDefault="00B95188" w:rsidP="00B95188">
      <w:pPr>
        <w:pStyle w:val="a0"/>
      </w:pPr>
      <w:r w:rsidRPr="00A428C3">
        <w:t>Keywords: Hevea Brasiliensis (HB), Cd</w:t>
      </w:r>
      <w:r w:rsidRPr="00A428C3">
        <w:rPr>
          <w:vertAlign w:val="superscript"/>
        </w:rPr>
        <w:t>2+</w:t>
      </w:r>
      <w:r w:rsidRPr="00A428C3">
        <w:t>, Chemical Sorption, Sorption, Ions</w:t>
      </w:r>
    </w:p>
    <w:p w:rsidR="00982590" w:rsidRPr="001A3D2B" w:rsidRDefault="00982590" w:rsidP="00982590">
      <w:pPr>
        <w:pStyle w:val="1"/>
      </w:pPr>
      <w:r w:rsidRPr="001A3D2B">
        <w:br w:type="page"/>
      </w:r>
      <w:bookmarkStart w:id="196" w:name="_Toc317160881"/>
      <w:r w:rsidRPr="001A3D2B">
        <w:lastRenderedPageBreak/>
        <w:t xml:space="preserve">Title: </w:t>
      </w:r>
      <w:r w:rsidRPr="00437B60">
        <w:rPr>
          <w:iCs/>
          <w:szCs w:val="24"/>
        </w:rPr>
        <w:t>Functions of Language</w:t>
      </w:r>
      <w:bookmarkEnd w:id="196"/>
    </w:p>
    <w:p w:rsidR="00982590" w:rsidRPr="001A3D2B" w:rsidRDefault="00982590" w:rsidP="00982590">
      <w:pPr>
        <w:pStyle w:val="12"/>
      </w:pPr>
      <w:r w:rsidRPr="001A3D2B">
        <w:t xml:space="preserve">Full Journal Title: </w:t>
      </w:r>
      <w:r w:rsidRPr="00437B60">
        <w:rPr>
          <w:iCs/>
        </w:rPr>
        <w:t>Functions of Language</w:t>
      </w:r>
    </w:p>
    <w:p w:rsidR="00982590" w:rsidRPr="001A3D2B" w:rsidRDefault="00982590" w:rsidP="00982590">
      <w:pPr>
        <w:pStyle w:val="12"/>
      </w:pPr>
      <w:r w:rsidRPr="001A3D2B">
        <w:t xml:space="preserve">ISO Abbreviated Title: </w:t>
      </w:r>
    </w:p>
    <w:p w:rsidR="00982590" w:rsidRPr="001A3D2B" w:rsidRDefault="00982590" w:rsidP="00982590">
      <w:pPr>
        <w:pStyle w:val="12"/>
      </w:pPr>
      <w:r w:rsidRPr="001A3D2B">
        <w:t xml:space="preserve">JCR Abbreviated Title: </w:t>
      </w:r>
    </w:p>
    <w:p w:rsidR="00982590" w:rsidRPr="001A3D2B" w:rsidRDefault="00982590" w:rsidP="00982590">
      <w:pPr>
        <w:pStyle w:val="12"/>
      </w:pPr>
      <w:r>
        <w:t xml:space="preserve">ISSN: </w:t>
      </w:r>
    </w:p>
    <w:p w:rsidR="00982590" w:rsidRPr="001A3D2B" w:rsidRDefault="00982590" w:rsidP="00982590">
      <w:pPr>
        <w:pStyle w:val="12"/>
      </w:pPr>
      <w:r w:rsidRPr="001A3D2B">
        <w:t xml:space="preserve">Issues/Year: </w:t>
      </w:r>
    </w:p>
    <w:p w:rsidR="00982590" w:rsidRPr="001A3D2B" w:rsidRDefault="00982590" w:rsidP="00982590">
      <w:pPr>
        <w:pStyle w:val="12"/>
      </w:pPr>
      <w:r w:rsidRPr="001A3D2B">
        <w:t xml:space="preserve">Journal Country/Territory: </w:t>
      </w:r>
    </w:p>
    <w:p w:rsidR="00982590" w:rsidRPr="001A3D2B" w:rsidRDefault="00982590" w:rsidP="00982590">
      <w:pPr>
        <w:pStyle w:val="12"/>
      </w:pPr>
      <w:r w:rsidRPr="001A3D2B">
        <w:t xml:space="preserve">Language: </w:t>
      </w:r>
    </w:p>
    <w:p w:rsidR="00982590" w:rsidRPr="001A3D2B" w:rsidRDefault="00982590" w:rsidP="00982590">
      <w:pPr>
        <w:pStyle w:val="12"/>
      </w:pPr>
      <w:r w:rsidRPr="001A3D2B">
        <w:t xml:space="preserve">Publisher: </w:t>
      </w:r>
    </w:p>
    <w:p w:rsidR="00982590" w:rsidRPr="001A3D2B" w:rsidRDefault="00982590" w:rsidP="00982590">
      <w:pPr>
        <w:pStyle w:val="12"/>
      </w:pPr>
      <w:r w:rsidRPr="001A3D2B">
        <w:t xml:space="preserve">Publisher Address: </w:t>
      </w:r>
    </w:p>
    <w:p w:rsidR="00982590" w:rsidRPr="001A3D2B" w:rsidRDefault="00982590" w:rsidP="00982590">
      <w:pPr>
        <w:pStyle w:val="12"/>
      </w:pPr>
      <w:r w:rsidRPr="001A3D2B">
        <w:t>Subject Categories:</w:t>
      </w:r>
    </w:p>
    <w:p w:rsidR="00982590" w:rsidRPr="001A3D2B" w:rsidRDefault="00982590" w:rsidP="00982590">
      <w:pPr>
        <w:pStyle w:val="12"/>
      </w:pPr>
      <w:r w:rsidRPr="001A3D2B">
        <w:t xml:space="preserve">: Impact Factor </w:t>
      </w:r>
    </w:p>
    <w:p w:rsidR="00982590" w:rsidRDefault="00982590" w:rsidP="00982590">
      <w:pPr>
        <w:pStyle w:val="a0"/>
        <w:rPr>
          <w:kern w:val="0"/>
          <w:szCs w:val="24"/>
        </w:rPr>
      </w:pPr>
      <w:r>
        <w:rPr>
          <w:kern w:val="0"/>
          <w:szCs w:val="24"/>
        </w:rPr>
        <w:t xml:space="preserve">? Lee, S.H. (2010), Attribution in high-and low-graded persuasive essays by tertiary students. </w:t>
      </w:r>
      <w:r w:rsidRPr="00437B60">
        <w:rPr>
          <w:i/>
          <w:iCs/>
          <w:kern w:val="0"/>
          <w:szCs w:val="24"/>
        </w:rPr>
        <w:t>Functions of Language</w:t>
      </w:r>
      <w:r>
        <w:rPr>
          <w:kern w:val="0"/>
          <w:szCs w:val="24"/>
        </w:rPr>
        <w:t xml:space="preserve">, </w:t>
      </w:r>
      <w:r>
        <w:rPr>
          <w:b/>
          <w:bCs/>
          <w:kern w:val="0"/>
          <w:szCs w:val="24"/>
        </w:rPr>
        <w:t>17</w:t>
      </w:r>
      <w:r>
        <w:rPr>
          <w:kern w:val="0"/>
          <w:szCs w:val="24"/>
        </w:rPr>
        <w:t xml:space="preserve"> (2), 181-206.</w:t>
      </w:r>
    </w:p>
    <w:p w:rsidR="00982590" w:rsidRDefault="00982590" w:rsidP="00982590">
      <w:pPr>
        <w:pStyle w:val="a0"/>
        <w:rPr>
          <w:kern w:val="0"/>
          <w:szCs w:val="24"/>
        </w:rPr>
      </w:pPr>
      <w:r>
        <w:rPr>
          <w:kern w:val="0"/>
          <w:szCs w:val="24"/>
        </w:rPr>
        <w:t>Abstract: This paper explores cross-cultural</w:t>
      </w:r>
      <w:r w:rsidR="00F81221">
        <w:rPr>
          <w:kern w:val="0"/>
          <w:szCs w:val="24"/>
        </w:rPr>
        <w:t xml:space="preserve"> and </w:t>
      </w:r>
      <w:r>
        <w:rPr>
          <w:kern w:val="0"/>
          <w:szCs w:val="24"/>
        </w:rPr>
        <w:t>grade-based differences in the use of intertextual resources in persuasive essays written by tertiary students. Expressions of explicit intertextuality are analysed using the model of Attribution, an element of the ENGAGEMENT system formulated within the interpersonal metafunction of Systemic Functional Linguistics. The text analysis, supported by interview results, reveals that while there are some differences in the overall use of Attribution between native English speaking</w:t>
      </w:r>
      <w:r w:rsidR="00F81221">
        <w:rPr>
          <w:kern w:val="0"/>
          <w:szCs w:val="24"/>
        </w:rPr>
        <w:t xml:space="preserve"> and </w:t>
      </w:r>
      <w:r>
        <w:rPr>
          <w:kern w:val="0"/>
          <w:szCs w:val="24"/>
        </w:rPr>
        <w:t>ESL students, the most significant grade-based differences were found in expressions of Attribution</w:t>
      </w:r>
      <w:r w:rsidR="00F81221">
        <w:rPr>
          <w:kern w:val="0"/>
          <w:szCs w:val="24"/>
        </w:rPr>
        <w:t xml:space="preserve"> and </w:t>
      </w:r>
      <w:r>
        <w:rPr>
          <w:kern w:val="0"/>
          <w:szCs w:val="24"/>
        </w:rPr>
        <w:t>in the Attribution patterns adopted in the presentation of intersubjective claims supported by evidence. The differences identified are interpreted in terms of dialogic literacy perspectives. Pedagogical implications are discussed in terms of the contribution of the differences to the success of the essays,</w:t>
      </w:r>
      <w:r w:rsidR="00F81221">
        <w:rPr>
          <w:kern w:val="0"/>
          <w:szCs w:val="24"/>
        </w:rPr>
        <w:t xml:space="preserve"> and </w:t>
      </w:r>
      <w:r>
        <w:rPr>
          <w:kern w:val="0"/>
          <w:szCs w:val="24"/>
        </w:rPr>
        <w:t>the need to support academic literacy.</w:t>
      </w:r>
    </w:p>
    <w:p w:rsidR="00982590" w:rsidRDefault="00982590" w:rsidP="00982590">
      <w:pPr>
        <w:pStyle w:val="a0"/>
        <w:rPr>
          <w:kern w:val="0"/>
          <w:szCs w:val="24"/>
        </w:rPr>
      </w:pPr>
      <w:r>
        <w:rPr>
          <w:kern w:val="0"/>
          <w:szCs w:val="24"/>
        </w:rPr>
        <w:t>Keywords: Academic Literacy, Essays, Literacy, Plagiarism, Students</w:t>
      </w:r>
    </w:p>
    <w:p w:rsidR="00B95188" w:rsidRPr="00A428C3" w:rsidRDefault="00B95188" w:rsidP="00B95188">
      <w:pPr>
        <w:pStyle w:val="1"/>
      </w:pPr>
      <w:r w:rsidRPr="00A428C3">
        <w:br w:type="page"/>
      </w:r>
      <w:bookmarkStart w:id="197" w:name="_Toc487190677"/>
      <w:bookmarkStart w:id="198" w:name="_Toc487882180"/>
      <w:bookmarkStart w:id="199" w:name="_Toc490687976"/>
      <w:bookmarkStart w:id="200" w:name="_Toc186647698"/>
      <w:bookmarkStart w:id="201" w:name="_Toc317160882"/>
      <w:r w:rsidRPr="00A428C3">
        <w:lastRenderedPageBreak/>
        <w:t>Title: Fundamental</w:t>
      </w:r>
      <w:r w:rsidR="00F81221">
        <w:t xml:space="preserve"> and </w:t>
      </w:r>
      <w:r w:rsidRPr="00A428C3">
        <w:t>Applied Biohydeometallurgy</w:t>
      </w:r>
      <w:bookmarkEnd w:id="197"/>
      <w:bookmarkEnd w:id="198"/>
      <w:bookmarkEnd w:id="199"/>
      <w:bookmarkEnd w:id="200"/>
      <w:bookmarkEnd w:id="201"/>
    </w:p>
    <w:p w:rsidR="00B95188" w:rsidRPr="00A428C3" w:rsidRDefault="00B95188" w:rsidP="00B95188">
      <w:pPr>
        <w:pStyle w:val="a0"/>
      </w:pPr>
      <w:r w:rsidRPr="00A428C3">
        <w:t xml:space="preserve">Elsevier, </w:t>
      </w:r>
      <w:smartTag w:uri="urn:schemas-microsoft-com:office:smarttags" w:element="place">
        <w:smartTag w:uri="urn:schemas-microsoft-com:office:smarttags" w:element="City">
          <w:r w:rsidRPr="00A428C3">
            <w:t>Amsterdam</w:t>
          </w:r>
        </w:smartTag>
      </w:smartTag>
    </w:p>
    <w:p w:rsidR="00B95188" w:rsidRPr="00A428C3" w:rsidRDefault="00B95188" w:rsidP="00B95188">
      <w:pPr>
        <w:pStyle w:val="a0"/>
      </w:pPr>
      <w:r w:rsidRPr="00A428C3">
        <w:t>? Townsley, C.C., Ross, I.S.</w:t>
      </w:r>
      <w:r w:rsidR="00F81221">
        <w:t xml:space="preserve"> and </w:t>
      </w:r>
      <w:r w:rsidRPr="00A428C3">
        <w:t xml:space="preserve">Atkins, A.S. (1986), Biorecovery of metallic residues from various industrial effluents using filamentous fungi. in </w:t>
      </w:r>
      <w:r w:rsidRPr="00A428C3">
        <w:rPr>
          <w:i/>
        </w:rPr>
        <w:t>Fundamental</w:t>
      </w:r>
      <w:r w:rsidR="00F81221">
        <w:rPr>
          <w:i/>
        </w:rPr>
        <w:t xml:space="preserve"> and </w:t>
      </w:r>
      <w:r w:rsidRPr="00A428C3">
        <w:rPr>
          <w:i/>
        </w:rPr>
        <w:t>Applied Biohydeometallurgy</w:t>
      </w:r>
      <w:r w:rsidRPr="00A428C3">
        <w:t xml:space="preserve">, (Edited by </w:t>
      </w:r>
      <w:smartTag w:uri="urn:schemas-microsoft-com:office:smarttags" w:element="City">
        <w:r w:rsidRPr="00A428C3">
          <w:t>Lawrence</w:t>
        </w:r>
      </w:smartTag>
      <w:r w:rsidRPr="00A428C3">
        <w:t>, R.W., Branion, R.M.R.</w:t>
      </w:r>
      <w:r w:rsidR="00F81221">
        <w:t xml:space="preserve"> and </w:t>
      </w:r>
      <w:r w:rsidRPr="00A428C3">
        <w:t xml:space="preserve">Ebner, H.G.), Elsevier, </w:t>
      </w:r>
      <w:smartTag w:uri="urn:schemas-microsoft-com:office:smarttags" w:element="place">
        <w:smartTag w:uri="urn:schemas-microsoft-com:office:smarttags" w:element="City">
          <w:r w:rsidRPr="00A428C3">
            <w:t>Amsterdam</w:t>
          </w:r>
        </w:smartTag>
      </w:smartTag>
      <w:r w:rsidRPr="00A428C3">
        <w:t>, 279.</w:t>
      </w:r>
    </w:p>
    <w:p w:rsidR="00B95188" w:rsidRPr="00A428C3" w:rsidRDefault="00B95188" w:rsidP="00B95188">
      <w:pPr>
        <w:pStyle w:val="1"/>
      </w:pPr>
      <w:r w:rsidRPr="00A428C3">
        <w:br w:type="page"/>
      </w:r>
      <w:bookmarkStart w:id="202" w:name="_Toc489709732"/>
      <w:bookmarkStart w:id="203" w:name="_Toc490687977"/>
      <w:bookmarkStart w:id="204" w:name="_Toc186647699"/>
      <w:bookmarkStart w:id="205" w:name="_Toc317160883"/>
      <w:r w:rsidRPr="00A428C3">
        <w:lastRenderedPageBreak/>
        <w:t xml:space="preserve">Title: </w:t>
      </w:r>
      <w:bookmarkEnd w:id="202"/>
      <w:bookmarkEnd w:id="203"/>
      <w:r w:rsidRPr="00A428C3">
        <w:t>Fundamental</w:t>
      </w:r>
      <w:r w:rsidR="00F81221">
        <w:t xml:space="preserve"> and </w:t>
      </w:r>
      <w:r w:rsidRPr="00A428C3">
        <w:t>Applied Toxicology</w:t>
      </w:r>
      <w:bookmarkEnd w:id="204"/>
      <w:bookmarkEnd w:id="205"/>
    </w:p>
    <w:p w:rsidR="00B95188" w:rsidRPr="00A428C3" w:rsidRDefault="00B95188" w:rsidP="00B72EF9">
      <w:pPr>
        <w:pStyle w:val="12"/>
      </w:pPr>
      <w:r w:rsidRPr="00A428C3">
        <w:t>Title: Fundamental</w:t>
      </w:r>
      <w:r w:rsidR="00F81221">
        <w:t xml:space="preserve"> and </w:t>
      </w:r>
      <w:r w:rsidRPr="00A428C3">
        <w:t xml:space="preserve">Applied Toxicology: Official Journal of the Society of Toxicology </w:t>
      </w:r>
    </w:p>
    <w:p w:rsidR="00B95188" w:rsidRPr="00A428C3" w:rsidRDefault="00B95188" w:rsidP="00B72EF9">
      <w:pPr>
        <w:pStyle w:val="12"/>
      </w:pPr>
      <w:r w:rsidRPr="00A428C3">
        <w:t xml:space="preserve">Full Journal Title: </w:t>
      </w:r>
      <w:hyperlink r:id="rId275" w:history="1">
        <w:r w:rsidRPr="00A428C3">
          <w:rPr>
            <w:rStyle w:val="a5"/>
          </w:rPr>
          <w:t>Fundamental</w:t>
        </w:r>
        <w:r w:rsidR="00F81221">
          <w:rPr>
            <w:rStyle w:val="a5"/>
          </w:rPr>
          <w:t xml:space="preserve"> and </w:t>
        </w:r>
        <w:r w:rsidRPr="00A428C3">
          <w:rPr>
            <w:rStyle w:val="a5"/>
          </w:rPr>
          <w:t>Applied Toxicology</w:t>
        </w:r>
      </w:hyperlink>
    </w:p>
    <w:p w:rsidR="00B95188" w:rsidRPr="00A428C3" w:rsidRDefault="00B95188" w:rsidP="00B72EF9">
      <w:pPr>
        <w:pStyle w:val="12"/>
      </w:pPr>
      <w:r w:rsidRPr="00A428C3">
        <w:t>ISO Abbreviated Title: Fundam. Appl. Toxicol.</w:t>
      </w:r>
    </w:p>
    <w:p w:rsidR="00B95188" w:rsidRPr="00A428C3" w:rsidRDefault="00B95188" w:rsidP="00B72EF9">
      <w:pPr>
        <w:pStyle w:val="12"/>
      </w:pPr>
      <w:r w:rsidRPr="00A428C3">
        <w:t>JCR Abbreviated Title: Fund Appl Toxicol</w:t>
      </w:r>
    </w:p>
    <w:p w:rsidR="00B95188" w:rsidRPr="00A428C3" w:rsidRDefault="00B95188" w:rsidP="00B72EF9">
      <w:pPr>
        <w:pStyle w:val="12"/>
      </w:pPr>
      <w:r w:rsidRPr="00A428C3">
        <w:t>ISSN: 0272-0590</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Academic Press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525 B St, Ste 1900</w:t>
          </w:r>
        </w:smartTag>
        <w:r w:rsidRPr="00A428C3">
          <w:t xml:space="preserve">, </w:t>
        </w:r>
        <w:smartTag w:uri="urn:schemas-microsoft-com:office:smarttags" w:element="City">
          <w:r w:rsidRPr="00A428C3">
            <w:t>San Diego</w:t>
          </w:r>
        </w:smartTag>
        <w:r w:rsidRPr="00A428C3">
          <w:t xml:space="preserve">, </w:t>
        </w:r>
        <w:smartTag w:uri="urn:schemas-microsoft-com:office:smarttags" w:element="State">
          <w:r w:rsidRPr="00A428C3">
            <w:t>CA</w:t>
          </w:r>
        </w:smartTag>
        <w:r w:rsidRPr="00A428C3">
          <w:t xml:space="preserve"> </w:t>
        </w:r>
        <w:smartTag w:uri="urn:schemas-microsoft-com:office:smarttags" w:element="PostalCode">
          <w:r w:rsidRPr="00A428C3">
            <w:t>92101-4495</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Toxicology: Impact Factor </w:t>
      </w:r>
    </w:p>
    <w:p w:rsidR="00B95188" w:rsidRPr="00A428C3" w:rsidRDefault="00B95188" w:rsidP="00B95188">
      <w:pPr>
        <w:pStyle w:val="a0"/>
      </w:pPr>
      <w:r w:rsidRPr="00A428C3">
        <w:t>Pennanen, S., Tuovinen, K., Huuskonen, H.</w:t>
      </w:r>
      <w:r w:rsidR="00F81221">
        <w:t xml:space="preserve"> and </w:t>
      </w:r>
      <w:r w:rsidRPr="00A428C3">
        <w:t xml:space="preserve">Komulainen, H. (1992), The developmental toxicity of 2-ethylhexanoic acid in Wistar rats. </w:t>
      </w:r>
      <w:r w:rsidRPr="00A428C3">
        <w:rPr>
          <w:i/>
        </w:rPr>
        <w:t>Fundamental</w:t>
      </w:r>
      <w:r w:rsidR="00F81221">
        <w:rPr>
          <w:i/>
        </w:rPr>
        <w:t xml:space="preserve"> and </w:t>
      </w:r>
      <w:r w:rsidRPr="00A428C3">
        <w:rPr>
          <w:i/>
        </w:rPr>
        <w:t>Applied Toxicology</w:t>
      </w:r>
      <w:r w:rsidRPr="00A428C3">
        <w:t xml:space="preserve">, </w:t>
      </w:r>
      <w:r w:rsidRPr="00A428C3">
        <w:rPr>
          <w:b/>
        </w:rPr>
        <w:t>19</w:t>
      </w:r>
      <w:r w:rsidRPr="00A428C3">
        <w:t xml:space="preserve"> (4), 505-511.</w:t>
      </w:r>
    </w:p>
    <w:p w:rsidR="00B95188" w:rsidRPr="00A428C3" w:rsidRDefault="00B95188" w:rsidP="00B95188">
      <w:pPr>
        <w:pStyle w:val="a0"/>
      </w:pPr>
      <w:r w:rsidRPr="00A428C3">
        <w:t xml:space="preserve">Full Text: </w:t>
      </w:r>
      <w:hyperlink r:id="rId276" w:history="1">
        <w:r w:rsidRPr="00A428C3">
          <w:rPr>
            <w:rStyle w:val="a5"/>
          </w:rPr>
          <w:t>F\Fun App Tox19, 505.pdf</w:t>
        </w:r>
      </w:hyperlink>
    </w:p>
    <w:p w:rsidR="00B95188" w:rsidRPr="00A428C3" w:rsidRDefault="00B95188" w:rsidP="00B95188">
      <w:pPr>
        <w:pStyle w:val="a0"/>
      </w:pPr>
      <w:r w:rsidRPr="00A428C3">
        <w:t>Abstract: The developmental toxicity of 2-ethylhexanoic acid (2-EHA), a wood preservative</w:t>
      </w:r>
      <w:r w:rsidR="00F81221">
        <w:t xml:space="preserve"> and </w:t>
      </w:r>
      <w:r w:rsidRPr="00A428C3">
        <w:t>a mammalian metabolite of di-(2-ethylhexyl) phthalate was examined in Wistar rats (20-21 pregnant females/dose). Mated animals were exposed to 2-EHA in their drinking water at doses of 100, 300, or 600 mg/kg/day on Days 6-19 of gestation. Control animals received vehicle water. The fetuses were examined (on Gestational Day 20) for external, visceral,</w:t>
      </w:r>
      <w:r w:rsidR="00F81221">
        <w:t xml:space="preserve"> and </w:t>
      </w:r>
      <w:r w:rsidRPr="00A428C3">
        <w:t>skeletal malformations</w:t>
      </w:r>
      <w:r w:rsidR="00F81221">
        <w:t xml:space="preserve"> and </w:t>
      </w:r>
      <w:r w:rsidRPr="00A428C3">
        <w:t>variations. 2-EHA was marginally toxic to the dams at 600 mg/kg, but not at lower doses, since the mean near term body weight was reduced by 11%. This dose level was also slightly fetotoxic as indicated by a 5 to 8% decrease in the mean fetal body weight both in males</w:t>
      </w:r>
      <w:r w:rsidR="00F81221">
        <w:t xml:space="preserve"> and </w:t>
      </w:r>
      <w:r w:rsidRPr="00A428C3">
        <w:t>females. No treatment-related effects were observed in the number of implantations or live fetuses. At doses of 100 mg/kg</w:t>
      </w:r>
      <w:r w:rsidR="00F81221">
        <w:t xml:space="preserve"> and </w:t>
      </w:r>
      <w:r w:rsidRPr="00A428C3">
        <w:t>above, 2-EHA caused skeletal malformations (clubfoot, absence of fibula, polydactyly), while the development of visceral tissues was less affected. The number of affected fetuses increased in a dose-dependent way (4.9, 8.9,</w:t>
      </w:r>
      <w:r w:rsidR="00F81221">
        <w:t xml:space="preserve"> and </w:t>
      </w:r>
      <w:r w:rsidRPr="00A428C3">
        <w:t>15.3% of treated offspring at 100, 300,</w:t>
      </w:r>
      <w:r w:rsidR="00F81221">
        <w:t xml:space="preserve"> and </w:t>
      </w:r>
      <w:r w:rsidRPr="00A428C3">
        <w:t>600 mg/kg/day, respectively, vs 2.4% control). These results indicate that 2-EHA is teratogenic in rats already at doses which are not yet maternally toxic. The skeleton appears to be the main target of 2-EHA in developing rats.</w:t>
      </w:r>
    </w:p>
    <w:p w:rsidR="00B95188" w:rsidRPr="00A428C3" w:rsidRDefault="00B95188" w:rsidP="00B95188">
      <w:pPr>
        <w:pStyle w:val="a0"/>
      </w:pPr>
      <w:r w:rsidRPr="00A428C3">
        <w:t xml:space="preserve">Keywords: Valproic Acid, Species-Differences, Weak Acids, Mice, </w:t>
      </w:r>
      <w:r w:rsidRPr="00A428C3">
        <w:lastRenderedPageBreak/>
        <w:t>Di-(2-ethylhexyl)Phthalate, Pharmacokinetics, Teratogenicity, Phthalate, Metabolism, Esters</w:t>
      </w:r>
    </w:p>
    <w:p w:rsidR="00B95188" w:rsidRPr="00A428C3" w:rsidRDefault="00B95188" w:rsidP="00B95188">
      <w:pPr>
        <w:pStyle w:val="a0"/>
      </w:pPr>
      <w:r w:rsidRPr="00A428C3">
        <w:t>Houben, G.F., Penninks, A.H., Seinen, W., Vos, J.G.</w:t>
      </w:r>
      <w:r w:rsidR="00F81221">
        <w:t xml:space="preserve"> and </w:t>
      </w:r>
      <w:r w:rsidRPr="00A428C3">
        <w:t xml:space="preserve">van Loveren, H. (1993), Immunotoxic effects of the color additive caramel color III: Immune function studies in rats. </w:t>
      </w:r>
      <w:r w:rsidRPr="00A428C3">
        <w:rPr>
          <w:i/>
        </w:rPr>
        <w:t>Fundamental</w:t>
      </w:r>
      <w:r w:rsidR="00F81221">
        <w:rPr>
          <w:i/>
        </w:rPr>
        <w:t xml:space="preserve"> and </w:t>
      </w:r>
      <w:r w:rsidRPr="00A428C3">
        <w:rPr>
          <w:i/>
        </w:rPr>
        <w:t>Applied Toxicology</w:t>
      </w:r>
      <w:r w:rsidRPr="00A428C3">
        <w:t xml:space="preserve">, </w:t>
      </w:r>
      <w:r w:rsidRPr="00A428C3">
        <w:rPr>
          <w:b/>
        </w:rPr>
        <w:t>20</w:t>
      </w:r>
      <w:r w:rsidRPr="00A428C3">
        <w:t xml:space="preserve"> (1), 30-37.</w:t>
      </w:r>
    </w:p>
    <w:p w:rsidR="00B95188" w:rsidRPr="00A428C3" w:rsidRDefault="00B95188" w:rsidP="00B95188">
      <w:pPr>
        <w:pStyle w:val="a0"/>
      </w:pPr>
      <w:r w:rsidRPr="00A428C3">
        <w:t xml:space="preserve">Full Text: </w:t>
      </w:r>
      <w:hyperlink r:id="rId277" w:history="1">
        <w:r w:rsidRPr="00A428C3">
          <w:rPr>
            <w:rStyle w:val="a5"/>
          </w:rPr>
          <w:t>F\Fun App Tox20, 30.pdf</w:t>
        </w:r>
      </w:hyperlink>
    </w:p>
    <w:p w:rsidR="00B95188" w:rsidRPr="00A428C3" w:rsidRDefault="00B95188" w:rsidP="00B95188">
      <w:pPr>
        <w:pStyle w:val="a0"/>
      </w:pPr>
      <w:r w:rsidRPr="00A428C3">
        <w:t>Abstract: Administration of the color additive caramel color III (AC) may cause a reduction in total white blood cell counts in rats due to reduced lymphocyte counts. Beside lymphopenia, several other effects in rat have been described. The effects are caused by the imidazole derivative 2-acetyl-4 (5)-(1),2,3, 4-tetrahydroxybutyl)imidazole (THI)</w:t>
      </w:r>
      <w:r w:rsidR="00F81221">
        <w:t xml:space="preserve"> and </w:t>
      </w:r>
      <w:r w:rsidRPr="00A428C3">
        <w:t>occur in rats fed a diet low in vitamin B6. In the present paper, immune function studies on AC</w:t>
      </w:r>
      <w:r w:rsidR="00F81221">
        <w:t xml:space="preserve"> and </w:t>
      </w:r>
      <w:r w:rsidRPr="00A428C3">
        <w:t>THI with rats fed a diet low, but not deficient in vitamin B6 are presented</w:t>
      </w:r>
      <w:r w:rsidR="00F81221">
        <w:t xml:space="preserve"> and </w:t>
      </w:r>
      <w:r w:rsidRPr="00A428C3">
        <w:t>discussed. Rats were exposed to 0.4 or 4% AC or to 5.72 ppm THI in drinking water during</w:t>
      </w:r>
      <w:r w:rsidR="00F81221">
        <w:t xml:space="preserve"> and </w:t>
      </w:r>
      <w:r w:rsidRPr="00A428C3">
        <w:t>for 28 days prior to the start of immune function assays. Resistance to Trichinella spiralis was examined in an oral infection model</w:t>
      </w:r>
      <w:r w:rsidR="00F81221">
        <w:t xml:space="preserve"> and </w:t>
      </w:r>
      <w:r w:rsidRPr="00A428C3">
        <w:t xml:space="preserve">clearance of </w:t>
      </w:r>
      <w:r w:rsidRPr="00A428C3">
        <w:rPr>
          <w:i/>
        </w:rPr>
        <w:t xml:space="preserve">Listeria </w:t>
      </w:r>
      <w:r w:rsidRPr="00A428C3">
        <w:t>monocytogenes upon an intravenous infection was studied. In addition, natural cell-mediated cytotoxicity of splenic</w:t>
      </w:r>
      <w:r w:rsidR="00F81221">
        <w:t xml:space="preserve"> and </w:t>
      </w:r>
      <w:r w:rsidRPr="00A428C3">
        <w:t>nonadherent peritoneal cells</w:t>
      </w:r>
      <w:r w:rsidR="00F81221">
        <w:t xml:space="preserve"> and </w:t>
      </w:r>
      <w:r w:rsidRPr="00A428C3">
        <w:t>the antibody response to sheep red blood cells were studied. From the results it is concluded that exposure of rats to AC or THI influenced various immune function parameters. Thymus-dependent immunity was suppressed, while parameters of the nonspecific resistance were also affected, as shown by a decreased natural cell-mediated cytotoxicity in the spleen</w:t>
      </w:r>
      <w:r w:rsidR="00F81221">
        <w:t xml:space="preserve"> and </w:t>
      </w:r>
      <w:r w:rsidRPr="00A428C3">
        <w:t>an enhanced clearance of L. monocytogenes.</w:t>
      </w:r>
    </w:p>
    <w:p w:rsidR="00B95188" w:rsidRPr="00A428C3" w:rsidRDefault="00B95188" w:rsidP="00B95188">
      <w:pPr>
        <w:pStyle w:val="a0"/>
      </w:pPr>
      <w:r w:rsidRPr="00A428C3">
        <w:t>Pennanen, S., Tuovinen, K., Huuskonen, H., Kosma, V.M.</w:t>
      </w:r>
      <w:r w:rsidR="00F81221">
        <w:t xml:space="preserve"> and </w:t>
      </w:r>
      <w:r w:rsidRPr="00A428C3">
        <w:t>Komulainen, H. (1993), Effects of 2-ethylhexanoic acid on reproduction</w:t>
      </w:r>
      <w:r w:rsidR="00F81221">
        <w:t xml:space="preserve"> and </w:t>
      </w:r>
      <w:r w:rsidRPr="00A428C3">
        <w:t xml:space="preserve">postnatal development in Wistar rats. </w:t>
      </w:r>
      <w:r w:rsidRPr="00A428C3">
        <w:rPr>
          <w:i/>
        </w:rPr>
        <w:t>Fundamental</w:t>
      </w:r>
      <w:r w:rsidR="00F81221">
        <w:rPr>
          <w:i/>
        </w:rPr>
        <w:t xml:space="preserve"> and </w:t>
      </w:r>
      <w:r w:rsidRPr="00A428C3">
        <w:rPr>
          <w:i/>
        </w:rPr>
        <w:t>Applied Toxicology</w:t>
      </w:r>
      <w:r w:rsidRPr="00A428C3">
        <w:t xml:space="preserve">, </w:t>
      </w:r>
      <w:r w:rsidRPr="00A428C3">
        <w:rPr>
          <w:b/>
        </w:rPr>
        <w:t>21</w:t>
      </w:r>
      <w:r w:rsidRPr="00A428C3">
        <w:t xml:space="preserve"> (2), 204-212.</w:t>
      </w:r>
    </w:p>
    <w:p w:rsidR="00B95188" w:rsidRPr="00A428C3" w:rsidRDefault="00B95188" w:rsidP="00B95188">
      <w:pPr>
        <w:pStyle w:val="a0"/>
      </w:pPr>
      <w:r w:rsidRPr="00A428C3">
        <w:t xml:space="preserve">Full Text: </w:t>
      </w:r>
      <w:hyperlink r:id="rId278" w:history="1">
        <w:r w:rsidRPr="00A428C3">
          <w:rPr>
            <w:rStyle w:val="a5"/>
          </w:rPr>
          <w:t>F\Fun App Tox21, 104.pdf</w:t>
        </w:r>
      </w:hyperlink>
    </w:p>
    <w:p w:rsidR="00B95188" w:rsidRPr="00A428C3" w:rsidRDefault="00B95188" w:rsidP="00B95188">
      <w:pPr>
        <w:pStyle w:val="a0"/>
      </w:pPr>
      <w:r w:rsidRPr="00A428C3">
        <w:t>Abstract: Reproductive toxicity of 2-ethylhexanoic acid (2-EHA) was studied in Wistar rats. The animals (24 animals per sex per group) were given 2-EHA as a sodium salt in drinking water at daily doses of 100, 300, or 600 mg/kg. Control animals received plain water. Male rats were exposed to 2-EHA for 10 weeks</w:t>
      </w:r>
      <w:r w:rsidR="00F81221">
        <w:t xml:space="preserve"> and </w:t>
      </w:r>
      <w:r w:rsidRPr="00A428C3">
        <w:t>females for 2 weeks prior to mating, both sexes during the mating period</w:t>
      </w:r>
      <w:r w:rsidR="00F81221">
        <w:t xml:space="preserve"> and </w:t>
      </w:r>
      <w:r w:rsidRPr="00A428C3">
        <w:t>females during the entire gestation</w:t>
      </w:r>
      <w:r w:rsidR="00F81221">
        <w:t xml:space="preserve"> and </w:t>
      </w:r>
      <w:r w:rsidRPr="00A428C3">
        <w:t>lactation period. 2-EHA caused a slight but dose-dependent decrease in fertility; time to mating increased at 300</w:t>
      </w:r>
      <w:r w:rsidR="00F81221">
        <w:t xml:space="preserve"> and </w:t>
      </w:r>
      <w:r w:rsidRPr="00A428C3">
        <w:t>600 mg/kg</w:t>
      </w:r>
      <w:r w:rsidR="00F81221">
        <w:t xml:space="preserve"> and </w:t>
      </w:r>
      <w:r w:rsidRPr="00A428C3">
        <w:t>even total infertility ensued. 2-EHA slightly decreased sperm quality in males. The spermatozoa were significantly less motile at 100</w:t>
      </w:r>
      <w:r w:rsidR="00F81221">
        <w:t xml:space="preserve"> and </w:t>
      </w:r>
      <w:r w:rsidRPr="00A428C3">
        <w:t>600 mg/kg</w:t>
      </w:r>
      <w:r w:rsidR="00F81221">
        <w:t xml:space="preserve"> and </w:t>
      </w:r>
      <w:r w:rsidRPr="00A428C3">
        <w:t xml:space="preserve">abnormal sperm occurred more frequently at the two highest dose levels. The average litter size was reduced by 16% in the dose group receiving 600 mg/kg. The birth weights of the pups were unaffected but the body weight gain was transiently slower during lactation at 600 </w:t>
      </w:r>
      <w:r w:rsidRPr="00A428C3">
        <w:lastRenderedPageBreak/>
        <w:t>mg/kg. Several pups appeared abnormal (kinky tail, lethargic, slightly paralyzed legs)</w:t>
      </w:r>
      <w:r w:rsidR="00F81221">
        <w:t xml:space="preserve"> and </w:t>
      </w:r>
      <w:r w:rsidRPr="00A428C3">
        <w:t>the physical development assessed by several landmarks (opening of eyes, eruption of teeth, hair growth)</w:t>
      </w:r>
      <w:r w:rsidR="00F81221">
        <w:t xml:space="preserve"> and </w:t>
      </w:r>
      <w:r w:rsidRPr="00A428C3">
        <w:t>reflexes (grip reflex, cliff avoidance) was delayed at 300</w:t>
      </w:r>
      <w:r w:rsidR="00F81221">
        <w:t xml:space="preserve"> and </w:t>
      </w:r>
      <w:r w:rsidRPr="00A428C3">
        <w:t>600 mg/kg. In another experiment, a single dose of 600 mg/kg 2-EHA was given to pregnant females by gavage on Gestational Day 4, 5, 6, or 7</w:t>
      </w:r>
      <w:r w:rsidR="00F81221">
        <w:t xml:space="preserve"> and </w:t>
      </w:r>
      <w:r w:rsidRPr="00A428C3">
        <w:t>the number of implantations were counted on Gestational Day 10. Administration on Day 6 decreased the number of implantations</w:t>
      </w:r>
      <w:r w:rsidR="00F81221">
        <w:t xml:space="preserve"> and </w:t>
      </w:r>
      <w:r w:rsidRPr="00A428C3">
        <w:t>caused resorptions. (ABSTRACT TRUNCATED AT 250 WORDS)</w:t>
      </w:r>
    </w:p>
    <w:p w:rsidR="00B95188" w:rsidRPr="00A428C3" w:rsidRDefault="00B95188" w:rsidP="00B95188">
      <w:pPr>
        <w:pStyle w:val="a0"/>
      </w:pPr>
      <w:r w:rsidRPr="00A428C3">
        <w:t>Bull, R.J., Birnbaum, L.S., Cantor, K.P., Rose, J.B., Butterworth, B.E., Pegram, R.</w:t>
      </w:r>
      <w:r w:rsidR="00F81221">
        <w:t xml:space="preserve"> and </w:t>
      </w:r>
      <w:r w:rsidRPr="00A428C3">
        <w:t xml:space="preserve">Tuomisto, J. (1995), Water chlorination: Essential process or cancer hazard? </w:t>
      </w:r>
      <w:r w:rsidRPr="00A428C3">
        <w:rPr>
          <w:i/>
        </w:rPr>
        <w:t>Fundamental</w:t>
      </w:r>
      <w:r w:rsidR="00F81221">
        <w:rPr>
          <w:i/>
        </w:rPr>
        <w:t xml:space="preserve"> and </w:t>
      </w:r>
      <w:r w:rsidRPr="00A428C3">
        <w:rPr>
          <w:i/>
        </w:rPr>
        <w:t>Applied Toxicology</w:t>
      </w:r>
      <w:r w:rsidRPr="00A428C3">
        <w:t xml:space="preserve">, </w:t>
      </w:r>
      <w:r w:rsidRPr="00A428C3">
        <w:rPr>
          <w:b/>
        </w:rPr>
        <w:t>28</w:t>
      </w:r>
      <w:r w:rsidRPr="00A428C3">
        <w:t xml:space="preserve"> (2), 155-166.</w:t>
      </w:r>
    </w:p>
    <w:p w:rsidR="00B95188" w:rsidRPr="00A428C3" w:rsidRDefault="00B95188" w:rsidP="00B95188">
      <w:pPr>
        <w:pStyle w:val="a0"/>
      </w:pPr>
      <w:r w:rsidRPr="00A428C3">
        <w:t xml:space="preserve">Full Text: </w:t>
      </w:r>
      <w:hyperlink r:id="rId279" w:history="1">
        <w:r w:rsidRPr="00A428C3">
          <w:rPr>
            <w:rStyle w:val="a5"/>
          </w:rPr>
          <w:t>F\Fun App Tox28, 155.pdf</w:t>
        </w:r>
      </w:hyperlink>
    </w:p>
    <w:p w:rsidR="00B95188" w:rsidRPr="00A428C3" w:rsidRDefault="00B95188" w:rsidP="00B95188">
      <w:pPr>
        <w:pStyle w:val="a0"/>
      </w:pPr>
      <w:r w:rsidRPr="00A428C3">
        <w:t>Abstract: Chlorine has been successfully used for the control of waterborne infectious disease for nearly a century. In the 1970s it was found that chlorine reacted with natural organic matter present in surface waters to produce disinfection by-products (DBP). Concern focused initially on the trihalomethanes (THM), but a wide variety of DBPs are now known to result from chlorination. Chlorination of drinking water has been one of the most effective public health measures ever undertaken. There are a number of alternatives to chlorination that are in active use in many parts of the world, but the risks associated with their by-products are even less well established than for chlorination. Moreover, the use of these alternatives vary in their effectiveness</w:t>
      </w:r>
      <w:r w:rsidR="00F81221">
        <w:t xml:space="preserve"> and </w:t>
      </w:r>
      <w:r w:rsidRPr="00A428C3">
        <w:t>some require greater sophistication in their application. This can mean less protection to public health as a result of inappropriate application</w:t>
      </w:r>
      <w:r w:rsidR="00F81221">
        <w:t xml:space="preserve"> and </w:t>
      </w:r>
      <w:r w:rsidRPr="00A428C3">
        <w:t>control. Therefore, hazards associated with the use of such a clearly beneficial process as chlorination must be carefully considered not only in an absolute sense, but also in the context of alternative approaches for producing a safe drinking water. The key question is whether the hazards associated with by-products have been sufficiently well established to warrant regulations that will undoubtedly have both positive</w:t>
      </w:r>
      <w:r w:rsidR="00F81221">
        <w:t xml:space="preserve"> and </w:t>
      </w:r>
      <w:r w:rsidRPr="00A428C3">
        <w:t>negative impacts on the public health. This symposium examined the toxicological</w:t>
      </w:r>
      <w:r w:rsidR="00F81221">
        <w:t xml:space="preserve"> and </w:t>
      </w:r>
      <w:r w:rsidRPr="00A428C3">
        <w:t>epidemiological data on chemical hazards associated with chlorination</w:t>
      </w:r>
      <w:r w:rsidR="00F81221">
        <w:t xml:space="preserve"> and </w:t>
      </w:r>
      <w:r w:rsidRPr="00A428C3">
        <w:t>attempted to measure this hazard against competing microbial risks. The first presentation discussed the available analytical epidemiological studies. A second presentation dealt with the importance of chlorination to the prevention of waterborne infectious disease. Pharmacokinetic, mechanistic,</w:t>
      </w:r>
      <w:r w:rsidR="00F81221">
        <w:t xml:space="preserve"> and </w:t>
      </w:r>
      <w:r w:rsidRPr="00A428C3">
        <w:t>modeling information on the prototypical DBP, chloroform, were discussed</w:t>
      </w:r>
      <w:r w:rsidR="00F81221">
        <w:t xml:space="preserve"> and </w:t>
      </w:r>
      <w:r w:rsidRPr="00A428C3">
        <w:t xml:space="preserve">contrasted with data on brominated THMs to determine if it was scientifically appropriate to regulate THMs as a single toxicological class. The fifth presentation dealt with the carcinogenic properties of a potent mutagen that is produced by chlorination. The final presentation discussed the haloacetates, carcinogenic DBPs whose </w:t>
      </w:r>
      <w:r w:rsidRPr="00A428C3">
        <w:lastRenderedPageBreak/>
        <w:t>concentrations approach</w:t>
      </w:r>
      <w:r w:rsidR="00F81221">
        <w:t xml:space="preserve"> and </w:t>
      </w:r>
      <w:r w:rsidRPr="00A428C3">
        <w:t>occasionally exceed those of the THMs. Clearly, there is a need to carefully weigh these different types</w:t>
      </w:r>
      <w:r w:rsidR="00F81221">
        <w:t xml:space="preserve"> and </w:t>
      </w:r>
      <w:r w:rsidRPr="00A428C3">
        <w:t>sometimes competing risks when considering the delivery of drinking water to ever-increasing populations for which there are finite sources of fresh water.</w:t>
      </w:r>
    </w:p>
    <w:p w:rsidR="00B95188" w:rsidRPr="00A428C3" w:rsidRDefault="00B95188" w:rsidP="00B95188">
      <w:pPr>
        <w:pStyle w:val="a0"/>
      </w:pPr>
      <w:r w:rsidRPr="00A428C3">
        <w:t>Abernathy, C.O., Chappell, W.R., Meek, M.E., Gibb, H.</w:t>
      </w:r>
      <w:r w:rsidR="00F81221">
        <w:t xml:space="preserve"> and </w:t>
      </w:r>
      <w:r w:rsidRPr="00A428C3">
        <w:t xml:space="preserve">Guo, H.R. (1996), Is ingested inorganic arsenic a </w:t>
      </w:r>
      <w:r w:rsidR="000352E7">
        <w:t>“</w:t>
      </w:r>
      <w:r w:rsidRPr="00A428C3">
        <w:t>Threshold</w:t>
      </w:r>
      <w:r w:rsidR="000352E7">
        <w:t>”</w:t>
      </w:r>
      <w:r w:rsidRPr="00A428C3">
        <w:t xml:space="preserve"> Carcinogen? </w:t>
      </w:r>
      <w:r w:rsidRPr="00A428C3">
        <w:rPr>
          <w:i/>
          <w:iCs/>
        </w:rPr>
        <w:t>Fundamental</w:t>
      </w:r>
      <w:r w:rsidR="00F81221">
        <w:rPr>
          <w:i/>
          <w:iCs/>
        </w:rPr>
        <w:t xml:space="preserve"> and </w:t>
      </w:r>
      <w:r w:rsidRPr="00A428C3">
        <w:rPr>
          <w:i/>
          <w:iCs/>
        </w:rPr>
        <w:t>Applied Toxicology</w:t>
      </w:r>
      <w:r w:rsidRPr="00A428C3">
        <w:t xml:space="preserve">, </w:t>
      </w:r>
      <w:r w:rsidRPr="00A428C3">
        <w:rPr>
          <w:b/>
        </w:rPr>
        <w:t>29</w:t>
      </w:r>
      <w:r w:rsidRPr="00A428C3">
        <w:t xml:space="preserve"> (2), 168-175.</w:t>
      </w:r>
    </w:p>
    <w:p w:rsidR="00B95188" w:rsidRPr="00A428C3" w:rsidRDefault="00B95188" w:rsidP="00B95188">
      <w:pPr>
        <w:pStyle w:val="a0"/>
      </w:pPr>
      <w:r w:rsidRPr="00A428C3">
        <w:t xml:space="preserve">Full Text: </w:t>
      </w:r>
      <w:hyperlink r:id="rId280" w:history="1">
        <w:r w:rsidRPr="00A428C3">
          <w:rPr>
            <w:rStyle w:val="a5"/>
          </w:rPr>
          <w:t>F\Fun App Tox29, 168.pdf</w:t>
        </w:r>
      </w:hyperlink>
    </w:p>
    <w:p w:rsidR="00B95188" w:rsidRPr="00A428C3" w:rsidRDefault="00B95188" w:rsidP="00B95188">
      <w:pPr>
        <w:pStyle w:val="a0"/>
      </w:pPr>
      <w:r w:rsidRPr="00A428C3">
        <w:t>Abstract: Ingested inorganic arsenic (As) is known to be a human carcinogen. An intriguing question is whether there is a threshold for the carcinogenic effects of As, i.e., is there a level below which it does not induce the development of cancer(s)? This Roundtable will discuss the United States Environmental Protection Agency</w:t>
      </w:r>
      <w:r w:rsidR="000352E7">
        <w:t>’</w:t>
      </w:r>
      <w:r w:rsidRPr="00A428C3">
        <w:t xml:space="preserve">s As risk assessment using the </w:t>
      </w:r>
      <w:smartTag w:uri="urn:schemas-microsoft-com:office:smarttags" w:element="place">
        <w:smartTag w:uri="urn:schemas-microsoft-com:office:smarttags" w:element="country-region">
          <w:r w:rsidRPr="00A428C3">
            <w:t>Taiwan</w:t>
          </w:r>
        </w:smartTag>
      </w:smartTag>
      <w:r w:rsidRPr="00A428C3">
        <w:t xml:space="preserve"> data from different viewpoints. It will also consider the hypothesis that there is a threshold for As</w:t>
      </w:r>
      <w:r w:rsidR="00F81221">
        <w:t xml:space="preserve"> and </w:t>
      </w:r>
      <w:r w:rsidRPr="00A428C3">
        <w:t>data for or against this hypothesis. For example, some scientists believe that epidemiological data cannot answer this question, while others feel that different study designs</w:t>
      </w:r>
      <w:r w:rsidR="00F81221">
        <w:t xml:space="preserve"> and </w:t>
      </w:r>
      <w:r w:rsidRPr="00A428C3">
        <w:t xml:space="preserve">larger sampling will provide adequate data. Reasons for each position are given. This Roundtable discussion demonstrates the controversy surrounding the use of the </w:t>
      </w:r>
      <w:smartTag w:uri="urn:schemas-microsoft-com:office:smarttags" w:element="place">
        <w:smartTag w:uri="urn:schemas-microsoft-com:office:smarttags" w:element="country-region">
          <w:r w:rsidRPr="00A428C3">
            <w:t>Taiwan</w:t>
          </w:r>
        </w:smartTag>
      </w:smartTag>
      <w:r w:rsidRPr="00A428C3">
        <w:t xml:space="preserve"> data for risk assessment. (C) 1996 Society of Toxicology</w:t>
      </w:r>
    </w:p>
    <w:p w:rsidR="00B95188" w:rsidRPr="00A428C3" w:rsidRDefault="00B95188" w:rsidP="00B95188">
      <w:pPr>
        <w:pStyle w:val="a0"/>
      </w:pPr>
      <w:r w:rsidRPr="00A428C3">
        <w:t xml:space="preserve">Keywords: Disease Endemic Area, Well Water, Malignant Neoplasms, Drinking-Water, Skin-Cancer, Toxicity, Exposure, </w:t>
      </w:r>
      <w:smartTag w:uri="urn:schemas-microsoft-com:office:smarttags" w:element="place">
        <w:smartTag w:uri="urn:schemas-microsoft-com:office:smarttags" w:element="City">
          <w:r w:rsidRPr="00A428C3">
            <w:t>Bladder</w:t>
          </w:r>
        </w:smartTag>
        <w:r w:rsidRPr="00A428C3">
          <w:t xml:space="preserve">, </w:t>
        </w:r>
        <w:smartTag w:uri="urn:schemas-microsoft-com:office:smarttags" w:element="country-region">
          <w:r w:rsidRPr="00A428C3">
            <w:t>Taiwan</w:t>
          </w:r>
        </w:smartTag>
      </w:smartTag>
    </w:p>
    <w:p w:rsidR="00CF3A97" w:rsidRPr="00A428C3" w:rsidRDefault="00CF3A97" w:rsidP="00CF3A97">
      <w:pPr>
        <w:pStyle w:val="1"/>
      </w:pPr>
      <w:r>
        <w:br w:type="page"/>
      </w:r>
      <w:bookmarkStart w:id="206" w:name="_Toc234322663"/>
      <w:bookmarkStart w:id="207" w:name="_Toc317160884"/>
      <w:r>
        <w:lastRenderedPageBreak/>
        <w:t xml:space="preserve">Title: </w:t>
      </w:r>
      <w:r w:rsidRPr="008635FC">
        <w:t>Fundamental &amp; Clinical Pharmacology</w:t>
      </w:r>
      <w:bookmarkEnd w:id="206"/>
      <w:bookmarkEnd w:id="207"/>
    </w:p>
    <w:p w:rsidR="00CF3A97" w:rsidRPr="00A428C3" w:rsidRDefault="00CF3A97" w:rsidP="00B72EF9">
      <w:pPr>
        <w:pStyle w:val="12"/>
      </w:pPr>
      <w:r>
        <w:t xml:space="preserve">Full Journal Title: </w:t>
      </w:r>
      <w:hyperlink r:id="rId281" w:history="1">
        <w:r w:rsidRPr="00A4099A">
          <w:rPr>
            <w:rStyle w:val="a5"/>
            <w:iCs/>
          </w:rPr>
          <w:t>Fundamental &amp; Clinical Pharmacology</w:t>
        </w:r>
      </w:hyperlink>
    </w:p>
    <w:p w:rsidR="00CF3A97" w:rsidRPr="00A428C3" w:rsidRDefault="00CF3A97" w:rsidP="00B72EF9">
      <w:pPr>
        <w:pStyle w:val="12"/>
      </w:pPr>
      <w:r w:rsidRPr="00A428C3">
        <w:t xml:space="preserve">ISO Abbreviated Title: </w:t>
      </w:r>
    </w:p>
    <w:p w:rsidR="00CF3A97" w:rsidRPr="00A428C3" w:rsidRDefault="00CF3A97" w:rsidP="00B72EF9">
      <w:pPr>
        <w:pStyle w:val="12"/>
      </w:pPr>
      <w:r w:rsidRPr="00A428C3">
        <w:t>JCR Abbreviated Title</w:t>
      </w:r>
      <w:r>
        <w:t>:</w:t>
      </w:r>
      <w:r w:rsidRPr="00A428C3">
        <w:t xml:space="preserve"> </w:t>
      </w:r>
    </w:p>
    <w:p w:rsidR="00CF3A97" w:rsidRPr="00A428C3" w:rsidRDefault="00CF3A97" w:rsidP="00B72EF9">
      <w:pPr>
        <w:pStyle w:val="12"/>
      </w:pPr>
      <w:r w:rsidRPr="00A428C3">
        <w:t xml:space="preserve">ISSN: </w:t>
      </w:r>
      <w:r w:rsidRPr="008635FC">
        <w:t>0767-3981</w:t>
      </w:r>
    </w:p>
    <w:p w:rsidR="00CF3A97" w:rsidRPr="00A428C3" w:rsidRDefault="00CF3A97" w:rsidP="00B72EF9">
      <w:pPr>
        <w:pStyle w:val="12"/>
      </w:pPr>
      <w:r w:rsidRPr="00A428C3">
        <w:t xml:space="preserve">Issues/Year: </w:t>
      </w:r>
    </w:p>
    <w:p w:rsidR="00CF3A97" w:rsidRPr="00A428C3" w:rsidRDefault="00FB5623" w:rsidP="00B72EF9">
      <w:pPr>
        <w:pStyle w:val="12"/>
      </w:pPr>
      <w:r>
        <w:t>Journal Country/Territory:</w:t>
      </w:r>
      <w:r w:rsidR="00CF3A97">
        <w:t xml:space="preserve"> </w:t>
      </w:r>
    </w:p>
    <w:p w:rsidR="00CF3A97" w:rsidRPr="00A428C3" w:rsidRDefault="00CF3A97" w:rsidP="00B72EF9">
      <w:pPr>
        <w:pStyle w:val="12"/>
      </w:pPr>
      <w:r w:rsidRPr="00A428C3">
        <w:t xml:space="preserve">Language: </w:t>
      </w:r>
    </w:p>
    <w:p w:rsidR="00CF3A97" w:rsidRPr="00A428C3" w:rsidRDefault="00CF3A97" w:rsidP="00B72EF9">
      <w:pPr>
        <w:pStyle w:val="12"/>
      </w:pPr>
      <w:r w:rsidRPr="00A428C3">
        <w:t xml:space="preserve">Publisher: </w:t>
      </w:r>
    </w:p>
    <w:p w:rsidR="00CF3A97" w:rsidRPr="00A428C3" w:rsidRDefault="00CF3A97" w:rsidP="00B72EF9">
      <w:pPr>
        <w:pStyle w:val="12"/>
      </w:pPr>
      <w:r w:rsidRPr="00A428C3">
        <w:t xml:space="preserve">Publisher Address: </w:t>
      </w:r>
    </w:p>
    <w:p w:rsidR="00CF3A97" w:rsidRPr="00A428C3" w:rsidRDefault="00CF3A97" w:rsidP="00B72EF9">
      <w:pPr>
        <w:pStyle w:val="12"/>
      </w:pPr>
      <w:r w:rsidRPr="00A428C3">
        <w:t>Subject Categories:</w:t>
      </w:r>
    </w:p>
    <w:p w:rsidR="00CF3A97" w:rsidRPr="00A428C3" w:rsidRDefault="00CF3A97" w:rsidP="00B72EF9">
      <w:pPr>
        <w:pStyle w:val="12"/>
      </w:pPr>
      <w:r w:rsidRPr="00A428C3">
        <w:t xml:space="preserve">: Impact Factor </w:t>
      </w:r>
    </w:p>
    <w:p w:rsidR="00CF3A97" w:rsidRPr="003862C4" w:rsidRDefault="00CF3A97" w:rsidP="00CF3A97">
      <w:pPr>
        <w:pStyle w:val="a0"/>
      </w:pPr>
      <w:r w:rsidRPr="008B2BB0">
        <w:t>Aronson, J.K., Derry, S.</w:t>
      </w:r>
      <w:r w:rsidR="00F81221">
        <w:t xml:space="preserve"> and </w:t>
      </w:r>
      <w:r w:rsidRPr="008B2BB0">
        <w:t xml:space="preserve">Loke, Y.K. (2002), Adverse drug reactions: Keeping up to date. </w:t>
      </w:r>
      <w:r w:rsidRPr="00CE7517">
        <w:rPr>
          <w:i/>
          <w:iCs/>
        </w:rPr>
        <w:t>Fundamental &amp; Clinical Pharmacology</w:t>
      </w:r>
      <w:r w:rsidRPr="008B2BB0">
        <w:t xml:space="preserve">, </w:t>
      </w:r>
      <w:r w:rsidRPr="00551655">
        <w:rPr>
          <w:b/>
          <w:bCs/>
        </w:rPr>
        <w:t>16</w:t>
      </w:r>
      <w:r w:rsidRPr="003862C4">
        <w:t xml:space="preserve"> (1), 49-56.</w:t>
      </w:r>
    </w:p>
    <w:p w:rsidR="00CF3A97" w:rsidRPr="003862C4" w:rsidRDefault="00CF3A97" w:rsidP="00CF3A97">
      <w:pPr>
        <w:pStyle w:val="a0"/>
      </w:pPr>
      <w:r w:rsidRPr="003862C4">
        <w:rPr>
          <w:rFonts w:hint="eastAsia"/>
        </w:rPr>
        <w:t xml:space="preserve">Full Text: </w:t>
      </w:r>
      <w:hyperlink r:id="rId282" w:history="1">
        <w:r w:rsidRPr="00B47094">
          <w:rPr>
            <w:rStyle w:val="a5"/>
          </w:rPr>
          <w:t>2002\Fun Cli Pha16, 49.pdf</w:t>
        </w:r>
      </w:hyperlink>
    </w:p>
    <w:p w:rsidR="00CF3A97" w:rsidRPr="003862C4" w:rsidRDefault="00CF3A97" w:rsidP="00CF3A97">
      <w:pPr>
        <w:pStyle w:val="a0"/>
      </w:pPr>
      <w:r w:rsidRPr="003862C4">
        <w:t>Abstract: The amount of published literature on adverse drug reactions is overwhelming; for example, the serial publication Side Effects of Drugs Annual lists</w:t>
      </w:r>
      <w:r w:rsidR="00F81221">
        <w:t xml:space="preserve"> and </w:t>
      </w:r>
      <w:r w:rsidRPr="003862C4">
        <w:t>critically discusses over 3000 references each year. As a group, pharmacotherapeutics journals publish more papers on adverse drug reactions than journals that cover other fields, but even so they publish a minority of the total number of papers,</w:t>
      </w:r>
      <w:r w:rsidR="00F81221">
        <w:t xml:space="preserve"> and </w:t>
      </w:r>
      <w:r w:rsidRPr="003862C4">
        <w:t>no single journal or group of journals can be highlighted as being a frequent source of primary information. Non-specialists must therefore rely on secondary literature (reviews)</w:t>
      </w:r>
      <w:r w:rsidR="00F81221">
        <w:t xml:space="preserve"> and </w:t>
      </w:r>
      <w:r w:rsidRPr="003862C4">
        <w:t>tertiary literature (critical summaries) for information. Most of the primary published literature is in the form of anecdotal reports (30%)</w:t>
      </w:r>
      <w:r w:rsidR="00F81221">
        <w:t xml:space="preserve"> and </w:t>
      </w:r>
      <w:r w:rsidRPr="003862C4">
        <w:t>formal studies or randomized controlled trials (35%). The anecdotal reports vary in quality; a new serial publication devoted to this type of article would bring some of the literature together</w:t>
      </w:r>
      <w:r w:rsidR="00F81221">
        <w:t xml:space="preserve"> and </w:t>
      </w:r>
      <w:r w:rsidRPr="003862C4">
        <w:t>would improve the quality of reporting. Although many of the randomized controlled trials are of good quality</w:t>
      </w:r>
      <w:r w:rsidR="00F81221">
        <w:t xml:space="preserve"> and </w:t>
      </w:r>
      <w:r w:rsidRPr="003862C4">
        <w:t>large enough to reveal benefit, most are too small to provide robust information about adverse drug reactions. Systematic reviews are too few in number (only 1.25% of publications on adverse drug reactions cited in Side Effects of Drugs Annual); more are needed.</w:t>
      </w:r>
    </w:p>
    <w:p w:rsidR="00CF3A97" w:rsidRPr="003862C4" w:rsidRDefault="00CF3A97" w:rsidP="00CF3A97">
      <w:pPr>
        <w:pStyle w:val="a0"/>
      </w:pPr>
      <w:r w:rsidRPr="003862C4">
        <w:t>Keywords: Adverse Drug Reactions, Drug, Information, Journal, Journals, Literature, Papers, Primary, Publication, Publications, Quality, Quality of, Randomized, Randomized Controlled Trials, Reporting, Reviews, Small, Source</w:t>
      </w:r>
    </w:p>
    <w:p w:rsidR="00CF3A97" w:rsidRPr="00C3014D" w:rsidRDefault="00CF3A97" w:rsidP="00CF3A97">
      <w:pPr>
        <w:pStyle w:val="a0"/>
      </w:pPr>
      <w:r w:rsidRPr="00C3014D">
        <w:rPr>
          <w:rFonts w:hint="eastAsia"/>
        </w:rPr>
        <w:t xml:space="preserve">? </w:t>
      </w:r>
      <w:r w:rsidRPr="00C3014D">
        <w:t>Robert, C., Wilson, C.S., Donnadieu, S., Gaudy, J.F.</w:t>
      </w:r>
      <w:r w:rsidR="00F81221">
        <w:t xml:space="preserve"> and </w:t>
      </w:r>
      <w:r w:rsidRPr="00C3014D">
        <w:t xml:space="preserve">Arreto, C.D. (2008), Snapshot of the European Union contribution to pain research: </w:t>
      </w:r>
      <w:r w:rsidRPr="00C3014D">
        <w:rPr>
          <w:rFonts w:hint="eastAsia"/>
        </w:rPr>
        <w:t>A</w:t>
      </w:r>
      <w:r w:rsidRPr="00C3014D">
        <w:t xml:space="preserve"> 2006-bibliometric study. </w:t>
      </w:r>
      <w:r w:rsidRPr="00CE7517">
        <w:rPr>
          <w:i/>
          <w:iCs/>
        </w:rPr>
        <w:t>Fundamental &amp; Clinical Pharmacology</w:t>
      </w:r>
      <w:r w:rsidRPr="00C3014D">
        <w:t xml:space="preserve">, </w:t>
      </w:r>
      <w:r w:rsidRPr="00551655">
        <w:rPr>
          <w:b/>
          <w:bCs/>
        </w:rPr>
        <w:t>22</w:t>
      </w:r>
      <w:r w:rsidRPr="008B2BB0">
        <w:rPr>
          <w:rFonts w:hint="eastAsia"/>
        </w:rPr>
        <w:t xml:space="preserve"> (S1)</w:t>
      </w:r>
      <w:r w:rsidRPr="00C3014D">
        <w:t>, 17</w:t>
      </w:r>
      <w:r w:rsidRPr="00C3014D">
        <w:rPr>
          <w:rFonts w:hint="eastAsia"/>
        </w:rPr>
        <w:t>.</w:t>
      </w:r>
    </w:p>
    <w:p w:rsidR="00CF3A97" w:rsidRPr="008B2BB0" w:rsidRDefault="00CF3A97" w:rsidP="00CF3A97">
      <w:pPr>
        <w:pStyle w:val="a0"/>
      </w:pPr>
      <w:r w:rsidRPr="008B2BB0">
        <w:rPr>
          <w:rFonts w:hint="eastAsia"/>
        </w:rPr>
        <w:lastRenderedPageBreak/>
        <w:t xml:space="preserve">Full Text: </w:t>
      </w:r>
      <w:hyperlink r:id="rId283" w:history="1">
        <w:r w:rsidRPr="00B47094">
          <w:rPr>
            <w:rStyle w:val="a5"/>
          </w:rPr>
          <w:t>2008\Fun Cli Pha22, 17.pdf</w:t>
        </w:r>
      </w:hyperlink>
    </w:p>
    <w:p w:rsidR="00CF3A97" w:rsidRPr="00C3014D" w:rsidRDefault="00CF3A97" w:rsidP="00CF3A97">
      <w:pPr>
        <w:pStyle w:val="a0"/>
      </w:pPr>
      <w:r w:rsidRPr="00C3014D">
        <w:t>Keywords: European Union</w:t>
      </w:r>
      <w:r w:rsidRPr="00C3014D">
        <w:rPr>
          <w:rFonts w:hint="eastAsia"/>
        </w:rPr>
        <w:t xml:space="preserve">, </w:t>
      </w:r>
      <w:r w:rsidRPr="00C3014D">
        <w:t>Pain</w:t>
      </w:r>
      <w:r w:rsidRPr="00C3014D">
        <w:rPr>
          <w:rFonts w:hint="eastAsia"/>
        </w:rPr>
        <w:t xml:space="preserve">, </w:t>
      </w:r>
      <w:r w:rsidRPr="00C3014D">
        <w:t>Research</w:t>
      </w:r>
    </w:p>
    <w:p w:rsidR="00CF3A97" w:rsidRDefault="00CF3A97" w:rsidP="00CF3A97">
      <w:pPr>
        <w:pStyle w:val="a0"/>
        <w:rPr>
          <w:kern w:val="0"/>
          <w:szCs w:val="24"/>
        </w:rPr>
      </w:pPr>
      <w:r>
        <w:rPr>
          <w:rFonts w:hint="eastAsia"/>
          <w:kern w:val="0"/>
          <w:szCs w:val="24"/>
        </w:rPr>
        <w:t xml:space="preserve">? </w:t>
      </w:r>
      <w:r>
        <w:rPr>
          <w:kern w:val="0"/>
          <w:szCs w:val="24"/>
        </w:rPr>
        <w:t>Robert, C., Saenz-Feijoo, R., Gaudy, J.F.</w:t>
      </w:r>
      <w:r w:rsidR="00F81221">
        <w:rPr>
          <w:kern w:val="0"/>
          <w:szCs w:val="24"/>
        </w:rPr>
        <w:t xml:space="preserve"> and </w:t>
      </w:r>
      <w:r>
        <w:rPr>
          <w:kern w:val="0"/>
          <w:szCs w:val="24"/>
        </w:rPr>
        <w:t>Arreto, C.D. (2009), Quantitative analysis of the scientific literature on acetaminophen in medicine</w:t>
      </w:r>
      <w:r w:rsidR="00F81221">
        <w:rPr>
          <w:kern w:val="0"/>
          <w:szCs w:val="24"/>
        </w:rPr>
        <w:t xml:space="preserve"> and </w:t>
      </w:r>
      <w:r>
        <w:rPr>
          <w:kern w:val="0"/>
          <w:szCs w:val="24"/>
        </w:rPr>
        <w:t xml:space="preserve">biology: </w:t>
      </w:r>
      <w:r w:rsidR="00BE3923">
        <w:rPr>
          <w:rFonts w:hint="eastAsia"/>
          <w:kern w:val="0"/>
          <w:szCs w:val="24"/>
        </w:rPr>
        <w:t>A</w:t>
      </w:r>
      <w:r>
        <w:rPr>
          <w:kern w:val="0"/>
          <w:szCs w:val="24"/>
        </w:rPr>
        <w:t xml:space="preserve"> 2003-2005 study. </w:t>
      </w:r>
      <w:r>
        <w:rPr>
          <w:i/>
          <w:iCs/>
          <w:kern w:val="0"/>
          <w:szCs w:val="24"/>
        </w:rPr>
        <w:t>Fundamental &amp; Clinical Pharmacology</w:t>
      </w:r>
      <w:r>
        <w:rPr>
          <w:kern w:val="0"/>
          <w:szCs w:val="24"/>
        </w:rPr>
        <w:t xml:space="preserve">, </w:t>
      </w:r>
      <w:r>
        <w:rPr>
          <w:b/>
          <w:bCs/>
          <w:kern w:val="0"/>
          <w:szCs w:val="24"/>
        </w:rPr>
        <w:t>23</w:t>
      </w:r>
      <w:r>
        <w:rPr>
          <w:kern w:val="0"/>
          <w:szCs w:val="24"/>
        </w:rPr>
        <w:t xml:space="preserve"> (2), 159-168.</w:t>
      </w:r>
    </w:p>
    <w:p w:rsidR="00CF3A97" w:rsidRPr="003862C4" w:rsidRDefault="00CF3A97" w:rsidP="00CF3A97">
      <w:pPr>
        <w:pStyle w:val="a0"/>
      </w:pPr>
      <w:r w:rsidRPr="003862C4">
        <w:rPr>
          <w:rFonts w:hint="eastAsia"/>
        </w:rPr>
        <w:t xml:space="preserve">Full Text: </w:t>
      </w:r>
      <w:hyperlink r:id="rId284" w:history="1">
        <w:r w:rsidRPr="00F0306C">
          <w:rPr>
            <w:rStyle w:val="a5"/>
          </w:rPr>
          <w:t>2009\Fun Cli Pha23, 159.pdf</w:t>
        </w:r>
      </w:hyperlink>
    </w:p>
    <w:p w:rsidR="00CF3A97" w:rsidRDefault="00CF3A97" w:rsidP="00CF3A97">
      <w:pPr>
        <w:pStyle w:val="a0"/>
        <w:rPr>
          <w:kern w:val="0"/>
          <w:szCs w:val="24"/>
        </w:rPr>
      </w:pPr>
      <w:r>
        <w:rPr>
          <w:kern w:val="0"/>
          <w:szCs w:val="24"/>
        </w:rPr>
        <w:t>Abstract: This study quantifies the utilization of acetaminophen in life sciences</w:t>
      </w:r>
      <w:r w:rsidR="00F81221">
        <w:rPr>
          <w:kern w:val="0"/>
          <w:szCs w:val="24"/>
        </w:rPr>
        <w:t xml:space="preserve"> and </w:t>
      </w:r>
      <w:r>
        <w:rPr>
          <w:kern w:val="0"/>
          <w:szCs w:val="24"/>
        </w:rPr>
        <w:t>clinical medicine using bibliometric indicators. A total of 1626 documents involving acetaminophen published by 74 countries during 2003-2005 in the Thompson-Scientific Life sciences</w:t>
      </w:r>
      <w:r w:rsidR="00F81221">
        <w:rPr>
          <w:kern w:val="0"/>
          <w:szCs w:val="24"/>
        </w:rPr>
        <w:t xml:space="preserve"> and </w:t>
      </w:r>
      <w:r>
        <w:rPr>
          <w:kern w:val="0"/>
          <w:szCs w:val="24"/>
        </w:rPr>
        <w:t>Clinical Medicine collections were identified</w:t>
      </w:r>
      <w:r w:rsidR="00F81221">
        <w:rPr>
          <w:kern w:val="0"/>
          <w:szCs w:val="24"/>
        </w:rPr>
        <w:t xml:space="preserve"> and </w:t>
      </w:r>
      <w:r>
        <w:rPr>
          <w:kern w:val="0"/>
          <w:szCs w:val="24"/>
        </w:rPr>
        <w:t>analyzed. The USA leads in the number of publications followed by the UK,</w:t>
      </w:r>
      <w:r w:rsidR="00F81221">
        <w:rPr>
          <w:kern w:val="0"/>
          <w:szCs w:val="24"/>
        </w:rPr>
        <w:t xml:space="preserve"> and </w:t>
      </w:r>
      <w:r>
        <w:rPr>
          <w:kern w:val="0"/>
          <w:szCs w:val="24"/>
        </w:rPr>
        <w:t>industrialized countries, including France, Japan</w:t>
      </w:r>
      <w:r w:rsidR="00F81221">
        <w:rPr>
          <w:kern w:val="0"/>
          <w:szCs w:val="24"/>
        </w:rPr>
        <w:t xml:space="preserve"> and </w:t>
      </w:r>
      <w:r>
        <w:rPr>
          <w:kern w:val="0"/>
          <w:szCs w:val="24"/>
        </w:rPr>
        <w:t>Germany; the presence of countries such as China, India</w:t>
      </w:r>
      <w:r w:rsidR="00F81221">
        <w:rPr>
          <w:kern w:val="0"/>
          <w:szCs w:val="24"/>
        </w:rPr>
        <w:t xml:space="preserve"> and </w:t>
      </w:r>
      <w:r>
        <w:rPr>
          <w:kern w:val="0"/>
          <w:szCs w:val="24"/>
        </w:rPr>
        <w:t>Turkey among the top 15 countries deserves to be noticed. The European Union stands as a comparable contributor to the USA, both in terms of number of publications</w:t>
      </w:r>
      <w:r w:rsidR="00F81221">
        <w:rPr>
          <w:kern w:val="0"/>
          <w:szCs w:val="24"/>
        </w:rPr>
        <w:t xml:space="preserve"> and </w:t>
      </w:r>
      <w:r>
        <w:rPr>
          <w:kern w:val="0"/>
          <w:szCs w:val="24"/>
        </w:rPr>
        <w:t>in terms of profile of papers distributed among subcategories of Life Sciences</w:t>
      </w:r>
      <w:r w:rsidR="00F81221">
        <w:rPr>
          <w:kern w:val="0"/>
          <w:szCs w:val="24"/>
        </w:rPr>
        <w:t xml:space="preserve"> and </w:t>
      </w:r>
      <w:r>
        <w:rPr>
          <w:kern w:val="0"/>
          <w:szCs w:val="24"/>
        </w:rPr>
        <w:t>Clinical Medicine disciplines. All documents were published in 539 different journals. The most prolific journals were related to pharmacology and/or pharmaceutics. All aspects of acetaminophen (chemistry, pharmacokinetics, metabolism, etc.) were studied with primary interest for therapeutic use (42%)</w:t>
      </w:r>
      <w:r w:rsidR="00F81221">
        <w:rPr>
          <w:kern w:val="0"/>
          <w:szCs w:val="24"/>
        </w:rPr>
        <w:t xml:space="preserve"> and </w:t>
      </w:r>
      <w:r>
        <w:rPr>
          <w:kern w:val="0"/>
          <w:szCs w:val="24"/>
        </w:rPr>
        <w:t>adverse effects (28%) comprising a large part of publications focusing on acetaminophen hepatotoxicity. This quantitative overview provides as to the interest of the scientific community in this analgesic</w:t>
      </w:r>
      <w:r w:rsidR="00F81221">
        <w:rPr>
          <w:kern w:val="0"/>
          <w:szCs w:val="24"/>
        </w:rPr>
        <w:t xml:space="preserve"> and </w:t>
      </w:r>
      <w:r>
        <w:rPr>
          <w:kern w:val="0"/>
          <w:szCs w:val="24"/>
        </w:rPr>
        <w:t>completes the various review documents that regularly appear in the scientific literature.</w:t>
      </w:r>
    </w:p>
    <w:p w:rsidR="00CF3A97" w:rsidRDefault="00CF3A97" w:rsidP="00CF3A97">
      <w:pPr>
        <w:pStyle w:val="a0"/>
        <w:rPr>
          <w:kern w:val="0"/>
          <w:szCs w:val="24"/>
        </w:rPr>
      </w:pPr>
      <w:r>
        <w:rPr>
          <w:kern w:val="0"/>
          <w:szCs w:val="24"/>
        </w:rPr>
        <w:t>Keywords: Acetaminophen, Acute Liver-Failure, Adverse Effects, Analgesic, Analgesics, Analysis, Bibliometric, Bibliometric Analysis, Bibliometric Indicators, Bibliometrics, Biology, Care, Chemistry, China, Clinical, Community, Disciplines, Distributed, Effects, European Union, European-Union, France, Germany, Hepatotoxicity, India, Indicators, Japan, Journals, Life, Life Sciences, Literature, Management, Medicine, Metabolism, Number of Publications, Osteoarthritis, Pain, Papers, Paracetamol, Pharmacokinetics, Pharmacology, Presence, Primary, Publications, Research Profile, Review, Sciences, Scientific Literature, Therapeutic, Turkey, UK, United-States, USA, Utilization</w:t>
      </w:r>
    </w:p>
    <w:p w:rsidR="00B95188" w:rsidRPr="00A428C3" w:rsidRDefault="00CF3A97" w:rsidP="00CF3A97">
      <w:pPr>
        <w:pStyle w:val="1"/>
      </w:pPr>
      <w:r w:rsidRPr="00A428C3">
        <w:br w:type="page"/>
      </w:r>
      <w:bookmarkStart w:id="208" w:name="_Toc487190676"/>
      <w:bookmarkStart w:id="209" w:name="_Toc487882179"/>
      <w:bookmarkStart w:id="210" w:name="_Toc490687975"/>
      <w:bookmarkStart w:id="211" w:name="_Toc186647700"/>
      <w:bookmarkStart w:id="212" w:name="_Toc317160885"/>
      <w:r w:rsidR="00B95188" w:rsidRPr="00A428C3">
        <w:lastRenderedPageBreak/>
        <w:t>Title: Fundamentals of Adsorption</w:t>
      </w:r>
      <w:bookmarkEnd w:id="208"/>
      <w:bookmarkEnd w:id="209"/>
      <w:bookmarkEnd w:id="210"/>
      <w:bookmarkEnd w:id="211"/>
      <w:bookmarkEnd w:id="212"/>
    </w:p>
    <w:p w:rsidR="00B95188" w:rsidRPr="00A428C3" w:rsidRDefault="00B95188" w:rsidP="00B95188">
      <w:pPr>
        <w:pStyle w:val="a0"/>
      </w:pPr>
      <w:r w:rsidRPr="00A428C3">
        <w:t xml:space="preserve">Elsevier, </w:t>
      </w:r>
      <w:smartTag w:uri="urn:schemas-microsoft-com:office:smarttags" w:element="City">
        <w:r w:rsidRPr="00A428C3">
          <w:t>Amsterdam</w:t>
        </w:r>
      </w:smartTag>
      <w:r w:rsidRPr="00A428C3">
        <w:t xml:space="preserve">, </w:t>
      </w:r>
      <w:smartTag w:uri="urn:schemas-microsoft-com:office:smarttags" w:element="City">
        <w:r w:rsidRPr="00A428C3">
          <w:t>London</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place">
        <w:smartTag w:uri="urn:schemas-microsoft-com:office:smarttags" w:element="City">
          <w:r w:rsidRPr="00A428C3">
            <w:t>Tokyo</w:t>
          </w:r>
        </w:smartTag>
      </w:smartTag>
    </w:p>
    <w:p w:rsidR="00B95188" w:rsidRPr="00A428C3" w:rsidRDefault="00B95188" w:rsidP="00B95188">
      <w:pPr>
        <w:pStyle w:val="a0"/>
      </w:pPr>
      <w:r w:rsidRPr="00A428C3">
        <w:t>Chiang, A.S.T., Lin, K.S.</w:t>
      </w:r>
      <w:r w:rsidR="00F81221">
        <w:t xml:space="preserve"> and </w:t>
      </w:r>
      <w:r w:rsidRPr="00A428C3">
        <w:t>Fun, L.Y. (1992), Adsorption of multicomponent aromatics on Y zeolite</w:t>
      </w:r>
      <w:r w:rsidR="00F81221">
        <w:t xml:space="preserve"> and </w:t>
      </w:r>
      <w:r w:rsidRPr="00A428C3">
        <w:t xml:space="preserve">silicalite. in </w:t>
      </w:r>
      <w:r w:rsidRPr="00A428C3">
        <w:rPr>
          <w:i/>
        </w:rPr>
        <w:t>Fundamentals of Adsorption Proceedings of the Fourth International Conference on Fundamentals of Adsorption</w:t>
      </w:r>
      <w:r w:rsidRPr="00A428C3">
        <w:t>, (Edited by Suzuki, M.), Elsevier, Amsterdam, London, New York, Tokyo, 81-88.</w:t>
      </w:r>
    </w:p>
    <w:p w:rsidR="00B95188" w:rsidRPr="00A428C3" w:rsidRDefault="00B95188" w:rsidP="00B95188">
      <w:pPr>
        <w:pStyle w:val="a0"/>
      </w:pPr>
      <w:r w:rsidRPr="00A428C3">
        <w:t>Fukuchi, K., Kobuchi, S.</w:t>
      </w:r>
      <w:r w:rsidR="00F81221">
        <w:t xml:space="preserve"> and </w:t>
      </w:r>
      <w:r w:rsidRPr="00A428C3">
        <w:t>Arai, Y. (1992), Measurement</w:t>
      </w:r>
      <w:r w:rsidR="00F81221">
        <w:t xml:space="preserve"> and </w:t>
      </w:r>
      <w:r w:rsidRPr="00A428C3">
        <w:t xml:space="preserve">prediction of adsorption equilibria of quaternary organic solues from dilute aqueous solutions on activated carbon. in </w:t>
      </w:r>
      <w:r w:rsidRPr="00A428C3">
        <w:rPr>
          <w:i/>
        </w:rPr>
        <w:t>Fundamentals of Adsorption Proceedings of the Fourth International Conference on Fundamentals of Adsorption</w:t>
      </w:r>
      <w:r w:rsidRPr="00A428C3">
        <w:t>, (Edited by Suzuki, M.), Elsevier, Amsterdam, London, New York, Tokyo, 177-184.</w:t>
      </w:r>
    </w:p>
    <w:p w:rsidR="00B95188" w:rsidRPr="00A428C3" w:rsidRDefault="00B95188" w:rsidP="00B95188">
      <w:pPr>
        <w:pStyle w:val="a0"/>
      </w:pPr>
      <w:r w:rsidRPr="00A428C3">
        <w:t>? Do, D.D., Hu, X., Gray, P.</w:t>
      </w:r>
      <w:r w:rsidR="00F81221">
        <w:t xml:space="preserve"> and </w:t>
      </w:r>
      <w:r w:rsidRPr="00A428C3">
        <w:t>Mayfield, P. (1993), Adsorption</w:t>
      </w:r>
      <w:r w:rsidR="00F81221">
        <w:t xml:space="preserve"> and </w:t>
      </w:r>
      <w:r w:rsidRPr="00A428C3">
        <w:t>desorption dynamics of hydrocarbons, SO</w:t>
      </w:r>
      <w:r w:rsidRPr="00A428C3">
        <w:rPr>
          <w:vertAlign w:val="subscript"/>
        </w:rPr>
        <w:t>2</w:t>
      </w:r>
      <w:r w:rsidR="00F81221">
        <w:t xml:space="preserve"> and </w:t>
      </w:r>
      <w:r w:rsidRPr="00A428C3">
        <w:t>CO</w:t>
      </w:r>
      <w:r w:rsidRPr="00A428C3">
        <w:rPr>
          <w:vertAlign w:val="subscript"/>
        </w:rPr>
        <w:t>2</w:t>
      </w:r>
      <w:r w:rsidRPr="00A428C3">
        <w:t xml:space="preserve"> onto activated carbon: Rate mechanisms. </w:t>
      </w:r>
      <w:r w:rsidRPr="00A428C3">
        <w:rPr>
          <w:i/>
          <w:iCs/>
        </w:rPr>
        <w:t>Fundamentals of Adsorption</w:t>
      </w:r>
      <w:r w:rsidRPr="00A428C3">
        <w:t xml:space="preserve">, (Edited by Suzuki, M.), Kodansha, </w:t>
      </w:r>
      <w:smartTag w:uri="urn:schemas-microsoft-com:office:smarttags" w:element="place">
        <w:smartTag w:uri="urn:schemas-microsoft-com:office:smarttags" w:element="City">
          <w:r w:rsidRPr="00A428C3">
            <w:t>Tokyo</w:t>
          </w:r>
        </w:smartTag>
      </w:smartTag>
      <w:r w:rsidRPr="00A428C3">
        <w:t>, 145-152.</w:t>
      </w:r>
    </w:p>
    <w:p w:rsidR="00B95188" w:rsidRPr="00A428C3" w:rsidRDefault="00B95188" w:rsidP="00B95188">
      <w:pPr>
        <w:pStyle w:val="a0"/>
      </w:pPr>
      <w:r w:rsidRPr="00A428C3">
        <w:t xml:space="preserve">Suzuki, M. (1996), Application of adsorption technology for environmental control. in </w:t>
      </w:r>
      <w:r w:rsidRPr="00A428C3">
        <w:rPr>
          <w:i/>
        </w:rPr>
        <w:t>Fundamentals of Adsorption Proceedings of the Fifth International Conference on Fundamentals of Adsorption</w:t>
      </w:r>
      <w:r w:rsidRPr="00A428C3">
        <w:t>, (Edited by LeVan, M.D.), Kluwer Academic Publishers, Boston, Dordrecht, London, 3-14.</w:t>
      </w:r>
    </w:p>
    <w:p w:rsidR="00B95188" w:rsidRPr="00A428C3" w:rsidRDefault="00B95188" w:rsidP="00B95188">
      <w:pPr>
        <w:pStyle w:val="a0"/>
      </w:pPr>
      <w:r w:rsidRPr="00A428C3">
        <w:t>Bharat, G.K., Yenkie, M.K.N.</w:t>
      </w:r>
      <w:r w:rsidR="00F81221">
        <w:t xml:space="preserve"> and </w:t>
      </w:r>
      <w:r w:rsidRPr="00A428C3">
        <w:t>Natarajan, G.S. (1996), Influence of physico-chemical characteristics of adsorbent</w:t>
      </w:r>
      <w:r w:rsidR="00F81221">
        <w:t xml:space="preserve"> and </w:t>
      </w:r>
      <w:r w:rsidRPr="00A428C3">
        <w:t>adsorbate on competitive adsorption equilibrium</w:t>
      </w:r>
      <w:r w:rsidR="00F81221">
        <w:t xml:space="preserve"> and </w:t>
      </w:r>
      <w:r w:rsidRPr="00A428C3">
        <w:t xml:space="preserve">kinetics. in </w:t>
      </w:r>
      <w:r w:rsidRPr="00A428C3">
        <w:rPr>
          <w:i/>
        </w:rPr>
        <w:t>Fundamentals of Adsorption Proceedings of the Fifth International Conference on Fundamentals of Adsorption</w:t>
      </w:r>
      <w:r w:rsidRPr="00A428C3">
        <w:t>, (Edited by LeVan, M.D.), Kluwer Academic Publishers, Boston, Dordrecht, London, 91-99.</w:t>
      </w:r>
    </w:p>
    <w:p w:rsidR="00B95188" w:rsidRPr="00A428C3" w:rsidRDefault="00B95188" w:rsidP="00B95188">
      <w:pPr>
        <w:pStyle w:val="a0"/>
      </w:pPr>
      <w:r w:rsidRPr="00A428C3">
        <w:t xml:space="preserve">Calleja, G., </w:t>
      </w:r>
      <w:smartTag w:uri="urn:schemas-microsoft-com:office:smarttags" w:element="place">
        <w:smartTag w:uri="urn:schemas-microsoft-com:office:smarttags" w:element="City">
          <w:r w:rsidRPr="00A428C3">
            <w:t>Pau</w:t>
          </w:r>
        </w:smartTag>
      </w:smartTag>
      <w:r w:rsidRPr="00A428C3">
        <w:t>, J., Pérez, P.</w:t>
      </w:r>
      <w:r w:rsidR="00F81221">
        <w:t xml:space="preserve"> and </w:t>
      </w:r>
      <w:r w:rsidRPr="00A428C3">
        <w:t>Calles, J.A. (1996), Binary</w:t>
      </w:r>
      <w:r w:rsidR="00F81221">
        <w:t xml:space="preserve"> and </w:t>
      </w:r>
      <w:r w:rsidRPr="00A428C3">
        <w:t xml:space="preserve">ternary adsorption equilibria at high pressure on molecular sieves. in </w:t>
      </w:r>
      <w:r w:rsidRPr="00A428C3">
        <w:rPr>
          <w:i/>
        </w:rPr>
        <w:t>Fundamentals of Adsorption Proceedings of the Fifth International Conference on Fundamentals of Adsorption</w:t>
      </w:r>
      <w:r w:rsidRPr="00A428C3">
        <w:t>, (Edited by LeVan, M.D.), Kluwer Academic Publishers, Boston, Dordrecht, London, 147-154.</w:t>
      </w:r>
    </w:p>
    <w:p w:rsidR="00B95188" w:rsidRPr="00A428C3" w:rsidRDefault="00B95188" w:rsidP="00B95188">
      <w:pPr>
        <w:pStyle w:val="a0"/>
      </w:pPr>
      <w:r w:rsidRPr="00A428C3">
        <w:t>? Hu, X.</w:t>
      </w:r>
      <w:r w:rsidR="00F81221">
        <w:t xml:space="preserve"> and </w:t>
      </w:r>
      <w:r w:rsidRPr="00A428C3">
        <w:t xml:space="preserve">Do, D.D. (1996), Effect of pore size distribution on the prediction of multicomponent adsorption equilibria. in </w:t>
      </w:r>
      <w:r w:rsidRPr="00A428C3">
        <w:rPr>
          <w:i/>
        </w:rPr>
        <w:t>Fundamentals of Adsorption Proceedings of the Fifth International Conference on Fundamentals of Adsorption</w:t>
      </w:r>
      <w:r w:rsidRPr="00A428C3">
        <w:t>, (Edited by LeVan, M.D.), Kluwer Academic Publishers, Boston, Dordrecht, London, 385-392.</w:t>
      </w:r>
    </w:p>
    <w:p w:rsidR="00B95188" w:rsidRPr="00A428C3" w:rsidRDefault="00B95188" w:rsidP="00B95188">
      <w:pPr>
        <w:pStyle w:val="a0"/>
      </w:pPr>
      <w:r w:rsidRPr="00A428C3">
        <w:t>? Hu, X.</w:t>
      </w:r>
      <w:r w:rsidR="00F81221">
        <w:t xml:space="preserve"> and </w:t>
      </w:r>
      <w:r w:rsidRPr="00A428C3">
        <w:t xml:space="preserve">Do, D.D. (1996), Sorption kinetics of gases in heterogeneous solids. in </w:t>
      </w:r>
      <w:r w:rsidRPr="00A428C3">
        <w:rPr>
          <w:i/>
        </w:rPr>
        <w:t>Fundamentals of Adsorption Proceedings of the Fifth International Conference on Fundamentals of Adsorption</w:t>
      </w:r>
      <w:r w:rsidRPr="00A428C3">
        <w:t>, (Edited by LeVan, M.D.), Kluwer Academic Publishers, Boston, Dordrecht, London, 393-400.</w:t>
      </w:r>
    </w:p>
    <w:p w:rsidR="00B95188" w:rsidRPr="00A428C3" w:rsidRDefault="00B95188" w:rsidP="00B95188">
      <w:pPr>
        <w:pStyle w:val="a0"/>
      </w:pPr>
      <w:r w:rsidRPr="00A428C3">
        <w:t>Staudt, R., Dreisbach, F.</w:t>
      </w:r>
      <w:r w:rsidR="00F81221">
        <w:t xml:space="preserve"> and </w:t>
      </w:r>
      <w:r w:rsidRPr="00A428C3">
        <w:t xml:space="preserve">Keller, J.U. (1996), Generalized isotherms for mono-and </w:t>
      </w:r>
      <w:r w:rsidRPr="00A428C3">
        <w:lastRenderedPageBreak/>
        <w:t xml:space="preserve">multicomponet adsorption. in </w:t>
      </w:r>
      <w:r w:rsidRPr="00A428C3">
        <w:rPr>
          <w:i/>
        </w:rPr>
        <w:t>Fundamentals of Adsorption Proceedings of the Fifth International Conference on Fundamentals of Adsorption</w:t>
      </w:r>
      <w:r w:rsidRPr="00A428C3">
        <w:t>, (Edited by LeVan, M.D.), Kluwer Academic Publishers, Boston, Dordrecht, London, 865-872.</w:t>
      </w:r>
    </w:p>
    <w:p w:rsidR="00B95188" w:rsidRPr="00A428C3" w:rsidRDefault="00B95188" w:rsidP="00B95188">
      <w:pPr>
        <w:pStyle w:val="1"/>
      </w:pPr>
      <w:r>
        <w:br w:type="page"/>
      </w:r>
      <w:bookmarkStart w:id="213" w:name="_Toc317160886"/>
      <w:r>
        <w:lastRenderedPageBreak/>
        <w:t xml:space="preserve">Title: </w:t>
      </w:r>
      <w:r w:rsidRPr="004810C3">
        <w:rPr>
          <w:iCs/>
        </w:rPr>
        <w:t>Fusion Engineering</w:t>
      </w:r>
      <w:r w:rsidR="00F81221">
        <w:rPr>
          <w:iCs/>
        </w:rPr>
        <w:t xml:space="preserve"> and </w:t>
      </w:r>
      <w:r w:rsidRPr="004810C3">
        <w:rPr>
          <w:iCs/>
        </w:rPr>
        <w:t>Design</w:t>
      </w:r>
      <w:bookmarkEnd w:id="213"/>
    </w:p>
    <w:p w:rsidR="00B95188" w:rsidRPr="00A428C3" w:rsidRDefault="00B95188" w:rsidP="00B72EF9">
      <w:pPr>
        <w:pStyle w:val="12"/>
      </w:pPr>
      <w:r>
        <w:t xml:space="preserve">Full Journal Title: </w:t>
      </w:r>
      <w:hyperlink r:id="rId285" w:history="1">
        <w:r w:rsidRPr="0043383C">
          <w:rPr>
            <w:rStyle w:val="a5"/>
            <w:iCs/>
          </w:rPr>
          <w:t>Fusion Engineering</w:t>
        </w:r>
        <w:r w:rsidR="00F81221">
          <w:rPr>
            <w:rStyle w:val="a5"/>
            <w:iCs/>
          </w:rPr>
          <w:t xml:space="preserve"> and </w:t>
        </w:r>
        <w:r w:rsidRPr="0043383C">
          <w:rPr>
            <w:rStyle w:val="a5"/>
            <w:iCs/>
          </w:rPr>
          <w:t>Design</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r w:rsidRPr="004810C3">
        <w:t>0920-3796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586CD8" w:rsidRDefault="00B95188" w:rsidP="00B95188">
      <w:pPr>
        <w:pStyle w:val="a0"/>
        <w:rPr>
          <w:kern w:val="2"/>
        </w:rPr>
      </w:pPr>
      <w:r w:rsidRPr="00586CD8">
        <w:rPr>
          <w:rFonts w:hint="eastAsia"/>
          <w:kern w:val="2"/>
        </w:rPr>
        <w:t xml:space="preserve">? </w:t>
      </w:r>
      <w:r w:rsidRPr="00586CD8">
        <w:rPr>
          <w:kern w:val="2"/>
        </w:rPr>
        <w:t>Badawi, A. (2008), Determination of the order of surface reactions in Li</w:t>
      </w:r>
      <w:r w:rsidRPr="00895B1E">
        <w:rPr>
          <w:kern w:val="0"/>
          <w:vertAlign w:val="subscript"/>
        </w:rPr>
        <w:t>2</w:t>
      </w:r>
      <w:r w:rsidRPr="00586CD8">
        <w:rPr>
          <w:kern w:val="2"/>
        </w:rPr>
        <w:t xml:space="preserve">O. </w:t>
      </w:r>
      <w:r w:rsidRPr="004810C3">
        <w:rPr>
          <w:i/>
          <w:iCs/>
          <w:kern w:val="0"/>
        </w:rPr>
        <w:t>Fusion Engineering</w:t>
      </w:r>
      <w:r w:rsidR="00F81221">
        <w:rPr>
          <w:i/>
          <w:iCs/>
          <w:kern w:val="0"/>
        </w:rPr>
        <w:t xml:space="preserve"> and </w:t>
      </w:r>
      <w:r w:rsidRPr="004810C3">
        <w:rPr>
          <w:i/>
          <w:iCs/>
          <w:kern w:val="0"/>
        </w:rPr>
        <w:t>Design</w:t>
      </w:r>
      <w:r w:rsidRPr="00586CD8">
        <w:rPr>
          <w:kern w:val="2"/>
        </w:rPr>
        <w:t xml:space="preserve">, </w:t>
      </w:r>
      <w:r>
        <w:rPr>
          <w:b/>
          <w:bCs/>
          <w:kern w:val="0"/>
        </w:rPr>
        <w:t>83</w:t>
      </w:r>
      <w:r w:rsidRPr="00586CD8">
        <w:rPr>
          <w:kern w:val="2"/>
        </w:rPr>
        <w:t xml:space="preserve"> (1), 39-44.</w:t>
      </w:r>
    </w:p>
    <w:p w:rsidR="00B95188" w:rsidRPr="00586CD8" w:rsidRDefault="00B95188" w:rsidP="00B95188">
      <w:pPr>
        <w:pStyle w:val="a0"/>
        <w:rPr>
          <w:kern w:val="2"/>
        </w:rPr>
      </w:pPr>
      <w:r w:rsidRPr="00586CD8">
        <w:rPr>
          <w:rFonts w:hint="eastAsia"/>
          <w:kern w:val="2"/>
        </w:rPr>
        <w:t xml:space="preserve">Full Text: </w:t>
      </w:r>
      <w:hyperlink r:id="rId286" w:history="1">
        <w:r w:rsidRPr="0043383C">
          <w:rPr>
            <w:rStyle w:val="a5"/>
            <w:kern w:val="0"/>
          </w:rPr>
          <w:t>2008\Fus Eng Des83, 39.pdf</w:t>
        </w:r>
      </w:hyperlink>
    </w:p>
    <w:p w:rsidR="00B95188" w:rsidRPr="00586CD8" w:rsidRDefault="00B95188" w:rsidP="00B95188">
      <w:pPr>
        <w:pStyle w:val="a0"/>
        <w:rPr>
          <w:kern w:val="2"/>
        </w:rPr>
      </w:pPr>
      <w:r w:rsidRPr="00586CD8">
        <w:rPr>
          <w:kern w:val="2"/>
        </w:rPr>
        <w:t>Abstract: An analysis of the different surface reactions taking place in Li</w:t>
      </w:r>
      <w:r w:rsidRPr="00895B1E">
        <w:rPr>
          <w:kern w:val="0"/>
          <w:vertAlign w:val="subscript"/>
        </w:rPr>
        <w:t>2</w:t>
      </w:r>
      <w:r w:rsidRPr="00586CD8">
        <w:rPr>
          <w:kern w:val="2"/>
        </w:rPr>
        <w:t>O was performed in order to determine whether adsorption</w:t>
      </w:r>
      <w:r w:rsidR="00F81221">
        <w:rPr>
          <w:kern w:val="2"/>
        </w:rPr>
        <w:t xml:space="preserve"> and </w:t>
      </w:r>
      <w:r w:rsidRPr="00586CD8">
        <w:rPr>
          <w:kern w:val="2"/>
        </w:rPr>
        <w:t>desorption of tritium are first or second order reactions. Data from BEATRIX-II Phase I</w:t>
      </w:r>
      <w:r w:rsidR="00F81221">
        <w:rPr>
          <w:kern w:val="2"/>
        </w:rPr>
        <w:t xml:space="preserve"> and </w:t>
      </w:r>
      <w:r w:rsidRPr="00586CD8">
        <w:rPr>
          <w:kern w:val="2"/>
        </w:rPr>
        <w:t>CRITIC-I were used as basis for calculations. It was found that only second order adsorption/desorption on the surface of Li</w:t>
      </w:r>
      <w:r w:rsidRPr="00895B1E">
        <w:rPr>
          <w:kern w:val="0"/>
          <w:vertAlign w:val="subscript"/>
        </w:rPr>
        <w:t>2</w:t>
      </w:r>
      <w:r w:rsidRPr="00586CD8">
        <w:rPr>
          <w:kern w:val="2"/>
        </w:rPr>
        <w:t>O can predict the tritium behavior observed experimentally. (c) 2007 Elsevier B.V. All rights reserved.</w:t>
      </w:r>
    </w:p>
    <w:p w:rsidR="00B95188" w:rsidRPr="00586CD8" w:rsidRDefault="00B95188" w:rsidP="00B95188">
      <w:pPr>
        <w:pStyle w:val="a0"/>
        <w:rPr>
          <w:kern w:val="2"/>
        </w:rPr>
      </w:pPr>
      <w:r w:rsidRPr="00586CD8">
        <w:rPr>
          <w:kern w:val="2"/>
        </w:rPr>
        <w:t>Keywords: Adsorption, Analysis, Desorption, Inventory, Li</w:t>
      </w:r>
      <w:r w:rsidRPr="00895B1E">
        <w:rPr>
          <w:kern w:val="0"/>
          <w:vertAlign w:val="subscript"/>
        </w:rPr>
        <w:t>2</w:t>
      </w:r>
      <w:r w:rsidRPr="00586CD8">
        <w:rPr>
          <w:kern w:val="2"/>
        </w:rPr>
        <w:t>O, Lithium Ceramics, Model, Surface Processes, Transport, Tritium Release</w:t>
      </w:r>
    </w:p>
    <w:p w:rsidR="00131A88" w:rsidRPr="00A428C3" w:rsidRDefault="00131A88" w:rsidP="00131A88">
      <w:pPr>
        <w:pStyle w:val="1"/>
      </w:pPr>
      <w:r w:rsidRPr="00A428C3">
        <w:br w:type="page"/>
      </w:r>
      <w:bookmarkStart w:id="214" w:name="_Toc317160887"/>
      <w:r w:rsidRPr="00A428C3">
        <w:lastRenderedPageBreak/>
        <w:t xml:space="preserve">Title: </w:t>
      </w:r>
      <w:r w:rsidRPr="002315C3">
        <w:rPr>
          <w:szCs w:val="24"/>
        </w:rPr>
        <w:t>Future Generation Computer Systems</w:t>
      </w:r>
      <w:bookmarkEnd w:id="214"/>
    </w:p>
    <w:p w:rsidR="00131A88" w:rsidRDefault="00131A88" w:rsidP="00B72EF9">
      <w:pPr>
        <w:pStyle w:val="12"/>
      </w:pPr>
      <w:r>
        <w:t xml:space="preserve">Full Journal Title: </w:t>
      </w:r>
      <w:hyperlink r:id="rId287" w:history="1">
        <w:r w:rsidRPr="002315C3">
          <w:rPr>
            <w:rStyle w:val="a5"/>
          </w:rPr>
          <w:t>Future Generation Computer Systems</w:t>
        </w:r>
      </w:hyperlink>
    </w:p>
    <w:p w:rsidR="00131A88" w:rsidRPr="00A428C3" w:rsidRDefault="00131A88" w:rsidP="00B72EF9">
      <w:pPr>
        <w:pStyle w:val="12"/>
      </w:pPr>
      <w:r w:rsidRPr="00A428C3">
        <w:t xml:space="preserve">ISO Abbreviated Title: </w:t>
      </w:r>
    </w:p>
    <w:p w:rsidR="00131A88" w:rsidRPr="00A428C3" w:rsidRDefault="00131A88" w:rsidP="00B72EF9">
      <w:pPr>
        <w:pStyle w:val="12"/>
      </w:pPr>
      <w:r w:rsidRPr="00A428C3">
        <w:t>JCR Abbreviated Title</w:t>
      </w:r>
      <w:r>
        <w:t>:</w:t>
      </w:r>
      <w:r w:rsidRPr="00A428C3">
        <w:t xml:space="preserve"> </w:t>
      </w:r>
    </w:p>
    <w:p w:rsidR="00131A88" w:rsidRPr="00A428C3" w:rsidRDefault="00131A88" w:rsidP="00B72EF9">
      <w:pPr>
        <w:pStyle w:val="12"/>
      </w:pPr>
      <w:r>
        <w:t>ISSN:</w:t>
      </w:r>
      <w:r>
        <w:rPr>
          <w:rFonts w:hint="eastAsia"/>
        </w:rPr>
        <w:t xml:space="preserve"> </w:t>
      </w:r>
    </w:p>
    <w:p w:rsidR="00131A88" w:rsidRPr="00A428C3" w:rsidRDefault="00131A88" w:rsidP="00B72EF9">
      <w:pPr>
        <w:pStyle w:val="12"/>
      </w:pPr>
      <w:r w:rsidRPr="00A428C3">
        <w:t xml:space="preserve">Issues/Year: </w:t>
      </w:r>
    </w:p>
    <w:p w:rsidR="00131A88" w:rsidRPr="00A428C3" w:rsidRDefault="00131A88" w:rsidP="00B72EF9">
      <w:pPr>
        <w:pStyle w:val="12"/>
      </w:pPr>
      <w:r>
        <w:t xml:space="preserve">Journal Country/Territory: </w:t>
      </w:r>
    </w:p>
    <w:p w:rsidR="00131A88" w:rsidRPr="00A428C3" w:rsidRDefault="00131A88" w:rsidP="00B72EF9">
      <w:pPr>
        <w:pStyle w:val="12"/>
      </w:pPr>
      <w:r w:rsidRPr="00A428C3">
        <w:t xml:space="preserve">Language: </w:t>
      </w:r>
    </w:p>
    <w:p w:rsidR="00131A88" w:rsidRPr="00A428C3" w:rsidRDefault="00131A88" w:rsidP="00B72EF9">
      <w:pPr>
        <w:pStyle w:val="12"/>
      </w:pPr>
      <w:r w:rsidRPr="00A428C3">
        <w:t xml:space="preserve">Publisher: </w:t>
      </w:r>
    </w:p>
    <w:p w:rsidR="00131A88" w:rsidRPr="00A428C3" w:rsidRDefault="00131A88" w:rsidP="00B72EF9">
      <w:pPr>
        <w:pStyle w:val="12"/>
      </w:pPr>
      <w:r w:rsidRPr="00A428C3">
        <w:t xml:space="preserve">Publisher Address: </w:t>
      </w:r>
    </w:p>
    <w:p w:rsidR="00131A88" w:rsidRPr="00A428C3" w:rsidRDefault="00131A88" w:rsidP="00B72EF9">
      <w:pPr>
        <w:pStyle w:val="12"/>
      </w:pPr>
      <w:r w:rsidRPr="00A428C3">
        <w:t>Subject Categories:</w:t>
      </w:r>
    </w:p>
    <w:p w:rsidR="00131A88" w:rsidRPr="00A428C3" w:rsidRDefault="00131A88" w:rsidP="00B72EF9">
      <w:pPr>
        <w:pStyle w:val="12"/>
      </w:pPr>
      <w:r w:rsidRPr="00A428C3">
        <w:t xml:space="preserve">: Impact Factor </w:t>
      </w:r>
    </w:p>
    <w:p w:rsidR="00131A88" w:rsidRDefault="00131A88" w:rsidP="00131A88">
      <w:pPr>
        <w:pStyle w:val="a0"/>
        <w:rPr>
          <w:kern w:val="0"/>
          <w:szCs w:val="24"/>
        </w:rPr>
      </w:pPr>
      <w:r>
        <w:rPr>
          <w:rFonts w:hint="eastAsia"/>
          <w:kern w:val="0"/>
          <w:szCs w:val="24"/>
        </w:rPr>
        <w:t xml:space="preserve">? </w:t>
      </w:r>
      <w:r w:rsidRPr="002315C3">
        <w:rPr>
          <w:kern w:val="0"/>
          <w:szCs w:val="24"/>
        </w:rPr>
        <w:t xml:space="preserve">Huang, </w:t>
      </w:r>
      <w:r>
        <w:rPr>
          <w:rFonts w:hint="eastAsia"/>
          <w:kern w:val="0"/>
          <w:szCs w:val="24"/>
        </w:rPr>
        <w:t>Z.X.</w:t>
      </w:r>
      <w:r w:rsidR="00F81221">
        <w:rPr>
          <w:rFonts w:hint="eastAsia"/>
          <w:kern w:val="0"/>
          <w:szCs w:val="24"/>
        </w:rPr>
        <w:t xml:space="preserve"> and </w:t>
      </w:r>
      <w:r w:rsidRPr="002315C3">
        <w:rPr>
          <w:kern w:val="0"/>
          <w:szCs w:val="24"/>
        </w:rPr>
        <w:t>Qiu</w:t>
      </w:r>
      <w:r>
        <w:rPr>
          <w:rFonts w:hint="eastAsia"/>
          <w:kern w:val="0"/>
          <w:szCs w:val="24"/>
        </w:rPr>
        <w:t>, Y.H.</w:t>
      </w:r>
      <w:r>
        <w:rPr>
          <w:kern w:val="0"/>
          <w:szCs w:val="24"/>
        </w:rPr>
        <w:t xml:space="preserve"> (20</w:t>
      </w:r>
      <w:r>
        <w:rPr>
          <w:rFonts w:hint="eastAsia"/>
          <w:kern w:val="0"/>
          <w:szCs w:val="24"/>
        </w:rPr>
        <w:t>10</w:t>
      </w:r>
      <w:r>
        <w:rPr>
          <w:kern w:val="0"/>
          <w:szCs w:val="24"/>
        </w:rPr>
        <w:t xml:space="preserve">), </w:t>
      </w:r>
      <w:r w:rsidRPr="002315C3">
        <w:rPr>
          <w:kern w:val="0"/>
          <w:szCs w:val="24"/>
        </w:rPr>
        <w:t>A multiple-perspective approach to constructing</w:t>
      </w:r>
      <w:r w:rsidR="00F81221">
        <w:rPr>
          <w:kern w:val="0"/>
          <w:szCs w:val="24"/>
        </w:rPr>
        <w:t xml:space="preserve"> and </w:t>
      </w:r>
      <w:r w:rsidRPr="002315C3">
        <w:rPr>
          <w:kern w:val="0"/>
          <w:szCs w:val="24"/>
        </w:rPr>
        <w:t>aggregating Citation Semantic Link Network</w:t>
      </w:r>
      <w:r>
        <w:rPr>
          <w:kern w:val="0"/>
          <w:szCs w:val="24"/>
        </w:rPr>
        <w:t xml:space="preserve">. </w:t>
      </w:r>
      <w:r w:rsidRPr="002315C3">
        <w:rPr>
          <w:i/>
          <w:kern w:val="0"/>
          <w:szCs w:val="24"/>
        </w:rPr>
        <w:t>Future Generation Computer Systems</w:t>
      </w:r>
      <w:r>
        <w:rPr>
          <w:kern w:val="0"/>
          <w:szCs w:val="24"/>
        </w:rPr>
        <w:t xml:space="preserve">, </w:t>
      </w:r>
      <w:r>
        <w:rPr>
          <w:rFonts w:hint="eastAsia"/>
          <w:b/>
          <w:bCs/>
          <w:kern w:val="0"/>
          <w:szCs w:val="24"/>
        </w:rPr>
        <w:t>26</w:t>
      </w:r>
      <w:r>
        <w:rPr>
          <w:kern w:val="0"/>
          <w:szCs w:val="24"/>
        </w:rPr>
        <w:t xml:space="preserve"> (</w:t>
      </w:r>
      <w:r>
        <w:rPr>
          <w:rFonts w:hint="eastAsia"/>
          <w:kern w:val="0"/>
          <w:szCs w:val="24"/>
        </w:rPr>
        <w:t>3</w:t>
      </w:r>
      <w:r>
        <w:rPr>
          <w:kern w:val="0"/>
          <w:szCs w:val="24"/>
        </w:rPr>
        <w:t xml:space="preserve">), </w:t>
      </w:r>
      <w:r w:rsidRPr="002315C3">
        <w:rPr>
          <w:kern w:val="0"/>
          <w:szCs w:val="24"/>
        </w:rPr>
        <w:t>400-407</w:t>
      </w:r>
      <w:r>
        <w:rPr>
          <w:kern w:val="0"/>
          <w:szCs w:val="24"/>
        </w:rPr>
        <w:t>.</w:t>
      </w:r>
    </w:p>
    <w:p w:rsidR="00131A88" w:rsidRDefault="00131A88" w:rsidP="00131A88">
      <w:pPr>
        <w:pStyle w:val="a0"/>
        <w:rPr>
          <w:kern w:val="0"/>
          <w:szCs w:val="24"/>
        </w:rPr>
      </w:pPr>
      <w:r>
        <w:rPr>
          <w:rFonts w:hint="eastAsia"/>
          <w:kern w:val="0"/>
          <w:szCs w:val="24"/>
        </w:rPr>
        <w:t xml:space="preserve">Full Text: </w:t>
      </w:r>
      <w:hyperlink r:id="rId288" w:history="1">
        <w:r w:rsidRPr="002315C3">
          <w:rPr>
            <w:rStyle w:val="a5"/>
            <w:kern w:val="0"/>
            <w:szCs w:val="24"/>
          </w:rPr>
          <w:t>2010\Fut Gen Com Sys26, 400.pdf</w:t>
        </w:r>
      </w:hyperlink>
    </w:p>
    <w:p w:rsidR="00131A88" w:rsidRPr="002315C3" w:rsidRDefault="00131A88" w:rsidP="00131A88">
      <w:pPr>
        <w:pStyle w:val="a0"/>
        <w:rPr>
          <w:kern w:val="0"/>
          <w:szCs w:val="24"/>
        </w:rPr>
      </w:pPr>
      <w:r w:rsidRPr="002315C3">
        <w:rPr>
          <w:kern w:val="0"/>
          <w:szCs w:val="24"/>
        </w:rPr>
        <w:t>Abstract</w:t>
      </w:r>
      <w:r>
        <w:rPr>
          <w:rFonts w:hint="eastAsia"/>
          <w:kern w:val="0"/>
          <w:szCs w:val="24"/>
        </w:rPr>
        <w:t xml:space="preserve">: </w:t>
      </w:r>
      <w:r w:rsidRPr="002315C3">
        <w:rPr>
          <w:kern w:val="0"/>
          <w:szCs w:val="24"/>
        </w:rPr>
        <w:t>Various kinds of semantic relationships exist among scientific literatures which worth to be explored. This paper proposes a Citation Semantic Link Network (C-SLN) to describe the semantic information over the literature citation networks. A framework of the construction of C-SLN is represented by integrating several NLP methods. The methods of aggregating a C-SLN</w:t>
      </w:r>
      <w:r w:rsidR="00F81221">
        <w:rPr>
          <w:kern w:val="0"/>
          <w:szCs w:val="24"/>
        </w:rPr>
        <w:t xml:space="preserve"> and </w:t>
      </w:r>
      <w:r w:rsidRPr="002315C3">
        <w:rPr>
          <w:kern w:val="0"/>
          <w:szCs w:val="24"/>
        </w:rPr>
        <w:t>the algorithms of discovering opinion communities in a C-SLN are also discussed. Based on a multi-perspective exploration on the C-SLN, we can effectively find articles of high importance, aggregate the function of citations</w:t>
      </w:r>
      <w:r w:rsidR="00F81221">
        <w:rPr>
          <w:kern w:val="0"/>
          <w:szCs w:val="24"/>
        </w:rPr>
        <w:t xml:space="preserve"> and </w:t>
      </w:r>
      <w:r w:rsidRPr="002315C3">
        <w:rPr>
          <w:kern w:val="0"/>
          <w:szCs w:val="24"/>
        </w:rPr>
        <w:t>detect opinion communities among scientific documents.</w:t>
      </w:r>
    </w:p>
    <w:p w:rsidR="00131A88" w:rsidRDefault="00131A88" w:rsidP="00131A88">
      <w:pPr>
        <w:pStyle w:val="a0"/>
        <w:rPr>
          <w:kern w:val="0"/>
          <w:szCs w:val="24"/>
        </w:rPr>
      </w:pPr>
      <w:r w:rsidRPr="002315C3">
        <w:rPr>
          <w:kern w:val="0"/>
          <w:szCs w:val="24"/>
        </w:rPr>
        <w:t>Keywords: Semantic Link Network</w:t>
      </w:r>
      <w:r>
        <w:rPr>
          <w:kern w:val="0"/>
          <w:szCs w:val="24"/>
        </w:rPr>
        <w:t>,</w:t>
      </w:r>
      <w:r w:rsidRPr="002315C3">
        <w:rPr>
          <w:kern w:val="0"/>
          <w:szCs w:val="24"/>
        </w:rPr>
        <w:t xml:space="preserve"> Opinion Mining</w:t>
      </w:r>
      <w:r>
        <w:rPr>
          <w:kern w:val="0"/>
          <w:szCs w:val="24"/>
        </w:rPr>
        <w:t>,</w:t>
      </w:r>
      <w:r w:rsidRPr="002315C3">
        <w:rPr>
          <w:kern w:val="0"/>
          <w:szCs w:val="24"/>
        </w:rPr>
        <w:t xml:space="preserve"> Sentiment Analysis</w:t>
      </w:r>
      <w:r>
        <w:rPr>
          <w:kern w:val="0"/>
          <w:szCs w:val="24"/>
        </w:rPr>
        <w:t>,</w:t>
      </w:r>
      <w:r w:rsidRPr="002315C3">
        <w:rPr>
          <w:kern w:val="0"/>
          <w:szCs w:val="24"/>
        </w:rPr>
        <w:t xml:space="preserve"> Community Identification</w:t>
      </w:r>
    </w:p>
    <w:p w:rsidR="00B95188" w:rsidRPr="00A428C3" w:rsidRDefault="00B95188" w:rsidP="00B95188">
      <w:pPr>
        <w:pStyle w:val="1"/>
      </w:pPr>
      <w:r w:rsidRPr="00A428C3">
        <w:br w:type="page"/>
      </w:r>
      <w:bookmarkStart w:id="215" w:name="_Toc186647701"/>
      <w:bookmarkStart w:id="216" w:name="_Toc317160888"/>
      <w:r w:rsidRPr="00A428C3">
        <w:lastRenderedPageBreak/>
        <w:t>Title: Futures</w:t>
      </w:r>
      <w:bookmarkEnd w:id="215"/>
      <w:bookmarkEnd w:id="216"/>
    </w:p>
    <w:p w:rsidR="00B95188" w:rsidRPr="00A428C3" w:rsidRDefault="00B95188" w:rsidP="00B72EF9">
      <w:pPr>
        <w:pStyle w:val="12"/>
      </w:pPr>
      <w:r w:rsidRPr="00A428C3">
        <w:t>Full Journal Title: Futures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Niiniluoto, </w:t>
      </w:r>
      <w:smartTag w:uri="urn:schemas-microsoft-com:office:smarttags" w:element="place">
        <w:r w:rsidRPr="00A428C3">
          <w:t>I.</w:t>
        </w:r>
      </w:smartTag>
      <w:r w:rsidRPr="00A428C3">
        <w:t xml:space="preserve"> (2001), Futures studies: science or art? </w:t>
      </w:r>
      <w:r w:rsidRPr="00A428C3">
        <w:rPr>
          <w:i/>
          <w:iCs/>
        </w:rPr>
        <w:t>Futures</w:t>
      </w:r>
      <w:r w:rsidRPr="00A428C3">
        <w:t xml:space="preserve">, </w:t>
      </w:r>
      <w:r w:rsidRPr="00A428C3">
        <w:rPr>
          <w:b/>
        </w:rPr>
        <w:t>33</w:t>
      </w:r>
      <w:r w:rsidRPr="00A428C3">
        <w:t xml:space="preserve"> (5), 371-377.</w:t>
      </w:r>
    </w:p>
    <w:p w:rsidR="00B95188" w:rsidRPr="00A428C3" w:rsidRDefault="00B95188" w:rsidP="00B95188">
      <w:pPr>
        <w:pStyle w:val="a0"/>
      </w:pPr>
      <w:r w:rsidRPr="00A428C3">
        <w:t xml:space="preserve">Full Text: </w:t>
      </w:r>
      <w:hyperlink r:id="rId289" w:history="1">
        <w:r w:rsidRPr="00A428C3">
          <w:rPr>
            <w:rStyle w:val="a5"/>
          </w:rPr>
          <w:t>F\Futures33, 371.pdf</w:t>
        </w:r>
      </w:hyperlink>
    </w:p>
    <w:p w:rsidR="00B95188" w:rsidRPr="00A428C3" w:rsidRDefault="00B95188" w:rsidP="00B95188">
      <w:pPr>
        <w:pStyle w:val="a0"/>
      </w:pPr>
      <w:r w:rsidRPr="00A428C3">
        <w:t>Abstract: In this paper, I make an attempt to clarify the nature of futures studies with the distinction between descriptive science</w:t>
      </w:r>
      <w:r w:rsidR="00F81221">
        <w:t xml:space="preserve"> and </w:t>
      </w:r>
      <w:r w:rsidRPr="00A428C3">
        <w:t>design science. Instead of the dichotomy between basic</w:t>
      </w:r>
      <w:r w:rsidR="00F81221">
        <w:t xml:space="preserve"> and </w:t>
      </w:r>
      <w:r w:rsidRPr="00A428C3">
        <w:t xml:space="preserve">applied research, this distinction seems to be helpful in the task of understanding the nature of many new </w:t>
      </w:r>
      <w:r w:rsidR="000352E7">
        <w:t>“</w:t>
      </w:r>
      <w:r w:rsidRPr="00A428C3">
        <w:t>practical</w:t>
      </w:r>
      <w:r w:rsidR="000352E7">
        <w:t>”</w:t>
      </w:r>
      <w:r w:rsidR="00F81221">
        <w:t xml:space="preserve"> and </w:t>
      </w:r>
      <w:r w:rsidR="000352E7">
        <w:t>“</w:t>
      </w:r>
      <w:r w:rsidRPr="00A428C3">
        <w:t>professional</w:t>
      </w:r>
      <w:r w:rsidR="000352E7">
        <w:t>”</w:t>
      </w:r>
      <w:r w:rsidRPr="00A428C3">
        <w:t xml:space="preserve"> disciplines. It also serves to clarify the question raised in my title: the opposition between </w:t>
      </w:r>
      <w:r w:rsidR="000352E7">
        <w:t>“</w:t>
      </w:r>
      <w:r w:rsidRPr="00A428C3">
        <w:t>science</w:t>
      </w:r>
      <w:r w:rsidR="000352E7">
        <w:t>”</w:t>
      </w:r>
      <w:r w:rsidR="00F81221">
        <w:t xml:space="preserve"> and </w:t>
      </w:r>
      <w:r w:rsidR="000352E7">
        <w:t>“</w:t>
      </w:r>
      <w:r w:rsidRPr="00A428C3">
        <w:t>art</w:t>
      </w:r>
      <w:r w:rsidR="000352E7">
        <w:t>”</w:t>
      </w:r>
      <w:r w:rsidRPr="00A428C3">
        <w:t xml:space="preserve"> is not here the one between natural science</w:t>
      </w:r>
      <w:r w:rsidR="00F81221">
        <w:t xml:space="preserve"> and </w:t>
      </w:r>
      <w:r w:rsidRPr="00A428C3">
        <w:t xml:space="preserve">the humanities, but rather the Latin distinction between </w:t>
      </w:r>
      <w:r w:rsidRPr="00A428C3">
        <w:rPr>
          <w:i/>
          <w:iCs/>
        </w:rPr>
        <w:t>scientia</w:t>
      </w:r>
      <w:r w:rsidRPr="00A428C3">
        <w:t xml:space="preserve"> (as a form of knowledge)</w:t>
      </w:r>
      <w:r w:rsidR="00F81221">
        <w:t xml:space="preserve"> and </w:t>
      </w:r>
      <w:r w:rsidRPr="00A428C3">
        <w:rPr>
          <w:i/>
          <w:iCs/>
        </w:rPr>
        <w:t>ars</w:t>
      </w:r>
      <w:r w:rsidRPr="00A428C3">
        <w:t xml:space="preserve"> (as a form of skill). As </w:t>
      </w:r>
      <w:r w:rsidRPr="00A428C3">
        <w:rPr>
          <w:i/>
          <w:iCs/>
        </w:rPr>
        <w:t>ars</w:t>
      </w:r>
      <w:r w:rsidRPr="00A428C3">
        <w:t xml:space="preserve"> is a translation of the Greek term </w:t>
      </w:r>
      <w:r w:rsidRPr="00A428C3">
        <w:rPr>
          <w:i/>
          <w:iCs/>
        </w:rPr>
        <w:t>techne</w:t>
      </w:r>
      <w:r w:rsidRPr="00A428C3">
        <w:t>, the question can be reformulated as the query whether futures studies is a science or a form of social technology.</w:t>
      </w:r>
    </w:p>
    <w:p w:rsidR="00B95188" w:rsidRPr="00A428C3" w:rsidRDefault="00B95188" w:rsidP="00B95188">
      <w:pPr>
        <w:pStyle w:val="1"/>
      </w:pPr>
      <w:r w:rsidRPr="00A428C3">
        <w:br w:type="page"/>
      </w:r>
      <w:bookmarkStart w:id="217" w:name="_Toc455569453"/>
      <w:bookmarkStart w:id="218" w:name="_Toc487190678"/>
      <w:bookmarkStart w:id="219" w:name="_Toc487882181"/>
      <w:bookmarkStart w:id="220" w:name="_Toc490687978"/>
      <w:bookmarkStart w:id="221" w:name="_Toc186647702"/>
      <w:bookmarkStart w:id="222" w:name="_Toc317160889"/>
      <w:r w:rsidRPr="00A428C3">
        <w:lastRenderedPageBreak/>
        <w:t>Title: Fuzzy Sets</w:t>
      </w:r>
      <w:r w:rsidR="00F81221">
        <w:t xml:space="preserve"> and </w:t>
      </w:r>
      <w:r w:rsidRPr="00A428C3">
        <w:t>Systems</w:t>
      </w:r>
      <w:bookmarkEnd w:id="217"/>
      <w:bookmarkEnd w:id="218"/>
      <w:bookmarkEnd w:id="219"/>
      <w:bookmarkEnd w:id="220"/>
      <w:bookmarkEnd w:id="221"/>
      <w:bookmarkEnd w:id="222"/>
    </w:p>
    <w:p w:rsidR="00B95188" w:rsidRPr="00A428C3" w:rsidRDefault="00B95188" w:rsidP="00B72EF9">
      <w:pPr>
        <w:pStyle w:val="12"/>
      </w:pPr>
      <w:r w:rsidRPr="00A428C3">
        <w:t xml:space="preserve">Full Journal Title: </w:t>
      </w:r>
      <w:hyperlink r:id="rId290" w:history="1">
        <w:r w:rsidRPr="00A428C3">
          <w:rPr>
            <w:rStyle w:val="a5"/>
          </w:rPr>
          <w:t>Fuzzy Sets</w:t>
        </w:r>
        <w:r w:rsidR="00F81221">
          <w:rPr>
            <w:rStyle w:val="a5"/>
          </w:rPr>
          <w:t xml:space="preserve"> and </w:t>
        </w:r>
        <w:r w:rsidRPr="00A428C3">
          <w:rPr>
            <w:rStyle w:val="a5"/>
          </w:rPr>
          <w:t>Systems</w:t>
        </w:r>
      </w:hyperlink>
    </w:p>
    <w:p w:rsidR="00B95188" w:rsidRPr="00A55D2F" w:rsidRDefault="00B95188" w:rsidP="00A55D2F">
      <w:pPr>
        <w:pStyle w:val="12"/>
      </w:pPr>
      <w:r w:rsidRPr="00A55D2F">
        <w:t>ISO Abbreviated Title: Fuzzy Sets Syst.</w:t>
      </w:r>
    </w:p>
    <w:p w:rsidR="00B95188" w:rsidRPr="00A55D2F" w:rsidRDefault="00B95188" w:rsidP="00A55D2F">
      <w:pPr>
        <w:pStyle w:val="12"/>
      </w:pPr>
      <w:r w:rsidRPr="00A55D2F">
        <w:t>JCR Abbreviated Title: Fuzzy Set Syst</w:t>
      </w:r>
    </w:p>
    <w:p w:rsidR="00B95188" w:rsidRPr="00A55D2F" w:rsidRDefault="00B95188" w:rsidP="00A55D2F">
      <w:pPr>
        <w:pStyle w:val="12"/>
      </w:pPr>
      <w:r w:rsidRPr="00A55D2F">
        <w:t>ISSN: 0165-0114</w:t>
      </w:r>
    </w:p>
    <w:p w:rsidR="00B95188" w:rsidRPr="00A55D2F" w:rsidRDefault="00B95188" w:rsidP="00A55D2F">
      <w:pPr>
        <w:pStyle w:val="12"/>
      </w:pPr>
      <w:r w:rsidRPr="00A55D2F">
        <w:t>Issues/Year: 24</w:t>
      </w:r>
    </w:p>
    <w:p w:rsidR="00B95188" w:rsidRPr="00A55D2F" w:rsidRDefault="00B95188" w:rsidP="00A55D2F">
      <w:pPr>
        <w:pStyle w:val="12"/>
      </w:pPr>
      <w:r w:rsidRPr="00A55D2F">
        <w:t>Journal Country/Territory: Netherlands</w:t>
      </w:r>
    </w:p>
    <w:p w:rsidR="00B95188" w:rsidRPr="00A55D2F" w:rsidRDefault="00B95188" w:rsidP="00A55D2F">
      <w:pPr>
        <w:pStyle w:val="12"/>
      </w:pPr>
      <w:r w:rsidRPr="00A55D2F">
        <w:t>Language: English</w:t>
      </w:r>
    </w:p>
    <w:p w:rsidR="00B95188" w:rsidRPr="00A55D2F" w:rsidRDefault="00B95188" w:rsidP="00A55D2F">
      <w:pPr>
        <w:pStyle w:val="12"/>
      </w:pPr>
      <w:r w:rsidRPr="00A55D2F">
        <w:t>Publisher: Elsevier Science BV</w:t>
      </w:r>
    </w:p>
    <w:p w:rsidR="00B95188" w:rsidRPr="00A55D2F" w:rsidRDefault="00B95188" w:rsidP="00A55D2F">
      <w:pPr>
        <w:pStyle w:val="12"/>
      </w:pPr>
      <w:r w:rsidRPr="00A55D2F">
        <w:t>Publisher Address: PO Box 211, 1000 AE Amsterdam, Netherlands</w:t>
      </w:r>
    </w:p>
    <w:p w:rsidR="00B95188" w:rsidRPr="00A55D2F" w:rsidRDefault="00B95188" w:rsidP="00A55D2F">
      <w:pPr>
        <w:pStyle w:val="12"/>
      </w:pPr>
      <w:r w:rsidRPr="00A55D2F">
        <w:t>Subject Categories:</w:t>
      </w:r>
    </w:p>
    <w:p w:rsidR="00B95188" w:rsidRPr="00A55D2F" w:rsidRDefault="00B95188" w:rsidP="00A55D2F">
      <w:pPr>
        <w:pStyle w:val="12"/>
      </w:pPr>
      <w:r w:rsidRPr="00A55D2F">
        <w:t xml:space="preserve">Computer Science, Theory &amp; Methods Mathematics, Applied Statistics &amp; Probability: Impact Factor </w:t>
      </w:r>
    </w:p>
    <w:p w:rsidR="00B95188" w:rsidRPr="00A428C3" w:rsidRDefault="00B95188" w:rsidP="00B95188">
      <w:pPr>
        <w:pStyle w:val="a0"/>
      </w:pPr>
      <w:r w:rsidRPr="00A428C3">
        <w:t>Lee, C.S.</w:t>
      </w:r>
      <w:r w:rsidR="00F81221">
        <w:t xml:space="preserve"> and </w:t>
      </w:r>
      <w:r w:rsidRPr="00A428C3">
        <w:t xml:space="preserve">Wen, C.G. (1996), River assimilative capacity analysis via fuzzy linear programming. </w:t>
      </w:r>
      <w:r w:rsidRPr="00A428C3">
        <w:rPr>
          <w:i/>
        </w:rPr>
        <w:t>Fuzzy Sets</w:t>
      </w:r>
      <w:r w:rsidR="00F81221">
        <w:rPr>
          <w:i/>
        </w:rPr>
        <w:t xml:space="preserve"> and </w:t>
      </w:r>
      <w:r w:rsidRPr="00A428C3">
        <w:rPr>
          <w:i/>
        </w:rPr>
        <w:t>Systems</w:t>
      </w:r>
      <w:r w:rsidRPr="00A428C3">
        <w:t xml:space="preserve">, </w:t>
      </w:r>
      <w:r w:rsidRPr="00A428C3">
        <w:rPr>
          <w:b/>
        </w:rPr>
        <w:t>79</w:t>
      </w:r>
      <w:r w:rsidRPr="00A428C3">
        <w:t xml:space="preserve"> (2), 191-201.</w:t>
      </w:r>
    </w:p>
    <w:p w:rsidR="00B95188" w:rsidRPr="00A428C3" w:rsidRDefault="00B95188" w:rsidP="00B95188">
      <w:pPr>
        <w:pStyle w:val="a0"/>
      </w:pPr>
      <w:r w:rsidRPr="00A428C3">
        <w:t xml:space="preserve">Full Text: </w:t>
      </w:r>
      <w:hyperlink r:id="rId291" w:history="1">
        <w:r w:rsidRPr="00A428C3">
          <w:rPr>
            <w:rStyle w:val="a5"/>
          </w:rPr>
          <w:t>F\Fuz Set Sys79, 191.pdf</w:t>
        </w:r>
      </w:hyperlink>
    </w:p>
    <w:p w:rsidR="00B95188" w:rsidRPr="00A428C3" w:rsidRDefault="00B95188" w:rsidP="00B95188">
      <w:pPr>
        <w:pStyle w:val="a0"/>
      </w:pPr>
      <w:r w:rsidRPr="00A428C3">
        <w:t>Abstract: The assimilative capacity of a river, that is the so-called allowable pollution loading in a river basin, is a problem of water quality management involving optimization subject to constraints of standards of water quality</w:t>
      </w:r>
      <w:r w:rsidR="00F81221">
        <w:t xml:space="preserve"> and </w:t>
      </w:r>
      <w:r w:rsidRPr="00A428C3">
        <w:t>their models. This study is an up-to-date evaluation of assimilative capacity in a river basin with consideration of the imprecision of the water environment, i.e. water quality</w:t>
      </w:r>
      <w:r w:rsidR="00F81221">
        <w:t xml:space="preserve"> and </w:t>
      </w:r>
      <w:r w:rsidRPr="00A428C3">
        <w:t>river flowrate. The purposes of this study, in comparison with crisp linear programming (LP), is to select</w:t>
      </w:r>
      <w:r w:rsidR="00F81221">
        <w:t xml:space="preserve"> and </w:t>
      </w:r>
      <w:r w:rsidRPr="00A428C3">
        <w:t>evaluate four well-known fuzzy linear programming (FLP) approaches</w:t>
      </w:r>
      <w:r w:rsidR="00F81221">
        <w:t xml:space="preserve"> and </w:t>
      </w:r>
      <w:r w:rsidRPr="00A428C3">
        <w:t xml:space="preserve">to apply them to the assimilative capacity of a river basin. </w:t>
      </w:r>
      <w:smartTag w:uri="urn:schemas-microsoft-com:office:smarttags" w:element="PlaceName">
        <w:r w:rsidRPr="00A428C3">
          <w:t>Tou-Chen</w:t>
        </w:r>
      </w:smartTag>
      <w:r w:rsidRPr="00A428C3">
        <w:t xml:space="preserve"> </w:t>
      </w:r>
      <w:smartTag w:uri="urn:schemas-microsoft-com:office:smarttags" w:element="PlaceType">
        <w:r w:rsidRPr="00A428C3">
          <w:t>River Basin</w:t>
        </w:r>
      </w:smartTag>
      <w:r w:rsidRPr="00A428C3">
        <w:t xml:space="preserve"> in </w:t>
      </w:r>
      <w:smartTag w:uri="urn:schemas-microsoft-com:office:smarttags" w:element="place">
        <w:smartTag w:uri="urn:schemas-microsoft-com:office:smarttags" w:element="country-region">
          <w:r w:rsidRPr="00A428C3">
            <w:t>Taiwan</w:t>
          </w:r>
        </w:smartTag>
      </w:smartTag>
      <w:r w:rsidRPr="00A428C3">
        <w:t>. The results show the models of assimilative capacity of FLP are better than those of a crisp one, which reflect the flexible characteristics of the former approaches. The emphases in this paper are on how to formulate problems of assimilative capacity of a river according to FLP models</w:t>
      </w:r>
      <w:r w:rsidR="00F81221">
        <w:t xml:space="preserve"> and </w:t>
      </w:r>
      <w:r w:rsidRPr="00A428C3">
        <w:t>on how to solve them according to algorithms of crisp LP. Furthermore, the results of river analysis serve as criteria for regulatory agencies to implement the control of pollution sources</w:t>
      </w:r>
      <w:r w:rsidR="00F81221">
        <w:t xml:space="preserve"> and </w:t>
      </w:r>
      <w:r w:rsidRPr="00A428C3">
        <w:t>to accomplish finally the sustainable use of water resources.</w:t>
      </w:r>
    </w:p>
    <w:p w:rsidR="00B95188" w:rsidRPr="00A428C3" w:rsidRDefault="00B95188" w:rsidP="00B95188">
      <w:pPr>
        <w:pStyle w:val="a0"/>
      </w:pPr>
      <w:r w:rsidRPr="00A428C3">
        <w:t>Lee, C.S.</w:t>
      </w:r>
      <w:r w:rsidR="00F81221">
        <w:t xml:space="preserve"> and </w:t>
      </w:r>
      <w:r w:rsidRPr="00A428C3">
        <w:t xml:space="preserve">Wen, C.G. (1997), Fuzzy goal programming approach for water quality management in a river Basin. </w:t>
      </w:r>
      <w:r w:rsidRPr="00A428C3">
        <w:rPr>
          <w:i/>
        </w:rPr>
        <w:t>Fuzzy Sets</w:t>
      </w:r>
      <w:r w:rsidR="00F81221">
        <w:rPr>
          <w:i/>
        </w:rPr>
        <w:t xml:space="preserve"> and </w:t>
      </w:r>
      <w:r w:rsidRPr="00A428C3">
        <w:rPr>
          <w:i/>
        </w:rPr>
        <w:t>Systems</w:t>
      </w:r>
      <w:r w:rsidRPr="00A428C3">
        <w:t xml:space="preserve">, </w:t>
      </w:r>
      <w:r w:rsidRPr="00A428C3">
        <w:rPr>
          <w:b/>
        </w:rPr>
        <w:t>89</w:t>
      </w:r>
      <w:r w:rsidRPr="00A428C3">
        <w:t xml:space="preserve"> (2), 181-192.</w:t>
      </w:r>
    </w:p>
    <w:p w:rsidR="00B95188" w:rsidRPr="00A428C3" w:rsidRDefault="00B95188" w:rsidP="00B95188">
      <w:pPr>
        <w:pStyle w:val="a0"/>
      </w:pPr>
      <w:r w:rsidRPr="00A428C3">
        <w:t xml:space="preserve">Full Text: </w:t>
      </w:r>
      <w:hyperlink r:id="rId292" w:history="1">
        <w:r w:rsidRPr="00A428C3">
          <w:rPr>
            <w:rStyle w:val="a5"/>
          </w:rPr>
          <w:t>F\Fuz Set Sys89, 181.pdf</w:t>
        </w:r>
      </w:hyperlink>
    </w:p>
    <w:p w:rsidR="00B95188" w:rsidRPr="00A428C3" w:rsidRDefault="00B95188" w:rsidP="00B95188">
      <w:pPr>
        <w:pStyle w:val="a0"/>
      </w:pPr>
      <w:r w:rsidRPr="00A428C3">
        <w:t xml:space="preserve">Abstract: Two fuzzy goal programming (FGP) approaches are applied to water quality management in a river basin for solving multiobjective optimization problems </w:t>
      </w:r>
      <w:r w:rsidRPr="00A428C3">
        <w:lastRenderedPageBreak/>
        <w:t>involving vague</w:t>
      </w:r>
      <w:r w:rsidR="00F81221">
        <w:t xml:space="preserve"> and </w:t>
      </w:r>
      <w:r w:rsidRPr="00A428C3">
        <w:t>imprecise information. Several FGP models, including equal weight</w:t>
      </w:r>
      <w:r w:rsidR="00F81221">
        <w:t xml:space="preserve"> and </w:t>
      </w:r>
      <w:r w:rsidRPr="00A428C3">
        <w:t>unequal weight, nonpreemptive priority</w:t>
      </w:r>
      <w:r w:rsidR="00F81221">
        <w:t xml:space="preserve"> and </w:t>
      </w:r>
      <w:r w:rsidRPr="00A428C3">
        <w:t>preemptive priority, are proposed to assist water quality management involving multiple conflicting goals. Optimal water quality management involves obtaining optimal analysis of assimilative capacity (also referred to as allowable pollution loading)</w:t>
      </w:r>
      <w:r w:rsidR="00F81221">
        <w:t xml:space="preserve"> and </w:t>
      </w:r>
      <w:r w:rsidRPr="00A428C3">
        <w:t>treatment cost of wastewater based on models</w:t>
      </w:r>
      <w:r w:rsidR="00F81221">
        <w:t xml:space="preserve"> and </w:t>
      </w:r>
      <w:r w:rsidRPr="00A428C3">
        <w:t>standards of water quality, as well as an equitable removal of wastewater in a river basin. Two FGP schemes that are capable of maximizing achieved membership function</w:t>
      </w:r>
      <w:r w:rsidR="00F81221">
        <w:t xml:space="preserve"> and </w:t>
      </w:r>
      <w:r w:rsidRPr="00A428C3">
        <w:t>minimizing the deviation from a set of preferred target assimilative capacity</w:t>
      </w:r>
      <w:r w:rsidR="00F81221">
        <w:t xml:space="preserve"> and </w:t>
      </w:r>
      <w:r w:rsidRPr="00A428C3">
        <w:t>treatment cost are considered. Moreover, methodologies using two fuzzy decision theories in FGP approaches, i.e., max-min operator</w:t>
      </w:r>
      <w:r w:rsidR="00F81221">
        <w:t xml:space="preserve"> and </w:t>
      </w:r>
      <w:r w:rsidRPr="00A428C3">
        <w:t>compensatory operator, are also proposed. Those methodologies are illustrated in a case study of multiobjective water quality management in the Tou-Chen River Basin, Taiwan. The case study demonstrates the capability of the two FGP approaches based on variable fuzzy decision theories to work suitably in water quality management in a river basin.</w:t>
      </w:r>
    </w:p>
    <w:p w:rsidR="00A55D2F" w:rsidRDefault="00A55D2F" w:rsidP="00A55D2F">
      <w:pPr>
        <w:pStyle w:val="a0"/>
        <w:rPr>
          <w:kern w:val="0"/>
        </w:rPr>
      </w:pPr>
      <w:r>
        <w:rPr>
          <w:rFonts w:hint="eastAsia"/>
          <w:kern w:val="0"/>
        </w:rPr>
        <w:t xml:space="preserve">? </w:t>
      </w:r>
      <w:r>
        <w:rPr>
          <w:kern w:val="0"/>
        </w:rPr>
        <w:t xml:space="preserve">van Wezenbeek, W. (1999), A selection of the most cited papers in </w:t>
      </w:r>
      <w:r>
        <w:rPr>
          <w:i/>
          <w:iCs/>
          <w:kern w:val="0"/>
        </w:rPr>
        <w:t>Fuzzy Sets and Systems</w:t>
      </w:r>
      <w:r>
        <w:rPr>
          <w:kern w:val="0"/>
        </w:rPr>
        <w:t xml:space="preserve"> - Publisher</w:t>
      </w:r>
      <w:r w:rsidR="000352E7">
        <w:rPr>
          <w:kern w:val="0"/>
        </w:rPr>
        <w:t>’</w:t>
      </w:r>
      <w:r>
        <w:rPr>
          <w:kern w:val="0"/>
        </w:rPr>
        <w:t xml:space="preserve">s note. </w:t>
      </w:r>
      <w:r>
        <w:rPr>
          <w:i/>
          <w:iCs/>
          <w:kern w:val="0"/>
        </w:rPr>
        <w:t>Fuzzy Sets and Systems</w:t>
      </w:r>
      <w:r>
        <w:rPr>
          <w:kern w:val="0"/>
        </w:rPr>
        <w:t xml:space="preserve">, </w:t>
      </w:r>
      <w:r>
        <w:rPr>
          <w:b/>
          <w:bCs/>
          <w:kern w:val="0"/>
        </w:rPr>
        <w:t>100</w:t>
      </w:r>
      <w:r>
        <w:rPr>
          <w:rFonts w:hint="eastAsia"/>
          <w:kern w:val="0"/>
        </w:rPr>
        <w:t xml:space="preserve"> (S1),</w:t>
      </w:r>
      <w:r>
        <w:rPr>
          <w:kern w:val="0"/>
        </w:rPr>
        <w:t xml:space="preserve"> IX</w:t>
      </w:r>
      <w:r>
        <w:rPr>
          <w:rFonts w:hint="eastAsia"/>
          <w:kern w:val="0"/>
        </w:rPr>
        <w:t>.</w:t>
      </w:r>
    </w:p>
    <w:p w:rsidR="00A55D2F" w:rsidRPr="00A428C3" w:rsidRDefault="00A55D2F" w:rsidP="00A55D2F">
      <w:pPr>
        <w:pStyle w:val="a0"/>
      </w:pPr>
      <w:r w:rsidRPr="00A428C3">
        <w:t xml:space="preserve">Full Text: </w:t>
      </w:r>
      <w:hyperlink r:id="rId293" w:history="1">
        <w:r w:rsidRPr="00A55D2F">
          <w:rPr>
            <w:rStyle w:val="a5"/>
          </w:rPr>
          <w:t>1999\Fuz Set Sys100, IX.pdf</w:t>
        </w:r>
      </w:hyperlink>
    </w:p>
    <w:p w:rsidR="00A55D2F" w:rsidRDefault="00A55D2F" w:rsidP="00A55D2F">
      <w:pPr>
        <w:pStyle w:val="a0"/>
        <w:rPr>
          <w:kern w:val="0"/>
        </w:rPr>
      </w:pPr>
      <w:r>
        <w:rPr>
          <w:kern w:val="0"/>
        </w:rPr>
        <w:t>Keywords: Papers</w:t>
      </w:r>
      <w:r>
        <w:rPr>
          <w:rFonts w:hint="eastAsia"/>
          <w:kern w:val="0"/>
        </w:rPr>
        <w:t xml:space="preserve">, </w:t>
      </w:r>
      <w:r>
        <w:rPr>
          <w:kern w:val="0"/>
        </w:rPr>
        <w:t>S</w:t>
      </w:r>
    </w:p>
    <w:p w:rsidR="00CF3A97" w:rsidRPr="00A428C3" w:rsidRDefault="00CF3A97" w:rsidP="00CF3A97">
      <w:pPr>
        <w:pStyle w:val="1"/>
      </w:pPr>
      <w:r w:rsidRPr="00A428C3">
        <w:br w:type="page"/>
      </w:r>
      <w:bookmarkStart w:id="223" w:name="_Toc317160890"/>
      <w:r w:rsidRPr="00A428C3">
        <w:lastRenderedPageBreak/>
        <w:t xml:space="preserve">Title: </w:t>
      </w:r>
      <w:r w:rsidRPr="00932372">
        <w:t>Gaceta Sanitaria</w:t>
      </w:r>
      <w:bookmarkEnd w:id="223"/>
    </w:p>
    <w:p w:rsidR="00CF3A97" w:rsidRDefault="00CF3A97" w:rsidP="00B72EF9">
      <w:pPr>
        <w:pStyle w:val="12"/>
      </w:pPr>
      <w:r>
        <w:t xml:space="preserve">Full Journal Title: </w:t>
      </w:r>
      <w:hyperlink r:id="rId294" w:history="1">
        <w:r w:rsidRPr="00F75B88">
          <w:rPr>
            <w:rStyle w:val="a5"/>
          </w:rPr>
          <w:t>Gaceta Sanitaria</w:t>
        </w:r>
      </w:hyperlink>
    </w:p>
    <w:p w:rsidR="00CF3A97" w:rsidRPr="00A428C3" w:rsidRDefault="00CF3A97" w:rsidP="00B72EF9">
      <w:pPr>
        <w:pStyle w:val="12"/>
      </w:pPr>
      <w:r w:rsidRPr="00A428C3">
        <w:t xml:space="preserve">ISO Abbreviated Title: </w:t>
      </w:r>
    </w:p>
    <w:p w:rsidR="00CF3A97" w:rsidRPr="00A428C3" w:rsidRDefault="00CF3A97" w:rsidP="00B72EF9">
      <w:pPr>
        <w:pStyle w:val="12"/>
      </w:pPr>
      <w:r w:rsidRPr="00A428C3">
        <w:t>JCR Abbreviated Title</w:t>
      </w:r>
      <w:r>
        <w:t>:</w:t>
      </w:r>
      <w:r w:rsidRPr="00A428C3">
        <w:t xml:space="preserve"> </w:t>
      </w:r>
    </w:p>
    <w:p w:rsidR="00CF3A97" w:rsidRPr="00A428C3" w:rsidRDefault="00CF3A97" w:rsidP="00B72EF9">
      <w:pPr>
        <w:pStyle w:val="12"/>
      </w:pPr>
      <w:r>
        <w:t>ISSN:</w:t>
      </w:r>
      <w:r>
        <w:rPr>
          <w:rFonts w:hint="eastAsia"/>
        </w:rPr>
        <w:t xml:space="preserve"> </w:t>
      </w:r>
    </w:p>
    <w:p w:rsidR="00CF3A97" w:rsidRPr="00A428C3" w:rsidRDefault="00CF3A97" w:rsidP="00B72EF9">
      <w:pPr>
        <w:pStyle w:val="12"/>
      </w:pPr>
      <w:r w:rsidRPr="00A428C3">
        <w:t xml:space="preserve">Issues/Year: </w:t>
      </w:r>
    </w:p>
    <w:p w:rsidR="00CF3A97" w:rsidRPr="00A428C3" w:rsidRDefault="00FB5623" w:rsidP="00B72EF9">
      <w:pPr>
        <w:pStyle w:val="12"/>
      </w:pPr>
      <w:r>
        <w:t>Journal Country/Territory:</w:t>
      </w:r>
      <w:r w:rsidR="00CF3A97">
        <w:t xml:space="preserve"> </w:t>
      </w:r>
    </w:p>
    <w:p w:rsidR="00CF3A97" w:rsidRPr="00A428C3" w:rsidRDefault="00CF3A97" w:rsidP="00B72EF9">
      <w:pPr>
        <w:pStyle w:val="12"/>
      </w:pPr>
      <w:r w:rsidRPr="00A428C3">
        <w:t xml:space="preserve">Language: </w:t>
      </w:r>
    </w:p>
    <w:p w:rsidR="00CF3A97" w:rsidRPr="00A428C3" w:rsidRDefault="00CF3A97" w:rsidP="00B72EF9">
      <w:pPr>
        <w:pStyle w:val="12"/>
      </w:pPr>
      <w:r w:rsidRPr="00A428C3">
        <w:t xml:space="preserve">Publisher: </w:t>
      </w:r>
    </w:p>
    <w:p w:rsidR="00CF3A97" w:rsidRPr="00A428C3" w:rsidRDefault="00CF3A97" w:rsidP="00B72EF9">
      <w:pPr>
        <w:pStyle w:val="12"/>
      </w:pPr>
      <w:r w:rsidRPr="00A428C3">
        <w:t xml:space="preserve">Publisher Address: </w:t>
      </w:r>
    </w:p>
    <w:p w:rsidR="00CF3A97" w:rsidRPr="00A428C3" w:rsidRDefault="00CF3A97" w:rsidP="00B72EF9">
      <w:pPr>
        <w:pStyle w:val="12"/>
      </w:pPr>
      <w:r w:rsidRPr="00A428C3">
        <w:t>Subject Categories:</w:t>
      </w:r>
    </w:p>
    <w:p w:rsidR="00CF3A97" w:rsidRPr="00A428C3" w:rsidRDefault="00CF3A97" w:rsidP="00B72EF9">
      <w:pPr>
        <w:pStyle w:val="12"/>
      </w:pPr>
      <w:r w:rsidRPr="00A428C3">
        <w:t xml:space="preserve">: Impact Factor </w:t>
      </w:r>
    </w:p>
    <w:p w:rsidR="00F75B88" w:rsidRDefault="00F75B88" w:rsidP="00F75B88">
      <w:pPr>
        <w:pStyle w:val="a0"/>
        <w:rPr>
          <w:kern w:val="0"/>
          <w:szCs w:val="24"/>
        </w:rPr>
      </w:pPr>
      <w:r>
        <w:rPr>
          <w:rFonts w:hint="eastAsia"/>
          <w:kern w:val="0"/>
          <w:szCs w:val="24"/>
        </w:rPr>
        <w:t xml:space="preserve">? </w:t>
      </w:r>
      <w:r w:rsidRPr="00F75B88">
        <w:rPr>
          <w:kern w:val="0"/>
          <w:szCs w:val="24"/>
        </w:rPr>
        <w:t>Vilagut, G</w:t>
      </w:r>
      <w:r>
        <w:rPr>
          <w:rFonts w:hint="eastAsia"/>
          <w:kern w:val="0"/>
          <w:szCs w:val="24"/>
        </w:rPr>
        <w:t>.,</w:t>
      </w:r>
      <w:r w:rsidRPr="00F75B88">
        <w:rPr>
          <w:kern w:val="0"/>
          <w:szCs w:val="24"/>
        </w:rPr>
        <w:t xml:space="preserve"> Ferrer, M</w:t>
      </w:r>
      <w:r>
        <w:rPr>
          <w:rFonts w:hint="eastAsia"/>
          <w:kern w:val="0"/>
          <w:szCs w:val="24"/>
        </w:rPr>
        <w:t>.,</w:t>
      </w:r>
      <w:r w:rsidRPr="00F75B88">
        <w:rPr>
          <w:kern w:val="0"/>
          <w:szCs w:val="24"/>
        </w:rPr>
        <w:t xml:space="preserve"> Rajmil, L</w:t>
      </w:r>
      <w:r>
        <w:rPr>
          <w:rFonts w:hint="eastAsia"/>
          <w:kern w:val="0"/>
          <w:szCs w:val="24"/>
        </w:rPr>
        <w:t>.,</w:t>
      </w:r>
      <w:r w:rsidRPr="00F75B88">
        <w:rPr>
          <w:kern w:val="0"/>
          <w:szCs w:val="24"/>
        </w:rPr>
        <w:t xml:space="preserve"> Rebollo, P</w:t>
      </w:r>
      <w:r>
        <w:rPr>
          <w:rFonts w:hint="eastAsia"/>
          <w:kern w:val="0"/>
          <w:szCs w:val="24"/>
        </w:rPr>
        <w:t>.,</w:t>
      </w:r>
      <w:r w:rsidRPr="00F75B88">
        <w:rPr>
          <w:kern w:val="0"/>
          <w:szCs w:val="24"/>
        </w:rPr>
        <w:t xml:space="preserve"> Permanyer-Miralda, G</w:t>
      </w:r>
      <w:r>
        <w:rPr>
          <w:rFonts w:hint="eastAsia"/>
          <w:kern w:val="0"/>
          <w:szCs w:val="24"/>
        </w:rPr>
        <w:t>.,</w:t>
      </w:r>
      <w:r w:rsidRPr="00F75B88">
        <w:rPr>
          <w:kern w:val="0"/>
          <w:szCs w:val="24"/>
        </w:rPr>
        <w:t xml:space="preserve"> Quintana, J</w:t>
      </w:r>
      <w:r>
        <w:rPr>
          <w:rFonts w:hint="eastAsia"/>
          <w:kern w:val="0"/>
          <w:szCs w:val="24"/>
        </w:rPr>
        <w:t>.</w:t>
      </w:r>
      <w:r w:rsidRPr="00F75B88">
        <w:rPr>
          <w:kern w:val="0"/>
          <w:szCs w:val="24"/>
        </w:rPr>
        <w:t>M</w:t>
      </w:r>
      <w:r>
        <w:rPr>
          <w:rFonts w:hint="eastAsia"/>
          <w:kern w:val="0"/>
          <w:szCs w:val="24"/>
        </w:rPr>
        <w:t>.,</w:t>
      </w:r>
      <w:r w:rsidRPr="00F75B88">
        <w:rPr>
          <w:kern w:val="0"/>
          <w:szCs w:val="24"/>
        </w:rPr>
        <w:t xml:space="preserve"> Santed, R</w:t>
      </w:r>
      <w:r>
        <w:rPr>
          <w:rFonts w:hint="eastAsia"/>
          <w:kern w:val="0"/>
          <w:szCs w:val="24"/>
        </w:rPr>
        <w:t>.,</w:t>
      </w:r>
      <w:r w:rsidRPr="00F75B88">
        <w:rPr>
          <w:kern w:val="0"/>
          <w:szCs w:val="24"/>
        </w:rPr>
        <w:t xml:space="preserve"> Valderas, J</w:t>
      </w:r>
      <w:r>
        <w:rPr>
          <w:rFonts w:hint="eastAsia"/>
          <w:kern w:val="0"/>
          <w:szCs w:val="24"/>
        </w:rPr>
        <w:t>.</w:t>
      </w:r>
      <w:r w:rsidRPr="00F75B88">
        <w:rPr>
          <w:kern w:val="0"/>
          <w:szCs w:val="24"/>
        </w:rPr>
        <w:t>M</w:t>
      </w:r>
      <w:r>
        <w:rPr>
          <w:rFonts w:hint="eastAsia"/>
          <w:kern w:val="0"/>
          <w:szCs w:val="24"/>
        </w:rPr>
        <w:t>.,</w:t>
      </w:r>
      <w:r w:rsidRPr="00F75B88">
        <w:rPr>
          <w:kern w:val="0"/>
          <w:szCs w:val="24"/>
        </w:rPr>
        <w:t xml:space="preserve"> Ribera, A</w:t>
      </w:r>
      <w:r>
        <w:rPr>
          <w:rFonts w:hint="eastAsia"/>
          <w:kern w:val="0"/>
          <w:szCs w:val="24"/>
        </w:rPr>
        <w:t>.,</w:t>
      </w:r>
      <w:r w:rsidRPr="00F75B88">
        <w:rPr>
          <w:kern w:val="0"/>
          <w:szCs w:val="24"/>
        </w:rPr>
        <w:t xml:space="preserve"> Domingo-Salvany, A</w:t>
      </w:r>
      <w:r>
        <w:rPr>
          <w:rFonts w:hint="eastAsia"/>
          <w:kern w:val="0"/>
          <w:szCs w:val="24"/>
        </w:rPr>
        <w:t>.</w:t>
      </w:r>
      <w:r w:rsidR="00F81221">
        <w:rPr>
          <w:rFonts w:hint="eastAsia"/>
          <w:kern w:val="0"/>
          <w:szCs w:val="24"/>
        </w:rPr>
        <w:t xml:space="preserve"> and </w:t>
      </w:r>
      <w:r w:rsidRPr="00F75B88">
        <w:rPr>
          <w:kern w:val="0"/>
          <w:szCs w:val="24"/>
        </w:rPr>
        <w:t>Alonso, J</w:t>
      </w:r>
      <w:r>
        <w:rPr>
          <w:rFonts w:hint="eastAsia"/>
          <w:kern w:val="0"/>
          <w:szCs w:val="24"/>
        </w:rPr>
        <w:t>.</w:t>
      </w:r>
      <w:r>
        <w:rPr>
          <w:kern w:val="0"/>
          <w:szCs w:val="24"/>
        </w:rPr>
        <w:t xml:space="preserve"> (200</w:t>
      </w:r>
      <w:r>
        <w:rPr>
          <w:rFonts w:hint="eastAsia"/>
          <w:kern w:val="0"/>
          <w:szCs w:val="24"/>
        </w:rPr>
        <w:t>5</w:t>
      </w:r>
      <w:r>
        <w:rPr>
          <w:kern w:val="0"/>
          <w:szCs w:val="24"/>
        </w:rPr>
        <w:t xml:space="preserve">), </w:t>
      </w:r>
      <w:r w:rsidRPr="00F75B88">
        <w:rPr>
          <w:kern w:val="0"/>
          <w:szCs w:val="24"/>
        </w:rPr>
        <w:t xml:space="preserve">The Spanish version of the Short Form 36 Health Survey: </w:t>
      </w:r>
      <w:r>
        <w:rPr>
          <w:rFonts w:hint="eastAsia"/>
          <w:kern w:val="0"/>
          <w:szCs w:val="24"/>
        </w:rPr>
        <w:t>A</w:t>
      </w:r>
      <w:r w:rsidRPr="00F75B88">
        <w:rPr>
          <w:kern w:val="0"/>
          <w:szCs w:val="24"/>
        </w:rPr>
        <w:t xml:space="preserve"> decade of experience</w:t>
      </w:r>
      <w:r w:rsidR="00F81221">
        <w:rPr>
          <w:kern w:val="0"/>
          <w:szCs w:val="24"/>
        </w:rPr>
        <w:t xml:space="preserve"> and </w:t>
      </w:r>
      <w:r w:rsidRPr="00F75B88">
        <w:rPr>
          <w:kern w:val="0"/>
          <w:szCs w:val="24"/>
        </w:rPr>
        <w:t>new developments</w:t>
      </w:r>
      <w:r>
        <w:rPr>
          <w:kern w:val="0"/>
          <w:szCs w:val="24"/>
        </w:rPr>
        <w:t xml:space="preserve">. </w:t>
      </w:r>
      <w:r>
        <w:rPr>
          <w:i/>
          <w:iCs/>
          <w:kern w:val="0"/>
          <w:szCs w:val="24"/>
        </w:rPr>
        <w:t>Gaceta Sanitaria</w:t>
      </w:r>
      <w:r>
        <w:rPr>
          <w:kern w:val="0"/>
          <w:szCs w:val="24"/>
        </w:rPr>
        <w:t xml:space="preserve">, </w:t>
      </w:r>
      <w:r>
        <w:rPr>
          <w:rFonts w:hint="eastAsia"/>
          <w:b/>
          <w:bCs/>
          <w:kern w:val="0"/>
          <w:szCs w:val="24"/>
        </w:rPr>
        <w:t>19</w:t>
      </w:r>
      <w:r>
        <w:rPr>
          <w:kern w:val="0"/>
          <w:szCs w:val="24"/>
        </w:rPr>
        <w:t xml:space="preserve"> (</w:t>
      </w:r>
      <w:r>
        <w:rPr>
          <w:rFonts w:hint="eastAsia"/>
          <w:kern w:val="0"/>
          <w:szCs w:val="24"/>
        </w:rPr>
        <w:t>2</w:t>
      </w:r>
      <w:r>
        <w:rPr>
          <w:kern w:val="0"/>
          <w:szCs w:val="24"/>
        </w:rPr>
        <w:t xml:space="preserve">), </w:t>
      </w:r>
      <w:r w:rsidRPr="00F75B88">
        <w:rPr>
          <w:kern w:val="0"/>
          <w:szCs w:val="24"/>
        </w:rPr>
        <w:t>135-</w:t>
      </w:r>
      <w:r>
        <w:rPr>
          <w:rFonts w:hint="eastAsia"/>
          <w:kern w:val="0"/>
          <w:szCs w:val="24"/>
        </w:rPr>
        <w:t>1</w:t>
      </w:r>
      <w:r w:rsidRPr="00F75B88">
        <w:rPr>
          <w:kern w:val="0"/>
          <w:szCs w:val="24"/>
        </w:rPr>
        <w:t>50</w:t>
      </w:r>
      <w:r>
        <w:rPr>
          <w:kern w:val="0"/>
          <w:szCs w:val="24"/>
        </w:rPr>
        <w:t>.</w:t>
      </w:r>
    </w:p>
    <w:p w:rsidR="00F75B88" w:rsidRDefault="00F75B88" w:rsidP="00F75B88">
      <w:pPr>
        <w:pStyle w:val="a0"/>
        <w:rPr>
          <w:kern w:val="0"/>
          <w:szCs w:val="24"/>
        </w:rPr>
      </w:pPr>
      <w:r>
        <w:rPr>
          <w:rFonts w:hint="eastAsia"/>
          <w:kern w:val="0"/>
          <w:szCs w:val="24"/>
        </w:rPr>
        <w:t xml:space="preserve">Full Text: </w:t>
      </w:r>
      <w:hyperlink r:id="rId295" w:history="1">
        <w:r w:rsidR="00790E6B" w:rsidRPr="00790E6B">
          <w:rPr>
            <w:rStyle w:val="a5"/>
            <w:kern w:val="0"/>
            <w:szCs w:val="24"/>
          </w:rPr>
          <w:t>2005\Gac San19, 135.pdf</w:t>
        </w:r>
      </w:hyperlink>
    </w:p>
    <w:p w:rsidR="00F75B88" w:rsidRDefault="00F75B88" w:rsidP="00F75B88">
      <w:pPr>
        <w:pStyle w:val="a0"/>
        <w:rPr>
          <w:kern w:val="0"/>
          <w:szCs w:val="24"/>
        </w:rPr>
      </w:pPr>
      <w:r w:rsidRPr="00F75B88">
        <w:rPr>
          <w:kern w:val="0"/>
          <w:szCs w:val="24"/>
        </w:rPr>
        <w:t>Abstract: OBJECTIVE: The Short Form-36 Health Survey (SF-36) is one of the most widely used</w:t>
      </w:r>
      <w:r w:rsidR="00F81221">
        <w:rPr>
          <w:kern w:val="0"/>
          <w:szCs w:val="24"/>
        </w:rPr>
        <w:t xml:space="preserve"> and </w:t>
      </w:r>
      <w:r w:rsidRPr="00F75B88">
        <w:rPr>
          <w:kern w:val="0"/>
          <w:szCs w:val="24"/>
        </w:rPr>
        <w:t>evaluated generic health-related quality of life (HRQL) questionnaires. After almost a decade of use in Spain, the present article critically reviews the content</w:t>
      </w:r>
      <w:r w:rsidR="00F81221">
        <w:rPr>
          <w:kern w:val="0"/>
          <w:szCs w:val="24"/>
        </w:rPr>
        <w:t xml:space="preserve"> and </w:t>
      </w:r>
      <w:r w:rsidRPr="00F75B88">
        <w:rPr>
          <w:kern w:val="0"/>
          <w:szCs w:val="24"/>
        </w:rPr>
        <w:t>metric properties of the Spanish version, as well as its new developments. METHODS: A review of indexed articles that used the Spanish version of the SF-36 was performed in Medline (PubMed), the Spanish bibliographic databases IBECS</w:t>
      </w:r>
      <w:r w:rsidR="00F81221">
        <w:rPr>
          <w:kern w:val="0"/>
          <w:szCs w:val="24"/>
        </w:rPr>
        <w:t xml:space="preserve"> and </w:t>
      </w:r>
      <w:r w:rsidRPr="00F75B88">
        <w:rPr>
          <w:kern w:val="0"/>
          <w:szCs w:val="24"/>
        </w:rPr>
        <w:t>IME. Articles that provided information on the measurement model, reliability, validity,</w:t>
      </w:r>
      <w:r w:rsidR="00F81221">
        <w:rPr>
          <w:kern w:val="0"/>
          <w:szCs w:val="24"/>
        </w:rPr>
        <w:t xml:space="preserve"> and </w:t>
      </w:r>
      <w:r w:rsidRPr="00F75B88">
        <w:rPr>
          <w:kern w:val="0"/>
          <w:szCs w:val="24"/>
        </w:rPr>
        <w:t>responsiveness to change of the instrument were selected. RESULTS: Seventy-nine articles were found, of which 17 evaluated the metric characteristics of the questionnaire. The reliability of the SF-36 scales was higher than the suggested standard (Cronbach</w:t>
      </w:r>
      <w:r w:rsidR="000352E7">
        <w:rPr>
          <w:kern w:val="0"/>
          <w:szCs w:val="24"/>
        </w:rPr>
        <w:t>’</w:t>
      </w:r>
      <w:r w:rsidRPr="00F75B88">
        <w:rPr>
          <w:kern w:val="0"/>
          <w:szCs w:val="24"/>
        </w:rPr>
        <w:t>s alpha) of 0.7 in 96% of the evaluations. Grouped evaluations obtained by meta-analysis were higher than 0.7 in all cases. The SF-36 showed good discrimination among severity groups, moderate correlations with clinical indicators,</w:t>
      </w:r>
      <w:r w:rsidR="00F81221">
        <w:rPr>
          <w:kern w:val="0"/>
          <w:szCs w:val="24"/>
        </w:rPr>
        <w:t xml:space="preserve"> and </w:t>
      </w:r>
      <w:r w:rsidRPr="00F75B88">
        <w:rPr>
          <w:kern w:val="0"/>
          <w:szCs w:val="24"/>
        </w:rPr>
        <w:t>high correlations with other HRQL instruments. Moreover, questionnaire scores predicted mortality</w:t>
      </w:r>
      <w:r w:rsidR="00F81221">
        <w:rPr>
          <w:kern w:val="0"/>
          <w:szCs w:val="24"/>
        </w:rPr>
        <w:t xml:space="preserve"> and </w:t>
      </w:r>
      <w:r w:rsidRPr="00F75B88">
        <w:rPr>
          <w:kern w:val="0"/>
          <w:szCs w:val="24"/>
        </w:rPr>
        <w:t>were able to detect improvement due to therapeutic interventions such as coronary angioplasty, benign prostatic hyperplasia surgery,</w:t>
      </w:r>
      <w:r w:rsidR="00F81221">
        <w:rPr>
          <w:kern w:val="0"/>
          <w:szCs w:val="24"/>
        </w:rPr>
        <w:t xml:space="preserve"> and </w:t>
      </w:r>
      <w:r w:rsidRPr="00F75B88">
        <w:rPr>
          <w:kern w:val="0"/>
          <w:szCs w:val="24"/>
        </w:rPr>
        <w:t>non-invasive positive pressure home ventilation. The new developments (norm-based scoring, version 2, the SF-12</w:t>
      </w:r>
      <w:r w:rsidR="00F81221">
        <w:rPr>
          <w:kern w:val="0"/>
          <w:szCs w:val="24"/>
        </w:rPr>
        <w:t xml:space="preserve"> and </w:t>
      </w:r>
      <w:r w:rsidRPr="00F75B88">
        <w:rPr>
          <w:kern w:val="0"/>
          <w:szCs w:val="24"/>
        </w:rPr>
        <w:t>SF-8) improved both the metric properties</w:t>
      </w:r>
      <w:r w:rsidR="00F81221">
        <w:rPr>
          <w:kern w:val="0"/>
          <w:szCs w:val="24"/>
        </w:rPr>
        <w:t xml:space="preserve"> and </w:t>
      </w:r>
      <w:r w:rsidRPr="00F75B88">
        <w:rPr>
          <w:kern w:val="0"/>
          <w:szCs w:val="24"/>
        </w:rPr>
        <w:t>interpretation of the questionnaire. CONCLUSIONS: The Spanish version of the SF-36</w:t>
      </w:r>
      <w:r w:rsidR="00F81221">
        <w:rPr>
          <w:kern w:val="0"/>
          <w:szCs w:val="24"/>
        </w:rPr>
        <w:t xml:space="preserve"> and </w:t>
      </w:r>
      <w:r w:rsidRPr="00F75B88">
        <w:rPr>
          <w:kern w:val="0"/>
          <w:szCs w:val="24"/>
        </w:rPr>
        <w:t xml:space="preserve">its recently developed </w:t>
      </w:r>
      <w:r w:rsidRPr="00F75B88">
        <w:rPr>
          <w:kern w:val="0"/>
          <w:szCs w:val="24"/>
        </w:rPr>
        <w:lastRenderedPageBreak/>
        <w:t>versions is a suitable instrument for use in medical research, as well as in clinical practice.</w:t>
      </w:r>
    </w:p>
    <w:p w:rsidR="00295C5B" w:rsidRDefault="00295C5B" w:rsidP="00295C5B">
      <w:pPr>
        <w:pStyle w:val="a0"/>
        <w:rPr>
          <w:kern w:val="0"/>
          <w:szCs w:val="24"/>
        </w:rPr>
      </w:pPr>
      <w:r>
        <w:rPr>
          <w:rFonts w:hint="eastAsia"/>
          <w:kern w:val="0"/>
          <w:szCs w:val="24"/>
        </w:rPr>
        <w:t xml:space="preserve">? </w:t>
      </w:r>
      <w:r>
        <w:rPr>
          <w:kern w:val="0"/>
          <w:szCs w:val="24"/>
        </w:rPr>
        <w:t>Belinchón, I., Ramos, J.M.</w:t>
      </w:r>
      <w:r w:rsidR="00F81221">
        <w:rPr>
          <w:kern w:val="0"/>
          <w:szCs w:val="24"/>
        </w:rPr>
        <w:t xml:space="preserve"> and </w:t>
      </w:r>
      <w:r>
        <w:rPr>
          <w:kern w:val="0"/>
          <w:szCs w:val="24"/>
        </w:rPr>
        <w:t xml:space="preserve">Bellver, V. (2007), Scientific production in bioethics in Spain through MEDLINE. </w:t>
      </w:r>
      <w:r>
        <w:rPr>
          <w:i/>
          <w:iCs/>
          <w:kern w:val="0"/>
          <w:szCs w:val="24"/>
        </w:rPr>
        <w:t>Gaceta Sanitaria</w:t>
      </w:r>
      <w:r>
        <w:rPr>
          <w:kern w:val="0"/>
          <w:szCs w:val="24"/>
        </w:rPr>
        <w:t xml:space="preserve">, </w:t>
      </w:r>
      <w:r>
        <w:rPr>
          <w:b/>
          <w:bCs/>
          <w:kern w:val="0"/>
          <w:szCs w:val="24"/>
        </w:rPr>
        <w:t>21</w:t>
      </w:r>
      <w:r>
        <w:rPr>
          <w:kern w:val="0"/>
          <w:szCs w:val="24"/>
        </w:rPr>
        <w:t xml:space="preserve"> (5), 408-411.</w:t>
      </w:r>
    </w:p>
    <w:p w:rsidR="00295C5B" w:rsidRPr="001A3D2B" w:rsidRDefault="00295C5B" w:rsidP="00295C5B">
      <w:pPr>
        <w:pStyle w:val="a0"/>
        <w:rPr>
          <w:kern w:val="0"/>
          <w:szCs w:val="24"/>
        </w:rPr>
      </w:pPr>
      <w:r w:rsidRPr="001A3D2B">
        <w:rPr>
          <w:kern w:val="0"/>
          <w:szCs w:val="24"/>
        </w:rPr>
        <w:t xml:space="preserve">Full Text: </w:t>
      </w:r>
      <w:hyperlink r:id="rId296" w:history="1">
        <w:r w:rsidRPr="00295C5B">
          <w:rPr>
            <w:rStyle w:val="a5"/>
            <w:kern w:val="0"/>
            <w:szCs w:val="24"/>
          </w:rPr>
          <w:t>2007\Gac San21, 408.pdf</w:t>
        </w:r>
      </w:hyperlink>
    </w:p>
    <w:p w:rsidR="00295C5B" w:rsidRDefault="00295C5B" w:rsidP="00295C5B">
      <w:pPr>
        <w:pStyle w:val="a0"/>
        <w:rPr>
          <w:kern w:val="0"/>
          <w:szCs w:val="24"/>
        </w:rPr>
      </w:pPr>
      <w:r>
        <w:rPr>
          <w:kern w:val="0"/>
          <w:szCs w:val="24"/>
        </w:rPr>
        <w:t>Abstract: Objective: To describe Spain</w:t>
      </w:r>
      <w:r w:rsidR="000352E7">
        <w:rPr>
          <w:kern w:val="0"/>
          <w:szCs w:val="24"/>
        </w:rPr>
        <w:t>’</w:t>
      </w:r>
      <w:r>
        <w:rPr>
          <w:kern w:val="0"/>
          <w:szCs w:val="24"/>
        </w:rPr>
        <w:t>s scientific production in the field of bioethics from 1966 to 2003. Methods: Manuscripts published by Spanish authors between 1966</w:t>
      </w:r>
      <w:r w:rsidR="00F81221">
        <w:rPr>
          <w:kern w:val="0"/>
          <w:szCs w:val="24"/>
        </w:rPr>
        <w:t xml:space="preserve"> and </w:t>
      </w:r>
      <w:r>
        <w:rPr>
          <w:kern w:val="0"/>
          <w:szCs w:val="24"/>
        </w:rPr>
        <w:t>2003</w:t>
      </w:r>
      <w:r w:rsidR="00F81221">
        <w:rPr>
          <w:kern w:val="0"/>
          <w:szCs w:val="24"/>
        </w:rPr>
        <w:t xml:space="preserve"> and </w:t>
      </w:r>
      <w:r>
        <w:rPr>
          <w:kern w:val="0"/>
          <w:szCs w:val="24"/>
        </w:rPr>
        <w:t>containing key word references to bioethics, ethics,</w:t>
      </w:r>
      <w:r w:rsidR="00F81221">
        <w:rPr>
          <w:kern w:val="0"/>
          <w:szCs w:val="24"/>
        </w:rPr>
        <w:t xml:space="preserve"> and </w:t>
      </w:r>
      <w:r>
        <w:rPr>
          <w:kern w:val="0"/>
          <w:szCs w:val="24"/>
        </w:rPr>
        <w:t>22 other related terms were retrieved from the Medline database. Results: 858 documents were selected: 78 (9.1%) were published between 1966</w:t>
      </w:r>
      <w:r w:rsidR="00F81221">
        <w:rPr>
          <w:kern w:val="0"/>
          <w:szCs w:val="24"/>
        </w:rPr>
        <w:t xml:space="preserve"> and </w:t>
      </w:r>
      <w:r>
        <w:rPr>
          <w:kern w:val="0"/>
          <w:szCs w:val="24"/>
        </w:rPr>
        <w:t>1983,163 (19%) between 1984</w:t>
      </w:r>
      <w:r w:rsidR="00F81221">
        <w:rPr>
          <w:kern w:val="0"/>
          <w:szCs w:val="24"/>
        </w:rPr>
        <w:t xml:space="preserve"> and </w:t>
      </w:r>
      <w:r>
        <w:rPr>
          <w:kern w:val="0"/>
          <w:szCs w:val="24"/>
        </w:rPr>
        <w:t>1993,</w:t>
      </w:r>
      <w:r w:rsidR="00F81221">
        <w:rPr>
          <w:kern w:val="0"/>
          <w:szCs w:val="24"/>
        </w:rPr>
        <w:t xml:space="preserve"> and </w:t>
      </w:r>
      <w:r>
        <w:rPr>
          <w:kern w:val="0"/>
          <w:szCs w:val="24"/>
        </w:rPr>
        <w:t>617 (71.9%) between 1994</w:t>
      </w:r>
      <w:r w:rsidR="00F81221">
        <w:rPr>
          <w:kern w:val="0"/>
          <w:szCs w:val="24"/>
        </w:rPr>
        <w:t xml:space="preserve"> and </w:t>
      </w:r>
      <w:r>
        <w:rPr>
          <w:kern w:val="0"/>
          <w:szCs w:val="24"/>
        </w:rPr>
        <w:t>2003. The main subject areas treated were laws</w:t>
      </w:r>
      <w:r w:rsidR="00F81221">
        <w:rPr>
          <w:kern w:val="0"/>
          <w:szCs w:val="24"/>
        </w:rPr>
        <w:t xml:space="preserve"> and </w:t>
      </w:r>
      <w:r>
        <w:rPr>
          <w:kern w:val="0"/>
          <w:szCs w:val="24"/>
        </w:rPr>
        <w:t>rights (15.4%)</w:t>
      </w:r>
      <w:r w:rsidR="00F81221">
        <w:rPr>
          <w:kern w:val="0"/>
          <w:szCs w:val="24"/>
        </w:rPr>
        <w:t xml:space="preserve"> and </w:t>
      </w:r>
      <w:r>
        <w:rPr>
          <w:kern w:val="0"/>
          <w:szCs w:val="24"/>
        </w:rPr>
        <w:t>research</w:t>
      </w:r>
      <w:r w:rsidR="00F81221">
        <w:rPr>
          <w:kern w:val="0"/>
          <w:szCs w:val="24"/>
        </w:rPr>
        <w:t xml:space="preserve"> and </w:t>
      </w:r>
      <w:r>
        <w:rPr>
          <w:kern w:val="0"/>
          <w:szCs w:val="24"/>
        </w:rPr>
        <w:t>ethics committees (13.1%). The last of these periods witnessed an increase in publications on genetics</w:t>
      </w:r>
      <w:r w:rsidR="00F81221">
        <w:rPr>
          <w:kern w:val="0"/>
          <w:szCs w:val="24"/>
        </w:rPr>
        <w:t xml:space="preserve"> and </w:t>
      </w:r>
      <w:r>
        <w:rPr>
          <w:kern w:val="0"/>
          <w:szCs w:val="24"/>
        </w:rPr>
        <w:t>human cloning</w:t>
      </w:r>
      <w:r w:rsidR="00F81221">
        <w:rPr>
          <w:kern w:val="0"/>
          <w:szCs w:val="24"/>
        </w:rPr>
        <w:t xml:space="preserve"> and </w:t>
      </w:r>
      <w:r>
        <w:rPr>
          <w:kern w:val="0"/>
          <w:szCs w:val="24"/>
        </w:rPr>
        <w:t>a decrease in those treating abortion. Institutional affiliations referred mainly to universities (38.9%)</w:t>
      </w:r>
      <w:r w:rsidR="00F81221">
        <w:rPr>
          <w:kern w:val="0"/>
          <w:szCs w:val="24"/>
        </w:rPr>
        <w:t xml:space="preserve"> and </w:t>
      </w:r>
      <w:r>
        <w:rPr>
          <w:kern w:val="0"/>
          <w:szCs w:val="24"/>
        </w:rPr>
        <w:t>hospitals (38.5%). Conclusions: There was a progressive increase in the number of scientific publications on bioethics by Spanish authors during the study period.</w:t>
      </w:r>
    </w:p>
    <w:p w:rsidR="00295C5B" w:rsidRDefault="00295C5B" w:rsidP="00295C5B">
      <w:pPr>
        <w:pStyle w:val="a0"/>
        <w:rPr>
          <w:kern w:val="0"/>
          <w:szCs w:val="24"/>
        </w:rPr>
      </w:pPr>
      <w:r>
        <w:rPr>
          <w:kern w:val="0"/>
          <w:szCs w:val="24"/>
        </w:rPr>
        <w:t>Keywords: Authors, Bibliometric Indicators, Bibliometrics, Bioethics, Biomedicine, Ethics, Health-Sciences, Publications, Research, Spain</w:t>
      </w:r>
    </w:p>
    <w:p w:rsidR="00295C5B" w:rsidRDefault="00295C5B" w:rsidP="00295C5B">
      <w:pPr>
        <w:pStyle w:val="a0"/>
        <w:rPr>
          <w:kern w:val="0"/>
          <w:szCs w:val="24"/>
        </w:rPr>
      </w:pPr>
      <w:r>
        <w:rPr>
          <w:rFonts w:hint="eastAsia"/>
          <w:kern w:val="0"/>
          <w:szCs w:val="24"/>
        </w:rPr>
        <w:t xml:space="preserve">? </w:t>
      </w:r>
      <w:r>
        <w:rPr>
          <w:kern w:val="0"/>
          <w:szCs w:val="24"/>
        </w:rPr>
        <w:t>Vives-Cases, C., Gil-González, D., Carrasco-Portiño, M.</w:t>
      </w:r>
      <w:r w:rsidR="00F81221">
        <w:rPr>
          <w:kern w:val="0"/>
          <w:szCs w:val="24"/>
        </w:rPr>
        <w:t xml:space="preserve"> and </w:t>
      </w:r>
      <w:r w:rsidR="00256597">
        <w:rPr>
          <w:kern w:val="0"/>
          <w:szCs w:val="24"/>
        </w:rPr>
        <w:t>Álvarez-Dardet</w:t>
      </w:r>
      <w:r>
        <w:rPr>
          <w:kern w:val="0"/>
          <w:szCs w:val="24"/>
        </w:rPr>
        <w:t xml:space="preserve">, C. (2007), Systematic review of studies on the socioeconomic status of men who batter their intimate partners. </w:t>
      </w:r>
      <w:r>
        <w:rPr>
          <w:i/>
          <w:iCs/>
          <w:kern w:val="0"/>
          <w:szCs w:val="24"/>
        </w:rPr>
        <w:t>Gaceta Sanitaria</w:t>
      </w:r>
      <w:r>
        <w:rPr>
          <w:kern w:val="0"/>
          <w:szCs w:val="24"/>
        </w:rPr>
        <w:t xml:space="preserve">, </w:t>
      </w:r>
      <w:r>
        <w:rPr>
          <w:b/>
          <w:bCs/>
          <w:kern w:val="0"/>
          <w:szCs w:val="24"/>
        </w:rPr>
        <w:t>21</w:t>
      </w:r>
      <w:r>
        <w:rPr>
          <w:kern w:val="0"/>
          <w:szCs w:val="24"/>
        </w:rPr>
        <w:t xml:space="preserve"> (5), 425-430.</w:t>
      </w:r>
    </w:p>
    <w:p w:rsidR="00295C5B" w:rsidRPr="001A3D2B" w:rsidRDefault="00295C5B" w:rsidP="00295C5B">
      <w:pPr>
        <w:pStyle w:val="a0"/>
        <w:rPr>
          <w:kern w:val="0"/>
          <w:szCs w:val="24"/>
        </w:rPr>
      </w:pPr>
      <w:r w:rsidRPr="001A3D2B">
        <w:rPr>
          <w:kern w:val="0"/>
          <w:szCs w:val="24"/>
        </w:rPr>
        <w:t xml:space="preserve">Full Text: </w:t>
      </w:r>
      <w:hyperlink r:id="rId297" w:history="1">
        <w:r w:rsidRPr="00295C5B">
          <w:rPr>
            <w:rStyle w:val="a5"/>
            <w:kern w:val="0"/>
            <w:szCs w:val="24"/>
          </w:rPr>
          <w:t>2007\Gac San21, 425.pdf</w:t>
        </w:r>
      </w:hyperlink>
    </w:p>
    <w:p w:rsidR="00295C5B" w:rsidRDefault="00295C5B" w:rsidP="00295C5B">
      <w:pPr>
        <w:pStyle w:val="a0"/>
        <w:rPr>
          <w:kern w:val="0"/>
          <w:szCs w:val="24"/>
        </w:rPr>
      </w:pPr>
      <w:r>
        <w:rPr>
          <w:kern w:val="0"/>
          <w:szCs w:val="24"/>
        </w:rPr>
        <w:t>Abstract: Background: Despite the visibility of intimate partner violence against women in low socioeconomic groups, the association of low socioeconomic status</w:t>
      </w:r>
      <w:r w:rsidR="00F81221">
        <w:rPr>
          <w:kern w:val="0"/>
          <w:szCs w:val="24"/>
        </w:rPr>
        <w:t xml:space="preserve"> and </w:t>
      </w:r>
      <w:r>
        <w:rPr>
          <w:kern w:val="0"/>
          <w:szCs w:val="24"/>
        </w:rPr>
        <w:t>violent behavior is unclear. We performed a systematic review of the empirical evidence on the causal role of batterers</w:t>
      </w:r>
      <w:r w:rsidR="000352E7">
        <w:rPr>
          <w:kern w:val="0"/>
          <w:szCs w:val="24"/>
        </w:rPr>
        <w:t>’</w:t>
      </w:r>
      <w:r>
        <w:rPr>
          <w:kern w:val="0"/>
          <w:szCs w:val="24"/>
        </w:rPr>
        <w:t xml:space="preserve"> socioeconomic status in this phenomenon. Methods: We performed a systematic review, using the following databases: Eric (1966-2004), Sociological Abstracts (1963-2005), Science Citation Index (1945-2005), Social Science Citation Index (1956-2005), Medline through Pubmed (1966-2005), Social Service Abstracts (1980-2005), Lilacs (1982-2005)</w:t>
      </w:r>
      <w:r w:rsidR="00F81221">
        <w:rPr>
          <w:kern w:val="0"/>
          <w:szCs w:val="24"/>
        </w:rPr>
        <w:t xml:space="preserve"> and </w:t>
      </w:r>
      <w:r>
        <w:rPr>
          <w:kern w:val="0"/>
          <w:szCs w:val="24"/>
        </w:rPr>
        <w:t>Psycinfo (1972-2005). We included empirical papers with aims or hypothesis related to the causal relation between low socioeconomic status (employment, education, income) in men</w:t>
      </w:r>
      <w:r w:rsidR="00F81221">
        <w:rPr>
          <w:kern w:val="0"/>
          <w:szCs w:val="24"/>
        </w:rPr>
        <w:t xml:space="preserve"> and </w:t>
      </w:r>
      <w:r>
        <w:rPr>
          <w:kern w:val="0"/>
          <w:szCs w:val="24"/>
        </w:rPr>
        <w:t>IPV. Results: A total of 251 studies were identified, but only 10 met the inclusion criteria. There was one cohort study, one case-control study, one ecological study</w:t>
      </w:r>
      <w:r w:rsidR="00F81221">
        <w:rPr>
          <w:kern w:val="0"/>
          <w:szCs w:val="24"/>
        </w:rPr>
        <w:t xml:space="preserve"> and </w:t>
      </w:r>
      <w:r>
        <w:rPr>
          <w:kern w:val="0"/>
          <w:szCs w:val="24"/>
        </w:rPr>
        <w:t>one study based on a series of cases. Two studies calculated odds ratio in the analyses. One of these studies reported an odds ratio of 1.4 (95% Cl, 1.1-1.9) with unemployment</w:t>
      </w:r>
      <w:r w:rsidR="00F81221">
        <w:rPr>
          <w:kern w:val="0"/>
          <w:szCs w:val="24"/>
        </w:rPr>
        <w:t xml:space="preserve"> and </w:t>
      </w:r>
      <w:r>
        <w:rPr>
          <w:kern w:val="0"/>
          <w:szCs w:val="24"/>
        </w:rPr>
        <w:t>the other study showed no significant positive associations with this factor or with low income or education. Conclusions: More information</w:t>
      </w:r>
      <w:r w:rsidR="00F81221">
        <w:rPr>
          <w:kern w:val="0"/>
          <w:szCs w:val="24"/>
        </w:rPr>
        <w:t xml:space="preserve"> and </w:t>
      </w:r>
      <w:r>
        <w:rPr>
          <w:kern w:val="0"/>
          <w:szCs w:val="24"/>
        </w:rPr>
        <w:lastRenderedPageBreak/>
        <w:t>better quality data are required to establish conclusive results on the causal role of the socioeconomic status of men who batter their intimate partners. The empirical evidence on the relationship between violent male behavior against.</w:t>
      </w:r>
    </w:p>
    <w:p w:rsidR="00295C5B" w:rsidRDefault="00295C5B" w:rsidP="00295C5B">
      <w:pPr>
        <w:pStyle w:val="a0"/>
        <w:rPr>
          <w:kern w:val="0"/>
          <w:szCs w:val="24"/>
        </w:rPr>
      </w:pPr>
      <w:r>
        <w:rPr>
          <w:kern w:val="0"/>
          <w:szCs w:val="24"/>
        </w:rPr>
        <w:t>Keywords: Batterers, Citation, Databases, Domestic Violence, Domestic Violence, Papers, Prevalence, Socioeconomic Status, Systematic Review, Visibility</w:t>
      </w:r>
    </w:p>
    <w:p w:rsidR="00F75B88" w:rsidRDefault="00F75B88" w:rsidP="00F75B88">
      <w:pPr>
        <w:pStyle w:val="a0"/>
        <w:rPr>
          <w:kern w:val="0"/>
          <w:szCs w:val="24"/>
        </w:rPr>
      </w:pPr>
      <w:r>
        <w:rPr>
          <w:rFonts w:hint="eastAsia"/>
          <w:kern w:val="0"/>
          <w:szCs w:val="24"/>
        </w:rPr>
        <w:t xml:space="preserve">? </w:t>
      </w:r>
      <w:r>
        <w:rPr>
          <w:kern w:val="0"/>
          <w:szCs w:val="24"/>
        </w:rPr>
        <w:t>Espallargues, M., de Sola-Morales, O., Moharra, M., Tebe, C.</w:t>
      </w:r>
      <w:r w:rsidR="00F81221">
        <w:rPr>
          <w:kern w:val="0"/>
          <w:szCs w:val="24"/>
        </w:rPr>
        <w:t xml:space="preserve"> and </w:t>
      </w:r>
      <w:r>
        <w:rPr>
          <w:kern w:val="0"/>
          <w:szCs w:val="24"/>
        </w:rPr>
        <w:t>Pons, J.M.V. (2008), The opinion of practitioners</w:t>
      </w:r>
      <w:r w:rsidR="00F81221">
        <w:rPr>
          <w:kern w:val="0"/>
          <w:szCs w:val="24"/>
        </w:rPr>
        <w:t xml:space="preserve"> and </w:t>
      </w:r>
      <w:r>
        <w:rPr>
          <w:kern w:val="0"/>
          <w:szCs w:val="24"/>
        </w:rPr>
        <w:t xml:space="preserve">internists on the impact of health technologies introduced in the last 25 years. </w:t>
      </w:r>
      <w:r>
        <w:rPr>
          <w:i/>
          <w:iCs/>
          <w:kern w:val="0"/>
          <w:szCs w:val="24"/>
        </w:rPr>
        <w:t>Gaceta Sanitaria</w:t>
      </w:r>
      <w:r>
        <w:rPr>
          <w:kern w:val="0"/>
          <w:szCs w:val="24"/>
        </w:rPr>
        <w:t xml:space="preserve">, </w:t>
      </w:r>
      <w:r>
        <w:rPr>
          <w:b/>
          <w:bCs/>
          <w:kern w:val="0"/>
          <w:szCs w:val="24"/>
        </w:rPr>
        <w:t>22</w:t>
      </w:r>
      <w:r>
        <w:rPr>
          <w:kern w:val="0"/>
          <w:szCs w:val="24"/>
        </w:rPr>
        <w:t xml:space="preserve"> (1), 20-28.</w:t>
      </w:r>
    </w:p>
    <w:p w:rsidR="00F75B88" w:rsidRDefault="00F75B88" w:rsidP="00F75B88">
      <w:pPr>
        <w:pStyle w:val="a0"/>
        <w:rPr>
          <w:kern w:val="0"/>
          <w:szCs w:val="24"/>
        </w:rPr>
      </w:pPr>
      <w:r>
        <w:rPr>
          <w:rFonts w:hint="eastAsia"/>
          <w:kern w:val="0"/>
          <w:szCs w:val="24"/>
        </w:rPr>
        <w:t xml:space="preserve">Full Text: </w:t>
      </w:r>
      <w:hyperlink r:id="rId298" w:history="1">
        <w:r w:rsidR="00790E6B" w:rsidRPr="00790E6B">
          <w:rPr>
            <w:rStyle w:val="a5"/>
            <w:kern w:val="0"/>
            <w:szCs w:val="24"/>
          </w:rPr>
          <w:t>2008\Gac San22, 20.pdf</w:t>
        </w:r>
      </w:hyperlink>
    </w:p>
    <w:p w:rsidR="00CF3A97" w:rsidRDefault="00CF3A97" w:rsidP="00CF3A97">
      <w:pPr>
        <w:pStyle w:val="a0"/>
        <w:rPr>
          <w:kern w:val="0"/>
          <w:szCs w:val="24"/>
        </w:rPr>
      </w:pPr>
      <w:r>
        <w:rPr>
          <w:kern w:val="0"/>
          <w:szCs w:val="24"/>
        </w:rPr>
        <w:t>Abstract: Objectives: To identify the most important health technologies (HT) introduced in the last 25 years</w:t>
      </w:r>
      <w:r w:rsidR="00F81221">
        <w:rPr>
          <w:kern w:val="0"/>
          <w:szCs w:val="24"/>
        </w:rPr>
        <w:t xml:space="preserve"> and </w:t>
      </w:r>
      <w:r>
        <w:rPr>
          <w:kern w:val="0"/>
          <w:szCs w:val="24"/>
        </w:rPr>
        <w:t>their impact on patients</w:t>
      </w:r>
      <w:r w:rsidR="000352E7">
        <w:rPr>
          <w:kern w:val="0"/>
          <w:szCs w:val="24"/>
        </w:rPr>
        <w:t>’</w:t>
      </w:r>
      <w:r>
        <w:rPr>
          <w:kern w:val="0"/>
          <w:szCs w:val="24"/>
        </w:rPr>
        <w:t xml:space="preserve"> health according to hospital internists</w:t>
      </w:r>
      <w:r w:rsidR="00F81221">
        <w:rPr>
          <w:kern w:val="0"/>
          <w:szCs w:val="24"/>
        </w:rPr>
        <w:t xml:space="preserve"> and </w:t>
      </w:r>
      <w:r>
        <w:rPr>
          <w:kern w:val="0"/>
          <w:szCs w:val="24"/>
        </w:rPr>
        <w:t>generalist physicians. Methods: We performed a cross-sectional descriptive study. The 30 HT receiving the highest number of bibliometric citations in the previous 25 years (1977-2002) in generalist</w:t>
      </w:r>
      <w:r w:rsidR="00F81221">
        <w:rPr>
          <w:kern w:val="0"/>
          <w:szCs w:val="24"/>
        </w:rPr>
        <w:t xml:space="preserve"> and </w:t>
      </w:r>
      <w:r>
        <w:rPr>
          <w:kern w:val="0"/>
          <w:szCs w:val="24"/>
        </w:rPr>
        <w:t>primary care journals were selected. To assess the health impact of HT, a postal survey of the medical heads of 46 hospitals with 100-400 beds</w:t>
      </w:r>
      <w:r w:rsidR="00F81221">
        <w:rPr>
          <w:kern w:val="0"/>
          <w:szCs w:val="24"/>
        </w:rPr>
        <w:t xml:space="preserve"> and </w:t>
      </w:r>
      <w:r>
        <w:rPr>
          <w:kern w:val="0"/>
          <w:szCs w:val="24"/>
        </w:rPr>
        <w:t>an equal random sample of the directors of primary care centers was carried out in Catalonia, Spain. The professionals surveyed were asked to consider how adverse the effect on their patients</w:t>
      </w:r>
      <w:r w:rsidR="000352E7">
        <w:rPr>
          <w:kern w:val="0"/>
          <w:szCs w:val="24"/>
        </w:rPr>
        <w:t>’</w:t>
      </w:r>
      <w:r>
        <w:rPr>
          <w:kern w:val="0"/>
          <w:szCs w:val="24"/>
        </w:rPr>
        <w:t xml:space="preserve"> health would be if each of the HT on the list were unavailable. The personal</w:t>
      </w:r>
      <w:r w:rsidR="00F81221">
        <w:rPr>
          <w:kern w:val="0"/>
          <w:szCs w:val="24"/>
        </w:rPr>
        <w:t xml:space="preserve"> and </w:t>
      </w:r>
      <w:r>
        <w:rPr>
          <w:kern w:val="0"/>
          <w:szCs w:val="24"/>
        </w:rPr>
        <w:t>professional characteristics of the participating physicians were also collected. Results: A total of 49 physicians answered the survey (53%). Instrumental</w:t>
      </w:r>
      <w:r w:rsidR="00F81221">
        <w:rPr>
          <w:kern w:val="0"/>
          <w:szCs w:val="24"/>
        </w:rPr>
        <w:t xml:space="preserve"> and </w:t>
      </w:r>
      <w:r>
        <w:rPr>
          <w:kern w:val="0"/>
          <w:szCs w:val="24"/>
        </w:rPr>
        <w:t>diagnostic technologies were considered to have the greatest impact on health, diagnostic imaging being the most highly scored. The lowest impact would be caused if some drugs were not available, hypoglycemic agents receiving the lowest scores. Although assessments were similar regardless of professional/practice characteristics (r &gt;= 0.7), some differences in diagnostic HT were observed, as well as variability in the participants</w:t>
      </w:r>
      <w:r w:rsidR="000352E7">
        <w:rPr>
          <w:kern w:val="0"/>
          <w:szCs w:val="24"/>
        </w:rPr>
        <w:t>’</w:t>
      </w:r>
      <w:r>
        <w:rPr>
          <w:kern w:val="0"/>
          <w:szCs w:val="24"/>
        </w:rPr>
        <w:t xml:space="preserve"> responses. Conclusions: Assessment of the impact of HT from the physicians</w:t>
      </w:r>
      <w:r w:rsidR="000352E7">
        <w:rPr>
          <w:kern w:val="0"/>
          <w:szCs w:val="24"/>
        </w:rPr>
        <w:t>’</w:t>
      </w:r>
      <w:r>
        <w:rPr>
          <w:kern w:val="0"/>
          <w:szCs w:val="24"/>
        </w:rPr>
        <w:t xml:space="preserve"> point of view varied. However, diagnostic</w:t>
      </w:r>
      <w:r w:rsidR="00F81221">
        <w:rPr>
          <w:kern w:val="0"/>
          <w:szCs w:val="24"/>
        </w:rPr>
        <w:t xml:space="preserve"> and </w:t>
      </w:r>
      <w:r>
        <w:rPr>
          <w:kern w:val="0"/>
          <w:szCs w:val="24"/>
        </w:rPr>
        <w:t>instrumental-visual technologies seem to be more highly rated than pharmacological innovations. Variability in responses was more closely related to the physicians</w:t>
      </w:r>
      <w:r w:rsidR="000352E7">
        <w:rPr>
          <w:kern w:val="0"/>
          <w:szCs w:val="24"/>
        </w:rPr>
        <w:t>’</w:t>
      </w:r>
      <w:r>
        <w:rPr>
          <w:kern w:val="0"/>
          <w:szCs w:val="24"/>
        </w:rPr>
        <w:t xml:space="preserve"> personal characteristics than to practice setting.</w:t>
      </w:r>
    </w:p>
    <w:p w:rsidR="00CF3A97" w:rsidRDefault="00CF3A97" w:rsidP="00CF3A97">
      <w:pPr>
        <w:pStyle w:val="a0"/>
        <w:rPr>
          <w:kern w:val="0"/>
          <w:szCs w:val="24"/>
        </w:rPr>
      </w:pPr>
      <w:r>
        <w:rPr>
          <w:kern w:val="0"/>
          <w:szCs w:val="24"/>
        </w:rPr>
        <w:t>Keywords: Bibliometric, Citations, Cost-Effectiveness, General Practitioners</w:t>
      </w:r>
      <w:r w:rsidR="00F81221">
        <w:rPr>
          <w:kern w:val="0"/>
          <w:szCs w:val="24"/>
        </w:rPr>
        <w:t xml:space="preserve"> and </w:t>
      </w:r>
      <w:r>
        <w:rPr>
          <w:kern w:val="0"/>
          <w:szCs w:val="24"/>
        </w:rPr>
        <w:t>Internists, Health Impact, Health Technologies, Hospital, Impact, Interventions, Journals, Medical, Professional, Spain, Survey</w:t>
      </w:r>
    </w:p>
    <w:p w:rsidR="00295C5B" w:rsidRDefault="00295C5B" w:rsidP="00295C5B">
      <w:pPr>
        <w:pStyle w:val="a0"/>
        <w:rPr>
          <w:kern w:val="0"/>
          <w:szCs w:val="24"/>
        </w:rPr>
      </w:pPr>
      <w:r>
        <w:rPr>
          <w:rFonts w:hint="eastAsia"/>
          <w:kern w:val="0"/>
          <w:szCs w:val="24"/>
        </w:rPr>
        <w:t xml:space="preserve">? </w:t>
      </w:r>
      <w:r>
        <w:rPr>
          <w:kern w:val="0"/>
          <w:szCs w:val="24"/>
        </w:rPr>
        <w:t xml:space="preserve">Davó, M.C., Gil-González, D., Vives-Cases, C., </w:t>
      </w:r>
      <w:r w:rsidR="00256597">
        <w:rPr>
          <w:kern w:val="0"/>
          <w:szCs w:val="24"/>
        </w:rPr>
        <w:t>Álvarez</w:t>
      </w:r>
      <w:r>
        <w:rPr>
          <w:kern w:val="0"/>
          <w:szCs w:val="24"/>
        </w:rPr>
        <w:t>-Dardet, C.</w:t>
      </w:r>
      <w:r w:rsidR="00F81221">
        <w:rPr>
          <w:kern w:val="0"/>
          <w:szCs w:val="24"/>
        </w:rPr>
        <w:t xml:space="preserve"> and </w:t>
      </w:r>
      <w:r>
        <w:rPr>
          <w:kern w:val="0"/>
          <w:szCs w:val="24"/>
        </w:rPr>
        <w:t>La Parra, D. (2008), Research on health education</w:t>
      </w:r>
      <w:r w:rsidR="00F81221">
        <w:rPr>
          <w:kern w:val="0"/>
          <w:szCs w:val="24"/>
        </w:rPr>
        <w:t xml:space="preserve"> and </w:t>
      </w:r>
      <w:r>
        <w:rPr>
          <w:kern w:val="0"/>
          <w:szCs w:val="24"/>
        </w:rPr>
        <w:t>promotion in Spanish nursery</w:t>
      </w:r>
      <w:r w:rsidR="00F81221">
        <w:rPr>
          <w:kern w:val="0"/>
          <w:szCs w:val="24"/>
        </w:rPr>
        <w:t xml:space="preserve"> and </w:t>
      </w:r>
      <w:r>
        <w:rPr>
          <w:kern w:val="0"/>
          <w:szCs w:val="24"/>
        </w:rPr>
        <w:t>primary schools. A systematic review of studies published between 1995</w:t>
      </w:r>
      <w:r w:rsidR="00F81221">
        <w:rPr>
          <w:kern w:val="0"/>
          <w:szCs w:val="24"/>
        </w:rPr>
        <w:t xml:space="preserve"> and </w:t>
      </w:r>
      <w:r>
        <w:rPr>
          <w:kern w:val="0"/>
          <w:szCs w:val="24"/>
        </w:rPr>
        <w:t xml:space="preserve">2005. </w:t>
      </w:r>
      <w:r>
        <w:rPr>
          <w:i/>
          <w:iCs/>
          <w:kern w:val="0"/>
          <w:szCs w:val="24"/>
        </w:rPr>
        <w:t>Gaceta Sanitaria</w:t>
      </w:r>
      <w:r>
        <w:rPr>
          <w:kern w:val="0"/>
          <w:szCs w:val="24"/>
        </w:rPr>
        <w:t xml:space="preserve">, </w:t>
      </w:r>
      <w:r>
        <w:rPr>
          <w:b/>
          <w:bCs/>
          <w:kern w:val="0"/>
          <w:szCs w:val="24"/>
        </w:rPr>
        <w:t>22</w:t>
      </w:r>
      <w:r>
        <w:rPr>
          <w:kern w:val="0"/>
          <w:szCs w:val="24"/>
        </w:rPr>
        <w:t xml:space="preserve"> (1), 58-64.</w:t>
      </w:r>
    </w:p>
    <w:p w:rsidR="00295C5B" w:rsidRDefault="00295C5B" w:rsidP="00295C5B">
      <w:pPr>
        <w:pStyle w:val="a0"/>
        <w:rPr>
          <w:kern w:val="0"/>
          <w:szCs w:val="24"/>
        </w:rPr>
      </w:pPr>
      <w:r>
        <w:rPr>
          <w:rFonts w:hint="eastAsia"/>
          <w:kern w:val="0"/>
          <w:szCs w:val="24"/>
        </w:rPr>
        <w:t xml:space="preserve">Full Text: </w:t>
      </w:r>
      <w:hyperlink r:id="rId299" w:history="1">
        <w:r w:rsidRPr="00295C5B">
          <w:rPr>
            <w:rStyle w:val="a5"/>
            <w:kern w:val="0"/>
            <w:szCs w:val="24"/>
          </w:rPr>
          <w:t>2008\Gac San22, 58.pdf</w:t>
        </w:r>
      </w:hyperlink>
    </w:p>
    <w:p w:rsidR="00295C5B" w:rsidRDefault="00295C5B" w:rsidP="00295C5B">
      <w:pPr>
        <w:pStyle w:val="a0"/>
        <w:rPr>
          <w:kern w:val="0"/>
          <w:szCs w:val="24"/>
        </w:rPr>
      </w:pPr>
      <w:r>
        <w:rPr>
          <w:kern w:val="0"/>
          <w:szCs w:val="24"/>
        </w:rPr>
        <w:lastRenderedPageBreak/>
        <w:t>Abstract: Objective: To identify the characteristics of health education</w:t>
      </w:r>
      <w:r w:rsidR="00F81221">
        <w:rPr>
          <w:kern w:val="0"/>
          <w:szCs w:val="24"/>
        </w:rPr>
        <w:t xml:space="preserve"> and </w:t>
      </w:r>
      <w:r>
        <w:rPr>
          <w:kern w:val="0"/>
          <w:szCs w:val="24"/>
        </w:rPr>
        <w:t>promotion interventions in Spanish nursery</w:t>
      </w:r>
      <w:r w:rsidR="00F81221">
        <w:rPr>
          <w:kern w:val="0"/>
          <w:szCs w:val="24"/>
        </w:rPr>
        <w:t xml:space="preserve"> and </w:t>
      </w:r>
      <w:r>
        <w:rPr>
          <w:kern w:val="0"/>
          <w:szCs w:val="24"/>
        </w:rPr>
        <w:t>primary schools, through the studies published in scientific journals. Method: We performed a review of studies on health education</w:t>
      </w:r>
      <w:r w:rsidR="00F81221">
        <w:rPr>
          <w:kern w:val="0"/>
          <w:szCs w:val="24"/>
        </w:rPr>
        <w:t xml:space="preserve"> and </w:t>
      </w:r>
      <w:r>
        <w:rPr>
          <w:kern w:val="0"/>
          <w:szCs w:val="24"/>
        </w:rPr>
        <w:t>promotion interventions in Spanish nursery</w:t>
      </w:r>
      <w:r w:rsidR="00F81221">
        <w:rPr>
          <w:kern w:val="0"/>
          <w:szCs w:val="24"/>
        </w:rPr>
        <w:t xml:space="preserve"> and </w:t>
      </w:r>
      <w:r>
        <w:rPr>
          <w:kern w:val="0"/>
          <w:szCs w:val="24"/>
        </w:rPr>
        <w:t>primary schools, published from 1995 to 2005. The information sources were Medline (through Pubmed), Cinhal, Eric, Sociological Abstracts, Science Citation Index,</w:t>
      </w:r>
      <w:r w:rsidR="00F81221">
        <w:rPr>
          <w:kern w:val="0"/>
          <w:szCs w:val="24"/>
        </w:rPr>
        <w:t xml:space="preserve"> and </w:t>
      </w:r>
      <w:r>
        <w:rPr>
          <w:kern w:val="0"/>
          <w:szCs w:val="24"/>
        </w:rPr>
        <w:t>Isooc (CSIC). Studies performed in Spanish nursery</w:t>
      </w:r>
      <w:r w:rsidR="00F81221">
        <w:rPr>
          <w:kern w:val="0"/>
          <w:szCs w:val="24"/>
        </w:rPr>
        <w:t xml:space="preserve"> and </w:t>
      </w:r>
      <w:r>
        <w:rPr>
          <w:kern w:val="0"/>
          <w:szCs w:val="24"/>
        </w:rPr>
        <w:t>primary schools that incorporated health education</w:t>
      </w:r>
      <w:r w:rsidR="00F81221">
        <w:rPr>
          <w:kern w:val="0"/>
          <w:szCs w:val="24"/>
        </w:rPr>
        <w:t xml:space="preserve"> and </w:t>
      </w:r>
      <w:r>
        <w:rPr>
          <w:kern w:val="0"/>
          <w:szCs w:val="24"/>
        </w:rPr>
        <w:t>promotion interventions were selected. The studies</w:t>
      </w:r>
      <w:r w:rsidR="000352E7">
        <w:rPr>
          <w:kern w:val="0"/>
          <w:szCs w:val="24"/>
        </w:rPr>
        <w:t>’</w:t>
      </w:r>
      <w:r>
        <w:rPr>
          <w:kern w:val="0"/>
          <w:szCs w:val="24"/>
        </w:rPr>
        <w:t xml:space="preserve"> general features, main subject</w:t>
      </w:r>
      <w:r w:rsidR="00F81221">
        <w:rPr>
          <w:kern w:val="0"/>
          <w:szCs w:val="24"/>
        </w:rPr>
        <w:t xml:space="preserve"> and </w:t>
      </w:r>
      <w:r>
        <w:rPr>
          <w:kern w:val="0"/>
          <w:szCs w:val="24"/>
        </w:rPr>
        <w:t>aims, methodology, the kind of intervention described,</w:t>
      </w:r>
      <w:r w:rsidR="00F81221">
        <w:rPr>
          <w:kern w:val="0"/>
          <w:szCs w:val="24"/>
        </w:rPr>
        <w:t xml:space="preserve"> and </w:t>
      </w:r>
      <w:r>
        <w:rPr>
          <w:kern w:val="0"/>
          <w:szCs w:val="24"/>
        </w:rPr>
        <w:t>compliance with the criteria for Healthy Schools were analyzed. Results: Only 26 of the 346 articles identified met the inclusion criteria. Health education programs focussed more on disease prevention than on health promotion</w:t>
      </w:r>
      <w:r w:rsidR="00F81221">
        <w:rPr>
          <w:kern w:val="0"/>
          <w:szCs w:val="24"/>
        </w:rPr>
        <w:t xml:space="preserve"> and </w:t>
      </w:r>
      <w:r>
        <w:rPr>
          <w:kern w:val="0"/>
          <w:szCs w:val="24"/>
        </w:rPr>
        <w:t>only a few studies were performed in nursery</w:t>
      </w:r>
      <w:r w:rsidR="00F81221">
        <w:rPr>
          <w:kern w:val="0"/>
          <w:szCs w:val="24"/>
        </w:rPr>
        <w:t xml:space="preserve"> and </w:t>
      </w:r>
      <w:r>
        <w:rPr>
          <w:kern w:val="0"/>
          <w:szCs w:val="24"/>
        </w:rPr>
        <w:t>primary schools. The criteria for health promotion in schools were included in 5 articles (119.2%). The importance of health institutions (n = 7; 26.9%)</w:t>
      </w:r>
      <w:r w:rsidR="00F81221">
        <w:rPr>
          <w:kern w:val="0"/>
          <w:szCs w:val="24"/>
        </w:rPr>
        <w:t xml:space="preserve"> and </w:t>
      </w:r>
      <w:r>
        <w:rPr>
          <w:kern w:val="0"/>
          <w:szCs w:val="24"/>
        </w:rPr>
        <w:t>universities (n = 8; 30.8%) as promoters of programs was notable. The most frequent subject was smoking (n = 11; 42.3%). Conclusions: Teachers play a lesser role in health promotion in schools than health institutions in the implementation</w:t>
      </w:r>
      <w:r w:rsidR="00F81221">
        <w:rPr>
          <w:kern w:val="0"/>
          <w:szCs w:val="24"/>
        </w:rPr>
        <w:t xml:space="preserve"> and </w:t>
      </w:r>
      <w:r>
        <w:rPr>
          <w:kern w:val="0"/>
          <w:szCs w:val="24"/>
        </w:rPr>
        <w:t>dissemination of health programs. Research into health promotion in nursery</w:t>
      </w:r>
      <w:r w:rsidR="00F81221">
        <w:rPr>
          <w:kern w:val="0"/>
          <w:szCs w:val="24"/>
        </w:rPr>
        <w:t xml:space="preserve"> and </w:t>
      </w:r>
      <w:r>
        <w:rPr>
          <w:kern w:val="0"/>
          <w:szCs w:val="24"/>
        </w:rPr>
        <w:t>primary schools is scarce.</w:t>
      </w:r>
    </w:p>
    <w:p w:rsidR="00295C5B" w:rsidRDefault="00295C5B" w:rsidP="00295C5B">
      <w:pPr>
        <w:pStyle w:val="a0"/>
        <w:rPr>
          <w:kern w:val="0"/>
          <w:szCs w:val="24"/>
        </w:rPr>
      </w:pPr>
      <w:r>
        <w:rPr>
          <w:kern w:val="0"/>
          <w:szCs w:val="24"/>
        </w:rPr>
        <w:t>Keywords: Citation, Health Education, Health Promotion, Journals, Primary School, Review, Spain, Systematic Review</w:t>
      </w:r>
    </w:p>
    <w:p w:rsidR="00183B79" w:rsidRDefault="00183B79" w:rsidP="00183B79">
      <w:pPr>
        <w:pStyle w:val="a0"/>
        <w:rPr>
          <w:kern w:val="0"/>
        </w:rPr>
      </w:pPr>
      <w:r>
        <w:rPr>
          <w:rFonts w:hint="eastAsia"/>
          <w:kern w:val="0"/>
        </w:rPr>
        <w:t xml:space="preserve">? </w:t>
      </w:r>
      <w:r>
        <w:rPr>
          <w:kern w:val="0"/>
        </w:rPr>
        <w:t>Casado-Mejia, R., Ruiz-Arias, E.</w:t>
      </w:r>
      <w:r w:rsidR="00F81221">
        <w:rPr>
          <w:kern w:val="0"/>
        </w:rPr>
        <w:t xml:space="preserve"> and </w:t>
      </w:r>
      <w:r>
        <w:rPr>
          <w:kern w:val="0"/>
        </w:rPr>
        <w:t xml:space="preserve">Solano-Pares, A. (2009), Literature review of the family care provided by immigrant women. </w:t>
      </w:r>
      <w:r>
        <w:rPr>
          <w:i/>
          <w:iCs/>
          <w:kern w:val="0"/>
        </w:rPr>
        <w:t>Gaceta Sanitaria</w:t>
      </w:r>
      <w:r>
        <w:rPr>
          <w:kern w:val="0"/>
        </w:rPr>
        <w:t xml:space="preserve">, </w:t>
      </w:r>
      <w:r>
        <w:rPr>
          <w:b/>
          <w:bCs/>
          <w:kern w:val="0"/>
        </w:rPr>
        <w:t>23</w:t>
      </w:r>
      <w:r>
        <w:rPr>
          <w:kern w:val="0"/>
        </w:rPr>
        <w:t xml:space="preserve"> (4), 335-341.</w:t>
      </w:r>
    </w:p>
    <w:p w:rsidR="00183B79" w:rsidRPr="001A3D2B" w:rsidRDefault="00183B79" w:rsidP="00183B79">
      <w:pPr>
        <w:pStyle w:val="a0"/>
        <w:rPr>
          <w:kern w:val="0"/>
          <w:szCs w:val="24"/>
        </w:rPr>
      </w:pPr>
      <w:r w:rsidRPr="001A3D2B">
        <w:rPr>
          <w:kern w:val="0"/>
          <w:szCs w:val="24"/>
        </w:rPr>
        <w:t xml:space="preserve">Full Text: </w:t>
      </w:r>
      <w:r>
        <w:rPr>
          <w:kern w:val="0"/>
          <w:szCs w:val="24"/>
        </w:rPr>
        <w:t>200</w:t>
      </w:r>
      <w:r>
        <w:rPr>
          <w:rFonts w:hint="eastAsia"/>
          <w:kern w:val="0"/>
          <w:szCs w:val="24"/>
        </w:rPr>
        <w:t>9</w:t>
      </w:r>
      <w:r>
        <w:rPr>
          <w:kern w:val="0"/>
          <w:szCs w:val="24"/>
        </w:rPr>
        <w:t>\Gac San</w:t>
      </w:r>
      <w:r>
        <w:rPr>
          <w:rFonts w:hint="eastAsia"/>
          <w:kern w:val="0"/>
          <w:szCs w:val="24"/>
        </w:rPr>
        <w:t>23</w:t>
      </w:r>
      <w:r>
        <w:rPr>
          <w:kern w:val="0"/>
          <w:szCs w:val="24"/>
        </w:rPr>
        <w:t xml:space="preserve">, </w:t>
      </w:r>
      <w:r>
        <w:rPr>
          <w:rFonts w:hint="eastAsia"/>
          <w:kern w:val="0"/>
          <w:szCs w:val="24"/>
        </w:rPr>
        <w:t>335</w:t>
      </w:r>
      <w:r w:rsidRPr="00590F32">
        <w:rPr>
          <w:kern w:val="0"/>
          <w:szCs w:val="24"/>
        </w:rPr>
        <w:t>.pdf</w:t>
      </w:r>
    </w:p>
    <w:p w:rsidR="00183B79" w:rsidRDefault="00183B79" w:rsidP="00183B79">
      <w:pPr>
        <w:pStyle w:val="a0"/>
        <w:rPr>
          <w:kern w:val="0"/>
        </w:rPr>
      </w:pPr>
      <w:r>
        <w:rPr>
          <w:kern w:val="0"/>
        </w:rPr>
        <w:t>Abstract: Objective: To quantity</w:t>
      </w:r>
      <w:r w:rsidR="00F81221">
        <w:rPr>
          <w:kern w:val="0"/>
        </w:rPr>
        <w:t xml:space="preserve"> and </w:t>
      </w:r>
      <w:r>
        <w:rPr>
          <w:kern w:val="0"/>
        </w:rPr>
        <w:t>characterize the scientific production Oil the family care provided by immigrant women. Methods: A literature search was performed in April 2008 with no date limits in the main national</w:t>
      </w:r>
      <w:r w:rsidR="00F81221">
        <w:rPr>
          <w:kern w:val="0"/>
        </w:rPr>
        <w:t xml:space="preserve"> and </w:t>
      </w:r>
      <w:r>
        <w:rPr>
          <w:kern w:val="0"/>
        </w:rPr>
        <w:t>international databases: Web of Science, Current Contents Connect, ISI Proceedings, MEDLINE, CINAHL, PsycoInfo, EMBASE,IME, ISOC</w:t>
      </w:r>
      <w:r w:rsidR="00F81221">
        <w:rPr>
          <w:kern w:val="0"/>
        </w:rPr>
        <w:t xml:space="preserve"> and </w:t>
      </w:r>
      <w:r>
        <w:rPr>
          <w:kern w:val="0"/>
        </w:rPr>
        <w:t>CUIDEN. Summaries were reviewed by excluding those that did not relate to the subject of this Study</w:t>
      </w:r>
      <w:r w:rsidR="00F81221">
        <w:rPr>
          <w:kern w:val="0"/>
        </w:rPr>
        <w:t xml:space="preserve"> and </w:t>
      </w:r>
      <w:r>
        <w:rPr>
          <w:kern w:val="0"/>
        </w:rPr>
        <w:t>those that were not in English, French or Spanish. The references of all included articles were also reviewed to detect other relevant publications. Several variables were identified</w:t>
      </w:r>
      <w:r w:rsidR="00F81221">
        <w:rPr>
          <w:kern w:val="0"/>
        </w:rPr>
        <w:t xml:space="preserve"> and </w:t>
      </w:r>
      <w:r>
        <w:rPr>
          <w:kern w:val="0"/>
        </w:rPr>
        <w:t>analyzed: type of article, main topic, country of the first author.</w:t>
      </w:r>
      <w:r w:rsidR="00F81221">
        <w:rPr>
          <w:kern w:val="0"/>
        </w:rPr>
        <w:t xml:space="preserve"> and </w:t>
      </w:r>
      <w:r>
        <w:rPr>
          <w:kern w:val="0"/>
        </w:rPr>
        <w:t>year of publication. A content analysis was performed, using the topics as categories. Results: A total of 191 articles were retrieved</w:t>
      </w:r>
      <w:r w:rsidR="00F81221">
        <w:rPr>
          <w:kern w:val="0"/>
        </w:rPr>
        <w:t xml:space="preserve"> and </w:t>
      </w:r>
      <w:r>
        <w:rPr>
          <w:kern w:val="0"/>
        </w:rPr>
        <w:t>178 were excluded. The 13 included articles analyzed differences in formal</w:t>
      </w:r>
      <w:r w:rsidR="00F81221">
        <w:rPr>
          <w:kern w:val="0"/>
        </w:rPr>
        <w:t xml:space="preserve"> and </w:t>
      </w:r>
      <w:r>
        <w:rPr>
          <w:kern w:val="0"/>
        </w:rPr>
        <w:t>informal care (2), determinant factors (4), epistemological needs (3), the benefits of this kind of care (5), the need for health education/training (4), the need for political/institutional Support (2), immigration</w:t>
      </w:r>
      <w:r w:rsidR="00F81221">
        <w:rPr>
          <w:kern w:val="0"/>
        </w:rPr>
        <w:t xml:space="preserve"> and </w:t>
      </w:r>
      <w:r>
        <w:rPr>
          <w:kern w:val="0"/>
        </w:rPr>
        <w:t>health (6),</w:t>
      </w:r>
      <w:r w:rsidR="00F81221">
        <w:rPr>
          <w:kern w:val="0"/>
        </w:rPr>
        <w:t xml:space="preserve"> and </w:t>
      </w:r>
      <w:r>
        <w:rPr>
          <w:kern w:val="0"/>
        </w:rPr>
        <w:t xml:space="preserve">the carer/cared for relationship (4). There were five </w:t>
      </w:r>
      <w:r>
        <w:rPr>
          <w:kern w:val="0"/>
        </w:rPr>
        <w:lastRenderedPageBreak/>
        <w:t>non-systematic reviews, six descriptive studies, one qualitative Study</w:t>
      </w:r>
      <w:r w:rsidR="00F81221">
        <w:rPr>
          <w:kern w:val="0"/>
        </w:rPr>
        <w:t xml:space="preserve"> and </w:t>
      </w:r>
      <w:r>
        <w:rPr>
          <w:kern w:val="0"/>
        </w:rPr>
        <w:t>one experience. Two articles were published before 2002, eight between 2003-2005,</w:t>
      </w:r>
      <w:r w:rsidR="00F81221">
        <w:rPr>
          <w:kern w:val="0"/>
        </w:rPr>
        <w:t xml:space="preserve"> and </w:t>
      </w:r>
      <w:r>
        <w:rPr>
          <w:kern w:val="0"/>
        </w:rPr>
        <w:t>three between 2006-2008. Most of the Studies were performed in Spain (9/13). Conclusions: The scarcity of articles confirms that recruitment of immigrants as caregivers is a new</w:t>
      </w:r>
      <w:r w:rsidR="00F81221">
        <w:rPr>
          <w:kern w:val="0"/>
        </w:rPr>
        <w:t xml:space="preserve"> and </w:t>
      </w:r>
      <w:r>
        <w:rPr>
          <w:kern w:val="0"/>
        </w:rPr>
        <w:t>invisible reality. Most of these studies highlight the benefits of this type of care. There is no dominant pattern of topics</w:t>
      </w:r>
      <w:r w:rsidR="00F81221">
        <w:rPr>
          <w:kern w:val="0"/>
        </w:rPr>
        <w:t xml:space="preserve"> and </w:t>
      </w:r>
      <w:r>
        <w:rPr>
          <w:kern w:val="0"/>
        </w:rPr>
        <w:t>the methodology varies widely. The few analytical Studies may indicate that this topic is only beginning to be researched. Investigation into this form of care should be stimulated. (c) 2009 SESPAS. Published by Elsevier Espana, S.L. All rights reserved.</w:t>
      </w:r>
    </w:p>
    <w:p w:rsidR="00183B79" w:rsidRDefault="00183B79" w:rsidP="00183B79">
      <w:pPr>
        <w:pStyle w:val="a0"/>
        <w:rPr>
          <w:kern w:val="0"/>
        </w:rPr>
      </w:pPr>
      <w:r>
        <w:rPr>
          <w:kern w:val="0"/>
        </w:rPr>
        <w:t>Keywords: Analysis, Author, Caregivers, Content Analysis, Databases, Dependence, Descriptive Studies, Family Care, Immigrant, Immigrant Caregivers, ISI, Literature, Literature Review, Methodology, Methods, Publication, Publications, Recruitment, Review, Science, Scientific Production, Spain, Topics, Web of Science, Women</w:t>
      </w:r>
    </w:p>
    <w:p w:rsidR="00140DCA" w:rsidRDefault="00140DCA" w:rsidP="00140DCA">
      <w:pPr>
        <w:pStyle w:val="a0"/>
        <w:rPr>
          <w:kern w:val="0"/>
          <w:szCs w:val="24"/>
        </w:rPr>
      </w:pPr>
      <w:r>
        <w:rPr>
          <w:rFonts w:hint="eastAsia"/>
          <w:kern w:val="0"/>
          <w:szCs w:val="24"/>
        </w:rPr>
        <w:t xml:space="preserve">? </w:t>
      </w:r>
      <w:r w:rsidRPr="00140DCA">
        <w:rPr>
          <w:kern w:val="0"/>
          <w:szCs w:val="24"/>
        </w:rPr>
        <w:t>Peir</w:t>
      </w:r>
      <w:r>
        <w:rPr>
          <w:kern w:val="0"/>
          <w:szCs w:val="24"/>
        </w:rPr>
        <w:t>ó</w:t>
      </w:r>
      <w:r>
        <w:rPr>
          <w:rFonts w:hint="eastAsia"/>
          <w:kern w:val="0"/>
          <w:szCs w:val="24"/>
        </w:rPr>
        <w:t>,</w:t>
      </w:r>
      <w:r w:rsidRPr="00140DCA">
        <w:rPr>
          <w:kern w:val="0"/>
          <w:szCs w:val="24"/>
        </w:rPr>
        <w:t xml:space="preserve"> S</w:t>
      </w:r>
      <w:r>
        <w:rPr>
          <w:rFonts w:hint="eastAsia"/>
          <w:kern w:val="0"/>
          <w:szCs w:val="24"/>
        </w:rPr>
        <w:t>.,</w:t>
      </w:r>
      <w:r w:rsidRPr="00140DCA">
        <w:rPr>
          <w:kern w:val="0"/>
          <w:szCs w:val="24"/>
        </w:rPr>
        <w:t xml:space="preserve"> Barber-Hueso</w:t>
      </w:r>
      <w:r>
        <w:rPr>
          <w:rFonts w:hint="eastAsia"/>
          <w:kern w:val="0"/>
          <w:szCs w:val="24"/>
        </w:rPr>
        <w:t>,</w:t>
      </w:r>
      <w:r w:rsidRPr="00140DCA">
        <w:rPr>
          <w:kern w:val="0"/>
          <w:szCs w:val="24"/>
        </w:rPr>
        <w:t xml:space="preserve"> C</w:t>
      </w:r>
      <w:r>
        <w:rPr>
          <w:rFonts w:hint="eastAsia"/>
          <w:kern w:val="0"/>
          <w:szCs w:val="24"/>
        </w:rPr>
        <w:t>.,</w:t>
      </w:r>
      <w:r w:rsidRPr="00140DCA">
        <w:rPr>
          <w:kern w:val="0"/>
          <w:szCs w:val="24"/>
        </w:rPr>
        <w:t xml:space="preserve"> Rodríguez-Sánchez</w:t>
      </w:r>
      <w:r>
        <w:rPr>
          <w:rFonts w:hint="eastAsia"/>
          <w:kern w:val="0"/>
          <w:szCs w:val="24"/>
        </w:rPr>
        <w:t>,</w:t>
      </w:r>
      <w:r w:rsidRPr="00140DCA">
        <w:rPr>
          <w:kern w:val="0"/>
          <w:szCs w:val="24"/>
        </w:rPr>
        <w:t xml:space="preserve"> </w:t>
      </w:r>
      <w:r>
        <w:rPr>
          <w:kern w:val="0"/>
          <w:szCs w:val="24"/>
        </w:rPr>
        <w:t>Ó</w:t>
      </w:r>
      <w:r>
        <w:rPr>
          <w:rFonts w:hint="eastAsia"/>
          <w:kern w:val="0"/>
          <w:szCs w:val="24"/>
        </w:rPr>
        <w:t>.</w:t>
      </w:r>
      <w:r w:rsidR="00F81221">
        <w:rPr>
          <w:rFonts w:hint="eastAsia"/>
          <w:kern w:val="0"/>
          <w:szCs w:val="24"/>
        </w:rPr>
        <w:t xml:space="preserve"> and </w:t>
      </w:r>
      <w:r w:rsidRPr="00140DCA">
        <w:rPr>
          <w:kern w:val="0"/>
          <w:szCs w:val="24"/>
        </w:rPr>
        <w:t>Cervera-P</w:t>
      </w:r>
      <w:r>
        <w:rPr>
          <w:kern w:val="0"/>
          <w:szCs w:val="24"/>
        </w:rPr>
        <w:t>é</w:t>
      </w:r>
      <w:r w:rsidRPr="00140DCA">
        <w:rPr>
          <w:kern w:val="0"/>
          <w:szCs w:val="24"/>
        </w:rPr>
        <w:t>rez</w:t>
      </w:r>
      <w:r>
        <w:rPr>
          <w:rFonts w:hint="eastAsia"/>
          <w:kern w:val="0"/>
          <w:szCs w:val="24"/>
        </w:rPr>
        <w:t>,</w:t>
      </w:r>
      <w:r w:rsidRPr="00140DCA">
        <w:rPr>
          <w:kern w:val="0"/>
          <w:szCs w:val="24"/>
        </w:rPr>
        <w:t xml:space="preserve"> I</w:t>
      </w:r>
      <w:r>
        <w:rPr>
          <w:rFonts w:hint="eastAsia"/>
          <w:kern w:val="0"/>
          <w:szCs w:val="24"/>
        </w:rPr>
        <w:t>.</w:t>
      </w:r>
      <w:r>
        <w:rPr>
          <w:kern w:val="0"/>
          <w:szCs w:val="24"/>
        </w:rPr>
        <w:t xml:space="preserve"> (200</w:t>
      </w:r>
      <w:r>
        <w:rPr>
          <w:rFonts w:hint="eastAsia"/>
          <w:kern w:val="0"/>
          <w:szCs w:val="24"/>
        </w:rPr>
        <w:t>9</w:t>
      </w:r>
      <w:r>
        <w:rPr>
          <w:kern w:val="0"/>
          <w:szCs w:val="24"/>
        </w:rPr>
        <w:t xml:space="preserve">), </w:t>
      </w:r>
      <w:r w:rsidRPr="00140DCA">
        <w:rPr>
          <w:kern w:val="0"/>
          <w:szCs w:val="24"/>
        </w:rPr>
        <w:t xml:space="preserve">Distinguishing between </w:t>
      </w:r>
      <w:r w:rsidR="000352E7">
        <w:rPr>
          <w:kern w:val="0"/>
          <w:szCs w:val="24"/>
        </w:rPr>
        <w:t>“</w:t>
      </w:r>
      <w:r w:rsidRPr="00140DCA">
        <w:rPr>
          <w:kern w:val="0"/>
          <w:szCs w:val="24"/>
        </w:rPr>
        <w:t>erroneous citation</w:t>
      </w:r>
      <w:r w:rsidR="000352E7">
        <w:rPr>
          <w:kern w:val="0"/>
          <w:szCs w:val="24"/>
        </w:rPr>
        <w:t>”</w:t>
      </w:r>
      <w:r w:rsidR="00F81221">
        <w:rPr>
          <w:kern w:val="0"/>
          <w:szCs w:val="24"/>
        </w:rPr>
        <w:t xml:space="preserve"> and </w:t>
      </w:r>
      <w:r w:rsidRPr="00140DCA">
        <w:rPr>
          <w:kern w:val="0"/>
          <w:szCs w:val="24"/>
        </w:rPr>
        <w:t>plagiarism</w:t>
      </w:r>
      <w:r>
        <w:rPr>
          <w:kern w:val="0"/>
          <w:szCs w:val="24"/>
        </w:rPr>
        <w:t xml:space="preserve">. </w:t>
      </w:r>
      <w:r>
        <w:rPr>
          <w:i/>
          <w:iCs/>
          <w:kern w:val="0"/>
          <w:szCs w:val="24"/>
        </w:rPr>
        <w:t>Gaceta Sanitaria</w:t>
      </w:r>
      <w:r>
        <w:rPr>
          <w:kern w:val="0"/>
          <w:szCs w:val="24"/>
        </w:rPr>
        <w:t xml:space="preserve">, </w:t>
      </w:r>
      <w:r>
        <w:rPr>
          <w:b/>
          <w:bCs/>
          <w:kern w:val="0"/>
          <w:szCs w:val="24"/>
        </w:rPr>
        <w:t>2</w:t>
      </w:r>
      <w:r>
        <w:rPr>
          <w:rFonts w:hint="eastAsia"/>
          <w:b/>
          <w:bCs/>
          <w:kern w:val="0"/>
          <w:szCs w:val="24"/>
        </w:rPr>
        <w:t>3</w:t>
      </w:r>
      <w:r>
        <w:rPr>
          <w:kern w:val="0"/>
          <w:szCs w:val="24"/>
        </w:rPr>
        <w:t xml:space="preserve"> (</w:t>
      </w:r>
      <w:r>
        <w:rPr>
          <w:rFonts w:hint="eastAsia"/>
          <w:kern w:val="0"/>
          <w:szCs w:val="24"/>
        </w:rPr>
        <w:t>4</w:t>
      </w:r>
      <w:r>
        <w:rPr>
          <w:kern w:val="0"/>
          <w:szCs w:val="24"/>
        </w:rPr>
        <w:t xml:space="preserve">), </w:t>
      </w:r>
      <w:r w:rsidRPr="00140DCA">
        <w:rPr>
          <w:kern w:val="0"/>
          <w:szCs w:val="24"/>
        </w:rPr>
        <w:t>352-353</w:t>
      </w:r>
      <w:r>
        <w:rPr>
          <w:kern w:val="0"/>
          <w:szCs w:val="24"/>
        </w:rPr>
        <w:t>.</w:t>
      </w:r>
    </w:p>
    <w:p w:rsidR="00140DCA" w:rsidRDefault="00140DCA" w:rsidP="00140DCA">
      <w:pPr>
        <w:pStyle w:val="a0"/>
        <w:rPr>
          <w:kern w:val="0"/>
          <w:szCs w:val="24"/>
        </w:rPr>
      </w:pPr>
      <w:r>
        <w:rPr>
          <w:rFonts w:hint="eastAsia"/>
          <w:kern w:val="0"/>
          <w:szCs w:val="24"/>
        </w:rPr>
        <w:t xml:space="preserve">Full Text: </w:t>
      </w:r>
      <w:hyperlink r:id="rId300" w:history="1">
        <w:r w:rsidR="00023AB0" w:rsidRPr="00023AB0">
          <w:rPr>
            <w:rStyle w:val="a5"/>
            <w:kern w:val="0"/>
            <w:szCs w:val="24"/>
          </w:rPr>
          <w:t>2009\Gac San23, 352.pdf</w:t>
        </w:r>
      </w:hyperlink>
    </w:p>
    <w:p w:rsidR="004A39FF" w:rsidRDefault="004A39FF" w:rsidP="004A39FF">
      <w:pPr>
        <w:pStyle w:val="a0"/>
        <w:rPr>
          <w:kern w:val="0"/>
          <w:szCs w:val="24"/>
        </w:rPr>
      </w:pPr>
      <w:r>
        <w:rPr>
          <w:rFonts w:hint="eastAsia"/>
          <w:kern w:val="0"/>
          <w:szCs w:val="24"/>
        </w:rPr>
        <w:t xml:space="preserve">? </w:t>
      </w:r>
      <w:r>
        <w:rPr>
          <w:kern w:val="0"/>
          <w:szCs w:val="24"/>
        </w:rPr>
        <w:t>Vioque, J., Ramos, J.M., Navarrete-Munoz, E.M.</w:t>
      </w:r>
      <w:r w:rsidR="00F81221">
        <w:rPr>
          <w:kern w:val="0"/>
          <w:szCs w:val="24"/>
        </w:rPr>
        <w:t xml:space="preserve"> and </w:t>
      </w:r>
      <w:r>
        <w:rPr>
          <w:kern w:val="0"/>
          <w:szCs w:val="24"/>
        </w:rPr>
        <w:t xml:space="preserve">De la Hera, M.G. (2010), Spanish scientific production in obesity research published in PubMed (1988-2007). </w:t>
      </w:r>
      <w:r>
        <w:rPr>
          <w:i/>
          <w:iCs/>
          <w:kern w:val="0"/>
          <w:szCs w:val="24"/>
        </w:rPr>
        <w:t>Gaceta Sanitaria</w:t>
      </w:r>
      <w:r>
        <w:rPr>
          <w:kern w:val="0"/>
          <w:szCs w:val="24"/>
        </w:rPr>
        <w:t xml:space="preserve">, </w:t>
      </w:r>
      <w:r>
        <w:rPr>
          <w:b/>
          <w:bCs/>
          <w:kern w:val="0"/>
          <w:szCs w:val="24"/>
        </w:rPr>
        <w:t>24</w:t>
      </w:r>
      <w:r>
        <w:rPr>
          <w:kern w:val="0"/>
          <w:szCs w:val="24"/>
        </w:rPr>
        <w:t xml:space="preserve"> (3), 225-232.</w:t>
      </w:r>
    </w:p>
    <w:p w:rsidR="00023AB0" w:rsidRDefault="00023AB0" w:rsidP="00023AB0">
      <w:pPr>
        <w:pStyle w:val="a0"/>
        <w:rPr>
          <w:kern w:val="0"/>
          <w:szCs w:val="24"/>
        </w:rPr>
      </w:pPr>
      <w:r>
        <w:rPr>
          <w:rFonts w:hint="eastAsia"/>
          <w:kern w:val="0"/>
          <w:szCs w:val="24"/>
        </w:rPr>
        <w:t xml:space="preserve">Full Text: </w:t>
      </w:r>
      <w:hyperlink r:id="rId301" w:history="1">
        <w:r w:rsidRPr="00AA75AB">
          <w:rPr>
            <w:rStyle w:val="a5"/>
            <w:kern w:val="0"/>
            <w:szCs w:val="24"/>
          </w:rPr>
          <w:t>2010\Gac San24, 225.pdf</w:t>
        </w:r>
      </w:hyperlink>
    </w:p>
    <w:p w:rsidR="004A39FF" w:rsidRDefault="004A39FF" w:rsidP="004A39FF">
      <w:pPr>
        <w:pStyle w:val="a0"/>
        <w:rPr>
          <w:kern w:val="0"/>
          <w:szCs w:val="24"/>
        </w:rPr>
      </w:pPr>
      <w:r>
        <w:rPr>
          <w:kern w:val="0"/>
          <w:szCs w:val="24"/>
        </w:rPr>
        <w:t xml:space="preserve">Abstract: Objective: To analyse Spanish scientific research output related to obesity during a 20-year period from 1988 to 2007 into context with the European Union productivity Methods: The bibliometric study was based on research of the MEDLINE database in PubMed. Search terms were </w:t>
      </w:r>
      <w:r w:rsidR="000352E7">
        <w:rPr>
          <w:kern w:val="0"/>
          <w:szCs w:val="24"/>
        </w:rPr>
        <w:t>“</w:t>
      </w:r>
      <w:r>
        <w:rPr>
          <w:kern w:val="0"/>
          <w:szCs w:val="24"/>
        </w:rPr>
        <w:t>obesity</w:t>
      </w:r>
      <w:r w:rsidR="000352E7">
        <w:rPr>
          <w:kern w:val="0"/>
          <w:szCs w:val="24"/>
        </w:rPr>
        <w:t>”</w:t>
      </w:r>
      <w:r>
        <w:rPr>
          <w:kern w:val="0"/>
          <w:szCs w:val="24"/>
        </w:rPr>
        <w:t xml:space="preserve"> appearing in MeSH. Linear regression was used to estimate trends in number of publications. Results: We retrieved 50,120 documents on obesity in the study period,</w:t>
      </w:r>
      <w:r w:rsidR="00F81221">
        <w:rPr>
          <w:kern w:val="0"/>
          <w:szCs w:val="24"/>
        </w:rPr>
        <w:t xml:space="preserve"> and </w:t>
      </w:r>
      <w:r>
        <w:rPr>
          <w:kern w:val="0"/>
          <w:szCs w:val="24"/>
        </w:rPr>
        <w:t>1,407 were by Spanish authors (2.7% of the world production). Spain, accounting for 8.1% of scientific output in this area, was the fifth most productive country in the European Union; 932 (69.1%) of papers were published in English. The average yearly increase in publications was 15%, from 91 documents in the first five-year period to 702 in the last five-period. The most frequent specialty of first author was endocrinology (279 documents, or 22.8%), followed by physiology-nutrition-bromatology (203, or 16.6%),</w:t>
      </w:r>
      <w:r w:rsidR="00F81221">
        <w:rPr>
          <w:kern w:val="0"/>
          <w:szCs w:val="24"/>
        </w:rPr>
        <w:t xml:space="preserve"> and </w:t>
      </w:r>
      <w:r>
        <w:rPr>
          <w:kern w:val="0"/>
          <w:szCs w:val="24"/>
        </w:rPr>
        <w:t>biochemistry (161, or 13.2%). Journals publishing the largest numbers of papers on obesity were Medicina Clinica (83 or 6.1%), Obesity Surgery (79 or 5.8%), International journal of Obesity (73)</w:t>
      </w:r>
      <w:r w:rsidR="00F81221">
        <w:rPr>
          <w:kern w:val="0"/>
          <w:szCs w:val="24"/>
        </w:rPr>
        <w:t xml:space="preserve"> and </w:t>
      </w:r>
      <w:r>
        <w:rPr>
          <w:kern w:val="0"/>
          <w:szCs w:val="24"/>
        </w:rPr>
        <w:t>Nutricion Hospitalaria (59). The most productive regions in Spain were Cataluna (338 or 24.9%), Madrid (286 or 20.6%),</w:t>
      </w:r>
      <w:r w:rsidR="00F81221">
        <w:rPr>
          <w:kern w:val="0"/>
          <w:szCs w:val="24"/>
        </w:rPr>
        <w:t xml:space="preserve"> and </w:t>
      </w:r>
      <w:r>
        <w:rPr>
          <w:kern w:val="0"/>
          <w:szCs w:val="24"/>
        </w:rPr>
        <w:t xml:space="preserve">Navarra (159 or 11.7%). The most productive institutions were hospitals, with 708 titles (52.1%), followed by </w:t>
      </w:r>
      <w:r>
        <w:rPr>
          <w:kern w:val="0"/>
          <w:szCs w:val="24"/>
        </w:rPr>
        <w:lastRenderedPageBreak/>
        <w:t>universities, with 521 (38.5%). Conclusions: Obesity research in Spain has increased over the last 20 years</w:t>
      </w:r>
      <w:r w:rsidR="00F81221">
        <w:rPr>
          <w:kern w:val="0"/>
          <w:szCs w:val="24"/>
        </w:rPr>
        <w:t xml:space="preserve"> and </w:t>
      </w:r>
      <w:r>
        <w:rPr>
          <w:kern w:val="0"/>
          <w:szCs w:val="24"/>
        </w:rPr>
        <w:t>accounted for a substantial proportion of European Union research in this field. Half of the papers by Spanish authors were published in international non-Spanish journals. Most of papers were carried out from hospital settings</w:t>
      </w:r>
      <w:r w:rsidR="00F81221">
        <w:rPr>
          <w:kern w:val="0"/>
          <w:szCs w:val="24"/>
        </w:rPr>
        <w:t xml:space="preserve"> and </w:t>
      </w:r>
      <w:r>
        <w:rPr>
          <w:kern w:val="0"/>
          <w:szCs w:val="24"/>
        </w:rPr>
        <w:t>universities. (C) 2009 SESPAS. Published by Elsevier Espana, S.L. All rights reserved.</w:t>
      </w:r>
    </w:p>
    <w:p w:rsidR="004A39FF" w:rsidRDefault="004A39FF" w:rsidP="004A39FF">
      <w:pPr>
        <w:pStyle w:val="a0"/>
        <w:rPr>
          <w:kern w:val="0"/>
          <w:szCs w:val="24"/>
        </w:rPr>
      </w:pPr>
      <w:r>
        <w:rPr>
          <w:kern w:val="0"/>
          <w:szCs w:val="24"/>
        </w:rPr>
        <w:t>Keywords: Bibliometric Analysis, Bibliometrics, Biomedicine, European-Union, Impact, Journals, Obesity, Output, Prevalence, Publications, Pubmed, Science-Citation-Index, Scientific Research, Spain</w:t>
      </w:r>
    </w:p>
    <w:p w:rsidR="00183B79" w:rsidRDefault="00183B79" w:rsidP="00183B79">
      <w:pPr>
        <w:pStyle w:val="a0"/>
        <w:rPr>
          <w:kern w:val="0"/>
        </w:rPr>
      </w:pPr>
      <w:r>
        <w:rPr>
          <w:rFonts w:hint="eastAsia"/>
          <w:kern w:val="0"/>
        </w:rPr>
        <w:t xml:space="preserve">? </w:t>
      </w:r>
      <w:r>
        <w:rPr>
          <w:kern w:val="0"/>
        </w:rPr>
        <w:t>Pereda, N.</w:t>
      </w:r>
      <w:r w:rsidR="00F81221">
        <w:rPr>
          <w:kern w:val="0"/>
        </w:rPr>
        <w:t xml:space="preserve"> and </w:t>
      </w:r>
      <w:r>
        <w:rPr>
          <w:kern w:val="0"/>
        </w:rPr>
        <w:t xml:space="preserve">Gallardo-Pujol, D. (2011), Neurobiological consequences of child sexual abuse: A systematic review. </w:t>
      </w:r>
      <w:r>
        <w:rPr>
          <w:i/>
          <w:iCs/>
          <w:kern w:val="0"/>
        </w:rPr>
        <w:t>Gaceta Sanitaria</w:t>
      </w:r>
      <w:r>
        <w:rPr>
          <w:kern w:val="0"/>
        </w:rPr>
        <w:t xml:space="preserve">, </w:t>
      </w:r>
      <w:r>
        <w:rPr>
          <w:b/>
          <w:bCs/>
          <w:kern w:val="0"/>
        </w:rPr>
        <w:t>25</w:t>
      </w:r>
      <w:r>
        <w:rPr>
          <w:kern w:val="0"/>
        </w:rPr>
        <w:t xml:space="preserve"> (3), 233-239.</w:t>
      </w:r>
    </w:p>
    <w:p w:rsidR="00183B79" w:rsidRDefault="00183B79" w:rsidP="00183B79">
      <w:pPr>
        <w:pStyle w:val="a0"/>
        <w:rPr>
          <w:kern w:val="0"/>
        </w:rPr>
      </w:pPr>
      <w:r>
        <w:rPr>
          <w:kern w:val="0"/>
        </w:rPr>
        <w:t>Abstract: Objective: The results of several studies suggest that there is a critical timeframe during development in which experiences of maltreatment</w:t>
      </w:r>
      <w:r w:rsidR="00F81221">
        <w:rPr>
          <w:kern w:val="0"/>
        </w:rPr>
        <w:t xml:space="preserve"> and </w:t>
      </w:r>
      <w:r>
        <w:rPr>
          <w:kern w:val="0"/>
        </w:rPr>
        <w:t>sexual abuse may lead to permanent or long-lasting neurobiological changes that particularly affect the hypothalamus-pituitary-adrenal axis response. The aim of the present study was to provide an updated review on the main neurobiological consequences of child sexual abuse. Methods: We selected articles published between January 1999</w:t>
      </w:r>
      <w:r w:rsidR="00F81221">
        <w:rPr>
          <w:kern w:val="0"/>
        </w:rPr>
        <w:t xml:space="preserve"> and </w:t>
      </w:r>
      <w:r>
        <w:rPr>
          <w:kern w:val="0"/>
        </w:rPr>
        <w:t>January 2010 in English or Spanish that focused on the neurobiological consequences of child sexual abuse available through MEDLINE. Scopus</w:t>
      </w:r>
      <w:r w:rsidR="00F81221">
        <w:rPr>
          <w:kern w:val="0"/>
        </w:rPr>
        <w:t xml:space="preserve"> and </w:t>
      </w:r>
      <w:r>
        <w:rPr>
          <w:kern w:val="0"/>
        </w:rPr>
        <w:t>Web of Science. We also examined the references in published articles on the consequences of sexual victimization in childhood. Results: In this review we included 34 studies on neurobiological consequences, indicating different kinds of effects, namely: neuroendocrine, structural, functional</w:t>
      </w:r>
      <w:r w:rsidR="00F81221">
        <w:rPr>
          <w:kern w:val="0"/>
        </w:rPr>
        <w:t xml:space="preserve"> and </w:t>
      </w:r>
      <w:r>
        <w:rPr>
          <w:kern w:val="0"/>
        </w:rPr>
        <w:t>neuropsychological consequences, which affect a large number of victims. Conclusions: The existing body of work on the neurobiological consequences of maltreatment shows the need to consider maltreatment</w:t>
      </w:r>
      <w:r w:rsidR="00F81221">
        <w:rPr>
          <w:kern w:val="0"/>
        </w:rPr>
        <w:t xml:space="preserve"> and </w:t>
      </w:r>
      <w:r>
        <w:rPr>
          <w:kern w:val="0"/>
        </w:rPr>
        <w:t>child sexual abuse as health problems that affect different areas of victims</w:t>
      </w:r>
      <w:r w:rsidR="000352E7">
        <w:rPr>
          <w:kern w:val="0"/>
        </w:rPr>
        <w:t>’</w:t>
      </w:r>
      <w:r>
        <w:rPr>
          <w:kern w:val="0"/>
        </w:rPr>
        <w:t xml:space="preserve"> lives, which would in turn favor the development of intervention</w:t>
      </w:r>
      <w:r w:rsidR="00F81221">
        <w:rPr>
          <w:kern w:val="0"/>
        </w:rPr>
        <w:t xml:space="preserve"> and </w:t>
      </w:r>
      <w:r>
        <w:rPr>
          <w:kern w:val="0"/>
        </w:rPr>
        <w:t>treatment programs that take these multiple effects into account. (C) 2010 SESPAS. Published by Elsevier Espana, S.L. All rights reserved.</w:t>
      </w:r>
    </w:p>
    <w:p w:rsidR="00183B79" w:rsidRDefault="00183B79" w:rsidP="00183B79">
      <w:pPr>
        <w:pStyle w:val="a0"/>
        <w:rPr>
          <w:kern w:val="0"/>
        </w:rPr>
      </w:pPr>
      <w:r>
        <w:rPr>
          <w:kern w:val="0"/>
        </w:rPr>
        <w:t>Keywords: Anterior Cingulate, Borderline Personality-Disorder, Brain-Development, Child, Child Sexual Abuse, Cortisol, Development, Early Adverse Experiences, Functional, Hippocampal Volume, Impacts On Health, Intervention, Lead, Life Stress, Maltreated Children, Methods, Neurobiology, Posttraumatic-Stress-Disorder, Review, Science, Scopus, Systematic, Systematic Review, Treatment, Web of Science, Women</w:t>
      </w:r>
    </w:p>
    <w:p w:rsidR="004D3F32" w:rsidRPr="001A3D2B" w:rsidRDefault="004D3F32" w:rsidP="004D3F32">
      <w:pPr>
        <w:pStyle w:val="1"/>
      </w:pPr>
      <w:r w:rsidRPr="001A3D2B">
        <w:br w:type="page"/>
      </w:r>
      <w:bookmarkStart w:id="224" w:name="_Toc317160891"/>
      <w:r w:rsidRPr="001A3D2B">
        <w:lastRenderedPageBreak/>
        <w:t xml:space="preserve">Title: </w:t>
      </w:r>
      <w:r w:rsidRPr="00500F0E">
        <w:t>GAIA-Ecological Perspectives for Science</w:t>
      </w:r>
      <w:r w:rsidR="00F81221">
        <w:t xml:space="preserve"> and </w:t>
      </w:r>
      <w:r w:rsidRPr="00500F0E">
        <w:t>Society</w:t>
      </w:r>
      <w:bookmarkEnd w:id="224"/>
    </w:p>
    <w:p w:rsidR="004D3F32" w:rsidRPr="001A3D2B" w:rsidRDefault="004D3F32" w:rsidP="00B72EF9">
      <w:pPr>
        <w:pStyle w:val="12"/>
      </w:pPr>
      <w:r w:rsidRPr="001A3D2B">
        <w:t xml:space="preserve">Full Journal Title: </w:t>
      </w:r>
      <w:hyperlink r:id="rId302" w:history="1">
        <w:r w:rsidRPr="004D3F32">
          <w:rPr>
            <w:rStyle w:val="a5"/>
            <w:iCs/>
          </w:rPr>
          <w:t>GAIA-Ecological Perspectives for Science</w:t>
        </w:r>
        <w:r w:rsidR="00F81221">
          <w:rPr>
            <w:rStyle w:val="a5"/>
            <w:iCs/>
          </w:rPr>
          <w:t xml:space="preserve"> and </w:t>
        </w:r>
        <w:r w:rsidRPr="004D3F32">
          <w:rPr>
            <w:rStyle w:val="a5"/>
            <w:iCs/>
          </w:rPr>
          <w:t>Society</w:t>
        </w:r>
      </w:hyperlink>
    </w:p>
    <w:p w:rsidR="004D3F32" w:rsidRPr="001A3D2B" w:rsidRDefault="004D3F32" w:rsidP="00B72EF9">
      <w:pPr>
        <w:pStyle w:val="12"/>
      </w:pPr>
      <w:r w:rsidRPr="001A3D2B">
        <w:t xml:space="preserve">ISO Abbreviated Title: </w:t>
      </w:r>
    </w:p>
    <w:p w:rsidR="004D3F32" w:rsidRPr="001A3D2B" w:rsidRDefault="004D3F32" w:rsidP="00B72EF9">
      <w:pPr>
        <w:pStyle w:val="12"/>
      </w:pPr>
      <w:r w:rsidRPr="001A3D2B">
        <w:t xml:space="preserve">JCR Abbreviated Title: </w:t>
      </w:r>
    </w:p>
    <w:p w:rsidR="004D3F32" w:rsidRPr="001A3D2B" w:rsidRDefault="004D3F32" w:rsidP="00B72EF9">
      <w:pPr>
        <w:pStyle w:val="12"/>
      </w:pPr>
      <w:r>
        <w:t xml:space="preserve">ISSN: </w:t>
      </w:r>
    </w:p>
    <w:p w:rsidR="004D3F32" w:rsidRPr="001A3D2B" w:rsidRDefault="004D3F32" w:rsidP="00B72EF9">
      <w:pPr>
        <w:pStyle w:val="12"/>
      </w:pPr>
      <w:r w:rsidRPr="001A3D2B">
        <w:t xml:space="preserve">Issues/Year: </w:t>
      </w:r>
    </w:p>
    <w:p w:rsidR="004D3F32" w:rsidRPr="001A3D2B" w:rsidRDefault="004D3F32" w:rsidP="00B72EF9">
      <w:pPr>
        <w:pStyle w:val="12"/>
      </w:pPr>
      <w:r w:rsidRPr="001A3D2B">
        <w:t xml:space="preserve">Journal Country/Territory: </w:t>
      </w:r>
    </w:p>
    <w:p w:rsidR="004D3F32" w:rsidRPr="001A3D2B" w:rsidRDefault="004D3F32" w:rsidP="00B72EF9">
      <w:pPr>
        <w:pStyle w:val="12"/>
      </w:pPr>
      <w:r w:rsidRPr="001A3D2B">
        <w:t xml:space="preserve">Language: </w:t>
      </w:r>
    </w:p>
    <w:p w:rsidR="004D3F32" w:rsidRPr="001A3D2B" w:rsidRDefault="004D3F32" w:rsidP="00B72EF9">
      <w:pPr>
        <w:pStyle w:val="12"/>
      </w:pPr>
      <w:r w:rsidRPr="001A3D2B">
        <w:t xml:space="preserve">Publisher: </w:t>
      </w:r>
    </w:p>
    <w:p w:rsidR="004D3F32" w:rsidRPr="001A3D2B" w:rsidRDefault="004D3F32" w:rsidP="00B72EF9">
      <w:pPr>
        <w:pStyle w:val="12"/>
      </w:pPr>
      <w:r w:rsidRPr="001A3D2B">
        <w:t xml:space="preserve">Publisher Address: </w:t>
      </w:r>
    </w:p>
    <w:p w:rsidR="004D3F32" w:rsidRPr="001A3D2B" w:rsidRDefault="004D3F32" w:rsidP="00B72EF9">
      <w:pPr>
        <w:pStyle w:val="12"/>
      </w:pPr>
      <w:r w:rsidRPr="001A3D2B">
        <w:t>Subject Categories:</w:t>
      </w:r>
    </w:p>
    <w:p w:rsidR="004D3F32" w:rsidRPr="001A3D2B" w:rsidRDefault="004D3F32" w:rsidP="00B72EF9">
      <w:pPr>
        <w:pStyle w:val="12"/>
      </w:pPr>
      <w:r w:rsidRPr="001A3D2B">
        <w:t xml:space="preserve">: Impact Factor </w:t>
      </w:r>
    </w:p>
    <w:p w:rsidR="004D3F32" w:rsidRDefault="004D3F32" w:rsidP="004D3F32">
      <w:pPr>
        <w:pStyle w:val="a0"/>
        <w:rPr>
          <w:kern w:val="0"/>
        </w:rPr>
      </w:pPr>
      <w:r>
        <w:rPr>
          <w:rFonts w:hint="eastAsia"/>
          <w:kern w:val="0"/>
        </w:rPr>
        <w:t xml:space="preserve">? </w:t>
      </w:r>
      <w:r>
        <w:rPr>
          <w:kern w:val="0"/>
        </w:rPr>
        <w:t>Nentwich, M. (2009), Citation indices as distorting mirrors</w:t>
      </w:r>
      <w:r w:rsidR="00F81221">
        <w:rPr>
          <w:kern w:val="0"/>
        </w:rPr>
        <w:t xml:space="preserve"> and </w:t>
      </w:r>
      <w:r>
        <w:rPr>
          <w:kern w:val="0"/>
        </w:rPr>
        <w:t xml:space="preserve">challenges. </w:t>
      </w:r>
      <w:r w:rsidRPr="00500F0E">
        <w:rPr>
          <w:i/>
          <w:iCs/>
          <w:kern w:val="0"/>
        </w:rPr>
        <w:t>GAIA-Ecological Perspectives for Science</w:t>
      </w:r>
      <w:r w:rsidR="00F81221">
        <w:rPr>
          <w:i/>
          <w:iCs/>
          <w:kern w:val="0"/>
        </w:rPr>
        <w:t xml:space="preserve"> and </w:t>
      </w:r>
      <w:r w:rsidRPr="00500F0E">
        <w:rPr>
          <w:i/>
          <w:iCs/>
          <w:kern w:val="0"/>
        </w:rPr>
        <w:t>Society</w:t>
      </w:r>
      <w:r>
        <w:rPr>
          <w:kern w:val="0"/>
        </w:rPr>
        <w:t xml:space="preserve">, </w:t>
      </w:r>
      <w:r>
        <w:rPr>
          <w:b/>
          <w:bCs/>
          <w:kern w:val="0"/>
        </w:rPr>
        <w:t>18</w:t>
      </w:r>
      <w:r>
        <w:rPr>
          <w:kern w:val="0"/>
        </w:rPr>
        <w:t xml:space="preserve"> (4), 281-283</w:t>
      </w:r>
      <w:r>
        <w:rPr>
          <w:rFonts w:hint="eastAsia"/>
          <w:kern w:val="0"/>
        </w:rPr>
        <w:t>.</w:t>
      </w:r>
    </w:p>
    <w:p w:rsidR="004D3F32" w:rsidRDefault="004D3F32" w:rsidP="004D3F32">
      <w:pPr>
        <w:pStyle w:val="a0"/>
        <w:rPr>
          <w:kern w:val="0"/>
        </w:rPr>
      </w:pPr>
      <w:r>
        <w:rPr>
          <w:rFonts w:hint="eastAsia"/>
          <w:kern w:val="0"/>
        </w:rPr>
        <w:t xml:space="preserve">Full Text: </w:t>
      </w:r>
      <w:hyperlink r:id="rId303" w:history="1">
        <w:r w:rsidR="00237121" w:rsidRPr="00237121">
          <w:rPr>
            <w:rStyle w:val="a5"/>
            <w:kern w:val="0"/>
          </w:rPr>
          <w:t>2009\GAI-Eco Per Sci Soc18, 281.pdf</w:t>
        </w:r>
      </w:hyperlink>
    </w:p>
    <w:p w:rsidR="004D3F32" w:rsidRDefault="004D3F32" w:rsidP="004D3F32">
      <w:pPr>
        <w:pStyle w:val="a0"/>
        <w:rPr>
          <w:kern w:val="0"/>
        </w:rPr>
      </w:pPr>
      <w:r>
        <w:rPr>
          <w:kern w:val="0"/>
        </w:rPr>
        <w:t>Keywords: Citation, Citation Analysis, Citation Indices, Impact Factor, Lingua Franca, Peer Evaluation, Scientometrics</w:t>
      </w:r>
    </w:p>
    <w:p w:rsidR="004A39FF" w:rsidRDefault="004A39FF" w:rsidP="004A39FF">
      <w:pPr>
        <w:pStyle w:val="a0"/>
        <w:rPr>
          <w:kern w:val="0"/>
          <w:szCs w:val="24"/>
        </w:rPr>
      </w:pPr>
      <w:r>
        <w:rPr>
          <w:rFonts w:hint="eastAsia"/>
          <w:kern w:val="0"/>
          <w:szCs w:val="24"/>
        </w:rPr>
        <w:t xml:space="preserve">? </w:t>
      </w:r>
      <w:r>
        <w:rPr>
          <w:kern w:val="0"/>
          <w:szCs w:val="24"/>
        </w:rPr>
        <w:t>Schl</w:t>
      </w:r>
      <w:r w:rsidR="00493EB2">
        <w:rPr>
          <w:kern w:val="0"/>
          <w:szCs w:val="24"/>
        </w:rPr>
        <w:t>ä</w:t>
      </w:r>
      <w:r>
        <w:rPr>
          <w:kern w:val="0"/>
          <w:szCs w:val="24"/>
        </w:rPr>
        <w:t>pfer, F. (2010), How much does journal reputation tell us about the academic interest</w:t>
      </w:r>
      <w:r w:rsidR="00F81221">
        <w:rPr>
          <w:kern w:val="0"/>
          <w:szCs w:val="24"/>
        </w:rPr>
        <w:t xml:space="preserve"> and </w:t>
      </w:r>
      <w:r>
        <w:rPr>
          <w:kern w:val="0"/>
          <w:szCs w:val="24"/>
        </w:rPr>
        <w:t>relevance of economic research? Empirical analysis</w:t>
      </w:r>
      <w:r w:rsidR="00F81221">
        <w:rPr>
          <w:kern w:val="0"/>
          <w:szCs w:val="24"/>
        </w:rPr>
        <w:t xml:space="preserve"> and </w:t>
      </w:r>
      <w:r>
        <w:rPr>
          <w:kern w:val="0"/>
          <w:szCs w:val="24"/>
        </w:rPr>
        <w:t xml:space="preserve">implications for environmental economic research. </w:t>
      </w:r>
      <w:r w:rsidR="00FD4E62">
        <w:rPr>
          <w:i/>
          <w:iCs/>
          <w:kern w:val="0"/>
          <w:szCs w:val="24"/>
        </w:rPr>
        <w:t>GAIA</w:t>
      </w:r>
      <w:r>
        <w:rPr>
          <w:i/>
          <w:iCs/>
          <w:kern w:val="0"/>
          <w:szCs w:val="24"/>
        </w:rPr>
        <w:t>-Ecological Perspectives for Science</w:t>
      </w:r>
      <w:r w:rsidR="00F81221">
        <w:rPr>
          <w:i/>
          <w:iCs/>
          <w:kern w:val="0"/>
          <w:szCs w:val="24"/>
        </w:rPr>
        <w:t xml:space="preserve"> and </w:t>
      </w:r>
      <w:r>
        <w:rPr>
          <w:i/>
          <w:iCs/>
          <w:kern w:val="0"/>
          <w:szCs w:val="24"/>
        </w:rPr>
        <w:t>Society</w:t>
      </w:r>
      <w:r>
        <w:rPr>
          <w:kern w:val="0"/>
          <w:szCs w:val="24"/>
        </w:rPr>
        <w:t xml:space="preserve">, </w:t>
      </w:r>
      <w:r>
        <w:rPr>
          <w:b/>
          <w:bCs/>
          <w:kern w:val="0"/>
          <w:szCs w:val="24"/>
        </w:rPr>
        <w:t>19</w:t>
      </w:r>
      <w:r>
        <w:rPr>
          <w:kern w:val="0"/>
          <w:szCs w:val="24"/>
        </w:rPr>
        <w:t xml:space="preserve"> (2), 140-145.</w:t>
      </w:r>
    </w:p>
    <w:p w:rsidR="004A39FF" w:rsidRDefault="004A39FF" w:rsidP="004A39FF">
      <w:pPr>
        <w:pStyle w:val="a0"/>
        <w:rPr>
          <w:kern w:val="0"/>
        </w:rPr>
      </w:pPr>
      <w:r>
        <w:rPr>
          <w:rFonts w:hint="eastAsia"/>
          <w:kern w:val="0"/>
        </w:rPr>
        <w:t xml:space="preserve">Full Text: </w:t>
      </w:r>
      <w:hyperlink r:id="rId304" w:history="1">
        <w:r w:rsidR="00493EB2" w:rsidRPr="00493EB2">
          <w:rPr>
            <w:rStyle w:val="a5"/>
            <w:kern w:val="0"/>
          </w:rPr>
          <w:t>2010\GAI-Eco Per Sci Soc19, 140.pdf</w:t>
        </w:r>
      </w:hyperlink>
    </w:p>
    <w:p w:rsidR="004A39FF" w:rsidRDefault="004A39FF" w:rsidP="004A39FF">
      <w:pPr>
        <w:pStyle w:val="a0"/>
        <w:rPr>
          <w:kern w:val="0"/>
          <w:szCs w:val="24"/>
        </w:rPr>
      </w:pPr>
      <w:r>
        <w:rPr>
          <w:kern w:val="0"/>
          <w:szCs w:val="24"/>
        </w:rPr>
        <w:t>Abstract: Unlike in other disciplines, research output in economics is commonly measured based on the disciplinary reputation of the journals in which an author has published. Here, I examine how much output measures based on journal reputation tell us about the academic interest</w:t>
      </w:r>
      <w:r w:rsidR="00F81221">
        <w:rPr>
          <w:kern w:val="0"/>
          <w:szCs w:val="24"/>
        </w:rPr>
        <w:t xml:space="preserve"> and </w:t>
      </w:r>
      <w:r>
        <w:rPr>
          <w:kern w:val="0"/>
          <w:szCs w:val="24"/>
        </w:rPr>
        <w:t>relevance of economic papers as measured by frequency of citation. Using data from the 2008 Hondelsblatt ranking of economists in German speaking countries</w:t>
      </w:r>
      <w:r w:rsidR="00F81221">
        <w:rPr>
          <w:kern w:val="0"/>
          <w:szCs w:val="24"/>
        </w:rPr>
        <w:t xml:space="preserve"> and </w:t>
      </w:r>
      <w:r>
        <w:rPr>
          <w:kern w:val="0"/>
          <w:szCs w:val="24"/>
        </w:rPr>
        <w:t>interdisciplinary citation data from the Web of Science, I find that researcher scores based on journal reputation explain only about 30 percent of the variation (variance) in article citations. When the top 10 (20) percent of the researchers according to journal reputation scores are excluded, the percentage of explained variation in citation frequency drops to 8 (3) percent. Furthermore, using environmental economics journals as an example, I show that the traditional output measures strongly discourage applied</w:t>
      </w:r>
      <w:r w:rsidR="00F81221">
        <w:rPr>
          <w:kern w:val="0"/>
          <w:szCs w:val="24"/>
        </w:rPr>
        <w:t xml:space="preserve"> and </w:t>
      </w:r>
      <w:r>
        <w:rPr>
          <w:kern w:val="0"/>
          <w:szCs w:val="24"/>
        </w:rPr>
        <w:t>interdisciplinary economic research. The findings confirm that the traditional output measures provide incentives for narrow economic work even if that work is of interest to only few other researchers. Responsible hiring committees</w:t>
      </w:r>
      <w:r w:rsidR="00F81221">
        <w:rPr>
          <w:kern w:val="0"/>
          <w:szCs w:val="24"/>
        </w:rPr>
        <w:t xml:space="preserve"> and </w:t>
      </w:r>
      <w:r>
        <w:rPr>
          <w:kern w:val="0"/>
          <w:szCs w:val="24"/>
        </w:rPr>
        <w:t xml:space="preserve">funding institutions should </w:t>
      </w:r>
      <w:r>
        <w:rPr>
          <w:kern w:val="0"/>
          <w:szCs w:val="24"/>
        </w:rPr>
        <w:lastRenderedPageBreak/>
        <w:t>take these problems seriously</w:t>
      </w:r>
      <w:r w:rsidR="00F81221">
        <w:rPr>
          <w:kern w:val="0"/>
          <w:szCs w:val="24"/>
        </w:rPr>
        <w:t xml:space="preserve"> and </w:t>
      </w:r>
      <w:r>
        <w:rPr>
          <w:kern w:val="0"/>
          <w:szCs w:val="24"/>
        </w:rPr>
        <w:t>re-consider existing standards in the evaluation of economic research.</w:t>
      </w:r>
    </w:p>
    <w:p w:rsidR="004A39FF" w:rsidRDefault="004A39FF" w:rsidP="004A39FF">
      <w:pPr>
        <w:pStyle w:val="a0"/>
        <w:rPr>
          <w:kern w:val="0"/>
          <w:szCs w:val="24"/>
        </w:rPr>
      </w:pPr>
      <w:r>
        <w:rPr>
          <w:kern w:val="0"/>
          <w:szCs w:val="24"/>
        </w:rPr>
        <w:t>Keywords: Citation Index, Citation Indexes, Incentives, Interdisciplinarity, Publication, Research Evaluation, Scientometrics</w:t>
      </w:r>
    </w:p>
    <w:p w:rsidR="00CF3A97" w:rsidRPr="00A428C3" w:rsidRDefault="00CF3A97" w:rsidP="00CF3A97">
      <w:pPr>
        <w:pStyle w:val="1"/>
      </w:pPr>
      <w:r w:rsidRPr="00A428C3">
        <w:br w:type="page"/>
      </w:r>
      <w:bookmarkStart w:id="225" w:name="_Toc234322664"/>
      <w:bookmarkStart w:id="226" w:name="_Toc317160892"/>
      <w:r w:rsidRPr="00A428C3">
        <w:lastRenderedPageBreak/>
        <w:t xml:space="preserve">Title: </w:t>
      </w:r>
      <w:r w:rsidRPr="00002898">
        <w:t>Gait &amp; Posture</w:t>
      </w:r>
      <w:bookmarkEnd w:id="225"/>
      <w:bookmarkEnd w:id="226"/>
    </w:p>
    <w:p w:rsidR="00CF3A97" w:rsidRDefault="00CF3A97" w:rsidP="00B72EF9">
      <w:pPr>
        <w:pStyle w:val="12"/>
      </w:pPr>
      <w:r>
        <w:t xml:space="preserve">Full Journal Title: </w:t>
      </w:r>
      <w:hyperlink r:id="rId305" w:history="1">
        <w:r>
          <w:rPr>
            <w:rStyle w:val="a5"/>
            <w:iCs/>
          </w:rPr>
          <w:t>Gait &amp; Posture</w:t>
        </w:r>
      </w:hyperlink>
    </w:p>
    <w:p w:rsidR="00CF3A97" w:rsidRPr="00A428C3" w:rsidRDefault="00CF3A97" w:rsidP="00B72EF9">
      <w:pPr>
        <w:pStyle w:val="12"/>
      </w:pPr>
      <w:r w:rsidRPr="00A428C3">
        <w:t xml:space="preserve">ISO Abbreviated Title: </w:t>
      </w:r>
    </w:p>
    <w:p w:rsidR="00CF3A97" w:rsidRPr="00A428C3" w:rsidRDefault="00CF3A97" w:rsidP="00B72EF9">
      <w:pPr>
        <w:pStyle w:val="12"/>
      </w:pPr>
      <w:r w:rsidRPr="00A428C3">
        <w:t>JCR Abbreviated Title</w:t>
      </w:r>
      <w:r>
        <w:t>:</w:t>
      </w:r>
      <w:r w:rsidRPr="00A428C3">
        <w:t xml:space="preserve"> </w:t>
      </w:r>
    </w:p>
    <w:p w:rsidR="00CF3A97" w:rsidRPr="00A428C3" w:rsidRDefault="00CF3A97" w:rsidP="00B72EF9">
      <w:pPr>
        <w:pStyle w:val="12"/>
      </w:pPr>
      <w:r w:rsidRPr="00A428C3">
        <w:t xml:space="preserve">ISSN: </w:t>
      </w:r>
      <w:r w:rsidRPr="00002898">
        <w:t>0966-6362</w:t>
      </w:r>
    </w:p>
    <w:p w:rsidR="00CF3A97" w:rsidRPr="00A428C3" w:rsidRDefault="00CF3A97" w:rsidP="00B72EF9">
      <w:pPr>
        <w:pStyle w:val="12"/>
      </w:pPr>
      <w:r w:rsidRPr="00A428C3">
        <w:t xml:space="preserve">Issues/Year: </w:t>
      </w:r>
    </w:p>
    <w:p w:rsidR="00CF3A97" w:rsidRPr="00A428C3" w:rsidRDefault="00FB5623" w:rsidP="00B72EF9">
      <w:pPr>
        <w:pStyle w:val="12"/>
      </w:pPr>
      <w:r>
        <w:t>Journal Country/Territory:</w:t>
      </w:r>
      <w:r w:rsidR="00CF3A97">
        <w:t xml:space="preserve"> </w:t>
      </w:r>
    </w:p>
    <w:p w:rsidR="00CF3A97" w:rsidRPr="00A428C3" w:rsidRDefault="00CF3A97" w:rsidP="00B72EF9">
      <w:pPr>
        <w:pStyle w:val="12"/>
      </w:pPr>
      <w:r w:rsidRPr="00A428C3">
        <w:t xml:space="preserve">Language: </w:t>
      </w:r>
    </w:p>
    <w:p w:rsidR="00CF3A97" w:rsidRPr="00A428C3" w:rsidRDefault="00CF3A97" w:rsidP="00B72EF9">
      <w:pPr>
        <w:pStyle w:val="12"/>
      </w:pPr>
      <w:r w:rsidRPr="00A428C3">
        <w:t xml:space="preserve">Publisher: </w:t>
      </w:r>
    </w:p>
    <w:p w:rsidR="00CF3A97" w:rsidRPr="00A428C3" w:rsidRDefault="00CF3A97" w:rsidP="00B72EF9">
      <w:pPr>
        <w:pStyle w:val="12"/>
      </w:pPr>
      <w:r w:rsidRPr="00A428C3">
        <w:t xml:space="preserve">Publisher Address: </w:t>
      </w:r>
    </w:p>
    <w:p w:rsidR="00CF3A97" w:rsidRPr="00A428C3" w:rsidRDefault="00CF3A97" w:rsidP="00B72EF9">
      <w:pPr>
        <w:pStyle w:val="12"/>
      </w:pPr>
      <w:r w:rsidRPr="00A428C3">
        <w:t>Subject Categories:</w:t>
      </w:r>
    </w:p>
    <w:p w:rsidR="00CF3A97" w:rsidRPr="00A428C3" w:rsidRDefault="00CF3A97" w:rsidP="00B72EF9">
      <w:pPr>
        <w:pStyle w:val="12"/>
      </w:pPr>
      <w:r w:rsidRPr="00A428C3">
        <w:t xml:space="preserve">: Impact Factor </w:t>
      </w:r>
    </w:p>
    <w:p w:rsidR="00CF3A97" w:rsidRPr="00B8101F" w:rsidRDefault="00CF3A97" w:rsidP="00CF3A97">
      <w:pPr>
        <w:pStyle w:val="a0"/>
      </w:pPr>
      <w:r w:rsidRPr="00B8101F">
        <w:rPr>
          <w:rFonts w:hint="eastAsia"/>
        </w:rPr>
        <w:t xml:space="preserve">? </w:t>
      </w:r>
      <w:r w:rsidRPr="00B8101F">
        <w:t>Knudson, D.V.</w:t>
      </w:r>
      <w:r w:rsidR="00F81221">
        <w:t xml:space="preserve"> and </w:t>
      </w:r>
      <w:r w:rsidRPr="00B8101F">
        <w:t xml:space="preserve">Chow, J.W. (2008), North American perception of the prestige of biomechanics serials. </w:t>
      </w:r>
      <w:r w:rsidRPr="00B8101F">
        <w:rPr>
          <w:i/>
          <w:iCs/>
        </w:rPr>
        <w:t>Gait &amp; Posture</w:t>
      </w:r>
      <w:r w:rsidRPr="00B8101F">
        <w:t xml:space="preserve">, </w:t>
      </w:r>
      <w:r w:rsidRPr="00B8101F">
        <w:rPr>
          <w:b/>
          <w:bCs/>
        </w:rPr>
        <w:t>27</w:t>
      </w:r>
      <w:r w:rsidRPr="00B8101F">
        <w:t xml:space="preserve"> (4), 559-563.</w:t>
      </w:r>
    </w:p>
    <w:p w:rsidR="00CF3A97" w:rsidRPr="00B8101F" w:rsidRDefault="00CF3A97" w:rsidP="00CF3A97">
      <w:pPr>
        <w:pStyle w:val="a0"/>
      </w:pPr>
      <w:r w:rsidRPr="00B8101F">
        <w:rPr>
          <w:rFonts w:hint="eastAsia"/>
        </w:rPr>
        <w:t xml:space="preserve">Full Text: </w:t>
      </w:r>
      <w:hyperlink r:id="rId306" w:history="1">
        <w:r w:rsidRPr="00002898">
          <w:rPr>
            <w:rStyle w:val="a5"/>
            <w:szCs w:val="24"/>
          </w:rPr>
          <w:t>2008\Gai Pos27, 559.pdf</w:t>
        </w:r>
      </w:hyperlink>
    </w:p>
    <w:p w:rsidR="00CF3A97" w:rsidRPr="00B8101F" w:rsidRDefault="00CF3A97" w:rsidP="00CF3A97">
      <w:pPr>
        <w:pStyle w:val="a0"/>
      </w:pPr>
      <w:r w:rsidRPr="00B8101F">
        <w:t>Abstract: Biomechanics is a discipline with many applications</w:t>
      </w:r>
      <w:r w:rsidR="00F81221">
        <w:t xml:space="preserve"> and </w:t>
      </w:r>
      <w:r w:rsidRPr="00B8101F">
        <w:t>sub-areas so scholars often publish their work in journals in different subject categories used in the ISI Journal Citation Reports (JCR). It is not known whether the quality/prestige of journals in the discipline of biomechanics matches the ISI Impact Factor (IF) ratings reported in JCR. A survey of the membership of the American Society of Biomechanics (ASB) was conducted to rate the quality/prestige of typical papers in serials publishing biomechanics research on a five point scale. Seventy-eight of 610 ASB members responded to the survey. Mean journal prestige ratings were only weakly correlated (r = 0.35) with the IF for 2005, with serial ratings differing across the interest areas of the ASB respondents. It was concluded that IF</w:t>
      </w:r>
      <w:r w:rsidR="000352E7">
        <w:t>’</w:t>
      </w:r>
      <w:r w:rsidRPr="00B8101F">
        <w:t>s should be used with caution in evaluating the prestige of journals publishing biomechanics research. Furthermore, investigators should consider interest area specific ratings within biomechanics when selecting journals for publishing their research. (c) 2007 Elsevier B.V. All rights reserved.</w:t>
      </w:r>
    </w:p>
    <w:p w:rsidR="00CF3A97" w:rsidRPr="00B8101F" w:rsidRDefault="00CF3A97" w:rsidP="00CF3A97">
      <w:pPr>
        <w:pStyle w:val="a0"/>
      </w:pPr>
      <w:r w:rsidRPr="00B8101F">
        <w:t>Keywords: American, Bibliometrics, Biomechanics, Citation, Impact, Impact Factor, ISI, Journal, Journal Citation Reports, Journal Impact Factor, Journal Quality, Journals, North, Papers, Perception, Publishing, Quality, Research, Rights, Scale, Serials, Survey, Work</w:t>
      </w:r>
    </w:p>
    <w:p w:rsidR="007543D0" w:rsidRDefault="007543D0" w:rsidP="007543D0">
      <w:pPr>
        <w:pStyle w:val="a0"/>
        <w:rPr>
          <w:kern w:val="0"/>
        </w:rPr>
      </w:pPr>
      <w:r>
        <w:rPr>
          <w:rFonts w:hint="eastAsia"/>
          <w:kern w:val="0"/>
        </w:rPr>
        <w:t xml:space="preserve">? </w:t>
      </w:r>
      <w:r>
        <w:rPr>
          <w:kern w:val="0"/>
        </w:rPr>
        <w:t xml:space="preserve">Lord, S., Howe, T., Greenland, J., Simpson, L. and Rochester, L. (2011), Gait variability in older adults: A structured review of testing protocol and clinimetric properties. </w:t>
      </w:r>
      <w:r>
        <w:rPr>
          <w:i/>
          <w:iCs/>
          <w:kern w:val="0"/>
        </w:rPr>
        <w:t>Gait &amp; Posture</w:t>
      </w:r>
      <w:r>
        <w:rPr>
          <w:kern w:val="0"/>
        </w:rPr>
        <w:t xml:space="preserve">, </w:t>
      </w:r>
      <w:r>
        <w:rPr>
          <w:b/>
          <w:bCs/>
          <w:kern w:val="0"/>
        </w:rPr>
        <w:t>34</w:t>
      </w:r>
      <w:r>
        <w:rPr>
          <w:kern w:val="0"/>
        </w:rPr>
        <w:t xml:space="preserve"> (4), 443-450.</w:t>
      </w:r>
    </w:p>
    <w:p w:rsidR="007543D0" w:rsidRPr="00B8101F" w:rsidRDefault="007543D0" w:rsidP="007543D0">
      <w:pPr>
        <w:pStyle w:val="a0"/>
      </w:pPr>
      <w:r w:rsidRPr="00B8101F">
        <w:rPr>
          <w:rFonts w:hint="eastAsia"/>
        </w:rPr>
        <w:t xml:space="preserve">Full Text: </w:t>
      </w:r>
      <w:hyperlink r:id="rId307" w:history="1">
        <w:r w:rsidRPr="005250B5">
          <w:rPr>
            <w:rStyle w:val="a5"/>
          </w:rPr>
          <w:t>2011\Gai Pos34, 443.pdf</w:t>
        </w:r>
      </w:hyperlink>
    </w:p>
    <w:p w:rsidR="007543D0" w:rsidRDefault="007543D0" w:rsidP="007543D0">
      <w:pPr>
        <w:pStyle w:val="a0"/>
        <w:rPr>
          <w:kern w:val="0"/>
        </w:rPr>
      </w:pPr>
      <w:r>
        <w:rPr>
          <w:kern w:val="0"/>
        </w:rPr>
        <w:lastRenderedPageBreak/>
        <w:t>Abstract: Gait variability (stride-to-stride fluctuations) is used increasingly as a marker for gait performance and future mobility status, cognitive status, and falls. This structured review explicitly examined literature that reported on the reliability, validity and responsiveness of gait variability in older adults. We searched Medline, Embase, Web of Science, Scopus, CINAHL, PEDRO, Biomechanics, SportDiscus and PsycInfo databases. Two independent reviewers undertook data extraction, with adjudication by a third reviewer in cases of disagreement. Twenty-two full papers were screened and 10 met the predefined inclusion criteria, involving 1036 participants who were mainly community dwelling older adults in their 8th decade. A wide range of gait variability parameters, testing protocols and calculations of gait variability were reported. Reliability estimates varied, but were mostly fair to moderate. Concurrent validity was established for stance time variability and change estimates were reported for stance time and swing time. Standard of reporting was generally poor, with insufficient detail provided for aspects of measurement and testing protocols. Further research is required to standardise testing procedures and establish reliability, responsiveness and validity for confident use of gait variability as a robust measure. (C) 2011 Elsevier B.V. All rights reserved.</w:t>
      </w:r>
    </w:p>
    <w:p w:rsidR="007543D0" w:rsidRDefault="007543D0" w:rsidP="007543D0">
      <w:pPr>
        <w:pStyle w:val="a0"/>
        <w:rPr>
          <w:kern w:val="0"/>
        </w:rPr>
      </w:pPr>
      <w:r>
        <w:rPr>
          <w:kern w:val="0"/>
        </w:rPr>
        <w:t>Keywords: Adults, Biomechanics, Databases, Dementia, Dysfunction, Extraction, Falls, Gait, Literature, Measurement, Medline, Mild Cognitive Impairment, Older Adults, Papers, Parameters, Parkinsons-Disease, Pedro, Protocol, Reliability, Reliability, Research, Responsiveness, Review, Risk, Science, Scopus, Validity, Validity, Variability, Walking, Web of Science</w:t>
      </w:r>
    </w:p>
    <w:p w:rsidR="00B95188" w:rsidRPr="00A428C3" w:rsidRDefault="00CF3A97" w:rsidP="00CF3A97">
      <w:pPr>
        <w:pStyle w:val="1"/>
      </w:pPr>
      <w:r w:rsidRPr="00A428C3">
        <w:br w:type="page"/>
      </w:r>
      <w:bookmarkStart w:id="227" w:name="_Toc186647703"/>
      <w:bookmarkStart w:id="228" w:name="_Toc317160893"/>
      <w:r w:rsidR="00B95188" w:rsidRPr="00A428C3">
        <w:lastRenderedPageBreak/>
        <w:t>Title: Games</w:t>
      </w:r>
      <w:r w:rsidR="00F81221">
        <w:t xml:space="preserve"> and </w:t>
      </w:r>
      <w:r w:rsidR="00B95188" w:rsidRPr="00A428C3">
        <w:t>Economic Behavior</w:t>
      </w:r>
      <w:bookmarkEnd w:id="227"/>
      <w:bookmarkEnd w:id="228"/>
    </w:p>
    <w:p w:rsidR="00B95188" w:rsidRPr="00A428C3" w:rsidRDefault="00B95188" w:rsidP="00B72EF9">
      <w:pPr>
        <w:pStyle w:val="12"/>
      </w:pPr>
      <w:r w:rsidRPr="00A428C3">
        <w:t xml:space="preserve">Full Journal Title: </w:t>
      </w:r>
      <w:hyperlink r:id="rId308" w:history="1">
        <w:r w:rsidRPr="00A428C3">
          <w:rPr>
            <w:rStyle w:val="a5"/>
          </w:rPr>
          <w:t>Games</w:t>
        </w:r>
        <w:r w:rsidR="00F81221">
          <w:rPr>
            <w:rStyle w:val="a5"/>
          </w:rPr>
          <w:t xml:space="preserve"> and </w:t>
        </w:r>
        <w:r w:rsidRPr="00A428C3">
          <w:rPr>
            <w:rStyle w:val="a5"/>
          </w:rPr>
          <w:t>Economic Behavior</w:t>
        </w:r>
      </w:hyperlink>
    </w:p>
    <w:p w:rsidR="00B95188" w:rsidRPr="00A428C3" w:rsidRDefault="00B95188" w:rsidP="00B72EF9">
      <w:pPr>
        <w:pStyle w:val="12"/>
      </w:pPr>
      <w:r w:rsidRPr="00A428C3">
        <w:t>ISO Abbreviated Title: Games Econ. Behav.</w:t>
      </w:r>
    </w:p>
    <w:p w:rsidR="00B95188" w:rsidRPr="00A428C3" w:rsidRDefault="00B95188" w:rsidP="00B72EF9">
      <w:pPr>
        <w:pStyle w:val="12"/>
      </w:pPr>
      <w:r w:rsidRPr="00A428C3">
        <w:t>JCR Abbreviated Title: Game Econ Behav</w:t>
      </w:r>
    </w:p>
    <w:p w:rsidR="00B95188" w:rsidRPr="00A428C3" w:rsidRDefault="00B95188" w:rsidP="00B72EF9">
      <w:pPr>
        <w:pStyle w:val="12"/>
      </w:pPr>
      <w:r w:rsidRPr="00A428C3">
        <w:t>ISSN: 0899-8256</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Academic Press Inc Elsevier Science</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525 B St, Ste 1900</w:t>
          </w:r>
        </w:smartTag>
        <w:r w:rsidRPr="00A428C3">
          <w:t xml:space="preserve">, </w:t>
        </w:r>
        <w:smartTag w:uri="urn:schemas-microsoft-com:office:smarttags" w:element="City">
          <w:r w:rsidRPr="00A428C3">
            <w:t>San Diego</w:t>
          </w:r>
        </w:smartTag>
        <w:r w:rsidRPr="00A428C3">
          <w:t xml:space="preserve">, </w:t>
        </w:r>
        <w:smartTag w:uri="urn:schemas-microsoft-com:office:smarttags" w:element="State">
          <w:r w:rsidRPr="00A428C3">
            <w:t>CA</w:t>
          </w:r>
        </w:smartTag>
        <w:r w:rsidRPr="00A428C3">
          <w:t xml:space="preserve"> </w:t>
        </w:r>
        <w:smartTag w:uri="urn:schemas-microsoft-com:office:smarttags" w:element="PostalCode">
          <w:r w:rsidRPr="00A428C3">
            <w:t>92101-4495</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Economics: Impact Factor 0.887, 41/166 (2002)</w:t>
      </w:r>
    </w:p>
    <w:p w:rsidR="00B95188" w:rsidRDefault="00B95188" w:rsidP="00B95188">
      <w:pPr>
        <w:pStyle w:val="a0"/>
      </w:pPr>
    </w:p>
    <w:p w:rsidR="00040D58" w:rsidRPr="00A428C3" w:rsidRDefault="00040D58" w:rsidP="00040D58">
      <w:pPr>
        <w:pStyle w:val="1"/>
      </w:pPr>
      <w:r w:rsidRPr="00A428C3">
        <w:br w:type="page"/>
      </w:r>
      <w:bookmarkStart w:id="229" w:name="_Toc317160894"/>
      <w:r w:rsidRPr="00A428C3">
        <w:lastRenderedPageBreak/>
        <w:t xml:space="preserve">Title: </w:t>
      </w:r>
      <w:r w:rsidRPr="00040D58">
        <w:rPr>
          <w:rFonts w:hint="eastAsia"/>
        </w:rPr>
        <w:t xml:space="preserve">Gas </w:t>
      </w:r>
      <w:r w:rsidR="00BC1D0F" w:rsidRPr="00040D58">
        <w:t xml:space="preserve">Adsorption </w:t>
      </w:r>
      <w:r w:rsidRPr="00040D58">
        <w:t>Equilibria</w:t>
      </w:r>
      <w:r w:rsidRPr="00040D58">
        <w:rPr>
          <w:rFonts w:hint="eastAsia"/>
        </w:rPr>
        <w:t xml:space="preserve">: </w:t>
      </w:r>
      <w:r w:rsidRPr="00040D58">
        <w:t>Experimental Methods</w:t>
      </w:r>
      <w:r w:rsidR="00F81221">
        <w:t xml:space="preserve"> and </w:t>
      </w:r>
      <w:r w:rsidRPr="00040D58">
        <w:t>Adsorptive Isotherms</w:t>
      </w:r>
      <w:bookmarkEnd w:id="229"/>
    </w:p>
    <w:p w:rsidR="00040D58" w:rsidRDefault="0058734C" w:rsidP="00B95188">
      <w:pPr>
        <w:pStyle w:val="a0"/>
      </w:pPr>
      <w:hyperlink r:id="rId309" w:anchor="v=onepage&amp;q=&amp;f" w:history="1">
        <w:r w:rsidR="00040D58" w:rsidRPr="00040D58">
          <w:rPr>
            <w:rStyle w:val="a5"/>
            <w:rFonts w:hint="eastAsia"/>
          </w:rPr>
          <w:t xml:space="preserve">Gas adsorption </w:t>
        </w:r>
        <w:r w:rsidR="00040D58" w:rsidRPr="00040D58">
          <w:rPr>
            <w:rStyle w:val="a5"/>
          </w:rPr>
          <w:t>Equilibria</w:t>
        </w:r>
        <w:r w:rsidR="00040D58" w:rsidRPr="00040D58">
          <w:rPr>
            <w:rStyle w:val="a5"/>
            <w:rFonts w:hint="eastAsia"/>
          </w:rPr>
          <w:t xml:space="preserve">: </w:t>
        </w:r>
        <w:r w:rsidR="00040D58" w:rsidRPr="00040D58">
          <w:rPr>
            <w:rStyle w:val="a5"/>
          </w:rPr>
          <w:t>Experimental Methods</w:t>
        </w:r>
        <w:r w:rsidR="00F81221">
          <w:rPr>
            <w:rStyle w:val="a5"/>
          </w:rPr>
          <w:t xml:space="preserve"> and </w:t>
        </w:r>
        <w:r w:rsidR="00040D58" w:rsidRPr="00040D58">
          <w:rPr>
            <w:rStyle w:val="a5"/>
          </w:rPr>
          <w:t>Adsorptive Isotherms</w:t>
        </w:r>
      </w:hyperlink>
    </w:p>
    <w:p w:rsidR="00BC1D0F" w:rsidRDefault="0058734C" w:rsidP="00B95188">
      <w:pPr>
        <w:pStyle w:val="a0"/>
      </w:pPr>
      <w:hyperlink r:id="rId310" w:history="1">
        <w:r w:rsidR="00BC1D0F" w:rsidRPr="00BC1D0F">
          <w:rPr>
            <w:rStyle w:val="a5"/>
            <w:rFonts w:hint="eastAsia"/>
          </w:rPr>
          <w:t xml:space="preserve">Gas adsorption </w:t>
        </w:r>
        <w:r w:rsidR="00BC1D0F" w:rsidRPr="00BC1D0F">
          <w:rPr>
            <w:rStyle w:val="a5"/>
          </w:rPr>
          <w:t>Equilibria</w:t>
        </w:r>
        <w:r w:rsidR="00BC1D0F" w:rsidRPr="00BC1D0F">
          <w:rPr>
            <w:rStyle w:val="a5"/>
            <w:rFonts w:hint="eastAsia"/>
          </w:rPr>
          <w:t xml:space="preserve"> index</w:t>
        </w:r>
      </w:hyperlink>
    </w:p>
    <w:p w:rsidR="00040D58" w:rsidRDefault="00040D58" w:rsidP="00040D58">
      <w:r w:rsidRPr="00040D58">
        <w:t>Springer Science + Business Media</w:t>
      </w:r>
      <w:r>
        <w:rPr>
          <w:rFonts w:hint="eastAsia"/>
        </w:rPr>
        <w:t xml:space="preserve">, </w:t>
      </w:r>
      <w:r>
        <w:t>Boston</w:t>
      </w:r>
    </w:p>
    <w:p w:rsidR="00040D58" w:rsidRDefault="00BC1D0F" w:rsidP="00040D58">
      <w:pPr>
        <w:pStyle w:val="a0"/>
      </w:pPr>
      <w:r>
        <w:rPr>
          <w:rFonts w:hint="eastAsia"/>
        </w:rPr>
        <w:t xml:space="preserve">? </w:t>
      </w:r>
      <w:r w:rsidRPr="00BC1D0F">
        <w:t>Keller, J.U.</w:t>
      </w:r>
      <w:r w:rsidR="00F81221">
        <w:t xml:space="preserve"> and </w:t>
      </w:r>
      <w:r w:rsidRPr="00BC1D0F">
        <w:t>Staudt, R.</w:t>
      </w:r>
      <w:r w:rsidR="00040D58" w:rsidRPr="00A428C3">
        <w:t xml:space="preserve"> (</w:t>
      </w:r>
      <w:r>
        <w:rPr>
          <w:rFonts w:hint="eastAsia"/>
        </w:rPr>
        <w:t>2005</w:t>
      </w:r>
      <w:r w:rsidR="00040D58" w:rsidRPr="00A428C3">
        <w:t xml:space="preserve">), </w:t>
      </w:r>
      <w:r w:rsidRPr="00BC1D0F">
        <w:t>Introduction</w:t>
      </w:r>
      <w:r w:rsidR="00040D58" w:rsidRPr="00A428C3">
        <w:t>.</w:t>
      </w:r>
      <w:r>
        <w:rPr>
          <w:rFonts w:hint="eastAsia"/>
        </w:rPr>
        <w:t xml:space="preserve"> in</w:t>
      </w:r>
      <w:r w:rsidR="00040D58"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00040D58" w:rsidRPr="00A428C3">
        <w:t xml:space="preserve">, </w:t>
      </w:r>
      <w:r w:rsidRPr="00040D58">
        <w:t>Springer Science + Business Media</w:t>
      </w:r>
      <w:r>
        <w:rPr>
          <w:rFonts w:hint="eastAsia"/>
        </w:rPr>
        <w:t xml:space="preserve">, </w:t>
      </w:r>
      <w:r>
        <w:t>Boston</w:t>
      </w:r>
      <w:r w:rsidR="00040D58" w:rsidRPr="00A428C3">
        <w:t xml:space="preserve">, </w:t>
      </w:r>
      <w:r>
        <w:rPr>
          <w:rFonts w:hint="eastAsia"/>
        </w:rPr>
        <w:t>1</w:t>
      </w:r>
      <w:r w:rsidR="00040D58" w:rsidRPr="00A428C3">
        <w:t>-</w:t>
      </w:r>
      <w:r>
        <w:rPr>
          <w:rFonts w:hint="eastAsia"/>
        </w:rPr>
        <w:t>15</w:t>
      </w:r>
      <w:r w:rsidR="00040D58" w:rsidRPr="00A428C3">
        <w:t>.</w:t>
      </w:r>
    </w:p>
    <w:p w:rsidR="00BC1D0F" w:rsidRPr="00A428C3" w:rsidRDefault="00BC1D0F" w:rsidP="00040D58">
      <w:pPr>
        <w:pStyle w:val="a0"/>
      </w:pPr>
      <w:r>
        <w:rPr>
          <w:rFonts w:hint="eastAsia"/>
        </w:rPr>
        <w:t xml:space="preserve">Full Text: </w:t>
      </w:r>
      <w:hyperlink r:id="rId311" w:history="1">
        <w:r w:rsidRPr="00BC1D0F">
          <w:rPr>
            <w:rStyle w:val="a5"/>
          </w:rPr>
          <w:t>2005\Gas Ads Equ, 1.pdf</w:t>
        </w:r>
      </w:hyperlink>
    </w:p>
    <w:p w:rsidR="00BC1D0F" w:rsidRDefault="00BC1D0F" w:rsidP="00BC1D0F">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Pr="00BC1D0F">
        <w:t>Chapter 1: Basic Concepts</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Pr>
          <w:rFonts w:hint="eastAsia"/>
        </w:rPr>
        <w:t>17</w:t>
      </w:r>
      <w:r w:rsidRPr="00A428C3">
        <w:t>-</w:t>
      </w:r>
      <w:r>
        <w:rPr>
          <w:rFonts w:hint="eastAsia"/>
        </w:rPr>
        <w:t>78</w:t>
      </w:r>
      <w:r w:rsidRPr="00A428C3">
        <w:t>.</w:t>
      </w:r>
    </w:p>
    <w:p w:rsidR="00BC1D0F" w:rsidRPr="00A428C3" w:rsidRDefault="00BC1D0F" w:rsidP="00BC1D0F">
      <w:pPr>
        <w:pStyle w:val="a0"/>
      </w:pPr>
      <w:r>
        <w:rPr>
          <w:rFonts w:hint="eastAsia"/>
        </w:rPr>
        <w:t xml:space="preserve">Full Text: </w:t>
      </w:r>
      <w:hyperlink r:id="rId312" w:history="1">
        <w:r w:rsidRPr="00BC1D0F">
          <w:rPr>
            <w:rStyle w:val="a5"/>
          </w:rPr>
          <w:t>2005\Gas Ads Equ, 17.pdf</w:t>
        </w:r>
      </w:hyperlink>
    </w:p>
    <w:p w:rsidR="00BC1D0F" w:rsidRDefault="00BC1D0F" w:rsidP="00BC1D0F">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Pr="00BC1D0F">
        <w:t xml:space="preserve">Chapter 2: </w:t>
      </w:r>
      <w:r>
        <w:t>Volumetry/</w:t>
      </w:r>
      <w:r w:rsidRPr="00BC1D0F">
        <w:t>Manometry</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Pr>
          <w:rFonts w:hint="eastAsia"/>
        </w:rPr>
        <w:t>79</w:t>
      </w:r>
      <w:r w:rsidRPr="00A428C3">
        <w:t>-</w:t>
      </w:r>
      <w:r>
        <w:rPr>
          <w:rFonts w:hint="eastAsia"/>
        </w:rPr>
        <w:t>116</w:t>
      </w:r>
      <w:r w:rsidRPr="00A428C3">
        <w:t>.</w:t>
      </w:r>
    </w:p>
    <w:p w:rsidR="00BC1D0F" w:rsidRPr="00A428C3" w:rsidRDefault="00BC1D0F" w:rsidP="00BC1D0F">
      <w:pPr>
        <w:pStyle w:val="a0"/>
      </w:pPr>
      <w:r>
        <w:rPr>
          <w:rFonts w:hint="eastAsia"/>
        </w:rPr>
        <w:t xml:space="preserve">Full Text: </w:t>
      </w:r>
      <w:hyperlink r:id="rId313" w:history="1">
        <w:r w:rsidRPr="00BC1D0F">
          <w:rPr>
            <w:rStyle w:val="a5"/>
          </w:rPr>
          <w:t>2005\Gas Ads Equ, 79.pdf</w:t>
        </w:r>
      </w:hyperlink>
    </w:p>
    <w:p w:rsidR="00BC1D0F" w:rsidRDefault="00BC1D0F" w:rsidP="00BC1D0F">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Pr="00BC1D0F">
        <w:t>Chapter 3: Gravimetry</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Pr>
          <w:rFonts w:hint="eastAsia"/>
        </w:rPr>
        <w:t>117</w:t>
      </w:r>
      <w:r w:rsidRPr="00A428C3">
        <w:t>-</w:t>
      </w:r>
      <w:r>
        <w:rPr>
          <w:rFonts w:hint="eastAsia"/>
        </w:rPr>
        <w:t>179</w:t>
      </w:r>
      <w:r w:rsidRPr="00A428C3">
        <w:t>.</w:t>
      </w:r>
    </w:p>
    <w:p w:rsidR="00BC1D0F" w:rsidRPr="00A428C3" w:rsidRDefault="00BC1D0F" w:rsidP="00BC1D0F">
      <w:pPr>
        <w:pStyle w:val="a0"/>
      </w:pPr>
      <w:r>
        <w:rPr>
          <w:rFonts w:hint="eastAsia"/>
        </w:rPr>
        <w:t xml:space="preserve">Full Text: </w:t>
      </w:r>
      <w:hyperlink r:id="rId314" w:history="1">
        <w:r w:rsidRPr="00BC1D0F">
          <w:rPr>
            <w:rStyle w:val="a5"/>
          </w:rPr>
          <w:t>2005\Gas Ads Equ, 117.pdf</w:t>
        </w:r>
      </w:hyperlink>
    </w:p>
    <w:p w:rsidR="00BC1D0F" w:rsidRDefault="00BC1D0F" w:rsidP="00BC1D0F">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Pr="00BC1D0F">
        <w:t>Chapter 4: Volumetric – Gravimetric Measurements</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Pr>
          <w:rFonts w:hint="eastAsia"/>
        </w:rPr>
        <w:t>1</w:t>
      </w:r>
      <w:r w:rsidR="009F719C">
        <w:rPr>
          <w:rFonts w:hint="eastAsia"/>
        </w:rPr>
        <w:t>81</w:t>
      </w:r>
      <w:r w:rsidRPr="00A428C3">
        <w:t>-</w:t>
      </w:r>
      <w:r w:rsidR="009F719C">
        <w:rPr>
          <w:rFonts w:hint="eastAsia"/>
        </w:rPr>
        <w:t>234</w:t>
      </w:r>
      <w:r w:rsidRPr="00A428C3">
        <w:t>.</w:t>
      </w:r>
    </w:p>
    <w:p w:rsidR="00BC1D0F" w:rsidRPr="00A428C3" w:rsidRDefault="00BC1D0F" w:rsidP="00BC1D0F">
      <w:pPr>
        <w:pStyle w:val="a0"/>
      </w:pPr>
      <w:r>
        <w:rPr>
          <w:rFonts w:hint="eastAsia"/>
        </w:rPr>
        <w:t xml:space="preserve">Full Text: </w:t>
      </w:r>
      <w:hyperlink r:id="rId315" w:history="1">
        <w:r w:rsidR="009F719C" w:rsidRPr="009F719C">
          <w:rPr>
            <w:rStyle w:val="a5"/>
          </w:rPr>
          <w:t>2005\Gas Ads Equ, 181.pdf</w:t>
        </w:r>
      </w:hyperlink>
    </w:p>
    <w:p w:rsidR="00BC1D0F" w:rsidRDefault="00BC1D0F" w:rsidP="00BC1D0F">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009F719C" w:rsidRPr="009F719C">
        <w:t>Chapter 5: Oscillometry</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sidR="009F719C">
        <w:rPr>
          <w:rFonts w:hint="eastAsia"/>
        </w:rPr>
        <w:t>235</w:t>
      </w:r>
      <w:r w:rsidRPr="00A428C3">
        <w:t>-</w:t>
      </w:r>
      <w:r w:rsidR="009F719C">
        <w:rPr>
          <w:rFonts w:hint="eastAsia"/>
        </w:rPr>
        <w:t>285</w:t>
      </w:r>
      <w:r w:rsidRPr="00A428C3">
        <w:t>.</w:t>
      </w:r>
    </w:p>
    <w:p w:rsidR="00BC1D0F" w:rsidRPr="00A428C3" w:rsidRDefault="00BC1D0F" w:rsidP="00BC1D0F">
      <w:pPr>
        <w:pStyle w:val="a0"/>
      </w:pPr>
      <w:r>
        <w:rPr>
          <w:rFonts w:hint="eastAsia"/>
        </w:rPr>
        <w:t xml:space="preserve">Full Text: </w:t>
      </w:r>
      <w:hyperlink r:id="rId316" w:history="1">
        <w:r w:rsidR="009F719C" w:rsidRPr="009F719C">
          <w:rPr>
            <w:rStyle w:val="a5"/>
          </w:rPr>
          <w:t>2005\Gas Ads Equ, 235.pdf</w:t>
        </w:r>
      </w:hyperlink>
    </w:p>
    <w:p w:rsidR="009F719C" w:rsidRDefault="009F719C" w:rsidP="009F719C">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Pr="009F719C">
        <w:t>Chapter 6: Impedance Spectroscopy</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Pr>
          <w:rFonts w:hint="eastAsia"/>
        </w:rPr>
        <w:t>287</w:t>
      </w:r>
      <w:r w:rsidRPr="00A428C3">
        <w:t>-</w:t>
      </w:r>
      <w:r>
        <w:rPr>
          <w:rFonts w:hint="eastAsia"/>
        </w:rPr>
        <w:t>357</w:t>
      </w:r>
      <w:r w:rsidRPr="00A428C3">
        <w:t>.</w:t>
      </w:r>
    </w:p>
    <w:p w:rsidR="009F719C" w:rsidRPr="00A428C3" w:rsidRDefault="009F719C" w:rsidP="009F719C">
      <w:pPr>
        <w:pStyle w:val="a0"/>
      </w:pPr>
      <w:r>
        <w:rPr>
          <w:rFonts w:hint="eastAsia"/>
        </w:rPr>
        <w:t xml:space="preserve">Full Text: </w:t>
      </w:r>
      <w:hyperlink r:id="rId317" w:history="1">
        <w:r w:rsidRPr="009F719C">
          <w:rPr>
            <w:rStyle w:val="a5"/>
          </w:rPr>
          <w:t>2005\Gas Ads Equ, 287.pdf</w:t>
        </w:r>
      </w:hyperlink>
    </w:p>
    <w:p w:rsidR="009F719C" w:rsidRDefault="009F719C" w:rsidP="009F719C">
      <w:pPr>
        <w:pStyle w:val="a0"/>
      </w:pPr>
      <w:r>
        <w:rPr>
          <w:rFonts w:hint="eastAsia"/>
        </w:rPr>
        <w:t xml:space="preserve">? </w:t>
      </w:r>
      <w:r w:rsidRPr="00BC1D0F">
        <w:t>Keller, J.U.</w:t>
      </w:r>
      <w:r w:rsidR="00F81221">
        <w:t xml:space="preserve"> and </w:t>
      </w:r>
      <w:r w:rsidRPr="00BC1D0F">
        <w:t>Staudt, R.</w:t>
      </w:r>
      <w:r w:rsidRPr="00A428C3">
        <w:t xml:space="preserve"> (</w:t>
      </w:r>
      <w:r>
        <w:rPr>
          <w:rFonts w:hint="eastAsia"/>
        </w:rPr>
        <w:t>2005</w:t>
      </w:r>
      <w:r w:rsidRPr="00A428C3">
        <w:t xml:space="preserve">), </w:t>
      </w:r>
      <w:r w:rsidRPr="009F719C">
        <w:t>Chapter 7: Adsorption Isotherms</w:t>
      </w:r>
      <w:r w:rsidRPr="00A428C3">
        <w:t>.</w:t>
      </w:r>
      <w:r>
        <w:rPr>
          <w:rFonts w:hint="eastAsia"/>
        </w:rPr>
        <w:t xml:space="preserve"> in</w:t>
      </w:r>
      <w:r w:rsidRPr="00A428C3">
        <w:t xml:space="preserve"> </w:t>
      </w:r>
      <w:r w:rsidRPr="00BC1D0F">
        <w:rPr>
          <w:rFonts w:hint="eastAsia"/>
          <w:i/>
        </w:rPr>
        <w:t xml:space="preserve">Gas </w:t>
      </w:r>
      <w:r w:rsidRPr="00BC1D0F">
        <w:rPr>
          <w:i/>
        </w:rPr>
        <w:t>Adsorption Equilibria</w:t>
      </w:r>
      <w:r w:rsidRPr="00BC1D0F">
        <w:rPr>
          <w:rFonts w:hint="eastAsia"/>
          <w:i/>
        </w:rPr>
        <w:t xml:space="preserve">: </w:t>
      </w:r>
      <w:r w:rsidRPr="00BC1D0F">
        <w:rPr>
          <w:i/>
        </w:rPr>
        <w:t>Experimental Methods</w:t>
      </w:r>
      <w:r w:rsidR="00F81221">
        <w:rPr>
          <w:i/>
        </w:rPr>
        <w:t xml:space="preserve"> and </w:t>
      </w:r>
      <w:r w:rsidRPr="00BC1D0F">
        <w:rPr>
          <w:i/>
        </w:rPr>
        <w:t>Adsorptive Isotherms</w:t>
      </w:r>
      <w:r w:rsidRPr="00A428C3">
        <w:t xml:space="preserve">, </w:t>
      </w:r>
      <w:r w:rsidRPr="00040D58">
        <w:t>Springer Science + Business Media</w:t>
      </w:r>
      <w:r>
        <w:rPr>
          <w:rFonts w:hint="eastAsia"/>
        </w:rPr>
        <w:t xml:space="preserve">, </w:t>
      </w:r>
      <w:r>
        <w:t>Boston</w:t>
      </w:r>
      <w:r w:rsidRPr="00A428C3">
        <w:t xml:space="preserve">, </w:t>
      </w:r>
      <w:r>
        <w:rPr>
          <w:rFonts w:hint="eastAsia"/>
        </w:rPr>
        <w:t>359</w:t>
      </w:r>
      <w:r w:rsidRPr="00A428C3">
        <w:t>-</w:t>
      </w:r>
      <w:r>
        <w:rPr>
          <w:rFonts w:hint="eastAsia"/>
        </w:rPr>
        <w:t>413</w:t>
      </w:r>
      <w:r w:rsidRPr="00A428C3">
        <w:t>.</w:t>
      </w:r>
    </w:p>
    <w:p w:rsidR="009F719C" w:rsidRPr="00A428C3" w:rsidRDefault="009F719C" w:rsidP="009F719C">
      <w:pPr>
        <w:pStyle w:val="a0"/>
      </w:pPr>
      <w:r>
        <w:rPr>
          <w:rFonts w:hint="eastAsia"/>
        </w:rPr>
        <w:t xml:space="preserve">Full Text: </w:t>
      </w:r>
      <w:hyperlink r:id="rId318" w:history="1">
        <w:r w:rsidRPr="009F719C">
          <w:rPr>
            <w:rStyle w:val="a5"/>
          </w:rPr>
          <w:t>2005\Gas Ads Equ, 359.pdf</w:t>
        </w:r>
      </w:hyperlink>
    </w:p>
    <w:p w:rsidR="00B95188" w:rsidRPr="00A428C3" w:rsidRDefault="00B95188" w:rsidP="00B95188">
      <w:pPr>
        <w:pStyle w:val="1"/>
      </w:pPr>
      <w:r w:rsidRPr="00A428C3">
        <w:br w:type="page"/>
      </w:r>
      <w:bookmarkStart w:id="230" w:name="_Toc492807639"/>
      <w:bookmarkStart w:id="231" w:name="_Toc186647704"/>
      <w:bookmarkStart w:id="232" w:name="_Toc317160895"/>
      <w:r w:rsidRPr="00A428C3">
        <w:lastRenderedPageBreak/>
        <w:t>Title: Gas Separation &amp; Purification</w:t>
      </w:r>
      <w:bookmarkEnd w:id="230"/>
      <w:bookmarkEnd w:id="231"/>
      <w:bookmarkEnd w:id="232"/>
    </w:p>
    <w:p w:rsidR="00B95188" w:rsidRPr="00A428C3" w:rsidRDefault="00B95188" w:rsidP="00B72EF9">
      <w:pPr>
        <w:pStyle w:val="12"/>
      </w:pPr>
      <w:r w:rsidRPr="00A428C3">
        <w:t xml:space="preserve">Full Journal Title: </w:t>
      </w:r>
      <w:hyperlink r:id="rId319" w:history="1">
        <w:r w:rsidRPr="00A428C3">
          <w:rPr>
            <w:rStyle w:val="a5"/>
          </w:rPr>
          <w:t>Gas Separation &amp; Purification</w:t>
        </w:r>
      </w:hyperlink>
    </w:p>
    <w:p w:rsidR="00B95188" w:rsidRPr="00A428C3" w:rsidRDefault="00B95188" w:rsidP="00B72EF9">
      <w:pPr>
        <w:pStyle w:val="12"/>
      </w:pPr>
      <w:r w:rsidRPr="00A428C3">
        <w:t>ISO Abbreviated Title: Gas Sep. Purif.</w:t>
      </w:r>
    </w:p>
    <w:p w:rsidR="00B95188" w:rsidRPr="00A428C3" w:rsidRDefault="00B95188" w:rsidP="00B72EF9">
      <w:pPr>
        <w:pStyle w:val="12"/>
      </w:pPr>
      <w:r w:rsidRPr="00A428C3">
        <w:t>JCR Abbreviated Title: Gas Sep Purif</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Kapoor, A.</w:t>
      </w:r>
      <w:r w:rsidR="00F81221">
        <w:t xml:space="preserve"> and </w:t>
      </w:r>
      <w:r w:rsidRPr="00A428C3">
        <w:t xml:space="preserve">Yang, R.T. (1991), Correlation of equilibrium adsorption data of condensible vapours on porous adsorbents. </w:t>
      </w:r>
      <w:r w:rsidRPr="00A428C3">
        <w:rPr>
          <w:i/>
        </w:rPr>
        <w:t>Gas Separation &amp; Purification</w:t>
      </w:r>
      <w:r w:rsidRPr="00A428C3">
        <w:t xml:space="preserve">, </w:t>
      </w:r>
      <w:r w:rsidRPr="00A428C3">
        <w:rPr>
          <w:b/>
        </w:rPr>
        <w:t>3</w:t>
      </w:r>
      <w:r w:rsidRPr="00A428C3">
        <w:t xml:space="preserve"> (4), 187-192.</w:t>
      </w:r>
    </w:p>
    <w:p w:rsidR="00B95188" w:rsidRPr="00A428C3" w:rsidRDefault="00B95188" w:rsidP="00B95188">
      <w:pPr>
        <w:pStyle w:val="a0"/>
      </w:pPr>
      <w:r w:rsidRPr="00A428C3">
        <w:t xml:space="preserve">Full Text: </w:t>
      </w:r>
      <w:hyperlink r:id="rId320" w:history="1">
        <w:r w:rsidRPr="00A428C3">
          <w:rPr>
            <w:rStyle w:val="a5"/>
          </w:rPr>
          <w:t>G\Gas Sep Pur3, 187.pdf</w:t>
        </w:r>
      </w:hyperlink>
    </w:p>
    <w:p w:rsidR="00B95188" w:rsidRPr="00A428C3" w:rsidRDefault="00B95188" w:rsidP="00B95188">
      <w:pPr>
        <w:pStyle w:val="a0"/>
      </w:pPr>
      <w:r w:rsidRPr="00A428C3">
        <w:t>Abstract: A modified Dubinin-Astakhov equation is presented which can describe the adsorption of condensible vapours on porous adsorbents. The equation has five parameters</w:t>
      </w:r>
      <w:r w:rsidR="00F81221">
        <w:t xml:space="preserve"> and </w:t>
      </w:r>
      <w:r w:rsidRPr="00A428C3">
        <w:t>can be used to correlate adsorption of types I, IV</w:t>
      </w:r>
      <w:r w:rsidR="00F81221">
        <w:t xml:space="preserve"> and </w:t>
      </w:r>
      <w:r w:rsidRPr="00A428C3">
        <w:t>V according to BDDT classification. It has a finite Henry</w:t>
      </w:r>
      <w:r w:rsidR="000352E7">
        <w:t>’</w:t>
      </w:r>
      <w:r w:rsidRPr="00A428C3">
        <w:t>s Law limit,</w:t>
      </w:r>
      <w:r w:rsidR="00F81221">
        <w:t xml:space="preserve"> and </w:t>
      </w:r>
      <w:r w:rsidRPr="00A428C3">
        <w:t>is simpler than two other models available in the literature. It can also be used to obtain qualitative information about the energetic heterogeneity of the adsorbent.</w:t>
      </w:r>
    </w:p>
    <w:p w:rsidR="00B95188" w:rsidRPr="00A428C3" w:rsidRDefault="00B95188" w:rsidP="00B95188">
      <w:pPr>
        <w:pStyle w:val="a0"/>
      </w:pPr>
      <w:r w:rsidRPr="00A428C3">
        <w:t>Keywords: Adsorption, Porous Adsorbents, Equilibrium Data</w:t>
      </w:r>
    </w:p>
    <w:p w:rsidR="00B95188" w:rsidRPr="00A428C3" w:rsidRDefault="00B95188" w:rsidP="00B95188">
      <w:pPr>
        <w:pStyle w:val="a0"/>
      </w:pPr>
      <w:r w:rsidRPr="00A428C3">
        <w:t>Do, D.D., Hu, X.</w:t>
      </w:r>
      <w:r w:rsidR="00F81221">
        <w:t xml:space="preserve"> and </w:t>
      </w:r>
      <w:r w:rsidRPr="00A428C3">
        <w:t>Mayfield, P.L.J. (1991), Multicomponent adsorption of ethane, n-butane</w:t>
      </w:r>
      <w:r w:rsidR="00F81221">
        <w:t xml:space="preserve"> and </w:t>
      </w:r>
      <w:r w:rsidRPr="00A428C3">
        <w:t xml:space="preserve">n-pentane in activated carbon. </w:t>
      </w:r>
      <w:r w:rsidRPr="00A428C3">
        <w:rPr>
          <w:i/>
        </w:rPr>
        <w:t>Gas Separation &amp; Purification</w:t>
      </w:r>
      <w:r w:rsidRPr="00A428C3">
        <w:t xml:space="preserve">, </w:t>
      </w:r>
      <w:r w:rsidRPr="00A428C3">
        <w:rPr>
          <w:b/>
        </w:rPr>
        <w:t>5</w:t>
      </w:r>
      <w:r w:rsidRPr="00A428C3">
        <w:t xml:space="preserve"> (1), 35-48.</w:t>
      </w:r>
    </w:p>
    <w:p w:rsidR="00B95188" w:rsidRPr="00A428C3" w:rsidRDefault="00B95188" w:rsidP="00B95188">
      <w:pPr>
        <w:pStyle w:val="a0"/>
      </w:pPr>
      <w:r w:rsidRPr="00A428C3">
        <w:t xml:space="preserve">Full Text: </w:t>
      </w:r>
      <w:hyperlink r:id="rId321" w:history="1">
        <w:r w:rsidRPr="00A428C3">
          <w:rPr>
            <w:rStyle w:val="a5"/>
          </w:rPr>
          <w:t>G\Gas Sep Pur5, 35.pdf</w:t>
        </w:r>
      </w:hyperlink>
    </w:p>
    <w:p w:rsidR="00B95188" w:rsidRPr="00A428C3" w:rsidRDefault="00B95188" w:rsidP="00B95188">
      <w:pPr>
        <w:pStyle w:val="a0"/>
      </w:pPr>
      <w:r w:rsidRPr="00A428C3">
        <w:t>Abstract: A model of combined pore</w:t>
      </w:r>
      <w:r w:rsidR="00F81221">
        <w:t xml:space="preserve"> and </w:t>
      </w:r>
      <w:r w:rsidRPr="00A428C3">
        <w:t>surface diffusivity, with the surface diffusivity following the Darken-type relationship, is presented in this paper. The model is tested with single component adsorption data of ethane, n-butane</w:t>
      </w:r>
      <w:r w:rsidR="00F81221">
        <w:t xml:space="preserve"> and </w:t>
      </w:r>
      <w:r w:rsidRPr="00A428C3">
        <w:t>n-pentane onto activated carbon,</w:t>
      </w:r>
      <w:r w:rsidR="00F81221">
        <w:t xml:space="preserve"> and </w:t>
      </w:r>
      <w:r w:rsidRPr="00A428C3">
        <w:t>with binary adsorption data of ethane/n-butane, ethane/n-pentane</w:t>
      </w:r>
      <w:r w:rsidR="00F81221">
        <w:t xml:space="preserve"> and </w:t>
      </w:r>
      <w:r w:rsidRPr="00A428C3">
        <w:t>n-butane/n-pentane. The experimental data are obtained using a differential adsorption bed, which is found to be a very useful device in studying dynamics of multicomponent systems., Comparison of this model with a model assuming constant surface diffusivity shows that the proposed model herein is a superior model in predicting the multicomponent adsorption dynamics data.</w:t>
      </w:r>
    </w:p>
    <w:p w:rsidR="00B95188" w:rsidRPr="00A428C3" w:rsidRDefault="00B95188" w:rsidP="00B95188">
      <w:pPr>
        <w:pStyle w:val="a0"/>
      </w:pPr>
      <w:r w:rsidRPr="00A428C3">
        <w:t>Keywords: Adsorption, Activated Carbon, Ethane</w:t>
      </w:r>
    </w:p>
    <w:p w:rsidR="00B95188" w:rsidRPr="00A428C3" w:rsidRDefault="00B95188" w:rsidP="00B95188">
      <w:pPr>
        <w:pStyle w:val="a0"/>
      </w:pPr>
      <w:r w:rsidRPr="00A428C3">
        <w:lastRenderedPageBreak/>
        <w:t>Hu, X., Rao, G.N.</w:t>
      </w:r>
      <w:r w:rsidR="00F81221">
        <w:t xml:space="preserve"> and </w:t>
      </w:r>
      <w:r w:rsidRPr="00A428C3">
        <w:t>Do, D.D. (1993), Multicomponent sorption kinetics of ethane</w:t>
      </w:r>
      <w:r w:rsidR="00F81221">
        <w:t xml:space="preserve"> and </w:t>
      </w:r>
      <w:r w:rsidRPr="00A428C3">
        <w:t xml:space="preserve">propane in activated carbon: Simultaneous adsorption. </w:t>
      </w:r>
      <w:r w:rsidRPr="00A428C3">
        <w:rPr>
          <w:i/>
        </w:rPr>
        <w:t>Gas Separation &amp; Purification</w:t>
      </w:r>
      <w:r w:rsidRPr="00A428C3">
        <w:t xml:space="preserve">, </w:t>
      </w:r>
      <w:r w:rsidRPr="00A428C3">
        <w:rPr>
          <w:b/>
        </w:rPr>
        <w:t>7</w:t>
      </w:r>
      <w:r w:rsidRPr="00A428C3">
        <w:t xml:space="preserve"> (1), 39-45.</w:t>
      </w:r>
    </w:p>
    <w:p w:rsidR="00B95188" w:rsidRPr="00A428C3" w:rsidRDefault="00B95188" w:rsidP="00B95188">
      <w:pPr>
        <w:pStyle w:val="a0"/>
      </w:pPr>
      <w:r w:rsidRPr="00A428C3">
        <w:t xml:space="preserve">Full Text: </w:t>
      </w:r>
      <w:hyperlink r:id="rId322" w:history="1">
        <w:r w:rsidRPr="00A428C3">
          <w:rPr>
            <w:rStyle w:val="a5"/>
          </w:rPr>
          <w:t>G\Gas Sep Pur7, 39.pdf</w:t>
        </w:r>
      </w:hyperlink>
    </w:p>
    <w:p w:rsidR="00B95188" w:rsidRPr="00A428C3" w:rsidRDefault="00B95188" w:rsidP="00B95188">
      <w:pPr>
        <w:pStyle w:val="a0"/>
      </w:pPr>
      <w:r w:rsidRPr="00A428C3">
        <w:t>Abstract: Extensive experimental data of binary adsorption kinetics of ethane</w:t>
      </w:r>
      <w:r w:rsidR="00F81221">
        <w:t xml:space="preserve"> and </w:t>
      </w:r>
      <w:r w:rsidRPr="00A428C3">
        <w:t xml:space="preserve">propane onto </w:t>
      </w:r>
      <w:smartTag w:uri="urn:schemas-microsoft-com:office:smarttags" w:element="place">
        <w:smartTag w:uri="urn:schemas-microsoft-com:office:smarttags" w:element="City">
          <w:r w:rsidRPr="00A428C3">
            <w:t>Ajax</w:t>
          </w:r>
        </w:smartTag>
      </w:smartTag>
      <w:r w:rsidRPr="00A428C3">
        <w:t xml:space="preserve"> activated carbon are collected by using a </w:t>
      </w:r>
      <w:r w:rsidR="000352E7">
        <w:t>‘</w:t>
      </w:r>
      <w:r w:rsidRPr="00A428C3">
        <w:t>differential adsorption bed</w:t>
      </w:r>
      <w:r w:rsidR="000352E7">
        <w:t>’</w:t>
      </w:r>
      <w:r w:rsidRPr="00A428C3">
        <w:t xml:space="preserve"> over a range of particle sizes</w:t>
      </w:r>
      <w:r w:rsidR="00F81221">
        <w:t xml:space="preserve"> and </w:t>
      </w:r>
      <w:r w:rsidRPr="00A428C3">
        <w:t>shapes, bulk concentrations</w:t>
      </w:r>
      <w:r w:rsidR="00F81221">
        <w:t xml:space="preserve"> and </w:t>
      </w:r>
      <w:r w:rsidRPr="00A428C3">
        <w:t>temperatures. A multicomponent model incorporating macropore, surface</w:t>
      </w:r>
      <w:r w:rsidR="00F81221">
        <w:t xml:space="preserve"> and </w:t>
      </w:r>
      <w:r w:rsidRPr="00A428C3">
        <w:t>micropore diffusion mechanisms recently proposed by Hu</w:t>
      </w:r>
      <w:r w:rsidR="00F81221">
        <w:t xml:space="preserve"> and </w:t>
      </w:r>
      <w:r w:rsidRPr="00A428C3">
        <w:t>Do (Chem Eng Sci (in press)) is used to predict the binary adsorption dynamic data by using information of single-component isotherms</w:t>
      </w:r>
      <w:r w:rsidR="00F81221">
        <w:t xml:space="preserve"> and </w:t>
      </w:r>
      <w:r w:rsidRPr="00A428C3">
        <w:t>dynamics. The multicomponent adsorption equilibrium is calculated by using the ideal adsorbed solution theory (IAST), with the single-component isotherm described by a Unilan equation. The model is found to describe the binary adsorption kinetics well</w:t>
      </w:r>
      <w:r w:rsidR="00F81221">
        <w:t xml:space="preserve"> and </w:t>
      </w:r>
      <w:r w:rsidRPr="00A428C3">
        <w:t>in particular it accurately predicts the degree of the overshoot of the fast-diffusing/less-strongly adsorbed species.</w:t>
      </w:r>
    </w:p>
    <w:p w:rsidR="00B95188" w:rsidRPr="00A428C3" w:rsidRDefault="00B95188" w:rsidP="00B95188">
      <w:pPr>
        <w:pStyle w:val="a0"/>
      </w:pPr>
      <w:r w:rsidRPr="00A428C3">
        <w:t>Keywords: Activated Carbon, Adsorption Dynamics, Ideal Adsorbed Solution Theory</w:t>
      </w:r>
    </w:p>
    <w:p w:rsidR="00B95188" w:rsidRPr="00A428C3" w:rsidRDefault="00B95188" w:rsidP="00B95188">
      <w:pPr>
        <w:pStyle w:val="a0"/>
      </w:pPr>
      <w:r w:rsidRPr="00A428C3">
        <w:t>Hu, X., Rao, G.N.</w:t>
      </w:r>
      <w:r w:rsidR="00F81221">
        <w:t xml:space="preserve"> and </w:t>
      </w:r>
      <w:r w:rsidRPr="00A428C3">
        <w:t>Do, D.D. (1993), A mathematical model for multicomponent adsorption, desorption</w:t>
      </w:r>
      <w:r w:rsidR="00F81221">
        <w:t xml:space="preserve"> and </w:t>
      </w:r>
      <w:r w:rsidRPr="00A428C3">
        <w:t>displacement kinetics of ethane, propane</w:t>
      </w:r>
      <w:r w:rsidR="00F81221">
        <w:t xml:space="preserve"> and </w:t>
      </w:r>
      <w:r w:rsidRPr="00A428C3">
        <w:t xml:space="preserve">n-butane in activated carbon. </w:t>
      </w:r>
      <w:r w:rsidRPr="00A428C3">
        <w:rPr>
          <w:i/>
        </w:rPr>
        <w:t>Gas Separation &amp; Purification</w:t>
      </w:r>
      <w:r w:rsidRPr="00A428C3">
        <w:t xml:space="preserve">, </w:t>
      </w:r>
      <w:r w:rsidRPr="00A428C3">
        <w:rPr>
          <w:b/>
        </w:rPr>
        <w:t>7</w:t>
      </w:r>
      <w:r w:rsidRPr="00A428C3">
        <w:t xml:space="preserve"> (4), 197-206.</w:t>
      </w:r>
    </w:p>
    <w:p w:rsidR="00B95188" w:rsidRPr="00A428C3" w:rsidRDefault="00B95188" w:rsidP="00B95188">
      <w:pPr>
        <w:pStyle w:val="a0"/>
      </w:pPr>
      <w:r w:rsidRPr="00A428C3">
        <w:t xml:space="preserve">Full Text: </w:t>
      </w:r>
      <w:hyperlink r:id="rId323" w:history="1">
        <w:r w:rsidRPr="00A428C3">
          <w:rPr>
            <w:rStyle w:val="a5"/>
          </w:rPr>
          <w:t>G\Gas Sep Pur7, 197.pdf</w:t>
        </w:r>
      </w:hyperlink>
    </w:p>
    <w:p w:rsidR="00B95188" w:rsidRPr="00A428C3" w:rsidRDefault="00B95188" w:rsidP="00B95188">
      <w:pPr>
        <w:pStyle w:val="a0"/>
      </w:pPr>
      <w:r w:rsidRPr="00A428C3">
        <w:t>Abstract: A mathematical model allowing for macropore, surface</w:t>
      </w:r>
      <w:r w:rsidR="00F81221">
        <w:t xml:space="preserve"> and </w:t>
      </w:r>
      <w:r w:rsidRPr="00A428C3">
        <w:t>micropore diffusions is used to predict the multicomponent adsorption, desorption</w:t>
      </w:r>
      <w:r w:rsidR="00F81221">
        <w:t xml:space="preserve"> and </w:t>
      </w:r>
      <w:r w:rsidRPr="00A428C3">
        <w:t>displacement kinetics of gases on activated carbon using only information of single-component mass transfer</w:t>
      </w:r>
      <w:r w:rsidR="00F81221">
        <w:t xml:space="preserve"> and </w:t>
      </w:r>
      <w:r w:rsidRPr="00A428C3">
        <w:t>equilibrium. This model assumes the chemical potential gradient as the driving force for diffusion so that the concentration dependency of the surface diffusivity can be accounted for. The adsorbed species diffuse in both particle</w:t>
      </w:r>
      <w:r w:rsidR="00F81221">
        <w:t xml:space="preserve"> and </w:t>
      </w:r>
      <w:r w:rsidRPr="00A428C3">
        <w:t>microparticle (grain) coordinates. The local diffusion flux of the adsorbed species inside the microparticle is computed with the aid of the concept of an imaginary gas-phase concentration. The multicomponent adsorption equilibrium is calculated using the ideal adsorbed solution theory (IAST)</w:t>
      </w:r>
      <w:r w:rsidR="00F81221">
        <w:t xml:space="preserve"> and </w:t>
      </w:r>
      <w:r w:rsidRPr="00A428C3">
        <w:t>a single-component isotherm equation. To validate the model, experiments on equilibria as well as dynamics are carried out. Single-component adsorption equilibrium data are obtained by using a volumetric measurement rig. The dynamic responses of single</w:t>
      </w:r>
      <w:r w:rsidR="00F81221">
        <w:t xml:space="preserve"> and </w:t>
      </w:r>
      <w:r w:rsidRPr="00A428C3">
        <w:t>binary systems are collected via a differential adsorption bed, with ethane, propane</w:t>
      </w:r>
      <w:r w:rsidR="00F81221">
        <w:t xml:space="preserve"> and </w:t>
      </w:r>
      <w:r w:rsidRPr="00A428C3">
        <w:t>n-butane as adsorbates. The model predictions are found to be in good agreement with the experimental results</w:t>
      </w:r>
      <w:r w:rsidR="00F81221">
        <w:t xml:space="preserve"> and </w:t>
      </w:r>
      <w:r w:rsidRPr="00A428C3">
        <w:t>the role of concentration dependency of the diffusion of the adsorbed species is significant.</w:t>
      </w:r>
    </w:p>
    <w:p w:rsidR="00B95188" w:rsidRPr="00A428C3" w:rsidRDefault="00B95188" w:rsidP="00B95188">
      <w:pPr>
        <w:pStyle w:val="a0"/>
      </w:pPr>
      <w:r w:rsidRPr="00A428C3">
        <w:t>Keywords: Activated Carbon, Multicomponent Sorption Dynamics, Ideal Adsorbed Solution Theory</w:t>
      </w:r>
    </w:p>
    <w:p w:rsidR="00B95188" w:rsidRPr="00A428C3" w:rsidRDefault="00B95188" w:rsidP="00B95188">
      <w:pPr>
        <w:pStyle w:val="a0"/>
      </w:pPr>
      <w:r w:rsidRPr="00A428C3">
        <w:lastRenderedPageBreak/>
        <w:t>Rao, G.N., Hu, X.</w:t>
      </w:r>
      <w:r w:rsidR="00F81221">
        <w:t xml:space="preserve"> and </w:t>
      </w:r>
      <w:r w:rsidRPr="00A428C3">
        <w:t>Do, D.D. (1994), Multicomponent sorption kinetics of hydrocarbons in activated carbon: Simultaneous desorption</w:t>
      </w:r>
      <w:r w:rsidR="00F81221">
        <w:t xml:space="preserve"> and </w:t>
      </w:r>
      <w:r w:rsidRPr="00A428C3">
        <w:t xml:space="preserve">displacement. </w:t>
      </w:r>
      <w:r w:rsidRPr="00A428C3">
        <w:rPr>
          <w:i/>
        </w:rPr>
        <w:t>Gas Separation &amp; Purification</w:t>
      </w:r>
      <w:r w:rsidRPr="00A428C3">
        <w:t xml:space="preserve">, </w:t>
      </w:r>
      <w:r w:rsidRPr="00A428C3">
        <w:rPr>
          <w:b/>
        </w:rPr>
        <w:t>8</w:t>
      </w:r>
      <w:r w:rsidRPr="00A428C3">
        <w:t xml:space="preserve"> (2), 67-76.</w:t>
      </w:r>
    </w:p>
    <w:p w:rsidR="00B95188" w:rsidRPr="00A428C3" w:rsidRDefault="00B95188" w:rsidP="00B95188">
      <w:pPr>
        <w:pStyle w:val="a0"/>
        <w:rPr>
          <w:iCs/>
        </w:rPr>
      </w:pPr>
      <w:r w:rsidRPr="00A428C3">
        <w:t xml:space="preserve">Full Text: </w:t>
      </w:r>
      <w:hyperlink r:id="rId324" w:history="1">
        <w:r w:rsidRPr="00A428C3">
          <w:rPr>
            <w:rStyle w:val="a5"/>
          </w:rPr>
          <w:t>G\Gas Sep Pur8, 67.pdf</w:t>
        </w:r>
      </w:hyperlink>
    </w:p>
    <w:p w:rsidR="00B95188" w:rsidRPr="00A428C3" w:rsidRDefault="00B95188" w:rsidP="00B95188">
      <w:pPr>
        <w:pStyle w:val="a0"/>
      </w:pPr>
      <w:r w:rsidRPr="00A428C3">
        <w:t>Abstract: Binary desorption</w:t>
      </w:r>
      <w:r w:rsidR="00F81221">
        <w:t xml:space="preserve"> and </w:t>
      </w:r>
      <w:r w:rsidRPr="00A428C3">
        <w:t>displacement kinetics of ethane</w:t>
      </w:r>
      <w:r w:rsidR="00F81221">
        <w:t xml:space="preserve"> and </w:t>
      </w:r>
      <w:r w:rsidRPr="00A428C3">
        <w:t xml:space="preserve">propane in </w:t>
      </w:r>
      <w:smartTag w:uri="urn:schemas-microsoft-com:office:smarttags" w:element="place">
        <w:smartTag w:uri="urn:schemas-microsoft-com:office:smarttags" w:element="City">
          <w:r w:rsidRPr="00A428C3">
            <w:t>Ajax</w:t>
          </w:r>
        </w:smartTag>
      </w:smartTag>
      <w:r w:rsidRPr="00A428C3">
        <w:t xml:space="preserve"> activated carbon are studied in this paper to further understand the multicomponent adsorption of light hydrocarbons onto activated carbon. The experimental data are collected using a differential adsorption bed over a range of temperatures, bulk concentration combinations, particle sizes</w:t>
      </w:r>
      <w:r w:rsidR="00F81221">
        <w:t xml:space="preserve"> and </w:t>
      </w:r>
      <w:r w:rsidRPr="00A428C3">
        <w:t>shapes. A macropore, surface</w:t>
      </w:r>
      <w:r w:rsidR="00F81221">
        <w:t xml:space="preserve"> and </w:t>
      </w:r>
      <w:r w:rsidRPr="00A428C3">
        <w:t>micropore diffusion (MSMD) model recently proposed by Hu</w:t>
      </w:r>
      <w:r w:rsidR="00F81221">
        <w:t xml:space="preserve"> and </w:t>
      </w:r>
      <w:r w:rsidRPr="00A428C3">
        <w:t>Do (</w:t>
      </w:r>
      <w:r w:rsidRPr="00A428C3">
        <w:rPr>
          <w:i/>
          <w:iCs/>
        </w:rPr>
        <w:t>Chem Eng Sci</w:t>
      </w:r>
      <w:r w:rsidRPr="00A428C3">
        <w:t xml:space="preserve"> (1993) 48 1317) is used in the analysis of experimental data. This model takes into account the concentration dependency of the surface diffusivity. Both diffusions of free</w:t>
      </w:r>
      <w:r w:rsidR="00F81221">
        <w:t xml:space="preserve"> and </w:t>
      </w:r>
      <w:r w:rsidRPr="00A428C3">
        <w:t>adsorbed species are allowed for in the theory. The adsorbed species are assumed to diffuse in the particle as well as in the microparticle (grain) coordinates. An imaginary gas-phase concentration concept is used to calculate the local diffusion flux of the adsorbed species inside the microparticle. The local multicomponent adsorption equilibrium at any point within the particle is calculated using the ideal adsorbed solution theory (IAST), with the single-component adsorption equilibrium data described by a Unilan equation.</w:t>
      </w:r>
    </w:p>
    <w:p w:rsidR="00B95188" w:rsidRPr="00A428C3" w:rsidRDefault="00B95188" w:rsidP="00B95188">
      <w:pPr>
        <w:pStyle w:val="a0"/>
      </w:pPr>
      <w:r w:rsidRPr="00A428C3">
        <w:t>Keywords: Activated Carbon, Multicomponent Sorption Kinetics, Diffusion, Ideal Adsorbed Solution Theory</w:t>
      </w:r>
    </w:p>
    <w:p w:rsidR="00B95188" w:rsidRPr="00A428C3" w:rsidRDefault="00B95188" w:rsidP="00B95188">
      <w:pPr>
        <w:pStyle w:val="a0"/>
      </w:pPr>
      <w:r w:rsidRPr="00A428C3">
        <w:t>Hu, X., King, B.</w:t>
      </w:r>
      <w:r w:rsidR="00F81221">
        <w:t xml:space="preserve"> and </w:t>
      </w:r>
      <w:r w:rsidRPr="00A428C3">
        <w:t xml:space="preserve">Do, D.D. (1994), Ternary adsorption kinetics of gases in activated carbon. </w:t>
      </w:r>
      <w:r w:rsidRPr="00A428C3">
        <w:rPr>
          <w:i/>
        </w:rPr>
        <w:t>Gas Separation &amp; Purification</w:t>
      </w:r>
      <w:r w:rsidRPr="00A428C3">
        <w:t xml:space="preserve">, </w:t>
      </w:r>
      <w:r w:rsidRPr="00A428C3">
        <w:rPr>
          <w:b/>
        </w:rPr>
        <w:t>8</w:t>
      </w:r>
      <w:r w:rsidRPr="00A428C3">
        <w:t xml:space="preserve"> (3), 175-186. </w:t>
      </w:r>
    </w:p>
    <w:p w:rsidR="00B95188" w:rsidRPr="00A428C3" w:rsidRDefault="00B95188" w:rsidP="00B95188">
      <w:pPr>
        <w:pStyle w:val="a0"/>
      </w:pPr>
      <w:r w:rsidRPr="00A428C3">
        <w:t xml:space="preserve">Full Text: </w:t>
      </w:r>
      <w:hyperlink r:id="rId325" w:history="1">
        <w:r w:rsidRPr="00A428C3">
          <w:rPr>
            <w:rStyle w:val="a5"/>
          </w:rPr>
          <w:t>G\Gas Sep Pur8, 175.pdf</w:t>
        </w:r>
      </w:hyperlink>
    </w:p>
    <w:p w:rsidR="00B95188" w:rsidRPr="00A428C3" w:rsidRDefault="00B95188" w:rsidP="00B95188">
      <w:pPr>
        <w:pStyle w:val="a0"/>
      </w:pPr>
      <w:r w:rsidRPr="00A428C3">
        <w:t>Abstract: Ternary adsorption kinetic experiments of ethane (light species), propane (intermediate species)</w:t>
      </w:r>
      <w:r w:rsidR="00F81221">
        <w:t xml:space="preserve"> and </w:t>
      </w:r>
      <w:r w:rsidRPr="00A428C3">
        <w:t>n-butane in activated carbon are collected under various concentration combinations, temperatures</w:t>
      </w:r>
      <w:r w:rsidR="00F81221">
        <w:t xml:space="preserve"> and </w:t>
      </w:r>
      <w:r w:rsidRPr="00A428C3">
        <w:t>particle sizes. The effects of these parameters on the ternary adsorption dynamics are investigated. All the experimental data are compared with the predictions by a multicomponent heterogeneous macropore, surface</w:t>
      </w:r>
      <w:r w:rsidR="00F81221">
        <w:t xml:space="preserve"> and </w:t>
      </w:r>
      <w:r w:rsidRPr="00A428C3">
        <w:t>micropore diffusion (HMSMD) model recently proposed by Hu</w:t>
      </w:r>
      <w:r w:rsidR="00F81221">
        <w:t xml:space="preserve"> and </w:t>
      </w:r>
      <w:r w:rsidRPr="00A428C3">
        <w:t>Do (</w:t>
      </w:r>
      <w:r w:rsidRPr="00A428C3">
        <w:rPr>
          <w:i/>
          <w:iCs/>
        </w:rPr>
        <w:t>AIChE J</w:t>
      </w:r>
      <w:r w:rsidRPr="00A428C3">
        <w:t xml:space="preserve"> (1993) 39 1628) using only single-component equilibrium</w:t>
      </w:r>
      <w:r w:rsidR="00F81221">
        <w:t xml:space="preserve"> and </w:t>
      </w:r>
      <w:r w:rsidRPr="00A428C3">
        <w:t>mass transfer parameters. The model can accurately predict the adsorption rates of ethane, propane</w:t>
      </w:r>
      <w:r w:rsidR="00F81221">
        <w:t xml:space="preserve"> and </w:t>
      </w:r>
      <w:r w:rsidRPr="00A428C3">
        <w:t>n-butane, but a small error in the calculation of the adsorbed amount of propane at ternary equilibrium is observed.</w:t>
      </w:r>
    </w:p>
    <w:p w:rsidR="00B95188" w:rsidRPr="00A428C3" w:rsidRDefault="00B95188" w:rsidP="00B95188">
      <w:pPr>
        <w:pStyle w:val="a0"/>
      </w:pPr>
      <w:r w:rsidRPr="00A428C3">
        <w:t>Keywords: Activated Carbon, Adsorption Kinetics, Energy Distribution, Micropore</w:t>
      </w:r>
      <w:r w:rsidR="00F81221">
        <w:t xml:space="preserve"> and </w:t>
      </w:r>
      <w:r w:rsidRPr="00A428C3">
        <w:t>Surface Diffusion, Multicomponent</w:t>
      </w:r>
    </w:p>
    <w:p w:rsidR="00B95188" w:rsidRPr="00A428C3" w:rsidRDefault="00B95188" w:rsidP="00B95188">
      <w:pPr>
        <w:pStyle w:val="a0"/>
      </w:pPr>
      <w:r w:rsidRPr="00A428C3">
        <w:t>Hu, X., King, B.</w:t>
      </w:r>
      <w:r w:rsidR="00F81221">
        <w:t xml:space="preserve"> and </w:t>
      </w:r>
      <w:r w:rsidRPr="00A428C3">
        <w:t>Do, D.D. (1994), Ternary desorption</w:t>
      </w:r>
      <w:r w:rsidR="00F81221">
        <w:t xml:space="preserve"> and </w:t>
      </w:r>
      <w:r w:rsidRPr="00A428C3">
        <w:t xml:space="preserve">displacement kinetics of gases in activated carbon. </w:t>
      </w:r>
      <w:r w:rsidRPr="00A428C3">
        <w:rPr>
          <w:i/>
        </w:rPr>
        <w:t>Gas Separation &amp; Purification</w:t>
      </w:r>
      <w:r w:rsidRPr="00A428C3">
        <w:t xml:space="preserve">, </w:t>
      </w:r>
      <w:r w:rsidRPr="00A428C3">
        <w:rPr>
          <w:b/>
        </w:rPr>
        <w:t>8</w:t>
      </w:r>
      <w:r w:rsidRPr="00A428C3">
        <w:t xml:space="preserve"> (3), 187-190.</w:t>
      </w:r>
    </w:p>
    <w:p w:rsidR="00B95188" w:rsidRPr="00A428C3" w:rsidRDefault="00B95188" w:rsidP="00B95188">
      <w:pPr>
        <w:pStyle w:val="a0"/>
      </w:pPr>
      <w:r w:rsidRPr="00A428C3">
        <w:t xml:space="preserve">Full Text: </w:t>
      </w:r>
      <w:hyperlink r:id="rId326" w:history="1">
        <w:r w:rsidRPr="00A428C3">
          <w:rPr>
            <w:rStyle w:val="a5"/>
          </w:rPr>
          <w:t>G\Gas Sep Pur8, 187.pdf</w:t>
        </w:r>
      </w:hyperlink>
    </w:p>
    <w:p w:rsidR="00B95188" w:rsidRPr="00A428C3" w:rsidRDefault="00B95188" w:rsidP="00B95188">
      <w:pPr>
        <w:pStyle w:val="a0"/>
      </w:pPr>
      <w:r w:rsidRPr="00A428C3">
        <w:lastRenderedPageBreak/>
        <w:t>Abstract: Both desorption</w:t>
      </w:r>
      <w:r w:rsidR="00F81221">
        <w:t xml:space="preserve"> and </w:t>
      </w:r>
      <w:r w:rsidRPr="00A428C3">
        <w:t>displacement kinetic experimental data of gases in activated carbon are presented in this article for ternary systems of ethane, propane</w:t>
      </w:r>
      <w:r w:rsidR="00F81221">
        <w:t xml:space="preserve"> and </w:t>
      </w:r>
      <w:r w:rsidRPr="00A428C3">
        <w:t>n-butane. Experiments are carried out under various temperatures, particle sizes</w:t>
      </w:r>
      <w:r w:rsidR="00F81221">
        <w:t xml:space="preserve"> and </w:t>
      </w:r>
      <w:r w:rsidRPr="00A428C3">
        <w:t>shapes. The collected data are compared with the predictions obtained from a multicomponent heterogeneous diffusion model proposed by Hu</w:t>
      </w:r>
      <w:r w:rsidR="00F81221">
        <w:t xml:space="preserve"> and </w:t>
      </w:r>
      <w:r w:rsidRPr="00A428C3">
        <w:t>Do (</w:t>
      </w:r>
      <w:r w:rsidRPr="00A428C3">
        <w:rPr>
          <w:i/>
          <w:iCs/>
        </w:rPr>
        <w:t>AIChE J</w:t>
      </w:r>
      <w:r w:rsidRPr="00A428C3">
        <w:t xml:space="preserve"> (1993) 39 1628) using single-component equilibrium</w:t>
      </w:r>
      <w:r w:rsidR="00F81221">
        <w:t xml:space="preserve"> and </w:t>
      </w:r>
      <w:r w:rsidRPr="00A428C3">
        <w:t>mass transfer parameters.</w:t>
      </w:r>
    </w:p>
    <w:p w:rsidR="00B95188" w:rsidRPr="00A428C3" w:rsidRDefault="00B95188" w:rsidP="00B95188">
      <w:pPr>
        <w:pStyle w:val="a0"/>
      </w:pPr>
      <w:r w:rsidRPr="00A428C3">
        <w:t>Keywords: Activated Carbon, Adsorption Kinetics, Energy Distribution, Micropore</w:t>
      </w:r>
      <w:r w:rsidR="00F81221">
        <w:t xml:space="preserve"> and </w:t>
      </w:r>
      <w:r w:rsidRPr="00A428C3">
        <w:t>Surface Diffusion, Multicomponent</w:t>
      </w:r>
    </w:p>
    <w:p w:rsidR="00CF3A97" w:rsidRPr="00A428C3" w:rsidRDefault="00CF3A97" w:rsidP="00CF3A97">
      <w:pPr>
        <w:pStyle w:val="1"/>
      </w:pPr>
      <w:r w:rsidRPr="00A428C3">
        <w:br w:type="page"/>
      </w:r>
      <w:bookmarkStart w:id="233" w:name="_Toc234322665"/>
      <w:bookmarkStart w:id="234" w:name="_Toc317160896"/>
      <w:r w:rsidRPr="00A428C3">
        <w:lastRenderedPageBreak/>
        <w:t xml:space="preserve">Title: </w:t>
      </w:r>
      <w:r w:rsidRPr="007F0A70">
        <w:rPr>
          <w:szCs w:val="24"/>
        </w:rPr>
        <w:t>Gastroenterologia y Hepatologia</w:t>
      </w:r>
      <w:bookmarkEnd w:id="233"/>
      <w:bookmarkEnd w:id="234"/>
    </w:p>
    <w:p w:rsidR="00CF3A97" w:rsidRDefault="00CF3A97" w:rsidP="00B72EF9">
      <w:pPr>
        <w:pStyle w:val="12"/>
      </w:pPr>
      <w:r w:rsidRPr="00A428C3">
        <w:t xml:space="preserve">Full Journal Title: </w:t>
      </w:r>
      <w:r w:rsidRPr="007F0A70">
        <w:t>Gastroenterologia y Hepatologia</w:t>
      </w:r>
    </w:p>
    <w:p w:rsidR="00CF3A97" w:rsidRPr="00A428C3" w:rsidRDefault="00CF3A97" w:rsidP="00B72EF9">
      <w:pPr>
        <w:pStyle w:val="12"/>
      </w:pPr>
      <w:r w:rsidRPr="00A428C3">
        <w:t xml:space="preserve">ISO Abbreviated Title: </w:t>
      </w:r>
    </w:p>
    <w:p w:rsidR="00CF3A97" w:rsidRPr="00A428C3" w:rsidRDefault="00CF3A97" w:rsidP="00B72EF9">
      <w:pPr>
        <w:pStyle w:val="12"/>
      </w:pPr>
      <w:r w:rsidRPr="00A428C3">
        <w:t>JCR Abbreviated Title</w:t>
      </w:r>
      <w:r>
        <w:t>:</w:t>
      </w:r>
      <w:r w:rsidRPr="00A428C3">
        <w:t xml:space="preserve"> </w:t>
      </w:r>
    </w:p>
    <w:p w:rsidR="00CF3A97" w:rsidRPr="00A428C3" w:rsidRDefault="00CF3A97" w:rsidP="00B72EF9">
      <w:pPr>
        <w:pStyle w:val="12"/>
      </w:pPr>
      <w:r w:rsidRPr="00A428C3">
        <w:t xml:space="preserve">ISSN: </w:t>
      </w:r>
    </w:p>
    <w:p w:rsidR="00CF3A97" w:rsidRPr="00A428C3" w:rsidRDefault="00CF3A97" w:rsidP="00B72EF9">
      <w:pPr>
        <w:pStyle w:val="12"/>
      </w:pPr>
      <w:r w:rsidRPr="00A428C3">
        <w:t xml:space="preserve">Issues/Year: </w:t>
      </w:r>
    </w:p>
    <w:p w:rsidR="00CF3A97" w:rsidRPr="00A428C3" w:rsidRDefault="00FB5623" w:rsidP="00B72EF9">
      <w:pPr>
        <w:pStyle w:val="12"/>
      </w:pPr>
      <w:r>
        <w:t>Journal Country/Territory:</w:t>
      </w:r>
      <w:r w:rsidR="00CF3A97">
        <w:t xml:space="preserve"> </w:t>
      </w:r>
    </w:p>
    <w:p w:rsidR="00CF3A97" w:rsidRPr="00A428C3" w:rsidRDefault="00CF3A97" w:rsidP="00B72EF9">
      <w:pPr>
        <w:pStyle w:val="12"/>
      </w:pPr>
      <w:r w:rsidRPr="00A428C3">
        <w:t xml:space="preserve">Language: </w:t>
      </w:r>
    </w:p>
    <w:p w:rsidR="00CF3A97" w:rsidRPr="00A428C3" w:rsidRDefault="00CF3A97" w:rsidP="00B72EF9">
      <w:pPr>
        <w:pStyle w:val="12"/>
      </w:pPr>
      <w:r w:rsidRPr="00A428C3">
        <w:t xml:space="preserve">Publisher: </w:t>
      </w:r>
    </w:p>
    <w:p w:rsidR="00CF3A97" w:rsidRPr="00A428C3" w:rsidRDefault="00CF3A97" w:rsidP="00B72EF9">
      <w:pPr>
        <w:pStyle w:val="12"/>
      </w:pPr>
      <w:r w:rsidRPr="00A428C3">
        <w:t xml:space="preserve">Publisher Address: </w:t>
      </w:r>
    </w:p>
    <w:p w:rsidR="00CF3A97" w:rsidRPr="00A428C3" w:rsidRDefault="00CF3A97" w:rsidP="00B72EF9">
      <w:pPr>
        <w:pStyle w:val="12"/>
      </w:pPr>
      <w:r w:rsidRPr="00A428C3">
        <w:t>Subject Categories:</w:t>
      </w:r>
    </w:p>
    <w:p w:rsidR="00CF3A97" w:rsidRPr="00A428C3" w:rsidRDefault="00CF3A97" w:rsidP="00B72EF9">
      <w:pPr>
        <w:pStyle w:val="12"/>
      </w:pPr>
      <w:r w:rsidRPr="00A428C3">
        <w:t xml:space="preserve">: Impact Factor </w:t>
      </w:r>
    </w:p>
    <w:p w:rsidR="00CF3A97" w:rsidRDefault="00CF3A97" w:rsidP="00CF3A97">
      <w:pPr>
        <w:pStyle w:val="a0"/>
        <w:rPr>
          <w:kern w:val="0"/>
          <w:szCs w:val="24"/>
        </w:rPr>
      </w:pPr>
      <w:r>
        <w:rPr>
          <w:rFonts w:hint="eastAsia"/>
          <w:kern w:val="0"/>
          <w:szCs w:val="24"/>
        </w:rPr>
        <w:t xml:space="preserve">? </w:t>
      </w:r>
      <w:r>
        <w:rPr>
          <w:kern w:val="0"/>
          <w:szCs w:val="24"/>
        </w:rPr>
        <w:t>Gisbert, J.P.</w:t>
      </w:r>
      <w:r w:rsidR="00F81221">
        <w:rPr>
          <w:kern w:val="0"/>
          <w:szCs w:val="24"/>
        </w:rPr>
        <w:t xml:space="preserve"> and </w:t>
      </w:r>
      <w:r>
        <w:rPr>
          <w:kern w:val="0"/>
          <w:szCs w:val="24"/>
        </w:rPr>
        <w:t>Panes, J. (2009), Scientific publication, bibliometric indicators,</w:t>
      </w:r>
      <w:r w:rsidR="00F81221">
        <w:rPr>
          <w:kern w:val="0"/>
          <w:szCs w:val="24"/>
        </w:rPr>
        <w:t xml:space="preserve"> and </w:t>
      </w:r>
      <w:r>
        <w:rPr>
          <w:kern w:val="0"/>
          <w:szCs w:val="24"/>
        </w:rPr>
        <w:t>Hirsch</w:t>
      </w:r>
      <w:r w:rsidR="000352E7">
        <w:rPr>
          <w:kern w:val="0"/>
          <w:szCs w:val="24"/>
        </w:rPr>
        <w:t>’</w:t>
      </w:r>
      <w:r>
        <w:rPr>
          <w:kern w:val="0"/>
          <w:szCs w:val="24"/>
        </w:rPr>
        <w:t xml:space="preserve">s h-index. </w:t>
      </w:r>
      <w:r w:rsidRPr="007F0A70">
        <w:rPr>
          <w:i/>
          <w:iCs/>
          <w:kern w:val="0"/>
          <w:szCs w:val="24"/>
        </w:rPr>
        <w:t>Gastroenterologia y Hepatologia</w:t>
      </w:r>
      <w:r>
        <w:rPr>
          <w:kern w:val="0"/>
          <w:szCs w:val="24"/>
        </w:rPr>
        <w:t xml:space="preserve">, </w:t>
      </w:r>
      <w:r>
        <w:rPr>
          <w:b/>
          <w:bCs/>
          <w:kern w:val="0"/>
          <w:szCs w:val="24"/>
        </w:rPr>
        <w:t>32</w:t>
      </w:r>
      <w:r>
        <w:rPr>
          <w:kern w:val="0"/>
          <w:szCs w:val="24"/>
        </w:rPr>
        <w:t xml:space="preserve"> (3), 140-149</w:t>
      </w:r>
      <w:r>
        <w:rPr>
          <w:rFonts w:hint="eastAsia"/>
          <w:kern w:val="0"/>
          <w:szCs w:val="24"/>
        </w:rPr>
        <w:t>.</w:t>
      </w:r>
    </w:p>
    <w:p w:rsidR="00CF3A97" w:rsidRDefault="00CF3A97" w:rsidP="00CF3A97">
      <w:pPr>
        <w:pStyle w:val="a0"/>
        <w:rPr>
          <w:kern w:val="0"/>
          <w:szCs w:val="24"/>
        </w:rPr>
      </w:pPr>
      <w:r>
        <w:rPr>
          <w:kern w:val="0"/>
          <w:szCs w:val="24"/>
        </w:rPr>
        <w:t>Keywords: Authorship, Bad, Bibliometric, Bibliometric Indicators, h Index, h-Index, Impact Factor, Indicators, Mar, Medical Journals, Numbers, Perish, Publication, Publish, Ranking, Researchers, Time</w:t>
      </w:r>
    </w:p>
    <w:p w:rsidR="006B0E85" w:rsidRDefault="006B0E85" w:rsidP="006B0E85">
      <w:pPr>
        <w:pStyle w:val="a0"/>
        <w:rPr>
          <w:kern w:val="0"/>
          <w:szCs w:val="24"/>
        </w:rPr>
      </w:pPr>
      <w:r>
        <w:rPr>
          <w:rFonts w:hint="eastAsia"/>
          <w:kern w:val="0"/>
          <w:szCs w:val="24"/>
        </w:rPr>
        <w:t xml:space="preserve">? </w:t>
      </w:r>
      <w:r>
        <w:rPr>
          <w:kern w:val="0"/>
          <w:szCs w:val="24"/>
        </w:rPr>
        <w:t>Alcaide, G.G., Rincon, J.M.R.</w:t>
      </w:r>
      <w:r w:rsidR="00F81221">
        <w:rPr>
          <w:kern w:val="0"/>
          <w:szCs w:val="24"/>
        </w:rPr>
        <w:t xml:space="preserve"> and </w:t>
      </w:r>
      <w:r>
        <w:rPr>
          <w:kern w:val="0"/>
          <w:szCs w:val="24"/>
        </w:rPr>
        <w:t>Gisbert, J.P. (2010), Scientific collaboration</w:t>
      </w:r>
      <w:r w:rsidR="00F81221">
        <w:rPr>
          <w:kern w:val="0"/>
          <w:szCs w:val="24"/>
        </w:rPr>
        <w:t xml:space="preserve"> and </w:t>
      </w:r>
      <w:r>
        <w:rPr>
          <w:kern w:val="0"/>
          <w:szCs w:val="24"/>
        </w:rPr>
        <w:t xml:space="preserve">research areas in </w:t>
      </w:r>
      <w:r w:rsidRPr="00B86929">
        <w:rPr>
          <w:i/>
          <w:kern w:val="0"/>
          <w:szCs w:val="24"/>
        </w:rPr>
        <w:t>Gastroenterologia y Hepatologia</w:t>
      </w:r>
      <w:r w:rsidR="00F81221">
        <w:rPr>
          <w:i/>
          <w:kern w:val="0"/>
          <w:szCs w:val="24"/>
        </w:rPr>
        <w:t xml:space="preserve"> and </w:t>
      </w:r>
      <w:r w:rsidRPr="00B86929">
        <w:rPr>
          <w:i/>
          <w:kern w:val="0"/>
          <w:szCs w:val="24"/>
        </w:rPr>
        <w:t>Revista Espanola de Enfermedades Digestivas</w:t>
      </w:r>
      <w:r>
        <w:rPr>
          <w:kern w:val="0"/>
          <w:szCs w:val="24"/>
        </w:rPr>
        <w:t xml:space="preserve"> (2000-2009). </w:t>
      </w:r>
      <w:r>
        <w:rPr>
          <w:i/>
          <w:iCs/>
          <w:kern w:val="0"/>
          <w:szCs w:val="24"/>
        </w:rPr>
        <w:t>Gastroenterologia y Hepatologia</w:t>
      </w:r>
      <w:r>
        <w:rPr>
          <w:kern w:val="0"/>
          <w:szCs w:val="24"/>
        </w:rPr>
        <w:t xml:space="preserve">, </w:t>
      </w:r>
      <w:r>
        <w:rPr>
          <w:b/>
          <w:bCs/>
          <w:kern w:val="0"/>
          <w:szCs w:val="24"/>
        </w:rPr>
        <w:t>33</w:t>
      </w:r>
      <w:r>
        <w:rPr>
          <w:kern w:val="0"/>
          <w:szCs w:val="24"/>
        </w:rPr>
        <w:t xml:space="preserve"> (9), 670-680</w:t>
      </w:r>
      <w:r>
        <w:rPr>
          <w:rFonts w:hint="eastAsia"/>
          <w:kern w:val="0"/>
          <w:szCs w:val="24"/>
        </w:rPr>
        <w:t>.</w:t>
      </w:r>
    </w:p>
    <w:p w:rsidR="006B0E85" w:rsidRDefault="006B0E85" w:rsidP="006B0E85">
      <w:pPr>
        <w:pStyle w:val="a0"/>
        <w:rPr>
          <w:kern w:val="0"/>
          <w:szCs w:val="24"/>
        </w:rPr>
      </w:pPr>
      <w:r>
        <w:rPr>
          <w:rFonts w:hint="eastAsia"/>
          <w:kern w:val="0"/>
          <w:szCs w:val="24"/>
        </w:rPr>
        <w:t>Full Text: 2010\</w:t>
      </w:r>
      <w:r>
        <w:rPr>
          <w:iCs/>
          <w:kern w:val="0"/>
          <w:szCs w:val="24"/>
        </w:rPr>
        <w:t>G</w:t>
      </w:r>
      <w:r>
        <w:rPr>
          <w:rFonts w:hint="eastAsia"/>
          <w:iCs/>
          <w:kern w:val="0"/>
          <w:szCs w:val="24"/>
        </w:rPr>
        <w:t>as</w:t>
      </w:r>
      <w:r>
        <w:rPr>
          <w:iCs/>
          <w:kern w:val="0"/>
          <w:szCs w:val="24"/>
        </w:rPr>
        <w:t xml:space="preserve"> Hep</w:t>
      </w:r>
      <w:r w:rsidRPr="006B0E85">
        <w:rPr>
          <w:bCs/>
          <w:kern w:val="0"/>
          <w:szCs w:val="24"/>
        </w:rPr>
        <w:t>33</w:t>
      </w:r>
      <w:r>
        <w:rPr>
          <w:kern w:val="0"/>
          <w:szCs w:val="24"/>
        </w:rPr>
        <w:t>, 670</w:t>
      </w:r>
      <w:r>
        <w:rPr>
          <w:rFonts w:hint="eastAsia"/>
          <w:kern w:val="0"/>
          <w:szCs w:val="24"/>
        </w:rPr>
        <w:t>.pdf</w:t>
      </w:r>
    </w:p>
    <w:p w:rsidR="006B0E85" w:rsidRDefault="006B0E85" w:rsidP="006B0E85">
      <w:pPr>
        <w:pStyle w:val="a0"/>
        <w:rPr>
          <w:kern w:val="0"/>
          <w:szCs w:val="24"/>
        </w:rPr>
      </w:pPr>
      <w:r>
        <w:rPr>
          <w:kern w:val="0"/>
          <w:szCs w:val="24"/>
        </w:rPr>
        <w:t>Keywords: Bibliometric Analysis, Impact, Japan, Journals, Research, Scientific Collaboration</w:t>
      </w:r>
    </w:p>
    <w:p w:rsidR="00CF3A97" w:rsidRPr="00A428C3" w:rsidRDefault="00CF3A97" w:rsidP="00CF3A97">
      <w:pPr>
        <w:pStyle w:val="1"/>
      </w:pPr>
      <w:r w:rsidRPr="00A428C3">
        <w:br w:type="page"/>
      </w:r>
      <w:bookmarkStart w:id="235" w:name="_Toc234322666"/>
      <w:bookmarkStart w:id="236" w:name="_Toc317160897"/>
      <w:r w:rsidRPr="00A428C3">
        <w:lastRenderedPageBreak/>
        <w:t xml:space="preserve">Title: </w:t>
      </w:r>
      <w:r w:rsidRPr="003D0E4C">
        <w:t>Gastroenterologie Clinique et Biologique</w:t>
      </w:r>
      <w:bookmarkEnd w:id="235"/>
      <w:bookmarkEnd w:id="236"/>
    </w:p>
    <w:p w:rsidR="00CF3A97" w:rsidRPr="00A428C3" w:rsidRDefault="00CF3A97" w:rsidP="00B72EF9">
      <w:pPr>
        <w:pStyle w:val="12"/>
      </w:pPr>
      <w:r w:rsidRPr="00A428C3">
        <w:t xml:space="preserve">Full Journal Title: </w:t>
      </w:r>
      <w:hyperlink r:id="rId327" w:history="1">
        <w:r w:rsidRPr="003D0E4C">
          <w:rPr>
            <w:rStyle w:val="a5"/>
            <w:iCs/>
          </w:rPr>
          <w:t>Gastroenterologie Clinique et Biologique</w:t>
        </w:r>
      </w:hyperlink>
    </w:p>
    <w:p w:rsidR="00CF3A97" w:rsidRPr="00A428C3" w:rsidRDefault="00CF3A97" w:rsidP="00B72EF9">
      <w:pPr>
        <w:pStyle w:val="12"/>
      </w:pPr>
      <w:r w:rsidRPr="00A428C3">
        <w:t xml:space="preserve">ISO Abbreviated Title: </w:t>
      </w:r>
    </w:p>
    <w:p w:rsidR="00CF3A97" w:rsidRPr="00A428C3" w:rsidRDefault="00CF3A97" w:rsidP="00B72EF9">
      <w:pPr>
        <w:pStyle w:val="12"/>
      </w:pPr>
      <w:r w:rsidRPr="00A428C3">
        <w:t>JCR Abbreviated Title</w:t>
      </w:r>
      <w:r>
        <w:t>:</w:t>
      </w:r>
      <w:r w:rsidRPr="00A428C3">
        <w:t xml:space="preserve"> </w:t>
      </w:r>
    </w:p>
    <w:p w:rsidR="00CF3A97" w:rsidRPr="00A428C3" w:rsidRDefault="00CF3A97" w:rsidP="00B72EF9">
      <w:pPr>
        <w:pStyle w:val="12"/>
      </w:pPr>
      <w:r w:rsidRPr="00A428C3">
        <w:t xml:space="preserve">ISSN: </w:t>
      </w:r>
    </w:p>
    <w:p w:rsidR="00CF3A97" w:rsidRPr="00A428C3" w:rsidRDefault="00CF3A97" w:rsidP="00B72EF9">
      <w:pPr>
        <w:pStyle w:val="12"/>
      </w:pPr>
      <w:r w:rsidRPr="00A428C3">
        <w:t xml:space="preserve">Issues/Year: </w:t>
      </w:r>
    </w:p>
    <w:p w:rsidR="00CF3A97" w:rsidRPr="00A428C3" w:rsidRDefault="00FB5623" w:rsidP="00B72EF9">
      <w:pPr>
        <w:pStyle w:val="12"/>
      </w:pPr>
      <w:r>
        <w:t>Journal Country/Territory:</w:t>
      </w:r>
      <w:r w:rsidR="00CF3A97">
        <w:t xml:space="preserve"> </w:t>
      </w:r>
    </w:p>
    <w:p w:rsidR="00CF3A97" w:rsidRPr="00A428C3" w:rsidRDefault="00CF3A97" w:rsidP="00B72EF9">
      <w:pPr>
        <w:pStyle w:val="12"/>
      </w:pPr>
      <w:r w:rsidRPr="00A428C3">
        <w:t xml:space="preserve">Language: </w:t>
      </w:r>
    </w:p>
    <w:p w:rsidR="00CF3A97" w:rsidRPr="00A428C3" w:rsidRDefault="00CF3A97" w:rsidP="00B72EF9">
      <w:pPr>
        <w:pStyle w:val="12"/>
      </w:pPr>
      <w:r w:rsidRPr="00A428C3">
        <w:t xml:space="preserve">Publisher: </w:t>
      </w:r>
    </w:p>
    <w:p w:rsidR="00CF3A97" w:rsidRPr="00A428C3" w:rsidRDefault="00CF3A97" w:rsidP="00B72EF9">
      <w:pPr>
        <w:pStyle w:val="12"/>
      </w:pPr>
      <w:r w:rsidRPr="00A428C3">
        <w:t xml:space="preserve">Publisher Address: </w:t>
      </w:r>
    </w:p>
    <w:p w:rsidR="00CF3A97" w:rsidRPr="00A428C3" w:rsidRDefault="00CF3A97" w:rsidP="00B72EF9">
      <w:pPr>
        <w:pStyle w:val="12"/>
      </w:pPr>
      <w:r w:rsidRPr="00A428C3">
        <w:t>Subject Categories:</w:t>
      </w:r>
    </w:p>
    <w:p w:rsidR="00CF3A97" w:rsidRPr="00A428C3" w:rsidRDefault="00CF3A97" w:rsidP="00B72EF9">
      <w:pPr>
        <w:pStyle w:val="12"/>
      </w:pPr>
      <w:r w:rsidRPr="00A428C3">
        <w:t xml:space="preserve">: Impact Factor </w:t>
      </w:r>
    </w:p>
    <w:p w:rsidR="00CF3A97" w:rsidRPr="003862C4" w:rsidRDefault="00CF3A97" w:rsidP="00CF3A97">
      <w:pPr>
        <w:pStyle w:val="a0"/>
      </w:pPr>
      <w:r w:rsidRPr="008B2BB0">
        <w:t>? Zerbib, F., Tran, A.</w:t>
      </w:r>
      <w:r w:rsidR="00F81221">
        <w:t xml:space="preserve"> and </w:t>
      </w:r>
      <w:r w:rsidRPr="008B2BB0">
        <w:t>Cellier, C. (2005), Digestive tube</w:t>
      </w:r>
      <w:r w:rsidR="00F81221">
        <w:t xml:space="preserve"> and </w:t>
      </w:r>
      <w:r w:rsidRPr="008B2BB0">
        <w:t>pancreas - Clinical</w:t>
      </w:r>
      <w:r w:rsidR="00F81221">
        <w:t xml:space="preserve"> and </w:t>
      </w:r>
      <w:r w:rsidRPr="008B2BB0">
        <w:t xml:space="preserve">biological gastroenterology: Editorial statement 2004. </w:t>
      </w:r>
      <w:r w:rsidRPr="00CE7517">
        <w:rPr>
          <w:i/>
          <w:iCs/>
        </w:rPr>
        <w:t>Gastroenterologie Clinique et Biologique</w:t>
      </w:r>
      <w:r w:rsidRPr="008B2BB0">
        <w:t xml:space="preserve">, </w:t>
      </w:r>
      <w:r w:rsidRPr="00551655">
        <w:rPr>
          <w:b/>
          <w:bCs/>
        </w:rPr>
        <w:t>29</w:t>
      </w:r>
      <w:r w:rsidRPr="003862C4">
        <w:t xml:space="preserve"> (3), 229-230.</w:t>
      </w:r>
    </w:p>
    <w:p w:rsidR="00CF3A97" w:rsidRPr="003862C4" w:rsidRDefault="00CF3A97" w:rsidP="00CF3A97">
      <w:pPr>
        <w:pStyle w:val="a0"/>
      </w:pPr>
      <w:r w:rsidRPr="003862C4">
        <w:rPr>
          <w:rFonts w:hint="eastAsia"/>
        </w:rPr>
        <w:t xml:space="preserve">Full Text: </w:t>
      </w:r>
      <w:r w:rsidRPr="003862C4">
        <w:t>Gas Cli Bio29, 229</w:t>
      </w:r>
      <w:r w:rsidRPr="003862C4">
        <w:rPr>
          <w:rFonts w:hint="eastAsia"/>
        </w:rPr>
        <w:t>.pdf</w:t>
      </w:r>
    </w:p>
    <w:p w:rsidR="00CF3A97" w:rsidRPr="003862C4" w:rsidRDefault="00CF3A97" w:rsidP="00CF3A97">
      <w:pPr>
        <w:pStyle w:val="a0"/>
      </w:pPr>
      <w:r w:rsidRPr="003862C4">
        <w:t>Keywords: Biological, Gastroenterology, Pancreas</w:t>
      </w:r>
    </w:p>
    <w:p w:rsidR="00B95188" w:rsidRPr="00A428C3" w:rsidRDefault="00CF3A97" w:rsidP="00CF3A97">
      <w:pPr>
        <w:pStyle w:val="1"/>
      </w:pPr>
      <w:r w:rsidRPr="00A428C3">
        <w:br w:type="page"/>
      </w:r>
      <w:bookmarkStart w:id="237" w:name="_Toc490687979"/>
      <w:bookmarkStart w:id="238" w:name="_Toc492807640"/>
      <w:bookmarkStart w:id="239" w:name="_Toc186647705"/>
      <w:bookmarkStart w:id="240" w:name="_Toc487190679"/>
      <w:bookmarkStart w:id="241" w:name="_Toc487882182"/>
      <w:bookmarkStart w:id="242" w:name="_Toc317160898"/>
      <w:r w:rsidR="00B95188" w:rsidRPr="00A428C3">
        <w:lastRenderedPageBreak/>
        <w:t>Title: Gastroenterology</w:t>
      </w:r>
      <w:bookmarkEnd w:id="237"/>
      <w:bookmarkEnd w:id="238"/>
      <w:bookmarkEnd w:id="239"/>
      <w:bookmarkEnd w:id="242"/>
    </w:p>
    <w:p w:rsidR="00B95188" w:rsidRPr="002479BF" w:rsidRDefault="00B95188" w:rsidP="00B72EF9">
      <w:pPr>
        <w:pStyle w:val="12"/>
      </w:pPr>
      <w:r w:rsidRPr="002479BF">
        <w:t xml:space="preserve">Full Journal Title: </w:t>
      </w:r>
      <w:hyperlink r:id="rId328" w:history="1">
        <w:r w:rsidRPr="006A2512">
          <w:rPr>
            <w:rStyle w:val="a5"/>
          </w:rPr>
          <w:t>Gastroenterology</w:t>
        </w:r>
      </w:hyperlink>
    </w:p>
    <w:p w:rsidR="00B95188" w:rsidRPr="002479BF" w:rsidRDefault="00B95188" w:rsidP="00B72EF9">
      <w:pPr>
        <w:pStyle w:val="12"/>
      </w:pPr>
      <w:r w:rsidRPr="002479BF">
        <w:t>ISO Abbreviated Title: Gastroenterology</w:t>
      </w:r>
    </w:p>
    <w:p w:rsidR="00B95188" w:rsidRPr="002479BF" w:rsidRDefault="00B95188" w:rsidP="00B72EF9">
      <w:pPr>
        <w:pStyle w:val="12"/>
      </w:pPr>
      <w:r w:rsidRPr="002479BF">
        <w:t>JCR Abbreviated Title: Gastroenterology</w:t>
      </w:r>
    </w:p>
    <w:p w:rsidR="00B95188" w:rsidRPr="002479BF" w:rsidRDefault="00B95188" w:rsidP="00B72EF9">
      <w:pPr>
        <w:pStyle w:val="12"/>
      </w:pPr>
      <w:r w:rsidRPr="002479BF">
        <w:t>ISSN: 0016-5085</w:t>
      </w:r>
    </w:p>
    <w:p w:rsidR="00B95188" w:rsidRPr="002479BF" w:rsidRDefault="00B95188" w:rsidP="00B72EF9">
      <w:pPr>
        <w:pStyle w:val="12"/>
      </w:pPr>
      <w:r w:rsidRPr="002479BF">
        <w:t>Issues/Year: 12</w:t>
      </w:r>
    </w:p>
    <w:p w:rsidR="00B95188" w:rsidRPr="002479BF" w:rsidRDefault="00B95188" w:rsidP="00B72EF9">
      <w:pPr>
        <w:pStyle w:val="12"/>
      </w:pPr>
      <w:r w:rsidRPr="002479BF">
        <w:t>Journal Country/Territory: United States</w:t>
      </w:r>
    </w:p>
    <w:p w:rsidR="00B95188" w:rsidRPr="002479BF" w:rsidRDefault="00B95188" w:rsidP="00B72EF9">
      <w:pPr>
        <w:pStyle w:val="12"/>
      </w:pPr>
      <w:r w:rsidRPr="002479BF">
        <w:t>Language: English</w:t>
      </w:r>
    </w:p>
    <w:p w:rsidR="00B95188" w:rsidRPr="002479BF" w:rsidRDefault="00B95188" w:rsidP="00B72EF9">
      <w:pPr>
        <w:pStyle w:val="12"/>
      </w:pPr>
      <w:r w:rsidRPr="002479BF">
        <w:t>Publisher: W B Saunders Co</w:t>
      </w:r>
    </w:p>
    <w:p w:rsidR="00B95188" w:rsidRPr="002479BF" w:rsidRDefault="00B95188" w:rsidP="00B72EF9">
      <w:pPr>
        <w:pStyle w:val="12"/>
      </w:pPr>
      <w:r w:rsidRPr="002479BF">
        <w:t>Publisher Address: Independence Square West Curtis Center, Ste 300, Philadelphia, PA 19106-339</w:t>
      </w:r>
    </w:p>
    <w:p w:rsidR="00B95188" w:rsidRPr="002479BF" w:rsidRDefault="00B95188" w:rsidP="00B72EF9">
      <w:pPr>
        <w:pStyle w:val="12"/>
      </w:pPr>
      <w:r w:rsidRPr="002479BF">
        <w:t>Subject Categories:</w:t>
      </w:r>
    </w:p>
    <w:p w:rsidR="00B95188" w:rsidRPr="002479BF" w:rsidRDefault="00B95188" w:rsidP="00B72EF9">
      <w:pPr>
        <w:pStyle w:val="12"/>
      </w:pPr>
      <w:r w:rsidRPr="002479BF">
        <w:t xml:space="preserve">Gastroenterology &amp; Hepatology: Impact Factor </w:t>
      </w:r>
    </w:p>
    <w:p w:rsidR="00B95188" w:rsidRPr="00A428C3" w:rsidRDefault="00B95188" w:rsidP="00B95188">
      <w:pPr>
        <w:pStyle w:val="a0"/>
      </w:pPr>
      <w:r w:rsidRPr="00A428C3">
        <w:t>? Terui, T., Kato, J., Takimoto, R., Hirayama, A.</w:t>
      </w:r>
      <w:r w:rsidR="00F81221">
        <w:t xml:space="preserve"> and </w:t>
      </w:r>
      <w:r w:rsidRPr="00A428C3">
        <w:t>Niitsu, Y. (1997), Activation of p53</w:t>
      </w:r>
      <w:r w:rsidR="00F81221">
        <w:t xml:space="preserve"> and </w:t>
      </w:r>
      <w:r w:rsidRPr="00A428C3">
        <w:t xml:space="preserve">induction of apoptosis in human gastric cancer cells by sodium butyrate. </w:t>
      </w:r>
      <w:r w:rsidRPr="00A428C3">
        <w:rPr>
          <w:i/>
        </w:rPr>
        <w:t>Gastroenterology</w:t>
      </w:r>
      <w:r w:rsidRPr="00A428C3">
        <w:t xml:space="preserve">, </w:t>
      </w:r>
      <w:r w:rsidRPr="00A428C3">
        <w:rPr>
          <w:b/>
        </w:rPr>
        <w:t>112</w:t>
      </w:r>
      <w:r w:rsidRPr="00A428C3">
        <w:t xml:space="preserve"> (4 SS), A667.</w:t>
      </w:r>
    </w:p>
    <w:p w:rsidR="006A2512" w:rsidRDefault="006A2512" w:rsidP="006A2512">
      <w:pPr>
        <w:pStyle w:val="a0"/>
        <w:rPr>
          <w:kern w:val="0"/>
          <w:szCs w:val="24"/>
        </w:rPr>
      </w:pPr>
      <w:r>
        <w:rPr>
          <w:rFonts w:hint="eastAsia"/>
          <w:kern w:val="0"/>
          <w:szCs w:val="24"/>
        </w:rPr>
        <w:t xml:space="preserve">Full Text: </w:t>
      </w:r>
      <w:r w:rsidR="00183B79">
        <w:rPr>
          <w:rFonts w:hint="eastAsia"/>
          <w:kern w:val="0"/>
          <w:szCs w:val="24"/>
        </w:rPr>
        <w:t>1997\</w:t>
      </w:r>
      <w:r w:rsidRPr="006A2512">
        <w:rPr>
          <w:iCs/>
          <w:kern w:val="0"/>
          <w:szCs w:val="24"/>
        </w:rPr>
        <w:t>Gastroenterology</w:t>
      </w:r>
      <w:r w:rsidRPr="006A2512">
        <w:rPr>
          <w:bCs/>
          <w:kern w:val="0"/>
          <w:szCs w:val="24"/>
        </w:rPr>
        <w:t>1</w:t>
      </w:r>
      <w:r>
        <w:rPr>
          <w:rFonts w:hint="eastAsia"/>
          <w:bCs/>
          <w:kern w:val="0"/>
          <w:szCs w:val="24"/>
        </w:rPr>
        <w:t>12</w:t>
      </w:r>
      <w:r>
        <w:rPr>
          <w:kern w:val="0"/>
          <w:szCs w:val="24"/>
        </w:rPr>
        <w:t xml:space="preserve">, </w:t>
      </w:r>
      <w:r>
        <w:rPr>
          <w:rFonts w:hint="eastAsia"/>
          <w:kern w:val="0"/>
          <w:szCs w:val="24"/>
        </w:rPr>
        <w:t>A667.pdf</w:t>
      </w:r>
    </w:p>
    <w:p w:rsidR="00183B79" w:rsidRDefault="00183B79" w:rsidP="00183B79">
      <w:pPr>
        <w:pStyle w:val="a0"/>
        <w:rPr>
          <w:kern w:val="0"/>
        </w:rPr>
      </w:pPr>
      <w:r>
        <w:rPr>
          <w:rFonts w:hint="eastAsia"/>
          <w:kern w:val="0"/>
        </w:rPr>
        <w:t xml:space="preserve">? </w:t>
      </w:r>
      <w:r>
        <w:rPr>
          <w:kern w:val="0"/>
        </w:rPr>
        <w:t>Corley, D.A., Kerlikowske, K., Verma, R.</w:t>
      </w:r>
      <w:r w:rsidR="00F81221">
        <w:rPr>
          <w:kern w:val="0"/>
        </w:rPr>
        <w:t xml:space="preserve"> and </w:t>
      </w:r>
      <w:r>
        <w:rPr>
          <w:kern w:val="0"/>
        </w:rPr>
        <w:t>Buffler, P. (2003), Protective association of aspirin/NSAIDs</w:t>
      </w:r>
      <w:r w:rsidR="00F81221">
        <w:rPr>
          <w:kern w:val="0"/>
        </w:rPr>
        <w:t xml:space="preserve"> and </w:t>
      </w:r>
      <w:r>
        <w:rPr>
          <w:kern w:val="0"/>
        </w:rPr>
        <w:t>esophageal cancer: A systematic review</w:t>
      </w:r>
      <w:r w:rsidR="00F81221">
        <w:rPr>
          <w:kern w:val="0"/>
        </w:rPr>
        <w:t xml:space="preserve"> and </w:t>
      </w:r>
      <w:r>
        <w:rPr>
          <w:kern w:val="0"/>
        </w:rPr>
        <w:t xml:space="preserve">meta-analysis. </w:t>
      </w:r>
      <w:r>
        <w:rPr>
          <w:i/>
          <w:iCs/>
          <w:kern w:val="0"/>
        </w:rPr>
        <w:t>Gastroenterology</w:t>
      </w:r>
      <w:r>
        <w:rPr>
          <w:kern w:val="0"/>
        </w:rPr>
        <w:t xml:space="preserve">, </w:t>
      </w:r>
      <w:r>
        <w:rPr>
          <w:b/>
          <w:bCs/>
          <w:kern w:val="0"/>
        </w:rPr>
        <w:t>124</w:t>
      </w:r>
      <w:r>
        <w:rPr>
          <w:kern w:val="0"/>
        </w:rPr>
        <w:t xml:space="preserve"> (1), 47-56.</w:t>
      </w:r>
    </w:p>
    <w:p w:rsidR="00183B79" w:rsidRDefault="00183B79" w:rsidP="00183B79">
      <w:pPr>
        <w:pStyle w:val="a0"/>
        <w:rPr>
          <w:kern w:val="0"/>
          <w:szCs w:val="24"/>
        </w:rPr>
      </w:pPr>
      <w:r>
        <w:rPr>
          <w:rFonts w:hint="eastAsia"/>
          <w:kern w:val="0"/>
          <w:szCs w:val="24"/>
        </w:rPr>
        <w:t xml:space="preserve">Full Text: </w:t>
      </w:r>
      <w:hyperlink r:id="rId329" w:history="1">
        <w:r w:rsidRPr="00183B79">
          <w:rPr>
            <w:rStyle w:val="a5"/>
            <w:kern w:val="0"/>
            <w:szCs w:val="24"/>
          </w:rPr>
          <w:t>2003\Gastroenterology124, 47.pdf</w:t>
        </w:r>
      </w:hyperlink>
    </w:p>
    <w:p w:rsidR="00183B79" w:rsidRDefault="00183B79" w:rsidP="00183B79">
      <w:pPr>
        <w:pStyle w:val="a0"/>
        <w:rPr>
          <w:kern w:val="0"/>
        </w:rPr>
      </w:pPr>
      <w:r>
        <w:rPr>
          <w:kern w:val="0"/>
        </w:rPr>
        <w:t>Abstract: Background &amp; Aims: Esophageal carcinomas have high fatality rates, making chemoprevention agents desirable. We performed a systematic review with meta-analysis of observational studies evaluating the association of aspirin/nonsteroidal anti-inflammatory drug (NSAID) use</w:t>
      </w:r>
      <w:r w:rsidR="00F81221">
        <w:rPr>
          <w:kern w:val="0"/>
        </w:rPr>
        <w:t xml:space="preserve"> and </w:t>
      </w:r>
      <w:r>
        <w:rPr>
          <w:kern w:val="0"/>
        </w:rPr>
        <w:t>esophageal cancer. Methods: We evaluated the MEDLINE, BIOSIS,</w:t>
      </w:r>
      <w:r w:rsidR="00F81221">
        <w:rPr>
          <w:kern w:val="0"/>
        </w:rPr>
        <w:t xml:space="preserve"> and </w:t>
      </w:r>
      <w:r>
        <w:rPr>
          <w:kern w:val="0"/>
        </w:rPr>
        <w:t>Web of Science electronic databases (1980-2001); manually reviewed the literature;</w:t>
      </w:r>
      <w:r w:rsidR="00F81221">
        <w:rPr>
          <w:kern w:val="0"/>
        </w:rPr>
        <w:t xml:space="preserve"> and </w:t>
      </w:r>
      <w:r>
        <w:rPr>
          <w:kern w:val="0"/>
        </w:rPr>
        <w:t>consulted with experts. Studies were included if they: (1) evaluated exposure to NSAIDS, aspirin, or both; (2) evaluated esophageal cancer;</w:t>
      </w:r>
      <w:r w:rsidR="00F81221">
        <w:rPr>
          <w:kern w:val="0"/>
        </w:rPr>
        <w:t xml:space="preserve"> and </w:t>
      </w:r>
      <w:r>
        <w:rPr>
          <w:kern w:val="0"/>
        </w:rPr>
        <w:t>(3) reported relative risks or odds ratios or provided data for their calculation. Data were independently abstracted by 2 investigators. The primary</w:t>
      </w:r>
      <w:r w:rsidR="00F81221">
        <w:rPr>
          <w:kern w:val="0"/>
        </w:rPr>
        <w:t xml:space="preserve"> and </w:t>
      </w:r>
      <w:r>
        <w:rPr>
          <w:kern w:val="0"/>
        </w:rPr>
        <w:t>sensitivity analyses used both fixed</w:t>
      </w:r>
      <w:r w:rsidR="00F81221">
        <w:rPr>
          <w:kern w:val="0"/>
        </w:rPr>
        <w:t xml:space="preserve"> and </w:t>
      </w:r>
      <w:r>
        <w:rPr>
          <w:kern w:val="0"/>
        </w:rPr>
        <w:t>random-effects models. Results: Nine studies (2 cohort, 7 case control) containing 1813 cancer cases were identified. All primary summary estimates were homogeneous. Statistical pooling showed a protective association between any use of aspirin/ NSAID</w:t>
      </w:r>
      <w:r w:rsidR="00F81221">
        <w:rPr>
          <w:kern w:val="0"/>
        </w:rPr>
        <w:t xml:space="preserve"> and </w:t>
      </w:r>
      <w:r>
        <w:rPr>
          <w:kern w:val="0"/>
        </w:rPr>
        <w:t>esophageal cancer (odds ratio [OR] = 0.57; 95% confidence interval [CI], 0.47-0.71). Both intermittent (OR = 0.82; CI, 0.67-0.99)</w:t>
      </w:r>
      <w:r w:rsidR="00F81221">
        <w:rPr>
          <w:kern w:val="0"/>
        </w:rPr>
        <w:t xml:space="preserve"> and </w:t>
      </w:r>
      <w:r>
        <w:rPr>
          <w:kern w:val="0"/>
        </w:rPr>
        <w:t xml:space="preserve">frequent medication use were protective (OR = 0.54; CI, 0.43-0.67), with greater protection </w:t>
      </w:r>
      <w:r>
        <w:rPr>
          <w:kern w:val="0"/>
        </w:rPr>
        <w:lastRenderedPageBreak/>
        <w:t>with more frequent use. Stratified by medication type, aspirin use was protective (OR = 0.5; CI, 0.38-0.66),</w:t>
      </w:r>
      <w:r w:rsidR="00F81221">
        <w:rPr>
          <w:kern w:val="0"/>
        </w:rPr>
        <w:t xml:space="preserve"> and </w:t>
      </w:r>
      <w:r>
        <w:rPr>
          <w:kern w:val="0"/>
        </w:rPr>
        <w:t>NSAIDs had a borderline protective association (OR = 0.75; CI, 0.54-1.0). Any use was protective against both esophageal adenocarcinoma (OR = 0.67; CI, 0.51-0.87)</w:t>
      </w:r>
      <w:r w:rsidR="00F81221">
        <w:rPr>
          <w:kern w:val="0"/>
        </w:rPr>
        <w:t xml:space="preserve"> and </w:t>
      </w:r>
      <w:r>
        <w:rPr>
          <w:kern w:val="0"/>
        </w:rPr>
        <w:t>squamous cell carcinoma (OR = 0.58; CI, 0.43-0.78). Conclusions: Pooled results support a protective association between aspirin</w:t>
      </w:r>
      <w:r w:rsidR="00F81221">
        <w:rPr>
          <w:kern w:val="0"/>
        </w:rPr>
        <w:t xml:space="preserve"> and </w:t>
      </w:r>
      <w:r>
        <w:rPr>
          <w:kern w:val="0"/>
        </w:rPr>
        <w:t>NSAIDs</w:t>
      </w:r>
      <w:r w:rsidR="00F81221">
        <w:rPr>
          <w:kern w:val="0"/>
        </w:rPr>
        <w:t xml:space="preserve"> and </w:t>
      </w:r>
      <w:r>
        <w:rPr>
          <w:kern w:val="0"/>
        </w:rPr>
        <w:t>esophageal cancer (of both histological types)</w:t>
      </w:r>
      <w:r w:rsidR="00F81221">
        <w:rPr>
          <w:kern w:val="0"/>
        </w:rPr>
        <w:t xml:space="preserve"> and </w:t>
      </w:r>
      <w:r>
        <w:rPr>
          <w:kern w:val="0"/>
        </w:rPr>
        <w:t>provide evidence for a dose effect. These findings support evaluating these agents in clinical trials of high-risk patients.</w:t>
      </w:r>
    </w:p>
    <w:p w:rsidR="00183B79" w:rsidRDefault="00183B79" w:rsidP="00183B79">
      <w:pPr>
        <w:pStyle w:val="a0"/>
        <w:rPr>
          <w:kern w:val="0"/>
        </w:rPr>
      </w:pPr>
      <w:r>
        <w:rPr>
          <w:kern w:val="0"/>
        </w:rPr>
        <w:t>Keywords: Barretts-Esophagus, Cancer, Carcinoma, Chemoprevention, Clinical Trials, Control, Controlled Clinical-Trials, Cyclooxygenase-2 Expression, Databases, Drug, Esophagogastric Junction, Familial Adenomatous Polyposis, Gastric Cardia, High-Risk Patients, Increasing Incidence, Literature, Medication, Medline, Meta-Analysis, Methods, Myocardial-Infarction, Nonsteroidal Antiinflammatory Drugs, Observational Studies, Primary, Ratio, Review, Science, Systematic, Systematic Review, United-States, Web of Science</w:t>
      </w:r>
    </w:p>
    <w:p w:rsidR="00B95188" w:rsidRPr="00A428C3" w:rsidRDefault="00B95188" w:rsidP="00B95188">
      <w:pPr>
        <w:pStyle w:val="a0"/>
      </w:pPr>
      <w:r w:rsidRPr="00A428C3">
        <w:t xml:space="preserve">? (2003), Novel coronavirus associated with SARS outbreak. </w:t>
      </w:r>
      <w:r w:rsidRPr="00A428C3">
        <w:rPr>
          <w:i/>
        </w:rPr>
        <w:t>Gastroenterology</w:t>
      </w:r>
      <w:r w:rsidRPr="00A428C3">
        <w:t xml:space="preserve">, </w:t>
      </w:r>
      <w:r w:rsidRPr="00A428C3">
        <w:rPr>
          <w:b/>
        </w:rPr>
        <w:t>124</w:t>
      </w:r>
      <w:r w:rsidRPr="00A428C3">
        <w:t xml:space="preserve"> (7), 1724-1725.</w:t>
      </w:r>
    </w:p>
    <w:p w:rsidR="006A2512" w:rsidRDefault="006A2512" w:rsidP="006A2512">
      <w:pPr>
        <w:pStyle w:val="a0"/>
        <w:rPr>
          <w:kern w:val="0"/>
          <w:szCs w:val="24"/>
        </w:rPr>
      </w:pPr>
      <w:r>
        <w:rPr>
          <w:rFonts w:hint="eastAsia"/>
          <w:kern w:val="0"/>
          <w:szCs w:val="24"/>
        </w:rPr>
        <w:t xml:space="preserve">Full Text: </w:t>
      </w:r>
      <w:hyperlink r:id="rId330" w:history="1">
        <w:r w:rsidR="00183B79" w:rsidRPr="00183B79">
          <w:rPr>
            <w:rStyle w:val="a5"/>
            <w:kern w:val="0"/>
            <w:szCs w:val="24"/>
          </w:rPr>
          <w:t>2003\Gastroenterology124, 1724.pdf</w:t>
        </w:r>
      </w:hyperlink>
    </w:p>
    <w:p w:rsidR="00FC1B87" w:rsidRDefault="00FC1B87" w:rsidP="00FC1B87">
      <w:pPr>
        <w:pStyle w:val="a0"/>
        <w:rPr>
          <w:kern w:val="0"/>
        </w:rPr>
      </w:pPr>
      <w:r>
        <w:rPr>
          <w:rFonts w:hint="eastAsia"/>
          <w:kern w:val="0"/>
        </w:rPr>
        <w:t xml:space="preserve">? </w:t>
      </w:r>
      <w:r>
        <w:rPr>
          <w:kern w:val="0"/>
        </w:rPr>
        <w:t>Song, F., Phesse, T.J., Clarke, A.R.</w:t>
      </w:r>
      <w:r w:rsidR="00F81221">
        <w:rPr>
          <w:kern w:val="0"/>
        </w:rPr>
        <w:t xml:space="preserve"> and </w:t>
      </w:r>
      <w:r>
        <w:rPr>
          <w:kern w:val="0"/>
        </w:rPr>
        <w:t xml:space="preserve">Watson, A.J. (2009), Cited 1 knockout mice have reduced growth of intestinal tumours. </w:t>
      </w:r>
      <w:r>
        <w:rPr>
          <w:i/>
          <w:iCs/>
          <w:kern w:val="0"/>
        </w:rPr>
        <w:t>Gastroenterology</w:t>
      </w:r>
      <w:r>
        <w:rPr>
          <w:kern w:val="0"/>
        </w:rPr>
        <w:t xml:space="preserve">, </w:t>
      </w:r>
      <w:r>
        <w:rPr>
          <w:b/>
          <w:bCs/>
          <w:kern w:val="0"/>
        </w:rPr>
        <w:t>136</w:t>
      </w:r>
      <w:r>
        <w:rPr>
          <w:kern w:val="0"/>
        </w:rPr>
        <w:t xml:space="preserve"> (5), A6</w:t>
      </w:r>
      <w:r>
        <w:rPr>
          <w:rFonts w:hint="eastAsia"/>
          <w:kern w:val="0"/>
        </w:rPr>
        <w:t>.</w:t>
      </w:r>
    </w:p>
    <w:p w:rsidR="00FC1B87" w:rsidRDefault="00FC1B87" w:rsidP="00FC1B87">
      <w:pPr>
        <w:pStyle w:val="a0"/>
        <w:rPr>
          <w:kern w:val="0"/>
          <w:szCs w:val="24"/>
        </w:rPr>
      </w:pPr>
      <w:r>
        <w:rPr>
          <w:rFonts w:hint="eastAsia"/>
          <w:kern w:val="0"/>
          <w:szCs w:val="24"/>
        </w:rPr>
        <w:t xml:space="preserve">Full Text: </w:t>
      </w:r>
      <w:hyperlink r:id="rId331" w:history="1">
        <w:r w:rsidRPr="000611D3">
          <w:rPr>
            <w:rStyle w:val="a5"/>
            <w:kern w:val="0"/>
            <w:szCs w:val="24"/>
          </w:rPr>
          <w:t>2009\Gastroenterology136, A6.pdf</w:t>
        </w:r>
      </w:hyperlink>
    </w:p>
    <w:p w:rsidR="006A2512" w:rsidRDefault="006A2512" w:rsidP="006A2512">
      <w:pPr>
        <w:pStyle w:val="a0"/>
        <w:rPr>
          <w:kern w:val="0"/>
          <w:szCs w:val="24"/>
        </w:rPr>
      </w:pPr>
      <w:r>
        <w:rPr>
          <w:rFonts w:hint="eastAsia"/>
          <w:kern w:val="0"/>
          <w:szCs w:val="24"/>
        </w:rPr>
        <w:t xml:space="preserve">? </w:t>
      </w:r>
      <w:r>
        <w:rPr>
          <w:kern w:val="0"/>
          <w:szCs w:val="24"/>
        </w:rPr>
        <w:t>Rahbari, N.N., Aigner, M., Thorlund, K., Mollberg, N., Motschall, E., Jensen, K., Diener, M.K., Buchler, M.W., Koch, M.</w:t>
      </w:r>
      <w:r w:rsidR="00F81221">
        <w:rPr>
          <w:kern w:val="0"/>
          <w:szCs w:val="24"/>
        </w:rPr>
        <w:t xml:space="preserve"> and </w:t>
      </w:r>
      <w:r>
        <w:rPr>
          <w:kern w:val="0"/>
          <w:szCs w:val="24"/>
        </w:rPr>
        <w:t xml:space="preserve">Weitz, J. (2010), Meta-analysis shows that detection of circulating tumor cells indicates poor prognosis in patients with colorectal cancer. </w:t>
      </w:r>
      <w:r>
        <w:rPr>
          <w:i/>
          <w:iCs/>
          <w:kern w:val="0"/>
          <w:szCs w:val="24"/>
        </w:rPr>
        <w:t>Gastroenterology</w:t>
      </w:r>
      <w:r>
        <w:rPr>
          <w:kern w:val="0"/>
          <w:szCs w:val="24"/>
        </w:rPr>
        <w:t xml:space="preserve">, </w:t>
      </w:r>
      <w:r>
        <w:rPr>
          <w:b/>
          <w:bCs/>
          <w:kern w:val="0"/>
          <w:szCs w:val="24"/>
        </w:rPr>
        <w:t>138</w:t>
      </w:r>
      <w:r>
        <w:rPr>
          <w:kern w:val="0"/>
          <w:szCs w:val="24"/>
        </w:rPr>
        <w:t xml:space="preserve"> (5), 1714-1U20.</w:t>
      </w:r>
    </w:p>
    <w:p w:rsidR="006A2512" w:rsidRDefault="006A2512" w:rsidP="006A2512">
      <w:pPr>
        <w:pStyle w:val="a0"/>
        <w:rPr>
          <w:kern w:val="0"/>
          <w:szCs w:val="24"/>
        </w:rPr>
      </w:pPr>
      <w:r>
        <w:rPr>
          <w:rFonts w:hint="eastAsia"/>
          <w:kern w:val="0"/>
          <w:szCs w:val="24"/>
        </w:rPr>
        <w:t xml:space="preserve">Full Text: </w:t>
      </w:r>
      <w:hyperlink r:id="rId332" w:history="1">
        <w:r w:rsidR="003A1B39" w:rsidRPr="003A1B39">
          <w:rPr>
            <w:rStyle w:val="a5"/>
            <w:kern w:val="0"/>
            <w:szCs w:val="24"/>
          </w:rPr>
          <w:t>2010\Gastroenterology138, 1714.pdf</w:t>
        </w:r>
      </w:hyperlink>
    </w:p>
    <w:p w:rsidR="006A2512" w:rsidRDefault="006A2512" w:rsidP="006A2512">
      <w:pPr>
        <w:pStyle w:val="a0"/>
        <w:rPr>
          <w:kern w:val="0"/>
          <w:szCs w:val="24"/>
        </w:rPr>
      </w:pPr>
      <w:r>
        <w:rPr>
          <w:kern w:val="0"/>
          <w:szCs w:val="24"/>
        </w:rPr>
        <w:t>Abstract: BACKGROUND &amp; AIMS: The prognostic significance of circulating (CTCs)</w:t>
      </w:r>
      <w:r w:rsidR="00F81221">
        <w:rPr>
          <w:kern w:val="0"/>
          <w:szCs w:val="24"/>
        </w:rPr>
        <w:t xml:space="preserve"> and </w:t>
      </w:r>
      <w:r>
        <w:rPr>
          <w:kern w:val="0"/>
          <w:szCs w:val="24"/>
        </w:rPr>
        <w:t>disseminated tumor cells in patients with colorectal cancer (CRC) is controversial. We performed a meta-analysis of available studies to assess whether the detection of tumor cells in the blood</w:t>
      </w:r>
      <w:r w:rsidR="00F81221">
        <w:rPr>
          <w:kern w:val="0"/>
          <w:szCs w:val="24"/>
        </w:rPr>
        <w:t xml:space="preserve"> and </w:t>
      </w:r>
      <w:r>
        <w:rPr>
          <w:kern w:val="0"/>
          <w:szCs w:val="24"/>
        </w:rPr>
        <w:t>bone marrow (BM) of patients diagnosed with primary CRC can be used as a prognostic factor. METHODS: We searched the Medline, Biosis, Science Citation Index,</w:t>
      </w:r>
      <w:r w:rsidR="00F81221">
        <w:rPr>
          <w:kern w:val="0"/>
          <w:szCs w:val="24"/>
        </w:rPr>
        <w:t xml:space="preserve"> and </w:t>
      </w:r>
      <w:r>
        <w:rPr>
          <w:kern w:val="0"/>
          <w:szCs w:val="24"/>
        </w:rPr>
        <w:t>Embase databases</w:t>
      </w:r>
      <w:r w:rsidR="00F81221">
        <w:rPr>
          <w:kern w:val="0"/>
          <w:szCs w:val="24"/>
        </w:rPr>
        <w:t xml:space="preserve"> and </w:t>
      </w:r>
      <w:r>
        <w:rPr>
          <w:kern w:val="0"/>
          <w:szCs w:val="24"/>
        </w:rPr>
        <w:t>reference lists of relevant articles (including review articles) for studies that assessed the prognostic relevance of tumor cell detection in the peripheral blood (PB), mesenteric/portal blood (MPB), or BM of patients with CRC. Meta-analyses were performed using a random effects model, with hazard ratio (HR)</w:t>
      </w:r>
      <w:r w:rsidR="00F81221">
        <w:rPr>
          <w:kern w:val="0"/>
          <w:szCs w:val="24"/>
        </w:rPr>
        <w:t xml:space="preserve"> and </w:t>
      </w:r>
      <w:r>
        <w:rPr>
          <w:kern w:val="0"/>
          <w:szCs w:val="24"/>
        </w:rPr>
        <w:t>95% confidence intervals (95% CIs) as effect measures. RESULTS: A total of 36 studies, including 3094 patients, were eligible for final analyses. Pooled analyses that combined all sampling sites (PB, MPB,</w:t>
      </w:r>
      <w:r w:rsidR="00F81221">
        <w:rPr>
          <w:kern w:val="0"/>
          <w:szCs w:val="24"/>
        </w:rPr>
        <w:t xml:space="preserve"> and </w:t>
      </w:r>
      <w:r>
        <w:rPr>
          <w:kern w:val="0"/>
          <w:szCs w:val="24"/>
        </w:rPr>
        <w:t xml:space="preserve">BM) associated the detection of tumor cells with poor </w:t>
      </w:r>
      <w:r>
        <w:rPr>
          <w:kern w:val="0"/>
          <w:szCs w:val="24"/>
        </w:rPr>
        <w:lastRenderedPageBreak/>
        <w:t>recurrence-free survival (RFS) (HR = 3.24 [95% CI: 2.06-5.101, n = 26, I-2 = 77%)</w:t>
      </w:r>
      <w:r w:rsidR="00F81221">
        <w:rPr>
          <w:kern w:val="0"/>
          <w:szCs w:val="24"/>
        </w:rPr>
        <w:t xml:space="preserve"> and </w:t>
      </w:r>
      <w:r>
        <w:rPr>
          <w:kern w:val="0"/>
          <w:szCs w:val="24"/>
        </w:rPr>
        <w:t>overall survival (OS) (2.28 [1.55-3.38], n = 21, I-2 = 66%). Stratification by sampling site showed that detection of tumor cells in the PB compartment was a statistically significant prognostic factor (RFS: 3.06 [1.74-5.38], n = 19, I-2 = 78%; OS: 2.70 [1.74-4.20], n = 16, I-2 = 59%) but not in the MPB (RFS: 4.12 [1.01-16.83], n = 8, 12 = 75%; OS: 4.80 [0.81-28.32], n = 5, I-2 = 82%) or in the BM (RFS: 2.17 [0.94-5.03], n = 4, I-2 = 78%; OS: 1.50 [0.52-4.32], n = 3, I-2 = 84%). CONCLUSION: Detection of CTCs in the PB indicates poor prognosis in patients with primary CRC.</w:t>
      </w:r>
    </w:p>
    <w:p w:rsidR="006A2512" w:rsidRDefault="006A2512" w:rsidP="006A2512">
      <w:pPr>
        <w:pStyle w:val="a0"/>
        <w:rPr>
          <w:kern w:val="0"/>
          <w:szCs w:val="24"/>
        </w:rPr>
      </w:pPr>
      <w:r>
        <w:rPr>
          <w:kern w:val="0"/>
          <w:szCs w:val="24"/>
        </w:rPr>
        <w:t>Keywords: Antigen Messenger-Rna, Articles, Bone-Marrow Micrometastases, Cancer, Circulating Tumor Cells, Citation, Colorectal Cancer, Cytokeratin-Positive Cells, Databases, Growth-Factor Receptor, Medline, Meta-Analysis, Minimal Residual Disease, Model, Multiple Molecular Markers, Pb, Peripheral Venous-Blood, Polymerase-Chain-Reaction, Primary, Prognosis, Reverse Transcription-PCR, Review, Sampling, Science, Science Citation Index, Solid Epithelial Tumors</w:t>
      </w:r>
    </w:p>
    <w:p w:rsidR="00183B79" w:rsidRDefault="00183B79" w:rsidP="00183B79">
      <w:pPr>
        <w:pStyle w:val="a0"/>
        <w:rPr>
          <w:kern w:val="0"/>
        </w:rPr>
      </w:pPr>
      <w:r>
        <w:rPr>
          <w:rFonts w:hint="eastAsia"/>
          <w:kern w:val="0"/>
        </w:rPr>
        <w:t xml:space="preserve">? </w:t>
      </w:r>
      <w:r>
        <w:rPr>
          <w:kern w:val="0"/>
        </w:rPr>
        <w:t>Arvaniti, V., D</w:t>
      </w:r>
      <w:r w:rsidR="000352E7">
        <w:rPr>
          <w:kern w:val="0"/>
        </w:rPr>
        <w:t>’</w:t>
      </w:r>
      <w:r>
        <w:rPr>
          <w:kern w:val="0"/>
        </w:rPr>
        <w:t>Amico, G., Fede, G., Manousou, P., Tsochatzis, E., Pleguezuelo, M.</w:t>
      </w:r>
      <w:r w:rsidR="00F81221">
        <w:rPr>
          <w:kern w:val="0"/>
        </w:rPr>
        <w:t xml:space="preserve"> and </w:t>
      </w:r>
      <w:r>
        <w:rPr>
          <w:kern w:val="0"/>
        </w:rPr>
        <w:t>Burroughs, A.K. (2010), Infections in patients with cirrhosis increase mortality four-fold</w:t>
      </w:r>
      <w:r w:rsidR="00F81221">
        <w:rPr>
          <w:kern w:val="0"/>
        </w:rPr>
        <w:t xml:space="preserve"> and </w:t>
      </w:r>
      <w:r>
        <w:rPr>
          <w:kern w:val="0"/>
        </w:rPr>
        <w:t xml:space="preserve">should be used in determining prognosis. </w:t>
      </w:r>
      <w:r>
        <w:rPr>
          <w:i/>
          <w:iCs/>
          <w:kern w:val="0"/>
        </w:rPr>
        <w:t>Gastroenterology</w:t>
      </w:r>
      <w:r>
        <w:rPr>
          <w:kern w:val="0"/>
        </w:rPr>
        <w:t xml:space="preserve">, </w:t>
      </w:r>
      <w:r>
        <w:rPr>
          <w:b/>
          <w:bCs/>
          <w:kern w:val="0"/>
        </w:rPr>
        <w:t>139</w:t>
      </w:r>
      <w:r>
        <w:rPr>
          <w:kern w:val="0"/>
        </w:rPr>
        <w:t xml:space="preserve"> (4), 1246-</w:t>
      </w:r>
      <w:r>
        <w:rPr>
          <w:rFonts w:hint="eastAsia"/>
          <w:kern w:val="0"/>
        </w:rPr>
        <w:t>1256</w:t>
      </w:r>
      <w:r>
        <w:rPr>
          <w:kern w:val="0"/>
        </w:rPr>
        <w:t>.</w:t>
      </w:r>
    </w:p>
    <w:p w:rsidR="00183B79" w:rsidRDefault="00183B79" w:rsidP="00183B79">
      <w:pPr>
        <w:pStyle w:val="a0"/>
        <w:rPr>
          <w:kern w:val="0"/>
        </w:rPr>
      </w:pPr>
      <w:r>
        <w:rPr>
          <w:rFonts w:hint="eastAsia"/>
          <w:kern w:val="0"/>
          <w:szCs w:val="24"/>
        </w:rPr>
        <w:t xml:space="preserve">Full Text: </w:t>
      </w:r>
      <w:hyperlink r:id="rId333" w:history="1">
        <w:r w:rsidRPr="00183B79">
          <w:rPr>
            <w:rStyle w:val="a5"/>
            <w:kern w:val="0"/>
            <w:szCs w:val="24"/>
          </w:rPr>
          <w:t>2010\Gastroenterology139, 1246.pdf</w:t>
        </w:r>
      </w:hyperlink>
    </w:p>
    <w:p w:rsidR="00183B79" w:rsidRDefault="00183B79" w:rsidP="00183B79">
      <w:pPr>
        <w:pStyle w:val="a0"/>
        <w:rPr>
          <w:kern w:val="0"/>
        </w:rPr>
      </w:pPr>
      <w:r>
        <w:rPr>
          <w:kern w:val="0"/>
        </w:rPr>
        <w:t>Abstract: BACKGROUND &amp; AIMS: A staged prognostic model of cirrhosis based on varices, ascites,</w:t>
      </w:r>
      <w:r w:rsidR="00F81221">
        <w:rPr>
          <w:kern w:val="0"/>
        </w:rPr>
        <w:t xml:space="preserve"> and </w:t>
      </w:r>
      <w:r>
        <w:rPr>
          <w:kern w:val="0"/>
        </w:rPr>
        <w:t>bleeding has been proposed. We analyzed data on infections in patients with cirrhosis to determine whether it is also a prognostic factor. METHODS: Studies were identified by MEDLINE, EMBASE, COCHRANE,</w:t>
      </w:r>
      <w:r w:rsidR="00F81221">
        <w:rPr>
          <w:kern w:val="0"/>
        </w:rPr>
        <w:t xml:space="preserve"> and </w:t>
      </w:r>
      <w:r>
        <w:rPr>
          <w:kern w:val="0"/>
        </w:rPr>
        <w:t>ISI Web of Science searches (1978-2009); search terms included sepsis, infection, mortality,</w:t>
      </w:r>
      <w:r w:rsidR="00F81221">
        <w:rPr>
          <w:kern w:val="0"/>
        </w:rPr>
        <w:t xml:space="preserve"> and </w:t>
      </w:r>
      <w:r>
        <w:rPr>
          <w:kern w:val="0"/>
        </w:rPr>
        <w:t>cirrhosis. Studies (n = 178) reporting more than 10 patients</w:t>
      </w:r>
      <w:r w:rsidR="00F81221">
        <w:rPr>
          <w:kern w:val="0"/>
        </w:rPr>
        <w:t xml:space="preserve"> and </w:t>
      </w:r>
      <w:r>
        <w:rPr>
          <w:kern w:val="0"/>
        </w:rPr>
        <w:t>mortality data were evaluated (225 cohorts, 11,987 patients). Mortality after 1, 3,</w:t>
      </w:r>
      <w:r w:rsidR="00F81221">
        <w:rPr>
          <w:kern w:val="0"/>
        </w:rPr>
        <w:t xml:space="preserve"> and </w:t>
      </w:r>
      <w:r>
        <w:rPr>
          <w:kern w:val="0"/>
        </w:rPr>
        <w:t>12 months was compared with severity, site, microbial cause of infection, etiology of cirrhosis,</w:t>
      </w:r>
      <w:r w:rsidR="00F81221">
        <w:rPr>
          <w:kern w:val="0"/>
        </w:rPr>
        <w:t xml:space="preserve"> and </w:t>
      </w:r>
      <w:r>
        <w:rPr>
          <w:kern w:val="0"/>
        </w:rPr>
        <w:t>publication year. Pooled odds ratio of death was compared for infected versus noninfected groups (18 cohorts, 2317 patients). RESULTS: Overall median mortality of infected patients was 38%: 30.3% at 1 month</w:t>
      </w:r>
      <w:r w:rsidR="00F81221">
        <w:rPr>
          <w:kern w:val="0"/>
        </w:rPr>
        <w:t xml:space="preserve"> and </w:t>
      </w:r>
      <w:r>
        <w:rPr>
          <w:kern w:val="0"/>
        </w:rPr>
        <w:t>63% at 12 months. Pooled odds ratio for death of infected versus noninfected patients was 3.75 (95% confidence interval, 2.12-4.23). In 101 studies that reported spontaneous bacterial peritonitis (7062 patients), the median mortality was 43.7%: 31.5% at 1 month</w:t>
      </w:r>
      <w:r w:rsidR="00F81221">
        <w:rPr>
          <w:kern w:val="0"/>
        </w:rPr>
        <w:t xml:space="preserve"> and </w:t>
      </w:r>
      <w:r>
        <w:rPr>
          <w:kern w:val="0"/>
        </w:rPr>
        <w:t>66.2% at 12 months. In 30 studies that reported bacteremia (1437 patients), the median mortality rate was 42.2%. Mortality before 2000 was 47.7%</w:t>
      </w:r>
      <w:r w:rsidR="00F81221">
        <w:rPr>
          <w:kern w:val="0"/>
        </w:rPr>
        <w:t xml:space="preserve"> and </w:t>
      </w:r>
      <w:r>
        <w:rPr>
          <w:kern w:val="0"/>
        </w:rPr>
        <w:t>after 2000 was 32.3% (P = .023); mortality was reduced only at 30 days after spontaneous bacterial peritonitis (49% vs 31.5%; P = .005). CONCLUSIONS: In patients with cirrhosis, infections increase mortality 4-fold; 30% of patients die within 1 month after infection</w:t>
      </w:r>
      <w:r w:rsidR="00F81221">
        <w:rPr>
          <w:kern w:val="0"/>
        </w:rPr>
        <w:t xml:space="preserve"> and </w:t>
      </w:r>
      <w:r>
        <w:rPr>
          <w:kern w:val="0"/>
        </w:rPr>
        <w:lastRenderedPageBreak/>
        <w:t>another 30% die by 1 year. Prospective studies with prolonged follow-up evaluation</w:t>
      </w:r>
      <w:r w:rsidR="00F81221">
        <w:rPr>
          <w:kern w:val="0"/>
        </w:rPr>
        <w:t xml:space="preserve"> and </w:t>
      </w:r>
      <w:r>
        <w:rPr>
          <w:kern w:val="0"/>
        </w:rPr>
        <w:t>to evaluate preventative strategies are needed.</w:t>
      </w:r>
    </w:p>
    <w:p w:rsidR="00183B79" w:rsidRDefault="00183B79" w:rsidP="00183B79">
      <w:pPr>
        <w:pStyle w:val="a0"/>
        <w:rPr>
          <w:kern w:val="0"/>
        </w:rPr>
      </w:pPr>
      <w:r>
        <w:rPr>
          <w:kern w:val="0"/>
        </w:rPr>
        <w:t>Keywords: Amoxicillin-Clavulanic Acid, Case-Fatality Rate, Chronic Liver Disease, Cirrhosis, Embase, Escherichia-Coli, Etiology, Evaluation, Follow-Up, Hospital-Acquired Infections, Infection, Intensive-Care-Unit, Isi, Medline, Model, Mortality, Negative Neutrocytic Ascites, Peritonitis, Prognosis, Prospective Studies, Publication, Ratio, Science, Sepsis, Septic Shock, Short-Term Prognosis, Spontaneous Bacterial Peritonitis, Stage Liver-Disease, Survival, Systematic Review, Web of Science</w:t>
      </w:r>
    </w:p>
    <w:p w:rsidR="001925B7" w:rsidRDefault="001925B7" w:rsidP="001925B7">
      <w:pPr>
        <w:pStyle w:val="a0"/>
        <w:rPr>
          <w:kern w:val="0"/>
        </w:rPr>
      </w:pPr>
      <w:r>
        <w:rPr>
          <w:rFonts w:hint="eastAsia"/>
          <w:kern w:val="0"/>
        </w:rPr>
        <w:t xml:space="preserve">? </w:t>
      </w:r>
      <w:r>
        <w:rPr>
          <w:kern w:val="0"/>
        </w:rPr>
        <w:t>Lebwohl, B., Narotsky, D.</w:t>
      </w:r>
      <w:r w:rsidR="00F81221">
        <w:rPr>
          <w:kern w:val="0"/>
        </w:rPr>
        <w:t xml:space="preserve"> and </w:t>
      </w:r>
      <w:r>
        <w:rPr>
          <w:kern w:val="0"/>
        </w:rPr>
        <w:t>Green, P.H. (2011), Temporal</w:t>
      </w:r>
      <w:r w:rsidR="00F81221">
        <w:rPr>
          <w:kern w:val="0"/>
        </w:rPr>
        <w:t xml:space="preserve"> and </w:t>
      </w:r>
      <w:r>
        <w:rPr>
          <w:kern w:val="0"/>
        </w:rPr>
        <w:t xml:space="preserve">geographic trends in celiac disease research: A bibliometric analysis. </w:t>
      </w:r>
      <w:r>
        <w:rPr>
          <w:i/>
          <w:iCs/>
          <w:kern w:val="0"/>
        </w:rPr>
        <w:t>Gastroenterology</w:t>
      </w:r>
      <w:r>
        <w:rPr>
          <w:kern w:val="0"/>
        </w:rPr>
        <w:t xml:space="preserve">, </w:t>
      </w:r>
      <w:r>
        <w:rPr>
          <w:b/>
          <w:bCs/>
          <w:kern w:val="0"/>
        </w:rPr>
        <w:t>140</w:t>
      </w:r>
      <w:r>
        <w:rPr>
          <w:kern w:val="0"/>
        </w:rPr>
        <w:t xml:space="preserve"> (5), S444</w:t>
      </w:r>
    </w:p>
    <w:p w:rsidR="003A1B39" w:rsidRDefault="001925B7" w:rsidP="001925B7">
      <w:pPr>
        <w:pStyle w:val="a0"/>
        <w:rPr>
          <w:kern w:val="0"/>
        </w:rPr>
      </w:pPr>
      <w:r>
        <w:rPr>
          <w:rFonts w:hint="eastAsia"/>
          <w:kern w:val="0"/>
          <w:szCs w:val="24"/>
        </w:rPr>
        <w:t xml:space="preserve">Full Text: </w:t>
      </w:r>
      <w:hyperlink r:id="rId334" w:history="1">
        <w:r w:rsidR="00183B79" w:rsidRPr="00183B79">
          <w:rPr>
            <w:rStyle w:val="a5"/>
            <w:kern w:val="0"/>
            <w:szCs w:val="24"/>
          </w:rPr>
          <w:t>2011\Gastroenterology140, S444.pdf</w:t>
        </w:r>
      </w:hyperlink>
    </w:p>
    <w:p w:rsidR="001925B7" w:rsidRDefault="001925B7" w:rsidP="001925B7">
      <w:pPr>
        <w:pStyle w:val="a0"/>
        <w:rPr>
          <w:kern w:val="0"/>
        </w:rPr>
      </w:pPr>
      <w:r>
        <w:rPr>
          <w:kern w:val="0"/>
        </w:rPr>
        <w:t>Keywords: Bibliometric</w:t>
      </w:r>
      <w:r>
        <w:rPr>
          <w:rFonts w:hint="eastAsia"/>
          <w:kern w:val="0"/>
        </w:rPr>
        <w:t xml:space="preserve">, </w:t>
      </w:r>
      <w:r>
        <w:rPr>
          <w:kern w:val="0"/>
        </w:rPr>
        <w:t>Research</w:t>
      </w:r>
    </w:p>
    <w:p w:rsidR="00102F21" w:rsidRPr="001A3D2B" w:rsidRDefault="00102F21" w:rsidP="00102F21">
      <w:pPr>
        <w:pStyle w:val="1"/>
      </w:pPr>
      <w:r w:rsidRPr="001A3D2B">
        <w:br w:type="page"/>
      </w:r>
      <w:bookmarkStart w:id="243" w:name="_Toc317160899"/>
      <w:r w:rsidRPr="001A3D2B">
        <w:lastRenderedPageBreak/>
        <w:t xml:space="preserve">Title: </w:t>
      </w:r>
      <w:r w:rsidRPr="00472E8E">
        <w:rPr>
          <w:iCs/>
        </w:rPr>
        <w:t>Gastrointestinal Endoscopy</w:t>
      </w:r>
      <w:bookmarkEnd w:id="243"/>
    </w:p>
    <w:p w:rsidR="00102F21" w:rsidRPr="001A3D2B" w:rsidRDefault="00102F21" w:rsidP="00102F21">
      <w:pPr>
        <w:pStyle w:val="12"/>
      </w:pPr>
      <w:r w:rsidRPr="001A3D2B">
        <w:t xml:space="preserve">Full Journal Title: </w:t>
      </w:r>
      <w:r w:rsidRPr="00472E8E">
        <w:rPr>
          <w:iCs/>
        </w:rPr>
        <w:t>Gastrointestinal Endoscopy</w:t>
      </w:r>
    </w:p>
    <w:p w:rsidR="00102F21" w:rsidRPr="001A3D2B" w:rsidRDefault="00102F21" w:rsidP="00102F21">
      <w:pPr>
        <w:pStyle w:val="12"/>
      </w:pPr>
      <w:r w:rsidRPr="001A3D2B">
        <w:t xml:space="preserve">ISO Abbreviated Title: </w:t>
      </w:r>
    </w:p>
    <w:p w:rsidR="00102F21" w:rsidRPr="001A3D2B" w:rsidRDefault="00102F21" w:rsidP="00102F21">
      <w:pPr>
        <w:pStyle w:val="12"/>
      </w:pPr>
      <w:r w:rsidRPr="001A3D2B">
        <w:t xml:space="preserve">JCR Abbreviated Title: </w:t>
      </w:r>
    </w:p>
    <w:p w:rsidR="00102F21" w:rsidRPr="001A3D2B" w:rsidRDefault="00102F21" w:rsidP="00102F21">
      <w:pPr>
        <w:pStyle w:val="12"/>
      </w:pPr>
      <w:r w:rsidRPr="001A3D2B">
        <w:t xml:space="preserve">ISSN: </w:t>
      </w:r>
    </w:p>
    <w:p w:rsidR="00102F21" w:rsidRPr="001A3D2B" w:rsidRDefault="00102F21" w:rsidP="00102F21">
      <w:pPr>
        <w:pStyle w:val="12"/>
      </w:pPr>
      <w:r w:rsidRPr="001A3D2B">
        <w:t xml:space="preserve">Issues/Year: </w:t>
      </w:r>
    </w:p>
    <w:p w:rsidR="00102F21" w:rsidRPr="001A3D2B" w:rsidRDefault="00102F21" w:rsidP="00102F21">
      <w:pPr>
        <w:pStyle w:val="12"/>
      </w:pPr>
      <w:r w:rsidRPr="001A3D2B">
        <w:t xml:space="preserve">Journal Country/Territory: </w:t>
      </w:r>
    </w:p>
    <w:p w:rsidR="00102F21" w:rsidRPr="001A3D2B" w:rsidRDefault="00102F21" w:rsidP="00102F21">
      <w:pPr>
        <w:pStyle w:val="12"/>
      </w:pPr>
      <w:r w:rsidRPr="001A3D2B">
        <w:t xml:space="preserve">Language: </w:t>
      </w:r>
    </w:p>
    <w:p w:rsidR="00102F21" w:rsidRPr="001A3D2B" w:rsidRDefault="00102F21" w:rsidP="00102F21">
      <w:pPr>
        <w:pStyle w:val="12"/>
      </w:pPr>
      <w:r w:rsidRPr="001A3D2B">
        <w:t xml:space="preserve">Publisher: </w:t>
      </w:r>
    </w:p>
    <w:p w:rsidR="00102F21" w:rsidRPr="001A3D2B" w:rsidRDefault="00102F21" w:rsidP="00102F21">
      <w:pPr>
        <w:pStyle w:val="12"/>
      </w:pPr>
      <w:r w:rsidRPr="001A3D2B">
        <w:t xml:space="preserve">Publisher Address: </w:t>
      </w:r>
    </w:p>
    <w:p w:rsidR="00102F21" w:rsidRPr="001A3D2B" w:rsidRDefault="00102F21" w:rsidP="00102F21">
      <w:pPr>
        <w:pStyle w:val="12"/>
      </w:pPr>
      <w:r w:rsidRPr="001A3D2B">
        <w:t>Subject Categories:</w:t>
      </w:r>
    </w:p>
    <w:p w:rsidR="00102F21" w:rsidRPr="001A3D2B" w:rsidRDefault="00102F21" w:rsidP="00102F21">
      <w:pPr>
        <w:pStyle w:val="12"/>
      </w:pPr>
      <w:r w:rsidRPr="001A3D2B">
        <w:t xml:space="preserve">: Impact Factor </w:t>
      </w:r>
    </w:p>
    <w:p w:rsidR="00102F21" w:rsidRDefault="00102F21" w:rsidP="00102F21">
      <w:pPr>
        <w:pStyle w:val="a0"/>
        <w:rPr>
          <w:kern w:val="0"/>
        </w:rPr>
      </w:pPr>
      <w:r>
        <w:rPr>
          <w:rFonts w:hint="eastAsia"/>
          <w:kern w:val="0"/>
        </w:rPr>
        <w:t xml:space="preserve">? </w:t>
      </w:r>
      <w:r>
        <w:rPr>
          <w:kern w:val="0"/>
        </w:rPr>
        <w:t>Jeurnink, S.M., Poley, J.W., Steyerberg, E.W., Kuipers, E.J.</w:t>
      </w:r>
      <w:r w:rsidR="00F81221">
        <w:rPr>
          <w:kern w:val="0"/>
        </w:rPr>
        <w:t xml:space="preserve"> and </w:t>
      </w:r>
      <w:r>
        <w:rPr>
          <w:kern w:val="0"/>
        </w:rPr>
        <w:t xml:space="preserve">Siersema, P.D. (2008), ERCP as an outpatient treatment: A review. </w:t>
      </w:r>
      <w:r w:rsidRPr="00472E8E">
        <w:rPr>
          <w:i/>
          <w:iCs/>
          <w:kern w:val="0"/>
        </w:rPr>
        <w:t>Gastrointestinal Endoscopy</w:t>
      </w:r>
      <w:r>
        <w:rPr>
          <w:kern w:val="0"/>
        </w:rPr>
        <w:t xml:space="preserve">, </w:t>
      </w:r>
      <w:r>
        <w:rPr>
          <w:b/>
          <w:bCs/>
          <w:kern w:val="0"/>
        </w:rPr>
        <w:t>68</w:t>
      </w:r>
      <w:r>
        <w:rPr>
          <w:kern w:val="0"/>
        </w:rPr>
        <w:t xml:space="preserve"> (1), 118-123.</w:t>
      </w:r>
    </w:p>
    <w:p w:rsidR="00102F21" w:rsidRDefault="00102F21" w:rsidP="00102F21">
      <w:pPr>
        <w:pStyle w:val="a0"/>
        <w:rPr>
          <w:kern w:val="0"/>
        </w:rPr>
      </w:pPr>
      <w:r>
        <w:rPr>
          <w:kern w:val="0"/>
        </w:rPr>
        <w:t>Abstract: Background: ERCP on an outpatient basis could be as safe as on an inpatient basis</w:t>
      </w:r>
      <w:r w:rsidR="00F81221">
        <w:rPr>
          <w:kern w:val="0"/>
        </w:rPr>
        <w:t xml:space="preserve"> and </w:t>
      </w:r>
      <w:r>
        <w:rPr>
          <w:kern w:val="0"/>
        </w:rPr>
        <w:t>may also reduce medical costs. Objective: To review the available literature to determine the safety of an ERCP performed on an outpatient basis. Design: A review of the published literature was performed by searching PUBMED, the Cochrane Library, EMBASE,</w:t>
      </w:r>
      <w:r w:rsidR="00F81221">
        <w:rPr>
          <w:kern w:val="0"/>
        </w:rPr>
        <w:t xml:space="preserve"> and </w:t>
      </w:r>
      <w:r>
        <w:rPr>
          <w:kern w:val="0"/>
        </w:rPr>
        <w:t>the Web of Science. Patients: Patients who were undergoing an ERCP. Interventions: An ERCP on an inpatient or outpatient basis. Main Outcome Measurements: Patient</w:t>
      </w:r>
      <w:r w:rsidR="00F81221">
        <w:rPr>
          <w:kern w:val="0"/>
        </w:rPr>
        <w:t xml:space="preserve"> and </w:t>
      </w:r>
      <w:r>
        <w:rPr>
          <w:kern w:val="0"/>
        </w:rPr>
        <w:t>treatment characteristics, complications,</w:t>
      </w:r>
      <w:r w:rsidR="00F81221">
        <w:rPr>
          <w:kern w:val="0"/>
        </w:rPr>
        <w:t xml:space="preserve"> and </w:t>
      </w:r>
      <w:r>
        <w:rPr>
          <w:kern w:val="0"/>
        </w:rPr>
        <w:t>prolonged hospital admissions</w:t>
      </w:r>
      <w:r w:rsidR="00F81221">
        <w:rPr>
          <w:kern w:val="0"/>
        </w:rPr>
        <w:t xml:space="preserve"> and </w:t>
      </w:r>
      <w:r>
        <w:rPr>
          <w:kern w:val="0"/>
        </w:rPr>
        <w:t>readmissions. Results: Eleven studies were included in this review, of which 5 were comparative studies, 5 were prospective studies,</w:t>
      </w:r>
      <w:r w:rsidR="00F81221">
        <w:rPr>
          <w:kern w:val="0"/>
        </w:rPr>
        <w:t xml:space="preserve"> and </w:t>
      </w:r>
      <w:r>
        <w:rPr>
          <w:kern w:val="0"/>
        </w:rPr>
        <w:t>1 was a retrospective study. In these series, a total of 2483 patients underwent an ERCP on an outpatient basis</w:t>
      </w:r>
      <w:r w:rsidR="00F81221">
        <w:rPr>
          <w:kern w:val="0"/>
        </w:rPr>
        <w:t xml:space="preserve"> and </w:t>
      </w:r>
      <w:r>
        <w:rPr>
          <w:kern w:val="0"/>
        </w:rPr>
        <w:t>2320 patients were admitted overnight after an ERCP Complications were seen in 184 of 2483 outpatients (7%), of which 72% of complications (107/149) presented within 2 to 6 hours, 10% (15/149) within 6 to 24 hours,</w:t>
      </w:r>
      <w:r w:rsidR="00F81221">
        <w:rPr>
          <w:kern w:val="0"/>
        </w:rPr>
        <w:t xml:space="preserve"> and </w:t>
      </w:r>
      <w:r>
        <w:rPr>
          <w:kern w:val="0"/>
        </w:rPr>
        <w:t>18% (27/149) more than 24 hours after the ERCP. Three percent of the inpatients (82/2320) developed a complication, of which 95% of complications (78/82) presented within 24 hours</w:t>
      </w:r>
      <w:r w:rsidR="00F81221">
        <w:rPr>
          <w:kern w:val="0"/>
        </w:rPr>
        <w:t xml:space="preserve"> and </w:t>
      </w:r>
      <w:r>
        <w:rPr>
          <w:kern w:val="0"/>
        </w:rPr>
        <w:t>5% (4/82) presented more than 24 hours after the ERCP. A prolonged hospital stay after an ERCP was indicated in 6% of the designated outpatients (148/2483), whereas 3% of outpatients (74/2149)</w:t>
      </w:r>
      <w:r w:rsidR="00F81221">
        <w:rPr>
          <w:kern w:val="0"/>
        </w:rPr>
        <w:t xml:space="preserve"> and </w:t>
      </w:r>
      <w:r>
        <w:rPr>
          <w:kern w:val="0"/>
        </w:rPr>
        <w:t>&lt; 1% of inpatients (4/2320) were readmitted after discharge. Limitations: Limited data available. Conclusions: This review shows that, with a selective policy, an ERCP on an outpatient basis seems as safe as when performed on an inpatient basis.</w:t>
      </w:r>
    </w:p>
    <w:p w:rsidR="00102F21" w:rsidRDefault="00102F21" w:rsidP="00102F21">
      <w:pPr>
        <w:pStyle w:val="a0"/>
        <w:rPr>
          <w:kern w:val="0"/>
        </w:rPr>
      </w:pPr>
      <w:r>
        <w:rPr>
          <w:kern w:val="0"/>
        </w:rPr>
        <w:lastRenderedPageBreak/>
        <w:t>Keywords: Acute-Pancreatitis of Choledocholithiasis of Cochrane of Complications of Costs of Embase of Endoscopic Retrograde Cholangiopancreatography of Hospital of Literature of Medical of Policy of Prospective Multicenter of Prospective Studies of Pubmed of Review of Risk-Factors of Safety of Science of Series of Sphincterotomy of Therapeutic ERCP of Treatment of Web of Science</w:t>
      </w:r>
    </w:p>
    <w:p w:rsidR="00CF74C4" w:rsidRPr="00A428C3" w:rsidRDefault="00CF74C4" w:rsidP="00CF74C4">
      <w:pPr>
        <w:pStyle w:val="1"/>
      </w:pPr>
      <w:r w:rsidRPr="00A428C3">
        <w:br w:type="page"/>
      </w:r>
      <w:bookmarkStart w:id="244" w:name="_Toc238862937"/>
      <w:bookmarkStart w:id="245" w:name="_Toc317160900"/>
      <w:r w:rsidRPr="00A428C3">
        <w:lastRenderedPageBreak/>
        <w:t xml:space="preserve">Title: </w:t>
      </w:r>
      <w:r w:rsidRPr="00004D55">
        <w:rPr>
          <w:szCs w:val="24"/>
        </w:rPr>
        <w:t>Gazette Medicale de France</w:t>
      </w:r>
      <w:bookmarkEnd w:id="244"/>
      <w:bookmarkEnd w:id="245"/>
    </w:p>
    <w:p w:rsidR="00CF74C4" w:rsidRPr="00A428C3" w:rsidRDefault="00CF74C4" w:rsidP="00B72EF9">
      <w:pPr>
        <w:pStyle w:val="12"/>
      </w:pPr>
      <w:r w:rsidRPr="00A428C3">
        <w:t xml:space="preserve">Full Journal Title: </w:t>
      </w:r>
      <w:r w:rsidRPr="001B476E">
        <w:t>Gazette Medicale de France</w:t>
      </w:r>
    </w:p>
    <w:p w:rsidR="00CF74C4" w:rsidRPr="00A428C3" w:rsidRDefault="00CF74C4" w:rsidP="00B72EF9">
      <w:pPr>
        <w:pStyle w:val="12"/>
      </w:pPr>
      <w:r w:rsidRPr="00A428C3">
        <w:t xml:space="preserve">ISO Abbreviated Title: </w:t>
      </w:r>
    </w:p>
    <w:p w:rsidR="00CF74C4" w:rsidRPr="00A428C3" w:rsidRDefault="00CF74C4" w:rsidP="00B72EF9">
      <w:pPr>
        <w:pStyle w:val="12"/>
      </w:pPr>
      <w:r w:rsidRPr="00A428C3">
        <w:t>JCR Abbreviated Title</w:t>
      </w:r>
      <w:r>
        <w:t>:</w:t>
      </w:r>
      <w:r w:rsidRPr="00A428C3">
        <w:t xml:space="preserve"> </w:t>
      </w:r>
    </w:p>
    <w:p w:rsidR="00CF74C4" w:rsidRPr="00A428C3" w:rsidRDefault="00CF74C4" w:rsidP="00B72EF9">
      <w:pPr>
        <w:pStyle w:val="12"/>
      </w:pPr>
      <w:r w:rsidRPr="00A428C3">
        <w:t xml:space="preserve">ISSN: </w:t>
      </w:r>
    </w:p>
    <w:p w:rsidR="00CF74C4" w:rsidRPr="00A428C3" w:rsidRDefault="00CF74C4" w:rsidP="00B72EF9">
      <w:pPr>
        <w:pStyle w:val="12"/>
      </w:pPr>
      <w:r w:rsidRPr="00A428C3">
        <w:t xml:space="preserve">Issues/Year: </w:t>
      </w:r>
    </w:p>
    <w:p w:rsidR="00CF74C4" w:rsidRPr="00A428C3" w:rsidRDefault="00FB5623" w:rsidP="00B72EF9">
      <w:pPr>
        <w:pStyle w:val="12"/>
      </w:pPr>
      <w:r>
        <w:t>Journal Country/Territory:</w:t>
      </w:r>
      <w:r w:rsidR="00CF74C4">
        <w:t xml:space="preserve"> </w:t>
      </w:r>
    </w:p>
    <w:p w:rsidR="00CF74C4" w:rsidRPr="00A428C3" w:rsidRDefault="00CF74C4" w:rsidP="00B72EF9">
      <w:pPr>
        <w:pStyle w:val="12"/>
      </w:pPr>
      <w:r w:rsidRPr="00A428C3">
        <w:t xml:space="preserve">Language: </w:t>
      </w:r>
    </w:p>
    <w:p w:rsidR="00CF74C4" w:rsidRPr="00A428C3" w:rsidRDefault="00CF74C4" w:rsidP="00B72EF9">
      <w:pPr>
        <w:pStyle w:val="12"/>
      </w:pPr>
      <w:r w:rsidRPr="00A428C3">
        <w:t xml:space="preserve">Publisher: </w:t>
      </w:r>
    </w:p>
    <w:p w:rsidR="00CF74C4" w:rsidRPr="00A428C3" w:rsidRDefault="00CF74C4" w:rsidP="00B72EF9">
      <w:pPr>
        <w:pStyle w:val="12"/>
      </w:pPr>
      <w:r w:rsidRPr="00A428C3">
        <w:t xml:space="preserve">Publisher Address: </w:t>
      </w:r>
    </w:p>
    <w:p w:rsidR="00CF74C4" w:rsidRPr="00A428C3" w:rsidRDefault="00CF74C4" w:rsidP="00B72EF9">
      <w:pPr>
        <w:pStyle w:val="12"/>
      </w:pPr>
      <w:r w:rsidRPr="00A428C3">
        <w:t>Subject Categories:</w:t>
      </w:r>
    </w:p>
    <w:p w:rsidR="00CF74C4" w:rsidRPr="00A428C3" w:rsidRDefault="00CF74C4" w:rsidP="00B72EF9">
      <w:pPr>
        <w:pStyle w:val="12"/>
      </w:pPr>
      <w:r w:rsidRPr="00A428C3">
        <w:t xml:space="preserve">: Impact Factor </w:t>
      </w:r>
    </w:p>
    <w:p w:rsidR="00CF74C4" w:rsidRPr="001B476E" w:rsidRDefault="00CF74C4" w:rsidP="00CF74C4">
      <w:pPr>
        <w:pStyle w:val="a0"/>
      </w:pPr>
      <w:r w:rsidRPr="001B476E">
        <w:rPr>
          <w:rFonts w:hint="eastAsia"/>
        </w:rPr>
        <w:t xml:space="preserve">? </w:t>
      </w:r>
      <w:r w:rsidRPr="001B476E">
        <w:t>Collier, H.R. (1974), New literature information systems in medicine</w:t>
      </w:r>
      <w:r w:rsidRPr="001B476E">
        <w:rPr>
          <w:rFonts w:hint="eastAsia"/>
        </w:rPr>
        <w:t>:</w:t>
      </w:r>
      <w:r w:rsidRPr="001B476E">
        <w:t xml:space="preserve"> Science Citation Index</w:t>
      </w:r>
      <w:r w:rsidR="00F81221">
        <w:t xml:space="preserve"> and </w:t>
      </w:r>
      <w:r w:rsidRPr="001B476E">
        <w:t xml:space="preserve">ASCA. </w:t>
      </w:r>
      <w:r w:rsidRPr="001B476E">
        <w:rPr>
          <w:i/>
          <w:iCs/>
        </w:rPr>
        <w:t>Gazette Medicale de France</w:t>
      </w:r>
      <w:r w:rsidRPr="001B476E">
        <w:t xml:space="preserve">, </w:t>
      </w:r>
      <w:r w:rsidRPr="001B476E">
        <w:rPr>
          <w:b/>
          <w:bCs/>
        </w:rPr>
        <w:t>81</w:t>
      </w:r>
      <w:r w:rsidRPr="001B476E">
        <w:t xml:space="preserve"> (18), 2313-</w:t>
      </w:r>
      <w:r w:rsidRPr="001B476E">
        <w:rPr>
          <w:rFonts w:hint="eastAsia"/>
        </w:rPr>
        <w:t>??.</w:t>
      </w:r>
    </w:p>
    <w:p w:rsidR="00CF74C4" w:rsidRPr="001B476E" w:rsidRDefault="00CF74C4" w:rsidP="00CF74C4">
      <w:pPr>
        <w:pStyle w:val="a0"/>
      </w:pPr>
      <w:r w:rsidRPr="001B476E">
        <w:t>Keywords: Citation</w:t>
      </w:r>
      <w:r w:rsidRPr="001B476E">
        <w:rPr>
          <w:rFonts w:hint="eastAsia"/>
        </w:rPr>
        <w:t xml:space="preserve">, </w:t>
      </w:r>
      <w:r w:rsidRPr="001B476E">
        <w:t>Science Citation Index</w:t>
      </w:r>
    </w:p>
    <w:p w:rsidR="00CF3A97" w:rsidRPr="00A428C3" w:rsidRDefault="00CF3A97" w:rsidP="00CF3A97">
      <w:pPr>
        <w:pStyle w:val="1"/>
      </w:pPr>
      <w:r w:rsidRPr="00A428C3">
        <w:br w:type="page"/>
      </w:r>
      <w:bookmarkStart w:id="246" w:name="_Toc234322668"/>
      <w:bookmarkStart w:id="247" w:name="_Toc317160901"/>
      <w:r w:rsidRPr="00A428C3">
        <w:lastRenderedPageBreak/>
        <w:t xml:space="preserve">Title: </w:t>
      </w:r>
      <w:r w:rsidRPr="000A74B4">
        <w:rPr>
          <w:szCs w:val="24"/>
        </w:rPr>
        <w:t>Geburtshilfe und Frauenheilkunde</w:t>
      </w:r>
      <w:bookmarkEnd w:id="246"/>
      <w:bookmarkEnd w:id="247"/>
    </w:p>
    <w:p w:rsidR="00CF3A97" w:rsidRPr="00A428C3" w:rsidRDefault="00CF3A97" w:rsidP="00B72EF9">
      <w:pPr>
        <w:pStyle w:val="12"/>
      </w:pPr>
      <w:r w:rsidRPr="00A428C3">
        <w:t xml:space="preserve">Full Journal Title: </w:t>
      </w:r>
      <w:hyperlink r:id="rId335" w:history="1">
        <w:r w:rsidRPr="00B84B03">
          <w:rPr>
            <w:rStyle w:val="a5"/>
          </w:rPr>
          <w:t>Geburtshilfe und Frauenheilkunde</w:t>
        </w:r>
      </w:hyperlink>
    </w:p>
    <w:p w:rsidR="00CF3A97" w:rsidRPr="00A428C3" w:rsidRDefault="00CF3A97" w:rsidP="00B72EF9">
      <w:pPr>
        <w:pStyle w:val="12"/>
      </w:pPr>
      <w:r w:rsidRPr="00A428C3">
        <w:t xml:space="preserve">ISO Abbreviated Title: </w:t>
      </w:r>
    </w:p>
    <w:p w:rsidR="00CF3A97" w:rsidRPr="00A428C3" w:rsidRDefault="00CF3A97" w:rsidP="00B72EF9">
      <w:pPr>
        <w:pStyle w:val="12"/>
      </w:pPr>
      <w:r w:rsidRPr="00A428C3">
        <w:t xml:space="preserve">JCR Abbreviated Title: </w:t>
      </w:r>
    </w:p>
    <w:p w:rsidR="00CF3A97" w:rsidRPr="00A428C3" w:rsidRDefault="00CF3A97" w:rsidP="00B72EF9">
      <w:pPr>
        <w:pStyle w:val="12"/>
      </w:pPr>
      <w:r w:rsidRPr="00A428C3">
        <w:t xml:space="preserve">ISSN: </w:t>
      </w:r>
    </w:p>
    <w:p w:rsidR="00CF3A97" w:rsidRPr="00A428C3" w:rsidRDefault="00CF3A97" w:rsidP="00B72EF9">
      <w:pPr>
        <w:pStyle w:val="12"/>
      </w:pPr>
      <w:r w:rsidRPr="00A428C3">
        <w:t xml:space="preserve">Issues/Year: </w:t>
      </w:r>
    </w:p>
    <w:p w:rsidR="00CF3A97" w:rsidRPr="00A428C3" w:rsidRDefault="00FB5623" w:rsidP="00B72EF9">
      <w:pPr>
        <w:pStyle w:val="12"/>
      </w:pPr>
      <w:r>
        <w:t>Journal Country/Territory:</w:t>
      </w:r>
      <w:r w:rsidR="00CF3A97">
        <w:t xml:space="preserve"> </w:t>
      </w:r>
    </w:p>
    <w:p w:rsidR="00CF3A97" w:rsidRPr="00A428C3" w:rsidRDefault="00CF3A97" w:rsidP="00B72EF9">
      <w:pPr>
        <w:pStyle w:val="12"/>
      </w:pPr>
      <w:r w:rsidRPr="00A428C3">
        <w:t xml:space="preserve">Language: </w:t>
      </w:r>
    </w:p>
    <w:p w:rsidR="00CF3A97" w:rsidRPr="00A428C3" w:rsidRDefault="00CF3A97" w:rsidP="00B72EF9">
      <w:pPr>
        <w:pStyle w:val="12"/>
      </w:pPr>
      <w:r w:rsidRPr="00A428C3">
        <w:t xml:space="preserve">Publisher: </w:t>
      </w:r>
    </w:p>
    <w:p w:rsidR="00CF3A97" w:rsidRPr="00A428C3" w:rsidRDefault="00CF3A97" w:rsidP="00B72EF9">
      <w:pPr>
        <w:pStyle w:val="12"/>
      </w:pPr>
      <w:r w:rsidRPr="00A428C3">
        <w:t xml:space="preserve">Publisher Address: </w:t>
      </w:r>
    </w:p>
    <w:p w:rsidR="00CF3A97" w:rsidRPr="00A428C3" w:rsidRDefault="00CF3A97" w:rsidP="00B72EF9">
      <w:pPr>
        <w:pStyle w:val="12"/>
      </w:pPr>
      <w:r w:rsidRPr="00A428C3">
        <w:t>Subject Categories:</w:t>
      </w:r>
    </w:p>
    <w:p w:rsidR="00CF3A97" w:rsidRPr="00A428C3" w:rsidRDefault="00CF3A97" w:rsidP="00B72EF9">
      <w:pPr>
        <w:pStyle w:val="12"/>
      </w:pPr>
      <w:r w:rsidRPr="00A428C3">
        <w:t xml:space="preserve">: Impact Factor </w:t>
      </w:r>
    </w:p>
    <w:p w:rsidR="00CF3A97" w:rsidRDefault="00CF3A97" w:rsidP="00CF3A97">
      <w:pPr>
        <w:pStyle w:val="a0"/>
        <w:rPr>
          <w:kern w:val="0"/>
          <w:szCs w:val="24"/>
        </w:rPr>
      </w:pPr>
      <w:r>
        <w:rPr>
          <w:rFonts w:hint="eastAsia"/>
          <w:kern w:val="0"/>
          <w:szCs w:val="24"/>
        </w:rPr>
        <w:t xml:space="preserve">? </w:t>
      </w:r>
      <w:r w:rsidRPr="00B84B03">
        <w:rPr>
          <w:kern w:val="0"/>
          <w:szCs w:val="24"/>
        </w:rPr>
        <w:t>Borkenhagen</w:t>
      </w:r>
      <w:r>
        <w:rPr>
          <w:rFonts w:hint="eastAsia"/>
          <w:kern w:val="0"/>
          <w:szCs w:val="24"/>
        </w:rPr>
        <w:t>,</w:t>
      </w:r>
      <w:r w:rsidRPr="00B84B03">
        <w:rPr>
          <w:kern w:val="0"/>
          <w:szCs w:val="24"/>
        </w:rPr>
        <w:t xml:space="preserve"> A</w:t>
      </w:r>
      <w:r>
        <w:rPr>
          <w:rFonts w:hint="eastAsia"/>
          <w:kern w:val="0"/>
          <w:szCs w:val="24"/>
        </w:rPr>
        <w:t>.</w:t>
      </w:r>
      <w:r w:rsidRPr="00B84B03">
        <w:rPr>
          <w:kern w:val="0"/>
          <w:szCs w:val="24"/>
        </w:rPr>
        <w:t>, Meister</w:t>
      </w:r>
      <w:r>
        <w:rPr>
          <w:rFonts w:hint="eastAsia"/>
          <w:kern w:val="0"/>
          <w:szCs w:val="24"/>
        </w:rPr>
        <w:t>,</w:t>
      </w:r>
      <w:r w:rsidRPr="00B84B03">
        <w:rPr>
          <w:kern w:val="0"/>
          <w:szCs w:val="24"/>
        </w:rPr>
        <w:t xml:space="preserve"> U</w:t>
      </w:r>
      <w:r>
        <w:rPr>
          <w:rFonts w:hint="eastAsia"/>
          <w:kern w:val="0"/>
          <w:szCs w:val="24"/>
        </w:rPr>
        <w:t>.</w:t>
      </w:r>
      <w:r w:rsidRPr="00B84B03">
        <w:rPr>
          <w:kern w:val="0"/>
          <w:szCs w:val="24"/>
        </w:rPr>
        <w:t>, Finck</w:t>
      </w:r>
      <w:r>
        <w:rPr>
          <w:rFonts w:hint="eastAsia"/>
          <w:kern w:val="0"/>
          <w:szCs w:val="24"/>
        </w:rPr>
        <w:t>,</w:t>
      </w:r>
      <w:r w:rsidRPr="00B84B03">
        <w:rPr>
          <w:kern w:val="0"/>
          <w:szCs w:val="24"/>
        </w:rPr>
        <w:t xml:space="preserve"> C</w:t>
      </w:r>
      <w:r>
        <w:rPr>
          <w:rFonts w:hint="eastAsia"/>
          <w:kern w:val="0"/>
          <w:szCs w:val="24"/>
        </w:rPr>
        <w:t>.</w:t>
      </w:r>
      <w:r w:rsidRPr="00B84B03">
        <w:rPr>
          <w:kern w:val="0"/>
          <w:szCs w:val="24"/>
        </w:rPr>
        <w:t>, Stobel-Richter</w:t>
      </w:r>
      <w:r>
        <w:rPr>
          <w:rFonts w:hint="eastAsia"/>
          <w:kern w:val="0"/>
          <w:szCs w:val="24"/>
        </w:rPr>
        <w:t>,</w:t>
      </w:r>
      <w:r w:rsidRPr="00B84B03">
        <w:rPr>
          <w:kern w:val="0"/>
          <w:szCs w:val="24"/>
        </w:rPr>
        <w:t xml:space="preserve"> Y</w:t>
      </w:r>
      <w:r>
        <w:rPr>
          <w:rFonts w:hint="eastAsia"/>
          <w:kern w:val="0"/>
          <w:szCs w:val="24"/>
        </w:rPr>
        <w:t>.</w:t>
      </w:r>
      <w:r w:rsidRPr="00B84B03">
        <w:rPr>
          <w:kern w:val="0"/>
          <w:szCs w:val="24"/>
        </w:rPr>
        <w:t>, Brahler</w:t>
      </w:r>
      <w:r>
        <w:rPr>
          <w:rFonts w:hint="eastAsia"/>
          <w:kern w:val="0"/>
          <w:szCs w:val="24"/>
        </w:rPr>
        <w:t>,</w:t>
      </w:r>
      <w:r w:rsidRPr="00B84B03">
        <w:rPr>
          <w:kern w:val="0"/>
          <w:szCs w:val="24"/>
        </w:rPr>
        <w:t xml:space="preserve"> E</w:t>
      </w:r>
      <w:r>
        <w:rPr>
          <w:rFonts w:hint="eastAsia"/>
          <w:kern w:val="0"/>
          <w:szCs w:val="24"/>
        </w:rPr>
        <w:t>.</w:t>
      </w:r>
      <w:r w:rsidR="00F81221">
        <w:rPr>
          <w:rFonts w:hint="eastAsia"/>
          <w:kern w:val="0"/>
          <w:szCs w:val="24"/>
        </w:rPr>
        <w:t xml:space="preserve"> and </w:t>
      </w:r>
      <w:r w:rsidRPr="00B84B03">
        <w:rPr>
          <w:kern w:val="0"/>
          <w:szCs w:val="24"/>
        </w:rPr>
        <w:t>Kentenich</w:t>
      </w:r>
      <w:r>
        <w:rPr>
          <w:rFonts w:hint="eastAsia"/>
          <w:kern w:val="0"/>
          <w:szCs w:val="24"/>
        </w:rPr>
        <w:t>,</w:t>
      </w:r>
      <w:r w:rsidRPr="00B84B03">
        <w:rPr>
          <w:kern w:val="0"/>
          <w:szCs w:val="24"/>
        </w:rPr>
        <w:t xml:space="preserve"> H</w:t>
      </w:r>
      <w:r>
        <w:rPr>
          <w:rFonts w:hint="eastAsia"/>
          <w:kern w:val="0"/>
          <w:szCs w:val="24"/>
        </w:rPr>
        <w:t>.</w:t>
      </w:r>
      <w:r>
        <w:rPr>
          <w:kern w:val="0"/>
          <w:szCs w:val="24"/>
        </w:rPr>
        <w:t xml:space="preserve"> (200</w:t>
      </w:r>
      <w:r>
        <w:rPr>
          <w:rFonts w:hint="eastAsia"/>
          <w:kern w:val="0"/>
          <w:szCs w:val="24"/>
        </w:rPr>
        <w:t>5</w:t>
      </w:r>
      <w:r>
        <w:rPr>
          <w:kern w:val="0"/>
          <w:szCs w:val="24"/>
        </w:rPr>
        <w:t xml:space="preserve">), </w:t>
      </w:r>
      <w:r w:rsidRPr="00B84B03">
        <w:rPr>
          <w:kern w:val="0"/>
          <w:szCs w:val="24"/>
        </w:rPr>
        <w:t>Attitudes, acceptability, concerns</w:t>
      </w:r>
      <w:r w:rsidR="00F81221">
        <w:rPr>
          <w:kern w:val="0"/>
          <w:szCs w:val="24"/>
        </w:rPr>
        <w:t xml:space="preserve"> and </w:t>
      </w:r>
      <w:r w:rsidRPr="00B84B03">
        <w:rPr>
          <w:kern w:val="0"/>
          <w:szCs w:val="24"/>
        </w:rPr>
        <w:t>expectations towards preimplantation diagnosis, embryo screening, social sexing by infertile couples</w:t>
      </w:r>
      <w:r w:rsidR="00F81221">
        <w:rPr>
          <w:kern w:val="0"/>
          <w:szCs w:val="24"/>
        </w:rPr>
        <w:t xml:space="preserve"> and </w:t>
      </w:r>
      <w:r w:rsidRPr="00B84B03">
        <w:rPr>
          <w:kern w:val="0"/>
          <w:szCs w:val="24"/>
        </w:rPr>
        <w:t>couples at risk</w:t>
      </w:r>
      <w:r>
        <w:rPr>
          <w:kern w:val="0"/>
          <w:szCs w:val="24"/>
        </w:rPr>
        <w:t xml:space="preserve">. </w:t>
      </w:r>
      <w:r w:rsidRPr="000A74B4">
        <w:rPr>
          <w:i/>
          <w:iCs/>
          <w:kern w:val="0"/>
          <w:szCs w:val="24"/>
        </w:rPr>
        <w:t>Geburtshilfe und Frauenheilkunde</w:t>
      </w:r>
      <w:r>
        <w:rPr>
          <w:kern w:val="0"/>
          <w:szCs w:val="24"/>
        </w:rPr>
        <w:t xml:space="preserve">, </w:t>
      </w:r>
      <w:r>
        <w:rPr>
          <w:b/>
          <w:bCs/>
          <w:kern w:val="0"/>
          <w:szCs w:val="24"/>
        </w:rPr>
        <w:t>6</w:t>
      </w:r>
      <w:r>
        <w:rPr>
          <w:rFonts w:hint="eastAsia"/>
          <w:b/>
          <w:bCs/>
          <w:kern w:val="0"/>
          <w:szCs w:val="24"/>
        </w:rPr>
        <w:t>5</w:t>
      </w:r>
      <w:r>
        <w:rPr>
          <w:kern w:val="0"/>
          <w:szCs w:val="24"/>
        </w:rPr>
        <w:t xml:space="preserve"> (1), </w:t>
      </w:r>
      <w:r w:rsidRPr="00B84B03">
        <w:rPr>
          <w:kern w:val="0"/>
          <w:szCs w:val="24"/>
        </w:rPr>
        <w:t>30-38</w:t>
      </w:r>
      <w:r>
        <w:rPr>
          <w:kern w:val="0"/>
          <w:szCs w:val="24"/>
        </w:rPr>
        <w:t>.</w:t>
      </w:r>
    </w:p>
    <w:p w:rsidR="00CF3A97" w:rsidRDefault="00CF3A97" w:rsidP="00CF3A97">
      <w:pPr>
        <w:pStyle w:val="a0"/>
        <w:rPr>
          <w:kern w:val="0"/>
          <w:szCs w:val="24"/>
        </w:rPr>
      </w:pPr>
      <w:r>
        <w:rPr>
          <w:rFonts w:hint="eastAsia"/>
          <w:kern w:val="0"/>
          <w:szCs w:val="24"/>
        </w:rPr>
        <w:t xml:space="preserve">Full Text: </w:t>
      </w:r>
      <w:r w:rsidRPr="006C26C8">
        <w:rPr>
          <w:kern w:val="0"/>
          <w:szCs w:val="24"/>
        </w:rPr>
        <w:t>Geb Fra6</w:t>
      </w:r>
      <w:r>
        <w:rPr>
          <w:rFonts w:hint="eastAsia"/>
          <w:kern w:val="0"/>
          <w:szCs w:val="24"/>
        </w:rPr>
        <w:t>5</w:t>
      </w:r>
      <w:r>
        <w:rPr>
          <w:kern w:val="0"/>
          <w:szCs w:val="24"/>
        </w:rPr>
        <w:t xml:space="preserve">, </w:t>
      </w:r>
      <w:r>
        <w:rPr>
          <w:rFonts w:hint="eastAsia"/>
          <w:kern w:val="0"/>
          <w:szCs w:val="24"/>
        </w:rPr>
        <w:t>30.pdf</w:t>
      </w:r>
    </w:p>
    <w:p w:rsidR="00CF3A97" w:rsidRPr="00B84B03" w:rsidRDefault="00CF3A97" w:rsidP="00CF3A97">
      <w:pPr>
        <w:pStyle w:val="a0"/>
        <w:rPr>
          <w:kern w:val="0"/>
          <w:szCs w:val="24"/>
        </w:rPr>
      </w:pPr>
      <w:r w:rsidRPr="00B84B03">
        <w:rPr>
          <w:kern w:val="0"/>
          <w:szCs w:val="24"/>
        </w:rPr>
        <w:t>Abstract: The literature describing the views of potential users of preimplantation genetic diagnosis (PGD) is small. Overall, the vast majority of previous studies found that PGD</w:t>
      </w:r>
      <w:r w:rsidR="00F81221">
        <w:rPr>
          <w:kern w:val="0"/>
          <w:szCs w:val="24"/>
        </w:rPr>
        <w:t xml:space="preserve"> and </w:t>
      </w:r>
      <w:r w:rsidRPr="00B84B03">
        <w:rPr>
          <w:kern w:val="0"/>
          <w:szCs w:val="24"/>
        </w:rPr>
        <w:t>embryo screening are a highly acceptable technology for both consumer groups couples at high risk</w:t>
      </w:r>
      <w:r w:rsidR="00F81221">
        <w:rPr>
          <w:kern w:val="0"/>
          <w:szCs w:val="24"/>
        </w:rPr>
        <w:t xml:space="preserve"> and </w:t>
      </w:r>
      <w:r w:rsidRPr="00B84B03">
        <w:rPr>
          <w:kern w:val="0"/>
          <w:szCs w:val="24"/>
        </w:rPr>
        <w:t>infertile couples. Aim of this paper is to give an overview of studies on acceptability, attitudes, concerns</w:t>
      </w:r>
      <w:r w:rsidR="00F81221">
        <w:rPr>
          <w:kern w:val="0"/>
          <w:szCs w:val="24"/>
        </w:rPr>
        <w:t xml:space="preserve"> and </w:t>
      </w:r>
      <w:r w:rsidRPr="00B84B03">
        <w:rPr>
          <w:kern w:val="0"/>
          <w:szCs w:val="24"/>
        </w:rPr>
        <w:t>expectations towards PGD, embryo selection</w:t>
      </w:r>
      <w:r w:rsidR="00F81221">
        <w:rPr>
          <w:kern w:val="0"/>
          <w:szCs w:val="24"/>
        </w:rPr>
        <w:t xml:space="preserve"> and </w:t>
      </w:r>
      <w:r w:rsidRPr="00B84B03">
        <w:rPr>
          <w:kern w:val="0"/>
          <w:szCs w:val="24"/>
        </w:rPr>
        <w:t>preimplantation diagnosis for social sexing. After a bibliometrical research in Medline, Pubmed</w:t>
      </w:r>
      <w:r w:rsidR="00F81221">
        <w:rPr>
          <w:kern w:val="0"/>
          <w:szCs w:val="24"/>
        </w:rPr>
        <w:t xml:space="preserve"> and </w:t>
      </w:r>
      <w:r w:rsidRPr="00B84B03">
        <w:rPr>
          <w:kern w:val="0"/>
          <w:szCs w:val="24"/>
        </w:rPr>
        <w:t>Psyndex</w:t>
      </w:r>
      <w:r w:rsidR="00F81221">
        <w:rPr>
          <w:kern w:val="0"/>
          <w:szCs w:val="24"/>
        </w:rPr>
        <w:t xml:space="preserve"> and </w:t>
      </w:r>
      <w:r w:rsidRPr="00B84B03">
        <w:rPr>
          <w:kern w:val="0"/>
          <w:szCs w:val="24"/>
        </w:rPr>
        <w:t>specialist German journals 12 studies were analysed which were published between 1990</w:t>
      </w:r>
      <w:r w:rsidR="00F81221">
        <w:rPr>
          <w:kern w:val="0"/>
          <w:szCs w:val="24"/>
        </w:rPr>
        <w:t xml:space="preserve"> and </w:t>
      </w:r>
      <w:r w:rsidRPr="00B84B03">
        <w:rPr>
          <w:kern w:val="0"/>
          <w:szCs w:val="24"/>
        </w:rPr>
        <w:t>2003. The analysis showed that the majority of patients expressed an overwhelmingly positive attitude towards PGD</w:t>
      </w:r>
      <w:r w:rsidR="00F81221">
        <w:rPr>
          <w:kern w:val="0"/>
          <w:szCs w:val="24"/>
        </w:rPr>
        <w:t xml:space="preserve"> and </w:t>
      </w:r>
      <w:r w:rsidRPr="00B84B03">
        <w:rPr>
          <w:kern w:val="0"/>
          <w:szCs w:val="24"/>
        </w:rPr>
        <w:t>expressed few concerns about the extension of the technology to testing for non-disease states such as sex. But for both user groups there were different factors which had a significant impact on the choice of PGD as a prospective reproductive option: reproductive history, especially the duration of infertility, is the main factor for infertile couples which determines the choice of PGD, whereas for couples at high risk previous experiences with PGD</w:t>
      </w:r>
      <w:r w:rsidR="00F81221">
        <w:rPr>
          <w:kern w:val="0"/>
          <w:szCs w:val="24"/>
        </w:rPr>
        <w:t xml:space="preserve"> and </w:t>
      </w:r>
      <w:r w:rsidRPr="00B84B03">
        <w:rPr>
          <w:kern w:val="0"/>
          <w:szCs w:val="24"/>
        </w:rPr>
        <w:t>having an affected child have most impact on the choice of PGD as a future reproductive treatment. However, despite its benefits PGD</w:t>
      </w:r>
      <w:r w:rsidR="00F81221">
        <w:rPr>
          <w:kern w:val="0"/>
          <w:szCs w:val="24"/>
        </w:rPr>
        <w:t xml:space="preserve"> and </w:t>
      </w:r>
      <w:r w:rsidRPr="00B84B03">
        <w:rPr>
          <w:kern w:val="0"/>
          <w:szCs w:val="24"/>
        </w:rPr>
        <w:t>embryo screening are associated with many ethical issues including concerns about the ethics of embryo manipulation and, especially, the issue of eugenics. The analysis shows that there is little demand for sex selection</w:t>
      </w:r>
      <w:r>
        <w:rPr>
          <w:kern w:val="0"/>
          <w:szCs w:val="24"/>
        </w:rPr>
        <w:t xml:space="preserve"> services in Western societies.</w:t>
      </w:r>
    </w:p>
    <w:p w:rsidR="00CF3A97" w:rsidRDefault="00CF3A97" w:rsidP="00CF3A97">
      <w:pPr>
        <w:pStyle w:val="a0"/>
        <w:rPr>
          <w:kern w:val="0"/>
          <w:szCs w:val="24"/>
        </w:rPr>
      </w:pPr>
      <w:r w:rsidRPr="00B84B03">
        <w:rPr>
          <w:kern w:val="0"/>
          <w:szCs w:val="24"/>
        </w:rPr>
        <w:lastRenderedPageBreak/>
        <w:t>Keywords: Attitudes</w:t>
      </w:r>
      <w:r>
        <w:rPr>
          <w:kern w:val="0"/>
          <w:szCs w:val="24"/>
        </w:rPr>
        <w:t>,</w:t>
      </w:r>
      <w:r w:rsidRPr="00B84B03">
        <w:rPr>
          <w:kern w:val="0"/>
          <w:szCs w:val="24"/>
        </w:rPr>
        <w:t xml:space="preserve"> Acceptability</w:t>
      </w:r>
      <w:r>
        <w:rPr>
          <w:kern w:val="0"/>
          <w:szCs w:val="24"/>
        </w:rPr>
        <w:t>,</w:t>
      </w:r>
      <w:r w:rsidRPr="00B84B03">
        <w:rPr>
          <w:kern w:val="0"/>
          <w:szCs w:val="24"/>
        </w:rPr>
        <w:t xml:space="preserve"> Preimplantation Genetic Diagnosis</w:t>
      </w:r>
      <w:r>
        <w:rPr>
          <w:kern w:val="0"/>
          <w:szCs w:val="24"/>
        </w:rPr>
        <w:t>,</w:t>
      </w:r>
      <w:r w:rsidRPr="00B84B03">
        <w:rPr>
          <w:kern w:val="0"/>
          <w:szCs w:val="24"/>
        </w:rPr>
        <w:t xml:space="preserve"> Embryo Selection</w:t>
      </w:r>
      <w:r>
        <w:rPr>
          <w:kern w:val="0"/>
          <w:szCs w:val="24"/>
        </w:rPr>
        <w:t>,</w:t>
      </w:r>
      <w:r w:rsidRPr="00B84B03">
        <w:rPr>
          <w:kern w:val="0"/>
          <w:szCs w:val="24"/>
        </w:rPr>
        <w:t xml:space="preserve"> Social Sexing</w:t>
      </w:r>
      <w:r>
        <w:rPr>
          <w:kern w:val="0"/>
          <w:szCs w:val="24"/>
        </w:rPr>
        <w:t>,</w:t>
      </w:r>
      <w:r w:rsidRPr="00B84B03">
        <w:rPr>
          <w:kern w:val="0"/>
          <w:szCs w:val="24"/>
        </w:rPr>
        <w:t xml:space="preserve"> Genetic Diagnosis</w:t>
      </w:r>
      <w:r>
        <w:rPr>
          <w:kern w:val="0"/>
          <w:szCs w:val="24"/>
        </w:rPr>
        <w:t>,</w:t>
      </w:r>
      <w:r w:rsidRPr="00B84B03">
        <w:rPr>
          <w:kern w:val="0"/>
          <w:szCs w:val="24"/>
        </w:rPr>
        <w:t xml:space="preserve"> Representative Survey</w:t>
      </w:r>
      <w:r>
        <w:rPr>
          <w:kern w:val="0"/>
          <w:szCs w:val="24"/>
        </w:rPr>
        <w:t>, Nonmedical Reasons, Selection</w:t>
      </w:r>
    </w:p>
    <w:p w:rsidR="00CF3A97" w:rsidRDefault="00CF3A97" w:rsidP="00CF3A97">
      <w:pPr>
        <w:pStyle w:val="a0"/>
        <w:rPr>
          <w:kern w:val="0"/>
          <w:szCs w:val="24"/>
        </w:rPr>
      </w:pPr>
      <w:r>
        <w:rPr>
          <w:rFonts w:hint="eastAsia"/>
          <w:kern w:val="0"/>
          <w:szCs w:val="24"/>
        </w:rPr>
        <w:t xml:space="preserve">? </w:t>
      </w:r>
      <w:r>
        <w:rPr>
          <w:kern w:val="0"/>
          <w:szCs w:val="24"/>
        </w:rPr>
        <w:t>Borkenhagen, A.</w:t>
      </w:r>
      <w:r w:rsidR="00F81221">
        <w:rPr>
          <w:kern w:val="0"/>
          <w:szCs w:val="24"/>
        </w:rPr>
        <w:t xml:space="preserve"> and </w:t>
      </w:r>
      <w:r>
        <w:rPr>
          <w:kern w:val="0"/>
          <w:szCs w:val="24"/>
        </w:rPr>
        <w:t xml:space="preserve">Kentenich, H. (2009), Labia Reduction - The newest trend in cosmetic genitoplasty - An overview. </w:t>
      </w:r>
      <w:r w:rsidRPr="000A74B4">
        <w:rPr>
          <w:i/>
          <w:iCs/>
          <w:kern w:val="0"/>
          <w:szCs w:val="24"/>
        </w:rPr>
        <w:t>Geburtshilfe und Frauenheilkunde</w:t>
      </w:r>
      <w:r>
        <w:rPr>
          <w:kern w:val="0"/>
          <w:szCs w:val="24"/>
        </w:rPr>
        <w:t xml:space="preserve">, </w:t>
      </w:r>
      <w:r>
        <w:rPr>
          <w:b/>
          <w:bCs/>
          <w:kern w:val="0"/>
          <w:szCs w:val="24"/>
        </w:rPr>
        <w:t>69</w:t>
      </w:r>
      <w:r>
        <w:rPr>
          <w:kern w:val="0"/>
          <w:szCs w:val="24"/>
        </w:rPr>
        <w:t xml:space="preserve"> (1), 19-23.</w:t>
      </w:r>
    </w:p>
    <w:p w:rsidR="00CF3A97" w:rsidRDefault="00CF3A97" w:rsidP="00CF3A97">
      <w:pPr>
        <w:pStyle w:val="a0"/>
        <w:rPr>
          <w:kern w:val="0"/>
          <w:szCs w:val="24"/>
        </w:rPr>
      </w:pPr>
      <w:r>
        <w:rPr>
          <w:rFonts w:hint="eastAsia"/>
          <w:kern w:val="0"/>
          <w:szCs w:val="24"/>
        </w:rPr>
        <w:t xml:space="preserve">Full Text: </w:t>
      </w:r>
      <w:r w:rsidRPr="006C26C8">
        <w:rPr>
          <w:kern w:val="0"/>
          <w:szCs w:val="24"/>
        </w:rPr>
        <w:t>Geb Fra69</w:t>
      </w:r>
      <w:r>
        <w:rPr>
          <w:kern w:val="0"/>
          <w:szCs w:val="24"/>
        </w:rPr>
        <w:t>, 19</w:t>
      </w:r>
      <w:r>
        <w:rPr>
          <w:rFonts w:hint="eastAsia"/>
          <w:kern w:val="0"/>
          <w:szCs w:val="24"/>
        </w:rPr>
        <w:t>.pdf</w:t>
      </w:r>
    </w:p>
    <w:p w:rsidR="00CF3A97" w:rsidRDefault="00CF3A97" w:rsidP="00CF3A97">
      <w:pPr>
        <w:pStyle w:val="a0"/>
        <w:rPr>
          <w:kern w:val="0"/>
          <w:szCs w:val="24"/>
        </w:rPr>
      </w:pPr>
      <w:r>
        <w:rPr>
          <w:kern w:val="0"/>
          <w:szCs w:val="24"/>
        </w:rPr>
        <w:t>Abstract: Problem: Women</w:t>
      </w:r>
      <w:r w:rsidR="000352E7">
        <w:rPr>
          <w:kern w:val="0"/>
          <w:szCs w:val="24"/>
        </w:rPr>
        <w:t>’</w:t>
      </w:r>
      <w:r>
        <w:rPr>
          <w:kern w:val="0"/>
          <w:szCs w:val="24"/>
        </w:rPr>
        <w:t>s concerns about their appearance, fuelled by commercial pressure to undergo surgical improvement, now also include the genitalia. Labiaplasty, which usually involves labia reduction, is becoming as common as other cosmetic procedures, New advancements</w:t>
      </w:r>
      <w:r w:rsidR="00F81221">
        <w:rPr>
          <w:kern w:val="0"/>
          <w:szCs w:val="24"/>
        </w:rPr>
        <w:t xml:space="preserve"> and </w:t>
      </w:r>
      <w:r>
        <w:rPr>
          <w:kern w:val="0"/>
          <w:szCs w:val="24"/>
        </w:rPr>
        <w:t>techniques in labiaplasty typically lessen scarring, pain, recovery time,</w:t>
      </w:r>
      <w:r w:rsidR="00F81221">
        <w:rPr>
          <w:kern w:val="0"/>
          <w:szCs w:val="24"/>
        </w:rPr>
        <w:t xml:space="preserve"> and </w:t>
      </w:r>
      <w:r>
        <w:rPr>
          <w:kern w:val="0"/>
          <w:szCs w:val="24"/>
        </w:rPr>
        <w:t>show good results. The aim of this paper is to give an overview of studies on the clinical</w:t>
      </w:r>
      <w:r w:rsidR="00F81221">
        <w:rPr>
          <w:kern w:val="0"/>
          <w:szCs w:val="24"/>
        </w:rPr>
        <w:t xml:space="preserve"> and </w:t>
      </w:r>
      <w:r>
        <w:rPr>
          <w:kern w:val="0"/>
          <w:szCs w:val="24"/>
        </w:rPr>
        <w:t>psychosocial outcomes of labiaplasty. Material</w:t>
      </w:r>
      <w:r w:rsidR="00F81221">
        <w:rPr>
          <w:kern w:val="0"/>
          <w:szCs w:val="24"/>
        </w:rPr>
        <w:t xml:space="preserve"> and </w:t>
      </w:r>
      <w:r>
        <w:rPr>
          <w:kern w:val="0"/>
          <w:szCs w:val="24"/>
        </w:rPr>
        <w:t>Methods: After a bibliometric search in Medline</w:t>
      </w:r>
      <w:r w:rsidR="00F81221">
        <w:rPr>
          <w:kern w:val="0"/>
          <w:szCs w:val="24"/>
        </w:rPr>
        <w:t xml:space="preserve"> and </w:t>
      </w:r>
      <w:r>
        <w:rPr>
          <w:kern w:val="0"/>
          <w:szCs w:val="24"/>
        </w:rPr>
        <w:t>PubMed</w:t>
      </w:r>
      <w:r w:rsidR="00F81221">
        <w:rPr>
          <w:kern w:val="0"/>
          <w:szCs w:val="24"/>
        </w:rPr>
        <w:t xml:space="preserve"> and </w:t>
      </w:r>
      <w:r>
        <w:rPr>
          <w:kern w:val="0"/>
          <w:szCs w:val="24"/>
        </w:rPr>
        <w:t>German specialist journals, 10 studies published between 1998</w:t>
      </w:r>
      <w:r w:rsidR="00F81221">
        <w:rPr>
          <w:kern w:val="0"/>
          <w:szCs w:val="24"/>
        </w:rPr>
        <w:t xml:space="preserve"> and </w:t>
      </w:r>
      <w:r>
        <w:rPr>
          <w:kern w:val="0"/>
          <w:szCs w:val="24"/>
        </w:rPr>
        <w:t>2008 were analyzed. Results: Most reports refer only to the technical aspects of surgery,</w:t>
      </w:r>
      <w:r w:rsidR="00F81221">
        <w:rPr>
          <w:kern w:val="0"/>
          <w:szCs w:val="24"/>
        </w:rPr>
        <w:t xml:space="preserve"> and </w:t>
      </w:r>
      <w:r>
        <w:rPr>
          <w:kern w:val="0"/>
          <w:szCs w:val="24"/>
        </w:rPr>
        <w:t>outcome data are sparse. Few psychometrically robust measures exist to evaluate the long-term impact of plastic Surgery in general, let alone genital surgery. The rare reports that exist on patient satisfaction with labiaplasty are generally positive, but assessments are short-term</w:t>
      </w:r>
      <w:r w:rsidR="00F81221">
        <w:rPr>
          <w:kern w:val="0"/>
          <w:szCs w:val="24"/>
        </w:rPr>
        <w:t xml:space="preserve"> and </w:t>
      </w:r>
      <w:r>
        <w:rPr>
          <w:kern w:val="0"/>
          <w:szCs w:val="24"/>
        </w:rPr>
        <w:t>lack methodological rigor. Conclusion: Labiaplasty carries a risk</w:t>
      </w:r>
      <w:r w:rsidR="00F81221">
        <w:rPr>
          <w:kern w:val="0"/>
          <w:szCs w:val="24"/>
        </w:rPr>
        <w:t xml:space="preserve"> and </w:t>
      </w:r>
      <w:r>
        <w:rPr>
          <w:kern w:val="0"/>
          <w:szCs w:val="24"/>
        </w:rPr>
        <w:t>has not been shown to result in long-term psychological benefits. These procedures are often not medically indicated,</w:t>
      </w:r>
      <w:r w:rsidR="00F81221">
        <w:rPr>
          <w:kern w:val="0"/>
          <w:szCs w:val="24"/>
        </w:rPr>
        <w:t xml:space="preserve"> and </w:t>
      </w:r>
      <w:r>
        <w:rPr>
          <w:kern w:val="0"/>
          <w:szCs w:val="24"/>
        </w:rPr>
        <w:t>the safety</w:t>
      </w:r>
      <w:r w:rsidR="00F81221">
        <w:rPr>
          <w:kern w:val="0"/>
          <w:szCs w:val="24"/>
        </w:rPr>
        <w:t xml:space="preserve"> and </w:t>
      </w:r>
      <w:r>
        <w:rPr>
          <w:kern w:val="0"/>
          <w:szCs w:val="24"/>
        </w:rPr>
        <w:t>effectiveness of these procedures have not been documented. Clinicians who receive requests from patients for such procedures should discuss the reason for the request with the patient</w:t>
      </w:r>
      <w:r w:rsidR="00F81221">
        <w:rPr>
          <w:kern w:val="0"/>
          <w:szCs w:val="24"/>
        </w:rPr>
        <w:t xml:space="preserve"> and </w:t>
      </w:r>
      <w:r>
        <w:rPr>
          <w:kern w:val="0"/>
          <w:szCs w:val="24"/>
        </w:rPr>
        <w:t>perform an examination for any physical signs or symptoms that may indicate the need for surgical intervention. Women should be informed about the lack of data supporting the efficacy of these procedures</w:t>
      </w:r>
      <w:r w:rsidR="00F81221">
        <w:rPr>
          <w:kern w:val="0"/>
          <w:szCs w:val="24"/>
        </w:rPr>
        <w:t xml:space="preserve"> and </w:t>
      </w:r>
      <w:r>
        <w:rPr>
          <w:kern w:val="0"/>
          <w:szCs w:val="24"/>
        </w:rPr>
        <w:t>their potential complications, including infection altered sensation, dyspareunia</w:t>
      </w:r>
      <w:r w:rsidR="00F81221">
        <w:rPr>
          <w:kern w:val="0"/>
          <w:szCs w:val="24"/>
        </w:rPr>
        <w:t xml:space="preserve"> and </w:t>
      </w:r>
      <w:r>
        <w:rPr>
          <w:kern w:val="0"/>
          <w:szCs w:val="24"/>
        </w:rPr>
        <w:t>scarring.</w:t>
      </w:r>
    </w:p>
    <w:p w:rsidR="00CF3A97" w:rsidRDefault="00CF3A97" w:rsidP="00CF3A97">
      <w:pPr>
        <w:pStyle w:val="a0"/>
        <w:rPr>
          <w:kern w:val="0"/>
          <w:szCs w:val="24"/>
        </w:rPr>
      </w:pPr>
      <w:r>
        <w:rPr>
          <w:kern w:val="0"/>
          <w:szCs w:val="24"/>
        </w:rPr>
        <w:t>Keywords: Aesthetic Reduction, Assessments, Benefits, Bibliometric, Clinical, Complications, Cosmetic Genitoplasty, Data, Dyspareunia, Effectiveness, Efficacy, Examination, Female Genital Cosmetic Surgery, General, Impact, Improvement, Indication, Infection, Intervention, Journals, Labia Reduction, Labioplasty, Long Term, Long-Term, Minora Reduction, Outcome, Outcomes, Pain, Patient Satisfaction, Patients, Physical, Potential, Pressure, Procedures, Psychological, Psychological Outcome, Psychosocial, Psychosocial Outcomes, Pubmed, Recovery, Reduction, Risk, Safety, Satisfaction, Search, Specialist, Surgery, Symptoms, Techniques, Time</w:t>
      </w:r>
    </w:p>
    <w:p w:rsidR="00BE3923" w:rsidRDefault="00BE3923" w:rsidP="00BE3923">
      <w:pPr>
        <w:pStyle w:val="a0"/>
        <w:rPr>
          <w:kern w:val="0"/>
        </w:rPr>
      </w:pPr>
      <w:r>
        <w:rPr>
          <w:rFonts w:hint="eastAsia"/>
          <w:kern w:val="0"/>
        </w:rPr>
        <w:t xml:space="preserve">? </w:t>
      </w:r>
      <w:r>
        <w:rPr>
          <w:kern w:val="0"/>
        </w:rPr>
        <w:t>Griesinger, G., Schultz, L.</w:t>
      </w:r>
      <w:r w:rsidR="00F81221">
        <w:rPr>
          <w:kern w:val="0"/>
        </w:rPr>
        <w:t xml:space="preserve"> and </w:t>
      </w:r>
      <w:r>
        <w:rPr>
          <w:kern w:val="0"/>
        </w:rPr>
        <w:t xml:space="preserve">Diedrich, K. (2009), Bibliometric analysis of </w:t>
      </w:r>
      <w:r>
        <w:rPr>
          <w:kern w:val="0"/>
        </w:rPr>
        <w:lastRenderedPageBreak/>
        <w:t xml:space="preserve">publication activity in reproductive medicine since 1990 in various European countries. </w:t>
      </w:r>
      <w:r>
        <w:rPr>
          <w:i/>
          <w:iCs/>
          <w:kern w:val="0"/>
        </w:rPr>
        <w:t>Geburtshilfe und Frauenheilkunde</w:t>
      </w:r>
      <w:r>
        <w:rPr>
          <w:kern w:val="0"/>
        </w:rPr>
        <w:t xml:space="preserve">, </w:t>
      </w:r>
      <w:r>
        <w:rPr>
          <w:b/>
          <w:bCs/>
          <w:kern w:val="0"/>
        </w:rPr>
        <w:t>69</w:t>
      </w:r>
      <w:r>
        <w:rPr>
          <w:kern w:val="0"/>
        </w:rPr>
        <w:t xml:space="preserve"> (8), 742-743</w:t>
      </w:r>
      <w:r>
        <w:rPr>
          <w:rFonts w:hint="eastAsia"/>
          <w:kern w:val="0"/>
        </w:rPr>
        <w:t>.</w:t>
      </w:r>
    </w:p>
    <w:p w:rsidR="00BE3923" w:rsidRDefault="00BE3923" w:rsidP="00BE3923">
      <w:pPr>
        <w:pStyle w:val="a0"/>
        <w:rPr>
          <w:kern w:val="0"/>
        </w:rPr>
      </w:pPr>
      <w:r>
        <w:rPr>
          <w:kern w:val="0"/>
        </w:rPr>
        <w:t>Keywords: Bibliometric Analysis</w:t>
      </w:r>
    </w:p>
    <w:p w:rsidR="00B95188" w:rsidRPr="00A428C3" w:rsidRDefault="00CF3A97" w:rsidP="00CF3A97">
      <w:pPr>
        <w:pStyle w:val="1"/>
        <w:rPr>
          <w:lang w:val="de-DE"/>
        </w:rPr>
      </w:pPr>
      <w:r w:rsidRPr="00217FB1">
        <w:br w:type="page"/>
      </w:r>
      <w:bookmarkStart w:id="248" w:name="_Toc490687980"/>
      <w:bookmarkStart w:id="249" w:name="_Toc492807641"/>
      <w:bookmarkStart w:id="250" w:name="_Toc186647706"/>
      <w:bookmarkStart w:id="251" w:name="_Toc317160902"/>
      <w:r w:rsidR="00B95188" w:rsidRPr="00A428C3">
        <w:rPr>
          <w:lang w:val="de-DE"/>
        </w:rPr>
        <w:lastRenderedPageBreak/>
        <w:t>Title: Gefahrstoffe Reinhaltung der Luft</w:t>
      </w:r>
      <w:bookmarkEnd w:id="240"/>
      <w:bookmarkEnd w:id="241"/>
      <w:bookmarkEnd w:id="248"/>
      <w:bookmarkEnd w:id="249"/>
      <w:bookmarkEnd w:id="250"/>
      <w:bookmarkEnd w:id="251"/>
    </w:p>
    <w:p w:rsidR="00B95188" w:rsidRPr="00A428C3" w:rsidRDefault="00B95188" w:rsidP="00B72EF9">
      <w:pPr>
        <w:pStyle w:val="12"/>
        <w:rPr>
          <w:lang w:val="de-DE"/>
        </w:rPr>
      </w:pPr>
      <w:r w:rsidRPr="00A428C3">
        <w:rPr>
          <w:lang w:val="de-DE"/>
        </w:rPr>
        <w:t>Full Journal Title: Gefahrstoffe Reinhaltung der Luft</w:t>
      </w:r>
    </w:p>
    <w:p w:rsidR="00B95188" w:rsidRPr="00A428C3" w:rsidRDefault="00B95188" w:rsidP="00B72EF9">
      <w:pPr>
        <w:pStyle w:val="12"/>
        <w:rPr>
          <w:lang w:val="de-DE"/>
        </w:rPr>
      </w:pPr>
      <w:r w:rsidRPr="00A428C3">
        <w:rPr>
          <w:lang w:val="de-DE"/>
        </w:rPr>
        <w:t>ISO Abbreviated Title: Gefahrst. Reinhalt. Luft</w:t>
      </w:r>
    </w:p>
    <w:p w:rsidR="00B95188" w:rsidRPr="00A428C3" w:rsidRDefault="00B95188" w:rsidP="00B72EF9">
      <w:pPr>
        <w:pStyle w:val="12"/>
        <w:rPr>
          <w:lang w:val="de-DE"/>
        </w:rPr>
      </w:pPr>
      <w:r w:rsidRPr="00A428C3">
        <w:rPr>
          <w:lang w:val="de-DE"/>
        </w:rPr>
        <w:t>JCR Abbreviated Title: Gefahrst Reinhalt L</w:t>
      </w:r>
    </w:p>
    <w:p w:rsidR="00B95188" w:rsidRPr="00A428C3" w:rsidRDefault="00B95188" w:rsidP="00B72EF9">
      <w:pPr>
        <w:pStyle w:val="12"/>
      </w:pPr>
      <w:r w:rsidRPr="00A428C3">
        <w:t>ISSN: 0039-077</w:t>
      </w:r>
    </w:p>
    <w:p w:rsidR="00B95188" w:rsidRPr="00A428C3" w:rsidRDefault="00B95188" w:rsidP="00B72EF9">
      <w:pPr>
        <w:pStyle w:val="12"/>
      </w:pPr>
      <w:r w:rsidRPr="00A428C3">
        <w:t>Issues/Year: 11</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Springer Verlag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Engineering, Environmental:</w:t>
      </w:r>
      <w:r w:rsidRPr="00A428C3">
        <w:rPr>
          <w:color w:val="008000"/>
        </w:rPr>
        <w:t xml:space="preserve"> Impact Factor</w:t>
      </w:r>
    </w:p>
    <w:p w:rsidR="00B95188" w:rsidRPr="00A428C3" w:rsidRDefault="00B95188" w:rsidP="00B72EF9">
      <w:pPr>
        <w:pStyle w:val="12"/>
      </w:pPr>
      <w:r w:rsidRPr="00A428C3">
        <w:t>Engineering, Civil:</w:t>
      </w:r>
      <w:r w:rsidRPr="00A428C3">
        <w:rPr>
          <w:color w:val="008000"/>
        </w:rPr>
        <w:t xml:space="preserve"> Impact Factor</w:t>
      </w:r>
    </w:p>
    <w:p w:rsidR="00B95188" w:rsidRPr="00A428C3" w:rsidRDefault="00B95188" w:rsidP="00B72EF9">
      <w:pPr>
        <w:pStyle w:val="12"/>
      </w:pPr>
      <w:r w:rsidRPr="00A428C3">
        <w:t>Environmental Sciences: Impact Factor 0.252, 112/126 (1999); Impact Factor 0.190, 115/127 (2000)</w:t>
      </w:r>
    </w:p>
    <w:p w:rsidR="00B95188" w:rsidRPr="00A428C3" w:rsidRDefault="00B95188" w:rsidP="00B95188">
      <w:pPr>
        <w:pStyle w:val="a0"/>
      </w:pPr>
      <w:r w:rsidRPr="00A428C3">
        <w:t xml:space="preserve">? (1997), Decommissioning of a solid waste incinerator. </w:t>
      </w:r>
      <w:r w:rsidRPr="00A428C3">
        <w:rPr>
          <w:i/>
        </w:rPr>
        <w:t>Gefahrstoffe Reinhaltung der Luft</w:t>
      </w:r>
      <w:r w:rsidRPr="00A428C3">
        <w:t xml:space="preserve">, </w:t>
      </w:r>
      <w:r w:rsidRPr="00A428C3">
        <w:rPr>
          <w:b/>
        </w:rPr>
        <w:t>57</w:t>
      </w:r>
      <w:r w:rsidRPr="00A428C3">
        <w:t xml:space="preserve"> (1), 20.</w:t>
      </w:r>
    </w:p>
    <w:p w:rsidR="00B95188" w:rsidRPr="00A428C3" w:rsidRDefault="00B95188" w:rsidP="00B95188">
      <w:pPr>
        <w:pStyle w:val="a0"/>
      </w:pPr>
      <w:r w:rsidRPr="00A428C3">
        <w:t>? Broker, G., Oehme, M., Bollmacher, H., Coleman, P., Fraisse, D., de Jong, A., Knoche, M., Lutzke, K.</w:t>
      </w:r>
      <w:r w:rsidR="00F81221">
        <w:t xml:space="preserve"> and </w:t>
      </w:r>
      <w:r w:rsidRPr="00A428C3">
        <w:t xml:space="preserve">Marklund, S. (1998), Standardisation of dioxin measurement procedures for incinerator waste gases according to the European Standard EN 1948. </w:t>
      </w:r>
      <w:r w:rsidRPr="00A428C3">
        <w:rPr>
          <w:i/>
        </w:rPr>
        <w:t>Gefahrstoffe Reinhaltung der Luft</w:t>
      </w:r>
      <w:r w:rsidRPr="00A428C3">
        <w:t xml:space="preserve">, </w:t>
      </w:r>
      <w:r w:rsidRPr="00A428C3">
        <w:rPr>
          <w:b/>
        </w:rPr>
        <w:t>58</w:t>
      </w:r>
      <w:r w:rsidRPr="00A428C3">
        <w:t xml:space="preserve"> (4), 141-147.</w:t>
      </w:r>
    </w:p>
    <w:p w:rsidR="00B95188" w:rsidRPr="00A428C3" w:rsidRDefault="00B95188" w:rsidP="00B95188">
      <w:pPr>
        <w:pStyle w:val="a0"/>
      </w:pPr>
      <w:r w:rsidRPr="00A428C3">
        <w:t>Abstract: A working group under the European Committee for Standardisation (CEN) has established a European Standard for the measurement of polychlorinated dibenzo-p-dioxins (PCDD)</w:t>
      </w:r>
      <w:r w:rsidR="00F81221">
        <w:t xml:space="preserve"> and </w:t>
      </w:r>
      <w:r w:rsidRPr="00A428C3">
        <w:t>dibenzofurans (PCDF) in the stationary source emission of waste incinerators. Three different sampling procedures were selected</w:t>
      </w:r>
      <w:r w:rsidR="00F81221">
        <w:t xml:space="preserve"> and </w:t>
      </w:r>
      <w:r w:rsidRPr="00A428C3">
        <w:t>considered to be equivalent as a result of comparative measurements. The European Standard consists of a framework of quality control measures</w:t>
      </w:r>
      <w:r w:rsidR="00F81221">
        <w:t xml:space="preserve"> and </w:t>
      </w:r>
      <w:r w:rsidRPr="00A428C3">
        <w:t>requirements which are briefly described</w:t>
      </w:r>
      <w:r w:rsidR="00F81221">
        <w:t xml:space="preserve"> and </w:t>
      </w:r>
      <w:r w:rsidRPr="00A428C3">
        <w:t>which have to be satisfied by any methodology employed. The applicability of the European Standard has been evaluated</w:t>
      </w:r>
      <w:r w:rsidR="00F81221">
        <w:t xml:space="preserve"> and </w:t>
      </w:r>
      <w:r w:rsidRPr="00A428C3">
        <w:t>proven by validation measurements. The results are presented in condensed form. They show that a limit of 0.1 ng I-TEQ/m(3) can be measured with an internal variability of±0.01 to 0.1 ng I-TEQ/m(3)</w:t>
      </w:r>
      <w:r w:rsidR="00F81221">
        <w:t xml:space="preserve"> and </w:t>
      </w:r>
      <w:r w:rsidRPr="00A428C3">
        <w:t>external variability of around±0.05 to 0.1 ng I-TEQ/m</w:t>
      </w:r>
      <w:r w:rsidRPr="00A428C3">
        <w:rPr>
          <w:vertAlign w:val="superscript"/>
        </w:rPr>
        <w:t>3</w:t>
      </w:r>
      <w:r w:rsidRPr="00A428C3">
        <w:t xml:space="preserve"> (all values at 95 % confidence level) depending on the methodology applied</w:t>
      </w:r>
      <w:r w:rsidR="00F81221">
        <w:t xml:space="preserve"> and </w:t>
      </w:r>
      <w:r w:rsidRPr="00A428C3">
        <w:t>the construction of the waste incinerator.</w:t>
      </w:r>
    </w:p>
    <w:p w:rsidR="00B95188" w:rsidRPr="00A428C3" w:rsidRDefault="00B95188" w:rsidP="00B95188">
      <w:pPr>
        <w:pStyle w:val="a0"/>
      </w:pPr>
      <w:r w:rsidRPr="00A428C3">
        <w:t>? Buser, S.</w:t>
      </w:r>
      <w:r w:rsidR="00F81221">
        <w:t xml:space="preserve"> and </w:t>
      </w:r>
      <w:r w:rsidRPr="00A428C3">
        <w:t>Brandt, G. (1998), HCN</w:t>
      </w:r>
      <w:r w:rsidR="00F81221">
        <w:t xml:space="preserve"> and </w:t>
      </w:r>
      <w:r w:rsidRPr="00A428C3">
        <w:t>N</w:t>
      </w:r>
      <w:r w:rsidRPr="00A428C3">
        <w:rPr>
          <w:vertAlign w:val="subscript"/>
        </w:rPr>
        <w:t>2</w:t>
      </w:r>
      <w:r w:rsidRPr="00A428C3">
        <w:t xml:space="preserve">O emissions from sewage sludge incineration in a fluidized bed incinerator. </w:t>
      </w:r>
      <w:r w:rsidRPr="00A428C3">
        <w:rPr>
          <w:i/>
        </w:rPr>
        <w:t>Gefahrstoffe Reinhaltung der Luft</w:t>
      </w:r>
      <w:r w:rsidRPr="00A428C3">
        <w:t xml:space="preserve">, </w:t>
      </w:r>
      <w:r w:rsidRPr="00A428C3">
        <w:rPr>
          <w:b/>
        </w:rPr>
        <w:t>58</w:t>
      </w:r>
      <w:r w:rsidRPr="00A428C3">
        <w:t xml:space="preserve"> (4), 161-165.</w:t>
      </w:r>
    </w:p>
    <w:p w:rsidR="00B95188" w:rsidRPr="00A428C3" w:rsidRDefault="00B95188" w:rsidP="00B95188">
      <w:pPr>
        <w:pStyle w:val="a0"/>
      </w:pPr>
      <w:r w:rsidRPr="00A428C3">
        <w:lastRenderedPageBreak/>
        <w:t>Keywords: Combustion</w:t>
      </w:r>
    </w:p>
    <w:p w:rsidR="00B95188" w:rsidRPr="00A428C3" w:rsidRDefault="00B95188" w:rsidP="00B95188">
      <w:pPr>
        <w:pStyle w:val="a0"/>
      </w:pPr>
      <w:r w:rsidRPr="00A428C3">
        <w:t>? Grodten, T., Schmidt, D.</w:t>
      </w:r>
      <w:r w:rsidR="00F81221">
        <w:t xml:space="preserve"> and </w:t>
      </w:r>
      <w:r w:rsidRPr="00A428C3">
        <w:t xml:space="preserve">Dannecker, W. (1998), Separation efficiencies of varying grain size activated lignite cokes in flue gas purification-techniques at waste incinerator plants. </w:t>
      </w:r>
      <w:r w:rsidRPr="00A428C3">
        <w:rPr>
          <w:i/>
        </w:rPr>
        <w:t>Gefahrstoffe Reinhaltung der Luft</w:t>
      </w:r>
      <w:r w:rsidRPr="00A428C3">
        <w:t xml:space="preserve">, </w:t>
      </w:r>
      <w:r w:rsidRPr="00A428C3">
        <w:rPr>
          <w:b/>
        </w:rPr>
        <w:t>58</w:t>
      </w:r>
      <w:r w:rsidRPr="00A428C3">
        <w:t xml:space="preserve"> (5), 205-210.</w:t>
      </w:r>
    </w:p>
    <w:p w:rsidR="00B95188" w:rsidRPr="00A428C3" w:rsidRDefault="00B95188" w:rsidP="00B95188">
      <w:pPr>
        <w:pStyle w:val="a0"/>
      </w:pPr>
      <w:r w:rsidRPr="00A428C3">
        <w:t>Abstract: Two activated lignite cokes of varying grain sizes were tested in an extensive investigation regarding their characteristics of simultaneous absorption of various compounds in a waste incineration plant. In this context particular</w:t>
      </w:r>
      <w:r w:rsidR="00F81221">
        <w:t xml:space="preserve"> and </w:t>
      </w:r>
      <w:r w:rsidRPr="00A428C3">
        <w:t>gaseous pollutants were simultaneously determined before</w:t>
      </w:r>
      <w:r w:rsidR="00F81221">
        <w:t xml:space="preserve"> and </w:t>
      </w:r>
      <w:r w:rsidRPr="00A428C3">
        <w:t>after the absorber beds. The results indicated that mercury, PCDD/F, PAH as well as polychlorinated hydrocarbon compounds (HCH, PCBz</w:t>
      </w:r>
      <w:r w:rsidR="00F81221">
        <w:t xml:space="preserve"> and </w:t>
      </w:r>
      <w:r w:rsidRPr="00A428C3">
        <w:t>PCPh) were absorbed so effectively that their concentration in the cleaned flue gas was mainly below the detection limit, independent of the grain size of the coke. The two coke types displayed differing separation efficiencies, concerning both the corrosive gases (HCl, SO</w:t>
      </w:r>
      <w:r w:rsidRPr="00A428C3">
        <w:rPr>
          <w:vertAlign w:val="subscript"/>
        </w:rPr>
        <w:t>2</w:t>
      </w:r>
      <w:r w:rsidR="00F81221">
        <w:t xml:space="preserve"> and </w:t>
      </w:r>
      <w:r w:rsidRPr="00A428C3">
        <w:t>the aromatic hydrocarbons. During the time of the experiment benzene</w:t>
      </w:r>
      <w:r w:rsidR="00F81221">
        <w:t xml:space="preserve"> and </w:t>
      </w:r>
      <w:r w:rsidRPr="00A428C3">
        <w:t>toluene came through the absorber beds thus showing evidently higher contents of benzene in the cleaned flue gas than in the flue gas prior to the absorber. By means of sampling of several layers</w:t>
      </w:r>
      <w:r w:rsidR="00F81221">
        <w:t xml:space="preserve"> and </w:t>
      </w:r>
      <w:r w:rsidRPr="00A428C3">
        <w:t xml:space="preserve">subsequent analysis of the coke, it could be shown that mercury as well as the PAH were totally absorbed even on coarse sized coke within the first </w:t>
      </w:r>
      <w:smartTag w:uri="urn:schemas-microsoft-com:office:smarttags" w:element="chmetcnv">
        <w:smartTagPr>
          <w:attr w:name="TCSC" w:val="0"/>
          <w:attr w:name="NumberType" w:val="1"/>
          <w:attr w:name="Negative" w:val="False"/>
          <w:attr w:name="HasSpace" w:val="True"/>
          <w:attr w:name="SourceValue" w:val="20"/>
          <w:attr w:name="UnitName" w:val="cm"/>
        </w:smartTagPr>
        <w:r w:rsidRPr="00A428C3">
          <w:t>20 cm</w:t>
        </w:r>
      </w:smartTag>
      <w:r w:rsidRPr="00A428C3">
        <w:t xml:space="preserve"> of the bed.</w:t>
      </w:r>
    </w:p>
    <w:p w:rsidR="00B95188" w:rsidRPr="00A428C3" w:rsidRDefault="00B95188" w:rsidP="00B95188">
      <w:pPr>
        <w:pStyle w:val="1"/>
      </w:pPr>
      <w:r w:rsidRPr="00A428C3">
        <w:br w:type="page"/>
      </w:r>
      <w:bookmarkStart w:id="252" w:name="_Toc455569293"/>
      <w:bookmarkStart w:id="253" w:name="_Toc487190454"/>
      <w:bookmarkStart w:id="254" w:name="_Toc487881950"/>
      <w:bookmarkStart w:id="255" w:name="_Toc490687565"/>
      <w:bookmarkStart w:id="256" w:name="_Toc492777809"/>
      <w:bookmarkStart w:id="257" w:name="_Toc63955807"/>
      <w:bookmarkStart w:id="258" w:name="_Toc186647707"/>
      <w:bookmarkStart w:id="259" w:name="_Toc317160903"/>
      <w:r w:rsidRPr="00A428C3">
        <w:lastRenderedPageBreak/>
        <w:t xml:space="preserve">Title: </w:t>
      </w:r>
      <w:bookmarkEnd w:id="252"/>
      <w:bookmarkEnd w:id="253"/>
      <w:bookmarkEnd w:id="254"/>
      <w:bookmarkEnd w:id="255"/>
      <w:bookmarkEnd w:id="256"/>
      <w:bookmarkEnd w:id="257"/>
      <w:r w:rsidRPr="00A428C3">
        <w:rPr>
          <w:iCs/>
        </w:rPr>
        <w:t>A general advantage theory of bibliometric</w:t>
      </w:r>
      <w:r w:rsidR="00F81221">
        <w:rPr>
          <w:iCs/>
        </w:rPr>
        <w:t xml:space="preserve"> and </w:t>
      </w:r>
      <w:r w:rsidRPr="00A428C3">
        <w:rPr>
          <w:iCs/>
        </w:rPr>
        <w:t>other cumulative advantage processes</w:t>
      </w:r>
      <w:bookmarkEnd w:id="258"/>
      <w:bookmarkEnd w:id="259"/>
    </w:p>
    <w:p w:rsidR="00B95188" w:rsidRPr="00A428C3" w:rsidRDefault="00B95188" w:rsidP="00B95188">
      <w:pPr>
        <w:pStyle w:val="a0"/>
      </w:pPr>
      <w:r w:rsidRPr="00A428C3">
        <w:t xml:space="preserve">? de Solla Price, D.J. (1980), </w:t>
      </w:r>
      <w:r w:rsidRPr="00A428C3">
        <w:rPr>
          <w:i/>
        </w:rPr>
        <w:t>A general advantage theory of bibliometric</w:t>
      </w:r>
      <w:r w:rsidR="00F81221">
        <w:rPr>
          <w:i/>
        </w:rPr>
        <w:t xml:space="preserve"> and </w:t>
      </w:r>
      <w:r w:rsidRPr="00A428C3">
        <w:rPr>
          <w:i/>
        </w:rPr>
        <w:t>other cumulative advantage processes</w:t>
      </w:r>
      <w:r w:rsidRPr="00A428C3">
        <w:t xml:space="preserve">, In B.C. Griffith (Ed.), Key papers in information science (pp. 177-199). </w:t>
      </w:r>
      <w:smartTag w:uri="urn:schemas-microsoft-com:office:smarttags" w:element="place">
        <w:smartTag w:uri="urn:schemas-microsoft-com:office:smarttags" w:element="City">
          <w:r w:rsidRPr="00A428C3">
            <w:t>White Plains</w:t>
          </w:r>
        </w:smartTag>
        <w:r w:rsidRPr="00A428C3">
          <w:t xml:space="preserve">, </w:t>
        </w:r>
        <w:smartTag w:uri="urn:schemas-microsoft-com:office:smarttags" w:element="State">
          <w:r w:rsidRPr="00A428C3">
            <w:t>N.Y.</w:t>
          </w:r>
        </w:smartTag>
      </w:smartTag>
      <w:r w:rsidRPr="00A428C3">
        <w:t>: Knowledge Industry.</w:t>
      </w:r>
    </w:p>
    <w:p w:rsidR="00B95188" w:rsidRPr="00A428C3" w:rsidRDefault="00B95188" w:rsidP="00B95188">
      <w:pPr>
        <w:pStyle w:val="a0"/>
      </w:pPr>
      <w:r w:rsidRPr="00A428C3">
        <w:t xml:space="preserve">? de Solla Price, D.J. (1980), </w:t>
      </w:r>
      <w:r w:rsidRPr="00A428C3">
        <w:rPr>
          <w:i/>
        </w:rPr>
        <w:t>The citation cycle</w:t>
      </w:r>
      <w:r w:rsidRPr="00A428C3">
        <w:t xml:space="preserve">, In B.C. </w:t>
      </w:r>
      <w:smartTag w:uri="urn:schemas-microsoft-com:office:smarttags" w:element="place">
        <w:smartTag w:uri="urn:schemas-microsoft-com:office:smarttags" w:element="City">
          <w:r w:rsidRPr="00A428C3">
            <w:t>Griffith</w:t>
          </w:r>
        </w:smartTag>
      </w:smartTag>
      <w:r w:rsidRPr="00A428C3">
        <w:t xml:space="preserve"> (Ed.), Key papers in information science (pp. 195-210). </w:t>
      </w:r>
      <w:smartTag w:uri="urn:schemas-microsoft-com:office:smarttags" w:element="place">
        <w:smartTag w:uri="urn:schemas-microsoft-com:office:smarttags" w:element="City">
          <w:r w:rsidRPr="00A428C3">
            <w:t>White Plains</w:t>
          </w:r>
        </w:smartTag>
        <w:r w:rsidRPr="00A428C3">
          <w:t xml:space="preserve">, </w:t>
        </w:r>
        <w:smartTag w:uri="urn:schemas-microsoft-com:office:smarttags" w:element="State">
          <w:r w:rsidRPr="00A428C3">
            <w:t>N.Y.</w:t>
          </w:r>
        </w:smartTag>
      </w:smartTag>
      <w:r w:rsidRPr="00A428C3">
        <w:t>: Knowledge Industry.</w:t>
      </w:r>
    </w:p>
    <w:p w:rsidR="00102F21" w:rsidRPr="001A3D2B" w:rsidRDefault="00102F21" w:rsidP="00102F21">
      <w:pPr>
        <w:pStyle w:val="1"/>
      </w:pPr>
      <w:r w:rsidRPr="001A3D2B">
        <w:br w:type="page"/>
      </w:r>
      <w:bookmarkStart w:id="260" w:name="_Toc317160904"/>
      <w:r w:rsidRPr="001A3D2B">
        <w:lastRenderedPageBreak/>
        <w:t xml:space="preserve">Title: </w:t>
      </w:r>
      <w:r w:rsidRPr="00472E8E">
        <w:rPr>
          <w:iCs/>
        </w:rPr>
        <w:t>Gender Medicine</w:t>
      </w:r>
      <w:bookmarkEnd w:id="260"/>
    </w:p>
    <w:p w:rsidR="00102F21" w:rsidRPr="001A3D2B" w:rsidRDefault="00102F21" w:rsidP="00102F21">
      <w:pPr>
        <w:pStyle w:val="12"/>
      </w:pPr>
      <w:r w:rsidRPr="001A3D2B">
        <w:t xml:space="preserve">Full Journal Title: </w:t>
      </w:r>
      <w:r w:rsidRPr="00472E8E">
        <w:rPr>
          <w:iCs/>
        </w:rPr>
        <w:t>Gender Medicine</w:t>
      </w:r>
    </w:p>
    <w:p w:rsidR="00102F21" w:rsidRPr="001A3D2B" w:rsidRDefault="00102F21" w:rsidP="00102F21">
      <w:pPr>
        <w:pStyle w:val="12"/>
      </w:pPr>
      <w:r w:rsidRPr="001A3D2B">
        <w:t xml:space="preserve">ISO Abbreviated Title: </w:t>
      </w:r>
    </w:p>
    <w:p w:rsidR="00102F21" w:rsidRPr="001A3D2B" w:rsidRDefault="00102F21" w:rsidP="00102F21">
      <w:pPr>
        <w:pStyle w:val="12"/>
      </w:pPr>
      <w:r w:rsidRPr="001A3D2B">
        <w:t xml:space="preserve">JCR Abbreviated Title: </w:t>
      </w:r>
    </w:p>
    <w:p w:rsidR="00102F21" w:rsidRPr="001A3D2B" w:rsidRDefault="00102F21" w:rsidP="00102F21">
      <w:pPr>
        <w:pStyle w:val="12"/>
      </w:pPr>
      <w:r w:rsidRPr="001A3D2B">
        <w:t xml:space="preserve">ISSN: </w:t>
      </w:r>
    </w:p>
    <w:p w:rsidR="00102F21" w:rsidRPr="001A3D2B" w:rsidRDefault="00102F21" w:rsidP="00102F21">
      <w:pPr>
        <w:pStyle w:val="12"/>
      </w:pPr>
      <w:r w:rsidRPr="001A3D2B">
        <w:t xml:space="preserve">Issues/Year: </w:t>
      </w:r>
    </w:p>
    <w:p w:rsidR="00102F21" w:rsidRPr="001A3D2B" w:rsidRDefault="00102F21" w:rsidP="00102F21">
      <w:pPr>
        <w:pStyle w:val="12"/>
      </w:pPr>
      <w:r w:rsidRPr="001A3D2B">
        <w:t xml:space="preserve">Journal Country/Territory: </w:t>
      </w:r>
    </w:p>
    <w:p w:rsidR="00102F21" w:rsidRPr="001A3D2B" w:rsidRDefault="00102F21" w:rsidP="00102F21">
      <w:pPr>
        <w:pStyle w:val="12"/>
      </w:pPr>
      <w:r w:rsidRPr="001A3D2B">
        <w:t xml:space="preserve">Language: </w:t>
      </w:r>
    </w:p>
    <w:p w:rsidR="00102F21" w:rsidRPr="001A3D2B" w:rsidRDefault="00102F21" w:rsidP="00102F21">
      <w:pPr>
        <w:pStyle w:val="12"/>
      </w:pPr>
      <w:r w:rsidRPr="001A3D2B">
        <w:t xml:space="preserve">Publisher: </w:t>
      </w:r>
    </w:p>
    <w:p w:rsidR="00102F21" w:rsidRPr="001A3D2B" w:rsidRDefault="00102F21" w:rsidP="00102F21">
      <w:pPr>
        <w:pStyle w:val="12"/>
      </w:pPr>
      <w:r w:rsidRPr="001A3D2B">
        <w:t xml:space="preserve">Publisher Address: </w:t>
      </w:r>
    </w:p>
    <w:p w:rsidR="00102F21" w:rsidRPr="001A3D2B" w:rsidRDefault="00102F21" w:rsidP="00102F21">
      <w:pPr>
        <w:pStyle w:val="12"/>
      </w:pPr>
      <w:r w:rsidRPr="001A3D2B">
        <w:t>Subject Categories:</w:t>
      </w:r>
    </w:p>
    <w:p w:rsidR="00102F21" w:rsidRPr="001A3D2B" w:rsidRDefault="00102F21" w:rsidP="00102F21">
      <w:pPr>
        <w:pStyle w:val="12"/>
      </w:pPr>
      <w:r w:rsidRPr="001A3D2B">
        <w:t xml:space="preserve">: Impact Factor </w:t>
      </w:r>
    </w:p>
    <w:p w:rsidR="00102F21" w:rsidRDefault="00102F21" w:rsidP="00102F21">
      <w:pPr>
        <w:pStyle w:val="a0"/>
        <w:rPr>
          <w:kern w:val="0"/>
        </w:rPr>
      </w:pPr>
      <w:r>
        <w:rPr>
          <w:rFonts w:hint="eastAsia"/>
          <w:kern w:val="0"/>
        </w:rPr>
        <w:t xml:space="preserve">? </w:t>
      </w:r>
      <w:r>
        <w:rPr>
          <w:kern w:val="0"/>
        </w:rPr>
        <w:t>Kiyohara, C.</w:t>
      </w:r>
      <w:r w:rsidR="00F81221">
        <w:rPr>
          <w:kern w:val="0"/>
        </w:rPr>
        <w:t xml:space="preserve"> and </w:t>
      </w:r>
      <w:r>
        <w:rPr>
          <w:kern w:val="0"/>
        </w:rPr>
        <w:t xml:space="preserve">Ohno, Y. (2010), Sex differences in lung cancer susceptibility: A review. </w:t>
      </w:r>
      <w:r w:rsidRPr="00472E8E">
        <w:rPr>
          <w:i/>
          <w:iCs/>
          <w:kern w:val="0"/>
        </w:rPr>
        <w:t>Gender Medicine</w:t>
      </w:r>
      <w:r>
        <w:rPr>
          <w:kern w:val="0"/>
        </w:rPr>
        <w:t xml:space="preserve">, </w:t>
      </w:r>
      <w:r>
        <w:rPr>
          <w:b/>
          <w:bCs/>
          <w:kern w:val="0"/>
        </w:rPr>
        <w:t>7</w:t>
      </w:r>
      <w:r>
        <w:rPr>
          <w:kern w:val="0"/>
        </w:rPr>
        <w:t xml:space="preserve"> (5), 381-401.</w:t>
      </w:r>
    </w:p>
    <w:p w:rsidR="00102F21" w:rsidRDefault="00102F21" w:rsidP="00102F21">
      <w:pPr>
        <w:pStyle w:val="a0"/>
        <w:rPr>
          <w:kern w:val="0"/>
        </w:rPr>
      </w:pPr>
      <w:r>
        <w:rPr>
          <w:kern w:val="0"/>
        </w:rPr>
        <w:t>Abstract: Background: Several epidemiologic</w:t>
      </w:r>
      <w:r w:rsidR="00F81221">
        <w:rPr>
          <w:kern w:val="0"/>
        </w:rPr>
        <w:t xml:space="preserve"> and </w:t>
      </w:r>
      <w:r>
        <w:rPr>
          <w:kern w:val="0"/>
        </w:rPr>
        <w:t>molecular epidemiologic studies have indicated that, for a given number of cigarettes smoked, women may be at higher risk of lung cancer compared with men. Objective: The objective of this article was to address sex differences in lung cancer susceptibility, with special emphasis on genetic, biological,</w:t>
      </w:r>
      <w:r w:rsidR="00F81221">
        <w:rPr>
          <w:kern w:val="0"/>
        </w:rPr>
        <w:t xml:space="preserve"> and </w:t>
      </w:r>
      <w:r>
        <w:rPr>
          <w:kern w:val="0"/>
        </w:rPr>
        <w:t>sex-related hormonal factors. Methods: Using the search terms gender or sex difference in combination with lung cancer, susceptibility, survival, polymorphism, biomarker,</w:t>
      </w:r>
      <w:r w:rsidR="00F81221">
        <w:rPr>
          <w:kern w:val="0"/>
        </w:rPr>
        <w:t xml:space="preserve"> and </w:t>
      </w:r>
      <w:r>
        <w:rPr>
          <w:kern w:val="0"/>
        </w:rPr>
        <w:t>smoking, we conducted a review of the available literature in the MEDLINE, Current Contents,</w:t>
      </w:r>
      <w:r w:rsidR="00F81221">
        <w:rPr>
          <w:kern w:val="0"/>
        </w:rPr>
        <w:t xml:space="preserve"> and </w:t>
      </w:r>
      <w:r>
        <w:rPr>
          <w:kern w:val="0"/>
        </w:rPr>
        <w:t>Web of Science biomedical databases. Relevant English-language publications (January 1966-December 2009) on sex differences in lung cancer were identified. Results: Higher levels of polycyclic aromatic hydrocarbon DNA adducts were observed in female lung cancer patients compared with their male counterparts, even though the level of tobacco carcinogens was lower among women than among men. DNA repair capacity was found to be lower in female lung cancer patients than in their male counterparts. A higher frequency of G-to-T transversion mutations in the tumor suppressor protein p53 gene has been observed in women compared with men. Non-small cell lung tumors in women appeared to be more likely than those in men to harbor K-ras, c-erbB-2, or epidermal growth factor receptor mutations. Sex differences have been identified in the expression of the cytochrome P4501A1 gene</w:t>
      </w:r>
      <w:r w:rsidR="00F81221">
        <w:rPr>
          <w:kern w:val="0"/>
        </w:rPr>
        <w:t xml:space="preserve"> and </w:t>
      </w:r>
      <w:r>
        <w:rPr>
          <w:kern w:val="0"/>
        </w:rPr>
        <w:t>gastrin-releasing peptide receptor gene, with women exhibiting higher gene expression than men for both of these genes. Evidence supporting a possible association between estrogen</w:t>
      </w:r>
      <w:r w:rsidR="00F81221">
        <w:rPr>
          <w:kern w:val="0"/>
        </w:rPr>
        <w:t xml:space="preserve"> and </w:t>
      </w:r>
      <w:r>
        <w:rPr>
          <w:kern w:val="0"/>
        </w:rPr>
        <w:t xml:space="preserve">lung cancer risk based on epidemiologic studies has not been consistent, but sex hormones may influence susceptibility to lung </w:t>
      </w:r>
      <w:r>
        <w:rPr>
          <w:kern w:val="0"/>
        </w:rPr>
        <w:lastRenderedPageBreak/>
        <w:t>carcinogenesis. Conclusions: Women may be more susceptible to tobacco smoke</w:t>
      </w:r>
      <w:r w:rsidR="00F81221">
        <w:rPr>
          <w:kern w:val="0"/>
        </w:rPr>
        <w:t xml:space="preserve"> and </w:t>
      </w:r>
      <w:r>
        <w:rPr>
          <w:kern w:val="0"/>
        </w:rPr>
        <w:t>potentially more vulnerable to lung cancer development. If additional studies yield supporting evidence, researchers, the public,</w:t>
      </w:r>
      <w:r w:rsidR="00F81221">
        <w:rPr>
          <w:kern w:val="0"/>
        </w:rPr>
        <w:t xml:space="preserve"> and </w:t>
      </w:r>
      <w:r>
        <w:rPr>
          <w:kern w:val="0"/>
        </w:rPr>
        <w:t>policy makers should focus on ways to reduce the risk of lung cancer for women. (Gend Med. 2010;7:381-401) (C) 2010 Excerpta Medica Inc.</w:t>
      </w:r>
    </w:p>
    <w:p w:rsidR="00102F21" w:rsidRDefault="00102F21" w:rsidP="00102F21">
      <w:pPr>
        <w:pStyle w:val="a0"/>
        <w:rPr>
          <w:kern w:val="0"/>
        </w:rPr>
      </w:pPr>
      <w:r>
        <w:rPr>
          <w:kern w:val="0"/>
        </w:rPr>
        <w:t>Keywords: Aryl-Hydrocarbon Hydroxylase, Biomedical, Bladder-Cancer, Cancer, Carcinogenesis, Cigarette-Smoking, Databases, Development, Dna, Dna Adduct Levels, Epidemiologic Studies, Epidemiology, Estrogen, Estrogen-Receptor-Beta, Frequency, Gender, Gender-Differences, Gene Expression, Genetic, Genetic Susceptibility, Genetic Susceptibility, Histologic Type, Hormone Replacement Therapy, Literature, Lung Cancer, Medline, Methods, Molecular, P53, Policy, Polymorphism, Publications, Researchers, Review, Risk, Science, Sex, Sex Difference, Sex Hormones, Smoking, Smoking-Related Risk, Survival, Susceptibility, Tobacco, Web of Science, Women</w:t>
      </w:r>
    </w:p>
    <w:p w:rsidR="00681408" w:rsidRPr="00A428C3" w:rsidRDefault="00681408" w:rsidP="00681408">
      <w:pPr>
        <w:pStyle w:val="1"/>
      </w:pPr>
      <w:r w:rsidRPr="00A428C3">
        <w:br w:type="page"/>
      </w:r>
      <w:bookmarkStart w:id="261" w:name="_Toc317160905"/>
      <w:r w:rsidRPr="00A428C3">
        <w:lastRenderedPageBreak/>
        <w:t xml:space="preserve">Title: </w:t>
      </w:r>
      <w:r>
        <w:t>General and Comparative Endocrinology</w:t>
      </w:r>
      <w:bookmarkEnd w:id="261"/>
    </w:p>
    <w:p w:rsidR="00681408" w:rsidRPr="00A428C3" w:rsidRDefault="00681408" w:rsidP="00681408">
      <w:pPr>
        <w:pStyle w:val="12"/>
      </w:pPr>
      <w:r w:rsidRPr="00A428C3">
        <w:t xml:space="preserve">Full Journal Title: </w:t>
      </w:r>
      <w:r>
        <w:t>General and Comparative Endocrinology</w:t>
      </w:r>
    </w:p>
    <w:p w:rsidR="00681408" w:rsidRPr="00A428C3" w:rsidRDefault="00681408" w:rsidP="00681408">
      <w:pPr>
        <w:pStyle w:val="12"/>
      </w:pPr>
      <w:r w:rsidRPr="00A428C3">
        <w:t xml:space="preserve">ISO Abbreviated Title: </w:t>
      </w:r>
    </w:p>
    <w:p w:rsidR="00681408" w:rsidRPr="00A428C3" w:rsidRDefault="00681408" w:rsidP="00681408">
      <w:pPr>
        <w:pStyle w:val="12"/>
      </w:pPr>
      <w:r w:rsidRPr="00A428C3">
        <w:t xml:space="preserve">JCR Abbreviated Title: </w:t>
      </w:r>
    </w:p>
    <w:p w:rsidR="00681408" w:rsidRPr="00A428C3" w:rsidRDefault="00681408" w:rsidP="00681408">
      <w:pPr>
        <w:pStyle w:val="12"/>
      </w:pPr>
      <w:r w:rsidRPr="00A428C3">
        <w:t xml:space="preserve">ISSN: </w:t>
      </w:r>
    </w:p>
    <w:p w:rsidR="00681408" w:rsidRPr="00A428C3" w:rsidRDefault="00681408" w:rsidP="00681408">
      <w:pPr>
        <w:pStyle w:val="12"/>
      </w:pPr>
      <w:r w:rsidRPr="00A428C3">
        <w:t xml:space="preserve">Issues/Year: </w:t>
      </w:r>
    </w:p>
    <w:p w:rsidR="00681408" w:rsidRPr="00A428C3" w:rsidRDefault="00681408" w:rsidP="00681408">
      <w:pPr>
        <w:pStyle w:val="12"/>
      </w:pPr>
      <w:r>
        <w:t>Journal Country/Territory:</w:t>
      </w:r>
      <w:r w:rsidRPr="00A428C3">
        <w:t xml:space="preserve"> </w:t>
      </w:r>
    </w:p>
    <w:p w:rsidR="00681408" w:rsidRPr="00A428C3" w:rsidRDefault="00681408" w:rsidP="00681408">
      <w:pPr>
        <w:pStyle w:val="12"/>
      </w:pPr>
      <w:r w:rsidRPr="00A428C3">
        <w:t xml:space="preserve">Language: </w:t>
      </w:r>
    </w:p>
    <w:p w:rsidR="00681408" w:rsidRPr="00A428C3" w:rsidRDefault="00681408" w:rsidP="00681408">
      <w:pPr>
        <w:pStyle w:val="12"/>
      </w:pPr>
      <w:r w:rsidRPr="00A428C3">
        <w:t xml:space="preserve">Publisher: </w:t>
      </w:r>
    </w:p>
    <w:p w:rsidR="00681408" w:rsidRPr="00A428C3" w:rsidRDefault="00681408" w:rsidP="00681408">
      <w:pPr>
        <w:pStyle w:val="12"/>
      </w:pPr>
      <w:r w:rsidRPr="00A428C3">
        <w:t xml:space="preserve">Publisher Address: </w:t>
      </w:r>
    </w:p>
    <w:p w:rsidR="00681408" w:rsidRPr="00A428C3" w:rsidRDefault="00681408" w:rsidP="00681408">
      <w:pPr>
        <w:pStyle w:val="12"/>
      </w:pPr>
      <w:r w:rsidRPr="00A428C3">
        <w:t>Subject Categories:</w:t>
      </w:r>
    </w:p>
    <w:p w:rsidR="00681408" w:rsidRPr="00A428C3" w:rsidRDefault="00681408" w:rsidP="00681408">
      <w:pPr>
        <w:pStyle w:val="12"/>
      </w:pPr>
      <w:r w:rsidRPr="00A428C3">
        <w:t xml:space="preserve">: Impact Factor </w:t>
      </w:r>
    </w:p>
    <w:p w:rsidR="00681408" w:rsidRDefault="00681408" w:rsidP="00681408">
      <w:pPr>
        <w:pStyle w:val="a0"/>
      </w:pPr>
      <w:r w:rsidRPr="00A428C3">
        <w:t xml:space="preserve">? </w:t>
      </w:r>
      <w:r>
        <w:t>Fevold, H</w:t>
      </w:r>
      <w:r>
        <w:rPr>
          <w:rFonts w:hint="eastAsia"/>
        </w:rPr>
        <w:t>.</w:t>
      </w:r>
      <w:r>
        <w:t>R</w:t>
      </w:r>
      <w:r>
        <w:rPr>
          <w:rFonts w:hint="eastAsia"/>
        </w:rPr>
        <w:t>. and</w:t>
      </w:r>
      <w:r>
        <w:t xml:space="preserve"> Wright, P</w:t>
      </w:r>
      <w:r>
        <w:rPr>
          <w:rFonts w:hint="eastAsia"/>
        </w:rPr>
        <w:t>.</w:t>
      </w:r>
      <w:r>
        <w:t>L</w:t>
      </w:r>
      <w:r>
        <w:rPr>
          <w:rFonts w:hint="eastAsia"/>
        </w:rPr>
        <w:t>.</w:t>
      </w:r>
      <w:r w:rsidRPr="00A428C3">
        <w:t xml:space="preserve"> (</w:t>
      </w:r>
      <w:r>
        <w:rPr>
          <w:rFonts w:hint="eastAsia"/>
        </w:rPr>
        <w:t>1969</w:t>
      </w:r>
      <w:r w:rsidRPr="00A428C3">
        <w:t xml:space="preserve">), </w:t>
      </w:r>
      <w:r>
        <w:t>Steroid metabolism by badger (</w:t>
      </w:r>
      <w:r w:rsidRPr="00681408">
        <w:rPr>
          <w:i/>
        </w:rPr>
        <w:t>Taxidea taxus</w:t>
      </w:r>
      <w:r>
        <w:t>) ovarian tissue homogenates</w:t>
      </w:r>
      <w:r w:rsidRPr="00A428C3">
        <w:t xml:space="preserve">. </w:t>
      </w:r>
      <w:r w:rsidRPr="00681408">
        <w:rPr>
          <w:i/>
        </w:rPr>
        <w:t>General and Comparative Endocrinology</w:t>
      </w:r>
      <w:r w:rsidRPr="00A428C3">
        <w:t xml:space="preserve">, </w:t>
      </w:r>
      <w:r>
        <w:rPr>
          <w:rFonts w:hint="eastAsia"/>
          <w:b/>
        </w:rPr>
        <w:t>13</w:t>
      </w:r>
      <w:r w:rsidRPr="00A428C3">
        <w:t xml:space="preserve"> (</w:t>
      </w:r>
      <w:r>
        <w:rPr>
          <w:rFonts w:hint="eastAsia"/>
        </w:rPr>
        <w:t>1</w:t>
      </w:r>
      <w:r w:rsidRPr="00A428C3">
        <w:t xml:space="preserve">), </w:t>
      </w:r>
      <w:r>
        <w:t>60-</w:t>
      </w:r>
      <w:r>
        <w:rPr>
          <w:rFonts w:hint="eastAsia"/>
        </w:rPr>
        <w:t>67</w:t>
      </w:r>
      <w:r w:rsidRPr="00A428C3">
        <w:t>.</w:t>
      </w:r>
    </w:p>
    <w:p w:rsidR="00681408" w:rsidRDefault="00681408" w:rsidP="00681408">
      <w:pPr>
        <w:pStyle w:val="a0"/>
      </w:pPr>
      <w:r>
        <w:rPr>
          <w:rFonts w:hint="eastAsia"/>
        </w:rPr>
        <w:t xml:space="preserve">Full Text: </w:t>
      </w:r>
      <w:hyperlink r:id="rId336" w:history="1">
        <w:r w:rsidRPr="00681408">
          <w:rPr>
            <w:rStyle w:val="a5"/>
          </w:rPr>
          <w:t>1960-80\Gen Com End13, 60.pdf</w:t>
        </w:r>
      </w:hyperlink>
    </w:p>
    <w:p w:rsidR="00B95188" w:rsidRPr="00A428C3" w:rsidRDefault="00B95188" w:rsidP="00B95188">
      <w:pPr>
        <w:pStyle w:val="1"/>
      </w:pPr>
      <w:r w:rsidRPr="00A428C3">
        <w:br w:type="page"/>
      </w:r>
      <w:bookmarkStart w:id="262" w:name="_Toc186647708"/>
      <w:bookmarkStart w:id="263" w:name="_Toc317160906"/>
      <w:r w:rsidRPr="00A428C3">
        <w:lastRenderedPageBreak/>
        <w:t>Title: General Hospital Psychiatry</w:t>
      </w:r>
      <w:bookmarkEnd w:id="262"/>
      <w:bookmarkEnd w:id="263"/>
    </w:p>
    <w:p w:rsidR="00B95188" w:rsidRPr="00A428C3" w:rsidRDefault="00B95188" w:rsidP="00B72EF9">
      <w:pPr>
        <w:pStyle w:val="12"/>
      </w:pPr>
      <w:r w:rsidRPr="00A428C3">
        <w:t xml:space="preserve">Full Journal Title: </w:t>
      </w:r>
      <w:hyperlink r:id="rId337" w:history="1">
        <w:r w:rsidRPr="00A428C3">
          <w:rPr>
            <w:rStyle w:val="a5"/>
          </w:rPr>
          <w:t>General Hospital Psychiatry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Druss, B.G.</w:t>
      </w:r>
      <w:r w:rsidR="00F81221">
        <w:t xml:space="preserve"> and </w:t>
      </w:r>
      <w:r w:rsidRPr="00A428C3">
        <w:t xml:space="preserve">Von Esenwein, </w:t>
      </w:r>
      <w:smartTag w:uri="urn:schemas-microsoft-com:office:smarttags" w:element="country-region">
        <w:r w:rsidRPr="00A428C3">
          <w:t>S.A.</w:t>
        </w:r>
      </w:smartTag>
      <w:r w:rsidRPr="00A428C3">
        <w:t xml:space="preserve"> (2006), Improving general medical care for persons with mental</w:t>
      </w:r>
      <w:r w:rsidR="00F81221">
        <w:t xml:space="preserve"> and </w:t>
      </w:r>
      <w:r w:rsidRPr="00A428C3">
        <w:t xml:space="preserve">addictive disorders: Systematic review. </w:t>
      </w:r>
      <w:r w:rsidRPr="00A428C3">
        <w:rPr>
          <w:i/>
        </w:rPr>
        <w:t>General Hospital Psychiatry</w:t>
      </w:r>
      <w:r w:rsidRPr="00A428C3">
        <w:t xml:space="preserve">, </w:t>
      </w:r>
      <w:r w:rsidRPr="00A428C3">
        <w:rPr>
          <w:b/>
        </w:rPr>
        <w:t>28</w:t>
      </w:r>
      <w:r w:rsidRPr="00A428C3">
        <w:t xml:space="preserve"> (2), 145-153.</w:t>
      </w:r>
    </w:p>
    <w:p w:rsidR="00B95188" w:rsidRPr="00A428C3" w:rsidRDefault="00B95188" w:rsidP="00B95188">
      <w:pPr>
        <w:pStyle w:val="a0"/>
      </w:pPr>
      <w:r w:rsidRPr="00A428C3">
        <w:t xml:space="preserve">Full Text: </w:t>
      </w:r>
      <w:hyperlink r:id="rId338" w:history="1">
        <w:r w:rsidRPr="00A428C3">
          <w:rPr>
            <w:rStyle w:val="a5"/>
          </w:rPr>
          <w:t>2006\Gen Hos Psy28, 145.pdf</w:t>
        </w:r>
      </w:hyperlink>
    </w:p>
    <w:p w:rsidR="00B95188" w:rsidRPr="00A428C3" w:rsidRDefault="00B95188" w:rsidP="00B95188">
      <w:pPr>
        <w:pStyle w:val="a0"/>
      </w:pPr>
      <w:r w:rsidRPr="00A428C3">
        <w:t>Abstract: Objective: To conduct a systematic review of studies of interventions designed to improve general medical care in persons with mental</w:t>
      </w:r>
      <w:r w:rsidR="00F81221">
        <w:t xml:space="preserve"> and </w:t>
      </w:r>
      <w:r w:rsidRPr="00A428C3">
        <w:t>addictive disorders. Methods: Following Cochrane Collaboration guidelines, a comprehensive search through October 2005 was conducted in multiple bibliometric indexes using search terms related to primary medical care</w:t>
      </w:r>
      <w:r w:rsidR="00F81221">
        <w:t xml:space="preserve"> and </w:t>
      </w:r>
      <w:r w:rsidRPr="00A428C3">
        <w:t>mental health/addictive disorders. Two assessors independently extracted information on linkage, quality, outcomes</w:t>
      </w:r>
      <w:r w:rsidR="00F81221">
        <w:t xml:space="preserve"> and </w:t>
      </w:r>
      <w:r w:rsidRPr="00A428C3">
        <w:t>costs of care. Results: Six randomized trials met the preestablished search criteria. The interventions spanned a continuum of approaches for improving treatment, ranging from on-site medical consultation, through team-based approaches, to models involving facilitated referrals to primary care. The studies demonstrated a substantial positive impact on linkage to</w:t>
      </w:r>
      <w:r w:rsidR="00F81221">
        <w:t xml:space="preserve"> and </w:t>
      </w:r>
      <w:r w:rsidRPr="00A428C3">
        <w:t>quality of medical care; there was evidence of health improvement</w:t>
      </w:r>
      <w:r w:rsidR="00F81221">
        <w:t xml:space="preserve"> and </w:t>
      </w:r>
      <w:r w:rsidRPr="00A428C3">
        <w:t>improved abstinence rates in patients with greater medical comorbidity. The three studies that assessed expenditures found the programs to be cost-neutral from a health-plan perspective. Conclusion: A small but growing body of research suggests that a range of models may hold potential for improving these patients</w:t>
      </w:r>
      <w:r w:rsidR="000352E7">
        <w:t>’</w:t>
      </w:r>
      <w:r w:rsidRPr="00A428C3">
        <w:t xml:space="preserve"> health</w:t>
      </w:r>
      <w:r w:rsidR="00F81221">
        <w:t xml:space="preserve"> and </w:t>
      </w:r>
      <w:r w:rsidRPr="00A428C3">
        <w:t>health care, at a relatively modest cost. Future work should continue to develop</w:t>
      </w:r>
      <w:r w:rsidR="00F81221">
        <w:t xml:space="preserve"> and </w:t>
      </w:r>
      <w:r w:rsidRPr="00A428C3">
        <w:t>test approaches to this problem that can be tailored to local system needs</w:t>
      </w:r>
      <w:r w:rsidR="00F81221">
        <w:t xml:space="preserve"> and </w:t>
      </w:r>
      <w:r w:rsidRPr="00A428C3">
        <w:t>capacities. © 2006 Elsevier Inc. All rights reserved.</w:t>
      </w:r>
    </w:p>
    <w:p w:rsidR="00B95188" w:rsidRPr="00A428C3" w:rsidRDefault="00B95188" w:rsidP="00B95188">
      <w:pPr>
        <w:pStyle w:val="a0"/>
      </w:pPr>
      <w:r w:rsidRPr="00A428C3">
        <w:t xml:space="preserve">Keywords: Bibliometric, Chronic Illness, Collaborative Care, Community Psychiatric-Services, Comorbidity, Cost, Costs, Costs of Care, Disorders, Excess </w:t>
      </w:r>
      <w:r w:rsidRPr="00A428C3">
        <w:lastRenderedPageBreak/>
        <w:t>Mortality, Expenditures, General, Guidelines, Health, Health Care, Health Improvement, Health-Care, Impact, Information, Interventions, Local, Major Depression, Medical, Mental, Models, Myocardial-Infarction, Older Patients, Outcomes, Patients, Primary Care, Quality, Randomized, Randomized Controlled-Trial, Range, Research, Review, Substance-Abuse, Systematic Review, Test, Treatment</w:t>
      </w:r>
    </w:p>
    <w:p w:rsidR="00B95188" w:rsidRPr="00A428C3" w:rsidRDefault="00B95188" w:rsidP="00B95188">
      <w:pPr>
        <w:pStyle w:val="1"/>
      </w:pPr>
      <w:r w:rsidRPr="00A428C3">
        <w:br w:type="page"/>
      </w:r>
      <w:bookmarkStart w:id="264" w:name="_Toc490687981"/>
      <w:bookmarkStart w:id="265" w:name="_Toc492807642"/>
      <w:bookmarkStart w:id="266" w:name="_Toc186647709"/>
      <w:bookmarkStart w:id="267" w:name="_Toc487190680"/>
      <w:bookmarkStart w:id="268" w:name="_Toc487882183"/>
      <w:bookmarkStart w:id="269" w:name="_Toc317160907"/>
      <w:r w:rsidRPr="00A428C3">
        <w:lastRenderedPageBreak/>
        <w:t>Title: Genes Chromosomes &amp; Cancer</w:t>
      </w:r>
      <w:bookmarkEnd w:id="264"/>
      <w:bookmarkEnd w:id="265"/>
      <w:bookmarkEnd w:id="266"/>
      <w:bookmarkEnd w:id="269"/>
    </w:p>
    <w:p w:rsidR="00B95188" w:rsidRPr="00A428C3" w:rsidRDefault="00B95188" w:rsidP="00B72EF9">
      <w:pPr>
        <w:pStyle w:val="12"/>
      </w:pPr>
      <w:r w:rsidRPr="00A428C3">
        <w:t>Full Journal Title: Genes Chromosomes &amp; Cancer</w:t>
      </w:r>
    </w:p>
    <w:p w:rsidR="00B95188" w:rsidRPr="00A428C3" w:rsidRDefault="00B95188" w:rsidP="00B72EF9">
      <w:pPr>
        <w:pStyle w:val="12"/>
      </w:pPr>
      <w:r w:rsidRPr="00A428C3">
        <w:t>ISO Abbreviated Title: Gene Chromosomes Cancer</w:t>
      </w:r>
    </w:p>
    <w:p w:rsidR="00B95188" w:rsidRPr="00A428C3" w:rsidRDefault="00B95188" w:rsidP="00B72EF9">
      <w:pPr>
        <w:pStyle w:val="12"/>
      </w:pPr>
      <w:r w:rsidRPr="00A428C3">
        <w:t>JCR Abbreviated Title: Gene Chromosome Canc</w:t>
      </w:r>
    </w:p>
    <w:p w:rsidR="00B95188" w:rsidRPr="00A428C3" w:rsidRDefault="00B95188" w:rsidP="00B72EF9">
      <w:pPr>
        <w:pStyle w:val="12"/>
      </w:pPr>
      <w:r w:rsidRPr="00A428C3">
        <w:t>ISSN: 1045-2257</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Wiley-Liss</w:t>
      </w:r>
    </w:p>
    <w:p w:rsidR="00B95188" w:rsidRPr="00A428C3" w:rsidRDefault="00B95188" w:rsidP="00B72EF9">
      <w:pPr>
        <w:pStyle w:val="12"/>
      </w:pPr>
      <w:r w:rsidRPr="00A428C3">
        <w:t xml:space="preserve">Publisher Address: Div John Wiley &amp; Sons Inc, </w:t>
      </w:r>
      <w:smartTag w:uri="urn:schemas-microsoft-com:office:smarttags" w:element="address">
        <w:smartTag w:uri="urn:schemas-microsoft-com:office:smarttags" w:element="Street">
          <w:r w:rsidRPr="00A428C3">
            <w:t>605 Third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10158-0012</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Oncology Genetics &amp; Heredity: </w:t>
      </w:r>
      <w:r w:rsidRPr="00A428C3">
        <w:rPr>
          <w:color w:val="008000"/>
        </w:rPr>
        <w:t xml:space="preserve">Impact Factor </w:t>
      </w:r>
    </w:p>
    <w:p w:rsidR="00B95188" w:rsidRPr="00A428C3" w:rsidRDefault="00B95188" w:rsidP="00B95188">
      <w:pPr>
        <w:pStyle w:val="a0"/>
      </w:pPr>
      <w:r w:rsidRPr="00A428C3">
        <w:t>Borresen, A.L., Andersen, T.I., Eyfjörd, J.E., Cornelis, R.S., Thorlacius, S., Borg, Å., Johansson, U., Theillet, C., Scherneck, S., Hartman, S, Cornelisse, C.J., Hovig, E.</w:t>
      </w:r>
      <w:r w:rsidR="00F81221">
        <w:t xml:space="preserve"> and </w:t>
      </w:r>
      <w:r w:rsidRPr="00A428C3">
        <w:t xml:space="preserve">Devilee, P. (1995), </w:t>
      </w:r>
      <w:r w:rsidRPr="00A428C3">
        <w:rPr>
          <w:i/>
        </w:rPr>
        <w:t>TP53</w:t>
      </w:r>
      <w:r w:rsidRPr="00A428C3">
        <w:t xml:space="preserve"> mutations</w:t>
      </w:r>
      <w:r w:rsidR="00F81221">
        <w:t xml:space="preserve"> and </w:t>
      </w:r>
      <w:r w:rsidRPr="00A428C3">
        <w:t xml:space="preserve">breast cancer prognosis: Particularly poor survival rates for cases with mutations in the zinc-binding domains. </w:t>
      </w:r>
      <w:r w:rsidRPr="00A428C3">
        <w:rPr>
          <w:i/>
        </w:rPr>
        <w:t>Genes Chromosomes &amp; Cancer</w:t>
      </w:r>
      <w:r w:rsidRPr="00A428C3">
        <w:t xml:space="preserve">, </w:t>
      </w:r>
      <w:r w:rsidRPr="00A428C3">
        <w:rPr>
          <w:b/>
        </w:rPr>
        <w:t>14</w:t>
      </w:r>
      <w:r w:rsidRPr="00A428C3">
        <w:t xml:space="preserve"> (1), 71-75.</w:t>
      </w:r>
    </w:p>
    <w:p w:rsidR="00B95188" w:rsidRPr="00A428C3" w:rsidRDefault="00B95188" w:rsidP="00B95188">
      <w:pPr>
        <w:pStyle w:val="a0"/>
      </w:pPr>
      <w:r w:rsidRPr="00A428C3">
        <w:t>Abstract: Acquired mutations in TP53 as well as immunohistochemically detectable protein expression have been implicated as prognostic factors for breast cancer. We have evaluated the relationship between mutations detected in 119 breast tumours</w:t>
      </w:r>
      <w:r w:rsidR="00F81221">
        <w:t xml:space="preserve"> and </w:t>
      </w:r>
      <w:r w:rsidRPr="00A428C3">
        <w:t>various clinicohistopathological indices, stratifying the mutations according to the functional domains as defined by the recent elucidation of the crystal structure of the protein. Patients with missense mutations located in regions encoding parts of the protein involved in zinc-binding had significantly decreased disease-free</w:t>
      </w:r>
      <w:r w:rsidR="00F81221">
        <w:t xml:space="preserve"> and </w:t>
      </w:r>
      <w:r w:rsidRPr="00A428C3">
        <w:t>overall survival relative to patients whose tumours had mutations in other domains. These results indicate that these biochemically defined domains also have biological relevance in terms of breast cancer disease course,</w:t>
      </w:r>
      <w:r w:rsidR="00F81221">
        <w:t xml:space="preserve"> and </w:t>
      </w:r>
      <w:r w:rsidRPr="00A428C3">
        <w:t>suggest that some mutations in TP53, more than others, can contribute to the development of clinically more aggressive</w:t>
      </w:r>
      <w:r w:rsidR="00F81221">
        <w:t xml:space="preserve"> and </w:t>
      </w:r>
      <w:r w:rsidRPr="00A428C3">
        <w:t>perhaps treatment resistant breast tumours. When confirmed, this will be of potential importance in predicting the clinical behaviour of breast cancer</w:t>
      </w:r>
      <w:r w:rsidR="00F81221">
        <w:t xml:space="preserve"> and </w:t>
      </w:r>
      <w:r w:rsidRPr="00A428C3">
        <w:t>its responsiveness to therapy. (C) 1995 Wiley-Liss, Inc.</w:t>
      </w:r>
    </w:p>
    <w:p w:rsidR="00B95188" w:rsidRPr="00A428C3" w:rsidRDefault="00B95188" w:rsidP="00B95188">
      <w:pPr>
        <w:pStyle w:val="a0"/>
      </w:pPr>
      <w:r w:rsidRPr="00A428C3">
        <w:t>Keywords: P53 Mutations</w:t>
      </w:r>
    </w:p>
    <w:p w:rsidR="00102F21" w:rsidRPr="001A3D2B" w:rsidRDefault="00102F21" w:rsidP="00102F21">
      <w:pPr>
        <w:pStyle w:val="1"/>
      </w:pPr>
      <w:r w:rsidRPr="001A3D2B">
        <w:br w:type="page"/>
      </w:r>
      <w:bookmarkStart w:id="270" w:name="_Toc246162156"/>
      <w:bookmarkStart w:id="271" w:name="_Toc303168172"/>
      <w:bookmarkStart w:id="272" w:name="_Toc317160908"/>
      <w:r w:rsidRPr="001A3D2B">
        <w:lastRenderedPageBreak/>
        <w:t xml:space="preserve">Title: </w:t>
      </w:r>
      <w:bookmarkEnd w:id="270"/>
      <w:bookmarkEnd w:id="271"/>
      <w:r w:rsidRPr="00102F21">
        <w:rPr>
          <w:iCs/>
        </w:rPr>
        <w:t>Genetic Counseling</w:t>
      </w:r>
      <w:bookmarkEnd w:id="272"/>
    </w:p>
    <w:p w:rsidR="00102F21" w:rsidRPr="001A3D2B" w:rsidRDefault="00102F21" w:rsidP="00102F21">
      <w:pPr>
        <w:pStyle w:val="12"/>
      </w:pPr>
      <w:r w:rsidRPr="001A3D2B">
        <w:t xml:space="preserve">Full Journal Title: </w:t>
      </w:r>
      <w:r w:rsidRPr="00102F21">
        <w:rPr>
          <w:iCs/>
        </w:rPr>
        <w:t>Genetic Counseling</w:t>
      </w:r>
    </w:p>
    <w:p w:rsidR="00102F21" w:rsidRPr="001A3D2B" w:rsidRDefault="00102F21" w:rsidP="00102F21">
      <w:pPr>
        <w:pStyle w:val="12"/>
      </w:pPr>
      <w:r w:rsidRPr="001A3D2B">
        <w:t xml:space="preserve">ISO Abbreviated Title: </w:t>
      </w:r>
    </w:p>
    <w:p w:rsidR="00102F21" w:rsidRPr="001A3D2B" w:rsidRDefault="00102F21" w:rsidP="00102F21">
      <w:pPr>
        <w:pStyle w:val="12"/>
      </w:pPr>
      <w:r w:rsidRPr="001A3D2B">
        <w:t xml:space="preserve">JCR Abbreviated Title: </w:t>
      </w:r>
    </w:p>
    <w:p w:rsidR="00102F21" w:rsidRPr="001A3D2B" w:rsidRDefault="00102F21" w:rsidP="00102F21">
      <w:pPr>
        <w:pStyle w:val="12"/>
      </w:pPr>
      <w:r w:rsidRPr="001A3D2B">
        <w:t xml:space="preserve">ISSN: </w:t>
      </w:r>
    </w:p>
    <w:p w:rsidR="00102F21" w:rsidRPr="001A3D2B" w:rsidRDefault="00102F21" w:rsidP="00102F21">
      <w:pPr>
        <w:pStyle w:val="12"/>
      </w:pPr>
      <w:r w:rsidRPr="001A3D2B">
        <w:t xml:space="preserve">Issues/Year: </w:t>
      </w:r>
    </w:p>
    <w:p w:rsidR="00102F21" w:rsidRPr="001A3D2B" w:rsidRDefault="00102F21" w:rsidP="00102F21">
      <w:pPr>
        <w:pStyle w:val="12"/>
      </w:pPr>
      <w:r w:rsidRPr="001A3D2B">
        <w:t xml:space="preserve">Journal Country/Territory: </w:t>
      </w:r>
    </w:p>
    <w:p w:rsidR="00102F21" w:rsidRPr="001A3D2B" w:rsidRDefault="00102F21" w:rsidP="00102F21">
      <w:pPr>
        <w:pStyle w:val="12"/>
      </w:pPr>
      <w:r w:rsidRPr="001A3D2B">
        <w:t xml:space="preserve">Language: </w:t>
      </w:r>
    </w:p>
    <w:p w:rsidR="00102F21" w:rsidRPr="001A3D2B" w:rsidRDefault="00102F21" w:rsidP="00102F21">
      <w:pPr>
        <w:pStyle w:val="12"/>
      </w:pPr>
      <w:r w:rsidRPr="001A3D2B">
        <w:t xml:space="preserve">Publisher: </w:t>
      </w:r>
    </w:p>
    <w:p w:rsidR="00102F21" w:rsidRPr="001A3D2B" w:rsidRDefault="00102F21" w:rsidP="00102F21">
      <w:pPr>
        <w:pStyle w:val="12"/>
      </w:pPr>
      <w:r w:rsidRPr="001A3D2B">
        <w:t xml:space="preserve">Publisher Address: </w:t>
      </w:r>
    </w:p>
    <w:p w:rsidR="00102F21" w:rsidRPr="001A3D2B" w:rsidRDefault="00102F21" w:rsidP="00102F21">
      <w:pPr>
        <w:pStyle w:val="12"/>
      </w:pPr>
      <w:r w:rsidRPr="001A3D2B">
        <w:t>Subject Categories:</w:t>
      </w:r>
    </w:p>
    <w:p w:rsidR="00102F21" w:rsidRPr="001A3D2B" w:rsidRDefault="00102F21" w:rsidP="00102F21">
      <w:pPr>
        <w:pStyle w:val="12"/>
      </w:pPr>
      <w:r w:rsidRPr="001A3D2B">
        <w:t xml:space="preserve">: Impact Factor </w:t>
      </w:r>
    </w:p>
    <w:p w:rsidR="00102F21" w:rsidRDefault="00102F21" w:rsidP="00102F21">
      <w:pPr>
        <w:pStyle w:val="a0"/>
        <w:rPr>
          <w:kern w:val="0"/>
        </w:rPr>
      </w:pPr>
      <w:r>
        <w:rPr>
          <w:rFonts w:hint="eastAsia"/>
          <w:kern w:val="0"/>
        </w:rPr>
        <w:t xml:space="preserve">? </w:t>
      </w:r>
      <w:r>
        <w:rPr>
          <w:kern w:val="0"/>
        </w:rPr>
        <w:t>Borry, P., Fryns, J.P., Schotsmans, P.</w:t>
      </w:r>
      <w:r w:rsidR="00F81221">
        <w:rPr>
          <w:kern w:val="0"/>
        </w:rPr>
        <w:t xml:space="preserve"> and </w:t>
      </w:r>
      <w:r>
        <w:rPr>
          <w:kern w:val="0"/>
        </w:rPr>
        <w:t xml:space="preserve">Dierickx, K. (2005), Attitudes towards carrier testing in minors: A systematic review. </w:t>
      </w:r>
      <w:r w:rsidRPr="00102F21">
        <w:rPr>
          <w:i/>
          <w:iCs/>
          <w:kern w:val="0"/>
        </w:rPr>
        <w:t>Genetic Counseling</w:t>
      </w:r>
      <w:r>
        <w:rPr>
          <w:kern w:val="0"/>
        </w:rPr>
        <w:t xml:space="preserve">, </w:t>
      </w:r>
      <w:r>
        <w:rPr>
          <w:b/>
          <w:bCs/>
          <w:kern w:val="0"/>
        </w:rPr>
        <w:t>16</w:t>
      </w:r>
      <w:r>
        <w:rPr>
          <w:kern w:val="0"/>
        </w:rPr>
        <w:t xml:space="preserve"> (4), 341-352.</w:t>
      </w:r>
    </w:p>
    <w:p w:rsidR="00102F21" w:rsidRDefault="00102F21" w:rsidP="00102F21">
      <w:pPr>
        <w:pStyle w:val="a0"/>
        <w:rPr>
          <w:kern w:val="0"/>
        </w:rPr>
      </w:pPr>
      <w:r>
        <w:rPr>
          <w:kern w:val="0"/>
        </w:rPr>
        <w:t>Abstract: The objective of this article is to review the attitudes of the different stakeholders (minors. healthcare professionals, parents</w:t>
      </w:r>
      <w:r w:rsidR="00F81221">
        <w:rPr>
          <w:kern w:val="0"/>
        </w:rPr>
        <w:t xml:space="preserve"> and </w:t>
      </w:r>
      <w:r>
        <w:rPr>
          <w:kern w:val="0"/>
        </w:rPr>
        <w:t>relatives of affected individuals) towards carrier testing in minors. The databases PUBMED. Google Scholar, Psychinfo, Biological Abstracts, Francis, Anthropological Index online, web of Science,</w:t>
      </w:r>
      <w:r w:rsidR="00F81221">
        <w:rPr>
          <w:kern w:val="0"/>
        </w:rPr>
        <w:t xml:space="preserve"> and </w:t>
      </w:r>
      <w:r>
        <w:rPr>
          <w:kern w:val="0"/>
        </w:rPr>
        <w:t>Sociological Abstracts were searched using key words for the period 1990-2004. Studies were included if they were published in a peer reviewed journal in English</w:t>
      </w:r>
      <w:r w:rsidR="00F81221">
        <w:rPr>
          <w:kern w:val="0"/>
        </w:rPr>
        <w:t xml:space="preserve"> and </w:t>
      </w:r>
      <w:r>
        <w:rPr>
          <w:kern w:val="0"/>
        </w:rPr>
        <w:t>described the attitudes of minors, parents or healthcare professionals towards carrier testing in minors in a family context. The results were presented in a summary form. In total 20 relevant studies were retrieved (2 studies reported the attitudes of two stakeholders). Only one study reported the attitudes of adolescents, two studies reported the attitudes of adults who had undergone carrier testing in childhood. In total six studies have been retrieved discussing the parental attitudes towards carrier testing in their children. Over all studies, most parents showed interest in detecting their children</w:t>
      </w:r>
      <w:r w:rsidR="000352E7">
        <w:rPr>
          <w:kern w:val="0"/>
        </w:rPr>
        <w:t>’</w:t>
      </w:r>
      <w:r>
        <w:rPr>
          <w:kern w:val="0"/>
        </w:rPr>
        <w:t>s carrier status</w:t>
      </w:r>
      <w:r w:rsidR="00F81221">
        <w:rPr>
          <w:kern w:val="0"/>
        </w:rPr>
        <w:t xml:space="preserve"> and </w:t>
      </w:r>
      <w:r>
        <w:rPr>
          <w:kern w:val="0"/>
        </w:rPr>
        <w:t>responded they wanted their child tested before the age of majority: some parents even before 12 years. Eight studies were retrieved that reported the attitudes of relatives of affected individuals. Most were in favor of carrier testing before 18 years. The studies retrieved suggest that most parents are interested in the carrier status of their children</w:t>
      </w:r>
      <w:r w:rsidR="00F81221">
        <w:rPr>
          <w:kern w:val="0"/>
        </w:rPr>
        <w:t xml:space="preserve"> and </w:t>
      </w:r>
      <w:r>
        <w:rPr>
          <w:kern w:val="0"/>
        </w:rPr>
        <w:t>want their children to be tested before they reach legal majority (and some even in childhood). This can lead to tensions between parents</w:t>
      </w:r>
      <w:r w:rsidR="00F81221">
        <w:rPr>
          <w:kern w:val="0"/>
        </w:rPr>
        <w:t xml:space="preserve"> and </w:t>
      </w:r>
      <w:r>
        <w:rPr>
          <w:kern w:val="0"/>
        </w:rPr>
        <w:t>healthcare professionals regarding carrier testing in minors. Guidelines of healthcare professionals advise to defer carrier testing on the grounds that children should be able to decide for themselves later in life to request a carrier test or not.</w:t>
      </w:r>
    </w:p>
    <w:p w:rsidR="00102F21" w:rsidRDefault="00102F21" w:rsidP="00102F21">
      <w:pPr>
        <w:pStyle w:val="a0"/>
        <w:rPr>
          <w:kern w:val="0"/>
        </w:rPr>
      </w:pPr>
      <w:r>
        <w:rPr>
          <w:kern w:val="0"/>
        </w:rPr>
        <w:lastRenderedPageBreak/>
        <w:t>Keywords: Adolescents, Adults, Ataxia-Telangiectasia, Attitudes, Carrier Testing, Child, Children, Cystic-Fibrosis, Databases, Decision-Making, Disease, Fragile-X-Syndrome, Genetic Testing, Genetics, Google Scholar, Healthcare Professionals, Interest, Journal, Lead, Minors, Obligate Carriers, Parental Attitudes, Parents, Predictive Testing, Prenatal-Diagnosis, Review, Science, Systematic, Systematic Review</w:t>
      </w:r>
    </w:p>
    <w:p w:rsidR="0013008D" w:rsidRPr="00A428C3" w:rsidRDefault="0013008D" w:rsidP="0013008D">
      <w:pPr>
        <w:pStyle w:val="1"/>
      </w:pPr>
      <w:r w:rsidRPr="00A428C3">
        <w:br w:type="page"/>
      </w:r>
      <w:bookmarkStart w:id="273" w:name="_Toc186647711"/>
      <w:bookmarkStart w:id="274" w:name="_Toc317160909"/>
      <w:r w:rsidRPr="00A428C3">
        <w:lastRenderedPageBreak/>
        <w:t>Title: Genetic Engineering News</w:t>
      </w:r>
      <w:bookmarkEnd w:id="273"/>
      <w:bookmarkEnd w:id="274"/>
    </w:p>
    <w:p w:rsidR="0013008D" w:rsidRPr="0013008D" w:rsidRDefault="0013008D" w:rsidP="0013008D">
      <w:pPr>
        <w:pStyle w:val="12"/>
      </w:pPr>
      <w:r w:rsidRPr="0013008D">
        <w:t>Full Journal Title: Genetic Engineering News</w:t>
      </w:r>
    </w:p>
    <w:p w:rsidR="0013008D" w:rsidRPr="0013008D" w:rsidRDefault="0013008D" w:rsidP="0013008D">
      <w:pPr>
        <w:pStyle w:val="12"/>
      </w:pPr>
      <w:r w:rsidRPr="0013008D">
        <w:t>ISO Abbreviated Title: Genet. Eng. News</w:t>
      </w:r>
    </w:p>
    <w:p w:rsidR="0013008D" w:rsidRPr="0013008D" w:rsidRDefault="0013008D" w:rsidP="0013008D">
      <w:pPr>
        <w:pStyle w:val="12"/>
      </w:pPr>
      <w:r w:rsidRPr="0013008D">
        <w:t>JCR Abbreviated Title: Genet Eng News</w:t>
      </w:r>
    </w:p>
    <w:p w:rsidR="0013008D" w:rsidRPr="0013008D" w:rsidRDefault="0013008D" w:rsidP="0013008D">
      <w:pPr>
        <w:pStyle w:val="12"/>
      </w:pPr>
      <w:r w:rsidRPr="0013008D">
        <w:t>ISSN: 0270-6377</w:t>
      </w:r>
    </w:p>
    <w:p w:rsidR="0013008D" w:rsidRPr="0013008D" w:rsidRDefault="0013008D" w:rsidP="0013008D">
      <w:pPr>
        <w:pStyle w:val="12"/>
      </w:pPr>
      <w:r w:rsidRPr="0013008D">
        <w:t>Issues/Year: 21</w:t>
      </w:r>
    </w:p>
    <w:p w:rsidR="0013008D" w:rsidRPr="0013008D" w:rsidRDefault="0013008D" w:rsidP="0013008D">
      <w:pPr>
        <w:pStyle w:val="12"/>
      </w:pPr>
      <w:r w:rsidRPr="0013008D">
        <w:t>Journal Country/Territory: United States</w:t>
      </w:r>
    </w:p>
    <w:p w:rsidR="0013008D" w:rsidRPr="0013008D" w:rsidRDefault="0013008D" w:rsidP="0013008D">
      <w:pPr>
        <w:pStyle w:val="12"/>
      </w:pPr>
      <w:r w:rsidRPr="0013008D">
        <w:t>Language: English</w:t>
      </w:r>
    </w:p>
    <w:p w:rsidR="0013008D" w:rsidRPr="0013008D" w:rsidRDefault="0013008D" w:rsidP="0013008D">
      <w:pPr>
        <w:pStyle w:val="12"/>
      </w:pPr>
      <w:r w:rsidRPr="0013008D">
        <w:t>Publisher: Mary Ann Liebert Inc Publ</w:t>
      </w:r>
    </w:p>
    <w:p w:rsidR="0013008D" w:rsidRPr="0013008D" w:rsidRDefault="0013008D" w:rsidP="0013008D">
      <w:pPr>
        <w:pStyle w:val="12"/>
      </w:pPr>
      <w:r w:rsidRPr="0013008D">
        <w:t>Publisher Address: 2 Madison Avenue, Larchmont, NY 10538</w:t>
      </w:r>
    </w:p>
    <w:p w:rsidR="0013008D" w:rsidRPr="0013008D" w:rsidRDefault="0013008D" w:rsidP="0013008D">
      <w:pPr>
        <w:pStyle w:val="12"/>
      </w:pPr>
      <w:r w:rsidRPr="0013008D">
        <w:t>Subject Categories:</w:t>
      </w:r>
    </w:p>
    <w:p w:rsidR="0013008D" w:rsidRPr="0013008D" w:rsidRDefault="0013008D" w:rsidP="0013008D">
      <w:pPr>
        <w:pStyle w:val="12"/>
      </w:pPr>
      <w:r w:rsidRPr="0013008D">
        <w:t>Biotechnology &amp; Applied Microbiology: Impact Factor 0.109, / (2001)</w:t>
      </w:r>
    </w:p>
    <w:p w:rsidR="0013008D" w:rsidRPr="0013008D" w:rsidRDefault="0013008D" w:rsidP="0013008D">
      <w:pPr>
        <w:pStyle w:val="12"/>
      </w:pPr>
      <w:r w:rsidRPr="0013008D">
        <w:t>Genetics &amp; Heredity: Impact Factor 0.109, / (2001)</w:t>
      </w:r>
    </w:p>
    <w:p w:rsidR="0013008D" w:rsidRPr="00A428C3" w:rsidRDefault="0013008D" w:rsidP="0013008D">
      <w:pPr>
        <w:pStyle w:val="a0"/>
      </w:pPr>
      <w:r w:rsidRPr="00A428C3">
        <w:t xml:space="preserve">? Wong, J.F. (2003), SARS potential epidemic may spark investment - Growing market for infectious disease R&amp;D might invigorate funding. </w:t>
      </w:r>
      <w:r w:rsidRPr="00A428C3">
        <w:rPr>
          <w:i/>
        </w:rPr>
        <w:t>Genetic Engineering News</w:t>
      </w:r>
      <w:r w:rsidRPr="00A428C3">
        <w:t xml:space="preserve">, </w:t>
      </w:r>
      <w:r w:rsidRPr="00A428C3">
        <w:rPr>
          <w:b/>
        </w:rPr>
        <w:t>23</w:t>
      </w:r>
      <w:r w:rsidRPr="00A428C3">
        <w:t xml:space="preserve"> (9), 22-??.</w:t>
      </w:r>
    </w:p>
    <w:p w:rsidR="00102F21" w:rsidRPr="001A3D2B" w:rsidRDefault="00102F21" w:rsidP="00102F21">
      <w:pPr>
        <w:pStyle w:val="1"/>
      </w:pPr>
      <w:r w:rsidRPr="001A3D2B">
        <w:br w:type="page"/>
      </w:r>
      <w:bookmarkStart w:id="275" w:name="_Toc317160910"/>
      <w:r w:rsidRPr="001A3D2B">
        <w:lastRenderedPageBreak/>
        <w:t xml:space="preserve">Title: </w:t>
      </w:r>
      <w:r w:rsidRPr="00102F21">
        <w:rPr>
          <w:iCs/>
        </w:rPr>
        <w:t>Genetics in Medicine</w:t>
      </w:r>
      <w:bookmarkEnd w:id="275"/>
    </w:p>
    <w:p w:rsidR="00102F21" w:rsidRPr="001A3D2B" w:rsidRDefault="00102F21" w:rsidP="00102F21">
      <w:pPr>
        <w:pStyle w:val="12"/>
      </w:pPr>
      <w:r w:rsidRPr="001A3D2B">
        <w:t xml:space="preserve">Full Journal Title: </w:t>
      </w:r>
      <w:r w:rsidRPr="00102F21">
        <w:rPr>
          <w:iCs/>
        </w:rPr>
        <w:t>Genetics in Medicine</w:t>
      </w:r>
    </w:p>
    <w:p w:rsidR="00102F21" w:rsidRPr="001A3D2B" w:rsidRDefault="00102F21" w:rsidP="00102F21">
      <w:pPr>
        <w:pStyle w:val="12"/>
      </w:pPr>
      <w:r w:rsidRPr="001A3D2B">
        <w:t xml:space="preserve">ISO Abbreviated Title: </w:t>
      </w:r>
    </w:p>
    <w:p w:rsidR="00102F21" w:rsidRPr="001A3D2B" w:rsidRDefault="00102F21" w:rsidP="00102F21">
      <w:pPr>
        <w:pStyle w:val="12"/>
      </w:pPr>
      <w:r w:rsidRPr="001A3D2B">
        <w:t xml:space="preserve">JCR Abbreviated Title: </w:t>
      </w:r>
    </w:p>
    <w:p w:rsidR="00102F21" w:rsidRPr="001A3D2B" w:rsidRDefault="00102F21" w:rsidP="00102F21">
      <w:pPr>
        <w:pStyle w:val="12"/>
      </w:pPr>
      <w:r w:rsidRPr="001A3D2B">
        <w:t xml:space="preserve">ISSN: </w:t>
      </w:r>
    </w:p>
    <w:p w:rsidR="00102F21" w:rsidRPr="001A3D2B" w:rsidRDefault="00102F21" w:rsidP="00102F21">
      <w:pPr>
        <w:pStyle w:val="12"/>
      </w:pPr>
      <w:r w:rsidRPr="001A3D2B">
        <w:t xml:space="preserve">Issues/Year: </w:t>
      </w:r>
    </w:p>
    <w:p w:rsidR="00102F21" w:rsidRPr="001A3D2B" w:rsidRDefault="00102F21" w:rsidP="00102F21">
      <w:pPr>
        <w:pStyle w:val="12"/>
      </w:pPr>
      <w:r w:rsidRPr="001A3D2B">
        <w:t xml:space="preserve">Journal Country/Territory: </w:t>
      </w:r>
    </w:p>
    <w:p w:rsidR="00102F21" w:rsidRPr="001A3D2B" w:rsidRDefault="00102F21" w:rsidP="00102F21">
      <w:pPr>
        <w:pStyle w:val="12"/>
      </w:pPr>
      <w:r w:rsidRPr="001A3D2B">
        <w:t xml:space="preserve">Language: </w:t>
      </w:r>
    </w:p>
    <w:p w:rsidR="00102F21" w:rsidRPr="001A3D2B" w:rsidRDefault="00102F21" w:rsidP="00102F21">
      <w:pPr>
        <w:pStyle w:val="12"/>
      </w:pPr>
      <w:r w:rsidRPr="001A3D2B">
        <w:t xml:space="preserve">Publisher: </w:t>
      </w:r>
    </w:p>
    <w:p w:rsidR="00102F21" w:rsidRPr="001A3D2B" w:rsidRDefault="00102F21" w:rsidP="00102F21">
      <w:pPr>
        <w:pStyle w:val="12"/>
      </w:pPr>
      <w:r w:rsidRPr="001A3D2B">
        <w:t xml:space="preserve">Publisher Address: </w:t>
      </w:r>
    </w:p>
    <w:p w:rsidR="00102F21" w:rsidRPr="001A3D2B" w:rsidRDefault="00102F21" w:rsidP="00102F21">
      <w:pPr>
        <w:pStyle w:val="12"/>
      </w:pPr>
      <w:r w:rsidRPr="001A3D2B">
        <w:t>Subject Categories:</w:t>
      </w:r>
    </w:p>
    <w:p w:rsidR="00102F21" w:rsidRPr="001A3D2B" w:rsidRDefault="00102F21" w:rsidP="00102F21">
      <w:pPr>
        <w:pStyle w:val="12"/>
      </w:pPr>
      <w:r w:rsidRPr="001A3D2B">
        <w:t xml:space="preserve">: Impact Factor </w:t>
      </w:r>
    </w:p>
    <w:p w:rsidR="00102F21" w:rsidRDefault="00102F21" w:rsidP="00102F21">
      <w:pPr>
        <w:pStyle w:val="a0"/>
        <w:rPr>
          <w:kern w:val="0"/>
        </w:rPr>
      </w:pPr>
      <w:r>
        <w:rPr>
          <w:rFonts w:hint="eastAsia"/>
          <w:kern w:val="0"/>
        </w:rPr>
        <w:t xml:space="preserve">? </w:t>
      </w:r>
      <w:r>
        <w:rPr>
          <w:kern w:val="0"/>
        </w:rPr>
        <w:t>Smerecnik, C.M.R., Mesters, I., de Vries, N.K.</w:t>
      </w:r>
      <w:r w:rsidR="00F81221">
        <w:rPr>
          <w:kern w:val="0"/>
        </w:rPr>
        <w:t xml:space="preserve"> and </w:t>
      </w:r>
      <w:r>
        <w:rPr>
          <w:kern w:val="0"/>
        </w:rPr>
        <w:t xml:space="preserve">de Vries, H. (2008), Educating the general public about multifactorial genetic disease: Applying a theory-based framework to understand current public knowledge. </w:t>
      </w:r>
      <w:r w:rsidRPr="00102F21">
        <w:rPr>
          <w:i/>
          <w:iCs/>
          <w:kern w:val="0"/>
        </w:rPr>
        <w:t>Genetics in Medicine</w:t>
      </w:r>
      <w:r>
        <w:rPr>
          <w:kern w:val="0"/>
        </w:rPr>
        <w:t xml:space="preserve">, </w:t>
      </w:r>
      <w:r>
        <w:rPr>
          <w:b/>
          <w:bCs/>
          <w:kern w:val="0"/>
        </w:rPr>
        <w:t>10</w:t>
      </w:r>
      <w:r>
        <w:rPr>
          <w:kern w:val="0"/>
        </w:rPr>
        <w:t xml:space="preserve"> (4), 251-258.</w:t>
      </w:r>
    </w:p>
    <w:p w:rsidR="00102F21" w:rsidRDefault="00102F21" w:rsidP="00102F21">
      <w:pPr>
        <w:pStyle w:val="a0"/>
        <w:rPr>
          <w:kern w:val="0"/>
        </w:rPr>
      </w:pPr>
      <w:r>
        <w:rPr>
          <w:kern w:val="0"/>
        </w:rPr>
        <w:t>Abstract: The present article describes the application of a theory-based framework to understand current public knowledge of genetic risk factors of multifactorial diseases. The main innovative aspect is the application of E. M. Rogers</w:t>
      </w:r>
      <w:r w:rsidR="000352E7">
        <w:rPr>
          <w:kern w:val="0"/>
        </w:rPr>
        <w:t>’</w:t>
      </w:r>
      <w:r>
        <w:rPr>
          <w:kern w:val="0"/>
        </w:rPr>
        <w:t xml:space="preserve"> knowledge framework which distinguishes three types of knowledge: </w:t>
      </w:r>
      <w:r w:rsidR="000352E7">
        <w:rPr>
          <w:kern w:val="0"/>
        </w:rPr>
        <w:t>“</w:t>
      </w:r>
      <w:r>
        <w:rPr>
          <w:kern w:val="0"/>
        </w:rPr>
        <w:t>awareness knowledge,</w:t>
      </w:r>
      <w:r w:rsidR="000352E7">
        <w:rPr>
          <w:kern w:val="0"/>
        </w:rPr>
        <w:t>”</w:t>
      </w:r>
      <w:r>
        <w:rPr>
          <w:kern w:val="0"/>
        </w:rPr>
        <w:t xml:space="preserve"> </w:t>
      </w:r>
      <w:r w:rsidR="000352E7">
        <w:rPr>
          <w:kern w:val="0"/>
        </w:rPr>
        <w:t>“</w:t>
      </w:r>
      <w:r>
        <w:rPr>
          <w:kern w:val="0"/>
        </w:rPr>
        <w:t>how-to knowledge,</w:t>
      </w:r>
      <w:r w:rsidR="000352E7">
        <w:rPr>
          <w:kern w:val="0"/>
        </w:rPr>
        <w:t>”</w:t>
      </w:r>
      <w:r w:rsidR="00F81221">
        <w:rPr>
          <w:kern w:val="0"/>
        </w:rPr>
        <w:t xml:space="preserve"> and </w:t>
      </w:r>
      <w:r w:rsidR="000352E7">
        <w:rPr>
          <w:kern w:val="0"/>
        </w:rPr>
        <w:t>“</w:t>
      </w:r>
      <w:r>
        <w:rPr>
          <w:kern w:val="0"/>
        </w:rPr>
        <w:t>principles knowledge.</w:t>
      </w:r>
      <w:r w:rsidR="000352E7">
        <w:rPr>
          <w:kern w:val="0"/>
        </w:rPr>
        <w:t>”</w:t>
      </w:r>
      <w:r>
        <w:rPr>
          <w:kern w:val="0"/>
        </w:rPr>
        <w:t xml:space="preserve"> We argue that distinguishing these types of knowledge allows for a more sophisticated overview of the general public. To illustrate the application of Rogers</w:t>
      </w:r>
      <w:r w:rsidR="000352E7">
        <w:rPr>
          <w:kern w:val="0"/>
        </w:rPr>
        <w:t>’</w:t>
      </w:r>
      <w:r>
        <w:rPr>
          <w:kern w:val="0"/>
        </w:rPr>
        <w:t xml:space="preserve"> framework, we performed a literature review of current public knowledge of genetic risk factors of multifactorial genetic diseases. Relevant articles were identified by searching the PUBMED, Web of Science, EMBASE, CINAHL, ERIC,</w:t>
      </w:r>
      <w:r w:rsidR="00F81221">
        <w:rPr>
          <w:kern w:val="0"/>
        </w:rPr>
        <w:t xml:space="preserve"> and </w:t>
      </w:r>
      <w:r>
        <w:rPr>
          <w:kern w:val="0"/>
        </w:rPr>
        <w:t>PsycINFO databases from January 1990 until January 2007</w:t>
      </w:r>
      <w:r w:rsidR="00F81221">
        <w:rPr>
          <w:kern w:val="0"/>
        </w:rPr>
        <w:t xml:space="preserve"> and </w:t>
      </w:r>
      <w:r>
        <w:rPr>
          <w:kern w:val="0"/>
        </w:rPr>
        <w:t>by performing reference list</w:t>
      </w:r>
      <w:r w:rsidR="00F81221">
        <w:rPr>
          <w:kern w:val="0"/>
        </w:rPr>
        <w:t xml:space="preserve"> and </w:t>
      </w:r>
      <w:r>
        <w:rPr>
          <w:kern w:val="0"/>
        </w:rPr>
        <w:t>author searches. Although this review showed that current public knowledge is limited, it also showed that the knowledge framework may be a useful tool for assessing different types of public knowledge</w:t>
      </w:r>
      <w:r w:rsidR="00F81221">
        <w:rPr>
          <w:kern w:val="0"/>
        </w:rPr>
        <w:t xml:space="preserve"> and </w:t>
      </w:r>
      <w:r>
        <w:rPr>
          <w:kern w:val="0"/>
        </w:rPr>
        <w:t>pinpointing flaws or caveats in public knowledge with more precision</w:t>
      </w:r>
      <w:r w:rsidR="00F81221">
        <w:rPr>
          <w:kern w:val="0"/>
        </w:rPr>
        <w:t xml:space="preserve"> and </w:t>
      </w:r>
      <w:r>
        <w:rPr>
          <w:kern w:val="0"/>
        </w:rPr>
        <w:t>subsequently develop public health campaigns to remedy such flaws. Implications for genetic education are discussed.</w:t>
      </w:r>
    </w:p>
    <w:p w:rsidR="00102F21" w:rsidRDefault="00102F21" w:rsidP="00102F21">
      <w:pPr>
        <w:pStyle w:val="a0"/>
        <w:rPr>
          <w:kern w:val="0"/>
        </w:rPr>
      </w:pPr>
      <w:r>
        <w:rPr>
          <w:kern w:val="0"/>
        </w:rPr>
        <w:t xml:space="preserve">Keywords: Attitudes, Author, Awareness, Awareness, Breast-Cancer, Databases, Disease, Education, General Public, Genetic, Genetic Diseases, Genetic Risk, Health, Heart-Disease, Information Needs, Inherited High Cholesterol, Knowledge, Literature, Literature Review, Medical Genetics, Multifactorial Disease, Overview, Population, Public Health, Review, Risk, Risk Factors, Risk-Factors, Science, Web </w:t>
      </w:r>
      <w:r>
        <w:rPr>
          <w:kern w:val="0"/>
        </w:rPr>
        <w:lastRenderedPageBreak/>
        <w:t>of Science</w:t>
      </w:r>
    </w:p>
    <w:p w:rsidR="007A0915" w:rsidRPr="00A428C3" w:rsidRDefault="007A0915" w:rsidP="007A0915">
      <w:pPr>
        <w:pStyle w:val="1"/>
      </w:pPr>
      <w:r w:rsidRPr="00A428C3">
        <w:br w:type="page"/>
      </w:r>
      <w:bookmarkStart w:id="276" w:name="_Toc238862941"/>
      <w:bookmarkStart w:id="277" w:name="_Toc317160911"/>
      <w:r w:rsidRPr="00A428C3">
        <w:lastRenderedPageBreak/>
        <w:t xml:space="preserve">Title: </w:t>
      </w:r>
      <w:r w:rsidRPr="0039351B">
        <w:t>Genetics</w:t>
      </w:r>
      <w:r w:rsidR="00F81221">
        <w:t xml:space="preserve"> and </w:t>
      </w:r>
      <w:r w:rsidRPr="0039351B">
        <w:t>Molecular Research</w:t>
      </w:r>
      <w:bookmarkEnd w:id="276"/>
      <w:bookmarkEnd w:id="277"/>
    </w:p>
    <w:p w:rsidR="007A0915" w:rsidRPr="00A428C3" w:rsidRDefault="007A0915" w:rsidP="007A0915">
      <w:pPr>
        <w:pStyle w:val="12"/>
      </w:pPr>
      <w:r w:rsidRPr="00A428C3">
        <w:t xml:space="preserve">Full Journal Title: </w:t>
      </w:r>
      <w:hyperlink r:id="rId339" w:history="1">
        <w:r w:rsidRPr="0039351B">
          <w:rPr>
            <w:rStyle w:val="a5"/>
          </w:rPr>
          <w:t>Genetics</w:t>
        </w:r>
        <w:r w:rsidR="00F81221">
          <w:rPr>
            <w:rStyle w:val="a5"/>
          </w:rPr>
          <w:t xml:space="preserve"> and </w:t>
        </w:r>
        <w:r w:rsidRPr="0039351B">
          <w:rPr>
            <w:rStyle w:val="a5"/>
          </w:rPr>
          <w:t>Molecular Research</w:t>
        </w:r>
      </w:hyperlink>
    </w:p>
    <w:p w:rsidR="007A0915" w:rsidRPr="00A428C3" w:rsidRDefault="007A0915" w:rsidP="007A0915">
      <w:pPr>
        <w:pStyle w:val="12"/>
      </w:pPr>
      <w:r w:rsidRPr="00A428C3">
        <w:t xml:space="preserve">ISO Abbreviated Title: </w:t>
      </w:r>
    </w:p>
    <w:p w:rsidR="007A0915" w:rsidRPr="00A428C3" w:rsidRDefault="007A0915" w:rsidP="007A0915">
      <w:pPr>
        <w:pStyle w:val="12"/>
      </w:pPr>
      <w:r w:rsidRPr="00A428C3">
        <w:t>JCR Abbreviated Title</w:t>
      </w:r>
      <w:r>
        <w:t>:</w:t>
      </w:r>
      <w:r w:rsidRPr="00A428C3">
        <w:t xml:space="preserve"> </w:t>
      </w:r>
      <w:r w:rsidRPr="00A55B4C">
        <w:t>Genet Mol Res</w:t>
      </w:r>
    </w:p>
    <w:p w:rsidR="007A0915" w:rsidRPr="00A428C3" w:rsidRDefault="007A0915" w:rsidP="007A0915">
      <w:pPr>
        <w:pStyle w:val="12"/>
      </w:pPr>
      <w:r w:rsidRPr="00A428C3">
        <w:t xml:space="preserve">ISSN: </w:t>
      </w:r>
    </w:p>
    <w:p w:rsidR="007A0915" w:rsidRPr="00A428C3" w:rsidRDefault="007A0915" w:rsidP="007A0915">
      <w:pPr>
        <w:pStyle w:val="12"/>
      </w:pPr>
      <w:r w:rsidRPr="00A428C3">
        <w:t xml:space="preserve">Issues/Year: </w:t>
      </w:r>
    </w:p>
    <w:p w:rsidR="007A0915" w:rsidRPr="00A428C3" w:rsidRDefault="007A0915" w:rsidP="007A0915">
      <w:pPr>
        <w:pStyle w:val="12"/>
      </w:pPr>
      <w:r>
        <w:t xml:space="preserve">Journal Country/Territory: </w:t>
      </w:r>
    </w:p>
    <w:p w:rsidR="007A0915" w:rsidRPr="00A428C3" w:rsidRDefault="007A0915" w:rsidP="007A0915">
      <w:pPr>
        <w:pStyle w:val="12"/>
      </w:pPr>
      <w:r w:rsidRPr="00A428C3">
        <w:t xml:space="preserve">Language: </w:t>
      </w:r>
    </w:p>
    <w:p w:rsidR="007A0915" w:rsidRPr="00A428C3" w:rsidRDefault="007A0915" w:rsidP="007A0915">
      <w:pPr>
        <w:pStyle w:val="12"/>
      </w:pPr>
      <w:r w:rsidRPr="00A428C3">
        <w:t xml:space="preserve">Publisher: </w:t>
      </w:r>
    </w:p>
    <w:p w:rsidR="007A0915" w:rsidRPr="00A428C3" w:rsidRDefault="007A0915" w:rsidP="007A0915">
      <w:pPr>
        <w:pStyle w:val="12"/>
      </w:pPr>
      <w:r w:rsidRPr="00A428C3">
        <w:t xml:space="preserve">Publisher Address: </w:t>
      </w:r>
    </w:p>
    <w:p w:rsidR="007A0915" w:rsidRPr="00A428C3" w:rsidRDefault="007A0915" w:rsidP="007A0915">
      <w:pPr>
        <w:pStyle w:val="12"/>
      </w:pPr>
      <w:r w:rsidRPr="00A428C3">
        <w:t>Subject Categories:</w:t>
      </w:r>
    </w:p>
    <w:p w:rsidR="007A0915" w:rsidRPr="00A428C3" w:rsidRDefault="007A0915" w:rsidP="007A0915">
      <w:pPr>
        <w:pStyle w:val="12"/>
      </w:pPr>
      <w:r w:rsidRPr="00A428C3">
        <w:t xml:space="preserve">: Impact Factor </w:t>
      </w:r>
    </w:p>
    <w:p w:rsidR="007A0915" w:rsidRPr="003862C4" w:rsidRDefault="007A0915" w:rsidP="007A0915">
      <w:pPr>
        <w:pStyle w:val="a0"/>
      </w:pPr>
      <w:r w:rsidRPr="008B2BB0">
        <w:t>? Leite, M. (2004), Public sphere</w:t>
      </w:r>
      <w:r w:rsidR="00F81221">
        <w:t xml:space="preserve"> and </w:t>
      </w:r>
      <w:r w:rsidRPr="008B2BB0">
        <w:t xml:space="preserve">the sustainability of the bioinformatics promise. </w:t>
      </w:r>
      <w:r w:rsidRPr="00CE7517">
        <w:rPr>
          <w:i/>
          <w:iCs/>
        </w:rPr>
        <w:t>Genetics</w:t>
      </w:r>
      <w:r w:rsidR="00F81221">
        <w:rPr>
          <w:i/>
          <w:iCs/>
        </w:rPr>
        <w:t xml:space="preserve"> and </w:t>
      </w:r>
      <w:r w:rsidRPr="00CE7517">
        <w:rPr>
          <w:i/>
          <w:iCs/>
        </w:rPr>
        <w:t>Molecular Research</w:t>
      </w:r>
      <w:r w:rsidRPr="008B2BB0">
        <w:t xml:space="preserve">, </w:t>
      </w:r>
      <w:r w:rsidRPr="00551655">
        <w:rPr>
          <w:b/>
          <w:bCs/>
        </w:rPr>
        <w:t>3</w:t>
      </w:r>
      <w:r w:rsidRPr="003862C4">
        <w:t xml:space="preserve"> (4), 575-581.</w:t>
      </w:r>
    </w:p>
    <w:p w:rsidR="007A0915" w:rsidRPr="003862C4" w:rsidRDefault="007A0915" w:rsidP="007A0915">
      <w:pPr>
        <w:pStyle w:val="a0"/>
      </w:pPr>
      <w:r w:rsidRPr="003862C4">
        <w:rPr>
          <w:rFonts w:hint="eastAsia"/>
        </w:rPr>
        <w:t xml:space="preserve">Full Text: </w:t>
      </w:r>
      <w:hyperlink r:id="rId340" w:history="1">
        <w:r w:rsidRPr="0039351B">
          <w:rPr>
            <w:rStyle w:val="a5"/>
          </w:rPr>
          <w:t>2004\Gen Mol Res3, 575.pdf</w:t>
        </w:r>
      </w:hyperlink>
    </w:p>
    <w:p w:rsidR="007A0915" w:rsidRPr="003862C4" w:rsidRDefault="007A0915" w:rsidP="007A0915">
      <w:pPr>
        <w:pStyle w:val="a0"/>
      </w:pPr>
      <w:r w:rsidRPr="003862C4">
        <w:t>Abstract: The literature about genomics</w:t>
      </w:r>
      <w:r w:rsidR="00F81221">
        <w:t xml:space="preserve"> and </w:t>
      </w:r>
      <w:r w:rsidRPr="003862C4">
        <w:t>bioinformatics achievements in high-impact journals such as Nature</w:t>
      </w:r>
      <w:r w:rsidR="00F81221">
        <w:t xml:space="preserve"> and </w:t>
      </w:r>
      <w:r w:rsidRPr="003862C4">
        <w:t>Science has raised disproportionate expectations amongst the general public about fast</w:t>
      </w:r>
      <w:r w:rsidR="00F81221">
        <w:t xml:space="preserve"> and </w:t>
      </w:r>
      <w:r w:rsidRPr="003862C4">
        <w:t>revolutionary drugs</w:t>
      </w:r>
      <w:r w:rsidR="00F81221">
        <w:t xml:space="preserve"> and </w:t>
      </w:r>
      <w:r w:rsidRPr="003862C4">
        <w:t>breakthroughs in biomedicine. However, the yield obtained by database mining activities has been modest, as reported in the February 2001 issues of these journals featuring the completion of human genome draft sequences by the Human Genome Project Consortium</w:t>
      </w:r>
      <w:r w:rsidR="00F81221">
        <w:t xml:space="preserve"> and </w:t>
      </w:r>
      <w:r w:rsidRPr="003862C4">
        <w:t>the company Celera. I have compared changes in rethoric employed by molecular biologists in 2001</w:t>
      </w:r>
      <w:r w:rsidR="00F81221">
        <w:t xml:space="preserve"> and </w:t>
      </w:r>
      <w:r w:rsidRPr="003862C4">
        <w:t>in April 2003, when the final sequence was announced. The comparison suggests that researchers are concerned about the sustainability of society</w:t>
      </w:r>
      <w:r w:rsidR="000352E7">
        <w:t>’</w:t>
      </w:r>
      <w:r w:rsidRPr="003862C4">
        <w:t>s investment in this field, though not explicitly.</w:t>
      </w:r>
    </w:p>
    <w:p w:rsidR="007A0915" w:rsidRPr="003862C4" w:rsidRDefault="007A0915" w:rsidP="007A0915">
      <w:pPr>
        <w:pStyle w:val="a0"/>
      </w:pPr>
      <w:r w:rsidRPr="003862C4">
        <w:t>Keywords: Biomedicine, Changes, Comparison, Database, Drugs, Field, General, Genomics, Human, Journals, Literature, Mining, Public, Sustainability</w:t>
      </w:r>
    </w:p>
    <w:p w:rsidR="00102F21" w:rsidRPr="00A428C3" w:rsidRDefault="00102F21" w:rsidP="00102F21">
      <w:pPr>
        <w:pStyle w:val="1"/>
      </w:pPr>
      <w:r w:rsidRPr="00A428C3">
        <w:br w:type="page"/>
      </w:r>
      <w:bookmarkStart w:id="278" w:name="_Toc317160912"/>
      <w:r w:rsidRPr="00A428C3">
        <w:lastRenderedPageBreak/>
        <w:t xml:space="preserve">Title: </w:t>
      </w:r>
      <w:r w:rsidRPr="00A91C10">
        <w:t>Genome Biology</w:t>
      </w:r>
      <w:bookmarkEnd w:id="278"/>
    </w:p>
    <w:p w:rsidR="00102F21" w:rsidRPr="00A428C3" w:rsidRDefault="00102F21" w:rsidP="00102F21">
      <w:pPr>
        <w:pStyle w:val="12"/>
      </w:pPr>
      <w:r w:rsidRPr="00A428C3">
        <w:t xml:space="preserve">Full Journal Title: </w:t>
      </w:r>
      <w:hyperlink r:id="rId341" w:history="1">
        <w:r w:rsidRPr="00A91C10">
          <w:rPr>
            <w:rStyle w:val="a5"/>
          </w:rPr>
          <w:t>Genome Biology</w:t>
        </w:r>
      </w:hyperlink>
    </w:p>
    <w:p w:rsidR="00102F21" w:rsidRPr="00A428C3" w:rsidRDefault="00102F21" w:rsidP="00102F21">
      <w:pPr>
        <w:pStyle w:val="12"/>
      </w:pPr>
      <w:r w:rsidRPr="00A428C3">
        <w:t xml:space="preserve">ISO Abbreviated Title: </w:t>
      </w:r>
    </w:p>
    <w:p w:rsidR="00102F21" w:rsidRPr="00A428C3" w:rsidRDefault="00102F21" w:rsidP="00102F21">
      <w:pPr>
        <w:pStyle w:val="12"/>
      </w:pPr>
      <w:r w:rsidRPr="00A428C3">
        <w:t>JCR Abbreviated Title</w:t>
      </w:r>
      <w:r>
        <w:t>:</w:t>
      </w:r>
      <w:r w:rsidRPr="00A428C3">
        <w:t xml:space="preserve"> </w:t>
      </w:r>
    </w:p>
    <w:p w:rsidR="00102F21" w:rsidRPr="00A428C3" w:rsidRDefault="00102F21" w:rsidP="00102F21">
      <w:pPr>
        <w:pStyle w:val="12"/>
      </w:pPr>
      <w:r w:rsidRPr="00A428C3">
        <w:t xml:space="preserve">ISSN: </w:t>
      </w:r>
    </w:p>
    <w:p w:rsidR="00102F21" w:rsidRPr="00A428C3" w:rsidRDefault="00102F21" w:rsidP="00102F21">
      <w:pPr>
        <w:pStyle w:val="12"/>
      </w:pPr>
      <w:r w:rsidRPr="00A428C3">
        <w:t xml:space="preserve">Issues/Year: </w:t>
      </w:r>
    </w:p>
    <w:p w:rsidR="00102F21" w:rsidRPr="00A428C3" w:rsidRDefault="00102F21" w:rsidP="00102F21">
      <w:pPr>
        <w:pStyle w:val="12"/>
      </w:pPr>
      <w:r>
        <w:t xml:space="preserve">Journal Country/Territory: </w:t>
      </w:r>
    </w:p>
    <w:p w:rsidR="00102F21" w:rsidRPr="00A428C3" w:rsidRDefault="00102F21" w:rsidP="00102F21">
      <w:pPr>
        <w:pStyle w:val="12"/>
      </w:pPr>
      <w:r w:rsidRPr="00A428C3">
        <w:t xml:space="preserve">Language: </w:t>
      </w:r>
    </w:p>
    <w:p w:rsidR="00102F21" w:rsidRPr="00A428C3" w:rsidRDefault="00102F21" w:rsidP="00102F21">
      <w:pPr>
        <w:pStyle w:val="12"/>
      </w:pPr>
      <w:r w:rsidRPr="00A428C3">
        <w:t xml:space="preserve">Publisher: </w:t>
      </w:r>
    </w:p>
    <w:p w:rsidR="00102F21" w:rsidRPr="00A428C3" w:rsidRDefault="00102F21" w:rsidP="00102F21">
      <w:pPr>
        <w:pStyle w:val="12"/>
      </w:pPr>
      <w:r w:rsidRPr="00A428C3">
        <w:t xml:space="preserve">Publisher Address: </w:t>
      </w:r>
    </w:p>
    <w:p w:rsidR="00102F21" w:rsidRPr="00A428C3" w:rsidRDefault="00102F21" w:rsidP="00102F21">
      <w:pPr>
        <w:pStyle w:val="12"/>
      </w:pPr>
      <w:r w:rsidRPr="00A428C3">
        <w:t>Subject Categories:</w:t>
      </w:r>
    </w:p>
    <w:p w:rsidR="00102F21" w:rsidRPr="00A428C3" w:rsidRDefault="00102F21" w:rsidP="00102F21">
      <w:pPr>
        <w:pStyle w:val="12"/>
      </w:pPr>
      <w:r w:rsidRPr="00A428C3">
        <w:t xml:space="preserve">: Impact Factor </w:t>
      </w:r>
    </w:p>
    <w:p w:rsidR="00102F21" w:rsidRDefault="00102F21" w:rsidP="00102F21">
      <w:pPr>
        <w:pStyle w:val="a0"/>
        <w:rPr>
          <w:kern w:val="0"/>
        </w:rPr>
      </w:pPr>
      <w:r>
        <w:rPr>
          <w:rFonts w:hint="eastAsia"/>
          <w:kern w:val="0"/>
        </w:rPr>
        <w:t xml:space="preserve">? </w:t>
      </w:r>
      <w:r>
        <w:rPr>
          <w:kern w:val="0"/>
        </w:rPr>
        <w:t>Cokol, M., Rodriguez-Esteban, R.</w:t>
      </w:r>
      <w:r w:rsidR="00F81221">
        <w:rPr>
          <w:kern w:val="0"/>
        </w:rPr>
        <w:t xml:space="preserve"> and </w:t>
      </w:r>
      <w:r>
        <w:rPr>
          <w:kern w:val="0"/>
        </w:rPr>
        <w:t xml:space="preserve">Rzhetsky, A. (2007), A recipe for high impact. </w:t>
      </w:r>
      <w:r w:rsidRPr="00A91C10">
        <w:rPr>
          <w:i/>
          <w:iCs/>
          <w:kern w:val="0"/>
        </w:rPr>
        <w:t>Genome Biology</w:t>
      </w:r>
      <w:r>
        <w:rPr>
          <w:kern w:val="0"/>
        </w:rPr>
        <w:t xml:space="preserve">, </w:t>
      </w:r>
      <w:r>
        <w:rPr>
          <w:b/>
          <w:bCs/>
          <w:kern w:val="0"/>
        </w:rPr>
        <w:t>8</w:t>
      </w:r>
      <w:r>
        <w:rPr>
          <w:kern w:val="0"/>
        </w:rPr>
        <w:t xml:space="preserve"> (5</w:t>
      </w:r>
      <w:r>
        <w:rPr>
          <w:rFonts w:hint="eastAsia"/>
          <w:kern w:val="0"/>
        </w:rPr>
        <w:t>)</w:t>
      </w:r>
      <w:r w:rsidRPr="00A91C10">
        <w:rPr>
          <w:rFonts w:hint="eastAsia"/>
        </w:rPr>
        <w:t xml:space="preserve">, </w:t>
      </w:r>
      <w:r w:rsidRPr="00A91C10">
        <w:t>Article Number: 406</w:t>
      </w:r>
      <w:r>
        <w:rPr>
          <w:kern w:val="0"/>
        </w:rPr>
        <w:t>.</w:t>
      </w:r>
    </w:p>
    <w:p w:rsidR="00102F21" w:rsidRDefault="00102F21" w:rsidP="00102F21">
      <w:pPr>
        <w:pStyle w:val="a0"/>
        <w:rPr>
          <w:kern w:val="0"/>
        </w:rPr>
      </w:pPr>
      <w:r>
        <w:rPr>
          <w:rFonts w:hint="eastAsia"/>
          <w:kern w:val="0"/>
        </w:rPr>
        <w:t xml:space="preserve">Full Text: </w:t>
      </w:r>
      <w:hyperlink r:id="rId342" w:history="1">
        <w:r w:rsidRPr="00A91C10">
          <w:rPr>
            <w:rStyle w:val="a5"/>
            <w:kern w:val="0"/>
          </w:rPr>
          <w:t>2007\Gen Bio8, 406.pdf</w:t>
        </w:r>
      </w:hyperlink>
    </w:p>
    <w:p w:rsidR="00102F21" w:rsidRDefault="00102F21" w:rsidP="00102F21">
      <w:pPr>
        <w:pStyle w:val="a0"/>
        <w:rPr>
          <w:kern w:val="0"/>
        </w:rPr>
      </w:pPr>
      <w:r>
        <w:rPr>
          <w:kern w:val="0"/>
        </w:rPr>
        <w:t>Abstract: Our analysis highlights common statistical features of high-impact articles; we also show how information flows among various publication types.</w:t>
      </w:r>
    </w:p>
    <w:p w:rsidR="00102F21" w:rsidRDefault="00102F21" w:rsidP="00102F21">
      <w:pPr>
        <w:pStyle w:val="a0"/>
        <w:rPr>
          <w:kern w:val="0"/>
        </w:rPr>
      </w:pPr>
      <w:r>
        <w:rPr>
          <w:kern w:val="0"/>
        </w:rPr>
        <w:t>Keywords: Analysis</w:t>
      </w:r>
      <w:r>
        <w:rPr>
          <w:rFonts w:hint="eastAsia"/>
          <w:kern w:val="0"/>
        </w:rPr>
        <w:t xml:space="preserve">, </w:t>
      </w:r>
      <w:r>
        <w:rPr>
          <w:kern w:val="0"/>
        </w:rPr>
        <w:t>Publication</w:t>
      </w:r>
    </w:p>
    <w:p w:rsidR="00B95188" w:rsidRPr="00A428C3" w:rsidRDefault="00B95188" w:rsidP="00B95188">
      <w:pPr>
        <w:pStyle w:val="1"/>
      </w:pPr>
      <w:r w:rsidRPr="00A428C3">
        <w:br w:type="page"/>
      </w:r>
      <w:bookmarkStart w:id="279" w:name="_Toc490687982"/>
      <w:bookmarkStart w:id="280" w:name="_Toc492807643"/>
      <w:bookmarkStart w:id="281" w:name="_Toc186647712"/>
      <w:bookmarkStart w:id="282" w:name="_Toc317160913"/>
      <w:r w:rsidRPr="00A428C3">
        <w:lastRenderedPageBreak/>
        <w:t xml:space="preserve">Title: </w:t>
      </w:r>
      <w:bookmarkEnd w:id="267"/>
      <w:bookmarkEnd w:id="268"/>
      <w:bookmarkEnd w:id="279"/>
      <w:r w:rsidRPr="00A428C3">
        <w:t>Geochimica et Cosmochimica Acta</w:t>
      </w:r>
      <w:bookmarkEnd w:id="280"/>
      <w:bookmarkEnd w:id="281"/>
      <w:bookmarkEnd w:id="282"/>
    </w:p>
    <w:p w:rsidR="00B95188" w:rsidRPr="00A428C3" w:rsidRDefault="00B95188" w:rsidP="00B72EF9">
      <w:pPr>
        <w:pStyle w:val="12"/>
      </w:pPr>
      <w:r w:rsidRPr="00A428C3">
        <w:t xml:space="preserve">Full Journal Title: </w:t>
      </w:r>
      <w:hyperlink r:id="rId343" w:history="1">
        <w:r w:rsidRPr="00A428C3">
          <w:rPr>
            <w:rStyle w:val="a5"/>
          </w:rPr>
          <w:t>Geochimica et Cosmochimica Acta</w:t>
        </w:r>
      </w:hyperlink>
    </w:p>
    <w:p w:rsidR="00B95188" w:rsidRPr="00A428C3" w:rsidRDefault="00B95188" w:rsidP="00B72EF9">
      <w:pPr>
        <w:pStyle w:val="12"/>
      </w:pPr>
      <w:r w:rsidRPr="00A428C3">
        <w:t>ISO Abbreviated Title: Geochim. Cosmochim. Acta</w:t>
      </w:r>
    </w:p>
    <w:p w:rsidR="00B95188" w:rsidRPr="00A428C3" w:rsidRDefault="00B95188" w:rsidP="00B72EF9">
      <w:pPr>
        <w:pStyle w:val="12"/>
      </w:pPr>
      <w:r w:rsidRPr="00A428C3">
        <w:t>JCR Abbreviated Title: Geochim Cosmochim Act</w:t>
      </w:r>
    </w:p>
    <w:p w:rsidR="00B95188" w:rsidRPr="00A428C3" w:rsidRDefault="00B95188" w:rsidP="00B72EF9">
      <w:pPr>
        <w:pStyle w:val="12"/>
      </w:pPr>
      <w:r w:rsidRPr="00A428C3">
        <w:t>ISSN: 0016-7037</w:t>
      </w:r>
    </w:p>
    <w:p w:rsidR="00B95188" w:rsidRPr="00A428C3" w:rsidRDefault="00B95188" w:rsidP="00B72EF9">
      <w:pPr>
        <w:pStyle w:val="12"/>
      </w:pPr>
      <w:r w:rsidRPr="00A428C3">
        <w:t>Issues/Year: 24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Pergamon-Elsevier Science Ltd</w:t>
      </w:r>
    </w:p>
    <w:p w:rsidR="00B95188" w:rsidRPr="00A428C3" w:rsidRDefault="00B95188" w:rsidP="00B72EF9">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Geochemistry &amp; Geophysics: Impact Factor 2.534, 5/45 (2000)</w:t>
      </w:r>
    </w:p>
    <w:p w:rsidR="00B95188" w:rsidRPr="00A428C3" w:rsidRDefault="00B95188" w:rsidP="00B95188">
      <w:pPr>
        <w:pStyle w:val="a0"/>
      </w:pPr>
      <w:r w:rsidRPr="00A428C3">
        <w:t>Luce, R.W., Bartlett, R.W.</w:t>
      </w:r>
      <w:r w:rsidR="00F81221">
        <w:t xml:space="preserve"> and </w:t>
      </w:r>
      <w:r w:rsidRPr="00A428C3">
        <w:t xml:space="preserve">Parks, G.A. (1972), Dissolution kinetics of magnesium silicates. </w:t>
      </w:r>
      <w:r w:rsidRPr="00A428C3">
        <w:rPr>
          <w:i/>
        </w:rPr>
        <w:t>Geochimica et Cosmochimica Acta</w:t>
      </w:r>
      <w:r w:rsidRPr="00A428C3">
        <w:t xml:space="preserve">, </w:t>
      </w:r>
      <w:r w:rsidRPr="00A428C3">
        <w:rPr>
          <w:b/>
        </w:rPr>
        <w:t>36</w:t>
      </w:r>
      <w:r w:rsidRPr="00A428C3">
        <w:t xml:space="preserve"> (1), 35-50.</w:t>
      </w:r>
    </w:p>
    <w:p w:rsidR="00B95188" w:rsidRPr="00A428C3" w:rsidRDefault="00B95188" w:rsidP="00B95188">
      <w:pPr>
        <w:pStyle w:val="a0"/>
      </w:pPr>
      <w:r w:rsidRPr="00A428C3">
        <w:t xml:space="preserve">Full Text: </w:t>
      </w:r>
      <w:hyperlink r:id="rId344" w:history="1">
        <w:r w:rsidRPr="00A428C3">
          <w:rPr>
            <w:rStyle w:val="a5"/>
          </w:rPr>
          <w:t>G\Geo Cos Act36, 35.pdf</w:t>
        </w:r>
      </w:hyperlink>
    </w:p>
    <w:p w:rsidR="00B95188" w:rsidRPr="00A428C3" w:rsidRDefault="00B95188" w:rsidP="00B95188">
      <w:pPr>
        <w:pStyle w:val="a0"/>
      </w:pPr>
      <w:r w:rsidRPr="00A428C3">
        <w:t>Abstract: Kinetic dissolution experiments on serpentine, forsterite</w:t>
      </w:r>
      <w:r w:rsidR="00F81221">
        <w:t xml:space="preserve"> and </w:t>
      </w:r>
      <w:r w:rsidRPr="00A428C3">
        <w:t xml:space="preserve">enstatite over a wide pH range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A428C3">
          <w:t>25°C</w:t>
        </w:r>
      </w:smartTag>
      <w:r w:rsidRPr="00A428C3">
        <w:t xml:space="preserve"> show that there is an initial rapid exchange of surface magnesium ions with hydrogen ions followed by a longer period of hydrogen exchange</w:t>
      </w:r>
      <w:r w:rsidR="00F81221">
        <w:t xml:space="preserve"> and </w:t>
      </w:r>
      <w:r w:rsidRPr="00A428C3">
        <w:t>extraction of internal magnesium</w:t>
      </w:r>
      <w:r w:rsidR="00F81221">
        <w:t xml:space="preserve"> and </w:t>
      </w:r>
      <w:r w:rsidRPr="00A428C3">
        <w:t xml:space="preserve">silicon, with the amount extracted proportional to </w:t>
      </w:r>
      <w:r w:rsidRPr="00A428C3">
        <w:rPr>
          <w:i/>
          <w:iCs/>
        </w:rPr>
        <w:t>t</w:t>
      </w:r>
      <w:r w:rsidRPr="00A428C3">
        <w:rPr>
          <w:vertAlign w:val="superscript"/>
        </w:rPr>
        <w:t>1/2</w:t>
      </w:r>
      <w:r w:rsidRPr="00A428C3">
        <w:t>. The parabolic exchange kinetics are consistent with either of two rate controlling mechanisms: nonsteady state diffusion of ions within the mineral</w:t>
      </w:r>
      <w:r w:rsidR="00F81221">
        <w:t xml:space="preserve"> and </w:t>
      </w:r>
      <w:r w:rsidRPr="00A428C3">
        <w:t>quasi-steady state diffusion of ions through a leached shell surrounding the mineral. Diffusion coefficients for magnesium are greater than for silicon for each of the minerals, leading to incongruent dissolution over moderate time periods. The diffusion coefficients decrease in the order forsterite &gt; serpentine &gt; enstatite. Eventually the parabolic exchange rates decrease to the rate of dissolution of all material at the aqueous interface. Hence, over very long periods the amount of silicon</w:t>
      </w:r>
      <w:r w:rsidR="00F81221">
        <w:t xml:space="preserve"> and </w:t>
      </w:r>
      <w:r w:rsidRPr="00A428C3">
        <w:t xml:space="preserve">magnesium dissolved is proportional to </w:t>
      </w:r>
      <w:r w:rsidRPr="00A428C3">
        <w:rPr>
          <w:i/>
          <w:iCs/>
        </w:rPr>
        <w:t>t</w:t>
      </w:r>
      <w:r w:rsidR="00F81221">
        <w:t xml:space="preserve"> and </w:t>
      </w:r>
      <w:r w:rsidRPr="00A428C3">
        <w:t>dissolution is congruent. In highly acid solutions dissolution rates are fast</w:t>
      </w:r>
      <w:r w:rsidR="00F81221">
        <w:t xml:space="preserve"> and </w:t>
      </w:r>
      <w:r w:rsidRPr="00A428C3">
        <w:t>this terminal condition is reached much sooner.</w:t>
      </w:r>
    </w:p>
    <w:p w:rsidR="00F12F45" w:rsidRDefault="00F12F45" w:rsidP="00B95188">
      <w:pPr>
        <w:pStyle w:val="a0"/>
      </w:pPr>
      <w:r>
        <w:rPr>
          <w:rFonts w:hint="eastAsia"/>
        </w:rPr>
        <w:t>Notes: highly cited</w:t>
      </w:r>
    </w:p>
    <w:p w:rsidR="00B95188" w:rsidRPr="00A428C3" w:rsidRDefault="00B95188" w:rsidP="00B95188">
      <w:pPr>
        <w:pStyle w:val="a0"/>
      </w:pPr>
      <w:r w:rsidRPr="00A428C3">
        <w:t>Loganathan, P.</w:t>
      </w:r>
      <w:r w:rsidR="00F81221">
        <w:t xml:space="preserve"> and </w:t>
      </w:r>
      <w:r w:rsidRPr="00A428C3">
        <w:t xml:space="preserve">Burau, R.G. (1973), Sorption of heavy metal ions by a hydrous manganese oxide. </w:t>
      </w:r>
      <w:r w:rsidRPr="00A428C3">
        <w:rPr>
          <w:i/>
        </w:rPr>
        <w:t>Geochimica et Cosmochimica Acta</w:t>
      </w:r>
      <w:r w:rsidRPr="00A428C3">
        <w:t xml:space="preserve">, </w:t>
      </w:r>
      <w:r w:rsidRPr="00A428C3">
        <w:rPr>
          <w:b/>
        </w:rPr>
        <w:t>37</w:t>
      </w:r>
      <w:r w:rsidRPr="00A428C3">
        <w:t xml:space="preserve"> (5), 1277-1293.</w:t>
      </w:r>
    </w:p>
    <w:p w:rsidR="00B95188" w:rsidRPr="00A428C3" w:rsidRDefault="00B95188" w:rsidP="00B95188">
      <w:pPr>
        <w:pStyle w:val="a0"/>
      </w:pPr>
      <w:r w:rsidRPr="00A428C3">
        <w:t xml:space="preserve">Full Text: </w:t>
      </w:r>
      <w:hyperlink r:id="rId345" w:history="1">
        <w:r w:rsidRPr="00A428C3">
          <w:rPr>
            <w:rStyle w:val="a5"/>
          </w:rPr>
          <w:t>G\Geo Cos Act37, 1277.pdf</w:t>
        </w:r>
      </w:hyperlink>
    </w:p>
    <w:p w:rsidR="00B95188" w:rsidRPr="00A428C3" w:rsidRDefault="00B95188" w:rsidP="00B95188">
      <w:pPr>
        <w:pStyle w:val="a0"/>
      </w:pPr>
      <w:r w:rsidRPr="00A428C3">
        <w:t>Abstract: Sorption of Co, Zn, Ca</w:t>
      </w:r>
      <w:r w:rsidR="00F81221">
        <w:t xml:space="preserve"> and </w:t>
      </w:r>
      <w:r w:rsidRPr="00A428C3">
        <w:t xml:space="preserve">Na by </w:t>
      </w:r>
      <w:r w:rsidRPr="00A428C3">
        <w:sym w:font="Symbol" w:char="F064"/>
      </w:r>
      <w:r w:rsidRPr="00A428C3">
        <w:t>-MnO</w:t>
      </w:r>
      <w:r w:rsidRPr="00A428C3">
        <w:rPr>
          <w:vertAlign w:val="subscript"/>
        </w:rPr>
        <w:t>2</w:t>
      </w:r>
      <w:r w:rsidRPr="00A428C3">
        <w:t xml:space="preserve"> was studied at 24.0 ± </w:t>
      </w:r>
      <w:smartTag w:uri="urn:schemas-microsoft-com:office:smarttags" w:element="chmetcnv">
        <w:smartTagPr>
          <w:attr w:name="TCSC" w:val="0"/>
          <w:attr w:name="NumberType" w:val="1"/>
          <w:attr w:name="Negative" w:val="False"/>
          <w:attr w:name="HasSpace" w:val="False"/>
          <w:attr w:name="SourceValue" w:val="0.5"/>
          <w:attr w:name="UnitName" w:val="ﾰC"/>
        </w:smartTagPr>
        <w:r w:rsidRPr="00A428C3">
          <w:t>0.5°</w:t>
        </w:r>
        <w:r w:rsidRPr="00A428C3">
          <w:rPr>
            <w:i/>
            <w:iCs/>
          </w:rPr>
          <w:t>C</w:t>
        </w:r>
      </w:smartTag>
      <w:r w:rsidR="00F81221">
        <w:t xml:space="preserve"> and </w:t>
      </w:r>
      <w:r w:rsidRPr="00A428C3">
        <w:t>pH 4. During the sorption of Co</w:t>
      </w:r>
      <w:r w:rsidR="00F81221">
        <w:t xml:space="preserve"> and </w:t>
      </w:r>
      <w:r w:rsidRPr="00A428C3">
        <w:t xml:space="preserve">Zn, Mn was released to the solution phase; however, </w:t>
      </w:r>
      <w:r w:rsidRPr="00A428C3">
        <w:lastRenderedPageBreak/>
        <w:t>Mn release was not detected during the sorption of Ca</w:t>
      </w:r>
      <w:r w:rsidR="00F81221">
        <w:t xml:space="preserve"> and </w:t>
      </w:r>
      <w:r w:rsidRPr="00A428C3">
        <w:t>Na. On the basis of crystal field theory, it is proposed that Zn may interchange with Mn</w:t>
      </w:r>
      <w:r w:rsidRPr="00A428C3">
        <w:rPr>
          <w:vertAlign w:val="superscript"/>
        </w:rPr>
        <w:t>2+</w:t>
      </w:r>
      <w:r w:rsidRPr="00A428C3">
        <w:t xml:space="preserve"> in the </w:t>
      </w:r>
      <w:r w:rsidRPr="00A428C3">
        <w:sym w:font="Symbol" w:char="F064"/>
      </w:r>
      <w:r w:rsidRPr="00A428C3">
        <w:t>-MnO</w:t>
      </w:r>
      <w:r w:rsidRPr="00A428C3">
        <w:rPr>
          <w:vertAlign w:val="subscript"/>
        </w:rPr>
        <w:t>2</w:t>
      </w:r>
      <w:r w:rsidRPr="00A428C3">
        <w:t xml:space="preserve"> structure, whereas Co may interchange with both Mn</w:t>
      </w:r>
      <w:r w:rsidRPr="00A428C3">
        <w:rPr>
          <w:vertAlign w:val="superscript"/>
        </w:rPr>
        <w:t>2+</w:t>
      </w:r>
      <w:r w:rsidR="00F81221">
        <w:t xml:space="preserve"> and </w:t>
      </w:r>
      <w:r w:rsidRPr="00A428C3">
        <w:t>Mn</w:t>
      </w:r>
      <w:r w:rsidRPr="00A428C3">
        <w:rPr>
          <w:vertAlign w:val="superscript"/>
        </w:rPr>
        <w:t>3+</w:t>
      </w:r>
      <w:r w:rsidRPr="00A428C3">
        <w:t>. It is suggested that the interchangeable Mn</w:t>
      </w:r>
      <w:r w:rsidRPr="00A428C3">
        <w:rPr>
          <w:vertAlign w:val="superscript"/>
        </w:rPr>
        <w:t>2+</w:t>
      </w:r>
      <w:r w:rsidR="00F81221">
        <w:t xml:space="preserve"> and </w:t>
      </w:r>
      <w:r w:rsidRPr="00A428C3">
        <w:t>Mn</w:t>
      </w:r>
      <w:r w:rsidRPr="00A428C3">
        <w:rPr>
          <w:vertAlign w:val="superscript"/>
        </w:rPr>
        <w:t>3+</w:t>
      </w:r>
      <w:r w:rsidRPr="00A428C3">
        <w:t xml:space="preserve"> sites were in the disordered layers in the </w:t>
      </w:r>
      <w:r w:rsidRPr="00A428C3">
        <w:sym w:font="Symbol" w:char="F064"/>
      </w:r>
      <w:r w:rsidRPr="00A428C3">
        <w:t>-MnO</w:t>
      </w:r>
      <w:r w:rsidRPr="00A428C3">
        <w:rPr>
          <w:vertAlign w:val="subscript"/>
        </w:rPr>
        <w:t>2</w:t>
      </w:r>
      <w:r w:rsidRPr="00A428C3">
        <w:t xml:space="preserve"> structure.</w:t>
      </w:r>
    </w:p>
    <w:p w:rsidR="00B95188" w:rsidRPr="00A428C3" w:rsidRDefault="00B95188" w:rsidP="00B95188">
      <w:pPr>
        <w:pStyle w:val="a0"/>
      </w:pPr>
      <w:r w:rsidRPr="00A428C3">
        <w:t>Sorption of Co, Zn</w:t>
      </w:r>
      <w:r w:rsidR="00F81221">
        <w:t xml:space="preserve"> and </w:t>
      </w:r>
      <w:r w:rsidRPr="00A428C3">
        <w:t>Ca at pH 4 fitted single-site Langmuir isotherm expressions at all Ca concentrations, but only at concentrations greater than 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4"/>
          <w:attr w:name="UnitName" w:val="m"/>
        </w:smartTagPr>
        <w:r w:rsidRPr="00A428C3">
          <w:rPr>
            <w:vertAlign w:val="superscript"/>
          </w:rPr>
          <w:t>4</w:t>
        </w:r>
        <w:r w:rsidRPr="00A428C3">
          <w:t xml:space="preserve"> M</w:t>
        </w:r>
      </w:smartTag>
      <w:r w:rsidRPr="00A428C3">
        <w:t xml:space="preserve"> for Co</w:t>
      </w:r>
      <w:r w:rsidR="00F81221">
        <w:t xml:space="preserve"> and </w:t>
      </w:r>
      <w:r w:rsidRPr="00A428C3">
        <w:t xml:space="preserve">Zn. Mn release by </w:t>
      </w:r>
      <w:r w:rsidRPr="00A428C3">
        <w:sym w:font="Symbol" w:char="F064"/>
      </w:r>
      <w:r w:rsidRPr="00A428C3">
        <w:t>-MnO</w:t>
      </w:r>
      <w:r w:rsidRPr="00A428C3">
        <w:rPr>
          <w:vertAlign w:val="subscript"/>
        </w:rPr>
        <w:t>2</w:t>
      </w:r>
      <w:r w:rsidRPr="00A428C3">
        <w:t xml:space="preserve"> at pH 4 during Co</w:t>
      </w:r>
      <w:r w:rsidR="00F81221">
        <w:t xml:space="preserve"> and </w:t>
      </w:r>
      <w:r w:rsidRPr="00A428C3">
        <w:t>Zn sorption also fitted single-site Langmuir isotherms. An expression for the case of multisite Langmuir sorption was derived</w:t>
      </w:r>
      <w:r w:rsidR="00F81221">
        <w:t xml:space="preserve"> and </w:t>
      </w:r>
      <w:r w:rsidRPr="00A428C3">
        <w:t>applied to the cases of Co</w:t>
      </w:r>
      <w:r w:rsidR="00F81221">
        <w:t xml:space="preserve"> and </w:t>
      </w:r>
      <w:r w:rsidRPr="00A428C3">
        <w:t>Zn sorption</w:t>
      </w:r>
      <w:r w:rsidR="00F81221">
        <w:t xml:space="preserve"> and </w:t>
      </w:r>
      <w:r w:rsidRPr="00A428C3">
        <w:t>to the case of Mn release during Co sorption. The data of these cases were used to calculate statistically the coefficients of multiple regression equations from which the sum of the capacities of all sites in each case were obtained. From all of these derived capacities, it is proposed that there was only one site where Ca interchanged with surface bound H. Zn was postulated to interchange not only with these bound H sites, but also with another site where it interchanged with structural Mn</w:t>
      </w:r>
      <w:r w:rsidRPr="00A428C3">
        <w:rPr>
          <w:vertAlign w:val="superscript"/>
        </w:rPr>
        <w:t>2+</w:t>
      </w:r>
      <w:r w:rsidRPr="00A428C3">
        <w:t>. Co was postulated to interchange with both of these sites,</w:t>
      </w:r>
      <w:r w:rsidR="00F81221">
        <w:t xml:space="preserve"> and </w:t>
      </w:r>
      <w:r w:rsidRPr="00A428C3">
        <w:t>additionally, with a third site where it interchanged with structural Mn</w:t>
      </w:r>
      <w:r w:rsidRPr="00A428C3">
        <w:rPr>
          <w:vertAlign w:val="superscript"/>
        </w:rPr>
        <w:t>3+</w:t>
      </w:r>
      <w:r w:rsidRPr="00A428C3">
        <w:t>.</w:t>
      </w:r>
    </w:p>
    <w:p w:rsidR="00B95188" w:rsidRPr="00A428C3" w:rsidRDefault="00B95188" w:rsidP="00B95188">
      <w:pPr>
        <w:pStyle w:val="a0"/>
      </w:pPr>
      <w:r w:rsidRPr="00A428C3">
        <w:t>Using a pH-stat set at pH 4, it was determined that approximately 2 moles of H were released per mole of Co or Zn sorbed at bound H sites.</w:t>
      </w:r>
    </w:p>
    <w:p w:rsidR="00B95188" w:rsidRPr="00A428C3" w:rsidRDefault="00B95188" w:rsidP="00B95188">
      <w:pPr>
        <w:pStyle w:val="a0"/>
      </w:pPr>
      <w:r w:rsidRPr="00A428C3">
        <w:t>Alberts, J.J., Schindler, J.E., Nutter, Jr., D.E.</w:t>
      </w:r>
      <w:r w:rsidR="00F81221">
        <w:t xml:space="preserve"> and </w:t>
      </w:r>
      <w:r w:rsidRPr="00A428C3">
        <w:t>Davis, E. (1976), Elemental infra-red spectrophotometric</w:t>
      </w:r>
      <w:r w:rsidR="00F81221">
        <w:t xml:space="preserve"> and </w:t>
      </w:r>
      <w:r w:rsidRPr="00A428C3">
        <w:t xml:space="preserve">electron spin resonance investigation of non-chemically isolated humic material. </w:t>
      </w:r>
      <w:r w:rsidRPr="00A428C3">
        <w:rPr>
          <w:i/>
        </w:rPr>
        <w:t>Geochimica et Cosmochimica Acta</w:t>
      </w:r>
      <w:r w:rsidRPr="00A428C3">
        <w:t xml:space="preserve">, </w:t>
      </w:r>
      <w:r w:rsidRPr="00A428C3">
        <w:rPr>
          <w:b/>
        </w:rPr>
        <w:t>40</w:t>
      </w:r>
      <w:r w:rsidRPr="00A428C3">
        <w:t xml:space="preserve"> (3), 369-372.</w:t>
      </w:r>
    </w:p>
    <w:p w:rsidR="00B95188" w:rsidRPr="00A428C3" w:rsidRDefault="00B95188" w:rsidP="00B95188">
      <w:pPr>
        <w:pStyle w:val="a0"/>
      </w:pPr>
      <w:bookmarkStart w:id="283" w:name="Gonzalez"/>
      <w:r w:rsidRPr="00A428C3">
        <w:t xml:space="preserve">Full Text: </w:t>
      </w:r>
      <w:hyperlink r:id="rId346" w:history="1">
        <w:r w:rsidRPr="00A428C3">
          <w:rPr>
            <w:rStyle w:val="a5"/>
          </w:rPr>
          <w:t>G\Geo Cos Act40, 369.pdf</w:t>
        </w:r>
      </w:hyperlink>
    </w:p>
    <w:p w:rsidR="00B95188" w:rsidRPr="00A428C3" w:rsidRDefault="00B95188" w:rsidP="00B95188">
      <w:pPr>
        <w:pStyle w:val="a0"/>
      </w:pPr>
      <w:r w:rsidRPr="00A428C3">
        <w:t xml:space="preserve">Abstract: Naturally occurring organic material from a lake in the southeastern </w:t>
      </w:r>
      <w:smartTag w:uri="urn:schemas-microsoft-com:office:smarttags" w:element="place">
        <w:smartTag w:uri="urn:schemas-microsoft-com:office:smarttags" w:element="country-region">
          <w:r w:rsidRPr="00A428C3">
            <w:t>United States</w:t>
          </w:r>
        </w:smartTag>
      </w:smartTag>
      <w:r w:rsidRPr="00A428C3">
        <w:t xml:space="preserve"> was isolated by ultrafiltration</w:t>
      </w:r>
      <w:r w:rsidR="00F81221">
        <w:t xml:space="preserve"> and </w:t>
      </w:r>
      <w:r w:rsidRPr="00A428C3">
        <w:t>analyzed by i.r. spectrophotometry</w:t>
      </w:r>
      <w:r w:rsidR="00F81221">
        <w:t xml:space="preserve"> and </w:t>
      </w:r>
      <w:r w:rsidRPr="00A428C3">
        <w:t>electron spin resonance spectrometry,</w:t>
      </w:r>
      <w:r w:rsidR="00F81221">
        <w:t xml:space="preserve"> and </w:t>
      </w:r>
      <w:r w:rsidRPr="00A428C3">
        <w:t>for its elemental composition without chemical pretreatment. The results of the study indicate the isolate is an apparent high molecular weight fulvic acid with associated, hydrated Mn</w:t>
      </w:r>
      <w:r w:rsidRPr="00A428C3">
        <w:rPr>
          <w:vertAlign w:val="superscript"/>
        </w:rPr>
        <w:t>2+</w:t>
      </w:r>
      <w:r w:rsidRPr="00A428C3">
        <w:t xml:space="preserve"> ion which does not appear strongly bound to the organic moiety.</w:t>
      </w:r>
    </w:p>
    <w:p w:rsidR="00B95188" w:rsidRDefault="00B95188" w:rsidP="00B95188">
      <w:pPr>
        <w:pStyle w:val="a0"/>
      </w:pPr>
      <w:r>
        <w:rPr>
          <w:rFonts w:hint="eastAsia"/>
        </w:rPr>
        <w:t>Notes: highly cited</w:t>
      </w:r>
    </w:p>
    <w:p w:rsidR="00B95188" w:rsidRPr="00A428C3" w:rsidRDefault="00B95188" w:rsidP="00B95188">
      <w:pPr>
        <w:pStyle w:val="a0"/>
      </w:pPr>
      <w:r>
        <w:rPr>
          <w:rFonts w:hint="eastAsia"/>
        </w:rPr>
        <w:t xml:space="preserve">? </w:t>
      </w:r>
      <w:r>
        <w:t>Murray</w:t>
      </w:r>
      <w:r>
        <w:rPr>
          <w:rFonts w:hint="eastAsia"/>
        </w:rPr>
        <w:t>,</w:t>
      </w:r>
      <w:r>
        <w:t xml:space="preserve"> J</w:t>
      </w:r>
      <w:r>
        <w:rPr>
          <w:rFonts w:hint="eastAsia"/>
        </w:rPr>
        <w:t>.</w:t>
      </w:r>
      <w:r>
        <w:t>W</w:t>
      </w:r>
      <w:r>
        <w:rPr>
          <w:rFonts w:hint="eastAsia"/>
        </w:rPr>
        <w:t>.</w:t>
      </w:r>
      <w:r w:rsidR="00F81221">
        <w:rPr>
          <w:rFonts w:hint="eastAsia"/>
        </w:rPr>
        <w:t xml:space="preserve"> and </w:t>
      </w:r>
      <w:r>
        <w:t>Dillard</w:t>
      </w:r>
      <w:r>
        <w:rPr>
          <w:rFonts w:hint="eastAsia"/>
        </w:rPr>
        <w:t>,</w:t>
      </w:r>
      <w:r>
        <w:t xml:space="preserve"> J</w:t>
      </w:r>
      <w:r>
        <w:rPr>
          <w:rFonts w:hint="eastAsia"/>
        </w:rPr>
        <w:t>.</w:t>
      </w:r>
      <w:r>
        <w:t>G</w:t>
      </w:r>
      <w:r>
        <w:rPr>
          <w:rFonts w:hint="eastAsia"/>
        </w:rPr>
        <w:t>.</w:t>
      </w:r>
      <w:r w:rsidRPr="00A428C3">
        <w:t xml:space="preserve"> (197</w:t>
      </w:r>
      <w:r>
        <w:rPr>
          <w:rFonts w:hint="eastAsia"/>
        </w:rPr>
        <w:t>9</w:t>
      </w:r>
      <w:r w:rsidRPr="00A428C3">
        <w:t xml:space="preserve">), </w:t>
      </w:r>
      <w:r>
        <w:t>Oxidation of cobalt(II) adsorbed on manganese-dioxide</w:t>
      </w:r>
      <w:r w:rsidRPr="00A428C3">
        <w:t xml:space="preserve">. </w:t>
      </w:r>
      <w:r w:rsidRPr="00A428C3">
        <w:rPr>
          <w:i/>
        </w:rPr>
        <w:t>Geochimica et Cosmochimica Acta</w:t>
      </w:r>
      <w:r w:rsidRPr="00A428C3">
        <w:t xml:space="preserve">, </w:t>
      </w:r>
      <w:r w:rsidRPr="00A428C3">
        <w:rPr>
          <w:b/>
        </w:rPr>
        <w:t>4</w:t>
      </w:r>
      <w:r>
        <w:rPr>
          <w:rFonts w:hint="eastAsia"/>
          <w:b/>
        </w:rPr>
        <w:t>3</w:t>
      </w:r>
      <w:r w:rsidRPr="00A428C3">
        <w:t xml:space="preserve"> (</w:t>
      </w:r>
      <w:r>
        <w:rPr>
          <w:rFonts w:hint="eastAsia"/>
        </w:rPr>
        <w:t>5</w:t>
      </w:r>
      <w:r w:rsidRPr="00A428C3">
        <w:t xml:space="preserve">), </w:t>
      </w:r>
      <w:r>
        <w:t>781-787</w:t>
      </w:r>
      <w:r w:rsidRPr="00A428C3">
        <w:t>.</w:t>
      </w:r>
    </w:p>
    <w:p w:rsidR="00B95188" w:rsidRDefault="00B95188" w:rsidP="00B95188">
      <w:pPr>
        <w:pStyle w:val="a0"/>
      </w:pPr>
      <w:r w:rsidRPr="00A428C3">
        <w:t xml:space="preserve">Full Text: </w:t>
      </w:r>
      <w:hyperlink r:id="rId347" w:history="1">
        <w:r w:rsidRPr="001E22B4">
          <w:rPr>
            <w:rStyle w:val="a5"/>
          </w:rPr>
          <w:t>1960-80\Geo Cos Act43, 781.pdf</w:t>
        </w:r>
      </w:hyperlink>
    </w:p>
    <w:p w:rsidR="00B95188" w:rsidRPr="00945883" w:rsidRDefault="00B95188" w:rsidP="00B95188">
      <w:pPr>
        <w:pStyle w:val="a0"/>
      </w:pPr>
      <w:r>
        <w:rPr>
          <w:rFonts w:hint="eastAsia"/>
        </w:rPr>
        <w:t xml:space="preserve">Abstract: </w:t>
      </w:r>
      <w:r w:rsidRPr="00945883">
        <w:t>X-ray photoelectron spectroscopy (XPS) measurements of cobalt adsorbed on MnO</w:t>
      </w:r>
      <w:r w:rsidRPr="00945883">
        <w:rPr>
          <w:vertAlign w:val="subscript"/>
        </w:rPr>
        <w:t>2</w:t>
      </w:r>
      <w:r w:rsidRPr="00945883">
        <w:t xml:space="preserve"> reveal strong evidence that Co(II) has been oxidized to Co(III). The manganese spectra are characteristic of Mn(IV). Model calculations suggest that Co(II) cannot be oxidized by O</w:t>
      </w:r>
      <w:r w:rsidRPr="00945883">
        <w:rPr>
          <w:vertAlign w:val="subscript"/>
        </w:rPr>
        <w:t>2</w:t>
      </w:r>
      <w:r w:rsidRPr="00945883">
        <w:t xml:space="preserve"> to Co(III) in bulk solution at seawater concentrations but that the oxidation can proceed in the presence of the strong </w:t>
      </w:r>
      <w:r w:rsidRPr="00945883">
        <w:lastRenderedPageBreak/>
        <w:t>electric field at the MnO</w:t>
      </w:r>
      <w:r w:rsidRPr="00945883">
        <w:rPr>
          <w:vertAlign w:val="subscript"/>
        </w:rPr>
        <w:t>2</w:t>
      </w:r>
      <w:r w:rsidRPr="00945883">
        <w:t>-solution interface. Ni(II), however, cannot be oxidized at the interface except at very high concentrations. These calculations suggest that the oxidation of Co(II) can explain the geochemical separation of cobalt from nickel.</w:t>
      </w:r>
    </w:p>
    <w:p w:rsidR="00E10AC9" w:rsidRDefault="00E10AC9" w:rsidP="00E10AC9">
      <w:pPr>
        <w:pStyle w:val="a0"/>
      </w:pPr>
      <w:r>
        <w:rPr>
          <w:rFonts w:hint="eastAsia"/>
        </w:rPr>
        <w:t>Notes: highly cited</w:t>
      </w:r>
    </w:p>
    <w:p w:rsidR="00E10AC9" w:rsidRPr="00A428C3" w:rsidRDefault="00E10AC9" w:rsidP="00E10AC9">
      <w:pPr>
        <w:pStyle w:val="a0"/>
      </w:pPr>
      <w:r>
        <w:rPr>
          <w:rFonts w:hint="eastAsia"/>
        </w:rPr>
        <w:t xml:space="preserve">? </w:t>
      </w:r>
      <w:r>
        <w:t>Kerndorff</w:t>
      </w:r>
      <w:r>
        <w:rPr>
          <w:rFonts w:hint="eastAsia"/>
        </w:rPr>
        <w:t>,</w:t>
      </w:r>
      <w:r>
        <w:t xml:space="preserve"> H</w:t>
      </w:r>
      <w:r>
        <w:rPr>
          <w:rFonts w:hint="eastAsia"/>
        </w:rPr>
        <w:t>.</w:t>
      </w:r>
      <w:r w:rsidR="00F81221">
        <w:rPr>
          <w:rFonts w:hint="eastAsia"/>
        </w:rPr>
        <w:t xml:space="preserve"> and </w:t>
      </w:r>
      <w:r>
        <w:t>Schnitzer</w:t>
      </w:r>
      <w:r>
        <w:rPr>
          <w:rFonts w:hint="eastAsia"/>
        </w:rPr>
        <w:t>,</w:t>
      </w:r>
      <w:r>
        <w:t xml:space="preserve"> M</w:t>
      </w:r>
      <w:r>
        <w:rPr>
          <w:rFonts w:hint="eastAsia"/>
        </w:rPr>
        <w:t>.</w:t>
      </w:r>
      <w:r w:rsidRPr="00A428C3">
        <w:t xml:space="preserve"> (198</w:t>
      </w:r>
      <w:r>
        <w:rPr>
          <w:rFonts w:hint="eastAsia"/>
        </w:rPr>
        <w:t>0</w:t>
      </w:r>
      <w:r w:rsidRPr="00A428C3">
        <w:t xml:space="preserve">), </w:t>
      </w:r>
      <w:r>
        <w:t>Sorption of metals on humic-acid</w:t>
      </w:r>
      <w:r w:rsidRPr="00A428C3">
        <w:t xml:space="preserve">. </w:t>
      </w:r>
      <w:r w:rsidRPr="00A428C3">
        <w:rPr>
          <w:i/>
        </w:rPr>
        <w:t>Geochimica et Cosmochimica Acta</w:t>
      </w:r>
      <w:r w:rsidRPr="00A428C3">
        <w:t xml:space="preserve">, </w:t>
      </w:r>
      <w:r w:rsidRPr="00A428C3">
        <w:rPr>
          <w:b/>
        </w:rPr>
        <w:t>4</w:t>
      </w:r>
      <w:r>
        <w:rPr>
          <w:rFonts w:hint="eastAsia"/>
          <w:b/>
        </w:rPr>
        <w:t>4</w:t>
      </w:r>
      <w:r>
        <w:t xml:space="preserve"> (</w:t>
      </w:r>
      <w:r>
        <w:rPr>
          <w:rFonts w:hint="eastAsia"/>
        </w:rPr>
        <w:t>11</w:t>
      </w:r>
      <w:r w:rsidRPr="00A428C3">
        <w:t xml:space="preserve">), </w:t>
      </w:r>
      <w:r>
        <w:t>1701-1708</w:t>
      </w:r>
      <w:r w:rsidRPr="00A428C3">
        <w:t>.</w:t>
      </w:r>
    </w:p>
    <w:p w:rsidR="00E10AC9" w:rsidRDefault="00E10AC9" w:rsidP="00E10AC9">
      <w:pPr>
        <w:pStyle w:val="a0"/>
      </w:pPr>
      <w:r w:rsidRPr="00A428C3">
        <w:t xml:space="preserve">Full Text: </w:t>
      </w:r>
      <w:hyperlink r:id="rId348" w:history="1">
        <w:r w:rsidRPr="00E10AC9">
          <w:rPr>
            <w:rStyle w:val="a5"/>
          </w:rPr>
          <w:t>1960-80\Geo Cos Act44, 1701.pdf</w:t>
        </w:r>
      </w:hyperlink>
    </w:p>
    <w:p w:rsidR="00E10AC9" w:rsidRDefault="00E10AC9" w:rsidP="00E10AC9">
      <w:pPr>
        <w:pStyle w:val="a0"/>
      </w:pPr>
      <w:r>
        <w:t>Abstract</w:t>
      </w:r>
      <w:r>
        <w:rPr>
          <w:rFonts w:hint="eastAsia"/>
        </w:rPr>
        <w:t xml:space="preserve">: </w:t>
      </w:r>
      <w:r>
        <w:t>The sorption on humic acid (HA) of metals from an aqueous solution containing Hg(II). Fe(III), Pb, Cu, Al, Ni, Cr(III), Cd, Zn, Co</w:t>
      </w:r>
      <w:r w:rsidR="00F81221">
        <w:t xml:space="preserve"> and </w:t>
      </w:r>
      <w:r>
        <w:t>Mn, was investigated with special emphasis on effects of pH, metal concentration</w:t>
      </w:r>
      <w:r w:rsidR="00F81221">
        <w:t xml:space="preserve"> and </w:t>
      </w:r>
      <w:r>
        <w:t>HA concentration. The sorption efficiency tended to increase with rise in pH, decrease in metal concentration</w:t>
      </w:r>
      <w:r w:rsidR="00F81221">
        <w:t xml:space="preserve"> and </w:t>
      </w:r>
      <w:r>
        <w:t>increase in HA concentration of the equilibrating solution. At pH 2.4. the order of sorption was: Hg Fe Pb Cu=Al</w:t>
      </w:r>
      <w:r w:rsidR="002F1E82">
        <w:t xml:space="preserve"> </w:t>
      </w:r>
      <w:r>
        <w:t>Ni</w:t>
      </w:r>
      <w:r w:rsidR="002F1E82">
        <w:t xml:space="preserve"> </w:t>
      </w:r>
      <w:r>
        <w:t>Cr=Zn=Cd=Co=Mn. At pH 3.7. the order was: Hg</w:t>
      </w:r>
      <w:r w:rsidR="00F81221">
        <w:t xml:space="preserve"> and </w:t>
      </w:r>
      <w:r>
        <w:t>Fe were always most readily removed, while Co</w:t>
      </w:r>
      <w:r w:rsidR="00F81221">
        <w:t xml:space="preserve"> and </w:t>
      </w:r>
      <w:r>
        <w:t>Mn were sorbed least readily. There were indications of competition for active sites (CO2H</w:t>
      </w:r>
      <w:r w:rsidR="00F81221">
        <w:t xml:space="preserve"> and </w:t>
      </w:r>
      <w:r>
        <w:t>phenolic OH groups) on the HA between the different metals. We were unable to find correlations between the affinities of the eleven metals to sorb on HA</w:t>
      </w:r>
      <w:r w:rsidR="00F81221">
        <w:t xml:space="preserve"> and </w:t>
      </w:r>
      <w:r>
        <w:t>their atomic weights, atomic numbers, valencies,</w:t>
      </w:r>
      <w:r w:rsidR="00F81221">
        <w:t xml:space="preserve"> and </w:t>
      </w:r>
      <w:r>
        <w:t>crystal</w:t>
      </w:r>
      <w:r w:rsidR="00F81221">
        <w:t xml:space="preserve"> and </w:t>
      </w:r>
      <w:r>
        <w:t>hydrated ionic radii. The sorption of the eleven metals on the HA could be described by the equation Full-size image (1K), where Y = % metal removed by HA; X = mgHA;</w:t>
      </w:r>
      <w:r w:rsidR="00F81221">
        <w:t xml:space="preserve"> and </w:t>
      </w:r>
      <w:r>
        <w:t>A</w:t>
      </w:r>
      <w:r w:rsidR="00F81221">
        <w:t xml:space="preserve"> and </w:t>
      </w:r>
      <w:r>
        <w:t>B are empirical constants.</w:t>
      </w:r>
    </w:p>
    <w:p w:rsidR="00E10AC9" w:rsidRPr="00A428C3" w:rsidRDefault="00E10AC9" w:rsidP="00E10AC9">
      <w:pPr>
        <w:pStyle w:val="a0"/>
      </w:pPr>
      <w:r w:rsidRPr="00A428C3">
        <w:t>Balistrieri, L.S.</w:t>
      </w:r>
      <w:r w:rsidR="00F81221">
        <w:t xml:space="preserve"> and </w:t>
      </w:r>
      <w:r w:rsidRPr="00A428C3">
        <w:t xml:space="preserve">Murray, J.W. (1982), The surface-chemistry of </w:t>
      </w:r>
      <w:r w:rsidRPr="00A428C3">
        <w:sym w:font="Symbol" w:char="F064"/>
      </w:r>
      <w:r w:rsidRPr="00A428C3">
        <w:t>-MnO</w:t>
      </w:r>
      <w:smartTag w:uri="urn:schemas-microsoft-com:office:smarttags" w:element="chmetcnv">
        <w:smartTagPr>
          <w:attr w:name="TCSC" w:val="0"/>
          <w:attr w:name="NumberType" w:val="1"/>
          <w:attr w:name="Negative" w:val="False"/>
          <w:attr w:name="HasSpace" w:val="True"/>
          <w:attr w:name="SourceValue" w:val="2"/>
          <w:attr w:name="UnitName" w:val="in"/>
        </w:smartTagPr>
        <w:r w:rsidRPr="00A428C3">
          <w:rPr>
            <w:vertAlign w:val="subscript"/>
          </w:rPr>
          <w:t>2</w:t>
        </w:r>
        <w:r w:rsidRPr="00A428C3">
          <w:t xml:space="preserve"> in</w:t>
        </w:r>
      </w:smartTag>
      <w:r w:rsidRPr="00A428C3">
        <w:t xml:space="preserve"> major ion sea-water. </w:t>
      </w:r>
      <w:r w:rsidRPr="00A428C3">
        <w:rPr>
          <w:i/>
        </w:rPr>
        <w:t>Geochimica et Cosmochimica Acta</w:t>
      </w:r>
      <w:r w:rsidRPr="00A428C3">
        <w:t xml:space="preserve">, </w:t>
      </w:r>
      <w:r w:rsidRPr="00A428C3">
        <w:rPr>
          <w:b/>
        </w:rPr>
        <w:t>46</w:t>
      </w:r>
      <w:r w:rsidRPr="00A428C3">
        <w:t xml:space="preserve"> (6), 1041-1052.</w:t>
      </w:r>
    </w:p>
    <w:p w:rsidR="00E10AC9" w:rsidRPr="00A428C3" w:rsidRDefault="00E10AC9" w:rsidP="00E10AC9">
      <w:pPr>
        <w:pStyle w:val="a0"/>
      </w:pPr>
      <w:r w:rsidRPr="00A428C3">
        <w:t xml:space="preserve">Full Text: </w:t>
      </w:r>
      <w:hyperlink r:id="rId349" w:history="1">
        <w:r w:rsidRPr="00A428C3">
          <w:rPr>
            <w:rStyle w:val="a5"/>
          </w:rPr>
          <w:t>G\Geo Cos Act46, 1041.pdf</w:t>
        </w:r>
      </w:hyperlink>
    </w:p>
    <w:p w:rsidR="00B95188" w:rsidRPr="00A428C3" w:rsidRDefault="00B95188" w:rsidP="00B95188">
      <w:pPr>
        <w:pStyle w:val="a0"/>
      </w:pPr>
      <w:r w:rsidRPr="00A428C3">
        <w:t xml:space="preserve">Abstract: The surface chemistry of </w:t>
      </w:r>
      <w:r w:rsidRPr="00A428C3">
        <w:sym w:font="Symbol" w:char="F064"/>
      </w:r>
      <w:r w:rsidRPr="00A428C3">
        <w:t>MnO</w:t>
      </w:r>
      <w:smartTag w:uri="urn:schemas-microsoft-com:office:smarttags" w:element="chmetcnv">
        <w:smartTagPr>
          <w:attr w:name="TCSC" w:val="0"/>
          <w:attr w:name="NumberType" w:val="1"/>
          <w:attr w:name="Negative" w:val="False"/>
          <w:attr w:name="HasSpace" w:val="True"/>
          <w:attr w:name="SourceValue" w:val="2"/>
          <w:attr w:name="UnitName" w:val="in"/>
        </w:smartTagPr>
        <w:r w:rsidRPr="00A428C3">
          <w:rPr>
            <w:vertAlign w:val="subscript"/>
          </w:rPr>
          <w:t>2</w:t>
        </w:r>
        <w:r w:rsidRPr="00A428C3">
          <w:t xml:space="preserve"> in</w:t>
        </w:r>
      </w:smartTag>
      <w:r w:rsidRPr="00A428C3">
        <w:t xml:space="preserve"> major ion seawater is defined by determining the stoichiometry of the reactions which describe the association of the surface hydroxyl groups with Na, Mg, Ca,</w:t>
      </w:r>
      <w:r w:rsidR="00F81221">
        <w:t xml:space="preserve"> and </w:t>
      </w:r>
      <w:r w:rsidRPr="00A428C3">
        <w:t>K ions, the intrinsic equilibrium constants which define these reactions,</w:t>
      </w:r>
      <w:r w:rsidR="00F81221">
        <w:t xml:space="preserve"> and </w:t>
      </w:r>
      <w:r w:rsidRPr="00A428C3">
        <w:t>the speciation of the surface at pH 8.</w:t>
      </w:r>
    </w:p>
    <w:p w:rsidR="00B95188" w:rsidRPr="00A428C3" w:rsidRDefault="00B95188" w:rsidP="00B95188">
      <w:pPr>
        <w:pStyle w:val="a0"/>
      </w:pPr>
      <w:r w:rsidRPr="00A428C3">
        <w:t>The results indicate:</w:t>
      </w:r>
    </w:p>
    <w:p w:rsidR="00B95188" w:rsidRPr="00A428C3" w:rsidRDefault="00B95188" w:rsidP="00B95188">
      <w:pPr>
        <w:pStyle w:val="a0"/>
      </w:pPr>
      <w:r w:rsidRPr="00A428C3">
        <w:t>1) that the surface forms monodentate complexes with Na</w:t>
      </w:r>
      <w:r w:rsidR="00F81221">
        <w:t xml:space="preserve"> and </w:t>
      </w:r>
      <w:r w:rsidRPr="00A428C3">
        <w:t>K ions</w:t>
      </w:r>
      <w:r w:rsidR="00F81221">
        <w:t xml:space="preserve"> and </w:t>
      </w:r>
      <w:r w:rsidRPr="00A428C3">
        <w:t>bidentate complexes with Mg</w:t>
      </w:r>
      <w:r w:rsidR="00F81221">
        <w:t xml:space="preserve"> and </w:t>
      </w:r>
      <w:r w:rsidRPr="00A428C3">
        <w:t>Ca ions;</w:t>
      </w:r>
    </w:p>
    <w:p w:rsidR="00B95188" w:rsidRPr="00A428C3" w:rsidRDefault="00B95188" w:rsidP="00B95188">
      <w:pPr>
        <w:pStyle w:val="a0"/>
      </w:pPr>
      <w:r w:rsidRPr="00A428C3">
        <w:t>2) that pK</w:t>
      </w:r>
      <w:r w:rsidRPr="00A428C3">
        <w:rPr>
          <w:vertAlign w:val="subscript"/>
        </w:rPr>
        <w:t>2</w:t>
      </w:r>
      <w:r w:rsidRPr="00A428C3">
        <w:rPr>
          <w:vertAlign w:val="superscript"/>
        </w:rPr>
        <w:t>INT</w:t>
      </w:r>
      <w:r w:rsidRPr="00A428C3">
        <w:t xml:space="preserve"> = 4.2, </w:t>
      </w:r>
      <w:r w:rsidRPr="00A428C3">
        <w:rPr>
          <w:i/>
          <w:iCs/>
        </w:rPr>
        <w:t>p</w:t>
      </w:r>
      <w:r w:rsidRPr="00A428C3">
        <w:rPr>
          <w:vertAlign w:val="superscript"/>
        </w:rPr>
        <w:t>*</w:t>
      </w:r>
      <w:r w:rsidRPr="00A428C3">
        <w:rPr>
          <w:i/>
          <w:iCs/>
        </w:rPr>
        <w:t>K</w:t>
      </w:r>
      <w:r w:rsidRPr="00A428C3">
        <w:rPr>
          <w:i/>
          <w:iCs/>
          <w:vertAlign w:val="superscript"/>
        </w:rPr>
        <w:t>INT</w:t>
      </w:r>
      <w:r w:rsidRPr="00A428C3">
        <w:rPr>
          <w:i/>
          <w:iCs/>
          <w:vertAlign w:val="subscript"/>
        </w:rPr>
        <w:t>Na</w:t>
      </w:r>
      <w:r w:rsidRPr="00A428C3">
        <w:t xml:space="preserve"> = 3.0 ± 0.3, </w:t>
      </w:r>
      <w:r w:rsidRPr="00A428C3">
        <w:rPr>
          <w:i/>
          <w:iCs/>
        </w:rPr>
        <w:t>p</w:t>
      </w:r>
      <w:r w:rsidRPr="00A428C3">
        <w:rPr>
          <w:vertAlign w:val="superscript"/>
        </w:rPr>
        <w:t>*</w:t>
      </w:r>
      <w:r w:rsidRPr="00A428C3">
        <w:rPr>
          <w:i/>
          <w:iCs/>
        </w:rPr>
        <w:t>K</w:t>
      </w:r>
      <w:r w:rsidRPr="00A428C3">
        <w:rPr>
          <w:i/>
          <w:iCs/>
          <w:vertAlign w:val="superscript"/>
        </w:rPr>
        <w:t>INT</w:t>
      </w:r>
      <w:r w:rsidRPr="00A428C3">
        <w:rPr>
          <w:i/>
          <w:iCs/>
          <w:vertAlign w:val="subscript"/>
        </w:rPr>
        <w:t>K</w:t>
      </w:r>
      <w:r w:rsidRPr="00A428C3">
        <w:t xml:space="preserve"> = 2.0 ± 0.2, </w:t>
      </w:r>
      <w:r w:rsidRPr="00A428C3">
        <w:rPr>
          <w:i/>
          <w:iCs/>
        </w:rPr>
        <w:t>p</w:t>
      </w:r>
      <w:r w:rsidRPr="00A428C3">
        <w:rPr>
          <w:vertAlign w:val="superscript"/>
        </w:rPr>
        <w:t>*</w:t>
      </w:r>
      <w:r w:rsidRPr="00A428C3">
        <w:rPr>
          <w:i/>
          <w:iCs/>
        </w:rPr>
        <w:t>K</w:t>
      </w:r>
      <w:r w:rsidRPr="00A428C3">
        <w:rPr>
          <w:i/>
          <w:iCs/>
          <w:vertAlign w:val="superscript"/>
        </w:rPr>
        <w:t>INT</w:t>
      </w:r>
      <w:r w:rsidRPr="00A428C3">
        <w:rPr>
          <w:vertAlign w:val="subscript"/>
        </w:rPr>
        <w:t>&gt;</w:t>
      </w:r>
      <w:r w:rsidRPr="00A428C3">
        <w:rPr>
          <w:i/>
          <w:iCs/>
          <w:vertAlign w:val="subscript"/>
        </w:rPr>
        <w:t>Mg</w:t>
      </w:r>
      <w:r w:rsidRPr="00A428C3">
        <w:t xml:space="preserve"> = 3.9 ± 0.1,</w:t>
      </w:r>
      <w:r w:rsidR="00F81221">
        <w:t xml:space="preserve"> and </w:t>
      </w:r>
      <w:r w:rsidRPr="00A428C3">
        <w:rPr>
          <w:i/>
          <w:iCs/>
        </w:rPr>
        <w:t>p</w:t>
      </w:r>
      <w:r w:rsidRPr="00A428C3">
        <w:rPr>
          <w:vertAlign w:val="superscript"/>
        </w:rPr>
        <w:t>*</w:t>
      </w:r>
      <w:r w:rsidRPr="00A428C3">
        <w:rPr>
          <w:i/>
          <w:iCs/>
        </w:rPr>
        <w:t>K</w:t>
      </w:r>
      <w:r w:rsidRPr="00A428C3">
        <w:rPr>
          <w:i/>
          <w:iCs/>
          <w:vertAlign w:val="superscript"/>
        </w:rPr>
        <w:t>INT</w:t>
      </w:r>
      <w:r w:rsidRPr="00A428C3">
        <w:rPr>
          <w:vertAlign w:val="subscript"/>
        </w:rPr>
        <w:t>&gt;</w:t>
      </w:r>
      <w:r w:rsidRPr="00A428C3">
        <w:rPr>
          <w:i/>
          <w:iCs/>
          <w:vertAlign w:val="subscript"/>
        </w:rPr>
        <w:t>Ca</w:t>
      </w:r>
      <w:r w:rsidRPr="00A428C3">
        <w:t xml:space="preserve"> = 3.3; and</w:t>
      </w:r>
    </w:p>
    <w:p w:rsidR="00B95188" w:rsidRPr="00A428C3" w:rsidRDefault="00B95188" w:rsidP="00B95188">
      <w:pPr>
        <w:pStyle w:val="a0"/>
      </w:pPr>
      <w:r w:rsidRPr="00A428C3">
        <w:t>3) ion exchange processes other than with H are important</w:t>
      </w:r>
      <w:r w:rsidR="00F81221">
        <w:t xml:space="preserve"> and </w:t>
      </w:r>
      <w:r w:rsidRPr="00A428C3">
        <w:t xml:space="preserve">as a result 84.8% of the surface sites of </w:t>
      </w:r>
      <w:r w:rsidRPr="00A428C3">
        <w:sym w:font="Symbol" w:char="F064"/>
      </w:r>
      <w:r w:rsidRPr="00A428C3">
        <w:t>MnO</w:t>
      </w:r>
      <w:smartTag w:uri="urn:schemas-microsoft-com:office:smarttags" w:element="chmetcnv">
        <w:smartTagPr>
          <w:attr w:name="TCSC" w:val="0"/>
          <w:attr w:name="NumberType" w:val="1"/>
          <w:attr w:name="Negative" w:val="False"/>
          <w:attr w:name="HasSpace" w:val="True"/>
          <w:attr w:name="SourceValue" w:val="2"/>
          <w:attr w:name="UnitName" w:val="in"/>
        </w:smartTagPr>
        <w:r w:rsidRPr="00A428C3">
          <w:rPr>
            <w:vertAlign w:val="subscript"/>
          </w:rPr>
          <w:t>2</w:t>
        </w:r>
        <w:r w:rsidRPr="00A428C3">
          <w:t xml:space="preserve"> in</w:t>
        </w:r>
      </w:smartTag>
      <w:r w:rsidRPr="00A428C3">
        <w:t xml:space="preserve"> major ion seawater at pH 8 are complexed by H, 8.4% by Mg, 4.6% by Ca, 1.6% by Na,</w:t>
      </w:r>
      <w:r w:rsidR="00F81221">
        <w:t xml:space="preserve"> and </w:t>
      </w:r>
      <w:r w:rsidRPr="00A428C3">
        <w:t>0.6% by K. Chloride</w:t>
      </w:r>
      <w:r w:rsidR="00F81221">
        <w:t xml:space="preserve"> and </w:t>
      </w:r>
      <w:r w:rsidRPr="00A428C3">
        <w:t xml:space="preserve">sulphate do not adsorb on </w:t>
      </w:r>
      <w:r w:rsidRPr="00A428C3">
        <w:sym w:font="Symbol" w:char="F064"/>
      </w:r>
      <w:r w:rsidRPr="00A428C3">
        <w:t>MnO</w:t>
      </w:r>
      <w:smartTag w:uri="urn:schemas-microsoft-com:office:smarttags" w:element="chmetcnv">
        <w:smartTagPr>
          <w:attr w:name="TCSC" w:val="0"/>
          <w:attr w:name="NumberType" w:val="1"/>
          <w:attr w:name="Negative" w:val="False"/>
          <w:attr w:name="HasSpace" w:val="True"/>
          <w:attr w:name="SourceValue" w:val="2"/>
          <w:attr w:name="UnitName" w:val="in"/>
        </w:smartTagPr>
        <w:r w:rsidRPr="00A428C3">
          <w:rPr>
            <w:vertAlign w:val="subscript"/>
          </w:rPr>
          <w:t>2</w:t>
        </w:r>
        <w:r w:rsidRPr="00A428C3">
          <w:t xml:space="preserve"> in</w:t>
        </w:r>
      </w:smartTag>
      <w:r w:rsidRPr="00A428C3">
        <w:t xml:space="preserve"> the pH range of natural waters.</w:t>
      </w:r>
    </w:p>
    <w:p w:rsidR="00B95188" w:rsidRPr="00A428C3" w:rsidRDefault="00B95188" w:rsidP="00B95188">
      <w:pPr>
        <w:pStyle w:val="a0"/>
      </w:pPr>
      <w:r w:rsidRPr="00A428C3">
        <w:t>Balistrieri, L.S.</w:t>
      </w:r>
      <w:r w:rsidR="00F81221">
        <w:t xml:space="preserve"> and </w:t>
      </w:r>
      <w:r w:rsidRPr="00A428C3">
        <w:t>Murray, J.W. (1982), The adsorption of Cu, Pb, Zn</w:t>
      </w:r>
      <w:r w:rsidR="00F81221">
        <w:t xml:space="preserve"> and </w:t>
      </w:r>
      <w:r w:rsidRPr="00A428C3">
        <w:t xml:space="preserve">Cd on goethite from major ion seawater. </w:t>
      </w:r>
      <w:r w:rsidRPr="00A428C3">
        <w:rPr>
          <w:i/>
        </w:rPr>
        <w:t>Geochimica et Cosmochimica Acta</w:t>
      </w:r>
      <w:r w:rsidRPr="00A428C3">
        <w:t xml:space="preserve">, </w:t>
      </w:r>
      <w:r w:rsidRPr="00A428C3">
        <w:rPr>
          <w:b/>
        </w:rPr>
        <w:t>46</w:t>
      </w:r>
      <w:r w:rsidRPr="00A428C3">
        <w:t xml:space="preserve"> (7), </w:t>
      </w:r>
      <w:r w:rsidRPr="00A428C3">
        <w:lastRenderedPageBreak/>
        <w:t>1253-1265.</w:t>
      </w:r>
    </w:p>
    <w:p w:rsidR="00B95188" w:rsidRPr="00A428C3" w:rsidRDefault="00B95188" w:rsidP="00B95188">
      <w:pPr>
        <w:pStyle w:val="a0"/>
      </w:pPr>
      <w:bookmarkStart w:id="284" w:name="Jean"/>
      <w:r w:rsidRPr="00A428C3">
        <w:t xml:space="preserve">Full Text: </w:t>
      </w:r>
      <w:hyperlink r:id="rId350" w:history="1">
        <w:r w:rsidRPr="00A428C3">
          <w:rPr>
            <w:rStyle w:val="a5"/>
          </w:rPr>
          <w:t>G\Geo Cos Act46, 1253.pdf</w:t>
        </w:r>
      </w:hyperlink>
    </w:p>
    <w:p w:rsidR="00B95188" w:rsidRPr="00A428C3" w:rsidRDefault="00B95188" w:rsidP="00B95188">
      <w:pPr>
        <w:pStyle w:val="a0"/>
      </w:pPr>
      <w:r w:rsidRPr="00A428C3">
        <w:t>Abstract: The adsorption of Cu, Pb, Zn,</w:t>
      </w:r>
      <w:r w:rsidR="00F81221">
        <w:t xml:space="preserve"> and </w:t>
      </w:r>
      <w:r w:rsidRPr="00A428C3">
        <w:t>Cd on goethite (</w:t>
      </w:r>
      <w:r w:rsidRPr="00A428C3">
        <w:sym w:font="Symbol" w:char="F061"/>
      </w:r>
      <w:r w:rsidRPr="00A428C3">
        <w:t>FeOOH) from NaNO</w:t>
      </w:r>
      <w:r w:rsidRPr="00A428C3">
        <w:rPr>
          <w:vertAlign w:val="subscript"/>
        </w:rPr>
        <w:t>3</w:t>
      </w:r>
      <w:r w:rsidRPr="00A428C3">
        <w:t xml:space="preserve"> solutions</w:t>
      </w:r>
      <w:r w:rsidR="00F81221">
        <w:t xml:space="preserve"> and </w:t>
      </w:r>
      <w:r w:rsidRPr="00A428C3">
        <w:t>from major ion seawater was compared to assess the effect of the major ions of seawater (Na, Mg, Ca, K, Cl,</w:t>
      </w:r>
      <w:r w:rsidR="00F81221">
        <w:t xml:space="preserve"> and </w:t>
      </w:r>
      <w:r w:rsidRPr="00A428C3">
        <w:t>SO</w:t>
      </w:r>
      <w:r w:rsidRPr="00A428C3">
        <w:rPr>
          <w:vertAlign w:val="subscript"/>
        </w:rPr>
        <w:t>4</w:t>
      </w:r>
      <w:r w:rsidRPr="00A428C3">
        <w:t>) on the adsorption behavior of the metals. Magnesium</w:t>
      </w:r>
      <w:r w:rsidR="00F81221">
        <w:t xml:space="preserve"> and </w:t>
      </w:r>
      <w:r w:rsidRPr="00A428C3">
        <w:t xml:space="preserve">sulphate are the principal seawater ions which enhance or inhibit adsorption relative to the inert system. Their effect, as determined from the site-binding model of Davis </w:t>
      </w:r>
      <w:r w:rsidRPr="00A428C3">
        <w:rPr>
          <w:i/>
          <w:iCs/>
        </w:rPr>
        <w:t>et al</w:t>
      </w:r>
      <w:r w:rsidRPr="00A428C3">
        <w:t>. (1978), was a combination of changing the electrostatic conditions at the interface</w:t>
      </w:r>
      <w:r w:rsidR="00F81221">
        <w:t xml:space="preserve"> and </w:t>
      </w:r>
      <w:r w:rsidRPr="00A428C3">
        <w:t>decreasing the available binding sites.</w:t>
      </w:r>
    </w:p>
    <w:p w:rsidR="00B95188" w:rsidRPr="00A428C3" w:rsidRDefault="00B95188" w:rsidP="00B95188">
      <w:pPr>
        <w:pStyle w:val="a0"/>
      </w:pPr>
      <w:r w:rsidRPr="00A428C3">
        <w:t>The basic differences between the experimental system of major ion seawater</w:t>
      </w:r>
      <w:r w:rsidR="00F81221">
        <w:t xml:space="preserve"> and </w:t>
      </w:r>
      <w:r w:rsidRPr="00A428C3">
        <w:t>natural seawater were examined. It was concluded that: 1) although the experimental metal concentrations in major ion seawater were higher than those found in natural seawater, estimates of the binding energy of Cu, Zn,</w:t>
      </w:r>
      <w:r w:rsidR="00F81221">
        <w:t xml:space="preserve"> and </w:t>
      </w:r>
      <w:r w:rsidRPr="00A428C3">
        <w:t xml:space="preserve">Cd with </w:t>
      </w:r>
      <w:r w:rsidRPr="00A428C3">
        <w:sym w:font="Symbol" w:char="F061"/>
      </w:r>
      <w:r w:rsidRPr="00A428C3">
        <w:t>FeOOH for natural seawater concentrations could be made from the data, 2) Cu, Pb, Zn,</w:t>
      </w:r>
      <w:r w:rsidR="00F81221">
        <w:t xml:space="preserve"> and </w:t>
      </w:r>
      <w:r w:rsidRPr="00A428C3">
        <w:t>Cd showed little or no competition for surface sites on goethite,</w:t>
      </w:r>
      <w:r w:rsidR="00F81221">
        <w:t xml:space="preserve"> and </w:t>
      </w:r>
      <w:r w:rsidRPr="00A428C3">
        <w:t>3) the presence of carbonate, phosphate,</w:t>
      </w:r>
      <w:r w:rsidR="00F81221">
        <w:t xml:space="preserve"> and </w:t>
      </w:r>
      <w:r w:rsidRPr="00A428C3">
        <w:t>silicate had little or no effect on the adsorption of Zn</w:t>
      </w:r>
      <w:r w:rsidR="00F81221">
        <w:t xml:space="preserve"> and </w:t>
      </w:r>
      <w:r w:rsidRPr="00A428C3">
        <w:t>Cd on goethite.</w:t>
      </w:r>
    </w:p>
    <w:p w:rsidR="00B95188" w:rsidRPr="00A428C3" w:rsidRDefault="00B95188" w:rsidP="00B95188">
      <w:pPr>
        <w:pStyle w:val="a0"/>
      </w:pPr>
      <w:r w:rsidRPr="00A428C3">
        <w:t>Jean</w:t>
      </w:r>
      <w:bookmarkEnd w:id="284"/>
      <w:r w:rsidRPr="00A428C3">
        <w:t>, G.E.</w:t>
      </w:r>
      <w:r w:rsidR="00F81221">
        <w:t xml:space="preserve"> and </w:t>
      </w:r>
      <w:bookmarkStart w:id="285" w:name="Bancroft"/>
      <w:r w:rsidRPr="00A428C3">
        <w:t>Bancroft</w:t>
      </w:r>
      <w:bookmarkEnd w:id="285"/>
      <w:r w:rsidRPr="00A428C3">
        <w:t xml:space="preserve">, G.M. (1986), Heavy metal adsorption by </w:t>
      </w:r>
      <w:bookmarkStart w:id="286" w:name="sulphide"/>
      <w:r w:rsidRPr="00A428C3">
        <w:t>sulphide</w:t>
      </w:r>
      <w:bookmarkEnd w:id="286"/>
      <w:r w:rsidRPr="00A428C3">
        <w:t xml:space="preserve"> mineral surfaces. </w:t>
      </w:r>
      <w:r w:rsidRPr="00A428C3">
        <w:rPr>
          <w:i/>
        </w:rPr>
        <w:t>Geochimica et Cosmochimica Acta</w:t>
      </w:r>
      <w:r w:rsidRPr="00A428C3">
        <w:t xml:space="preserve">, </w:t>
      </w:r>
      <w:r w:rsidRPr="00A428C3">
        <w:rPr>
          <w:b/>
        </w:rPr>
        <w:t>50</w:t>
      </w:r>
      <w:r w:rsidRPr="00A428C3">
        <w:t xml:space="preserve"> (7), 1455-1463.</w:t>
      </w:r>
    </w:p>
    <w:p w:rsidR="00B95188" w:rsidRPr="00A428C3" w:rsidRDefault="00B95188" w:rsidP="00B95188">
      <w:pPr>
        <w:pStyle w:val="a0"/>
      </w:pPr>
      <w:r w:rsidRPr="00A428C3">
        <w:t xml:space="preserve">Full Text: </w:t>
      </w:r>
      <w:hyperlink r:id="rId351" w:history="1">
        <w:r w:rsidRPr="00A428C3">
          <w:rPr>
            <w:rStyle w:val="a5"/>
          </w:rPr>
          <w:t>G\Geo Cos Act50, 1455.pdf</w:t>
        </w:r>
      </w:hyperlink>
    </w:p>
    <w:p w:rsidR="00B95188" w:rsidRPr="00A428C3" w:rsidRDefault="00B95188" w:rsidP="00B95188">
      <w:pPr>
        <w:pStyle w:val="a0"/>
      </w:pPr>
      <w:r w:rsidRPr="00A428C3">
        <w:t>Abstract: The adsorption of aqueous Hg</w:t>
      </w:r>
      <w:r w:rsidRPr="00A428C3">
        <w:rPr>
          <w:vertAlign w:val="superscript"/>
        </w:rPr>
        <w:t>2+</w:t>
      </w:r>
      <w:r w:rsidRPr="00A428C3">
        <w:t>, Pb</w:t>
      </w:r>
      <w:r w:rsidRPr="00A428C3">
        <w:rPr>
          <w:vertAlign w:val="superscript"/>
        </w:rPr>
        <w:t>2+</w:t>
      </w:r>
      <w:r w:rsidRPr="00A428C3">
        <w:t>, Zn</w:t>
      </w:r>
      <w:r w:rsidRPr="00A428C3">
        <w:rPr>
          <w:vertAlign w:val="superscript"/>
        </w:rPr>
        <w:t>2+</w:t>
      </w:r>
      <w:r w:rsidR="00F81221">
        <w:t xml:space="preserve"> and </w:t>
      </w:r>
      <w:r w:rsidRPr="00A428C3">
        <w:t>Cd</w:t>
      </w:r>
      <w:r w:rsidRPr="00A428C3">
        <w:rPr>
          <w:vertAlign w:val="superscript"/>
        </w:rPr>
        <w:t>2+</w:t>
      </w:r>
      <w:r w:rsidRPr="00A428C3">
        <w:t xml:space="preserve"> complexes on a variety of sulphide minerals has been studied as a function of the solution pH</w:t>
      </w:r>
      <w:r w:rsidR="00F81221">
        <w:t xml:space="preserve"> and </w:t>
      </w:r>
      <w:r w:rsidRPr="00A428C3">
        <w:t xml:space="preserve">also as a function of the nature of the ligands in solution. Sulphide minerals are excellent scavengers for these heavy metals. The adsorption is strongly pH dependent, </w:t>
      </w:r>
      <w:r w:rsidRPr="00A428C3">
        <w:rPr>
          <w:i/>
          <w:iCs/>
        </w:rPr>
        <w:t>i.e.</w:t>
      </w:r>
      <w:r w:rsidRPr="00A428C3">
        <w:t xml:space="preserve"> there is a critical pH at which the adsorption increases dramatically. The pH dependence is related to the hydrolysis of the metal ions. Indirect evidence suggests that the hydrolyzed species are adsorbed directly on the sulphide groups, probably as a monolayer. The results also suggest the presence of MCI</w:t>
      </w:r>
      <w:r w:rsidRPr="00A428C3">
        <w:rPr>
          <w:i/>
          <w:iCs/>
          <w:vertAlign w:val="subscript"/>
        </w:rPr>
        <w:t>n</w:t>
      </w:r>
      <w:r w:rsidRPr="00A428C3">
        <w:rPr>
          <w:vertAlign w:val="superscript"/>
        </w:rPr>
        <w:t>2−</w:t>
      </w:r>
      <w:r w:rsidRPr="00A428C3">
        <w:rPr>
          <w:i/>
          <w:iCs/>
          <w:vertAlign w:val="superscript"/>
        </w:rPr>
        <w:t>n</w:t>
      </w:r>
      <w:r w:rsidRPr="00A428C3">
        <w:t xml:space="preserve"> species physisorbed on the adsorbed monolayer. A positive identification of the adsorbed species was not possible using ESCA/XPS.</w:t>
      </w:r>
    </w:p>
    <w:p w:rsidR="00186424" w:rsidRPr="00A428C3" w:rsidRDefault="00186424" w:rsidP="00186424">
      <w:pPr>
        <w:pStyle w:val="a0"/>
      </w:pPr>
      <w:r>
        <w:rPr>
          <w:rFonts w:hint="eastAsia"/>
        </w:rPr>
        <w:t xml:space="preserve">? </w:t>
      </w:r>
      <w:r w:rsidR="00BC028B">
        <w:t>George</w:t>
      </w:r>
      <w:r w:rsidR="00BC028B">
        <w:rPr>
          <w:rFonts w:hint="eastAsia"/>
        </w:rPr>
        <w:t>,</w:t>
      </w:r>
      <w:r w:rsidR="00BC028B">
        <w:t xml:space="preserve"> W</w:t>
      </w:r>
      <w:r w:rsidR="00BC028B">
        <w:rPr>
          <w:rFonts w:hint="eastAsia"/>
        </w:rPr>
        <w:t>.</w:t>
      </w:r>
      <w:r w:rsidR="00F81221">
        <w:rPr>
          <w:rFonts w:hint="eastAsia"/>
        </w:rPr>
        <w:t xml:space="preserve"> and </w:t>
      </w:r>
      <w:r w:rsidR="00BC028B">
        <w:t>Luther</w:t>
      </w:r>
      <w:r w:rsidR="00BC028B">
        <w:rPr>
          <w:rFonts w:hint="eastAsia"/>
        </w:rPr>
        <w:t>,</w:t>
      </w:r>
      <w:r w:rsidR="00BC028B">
        <w:t xml:space="preserve"> I</w:t>
      </w:r>
      <w:r w:rsidR="00BC028B">
        <w:rPr>
          <w:rFonts w:hint="eastAsia"/>
        </w:rPr>
        <w:t>.</w:t>
      </w:r>
      <w:r w:rsidR="00BC028B">
        <w:t>I</w:t>
      </w:r>
      <w:r w:rsidR="00BC028B">
        <w:rPr>
          <w:rFonts w:hint="eastAsia"/>
        </w:rPr>
        <w:t>.</w:t>
      </w:r>
      <w:r w:rsidR="00BC028B">
        <w:t>I</w:t>
      </w:r>
      <w:r w:rsidR="00BC028B">
        <w:rPr>
          <w:rFonts w:hint="eastAsia"/>
        </w:rPr>
        <w:t>.</w:t>
      </w:r>
      <w:r w:rsidR="00BC028B" w:rsidRPr="00A428C3">
        <w:t xml:space="preserve"> </w:t>
      </w:r>
      <w:r w:rsidRPr="00A428C3">
        <w:t>(198</w:t>
      </w:r>
      <w:r>
        <w:rPr>
          <w:rFonts w:hint="eastAsia"/>
        </w:rPr>
        <w:t>7</w:t>
      </w:r>
      <w:r w:rsidRPr="00A428C3">
        <w:t>),</w:t>
      </w:r>
      <w:r>
        <w:rPr>
          <w:rFonts w:hint="eastAsia"/>
        </w:rPr>
        <w:t xml:space="preserve"> </w:t>
      </w:r>
      <w:r w:rsidR="00BC028B">
        <w:t>Pyrite oxidation</w:t>
      </w:r>
      <w:r w:rsidR="00F81221">
        <w:t xml:space="preserve"> and </w:t>
      </w:r>
      <w:r w:rsidR="00BC028B">
        <w:t>reduction: Molecular orbital theory considerations</w:t>
      </w:r>
      <w:r w:rsidRPr="00A428C3">
        <w:t xml:space="preserve">. </w:t>
      </w:r>
      <w:r w:rsidRPr="00A428C3">
        <w:rPr>
          <w:i/>
        </w:rPr>
        <w:t>Geochimica et Cosmochimica Acta</w:t>
      </w:r>
      <w:r w:rsidRPr="00A428C3">
        <w:t xml:space="preserve">, </w:t>
      </w:r>
      <w:r w:rsidRPr="00A428C3">
        <w:rPr>
          <w:b/>
        </w:rPr>
        <w:t>5</w:t>
      </w:r>
      <w:r>
        <w:rPr>
          <w:rFonts w:hint="eastAsia"/>
          <w:b/>
        </w:rPr>
        <w:t>1</w:t>
      </w:r>
      <w:r w:rsidRPr="00A428C3">
        <w:t xml:space="preserve"> (</w:t>
      </w:r>
      <w:r>
        <w:rPr>
          <w:rFonts w:hint="eastAsia"/>
        </w:rPr>
        <w:t>12</w:t>
      </w:r>
      <w:r w:rsidRPr="00A428C3">
        <w:t xml:space="preserve">), </w:t>
      </w:r>
      <w:r>
        <w:rPr>
          <w:rFonts w:hint="eastAsia"/>
        </w:rPr>
        <w:t>3193</w:t>
      </w:r>
      <w:r w:rsidRPr="00A428C3">
        <w:t>-</w:t>
      </w:r>
      <w:r>
        <w:rPr>
          <w:rFonts w:hint="eastAsia"/>
        </w:rPr>
        <w:t>3199</w:t>
      </w:r>
      <w:r w:rsidRPr="00A428C3">
        <w:t>.</w:t>
      </w:r>
    </w:p>
    <w:p w:rsidR="00186424" w:rsidRPr="00A428C3" w:rsidRDefault="00186424" w:rsidP="00A961ED">
      <w:pPr>
        <w:pStyle w:val="a0"/>
      </w:pPr>
      <w:r w:rsidRPr="00A428C3">
        <w:t xml:space="preserve">Full Text: </w:t>
      </w:r>
      <w:hyperlink r:id="rId352" w:history="1">
        <w:r w:rsidR="00A961ED" w:rsidRPr="00A961ED">
          <w:rPr>
            <w:rStyle w:val="a5"/>
          </w:rPr>
          <w:t>1987\Geo Cos Act51, 3193.pdf</w:t>
        </w:r>
      </w:hyperlink>
    </w:p>
    <w:p w:rsidR="00BC028B" w:rsidRDefault="00BC028B" w:rsidP="00BC028B">
      <w:pPr>
        <w:pStyle w:val="a0"/>
      </w:pPr>
      <w:r>
        <w:t>Abstract</w:t>
      </w:r>
      <w:r>
        <w:rPr>
          <w:rFonts w:hint="eastAsia"/>
        </w:rPr>
        <w:t xml:space="preserve">: </w:t>
      </w:r>
      <w:r>
        <w:t>It is possible to demonstrate a heterogeneous reaction mechanism for both pyrite oxidation</w:t>
      </w:r>
      <w:r w:rsidR="00F81221">
        <w:t xml:space="preserve"> and </w:t>
      </w:r>
      <w:r>
        <w:t>reduction using a molecular orbital theory approach. The mechanism demonstrates that attachment to the FeS</w:t>
      </w:r>
      <w:r w:rsidRPr="00BC028B">
        <w:rPr>
          <w:vertAlign w:val="subscript"/>
        </w:rPr>
        <w:t>2</w:t>
      </w:r>
      <w:r>
        <w:t xml:space="preserve"> surface by an oxidant or reductant requires that they have a vacant orbital (solution phase) or site (solid phase) to bind the oxidant or reductant to a sulfur from S</w:t>
      </w:r>
      <w:r w:rsidRPr="00BC028B">
        <w:rPr>
          <w:vertAlign w:val="subscript"/>
        </w:rPr>
        <w:t>2</w:t>
      </w:r>
      <w:r w:rsidRPr="00BC028B">
        <w:rPr>
          <w:vertAlign w:val="superscript"/>
        </w:rPr>
        <w:t>−2</w:t>
      </w:r>
      <w:r>
        <w:t xml:space="preserve"> in FeS</w:t>
      </w:r>
      <w:r w:rsidRPr="00BC028B">
        <w:rPr>
          <w:vertAlign w:val="subscript"/>
        </w:rPr>
        <w:t>2</w:t>
      </w:r>
      <w:r>
        <w:t>. The approach thus requires the formation of a persulfido (disulfide) bridge between the iron in pyrite</w:t>
      </w:r>
      <w:r w:rsidR="00F81221">
        <w:t xml:space="preserve"> </w:t>
      </w:r>
      <w:r w:rsidR="00F81221">
        <w:lastRenderedPageBreak/>
        <w:t xml:space="preserve">and </w:t>
      </w:r>
      <w:r>
        <w:t>the oxidant (e.g. Fe</w:t>
      </w:r>
      <w:r w:rsidRPr="00BC028B">
        <w:rPr>
          <w:vertAlign w:val="superscript"/>
        </w:rPr>
        <w:t>3+</w:t>
      </w:r>
      <w:r>
        <w:t>) or the reductant (e.g. Cr</w:t>
      </w:r>
      <w:r w:rsidRPr="00BC028B">
        <w:rPr>
          <w:vertAlign w:val="superscript"/>
        </w:rPr>
        <w:t>2+</w:t>
      </w:r>
      <w:r>
        <w:t>).</w:t>
      </w:r>
    </w:p>
    <w:p w:rsidR="00BC028B" w:rsidRDefault="00BC028B" w:rsidP="00BC028B">
      <w:pPr>
        <w:pStyle w:val="a0"/>
      </w:pPr>
      <w:r>
        <w:t>The first electron transfer in oxidation occurs from the π*; orbital (highest occupied molecular orbital, HOMO) of the S</w:t>
      </w:r>
      <w:r w:rsidRPr="00BC028B">
        <w:rPr>
          <w:vertAlign w:val="subscript"/>
        </w:rPr>
        <w:t>2</w:t>
      </w:r>
      <w:r w:rsidRPr="00BC028B">
        <w:rPr>
          <w:vertAlign w:val="superscript"/>
        </w:rPr>
        <w:t>−2</w:t>
      </w:r>
      <w:r>
        <w:t xml:space="preserve"> in FeS</w:t>
      </w:r>
      <w:r w:rsidRPr="00BC028B">
        <w:rPr>
          <w:vertAlign w:val="subscript"/>
        </w:rPr>
        <w:t>2</w:t>
      </w:r>
      <w:r>
        <w:t xml:space="preserve"> to the π orbital (lowest unoccupied molecular orbital, LUMO) of the oxidant. Electron transfer in reduction occurs from the </w:t>
      </w:r>
      <w:r>
        <w:rPr>
          <w:rFonts w:hint="eastAsia"/>
        </w:rPr>
        <w:t>σ</w:t>
      </w:r>
      <w:r>
        <w:t>* orbital (HOMO) of the reductant to the σ* orbital (LUMO) of the S</w:t>
      </w:r>
      <w:r w:rsidRPr="00BC028B">
        <w:rPr>
          <w:vertAlign w:val="subscript"/>
        </w:rPr>
        <w:t>2</w:t>
      </w:r>
      <w:r w:rsidRPr="00BC028B">
        <w:rPr>
          <w:vertAlign w:val="superscript"/>
        </w:rPr>
        <w:t>−2</w:t>
      </w:r>
      <w:r>
        <w:t xml:space="preserve"> in FeS</w:t>
      </w:r>
      <w:r w:rsidRPr="00BC028B">
        <w:rPr>
          <w:vertAlign w:val="subscript"/>
        </w:rPr>
        <w:t>2</w:t>
      </w:r>
      <w:r>
        <w:t>. The bridge formation between two metals by a common ligand (persulfido),</w:t>
      </w:r>
      <w:r w:rsidR="00F81221">
        <w:t xml:space="preserve"> and </w:t>
      </w:r>
      <w:r>
        <w:t>the electron transfer, is consistent with an inner sphere type mechanism. In FeS</w:t>
      </w:r>
      <w:r w:rsidRPr="00BC028B">
        <w:rPr>
          <w:vertAlign w:val="subscript"/>
        </w:rPr>
        <w:t>2</w:t>
      </w:r>
      <w:r>
        <w:t>, however, the ligand S</w:t>
      </w:r>
      <w:r w:rsidRPr="00BC028B">
        <w:rPr>
          <w:vertAlign w:val="subscript"/>
        </w:rPr>
        <w:t>2</w:t>
      </w:r>
      <w:r w:rsidRPr="00BC028B">
        <w:rPr>
          <w:vertAlign w:val="superscript"/>
        </w:rPr>
        <w:t>−2</w:t>
      </w:r>
      <w:r>
        <w:t xml:space="preserve"> acts as the electron source or sink rather the Fe</w:t>
      </w:r>
      <w:r w:rsidRPr="00BC028B">
        <w:rPr>
          <w:vertAlign w:val="superscript"/>
        </w:rPr>
        <w:t>2+</w:t>
      </w:r>
      <w:r>
        <w:t>. The strength of the sulfur-sulfur bond in the persulfido bridge after electron transfer is key to the understanding of FeS</w:t>
      </w:r>
      <w:r w:rsidRPr="00BC028B">
        <w:rPr>
          <w:vertAlign w:val="subscript"/>
        </w:rPr>
        <w:t>2</w:t>
      </w:r>
      <w:r>
        <w:t xml:space="preserve"> oxidation</w:t>
      </w:r>
      <w:r w:rsidR="00F81221">
        <w:t xml:space="preserve"> and </w:t>
      </w:r>
      <w:r>
        <w:t>reduction.</w:t>
      </w:r>
    </w:p>
    <w:p w:rsidR="00BC028B" w:rsidRDefault="00BC028B" w:rsidP="00BC028B">
      <w:pPr>
        <w:pStyle w:val="a0"/>
      </w:pPr>
      <w:r>
        <w:t>Additional bridges can be formed on the FeS</w:t>
      </w:r>
      <w:r w:rsidRPr="00BC028B">
        <w:rPr>
          <w:vertAlign w:val="subscript"/>
        </w:rPr>
        <w:t>2</w:t>
      </w:r>
      <w:r>
        <w:t xml:space="preserve"> surface during oxidation until the initial oxidation product S</w:t>
      </w:r>
      <w:r w:rsidRPr="00BC028B">
        <w:rPr>
          <w:vertAlign w:val="subscript"/>
        </w:rPr>
        <w:t>2</w:t>
      </w:r>
      <w:r>
        <w:t>O</w:t>
      </w:r>
      <w:r w:rsidRPr="00BC028B">
        <w:rPr>
          <w:vertAlign w:val="subscript"/>
        </w:rPr>
        <w:t>2</w:t>
      </w:r>
      <w:r w:rsidRPr="00BC028B">
        <w:rPr>
          <w:vertAlign w:val="superscript"/>
        </w:rPr>
        <w:t>−</w:t>
      </w:r>
      <w:r>
        <w:rPr>
          <w:rFonts w:hint="eastAsia"/>
          <w:vertAlign w:val="superscript"/>
        </w:rPr>
        <w:t>3</w:t>
      </w:r>
      <w:r>
        <w:t xml:space="preserve"> is produced. The proposed mechanism allows for facile pyrite oxidation by Fe</w:t>
      </w:r>
      <w:r w:rsidRPr="00BC028B">
        <w:rPr>
          <w:vertAlign w:val="superscript"/>
        </w:rPr>
        <w:t>3+</w:t>
      </w:r>
      <w:r>
        <w:t xml:space="preserve"> but not O</w:t>
      </w:r>
      <w:r w:rsidRPr="00BC028B">
        <w:rPr>
          <w:vertAlign w:val="subscript"/>
        </w:rPr>
        <w:t>2</w:t>
      </w:r>
      <w:r>
        <w:t>. This is consistent with experimental observations. The mechanism does not require the formation of a free radical in solution. It does predict the formation of an ion radical on the pyrite surface. The proposed mechanism gives the same initial intermediate (FeS</w:t>
      </w:r>
      <w:r w:rsidRPr="00BC028B">
        <w:rPr>
          <w:vertAlign w:val="subscript"/>
        </w:rPr>
        <w:t>2</w:t>
      </w:r>
      <w:r>
        <w:t>O) as recently proposed by Moses et al. (1987), but explains possible surface attachment by an oxidant</w:t>
      </w:r>
      <w:r w:rsidR="00F81221">
        <w:t xml:space="preserve"> and </w:t>
      </w:r>
      <w:r>
        <w:t>subsequent FeS</w:t>
      </w:r>
      <w:r w:rsidRPr="00BC028B">
        <w:rPr>
          <w:vertAlign w:val="subscript"/>
        </w:rPr>
        <w:t>2</w:t>
      </w:r>
      <w:r>
        <w:t xml:space="preserve"> oxidation using a molecular orbital theory approach. The proposed surface mechanism is consistent with experimental observations of several investigators (Goldhaber, 1983; McKibben</w:t>
      </w:r>
      <w:r w:rsidR="00F81221">
        <w:t xml:space="preserve"> and </w:t>
      </w:r>
      <w:r>
        <w:t>Barnes, 1986; Wiersma</w:t>
      </w:r>
      <w:r w:rsidR="00F81221">
        <w:t xml:space="preserve"> and </w:t>
      </w:r>
      <w:r>
        <w:t>Rimstidt, 1984).</w:t>
      </w:r>
    </w:p>
    <w:p w:rsidR="00186424" w:rsidRDefault="00BC028B" w:rsidP="00BC028B">
      <w:pPr>
        <w:pStyle w:val="a0"/>
      </w:pPr>
      <w:r>
        <w:t>The importance of thiosulfate formation</w:t>
      </w:r>
      <w:r w:rsidR="00F81221">
        <w:t xml:space="preserve"> and </w:t>
      </w:r>
      <w:r>
        <w:t>reactivity with Fe</w:t>
      </w:r>
      <w:r w:rsidRPr="00BC028B">
        <w:rPr>
          <w:vertAlign w:val="superscript"/>
        </w:rPr>
        <w:t>3+</w:t>
      </w:r>
      <w:r>
        <w:t xml:space="preserve"> is discussed in light of pyrite oxidation</w:t>
      </w:r>
      <w:r w:rsidR="00F81221">
        <w:t xml:space="preserve"> and </w:t>
      </w:r>
      <w:r>
        <w:t>of previous reports on the presence of thiosulfate in marine porewaters</w:t>
      </w:r>
    </w:p>
    <w:p w:rsidR="00B95188" w:rsidRPr="00A428C3" w:rsidRDefault="00B95188" w:rsidP="00B95188">
      <w:pPr>
        <w:pStyle w:val="a0"/>
      </w:pPr>
      <w:r w:rsidRPr="00A428C3">
        <w:t>Gonzalez</w:t>
      </w:r>
      <w:bookmarkEnd w:id="283"/>
      <w:r w:rsidRPr="00A428C3">
        <w:t>-Davila, M.</w:t>
      </w:r>
      <w:r w:rsidR="00F81221">
        <w:t xml:space="preserve"> and </w:t>
      </w:r>
      <w:bookmarkStart w:id="287" w:name="Millero"/>
      <w:r w:rsidRPr="00A428C3">
        <w:t>Millero</w:t>
      </w:r>
      <w:bookmarkEnd w:id="287"/>
      <w:r w:rsidRPr="00A428C3">
        <w:t xml:space="preserve">, F.J. (1990), The adsorption of copper to chitin in seawater. </w:t>
      </w:r>
      <w:r w:rsidRPr="00A428C3">
        <w:rPr>
          <w:i/>
        </w:rPr>
        <w:t>Geochimica et Cosmochimica Acta</w:t>
      </w:r>
      <w:r w:rsidRPr="00A428C3">
        <w:t xml:space="preserve">, </w:t>
      </w:r>
      <w:r w:rsidRPr="00A428C3">
        <w:rPr>
          <w:b/>
        </w:rPr>
        <w:t>54</w:t>
      </w:r>
      <w:r w:rsidRPr="00A428C3">
        <w:t xml:space="preserve"> (3), 761-768.</w:t>
      </w:r>
    </w:p>
    <w:p w:rsidR="00B95188" w:rsidRPr="00A428C3" w:rsidRDefault="00B95188" w:rsidP="00B95188">
      <w:pPr>
        <w:pStyle w:val="a0"/>
      </w:pPr>
      <w:r w:rsidRPr="00A428C3">
        <w:t xml:space="preserve">Full Text: </w:t>
      </w:r>
      <w:hyperlink r:id="rId353" w:history="1">
        <w:r w:rsidRPr="00A428C3">
          <w:rPr>
            <w:rStyle w:val="a5"/>
          </w:rPr>
          <w:t>G\Geo Cos Act54, 761.pdf</w:t>
        </w:r>
      </w:hyperlink>
    </w:p>
    <w:p w:rsidR="00B95188" w:rsidRPr="00A428C3" w:rsidRDefault="00B95188" w:rsidP="00B95188">
      <w:pPr>
        <w:pStyle w:val="a0"/>
      </w:pPr>
      <w:r w:rsidRPr="00A428C3">
        <w:t>Abstract: The interaction of metal ions with particulate matter is important in limiting their concentration in seawater. Chitin is one of the constituents of the natural particulate organic matter than can interact with metal ions</w:t>
      </w:r>
      <w:r w:rsidR="00F81221">
        <w:t xml:space="preserve"> and </w:t>
      </w:r>
      <w:r w:rsidRPr="00A428C3">
        <w:t>therefore may serve as a reasonable model for natural organic solids. The adsorption of Cu</w:t>
      </w:r>
      <w:r w:rsidRPr="00A428C3">
        <w:rPr>
          <w:vertAlign w:val="superscript"/>
        </w:rPr>
        <w:t>2+</w:t>
      </w:r>
      <w:r w:rsidRPr="00A428C3">
        <w:t xml:space="preserve"> on the chitin surface has been studied in seawater as a function of pH, temperature,</w:t>
      </w:r>
      <w:r w:rsidR="00F81221">
        <w:t xml:space="preserve"> and </w:t>
      </w:r>
      <w:r w:rsidRPr="00A428C3">
        <w:t xml:space="preserve">salinity. The amphoteric properties of the surface of chitin were characterized in </w:t>
      </w:r>
      <w:smartTag w:uri="urn:schemas-microsoft-com:office:smarttags" w:element="chmetcnv">
        <w:smartTagPr>
          <w:attr w:name="TCSC" w:val="0"/>
          <w:attr w:name="NumberType" w:val="1"/>
          <w:attr w:name="Negative" w:val="False"/>
          <w:attr w:name="HasSpace" w:val="True"/>
          <w:attr w:name="SourceValue" w:val="0.7"/>
          <w:attr w:name="UnitName" w:val="m"/>
        </w:smartTagPr>
        <w:r w:rsidRPr="00A428C3">
          <w:t>0.7 M</w:t>
        </w:r>
      </w:smartTag>
      <w:r w:rsidRPr="00A428C3">
        <w:t xml:space="preserve"> NaCl in terms of a two-protic acid-base system (</w:t>
      </w:r>
      <w:r w:rsidRPr="00A428C3">
        <w:rPr>
          <w:i/>
          <w:iCs/>
        </w:rPr>
        <w:t>pH</w:t>
      </w:r>
      <w:r w:rsidRPr="00A428C3">
        <w:rPr>
          <w:i/>
          <w:iCs/>
          <w:vertAlign w:val="subscript"/>
        </w:rPr>
        <w:t>PZC</w:t>
      </w:r>
      <w:r w:rsidRPr="00A428C3">
        <w:t xml:space="preserve"> = 5.4) with acidity constants </w:t>
      </w:r>
      <w:r w:rsidRPr="00A428C3">
        <w:rPr>
          <w:i/>
          <w:iCs/>
        </w:rPr>
        <w:t>p</w:t>
      </w:r>
      <w:r w:rsidRPr="00A428C3">
        <w:rPr>
          <w:vertAlign w:val="superscript"/>
        </w:rPr>
        <w:t>*</w:t>
      </w:r>
      <w:r w:rsidRPr="00A428C3">
        <w:rPr>
          <w:i/>
          <w:iCs/>
        </w:rPr>
        <w:t>K</w:t>
      </w:r>
      <w:r w:rsidRPr="00A428C3">
        <w:rPr>
          <w:i/>
          <w:iCs/>
          <w:vertAlign w:val="subscript"/>
        </w:rPr>
        <w:t>a</w:t>
      </w:r>
      <w:r w:rsidRPr="00A428C3">
        <w:rPr>
          <w:vertAlign w:val="subscript"/>
        </w:rPr>
        <w:t>1</w:t>
      </w:r>
      <w:r w:rsidRPr="00A428C3">
        <w:rPr>
          <w:i/>
          <w:iCs/>
          <w:vertAlign w:val="superscript"/>
        </w:rPr>
        <w:t>s</w:t>
      </w:r>
      <w:r w:rsidRPr="00A428C3">
        <w:t xml:space="preserve"> = 4.4 ± 0.2</w:t>
      </w:r>
      <w:r w:rsidR="00F81221">
        <w:t xml:space="preserve"> and </w:t>
      </w:r>
      <w:r w:rsidRPr="00A428C3">
        <w:rPr>
          <w:i/>
          <w:iCs/>
        </w:rPr>
        <w:t>p</w:t>
      </w:r>
      <w:r w:rsidRPr="00A428C3">
        <w:rPr>
          <w:vertAlign w:val="superscript"/>
        </w:rPr>
        <w:t>*</w:t>
      </w:r>
      <w:r w:rsidRPr="00A428C3">
        <w:rPr>
          <w:i/>
          <w:iCs/>
        </w:rPr>
        <w:t>K</w:t>
      </w:r>
      <w:r w:rsidRPr="00A428C3">
        <w:rPr>
          <w:i/>
          <w:iCs/>
          <w:vertAlign w:val="subscript"/>
        </w:rPr>
        <w:t>a</w:t>
      </w:r>
      <w:r w:rsidRPr="00A428C3">
        <w:rPr>
          <w:vertAlign w:val="subscript"/>
        </w:rPr>
        <w:t>2</w:t>
      </w:r>
      <w:r w:rsidRPr="00A428C3">
        <w:rPr>
          <w:i/>
          <w:iCs/>
          <w:vertAlign w:val="superscript"/>
        </w:rPr>
        <w:t>s</w:t>
      </w:r>
      <w:r w:rsidRPr="00A428C3">
        <w:t xml:space="preserve"> = 6.4 ± 0.2. The maximum proton exchange capacity of chitin was found to be 2.3 ± 0.3 mol kg</w:t>
      </w:r>
      <w:r w:rsidRPr="00A428C3">
        <w:rPr>
          <w:vertAlign w:val="superscript"/>
        </w:rPr>
        <w:t>−1</w:t>
      </w:r>
      <w:r w:rsidRPr="00A428C3">
        <w:t>, broadly similar to other solids. The rates of the adsorption were quite rapid (</w:t>
      </w:r>
      <w:r w:rsidRPr="00A428C3">
        <w:rPr>
          <w:i/>
          <w:iCs/>
        </w:rPr>
        <w:t>t</w:t>
      </w:r>
      <w:r w:rsidRPr="00A428C3">
        <w:rPr>
          <w:vertAlign w:val="subscript"/>
        </w:rPr>
        <w:t xml:space="preserve">1/2 = 8 </w:t>
      </w:r>
      <w:r w:rsidRPr="00A428C3">
        <w:rPr>
          <w:i/>
          <w:iCs/>
          <w:vertAlign w:val="subscript"/>
        </w:rPr>
        <w:t>min</w:t>
      </w:r>
      <w:r w:rsidRPr="00A428C3">
        <w:t>)</w:t>
      </w:r>
      <w:r w:rsidR="00F81221">
        <w:t xml:space="preserve"> and </w:t>
      </w:r>
      <w:r w:rsidRPr="00A428C3">
        <w:t>not strongly affected by the presence of other metals such as Cd</w:t>
      </w:r>
      <w:r w:rsidRPr="00A428C3">
        <w:rPr>
          <w:vertAlign w:val="superscript"/>
        </w:rPr>
        <w:t>2+</w:t>
      </w:r>
      <w:r w:rsidR="00F81221">
        <w:t xml:space="preserve"> and </w:t>
      </w:r>
      <w:r w:rsidRPr="00A428C3">
        <w:t>Pb</w:t>
      </w:r>
      <w:r w:rsidRPr="00A428C3">
        <w:rPr>
          <w:vertAlign w:val="superscript"/>
        </w:rPr>
        <w:t>2+</w:t>
      </w:r>
      <w:r w:rsidRPr="00A428C3">
        <w:t xml:space="preserve">. The adsorption equilibrium data have been found to correlate well with surface complex-formation equilibria or the mathematically </w:t>
      </w:r>
      <w:r w:rsidRPr="00A428C3">
        <w:lastRenderedPageBreak/>
        <w:t>equivalent Langmuir- type adsorption equilibria. The value for the stability constant of Cu</w:t>
      </w:r>
      <w:r w:rsidRPr="00A428C3">
        <w:rPr>
          <w:vertAlign w:val="superscript"/>
        </w:rPr>
        <w:t>2+</w:t>
      </w:r>
      <w:r w:rsidRPr="00A428C3">
        <w:t xml:space="preserve"> on chitin was found to be </w:t>
      </w:r>
      <w:r w:rsidRPr="00A428C3">
        <w:rPr>
          <w:i/>
          <w:iCs/>
        </w:rPr>
        <w:t>log</w:t>
      </w:r>
      <w:r w:rsidRPr="00A428C3">
        <w:rPr>
          <w:vertAlign w:val="superscript"/>
        </w:rPr>
        <w:t>*</w:t>
      </w:r>
      <w:r w:rsidRPr="00A428C3">
        <w:rPr>
          <w:i/>
          <w:iCs/>
        </w:rPr>
        <w:t>K</w:t>
      </w:r>
      <w:r w:rsidRPr="00A428C3">
        <w:rPr>
          <w:i/>
          <w:iCs/>
          <w:vertAlign w:val="subscript"/>
        </w:rPr>
        <w:t>H</w:t>
      </w:r>
      <w:r w:rsidRPr="00A428C3">
        <w:rPr>
          <w:i/>
          <w:iCs/>
          <w:vertAlign w:val="superscript"/>
        </w:rPr>
        <w:t>s</w:t>
      </w:r>
      <w:r w:rsidRPr="00A428C3">
        <w:t xml:space="preserve"> = 8.95 ± 0.01,</w:t>
      </w:r>
      <w:r w:rsidR="00F81221">
        <w:t xml:space="preserve"> and </w:t>
      </w:r>
      <w:r w:rsidRPr="00A428C3">
        <w:t>the complexing capacity of chitin was found to be 6.9</w:t>
      </w:r>
      <w:r w:rsidR="00F81221">
        <w:t xml:space="preserve"> and </w:t>
      </w:r>
      <w:r w:rsidRPr="00A428C3">
        <w:t xml:space="preserve">5.9 </w:t>
      </w:r>
      <w:r w:rsidRPr="00A428C3">
        <w:sym w:font="Symbol" w:char="F06D"/>
      </w:r>
      <w:r w:rsidRPr="00A428C3">
        <w:t>mol g</w:t>
      </w:r>
      <w:r w:rsidRPr="00A428C3">
        <w:rPr>
          <w:vertAlign w:val="superscript"/>
        </w:rPr>
        <w:t>−1</w:t>
      </w:r>
      <w:r w:rsidRPr="00A428C3">
        <w:t>, respectively, in the absence</w:t>
      </w:r>
      <w:r w:rsidR="00F81221">
        <w:t xml:space="preserve"> and </w:t>
      </w:r>
      <w:r w:rsidRPr="00A428C3">
        <w:t>in the presence of Cd</w:t>
      </w:r>
      <w:r w:rsidRPr="00A428C3">
        <w:rPr>
          <w:vertAlign w:val="superscript"/>
        </w:rPr>
        <w:t>2+</w:t>
      </w:r>
      <w:r w:rsidR="00F81221">
        <w:t xml:space="preserve"> and </w:t>
      </w:r>
      <w:r w:rsidRPr="00A428C3">
        <w:t>Pb</w:t>
      </w:r>
      <w:r w:rsidRPr="00A428C3">
        <w:rPr>
          <w:vertAlign w:val="superscript"/>
        </w:rPr>
        <w:t>2+</w:t>
      </w:r>
      <w:r w:rsidRPr="00A428C3">
        <w:t>. An increase in the salinity</w:t>
      </w:r>
      <w:r w:rsidR="00F81221">
        <w:t xml:space="preserve"> and </w:t>
      </w:r>
      <w:r w:rsidRPr="00A428C3">
        <w:t>a decrease in the temperature result in greater adsorption of Cu</w:t>
      </w:r>
      <w:r w:rsidRPr="00A428C3">
        <w:rPr>
          <w:vertAlign w:val="superscript"/>
        </w:rPr>
        <w:t>2+</w:t>
      </w:r>
      <w:r w:rsidRPr="00A428C3">
        <w:t xml:space="preserve"> to chitin</w:t>
      </w:r>
    </w:p>
    <w:p w:rsidR="008D47EC" w:rsidRDefault="008D47EC" w:rsidP="008D47EC">
      <w:pPr>
        <w:pStyle w:val="a0"/>
        <w:rPr>
          <w:kern w:val="0"/>
          <w:szCs w:val="24"/>
        </w:rPr>
      </w:pPr>
      <w:r>
        <w:rPr>
          <w:kern w:val="0"/>
          <w:szCs w:val="24"/>
        </w:rPr>
        <w:t>Notes: highly cited</w:t>
      </w:r>
    </w:p>
    <w:p w:rsidR="008D47EC" w:rsidRDefault="008D47EC" w:rsidP="008D47EC">
      <w:pPr>
        <w:pStyle w:val="a0"/>
        <w:rPr>
          <w:kern w:val="0"/>
          <w:szCs w:val="24"/>
        </w:rPr>
      </w:pPr>
      <w:r>
        <w:rPr>
          <w:rFonts w:hint="eastAsia"/>
          <w:kern w:val="0"/>
          <w:szCs w:val="24"/>
        </w:rPr>
        <w:t xml:space="preserve">? </w:t>
      </w:r>
      <w:r>
        <w:rPr>
          <w:kern w:val="0"/>
          <w:szCs w:val="24"/>
        </w:rPr>
        <w:t>Comans, R.N.J., Haller, M.</w:t>
      </w:r>
      <w:r w:rsidR="00F81221">
        <w:rPr>
          <w:kern w:val="0"/>
          <w:szCs w:val="24"/>
        </w:rPr>
        <w:t xml:space="preserve"> and </w:t>
      </w:r>
      <w:r>
        <w:rPr>
          <w:kern w:val="0"/>
          <w:szCs w:val="24"/>
        </w:rPr>
        <w:t xml:space="preserve">Depreter, P. (1991), Sorption of </w:t>
      </w:r>
      <w:r w:rsidR="00843C43">
        <w:rPr>
          <w:kern w:val="0"/>
          <w:szCs w:val="24"/>
        </w:rPr>
        <w:t>cesium on il</w:t>
      </w:r>
      <w:r>
        <w:rPr>
          <w:kern w:val="0"/>
          <w:szCs w:val="24"/>
        </w:rPr>
        <w:t xml:space="preserve">lite - Nonequilibrium </w:t>
      </w:r>
      <w:r w:rsidR="00843C43">
        <w:rPr>
          <w:kern w:val="0"/>
          <w:szCs w:val="24"/>
        </w:rPr>
        <w:t>behavior</w:t>
      </w:r>
      <w:r w:rsidR="00F81221">
        <w:rPr>
          <w:kern w:val="0"/>
          <w:szCs w:val="24"/>
        </w:rPr>
        <w:t xml:space="preserve"> and </w:t>
      </w:r>
      <w:r w:rsidR="00843C43">
        <w:rPr>
          <w:kern w:val="0"/>
          <w:szCs w:val="24"/>
        </w:rPr>
        <w:t>reve</w:t>
      </w:r>
      <w:r>
        <w:rPr>
          <w:kern w:val="0"/>
          <w:szCs w:val="24"/>
        </w:rPr>
        <w:t xml:space="preserve">rsibility. </w:t>
      </w:r>
      <w:r>
        <w:rPr>
          <w:i/>
          <w:iCs/>
          <w:kern w:val="0"/>
          <w:szCs w:val="24"/>
        </w:rPr>
        <w:t>Geochimica et Cosmochimica Acta</w:t>
      </w:r>
      <w:r>
        <w:rPr>
          <w:kern w:val="0"/>
          <w:szCs w:val="24"/>
        </w:rPr>
        <w:t xml:space="preserve">, </w:t>
      </w:r>
      <w:r>
        <w:rPr>
          <w:b/>
          <w:bCs/>
          <w:kern w:val="0"/>
          <w:szCs w:val="24"/>
        </w:rPr>
        <w:t>55</w:t>
      </w:r>
      <w:r>
        <w:rPr>
          <w:kern w:val="0"/>
          <w:szCs w:val="24"/>
        </w:rPr>
        <w:t xml:space="preserve"> (2), 433-440.</w:t>
      </w:r>
    </w:p>
    <w:p w:rsidR="008D47EC" w:rsidRPr="00A428C3" w:rsidRDefault="008D47EC" w:rsidP="008D47EC">
      <w:pPr>
        <w:pStyle w:val="a0"/>
      </w:pPr>
      <w:r w:rsidRPr="00A428C3">
        <w:t xml:space="preserve">Full Text: </w:t>
      </w:r>
      <w:hyperlink r:id="rId354" w:history="1">
        <w:r w:rsidRPr="008D47EC">
          <w:rPr>
            <w:rStyle w:val="a5"/>
          </w:rPr>
          <w:t>1991\Geo Cos Act55, 433.pdf</w:t>
        </w:r>
      </w:hyperlink>
    </w:p>
    <w:p w:rsidR="008D47EC" w:rsidRDefault="008D47EC" w:rsidP="008D47EC">
      <w:pPr>
        <w:pStyle w:val="a0"/>
        <w:rPr>
          <w:kern w:val="0"/>
          <w:szCs w:val="24"/>
        </w:rPr>
      </w:pPr>
      <w:r>
        <w:rPr>
          <w:kern w:val="0"/>
          <w:szCs w:val="24"/>
        </w:rPr>
        <w:t>Abstract: Adsorption, desorption,</w:t>
      </w:r>
      <w:r w:rsidR="00F81221">
        <w:rPr>
          <w:kern w:val="0"/>
          <w:szCs w:val="24"/>
        </w:rPr>
        <w:t xml:space="preserve"> and </w:t>
      </w:r>
      <w:r>
        <w:rPr>
          <w:kern w:val="0"/>
          <w:szCs w:val="24"/>
        </w:rPr>
        <w:t>isotopic exchange experiments have been used to investigate the kinetics</w:t>
      </w:r>
      <w:r w:rsidR="00F81221">
        <w:rPr>
          <w:kern w:val="0"/>
          <w:szCs w:val="24"/>
        </w:rPr>
        <w:t xml:space="preserve"> and </w:t>
      </w:r>
      <w:r>
        <w:rPr>
          <w:kern w:val="0"/>
          <w:szCs w:val="24"/>
        </w:rPr>
        <w:t>reversibility of cesium sorption on illite. Trace concentrations of cesium were used</w:t>
      </w:r>
      <w:r w:rsidR="00F81221">
        <w:rPr>
          <w:kern w:val="0"/>
          <w:szCs w:val="24"/>
        </w:rPr>
        <w:t xml:space="preserve"> and </w:t>
      </w:r>
      <w:r>
        <w:rPr>
          <w:kern w:val="0"/>
          <w:szCs w:val="24"/>
        </w:rPr>
        <w:t>experimental conditions were kept close to those of many freshwater environments. Initial adsorption of cesium on illite was rapid but was followed by slower uptake processes with time scales of weeks to months. The uptake proceeded faster</w:t>
      </w:r>
      <w:r w:rsidR="00F81221">
        <w:rPr>
          <w:kern w:val="0"/>
          <w:szCs w:val="24"/>
        </w:rPr>
        <w:t xml:space="preserve"> and </w:t>
      </w:r>
      <w:r>
        <w:rPr>
          <w:kern w:val="0"/>
          <w:szCs w:val="24"/>
        </w:rPr>
        <w:t>reached much higher K(d) values in a Ca2+ environment than in a K+ environment. The apparent reversibility of sorption was affected by both the slow sorption processes</w:t>
      </w:r>
      <w:r w:rsidR="00F81221">
        <w:rPr>
          <w:kern w:val="0"/>
          <w:szCs w:val="24"/>
        </w:rPr>
        <w:t xml:space="preserve"> and </w:t>
      </w:r>
      <w:r>
        <w:rPr>
          <w:kern w:val="0"/>
          <w:szCs w:val="24"/>
        </w:rPr>
        <w:t>the nature of the competing cation. The desorption equilibration patterns indicate that cesium is released from rapidly accessible sorption sites but that the slow forward reaction continues. On time scales relevant for modelling its transport</w:t>
      </w:r>
      <w:r w:rsidR="00F81221">
        <w:rPr>
          <w:kern w:val="0"/>
          <w:szCs w:val="24"/>
        </w:rPr>
        <w:t xml:space="preserve"> and </w:t>
      </w:r>
      <w:r>
        <w:rPr>
          <w:kern w:val="0"/>
          <w:szCs w:val="24"/>
        </w:rPr>
        <w:t>retention in aquatic systems, cesium shows partially irreversible behaviour. A mechanistic interpretation for the observed sorption</w:t>
      </w:r>
      <w:r w:rsidR="00F81221">
        <w:rPr>
          <w:kern w:val="0"/>
          <w:szCs w:val="24"/>
        </w:rPr>
        <w:t xml:space="preserve"> and </w:t>
      </w:r>
      <w:r>
        <w:rPr>
          <w:kern w:val="0"/>
          <w:szCs w:val="24"/>
        </w:rPr>
        <w:t>isotopic exchange behaviour is proposed whereby cesium migrates slowly to energetically favourable interlayer sites from which it is not easily released.</w:t>
      </w:r>
    </w:p>
    <w:p w:rsidR="008D47EC" w:rsidRDefault="008D47EC" w:rsidP="008D47EC">
      <w:pPr>
        <w:pStyle w:val="a0"/>
        <w:rPr>
          <w:kern w:val="0"/>
          <w:szCs w:val="24"/>
        </w:rPr>
      </w:pPr>
      <w:r>
        <w:rPr>
          <w:kern w:val="0"/>
          <w:szCs w:val="24"/>
        </w:rPr>
        <w:t>Keywords: Adsorption, Clay, Desorption, Exchange, Fixation, Kinetics, Minerals, Mobilization, Radiocesium, Sediments, Sorption</w:t>
      </w:r>
    </w:p>
    <w:p w:rsidR="00CB0995" w:rsidRDefault="00CB0995" w:rsidP="00CB0995">
      <w:pPr>
        <w:pStyle w:val="a0"/>
        <w:rPr>
          <w:kern w:val="0"/>
          <w:szCs w:val="24"/>
        </w:rPr>
      </w:pPr>
      <w:r>
        <w:rPr>
          <w:kern w:val="0"/>
          <w:szCs w:val="24"/>
        </w:rPr>
        <w:t>Notes: highly cited</w:t>
      </w:r>
    </w:p>
    <w:p w:rsidR="00CB0995" w:rsidRDefault="00CB0995" w:rsidP="00CB0995">
      <w:pPr>
        <w:pStyle w:val="a0"/>
        <w:rPr>
          <w:kern w:val="0"/>
          <w:szCs w:val="24"/>
        </w:rPr>
      </w:pPr>
      <w:r>
        <w:rPr>
          <w:rFonts w:hint="eastAsia"/>
          <w:kern w:val="0"/>
          <w:szCs w:val="24"/>
        </w:rPr>
        <w:t xml:space="preserve">? </w:t>
      </w:r>
      <w:r>
        <w:rPr>
          <w:kern w:val="0"/>
          <w:szCs w:val="24"/>
        </w:rPr>
        <w:t>Comans, R.N.J.</w:t>
      </w:r>
      <w:r w:rsidR="00F81221">
        <w:rPr>
          <w:kern w:val="0"/>
          <w:szCs w:val="24"/>
        </w:rPr>
        <w:t xml:space="preserve"> and </w:t>
      </w:r>
      <w:r>
        <w:rPr>
          <w:kern w:val="0"/>
          <w:szCs w:val="24"/>
        </w:rPr>
        <w:t xml:space="preserve">Hockley, D.E. (1992), Kinetics of cesium sorption on illite. </w:t>
      </w:r>
      <w:r>
        <w:rPr>
          <w:i/>
          <w:iCs/>
          <w:kern w:val="0"/>
          <w:szCs w:val="24"/>
        </w:rPr>
        <w:t>Geochimica et Cosmochimica Acta</w:t>
      </w:r>
      <w:r>
        <w:rPr>
          <w:kern w:val="0"/>
          <w:szCs w:val="24"/>
        </w:rPr>
        <w:t xml:space="preserve">, </w:t>
      </w:r>
      <w:r>
        <w:rPr>
          <w:b/>
          <w:bCs/>
          <w:kern w:val="0"/>
          <w:szCs w:val="24"/>
        </w:rPr>
        <w:t>56</w:t>
      </w:r>
      <w:r>
        <w:rPr>
          <w:kern w:val="0"/>
          <w:szCs w:val="24"/>
        </w:rPr>
        <w:t xml:space="preserve"> (3), 1157-1164.</w:t>
      </w:r>
    </w:p>
    <w:p w:rsidR="00CB0995" w:rsidRPr="00A428C3" w:rsidRDefault="00CB0995" w:rsidP="00CB0995">
      <w:pPr>
        <w:pStyle w:val="a0"/>
      </w:pPr>
      <w:r w:rsidRPr="00A428C3">
        <w:t xml:space="preserve">Full Text: </w:t>
      </w:r>
      <w:hyperlink r:id="rId355" w:history="1">
        <w:r w:rsidRPr="00CB0995">
          <w:rPr>
            <w:rStyle w:val="a5"/>
          </w:rPr>
          <w:t>1992\Geo Cos Act56, 1157.pdf</w:t>
        </w:r>
      </w:hyperlink>
    </w:p>
    <w:p w:rsidR="00CB0995" w:rsidRDefault="00CB0995" w:rsidP="00CB0995">
      <w:pPr>
        <w:pStyle w:val="a0"/>
        <w:rPr>
          <w:kern w:val="0"/>
          <w:szCs w:val="24"/>
        </w:rPr>
      </w:pPr>
      <w:r>
        <w:rPr>
          <w:kern w:val="0"/>
          <w:szCs w:val="24"/>
        </w:rPr>
        <w:t>Abstract: The behaviour of anthropogenic cesium isotopes in the aquatic environment is controlled by sorption on solid particles, especially illitic clays. We review data previously published</w:t>
      </w:r>
      <w:r w:rsidR="00F81221">
        <w:rPr>
          <w:kern w:val="0"/>
          <w:szCs w:val="24"/>
        </w:rPr>
        <w:t xml:space="preserve"> and </w:t>
      </w:r>
      <w:r>
        <w:rPr>
          <w:kern w:val="0"/>
          <w:szCs w:val="24"/>
        </w:rPr>
        <w:t>present new results which show that cesium sorption on potassium-</w:t>
      </w:r>
      <w:r w:rsidR="00F81221">
        <w:rPr>
          <w:kern w:val="0"/>
          <w:szCs w:val="24"/>
        </w:rPr>
        <w:t xml:space="preserve"> and </w:t>
      </w:r>
      <w:r>
        <w:rPr>
          <w:kern w:val="0"/>
          <w:szCs w:val="24"/>
        </w:rPr>
        <w:t>calcium-saturated illite is kinetically controlled. Two kinetic models incorporating Freundlich isotherms</w:t>
      </w:r>
      <w:r w:rsidR="00F81221">
        <w:rPr>
          <w:kern w:val="0"/>
          <w:szCs w:val="24"/>
        </w:rPr>
        <w:t xml:space="preserve"> and </w:t>
      </w:r>
      <w:r>
        <w:rPr>
          <w:kern w:val="0"/>
          <w:szCs w:val="24"/>
        </w:rPr>
        <w:t>an irreversible process are used to describe sorption data spanning a range of cesium concentrations. Although empirical in nature</w:t>
      </w:r>
      <w:r w:rsidR="00F81221">
        <w:rPr>
          <w:kern w:val="0"/>
          <w:szCs w:val="24"/>
        </w:rPr>
        <w:t xml:space="preserve"> and </w:t>
      </w:r>
      <w:r>
        <w:rPr>
          <w:kern w:val="0"/>
          <w:szCs w:val="24"/>
        </w:rPr>
        <w:t>origin, the models are consistent with mechanistic hypotheses proposed by earlier workers. The models predict that effectively instantaneous</w:t>
      </w:r>
      <w:r w:rsidR="00F81221">
        <w:rPr>
          <w:kern w:val="0"/>
          <w:szCs w:val="24"/>
        </w:rPr>
        <w:t xml:space="preserve"> and </w:t>
      </w:r>
      <w:r>
        <w:rPr>
          <w:kern w:val="0"/>
          <w:szCs w:val="24"/>
        </w:rPr>
        <w:t>reversible kinetic processes control cesium sorption over time scales of a few days</w:t>
      </w:r>
      <w:r w:rsidR="00F81221">
        <w:rPr>
          <w:kern w:val="0"/>
          <w:szCs w:val="24"/>
        </w:rPr>
        <w:t xml:space="preserve"> and </w:t>
      </w:r>
      <w:r>
        <w:rPr>
          <w:kern w:val="0"/>
          <w:szCs w:val="24"/>
        </w:rPr>
        <w:t xml:space="preserve">less. </w:t>
      </w:r>
      <w:r>
        <w:rPr>
          <w:kern w:val="0"/>
          <w:szCs w:val="24"/>
        </w:rPr>
        <w:lastRenderedPageBreak/>
        <w:t>Irreversible or apparently irreversible sorption is more significant over longer times. The implications of our findings for radiocesium remobilization in anoxic sediments</w:t>
      </w:r>
      <w:r w:rsidR="00F81221">
        <w:rPr>
          <w:kern w:val="0"/>
          <w:szCs w:val="24"/>
        </w:rPr>
        <w:t xml:space="preserve"> and </w:t>
      </w:r>
      <w:r>
        <w:rPr>
          <w:kern w:val="0"/>
          <w:szCs w:val="24"/>
        </w:rPr>
        <w:t>transport in the water column are discussed.</w:t>
      </w:r>
    </w:p>
    <w:p w:rsidR="00CB0995" w:rsidRDefault="00CB0995" w:rsidP="00CB0995">
      <w:pPr>
        <w:pStyle w:val="a0"/>
        <w:rPr>
          <w:kern w:val="0"/>
          <w:szCs w:val="24"/>
        </w:rPr>
      </w:pPr>
      <w:r>
        <w:rPr>
          <w:kern w:val="0"/>
          <w:szCs w:val="24"/>
        </w:rPr>
        <w:t>Keywords: Adsorption, Aquatic Systems, Cadmium, Isotherms, Mobilization, Particles, Radiocesium, Retention, Sediments, Soils, Sorption, Water</w:t>
      </w:r>
    </w:p>
    <w:p w:rsidR="00666834" w:rsidRDefault="00666834" w:rsidP="00666834">
      <w:pPr>
        <w:pStyle w:val="a0"/>
        <w:rPr>
          <w:kern w:val="0"/>
          <w:szCs w:val="24"/>
        </w:rPr>
      </w:pPr>
      <w:r>
        <w:rPr>
          <w:kern w:val="0"/>
          <w:szCs w:val="24"/>
        </w:rPr>
        <w:t>Notes: highly cited</w:t>
      </w:r>
    </w:p>
    <w:p w:rsidR="00666834" w:rsidRDefault="00666834" w:rsidP="00666834">
      <w:pPr>
        <w:pStyle w:val="a0"/>
        <w:rPr>
          <w:kern w:val="0"/>
          <w:szCs w:val="24"/>
        </w:rPr>
      </w:pPr>
      <w:r>
        <w:rPr>
          <w:rFonts w:hint="eastAsia"/>
          <w:kern w:val="0"/>
          <w:szCs w:val="24"/>
        </w:rPr>
        <w:t xml:space="preserve">? </w:t>
      </w:r>
      <w:r>
        <w:rPr>
          <w:kern w:val="0"/>
          <w:szCs w:val="24"/>
        </w:rPr>
        <w:t>Fuller, C.C., Davis, J.A.</w:t>
      </w:r>
      <w:r w:rsidR="00F81221">
        <w:rPr>
          <w:kern w:val="0"/>
          <w:szCs w:val="24"/>
        </w:rPr>
        <w:t xml:space="preserve"> and </w:t>
      </w:r>
      <w:r>
        <w:rPr>
          <w:kern w:val="0"/>
          <w:szCs w:val="24"/>
        </w:rPr>
        <w:t>Waychunas, G.A. (1993), Surface-chemistry of ferrihydrite.</w:t>
      </w:r>
      <w:r>
        <w:rPr>
          <w:rFonts w:hint="eastAsia"/>
          <w:kern w:val="0"/>
          <w:szCs w:val="24"/>
        </w:rPr>
        <w:t xml:space="preserve"> </w:t>
      </w:r>
      <w:r>
        <w:rPr>
          <w:kern w:val="0"/>
          <w:szCs w:val="24"/>
        </w:rPr>
        <w:t>2. Kinetics of arsenate adsorption</w:t>
      </w:r>
      <w:r w:rsidR="00F81221">
        <w:rPr>
          <w:kern w:val="0"/>
          <w:szCs w:val="24"/>
        </w:rPr>
        <w:t xml:space="preserve"> and </w:t>
      </w:r>
      <w:r>
        <w:rPr>
          <w:kern w:val="0"/>
          <w:szCs w:val="24"/>
        </w:rPr>
        <w:t xml:space="preserve">coprecipitation. </w:t>
      </w:r>
      <w:r>
        <w:rPr>
          <w:i/>
          <w:iCs/>
          <w:kern w:val="0"/>
          <w:szCs w:val="24"/>
        </w:rPr>
        <w:t>Geochimica et Cosmochimica Acta</w:t>
      </w:r>
      <w:r>
        <w:rPr>
          <w:kern w:val="0"/>
          <w:szCs w:val="24"/>
        </w:rPr>
        <w:t xml:space="preserve">, </w:t>
      </w:r>
      <w:r>
        <w:rPr>
          <w:b/>
          <w:bCs/>
          <w:kern w:val="0"/>
          <w:szCs w:val="24"/>
        </w:rPr>
        <w:t>57</w:t>
      </w:r>
      <w:r>
        <w:rPr>
          <w:kern w:val="0"/>
          <w:szCs w:val="24"/>
        </w:rPr>
        <w:t xml:space="preserve"> (10), 2271-2282.</w:t>
      </w:r>
    </w:p>
    <w:p w:rsidR="00666834" w:rsidRPr="00A428C3" w:rsidRDefault="00666834" w:rsidP="00666834">
      <w:pPr>
        <w:pStyle w:val="a0"/>
      </w:pPr>
      <w:r w:rsidRPr="00A428C3">
        <w:t xml:space="preserve">Full Text: </w:t>
      </w:r>
      <w:hyperlink r:id="rId356" w:history="1">
        <w:r w:rsidRPr="00666834">
          <w:rPr>
            <w:rStyle w:val="a5"/>
          </w:rPr>
          <w:t>1993\Geo Cos Act57, 2271.pdf</w:t>
        </w:r>
      </w:hyperlink>
    </w:p>
    <w:p w:rsidR="00666834" w:rsidRDefault="00666834" w:rsidP="00666834">
      <w:pPr>
        <w:pStyle w:val="a0"/>
        <w:rPr>
          <w:kern w:val="0"/>
          <w:szCs w:val="24"/>
        </w:rPr>
      </w:pPr>
      <w:r>
        <w:rPr>
          <w:kern w:val="0"/>
          <w:szCs w:val="24"/>
        </w:rPr>
        <w:t>Abstract: The kinetics of As(V) adsorption by ferrihydrite was investigated in coprecipitation</w:t>
      </w:r>
      <w:r w:rsidR="00F81221">
        <w:rPr>
          <w:kern w:val="0"/>
          <w:szCs w:val="24"/>
        </w:rPr>
        <w:t xml:space="preserve"> and </w:t>
      </w:r>
      <w:r>
        <w:rPr>
          <w:kern w:val="0"/>
          <w:szCs w:val="24"/>
        </w:rPr>
        <w:t>postsynthesis adsorption experiments conducted in the pH range 7.5-9.0. In coprecipitation experiments, As(V) was present in solution during the hydrolysis</w:t>
      </w:r>
      <w:r w:rsidR="00F81221">
        <w:rPr>
          <w:kern w:val="0"/>
          <w:szCs w:val="24"/>
        </w:rPr>
        <w:t xml:space="preserve"> and </w:t>
      </w:r>
      <w:r>
        <w:rPr>
          <w:kern w:val="0"/>
          <w:szCs w:val="24"/>
        </w:rPr>
        <w:t>precipitation of iron. In adsorption experiments, a period of rapid (&lt;5 min) As(V) uptake from solution was followed by continued uptake for at least eight days, as As(V) diffused to adsorption sites on ferrihydrite surfaces within aggregates of colloidal particles. The time dependence of As(V) adsorption is well described by a general model for diffusion into a sphere if a subset of surface sites located near the exterior of aggregates is assumed to attain adsorptive equilibrium rapidly. The kinetics of As(V) desorption after an increase in pH were also consistent with diffusion as a rate-limiting process. Aging of pure ferrihydrite prior to As(V) adsorption caused a decrease in adsorption sites on the precipitate owing to crystallite growth. In coprecipitation experiments, the initial As(V) uptake was significantly greater than in post-synthesis adsorption experiments,</w:t>
      </w:r>
      <w:r w:rsidR="00F81221">
        <w:rPr>
          <w:kern w:val="0"/>
          <w:szCs w:val="24"/>
        </w:rPr>
        <w:t xml:space="preserve"> and </w:t>
      </w:r>
      <w:r>
        <w:rPr>
          <w:kern w:val="0"/>
          <w:szCs w:val="24"/>
        </w:rPr>
        <w:t>the rate of uptake was not diffusion limited because As(V) was coordinated by surface sites before crystallite growth</w:t>
      </w:r>
      <w:r w:rsidR="00F81221">
        <w:rPr>
          <w:kern w:val="0"/>
          <w:szCs w:val="24"/>
        </w:rPr>
        <w:t xml:space="preserve"> and </w:t>
      </w:r>
      <w:r>
        <w:rPr>
          <w:kern w:val="0"/>
          <w:szCs w:val="24"/>
        </w:rPr>
        <w:t>coagulation processes could proceed. After the initial adsorption, As(V) was slowly released from coprecipitates for at least one month, as crystallite growth caused desorption of As(V). Adsorption densities as high as 0.7 mole As(V) per mole of Fe were measured in coprecipitates, in comparison to 0.25 mole As(V) per mole of Fe in post-synthesis adsorption experiments. Despite the high concentration of As(V) in the precipitates, EXAFS spectroscopy (WAYCHUNAS et al., 1993) showed that neither ferric arsenate nor any other As-bearing surface precipitate or solid solution was formed. The high adsorption densities are possible because the ferrihydrite particles are extremely small, approaching the size of small dioctahedral chains at the highest As(V) adsorption density. The results suggest that the solid solution model proposed by Fox (1989, 1992) for control of arsenate</w:t>
      </w:r>
      <w:r w:rsidR="00F81221">
        <w:rPr>
          <w:kern w:val="0"/>
          <w:szCs w:val="24"/>
        </w:rPr>
        <w:t xml:space="preserve"> and </w:t>
      </w:r>
      <w:r>
        <w:rPr>
          <w:kern w:val="0"/>
          <w:szCs w:val="24"/>
        </w:rPr>
        <w:t>phosphate concentrations in natural waters may be invalid.</w:t>
      </w:r>
    </w:p>
    <w:p w:rsidR="00666834" w:rsidRDefault="00666834" w:rsidP="00666834">
      <w:pPr>
        <w:pStyle w:val="a0"/>
        <w:rPr>
          <w:kern w:val="0"/>
          <w:szCs w:val="24"/>
        </w:rPr>
      </w:pPr>
      <w:r>
        <w:rPr>
          <w:kern w:val="0"/>
          <w:szCs w:val="24"/>
        </w:rPr>
        <w:t xml:space="preserve">Keywords: Acidic Mountain Stream, Adsorption, Aluminum Hydroxides, Desorption, </w:t>
      </w:r>
      <w:r>
        <w:rPr>
          <w:kern w:val="0"/>
          <w:szCs w:val="24"/>
        </w:rPr>
        <w:lastRenderedPageBreak/>
        <w:t>Equilibrium, EXAFS, Humic Substances, Hydrous Ferric-Oxide, Iron Oxyhydroxides, Kinetics, Lacustrine Sediments, Model, Partial Hydrolysis, Particles, Phosphate Sorption, X-Ray-Scattering</w:t>
      </w:r>
    </w:p>
    <w:p w:rsidR="00B95188" w:rsidRPr="00A428C3" w:rsidRDefault="00B95188" w:rsidP="00B95188">
      <w:pPr>
        <w:pStyle w:val="a0"/>
      </w:pPr>
      <w:r w:rsidRPr="00A428C3">
        <w:t>Zachara, J.M., Resch, C.T.</w:t>
      </w:r>
      <w:r w:rsidR="00F81221">
        <w:t xml:space="preserve"> and </w:t>
      </w:r>
      <w:r w:rsidRPr="00A428C3">
        <w:t>Smith, S.C. (1994), Influence of humic substances on Co</w:t>
      </w:r>
      <w:r w:rsidRPr="00A428C3">
        <w:rPr>
          <w:vertAlign w:val="superscript"/>
        </w:rPr>
        <w:t>2+</w:t>
      </w:r>
      <w:r w:rsidRPr="00A428C3">
        <w:t xml:space="preserve"> sorption by a subsurface mineral separate</w:t>
      </w:r>
      <w:r w:rsidR="00F81221">
        <w:t xml:space="preserve"> and </w:t>
      </w:r>
      <w:r w:rsidRPr="00A428C3">
        <w:t xml:space="preserve">its mineralogic components. </w:t>
      </w:r>
      <w:r w:rsidRPr="00A428C3">
        <w:rPr>
          <w:i/>
        </w:rPr>
        <w:t>Geochimica et Cosmochimica Acta</w:t>
      </w:r>
      <w:r w:rsidRPr="00A428C3">
        <w:t xml:space="preserve">, </w:t>
      </w:r>
      <w:r w:rsidRPr="00A428C3">
        <w:rPr>
          <w:b/>
        </w:rPr>
        <w:t>58</w:t>
      </w:r>
      <w:r w:rsidRPr="00A428C3">
        <w:t xml:space="preserve"> (2), 553-566.</w:t>
      </w:r>
    </w:p>
    <w:p w:rsidR="00B95188" w:rsidRPr="00A428C3" w:rsidRDefault="00B95188" w:rsidP="00B95188">
      <w:pPr>
        <w:pStyle w:val="a0"/>
      </w:pPr>
      <w:r w:rsidRPr="00A428C3">
        <w:t xml:space="preserve">Full Text: </w:t>
      </w:r>
      <w:hyperlink r:id="rId357" w:history="1">
        <w:r w:rsidRPr="00A428C3">
          <w:rPr>
            <w:rStyle w:val="a5"/>
          </w:rPr>
          <w:t>G\Geo Cos Act58, 553.pdf</w:t>
        </w:r>
      </w:hyperlink>
    </w:p>
    <w:p w:rsidR="00B95188" w:rsidRPr="00A428C3" w:rsidRDefault="00B95188" w:rsidP="00B95188">
      <w:pPr>
        <w:pStyle w:val="a0"/>
      </w:pPr>
      <w:r w:rsidRPr="00A428C3">
        <w:t>Abstract: The sorption of Co</w:t>
      </w:r>
      <w:r w:rsidRPr="00A428C3">
        <w:rPr>
          <w:vertAlign w:val="superscript"/>
        </w:rPr>
        <w:t>2+</w:t>
      </w:r>
      <w:r w:rsidRPr="00A428C3">
        <w:t xml:space="preserve"> (10</w:t>
      </w:r>
      <w:r w:rsidRPr="00A428C3">
        <w:rPr>
          <w:vertAlign w:val="superscript"/>
        </w:rPr>
        <w:t>-6</w:t>
      </w:r>
      <w:r w:rsidRPr="00A428C3">
        <w:t xml:space="preserve"> mol/L) was measured on subsurface mineral materials in the absence</w:t>
      </w:r>
      <w:r w:rsidR="00F81221">
        <w:t xml:space="preserve"> and </w:t>
      </w:r>
      <w:r w:rsidRPr="00A428C3">
        <w:t>presence of a sorbed leonardite humic acid (LHA) to (1) evaluate the sorptive role of mineral-bound humic substances,</w:t>
      </w:r>
      <w:r w:rsidR="00F81221">
        <w:t xml:space="preserve"> and </w:t>
      </w:r>
      <w:r w:rsidRPr="00A428C3">
        <w:t>(2) establish approaches to model metal ion binding in composite materials. The subsurface materials were a &lt;2.0 µm size fraction of an ultisol saprolite (CP)</w:t>
      </w:r>
      <w:r w:rsidR="00F81221">
        <w:t xml:space="preserve"> and </w:t>
      </w:r>
      <w:r w:rsidRPr="00A428C3">
        <w:t>this same material treated with dithionite-citrate-bicarbonate (DCB) to remove Fe-oxides (DCP). Comparable experiments (with</w:t>
      </w:r>
      <w:r w:rsidR="00F81221">
        <w:t xml:space="preserve"> and </w:t>
      </w:r>
      <w:r w:rsidRPr="00A428C3">
        <w:t>without LHA) were also performed with mineral sorbents representing dominant phases in the CP separate (gibbsite, Al-goethite,</w:t>
      </w:r>
      <w:r w:rsidR="00F81221">
        <w:t xml:space="preserve"> and </w:t>
      </w:r>
      <w:r w:rsidRPr="00A428C3">
        <w:t>kaolinite) to evaluate their potential contributions to Co sorption. The mineral-bound LHA ranged in concentration between 0.1-0.4 mg-C/m</w:t>
      </w:r>
      <w:r w:rsidRPr="00A428C3">
        <w:rPr>
          <w:vertAlign w:val="superscript"/>
        </w:rPr>
        <w:t>2</w:t>
      </w:r>
      <w:r w:rsidRPr="00A428C3">
        <w:t>, representing approximately 0.7% of the subsurface isolate by mass. The sorption-desorption of LHA on the mineral surfaces,</w:t>
      </w:r>
      <w:r w:rsidR="00F81221">
        <w:t xml:space="preserve"> and </w:t>
      </w:r>
      <w:r w:rsidRPr="00A428C3">
        <w:t>its affinity for Co as a aqueous phase complexant were also determined. Batch measurements were employed (sorbents at 20</w:t>
      </w:r>
      <w:smartTag w:uri="urn:schemas-microsoft-com:office:smarttags" w:element="chmetcnv">
        <w:smartTagPr>
          <w:attr w:name="TCSC" w:val="0"/>
          <w:attr w:name="NumberType" w:val="1"/>
          <w:attr w:name="Negative" w:val="True"/>
          <w:attr w:name="HasSpace" w:val="True"/>
          <w:attr w:name="SourceValue" w:val="90"/>
          <w:attr w:name="UnitName" w:val="m2"/>
        </w:smartTagPr>
        <w:r w:rsidRPr="00A428C3">
          <w:t>-90 m</w:t>
        </w:r>
        <w:r w:rsidRPr="00A428C3">
          <w:rPr>
            <w:vertAlign w:val="superscript"/>
          </w:rPr>
          <w:t>2</w:t>
        </w:r>
      </w:smartTag>
      <w:r w:rsidRPr="00A428C3">
        <w:t>/L; LHA-DOC at approximate to 11 mg-C/L) over a range in pH</w:t>
      </w:r>
      <w:r w:rsidR="00F81221">
        <w:t xml:space="preserve"> and </w:t>
      </w:r>
      <w:r w:rsidRPr="00A428C3">
        <w:t>ionic strength (I) at I = 0.01</w:t>
      </w:r>
      <w:r w:rsidR="00F81221">
        <w:t xml:space="preserve"> and </w:t>
      </w:r>
      <w:smartTag w:uri="urn:schemas-microsoft-com:office:smarttags" w:element="chmetcnv">
        <w:smartTagPr>
          <w:attr w:name="TCSC" w:val="0"/>
          <w:attr w:name="NumberType" w:val="1"/>
          <w:attr w:name="Negative" w:val="False"/>
          <w:attr w:name="HasSpace" w:val="True"/>
          <w:attr w:name="SourceValue" w:val="0.1"/>
          <w:attr w:name="UnitName" w:val="in"/>
        </w:smartTagPr>
        <w:r w:rsidRPr="00A428C3">
          <w:t>0.1 in</w:t>
        </w:r>
      </w:smartTag>
      <w:r w:rsidRPr="00A428C3">
        <w:t xml:space="preserve"> NaClO</w:t>
      </w:r>
      <w:r w:rsidRPr="00A428C3">
        <w:rPr>
          <w:vertAlign w:val="subscript"/>
        </w:rPr>
        <w:t>4</w:t>
      </w:r>
      <w:r w:rsidRPr="00A428C3">
        <w:t>. The LHA strongly sorbed to the subsurface mineral isolates (CP</w:t>
      </w:r>
      <w:r w:rsidR="00F81221">
        <w:t xml:space="preserve"> and </w:t>
      </w:r>
      <w:r w:rsidRPr="00A428C3">
        <w:t>DCP),</w:t>
      </w:r>
      <w:r w:rsidR="00F81221">
        <w:t xml:space="preserve"> and </w:t>
      </w:r>
      <w:r w:rsidRPr="00A428C3">
        <w:t>to all the specimen sorbents except kaolinite. Maximum sorption of LHA occurred at lower pH (approximate to 4.5). In solid-free suspensions, the affinity of LHA for Co increased with pH</w:t>
      </w:r>
      <w:r w:rsidR="00F81221">
        <w:t xml:space="preserve"> and </w:t>
      </w:r>
      <w:r w:rsidRPr="00A428C3">
        <w:t>decreasing I(K</w:t>
      </w:r>
      <w:r w:rsidRPr="00A428C3">
        <w:rPr>
          <w:vertAlign w:val="subscript"/>
        </w:rPr>
        <w:t>d</w:t>
      </w:r>
      <w:r w:rsidRPr="00A428C3">
        <w:t xml:space="preserve"> ranging 20</w:t>
      </w:r>
      <w:smartTag w:uri="urn:schemas-microsoft-com:office:smarttags" w:element="chmetcnv">
        <w:smartTagPr>
          <w:attr w:name="TCSC" w:val="0"/>
          <w:attr w:name="NumberType" w:val="1"/>
          <w:attr w:name="Negative" w:val="True"/>
          <w:attr w:name="HasSpace" w:val="True"/>
          <w:attr w:name="SourceValue" w:val="450"/>
          <w:attr w:name="UnitName" w:val="l"/>
        </w:smartTagPr>
        <w:r w:rsidRPr="00A428C3">
          <w:t>-450 L</w:t>
        </w:r>
      </w:smartTag>
      <w:r w:rsidRPr="00A428C3">
        <w:t>/g). Mineral-bound LHA increased Co sorption on all the sorbents by factors of 10-60%, with the greatest augmentation noted at pH values (4.5-6.5) where (1) maximum LHA sorption occurred,</w:t>
      </w:r>
      <w:r w:rsidR="00F81221">
        <w:t xml:space="preserve"> and </w:t>
      </w:r>
      <w:r w:rsidRPr="00A428C3">
        <w:t>(2) Co sorption to the mineral phase was weak</w:t>
      </w:r>
      <w:r w:rsidR="00F81221">
        <w:t xml:space="preserve"> and </w:t>
      </w:r>
      <w:r w:rsidRPr="00A428C3">
        <w:t>dominated by ion exchange. The LHA appeared simply to augment, rather than to change the intrinsic adsorption behavior of the mineral sorbents. Accordingly, predictions of the K</w:t>
      </w:r>
      <w:r w:rsidRPr="00A428C3">
        <w:rPr>
          <w:vertAlign w:val="subscript"/>
        </w:rPr>
        <w:t>d</w:t>
      </w:r>
      <w:r w:rsidRPr="00A428C3">
        <w:t xml:space="preserve"> for Co on the LHA-coated subsurface materials (DCP, CP) based on a linear additivity model agreed well with the experimental data, suggesting that the complex humic-mineral association acted as a noninteractive sorbent mixture at low aqueous Co concentrations.</w:t>
      </w:r>
    </w:p>
    <w:p w:rsidR="00B95188" w:rsidRPr="00A428C3" w:rsidRDefault="00B95188" w:rsidP="00B95188">
      <w:pPr>
        <w:pStyle w:val="a0"/>
      </w:pPr>
      <w:r w:rsidRPr="00A428C3">
        <w:t>Keywords: Dissolved Organic-Matter, Goethite Alpha-Feooh, Trace-Metals, Cadmium Sorption, Water Interface, Copper-Binding, Hydrous Oxides, Iron-Oxides, Fulvic-Acid, Adsorption</w:t>
      </w:r>
    </w:p>
    <w:p w:rsidR="00B95188" w:rsidRPr="00A428C3" w:rsidRDefault="00B95188" w:rsidP="00B95188">
      <w:pPr>
        <w:pStyle w:val="a0"/>
      </w:pPr>
      <w:r w:rsidRPr="00A428C3">
        <w:t>Coston, J.A., Fuller, C.C.</w:t>
      </w:r>
      <w:r w:rsidR="00F81221">
        <w:t xml:space="preserve"> and </w:t>
      </w:r>
      <w:r w:rsidRPr="00A428C3">
        <w:t>Davis, J.A. (1995), Pb</w:t>
      </w:r>
      <w:r w:rsidRPr="00A428C3">
        <w:rPr>
          <w:vertAlign w:val="superscript"/>
        </w:rPr>
        <w:t>2+</w:t>
      </w:r>
      <w:r w:rsidR="00F81221">
        <w:t xml:space="preserve"> and </w:t>
      </w:r>
      <w:r w:rsidRPr="00A428C3">
        <w:t>Zn</w:t>
      </w:r>
      <w:r w:rsidRPr="00A428C3">
        <w:rPr>
          <w:vertAlign w:val="superscript"/>
        </w:rPr>
        <w:t>2+</w:t>
      </w:r>
      <w:r w:rsidRPr="00A428C3">
        <w:t xml:space="preserve"> adsorption by a natural </w:t>
      </w:r>
      <w:r w:rsidRPr="00A428C3">
        <w:lastRenderedPageBreak/>
        <w:t>aluminum-</w:t>
      </w:r>
      <w:r w:rsidR="00F81221">
        <w:t xml:space="preserve"> and </w:t>
      </w:r>
      <w:r w:rsidRPr="00A428C3">
        <w:t xml:space="preserve">iron-bearing surface coating on an aquifer sand. </w:t>
      </w:r>
      <w:r w:rsidRPr="00A428C3">
        <w:rPr>
          <w:i/>
        </w:rPr>
        <w:t>Geochimica et Cosmochimica Acta</w:t>
      </w:r>
      <w:r w:rsidRPr="00A428C3">
        <w:t xml:space="preserve">, </w:t>
      </w:r>
      <w:r w:rsidRPr="00A428C3">
        <w:rPr>
          <w:b/>
        </w:rPr>
        <w:t>59</w:t>
      </w:r>
      <w:r w:rsidRPr="00A428C3">
        <w:t xml:space="preserve"> (17), 3535-3547.</w:t>
      </w:r>
    </w:p>
    <w:p w:rsidR="00B95188" w:rsidRPr="00A428C3" w:rsidRDefault="00B95188" w:rsidP="00B95188">
      <w:pPr>
        <w:pStyle w:val="a0"/>
      </w:pPr>
      <w:r w:rsidRPr="00A428C3">
        <w:t xml:space="preserve">Full Text: </w:t>
      </w:r>
      <w:hyperlink r:id="rId358" w:history="1">
        <w:r w:rsidRPr="00A428C3">
          <w:rPr>
            <w:rStyle w:val="a5"/>
          </w:rPr>
          <w:t>G\Geo Cos Act59, 3535.pdf</w:t>
        </w:r>
      </w:hyperlink>
    </w:p>
    <w:p w:rsidR="00B95188" w:rsidRPr="00A428C3" w:rsidRDefault="00B95188" w:rsidP="00B95188">
      <w:pPr>
        <w:pStyle w:val="a0"/>
      </w:pPr>
      <w:r w:rsidRPr="00A428C3">
        <w:t>Abstract: Pb</w:t>
      </w:r>
      <w:r w:rsidRPr="00A428C3">
        <w:rPr>
          <w:vertAlign w:val="superscript"/>
        </w:rPr>
        <w:t>2+</w:t>
      </w:r>
      <w:r w:rsidR="00F81221">
        <w:t xml:space="preserve"> and </w:t>
      </w:r>
      <w:r w:rsidRPr="00A428C3">
        <w:t>Zn</w:t>
      </w:r>
      <w:r w:rsidRPr="00A428C3">
        <w:rPr>
          <w:vertAlign w:val="superscript"/>
        </w:rPr>
        <w:t>2+</w:t>
      </w:r>
      <w:r w:rsidRPr="00A428C3">
        <w:t xml:space="preserve"> adsorption was studied in batch experiments with material collected from a shallow, unconfined aquifer of glacial outwash sand</w:t>
      </w:r>
      <w:r w:rsidR="00F81221">
        <w:t xml:space="preserve"> and </w:t>
      </w:r>
      <w:r w:rsidRPr="00A428C3">
        <w:t xml:space="preserve">gravel in </w:t>
      </w:r>
      <w:smartTag w:uri="urn:schemas-microsoft-com:office:smarttags" w:element="place">
        <w:smartTag w:uri="urn:schemas-microsoft-com:office:smarttags" w:element="City">
          <w:r w:rsidRPr="00A428C3">
            <w:t>Falmouth</w:t>
          </w:r>
        </w:smartTag>
        <w:r w:rsidRPr="00A428C3">
          <w:t xml:space="preserve">, </w:t>
        </w:r>
        <w:smartTag w:uri="urn:schemas-microsoft-com:office:smarttags" w:element="State">
          <w:r w:rsidRPr="00A428C3">
            <w:t>Massachusetts</w:t>
          </w:r>
        </w:smartTag>
        <w:r w:rsidRPr="00A428C3">
          <w:t xml:space="preserve">, </w:t>
        </w:r>
        <w:smartTag w:uri="urn:schemas-microsoft-com:office:smarttags" w:element="country-region">
          <w:r w:rsidRPr="00A428C3">
            <w:t>USA</w:t>
          </w:r>
        </w:smartTag>
      </w:smartTag>
      <w:r w:rsidRPr="00A428C3">
        <w:t>. The aquifer solids contain primarily quartz (95% w/w), with minor amounts of alkali feldspars</w:t>
      </w:r>
      <w:r w:rsidR="00F81221">
        <w:t xml:space="preserve"> and </w:t>
      </w:r>
      <w:r w:rsidRPr="00A428C3">
        <w:t>ferromagnetic minerals. Pb</w:t>
      </w:r>
      <w:r w:rsidRPr="00A428C3">
        <w:rPr>
          <w:vertAlign w:val="superscript"/>
        </w:rPr>
        <w:t>2+</w:t>
      </w:r>
      <w:r w:rsidR="00F81221">
        <w:t xml:space="preserve"> and </w:t>
      </w:r>
      <w:r w:rsidRPr="00A428C3">
        <w:t>Zn</w:t>
      </w:r>
      <w:r w:rsidRPr="00A428C3">
        <w:rPr>
          <w:vertAlign w:val="superscript"/>
        </w:rPr>
        <w:t>2+</w:t>
      </w:r>
      <w:r w:rsidRPr="00A428C3">
        <w:t xml:space="preserve"> adsorption experiments with various grain size</w:t>
      </w:r>
      <w:r w:rsidR="00F81221">
        <w:t xml:space="preserve"> and </w:t>
      </w:r>
      <w:r w:rsidRPr="00A428C3">
        <w:t>mineral fractions of the aquifer solids showed that (1) Zn</w:t>
      </w:r>
      <w:r w:rsidRPr="00A428C3">
        <w:rPr>
          <w:vertAlign w:val="superscript"/>
        </w:rPr>
        <w:t>2+</w:t>
      </w:r>
      <w:r w:rsidRPr="00A428C3">
        <w:t xml:space="preserve"> adsorption was independent of grain size, but Pb</w:t>
      </w:r>
      <w:r w:rsidRPr="00A428C3">
        <w:rPr>
          <w:vertAlign w:val="superscript"/>
        </w:rPr>
        <w:t>2+</w:t>
      </w:r>
      <w:r w:rsidRPr="00A428C3">
        <w:t xml:space="preserve"> was preferentially adsorbed by the &lt;64 μm size fraction</w:t>
      </w:r>
      <w:r w:rsidR="00F81221">
        <w:t xml:space="preserve"> and </w:t>
      </w:r>
      <w:r w:rsidRPr="00A428C3">
        <w:t>(2) Pb</w:t>
      </w:r>
      <w:r w:rsidRPr="00A428C3">
        <w:rPr>
          <w:vertAlign w:val="superscript"/>
        </w:rPr>
        <w:t>2+</w:t>
      </w:r>
      <w:r w:rsidRPr="00A428C3">
        <w:t xml:space="preserve"> adsorption decreased after removal of the paramagnetic, Fe-bearing mineral fraction, but Zn</w:t>
      </w:r>
      <w:r w:rsidRPr="00A428C3">
        <w:rPr>
          <w:vertAlign w:val="superscript"/>
        </w:rPr>
        <w:t>2+</w:t>
      </w:r>
      <w:r w:rsidRPr="00A428C3">
        <w:t xml:space="preserve"> adsorption was unaffected. Pb</w:t>
      </w:r>
      <w:r w:rsidRPr="00A428C3">
        <w:rPr>
          <w:vertAlign w:val="superscript"/>
        </w:rPr>
        <w:t>2+</w:t>
      </w:r>
      <w:r w:rsidR="00F81221">
        <w:t xml:space="preserve"> and </w:t>
      </w:r>
      <w:r w:rsidRPr="00A428C3">
        <w:t>Zn</w:t>
      </w:r>
      <w:r w:rsidRPr="00A428C3">
        <w:rPr>
          <w:vertAlign w:val="superscript"/>
        </w:rPr>
        <w:t>2+</w:t>
      </w:r>
      <w:r w:rsidRPr="00A428C3">
        <w:t xml:space="preserve"> adsorption on mineral separates from the aquifer material compared with metal adsorption on a purified quartz powder indicated that adsorption of both metal ions was dominated by coatings on the quartz fraction of the sediment. Characterization of the coatings by AES, SEM-EDS,</w:t>
      </w:r>
      <w:r w:rsidR="00F81221">
        <w:t xml:space="preserve"> and </w:t>
      </w:r>
      <w:r w:rsidRPr="00A428C3">
        <w:t>TOF-SIMS demonstrated that the natural quartz grains were extensively coated with Al-</w:t>
      </w:r>
      <w:r w:rsidR="00F81221">
        <w:t xml:space="preserve"> and </w:t>
      </w:r>
      <w:r w:rsidRPr="00A428C3">
        <w:t>Fe-bearing minerals of variable composition. Thin sections of quartz grains examined by TEM showed that the coatings contained both polycrystalline regions</w:t>
      </w:r>
      <w:r w:rsidR="00F81221">
        <w:t xml:space="preserve"> and </w:t>
      </w:r>
      <w:r w:rsidRPr="00A428C3">
        <w:t>single mineral crystals. The coating thickness varied from &lt; 10 nm up to 30 μm. The coatings were mostly resistant to dissolution by an extraction protocol designed to dissolve noncrystalline phases. The effect on metal adsorption of dissolving surface coatings from the sediment by chemical extraction was also measured. A hydroxylamine-HCl extraction designed to dissolve crystalline Fe oxide phases decreased Pb</w:t>
      </w:r>
      <w:r w:rsidRPr="00A428C3">
        <w:rPr>
          <w:vertAlign w:val="superscript"/>
        </w:rPr>
        <w:t>2+</w:t>
      </w:r>
      <w:r w:rsidR="00F81221">
        <w:t xml:space="preserve"> and </w:t>
      </w:r>
      <w:r w:rsidRPr="00A428C3">
        <w:t>Zn</w:t>
      </w:r>
      <w:r w:rsidRPr="00A428C3">
        <w:rPr>
          <w:vertAlign w:val="superscript"/>
        </w:rPr>
        <w:t>2+</w:t>
      </w:r>
      <w:r w:rsidRPr="00A428C3">
        <w:t xml:space="preserve"> adsorption relative to untreated sediment (extracted Fe/Al ≈1), but Pb</w:t>
      </w:r>
      <w:r w:rsidRPr="00A428C3">
        <w:rPr>
          <w:vertAlign w:val="superscript"/>
        </w:rPr>
        <w:t>2+</w:t>
      </w:r>
      <w:r w:rsidR="00F81221">
        <w:t xml:space="preserve"> and </w:t>
      </w:r>
      <w:r w:rsidRPr="00A428C3">
        <w:t>Zn</w:t>
      </w:r>
      <w:r w:rsidRPr="00A428C3">
        <w:rPr>
          <w:vertAlign w:val="superscript"/>
        </w:rPr>
        <w:t>2+</w:t>
      </w:r>
      <w:r w:rsidRPr="00A428C3">
        <w:t xml:space="preserve"> adsorption were not appreciably changed after sediment was extracted with dithionite-citrate (extracted Fe/Al ≈5). Overall, the results suggest that Pb</w:t>
      </w:r>
      <w:r w:rsidRPr="00A428C3">
        <w:rPr>
          <w:vertAlign w:val="superscript"/>
        </w:rPr>
        <w:t>2+</w:t>
      </w:r>
      <w:r w:rsidRPr="00A428C3">
        <w:t xml:space="preserve"> preferred to form complexes with iron hydroxyl sites, while aluminol sites were more important for Zn</w:t>
      </w:r>
      <w:r w:rsidRPr="00A428C3">
        <w:rPr>
          <w:vertAlign w:val="superscript"/>
        </w:rPr>
        <w:t>2+</w:t>
      </w:r>
      <w:r w:rsidRPr="00A428C3">
        <w:t xml:space="preserve"> adsorption. However, a definitive understanding of adsorption reactions in groundwaters will require detailed studies of the extensive coatings formed at mineral-water interfaces by chemical weathering processes. Copyright (C) 1995 Elsevier Science Ltd.</w:t>
      </w:r>
    </w:p>
    <w:p w:rsidR="00B95188" w:rsidRPr="00A428C3" w:rsidRDefault="00B95188" w:rsidP="00B95188">
      <w:pPr>
        <w:pStyle w:val="a0"/>
      </w:pPr>
      <w:r w:rsidRPr="00A428C3">
        <w:t>Tessier, A., Fortin, D., Belzile, N., DeVitre, R.R.</w:t>
      </w:r>
      <w:r w:rsidR="00F81221">
        <w:t xml:space="preserve"> and </w:t>
      </w:r>
      <w:r w:rsidRPr="00A428C3">
        <w:t>Leppard, G.G. (1996), Metal sorption to diagenetic iron</w:t>
      </w:r>
      <w:r w:rsidR="00F81221">
        <w:t xml:space="preserve"> and </w:t>
      </w:r>
      <w:r w:rsidRPr="00A428C3">
        <w:t>manganese oxyhydroxides</w:t>
      </w:r>
      <w:r w:rsidR="00F81221">
        <w:t xml:space="preserve"> and </w:t>
      </w:r>
      <w:r w:rsidRPr="00A428C3">
        <w:t>associated organic matter: Narrowing the gap between field</w:t>
      </w:r>
      <w:r w:rsidR="00F81221">
        <w:t xml:space="preserve"> and </w:t>
      </w:r>
      <w:r w:rsidRPr="00A428C3">
        <w:t xml:space="preserve">laboratory measurements. </w:t>
      </w:r>
      <w:r w:rsidRPr="00A428C3">
        <w:rPr>
          <w:i/>
        </w:rPr>
        <w:t>Geochimica et Cosmochimica Acta</w:t>
      </w:r>
      <w:r w:rsidRPr="00A428C3">
        <w:t xml:space="preserve">, </w:t>
      </w:r>
      <w:r w:rsidRPr="00A428C3">
        <w:rPr>
          <w:b/>
        </w:rPr>
        <w:t>60</w:t>
      </w:r>
      <w:r w:rsidRPr="00A428C3">
        <w:t xml:space="preserve"> (3), 387-404.</w:t>
      </w:r>
    </w:p>
    <w:p w:rsidR="00B95188" w:rsidRPr="00A428C3" w:rsidRDefault="00B95188" w:rsidP="00B95188">
      <w:pPr>
        <w:pStyle w:val="a0"/>
      </w:pPr>
      <w:r w:rsidRPr="00A428C3">
        <w:t xml:space="preserve">Full Text: </w:t>
      </w:r>
      <w:hyperlink r:id="rId359" w:history="1">
        <w:r w:rsidRPr="00A428C3">
          <w:rPr>
            <w:rStyle w:val="a5"/>
          </w:rPr>
          <w:t>G\Geo Cos Act60, 387.pdf</w:t>
        </w:r>
      </w:hyperlink>
    </w:p>
    <w:p w:rsidR="00B95188" w:rsidRPr="00A428C3" w:rsidRDefault="00B95188" w:rsidP="00B95188">
      <w:pPr>
        <w:pStyle w:val="a0"/>
      </w:pPr>
      <w:r w:rsidRPr="00A428C3">
        <w:t>Abstract: Diagenetic Fe</w:t>
      </w:r>
      <w:r w:rsidR="00F81221">
        <w:t xml:space="preserve"> and </w:t>
      </w:r>
      <w:r w:rsidRPr="00A428C3">
        <w:t xml:space="preserve">Mn oxyhydroxides were isolated in situ by vertically inserting inert collectors into the sediments of two geochemically different lakes located near </w:t>
      </w:r>
      <w:smartTag w:uri="urn:schemas-microsoft-com:office:smarttags" w:element="place">
        <w:smartTag w:uri="urn:schemas-microsoft-com:office:smarttags" w:element="City">
          <w:r w:rsidRPr="00A428C3">
            <w:t>Sudbury</w:t>
          </w:r>
        </w:smartTag>
        <w:r w:rsidRPr="00A428C3">
          <w:t xml:space="preserve">, </w:t>
        </w:r>
        <w:smartTag w:uri="urn:schemas-microsoft-com:office:smarttags" w:element="State">
          <w:r w:rsidRPr="00A428C3">
            <w:t>Ontario</w:t>
          </w:r>
        </w:smartTag>
      </w:smartTag>
      <w:r w:rsidRPr="00A428C3">
        <w:t>. X-ray diffraction</w:t>
      </w:r>
      <w:r w:rsidR="00F81221">
        <w:t xml:space="preserve"> and </w:t>
      </w:r>
      <w:r w:rsidRPr="00A428C3">
        <w:t xml:space="preserve">electron microscopic analyses </w:t>
      </w:r>
      <w:r w:rsidRPr="00A428C3">
        <w:lastRenderedPageBreak/>
        <w:t>indicated that the Fe-rich material collected was predominantly ferri-hydrite</w:t>
      </w:r>
      <w:r w:rsidR="00F81221">
        <w:t xml:space="preserve"> and </w:t>
      </w:r>
      <w:r w:rsidRPr="00A428C3">
        <w:t>poorly crystallized lepidocrocite, while the Mn-rich material was a mixture of poorly crystallized Mn oxyhydroxides. Conditional adsorption constants (</w:t>
      </w:r>
      <w:r w:rsidRPr="00A428C3">
        <w:rPr>
          <w:i/>
          <w:iCs/>
        </w:rPr>
        <w:t>K</w:t>
      </w:r>
      <w:r w:rsidRPr="00A428C3">
        <w:rPr>
          <w:vertAlign w:val="subscript"/>
        </w:rPr>
        <w:t>Fe-</w:t>
      </w:r>
      <w:r w:rsidRPr="00A428C3">
        <w:rPr>
          <w:i/>
          <w:iCs/>
          <w:vertAlign w:val="subscript"/>
        </w:rPr>
        <w:t>M</w:t>
      </w:r>
      <w:r w:rsidR="00F81221">
        <w:t xml:space="preserve"> and </w:t>
      </w:r>
      <w:r w:rsidRPr="00A428C3">
        <w:rPr>
          <w:i/>
          <w:iCs/>
        </w:rPr>
        <w:t>K</w:t>
      </w:r>
      <w:r w:rsidRPr="00A428C3">
        <w:rPr>
          <w:vertAlign w:val="subscript"/>
        </w:rPr>
        <w:t>Mn-</w:t>
      </w:r>
      <w:r w:rsidRPr="00A428C3">
        <w:rPr>
          <w:i/>
          <w:iCs/>
          <w:vertAlign w:val="subscript"/>
        </w:rPr>
        <w:t>M</w:t>
      </w:r>
      <w:r w:rsidRPr="00A428C3">
        <w:t>) were calculated using the concentrations of metals (Ca, Cd, Cu, Mg, Ni, Pb, Zn) associated with the Fe-</w:t>
      </w:r>
      <w:r w:rsidR="00F81221">
        <w:t xml:space="preserve"> and </w:t>
      </w:r>
      <w:r w:rsidRPr="00A428C3">
        <w:t>Mn-rich material</w:t>
      </w:r>
      <w:r w:rsidR="00F81221">
        <w:t xml:space="preserve"> and </w:t>
      </w:r>
      <w:r w:rsidRPr="00A428C3">
        <w:t xml:space="preserve">the measured dissolved concentrations of these metals. Comparison of these in situ derived </w:t>
      </w:r>
      <w:r w:rsidRPr="00A428C3">
        <w:rPr>
          <w:i/>
          <w:iCs/>
        </w:rPr>
        <w:t>K</w:t>
      </w:r>
      <w:r w:rsidRPr="00A428C3">
        <w:rPr>
          <w:vertAlign w:val="subscript"/>
        </w:rPr>
        <w:t>Fe-</w:t>
      </w:r>
      <w:r w:rsidRPr="00A428C3">
        <w:rPr>
          <w:i/>
          <w:iCs/>
          <w:vertAlign w:val="subscript"/>
        </w:rPr>
        <w:t>M</w:t>
      </w:r>
      <w:r w:rsidRPr="00A428C3">
        <w:t xml:space="preserve"> and</w:t>
      </w:r>
      <w:r w:rsidRPr="00A428C3">
        <w:rPr>
          <w:i/>
          <w:iCs/>
        </w:rPr>
        <w:t>K</w:t>
      </w:r>
      <w:r w:rsidRPr="00A428C3">
        <w:rPr>
          <w:vertAlign w:val="subscript"/>
        </w:rPr>
        <w:t>Mn-</w:t>
      </w:r>
      <w:r w:rsidRPr="00A428C3">
        <w:rPr>
          <w:i/>
          <w:iCs/>
          <w:vertAlign w:val="subscript"/>
        </w:rPr>
        <w:t>M</w:t>
      </w:r>
      <w:r w:rsidRPr="00A428C3">
        <w:t xml:space="preserve"> values were made with: (1) the hydrolysis constants of the metals; (2) laboratory-derived intrinsic surface complexation constants obtained for adsorption of these metals on well-characterized Fe</w:t>
      </w:r>
      <w:r w:rsidR="00F81221">
        <w:t xml:space="preserve"> and </w:t>
      </w:r>
      <w:r w:rsidRPr="00A428C3">
        <w:t>Mn oxyhydroxides,</w:t>
      </w:r>
      <w:r w:rsidR="00F81221">
        <w:t xml:space="preserve"> and </w:t>
      </w:r>
      <w:r w:rsidRPr="00A428C3">
        <w:t xml:space="preserve">(3) predicted </w:t>
      </w:r>
      <w:r w:rsidRPr="00A428C3">
        <w:rPr>
          <w:i/>
          <w:iCs/>
        </w:rPr>
        <w:t>K</w:t>
      </w:r>
      <w:r w:rsidRPr="00A428C3">
        <w:rPr>
          <w:vertAlign w:val="subscript"/>
        </w:rPr>
        <w:t>Fe-</w:t>
      </w:r>
      <w:r w:rsidRPr="00A428C3">
        <w:rPr>
          <w:i/>
          <w:iCs/>
          <w:vertAlign w:val="subscript"/>
        </w:rPr>
        <w:t>M</w:t>
      </w:r>
      <w:r w:rsidR="00F81221">
        <w:t xml:space="preserve"> and </w:t>
      </w:r>
      <w:r w:rsidRPr="00A428C3">
        <w:rPr>
          <w:i/>
          <w:iCs/>
        </w:rPr>
        <w:t>K</w:t>
      </w:r>
      <w:r w:rsidRPr="00A428C3">
        <w:rPr>
          <w:vertAlign w:val="subscript"/>
        </w:rPr>
        <w:t>Mn-</w:t>
      </w:r>
      <w:r w:rsidRPr="00A428C3">
        <w:rPr>
          <w:i/>
          <w:iCs/>
          <w:vertAlign w:val="subscript"/>
        </w:rPr>
        <w:t>M</w:t>
      </w:r>
      <w:r w:rsidRPr="00A428C3">
        <w:t xml:space="preserve"> values determined using the surface complexation model under the geochemical conditions observed in the lakes. Complexation of these metals with adsorbed natural organic matter was also compared to metal complexation with dissolved natural organic matter. The results are consistent with the scenario that trace metals bind directly to the OH groups of the Fe</w:t>
      </w:r>
      <w:r w:rsidR="00F81221">
        <w:t xml:space="preserve"> and </w:t>
      </w:r>
      <w:r w:rsidRPr="00A428C3">
        <w:t>Mn oxyhydroxides in circumneutral McFarlane Lake</w:t>
      </w:r>
      <w:r w:rsidR="00F81221">
        <w:t xml:space="preserve"> and </w:t>
      </w:r>
      <w:r w:rsidRPr="00A428C3">
        <w:t>to the functional groups of organic matter adsorbed on Fe oxyhydroxides in the more acidic (pH = 4.8) Clearwater Lake. Alkaline earth metals Ca</w:t>
      </w:r>
      <w:r w:rsidR="00F81221">
        <w:t xml:space="preserve"> and </w:t>
      </w:r>
      <w:r w:rsidRPr="00A428C3">
        <w:t>Mg bind, presumably as outer-sphere complexes, to the organic coatings. Our results provide support for the argument that laboratory-derived adsorption datasets may be useful for predicting metal adsorption in the field. Copyright (C) 1996 Elsevier Science Ltd.</w:t>
      </w:r>
    </w:p>
    <w:p w:rsidR="00B95188" w:rsidRPr="00A428C3" w:rsidRDefault="00B95188" w:rsidP="00B95188">
      <w:pPr>
        <w:pStyle w:val="a0"/>
      </w:pPr>
      <w:r w:rsidRPr="00A428C3">
        <w:t>Boily, J.F</w:t>
      </w:r>
      <w:r w:rsidR="00F81221">
        <w:t xml:space="preserve"> and </w:t>
      </w:r>
      <w:r w:rsidRPr="00A428C3">
        <w:t>Fein, J.B. (1996), Experimental study of cadmium-citrate co-adsorption onto α-Al</w:t>
      </w:r>
      <w:r w:rsidRPr="00A428C3">
        <w:rPr>
          <w:vertAlign w:val="subscript"/>
        </w:rPr>
        <w:t>2</w:t>
      </w:r>
      <w:r w:rsidRPr="00A428C3">
        <w:t>O</w:t>
      </w:r>
      <w:r w:rsidRPr="00A428C3">
        <w:rPr>
          <w:vertAlign w:val="subscript"/>
        </w:rPr>
        <w:t>3</w:t>
      </w:r>
      <w:r w:rsidRPr="00A428C3">
        <w:t xml:space="preserve">. </w:t>
      </w:r>
      <w:r w:rsidRPr="00A428C3">
        <w:rPr>
          <w:i/>
        </w:rPr>
        <w:t>Geochimica et Cosmochimica Acta</w:t>
      </w:r>
      <w:r w:rsidRPr="00A428C3">
        <w:t xml:space="preserve">, </w:t>
      </w:r>
      <w:r w:rsidRPr="00A428C3">
        <w:rPr>
          <w:b/>
        </w:rPr>
        <w:t>60</w:t>
      </w:r>
      <w:r w:rsidRPr="00A428C3">
        <w:t xml:space="preserve"> (16), 2929-2938.</w:t>
      </w:r>
    </w:p>
    <w:p w:rsidR="00B95188" w:rsidRPr="00A428C3" w:rsidRDefault="00B95188" w:rsidP="00B95188">
      <w:pPr>
        <w:pStyle w:val="a0"/>
      </w:pPr>
      <w:r w:rsidRPr="00A428C3">
        <w:t xml:space="preserve">Full Text: </w:t>
      </w:r>
      <w:hyperlink r:id="rId360" w:history="1">
        <w:r w:rsidRPr="00A428C3">
          <w:rPr>
            <w:rStyle w:val="a5"/>
          </w:rPr>
          <w:t>G\Geo Cos Act60, 2929.pdf</w:t>
        </w:r>
      </w:hyperlink>
    </w:p>
    <w:p w:rsidR="00B95188" w:rsidRPr="00A428C3" w:rsidRDefault="00B95188" w:rsidP="00B95188">
      <w:pPr>
        <w:pStyle w:val="a0"/>
      </w:pPr>
      <w:r w:rsidRPr="00A428C3">
        <w:t>Abstract: An experimental investigation of metal-organic co-adsorption was conducted using cadmium</w:t>
      </w:r>
      <w:r w:rsidR="00F81221">
        <w:t xml:space="preserve"> and </w:t>
      </w:r>
      <w:r w:rsidRPr="00A428C3">
        <w:t xml:space="preserve">citrate in the presence of corundum. The experiments were performed in the pH range 3.0 to </w:t>
      </w:r>
      <w:smartTag w:uri="urn:schemas-microsoft-com:office:smarttags" w:element="chmetcnv">
        <w:smartTagPr>
          <w:attr w:name="TCSC" w:val="0"/>
          <w:attr w:name="NumberType" w:val="1"/>
          <w:attr w:name="Negative" w:val="False"/>
          <w:attr w:name="HasSpace" w:val="True"/>
          <w:attr w:name="SourceValue" w:val="10"/>
          <w:attr w:name="UnitName" w:val="in"/>
        </w:smartTagPr>
        <w:r w:rsidRPr="00A428C3">
          <w:t>10.0 in</w:t>
        </w:r>
      </w:smartTag>
      <w:r w:rsidRPr="00A428C3">
        <w:t xml:space="preserve"> a </w:t>
      </w:r>
      <w:smartTag w:uri="urn:schemas-microsoft-com:office:smarttags" w:element="chmetcnv">
        <w:smartTagPr>
          <w:attr w:name="TCSC" w:val="0"/>
          <w:attr w:name="NumberType" w:val="1"/>
          <w:attr w:name="Negative" w:val="False"/>
          <w:attr w:name="HasSpace" w:val="True"/>
          <w:attr w:name="SourceValue" w:val="0.01"/>
          <w:attr w:name="UnitName" w:val="m"/>
        </w:smartTagPr>
        <w:r w:rsidRPr="00A428C3">
          <w:t>0.01 M</w:t>
        </w:r>
      </w:smartTag>
      <w:r w:rsidRPr="00A428C3">
        <w:t xml:space="preserve"> NaCl matrix with citrate:Cd ratios of 0.00</w:t>
      </w:r>
      <w:r w:rsidR="00F81221">
        <w:t xml:space="preserve"> and </w:t>
      </w:r>
      <w:r w:rsidRPr="00A428C3">
        <w:t>10.00. The presence of citrate enhances cadmium adsorption between pH 3.5</w:t>
      </w:r>
      <w:r w:rsidR="00F81221">
        <w:t xml:space="preserve"> and </w:t>
      </w:r>
      <w:r w:rsidRPr="00A428C3">
        <w:t>7.2,</w:t>
      </w:r>
      <w:r w:rsidR="00F81221">
        <w:t xml:space="preserve"> and </w:t>
      </w:r>
      <w:r w:rsidRPr="00A428C3">
        <w:t>reduces it above pH 7.2. The results from the experiments provide constraints on the thermodynamic properties of the surface complexes. We model the adsorption of Cd by quantifying the competition between aqueous CdCit</w:t>
      </w:r>
      <w:r w:rsidRPr="00A428C3">
        <w:rPr>
          <w:vertAlign w:val="superscript"/>
        </w:rPr>
        <w:t>−1</w:t>
      </w:r>
      <w:r w:rsidR="00F81221">
        <w:t xml:space="preserve"> and </w:t>
      </w:r>
      <w:r w:rsidRPr="00A428C3">
        <w:t>the surface species, &gt;AlCitCd</w:t>
      </w:r>
      <w:r w:rsidRPr="00A428C3">
        <w:rPr>
          <w:vertAlign w:val="superscript"/>
        </w:rPr>
        <w:t>0</w:t>
      </w:r>
      <w:r w:rsidRPr="00A428C3">
        <w:t>, &gt;AlOCd</w:t>
      </w:r>
      <w:r w:rsidRPr="00A428C3">
        <w:rPr>
          <w:vertAlign w:val="superscript"/>
        </w:rPr>
        <w:t>+</w:t>
      </w:r>
      <w:r w:rsidR="00F81221">
        <w:t xml:space="preserve"> and </w:t>
      </w:r>
      <w:r w:rsidRPr="00A428C3">
        <w:t>&gt;AlOCdCl</w:t>
      </w:r>
      <w:r w:rsidRPr="00A428C3">
        <w:rPr>
          <w:vertAlign w:val="superscript"/>
        </w:rPr>
        <w:t>0</w:t>
      </w:r>
      <w:r w:rsidRPr="00A428C3">
        <w:t>. The experimentally determined equilibrium constants provide a means to predict Cd mobilities in groundwater systems by describing the relative stabilities of surface</w:t>
      </w:r>
      <w:r w:rsidR="00F81221">
        <w:t xml:space="preserve"> and </w:t>
      </w:r>
      <w:r w:rsidRPr="00A428C3">
        <w:t>aqueous metal-organic complexes as a function of metal-to-ligand</w:t>
      </w:r>
      <w:r w:rsidR="00F81221">
        <w:t xml:space="preserve"> and </w:t>
      </w:r>
      <w:r w:rsidRPr="00A428C3">
        <w:t>solute-to-sorbent ratios. Copyright (C) 1996 Elsevier Science Ltd.</w:t>
      </w:r>
    </w:p>
    <w:p w:rsidR="00B95188" w:rsidRPr="00A428C3" w:rsidRDefault="00B95188" w:rsidP="00B95188">
      <w:pPr>
        <w:pStyle w:val="a0"/>
      </w:pPr>
      <w:r w:rsidRPr="00A428C3">
        <w:t>Turner, G.D., Zachara, J.M., McKinley, J.P.</w:t>
      </w:r>
      <w:r w:rsidR="00F81221">
        <w:t xml:space="preserve"> and </w:t>
      </w:r>
      <w:r w:rsidRPr="00A428C3">
        <w:t>Smith, S.C. (1996), Surface-charge properties</w:t>
      </w:r>
      <w:r w:rsidR="00F81221">
        <w:t xml:space="preserve"> and </w:t>
      </w:r>
      <w:r w:rsidRPr="00A428C3">
        <w:t>UO</w:t>
      </w:r>
      <w:r w:rsidRPr="00A428C3">
        <w:rPr>
          <w:vertAlign w:val="superscript"/>
        </w:rPr>
        <w:t>2+</w:t>
      </w:r>
      <w:r w:rsidRPr="00A428C3">
        <w:rPr>
          <w:vertAlign w:val="subscript"/>
        </w:rPr>
        <w:t>2</w:t>
      </w:r>
      <w:r w:rsidRPr="00A428C3">
        <w:t xml:space="preserve"> adsorption of a subsurface smectite. </w:t>
      </w:r>
      <w:r w:rsidRPr="00A428C3">
        <w:rPr>
          <w:i/>
        </w:rPr>
        <w:t>Geochimica et Cosmochimica Acta</w:t>
      </w:r>
      <w:r w:rsidRPr="00A428C3">
        <w:t xml:space="preserve">, </w:t>
      </w:r>
      <w:r w:rsidRPr="00A428C3">
        <w:rPr>
          <w:b/>
        </w:rPr>
        <w:t>60</w:t>
      </w:r>
      <w:r w:rsidRPr="00A428C3">
        <w:t xml:space="preserve"> (18), 3399-3414.</w:t>
      </w:r>
    </w:p>
    <w:p w:rsidR="00B95188" w:rsidRPr="00A428C3" w:rsidRDefault="00B95188" w:rsidP="00B95188">
      <w:pPr>
        <w:pStyle w:val="a0"/>
      </w:pPr>
      <w:r w:rsidRPr="00A428C3">
        <w:t xml:space="preserve">Full Text: </w:t>
      </w:r>
      <w:hyperlink r:id="rId361" w:history="1">
        <w:r w:rsidRPr="00A428C3">
          <w:rPr>
            <w:rStyle w:val="a5"/>
          </w:rPr>
          <w:t>G\Geo Cos Act60, 3399.pdf</w:t>
        </w:r>
      </w:hyperlink>
    </w:p>
    <w:p w:rsidR="00B95188" w:rsidRPr="00A428C3" w:rsidRDefault="00B95188" w:rsidP="00B95188">
      <w:pPr>
        <w:pStyle w:val="a0"/>
      </w:pPr>
      <w:r w:rsidRPr="00A428C3">
        <w:lastRenderedPageBreak/>
        <w:t>Abstract: Surface charge</w:t>
      </w:r>
      <w:r w:rsidR="00F81221">
        <w:t xml:space="preserve"> and </w:t>
      </w:r>
      <w:r w:rsidRPr="00A428C3">
        <w:t>UO</w:t>
      </w:r>
      <w:r w:rsidRPr="00A428C3">
        <w:rPr>
          <w:vertAlign w:val="superscript"/>
        </w:rPr>
        <w:t>2+</w:t>
      </w:r>
      <w:r w:rsidRPr="00A428C3">
        <w:rPr>
          <w:vertAlign w:val="subscript"/>
        </w:rPr>
        <w:t>2</w:t>
      </w:r>
      <w:r w:rsidRPr="00A428C3">
        <w:t xml:space="preserve"> adsorption were measured on a clay-sized, subsurface mineral isolate whose mineralogy was dominated by a ferrogenous beidellite. Experiments were performed in batch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A428C3">
          <w:t>25°C</w:t>
        </w:r>
      </w:smartTag>
      <w:r w:rsidRPr="00A428C3">
        <w:t xml:space="preserve"> with N</w:t>
      </w:r>
      <w:r w:rsidRPr="00A428C3">
        <w:rPr>
          <w:vertAlign w:val="subscript"/>
        </w:rPr>
        <w:t>2(g)</w:t>
      </w:r>
      <w:r w:rsidRPr="00A428C3">
        <w:t xml:space="preserve"> atmosphere</w:t>
      </w:r>
      <w:r w:rsidR="00F81221">
        <w:t xml:space="preserve"> and </w:t>
      </w:r>
      <w:r w:rsidRPr="00A428C3">
        <w:t>sorbent suspensions (</w:t>
      </w:r>
      <w:smartTag w:uri="urn:schemas-microsoft-com:office:smarttags" w:element="chmetcnv">
        <w:smartTagPr>
          <w:attr w:name="TCSC" w:val="0"/>
          <w:attr w:name="NumberType" w:val="1"/>
          <w:attr w:name="Negative" w:val="False"/>
          <w:attr w:name="HasSpace" w:val="True"/>
          <w:attr w:name="SourceValue" w:val="9.46"/>
          <w:attr w:name="UnitName" w:val="g"/>
        </w:smartTagPr>
        <w:r w:rsidRPr="00A428C3">
          <w:t>9.46 g</w:t>
        </w:r>
      </w:smartTag>
      <w:r w:rsidRPr="00A428C3">
        <w:t xml:space="preserve"> clay/kg suspension) that had been adjusted in pH between 4</w:t>
      </w:r>
      <w:r w:rsidR="00F81221">
        <w:t xml:space="preserve"> and </w:t>
      </w:r>
      <w:r w:rsidRPr="00A428C3">
        <w:t>9. Surface charge was defined by measurements of adsorbed Na by isotopic exchange</w:t>
      </w:r>
      <w:r w:rsidR="00F81221">
        <w:t xml:space="preserve"> and </w:t>
      </w:r>
      <w:r w:rsidRPr="00A428C3">
        <w:t>of proton adsorption by potentiometric titration in NaClO</w:t>
      </w:r>
      <w:r w:rsidRPr="00A428C3">
        <w:rPr>
          <w:vertAlign w:val="subscript"/>
        </w:rPr>
        <w:t>4</w:t>
      </w:r>
      <w:r w:rsidRPr="00A428C3">
        <w:t xml:space="preserve"> (</w:t>
      </w:r>
      <w:r w:rsidRPr="00A428C3">
        <w:rPr>
          <w:i/>
          <w:iCs/>
        </w:rPr>
        <w:t>I</w:t>
      </w:r>
      <w:r w:rsidRPr="00A428C3">
        <w:t xml:space="preserve"> = 0.1, 0.01, 0.001). Extraction of the clay with </w:t>
      </w:r>
      <w:smartTag w:uri="urn:schemas-microsoft-com:office:smarttags" w:element="PersonName">
        <w:smartTagPr>
          <w:attr w:name="ProductID" w:val="La(NO"/>
        </w:smartTagPr>
        <w:r w:rsidRPr="00A428C3">
          <w:t>La(NO</w:t>
        </w:r>
      </w:smartTag>
      <w:r w:rsidRPr="00A428C3">
        <w:rPr>
          <w:vertAlign w:val="subscript"/>
        </w:rPr>
        <w:t>3</w:t>
      </w:r>
      <w:r w:rsidRPr="00A428C3">
        <w:t>)</w:t>
      </w:r>
      <w:r w:rsidRPr="00A428C3">
        <w:rPr>
          <w:vertAlign w:val="subscript"/>
        </w:rPr>
        <w:t>3</w:t>
      </w:r>
      <w:r w:rsidR="00F81221">
        <w:t xml:space="preserve"> and </w:t>
      </w:r>
      <w:r w:rsidRPr="00A428C3">
        <w:t>aqueous-phase analyses were necessary to establish the contributions of Al</w:t>
      </w:r>
      <w:r w:rsidR="00F81221">
        <w:t xml:space="preserve"> and </w:t>
      </w:r>
      <w:r w:rsidRPr="00A428C3">
        <w:t>Si dissolution to the proton balance</w:t>
      </w:r>
      <w:r w:rsidR="00F81221">
        <w:t xml:space="preserve"> and </w:t>
      </w:r>
      <w:r w:rsidRPr="00A428C3">
        <w:t>the total adsorbed cation charge (i.e., Na</w:t>
      </w:r>
      <w:r w:rsidRPr="00A428C3">
        <w:rPr>
          <w:vertAlign w:val="superscript"/>
        </w:rPr>
        <w:t>+</w:t>
      </w:r>
      <w:r w:rsidRPr="00A428C3">
        <w:rPr>
          <w:vertAlign w:val="subscript"/>
        </w:rPr>
        <w:t>ads</w:t>
      </w:r>
      <w:r w:rsidRPr="00A428C3">
        <w:t xml:space="preserve"> + 3Al</w:t>
      </w:r>
      <w:r w:rsidRPr="00A428C3">
        <w:rPr>
          <w:vertAlign w:val="superscript"/>
        </w:rPr>
        <w:t>3+</w:t>
      </w:r>
      <w:r w:rsidRPr="00A428C3">
        <w:rPr>
          <w:vertAlign w:val="subscript"/>
        </w:rPr>
        <w:t>ads</w:t>
      </w:r>
      <w:r w:rsidRPr="00A428C3">
        <w:t>). The adsorption of UO</w:t>
      </w:r>
      <w:r w:rsidRPr="00A428C3">
        <w:rPr>
          <w:vertAlign w:val="superscript"/>
        </w:rPr>
        <w:t>2+</w:t>
      </w:r>
      <w:r w:rsidRPr="00A428C3">
        <w:rPr>
          <w:vertAlign w:val="subscript"/>
        </w:rPr>
        <w:t>2</w:t>
      </w:r>
      <w:r w:rsidRPr="00A428C3">
        <w:t xml:space="preserve"> (7.5×10</w:t>
      </w:r>
      <w:r w:rsidRPr="00A428C3">
        <w:rPr>
          <w:vertAlign w:val="superscript"/>
        </w:rPr>
        <w:t>−6</w:t>
      </w:r>
      <w:r w:rsidRPr="00A428C3">
        <w:t xml:space="preserve"> mol L</w:t>
      </w:r>
      <w:r w:rsidRPr="00A428C3">
        <w:rPr>
          <w:vertAlign w:val="superscript"/>
        </w:rPr>
        <w:t>−1</w:t>
      </w:r>
      <w:r w:rsidRPr="00A428C3">
        <w:t>) was determined in Na</w:t>
      </w:r>
      <w:r w:rsidRPr="00A428C3">
        <w:rPr>
          <w:vertAlign w:val="superscript"/>
        </w:rPr>
        <w:t>+</w:t>
      </w:r>
      <w:r w:rsidRPr="00A428C3">
        <w:t xml:space="preserve"> (0.1, 0.01, 0.001 mol L</w:t>
      </w:r>
      <w:r w:rsidRPr="00A428C3">
        <w:rPr>
          <w:vertAlign w:val="superscript"/>
        </w:rPr>
        <w:t>−1</w:t>
      </w:r>
      <w:r w:rsidRPr="00A428C3">
        <w:t>)</w:t>
      </w:r>
      <w:r w:rsidR="00F81221">
        <w:t xml:space="preserve"> and </w:t>
      </w:r>
      <w:r w:rsidRPr="00A428C3">
        <w:t>Ca</w:t>
      </w:r>
      <w:r w:rsidRPr="00A428C3">
        <w:rPr>
          <w:vertAlign w:val="superscript"/>
        </w:rPr>
        <w:t>2+</w:t>
      </w:r>
      <w:r w:rsidRPr="00A428C3">
        <w:t xml:space="preserve"> (0.05</w:t>
      </w:r>
      <w:r w:rsidR="00F81221">
        <w:t xml:space="preserve"> and </w:t>
      </w:r>
      <w:r w:rsidRPr="00A428C3">
        <w:t>0.005 mol L</w:t>
      </w:r>
      <w:r w:rsidRPr="00A428C3">
        <w:rPr>
          <w:vertAlign w:val="superscript"/>
        </w:rPr>
        <w:t>−1</w:t>
      </w:r>
      <w:r w:rsidRPr="00A428C3">
        <w:t>) electrolytes. Adsorption of UO</w:t>
      </w:r>
      <w:r w:rsidRPr="00A428C3">
        <w:rPr>
          <w:vertAlign w:val="superscript"/>
        </w:rPr>
        <w:t>2+</w:t>
      </w:r>
      <w:r w:rsidRPr="00A428C3">
        <w:rPr>
          <w:vertAlign w:val="subscript"/>
        </w:rPr>
        <w:t>2</w:t>
      </w:r>
      <w:r w:rsidRPr="00A428C3">
        <w:t xml:space="preserve"> showed contributions of ion exchange</w:t>
      </w:r>
      <w:r w:rsidR="00F81221">
        <w:t xml:space="preserve"> and </w:t>
      </w:r>
      <w:r w:rsidRPr="00A428C3">
        <w:t>edge complexation reactions in Na</w:t>
      </w:r>
      <w:r w:rsidRPr="00A428C3">
        <w:rPr>
          <w:vertAlign w:val="superscript"/>
        </w:rPr>
        <w:t>+</w:t>
      </w:r>
      <w:r w:rsidRPr="00A428C3">
        <w:t xml:space="preserve"> electrolyte, but by only edge complexation reactions in Ca</w:t>
      </w:r>
      <w:r w:rsidRPr="00A428C3">
        <w:rPr>
          <w:vertAlign w:val="superscript"/>
        </w:rPr>
        <w:t>2+</w:t>
      </w:r>
      <w:r w:rsidRPr="00A428C3">
        <w:t xml:space="preserve"> electrolyte. A multiple-site surface-complexation model containing fixed- (</w:t>
      </w:r>
      <w:r w:rsidRPr="00A428C3">
        <w:rPr>
          <w:i/>
          <w:iCs/>
        </w:rPr>
        <w:t>X</w:t>
      </w:r>
      <w:r w:rsidRPr="00A428C3">
        <w:rPr>
          <w:vertAlign w:val="superscript"/>
        </w:rPr>
        <w:t>−</w:t>
      </w:r>
      <w:r w:rsidRPr="00A428C3">
        <w:t>)</w:t>
      </w:r>
      <w:r w:rsidR="00F81221">
        <w:t xml:space="preserve"> and </w:t>
      </w:r>
      <w:r w:rsidRPr="00A428C3">
        <w:t>variable-charge sites (SiOH, AlOH) was fit to adsorbed cation charge data between pH 4</w:t>
      </w:r>
      <w:r w:rsidR="00F81221">
        <w:t xml:space="preserve"> and </w:t>
      </w:r>
      <w:r w:rsidRPr="00A428C3">
        <w:t>10, with the concentrations of AlOH, SiOH,</w:t>
      </w:r>
      <w:r w:rsidR="00F81221">
        <w:t xml:space="preserve"> and </w:t>
      </w:r>
      <w:r w:rsidRPr="00A428C3">
        <w:rPr>
          <w:i/>
          <w:iCs/>
        </w:rPr>
        <w:t>X</w:t>
      </w:r>
      <w:r w:rsidRPr="00A428C3">
        <w:rPr>
          <w:vertAlign w:val="superscript"/>
        </w:rPr>
        <w:t>−</w:t>
      </w:r>
      <w:r w:rsidRPr="00A428C3">
        <w:t xml:space="preserve"> as the adjustable parameters. Surface acidity</w:t>
      </w:r>
      <w:r w:rsidR="00F81221">
        <w:t xml:space="preserve"> and </w:t>
      </w:r>
      <w:r w:rsidRPr="00A428C3">
        <w:t>ion-pair formation constants for gibbsite</w:t>
      </w:r>
      <w:r w:rsidR="00F81221">
        <w:t xml:space="preserve"> and </w:t>
      </w:r>
      <w:r w:rsidRPr="00A428C3">
        <w:t>silica were used to describe the ionization</w:t>
      </w:r>
      <w:r w:rsidR="00F81221">
        <w:t xml:space="preserve"> and </w:t>
      </w:r>
      <w:r w:rsidRPr="00A428C3">
        <w:t>electrolyte binding of the AlOH</w:t>
      </w:r>
      <w:r w:rsidR="00F81221">
        <w:t xml:space="preserve"> and </w:t>
      </w:r>
      <w:r w:rsidRPr="00A428C3">
        <w:t>SiOH sites. The model provided an excellent description of the surface-charge characteristics of the clay as measured by sodium isotopic exchange</w:t>
      </w:r>
      <w:r w:rsidR="00F81221">
        <w:t xml:space="preserve"> and </w:t>
      </w:r>
      <w:r w:rsidRPr="00A428C3">
        <w:t>potentiometric titration. A composite model was formulated to predict UO</w:t>
      </w:r>
      <w:r w:rsidRPr="00A428C3">
        <w:rPr>
          <w:vertAlign w:val="superscript"/>
        </w:rPr>
        <w:t>2+</w:t>
      </w:r>
      <w:r w:rsidRPr="00A428C3">
        <w:rPr>
          <w:vertAlign w:val="subscript"/>
        </w:rPr>
        <w:t>2</w:t>
      </w:r>
      <w:r w:rsidRPr="00A428C3">
        <w:t xml:space="preserve"> adsorption by incorporating UO</w:t>
      </w:r>
      <w:r w:rsidRPr="00A428C3">
        <w:rPr>
          <w:vertAlign w:val="superscript"/>
        </w:rPr>
        <w:t>2+</w:t>
      </w:r>
      <w:r w:rsidRPr="00A428C3">
        <w:rPr>
          <w:vertAlign w:val="subscript"/>
        </w:rPr>
        <w:t>2</w:t>
      </w:r>
      <w:r w:rsidRPr="00A428C3">
        <w:t xml:space="preserve"> aqueous speciation, competitive ion exchange with background electrolyte cations,</w:t>
      </w:r>
      <w:r w:rsidR="00F81221">
        <w:t xml:space="preserve"> and </w:t>
      </w:r>
      <w:r w:rsidRPr="00A428C3">
        <w:t>UO</w:t>
      </w:r>
      <w:r w:rsidRPr="00A428C3">
        <w:rPr>
          <w:vertAlign w:val="superscript"/>
        </w:rPr>
        <w:t>2+</w:t>
      </w:r>
      <w:r w:rsidRPr="00A428C3">
        <w:rPr>
          <w:vertAlign w:val="subscript"/>
        </w:rPr>
        <w:t>2</w:t>
      </w:r>
      <w:r w:rsidRPr="00A428C3">
        <w:t xml:space="preserve"> complexation with AlOH</w:t>
      </w:r>
      <w:r w:rsidR="00F81221">
        <w:t xml:space="preserve"> and </w:t>
      </w:r>
      <w:r w:rsidRPr="00A428C3">
        <w:t>SiOH sites. UO</w:t>
      </w:r>
      <w:r w:rsidRPr="00A428C3">
        <w:rPr>
          <w:vertAlign w:val="superscript"/>
        </w:rPr>
        <w:t>2+</w:t>
      </w:r>
      <w:r w:rsidRPr="00A428C3">
        <w:rPr>
          <w:vertAlign w:val="subscript"/>
        </w:rPr>
        <w:t>2</w:t>
      </w:r>
      <w:r w:rsidRPr="00A428C3">
        <w:t xml:space="preserve"> complexation with AlOH</w:t>
      </w:r>
      <w:r w:rsidR="00F81221">
        <w:t xml:space="preserve"> and </w:t>
      </w:r>
      <w:r w:rsidRPr="00A428C3">
        <w:t>SiOH was parameterized by UO</w:t>
      </w:r>
      <w:r w:rsidRPr="00A428C3">
        <w:rPr>
          <w:vertAlign w:val="superscript"/>
        </w:rPr>
        <w:t>2+</w:t>
      </w:r>
      <w:r w:rsidRPr="00A428C3">
        <w:rPr>
          <w:vertAlign w:val="subscript"/>
        </w:rPr>
        <w:t>2</w:t>
      </w:r>
      <w:r w:rsidRPr="00A428C3">
        <w:t xml:space="preserve"> sorption on α-Al(OH)</w:t>
      </w:r>
      <w:r w:rsidRPr="00A428C3">
        <w:rPr>
          <w:vertAlign w:val="subscript"/>
        </w:rPr>
        <w:t>3</w:t>
      </w:r>
      <w:r w:rsidRPr="00A428C3">
        <w:t>(s)</w:t>
      </w:r>
      <w:r w:rsidR="00F81221">
        <w:t xml:space="preserve"> and </w:t>
      </w:r>
      <w:r w:rsidRPr="00A428C3">
        <w:t>α-SiO</w:t>
      </w:r>
      <w:r w:rsidRPr="00A428C3">
        <w:rPr>
          <w:vertAlign w:val="subscript"/>
        </w:rPr>
        <w:t>2</w:t>
      </w:r>
      <w:r w:rsidRPr="00A428C3">
        <w:t>(s), respectively. The composite model overpredicted UO</w:t>
      </w:r>
      <w:r w:rsidRPr="00A428C3">
        <w:rPr>
          <w:vertAlign w:val="superscript"/>
        </w:rPr>
        <w:t>2+</w:t>
      </w:r>
      <w:r w:rsidRPr="00A428C3">
        <w:rPr>
          <w:vertAlign w:val="subscript"/>
        </w:rPr>
        <w:t>2</w:t>
      </w:r>
      <w:r w:rsidRPr="00A428C3">
        <w:t xml:space="preserve"> sorption across the entire pH range in both electrolytes. Acceptable predictions could be obtained if the UO</w:t>
      </w:r>
      <w:r w:rsidRPr="00A428C3">
        <w:rPr>
          <w:vertAlign w:val="superscript"/>
        </w:rPr>
        <w:t>2+</w:t>
      </w:r>
      <w:r w:rsidRPr="00A428C3">
        <w:rPr>
          <w:vertAlign w:val="subscript"/>
        </w:rPr>
        <w:t>2</w:t>
      </w:r>
      <w:r w:rsidRPr="00A428C3">
        <w:t xml:space="preserve"> affinity for edge AlOH sites were adjusted 2.03 log units below that of gibbsite. Changes in chemical affinity arising from lattice substitutions</w:t>
      </w:r>
      <w:r w:rsidR="00F81221">
        <w:t xml:space="preserve"> and </w:t>
      </w:r>
      <w:r w:rsidRPr="00A428C3">
        <w:t>edge site morphology are, therefore, concluded to contribute significantly to adsorption, although the potential competitive effects of dissolved Al</w:t>
      </w:r>
      <w:r w:rsidRPr="00A428C3">
        <w:rPr>
          <w:vertAlign w:val="superscript"/>
        </w:rPr>
        <w:t>3+</w:t>
      </w:r>
      <w:r w:rsidR="00F81221">
        <w:t xml:space="preserve"> and </w:t>
      </w:r>
      <w:r w:rsidRPr="00A428C3">
        <w:t>H</w:t>
      </w:r>
      <w:r w:rsidRPr="00A428C3">
        <w:rPr>
          <w:vertAlign w:val="subscript"/>
        </w:rPr>
        <w:t>4</w:t>
      </w:r>
      <w:r w:rsidRPr="00A428C3">
        <w:t>SiO</w:t>
      </w:r>
      <w:r w:rsidRPr="00A428C3">
        <w:rPr>
          <w:vertAlign w:val="subscript"/>
        </w:rPr>
        <w:t>4</w:t>
      </w:r>
      <w:r w:rsidRPr="00A428C3">
        <w:t xml:space="preserve"> could not be discounted. The adsorption of UO</w:t>
      </w:r>
      <w:r w:rsidRPr="00A428C3">
        <w:rPr>
          <w:vertAlign w:val="superscript"/>
        </w:rPr>
        <w:t>2+</w:t>
      </w:r>
      <w:r w:rsidRPr="00A428C3">
        <w:rPr>
          <w:vertAlign w:val="subscript"/>
        </w:rPr>
        <w:t>2</w:t>
      </w:r>
      <w:r w:rsidRPr="00A428C3">
        <w:t xml:space="preserve"> on the subsurface smectite was similar to that of the reference montmorillonite, SWy-1, with the exception that Al dissolution contributed significantly to adsorbed cation charge. Copyright (C) 1996 Elsevier Science Ltd.</w:t>
      </w:r>
    </w:p>
    <w:p w:rsidR="00B95188" w:rsidRPr="00A428C3" w:rsidRDefault="00B95188" w:rsidP="00B95188">
      <w:pPr>
        <w:pStyle w:val="a0"/>
      </w:pPr>
      <w:r w:rsidRPr="00A428C3">
        <w:t>Bargar, J.R., Towle, S.N., Brown Jr, G.E.</w:t>
      </w:r>
      <w:r w:rsidR="00F81221">
        <w:t xml:space="preserve"> and </w:t>
      </w:r>
      <w:r w:rsidRPr="00A428C3">
        <w:t xml:space="preserve">Parks, G.A. (1996), Outer-sphere Pb(II) adsorbed at specific surface sites on single crystal α-alumina. </w:t>
      </w:r>
      <w:r w:rsidRPr="00A428C3">
        <w:rPr>
          <w:i/>
        </w:rPr>
        <w:t>Geochimica et Cosmochimica Acta</w:t>
      </w:r>
      <w:r w:rsidRPr="00A428C3">
        <w:t xml:space="preserve">, </w:t>
      </w:r>
      <w:r w:rsidRPr="00A428C3">
        <w:rPr>
          <w:b/>
        </w:rPr>
        <w:t>60</w:t>
      </w:r>
      <w:r w:rsidRPr="00A428C3">
        <w:t xml:space="preserve"> (18), 3541-3548.</w:t>
      </w:r>
    </w:p>
    <w:p w:rsidR="00B95188" w:rsidRPr="00A428C3" w:rsidRDefault="00B95188" w:rsidP="00B95188">
      <w:pPr>
        <w:pStyle w:val="a0"/>
      </w:pPr>
      <w:r w:rsidRPr="00A428C3">
        <w:t xml:space="preserve">Full Text: </w:t>
      </w:r>
      <w:hyperlink r:id="rId362" w:history="1">
        <w:r w:rsidRPr="00A428C3">
          <w:rPr>
            <w:rStyle w:val="a5"/>
          </w:rPr>
          <w:t>G\Geo Cos Act60, 3541.pdf</w:t>
        </w:r>
      </w:hyperlink>
    </w:p>
    <w:p w:rsidR="00B95188" w:rsidRPr="00A428C3" w:rsidRDefault="00B95188" w:rsidP="00B95188">
      <w:pPr>
        <w:pStyle w:val="a0"/>
      </w:pPr>
      <w:r w:rsidRPr="00A428C3">
        <w:t>Abstract: Solvated Pb(II) ions were found to adsorb as structurally well-defined outer-sphere complexes at specific sites on the α-Al</w:t>
      </w:r>
      <w:r w:rsidRPr="00A428C3">
        <w:rPr>
          <w:vertAlign w:val="subscript"/>
        </w:rPr>
        <w:t>2</w:t>
      </w:r>
      <w:r w:rsidRPr="00A428C3">
        <w:t>O</w:t>
      </w:r>
      <w:r w:rsidRPr="00A428C3">
        <w:rPr>
          <w:vertAlign w:val="subscript"/>
        </w:rPr>
        <w:t>3</w:t>
      </w:r>
      <w:r w:rsidRPr="00A428C3">
        <w:t xml:space="preserve"> (0001) single crystal surface, </w:t>
      </w:r>
      <w:r w:rsidRPr="00A428C3">
        <w:lastRenderedPageBreak/>
        <w:t>as determined by grazing-incidence X-ray absorption fine structure (GI-XAFS) measurements. The XAFS results suggest that the distance between Pb(II) adions</w:t>
      </w:r>
      <w:r w:rsidR="00F81221">
        <w:t xml:space="preserve"> and </w:t>
      </w:r>
      <w:r w:rsidRPr="00A428C3">
        <w:t>the alumina surface is approximately 4.2 angst. In contrast, Pb(II) adsorbs as more strongly bound inner-sphere complexes on α-Al</w:t>
      </w:r>
      <w:r w:rsidRPr="00A428C3">
        <w:rPr>
          <w:vertAlign w:val="subscript"/>
        </w:rPr>
        <w:t>2</w:t>
      </w:r>
      <w:r w:rsidRPr="00A428C3">
        <w:t>O</w:t>
      </w:r>
      <w:r w:rsidRPr="00A428C3">
        <w:rPr>
          <w:vertAlign w:val="subscript"/>
        </w:rPr>
        <w:t>3</w:t>
      </w:r>
      <w:r w:rsidRPr="00A428C3">
        <w:t xml:space="preserve"> (102). The difference in reactivities of the two alumina surfaces has implications for modeling surface complexation reactions of contaminants in natural environments, catalysis,</w:t>
      </w:r>
      <w:r w:rsidR="00F81221">
        <w:t xml:space="preserve"> and </w:t>
      </w:r>
      <w:r w:rsidRPr="00A428C3">
        <w:t>compositional sector zoning of oxide crystals. Copyright (C) 1996 Elsevier Science Ltd.</w:t>
      </w:r>
    </w:p>
    <w:p w:rsidR="00B95188" w:rsidRPr="00A428C3" w:rsidRDefault="00B95188" w:rsidP="00B95188">
      <w:pPr>
        <w:pStyle w:val="a0"/>
      </w:pPr>
      <w:r w:rsidRPr="00A428C3">
        <w:t>Xia, K., Bleam, W.</w:t>
      </w:r>
      <w:r w:rsidR="00F81221">
        <w:t xml:space="preserve"> and </w:t>
      </w:r>
      <w:r w:rsidRPr="00A428C3">
        <w:t>Helmke, P.A. (1997), Studies of the nature of binding sites of first row transition elements bound to aquatic</w:t>
      </w:r>
      <w:r w:rsidR="00F81221">
        <w:t xml:space="preserve"> and </w:t>
      </w:r>
      <w:r w:rsidRPr="00A428C3">
        <w:t xml:space="preserve">soil humic substances using X-ray absorption spectroscopy. </w:t>
      </w:r>
      <w:r w:rsidRPr="00A428C3">
        <w:rPr>
          <w:i/>
        </w:rPr>
        <w:t>Geochimica et Cosmochimica Acta</w:t>
      </w:r>
      <w:r w:rsidRPr="00A428C3">
        <w:t xml:space="preserve">, </w:t>
      </w:r>
      <w:r w:rsidRPr="00A428C3">
        <w:rPr>
          <w:b/>
        </w:rPr>
        <w:t>61</w:t>
      </w:r>
      <w:r w:rsidRPr="00A428C3">
        <w:t xml:space="preserve"> (11), 2223-2235.</w:t>
      </w:r>
    </w:p>
    <w:p w:rsidR="00B95188" w:rsidRPr="00A428C3" w:rsidRDefault="00B95188" w:rsidP="00B95188">
      <w:pPr>
        <w:pStyle w:val="a0"/>
      </w:pPr>
      <w:r w:rsidRPr="00A428C3">
        <w:t xml:space="preserve">Full Text: </w:t>
      </w:r>
      <w:hyperlink r:id="rId363" w:history="1">
        <w:r w:rsidRPr="00A428C3">
          <w:rPr>
            <w:rStyle w:val="a5"/>
          </w:rPr>
          <w:t>G\Geo Cos Act61, 2223.pdf</w:t>
        </w:r>
      </w:hyperlink>
    </w:p>
    <w:p w:rsidR="00B95188" w:rsidRPr="00A428C3" w:rsidRDefault="00B95188" w:rsidP="00B95188">
      <w:pPr>
        <w:pStyle w:val="a0"/>
      </w:pPr>
      <w:r w:rsidRPr="00A428C3">
        <w:t>Abstract: The coordination environments of first row transition elements (Co, Ni, Cu,</w:t>
      </w:r>
      <w:r w:rsidR="00F81221">
        <w:t xml:space="preserve"> and </w:t>
      </w:r>
      <w:r w:rsidRPr="00A428C3">
        <w:t>Zn) complexed by aquatic</w:t>
      </w:r>
      <w:r w:rsidR="00F81221">
        <w:t xml:space="preserve"> and </w:t>
      </w:r>
      <w:r w:rsidRPr="00A428C3">
        <w:t>soil humic substances were studied using X-ray absorption spectroscopy (XAS). With the assistance of bond network analysis, analysis of X-ray absorption near edge structure (XANES) spectra</w:t>
      </w:r>
      <w:r w:rsidR="00F81221">
        <w:t xml:space="preserve"> and </w:t>
      </w:r>
      <w:r w:rsidRPr="00A428C3">
        <w:t>radial structure functions (RSF) derived from extended X-ray absorption fine structure (EXAFS) spectra of Co, Ni, Cu,</w:t>
      </w:r>
      <w:r w:rsidR="00F81221">
        <w:t xml:space="preserve"> and </w:t>
      </w:r>
      <w:r w:rsidRPr="00A428C3">
        <w:t>Zn in humic substances indicate an octahedral binding environment for Co, Ni,</w:t>
      </w:r>
      <w:r w:rsidR="00F81221">
        <w:t xml:space="preserve"> and </w:t>
      </w:r>
      <w:r w:rsidRPr="00A428C3">
        <w:t>Zn</w:t>
      </w:r>
      <w:r w:rsidR="00F81221">
        <w:t xml:space="preserve"> and </w:t>
      </w:r>
      <w:r w:rsidRPr="00A428C3">
        <w:t>a tetragonally-distorted octahedral binding environment for Cu. Analysis of EXAFS spectra of each element provides detailed information on the internuclear distances, bond angles,</w:t>
      </w:r>
      <w:r w:rsidR="00F81221">
        <w:t xml:space="preserve"> and </w:t>
      </w:r>
      <w:r w:rsidRPr="00A428C3">
        <w:t>Debye-Waller factors within the first two atomic shells surrounding Co, Ni, Cu,</w:t>
      </w:r>
      <w:r w:rsidR="00F81221">
        <w:t xml:space="preserve"> and </w:t>
      </w:r>
      <w:r w:rsidRPr="00A428C3">
        <w:t>Zn bound to humic substances. We interpret the presence of C atoms in the second atomic shell of the metal binding site as further evidence that Co, Ni, Cu,</w:t>
      </w:r>
      <w:r w:rsidR="00F81221">
        <w:t xml:space="preserve"> and </w:t>
      </w:r>
      <w:r w:rsidRPr="00A428C3">
        <w:t>Zn form innersphere complexes with humic substances. The number</w:t>
      </w:r>
      <w:r w:rsidR="00F81221">
        <w:t xml:space="preserve"> and </w:t>
      </w:r>
      <w:r w:rsidRPr="00A428C3">
        <w:t>type of ligands involved in the binding are different for different elements. Copyright (C) 1997 Elsevier Science Ltd.</w:t>
      </w:r>
    </w:p>
    <w:p w:rsidR="00B95188" w:rsidRPr="00A428C3" w:rsidRDefault="00B95188" w:rsidP="00B95188">
      <w:pPr>
        <w:pStyle w:val="a0"/>
      </w:pPr>
      <w:r w:rsidRPr="00A428C3">
        <w:t>Keywords: Ion-Selective Electrode, Near-Edge Structure, Fulvic-Acid, Multiple-Scattering, Stability-Constants, Fine-Structure, Copper(II) Complexation, Complexing Capacity, Xanes Spectroscopy, Aqueous-Solution</w:t>
      </w:r>
    </w:p>
    <w:p w:rsidR="00B95188" w:rsidRPr="00A428C3" w:rsidRDefault="00B95188" w:rsidP="00B95188">
      <w:pPr>
        <w:pStyle w:val="a0"/>
      </w:pPr>
      <w:r w:rsidRPr="00A428C3">
        <w:t>Bargar, J.R., Brown Jr, G.E.</w:t>
      </w:r>
      <w:r w:rsidR="00F81221">
        <w:t xml:space="preserve"> and </w:t>
      </w:r>
      <w:r w:rsidRPr="00A428C3">
        <w:t>Parks, G.A. (1997), Surface complexation of Pb(II) at oxide-water interfaces: I. XAFS</w:t>
      </w:r>
      <w:r w:rsidR="00F81221">
        <w:t xml:space="preserve"> and </w:t>
      </w:r>
      <w:r w:rsidRPr="00A428C3">
        <w:t>bond-valence determination of mononuclear</w:t>
      </w:r>
      <w:r w:rsidR="00F81221">
        <w:t xml:space="preserve"> and </w:t>
      </w:r>
      <w:r w:rsidRPr="00A428C3">
        <w:t xml:space="preserve">polynuclear Pb(II) sorption products on aluminum oxides. </w:t>
      </w:r>
      <w:r w:rsidRPr="00A428C3">
        <w:rPr>
          <w:i/>
        </w:rPr>
        <w:t>Geochimica et Cosmochimica Acta</w:t>
      </w:r>
      <w:r w:rsidRPr="00A428C3">
        <w:t xml:space="preserve">, </w:t>
      </w:r>
      <w:r w:rsidRPr="00A428C3">
        <w:rPr>
          <w:b/>
        </w:rPr>
        <w:t>61</w:t>
      </w:r>
      <w:r w:rsidRPr="00A428C3">
        <w:t xml:space="preserve"> (13), 2617-2637.</w:t>
      </w:r>
    </w:p>
    <w:p w:rsidR="00B95188" w:rsidRPr="00A428C3" w:rsidRDefault="00B95188" w:rsidP="00B95188">
      <w:pPr>
        <w:pStyle w:val="a0"/>
      </w:pPr>
      <w:r w:rsidRPr="00A428C3">
        <w:t xml:space="preserve">Full Text: </w:t>
      </w:r>
      <w:hyperlink r:id="rId364" w:history="1">
        <w:r w:rsidRPr="00A428C3">
          <w:rPr>
            <w:rStyle w:val="a5"/>
          </w:rPr>
          <w:t>G\Geo Cos Act61, 2617.pdf</w:t>
        </w:r>
      </w:hyperlink>
    </w:p>
    <w:p w:rsidR="00B95188" w:rsidRPr="00A428C3" w:rsidRDefault="00B95188" w:rsidP="00B95188">
      <w:pPr>
        <w:pStyle w:val="a0"/>
      </w:pPr>
      <w:r w:rsidRPr="00A428C3">
        <w:t>Abstract: Pb(II) sorption on Al</w:t>
      </w:r>
      <w:r w:rsidRPr="00A428C3">
        <w:rPr>
          <w:vertAlign w:val="subscript"/>
        </w:rPr>
        <w:t>2</w:t>
      </w:r>
      <w:r w:rsidRPr="00A428C3">
        <w:t>O</w:t>
      </w:r>
      <w:r w:rsidRPr="00A428C3">
        <w:rPr>
          <w:vertAlign w:val="subscript"/>
        </w:rPr>
        <w:t>3</w:t>
      </w:r>
      <w:r w:rsidRPr="00A428C3">
        <w:t xml:space="preserve"> powders was studied as functions of sorption density (from 0.5 to 5.2 μmoles/m</w:t>
      </w:r>
      <w:r w:rsidRPr="00A428C3">
        <w:rPr>
          <w:vertAlign w:val="superscript"/>
        </w:rPr>
        <w:t>2</w:t>
      </w:r>
      <w:r w:rsidRPr="00A428C3">
        <w:t>)</w:t>
      </w:r>
      <w:r w:rsidR="00F81221">
        <w:t xml:space="preserve"> and </w:t>
      </w:r>
      <w:r w:rsidRPr="00A428C3">
        <w:t>[Pb]</w:t>
      </w:r>
      <w:r w:rsidRPr="00A428C3">
        <w:rPr>
          <w:vertAlign w:val="subscript"/>
        </w:rPr>
        <w:t>eq</w:t>
      </w:r>
      <w:r w:rsidRPr="00A428C3">
        <w:t xml:space="preserve"> (0.03</w:t>
      </w:r>
      <w:smartTag w:uri="urn:schemas-microsoft-com:office:smarttags" w:element="chmetcnv">
        <w:smartTagPr>
          <w:attr w:name="TCSC" w:val="0"/>
          <w:attr w:name="NumberType" w:val="1"/>
          <w:attr w:name="Negative" w:val="True"/>
          <w:attr w:name="HasSpace" w:val="True"/>
          <w:attr w:name="SourceValue" w:val="1.4"/>
          <w:attr w:name="UnitName" w:val="mm"/>
        </w:smartTagPr>
        <w:r w:rsidRPr="00A428C3">
          <w:t>-1.4 mM</w:t>
        </w:r>
      </w:smartTag>
      <w:r w:rsidRPr="00A428C3">
        <w:t xml:space="preserve">)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NaNO</w:t>
      </w:r>
      <w:r w:rsidRPr="00A428C3">
        <w:rPr>
          <w:vertAlign w:val="subscript"/>
        </w:rPr>
        <w:t>3</w:t>
      </w:r>
      <w:r w:rsidRPr="00A428C3">
        <w:t xml:space="preserve"> electrolyte solution using XAFS spectroscopy. At pH 6</w:t>
      </w:r>
      <w:r w:rsidR="00F81221">
        <w:t xml:space="preserve"> and </w:t>
      </w:r>
      <w:r w:rsidRPr="00A428C3">
        <w:t>7, Pb(II) ions were found to be fully hydrolyzed</w:t>
      </w:r>
      <w:r w:rsidR="00F81221">
        <w:t xml:space="preserve"> and </w:t>
      </w:r>
      <w:r w:rsidRPr="00A428C3">
        <w:t xml:space="preserve">adsorbed preferentially as mononuclear bidentate complexes to edges </w:t>
      </w:r>
      <w:r w:rsidRPr="00A428C3">
        <w:lastRenderedPageBreak/>
        <w:t>of AlO</w:t>
      </w:r>
      <w:r w:rsidRPr="00A428C3">
        <w:rPr>
          <w:vertAlign w:val="subscript"/>
        </w:rPr>
        <w:t>6</w:t>
      </w:r>
      <w:r w:rsidRPr="00A428C3">
        <w:t xml:space="preserve"> octahedra. At higher sorption densities (Γ ≥ 3.4 </w:t>
      </w:r>
      <w:r w:rsidRPr="00A428C3">
        <w:sym w:font="Symbol" w:char="F06D"/>
      </w:r>
      <w:r w:rsidRPr="00A428C3">
        <w:t>moles.m</w:t>
      </w:r>
      <w:r w:rsidRPr="00A428C3">
        <w:rPr>
          <w:vertAlign w:val="superscript"/>
        </w:rPr>
        <w:t>−2</w:t>
      </w:r>
      <w:r w:rsidRPr="00A428C3">
        <w:t>), XAFS results suggest the presence of dimeric Pb(II) surface complexes. A bond-valence model was used in conjunction with these results to constrain the compositions</w:t>
      </w:r>
      <w:r w:rsidR="00F81221">
        <w:t xml:space="preserve"> and </w:t>
      </w:r>
      <w:r w:rsidRPr="00A428C3">
        <w:t>reaction stoichiometries of adsorption complexes. We conclude that Pb(II) adsorption on alumina is attributable to complexation by [Al</w:t>
      </w:r>
      <w:r w:rsidRPr="00A428C3">
        <w:rPr>
          <w:vertAlign w:val="superscript"/>
        </w:rPr>
        <w:t>Al</w:t>
      </w:r>
      <w:r w:rsidRPr="00A428C3">
        <w:rPr>
          <w:vertAlign w:val="subscript"/>
        </w:rPr>
        <w:t>Al</w:t>
      </w:r>
      <w:r w:rsidRPr="00A428C3">
        <w:t>O</w:t>
      </w:r>
      <w:r w:rsidRPr="00A428C3">
        <w:rPr>
          <w:vertAlign w:val="superscript"/>
        </w:rPr>
        <w:t>-1/2</w:t>
      </w:r>
      <w:r w:rsidRPr="00A428C3">
        <w:t>]</w:t>
      </w:r>
      <w:r w:rsidR="00F81221">
        <w:t xml:space="preserve"> and </w:t>
      </w:r>
      <w:r w:rsidRPr="00A428C3">
        <w:t>[Al-OH</w:t>
      </w:r>
      <w:r w:rsidRPr="00A428C3">
        <w:rPr>
          <w:vertAlign w:val="superscript"/>
        </w:rPr>
        <w:t>-1/2</w:t>
      </w:r>
      <w:r w:rsidRPr="00A428C3">
        <w:t>] surface functional groups. Several plausible Pb(II) adsorption reactions are proposed, based on these results, which provide a basis for chemically realistic descriptions of surface complexation of Pb(II) on aluminum oxides. Copyright (C) 1997 Elsevier Science Ltd.</w:t>
      </w:r>
    </w:p>
    <w:p w:rsidR="00B95188" w:rsidRPr="00A428C3" w:rsidRDefault="00B95188" w:rsidP="00B95188">
      <w:pPr>
        <w:pStyle w:val="a0"/>
      </w:pPr>
      <w:r w:rsidRPr="00A428C3">
        <w:t>Bargar, J.R., Brown Jr, G.E.</w:t>
      </w:r>
      <w:r w:rsidR="00F81221">
        <w:t xml:space="preserve"> and </w:t>
      </w:r>
      <w:r w:rsidRPr="00A428C3">
        <w:t>Parks, G.A. (1997), Surface complexation of Pb(II) at oxide-water interfaces: II. XAFS</w:t>
      </w:r>
      <w:r w:rsidR="00F81221">
        <w:t xml:space="preserve"> and </w:t>
      </w:r>
      <w:r w:rsidRPr="00A428C3">
        <w:t>bond-valence determination of mononuclear Pb(II) sorption products</w:t>
      </w:r>
      <w:r w:rsidR="00F81221">
        <w:t xml:space="preserve"> and </w:t>
      </w:r>
      <w:r w:rsidRPr="00A428C3">
        <w:t xml:space="preserve">surface functional groups on iron oxides. </w:t>
      </w:r>
      <w:r w:rsidRPr="00A428C3">
        <w:rPr>
          <w:i/>
        </w:rPr>
        <w:t>Geochimica et Cosmochimica Acta</w:t>
      </w:r>
      <w:r w:rsidRPr="00A428C3">
        <w:t xml:space="preserve">, </w:t>
      </w:r>
      <w:r w:rsidRPr="00A428C3">
        <w:rPr>
          <w:b/>
        </w:rPr>
        <w:t>61</w:t>
      </w:r>
      <w:r w:rsidRPr="00A428C3">
        <w:t xml:space="preserve"> (13), 2639-2652.</w:t>
      </w:r>
    </w:p>
    <w:p w:rsidR="00B95188" w:rsidRPr="00A428C3" w:rsidRDefault="00B95188" w:rsidP="00B95188">
      <w:pPr>
        <w:pStyle w:val="a0"/>
      </w:pPr>
      <w:r w:rsidRPr="00A428C3">
        <w:t xml:space="preserve">Full Text: </w:t>
      </w:r>
      <w:hyperlink r:id="rId365" w:history="1">
        <w:r w:rsidRPr="00A428C3">
          <w:rPr>
            <w:rStyle w:val="a5"/>
          </w:rPr>
          <w:t>G\Geo Cos Act61, 2639.pdf</w:t>
        </w:r>
      </w:hyperlink>
    </w:p>
    <w:p w:rsidR="00B95188" w:rsidRPr="00A428C3" w:rsidRDefault="00B95188" w:rsidP="00B95188">
      <w:pPr>
        <w:pStyle w:val="a0"/>
      </w:pPr>
      <w:r w:rsidRPr="00A428C3">
        <w:t>Abstract: Pb(II) sorption on goethite</w:t>
      </w:r>
      <w:r w:rsidR="00F81221">
        <w:t xml:space="preserve"> and </w:t>
      </w:r>
      <w:r w:rsidRPr="00A428C3">
        <w:t>hematite powders was studied at room temperature as a function of pH (6-8), sorption density (2-10 μmoles/m</w:t>
      </w:r>
      <w:r w:rsidRPr="00A428C3">
        <w:rPr>
          <w:vertAlign w:val="superscript"/>
        </w:rPr>
        <w:t>2</w:t>
      </w:r>
      <w:r w:rsidRPr="00A428C3">
        <w:t>),</w:t>
      </w:r>
      <w:r w:rsidR="00F81221">
        <w:t xml:space="preserve"> and </w:t>
      </w:r>
      <w:r w:rsidRPr="00A428C3">
        <w:t>[Pb]</w:t>
      </w:r>
      <w:r w:rsidRPr="00A428C3">
        <w:rPr>
          <w:vertAlign w:val="subscript"/>
        </w:rPr>
        <w:t>eq</w:t>
      </w:r>
      <w:r w:rsidRPr="00A428C3">
        <w:t xml:space="preserve"> (0.2 μM − </w:t>
      </w:r>
      <w:smartTag w:uri="urn:schemas-microsoft-com:office:smarttags" w:element="chmetcnv">
        <w:smartTagPr>
          <w:attr w:name="TCSC" w:val="0"/>
          <w:attr w:name="NumberType" w:val="1"/>
          <w:attr w:name="Negative" w:val="False"/>
          <w:attr w:name="HasSpace" w:val="True"/>
          <w:attr w:name="SourceValue" w:val="1.2"/>
          <w:attr w:name="UnitName" w:val="mm"/>
        </w:smartTagPr>
        <w:r w:rsidRPr="00A428C3">
          <w:t>1.2 mM</w:t>
        </w:r>
      </w:smartTag>
      <w:r w:rsidRPr="00A428C3">
        <w:t xml:space="preserve">)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NaNO</w:t>
      </w:r>
      <w:r w:rsidRPr="00A428C3">
        <w:rPr>
          <w:vertAlign w:val="subscript"/>
        </w:rPr>
        <w:t>3</w:t>
      </w:r>
      <w:r w:rsidRPr="00A428C3">
        <w:t xml:space="preserve"> electrolyte using XAFS spectroscopy. Pb(II) ions were found to be hydrolyzed</w:t>
      </w:r>
      <w:r w:rsidR="00F81221">
        <w:t xml:space="preserve"> and </w:t>
      </w:r>
      <w:r w:rsidRPr="00A428C3">
        <w:t>adsorbed as mononuclear bidentate complexes to edges of FeO</w:t>
      </w:r>
      <w:r w:rsidRPr="00A428C3">
        <w:rPr>
          <w:vertAlign w:val="subscript"/>
        </w:rPr>
        <w:t>6</w:t>
      </w:r>
      <w:r w:rsidRPr="00A428C3">
        <w:t xml:space="preserve"> octahedra on both goethite</w:t>
      </w:r>
      <w:r w:rsidR="00F81221">
        <w:t xml:space="preserve"> and </w:t>
      </w:r>
      <w:r w:rsidRPr="00A428C3">
        <w:t>hematite under all conditions. Hydrolysis of Pb(II) appears to be a primary source of proton release associated with surface complexation of Pb(II). A bond-valence model was used to relate the relative stabilities of iron-oxide surface functional groups</w:t>
      </w:r>
      <w:r w:rsidR="00F81221">
        <w:t xml:space="preserve"> and </w:t>
      </w:r>
      <w:r w:rsidRPr="00A428C3">
        <w:t>Pb(II) adsorption complexes to their structures</w:t>
      </w:r>
      <w:r w:rsidR="00F81221">
        <w:t xml:space="preserve"> and </w:t>
      </w:r>
      <w:r w:rsidRPr="00A428C3">
        <w:t>compositions. This combined approach suggests that Pb(II) adsorption occurs primarily at unprotonated [Fe</w:t>
      </w:r>
      <w:r w:rsidRPr="00A428C3">
        <w:rPr>
          <w:vertAlign w:val="superscript"/>
        </w:rPr>
        <w:t>Fe</w:t>
      </w:r>
      <w:r w:rsidRPr="00A428C3">
        <w:rPr>
          <w:vertAlign w:val="subscript"/>
        </w:rPr>
        <w:t>Fe</w:t>
      </w:r>
      <w:r w:rsidRPr="00A428C3">
        <w:t>O</w:t>
      </w:r>
      <w:r w:rsidRPr="00A428C3">
        <w:rPr>
          <w:vertAlign w:val="superscript"/>
        </w:rPr>
        <w:t>-1/2</w:t>
      </w:r>
      <w:r w:rsidRPr="00A428C3">
        <w:t>] sites</w:t>
      </w:r>
      <w:r w:rsidR="00F81221">
        <w:t xml:space="preserve"> and </w:t>
      </w:r>
      <w:r w:rsidRPr="00A428C3">
        <w:t>at [Fe—OH</w:t>
      </w:r>
      <w:r w:rsidRPr="00A428C3">
        <w:rPr>
          <w:vertAlign w:val="subscript"/>
        </w:rPr>
        <w:t>2</w:t>
      </w:r>
      <w:r w:rsidRPr="00A428C3">
        <w:rPr>
          <w:vertAlign w:val="superscript"/>
        </w:rPr>
        <w:t>+1/2</w:t>
      </w:r>
      <w:r w:rsidRPr="00A428C3">
        <w:t>] sites. Several adsorption reactions are proposed. Comparison to EXAFS results from Pb(II) adsorption on aluminum oxides suggests that the edge lengths of surface AlO</w:t>
      </w:r>
      <w:r w:rsidRPr="00A428C3">
        <w:rPr>
          <w:vertAlign w:val="subscript"/>
        </w:rPr>
        <w:t>6</w:t>
      </w:r>
      <w:r w:rsidRPr="00A428C3">
        <w:t xml:space="preserve"> or FeO</w:t>
      </w:r>
      <w:r w:rsidRPr="00A428C3">
        <w:rPr>
          <w:vertAlign w:val="subscript"/>
        </w:rPr>
        <w:t>6</w:t>
      </w:r>
      <w:r w:rsidRPr="00A428C3">
        <w:t xml:space="preserve"> octahedra partially determine the reactivities</w:t>
      </w:r>
      <w:r w:rsidR="00F81221">
        <w:t xml:space="preserve"> and </w:t>
      </w:r>
      <w:r w:rsidRPr="00A428C3">
        <w:t>densities of available surface sites. The results of this study provide a basis for constructing chemically realistic descriptions of Pb(II) surface complexation reactions on Fe (hydr) oxides. Copyright (C) 1997 Elsevier Science Ltd</w:t>
      </w:r>
    </w:p>
    <w:p w:rsidR="00B95188" w:rsidRPr="00A428C3" w:rsidRDefault="00B95188" w:rsidP="00B95188">
      <w:pPr>
        <w:pStyle w:val="a0"/>
      </w:pPr>
      <w:r w:rsidRPr="00A428C3">
        <w:t xml:space="preserve">Farquhar, M.L., </w:t>
      </w:r>
      <w:smartTag w:uri="urn:schemas-microsoft-com:office:smarttags" w:element="City">
        <w:r w:rsidRPr="00A428C3">
          <w:t>Vaughan</w:t>
        </w:r>
      </w:smartTag>
      <w:r w:rsidRPr="00A428C3">
        <w:t>, D.J., Hughes, C.R., Charnock, J.M.</w:t>
      </w:r>
      <w:r w:rsidR="00F81221">
        <w:t xml:space="preserve"> and </w:t>
      </w:r>
      <w:r w:rsidRPr="00A428C3">
        <w:t>England, K.E.R. (1997), Experimental studies of the interaction of aqueous metal cations with mineral substrates: Lead, cadmium,</w:t>
      </w:r>
      <w:r w:rsidR="00F81221">
        <w:t xml:space="preserve"> and </w:t>
      </w:r>
      <w:r w:rsidRPr="00A428C3">
        <w:t>copper with perthitic feldspar, muscovite,</w:t>
      </w:r>
      <w:r w:rsidR="00F81221">
        <w:t xml:space="preserve"> and </w:t>
      </w:r>
      <w:r w:rsidRPr="00A428C3">
        <w:t xml:space="preserve">biotite. </w:t>
      </w:r>
      <w:r w:rsidRPr="00A428C3">
        <w:rPr>
          <w:i/>
        </w:rPr>
        <w:t>Geochimica et Cosmochimica Acta</w:t>
      </w:r>
      <w:r w:rsidRPr="00A428C3">
        <w:t xml:space="preserve">, </w:t>
      </w:r>
      <w:r w:rsidRPr="00A428C3">
        <w:rPr>
          <w:b/>
        </w:rPr>
        <w:t>61</w:t>
      </w:r>
      <w:r w:rsidRPr="00A428C3">
        <w:t xml:space="preserve"> (15), 3051-3064.</w:t>
      </w:r>
    </w:p>
    <w:p w:rsidR="00B95188" w:rsidRPr="00A428C3" w:rsidRDefault="00B95188" w:rsidP="00B95188">
      <w:pPr>
        <w:pStyle w:val="a0"/>
      </w:pPr>
      <w:r w:rsidRPr="00A428C3">
        <w:t xml:space="preserve">Full Text: </w:t>
      </w:r>
      <w:hyperlink r:id="rId366" w:history="1">
        <w:r w:rsidRPr="00A428C3">
          <w:rPr>
            <w:rStyle w:val="a5"/>
          </w:rPr>
          <w:t>G\Geo Cos Act61, 3051.pdf</w:t>
        </w:r>
      </w:hyperlink>
    </w:p>
    <w:p w:rsidR="00B95188" w:rsidRPr="00A428C3" w:rsidRDefault="00B95188" w:rsidP="00B95188">
      <w:pPr>
        <w:pStyle w:val="a0"/>
      </w:pPr>
      <w:r w:rsidRPr="00A428C3">
        <w:t>Abstract: The interactions between each of the metal ions copper(II), cadmium(II),</w:t>
      </w:r>
      <w:r w:rsidR="00F81221">
        <w:t xml:space="preserve"> and </w:t>
      </w:r>
      <w:r w:rsidRPr="00A428C3">
        <w:t>lead(II) in aqueous solution</w:t>
      </w:r>
      <w:r w:rsidR="00F81221">
        <w:t xml:space="preserve"> and </w:t>
      </w:r>
      <w:r w:rsidRPr="00A428C3">
        <w:t>the surfaces of the minerals muscovite, biotite,</w:t>
      </w:r>
      <w:r w:rsidR="00F81221">
        <w:t xml:space="preserve"> and </w:t>
      </w:r>
      <w:r w:rsidRPr="00A428C3">
        <w:t>perthitic feldspar have been studied using batch sorption experiments</w:t>
      </w:r>
      <w:r w:rsidR="00F81221">
        <w:t xml:space="preserve"> and </w:t>
      </w:r>
      <w:r w:rsidRPr="00A428C3">
        <w:t>X-ray photoelectron (XPS)</w:t>
      </w:r>
      <w:r w:rsidR="00F81221">
        <w:t xml:space="preserve"> and </w:t>
      </w:r>
      <w:r w:rsidRPr="00A428C3">
        <w:t xml:space="preserve">X-ray absorption (XAS) spectroscopies. The purpose of the </w:t>
      </w:r>
      <w:r w:rsidRPr="00A428C3">
        <w:lastRenderedPageBreak/>
        <w:t>work has been to establish the extent of removal from solution of these metal ions by interaction with the mineral surfaces</w:t>
      </w:r>
      <w:r w:rsidR="00F81221">
        <w:t xml:space="preserve"> and </w:t>
      </w:r>
      <w:r w:rsidRPr="00A428C3">
        <w:t>the mechanisms involved (whether ion exchange, precipitation, or adsorption).</w:t>
      </w:r>
    </w:p>
    <w:p w:rsidR="00B95188" w:rsidRPr="00A428C3" w:rsidRDefault="00B95188" w:rsidP="00B95188">
      <w:pPr>
        <w:pStyle w:val="a0"/>
      </w:pPr>
      <w:r w:rsidRPr="00A428C3">
        <w:t>The experiments utilised both powdered samples</w:t>
      </w:r>
      <w:r w:rsidR="00F81221">
        <w:t xml:space="preserve"> and </w:t>
      </w:r>
      <w:r w:rsidRPr="00A428C3">
        <w:t>flat polished or cleaved surfaces of natural minerals which were characterised compositionally</w:t>
      </w:r>
      <w:r w:rsidR="00F81221">
        <w:t xml:space="preserve"> and </w:t>
      </w:r>
      <w:r w:rsidRPr="00A428C3">
        <w:t>structurally by electron probe microanalysis</w:t>
      </w:r>
      <w:r w:rsidR="00F81221">
        <w:t xml:space="preserve"> and </w:t>
      </w:r>
      <w:r w:rsidRPr="00A428C3">
        <w:t>X-ray diffraction. Reaction solutions contained Cu(II), Cd(II), or Pb(II) in a background electrolyte of NaNO</w:t>
      </w:r>
      <w:r w:rsidRPr="00A428C3">
        <w:rPr>
          <w:vertAlign w:val="subscript"/>
        </w:rPr>
        <w:t>3</w:t>
      </w:r>
      <w:r w:rsidRPr="00A428C3">
        <w:t xml:space="preserve"> (0.1 or </w:t>
      </w:r>
      <w:smartTag w:uri="urn:schemas-microsoft-com:office:smarttags" w:element="chmetcnv">
        <w:smartTagPr>
          <w:attr w:name="TCSC" w:val="0"/>
          <w:attr w:name="NumberType" w:val="1"/>
          <w:attr w:name="Negative" w:val="False"/>
          <w:attr w:name="HasSpace" w:val="True"/>
          <w:attr w:name="SourceValue" w:val="0.01"/>
          <w:attr w:name="UnitName" w:val="m"/>
        </w:smartTagPr>
        <w:r w:rsidRPr="00A428C3">
          <w:t>0.01 M</w:t>
        </w:r>
      </w:smartTag>
      <w:r w:rsidRPr="00A428C3">
        <w:t>) at a pH of 5.4 ±0.2 with a wide range of initial concentrations. The extent of uptake of each of the metals by a particular mineral substrate was measured by analysis of the liquid portion separated by centrifugation after a controlled period of exposure (solution analyses were performed by atomic absorption spectroscopy or by inductively coupled plasma mass spectroscopy as appropriate). The data obtained were used to plot sorption isotherms for the various metal ions</w:t>
      </w:r>
      <w:r w:rsidR="00F81221">
        <w:t xml:space="preserve"> and </w:t>
      </w:r>
      <w:r w:rsidRPr="00A428C3">
        <w:t>substrates showing the dependence of uptake on initial concentration of metal in solution</w:t>
      </w:r>
      <w:r w:rsidR="00F81221">
        <w:t xml:space="preserve"> and </w:t>
      </w:r>
      <w:r w:rsidRPr="00A428C3">
        <w:t>background electrolyte concentration. Studies of the reacted mineral surfaces using XPS were used to identify the chemical speciation</w:t>
      </w:r>
      <w:r w:rsidR="00F81221">
        <w:t xml:space="preserve"> and </w:t>
      </w:r>
      <w:r w:rsidRPr="00A428C3">
        <w:t>bonding environment of Cu, Cd,</w:t>
      </w:r>
      <w:r w:rsidR="00F81221">
        <w:t xml:space="preserve"> and </w:t>
      </w:r>
      <w:r w:rsidRPr="00A428C3">
        <w:t>Pb present at the surface</w:t>
      </w:r>
      <w:r w:rsidR="00F81221">
        <w:t xml:space="preserve"> and </w:t>
      </w:r>
      <w:r w:rsidRPr="00A428C3">
        <w:t>to assess surface coverage in planar surface samples</w:t>
      </w:r>
      <w:r w:rsidR="00F81221">
        <w:t xml:space="preserve"> and </w:t>
      </w:r>
      <w:r w:rsidRPr="00A428C3">
        <w:t>whether significant infiltration of the metal cation into the mineral surface had occurred. Parallel studies using XAS (in particular Extended X-ray Absorption Fine Structure Spectroscopy-EXAFS) were employed to determine the local environments of Cu, Cd,</w:t>
      </w:r>
      <w:r w:rsidR="00F81221">
        <w:t xml:space="preserve"> and </w:t>
      </w:r>
      <w:r w:rsidRPr="00A428C3">
        <w:t>Pb at the surface of powdered mineral samples. Planar surfaces of muscovite, biotite,</w:t>
      </w:r>
      <w:r w:rsidR="00F81221">
        <w:t xml:space="preserve"> and </w:t>
      </w:r>
      <w:r w:rsidRPr="00A428C3">
        <w:t>perthitic feldspar exposed to Cu(II)</w:t>
      </w:r>
      <w:r w:rsidR="00F81221">
        <w:t xml:space="preserve"> and </w:t>
      </w:r>
      <w:r w:rsidRPr="00A428C3">
        <w:t>of muscovite exposed to Cd(II) were also studied using Reflection Extended X-ray Absorption Fine Structure (REFLEXAFS) spectroscopy.</w:t>
      </w:r>
    </w:p>
    <w:p w:rsidR="00B95188" w:rsidRPr="00A428C3" w:rsidRDefault="00B95188" w:rsidP="00B95188">
      <w:pPr>
        <w:pStyle w:val="a0"/>
      </w:pPr>
      <w:r w:rsidRPr="00A428C3">
        <w:t>The results show that muscovite, biotite,</w:t>
      </w:r>
      <w:r w:rsidR="00F81221">
        <w:t xml:space="preserve"> and </w:t>
      </w:r>
      <w:r w:rsidRPr="00A428C3">
        <w:t>perthitic feldspar have surfaces that can strongly interact with (and remove) particularly Cu(II)</w:t>
      </w:r>
      <w:r w:rsidR="00F81221">
        <w:t xml:space="preserve"> and </w:t>
      </w:r>
      <w:r w:rsidRPr="00A428C3">
        <w:t>Pb(II) in such mildly acidic aqueous solutions. Biotite also strongly interacts with Cd(II) in solution. Generally biotite provides the most reactive mineral surface followed by muscovite, with perthitic feldspar being the least reactive. of the possible mechanisms for removal of metals under the conditions of these experiments, precipitation was not observed, but three other mechanisms (inner-sphere complexation, outer-sphere complexation,</w:t>
      </w:r>
      <w:r w:rsidR="00F81221">
        <w:t xml:space="preserve"> and </w:t>
      </w:r>
      <w:r w:rsidRPr="00A428C3">
        <w:t>ion exchange) were all observed. The inner-sphere complexation</w:t>
      </w:r>
      <w:r w:rsidR="00F81221">
        <w:t xml:space="preserve"> and </w:t>
      </w:r>
      <w:r w:rsidRPr="00A428C3">
        <w:t>ion exchange mechanisms often take place in combination: however, Pb(II) forms no outer-sphere complexes on the surfaces of these minerals,</w:t>
      </w:r>
      <w:r w:rsidR="00F81221">
        <w:t xml:space="preserve"> and </w:t>
      </w:r>
      <w:r w:rsidRPr="00A428C3">
        <w:t>Cd(II) forms only outer-sphere complexes with perthitic feldspar</w:t>
      </w:r>
      <w:r w:rsidR="00F81221">
        <w:t xml:space="preserve"> and </w:t>
      </w:r>
      <w:r w:rsidRPr="00A428C3">
        <w:t>muscovite. Cu(II) in solution promotes the release of K</w:t>
      </w:r>
      <w:r w:rsidRPr="00A428C3">
        <w:rPr>
          <w:vertAlign w:val="superscript"/>
        </w:rPr>
        <w:t>+</w:t>
      </w:r>
      <w:r w:rsidRPr="00A428C3">
        <w:t xml:space="preserve"> from the surface region of muscovite and, particularly, biotite,</w:t>
      </w:r>
      <w:r w:rsidR="00F81221">
        <w:t xml:space="preserve"> and </w:t>
      </w:r>
      <w:r w:rsidRPr="00A428C3">
        <w:t>subsequent uptake of Cu(II) by ion exchange.</w:t>
      </w:r>
    </w:p>
    <w:p w:rsidR="00B95188" w:rsidRPr="00A428C3" w:rsidRDefault="00B95188" w:rsidP="00B95188">
      <w:pPr>
        <w:pStyle w:val="a0"/>
      </w:pPr>
      <w:r w:rsidRPr="00A428C3">
        <w:t>These findings have important environmental implications</w:t>
      </w:r>
      <w:r w:rsidR="00F81221">
        <w:t xml:space="preserve"> and </w:t>
      </w:r>
      <w:r w:rsidRPr="00A428C3">
        <w:t xml:space="preserve">show the significant role that major rock-forming aluminosilicates may play in the geochemical cycling of </w:t>
      </w:r>
      <w:r w:rsidRPr="00A428C3">
        <w:lastRenderedPageBreak/>
        <w:t>Cu(II), Cd(II),</w:t>
      </w:r>
      <w:r w:rsidR="00F81221">
        <w:t xml:space="preserve"> and </w:t>
      </w:r>
      <w:r w:rsidRPr="00A428C3">
        <w:t>Pb(II). Copyright (C) 1997 Elsevier Science Ltd.</w:t>
      </w:r>
    </w:p>
    <w:p w:rsidR="00B95188" w:rsidRPr="00A428C3" w:rsidRDefault="00B95188" w:rsidP="00B95188">
      <w:pPr>
        <w:pStyle w:val="a0"/>
      </w:pPr>
      <w:r w:rsidRPr="00A428C3">
        <w:t>Fein, J.B., Daughney, C.J., Yee, N.</w:t>
      </w:r>
      <w:r w:rsidR="00F81221">
        <w:t xml:space="preserve"> and </w:t>
      </w:r>
      <w:r w:rsidRPr="00A428C3">
        <w:t xml:space="preserve">Davis, T.A. (1997), A chemical equilibrium model for metal adsorption onto bacterial surfaces. </w:t>
      </w:r>
      <w:r w:rsidRPr="00A428C3">
        <w:rPr>
          <w:i/>
        </w:rPr>
        <w:t>Geochimica et Cosmochimica Acta</w:t>
      </w:r>
      <w:r w:rsidRPr="00A428C3">
        <w:t xml:space="preserve">, </w:t>
      </w:r>
      <w:r w:rsidRPr="00A428C3">
        <w:rPr>
          <w:b/>
        </w:rPr>
        <w:t>61</w:t>
      </w:r>
      <w:r w:rsidRPr="00A428C3">
        <w:t xml:space="preserve"> (16), 3319-3328.</w:t>
      </w:r>
    </w:p>
    <w:p w:rsidR="00B95188" w:rsidRPr="00A428C3" w:rsidRDefault="00B95188" w:rsidP="00B95188">
      <w:pPr>
        <w:pStyle w:val="a0"/>
      </w:pPr>
      <w:r w:rsidRPr="00A428C3">
        <w:t xml:space="preserve">Full Text: </w:t>
      </w:r>
      <w:hyperlink r:id="rId367" w:history="1">
        <w:r w:rsidRPr="00A428C3">
          <w:rPr>
            <w:rStyle w:val="a5"/>
          </w:rPr>
          <w:t>G\Geo Cos Act61, 3319.pdf</w:t>
        </w:r>
      </w:hyperlink>
    </w:p>
    <w:p w:rsidR="00B95188" w:rsidRPr="00A428C3" w:rsidRDefault="00B95188" w:rsidP="00B95188">
      <w:pPr>
        <w:pStyle w:val="a0"/>
      </w:pPr>
      <w:r w:rsidRPr="00A428C3">
        <w:t>Abstract: This study quantifies metal adsorption onto cell wall surfaces of Bacillus subtilis by applying equilibrium thermodynamics to the specific chemical reactions that occur at the water-bacteria interface. We use acid/base titrations to determine deprotonation constants for the important surface functional groups,</w:t>
      </w:r>
      <w:r w:rsidR="00F81221">
        <w:t xml:space="preserve"> and </w:t>
      </w:r>
      <w:r w:rsidRPr="00A428C3">
        <w:t>we perform metal-bacteria adsorption experiments, using Cd, Cu, Pb,</w:t>
      </w:r>
      <w:r w:rsidR="00F81221">
        <w:t xml:space="preserve"> and </w:t>
      </w:r>
      <w:r w:rsidRPr="00A428C3">
        <w:t>Al, to yield site-specific stability constants for the important metal-bacteria surface complexes. The acid/base properties of the cell wall of B. subtilis can best be characterized by invoking three distinct types of surface organic acid functional groups, with pK (a) values of 4.82±0.14, 6.9±0.5,</w:t>
      </w:r>
      <w:r w:rsidR="00F81221">
        <w:t xml:space="preserve"> and </w:t>
      </w:r>
      <w:r w:rsidRPr="00A428C3">
        <w:t>9.4±0.6. These functional groups likely correspond to carboxyl, phosphate,</w:t>
      </w:r>
      <w:r w:rsidR="00F81221">
        <w:t xml:space="preserve"> and </w:t>
      </w:r>
      <w:r w:rsidRPr="00A428C3">
        <w:t>hydroxyl sites, respectively, that are displayed on the cell wall surface. The results of the metal adsorption experiments indicate that both the carboxyl sites</w:t>
      </w:r>
      <w:r w:rsidR="00F81221">
        <w:t xml:space="preserve"> and </w:t>
      </w:r>
      <w:r w:rsidRPr="00A428C3">
        <w:t>the phosphate sites contribute to metal uptake. The values of the log stability constants for metal-carboxyl surface complexes range from 3.4 for Cd, 4.2 for Pb, 4.3 for Cu, to 5.0 for Al. These results suggest that the stabilities of the metal-surface complexes are high enough for metal-bacterial interactions to affect metal mobilities in many aqueous systems,</w:t>
      </w:r>
      <w:r w:rsidR="00F81221">
        <w:t xml:space="preserve"> and </w:t>
      </w:r>
      <w:r w:rsidRPr="00A428C3">
        <w:t>this approach enables quantitative assessment of the effects of bacteria on metal mobilities.</w:t>
      </w:r>
    </w:p>
    <w:p w:rsidR="00B95188" w:rsidRPr="00A428C3" w:rsidRDefault="00B95188" w:rsidP="00B95188">
      <w:pPr>
        <w:pStyle w:val="a0"/>
      </w:pPr>
      <w:r w:rsidRPr="00A428C3">
        <w:t>Peterson, M.L., Brown, G.E., Parks, G.A.</w:t>
      </w:r>
      <w:r w:rsidR="00F81221">
        <w:t xml:space="preserve"> and </w:t>
      </w:r>
      <w:r w:rsidRPr="00A428C3">
        <w:t>Stein, C.L. (1997), Differential redox</w:t>
      </w:r>
      <w:r w:rsidR="00F81221">
        <w:t xml:space="preserve"> and </w:t>
      </w:r>
      <w:r w:rsidRPr="00A428C3">
        <w:t>sorption of Cr(III/VI) on natural silicate</w:t>
      </w:r>
      <w:r w:rsidR="00F81221">
        <w:t xml:space="preserve"> and </w:t>
      </w:r>
      <w:r w:rsidRPr="00A428C3">
        <w:t>oxide minerals: EXAFS</w:t>
      </w:r>
      <w:r w:rsidR="00F81221">
        <w:t xml:space="preserve"> and </w:t>
      </w:r>
      <w:r w:rsidRPr="00A428C3">
        <w:t xml:space="preserve">XANES results. </w:t>
      </w:r>
      <w:r w:rsidRPr="00A428C3">
        <w:rPr>
          <w:i/>
        </w:rPr>
        <w:t>Geochimica et Cosmochimica Acta</w:t>
      </w:r>
      <w:r w:rsidRPr="00A428C3">
        <w:t xml:space="preserve">, </w:t>
      </w:r>
      <w:r w:rsidRPr="00A428C3">
        <w:rPr>
          <w:b/>
        </w:rPr>
        <w:t>61</w:t>
      </w:r>
      <w:r w:rsidRPr="00A428C3">
        <w:t xml:space="preserve"> (16), 3399-3412.</w:t>
      </w:r>
    </w:p>
    <w:p w:rsidR="00B95188" w:rsidRPr="00A428C3" w:rsidRDefault="00B95188" w:rsidP="00B95188">
      <w:pPr>
        <w:pStyle w:val="a0"/>
      </w:pPr>
      <w:r w:rsidRPr="00A428C3">
        <w:t xml:space="preserve">Full Text: </w:t>
      </w:r>
      <w:hyperlink r:id="rId368" w:history="1">
        <w:r w:rsidRPr="00A428C3">
          <w:rPr>
            <w:rStyle w:val="a5"/>
          </w:rPr>
          <w:t>G\Geo Cos Act61, 3319.pdf</w:t>
        </w:r>
      </w:hyperlink>
    </w:p>
    <w:p w:rsidR="00B95188" w:rsidRPr="00A428C3" w:rsidRDefault="00B95188" w:rsidP="00B95188">
      <w:pPr>
        <w:pStyle w:val="a0"/>
      </w:pPr>
      <w:r w:rsidRPr="00A428C3">
        <w:t>Abstract: Synchrotron-based X-ray absorption fine structure (XAFS) spectroscopy was used to investigate the reduction of aqueous Cr(VI) to Cr(III) in magnetite-bearing soils from Cr-contaminated sites. Soils from two field sites were examined, showing that mixed-valence Cr(III/VI) effluent is reduced to Cr(III) when associated with the magnetite fraction of the soil, whereas the Cr effluent associated with non-Fe(II)-bearing minerals results in mixed Cr(III/VI) adsorbates or precipitated phases. The Fe</w:t>
      </w:r>
      <w:r w:rsidRPr="00A428C3">
        <w:rPr>
          <w:vertAlign w:val="superscript"/>
        </w:rPr>
        <w:t>2+</w:t>
      </w:r>
      <w:r w:rsidRPr="00A428C3">
        <w:t xml:space="preserve"> in magnetite, Fe</w:t>
      </w:r>
      <w:r w:rsidRPr="00A428C3">
        <w:rPr>
          <w:vertAlign w:val="superscript"/>
        </w:rPr>
        <w:t>2+</w:t>
      </w:r>
      <w:r w:rsidRPr="00A428C3">
        <w:t>Fe</w:t>
      </w:r>
      <w:r w:rsidRPr="00A428C3">
        <w:rPr>
          <w:vertAlign w:val="subscript"/>
        </w:rPr>
        <w:t>2</w:t>
      </w:r>
      <w:r w:rsidRPr="00A428C3">
        <w:rPr>
          <w:vertAlign w:val="superscript"/>
        </w:rPr>
        <w:t>3+</w:t>
      </w:r>
      <w:r w:rsidRPr="00A428C3">
        <w:t>O</w:t>
      </w:r>
      <w:r w:rsidRPr="00A428C3">
        <w:rPr>
          <w:vertAlign w:val="subscript"/>
        </w:rPr>
        <w:t>4</w:t>
      </w:r>
      <w:r w:rsidRPr="00A428C3">
        <w:t>, may act as an electron source for heterogeneous Cr(VI)-to-Cr(III) reduction, converting magnetite topotactically to maghemite, gamma-Fe23+O3. The ratio of Cr(VI)/total Cr was determined by the height of the Cr(VI) XAFS pre-edge feature, which is due to a 1s to 3d electronic transition. This pre-edge feature was calibrated as a function of Cr(VI)/Cr(III) using mixtures of Cr(III)</w:t>
      </w:r>
      <w:r w:rsidR="00F81221">
        <w:t xml:space="preserve"> and </w:t>
      </w:r>
      <w:r w:rsidRPr="00A428C3">
        <w:t>Cr(VI) model compounds. Environmental remediation of Cr-contaminated sites requires knowledge of chromium oxidation</w:t>
      </w:r>
      <w:r w:rsidR="00F81221">
        <w:t xml:space="preserve"> and </w:t>
      </w:r>
      <w:r w:rsidRPr="00A428C3">
        <w:t>speciation,</w:t>
      </w:r>
      <w:r w:rsidR="00F81221">
        <w:t xml:space="preserve"> </w:t>
      </w:r>
      <w:r w:rsidR="00F81221">
        <w:lastRenderedPageBreak/>
        <w:t xml:space="preserve">and </w:t>
      </w:r>
      <w:r w:rsidRPr="00A428C3">
        <w:t>XAFS spectroscopy may be used to supply both types of information with minimal sample processing or data analysis. Copyright (C) 1997 Elsevier Science Ltd.</w:t>
      </w:r>
    </w:p>
    <w:p w:rsidR="00B95188" w:rsidRPr="00A428C3" w:rsidRDefault="00B95188" w:rsidP="00B95188">
      <w:pPr>
        <w:pStyle w:val="a0"/>
      </w:pPr>
      <w:r w:rsidRPr="00A428C3">
        <w:t>Keywords: Ray-Absorption-Spectra, Zero-Valent Iron, Chromate Reduction, Spectroscopy, Chromium, Metals, Groundwater, Adsorption, Interface, Xafs</w:t>
      </w:r>
    </w:p>
    <w:p w:rsidR="00B95188" w:rsidRPr="00A428C3" w:rsidRDefault="00B95188" w:rsidP="00B95188">
      <w:pPr>
        <w:pStyle w:val="a0"/>
      </w:pPr>
      <w:r w:rsidRPr="00A428C3">
        <w:t>Huertas, F.J., Chou, L.</w:t>
      </w:r>
      <w:r w:rsidR="00F81221">
        <w:t xml:space="preserve"> and </w:t>
      </w:r>
      <w:r w:rsidRPr="00A428C3">
        <w:t>Wollast, R. (1998), Mechanism of kaolinite dissolution at room temperature</w:t>
      </w:r>
      <w:r w:rsidR="00F81221">
        <w:t xml:space="preserve"> and </w:t>
      </w:r>
      <w:r w:rsidRPr="00A428C3">
        <w:t xml:space="preserve">pressure: Part 1. Surface speciation. </w:t>
      </w:r>
      <w:r w:rsidRPr="00A428C3">
        <w:rPr>
          <w:i/>
        </w:rPr>
        <w:t>Geochimica et Cosmochimica Acta</w:t>
      </w:r>
      <w:r w:rsidRPr="00A428C3">
        <w:t xml:space="preserve">, </w:t>
      </w:r>
      <w:r w:rsidRPr="00A428C3">
        <w:rPr>
          <w:b/>
        </w:rPr>
        <w:t>62</w:t>
      </w:r>
      <w:r w:rsidRPr="00A428C3">
        <w:t xml:space="preserve"> (3), 417-431.</w:t>
      </w:r>
    </w:p>
    <w:p w:rsidR="00B95188" w:rsidRPr="00A428C3" w:rsidRDefault="00B95188" w:rsidP="00B95188">
      <w:pPr>
        <w:pStyle w:val="a0"/>
      </w:pPr>
      <w:r w:rsidRPr="00A428C3">
        <w:t xml:space="preserve">Full Text: </w:t>
      </w:r>
      <w:hyperlink r:id="rId369" w:history="1">
        <w:r w:rsidRPr="00A428C3">
          <w:rPr>
            <w:rStyle w:val="a5"/>
          </w:rPr>
          <w:t>G\Geo Cos Act62, 417.pdf</w:t>
        </w:r>
      </w:hyperlink>
    </w:p>
    <w:p w:rsidR="00B95188" w:rsidRPr="00A428C3" w:rsidRDefault="00B95188" w:rsidP="00B95188">
      <w:pPr>
        <w:pStyle w:val="a0"/>
      </w:pPr>
      <w:r w:rsidRPr="00A428C3">
        <w:t xml:space="preserve">Abstract: Surface speciation of </w:t>
      </w:r>
      <w:smartTag w:uri="urn:schemas-microsoft-com:office:smarttags" w:element="place">
        <w:smartTag w:uri="urn:schemas-microsoft-com:office:smarttags" w:element="country-region">
          <w:r w:rsidRPr="00A428C3">
            <w:t>Georgia</w:t>
          </w:r>
        </w:smartTag>
      </w:smartTag>
      <w:r w:rsidRPr="00A428C3">
        <w:t xml:space="preserve"> kaolinite was investigated by detailed potentiometric titrations (pH 2-12) at various ionic strengths in KClO</w:t>
      </w:r>
      <w:r w:rsidRPr="00A428C3">
        <w:rPr>
          <w:vertAlign w:val="subscript"/>
        </w:rPr>
        <w:t>4</w:t>
      </w:r>
      <w:r w:rsidRPr="00A428C3">
        <w:t xml:space="preserve"> solutions (0.1, 0.01, </w:t>
      </w:r>
      <w:smartTag w:uri="urn:schemas-microsoft-com:office:smarttags" w:element="chmetcnv">
        <w:smartTagPr>
          <w:attr w:name="TCSC" w:val="0"/>
          <w:attr w:name="NumberType" w:val="1"/>
          <w:attr w:name="Negative" w:val="False"/>
          <w:attr w:name="HasSpace" w:val="True"/>
          <w:attr w:name="SourceValue" w:val="0.001"/>
          <w:attr w:name="UnitName" w:val="m"/>
        </w:smartTagPr>
        <w:r w:rsidRPr="00A428C3">
          <w:t>0.001 M</w:t>
        </w:r>
      </w:smartTag>
      <w:r w:rsidRPr="00A428C3">
        <w:t>) under N</w:t>
      </w:r>
      <w:r w:rsidRPr="00A428C3">
        <w:rPr>
          <w:vertAlign w:val="subscript"/>
        </w:rPr>
        <w:t>2</w:t>
      </w:r>
      <w:r w:rsidRPr="00A428C3">
        <w:t xml:space="preserve"> atmosphere, corrected for Si</w:t>
      </w:r>
      <w:r w:rsidR="00F81221">
        <w:t xml:space="preserve"> and </w:t>
      </w:r>
      <w:r w:rsidRPr="00A428C3">
        <w:t>Al released due to dissolution. Proton adsorption or desorption was computed according to surface complexation models (nonelectrostatic model</w:t>
      </w:r>
      <w:r w:rsidR="00F81221">
        <w:t xml:space="preserve"> and </w:t>
      </w:r>
      <w:r w:rsidRPr="00A428C3">
        <w:t>constant capacitance model), assuming the presence of multi-sites at the surface. The behaviour of the surface may be explained by the formation of four active sites (two &gt;AlOH</w:t>
      </w:r>
      <w:r w:rsidRPr="00A428C3">
        <w:rPr>
          <w:vertAlign w:val="superscript"/>
        </w:rPr>
        <w:t>2+</w:t>
      </w:r>
      <w:r w:rsidRPr="00A428C3">
        <w:t xml:space="preserve"> &gt;AlO</w:t>
      </w:r>
      <w:r w:rsidRPr="00A428C3">
        <w:rPr>
          <w:vertAlign w:val="superscript"/>
        </w:rPr>
        <w:t>-</w:t>
      </w:r>
      <w:r w:rsidRPr="00A428C3">
        <w:t>, &gt;SiO</w:t>
      </w:r>
      <w:r w:rsidRPr="00A428C3">
        <w:rPr>
          <w:vertAlign w:val="superscript"/>
        </w:rPr>
        <w:t>-</w:t>
      </w:r>
      <w:r w:rsidRPr="00A428C3">
        <w:t>). The pH of zero proton charge was found to be similar to 5.5. Below pH 5.5, the positive charge is due to the proton adsorption on aluminium sites of the octahedral sheet. The more acidic group corresponds to the external hydroxyls of the octahedral sheet, whereas the second protonation may take place either at the inner hydroxyl groups or at the edge aluminol groups. The corresponding intrinsic surface dissociation constants for these species (pK(a1)=1.9 acid pK(a1)=4.1, respectively) are substantially lower than that for aluminium oxides (pK(a1)=4.5-8). Above pH 5.5, the kaolinite surface undergoes two successive deprotonations, the first starts at pH around 5.5</w:t>
      </w:r>
      <w:r w:rsidR="00F81221">
        <w:t xml:space="preserve"> and </w:t>
      </w:r>
      <w:r w:rsidRPr="00A428C3">
        <w:t>the second at pH approximately equal to 9. In comparison with the pK values for surface dissociation of silica</w:t>
      </w:r>
      <w:r w:rsidR="00F81221">
        <w:t xml:space="preserve"> and </w:t>
      </w:r>
      <w:r w:rsidRPr="00A428C3">
        <w:t>alumina, it is possible to deduce that the first deprotonation takes place at Si sites, while the second occurs at Al sites. Copyright (C) 1998 Elsevier Science Ltd.</w:t>
      </w:r>
    </w:p>
    <w:p w:rsidR="00B95188" w:rsidRPr="00A428C3" w:rsidRDefault="00B95188" w:rsidP="00B95188">
      <w:pPr>
        <w:pStyle w:val="a0"/>
      </w:pPr>
      <w:r w:rsidRPr="00A428C3">
        <w:t>Keywords: Water Interface, Coordination Chemistry, Simple Electrolytes, Cadmium Sorption, Aqueous-Solution, Ion Adsorption, Kinetics, Charge, Montmorillonite, Oxide</w:t>
      </w:r>
    </w:p>
    <w:p w:rsidR="00B95188" w:rsidRPr="00A428C3" w:rsidRDefault="00B95188" w:rsidP="00B95188">
      <w:pPr>
        <w:pStyle w:val="a0"/>
      </w:pPr>
      <w:r w:rsidRPr="00A428C3">
        <w:t>Eggleston, C.M.</w:t>
      </w:r>
      <w:r w:rsidR="00F81221">
        <w:t xml:space="preserve"> and </w:t>
      </w:r>
      <w:r w:rsidRPr="00A428C3">
        <w:t xml:space="preserve">Jordan, G. (1998), A new approach to pH of point of zero charge measurement: Crystal-face specificity by scanning force microscopy (SFM). </w:t>
      </w:r>
      <w:r w:rsidRPr="00A428C3">
        <w:rPr>
          <w:i/>
        </w:rPr>
        <w:t>Geochimica et Cosmochimica Acta</w:t>
      </w:r>
      <w:r w:rsidRPr="00A428C3">
        <w:t xml:space="preserve">, </w:t>
      </w:r>
      <w:r w:rsidRPr="00A428C3">
        <w:rPr>
          <w:b/>
        </w:rPr>
        <w:t>62</w:t>
      </w:r>
      <w:r w:rsidRPr="00A428C3">
        <w:t xml:space="preserve"> (11), 1919-1923.</w:t>
      </w:r>
    </w:p>
    <w:p w:rsidR="00B95188" w:rsidRPr="00A428C3" w:rsidRDefault="00B95188" w:rsidP="00B95188">
      <w:pPr>
        <w:pStyle w:val="a0"/>
      </w:pPr>
      <w:r w:rsidRPr="00A428C3">
        <w:t xml:space="preserve">Full Text: </w:t>
      </w:r>
      <w:hyperlink r:id="rId370" w:history="1">
        <w:r w:rsidRPr="00A428C3">
          <w:rPr>
            <w:rStyle w:val="a5"/>
          </w:rPr>
          <w:t>G\Geo Cos Act62, 1919.pdf</w:t>
        </w:r>
      </w:hyperlink>
    </w:p>
    <w:p w:rsidR="00B95188" w:rsidRPr="00A428C3" w:rsidRDefault="00B95188" w:rsidP="00B95188">
      <w:pPr>
        <w:pStyle w:val="a0"/>
      </w:pPr>
      <w:r w:rsidRPr="00A428C3">
        <w:t>Abstract: The pH of point of zero charge (pH</w:t>
      </w:r>
      <w:r w:rsidRPr="00A428C3">
        <w:rPr>
          <w:vertAlign w:val="subscript"/>
        </w:rPr>
        <w:t>pzc</w:t>
      </w:r>
      <w:r w:rsidRPr="00A428C3">
        <w:t>) is a fundamentally important property used in modeling the interaction of solid surfaces with aqueous solutions</w:t>
      </w:r>
      <w:r w:rsidR="00F81221">
        <w:t xml:space="preserve"> and </w:t>
      </w:r>
      <w:r w:rsidRPr="00A428C3">
        <w:t>solutes. The pH</w:t>
      </w:r>
      <w:r w:rsidRPr="00A428C3">
        <w:rPr>
          <w:vertAlign w:val="subscript"/>
        </w:rPr>
        <w:t>pzc</w:t>
      </w:r>
      <w:r w:rsidRPr="00A428C3">
        <w:t xml:space="preserve"> is normally measured by acid-base titration of solid suspensions. Here, a scanning force microscope (SFM) is used to measure forces of repulsion or attraction </w:t>
      </w:r>
      <w:r w:rsidRPr="00A428C3">
        <w:lastRenderedPageBreak/>
        <w:t>between chemically tailored tips</w:t>
      </w:r>
      <w:r w:rsidR="00F81221">
        <w:t xml:space="preserve"> and </w:t>
      </w:r>
      <w:r w:rsidRPr="00A428C3">
        <w:t>quartz (101)</w:t>
      </w:r>
      <w:r w:rsidR="00F81221">
        <w:t xml:space="preserve"> and </w:t>
      </w:r>
      <w:r w:rsidRPr="00A428C3">
        <w:t>hematite (001) surfaces, as a function of tip-surface separation</w:t>
      </w:r>
      <w:r w:rsidR="00F81221">
        <w:t xml:space="preserve"> and </w:t>
      </w:r>
      <w:r w:rsidRPr="00A428C3">
        <w:t>pH. The force at contact (FAC) is at a minimum near the expected point of pH</w:t>
      </w:r>
      <w:r w:rsidRPr="00A428C3">
        <w:rPr>
          <w:vertAlign w:val="subscript"/>
        </w:rPr>
        <w:t>pzc</w:t>
      </w:r>
      <w:r w:rsidRPr="00A428C3">
        <w:t xml:space="preserve"> for a chemically similar tip</w:t>
      </w:r>
      <w:r w:rsidR="00F81221">
        <w:t xml:space="preserve"> and </w:t>
      </w:r>
      <w:r w:rsidRPr="00A428C3">
        <w:t>sample. The results are compared to predicted interaction forces from a simple DLVO model, which shows that the SFM technique for pH</w:t>
      </w:r>
      <w:r w:rsidRPr="00A428C3">
        <w:rPr>
          <w:vertAlign w:val="subscript"/>
        </w:rPr>
        <w:t>pzc</w:t>
      </w:r>
      <w:r w:rsidRPr="00A428C3">
        <w:t xml:space="preserve"> measurement is most promising for surfaces (such as iron oxides) that have not-too-widely spaced pK</w:t>
      </w:r>
      <w:r w:rsidRPr="00A428C3">
        <w:rPr>
          <w:vertAlign w:val="subscript"/>
        </w:rPr>
        <w:t>a1</w:t>
      </w:r>
      <w:r w:rsidR="00F81221">
        <w:t xml:space="preserve"> and </w:t>
      </w:r>
      <w:r w:rsidRPr="00A428C3">
        <w:t>pK</w:t>
      </w:r>
      <w:r w:rsidRPr="00A428C3">
        <w:rPr>
          <w:vertAlign w:val="subscript"/>
        </w:rPr>
        <w:t>a2</w:t>
      </w:r>
      <w:r w:rsidRPr="00A428C3">
        <w:t xml:space="preserve"> values for surface site deprotonation. However, improvements in precision will be necessary to fully utilize the technique.</w:t>
      </w:r>
    </w:p>
    <w:p w:rsidR="00B95188" w:rsidRPr="00A428C3" w:rsidRDefault="00B95188" w:rsidP="00B95188">
      <w:pPr>
        <w:pStyle w:val="a0"/>
      </w:pPr>
      <w:r w:rsidRPr="00A428C3">
        <w:t>The SFM approach to pH</w:t>
      </w:r>
      <w:r w:rsidRPr="00A428C3">
        <w:rPr>
          <w:vertAlign w:val="subscript"/>
        </w:rPr>
        <w:t>pzc</w:t>
      </w:r>
      <w:r w:rsidRPr="00A428C3">
        <w:t xml:space="preserve"> measurement may in future allow the measurement of crystal-face-specific pH</w:t>
      </w:r>
      <w:r w:rsidRPr="00A428C3">
        <w:rPr>
          <w:vertAlign w:val="subscript"/>
        </w:rPr>
        <w:t>pzc</w:t>
      </w:r>
      <w:r w:rsidRPr="00A428C3">
        <w:t>, rather than a weighted average of all exposed surface sites,</w:t>
      </w:r>
      <w:r w:rsidR="00F81221">
        <w:t xml:space="preserve"> and </w:t>
      </w:r>
      <w:r w:rsidRPr="00A428C3">
        <w:t>thus allow us to ask better-defined structure-reactivity questions for mineral surfaces. The approach can in theory be extended to the single-site scale in order to probe the properties (e.g., potential</w:t>
      </w:r>
      <w:r w:rsidR="00F81221">
        <w:t xml:space="preserve"> and </w:t>
      </w:r>
      <w:r w:rsidRPr="00A428C3">
        <w:t>charge) of individual terrace, step, or kink sites. Copyright (C) 1998 Elsevier Science Ltd</w:t>
      </w:r>
    </w:p>
    <w:p w:rsidR="00B95188" w:rsidRPr="00A428C3" w:rsidRDefault="00B95188" w:rsidP="00B95188">
      <w:pPr>
        <w:pStyle w:val="a0"/>
      </w:pPr>
      <w:r w:rsidRPr="00A428C3">
        <w:t>Lenhart, J.J.</w:t>
      </w:r>
      <w:r w:rsidR="00F81221">
        <w:t xml:space="preserve"> and </w:t>
      </w:r>
      <w:r w:rsidRPr="00A428C3">
        <w:t xml:space="preserve">Honeyman, B.D. (1999), Uranium(VI) sorption to hematite in the presence of humic acid. </w:t>
      </w:r>
      <w:r w:rsidRPr="00A428C3">
        <w:rPr>
          <w:i/>
        </w:rPr>
        <w:t>Geochimica et Cosmochimica Acta</w:t>
      </w:r>
      <w:r w:rsidRPr="00A428C3">
        <w:t xml:space="preserve">, </w:t>
      </w:r>
      <w:r w:rsidRPr="00A428C3">
        <w:rPr>
          <w:b/>
        </w:rPr>
        <w:t>63</w:t>
      </w:r>
      <w:r w:rsidRPr="00A428C3">
        <w:t xml:space="preserve"> (19-20), 2891-2901.</w:t>
      </w:r>
    </w:p>
    <w:p w:rsidR="00B95188" w:rsidRPr="00A428C3" w:rsidRDefault="00B95188" w:rsidP="00B95188">
      <w:pPr>
        <w:pStyle w:val="a0"/>
      </w:pPr>
      <w:r w:rsidRPr="00A428C3">
        <w:t xml:space="preserve">Full Text: </w:t>
      </w:r>
      <w:hyperlink r:id="rId371" w:history="1">
        <w:r w:rsidRPr="00A428C3">
          <w:rPr>
            <w:rStyle w:val="a5"/>
          </w:rPr>
          <w:t>G\Geo Cos Act63, 2891.pdf</w:t>
        </w:r>
      </w:hyperlink>
    </w:p>
    <w:p w:rsidR="00B95188" w:rsidRPr="00A428C3" w:rsidRDefault="00B95188" w:rsidP="00B95188">
      <w:pPr>
        <w:pStyle w:val="a0"/>
      </w:pPr>
      <w:r w:rsidRPr="00A428C3">
        <w:t>Abstract: A long-standing problem in aquatic geochemistry has been the incorporation of natural organic matter (NOM) into speciation models. The general effect of NOM on metal ion sorption by particles has been understood for some time,</w:t>
      </w:r>
      <w:r w:rsidR="00F81221">
        <w:t xml:space="preserve"> and </w:t>
      </w:r>
      <w:r w:rsidRPr="00A428C3">
        <w:t>significant progress has been made in elucidating some of the details of the role of NOM through the use of surrogate organic acids such as citric acid. However, a gap exists between the general observations that have been made of NOM behavior</w:t>
      </w:r>
      <w:r w:rsidR="00F81221">
        <w:t xml:space="preserve"> and </w:t>
      </w:r>
      <w:r w:rsidRPr="00A428C3">
        <w:t>the inclusion of NOM in surface chemical models for metal ion sorption. In this paper, we report on the results of a study on the sorption of U(VI) by hematite in the absence</w:t>
      </w:r>
      <w:r w:rsidR="00F81221">
        <w:t xml:space="preserve"> and </w:t>
      </w:r>
      <w:r w:rsidRPr="00A428C3">
        <w:t>presence of Suwannee river humic acid (HA)</w:t>
      </w:r>
      <w:r w:rsidR="00F81221">
        <w:t xml:space="preserve"> and </w:t>
      </w:r>
      <w:r w:rsidRPr="00A428C3">
        <w:t>over a range of other system conditions (e.g., pH, I). Essential HA characteristics (e.g., its acid/base, metal binding,</w:t>
      </w:r>
      <w:r w:rsidR="00F81221">
        <w:t xml:space="preserve"> and </w:t>
      </w:r>
      <w:r w:rsidRPr="00A428C3">
        <w:t xml:space="preserve">surface chemical properties) were </w:t>
      </w:r>
      <w:r w:rsidR="000352E7">
        <w:t>“</w:t>
      </w:r>
      <w:r w:rsidRPr="00A428C3">
        <w:t>captured</w:t>
      </w:r>
      <w:r w:rsidR="000352E7">
        <w:t>”</w:t>
      </w:r>
      <w:r w:rsidRPr="00A428C3">
        <w:t xml:space="preserve"> by representing the HA as an assembly of monoprotic acids with assumed pK values</w:t>
      </w:r>
      <w:r w:rsidR="00F81221">
        <w:t xml:space="preserve"> and </w:t>
      </w:r>
      <w:r w:rsidRPr="00A428C3">
        <w:t>without explicit correction for electrostatic effects. The ternary system (hematite/HA/U(VI)) was simulated through the combination of the binary submodels (i.e., CO32-/hematite, U(VI)/HA, U(VI)/hematite,</w:t>
      </w:r>
      <w:r w:rsidR="00F81221">
        <w:t xml:space="preserve"> and </w:t>
      </w:r>
      <w:r w:rsidRPr="00A428C3">
        <w:t xml:space="preserve">HA/hematite) with model constants fixed at the values determined from simulations of the respective experimental systems. However, the </w:t>
      </w:r>
      <w:r w:rsidR="000352E7">
        <w:t>“</w:t>
      </w:r>
      <w:r w:rsidRPr="00A428C3">
        <w:t>summed-binary</w:t>
      </w:r>
      <w:r w:rsidR="000352E7">
        <w:t>”</w:t>
      </w:r>
      <w:r w:rsidRPr="00A428C3">
        <w:t xml:space="preserve"> approach undersimulated experimental results,</w:t>
      </w:r>
      <w:r w:rsidR="00F81221">
        <w:t xml:space="preserve"> and </w:t>
      </w:r>
      <w:r w:rsidRPr="00A428C3">
        <w:t>the ternary system model required the postulation of two ternary surface (Type A) complexes composed of the uranyl ion, hematite surface sites,</w:t>
      </w:r>
      <w:r w:rsidR="00F81221">
        <w:t xml:space="preserve"> and </w:t>
      </w:r>
      <w:r w:rsidRPr="00A428C3">
        <w:t>the model ligands comprising the HA. Consideration of the HA in this manner permitted the simulation of HA effects on U(VI) sorption by hematite over a range of solution conditions using a general speciation model. Copyright (C) 1999 Elsevier Science Ltd.</w:t>
      </w:r>
    </w:p>
    <w:p w:rsidR="00B95188" w:rsidRPr="00A428C3" w:rsidRDefault="00B95188" w:rsidP="00B95188">
      <w:pPr>
        <w:pStyle w:val="a0"/>
      </w:pPr>
      <w:r w:rsidRPr="00A428C3">
        <w:lastRenderedPageBreak/>
        <w:t>Keywords: Oxide-Water Interface, Metal Humate Interactions, Dissolved Organic-Matter, Surface Complexation, Cation Binding, Natural-Waters, Proton Binding, Aluminum-Oxide, Hydrous Oxides, Adsorption</w:t>
      </w:r>
    </w:p>
    <w:p w:rsidR="00B95188" w:rsidRPr="00A428C3" w:rsidRDefault="00B95188" w:rsidP="00B95188">
      <w:pPr>
        <w:pStyle w:val="a0"/>
      </w:pPr>
      <w:r w:rsidRPr="00A428C3">
        <w:t>Au, K.K., Penisson, A.C., Yang, S.L.</w:t>
      </w:r>
      <w:r w:rsidR="00F81221">
        <w:t xml:space="preserve"> and </w:t>
      </w:r>
      <w:r w:rsidRPr="00A428C3">
        <w:t>O</w:t>
      </w:r>
      <w:r w:rsidR="000352E7">
        <w:t>’</w:t>
      </w:r>
      <w:r w:rsidRPr="00A428C3">
        <w:t>Melia, C.R. (1999), Natural organic matter at oxide/water interfaces: Complexation</w:t>
      </w:r>
      <w:r w:rsidR="00F81221">
        <w:t xml:space="preserve"> and </w:t>
      </w:r>
      <w:r w:rsidRPr="00A428C3">
        <w:t xml:space="preserve">conformation. </w:t>
      </w:r>
      <w:r w:rsidRPr="00A428C3">
        <w:rPr>
          <w:i/>
        </w:rPr>
        <w:t>Geochimica et Cosmochimica Acta</w:t>
      </w:r>
      <w:r w:rsidRPr="00A428C3">
        <w:t xml:space="preserve">, </w:t>
      </w:r>
      <w:r w:rsidRPr="00A428C3">
        <w:rPr>
          <w:b/>
        </w:rPr>
        <w:t>63</w:t>
      </w:r>
      <w:r w:rsidRPr="00A428C3">
        <w:t xml:space="preserve"> (19-20), 2903-2917.</w:t>
      </w:r>
    </w:p>
    <w:p w:rsidR="00B95188" w:rsidRPr="00A428C3" w:rsidRDefault="00B95188" w:rsidP="00B95188">
      <w:pPr>
        <w:pStyle w:val="a0"/>
      </w:pPr>
      <w:r w:rsidRPr="00A428C3">
        <w:t xml:space="preserve">Full Text: </w:t>
      </w:r>
      <w:hyperlink r:id="rId372" w:history="1">
        <w:r w:rsidRPr="00A428C3">
          <w:rPr>
            <w:rStyle w:val="a5"/>
          </w:rPr>
          <w:t>G\Geo Cos Act63, 2903.pdf</w:t>
        </w:r>
      </w:hyperlink>
    </w:p>
    <w:p w:rsidR="00B95188" w:rsidRPr="00A428C3" w:rsidRDefault="00B95188" w:rsidP="00B95188">
      <w:pPr>
        <w:pStyle w:val="a0"/>
      </w:pPr>
      <w:r w:rsidRPr="00A428C3">
        <w:t>Abstract: A conceptual model for the adsorption of linear, flexible weak polyelectrolytes on oxide surfaces is applied to the adsorption</w:t>
      </w:r>
      <w:r w:rsidR="00F81221">
        <w:t xml:space="preserve"> and </w:t>
      </w:r>
      <w:r w:rsidRPr="00A428C3">
        <w:t>conformation of natural organic matter (NOM) on hematite. The polyelectrolytic nature of NOM</w:t>
      </w:r>
      <w:r w:rsidR="00F81221">
        <w:t xml:space="preserve"> and </w:t>
      </w:r>
      <w:r w:rsidRPr="00A428C3">
        <w:t>the complexation (specific) interactions between the functional groups of NOM</w:t>
      </w:r>
      <w:r w:rsidR="00F81221">
        <w:t xml:space="preserve"> and </w:t>
      </w:r>
      <w:r w:rsidRPr="00A428C3">
        <w:t xml:space="preserve">oxide surface sites are taken into account in this model. Model results are compared with experimental data for adsorption of </w:t>
      </w:r>
      <w:smartTag w:uri="urn:schemas-microsoft-com:office:smarttags" w:element="place">
        <w:smartTag w:uri="urn:schemas-microsoft-com:office:smarttags" w:element="PlaceName">
          <w:r w:rsidRPr="00A428C3">
            <w:t>Suwannee</w:t>
          </w:r>
        </w:smartTag>
        <w:r w:rsidRPr="00A428C3">
          <w:t xml:space="preserve"> </w:t>
        </w:r>
        <w:smartTag w:uri="urn:schemas-microsoft-com:office:smarttags" w:element="PlaceType">
          <w:r w:rsidRPr="00A428C3">
            <w:t>River</w:t>
          </w:r>
        </w:smartTag>
      </w:smartTag>
      <w:r w:rsidRPr="00A428C3">
        <w:t xml:space="preserve"> humic acid on hematite at different pHs</w:t>
      </w:r>
      <w:r w:rsidR="00F81221">
        <w:t xml:space="preserve"> and </w:t>
      </w:r>
      <w:r w:rsidRPr="00A428C3">
        <w:t>ionic strengths. When the initial surface charge of hematite is positive (termed the oppositely charged case), the experimental adsorption density</w:t>
      </w:r>
      <w:r w:rsidR="00F81221">
        <w:t xml:space="preserve"> and </w:t>
      </w:r>
      <w:r w:rsidRPr="00A428C3">
        <w:t>adsorbed hydrodynamic layer thickness decrease with increasing pH</w:t>
      </w:r>
      <w:r w:rsidR="00F81221">
        <w:t xml:space="preserve"> and </w:t>
      </w:r>
      <w:r w:rsidRPr="00A428C3">
        <w:t>with decreasing ionic strength. When the initial surface charge is negative (termed the similarly charged case), the experimental adsorption density decreases with increasing pH</w:t>
      </w:r>
      <w:r w:rsidR="00F81221">
        <w:t xml:space="preserve"> and </w:t>
      </w:r>
      <w:r w:rsidRPr="00A428C3">
        <w:t>the adsorbed hydrodynamic layer thickness increases with increasing pH. Model results with a reaction represented by &gt;MeOH + L</w:t>
      </w:r>
      <w:r w:rsidRPr="00A428C3">
        <w:rPr>
          <w:vertAlign w:val="superscript"/>
        </w:rPr>
        <w:t>−</w:t>
      </w:r>
      <w:r w:rsidRPr="00A428C3">
        <w:t xml:space="preserve"> = &gt;MeOHL</w:t>
      </w:r>
      <w:r w:rsidRPr="00A428C3">
        <w:rPr>
          <w:vertAlign w:val="superscript"/>
        </w:rPr>
        <w:t>−</w:t>
      </w:r>
      <w:r w:rsidRPr="00A428C3">
        <w:t xml:space="preserve"> agree with the experimental adsorption density</w:t>
      </w:r>
      <w:r w:rsidR="00F81221">
        <w:t xml:space="preserve"> and </w:t>
      </w:r>
      <w:r w:rsidRPr="00A428C3">
        <w:t>adsorbed hydrodynamic layer thickness for the oppositely charged case,</w:t>
      </w:r>
      <w:r w:rsidR="00F81221">
        <w:t xml:space="preserve"> and </w:t>
      </w:r>
      <w:r w:rsidRPr="00A428C3">
        <w:t>the adsorption density for the similarly charged case. This suggests that the adsorption of NOM on hematite is related to the polyelectrolytic nature of NOM</w:t>
      </w:r>
      <w:r w:rsidR="00F81221">
        <w:t xml:space="preserve"> and </w:t>
      </w:r>
      <w:r w:rsidRPr="00A428C3">
        <w:t>to the complexation interactions between the neutral surface sites of oxides</w:t>
      </w:r>
      <w:r w:rsidR="00F81221">
        <w:t xml:space="preserve"> and </w:t>
      </w:r>
      <w:r w:rsidRPr="00A428C3">
        <w:t>the deprotonated functional groups of NOM. The effects of solution chemistry on the adsorption of NOM are due to a great extent to its effects on surface</w:t>
      </w:r>
      <w:r w:rsidR="00F81221">
        <w:t xml:space="preserve"> and </w:t>
      </w:r>
      <w:r w:rsidRPr="00A428C3">
        <w:t>NOM speciation, which can influence the specific interactions between NOM</w:t>
      </w:r>
      <w:r w:rsidR="00F81221">
        <w:t xml:space="preserve"> and </w:t>
      </w:r>
      <w:r w:rsidRPr="00A428C3">
        <w:t>surface sites. Model calculations also indicate that for the oppositely charged case, the adsorbed NOM overcompensates for the positive charge of the hematite surface. Simulations of electric potential</w:t>
      </w:r>
      <w:r w:rsidR="00F81221">
        <w:t xml:space="preserve"> and </w:t>
      </w:r>
      <w:r w:rsidRPr="00A428C3">
        <w:t>volume fraction indicate an interrelationship between the adsorption of NOM</w:t>
      </w:r>
      <w:r w:rsidR="00F81221">
        <w:t xml:space="preserve"> and </w:t>
      </w:r>
      <w:r w:rsidRPr="00A428C3">
        <w:t>interfacial properties.</w:t>
      </w:r>
    </w:p>
    <w:p w:rsidR="00B95188" w:rsidRPr="00A428C3" w:rsidRDefault="00B95188" w:rsidP="00B95188">
      <w:pPr>
        <w:pStyle w:val="a0"/>
      </w:pPr>
      <w:r w:rsidRPr="00A428C3">
        <w:t xml:space="preserve">Bargar, J.R., Persson, P. and, Brown, Jr., G.E. (1999), Outer-sphere adsorption of Pb(II)EDTA on goethite. </w:t>
      </w:r>
      <w:r w:rsidRPr="00A428C3">
        <w:rPr>
          <w:i/>
        </w:rPr>
        <w:t>Geochimica et Cosmochimica Acta</w:t>
      </w:r>
      <w:r w:rsidRPr="00A428C3">
        <w:t xml:space="preserve">, </w:t>
      </w:r>
      <w:r w:rsidRPr="00A428C3">
        <w:rPr>
          <w:b/>
        </w:rPr>
        <w:t>63</w:t>
      </w:r>
      <w:r w:rsidRPr="00A428C3">
        <w:t xml:space="preserve"> (19-20), 2957-2969.</w:t>
      </w:r>
    </w:p>
    <w:p w:rsidR="00B95188" w:rsidRPr="00A428C3" w:rsidRDefault="00B95188" w:rsidP="00B95188">
      <w:pPr>
        <w:pStyle w:val="a0"/>
      </w:pPr>
      <w:r w:rsidRPr="00A428C3">
        <w:t xml:space="preserve">Full Text: </w:t>
      </w:r>
      <w:hyperlink r:id="rId373" w:history="1">
        <w:r w:rsidRPr="00A428C3">
          <w:rPr>
            <w:rStyle w:val="a5"/>
          </w:rPr>
          <w:t>G\Geo Cos Act63, 2957.pdf</w:t>
        </w:r>
      </w:hyperlink>
    </w:p>
    <w:p w:rsidR="00B95188" w:rsidRPr="00A428C3" w:rsidRDefault="00B95188" w:rsidP="00B95188">
      <w:pPr>
        <w:pStyle w:val="a0"/>
      </w:pPr>
      <w:r w:rsidRPr="00A428C3">
        <w:t>Abstract: Fourier transform infrared (FTIR)</w:t>
      </w:r>
      <w:r w:rsidR="00F81221">
        <w:t xml:space="preserve"> and </w:t>
      </w:r>
      <w:r w:rsidRPr="00A428C3">
        <w:t>extended X-ray absorption fine structure (EXAPS) spectroscopic measurements were performed on Pb(II)ethylenediaminetetraacetic (EDTA) adsorbed on goethite as a function of pH (4-6), Pb(II)EDTA concentration (0.11-72 µM),</w:t>
      </w:r>
      <w:r w:rsidR="00F81221">
        <w:t xml:space="preserve"> and </w:t>
      </w:r>
      <w:r w:rsidRPr="00A428C3">
        <w:t>ionic strength (16 µM</w:t>
      </w:r>
      <w:smartTag w:uri="urn:schemas-microsoft-com:office:smarttags" w:element="chmetcnv">
        <w:smartTagPr>
          <w:attr w:name="TCSC" w:val="0"/>
          <w:attr w:name="NumberType" w:val="1"/>
          <w:attr w:name="Negative" w:val="True"/>
          <w:attr w:name="HasSpace" w:val="True"/>
          <w:attr w:name="SourceValue" w:val="0.5"/>
          <w:attr w:name="UnitName" w:val="m"/>
        </w:smartTagPr>
        <w:r w:rsidRPr="00A428C3">
          <w:t>-0.5 M</w:t>
        </w:r>
      </w:smartTag>
      <w:r w:rsidRPr="00A428C3">
        <w:t xml:space="preserve">). </w:t>
      </w:r>
      <w:r w:rsidRPr="00A428C3">
        <w:lastRenderedPageBreak/>
        <w:t>FTIR measurements show no evidence for carboxylate-Fe(III) bonding or protonation of EDTA at Pb:EDTA = 1:1. Both FTIR</w:t>
      </w:r>
      <w:r w:rsidR="00F81221">
        <w:t xml:space="preserve"> and </w:t>
      </w:r>
      <w:r w:rsidRPr="00A428C3">
        <w:t>EXAFS spectroscopic measurements suggest that EDTA acts as a hexadentate ligand, with all four of its carboxylate</w:t>
      </w:r>
      <w:r w:rsidR="00F81221">
        <w:t xml:space="preserve"> and </w:t>
      </w:r>
      <w:r w:rsidRPr="00A428C3">
        <w:t>both of its amine groups bonded to Pb(II). No evidence was observed for inner-sphere Pb(II)-goethite bonding at Pb:EDTA = 1:1. Hence, the adsorbed complexes should have composition Pb(II)EDTA(2-). Because substantial uptake of PbEDTA(II)(2-) occurred in the samples, we interpret that Pb(II)EDTA(2-) adsorbed as outer-sphere complexes and/or as complexes that lose part of their solvation shells</w:t>
      </w:r>
      <w:r w:rsidR="00F81221">
        <w:t xml:space="preserve"> and </w:t>
      </w:r>
      <w:r w:rsidRPr="00A428C3">
        <w:t xml:space="preserve">hydrogen bond directly to goethite surface sites. We propose the term </w:t>
      </w:r>
      <w:r w:rsidR="000352E7">
        <w:t>“</w:t>
      </w:r>
      <w:r w:rsidRPr="00A428C3">
        <w:t>hydration-sphere</w:t>
      </w:r>
      <w:r w:rsidR="000352E7">
        <w:t>”</w:t>
      </w:r>
      <w:r w:rsidRPr="00A428C3">
        <w:t xml:space="preserve"> for the latter type of complexes because they should occupy space in the primary hydration spheres of goethite surface functional groups</w:t>
      </w:r>
      <w:r w:rsidR="00F81221">
        <w:t xml:space="preserve"> and </w:t>
      </w:r>
      <w:r w:rsidRPr="00A428C3">
        <w:t>to distinguish this mode of sorption from common structural definitions of inner-</w:t>
      </w:r>
      <w:r w:rsidR="00F81221">
        <w:t xml:space="preserve"> and </w:t>
      </w:r>
      <w:r w:rsidRPr="00A428C3">
        <w:t>outer-sphere complexes. The lack of evidence for inner-sphere EDTA-Fe(III) bonding suggests that previously proposed metal/ligand-promoted dissolution mechanisms should be modified, specifically to account for the presence of outer-sphere precursor species. Copyright (C) 1999 Elsevier Science Ltd.</w:t>
      </w:r>
    </w:p>
    <w:p w:rsidR="00B95188" w:rsidRPr="00A428C3" w:rsidRDefault="00B95188" w:rsidP="00B95188">
      <w:pPr>
        <w:pStyle w:val="a0"/>
      </w:pPr>
      <w:r w:rsidRPr="00A428C3">
        <w:t>Keywords: X-Ray-Absorption, Bond-Valence Determination, Oxide-Water Interfaces, Metal-Edta Complexes, Boehmite Gamma-Alooh, Surface Functional-Groups, Sorption Products, Fine-Structure, Natural-Waters, Alpha-Feooh</w:t>
      </w:r>
    </w:p>
    <w:p w:rsidR="00B95188" w:rsidRPr="00A428C3" w:rsidRDefault="00B95188" w:rsidP="00B95188">
      <w:pPr>
        <w:pStyle w:val="a0"/>
      </w:pPr>
      <w:r w:rsidRPr="00A428C3">
        <w:t>Kraemer, S.M., Cheah, S.F., Zapf, R., Xu, J.D., Raymond, K.N.</w:t>
      </w:r>
      <w:r w:rsidR="00F81221">
        <w:t xml:space="preserve"> and </w:t>
      </w:r>
      <w:r w:rsidRPr="00A428C3">
        <w:t>Sposito, G. (1999), Effect of hydroxamate siderophores on Fe release</w:t>
      </w:r>
      <w:r w:rsidR="00F81221">
        <w:t xml:space="preserve"> and </w:t>
      </w:r>
      <w:r w:rsidRPr="00A428C3">
        <w:t xml:space="preserve">Pb(II) adsorption by goethite. </w:t>
      </w:r>
      <w:r w:rsidRPr="00A428C3">
        <w:rPr>
          <w:i/>
        </w:rPr>
        <w:t>Geochimica et Cosmochimica Acta</w:t>
      </w:r>
      <w:r w:rsidRPr="00A428C3">
        <w:t xml:space="preserve">, </w:t>
      </w:r>
      <w:r w:rsidRPr="00A428C3">
        <w:rPr>
          <w:b/>
        </w:rPr>
        <w:t>63</w:t>
      </w:r>
      <w:r w:rsidRPr="00A428C3">
        <w:t xml:space="preserve"> (19-20), 3003-3008.</w:t>
      </w:r>
    </w:p>
    <w:p w:rsidR="00B95188" w:rsidRPr="00A428C3" w:rsidRDefault="00B95188" w:rsidP="00B95188">
      <w:pPr>
        <w:pStyle w:val="a0"/>
      </w:pPr>
      <w:r w:rsidRPr="00A428C3">
        <w:t xml:space="preserve">Full Text: </w:t>
      </w:r>
      <w:hyperlink r:id="rId374" w:history="1">
        <w:r w:rsidRPr="00A428C3">
          <w:rPr>
            <w:rStyle w:val="a5"/>
          </w:rPr>
          <w:t>G\Geo Cos Act63, 3003.pdf</w:t>
        </w:r>
      </w:hyperlink>
    </w:p>
    <w:p w:rsidR="00B95188" w:rsidRPr="00A428C3" w:rsidRDefault="00B95188" w:rsidP="00B95188">
      <w:pPr>
        <w:pStyle w:val="a0"/>
      </w:pPr>
      <w:r w:rsidRPr="00A428C3">
        <w:t>Abstract: Hydroxamate siderophores are biologically-synthesized, Fe(III)-specific ligands which are common in soil environments. In this paper, we report an investigation of their adsorption by the iron oxyhydroxide, goethite; their influence on goethite dissolution kinetics;</w:t>
      </w:r>
      <w:r w:rsidR="00F81221">
        <w:t xml:space="preserve"> and </w:t>
      </w:r>
      <w:r w:rsidRPr="00A428C3">
        <w:t>their ability to affect Pb(II) adsorption by the goethite surface. The siderophores used were desferrioxamine B (DFO-B), a fungal siderophore,</w:t>
      </w:r>
      <w:r w:rsidR="00F81221">
        <w:t xml:space="preserve"> and </w:t>
      </w:r>
      <w:r w:rsidRPr="00A428C3">
        <w:t>desferrioxamine D-1, an acetyl derivative of DFO-B (DFO-D1). Siderophore adsorption isotherms yielded maximum surface concentrations of 1.5 (DFO-B) or 3.5 (DFO-D1) µmol/g at pH 6.6, whereas adsorption envelopes showed either cation-like (DFO-B) or ligand-like (DFO-D1) behavior. Above pH 8, the adsorbed concentrations of both siderophores were similar. The dissolution rate of goethite in the presence of 240 µM DFO-B or DFO-D1 was 0.02 or 0.17 µmol/g hr, respectively. Comparison of these results with related literature data. on the reactions between goethite</w:t>
      </w:r>
      <w:r w:rsidR="00F81221">
        <w:t xml:space="preserve"> and </w:t>
      </w:r>
      <w:r w:rsidRPr="00A428C3">
        <w:t xml:space="preserve">acetohydroxamic acid, a monohydroxamate ligand, suggested that the three hydroxamate groups in DFO-D1 coordinate to Fe(III) surface sites relatively independently. The results also demonstrated a significant depleting effect of 240 µM DFO-B or DFO-D1 on Pb(II) adsorption by goethite at pH &gt; 6.5, but </w:t>
      </w:r>
      <w:r w:rsidRPr="00A428C3">
        <w:lastRenderedPageBreak/>
        <w:t>there was no effect of adsorbed Pb(II) on the goethite dissolution rate. Copyright (C) 1999 Elsevier Science Ltd.</w:t>
      </w:r>
    </w:p>
    <w:p w:rsidR="00B95188" w:rsidRPr="00A428C3" w:rsidRDefault="00B95188" w:rsidP="00B95188">
      <w:pPr>
        <w:pStyle w:val="a0"/>
      </w:pPr>
      <w:r w:rsidRPr="00A428C3">
        <w:t>Keywords: Water Interface, Coordination Chemistry, Surface Complexation, Iron, Dissolution, Lead, Mechanism</w:t>
      </w:r>
    </w:p>
    <w:p w:rsidR="00B95188" w:rsidRPr="00A428C3" w:rsidRDefault="00B95188" w:rsidP="00B95188">
      <w:pPr>
        <w:pStyle w:val="a0"/>
      </w:pPr>
      <w:r w:rsidRPr="00A428C3">
        <w:t>Fowle, D.A.</w:t>
      </w:r>
      <w:r w:rsidR="00F81221">
        <w:t xml:space="preserve"> and </w:t>
      </w:r>
      <w:r w:rsidRPr="00A428C3">
        <w:t xml:space="preserve">Fein, J.B. (1999), Competitive adsorption of metal cations onto two gram positive bacteria: Testing the chemical equilibrium model. </w:t>
      </w:r>
      <w:r w:rsidRPr="00A428C3">
        <w:rPr>
          <w:i/>
        </w:rPr>
        <w:t>Geochimica et Cosmochimica Acta</w:t>
      </w:r>
      <w:r w:rsidRPr="00A428C3">
        <w:t xml:space="preserve">, </w:t>
      </w:r>
      <w:r w:rsidRPr="00A428C3">
        <w:rPr>
          <w:b/>
        </w:rPr>
        <w:t>63</w:t>
      </w:r>
      <w:r w:rsidRPr="00A428C3">
        <w:t xml:space="preserve"> (19-20), 3059-3067.</w:t>
      </w:r>
    </w:p>
    <w:p w:rsidR="00B95188" w:rsidRPr="00A428C3" w:rsidRDefault="00B95188" w:rsidP="00B95188">
      <w:pPr>
        <w:pStyle w:val="a0"/>
      </w:pPr>
      <w:r w:rsidRPr="00A428C3">
        <w:t xml:space="preserve">Full Text: </w:t>
      </w:r>
      <w:hyperlink r:id="rId375" w:history="1">
        <w:r w:rsidRPr="00A428C3">
          <w:rPr>
            <w:rStyle w:val="a5"/>
          </w:rPr>
          <w:t>G\Geo Cos Act63, 3059.pdf</w:t>
        </w:r>
      </w:hyperlink>
    </w:p>
    <w:p w:rsidR="00B95188" w:rsidRPr="00A428C3" w:rsidRDefault="00B95188" w:rsidP="00B95188">
      <w:pPr>
        <w:pStyle w:val="a0"/>
        <w:rPr>
          <w:rFonts w:eastAsia="Arial Unicode MS"/>
        </w:rPr>
      </w:pPr>
      <w:r w:rsidRPr="00A428C3">
        <w:t>Abstract: In order to test the ability of a surface complexation approach to account for metal-bacteria interactions in near surface fluid-rock systems, we have conducted experiments that measure the extent of adsorption in mixed metal, mixed bacteria systems. This study tests the surface complexation approach by comparing estimated extents of adsorption based on surface complexation modeling to those we observed in the experimental systems. The batch adsorption experiments involved Ca, Cd, Cu,</w:t>
      </w:r>
      <w:r w:rsidR="00F81221">
        <w:t xml:space="preserve"> and </w:t>
      </w:r>
      <w:r w:rsidRPr="00A428C3">
        <w:t xml:space="preserve">Pb adsorption onto the surfaces of </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t>2 g</w:t>
        </w:r>
      </w:smartTag>
      <w:r w:rsidRPr="00A428C3">
        <w:t xml:space="preserve"> positive bacteria: Bacillus subtilis</w:t>
      </w:r>
      <w:r w:rsidR="00F81221">
        <w:t xml:space="preserve"> and </w:t>
      </w:r>
      <w:r w:rsidRPr="00A428C3">
        <w:t>Bacillus licheniformis. Three types of experiments were performed:</w:t>
      </w:r>
    </w:p>
    <w:p w:rsidR="00B95188" w:rsidRPr="00A428C3" w:rsidRDefault="00B95188" w:rsidP="00B95188">
      <w:pPr>
        <w:pStyle w:val="a0"/>
      </w:pPr>
      <w:r w:rsidRPr="00A428C3">
        <w:t>1. Single metal (Ca, Cu, Pb) adsorption onto a mixture of B. licheniformis</w:t>
      </w:r>
      <w:r w:rsidR="00F81221">
        <w:t xml:space="preserve"> and </w:t>
      </w:r>
      <w:r w:rsidRPr="00A428C3">
        <w:t>B. subtilis;</w:t>
      </w:r>
    </w:p>
    <w:p w:rsidR="00B95188" w:rsidRPr="00A428C3" w:rsidRDefault="00B95188" w:rsidP="00B95188">
      <w:pPr>
        <w:pStyle w:val="a0"/>
      </w:pPr>
      <w:r w:rsidRPr="00A428C3">
        <w:t>2. mixed metal (Cd, Cu,</w:t>
      </w:r>
      <w:r w:rsidR="00F81221">
        <w:t xml:space="preserve"> and </w:t>
      </w:r>
      <w:r w:rsidRPr="00A428C3">
        <w:t>Pb; Ca</w:t>
      </w:r>
      <w:r w:rsidR="00F81221">
        <w:t xml:space="preserve"> and </w:t>
      </w:r>
      <w:r w:rsidRPr="00A428C3">
        <w:t>Cd) adsorption onto either B. subtilis or B. licheniformis; and</w:t>
      </w:r>
    </w:p>
    <w:p w:rsidR="00B95188" w:rsidRPr="00A428C3" w:rsidRDefault="00B95188" w:rsidP="00B95188">
      <w:pPr>
        <w:pStyle w:val="a0"/>
      </w:pPr>
      <w:r w:rsidRPr="00A428C3">
        <w:t>3. mixed or single metal adsorption onto B. subtilis</w:t>
      </w:r>
      <w:r w:rsidR="00F81221">
        <w:t xml:space="preserve"> and </w:t>
      </w:r>
      <w:r w:rsidRPr="00A428C3">
        <w:t>B. licheniformis.</w:t>
      </w:r>
    </w:p>
    <w:p w:rsidR="00B95188" w:rsidRPr="00A428C3" w:rsidRDefault="00B95188" w:rsidP="00B95188">
      <w:pPr>
        <w:pStyle w:val="a0"/>
      </w:pPr>
      <w:r w:rsidRPr="00A428C3">
        <w:t>Independent of the experimental results,</w:t>
      </w:r>
      <w:r w:rsidR="00F81221">
        <w:t xml:space="preserve"> and </w:t>
      </w:r>
      <w:r w:rsidRPr="00A428C3">
        <w:t>based on the site specific stability constants for Ca, Cd, Cu,</w:t>
      </w:r>
      <w:r w:rsidR="00F81221">
        <w:t xml:space="preserve"> and </w:t>
      </w:r>
      <w:r w:rsidRPr="00A428C3">
        <w:t>Pb interactions with the carboxyl</w:t>
      </w:r>
      <w:r w:rsidR="00F81221">
        <w:t xml:space="preserve"> and </w:t>
      </w:r>
      <w:r w:rsidRPr="00A428C3">
        <w:t>phosphate sites on B. licheniformis</w:t>
      </w:r>
      <w:r w:rsidR="00F81221">
        <w:t xml:space="preserve"> and </w:t>
      </w:r>
      <w:r w:rsidRPr="00A428C3">
        <w:t>B. subtilis determined by Fein et al. (1997), by Daughney et al. (1998)</w:t>
      </w:r>
      <w:r w:rsidR="00F81221">
        <w:t xml:space="preserve"> and </w:t>
      </w:r>
      <w:r w:rsidRPr="00A428C3">
        <w:t>in this study, we estimate the extent of adsorption that is expected in the above experimental systems.</w:t>
      </w:r>
    </w:p>
    <w:p w:rsidR="00B95188" w:rsidRPr="00A428C3" w:rsidRDefault="00B95188" w:rsidP="00B95188">
      <w:pPr>
        <w:pStyle w:val="a0"/>
      </w:pPr>
      <w:r w:rsidRPr="00A428C3">
        <w:t>Competitive cation adsorption experiments in both single</w:t>
      </w:r>
      <w:r w:rsidR="00F81221">
        <w:t xml:space="preserve"> and </w:t>
      </w:r>
      <w:r w:rsidRPr="00A428C3">
        <w:t>double bacteria systems exhibit little adsorption at pH values less than 4. With increasing pH above 4.0, the extent of Ca, Cu, Pb</w:t>
      </w:r>
      <w:r w:rsidR="00F81221">
        <w:t xml:space="preserve"> and </w:t>
      </w:r>
      <w:r w:rsidRPr="00A428C3">
        <w:t>Cd adsorption also increaser due to the increased deprotonation of bacterial surface functional groups. In all cases studied, the estimated adsorption behavior is in excellent agreement with the observations, with only slight differences that were within the uncertainties of the estimation</w:t>
      </w:r>
      <w:r w:rsidR="00F81221">
        <w:t xml:space="preserve"> and </w:t>
      </w:r>
      <w:r w:rsidRPr="00A428C3">
        <w:t>experimental procedures. Therefore, the results indicate that the use of chemical equilibrium modeling of aqueous metal adsorption onto bacterial surfaces yields accurate predictions of the distribution of metals in complex multicomponent systems. Copyright (C) 1999 Elsevier Science Ltd.</w:t>
      </w:r>
    </w:p>
    <w:p w:rsidR="00B95188" w:rsidRPr="00A428C3" w:rsidRDefault="00B95188" w:rsidP="00B95188">
      <w:pPr>
        <w:pStyle w:val="a0"/>
      </w:pPr>
      <w:r w:rsidRPr="00A428C3">
        <w:t xml:space="preserve">Keywords: Amorphous Iron Oxyhydroxide, </w:t>
      </w:r>
      <w:r w:rsidRPr="00A428C3">
        <w:rPr>
          <w:i/>
        </w:rPr>
        <w:t>Bacillus-Subtilis</w:t>
      </w:r>
      <w:r w:rsidRPr="00A428C3">
        <w:t>, Heavy-Metals, Ion Binding, Cell-Walls, Sorption, Surfaces, Cd, Cu, Zn</w:t>
      </w:r>
    </w:p>
    <w:p w:rsidR="00B95188" w:rsidRPr="00A428C3" w:rsidRDefault="00B95188" w:rsidP="00B95188">
      <w:pPr>
        <w:pStyle w:val="a0"/>
      </w:pPr>
      <w:r w:rsidRPr="00A428C3">
        <w:t>Chen, C.C.</w:t>
      </w:r>
      <w:r w:rsidR="00F81221">
        <w:t xml:space="preserve"> and </w:t>
      </w:r>
      <w:r w:rsidRPr="00A428C3">
        <w:t xml:space="preserve">Hayes, K.F. (1999), X-ray absorption spectroscopy investigation of </w:t>
      </w:r>
      <w:r w:rsidRPr="00A428C3">
        <w:lastRenderedPageBreak/>
        <w:t>aqueous Co(II)</w:t>
      </w:r>
      <w:r w:rsidR="00F81221">
        <w:t xml:space="preserve"> and </w:t>
      </w:r>
      <w:r w:rsidRPr="00A428C3">
        <w:t xml:space="preserve">Sr(II) sorption at clay–water interfaces. </w:t>
      </w:r>
      <w:r w:rsidRPr="00A428C3">
        <w:rPr>
          <w:i/>
        </w:rPr>
        <w:t>Geochimica et Cosmochimica Acta</w:t>
      </w:r>
      <w:r w:rsidRPr="00A428C3">
        <w:t xml:space="preserve">, </w:t>
      </w:r>
      <w:r w:rsidRPr="00A428C3">
        <w:rPr>
          <w:b/>
        </w:rPr>
        <w:t>63</w:t>
      </w:r>
      <w:r w:rsidRPr="00A428C3">
        <w:t xml:space="preserve"> (19-20), 3205-3215.</w:t>
      </w:r>
    </w:p>
    <w:p w:rsidR="00B95188" w:rsidRPr="00A428C3" w:rsidRDefault="00B95188" w:rsidP="00B95188">
      <w:pPr>
        <w:pStyle w:val="a0"/>
      </w:pPr>
      <w:r w:rsidRPr="00A428C3">
        <w:t xml:space="preserve">Full Text: </w:t>
      </w:r>
      <w:hyperlink r:id="rId376" w:history="1">
        <w:r w:rsidRPr="00A428C3">
          <w:rPr>
            <w:rStyle w:val="a5"/>
          </w:rPr>
          <w:t>G\Geo Cos Act63, 3205.pdf</w:t>
        </w:r>
      </w:hyperlink>
    </w:p>
    <w:p w:rsidR="00B95188" w:rsidRPr="00A428C3" w:rsidRDefault="00B95188" w:rsidP="00B95188">
      <w:pPr>
        <w:pStyle w:val="a0"/>
      </w:pPr>
      <w:r w:rsidRPr="00A428C3">
        <w:t>Abstract: Sorption processes typically control trace metal concentrations in aquatic systems. To illustrate the impact of various types of surface sites on metal ion sorption behavior, Co(II)</w:t>
      </w:r>
      <w:r w:rsidR="00F81221">
        <w:t xml:space="preserve"> and </w:t>
      </w:r>
      <w:r w:rsidRPr="00A428C3">
        <w:t>Sr(II) sorption by several clay minerals under a range pH</w:t>
      </w:r>
      <w:r w:rsidR="00F81221">
        <w:t xml:space="preserve"> and </w:t>
      </w:r>
      <w:r w:rsidRPr="00A428C3">
        <w:t>background electrolyte conditions was studied. X-ray absorption spectroscopy (XAS) was used to characterize the surface complexes formed to explain the basis for the sorption trends. At low pH, Co(II) could be displaced from the surface by increasing the Na ion concentration. XAS analysis of these samples showed that sorbed Co(II) retained the coordination structure of aqueous phase Co(II), suggesting the formation of weakly associated, outer-sphere, mononuclear Co complexes at permanent charge sites. At high pH, sorbed Co could not be displaced by increasing the Na ion concentration. The XAS analyses of these samples indicated the formation of Co coprecipitates. The results of the Sr(II) sorption experiments suggested weaker bonding between sorbed Sr</w:t>
      </w:r>
      <w:r w:rsidR="00F81221">
        <w:t xml:space="preserve"> and </w:t>
      </w:r>
      <w:r w:rsidRPr="00A428C3">
        <w:t>the solid surfaces, regardless of solution conditions</w:t>
      </w:r>
      <w:r w:rsidR="00F81221">
        <w:t xml:space="preserve"> and </w:t>
      </w:r>
      <w:r w:rsidRPr="00A428C3">
        <w:t>adsorbent. XAS analysis of Sr sorption samples revealed the formation of mononuclear, outer-sphere complexes of Sr at clay–water interfaces, similar to the outer-sphere Co sorption samples observed only at low pH. Copyright (C) 1999 Elsevier Science Ltd.</w:t>
      </w:r>
    </w:p>
    <w:p w:rsidR="00B95188" w:rsidRPr="00A428C3" w:rsidRDefault="00B95188" w:rsidP="00B95188">
      <w:pPr>
        <w:pStyle w:val="a0"/>
      </w:pPr>
      <w:r w:rsidRPr="00A428C3">
        <w:t>Langmuir, D., Mahoney, J., MacDonald, A.</w:t>
      </w:r>
      <w:r w:rsidR="00F81221">
        <w:t xml:space="preserve"> and </w:t>
      </w:r>
      <w:r w:rsidRPr="00A428C3">
        <w:t xml:space="preserve">Rowson, J. (1999), Predicting arsenic concentrations in the porewaters of buried uranium mill tailings. </w:t>
      </w:r>
      <w:r w:rsidRPr="00A428C3">
        <w:rPr>
          <w:i/>
        </w:rPr>
        <w:t>Geochimica et Cosmochimica Acta</w:t>
      </w:r>
      <w:r w:rsidRPr="00A428C3">
        <w:t xml:space="preserve">, </w:t>
      </w:r>
      <w:r w:rsidRPr="00A428C3">
        <w:rPr>
          <w:b/>
        </w:rPr>
        <w:t>63</w:t>
      </w:r>
      <w:r w:rsidRPr="00A428C3">
        <w:t xml:space="preserve"> (19-20), 3379-3394.</w:t>
      </w:r>
    </w:p>
    <w:p w:rsidR="00B95188" w:rsidRPr="00A428C3" w:rsidRDefault="00B95188" w:rsidP="00B95188">
      <w:pPr>
        <w:pStyle w:val="a0"/>
      </w:pPr>
      <w:r w:rsidRPr="00A428C3">
        <w:t xml:space="preserve">Full Text: </w:t>
      </w:r>
      <w:hyperlink r:id="rId377" w:history="1">
        <w:r w:rsidRPr="00A428C3">
          <w:rPr>
            <w:rStyle w:val="a5"/>
          </w:rPr>
          <w:t>G\Geo Cos Act63, 3379.pdf</w:t>
        </w:r>
      </w:hyperlink>
    </w:p>
    <w:p w:rsidR="00B95188" w:rsidRPr="00A428C3" w:rsidRDefault="00B95188" w:rsidP="00B95188">
      <w:pPr>
        <w:pStyle w:val="a0"/>
      </w:pPr>
      <w:r w:rsidRPr="00A428C3">
        <w:t>Abstract: The proposed JEB Tailings Management Facility (TMF) to be emplaced below the groundwater table in northern Saskatchewan, Canada, will contain uranium mill tailings from McClean Lake, Midwest</w:t>
      </w:r>
      <w:r w:rsidR="00F81221">
        <w:t xml:space="preserve"> and </w:t>
      </w:r>
      <w:r w:rsidRPr="00A428C3">
        <w:t>Cigar Lake ore bodies, which are high in arsenic (up to 10%)</w:t>
      </w:r>
      <w:r w:rsidR="00F81221">
        <w:t xml:space="preserve"> and </w:t>
      </w:r>
      <w:r w:rsidRPr="00A428C3">
        <w:t>nickel (up to 5%). A serious concern is the possibility that high arsenic</w:t>
      </w:r>
      <w:r w:rsidR="00F81221">
        <w:t xml:space="preserve"> and </w:t>
      </w:r>
      <w:r w:rsidRPr="00A428C3">
        <w:t>nickel concentrations may be released from the buried tailings, contaminating adjacent groundwaters</w:t>
      </w:r>
      <w:r w:rsidR="00F81221">
        <w:t xml:space="preserve"> and </w:t>
      </w:r>
      <w:r w:rsidRPr="00A428C3">
        <w:t>a nearby lake. Laboratory tests</w:t>
      </w:r>
      <w:r w:rsidR="00F81221">
        <w:t xml:space="preserve"> and </w:t>
      </w:r>
      <w:r w:rsidRPr="00A428C3">
        <w:t>geochemical modeling were performed to examine way!; to reduce the arsenic</w:t>
      </w:r>
      <w:r w:rsidR="00F81221">
        <w:t xml:space="preserve"> and </w:t>
      </w:r>
      <w:r w:rsidRPr="00A428C3">
        <w:t>nickel concentrations in TMF porewaters so as to minimize such contamination from tailings buried for 50 years</w:t>
      </w:r>
      <w:r w:rsidR="00F81221">
        <w:t xml:space="preserve"> and </w:t>
      </w:r>
      <w:r w:rsidRPr="00A428C3">
        <w:t>longer. The tests were designed to mimic conditions in the mill neutralization circuit (3 hr tests at 25</w:t>
      </w:r>
      <w:r w:rsidR="008A7E71">
        <w:t>°</w:t>
      </w:r>
      <w:r w:rsidRPr="00A428C3">
        <w:t>C),</w:t>
      </w:r>
      <w:r w:rsidR="00F81221">
        <w:t xml:space="preserve"> and </w:t>
      </w:r>
      <w:r w:rsidRPr="00A428C3">
        <w:t>in the TMF after burial (5-49 day aging tests). The aging tests were run at, 50, 25</w:t>
      </w:r>
      <w:r w:rsidR="00F81221">
        <w:t xml:space="preserve"> and </w:t>
      </w:r>
      <w:r w:rsidRPr="00A428C3">
        <w:t>4</w:t>
      </w:r>
      <w:r w:rsidR="008A7E71">
        <w:t>°</w:t>
      </w:r>
      <w:r w:rsidRPr="00A428C3">
        <w:t>C (the temperature in the TMF). In order to optimize the removal of arsenic by adsorption</w:t>
      </w:r>
      <w:r w:rsidR="00F81221">
        <w:t xml:space="preserve"> and </w:t>
      </w:r>
      <w:r w:rsidRPr="00A428C3">
        <w:t>precipitation, ferric sulfate was added to tailings raffinates(1) having Fe/As ratios of less that 3-5. The acid raffinates were then neutralized by addition of slaked lime to nominal pH values of 7, 8, or 9. Analysis</w:t>
      </w:r>
      <w:r w:rsidR="00F81221">
        <w:t xml:space="preserve"> and </w:t>
      </w:r>
      <w:r w:rsidRPr="00A428C3">
        <w:t xml:space="preserve">modeling of the test </w:t>
      </w:r>
      <w:r w:rsidRPr="00A428C3">
        <w:lastRenderedPageBreak/>
        <w:t>results showed that with slaked lime addition to acid tailings raffinates, relatively amorphous scorodite (ferric arsenate) precipitates near pH 1,</w:t>
      </w:r>
      <w:r w:rsidR="00F81221">
        <w:t xml:space="preserve"> and </w:t>
      </w:r>
      <w:r w:rsidRPr="00A428C3">
        <w:t>is the dominant form of arsenate in slake limed tailings solids except those high in Ni</w:t>
      </w:r>
      <w:r w:rsidR="00F81221">
        <w:t xml:space="preserve"> and </w:t>
      </w:r>
      <w:r w:rsidRPr="00A428C3">
        <w:t>As</w:t>
      </w:r>
      <w:r w:rsidR="00F81221">
        <w:t xml:space="preserve"> and </w:t>
      </w:r>
      <w:r w:rsidRPr="00A428C3">
        <w:t>low in Fe, in which cabrerite-annabergite (Ni, Mg, Fe(II) arsenate) may also precipitate near pH 5-6. In addition to the arsenate precipitates, smaller amounts of arsenate are also adsorbed onto tailings solids. The aging tests showed that after burial of the tailings, arsenic concentrations may increase with time from the breakdown of the arsenate phases (chiefly scorodite). However, the tests indicate that the rate of change decreases</w:t>
      </w:r>
      <w:r w:rsidR="00F81221">
        <w:t xml:space="preserve"> and </w:t>
      </w:r>
      <w:r w:rsidRPr="00A428C3">
        <w:t>approaches zero after 72 hrs at 25</w:t>
      </w:r>
      <w:r w:rsidR="008A7E71">
        <w:t>°</w:t>
      </w:r>
      <w:r w:rsidRPr="00A428C3">
        <w:t>C,</w:t>
      </w:r>
      <w:r w:rsidR="00F81221">
        <w:t xml:space="preserve"> and </w:t>
      </w:r>
      <w:r w:rsidRPr="00A428C3">
        <w:t>may equal zero at all times in the TMF at 4</w:t>
      </w:r>
      <w:r w:rsidR="008A7E71">
        <w:t>°</w:t>
      </w:r>
      <w:r w:rsidRPr="00A428C3">
        <w:t>C. Consistent with a kinetic model that describes the rate of breakdown of scorodite to form hydrous ferric oxide, the rate of release of dissolved arsenate to tailings porewaters from slake limed tailings: (1) is proportional to pH above pH 6-7; (2) decreases exponentially as the total molar Fe/As ratio of tailings raffinates is increased from 1/1 to greater than 5/1;</w:t>
      </w:r>
      <w:r w:rsidR="00F81221">
        <w:t xml:space="preserve"> and </w:t>
      </w:r>
      <w:r w:rsidRPr="00A428C3">
        <w:t>(3) is proportional to temperature with an average Arrhenius activation energy of 13.4±4.2 kcal/mol. Study results suggest that if ferric sulfate</w:t>
      </w:r>
      <w:r w:rsidR="00F81221">
        <w:t xml:space="preserve"> and </w:t>
      </w:r>
      <w:r w:rsidRPr="00A428C3">
        <w:t>slaked lime are added in the tailings neutralization circuit to give a raffinate Fe/As molar ratio of at least 3-5</w:t>
      </w:r>
      <w:r w:rsidR="00F81221">
        <w:t xml:space="preserve"> and </w:t>
      </w:r>
      <w:r w:rsidRPr="00A428C3">
        <w:t>a nominal (initial) pH of 8 (final pH of 7-8), arsenic</w:t>
      </w:r>
      <w:r w:rsidR="00F81221">
        <w:t xml:space="preserve"> and </w:t>
      </w:r>
      <w:r w:rsidRPr="00A428C3">
        <w:t>nickel concentrations of 2 mg/L or less, are probable in porewaters of individual tailings in the TMF for 50 to 10,000 yrs after tailings disposal. However, the tailings will be mixed in the TMF, which will contain about 35% tailings with Fe/As = 3.0,</w:t>
      </w:r>
      <w:r w:rsidR="00F81221">
        <w:t xml:space="preserve"> and </w:t>
      </w:r>
      <w:r w:rsidRPr="00A428C3">
        <w:t>65% tailings with Fe/As = 5.0-7.7. Thus, it seems likely that average arsenic pore water concentrations in the TMF may not exceed 1 mg/L. (C) 1999 Elsevier Science Ltd.</w:t>
      </w:r>
    </w:p>
    <w:p w:rsidR="00B95188" w:rsidRPr="00A428C3" w:rsidRDefault="00B95188" w:rsidP="00B95188">
      <w:pPr>
        <w:pStyle w:val="a0"/>
      </w:pPr>
      <w:r w:rsidRPr="00A428C3">
        <w:t>Keywords: Adsorption, Ferrihydrite, Transformation, Hydroxide, Scorodite, Stability, Sorption, Minerals, Kinetics, Oxides</w:t>
      </w:r>
    </w:p>
    <w:p w:rsidR="00B95188" w:rsidRPr="00A428C3" w:rsidRDefault="00B95188" w:rsidP="00B95188">
      <w:pPr>
        <w:pStyle w:val="a0"/>
      </w:pPr>
      <w:r w:rsidRPr="00A428C3">
        <w:t>Filius, J.D., Lumsdon, D.G., Meeussen, J.C.L., Hiemstra, T.</w:t>
      </w:r>
      <w:r w:rsidR="00F81221">
        <w:t xml:space="preserve"> and </w:t>
      </w:r>
      <w:r w:rsidRPr="00A428C3">
        <w:t xml:space="preserve">van Riemsdijk, W.H. (2000), Adsorption of fulvic acid on goethite. </w:t>
      </w:r>
      <w:r w:rsidRPr="00A428C3">
        <w:rPr>
          <w:i/>
        </w:rPr>
        <w:t>Geochimica et Cosmochimica Acta</w:t>
      </w:r>
      <w:r w:rsidRPr="00A428C3">
        <w:t xml:space="preserve">, </w:t>
      </w:r>
      <w:r w:rsidRPr="00A428C3">
        <w:rPr>
          <w:b/>
        </w:rPr>
        <w:t>64</w:t>
      </w:r>
      <w:r w:rsidRPr="00A428C3">
        <w:t xml:space="preserve"> (1), 51-60.</w:t>
      </w:r>
    </w:p>
    <w:p w:rsidR="00B95188" w:rsidRPr="00A428C3" w:rsidRDefault="00B95188" w:rsidP="00B95188">
      <w:pPr>
        <w:pStyle w:val="a0"/>
      </w:pPr>
      <w:r w:rsidRPr="00A428C3">
        <w:t xml:space="preserve">Full Text: </w:t>
      </w:r>
      <w:hyperlink r:id="rId378" w:history="1">
        <w:r w:rsidRPr="00A428C3">
          <w:rPr>
            <w:rStyle w:val="a5"/>
          </w:rPr>
          <w:t>G\Geo Cos Act64, 51.pdf</w:t>
        </w:r>
      </w:hyperlink>
    </w:p>
    <w:p w:rsidR="00B95188" w:rsidRPr="00A428C3" w:rsidRDefault="00B95188" w:rsidP="00B95188">
      <w:pPr>
        <w:pStyle w:val="a0"/>
      </w:pPr>
      <w:r w:rsidRPr="00A428C3">
        <w:t>Abstract: The adsorption of fulvic acid by goethite was determined experimentally as a function of concentration, pH,</w:t>
      </w:r>
      <w:r w:rsidR="00F81221">
        <w:t xml:space="preserve"> and </w:t>
      </w:r>
      <w:r w:rsidRPr="00A428C3">
        <w:t>ionic strength. The data were described with the CD-MUSIC model of Hiemstra</w:t>
      </w:r>
      <w:r w:rsidR="00F81221">
        <w:t xml:space="preserve"> and </w:t>
      </w:r>
      <w:r w:rsidRPr="00A428C3">
        <w:t>van Riemsdijk (1996), which allows the distribution of charge of the bound fulvate molecule over a surface region. Simultaneously, the concentration, pH,</w:t>
      </w:r>
      <w:r w:rsidR="00F81221">
        <w:t xml:space="preserve"> and </w:t>
      </w:r>
      <w:r w:rsidRPr="00A428C3">
        <w:t xml:space="preserve">salt dependency of the binding of fulvic acid can be described. Using the same parameters, the basic charging behavior of the goethite in the absence of fulvic acid could be described well. The surface species used in the model indicate that inner sphere coordination of carboxylic groups of the fulvate molecule is important at low pH, whereas at high pH the outer sphere coordination with reactive groups of the fulvate molecule with high proton affinity is </w:t>
      </w:r>
      <w:r w:rsidRPr="00A428C3">
        <w:lastRenderedPageBreak/>
        <w:t>important. Copyright (C) 1999 Elsevier Science Ltd.</w:t>
      </w:r>
    </w:p>
    <w:p w:rsidR="00B95188" w:rsidRPr="00A428C3" w:rsidRDefault="00B95188" w:rsidP="00B95188">
      <w:pPr>
        <w:pStyle w:val="a0"/>
      </w:pPr>
      <w:r w:rsidRPr="00A428C3">
        <w:t>Keywords: Dissolved Organic-Matter, Humic Substances, Proton Binding, Surface Complexation, Solution Interface, Aqueous-Solution, Ion Adsorption, Hydrous Oxides, Model, Mechanisms</w:t>
      </w:r>
    </w:p>
    <w:p w:rsidR="00B95188" w:rsidRPr="00A428C3" w:rsidRDefault="00B95188" w:rsidP="00B95188">
      <w:pPr>
        <w:pStyle w:val="a0"/>
      </w:pPr>
      <w:r w:rsidRPr="00A428C3">
        <w:t>Wang, Z., Ainsworth, C.C., Friedrich, D.M., Gassman, P.L.</w:t>
      </w:r>
      <w:r w:rsidR="00F81221">
        <w:t xml:space="preserve"> and </w:t>
      </w:r>
      <w:r w:rsidRPr="00A428C3">
        <w:t>Joly, A.G. (2000), Kinetics</w:t>
      </w:r>
      <w:r w:rsidR="00F81221">
        <w:t xml:space="preserve"> and </w:t>
      </w:r>
      <w:r w:rsidRPr="00A428C3">
        <w:t xml:space="preserve">mechanism of surface reaction of salicylate on alumina in colloidal aqueous suspension. </w:t>
      </w:r>
      <w:r w:rsidRPr="00A428C3">
        <w:rPr>
          <w:i/>
        </w:rPr>
        <w:t>Geochimica et Cosmochimica Acta</w:t>
      </w:r>
      <w:r w:rsidRPr="00A428C3">
        <w:t xml:space="preserve">, </w:t>
      </w:r>
      <w:r w:rsidRPr="00A428C3">
        <w:rPr>
          <w:b/>
        </w:rPr>
        <w:t>64</w:t>
      </w:r>
      <w:r w:rsidRPr="00A428C3">
        <w:t xml:space="preserve"> (7), 1159-1172.</w:t>
      </w:r>
    </w:p>
    <w:p w:rsidR="00B95188" w:rsidRPr="00A428C3" w:rsidRDefault="00B95188" w:rsidP="00B95188">
      <w:pPr>
        <w:pStyle w:val="a0"/>
      </w:pPr>
      <w:r w:rsidRPr="00A428C3">
        <w:t xml:space="preserve">Full Text: </w:t>
      </w:r>
      <w:hyperlink r:id="rId379" w:history="1">
        <w:r w:rsidRPr="00A428C3">
          <w:rPr>
            <w:rStyle w:val="a5"/>
          </w:rPr>
          <w:t>G\Geo Cos Act64, 1159.pdf</w:t>
        </w:r>
      </w:hyperlink>
    </w:p>
    <w:p w:rsidR="00B95188" w:rsidRPr="00A428C3" w:rsidRDefault="00B95188" w:rsidP="00B95188">
      <w:pPr>
        <w:pStyle w:val="a0"/>
      </w:pPr>
      <w:r w:rsidRPr="00A428C3">
        <w:t>Abstract: The reaction kinetics of salicylate with Al(III) in aqueous solution</w:t>
      </w:r>
      <w:r w:rsidR="00F81221">
        <w:t xml:space="preserve"> and </w:t>
      </w:r>
      <w:r w:rsidRPr="00A428C3">
        <w:t>at the colloidal alumina–water interface was studied by stopped-flow laser fluorescence spectroscopy. Temporal evolution of the fluorescence spectra suggests that formation of a carboxylate monodentate complex was the reaction intermediate that occurs transiently at the beginning of the reaction in aqueous salicylate–Al(III) solution. However, by lowering the pH to 2.0, the formation of such an intermediate can be directly observed as it is the only species formed. The reaction of salicylate with aqueous Al</w:t>
      </w:r>
      <w:r w:rsidRPr="00A428C3">
        <w:rPr>
          <w:vertAlign w:val="superscript"/>
        </w:rPr>
        <w:t>3+</w:t>
      </w:r>
      <w:r w:rsidRPr="00A428C3">
        <w:t xml:space="preserve"> is completed within 10 min at pH 3.3 but is significantly slower at pH 2.0. At both pH the aqueous reaction follows a single pseudo-first order rate law. In alumina suspension the reaction was initially fast but slowed down after </w:t>
      </w:r>
      <w:r>
        <w:rPr>
          <w:noProof/>
        </w:rPr>
        <w:drawing>
          <wp:inline distT="0" distB="0" distL="0" distR="0">
            <wp:extent cx="119380" cy="128905"/>
            <wp:effectExtent l="19050" t="0" r="0" b="0"/>
            <wp:docPr id="12" name="圖片 12" descr="http://sdos.ejournal.ascc.net/images/glyphs/BQ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s.ejournal.ascc.net/images/glyphs/BQ1.GIF"/>
                    <pic:cNvPicPr>
                      <a:picLocks noChangeAspect="1" noChangeArrowheads="1"/>
                    </pic:cNvPicPr>
                  </pic:nvPicPr>
                  <pic:blipFill>
                    <a:blip r:embed="rId380" cstate="print"/>
                    <a:srcRect/>
                    <a:stretch>
                      <a:fillRect/>
                    </a:stretch>
                  </pic:blipFill>
                  <pic:spPr bwMode="auto">
                    <a:xfrm>
                      <a:off x="0" y="0"/>
                      <a:ext cx="119380" cy="128905"/>
                    </a:xfrm>
                    <a:prstGeom prst="rect">
                      <a:avLst/>
                    </a:prstGeom>
                    <a:noFill/>
                    <a:ln w="9525">
                      <a:noFill/>
                      <a:miter lim="800000"/>
                      <a:headEnd/>
                      <a:tailEnd/>
                    </a:ln>
                  </pic:spPr>
                </pic:pic>
              </a:graphicData>
            </a:graphic>
          </wp:inline>
        </w:drawing>
      </w:r>
      <w:r w:rsidRPr="00A428C3">
        <w:t>30 s. Completion of the reaction took up to 12 h, depending on pH</w:t>
      </w:r>
      <w:r w:rsidR="00F81221">
        <w:t xml:space="preserve"> and </w:t>
      </w:r>
      <w:r w:rsidRPr="00A428C3">
        <w:t xml:space="preserve">ionic strength. The formation of a carboxylate monodentate surface complex as a transient species is clearly observed in alumina suspensions at near neutral pH. The initial rapid reaction (&lt;30 s), accounting for </w:t>
      </w:r>
      <w:r>
        <w:rPr>
          <w:noProof/>
        </w:rPr>
        <w:drawing>
          <wp:inline distT="0" distB="0" distL="0" distR="0">
            <wp:extent cx="119380" cy="128905"/>
            <wp:effectExtent l="19050" t="0" r="0" b="0"/>
            <wp:docPr id="13" name="圖片 13" descr="http://sdos.ejournal.ascc.net/images/glyphs/BQ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s.ejournal.ascc.net/images/glyphs/BQ1.GIF"/>
                    <pic:cNvPicPr>
                      <a:picLocks noChangeAspect="1" noChangeArrowheads="1"/>
                    </pic:cNvPicPr>
                  </pic:nvPicPr>
                  <pic:blipFill>
                    <a:blip r:embed="rId380" cstate="print"/>
                    <a:srcRect/>
                    <a:stretch>
                      <a:fillRect/>
                    </a:stretch>
                  </pic:blipFill>
                  <pic:spPr bwMode="auto">
                    <a:xfrm>
                      <a:off x="0" y="0"/>
                      <a:ext cx="119380" cy="128905"/>
                    </a:xfrm>
                    <a:prstGeom prst="rect">
                      <a:avLst/>
                    </a:prstGeom>
                    <a:noFill/>
                    <a:ln w="9525">
                      <a:noFill/>
                      <a:miter lim="800000"/>
                      <a:headEnd/>
                      <a:tailEnd/>
                    </a:ln>
                  </pic:spPr>
                </pic:pic>
              </a:graphicData>
            </a:graphic>
          </wp:inline>
        </w:drawing>
      </w:r>
      <w:r w:rsidRPr="00A428C3">
        <w:t>70% of the total reaction, can be best described by the Elovich rate equation</w:t>
      </w:r>
      <w:r w:rsidR="00F81221">
        <w:t xml:space="preserve"> and </w:t>
      </w:r>
      <w:r w:rsidRPr="00A428C3">
        <w:t xml:space="preserve">the slower reaction, accounting for </w:t>
      </w:r>
      <w:r>
        <w:rPr>
          <w:noProof/>
        </w:rPr>
        <w:drawing>
          <wp:inline distT="0" distB="0" distL="0" distR="0">
            <wp:extent cx="119380" cy="128905"/>
            <wp:effectExtent l="19050" t="0" r="0" b="0"/>
            <wp:docPr id="14" name="圖片 14" descr="http://sdos.ejournal.ascc.net/images/glyphs/BQ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s.ejournal.ascc.net/images/glyphs/BQ1.GIF"/>
                    <pic:cNvPicPr>
                      <a:picLocks noChangeAspect="1" noChangeArrowheads="1"/>
                    </pic:cNvPicPr>
                  </pic:nvPicPr>
                  <pic:blipFill>
                    <a:blip r:embed="rId380" cstate="print"/>
                    <a:srcRect/>
                    <a:stretch>
                      <a:fillRect/>
                    </a:stretch>
                  </pic:blipFill>
                  <pic:spPr bwMode="auto">
                    <a:xfrm>
                      <a:off x="0" y="0"/>
                      <a:ext cx="119380" cy="128905"/>
                    </a:xfrm>
                    <a:prstGeom prst="rect">
                      <a:avLst/>
                    </a:prstGeom>
                    <a:noFill/>
                    <a:ln w="9525">
                      <a:noFill/>
                      <a:miter lim="800000"/>
                      <a:headEnd/>
                      <a:tailEnd/>
                    </a:ln>
                  </pic:spPr>
                </pic:pic>
              </a:graphicData>
            </a:graphic>
          </wp:inline>
        </w:drawing>
      </w:r>
      <w:r w:rsidRPr="00A428C3">
        <w:t>30% of the total reaction, obeys pseudo-first order kinetics. These results are consistent with a sorption reaction mechanism that is controlled by the leaving group lability at the surface sites (Al–OH</w:t>
      </w:r>
      <w:r w:rsidRPr="00A428C3">
        <w:rPr>
          <w:vertAlign w:val="subscript"/>
        </w:rPr>
        <w:t>2</w:t>
      </w:r>
      <w:r w:rsidRPr="00A428C3">
        <w:rPr>
          <w:vertAlign w:val="superscript"/>
        </w:rPr>
        <w:t>+</w:t>
      </w:r>
      <w:r w:rsidR="00F81221">
        <w:t xml:space="preserve"> and </w:t>
      </w:r>
      <w:r w:rsidRPr="00A428C3">
        <w:t>Al–OH). The pseudo-first order rate constant varies little with initial salicylate concentration, ionic strength, or pH &gt; 4, suggesting that the slow reaction pathway involves ligand substitution reactions between salicylate</w:t>
      </w:r>
      <w:r w:rsidR="00F81221">
        <w:t xml:space="preserve"> and </w:t>
      </w:r>
      <w:r w:rsidRPr="00A428C3">
        <w:t>the hydroxyl groups for which the Al–O binding</w:t>
      </w:r>
      <w:r w:rsidR="00F81221">
        <w:t xml:space="preserve"> and </w:t>
      </w:r>
      <w:r w:rsidRPr="00A428C3">
        <w:t>activation energy are affected by site heterogeneity or site density to a lesser degree than Al–OH</w:t>
      </w:r>
      <w:r w:rsidRPr="00A428C3">
        <w:rPr>
          <w:vertAlign w:val="subscript"/>
        </w:rPr>
        <w:t>2</w:t>
      </w:r>
      <w:r w:rsidRPr="00A428C3">
        <w:rPr>
          <w:vertAlign w:val="superscript"/>
        </w:rPr>
        <w:t>+</w:t>
      </w:r>
      <w:r w:rsidRPr="00A428C3">
        <w:t xml:space="preserve"> sites.</w:t>
      </w:r>
    </w:p>
    <w:p w:rsidR="00B95188" w:rsidRPr="00A428C3" w:rsidRDefault="00B95188" w:rsidP="00B95188">
      <w:pPr>
        <w:pStyle w:val="a0"/>
      </w:pPr>
      <w:r w:rsidRPr="00A428C3">
        <w:rPr>
          <w:color w:val="000000"/>
        </w:rPr>
        <w:t>Y</w:t>
      </w:r>
      <w:r w:rsidRPr="00A428C3">
        <w:t>an, X.P., Kerrich, R.</w:t>
      </w:r>
      <w:r w:rsidR="00F81221">
        <w:t xml:space="preserve"> and </w:t>
      </w:r>
      <w:r w:rsidRPr="00A428C3">
        <w:t>Hendry, M.J. (2000), Distribution of arsenic(III), arsenic(V)</w:t>
      </w:r>
      <w:r w:rsidR="00F81221">
        <w:t xml:space="preserve"> and </w:t>
      </w:r>
      <w:r w:rsidRPr="00A428C3">
        <w:t>total inorganic arsenic in porewaters from a thick till</w:t>
      </w:r>
      <w:r w:rsidR="00F81221">
        <w:t xml:space="preserve"> and </w:t>
      </w:r>
      <w:r w:rsidRPr="00A428C3">
        <w:t xml:space="preserve">clay-rich aquitard sequence, Saskatchewan, Canada. </w:t>
      </w:r>
      <w:r w:rsidRPr="00A428C3">
        <w:rPr>
          <w:i/>
        </w:rPr>
        <w:t>Geochimica et Cosmochimica Acta</w:t>
      </w:r>
      <w:r w:rsidRPr="00A428C3">
        <w:t xml:space="preserve">, </w:t>
      </w:r>
      <w:r w:rsidRPr="00A428C3">
        <w:rPr>
          <w:b/>
        </w:rPr>
        <w:t>64</w:t>
      </w:r>
      <w:r w:rsidRPr="00A428C3">
        <w:t xml:space="preserve"> (15), 2637-2648.</w:t>
      </w:r>
    </w:p>
    <w:p w:rsidR="00B95188" w:rsidRPr="00A428C3" w:rsidRDefault="00B95188" w:rsidP="00B95188">
      <w:pPr>
        <w:pStyle w:val="a0"/>
      </w:pPr>
      <w:r w:rsidRPr="00A428C3">
        <w:t xml:space="preserve">Full Text: </w:t>
      </w:r>
      <w:hyperlink r:id="rId381" w:history="1">
        <w:r w:rsidRPr="00A428C3">
          <w:rPr>
            <w:rStyle w:val="a5"/>
          </w:rPr>
          <w:t>G\Geo Cos Act64, 2637.pdf</w:t>
        </w:r>
      </w:hyperlink>
    </w:p>
    <w:p w:rsidR="00B95188" w:rsidRPr="00A428C3" w:rsidRDefault="00B95188" w:rsidP="00B95188">
      <w:pPr>
        <w:pStyle w:val="a0"/>
      </w:pPr>
      <w:r w:rsidRPr="00A428C3">
        <w:t>Abstract: Inorganic arsenic species were measured in the porewaters collected from eighteen piezometers installed between 3</w:t>
      </w:r>
      <w:r w:rsidR="00F81221">
        <w:t xml:space="preserve"> and </w:t>
      </w:r>
      <w:smartTag w:uri="urn:schemas-microsoft-com:office:smarttags" w:element="chmetcnv">
        <w:smartTagPr>
          <w:attr w:name="TCSC" w:val="0"/>
          <w:attr w:name="NumberType" w:val="1"/>
          <w:attr w:name="Negative" w:val="False"/>
          <w:attr w:name="HasSpace" w:val="True"/>
          <w:attr w:name="SourceValue" w:val="91.4"/>
          <w:attr w:name="UnitName" w:val="m"/>
        </w:smartTagPr>
        <w:r w:rsidRPr="00A428C3">
          <w:t>91.4 m</w:t>
        </w:r>
      </w:smartTag>
      <w:r w:rsidRPr="00A428C3">
        <w:t xml:space="preserve"> below ground in a thick till</w:t>
      </w:r>
      <w:r w:rsidR="00F81221">
        <w:t xml:space="preserve"> and </w:t>
      </w:r>
      <w:r w:rsidRPr="00A428C3">
        <w:t xml:space="preserve">clay-rich aquitard sequence located in southern </w:t>
      </w:r>
      <w:smartTag w:uri="urn:schemas-microsoft-com:office:smarttags" w:element="place">
        <w:smartTag w:uri="urn:schemas-microsoft-com:office:smarttags" w:element="State">
          <w:r w:rsidRPr="00A428C3">
            <w:t>Saskatchewan</w:t>
          </w:r>
        </w:smartTag>
      </w:smartTag>
      <w:r w:rsidRPr="00A428C3">
        <w:t xml:space="preserve"> to investigate the distribution of,</w:t>
      </w:r>
      <w:r w:rsidR="00F81221">
        <w:t xml:space="preserve"> and </w:t>
      </w:r>
      <w:r w:rsidRPr="00A428C3">
        <w:t xml:space="preserve">controls on arsenic speciation in the sequence. Aqueous </w:t>
      </w:r>
      <w:r w:rsidRPr="00A428C3">
        <w:lastRenderedPageBreak/>
        <w:t>concentrations of As(V), As(III)</w:t>
      </w:r>
      <w:r w:rsidR="00F81221">
        <w:t xml:space="preserve"> and </w:t>
      </w:r>
      <w:r w:rsidRPr="00A428C3">
        <w:t>total As are in the range of 0.31-97, 0.71-21</w:t>
      </w:r>
      <w:r w:rsidR="00F81221">
        <w:t xml:space="preserve"> and </w:t>
      </w:r>
      <w:r w:rsidRPr="00A428C3">
        <w:t>3.2-98 ppb, respectively. Profiles of As(III)</w:t>
      </w:r>
      <w:r w:rsidR="00F81221">
        <w:t xml:space="preserve"> and </w:t>
      </w:r>
      <w:r w:rsidRPr="00A428C3">
        <w:t xml:space="preserve">As(V) concentration distribution with depth broadly track that of total As: erratic increases to </w:t>
      </w:r>
      <w:smartTag w:uri="urn:schemas-microsoft-com:office:smarttags" w:element="chmetcnv">
        <w:smartTagPr>
          <w:attr w:name="TCSC" w:val="0"/>
          <w:attr w:name="NumberType" w:val="1"/>
          <w:attr w:name="Negative" w:val="False"/>
          <w:attr w:name="HasSpace" w:val="True"/>
          <w:attr w:name="SourceValue" w:val="15.2"/>
          <w:attr w:name="UnitName" w:val="m"/>
        </w:smartTagPr>
        <w:r w:rsidRPr="00A428C3">
          <w:t>15.2 m</w:t>
        </w:r>
      </w:smartTag>
      <w:r w:rsidRPr="00A428C3">
        <w:t xml:space="preserve">, then more uniform concentrations to </w:t>
      </w:r>
      <w:smartTag w:uri="urn:schemas-microsoft-com:office:smarttags" w:element="chmetcnv">
        <w:smartTagPr>
          <w:attr w:name="TCSC" w:val="0"/>
          <w:attr w:name="NumberType" w:val="1"/>
          <w:attr w:name="Negative" w:val="False"/>
          <w:attr w:name="HasSpace" w:val="True"/>
          <w:attr w:name="SourceValue" w:val="88"/>
          <w:attr w:name="UnitName" w:val="m"/>
        </w:smartTagPr>
        <w:r w:rsidRPr="00A428C3">
          <w:t>88 m</w:t>
        </w:r>
      </w:smartTag>
      <w:r w:rsidRPr="00A428C3">
        <w:t>. Aqueous arsenic is accumulated at the upper redox transition zone (6</w:t>
      </w:r>
      <w:smartTag w:uri="urn:schemas-microsoft-com:office:smarttags" w:element="chmetcnv">
        <w:smartTagPr>
          <w:attr w:name="TCSC" w:val="0"/>
          <w:attr w:name="NumberType" w:val="1"/>
          <w:attr w:name="Negative" w:val="True"/>
          <w:attr w:name="HasSpace" w:val="True"/>
          <w:attr w:name="SourceValue" w:val="14"/>
          <w:attr w:name="UnitName" w:val="m"/>
        </w:smartTagPr>
        <w:r w:rsidRPr="00A428C3">
          <w:t>-14 m</w:t>
        </w:r>
      </w:smartTag>
      <w:r w:rsidRPr="00A428C3">
        <w:t xml:space="preserve">). The alkaline porewater at </w:t>
      </w:r>
      <w:smartTag w:uri="urn:schemas-microsoft-com:office:smarttags" w:element="chmetcnv">
        <w:smartTagPr>
          <w:attr w:name="TCSC" w:val="0"/>
          <w:attr w:name="NumberType" w:val="1"/>
          <w:attr w:name="Negative" w:val="False"/>
          <w:attr w:name="HasSpace" w:val="True"/>
          <w:attr w:name="SourceValue" w:val="91.4"/>
          <w:attr w:name="UnitName" w:val="m"/>
        </w:smartTagPr>
        <w:r w:rsidRPr="00A428C3">
          <w:t>91.4 m</w:t>
        </w:r>
      </w:smartTag>
      <w:r w:rsidRPr="00A428C3">
        <w:t xml:space="preserve"> contains the highest concentrations of As(V)</w:t>
      </w:r>
      <w:r w:rsidR="00F81221">
        <w:t xml:space="preserve"> and </w:t>
      </w:r>
      <w:r w:rsidRPr="00A428C3">
        <w:t>total As, which might result from the facilitated desorption of arsenate from the host solid due to decrease of positive surface charge of the oxides in alkaline solution. The ratio of As(V)/As(III) is greater than unity in the uppermost oxidized porewater (</w:t>
      </w:r>
      <w:smartTag w:uri="urn:schemas-microsoft-com:office:smarttags" w:element="chmetcnv">
        <w:smartTagPr>
          <w:attr w:name="TCSC" w:val="0"/>
          <w:attr w:name="NumberType" w:val="1"/>
          <w:attr w:name="Negative" w:val="False"/>
          <w:attr w:name="HasSpace" w:val="True"/>
          <w:attr w:name="SourceValue" w:val="3"/>
          <w:attr w:name="UnitName" w:val="m"/>
        </w:smartTagPr>
        <w:r w:rsidRPr="00A428C3">
          <w:t>3 m</w:t>
        </w:r>
      </w:smartTag>
      <w:r w:rsidRPr="00A428C3">
        <w:t xml:space="preserve">), less than unity from 4.6 to </w:t>
      </w:r>
      <w:smartTag w:uri="urn:schemas-microsoft-com:office:smarttags" w:element="chmetcnv">
        <w:smartTagPr>
          <w:attr w:name="TCSC" w:val="0"/>
          <w:attr w:name="NumberType" w:val="1"/>
          <w:attr w:name="Negative" w:val="False"/>
          <w:attr w:name="HasSpace" w:val="True"/>
          <w:attr w:name="SourceValue" w:val="71.6"/>
          <w:attr w:name="UnitName" w:val="m"/>
        </w:smartTagPr>
        <w:r w:rsidRPr="00A428C3">
          <w:t>71.6 m</w:t>
        </w:r>
      </w:smartTag>
      <w:r w:rsidRPr="00A428C3">
        <w:t>,</w:t>
      </w:r>
      <w:r w:rsidR="00F81221">
        <w:t xml:space="preserve"> and </w:t>
      </w:r>
      <w:r w:rsidRPr="00A428C3">
        <w:t xml:space="preserve">greater than unity in the lowest four porewaters (76.2 to </w:t>
      </w:r>
      <w:smartTag w:uri="urn:schemas-microsoft-com:office:smarttags" w:element="chmetcnv">
        <w:smartTagPr>
          <w:attr w:name="TCSC" w:val="0"/>
          <w:attr w:name="NumberType" w:val="1"/>
          <w:attr w:name="Negative" w:val="False"/>
          <w:attr w:name="HasSpace" w:val="True"/>
          <w:attr w:name="SourceValue" w:val="91.4"/>
          <w:attr w:name="UnitName" w:val="m"/>
        </w:smartTagPr>
        <w:r w:rsidRPr="00A428C3">
          <w:t>91.4 m</w:t>
        </w:r>
      </w:smartTag>
      <w:r w:rsidRPr="00A428C3">
        <w:t xml:space="preserve">). In the </w:t>
      </w:r>
      <w:smartTag w:uri="urn:schemas-microsoft-com:office:smarttags" w:element="chmetcnv">
        <w:smartTagPr>
          <w:attr w:name="TCSC" w:val="0"/>
          <w:attr w:name="NumberType" w:val="1"/>
          <w:attr w:name="Negative" w:val="False"/>
          <w:attr w:name="HasSpace" w:val="True"/>
          <w:attr w:name="SourceValue" w:val="3"/>
          <w:attr w:name="UnitName" w:val="m"/>
        </w:smartTagPr>
        <w:r w:rsidRPr="00A428C3">
          <w:t>3 m</w:t>
        </w:r>
      </w:smartTag>
      <w:r w:rsidRPr="00A428C3">
        <w:t xml:space="preserve"> porewater low As(III) but high As(V)/As(III) is due to the oxidized nature of the near surface weathered till. The high As(V)/As(III) in the deepest porewater at </w:t>
      </w:r>
      <w:smartTag w:uri="urn:schemas-microsoft-com:office:smarttags" w:element="chmetcnv">
        <w:smartTagPr>
          <w:attr w:name="TCSC" w:val="0"/>
          <w:attr w:name="NumberType" w:val="1"/>
          <w:attr w:name="Negative" w:val="False"/>
          <w:attr w:name="HasSpace" w:val="True"/>
          <w:attr w:name="SourceValue" w:val="91.4"/>
          <w:attr w:name="UnitName" w:val="m"/>
        </w:smartTagPr>
        <w:r w:rsidRPr="00A428C3">
          <w:t>91.4 m</w:t>
        </w:r>
      </w:smartTag>
      <w:r w:rsidRPr="00A428C3">
        <w:t xml:space="preserve"> likely results from the enhanced</w:t>
      </w:r>
      <w:r w:rsidR="00F81221">
        <w:t xml:space="preserve"> and </w:t>
      </w:r>
      <w:r w:rsidRPr="00A428C3">
        <w:t>heterogeneous oxidation of As(III) to As(V) on clay mineral surfaces in the alkaline solution. Total As</w:t>
      </w:r>
      <w:r w:rsidR="00F81221">
        <w:t xml:space="preserve"> and </w:t>
      </w:r>
      <w:r w:rsidRPr="00A428C3">
        <w:t>arsenic speciation may not be controlled by As, Fe or Mn concentrations in the host till or clay. Dissolved As(V)</w:t>
      </w:r>
      <w:r w:rsidR="00F81221">
        <w:t xml:space="preserve"> and </w:t>
      </w:r>
      <w:r w:rsidRPr="00A428C3">
        <w:t>total As positively covary with aqueous chloride, whereas dissolved As(III) is independent of aqueous chloride. Aqueous As(III),</w:t>
      </w:r>
      <w:r w:rsidR="00F81221">
        <w:t xml:space="preserve"> and </w:t>
      </w:r>
      <w:r w:rsidRPr="00A428C3">
        <w:t>to a less extent As(V)</w:t>
      </w:r>
      <w:r w:rsidR="00F81221">
        <w:t xml:space="preserve"> and </w:t>
      </w:r>
      <w:r w:rsidRPr="00A428C3">
        <w:t>total As are positively correlated with dissolved Mn in the till. In the clay, aqueous As(V)</w:t>
      </w:r>
      <w:r w:rsidR="00F81221">
        <w:t xml:space="preserve"> and </w:t>
      </w:r>
      <w:r w:rsidRPr="00A428C3">
        <w:t>total As show strong negative covariation with Mn. However, aqueous As(III), As(V)</w:t>
      </w:r>
      <w:r w:rsidR="00F81221">
        <w:t xml:space="preserve"> and </w:t>
      </w:r>
      <w:r w:rsidRPr="00A428C3">
        <w:t>total As exhibit almost no correlation with total dissolved Fe in the till. The As(V)/As(III) ratio has strong negative correlation with dissolved Mn, but positive covaration with dissolved chloride. Generally good agreement between the redox potentials (Eh) calculated from aqueous As(V)</w:t>
      </w:r>
      <w:r w:rsidR="00F81221">
        <w:t xml:space="preserve"> and </w:t>
      </w:r>
      <w:r w:rsidRPr="00A428C3">
        <w:t>As(III) concentrations</w:t>
      </w:r>
      <w:r w:rsidR="00F81221">
        <w:t xml:space="preserve"> and </w:t>
      </w:r>
      <w:r w:rsidRPr="00A428C3">
        <w:t>those measured by a Pt electrode throughout most of the unoxidized till suggests the suitability of using As(V)-As(III) redox couple as a redox indicator for the studied aquitard system. However, large negative bias of the calculated Eh from the measured Eh in the oxidized till/upper unoxidized till</w:t>
      </w:r>
      <w:r w:rsidR="00F81221">
        <w:t xml:space="preserve"> and </w:t>
      </w:r>
      <w:r w:rsidRPr="00A428C3">
        <w:t>the clay is attributed to errors associated with the field measurements of Eh. Copyright (C) 2000 Elsevier Science Ltd.</w:t>
      </w:r>
    </w:p>
    <w:p w:rsidR="00B95188" w:rsidRPr="00A428C3" w:rsidRDefault="00B95188" w:rsidP="00B95188">
      <w:pPr>
        <w:pStyle w:val="a0"/>
      </w:pPr>
      <w:r w:rsidRPr="00A428C3">
        <w:t xml:space="preserve">Keywords: Amorphous Iron Hydroxide, Drinking-Water, Groundwater, Speciation, Adsorption, </w:t>
      </w:r>
      <w:smartTag w:uri="urn:schemas-microsoft-com:office:smarttags" w:element="place">
        <w:r w:rsidRPr="00A428C3">
          <w:t>Lake</w:t>
        </w:r>
      </w:smartTag>
      <w:r w:rsidRPr="00A428C3">
        <w:t>, Geochemistry, Environment, Chemistry, Aquifer</w:t>
      </w:r>
    </w:p>
    <w:p w:rsidR="00B95188" w:rsidRPr="00A428C3" w:rsidRDefault="00B95188" w:rsidP="00B95188">
      <w:pPr>
        <w:pStyle w:val="a0"/>
      </w:pPr>
      <w:r w:rsidRPr="00A428C3">
        <w:t>Zhou, Q.H., Maurice, P.A.</w:t>
      </w:r>
      <w:r w:rsidR="00F81221">
        <w:t xml:space="preserve"> and </w:t>
      </w:r>
      <w:r w:rsidRPr="00A428C3">
        <w:t>Cabaniss, S.E. (2001), Size fractionation upon adsorption of fulvic acid on goethite: Equilibrium</w:t>
      </w:r>
      <w:r w:rsidR="00F81221">
        <w:t xml:space="preserve"> and </w:t>
      </w:r>
      <w:r w:rsidRPr="00A428C3">
        <w:t xml:space="preserve">kinetic studies. </w:t>
      </w:r>
      <w:r w:rsidRPr="00A428C3">
        <w:rPr>
          <w:i/>
          <w:iCs/>
        </w:rPr>
        <w:t>Geochimica et Cosmochimica Acta</w:t>
      </w:r>
      <w:r w:rsidRPr="00A428C3">
        <w:t xml:space="preserve">, </w:t>
      </w:r>
      <w:r w:rsidRPr="00A428C3">
        <w:rPr>
          <w:b/>
        </w:rPr>
        <w:t>65</w:t>
      </w:r>
      <w:r w:rsidRPr="00A428C3">
        <w:t xml:space="preserve"> (5), 803-812.</w:t>
      </w:r>
    </w:p>
    <w:p w:rsidR="00B95188" w:rsidRPr="00A428C3" w:rsidRDefault="00B95188" w:rsidP="00B95188">
      <w:pPr>
        <w:pStyle w:val="a0"/>
      </w:pPr>
      <w:r w:rsidRPr="00A428C3">
        <w:t xml:space="preserve">Full Text: </w:t>
      </w:r>
      <w:hyperlink r:id="rId382" w:history="1">
        <w:r w:rsidRPr="00A428C3">
          <w:rPr>
            <w:rStyle w:val="a5"/>
          </w:rPr>
          <w:t>G\Geo Cos Act65, 803.pdf</w:t>
        </w:r>
      </w:hyperlink>
    </w:p>
    <w:p w:rsidR="00B95188" w:rsidRPr="00A428C3" w:rsidRDefault="00B95188" w:rsidP="00B95188">
      <w:pPr>
        <w:pStyle w:val="a0"/>
      </w:pPr>
      <w:r w:rsidRPr="00A428C3">
        <w:t>Abstract: We examined adsorption equilibrium</w:t>
      </w:r>
      <w:r w:rsidR="00F81221">
        <w:t xml:space="preserve"> and </w:t>
      </w:r>
      <w:r w:rsidRPr="00A428C3">
        <w:t>kinetics of an aquatic fulvic acid (XAD-8 resin extract) onto goethite (alpha-FeOOH). Molecular weight distributions were determined using high-pressure size exclusion chromatography (HPSEC). Overall adsorption isotherms</w:t>
      </w:r>
      <w:r w:rsidR="00F81221">
        <w:t xml:space="preserve"> and </w:t>
      </w:r>
      <w:r w:rsidRPr="00A428C3">
        <w:t xml:space="preserve">those of the most abundant intermediate molecular </w:t>
      </w:r>
      <w:r w:rsidRPr="00A428C3">
        <w:lastRenderedPageBreak/>
        <w:t>weight (IMW) fraction (1250-3750 Da) fit the Langmuir adsorption equation, as is commonly observed for humic substances. However, this overall fit masked the non-Langmuir isotherm shape of high</w:t>
      </w:r>
      <w:r w:rsidR="00F81221">
        <w:t xml:space="preserve"> and </w:t>
      </w:r>
      <w:r w:rsidRPr="00A428C3">
        <w:t>low molecular weight (HMW, LMW, respectively) fractions. We observed preferential adsorption of HMW fractions at low pH</w:t>
      </w:r>
      <w:r w:rsidR="00F81221">
        <w:t xml:space="preserve"> and </w:t>
      </w:r>
      <w:r w:rsidRPr="00A428C3">
        <w:t>of IMW fractions at higher pH. We also observed preferential adsorption of components with higher absorbance normalized to moles C (epsilon (280)), probably reflecting greater aromaticity. Over the first 6 h of adsorption experiments, adsorbed organic carbon increased</w:t>
      </w:r>
      <w:r w:rsidR="00F81221">
        <w:t xml:space="preserve"> and </w:t>
      </w:r>
      <w:r w:rsidRPr="00A428C3">
        <w:t>weight average molecular weight (M-w) of the organic matter remaining in solution decreased, consistent with slower adsorption of higher molecular weight components. Observations of fractionation upon adsorption agreed well with a field study showing lower M-w</w:t>
      </w:r>
      <w:r w:rsidR="00F81221">
        <w:t xml:space="preserve"> and </w:t>
      </w:r>
      <w:r w:rsidRPr="00A428C3">
        <w:t>lower epsilon (280) organic matter in deeper ground water relative to surface</w:t>
      </w:r>
      <w:r w:rsidR="00F81221">
        <w:t xml:space="preserve"> and </w:t>
      </w:r>
      <w:r w:rsidRPr="00A428C3">
        <w:t>shallow ground water. Copyright (C) 2001 Elsevier Science Ltd.</w:t>
      </w:r>
    </w:p>
    <w:p w:rsidR="00B95188" w:rsidRPr="00A428C3" w:rsidRDefault="00B95188" w:rsidP="00B95188">
      <w:pPr>
        <w:pStyle w:val="a0"/>
      </w:pPr>
      <w:r w:rsidRPr="00A428C3">
        <w:t>Keywords: Natural Organic-Matter, Aquatic Humic Substances, Molecular-Weight, Iron-Oxide, Polyacrylic-Acid, Mineral Particles, Water, Polydispersity, Displacement, Sorption</w:t>
      </w:r>
    </w:p>
    <w:p w:rsidR="00B95188" w:rsidRPr="00A428C3" w:rsidRDefault="00B95188" w:rsidP="00B95188">
      <w:pPr>
        <w:pStyle w:val="a0"/>
      </w:pPr>
      <w:r w:rsidRPr="00A428C3">
        <w:t>Daughney, C.J., Fowle, D.A.</w:t>
      </w:r>
      <w:r w:rsidR="00F81221">
        <w:t xml:space="preserve"> and </w:t>
      </w:r>
      <w:r w:rsidRPr="00A428C3">
        <w:t>Fortin, D. (2001), The effect of growth phase on proton</w:t>
      </w:r>
      <w:r w:rsidR="00F81221">
        <w:t xml:space="preserve"> and </w:t>
      </w:r>
      <w:r w:rsidRPr="00A428C3">
        <w:t xml:space="preserve">metal adsorption by Bacillus subtilis. </w:t>
      </w:r>
      <w:r w:rsidRPr="00A428C3">
        <w:rPr>
          <w:i/>
        </w:rPr>
        <w:t>Geochimica et Cosmochimica Acta</w:t>
      </w:r>
      <w:r w:rsidRPr="00A428C3">
        <w:t xml:space="preserve">, </w:t>
      </w:r>
      <w:r w:rsidRPr="00A428C3">
        <w:rPr>
          <w:b/>
        </w:rPr>
        <w:t>65</w:t>
      </w:r>
      <w:r w:rsidRPr="00A428C3">
        <w:t xml:space="preserve"> (7), 1025-1035.</w:t>
      </w:r>
    </w:p>
    <w:p w:rsidR="00B95188" w:rsidRPr="00A428C3" w:rsidRDefault="00B95188" w:rsidP="00B95188">
      <w:pPr>
        <w:pStyle w:val="a0"/>
      </w:pPr>
      <w:r w:rsidRPr="00A428C3">
        <w:t xml:space="preserve">Full Text: </w:t>
      </w:r>
      <w:hyperlink r:id="rId383" w:history="1">
        <w:r w:rsidRPr="00A428C3">
          <w:rPr>
            <w:rStyle w:val="a5"/>
          </w:rPr>
          <w:t>G\Geo Cos Act65, 1025.pdf</w:t>
        </w:r>
      </w:hyperlink>
    </w:p>
    <w:p w:rsidR="00B95188" w:rsidRPr="00A428C3" w:rsidRDefault="00B95188" w:rsidP="00B95188">
      <w:pPr>
        <w:pStyle w:val="a0"/>
      </w:pPr>
      <w:r w:rsidRPr="00A428C3">
        <w:t>Abstract: Several recent studies have applied surface complexation models to quantify metal adsorption by bacterial surfaces. Although these models can account for the effects of many abiotic variables (such as pH</w:t>
      </w:r>
      <w:r w:rsidR="00F81221">
        <w:t xml:space="preserve"> and </w:t>
      </w:r>
      <w:r w:rsidRPr="00A428C3">
        <w:t>ionic strength), to date, the effects of biotic variables (such as growth phase) have not been investigated. In this study, we quantify the effect of growth phase on surface site concentrations, deprotonation constants,</w:t>
      </w:r>
      <w:r w:rsidR="00F81221">
        <w:t xml:space="preserve"> and </w:t>
      </w:r>
      <w:r w:rsidRPr="00A428C3">
        <w:t>metal-binding constants by performing acid-base titrations</w:t>
      </w:r>
      <w:r w:rsidR="00F81221">
        <w:t xml:space="preserve"> and </w:t>
      </w:r>
      <w:r w:rsidRPr="00A428C3">
        <w:t>Cd</w:t>
      </w:r>
      <w:r w:rsidR="00F81221">
        <w:t xml:space="preserve"> and </w:t>
      </w:r>
      <w:r w:rsidRPr="00A428C3">
        <w:t xml:space="preserve">Fe(III) batch adsorption experiments using suspensions containing </w:t>
      </w:r>
      <w:r w:rsidRPr="00A428C3">
        <w:rPr>
          <w:i/>
          <w:iCs/>
        </w:rPr>
        <w:t>Bacillus subtilis</w:t>
      </w:r>
      <w:r w:rsidRPr="00A428C3">
        <w:t xml:space="preserve"> cultured to exponential, stationary,</w:t>
      </w:r>
      <w:r w:rsidR="00F81221">
        <w:t xml:space="preserve"> and </w:t>
      </w:r>
      <w:r w:rsidRPr="00A428C3">
        <w:t>sporulated phase. For each type of surface site, concentrations</w:t>
      </w:r>
      <w:r w:rsidR="00F81221">
        <w:t xml:space="preserve"> and </w:t>
      </w:r>
      <w:r w:rsidRPr="00A428C3">
        <w:t>p</w:t>
      </w:r>
      <w:r w:rsidRPr="00A428C3">
        <w:rPr>
          <w:i/>
          <w:iCs/>
        </w:rPr>
        <w:t>K</w:t>
      </w:r>
      <w:r w:rsidRPr="00A428C3">
        <w:rPr>
          <w:vertAlign w:val="subscript"/>
        </w:rPr>
        <w:t>a</w:t>
      </w:r>
      <w:r w:rsidRPr="00A428C3">
        <w:t xml:space="preserve"> values describing deprotonation decrease as the cells move from exponential to stationary phase, but remain constant from stationary to sporulated phase. Due to the variations in site concentrations</w:t>
      </w:r>
      <w:r w:rsidR="00F81221">
        <w:t xml:space="preserve"> and </w:t>
      </w:r>
      <w:r w:rsidRPr="00A428C3">
        <w:t>deprotonation constants, Cd</w:t>
      </w:r>
      <w:r w:rsidR="00F81221">
        <w:t xml:space="preserve"> and </w:t>
      </w:r>
      <w:r w:rsidRPr="00A428C3">
        <w:t>Fe(III) binding constants are largest for stationary-phase cells</w:t>
      </w:r>
      <w:r w:rsidR="00F81221">
        <w:t xml:space="preserve"> and </w:t>
      </w:r>
      <w:r w:rsidRPr="00A428C3">
        <w:t>smallest for sporulated cells, even though cells in stationary phase adsorb roughly 5% to 10% less metal (per unit weight) than exponential-phase cells,</w:t>
      </w:r>
      <w:r w:rsidR="00F81221">
        <w:t xml:space="preserve"> and </w:t>
      </w:r>
      <w:r w:rsidRPr="00A428C3">
        <w:t>roughly 10% to 20% more metal than sporulated cells. These variations in surface complexation model parameters indicate that any attempt to predict proton or metal adsorption by bacteria must consider the growth phase of the population. Copyright (C) 2001 Elsevier Science Ltd.</w:t>
      </w:r>
    </w:p>
    <w:p w:rsidR="00B95188" w:rsidRPr="00A428C3" w:rsidRDefault="00B95188" w:rsidP="00B95188">
      <w:pPr>
        <w:pStyle w:val="a0"/>
      </w:pPr>
      <w:r w:rsidRPr="00A428C3">
        <w:t>Yee, N.</w:t>
      </w:r>
      <w:r w:rsidR="00F81221">
        <w:t xml:space="preserve"> and </w:t>
      </w:r>
      <w:r w:rsidRPr="00A428C3">
        <w:t xml:space="preserve">Fein, J. (2001), Cd adsorption onto bacterial surfaces: A universal </w:t>
      </w:r>
      <w:r w:rsidRPr="00A428C3">
        <w:lastRenderedPageBreak/>
        <w:t xml:space="preserve">adsorption edge? </w:t>
      </w:r>
      <w:r w:rsidRPr="00A428C3">
        <w:rPr>
          <w:i/>
        </w:rPr>
        <w:t>Geochimica et Cosmochimica Acta</w:t>
      </w:r>
      <w:r w:rsidRPr="00A428C3">
        <w:t xml:space="preserve">, </w:t>
      </w:r>
      <w:r w:rsidRPr="00A428C3">
        <w:rPr>
          <w:b/>
        </w:rPr>
        <w:t>65</w:t>
      </w:r>
      <w:r w:rsidRPr="00A428C3">
        <w:t xml:space="preserve"> (13), 2037-2042.</w:t>
      </w:r>
    </w:p>
    <w:p w:rsidR="00B95188" w:rsidRPr="00A428C3" w:rsidRDefault="00B95188" w:rsidP="00B95188">
      <w:pPr>
        <w:pStyle w:val="a0"/>
      </w:pPr>
      <w:r w:rsidRPr="00A428C3">
        <w:t xml:space="preserve">Full Text: </w:t>
      </w:r>
      <w:hyperlink r:id="rId384" w:history="1">
        <w:r w:rsidRPr="00A428C3">
          <w:rPr>
            <w:rStyle w:val="a5"/>
          </w:rPr>
          <w:t>G\Geo Cos Act65, 2037.pdf</w:t>
        </w:r>
      </w:hyperlink>
    </w:p>
    <w:p w:rsidR="00B95188" w:rsidRPr="00A428C3" w:rsidRDefault="00B95188" w:rsidP="00B95188">
      <w:pPr>
        <w:pStyle w:val="a0"/>
      </w:pPr>
      <w:r w:rsidRPr="00A428C3">
        <w:t>Abstract: In this study, we measure the thermodynamic stability constants for proton</w:t>
      </w:r>
      <w:r w:rsidR="00F81221">
        <w:t xml:space="preserve"> and </w:t>
      </w:r>
      <w:r w:rsidRPr="00A428C3">
        <w:t xml:space="preserve">Cd binding onto the Gram-negative bacteria </w:t>
      </w:r>
      <w:r w:rsidRPr="00A428C3">
        <w:rPr>
          <w:i/>
          <w:iCs/>
        </w:rPr>
        <w:t>Escherichia coli</w:t>
      </w:r>
      <w:r w:rsidR="00F81221">
        <w:t xml:space="preserve"> and </w:t>
      </w:r>
      <w:r w:rsidRPr="00A428C3">
        <w:rPr>
          <w:i/>
          <w:iCs/>
        </w:rPr>
        <w:t>Pseudomonas aeruginosa</w:t>
      </w:r>
      <w:r w:rsidRPr="00A428C3">
        <w:t>,</w:t>
      </w:r>
      <w:r w:rsidR="00F81221">
        <w:t xml:space="preserve"> and </w:t>
      </w:r>
      <w:r w:rsidRPr="00A428C3">
        <w:t xml:space="preserve">the Gram-positive bacteria </w:t>
      </w:r>
      <w:r w:rsidRPr="00A428C3">
        <w:rPr>
          <w:i/>
          <w:iCs/>
        </w:rPr>
        <w:t>Bacillus megaturium</w:t>
      </w:r>
      <w:r w:rsidRPr="00A428C3">
        <w:t xml:space="preserve">, </w:t>
      </w:r>
      <w:r w:rsidRPr="00A428C3">
        <w:rPr>
          <w:i/>
          <w:iCs/>
        </w:rPr>
        <w:t>Streptococcus faecalis</w:t>
      </w:r>
      <w:r w:rsidRPr="00A428C3">
        <w:t xml:space="preserve">, </w:t>
      </w:r>
      <w:r w:rsidRPr="00A428C3">
        <w:rPr>
          <w:i/>
          <w:iCs/>
        </w:rPr>
        <w:t>Staphylococcus aureus</w:t>
      </w:r>
      <w:r w:rsidRPr="00A428C3">
        <w:t xml:space="preserve">, </w:t>
      </w:r>
      <w:r w:rsidRPr="00A428C3">
        <w:rPr>
          <w:i/>
          <w:iCs/>
        </w:rPr>
        <w:t>Sporosarcina ureae</w:t>
      </w:r>
      <w:r w:rsidRPr="00A428C3">
        <w:t>,</w:t>
      </w:r>
      <w:r w:rsidR="00F81221">
        <w:t xml:space="preserve"> and </w:t>
      </w:r>
      <w:r w:rsidRPr="00A428C3">
        <w:rPr>
          <w:i/>
          <w:iCs/>
        </w:rPr>
        <w:t>Bacillus cereus</w:t>
      </w:r>
      <w:r w:rsidRPr="00A428C3">
        <w:t>. Potentiometric titrations</w:t>
      </w:r>
      <w:r w:rsidR="00F81221">
        <w:t xml:space="preserve"> and </w:t>
      </w:r>
      <w:r w:rsidRPr="00A428C3">
        <w:t>Cd-bacteria adsorption experiments yield average values for the carboxyl site pK</w:t>
      </w:r>
      <w:r w:rsidRPr="00A428C3">
        <w:rPr>
          <w:vertAlign w:val="subscript"/>
        </w:rPr>
        <w:t>a</w:t>
      </w:r>
      <w:r w:rsidRPr="00A428C3">
        <w:t>, site concentration,</w:t>
      </w:r>
      <w:r w:rsidR="00F81221">
        <w:t xml:space="preserve"> and </w:t>
      </w:r>
      <w:r w:rsidRPr="00A428C3">
        <w:t>log stability constant for the bacterial surface Cd-carboxyl complex of 5.0, 2.0×10</w:t>
      </w:r>
      <w:r w:rsidRPr="00A428C3">
        <w:rPr>
          <w:vertAlign w:val="superscript"/>
        </w:rPr>
        <w:t>−3</w:t>
      </w:r>
      <w:r w:rsidRPr="00A428C3">
        <w:t xml:space="preserve"> mol/g</w:t>
      </w:r>
      <w:r w:rsidR="00F81221">
        <w:t xml:space="preserve"> and </w:t>
      </w:r>
      <w:r w:rsidRPr="00A428C3">
        <w:t>4.0 respectively. Our results indicate that a wide range of bacterial species exhibit nearly identical Cd adsorption behavior as a function of pH. We propose that metal-bacteria adsorption is not dependent on the bacterial species involved,</w:t>
      </w:r>
      <w:r w:rsidR="00F81221">
        <w:t xml:space="preserve"> and </w:t>
      </w:r>
      <w:r w:rsidRPr="00A428C3">
        <w:t>we develop a generalized adsorption model which may greatly simplify the task of quantifying the effects of bacterial adsorption on dissolved mass transport in realistic geologic systems. Copyright (C) 2001 Elsevier Science Ltd.</w:t>
      </w:r>
    </w:p>
    <w:p w:rsidR="00B95188" w:rsidRPr="00A428C3" w:rsidRDefault="00B95188" w:rsidP="00B95188">
      <w:pPr>
        <w:pStyle w:val="a0"/>
      </w:pPr>
      <w:r w:rsidRPr="00A428C3">
        <w:t>Morton, J.D., Semrau, J.D.</w:t>
      </w:r>
      <w:r w:rsidR="00F81221">
        <w:t xml:space="preserve"> and </w:t>
      </w:r>
      <w:r w:rsidRPr="00A428C3">
        <w:t>Hayes, K.F. (2001), An X-ray absorption spectroscopy study of the structure</w:t>
      </w:r>
      <w:r w:rsidR="00F81221">
        <w:t xml:space="preserve"> and </w:t>
      </w:r>
      <w:r w:rsidRPr="00A428C3">
        <w:t xml:space="preserve">reversibility of copper adsorbed to montmorillonite clay. </w:t>
      </w:r>
      <w:r w:rsidRPr="00A428C3">
        <w:rPr>
          <w:i/>
        </w:rPr>
        <w:t>Geochimica et Cosmochimica Acta</w:t>
      </w:r>
      <w:r w:rsidRPr="00A428C3">
        <w:t xml:space="preserve">, </w:t>
      </w:r>
      <w:r w:rsidRPr="00A428C3">
        <w:rPr>
          <w:b/>
        </w:rPr>
        <w:t>65</w:t>
      </w:r>
      <w:r w:rsidRPr="00A428C3">
        <w:t xml:space="preserve"> (16), 2709-2722.</w:t>
      </w:r>
    </w:p>
    <w:p w:rsidR="00B95188" w:rsidRPr="00A428C3" w:rsidRDefault="00B95188" w:rsidP="00B95188">
      <w:pPr>
        <w:pStyle w:val="a0"/>
      </w:pPr>
      <w:r w:rsidRPr="00A428C3">
        <w:t xml:space="preserve">Full Text: </w:t>
      </w:r>
      <w:hyperlink r:id="rId385" w:history="1">
        <w:r w:rsidRPr="00A428C3">
          <w:rPr>
            <w:rStyle w:val="a5"/>
          </w:rPr>
          <w:t>G\Geo Cos Act65, 2709.pdf</w:t>
        </w:r>
      </w:hyperlink>
    </w:p>
    <w:p w:rsidR="00B95188" w:rsidRPr="00A428C3" w:rsidRDefault="00B95188" w:rsidP="00B95188">
      <w:pPr>
        <w:pStyle w:val="a0"/>
      </w:pPr>
      <w:r w:rsidRPr="00A428C3">
        <w:t>Abstract: X-ray absorption spectroscopy (XAS)</w:t>
      </w:r>
      <w:r w:rsidR="00F81221">
        <w:t xml:space="preserve"> and </w:t>
      </w:r>
      <w:r w:rsidRPr="00A428C3">
        <w:t>adsorption-desorption measurements have been performed to assess the relationship between the structure</w:t>
      </w:r>
      <w:r w:rsidR="00F81221">
        <w:t xml:space="preserve"> and </w:t>
      </w:r>
      <w:r w:rsidRPr="00A428C3">
        <w:t>reversibility of copper complexes on montmorillonite clay. By varying the solution pH</w:t>
      </w:r>
      <w:r w:rsidR="00F81221">
        <w:t xml:space="preserve"> and </w:t>
      </w:r>
      <w:r w:rsidRPr="00A428C3">
        <w:t>background electrolyte concentration, the adsorption of copper on either the edge sites or permanent charge sites of montmorillonite was controlled. This allowed the structure</w:t>
      </w:r>
      <w:r w:rsidR="00F81221">
        <w:t xml:space="preserve"> and </w:t>
      </w:r>
      <w:r w:rsidRPr="00A428C3">
        <w:t>reversibility of copper complexes on each of these site types to be assessed independently of each other. XAS analysis of copper adsorbed on the permanent charge sites indicated outer-sphere surface complexes, with these complexes showing sorption reversibility. For copper complexes formed on the edge sites of montmorillonite, XAS data confirmed the presence of monomer</w:t>
      </w:r>
      <w:r w:rsidR="00F81221">
        <w:t xml:space="preserve"> and </w:t>
      </w:r>
      <w:r w:rsidRPr="00A428C3">
        <w:t>dimer copper surface complexes. Sorption irreversibility at edge sites was noted at copper coverages less than 20 μmoles/g clay at pH=4.2</w:t>
      </w:r>
      <w:r w:rsidR="00F81221">
        <w:t xml:space="preserve"> and </w:t>
      </w:r>
      <w:r w:rsidRPr="00A428C3">
        <w:t>at coverages greater than 50 μmoles/g clay at pH=6.8. At pH=6.8, higher Cu-Cu coordination numbers indicated the copper sorption irreversibility may be due, in part, to the formation of dimer surface complexes. The coordination numbers at pH=4.2 indicated the irreversibility could be due to the formation of dimers or due to formation of surface complexes on high energy edge sites. Copyright (C) 2001 Elsevier Science Ltd.</w:t>
      </w:r>
    </w:p>
    <w:p w:rsidR="00B95188" w:rsidRPr="00A428C3" w:rsidRDefault="00B95188" w:rsidP="00B95188">
      <w:pPr>
        <w:pStyle w:val="a0"/>
      </w:pPr>
      <w:r w:rsidRPr="00A428C3">
        <w:t>Stack, A.G., Higgins, S.R.</w:t>
      </w:r>
      <w:r w:rsidR="00F81221">
        <w:t xml:space="preserve"> and </w:t>
      </w:r>
      <w:r w:rsidRPr="00A428C3">
        <w:t>Eggleston, C.M. (2001), Point of zero charge of a corundum-water interface probed with optical second harmonic generation (SHG)</w:t>
      </w:r>
      <w:r w:rsidR="00F81221">
        <w:t xml:space="preserve"> and </w:t>
      </w:r>
      <w:r w:rsidRPr="00A428C3">
        <w:t xml:space="preserve">atomic force microscopy (AFM): New approaches to oxide surface charge. </w:t>
      </w:r>
      <w:r w:rsidRPr="00A428C3">
        <w:rPr>
          <w:i/>
        </w:rPr>
        <w:lastRenderedPageBreak/>
        <w:t>Geochimica et Cosmochimica Acta</w:t>
      </w:r>
      <w:r w:rsidRPr="00A428C3">
        <w:t xml:space="preserve">, </w:t>
      </w:r>
      <w:r w:rsidRPr="00A428C3">
        <w:rPr>
          <w:b/>
        </w:rPr>
        <w:t>65</w:t>
      </w:r>
      <w:r w:rsidRPr="00A428C3">
        <w:t xml:space="preserve"> (18), 3055-3063.</w:t>
      </w:r>
    </w:p>
    <w:p w:rsidR="00B95188" w:rsidRPr="00A428C3" w:rsidRDefault="00B95188" w:rsidP="00B95188">
      <w:pPr>
        <w:pStyle w:val="a0"/>
      </w:pPr>
      <w:r w:rsidRPr="00A428C3">
        <w:t xml:space="preserve">Full Text: </w:t>
      </w:r>
      <w:hyperlink r:id="rId386" w:history="1">
        <w:r w:rsidRPr="00A428C3">
          <w:rPr>
            <w:rStyle w:val="a5"/>
          </w:rPr>
          <w:t>G\Geo Cos Act65, 3055.pdf</w:t>
        </w:r>
      </w:hyperlink>
    </w:p>
    <w:p w:rsidR="00B95188" w:rsidRPr="00A428C3" w:rsidRDefault="00B95188" w:rsidP="00B95188">
      <w:pPr>
        <w:pStyle w:val="a0"/>
      </w:pPr>
      <w:r w:rsidRPr="00A428C3">
        <w:t xml:space="preserve">Abstract: The </w:t>
      </w:r>
      <w:r w:rsidRPr="00A428C3">
        <w:rPr>
          <w:i/>
          <w:iCs/>
        </w:rPr>
        <w:t>p</w:t>
      </w:r>
      <w:r w:rsidRPr="00A428C3">
        <w:t>H</w:t>
      </w:r>
      <w:r w:rsidR="00F81221">
        <w:t xml:space="preserve"> and </w:t>
      </w:r>
      <w:r w:rsidRPr="00A428C3">
        <w:t xml:space="preserve">ionic strength dependence of light generated at a corundum-solution interface by the nonlinear optical process of second harmonic generation (SHG) is reported. A point of zero salt effect occurs in the </w:t>
      </w:r>
      <w:r w:rsidRPr="00A428C3">
        <w:rPr>
          <w:i/>
          <w:iCs/>
        </w:rPr>
        <w:t>p</w:t>
      </w:r>
      <w:r w:rsidRPr="00A428C3">
        <w:t xml:space="preserve">H range 5 to 6. The </w:t>
      </w:r>
      <w:r w:rsidRPr="00A428C3">
        <w:rPr>
          <w:i/>
          <w:iCs/>
        </w:rPr>
        <w:t>p</w:t>
      </w:r>
      <w:r w:rsidRPr="00A428C3">
        <w:t>H</w:t>
      </w:r>
      <w:r w:rsidR="00F81221">
        <w:t xml:space="preserve"> and </w:t>
      </w:r>
      <w:r w:rsidRPr="00A428C3">
        <w:t xml:space="preserve">ionic strength dependence of the SHG is qualitatively consistent with a model describing SHG from a charged mineral/water interface from and, but certain aspects of the model appear inadequate to describe the full range of our data. Atomic force microscopy (AFM) force-distance measurements, though imprecise, were consistent with a point of zero charge (p.z.c.) for the interface also in the </w:t>
      </w:r>
      <w:r w:rsidRPr="00A428C3">
        <w:rPr>
          <w:i/>
          <w:iCs/>
        </w:rPr>
        <w:t>p</w:t>
      </w:r>
      <w:r w:rsidRPr="00A428C3">
        <w:t>H range 5 to 6. The SHG (and AFM) results are different from expectation; the observed p.z.s.e. (and presumably also the p.z.c.) is considerably lower than the accepted point of zero charge of clean alumina powders (</w:t>
      </w:r>
      <w:r w:rsidRPr="00A428C3">
        <w:rPr>
          <w:i/>
          <w:iCs/>
        </w:rPr>
        <w:t>p</w:t>
      </w:r>
      <w:r w:rsidRPr="00A428C3">
        <w:t>H 8–9.4; Although the reasons for this are unclear, SHG holds promise as a probe of oxide-water interfaces that is independent of interpretation of acid-base titration stoichiometry. Copyright (C) 2001 Elsevier Science Ltd.</w:t>
      </w:r>
    </w:p>
    <w:p w:rsidR="00B95188" w:rsidRPr="00A428C3" w:rsidRDefault="00B95188" w:rsidP="00B95188">
      <w:pPr>
        <w:pStyle w:val="a0"/>
      </w:pPr>
      <w:r w:rsidRPr="00A428C3">
        <w:t>Fein, J.B., Martin, A.M.</w:t>
      </w:r>
      <w:r w:rsidR="00F81221">
        <w:t xml:space="preserve"> and </w:t>
      </w:r>
      <w:r w:rsidRPr="00A428C3">
        <w:t xml:space="preserve">Wightman, P.G. (2001), Metal adsorption onto bacterial surfaces: Development of a predictive approach. </w:t>
      </w:r>
      <w:r w:rsidRPr="00A428C3">
        <w:rPr>
          <w:i/>
        </w:rPr>
        <w:t>Geochimica et Cosmochimica Acta</w:t>
      </w:r>
      <w:r w:rsidRPr="00A428C3">
        <w:t xml:space="preserve">, </w:t>
      </w:r>
      <w:r w:rsidRPr="00A428C3">
        <w:rPr>
          <w:b/>
        </w:rPr>
        <w:t>65</w:t>
      </w:r>
      <w:r w:rsidRPr="00A428C3">
        <w:t xml:space="preserve"> (23), 4267-4273.</w:t>
      </w:r>
    </w:p>
    <w:p w:rsidR="00B95188" w:rsidRPr="00A428C3" w:rsidRDefault="00B95188" w:rsidP="00B95188">
      <w:pPr>
        <w:pStyle w:val="a0"/>
      </w:pPr>
      <w:r w:rsidRPr="00A428C3">
        <w:t xml:space="preserve">Full Text: </w:t>
      </w:r>
      <w:hyperlink r:id="rId387" w:history="1">
        <w:r w:rsidRPr="00A428C3">
          <w:rPr>
            <w:rStyle w:val="a5"/>
          </w:rPr>
          <w:t>G\Geo Cos Act65, 4267.pdf</w:t>
        </w:r>
      </w:hyperlink>
    </w:p>
    <w:p w:rsidR="00B95188" w:rsidRPr="00A428C3" w:rsidRDefault="00B95188" w:rsidP="00B95188">
      <w:pPr>
        <w:pStyle w:val="a0"/>
      </w:pPr>
      <w:r w:rsidRPr="00A428C3">
        <w:t xml:space="preserve">Abstract: Aqueous metal cation adsorption onto bacterial surfaces can be successfully modeled by means of a surface complexation approach. However, relatively few stability constants for metal-bacterial surface complexes have been measured. In order to determine the bacterial adsorption behavior of cations that have not been studied in the laboratory, predictive techniques are required that enable estimation of the stability constants of bacterial surface complexes. In this study, we use a linear free-energy approach to compare previously measured stability constants for </w:t>
      </w:r>
      <w:r w:rsidRPr="00A428C3">
        <w:rPr>
          <w:i/>
          <w:iCs/>
        </w:rPr>
        <w:t>Bacillus subtilis</w:t>
      </w:r>
      <w:r w:rsidRPr="00A428C3">
        <w:t xml:space="preserve"> metal-carboxyl surface complexes with aqueous metal-organic acid anion stability constants. The organic acids that we consider are acetic, oxalic, citric,</w:t>
      </w:r>
      <w:r w:rsidR="00F81221">
        <w:t xml:space="preserve"> and </w:t>
      </w:r>
      <w:r w:rsidRPr="00A428C3">
        <w:t xml:space="preserve">tiron. We add to this limited data set by conducting metal adsorption experiments onto </w:t>
      </w:r>
      <w:r w:rsidRPr="00A428C3">
        <w:rPr>
          <w:i/>
          <w:iCs/>
        </w:rPr>
        <w:t>Bacillus subtilis</w:t>
      </w:r>
      <w:r w:rsidRPr="00A428C3">
        <w:t>, determining bacterial surface stability constants for Co, Nd, Ni, Sr,</w:t>
      </w:r>
      <w:r w:rsidR="00F81221">
        <w:t xml:space="preserve"> and </w:t>
      </w:r>
      <w:r w:rsidRPr="00A428C3">
        <w:t>Zn.</w:t>
      </w:r>
    </w:p>
    <w:p w:rsidR="00B95188" w:rsidRPr="00A428C3" w:rsidRDefault="00B95188" w:rsidP="00B95188">
      <w:pPr>
        <w:pStyle w:val="a0"/>
      </w:pPr>
      <w:r w:rsidRPr="00A428C3">
        <w:t>The adsorption behavior of each of the metals studied here was described well by considering metal-carboxyl bacterial surface complexation only, except for the Zn adsorption behavior, which required carboxyl</w:t>
      </w:r>
      <w:r w:rsidR="00F81221">
        <w:t xml:space="preserve"> and </w:t>
      </w:r>
      <w:r w:rsidRPr="00A428C3">
        <w:t>phosphoryl complexation to obtain a suitable fit to the data. The best correlation between bacterial carboxyl surface complexes</w:t>
      </w:r>
      <w:r w:rsidR="00F81221">
        <w:t xml:space="preserve"> and </w:t>
      </w:r>
      <w:r w:rsidRPr="00A428C3">
        <w:t>aqueous organic acid anion stability constants was obtained by means of metal-acetate aqueous complexes, with a linear correlation coefficient of 0.97. This correlation applies only to unhydrolyzed aqueous cations</w:t>
      </w:r>
      <w:r w:rsidR="00F81221">
        <w:t xml:space="preserve"> and </w:t>
      </w:r>
      <w:r w:rsidRPr="00A428C3">
        <w:t xml:space="preserve">only to carboxyl </w:t>
      </w:r>
      <w:r w:rsidRPr="00A428C3">
        <w:lastRenderedPageBreak/>
        <w:t>binding of those cations,</w:t>
      </w:r>
      <w:r w:rsidR="00F81221">
        <w:t xml:space="preserve"> and </w:t>
      </w:r>
      <w:r w:rsidRPr="00A428C3">
        <w:t>it does not predict the binding behavior under conditions where metal binding to other bacterial surface site types occurs. However, the relationship derived in this study permits estimation of the carboxyl site adsorption behavior of a wide range of aqueous metal cations for which there is an absence of experimental data. This technique, coupled with the observation of similar adsorption behaviors across bacterial species, enables estimation of the effects of bacterial adsorption on metal mobilities for a large number of environmental</w:t>
      </w:r>
      <w:r w:rsidR="00F81221">
        <w:t xml:space="preserve"> and </w:t>
      </w:r>
      <w:r w:rsidRPr="00A428C3">
        <w:t>geologic applications. Copyright (C) 2001 Elsevier Science Ltd.</w:t>
      </w:r>
    </w:p>
    <w:p w:rsidR="00E619BF" w:rsidRDefault="00E619BF" w:rsidP="00E619BF">
      <w:pPr>
        <w:pStyle w:val="a0"/>
        <w:rPr>
          <w:kern w:val="0"/>
        </w:rPr>
      </w:pPr>
      <w:r>
        <w:rPr>
          <w:rFonts w:hint="eastAsia"/>
          <w:kern w:val="0"/>
        </w:rPr>
        <w:t xml:space="preserve">? </w:t>
      </w:r>
      <w:r>
        <w:rPr>
          <w:kern w:val="0"/>
        </w:rPr>
        <w:t>Liao, L.B.</w:t>
      </w:r>
      <w:r w:rsidR="00F81221">
        <w:rPr>
          <w:kern w:val="0"/>
        </w:rPr>
        <w:t xml:space="preserve"> and </w:t>
      </w:r>
      <w:r>
        <w:rPr>
          <w:kern w:val="0"/>
        </w:rPr>
        <w:t xml:space="preserve">Fraser, D.G. (2002), The adsorption of As onto hydroxy-Fe-montmorillonite complexes. </w:t>
      </w:r>
      <w:r>
        <w:rPr>
          <w:i/>
          <w:iCs/>
          <w:kern w:val="0"/>
        </w:rPr>
        <w:t>Geochimica et Cosmochimica Acta</w:t>
      </w:r>
      <w:r>
        <w:rPr>
          <w:kern w:val="0"/>
        </w:rPr>
        <w:t xml:space="preserve">, </w:t>
      </w:r>
      <w:r>
        <w:rPr>
          <w:b/>
          <w:bCs/>
          <w:kern w:val="0"/>
        </w:rPr>
        <w:t>66</w:t>
      </w:r>
      <w:r>
        <w:rPr>
          <w:kern w:val="0"/>
        </w:rPr>
        <w:t xml:space="preserve"> (15A), A455</w:t>
      </w:r>
      <w:r>
        <w:rPr>
          <w:rFonts w:hint="eastAsia"/>
          <w:kern w:val="0"/>
        </w:rPr>
        <w:t>.</w:t>
      </w:r>
    </w:p>
    <w:p w:rsidR="00E619BF" w:rsidRPr="00A428C3" w:rsidRDefault="00E619BF" w:rsidP="00E619BF">
      <w:pPr>
        <w:pStyle w:val="a0"/>
      </w:pPr>
      <w:r w:rsidRPr="00A428C3">
        <w:t xml:space="preserve">Full Text: </w:t>
      </w:r>
      <w:r>
        <w:t>200</w:t>
      </w:r>
      <w:r>
        <w:rPr>
          <w:rFonts w:hint="eastAsia"/>
        </w:rPr>
        <w:t>2</w:t>
      </w:r>
      <w:r>
        <w:t>\Geo Cos Act6</w:t>
      </w:r>
      <w:r>
        <w:rPr>
          <w:rFonts w:hint="eastAsia"/>
        </w:rPr>
        <w:t>6</w:t>
      </w:r>
      <w:r>
        <w:t>, A</w:t>
      </w:r>
      <w:r>
        <w:rPr>
          <w:rFonts w:hint="eastAsia"/>
        </w:rPr>
        <w:t>455</w:t>
      </w:r>
      <w:r w:rsidRPr="00C648A7">
        <w:t>.pdf</w:t>
      </w:r>
    </w:p>
    <w:p w:rsidR="00E619BF" w:rsidRDefault="00E619BF" w:rsidP="00E619BF">
      <w:pPr>
        <w:pStyle w:val="a0"/>
        <w:rPr>
          <w:kern w:val="0"/>
        </w:rPr>
      </w:pPr>
      <w:r>
        <w:rPr>
          <w:kern w:val="0"/>
        </w:rPr>
        <w:t>Keywords: Adsorption</w:t>
      </w:r>
    </w:p>
    <w:p w:rsidR="00B95188" w:rsidRPr="00A428C3" w:rsidRDefault="00B95188" w:rsidP="00B95188">
      <w:pPr>
        <w:pStyle w:val="a0"/>
      </w:pPr>
      <w:r w:rsidRPr="00A428C3">
        <w:t xml:space="preserve">? Purvis, O.W., Bailey, E.H., </w:t>
      </w:r>
      <w:smartTag w:uri="urn:schemas-microsoft-com:office:smarttags" w:element="place">
        <w:r w:rsidRPr="00A428C3">
          <w:t>McLean</w:t>
        </w:r>
      </w:smartTag>
      <w:r w:rsidRPr="00A428C3">
        <w:t>, J., Kasama, T.</w:t>
      </w:r>
      <w:r w:rsidR="00F81221">
        <w:t xml:space="preserve"> and </w:t>
      </w:r>
      <w:r w:rsidRPr="00A428C3">
        <w:t xml:space="preserve">Williamson, B.J. (2003), Uranium biosorption by the lichen Trapelia involuta at a uranium mine. </w:t>
      </w:r>
      <w:r w:rsidRPr="00A428C3">
        <w:rPr>
          <w:i/>
        </w:rPr>
        <w:t>Geochimica et Cosmochimica Acta</w:t>
      </w:r>
      <w:r w:rsidRPr="00A428C3">
        <w:t xml:space="preserve">, </w:t>
      </w:r>
      <w:r w:rsidRPr="00A428C3">
        <w:rPr>
          <w:b/>
        </w:rPr>
        <w:t>67</w:t>
      </w:r>
      <w:r w:rsidRPr="00A428C3">
        <w:t xml:space="preserve"> (18), A385-A385.</w:t>
      </w:r>
    </w:p>
    <w:p w:rsidR="00B95188" w:rsidRPr="00A428C3" w:rsidRDefault="00B95188" w:rsidP="00B95188">
      <w:pPr>
        <w:pStyle w:val="a0"/>
      </w:pPr>
      <w:r w:rsidRPr="00A428C3">
        <w:t xml:space="preserve">Full Text: </w:t>
      </w:r>
      <w:hyperlink r:id="rId388" w:history="1">
        <w:r w:rsidRPr="00A428C3">
          <w:rPr>
            <w:rStyle w:val="a5"/>
          </w:rPr>
          <w:t>2003\Geo Cos Act65, A385.pdf</w:t>
        </w:r>
      </w:hyperlink>
    </w:p>
    <w:p w:rsidR="00B95188" w:rsidRPr="00A428C3" w:rsidRDefault="00B95188" w:rsidP="00B95188">
      <w:pPr>
        <w:pStyle w:val="a0"/>
      </w:pPr>
      <w:r w:rsidRPr="00A428C3">
        <w:t>Geibert, W.</w:t>
      </w:r>
      <w:r w:rsidR="00F81221">
        <w:t xml:space="preserve"> and </w:t>
      </w:r>
      <w:r w:rsidRPr="00A428C3">
        <w:t>Usbeck, R. (2004), Adsorption of thorium</w:t>
      </w:r>
      <w:r w:rsidR="00F81221">
        <w:t xml:space="preserve"> and </w:t>
      </w:r>
      <w:r w:rsidRPr="00A428C3">
        <w:t xml:space="preserve">protactinium onto different particle types: Experimental findings. </w:t>
      </w:r>
      <w:r w:rsidRPr="00A428C3">
        <w:rPr>
          <w:i/>
        </w:rPr>
        <w:t>Geochimica et Cosmochimica Acta</w:t>
      </w:r>
      <w:r w:rsidRPr="00A428C3">
        <w:t xml:space="preserve">, </w:t>
      </w:r>
      <w:r w:rsidRPr="00A428C3">
        <w:rPr>
          <w:b/>
        </w:rPr>
        <w:t>68</w:t>
      </w:r>
      <w:r w:rsidRPr="00A428C3">
        <w:t xml:space="preserve"> (7), 1489-1501.</w:t>
      </w:r>
    </w:p>
    <w:p w:rsidR="00B95188" w:rsidRPr="00A428C3" w:rsidRDefault="00B95188" w:rsidP="00B95188">
      <w:pPr>
        <w:pStyle w:val="a0"/>
      </w:pPr>
      <w:r w:rsidRPr="00A428C3">
        <w:t xml:space="preserve">Full Text: </w:t>
      </w:r>
      <w:hyperlink r:id="rId389" w:history="1">
        <w:r w:rsidRPr="00A428C3">
          <w:rPr>
            <w:rStyle w:val="a5"/>
          </w:rPr>
          <w:t>G\Geo Cos Act68, 1489.pdf</w:t>
        </w:r>
      </w:hyperlink>
    </w:p>
    <w:p w:rsidR="00B95188" w:rsidRPr="00A428C3" w:rsidRDefault="00B95188" w:rsidP="00B95188">
      <w:pPr>
        <w:pStyle w:val="a0"/>
      </w:pPr>
      <w:r w:rsidRPr="00A428C3">
        <w:t>Abstract: Here we present the results of experiments investigating the adsorption of Protactinium</w:t>
      </w:r>
      <w:r w:rsidR="00F81221">
        <w:t xml:space="preserve"> and </w:t>
      </w:r>
      <w:r w:rsidRPr="00A428C3">
        <w:t>Thorium onto different particle types in natural seawater. Particle types studied were smectite as a representative of clay, biogenic opal from a cleaned diatom culture, manganese dioxide precipitate,</w:t>
      </w:r>
      <w:r w:rsidR="00F81221">
        <w:t xml:space="preserve"> and </w:t>
      </w:r>
      <w:r w:rsidRPr="00A428C3">
        <w:t>calcium carbonate. The particles were added to three different types of natural seawater (0.5 mg/L) which were first 0.2 mum-filtered,</w:t>
      </w:r>
      <w:r w:rsidR="00F81221">
        <w:t xml:space="preserve"> and </w:t>
      </w:r>
      <w:r w:rsidRPr="00A428C3">
        <w:t>the distribution of Pa</w:t>
      </w:r>
      <w:r w:rsidR="00F81221">
        <w:t xml:space="preserve"> and </w:t>
      </w:r>
      <w:r w:rsidRPr="00A428C3">
        <w:t>Th between dissolved</w:t>
      </w:r>
      <w:r w:rsidR="00F81221">
        <w:t xml:space="preserve"> and </w:t>
      </w:r>
      <w:r w:rsidRPr="00A428C3">
        <w:t>particulate phase (&gt;</w:t>
      </w:r>
      <w:smartTag w:uri="urn:schemas-microsoft-com:office:smarttags" w:element="chmetcnv">
        <w:smartTagPr>
          <w:attr w:name="TCSC" w:val="0"/>
          <w:attr w:name="NumberType" w:val="1"/>
          <w:attr w:name="Negative" w:val="False"/>
          <w:attr w:name="HasSpace" w:val="False"/>
          <w:attr w:name="SourceValue" w:val="0.2"/>
          <w:attr w:name="UnitName" w:val="m"/>
        </w:smartTagPr>
        <w:r w:rsidRPr="00A428C3">
          <w:t xml:space="preserve">0.2 </w:t>
        </w:r>
      </w:smartTag>
      <w:r w:rsidRPr="00A428C3">
        <w:sym w:font="Symbol" w:char="F06D"/>
      </w:r>
      <w:r w:rsidRPr="00A428C3">
        <w:t>m) was monitored for 4 to 5 d at increasing time intervals. The tracers applied were the beta-emitters Pa-233</w:t>
      </w:r>
      <w:r w:rsidR="00F81221">
        <w:t xml:space="preserve"> and </w:t>
      </w:r>
      <w:r w:rsidRPr="00A428C3">
        <w:t>Th-234. The measurement technique via beta-counting for both nuclides in the same sample is reported here for the first time.</w:t>
      </w:r>
    </w:p>
    <w:p w:rsidR="00B95188" w:rsidRPr="00A428C3" w:rsidRDefault="00B95188" w:rsidP="00B95188">
      <w:pPr>
        <w:pStyle w:val="a0"/>
      </w:pPr>
      <w:r w:rsidRPr="00A428C3">
        <w:t>The observed recoveries during the experiment range from 40 to 99 (±5)% for Th</w:t>
      </w:r>
      <w:r w:rsidR="00F81221">
        <w:t xml:space="preserve"> and </w:t>
      </w:r>
      <w:r w:rsidRPr="00A428C3">
        <w:t xml:space="preserve">from 51 to 105 (±6)% for </w:t>
      </w:r>
      <w:smartTag w:uri="urn:schemas-microsoft-com:office:smarttags" w:element="place">
        <w:smartTag w:uri="urn:schemas-microsoft-com:office:smarttags" w:element="State">
          <w:r w:rsidRPr="00A428C3">
            <w:t>Pa.</w:t>
          </w:r>
        </w:smartTag>
      </w:smartTag>
      <w:r w:rsidRPr="00A428C3">
        <w:t xml:space="preserve"> The distribution coefficients (K</w:t>
      </w:r>
      <w:r w:rsidRPr="00A428C3">
        <w:rPr>
          <w:vertAlign w:val="subscript"/>
        </w:rPr>
        <w:t>d</w:t>
      </w:r>
      <w:r w:rsidRPr="00A428C3">
        <w:t>) after establishment of an equilibrium cover a wide range for Th from 0.5 to 107</w:t>
      </w:r>
      <w:r w:rsidRPr="00A428C3">
        <w:sym w:font="Symbol" w:char="F0B4"/>
      </w:r>
      <w:r w:rsidRPr="00A428C3">
        <w:t>10</w:t>
      </w:r>
      <w:r w:rsidRPr="00A428C3">
        <w:rPr>
          <w:vertAlign w:val="superscript"/>
        </w:rPr>
        <w:t>6</w:t>
      </w:r>
      <w:r w:rsidRPr="00A428C3">
        <w:t xml:space="preserve"> ml/g,</w:t>
      </w:r>
      <w:r w:rsidR="00F81221">
        <w:t xml:space="preserve"> and </w:t>
      </w:r>
      <w:r w:rsidRPr="00A428C3">
        <w:t>from 0.03 to 166</w:t>
      </w:r>
      <w:r w:rsidRPr="00A428C3">
        <w:sym w:font="Symbol" w:char="F0B4"/>
      </w:r>
      <w:r w:rsidRPr="00A428C3">
        <w:t>10</w:t>
      </w:r>
      <w:r w:rsidRPr="00A428C3">
        <w:rPr>
          <w:vertAlign w:val="superscript"/>
        </w:rPr>
        <w:t>6</w:t>
      </w:r>
      <w:r w:rsidRPr="00A428C3">
        <w:t xml:space="preserve"> ml/g for Protactinium, depending on particle type</w:t>
      </w:r>
      <w:r w:rsidR="00F81221">
        <w:t xml:space="preserve"> and </w:t>
      </w:r>
      <w:r w:rsidRPr="00A428C3">
        <w:t>on the type of seawater used.</w:t>
      </w:r>
    </w:p>
    <w:p w:rsidR="00B95188" w:rsidRPr="00A428C3" w:rsidRDefault="00B95188" w:rsidP="00B95188">
      <w:pPr>
        <w:pStyle w:val="a0"/>
      </w:pPr>
      <w:r w:rsidRPr="00A428C3">
        <w:t>Thorium revealed a specific affinity for all particle types investigated, with varying degree</w:t>
      </w:r>
      <w:r w:rsidR="00F81221">
        <w:t xml:space="preserve"> and </w:t>
      </w:r>
      <w:r w:rsidRPr="00A428C3">
        <w:t xml:space="preserve">adsorption kinetics. The results suggest that all particle types investigated may serve as Th carrier phases in the sediment. Pa was found to be less particle reactive than Th in most cases. Th/Pa fractionation factors (F-Th/Pa) were also </w:t>
      </w:r>
      <w:r w:rsidRPr="00A428C3">
        <w:lastRenderedPageBreak/>
        <w:t>obtained. Weakest fractionation was found on MnO</w:t>
      </w:r>
      <w:r w:rsidRPr="00A428C3">
        <w:rPr>
          <w:vertAlign w:val="subscript"/>
        </w:rPr>
        <w:t>2</w:t>
      </w:r>
      <w:r w:rsidRPr="00A428C3">
        <w:t xml:space="preserve"> (F-Th/Pa= 1), followed by the chemically cleaned biogenic opal (2.8)</w:t>
      </w:r>
      <w:r w:rsidR="00F81221">
        <w:t xml:space="preserve"> and </w:t>
      </w:r>
      <w:r w:rsidRPr="00A428C3">
        <w:t>smectite (5.4). The results for calcium carbonate were highly variable. Our experimental results imply that particle composition is indeed playing a role in the differing marine geochemistry of Th</w:t>
      </w:r>
      <w:r w:rsidR="00F81221">
        <w:t xml:space="preserve"> and </w:t>
      </w:r>
      <w:r w:rsidRPr="00A428C3">
        <w:t>Pa. We conclude that experiments with filtered natural seawater using particle concentrations on a natural level are a helpful approach when investigating the geochemical behaviour of strongly particle-reactive elements like Th</w:t>
      </w:r>
      <w:r w:rsidR="00F81221">
        <w:t xml:space="preserve"> and </w:t>
      </w:r>
      <w:r w:rsidRPr="00A428C3">
        <w:t>Pa in the marine environment. Copyright (C) 2004 Elsevier Ltd.</w:t>
      </w:r>
    </w:p>
    <w:p w:rsidR="00B95188" w:rsidRPr="00A428C3" w:rsidRDefault="00B95188" w:rsidP="00B95188">
      <w:pPr>
        <w:pStyle w:val="a0"/>
      </w:pPr>
      <w:r w:rsidRPr="00A428C3">
        <w:t>Keywords: Ocean Thermohaline Circulation, Southern-Ocean, Organic-Matter, Complexing Capacity, Pa-231/Th-230 Ratio, Particulate Matter, Pacific Sector, North Pacific, Th-234, Pa-231</w:t>
      </w:r>
    </w:p>
    <w:p w:rsidR="00B95188" w:rsidRPr="00A428C3" w:rsidRDefault="00B95188" w:rsidP="00B95188">
      <w:pPr>
        <w:pStyle w:val="a0"/>
      </w:pPr>
      <w:r w:rsidRPr="00A428C3">
        <w:t>Elzinga, E.J., Tait, C.D., Reeder, R.J., Rector, K.D., Donohoe, R.J.</w:t>
      </w:r>
      <w:r w:rsidR="00F81221">
        <w:t xml:space="preserve"> and </w:t>
      </w:r>
      <w:r w:rsidRPr="00A428C3">
        <w:t xml:space="preserve">Morris, D.E. (2004), Spectroscopic investigation of U(VI) sorption at the calcite-water interface. </w:t>
      </w:r>
      <w:r w:rsidRPr="00A428C3">
        <w:rPr>
          <w:i/>
        </w:rPr>
        <w:t>Geochimica et Cosmochimica Acta</w:t>
      </w:r>
      <w:r w:rsidRPr="00A428C3">
        <w:t xml:space="preserve">, </w:t>
      </w:r>
      <w:r w:rsidRPr="00A428C3">
        <w:rPr>
          <w:b/>
        </w:rPr>
        <w:t>68</w:t>
      </w:r>
      <w:r w:rsidRPr="00A428C3">
        <w:t xml:space="preserve"> (11), 2437-2448.</w:t>
      </w:r>
    </w:p>
    <w:p w:rsidR="00B95188" w:rsidRPr="00A428C3" w:rsidRDefault="00B95188" w:rsidP="00B95188">
      <w:pPr>
        <w:pStyle w:val="a0"/>
      </w:pPr>
      <w:r w:rsidRPr="00A428C3">
        <w:t xml:space="preserve">Full Text: </w:t>
      </w:r>
      <w:hyperlink r:id="rId390" w:history="1">
        <w:r w:rsidRPr="00A428C3">
          <w:rPr>
            <w:rStyle w:val="a5"/>
          </w:rPr>
          <w:t>G\Geo Cos Act68, 2437.pdf</w:t>
        </w:r>
      </w:hyperlink>
    </w:p>
    <w:p w:rsidR="00B95188" w:rsidRPr="00A428C3" w:rsidRDefault="00B95188" w:rsidP="00B95188">
      <w:pPr>
        <w:pStyle w:val="a0"/>
      </w:pPr>
      <w:r w:rsidRPr="00A428C3">
        <w:t>Abstract: The interaction of U(VI) species with the calcite surface in pre-equilibrated calcite suspensions at pH 7.4</w:t>
      </w:r>
      <w:r w:rsidR="00F81221">
        <w:t xml:space="preserve"> and </w:t>
      </w:r>
      <w:r w:rsidRPr="00A428C3">
        <w:t>8.3</w:t>
      </w:r>
      <w:r w:rsidR="00F81221">
        <w:t xml:space="preserve"> and </w:t>
      </w:r>
      <w:r w:rsidRPr="00A428C3">
        <w:t>P(CO</w:t>
      </w:r>
      <w:r w:rsidRPr="00A428C3">
        <w:rPr>
          <w:vertAlign w:val="subscript"/>
        </w:rPr>
        <w:t>2</w:t>
      </w:r>
      <w:r w:rsidRPr="00A428C3">
        <w:t>) = 10(-3.5) bar was characterized in situ using extended X-ray absorption spectroscopy (EXAFS)</w:t>
      </w:r>
      <w:r w:rsidR="00F81221">
        <w:t xml:space="preserve"> and </w:t>
      </w:r>
      <w:r w:rsidRPr="00A428C3">
        <w:t xml:space="preserve">luminescence spectroscopies. Results indicate that uranyl triscarbonate-like adsorption complexes dominate at U(VI) solution concentrations &lt; </w:t>
      </w:r>
      <w:smartTag w:uri="urn:schemas-microsoft-com:office:smarttags" w:element="chmetcnv">
        <w:smartTagPr>
          <w:attr w:name="TCSC" w:val="0"/>
          <w:attr w:name="NumberType" w:val="1"/>
          <w:attr w:name="Negative" w:val="False"/>
          <w:attr w:name="HasSpace" w:val="False"/>
          <w:attr w:name="SourceValue" w:val="500"/>
          <w:attr w:name="UnitName" w:val="m"/>
        </w:smartTagPr>
        <w:r w:rsidRPr="00A428C3">
          <w:t xml:space="preserve">500 </w:t>
        </w:r>
      </w:smartTag>
      <w:r w:rsidRPr="00A428C3">
        <w:sym w:font="Symbol" w:char="F06D"/>
      </w:r>
      <w:r w:rsidRPr="00A428C3">
        <w:t>M, whereas the formation of U(VI) hydroxide</w:t>
      </w:r>
      <w:r w:rsidR="00F81221">
        <w:t xml:space="preserve"> and </w:t>
      </w:r>
      <w:r w:rsidRPr="00A428C3">
        <w:t>carbonato precipitates is observed at higher concentrations, consistent with isotherm data</w:t>
      </w:r>
      <w:r w:rsidR="00F81221">
        <w:t xml:space="preserve"> and </w:t>
      </w:r>
      <w:r w:rsidRPr="00A428C3">
        <w:t>aqueous speciation calculations. The EXAFS data indicate weak splitting in the equatorial O shell of the U(VI) adsorption complexes, which may indicate that the adsorption complexes are bound in an inner-sphere fashion at the calcite surface, although no Ca backscattering could be positively identified. The luminescence data indicate the presence of at least two adsorption complexes that change proportion with U(VI) loading. One species, dominating at low-surface coverage, is the uranyl triscarbonate complex. A second species is observed at higher surface loadings with a luminescence spectrum that is intermediate between the triscarbonate species found at the lowest loadings</w:t>
      </w:r>
      <w:r w:rsidR="00F81221">
        <w:t xml:space="preserve"> and </w:t>
      </w:r>
      <w:r w:rsidRPr="00A428C3">
        <w:t>uranyl incorporated into bulk polycrystalline calcite. The combined EXAFS</w:t>
      </w:r>
      <w:r w:rsidR="00F81221">
        <w:t xml:space="preserve"> and </w:t>
      </w:r>
      <w:r w:rsidRPr="00A428C3">
        <w:t>luminescence data indicate that the U(VI) adsorption complexes forming at the calcite surface are triscarbonate-like complexes, with a change in interaction with calcite surface sites as the surface loading increases,</w:t>
      </w:r>
      <w:r w:rsidR="00F81221">
        <w:t xml:space="preserve"> and </w:t>
      </w:r>
      <w:r w:rsidRPr="00A428C3">
        <w:t>the formation of U(VI) hydroxide/carbonato precipitates at high concentrations. Consequently, multiple uranyl species are likely to exist at the calcite surface during interaction of U(VI)containing waters in the near-surface environment. Furthermore, complex sorption/desorption behavior</w:t>
      </w:r>
      <w:r w:rsidR="00F81221">
        <w:t xml:space="preserve"> and </w:t>
      </w:r>
      <w:r w:rsidRPr="00A428C3">
        <w:t>kinetics may be associated with differing stabilities of sorbed U(VI) species in calcite-containing materials. Copyright (C) 2004 Elsevier Ltd.</w:t>
      </w:r>
    </w:p>
    <w:p w:rsidR="00B95188" w:rsidRPr="00A428C3" w:rsidRDefault="00B95188" w:rsidP="00B95188">
      <w:pPr>
        <w:pStyle w:val="a0"/>
      </w:pPr>
      <w:r w:rsidRPr="00A428C3">
        <w:lastRenderedPageBreak/>
        <w:t>Keywords: Uranium(VI) Sorption, Uranyl Incorporation, Aqueous-Solution, Speciation, Surface, Adsorption, XAFS, Complexes, Hematite, Luminescence</w:t>
      </w:r>
    </w:p>
    <w:p w:rsidR="00B95188" w:rsidRPr="00A428C3" w:rsidRDefault="00B95188" w:rsidP="00B95188">
      <w:pPr>
        <w:pStyle w:val="a0"/>
      </w:pPr>
      <w:r w:rsidRPr="00A428C3">
        <w:t xml:space="preserve">? Amirbahman, A., </w:t>
      </w:r>
      <w:smartTag w:uri="urn:schemas-microsoft-com:office:smarttags" w:element="place">
        <w:smartTag w:uri="urn:schemas-microsoft-com:office:smarttags" w:element="country-region">
          <w:r w:rsidRPr="00A428C3">
            <w:t>Kent</w:t>
          </w:r>
        </w:smartTag>
      </w:smartTag>
      <w:r w:rsidRPr="00A428C3">
        <w:t>, D.B., Curtis, G.P.</w:t>
      </w:r>
      <w:r w:rsidR="00F81221">
        <w:t xml:space="preserve"> and </w:t>
      </w:r>
      <w:r w:rsidRPr="00A428C3">
        <w:t>Davis, J.A. (2006), Kinetics of sorption</w:t>
      </w:r>
      <w:r w:rsidR="00F81221">
        <w:t xml:space="preserve"> and </w:t>
      </w:r>
      <w:r w:rsidRPr="00A428C3">
        <w:t xml:space="preserve">abiotic oxidation of arsenic(III) by aquifer materials. </w:t>
      </w:r>
      <w:r w:rsidRPr="00A428C3">
        <w:rPr>
          <w:i/>
        </w:rPr>
        <w:t>Geochimica et Cosmochimica Acta</w:t>
      </w:r>
      <w:r w:rsidRPr="00A428C3">
        <w:t xml:space="preserve">, </w:t>
      </w:r>
      <w:r w:rsidRPr="00A428C3">
        <w:rPr>
          <w:b/>
        </w:rPr>
        <w:t>70</w:t>
      </w:r>
      <w:r w:rsidRPr="00A428C3">
        <w:t xml:space="preserve"> (3), 533-547.</w:t>
      </w:r>
    </w:p>
    <w:p w:rsidR="00B95188" w:rsidRPr="00A428C3" w:rsidRDefault="00B95188" w:rsidP="00B95188">
      <w:pPr>
        <w:pStyle w:val="a0"/>
      </w:pPr>
      <w:r w:rsidRPr="00A428C3">
        <w:t xml:space="preserve">Full Text: </w:t>
      </w:r>
      <w:hyperlink r:id="rId391" w:history="1">
        <w:r w:rsidRPr="00A428C3">
          <w:rPr>
            <w:rStyle w:val="a5"/>
          </w:rPr>
          <w:t>2006\Geo Cos Act70, 533.pdf</w:t>
        </w:r>
      </w:hyperlink>
    </w:p>
    <w:p w:rsidR="00B95188" w:rsidRPr="00A428C3" w:rsidRDefault="00B95188" w:rsidP="00B95188">
      <w:pPr>
        <w:pStyle w:val="a0"/>
      </w:pPr>
      <w:r w:rsidRPr="00A428C3">
        <w:t xml:space="preserve">Abstract: The fate of arsenic in groundwater depends largely on its interaction with mineral surfaces. We investigated the kinetics of As(III) oxidation by aquifer materials collected from the USGS research site at </w:t>
      </w:r>
      <w:smartTag w:uri="urn:schemas-microsoft-com:office:smarttags" w:element="place">
        <w:smartTag w:uri="urn:schemas-microsoft-com:office:smarttags" w:element="City">
          <w:r w:rsidRPr="00A428C3">
            <w:t>Cape Cod</w:t>
          </w:r>
        </w:smartTag>
        <w:r w:rsidRPr="00A428C3">
          <w:t xml:space="preserve">, </w:t>
        </w:r>
        <w:smartTag w:uri="urn:schemas-microsoft-com:office:smarttags" w:element="State">
          <w:r w:rsidRPr="00A428C3">
            <w:t>MA</w:t>
          </w:r>
        </w:smartTag>
        <w:r w:rsidRPr="00A428C3">
          <w:t xml:space="preserve">, </w:t>
        </w:r>
        <w:smartTag w:uri="urn:schemas-microsoft-com:office:smarttags" w:element="country-region">
          <w:r w:rsidRPr="00A428C3">
            <w:t>USA</w:t>
          </w:r>
        </w:smartTag>
      </w:smartTag>
      <w:r w:rsidRPr="00A428C3">
        <w:t>, by conducting laboratory experiments. Five different solid samples with similar specific surface areas (0.6–</w:t>
      </w:r>
      <w:smartTag w:uri="urn:schemas-microsoft-com:office:smarttags" w:element="chmetcnv">
        <w:smartTagPr>
          <w:attr w:name="TCSC" w:val="0"/>
          <w:attr w:name="NumberType" w:val="1"/>
          <w:attr w:name="Negative" w:val="False"/>
          <w:attr w:name="HasSpace" w:val="True"/>
          <w:attr w:name="SourceValue" w:val="0.9"/>
          <w:attr w:name="UnitName" w:val="m2"/>
        </w:smartTagPr>
        <w:r w:rsidRPr="00A428C3">
          <w:t>0.9 m</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rPr>
              <w:vertAlign w:val="superscript"/>
            </w:rPr>
            <w:t>2</w:t>
          </w:r>
        </w:smartTag>
      </w:smartTag>
      <w:r w:rsidRPr="00A428C3">
        <w:t xml:space="preserve"> g</w:t>
      </w:r>
      <w:r w:rsidRPr="00A428C3">
        <w:rPr>
          <w:vertAlign w:val="superscript"/>
        </w:rPr>
        <w:t>−1</w:t>
      </w:r>
      <w:r w:rsidRPr="00A428C3">
        <w:t>)</w:t>
      </w:r>
      <w:r w:rsidR="00F81221">
        <w:t xml:space="preserve"> and </w:t>
      </w:r>
      <w:r w:rsidRPr="00A428C3">
        <w:t>reductively extractable iron contents (18–26 μmol m</w:t>
      </w:r>
      <w:r w:rsidRPr="00A428C3">
        <w:rPr>
          <w:vertAlign w:val="superscript"/>
        </w:rPr>
        <w:t>−2</w:t>
      </w:r>
      <w:r w:rsidRPr="00A428C3">
        <w:t>), but with varying total manganese contents (0.5–3.5 μmol m</w:t>
      </w:r>
      <w:r w:rsidRPr="00A428C3">
        <w:rPr>
          <w:vertAlign w:val="superscript"/>
        </w:rPr>
        <w:t>−2</w:t>
      </w:r>
      <w:r w:rsidRPr="00A428C3">
        <w:t>) were used. Both dissolved</w:t>
      </w:r>
      <w:r w:rsidR="00F81221">
        <w:t xml:space="preserve"> and </w:t>
      </w:r>
      <w:r w:rsidRPr="00A428C3">
        <w:t>adsorbed As(III)</w:t>
      </w:r>
      <w:r w:rsidR="00F81221">
        <w:t xml:space="preserve"> and </w:t>
      </w:r>
      <w:r w:rsidRPr="00A428C3">
        <w:t>As(V) concentrations were measured with time up to 250 h. The As(III) removal rate from solution increased with increasing solid manganese content, suggesting that manganese oxide is responsible for the oxidation of As(III). Under all conditions, dissolved As(V) concentrations were very low. A quantitative model was developed to simulate the extent</w:t>
      </w:r>
      <w:r w:rsidR="00F81221">
        <w:t xml:space="preserve"> and </w:t>
      </w:r>
      <w:r w:rsidRPr="00A428C3">
        <w:t>kinetics of arsenic transformation by aquifer materials. The model included: (1) reversible rate-limited adsorption of As(III) onto both oxidative</w:t>
      </w:r>
      <w:r w:rsidR="00F81221">
        <w:t xml:space="preserve"> and </w:t>
      </w:r>
      <w:r w:rsidRPr="00A428C3">
        <w:t>non-oxidative (adsorptive) sites, (2) irreversible rate-limited oxidation of As(III),</w:t>
      </w:r>
      <w:r w:rsidR="00F81221">
        <w:t xml:space="preserve"> and </w:t>
      </w:r>
      <w:r w:rsidRPr="00A428C3">
        <w:t>(3) equilibrium</w:t>
      </w:r>
      <w:hyperlink r:id="rId392" w:anchor="hit1#hit1" w:history="1"/>
      <w:r w:rsidRPr="00A428C3">
        <w:t xml:space="preserve"> adsorption</w:t>
      </w:r>
      <w:hyperlink r:id="rId393" w:anchor="hit3#hit3" w:history="1"/>
      <w:r w:rsidRPr="00A428C3">
        <w:t xml:space="preserve"> of As(V) onto adsorptive sites. Rate constants for these processes, as well as the total oxidative site densities were used as the fitting parameters. The total adsorptive site densities were estimated based on the measured specific surface area of each material. The best fit was provided by considering one fast</w:t>
      </w:r>
      <w:r w:rsidR="00F81221">
        <w:t xml:space="preserve"> and </w:t>
      </w:r>
      <w:r w:rsidRPr="00A428C3">
        <w:t>one slow site for each adsorptive</w:t>
      </w:r>
      <w:r w:rsidR="00F81221">
        <w:t xml:space="preserve"> and </w:t>
      </w:r>
      <w:r w:rsidRPr="00A428C3">
        <w:t>oxidative site. The fitting parameters were obtained using the kinetic data for the most reactive aquifer material at different initial As(III) concentrations. Using the same parameters to simulate As(III)</w:t>
      </w:r>
      <w:r w:rsidR="00F81221">
        <w:t xml:space="preserve"> and </w:t>
      </w:r>
      <w:r w:rsidRPr="00A428C3">
        <w:t>As(V) surface reactions, the model predictions were compared to observations for aquifer materials with different manganese contents. The model simulated the experimental data very well for all materials at all initial As(III) concentrations. The As(V) production rate was related to the concentrations of the free oxidative surface sites</w:t>
      </w:r>
      <w:r w:rsidR="00F81221">
        <w:t xml:space="preserve"> and </w:t>
      </w:r>
      <w:r w:rsidRPr="00A428C3">
        <w:t xml:space="preserve">dissolved As(III), as </w:t>
      </w:r>
      <w:r>
        <w:rPr>
          <w:noProof/>
        </w:rPr>
        <w:drawing>
          <wp:inline distT="0" distB="0" distL="0" distR="0">
            <wp:extent cx="2219325" cy="228600"/>
            <wp:effectExtent l="19050" t="0" r="9525" b="0"/>
            <wp:docPr id="15" name="圖片 15"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view the MathML source"/>
                    <pic:cNvPicPr>
                      <a:picLocks noChangeAspect="1" noChangeArrowheads="1"/>
                    </pic:cNvPicPr>
                  </pic:nvPicPr>
                  <pic:blipFill>
                    <a:blip r:embed="rId394" cstate="print"/>
                    <a:srcRect/>
                    <a:stretch>
                      <a:fillRect/>
                    </a:stretch>
                  </pic:blipFill>
                  <pic:spPr bwMode="auto">
                    <a:xfrm>
                      <a:off x="0" y="0"/>
                      <a:ext cx="2219325" cy="228600"/>
                    </a:xfrm>
                    <a:prstGeom prst="rect">
                      <a:avLst/>
                    </a:prstGeom>
                    <a:noFill/>
                    <a:ln w="9525">
                      <a:noFill/>
                      <a:miter lim="800000"/>
                      <a:headEnd/>
                      <a:tailEnd/>
                    </a:ln>
                  </pic:spPr>
                </pic:pic>
              </a:graphicData>
            </a:graphic>
          </wp:inline>
        </w:drawing>
      </w:r>
      <w:r w:rsidRPr="00A428C3">
        <w:t xml:space="preserve">with apparent second-order rate constants of </w:t>
      </w:r>
      <w:r>
        <w:rPr>
          <w:noProof/>
        </w:rPr>
        <w:drawing>
          <wp:inline distT="0" distB="0" distL="0" distR="0">
            <wp:extent cx="1157605" cy="228600"/>
            <wp:effectExtent l="19050" t="0" r="4445" b="0"/>
            <wp:docPr id="16" name="圖片 16"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view the MathML source"/>
                    <pic:cNvPicPr>
                      <a:picLocks noChangeAspect="1" noChangeArrowheads="1"/>
                    </pic:cNvPicPr>
                  </pic:nvPicPr>
                  <pic:blipFill>
                    <a:blip r:embed="rId395" cstate="print"/>
                    <a:srcRect/>
                    <a:stretch>
                      <a:fillRect/>
                    </a:stretch>
                  </pic:blipFill>
                  <pic:spPr bwMode="auto">
                    <a:xfrm>
                      <a:off x="0" y="0"/>
                      <a:ext cx="1157605" cy="228600"/>
                    </a:xfrm>
                    <a:prstGeom prst="rect">
                      <a:avLst/>
                    </a:prstGeom>
                    <a:noFill/>
                    <a:ln w="9525">
                      <a:noFill/>
                      <a:miter lim="800000"/>
                      <a:headEnd/>
                      <a:tailEnd/>
                    </a:ln>
                  </pic:spPr>
                </pic:pic>
              </a:graphicData>
            </a:graphic>
          </wp:inline>
        </w:drawing>
      </w:r>
      <w:r w:rsidRPr="00A428C3">
        <w:t xml:space="preserve">and </w:t>
      </w:r>
      <w:r>
        <w:rPr>
          <w:noProof/>
        </w:rPr>
        <w:drawing>
          <wp:inline distT="0" distB="0" distL="0" distR="0">
            <wp:extent cx="1733550" cy="233680"/>
            <wp:effectExtent l="19050" t="0" r="0" b="0"/>
            <wp:docPr id="17" name="圖片 17"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view the MathML source"/>
                    <pic:cNvPicPr>
                      <a:picLocks noChangeAspect="1" noChangeArrowheads="1"/>
                    </pic:cNvPicPr>
                  </pic:nvPicPr>
                  <pic:blipFill>
                    <a:blip r:embed="rId396" cstate="print"/>
                    <a:srcRect/>
                    <a:stretch>
                      <a:fillRect/>
                    </a:stretch>
                  </pic:blipFill>
                  <pic:spPr bwMode="auto">
                    <a:xfrm>
                      <a:off x="0" y="0"/>
                      <a:ext cx="1733550" cy="233680"/>
                    </a:xfrm>
                    <a:prstGeom prst="rect">
                      <a:avLst/>
                    </a:prstGeom>
                    <a:noFill/>
                    <a:ln w="9525">
                      <a:noFill/>
                      <a:miter lim="800000"/>
                      <a:headEnd/>
                      <a:tailEnd/>
                    </a:ln>
                  </pic:spPr>
                </pic:pic>
              </a:graphicData>
            </a:graphic>
          </wp:inline>
        </w:drawing>
      </w:r>
      <w:r w:rsidRPr="00A428C3">
        <w:t>for the fast</w:t>
      </w:r>
      <w:r w:rsidR="00F81221">
        <w:t xml:space="preserve"> and </w:t>
      </w:r>
      <w:r w:rsidRPr="00A428C3">
        <w:t>the slow oxidative sites, respectively. The As(III) removal rate decreased approximately by half for a pH increase from 4 to 7. The pH dependence was explained using the acid–base behavior of the surface oxidative sites by considering a surface pKa</w:t>
      </w:r>
      <w:r w:rsidR="002F1E82">
        <w:t xml:space="preserve"> </w:t>
      </w:r>
      <w:r w:rsidRPr="00A428C3">
        <w:t>= 6.2 (I = 0). In the presence of excess surface adsorptive</w:t>
      </w:r>
      <w:r w:rsidR="00F81221">
        <w:t xml:space="preserve"> and </w:t>
      </w:r>
      <w:r w:rsidRPr="00A428C3">
        <w:t xml:space="preserve">oxidative sites, phosphate </w:t>
      </w:r>
      <w:r w:rsidRPr="00A428C3">
        <w:lastRenderedPageBreak/>
        <w:t>diminished the rate of As(III) removal</w:t>
      </w:r>
      <w:r w:rsidR="00F81221">
        <w:t xml:space="preserve"> and </w:t>
      </w:r>
      <w:r w:rsidRPr="00A428C3">
        <w:t>As(V) production only slightly due to its interaction with the oxidative sites. The observed As(III) oxidation rate here is consistent with previous observations of As(III) oxidation over short transport distances during field-scale transport experiments. The model developed here may be incorporated into groundwater transport models to predict arsenic speciation</w:t>
      </w:r>
      <w:r w:rsidR="00F81221">
        <w:t xml:space="preserve"> and </w:t>
      </w:r>
      <w:r w:rsidRPr="00A428C3">
        <w:t>transport in chemically heterogeneous systems.</w:t>
      </w:r>
    </w:p>
    <w:p w:rsidR="00BF77DA" w:rsidRDefault="00BF77DA" w:rsidP="00BF77DA">
      <w:pPr>
        <w:pStyle w:val="a0"/>
        <w:rPr>
          <w:kern w:val="0"/>
        </w:rPr>
      </w:pPr>
      <w:r>
        <w:rPr>
          <w:rFonts w:hint="eastAsia"/>
          <w:kern w:val="0"/>
        </w:rPr>
        <w:t xml:space="preserve">? </w:t>
      </w:r>
      <w:r>
        <w:rPr>
          <w:kern w:val="0"/>
        </w:rPr>
        <w:t>Partey, F., Norman, D., Ndur, S.</w:t>
      </w:r>
      <w:r w:rsidR="00F81221">
        <w:rPr>
          <w:kern w:val="0"/>
        </w:rPr>
        <w:t xml:space="preserve"> and </w:t>
      </w:r>
      <w:r>
        <w:rPr>
          <w:kern w:val="0"/>
        </w:rPr>
        <w:t xml:space="preserve">Siegel, M. (2006), Mechanism of arsenic sorption onto laterite iron concretions from Prestea, Ghana. </w:t>
      </w:r>
      <w:r>
        <w:rPr>
          <w:i/>
          <w:iCs/>
          <w:kern w:val="0"/>
        </w:rPr>
        <w:t>Geochimica et Cosmochimica Acta</w:t>
      </w:r>
      <w:r>
        <w:rPr>
          <w:kern w:val="0"/>
        </w:rPr>
        <w:t xml:space="preserve">, </w:t>
      </w:r>
      <w:r>
        <w:rPr>
          <w:b/>
          <w:bCs/>
          <w:kern w:val="0"/>
        </w:rPr>
        <w:t>70</w:t>
      </w:r>
      <w:r>
        <w:rPr>
          <w:kern w:val="0"/>
        </w:rPr>
        <w:t xml:space="preserve"> (18), A474</w:t>
      </w:r>
      <w:r>
        <w:rPr>
          <w:rFonts w:hint="eastAsia"/>
          <w:kern w:val="0"/>
        </w:rPr>
        <w:t>.</w:t>
      </w:r>
    </w:p>
    <w:p w:rsidR="00BF77DA" w:rsidRPr="00A428C3" w:rsidRDefault="00BF77DA" w:rsidP="00BF77DA">
      <w:pPr>
        <w:pStyle w:val="a0"/>
      </w:pPr>
      <w:r w:rsidRPr="00A428C3">
        <w:t xml:space="preserve">Full Text: </w:t>
      </w:r>
      <w:hyperlink r:id="rId397" w:history="1">
        <w:r w:rsidRPr="00BF77DA">
          <w:rPr>
            <w:rStyle w:val="a5"/>
          </w:rPr>
          <w:t>2006\Geo Cos Act70, A474.pdf</w:t>
        </w:r>
      </w:hyperlink>
    </w:p>
    <w:p w:rsidR="00BF77DA" w:rsidRDefault="00BF77DA" w:rsidP="00BF77DA">
      <w:pPr>
        <w:pStyle w:val="a0"/>
        <w:rPr>
          <w:kern w:val="0"/>
        </w:rPr>
      </w:pPr>
      <w:r>
        <w:rPr>
          <w:kern w:val="0"/>
        </w:rPr>
        <w:t>Keywords: Ghana, Laterite, Sorption</w:t>
      </w:r>
    </w:p>
    <w:p w:rsidR="00B95188" w:rsidRPr="00A428C3" w:rsidRDefault="00B95188" w:rsidP="00B95188">
      <w:pPr>
        <w:pStyle w:val="a0"/>
      </w:pPr>
      <w:r w:rsidRPr="00A428C3">
        <w:t xml:space="preserve">? Yu, G., </w:t>
      </w:r>
      <w:smartTag w:uri="urn:schemas-microsoft-com:office:smarttags" w:element="place">
        <w:smartTag w:uri="urn:schemas-microsoft-com:office:smarttags" w:element="City">
          <w:r w:rsidRPr="00A428C3">
            <w:t>Saha</w:t>
          </w:r>
        </w:smartTag>
        <w:r w:rsidRPr="00A428C3">
          <w:t xml:space="preserve">, </w:t>
        </w:r>
        <w:smartTag w:uri="urn:schemas-microsoft-com:office:smarttags" w:element="country-region">
          <w:r w:rsidRPr="00A428C3">
            <w:t>U.K.</w:t>
          </w:r>
        </w:smartTag>
      </w:smartTag>
      <w:r w:rsidRPr="00A428C3">
        <w:t>, Kozak, L.M.</w:t>
      </w:r>
      <w:r w:rsidR="00F81221">
        <w:t xml:space="preserve"> and </w:t>
      </w:r>
      <w:r w:rsidRPr="00A428C3">
        <w:t xml:space="preserve">Huang, P.M. (2006), Kinetics of cadmium adsorption on aluminum precipitation products formed under the influence of tannate. </w:t>
      </w:r>
      <w:r w:rsidRPr="00A428C3">
        <w:rPr>
          <w:i/>
        </w:rPr>
        <w:t>Geochimica et Cosmochimica Acta</w:t>
      </w:r>
      <w:r w:rsidRPr="00A428C3">
        <w:t xml:space="preserve">, </w:t>
      </w:r>
      <w:r w:rsidRPr="00A428C3">
        <w:rPr>
          <w:b/>
        </w:rPr>
        <w:t>70</w:t>
      </w:r>
      <w:r w:rsidRPr="00A428C3">
        <w:t xml:space="preserve"> (20), 5134-5145.</w:t>
      </w:r>
    </w:p>
    <w:p w:rsidR="00B95188" w:rsidRPr="00A428C3" w:rsidRDefault="00B95188" w:rsidP="00B95188">
      <w:pPr>
        <w:pStyle w:val="a0"/>
      </w:pPr>
      <w:r w:rsidRPr="00A428C3">
        <w:t xml:space="preserve">Full Text: </w:t>
      </w:r>
      <w:hyperlink r:id="rId398" w:history="1">
        <w:r w:rsidRPr="00A428C3">
          <w:rPr>
            <w:rStyle w:val="a5"/>
          </w:rPr>
          <w:t>2006\Geo Cos Act70, 5134.pdf</w:t>
        </w:r>
      </w:hyperlink>
    </w:p>
    <w:p w:rsidR="00B95188" w:rsidRPr="00A428C3" w:rsidRDefault="00B95188" w:rsidP="007F22FE">
      <w:pPr>
        <w:pStyle w:val="a0"/>
      </w:pPr>
      <w:r w:rsidRPr="00A428C3">
        <w:t>Abstract: The impeding effects of organic substances on the crystallization of Al precipitation products have been studied for more than three decades. However, the impacts of organics-induced structural perturbation</w:t>
      </w:r>
      <w:r w:rsidR="00F81221">
        <w:t xml:space="preserve"> and </w:t>
      </w:r>
      <w:r w:rsidRPr="00A428C3">
        <w:t>the resultant surface alteration of Al transformation products on their kinetics</w:t>
      </w:r>
      <w:r w:rsidR="00F81221">
        <w:t xml:space="preserve"> and </w:t>
      </w:r>
      <w:r w:rsidRPr="00A428C3">
        <w:t>mechanisms of the adsorption of trace metals still remain to be uncovered. This paper describes the kinetics of Cd adsorption on the short-range-ordered (SRO) Al precipitation products formed under the influence of tannate. The kinetics of Cd adsorption on the SRO Al precipitation products formed in the presence of tannate at initial tannate/Al molar ratios (MRs) of 0, 0.001, 0.01</w:t>
      </w:r>
      <w:r w:rsidR="00F81221">
        <w:t xml:space="preserve"> and </w:t>
      </w:r>
      <w:r w:rsidRPr="00A428C3">
        <w:t>0.1 was studied at an initial Cd concentration of 0.89 mu M, pH 5.5, background electrolyte of 10(-2) M NaNO3,</w:t>
      </w:r>
      <w:r w:rsidR="00F81221">
        <w:t xml:space="preserve"> and </w:t>
      </w:r>
      <w:r w:rsidRPr="00A428C3">
        <w:t xml:space="preserve">solid phase concentration of </w:t>
      </w:r>
      <w:smartTag w:uri="urn:schemas-microsoft-com:office:smarttags" w:element="chmetcnv">
        <w:smartTagPr>
          <w:attr w:name="TCSC" w:val="0"/>
          <w:attr w:name="NumberType" w:val="1"/>
          <w:attr w:name="Negative" w:val="False"/>
          <w:attr w:name="HasSpace" w:val="True"/>
          <w:attr w:name="SourceValue" w:val="0.08"/>
          <w:attr w:name="UnitName" w:val="g"/>
        </w:smartTagPr>
        <w:r w:rsidRPr="00A428C3">
          <w:t>0.08 g</w:t>
        </w:r>
      </w:smartTag>
      <w:r w:rsidRPr="00A428C3">
        <w:t xml:space="preserve"> L-1 at 278, 288, 298</w:t>
      </w:r>
      <w:r w:rsidR="00F81221">
        <w:t xml:space="preserve"> and </w:t>
      </w:r>
      <w:r w:rsidRPr="00A428C3">
        <w:t>313 K using the conventional batch method. The results show that, among the six empirical kinetic models tested, the second-order rate equation best described the kinetic data. Cadmium adsorption on SRO Al precipitation products was a multi-step process involving an initial fast reaction (0.083-0.75 h) followed by a slow reaction (0.75-4 h). The structural perturbation of Al precipitation products by tannate</w:t>
      </w:r>
      <w:r w:rsidR="00F81221">
        <w:t xml:space="preserve"> and </w:t>
      </w:r>
      <w:r w:rsidRPr="00A428C3">
        <w:t>the resultant development of their microporosity</w:t>
      </w:r>
      <w:r w:rsidR="00F81221">
        <w:t xml:space="preserve"> and </w:t>
      </w:r>
      <w:r w:rsidRPr="00A428C3">
        <w:t>alteration of surface</w:t>
      </w:r>
      <w:r w:rsidR="00F81221">
        <w:t xml:space="preserve"> and </w:t>
      </w:r>
      <w:r w:rsidRPr="00A428C3">
        <w:t>charge properties substantially enhanced the rate constants of both the fast</w:t>
      </w:r>
      <w:r w:rsidR="00F81221">
        <w:t xml:space="preserve"> and </w:t>
      </w:r>
      <w:r w:rsidRPr="00A428C3">
        <w:t>slow reaction processes of Cd adsorption. The heat of activation values for the fast reaction ranged from 27 to 41 kJ mol</w:t>
      </w:r>
      <w:r w:rsidR="007F22FE">
        <w:rPr>
          <w:rFonts w:hint="eastAsia"/>
          <w:kern w:val="0"/>
          <w:vertAlign w:val="superscript"/>
        </w:rPr>
        <w:t>-1</w:t>
      </w:r>
      <w:r w:rsidRPr="00A428C3">
        <w:t>, indicating that diffusion is the rate-limiting step in Cd adsorption. Except for the Al precipitation products formed at a tannate/Al MR of 0</w:t>
      </w:r>
      <w:r w:rsidR="00F81221">
        <w:t xml:space="preserve"> and </w:t>
      </w:r>
      <w:r w:rsidRPr="00A428C3">
        <w:t>0.001, the heat of activation was &gt; 47 kJ mol</w:t>
      </w:r>
      <w:r w:rsidR="007F22FE">
        <w:rPr>
          <w:rFonts w:hint="eastAsia"/>
          <w:kern w:val="0"/>
          <w:vertAlign w:val="superscript"/>
        </w:rPr>
        <w:t>-1</w:t>
      </w:r>
      <w:r w:rsidRPr="00A428C3">
        <w:t xml:space="preserve"> for the slow reaction, indicating that the rate-limiting step is a chemical process, which apparently involves bond breaking</w:t>
      </w:r>
      <w:r w:rsidR="00F81221">
        <w:t xml:space="preserve"> and </w:t>
      </w:r>
      <w:r w:rsidRPr="00A428C3">
        <w:t xml:space="preserve">formation on the surfaces of the SRO Al precipitation products. The pre-exponential factor, an </w:t>
      </w:r>
      <w:r w:rsidRPr="00A428C3">
        <w:lastRenderedPageBreak/>
        <w:t>index of the frequency of Cd collision with the surface of Al precipitation products, significantly increased with the increase of the initial tannate/Al MR, which is attributed to the development of microporosity</w:t>
      </w:r>
      <w:r w:rsidR="00F81221">
        <w:t xml:space="preserve"> and </w:t>
      </w:r>
      <w:r w:rsidRPr="00A428C3">
        <w:t>the increase in the specific surface area of the Al precipitation products formed under the influence of tannate ligands. The findings merit attention to the role of natural organics, which vary in the structure</w:t>
      </w:r>
      <w:r w:rsidR="00F81221">
        <w:t xml:space="preserve"> and </w:t>
      </w:r>
      <w:r w:rsidRPr="00A428C3">
        <w:t>functionality, in developing the microporous structure of Al precipitation products</w:t>
      </w:r>
      <w:r w:rsidR="00F81221">
        <w:t xml:space="preserve"> and </w:t>
      </w:r>
      <w:r w:rsidRPr="00A428C3">
        <w:t>the impact on the dynamics</w:t>
      </w:r>
      <w:r w:rsidR="00F81221">
        <w:t xml:space="preserve"> and </w:t>
      </w:r>
      <w:r w:rsidRPr="00A428C3">
        <w:t>mechanisms of Cd transformation</w:t>
      </w:r>
      <w:r w:rsidR="00F81221">
        <w:t xml:space="preserve"> and </w:t>
      </w:r>
      <w:r w:rsidRPr="00A428C3">
        <w:t xml:space="preserve">transport in natural environments. (c) 2006 Elsevier Inc. All rights reserved. </w:t>
      </w:r>
    </w:p>
    <w:p w:rsidR="00B95188" w:rsidRPr="00A428C3" w:rsidRDefault="00B95188" w:rsidP="00B95188">
      <w:pPr>
        <w:pStyle w:val="a0"/>
      </w:pPr>
      <w:r w:rsidRPr="00A428C3">
        <w:t>Keywords: Chromate Retention Mechanisms, Oxide-Water Interface, Low-Molecular-Weight, Organic-Ligands, Manganese Oxide, Sorption, Soils, Hydroxides, Goethite, Desorption</w:t>
      </w:r>
    </w:p>
    <w:p w:rsidR="00222B82" w:rsidRPr="00A428C3" w:rsidRDefault="00222B82" w:rsidP="00222B82">
      <w:pPr>
        <w:pStyle w:val="a0"/>
      </w:pPr>
      <w:r w:rsidRPr="00A428C3">
        <w:t xml:space="preserve">? </w:t>
      </w:r>
      <w:r>
        <w:t>Gelabert</w:t>
      </w:r>
      <w:r>
        <w:rPr>
          <w:rFonts w:hint="eastAsia"/>
        </w:rPr>
        <w:t>,</w:t>
      </w:r>
      <w:r>
        <w:t xml:space="preserve"> A</w:t>
      </w:r>
      <w:r>
        <w:rPr>
          <w:rFonts w:hint="eastAsia"/>
        </w:rPr>
        <w:t>.,</w:t>
      </w:r>
      <w:r>
        <w:t xml:space="preserve"> Pokrovsky</w:t>
      </w:r>
      <w:r>
        <w:rPr>
          <w:rFonts w:hint="eastAsia"/>
        </w:rPr>
        <w:t>,</w:t>
      </w:r>
      <w:r>
        <w:t xml:space="preserve"> O</w:t>
      </w:r>
      <w:r>
        <w:rPr>
          <w:rFonts w:hint="eastAsia"/>
        </w:rPr>
        <w:t>.</w:t>
      </w:r>
      <w:r>
        <w:t>S</w:t>
      </w:r>
      <w:r>
        <w:rPr>
          <w:rFonts w:hint="eastAsia"/>
        </w:rPr>
        <w:t>.,</w:t>
      </w:r>
      <w:r>
        <w:t xml:space="preserve"> Schott</w:t>
      </w:r>
      <w:r>
        <w:rPr>
          <w:rFonts w:hint="eastAsia"/>
        </w:rPr>
        <w:t>,</w:t>
      </w:r>
      <w:r>
        <w:t xml:space="preserve"> J</w:t>
      </w:r>
      <w:r>
        <w:rPr>
          <w:rFonts w:hint="eastAsia"/>
        </w:rPr>
        <w:t>.,</w:t>
      </w:r>
      <w:r>
        <w:t xml:space="preserve"> Boudou</w:t>
      </w:r>
      <w:r>
        <w:rPr>
          <w:rFonts w:hint="eastAsia"/>
        </w:rPr>
        <w:t>,</w:t>
      </w:r>
      <w:r>
        <w:t xml:space="preserve"> A</w:t>
      </w:r>
      <w:r>
        <w:rPr>
          <w:rFonts w:hint="eastAsia"/>
        </w:rPr>
        <w:t>.</w:t>
      </w:r>
      <w:r w:rsidR="00F81221">
        <w:rPr>
          <w:rFonts w:hint="eastAsia"/>
        </w:rPr>
        <w:t xml:space="preserve"> and </w:t>
      </w:r>
      <w:r>
        <w:t>Feurtet-Mazel</w:t>
      </w:r>
      <w:r>
        <w:rPr>
          <w:rFonts w:hint="eastAsia"/>
        </w:rPr>
        <w:t>,</w:t>
      </w:r>
      <w:r>
        <w:t xml:space="preserve"> A</w:t>
      </w:r>
      <w:r>
        <w:rPr>
          <w:rFonts w:hint="eastAsia"/>
        </w:rPr>
        <w:t>.</w:t>
      </w:r>
      <w:r w:rsidRPr="00A428C3">
        <w:t xml:space="preserve"> (200</w:t>
      </w:r>
      <w:r>
        <w:rPr>
          <w:rFonts w:hint="eastAsia"/>
        </w:rPr>
        <w:t>7</w:t>
      </w:r>
      <w:r w:rsidRPr="00A428C3">
        <w:t xml:space="preserve">), </w:t>
      </w:r>
      <w:r>
        <w:t>Cadmium</w:t>
      </w:r>
      <w:r w:rsidR="00F81221">
        <w:t xml:space="preserve"> and </w:t>
      </w:r>
      <w:r>
        <w:t>lead interaction with diatom surfaces: A combined thermodynamic</w:t>
      </w:r>
      <w:r w:rsidR="00F81221">
        <w:t xml:space="preserve"> and </w:t>
      </w:r>
      <w:r>
        <w:t>kinetic approach</w:t>
      </w:r>
      <w:r w:rsidRPr="00A428C3">
        <w:t xml:space="preserve">. </w:t>
      </w:r>
      <w:r w:rsidRPr="00A428C3">
        <w:rPr>
          <w:i/>
        </w:rPr>
        <w:t>Geochimica et Cosmochimica Acta</w:t>
      </w:r>
      <w:r w:rsidRPr="00A428C3">
        <w:t xml:space="preserve">, </w:t>
      </w:r>
      <w:r w:rsidRPr="00A428C3">
        <w:rPr>
          <w:b/>
        </w:rPr>
        <w:t>7</w:t>
      </w:r>
      <w:r>
        <w:rPr>
          <w:rFonts w:hint="eastAsia"/>
          <w:b/>
        </w:rPr>
        <w:t>1</w:t>
      </w:r>
      <w:r w:rsidRPr="00A428C3">
        <w:t xml:space="preserve"> (</w:t>
      </w:r>
      <w:r>
        <w:rPr>
          <w:rFonts w:hint="eastAsia"/>
        </w:rPr>
        <w:t>15</w:t>
      </w:r>
      <w:r w:rsidRPr="00A428C3">
        <w:t xml:space="preserve">), </w:t>
      </w:r>
      <w:r>
        <w:t>3698-3716</w:t>
      </w:r>
      <w:r w:rsidRPr="00A428C3">
        <w:t>.</w:t>
      </w:r>
    </w:p>
    <w:p w:rsidR="00222B82" w:rsidRDefault="00222B82" w:rsidP="00222B82">
      <w:pPr>
        <w:pStyle w:val="a0"/>
      </w:pPr>
      <w:r w:rsidRPr="00A428C3">
        <w:t xml:space="preserve">Full Text: </w:t>
      </w:r>
      <w:hyperlink r:id="rId399" w:history="1">
        <w:r w:rsidRPr="00222B82">
          <w:rPr>
            <w:rStyle w:val="a5"/>
          </w:rPr>
          <w:t>2007\Geo Cos Act71, 3698.pdf</w:t>
        </w:r>
      </w:hyperlink>
    </w:p>
    <w:p w:rsidR="00222B82" w:rsidRDefault="00222B82" w:rsidP="00222B82">
      <w:pPr>
        <w:pStyle w:val="a0"/>
      </w:pPr>
      <w:r>
        <w:t>Abstract: This work is devoted to the physico-chemical study of cadmium</w:t>
      </w:r>
      <w:r w:rsidR="00F81221">
        <w:t xml:space="preserve"> and </w:t>
      </w:r>
      <w:r>
        <w:t>lead interaction with diatom-water interfaces for two marine planktonic (Thalassiosira weissflogii, TW; Skeletonema costatum, SC)</w:t>
      </w:r>
      <w:r w:rsidR="00F81221">
        <w:t xml:space="preserve"> and </w:t>
      </w:r>
      <w:r>
        <w:t>two freshwater periphytic species (Achnanthidium minutissimum, AMIN; Navicula minima, NMIN) by combining adsorption measurements with surface complexation modeling. Adsorption kinetics was studied as a function of pH</w:t>
      </w:r>
      <w:r w:rsidR="00F81221">
        <w:t xml:space="preserve"> and </w:t>
      </w:r>
      <w:r>
        <w:t>initial metal concentration in sodium nitrate solution</w:t>
      </w:r>
      <w:r w:rsidR="00F81221">
        <w:t xml:space="preserve"> and </w:t>
      </w:r>
      <w:r>
        <w:t>in culture media. Kinetic data were consistent with a two-step mechanism in which the loss of a water molecule from the inner coordination sphere of the metal is rate limiting. Reversible adsorption experiments, with 3 h of exposure to metal, were performed as a function of pH (2-9), metal concentration in solution (10</w:t>
      </w:r>
      <w:r>
        <w:rPr>
          <w:rFonts w:hint="eastAsia"/>
          <w:vertAlign w:val="superscript"/>
        </w:rPr>
        <w:t>-9</w:t>
      </w:r>
      <w:r>
        <w:t>-10</w:t>
      </w:r>
      <w:r>
        <w:rPr>
          <w:rFonts w:hint="eastAsia"/>
          <w:vertAlign w:val="superscript"/>
        </w:rPr>
        <w:t>-3</w:t>
      </w:r>
      <w:r>
        <w:t xml:space="preserve"> M),</w:t>
      </w:r>
      <w:r w:rsidR="00F81221">
        <w:t xml:space="preserve"> and </w:t>
      </w:r>
      <w:r>
        <w:t>ionic strength (10-31.0 M). While the shape of pH-dependent adsorption edge is similar among all four diatom species, the constant-pH adsorption isotherm</w:t>
      </w:r>
      <w:r w:rsidR="00F81221">
        <w:t xml:space="preserve"> and </w:t>
      </w:r>
      <w:r>
        <w:t>maximal binding capacities differ. Measurements of electrophoretic mobilities (</w:t>
      </w:r>
      <w:r>
        <w:sym w:font="Symbol" w:char="F06D"/>
      </w:r>
      <w:r>
        <w:t>) revealed negative surface potential for AMIN diatom, however, the absolute value of mu decreases with increase of [Cd</w:t>
      </w:r>
      <w:r w:rsidRPr="00222B82">
        <w:rPr>
          <w:vertAlign w:val="superscript"/>
        </w:rPr>
        <w:t>2+</w:t>
      </w:r>
      <w:r>
        <w:t>]</w:t>
      </w:r>
      <w:r w:rsidRPr="00222B82">
        <w:rPr>
          <w:vertAlign w:val="subscript"/>
        </w:rPr>
        <w:t>aq</w:t>
      </w:r>
      <w:r>
        <w:t>, suggesting the metal adsorption on negative surface sites. These observations allowed us to construct a surface complexation model (SCM) for cadmium</w:t>
      </w:r>
      <w:r w:rsidR="00F81221">
        <w:t xml:space="preserve"> and </w:t>
      </w:r>
      <w:r>
        <w:t>lead binding by diatom surfaces that postulates the Constant Capacitance of the electric double layer</w:t>
      </w:r>
      <w:r w:rsidR="00F81221">
        <w:t xml:space="preserve"> and </w:t>
      </w:r>
      <w:r>
        <w:t>considers Cd</w:t>
      </w:r>
      <w:r w:rsidR="00F81221">
        <w:t xml:space="preserve"> and </w:t>
      </w:r>
      <w:r>
        <w:t>Pb complexation with mainly carboxylic and, partially, silanol groups. In the full range of investigated Cd concentration, the SCM is able to describe the concentration of adsorbed metal as a function of [Cd</w:t>
      </w:r>
      <w:r w:rsidRPr="00222B82">
        <w:rPr>
          <w:vertAlign w:val="superscript"/>
        </w:rPr>
        <w:t>2+</w:t>
      </w:r>
      <w:r>
        <w:t>]</w:t>
      </w:r>
      <w:r w:rsidRPr="00222B82">
        <w:rPr>
          <w:vertAlign w:val="subscript"/>
        </w:rPr>
        <w:t>aq</w:t>
      </w:r>
      <w:r>
        <w:t xml:space="preserve">,without implying the presence of high affinity, low abundance sites, that are typically used to model the metal interactions with natural multi-component organic substances. At </w:t>
      </w:r>
      <w:r>
        <w:lastRenderedPageBreak/>
        <w:t xml:space="preserve">the same time, Cd fast initial reaction requires the presence of </w:t>
      </w:r>
      <w:r w:rsidR="000352E7">
        <w:t>“</w:t>
      </w:r>
      <w:r>
        <w:t>highly reactive sites</w:t>
      </w:r>
      <w:r w:rsidR="000352E7">
        <w:t>”</w:t>
      </w:r>
      <w:r>
        <w:t xml:space="preserve"> those concentration represents only 2.5-3% of the total amount of carboxylic sites. For reversible adsorption experiments, the dominating carboxylic groups, whose concentration is allowed to vary within the uncertainty of experimental acid-base titrations, are sufficient to reproduce the metal adsorption isotherms. Results of this study strongly suggest that laboratory experiments performed in a wide range of metal to biomass ratios, represent robust</w:t>
      </w:r>
      <w:r w:rsidR="00F81221">
        <w:t xml:space="preserve"> and </w:t>
      </w:r>
      <w:r>
        <w:t>relatively simple method for assessing the distribution of metals between aqueous solution</w:t>
      </w:r>
      <w:r w:rsidR="00F81221">
        <w:t xml:space="preserve"> and </w:t>
      </w:r>
      <w:r>
        <w:t>planktonic</w:t>
      </w:r>
      <w:r w:rsidR="00F81221">
        <w:t xml:space="preserve"> and </w:t>
      </w:r>
      <w:r>
        <w:t>periphytic biomass in natural settings. (c) 2007 Elsevier Ltd. All rights reserved.</w:t>
      </w:r>
    </w:p>
    <w:p w:rsidR="00222B82" w:rsidRPr="00A428C3" w:rsidRDefault="00222B82" w:rsidP="00222B82">
      <w:pPr>
        <w:pStyle w:val="a0"/>
      </w:pPr>
      <w:r>
        <w:t>Keywords: Chemical-Equilibrium Model, Bacterial Surfaces, Metal Adsorption, Ionic-Strength, Cd Adsorption, Fresh-Water, Dunaliella-Tertiolecta, Cell-Walls, Complexation, Binding</w:t>
      </w:r>
    </w:p>
    <w:p w:rsidR="001E689B" w:rsidRDefault="001E689B" w:rsidP="001E689B">
      <w:pPr>
        <w:pStyle w:val="a0"/>
        <w:rPr>
          <w:kern w:val="0"/>
        </w:rPr>
      </w:pPr>
      <w:r>
        <w:rPr>
          <w:rFonts w:hint="eastAsia"/>
          <w:kern w:val="0"/>
        </w:rPr>
        <w:t xml:space="preserve">? </w:t>
      </w:r>
      <w:r>
        <w:rPr>
          <w:kern w:val="0"/>
        </w:rPr>
        <w:t>Kwon, J.S., Yun, S.T., Jo, H.Y.</w:t>
      </w:r>
      <w:r w:rsidR="00F81221">
        <w:rPr>
          <w:kern w:val="0"/>
        </w:rPr>
        <w:t xml:space="preserve"> and </w:t>
      </w:r>
      <w:r>
        <w:rPr>
          <w:kern w:val="0"/>
        </w:rPr>
        <w:t>Jung, S.H. (2008), Geochemical processes including sorption</w:t>
      </w:r>
      <w:r w:rsidR="00F81221">
        <w:rPr>
          <w:kern w:val="0"/>
        </w:rPr>
        <w:t xml:space="preserve"> and </w:t>
      </w:r>
      <w:r>
        <w:rPr>
          <w:kern w:val="0"/>
        </w:rPr>
        <w:t>incorporation of heavy metals</w:t>
      </w:r>
      <w:r w:rsidR="00F81221">
        <w:rPr>
          <w:kern w:val="0"/>
        </w:rPr>
        <w:t xml:space="preserve"> and </w:t>
      </w:r>
      <w:r>
        <w:rPr>
          <w:kern w:val="0"/>
        </w:rPr>
        <w:t>arsenic by scoria</w:t>
      </w:r>
      <w:r w:rsidR="00F81221">
        <w:rPr>
          <w:kern w:val="0"/>
        </w:rPr>
        <w:t xml:space="preserve"> and </w:t>
      </w:r>
      <w:r>
        <w:rPr>
          <w:kern w:val="0"/>
        </w:rPr>
        <w:t xml:space="preserve">steel slag. </w:t>
      </w:r>
      <w:r>
        <w:rPr>
          <w:i/>
          <w:iCs/>
          <w:kern w:val="0"/>
        </w:rPr>
        <w:t>Geochimica et Cosmochimica Acta</w:t>
      </w:r>
      <w:r>
        <w:rPr>
          <w:kern w:val="0"/>
        </w:rPr>
        <w:t xml:space="preserve">, </w:t>
      </w:r>
      <w:r>
        <w:rPr>
          <w:b/>
          <w:bCs/>
          <w:kern w:val="0"/>
        </w:rPr>
        <w:t>72</w:t>
      </w:r>
      <w:r>
        <w:rPr>
          <w:kern w:val="0"/>
        </w:rPr>
        <w:t xml:space="preserve"> (12), A507</w:t>
      </w:r>
      <w:r>
        <w:rPr>
          <w:rFonts w:hint="eastAsia"/>
          <w:kern w:val="0"/>
        </w:rPr>
        <w:t>.</w:t>
      </w:r>
    </w:p>
    <w:p w:rsidR="001E689B" w:rsidRDefault="001E689B" w:rsidP="001E689B">
      <w:pPr>
        <w:pStyle w:val="a0"/>
      </w:pPr>
      <w:r w:rsidRPr="00A428C3">
        <w:t xml:space="preserve">Full Text: </w:t>
      </w:r>
      <w:r>
        <w:t>200</w:t>
      </w:r>
      <w:r>
        <w:rPr>
          <w:rFonts w:hint="eastAsia"/>
        </w:rPr>
        <w:t>8</w:t>
      </w:r>
      <w:r>
        <w:t>\Geo Cos Act7</w:t>
      </w:r>
      <w:r>
        <w:rPr>
          <w:rFonts w:hint="eastAsia"/>
        </w:rPr>
        <w:t>2</w:t>
      </w:r>
      <w:r>
        <w:t xml:space="preserve">, </w:t>
      </w:r>
      <w:r>
        <w:rPr>
          <w:rFonts w:hint="eastAsia"/>
        </w:rPr>
        <w:t>A507</w:t>
      </w:r>
      <w:r w:rsidRPr="00B63E9F">
        <w:t>.pdf</w:t>
      </w:r>
    </w:p>
    <w:p w:rsidR="001E689B" w:rsidRDefault="001E689B" w:rsidP="001E689B">
      <w:pPr>
        <w:pStyle w:val="a0"/>
        <w:rPr>
          <w:kern w:val="0"/>
        </w:rPr>
      </w:pPr>
      <w:r>
        <w:rPr>
          <w:kern w:val="0"/>
        </w:rPr>
        <w:t>Keywords: Arsenic, Heavy Metals, Sorption, Steel Slag</w:t>
      </w:r>
    </w:p>
    <w:p w:rsidR="00B95188" w:rsidRPr="00A428C3" w:rsidRDefault="00B95188" w:rsidP="00B95188">
      <w:pPr>
        <w:pStyle w:val="1"/>
      </w:pPr>
      <w:r w:rsidRPr="00A428C3">
        <w:br w:type="page"/>
      </w:r>
      <w:bookmarkStart w:id="288" w:name="_Toc186647713"/>
      <w:bookmarkStart w:id="289" w:name="_Toc317160914"/>
      <w:r w:rsidRPr="00A428C3">
        <w:lastRenderedPageBreak/>
        <w:t xml:space="preserve">Title: </w:t>
      </w:r>
      <w:r w:rsidRPr="00A428C3">
        <w:rPr>
          <w:iCs/>
        </w:rPr>
        <w:t>Geochemistry: Exploration, Environment, Analysis</w:t>
      </w:r>
      <w:bookmarkEnd w:id="288"/>
      <w:bookmarkEnd w:id="289"/>
    </w:p>
    <w:p w:rsidR="00B95188" w:rsidRPr="00A428C3" w:rsidRDefault="00B95188" w:rsidP="00B72EF9">
      <w:pPr>
        <w:pStyle w:val="12"/>
      </w:pPr>
      <w:r w:rsidRPr="00A428C3">
        <w:t>Full Journal Title: Geochemistry: Exploration, Environment, Analysis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 (2000)</w:t>
      </w:r>
    </w:p>
    <w:p w:rsidR="00B95188" w:rsidRPr="00A428C3" w:rsidRDefault="00B95188" w:rsidP="00B95188">
      <w:pPr>
        <w:pStyle w:val="a0"/>
      </w:pPr>
      <w:r w:rsidRPr="00A428C3">
        <w:t>Ongley, L.K., Armienta, M.A., Heggeman, K., Lathrop, A.S., Mango, H., Miller, W.</w:t>
      </w:r>
      <w:r w:rsidR="00F81221">
        <w:t xml:space="preserve"> and </w:t>
      </w:r>
      <w:r w:rsidRPr="00A428C3">
        <w:t xml:space="preserve">Pickelner, S. (2001), Arsenic removal from contaminated water by the soyatal formation, zimapán mining district, </w:t>
      </w:r>
      <w:smartTag w:uri="urn:schemas-microsoft-com:office:smarttags" w:element="place">
        <w:smartTag w:uri="urn:schemas-microsoft-com:office:smarttags" w:element="country-region">
          <w:r w:rsidRPr="00A428C3">
            <w:t>Mexico</w:t>
          </w:r>
        </w:smartTag>
      </w:smartTag>
      <w:r w:rsidRPr="00A428C3">
        <w:t xml:space="preserve">: A potential low-cost low-tech remediation system. </w:t>
      </w:r>
      <w:r w:rsidRPr="00A428C3">
        <w:rPr>
          <w:i/>
        </w:rPr>
        <w:t>Geochemistry: Exploration</w:t>
      </w:r>
      <w:r w:rsidRPr="00A428C3">
        <w:rPr>
          <w:iCs/>
        </w:rPr>
        <w:t xml:space="preserve">, </w:t>
      </w:r>
      <w:r w:rsidRPr="00A428C3">
        <w:rPr>
          <w:i/>
        </w:rPr>
        <w:t>Environment</w:t>
      </w:r>
      <w:r w:rsidRPr="00A428C3">
        <w:rPr>
          <w:iCs/>
        </w:rPr>
        <w:t xml:space="preserve">, </w:t>
      </w:r>
      <w:r w:rsidRPr="00A428C3">
        <w:rPr>
          <w:i/>
        </w:rPr>
        <w:t>Analysis</w:t>
      </w:r>
      <w:r w:rsidRPr="00A428C3">
        <w:t xml:space="preserve">, </w:t>
      </w:r>
      <w:r w:rsidRPr="00A428C3">
        <w:rPr>
          <w:b/>
        </w:rPr>
        <w:t>2</w:t>
      </w:r>
      <w:r w:rsidRPr="00A428C3">
        <w:t>, 0-0.</w:t>
      </w:r>
    </w:p>
    <w:p w:rsidR="00B95188" w:rsidRPr="00A428C3" w:rsidRDefault="00B95188" w:rsidP="00B95188">
      <w:pPr>
        <w:pStyle w:val="a0"/>
      </w:pPr>
      <w:r w:rsidRPr="00A428C3">
        <w:t xml:space="preserve">Full Text: </w:t>
      </w:r>
      <w:hyperlink r:id="rId400" w:history="1">
        <w:r w:rsidRPr="00A428C3">
          <w:rPr>
            <w:rStyle w:val="a5"/>
          </w:rPr>
          <w:t>G\Geo Exp Env Ana2, 0.pdf</w:t>
        </w:r>
      </w:hyperlink>
    </w:p>
    <w:p w:rsidR="00B95188" w:rsidRPr="00A428C3" w:rsidRDefault="00B95188" w:rsidP="00B95188">
      <w:pPr>
        <w:pStyle w:val="1"/>
      </w:pPr>
      <w:r w:rsidRPr="00A428C3">
        <w:br w:type="page"/>
      </w:r>
      <w:bookmarkStart w:id="290" w:name="_Toc455569454"/>
      <w:bookmarkStart w:id="291" w:name="_Toc487190681"/>
      <w:bookmarkStart w:id="292" w:name="_Toc487882184"/>
      <w:bookmarkStart w:id="293" w:name="_Toc490687983"/>
      <w:bookmarkStart w:id="294" w:name="_Toc492807644"/>
      <w:bookmarkStart w:id="295" w:name="_Toc186647714"/>
      <w:bookmarkStart w:id="296" w:name="_Toc317160915"/>
      <w:r w:rsidRPr="00A428C3">
        <w:lastRenderedPageBreak/>
        <w:t>Title: Geoderma</w:t>
      </w:r>
      <w:bookmarkEnd w:id="290"/>
      <w:bookmarkEnd w:id="291"/>
      <w:bookmarkEnd w:id="292"/>
      <w:bookmarkEnd w:id="293"/>
      <w:bookmarkEnd w:id="294"/>
      <w:bookmarkEnd w:id="295"/>
      <w:bookmarkEnd w:id="296"/>
    </w:p>
    <w:p w:rsidR="00B95188" w:rsidRPr="00A428C3" w:rsidRDefault="00B95188" w:rsidP="00B72EF9">
      <w:pPr>
        <w:pStyle w:val="12"/>
      </w:pPr>
      <w:r w:rsidRPr="00A428C3">
        <w:t xml:space="preserve">Full Journal Title: </w:t>
      </w:r>
      <w:hyperlink r:id="rId401" w:history="1">
        <w:r w:rsidRPr="00A428C3">
          <w:rPr>
            <w:rStyle w:val="a5"/>
          </w:rPr>
          <w:t>Geoderma</w:t>
        </w:r>
      </w:hyperlink>
    </w:p>
    <w:p w:rsidR="00B95188" w:rsidRPr="00A428C3" w:rsidRDefault="00B95188" w:rsidP="00B72EF9">
      <w:pPr>
        <w:pStyle w:val="12"/>
      </w:pPr>
      <w:r w:rsidRPr="00A428C3">
        <w:t xml:space="preserve">ISO Abbreviated Title: </w:t>
      </w:r>
      <w:r w:rsidRPr="00A428C3">
        <w:rPr>
          <w:iCs/>
        </w:rPr>
        <w:t>Geoderma</w:t>
      </w:r>
    </w:p>
    <w:p w:rsidR="00B95188" w:rsidRPr="00A428C3" w:rsidRDefault="00B95188" w:rsidP="00B72EF9">
      <w:pPr>
        <w:pStyle w:val="12"/>
      </w:pPr>
      <w:r w:rsidRPr="00A428C3">
        <w:t>JCR Abbreviated Title: Geoderma</w:t>
      </w:r>
    </w:p>
    <w:p w:rsidR="00B95188" w:rsidRPr="00A428C3" w:rsidRDefault="00B95188" w:rsidP="00B72EF9">
      <w:pPr>
        <w:pStyle w:val="12"/>
      </w:pPr>
      <w:r w:rsidRPr="00A428C3">
        <w:t>ISSN: 0016-7061</w:t>
      </w:r>
    </w:p>
    <w:p w:rsidR="00B95188" w:rsidRPr="00A428C3" w:rsidRDefault="00B95188" w:rsidP="00B72EF9">
      <w:pPr>
        <w:pStyle w:val="12"/>
      </w:pPr>
      <w:r w:rsidRPr="00A428C3">
        <w:t xml:space="preserve">Issues/Year: </w:t>
      </w:r>
      <w:r w:rsidR="00810049">
        <w:rPr>
          <w:rFonts w:hint="eastAsia"/>
        </w:rPr>
        <w:t>24</w:t>
      </w:r>
    </w:p>
    <w:p w:rsidR="00810049" w:rsidRPr="00A428C3" w:rsidRDefault="00810049" w:rsidP="00B72EF9">
      <w:pPr>
        <w:pStyle w:val="12"/>
      </w:pPr>
      <w:r w:rsidRPr="00A428C3">
        <w:t>Language: Multi-Language</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Default="00B95188" w:rsidP="00B72EF9">
      <w:pPr>
        <w:pStyle w:val="12"/>
      </w:pPr>
      <w:r w:rsidRPr="00A428C3">
        <w:t>Soil Science: Impact Factor 1.068, 11/29 (2000)</w:t>
      </w:r>
      <w:r w:rsidR="00810049">
        <w:rPr>
          <w:rFonts w:hint="eastAsia"/>
        </w:rPr>
        <w:t>;</w:t>
      </w:r>
      <w:r w:rsidR="00810049" w:rsidRPr="00810049">
        <w:t xml:space="preserve"> </w:t>
      </w:r>
      <w:r w:rsidR="00810049" w:rsidRPr="00A428C3">
        <w:t xml:space="preserve">Impact Factor </w:t>
      </w:r>
      <w:r w:rsidR="00810049">
        <w:rPr>
          <w:rFonts w:hint="eastAsia"/>
        </w:rPr>
        <w:t>2</w:t>
      </w:r>
      <w:r w:rsidR="00810049" w:rsidRPr="00A428C3">
        <w:t xml:space="preserve">.068, </w:t>
      </w:r>
      <w:r w:rsidR="00810049">
        <w:rPr>
          <w:rFonts w:hint="eastAsia"/>
        </w:rPr>
        <w:t>6</w:t>
      </w:r>
      <w:r w:rsidR="00810049" w:rsidRPr="00A428C3">
        <w:t>/</w:t>
      </w:r>
      <w:r w:rsidR="00810049">
        <w:rPr>
          <w:rFonts w:hint="eastAsia"/>
        </w:rPr>
        <w:t xml:space="preserve">31 </w:t>
      </w:r>
      <w:r w:rsidR="00810049" w:rsidRPr="00A428C3">
        <w:t>(200</w:t>
      </w:r>
      <w:r w:rsidR="00810049">
        <w:rPr>
          <w:rFonts w:hint="eastAsia"/>
        </w:rPr>
        <w:t>8</w:t>
      </w:r>
      <w:r w:rsidR="00810049" w:rsidRPr="00A428C3">
        <w:t>)</w:t>
      </w:r>
      <w:r w:rsidR="00A400D7">
        <w:rPr>
          <w:rFonts w:hint="eastAsia"/>
        </w:rPr>
        <w:t>;</w:t>
      </w:r>
      <w:r w:rsidR="00A400D7" w:rsidRPr="00810049">
        <w:t xml:space="preserve"> </w:t>
      </w:r>
      <w:r w:rsidR="00A400D7" w:rsidRPr="00A428C3">
        <w:t xml:space="preserve">Impact Factor </w:t>
      </w:r>
      <w:r w:rsidR="00A400D7">
        <w:rPr>
          <w:rFonts w:hint="eastAsia"/>
        </w:rPr>
        <w:t>2</w:t>
      </w:r>
      <w:r w:rsidR="00A400D7" w:rsidRPr="00A428C3">
        <w:t>.</w:t>
      </w:r>
      <w:r w:rsidR="00A400D7">
        <w:rPr>
          <w:rFonts w:hint="eastAsia"/>
        </w:rPr>
        <w:t>461</w:t>
      </w:r>
      <w:r w:rsidR="00A400D7" w:rsidRPr="00A428C3">
        <w:t xml:space="preserve">, </w:t>
      </w:r>
      <w:r w:rsidR="00A400D7">
        <w:rPr>
          <w:rFonts w:hint="eastAsia"/>
        </w:rPr>
        <w:t>5</w:t>
      </w:r>
      <w:r w:rsidR="00A400D7" w:rsidRPr="00A428C3">
        <w:t>/</w:t>
      </w:r>
      <w:r w:rsidR="00A400D7">
        <w:rPr>
          <w:rFonts w:hint="eastAsia"/>
        </w:rPr>
        <w:t xml:space="preserve">31 </w:t>
      </w:r>
      <w:r w:rsidR="00A400D7" w:rsidRPr="00A428C3">
        <w:t>(200</w:t>
      </w:r>
      <w:r w:rsidR="00A400D7">
        <w:rPr>
          <w:rFonts w:hint="eastAsia"/>
        </w:rPr>
        <w:t>9</w:t>
      </w:r>
      <w:r w:rsidR="00A400D7" w:rsidRPr="00A428C3">
        <w:t>)</w:t>
      </w:r>
    </w:p>
    <w:p w:rsidR="00B95188" w:rsidRPr="00A428C3" w:rsidRDefault="00B95188" w:rsidP="00B95188">
      <w:pPr>
        <w:pStyle w:val="a0"/>
      </w:pPr>
      <w:r w:rsidRPr="00A428C3">
        <w:t xml:space="preserve">van Dijk, H. (1971), Cation binding of humic acids. </w:t>
      </w:r>
      <w:r w:rsidRPr="00A428C3">
        <w:rPr>
          <w:i/>
        </w:rPr>
        <w:t>Geoderma</w:t>
      </w:r>
      <w:r w:rsidRPr="00A428C3">
        <w:t xml:space="preserve">, </w:t>
      </w:r>
      <w:r w:rsidRPr="00A428C3">
        <w:rPr>
          <w:b/>
        </w:rPr>
        <w:t>5</w:t>
      </w:r>
      <w:r w:rsidRPr="00A428C3">
        <w:t xml:space="preserve"> (1), 53-67.</w:t>
      </w:r>
    </w:p>
    <w:p w:rsidR="00B95188" w:rsidRPr="00A428C3" w:rsidRDefault="00B95188" w:rsidP="00B95188">
      <w:pPr>
        <w:pStyle w:val="a0"/>
      </w:pPr>
      <w:r w:rsidRPr="00A428C3">
        <w:t xml:space="preserve">Full Text: </w:t>
      </w:r>
      <w:hyperlink r:id="rId402" w:history="1">
        <w:r w:rsidRPr="00A428C3">
          <w:rPr>
            <w:rStyle w:val="a5"/>
          </w:rPr>
          <w:t>G\Geoderma5, 53.pdf</w:t>
        </w:r>
      </w:hyperlink>
    </w:p>
    <w:p w:rsidR="00B95188" w:rsidRPr="00A428C3" w:rsidRDefault="00B95188" w:rsidP="00B95188">
      <w:pPr>
        <w:pStyle w:val="a0"/>
      </w:pPr>
      <w:r w:rsidRPr="00A428C3">
        <w:t>Abstract: The capacity of humic acids to bind metal ions is, at most, equal to the number of titratable H</w:t>
      </w:r>
      <w:r w:rsidRPr="00A428C3">
        <w:rPr>
          <w:vertAlign w:val="superscript"/>
        </w:rPr>
        <w:t>+</w:t>
      </w:r>
      <w:r w:rsidRPr="00A428C3">
        <w:t>-ions divided by the valency of the concerning metal ion.</w:t>
      </w:r>
    </w:p>
    <w:p w:rsidR="00B95188" w:rsidRPr="00A428C3" w:rsidRDefault="00B95188" w:rsidP="00B95188">
      <w:pPr>
        <w:pStyle w:val="a0"/>
      </w:pPr>
      <w:r w:rsidRPr="00A428C3">
        <w:t>It is concluded that metal humates belong to the polynuclear chelates with cations binding predominantly to negatively charged ligand groupings of the humic acids.</w:t>
      </w:r>
    </w:p>
    <w:p w:rsidR="00B95188" w:rsidRPr="00A428C3" w:rsidRDefault="00B95188" w:rsidP="00B95188">
      <w:pPr>
        <w:pStyle w:val="a0"/>
      </w:pPr>
      <w:r w:rsidRPr="00A428C3">
        <w:t>Judging from the magnitude of the pH-drop on addition of inorganic salts, there is at pH 5 no large difference in bond strength for the divalent ions Ba, Ca, Mg, Mn, Co, Ni, Fe</w:t>
      </w:r>
      <w:r w:rsidR="00F81221">
        <w:t xml:space="preserve"> and </w:t>
      </w:r>
      <w:r w:rsidRPr="00A428C3">
        <w:t>Zn (in this order only</w:t>
      </w:r>
      <w:r>
        <w:t xml:space="preserve"> slightly increas ing). Pb(II), Cu(II)</w:t>
      </w:r>
      <w:r w:rsidR="00F81221">
        <w:t xml:space="preserve"> and </w:t>
      </w:r>
      <w:r>
        <w:t>Fe</w:t>
      </w:r>
      <w:r w:rsidRPr="00A428C3">
        <w:t>(III) ions, however, are (in this order) more firmly bound. At pH 5, Al ions seem to be quantitatively subject to the forming of hydroxide.</w:t>
      </w:r>
    </w:p>
    <w:p w:rsidR="00B95188" w:rsidRPr="00A428C3" w:rsidRDefault="00B95188" w:rsidP="00B95188">
      <w:pPr>
        <w:pStyle w:val="a0"/>
      </w:pPr>
      <w:r w:rsidRPr="00A428C3">
        <w:t>On several grounds it is supposed that the humates of metals of the transition series are forming hydroxocomplexes at high pH, H - ions dissociating from water molecules covalently bound by the metal ion. In the mentioned order, these metal ions are more difficultly displaced by alkali or alkaline earth ions.</w:t>
      </w:r>
    </w:p>
    <w:p w:rsidR="00B95188" w:rsidRPr="00A428C3" w:rsidRDefault="00B95188" w:rsidP="00B95188">
      <w:pPr>
        <w:pStyle w:val="a0"/>
      </w:pPr>
      <w:r w:rsidRPr="00A428C3">
        <w:t>As to the mechanism</w:t>
      </w:r>
      <w:r w:rsidR="00F81221">
        <w:t xml:space="preserve"> and </w:t>
      </w:r>
      <w:r w:rsidRPr="00A428C3">
        <w:t>the strength of the cation binding: there were only insignificant mutual differences between soil humic acids, notwithstanding differences in nitrogen content</w:t>
      </w:r>
      <w:r w:rsidR="00F81221">
        <w:t xml:space="preserve"> and </w:t>
      </w:r>
      <w:r w:rsidRPr="00A428C3">
        <w:t>in the ratio stronger</w:t>
      </w:r>
      <w:r w:rsidR="00F81221">
        <w:t xml:space="preserve"> and </w:t>
      </w:r>
      <w:r w:rsidRPr="00A428C3">
        <w:t>weaker acidic groups. The same holds for synthetic humic acids derived from polyhydroxibenzenes. Between these two groups, however, there are differences, presumably connected with a difference in the dissociation constants of the stronger acidic groups.</w:t>
      </w:r>
    </w:p>
    <w:p w:rsidR="00B95188" w:rsidRPr="00A428C3" w:rsidRDefault="00B95188" w:rsidP="00B95188">
      <w:pPr>
        <w:pStyle w:val="a0"/>
      </w:pPr>
      <w:r w:rsidRPr="00A428C3">
        <w:t>The bond between humic acids</w:t>
      </w:r>
      <w:r w:rsidR="00F81221">
        <w:t xml:space="preserve"> and </w:t>
      </w:r>
      <w:r w:rsidRPr="00A428C3">
        <w:t>ions of the transition elements undoubtedly has a partly covalent character. There are indications that this is also the case with alkaline earth ions.</w:t>
      </w:r>
    </w:p>
    <w:p w:rsidR="00B95188" w:rsidRPr="00A428C3" w:rsidRDefault="000352E7" w:rsidP="00B95188">
      <w:pPr>
        <w:pStyle w:val="a0"/>
      </w:pPr>
      <w:r>
        <w:lastRenderedPageBreak/>
        <w:t>“</w:t>
      </w:r>
      <w:r w:rsidR="00B95188" w:rsidRPr="00A428C3">
        <w:t>Competition</w:t>
      </w:r>
      <w:r>
        <w:t>”</w:t>
      </w:r>
      <w:r w:rsidR="00B95188" w:rsidRPr="00A428C3">
        <w:t xml:space="preserve"> experiments between humic acids</w:t>
      </w:r>
      <w:r w:rsidR="00F81221">
        <w:t xml:space="preserve"> and </w:t>
      </w:r>
      <w:r w:rsidR="00B95188" w:rsidRPr="00A428C3">
        <w:t>some known chelators,</w:t>
      </w:r>
      <w:r w:rsidR="00F81221">
        <w:t xml:space="preserve"> and </w:t>
      </w:r>
      <w:r w:rsidR="00B95188" w:rsidRPr="00A428C3">
        <w:t>copper, gave some indications of the conditional stability constants of copper humates.</w:t>
      </w:r>
    </w:p>
    <w:p w:rsidR="002E0277" w:rsidRPr="00A428C3" w:rsidRDefault="002E0277" w:rsidP="002E0277">
      <w:pPr>
        <w:pStyle w:val="a0"/>
      </w:pPr>
      <w:r>
        <w:rPr>
          <w:rFonts w:hint="eastAsia"/>
        </w:rPr>
        <w:t xml:space="preserve">? </w:t>
      </w:r>
      <w:r>
        <w:t>Debusset</w:t>
      </w:r>
      <w:r>
        <w:rPr>
          <w:rFonts w:hint="eastAsia"/>
        </w:rPr>
        <w:t xml:space="preserve">, </w:t>
      </w:r>
      <w:r>
        <w:t>S</w:t>
      </w:r>
      <w:r>
        <w:rPr>
          <w:rFonts w:hint="eastAsia"/>
        </w:rPr>
        <w:t>.</w:t>
      </w:r>
      <w:r>
        <w:t>G</w:t>
      </w:r>
      <w:r>
        <w:rPr>
          <w:rFonts w:hint="eastAsia"/>
        </w:rPr>
        <w:t>.</w:t>
      </w:r>
      <w:r w:rsidR="00F81221">
        <w:rPr>
          <w:rFonts w:hint="eastAsia"/>
        </w:rPr>
        <w:t xml:space="preserve"> and </w:t>
      </w:r>
      <w:r>
        <w:t>Tschapek</w:t>
      </w:r>
      <w:r>
        <w:rPr>
          <w:rFonts w:hint="eastAsia"/>
        </w:rPr>
        <w:t>,</w:t>
      </w:r>
      <w:r>
        <w:t xml:space="preserve"> M</w:t>
      </w:r>
      <w:r>
        <w:rPr>
          <w:rFonts w:hint="eastAsia"/>
        </w:rPr>
        <w:t>.</w:t>
      </w:r>
      <w:r w:rsidRPr="00A428C3">
        <w:t xml:space="preserve"> (197</w:t>
      </w:r>
      <w:r>
        <w:rPr>
          <w:rFonts w:hint="eastAsia"/>
        </w:rPr>
        <w:t>2</w:t>
      </w:r>
      <w:r w:rsidRPr="00A428C3">
        <w:t xml:space="preserve">), </w:t>
      </w:r>
      <w:r>
        <w:t>Thermodynamics of water-vapor adsorption by mixtures of montmorillonite</w:t>
      </w:r>
      <w:r w:rsidR="00F81221">
        <w:t xml:space="preserve"> and </w:t>
      </w:r>
      <w:r>
        <w:t>humate</w:t>
      </w:r>
      <w:r w:rsidRPr="00A428C3">
        <w:t xml:space="preserve">. </w:t>
      </w:r>
      <w:r w:rsidRPr="00A428C3">
        <w:rPr>
          <w:i/>
        </w:rPr>
        <w:t>Geoderma</w:t>
      </w:r>
      <w:r w:rsidRPr="00A428C3">
        <w:t xml:space="preserve">, </w:t>
      </w:r>
      <w:r>
        <w:rPr>
          <w:rFonts w:hint="eastAsia"/>
          <w:b/>
        </w:rPr>
        <w:t>8</w:t>
      </w:r>
      <w:r w:rsidRPr="00A428C3">
        <w:t xml:space="preserve"> (</w:t>
      </w:r>
      <w:r>
        <w:rPr>
          <w:rFonts w:hint="eastAsia"/>
        </w:rPr>
        <w:t>4</w:t>
      </w:r>
      <w:r w:rsidRPr="00A428C3">
        <w:t xml:space="preserve">), </w:t>
      </w:r>
      <w:r>
        <w:t>281-290</w:t>
      </w:r>
      <w:r w:rsidRPr="00A428C3">
        <w:t>.</w:t>
      </w:r>
    </w:p>
    <w:p w:rsidR="002E0277" w:rsidRDefault="002E0277" w:rsidP="002E0277">
      <w:pPr>
        <w:pStyle w:val="a0"/>
      </w:pPr>
      <w:r w:rsidRPr="00A428C3">
        <w:t xml:space="preserve">Full Text: </w:t>
      </w:r>
      <w:hyperlink r:id="rId403" w:history="1">
        <w:r w:rsidRPr="002E0277">
          <w:rPr>
            <w:rStyle w:val="a5"/>
          </w:rPr>
          <w:t>1960-80\Geoderma8, 281.pdf</w:t>
        </w:r>
      </w:hyperlink>
    </w:p>
    <w:p w:rsidR="002E0277" w:rsidRDefault="002E0277" w:rsidP="002E0277">
      <w:pPr>
        <w:pStyle w:val="a0"/>
      </w:pPr>
      <w:r>
        <w:rPr>
          <w:rFonts w:hint="eastAsia"/>
        </w:rPr>
        <w:t xml:space="preserve">Abstract: </w:t>
      </w:r>
      <w:r>
        <w:t>Bussetti, S.G.</w:t>
      </w:r>
      <w:r w:rsidR="00F81221">
        <w:t xml:space="preserve"> and </w:t>
      </w:r>
      <w:r>
        <w:t>Tschapek, M., 1972. Thermodynamics of water-vapour adsorption by mixtures of</w:t>
      </w:r>
      <w:r>
        <w:rPr>
          <w:rFonts w:hint="eastAsia"/>
        </w:rPr>
        <w:t xml:space="preserve"> </w:t>
      </w:r>
      <w:r>
        <w:t>montmorillonite</w:t>
      </w:r>
      <w:r w:rsidR="00F81221">
        <w:t xml:space="preserve"> and </w:t>
      </w:r>
      <w:r>
        <w:t>humate. Geoderma, 8: 281-290.</w:t>
      </w:r>
      <w:r>
        <w:rPr>
          <w:rFonts w:hint="eastAsia"/>
        </w:rPr>
        <w:t xml:space="preserve"> </w:t>
      </w:r>
      <w:r>
        <w:t>The differential</w:t>
      </w:r>
      <w:r w:rsidR="00F81221">
        <w:t xml:space="preserve"> and </w:t>
      </w:r>
      <w:r>
        <w:t>integral enthalpies (A/t L</w:t>
      </w:r>
      <w:r w:rsidR="00F81221">
        <w:t xml:space="preserve"> and </w:t>
      </w:r>
      <w:r>
        <w:t>AH L)</w:t>
      </w:r>
      <w:r w:rsidR="00F81221">
        <w:t xml:space="preserve"> and </w:t>
      </w:r>
      <w:r>
        <w:t>entropies (AS L</w:t>
      </w:r>
      <w:r w:rsidR="00F81221">
        <w:t xml:space="preserve"> and </w:t>
      </w:r>
      <w:r>
        <w:t>AS L) of water</w:t>
      </w:r>
      <w:r>
        <w:rPr>
          <w:rFonts w:hint="eastAsia"/>
        </w:rPr>
        <w:t xml:space="preserve"> </w:t>
      </w:r>
      <w:r>
        <w:t>adsorption by mixtures of montmoriilonite</w:t>
      </w:r>
      <w:r w:rsidR="00F81221">
        <w:t xml:space="preserve"> and </w:t>
      </w:r>
      <w:r>
        <w:t>humate were calculated from calorimetric</w:t>
      </w:r>
      <w:r w:rsidR="00F81221">
        <w:t xml:space="preserve"> and </w:t>
      </w:r>
      <w:r>
        <w:t>multitemperature vapour adsorption measurements. Both methods gave identical values of enthalpies</w:t>
      </w:r>
      <w:r w:rsidR="00F81221">
        <w:rPr>
          <w:rFonts w:hint="eastAsia"/>
        </w:rPr>
        <w:t xml:space="preserve"> and </w:t>
      </w:r>
      <w:r>
        <w:t>entropies.</w:t>
      </w:r>
      <w:r>
        <w:rPr>
          <w:rFonts w:hint="eastAsia"/>
        </w:rPr>
        <w:t xml:space="preserve"> </w:t>
      </w:r>
      <w:r>
        <w:t>The differential</w:t>
      </w:r>
      <w:r w:rsidR="00F81221">
        <w:t xml:space="preserve"> and </w:t>
      </w:r>
      <w:r>
        <w:t>integral enthalpies (A/~ L</w:t>
      </w:r>
      <w:r w:rsidR="00F81221">
        <w:t xml:space="preserve"> and </w:t>
      </w:r>
      <w:r>
        <w:t>AH L) of water adsorption by montmoriUonite</w:t>
      </w:r>
      <w:r w:rsidR="00F81221">
        <w:rPr>
          <w:rFonts w:hint="eastAsia"/>
        </w:rPr>
        <w:t xml:space="preserve"> and </w:t>
      </w:r>
      <w:r>
        <w:t>humate</w:t>
      </w:r>
      <w:r w:rsidR="00F81221">
        <w:t xml:space="preserve"> and </w:t>
      </w:r>
      <w:r>
        <w:t>their mixtures are negative. The differential entropies (AS L) of montmorillonite,</w:t>
      </w:r>
      <w:r>
        <w:rPr>
          <w:rFonts w:hint="eastAsia"/>
        </w:rPr>
        <w:t xml:space="preserve"> </w:t>
      </w:r>
      <w:r>
        <w:t>humate</w:t>
      </w:r>
      <w:r w:rsidR="00F81221">
        <w:t xml:space="preserve"> and </w:t>
      </w:r>
      <w:r>
        <w:t>their mixtures are negative</w:t>
      </w:r>
      <w:r w:rsidR="00F81221">
        <w:t xml:space="preserve"> and </w:t>
      </w:r>
      <w:r>
        <w:t>increase with the increase in water adsorption. The integral</w:t>
      </w:r>
      <w:r>
        <w:rPr>
          <w:rFonts w:hint="eastAsia"/>
        </w:rPr>
        <w:t xml:space="preserve"> </w:t>
      </w:r>
      <w:r>
        <w:t>entropies (AS L) of water adsorption by the pure montmorillonite are negative</w:t>
      </w:r>
      <w:r w:rsidR="00F81221">
        <w:t xml:space="preserve"> and </w:t>
      </w:r>
      <w:r>
        <w:t>by the pure humate</w:t>
      </w:r>
      <w:r w:rsidR="00F81221">
        <w:rPr>
          <w:rFonts w:hint="eastAsia"/>
        </w:rPr>
        <w:t xml:space="preserve"> and </w:t>
      </w:r>
      <w:r>
        <w:t>mixtures (&gt; 10% humate) are positive. By increasing water adsorption, the integral entropy</w:t>
      </w:r>
      <w:r>
        <w:rPr>
          <w:rFonts w:hint="eastAsia"/>
        </w:rPr>
        <w:t xml:space="preserve"> </w:t>
      </w:r>
      <w:r>
        <w:t>increased for montmorillonite</w:t>
      </w:r>
      <w:r w:rsidR="00F81221">
        <w:t xml:space="preserve"> and </w:t>
      </w:r>
      <w:r>
        <w:t>decreased for humate</w:t>
      </w:r>
      <w:r w:rsidR="00F81221">
        <w:t xml:space="preserve"> and </w:t>
      </w:r>
      <w:r>
        <w:t>mixtures. It seems that water on the</w:t>
      </w:r>
      <w:r>
        <w:rPr>
          <w:rFonts w:hint="eastAsia"/>
        </w:rPr>
        <w:t xml:space="preserve"> </w:t>
      </w:r>
      <w:r>
        <w:t>surface of humate is less ordered than on the surface of montmorillonite. The integral enthalpies like</w:t>
      </w:r>
      <w:r>
        <w:rPr>
          <w:rFonts w:hint="eastAsia"/>
        </w:rPr>
        <w:t xml:space="preserve"> </w:t>
      </w:r>
      <w:r>
        <w:t>that of vapour adsorption, surface areas</w:t>
      </w:r>
      <w:r w:rsidR="00F81221">
        <w:t xml:space="preserve"> and </w:t>
      </w:r>
      <w:r>
        <w:t>heat of wetting are not additive for mixtures.</w:t>
      </w:r>
    </w:p>
    <w:p w:rsidR="002E0277" w:rsidRPr="00A428C3" w:rsidRDefault="002E0277" w:rsidP="002E0277">
      <w:pPr>
        <w:pStyle w:val="a0"/>
      </w:pPr>
      <w:r w:rsidRPr="00A428C3">
        <w:t>Vinkler, B.L.</w:t>
      </w:r>
      <w:r w:rsidR="00F81221">
        <w:t xml:space="preserve"> and </w:t>
      </w:r>
      <w:r w:rsidRPr="00A428C3">
        <w:t>Meisel, J. (1976), Infrared spectroscopic investigations of humic substances</w:t>
      </w:r>
      <w:r w:rsidR="00F81221">
        <w:t xml:space="preserve"> and </w:t>
      </w:r>
      <w:r w:rsidRPr="00A428C3">
        <w:t xml:space="preserve">their metal complexes. </w:t>
      </w:r>
      <w:r w:rsidRPr="00A428C3">
        <w:rPr>
          <w:i/>
        </w:rPr>
        <w:t>Geoderma</w:t>
      </w:r>
      <w:r w:rsidRPr="00A428C3">
        <w:t xml:space="preserve">, </w:t>
      </w:r>
      <w:r w:rsidRPr="00A428C3">
        <w:rPr>
          <w:b/>
        </w:rPr>
        <w:t>15</w:t>
      </w:r>
      <w:r w:rsidRPr="00A428C3">
        <w:t xml:space="preserve"> (3), 231-242.</w:t>
      </w:r>
    </w:p>
    <w:p w:rsidR="002E0277" w:rsidRPr="00A428C3" w:rsidRDefault="002E0277" w:rsidP="002E0277">
      <w:pPr>
        <w:pStyle w:val="a0"/>
      </w:pPr>
      <w:r w:rsidRPr="00A428C3">
        <w:t xml:space="preserve">Full Text: </w:t>
      </w:r>
      <w:hyperlink r:id="rId404" w:history="1">
        <w:r w:rsidRPr="00A428C3">
          <w:rPr>
            <w:rStyle w:val="a5"/>
          </w:rPr>
          <w:t>G\Geoderma15, 231.pdf</w:t>
        </w:r>
      </w:hyperlink>
    </w:p>
    <w:p w:rsidR="00B95188" w:rsidRPr="00A428C3" w:rsidRDefault="00B95188" w:rsidP="00B95188">
      <w:pPr>
        <w:pStyle w:val="a0"/>
      </w:pPr>
      <w:r w:rsidRPr="00A428C3">
        <w:t>Abstract: A study has been made on the infrared spectra of lowland peats</w:t>
      </w:r>
      <w:r w:rsidR="00F81221">
        <w:t xml:space="preserve"> and </w:t>
      </w:r>
      <w:r w:rsidRPr="00A428C3">
        <w:t>purified humic, hymatomelanic</w:t>
      </w:r>
      <w:r w:rsidR="00F81221">
        <w:t xml:space="preserve"> and </w:t>
      </w:r>
      <w:r w:rsidRPr="00A428C3">
        <w:t>fulvic acids, as well as their acetylated derivatives</w:t>
      </w:r>
      <w:r w:rsidR="00F81221">
        <w:t xml:space="preserve"> and </w:t>
      </w:r>
      <w:r w:rsidRPr="00A428C3">
        <w:t>metal complexes. Extraction</w:t>
      </w:r>
      <w:r w:rsidR="00F81221">
        <w:t xml:space="preserve"> and </w:t>
      </w:r>
      <w:r w:rsidRPr="00A428C3">
        <w:t>purification may modify humic acids of untreated peats only to a small extent. Acetylation of fulvic</w:t>
      </w:r>
      <w:r w:rsidR="00F81221">
        <w:t xml:space="preserve"> and </w:t>
      </w:r>
      <w:r w:rsidRPr="00A428C3">
        <w:t>humic acids with acetic acid anhydride resulted mainly in the reaction of phenolic hydroxyl</w:t>
      </w:r>
      <w:r w:rsidR="00F81221">
        <w:t xml:space="preserve"> and </w:t>
      </w:r>
      <w:r w:rsidRPr="00A428C3">
        <w:t>quinone groups. Similarities of the spectra of the individual humic substances point to similar structures, differing only in the number of functional groups</w:t>
      </w:r>
      <w:r w:rsidR="00F81221">
        <w:t xml:space="preserve"> and </w:t>
      </w:r>
      <w:r w:rsidRPr="00A428C3">
        <w:t>the degree of aggregation. Metals are bound by humic substances mainly in metalcarboxylate bonds. The degree to which these bonds are ionic or covalent can be determined by the antisymmetric carboxylate stretching frequencies.</w:t>
      </w:r>
    </w:p>
    <w:p w:rsidR="00B95188" w:rsidRPr="00A428C3" w:rsidRDefault="00B95188" w:rsidP="00B95188">
      <w:pPr>
        <w:pStyle w:val="a0"/>
      </w:pPr>
      <w:r w:rsidRPr="00A428C3">
        <w:t>Levy, R.</w:t>
      </w:r>
      <w:r w:rsidR="00F81221">
        <w:t xml:space="preserve"> and </w:t>
      </w:r>
      <w:r w:rsidRPr="00A428C3">
        <w:t>Feigenbaum, S. (1977), Effect of dilution on soluble</w:t>
      </w:r>
      <w:r w:rsidR="00F81221">
        <w:t xml:space="preserve"> and </w:t>
      </w:r>
      <w:r w:rsidRPr="00A428C3">
        <w:t xml:space="preserve">exchangeable sodium in soils differing in mineralogy. </w:t>
      </w:r>
      <w:r w:rsidRPr="00A428C3">
        <w:rPr>
          <w:i/>
        </w:rPr>
        <w:t>Geoderma</w:t>
      </w:r>
      <w:r w:rsidRPr="00A428C3">
        <w:t xml:space="preserve">, </w:t>
      </w:r>
      <w:r w:rsidRPr="00A428C3">
        <w:rPr>
          <w:b/>
        </w:rPr>
        <w:t>18</w:t>
      </w:r>
      <w:r w:rsidRPr="00A428C3">
        <w:t xml:space="preserve"> (3), 193-205.</w:t>
      </w:r>
    </w:p>
    <w:p w:rsidR="00B95188" w:rsidRPr="00A428C3" w:rsidRDefault="00B95188" w:rsidP="00B95188">
      <w:pPr>
        <w:pStyle w:val="a0"/>
      </w:pPr>
      <w:r w:rsidRPr="00A428C3">
        <w:t xml:space="preserve">Full Text: </w:t>
      </w:r>
      <w:hyperlink r:id="rId405" w:history="1">
        <w:r w:rsidRPr="00A428C3">
          <w:rPr>
            <w:rStyle w:val="a5"/>
          </w:rPr>
          <w:t>G\Geoderma18, 193.pdf</w:t>
        </w:r>
      </w:hyperlink>
    </w:p>
    <w:p w:rsidR="00B95188" w:rsidRPr="00A428C3" w:rsidRDefault="00B95188" w:rsidP="00B95188">
      <w:pPr>
        <w:pStyle w:val="a0"/>
      </w:pPr>
      <w:r w:rsidRPr="00A428C3">
        <w:t>Abstract: It was found that a linear relationship exists between soluble sodium fraction</w:t>
      </w:r>
      <w:r w:rsidR="00F81221">
        <w:t xml:space="preserve"> </w:t>
      </w:r>
      <w:r w:rsidR="00F81221">
        <w:lastRenderedPageBreak/>
        <w:t xml:space="preserve">and </w:t>
      </w:r>
      <w:r w:rsidRPr="00A428C3">
        <w:t>dilution, the latter defined as the fraction of soluble sodium</w:t>
      </w:r>
      <w:r w:rsidR="00F81221">
        <w:t xml:space="preserve"> and </w:t>
      </w:r>
      <w:r w:rsidRPr="00A428C3">
        <w:t>the total extractable sodium. This relationship could be used to recalculate soluble sodium at low soil: water ratios once the parameters of the relationship were determined. The parameters of the relationship were functions of the mineralogy</w:t>
      </w:r>
      <w:r w:rsidR="00F81221">
        <w:t xml:space="preserve"> and </w:t>
      </w:r>
      <w:r w:rsidRPr="00A428C3">
        <w:t>of the salinity of the soil, but not of the sodicity levels. It was found that the intercept of the relationship (soluble sodium fraction at zero water content) of soils containing easily weatherable silicates in the silt fraction was higher</w:t>
      </w:r>
      <w:r w:rsidR="00F81221">
        <w:t xml:space="preserve"> and </w:t>
      </w:r>
      <w:r w:rsidRPr="00A428C3">
        <w:t>more affected by salinity than that of soils which did not contain such silicates. Soils containing easily weatherable silicates had a cation exchange capacity in both clay</w:t>
      </w:r>
      <w:r w:rsidR="00F81221">
        <w:t xml:space="preserve"> and </w:t>
      </w:r>
      <w:r w:rsidRPr="00A428C3">
        <w:t>silt fractions. The slope of the relationship (the rate of sodium release upon dilution) was less affected by the mineralogy</w:t>
      </w:r>
      <w:r w:rsidR="00F81221">
        <w:t xml:space="preserve"> and </w:t>
      </w:r>
      <w:r w:rsidRPr="00A428C3">
        <w:t>salinity of the soil.</w:t>
      </w:r>
    </w:p>
    <w:p w:rsidR="00B95188" w:rsidRPr="00A428C3" w:rsidRDefault="00B95188" w:rsidP="00B95188">
      <w:pPr>
        <w:pStyle w:val="a0"/>
      </w:pPr>
      <w:r w:rsidRPr="00A428C3">
        <w:t>Feigenbaum, S.</w:t>
      </w:r>
      <w:r w:rsidR="00F81221">
        <w:t xml:space="preserve"> and </w:t>
      </w:r>
      <w:r w:rsidRPr="00A428C3">
        <w:t xml:space="preserve">Levy, R. (1977), Potassium release in some saline sols of </w:t>
      </w:r>
      <w:smartTag w:uri="urn:schemas-microsoft-com:office:smarttags" w:element="place">
        <w:smartTag w:uri="urn:schemas-microsoft-com:office:smarttags" w:element="country-region">
          <w:r w:rsidRPr="00A428C3">
            <w:t>Israel</w:t>
          </w:r>
        </w:smartTag>
      </w:smartTag>
      <w:r w:rsidRPr="00A428C3">
        <w:t xml:space="preserve">. </w:t>
      </w:r>
      <w:r w:rsidRPr="00A428C3">
        <w:rPr>
          <w:i/>
        </w:rPr>
        <w:t>Geoderma</w:t>
      </w:r>
      <w:r w:rsidRPr="00A428C3">
        <w:t xml:space="preserve">, </w:t>
      </w:r>
      <w:r w:rsidRPr="00A428C3">
        <w:rPr>
          <w:b/>
        </w:rPr>
        <w:t>19</w:t>
      </w:r>
      <w:r w:rsidRPr="00A428C3">
        <w:t xml:space="preserve"> (2), 159-168.</w:t>
      </w:r>
    </w:p>
    <w:p w:rsidR="00B95188" w:rsidRPr="00A428C3" w:rsidRDefault="00B95188" w:rsidP="00B95188">
      <w:pPr>
        <w:pStyle w:val="a0"/>
      </w:pPr>
      <w:r w:rsidRPr="00A428C3">
        <w:t xml:space="preserve">Full Text: </w:t>
      </w:r>
      <w:hyperlink r:id="rId406" w:history="1">
        <w:r w:rsidRPr="00A428C3">
          <w:rPr>
            <w:rStyle w:val="a5"/>
          </w:rPr>
          <w:t>G\Geoderma19, 159.pdf</w:t>
        </w:r>
      </w:hyperlink>
    </w:p>
    <w:p w:rsidR="00B95188" w:rsidRPr="00A428C3" w:rsidRDefault="00B95188" w:rsidP="00B95188">
      <w:pPr>
        <w:pStyle w:val="a0"/>
      </w:pPr>
      <w:r w:rsidRPr="00A428C3">
        <w:t>Abstract: Potassium release from samples of two saline</w:t>
      </w:r>
      <w:r w:rsidR="00F81221">
        <w:t xml:space="preserve"> and </w:t>
      </w:r>
      <w:r w:rsidRPr="00A428C3">
        <w:t xml:space="preserve">three nonsaline soils was studied by measuring the amounts of the cation in 0.01 </w:t>
      </w:r>
      <w:r w:rsidRPr="00A428C3">
        <w:rPr>
          <w:i/>
          <w:iCs/>
        </w:rPr>
        <w:t>N</w:t>
      </w:r>
      <w:r w:rsidRPr="00A428C3">
        <w:t xml:space="preserve"> CaCl</w:t>
      </w:r>
      <w:r w:rsidRPr="00A428C3">
        <w:rPr>
          <w:vertAlign w:val="subscript"/>
        </w:rPr>
        <w:t>2</w:t>
      </w:r>
      <w:r w:rsidR="00F81221">
        <w:t xml:space="preserve"> and </w:t>
      </w:r>
      <w:r w:rsidRPr="00A428C3">
        <w:t>water extracts. The factors which affected the release were: the distribution of potassium between the silt</w:t>
      </w:r>
      <w:r w:rsidR="00F81221">
        <w:t xml:space="preserve"> and </w:t>
      </w:r>
      <w:r w:rsidRPr="00A428C3">
        <w:t>clay fractions, the total potassium content of the sample</w:t>
      </w:r>
      <w:r w:rsidR="00F81221">
        <w:t xml:space="preserve"> and </w:t>
      </w:r>
      <w:r w:rsidRPr="00A428C3">
        <w:t>its salinity. Soil samples with a distribution ratio above unity (i.e., with potassium mainly in the silt fraction)</w:t>
      </w:r>
      <w:r w:rsidR="00F81221">
        <w:t xml:space="preserve"> and </w:t>
      </w:r>
      <w:r w:rsidRPr="00A428C3">
        <w:t>a high total potassium content released K at a higher rate than those with a distribution ratio below unity</w:t>
      </w:r>
      <w:r w:rsidR="00F81221">
        <w:t xml:space="preserve"> and </w:t>
      </w:r>
      <w:r w:rsidRPr="00A428C3">
        <w:t>a high total potassium content. The effect of salinity was of minor importance in comparison with those of the two other factors.</w:t>
      </w:r>
    </w:p>
    <w:p w:rsidR="00B95188" w:rsidRPr="00A428C3" w:rsidRDefault="00B95188" w:rsidP="00B95188">
      <w:pPr>
        <w:pStyle w:val="a0"/>
      </w:pPr>
      <w:r w:rsidRPr="00A428C3">
        <w:t>Amacher, M.C., Kotuby-Amacher, J., Selim, H.M.</w:t>
      </w:r>
      <w:r w:rsidR="00F81221">
        <w:t xml:space="preserve"> and </w:t>
      </w:r>
      <w:r w:rsidRPr="00A428C3">
        <w:t>Iskandar, I.K. (1986), Retention</w:t>
      </w:r>
      <w:r w:rsidR="00F81221">
        <w:t xml:space="preserve"> and </w:t>
      </w:r>
      <w:r w:rsidRPr="00A428C3">
        <w:t xml:space="preserve">release of metals by soils — Evaluation of several models. </w:t>
      </w:r>
      <w:r w:rsidRPr="00A428C3">
        <w:rPr>
          <w:i/>
        </w:rPr>
        <w:t>Geoderma</w:t>
      </w:r>
      <w:r w:rsidRPr="00A428C3">
        <w:t xml:space="preserve">, </w:t>
      </w:r>
      <w:r w:rsidRPr="00A428C3">
        <w:rPr>
          <w:b/>
        </w:rPr>
        <w:t>38</w:t>
      </w:r>
      <w:r w:rsidRPr="00A428C3">
        <w:t xml:space="preserve"> (1-4), 131-154.</w:t>
      </w:r>
    </w:p>
    <w:p w:rsidR="00B95188" w:rsidRPr="00A428C3" w:rsidRDefault="00B95188" w:rsidP="00B95188">
      <w:pPr>
        <w:pStyle w:val="a0"/>
      </w:pPr>
      <w:r w:rsidRPr="00A428C3">
        <w:t xml:space="preserve">Full Text: </w:t>
      </w:r>
      <w:hyperlink r:id="rId407" w:history="1">
        <w:r w:rsidRPr="00A428C3">
          <w:rPr>
            <w:rStyle w:val="a5"/>
          </w:rPr>
          <w:t>G\Geoderma38, 131.pdf</w:t>
        </w:r>
      </w:hyperlink>
    </w:p>
    <w:p w:rsidR="00B95188" w:rsidRPr="00A428C3" w:rsidRDefault="00B95188" w:rsidP="00B95188">
      <w:pPr>
        <w:pStyle w:val="a0"/>
      </w:pPr>
      <w:r w:rsidRPr="00A428C3">
        <w:t>Abstract: Several kinetic models, including irreversible</w:t>
      </w:r>
      <w:r w:rsidR="00F81221">
        <w:t xml:space="preserve"> and </w:t>
      </w:r>
      <w:r w:rsidRPr="00A428C3">
        <w:t>reversible 1st, 2nd,</w:t>
      </w:r>
      <w:r w:rsidR="00F81221">
        <w:t xml:space="preserve"> and </w:t>
      </w:r>
      <w:r w:rsidRPr="00A428C3">
        <w:rPr>
          <w:i/>
          <w:iCs/>
        </w:rPr>
        <w:t>n</w:t>
      </w:r>
      <w:r w:rsidRPr="00A428C3">
        <w:t>th order models,</w:t>
      </w:r>
      <w:r w:rsidR="00F81221">
        <w:t xml:space="preserve"> and </w:t>
      </w:r>
      <w:r w:rsidRPr="00A428C3">
        <w:t>several equilibrium models, including the linear, Langmuir, two-surface Langmuir,</w:t>
      </w:r>
      <w:r w:rsidR="00F81221">
        <w:t xml:space="preserve"> and </w:t>
      </w:r>
      <w:r w:rsidRPr="00A428C3">
        <w:t>Freundlich models, were evaluated for their ability to describe the retention/release of Cr, Cd,</w:t>
      </w:r>
      <w:r w:rsidR="00F81221">
        <w:t xml:space="preserve"> and </w:t>
      </w:r>
      <w:r w:rsidRPr="00A428C3">
        <w:t>Hg by various soils. The retention/release data were obtained using a batch reaction method. In general, no single-reaction kinetic model fit the data over the entire time</w:t>
      </w:r>
      <w:r w:rsidR="00F81221">
        <w:t xml:space="preserve"> and </w:t>
      </w:r>
      <w:r w:rsidRPr="00A428C3">
        <w:t>concentration ranges studied for any of the metals or soils. The relationship between the amount of metal retained by the soil</w:t>
      </w:r>
      <w:r w:rsidR="00F81221">
        <w:t xml:space="preserve"> and </w:t>
      </w:r>
      <w:r w:rsidRPr="00A428C3">
        <w:t>the concentration of metal in solution was described by either the two-surface Langmuir or Freundlich models. A significiant fraction of the metals retained by the soil was not released to solution</w:t>
      </w:r>
      <w:r w:rsidR="00F81221">
        <w:t xml:space="preserve"> and </w:t>
      </w:r>
      <w:r w:rsidRPr="00A428C3">
        <w:t>was not exchangeable, indicating that some irreversible retention of the metals occurred. The results suggest that a multi-reaction model consisting of irreversible</w:t>
      </w:r>
      <w:r w:rsidR="00F81221">
        <w:t xml:space="preserve"> and </w:t>
      </w:r>
      <w:r w:rsidRPr="00A428C3">
        <w:t>reversible kinetic models is needed to fit all the data.</w:t>
      </w:r>
    </w:p>
    <w:p w:rsidR="0028639C" w:rsidRDefault="0028639C" w:rsidP="0028639C">
      <w:pPr>
        <w:pStyle w:val="a0"/>
        <w:rPr>
          <w:kern w:val="0"/>
          <w:szCs w:val="24"/>
        </w:rPr>
      </w:pPr>
      <w:r>
        <w:rPr>
          <w:kern w:val="0"/>
          <w:szCs w:val="24"/>
        </w:rPr>
        <w:lastRenderedPageBreak/>
        <w:t>Notes: highly cited</w:t>
      </w:r>
    </w:p>
    <w:p w:rsidR="0028639C" w:rsidRDefault="0028639C" w:rsidP="0028639C">
      <w:pPr>
        <w:pStyle w:val="a0"/>
        <w:rPr>
          <w:kern w:val="0"/>
          <w:szCs w:val="24"/>
        </w:rPr>
      </w:pPr>
      <w:r>
        <w:rPr>
          <w:rFonts w:hint="eastAsia"/>
          <w:kern w:val="0"/>
          <w:szCs w:val="24"/>
        </w:rPr>
        <w:t xml:space="preserve">? </w:t>
      </w:r>
      <w:r>
        <w:rPr>
          <w:kern w:val="0"/>
          <w:szCs w:val="24"/>
        </w:rPr>
        <w:t>Fendorf, S.E. (1995), Surface-reactions of chromium in soils</w:t>
      </w:r>
      <w:r w:rsidR="00F81221">
        <w:rPr>
          <w:kern w:val="0"/>
          <w:szCs w:val="24"/>
        </w:rPr>
        <w:t xml:space="preserve"> and </w:t>
      </w:r>
      <w:r>
        <w:rPr>
          <w:kern w:val="0"/>
          <w:szCs w:val="24"/>
        </w:rPr>
        <w:t xml:space="preserve">waters. </w:t>
      </w:r>
      <w:r>
        <w:rPr>
          <w:i/>
          <w:iCs/>
          <w:kern w:val="0"/>
          <w:szCs w:val="24"/>
        </w:rPr>
        <w:t>Geoderma</w:t>
      </w:r>
      <w:r>
        <w:rPr>
          <w:kern w:val="0"/>
          <w:szCs w:val="24"/>
        </w:rPr>
        <w:t xml:space="preserve">, </w:t>
      </w:r>
      <w:r>
        <w:rPr>
          <w:b/>
          <w:bCs/>
          <w:kern w:val="0"/>
          <w:szCs w:val="24"/>
        </w:rPr>
        <w:t>67</w:t>
      </w:r>
      <w:r>
        <w:rPr>
          <w:kern w:val="0"/>
          <w:szCs w:val="24"/>
        </w:rPr>
        <w:t xml:space="preserve"> (1-2), 55-71.</w:t>
      </w:r>
    </w:p>
    <w:p w:rsidR="0028639C" w:rsidRDefault="0028639C" w:rsidP="0028639C">
      <w:pPr>
        <w:pStyle w:val="a0"/>
      </w:pPr>
      <w:r w:rsidRPr="00A428C3">
        <w:t xml:space="preserve">Full Text: </w:t>
      </w:r>
      <w:hyperlink r:id="rId408" w:history="1">
        <w:r w:rsidR="007D7913" w:rsidRPr="007D7913">
          <w:rPr>
            <w:rStyle w:val="a5"/>
          </w:rPr>
          <w:t>1995\Geoderma67, 55.pdf</w:t>
        </w:r>
      </w:hyperlink>
    </w:p>
    <w:p w:rsidR="0028639C" w:rsidRDefault="0028639C" w:rsidP="0028639C">
      <w:pPr>
        <w:pStyle w:val="a0"/>
        <w:rPr>
          <w:kern w:val="0"/>
          <w:szCs w:val="24"/>
        </w:rPr>
      </w:pPr>
      <w:r>
        <w:rPr>
          <w:kern w:val="0"/>
          <w:szCs w:val="24"/>
        </w:rPr>
        <w:t>Abstract: Chromium is a redox active metal that persists as either Cr(III) or Cr(VI) in the environment. These two oxidation states have opposing toxicities</w:t>
      </w:r>
      <w:r w:rsidR="00F81221">
        <w:rPr>
          <w:kern w:val="0"/>
          <w:szCs w:val="24"/>
        </w:rPr>
        <w:t xml:space="preserve"> and </w:t>
      </w:r>
      <w:r>
        <w:rPr>
          <w:kern w:val="0"/>
          <w:szCs w:val="24"/>
        </w:rPr>
        <w:t>mobilities: Cr(III) is rather benign</w:t>
      </w:r>
      <w:r w:rsidR="00F81221">
        <w:rPr>
          <w:kern w:val="0"/>
          <w:szCs w:val="24"/>
        </w:rPr>
        <w:t xml:space="preserve"> and </w:t>
      </w:r>
      <w:r>
        <w:rPr>
          <w:kern w:val="0"/>
          <w:szCs w:val="24"/>
        </w:rPr>
        <w:t>immobile in soils while Cr(VI) is toxic</w:t>
      </w:r>
      <w:r w:rsidR="00F81221">
        <w:rPr>
          <w:kern w:val="0"/>
          <w:szCs w:val="24"/>
        </w:rPr>
        <w:t xml:space="preserve"> and </w:t>
      </w:r>
      <w:r>
        <w:rPr>
          <w:kern w:val="0"/>
          <w:szCs w:val="24"/>
        </w:rPr>
        <w:t>readily transported. Reactions influencing Cr chemistry in soils</w:t>
      </w:r>
      <w:r w:rsidR="00F81221">
        <w:rPr>
          <w:kern w:val="0"/>
          <w:szCs w:val="24"/>
        </w:rPr>
        <w:t xml:space="preserve"> and </w:t>
      </w:r>
      <w:r>
        <w:rPr>
          <w:kern w:val="0"/>
          <w:szCs w:val="24"/>
        </w:rPr>
        <w:t>waters must be known in order to predict</w:t>
      </w:r>
      <w:r w:rsidR="00F81221">
        <w:rPr>
          <w:kern w:val="0"/>
          <w:szCs w:val="24"/>
        </w:rPr>
        <w:t xml:space="preserve"> and </w:t>
      </w:r>
      <w:r>
        <w:rPr>
          <w:kern w:val="0"/>
          <w:szCs w:val="24"/>
        </w:rPr>
        <w:t>understand the fate of this potentially hazardous element. Reactions at the solid-water interface have important consequences on the bioavailability (sorption reactions)</w:t>
      </w:r>
      <w:r w:rsidR="00F81221">
        <w:rPr>
          <w:kern w:val="0"/>
          <w:szCs w:val="24"/>
        </w:rPr>
        <w:t xml:space="preserve"> and </w:t>
      </w:r>
      <w:r>
        <w:rPr>
          <w:kern w:val="0"/>
          <w:szCs w:val="24"/>
        </w:rPr>
        <w:t>hazard (redox reactions) of Cr. Accordingly, this paper describes surface reactions that influence Cr chemistry in soils. Specifically, retention reactions of Cr(III)</w:t>
      </w:r>
      <w:r w:rsidR="00F81221">
        <w:rPr>
          <w:kern w:val="0"/>
          <w:szCs w:val="24"/>
        </w:rPr>
        <w:t xml:space="preserve"> and </w:t>
      </w:r>
      <w:r>
        <w:rPr>
          <w:kern w:val="0"/>
          <w:szCs w:val="24"/>
        </w:rPr>
        <w:t>Cr(VI) are described, e.g., adsorption of Cr(III)</w:t>
      </w:r>
      <w:r w:rsidR="00F81221">
        <w:rPr>
          <w:kern w:val="0"/>
          <w:szCs w:val="24"/>
        </w:rPr>
        <w:t xml:space="preserve"> and </w:t>
      </w:r>
      <w:r>
        <w:rPr>
          <w:kern w:val="0"/>
          <w:szCs w:val="24"/>
        </w:rPr>
        <w:t>Cr(VI) reduction by Fe(II). The influences of organic chelates on these reactions are also detailed. Direct evidence on the specific reactions of Cr at the solid-water interface are provided; techniques used in this paper to detail the reactions of Cr include X-ray absorption fine structure spectroscopy, scanning probing microscopies,</w:t>
      </w:r>
      <w:r w:rsidR="00F81221">
        <w:rPr>
          <w:kern w:val="0"/>
          <w:szCs w:val="24"/>
        </w:rPr>
        <w:t xml:space="preserve"> and </w:t>
      </w:r>
      <w:r>
        <w:rPr>
          <w:kern w:val="0"/>
          <w:szCs w:val="24"/>
        </w:rPr>
        <w:t>high-resolution transmission electron microscopy.</w:t>
      </w:r>
    </w:p>
    <w:p w:rsidR="0028639C" w:rsidRDefault="0028639C" w:rsidP="0028639C">
      <w:pPr>
        <w:pStyle w:val="a0"/>
        <w:rPr>
          <w:kern w:val="0"/>
          <w:szCs w:val="24"/>
        </w:rPr>
      </w:pPr>
      <w:r>
        <w:rPr>
          <w:kern w:val="0"/>
          <w:szCs w:val="24"/>
        </w:rPr>
        <w:t>Keywords: Adsorption, Behavior, Bioavailability, Chemical Speciation, Chromate Adsorption, Cr(III), Hexavalent Forms, Kinetics, Metal, Organic Materials, Oxidation, Reduction, Sea-Water, Soils, Sorption</w:t>
      </w:r>
    </w:p>
    <w:p w:rsidR="00B95188" w:rsidRPr="00A428C3" w:rsidRDefault="00B95188" w:rsidP="00B95188">
      <w:pPr>
        <w:pStyle w:val="a0"/>
      </w:pPr>
      <w:r>
        <w:rPr>
          <w:rFonts w:hint="eastAsia"/>
        </w:rPr>
        <w:t>?</w:t>
      </w:r>
      <w:r w:rsidRPr="00BA31A7">
        <w:t xml:space="preserve"> </w:t>
      </w:r>
      <w:r>
        <w:t>Murphy</w:t>
      </w:r>
      <w:r>
        <w:rPr>
          <w:rFonts w:hint="eastAsia"/>
        </w:rPr>
        <w:t>,</w:t>
      </w:r>
      <w:r>
        <w:t xml:space="preserve"> E</w:t>
      </w:r>
      <w:r>
        <w:rPr>
          <w:rFonts w:hint="eastAsia"/>
        </w:rPr>
        <w:t>.</w:t>
      </w:r>
      <w:r>
        <w:t>M</w:t>
      </w:r>
      <w:r>
        <w:rPr>
          <w:rFonts w:hint="eastAsia"/>
        </w:rPr>
        <w:t>.</w:t>
      </w:r>
      <w:r w:rsidR="00F81221">
        <w:rPr>
          <w:rFonts w:hint="eastAsia"/>
        </w:rPr>
        <w:t xml:space="preserve"> and </w:t>
      </w:r>
      <w:r>
        <w:t>Zachara</w:t>
      </w:r>
      <w:r>
        <w:rPr>
          <w:rFonts w:hint="eastAsia"/>
        </w:rPr>
        <w:t>,</w:t>
      </w:r>
      <w:r>
        <w:t xml:space="preserve"> J</w:t>
      </w:r>
      <w:r>
        <w:rPr>
          <w:rFonts w:hint="eastAsia"/>
        </w:rPr>
        <w:t>.</w:t>
      </w:r>
      <w:r>
        <w:t>M</w:t>
      </w:r>
      <w:r>
        <w:rPr>
          <w:rFonts w:hint="eastAsia"/>
        </w:rPr>
        <w:t>.</w:t>
      </w:r>
      <w:r w:rsidRPr="00A428C3">
        <w:t xml:space="preserve"> (1995), </w:t>
      </w:r>
      <w:r>
        <w:t>The role of sorbed humic substances on the distribution of organic</w:t>
      </w:r>
      <w:r w:rsidR="00F81221">
        <w:t xml:space="preserve"> and </w:t>
      </w:r>
      <w:r>
        <w:t>inorganic contaminants in groundwater</w:t>
      </w:r>
      <w:r w:rsidRPr="00A428C3">
        <w:t xml:space="preserve">. </w:t>
      </w:r>
      <w:r w:rsidRPr="00A428C3">
        <w:rPr>
          <w:i/>
        </w:rPr>
        <w:t>Geoderma</w:t>
      </w:r>
      <w:r w:rsidRPr="00A428C3">
        <w:t xml:space="preserve">, </w:t>
      </w:r>
      <w:r w:rsidRPr="00A428C3">
        <w:rPr>
          <w:b/>
        </w:rPr>
        <w:t>6</w:t>
      </w:r>
      <w:r>
        <w:rPr>
          <w:rFonts w:hint="eastAsia"/>
          <w:b/>
        </w:rPr>
        <w:t>7</w:t>
      </w:r>
      <w:r w:rsidRPr="00A428C3">
        <w:t xml:space="preserve"> (1-2), </w:t>
      </w:r>
      <w:r>
        <w:t>103-124</w:t>
      </w:r>
      <w:r w:rsidRPr="00A428C3">
        <w:t>.</w:t>
      </w:r>
    </w:p>
    <w:p w:rsidR="00B95188" w:rsidRDefault="00B95188" w:rsidP="00B95188">
      <w:pPr>
        <w:pStyle w:val="a0"/>
      </w:pPr>
      <w:r w:rsidRPr="00A428C3">
        <w:t xml:space="preserve">Full Text: </w:t>
      </w:r>
      <w:hyperlink r:id="rId409" w:history="1">
        <w:r w:rsidRPr="00BA31A7">
          <w:rPr>
            <w:rStyle w:val="a5"/>
          </w:rPr>
          <w:t>1995\Geoderma67, 103.pdf</w:t>
        </w:r>
      </w:hyperlink>
    </w:p>
    <w:p w:rsidR="00B95188" w:rsidRDefault="00B95188" w:rsidP="00B95188">
      <w:pPr>
        <w:pStyle w:val="a0"/>
      </w:pPr>
      <w:r>
        <w:t>Abstract: Mineral-bound humic substances modify inorganic surfaces in subsurface sediments, changing the nature</w:t>
      </w:r>
      <w:r w:rsidR="00F81221">
        <w:t xml:space="preserve"> and </w:t>
      </w:r>
      <w:r>
        <w:t>number of complexation sites for contaminants. Because of adsorptive enrichment, the reactive surface area or site concentration contributed by mineral-bound humic substances can exceed that of dissolved or colloidal humic substances by two orders of magnitude. Mineral-bound humic materials may, therefore, provide a major sink for the removal of contaminants in groundwater. The reactivity of the humic substance is primarily determined by the structural</w:t>
      </w:r>
      <w:r w:rsidR="00F81221">
        <w:t xml:space="preserve"> and </w:t>
      </w:r>
      <w:r>
        <w:t>bulk chemical properties of the humic substance</w:t>
      </w:r>
      <w:r w:rsidR="00F81221">
        <w:t xml:space="preserve"> and </w:t>
      </w:r>
      <w:r>
        <w:t>the aqueous solution chemistry.</w:t>
      </w:r>
    </w:p>
    <w:p w:rsidR="00B95188" w:rsidRDefault="00B95188" w:rsidP="00B95188">
      <w:pPr>
        <w:pStyle w:val="a0"/>
      </w:pPr>
      <w:r>
        <w:t>Organic</w:t>
      </w:r>
      <w:r w:rsidR="00F81221">
        <w:t xml:space="preserve"> and </w:t>
      </w:r>
      <w:r>
        <w:t>inorganic contaminants sorb readily to mineral-bound humic substances. The sorption of hydrophobic organic compounds increases as ionic strength decreases, is enhanced by divalent cations,</w:t>
      </w:r>
      <w:r w:rsidR="00F81221">
        <w:t xml:space="preserve"> and </w:t>
      </w:r>
      <w:r>
        <w:t>displays non-linear isotherms</w:t>
      </w:r>
      <w:r w:rsidR="00F81221">
        <w:t xml:space="preserve"> and </w:t>
      </w:r>
      <w:r>
        <w:t xml:space="preserve">competitive adsorption behavior. Collectively, these results suggest that hydrophobic adsorption, rather than phase partitioning, is the primary sorption mechanism for </w:t>
      </w:r>
      <w:r>
        <w:lastRenderedPageBreak/>
        <w:t>neutral organic molecules on these particle coatings. Mineral-bound humic substances augment, rather than change, the intrinsic complexation properties of mineral surfaces for metal cations. The degree of sorption enhancement promoted by mineral-bound organic material varies strongly with pH</w:t>
      </w:r>
      <w:r w:rsidR="00F81221">
        <w:t xml:space="preserve"> and </w:t>
      </w:r>
      <w:r>
        <w:t>depends on the magnitude of the stability constants between the metal cation</w:t>
      </w:r>
      <w:r w:rsidR="00F81221">
        <w:t xml:space="preserve"> and </w:t>
      </w:r>
      <w:r>
        <w:t>the humic substance, the strength</w:t>
      </w:r>
      <w:r w:rsidR="00F81221">
        <w:t xml:space="preserve"> and </w:t>
      </w:r>
      <w:r>
        <w:t>magnitude of adsorption of the humic substance by the mineral surface,</w:t>
      </w:r>
      <w:r w:rsidR="00F81221">
        <w:t xml:space="preserve"> and </w:t>
      </w:r>
      <w:r>
        <w:t>the extent of aqueous complex formation between the non-sorbed humic substance</w:t>
      </w:r>
      <w:r w:rsidR="00F81221">
        <w:t xml:space="preserve"> and </w:t>
      </w:r>
      <w:r>
        <w:t>metal. The simplest sorption model for humate-modified surfaces is the linear additivity model (LAM). Sorption data for certain hydrophobic organic compounds</w:t>
      </w:r>
      <w:r w:rsidR="00F81221">
        <w:t xml:space="preserve"> and </w:t>
      </w:r>
      <w:r>
        <w:t>metal cations appear to conform to this model.</w:t>
      </w:r>
    </w:p>
    <w:p w:rsidR="00B95188" w:rsidRPr="00A428C3" w:rsidRDefault="00B95188" w:rsidP="00B95188">
      <w:pPr>
        <w:pStyle w:val="a0"/>
      </w:pPr>
      <w:r>
        <w:t>Keywords: Polycyclic Aromatic-Hydrocarbons, Molecular-Weight, Weak Polyelectrolytes, Aluminum-Oxide, Hydrous Oxides, Fulvic-Acids, Adsorption, Sorption, Binding, Water</w:t>
      </w:r>
    </w:p>
    <w:p w:rsidR="00B95188" w:rsidRPr="00A428C3" w:rsidRDefault="00B95188" w:rsidP="00B95188">
      <w:pPr>
        <w:pStyle w:val="a0"/>
      </w:pPr>
      <w:r w:rsidRPr="00A428C3">
        <w:t>Ma, Q.Y.</w:t>
      </w:r>
      <w:r w:rsidR="00F81221">
        <w:t xml:space="preserve"> and </w:t>
      </w:r>
      <w:r w:rsidRPr="00A428C3">
        <w:t>Lindsay, W.L. (1995), Estimation of Cd</w:t>
      </w:r>
      <w:r w:rsidRPr="00A428C3">
        <w:rPr>
          <w:vertAlign w:val="superscript"/>
        </w:rPr>
        <w:t>2+</w:t>
      </w:r>
      <w:r w:rsidR="00F81221">
        <w:t xml:space="preserve"> and </w:t>
      </w:r>
      <w:r w:rsidRPr="00A428C3">
        <w:t>Ni</w:t>
      </w:r>
      <w:r w:rsidRPr="00A428C3">
        <w:rPr>
          <w:vertAlign w:val="superscript"/>
        </w:rPr>
        <w:t>2+</w:t>
      </w:r>
      <w:r w:rsidRPr="00A428C3">
        <w:t xml:space="preserve"> activities in soils by chelation. </w:t>
      </w:r>
      <w:r w:rsidRPr="00A428C3">
        <w:rPr>
          <w:i/>
        </w:rPr>
        <w:t>Geoderma</w:t>
      </w:r>
      <w:r w:rsidRPr="00A428C3">
        <w:t xml:space="preserve">, </w:t>
      </w:r>
      <w:r w:rsidRPr="00A428C3">
        <w:rPr>
          <w:b/>
        </w:rPr>
        <w:t>68</w:t>
      </w:r>
      <w:r w:rsidRPr="00A428C3">
        <w:t xml:space="preserve"> (1-2), 123-133.</w:t>
      </w:r>
    </w:p>
    <w:p w:rsidR="00B95188" w:rsidRPr="00A428C3" w:rsidRDefault="00B95188" w:rsidP="00B95188">
      <w:pPr>
        <w:pStyle w:val="a0"/>
      </w:pPr>
      <w:r w:rsidRPr="00A428C3">
        <w:t xml:space="preserve">Full Text: </w:t>
      </w:r>
      <w:hyperlink r:id="rId410" w:history="1">
        <w:r w:rsidRPr="00A428C3">
          <w:rPr>
            <w:rStyle w:val="a5"/>
          </w:rPr>
          <w:t>G\Geoderma68, 123.pdf</w:t>
        </w:r>
      </w:hyperlink>
    </w:p>
    <w:p w:rsidR="00B95188" w:rsidRPr="00A428C3" w:rsidRDefault="00B95188" w:rsidP="00B95188">
      <w:pPr>
        <w:pStyle w:val="a0"/>
      </w:pPr>
      <w:r w:rsidRPr="00A428C3">
        <w:t>Abstract: Cadmium</w:t>
      </w:r>
      <w:r w:rsidR="00F81221">
        <w:t xml:space="preserve"> and </w:t>
      </w:r>
      <w:r w:rsidRPr="00A428C3">
        <w:t>Ni solubility in soils is of concern due to their biological toxicity, especially to humans. Free Cd</w:t>
      </w:r>
      <w:r w:rsidRPr="00A428C3">
        <w:rPr>
          <w:vertAlign w:val="superscript"/>
        </w:rPr>
        <w:t>2+</w:t>
      </w:r>
      <w:r w:rsidR="00F81221">
        <w:t xml:space="preserve"> and </w:t>
      </w:r>
      <w:r w:rsidRPr="00A428C3">
        <w:t>Ni</w:t>
      </w:r>
      <w:r w:rsidRPr="00A428C3">
        <w:rPr>
          <w:vertAlign w:val="superscript"/>
        </w:rPr>
        <w:t>2+</w:t>
      </w:r>
      <w:r w:rsidRPr="00A428C3">
        <w:t xml:space="preserve"> activities in both contaminated</w:t>
      </w:r>
      <w:r w:rsidR="00F81221">
        <w:t xml:space="preserve"> and </w:t>
      </w:r>
      <w:r w:rsidRPr="00A428C3">
        <w:t>uncontaminated soils were determined using the chelation method. The measured Cd</w:t>
      </w:r>
      <w:r w:rsidRPr="00A428C3">
        <w:rPr>
          <w:vertAlign w:val="superscript"/>
        </w:rPr>
        <w:t>2+</w:t>
      </w:r>
      <w:r w:rsidR="00F81221">
        <w:t xml:space="preserve"> and </w:t>
      </w:r>
      <w:r w:rsidRPr="00A428C3">
        <w:t>Ni</w:t>
      </w:r>
      <w:r w:rsidRPr="00A428C3">
        <w:rPr>
          <w:vertAlign w:val="superscript"/>
        </w:rPr>
        <w:t>2+</w:t>
      </w:r>
      <w:r w:rsidRPr="00A428C3">
        <w:t xml:space="preserve"> activities were highly pH dependent with correlation coefficients of 0.99</w:t>
      </w:r>
      <w:r w:rsidR="00F81221">
        <w:t xml:space="preserve"> and </w:t>
      </w:r>
      <w:smartTag w:uri="urn:schemas-microsoft-com:office:smarttags" w:element="chmetcnv">
        <w:smartTagPr>
          <w:attr w:name="TCSC" w:val="0"/>
          <w:attr w:name="NumberType" w:val="1"/>
          <w:attr w:name="Negative" w:val="False"/>
          <w:attr w:name="HasSpace" w:val="True"/>
          <w:attr w:name="SourceValue" w:val="0.8"/>
          <w:attr w:name="UnitName" w:val="in"/>
        </w:smartTagPr>
        <w:r w:rsidRPr="00A428C3">
          <w:t>0.80 in</w:t>
        </w:r>
      </w:smartTag>
      <w:r w:rsidRPr="00A428C3">
        <w:t xml:space="preserve"> the contaminated,</w:t>
      </w:r>
      <w:r w:rsidR="00F81221">
        <w:t xml:space="preserve"> and </w:t>
      </w:r>
      <w:r w:rsidRPr="00A428C3">
        <w:t>0.98</w:t>
      </w:r>
      <w:r w:rsidR="00F81221">
        <w:t xml:space="preserve"> and </w:t>
      </w:r>
      <w:smartTag w:uri="urn:schemas-microsoft-com:office:smarttags" w:element="chmetcnv">
        <w:smartTagPr>
          <w:attr w:name="TCSC" w:val="0"/>
          <w:attr w:name="NumberType" w:val="1"/>
          <w:attr w:name="Negative" w:val="False"/>
          <w:attr w:name="HasSpace" w:val="True"/>
          <w:attr w:name="SourceValue" w:val="0.94"/>
          <w:attr w:name="UnitName" w:val="in"/>
        </w:smartTagPr>
        <w:r w:rsidRPr="00A428C3">
          <w:t>0.94 in</w:t>
        </w:r>
      </w:smartTag>
      <w:r w:rsidRPr="00A428C3">
        <w:t xml:space="preserve"> the uncontaminated soils, respectively. The measured Cd</w:t>
      </w:r>
      <w:r w:rsidRPr="00A428C3">
        <w:rPr>
          <w:vertAlign w:val="superscript"/>
        </w:rPr>
        <w:t>2+</w:t>
      </w:r>
      <w:r w:rsidR="00F81221">
        <w:t xml:space="preserve"> and </w:t>
      </w:r>
      <w:r w:rsidRPr="00A428C3">
        <w:t>Ni</w:t>
      </w:r>
      <w:r w:rsidRPr="00A428C3">
        <w:rPr>
          <w:vertAlign w:val="superscript"/>
        </w:rPr>
        <w:t>2+</w:t>
      </w:r>
      <w:r w:rsidRPr="00A428C3">
        <w:t xml:space="preserve"> activities in the contaminated soils averaged 1.42</w:t>
      </w:r>
      <w:r w:rsidR="00F81221">
        <w:t xml:space="preserve"> and </w:t>
      </w:r>
      <w:r w:rsidRPr="00A428C3">
        <w:t>0.73 log units higher than those in the uncontaminated soils,</w:t>
      </w:r>
      <w:r w:rsidR="00F81221">
        <w:t xml:space="preserve"> and </w:t>
      </w:r>
      <w:r w:rsidRPr="00A428C3">
        <w:t>can be predicted for these soils using the equations: log(Cd</w:t>
      </w:r>
      <w:r w:rsidRPr="00A428C3">
        <w:rPr>
          <w:vertAlign w:val="superscript"/>
        </w:rPr>
        <w:t>2+</w:t>
      </w:r>
      <w:r w:rsidRPr="00A428C3">
        <w:t>) = (7.64±0.27) - 2pH</w:t>
      </w:r>
      <w:r w:rsidR="00F81221">
        <w:t xml:space="preserve"> and </w:t>
      </w:r>
      <w:r w:rsidRPr="00A428C3">
        <w:t>log(Ni</w:t>
      </w:r>
      <w:r w:rsidRPr="00A428C3">
        <w:rPr>
          <w:vertAlign w:val="superscript"/>
        </w:rPr>
        <w:t>2+</w:t>
      </w:r>
      <w:r w:rsidRPr="00A428C3">
        <w:t>) = (7.82±0.85) - 2pH. The Cd</w:t>
      </w:r>
      <w:r w:rsidRPr="00A428C3">
        <w:rPr>
          <w:vertAlign w:val="superscript"/>
        </w:rPr>
        <w:t>2+</w:t>
      </w:r>
      <w:r w:rsidR="00F81221">
        <w:t xml:space="preserve"> and </w:t>
      </w:r>
      <w:r w:rsidRPr="00A428C3">
        <w:t>Ni</w:t>
      </w:r>
      <w:r w:rsidRPr="00BA31A7">
        <w:rPr>
          <w:vertAlign w:val="superscript"/>
        </w:rPr>
        <w:t>2+</w:t>
      </w:r>
      <w:r w:rsidRPr="00A428C3">
        <w:t xml:space="preserve"> activities in the uncontaminated soils can be divided into two groups based on soil pH. The Cd</w:t>
      </w:r>
      <w:r w:rsidR="00F81221">
        <w:t xml:space="preserve"> and </w:t>
      </w:r>
      <w:r w:rsidRPr="00A428C3">
        <w:t>Ni solubilities in soils of pH &gt; 6.90 were close to soil-Cd</w:t>
      </w:r>
      <w:r w:rsidR="00F81221">
        <w:t xml:space="preserve"> and </w:t>
      </w:r>
      <w:r w:rsidRPr="00A428C3">
        <w:t>soil-Ni, which are reference values for the solubility of Cd</w:t>
      </w:r>
      <w:r w:rsidR="00F81221">
        <w:t xml:space="preserve"> and </w:t>
      </w:r>
      <w:r w:rsidRPr="00A428C3">
        <w:t>Ni in most agricultural soils,</w:t>
      </w:r>
      <w:r w:rsidR="00F81221">
        <w:t xml:space="preserve"> and </w:t>
      </w:r>
      <w:r w:rsidRPr="00A428C3">
        <w:t>can be predicted using the equations: log (Cd</w:t>
      </w:r>
      <w:r w:rsidRPr="00A428C3">
        <w:rPr>
          <w:vertAlign w:val="superscript"/>
        </w:rPr>
        <w:t>2+</w:t>
      </w:r>
      <w:r w:rsidRPr="00A428C3">
        <w:t>) = (6.22±0.18) - 2pH,</w:t>
      </w:r>
      <w:r w:rsidR="00F81221">
        <w:t xml:space="preserve"> and </w:t>
      </w:r>
      <w:r w:rsidRPr="00A428C3">
        <w:t>log(Ni</w:t>
      </w:r>
      <w:r w:rsidRPr="00A428C3">
        <w:rPr>
          <w:vertAlign w:val="superscript"/>
        </w:rPr>
        <w:t>2+</w:t>
      </w:r>
      <w:r w:rsidRPr="00A428C3">
        <w:t>) = (7.09±0.38) - 2pH. Solubility in soils of pH &lt; 6.9 were undersaturated with respect to soil-Cd</w:t>
      </w:r>
      <w:r w:rsidR="00F81221">
        <w:t xml:space="preserve"> and </w:t>
      </w:r>
      <w:r w:rsidRPr="00A428C3">
        <w:t>soil-Ni. Adsorption-desorption may be important in regulating Cd</w:t>
      </w:r>
      <w:r w:rsidRPr="00A428C3">
        <w:rPr>
          <w:vertAlign w:val="superscript"/>
        </w:rPr>
        <w:t>2+</w:t>
      </w:r>
      <w:r w:rsidR="00F81221">
        <w:t xml:space="preserve"> and </w:t>
      </w:r>
      <w:r w:rsidRPr="00A428C3">
        <w:t>Ni</w:t>
      </w:r>
      <w:r w:rsidRPr="00A428C3">
        <w:rPr>
          <w:vertAlign w:val="superscript"/>
        </w:rPr>
        <w:t>2+</w:t>
      </w:r>
      <w:r w:rsidRPr="00A428C3">
        <w:t xml:space="preserve"> activities in the uncontaminated soils of low pH, whereas precipitation-dissolution process may operate in soils of high pH and/or high Cd or Ni levels. The results indicate that these contaminated soils contained elevated free Cd</w:t>
      </w:r>
      <w:r w:rsidR="00F81221">
        <w:t xml:space="preserve"> and </w:t>
      </w:r>
      <w:r w:rsidRPr="00A428C3">
        <w:t>Ni concentrations</w:t>
      </w:r>
      <w:r w:rsidR="00F81221">
        <w:t xml:space="preserve"> and </w:t>
      </w:r>
      <w:r w:rsidRPr="00A428C3">
        <w:t>remedial actions are needed to reduce their levels.</w:t>
      </w:r>
    </w:p>
    <w:p w:rsidR="00B95188" w:rsidRPr="00A428C3" w:rsidRDefault="00B95188" w:rsidP="00B95188">
      <w:pPr>
        <w:pStyle w:val="a0"/>
      </w:pPr>
      <w:r w:rsidRPr="00A428C3">
        <w:t>Keywords: Calcareous Soils, Sewage-Sludge, Cadmium Activities, Sorption, Solubility, Copper, Nickel, Acid, Zinc</w:t>
      </w:r>
    </w:p>
    <w:p w:rsidR="00B95188" w:rsidRPr="00A428C3" w:rsidRDefault="00B95188" w:rsidP="00B95188">
      <w:pPr>
        <w:pStyle w:val="a0"/>
      </w:pPr>
      <w:r w:rsidRPr="00A428C3">
        <w:t>Bajracharya, K., Tran, Y.T.</w:t>
      </w:r>
      <w:r w:rsidR="00F81221">
        <w:t xml:space="preserve"> and </w:t>
      </w:r>
      <w:r w:rsidRPr="00A428C3">
        <w:t xml:space="preserve">Barry, D.A. (1996), Cadmium adsorption at different </w:t>
      </w:r>
      <w:r w:rsidRPr="00A428C3">
        <w:lastRenderedPageBreak/>
        <w:t xml:space="preserve">pore water velocities. </w:t>
      </w:r>
      <w:r w:rsidRPr="00A428C3">
        <w:rPr>
          <w:i/>
        </w:rPr>
        <w:t>Geoderma</w:t>
      </w:r>
      <w:r w:rsidRPr="00A428C3">
        <w:t xml:space="preserve">, </w:t>
      </w:r>
      <w:r w:rsidRPr="00A428C3">
        <w:rPr>
          <w:b/>
        </w:rPr>
        <w:t>73</w:t>
      </w:r>
      <w:r w:rsidRPr="00A428C3">
        <w:t xml:space="preserve"> (3-4), 197-216.</w:t>
      </w:r>
    </w:p>
    <w:p w:rsidR="00B95188" w:rsidRPr="00A428C3" w:rsidRDefault="00B95188" w:rsidP="00B95188">
      <w:pPr>
        <w:pStyle w:val="a0"/>
      </w:pPr>
      <w:r w:rsidRPr="00A428C3">
        <w:t xml:space="preserve">Full Text: </w:t>
      </w:r>
      <w:hyperlink r:id="rId411" w:history="1">
        <w:r w:rsidRPr="00A428C3">
          <w:rPr>
            <w:rStyle w:val="a5"/>
          </w:rPr>
          <w:t>G\Geoderma73, 197.pdf</w:t>
        </w:r>
      </w:hyperlink>
    </w:p>
    <w:p w:rsidR="00B95188" w:rsidRPr="00A428C3" w:rsidRDefault="00B95188" w:rsidP="00B95188">
      <w:pPr>
        <w:pStyle w:val="a0"/>
      </w:pPr>
      <w:r w:rsidRPr="00A428C3">
        <w:t>Abstract: Batch</w:t>
      </w:r>
      <w:r w:rsidR="00F81221">
        <w:t xml:space="preserve"> and </w:t>
      </w:r>
      <w:r w:rsidRPr="00A428C3">
        <w:t>column experiments were conducted to study the effect of pore water velocity on the adsorption of cadmium (Cd) onto a homogeneous nonaggregated porous medium under controlled environmental conditions. A wide range (5</w:t>
      </w:r>
      <w:smartTag w:uri="urn:schemas-microsoft-com:office:smarttags" w:element="chmetcnv">
        <w:smartTagPr>
          <w:attr w:name="TCSC" w:val="0"/>
          <w:attr w:name="NumberType" w:val="1"/>
          <w:attr w:name="Negative" w:val="True"/>
          <w:attr w:name="HasSpace" w:val="True"/>
          <w:attr w:name="SourceValue" w:val="214"/>
          <w:attr w:name="UnitName" w:val="cm"/>
        </w:smartTagPr>
        <w:r w:rsidRPr="00A428C3">
          <w:t>-214 cm</w:t>
        </w:r>
      </w:smartTag>
      <w:r w:rsidRPr="00A428C3">
        <w:t>/hr) of pore water velocities was imposed to observe adsorption effects. The results of batch experiments showed that adsorption coefficients are affected by the solid-to-liquid ratio, the adsorption coefficient increasing with this ratio. The batch-determined adsorption isotherm constants differed from those determined from column experiments. There was no evidence of nonequilibrium processes occurring in the flow-through system. For most of the column breakthrough curves, the linear equilibrium model adequately described the data, The fits of this model to the observed breakthrough data indicated that the adsorption coefficient remains fairly constant with velocity. However, flow-determined adsorption coefficients were clearly higher than batch-determined ones at the same solid-to-liquid ratio.</w:t>
      </w:r>
    </w:p>
    <w:p w:rsidR="00B95188" w:rsidRPr="00A428C3" w:rsidRDefault="00B95188" w:rsidP="00B95188">
      <w:pPr>
        <w:pStyle w:val="a0"/>
      </w:pPr>
      <w:r w:rsidRPr="00A428C3">
        <w:t>Keywords: Adsorption, Advection, Cadmium, Isotherms, Transport, Solute Transport, Aggregated Oxisol, Dispersion Model, Soil Columns, Sorption, Retention, Isotherm, Metals, Scale, Time</w:t>
      </w:r>
    </w:p>
    <w:p w:rsidR="00B95188" w:rsidRPr="00A428C3" w:rsidRDefault="00B95188" w:rsidP="00B95188">
      <w:pPr>
        <w:pStyle w:val="a0"/>
      </w:pPr>
      <w:r w:rsidRPr="00A428C3">
        <w:t>Hooda, P.S.</w:t>
      </w:r>
      <w:r w:rsidR="00F81221">
        <w:t xml:space="preserve"> and </w:t>
      </w:r>
      <w:r w:rsidRPr="00A428C3">
        <w:t>Alloway, B.J. (1998), Cadmium</w:t>
      </w:r>
      <w:r w:rsidR="00F81221">
        <w:t xml:space="preserve"> and </w:t>
      </w:r>
      <w:r w:rsidRPr="00A428C3">
        <w:t>lead sorption behaviour of selected English</w:t>
      </w:r>
      <w:r w:rsidR="00F81221">
        <w:t xml:space="preserve"> and </w:t>
      </w:r>
      <w:r w:rsidRPr="00A428C3">
        <w:t xml:space="preserve">Indian soils. </w:t>
      </w:r>
      <w:r w:rsidRPr="00A428C3">
        <w:rPr>
          <w:i/>
        </w:rPr>
        <w:t>Geoderma</w:t>
      </w:r>
      <w:r w:rsidRPr="00A428C3">
        <w:t xml:space="preserve">, </w:t>
      </w:r>
      <w:r w:rsidRPr="00A428C3">
        <w:rPr>
          <w:b/>
        </w:rPr>
        <w:t>84</w:t>
      </w:r>
      <w:r w:rsidRPr="00A428C3">
        <w:t xml:space="preserve"> (1-3), 121-134.</w:t>
      </w:r>
    </w:p>
    <w:p w:rsidR="00B95188" w:rsidRPr="00A428C3" w:rsidRDefault="00B95188" w:rsidP="00B95188">
      <w:pPr>
        <w:pStyle w:val="a0"/>
      </w:pPr>
      <w:r w:rsidRPr="00A428C3">
        <w:t xml:space="preserve">Full Text: </w:t>
      </w:r>
      <w:hyperlink r:id="rId412" w:history="1">
        <w:r w:rsidRPr="00A428C3">
          <w:rPr>
            <w:rStyle w:val="a5"/>
          </w:rPr>
          <w:t>G\Geoderma84, 121.pdf</w:t>
        </w:r>
      </w:hyperlink>
    </w:p>
    <w:p w:rsidR="00B95188" w:rsidRPr="00A428C3" w:rsidRDefault="00B95188" w:rsidP="00B95188">
      <w:pPr>
        <w:pStyle w:val="a0"/>
      </w:pPr>
      <w:r w:rsidRPr="00A428C3">
        <w:t>Abstract: The environmental impact of metal additions to a soil depends on the metal sorption ability of the soil. This study compared the Cd</w:t>
      </w:r>
      <w:r w:rsidR="00F81221">
        <w:t xml:space="preserve"> and </w:t>
      </w:r>
      <w:r w:rsidRPr="00A428C3">
        <w:t>Pb sorption abilities of some selected English</w:t>
      </w:r>
      <w:r w:rsidR="00F81221">
        <w:t xml:space="preserve"> and </w:t>
      </w:r>
      <w:r w:rsidRPr="00A428C3">
        <w:t>Indian soils. The results showed that the English soils generally sorbed Cd</w:t>
      </w:r>
      <w:r w:rsidR="00F81221">
        <w:t xml:space="preserve"> and </w:t>
      </w:r>
      <w:r w:rsidRPr="00A428C3">
        <w:t>Pb more strongly</w:t>
      </w:r>
      <w:r w:rsidR="00F81221">
        <w:t xml:space="preserve"> and </w:t>
      </w:r>
      <w:r w:rsidRPr="00A428C3">
        <w:t>in greater amounts compared to the Indian soils. Soil pH, CEC, contents of organic matter, clay</w:t>
      </w:r>
      <w:r w:rsidR="00F81221">
        <w:t xml:space="preserve"> and </w:t>
      </w:r>
      <w:r w:rsidRPr="00A428C3">
        <w:t>CaCO</w:t>
      </w:r>
      <w:r w:rsidRPr="00A428C3">
        <w:rPr>
          <w:vertAlign w:val="subscript"/>
        </w:rPr>
        <w:t>3</w:t>
      </w:r>
      <w:r w:rsidRPr="00A428C3">
        <w:t xml:space="preserve"> were all positively correlated with Freundlich metal retention parameters (log </w:t>
      </w:r>
      <w:r w:rsidRPr="00A428C3">
        <w:rPr>
          <w:i/>
          <w:iCs/>
        </w:rPr>
        <w:t>K</w:t>
      </w:r>
      <w:r w:rsidRPr="00A428C3">
        <w:rPr>
          <w:vertAlign w:val="subscript"/>
        </w:rPr>
        <w:t>f</w:t>
      </w:r>
      <w:r w:rsidR="00F81221">
        <w:t xml:space="preserve"> and </w:t>
      </w:r>
      <w:r w:rsidRPr="00A428C3">
        <w:t>1/</w:t>
      </w:r>
      <w:r w:rsidRPr="00A428C3">
        <w:rPr>
          <w:i/>
          <w:iCs/>
        </w:rPr>
        <w:t>n</w:t>
      </w:r>
      <w:r w:rsidRPr="00A428C3">
        <w:t>) whereas the sand content had a negative correlation. The contents of free Fe oxide (FFeO)</w:t>
      </w:r>
      <w:r w:rsidR="00F81221">
        <w:t xml:space="preserve"> and </w:t>
      </w:r>
      <w:r w:rsidRPr="00A428C3">
        <w:t>easily reducible hydrous Mn oxide (HMnO) had no major influence on Cd</w:t>
      </w:r>
      <w:r w:rsidR="00F81221">
        <w:t xml:space="preserve"> and </w:t>
      </w:r>
      <w:r w:rsidRPr="00A428C3">
        <w:t>Pb sorption by these soils, except HMnO on 1/</w:t>
      </w:r>
      <w:r w:rsidRPr="00A428C3">
        <w:rPr>
          <w:i/>
          <w:iCs/>
        </w:rPr>
        <w:t>n</w:t>
      </w:r>
      <w:r w:rsidRPr="00A428C3">
        <w:t xml:space="preserve"> for Cd sorption. Correlation</w:t>
      </w:r>
      <w:r w:rsidR="00F81221">
        <w:t xml:space="preserve"> and </w:t>
      </w:r>
      <w:r w:rsidRPr="00A428C3">
        <w:t>regression analyses indicated that clayey textured soils with neutral to alkaline pH or soils with appreciable (</w:t>
      </w:r>
      <w:r w:rsidRPr="00A428C3">
        <w:sym w:font="Symbol" w:char="F0B3"/>
      </w:r>
      <w:r w:rsidRPr="00A428C3">
        <w:t>10%) amounts of CaCO</w:t>
      </w:r>
      <w:r w:rsidRPr="00A428C3">
        <w:rPr>
          <w:vertAlign w:val="subscript"/>
        </w:rPr>
        <w:t>3</w:t>
      </w:r>
      <w:r w:rsidR="00F81221">
        <w:t xml:space="preserve"> and </w:t>
      </w:r>
      <w:r w:rsidRPr="00A428C3">
        <w:t>organic matter would be the most suitable for the disposal of Cd</w:t>
      </w:r>
      <w:r w:rsidR="00F81221">
        <w:t xml:space="preserve"> and </w:t>
      </w:r>
      <w:r w:rsidRPr="00A428C3">
        <w:t>Pb containing wastes. The results also showed that the application of a sewage sludge significantly increased the sorption of both Cd</w:t>
      </w:r>
      <w:r w:rsidR="00F81221">
        <w:t xml:space="preserve"> and </w:t>
      </w:r>
      <w:r w:rsidRPr="00A428C3">
        <w:t>Pb by all English soils, but a considerable decline in Pb sorption by most Indian soils was observed.</w:t>
      </w:r>
    </w:p>
    <w:p w:rsidR="00B95188" w:rsidRPr="00A428C3" w:rsidRDefault="00B95188" w:rsidP="00B95188">
      <w:pPr>
        <w:pStyle w:val="a0"/>
      </w:pPr>
      <w:r w:rsidRPr="00A428C3">
        <w:t>Keywords: Soils From England</w:t>
      </w:r>
      <w:r w:rsidR="00F81221">
        <w:t xml:space="preserve"> and </w:t>
      </w:r>
      <w:r w:rsidRPr="00A428C3">
        <w:t>India, Cadmium, Lead, Sorption, Sewage Sludge</w:t>
      </w:r>
    </w:p>
    <w:p w:rsidR="00B95188" w:rsidRPr="00A428C3" w:rsidRDefault="00B95188" w:rsidP="00B95188">
      <w:pPr>
        <w:pStyle w:val="a0"/>
      </w:pPr>
      <w:r w:rsidRPr="00A428C3">
        <w:t>Tran, Y.T., Bajracharya, K.</w:t>
      </w:r>
      <w:r w:rsidR="00F81221">
        <w:t xml:space="preserve"> and </w:t>
      </w:r>
      <w:r w:rsidRPr="00A428C3">
        <w:t xml:space="preserve">Barry, D.A. (1998), Anomalous cadmium adsorption in </w:t>
      </w:r>
      <w:r w:rsidRPr="00A428C3">
        <w:lastRenderedPageBreak/>
        <w:t xml:space="preserve">flow interruption experiments. </w:t>
      </w:r>
      <w:r w:rsidRPr="00A428C3">
        <w:rPr>
          <w:i/>
        </w:rPr>
        <w:t>Geoderma</w:t>
      </w:r>
      <w:r w:rsidRPr="00A428C3">
        <w:t xml:space="preserve">, </w:t>
      </w:r>
      <w:r w:rsidRPr="00A428C3">
        <w:rPr>
          <w:b/>
        </w:rPr>
        <w:t>84</w:t>
      </w:r>
      <w:r w:rsidRPr="00A428C3">
        <w:t xml:space="preserve"> (1-3), 169-184.</w:t>
      </w:r>
    </w:p>
    <w:p w:rsidR="00B95188" w:rsidRPr="00A428C3" w:rsidRDefault="00B95188" w:rsidP="00B95188">
      <w:pPr>
        <w:pStyle w:val="a0"/>
      </w:pPr>
      <w:r w:rsidRPr="00A428C3">
        <w:t xml:space="preserve">Full Text: </w:t>
      </w:r>
      <w:hyperlink r:id="rId413" w:history="1">
        <w:r w:rsidRPr="00A428C3">
          <w:rPr>
            <w:rStyle w:val="a5"/>
          </w:rPr>
          <w:t>G\Geoderma84, 169.pdf</w:t>
        </w:r>
      </w:hyperlink>
    </w:p>
    <w:p w:rsidR="00B95188" w:rsidRPr="00A428C3" w:rsidRDefault="00B95188" w:rsidP="00B95188">
      <w:pPr>
        <w:pStyle w:val="a0"/>
      </w:pPr>
      <w:r w:rsidRPr="00A428C3">
        <w:t>Abstract: Adsorption of cadmium (Cd) onto fine sand was investigated using batch (static)</w:t>
      </w:r>
      <w:r w:rsidR="00F81221">
        <w:t xml:space="preserve"> and </w:t>
      </w:r>
      <w:r w:rsidRPr="00A428C3">
        <w:t>steady flow (dynamic) experiments at pHs of 5.5, 6.0</w:t>
      </w:r>
      <w:r w:rsidR="00F81221">
        <w:t xml:space="preserve"> and </w:t>
      </w:r>
      <w:r w:rsidRPr="00A428C3">
        <w:t>6.5. For both types of experiment, adsorption of Cd onto sand was found to increase with pH. In all experiments, greater adsorption of Cd was found in flow experiments than in batch experiments. Flow interruption was used to test whether nonequilibrium sorption occurred during transport of Cd. No concentration drop was observed immediately after the resumption of flow. Instead, for all experiments, a consistent increase in effluent concentration was observed indicating that Cd was desorbed during the interruption period. This indicates the significance of velocity on adsorption/desorption of Cd onto the sand. The amount of desorption was predicted by a transition from the dynamic to the static sorption isotherm. (C) 1998 Elsevier Science B.V. All rights reserved.</w:t>
      </w:r>
    </w:p>
    <w:p w:rsidR="00B95188" w:rsidRPr="00A428C3" w:rsidRDefault="00B95188" w:rsidP="00B95188">
      <w:pPr>
        <w:pStyle w:val="a0"/>
      </w:pPr>
      <w:r w:rsidRPr="00A428C3">
        <w:t>Keywords: Cadmium Adsorption, Flow Interruption Experiments, Static Sorption Isotherm, Laboratory Soil Columns, Displacement Experiments, Boundary-Conditions, Sorption, Batch, Isotherms, Transport</w:t>
      </w:r>
    </w:p>
    <w:p w:rsidR="00B95188" w:rsidRPr="00A428C3" w:rsidRDefault="00B95188" w:rsidP="00B95188">
      <w:pPr>
        <w:pStyle w:val="a0"/>
      </w:pPr>
      <w:r w:rsidRPr="00A428C3">
        <w:t>Ketelsen, H.</w:t>
      </w:r>
      <w:r w:rsidR="00F81221">
        <w:t xml:space="preserve"> and </w:t>
      </w:r>
      <w:r w:rsidRPr="00A428C3">
        <w:t xml:space="preserve">Meyer-Windel, S. (1999), Adsorption of Brilliant Blue FCF by soils. </w:t>
      </w:r>
      <w:r w:rsidRPr="00A428C3">
        <w:rPr>
          <w:i/>
        </w:rPr>
        <w:t>Geoderma</w:t>
      </w:r>
      <w:r w:rsidRPr="00A428C3">
        <w:t xml:space="preserve">, </w:t>
      </w:r>
      <w:r w:rsidRPr="00A428C3">
        <w:rPr>
          <w:b/>
        </w:rPr>
        <w:t>90</w:t>
      </w:r>
      <w:r w:rsidRPr="00A428C3">
        <w:t xml:space="preserve"> (1-2), 131-145.</w:t>
      </w:r>
    </w:p>
    <w:p w:rsidR="00B95188" w:rsidRPr="00A428C3" w:rsidRDefault="00B95188" w:rsidP="00B95188">
      <w:pPr>
        <w:pStyle w:val="a0"/>
      </w:pPr>
      <w:r w:rsidRPr="00A428C3">
        <w:t xml:space="preserve">Full Text: </w:t>
      </w:r>
      <w:hyperlink r:id="rId414" w:history="1">
        <w:r w:rsidRPr="00A428C3">
          <w:rPr>
            <w:rStyle w:val="a5"/>
          </w:rPr>
          <w:t>G\Geoderma90, 131.pdf</w:t>
        </w:r>
      </w:hyperlink>
    </w:p>
    <w:p w:rsidR="00B95188" w:rsidRPr="00A428C3" w:rsidRDefault="00B95188" w:rsidP="00B95188">
      <w:pPr>
        <w:pStyle w:val="a0"/>
      </w:pPr>
      <w:r w:rsidRPr="00A428C3">
        <w:t>Abstract: The objective of this study was to assess the extent of Brilliant Blue FCF adsorption in soils</w:t>
      </w:r>
      <w:r w:rsidR="00F81221">
        <w:t xml:space="preserve"> and </w:t>
      </w:r>
      <w:r w:rsidRPr="00A428C3">
        <w:t>to identify soil properties that play a predominant role in adsorption of the dye. Additionally the adsorption kinetics of the dyestuff were investigated. With increasing equilibrium concentration the adsorption converged to a maximum</w:t>
      </w:r>
      <w:r w:rsidR="00F81221">
        <w:t xml:space="preserve"> and </w:t>
      </w:r>
      <w:r w:rsidRPr="00A428C3">
        <w:t>Langmuir isotherms were fitted to the data. The parameter Q</w:t>
      </w:r>
      <w:r w:rsidRPr="00A428C3">
        <w:rPr>
          <w:vertAlign w:val="subscript"/>
        </w:rPr>
        <w:t>max</w:t>
      </w:r>
      <w:r w:rsidRPr="00A428C3">
        <w:t xml:space="preserve"> of the isotherm was correlated to soil parameters. Spearman rank correlations showed a strong positive correlation between Q</w:t>
      </w:r>
      <w:r w:rsidRPr="00A428C3">
        <w:rPr>
          <w:vertAlign w:val="subscript"/>
        </w:rPr>
        <w:t>max</w:t>
      </w:r>
      <w:r w:rsidR="00F81221">
        <w:t xml:space="preserve"> and </w:t>
      </w:r>
      <w:r w:rsidRPr="00A428C3">
        <w:t>clay content</w:t>
      </w:r>
      <w:r w:rsidR="00F81221">
        <w:t xml:space="preserve"> and </w:t>
      </w:r>
      <w:r w:rsidRPr="00A428C3">
        <w:t>a negative correlation between Q</w:t>
      </w:r>
      <w:r w:rsidRPr="00A428C3">
        <w:rPr>
          <w:vertAlign w:val="subscript"/>
        </w:rPr>
        <w:t>max</w:t>
      </w:r>
      <w:r w:rsidR="00F81221">
        <w:t xml:space="preserve"> and </w:t>
      </w:r>
      <w:r w:rsidRPr="00A428C3">
        <w:t>OC content. Iron</w:t>
      </w:r>
      <w:r w:rsidR="00F81221">
        <w:t xml:space="preserve"> and </w:t>
      </w:r>
      <w:r w:rsidRPr="00A428C3">
        <w:t>aluminium (hydr)oxides had no influence on Brilliant Blue FCF adsorption. The presumption that the dye</w:t>
      </w:r>
      <w:r w:rsidR="000352E7">
        <w:t>’</w:t>
      </w:r>
      <w:r w:rsidRPr="00A428C3">
        <w:t>s adsorption may increase with decreasing pH due to the prevailing neutral form of the molecule is not supported by our data. A regression equation was developed for prediction of maximum Brilliant Blue FCF adsorption in soils using clay</w:t>
      </w:r>
      <w:r w:rsidR="00F81221">
        <w:t xml:space="preserve"> and </w:t>
      </w:r>
      <w:r w:rsidRPr="00A428C3">
        <w:t>OC contents as independent variables. Achievement of equilibrium progressed in two stages. A fast removal of Brilliant Blue FCF from solution during the first hour is followed by a slower approximation towards equilibrium. The partly considerable adsorption of Brilliant Blue FCF to soils diminishes its suitability for tracing water flow through soils. Comparison of flow properties of soils via stained profiles may lead to inadequate interpretations, due to differing adsorption characteristics of the soils.</w:t>
      </w:r>
    </w:p>
    <w:p w:rsidR="00B95188" w:rsidRPr="00A428C3" w:rsidRDefault="00B95188" w:rsidP="00B95188">
      <w:pPr>
        <w:pStyle w:val="a0"/>
      </w:pPr>
      <w:r w:rsidRPr="00A428C3">
        <w:t xml:space="preserve">Keywords: Preferential Flow, Tillage, Tracer, Water, Zone, Brilliant Blue FCF, </w:t>
      </w:r>
      <w:r w:rsidRPr="00A428C3">
        <w:lastRenderedPageBreak/>
        <w:t>Adsorption, Langmuir Isotherm, Adsorption Kinetics</w:t>
      </w:r>
    </w:p>
    <w:p w:rsidR="00B95188" w:rsidRPr="00A428C3" w:rsidRDefault="00B95188" w:rsidP="00B95188">
      <w:pPr>
        <w:pStyle w:val="a0"/>
      </w:pPr>
      <w:r w:rsidRPr="00A428C3">
        <w:t>Palumbo, B., Angelone, M., Bellanca, A., Dazzi, C., Hauser, S., Neri, R.</w:t>
      </w:r>
      <w:r w:rsidR="00F81221">
        <w:t xml:space="preserve"> and </w:t>
      </w:r>
      <w:r w:rsidRPr="00A428C3">
        <w:t>Wilson, J. (2000), Influence of inheritance</w:t>
      </w:r>
      <w:r w:rsidR="00F81221">
        <w:t xml:space="preserve"> and </w:t>
      </w:r>
      <w:r w:rsidRPr="00A428C3">
        <w:t xml:space="preserve">pedogenesis on heavy metal distribution in soils of </w:t>
      </w:r>
      <w:smartTag w:uri="urn:schemas-microsoft-com:office:smarttags" w:element="State">
        <w:r w:rsidRPr="00A428C3">
          <w:t>Sicily</w:t>
        </w:r>
      </w:smartTag>
      <w:r w:rsidRPr="00A428C3">
        <w:t xml:space="preserve">, </w:t>
      </w:r>
      <w:smartTag w:uri="urn:schemas-microsoft-com:office:smarttags" w:element="place">
        <w:smartTag w:uri="urn:schemas-microsoft-com:office:smarttags" w:element="country-region">
          <w:r w:rsidRPr="00A428C3">
            <w:t>Italy</w:t>
          </w:r>
        </w:smartTag>
      </w:smartTag>
      <w:r w:rsidRPr="00A428C3">
        <w:t xml:space="preserve">. </w:t>
      </w:r>
      <w:r w:rsidRPr="00A428C3">
        <w:rPr>
          <w:i/>
        </w:rPr>
        <w:t>Geoderma</w:t>
      </w:r>
      <w:r w:rsidRPr="00A428C3">
        <w:t xml:space="preserve">, </w:t>
      </w:r>
      <w:r w:rsidRPr="00A428C3">
        <w:rPr>
          <w:b/>
        </w:rPr>
        <w:t>95</w:t>
      </w:r>
      <w:r w:rsidRPr="00A428C3">
        <w:t xml:space="preserve"> (3-4), 247-266.</w:t>
      </w:r>
    </w:p>
    <w:p w:rsidR="00B95188" w:rsidRPr="00A428C3" w:rsidRDefault="00B95188" w:rsidP="00B95188">
      <w:pPr>
        <w:pStyle w:val="a0"/>
      </w:pPr>
      <w:r w:rsidRPr="00A428C3">
        <w:t xml:space="preserve">Full Text: </w:t>
      </w:r>
      <w:hyperlink r:id="rId415" w:history="1">
        <w:r w:rsidRPr="00A428C3">
          <w:rPr>
            <w:rStyle w:val="a5"/>
          </w:rPr>
          <w:t>G\Geoderma95, 247.pdf</w:t>
        </w:r>
      </w:hyperlink>
    </w:p>
    <w:p w:rsidR="00B95188" w:rsidRPr="00A428C3" w:rsidRDefault="00B95188" w:rsidP="00B95188">
      <w:pPr>
        <w:pStyle w:val="a0"/>
      </w:pPr>
      <w:r w:rsidRPr="00A428C3">
        <w:t>Abstract: The recognition of the potential health hazards associated with heavy metals has focused attention on the levels</w:t>
      </w:r>
      <w:r w:rsidR="00F81221">
        <w:t xml:space="preserve"> and </w:t>
      </w:r>
      <w:r w:rsidRPr="00A428C3">
        <w:t>behaviours of these elements both in natural</w:t>
      </w:r>
      <w:r w:rsidR="00F81221">
        <w:t xml:space="preserve"> and </w:t>
      </w:r>
      <w:r w:rsidRPr="00A428C3">
        <w:t xml:space="preserve">contaminated environments. Various soil types developed from different parent materials in </w:t>
      </w:r>
      <w:smartTag w:uri="urn:schemas-microsoft-com:office:smarttags" w:element="State">
        <w:r w:rsidRPr="00A428C3">
          <w:t>Sicily</w:t>
        </w:r>
      </w:smartTag>
      <w:r w:rsidRPr="00A428C3">
        <w:t xml:space="preserve">, </w:t>
      </w:r>
      <w:smartTag w:uri="urn:schemas-microsoft-com:office:smarttags" w:element="place">
        <w:smartTag w:uri="urn:schemas-microsoft-com:office:smarttags" w:element="country-region">
          <w:r w:rsidRPr="00A428C3">
            <w:t>Italy</w:t>
          </w:r>
        </w:smartTag>
      </w:smartTag>
      <w:r w:rsidRPr="00A428C3">
        <w:t>, have been analysed in order to compare heavy metal distribution under different geopedological conditions. Total metal concentrations, metal partitioning</w:t>
      </w:r>
      <w:r w:rsidR="00F81221">
        <w:t xml:space="preserve"> and </w:t>
      </w:r>
      <w:r w:rsidRPr="00A428C3">
        <w:t>distribution profiles are discussed in relation to the inheritance factor</w:t>
      </w:r>
      <w:r w:rsidR="00F81221">
        <w:t xml:space="preserve"> and </w:t>
      </w:r>
      <w:r w:rsidRPr="00A428C3">
        <w:t>pedogenic processes. Parent material composition largely influences the contents of heavy metals in most of the analysed soils, mainly differentiating pedons for their metal concentration on the basis of sedimentary</w:t>
      </w:r>
      <w:r w:rsidR="00F81221">
        <w:t xml:space="preserve"> and </w:t>
      </w:r>
      <w:r w:rsidRPr="00A428C3">
        <w:t>volcanic parent materials. However, an exception is represented by the carbonate-free Alfisols</w:t>
      </w:r>
      <w:r w:rsidR="00F81221">
        <w:t xml:space="preserve"> and </w:t>
      </w:r>
      <w:r w:rsidRPr="00A428C3">
        <w:t>Mollisols, which are markedly enriched in heavy metals with respect to the underlying limestones</w:t>
      </w:r>
      <w:r w:rsidR="00F81221">
        <w:t xml:space="preserve"> and </w:t>
      </w:r>
      <w:r w:rsidRPr="00A428C3">
        <w:t>calcarenites, On the basis of chemical</w:t>
      </w:r>
      <w:r w:rsidR="00F81221">
        <w:t xml:space="preserve"> and </w:t>
      </w:r>
      <w:r w:rsidRPr="00A428C3">
        <w:t>mineralogical results, supported by data from sequential extraction (SEP), heavy metal enrichment in these soils is associated with the formation of common to abundant Fe-Mn oxides</w:t>
      </w:r>
      <w:r w:rsidR="00F81221">
        <w:t xml:space="preserve"> and </w:t>
      </w:r>
      <w:r w:rsidRPr="00A428C3">
        <w:t>clay accumulation. For Mollisols there is evidence for a major role of organic matter in heavy metal retention in surface horizons. In the other pedons, pedogenic processes appear to mainly influence the redistribution of heavy metals throughout the soil horizons rather than affecting the total content. Argillopedoturbation seems to be responsible for a uniform distribution of heavy metals in Vertisol profiles on marry clays. Accumulation of heavy metals in the topsoil of Inceptisols on clays with gypsum</w:t>
      </w:r>
      <w:r w:rsidR="00F81221">
        <w:t xml:space="preserve"> and </w:t>
      </w:r>
      <w:r w:rsidRPr="00A428C3">
        <w:t>Entisols on gypsarenites</w:t>
      </w:r>
      <w:r w:rsidR="00F81221">
        <w:t xml:space="preserve"> and </w:t>
      </w:r>
      <w:r w:rsidRPr="00A428C3">
        <w:t>diatomites is caused partially by adsorption on organic matter</w:t>
      </w:r>
      <w:r w:rsidR="00F81221">
        <w:t xml:space="preserve"> and </w:t>
      </w:r>
      <w:r w:rsidRPr="00A428C3">
        <w:t>mainly by dissolution of primary gypsum</w:t>
      </w:r>
      <w:r w:rsidR="00F81221">
        <w:t xml:space="preserve"> and </w:t>
      </w:r>
      <w:r w:rsidRPr="00A428C3">
        <w:t>opal-A. A pedogenic influence is less evident in young Andisols whose heavy metal composition greatly reflects that of hawaiitic pyroclastic deposits interbedded within the profiles. However, a certain redistribution of Cu accumulated as metal-organic matter complexes is evidenced in the surface horizon by SEP.</w:t>
      </w:r>
    </w:p>
    <w:p w:rsidR="00B95188" w:rsidRPr="00A428C3" w:rsidRDefault="00B95188" w:rsidP="00B95188">
      <w:pPr>
        <w:pStyle w:val="a0"/>
      </w:pPr>
      <w:r w:rsidRPr="00A428C3">
        <w:t xml:space="preserve">Keywords: Speciation, Fractionation, Heavy Metals, Soil Geochemistry, Soil Mineralogy, Sequential Extraction, </w:t>
      </w:r>
      <w:smartTag w:uri="urn:schemas-microsoft-com:office:smarttags" w:element="place">
        <w:smartTag w:uri="urn:schemas-microsoft-com:office:smarttags" w:element="State">
          <w:r w:rsidRPr="00A428C3">
            <w:t>Sicily</w:t>
          </w:r>
        </w:smartTag>
      </w:smartTag>
    </w:p>
    <w:p w:rsidR="00B95188" w:rsidRPr="00A428C3" w:rsidRDefault="00B95188" w:rsidP="00B95188">
      <w:pPr>
        <w:pStyle w:val="a0"/>
      </w:pPr>
      <w:r w:rsidRPr="00A428C3">
        <w:t xml:space="preserve">Hinz, C. (2001), Description of sorption data with isotherm equations. </w:t>
      </w:r>
      <w:r w:rsidRPr="00A428C3">
        <w:rPr>
          <w:i/>
        </w:rPr>
        <w:t>Geoderma</w:t>
      </w:r>
      <w:r w:rsidRPr="00A428C3">
        <w:t xml:space="preserve">, </w:t>
      </w:r>
      <w:r w:rsidRPr="00A428C3">
        <w:rPr>
          <w:b/>
        </w:rPr>
        <w:t>99</w:t>
      </w:r>
      <w:r w:rsidRPr="00A428C3">
        <w:t xml:space="preserve"> (3-4), 225-243.</w:t>
      </w:r>
    </w:p>
    <w:p w:rsidR="00B95188" w:rsidRPr="00A428C3" w:rsidRDefault="00B95188" w:rsidP="00B95188">
      <w:pPr>
        <w:pStyle w:val="a0"/>
      </w:pPr>
      <w:r w:rsidRPr="00A428C3">
        <w:t xml:space="preserve">Full Text: </w:t>
      </w:r>
      <w:hyperlink r:id="rId416" w:history="1">
        <w:r w:rsidRPr="00A428C3">
          <w:rPr>
            <w:rStyle w:val="a5"/>
          </w:rPr>
          <w:t>G\Geoderma99, 225.pdf</w:t>
        </w:r>
      </w:hyperlink>
    </w:p>
    <w:p w:rsidR="00B95188" w:rsidRPr="00A428C3" w:rsidRDefault="00B95188" w:rsidP="00B95188">
      <w:pPr>
        <w:pStyle w:val="a0"/>
      </w:pPr>
      <w:r w:rsidRPr="00A428C3">
        <w:t xml:space="preserve">Abstract: Analysis of sorption data is important for characterizing retention of chemicals by soil. In this paper I review the most common isotherm equations used in soil science. The mathematical descriptions of these equations are classified into </w:t>
      </w:r>
      <w:r w:rsidRPr="00A428C3">
        <w:lastRenderedPageBreak/>
        <w:t>rational, power,</w:t>
      </w:r>
      <w:r w:rsidR="00F81221">
        <w:t xml:space="preserve"> and </w:t>
      </w:r>
      <w:r w:rsidRPr="00A428C3">
        <w:t>transcendental functions which are related to the isotherm classification. I use most well-known isotherm equation as special cases of a general equation. The meaning of the parameters of this equation is discussed in terms of the Giles classification. Guidelines are presented for choosing the correct type of isotherm equations to describe a set of sorption data. Tn particular, I show that plotting the distribution coefficient vs, the amount of solute sorbed to the solid phase on a log-log scale is the best way to identify the class</w:t>
      </w:r>
      <w:r w:rsidR="00F81221">
        <w:t xml:space="preserve"> and </w:t>
      </w:r>
      <w:r w:rsidRPr="00A428C3">
        <w:t>subgroup of isotherms based on the Giles classification. Examples of how to apply the guidelines to determine</w:t>
      </w:r>
      <w:r w:rsidR="00F81221">
        <w:t xml:space="preserve"> and </w:t>
      </w:r>
      <w:r w:rsidRPr="00A428C3">
        <w:t>modify isotherm equations are presented. (C) 2001 Elsevier Science B.V. All rights reserved.</w:t>
      </w:r>
    </w:p>
    <w:p w:rsidR="00B95188" w:rsidRPr="00A428C3" w:rsidRDefault="00B95188" w:rsidP="00B95188">
      <w:pPr>
        <w:pStyle w:val="a0"/>
      </w:pPr>
      <w:r w:rsidRPr="00A428C3">
        <w:t>Keywords: Sorption, Isotherms, Equations, Soils, Solutes, Nonlinear Least-Squares, Adsorption Phenomena, Langmuir Equation, Affinity Distributions, Soil, Regression, Constants</w:t>
      </w:r>
    </w:p>
    <w:p w:rsidR="00B95188" w:rsidRPr="00A428C3" w:rsidRDefault="00B95188" w:rsidP="00B95188">
      <w:pPr>
        <w:pStyle w:val="a0"/>
      </w:pPr>
      <w:r w:rsidRPr="00A428C3">
        <w:t>Hartemink, A.E., McBratney, A.B.</w:t>
      </w:r>
      <w:r w:rsidR="00F81221">
        <w:t xml:space="preserve"> and </w:t>
      </w:r>
      <w:r w:rsidRPr="00A428C3">
        <w:t>Cattle, J.A. (2001), Developments</w:t>
      </w:r>
      <w:r w:rsidR="00F81221">
        <w:t xml:space="preserve"> and </w:t>
      </w:r>
      <w:r w:rsidRPr="00A428C3">
        <w:t xml:space="preserve">trends in soil science: 100 volumes of </w:t>
      </w:r>
      <w:r w:rsidRPr="00EC391F">
        <w:rPr>
          <w:i/>
        </w:rPr>
        <w:t>Geoderma</w:t>
      </w:r>
      <w:r w:rsidRPr="00A428C3">
        <w:t xml:space="preserve"> (1967 - 2001). </w:t>
      </w:r>
      <w:r w:rsidRPr="00A428C3">
        <w:rPr>
          <w:i/>
        </w:rPr>
        <w:t>Geoderma</w:t>
      </w:r>
      <w:r w:rsidRPr="00A428C3">
        <w:t xml:space="preserve">, </w:t>
      </w:r>
      <w:r w:rsidRPr="00A428C3">
        <w:rPr>
          <w:b/>
        </w:rPr>
        <w:t>100</w:t>
      </w:r>
      <w:r w:rsidRPr="00A428C3">
        <w:t xml:space="preserve"> (3-4), 217-268.</w:t>
      </w:r>
    </w:p>
    <w:p w:rsidR="00EC391F" w:rsidRPr="001A3D2B" w:rsidRDefault="00EC391F" w:rsidP="00EC391F">
      <w:pPr>
        <w:pStyle w:val="a0"/>
      </w:pPr>
      <w:r w:rsidRPr="001A3D2B">
        <w:t xml:space="preserve">Full Text: </w:t>
      </w:r>
      <w:hyperlink r:id="rId417" w:history="1">
        <w:r w:rsidRPr="001A3D2B">
          <w:rPr>
            <w:rStyle w:val="a5"/>
          </w:rPr>
          <w:t>2001\Geoderma100, 217.pdf</w:t>
        </w:r>
      </w:hyperlink>
    </w:p>
    <w:p w:rsidR="00B95188" w:rsidRPr="00A428C3" w:rsidRDefault="00B95188" w:rsidP="00B95188">
      <w:pPr>
        <w:pStyle w:val="a0"/>
      </w:pPr>
      <w:r w:rsidRPr="00A428C3">
        <w:t>Abstract: Between September 1967</w:t>
      </w:r>
      <w:r w:rsidR="00F81221">
        <w:t xml:space="preserve"> and </w:t>
      </w:r>
      <w:r w:rsidRPr="00A428C3">
        <w:t>March 2001, Geoderma published 100 volumes containing 2079 papers covering 31,637 pages</w:t>
      </w:r>
      <w:r w:rsidR="00F81221">
        <w:t xml:space="preserve"> and </w:t>
      </w:r>
      <w:r w:rsidRPr="00A428C3">
        <w:t xml:space="preserve">filling </w:t>
      </w:r>
      <w:smartTag w:uri="urn:schemas-microsoft-com:office:smarttags" w:element="chmetcnv">
        <w:smartTagPr>
          <w:attr w:name="TCSC" w:val="0"/>
          <w:attr w:name="NumberType" w:val="1"/>
          <w:attr w:name="Negative" w:val="False"/>
          <w:attr w:name="HasSpace" w:val="True"/>
          <w:attr w:name="SourceValue" w:val="191"/>
          <w:attr w:name="UnitName" w:val="cm"/>
        </w:smartTagPr>
        <w:r w:rsidRPr="00A428C3">
          <w:t>191 cm</w:t>
        </w:r>
      </w:smartTag>
      <w:r w:rsidRPr="00A428C3">
        <w:t xml:space="preserve"> of shelf space. No doubt that is a lot of paper, but what is in it? This paper starts with a brief history of the journal</w:t>
      </w:r>
      <w:r w:rsidR="00F81221">
        <w:t xml:space="preserve"> and </w:t>
      </w:r>
      <w:r w:rsidRPr="00A428C3">
        <w:t>an overview of editors</w:t>
      </w:r>
      <w:r w:rsidR="00F81221">
        <w:t xml:space="preserve"> and </w:t>
      </w:r>
      <w:r w:rsidRPr="00A428C3">
        <w:t>a geographic breakdown of the editorial board. The contents of the 100 volumes is presented including an overview of the geographic origin of the research</w:t>
      </w:r>
      <w:r w:rsidR="00F81221">
        <w:t xml:space="preserve"> and </w:t>
      </w:r>
      <w:r w:rsidRPr="00A428C3">
        <w:t>authors,</w:t>
      </w:r>
      <w:r w:rsidR="00F81221">
        <w:t xml:space="preserve"> and </w:t>
      </w:r>
      <w:r w:rsidRPr="00A428C3">
        <w:t>an analysis of soil science subjects over time. Furthermore, the impact factor</w:t>
      </w:r>
      <w:r w:rsidR="00F81221">
        <w:t xml:space="preserve"> and </w:t>
      </w:r>
      <w:r w:rsidRPr="00A428C3">
        <w:t xml:space="preserve">the most frequently papers are discussed. The average length of the papers increased from 12.9 pages in the 1970s to 16.4 pages in the 1990s. Number of authors per paper increased faster so the pages per author have decreased over time. European authors account for about half of the papers but less than 40% of the research was conducted in </w:t>
      </w:r>
      <w:smartTag w:uri="urn:schemas-microsoft-com:office:smarttags" w:element="place">
        <w:r w:rsidRPr="00A428C3">
          <w:t>Europe</w:t>
        </w:r>
      </w:smartTag>
      <w:r w:rsidRPr="00A428C3">
        <w:t>. The number of authors from North America has increased over the years</w:t>
      </w:r>
      <w:r w:rsidR="00F81221">
        <w:t xml:space="preserve"> and </w:t>
      </w:r>
      <w:r w:rsidRPr="00A428C3">
        <w:t xml:space="preserve">about one-fifth of the papers is from research in </w:t>
      </w:r>
      <w:smartTag w:uri="urn:schemas-microsoft-com:office:smarttags" w:element="place">
        <w:r w:rsidRPr="00A428C3">
          <w:t>North America</w:t>
        </w:r>
      </w:smartTag>
      <w:r w:rsidRPr="00A428C3">
        <w:t>. More than half of the research reported in Geoderma was conducted in the temperate regions, whereas the tropics</w:t>
      </w:r>
      <w:r w:rsidR="00F81221">
        <w:t xml:space="preserve"> and </w:t>
      </w:r>
      <w:r w:rsidRPr="00A428C3">
        <w:t>subtropics account for about 30% of the papers. In the 1980s, 53% of the papers were descriptive but it decreased to 31% in the 1990s with a higher percentage of papers focussing on methodology. One of the intriguing trends is that 29% of the papers in the 1970s were based on field studies whereas only 18% of the papers in the 1990s were field based. Laboratory studies decreased from 60% in the 1970s to 49% in the 1990s. Over the same period, desk studies increased from 11% to 33% of the published papers. The majority of the papers in Geoderma has had no strong focus</w:t>
      </w:r>
      <w:r w:rsidR="00F81221">
        <w:t xml:space="preserve"> and </w:t>
      </w:r>
      <w:r w:rsidRPr="00A428C3">
        <w:t xml:space="preserve">only in recent years papers had an increased focus (i.e. agriculture, environment </w:t>
      </w:r>
      <w:r w:rsidRPr="00A428C3">
        <w:lastRenderedPageBreak/>
        <w:t>etc.). There has been a strong increase in soil physics papers whereas the share of soil chemistry steadily declined over time. Typical pedological papers cover about 30% of the journal</w:t>
      </w:r>
      <w:r w:rsidR="00F81221">
        <w:t xml:space="preserve"> and </w:t>
      </w:r>
      <w:r w:rsidRPr="00A428C3">
        <w:t>little change was found with time, except for the advent of papers in pedometrics. Papers on soil mineralogy have sharply declined from 25% in the 1980s to less than 10% in the 1990s. Over the same period, a doubling in the number of papers on soil</w:t>
      </w:r>
      <w:r w:rsidR="00F81221">
        <w:t xml:space="preserve"> and </w:t>
      </w:r>
      <w:r w:rsidRPr="00A428C3">
        <w:t>environment occurred. Papers containing information on soil classification increased from 30% in the early 1970s to around 50% in the late 1990s. Alfisols had received most attention followed by Inceptisols. Papers are based on a larger amount of soil samples</w:t>
      </w:r>
      <w:r w:rsidR="00F81221">
        <w:t xml:space="preserve"> and </w:t>
      </w:r>
      <w:r w:rsidRPr="00A428C3">
        <w:t>in recent years an increasing number of papers are based on existing data. The impact factor of Geoderma has steadily increased since the mid 1970s</w:t>
      </w:r>
      <w:r w:rsidR="00F81221">
        <w:t xml:space="preserve"> and </w:t>
      </w:r>
      <w:r w:rsidRPr="00A428C3">
        <w:t>in particular in the late 1990s. This review has shown important trends in Geoderma papers that likely reflect some of the major changes that have occurred in soil science as a whole.</w:t>
      </w:r>
    </w:p>
    <w:p w:rsidR="00B95188" w:rsidRPr="00A428C3" w:rsidRDefault="00B95188" w:rsidP="00B95188">
      <w:pPr>
        <w:pStyle w:val="a0"/>
      </w:pPr>
      <w:r w:rsidRPr="00A428C3">
        <w:t>Keywords: Soil Science, Soil Science Impact, Bibliometrics, History of Soil Science, Trends in Soil Science</w:t>
      </w:r>
    </w:p>
    <w:p w:rsidR="00B95188" w:rsidRPr="00A428C3" w:rsidRDefault="00B95188" w:rsidP="00B95188">
      <w:pPr>
        <w:pStyle w:val="a0"/>
      </w:pPr>
      <w:r w:rsidRPr="00A428C3">
        <w:t>Liu, C.</w:t>
      </w:r>
      <w:r w:rsidR="00F81221">
        <w:t xml:space="preserve"> and </w:t>
      </w:r>
      <w:r w:rsidRPr="00A428C3">
        <w:t xml:space="preserve">Huang, P.M. (2001), Pressure-jump relaxation studies on kinetics of lead sorption by iron oxides formed under the influence of citric acid. </w:t>
      </w:r>
      <w:r w:rsidRPr="00A428C3">
        <w:rPr>
          <w:i/>
        </w:rPr>
        <w:t>Geoderma</w:t>
      </w:r>
      <w:r w:rsidRPr="00A428C3">
        <w:t xml:space="preserve">, </w:t>
      </w:r>
      <w:r w:rsidRPr="00A428C3">
        <w:rPr>
          <w:b/>
        </w:rPr>
        <w:t>102</w:t>
      </w:r>
      <w:r w:rsidRPr="00A428C3">
        <w:t xml:space="preserve"> (1-2), 1-25.</w:t>
      </w:r>
    </w:p>
    <w:p w:rsidR="00B95188" w:rsidRPr="00A428C3" w:rsidRDefault="00B95188" w:rsidP="00B95188">
      <w:pPr>
        <w:pStyle w:val="a0"/>
      </w:pPr>
      <w:r w:rsidRPr="00A428C3">
        <w:t xml:space="preserve">Full Text: </w:t>
      </w:r>
      <w:hyperlink r:id="rId418" w:history="1">
        <w:r w:rsidRPr="00A428C3">
          <w:rPr>
            <w:rStyle w:val="a5"/>
          </w:rPr>
          <w:t>G\Geoderma102, 1.pdf</w:t>
        </w:r>
      </w:hyperlink>
    </w:p>
    <w:p w:rsidR="00B95188" w:rsidRPr="00A428C3" w:rsidRDefault="00B95188" w:rsidP="00B95188">
      <w:pPr>
        <w:pStyle w:val="a0"/>
      </w:pPr>
      <w:r w:rsidRPr="00A428C3">
        <w:t>Abstract: The impact of the surface properties of Fe oxides formed both in the absence</w:t>
      </w:r>
      <w:r w:rsidR="00F81221">
        <w:t xml:space="preserve"> and </w:t>
      </w:r>
      <w:r w:rsidRPr="00A428C3">
        <w:t>the presence of citric acid at the citrate concentration of 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m"/>
        </w:smartTagPr>
        <w:r w:rsidRPr="00A428C3">
          <w:rPr>
            <w:vertAlign w:val="superscript"/>
          </w:rPr>
          <w:t>5</w:t>
        </w:r>
        <w:r w:rsidRPr="00A428C3">
          <w:t xml:space="preserve"> M</w:t>
        </w:r>
      </w:smartTag>
      <w:r w:rsidRPr="00A428C3">
        <w:t xml:space="preserve"> on their kinetics</w:t>
      </w:r>
      <w:r w:rsidR="00F81221">
        <w:t xml:space="preserve"> and </w:t>
      </w:r>
      <w:r w:rsidRPr="00A428C3">
        <w:t>mechanisms of Pb sorption was investigated by using pressure-jump relaxation spectrometry. The adsorption edge of Pb on these two Fe oxides can be described by the modified triple layer model (TLM) using the FITEQL program. Two relaxation times observed in the Pb ion–Fe oxide suspensions in the pH range of 3–5 indicate that Pb adsorption on these Fe oxides consisted of two elementary reactions. The results indicate that the mechanisms of Pb sorption in the pure goethite system derived by Hayes [Equilibrium, Spectroscopic,</w:t>
      </w:r>
      <w:r w:rsidR="00F81221">
        <w:t xml:space="preserve"> and </w:t>
      </w:r>
      <w:r w:rsidRPr="00A428C3">
        <w:t xml:space="preserve">Kinetic Studies of Ion Adsorption at the Oxide/Aqueous Interface. PhD thesis, </w:t>
      </w:r>
      <w:smartTag w:uri="urn:schemas-microsoft-com:office:smarttags" w:element="PlaceName">
        <w:r w:rsidRPr="00A428C3">
          <w:t>Stanford</w:t>
        </w:r>
      </w:smartTag>
      <w:r w:rsidRPr="00A428C3">
        <w:t xml:space="preserve"> </w:t>
      </w:r>
      <w:smartTag w:uri="urn:schemas-microsoft-com:office:smarttags" w:element="PlaceType">
        <w:r w:rsidRPr="00A428C3">
          <w:t>Univ.</w:t>
        </w:r>
      </w:smartTag>
      <w:r w:rsidRPr="00A428C3">
        <w:t xml:space="preserve">, </w:t>
      </w:r>
      <w:smartTag w:uri="urn:schemas-microsoft-com:office:smarttags" w:element="place">
        <w:smartTag w:uri="urn:schemas-microsoft-com:office:smarttags" w:element="City">
          <w:r w:rsidRPr="00A428C3">
            <w:t>Palo Alto</w:t>
          </w:r>
        </w:smartTag>
        <w:r w:rsidRPr="00A428C3">
          <w:t xml:space="preserve">, </w:t>
        </w:r>
        <w:smartTag w:uri="urn:schemas-microsoft-com:office:smarttags" w:element="State">
          <w:r w:rsidRPr="00A428C3">
            <w:t>CA</w:t>
          </w:r>
        </w:smartTag>
      </w:smartTag>
      <w:r w:rsidRPr="00A428C3">
        <w:t>, 1987] were also acceptable for the Pb sorption in these two Fe oxide systems in the present study. The proposed mechanisms are in accord with the formation of the Pb surface complexes on goethite surfaces established by X-ray absorption spectroscopy (XAS) in other studies [Langmuir 7 (1991) 367; Geochim. Cosmochim. Acta 62 (1998) 193]. However, the intrinsic forward rate</w:t>
      </w:r>
      <w:r w:rsidR="00F81221">
        <w:t xml:space="preserve"> and </w:t>
      </w:r>
      <w:r w:rsidRPr="00A428C3">
        <w:t>equilibrium constants for the two parallel reactions of Pb sorption by the Fe oxide formed at the citrate/Fe(II) MR of 0.001 were significantly lower compared with the Fe oxide formed in the absence of citrate. This is due to the improvement of the crystallinity of Fe oxide (lepidocrocite) resulted from the presence of citrate at the concentration of 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m"/>
        </w:smartTagPr>
        <w:r w:rsidRPr="00A428C3">
          <w:rPr>
            <w:vertAlign w:val="superscript"/>
          </w:rPr>
          <w:t>5</w:t>
        </w:r>
        <w:r w:rsidRPr="00A428C3">
          <w:t xml:space="preserve"> M</w:t>
        </w:r>
      </w:smartTag>
      <w:r w:rsidRPr="00A428C3">
        <w:t xml:space="preserve"> through catalysis</w:t>
      </w:r>
      <w:r w:rsidR="00F81221">
        <w:t xml:space="preserve"> and </w:t>
      </w:r>
      <w:r w:rsidRPr="00A428C3">
        <w:t xml:space="preserve">the subsequent decrease in the specific surface area. </w:t>
      </w:r>
      <w:r w:rsidRPr="00A428C3">
        <w:lastRenderedPageBreak/>
        <w:t>Compared to the Fe oxide formed in the absence of citrate ligands, the intrinsic backward rate constant for the second reaction of Pb sorption by the Fe oxide formed in the presence of citrate was significantly higher. This is attributed to the lower point of zero salt effect (PZSE) of Fe oxide formed at the citrate/Fe(II) MR of 0.001</w:t>
      </w:r>
      <w:r w:rsidR="00F81221">
        <w:t xml:space="preserve"> and </w:t>
      </w:r>
      <w:r w:rsidRPr="00A428C3">
        <w:t>more net negative charges at the same pH, which caused less coordination of nitrate ions with Pb on the surface. Therefore, the presence of citric acid at the concentration of 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m"/>
        </w:smartTagPr>
        <w:r w:rsidRPr="00A428C3">
          <w:rPr>
            <w:vertAlign w:val="superscript"/>
          </w:rPr>
          <w:t>5</w:t>
        </w:r>
        <w:r w:rsidRPr="00A428C3">
          <w:t xml:space="preserve"> M</w:t>
        </w:r>
      </w:smartTag>
      <w:r w:rsidRPr="00A428C3">
        <w:t xml:space="preserve"> during the formation of Fe oxides significantly influenced the intrinsic rate</w:t>
      </w:r>
      <w:r w:rsidR="00F81221">
        <w:t xml:space="preserve"> and </w:t>
      </w:r>
      <w:r w:rsidRPr="00A428C3">
        <w:t>equilibrium constants of Pb sorption at the Fe oxide/water interface through fundamental structural modifications</w:t>
      </w:r>
      <w:r w:rsidR="00F81221">
        <w:t xml:space="preserve"> and </w:t>
      </w:r>
      <w:r w:rsidRPr="00A428C3">
        <w:t>the subsequent alteration of their surface properties. (C) 2001 Elsevier Science B.V. All rights reserved.</w:t>
      </w:r>
    </w:p>
    <w:p w:rsidR="00B95188" w:rsidRPr="00A428C3" w:rsidRDefault="00B95188" w:rsidP="00B95188">
      <w:pPr>
        <w:pStyle w:val="a0"/>
      </w:pPr>
      <w:r w:rsidRPr="00A428C3">
        <w:t>Keywords: Lead, Sorption, Kinetics, Relaxation, Iron Oxides</w:t>
      </w:r>
    </w:p>
    <w:p w:rsidR="00B95188" w:rsidRPr="00A428C3" w:rsidRDefault="00B95188" w:rsidP="00B95188">
      <w:pPr>
        <w:pStyle w:val="a0"/>
      </w:pPr>
      <w:bookmarkStart w:id="297" w:name="_Toc455569456"/>
      <w:r w:rsidRPr="00A428C3">
        <w:t xml:space="preserve">Hinz, C. (2001), Erratum to: </w:t>
      </w:r>
      <w:r w:rsidR="000352E7">
        <w:t>“</w:t>
      </w:r>
      <w:r w:rsidRPr="00A428C3">
        <w:t>Description of sorption data with isotherm equations</w:t>
      </w:r>
      <w:r w:rsidR="000352E7">
        <w:t>”</w:t>
      </w:r>
      <w:r w:rsidRPr="00A428C3">
        <w:t xml:space="preserve"> [Geoderma 99 (2001) 225–243]. </w:t>
      </w:r>
      <w:r w:rsidRPr="00A428C3">
        <w:rPr>
          <w:i/>
        </w:rPr>
        <w:t>Geoderma</w:t>
      </w:r>
      <w:r w:rsidRPr="00A428C3">
        <w:t xml:space="preserve">, </w:t>
      </w:r>
      <w:r w:rsidRPr="00A428C3">
        <w:rPr>
          <w:b/>
        </w:rPr>
        <w:t>102</w:t>
      </w:r>
      <w:r w:rsidRPr="00A428C3">
        <w:t xml:space="preserve"> (3-4), 405-406.</w:t>
      </w:r>
    </w:p>
    <w:p w:rsidR="00B95188" w:rsidRPr="00A428C3" w:rsidRDefault="00B95188" w:rsidP="00B95188">
      <w:pPr>
        <w:pStyle w:val="a0"/>
      </w:pPr>
      <w:r w:rsidRPr="00A428C3">
        <w:t xml:space="preserve">Full Text: </w:t>
      </w:r>
      <w:hyperlink r:id="rId419" w:history="1">
        <w:r w:rsidRPr="00A428C3">
          <w:rPr>
            <w:rStyle w:val="a5"/>
          </w:rPr>
          <w:t>G\Geoderma102, 405.pdf</w:t>
        </w:r>
      </w:hyperlink>
    </w:p>
    <w:p w:rsidR="00B95188" w:rsidRPr="00A428C3" w:rsidRDefault="00B95188" w:rsidP="00B95188">
      <w:pPr>
        <w:pStyle w:val="a0"/>
      </w:pPr>
      <w:r w:rsidRPr="00A428C3">
        <w:t>Appel, C., Ma, L.Q., Rhue, R.D.</w:t>
      </w:r>
      <w:r w:rsidR="00F81221">
        <w:t xml:space="preserve"> and </w:t>
      </w:r>
      <w:r w:rsidRPr="00A428C3">
        <w:t>Kennelley, E. (2003), Point of zero charge determination in soils</w:t>
      </w:r>
      <w:r w:rsidR="00F81221">
        <w:t xml:space="preserve"> and </w:t>
      </w:r>
      <w:r w:rsidRPr="00A428C3">
        <w:t>minerals via traditional methods</w:t>
      </w:r>
      <w:r w:rsidR="00F81221">
        <w:t xml:space="preserve"> and </w:t>
      </w:r>
      <w:r w:rsidRPr="00A428C3">
        <w:t xml:space="preserve">detection of electroacoustic mobility. </w:t>
      </w:r>
      <w:r w:rsidRPr="00A428C3">
        <w:rPr>
          <w:i/>
        </w:rPr>
        <w:t>Geoderma</w:t>
      </w:r>
      <w:r w:rsidRPr="00A428C3">
        <w:t xml:space="preserve">, </w:t>
      </w:r>
      <w:r w:rsidRPr="00A428C3">
        <w:rPr>
          <w:b/>
        </w:rPr>
        <w:t>113</w:t>
      </w:r>
      <w:r w:rsidRPr="00A428C3">
        <w:t xml:space="preserve"> (1-2), 77-93.</w:t>
      </w:r>
    </w:p>
    <w:p w:rsidR="00B95188" w:rsidRPr="00A428C3" w:rsidRDefault="00B95188" w:rsidP="00B95188">
      <w:pPr>
        <w:pStyle w:val="a0"/>
      </w:pPr>
      <w:r w:rsidRPr="00A428C3">
        <w:t xml:space="preserve">Full Text: </w:t>
      </w:r>
      <w:hyperlink r:id="rId420" w:history="1">
        <w:r w:rsidRPr="00A428C3">
          <w:rPr>
            <w:rStyle w:val="a5"/>
          </w:rPr>
          <w:t>G\Geoderma113, 77.pdf</w:t>
        </w:r>
      </w:hyperlink>
    </w:p>
    <w:p w:rsidR="00B95188" w:rsidRPr="00A428C3" w:rsidRDefault="00B95188" w:rsidP="00B95188">
      <w:pPr>
        <w:pStyle w:val="a0"/>
      </w:pPr>
      <w:r w:rsidRPr="00A428C3">
        <w:t>Abstract: Points of zero charge were determined on two highly weathered surface soils from Puerto Rico, an Oxisol</w:t>
      </w:r>
      <w:r w:rsidR="00F81221">
        <w:t xml:space="preserve"> and </w:t>
      </w:r>
      <w:r w:rsidRPr="00A428C3">
        <w:t>Ultisol, as well as mineral-standard kaolinite</w:t>
      </w:r>
      <w:r w:rsidR="00F81221">
        <w:t xml:space="preserve"> and </w:t>
      </w:r>
      <w:r w:rsidRPr="00A428C3">
        <w:t>synthetic goethite using three methods: (1) potentiometric titration measuring the adsorption of H</w:t>
      </w:r>
      <w:r w:rsidRPr="00A428C3">
        <w:rPr>
          <w:vertAlign w:val="superscript"/>
        </w:rPr>
        <w:t>+</w:t>
      </w:r>
      <w:r w:rsidR="00F81221">
        <w:t xml:space="preserve"> and </w:t>
      </w:r>
      <w:r w:rsidRPr="00A428C3">
        <w:t>OH</w:t>
      </w:r>
      <w:r w:rsidRPr="00A428C3">
        <w:rPr>
          <w:vertAlign w:val="superscript"/>
        </w:rPr>
        <w:t>−</w:t>
      </w:r>
      <w:r w:rsidRPr="00A428C3">
        <w:t xml:space="preserve"> on amphoteric surfaces in solutions of varying ionic strength (</w:t>
      </w:r>
      <w:r w:rsidRPr="00A428C3">
        <w:rPr>
          <w:i/>
          <w:iCs/>
        </w:rPr>
        <w:t>I</w:t>
      </w:r>
      <w:r w:rsidRPr="00A428C3">
        <w:t>) (point of zero salt effect), (2) direct assessment of surface charges via non-specific ion adsorption as a function of pH</w:t>
      </w:r>
      <w:r w:rsidR="00F81221">
        <w:t xml:space="preserve"> and </w:t>
      </w:r>
      <w:r w:rsidRPr="00A428C3">
        <w:rPr>
          <w:i/>
          <w:iCs/>
        </w:rPr>
        <w:t>I</w:t>
      </w:r>
      <w:r w:rsidRPr="00A428C3">
        <w:t xml:space="preserve"> (point of zero net charge),</w:t>
      </w:r>
      <w:r w:rsidR="00F81221">
        <w:t xml:space="preserve"> and </w:t>
      </w:r>
      <w:r w:rsidRPr="00A428C3">
        <w:t>(3) electroacoustic mobility of reversible particles as it varies with pH</w:t>
      </w:r>
      <w:r w:rsidR="00F81221">
        <w:t xml:space="preserve"> and </w:t>
      </w:r>
      <w:r w:rsidRPr="00A428C3">
        <w:rPr>
          <w:i/>
          <w:iCs/>
        </w:rPr>
        <w:t>I</w:t>
      </w:r>
      <w:r w:rsidRPr="00A428C3">
        <w:t xml:space="preserve"> (isoelectric point). The first two methods yielded points of zero charge for kaolinite (2.7–3.2)</w:t>
      </w:r>
      <w:r w:rsidR="00F81221">
        <w:t xml:space="preserve"> and </w:t>
      </w:r>
      <w:r w:rsidRPr="00A428C3">
        <w:t>synthetic goethite (7.4–8.2) comparable to those reported previously, indicating the reliability of these analyses. The soil values ranged from 3.9 to 4.4 for the Oxisol</w:t>
      </w:r>
      <w:r w:rsidR="00F81221">
        <w:t xml:space="preserve"> and </w:t>
      </w:r>
      <w:r w:rsidRPr="00A428C3">
        <w:t>2.3 to 3.7 for the Ultisol. Electroacoustic mobility, as measured by the AcoustoSizer™, is a parameter that has yet to be thoroughly tested for mineral or soil systems as a viable alternative to PZC assessment. The points of zero charge from electroacoustic mobility of kaolinite (3.8–4.1)</w:t>
      </w:r>
      <w:r w:rsidR="00F81221">
        <w:t xml:space="preserve"> and </w:t>
      </w:r>
      <w:r w:rsidRPr="00A428C3">
        <w:t>synthetic goethite (8.1–8.2) were similar to values obtained by electrophoretic mobility. Furthermore, the values found for the Oxisol (3.4–3.5)</w:t>
      </w:r>
      <w:r w:rsidR="00F81221">
        <w:t xml:space="preserve"> and </w:t>
      </w:r>
      <w:r w:rsidRPr="00A428C3">
        <w:t>Ultisol (2.6–2.7) were in the range expected for these soils.</w:t>
      </w:r>
    </w:p>
    <w:p w:rsidR="00B95188" w:rsidRPr="00A428C3" w:rsidRDefault="00B95188" w:rsidP="00B95188">
      <w:pPr>
        <w:pStyle w:val="a0"/>
      </w:pPr>
      <w:r w:rsidRPr="00A428C3">
        <w:t>Keywords: Point of Zero Charge, Point of Zero Net Charge, Point of Zero Salt Effect, Tropical Soils, Isoelectric Point, Electroacoustic Mobility</w:t>
      </w:r>
    </w:p>
    <w:p w:rsidR="00B95188" w:rsidRPr="00A428C3" w:rsidRDefault="00B95188" w:rsidP="00B95188">
      <w:pPr>
        <w:pStyle w:val="a0"/>
      </w:pPr>
      <w:r w:rsidRPr="00A428C3">
        <w:t>Adhikari, T.</w:t>
      </w:r>
      <w:r w:rsidR="00F81221">
        <w:t xml:space="preserve"> and </w:t>
      </w:r>
      <w:r w:rsidRPr="00A428C3">
        <w:t>Singh, M.V. (2003), Sorption characteristics of lead</w:t>
      </w:r>
      <w:r w:rsidR="00F81221">
        <w:t xml:space="preserve"> and </w:t>
      </w:r>
      <w:r w:rsidRPr="00A428C3">
        <w:t xml:space="preserve">cadmium in some soils of </w:t>
      </w:r>
      <w:smartTag w:uri="urn:schemas-microsoft-com:office:smarttags" w:element="place">
        <w:smartTag w:uri="urn:schemas-microsoft-com:office:smarttags" w:element="country-region">
          <w:r w:rsidRPr="00A428C3">
            <w:t>India</w:t>
          </w:r>
        </w:smartTag>
      </w:smartTag>
      <w:r w:rsidRPr="00A428C3">
        <w:t xml:space="preserve">. </w:t>
      </w:r>
      <w:r w:rsidRPr="00A428C3">
        <w:rPr>
          <w:i/>
        </w:rPr>
        <w:t>Geoderma</w:t>
      </w:r>
      <w:r w:rsidRPr="00A428C3">
        <w:t xml:space="preserve">, </w:t>
      </w:r>
      <w:r w:rsidRPr="00A428C3">
        <w:rPr>
          <w:b/>
        </w:rPr>
        <w:t>114</w:t>
      </w:r>
      <w:r w:rsidRPr="00A428C3">
        <w:t xml:space="preserve"> (1-2), 81-92.</w:t>
      </w:r>
    </w:p>
    <w:p w:rsidR="00B95188" w:rsidRPr="00A428C3" w:rsidRDefault="00B95188" w:rsidP="00B95188">
      <w:pPr>
        <w:pStyle w:val="a0"/>
      </w:pPr>
      <w:r w:rsidRPr="00A428C3">
        <w:lastRenderedPageBreak/>
        <w:t xml:space="preserve">Full Text: </w:t>
      </w:r>
      <w:hyperlink r:id="rId421" w:history="1">
        <w:r w:rsidRPr="00A428C3">
          <w:rPr>
            <w:rStyle w:val="a5"/>
          </w:rPr>
          <w:t>G\Geoderma114, 81.pdf</w:t>
        </w:r>
      </w:hyperlink>
    </w:p>
    <w:p w:rsidR="00B95188" w:rsidRPr="00A428C3" w:rsidRDefault="00B95188" w:rsidP="00B95188">
      <w:pPr>
        <w:pStyle w:val="a0"/>
      </w:pPr>
      <w:r w:rsidRPr="00A428C3">
        <w:t>Abstract: To evaluate the sorption mechanism of heavy metals viz. cadmium (Cd)</w:t>
      </w:r>
      <w:r w:rsidR="00F81221">
        <w:t xml:space="preserve"> and </w:t>
      </w:r>
      <w:r w:rsidRPr="00A428C3">
        <w:t>lead (Pb) in major soil types, an experiment was conducted on Vertic Ustochrept, Typic Eutrochrept, Typic Ustipsamment, Typic Haplustalf</w:t>
      </w:r>
      <w:r w:rsidR="00F81221">
        <w:t xml:space="preserve"> and </w:t>
      </w:r>
      <w:r w:rsidRPr="00A428C3">
        <w:t xml:space="preserve">Typic Ustorthent representing five agroecological zones (AEZ) of India. The thermodynamic parameters viz. </w:t>
      </w:r>
      <w:r w:rsidRPr="00A428C3">
        <w:rPr>
          <w:i/>
          <w:iCs/>
        </w:rPr>
        <w:t>K</w:t>
      </w:r>
      <w:r w:rsidRPr="00A428C3">
        <w:t>°, Δ</w:t>
      </w:r>
      <w:r w:rsidRPr="00A428C3">
        <w:rPr>
          <w:i/>
          <w:iCs/>
        </w:rPr>
        <w:t>G</w:t>
      </w:r>
      <w:r w:rsidRPr="00A428C3">
        <w:t>°, Δ</w:t>
      </w:r>
      <w:r w:rsidRPr="00A428C3">
        <w:rPr>
          <w:i/>
          <w:iCs/>
        </w:rPr>
        <w:t>H</w:t>
      </w:r>
      <w:r w:rsidRPr="00A428C3">
        <w:t>°</w:t>
      </w:r>
      <w:r w:rsidR="00F81221">
        <w:t xml:space="preserve"> and </w:t>
      </w:r>
      <w:r w:rsidRPr="00A428C3">
        <w:t>Δ</w:t>
      </w:r>
      <w:r w:rsidRPr="00A428C3">
        <w:rPr>
          <w:i/>
          <w:iCs/>
        </w:rPr>
        <w:t>S</w:t>
      </w:r>
      <w:r w:rsidRPr="00A428C3">
        <w:t>° were determined by using sorption data</w:t>
      </w:r>
      <w:r w:rsidR="00F81221">
        <w:t xml:space="preserve"> and </w:t>
      </w:r>
      <w:r w:rsidRPr="00A428C3">
        <w:t>concentrations of Cd</w:t>
      </w:r>
      <w:r w:rsidR="00F81221">
        <w:t xml:space="preserve"> and </w:t>
      </w:r>
      <w:r w:rsidRPr="00A428C3">
        <w:t>Pb in equilibrium solution at two different temperatures 25±2</w:t>
      </w:r>
      <w:r w:rsidR="00F81221">
        <w:t xml:space="preserve"> and </w:t>
      </w:r>
      <w:r w:rsidRPr="00A428C3">
        <w:t>45±</w:t>
      </w:r>
      <w:smartTag w:uri="urn:schemas-microsoft-com:office:smarttags" w:element="chmetcnv">
        <w:smartTagPr>
          <w:attr w:name="TCSC" w:val="0"/>
          <w:attr w:name="NumberType" w:val="1"/>
          <w:attr w:name="Negative" w:val="False"/>
          <w:attr w:name="HasSpace" w:val="True"/>
          <w:attr w:name="SourceValue" w:val="2"/>
          <w:attr w:name="UnitName" w:val="ﾰC"/>
        </w:smartTagPr>
        <w:r w:rsidRPr="00A428C3">
          <w:t>2 °C</w:t>
        </w:r>
      </w:smartTag>
      <w:r w:rsidRPr="00A428C3">
        <w:t xml:space="preserve"> of soil suspension. Results showed that the data of heavy metals sorption could be described satisfactorily by Freundlich</w:t>
      </w:r>
      <w:r w:rsidR="00F81221">
        <w:t xml:space="preserve"> and </w:t>
      </w:r>
      <w:r w:rsidRPr="00A428C3">
        <w:t>modified (two surfaces) Langmuir isotherms. The Pb sorption was maximum in the order of Vertic Ustochrept&gt;Typic Eutrochrept&gt;Typic Ustochrept&gt;Typic Haplustalf&gt;Typic Ustorthent. The magnitude of Cd sorption was 4 to 6 times less than that of Pb. The Vertic Ustochrept sorbed Cd 4.0</w:t>
      </w:r>
      <w:r w:rsidR="00F81221">
        <w:t xml:space="preserve"> and </w:t>
      </w:r>
      <w:r w:rsidRPr="00A428C3">
        <w:t>2.5 times</w:t>
      </w:r>
      <w:r w:rsidR="00F81221">
        <w:t xml:space="preserve"> and </w:t>
      </w:r>
      <w:r w:rsidRPr="00A428C3">
        <w:t>Pb by 2.0</w:t>
      </w:r>
      <w:r w:rsidR="00F81221">
        <w:t xml:space="preserve"> and </w:t>
      </w:r>
      <w:r w:rsidRPr="00A428C3">
        <w:t>1.9 times more than that of Ustorthent</w:t>
      </w:r>
      <w:r w:rsidR="00F81221">
        <w:t xml:space="preserve"> and </w:t>
      </w:r>
      <w:r w:rsidRPr="00A428C3">
        <w:t>Haplustalf soils, respectively. Such variations in Cd</w:t>
      </w:r>
      <w:r w:rsidR="00F81221">
        <w:t xml:space="preserve"> and </w:t>
      </w:r>
      <w:r w:rsidRPr="00A428C3">
        <w:t>Pb sorption maxima were correlated with the differences in pH, CEC</w:t>
      </w:r>
      <w:r w:rsidR="00F81221">
        <w:t xml:space="preserve"> and </w:t>
      </w:r>
      <w:r w:rsidRPr="00A428C3">
        <w:t xml:space="preserve">organic matter content of the soils. Thermodynamic parameters revealed that heavy metal sorption increased as the value of </w:t>
      </w:r>
      <w:r w:rsidRPr="00A428C3">
        <w:rPr>
          <w:i/>
          <w:iCs/>
        </w:rPr>
        <w:t>K</w:t>
      </w:r>
      <w:r w:rsidRPr="00A428C3">
        <w:t>°, Δ</w:t>
      </w:r>
      <w:r w:rsidRPr="00A428C3">
        <w:rPr>
          <w:i/>
          <w:iCs/>
        </w:rPr>
        <w:t>G</w:t>
      </w:r>
      <w:r w:rsidRPr="00A428C3">
        <w:t>°, Δ</w:t>
      </w:r>
      <w:r w:rsidRPr="00A428C3">
        <w:rPr>
          <w:i/>
          <w:iCs/>
        </w:rPr>
        <w:t>H</w:t>
      </w:r>
      <w:r w:rsidRPr="00A428C3">
        <w:t>°</w:t>
      </w:r>
      <w:r w:rsidR="00F81221">
        <w:t xml:space="preserve"> and </w:t>
      </w:r>
      <w:r w:rsidRPr="00A428C3">
        <w:t>Δ</w:t>
      </w:r>
      <w:r w:rsidRPr="00A428C3">
        <w:rPr>
          <w:i/>
          <w:iCs/>
        </w:rPr>
        <w:t>S</w:t>
      </w:r>
      <w:r w:rsidRPr="00A428C3">
        <w:t>° increased with temperature. The high values of Δ</w:t>
      </w:r>
      <w:r w:rsidRPr="00A428C3">
        <w:rPr>
          <w:i/>
          <w:iCs/>
        </w:rPr>
        <w:t>G</w:t>
      </w:r>
      <w:r w:rsidRPr="00A428C3">
        <w:t>° both for Pb</w:t>
      </w:r>
      <w:r w:rsidR="00F81221">
        <w:t xml:space="preserve"> and </w:t>
      </w:r>
      <w:r w:rsidRPr="00A428C3">
        <w:t>Cd indicated that both the reactions are spontaneous. The values of Δ</w:t>
      </w:r>
      <w:r w:rsidRPr="00A428C3">
        <w:rPr>
          <w:i/>
          <w:iCs/>
        </w:rPr>
        <w:t>H</w:t>
      </w:r>
      <w:r w:rsidRPr="00A428C3">
        <w:t>° were found to be negative for Cd</w:t>
      </w:r>
      <w:r w:rsidR="00F81221">
        <w:t xml:space="preserve"> and </w:t>
      </w:r>
      <w:r w:rsidRPr="00A428C3">
        <w:t>positive for Pb concluded that Cd sorption reaction was exothermic while Pb sorption was found to be an endothermic reaction in all the soils.</w:t>
      </w:r>
    </w:p>
    <w:p w:rsidR="00B95188" w:rsidRPr="00A428C3" w:rsidRDefault="00B95188" w:rsidP="00B95188">
      <w:pPr>
        <w:pStyle w:val="a0"/>
      </w:pPr>
      <w:r w:rsidRPr="00A428C3">
        <w:t>Keywords: Sorption, Thermodynamic Parameters, Soil, Cd, Pb</w:t>
      </w:r>
    </w:p>
    <w:p w:rsidR="00B95188" w:rsidRPr="00A428C3" w:rsidRDefault="00B95188" w:rsidP="00B95188">
      <w:pPr>
        <w:pStyle w:val="a0"/>
      </w:pPr>
      <w:r w:rsidRPr="00A428C3">
        <w:t>? Mon, J., Flury, M.</w:t>
      </w:r>
      <w:r w:rsidR="00F81221">
        <w:t xml:space="preserve"> and </w:t>
      </w:r>
      <w:r w:rsidRPr="00A428C3">
        <w:t>Harsh, J.B. (2006), Sorption of four triarylmethane dyes in a sandy soil determined by batch</w:t>
      </w:r>
      <w:r w:rsidR="00F81221">
        <w:t xml:space="preserve"> and </w:t>
      </w:r>
      <w:r w:rsidRPr="00A428C3">
        <w:t xml:space="preserve">column experiments. </w:t>
      </w:r>
      <w:r w:rsidRPr="00A428C3">
        <w:rPr>
          <w:i/>
          <w:iCs/>
        </w:rPr>
        <w:t>Geoderma</w:t>
      </w:r>
      <w:r w:rsidRPr="00A428C3">
        <w:t xml:space="preserve">, </w:t>
      </w:r>
      <w:r w:rsidRPr="00A428C3">
        <w:rPr>
          <w:b/>
        </w:rPr>
        <w:t>133</w:t>
      </w:r>
      <w:r w:rsidRPr="00A428C3">
        <w:t xml:space="preserve"> (3-4), 217-224.</w:t>
      </w:r>
    </w:p>
    <w:p w:rsidR="00B95188" w:rsidRPr="00A428C3" w:rsidRDefault="00B95188" w:rsidP="00B95188">
      <w:pPr>
        <w:pStyle w:val="a0"/>
      </w:pPr>
      <w:r w:rsidRPr="00A428C3">
        <w:t xml:space="preserve">Full Text: </w:t>
      </w:r>
      <w:hyperlink r:id="rId422" w:history="1">
        <w:r w:rsidRPr="00A428C3">
          <w:rPr>
            <w:rStyle w:val="a5"/>
          </w:rPr>
          <w:t>2006\Geoderma133, 217.pdf</w:t>
        </w:r>
      </w:hyperlink>
    </w:p>
    <w:p w:rsidR="00B95188" w:rsidRPr="00A428C3" w:rsidRDefault="00B95188" w:rsidP="00B95188">
      <w:pPr>
        <w:pStyle w:val="a0"/>
      </w:pPr>
      <w:r w:rsidRPr="00A428C3">
        <w:t>Abstract: Dye tracers are important hydrological tracers. Only a few commercially available dyes have been systematically evaluated for their suitability as hydrological tracers. Sorption is one of the limiting factors for the suitability of a dye tracer. In this study we examined the sorption of four dyes to a sandy soil using batch</w:t>
      </w:r>
      <w:r w:rsidR="00F81221">
        <w:t xml:space="preserve"> and </w:t>
      </w:r>
      <w:r w:rsidRPr="00A428C3">
        <w:t>column techniques. The four dyes, C.I. Food Blue 2 (Brilliant Blue FCF), C.I. Food Green 3, C.I. Acid Blue 7,</w:t>
      </w:r>
      <w:r w:rsidR="00F81221">
        <w:t xml:space="preserve"> and </w:t>
      </w:r>
      <w:r w:rsidRPr="00A428C3">
        <w:t xml:space="preserve">C.I. Acid Green 9, were all from the class of triarylmethnane dyes. Adsorption isotherms were determined at pH approximate to </w:t>
      </w:r>
      <w:smartTag w:uri="urn:schemas-microsoft-com:office:smarttags" w:element="chmetcnv">
        <w:smartTagPr>
          <w:attr w:name="TCSC" w:val="0"/>
          <w:attr w:name="NumberType" w:val="1"/>
          <w:attr w:name="Negative" w:val="False"/>
          <w:attr w:name="HasSpace" w:val="True"/>
          <w:attr w:name="SourceValue" w:val="8"/>
          <w:attr w:name="UnitName" w:val="in"/>
        </w:smartTagPr>
        <w:r w:rsidRPr="00A428C3">
          <w:t>8 in</w:t>
        </w:r>
      </w:smartTag>
      <w:r w:rsidRPr="00A428C3">
        <w:t xml:space="preserve"> 10 mmol/L CaCl2 background solution. Batch sorption experiments were conducted using dye concentrations ranging from 0.0001 to 2.9 mmol/L. Sorption isotherms were analyzed with the Langmuir equation. Column experiments with the dyes were conducted under water saturated conditions. Adsorption isotherms calculated from column breakthrough data showed good agreement with those of batch studies, except at small dye concentrations, where column data tended to </w:t>
      </w:r>
      <w:r w:rsidRPr="00A428C3">
        <w:lastRenderedPageBreak/>
        <w:t>over-estimate sorption of the dyes. The four dyes showed two different sorption behaviors: C.I. Food Green 3</w:t>
      </w:r>
      <w:r w:rsidR="00F81221">
        <w:t xml:space="preserve"> and </w:t>
      </w:r>
      <w:r w:rsidRPr="00A428C3">
        <w:t>C.I. Food Blue 2 sorbed considerably less than C.I. Acid Green 9</w:t>
      </w:r>
      <w:r w:rsidR="00F81221">
        <w:t xml:space="preserve"> and </w:t>
      </w:r>
      <w:r w:rsidRPr="00A428C3">
        <w:t>Acid Blue 7. The former two dyes contain three sulfonic acid groups while the latter only contain two sulfonic acid groups. C.I. Food Green 3 is likely a good hydrological tracer, as is C.I. Food Blue 2, which is frequently used as a vadose zone tracer. (c) 2005 Elsevier B.V All rights reserved.</w:t>
      </w:r>
    </w:p>
    <w:p w:rsidR="00B95188" w:rsidRPr="00A428C3" w:rsidRDefault="00B95188" w:rsidP="00B95188">
      <w:pPr>
        <w:pStyle w:val="a0"/>
      </w:pPr>
      <w:r w:rsidRPr="00A428C3">
        <w:t>Keywords: Adsorption, Batch Isotherms, Brilliant Blue FCF, Column Isotherms, Dye Tracers, Fluorescent Dyes, Isotherms, Langmuir, Movement, Sorption, Tracers, Transport, Vadose Zone</w:t>
      </w:r>
    </w:p>
    <w:p w:rsidR="00381E35" w:rsidRDefault="00381E35" w:rsidP="00381E35">
      <w:pPr>
        <w:pStyle w:val="a0"/>
        <w:rPr>
          <w:kern w:val="0"/>
        </w:rPr>
      </w:pPr>
      <w:r>
        <w:rPr>
          <w:rFonts w:hint="eastAsia"/>
          <w:kern w:val="0"/>
        </w:rPr>
        <w:t xml:space="preserve">? </w:t>
      </w:r>
      <w:r>
        <w:rPr>
          <w:kern w:val="0"/>
        </w:rPr>
        <w:t>Montoya, J.C., Costa, J.L., Liedl, R., Bedmar, F.</w:t>
      </w:r>
      <w:r w:rsidR="00F81221">
        <w:rPr>
          <w:kern w:val="0"/>
        </w:rPr>
        <w:t xml:space="preserve"> and </w:t>
      </w:r>
      <w:r>
        <w:rPr>
          <w:kern w:val="0"/>
        </w:rPr>
        <w:t>Daniel, P. (2006), Effects of soil type</w:t>
      </w:r>
      <w:r w:rsidR="00F81221">
        <w:rPr>
          <w:kern w:val="0"/>
        </w:rPr>
        <w:t xml:space="preserve"> and </w:t>
      </w:r>
      <w:r>
        <w:rPr>
          <w:kern w:val="0"/>
        </w:rPr>
        <w:t xml:space="preserve">tillage practice on atrazine transport through intact soil cores. </w:t>
      </w:r>
      <w:r>
        <w:rPr>
          <w:i/>
          <w:iCs/>
          <w:kern w:val="0"/>
        </w:rPr>
        <w:t>Geoderma</w:t>
      </w:r>
      <w:r>
        <w:rPr>
          <w:kern w:val="0"/>
        </w:rPr>
        <w:t xml:space="preserve">, </w:t>
      </w:r>
      <w:r>
        <w:rPr>
          <w:b/>
          <w:bCs/>
          <w:kern w:val="0"/>
        </w:rPr>
        <w:t>137</w:t>
      </w:r>
      <w:r>
        <w:rPr>
          <w:kern w:val="0"/>
        </w:rPr>
        <w:t xml:space="preserve"> (1-2), 161-173.</w:t>
      </w:r>
    </w:p>
    <w:p w:rsidR="00381E35" w:rsidRPr="00A428C3" w:rsidRDefault="00381E35" w:rsidP="00381E35">
      <w:pPr>
        <w:pStyle w:val="a0"/>
      </w:pPr>
      <w:r w:rsidRPr="00A428C3">
        <w:t xml:space="preserve">Full Text: </w:t>
      </w:r>
      <w:hyperlink r:id="rId423" w:history="1">
        <w:r w:rsidRPr="00381E35">
          <w:rPr>
            <w:rStyle w:val="a5"/>
          </w:rPr>
          <w:t>2006\Geoderma137, 161.pdf</w:t>
        </w:r>
      </w:hyperlink>
    </w:p>
    <w:p w:rsidR="00381E35" w:rsidRDefault="00381E35" w:rsidP="00381E35">
      <w:pPr>
        <w:pStyle w:val="a0"/>
        <w:rPr>
          <w:kern w:val="0"/>
        </w:rPr>
      </w:pPr>
      <w:r>
        <w:rPr>
          <w:kern w:val="0"/>
        </w:rPr>
        <w:t>Abstract: Agricultural systems of Argentina have increased herbicides inputs, mostly associated with adoption of no tillage (NT). Several studies have revealed presence of pesticides in groundwater. Therefore, research on the behaviour of herbicides in soils is driven by the need to manage</w:t>
      </w:r>
      <w:r w:rsidR="00F81221">
        <w:rPr>
          <w:kern w:val="0"/>
        </w:rPr>
        <w:t xml:space="preserve"> and </w:t>
      </w:r>
      <w:r>
        <w:rPr>
          <w:kern w:val="0"/>
        </w:rPr>
        <w:t>prevent possible contamination of groundwater. Soil organic carbon (OC) is the main soil component responsible of sorption,</w:t>
      </w:r>
      <w:r w:rsidR="00F81221">
        <w:rPr>
          <w:kern w:val="0"/>
        </w:rPr>
        <w:t xml:space="preserve"> and </w:t>
      </w:r>
      <w:r>
        <w:rPr>
          <w:kern w:val="0"/>
        </w:rPr>
        <w:t>consequently the main tool to reduce the leaching. However, in dynamic systems transport of organic chemicals depends on soil structural</w:t>
      </w:r>
      <w:r w:rsidR="00F81221">
        <w:rPr>
          <w:kern w:val="0"/>
        </w:rPr>
        <w:t xml:space="preserve"> and </w:t>
      </w:r>
      <w:r>
        <w:rPr>
          <w:kern w:val="0"/>
        </w:rPr>
        <w:t>hydraulic properties. Sorption controls the physical</w:t>
      </w:r>
      <w:r w:rsidR="00F81221">
        <w:rPr>
          <w:kern w:val="0"/>
        </w:rPr>
        <w:t xml:space="preserve"> and </w:t>
      </w:r>
      <w:r>
        <w:rPr>
          <w:kern w:val="0"/>
        </w:rPr>
        <w:t>biological availability of chemicals. Physical, heterogeneous flow domain,</w:t>
      </w:r>
      <w:r w:rsidR="00F81221">
        <w:rPr>
          <w:kern w:val="0"/>
        </w:rPr>
        <w:t xml:space="preserve"> and </w:t>
      </w:r>
      <w:r>
        <w:rPr>
          <w:kern w:val="0"/>
        </w:rPr>
        <w:t>chemical, kinetic reactions</w:t>
      </w:r>
      <w:r w:rsidR="00F81221">
        <w:rPr>
          <w:kern w:val="0"/>
        </w:rPr>
        <w:t xml:space="preserve"> and </w:t>
      </w:r>
      <w:r>
        <w:rPr>
          <w:kern w:val="0"/>
        </w:rPr>
        <w:t>molecular diffusion into aggregates, which are nonequilibrium processes that affect solute transport. The main objective of this paper was to evaluate the effects of soil texture</w:t>
      </w:r>
      <w:r w:rsidR="00F81221">
        <w:rPr>
          <w:kern w:val="0"/>
        </w:rPr>
        <w:t xml:space="preserve"> and </w:t>
      </w:r>
      <w:r>
        <w:rPr>
          <w:kern w:val="0"/>
        </w:rPr>
        <w:t>tillage system on atrazine transport through intact soil columns. The study focused on the identification of processes;</w:t>
      </w:r>
      <w:r w:rsidR="00F81221">
        <w:rPr>
          <w:kern w:val="0"/>
        </w:rPr>
        <w:t xml:space="preserve"> and </w:t>
      </w:r>
      <w:r>
        <w:rPr>
          <w:kern w:val="0"/>
        </w:rPr>
        <w:t>determination of parameters that control atrazine transport in the upper layer of soils. Balcarce (BAL, silty clay loam, fine, thermic, illitic, Typic Argiudoll)), Tres Arroyos (TAR, clay loam, fine, thermic, illitic, Typic Argiudoll)</w:t>
      </w:r>
      <w:r w:rsidR="00F81221">
        <w:rPr>
          <w:kern w:val="0"/>
        </w:rPr>
        <w:t xml:space="preserve"> and </w:t>
      </w:r>
      <w:r>
        <w:rPr>
          <w:kern w:val="0"/>
        </w:rPr>
        <w:t>Coronet Dorrego (DOR, loam, fine, thermic, mixed illitic-montmorillonitic, Typic Argiudoll) soils from the southeast of Buenos Aires Province (Argentina) were selected. The soils represent a wide range of OC content (BAL 35.5, TAR 28.8</w:t>
      </w:r>
      <w:r w:rsidR="00F81221">
        <w:rPr>
          <w:kern w:val="0"/>
        </w:rPr>
        <w:t xml:space="preserve"> and </w:t>
      </w:r>
      <w:r>
        <w:rPr>
          <w:kern w:val="0"/>
        </w:rPr>
        <w:t>DOR 17.3 g kg(-1)). At each site NT</w:t>
      </w:r>
      <w:r w:rsidR="00F81221">
        <w:rPr>
          <w:kern w:val="0"/>
        </w:rPr>
        <w:t xml:space="preserve"> and </w:t>
      </w:r>
      <w:r>
        <w:rPr>
          <w:kern w:val="0"/>
        </w:rPr>
        <w:t>conventional tillage (CT) systems were sampled. Four replicates of intact soils cores (15 x 8 cm) were removed from each combination of soil x tillage (BAL-NT, BAL-CT, TAR-NT, TAR-CT, DOR-NT, DOR-CT). Displacement studies were done using atrazine as the reactive solute</w:t>
      </w:r>
      <w:r w:rsidR="00F81221">
        <w:rPr>
          <w:kern w:val="0"/>
        </w:rPr>
        <w:t xml:space="preserve"> and </w:t>
      </w:r>
      <w:r>
        <w:rPr>
          <w:kern w:val="0"/>
        </w:rPr>
        <w:t>bromide as the nonreactive solute. Equilibrium</w:t>
      </w:r>
      <w:r w:rsidR="00F81221">
        <w:rPr>
          <w:kern w:val="0"/>
        </w:rPr>
        <w:t xml:space="preserve"> and </w:t>
      </w:r>
      <w:r>
        <w:rPr>
          <w:kern w:val="0"/>
        </w:rPr>
        <w:t xml:space="preserve">nonequilibrium transport models (CXTFIT 2.1) were employed to describe the breakthrough curves (BTCs). The software tool SMART was used to simulate atrazine transport under steady-state flow conditions. Atrazine BTCs were skewed to </w:t>
      </w:r>
      <w:r>
        <w:rPr>
          <w:kern w:val="0"/>
        </w:rPr>
        <w:lastRenderedPageBreak/>
        <w:t>the right; exhibiting an asymmetric shape</w:t>
      </w:r>
      <w:r w:rsidR="00F81221">
        <w:rPr>
          <w:kern w:val="0"/>
        </w:rPr>
        <w:t xml:space="preserve"> and </w:t>
      </w:r>
      <w:r>
        <w:rPr>
          <w:kern w:val="0"/>
        </w:rPr>
        <w:t>tailing that implied nonequilibrium conditions during transport. Since physical nonequilibrium was assumed to be nearly negligible, the observed nonequilibrium was interpreted as a sorption-related process. The two-site nonequilibrium model showed an acceptable fit with the observed data (72 &lt; R-2 &lt; 86). Recovery percentages of atrazine in effluents were: BAL-CT 54.51 %; BAL-NT 45.10%; TAR-CT 44.28%; TAR-NT 29.70%; DOR-CT 18.60%; DOR-NT 48.95%. The intraparticle diffusion model provided by SMART showed the best fit. In conclusion, intrinsic soil properties were more relevant for atrazine transport than those associated with tillage practices. However, no tillage produced early detection of atrazine in effluents,</w:t>
      </w:r>
      <w:r w:rsidR="00F81221">
        <w:rPr>
          <w:kern w:val="0"/>
        </w:rPr>
        <w:t xml:space="preserve"> and </w:t>
      </w:r>
      <w:r>
        <w:rPr>
          <w:kern w:val="0"/>
        </w:rPr>
        <w:t>favoured atrazine leaching in coarser soils with the lowest OC contents. However, the maximum loss of atrazine in the percolate took place in the soils with the highest OC level; with no effects of tillage practices. These soils had fine texture,</w:t>
      </w:r>
      <w:r w:rsidR="00F81221">
        <w:rPr>
          <w:kern w:val="0"/>
        </w:rPr>
        <w:t xml:space="preserve"> and </w:t>
      </w:r>
      <w:r>
        <w:rPr>
          <w:kern w:val="0"/>
        </w:rPr>
        <w:t>were well structured</w:t>
      </w:r>
      <w:r w:rsidR="00F81221">
        <w:rPr>
          <w:kern w:val="0"/>
        </w:rPr>
        <w:t xml:space="preserve"> and </w:t>
      </w:r>
      <w:r>
        <w:rPr>
          <w:kern w:val="0"/>
        </w:rPr>
        <w:t>aggregated. Intraparticle</w:t>
      </w:r>
      <w:r w:rsidR="00F81221">
        <w:rPr>
          <w:kern w:val="0"/>
        </w:rPr>
        <w:t xml:space="preserve"> and </w:t>
      </w:r>
      <w:r>
        <w:rPr>
          <w:kern w:val="0"/>
        </w:rPr>
        <w:t>intraorganic matter diffusion appear to be responsible for nonequilibrium sorption. Delayed sorption in aggregated soils leads to high concentration of atrazine available for leaching. (c) 2006 Elsevier B.V. All rights reserved.</w:t>
      </w:r>
    </w:p>
    <w:p w:rsidR="00381E35" w:rsidRDefault="00381E35" w:rsidP="00381E35">
      <w:pPr>
        <w:pStyle w:val="a0"/>
        <w:rPr>
          <w:kern w:val="0"/>
        </w:rPr>
      </w:pPr>
      <w:r>
        <w:rPr>
          <w:kern w:val="0"/>
        </w:rPr>
        <w:t>Keywords: Atrazine, Breakthrough Curves, Bromide, Carbon, Chemicals, Clay, Columns, Control, Ct, Diffusion, Equilibrium, Groundwater, Herbicides, Intraparticle Diffusion, Intraparticular Diffusion, Kinetic, Leaching, Model, Molecular, Movement, Nonequilibrium Process, Nonequilibrium Sorption, Organic Carbon, Organic-Matter, Pesticides, Practice, Recovery, Research, Residue Management, Software, Soil, Solute Transport, Sorption, Systems, Texture</w:t>
      </w:r>
    </w:p>
    <w:p w:rsidR="00B95188" w:rsidRPr="00A428C3" w:rsidRDefault="00B95188" w:rsidP="00B95188">
      <w:pPr>
        <w:pStyle w:val="a0"/>
      </w:pPr>
      <w:r w:rsidRPr="00A428C3">
        <w:t xml:space="preserve">? </w:t>
      </w:r>
      <w:r>
        <w:t>Mahabadi</w:t>
      </w:r>
      <w:r>
        <w:rPr>
          <w:rFonts w:hint="eastAsia"/>
        </w:rPr>
        <w:t>,</w:t>
      </w:r>
      <w:r>
        <w:t xml:space="preserve"> A</w:t>
      </w:r>
      <w:r>
        <w:rPr>
          <w:rFonts w:hint="eastAsia"/>
        </w:rPr>
        <w:t>.</w:t>
      </w:r>
      <w:r>
        <w:t>A</w:t>
      </w:r>
      <w:r>
        <w:rPr>
          <w:rFonts w:hint="eastAsia"/>
        </w:rPr>
        <w:t>.,</w:t>
      </w:r>
      <w:r>
        <w:t xml:space="preserve"> Hajabbasi</w:t>
      </w:r>
      <w:r>
        <w:rPr>
          <w:rFonts w:hint="eastAsia"/>
        </w:rPr>
        <w:t>,</w:t>
      </w:r>
      <w:r>
        <w:t xml:space="preserve"> M</w:t>
      </w:r>
      <w:r>
        <w:rPr>
          <w:rFonts w:hint="eastAsia"/>
        </w:rPr>
        <w:t>.</w:t>
      </w:r>
      <w:r>
        <w:t>A</w:t>
      </w:r>
      <w:r>
        <w:rPr>
          <w:rFonts w:hint="eastAsia"/>
        </w:rPr>
        <w:t>.,</w:t>
      </w:r>
      <w:r>
        <w:t xml:space="preserve"> Khademi</w:t>
      </w:r>
      <w:r>
        <w:rPr>
          <w:rFonts w:hint="eastAsia"/>
        </w:rPr>
        <w:t>,</w:t>
      </w:r>
      <w:r>
        <w:t xml:space="preserve"> H</w:t>
      </w:r>
      <w:r>
        <w:rPr>
          <w:rFonts w:hint="eastAsia"/>
        </w:rPr>
        <w:t>.</w:t>
      </w:r>
      <w:r w:rsidR="00F81221">
        <w:rPr>
          <w:rFonts w:hint="eastAsia"/>
        </w:rPr>
        <w:t xml:space="preserve"> and </w:t>
      </w:r>
      <w:r>
        <w:t>Kazemian</w:t>
      </w:r>
      <w:r>
        <w:rPr>
          <w:rFonts w:hint="eastAsia"/>
        </w:rPr>
        <w:t>,</w:t>
      </w:r>
      <w:r>
        <w:t xml:space="preserve"> H</w:t>
      </w:r>
      <w:r>
        <w:rPr>
          <w:rFonts w:hint="eastAsia"/>
        </w:rPr>
        <w:t>.</w:t>
      </w:r>
      <w:r w:rsidRPr="00A428C3">
        <w:t xml:space="preserve"> (200</w:t>
      </w:r>
      <w:r>
        <w:rPr>
          <w:rFonts w:hint="eastAsia"/>
        </w:rPr>
        <w:t>7</w:t>
      </w:r>
      <w:r w:rsidRPr="00A428C3">
        <w:t xml:space="preserve">), </w:t>
      </w:r>
      <w:r>
        <w:t>Soil cadmium stabilization using an Iranian natural zeolite</w:t>
      </w:r>
      <w:r w:rsidRPr="00A428C3">
        <w:t xml:space="preserve">. </w:t>
      </w:r>
      <w:r w:rsidRPr="00A428C3">
        <w:rPr>
          <w:i/>
          <w:iCs/>
        </w:rPr>
        <w:t>Geoderma</w:t>
      </w:r>
      <w:r w:rsidRPr="00A428C3">
        <w:t xml:space="preserve">, </w:t>
      </w:r>
      <w:r w:rsidRPr="00A428C3">
        <w:rPr>
          <w:b/>
        </w:rPr>
        <w:t>13</w:t>
      </w:r>
      <w:r>
        <w:rPr>
          <w:rFonts w:hint="eastAsia"/>
          <w:b/>
        </w:rPr>
        <w:t>7</w:t>
      </w:r>
      <w:r w:rsidRPr="00A428C3">
        <w:t xml:space="preserve"> (3-4), </w:t>
      </w:r>
      <w:r>
        <w:t>388-393</w:t>
      </w:r>
      <w:r w:rsidRPr="00A428C3">
        <w:t>.</w:t>
      </w:r>
    </w:p>
    <w:p w:rsidR="00B95188" w:rsidRDefault="00B95188" w:rsidP="00B95188">
      <w:pPr>
        <w:pStyle w:val="a0"/>
      </w:pPr>
      <w:r w:rsidRPr="00A428C3">
        <w:t xml:space="preserve">Full Text: </w:t>
      </w:r>
      <w:hyperlink r:id="rId424" w:history="1">
        <w:r w:rsidRPr="00241F82">
          <w:rPr>
            <w:rStyle w:val="a5"/>
          </w:rPr>
          <w:t>2007\Geoderma137, 388.pdf</w:t>
        </w:r>
      </w:hyperlink>
    </w:p>
    <w:p w:rsidR="00B95188" w:rsidRDefault="00B95188" w:rsidP="00B95188">
      <w:pPr>
        <w:pStyle w:val="a0"/>
      </w:pPr>
      <w:r>
        <w:t>Abstract: In recent years, natural substances such as zeolite have been used to absorb heavy metals in soil in an attempt to decrease their availability to plants. Compared to other techniques, the use of zeolite is fast, clean,</w:t>
      </w:r>
      <w:r w:rsidR="00F81221">
        <w:t xml:space="preserve"> and </w:t>
      </w:r>
      <w:r>
        <w:t>inexpensive. This research was carried out to investigate the effects of an Iranian natural zeolite (clinoptilolite) on stabilizing Cd-contaminated soil treated with 0.01 M CaCl</w:t>
      </w:r>
      <w:r w:rsidRPr="00241F82">
        <w:rPr>
          <w:vertAlign w:val="subscript"/>
        </w:rPr>
        <w:t>2</w:t>
      </w:r>
      <w:r>
        <w:t xml:space="preserve"> leaching solution. Zeolite from Firoozkouh (Tehran Province) was added to four soils from Gilan province, northern Iran. The stabilization of Cd in soils mixed with zeolite was measured in both column</w:t>
      </w:r>
      <w:r w:rsidR="00F81221">
        <w:t xml:space="preserve"> and </w:t>
      </w:r>
      <w:r>
        <w:t>batch experiments. The results from the batch experiment showed that application of zeolite to soil reduced Cd leaching in all the contaminated soils. When more zeolite was added to soil, lower Cd concentrations were detected in the leaching solution. When 15% zeolite was applied, Cd concentration in the leachate decreased to below 0.1 mg l</w:t>
      </w:r>
      <w:r>
        <w:rPr>
          <w:rFonts w:hint="eastAsia"/>
          <w:vertAlign w:val="superscript"/>
        </w:rPr>
        <w:t>-1</w:t>
      </w:r>
      <w:r>
        <w:t>. Cadmium depth analysis showed little migration of Cd in sand</w:t>
      </w:r>
      <w:r w:rsidR="00F81221">
        <w:t xml:space="preserve"> and </w:t>
      </w:r>
      <w:r>
        <w:t>clay textures with no zeolite addition</w:t>
      </w:r>
      <w:r w:rsidR="00F81221">
        <w:t xml:space="preserve"> and </w:t>
      </w:r>
      <w:r>
        <w:lastRenderedPageBreak/>
        <w:t>after adding 15</w:t>
      </w:r>
      <w:r w:rsidR="00F81221">
        <w:t xml:space="preserve"> and </w:t>
      </w:r>
      <w:r>
        <w:t>75 pore volumes of leaching solution, the remaining Cd levels were 12%</w:t>
      </w:r>
      <w:r w:rsidR="00F81221">
        <w:t xml:space="preserve"> and </w:t>
      </w:r>
      <w:r>
        <w:t>35% of the original Cd concentration, respectively. However, these values for 9% zeolite treatments were 97%</w:t>
      </w:r>
      <w:r w:rsidR="00F81221">
        <w:t xml:space="preserve"> and </w:t>
      </w:r>
      <w:r>
        <w:t>99%, respectively. The higher cation exchange capacity of the zeolite/soil mixture</w:t>
      </w:r>
      <w:r w:rsidR="00F81221">
        <w:t xml:space="preserve"> and </w:t>
      </w:r>
      <w:r>
        <w:t>the higher pH levels were responsible for stabilizing Cd in these soils. The effect of preventing heavy metals from leaching was found to be more pronounced when zeolite was applied to clay soils. (c) 2006 Elsevier B.V. All rights reserved.</w:t>
      </w:r>
    </w:p>
    <w:p w:rsidR="00B95188" w:rsidRPr="00A428C3" w:rsidRDefault="00B95188" w:rsidP="00B95188">
      <w:pPr>
        <w:pStyle w:val="a0"/>
      </w:pPr>
      <w:r>
        <w:t>Keywords: Clinoptilolite, Cd-Contaminated Soil, Cd Stabilization, Heavy Metals, Exchange Capacities, Synthetic Zeolites, Ion-Exchange, Clinoptilolite, Cd, Mordenite, Sorption, Metal, CO</w:t>
      </w:r>
    </w:p>
    <w:p w:rsidR="00ED6647" w:rsidRPr="00AB7848" w:rsidRDefault="00ED6647" w:rsidP="00ED6647">
      <w:pPr>
        <w:pStyle w:val="a0"/>
        <w:rPr>
          <w:kern w:val="0"/>
        </w:rPr>
      </w:pPr>
      <w:r>
        <w:rPr>
          <w:rFonts w:hint="eastAsia"/>
          <w:kern w:val="0"/>
        </w:rPr>
        <w:t xml:space="preserve">? </w:t>
      </w:r>
      <w:r w:rsidRPr="00AB7848">
        <w:rPr>
          <w:kern w:val="0"/>
        </w:rPr>
        <w:t>Minasny, B., Hartemink, A.E.</w:t>
      </w:r>
      <w:r w:rsidR="00F81221">
        <w:rPr>
          <w:kern w:val="0"/>
        </w:rPr>
        <w:t xml:space="preserve"> and </w:t>
      </w:r>
      <w:r w:rsidRPr="00AB7848">
        <w:rPr>
          <w:kern w:val="0"/>
        </w:rPr>
        <w:t>McBratney, A. (2010), Individual, country,</w:t>
      </w:r>
      <w:r w:rsidR="00F81221">
        <w:rPr>
          <w:kern w:val="0"/>
        </w:rPr>
        <w:t xml:space="preserve"> and </w:t>
      </w:r>
      <w:r w:rsidRPr="00AB7848">
        <w:rPr>
          <w:kern w:val="0"/>
        </w:rPr>
        <w:t xml:space="preserve">journal self-citation in soil science. </w:t>
      </w:r>
      <w:r w:rsidRPr="00AB7848">
        <w:rPr>
          <w:i/>
          <w:iCs/>
          <w:kern w:val="0"/>
        </w:rPr>
        <w:t>Geoderma</w:t>
      </w:r>
      <w:r w:rsidRPr="00AB7848">
        <w:rPr>
          <w:kern w:val="0"/>
        </w:rPr>
        <w:t xml:space="preserve">, </w:t>
      </w:r>
      <w:r w:rsidRPr="00AB7848">
        <w:rPr>
          <w:b/>
          <w:bCs/>
          <w:kern w:val="0"/>
        </w:rPr>
        <w:t>155</w:t>
      </w:r>
      <w:r w:rsidRPr="00AB7848">
        <w:rPr>
          <w:kern w:val="0"/>
        </w:rPr>
        <w:t xml:space="preserve"> (3-4), 434-438</w:t>
      </w:r>
      <w:r>
        <w:rPr>
          <w:rFonts w:hint="eastAsia"/>
          <w:kern w:val="0"/>
        </w:rPr>
        <w:t>.</w:t>
      </w:r>
    </w:p>
    <w:p w:rsidR="00ED6647" w:rsidRPr="001A3D2B" w:rsidRDefault="00ED6647" w:rsidP="00ED6647">
      <w:pPr>
        <w:pStyle w:val="a0"/>
      </w:pPr>
      <w:r w:rsidRPr="001A3D2B">
        <w:t xml:space="preserve">Full Text: </w:t>
      </w:r>
      <w:hyperlink r:id="rId425" w:history="1">
        <w:r w:rsidRPr="00ED6647">
          <w:rPr>
            <w:rStyle w:val="a5"/>
          </w:rPr>
          <w:t>2010\Geoderma155, 434.pdf</w:t>
        </w:r>
      </w:hyperlink>
    </w:p>
    <w:p w:rsidR="00EC391F" w:rsidRDefault="00EC391F" w:rsidP="00EC391F">
      <w:pPr>
        <w:pStyle w:val="a0"/>
        <w:rPr>
          <w:kern w:val="0"/>
        </w:rPr>
      </w:pPr>
      <w:r>
        <w:rPr>
          <w:kern w:val="0"/>
        </w:rPr>
        <w:t>Abstract: Self-citation is common practice in most sciences but it differs between disciplines, countries</w:t>
      </w:r>
      <w:r w:rsidR="00F81221">
        <w:rPr>
          <w:kern w:val="0"/>
        </w:rPr>
        <w:t xml:space="preserve"> and </w:t>
      </w:r>
      <w:r>
        <w:rPr>
          <w:kern w:val="0"/>
        </w:rPr>
        <w:t>journals. Here we report on self-citation in soil science. We investigated citations in the major soil science journals</w:t>
      </w:r>
      <w:r w:rsidR="00F81221">
        <w:rPr>
          <w:kern w:val="0"/>
        </w:rPr>
        <w:t xml:space="preserve"> and </w:t>
      </w:r>
      <w:r>
        <w:rPr>
          <w:kern w:val="0"/>
        </w:rPr>
        <w:t>conducted an analysis on a country basis</w:t>
      </w:r>
      <w:r w:rsidR="00F81221">
        <w:rPr>
          <w:kern w:val="0"/>
        </w:rPr>
        <w:t xml:space="preserve"> and </w:t>
      </w:r>
      <w:r>
        <w:rPr>
          <w:kern w:val="0"/>
        </w:rPr>
        <w:t>for the subdiscipline of Pedometrics. It was found that the median rate of individual self-citation was 12%,</w:t>
      </w:r>
      <w:r w:rsidR="00F81221">
        <w:rPr>
          <w:kern w:val="0"/>
        </w:rPr>
        <w:t xml:space="preserve"> and </w:t>
      </w:r>
      <w:r>
        <w:rPr>
          <w:kern w:val="0"/>
        </w:rPr>
        <w:t>ranged from 5 to 60% in 31 soil science journals. A high rate Of journal self-citation was accompanied by a high impact factor ranking, but ranking based on the Eigenfactor (TM) revealed a very different ranking compared to the impact factor score ranking. The distribution of country self-citation rate follows a power law,</w:t>
      </w:r>
      <w:r w:rsidR="00F81221">
        <w:rPr>
          <w:kern w:val="0"/>
        </w:rPr>
        <w:t xml:space="preserve"> and </w:t>
      </w:r>
      <w:r>
        <w:rPr>
          <w:kern w:val="0"/>
        </w:rPr>
        <w:t>a logarithmic function was fitted to the data. Taking into account the logarithmic function, China had high Fates of self-citations whereas Egypt, Algeria, Ukraine,</w:t>
      </w:r>
      <w:r w:rsidR="00F81221">
        <w:rPr>
          <w:kern w:val="0"/>
        </w:rPr>
        <w:t xml:space="preserve"> and </w:t>
      </w:r>
      <w:r>
        <w:rPr>
          <w:kern w:val="0"/>
        </w:rPr>
        <w:t>Indonesia have low levels of self-citations. With few exceptions, self-citation rates in soil science are reasonable</w:t>
      </w:r>
      <w:r w:rsidR="00F81221">
        <w:rPr>
          <w:kern w:val="0"/>
        </w:rPr>
        <w:t xml:space="preserve"> and </w:t>
      </w:r>
      <w:r>
        <w:rPr>
          <w:kern w:val="0"/>
        </w:rPr>
        <w:t>comparable to the other biophysical sciences. (C) 2009 Elsevier B.V. All rights reserved.</w:t>
      </w:r>
    </w:p>
    <w:p w:rsidR="00EC391F" w:rsidRDefault="00EC391F" w:rsidP="00EC391F">
      <w:pPr>
        <w:pStyle w:val="a0"/>
        <w:rPr>
          <w:kern w:val="0"/>
        </w:rPr>
      </w:pPr>
      <w:r>
        <w:rPr>
          <w:kern w:val="0"/>
        </w:rPr>
        <w:t>Keywords: Bibliometrics, China, Citations, Country Self-Citation, Impact Factor, Index, Journal Self-Citation, Journals, Pedometrics, Power Law, Science, Self-Citation, Self-Citations, Soil, Soil Science Journals</w:t>
      </w:r>
    </w:p>
    <w:p w:rsidR="005348EC" w:rsidRDefault="005348EC" w:rsidP="005348EC">
      <w:pPr>
        <w:pStyle w:val="a0"/>
        <w:rPr>
          <w:kern w:val="0"/>
        </w:rPr>
      </w:pPr>
      <w:r>
        <w:rPr>
          <w:rFonts w:hint="eastAsia"/>
          <w:kern w:val="0"/>
        </w:rPr>
        <w:t xml:space="preserve">? </w:t>
      </w:r>
      <w:r>
        <w:rPr>
          <w:kern w:val="0"/>
        </w:rPr>
        <w:t>Wu, P.X., Zhang, Q., Dai, Y.P., Zhu, N.W., Dang, Z., Li, P., Wu, J.H.</w:t>
      </w:r>
      <w:r w:rsidR="00F81221">
        <w:rPr>
          <w:kern w:val="0"/>
        </w:rPr>
        <w:t xml:space="preserve"> and </w:t>
      </w:r>
      <w:r>
        <w:rPr>
          <w:kern w:val="0"/>
        </w:rPr>
        <w:t>Wang, X.D. (2011), Adsorption of Cu(II), Cd(II)</w:t>
      </w:r>
      <w:r w:rsidR="00F81221">
        <w:rPr>
          <w:kern w:val="0"/>
        </w:rPr>
        <w:t xml:space="preserve"> and </w:t>
      </w:r>
      <w:r>
        <w:rPr>
          <w:kern w:val="0"/>
        </w:rPr>
        <w:t xml:space="preserve">Cr(III) ions from aqueous solutions on humic acid modified Ca-montmorillonite. </w:t>
      </w:r>
      <w:r>
        <w:rPr>
          <w:i/>
          <w:iCs/>
          <w:kern w:val="0"/>
        </w:rPr>
        <w:t>Geoderma</w:t>
      </w:r>
      <w:r>
        <w:rPr>
          <w:kern w:val="0"/>
        </w:rPr>
        <w:t xml:space="preserve">, </w:t>
      </w:r>
      <w:r>
        <w:rPr>
          <w:b/>
          <w:bCs/>
          <w:kern w:val="0"/>
        </w:rPr>
        <w:t>164</w:t>
      </w:r>
      <w:r>
        <w:rPr>
          <w:kern w:val="0"/>
        </w:rPr>
        <w:t xml:space="preserve"> (3-4), 215-219.</w:t>
      </w:r>
    </w:p>
    <w:p w:rsidR="005348EC" w:rsidRPr="007D79E8" w:rsidRDefault="005348EC" w:rsidP="005348EC">
      <w:pPr>
        <w:pStyle w:val="a0"/>
        <w:rPr>
          <w:kern w:val="0"/>
        </w:rPr>
      </w:pPr>
      <w:r w:rsidRPr="007D79E8">
        <w:rPr>
          <w:kern w:val="0"/>
        </w:rPr>
        <w:t>Full Text:</w:t>
      </w:r>
      <w:r>
        <w:rPr>
          <w:rFonts w:hint="eastAsia"/>
          <w:kern w:val="0"/>
        </w:rPr>
        <w:t xml:space="preserve"> </w:t>
      </w:r>
      <w:hyperlink r:id="rId426" w:history="1">
        <w:r w:rsidRPr="00EF44D0">
          <w:rPr>
            <w:rStyle w:val="a5"/>
            <w:kern w:val="0"/>
          </w:rPr>
          <w:t>2011\Geoderma164, 215.pdf</w:t>
        </w:r>
      </w:hyperlink>
    </w:p>
    <w:p w:rsidR="005348EC" w:rsidRDefault="005348EC" w:rsidP="005348EC">
      <w:pPr>
        <w:pStyle w:val="a0"/>
        <w:rPr>
          <w:kern w:val="0"/>
        </w:rPr>
      </w:pPr>
      <w:r>
        <w:rPr>
          <w:kern w:val="0"/>
        </w:rPr>
        <w:t>Abstract: Montmorillonite could be a kind of potential low cost sorbent for various kinds of heavy metals since it is abundant in nature</w:t>
      </w:r>
      <w:r w:rsidR="00F81221">
        <w:rPr>
          <w:kern w:val="0"/>
        </w:rPr>
        <w:t xml:space="preserve"> and </w:t>
      </w:r>
      <w:r>
        <w:rPr>
          <w:kern w:val="0"/>
        </w:rPr>
        <w:t>only needs little processing. Humic acid modified Ca-montmorillonite was prepared so as to adsorb copper (II) (Cu</w:t>
      </w:r>
      <w:r>
        <w:rPr>
          <w:rFonts w:hint="eastAsia"/>
          <w:kern w:val="0"/>
          <w:vertAlign w:val="superscript"/>
        </w:rPr>
        <w:t>2+</w:t>
      </w:r>
      <w:r>
        <w:rPr>
          <w:kern w:val="0"/>
        </w:rPr>
        <w:t>), cadmium (II) (Cd</w:t>
      </w:r>
      <w:r>
        <w:rPr>
          <w:rFonts w:hint="eastAsia"/>
          <w:kern w:val="0"/>
          <w:vertAlign w:val="superscript"/>
        </w:rPr>
        <w:t>2+</w:t>
      </w:r>
      <w:r>
        <w:rPr>
          <w:kern w:val="0"/>
        </w:rPr>
        <w:t>)</w:t>
      </w:r>
      <w:r w:rsidR="00F81221">
        <w:rPr>
          <w:kern w:val="0"/>
        </w:rPr>
        <w:t xml:space="preserve"> and </w:t>
      </w:r>
      <w:r>
        <w:rPr>
          <w:kern w:val="0"/>
        </w:rPr>
        <w:t>Chromium (III) (Cr</w:t>
      </w:r>
      <w:r>
        <w:rPr>
          <w:rFonts w:hint="eastAsia"/>
          <w:kern w:val="0"/>
          <w:vertAlign w:val="superscript"/>
        </w:rPr>
        <w:t>3+</w:t>
      </w:r>
      <w:r>
        <w:rPr>
          <w:kern w:val="0"/>
        </w:rPr>
        <w:t>) ions from aqueous solutions. The obtained materials were characterized by powder X-ray diffraction (XRD)</w:t>
      </w:r>
      <w:r w:rsidR="00F81221">
        <w:rPr>
          <w:kern w:val="0"/>
        </w:rPr>
        <w:t xml:space="preserve"> and </w:t>
      </w:r>
      <w:r>
        <w:rPr>
          <w:kern w:val="0"/>
        </w:rPr>
        <w:lastRenderedPageBreak/>
        <w:t>Fourier transform infrared (FTIR) spectroscopy. Then, batch experiments were carried out to investigate the possible adsorption mechanisms of the metal ions on humic acid modified Ca-montmorillonite. The results showed that the adsorption capacities of the modified clay for the metal ions were improved significantly as compared to that of the raw clay. The maximum adsorption capacities followed the order of Cr</w:t>
      </w:r>
      <w:r>
        <w:rPr>
          <w:rFonts w:hint="eastAsia"/>
          <w:kern w:val="0"/>
          <w:vertAlign w:val="superscript"/>
        </w:rPr>
        <w:t>2+</w:t>
      </w:r>
      <w:r>
        <w:rPr>
          <w:kern w:val="0"/>
        </w:rPr>
        <w:t xml:space="preserve"> &gt; Cu</w:t>
      </w:r>
      <w:r>
        <w:rPr>
          <w:rFonts w:hint="eastAsia"/>
          <w:kern w:val="0"/>
          <w:vertAlign w:val="superscript"/>
        </w:rPr>
        <w:t>2+</w:t>
      </w:r>
      <w:r>
        <w:rPr>
          <w:kern w:val="0"/>
        </w:rPr>
        <w:t xml:space="preserve"> &gt;Cd</w:t>
      </w:r>
      <w:r>
        <w:rPr>
          <w:rFonts w:hint="eastAsia"/>
          <w:kern w:val="0"/>
          <w:vertAlign w:val="superscript"/>
        </w:rPr>
        <w:t>2+</w:t>
      </w:r>
      <w:r>
        <w:rPr>
          <w:kern w:val="0"/>
        </w:rPr>
        <w:t xml:space="preserve"> for both materials. Furthermore, the adsorption equilibrium data of Cu</w:t>
      </w:r>
      <w:r>
        <w:rPr>
          <w:rFonts w:hint="eastAsia"/>
          <w:kern w:val="0"/>
          <w:vertAlign w:val="superscript"/>
        </w:rPr>
        <w:t>2+</w:t>
      </w:r>
      <w:r>
        <w:rPr>
          <w:kern w:val="0"/>
        </w:rPr>
        <w:t>, Cd</w:t>
      </w:r>
      <w:r>
        <w:rPr>
          <w:rFonts w:hint="eastAsia"/>
          <w:kern w:val="0"/>
          <w:vertAlign w:val="superscript"/>
        </w:rPr>
        <w:t>2+</w:t>
      </w:r>
      <w:r w:rsidR="00F81221">
        <w:rPr>
          <w:kern w:val="0"/>
        </w:rPr>
        <w:t xml:space="preserve"> and </w:t>
      </w:r>
      <w:r>
        <w:rPr>
          <w:kern w:val="0"/>
        </w:rPr>
        <w:t>Cr</w:t>
      </w:r>
      <w:r>
        <w:rPr>
          <w:rFonts w:hint="eastAsia"/>
          <w:kern w:val="0"/>
          <w:vertAlign w:val="superscript"/>
        </w:rPr>
        <w:t>3+</w:t>
      </w:r>
      <w:r>
        <w:rPr>
          <w:kern w:val="0"/>
        </w:rPr>
        <w:t xml:space="preserve"> by humic acid modified clay showed that the Langmuir model provided better correlation of the equilibrium data than the Freundlich model, as well as for the adsorption of Cu</w:t>
      </w:r>
      <w:r>
        <w:rPr>
          <w:rFonts w:hint="eastAsia"/>
          <w:kern w:val="0"/>
          <w:vertAlign w:val="superscript"/>
        </w:rPr>
        <w:t>2+</w:t>
      </w:r>
      <w:r w:rsidR="00F81221">
        <w:rPr>
          <w:kern w:val="0"/>
        </w:rPr>
        <w:t xml:space="preserve"> and </w:t>
      </w:r>
      <w:r>
        <w:rPr>
          <w:kern w:val="0"/>
        </w:rPr>
        <w:t>Cd</w:t>
      </w:r>
      <w:r>
        <w:rPr>
          <w:rFonts w:hint="eastAsia"/>
          <w:kern w:val="0"/>
          <w:vertAlign w:val="superscript"/>
        </w:rPr>
        <w:t>2+</w:t>
      </w:r>
      <w:r>
        <w:rPr>
          <w:kern w:val="0"/>
        </w:rPr>
        <w:t xml:space="preserve"> by the raw clay. However, Cr</w:t>
      </w:r>
      <w:r>
        <w:rPr>
          <w:rFonts w:hint="eastAsia"/>
          <w:kern w:val="0"/>
          <w:vertAlign w:val="superscript"/>
        </w:rPr>
        <w:t>3+</w:t>
      </w:r>
      <w:r>
        <w:rPr>
          <w:kern w:val="0"/>
        </w:rPr>
        <w:t xml:space="preserve"> adsorption isotherm of the raw clay was better represented by the Langmuir model, indicating that the adsorption mechanisms of the trivalent metal ion on humic acid modified Ca-montmorillonite was quite different from that of the raw Camontmorillonite. Finally, the adsorption kinetics was evaluated utilizing the Pseudo-first-order, Pseudosecond-order</w:t>
      </w:r>
      <w:r w:rsidR="00F81221">
        <w:rPr>
          <w:kern w:val="0"/>
        </w:rPr>
        <w:t xml:space="preserve"> and </w:t>
      </w:r>
      <w:r>
        <w:rPr>
          <w:kern w:val="0"/>
        </w:rPr>
        <w:t>Elovich equations, respectively. The results showed that the adsorption kinetic data fit well by the Pseudo-second-order equation for all studied systems, suggesting that the adsorption rate depended on the number of ions on the adsorbent surface. (C) 2011 Elsevier B.V. All rights reserved.</w:t>
      </w:r>
    </w:p>
    <w:p w:rsidR="005348EC" w:rsidRDefault="005348EC" w:rsidP="005348EC">
      <w:pPr>
        <w:pStyle w:val="a0"/>
        <w:rPr>
          <w:kern w:val="0"/>
        </w:rPr>
      </w:pPr>
      <w:r>
        <w:rPr>
          <w:kern w:val="0"/>
        </w:rPr>
        <w:t>Keywords: Activated Carbon, Adsorbent, Adsorption, Adsorption Isotherm, Adsorption Kinetics, Ca-Montmorillonite, Cadmium, Cd(II), Chromium, Clay, Copper, Cr(III), Cu(II), Equilibrium, Freundlich, FTIR, Heavy Metals, Heavy-Metals, Humic Acid, Isotherm, Kinetic, Kinetics, Langmuir, Metal Ions (Cu</w:t>
      </w:r>
      <w:r>
        <w:rPr>
          <w:rFonts w:hint="eastAsia"/>
          <w:kern w:val="0"/>
          <w:vertAlign w:val="superscript"/>
        </w:rPr>
        <w:t>2+</w:t>
      </w:r>
      <w:r>
        <w:rPr>
          <w:rFonts w:hint="eastAsia"/>
          <w:kern w:val="0"/>
        </w:rPr>
        <w:t xml:space="preserve"> </w:t>
      </w:r>
      <w:r>
        <w:rPr>
          <w:kern w:val="0"/>
        </w:rPr>
        <w:t>,Cd</w:t>
      </w:r>
      <w:r>
        <w:rPr>
          <w:rFonts w:hint="eastAsia"/>
          <w:kern w:val="0"/>
          <w:vertAlign w:val="superscript"/>
        </w:rPr>
        <w:t>2+</w:t>
      </w:r>
      <w:r w:rsidR="00F81221">
        <w:rPr>
          <w:kern w:val="0"/>
        </w:rPr>
        <w:t xml:space="preserve"> and </w:t>
      </w:r>
      <w:r>
        <w:rPr>
          <w:kern w:val="0"/>
        </w:rPr>
        <w:t>Cr</w:t>
      </w:r>
      <w:r>
        <w:rPr>
          <w:rFonts w:hint="eastAsia"/>
          <w:kern w:val="0"/>
          <w:vertAlign w:val="superscript"/>
        </w:rPr>
        <w:t>3+</w:t>
      </w:r>
      <w:r>
        <w:rPr>
          <w:kern w:val="0"/>
        </w:rPr>
        <w:t>), Modified Clay, Modified Clays, Montmorillonite, Na-Montmorillonite, Pseudo-Second-Order, Removal, Sorbent, Sorption, Waste-Water, X-Ray Diffraction</w:t>
      </w:r>
    </w:p>
    <w:p w:rsidR="00960295" w:rsidRPr="00A428C3" w:rsidRDefault="00960295" w:rsidP="00960295">
      <w:pPr>
        <w:pStyle w:val="1"/>
      </w:pPr>
      <w:r>
        <w:br w:type="page"/>
      </w:r>
      <w:bookmarkStart w:id="298" w:name="_Toc317160916"/>
      <w:r>
        <w:lastRenderedPageBreak/>
        <w:t xml:space="preserve">Title: </w:t>
      </w:r>
      <w:r w:rsidRPr="00960295">
        <w:rPr>
          <w:iCs/>
        </w:rPr>
        <w:t>Geofizika</w:t>
      </w:r>
      <w:bookmarkEnd w:id="298"/>
    </w:p>
    <w:p w:rsidR="00960295" w:rsidRPr="00A428C3" w:rsidRDefault="00960295" w:rsidP="00B72EF9">
      <w:pPr>
        <w:pStyle w:val="12"/>
      </w:pPr>
      <w:r>
        <w:t xml:space="preserve">Full Journal Title: </w:t>
      </w:r>
      <w:hyperlink r:id="rId427" w:history="1">
        <w:r w:rsidRPr="00960295">
          <w:rPr>
            <w:rStyle w:val="a5"/>
            <w:iCs/>
          </w:rPr>
          <w:t>Geofizika</w:t>
        </w:r>
      </w:hyperlink>
    </w:p>
    <w:p w:rsidR="00960295" w:rsidRPr="00A428C3" w:rsidRDefault="00960295" w:rsidP="00B72EF9">
      <w:pPr>
        <w:pStyle w:val="12"/>
      </w:pPr>
      <w:r>
        <w:t xml:space="preserve">ISO Abbreviated Title: </w:t>
      </w:r>
      <w:r w:rsidRPr="00960295">
        <w:rPr>
          <w:iCs/>
        </w:rPr>
        <w:t>Geofizika</w:t>
      </w:r>
    </w:p>
    <w:p w:rsidR="00960295" w:rsidRPr="00A428C3" w:rsidRDefault="00960295" w:rsidP="00B72EF9">
      <w:pPr>
        <w:pStyle w:val="12"/>
      </w:pPr>
      <w:r w:rsidRPr="00A428C3">
        <w:t>JCR Abbrevia</w:t>
      </w:r>
      <w:r>
        <w:t xml:space="preserve">ted Title: </w:t>
      </w:r>
      <w:r w:rsidRPr="00960295">
        <w:rPr>
          <w:iCs/>
        </w:rPr>
        <w:t>Geofizika</w:t>
      </w:r>
    </w:p>
    <w:p w:rsidR="00960295" w:rsidRPr="00A428C3" w:rsidRDefault="00960295" w:rsidP="00B72EF9">
      <w:pPr>
        <w:pStyle w:val="12"/>
      </w:pPr>
      <w:r>
        <w:t xml:space="preserve">ISSN: </w:t>
      </w:r>
    </w:p>
    <w:p w:rsidR="00960295" w:rsidRPr="00A428C3" w:rsidRDefault="00960295" w:rsidP="00B72EF9">
      <w:pPr>
        <w:pStyle w:val="12"/>
      </w:pPr>
      <w:r>
        <w:t xml:space="preserve">Issues/Year: </w:t>
      </w:r>
    </w:p>
    <w:p w:rsidR="00960295" w:rsidRPr="00A428C3" w:rsidRDefault="00960295" w:rsidP="00B72EF9">
      <w:pPr>
        <w:pStyle w:val="12"/>
      </w:pPr>
      <w:r>
        <w:t xml:space="preserve">Journal Country/Territory: </w:t>
      </w:r>
    </w:p>
    <w:p w:rsidR="00960295" w:rsidRPr="00A428C3" w:rsidRDefault="00960295" w:rsidP="00B72EF9">
      <w:pPr>
        <w:pStyle w:val="12"/>
      </w:pPr>
      <w:r w:rsidRPr="00A428C3">
        <w:t xml:space="preserve">Language: </w:t>
      </w:r>
    </w:p>
    <w:p w:rsidR="00960295" w:rsidRPr="00A428C3" w:rsidRDefault="00960295" w:rsidP="00B72EF9">
      <w:pPr>
        <w:pStyle w:val="12"/>
      </w:pPr>
      <w:r w:rsidRPr="00A428C3">
        <w:t xml:space="preserve">Publisher: </w:t>
      </w:r>
    </w:p>
    <w:p w:rsidR="00960295" w:rsidRPr="00A428C3" w:rsidRDefault="00960295" w:rsidP="00B72EF9">
      <w:pPr>
        <w:pStyle w:val="12"/>
      </w:pPr>
      <w:r w:rsidRPr="00A428C3">
        <w:t xml:space="preserve">Publisher Address: </w:t>
      </w:r>
    </w:p>
    <w:p w:rsidR="00960295" w:rsidRPr="00A428C3" w:rsidRDefault="00960295" w:rsidP="00B72EF9">
      <w:pPr>
        <w:pStyle w:val="12"/>
      </w:pPr>
      <w:r w:rsidRPr="00A428C3">
        <w:t xml:space="preserve">Subject Categories: </w:t>
      </w:r>
    </w:p>
    <w:p w:rsidR="00960295" w:rsidRPr="00A428C3" w:rsidRDefault="00960295" w:rsidP="00B72EF9">
      <w:pPr>
        <w:pStyle w:val="12"/>
      </w:pPr>
      <w:r w:rsidRPr="00A428C3">
        <w:t xml:space="preserve">: </w:t>
      </w:r>
      <w:r w:rsidRPr="004D2C6E">
        <w:t xml:space="preserve">Impact Factor </w:t>
      </w:r>
    </w:p>
    <w:p w:rsidR="00960295" w:rsidRDefault="00960295" w:rsidP="00960295">
      <w:pPr>
        <w:pStyle w:val="a0"/>
        <w:rPr>
          <w:kern w:val="0"/>
        </w:rPr>
      </w:pPr>
      <w:r>
        <w:rPr>
          <w:rFonts w:hint="eastAsia"/>
          <w:kern w:val="0"/>
        </w:rPr>
        <w:t xml:space="preserve">? </w:t>
      </w:r>
      <w:r>
        <w:rPr>
          <w:kern w:val="0"/>
        </w:rPr>
        <w:t>Vilibic, I. (2009), Bibliometric analysis of the Adriatic-related oceanography</w:t>
      </w:r>
      <w:r w:rsidR="00F81221">
        <w:rPr>
          <w:kern w:val="0"/>
        </w:rPr>
        <w:t xml:space="preserve"> and </w:t>
      </w:r>
      <w:r>
        <w:rPr>
          <w:kern w:val="0"/>
        </w:rPr>
        <w:t xml:space="preserve">meteorology publications. </w:t>
      </w:r>
      <w:r w:rsidRPr="00960295">
        <w:rPr>
          <w:i/>
          <w:iCs/>
          <w:kern w:val="0"/>
        </w:rPr>
        <w:t>Geofizika</w:t>
      </w:r>
      <w:r>
        <w:rPr>
          <w:kern w:val="0"/>
        </w:rPr>
        <w:t xml:space="preserve">, </w:t>
      </w:r>
      <w:r>
        <w:rPr>
          <w:b/>
          <w:bCs/>
          <w:kern w:val="0"/>
        </w:rPr>
        <w:t>26</w:t>
      </w:r>
      <w:r>
        <w:rPr>
          <w:kern w:val="0"/>
        </w:rPr>
        <w:t xml:space="preserve"> (2), 229-243.</w:t>
      </w:r>
    </w:p>
    <w:p w:rsidR="00960295" w:rsidRDefault="00960295" w:rsidP="00960295">
      <w:pPr>
        <w:pStyle w:val="a0"/>
        <w:rPr>
          <w:kern w:val="0"/>
        </w:rPr>
      </w:pPr>
      <w:r>
        <w:rPr>
          <w:rFonts w:hint="eastAsia"/>
          <w:kern w:val="0"/>
        </w:rPr>
        <w:t xml:space="preserve">Full Text: </w:t>
      </w:r>
      <w:hyperlink r:id="rId428" w:history="1">
        <w:r w:rsidRPr="00960295">
          <w:rPr>
            <w:rStyle w:val="a5"/>
            <w:kern w:val="0"/>
          </w:rPr>
          <w:t>2009\Geofizika26, 229.pdf</w:t>
        </w:r>
      </w:hyperlink>
    </w:p>
    <w:p w:rsidR="00960295" w:rsidRDefault="00960295" w:rsidP="00960295">
      <w:pPr>
        <w:pStyle w:val="a0"/>
        <w:rPr>
          <w:kern w:val="0"/>
        </w:rPr>
      </w:pPr>
      <w:r>
        <w:rPr>
          <w:kern w:val="0"/>
        </w:rPr>
        <w:t>Abstract: This paper aims to quantify the productivity of research concerning the Adriatic Sea, with a focus on oceanography</w:t>
      </w:r>
      <w:r w:rsidR="00F81221">
        <w:rPr>
          <w:kern w:val="0"/>
        </w:rPr>
        <w:t xml:space="preserve"> and </w:t>
      </w:r>
      <w:r>
        <w:rPr>
          <w:kern w:val="0"/>
        </w:rPr>
        <w:t>meteorology. Productivity</w:t>
      </w:r>
      <w:r w:rsidR="00F81221">
        <w:rPr>
          <w:kern w:val="0"/>
        </w:rPr>
        <w:t xml:space="preserve"> and </w:t>
      </w:r>
      <w:r>
        <w:rPr>
          <w:kern w:val="0"/>
        </w:rPr>
        <w:t>impact were measured by analysing articles</w:t>
      </w:r>
      <w:r w:rsidR="00F81221">
        <w:rPr>
          <w:kern w:val="0"/>
        </w:rPr>
        <w:t xml:space="preserve"> and </w:t>
      </w:r>
      <w:r>
        <w:rPr>
          <w:kern w:val="0"/>
        </w:rPr>
        <w:t>citations from the Thomson Reuters Web of Science database, spanning the period 1994-2008. The most productive country was Italy but the highest number of citations was achieved by articles from Germany (all Adriatic publications)</w:t>
      </w:r>
      <w:r w:rsidR="00F81221">
        <w:rPr>
          <w:kern w:val="0"/>
        </w:rPr>
        <w:t xml:space="preserve"> and </w:t>
      </w:r>
      <w:r>
        <w:rPr>
          <w:kern w:val="0"/>
        </w:rPr>
        <w:t>Spain (</w:t>
      </w:r>
      <w:r w:rsidR="000352E7">
        <w:rPr>
          <w:kern w:val="0"/>
        </w:rPr>
        <w:t>“</w:t>
      </w:r>
      <w:r>
        <w:rPr>
          <w:kern w:val="0"/>
        </w:rPr>
        <w:t>Oceanography</w:t>
      </w:r>
      <w:r w:rsidR="000352E7">
        <w:rPr>
          <w:kern w:val="0"/>
        </w:rPr>
        <w:t>”</w:t>
      </w:r>
      <w:r w:rsidR="00F81221">
        <w:rPr>
          <w:kern w:val="0"/>
        </w:rPr>
        <w:t xml:space="preserve"> and </w:t>
      </w:r>
      <w:r w:rsidR="000352E7">
        <w:rPr>
          <w:kern w:val="0"/>
        </w:rPr>
        <w:t>“</w:t>
      </w:r>
      <w:r>
        <w:rPr>
          <w:kern w:val="0"/>
        </w:rPr>
        <w:t>Meteorology</w:t>
      </w:r>
      <w:r w:rsidR="00F81221">
        <w:rPr>
          <w:kern w:val="0"/>
        </w:rPr>
        <w:t xml:space="preserve"> and </w:t>
      </w:r>
      <w:r>
        <w:rPr>
          <w:kern w:val="0"/>
        </w:rPr>
        <w:t>atmospheric sciences</w:t>
      </w:r>
      <w:r w:rsidR="000352E7">
        <w:rPr>
          <w:kern w:val="0"/>
        </w:rPr>
        <w:t>”</w:t>
      </w:r>
      <w:r>
        <w:rPr>
          <w:kern w:val="0"/>
        </w:rPr>
        <w:t>, only). By contrast, the second-most productive country, Croatia, had the lowest citation rate. Collaborations between Adriatic researchers were driven not only by the geographical position of a country (e. g., Italy vs. Croatia), but also by investment rates in Adriatic research (e. g., Italy vs. USA</w:t>
      </w:r>
      <w:r w:rsidR="00F81221">
        <w:rPr>
          <w:kern w:val="0"/>
        </w:rPr>
        <w:t xml:space="preserve"> and </w:t>
      </w:r>
      <w:r>
        <w:rPr>
          <w:kern w:val="0"/>
        </w:rPr>
        <w:t>Croatia vs. USA). Such collaborations substantially improved the impact of the research, especially from transitional countries such as Croatia.</w:t>
      </w:r>
    </w:p>
    <w:p w:rsidR="00960295" w:rsidRDefault="00960295" w:rsidP="00960295">
      <w:pPr>
        <w:pStyle w:val="a0"/>
        <w:rPr>
          <w:kern w:val="0"/>
        </w:rPr>
      </w:pPr>
      <w:r>
        <w:rPr>
          <w:kern w:val="0"/>
        </w:rPr>
        <w:t>Keywords: Adriatic, Articles, Bibliometric, Bibliometric Analysis, Bibliometrics, Citation, Citations, Countries, Croatia, Database, Impact, Index, Journals, Meteorology, Oceanography, Publications, Research, Researchers, Science, Scientific Co-Authorship, Spain, Thomson Reuters, USA, Web of Science</w:t>
      </w:r>
    </w:p>
    <w:p w:rsidR="00BF5D03" w:rsidRPr="00A428C3" w:rsidRDefault="00BF5D03" w:rsidP="00BF5D03">
      <w:pPr>
        <w:pStyle w:val="1"/>
      </w:pPr>
      <w:r>
        <w:br w:type="page"/>
      </w:r>
      <w:bookmarkStart w:id="299" w:name="_Toc317160917"/>
      <w:r>
        <w:lastRenderedPageBreak/>
        <w:t xml:space="preserve">Title: </w:t>
      </w:r>
      <w:r w:rsidRPr="00967299">
        <w:t xml:space="preserve">Geographical </w:t>
      </w:r>
      <w:r w:rsidRPr="004A577A">
        <w:t>Analysis</w:t>
      </w:r>
      <w:bookmarkEnd w:id="299"/>
    </w:p>
    <w:p w:rsidR="00BF5D03" w:rsidRPr="00A428C3" w:rsidRDefault="00BF5D03" w:rsidP="00BF5D03">
      <w:pPr>
        <w:pStyle w:val="12"/>
      </w:pPr>
      <w:r>
        <w:t xml:space="preserve">Full Journal Title: </w:t>
      </w:r>
      <w:r w:rsidRPr="00967299">
        <w:rPr>
          <w:iCs/>
        </w:rPr>
        <w:t xml:space="preserve">Geographical </w:t>
      </w:r>
      <w:r w:rsidRPr="004A577A">
        <w:t>Analysis</w:t>
      </w:r>
    </w:p>
    <w:p w:rsidR="00BF5D03" w:rsidRPr="00A428C3" w:rsidRDefault="00BF5D03" w:rsidP="00BF5D03">
      <w:pPr>
        <w:pStyle w:val="12"/>
      </w:pPr>
      <w:r>
        <w:t xml:space="preserve">ISO Abbreviated Title: </w:t>
      </w:r>
    </w:p>
    <w:p w:rsidR="00BF5D03" w:rsidRPr="00A428C3" w:rsidRDefault="00BF5D03" w:rsidP="00BF5D03">
      <w:pPr>
        <w:pStyle w:val="12"/>
      </w:pPr>
      <w:r w:rsidRPr="00A428C3">
        <w:t>JCR Abbrevia</w:t>
      </w:r>
      <w:r>
        <w:t xml:space="preserve">ted Title: </w:t>
      </w:r>
    </w:p>
    <w:p w:rsidR="00BF5D03" w:rsidRPr="00A428C3" w:rsidRDefault="00BF5D03" w:rsidP="00BF5D03">
      <w:pPr>
        <w:pStyle w:val="12"/>
      </w:pPr>
      <w:r>
        <w:t xml:space="preserve">ISSN: </w:t>
      </w:r>
    </w:p>
    <w:p w:rsidR="00BF5D03" w:rsidRPr="00A428C3" w:rsidRDefault="00BF5D03" w:rsidP="00BF5D03">
      <w:pPr>
        <w:pStyle w:val="12"/>
      </w:pPr>
      <w:r>
        <w:t xml:space="preserve">Issues/Year: </w:t>
      </w:r>
    </w:p>
    <w:p w:rsidR="00BF5D03" w:rsidRPr="00A428C3" w:rsidRDefault="00BF5D03" w:rsidP="00BF5D03">
      <w:pPr>
        <w:pStyle w:val="12"/>
      </w:pPr>
      <w:r>
        <w:t xml:space="preserve">Journal Country/Territory: </w:t>
      </w:r>
    </w:p>
    <w:p w:rsidR="00BF5D03" w:rsidRPr="00A428C3" w:rsidRDefault="00BF5D03" w:rsidP="00BF5D03">
      <w:pPr>
        <w:pStyle w:val="12"/>
      </w:pPr>
      <w:r w:rsidRPr="00A428C3">
        <w:t xml:space="preserve">Language: </w:t>
      </w:r>
    </w:p>
    <w:p w:rsidR="00BF5D03" w:rsidRPr="00A428C3" w:rsidRDefault="00BF5D03" w:rsidP="00BF5D03">
      <w:pPr>
        <w:pStyle w:val="12"/>
      </w:pPr>
      <w:r w:rsidRPr="00A428C3">
        <w:t xml:space="preserve">Publisher: </w:t>
      </w:r>
    </w:p>
    <w:p w:rsidR="00BF5D03" w:rsidRPr="00A428C3" w:rsidRDefault="00BF5D03" w:rsidP="00BF5D03">
      <w:pPr>
        <w:pStyle w:val="12"/>
      </w:pPr>
      <w:r w:rsidRPr="00A428C3">
        <w:t xml:space="preserve">Publisher Address: </w:t>
      </w:r>
    </w:p>
    <w:p w:rsidR="00BF5D03" w:rsidRPr="00A428C3" w:rsidRDefault="00BF5D03" w:rsidP="00BF5D03">
      <w:pPr>
        <w:pStyle w:val="12"/>
      </w:pPr>
      <w:r w:rsidRPr="00A428C3">
        <w:t xml:space="preserve">Subject Categories: </w:t>
      </w:r>
    </w:p>
    <w:p w:rsidR="00BF5D03" w:rsidRPr="00A428C3" w:rsidRDefault="00BF5D03" w:rsidP="00BF5D03">
      <w:pPr>
        <w:pStyle w:val="12"/>
      </w:pPr>
      <w:r w:rsidRPr="00A428C3">
        <w:t xml:space="preserve">: </w:t>
      </w:r>
      <w:r w:rsidRPr="004D2C6E">
        <w:t xml:space="preserve">Impact Factor </w:t>
      </w:r>
    </w:p>
    <w:p w:rsidR="00BF5D03" w:rsidRDefault="00BF5D03" w:rsidP="00BF5D03">
      <w:pPr>
        <w:pStyle w:val="a0"/>
        <w:rPr>
          <w:kern w:val="0"/>
        </w:rPr>
      </w:pPr>
      <w:r>
        <w:rPr>
          <w:rFonts w:hint="eastAsia"/>
          <w:kern w:val="0"/>
        </w:rPr>
        <w:t xml:space="preserve">? </w:t>
      </w:r>
      <w:r>
        <w:rPr>
          <w:kern w:val="0"/>
        </w:rPr>
        <w:t xml:space="preserve">Boykoff, M.T. and Boykoff, J.M. (2007), Climate change and journalistic norms: A case-study of US mass-media coverage. </w:t>
      </w:r>
      <w:r>
        <w:rPr>
          <w:i/>
          <w:iCs/>
          <w:kern w:val="0"/>
        </w:rPr>
        <w:t>Geoforum</w:t>
      </w:r>
      <w:r>
        <w:rPr>
          <w:kern w:val="0"/>
        </w:rPr>
        <w:t xml:space="preserve">, </w:t>
      </w:r>
      <w:r>
        <w:rPr>
          <w:b/>
          <w:bCs/>
          <w:kern w:val="0"/>
        </w:rPr>
        <w:t>38</w:t>
      </w:r>
      <w:r>
        <w:rPr>
          <w:kern w:val="0"/>
        </w:rPr>
        <w:t xml:space="preserve"> (6), 1190-1204.</w:t>
      </w:r>
    </w:p>
    <w:p w:rsidR="00BF5D03" w:rsidRDefault="00BF5D03" w:rsidP="00BF5D03">
      <w:pPr>
        <w:pStyle w:val="a0"/>
        <w:rPr>
          <w:kern w:val="0"/>
        </w:rPr>
      </w:pPr>
      <w:r>
        <w:rPr>
          <w:rFonts w:hint="eastAsia"/>
          <w:kern w:val="0"/>
        </w:rPr>
        <w:t xml:space="preserve">Full Text: </w:t>
      </w:r>
      <w:hyperlink r:id="rId429" w:history="1">
        <w:r w:rsidRPr="00BF5D03">
          <w:rPr>
            <w:rStyle w:val="a5"/>
            <w:kern w:val="0"/>
          </w:rPr>
          <w:t>2007\Geoforum38, 1190.pdf</w:t>
        </w:r>
      </w:hyperlink>
    </w:p>
    <w:p w:rsidR="00BF5D03" w:rsidRDefault="00BF5D03" w:rsidP="00BF5D03">
      <w:pPr>
        <w:pStyle w:val="a0"/>
        <w:rPr>
          <w:kern w:val="0"/>
        </w:rPr>
      </w:pPr>
      <w:r>
        <w:rPr>
          <w:kern w:val="0"/>
        </w:rPr>
        <w:t xml:space="preserve">Abstract: The Intergovernmental Panel on Climate Change - comprised of top climate scientists from around the globe - has reached consensus that human activities have contributed significantly to global climate change. However, over time, the United States has refused to join concerted international efforts - such as the Kyoto Protocol - to curb human activities contributing to climate change. US newspaper and television media constitute key influences among a set of complex dynamics shaping information dissemination in this politicized environment. Mass-media coverage of climate change is not simply a random amalgam of newspaper articles and television segments; rather, it is a social relationship between scientists, policy actors and the public that is mediated by such news packages. This paper demonstrates that consistent adherence to interacting journalistic norms has contributed to impediments in the coverage of anthropogenic climate change science. Through analysis of US newspaper and television coverage of human contributions to climate change from 1988 through 2004, this paper finds that adherence to first-order journalistic norms - personalization, dramatization, and novelty - significantly influence the employment of second-order norms - authority-order and balance - and that this has led to informationally deficient mass-media coverage of this crucial issue. By critically scrutinizing US print and television media as a </w:t>
      </w:r>
      <w:r w:rsidR="000352E7">
        <w:rPr>
          <w:kern w:val="0"/>
        </w:rPr>
        <w:t>‘</w:t>
      </w:r>
      <w:r>
        <w:rPr>
          <w:kern w:val="0"/>
        </w:rPr>
        <w:t>public arena,</w:t>
      </w:r>
      <w:r w:rsidR="000352E7">
        <w:rPr>
          <w:kern w:val="0"/>
        </w:rPr>
        <w:t>’</w:t>
      </w:r>
      <w:r>
        <w:rPr>
          <w:kern w:val="0"/>
        </w:rPr>
        <w:t xml:space="preserve"> we improve understanding of how journalistic activities have shaped interactions at the interface with climate science, policy and the public. (C) 2007 Elsevier Ltd. All rights reserved.</w:t>
      </w:r>
    </w:p>
    <w:p w:rsidR="00BF5D03" w:rsidRDefault="00BF5D03" w:rsidP="00BF5D03">
      <w:pPr>
        <w:pStyle w:val="a0"/>
        <w:rPr>
          <w:kern w:val="0"/>
        </w:rPr>
      </w:pPr>
      <w:r>
        <w:rPr>
          <w:kern w:val="0"/>
        </w:rPr>
        <w:t xml:space="preserve">Keywords: Activities, Adherence, Amalgam, Analysis, Balance, Bias, Change Risk, </w:t>
      </w:r>
      <w:r>
        <w:rPr>
          <w:kern w:val="0"/>
        </w:rPr>
        <w:lastRenderedPageBreak/>
        <w:t>Climate Change, Coverage, Dissemination, Ecology, Employment, Environment, First Order, Global Warming, Human, Impact, Information, Journalism, Mass-Media, News, Policy, Politics, Representations, Science, Second-Order, Social, Social-Problem, Television, United States, US</w:t>
      </w:r>
    </w:p>
    <w:p w:rsidR="000815B4" w:rsidRPr="00A428C3" w:rsidRDefault="000815B4" w:rsidP="000815B4">
      <w:pPr>
        <w:pStyle w:val="1"/>
      </w:pPr>
      <w:r>
        <w:br w:type="page"/>
      </w:r>
      <w:bookmarkStart w:id="300" w:name="_Toc317160918"/>
      <w:r>
        <w:lastRenderedPageBreak/>
        <w:t xml:space="preserve">Title: </w:t>
      </w:r>
      <w:r w:rsidRPr="00967299">
        <w:t xml:space="preserve">Geographical </w:t>
      </w:r>
      <w:r w:rsidRPr="004A577A">
        <w:t>Analysis</w:t>
      </w:r>
      <w:bookmarkEnd w:id="300"/>
    </w:p>
    <w:p w:rsidR="000815B4" w:rsidRPr="00A428C3" w:rsidRDefault="000815B4" w:rsidP="00B72EF9">
      <w:pPr>
        <w:pStyle w:val="12"/>
      </w:pPr>
      <w:r>
        <w:t xml:space="preserve">Full Journal Title: </w:t>
      </w:r>
      <w:r w:rsidRPr="00967299">
        <w:rPr>
          <w:iCs/>
        </w:rPr>
        <w:t xml:space="preserve">Geographical </w:t>
      </w:r>
      <w:r w:rsidRPr="004A577A">
        <w:t>Analysis</w:t>
      </w:r>
    </w:p>
    <w:p w:rsidR="000815B4" w:rsidRPr="00A428C3" w:rsidRDefault="000815B4" w:rsidP="00B72EF9">
      <w:pPr>
        <w:pStyle w:val="12"/>
      </w:pPr>
      <w:r>
        <w:t xml:space="preserve">ISO Abbreviated Title: </w:t>
      </w:r>
    </w:p>
    <w:p w:rsidR="000815B4" w:rsidRPr="00A428C3" w:rsidRDefault="000815B4" w:rsidP="00B72EF9">
      <w:pPr>
        <w:pStyle w:val="12"/>
      </w:pPr>
      <w:r w:rsidRPr="00A428C3">
        <w:t>JCR Abbrevia</w:t>
      </w:r>
      <w:r>
        <w:t xml:space="preserve">ted Title: </w:t>
      </w:r>
    </w:p>
    <w:p w:rsidR="000815B4" w:rsidRPr="00A428C3" w:rsidRDefault="000815B4" w:rsidP="00B72EF9">
      <w:pPr>
        <w:pStyle w:val="12"/>
      </w:pPr>
      <w:r>
        <w:t xml:space="preserve">ISSN: </w:t>
      </w:r>
    </w:p>
    <w:p w:rsidR="000815B4" w:rsidRPr="00A428C3" w:rsidRDefault="000815B4" w:rsidP="00B72EF9">
      <w:pPr>
        <w:pStyle w:val="12"/>
      </w:pPr>
      <w:r>
        <w:t xml:space="preserve">Issues/Year: </w:t>
      </w:r>
    </w:p>
    <w:p w:rsidR="000815B4" w:rsidRPr="00A428C3" w:rsidRDefault="000815B4" w:rsidP="00B72EF9">
      <w:pPr>
        <w:pStyle w:val="12"/>
      </w:pPr>
      <w:r>
        <w:t xml:space="preserve">Journal Country/Territory: </w:t>
      </w:r>
    </w:p>
    <w:p w:rsidR="000815B4" w:rsidRPr="00A428C3" w:rsidRDefault="000815B4" w:rsidP="00B72EF9">
      <w:pPr>
        <w:pStyle w:val="12"/>
      </w:pPr>
      <w:r w:rsidRPr="00A428C3">
        <w:t xml:space="preserve">Language: </w:t>
      </w:r>
    </w:p>
    <w:p w:rsidR="000815B4" w:rsidRPr="00A428C3" w:rsidRDefault="000815B4" w:rsidP="00B72EF9">
      <w:pPr>
        <w:pStyle w:val="12"/>
      </w:pPr>
      <w:r w:rsidRPr="00A428C3">
        <w:t xml:space="preserve">Publisher: </w:t>
      </w:r>
    </w:p>
    <w:p w:rsidR="000815B4" w:rsidRPr="00A428C3" w:rsidRDefault="000815B4" w:rsidP="00B72EF9">
      <w:pPr>
        <w:pStyle w:val="12"/>
      </w:pPr>
      <w:r w:rsidRPr="00A428C3">
        <w:t xml:space="preserve">Publisher Address: </w:t>
      </w:r>
    </w:p>
    <w:p w:rsidR="000815B4" w:rsidRPr="00A428C3" w:rsidRDefault="000815B4" w:rsidP="00B72EF9">
      <w:pPr>
        <w:pStyle w:val="12"/>
      </w:pPr>
      <w:r w:rsidRPr="00A428C3">
        <w:t xml:space="preserve">Subject Categories: </w:t>
      </w:r>
    </w:p>
    <w:p w:rsidR="000815B4" w:rsidRPr="00A428C3" w:rsidRDefault="000815B4" w:rsidP="00B72EF9">
      <w:pPr>
        <w:pStyle w:val="12"/>
      </w:pPr>
      <w:r w:rsidRPr="00A428C3">
        <w:t xml:space="preserve">: </w:t>
      </w:r>
      <w:r w:rsidRPr="004D2C6E">
        <w:t xml:space="preserve">Impact Factor </w:t>
      </w:r>
    </w:p>
    <w:p w:rsidR="000815B4" w:rsidRDefault="000815B4" w:rsidP="000815B4">
      <w:pPr>
        <w:pStyle w:val="a0"/>
        <w:rPr>
          <w:kern w:val="0"/>
        </w:rPr>
      </w:pPr>
      <w:r>
        <w:rPr>
          <w:rFonts w:hint="eastAsia"/>
          <w:kern w:val="0"/>
        </w:rPr>
        <w:t xml:space="preserve">? </w:t>
      </w:r>
      <w:r w:rsidRPr="004A577A">
        <w:rPr>
          <w:kern w:val="0"/>
        </w:rPr>
        <w:t>Haining</w:t>
      </w:r>
      <w:r>
        <w:rPr>
          <w:rFonts w:hint="eastAsia"/>
          <w:kern w:val="0"/>
        </w:rPr>
        <w:t>,</w:t>
      </w:r>
      <w:r w:rsidRPr="004A577A">
        <w:rPr>
          <w:kern w:val="0"/>
        </w:rPr>
        <w:t xml:space="preserve"> R</w:t>
      </w:r>
      <w:r>
        <w:rPr>
          <w:rFonts w:hint="eastAsia"/>
          <w:kern w:val="0"/>
        </w:rPr>
        <w:t>.</w:t>
      </w:r>
      <w:r w:rsidRPr="004A577A">
        <w:rPr>
          <w:kern w:val="0"/>
        </w:rPr>
        <w:t>P</w:t>
      </w:r>
      <w:r>
        <w:rPr>
          <w:rFonts w:hint="eastAsia"/>
          <w:kern w:val="0"/>
        </w:rPr>
        <w:t>.,</w:t>
      </w:r>
      <w:r w:rsidRPr="004A577A">
        <w:rPr>
          <w:kern w:val="0"/>
        </w:rPr>
        <w:t xml:space="preserve"> Kerry</w:t>
      </w:r>
      <w:r>
        <w:rPr>
          <w:rFonts w:hint="eastAsia"/>
          <w:kern w:val="0"/>
        </w:rPr>
        <w:t>,</w:t>
      </w:r>
      <w:r w:rsidRPr="004A577A">
        <w:rPr>
          <w:kern w:val="0"/>
        </w:rPr>
        <w:t xml:space="preserve"> R</w:t>
      </w:r>
      <w:r>
        <w:rPr>
          <w:rFonts w:hint="eastAsia"/>
          <w:kern w:val="0"/>
        </w:rPr>
        <w:t>.</w:t>
      </w:r>
      <w:r w:rsidR="00F81221">
        <w:rPr>
          <w:rFonts w:hint="eastAsia"/>
          <w:kern w:val="0"/>
        </w:rPr>
        <w:t xml:space="preserve"> and </w:t>
      </w:r>
      <w:r w:rsidRPr="004A577A">
        <w:rPr>
          <w:kern w:val="0"/>
        </w:rPr>
        <w:t>Oliver</w:t>
      </w:r>
      <w:r>
        <w:rPr>
          <w:rFonts w:hint="eastAsia"/>
          <w:kern w:val="0"/>
        </w:rPr>
        <w:t>,</w:t>
      </w:r>
      <w:r w:rsidRPr="004A577A">
        <w:rPr>
          <w:kern w:val="0"/>
        </w:rPr>
        <w:t xml:space="preserve"> M</w:t>
      </w:r>
      <w:r>
        <w:rPr>
          <w:rFonts w:hint="eastAsia"/>
          <w:kern w:val="0"/>
        </w:rPr>
        <w:t>.</w:t>
      </w:r>
      <w:r w:rsidRPr="004A577A">
        <w:rPr>
          <w:kern w:val="0"/>
        </w:rPr>
        <w:t>A</w:t>
      </w:r>
      <w:r>
        <w:rPr>
          <w:rFonts w:hint="eastAsia"/>
          <w:kern w:val="0"/>
        </w:rPr>
        <w:t>.</w:t>
      </w:r>
      <w:r>
        <w:rPr>
          <w:kern w:val="0"/>
        </w:rPr>
        <w:t xml:space="preserve"> (2010), </w:t>
      </w:r>
      <w:r w:rsidRPr="004A577A">
        <w:rPr>
          <w:kern w:val="0"/>
        </w:rPr>
        <w:t>Geography, spatial data analysis,</w:t>
      </w:r>
      <w:r w:rsidR="00F81221">
        <w:rPr>
          <w:kern w:val="0"/>
        </w:rPr>
        <w:t xml:space="preserve"> and </w:t>
      </w:r>
      <w:r w:rsidRPr="004A577A">
        <w:rPr>
          <w:kern w:val="0"/>
        </w:rPr>
        <w:t>geostatistics: An overview</w:t>
      </w:r>
      <w:r>
        <w:rPr>
          <w:kern w:val="0"/>
        </w:rPr>
        <w:t xml:space="preserve">. </w:t>
      </w:r>
      <w:r w:rsidRPr="00967299">
        <w:rPr>
          <w:i/>
          <w:iCs/>
          <w:kern w:val="0"/>
        </w:rPr>
        <w:t xml:space="preserve">Geographical </w:t>
      </w:r>
      <w:r w:rsidRPr="004A577A">
        <w:rPr>
          <w:i/>
          <w:kern w:val="0"/>
        </w:rPr>
        <w:t>Analysis</w:t>
      </w:r>
      <w:r>
        <w:rPr>
          <w:kern w:val="0"/>
        </w:rPr>
        <w:t xml:space="preserve">, </w:t>
      </w:r>
      <w:r>
        <w:rPr>
          <w:b/>
          <w:bCs/>
          <w:kern w:val="0"/>
        </w:rPr>
        <w:t>4</w:t>
      </w:r>
      <w:r>
        <w:rPr>
          <w:rFonts w:hint="eastAsia"/>
          <w:b/>
          <w:bCs/>
          <w:kern w:val="0"/>
        </w:rPr>
        <w:t>2</w:t>
      </w:r>
      <w:r>
        <w:rPr>
          <w:kern w:val="0"/>
        </w:rPr>
        <w:t xml:space="preserve"> (</w:t>
      </w:r>
      <w:r>
        <w:rPr>
          <w:rFonts w:hint="eastAsia"/>
          <w:kern w:val="0"/>
        </w:rPr>
        <w:t>1</w:t>
      </w:r>
      <w:r>
        <w:rPr>
          <w:kern w:val="0"/>
        </w:rPr>
        <w:t xml:space="preserve">), </w:t>
      </w:r>
      <w:r w:rsidRPr="004A577A">
        <w:rPr>
          <w:kern w:val="0"/>
        </w:rPr>
        <w:t>7-31</w:t>
      </w:r>
      <w:r>
        <w:rPr>
          <w:kern w:val="0"/>
        </w:rPr>
        <w:t>.</w:t>
      </w:r>
    </w:p>
    <w:p w:rsidR="000815B4" w:rsidRDefault="000815B4" w:rsidP="000815B4">
      <w:pPr>
        <w:pStyle w:val="a0"/>
        <w:rPr>
          <w:kern w:val="0"/>
        </w:rPr>
      </w:pPr>
      <w:r>
        <w:rPr>
          <w:rFonts w:hint="eastAsia"/>
          <w:kern w:val="0"/>
        </w:rPr>
        <w:t xml:space="preserve">Full Text: </w:t>
      </w:r>
      <w:hyperlink r:id="rId430" w:history="1">
        <w:r w:rsidRPr="004A577A">
          <w:rPr>
            <w:rStyle w:val="a5"/>
            <w:kern w:val="0"/>
          </w:rPr>
          <w:t>2010\Geo Ana42, 7.pdf</w:t>
        </w:r>
      </w:hyperlink>
    </w:p>
    <w:p w:rsidR="000815B4" w:rsidRPr="004A577A" w:rsidRDefault="000815B4" w:rsidP="000815B4">
      <w:pPr>
        <w:pStyle w:val="a0"/>
        <w:rPr>
          <w:kern w:val="0"/>
        </w:rPr>
      </w:pPr>
      <w:r w:rsidRPr="004A577A">
        <w:rPr>
          <w:kern w:val="0"/>
        </w:rPr>
        <w:t>Abstract: Geostatistics is a distinctive methodology within the field of spatial statistics. In the past, it has been linked to particular problems (e. g., spatial interpolation by kriging)</w:t>
      </w:r>
      <w:r w:rsidR="00F81221">
        <w:rPr>
          <w:kern w:val="0"/>
        </w:rPr>
        <w:t xml:space="preserve"> and </w:t>
      </w:r>
      <w:r w:rsidRPr="004A577A">
        <w:rPr>
          <w:kern w:val="0"/>
        </w:rPr>
        <w:t>types of spatial data (attributes defined on continuous space). It has been used more by physical than human geographers because of the nature of their types of data. The approach taken by geostatisticians has several features that distinguish it from the methods typically used by human geographers for analyzing spatial variation associated with regional data,</w:t>
      </w:r>
      <w:r w:rsidR="00F81221">
        <w:rPr>
          <w:kern w:val="0"/>
        </w:rPr>
        <w:t xml:space="preserve"> and </w:t>
      </w:r>
      <w:r w:rsidRPr="004A577A">
        <w:rPr>
          <w:kern w:val="0"/>
        </w:rPr>
        <w:t>we discuss these. Geostatisticians attach much importance to estimating</w:t>
      </w:r>
      <w:r w:rsidR="00F81221">
        <w:rPr>
          <w:kern w:val="0"/>
        </w:rPr>
        <w:t xml:space="preserve"> and </w:t>
      </w:r>
      <w:r w:rsidRPr="004A577A">
        <w:rPr>
          <w:kern w:val="0"/>
        </w:rPr>
        <w:t>modeling the variogram to explore</w:t>
      </w:r>
      <w:r w:rsidR="00F81221">
        <w:rPr>
          <w:kern w:val="0"/>
        </w:rPr>
        <w:t xml:space="preserve"> and </w:t>
      </w:r>
      <w:r w:rsidRPr="004A577A">
        <w:rPr>
          <w:kern w:val="0"/>
        </w:rPr>
        <w:t>analyze spatial variation because of the insight it provides. This article identifies the benefits of geostatistics, reviews its uses,</w:t>
      </w:r>
      <w:r w:rsidR="00F81221">
        <w:rPr>
          <w:kern w:val="0"/>
        </w:rPr>
        <w:t xml:space="preserve"> and </w:t>
      </w:r>
      <w:r w:rsidRPr="004A577A">
        <w:rPr>
          <w:kern w:val="0"/>
        </w:rPr>
        <w:t>examines some of the recent developments that make it valuable for the analysis of data on areal supports a</w:t>
      </w:r>
      <w:r>
        <w:rPr>
          <w:kern w:val="0"/>
        </w:rPr>
        <w:t>cross a wide range of problems.</w:t>
      </w:r>
    </w:p>
    <w:p w:rsidR="000815B4" w:rsidRDefault="000815B4" w:rsidP="000815B4">
      <w:pPr>
        <w:pStyle w:val="a0"/>
        <w:rPr>
          <w:kern w:val="0"/>
        </w:rPr>
      </w:pPr>
      <w:r w:rsidRPr="004A577A">
        <w:rPr>
          <w:kern w:val="0"/>
        </w:rPr>
        <w:t>Keywords: Time-Series Framework</w:t>
      </w:r>
      <w:r>
        <w:rPr>
          <w:kern w:val="0"/>
        </w:rPr>
        <w:t>,</w:t>
      </w:r>
      <w:r w:rsidRPr="004A577A">
        <w:rPr>
          <w:kern w:val="0"/>
        </w:rPr>
        <w:t xml:space="preserve"> Soil Properties</w:t>
      </w:r>
      <w:r>
        <w:rPr>
          <w:kern w:val="0"/>
        </w:rPr>
        <w:t>,</w:t>
      </w:r>
      <w:r w:rsidRPr="004A577A">
        <w:rPr>
          <w:kern w:val="0"/>
        </w:rPr>
        <w:t xml:space="preserve"> Atmospheric-Pollution</w:t>
      </w:r>
      <w:r>
        <w:rPr>
          <w:kern w:val="0"/>
        </w:rPr>
        <w:t>,</w:t>
      </w:r>
      <w:r w:rsidRPr="004A577A">
        <w:rPr>
          <w:kern w:val="0"/>
        </w:rPr>
        <w:t xml:space="preserve"> Maximum-Likelihood</w:t>
      </w:r>
      <w:r>
        <w:rPr>
          <w:kern w:val="0"/>
        </w:rPr>
        <w:t>,</w:t>
      </w:r>
      <w:r w:rsidRPr="004A577A">
        <w:rPr>
          <w:kern w:val="0"/>
        </w:rPr>
        <w:t xml:space="preserve"> Sampling Schemes</w:t>
      </w:r>
      <w:r>
        <w:rPr>
          <w:kern w:val="0"/>
        </w:rPr>
        <w:t>,</w:t>
      </w:r>
      <w:r w:rsidRPr="004A577A">
        <w:rPr>
          <w:kern w:val="0"/>
        </w:rPr>
        <w:t xml:space="preserve"> Prediction</w:t>
      </w:r>
      <w:r>
        <w:rPr>
          <w:kern w:val="0"/>
        </w:rPr>
        <w:t>,</w:t>
      </w:r>
      <w:r w:rsidRPr="004A577A">
        <w:rPr>
          <w:kern w:val="0"/>
        </w:rPr>
        <w:t xml:space="preserve"> Variogram</w:t>
      </w:r>
      <w:r>
        <w:rPr>
          <w:kern w:val="0"/>
        </w:rPr>
        <w:t>,</w:t>
      </w:r>
      <w:r w:rsidRPr="004A577A">
        <w:rPr>
          <w:kern w:val="0"/>
        </w:rPr>
        <w:t xml:space="preserve"> Uncertain</w:t>
      </w:r>
      <w:r>
        <w:rPr>
          <w:kern w:val="0"/>
        </w:rPr>
        <w:t>ty, Simulation, Classification</w:t>
      </w:r>
    </w:p>
    <w:p w:rsidR="00337572" w:rsidRPr="00A428C3" w:rsidRDefault="00337572" w:rsidP="00337572">
      <w:pPr>
        <w:pStyle w:val="1"/>
      </w:pPr>
      <w:r>
        <w:br w:type="page"/>
      </w:r>
      <w:bookmarkStart w:id="301" w:name="_Toc317160919"/>
      <w:r>
        <w:lastRenderedPageBreak/>
        <w:t xml:space="preserve">Title: </w:t>
      </w:r>
      <w:r w:rsidRPr="00337572">
        <w:t>Geographical Journal</w:t>
      </w:r>
      <w:bookmarkEnd w:id="301"/>
    </w:p>
    <w:p w:rsidR="00337572" w:rsidRPr="00A428C3" w:rsidRDefault="00337572" w:rsidP="00337572">
      <w:pPr>
        <w:pStyle w:val="12"/>
      </w:pPr>
      <w:r>
        <w:t xml:space="preserve">Full Journal Title: </w:t>
      </w:r>
      <w:r w:rsidRPr="00337572">
        <w:t>Geographical Journal</w:t>
      </w:r>
    </w:p>
    <w:p w:rsidR="00337572" w:rsidRPr="00A428C3" w:rsidRDefault="00337572" w:rsidP="00337572">
      <w:pPr>
        <w:pStyle w:val="12"/>
      </w:pPr>
      <w:r>
        <w:t xml:space="preserve">ISO Abbreviated Title: </w:t>
      </w:r>
    </w:p>
    <w:p w:rsidR="00337572" w:rsidRPr="00A428C3" w:rsidRDefault="00337572" w:rsidP="00337572">
      <w:pPr>
        <w:pStyle w:val="12"/>
      </w:pPr>
      <w:r w:rsidRPr="00A428C3">
        <w:t>JCR Abbrevia</w:t>
      </w:r>
      <w:r>
        <w:t xml:space="preserve">ted Title: </w:t>
      </w:r>
    </w:p>
    <w:p w:rsidR="00337572" w:rsidRPr="00A428C3" w:rsidRDefault="00337572" w:rsidP="00337572">
      <w:pPr>
        <w:pStyle w:val="12"/>
      </w:pPr>
      <w:r>
        <w:t xml:space="preserve">ISSN: </w:t>
      </w:r>
      <w:r w:rsidRPr="00337572">
        <w:t>0016-7398</w:t>
      </w:r>
    </w:p>
    <w:p w:rsidR="00337572" w:rsidRPr="00A428C3" w:rsidRDefault="00337572" w:rsidP="00337572">
      <w:pPr>
        <w:pStyle w:val="12"/>
      </w:pPr>
      <w:r>
        <w:t xml:space="preserve">Issues/Year: </w:t>
      </w:r>
    </w:p>
    <w:p w:rsidR="00337572" w:rsidRPr="00A428C3" w:rsidRDefault="00337572" w:rsidP="00337572">
      <w:pPr>
        <w:pStyle w:val="12"/>
      </w:pPr>
      <w:r>
        <w:t xml:space="preserve">Journal Country/Territory: </w:t>
      </w:r>
    </w:p>
    <w:p w:rsidR="00337572" w:rsidRPr="00A428C3" w:rsidRDefault="00337572" w:rsidP="00337572">
      <w:pPr>
        <w:pStyle w:val="12"/>
      </w:pPr>
      <w:r w:rsidRPr="00A428C3">
        <w:t xml:space="preserve">Language: </w:t>
      </w:r>
    </w:p>
    <w:p w:rsidR="00337572" w:rsidRPr="00A428C3" w:rsidRDefault="00337572" w:rsidP="00337572">
      <w:pPr>
        <w:pStyle w:val="12"/>
      </w:pPr>
      <w:r w:rsidRPr="00A428C3">
        <w:t xml:space="preserve">Publisher: </w:t>
      </w:r>
    </w:p>
    <w:p w:rsidR="00337572" w:rsidRPr="00A428C3" w:rsidRDefault="00337572" w:rsidP="00337572">
      <w:pPr>
        <w:pStyle w:val="12"/>
      </w:pPr>
      <w:r w:rsidRPr="00A428C3">
        <w:t xml:space="preserve">Publisher Address: </w:t>
      </w:r>
    </w:p>
    <w:p w:rsidR="00337572" w:rsidRPr="00A428C3" w:rsidRDefault="00337572" w:rsidP="00337572">
      <w:pPr>
        <w:pStyle w:val="12"/>
      </w:pPr>
      <w:r w:rsidRPr="00A428C3">
        <w:t xml:space="preserve">Subject Categories: </w:t>
      </w:r>
    </w:p>
    <w:p w:rsidR="00337572" w:rsidRPr="00A428C3" w:rsidRDefault="00337572" w:rsidP="00337572">
      <w:pPr>
        <w:pStyle w:val="12"/>
      </w:pPr>
      <w:r w:rsidRPr="00A428C3">
        <w:t xml:space="preserve">: </w:t>
      </w:r>
      <w:r w:rsidRPr="004D2C6E">
        <w:t xml:space="preserve">Impact Factor </w:t>
      </w:r>
    </w:p>
    <w:p w:rsidR="00A30FB3" w:rsidRDefault="00A30FB3" w:rsidP="00A30FB3">
      <w:pPr>
        <w:pStyle w:val="a0"/>
        <w:rPr>
          <w:kern w:val="0"/>
        </w:rPr>
      </w:pPr>
      <w:r>
        <w:rPr>
          <w:rFonts w:hint="eastAsia"/>
          <w:kern w:val="0"/>
        </w:rPr>
        <w:t xml:space="preserve">? </w:t>
      </w:r>
      <w:r w:rsidRPr="00A30FB3">
        <w:rPr>
          <w:kern w:val="0"/>
        </w:rPr>
        <w:t>Johnson</w:t>
      </w:r>
      <w:r>
        <w:rPr>
          <w:rFonts w:hint="eastAsia"/>
          <w:kern w:val="0"/>
        </w:rPr>
        <w:t>,</w:t>
      </w:r>
      <w:r w:rsidRPr="00A30FB3">
        <w:rPr>
          <w:kern w:val="0"/>
        </w:rPr>
        <w:t xml:space="preserve"> J</w:t>
      </w:r>
      <w:r>
        <w:rPr>
          <w:rFonts w:hint="eastAsia"/>
          <w:kern w:val="0"/>
        </w:rPr>
        <w:t>.</w:t>
      </w:r>
      <w:r w:rsidRPr="00A30FB3">
        <w:rPr>
          <w:kern w:val="0"/>
        </w:rPr>
        <w:t>H</w:t>
      </w:r>
      <w:r>
        <w:rPr>
          <w:rFonts w:hint="eastAsia"/>
          <w:kern w:val="0"/>
        </w:rPr>
        <w:t>.</w:t>
      </w:r>
      <w:r>
        <w:rPr>
          <w:kern w:val="0"/>
        </w:rPr>
        <w:t xml:space="preserve"> (</w:t>
      </w:r>
      <w:r>
        <w:rPr>
          <w:rFonts w:hint="eastAsia"/>
          <w:kern w:val="0"/>
        </w:rPr>
        <w:t>1959</w:t>
      </w:r>
      <w:r>
        <w:rPr>
          <w:kern w:val="0"/>
        </w:rPr>
        <w:t xml:space="preserve">), </w:t>
      </w:r>
      <w:r w:rsidRPr="00A30FB3">
        <w:rPr>
          <w:kern w:val="0"/>
        </w:rPr>
        <w:t>The commercial use of peat in Northern</w:t>
      </w:r>
      <w:r>
        <w:rPr>
          <w:rFonts w:hint="eastAsia"/>
          <w:kern w:val="0"/>
        </w:rPr>
        <w:t xml:space="preserve"> </w:t>
      </w:r>
      <w:r w:rsidRPr="00A30FB3">
        <w:rPr>
          <w:kern w:val="0"/>
        </w:rPr>
        <w:t>Ireland</w:t>
      </w:r>
      <w:r>
        <w:rPr>
          <w:kern w:val="0"/>
        </w:rPr>
        <w:t xml:space="preserve">. </w:t>
      </w:r>
      <w:r w:rsidRPr="00337572">
        <w:rPr>
          <w:i/>
          <w:kern w:val="0"/>
        </w:rPr>
        <w:t>Geographical Journal</w:t>
      </w:r>
      <w:r>
        <w:rPr>
          <w:kern w:val="0"/>
        </w:rPr>
        <w:t xml:space="preserve">, </w:t>
      </w:r>
      <w:r>
        <w:rPr>
          <w:rFonts w:hint="eastAsia"/>
          <w:b/>
          <w:bCs/>
          <w:kern w:val="0"/>
        </w:rPr>
        <w:t>125</w:t>
      </w:r>
      <w:r>
        <w:rPr>
          <w:kern w:val="0"/>
        </w:rPr>
        <w:t xml:space="preserve"> (</w:t>
      </w:r>
      <w:r>
        <w:rPr>
          <w:rFonts w:hint="eastAsia"/>
          <w:kern w:val="0"/>
        </w:rPr>
        <w:t>3-4</w:t>
      </w:r>
      <w:r>
        <w:rPr>
          <w:kern w:val="0"/>
        </w:rPr>
        <w:t xml:space="preserve">), </w:t>
      </w:r>
      <w:r>
        <w:rPr>
          <w:rFonts w:hint="eastAsia"/>
          <w:kern w:val="0"/>
        </w:rPr>
        <w:t>398-400</w:t>
      </w:r>
      <w:r>
        <w:rPr>
          <w:kern w:val="0"/>
        </w:rPr>
        <w:t>.</w:t>
      </w:r>
    </w:p>
    <w:p w:rsidR="00A30FB3" w:rsidRDefault="00A30FB3" w:rsidP="00A30FB3">
      <w:pPr>
        <w:pStyle w:val="a0"/>
        <w:rPr>
          <w:kern w:val="0"/>
        </w:rPr>
      </w:pPr>
      <w:r>
        <w:rPr>
          <w:rFonts w:hint="eastAsia"/>
          <w:kern w:val="0"/>
        </w:rPr>
        <w:t xml:space="preserve">Full Text: </w:t>
      </w:r>
      <w:hyperlink r:id="rId431" w:history="1">
        <w:r w:rsidRPr="00A30FB3">
          <w:rPr>
            <w:rStyle w:val="a5"/>
            <w:kern w:val="0"/>
          </w:rPr>
          <w:t>-1959\Geo Res125, 398.pdf</w:t>
        </w:r>
      </w:hyperlink>
    </w:p>
    <w:p w:rsidR="00A30FB3" w:rsidRDefault="00A30FB3" w:rsidP="00A30FB3">
      <w:pPr>
        <w:pStyle w:val="a0"/>
        <w:rPr>
          <w:kern w:val="0"/>
        </w:rPr>
      </w:pPr>
      <w:r>
        <w:rPr>
          <w:rFonts w:hint="eastAsia"/>
          <w:kern w:val="0"/>
        </w:rPr>
        <w:t xml:space="preserve">? </w:t>
      </w:r>
      <w:r w:rsidRPr="00337572">
        <w:rPr>
          <w:kern w:val="0"/>
        </w:rPr>
        <w:t>Hulme</w:t>
      </w:r>
      <w:r>
        <w:rPr>
          <w:rFonts w:hint="eastAsia"/>
          <w:kern w:val="0"/>
        </w:rPr>
        <w:t>,</w:t>
      </w:r>
      <w:r w:rsidRPr="00337572">
        <w:rPr>
          <w:kern w:val="0"/>
        </w:rPr>
        <w:t xml:space="preserve"> M</w:t>
      </w:r>
      <w:r>
        <w:rPr>
          <w:rFonts w:hint="eastAsia"/>
          <w:kern w:val="0"/>
        </w:rPr>
        <w:t>.</w:t>
      </w:r>
      <w:r>
        <w:rPr>
          <w:kern w:val="0"/>
        </w:rPr>
        <w:t xml:space="preserve"> (</w:t>
      </w:r>
      <w:r>
        <w:rPr>
          <w:rFonts w:hint="eastAsia"/>
          <w:kern w:val="0"/>
        </w:rPr>
        <w:t>2008</w:t>
      </w:r>
      <w:r>
        <w:rPr>
          <w:kern w:val="0"/>
        </w:rPr>
        <w:t xml:space="preserve">), </w:t>
      </w:r>
      <w:r w:rsidRPr="00337572">
        <w:rPr>
          <w:kern w:val="0"/>
        </w:rPr>
        <w:t>The conquering of climate: Discourses of fear</w:t>
      </w:r>
      <w:r w:rsidR="00F81221">
        <w:rPr>
          <w:kern w:val="0"/>
        </w:rPr>
        <w:t xml:space="preserve"> and </w:t>
      </w:r>
      <w:r w:rsidRPr="00337572">
        <w:rPr>
          <w:kern w:val="0"/>
        </w:rPr>
        <w:t>their dissolution</w:t>
      </w:r>
      <w:r>
        <w:rPr>
          <w:kern w:val="0"/>
        </w:rPr>
        <w:t xml:space="preserve">. </w:t>
      </w:r>
      <w:r w:rsidRPr="00337572">
        <w:rPr>
          <w:i/>
          <w:kern w:val="0"/>
        </w:rPr>
        <w:t>Geographical Journal</w:t>
      </w:r>
      <w:r>
        <w:rPr>
          <w:kern w:val="0"/>
        </w:rPr>
        <w:t xml:space="preserve">, </w:t>
      </w:r>
      <w:r>
        <w:rPr>
          <w:rFonts w:hint="eastAsia"/>
          <w:b/>
          <w:bCs/>
          <w:kern w:val="0"/>
        </w:rPr>
        <w:t>174</w:t>
      </w:r>
      <w:r>
        <w:rPr>
          <w:kern w:val="0"/>
        </w:rPr>
        <w:t xml:space="preserve"> (</w:t>
      </w:r>
      <w:r>
        <w:rPr>
          <w:rFonts w:hint="eastAsia"/>
          <w:kern w:val="0"/>
        </w:rPr>
        <w:t>1</w:t>
      </w:r>
      <w:r>
        <w:rPr>
          <w:kern w:val="0"/>
        </w:rPr>
        <w:t xml:space="preserve">), </w:t>
      </w:r>
      <w:r>
        <w:rPr>
          <w:rFonts w:hint="eastAsia"/>
          <w:kern w:val="0"/>
        </w:rPr>
        <w:t>5-16</w:t>
      </w:r>
      <w:r>
        <w:rPr>
          <w:kern w:val="0"/>
        </w:rPr>
        <w:t>.</w:t>
      </w:r>
    </w:p>
    <w:p w:rsidR="00A30FB3" w:rsidRDefault="00A30FB3" w:rsidP="00A30FB3">
      <w:pPr>
        <w:pStyle w:val="a0"/>
        <w:rPr>
          <w:kern w:val="0"/>
        </w:rPr>
      </w:pPr>
      <w:r>
        <w:rPr>
          <w:rFonts w:hint="eastAsia"/>
          <w:kern w:val="0"/>
        </w:rPr>
        <w:t xml:space="preserve">Full Text: </w:t>
      </w:r>
      <w:hyperlink r:id="rId432" w:history="1">
        <w:r w:rsidRPr="00370712">
          <w:rPr>
            <w:rStyle w:val="a5"/>
            <w:kern w:val="0"/>
          </w:rPr>
          <w:t>2008\Geo Res174, 5.pdf</w:t>
        </w:r>
      </w:hyperlink>
    </w:p>
    <w:p w:rsidR="00337572" w:rsidRPr="00337572" w:rsidRDefault="00337572" w:rsidP="00337572">
      <w:pPr>
        <w:pStyle w:val="a0"/>
        <w:rPr>
          <w:kern w:val="0"/>
        </w:rPr>
      </w:pPr>
      <w:r w:rsidRPr="00337572">
        <w:rPr>
          <w:kern w:val="0"/>
        </w:rPr>
        <w:t xml:space="preserve">Abstract: We are living in a climate of fear about our future climate. The language of the public discourse around global warming routinely uses a repertoire which includes words such as </w:t>
      </w:r>
      <w:r w:rsidR="000352E7">
        <w:rPr>
          <w:kern w:val="0"/>
        </w:rPr>
        <w:t>‘</w:t>
      </w:r>
      <w:r w:rsidRPr="00337572">
        <w:rPr>
          <w:kern w:val="0"/>
        </w:rPr>
        <w:t>catastrophe</w:t>
      </w:r>
      <w:r w:rsidR="000352E7">
        <w:rPr>
          <w:kern w:val="0"/>
        </w:rPr>
        <w:t>’</w:t>
      </w:r>
      <w:r w:rsidRPr="00337572">
        <w:rPr>
          <w:kern w:val="0"/>
        </w:rPr>
        <w:t xml:space="preserve">, </w:t>
      </w:r>
      <w:r w:rsidR="000352E7">
        <w:rPr>
          <w:kern w:val="0"/>
        </w:rPr>
        <w:t>‘</w:t>
      </w:r>
      <w:r w:rsidRPr="00337572">
        <w:rPr>
          <w:kern w:val="0"/>
        </w:rPr>
        <w:t>terror</w:t>
      </w:r>
      <w:r w:rsidR="000352E7">
        <w:rPr>
          <w:kern w:val="0"/>
        </w:rPr>
        <w:t>’</w:t>
      </w:r>
      <w:r w:rsidRPr="00337572">
        <w:rPr>
          <w:kern w:val="0"/>
        </w:rPr>
        <w:t xml:space="preserve">, </w:t>
      </w:r>
      <w:r w:rsidR="000352E7">
        <w:rPr>
          <w:kern w:val="0"/>
        </w:rPr>
        <w:t>‘</w:t>
      </w:r>
      <w:r w:rsidRPr="00337572">
        <w:rPr>
          <w:kern w:val="0"/>
        </w:rPr>
        <w:t>danger</w:t>
      </w:r>
      <w:r w:rsidR="000352E7">
        <w:rPr>
          <w:kern w:val="0"/>
        </w:rPr>
        <w:t>’</w:t>
      </w:r>
      <w:r w:rsidRPr="00337572">
        <w:rPr>
          <w:kern w:val="0"/>
        </w:rPr>
        <w:t xml:space="preserve">, </w:t>
      </w:r>
      <w:r w:rsidR="000352E7">
        <w:rPr>
          <w:kern w:val="0"/>
        </w:rPr>
        <w:t>‘</w:t>
      </w:r>
      <w:r w:rsidRPr="00337572">
        <w:rPr>
          <w:kern w:val="0"/>
        </w:rPr>
        <w:t>extinction</w:t>
      </w:r>
      <w:r w:rsidR="000352E7">
        <w:rPr>
          <w:kern w:val="0"/>
        </w:rPr>
        <w:t>’</w:t>
      </w:r>
      <w:r w:rsidR="00F81221">
        <w:rPr>
          <w:kern w:val="0"/>
        </w:rPr>
        <w:t xml:space="preserve"> and </w:t>
      </w:r>
      <w:r w:rsidR="000352E7">
        <w:rPr>
          <w:kern w:val="0"/>
        </w:rPr>
        <w:t>‘</w:t>
      </w:r>
      <w:r w:rsidRPr="00337572">
        <w:rPr>
          <w:kern w:val="0"/>
        </w:rPr>
        <w:t>collapse</w:t>
      </w:r>
      <w:r w:rsidR="000352E7">
        <w:rPr>
          <w:kern w:val="0"/>
        </w:rPr>
        <w:t>’</w:t>
      </w:r>
      <w:r w:rsidRPr="00337572">
        <w:rPr>
          <w:kern w:val="0"/>
        </w:rPr>
        <w:t>. To help make sense of this phenomenon the story of the complex relationships between climates</w:t>
      </w:r>
      <w:r w:rsidR="00F81221">
        <w:rPr>
          <w:kern w:val="0"/>
        </w:rPr>
        <w:t xml:space="preserve"> and </w:t>
      </w:r>
      <w:r w:rsidRPr="00337572">
        <w:rPr>
          <w:kern w:val="0"/>
        </w:rPr>
        <w:t>cultures in different times</w:t>
      </w:r>
      <w:r w:rsidR="00F81221">
        <w:rPr>
          <w:kern w:val="0"/>
        </w:rPr>
        <w:t xml:space="preserve"> and </w:t>
      </w:r>
      <w:r w:rsidRPr="00337572">
        <w:rPr>
          <w:kern w:val="0"/>
        </w:rPr>
        <w:t>in different places is in urgent need of telling. If we can understand from the past something of this complex interweaving of our ideas of climate with their physical</w:t>
      </w:r>
      <w:r w:rsidR="00F81221">
        <w:rPr>
          <w:kern w:val="0"/>
        </w:rPr>
        <w:t xml:space="preserve"> and </w:t>
      </w:r>
      <w:r w:rsidRPr="00337572">
        <w:rPr>
          <w:kern w:val="0"/>
        </w:rPr>
        <w:t>cultural settings we may be better placed to prepare for different configurations of this relationship in the future. This paper examines two earlier European discourses of fear associated with climate - one from the early-modern era (climate as judgement)</w:t>
      </w:r>
      <w:r w:rsidR="00F81221">
        <w:rPr>
          <w:kern w:val="0"/>
        </w:rPr>
        <w:t xml:space="preserve"> and </w:t>
      </w:r>
      <w:r w:rsidRPr="00337572">
        <w:rPr>
          <w:kern w:val="0"/>
        </w:rPr>
        <w:t>one from the modern era (climate as pathology) -</w:t>
      </w:r>
      <w:r w:rsidR="00F81221">
        <w:rPr>
          <w:kern w:val="0"/>
        </w:rPr>
        <w:t xml:space="preserve"> and </w:t>
      </w:r>
      <w:r w:rsidRPr="00337572">
        <w:rPr>
          <w:kern w:val="0"/>
        </w:rPr>
        <w:t>traces the ways in which these discourses formed</w:t>
      </w:r>
      <w:r w:rsidR="00F81221">
        <w:rPr>
          <w:kern w:val="0"/>
        </w:rPr>
        <w:t xml:space="preserve"> and </w:t>
      </w:r>
      <w:r w:rsidRPr="00337572">
        <w:rPr>
          <w:kern w:val="0"/>
        </w:rPr>
        <w:t>dissolved within a specific cultural matrix. The contemporary discourse of fear about future climate change (climate as catastrophe) is summarised</w:t>
      </w:r>
      <w:r w:rsidR="00F81221">
        <w:rPr>
          <w:kern w:val="0"/>
        </w:rPr>
        <w:t xml:space="preserve"> and </w:t>
      </w:r>
      <w:r w:rsidRPr="00337572">
        <w:rPr>
          <w:kern w:val="0"/>
        </w:rPr>
        <w:t>some ways in which this discourse, too, might be dissolved are examined. Conventional attempts at conquering the climatic future all rely, implicitly or explicitly, upon ideas of control</w:t>
      </w:r>
      <w:r w:rsidR="00F81221">
        <w:rPr>
          <w:kern w:val="0"/>
        </w:rPr>
        <w:t xml:space="preserve"> and </w:t>
      </w:r>
      <w:r w:rsidRPr="00337572">
        <w:rPr>
          <w:kern w:val="0"/>
        </w:rPr>
        <w:t>mastery, whether of the planet, of global governance or of individual</w:t>
      </w:r>
      <w:r w:rsidR="00F81221">
        <w:rPr>
          <w:kern w:val="0"/>
        </w:rPr>
        <w:t xml:space="preserve"> and </w:t>
      </w:r>
      <w:r w:rsidRPr="00337572">
        <w:rPr>
          <w:kern w:val="0"/>
        </w:rPr>
        <w:t xml:space="preserve">collective behaviour. These attempts at </w:t>
      </w:r>
      <w:r w:rsidR="000352E7">
        <w:rPr>
          <w:kern w:val="0"/>
        </w:rPr>
        <w:t>‘</w:t>
      </w:r>
      <w:r w:rsidRPr="00337572">
        <w:rPr>
          <w:kern w:val="0"/>
        </w:rPr>
        <w:t>engineering</w:t>
      </w:r>
      <w:r w:rsidR="000352E7">
        <w:rPr>
          <w:kern w:val="0"/>
        </w:rPr>
        <w:t>’</w:t>
      </w:r>
      <w:r w:rsidRPr="00337572">
        <w:rPr>
          <w:kern w:val="0"/>
        </w:rPr>
        <w:t xml:space="preserve"> future climate seem a degree utopian</w:t>
      </w:r>
      <w:r w:rsidR="00F81221">
        <w:rPr>
          <w:kern w:val="0"/>
        </w:rPr>
        <w:t xml:space="preserve"> and </w:t>
      </w:r>
      <w:r w:rsidRPr="00337572">
        <w:rPr>
          <w:kern w:val="0"/>
        </w:rPr>
        <w:t xml:space="preserve">brash. Understanding the cultural dimensions of climate discourses offers a different way of thinking about how we navigate the climatic </w:t>
      </w:r>
      <w:r w:rsidRPr="00337572">
        <w:rPr>
          <w:kern w:val="0"/>
        </w:rPr>
        <w:lastRenderedPageBreak/>
        <w:t>future. However our contemporary climatic fears have emerged - as linked, for example, to neoliberal globalism, to ecological modernisation</w:t>
      </w:r>
      <w:r w:rsidR="00F81221">
        <w:rPr>
          <w:kern w:val="0"/>
        </w:rPr>
        <w:t xml:space="preserve"> and </w:t>
      </w:r>
      <w:r w:rsidRPr="00337572">
        <w:rPr>
          <w:kern w:val="0"/>
        </w:rPr>
        <w:t>the emergence of a risk society, or to a deeper instinctive human anxiety about the future - they will in the end be dissipated, re-configured or transformed as</w:t>
      </w:r>
      <w:r>
        <w:rPr>
          <w:kern w:val="0"/>
        </w:rPr>
        <w:t xml:space="preserve"> a function of cultural change.</w:t>
      </w:r>
    </w:p>
    <w:p w:rsidR="00337572" w:rsidRDefault="00337572" w:rsidP="00337572">
      <w:pPr>
        <w:pStyle w:val="a0"/>
        <w:rPr>
          <w:kern w:val="0"/>
        </w:rPr>
      </w:pPr>
      <w:r w:rsidRPr="00337572">
        <w:rPr>
          <w:kern w:val="0"/>
        </w:rPr>
        <w:t>Keywords: Climate</w:t>
      </w:r>
      <w:r>
        <w:rPr>
          <w:kern w:val="0"/>
        </w:rPr>
        <w:t>,</w:t>
      </w:r>
      <w:r w:rsidRPr="00337572">
        <w:rPr>
          <w:kern w:val="0"/>
        </w:rPr>
        <w:t xml:space="preserve"> Culture</w:t>
      </w:r>
      <w:r>
        <w:rPr>
          <w:kern w:val="0"/>
        </w:rPr>
        <w:t>,</w:t>
      </w:r>
      <w:r w:rsidRPr="00337572">
        <w:rPr>
          <w:kern w:val="0"/>
        </w:rPr>
        <w:t xml:space="preserve"> Discourse</w:t>
      </w:r>
      <w:r>
        <w:rPr>
          <w:kern w:val="0"/>
        </w:rPr>
        <w:t>,</w:t>
      </w:r>
      <w:r w:rsidRPr="00337572">
        <w:rPr>
          <w:kern w:val="0"/>
        </w:rPr>
        <w:t xml:space="preserve"> Global Warming</w:t>
      </w:r>
      <w:r>
        <w:rPr>
          <w:kern w:val="0"/>
        </w:rPr>
        <w:t>,</w:t>
      </w:r>
      <w:r w:rsidRPr="00337572">
        <w:rPr>
          <w:kern w:val="0"/>
        </w:rPr>
        <w:t xml:space="preserve"> Fears</w:t>
      </w:r>
      <w:r>
        <w:rPr>
          <w:kern w:val="0"/>
        </w:rPr>
        <w:t>,</w:t>
      </w:r>
      <w:r w:rsidRPr="00337572">
        <w:rPr>
          <w:kern w:val="0"/>
        </w:rPr>
        <w:t xml:space="preserve"> Science</w:t>
      </w:r>
      <w:r>
        <w:rPr>
          <w:kern w:val="0"/>
        </w:rPr>
        <w:t>,</w:t>
      </w:r>
      <w:r w:rsidRPr="00337572">
        <w:rPr>
          <w:kern w:val="0"/>
        </w:rPr>
        <w:t xml:space="preserve"> Destruction</w:t>
      </w:r>
      <w:r>
        <w:rPr>
          <w:kern w:val="0"/>
        </w:rPr>
        <w:t>,</w:t>
      </w:r>
      <w:r w:rsidRPr="00337572">
        <w:rPr>
          <w:kern w:val="0"/>
        </w:rPr>
        <w:t xml:space="preserve"> Eruption</w:t>
      </w:r>
      <w:r>
        <w:rPr>
          <w:kern w:val="0"/>
        </w:rPr>
        <w:t>,</w:t>
      </w:r>
      <w:r w:rsidRPr="00337572">
        <w:rPr>
          <w:kern w:val="0"/>
        </w:rPr>
        <w:t xml:space="preserve"> Weather</w:t>
      </w:r>
      <w:r>
        <w:rPr>
          <w:kern w:val="0"/>
        </w:rPr>
        <w:t>,</w:t>
      </w:r>
      <w:r w:rsidRPr="00337572">
        <w:rPr>
          <w:kern w:val="0"/>
        </w:rPr>
        <w:t xml:space="preserve"> Debate</w:t>
      </w:r>
      <w:r>
        <w:rPr>
          <w:kern w:val="0"/>
        </w:rPr>
        <w:t>,</w:t>
      </w:r>
      <w:r w:rsidRPr="00337572">
        <w:rPr>
          <w:kern w:val="0"/>
        </w:rPr>
        <w:t xml:space="preserve"> World</w:t>
      </w:r>
      <w:r>
        <w:rPr>
          <w:kern w:val="0"/>
        </w:rPr>
        <w:t>,</w:t>
      </w:r>
      <w:r w:rsidRPr="00337572">
        <w:rPr>
          <w:kern w:val="0"/>
        </w:rPr>
        <w:t xml:space="preserve"> Risk</w:t>
      </w:r>
      <w:r>
        <w:rPr>
          <w:kern w:val="0"/>
        </w:rPr>
        <w:t>,</w:t>
      </w:r>
      <w:r w:rsidRPr="00337572">
        <w:rPr>
          <w:kern w:val="0"/>
        </w:rPr>
        <w:t xml:space="preserve"> War</w:t>
      </w:r>
      <w:r>
        <w:rPr>
          <w:kern w:val="0"/>
        </w:rPr>
        <w:t>,</w:t>
      </w:r>
      <w:r w:rsidRPr="00337572">
        <w:rPr>
          <w:kern w:val="0"/>
        </w:rPr>
        <w:t xml:space="preserve"> US</w:t>
      </w:r>
    </w:p>
    <w:p w:rsidR="00967299" w:rsidRPr="00A428C3" w:rsidRDefault="00967299" w:rsidP="00967299">
      <w:pPr>
        <w:pStyle w:val="1"/>
      </w:pPr>
      <w:r>
        <w:br w:type="page"/>
      </w:r>
      <w:bookmarkStart w:id="302" w:name="_Toc317160920"/>
      <w:r>
        <w:lastRenderedPageBreak/>
        <w:t xml:space="preserve">Title: </w:t>
      </w:r>
      <w:r w:rsidRPr="00967299">
        <w:rPr>
          <w:iCs/>
        </w:rPr>
        <w:t>Geographical Research</w:t>
      </w:r>
      <w:bookmarkEnd w:id="302"/>
    </w:p>
    <w:p w:rsidR="00967299" w:rsidRPr="00A428C3" w:rsidRDefault="00967299" w:rsidP="00B72EF9">
      <w:pPr>
        <w:pStyle w:val="12"/>
      </w:pPr>
      <w:r>
        <w:t xml:space="preserve">Full Journal Title: </w:t>
      </w:r>
      <w:r w:rsidRPr="00967299">
        <w:t>Geographical Research</w:t>
      </w:r>
    </w:p>
    <w:p w:rsidR="00967299" w:rsidRPr="00A428C3" w:rsidRDefault="00967299" w:rsidP="00B72EF9">
      <w:pPr>
        <w:pStyle w:val="12"/>
      </w:pPr>
      <w:r>
        <w:t xml:space="preserve">ISO Abbreviated Title: </w:t>
      </w:r>
    </w:p>
    <w:p w:rsidR="00967299" w:rsidRPr="00A428C3" w:rsidRDefault="00967299" w:rsidP="00B72EF9">
      <w:pPr>
        <w:pStyle w:val="12"/>
      </w:pPr>
      <w:r w:rsidRPr="00A428C3">
        <w:t>JCR Abbrevia</w:t>
      </w:r>
      <w:r>
        <w:t xml:space="preserve">ted Title: </w:t>
      </w:r>
    </w:p>
    <w:p w:rsidR="00967299" w:rsidRPr="00A428C3" w:rsidRDefault="00967299" w:rsidP="00B72EF9">
      <w:pPr>
        <w:pStyle w:val="12"/>
      </w:pPr>
      <w:r>
        <w:t xml:space="preserve">ISSN: </w:t>
      </w:r>
      <w:r w:rsidRPr="00967299">
        <w:t>1745-5863</w:t>
      </w:r>
    </w:p>
    <w:p w:rsidR="00967299" w:rsidRPr="00A428C3" w:rsidRDefault="00967299" w:rsidP="00B72EF9">
      <w:pPr>
        <w:pStyle w:val="12"/>
      </w:pPr>
      <w:r>
        <w:t xml:space="preserve">Issues/Year: </w:t>
      </w:r>
    </w:p>
    <w:p w:rsidR="00967299" w:rsidRPr="00A428C3" w:rsidRDefault="00967299" w:rsidP="00B72EF9">
      <w:pPr>
        <w:pStyle w:val="12"/>
      </w:pPr>
      <w:r>
        <w:t xml:space="preserve">Journal Country/Territory: </w:t>
      </w:r>
    </w:p>
    <w:p w:rsidR="00967299" w:rsidRPr="00A428C3" w:rsidRDefault="00967299" w:rsidP="00B72EF9">
      <w:pPr>
        <w:pStyle w:val="12"/>
      </w:pPr>
      <w:r w:rsidRPr="00A428C3">
        <w:t xml:space="preserve">Language: </w:t>
      </w:r>
    </w:p>
    <w:p w:rsidR="00967299" w:rsidRPr="00A428C3" w:rsidRDefault="00967299" w:rsidP="00B72EF9">
      <w:pPr>
        <w:pStyle w:val="12"/>
      </w:pPr>
      <w:r w:rsidRPr="00A428C3">
        <w:t xml:space="preserve">Publisher: </w:t>
      </w:r>
    </w:p>
    <w:p w:rsidR="00967299" w:rsidRPr="00A428C3" w:rsidRDefault="00967299" w:rsidP="00B72EF9">
      <w:pPr>
        <w:pStyle w:val="12"/>
      </w:pPr>
      <w:r w:rsidRPr="00A428C3">
        <w:t xml:space="preserve">Publisher Address: </w:t>
      </w:r>
    </w:p>
    <w:p w:rsidR="00967299" w:rsidRPr="00A428C3" w:rsidRDefault="00967299" w:rsidP="00B72EF9">
      <w:pPr>
        <w:pStyle w:val="12"/>
      </w:pPr>
      <w:r w:rsidRPr="00A428C3">
        <w:t xml:space="preserve">Subject Categories: </w:t>
      </w:r>
    </w:p>
    <w:p w:rsidR="00967299" w:rsidRPr="00A428C3" w:rsidRDefault="00967299" w:rsidP="00B72EF9">
      <w:pPr>
        <w:pStyle w:val="12"/>
      </w:pPr>
      <w:r w:rsidRPr="00A428C3">
        <w:t xml:space="preserve">: </w:t>
      </w:r>
      <w:r w:rsidRPr="004D2C6E">
        <w:t xml:space="preserve">Impact Factor </w:t>
      </w:r>
    </w:p>
    <w:p w:rsidR="00967299" w:rsidRDefault="00967299" w:rsidP="00967299">
      <w:pPr>
        <w:pStyle w:val="a0"/>
        <w:rPr>
          <w:kern w:val="0"/>
        </w:rPr>
      </w:pPr>
      <w:r>
        <w:rPr>
          <w:rFonts w:hint="eastAsia"/>
          <w:kern w:val="0"/>
        </w:rPr>
        <w:t xml:space="preserve">? </w:t>
      </w:r>
      <w:r>
        <w:rPr>
          <w:kern w:val="0"/>
        </w:rPr>
        <w:t>Laffan, S.W. (2010), The citation relationships between journals of geography</w:t>
      </w:r>
      <w:r w:rsidR="00F81221">
        <w:rPr>
          <w:kern w:val="0"/>
        </w:rPr>
        <w:t xml:space="preserve"> and </w:t>
      </w:r>
      <w:r>
        <w:rPr>
          <w:kern w:val="0"/>
        </w:rPr>
        <w:t xml:space="preserve">cognate disciplines. </w:t>
      </w:r>
      <w:r w:rsidRPr="00967299">
        <w:rPr>
          <w:i/>
          <w:iCs/>
          <w:kern w:val="0"/>
        </w:rPr>
        <w:t>Geographical Research</w:t>
      </w:r>
      <w:r>
        <w:rPr>
          <w:kern w:val="0"/>
        </w:rPr>
        <w:t xml:space="preserve">, </w:t>
      </w:r>
      <w:r>
        <w:rPr>
          <w:b/>
          <w:bCs/>
          <w:kern w:val="0"/>
        </w:rPr>
        <w:t>48</w:t>
      </w:r>
      <w:r>
        <w:rPr>
          <w:kern w:val="0"/>
        </w:rPr>
        <w:t xml:space="preserve"> (2), 166-180.</w:t>
      </w:r>
    </w:p>
    <w:p w:rsidR="00967299" w:rsidRDefault="00967299" w:rsidP="00967299">
      <w:pPr>
        <w:pStyle w:val="a0"/>
        <w:rPr>
          <w:kern w:val="0"/>
        </w:rPr>
      </w:pPr>
      <w:r>
        <w:rPr>
          <w:rFonts w:hint="eastAsia"/>
          <w:kern w:val="0"/>
        </w:rPr>
        <w:t xml:space="preserve">Full Text: </w:t>
      </w:r>
      <w:hyperlink r:id="rId433" w:history="1">
        <w:r w:rsidRPr="00967299">
          <w:rPr>
            <w:rStyle w:val="a5"/>
            <w:kern w:val="0"/>
          </w:rPr>
          <w:t>2010\Geo Res48, 166.pdf</w:t>
        </w:r>
      </w:hyperlink>
    </w:p>
    <w:p w:rsidR="00967299" w:rsidRDefault="00967299" w:rsidP="00967299">
      <w:pPr>
        <w:pStyle w:val="a0"/>
        <w:rPr>
          <w:kern w:val="0"/>
        </w:rPr>
      </w:pPr>
      <w:r>
        <w:rPr>
          <w:kern w:val="0"/>
        </w:rPr>
        <w:t>Abstract: There is an ongoing debate concerning the relationship between the disciplinary ends of the broad spectrum that is geography</w:t>
      </w:r>
      <w:r w:rsidR="00F81221">
        <w:rPr>
          <w:kern w:val="0"/>
        </w:rPr>
        <w:t xml:space="preserve"> and </w:t>
      </w:r>
      <w:r>
        <w:rPr>
          <w:kern w:val="0"/>
        </w:rPr>
        <w:t>also the relationship between geography</w:t>
      </w:r>
      <w:r w:rsidR="00F81221">
        <w:rPr>
          <w:kern w:val="0"/>
        </w:rPr>
        <w:t xml:space="preserve"> and </w:t>
      </w:r>
      <w:r>
        <w:rPr>
          <w:kern w:val="0"/>
        </w:rPr>
        <w:t>other disciplines, including the extent to which it is self-focussed or inward looking. These issues were assessed using an analysis of citation relationships between journals in the Thompson Scientific Journal Citation Reports databases at the category level. Thirty-four categories were used, comparing the two geography categories (</w:t>
      </w:r>
      <w:r w:rsidR="000352E7">
        <w:rPr>
          <w:kern w:val="0"/>
        </w:rPr>
        <w:t>‘</w:t>
      </w:r>
      <w:r>
        <w:rPr>
          <w:kern w:val="0"/>
        </w:rPr>
        <w:t>Geography</w:t>
      </w:r>
      <w:r w:rsidR="000352E7">
        <w:rPr>
          <w:kern w:val="0"/>
        </w:rPr>
        <w:t>’</w:t>
      </w:r>
      <w:r>
        <w:rPr>
          <w:kern w:val="0"/>
        </w:rPr>
        <w:t>, representing human geography</w:t>
      </w:r>
      <w:r w:rsidR="00F81221">
        <w:rPr>
          <w:kern w:val="0"/>
        </w:rPr>
        <w:t xml:space="preserve"> and </w:t>
      </w:r>
      <w:r w:rsidR="000352E7">
        <w:rPr>
          <w:kern w:val="0"/>
        </w:rPr>
        <w:t>‘</w:t>
      </w:r>
      <w:r>
        <w:rPr>
          <w:kern w:val="0"/>
        </w:rPr>
        <w:t>Geography, Physical</w:t>
      </w:r>
      <w:r w:rsidR="000352E7">
        <w:rPr>
          <w:kern w:val="0"/>
        </w:rPr>
        <w:t>’</w:t>
      </w:r>
      <w:r>
        <w:rPr>
          <w:kern w:val="0"/>
        </w:rPr>
        <w:t>, representing physical geography) with 32 other cognate categories. A matrix of the citation relationships between each category was developed using a relatedness factor that corrects for the opportunity for citations to occur. The resultant matrix of factors indicates that human geography journals are considerably more likely to cite their own papers than are those of physical geography, but that they are by no means the most self-citing of the journals assessed. Both human</w:t>
      </w:r>
      <w:r w:rsidR="00F81221">
        <w:rPr>
          <w:kern w:val="0"/>
        </w:rPr>
        <w:t xml:space="preserve"> and </w:t>
      </w:r>
      <w:r>
        <w:rPr>
          <w:kern w:val="0"/>
        </w:rPr>
        <w:t>physical geography journals have strong citation relationships with several other disciplines, with those for human geography most often being net export relationships in the sense of a balance of trade. This finding contradicts previous assertions that human geography imports more than it exports. The citation relationships of physical geography are smaller than those of human geography,</w:t>
      </w:r>
      <w:r w:rsidR="00F81221">
        <w:rPr>
          <w:kern w:val="0"/>
        </w:rPr>
        <w:t xml:space="preserve"> and </w:t>
      </w:r>
      <w:r>
        <w:rPr>
          <w:kern w:val="0"/>
        </w:rPr>
        <w:t>are typically small net imports. The relationship between human</w:t>
      </w:r>
      <w:r w:rsidR="00F81221">
        <w:rPr>
          <w:kern w:val="0"/>
        </w:rPr>
        <w:t xml:space="preserve"> and </w:t>
      </w:r>
      <w:r>
        <w:rPr>
          <w:kern w:val="0"/>
        </w:rPr>
        <w:t xml:space="preserve">physical geography journals is a small net export from physical geography to human geography, but their total trade volume is considerably smaller than their respective relationships with other disciplines. These results are likely to be caused by many </w:t>
      </w:r>
      <w:r>
        <w:rPr>
          <w:kern w:val="0"/>
        </w:rPr>
        <w:lastRenderedPageBreak/>
        <w:t>factors in addition to the actual relatedness between disciplines</w:t>
      </w:r>
      <w:r w:rsidR="00F81221">
        <w:rPr>
          <w:kern w:val="0"/>
        </w:rPr>
        <w:t xml:space="preserve"> and </w:t>
      </w:r>
      <w:r>
        <w:rPr>
          <w:kern w:val="0"/>
        </w:rPr>
        <w:t>sub-disciplines, but they do represent a benchmark against which more detailed analyses can be assessed.</w:t>
      </w:r>
    </w:p>
    <w:p w:rsidR="00967299" w:rsidRDefault="00967299" w:rsidP="00967299">
      <w:pPr>
        <w:pStyle w:val="a0"/>
        <w:rPr>
          <w:kern w:val="0"/>
        </w:rPr>
      </w:pPr>
      <w:r>
        <w:rPr>
          <w:kern w:val="0"/>
        </w:rPr>
        <w:t>Keywords: Analysis, Bibliometrics, Citation, Citation Analysis, Citations, Future, Geography Journals, Human Geography, Journals, Physical Geography, Thrift,</w:t>
      </w:r>
      <w:r>
        <w:rPr>
          <w:rFonts w:hint="eastAsia"/>
          <w:kern w:val="0"/>
        </w:rPr>
        <w:t xml:space="preserve"> </w:t>
      </w:r>
      <w:r>
        <w:rPr>
          <w:kern w:val="0"/>
        </w:rPr>
        <w:t>Nigel</w:t>
      </w:r>
    </w:p>
    <w:p w:rsidR="006A6519" w:rsidRDefault="006A6519" w:rsidP="006A6519">
      <w:pPr>
        <w:pStyle w:val="a0"/>
        <w:rPr>
          <w:kern w:val="0"/>
        </w:rPr>
      </w:pPr>
      <w:r>
        <w:rPr>
          <w:rFonts w:hint="eastAsia"/>
          <w:kern w:val="0"/>
        </w:rPr>
        <w:t xml:space="preserve">? </w:t>
      </w:r>
      <w:r>
        <w:rPr>
          <w:kern w:val="0"/>
        </w:rPr>
        <w:t>Wallis, P.J., Mac Nally, R.</w:t>
      </w:r>
      <w:r w:rsidR="00F81221">
        <w:rPr>
          <w:kern w:val="0"/>
        </w:rPr>
        <w:t xml:space="preserve"> and </w:t>
      </w:r>
      <w:r>
        <w:rPr>
          <w:kern w:val="0"/>
        </w:rPr>
        <w:t xml:space="preserve">Langford, J. (2011), Mapping local-scale ecological research to aid management at landscape scales. </w:t>
      </w:r>
      <w:r>
        <w:rPr>
          <w:i/>
          <w:iCs/>
          <w:kern w:val="0"/>
        </w:rPr>
        <w:t>Geographical Research</w:t>
      </w:r>
      <w:r>
        <w:rPr>
          <w:kern w:val="0"/>
        </w:rPr>
        <w:t xml:space="preserve">, </w:t>
      </w:r>
      <w:r>
        <w:rPr>
          <w:b/>
          <w:bCs/>
          <w:kern w:val="0"/>
        </w:rPr>
        <w:t>49</w:t>
      </w:r>
      <w:r>
        <w:rPr>
          <w:kern w:val="0"/>
        </w:rPr>
        <w:t xml:space="preserve"> (2), 203-216.</w:t>
      </w:r>
    </w:p>
    <w:p w:rsidR="006A6519" w:rsidRDefault="006A6519" w:rsidP="006A6519">
      <w:pPr>
        <w:pStyle w:val="a0"/>
        <w:rPr>
          <w:kern w:val="0"/>
        </w:rPr>
      </w:pPr>
      <w:r>
        <w:rPr>
          <w:rFonts w:hint="eastAsia"/>
          <w:kern w:val="0"/>
        </w:rPr>
        <w:t xml:space="preserve">Full Text: </w:t>
      </w:r>
      <w:r>
        <w:rPr>
          <w:kern w:val="0"/>
        </w:rPr>
        <w:t>201</w:t>
      </w:r>
      <w:r>
        <w:rPr>
          <w:rFonts w:hint="eastAsia"/>
          <w:kern w:val="0"/>
        </w:rPr>
        <w:t>1</w:t>
      </w:r>
      <w:r>
        <w:rPr>
          <w:kern w:val="0"/>
        </w:rPr>
        <w:t>\Geo Res4</w:t>
      </w:r>
      <w:r>
        <w:rPr>
          <w:rFonts w:hint="eastAsia"/>
          <w:kern w:val="0"/>
        </w:rPr>
        <w:t>9</w:t>
      </w:r>
      <w:r>
        <w:rPr>
          <w:kern w:val="0"/>
        </w:rPr>
        <w:t xml:space="preserve">, </w:t>
      </w:r>
      <w:r>
        <w:rPr>
          <w:rFonts w:hint="eastAsia"/>
          <w:kern w:val="0"/>
        </w:rPr>
        <w:t>203</w:t>
      </w:r>
      <w:r w:rsidRPr="003E2C2D">
        <w:rPr>
          <w:kern w:val="0"/>
        </w:rPr>
        <w:t>.pdf</w:t>
      </w:r>
    </w:p>
    <w:p w:rsidR="006A6519" w:rsidRDefault="006A6519" w:rsidP="006A6519">
      <w:pPr>
        <w:pStyle w:val="a0"/>
        <w:rPr>
          <w:kern w:val="0"/>
        </w:rPr>
      </w:pPr>
      <w:r>
        <w:rPr>
          <w:kern w:val="0"/>
        </w:rPr>
        <w:t>Abstract: Natural resource management is typically defined by landscape-scale management zones, such as the Catchment Management Authority boundaries of the southern Murray-Darling Basin in Australia. Ecological research generally deals with local-scale phenomena, with studies at the scale of such landscape management units arising only recently. We developed a method that links local-scale ecological research to landscape-scale management zones, which is presented here as a geographical bibliographic database. This research proceeded in four phases. First, we assessed three decades of ecological research in the Goulburn-Broken Catchment in Victoria, Australia, using this method, revealing the locations where research has taken place across the landscape,</w:t>
      </w:r>
      <w:r w:rsidR="00F81221">
        <w:rPr>
          <w:kern w:val="0"/>
        </w:rPr>
        <w:t xml:space="preserve"> and </w:t>
      </w:r>
      <w:r>
        <w:rPr>
          <w:kern w:val="0"/>
        </w:rPr>
        <w:t>the research themes dominant in different bioregions. Second, we assessed the purposes to which the method could be applied. Third, we tested the method against one of these potential purposes to review ecological research in a subcatchment case study. Last, we interrogated the method to answer an ecological question. This methodological analysis demonstrated that mapping ecological research in this way allows the user to identify geographic gaps in research coverage, assist in limiting search results to a location of interest</w:t>
      </w:r>
      <w:r w:rsidR="00F81221">
        <w:rPr>
          <w:kern w:val="0"/>
        </w:rPr>
        <w:t xml:space="preserve"> and </w:t>
      </w:r>
      <w:r>
        <w:rPr>
          <w:kern w:val="0"/>
        </w:rPr>
        <w:t>to address location-specific ecological questions. In combination with landscape classification methods, such as biogeographic regionalisation units, this method can be used to evaluate research coverage across similar ecological communities.</w:t>
      </w:r>
    </w:p>
    <w:p w:rsidR="006A6519" w:rsidRDefault="006A6519" w:rsidP="006A6519">
      <w:pPr>
        <w:pStyle w:val="a0"/>
        <w:rPr>
          <w:kern w:val="0"/>
        </w:rPr>
      </w:pPr>
      <w:r>
        <w:rPr>
          <w:kern w:val="0"/>
        </w:rPr>
        <w:t>Keywords: Bat Nyctophilus-Geoffroyi, Bibliographic, Bioregions, Box-Ironbark Forests, Ecological Processes, Fragmented Agricultural Landscape, Geographic Bibliographic Database, Goulburn-Broken, Herbivore-Epilithon Interaction, Landscapes, Maccullochella-Peelii-Peelii, Marsupial Antechinus-Flavipes, Massively Altered Landscapes, Murray-Darling Basin, Phascogale-Tapoatafa Marsupialia, Research, Review, Scientometrics, South-Eastern Australia</w:t>
      </w:r>
    </w:p>
    <w:p w:rsidR="00CF74C4" w:rsidRPr="00A428C3" w:rsidRDefault="00CF74C4" w:rsidP="00CF74C4">
      <w:pPr>
        <w:pStyle w:val="1"/>
      </w:pPr>
      <w:r>
        <w:br w:type="page"/>
      </w:r>
      <w:bookmarkStart w:id="303" w:name="_Toc238862943"/>
      <w:bookmarkStart w:id="304" w:name="_Toc317160921"/>
      <w:r>
        <w:lastRenderedPageBreak/>
        <w:t xml:space="preserve">Title: </w:t>
      </w:r>
      <w:r w:rsidRPr="00E3177C">
        <w:t>Geographical Research</w:t>
      </w:r>
      <w:bookmarkEnd w:id="303"/>
      <w:bookmarkEnd w:id="304"/>
    </w:p>
    <w:p w:rsidR="00CF74C4" w:rsidRPr="00A428C3" w:rsidRDefault="00CF74C4" w:rsidP="00B72EF9">
      <w:pPr>
        <w:pStyle w:val="12"/>
      </w:pPr>
      <w:r>
        <w:t xml:space="preserve">Full Journal Title: </w:t>
      </w:r>
      <w:r w:rsidRPr="00E3177C">
        <w:t>Geographical Research</w:t>
      </w:r>
    </w:p>
    <w:p w:rsidR="00CF74C4" w:rsidRPr="00A428C3" w:rsidRDefault="00CF74C4" w:rsidP="00B72EF9">
      <w:pPr>
        <w:pStyle w:val="12"/>
      </w:pPr>
      <w:r>
        <w:t xml:space="preserve">ISO Abbreviated Title: </w:t>
      </w:r>
    </w:p>
    <w:p w:rsidR="00CF74C4" w:rsidRPr="00A428C3" w:rsidRDefault="00CF74C4" w:rsidP="00B72EF9">
      <w:pPr>
        <w:pStyle w:val="12"/>
      </w:pPr>
      <w:r w:rsidRPr="00A428C3">
        <w:t>JCR Abbrevia</w:t>
      </w:r>
      <w:r>
        <w:t xml:space="preserve">ted Title: </w:t>
      </w:r>
    </w:p>
    <w:p w:rsidR="00CF74C4" w:rsidRPr="00A428C3" w:rsidRDefault="00CF74C4" w:rsidP="00B72EF9">
      <w:pPr>
        <w:pStyle w:val="12"/>
      </w:pPr>
      <w:r>
        <w:t xml:space="preserve">ISSN: </w:t>
      </w:r>
    </w:p>
    <w:p w:rsidR="00CF74C4" w:rsidRPr="00A428C3" w:rsidRDefault="00CF74C4" w:rsidP="00B72EF9">
      <w:pPr>
        <w:pStyle w:val="12"/>
      </w:pPr>
      <w:r>
        <w:t xml:space="preserve">Issues/Year: </w:t>
      </w:r>
    </w:p>
    <w:p w:rsidR="00CF74C4" w:rsidRPr="00A428C3" w:rsidRDefault="00FB5623" w:rsidP="00B72EF9">
      <w:pPr>
        <w:pStyle w:val="12"/>
      </w:pPr>
      <w:r>
        <w:t>Journal Country/Territory:</w:t>
      </w:r>
      <w:r w:rsidR="00CF74C4">
        <w:t xml:space="preserve"> </w:t>
      </w:r>
    </w:p>
    <w:p w:rsidR="00CF74C4" w:rsidRPr="00A428C3" w:rsidRDefault="00CF74C4" w:rsidP="00B72EF9">
      <w:pPr>
        <w:pStyle w:val="12"/>
      </w:pPr>
      <w:r w:rsidRPr="00A428C3">
        <w:t xml:space="preserve">Language: </w:t>
      </w:r>
    </w:p>
    <w:p w:rsidR="00CF74C4" w:rsidRPr="00A428C3" w:rsidRDefault="00CF74C4" w:rsidP="00B72EF9">
      <w:pPr>
        <w:pStyle w:val="12"/>
      </w:pPr>
      <w:r w:rsidRPr="00A428C3">
        <w:t xml:space="preserve">Publisher: </w:t>
      </w:r>
    </w:p>
    <w:p w:rsidR="00CF74C4" w:rsidRPr="00A428C3" w:rsidRDefault="00CF74C4" w:rsidP="00B72EF9">
      <w:pPr>
        <w:pStyle w:val="12"/>
      </w:pPr>
      <w:r w:rsidRPr="00A428C3">
        <w:t xml:space="preserve">Publisher Address: </w:t>
      </w:r>
    </w:p>
    <w:p w:rsidR="00CF74C4" w:rsidRPr="00A428C3" w:rsidRDefault="00CF74C4" w:rsidP="00B72EF9">
      <w:pPr>
        <w:pStyle w:val="12"/>
      </w:pPr>
      <w:r w:rsidRPr="00A428C3">
        <w:t xml:space="preserve">Subject Categories: </w:t>
      </w:r>
    </w:p>
    <w:p w:rsidR="00CF74C4" w:rsidRPr="00A428C3" w:rsidRDefault="00CF74C4" w:rsidP="00B72EF9">
      <w:pPr>
        <w:pStyle w:val="12"/>
      </w:pPr>
      <w:r w:rsidRPr="00A428C3">
        <w:t xml:space="preserve">: </w:t>
      </w:r>
      <w:r w:rsidRPr="004D2C6E">
        <w:t xml:space="preserve">Impact Factor </w:t>
      </w:r>
    </w:p>
    <w:p w:rsidR="00CF74C4" w:rsidRPr="00A428C3" w:rsidRDefault="00CF74C4" w:rsidP="00CF74C4">
      <w:pPr>
        <w:pStyle w:val="a0"/>
      </w:pPr>
      <w:r w:rsidRPr="00A428C3">
        <w:t xml:space="preserve">? </w:t>
      </w:r>
      <w:r w:rsidRPr="00E3177C">
        <w:rPr>
          <w:rFonts w:hint="eastAsia"/>
          <w:lang w:eastAsia="zh-CN"/>
        </w:rPr>
        <w:t>郭怀成</w:t>
      </w:r>
      <w:r w:rsidRPr="00E3177C">
        <w:rPr>
          <w:lang w:eastAsia="zh-CN"/>
        </w:rPr>
        <w:t xml:space="preserve"> </w:t>
      </w:r>
      <w:r w:rsidRPr="00E3177C">
        <w:rPr>
          <w:rFonts w:hint="eastAsia"/>
          <w:lang w:eastAsia="zh-CN"/>
        </w:rPr>
        <w:t>周丰</w:t>
      </w:r>
      <w:r w:rsidRPr="00E3177C">
        <w:rPr>
          <w:lang w:eastAsia="zh-CN"/>
        </w:rPr>
        <w:t xml:space="preserve"> </w:t>
      </w:r>
      <w:r w:rsidRPr="00E3177C">
        <w:rPr>
          <w:rFonts w:hint="eastAsia"/>
          <w:lang w:eastAsia="zh-CN"/>
        </w:rPr>
        <w:t>刀谞</w:t>
      </w:r>
      <w:r w:rsidRPr="00A428C3">
        <w:rPr>
          <w:lang w:eastAsia="zh-CN"/>
        </w:rPr>
        <w:t>(</w:t>
      </w:r>
      <w:r>
        <w:rPr>
          <w:rFonts w:hint="eastAsia"/>
          <w:lang w:eastAsia="zh-CN"/>
        </w:rPr>
        <w:t>2008</w:t>
      </w:r>
      <w:r w:rsidRPr="00A428C3">
        <w:rPr>
          <w:lang w:eastAsia="zh-CN"/>
        </w:rPr>
        <w:t xml:space="preserve">), </w:t>
      </w:r>
      <w:r w:rsidRPr="00E3177C">
        <w:rPr>
          <w:rFonts w:hint="eastAsia"/>
          <w:lang w:eastAsia="zh-CN"/>
        </w:rPr>
        <w:t>地统计方法学研究进展</w:t>
      </w:r>
      <w:r w:rsidRPr="00586CD8">
        <w:rPr>
          <w:lang w:eastAsia="zh-CN"/>
        </w:rPr>
        <w:t xml:space="preserve">. </w:t>
      </w:r>
      <w:r w:rsidRPr="00E3177C">
        <w:rPr>
          <w:i/>
        </w:rPr>
        <w:t>Geographical Research</w:t>
      </w:r>
      <w:r w:rsidRPr="00A428C3">
        <w:t xml:space="preserve">, </w:t>
      </w:r>
      <w:r w:rsidRPr="006548B9">
        <w:rPr>
          <w:b/>
          <w:bCs/>
        </w:rPr>
        <w:t>2</w:t>
      </w:r>
      <w:r>
        <w:rPr>
          <w:rFonts w:hint="eastAsia"/>
          <w:b/>
          <w:bCs/>
        </w:rPr>
        <w:t>7</w:t>
      </w:r>
      <w:r w:rsidRPr="00A428C3">
        <w:t xml:space="preserve"> (</w:t>
      </w:r>
      <w:r>
        <w:rPr>
          <w:rFonts w:hint="eastAsia"/>
        </w:rPr>
        <w:t>5</w:t>
      </w:r>
      <w:r w:rsidRPr="00A428C3">
        <w:t xml:space="preserve">), </w:t>
      </w:r>
      <w:r>
        <w:rPr>
          <w:rFonts w:hint="eastAsia"/>
        </w:rPr>
        <w:t>1191</w:t>
      </w:r>
      <w:r w:rsidRPr="00A428C3">
        <w:t>-</w:t>
      </w:r>
      <w:r>
        <w:rPr>
          <w:rFonts w:hint="eastAsia"/>
        </w:rPr>
        <w:t>1202</w:t>
      </w:r>
      <w:r w:rsidRPr="00A428C3">
        <w:t>.</w:t>
      </w:r>
    </w:p>
    <w:p w:rsidR="00817079" w:rsidRPr="00A428C3" w:rsidRDefault="00817079" w:rsidP="00817079">
      <w:pPr>
        <w:pStyle w:val="1"/>
      </w:pPr>
      <w:r>
        <w:br w:type="page"/>
      </w:r>
      <w:bookmarkStart w:id="305" w:name="_Toc317160922"/>
      <w:r>
        <w:lastRenderedPageBreak/>
        <w:t>Title: Geography</w:t>
      </w:r>
      <w:bookmarkEnd w:id="305"/>
    </w:p>
    <w:p w:rsidR="00817079" w:rsidRPr="00A428C3" w:rsidRDefault="00817079" w:rsidP="00817079">
      <w:pPr>
        <w:pStyle w:val="12"/>
      </w:pPr>
      <w:r>
        <w:t>Full Journal Title: Geography</w:t>
      </w:r>
    </w:p>
    <w:p w:rsidR="00817079" w:rsidRPr="00A428C3" w:rsidRDefault="00817079" w:rsidP="00817079">
      <w:pPr>
        <w:pStyle w:val="12"/>
      </w:pPr>
      <w:r>
        <w:t xml:space="preserve">ISO Abbreviated Title: </w:t>
      </w:r>
    </w:p>
    <w:p w:rsidR="00817079" w:rsidRPr="00A428C3" w:rsidRDefault="00817079" w:rsidP="00817079">
      <w:pPr>
        <w:pStyle w:val="12"/>
      </w:pPr>
      <w:r w:rsidRPr="00A428C3">
        <w:t>JCR Abbrevia</w:t>
      </w:r>
      <w:r>
        <w:t xml:space="preserve">ted Title: </w:t>
      </w:r>
    </w:p>
    <w:p w:rsidR="00817079" w:rsidRPr="00A428C3" w:rsidRDefault="00817079" w:rsidP="00817079">
      <w:pPr>
        <w:pStyle w:val="12"/>
      </w:pPr>
      <w:r>
        <w:t xml:space="preserve">ISSN: </w:t>
      </w:r>
      <w:r w:rsidRPr="00817079">
        <w:t>0016-7487</w:t>
      </w:r>
    </w:p>
    <w:p w:rsidR="00817079" w:rsidRPr="00A428C3" w:rsidRDefault="00817079" w:rsidP="00817079">
      <w:pPr>
        <w:pStyle w:val="12"/>
      </w:pPr>
      <w:r>
        <w:t xml:space="preserve">Issues/Year: </w:t>
      </w:r>
    </w:p>
    <w:p w:rsidR="00817079" w:rsidRPr="00A428C3" w:rsidRDefault="00817079" w:rsidP="00817079">
      <w:pPr>
        <w:pStyle w:val="12"/>
      </w:pPr>
      <w:r>
        <w:t xml:space="preserve">Journal Country/Territory: </w:t>
      </w:r>
    </w:p>
    <w:p w:rsidR="00817079" w:rsidRPr="00A428C3" w:rsidRDefault="00817079" w:rsidP="00817079">
      <w:pPr>
        <w:pStyle w:val="12"/>
      </w:pPr>
      <w:r w:rsidRPr="00A428C3">
        <w:t xml:space="preserve">Language: </w:t>
      </w:r>
    </w:p>
    <w:p w:rsidR="00817079" w:rsidRPr="00A428C3" w:rsidRDefault="00817079" w:rsidP="00817079">
      <w:pPr>
        <w:pStyle w:val="12"/>
      </w:pPr>
      <w:r w:rsidRPr="00A428C3">
        <w:t xml:space="preserve">Publisher: </w:t>
      </w:r>
    </w:p>
    <w:p w:rsidR="00817079" w:rsidRPr="00A428C3" w:rsidRDefault="00817079" w:rsidP="00817079">
      <w:pPr>
        <w:pStyle w:val="12"/>
      </w:pPr>
      <w:r w:rsidRPr="00A428C3">
        <w:t xml:space="preserve">Publisher Address: </w:t>
      </w:r>
    </w:p>
    <w:p w:rsidR="00817079" w:rsidRPr="00A428C3" w:rsidRDefault="00817079" w:rsidP="00817079">
      <w:pPr>
        <w:pStyle w:val="12"/>
      </w:pPr>
      <w:r w:rsidRPr="00A428C3">
        <w:t xml:space="preserve">Subject Categories: </w:t>
      </w:r>
    </w:p>
    <w:p w:rsidR="00817079" w:rsidRPr="00A428C3" w:rsidRDefault="00817079" w:rsidP="00817079">
      <w:pPr>
        <w:pStyle w:val="12"/>
      </w:pPr>
      <w:r w:rsidRPr="00A428C3">
        <w:t xml:space="preserve">: </w:t>
      </w:r>
      <w:r w:rsidRPr="004D2C6E">
        <w:t xml:space="preserve">Impact Factor </w:t>
      </w:r>
    </w:p>
    <w:p w:rsidR="00817079" w:rsidRDefault="00817079" w:rsidP="00817079">
      <w:pPr>
        <w:pStyle w:val="a0"/>
      </w:pPr>
      <w:r w:rsidRPr="00A428C3">
        <w:t xml:space="preserve">? </w:t>
      </w:r>
      <w:r>
        <w:t>Dwyer</w:t>
      </w:r>
      <w:r>
        <w:rPr>
          <w:rFonts w:hint="eastAsia"/>
        </w:rPr>
        <w:t>,</w:t>
      </w:r>
      <w:r>
        <w:t xml:space="preserve"> D</w:t>
      </w:r>
      <w:r>
        <w:rPr>
          <w:rFonts w:hint="eastAsia"/>
        </w:rPr>
        <w:t>.</w:t>
      </w:r>
      <w:r>
        <w:t>J</w:t>
      </w:r>
      <w:r>
        <w:rPr>
          <w:rFonts w:hint="eastAsia"/>
        </w:rPr>
        <w:t>.</w:t>
      </w:r>
      <w:r w:rsidRPr="00A428C3">
        <w:rPr>
          <w:lang w:eastAsia="zh-CN"/>
        </w:rPr>
        <w:t xml:space="preserve"> (</w:t>
      </w:r>
      <w:r>
        <w:rPr>
          <w:rFonts w:hint="eastAsia"/>
        </w:rPr>
        <w:t>1958</w:t>
      </w:r>
      <w:r w:rsidRPr="00A428C3">
        <w:rPr>
          <w:lang w:eastAsia="zh-CN"/>
        </w:rPr>
        <w:t xml:space="preserve">), </w:t>
      </w:r>
      <w:r>
        <w:t>Peat fuel production in the Irish Republic</w:t>
      </w:r>
      <w:r w:rsidRPr="00586CD8">
        <w:rPr>
          <w:lang w:eastAsia="zh-CN"/>
        </w:rPr>
        <w:t xml:space="preserve">. </w:t>
      </w:r>
      <w:r w:rsidRPr="00817079">
        <w:rPr>
          <w:i/>
        </w:rPr>
        <w:t>Geography</w:t>
      </w:r>
      <w:r w:rsidRPr="00A428C3">
        <w:t xml:space="preserve">, </w:t>
      </w:r>
      <w:r>
        <w:rPr>
          <w:rFonts w:hint="eastAsia"/>
          <w:b/>
          <w:bCs/>
        </w:rPr>
        <w:t>43</w:t>
      </w:r>
      <w:r w:rsidRPr="00A428C3">
        <w:t xml:space="preserve"> (</w:t>
      </w:r>
      <w:r>
        <w:rPr>
          <w:rFonts w:hint="eastAsia"/>
        </w:rPr>
        <w:t>2</w:t>
      </w:r>
      <w:r w:rsidRPr="00A428C3">
        <w:t xml:space="preserve">), </w:t>
      </w:r>
      <w:r>
        <w:t>126-128</w:t>
      </w:r>
      <w:r w:rsidRPr="00A428C3">
        <w:t>.</w:t>
      </w:r>
    </w:p>
    <w:p w:rsidR="00B95188" w:rsidRPr="00A428C3" w:rsidRDefault="00B95188" w:rsidP="00B95188">
      <w:pPr>
        <w:pStyle w:val="1"/>
      </w:pPr>
      <w:r w:rsidRPr="00A428C3">
        <w:br w:type="page"/>
      </w:r>
      <w:bookmarkStart w:id="306" w:name="_Toc490687986"/>
      <w:bookmarkStart w:id="307" w:name="_Toc492807645"/>
      <w:bookmarkStart w:id="308" w:name="_Toc186647715"/>
      <w:bookmarkStart w:id="309" w:name="_Toc317160923"/>
      <w:r w:rsidRPr="00A428C3">
        <w:lastRenderedPageBreak/>
        <w:t>Title: Geological Journal</w:t>
      </w:r>
      <w:bookmarkEnd w:id="306"/>
      <w:bookmarkEnd w:id="307"/>
      <w:bookmarkEnd w:id="308"/>
      <w:bookmarkEnd w:id="309"/>
    </w:p>
    <w:p w:rsidR="00B95188" w:rsidRPr="00A428C3" w:rsidRDefault="00B95188" w:rsidP="00B72EF9">
      <w:pPr>
        <w:pStyle w:val="12"/>
      </w:pPr>
      <w:r w:rsidRPr="00A428C3">
        <w:t>Full Journal Title: Geological Journal</w:t>
      </w:r>
    </w:p>
    <w:p w:rsidR="00B95188" w:rsidRPr="00A428C3" w:rsidRDefault="00B95188" w:rsidP="00B72EF9">
      <w:pPr>
        <w:pStyle w:val="12"/>
      </w:pPr>
      <w:r w:rsidRPr="00A428C3">
        <w:t>ISO Abbreviated Title: Geol. J.</w:t>
      </w:r>
    </w:p>
    <w:p w:rsidR="00B95188" w:rsidRPr="00A428C3" w:rsidRDefault="00B95188" w:rsidP="00B72EF9">
      <w:pPr>
        <w:pStyle w:val="12"/>
      </w:pPr>
      <w:r w:rsidRPr="00A428C3">
        <w:t>JCR Abbreviated Title: Geol J</w:t>
      </w:r>
    </w:p>
    <w:p w:rsidR="00B95188" w:rsidRPr="00A428C3" w:rsidRDefault="00B95188" w:rsidP="00B72EF9">
      <w:pPr>
        <w:pStyle w:val="12"/>
      </w:pPr>
      <w:r w:rsidRPr="00A428C3">
        <w:t>ISSN: 0072-1050</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John Wiley &amp; Sons Ltd</w:t>
      </w:r>
    </w:p>
    <w:p w:rsidR="00B95188" w:rsidRPr="00A428C3" w:rsidRDefault="00B95188" w:rsidP="00B72EF9">
      <w:pPr>
        <w:pStyle w:val="12"/>
      </w:pPr>
      <w:r w:rsidRPr="00A428C3">
        <w:t xml:space="preserve">Publisher Address: </w:t>
      </w:r>
      <w:smartTag w:uri="urn:schemas-microsoft-com:office:smarttags" w:element="Street">
        <w:smartTag w:uri="urn:schemas-microsoft-com:office:smarttags" w:element="address">
          <w:r w:rsidRPr="00A428C3">
            <w:t>Baffins Lane</w:t>
          </w:r>
        </w:smartTag>
      </w:smartTag>
      <w:r w:rsidRPr="00A428C3">
        <w:t xml:space="preserve"> Chichester, W Sussex PO19 1UD,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 xml:space="preserve">Subject Categories: </w:t>
      </w:r>
    </w:p>
    <w:p w:rsidR="00B95188" w:rsidRPr="00CF74C4" w:rsidRDefault="00B95188" w:rsidP="00B72EF9">
      <w:pPr>
        <w:pStyle w:val="12"/>
      </w:pPr>
      <w:r w:rsidRPr="00CF74C4">
        <w:t xml:space="preserve">Geosciences, Interdisciplinary: Impact Factor </w:t>
      </w:r>
    </w:p>
    <w:p w:rsidR="00B95188" w:rsidRDefault="00B95188" w:rsidP="00CF74C4">
      <w:pPr>
        <w:pStyle w:val="a0"/>
      </w:pPr>
      <w:r w:rsidRPr="00A428C3">
        <w:t>? Tatar, O., Temiz, H., Tutkun, S.Z., Park, R.G.</w:t>
      </w:r>
      <w:r w:rsidR="00F81221">
        <w:t xml:space="preserve"> and </w:t>
      </w:r>
      <w:r w:rsidRPr="00A428C3">
        <w:t>Stimpson, I.G. (1993), Surface deformatio</w:t>
      </w:r>
      <w:r w:rsidRPr="00586CD8">
        <w:t>n</w:t>
      </w:r>
      <w:r w:rsidR="00F81221">
        <w:t xml:space="preserve"> and </w:t>
      </w:r>
      <w:r w:rsidRPr="00586CD8">
        <w:t xml:space="preserve">tectonic setting of the 13 March 1992 Erzincan earthquake, eastern Turkey. </w:t>
      </w:r>
      <w:r w:rsidRPr="00564BB5">
        <w:rPr>
          <w:i/>
        </w:rPr>
        <w:t>Geological</w:t>
      </w:r>
      <w:r w:rsidRPr="00A428C3">
        <w:rPr>
          <w:i/>
        </w:rPr>
        <w:t xml:space="preserve"> Journal</w:t>
      </w:r>
      <w:r w:rsidRPr="00A428C3">
        <w:t xml:space="preserve">, </w:t>
      </w:r>
      <w:r w:rsidRPr="00A428C3">
        <w:rPr>
          <w:b/>
        </w:rPr>
        <w:t>28</w:t>
      </w:r>
      <w:r w:rsidRPr="00A428C3">
        <w:t xml:space="preserve"> (3-4), 327-333.</w:t>
      </w:r>
    </w:p>
    <w:p w:rsidR="00564BB5" w:rsidRPr="00A428C3" w:rsidRDefault="00564BB5" w:rsidP="00CF74C4">
      <w:pPr>
        <w:pStyle w:val="a0"/>
      </w:pPr>
      <w:r>
        <w:rPr>
          <w:rFonts w:hint="eastAsia"/>
        </w:rPr>
        <w:t xml:space="preserve">Full Text: </w:t>
      </w:r>
      <w:hyperlink r:id="rId434" w:history="1">
        <w:r w:rsidR="00A30FB3" w:rsidRPr="00A30FB3">
          <w:rPr>
            <w:rStyle w:val="a5"/>
          </w:rPr>
          <w:t>1993\Geo J28, 327.pdf</w:t>
        </w:r>
      </w:hyperlink>
    </w:p>
    <w:p w:rsidR="00B95188" w:rsidRPr="00A428C3" w:rsidRDefault="00B95188" w:rsidP="00B95188">
      <w:pPr>
        <w:pStyle w:val="a0"/>
      </w:pPr>
      <w:r w:rsidRPr="00A428C3">
        <w:t xml:space="preserve">Abstract: The earthquake of 13 March 1992 (Ms = 6-8) in the densely populated Erzincan region of eastern </w:t>
      </w:r>
      <w:smartTag w:uri="urn:schemas-microsoft-com:office:smarttags" w:element="place">
        <w:smartTag w:uri="urn:schemas-microsoft-com:office:smarttags" w:element="country-region">
          <w:r w:rsidRPr="00A428C3">
            <w:t>Turkey</w:t>
          </w:r>
        </w:smartTag>
      </w:smartTag>
      <w:r w:rsidRPr="00A428C3">
        <w:t xml:space="preserve"> resulted in about 500 deaths, at least 2000 people injured</w:t>
      </w:r>
      <w:r w:rsidR="00F81221">
        <w:t xml:space="preserve"> and </w:t>
      </w:r>
      <w:r w:rsidRPr="00A428C3">
        <w:t xml:space="preserve">widespread destruction of buildings. The results are presented of field observations carried out within the </w:t>
      </w:r>
      <w:smartTag w:uri="urn:schemas-microsoft-com:office:smarttags" w:element="place">
        <w:smartTag w:uri="urn:schemas-microsoft-com:office:smarttags" w:element="PlaceName">
          <w:r w:rsidRPr="00A428C3">
            <w:t>Erzincan</w:t>
          </w:r>
        </w:smartTag>
        <w:r w:rsidRPr="00A428C3">
          <w:t xml:space="preserve"> </w:t>
        </w:r>
        <w:smartTag w:uri="urn:schemas-microsoft-com:office:smarttags" w:element="PlaceType">
          <w:r w:rsidRPr="00A428C3">
            <w:t>Basin</w:t>
          </w:r>
        </w:smartTag>
      </w:smartTag>
      <w:r w:rsidRPr="00A428C3">
        <w:t xml:space="preserve"> immediately after the earthquake. The main area of surface deformation is about </w:t>
      </w:r>
      <w:smartTag w:uri="urn:schemas-microsoft-com:office:smarttags" w:element="chmetcnv">
        <w:smartTagPr>
          <w:attr w:name="TCSC" w:val="0"/>
          <w:attr w:name="NumberType" w:val="1"/>
          <w:attr w:name="Negative" w:val="False"/>
          <w:attr w:name="HasSpace" w:val="True"/>
          <w:attr w:name="SourceValue" w:val="55"/>
          <w:attr w:name="UnitName" w:val="km"/>
        </w:smartTagPr>
        <w:r w:rsidRPr="00A428C3">
          <w:t>55 km</w:t>
        </w:r>
      </w:smartTag>
      <w:smartTag w:uri="urn:schemas-microsoft-com:office:smarttags" w:element="chmetcnv">
        <w:smartTagPr>
          <w:attr w:name="TCSC" w:val="0"/>
          <w:attr w:name="NumberType" w:val="1"/>
          <w:attr w:name="Negative" w:val="False"/>
          <w:attr w:name="HasSpace" w:val="True"/>
          <w:attr w:name="SourceValue" w:val="2"/>
          <w:attr w:name="UnitName" w:val="in"/>
        </w:smartTagPr>
        <w:r w:rsidRPr="00A428C3">
          <w:t>2 in</w:t>
        </w:r>
      </w:smartTag>
      <w:r w:rsidRPr="00A428C3">
        <w:t xml:space="preserve"> extent</w:t>
      </w:r>
      <w:r w:rsidR="00F81221">
        <w:t xml:space="preserve"> and </w:t>
      </w:r>
      <w:r w:rsidRPr="00A428C3">
        <w:t xml:space="preserve">lies </w:t>
      </w:r>
      <w:smartTag w:uri="urn:schemas-microsoft-com:office:smarttags" w:element="chmetcnv">
        <w:smartTagPr>
          <w:attr w:name="TCSC" w:val="0"/>
          <w:attr w:name="NumberType" w:val="1"/>
          <w:attr w:name="Negative" w:val="False"/>
          <w:attr w:name="HasSpace" w:val="True"/>
          <w:attr w:name="SourceValue" w:val="15"/>
          <w:attr w:name="UnitName" w:val="km"/>
        </w:smartTagPr>
        <w:r w:rsidRPr="00A428C3">
          <w:t>15 km</w:t>
        </w:r>
      </w:smartTag>
      <w:r w:rsidRPr="00A428C3">
        <w:t xml:space="preserve"> south-east of Erzincan. Surface fractures with significant displacements were observed with orientations as follows: strike-slip 095-110-degrees (dextral), 040-degrees (sinistral)</w:t>
      </w:r>
      <w:r w:rsidR="00F81221">
        <w:t xml:space="preserve"> and </w:t>
      </w:r>
      <w:r w:rsidRPr="00A428C3">
        <w:t>090-degrees (sinistral); extensional 150-180-degrees. Most of the observed fractures are consistent with the Harvard centroid moment tensor solution for the main shock, which indicates north-south compressional</w:t>
      </w:r>
      <w:r w:rsidR="00F81221">
        <w:t xml:space="preserve"> and </w:t>
      </w:r>
      <w:r w:rsidRPr="00A428C3">
        <w:t>east-west extensional principal horizontal stress axes. It is suggested that the earthquake probably occurred as a result of dextral strike-slip motion on a segment of the North Anatolian Fault Zone.</w:t>
      </w:r>
    </w:p>
    <w:bookmarkEnd w:id="297"/>
    <w:p w:rsidR="00B95188" w:rsidRPr="00A428C3" w:rsidRDefault="00B95188" w:rsidP="00B95188">
      <w:pPr>
        <w:pStyle w:val="1"/>
      </w:pPr>
      <w:r w:rsidRPr="00A428C3">
        <w:br w:type="page"/>
      </w:r>
      <w:bookmarkStart w:id="310" w:name="_Toc490687988"/>
      <w:bookmarkStart w:id="311" w:name="_Toc492807646"/>
      <w:bookmarkStart w:id="312" w:name="_Toc186647716"/>
      <w:bookmarkStart w:id="313" w:name="_Toc317160924"/>
      <w:r w:rsidRPr="00A428C3">
        <w:lastRenderedPageBreak/>
        <w:t xml:space="preserve">Title: Geological Society of </w:t>
      </w:r>
      <w:smartTag w:uri="urn:schemas-microsoft-com:office:smarttags" w:element="place">
        <w:smartTag w:uri="urn:schemas-microsoft-com:office:smarttags" w:element="country-region">
          <w:r w:rsidRPr="00A428C3">
            <w:t>America</w:t>
          </w:r>
        </w:smartTag>
      </w:smartTag>
      <w:r w:rsidRPr="00A428C3">
        <w:t xml:space="preserve"> Bulletin</w:t>
      </w:r>
      <w:bookmarkEnd w:id="310"/>
      <w:bookmarkEnd w:id="311"/>
      <w:bookmarkEnd w:id="312"/>
      <w:bookmarkEnd w:id="313"/>
    </w:p>
    <w:p w:rsidR="00B95188" w:rsidRPr="0064661A" w:rsidRDefault="00B95188" w:rsidP="0064661A">
      <w:pPr>
        <w:pStyle w:val="12"/>
      </w:pPr>
      <w:r w:rsidRPr="0064661A">
        <w:t>Full Journal Title: Geological Society of America Bulletin</w:t>
      </w:r>
    </w:p>
    <w:p w:rsidR="00B95188" w:rsidRPr="0064661A" w:rsidRDefault="00B95188" w:rsidP="0064661A">
      <w:pPr>
        <w:pStyle w:val="12"/>
      </w:pPr>
      <w:r w:rsidRPr="0064661A">
        <w:t>ISO Abbreviated Title: Geol. Soc. Am. Bull.</w:t>
      </w:r>
    </w:p>
    <w:p w:rsidR="00B95188" w:rsidRPr="0064661A" w:rsidRDefault="00B95188" w:rsidP="0064661A">
      <w:pPr>
        <w:pStyle w:val="12"/>
      </w:pPr>
      <w:r w:rsidRPr="0064661A">
        <w:t>JCR Abbreviated Title: Geol Soc Am Bull</w:t>
      </w:r>
    </w:p>
    <w:p w:rsidR="00B95188" w:rsidRPr="0064661A" w:rsidRDefault="00B95188" w:rsidP="0064661A">
      <w:pPr>
        <w:pStyle w:val="12"/>
      </w:pPr>
      <w:r w:rsidRPr="0064661A">
        <w:t>ISSN: 0016-7606</w:t>
      </w:r>
    </w:p>
    <w:p w:rsidR="00B95188" w:rsidRPr="0064661A" w:rsidRDefault="00B95188" w:rsidP="0064661A">
      <w:pPr>
        <w:pStyle w:val="12"/>
      </w:pPr>
      <w:r w:rsidRPr="0064661A">
        <w:t>Issues/Year: 12</w:t>
      </w:r>
    </w:p>
    <w:p w:rsidR="00B95188" w:rsidRPr="0064661A" w:rsidRDefault="00B95188" w:rsidP="0064661A">
      <w:pPr>
        <w:pStyle w:val="12"/>
      </w:pPr>
      <w:r w:rsidRPr="0064661A">
        <w:t>Journal Country/Territory: United States</w:t>
      </w:r>
    </w:p>
    <w:p w:rsidR="00B95188" w:rsidRPr="0064661A" w:rsidRDefault="00B95188" w:rsidP="0064661A">
      <w:pPr>
        <w:pStyle w:val="12"/>
      </w:pPr>
      <w:r w:rsidRPr="0064661A">
        <w:t>Language: English</w:t>
      </w:r>
    </w:p>
    <w:p w:rsidR="00B95188" w:rsidRPr="0064661A" w:rsidRDefault="00B95188" w:rsidP="0064661A">
      <w:pPr>
        <w:pStyle w:val="12"/>
      </w:pPr>
      <w:r w:rsidRPr="0064661A">
        <w:t>Publisher: Assoc Engineering Geologists Geological Society Amer</w:t>
      </w:r>
    </w:p>
    <w:p w:rsidR="00B95188" w:rsidRPr="0064661A" w:rsidRDefault="00B95188" w:rsidP="0064661A">
      <w:pPr>
        <w:pStyle w:val="12"/>
      </w:pPr>
      <w:r w:rsidRPr="0064661A">
        <w:t>Publisher Address: Texas A &amp; M Univ, Dept Geology &amp; Geophysics, College Stn, TX 77843-3115</w:t>
      </w:r>
    </w:p>
    <w:p w:rsidR="00B95188" w:rsidRPr="0064661A" w:rsidRDefault="00B95188" w:rsidP="0064661A">
      <w:pPr>
        <w:pStyle w:val="12"/>
      </w:pPr>
      <w:r w:rsidRPr="0064661A">
        <w:t>Subject Categories:</w:t>
      </w:r>
    </w:p>
    <w:p w:rsidR="00B95188" w:rsidRPr="0064661A" w:rsidRDefault="00B95188" w:rsidP="0064661A">
      <w:pPr>
        <w:pStyle w:val="12"/>
      </w:pPr>
      <w:r w:rsidRPr="0064661A">
        <w:t xml:space="preserve">Geosciences, Interdisciplinary: Impact Factor </w:t>
      </w:r>
    </w:p>
    <w:p w:rsidR="0064661A" w:rsidRDefault="0064661A" w:rsidP="0064661A">
      <w:pPr>
        <w:pStyle w:val="a0"/>
      </w:pPr>
      <w:r>
        <w:rPr>
          <w:rFonts w:hint="eastAsia"/>
        </w:rPr>
        <w:t xml:space="preserve">? </w:t>
      </w:r>
      <w:r>
        <w:t>Swenson</w:t>
      </w:r>
      <w:r>
        <w:rPr>
          <w:rFonts w:hint="eastAsia"/>
        </w:rPr>
        <w:t>,</w:t>
      </w:r>
      <w:r>
        <w:t xml:space="preserve"> F</w:t>
      </w:r>
      <w:r>
        <w:rPr>
          <w:rFonts w:hint="eastAsia"/>
        </w:rPr>
        <w:t>.</w:t>
      </w:r>
      <w:r>
        <w:t>A</w:t>
      </w:r>
      <w:r>
        <w:rPr>
          <w:rFonts w:hint="eastAsia"/>
        </w:rPr>
        <w:t>.</w:t>
      </w:r>
      <w:r w:rsidRPr="00A428C3">
        <w:t xml:space="preserve"> (19</w:t>
      </w:r>
      <w:r>
        <w:rPr>
          <w:rFonts w:hint="eastAsia"/>
        </w:rPr>
        <w:t>4</w:t>
      </w:r>
      <w:r w:rsidRPr="00A428C3">
        <w:t xml:space="preserve">8), </w:t>
      </w:r>
      <w:r>
        <w:t>Geology</w:t>
      </w:r>
      <w:r w:rsidR="00F81221">
        <w:t xml:space="preserve"> and </w:t>
      </w:r>
      <w:r>
        <w:t>ground-water resources of Iwo-Jima</w:t>
      </w:r>
      <w:r w:rsidRPr="00A428C3">
        <w:t xml:space="preserve">. </w:t>
      </w:r>
      <w:r w:rsidRPr="00A428C3">
        <w:rPr>
          <w:i/>
        </w:rPr>
        <w:t>Geological Society of America Bulletin</w:t>
      </w:r>
      <w:r w:rsidRPr="00A428C3">
        <w:t xml:space="preserve">, </w:t>
      </w:r>
      <w:r>
        <w:rPr>
          <w:rFonts w:hint="eastAsia"/>
          <w:b/>
        </w:rPr>
        <w:t>59</w:t>
      </w:r>
      <w:r w:rsidRPr="00A428C3">
        <w:t xml:space="preserve"> (</w:t>
      </w:r>
      <w:r>
        <w:rPr>
          <w:rFonts w:hint="eastAsia"/>
        </w:rPr>
        <w:t>10</w:t>
      </w:r>
      <w:r w:rsidRPr="00A428C3">
        <w:t xml:space="preserve">), </w:t>
      </w:r>
      <w:r>
        <w:rPr>
          <w:rFonts w:hint="eastAsia"/>
        </w:rPr>
        <w:t>995</w:t>
      </w:r>
      <w:r w:rsidRPr="00A428C3">
        <w:t>-</w:t>
      </w:r>
      <w:r>
        <w:rPr>
          <w:rFonts w:hint="eastAsia"/>
        </w:rPr>
        <w:t>1008</w:t>
      </w:r>
      <w:r w:rsidRPr="00A428C3">
        <w:t>.</w:t>
      </w:r>
    </w:p>
    <w:p w:rsidR="0064661A" w:rsidRDefault="0064661A" w:rsidP="0064661A">
      <w:pPr>
        <w:pStyle w:val="a0"/>
      </w:pPr>
      <w:r>
        <w:rPr>
          <w:rFonts w:hint="eastAsia"/>
        </w:rPr>
        <w:t xml:space="preserve">Full Text: </w:t>
      </w:r>
      <w:hyperlink r:id="rId435" w:history="1">
        <w:r w:rsidRPr="0064661A">
          <w:rPr>
            <w:rStyle w:val="a5"/>
          </w:rPr>
          <w:t>-1959\Geo Soc Ame Bul59, 995.pdf</w:t>
        </w:r>
      </w:hyperlink>
    </w:p>
    <w:p w:rsidR="0064661A" w:rsidRDefault="0064661A" w:rsidP="0064661A">
      <w:pPr>
        <w:pStyle w:val="a0"/>
      </w:pPr>
      <w:r>
        <w:rPr>
          <w:rFonts w:hint="eastAsia"/>
        </w:rPr>
        <w:t>Abstract:</w:t>
      </w:r>
      <w:r w:rsidRPr="0064661A">
        <w:t xml:space="preserve"> </w:t>
      </w:r>
      <w:r>
        <w:t>Iwo Jima, in the western Pacific Ocean, consists of Motoyama, a broad volcanic</w:t>
      </w:r>
      <w:r>
        <w:rPr>
          <w:rFonts w:hint="eastAsia"/>
        </w:rPr>
        <w:t xml:space="preserve"> </w:t>
      </w:r>
      <w:r>
        <w:t>cone, at the north,</w:t>
      </w:r>
      <w:r w:rsidR="00F81221">
        <w:t xml:space="preserve"> and </w:t>
      </w:r>
      <w:r>
        <w:t>Mt. Suribachi at the south, with an undulating isthmus</w:t>
      </w:r>
      <w:r>
        <w:rPr>
          <w:rFonts w:hint="eastAsia"/>
        </w:rPr>
        <w:t xml:space="preserve"> </w:t>
      </w:r>
      <w:r>
        <w:t>between. Motoyama is largely light-gray-buff tuff. A thick andesitic lava flow</w:t>
      </w:r>
      <w:r>
        <w:rPr>
          <w:rFonts w:hint="eastAsia"/>
        </w:rPr>
        <w:t xml:space="preserve"> </w:t>
      </w:r>
      <w:r>
        <w:t>under Suribachi, exposed in several places, is overlain by a thick deposit of cinder</w:t>
      </w:r>
      <w:r w:rsidR="00F81221">
        <w:rPr>
          <w:rFonts w:hint="eastAsia"/>
        </w:rPr>
        <w:t xml:space="preserve"> and </w:t>
      </w:r>
      <w:r>
        <w:t>scoria. The isthmus (called Tidorigahara by the Japanese) is underlain by</w:t>
      </w:r>
      <w:r>
        <w:rPr>
          <w:rFonts w:hint="eastAsia"/>
        </w:rPr>
        <w:t xml:space="preserve"> </w:t>
      </w:r>
      <w:r>
        <w:t>more than 200 feet of loose black volcanic ash</w:t>
      </w:r>
      <w:r w:rsidR="00F81221">
        <w:t xml:space="preserve"> and </w:t>
      </w:r>
      <w:r>
        <w:t>fine cinder derived from Suribachi.</w:t>
      </w:r>
      <w:r>
        <w:rPr>
          <w:rFonts w:hint="eastAsia"/>
        </w:rPr>
        <w:t xml:space="preserve"> </w:t>
      </w:r>
      <w:r>
        <w:t>Several small coral reefs are located about 340</w:t>
      </w:r>
      <w:r w:rsidR="00F81221">
        <w:t xml:space="preserve"> and </w:t>
      </w:r>
      <w:r>
        <w:t>110 feet above present sea level.</w:t>
      </w:r>
      <w:r>
        <w:rPr>
          <w:rFonts w:hint="eastAsia"/>
        </w:rPr>
        <w:t xml:space="preserve"> </w:t>
      </w:r>
      <w:r>
        <w:t>Iwo Jima first came into existence, probably early in Pleistocene time, with the</w:t>
      </w:r>
      <w:r>
        <w:rPr>
          <w:rFonts w:hint="eastAsia"/>
        </w:rPr>
        <w:t xml:space="preserve"> </w:t>
      </w:r>
      <w:r>
        <w:t>building above sea level of the tuff cone of Motoyama. Quite late in the active life of</w:t>
      </w:r>
      <w:r>
        <w:rPr>
          <w:rFonts w:hint="eastAsia"/>
        </w:rPr>
        <w:t xml:space="preserve"> </w:t>
      </w:r>
      <w:r>
        <w:t>Motoyama, volcanic activity on the southwestern flank resulted in the formation of</w:t>
      </w:r>
      <w:r>
        <w:rPr>
          <w:rFonts w:hint="eastAsia"/>
        </w:rPr>
        <w:t xml:space="preserve"> </w:t>
      </w:r>
      <w:r>
        <w:t>Suribachi. This activity may have started with the welling up of the andesitic</w:t>
      </w:r>
      <w:r>
        <w:rPr>
          <w:rFonts w:hint="eastAsia"/>
        </w:rPr>
        <w:t xml:space="preserve"> </w:t>
      </w:r>
      <w:r>
        <w:t>lava which underlies Suribachi. Following the major eruption of Suribachi, relative</w:t>
      </w:r>
      <w:r>
        <w:rPr>
          <w:rFonts w:hint="eastAsia"/>
        </w:rPr>
        <w:t xml:space="preserve"> </w:t>
      </w:r>
      <w:r>
        <w:t>sea level changed,</w:t>
      </w:r>
      <w:r w:rsidR="00F81221">
        <w:t xml:space="preserve"> and </w:t>
      </w:r>
      <w:r>
        <w:t>the sea stood about 360 feet higher than at present. The</w:t>
      </w:r>
      <w:r>
        <w:rPr>
          <w:rFonts w:hint="eastAsia"/>
        </w:rPr>
        <w:t xml:space="preserve"> </w:t>
      </w:r>
      <w:r>
        <w:t>broad cone of Motoyama was beveled; the relative sea level then dropped 240 feet,</w:t>
      </w:r>
      <w:r>
        <w:rPr>
          <w:rFonts w:hint="eastAsia"/>
        </w:rPr>
        <w:t xml:space="preserve"> </w:t>
      </w:r>
      <w:r>
        <w:t>with minor halts to about 120 feet above present level. As the island rose, Suribachi</w:t>
      </w:r>
      <w:r>
        <w:rPr>
          <w:rFonts w:hint="eastAsia"/>
        </w:rPr>
        <w:t xml:space="preserve"> </w:t>
      </w:r>
      <w:r>
        <w:t>burst forth in its last stage of explosive activity. Wave erosion cut deeply into the</w:t>
      </w:r>
      <w:r>
        <w:rPr>
          <w:rFonts w:hint="eastAsia"/>
        </w:rPr>
        <w:t xml:space="preserve"> </w:t>
      </w:r>
      <w:r>
        <w:t>andesite flow of Suribachi,</w:t>
      </w:r>
      <w:r w:rsidR="00F81221">
        <w:t xml:space="preserve"> and </w:t>
      </w:r>
      <w:r>
        <w:t>a prominent bench level was formed 120 feet above</w:t>
      </w:r>
      <w:r>
        <w:rPr>
          <w:rFonts w:hint="eastAsia"/>
        </w:rPr>
        <w:t xml:space="preserve"> </w:t>
      </w:r>
      <w:r>
        <w:t>present sea level.</w:t>
      </w:r>
      <w:r>
        <w:rPr>
          <w:rFonts w:hint="eastAsia"/>
        </w:rPr>
        <w:t xml:space="preserve"> </w:t>
      </w:r>
      <w:r>
        <w:t>The Japanese on the island were often faced with serious water shortages.</w:t>
      </w:r>
      <w:r>
        <w:rPr>
          <w:rFonts w:hint="eastAsia"/>
        </w:rPr>
        <w:t xml:space="preserve"> </w:t>
      </w:r>
      <w:r>
        <w:t>Americans drilled wells</w:t>
      </w:r>
      <w:r w:rsidR="00F81221">
        <w:t xml:space="preserve"> and </w:t>
      </w:r>
      <w:r>
        <w:t>obtained moderately large supplies of usable water.</w:t>
      </w:r>
      <w:r>
        <w:rPr>
          <w:rFonts w:hint="eastAsia"/>
        </w:rPr>
        <w:t xml:space="preserve"> </w:t>
      </w:r>
      <w:r>
        <w:t>The temperature of the water ranges from 105° to 179° F.,</w:t>
      </w:r>
      <w:r w:rsidR="00F81221">
        <w:t xml:space="preserve"> and </w:t>
      </w:r>
      <w:r>
        <w:t>the water is somewhat</w:t>
      </w:r>
      <w:r>
        <w:rPr>
          <w:rFonts w:hint="eastAsia"/>
        </w:rPr>
        <w:t xml:space="preserve"> </w:t>
      </w:r>
      <w:r>
        <w:t xml:space="preserve">mineralized. The most favorable area for ground-water </w:t>
      </w:r>
      <w:r>
        <w:lastRenderedPageBreak/>
        <w:t>development is the isthmus.</w:t>
      </w:r>
    </w:p>
    <w:p w:rsidR="0064661A" w:rsidRPr="00A428C3" w:rsidRDefault="0064661A" w:rsidP="0064661A">
      <w:pPr>
        <w:pStyle w:val="a0"/>
      </w:pPr>
      <w:r w:rsidRPr="00A428C3">
        <w:t xml:space="preserve">Aki, K. (1988), Impact of earthquake seismology on the geological community since the Benioff zone. </w:t>
      </w:r>
      <w:r w:rsidRPr="00A428C3">
        <w:rPr>
          <w:i/>
        </w:rPr>
        <w:t xml:space="preserve">Geological Society of </w:t>
      </w:r>
      <w:smartTag w:uri="urn:schemas-microsoft-com:office:smarttags" w:element="place">
        <w:smartTag w:uri="urn:schemas-microsoft-com:office:smarttags" w:element="country-region">
          <w:r w:rsidRPr="00A428C3">
            <w:rPr>
              <w:i/>
            </w:rPr>
            <w:t>America</w:t>
          </w:r>
        </w:smartTag>
      </w:smartTag>
      <w:r w:rsidRPr="00A428C3">
        <w:rPr>
          <w:i/>
        </w:rPr>
        <w:t xml:space="preserve"> Bulletin</w:t>
      </w:r>
      <w:r w:rsidRPr="00A428C3">
        <w:t xml:space="preserve">, </w:t>
      </w:r>
      <w:r w:rsidRPr="00A428C3">
        <w:rPr>
          <w:b/>
        </w:rPr>
        <w:t>100</w:t>
      </w:r>
      <w:r w:rsidRPr="00A428C3">
        <w:t xml:space="preserve"> (5), 625-629.</w:t>
      </w:r>
    </w:p>
    <w:p w:rsidR="0064661A" w:rsidRDefault="0064661A" w:rsidP="0064661A">
      <w:pPr>
        <w:pStyle w:val="a0"/>
      </w:pPr>
      <w:r>
        <w:rPr>
          <w:rFonts w:hint="eastAsia"/>
        </w:rPr>
        <w:t xml:space="preserve">Full Text: </w:t>
      </w:r>
      <w:hyperlink r:id="rId436" w:history="1">
        <w:r w:rsidRPr="0064661A">
          <w:rPr>
            <w:rStyle w:val="a5"/>
          </w:rPr>
          <w:t>1988\Geo Soc Ame Bul100, 625.pdf</w:t>
        </w:r>
      </w:hyperlink>
    </w:p>
    <w:p w:rsidR="0064661A" w:rsidRDefault="0064661A" w:rsidP="0064661A">
      <w:pPr>
        <w:pStyle w:val="a0"/>
      </w:pPr>
      <w:r>
        <w:rPr>
          <w:rFonts w:hint="eastAsia"/>
        </w:rPr>
        <w:t xml:space="preserve">Abstract: </w:t>
      </w:r>
      <w:r>
        <w:t>For a small segment of a scientific community to make a significant impact on the broader community, the segment needs to gain strength by developing a consensus within itself. Earthquake seismologists reached a consensus about the existence of deep-focus earthquakes about 1930</w:t>
      </w:r>
      <w:r w:rsidR="00F81221">
        <w:t xml:space="preserve"> and </w:t>
      </w:r>
      <w:r>
        <w:t>accepted the first quantitative measure of earthquake magnitude in the 1940s. Benioff (1949, 1954) was able to present this consensus to the geological community by publishing a coherent picture of deep tectonic processes in the Bulletin of the Geological Society of America. The next major impact from earthquake seismology after the Benioff zone came from the final acceptance of Reid</w:t>
      </w:r>
      <w:r w:rsidR="000352E7">
        <w:t>’</w:t>
      </w:r>
      <w:r>
        <w:t>s elastic rebound theory in the early 1960s after two controversies were resolved. The mathematical framework for determining the earthquake fault process from observed seismograms was firmly established</w:t>
      </w:r>
      <w:r w:rsidR="00F81221">
        <w:t xml:space="preserve"> and </w:t>
      </w:r>
      <w:r>
        <w:t xml:space="preserve">has been extensively used in the past two decades. One outcome was the new measure of the size of an earthquake, seismic moment, which directly links geological observations of faults with the seismic ground motions. The latest impact which has begun to be felt by the geological community comes from the consensus about </w:t>
      </w:r>
      <w:r w:rsidR="000352E7">
        <w:t>“</w:t>
      </w:r>
      <w:r>
        <w:t>seismic tomography</w:t>
      </w:r>
      <w:r w:rsidR="000352E7">
        <w:t>”</w:t>
      </w:r>
      <w:r>
        <w:t xml:space="preserve"> which represents the commitment of the seismological community to go beyond the classic one- dimensional earth model to search for a three-dimensi</w:t>
      </w:r>
      <w:r w:rsidR="00E603DF">
        <w:t>onal image of Earth</w:t>
      </w:r>
      <w:r w:rsidR="000352E7">
        <w:t>’</w:t>
      </w:r>
      <w:r w:rsidR="00E603DF">
        <w:t>s interior.</w:t>
      </w:r>
    </w:p>
    <w:p w:rsidR="00B95188" w:rsidRPr="00A428C3" w:rsidRDefault="00B95188" w:rsidP="00B95188">
      <w:pPr>
        <w:pStyle w:val="1"/>
      </w:pPr>
      <w:r w:rsidRPr="00A428C3">
        <w:br w:type="page"/>
      </w:r>
      <w:bookmarkStart w:id="314" w:name="_Toc490687989"/>
      <w:bookmarkStart w:id="315" w:name="_Toc492807647"/>
      <w:bookmarkStart w:id="316" w:name="_Toc186647717"/>
      <w:bookmarkStart w:id="317" w:name="_Toc317160925"/>
      <w:r w:rsidRPr="00A428C3">
        <w:lastRenderedPageBreak/>
        <w:t>Title: Geology</w:t>
      </w:r>
      <w:bookmarkEnd w:id="314"/>
      <w:bookmarkEnd w:id="315"/>
      <w:bookmarkEnd w:id="316"/>
      <w:bookmarkEnd w:id="317"/>
    </w:p>
    <w:p w:rsidR="00B95188" w:rsidRPr="00A428C3" w:rsidRDefault="00B95188" w:rsidP="00B72EF9">
      <w:pPr>
        <w:pStyle w:val="12"/>
      </w:pPr>
      <w:r w:rsidRPr="00A428C3">
        <w:t xml:space="preserve">Full Journal Title: </w:t>
      </w:r>
      <w:hyperlink r:id="rId437" w:history="1">
        <w:r w:rsidRPr="00A428C3">
          <w:rPr>
            <w:rStyle w:val="a5"/>
          </w:rPr>
          <w:t>Geology</w:t>
        </w:r>
      </w:hyperlink>
    </w:p>
    <w:p w:rsidR="00B95188" w:rsidRPr="00A428C3" w:rsidRDefault="00B95188" w:rsidP="00B72EF9">
      <w:pPr>
        <w:pStyle w:val="12"/>
      </w:pPr>
      <w:r w:rsidRPr="00A428C3">
        <w:t>ISO Abbreviated Title: Geology</w:t>
      </w:r>
    </w:p>
    <w:p w:rsidR="00B95188" w:rsidRPr="00A428C3" w:rsidRDefault="00B95188" w:rsidP="00B72EF9">
      <w:pPr>
        <w:pStyle w:val="12"/>
      </w:pPr>
      <w:r w:rsidRPr="00A428C3">
        <w:t>JCR Abbreviated Title: Geology</w:t>
      </w:r>
    </w:p>
    <w:p w:rsidR="00B95188" w:rsidRPr="00A428C3" w:rsidRDefault="00B95188" w:rsidP="00B72EF9">
      <w:pPr>
        <w:pStyle w:val="12"/>
      </w:pPr>
      <w:r w:rsidRPr="00A428C3">
        <w:t>ISSN: 0091-7613</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Geological Soc America,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 9140</w:t>
          </w:r>
        </w:smartTag>
        <w:r w:rsidRPr="00A428C3">
          <w:t xml:space="preserve">, </w:t>
        </w:r>
        <w:smartTag w:uri="urn:schemas-microsoft-com:office:smarttags" w:element="City">
          <w:r w:rsidRPr="00A428C3">
            <w:t>Boulder</w:t>
          </w:r>
        </w:smartTag>
        <w:r w:rsidRPr="00A428C3">
          <w:t xml:space="preserve">, </w:t>
        </w:r>
        <w:smartTag w:uri="urn:schemas-microsoft-com:office:smarttags" w:element="State">
          <w:r w:rsidRPr="00A428C3">
            <w:t>CO</w:t>
          </w:r>
        </w:smartTag>
        <w:r w:rsidRPr="00A428C3">
          <w:t xml:space="preserve"> </w:t>
        </w:r>
        <w:smartTag w:uri="urn:schemas-microsoft-com:office:smarttags" w:element="PostalCode">
          <w:r w:rsidRPr="00A428C3">
            <w:t>80301-9140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Geology: Impact Factor </w:t>
      </w:r>
    </w:p>
    <w:p w:rsidR="00B95188" w:rsidRPr="00A428C3" w:rsidRDefault="00B95188" w:rsidP="00B95188">
      <w:pPr>
        <w:pStyle w:val="a0"/>
      </w:pPr>
      <w:r w:rsidRPr="00A428C3">
        <w:t>? Smit, J., Montanari, A., Swinburne, N.H.M., Alvarez, W., Hildebrand, A.R., Margolis, S.V., Claeys, P., Lowrie, W.</w:t>
      </w:r>
      <w:r w:rsidR="00F81221">
        <w:t xml:space="preserve"> and </w:t>
      </w:r>
      <w:r w:rsidRPr="00A428C3">
        <w:t xml:space="preserve">Asaro, F. (1992), Tektite-bearing, deep-water clastic unit at the cretaceous-tertiary boundary in northeastern </w:t>
      </w:r>
      <w:smartTag w:uri="urn:schemas-microsoft-com:office:smarttags" w:element="place">
        <w:smartTag w:uri="urn:schemas-microsoft-com:office:smarttags" w:element="country-region">
          <w:r w:rsidRPr="00A428C3">
            <w:t>Mexico</w:t>
          </w:r>
        </w:smartTag>
      </w:smartTag>
      <w:r w:rsidRPr="00A428C3">
        <w:t xml:space="preserve">. </w:t>
      </w:r>
      <w:r w:rsidRPr="00A428C3">
        <w:rPr>
          <w:i/>
        </w:rPr>
        <w:t>Geology</w:t>
      </w:r>
      <w:r w:rsidRPr="00A428C3">
        <w:t xml:space="preserve">, </w:t>
      </w:r>
      <w:r w:rsidRPr="00A428C3">
        <w:rPr>
          <w:b/>
        </w:rPr>
        <w:t>20</w:t>
      </w:r>
      <w:r w:rsidRPr="00A428C3">
        <w:t xml:space="preserve"> (2), 99-103.</w:t>
      </w:r>
    </w:p>
    <w:p w:rsidR="00B95188" w:rsidRPr="00A428C3" w:rsidRDefault="00B95188" w:rsidP="00B95188">
      <w:pPr>
        <w:pStyle w:val="a0"/>
      </w:pPr>
      <w:r w:rsidRPr="00A428C3">
        <w:t xml:space="preserve">Abstract: The hypothesis of Cretaceous-Tertiary (K-T) boundary impact on </w:t>
      </w:r>
      <w:smartTag w:uri="urn:schemas-microsoft-com:office:smarttags" w:element="State">
        <w:r w:rsidRPr="00A428C3">
          <w:t>Yucatan</w:t>
        </w:r>
      </w:smartTag>
      <w:r w:rsidRPr="00A428C3">
        <w:t xml:space="preserve">, </w:t>
      </w:r>
      <w:smartTag w:uri="urn:schemas-microsoft-com:office:smarttags" w:element="place">
        <w:smartTag w:uri="urn:schemas-microsoft-com:office:smarttags" w:element="country-region">
          <w:r w:rsidRPr="00A428C3">
            <w:t>Mexico</w:t>
          </w:r>
        </w:smartTag>
      </w:smartTag>
      <w:r w:rsidRPr="00A428C3">
        <w:t>, predicts that nearby sites should show evidence of proximal impact ejecta</w:t>
      </w:r>
      <w:r w:rsidR="00F81221">
        <w:t xml:space="preserve"> and </w:t>
      </w:r>
      <w:r w:rsidRPr="00A428C3">
        <w:t xml:space="preserve">disturbance by giant waves. An outcrop along the Arroyo el Mimbral in northeastern </w:t>
      </w:r>
      <w:smartTag w:uri="urn:schemas-microsoft-com:office:smarttags" w:element="place">
        <w:smartTag w:uri="urn:schemas-microsoft-com:office:smarttags" w:element="country-region">
          <w:r w:rsidRPr="00A428C3">
            <w:t>Mexico</w:t>
          </w:r>
        </w:smartTag>
      </w:smartTag>
      <w:r w:rsidRPr="00A428C3">
        <w:t xml:space="preserve"> contains a layered clastic unit up to </w:t>
      </w:r>
      <w:smartTag w:uri="urn:schemas-microsoft-com:office:smarttags" w:element="chmetcnv">
        <w:smartTagPr>
          <w:attr w:name="TCSC" w:val="0"/>
          <w:attr w:name="NumberType" w:val="1"/>
          <w:attr w:name="Negative" w:val="False"/>
          <w:attr w:name="HasSpace" w:val="True"/>
          <w:attr w:name="SourceValue" w:val="3"/>
          <w:attr w:name="UnitName" w:val="m"/>
        </w:smartTagPr>
        <w:r w:rsidRPr="00A428C3">
          <w:t>3 m</w:t>
        </w:r>
      </w:smartTag>
      <w:r w:rsidRPr="00A428C3">
        <w:t xml:space="preserve"> thick that interrupts a biostratigraphically complete pelagic-marl sequence deposited at more than </w:t>
      </w:r>
      <w:smartTag w:uri="urn:schemas-microsoft-com:office:smarttags" w:element="chmetcnv">
        <w:smartTagPr>
          <w:attr w:name="TCSC" w:val="0"/>
          <w:attr w:name="NumberType" w:val="1"/>
          <w:attr w:name="Negative" w:val="False"/>
          <w:attr w:name="HasSpace" w:val="True"/>
          <w:attr w:name="SourceValue" w:val="400"/>
          <w:attr w:name="UnitName" w:val="m"/>
        </w:smartTagPr>
        <w:r w:rsidRPr="00A428C3">
          <w:t>400 m</w:t>
        </w:r>
      </w:smartTag>
      <w:r w:rsidRPr="00A428C3">
        <w:t xml:space="preserve"> water depth. The marls were found to be unsuitable for determining magnetostratigraphy, but foraminiferal biostratigraphy places the clastic unit precisely at the K-T boundary. We interpret this clastic unit as the deposit of a megawave or tsunami produced by an extraterrestrial impact. The clastic unit comprises three main subunits. (1) The basal </w:t>
      </w:r>
      <w:r w:rsidR="000352E7">
        <w:t>“</w:t>
      </w:r>
      <w:r w:rsidRPr="00A428C3">
        <w:t>spherule bed</w:t>
      </w:r>
      <w:r w:rsidR="000352E7">
        <w:t>”</w:t>
      </w:r>
      <w:r w:rsidRPr="00A428C3">
        <w:t xml:space="preserve"> contains glass in the form of tektites</w:t>
      </w:r>
      <w:r w:rsidR="00F81221">
        <w:t xml:space="preserve"> and </w:t>
      </w:r>
      <w:r w:rsidRPr="00A428C3">
        <w:t>microtektites, glass spherules replaced by chlorite-smectite</w:t>
      </w:r>
      <w:r w:rsidR="00F81221">
        <w:t xml:space="preserve"> and </w:t>
      </w:r>
      <w:r w:rsidRPr="00A428C3">
        <w:t>calcite,</w:t>
      </w:r>
      <w:r w:rsidR="00F81221">
        <w:t xml:space="preserve"> and </w:t>
      </w:r>
      <w:r w:rsidRPr="00A428C3">
        <w:t xml:space="preserve">quartz grains showing probable shock features. This bed is interpreted as a channelized deposit of proximal ejecta. (2) A set of lenticular, massive, graded </w:t>
      </w:r>
      <w:r w:rsidR="000352E7">
        <w:t>“</w:t>
      </w:r>
      <w:r w:rsidRPr="00A428C3">
        <w:t>laminated beds</w:t>
      </w:r>
      <w:r w:rsidR="000352E7">
        <w:t>”</w:t>
      </w:r>
      <w:r w:rsidRPr="00A428C3">
        <w:t xml:space="preserve"> contains intraclasts</w:t>
      </w:r>
      <w:r w:rsidR="00F81221">
        <w:t xml:space="preserve"> and </w:t>
      </w:r>
      <w:r w:rsidRPr="00A428C3">
        <w:t>abundant plant debris,</w:t>
      </w:r>
      <w:r w:rsidR="00F81221">
        <w:t xml:space="preserve"> and </w:t>
      </w:r>
      <w:r w:rsidRPr="00A428C3">
        <w:t xml:space="preserve">may be the result of megawave backwash that carried coarse debris from shallow parts of the continental margin into deeper water. (3) At the top, several thin </w:t>
      </w:r>
      <w:r w:rsidR="000352E7">
        <w:t>“</w:t>
      </w:r>
      <w:r w:rsidRPr="00A428C3">
        <w:t>ripple beds</w:t>
      </w:r>
      <w:r w:rsidR="000352E7">
        <w:t>”</w:t>
      </w:r>
      <w:r w:rsidRPr="00A428C3">
        <w:t xml:space="preserve"> composed of fine sand are separated by clay drapes; they are interpreted as deposits of oscillating currents, perhaps a seiche. An iridium anomaly (921 +/- 23 pg/g) is observed at the top of the ripple beds. Our observations at the Mimbral locality support the hypothesis of a K-T impact on nearby </w:t>
      </w:r>
      <w:smartTag w:uri="urn:schemas-microsoft-com:office:smarttags" w:element="place">
        <w:smartTag w:uri="urn:schemas-microsoft-com:office:smarttags" w:element="State">
          <w:r w:rsidRPr="00A428C3">
            <w:t>Yucatan</w:t>
          </w:r>
        </w:smartTag>
      </w:smartTag>
      <w:r w:rsidRPr="00A428C3">
        <w:t>.</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State">
          <w:r w:rsidRPr="00A428C3">
            <w:t>Texas</w:t>
          </w:r>
        </w:smartTag>
      </w:smartTag>
    </w:p>
    <w:p w:rsidR="00B95188" w:rsidRPr="00A428C3" w:rsidRDefault="00B95188" w:rsidP="00B95188">
      <w:pPr>
        <w:pStyle w:val="a0"/>
      </w:pPr>
      <w:r w:rsidRPr="00A428C3">
        <w:lastRenderedPageBreak/>
        <w:t>Dorsey, R.J., Umhoefer, P.J.</w:t>
      </w:r>
      <w:r w:rsidR="00F81221">
        <w:t xml:space="preserve"> and </w:t>
      </w:r>
      <w:r w:rsidRPr="00A428C3">
        <w:t xml:space="preserve">Falk, P.D. (1997), Earthquake clustering inferred from Pliocene Gilbert-type fan deltas in the Loreto basin, </w:t>
      </w:r>
      <w:smartTag w:uri="urn:schemas-microsoft-com:office:smarttags" w:element="State">
        <w:r w:rsidRPr="00A428C3">
          <w:t>Baja California</w:t>
        </w:r>
      </w:smartTag>
      <w:r w:rsidRPr="00A428C3">
        <w:t xml:space="preserve"> </w:t>
      </w:r>
      <w:smartTag w:uri="urn:schemas-microsoft-com:office:smarttags" w:element="place">
        <w:smartTag w:uri="urn:schemas-microsoft-com:office:smarttags" w:element="City">
          <w:r w:rsidRPr="00A428C3">
            <w:t>Sur</w:t>
          </w:r>
        </w:smartTag>
        <w:r w:rsidRPr="00A428C3">
          <w:t xml:space="preserve">, </w:t>
        </w:r>
        <w:smartTag w:uri="urn:schemas-microsoft-com:office:smarttags" w:element="country-region">
          <w:r w:rsidRPr="00A428C3">
            <w:t>Mexico</w:t>
          </w:r>
        </w:smartTag>
      </w:smartTag>
      <w:r w:rsidRPr="00A428C3">
        <w:t xml:space="preserve">. </w:t>
      </w:r>
      <w:r w:rsidRPr="00A428C3">
        <w:rPr>
          <w:i/>
        </w:rPr>
        <w:t>Geology</w:t>
      </w:r>
      <w:r w:rsidRPr="00A428C3">
        <w:t xml:space="preserve">, </w:t>
      </w:r>
      <w:r w:rsidRPr="00A428C3">
        <w:rPr>
          <w:b/>
        </w:rPr>
        <w:t>25</w:t>
      </w:r>
      <w:r w:rsidRPr="00A428C3">
        <w:t xml:space="preserve"> (8), 679-682.</w:t>
      </w:r>
    </w:p>
    <w:p w:rsidR="00B95188" w:rsidRPr="00A428C3" w:rsidRDefault="00B95188" w:rsidP="00B95188">
      <w:pPr>
        <w:pStyle w:val="a0"/>
      </w:pPr>
      <w:r w:rsidRPr="00A428C3">
        <w:t>Abstract: A stacked sequence of Pliocene Gilbert-type fan deltas in the Loreto basin was shed from the footwall of the dextral-normal Loreto fault</w:t>
      </w:r>
      <w:r w:rsidR="00F81221">
        <w:t xml:space="preserve"> and </w:t>
      </w:r>
      <w:r w:rsidRPr="00A428C3">
        <w:t>deposited at the margin of a marine basin during rapid fault controlled subsidence. Fan-delta parasequences coarsen upward from marine siltstone</w:t>
      </w:r>
      <w:r w:rsidR="00F81221">
        <w:t xml:space="preserve"> and </w:t>
      </w:r>
      <w:r w:rsidRPr="00A428C3">
        <w:t>sandstone at the base, through sandy bottomsets</w:t>
      </w:r>
      <w:r w:rsidR="00F81221">
        <w:t xml:space="preserve"> and </w:t>
      </w:r>
      <w:r w:rsidRPr="00A428C3">
        <w:t>gravelly foresets, to gravelly nonmarine topsets. Each topset unit is capped by a thin shell bed that records marine flooding of the delta plain. Several mechanisms may have produced repetitive vertical stacking of Gilbert deltas: (1) autocyclic delta-lobe switching; (2) eustatic sea-level fluctuations; (3) climatically controlled fluctuations in sediment input;</w:t>
      </w:r>
      <w:r w:rsidR="00F81221">
        <w:t xml:space="preserve"> and </w:t>
      </w:r>
      <w:r w:rsidRPr="00A428C3">
        <w:t>(4) episodic subsidence produced by temporal clustering of earthquakes. We favor hypothesis 4 far several reasons, but hypotheses 2</w:t>
      </w:r>
      <w:r w:rsidR="00F81221">
        <w:t xml:space="preserve"> and </w:t>
      </w:r>
      <w:r w:rsidRPr="00A428C3">
        <w:t>3 cannot be rejected at this time. Earthquake clustering can readily produce episodic subsidence at spatial</w:t>
      </w:r>
      <w:r w:rsidR="00F81221">
        <w:t xml:space="preserve"> and </w:t>
      </w:r>
      <w:r w:rsidRPr="00A428C3">
        <w:t>temporal scales consistent with stratigraphic trends observed in the Loreto basin. This model is supported by comparison with paleoseismological studies that document clustering on active faults over a wide range of time scales. Earthquake clustering is a nem concept in basin analysis that may be helpful for understanding repetitive stratigraphy in tectonically active basins.</w:t>
      </w:r>
    </w:p>
    <w:p w:rsidR="00B95188" w:rsidRPr="00A428C3" w:rsidRDefault="00B95188" w:rsidP="00B95188">
      <w:pPr>
        <w:pStyle w:val="a0"/>
      </w:pPr>
      <w:r w:rsidRPr="00A428C3">
        <w:t>? Jacoby, G.C., Bunker, D.E.</w:t>
      </w:r>
      <w:r w:rsidR="00F81221">
        <w:t xml:space="preserve"> and </w:t>
      </w:r>
      <w:r w:rsidRPr="00A428C3">
        <w:t>Benson, B.E. (1997), Tree-ring evidence for an AD 1700 Cascadia earthquake in Washington</w:t>
      </w:r>
      <w:r w:rsidR="00F81221">
        <w:t xml:space="preserve"> and </w:t>
      </w:r>
      <w:r w:rsidRPr="00A428C3">
        <w:t xml:space="preserve">northern </w:t>
      </w:r>
      <w:smartTag w:uri="urn:schemas-microsoft-com:office:smarttags" w:element="place">
        <w:smartTag w:uri="urn:schemas-microsoft-com:office:smarttags" w:element="State">
          <w:r w:rsidRPr="00A428C3">
            <w:t>Oregon</w:t>
          </w:r>
        </w:smartTag>
      </w:smartTag>
      <w:r w:rsidRPr="00A428C3">
        <w:t xml:space="preserve">. </w:t>
      </w:r>
      <w:r w:rsidRPr="00A428C3">
        <w:rPr>
          <w:i/>
        </w:rPr>
        <w:t>Geology</w:t>
      </w:r>
      <w:r w:rsidRPr="00A428C3">
        <w:t xml:space="preserve">, </w:t>
      </w:r>
      <w:r w:rsidRPr="00A428C3">
        <w:rPr>
          <w:b/>
        </w:rPr>
        <w:t>25</w:t>
      </w:r>
      <w:r w:rsidRPr="00A428C3">
        <w:t xml:space="preserve"> (11), 999-1002.</w:t>
      </w:r>
    </w:p>
    <w:p w:rsidR="00B95188" w:rsidRPr="00A428C3" w:rsidRDefault="00B95188" w:rsidP="00B95188">
      <w:pPr>
        <w:pStyle w:val="a0"/>
      </w:pPr>
      <w:r w:rsidRPr="00A428C3">
        <w:t>Abstract: Geologic evidence</w:t>
      </w:r>
      <w:r w:rsidR="00F81221">
        <w:t xml:space="preserve"> and </w:t>
      </w:r>
      <w:r w:rsidRPr="00A428C3">
        <w:t xml:space="preserve">radiocarbon dating indicate that a subduction earthquake, or series of earthquakes, occurred about 300 yr ago along the Pacific Northwest coast of the </w:t>
      </w:r>
      <w:smartTag w:uri="urn:schemas-microsoft-com:office:smarttags" w:element="place">
        <w:smartTag w:uri="urn:schemas-microsoft-com:office:smarttags" w:element="country-region">
          <w:r w:rsidRPr="00A428C3">
            <w:t>United States</w:t>
          </w:r>
        </w:smartTag>
      </w:smartTag>
      <w:r w:rsidRPr="00A428C3">
        <w:t>. Some radiocarbon dates come from remnants of the myriad trees drowned by coincident subsidence. At several coastal lowland locations in Washington</w:t>
      </w:r>
      <w:r w:rsidR="00F81221">
        <w:t xml:space="preserve"> and </w:t>
      </w:r>
      <w:r w:rsidRPr="00A428C3">
        <w:t xml:space="preserve">northern </w:t>
      </w:r>
      <w:smartTag w:uri="urn:schemas-microsoft-com:office:smarttags" w:element="place">
        <w:smartTag w:uri="urn:schemas-microsoft-com:office:smarttags" w:element="State">
          <w:r w:rsidRPr="00A428C3">
            <w:t>Oregon</w:t>
          </w:r>
        </w:smartTag>
      </w:smartTag>
      <w:r w:rsidRPr="00A428C3">
        <w:t>, we located two or more trees that survived partial submergence</w:t>
      </w:r>
      <w:r w:rsidR="00F81221">
        <w:t xml:space="preserve"> and </w:t>
      </w:r>
      <w:r w:rsidRPr="00A428C3">
        <w:t>lived to the 1990s. Many of them were damaged by shaking and/or inundation. Some survivors recorded the event(s) by anomalous changes in ring width or anatomy of their annual rings, The disturbance initiating the changes can be dated to between the growing seasons of A.D. 1699</w:t>
      </w:r>
      <w:r w:rsidR="00F81221">
        <w:t xml:space="preserve"> and </w:t>
      </w:r>
      <w:r w:rsidRPr="00A428C3">
        <w:t xml:space="preserve">1700. One killed tree has a last ring of A.D. 1699. Tree-ring dated evidence of disturbance extends along about </w:t>
      </w:r>
      <w:smartTag w:uri="urn:schemas-microsoft-com:office:smarttags" w:element="chmetcnv">
        <w:smartTagPr>
          <w:attr w:name="TCSC" w:val="0"/>
          <w:attr w:name="NumberType" w:val="1"/>
          <w:attr w:name="Negative" w:val="False"/>
          <w:attr w:name="HasSpace" w:val="True"/>
          <w:attr w:name="SourceValue" w:val="100"/>
          <w:attr w:name="UnitName" w:val="km"/>
        </w:smartTagPr>
        <w:r w:rsidRPr="00A428C3">
          <w:t>100 km</w:t>
        </w:r>
      </w:smartTag>
      <w:r w:rsidRPr="00A428C3">
        <w:t xml:space="preserve"> of coastal Washington</w:t>
      </w:r>
      <w:r w:rsidR="00F81221">
        <w:t xml:space="preserve"> and </w:t>
      </w:r>
      <w:r w:rsidRPr="00A428C3">
        <w:t xml:space="preserve">northern </w:t>
      </w:r>
      <w:smartTag w:uri="urn:schemas-microsoft-com:office:smarttags" w:element="State">
        <w:r w:rsidRPr="00A428C3">
          <w:t>Oregon</w:t>
        </w:r>
      </w:smartTag>
      <w:r w:rsidRPr="00A428C3">
        <w:t xml:space="preserve">, These results support the inference that a great (M-W similar to 8) earthquake or larger at the Cascadia subduction zone generated the historical tsunami that struck </w:t>
      </w:r>
      <w:smartTag w:uri="urn:schemas-microsoft-com:office:smarttags" w:element="place">
        <w:smartTag w:uri="urn:schemas-microsoft-com:office:smarttags" w:element="country-region">
          <w:r w:rsidRPr="00A428C3">
            <w:t>Japan</w:t>
          </w:r>
        </w:smartTag>
      </w:smartTag>
      <w:r w:rsidRPr="00A428C3">
        <w:t xml:space="preserve"> in January 1700.</w:t>
      </w:r>
    </w:p>
    <w:p w:rsidR="00B95188" w:rsidRPr="00A428C3" w:rsidRDefault="00B95188" w:rsidP="00B95188">
      <w:pPr>
        <w:pStyle w:val="a0"/>
      </w:pPr>
      <w:r w:rsidRPr="00A428C3">
        <w:t xml:space="preserve">Keywords: Lodgepole Pine, </w:t>
      </w:r>
      <w:smartTag w:uri="urn:schemas-microsoft-com:office:smarttags" w:element="place">
        <w:smartTag w:uri="urn:schemas-microsoft-com:office:smarttags" w:element="City">
          <w:r w:rsidRPr="00A428C3">
            <w:t>Sitka</w:t>
          </w:r>
        </w:smartTag>
      </w:smartTag>
      <w:r w:rsidRPr="00A428C3">
        <w:t xml:space="preserve"> Spruce, Subduction Zone, Tolerance, Roots, State</w:t>
      </w:r>
    </w:p>
    <w:p w:rsidR="00B95188" w:rsidRPr="00A428C3" w:rsidRDefault="00B95188" w:rsidP="00B95188">
      <w:pPr>
        <w:pStyle w:val="a0"/>
      </w:pPr>
      <w:r w:rsidRPr="00A428C3">
        <w:t>Geist, E.L.</w:t>
      </w:r>
      <w:r w:rsidR="00F81221">
        <w:t xml:space="preserve"> and </w:t>
      </w:r>
      <w:r w:rsidRPr="00A428C3">
        <w:t>Zoback, M.L. (1999), Analysis of the tsunami generated by the M</w:t>
      </w:r>
      <w:r w:rsidRPr="00A428C3">
        <w:rPr>
          <w:vertAlign w:val="subscript"/>
        </w:rPr>
        <w:t>W</w:t>
      </w:r>
      <w:r w:rsidRPr="00A428C3">
        <w:t xml:space="preserve"> 7.8 </w:t>
      </w:r>
      <w:r w:rsidRPr="00A428C3">
        <w:lastRenderedPageBreak/>
        <w:t xml:space="preserve">1906 </w:t>
      </w:r>
      <w:smartTag w:uri="urn:schemas-microsoft-com:office:smarttags" w:element="place">
        <w:smartTag w:uri="urn:schemas-microsoft-com:office:smarttags" w:element="City">
          <w:r w:rsidRPr="00A428C3">
            <w:t>San Francisco</w:t>
          </w:r>
        </w:smartTag>
      </w:smartTag>
      <w:r w:rsidRPr="00A428C3">
        <w:t xml:space="preserve"> earthquake. </w:t>
      </w:r>
      <w:r w:rsidRPr="00A428C3">
        <w:rPr>
          <w:i/>
        </w:rPr>
        <w:t>Geology</w:t>
      </w:r>
      <w:r w:rsidRPr="00A428C3">
        <w:t xml:space="preserve">, </w:t>
      </w:r>
      <w:r w:rsidRPr="00A428C3">
        <w:rPr>
          <w:b/>
        </w:rPr>
        <w:t>27</w:t>
      </w:r>
      <w:r w:rsidRPr="00A428C3">
        <w:t xml:space="preserve"> (1), 15-18.</w:t>
      </w:r>
    </w:p>
    <w:p w:rsidR="00B95188" w:rsidRPr="00A428C3" w:rsidRDefault="00B95188" w:rsidP="00B95188">
      <w:pPr>
        <w:pStyle w:val="a0"/>
      </w:pPr>
      <w:r w:rsidRPr="00A428C3">
        <w:t xml:space="preserve">Abstract: We examine possible sources of a small tsunami produced by the 1906 </w:t>
      </w:r>
      <w:smartTag w:uri="urn:schemas-microsoft-com:office:smarttags" w:element="City">
        <w:r w:rsidRPr="00A428C3">
          <w:t>San Francisco</w:t>
        </w:r>
      </w:smartTag>
      <w:r w:rsidRPr="00A428C3">
        <w:t xml:space="preserve"> earthquake, recorded at a single tide gauge station situated at the opening to </w:t>
      </w:r>
      <w:smartTag w:uri="urn:schemas-microsoft-com:office:smarttags" w:element="place">
        <w:smartTag w:uri="urn:schemas-microsoft-com:office:smarttags" w:element="PlaceName">
          <w:r w:rsidRPr="00A428C3">
            <w:t>San Francisco</w:t>
          </w:r>
        </w:smartTag>
        <w:r w:rsidRPr="00A428C3">
          <w:t xml:space="preserve"> </w:t>
        </w:r>
        <w:smartTag w:uri="urn:schemas-microsoft-com:office:smarttags" w:element="PlaceType">
          <w:r w:rsidRPr="00A428C3">
            <w:t>Bay</w:t>
          </w:r>
        </w:smartTag>
      </w:smartTag>
      <w:r w:rsidRPr="00A428C3">
        <w:t>. Coseismic vertical displacement fields were calculated using elastic dislocation theory for geodetically constrained horizontal slip along a variety of offshore fault geometries. Propagation of the ensuing tsunami was calculated using a shallow-water hydrodynamic model that takes into account the effects of bottom friction. The observed amplitude</w:t>
      </w:r>
      <w:r w:rsidR="00F81221">
        <w:t xml:space="preserve"> and </w:t>
      </w:r>
      <w:r w:rsidRPr="00A428C3">
        <w:t>negative pulse of the first arrival are shown to be inconsistent with small vertical displacements (similar to 4</w:t>
      </w:r>
      <w:smartTag w:uri="urn:schemas-microsoft-com:office:smarttags" w:element="chmetcnv">
        <w:smartTagPr>
          <w:attr w:name="TCSC" w:val="0"/>
          <w:attr w:name="NumberType" w:val="1"/>
          <w:attr w:name="Negative" w:val="True"/>
          <w:attr w:name="HasSpace" w:val="True"/>
          <w:attr w:name="SourceValue" w:val="6"/>
          <w:attr w:name="UnitName" w:val="cm"/>
        </w:smartTagPr>
        <w:r w:rsidRPr="00A428C3">
          <w:t>-6 cm</w:t>
        </w:r>
      </w:smartTag>
      <w:r w:rsidRPr="00A428C3">
        <w:t xml:space="preserve">) arising from pure horizontal slip along a continuous right bend in the San Andreas fault offshore. The primary source region of the tsunami was most likely a recently recognized </w:t>
      </w:r>
      <w:smartTag w:uri="urn:schemas-microsoft-com:office:smarttags" w:element="chmetcnv">
        <w:smartTagPr>
          <w:attr w:name="TCSC" w:val="0"/>
          <w:attr w:name="NumberType" w:val="1"/>
          <w:attr w:name="Negative" w:val="False"/>
          <w:attr w:name="HasSpace" w:val="True"/>
          <w:attr w:name="SourceValue" w:val="3"/>
          <w:attr w:name="UnitName" w:val="km"/>
        </w:smartTagPr>
        <w:r w:rsidRPr="00A428C3">
          <w:t>3 km</w:t>
        </w:r>
      </w:smartTag>
      <w:r w:rsidRPr="00A428C3">
        <w:t xml:space="preserve"> right step in the </w:t>
      </w:r>
      <w:smartTag w:uri="urn:schemas-microsoft-com:office:smarttags" w:element="place">
        <w:r w:rsidRPr="00A428C3">
          <w:t>San Andreas fault</w:t>
        </w:r>
      </w:smartTag>
      <w:r w:rsidRPr="00A428C3">
        <w:t xml:space="preserve"> that is also the probable epicentral region for the 1906 earthquake. Tsunami models that include the 3 </w:t>
      </w:r>
      <w:smartTag w:uri="urn:schemas-microsoft-com:office:smarttags" w:element="place">
        <w:r w:rsidRPr="00A428C3">
          <w:t>Inn</w:t>
        </w:r>
      </w:smartTag>
      <w:r w:rsidRPr="00A428C3">
        <w:t xml:space="preserve"> right step with pure horizontal slip match the arrival time of the tsunami, but underestimate the amplitude of the negative first-arrival pulse. Both the amplitude</w:t>
      </w:r>
      <w:r w:rsidR="00F81221">
        <w:t xml:space="preserve"> and </w:t>
      </w:r>
      <w:r w:rsidRPr="00A428C3">
        <w:t>time of the first arrival are adequately matched by using a rupture geometry similar to that defined for the 1995 M</w:t>
      </w:r>
      <w:r w:rsidRPr="00A428C3">
        <w:rPr>
          <w:vertAlign w:val="subscript"/>
        </w:rPr>
        <w:t>w</w:t>
      </w:r>
      <w:r w:rsidRPr="00A428C3">
        <w:t xml:space="preserve"> (moment magnitude) 6.9 Kobe earthquake: i.e., fault segments dipping toward each other within the stepover region (83 degrees dip, intersecting at </w:t>
      </w:r>
      <w:smartTag w:uri="urn:schemas-microsoft-com:office:smarttags" w:element="chmetcnv">
        <w:smartTagPr>
          <w:attr w:name="TCSC" w:val="0"/>
          <w:attr w:name="NumberType" w:val="1"/>
          <w:attr w:name="Negative" w:val="False"/>
          <w:attr w:name="HasSpace" w:val="True"/>
          <w:attr w:name="SourceValue" w:val="10"/>
          <w:attr w:name="UnitName" w:val="km"/>
        </w:smartTagPr>
        <w:r w:rsidRPr="00A428C3">
          <w:t>10 km</w:t>
        </w:r>
      </w:smartTag>
      <w:r w:rsidRPr="00A428C3">
        <w:t xml:space="preserve"> depth)</w:t>
      </w:r>
      <w:r w:rsidR="00F81221">
        <w:t xml:space="preserve"> and </w:t>
      </w:r>
      <w:r w:rsidRPr="00A428C3">
        <w:t>a small component of slip in the dip direction (rake =-172 degrees). Analysis of the tsunami provides confirming evidence that the 1906 San Francisco earthquake initiated at a right step in a right-lateral fault</w:t>
      </w:r>
      <w:r w:rsidR="00F81221">
        <w:t xml:space="preserve"> and </w:t>
      </w:r>
      <w:r w:rsidRPr="00A428C3">
        <w:t>propagated bilaterally, suggesting a rupture initiation mechanism similar to that for the 1995 Robe earthquake.</w:t>
      </w:r>
    </w:p>
    <w:p w:rsidR="00B95188" w:rsidRPr="00A428C3" w:rsidRDefault="00B95188" w:rsidP="00B95188">
      <w:pPr>
        <w:pStyle w:val="a0"/>
      </w:pPr>
      <w:r w:rsidRPr="00A428C3">
        <w:t>Hitchcock, C.S.</w:t>
      </w:r>
      <w:r w:rsidR="00F81221">
        <w:t xml:space="preserve"> and </w:t>
      </w:r>
      <w:r w:rsidRPr="00A428C3">
        <w:t xml:space="preserve">Kelson, K.I. (1999), Growth of late Quaternary folds in southwest </w:t>
      </w:r>
      <w:smartTag w:uri="urn:schemas-microsoft-com:office:smarttags" w:element="PlaceName">
        <w:r w:rsidRPr="00A428C3">
          <w:t>Santa Clara</w:t>
        </w:r>
      </w:smartTag>
      <w:r w:rsidRPr="00A428C3">
        <w:t xml:space="preserve"> </w:t>
      </w:r>
      <w:smartTag w:uri="urn:schemas-microsoft-com:office:smarttags" w:element="PlaceType">
        <w:r w:rsidRPr="00A428C3">
          <w:t>Valley</w:t>
        </w:r>
      </w:smartTag>
      <w:r w:rsidRPr="00A428C3">
        <w:t xml:space="preserve">, </w:t>
      </w:r>
      <w:smartTag w:uri="urn:schemas-microsoft-com:office:smarttags" w:element="PlaceName">
        <w:r w:rsidRPr="00A428C3">
          <w:t>San Francisco</w:t>
        </w:r>
      </w:smartTag>
      <w:r w:rsidRPr="00A428C3">
        <w:t xml:space="preserve"> </w:t>
      </w:r>
      <w:smartTag w:uri="urn:schemas-microsoft-com:office:smarttags" w:element="PlaceType">
        <w:r w:rsidRPr="00A428C3">
          <w:t>Bay</w:t>
        </w:r>
      </w:smartTag>
      <w:r w:rsidRPr="00A428C3">
        <w:t xml:space="preserve"> area, </w:t>
      </w:r>
      <w:smartTag w:uri="urn:schemas-microsoft-com:office:smarttags" w:element="place">
        <w:smartTag w:uri="urn:schemas-microsoft-com:office:smarttags" w:element="State">
          <w:r w:rsidRPr="00A428C3">
            <w:t>California</w:t>
          </w:r>
        </w:smartTag>
      </w:smartTag>
      <w:r w:rsidRPr="00A428C3">
        <w:t>: Implications of triggered slip for seismic hazard</w:t>
      </w:r>
      <w:r w:rsidR="00F81221">
        <w:t xml:space="preserve"> and </w:t>
      </w:r>
      <w:r w:rsidRPr="00A428C3">
        <w:t xml:space="preserve">earthquake recurrence. </w:t>
      </w:r>
      <w:r w:rsidRPr="00A428C3">
        <w:rPr>
          <w:i/>
        </w:rPr>
        <w:t>Geology</w:t>
      </w:r>
      <w:r w:rsidRPr="00A428C3">
        <w:t xml:space="preserve">, </w:t>
      </w:r>
      <w:r w:rsidRPr="00A428C3">
        <w:rPr>
          <w:b/>
        </w:rPr>
        <w:t>27</w:t>
      </w:r>
      <w:r w:rsidRPr="00A428C3">
        <w:t xml:space="preserve"> (5), 391-394.</w:t>
      </w:r>
    </w:p>
    <w:p w:rsidR="00B95188" w:rsidRPr="00A428C3" w:rsidRDefault="00B95188" w:rsidP="00B95188">
      <w:pPr>
        <w:pStyle w:val="a0"/>
      </w:pPr>
      <w:r w:rsidRPr="00A428C3">
        <w:t>Abstract: We combine analysis of geologic</w:t>
      </w:r>
      <w:r w:rsidR="00F81221">
        <w:t xml:space="preserve"> and </w:t>
      </w:r>
      <w:r w:rsidRPr="00A428C3">
        <w:t>geomorphic data with observations of deformation during the 1989 Loma Prieta earthquake in northern California to evaluate the contribution of aseismic triggered slip</w:t>
      </w:r>
      <w:r w:rsidR="00F81221">
        <w:t xml:space="preserve"> and </w:t>
      </w:r>
      <w:r w:rsidRPr="00A428C3">
        <w:t>creep processes to cumulative late Cenozoic deformation along the northeastern Santa Cruz Mountains range front, Deformed late Pleistocene alluvial fans</w:t>
      </w:r>
      <w:r w:rsidR="00F81221">
        <w:t xml:space="preserve"> and </w:t>
      </w:r>
      <w:r w:rsidRPr="00A428C3">
        <w:t xml:space="preserve">terraces provide evidence for localized late Quaternary uplift above range-bounding reverse faults within the southwestern Santa Clara Valley adjacent to the range front. On the basis of offset of late Quaternary surfaces, the long-term average slip rate on the primary range bounding structure (Monte Vista fault) is estimated to be similar to </w:t>
      </w:r>
      <w:smartTag w:uri="urn:schemas-microsoft-com:office:smarttags" w:element="chmetcnv">
        <w:smartTagPr>
          <w:attr w:name="TCSC" w:val="0"/>
          <w:attr w:name="NumberType" w:val="1"/>
          <w:attr w:name="Negative" w:val="False"/>
          <w:attr w:name="HasSpace" w:val="True"/>
          <w:attr w:name="SourceValue" w:val="0.2"/>
          <w:attr w:name="UnitName" w:val="mm"/>
        </w:smartTagPr>
        <w:r w:rsidRPr="00A428C3">
          <w:t>0.2 mm</w:t>
        </w:r>
      </w:smartTag>
      <w:r w:rsidRPr="00A428C3">
        <w:t>/yr, Northeast of the range front are several discontinuous northwest-trending folds, indicated by alignment of late Pleistocene alluvial-fan apices, anomalous stream channel convexities,</w:t>
      </w:r>
      <w:r w:rsidR="00F81221">
        <w:t xml:space="preserve"> and </w:t>
      </w:r>
      <w:r w:rsidRPr="00A428C3">
        <w:t>topographic</w:t>
      </w:r>
      <w:r w:rsidR="00F81221">
        <w:t xml:space="preserve"> and </w:t>
      </w:r>
      <w:r w:rsidRPr="00A428C3">
        <w:t>vegetation lineaments within a 3-5-km-wide, northwest-trending corridor. Subsurface geologic</w:t>
      </w:r>
      <w:r w:rsidR="00F81221">
        <w:t xml:space="preserve"> and </w:t>
      </w:r>
      <w:r w:rsidRPr="00A428C3">
        <w:t xml:space="preserve">geophysical data support the </w:t>
      </w:r>
      <w:r w:rsidRPr="00A428C3">
        <w:lastRenderedPageBreak/>
        <w:t xml:space="preserve">interpretation that the surface folds are a result of blind reverse faulting along the Cascade fault beneath the </w:t>
      </w:r>
      <w:smartTag w:uri="urn:schemas-microsoft-com:office:smarttags" w:element="place">
        <w:smartTag w:uri="urn:schemas-microsoft-com:office:smarttags" w:element="PlaceName">
          <w:r w:rsidRPr="00A428C3">
            <w:t>Santa Clara</w:t>
          </w:r>
        </w:smartTag>
        <w:r w:rsidRPr="00A428C3">
          <w:t xml:space="preserve"> </w:t>
        </w:r>
        <w:smartTag w:uri="urn:schemas-microsoft-com:office:smarttags" w:element="PlaceType">
          <w:r w:rsidRPr="00A428C3">
            <w:t>Valley</w:t>
          </w:r>
        </w:smartTag>
      </w:smartTag>
      <w:r w:rsidRPr="00A428C3">
        <w:t>. From stream incision rates we estimate an average uplift rate of 0.2±</w:t>
      </w:r>
      <w:smartTag w:uri="urn:schemas-microsoft-com:office:smarttags" w:element="chmetcnv">
        <w:smartTagPr>
          <w:attr w:name="TCSC" w:val="0"/>
          <w:attr w:name="NumberType" w:val="1"/>
          <w:attr w:name="Negative" w:val="False"/>
          <w:attr w:name="HasSpace" w:val="True"/>
          <w:attr w:name="SourceValue" w:val="0.05"/>
          <w:attr w:name="UnitName" w:val="mm"/>
        </w:smartTagPr>
        <w:r w:rsidRPr="00A428C3">
          <w:t>0.05 mm</w:t>
        </w:r>
      </w:smartTag>
      <w:r w:rsidRPr="00A428C3">
        <w:t>/yr for the Cascade fault. Measurements of triggered</w:t>
      </w:r>
      <w:r w:rsidR="00F81221">
        <w:t xml:space="preserve"> and </w:t>
      </w:r>
      <w:r w:rsidRPr="00A428C3">
        <w:t>postseismic slip following the 1989 Loma Prieta earthquake, combined with estimates of the average return period for Loma Prieta-type events, suggest a long-term average deformation rate along the range front of 0.25</w:t>
      </w:r>
      <w:smartTag w:uri="urn:schemas-microsoft-com:office:smarttags" w:element="chmetcnv">
        <w:smartTagPr>
          <w:attr w:name="TCSC" w:val="0"/>
          <w:attr w:name="NumberType" w:val="1"/>
          <w:attr w:name="Negative" w:val="True"/>
          <w:attr w:name="HasSpace" w:val="True"/>
          <w:attr w:name="SourceValue" w:val="0.4"/>
          <w:attr w:name="UnitName" w:val="mm"/>
        </w:smartTagPr>
        <w:r w:rsidRPr="00A428C3">
          <w:t>-0.4 mm</w:t>
        </w:r>
      </w:smartTag>
      <w:r w:rsidRPr="00A428C3">
        <w:t>/yr associated with these aseismic processes. This range of values is comparable to rates of late Quaternary deformation on the range-front faults derived from geologic</w:t>
      </w:r>
      <w:r w:rsidR="00F81221">
        <w:t xml:space="preserve"> and </w:t>
      </w:r>
      <w:r w:rsidRPr="00A428C3">
        <w:t>geomorphic data,</w:t>
      </w:r>
      <w:r w:rsidR="00F81221">
        <w:t xml:space="preserve"> and </w:t>
      </w:r>
      <w:r w:rsidRPr="00A428C3">
        <w:t>it suggests that growth of the overlying folds is at least partially the result of triggered slip</w:t>
      </w:r>
      <w:r w:rsidR="00F81221">
        <w:t xml:space="preserve"> and </w:t>
      </w:r>
      <w:r w:rsidRPr="00A428C3">
        <w:t>postseismic creep associated with nearby Loma Prieta-type earthquakes. If this inference is correct, then the return period for independent events on the range-front faults probably is greater than that suggested by the long-term average geologic slip rates.</w:t>
      </w:r>
    </w:p>
    <w:p w:rsidR="00B95188" w:rsidRPr="00A428C3" w:rsidRDefault="00B95188" w:rsidP="00B95188">
      <w:pPr>
        <w:pStyle w:val="1"/>
      </w:pPr>
      <w:r w:rsidRPr="00A428C3">
        <w:br w:type="page"/>
      </w:r>
      <w:bookmarkStart w:id="318" w:name="_Toc487882185"/>
      <w:bookmarkStart w:id="319" w:name="_Toc490687984"/>
      <w:bookmarkStart w:id="320" w:name="_Toc492807648"/>
      <w:bookmarkStart w:id="321" w:name="_Toc186647718"/>
      <w:bookmarkStart w:id="322" w:name="_Toc317160926"/>
      <w:r w:rsidRPr="00A428C3">
        <w:lastRenderedPageBreak/>
        <w:t>Title: Geomicrobiology Journal</w:t>
      </w:r>
      <w:bookmarkEnd w:id="318"/>
      <w:bookmarkEnd w:id="319"/>
      <w:bookmarkEnd w:id="320"/>
      <w:bookmarkEnd w:id="321"/>
      <w:bookmarkEnd w:id="322"/>
    </w:p>
    <w:p w:rsidR="00B95188" w:rsidRPr="00A428C3" w:rsidRDefault="00B95188" w:rsidP="00B72EF9">
      <w:pPr>
        <w:pStyle w:val="12"/>
      </w:pPr>
      <w:r w:rsidRPr="00A428C3">
        <w:t xml:space="preserve">Full Journal Title: </w:t>
      </w:r>
      <w:hyperlink r:id="rId438" w:history="1">
        <w:r w:rsidRPr="00A428C3">
          <w:rPr>
            <w:rStyle w:val="a5"/>
          </w:rPr>
          <w:t>Geomicrobiology Journal</w:t>
        </w:r>
      </w:hyperlink>
    </w:p>
    <w:p w:rsidR="00B95188" w:rsidRPr="00A428C3" w:rsidRDefault="00B95188" w:rsidP="00B72EF9">
      <w:pPr>
        <w:pStyle w:val="12"/>
      </w:pPr>
      <w:r w:rsidRPr="00A428C3">
        <w:t>ISO Abbreviated Title: Geomicrobiol. J.</w:t>
      </w:r>
    </w:p>
    <w:p w:rsidR="00B95188" w:rsidRPr="00A428C3" w:rsidRDefault="00B95188" w:rsidP="00B72EF9">
      <w:pPr>
        <w:pStyle w:val="12"/>
      </w:pPr>
      <w:r w:rsidRPr="00A428C3">
        <w:t>JCR Abbreviated Title: Geomicrobiol J</w:t>
      </w:r>
    </w:p>
    <w:p w:rsidR="00B95188" w:rsidRPr="00A428C3" w:rsidRDefault="00B95188" w:rsidP="00B72EF9">
      <w:pPr>
        <w:pStyle w:val="12"/>
      </w:pPr>
      <w:r w:rsidRPr="00A428C3">
        <w:t>ISSN: 0149-0451</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Taylor &amp; Francis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325 Chestnut St, Suite 800</w:t>
          </w:r>
        </w:smartTag>
        <w:r w:rsidRPr="00A428C3">
          <w:t xml:space="preserve">, </w:t>
        </w:r>
        <w:smartTag w:uri="urn:schemas-microsoft-com:office:smarttags" w:element="City">
          <w:r w:rsidRPr="00A428C3">
            <w:t>Philadelphia</w:t>
          </w:r>
        </w:smartTag>
        <w:r w:rsidRPr="00A428C3">
          <w:t xml:space="preserve">, </w:t>
        </w:r>
        <w:smartTag w:uri="urn:schemas-microsoft-com:office:smarttags" w:element="State">
          <w:r w:rsidRPr="00A428C3">
            <w:t>PA</w:t>
          </w:r>
        </w:smartTag>
        <w:r w:rsidRPr="00A428C3">
          <w:t xml:space="preserve"> </w:t>
        </w:r>
        <w:smartTag w:uri="urn:schemas-microsoft-com:office:smarttags" w:element="PostalCode">
          <w:r w:rsidRPr="00A428C3">
            <w:t>19106</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Environmental Sciences: Impact Factor 1.537, 23/126 (1999); Impact Factor 1.936, 13/127 (2000)</w:t>
      </w:r>
    </w:p>
    <w:p w:rsidR="00B95188" w:rsidRPr="00A428C3" w:rsidRDefault="00B95188" w:rsidP="00B72EF9">
      <w:pPr>
        <w:pStyle w:val="12"/>
      </w:pPr>
      <w:r w:rsidRPr="00A428C3">
        <w:t>Geosciences, Interdisciplinary: Impact Factor</w:t>
      </w:r>
    </w:p>
    <w:p w:rsidR="00B95188" w:rsidRPr="00A428C3" w:rsidRDefault="00B95188" w:rsidP="00B95188">
      <w:pPr>
        <w:pStyle w:val="a0"/>
      </w:pPr>
      <w:r w:rsidRPr="00A428C3">
        <w:t>? Poulson, S.R., Colberg, P.J.S.</w:t>
      </w:r>
      <w:r w:rsidR="00F81221">
        <w:t xml:space="preserve"> and </w:t>
      </w:r>
      <w:r w:rsidRPr="00A428C3">
        <w:t xml:space="preserve">Drever, J.I. (1997), Toxicity of heavy metals (Ni, Zn) to Desulfovibrio desulfuricans. </w:t>
      </w:r>
      <w:r w:rsidRPr="00A428C3">
        <w:rPr>
          <w:i/>
        </w:rPr>
        <w:t>Geomicrobiology Journal</w:t>
      </w:r>
      <w:r w:rsidRPr="00A428C3">
        <w:t xml:space="preserve">, </w:t>
      </w:r>
      <w:r w:rsidRPr="00A428C3">
        <w:rPr>
          <w:b/>
        </w:rPr>
        <w:t>14</w:t>
      </w:r>
      <w:r w:rsidRPr="00A428C3">
        <w:t xml:space="preserve"> (1), 41-49.</w:t>
      </w:r>
    </w:p>
    <w:p w:rsidR="00B95188" w:rsidRPr="00A428C3" w:rsidRDefault="00B95188" w:rsidP="00B95188">
      <w:pPr>
        <w:pStyle w:val="a0"/>
      </w:pPr>
      <w:r w:rsidRPr="00A428C3">
        <w:t>Abstract: This study is the first to address systematically five important factors necessary to quantify the toxicity of heavy metals to sulfate-reducing bacteria: metal precipitation due to reaction with components in the media; metal adsorption onto solid phases; precipitation of metalsulfides due to reaction with sulfide initially present in an active microcosm; quantification of initial metal concentrations;</w:t>
      </w:r>
      <w:r w:rsidR="00F81221">
        <w:t xml:space="preserve"> and </w:t>
      </w:r>
      <w:r w:rsidRPr="00A428C3">
        <w:t>aqueous metal complexing, which reduces metal bioavailability. The toxicity of Ni</w:t>
      </w:r>
      <w:r w:rsidR="00F81221">
        <w:t xml:space="preserve"> and </w:t>
      </w:r>
      <w:r w:rsidRPr="00A428C3">
        <w:t>Zn To pure cultures of Desulfovibrio desulfuricans was quantified using a chemically defined medium at pH 7.2. Free heavy metal ion activity was calculated using MINTEQA2</w:t>
      </w:r>
      <w:r w:rsidR="00F81221">
        <w:t xml:space="preserve"> and </w:t>
      </w:r>
      <w:r w:rsidRPr="00A428C3">
        <w:t>an amended database. A total activity of Ni</w:t>
      </w:r>
      <w:r w:rsidRPr="00A428C3">
        <w:rPr>
          <w:vertAlign w:val="superscript"/>
        </w:rPr>
        <w:t>2+</w:t>
      </w:r>
      <w:r w:rsidRPr="00A428C3">
        <w:t xml:space="preserve"> (aq) + Zn</w:t>
      </w:r>
      <w:r w:rsidRPr="00A428C3">
        <w:rPr>
          <w:vertAlign w:val="superscript"/>
        </w:rPr>
        <w:t>2+</w:t>
      </w:r>
      <w:r w:rsidRPr="00A428C3">
        <w:t xml:space="preserve"> (aq) greater than approximately 2.5</w:t>
      </w:r>
      <w:r w:rsidRPr="00A428C3">
        <w:sym w:font="Symbol" w:char="F0B4"/>
      </w:r>
      <w:r w:rsidRPr="00A428C3">
        <w:t>10</w:t>
      </w:r>
      <w:r w:rsidRPr="00A428C3">
        <w:rPr>
          <w:vertAlign w:val="superscript"/>
        </w:rPr>
        <w:t>-5</w:t>
      </w:r>
      <w:r w:rsidRPr="00A428C3">
        <w:t xml:space="preserve"> molal is toxic to D. desulfuricans. The results indicate that attempts to remediate Ni and/or Zn contamination by bacterial sulfate reduction are likely to be successful only if total Ni + Zn activity is below this level in order to revent heavy metal toxicity.</w:t>
      </w:r>
    </w:p>
    <w:p w:rsidR="00B95188" w:rsidRPr="00A428C3" w:rsidRDefault="00B95188" w:rsidP="00B95188">
      <w:pPr>
        <w:pStyle w:val="a0"/>
      </w:pPr>
      <w:r w:rsidRPr="00A428C3">
        <w:t>Keywords: Bacterial Sulfate Reduction, Digested Sewage-Sludge, Soluble Organic-Matter, Waters, Complexation, Resistance, Inhibition, Chemistry, Removal, System, Heavy Metals, Metal Sulfides, Precipitation, Sulfate Reduction, Sulfidogenesis, Toxicity</w:t>
      </w:r>
    </w:p>
    <w:p w:rsidR="00B95188" w:rsidRPr="00A428C3" w:rsidRDefault="00B95188" w:rsidP="00B95188">
      <w:pPr>
        <w:pStyle w:val="a0"/>
      </w:pPr>
      <w:r w:rsidRPr="00A428C3">
        <w:t>? Urrutia, M.M., Roden, E.E., Fredrickson, J.K.</w:t>
      </w:r>
      <w:r w:rsidR="00F81221">
        <w:t xml:space="preserve"> and </w:t>
      </w:r>
      <w:r w:rsidRPr="00A428C3">
        <w:t>Zachara, J.M. (1998), Microbial</w:t>
      </w:r>
      <w:r w:rsidR="00F81221">
        <w:t xml:space="preserve"> and </w:t>
      </w:r>
      <w:r w:rsidRPr="00A428C3">
        <w:t xml:space="preserve">surface chemistry controls on reduction of synthetic Fe(III) oxide minerals by the dissimilatory iron-reducing bacterium </w:t>
      </w:r>
      <w:r w:rsidRPr="00A428C3">
        <w:rPr>
          <w:i/>
          <w:iCs/>
        </w:rPr>
        <w:t>Shewanella alga</w:t>
      </w:r>
      <w:r w:rsidRPr="00A428C3">
        <w:t xml:space="preserve">. </w:t>
      </w:r>
      <w:r w:rsidRPr="00A428C3">
        <w:rPr>
          <w:i/>
        </w:rPr>
        <w:t>Geomicrobiology Journal</w:t>
      </w:r>
      <w:r w:rsidRPr="00A428C3">
        <w:t xml:space="preserve">, </w:t>
      </w:r>
      <w:r w:rsidRPr="00A428C3">
        <w:rPr>
          <w:b/>
        </w:rPr>
        <w:t>15</w:t>
      </w:r>
      <w:r w:rsidRPr="00A428C3">
        <w:t xml:space="preserve"> (4), 269-291.</w:t>
      </w:r>
    </w:p>
    <w:p w:rsidR="00B95188" w:rsidRPr="00A428C3" w:rsidRDefault="00B95188" w:rsidP="00B95188">
      <w:pPr>
        <w:pStyle w:val="a0"/>
      </w:pPr>
      <w:r w:rsidRPr="00A428C3">
        <w:lastRenderedPageBreak/>
        <w:t>Full Text: Geo J21, 269</w:t>
      </w:r>
    </w:p>
    <w:p w:rsidR="00B95188" w:rsidRPr="00A428C3" w:rsidRDefault="00B95188" w:rsidP="00B95188">
      <w:pPr>
        <w:pStyle w:val="a0"/>
      </w:pPr>
      <w:r w:rsidRPr="00A428C3">
        <w:t>Abstract: The role of Fe(ll) biosorption</w:t>
      </w:r>
      <w:r w:rsidR="00F81221">
        <w:t xml:space="preserve"> and </w:t>
      </w:r>
      <w:r w:rsidRPr="00A428C3">
        <w:t>the effect of medium components on the rare</w:t>
      </w:r>
      <w:r w:rsidR="00F81221">
        <w:t xml:space="preserve"> and </w:t>
      </w:r>
      <w:r w:rsidRPr="00A428C3">
        <w:t>long-term extent of Fe(lll) oxide reduction (FeRed) by a dissimilatory Fe(lll)-reducing bacterium (Shewanella alga strain BrY) were examined in batch culture experiments. introduction of fresh S. alga cells into month-old cultures in which Fe(III) reduction had ceased resulted in further reduction of synthetic amorphous Fe(lll) oxide, hematite,</w:t>
      </w:r>
      <w:r w:rsidR="00F81221">
        <w:t xml:space="preserve"> and </w:t>
      </w:r>
      <w:r w:rsidRPr="00A428C3">
        <w:t>two forms of goethite (Gt). Fresh S. alga cells were also able to reduce a substantial amount of synthetic Ct that had been partly or completely saturated with sorbed Fe(ll). Cells that had been precoated with Fe(ll) showed a reduced rate</w:t>
      </w:r>
      <w:r w:rsidR="00F81221">
        <w:t xml:space="preserve"> and </w:t>
      </w:r>
      <w:r w:rsidRPr="00A428C3">
        <w:t>capacity for FeRed These results indicated that biosorption of Fe(II) had a major impact on FeRed S. alga cells were shown to have an Fe(ll) sorption capacity of similar to 0.1 mmol g</w:t>
      </w:r>
      <w:r w:rsidRPr="00A428C3">
        <w:rPr>
          <w:vertAlign w:val="superscript"/>
        </w:rPr>
        <w:t>-1</w:t>
      </w:r>
      <w:r w:rsidRPr="00A428C3">
        <w:t>, compared with similar to 0.25 mmol g</w:t>
      </w:r>
      <w:r w:rsidRPr="00A428C3">
        <w:rPr>
          <w:vertAlign w:val="superscript"/>
        </w:rPr>
        <w:t>-1</w:t>
      </w:r>
      <w:r w:rsidRPr="00A428C3">
        <w:t xml:space="preserve"> determined for the synthetic Ct. Sorption experiments with component mixtures indicated that direct interaction between cells</w:t>
      </w:r>
      <w:r w:rsidR="00F81221">
        <w:t xml:space="preserve"> and </w:t>
      </w:r>
      <w:r w:rsidRPr="00A428C3">
        <w:t>oxide resulted in increased Fe(II)-binding capacity of the mixed system, possibly through production of exopolymeric materials by the cells. Medium constituents that affected Fe(ll) speciation were shown to have a significant indirect influence on the extent of oxide reduction. Malate, which formed soluble complexes with Fe(ll), promoted the extent of oxide reduction. In contrast, high (mM) PO</w:t>
      </w:r>
      <w:r w:rsidRPr="00A428C3">
        <w:rPr>
          <w:vertAlign w:val="subscript"/>
        </w:rPr>
        <w:t>4</w:t>
      </w:r>
      <w:r w:rsidRPr="00A428C3">
        <w:rPr>
          <w:vertAlign w:val="superscript"/>
        </w:rPr>
        <w:t>3-</w:t>
      </w:r>
      <w:r w:rsidRPr="00A428C3">
        <w:t xml:space="preserve"> concentrations favored surface/bulk precipitation processes which reduced the extent of oxide reduction. Collectively, our results indicate that Fe(ll) sorption by oxide</w:t>
      </w:r>
      <w:r w:rsidR="00F81221">
        <w:t xml:space="preserve"> and </w:t>
      </w:r>
      <w:r w:rsidRPr="00A428C3">
        <w:t>cell surfaces, together with Fe(ll) complexation by or precipitation with medium components, all influence the rate</w:t>
      </w:r>
      <w:r w:rsidR="00F81221">
        <w:t xml:space="preserve"> and </w:t>
      </w:r>
      <w:r w:rsidRPr="00A428C3">
        <w:t>extent of FeRed. Furthermore, saturation of sorption cites with Fe(ll) does not appear to limit the ability of S. alga to reduce Fe(lll) oxides, especially if conditions favor growth.</w:t>
      </w:r>
    </w:p>
    <w:p w:rsidR="00B95188" w:rsidRPr="00A428C3" w:rsidRDefault="00B95188" w:rsidP="00B95188">
      <w:pPr>
        <w:pStyle w:val="a0"/>
      </w:pPr>
      <w:r w:rsidRPr="00A428C3">
        <w:t>Keywords: Fe(III) Oxide Reduction, Fe(III) Biosorption, Surface Saturation, Fe(II) Complexation</w:t>
      </w:r>
    </w:p>
    <w:p w:rsidR="00B95188" w:rsidRPr="00A428C3" w:rsidRDefault="00B95188" w:rsidP="00B95188">
      <w:pPr>
        <w:pStyle w:val="a0"/>
      </w:pPr>
      <w:r w:rsidRPr="00A428C3">
        <w:t xml:space="preserve">Keywords: Organic-Carbon Oxidation, Polluted Aquifer Vejen, Ferric Iron, Aquatic Sediments, Manganese, </w:t>
      </w:r>
      <w:smartTag w:uri="urn:schemas-microsoft-com:office:smarttags" w:element="place">
        <w:smartTag w:uri="urn:schemas-microsoft-com:office:smarttags" w:element="City">
          <w:r w:rsidRPr="00A428C3">
            <w:t>Kinetics</w:t>
          </w:r>
        </w:smartTag>
        <w:r w:rsidRPr="00A428C3">
          <w:t xml:space="preserve">, </w:t>
        </w:r>
        <w:smartTag w:uri="urn:schemas-microsoft-com:office:smarttags" w:element="country-region">
          <w:r w:rsidRPr="00A428C3">
            <w:t>Denmark</w:t>
          </w:r>
        </w:smartTag>
      </w:smartTag>
      <w:r w:rsidRPr="00A428C3">
        <w:t>, Wetland, Growth</w:t>
      </w:r>
    </w:p>
    <w:p w:rsidR="00B95188" w:rsidRPr="00A428C3" w:rsidRDefault="00B95188" w:rsidP="00B95188">
      <w:pPr>
        <w:pStyle w:val="a0"/>
      </w:pPr>
      <w:r w:rsidRPr="00A428C3">
        <w:t xml:space="preserve">Purvis, O.W., Bailey, E.H., </w:t>
      </w:r>
      <w:smartTag w:uri="urn:schemas-microsoft-com:office:smarttags" w:element="place">
        <w:r w:rsidRPr="00A428C3">
          <w:t>McLean</w:t>
        </w:r>
      </w:smartTag>
      <w:r w:rsidRPr="00A428C3">
        <w:t>, J., Kasama, T.</w:t>
      </w:r>
      <w:r w:rsidR="00F81221">
        <w:t xml:space="preserve"> and </w:t>
      </w:r>
      <w:r w:rsidRPr="00A428C3">
        <w:t xml:space="preserve">Williamson, B.J. (2004), Uranium biosorption by the lichen </w:t>
      </w:r>
      <w:r w:rsidRPr="00A428C3">
        <w:rPr>
          <w:i/>
          <w:iCs/>
        </w:rPr>
        <w:t>Trapelia involuta</w:t>
      </w:r>
      <w:r w:rsidRPr="00A428C3">
        <w:t xml:space="preserve"> at a uranium mine. </w:t>
      </w:r>
      <w:r w:rsidRPr="00A428C3">
        <w:rPr>
          <w:i/>
        </w:rPr>
        <w:t>Geomicrobiology Journal</w:t>
      </w:r>
      <w:r w:rsidRPr="00A428C3">
        <w:t xml:space="preserve">, </w:t>
      </w:r>
      <w:r w:rsidRPr="00A428C3">
        <w:rPr>
          <w:b/>
        </w:rPr>
        <w:t>21</w:t>
      </w:r>
      <w:r w:rsidRPr="00A428C3">
        <w:t xml:space="preserve"> (3), 159-167.</w:t>
      </w:r>
    </w:p>
    <w:p w:rsidR="00B95188" w:rsidRPr="00A428C3" w:rsidRDefault="00B95188" w:rsidP="00B95188">
      <w:pPr>
        <w:pStyle w:val="a0"/>
      </w:pPr>
      <w:r w:rsidRPr="00A428C3">
        <w:t xml:space="preserve">Full Text: </w:t>
      </w:r>
      <w:hyperlink r:id="rId439" w:history="1">
        <w:r w:rsidRPr="00A428C3">
          <w:rPr>
            <w:rStyle w:val="a5"/>
          </w:rPr>
          <w:t>G\Geo J21, 159.pdf</w:t>
        </w:r>
      </w:hyperlink>
    </w:p>
    <w:p w:rsidR="00B95188" w:rsidRPr="00A428C3" w:rsidRDefault="00B95188" w:rsidP="00B95188">
      <w:pPr>
        <w:pStyle w:val="a0"/>
      </w:pPr>
      <w:r w:rsidRPr="00A428C3">
        <w:t>Abstract: Metal localisation was investigated in the lichenised ascomycete Trapelia involuta growing on a range of uraniferous minerals including metazeunerite [Cu(UO</w:t>
      </w:r>
      <w:r w:rsidRPr="00A428C3">
        <w:rPr>
          <w:vertAlign w:val="subscript"/>
        </w:rPr>
        <w:t>2</w:t>
      </w:r>
      <w:r w:rsidRPr="00A428C3">
        <w:t>)</w:t>
      </w:r>
      <w:r w:rsidRPr="00A428C3">
        <w:rPr>
          <w:vertAlign w:val="subscript"/>
        </w:rPr>
        <w:t>2</w:t>
      </w:r>
      <w:r w:rsidRPr="00A428C3">
        <w:t>(AsO</w:t>
      </w:r>
      <w:r w:rsidRPr="00A428C3">
        <w:rPr>
          <w:vertAlign w:val="subscript"/>
        </w:rPr>
        <w:t>4</w:t>
      </w:r>
      <w:r w:rsidRPr="00A428C3">
        <w:t>)</w:t>
      </w:r>
      <w:r w:rsidRPr="00A428C3">
        <w:rPr>
          <w:vertAlign w:val="subscript"/>
        </w:rPr>
        <w:t>2</w:t>
      </w:r>
      <w:r w:rsidRPr="00A428C3">
        <w:t>·8H</w:t>
      </w:r>
      <w:r w:rsidRPr="00A428C3">
        <w:rPr>
          <w:vertAlign w:val="subscript"/>
        </w:rPr>
        <w:t>2</w:t>
      </w:r>
      <w:r w:rsidRPr="00A428C3">
        <w:t>O], metatorbernite [Cu(UO</w:t>
      </w:r>
      <w:r w:rsidRPr="00A428C3">
        <w:rPr>
          <w:vertAlign w:val="subscript"/>
        </w:rPr>
        <w:t>2</w:t>
      </w:r>
      <w:r w:rsidRPr="00A428C3">
        <w:t>)</w:t>
      </w:r>
      <w:r w:rsidRPr="00A428C3">
        <w:rPr>
          <w:vertAlign w:val="subscript"/>
        </w:rPr>
        <w:t>2</w:t>
      </w:r>
      <w:r w:rsidRPr="00A428C3">
        <w:t>(PO</w:t>
      </w:r>
      <w:r w:rsidRPr="00A428C3">
        <w:rPr>
          <w:vertAlign w:val="subscript"/>
        </w:rPr>
        <w:t>4</w:t>
      </w:r>
      <w:r w:rsidRPr="00A428C3">
        <w:t>)</w:t>
      </w:r>
      <w:r w:rsidRPr="00A428C3">
        <w:rPr>
          <w:vertAlign w:val="subscript"/>
        </w:rPr>
        <w:t>2</w:t>
      </w:r>
      <w:r w:rsidRPr="00A428C3">
        <w:t>·8H</w:t>
      </w:r>
      <w:r w:rsidRPr="00A428C3">
        <w:rPr>
          <w:vertAlign w:val="subscript"/>
        </w:rPr>
        <w:t>2</w:t>
      </w:r>
      <w:r w:rsidRPr="00A428C3">
        <w:t>O], autunite [Ca(UO</w:t>
      </w:r>
      <w:r w:rsidRPr="00A428C3">
        <w:rPr>
          <w:vertAlign w:val="subscript"/>
        </w:rPr>
        <w:t>2</w:t>
      </w:r>
      <w:r w:rsidRPr="00A428C3">
        <w:t>)</w:t>
      </w:r>
      <w:r w:rsidRPr="00A428C3">
        <w:rPr>
          <w:vertAlign w:val="subscript"/>
        </w:rPr>
        <w:t>2</w:t>
      </w:r>
      <w:r w:rsidRPr="00A428C3">
        <w:t>(PO4)</w:t>
      </w:r>
      <w:r w:rsidRPr="00A428C3">
        <w:rPr>
          <w:vertAlign w:val="subscript"/>
        </w:rPr>
        <w:t>2</w:t>
      </w:r>
      <w:r w:rsidRPr="00A428C3">
        <w:t>·10H</w:t>
      </w:r>
      <w:r w:rsidRPr="00A428C3">
        <w:rPr>
          <w:vertAlign w:val="subscript"/>
        </w:rPr>
        <w:t>2</w:t>
      </w:r>
      <w:r w:rsidRPr="00A428C3">
        <w:t>O]</w:t>
      </w:r>
      <w:r w:rsidR="00F81221">
        <w:t xml:space="preserve"> and </w:t>
      </w:r>
      <w:r w:rsidRPr="00A428C3">
        <w:t>uranium-enriched iron oxide</w:t>
      </w:r>
      <w:r w:rsidR="00F81221">
        <w:t xml:space="preserve"> and </w:t>
      </w:r>
      <w:r w:rsidRPr="00A428C3">
        <w:t xml:space="preserve">hydroxide minerals at the abandoned South Terras mine site, Cornwall, UK. Apothecia from samples collected from waste dumps at the mine have an unusually dark colour that </w:t>
      </w:r>
      <w:r w:rsidRPr="00A428C3">
        <w:lastRenderedPageBreak/>
        <w:t>decolorized with NaOCl, an observation which together with Fourier Transform Infrared Spectroscopy of apothecial extracts, suggested the presence of melanin-like pigments. X-ray element mapping</w:t>
      </w:r>
      <w:r w:rsidR="00F81221">
        <w:t xml:space="preserve"> and </w:t>
      </w:r>
      <w:r w:rsidRPr="00A428C3">
        <w:t>probe traverses across the lichen-rock interface identify the highest U, Fe,</w:t>
      </w:r>
      <w:r w:rsidR="00F81221">
        <w:t xml:space="preserve"> and </w:t>
      </w:r>
      <w:r w:rsidRPr="00A428C3">
        <w:t>Cu concentrations in the outer parts of melanised apothecia. Accumulation of mineral particulates</w:t>
      </w:r>
      <w:r w:rsidR="00F81221">
        <w:t xml:space="preserve"> and </w:t>
      </w:r>
      <w:r w:rsidRPr="00A428C3">
        <w:t>complexing with lichen acids are not considered responsible for this since element ratios in the traverses do not correspond with those of likely mineral phases</w:t>
      </w:r>
      <w:r w:rsidR="00F81221">
        <w:t xml:space="preserve"> and </w:t>
      </w:r>
      <w:r w:rsidRPr="00A428C3">
        <w:t>lichen metabolites are localised in different tissues. Metal biosorption by melanin-like pigments are likely to be responsible for the observed metal fixation. No detectable U or Cu was observed in control samples although Fe showed a similar localisation in some specimens. The high concentrations of mucopolysaccharides</w:t>
      </w:r>
      <w:r w:rsidR="00F81221">
        <w:t xml:space="preserve"> and </w:t>
      </w:r>
      <w:r w:rsidRPr="00A428C3">
        <w:t>P recorded inside apothecia (within asci containing reproductive spores</w:t>
      </w:r>
      <w:r w:rsidR="00F81221">
        <w:t xml:space="preserve"> and </w:t>
      </w:r>
      <w:r w:rsidRPr="00A428C3">
        <w:t>hypothecium) suggests that the formation of melanised tissues may help protect vital reproductive tissues from the toxic effects of U</w:t>
      </w:r>
      <w:r w:rsidR="00F81221">
        <w:t xml:space="preserve"> and </w:t>
      </w:r>
      <w:r w:rsidRPr="00A428C3">
        <w:t>other metals, since the uranyl ion complexes strongly with phosphate species.</w:t>
      </w:r>
    </w:p>
    <w:p w:rsidR="00B95188" w:rsidRPr="00A428C3" w:rsidRDefault="00B95188" w:rsidP="00B95188">
      <w:pPr>
        <w:pStyle w:val="a0"/>
      </w:pPr>
      <w:r w:rsidRPr="00A428C3">
        <w:t>Keywords: Lichens, Melanin, Phosphorus, Polysaccharides, Toxic Metals, Uranium</w:t>
      </w:r>
    </w:p>
    <w:p w:rsidR="00B95188" w:rsidRPr="00A428C3" w:rsidRDefault="00B95188" w:rsidP="00B95188">
      <w:pPr>
        <w:pStyle w:val="a0"/>
      </w:pPr>
      <w:r w:rsidRPr="00A428C3">
        <w:t xml:space="preserve">? Saxena, P., </w:t>
      </w:r>
      <w:smartTag w:uri="urn:schemas-microsoft-com:office:smarttags" w:element="City">
        <w:r w:rsidRPr="00A428C3">
          <w:t>Bhattacharyya</w:t>
        </w:r>
      </w:smartTag>
      <w:r w:rsidRPr="00A428C3">
        <w:t>, A.K.</w:t>
      </w:r>
      <w:r w:rsidR="00F81221">
        <w:t xml:space="preserve"> and </w:t>
      </w:r>
      <w:r w:rsidRPr="00A428C3">
        <w:t>Mathur, N. (2006), Nickel tolerance</w:t>
      </w:r>
      <w:r w:rsidR="00F81221">
        <w:t xml:space="preserve"> and </w:t>
      </w:r>
      <w:r w:rsidRPr="00A428C3">
        <w:t xml:space="preserve">accumulation by filamentous fungi from sludge of metal finishing industry. </w:t>
      </w:r>
      <w:r w:rsidRPr="00A428C3">
        <w:rPr>
          <w:i/>
        </w:rPr>
        <w:t>Geomicrobiology Journal</w:t>
      </w:r>
      <w:r w:rsidRPr="00A428C3">
        <w:t xml:space="preserve">, </w:t>
      </w:r>
      <w:r w:rsidRPr="00A428C3">
        <w:rPr>
          <w:b/>
        </w:rPr>
        <w:t>23</w:t>
      </w:r>
      <w:r w:rsidRPr="00A428C3">
        <w:t xml:space="preserve"> (5), 333-340.</w:t>
      </w:r>
    </w:p>
    <w:p w:rsidR="00B95188" w:rsidRPr="00A428C3" w:rsidRDefault="00B95188" w:rsidP="00B95188">
      <w:pPr>
        <w:pStyle w:val="a0"/>
      </w:pPr>
      <w:r w:rsidRPr="00A428C3">
        <w:t xml:space="preserve">Full Text: </w:t>
      </w:r>
      <w:hyperlink r:id="rId440" w:history="1">
        <w:r w:rsidRPr="00A428C3">
          <w:rPr>
            <w:rStyle w:val="a5"/>
          </w:rPr>
          <w:t>2006\Geo J23, 333.pdf</w:t>
        </w:r>
      </w:hyperlink>
    </w:p>
    <w:p w:rsidR="00B95188" w:rsidRPr="00A428C3" w:rsidRDefault="00B95188" w:rsidP="00B95188">
      <w:pPr>
        <w:pStyle w:val="a0"/>
      </w:pPr>
      <w:r w:rsidRPr="00A428C3">
        <w:t>Abstract: Industrialization, urbanization</w:t>
      </w:r>
      <w:r w:rsidR="00F81221">
        <w:t xml:space="preserve"> and </w:t>
      </w:r>
      <w:r w:rsidRPr="00A428C3">
        <w:t>increased vehicular traffic have resulted in increased contamination of our environment by heavy metals. The long persistence of heavy metals in nature has in turn resulted in development of metal resistant microbial strains. These strains are minimizing heavy metals toxicity, either by metal complexation or precipitation</w:t>
      </w:r>
      <w:r w:rsidR="00F81221">
        <w:t xml:space="preserve"> and </w:t>
      </w:r>
      <w:r w:rsidRPr="00A428C3">
        <w:t>other mechanisms. Characterization of fungal diversity was done in contaminated soil of the Wazirpur industrial area throughout the year. In this area highly acidic hazardous solid waste produced high concentration of heavy metals (Ni, Cu, Cr, Fe, Mn). Nickel toxicity is a major environmental concern. Due to long persistence of this waste in the environment without any treatment, many fungal isolates from the surrounding environment settle on the upper surface of waste. Few of them are capable of growing in the toxic conditions. More than 20 strains were isolated, most of them belonging to species of Aspergillus, Penicillium, Fusarium</w:t>
      </w:r>
      <w:r w:rsidR="00F81221">
        <w:t xml:space="preserve"> and </w:t>
      </w:r>
      <w:r w:rsidRPr="00A428C3">
        <w:t>Mucor genera. Seasonal variation in fungal diversity was significant. Four filamentous fungal isolates were f</w:t>
      </w:r>
      <w:r>
        <w:t>ound to be resistant for nickel</w:t>
      </w:r>
      <w:r w:rsidRPr="00A428C3">
        <w:t>(II)</w:t>
      </w:r>
      <w:r w:rsidR="00F81221">
        <w:t xml:space="preserve"> and </w:t>
      </w:r>
      <w:r w:rsidRPr="00A428C3">
        <w:t>a strain of Papulaspora sepedonoides reported firs</w:t>
      </w:r>
      <w:r>
        <w:t>t time for bioremediation of Ni</w:t>
      </w:r>
      <w:r w:rsidRPr="00A428C3">
        <w:t>(II) in this investigation, which is absorbing 62.33 mu mol Ni gr</w:t>
      </w:r>
      <w:r w:rsidRPr="00A428C3">
        <w:rPr>
          <w:vertAlign w:val="superscript"/>
        </w:rPr>
        <w:t>-1</w:t>
      </w:r>
      <w:r w:rsidRPr="00A428C3">
        <w:t>. These fungal isolates showed a high level (100-10000 mg kg</w:t>
      </w:r>
      <w:r w:rsidRPr="00A428C3">
        <w:rPr>
          <w:vertAlign w:val="superscript"/>
        </w:rPr>
        <w:t>-1</w:t>
      </w:r>
      <w:r w:rsidRPr="00A428C3">
        <w:t>) of resistance f</w:t>
      </w:r>
      <w:r>
        <w:t>or Ni(II) salt</w:t>
      </w:r>
      <w:r w:rsidR="00F81221">
        <w:t xml:space="preserve"> and </w:t>
      </w:r>
      <w:r>
        <w:t>removing Ni</w:t>
      </w:r>
      <w:r w:rsidRPr="00A428C3">
        <w:t>(II) from solution. Metal uptake varied with fungi. The toxicity also was influenced by different factors like pH</w:t>
      </w:r>
      <w:r w:rsidR="00F81221">
        <w:t xml:space="preserve"> and </w:t>
      </w:r>
      <w:r w:rsidRPr="00A428C3">
        <w:t xml:space="preserve">composition of growth </w:t>
      </w:r>
      <w:r w:rsidRPr="00A428C3">
        <w:lastRenderedPageBreak/>
        <w:t>medium.</w:t>
      </w:r>
    </w:p>
    <w:p w:rsidR="00B95188" w:rsidRPr="00A428C3" w:rsidRDefault="00B95188" w:rsidP="00B95188">
      <w:pPr>
        <w:pStyle w:val="a0"/>
      </w:pPr>
      <w:r w:rsidRPr="00A428C3">
        <w:rPr>
          <w:rStyle w:val="a4"/>
        </w:rPr>
        <w:t>Keywords: Heavy Metal Resistance, Persistance, Complexation, Seasonal Variation,</w:t>
      </w:r>
      <w:r w:rsidRPr="00A428C3">
        <w:t xml:space="preserve"> Uptake</w:t>
      </w:r>
      <w:r w:rsidR="00F81221">
        <w:t xml:space="preserve"> and </w:t>
      </w:r>
      <w:r w:rsidRPr="00A428C3">
        <w:t>Hazardous, Chrysogenum Cell-Walls, Pb Binding-Sites, Aspergillus-Niger, Heavy-Metals, Structural Determination, Stability-Constants, Exafs Spectroscopy, Rhizopus-Arrhizus, Aqueous-Solutions, Biosorption</w:t>
      </w:r>
    </w:p>
    <w:p w:rsidR="00B95188" w:rsidRPr="00A428C3" w:rsidRDefault="00B95188" w:rsidP="00B95188">
      <w:pPr>
        <w:pStyle w:val="1"/>
      </w:pPr>
      <w:r w:rsidRPr="00A428C3">
        <w:br w:type="page"/>
      </w:r>
      <w:bookmarkStart w:id="323" w:name="_Toc455569455"/>
      <w:bookmarkStart w:id="324" w:name="_Toc487190682"/>
      <w:bookmarkStart w:id="325" w:name="_Toc487882186"/>
      <w:bookmarkStart w:id="326" w:name="_Toc490687985"/>
      <w:bookmarkStart w:id="327" w:name="_Toc492807649"/>
      <w:bookmarkStart w:id="328" w:name="_Toc186647719"/>
      <w:bookmarkStart w:id="329" w:name="_Toc317160927"/>
      <w:r w:rsidRPr="00A428C3">
        <w:lastRenderedPageBreak/>
        <w:t>Title: Geomorphology</w:t>
      </w:r>
      <w:bookmarkEnd w:id="323"/>
      <w:bookmarkEnd w:id="324"/>
      <w:bookmarkEnd w:id="325"/>
      <w:bookmarkEnd w:id="326"/>
      <w:bookmarkEnd w:id="327"/>
      <w:bookmarkEnd w:id="328"/>
      <w:bookmarkEnd w:id="329"/>
    </w:p>
    <w:p w:rsidR="00B95188" w:rsidRPr="00FD5B5D" w:rsidRDefault="00B95188" w:rsidP="00B72EF9">
      <w:pPr>
        <w:pStyle w:val="12"/>
      </w:pPr>
      <w:r w:rsidRPr="00FD5B5D">
        <w:t xml:space="preserve">Full Journal Title: </w:t>
      </w:r>
      <w:hyperlink r:id="rId441" w:history="1">
        <w:r w:rsidRPr="00FD5B5D">
          <w:rPr>
            <w:rStyle w:val="a5"/>
          </w:rPr>
          <w:t>Geomorphology</w:t>
        </w:r>
      </w:hyperlink>
    </w:p>
    <w:p w:rsidR="00B95188" w:rsidRPr="00FD5B5D" w:rsidRDefault="00B95188" w:rsidP="00B72EF9">
      <w:pPr>
        <w:pStyle w:val="12"/>
      </w:pPr>
      <w:r w:rsidRPr="00FD5B5D">
        <w:t>ISO Abbreviated Title: Geomorphology</w:t>
      </w:r>
    </w:p>
    <w:p w:rsidR="00B95188" w:rsidRPr="00FD5B5D" w:rsidRDefault="00B95188" w:rsidP="00B72EF9">
      <w:pPr>
        <w:pStyle w:val="12"/>
      </w:pPr>
      <w:r w:rsidRPr="00FD5B5D">
        <w:t>JCR Abbreviated Title: Geomorphology</w:t>
      </w:r>
    </w:p>
    <w:p w:rsidR="00B95188" w:rsidRPr="00FD5B5D" w:rsidRDefault="00B95188" w:rsidP="00B72EF9">
      <w:pPr>
        <w:pStyle w:val="12"/>
      </w:pPr>
      <w:r w:rsidRPr="00FD5B5D">
        <w:t>ISSN: 0169-555X</w:t>
      </w:r>
    </w:p>
    <w:p w:rsidR="00B95188" w:rsidRPr="00FD5B5D" w:rsidRDefault="00B95188" w:rsidP="00B72EF9">
      <w:pPr>
        <w:pStyle w:val="12"/>
      </w:pPr>
      <w:r w:rsidRPr="00FD5B5D">
        <w:t>Issues/Year: 8</w:t>
      </w:r>
    </w:p>
    <w:p w:rsidR="00B95188" w:rsidRPr="00FD5B5D" w:rsidRDefault="00B95188" w:rsidP="00B72EF9">
      <w:pPr>
        <w:pStyle w:val="12"/>
      </w:pPr>
      <w:r w:rsidRPr="00FD5B5D">
        <w:t>Journal Country/Territory: Netherlands</w:t>
      </w:r>
    </w:p>
    <w:p w:rsidR="00B95188" w:rsidRPr="00FD5B5D" w:rsidRDefault="00B95188" w:rsidP="00B72EF9">
      <w:pPr>
        <w:pStyle w:val="12"/>
      </w:pPr>
      <w:r w:rsidRPr="00FD5B5D">
        <w:t>Language: English</w:t>
      </w:r>
    </w:p>
    <w:p w:rsidR="00B95188" w:rsidRPr="00FD5B5D" w:rsidRDefault="00B95188" w:rsidP="00B72EF9">
      <w:pPr>
        <w:pStyle w:val="12"/>
      </w:pPr>
      <w:r w:rsidRPr="00FD5B5D">
        <w:t>Publisher: Elsevier Science BV</w:t>
      </w:r>
    </w:p>
    <w:p w:rsidR="00B95188" w:rsidRPr="00FD5B5D" w:rsidRDefault="00B95188" w:rsidP="00B72EF9">
      <w:pPr>
        <w:pStyle w:val="12"/>
      </w:pPr>
      <w:r w:rsidRPr="00FD5B5D">
        <w:t>Publisher Address: PO Box 211, 1000 AE Amsterdam, Netherlands</w:t>
      </w:r>
    </w:p>
    <w:p w:rsidR="00B95188" w:rsidRPr="00FD5B5D" w:rsidRDefault="00B95188" w:rsidP="00B72EF9">
      <w:pPr>
        <w:pStyle w:val="12"/>
      </w:pPr>
      <w:r w:rsidRPr="00FD5B5D">
        <w:t>Subject Categories:</w:t>
      </w:r>
    </w:p>
    <w:p w:rsidR="00B95188" w:rsidRPr="00FD5B5D" w:rsidRDefault="00B95188" w:rsidP="00B72EF9">
      <w:pPr>
        <w:pStyle w:val="12"/>
      </w:pPr>
      <w:r w:rsidRPr="00FD5B5D">
        <w:t xml:space="preserve">Geography Geology Geosciences, Interdisciplinary: Impact Factor </w:t>
      </w:r>
    </w:p>
    <w:p w:rsidR="00B95188" w:rsidRPr="00A428C3" w:rsidRDefault="00B95188" w:rsidP="00B95188">
      <w:pPr>
        <w:pStyle w:val="a0"/>
      </w:pPr>
      <w:r w:rsidRPr="00A428C3">
        <w:t>Gill, T.E. (1996), Eolian sediments generated by anthropogenic disturbance of playas: Human impacts on the geomorphic system</w:t>
      </w:r>
      <w:r w:rsidR="00F81221">
        <w:t xml:space="preserve"> and </w:t>
      </w:r>
      <w:r w:rsidRPr="00A428C3">
        <w:t xml:space="preserve">geomorphic impacts on the human system. </w:t>
      </w:r>
      <w:r w:rsidRPr="00A428C3">
        <w:rPr>
          <w:i/>
        </w:rPr>
        <w:t>Geomorphology</w:t>
      </w:r>
      <w:r w:rsidRPr="00A428C3">
        <w:t xml:space="preserve">, </w:t>
      </w:r>
      <w:r w:rsidRPr="00A428C3">
        <w:rPr>
          <w:b/>
        </w:rPr>
        <w:t>17</w:t>
      </w:r>
      <w:r w:rsidRPr="00A428C3">
        <w:t xml:space="preserve"> (1-3), 207-228.</w:t>
      </w:r>
    </w:p>
    <w:p w:rsidR="00B95188" w:rsidRPr="00A428C3" w:rsidRDefault="00B95188" w:rsidP="00B95188">
      <w:pPr>
        <w:pStyle w:val="a0"/>
      </w:pPr>
      <w:r w:rsidRPr="00A428C3">
        <w:t xml:space="preserve">Full Text: </w:t>
      </w:r>
      <w:hyperlink r:id="rId442" w:history="1">
        <w:r w:rsidRPr="00A428C3">
          <w:rPr>
            <w:rStyle w:val="a5"/>
          </w:rPr>
          <w:t>G\Geomorphology17, 207.pdf</w:t>
        </w:r>
      </w:hyperlink>
    </w:p>
    <w:p w:rsidR="00B95188" w:rsidRPr="00A428C3" w:rsidRDefault="00B95188" w:rsidP="00B95188">
      <w:pPr>
        <w:pStyle w:val="a0"/>
      </w:pPr>
      <w:r w:rsidRPr="00A428C3">
        <w:t>Abstract: In many of the Earth</w:t>
      </w:r>
      <w:r w:rsidR="000352E7">
        <w:t>’</w:t>
      </w:r>
      <w:r w:rsidRPr="00A428C3">
        <w:t>s arid</w:t>
      </w:r>
      <w:r w:rsidR="00F81221">
        <w:t xml:space="preserve"> and </w:t>
      </w:r>
      <w:r w:rsidRPr="00A428C3">
        <w:t>semiarid lands, saline lakes, playas</w:t>
      </w:r>
      <w:r w:rsidR="00F81221">
        <w:t xml:space="preserve"> and </w:t>
      </w:r>
      <w:r w:rsidRPr="00A428C3">
        <w:t>similar landforms are disturbed as a result of human activity. Diversion and/or consumptive use of surface or groundwaters has created the effect of a climate change in numerous drainage basins, resulting in the desiccation of lakes</w:t>
      </w:r>
      <w:r w:rsidR="00F81221">
        <w:t xml:space="preserve"> and </w:t>
      </w:r>
      <w:r w:rsidRPr="00A428C3">
        <w:t>reactivation of eolian processes at many locations. Playas are natural sites for extensive eolian activity because of the deposition of elastic</w:t>
      </w:r>
      <w:r w:rsidR="00F81221">
        <w:t xml:space="preserve"> and </w:t>
      </w:r>
      <w:r w:rsidRPr="00A428C3">
        <w:t>chemical sediments in basins by surface water (via fluvial transport)</w:t>
      </w:r>
      <w:r w:rsidR="00F81221">
        <w:t xml:space="preserve"> and </w:t>
      </w:r>
      <w:r w:rsidRPr="00A428C3">
        <w:t>groundwater (via efflorescence). Wind erosion</w:t>
      </w:r>
      <w:r w:rsidR="00F81221">
        <w:t xml:space="preserve"> and </w:t>
      </w:r>
      <w:r w:rsidRPr="00A428C3">
        <w:t>deposition of playa sediments has had a major role in the development of landforms</w:t>
      </w:r>
      <w:r w:rsidR="00F81221">
        <w:t xml:space="preserve"> and </w:t>
      </w:r>
      <w:r w:rsidRPr="00A428C3">
        <w:t>sedimentary units in the present (lunette fields worldwide; Simpson Desert, Australia)</w:t>
      </w:r>
      <w:r w:rsidR="00F81221">
        <w:t xml:space="preserve"> and </w:t>
      </w:r>
      <w:r w:rsidRPr="00A428C3">
        <w:t>geological past, from the Triassic (Mercia Mudstone, England) to the Quaternary (Lahontan Basin</w:t>
      </w:r>
      <w:r w:rsidR="00F81221">
        <w:t xml:space="preserve"> and </w:t>
      </w:r>
      <w:r w:rsidRPr="00A428C3">
        <w:t>Cima Volcanic Field, USA). Anthropogenic disturbance or desiccation of playa systems has resulted in the eolian transport of sand (e.g. Lop Nor, China; Konya Basin, Turkey; Rajasthan, India; Kappakoola, Australia, several sites in West Africa) and/or dust (e.g. Aral Sea, Kazakhstan/Uzbekistan; Old Wives Lake, Canada; Kara Begat Gel, (ex-)USSR; Lake Texcoco, Mexico; Owens (dry) Lake, Mono Lake</w:t>
      </w:r>
      <w:r w:rsidR="00F81221">
        <w:t xml:space="preserve"> and </w:t>
      </w:r>
      <w:r w:rsidRPr="00A428C3">
        <w:t>other playas, USA). Typically, this is accomplished by abstraction of water and/or removal of vegetation from terminal lake basins. An extensive review of the literature documents many examples and/or potential examples of such phenomena in numerous nations. The reactivation of eolian processes from closed basins produces air pollution in the form of fugitive dust (naturally occurring compounds released into the atmosphere by human actions)</w:t>
      </w:r>
      <w:r w:rsidR="00F81221">
        <w:t xml:space="preserve"> </w:t>
      </w:r>
      <w:r w:rsidR="00F81221">
        <w:lastRenderedPageBreak/>
        <w:t xml:space="preserve">and </w:t>
      </w:r>
      <w:r w:rsidRPr="00A428C3">
        <w:t>has significant environmental</w:t>
      </w:r>
      <w:r w:rsidR="00F81221">
        <w:t xml:space="preserve"> and </w:t>
      </w:r>
      <w:r w:rsidRPr="00A428C3">
        <w:t xml:space="preserve">economic impacts on human activities in the surrounding areas. Restoration or mitigation of degraded land on or surrounding playas has been accomplished at </w:t>
      </w:r>
      <w:smartTag w:uri="urn:schemas-microsoft-com:office:smarttags" w:element="PlaceType">
        <w:r w:rsidRPr="00A428C3">
          <w:t>Lake</w:t>
        </w:r>
      </w:smartTag>
      <w:r w:rsidRPr="00A428C3">
        <w:t xml:space="preserve"> </w:t>
      </w:r>
      <w:smartTag w:uri="urn:schemas-microsoft-com:office:smarttags" w:element="PlaceName">
        <w:r w:rsidRPr="00A428C3">
          <w:t>Texcoco</w:t>
        </w:r>
      </w:smartTag>
      <w:r w:rsidRPr="00A428C3">
        <w:t>, Kara Begat Gol</w:t>
      </w:r>
      <w:r w:rsidR="00F81221">
        <w:t xml:space="preserve"> and </w:t>
      </w:r>
      <w:r w:rsidRPr="00A428C3">
        <w:t xml:space="preserve">the </w:t>
      </w:r>
      <w:smartTag w:uri="urn:schemas-microsoft-com:office:smarttags" w:element="PlaceName">
        <w:r w:rsidRPr="00A428C3">
          <w:t>Konya</w:t>
        </w:r>
      </w:smartTag>
      <w:r w:rsidRPr="00A428C3">
        <w:t xml:space="preserve"> Basin</w:t>
      </w:r>
      <w:r w:rsidR="00F81221">
        <w:t xml:space="preserve"> and </w:t>
      </w:r>
      <w:r w:rsidRPr="00A428C3">
        <w:t xml:space="preserve">is being actively implemented at </w:t>
      </w:r>
      <w:smartTag w:uri="urn:schemas-microsoft-com:office:smarttags" w:element="PlaceName">
        <w:r w:rsidRPr="00A428C3">
          <w:t>Mono</w:t>
        </w:r>
      </w:smartTag>
      <w:r w:rsidRPr="00A428C3">
        <w:t xml:space="preserve"> </w:t>
      </w:r>
      <w:smartTag w:uri="urn:schemas-microsoft-com:office:smarttags" w:element="PlaceType">
        <w:r w:rsidRPr="00A428C3">
          <w:t>Lake</w:t>
        </w:r>
      </w:smartTag>
      <w:r w:rsidRPr="00A428C3">
        <w:t>, Owens (dry) Lake</w:t>
      </w:r>
      <w:r w:rsidR="00F81221">
        <w:t xml:space="preserve"> and </w:t>
      </w:r>
      <w:r w:rsidRPr="00A428C3">
        <w:t xml:space="preserve">the </w:t>
      </w:r>
      <w:smartTag w:uri="urn:schemas-microsoft-com:office:smarttags" w:element="place">
        <w:smartTag w:uri="urn:schemas-microsoft-com:office:smarttags" w:element="PlaceName">
          <w:r w:rsidRPr="00A428C3">
            <w:t>Ara</w:t>
          </w:r>
        </w:smartTag>
        <w:r w:rsidRPr="00A428C3">
          <w:t xml:space="preserve"> </w:t>
        </w:r>
        <w:smartTag w:uri="urn:schemas-microsoft-com:office:smarttags" w:element="PlaceType">
          <w:r w:rsidRPr="00A428C3">
            <w:t>Sea</w:t>
          </w:r>
        </w:smartTag>
      </w:smartTag>
      <w:r w:rsidRPr="00A428C3">
        <w:t>.</w:t>
      </w:r>
    </w:p>
    <w:p w:rsidR="00B95188" w:rsidRPr="00A428C3" w:rsidRDefault="00B95188" w:rsidP="00B95188">
      <w:pPr>
        <w:pStyle w:val="a0"/>
      </w:pPr>
      <w:r w:rsidRPr="00A428C3">
        <w:t>? Doyle, M.W.</w:t>
      </w:r>
      <w:r w:rsidR="00F81221">
        <w:t xml:space="preserve"> and </w:t>
      </w:r>
      <w:r w:rsidRPr="00A428C3">
        <w:t xml:space="preserve">Julian, J.P. (2005), The most-cited works in </w:t>
      </w:r>
      <w:r w:rsidRPr="00A55D2F">
        <w:rPr>
          <w:i/>
        </w:rPr>
        <w:t>Geomorphology</w:t>
      </w:r>
      <w:r w:rsidRPr="00A428C3">
        <w:t xml:space="preserve">. </w:t>
      </w:r>
      <w:r w:rsidRPr="00A428C3">
        <w:rPr>
          <w:i/>
        </w:rPr>
        <w:t>Geomorphology</w:t>
      </w:r>
      <w:r w:rsidRPr="00A428C3">
        <w:t xml:space="preserve">, </w:t>
      </w:r>
      <w:r w:rsidRPr="00A428C3">
        <w:rPr>
          <w:b/>
        </w:rPr>
        <w:t>72</w:t>
      </w:r>
      <w:r w:rsidRPr="00A428C3">
        <w:t xml:space="preserve"> (1-4), 238-249.</w:t>
      </w:r>
    </w:p>
    <w:p w:rsidR="00B95188" w:rsidRPr="00A428C3" w:rsidRDefault="00B95188" w:rsidP="00B95188">
      <w:pPr>
        <w:pStyle w:val="a0"/>
      </w:pPr>
      <w:r w:rsidRPr="00A428C3">
        <w:t xml:space="preserve">Full Text: </w:t>
      </w:r>
      <w:hyperlink r:id="rId443" w:history="1">
        <w:r w:rsidRPr="00A428C3">
          <w:rPr>
            <w:rStyle w:val="a5"/>
          </w:rPr>
          <w:t>2005\Geomorphology72, 238.pdf</w:t>
        </w:r>
      </w:hyperlink>
    </w:p>
    <w:p w:rsidR="00B95188" w:rsidRPr="00A428C3" w:rsidRDefault="00B95188" w:rsidP="00B95188">
      <w:pPr>
        <w:pStyle w:val="a0"/>
      </w:pPr>
      <w:r w:rsidRPr="00A428C3">
        <w:t>Abstract: We conducted a review</w:t>
      </w:r>
      <w:r w:rsidR="00F81221">
        <w:t xml:space="preserve"> and </w:t>
      </w:r>
      <w:r w:rsidRPr="00A428C3">
        <w:t>analysis of the references cited in articles published (1995–2004) in the journal Geomorphology</w:t>
      </w:r>
      <w:r w:rsidR="00F81221">
        <w:t xml:space="preserve"> and </w:t>
      </w:r>
      <w:r w:rsidRPr="00A428C3">
        <w:t>also solicited comments from the authors of the most-cited works on their major influences. Of the 31,696 unique works cited in the journal, only 22 were referenced at least 20 times, with the vast majority (92%) cited only once or twice. We divided the citations into the 10 most-cited books (i.e., complete volumes)</w:t>
      </w:r>
      <w:r w:rsidR="00F81221">
        <w:t xml:space="preserve"> and </w:t>
      </w:r>
      <w:r w:rsidRPr="00A428C3">
        <w:t>10 most-cited papers (i.e., journal articles, book chapters, reports). A total of 23 different researchers were responsible for the 20 works, with one (Wolman) being an author or co-author of a quarter of them. Seven of the ten most-cited papers were based on work in the USGS in the mid-twentieth century, indicating a particularly fruitful time of geomorphic research</w:t>
      </w:r>
      <w:r w:rsidR="00F81221">
        <w:t xml:space="preserve"> and </w:t>
      </w:r>
      <w:r w:rsidRPr="00A428C3">
        <w:t>a particularly important cohort of scientists. Based on our citation analysis</w:t>
      </w:r>
      <w:r w:rsidR="00F81221">
        <w:t xml:space="preserve"> and </w:t>
      </w:r>
      <w:r w:rsidRPr="00A428C3">
        <w:t>author commentaries, we suggest that classic works in geomorphology are most likely to be those that provide useful knowledge</w:t>
      </w:r>
      <w:r w:rsidR="00F81221">
        <w:t xml:space="preserve"> and </w:t>
      </w:r>
      <w:r w:rsidRPr="00A428C3">
        <w:t>those that incorporate interdisciplinary perspectives.</w:t>
      </w:r>
    </w:p>
    <w:p w:rsidR="00B95188" w:rsidRPr="00A428C3" w:rsidRDefault="00B95188" w:rsidP="00B95188">
      <w:pPr>
        <w:pStyle w:val="a0"/>
      </w:pPr>
      <w:r w:rsidRPr="00A428C3">
        <w:t>Keywords: Bibliometric, Citation Analysis, Citations, Classics, Frequency, Geometry, History of Geomorphology, Journal, Research, Science, Streams</w:t>
      </w:r>
    </w:p>
    <w:p w:rsidR="00B95188" w:rsidRPr="00A428C3" w:rsidRDefault="00B95188" w:rsidP="00B95188">
      <w:pPr>
        <w:pStyle w:val="1"/>
      </w:pPr>
      <w:r w:rsidRPr="00A428C3">
        <w:br w:type="page"/>
      </w:r>
      <w:bookmarkStart w:id="330" w:name="_Toc490687990"/>
      <w:bookmarkStart w:id="331" w:name="_Toc492807650"/>
      <w:bookmarkStart w:id="332" w:name="_Toc186647720"/>
      <w:bookmarkStart w:id="333" w:name="_Toc317160928"/>
      <w:r w:rsidRPr="00A428C3">
        <w:lastRenderedPageBreak/>
        <w:t>Title: Geophysical Journal International</w:t>
      </w:r>
      <w:bookmarkEnd w:id="330"/>
      <w:bookmarkEnd w:id="331"/>
      <w:bookmarkEnd w:id="332"/>
      <w:bookmarkEnd w:id="333"/>
    </w:p>
    <w:p w:rsidR="00B95188" w:rsidRPr="00A428C3" w:rsidRDefault="00B95188" w:rsidP="00B72EF9">
      <w:pPr>
        <w:pStyle w:val="12"/>
      </w:pPr>
      <w:r w:rsidRPr="00A428C3">
        <w:t>Full Journal Title: Geophysical Journal International</w:t>
      </w:r>
    </w:p>
    <w:p w:rsidR="00B95188" w:rsidRPr="00A428C3" w:rsidRDefault="00B95188" w:rsidP="00B72EF9">
      <w:pPr>
        <w:pStyle w:val="12"/>
      </w:pPr>
      <w:r w:rsidRPr="00A428C3">
        <w:t>ISO Abbreviated Title: Geophys. J. Int.</w:t>
      </w:r>
    </w:p>
    <w:p w:rsidR="00B95188" w:rsidRPr="00A428C3" w:rsidRDefault="00B95188" w:rsidP="00B72EF9">
      <w:pPr>
        <w:pStyle w:val="12"/>
      </w:pPr>
      <w:r w:rsidRPr="00A428C3">
        <w:t>JCR Abbreviated Title: Geophys J Int</w:t>
      </w:r>
    </w:p>
    <w:p w:rsidR="00B95188" w:rsidRPr="00A428C3" w:rsidRDefault="00B95188" w:rsidP="00B72EF9">
      <w:pPr>
        <w:pStyle w:val="12"/>
      </w:pPr>
      <w:r w:rsidRPr="00A428C3">
        <w:t>ISSN: 0956-540X</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Blackwell Science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88</w:t>
        </w:r>
      </w:smartTag>
      <w:r w:rsidRPr="00A428C3">
        <w:t xml:space="preserve">, Osney Mead, </w:t>
      </w:r>
      <w:smartTag w:uri="urn:schemas-microsoft-com:office:smarttags" w:element="City">
        <w:r w:rsidRPr="00A428C3">
          <w:t>Oxford</w:t>
        </w:r>
      </w:smartTag>
      <w:r w:rsidRPr="00A428C3">
        <w:t xml:space="preserve"> OX2 0NE,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Geochemistry &amp; Geophysics: Impact Factor 1.544, 14/45 (2000)</w:t>
      </w:r>
    </w:p>
    <w:p w:rsidR="00B95188" w:rsidRPr="00A428C3" w:rsidRDefault="00B95188" w:rsidP="00B95188">
      <w:pPr>
        <w:pStyle w:val="a0"/>
      </w:pPr>
      <w:r w:rsidRPr="00A428C3">
        <w:t xml:space="preserve">? Dearing, J.A., Hay, K.L., Baban, S.M.J., Huddleston, A.S., </w:t>
      </w:r>
      <w:smartTag w:uri="urn:schemas-microsoft-com:office:smarttags" w:element="City">
        <w:r w:rsidRPr="00A428C3">
          <w:t>Wellington</w:t>
        </w:r>
      </w:smartTag>
      <w:r w:rsidRPr="00A428C3">
        <w:t>, E.M.H.</w:t>
      </w:r>
      <w:r w:rsidR="00F81221">
        <w:t xml:space="preserve"> and </w:t>
      </w:r>
      <w:r w:rsidRPr="00A428C3">
        <w:t xml:space="preserve">Loveland, P.J. (1996), Magnetic susceptibility of soil: An evaluation of conflicting theories using a national data set. </w:t>
      </w:r>
      <w:r w:rsidRPr="00A428C3">
        <w:rPr>
          <w:i/>
        </w:rPr>
        <w:t>Geophysical Journal International</w:t>
      </w:r>
      <w:r w:rsidRPr="00A428C3">
        <w:t xml:space="preserve">, </w:t>
      </w:r>
      <w:r w:rsidRPr="00A428C3">
        <w:rPr>
          <w:b/>
        </w:rPr>
        <w:t>127</w:t>
      </w:r>
      <w:r w:rsidRPr="00A428C3">
        <w:t>, 728-734.</w:t>
      </w:r>
    </w:p>
    <w:p w:rsidR="00B95188" w:rsidRPr="00A428C3" w:rsidRDefault="00B95188" w:rsidP="00B95188">
      <w:pPr>
        <w:pStyle w:val="a0"/>
      </w:pPr>
      <w:r w:rsidRPr="00A428C3">
        <w:t xml:space="preserve">Abstract: Magnetic susceptibility values for topsoils across </w:t>
      </w:r>
      <w:smartTag w:uri="urn:schemas-microsoft-com:office:smarttags" w:element="place">
        <w:smartTag w:uri="urn:schemas-microsoft-com:office:smarttags" w:element="country-region">
          <w:r w:rsidRPr="00A428C3">
            <w:t>England</w:t>
          </w:r>
        </w:smartTag>
      </w:smartTag>
      <w:r w:rsidRPr="00A428C3">
        <w:t xml:space="preserve"> are combined with data for soil type, geochemistry</w:t>
      </w:r>
      <w:r w:rsidR="00F81221">
        <w:t xml:space="preserve"> and </w:t>
      </w:r>
      <w:r w:rsidRPr="00A428C3">
        <w:t>concentrations of magnetotactic bacteria in order to evaluate different theories for explaining soil magnetism. Strongly magnetic soils in unpolluted areas are found over weakly magnetic substrates</w:t>
      </w:r>
      <w:r w:rsidR="00F81221">
        <w:t xml:space="preserve"> and </w:t>
      </w:r>
      <w:r w:rsidRPr="00A428C3">
        <w:t>are dominated by ultrafine superparamagnetic grains. Magnetotactic bacteria are present in insufficient concentrations to account for strongly magnetic soils</w:t>
      </w:r>
      <w:r w:rsidR="00F81221">
        <w:t xml:space="preserve"> and </w:t>
      </w:r>
      <w:r w:rsidRPr="00A428C3">
        <w:t>crop burning is discounted as a major factor. A small number of samples show high values associated with either airborne magnetic particulates from pollution or residual primary ferrimagnetic minerals from igneous substrates, The results are used to construct a new mechanism for the formation of secondary ferrimagnetic minerals that links abiological weathering</w:t>
      </w:r>
      <w:r w:rsidR="00F81221">
        <w:t xml:space="preserve"> and </w:t>
      </w:r>
      <w:r w:rsidRPr="00A428C3">
        <w:t>biological fermentation processes, The fundamental driving force in the mechanism is Fe supply, which may be linked to climate. Observed causative associations between climate</w:t>
      </w:r>
      <w:r w:rsidR="00F81221">
        <w:t xml:space="preserve"> and </w:t>
      </w:r>
      <w:r w:rsidRPr="00A428C3">
        <w:t>the magnetic susceptibility of loess-palaeosol sequences are supported by the findings.</w:t>
      </w:r>
    </w:p>
    <w:p w:rsidR="00B95188" w:rsidRPr="00A428C3" w:rsidRDefault="00B95188" w:rsidP="00B95188">
      <w:pPr>
        <w:pStyle w:val="a0"/>
      </w:pPr>
      <w:r w:rsidRPr="00A428C3">
        <w:t>Zobin, V.M. (1997), The rupture history of the M</w:t>
      </w:r>
      <w:r w:rsidRPr="00A428C3">
        <w:rPr>
          <w:vertAlign w:val="subscript"/>
        </w:rPr>
        <w:t>W</w:t>
      </w:r>
      <w:r w:rsidRPr="00A428C3">
        <w:t xml:space="preserve"> 8.0 Jalisco, </w:t>
      </w:r>
      <w:smartTag w:uri="urn:schemas-microsoft-com:office:smarttags" w:element="place">
        <w:smartTag w:uri="urn:schemas-microsoft-com:office:smarttags" w:element="country-region">
          <w:r w:rsidRPr="00A428C3">
            <w:t>Mexico</w:t>
          </w:r>
        </w:smartTag>
      </w:smartTag>
      <w:r w:rsidRPr="00A428C3">
        <w:t xml:space="preserve">, earthquake of 1995 October 9. </w:t>
      </w:r>
      <w:r w:rsidRPr="00A428C3">
        <w:rPr>
          <w:i/>
          <w:iCs/>
        </w:rPr>
        <w:t>Geophysical Journal International</w:t>
      </w:r>
      <w:r w:rsidRPr="00A428C3">
        <w:t xml:space="preserve">, </w:t>
      </w:r>
      <w:r w:rsidRPr="00A428C3">
        <w:rPr>
          <w:b/>
        </w:rPr>
        <w:t>130</w:t>
      </w:r>
      <w:r w:rsidRPr="00A428C3">
        <w:t xml:space="preserve"> (1), 220-228.</w:t>
      </w:r>
    </w:p>
    <w:p w:rsidR="00B95188" w:rsidRPr="00A428C3" w:rsidRDefault="00B95188" w:rsidP="00B95188">
      <w:pPr>
        <w:pStyle w:val="a0"/>
      </w:pPr>
      <w:r w:rsidRPr="00A428C3">
        <w:t>Abstract: Finite-fault, broad-band teleseismic P waveform inversion was applied to the large M</w:t>
      </w:r>
      <w:r w:rsidRPr="00A428C3">
        <w:rPr>
          <w:vertAlign w:val="subscript"/>
        </w:rPr>
        <w:t>w</w:t>
      </w:r>
      <w:r w:rsidRPr="00A428C3">
        <w:t xml:space="preserve"> 8.0 </w:t>
      </w:r>
      <w:smartTag w:uri="urn:schemas-microsoft-com:office:smarttags" w:element="place">
        <w:smartTag w:uri="urn:schemas-microsoft-com:office:smarttags" w:element="City">
          <w:r w:rsidRPr="00A428C3">
            <w:t>Jalisco</w:t>
          </w:r>
        </w:smartTag>
        <w:r w:rsidRPr="00A428C3">
          <w:t xml:space="preserve">, </w:t>
        </w:r>
        <w:smartTag w:uri="urn:schemas-microsoft-com:office:smarttags" w:element="country-region">
          <w:r w:rsidRPr="00A428C3">
            <w:t>Mexico</w:t>
          </w:r>
        </w:smartTag>
      </w:smartTag>
      <w:r w:rsidRPr="00A428C3">
        <w:t>, earthquake of 1995 October 9. The earthquake hypocentre was located at shallow depths just near the boundary zone between two lithospheric plates, Rivera</w:t>
      </w:r>
      <w:r w:rsidR="00F81221">
        <w:t xml:space="preserve"> and </w:t>
      </w:r>
      <w:r w:rsidRPr="00A428C3">
        <w:t>Cocos,</w:t>
      </w:r>
      <w:r w:rsidR="00F81221">
        <w:t xml:space="preserve"> and </w:t>
      </w:r>
      <w:r w:rsidRPr="00A428C3">
        <w:t xml:space="preserve">was felt with a maximum intensity of </w:t>
      </w:r>
      <w:smartTag w:uri="urn:schemas-microsoft-com:office:smarttags" w:element="chmetcnv">
        <w:smartTagPr>
          <w:attr w:name="TCSC" w:val="0"/>
          <w:attr w:name="NumberType" w:val="1"/>
          <w:attr w:name="Negative" w:val="False"/>
          <w:attr w:name="HasSpace" w:val="True"/>
          <w:attr w:name="SourceValue" w:val="9"/>
          <w:attr w:name="UnitName" w:val="mm"/>
        </w:smartTagPr>
        <w:r w:rsidRPr="00A428C3">
          <w:t>9 MM</w:t>
        </w:r>
      </w:smartTag>
      <w:r w:rsidRPr="00A428C3">
        <w:t xml:space="preserve"> on the Pacific coast. It was the first earthquake of magnitude greater than 6 to occur in this region since the two great Jalisco earthquakes (M</w:t>
      </w:r>
      <w:r w:rsidRPr="00A428C3">
        <w:rPr>
          <w:vertAlign w:val="subscript"/>
        </w:rPr>
        <w:t>s</w:t>
      </w:r>
      <w:r w:rsidRPr="00A428C3">
        <w:t xml:space="preserve"> 8.0</w:t>
      </w:r>
      <w:r w:rsidR="00F81221">
        <w:t xml:space="preserve"> and </w:t>
      </w:r>
      <w:r w:rsidRPr="00A428C3">
        <w:t>7.6) of 1932.</w:t>
      </w:r>
    </w:p>
    <w:p w:rsidR="00B95188" w:rsidRPr="00A428C3" w:rsidRDefault="00B95188" w:rsidP="00B95188">
      <w:pPr>
        <w:pStyle w:val="a0"/>
      </w:pPr>
      <w:r w:rsidRPr="00A428C3">
        <w:lastRenderedPageBreak/>
        <w:t>For inversion, we used vertical records from 14 digital stations situated 30</w:t>
      </w:r>
      <w:r w:rsidR="008A7E71">
        <w:t>°</w:t>
      </w:r>
      <w:r w:rsidRPr="00A428C3">
        <w:t xml:space="preserve"> to 90</w:t>
      </w:r>
      <w:r w:rsidR="008A7E71">
        <w:t>°</w:t>
      </w:r>
      <w:r w:rsidRPr="00A428C3">
        <w:t xml:space="preserve"> from the epicentre. We used the fixed rake of the thrust-type focal mechanism given by the preliminary Harvard CMT. The low-angle dipping fault plane was taken as a 180×</w:t>
      </w:r>
      <w:smartTag w:uri="urn:schemas-microsoft-com:office:smarttags" w:element="chmetcnv">
        <w:smartTagPr>
          <w:attr w:name="TCSC" w:val="0"/>
          <w:attr w:name="NumberType" w:val="1"/>
          <w:attr w:name="Negative" w:val="False"/>
          <w:attr w:name="HasSpace" w:val="True"/>
          <w:attr w:name="SourceValue" w:val="90"/>
          <w:attr w:name="UnitName" w:val="km"/>
        </w:smartTagPr>
        <w:r w:rsidRPr="00A428C3">
          <w:t>90 km</w:t>
        </w:r>
      </w:smartTag>
      <w:r w:rsidRPr="00A428C3">
        <w:rPr>
          <w:vertAlign w:val="superscript"/>
        </w:rPr>
        <w:t>2</w:t>
      </w:r>
      <w:r w:rsidRPr="00A428C3">
        <w:t xml:space="preserve"> rectangle divided into 162 subfaults of 10×</w:t>
      </w:r>
      <w:smartTag w:uri="urn:schemas-microsoft-com:office:smarttags" w:element="chmetcnv">
        <w:smartTagPr>
          <w:attr w:name="TCSC" w:val="0"/>
          <w:attr w:name="NumberType" w:val="1"/>
          <w:attr w:name="Negative" w:val="False"/>
          <w:attr w:name="HasSpace" w:val="True"/>
          <w:attr w:name="SourceValue" w:val="10"/>
          <w:attr w:name="UnitName" w:val="km"/>
        </w:smartTagPr>
        <w:r w:rsidRPr="00A428C3">
          <w:t>10 km</w:t>
        </w:r>
      </w:smartTag>
      <w:r w:rsidRPr="00A428C3">
        <w:rPr>
          <w:vertAlign w:val="superscript"/>
        </w:rPr>
        <w:t>2</w:t>
      </w:r>
      <w:r w:rsidRPr="00A428C3">
        <w:t>. Each subfault had five intermediate point sources along-strike,</w:t>
      </w:r>
      <w:r w:rsidR="00F81221">
        <w:t xml:space="preserve"> and </w:t>
      </w:r>
      <w:r w:rsidRPr="00A428C3">
        <w:t>five intermediate point sources down-dip. The size of the fault plane was changed from an initial size of 110×</w:t>
      </w:r>
      <w:smartTag w:uri="urn:schemas-microsoft-com:office:smarttags" w:element="chmetcnv">
        <w:smartTagPr>
          <w:attr w:name="TCSC" w:val="0"/>
          <w:attr w:name="NumberType" w:val="1"/>
          <w:attr w:name="Negative" w:val="False"/>
          <w:attr w:name="HasSpace" w:val="True"/>
          <w:attr w:name="SourceValue" w:val="60"/>
          <w:attr w:name="UnitName" w:val="km"/>
        </w:smartTagPr>
        <w:r w:rsidRPr="00A428C3">
          <w:t>60 km</w:t>
        </w:r>
      </w:smartTag>
      <w:r w:rsidRPr="00A428C3">
        <w:rPr>
          <w:vertAlign w:val="superscript"/>
        </w:rPr>
        <w:t>2</w:t>
      </w:r>
      <w:r w:rsidRPr="00A428C3">
        <w:t>, estimated by RESCO as an aftershock area, to the final size of 180×</w:t>
      </w:r>
      <w:smartTag w:uri="urn:schemas-microsoft-com:office:smarttags" w:element="chmetcnv">
        <w:smartTagPr>
          <w:attr w:name="TCSC" w:val="0"/>
          <w:attr w:name="NumberType" w:val="1"/>
          <w:attr w:name="Negative" w:val="False"/>
          <w:attr w:name="HasSpace" w:val="True"/>
          <w:attr w:name="SourceValue" w:val="90"/>
          <w:attr w:name="UnitName" w:val="km"/>
        </w:smartTagPr>
        <w:r w:rsidRPr="00A428C3">
          <w:t>90 km</w:t>
        </w:r>
      </w:smartTag>
      <w:r w:rsidRPr="00A428C3">
        <w:rPr>
          <w:vertAlign w:val="superscript"/>
        </w:rPr>
        <w:t>2</w:t>
      </w:r>
      <w:r w:rsidRPr="00A428C3">
        <w:t xml:space="preserve">, which included all significant displacements along the fault. The hypocentre was embedded </w:t>
      </w:r>
      <w:smartTag w:uri="urn:schemas-microsoft-com:office:smarttags" w:element="chmetcnv">
        <w:smartTagPr>
          <w:attr w:name="TCSC" w:val="0"/>
          <w:attr w:name="NumberType" w:val="1"/>
          <w:attr w:name="Negative" w:val="False"/>
          <w:attr w:name="HasSpace" w:val="True"/>
          <w:attr w:name="SourceValue" w:val="40"/>
          <w:attr w:name="UnitName" w:val="km"/>
        </w:smartTagPr>
        <w:r w:rsidRPr="00A428C3">
          <w:t>40 km</w:t>
        </w:r>
      </w:smartTag>
      <w:r w:rsidRPr="00A428C3">
        <w:t xml:space="preserve"> from the left edge of the </w:t>
      </w:r>
      <w:smartTag w:uri="urn:schemas-microsoft-com:office:smarttags" w:element="chmetcnv">
        <w:smartTagPr>
          <w:attr w:name="TCSC" w:val="0"/>
          <w:attr w:name="NumberType" w:val="1"/>
          <w:attr w:name="Negative" w:val="False"/>
          <w:attr w:name="HasSpace" w:val="True"/>
          <w:attr w:name="SourceValue" w:val="180"/>
          <w:attr w:name="UnitName" w:val="km"/>
        </w:smartTagPr>
        <w:r w:rsidRPr="00A428C3">
          <w:t>180 km</w:t>
        </w:r>
      </w:smartTag>
      <w:r w:rsidRPr="00A428C3">
        <w:t xml:space="preserve"> long fault, </w:t>
      </w:r>
      <w:smartTag w:uri="urn:schemas-microsoft-com:office:smarttags" w:element="chmetcnv">
        <w:smartTagPr>
          <w:attr w:name="TCSC" w:val="0"/>
          <w:attr w:name="NumberType" w:val="1"/>
          <w:attr w:name="Negative" w:val="False"/>
          <w:attr w:name="HasSpace" w:val="True"/>
          <w:attr w:name="SourceValue" w:val="40"/>
          <w:attr w:name="UnitName" w:val="km"/>
        </w:smartTagPr>
        <w:r w:rsidRPr="00A428C3">
          <w:t>40 km</w:t>
        </w:r>
      </w:smartTag>
      <w:r w:rsidRPr="00A428C3">
        <w:t xml:space="preserve"> down-dip from the top of the fault which was situated practically along the trench axis. A boxcar source time function of width 2.0 s was used for each discrete rupture interval of each subfault. The rupture velocity was taken to be </w:t>
      </w:r>
      <w:smartTag w:uri="urn:schemas-microsoft-com:office:smarttags" w:element="chmetcnv">
        <w:smartTagPr>
          <w:attr w:name="TCSC" w:val="0"/>
          <w:attr w:name="NumberType" w:val="1"/>
          <w:attr w:name="Negative" w:val="False"/>
          <w:attr w:name="HasSpace" w:val="True"/>
          <w:attr w:name="SourceValue" w:val="2.8"/>
          <w:attr w:name="UnitName" w:val="km"/>
        </w:smartTagPr>
        <w:r w:rsidRPr="00A428C3">
          <w:t>2.8 km</w:t>
        </w:r>
      </w:smartTag>
      <w:r w:rsidRPr="00A428C3">
        <w:t xml:space="preserve"> s</w:t>
      </w:r>
      <w:r w:rsidRPr="00A428C3">
        <w:rPr>
          <w:vertAlign w:val="superscript"/>
        </w:rPr>
        <w:t>-1</w:t>
      </w:r>
      <w:r w:rsidRPr="00A428C3">
        <w:t xml:space="preserve"> which is approximately 80 per cent of the shear-wave speed in the layer containing the hypocentre.</w:t>
      </w:r>
    </w:p>
    <w:p w:rsidR="00B95188" w:rsidRPr="00A428C3" w:rsidRDefault="00B95188" w:rsidP="00B95188">
      <w:pPr>
        <w:pStyle w:val="a0"/>
      </w:pPr>
      <w:r w:rsidRPr="00A428C3">
        <w:t>The following results on the rupture history were obtained. (1) The rupture duration was about 55 s,</w:t>
      </w:r>
      <w:r w:rsidR="00F81221">
        <w:t xml:space="preserve"> and </w:t>
      </w:r>
      <w:r w:rsidRPr="00A428C3">
        <w:t>slip occurred within an area of about 180</w:t>
      </w:r>
      <w:r w:rsidRPr="00A428C3">
        <w:sym w:font="Symbol" w:char="F0B4"/>
      </w:r>
      <w:smartTag w:uri="urn:schemas-microsoft-com:office:smarttags" w:element="chmetcnv">
        <w:smartTagPr>
          <w:attr w:name="TCSC" w:val="0"/>
          <w:attr w:name="NumberType" w:val="1"/>
          <w:attr w:name="Negative" w:val="False"/>
          <w:attr w:name="HasSpace" w:val="True"/>
          <w:attr w:name="SourceValue" w:val="90"/>
          <w:attr w:name="UnitName" w:val="km"/>
        </w:smartTagPr>
        <w:r w:rsidRPr="00A428C3">
          <w:t>90 km</w:t>
        </w:r>
      </w:smartTag>
      <w:r w:rsidRPr="00A428C3">
        <w:rPr>
          <w:vertAlign w:val="superscript"/>
        </w:rPr>
        <w:t>2</w:t>
      </w:r>
      <w:r w:rsidRPr="00A428C3">
        <w:t xml:space="preserve"> along the Middle American trench in the depth interval from 9 to </w:t>
      </w:r>
      <w:smartTag w:uri="urn:schemas-microsoft-com:office:smarttags" w:element="chmetcnv">
        <w:smartTagPr>
          <w:attr w:name="TCSC" w:val="0"/>
          <w:attr w:name="NumberType" w:val="1"/>
          <w:attr w:name="Negative" w:val="False"/>
          <w:attr w:name="HasSpace" w:val="True"/>
          <w:attr w:name="SourceValue" w:val="33"/>
          <w:attr w:name="UnitName" w:val="km"/>
        </w:smartTagPr>
        <w:r w:rsidRPr="00A428C3">
          <w:t>33 km</w:t>
        </w:r>
      </w:smartTag>
      <w:r w:rsidRPr="00A428C3">
        <w:rPr>
          <w:vertAlign w:val="superscript"/>
        </w:rPr>
        <w:t>2</w:t>
      </w:r>
      <w:r w:rsidRPr="00A428C3">
        <w:t xml:space="preserve">. There were two main stages in the rupture history: during the first 18 s two main asperities at a distance of about </w:t>
      </w:r>
      <w:smartTag w:uri="urn:schemas-microsoft-com:office:smarttags" w:element="chmetcnv">
        <w:smartTagPr>
          <w:attr w:name="TCSC" w:val="0"/>
          <w:attr w:name="NumberType" w:val="1"/>
          <w:attr w:name="Negative" w:val="False"/>
          <w:attr w:name="HasSpace" w:val="True"/>
          <w:attr w:name="SourceValue" w:val="30"/>
          <w:attr w:name="UnitName" w:val="km"/>
        </w:smartTagPr>
        <w:r w:rsidRPr="00A428C3">
          <w:t>30 km</w:t>
        </w:r>
      </w:smartTag>
      <w:r w:rsidRPr="00A428C3">
        <w:t xml:space="preserve"> from the earthquake hypocentre were ruptured with maximum slip up to </w:t>
      </w:r>
      <w:smartTag w:uri="urn:schemas-microsoft-com:office:smarttags" w:element="chmetcnv">
        <w:smartTagPr>
          <w:attr w:name="TCSC" w:val="0"/>
          <w:attr w:name="NumberType" w:val="1"/>
          <w:attr w:name="Negative" w:val="False"/>
          <w:attr w:name="HasSpace" w:val="True"/>
          <w:attr w:name="SourceValue" w:val="610"/>
          <w:attr w:name="UnitName" w:val="cm"/>
        </w:smartTagPr>
        <w:r w:rsidRPr="00A428C3">
          <w:t>610 cm</w:t>
        </w:r>
      </w:smartTag>
      <w:r w:rsidRPr="00A428C3">
        <w:t xml:space="preserve"> at a depth of 12</w:t>
      </w:r>
      <w:smartTag w:uri="urn:schemas-microsoft-com:office:smarttags" w:element="chmetcnv">
        <w:smartTagPr>
          <w:attr w:name="TCSC" w:val="0"/>
          <w:attr w:name="NumberType" w:val="1"/>
          <w:attr w:name="Negative" w:val="True"/>
          <w:attr w:name="HasSpace" w:val="True"/>
          <w:attr w:name="SourceValue" w:val="15"/>
          <w:attr w:name="UnitName" w:val="km"/>
        </w:smartTagPr>
        <w:r w:rsidRPr="00A428C3">
          <w:t>-15 km</w:t>
        </w:r>
      </w:smartTag>
      <w:r w:rsidRPr="00A428C3">
        <w:t>; then during the next 37 s rupturing was observed to the north along the trench.</w:t>
      </w:r>
    </w:p>
    <w:p w:rsidR="00B95188" w:rsidRPr="00A428C3" w:rsidRDefault="00B95188" w:rsidP="00B95188">
      <w:pPr>
        <w:pStyle w:val="a0"/>
      </w:pPr>
      <w:r w:rsidRPr="00A428C3">
        <w:t>The slip distribution obtained shows that the faulting, originating near the boundary between the Rivera</w:t>
      </w:r>
      <w:r w:rsidR="00F81221">
        <w:t xml:space="preserve"> and </w:t>
      </w:r>
      <w:r w:rsidRPr="00A428C3">
        <w:t>Cocos plates, went mainly along the Rivera-North American plate boundary</w:t>
      </w:r>
      <w:r w:rsidR="00F81221">
        <w:t xml:space="preserve"> and </w:t>
      </w:r>
      <w:r w:rsidRPr="00A428C3">
        <w:t xml:space="preserve">is consistent with the subduction of the Rivera plate beneath </w:t>
      </w:r>
      <w:smartTag w:uri="urn:schemas-microsoft-com:office:smarttags" w:element="place">
        <w:r w:rsidRPr="00A428C3">
          <w:t>North America</w:t>
        </w:r>
      </w:smartTag>
      <w:r w:rsidRPr="00A428C3">
        <w:t>.</w:t>
      </w:r>
    </w:p>
    <w:p w:rsidR="00B95188" w:rsidRPr="00A428C3" w:rsidRDefault="00B95188" w:rsidP="00B95188">
      <w:pPr>
        <w:pStyle w:val="a0"/>
      </w:pPr>
      <w:r w:rsidRPr="00A428C3">
        <w:t xml:space="preserve">Keywords: Earthquakes, </w:t>
      </w:r>
      <w:smartTag w:uri="urn:schemas-microsoft-com:office:smarttags" w:element="country-region">
        <w:r w:rsidRPr="00A428C3">
          <w:t>Mexico</w:t>
        </w:r>
      </w:smartTag>
      <w:r w:rsidRPr="00A428C3">
        <w:t xml:space="preserve">, P Waves, Rivera Plate, Subduction, Tectonic Implications, Slip Distribution, Rivera Plate, Inversion, Seismicity, </w:t>
      </w:r>
      <w:smartTag w:uri="urn:schemas-microsoft-com:office:smarttags" w:element="place">
        <w:smartTag w:uri="urn:schemas-microsoft-com:office:smarttags" w:element="State">
          <w:r w:rsidRPr="00A428C3">
            <w:t>California</w:t>
          </w:r>
        </w:smartTag>
      </w:smartTag>
      <w:r w:rsidRPr="00A428C3">
        <w:t>, Subduction, Michoacan</w:t>
      </w:r>
    </w:p>
    <w:p w:rsidR="00B95188" w:rsidRPr="00A428C3" w:rsidRDefault="00B95188" w:rsidP="00B95188">
      <w:pPr>
        <w:pStyle w:val="a0"/>
      </w:pPr>
      <w:r w:rsidRPr="00A428C3">
        <w:t>Cocco, M., Pacheco, J., Singh, S.K.</w:t>
      </w:r>
      <w:r w:rsidR="00F81221">
        <w:t xml:space="preserve"> and </w:t>
      </w:r>
      <w:r w:rsidRPr="00A428C3">
        <w:t xml:space="preserve">Courboulex, F. (1997), The Zihuatanejo, </w:t>
      </w:r>
      <w:smartTag w:uri="urn:schemas-microsoft-com:office:smarttags" w:element="place">
        <w:smartTag w:uri="urn:schemas-microsoft-com:office:smarttags" w:element="country-region">
          <w:r w:rsidRPr="00A428C3">
            <w:t>Mexico</w:t>
          </w:r>
        </w:smartTag>
      </w:smartTag>
      <w:r w:rsidRPr="00A428C3">
        <w:t>, earthquake of 1994 December 10 (M = 6.6): Source characteristics</w:t>
      </w:r>
      <w:r w:rsidR="00F81221">
        <w:t xml:space="preserve"> and </w:t>
      </w:r>
      <w:r w:rsidRPr="00A428C3">
        <w:t xml:space="preserve">tectonic implications. </w:t>
      </w:r>
      <w:r w:rsidRPr="00A428C3">
        <w:rPr>
          <w:i/>
          <w:iCs/>
        </w:rPr>
        <w:t>Geophysical Journal International</w:t>
      </w:r>
      <w:r w:rsidRPr="00A428C3">
        <w:t xml:space="preserve">, </w:t>
      </w:r>
      <w:r w:rsidRPr="00A428C3">
        <w:rPr>
          <w:b/>
        </w:rPr>
        <w:t>131</w:t>
      </w:r>
      <w:r w:rsidRPr="00A428C3">
        <w:t xml:space="preserve"> (1), 135-145.</w:t>
      </w:r>
    </w:p>
    <w:p w:rsidR="00B95188" w:rsidRPr="00A428C3" w:rsidRDefault="00B95188" w:rsidP="00B95188">
      <w:pPr>
        <w:pStyle w:val="a0"/>
      </w:pPr>
      <w:r w:rsidRPr="00A428C3">
        <w:t xml:space="preserve">Abstract: An analysis of the Zihuatanejo, </w:t>
      </w:r>
      <w:smartTag w:uri="urn:schemas-microsoft-com:office:smarttags" w:element="place">
        <w:smartTag w:uri="urn:schemas-microsoft-com:office:smarttags" w:element="country-region">
          <w:r w:rsidRPr="00A428C3">
            <w:t>Mexico</w:t>
          </w:r>
        </w:smartTag>
      </w:smartTag>
      <w:r w:rsidRPr="00A428C3">
        <w:t>, earthquake of 1994 December 10 (M = 6.6), based on teleseismic</w:t>
      </w:r>
      <w:r w:rsidR="00F81221">
        <w:t xml:space="preserve"> and </w:t>
      </w:r>
      <w:r w:rsidRPr="00A428C3">
        <w:t>near-source data, shows that it was a normal-faulting, intermediate-depth (H = 50±</w:t>
      </w:r>
      <w:smartTag w:uri="urn:schemas-microsoft-com:office:smarttags" w:element="chmetcnv">
        <w:smartTagPr>
          <w:attr w:name="TCSC" w:val="0"/>
          <w:attr w:name="NumberType" w:val="1"/>
          <w:attr w:name="Negative" w:val="False"/>
          <w:attr w:name="HasSpace" w:val="True"/>
          <w:attr w:name="SourceValue" w:val="5"/>
          <w:attr w:name="UnitName" w:val="km"/>
        </w:smartTagPr>
        <w:r w:rsidRPr="00A428C3">
          <w:t>5 km</w:t>
        </w:r>
      </w:smartTag>
      <w:r w:rsidRPr="00A428C3">
        <w:t xml:space="preserve">) event. It was located about </w:t>
      </w:r>
      <w:smartTag w:uri="urn:schemas-microsoft-com:office:smarttags" w:element="chmetcnv">
        <w:smartTagPr>
          <w:attr w:name="TCSC" w:val="0"/>
          <w:attr w:name="NumberType" w:val="1"/>
          <w:attr w:name="Negative" w:val="False"/>
          <w:attr w:name="HasSpace" w:val="True"/>
          <w:attr w:name="SourceValue" w:val="30"/>
          <w:attr w:name="UnitName" w:val="km"/>
        </w:smartTagPr>
        <w:r w:rsidRPr="00A428C3">
          <w:t>30 km</w:t>
        </w:r>
      </w:smartTag>
      <w:r w:rsidRPr="00A428C3">
        <w:t xml:space="preserve"> inland, within the subducted Cocos plate. The preferred fault plane has an azimuth of 130</w:t>
      </w:r>
      <w:r w:rsidR="008A7E71">
        <w:t>°, a dip of 79°</w:t>
      </w:r>
      <w:r w:rsidRPr="00A428C3">
        <w:t>and a rake of-86</w:t>
      </w:r>
      <w:r w:rsidR="008A7E71">
        <w:t>°</w:t>
      </w:r>
      <w:r w:rsidRPr="00A428C3">
        <w:t xml:space="preserve">. The rupture consisted of two subevents which were separated in time by about 2s, with the second subevent occurring downdip of the first. The measured stress drop was relatively high, requiring a Delta sigma of about a kilobar to explain the high-frequency level of the near-source spectra. A rough estimate of the thickness of the seismogenic part of the oceanic lithosphere below Zihuatanejo, </w:t>
      </w:r>
      <w:r w:rsidRPr="00A428C3">
        <w:lastRenderedPageBreak/>
        <w:t>based on the depth</w:t>
      </w:r>
      <w:r w:rsidR="00F81221">
        <w:t xml:space="preserve"> and </w:t>
      </w:r>
      <w:r w:rsidRPr="00A428C3">
        <w:t xml:space="preserve">the rupture extent of this event, is </w:t>
      </w:r>
      <w:smartTag w:uri="urn:schemas-microsoft-com:office:smarttags" w:element="chmetcnv">
        <w:smartTagPr>
          <w:attr w:name="TCSC" w:val="0"/>
          <w:attr w:name="NumberType" w:val="1"/>
          <w:attr w:name="Negative" w:val="False"/>
          <w:attr w:name="HasSpace" w:val="True"/>
          <w:attr w:name="SourceValue" w:val="40"/>
          <w:attr w:name="UnitName" w:val="km"/>
        </w:smartTagPr>
        <w:r w:rsidRPr="00A428C3">
          <w:t>40 km</w:t>
        </w:r>
      </w:smartTag>
      <w:r w:rsidRPr="00A428C3">
        <w:t>. This event</w:t>
      </w:r>
      <w:r w:rsidR="00F81221">
        <w:t xml:space="preserve"> and </w:t>
      </w:r>
      <w:r w:rsidRPr="00A428C3">
        <w:t xml:space="preserve">the </w:t>
      </w:r>
      <w:smartTag w:uri="urn:schemas-microsoft-com:office:smarttags" w:element="place">
        <w:smartTag w:uri="urn:schemas-microsoft-com:office:smarttags" w:element="State">
          <w:r w:rsidRPr="00A428C3">
            <w:t>Oaxaca</w:t>
          </w:r>
        </w:smartTag>
      </w:smartTag>
      <w:r w:rsidRPr="00A428C3">
        <w:t xml:space="preserve"> earthquake of 1931 January 15 (M = 7.8) are the two significant normal-faulting, intermediate-depth shocks whose epicentres are closest to the coast. Both of these earthquakes were preceded by several large to great shallow, low-angle thrust earthquakes, occurring updip. The observations in other subduction zones show just the opposite: normal-faulting events precede, not succeed, updip, thrust shocks. Indeed, the thrust events, soon after their occurrence, are expected to cause compression in the slab, thus inhibiting the occurrence of normal-faulting events. To explain the occurrence of the Zihuatanejo earthquake, we note that the Cocos plate, after an initial shallow-angle subduction, unbends</w:t>
      </w:r>
      <w:r w:rsidR="00F81221">
        <w:t xml:space="preserve"> and </w:t>
      </w:r>
      <w:r w:rsidRPr="00A428C3">
        <w:t>becomes subhorizontal. In the region of the unbending, the bottom of the slab is in horizontal extension. We speculate that the large updip seismic slip during shallow, low-angle thrust events increases the buckling of the slab, resulting in an incremental tensional stress at the bottom of the slab</w:t>
      </w:r>
      <w:r w:rsidR="00F81221">
        <w:t xml:space="preserve"> and </w:t>
      </w:r>
      <w:r w:rsidRPr="00A428C3">
        <w:t xml:space="preserve">causing normal-faulting earthquakes. This explanation may also hold for the 1931 </w:t>
      </w:r>
      <w:smartTag w:uri="urn:schemas-microsoft-com:office:smarttags" w:element="place">
        <w:smartTag w:uri="urn:schemas-microsoft-com:office:smarttags" w:element="State">
          <w:r w:rsidRPr="00A428C3">
            <w:t>Oaxaca</w:t>
          </w:r>
        </w:smartTag>
      </w:smartTag>
      <w:r w:rsidRPr="00A428C3">
        <w:t xml:space="preserve"> event.</w:t>
      </w:r>
    </w:p>
    <w:p w:rsidR="00B95188" w:rsidRPr="00A428C3" w:rsidRDefault="00B95188" w:rsidP="00B95188">
      <w:pPr>
        <w:pStyle w:val="1"/>
      </w:pPr>
      <w:r w:rsidRPr="00A428C3">
        <w:br w:type="page"/>
      </w:r>
      <w:bookmarkStart w:id="334" w:name="_Toc490687987"/>
      <w:bookmarkStart w:id="335" w:name="_Toc492807651"/>
      <w:bookmarkStart w:id="336" w:name="_Toc186647721"/>
      <w:bookmarkStart w:id="337" w:name="_Toc317160929"/>
      <w:r w:rsidRPr="00A428C3">
        <w:lastRenderedPageBreak/>
        <w:t>Title: Geophysical Research Letters</w:t>
      </w:r>
      <w:bookmarkEnd w:id="334"/>
      <w:bookmarkEnd w:id="335"/>
      <w:bookmarkEnd w:id="336"/>
      <w:bookmarkEnd w:id="337"/>
    </w:p>
    <w:p w:rsidR="00B95188" w:rsidRPr="00A428C3" w:rsidRDefault="00B95188" w:rsidP="00B72EF9">
      <w:pPr>
        <w:pStyle w:val="12"/>
      </w:pPr>
      <w:r w:rsidRPr="00A428C3">
        <w:t xml:space="preserve">Full Journal Title: </w:t>
      </w:r>
      <w:hyperlink r:id="rId444" w:history="1">
        <w:r w:rsidRPr="00A428C3">
          <w:rPr>
            <w:rStyle w:val="a5"/>
          </w:rPr>
          <w:t>Geophysical Research Letters</w:t>
        </w:r>
      </w:hyperlink>
    </w:p>
    <w:p w:rsidR="00B95188" w:rsidRPr="00A428C3" w:rsidRDefault="00B95188" w:rsidP="00B72EF9">
      <w:pPr>
        <w:pStyle w:val="12"/>
      </w:pPr>
      <w:r w:rsidRPr="00A428C3">
        <w:t>ISO Abbreviated Title: Geophys. Res. Lett.</w:t>
      </w:r>
    </w:p>
    <w:p w:rsidR="00B95188" w:rsidRPr="00A428C3" w:rsidRDefault="00B95188" w:rsidP="00B72EF9">
      <w:pPr>
        <w:pStyle w:val="12"/>
      </w:pPr>
      <w:r w:rsidRPr="00A428C3">
        <w:t>JCR Abbreviated Title: Geophys Res Lett</w:t>
      </w:r>
    </w:p>
    <w:p w:rsidR="00B95188" w:rsidRPr="00A428C3" w:rsidRDefault="00B95188" w:rsidP="00B72EF9">
      <w:pPr>
        <w:pStyle w:val="12"/>
      </w:pPr>
      <w:r w:rsidRPr="00A428C3">
        <w:t>ISSN: 0094-8276</w:t>
      </w:r>
    </w:p>
    <w:p w:rsidR="00B95188" w:rsidRPr="00A428C3" w:rsidRDefault="00B95188" w:rsidP="00B72EF9">
      <w:pPr>
        <w:pStyle w:val="12"/>
      </w:pPr>
      <w:r w:rsidRPr="00A428C3">
        <w:t>Issues/Year: 24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Amer Geophysical </w:t>
      </w:r>
      <w:smartTag w:uri="urn:schemas-microsoft-com:office:smarttags" w:element="place">
        <w:r w:rsidRPr="00A428C3">
          <w:t>Union</w:t>
        </w:r>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2000 Florida Ave Nw</w:t>
          </w:r>
        </w:smartTag>
        <w:r w:rsidRPr="00A428C3">
          <w:t xml:space="preserve">, </w:t>
        </w:r>
        <w:smartTag w:uri="urn:schemas-microsoft-com:office:smarttags" w:element="City">
          <w:r w:rsidRPr="00A428C3">
            <w:t>Washington</w:t>
          </w:r>
        </w:smartTag>
        <w:r w:rsidRPr="00A428C3">
          <w:t xml:space="preserve">, </w:t>
        </w:r>
        <w:smartTag w:uri="urn:schemas-microsoft-com:office:smarttags" w:element="State">
          <w:r w:rsidRPr="00A428C3">
            <w:t>DC</w:t>
          </w:r>
        </w:smartTag>
        <w:r w:rsidRPr="00A428C3">
          <w:t xml:space="preserve"> </w:t>
        </w:r>
        <w:smartTag w:uri="urn:schemas-microsoft-com:office:smarttags" w:element="PostalCode">
          <w:r w:rsidRPr="00A428C3">
            <w:t>20009</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Geosciences, Interdisciplinary: Impact Factor </w:t>
      </w:r>
    </w:p>
    <w:p w:rsidR="00B95188" w:rsidRPr="00A428C3" w:rsidRDefault="00B95188" w:rsidP="00B95188">
      <w:pPr>
        <w:pStyle w:val="a0"/>
      </w:pPr>
      <w:r w:rsidRPr="00A428C3">
        <w:t>? Tanioka, Y., Satake, K., Ruff, L.</w:t>
      </w:r>
      <w:r w:rsidR="00F81221">
        <w:t xml:space="preserve"> and </w:t>
      </w:r>
      <w:r w:rsidRPr="00A428C3">
        <w:t>Gonzalez, F. (1994), Fault parameters</w:t>
      </w:r>
      <w:r w:rsidR="00F81221">
        <w:t xml:space="preserve"> and </w:t>
      </w:r>
      <w:r w:rsidRPr="00A428C3">
        <w:t xml:space="preserve">tsunami excitation of the May 13, 1993, </w:t>
      </w:r>
      <w:smartTag w:uri="urn:schemas-microsoft-com:office:smarttags" w:element="place">
        <w:smartTag w:uri="urn:schemas-microsoft-com:office:smarttags" w:element="PlaceName">
          <w:r w:rsidRPr="00A428C3">
            <w:t>Shumagin</w:t>
          </w:r>
        </w:smartTag>
        <w:r w:rsidRPr="00A428C3">
          <w:t xml:space="preserve"> </w:t>
        </w:r>
        <w:smartTag w:uri="urn:schemas-microsoft-com:office:smarttags" w:element="PlaceType">
          <w:r w:rsidRPr="00A428C3">
            <w:t>Islands</w:t>
          </w:r>
        </w:smartTag>
      </w:smartTag>
      <w:r w:rsidRPr="00A428C3">
        <w:t xml:space="preserve"> earthquake. </w:t>
      </w:r>
      <w:r w:rsidRPr="00A428C3">
        <w:rPr>
          <w:i/>
        </w:rPr>
        <w:t>Geophysical Research Letters</w:t>
      </w:r>
      <w:r w:rsidRPr="00A428C3">
        <w:t xml:space="preserve">, </w:t>
      </w:r>
      <w:r w:rsidRPr="00A428C3">
        <w:rPr>
          <w:b/>
        </w:rPr>
        <w:t>21</w:t>
      </w:r>
      <w:r w:rsidRPr="00A428C3">
        <w:t xml:space="preserve"> (11), 967-970.</w:t>
      </w:r>
    </w:p>
    <w:p w:rsidR="00B95188" w:rsidRPr="00A428C3" w:rsidRDefault="00B95188" w:rsidP="00B95188">
      <w:pPr>
        <w:pStyle w:val="a0"/>
      </w:pPr>
      <w:r w:rsidRPr="00A428C3">
        <w:t xml:space="preserve">Full Text: </w:t>
      </w:r>
      <w:hyperlink r:id="rId445" w:history="1">
        <w:r w:rsidRPr="00A428C3">
          <w:rPr>
            <w:rStyle w:val="a5"/>
          </w:rPr>
          <w:t>1994\Geo Res Let21, 967.pdf</w:t>
        </w:r>
      </w:hyperlink>
    </w:p>
    <w:p w:rsidR="00B95188" w:rsidRPr="00A428C3" w:rsidRDefault="00B95188" w:rsidP="00B95188">
      <w:pPr>
        <w:pStyle w:val="a0"/>
      </w:pPr>
      <w:r w:rsidRPr="00A428C3">
        <w:t xml:space="preserve">Abstract: The </w:t>
      </w:r>
      <w:smartTag w:uri="urn:schemas-microsoft-com:office:smarttags" w:element="place">
        <w:smartTag w:uri="urn:schemas-microsoft-com:office:smarttags" w:element="PlaceName">
          <w:r w:rsidRPr="00A428C3">
            <w:t>Shumagin</w:t>
          </w:r>
        </w:smartTag>
        <w:r w:rsidRPr="00A428C3">
          <w:t xml:space="preserve"> </w:t>
        </w:r>
        <w:smartTag w:uri="urn:schemas-microsoft-com:office:smarttags" w:element="PlaceType">
          <w:r w:rsidRPr="00A428C3">
            <w:t>Islands</w:t>
          </w:r>
        </w:smartTag>
      </w:smartTag>
      <w:r w:rsidRPr="00A428C3">
        <w:t xml:space="preserve"> earthquake of May 13, 1993, occurred in a previously identified seismic gap where a large subduction earthquake is expected. We analyzed long-period surface waves</w:t>
      </w:r>
      <w:r w:rsidR="00F81221">
        <w:t xml:space="preserve"> and </w:t>
      </w:r>
      <w:r w:rsidRPr="00A428C3">
        <w:t>P waves recorded on the IRIS stations to estimate the fault parameters. The Centroid Moment Tensor solution shows that the focal mechanism is a thrust type with the strike parallel to the Aleutian trench. The seismic moment is 2.0</w:t>
      </w:r>
      <w:r w:rsidRPr="00A428C3">
        <w:sym w:font="Symbol" w:char="F0B4"/>
      </w:r>
      <w:r w:rsidRPr="00A428C3">
        <w:t>10</w:t>
      </w:r>
      <w:r w:rsidRPr="00A428C3">
        <w:rPr>
          <w:vertAlign w:val="superscript"/>
        </w:rPr>
        <w:t>19</w:t>
      </w:r>
      <w:r w:rsidRPr="00A428C3">
        <w:t xml:space="preserve"> Nm</w:t>
      </w:r>
      <w:r w:rsidR="00F81221">
        <w:t xml:space="preserve"> and </w:t>
      </w:r>
      <w:r w:rsidRPr="00A428C3">
        <w:t>the corresponding moment magnitude is 6.8. The Moment Tensor Rate Function inversion from P waves also yields a similar focal mechanism</w:t>
      </w:r>
      <w:r w:rsidR="00F81221">
        <w:t xml:space="preserve"> and </w:t>
      </w:r>
      <w:r w:rsidRPr="00A428C3">
        <w:t>seismic moment. In addition, this computation provides estimates of 10 s for the duration of the source time function</w:t>
      </w:r>
      <w:r w:rsidR="00F81221">
        <w:t xml:space="preserve"> and </w:t>
      </w:r>
      <w:smartTag w:uri="urn:schemas-microsoft-com:office:smarttags" w:element="chmetcnv">
        <w:smartTagPr>
          <w:attr w:name="TCSC" w:val="0"/>
          <w:attr w:name="NumberType" w:val="1"/>
          <w:attr w:name="Negative" w:val="False"/>
          <w:attr w:name="HasSpace" w:val="True"/>
          <w:attr w:name="SourceValue" w:val="35"/>
          <w:attr w:name="UnitName" w:val="km"/>
        </w:smartTagPr>
        <w:r w:rsidRPr="00A428C3">
          <w:t>35 km</w:t>
        </w:r>
      </w:smartTag>
      <w:r w:rsidRPr="00A428C3">
        <w:t xml:space="preserve"> for the best point source depth. These seismological analyses indicate that the fault mechanism of the 1993 earthquake was as expected, but that the magnitude was too small to fill the gap. This earthquake did not generate a tsunami large enough to be observed at the Sand Point, Alaska tide gauge or at an ocean bottom pressure gauge, at distances of 100</w:t>
      </w:r>
      <w:r w:rsidR="00F81221">
        <w:t xml:space="preserve"> and </w:t>
      </w:r>
      <w:smartTag w:uri="urn:schemas-microsoft-com:office:smarttags" w:element="chmetcnv">
        <w:smartTagPr>
          <w:attr w:name="TCSC" w:val="0"/>
          <w:attr w:name="NumberType" w:val="1"/>
          <w:attr w:name="Negative" w:val="False"/>
          <w:attr w:name="HasSpace" w:val="True"/>
          <w:attr w:name="SourceValue" w:val="300"/>
          <w:attr w:name="UnitName" w:val="km"/>
        </w:smartTagPr>
        <w:r w:rsidRPr="00A428C3">
          <w:t>300 km</w:t>
        </w:r>
      </w:smartTag>
      <w:r w:rsidRPr="00A428C3">
        <w:t>, respectively. Numerical tsunami simulations result in amplitudes at both stations that are within the background noise level. Additional numerical experiments also suggest that the small tsunami amplitudes are due to the location of the source area in the shallow shelf region.</w:t>
      </w:r>
    </w:p>
    <w:p w:rsidR="00B95188" w:rsidRPr="00A428C3" w:rsidRDefault="00B95188" w:rsidP="00B95188">
      <w:pPr>
        <w:pStyle w:val="a0"/>
      </w:pPr>
      <w:r w:rsidRPr="00A428C3">
        <w:t xml:space="preserve">Keywords: Seismic Gap, </w:t>
      </w:r>
      <w:smartTag w:uri="urn:schemas-microsoft-com:office:smarttags" w:element="place">
        <w:smartTag w:uri="urn:schemas-microsoft-com:office:smarttags" w:element="State">
          <w:r w:rsidRPr="00A428C3">
            <w:t>Alaska</w:t>
          </w:r>
        </w:smartTag>
      </w:smartTag>
    </w:p>
    <w:p w:rsidR="00B95188" w:rsidRPr="00A428C3" w:rsidRDefault="00B95188" w:rsidP="00B95188">
      <w:pPr>
        <w:pStyle w:val="a0"/>
      </w:pPr>
      <w:r w:rsidRPr="00A428C3">
        <w:t>Pinar, A., Honkura, Y.</w:t>
      </w:r>
      <w:r w:rsidR="00F81221">
        <w:t xml:space="preserve"> and </w:t>
      </w:r>
      <w:r w:rsidRPr="00A428C3">
        <w:t>Kikuchi, M. (1994), Rupture process of the 1992 Erzincan earthquake</w:t>
      </w:r>
      <w:r w:rsidR="00F81221">
        <w:t xml:space="preserve"> and </w:t>
      </w:r>
      <w:r w:rsidRPr="00A428C3">
        <w:t xml:space="preserve">its implication for seismotectonics in eastern </w:t>
      </w:r>
      <w:smartTag w:uri="urn:schemas-microsoft-com:office:smarttags" w:element="place">
        <w:smartTag w:uri="urn:schemas-microsoft-com:office:smarttags" w:element="country-region">
          <w:r w:rsidRPr="00A428C3">
            <w:t>Turkey</w:t>
          </w:r>
        </w:smartTag>
      </w:smartTag>
      <w:r w:rsidRPr="00A428C3">
        <w:t xml:space="preserve">. </w:t>
      </w:r>
      <w:r w:rsidRPr="00A428C3">
        <w:rPr>
          <w:i/>
        </w:rPr>
        <w:t>Geophysical Research Letters</w:t>
      </w:r>
      <w:r w:rsidRPr="00A428C3">
        <w:t xml:space="preserve">, </w:t>
      </w:r>
      <w:r w:rsidRPr="00A428C3">
        <w:rPr>
          <w:b/>
        </w:rPr>
        <w:t>21</w:t>
      </w:r>
      <w:r w:rsidRPr="00A428C3">
        <w:t xml:space="preserve"> (18), 1971-1974.</w:t>
      </w:r>
    </w:p>
    <w:p w:rsidR="00B95188" w:rsidRPr="00A428C3" w:rsidRDefault="00B95188" w:rsidP="00B95188">
      <w:pPr>
        <w:pStyle w:val="a0"/>
      </w:pPr>
      <w:r w:rsidRPr="00A428C3">
        <w:lastRenderedPageBreak/>
        <w:t>Full Text: Geo Res Let21, 1971</w:t>
      </w:r>
    </w:p>
    <w:p w:rsidR="00B95188" w:rsidRPr="00A428C3" w:rsidRDefault="00B95188" w:rsidP="00B95188">
      <w:pPr>
        <w:pStyle w:val="a0"/>
      </w:pPr>
      <w:r w:rsidRPr="00A428C3">
        <w:t>Abstract: The 13 March 1992 Erzincan earthquake is different from the previous earthquakes which have occurred along the North Anatolian fault zone (NAFZ) in that no surface rupture was observed. In order to infer a rupture process of this earthquake, we inverted the teleseismic body waves to the source using the method of Kikuchi</w:t>
      </w:r>
      <w:r w:rsidR="00F81221">
        <w:t xml:space="preserve"> and </w:t>
      </w:r>
      <w:r w:rsidRPr="00A428C3">
        <w:t>Kanamori [1991]. Three different subevents were then distinguished with total seismic moment of M</w:t>
      </w:r>
      <w:r w:rsidRPr="00A428C3">
        <w:rPr>
          <w:vertAlign w:val="subscript"/>
        </w:rPr>
        <w:t>o</w:t>
      </w:r>
      <w:r w:rsidRPr="00A428C3">
        <w:t xml:space="preserve"> = 1.2×10</w:t>
      </w:r>
      <w:r w:rsidRPr="00A428C3">
        <w:rPr>
          <w:vertAlign w:val="superscript"/>
        </w:rPr>
        <w:t>26</w:t>
      </w:r>
      <w:r w:rsidRPr="00A428C3">
        <w:t xml:space="preserve"> dyn.cm. The major energy release was found to be during the first subevent with seismic moment of M</w:t>
      </w:r>
      <w:r w:rsidRPr="00A428C3">
        <w:rPr>
          <w:vertAlign w:val="subscript"/>
        </w:rPr>
        <w:t>o</w:t>
      </w:r>
      <w:r w:rsidRPr="00A428C3">
        <w:t xml:space="preserve"> = 9.4×10</w:t>
      </w:r>
      <w:r w:rsidRPr="00A428C3">
        <w:rPr>
          <w:vertAlign w:val="superscript"/>
        </w:rPr>
        <w:t>25</w:t>
      </w:r>
      <w:r w:rsidRPr="00A428C3">
        <w:t xml:space="preserve"> dyn.cm, rupture length of </w:t>
      </w:r>
      <w:smartTag w:uri="urn:schemas-microsoft-com:office:smarttags" w:element="chmetcnv">
        <w:smartTagPr>
          <w:attr w:name="TCSC" w:val="0"/>
          <w:attr w:name="NumberType" w:val="1"/>
          <w:attr w:name="Negative" w:val="False"/>
          <w:attr w:name="HasSpace" w:val="True"/>
          <w:attr w:name="SourceValue" w:val="30"/>
          <w:attr w:name="UnitName" w:val="km"/>
        </w:smartTagPr>
        <w:r w:rsidRPr="00A428C3">
          <w:t>30 km</w:t>
        </w:r>
      </w:smartTag>
      <w:r w:rsidRPr="00A428C3">
        <w:t xml:space="preserve">, slip amount of </w:t>
      </w:r>
      <w:smartTag w:uri="urn:schemas-microsoft-com:office:smarttags" w:element="chmetcnv">
        <w:smartTagPr>
          <w:attr w:name="TCSC" w:val="0"/>
          <w:attr w:name="NumberType" w:val="1"/>
          <w:attr w:name="Negative" w:val="False"/>
          <w:attr w:name="HasSpace" w:val="True"/>
          <w:attr w:name="SourceValue" w:val="0.7"/>
          <w:attr w:name="UnitName" w:val="m"/>
        </w:smartTagPr>
        <w:r w:rsidRPr="00A428C3">
          <w:t>0.7 m</w:t>
        </w:r>
      </w:smartTag>
      <w:r w:rsidR="00F81221">
        <w:t xml:space="preserve"> and </w:t>
      </w:r>
      <w:r w:rsidRPr="00A428C3">
        <w:t xml:space="preserve">stress drop of 25 bars. The second subevent was right-lateral, as was the case for the first one, with a normal faulting component. It was located </w:t>
      </w:r>
      <w:smartTag w:uri="urn:schemas-microsoft-com:office:smarttags" w:element="chmetcnv">
        <w:smartTagPr>
          <w:attr w:name="TCSC" w:val="0"/>
          <w:attr w:name="NumberType" w:val="1"/>
          <w:attr w:name="Negative" w:val="False"/>
          <w:attr w:name="HasSpace" w:val="True"/>
          <w:attr w:name="SourceValue" w:val="10"/>
          <w:attr w:name="UnitName" w:val="km"/>
        </w:smartTagPr>
        <w:r w:rsidRPr="00A428C3">
          <w:t>10 km</w:t>
        </w:r>
      </w:smartTag>
      <w:r w:rsidRPr="00A428C3">
        <w:t xml:space="preserve"> to the southeast from the first one at the intersection of the right-lateral NAFZ with the left-lateral Ovacik fault. The third subevent with a right-lateral mechanism was </w:t>
      </w:r>
      <w:smartTag w:uri="urn:schemas-microsoft-com:office:smarttags" w:element="chmetcnv">
        <w:smartTagPr>
          <w:attr w:name="TCSC" w:val="0"/>
          <w:attr w:name="NumberType" w:val="1"/>
          <w:attr w:name="Negative" w:val="False"/>
          <w:attr w:name="HasSpace" w:val="True"/>
          <w:attr w:name="SourceValue" w:val="10"/>
          <w:attr w:name="UnitName" w:val="km"/>
        </w:smartTagPr>
        <w:r w:rsidRPr="00A428C3">
          <w:t>10 km</w:t>
        </w:r>
      </w:smartTag>
      <w:r w:rsidRPr="00A428C3">
        <w:t xml:space="preserve"> to the southeast from the second one. These results are in good harmony with regional seismotectonics in eastern </w:t>
      </w:r>
      <w:smartTag w:uri="urn:schemas-microsoft-com:office:smarttags" w:element="place">
        <w:smartTag w:uri="urn:schemas-microsoft-com:office:smarttags" w:element="country-region">
          <w:r w:rsidRPr="00A428C3">
            <w:t>Turkey</w:t>
          </w:r>
        </w:smartTag>
      </w:smartTag>
      <w:r w:rsidRPr="00A428C3">
        <w:t>.</w:t>
      </w:r>
    </w:p>
    <w:p w:rsidR="00B95188" w:rsidRPr="00A428C3" w:rsidRDefault="00B95188" w:rsidP="00B95188">
      <w:pPr>
        <w:pStyle w:val="a0"/>
      </w:pPr>
      <w:r w:rsidRPr="00A428C3">
        <w:t xml:space="preserve">? Satake, K. (1994), Mechanism of the 1992 </w:t>
      </w:r>
      <w:smartTag w:uri="urn:schemas-microsoft-com:office:smarttags" w:element="place">
        <w:smartTag w:uri="urn:schemas-microsoft-com:office:smarttags" w:element="country-region">
          <w:r w:rsidRPr="00A428C3">
            <w:t>Nicaragua</w:t>
          </w:r>
        </w:smartTag>
      </w:smartTag>
      <w:r w:rsidRPr="00A428C3">
        <w:t xml:space="preserve"> tsunami earthquake. </w:t>
      </w:r>
      <w:r w:rsidRPr="00A428C3">
        <w:rPr>
          <w:i/>
        </w:rPr>
        <w:t>Geophysical Research Letters</w:t>
      </w:r>
      <w:r w:rsidRPr="00A428C3">
        <w:t xml:space="preserve">, </w:t>
      </w:r>
      <w:r w:rsidRPr="00A428C3">
        <w:rPr>
          <w:b/>
        </w:rPr>
        <w:t>21</w:t>
      </w:r>
      <w:r w:rsidRPr="00A428C3">
        <w:t xml:space="preserve"> (23), 2519-2522.</w:t>
      </w:r>
    </w:p>
    <w:p w:rsidR="00B95188" w:rsidRPr="00A428C3" w:rsidRDefault="00B95188" w:rsidP="00B95188">
      <w:pPr>
        <w:pStyle w:val="a0"/>
      </w:pPr>
      <w:r w:rsidRPr="00A428C3">
        <w:t xml:space="preserve">Full Text: </w:t>
      </w:r>
      <w:hyperlink r:id="rId446" w:history="1">
        <w:r w:rsidRPr="00A428C3">
          <w:rPr>
            <w:rStyle w:val="a5"/>
          </w:rPr>
          <w:t>1994\Geo Res Let21, 2519.pdf</w:t>
        </w:r>
      </w:hyperlink>
    </w:p>
    <w:p w:rsidR="00B95188" w:rsidRPr="00A428C3" w:rsidRDefault="00B95188" w:rsidP="00B95188">
      <w:pPr>
        <w:pStyle w:val="a0"/>
      </w:pPr>
      <w:r w:rsidRPr="00A428C3">
        <w:t xml:space="preserve">Abstract: The 1992 </w:t>
      </w:r>
      <w:smartTag w:uri="urn:schemas-microsoft-com:office:smarttags" w:element="place">
        <w:smartTag w:uri="urn:schemas-microsoft-com:office:smarttags" w:element="country-region">
          <w:r w:rsidRPr="00A428C3">
            <w:t>Nicaragua</w:t>
          </w:r>
        </w:smartTag>
      </w:smartTag>
      <w:r w:rsidRPr="00A428C3">
        <w:t xml:space="preserve"> earthquake generated larger tsunamis than expected from its surface wave magnitude (M(s) 7.2)</w:t>
      </w:r>
      <w:r w:rsidR="00F81221">
        <w:t xml:space="preserve"> and </w:t>
      </w:r>
      <w:r w:rsidRPr="00A428C3">
        <w:t xml:space="preserve">is known as a </w:t>
      </w:r>
      <w:r w:rsidR="000352E7">
        <w:t>‘</w:t>
      </w:r>
      <w:r w:rsidRPr="00A428C3">
        <w:t>tsunami earthquake</w:t>
      </w:r>
      <w:r w:rsidR="000352E7">
        <w:t>’</w:t>
      </w:r>
      <w:r w:rsidRPr="00A428C3">
        <w:t xml:space="preserve">. Seismological studies showed that the duration was very long for its size, about 100 s. Other studies have shown that the seismic moment estimated from tsunamis is an order of magnitude larger than that from seismic waves, even after the long duration is accounted for. Numerical computations of tsunamis from various fault models are made to reconcile this discrepancy. Comparison of calculated waveforms with tide gauge records shows that the fault width is </w:t>
      </w:r>
      <w:smartTag w:uri="urn:schemas-microsoft-com:office:smarttags" w:element="chmetcnv">
        <w:smartTagPr>
          <w:attr w:name="TCSC" w:val="0"/>
          <w:attr w:name="NumberType" w:val="1"/>
          <w:attr w:name="Negative" w:val="False"/>
          <w:attr w:name="HasSpace" w:val="True"/>
          <w:attr w:name="SourceValue" w:val="40"/>
          <w:attr w:name="UnitName" w:val="km"/>
        </w:smartTagPr>
        <w:r w:rsidRPr="00A428C3">
          <w:t>40 km</w:t>
        </w:r>
      </w:smartTag>
      <w:r w:rsidRPr="00A428C3">
        <w:t>, much narrower than the aftershock area,</w:t>
      </w:r>
      <w:r w:rsidR="00F81221">
        <w:t xml:space="preserve"> and </w:t>
      </w:r>
      <w:r w:rsidRPr="00A428C3">
        <w:t xml:space="preserve">extends only into the upper </w:t>
      </w:r>
      <w:smartTag w:uri="urn:schemas-microsoft-com:office:smarttags" w:element="chmetcnv">
        <w:smartTagPr>
          <w:attr w:name="TCSC" w:val="0"/>
          <w:attr w:name="NumberType" w:val="1"/>
          <w:attr w:name="Negative" w:val="False"/>
          <w:attr w:name="HasSpace" w:val="True"/>
          <w:attr w:name="SourceValue" w:val="10"/>
          <w:attr w:name="UnitName" w:val="km"/>
        </w:smartTagPr>
        <w:r w:rsidRPr="00A428C3">
          <w:t>10 km</w:t>
        </w:r>
      </w:smartTag>
      <w:r w:rsidRPr="00A428C3">
        <w:t xml:space="preserve"> of the ocean bottom. Slip amount on the fault is estimated to be </w:t>
      </w:r>
      <w:smartTag w:uri="urn:schemas-microsoft-com:office:smarttags" w:element="chmetcnv">
        <w:smartTagPr>
          <w:attr w:name="TCSC" w:val="0"/>
          <w:attr w:name="NumberType" w:val="1"/>
          <w:attr w:name="Negative" w:val="False"/>
          <w:attr w:name="HasSpace" w:val="True"/>
          <w:attr w:name="SourceValue" w:val="3"/>
          <w:attr w:name="UnitName" w:val="m"/>
        </w:smartTagPr>
        <w:r w:rsidRPr="00A428C3">
          <w:t>3 m</w:t>
        </w:r>
      </w:smartTag>
      <w:r w:rsidRPr="00A428C3">
        <w:t xml:space="preserve"> from amplitude comparisons. The fault length is estimated to be </w:t>
      </w:r>
      <w:smartTag w:uri="urn:schemas-microsoft-com:office:smarttags" w:element="chmetcnv">
        <w:smartTagPr>
          <w:attr w:name="TCSC" w:val="0"/>
          <w:attr w:name="NumberType" w:val="1"/>
          <w:attr w:name="Negative" w:val="False"/>
          <w:attr w:name="HasSpace" w:val="True"/>
          <w:attr w:name="SourceValue" w:val="250"/>
          <w:attr w:name="UnitName" w:val="km"/>
        </w:smartTagPr>
        <w:r w:rsidRPr="00A428C3">
          <w:t>250 km</w:t>
        </w:r>
      </w:smartTag>
      <w:r w:rsidRPr="00A428C3">
        <w:t>, slightly longer than the aftershock area, from comparison of the tsunami height distribution. The rigidity around the shallow fault may be smaller than that of a standard underthrust fault,</w:t>
      </w:r>
      <w:r w:rsidR="00F81221">
        <w:t xml:space="preserve"> and </w:t>
      </w:r>
      <w:r w:rsidRPr="00A428C3">
        <w:t>the seismic moment is estimated as 3</w:t>
      </w:r>
      <w:r w:rsidRPr="00A428C3">
        <w:sym w:font="Symbol" w:char="F0B4"/>
      </w:r>
      <w:r w:rsidRPr="00A428C3">
        <w:t>10</w:t>
      </w:r>
      <w:r w:rsidRPr="00A428C3">
        <w:rPr>
          <w:vertAlign w:val="superscript"/>
        </w:rPr>
        <w:t>20</w:t>
      </w:r>
      <w:r w:rsidRPr="00A428C3">
        <w:t xml:space="preserve"> Nm, consistent with the seismic observations. A slow rupture on the shallow fault, presumably in the subducted sediments, is responsible to the unusually large tsunami excitation.</w:t>
      </w:r>
    </w:p>
    <w:p w:rsidR="00B95188" w:rsidRPr="00A428C3" w:rsidRDefault="00B95188" w:rsidP="00B95188">
      <w:pPr>
        <w:pStyle w:val="a0"/>
      </w:pPr>
      <w:r w:rsidRPr="00A428C3">
        <w:t>Keywords: Subduction</w:t>
      </w:r>
    </w:p>
    <w:p w:rsidR="00B95188" w:rsidRPr="00A428C3" w:rsidRDefault="00B95188" w:rsidP="00B95188">
      <w:pPr>
        <w:pStyle w:val="a0"/>
      </w:pPr>
      <w:r w:rsidRPr="00A428C3">
        <w:t>? Tanioka, Y., Satake, K.</w:t>
      </w:r>
      <w:r w:rsidR="00F81221">
        <w:t xml:space="preserve"> and </w:t>
      </w:r>
      <w:r w:rsidRPr="00A428C3">
        <w:t>Ruff, L. (1995), Total analysis of the 1993 Hokkaido-Nansei-Oki earthquake using seismic-wave, tsunami,</w:t>
      </w:r>
      <w:r w:rsidR="00F81221">
        <w:t xml:space="preserve"> and </w:t>
      </w:r>
      <w:r w:rsidRPr="00A428C3">
        <w:t xml:space="preserve">geodetic data. </w:t>
      </w:r>
      <w:r w:rsidRPr="00A428C3">
        <w:rPr>
          <w:i/>
        </w:rPr>
        <w:t>Geophysical Research Letters</w:t>
      </w:r>
      <w:r w:rsidRPr="00A428C3">
        <w:t xml:space="preserve">, </w:t>
      </w:r>
      <w:r w:rsidRPr="00A428C3">
        <w:rPr>
          <w:b/>
        </w:rPr>
        <w:t>22</w:t>
      </w:r>
      <w:r w:rsidRPr="00A428C3">
        <w:t xml:space="preserve"> (1), 9-12.</w:t>
      </w:r>
    </w:p>
    <w:p w:rsidR="00B95188" w:rsidRPr="00A428C3" w:rsidRDefault="00B95188" w:rsidP="00B95188">
      <w:pPr>
        <w:pStyle w:val="a0"/>
      </w:pPr>
      <w:r w:rsidRPr="00A428C3">
        <w:t xml:space="preserve">Full Text: </w:t>
      </w:r>
      <w:hyperlink r:id="rId447" w:history="1">
        <w:r w:rsidRPr="00A428C3">
          <w:rPr>
            <w:rStyle w:val="a5"/>
          </w:rPr>
          <w:t>1995\Geo Res Let22, 9.pdf</w:t>
        </w:r>
      </w:hyperlink>
    </w:p>
    <w:p w:rsidR="00B95188" w:rsidRPr="00A428C3" w:rsidRDefault="00B95188" w:rsidP="00B95188">
      <w:pPr>
        <w:pStyle w:val="a0"/>
      </w:pPr>
      <w:r w:rsidRPr="00A428C3">
        <w:lastRenderedPageBreak/>
        <w:t>Abstract: The fault geometry</w:t>
      </w:r>
      <w:r w:rsidR="00F81221">
        <w:t xml:space="preserve"> and </w:t>
      </w:r>
      <w:r w:rsidRPr="00A428C3">
        <w:t xml:space="preserve">slip distribution of the </w:t>
      </w:r>
      <w:smartTag w:uri="urn:schemas-microsoft-com:office:smarttags" w:element="State">
        <w:r w:rsidRPr="00A428C3">
          <w:t>Hokkaido</w:t>
        </w:r>
      </w:smartTag>
      <w:r w:rsidRPr="00A428C3">
        <w:t xml:space="preserve"> </w:t>
      </w:r>
      <w:smartTag w:uri="urn:schemas-microsoft-com:office:smarttags" w:element="place">
        <w:smartTag w:uri="urn:schemas-microsoft-com:office:smarttags" w:element="City">
          <w:r w:rsidRPr="00A428C3">
            <w:t>Nansei-oki</w:t>
          </w:r>
        </w:smartTag>
        <w:r w:rsidRPr="00A428C3">
          <w:t xml:space="preserve">, </w:t>
        </w:r>
        <w:smartTag w:uri="urn:schemas-microsoft-com:office:smarttags" w:element="country-region">
          <w:r w:rsidRPr="00A428C3">
            <w:t>Japan</w:t>
          </w:r>
        </w:smartTag>
      </w:smartTag>
      <w:r w:rsidRPr="00A428C3">
        <w:t>, earthquake of July 12, 1993 are estimated using seismic wave, tsunami,</w:t>
      </w:r>
      <w:r w:rsidR="00F81221">
        <w:t xml:space="preserve"> and </w:t>
      </w:r>
      <w:r w:rsidRPr="00A428C3">
        <w:t>geodetic data. The Moment Tenser Rate Function inversion from P waves shows one nodal plane shallowly dipping to the west</w:t>
      </w:r>
      <w:r w:rsidR="00F81221">
        <w:t xml:space="preserve"> and </w:t>
      </w:r>
      <w:r w:rsidRPr="00A428C3">
        <w:t>the other nodal plane steeply dipping to the east. The best depth is estimated as 10</w:t>
      </w:r>
      <w:smartTag w:uri="urn:schemas-microsoft-com:office:smarttags" w:element="chmetcnv">
        <w:smartTagPr>
          <w:attr w:name="TCSC" w:val="0"/>
          <w:attr w:name="NumberType" w:val="1"/>
          <w:attr w:name="Negative" w:val="True"/>
          <w:attr w:name="HasSpace" w:val="True"/>
          <w:attr w:name="SourceValue" w:val="15"/>
          <w:attr w:name="UnitName" w:val="km"/>
        </w:smartTagPr>
        <w:r w:rsidRPr="00A428C3">
          <w:t>-15 km</w:t>
        </w:r>
      </w:smartTag>
      <w:r w:rsidRPr="00A428C3">
        <w:t>. The source time history consists of an initial pulse with a duration of 10 s</w:t>
      </w:r>
      <w:r w:rsidR="00F81221">
        <w:t xml:space="preserve"> and </w:t>
      </w:r>
      <w:r w:rsidRPr="00A428C3">
        <w:t>moment release of 2</w:t>
      </w:r>
      <w:r w:rsidRPr="00A428C3">
        <w:sym w:font="Symbol" w:char="F0B4"/>
      </w:r>
      <w:r w:rsidRPr="00A428C3">
        <w:t>10</w:t>
      </w:r>
      <w:r w:rsidRPr="00A428C3">
        <w:rPr>
          <w:vertAlign w:val="superscript"/>
        </w:rPr>
        <w:t>20</w:t>
      </w:r>
      <w:r w:rsidRPr="00A428C3">
        <w:t xml:space="preserve"> Nm, followed by a complex rupture for at least 40 s. The Centroid Moment Tenser (CMT) solution shows one nodal plane shallowly dipping to the east</w:t>
      </w:r>
      <w:r w:rsidR="00F81221">
        <w:t xml:space="preserve"> and </w:t>
      </w:r>
      <w:r w:rsidRPr="00A428C3">
        <w:t>the other steeply dipping to the west. The overall seismic moment is estimated as 5.5</w:t>
      </w:r>
      <w:r w:rsidRPr="00A428C3">
        <w:sym w:font="Symbol" w:char="F0B4"/>
      </w:r>
      <w:r w:rsidRPr="00A428C3">
        <w:t>10</w:t>
      </w:r>
      <w:r w:rsidRPr="00A428C3">
        <w:rPr>
          <w:vertAlign w:val="superscript"/>
        </w:rPr>
        <w:t>20</w:t>
      </w:r>
      <w:r w:rsidRPr="00A428C3">
        <w:t xml:space="preserve"> Nm (M(W) 7.8). The joint inversion of geodetic data on Okushiri Island</w:t>
      </w:r>
      <w:r w:rsidR="00F81221">
        <w:t xml:space="preserve"> and </w:t>
      </w:r>
      <w:r w:rsidRPr="00A428C3">
        <w:t>tsunami waveforms in Japan</w:t>
      </w:r>
      <w:r w:rsidR="00F81221">
        <w:t xml:space="preserve"> and </w:t>
      </w:r>
      <w:r w:rsidRPr="00A428C3">
        <w:t xml:space="preserve">Korea shows that the largest slip, about </w:t>
      </w:r>
      <w:smartTag w:uri="urn:schemas-microsoft-com:office:smarttags" w:element="chmetcnv">
        <w:smartTagPr>
          <w:attr w:name="TCSC" w:val="0"/>
          <w:attr w:name="NumberType" w:val="1"/>
          <w:attr w:name="Negative" w:val="False"/>
          <w:attr w:name="HasSpace" w:val="True"/>
          <w:attr w:name="SourceValue" w:val="6"/>
          <w:attr w:name="UnitName" w:val="m"/>
        </w:smartTagPr>
        <w:r w:rsidRPr="00A428C3">
          <w:t>6 m</w:t>
        </w:r>
      </w:smartTag>
      <w:r w:rsidRPr="00A428C3">
        <w:t xml:space="preserve">, occurred at a small area just south of the epicenter. This corresponds to the initial rupture on a fault plane dipping shallowly to the west. The slip on the northernmost fault, dipping to the east, is about </w:t>
      </w:r>
      <w:smartTag w:uri="urn:schemas-microsoft-com:office:smarttags" w:element="chmetcnv">
        <w:smartTagPr>
          <w:attr w:name="TCSC" w:val="0"/>
          <w:attr w:name="NumberType" w:val="1"/>
          <w:attr w:name="Negative" w:val="False"/>
          <w:attr w:name="HasSpace" w:val="True"/>
          <w:attr w:name="SourceValue" w:val="2"/>
          <w:attr w:name="UnitName" w:val="m"/>
        </w:smartTagPr>
        <w:r w:rsidRPr="00A428C3">
          <w:t>2 m</w:t>
        </w:r>
      </w:smartTag>
      <w:r w:rsidRPr="00A428C3">
        <w:t xml:space="preserve">. The slips on the southern faults, dipping steeply to the west, are more than </w:t>
      </w:r>
      <w:smartTag w:uri="urn:schemas-microsoft-com:office:smarttags" w:element="chmetcnv">
        <w:smartTagPr>
          <w:attr w:name="TCSC" w:val="0"/>
          <w:attr w:name="NumberType" w:val="1"/>
          <w:attr w:name="Negative" w:val="False"/>
          <w:attr w:name="HasSpace" w:val="True"/>
          <w:attr w:name="SourceValue" w:val="3"/>
          <w:attr w:name="UnitName" w:val="m"/>
        </w:smartTagPr>
        <w:r w:rsidRPr="00A428C3">
          <w:t>3 m</w:t>
        </w:r>
      </w:smartTag>
      <w:r w:rsidRPr="00A428C3">
        <w:t>. Total seismic moment of 4.9</w:t>
      </w:r>
      <w:r w:rsidRPr="00A428C3">
        <w:sym w:font="Symbol" w:char="F0B4"/>
      </w:r>
      <w:r w:rsidRPr="00A428C3">
        <w:t>10</w:t>
      </w:r>
      <w:r w:rsidRPr="00A428C3">
        <w:rPr>
          <w:vertAlign w:val="superscript"/>
        </w:rPr>
        <w:t>20</w:t>
      </w:r>
      <w:r w:rsidRPr="00A428C3">
        <w:t xml:space="preserve"> Nm, estimated from the slip distribution, is similar to the estimate from CMT inversion.</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PlaceName">
          <w:r w:rsidRPr="00A428C3">
            <w:t>Japan</w:t>
          </w:r>
        </w:smartTag>
        <w:r w:rsidRPr="00A428C3">
          <w:t xml:space="preserve"> </w:t>
        </w:r>
        <w:smartTag w:uri="urn:schemas-microsoft-com:office:smarttags" w:element="PlaceType">
          <w:r w:rsidRPr="00A428C3">
            <w:t>Sea</w:t>
          </w:r>
        </w:smartTag>
      </w:smartTag>
      <w:r w:rsidRPr="00A428C3">
        <w:t>, Inversion, Parameters</w:t>
      </w:r>
    </w:p>
    <w:p w:rsidR="00B95188" w:rsidRPr="00A428C3" w:rsidRDefault="00B95188" w:rsidP="00B95188">
      <w:pPr>
        <w:pStyle w:val="a0"/>
      </w:pPr>
      <w:r w:rsidRPr="00A428C3">
        <w:t xml:space="preserve">Graves, R.W. (1995), Preliminary analysis of long-period basin response in the </w:t>
      </w:r>
      <w:smartTag w:uri="urn:schemas-microsoft-com:office:smarttags" w:element="place">
        <w:smartTag w:uri="urn:schemas-microsoft-com:office:smarttags" w:element="City">
          <w:r w:rsidRPr="00A428C3">
            <w:t>Los Angeles</w:t>
          </w:r>
        </w:smartTag>
      </w:smartTag>
      <w:r w:rsidRPr="00A428C3">
        <w:t xml:space="preserve"> region from the 1994 Northridge earthquake. </w:t>
      </w:r>
      <w:r w:rsidRPr="00A428C3">
        <w:rPr>
          <w:i/>
        </w:rPr>
        <w:t>Geophysical Research Letters</w:t>
      </w:r>
      <w:r w:rsidRPr="00A428C3">
        <w:t xml:space="preserve">, </w:t>
      </w:r>
      <w:r w:rsidRPr="00A428C3">
        <w:rPr>
          <w:b/>
        </w:rPr>
        <w:t>22</w:t>
      </w:r>
      <w:r w:rsidRPr="00A428C3">
        <w:t xml:space="preserve"> (2), 101-104.</w:t>
      </w:r>
    </w:p>
    <w:p w:rsidR="00B95188" w:rsidRPr="00A428C3" w:rsidRDefault="00B95188" w:rsidP="00B95188">
      <w:pPr>
        <w:pStyle w:val="a0"/>
      </w:pPr>
      <w:r w:rsidRPr="00A428C3">
        <w:t xml:space="preserve">Full Text: </w:t>
      </w:r>
      <w:hyperlink r:id="rId448" w:history="1">
        <w:r w:rsidRPr="00A428C3">
          <w:rPr>
            <w:rStyle w:val="a5"/>
          </w:rPr>
          <w:t>1995\Geo Res Let22, 101.pdf</w:t>
        </w:r>
      </w:hyperlink>
    </w:p>
    <w:p w:rsidR="00B95188" w:rsidRPr="00A428C3" w:rsidRDefault="00B95188" w:rsidP="00B95188">
      <w:pPr>
        <w:pStyle w:val="a0"/>
      </w:pPr>
      <w:r w:rsidRPr="00A428C3">
        <w:t xml:space="preserve">Abstract: Long-period (1-10 sec) ground motions recorded in the </w:t>
      </w:r>
      <w:smartTag w:uri="urn:schemas-microsoft-com:office:smarttags" w:element="place">
        <w:smartTag w:uri="urn:schemas-microsoft-com:office:smarttags" w:element="City">
          <w:r w:rsidRPr="00A428C3">
            <w:t>Los Angeles</w:t>
          </w:r>
        </w:smartTag>
      </w:smartTag>
      <w:r w:rsidRPr="00A428C3">
        <w:t xml:space="preserve"> basin region during the Northridge earthquake show complex waveforms, extended durations</w:t>
      </w:r>
      <w:r w:rsidR="00F81221">
        <w:t xml:space="preserve"> and </w:t>
      </w:r>
      <w:r w:rsidRPr="00A428C3">
        <w:t>multiple sets of arrivals which cannot be attributed solely to source processes or wave propagation within a plane-layered medium. These features suggest a strong interaction between the propagating seismic wave field</w:t>
      </w:r>
      <w:r w:rsidR="00F81221">
        <w:t xml:space="preserve"> and </w:t>
      </w:r>
      <w:r w:rsidRPr="00A428C3">
        <w:t xml:space="preserve">the laterally varying subsurface geologic structure of this region. Recorded motions at a hard rock site in the </w:t>
      </w:r>
      <w:smartTag w:uri="urn:schemas-microsoft-com:office:smarttags" w:element="PlaceName">
        <w:r w:rsidRPr="00A428C3">
          <w:t>Santa Monica</w:t>
        </w:r>
      </w:smartTag>
      <w:r w:rsidRPr="00A428C3">
        <w:t xml:space="preserve"> </w:t>
      </w:r>
      <w:smartTag w:uri="urn:schemas-microsoft-com:office:smarttags" w:element="PlaceType">
        <w:r w:rsidRPr="00A428C3">
          <w:t>Mountains</w:t>
        </w:r>
      </w:smartTag>
      <w:r w:rsidRPr="00A428C3">
        <w:t xml:space="preserve"> (scrs) are smaller by nearly a factor of three in peak velocity compared to recordings at more distant sites in the adjacent, northwest portion of the </w:t>
      </w:r>
      <w:smartTag w:uri="urn:schemas-microsoft-com:office:smarttags" w:element="place">
        <w:smartTag w:uri="urn:schemas-microsoft-com:office:smarttags" w:element="City">
          <w:r w:rsidRPr="00A428C3">
            <w:t>Los Angeles</w:t>
          </w:r>
        </w:smartTag>
      </w:smartTag>
      <w:r w:rsidRPr="00A428C3">
        <w:t xml:space="preserve"> basin. In addition, although the rock site recording has a relatively simple wave shape, the basin site recordings are dominated by late arriving, large amplitude pulses of energy. We interpret these arrivals to be surface waves, which are generated by body waves interacting with the thickening margin of the basin. A preliminary modeling analysis of these data indicates that a combination of both large-scale (deep basin)</w:t>
      </w:r>
      <w:r w:rsidR="00F81221">
        <w:t xml:space="preserve"> and </w:t>
      </w:r>
      <w:r w:rsidRPr="00A428C3">
        <w:t>small-scale (shallow micro-basin) structures are needed to explain the observed responses.</w:t>
      </w:r>
    </w:p>
    <w:p w:rsidR="00B95188" w:rsidRPr="00A428C3" w:rsidRDefault="00B95188" w:rsidP="00B95188">
      <w:pPr>
        <w:pStyle w:val="a0"/>
      </w:pPr>
      <w:r w:rsidRPr="00A428C3">
        <w:t>Pinar, A., Honkura, Y.</w:t>
      </w:r>
      <w:r w:rsidR="00F81221">
        <w:t xml:space="preserve"> and </w:t>
      </w:r>
      <w:r w:rsidRPr="00A428C3">
        <w:t xml:space="preserve">Kikuchi, M. (1996), A rupture model for the 1967 </w:t>
      </w:r>
      <w:smartTag w:uri="urn:schemas-microsoft-com:office:smarttags" w:element="place">
        <w:smartTag w:uri="urn:schemas-microsoft-com:office:smarttags" w:element="City">
          <w:r w:rsidRPr="00A428C3">
            <w:t>Mudurnu Valley</w:t>
          </w:r>
        </w:smartTag>
        <w:r w:rsidRPr="00A428C3">
          <w:t xml:space="preserve">, </w:t>
        </w:r>
        <w:smartTag w:uri="urn:schemas-microsoft-com:office:smarttags" w:element="country-region">
          <w:r w:rsidRPr="00A428C3">
            <w:t>Turkey</w:t>
          </w:r>
        </w:smartTag>
      </w:smartTag>
      <w:r w:rsidRPr="00A428C3">
        <w:t xml:space="preserve"> earthquake</w:t>
      </w:r>
      <w:r w:rsidR="00F81221">
        <w:t xml:space="preserve"> and </w:t>
      </w:r>
      <w:r w:rsidRPr="00A428C3">
        <w:t xml:space="preserve">its implication for seismotectonics in the western part of the North Anatolian Fault Zone. </w:t>
      </w:r>
      <w:r w:rsidRPr="00A428C3">
        <w:rPr>
          <w:i/>
        </w:rPr>
        <w:t>Geophysical Research Letters</w:t>
      </w:r>
      <w:r w:rsidRPr="00A428C3">
        <w:t xml:space="preserve">, </w:t>
      </w:r>
      <w:r w:rsidRPr="00A428C3">
        <w:rPr>
          <w:b/>
        </w:rPr>
        <w:t>23</w:t>
      </w:r>
      <w:r w:rsidRPr="00A428C3">
        <w:t xml:space="preserve"> (1), 29-32.</w:t>
      </w:r>
    </w:p>
    <w:p w:rsidR="00B95188" w:rsidRPr="00A428C3" w:rsidRDefault="00B95188" w:rsidP="00B95188">
      <w:pPr>
        <w:pStyle w:val="a0"/>
      </w:pPr>
      <w:r w:rsidRPr="00A428C3">
        <w:lastRenderedPageBreak/>
        <w:t xml:space="preserve">Full Text: </w:t>
      </w:r>
      <w:hyperlink r:id="rId449" w:history="1">
        <w:r w:rsidRPr="00A428C3">
          <w:rPr>
            <w:rStyle w:val="a5"/>
          </w:rPr>
          <w:t>1996\Geo Res Let23, 29.pdf</w:t>
        </w:r>
      </w:hyperlink>
    </w:p>
    <w:p w:rsidR="00B95188" w:rsidRPr="00A428C3" w:rsidRDefault="00B95188" w:rsidP="00B95188">
      <w:pPr>
        <w:pStyle w:val="a0"/>
      </w:pPr>
      <w:r w:rsidRPr="00A428C3">
        <w:t xml:space="preserve">Abstract: Six destructive earthquakes had successively occurred from 1939 to 1967 along the North Anatolian Fault Zone. The July 22, 1967 Mudurnu Valley earthquake (Ms = 7.1) was the last of this series, with its western neighbour remaining as a seismic gaSurface ruptures associated with this earthquake appeared within a broad shear zone, extending to a distance of </w:t>
      </w:r>
      <w:smartTag w:uri="urn:schemas-microsoft-com:office:smarttags" w:element="chmetcnv">
        <w:smartTagPr>
          <w:attr w:name="TCSC" w:val="0"/>
          <w:attr w:name="NumberType" w:val="1"/>
          <w:attr w:name="Negative" w:val="False"/>
          <w:attr w:name="HasSpace" w:val="True"/>
          <w:attr w:name="SourceValue" w:val="80"/>
          <w:attr w:name="UnitName" w:val="km"/>
        </w:smartTagPr>
        <w:r w:rsidRPr="00A428C3">
          <w:t>80 km</w:t>
        </w:r>
      </w:smartTag>
      <w:r w:rsidRPr="00A428C3">
        <w:t xml:space="preserve">. The generated teleseismic body waves were so complex that they were different even at stations in the same azimuth. In this study we inverted the observed teleseismic body; waves to investigate such a presumably complicated rupture process of the </w:t>
      </w:r>
      <w:smartTag w:uri="urn:schemas-microsoft-com:office:smarttags" w:element="place">
        <w:smartTag w:uri="urn:schemas-microsoft-com:office:smarttags" w:element="PlaceName">
          <w:r w:rsidRPr="00A428C3">
            <w:t>Mudurnu</w:t>
          </w:r>
        </w:smartTag>
        <w:r w:rsidRPr="00A428C3">
          <w:t xml:space="preserve"> </w:t>
        </w:r>
        <w:smartTag w:uri="urn:schemas-microsoft-com:office:smarttags" w:element="PlaceType">
          <w:r w:rsidRPr="00A428C3">
            <w:t>Valley</w:t>
          </w:r>
        </w:smartTag>
      </w:smartTag>
      <w:r w:rsidRPr="00A428C3">
        <w:t xml:space="preserve"> earthquake. We could identify six subevents within 2 minutes with their total seismic moment amounting to 1.1×10</w:t>
      </w:r>
      <w:r w:rsidRPr="00A428C3">
        <w:rPr>
          <w:vertAlign w:val="superscript"/>
        </w:rPr>
        <w:t>20</w:t>
      </w:r>
      <w:r w:rsidRPr="00A428C3">
        <w:t xml:space="preserve"> Nm. Although right-lateral strike-slip faulting was found to be dominant, two minor subevents had a dip-slip mechanism; one showed a reverse faulting mechanism</w:t>
      </w:r>
      <w:r w:rsidR="00F81221">
        <w:t xml:space="preserve"> and </w:t>
      </w:r>
      <w:r w:rsidRPr="00A428C3">
        <w:t>the other a normal faulting mechanism.</w:t>
      </w:r>
    </w:p>
    <w:p w:rsidR="00B95188" w:rsidRPr="00A428C3" w:rsidRDefault="00B95188" w:rsidP="00B95188">
      <w:pPr>
        <w:pStyle w:val="a0"/>
      </w:pPr>
      <w:r w:rsidRPr="00A428C3">
        <w:t>? Guibourg, S., Heinrich, P.</w:t>
      </w:r>
      <w:r w:rsidR="00F81221">
        <w:t xml:space="preserve"> and </w:t>
      </w:r>
      <w:r w:rsidRPr="00A428C3">
        <w:t xml:space="preserve">Roche, R. (1997), Numerical modeling of the 1995 Chilean tsunami. Impact on </w:t>
      </w:r>
      <w:smartTag w:uri="urn:schemas-microsoft-com:office:smarttags" w:element="place">
        <w:r w:rsidRPr="00A428C3">
          <w:t>French Polynesia</w:t>
        </w:r>
      </w:smartTag>
      <w:r w:rsidRPr="00A428C3">
        <w:t xml:space="preserve">. </w:t>
      </w:r>
      <w:r w:rsidRPr="00A428C3">
        <w:rPr>
          <w:i/>
        </w:rPr>
        <w:t>Geophysical Research Letters</w:t>
      </w:r>
      <w:r w:rsidRPr="00A428C3">
        <w:t xml:space="preserve">, </w:t>
      </w:r>
      <w:r w:rsidRPr="00A428C3">
        <w:rPr>
          <w:b/>
        </w:rPr>
        <w:t>24</w:t>
      </w:r>
      <w:r w:rsidRPr="00A428C3">
        <w:t xml:space="preserve"> (7), 775-778.</w:t>
      </w:r>
    </w:p>
    <w:p w:rsidR="00B95188" w:rsidRPr="00A428C3" w:rsidRDefault="00B95188" w:rsidP="00B95188">
      <w:pPr>
        <w:pStyle w:val="a0"/>
      </w:pPr>
      <w:r w:rsidRPr="00A428C3">
        <w:t xml:space="preserve">Full Text: </w:t>
      </w:r>
      <w:hyperlink r:id="rId450" w:history="1">
        <w:r w:rsidRPr="00A428C3">
          <w:rPr>
            <w:rStyle w:val="a5"/>
          </w:rPr>
          <w:t>1997\Geo Res Let24, 775.pdf</w:t>
        </w:r>
      </w:hyperlink>
    </w:p>
    <w:p w:rsidR="00B95188" w:rsidRPr="00A428C3" w:rsidRDefault="00B95188" w:rsidP="00B95188">
      <w:pPr>
        <w:pStyle w:val="a0"/>
      </w:pPr>
      <w:r w:rsidRPr="00A428C3">
        <w:t xml:space="preserve">Abstract: On the 30th July 1995, an earthquake with magnitude of 8.1 occurred off the coast of </w:t>
      </w:r>
      <w:smartTag w:uri="urn:schemas-microsoft-com:office:smarttags" w:element="place">
        <w:smartTag w:uri="urn:schemas-microsoft-com:office:smarttags" w:element="country-region">
          <w:r w:rsidRPr="00A428C3">
            <w:t>Chile</w:t>
          </w:r>
        </w:smartTag>
      </w:smartTag>
      <w:r w:rsidRPr="00A428C3">
        <w:t>. The associated tsunami propagated across the Pacific ocean</w:t>
      </w:r>
      <w:r w:rsidR="00F81221">
        <w:t xml:space="preserve"> and </w:t>
      </w:r>
      <w:r w:rsidRPr="00A428C3">
        <w:t xml:space="preserve">reached </w:t>
      </w:r>
      <w:smartTag w:uri="urn:schemas-microsoft-com:office:smarttags" w:element="place">
        <w:r w:rsidRPr="00A428C3">
          <w:t>French Polynesia</w:t>
        </w:r>
      </w:smartTag>
      <w:r w:rsidRPr="00A428C3">
        <w:t xml:space="preserve"> 10 hours after the seismic event with maximum runup heights of about 2.5 meters. The most affected islands in French Polynesia were the </w:t>
      </w:r>
      <w:smartTag w:uri="urn:schemas-microsoft-com:office:smarttags" w:element="place">
        <w:r w:rsidRPr="00A428C3">
          <w:t>Marquesas Islands</w:t>
        </w:r>
      </w:smartTag>
      <w:r w:rsidRPr="00A428C3">
        <w:t xml:space="preserve"> that present few outer reefs, more gradual bottom slopes</w:t>
      </w:r>
      <w:r w:rsidR="00F81221">
        <w:t xml:space="preserve"> and </w:t>
      </w:r>
      <w:r w:rsidRPr="00A428C3">
        <w:t xml:space="preserve">large bays. The tsunami propagation has been modeled from </w:t>
      </w:r>
      <w:smartTag w:uri="urn:schemas-microsoft-com:office:smarttags" w:element="country-region">
        <w:r w:rsidRPr="00A428C3">
          <w:t>Chile</w:t>
        </w:r>
      </w:smartTag>
      <w:r w:rsidRPr="00A428C3">
        <w:t xml:space="preserve"> to </w:t>
      </w:r>
      <w:smartTag w:uri="urn:schemas-microsoft-com:office:smarttags" w:element="place">
        <w:smartTag w:uri="urn:schemas-microsoft-com:office:smarttags" w:element="PlaceName">
          <w:r w:rsidRPr="00A428C3">
            <w:t>Polynesian</w:t>
          </w:r>
        </w:smartTag>
        <w:r w:rsidRPr="00A428C3">
          <w:t xml:space="preserve"> </w:t>
        </w:r>
        <w:smartTag w:uri="urn:schemas-microsoft-com:office:smarttags" w:element="PlaceType">
          <w:r w:rsidRPr="00A428C3">
            <w:t>Islands</w:t>
          </w:r>
        </w:smartTag>
      </w:smartTag>
      <w:r w:rsidRPr="00A428C3">
        <w:t>, solving the shallow water equations. The water surface initialisation has been computed from Okada</w:t>
      </w:r>
      <w:r w:rsidR="000352E7">
        <w:t>’</w:t>
      </w:r>
      <w:r w:rsidRPr="00A428C3">
        <w:t>s formulas, using seismic parameters of Ruegg (1996). The tsunami propagation is simulated by a finite-difference numerical model using a system of multiple grids with different grid sizes. The computed waves are in fair agreement with the recorded waves along the Chilean coasts, in Tahiti</w:t>
      </w:r>
      <w:r w:rsidR="00F81221">
        <w:t xml:space="preserve"> and </w:t>
      </w:r>
      <w:r w:rsidRPr="00A428C3">
        <w:t xml:space="preserve">in Nuku Hiva. The numerical results obtained in the </w:t>
      </w:r>
      <w:smartTag w:uri="urn:schemas-microsoft-com:office:smarttags" w:element="place">
        <w:r w:rsidRPr="00A428C3">
          <w:t>Marquesas Islands</w:t>
        </w:r>
      </w:smartTag>
      <w:r w:rsidRPr="00A428C3">
        <w:t xml:space="preserve"> confirm the observations of numerous eyewitnesses.</w:t>
      </w:r>
    </w:p>
    <w:p w:rsidR="00B95188" w:rsidRPr="00A428C3" w:rsidRDefault="00B95188" w:rsidP="00B95188">
      <w:pPr>
        <w:pStyle w:val="a0"/>
      </w:pPr>
      <w:r w:rsidRPr="00A428C3">
        <w:t>Courboulex, F., Singh, S.K., Pacheco, J.F.</w:t>
      </w:r>
      <w:r w:rsidR="00F81221">
        <w:t xml:space="preserve"> and </w:t>
      </w:r>
      <w:r w:rsidRPr="00A428C3">
        <w:t xml:space="preserve">Ammon, C.J. (1997), The 1995 </w:t>
      </w:r>
      <w:smartTag w:uri="urn:schemas-microsoft-com:office:smarttags" w:element="place">
        <w:smartTag w:uri="urn:schemas-microsoft-com:office:smarttags" w:element="City">
          <w:r w:rsidRPr="00A428C3">
            <w:t>Colima-Jalisco</w:t>
          </w:r>
        </w:smartTag>
        <w:r w:rsidRPr="00A428C3">
          <w:t xml:space="preserve">, </w:t>
        </w:r>
        <w:smartTag w:uri="urn:schemas-microsoft-com:office:smarttags" w:element="country-region">
          <w:r w:rsidRPr="00A428C3">
            <w:t>Mexico</w:t>
          </w:r>
        </w:smartTag>
      </w:smartTag>
      <w:r w:rsidRPr="00A428C3">
        <w:t xml:space="preserve">, earthquake (Mw 8): A study of the rupture process. </w:t>
      </w:r>
      <w:r w:rsidRPr="00A428C3">
        <w:rPr>
          <w:i/>
        </w:rPr>
        <w:t>Geophysical Research Letters</w:t>
      </w:r>
      <w:r w:rsidRPr="00A428C3">
        <w:t xml:space="preserve">, </w:t>
      </w:r>
      <w:r w:rsidRPr="00A428C3">
        <w:rPr>
          <w:b/>
        </w:rPr>
        <w:t>24</w:t>
      </w:r>
      <w:r w:rsidRPr="00A428C3">
        <w:t xml:space="preserve"> (9), 1019-1022.</w:t>
      </w:r>
    </w:p>
    <w:p w:rsidR="00B95188" w:rsidRPr="00A428C3" w:rsidRDefault="00B95188" w:rsidP="00B95188">
      <w:pPr>
        <w:pStyle w:val="a0"/>
      </w:pPr>
      <w:r w:rsidRPr="00A428C3">
        <w:t xml:space="preserve">Full Text: </w:t>
      </w:r>
      <w:hyperlink r:id="rId451" w:history="1">
        <w:r w:rsidRPr="00A428C3">
          <w:rPr>
            <w:rStyle w:val="a5"/>
          </w:rPr>
          <w:t>1997\Geo Res Let24, 1019.pdf</w:t>
        </w:r>
      </w:hyperlink>
    </w:p>
    <w:p w:rsidR="00B95188" w:rsidRPr="00A428C3" w:rsidRDefault="00B95188" w:rsidP="00B95188">
      <w:pPr>
        <w:pStyle w:val="a0"/>
      </w:pPr>
      <w:r w:rsidRPr="00A428C3">
        <w:t>Abstract: In this study we map rupture characteristics of the great, shallow, thrust earthquake of October 9, 1995 which caused extensive damage to the coastal towns of Colima</w:t>
      </w:r>
      <w:r w:rsidR="00F81221">
        <w:t xml:space="preserve"> and </w:t>
      </w:r>
      <w:r w:rsidRPr="00A428C3">
        <w:t>Jalisco. To isolate the earthquake rupture details, we deconvolve surface waves with two empirical Green</w:t>
      </w:r>
      <w:r w:rsidR="000352E7">
        <w:t>’</w:t>
      </w:r>
      <w:r w:rsidRPr="00A428C3">
        <w:t>s functions, the aftershock of October 12, 1995 (Mw 5.9)</w:t>
      </w:r>
      <w:r w:rsidR="00F81221">
        <w:t xml:space="preserve"> and </w:t>
      </w:r>
      <w:r w:rsidRPr="00A428C3">
        <w:t xml:space="preserve">the foreshock of October 6, 1995 (Mw 5.8), from the </w:t>
      </w:r>
      <w:r w:rsidRPr="00A428C3">
        <w:lastRenderedPageBreak/>
        <w:t>corresponding mainshock records. Specifically, we use a spectral water-level deconvolution to obtain 80 Apparent Source Time Functions (ASTF) at 62 stations (Rayleigh</w:t>
      </w:r>
      <w:r w:rsidR="00F81221">
        <w:t xml:space="preserve"> and </w:t>
      </w:r>
      <w:r w:rsidRPr="00A428C3">
        <w:t xml:space="preserve">Love waves). Durations of the ASTF, as a function of azimuth indicate that the rupture propagated toward N70 degrees W. The duration of the Source Time Function (STF) is around 62 s with a large pulse at 45 s. To map the main characteristics of the rupture, we use an inverse Radon transform of the ASTFs, assuming a ribbon fault-model aligned in the direction of the rupture propagation. Our analysis indicates that the rupture initiated about </w:t>
      </w:r>
      <w:smartTag w:uri="urn:schemas-microsoft-com:office:smarttags" w:element="chmetcnv">
        <w:smartTagPr>
          <w:attr w:name="TCSC" w:val="0"/>
          <w:attr w:name="NumberType" w:val="1"/>
          <w:attr w:name="Negative" w:val="False"/>
          <w:attr w:name="HasSpace" w:val="True"/>
          <w:attr w:name="SourceValue" w:val="20"/>
          <w:attr w:name="UnitName" w:val="km"/>
        </w:smartTagPr>
        <w:r w:rsidRPr="00A428C3">
          <w:t>20 km</w:t>
        </w:r>
      </w:smartTag>
      <w:r w:rsidRPr="00A428C3">
        <w:t xml:space="preserve"> offshore of Manzanillo</w:t>
      </w:r>
      <w:r w:rsidR="00F81221">
        <w:t xml:space="preserve"> and </w:t>
      </w:r>
      <w:r w:rsidRPr="00A428C3">
        <w:t xml:space="preserve">propagated almost unilaterally for </w:t>
      </w:r>
      <w:smartTag w:uri="urn:schemas-microsoft-com:office:smarttags" w:element="chmetcnv">
        <w:smartTagPr>
          <w:attr w:name="TCSC" w:val="0"/>
          <w:attr w:name="NumberType" w:val="1"/>
          <w:attr w:name="Negative" w:val="False"/>
          <w:attr w:name="HasSpace" w:val="True"/>
          <w:attr w:name="SourceValue" w:val="150"/>
          <w:attr w:name="UnitName" w:val="km"/>
        </w:smartTagPr>
        <w:r w:rsidRPr="00A428C3">
          <w:t>150 km</w:t>
        </w:r>
      </w:smartTag>
      <w:r w:rsidRPr="00A428C3">
        <w:t xml:space="preserve"> towards N70 degrees W, with an average rupture velocity of approximately </w:t>
      </w:r>
      <w:smartTag w:uri="urn:schemas-microsoft-com:office:smarttags" w:element="chmetcnv">
        <w:smartTagPr>
          <w:attr w:name="TCSC" w:val="0"/>
          <w:attr w:name="NumberType" w:val="1"/>
          <w:attr w:name="Negative" w:val="False"/>
          <w:attr w:name="HasSpace" w:val="True"/>
          <w:attr w:name="SourceValue" w:val="2.8"/>
          <w:attr w:name="UnitName" w:val="km"/>
        </w:smartTagPr>
        <w:r w:rsidRPr="00A428C3">
          <w:t>2.8 km</w:t>
        </w:r>
      </w:smartTag>
      <w:r w:rsidRPr="00A428C3">
        <w:t>/s. The earthquake was a composite of three significant subevents, the largest occurred 45 s after the initiation of the rupture</w:t>
      </w:r>
      <w:r w:rsidR="00F81221">
        <w:t xml:space="preserve"> and </w:t>
      </w:r>
      <w:r w:rsidRPr="00A428C3">
        <w:t xml:space="preserve">was located about </w:t>
      </w:r>
      <w:smartTag w:uri="urn:schemas-microsoft-com:office:smarttags" w:element="chmetcnv">
        <w:smartTagPr>
          <w:attr w:name="TCSC" w:val="0"/>
          <w:attr w:name="NumberType" w:val="1"/>
          <w:attr w:name="Negative" w:val="False"/>
          <w:attr w:name="HasSpace" w:val="True"/>
          <w:attr w:name="SourceValue" w:val="100"/>
          <w:attr w:name="UnitName" w:val="km"/>
        </w:smartTagPr>
        <w:r w:rsidRPr="00A428C3">
          <w:t>100 km</w:t>
        </w:r>
      </w:smartTag>
      <w:r w:rsidRPr="00A428C3">
        <w:t xml:space="preserve"> away. This result is in good agreement with the inversion of deformation data, measured with GPS [Melbourne et al., 1997].</w:t>
      </w:r>
    </w:p>
    <w:p w:rsidR="00B95188" w:rsidRPr="00A428C3" w:rsidRDefault="00B95188" w:rsidP="00B95188">
      <w:pPr>
        <w:pStyle w:val="a0"/>
      </w:pPr>
      <w:r w:rsidRPr="00A428C3">
        <w:t>Pacheco, J., Singh, S.K., Dominguez, J., Hurtado, A., Quintanar, L., Jimenez, Z., Yamamoto, J., Gutierrez, C., Santoyo, M., Bandy, W., Guzman, M., Kostoglodov, V., Reyes, G.</w:t>
      </w:r>
      <w:r w:rsidR="00F81221">
        <w:t xml:space="preserve"> and </w:t>
      </w:r>
      <w:r w:rsidRPr="00A428C3">
        <w:t>Ramirez, C. (1997), The October 9, 1995 Colima-Jalisco, Mexico earthquake (</w:t>
      </w:r>
      <w:r w:rsidRPr="00A428C3">
        <w:rPr>
          <w:i/>
        </w:rPr>
        <w:t>M</w:t>
      </w:r>
      <w:r w:rsidRPr="00A428C3">
        <w:rPr>
          <w:i/>
          <w:vertAlign w:val="subscript"/>
        </w:rPr>
        <w:t>W</w:t>
      </w:r>
      <w:r w:rsidRPr="00A428C3">
        <w:t xml:space="preserve"> 8): An aftershock study</w:t>
      </w:r>
      <w:r w:rsidR="00F81221">
        <w:t xml:space="preserve"> and </w:t>
      </w:r>
      <w:r w:rsidRPr="00A428C3">
        <w:t xml:space="preserve">a comparison of this earthquake with those of 1932. </w:t>
      </w:r>
      <w:r w:rsidRPr="00A428C3">
        <w:rPr>
          <w:i/>
        </w:rPr>
        <w:t>Geophysical Research Letters</w:t>
      </w:r>
      <w:r w:rsidRPr="00A428C3">
        <w:t xml:space="preserve">, </w:t>
      </w:r>
      <w:r w:rsidRPr="00A428C3">
        <w:rPr>
          <w:b/>
        </w:rPr>
        <w:t>24</w:t>
      </w:r>
      <w:r w:rsidRPr="00A428C3">
        <w:t xml:space="preserve"> (17), 2223-2226.</w:t>
      </w:r>
    </w:p>
    <w:p w:rsidR="00B95188" w:rsidRPr="00A428C3" w:rsidRDefault="00B95188" w:rsidP="00B95188">
      <w:pPr>
        <w:pStyle w:val="a0"/>
      </w:pPr>
      <w:r w:rsidRPr="00A428C3">
        <w:t xml:space="preserve">Full Text: </w:t>
      </w:r>
      <w:hyperlink r:id="rId452" w:history="1">
        <w:r w:rsidRPr="00A428C3">
          <w:rPr>
            <w:rStyle w:val="a5"/>
          </w:rPr>
          <w:t>1997\Geo Res Let24, 2223.pdf</w:t>
        </w:r>
      </w:hyperlink>
    </w:p>
    <w:p w:rsidR="00B95188" w:rsidRPr="00A428C3" w:rsidRDefault="00B95188" w:rsidP="00B95188">
      <w:pPr>
        <w:pStyle w:val="a0"/>
      </w:pPr>
      <w:r w:rsidRPr="00A428C3">
        <w:t>Abstract: Data from portable seismographs</w:t>
      </w:r>
      <w:r w:rsidR="00F81221">
        <w:t xml:space="preserve"> and </w:t>
      </w:r>
      <w:r w:rsidRPr="00A428C3">
        <w:t>a permanent local network (called RESCO) are used to locate the aftershocks of the October 9, 1995 Colima-Jalisco earthquake (M</w:t>
      </w:r>
      <w:r w:rsidRPr="00A428C3">
        <w:rPr>
          <w:vertAlign w:val="subscript"/>
        </w:rPr>
        <w:t>w</w:t>
      </w:r>
      <w:r w:rsidRPr="00A428C3">
        <w:t xml:space="preserve"> 8.0). The maximum dimension of the aftershock area, which is rectangular in shape, is </w:t>
      </w:r>
      <w:smartTag w:uri="urn:schemas-microsoft-com:office:smarttags" w:element="chmetcnv">
        <w:smartTagPr>
          <w:attr w:name="TCSC" w:val="0"/>
          <w:attr w:name="NumberType" w:val="1"/>
          <w:attr w:name="Negative" w:val="False"/>
          <w:attr w:name="HasSpace" w:val="True"/>
          <w:attr w:name="SourceValue" w:val="170"/>
          <w:attr w:name="UnitName" w:val="km"/>
        </w:smartTagPr>
        <w:r w:rsidRPr="00A428C3">
          <w:t>170 km</w:t>
        </w:r>
      </w:smartTag>
      <w:r w:rsidRPr="00A428C3">
        <w:t>×</w:t>
      </w:r>
      <w:smartTag w:uri="urn:schemas-microsoft-com:office:smarttags" w:element="chmetcnv">
        <w:smartTagPr>
          <w:attr w:name="TCSC" w:val="0"/>
          <w:attr w:name="NumberType" w:val="1"/>
          <w:attr w:name="Negative" w:val="False"/>
          <w:attr w:name="HasSpace" w:val="True"/>
          <w:attr w:name="SourceValue" w:val="70"/>
          <w:attr w:name="UnitName" w:val="km"/>
        </w:smartTagPr>
        <w:r w:rsidRPr="00A428C3">
          <w:t>70 km</w:t>
        </w:r>
      </w:smartTag>
      <w:r w:rsidRPr="00A428C3">
        <w:t xml:space="preserve">. Our study shows that the mainshock nucleated similar to </w:t>
      </w:r>
      <w:smartTag w:uri="urn:schemas-microsoft-com:office:smarttags" w:element="chmetcnv">
        <w:smartTagPr>
          <w:attr w:name="TCSC" w:val="0"/>
          <w:attr w:name="NumberType" w:val="1"/>
          <w:attr w:name="Negative" w:val="False"/>
          <w:attr w:name="HasSpace" w:val="True"/>
          <w:attr w:name="SourceValue" w:val="24"/>
          <w:attr w:name="UnitName" w:val="km"/>
        </w:smartTagPr>
        <w:r w:rsidRPr="00A428C3">
          <w:t>24 km</w:t>
        </w:r>
      </w:smartTag>
      <w:r w:rsidRPr="00A428C3">
        <w:t xml:space="preserve"> south of Manzanillo, near the foreshock of October 6, 1995 (M</w:t>
      </w:r>
      <w:r w:rsidRPr="00A428C3">
        <w:rPr>
          <w:vertAlign w:val="subscript"/>
        </w:rPr>
        <w:t>w</w:t>
      </w:r>
      <w:r w:rsidRPr="00A428C3">
        <w:t xml:space="preserve"> 5.8),</w:t>
      </w:r>
      <w:r w:rsidR="00F81221">
        <w:t xml:space="preserve"> and </w:t>
      </w:r>
      <w:r w:rsidRPr="00A428C3">
        <w:t xml:space="preserve">propagated similar to </w:t>
      </w:r>
      <w:smartTag w:uri="urn:schemas-microsoft-com:office:smarttags" w:element="chmetcnv">
        <w:smartTagPr>
          <w:attr w:name="TCSC" w:val="0"/>
          <w:attr w:name="NumberType" w:val="1"/>
          <w:attr w:name="Negative" w:val="False"/>
          <w:attr w:name="HasSpace" w:val="True"/>
          <w:attr w:name="SourceValue" w:val="130"/>
          <w:attr w:name="UnitName" w:val="km"/>
        </w:smartTagPr>
        <w:r w:rsidRPr="00A428C3">
          <w:t>130 km</w:t>
        </w:r>
      </w:smartTag>
      <w:r w:rsidRPr="00A428C3">
        <w:t xml:space="preserve"> to the NW</w:t>
      </w:r>
      <w:r w:rsidR="00F81221">
        <w:t xml:space="preserve"> and </w:t>
      </w:r>
      <w:r w:rsidRPr="00A428C3">
        <w:t xml:space="preserve">similar to </w:t>
      </w:r>
      <w:smartTag w:uri="urn:schemas-microsoft-com:office:smarttags" w:element="chmetcnv">
        <w:smartTagPr>
          <w:attr w:name="TCSC" w:val="0"/>
          <w:attr w:name="NumberType" w:val="1"/>
          <w:attr w:name="Negative" w:val="False"/>
          <w:attr w:name="HasSpace" w:val="True"/>
          <w:attr w:name="SourceValue" w:val="40"/>
          <w:attr w:name="UnitName" w:val="km"/>
        </w:smartTagPr>
        <w:r w:rsidRPr="00A428C3">
          <w:t>40 km</w:t>
        </w:r>
      </w:smartTag>
      <w:r w:rsidRPr="00A428C3">
        <w:t xml:space="preserve"> to SE. The aftershock area lies offshore</w:t>
      </w:r>
      <w:r w:rsidR="00F81221">
        <w:t xml:space="preserve"> and </w:t>
      </w:r>
      <w:r w:rsidRPr="00A428C3">
        <w:t xml:space="preserve">is oriented parallel to the coast. The observed subsidence of the coast is a consequence of this offshore rupture area. The aftershocks reach unusually close to the trench (within </w:t>
      </w:r>
      <w:smartTag w:uri="urn:schemas-microsoft-com:office:smarttags" w:element="chmetcnv">
        <w:smartTagPr>
          <w:attr w:name="TCSC" w:val="0"/>
          <w:attr w:name="NumberType" w:val="1"/>
          <w:attr w:name="Negative" w:val="False"/>
          <w:attr w:name="HasSpace" w:val="True"/>
          <w:attr w:name="SourceValue" w:val="20"/>
          <w:attr w:name="UnitName" w:val="km"/>
        </w:smartTagPr>
        <w:r w:rsidRPr="00A428C3">
          <w:t>20 km</w:t>
        </w:r>
      </w:smartTag>
      <w:r w:rsidRPr="00A428C3">
        <w:t>). This may be due to lack of sediments with high pole pressure at shallow depth. There are some similarities between this earthquake</w:t>
      </w:r>
      <w:r w:rsidR="00F81221">
        <w:t xml:space="preserve"> and </w:t>
      </w:r>
      <w:r w:rsidRPr="00A428C3">
        <w:t>the two great earthquakes of 1932 (3 June, M</w:t>
      </w:r>
      <w:r w:rsidRPr="00A428C3">
        <w:rPr>
          <w:vertAlign w:val="subscript"/>
        </w:rPr>
        <w:t>s</w:t>
      </w:r>
      <w:r w:rsidRPr="00A428C3">
        <w:t xml:space="preserve"> 8.1; 18 June, M</w:t>
      </w:r>
      <w:r w:rsidRPr="00A428C3">
        <w:rPr>
          <w:vertAlign w:val="subscript"/>
        </w:rPr>
        <w:t>s</w:t>
      </w:r>
      <w:r w:rsidRPr="00A428C3">
        <w:t xml:space="preserve"> 7.8) which occurred in this region. In both cases the aftershocks were located offshore</w:t>
      </w:r>
      <w:r w:rsidR="00F81221">
        <w:t xml:space="preserve"> and </w:t>
      </w:r>
      <w:r w:rsidRPr="00A428C3">
        <w:t>the coastline subsided. The sum of seismic moments</w:t>
      </w:r>
      <w:r w:rsidR="00F81221">
        <w:t xml:space="preserve"> and </w:t>
      </w:r>
      <w:r w:rsidRPr="00A428C3">
        <w:t>the rupture lengths of the 1932 events (1.8</w:t>
      </w:r>
      <w:r w:rsidRPr="00A428C3">
        <w:sym w:font="Symbol" w:char="F0B4"/>
      </w:r>
      <w:r w:rsidRPr="00A428C3">
        <w:t>10</w:t>
      </w:r>
      <w:r w:rsidRPr="00A428C3">
        <w:rPr>
          <w:vertAlign w:val="superscript"/>
        </w:rPr>
        <w:t>21</w:t>
      </w:r>
      <w:r w:rsidRPr="00A428C3">
        <w:t xml:space="preserve"> N-m</w:t>
      </w:r>
      <w:r w:rsidR="00F81221">
        <w:t xml:space="preserve"> and </w:t>
      </w:r>
      <w:smartTag w:uri="urn:schemas-microsoft-com:office:smarttags" w:element="chmetcnv">
        <w:smartTagPr>
          <w:attr w:name="TCSC" w:val="0"/>
          <w:attr w:name="NumberType" w:val="1"/>
          <w:attr w:name="Negative" w:val="False"/>
          <w:attr w:name="HasSpace" w:val="True"/>
          <w:attr w:name="SourceValue" w:val="280"/>
          <w:attr w:name="UnitName" w:val="km"/>
        </w:smartTagPr>
        <w:r w:rsidRPr="00A428C3">
          <w:t>280 km</w:t>
        </w:r>
      </w:smartTag>
      <w:r w:rsidRPr="00A428C3">
        <w:t>, respectively), however, were greater than the 1995 earthquake. Also comparison df seismograms of 1932</w:t>
      </w:r>
      <w:r w:rsidR="00F81221">
        <w:t xml:space="preserve"> and </w:t>
      </w:r>
      <w:r w:rsidRPr="00A428C3">
        <w:t>1995 earthquakes show great differences. It seems that the 1995 event is not a repeat of either June 3 or June 18, 1932 earthquakes.</w:t>
      </w:r>
    </w:p>
    <w:p w:rsidR="00B95188" w:rsidRPr="00A428C3" w:rsidRDefault="00B95188" w:rsidP="00B95188">
      <w:pPr>
        <w:pStyle w:val="a0"/>
      </w:pPr>
      <w:r w:rsidRPr="00A428C3">
        <w:t>? Escobedo, D., Pacheco, J.F.</w:t>
      </w:r>
      <w:r w:rsidR="00F81221">
        <w:t xml:space="preserve"> and </w:t>
      </w:r>
      <w:r w:rsidRPr="00A428C3">
        <w:t xml:space="preserve">Suarez, G. (1998), Teleseismic body-wave analysis of the 9 October, 1995 (M-w = 8.0), </w:t>
      </w:r>
      <w:smartTag w:uri="urn:schemas-microsoft-com:office:smarttags" w:element="place">
        <w:smartTag w:uri="urn:schemas-microsoft-com:office:smarttags" w:element="City">
          <w:r w:rsidRPr="00A428C3">
            <w:t>Colima-Jalisco</w:t>
          </w:r>
        </w:smartTag>
        <w:r w:rsidRPr="00A428C3">
          <w:t xml:space="preserve">, </w:t>
        </w:r>
        <w:smartTag w:uri="urn:schemas-microsoft-com:office:smarttags" w:element="country-region">
          <w:r w:rsidRPr="00A428C3">
            <w:t>Mexico</w:t>
          </w:r>
        </w:smartTag>
      </w:smartTag>
      <w:r w:rsidRPr="00A428C3">
        <w:t xml:space="preserve"> earthquake,</w:t>
      </w:r>
      <w:r w:rsidR="00F81221">
        <w:t xml:space="preserve"> and </w:t>
      </w:r>
      <w:r w:rsidRPr="00A428C3">
        <w:t>its largest foreshock</w:t>
      </w:r>
      <w:r w:rsidR="00F81221">
        <w:t xml:space="preserve"> and </w:t>
      </w:r>
      <w:r w:rsidRPr="00A428C3">
        <w:t xml:space="preserve">aftershock. </w:t>
      </w:r>
      <w:r w:rsidRPr="00A428C3">
        <w:rPr>
          <w:i/>
        </w:rPr>
        <w:t>Geophysical Research Letters</w:t>
      </w:r>
      <w:r w:rsidRPr="00A428C3">
        <w:t xml:space="preserve">, </w:t>
      </w:r>
      <w:r w:rsidRPr="00A428C3">
        <w:rPr>
          <w:b/>
        </w:rPr>
        <w:t>25</w:t>
      </w:r>
      <w:r w:rsidRPr="00A428C3">
        <w:t xml:space="preserve"> (4), 547-550.</w:t>
      </w:r>
    </w:p>
    <w:p w:rsidR="00B95188" w:rsidRPr="00A428C3" w:rsidRDefault="00B95188" w:rsidP="00B95188">
      <w:pPr>
        <w:pStyle w:val="a0"/>
      </w:pPr>
      <w:r w:rsidRPr="00A428C3">
        <w:lastRenderedPageBreak/>
        <w:t xml:space="preserve">Full Text: </w:t>
      </w:r>
      <w:hyperlink r:id="rId453" w:history="1">
        <w:r w:rsidRPr="00A428C3">
          <w:rPr>
            <w:rStyle w:val="a5"/>
          </w:rPr>
          <w:t>1998\Geo Res Let25, 547.pdf</w:t>
        </w:r>
      </w:hyperlink>
    </w:p>
    <w:p w:rsidR="00B95188" w:rsidRPr="00A428C3" w:rsidRDefault="00B95188" w:rsidP="00B95188">
      <w:pPr>
        <w:pStyle w:val="a0"/>
      </w:pPr>
      <w:r w:rsidRPr="00A428C3">
        <w:t xml:space="preserve">Abstract: The source process of the October 9, 1995, </w:t>
      </w:r>
      <w:smartTag w:uri="urn:schemas-microsoft-com:office:smarttags" w:element="place">
        <w:smartTag w:uri="urn:schemas-microsoft-com:office:smarttags" w:element="City">
          <w:r w:rsidRPr="00A428C3">
            <w:t>Colima-Jalisco</w:t>
          </w:r>
        </w:smartTag>
        <w:r w:rsidRPr="00A428C3">
          <w:t xml:space="preserve">, </w:t>
        </w:r>
        <w:smartTag w:uri="urn:schemas-microsoft-com:office:smarttags" w:element="country-region">
          <w:r w:rsidRPr="00A428C3">
            <w:t>Mexico</w:t>
          </w:r>
        </w:smartTag>
      </w:smartTag>
      <w:r w:rsidRPr="00A428C3">
        <w:t>, earthquake (M</w:t>
      </w:r>
      <w:r w:rsidRPr="00A428C3">
        <w:rPr>
          <w:vertAlign w:val="subscript"/>
        </w:rPr>
        <w:t>w</w:t>
      </w:r>
      <w:r w:rsidRPr="00A428C3">
        <w:t xml:space="preserve"> = 8.0),</w:t>
      </w:r>
      <w:r w:rsidR="00F81221">
        <w:t xml:space="preserve"> and </w:t>
      </w:r>
      <w:r w:rsidRPr="00A428C3">
        <w:t>its largest foreshock</w:t>
      </w:r>
      <w:r w:rsidR="00F81221">
        <w:t xml:space="preserve"> and </w:t>
      </w:r>
      <w:r w:rsidRPr="00A428C3">
        <w:t>aftershock were determined from teleseismic body waves, using a least-squares inversion scheme. The three events are shallow-dipping, thrust-fault earthquakes, in agreement with the relative plate motions for Rivera-North America</w:t>
      </w:r>
      <w:r w:rsidR="00F81221">
        <w:t xml:space="preserve"> and </w:t>
      </w:r>
      <w:r w:rsidRPr="00A428C3">
        <w:t>Cocos-North America plate boundaries. Neither the foreshock nor the largest aftershock show significant differences in focal mechanism nor centroidal depth with respect to the average mechanism of the mainshock. The rupture of the mainshock began near the foreshock hypocenter</w:t>
      </w:r>
      <w:r w:rsidR="00F81221">
        <w:t xml:space="preserve"> and </w:t>
      </w:r>
      <w:r w:rsidRPr="00A428C3">
        <w:t>propagated, with a variable rupture velocity, towards the NW. The source-time function for this event shows four distinct episodes of energy release. About 50% of the moment was released at the northern end of the rupture, between 90</w:t>
      </w:r>
      <w:r w:rsidR="00F81221">
        <w:t xml:space="preserve"> and </w:t>
      </w:r>
      <w:smartTag w:uri="urn:schemas-microsoft-com:office:smarttags" w:element="chmetcnv">
        <w:smartTagPr>
          <w:attr w:name="TCSC" w:val="0"/>
          <w:attr w:name="NumberType" w:val="1"/>
          <w:attr w:name="Negative" w:val="False"/>
          <w:attr w:name="HasSpace" w:val="True"/>
          <w:attr w:name="SourceValue" w:val="110"/>
          <w:attr w:name="UnitName" w:val="km"/>
        </w:smartTagPr>
        <w:r w:rsidRPr="00A428C3">
          <w:t>110 km</w:t>
        </w:r>
      </w:smartTag>
      <w:r w:rsidRPr="00A428C3">
        <w:t xml:space="preserve"> from the epicenter. This rupture geometry is in agreement with crustal deformation observed inland using GPS measurements. However, the scalar seismic moment of the main shock obtained in this study (Mo = 1.84</w:t>
      </w:r>
      <w:r w:rsidRPr="00A428C3">
        <w:sym w:font="Symbol" w:char="F0B4"/>
      </w:r>
      <w:r w:rsidRPr="00A428C3">
        <w:t>10</w:t>
      </w:r>
      <w:r w:rsidRPr="00A428C3">
        <w:rPr>
          <w:vertAlign w:val="superscript"/>
        </w:rPr>
        <w:t>20</w:t>
      </w:r>
      <w:r w:rsidRPr="00A428C3">
        <w:t>) is smaller with respect to the lower frequency CMT results reported by Harvard (Mo = 1.15</w:t>
      </w:r>
      <w:r w:rsidRPr="00A428C3">
        <w:sym w:font="Symbol" w:char="F0B4"/>
      </w:r>
      <w:r w:rsidRPr="00A428C3">
        <w:t>10</w:t>
      </w:r>
      <w:r w:rsidRPr="00A428C3">
        <w:rPr>
          <w:vertAlign w:val="superscript"/>
        </w:rPr>
        <w:t>21</w:t>
      </w:r>
      <w:r w:rsidRPr="00A428C3">
        <w:t>).</w:t>
      </w:r>
    </w:p>
    <w:p w:rsidR="00B95188" w:rsidRPr="00A428C3" w:rsidRDefault="00B95188" w:rsidP="00B95188">
      <w:pPr>
        <w:pStyle w:val="a0"/>
      </w:pPr>
      <w:r w:rsidRPr="00A428C3">
        <w:t>? Ortiz, M., Singh, S.K., Pacheco, J.</w:t>
      </w:r>
      <w:r w:rsidR="00F81221">
        <w:t xml:space="preserve"> and </w:t>
      </w:r>
      <w:r w:rsidRPr="00A428C3">
        <w:t>Kostoglodov, V. (1998), Rupture length of the October 9, 1995 Colima-Jalisco earthquake (M</w:t>
      </w:r>
      <w:r w:rsidRPr="00A428C3">
        <w:rPr>
          <w:vertAlign w:val="subscript"/>
        </w:rPr>
        <w:t>W</w:t>
      </w:r>
      <w:r w:rsidRPr="00A428C3">
        <w:t xml:space="preserve"> 8) estimated from tsunami data. </w:t>
      </w:r>
      <w:r w:rsidRPr="00A428C3">
        <w:rPr>
          <w:i/>
        </w:rPr>
        <w:t>Geophysical Research Letters</w:t>
      </w:r>
      <w:r w:rsidRPr="00A428C3">
        <w:t xml:space="preserve">, </w:t>
      </w:r>
      <w:r w:rsidRPr="00A428C3">
        <w:rPr>
          <w:b/>
        </w:rPr>
        <w:t>25</w:t>
      </w:r>
      <w:r w:rsidRPr="00A428C3">
        <w:t xml:space="preserve"> (15), 2857-2860.</w:t>
      </w:r>
    </w:p>
    <w:p w:rsidR="00B95188" w:rsidRPr="00A428C3" w:rsidRDefault="00B95188" w:rsidP="00B95188">
      <w:pPr>
        <w:pStyle w:val="a0"/>
      </w:pPr>
      <w:r w:rsidRPr="00A428C3">
        <w:t xml:space="preserve">Full Text: </w:t>
      </w:r>
      <w:hyperlink r:id="rId454" w:history="1">
        <w:r w:rsidRPr="00A428C3">
          <w:rPr>
            <w:rStyle w:val="a5"/>
          </w:rPr>
          <w:t>1998\Geo Res Let25, 2857.pdf</w:t>
        </w:r>
      </w:hyperlink>
    </w:p>
    <w:p w:rsidR="00B95188" w:rsidRPr="00A428C3" w:rsidRDefault="00B95188" w:rsidP="00B95188">
      <w:pPr>
        <w:pStyle w:val="a0"/>
      </w:pPr>
      <w:r w:rsidRPr="00A428C3">
        <w:t>Abstract: We analyze tsunami data of the great 1995 Colima-Jalisco, Mexico earthquake, recorded in Cabo San Lucas, Baja California Sur, to estimate its rupture length, L. To model the tsunami arrival time, we assume a rectangular source area, oriented parallel to the trench, whose SE limit is fixed at the point of rupture initiation. The NW limit of the source area, i.e., L, is varied between 120</w:t>
      </w:r>
      <w:r w:rsidR="00F81221">
        <w:t xml:space="preserve"> and </w:t>
      </w:r>
      <w:smartTag w:uri="urn:schemas-microsoft-com:office:smarttags" w:element="chmetcnv">
        <w:smartTagPr>
          <w:attr w:name="TCSC" w:val="0"/>
          <w:attr w:name="NumberType" w:val="1"/>
          <w:attr w:name="Negative" w:val="False"/>
          <w:attr w:name="HasSpace" w:val="True"/>
          <w:attr w:name="SourceValue" w:val="200"/>
          <w:attr w:name="UnitName" w:val="km"/>
        </w:smartTagPr>
        <w:r w:rsidRPr="00A428C3">
          <w:t>200 km</w:t>
        </w:r>
      </w:smartTag>
      <w:r w:rsidRPr="00A428C3">
        <w:t>. The comparison between synthetic</w:t>
      </w:r>
      <w:r w:rsidR="00F81221">
        <w:t xml:space="preserve"> and </w:t>
      </w:r>
      <w:r w:rsidRPr="00A428C3">
        <w:t>observed data strongly suggests that L of the earthquake was 160+/</w:t>
      </w:r>
      <w:smartTag w:uri="urn:schemas-microsoft-com:office:smarttags" w:element="chmetcnv">
        <w:smartTagPr>
          <w:attr w:name="TCSC" w:val="0"/>
          <w:attr w:name="NumberType" w:val="1"/>
          <w:attr w:name="Negative" w:val="True"/>
          <w:attr w:name="HasSpace" w:val="True"/>
          <w:attr w:name="SourceValue" w:val="20"/>
          <w:attr w:name="UnitName" w:val="km"/>
        </w:smartTagPr>
        <w:r w:rsidRPr="00A428C3">
          <w:t>-20 km</w:t>
        </w:r>
      </w:smartTag>
      <w:r w:rsidRPr="00A428C3">
        <w:t xml:space="preserve">. This length agrees with those reported in various other studies of the earthquake. It, however, disagrees with a previous study, based on the same tsunami data, which suggested that the rupture may have extended </w:t>
      </w:r>
      <w:smartTag w:uri="urn:schemas-microsoft-com:office:smarttags" w:element="chmetcnv">
        <w:smartTagPr>
          <w:attr w:name="TCSC" w:val="0"/>
          <w:attr w:name="NumberType" w:val="1"/>
          <w:attr w:name="Negative" w:val="False"/>
          <w:attr w:name="HasSpace" w:val="True"/>
          <w:attr w:name="SourceValue" w:val="250"/>
          <w:attr w:name="UnitName" w:val="km"/>
        </w:smartTagPr>
        <w:r w:rsidRPr="00A428C3">
          <w:t>250 km</w:t>
        </w:r>
      </w:smartTag>
      <w:r w:rsidRPr="00A428C3">
        <w:t xml:space="preserve"> NW from the epicenter [Tanioka cmd Ruff, 1996]. The cause of this discrepancy is most likely an error in the timing of the records used by Tanioka</w:t>
      </w:r>
      <w:r w:rsidR="00F81221">
        <w:t xml:space="preserve"> and </w:t>
      </w:r>
      <w:r w:rsidRPr="00A428C3">
        <w:t xml:space="preserve">Ruff [1996]. We conclude that the earthquake only partially ruptured the Rivera-North America plate interface. A </w:t>
      </w:r>
      <w:smartTag w:uri="urn:schemas-microsoft-com:office:smarttags" w:element="chmetcnv">
        <w:smartTagPr>
          <w:attr w:name="TCSC" w:val="0"/>
          <w:attr w:name="NumberType" w:val="1"/>
          <w:attr w:name="Negative" w:val="False"/>
          <w:attr w:name="HasSpace" w:val="True"/>
          <w:attr w:name="SourceValue" w:val="120"/>
          <w:attr w:name="UnitName" w:val="km"/>
        </w:smartTagPr>
        <w:r w:rsidRPr="00A428C3">
          <w:t>120 km</w:t>
        </w:r>
      </w:smartTag>
      <w:r w:rsidRPr="00A428C3">
        <w:t>-long segment in the NW extreme of this interface, which apparently ruptured in 1932, remains presently unbroken.</w:t>
      </w:r>
    </w:p>
    <w:p w:rsidR="00B95188" w:rsidRPr="00A428C3" w:rsidRDefault="00B95188" w:rsidP="00B95188">
      <w:pPr>
        <w:pStyle w:val="a0"/>
      </w:pPr>
      <w:r w:rsidRPr="00A428C3">
        <w:t>Keywords: Rivera, Plate</w:t>
      </w:r>
    </w:p>
    <w:p w:rsidR="00B95188" w:rsidRPr="00A428C3" w:rsidRDefault="00B95188" w:rsidP="00B95188">
      <w:pPr>
        <w:pStyle w:val="a0"/>
      </w:pPr>
      <w:r w:rsidRPr="00A428C3">
        <w:t>? Kaverina, A., Dreger, D.</w:t>
      </w:r>
      <w:r w:rsidR="00F81221">
        <w:t xml:space="preserve"> and </w:t>
      </w:r>
      <w:r w:rsidRPr="00A428C3">
        <w:t xml:space="preserve">Antolik, M. (1998), Source process of the 21 April, 1997 </w:t>
      </w:r>
      <w:smartTag w:uri="urn:schemas-microsoft-com:office:smarttags" w:element="place">
        <w:r w:rsidRPr="00A428C3">
          <w:t>Santa Cruz Island</w:t>
        </w:r>
      </w:smartTag>
      <w:r w:rsidRPr="00A428C3">
        <w:t xml:space="preserve"> earthquake (M-w 7.8). </w:t>
      </w:r>
      <w:r w:rsidRPr="00A428C3">
        <w:rPr>
          <w:i/>
        </w:rPr>
        <w:t>Geophysical Research Letters</w:t>
      </w:r>
      <w:r w:rsidRPr="00A428C3">
        <w:t xml:space="preserve">, </w:t>
      </w:r>
      <w:r w:rsidRPr="00A428C3">
        <w:rPr>
          <w:b/>
        </w:rPr>
        <w:t>25</w:t>
      </w:r>
      <w:r w:rsidRPr="00A428C3">
        <w:t xml:space="preserve"> (21), 4027-4030.</w:t>
      </w:r>
    </w:p>
    <w:p w:rsidR="00B95188" w:rsidRPr="00A428C3" w:rsidRDefault="00B95188" w:rsidP="00B95188">
      <w:pPr>
        <w:pStyle w:val="a0"/>
      </w:pPr>
      <w:r w:rsidRPr="00A428C3">
        <w:t xml:space="preserve">Full Text: </w:t>
      </w:r>
      <w:hyperlink r:id="rId455" w:history="1">
        <w:r w:rsidRPr="00A428C3">
          <w:rPr>
            <w:rStyle w:val="a5"/>
          </w:rPr>
          <w:t>1998\Geo Res Let25, 4027.pdf</w:t>
        </w:r>
      </w:hyperlink>
    </w:p>
    <w:p w:rsidR="00B95188" w:rsidRPr="00A428C3" w:rsidRDefault="00B95188" w:rsidP="00B95188">
      <w:pPr>
        <w:pStyle w:val="a0"/>
      </w:pPr>
      <w:r w:rsidRPr="00A428C3">
        <w:lastRenderedPageBreak/>
        <w:t>Abstract: We apply an Empirical Green</w:t>
      </w:r>
      <w:r w:rsidR="000352E7">
        <w:t>’</w:t>
      </w:r>
      <w:r w:rsidRPr="00A428C3">
        <w:t xml:space="preserve">s function method to recordings of teleseismic body waves from the April 21, 1997 </w:t>
      </w:r>
      <w:smartTag w:uri="urn:schemas-microsoft-com:office:smarttags" w:element="place">
        <w:r w:rsidRPr="00A428C3">
          <w:t>Santa Cruz Island</w:t>
        </w:r>
      </w:smartTag>
      <w:r w:rsidRPr="00A428C3">
        <w:t xml:space="preserve"> earthquake. The far-field moment rate functions reveal that rupture occured on a shallow dipping fault plane (dip 17 degrees). The main rupture consists of 6 large subevents</w:t>
      </w:r>
      <w:r w:rsidR="00F81221">
        <w:t xml:space="preserve"> and </w:t>
      </w:r>
      <w:r w:rsidRPr="00A428C3">
        <w:t xml:space="preserve">covers a total area of about </w:t>
      </w:r>
      <w:smartTag w:uri="urn:schemas-microsoft-com:office:smarttags" w:element="chmetcnv">
        <w:smartTagPr>
          <w:attr w:name="TCSC" w:val="0"/>
          <w:attr w:name="NumberType" w:val="1"/>
          <w:attr w:name="Negative" w:val="False"/>
          <w:attr w:name="HasSpace" w:val="True"/>
          <w:attr w:name="SourceValue" w:val="5000"/>
          <w:attr w:name="UnitName" w:val="km"/>
        </w:smartTagPr>
        <w:r w:rsidRPr="00A428C3">
          <w:t>5000 km</w:t>
        </w:r>
      </w:smartTag>
      <w:r w:rsidRPr="00A428C3">
        <w:rPr>
          <w:vertAlign w:val="superscript"/>
        </w:rPr>
        <w:t>2</w:t>
      </w:r>
      <w:r w:rsidRPr="00A428C3">
        <w:t xml:space="preserve"> While the hypocenter is fixed at </w:t>
      </w:r>
      <w:smartTag w:uri="urn:schemas-microsoft-com:office:smarttags" w:element="chmetcnv">
        <w:smartTagPr>
          <w:attr w:name="TCSC" w:val="0"/>
          <w:attr w:name="NumberType" w:val="1"/>
          <w:attr w:name="Negative" w:val="False"/>
          <w:attr w:name="HasSpace" w:val="True"/>
          <w:attr w:name="SourceValue" w:val="33"/>
          <w:attr w:name="UnitName" w:val="km"/>
        </w:smartTagPr>
        <w:r w:rsidRPr="00A428C3">
          <w:t>33 km</w:t>
        </w:r>
      </w:smartTag>
      <w:r w:rsidRPr="00A428C3">
        <w:t xml:space="preserve"> depth, the main slip is located above </w:t>
      </w:r>
      <w:smartTag w:uri="urn:schemas-microsoft-com:office:smarttags" w:element="chmetcnv">
        <w:smartTagPr>
          <w:attr w:name="TCSC" w:val="0"/>
          <w:attr w:name="NumberType" w:val="1"/>
          <w:attr w:name="Negative" w:val="False"/>
          <w:attr w:name="HasSpace" w:val="True"/>
          <w:attr w:name="SourceValue" w:val="20"/>
          <w:attr w:name="UnitName" w:val="km"/>
        </w:smartTagPr>
        <w:r w:rsidRPr="00A428C3">
          <w:t>20 km</w:t>
        </w:r>
      </w:smartTag>
      <w:r w:rsidRPr="00A428C3">
        <w:t xml:space="preserve"> depth within the accretionary wedge. The source duration is about 70 sec</w:t>
      </w:r>
      <w:r w:rsidR="00F81221">
        <w:t xml:space="preserve"> and </w:t>
      </w:r>
      <w:r w:rsidRPr="00A428C3">
        <w:t xml:space="preserve">the average rupture velocity is found to be </w:t>
      </w:r>
      <w:smartTag w:uri="urn:schemas-microsoft-com:office:smarttags" w:element="chmetcnv">
        <w:smartTagPr>
          <w:attr w:name="TCSC" w:val="0"/>
          <w:attr w:name="NumberType" w:val="1"/>
          <w:attr w:name="Negative" w:val="False"/>
          <w:attr w:name="HasSpace" w:val="True"/>
          <w:attr w:name="SourceValue" w:val="1.9"/>
          <w:attr w:name="UnitName" w:val="km"/>
        </w:smartTagPr>
        <w:r w:rsidRPr="00A428C3">
          <w:t>1.9 km</w:t>
        </w:r>
      </w:smartTag>
      <w:r w:rsidRPr="00A428C3">
        <w:t>/sec. This event caused a local tsunami</w:t>
      </w:r>
      <w:r w:rsidR="00F81221">
        <w:t xml:space="preserve"> and </w:t>
      </w:r>
      <w:r w:rsidRPr="00A428C3">
        <w:t>although it is not possible to determine whether it was caused by tectonic faulting or submarine shaking the fact that most of the moment release occured at shallow depths is consistent with either of these possibilities,</w:t>
      </w:r>
      <w:r w:rsidR="00F81221">
        <w:t xml:space="preserve"> and </w:t>
      </w:r>
      <w:r w:rsidRPr="00A428C3">
        <w:t>points to the utility of the procedure outlined here in possible rapid characterization of tsunami potential.</w:t>
      </w:r>
    </w:p>
    <w:p w:rsidR="00B95188" w:rsidRPr="00A428C3" w:rsidRDefault="00B95188" w:rsidP="00B95188">
      <w:pPr>
        <w:pStyle w:val="a0"/>
      </w:pPr>
      <w:r w:rsidRPr="00A428C3">
        <w:t>Keywords: Tsunami Earthquake, Northridge, Waves, Zone, Arc</w:t>
      </w:r>
    </w:p>
    <w:p w:rsidR="00B95188" w:rsidRPr="00A428C3" w:rsidRDefault="00B95188" w:rsidP="00B95188">
      <w:pPr>
        <w:pStyle w:val="a0"/>
      </w:pPr>
      <w:r w:rsidRPr="00A428C3">
        <w:t>Fujiwara, S., Yarai, H., Ozawa, S., Tobita, M., Murakami, M., Nakagawa, H., Nitta, K., Rosen, P.A.</w:t>
      </w:r>
      <w:r w:rsidR="00F81221">
        <w:t xml:space="preserve"> and </w:t>
      </w:r>
      <w:r w:rsidRPr="00A428C3">
        <w:t xml:space="preserve">Werner, C.L. (1998), Surface displacement of the March 26, 1997 Kagoshima-kenhokuseibu earthquake in </w:t>
      </w:r>
      <w:smartTag w:uri="urn:schemas-microsoft-com:office:smarttags" w:element="place">
        <w:smartTag w:uri="urn:schemas-microsoft-com:office:smarttags" w:element="country-region">
          <w:r w:rsidRPr="00A428C3">
            <w:t>Japan</w:t>
          </w:r>
        </w:smartTag>
      </w:smartTag>
      <w:r w:rsidRPr="00A428C3">
        <w:t xml:space="preserve"> from synthetic aperture radar interferometry. </w:t>
      </w:r>
      <w:r w:rsidRPr="00A428C3">
        <w:rPr>
          <w:i/>
        </w:rPr>
        <w:t>Geophysical Research Letters</w:t>
      </w:r>
      <w:r w:rsidRPr="00A428C3">
        <w:t xml:space="preserve">, </w:t>
      </w:r>
      <w:r w:rsidRPr="00A428C3">
        <w:rPr>
          <w:b/>
        </w:rPr>
        <w:t>25</w:t>
      </w:r>
      <w:r w:rsidRPr="00A428C3">
        <w:t xml:space="preserve"> (24), 4541-4544.</w:t>
      </w:r>
    </w:p>
    <w:p w:rsidR="00B95188" w:rsidRPr="00A428C3" w:rsidRDefault="00B95188" w:rsidP="00B95188">
      <w:pPr>
        <w:pStyle w:val="a0"/>
      </w:pPr>
      <w:r w:rsidRPr="00A428C3">
        <w:t xml:space="preserve">Full Text: </w:t>
      </w:r>
      <w:hyperlink r:id="rId456" w:history="1">
        <w:r w:rsidRPr="00A428C3">
          <w:rPr>
            <w:rStyle w:val="a5"/>
          </w:rPr>
          <w:t>1998\Geo Res Let25, 4541.pdf</w:t>
        </w:r>
      </w:hyperlink>
    </w:p>
    <w:p w:rsidR="00B95188" w:rsidRPr="00A428C3" w:rsidRDefault="00B95188" w:rsidP="00B95188">
      <w:pPr>
        <w:pStyle w:val="a0"/>
      </w:pPr>
      <w:r w:rsidRPr="00A428C3">
        <w:t>Abstract: A JERS 1 differential L-band synthetic aperture radar (SAR) interferogram of the March 26, 1997 Kagoshimaken-hokuseibu earthquake (M</w:t>
      </w:r>
      <w:r w:rsidRPr="00A428C3">
        <w:rPr>
          <w:vertAlign w:val="subscript"/>
        </w:rPr>
        <w:t>w</w:t>
      </w:r>
      <w:r w:rsidRPr="00A428C3">
        <w:t xml:space="preserve"> = 6.1) in southwestern </w:t>
      </w:r>
      <w:smartTag w:uri="urn:schemas-microsoft-com:office:smarttags" w:element="place">
        <w:smartTag w:uri="urn:schemas-microsoft-com:office:smarttags" w:element="country-region">
          <w:r w:rsidRPr="00A428C3">
            <w:t>Japan</w:t>
          </w:r>
        </w:smartTag>
      </w:smartTag>
      <w:r w:rsidRPr="00A428C3">
        <w:t xml:space="preserve"> shows about </w:t>
      </w:r>
      <w:smartTag w:uri="urn:schemas-microsoft-com:office:smarttags" w:element="chmetcnv">
        <w:smartTagPr>
          <w:attr w:name="TCSC" w:val="0"/>
          <w:attr w:name="NumberType" w:val="1"/>
          <w:attr w:name="Negative" w:val="False"/>
          <w:attr w:name="HasSpace" w:val="True"/>
          <w:attr w:name="SourceValue" w:val="9"/>
          <w:attr w:name="UnitName" w:val="cm"/>
        </w:smartTagPr>
        <w:r w:rsidRPr="00A428C3">
          <w:t>9 cm</w:t>
        </w:r>
      </w:smartTag>
      <w:r w:rsidRPr="00A428C3">
        <w:t xml:space="preserve"> peak-to-peak coseismic surface displacement in the radar line-of-sight (LOS) direction. A permanent GPS array detected 1 to </w:t>
      </w:r>
      <w:smartTag w:uri="urn:schemas-microsoft-com:office:smarttags" w:element="chmetcnv">
        <w:smartTagPr>
          <w:attr w:name="TCSC" w:val="0"/>
          <w:attr w:name="NumberType" w:val="1"/>
          <w:attr w:name="Negative" w:val="False"/>
          <w:attr w:name="HasSpace" w:val="True"/>
          <w:attr w:name="SourceValue" w:val="2"/>
          <w:attr w:name="UnitName" w:val="cm"/>
        </w:smartTagPr>
        <w:r w:rsidRPr="00A428C3">
          <w:t>2 cm</w:t>
        </w:r>
      </w:smartTag>
      <w:r w:rsidRPr="00A428C3">
        <w:t xml:space="preserve"> horizontal displacements from this earthquake. By inverting the SAR</w:t>
      </w:r>
      <w:r w:rsidR="00F81221">
        <w:t xml:space="preserve"> and </w:t>
      </w:r>
      <w:r w:rsidRPr="00A428C3">
        <w:t>GPS data together, we estimated a fault mechanism without any seismological data. A theoretical radar LOS displacement pattern from a single fault model of the earthquake motion matches the SAR</w:t>
      </w:r>
      <w:r w:rsidR="00F81221">
        <w:t xml:space="preserve"> and </w:t>
      </w:r>
      <w:r w:rsidRPr="00A428C3">
        <w:t xml:space="preserve">GPS observations closely. The model assumes left lateral slip of </w:t>
      </w:r>
      <w:smartTag w:uri="urn:schemas-microsoft-com:office:smarttags" w:element="chmetcnv">
        <w:smartTagPr>
          <w:attr w:name="TCSC" w:val="0"/>
          <w:attr w:name="NumberType" w:val="1"/>
          <w:attr w:name="Negative" w:val="False"/>
          <w:attr w:name="HasSpace" w:val="True"/>
          <w:attr w:name="SourceValue" w:val="0.46"/>
          <w:attr w:name="UnitName" w:val="cm"/>
        </w:smartTagPr>
        <w:r w:rsidRPr="00A428C3">
          <w:t>0.46 cm</w:t>
        </w:r>
      </w:smartTag>
      <w:r w:rsidRPr="00A428C3">
        <w:t xml:space="preserve"> with rake angle of 19 degrees on a rectangular fault plane of dimensions </w:t>
      </w:r>
      <w:smartTag w:uri="urn:schemas-microsoft-com:office:smarttags" w:element="chmetcnv">
        <w:smartTagPr>
          <w:attr w:name="TCSC" w:val="0"/>
          <w:attr w:name="NumberType" w:val="1"/>
          <w:attr w:name="Negative" w:val="False"/>
          <w:attr w:name="HasSpace" w:val="True"/>
          <w:attr w:name="SourceValue" w:val="11"/>
          <w:attr w:name="UnitName" w:val="km"/>
        </w:smartTagPr>
        <w:r w:rsidRPr="00A428C3">
          <w:t>11 km</w:t>
        </w:r>
      </w:smartTag>
      <w:r w:rsidRPr="00A428C3">
        <w:t xml:space="preserve"> (width) by </w:t>
      </w:r>
      <w:smartTag w:uri="urn:schemas-microsoft-com:office:smarttags" w:element="chmetcnv">
        <w:smartTagPr>
          <w:attr w:name="TCSC" w:val="0"/>
          <w:attr w:name="NumberType" w:val="1"/>
          <w:attr w:name="Negative" w:val="False"/>
          <w:attr w:name="HasSpace" w:val="True"/>
          <w:attr w:name="SourceValue" w:val="12"/>
          <w:attr w:name="UnitName" w:val="km"/>
        </w:smartTagPr>
        <w:r w:rsidRPr="00A428C3">
          <w:t>12 km</w:t>
        </w:r>
      </w:smartTag>
      <w:r w:rsidRPr="00A428C3">
        <w:t xml:space="preserve"> (length). We demonstrate that L-band SAR interferometry can describe several cm surface displacement in detail</w:t>
      </w:r>
      <w:r w:rsidR="00F81221">
        <w:t xml:space="preserve"> and </w:t>
      </w:r>
      <w:r w:rsidRPr="00A428C3">
        <w:t xml:space="preserve">construct a fault model. However, despite the acquisitions being during the cold season, there are apparent water vapor signatures in the interferogram with equivalent path delays of up to </w:t>
      </w:r>
      <w:smartTag w:uri="urn:schemas-microsoft-com:office:smarttags" w:element="chmetcnv">
        <w:smartTagPr>
          <w:attr w:name="TCSC" w:val="0"/>
          <w:attr w:name="NumberType" w:val="1"/>
          <w:attr w:name="Negative" w:val="False"/>
          <w:attr w:name="HasSpace" w:val="True"/>
          <w:attr w:name="SourceValue" w:val="1.5"/>
          <w:attr w:name="UnitName" w:val="cm"/>
        </w:smartTagPr>
        <w:r w:rsidRPr="00A428C3">
          <w:t>1.5 cm</w:t>
        </w:r>
      </w:smartTag>
      <w:r w:rsidRPr="00A428C3">
        <w:t>.</w:t>
      </w:r>
    </w:p>
    <w:p w:rsidR="00BC149E" w:rsidRDefault="00BC149E" w:rsidP="00BC149E">
      <w:pPr>
        <w:pStyle w:val="a0"/>
      </w:pPr>
      <w:r>
        <w:rPr>
          <w:rFonts w:hint="eastAsia"/>
        </w:rPr>
        <w:t>Notes: highly cited</w:t>
      </w:r>
    </w:p>
    <w:p w:rsidR="00BC149E" w:rsidRDefault="00BC149E" w:rsidP="00BC149E">
      <w:pPr>
        <w:pStyle w:val="a0"/>
        <w:rPr>
          <w:kern w:val="0"/>
        </w:rPr>
      </w:pPr>
      <w:r>
        <w:rPr>
          <w:rFonts w:hint="eastAsia"/>
          <w:kern w:val="0"/>
        </w:rPr>
        <w:t xml:space="preserve">? </w:t>
      </w:r>
      <w:r>
        <w:rPr>
          <w:kern w:val="0"/>
        </w:rPr>
        <w:t>Mann</w:t>
      </w:r>
      <w:r>
        <w:rPr>
          <w:rFonts w:hint="eastAsia"/>
          <w:kern w:val="0"/>
        </w:rPr>
        <w:t>,</w:t>
      </w:r>
      <w:r>
        <w:rPr>
          <w:kern w:val="0"/>
        </w:rPr>
        <w:t xml:space="preserve"> M</w:t>
      </w:r>
      <w:r>
        <w:rPr>
          <w:rFonts w:hint="eastAsia"/>
          <w:kern w:val="0"/>
        </w:rPr>
        <w:t>.</w:t>
      </w:r>
      <w:r>
        <w:rPr>
          <w:kern w:val="0"/>
        </w:rPr>
        <w:t>E</w:t>
      </w:r>
      <w:r>
        <w:rPr>
          <w:rFonts w:hint="eastAsia"/>
          <w:kern w:val="0"/>
        </w:rPr>
        <w:t>.</w:t>
      </w:r>
      <w:r>
        <w:rPr>
          <w:kern w:val="0"/>
        </w:rPr>
        <w:t>, Bradley</w:t>
      </w:r>
      <w:r>
        <w:rPr>
          <w:rFonts w:hint="eastAsia"/>
          <w:kern w:val="0"/>
        </w:rPr>
        <w:t>,</w:t>
      </w:r>
      <w:r>
        <w:rPr>
          <w:kern w:val="0"/>
        </w:rPr>
        <w:t xml:space="preserve"> R</w:t>
      </w:r>
      <w:r>
        <w:rPr>
          <w:rFonts w:hint="eastAsia"/>
          <w:kern w:val="0"/>
        </w:rPr>
        <w:t>.</w:t>
      </w:r>
      <w:r>
        <w:rPr>
          <w:kern w:val="0"/>
        </w:rPr>
        <w:t>S</w:t>
      </w:r>
      <w:r>
        <w:rPr>
          <w:rFonts w:hint="eastAsia"/>
          <w:kern w:val="0"/>
        </w:rPr>
        <w:t>.</w:t>
      </w:r>
      <w:r w:rsidR="00F81221">
        <w:rPr>
          <w:kern w:val="0"/>
        </w:rPr>
        <w:t xml:space="preserve"> and </w:t>
      </w:r>
      <w:r>
        <w:rPr>
          <w:kern w:val="0"/>
        </w:rPr>
        <w:t>Hughes</w:t>
      </w:r>
      <w:r>
        <w:rPr>
          <w:rFonts w:hint="eastAsia"/>
          <w:kern w:val="0"/>
        </w:rPr>
        <w:t>,</w:t>
      </w:r>
      <w:r>
        <w:rPr>
          <w:kern w:val="0"/>
        </w:rPr>
        <w:t xml:space="preserve"> M</w:t>
      </w:r>
      <w:r>
        <w:rPr>
          <w:rFonts w:hint="eastAsia"/>
          <w:kern w:val="0"/>
        </w:rPr>
        <w:t>.</w:t>
      </w:r>
      <w:r>
        <w:rPr>
          <w:kern w:val="0"/>
        </w:rPr>
        <w:t>K</w:t>
      </w:r>
      <w:r>
        <w:rPr>
          <w:rFonts w:hint="eastAsia"/>
          <w:kern w:val="0"/>
        </w:rPr>
        <w:t>.</w:t>
      </w:r>
      <w:r>
        <w:rPr>
          <w:kern w:val="0"/>
        </w:rPr>
        <w:t xml:space="preserve"> (1999), </w:t>
      </w:r>
      <w:r>
        <w:t xml:space="preserve">Northern </w:t>
      </w:r>
      <w:r>
        <w:rPr>
          <w:kern w:val="0"/>
        </w:rPr>
        <w:t>hemisphere temperatures during the past millennium: Inferences, uncertainties,</w:t>
      </w:r>
      <w:r w:rsidR="00F81221">
        <w:rPr>
          <w:kern w:val="0"/>
        </w:rPr>
        <w:t xml:space="preserve"> and </w:t>
      </w:r>
      <w:r>
        <w:rPr>
          <w:kern w:val="0"/>
        </w:rPr>
        <w:t xml:space="preserve">limitations. </w:t>
      </w:r>
      <w:r w:rsidRPr="00A428C3">
        <w:rPr>
          <w:i/>
        </w:rPr>
        <w:t>Geophysical Research Letters</w:t>
      </w:r>
      <w:r>
        <w:rPr>
          <w:rFonts w:hint="eastAsia"/>
        </w:rPr>
        <w:t>,</w:t>
      </w:r>
      <w:r>
        <w:rPr>
          <w:kern w:val="0"/>
        </w:rPr>
        <w:t xml:space="preserve"> </w:t>
      </w:r>
      <w:r>
        <w:rPr>
          <w:b/>
          <w:bCs/>
          <w:kern w:val="0"/>
        </w:rPr>
        <w:t>26</w:t>
      </w:r>
      <w:r>
        <w:rPr>
          <w:rFonts w:hint="eastAsia"/>
          <w:kern w:val="0"/>
        </w:rPr>
        <w:t xml:space="preserve"> (6),</w:t>
      </w:r>
      <w:r>
        <w:rPr>
          <w:kern w:val="0"/>
        </w:rPr>
        <w:t xml:space="preserve"> 759-762.</w:t>
      </w:r>
    </w:p>
    <w:p w:rsidR="00BC149E" w:rsidRPr="00A428C3" w:rsidRDefault="00BC149E" w:rsidP="00BC149E">
      <w:pPr>
        <w:pStyle w:val="a0"/>
      </w:pPr>
      <w:r w:rsidRPr="00A428C3">
        <w:t xml:space="preserve">Full Text: </w:t>
      </w:r>
      <w:hyperlink r:id="rId457" w:history="1">
        <w:r w:rsidRPr="00BC149E">
          <w:rPr>
            <w:rStyle w:val="a5"/>
          </w:rPr>
          <w:t>1999\Geo Res Let26, 759.pdf</w:t>
        </w:r>
      </w:hyperlink>
    </w:p>
    <w:p w:rsidR="00BC149E" w:rsidRPr="00BC149E" w:rsidRDefault="00BC149E" w:rsidP="00BC149E">
      <w:pPr>
        <w:pStyle w:val="a0"/>
        <w:rPr>
          <w:kern w:val="0"/>
        </w:rPr>
      </w:pPr>
      <w:r w:rsidRPr="00BC149E">
        <w:rPr>
          <w:kern w:val="0"/>
        </w:rPr>
        <w:t xml:space="preserve">Abstract: Building on recent studies, we attempt hemispheric temperature reconstructions with proxy data net works for the past millennium. We focus not just </w:t>
      </w:r>
      <w:r w:rsidRPr="00BC149E">
        <w:rPr>
          <w:kern w:val="0"/>
        </w:rPr>
        <w:lastRenderedPageBreak/>
        <w:t>on the reconstructions, but the uncertainties therein,</w:t>
      </w:r>
      <w:r w:rsidR="00F81221">
        <w:rPr>
          <w:kern w:val="0"/>
        </w:rPr>
        <w:t xml:space="preserve"> and </w:t>
      </w:r>
      <w:r w:rsidRPr="00BC149E">
        <w:rPr>
          <w:kern w:val="0"/>
        </w:rPr>
        <w:t>important caveats. Though expanded uncertainties prevent decisive conclusions for the period prior to AD 1400, our results suggest that the latter 20th century is anomalous in the contest of at least the past millennium. The 1990s was the warmest decade,</w:t>
      </w:r>
      <w:r w:rsidR="00F81221">
        <w:rPr>
          <w:kern w:val="0"/>
        </w:rPr>
        <w:t xml:space="preserve"> and </w:t>
      </w:r>
      <w:r w:rsidRPr="00BC149E">
        <w:rPr>
          <w:kern w:val="0"/>
        </w:rPr>
        <w:t xml:space="preserve">1998 the warmest year, at moderately high levels of confidence. The 20th century warning counters a millennial-scale cooling trend which is consistent with </w:t>
      </w:r>
      <w:r>
        <w:rPr>
          <w:kern w:val="0"/>
        </w:rPr>
        <w:t>long-term astronomical forcing.</w:t>
      </w:r>
    </w:p>
    <w:p w:rsidR="00BC149E" w:rsidRDefault="00BC149E" w:rsidP="00BC149E">
      <w:pPr>
        <w:pStyle w:val="a0"/>
        <w:rPr>
          <w:kern w:val="0"/>
        </w:rPr>
      </w:pPr>
      <w:r w:rsidRPr="00BC149E">
        <w:rPr>
          <w:kern w:val="0"/>
        </w:rPr>
        <w:t>Keywords: Medieval Warm Per</w:t>
      </w:r>
      <w:r>
        <w:rPr>
          <w:kern w:val="0"/>
        </w:rPr>
        <w:t>iod, Climate-Change, Centuries</w:t>
      </w:r>
    </w:p>
    <w:p w:rsidR="00B95188" w:rsidRPr="00A428C3" w:rsidRDefault="00B95188" w:rsidP="00B95188">
      <w:pPr>
        <w:pStyle w:val="a0"/>
      </w:pPr>
      <w:r w:rsidRPr="00A428C3">
        <w:t xml:space="preserve">? Ide, S. (1999), Source process of the 1997 </w:t>
      </w:r>
      <w:smartTag w:uri="urn:schemas-microsoft-com:office:smarttags" w:element="place">
        <w:smartTag w:uri="urn:schemas-microsoft-com:office:smarttags" w:element="City">
          <w:r w:rsidRPr="00A428C3">
            <w:t>Yamaguchi</w:t>
          </w:r>
        </w:smartTag>
        <w:r w:rsidRPr="00A428C3">
          <w:t xml:space="preserve">, </w:t>
        </w:r>
        <w:smartTag w:uri="urn:schemas-microsoft-com:office:smarttags" w:element="country-region">
          <w:r w:rsidRPr="00A428C3">
            <w:t>Japan</w:t>
          </w:r>
        </w:smartTag>
      </w:smartTag>
      <w:r w:rsidRPr="00A428C3">
        <w:t xml:space="preserve">, earthquake analyzed in different frequency bands. </w:t>
      </w:r>
      <w:r w:rsidRPr="00A428C3">
        <w:rPr>
          <w:i/>
        </w:rPr>
        <w:t>Geophysical Research Letters</w:t>
      </w:r>
      <w:r w:rsidRPr="00A428C3">
        <w:t xml:space="preserve">, </w:t>
      </w:r>
      <w:r w:rsidRPr="00A428C3">
        <w:rPr>
          <w:b/>
        </w:rPr>
        <w:t>26</w:t>
      </w:r>
      <w:r w:rsidRPr="00A428C3">
        <w:t xml:space="preserve"> (13), 1973-1976.</w:t>
      </w:r>
    </w:p>
    <w:p w:rsidR="00B95188" w:rsidRPr="00A428C3" w:rsidRDefault="00B95188" w:rsidP="00B95188">
      <w:pPr>
        <w:pStyle w:val="a0"/>
      </w:pPr>
      <w:r w:rsidRPr="00A428C3">
        <w:t xml:space="preserve">Full Text: </w:t>
      </w:r>
      <w:hyperlink r:id="rId458" w:history="1">
        <w:r w:rsidRPr="00A428C3">
          <w:rPr>
            <w:rStyle w:val="a5"/>
          </w:rPr>
          <w:t>1999\Geo Res Let26, 1973.pdf</w:t>
        </w:r>
      </w:hyperlink>
    </w:p>
    <w:p w:rsidR="00B95188" w:rsidRPr="00A428C3" w:rsidRDefault="00B95188" w:rsidP="00B95188">
      <w:pPr>
        <w:pStyle w:val="a0"/>
      </w:pPr>
      <w:r w:rsidRPr="00A428C3">
        <w:t xml:space="preserve">Abstract: A set of source rupture models for the 1997 </w:t>
      </w:r>
      <w:smartTag w:uri="urn:schemas-microsoft-com:office:smarttags" w:element="place">
        <w:smartTag w:uri="urn:schemas-microsoft-com:office:smarttags" w:element="City">
          <w:r w:rsidRPr="00A428C3">
            <w:t>Yamaguchi</w:t>
          </w:r>
        </w:smartTag>
        <w:r w:rsidRPr="00A428C3">
          <w:t xml:space="preserve">, </w:t>
        </w:r>
        <w:smartTag w:uri="urn:schemas-microsoft-com:office:smarttags" w:element="country-region">
          <w:r w:rsidRPr="00A428C3">
            <w:t>Japan</w:t>
          </w:r>
        </w:smartTag>
      </w:smartTag>
      <w:r w:rsidRPr="00A428C3">
        <w:t>, earthquake are constructed using an inversion analysis of strong-motion data. Synthetic Green functions</w:t>
      </w:r>
      <w:r w:rsidR="00F81221">
        <w:t xml:space="preserve"> and </w:t>
      </w:r>
      <w:r w:rsidRPr="00A428C3">
        <w:t>empirical Green unctions (EGF) are adopted for a low-frequency band</w:t>
      </w:r>
      <w:r w:rsidR="00F81221">
        <w:t xml:space="preserve"> and </w:t>
      </w:r>
      <w:r w:rsidRPr="00A428C3">
        <w:t>a high-frequency band, respectively. Slip zones in the high-frequency models correspond to the edge of the large slip zones of low-frequency models in space</w:t>
      </w:r>
      <w:r w:rsidR="00F81221">
        <w:t xml:space="preserve"> and </w:t>
      </w:r>
      <w:r w:rsidRPr="00A428C3">
        <w:t>to the rupture onset in time. The calculated slip-stress relations show that the stress decrease rate is more rapid in the high-frequency models</w:t>
      </w:r>
      <w:r w:rsidR="00F81221">
        <w:t xml:space="preserve"> and </w:t>
      </w:r>
      <w:r w:rsidRPr="00A428C3">
        <w:t>that there is little slip at a constant stress level in all the models.</w:t>
      </w:r>
    </w:p>
    <w:p w:rsidR="00B95188" w:rsidRPr="00A428C3" w:rsidRDefault="00B95188" w:rsidP="00B95188">
      <w:pPr>
        <w:pStyle w:val="a0"/>
      </w:pPr>
      <w:r w:rsidRPr="00A428C3">
        <w:t>? Suito, H.</w:t>
      </w:r>
      <w:r w:rsidR="00F81221">
        <w:t xml:space="preserve"> and </w:t>
      </w:r>
      <w:r w:rsidRPr="00A428C3">
        <w:t xml:space="preserve">Hirahara, K. (1999), Simulation of Postseismic Deformations caused by the 1896 Riku-u Earthquake, </w:t>
      </w:r>
      <w:smartTag w:uri="urn:schemas-microsoft-com:office:smarttags" w:element="place">
        <w:r w:rsidRPr="00A428C3">
          <w:t>Northeast Japan</w:t>
        </w:r>
      </w:smartTag>
      <w:r w:rsidRPr="00A428C3">
        <w:t xml:space="preserve">: Re-evaluation of the viscosity in the upper mantle. </w:t>
      </w:r>
      <w:r w:rsidRPr="00A428C3">
        <w:rPr>
          <w:i/>
        </w:rPr>
        <w:t>Geophysical Research Letters</w:t>
      </w:r>
      <w:r w:rsidRPr="00A428C3">
        <w:t xml:space="preserve">, </w:t>
      </w:r>
      <w:r w:rsidRPr="00A428C3">
        <w:rPr>
          <w:b/>
        </w:rPr>
        <w:t>26</w:t>
      </w:r>
      <w:r w:rsidRPr="00A428C3">
        <w:t xml:space="preserve"> (16), 2561-2564.</w:t>
      </w:r>
    </w:p>
    <w:p w:rsidR="00B95188" w:rsidRPr="00A428C3" w:rsidRDefault="00B95188" w:rsidP="00B95188">
      <w:pPr>
        <w:pStyle w:val="a0"/>
      </w:pPr>
      <w:r w:rsidRPr="00A428C3">
        <w:t xml:space="preserve">Full Text: </w:t>
      </w:r>
      <w:hyperlink r:id="rId459" w:history="1">
        <w:r w:rsidRPr="00A428C3">
          <w:rPr>
            <w:rStyle w:val="a5"/>
          </w:rPr>
          <w:t>1999\Geo Res Let26, 2561.pdf</w:t>
        </w:r>
      </w:hyperlink>
    </w:p>
    <w:p w:rsidR="00B95188" w:rsidRPr="00A428C3" w:rsidRDefault="00B95188" w:rsidP="00B95188">
      <w:pPr>
        <w:pStyle w:val="a0"/>
      </w:pPr>
      <w:r w:rsidRPr="00A428C3">
        <w:t>Abstract: We examine the postseismic deformations which are induced by an inland earthquake at a subduction zone,</w:t>
      </w:r>
      <w:r w:rsidR="00F81221">
        <w:t xml:space="preserve"> and </w:t>
      </w:r>
      <w:r w:rsidRPr="00A428C3">
        <w:t xml:space="preserve">investigate especially the effect of the viscoelastic heterogeneity through Finite Element Method (FEM). We estimate the viscosity of the upper mantle beneath the northeast </w:t>
      </w:r>
      <w:smartTag w:uri="urn:schemas-microsoft-com:office:smarttags" w:element="place">
        <w:smartTag w:uri="urn:schemas-microsoft-com:office:smarttags" w:element="country-region">
          <w:r w:rsidRPr="00A428C3">
            <w:t>Japan</w:t>
          </w:r>
        </w:smartTag>
      </w:smartTag>
      <w:r w:rsidRPr="00A428C3">
        <w:t xml:space="preserve"> with realistic structures based on the leveling data which includes the postseismic deformations due to the 1896 Riku-u earthquake. For this purpose, we construct two 3-D FEM models with different viscoelastic structures, namely Layered Model</w:t>
      </w:r>
      <w:r w:rsidR="00F81221">
        <w:t xml:space="preserve"> and </w:t>
      </w:r>
      <w:r w:rsidRPr="00A428C3">
        <w:t>Plate Model. The results show that spatial patterns of the postseismic deformations differ considerably, depending on the two viscoelastic structures. Postseismic deformations are strongly controlled by the effective thickness of the viscoelastic medium above descending plate. At the surface, if the structure is complicated, the relaxation time is outwardly longer</w:t>
      </w:r>
      <w:r w:rsidR="00F81221">
        <w:t xml:space="preserve"> and </w:t>
      </w:r>
      <w:r w:rsidRPr="00A428C3">
        <w:t>varies significantly with position. Considering the plate structure, the profile of surface deformation</w:t>
      </w:r>
      <w:r w:rsidR="00F81221">
        <w:t xml:space="preserve"> and </w:t>
      </w:r>
      <w:r w:rsidRPr="00A428C3">
        <w:t>decaying subsidence rate constrain the Maxwell lime of the upper mantle to be 5 years, which is shorter than the value of 10 years estimated by Thatcher et al. [1980] assuming the layered structures.</w:t>
      </w:r>
    </w:p>
    <w:p w:rsidR="00B95188" w:rsidRPr="00A428C3" w:rsidRDefault="00B95188" w:rsidP="00B95188">
      <w:pPr>
        <w:pStyle w:val="a0"/>
      </w:pPr>
      <w:r w:rsidRPr="00A428C3">
        <w:t>? Bonaccorso, A., Calvari, S., Garfi, G., Lodato, L.</w:t>
      </w:r>
      <w:r w:rsidR="00F81221">
        <w:t xml:space="preserve"> and </w:t>
      </w:r>
      <w:r w:rsidRPr="00A428C3">
        <w:t xml:space="preserve">Patane, D. (2003), Dynamics of </w:t>
      </w:r>
      <w:r w:rsidRPr="00A428C3">
        <w:lastRenderedPageBreak/>
        <w:t>the December 2002 flank failure</w:t>
      </w:r>
      <w:r w:rsidR="00F81221">
        <w:t xml:space="preserve"> and </w:t>
      </w:r>
      <w:r w:rsidRPr="00A428C3">
        <w:t>tsunami at Stromboli volcano inferred by volcanological</w:t>
      </w:r>
      <w:r w:rsidR="00F81221">
        <w:t xml:space="preserve"> and </w:t>
      </w:r>
      <w:r w:rsidRPr="00A428C3">
        <w:t xml:space="preserve">geophysical observations. </w:t>
      </w:r>
      <w:r w:rsidRPr="00A428C3">
        <w:rPr>
          <w:i/>
        </w:rPr>
        <w:t>Geophysical Research Letters</w:t>
      </w:r>
      <w:r w:rsidRPr="00A428C3">
        <w:t xml:space="preserve">, </w:t>
      </w:r>
      <w:r w:rsidRPr="00A428C3">
        <w:rPr>
          <w:b/>
        </w:rPr>
        <w:t>30</w:t>
      </w:r>
      <w:r w:rsidRPr="00A428C3">
        <w:t xml:space="preserve"> (18), art. no. 1941.</w:t>
      </w:r>
    </w:p>
    <w:p w:rsidR="00B95188" w:rsidRPr="00A428C3" w:rsidRDefault="00B95188" w:rsidP="00B95188">
      <w:pPr>
        <w:pStyle w:val="a0"/>
      </w:pPr>
      <w:r w:rsidRPr="00A428C3">
        <w:t xml:space="preserve">Full Text: </w:t>
      </w:r>
      <w:hyperlink r:id="rId460" w:history="1">
        <w:r w:rsidRPr="00A428C3">
          <w:rPr>
            <w:rStyle w:val="a5"/>
          </w:rPr>
          <w:t>2003\Geo Res Let30, 1941.pdf</w:t>
        </w:r>
      </w:hyperlink>
    </w:p>
    <w:p w:rsidR="00B95188" w:rsidRPr="00A428C3" w:rsidRDefault="00B95188" w:rsidP="00B95188">
      <w:pPr>
        <w:pStyle w:val="a0"/>
      </w:pPr>
      <w:r w:rsidRPr="00A428C3">
        <w:t xml:space="preserve">Abstract: [1] The 2002 effusive flank eruption at </w:t>
      </w:r>
      <w:smartTag w:uri="urn:schemas-microsoft-com:office:smarttags" w:element="place">
        <w:r w:rsidRPr="00A428C3">
          <w:t>Stromboli</w:t>
        </w:r>
      </w:smartTag>
      <w:r w:rsidRPr="00A428C3">
        <w:t xml:space="preserve"> volcano started on December 28, after several months of strong explosive activity at the summit craters. On December 30, the seismic network recorded two large flank failures</w:t>
      </w:r>
      <w:r w:rsidR="00F81221">
        <w:t xml:space="preserve"> and </w:t>
      </w:r>
      <w:r w:rsidRPr="00A428C3">
        <w:t>associated tsunami waves. This is the first time that a flank collapse</w:t>
      </w:r>
      <w:r w:rsidR="00F81221">
        <w:t xml:space="preserve"> and </w:t>
      </w:r>
      <w:r w:rsidRPr="00A428C3">
        <w:t>tsunami,</w:t>
      </w:r>
      <w:r w:rsidR="00F81221">
        <w:t xml:space="preserve"> and </w:t>
      </w:r>
      <w:r w:rsidRPr="00A428C3">
        <w:t>their associated phenomena, have been recorded by a multi-disciplinary monitoring system. Volcanological</w:t>
      </w:r>
      <w:r w:rsidR="00F81221">
        <w:t xml:space="preserve"> and </w:t>
      </w:r>
      <w:r w:rsidRPr="00A428C3">
        <w:t>geophysical monitoring, as well as thermal surveys performed immediately before</w:t>
      </w:r>
      <w:r w:rsidR="00F81221">
        <w:t xml:space="preserve"> and </w:t>
      </w:r>
      <w:r w:rsidRPr="00A428C3">
        <w:t>after the failure, allowed us to define</w:t>
      </w:r>
      <w:r w:rsidR="00F81221">
        <w:t xml:space="preserve"> and </w:t>
      </w:r>
      <w:r w:rsidRPr="00A428C3">
        <w:t>interpret the sequence of events. The still on-going eruption has provided, for the first time, the opportunity to look into the dynamics of Stromboli</w:t>
      </w:r>
      <w:r w:rsidR="000352E7">
        <w:t>’</w:t>
      </w:r>
      <w:r w:rsidRPr="00A428C3">
        <w:t>s effusive eruptions, flank failure</w:t>
      </w:r>
      <w:r w:rsidR="00F81221">
        <w:t xml:space="preserve"> and </w:t>
      </w:r>
      <w:r w:rsidRPr="00A428C3">
        <w:t>landslide formation,</w:t>
      </w:r>
      <w:r w:rsidR="00F81221">
        <w:t xml:space="preserve"> and </w:t>
      </w:r>
      <w:r w:rsidRPr="00A428C3">
        <w:t>their potential hazard.</w:t>
      </w:r>
    </w:p>
    <w:p w:rsidR="00B95188" w:rsidRPr="00A428C3" w:rsidRDefault="00B95188" w:rsidP="00B95188">
      <w:pPr>
        <w:pStyle w:val="a0"/>
      </w:pPr>
      <w:r w:rsidRPr="00A428C3">
        <w:t>? Besana, G.M., Tanioka, Y., Ando, M., Mirabueno, M.H., Manahan, J., De Ocampo, J., Perez, J.</w:t>
      </w:r>
      <w:r w:rsidR="00F81221">
        <w:t xml:space="preserve"> and </w:t>
      </w:r>
      <w:r w:rsidRPr="00A428C3">
        <w:t xml:space="preserve">Bautista, B. (2004), The May 17, 1992 earthquakes in southeastern </w:t>
      </w:r>
      <w:smartTag w:uri="urn:schemas-microsoft-com:office:smarttags" w:element="place">
        <w:smartTag w:uri="urn:schemas-microsoft-com:office:smarttags" w:element="country-region">
          <w:r w:rsidRPr="00A428C3">
            <w:t>Philippines</w:t>
          </w:r>
        </w:smartTag>
      </w:smartTag>
      <w:r w:rsidRPr="00A428C3">
        <w:t xml:space="preserve">. </w:t>
      </w:r>
      <w:r w:rsidRPr="00A428C3">
        <w:rPr>
          <w:i/>
        </w:rPr>
        <w:t>Geophysical Research Letters</w:t>
      </w:r>
      <w:r w:rsidRPr="00A428C3">
        <w:t xml:space="preserve">, </w:t>
      </w:r>
      <w:r w:rsidRPr="00A428C3">
        <w:rPr>
          <w:b/>
        </w:rPr>
        <w:t>31</w:t>
      </w:r>
      <w:r w:rsidRPr="00A428C3">
        <w:t xml:space="preserve"> (24), art. no. L24618.</w:t>
      </w:r>
    </w:p>
    <w:p w:rsidR="00B95188" w:rsidRPr="00A428C3" w:rsidRDefault="00B95188" w:rsidP="00B95188">
      <w:pPr>
        <w:pStyle w:val="a0"/>
      </w:pPr>
      <w:r w:rsidRPr="00A428C3">
        <w:t xml:space="preserve">Full Text: </w:t>
      </w:r>
      <w:hyperlink r:id="rId461" w:history="1">
        <w:r w:rsidRPr="00A428C3">
          <w:rPr>
            <w:rStyle w:val="a5"/>
          </w:rPr>
          <w:t>2004\Geo Res Let31, L24618.pdf</w:t>
        </w:r>
      </w:hyperlink>
    </w:p>
    <w:p w:rsidR="00B95188" w:rsidRPr="00A428C3" w:rsidRDefault="00B95188" w:rsidP="00B95188">
      <w:pPr>
        <w:pStyle w:val="a0"/>
      </w:pPr>
      <w:r w:rsidRPr="00A428C3">
        <w:t>Abstract: [1] Two large earthquakes (Q1</w:t>
      </w:r>
      <w:r w:rsidR="00F81221">
        <w:t xml:space="preserve"> and </w:t>
      </w:r>
      <w:r w:rsidRPr="00A428C3">
        <w:t xml:space="preserve">Q2) occurred off the eastern coast of </w:t>
      </w:r>
      <w:smartTag w:uri="urn:schemas-microsoft-com:office:smarttags" w:element="place">
        <w:r w:rsidRPr="00A428C3">
          <w:t>Mindanao</w:t>
        </w:r>
      </w:smartTag>
      <w:r w:rsidRPr="00A428C3">
        <w:t xml:space="preserve"> along the Philippine Trench on May 1992. During these events, the southeastern coasts of the island experienced one strong ground shaking</w:t>
      </w:r>
      <w:r w:rsidR="00F81221">
        <w:t xml:space="preserve"> and </w:t>
      </w:r>
      <w:r w:rsidRPr="00A428C3">
        <w:t>suffered from one set of tsunamis waves. To investigate this phenomenon, teleseismic body wave inversions</w:t>
      </w:r>
      <w:r w:rsidR="00F81221">
        <w:t xml:space="preserve"> and </w:t>
      </w:r>
      <w:r w:rsidRPr="00A428C3">
        <w:t>tsunami waveform analysis were undertaken for the quakes. Correlation of simulation results</w:t>
      </w:r>
      <w:r w:rsidR="00F81221">
        <w:t xml:space="preserve"> and </w:t>
      </w:r>
      <w:r w:rsidRPr="00A428C3">
        <w:t>field observations show that Q1 was the most probable source of the damaging tsunami wave. Results also imply that the relation between the Q1</w:t>
      </w:r>
      <w:r w:rsidR="00F81221">
        <w:t xml:space="preserve"> and </w:t>
      </w:r>
      <w:r w:rsidRPr="00A428C3">
        <w:t>Q2 that may have ruptured the southern</w:t>
      </w:r>
      <w:r w:rsidR="00F81221">
        <w:t xml:space="preserve"> and </w:t>
      </w:r>
      <w:r w:rsidRPr="00A428C3">
        <w:t>northern portion of the one-day aftershock area, respectively. Furthermore, closer examination of the Philippine trench indicates the presence of a bend in between the events that could have prevented the Q1 to rupture in just one big event.</w:t>
      </w:r>
    </w:p>
    <w:p w:rsidR="00B95188" w:rsidRPr="00A428C3" w:rsidRDefault="00B95188" w:rsidP="00B95188">
      <w:pPr>
        <w:pStyle w:val="a0"/>
      </w:pPr>
      <w:r w:rsidRPr="00A428C3">
        <w:t>? Swisdak, M., Huba, J.D., Joyce, G.</w:t>
      </w:r>
      <w:r w:rsidR="00F81221">
        <w:t xml:space="preserve"> and </w:t>
      </w:r>
      <w:r w:rsidRPr="00A428C3">
        <w:t xml:space="preserve">Huang, C.S. (2006), Simulation study of a positive ionospheric storm phase observed at Millstone Hill. </w:t>
      </w:r>
      <w:r w:rsidRPr="00A428C3">
        <w:rPr>
          <w:i/>
          <w:iCs/>
        </w:rPr>
        <w:t>Geophysical Research Letters</w:t>
      </w:r>
      <w:r w:rsidRPr="00A428C3">
        <w:t xml:space="preserve">, </w:t>
      </w:r>
      <w:r w:rsidRPr="00A428C3">
        <w:rPr>
          <w:b/>
        </w:rPr>
        <w:t>33</w:t>
      </w:r>
      <w:r w:rsidRPr="00A428C3">
        <w:t xml:space="preserve"> (2): Art. No. L02104.</w:t>
      </w:r>
    </w:p>
    <w:p w:rsidR="00B95188" w:rsidRPr="00A428C3" w:rsidRDefault="00B95188" w:rsidP="00B95188">
      <w:pPr>
        <w:pStyle w:val="a0"/>
      </w:pPr>
      <w:r w:rsidRPr="00A428C3">
        <w:t xml:space="preserve">Full Text: </w:t>
      </w:r>
      <w:hyperlink r:id="rId462" w:history="1">
        <w:r w:rsidRPr="00A428C3">
          <w:rPr>
            <w:rStyle w:val="a5"/>
          </w:rPr>
          <w:t>2006\Geo Res Let33, L02104.pdf</w:t>
        </w:r>
      </w:hyperlink>
    </w:p>
    <w:p w:rsidR="00B95188" w:rsidRPr="00A428C3" w:rsidRDefault="00B95188" w:rsidP="00B95188">
      <w:pPr>
        <w:pStyle w:val="a0"/>
      </w:pPr>
      <w:r w:rsidRPr="00A428C3">
        <w:t xml:space="preserve">Abstract: Simulation results from the NRL ionospheric model SAMI2 indicate that the changes in the F-region over Millstone Hill during the geomagnetic storm beginning on 3 April 2004 are primarily due to the influence of a long-lasting eastward electric field, as was previously suggested by </w:t>
      </w:r>
      <w:smartTag w:uri="urn:schemas-microsoft-com:office:smarttags" w:element="PersonName">
        <w:smartTagPr>
          <w:attr w:name="ProductID" w:val="C. Huang"/>
        </w:smartTagPr>
        <w:r w:rsidRPr="00A428C3">
          <w:t>C. Huang</w:t>
        </w:r>
      </w:smartTag>
      <w:r w:rsidRPr="00A428C3">
        <w:t xml:space="preserve"> et al. [2005]. A simulation of the storm day agrees well with the observational data</w:t>
      </w:r>
      <w:r w:rsidR="00F81221">
        <w:t xml:space="preserve"> and </w:t>
      </w:r>
      <w:r w:rsidRPr="00A428C3">
        <w:t xml:space="preserve">shows that, compared with the ionosphere of the previous quiet day, the peak electron density in the F-region </w:t>
      </w:r>
      <w:r w:rsidRPr="00A428C3">
        <w:lastRenderedPageBreak/>
        <w:t xml:space="preserve">(NmF2) increased by a factor of approximate to 2, the altitude of the peak density (h(m)F(2)) rose by approximate to </w:t>
      </w:r>
      <w:smartTag w:uri="urn:schemas-microsoft-com:office:smarttags" w:element="chmetcnv">
        <w:smartTagPr>
          <w:attr w:name="TCSC" w:val="0"/>
          <w:attr w:name="NumberType" w:val="1"/>
          <w:attr w:name="Negative" w:val="False"/>
          <w:attr w:name="HasSpace" w:val="True"/>
          <w:attr w:name="SourceValue" w:val="80"/>
          <w:attr w:name="UnitName" w:val="km"/>
        </w:smartTagPr>
        <w:r w:rsidRPr="00A428C3">
          <w:t>80 km</w:t>
        </w:r>
      </w:smartTag>
      <w:r w:rsidRPr="00A428C3">
        <w:t>,</w:t>
      </w:r>
      <w:r w:rsidR="00F81221">
        <w:t xml:space="preserve"> and </w:t>
      </w:r>
      <w:r w:rsidRPr="00A428C3">
        <w:t>the F-region electron temperature decreased by approximate to 1000 K. Further simulations in which either the neutral atmosphere</w:t>
      </w:r>
      <w:r w:rsidR="00F81221">
        <w:t xml:space="preserve"> and </w:t>
      </w:r>
      <w:r w:rsidRPr="00A428C3">
        <w:t>winds or the electric field were replaced by their quiet day counterparts clearly suggest that the electric field played the dominant, although not exclusive, role in producing these effects. Citation: Swisdak, M., J. D. Huba, G. Joyce,</w:t>
      </w:r>
      <w:r w:rsidR="00F81221">
        <w:t xml:space="preserve"> and </w:t>
      </w:r>
      <w:r w:rsidRPr="00A428C3">
        <w:t>C.-</w:t>
      </w:r>
      <w:smartTag w:uri="urn:schemas-microsoft-com:office:smarttags" w:element="PersonName">
        <w:smartTagPr>
          <w:attr w:name="ProductID" w:val="S. Huang"/>
        </w:smartTagPr>
        <w:r w:rsidRPr="00A428C3">
          <w:t>S. Huang</w:t>
        </w:r>
      </w:smartTag>
      <w:r w:rsidRPr="00A428C3">
        <w:t xml:space="preserve"> (2006), Simulation study of a positive ionospheric storm phase observed at Millstone Hill, Geophys. Res. Lett., 33, L02104, doi:10.1029/2005GL024973.</w:t>
      </w:r>
    </w:p>
    <w:p w:rsidR="00B95188" w:rsidRPr="00A428C3" w:rsidRDefault="00B95188" w:rsidP="00B95188">
      <w:pPr>
        <w:pStyle w:val="a0"/>
      </w:pPr>
      <w:r w:rsidRPr="00A428C3">
        <w:t>Keywords: Altitude, Atmosphere, Density, Effects, Electron Density, Geomagnetic Storms, Model, Observational Data, Role, SAMI2, Satellite, Simulation, Storm, Temperature, Thermosphere</w:t>
      </w:r>
    </w:p>
    <w:p w:rsidR="00B95188" w:rsidRPr="00A428C3" w:rsidRDefault="00B95188" w:rsidP="00B95188">
      <w:pPr>
        <w:pStyle w:val="1"/>
      </w:pPr>
      <w:r w:rsidRPr="00A428C3">
        <w:br w:type="page"/>
      </w:r>
      <w:bookmarkStart w:id="338" w:name="_Toc186647722"/>
      <w:bookmarkStart w:id="339" w:name="_Toc317160930"/>
      <w:r w:rsidRPr="00A428C3">
        <w:lastRenderedPageBreak/>
        <w:t xml:space="preserve">Title: </w:t>
      </w:r>
      <w:r w:rsidRPr="00A428C3">
        <w:rPr>
          <w:iCs/>
        </w:rPr>
        <w:t>Geophysics</w:t>
      </w:r>
      <w:bookmarkEnd w:id="338"/>
      <w:bookmarkEnd w:id="339"/>
    </w:p>
    <w:p w:rsidR="00B95188" w:rsidRPr="00A428C3" w:rsidRDefault="00B95188" w:rsidP="00B72EF9">
      <w:pPr>
        <w:pStyle w:val="12"/>
      </w:pPr>
      <w:r w:rsidRPr="00A428C3">
        <w:t xml:space="preserve">Full Journal Title: </w:t>
      </w:r>
      <w:hyperlink r:id="rId463" w:history="1">
        <w:r w:rsidRPr="00A428C3">
          <w:rPr>
            <w:rStyle w:val="a5"/>
            <w:iCs/>
          </w:rPr>
          <w:t>Geophysics</w:t>
        </w:r>
      </w:hyperlink>
    </w:p>
    <w:p w:rsidR="00B95188" w:rsidRPr="00A428C3" w:rsidRDefault="00B95188" w:rsidP="00B72EF9">
      <w:pPr>
        <w:pStyle w:val="12"/>
      </w:pPr>
      <w:r w:rsidRPr="00A428C3">
        <w:t xml:space="preserve">ISO Abbreviated Title: </w:t>
      </w:r>
      <w:r w:rsidRPr="00A428C3">
        <w:rPr>
          <w:iCs/>
        </w:rPr>
        <w:t>Geophysics</w:t>
      </w:r>
    </w:p>
    <w:p w:rsidR="00B95188" w:rsidRPr="00A428C3" w:rsidRDefault="00B95188" w:rsidP="00B72EF9">
      <w:pPr>
        <w:pStyle w:val="12"/>
      </w:pPr>
      <w:r w:rsidRPr="00A428C3">
        <w:t xml:space="preserve">JCR Abbreviated Title: </w:t>
      </w:r>
      <w:r w:rsidRPr="00A428C3">
        <w:rPr>
          <w:iCs/>
        </w:rPr>
        <w:t>Geophysics</w:t>
      </w:r>
    </w:p>
    <w:p w:rsidR="00B95188" w:rsidRPr="00A428C3" w:rsidRDefault="00B95188" w:rsidP="00B72EF9">
      <w:pPr>
        <w:pStyle w:val="12"/>
      </w:pPr>
      <w:r w:rsidRPr="00A428C3">
        <w:t>ISSN: 0016-8033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 Impact Factor </w:t>
      </w:r>
    </w:p>
    <w:p w:rsidR="002724B5" w:rsidRPr="00A428C3" w:rsidRDefault="002724B5" w:rsidP="002724B5">
      <w:pPr>
        <w:pStyle w:val="a0"/>
      </w:pPr>
      <w:r w:rsidRPr="00A428C3">
        <w:t xml:space="preserve">? </w:t>
      </w:r>
      <w:r>
        <w:t>Spies</w:t>
      </w:r>
      <w:r>
        <w:rPr>
          <w:rFonts w:hint="eastAsia"/>
        </w:rPr>
        <w:t>,</w:t>
      </w:r>
      <w:r>
        <w:t xml:space="preserve"> B</w:t>
      </w:r>
      <w:r>
        <w:rPr>
          <w:rFonts w:hint="eastAsia"/>
        </w:rPr>
        <w:t>.</w:t>
      </w:r>
      <w:r>
        <w:t>R</w:t>
      </w:r>
      <w:r>
        <w:rPr>
          <w:rFonts w:hint="eastAsia"/>
        </w:rPr>
        <w:t>.</w:t>
      </w:r>
      <w:r w:rsidRPr="00A428C3">
        <w:t xml:space="preserve"> (</w:t>
      </w:r>
      <w:r>
        <w:rPr>
          <w:rFonts w:hint="eastAsia"/>
        </w:rPr>
        <w:t>1991</w:t>
      </w:r>
      <w:r w:rsidRPr="00A428C3">
        <w:t xml:space="preserve">), </w:t>
      </w:r>
      <w:r>
        <w:t xml:space="preserve">The effectiveness of journals in exploration </w:t>
      </w:r>
      <w:r w:rsidRPr="002724B5">
        <w:rPr>
          <w:i/>
        </w:rPr>
        <w:t>Geophysics</w:t>
      </w:r>
      <w:r w:rsidRPr="00A428C3">
        <w:t xml:space="preserve">. </w:t>
      </w:r>
      <w:r w:rsidRPr="00A428C3">
        <w:rPr>
          <w:i/>
          <w:iCs/>
        </w:rPr>
        <w:t>Geophysics</w:t>
      </w:r>
      <w:r w:rsidRPr="00A428C3">
        <w:t xml:space="preserve">, </w:t>
      </w:r>
      <w:r>
        <w:rPr>
          <w:rFonts w:hint="eastAsia"/>
          <w:b/>
        </w:rPr>
        <w:t>56</w:t>
      </w:r>
      <w:r w:rsidRPr="00A428C3">
        <w:t xml:space="preserve"> (</w:t>
      </w:r>
      <w:r>
        <w:rPr>
          <w:rFonts w:hint="eastAsia"/>
        </w:rPr>
        <w:t>6</w:t>
      </w:r>
      <w:r w:rsidRPr="00A428C3">
        <w:t xml:space="preserve">), </w:t>
      </w:r>
      <w:r>
        <w:t>844-858</w:t>
      </w:r>
      <w:r w:rsidRPr="00A428C3">
        <w:t>.</w:t>
      </w:r>
    </w:p>
    <w:p w:rsidR="002724B5" w:rsidRDefault="002724B5" w:rsidP="002724B5">
      <w:pPr>
        <w:pStyle w:val="a0"/>
      </w:pPr>
      <w:r w:rsidRPr="00A428C3">
        <w:t xml:space="preserve">Full Text: </w:t>
      </w:r>
      <w:hyperlink r:id="rId464" w:history="1">
        <w:r w:rsidRPr="002724B5">
          <w:rPr>
            <w:rStyle w:val="a5"/>
          </w:rPr>
          <w:t>1991\Geophysics56, 844.pdf</w:t>
        </w:r>
      </w:hyperlink>
    </w:p>
    <w:p w:rsidR="002724B5" w:rsidRDefault="002724B5" w:rsidP="002724B5">
      <w:pPr>
        <w:pStyle w:val="a0"/>
      </w:pPr>
      <w:r>
        <w:t>Abstract: A detailed citation analysis was conducted for fourteen major journals dealing with exploration geophysics, to judge their cost-effectiveness</w:t>
      </w:r>
      <w:r w:rsidR="00F81221">
        <w:t xml:space="preserve"> and </w:t>
      </w:r>
      <w:r>
        <w:t>impact. The analysis was for papers published in 1984, so that papers had approximately five years of visibility at the time the citation analysis was conducted. In addition, a study was performed for GEOPHYSICS for the years 1980 to 1988, to assess the influence of the length of time a paper was in the literature.</w:t>
      </w:r>
    </w:p>
    <w:p w:rsidR="002724B5" w:rsidRDefault="002724B5" w:rsidP="002724B5">
      <w:pPr>
        <w:pStyle w:val="a0"/>
      </w:pPr>
      <w:r>
        <w:t>The leading journal, in terms of number of citations, was the Journal of Geophysical Research, which received an average of 17.4 citations per paper, followed by the Geophysical Journal of the Royal Astronomical Society (8.6)</w:t>
      </w:r>
      <w:r w:rsidR="00F81221">
        <w:t xml:space="preserve"> and </w:t>
      </w:r>
      <w:r>
        <w:t>GEOPHYSICS (5.4). Several journals average less than 1 citation per paper. For GEOPHYSICS, the average paper receives an extra 1.2 citations per year over the nine years studied. The percentage of nil citations decreases from 35 percent after one year, to 8 percent after 9 years. Four percent of papers receive 20 percent of all citations; these are the classic papers of exploration geophysics. Short notes, on average, receive half the number of citations as full papers. Self-citations, which account for approximately one in five citations, do not appear to significantly affect the importance or relevance of a paper.</w:t>
      </w:r>
    </w:p>
    <w:p w:rsidR="002724B5" w:rsidRDefault="002724B5" w:rsidP="002724B5">
      <w:pPr>
        <w:pStyle w:val="a0"/>
      </w:pPr>
      <w:r>
        <w:t>When examined in terms of cost-effectiveness, SEG publications rate very well. GEOPHYSICS</w:t>
      </w:r>
      <w:r w:rsidR="00F81221">
        <w:t xml:space="preserve"> and </w:t>
      </w:r>
      <w:r>
        <w:t xml:space="preserve">SEG Expanded Abstracts have the lowest cost per 1000 characters of all the journals studied. In terms of the number of citations per unit cost, GEOPHYSICS is more than twice as cost-effective than its nearest neighbor, the Journal of Geophysical Research. The results also confirm those of earlier studies, that commercial journals are not as cost-effective as those published by not-for-profit </w:t>
      </w:r>
      <w:r>
        <w:lastRenderedPageBreak/>
        <w:t>professional societies.</w:t>
      </w:r>
    </w:p>
    <w:p w:rsidR="002724B5" w:rsidRPr="00A428C3" w:rsidRDefault="002724B5" w:rsidP="002724B5">
      <w:pPr>
        <w:pStyle w:val="a0"/>
      </w:pPr>
      <w:r>
        <w:t>Keywords: Citation Analysis, Physics Journals, Frequency, Science, Impact, Cost</w:t>
      </w:r>
    </w:p>
    <w:p w:rsidR="002724B5" w:rsidRPr="00A428C3" w:rsidRDefault="002724B5" w:rsidP="002724B5">
      <w:pPr>
        <w:pStyle w:val="a0"/>
      </w:pPr>
      <w:r w:rsidRPr="00A428C3">
        <w:t>? Peltoniemi, M. (2005), Impact factors, citations,</w:t>
      </w:r>
      <w:r w:rsidR="00F81221">
        <w:t xml:space="preserve"> and </w:t>
      </w:r>
      <w:r w:rsidRPr="002724B5">
        <w:rPr>
          <w:i/>
        </w:rPr>
        <w:t>Geophysics</w:t>
      </w:r>
      <w:r w:rsidRPr="00A428C3">
        <w:t xml:space="preserve">. </w:t>
      </w:r>
      <w:r w:rsidRPr="00A428C3">
        <w:rPr>
          <w:i/>
          <w:iCs/>
        </w:rPr>
        <w:t>Geophysics</w:t>
      </w:r>
      <w:r w:rsidRPr="00A428C3">
        <w:t xml:space="preserve">, </w:t>
      </w:r>
      <w:r w:rsidRPr="00A428C3">
        <w:rPr>
          <w:b/>
        </w:rPr>
        <w:t>70</w:t>
      </w:r>
      <w:r w:rsidRPr="00A428C3">
        <w:t xml:space="preserve"> (2), 3MA-17MA.</w:t>
      </w:r>
    </w:p>
    <w:p w:rsidR="002724B5" w:rsidRPr="00A428C3" w:rsidRDefault="002724B5" w:rsidP="002724B5">
      <w:pPr>
        <w:pStyle w:val="a0"/>
      </w:pPr>
      <w:r w:rsidRPr="00A428C3">
        <w:t xml:space="preserve">Full Text: </w:t>
      </w:r>
      <w:hyperlink r:id="rId465" w:history="1">
        <w:r w:rsidRPr="00A428C3">
          <w:rPr>
            <w:rStyle w:val="a5"/>
          </w:rPr>
          <w:t>2005\Geophysics70, 3MA.pdf</w:t>
        </w:r>
      </w:hyperlink>
    </w:p>
    <w:p w:rsidR="00B95188" w:rsidRPr="00A428C3" w:rsidRDefault="00B95188" w:rsidP="00B95188">
      <w:pPr>
        <w:pStyle w:val="a0"/>
      </w:pPr>
      <w:r w:rsidRPr="00A428C3">
        <w:t>Abstract: This review assesses the contributions</w:t>
      </w:r>
      <w:r w:rsidR="00F81221">
        <w:t xml:space="preserve"> and </w:t>
      </w:r>
      <w:r w:rsidRPr="00A428C3">
        <w:t>impact that GEOPHYSICS journal has made to both the theory</w:t>
      </w:r>
      <w:r w:rsidR="00F81221">
        <w:t xml:space="preserve"> and </w:t>
      </w:r>
      <w:r w:rsidRPr="00A428C3">
        <w:t>the applications of exploration geophysics during its publication life span. The contributions are evaluated first on the basis of Journal Citation Reports data, which summarize information available since 1975 about the impact factor of our journal. The impact factor for GEOPHYSICS in 1975-2002 has ranged between 1.461</w:t>
      </w:r>
      <w:r w:rsidR="00F81221">
        <w:t xml:space="preserve"> and </w:t>
      </w:r>
      <w:r w:rsidRPr="00A428C3">
        <w:t>0.591, with an average of 0.924</w:t>
      </w:r>
      <w:r w:rsidR="00F81221">
        <w:t xml:space="preserve"> and </w:t>
      </w:r>
      <w:r w:rsidRPr="00A428C3">
        <w:t>with a relative ranking between 16</w:t>
      </w:r>
      <w:r w:rsidR="00F81221">
        <w:t xml:space="preserve"> and </w:t>
      </w:r>
      <w:r w:rsidRPr="00A428C3">
        <w:t>45 for all journals in its category. The journal receiving the highest impact factor for the period 2000</w:t>
      </w:r>
      <w:smartTag w:uri="urn:schemas-microsoft-com:office:smarttags" w:element="chmetcnv">
        <w:smartTagPr>
          <w:attr w:name="TCSC" w:val="0"/>
          <w:attr w:name="NumberType" w:val="1"/>
          <w:attr w:name="Negative" w:val="True"/>
          <w:attr w:name="HasSpace" w:val="True"/>
          <w:attr w:name="SourceValue" w:val="2003"/>
          <w:attr w:name="UnitName" w:val="in"/>
        </w:smartTagPr>
        <w:r w:rsidRPr="00A428C3">
          <w:t>-2003 in</w:t>
        </w:r>
      </w:smartTag>
      <w:r w:rsidRPr="00A428C3">
        <w:t xml:space="preserve"> the </w:t>
      </w:r>
      <w:r w:rsidR="000352E7">
        <w:t>“</w:t>
      </w:r>
      <w:r w:rsidRPr="00A428C3">
        <w:t>Geochemistry</w:t>
      </w:r>
      <w:r w:rsidR="00F81221">
        <w:t xml:space="preserve"> and </w:t>
      </w:r>
      <w:r w:rsidRPr="00A428C3">
        <w:t>Geophysics</w:t>
      </w:r>
      <w:r w:rsidR="000352E7">
        <w:t>”</w:t>
      </w:r>
      <w:r w:rsidRPr="00A428C3">
        <w:t xml:space="preserve"> category is Reviews of Geophysics, with an average impact factor of 7.787</w:t>
      </w:r>
      <w:r w:rsidR="00F81221">
        <w:t xml:space="preserve"> and </w:t>
      </w:r>
      <w:r w:rsidRPr="00A428C3">
        <w:t>which ranged between 9.226</w:t>
      </w:r>
      <w:r w:rsidR="00F81221">
        <w:t xml:space="preserve"> and </w:t>
      </w:r>
      <w:r w:rsidRPr="00A428C3">
        <w:t>6.083. A second</w:t>
      </w:r>
      <w:r w:rsidR="00F81221">
        <w:t xml:space="preserve"> and </w:t>
      </w:r>
      <w:r w:rsidRPr="00A428C3">
        <w:t>important criterion is the frequency with which individual papers published in GEOPHYSICS have been cited elsewhere. This information is available for the entire publication history of GEOPHYSICS</w:t>
      </w:r>
      <w:r w:rsidR="00F81221">
        <w:t xml:space="preserve"> and </w:t>
      </w:r>
      <w:r w:rsidRPr="00A428C3">
        <w:t>supports the choices made for the early classic papers. These were listed in both the Silver</w:t>
      </w:r>
      <w:r w:rsidR="00F81221">
        <w:t xml:space="preserve"> and </w:t>
      </w:r>
      <w:r w:rsidRPr="00A428C3">
        <w:t>the Golden Anniversary issues of GEOPHYSICS. In August 2004, the five most-cited papers in GEOPHYSICS published in the time period 4.936 to February 2003 are Thomsen (1986) with 423 citations, Constable et al. (1987) with 380 citations, Cagniard (1953) with 354 citations, Sen et al. (1981) with 313 citations,</w:t>
      </w:r>
      <w:r w:rsidR="00F81221">
        <w:t xml:space="preserve"> and </w:t>
      </w:r>
      <w:r w:rsidRPr="00A428C3">
        <w:t>Stolt (1978) with 307 citations. Fifteen more papers exceed a threshold value of 200 citations. During 2000-2002, GEOPHYSICS, Geophysical Prospecting, Geophysical Journal International,</w:t>
      </w:r>
      <w:r w:rsidR="00F81221">
        <w:t xml:space="preserve"> and </w:t>
      </w:r>
      <w:r w:rsidRPr="00A428C3">
        <w:t>Journal of Applied Geophysics were the four journals with the highest number of citations of papers published in GEOPHYSICS. In the same 2000-2002 period, those journals in which papers published in GEOPHYSICS are cited most are GEOPHYSICS, Geophysical Prospecting, Geophysical Journal International,</w:t>
      </w:r>
      <w:r w:rsidR="00F81221">
        <w:t xml:space="preserve"> and </w:t>
      </w:r>
      <w:r w:rsidRPr="00A428C3">
        <w:t>Journal of Geophysical Research. During 1985, the total number of citations in all journals in the Science Citation Index database to papers published in GEOPHYSICS was 2657. By 2002, this same citation count for GEOPHYSICS had increased to 4784.</w:t>
      </w:r>
    </w:p>
    <w:p w:rsidR="00B95188" w:rsidRPr="00A428C3" w:rsidRDefault="00B95188" w:rsidP="00B95188">
      <w:pPr>
        <w:pStyle w:val="a0"/>
      </w:pPr>
      <w:r w:rsidRPr="00A428C3">
        <w:t>Keywords: Impact, Journals</w:t>
      </w:r>
    </w:p>
    <w:p w:rsidR="00967299" w:rsidRDefault="00967299" w:rsidP="00967299">
      <w:pPr>
        <w:pStyle w:val="a0"/>
        <w:rPr>
          <w:kern w:val="0"/>
        </w:rPr>
      </w:pPr>
      <w:r>
        <w:rPr>
          <w:rFonts w:hint="eastAsia"/>
          <w:kern w:val="0"/>
        </w:rPr>
        <w:t xml:space="preserve">? </w:t>
      </w:r>
      <w:r>
        <w:rPr>
          <w:kern w:val="0"/>
        </w:rPr>
        <w:t xml:space="preserve">Spies, B.R. (1991), The effectiveness of journals in exploration </w:t>
      </w:r>
      <w:r w:rsidRPr="00D123BE">
        <w:rPr>
          <w:i/>
          <w:kern w:val="0"/>
        </w:rPr>
        <w:t>Geophysics</w:t>
      </w:r>
      <w:r>
        <w:rPr>
          <w:kern w:val="0"/>
        </w:rPr>
        <w:t xml:space="preserve">. </w:t>
      </w:r>
      <w:r>
        <w:rPr>
          <w:i/>
          <w:iCs/>
          <w:kern w:val="0"/>
        </w:rPr>
        <w:t>Geophysics</w:t>
      </w:r>
      <w:r>
        <w:rPr>
          <w:kern w:val="0"/>
        </w:rPr>
        <w:t xml:space="preserve">, </w:t>
      </w:r>
      <w:r>
        <w:rPr>
          <w:b/>
          <w:bCs/>
          <w:kern w:val="0"/>
        </w:rPr>
        <w:t>56</w:t>
      </w:r>
      <w:r>
        <w:rPr>
          <w:kern w:val="0"/>
        </w:rPr>
        <w:t xml:space="preserve"> (6), 844-858.</w:t>
      </w:r>
    </w:p>
    <w:p w:rsidR="00967299" w:rsidRPr="00A428C3" w:rsidRDefault="00967299" w:rsidP="00967299">
      <w:pPr>
        <w:pStyle w:val="a0"/>
      </w:pPr>
      <w:r w:rsidRPr="00A428C3">
        <w:t xml:space="preserve">Full Text: </w:t>
      </w:r>
      <w:r>
        <w:rPr>
          <w:rFonts w:hint="eastAsia"/>
        </w:rPr>
        <w:t>1991</w:t>
      </w:r>
      <w:r>
        <w:t>\Geophysics</w:t>
      </w:r>
      <w:r>
        <w:rPr>
          <w:rFonts w:hint="eastAsia"/>
        </w:rPr>
        <w:t>56</w:t>
      </w:r>
      <w:r>
        <w:t xml:space="preserve">, </w:t>
      </w:r>
      <w:r>
        <w:rPr>
          <w:rFonts w:hint="eastAsia"/>
        </w:rPr>
        <w:t>844</w:t>
      </w:r>
      <w:r w:rsidRPr="00D123BE">
        <w:t>.pdf</w:t>
      </w:r>
    </w:p>
    <w:p w:rsidR="00967299" w:rsidRDefault="00967299" w:rsidP="00967299">
      <w:pPr>
        <w:pStyle w:val="a0"/>
        <w:rPr>
          <w:kern w:val="0"/>
        </w:rPr>
      </w:pPr>
      <w:r>
        <w:rPr>
          <w:kern w:val="0"/>
        </w:rPr>
        <w:t>Abstract: A detailed citation analysis was conducted for fourteen major journals dealing with exploration geophysics, to judge their cost-effectiveness</w:t>
      </w:r>
      <w:r w:rsidR="00F81221">
        <w:rPr>
          <w:kern w:val="0"/>
        </w:rPr>
        <w:t xml:space="preserve"> and </w:t>
      </w:r>
      <w:r>
        <w:rPr>
          <w:kern w:val="0"/>
        </w:rPr>
        <w:t xml:space="preserve">impact. The analysis was for papers published in 1984, so that papers had approximately five </w:t>
      </w:r>
      <w:r>
        <w:rPr>
          <w:kern w:val="0"/>
        </w:rPr>
        <w:lastRenderedPageBreak/>
        <w:t>years of visibility at the time the citation analysis was conducted. In addition, a study was performed for GEOPHYSICS for the years 1980 to 1988, to assess the influence of the length of time a paper was in the literature. The leading journal, in terms of number of citations, was the Journal of Geophysical Research, which received an average of 17.4 citations per paper, followed by the Geophysical Journal of the Royal Astronomical Society (8.6)</w:t>
      </w:r>
      <w:r w:rsidR="00F81221">
        <w:rPr>
          <w:kern w:val="0"/>
        </w:rPr>
        <w:t xml:space="preserve"> and </w:t>
      </w:r>
      <w:r>
        <w:rPr>
          <w:kern w:val="0"/>
        </w:rPr>
        <w:t>GEOPHYSICS (5.4). Several journals average less than 1 citation per paper. For GEOPHYSICS, the average paper receives an extra 1.2 citations per year over the nine years studied. The percentage of nil citations decreases from 35 percent after one year, to 8 percent after 9 years. Four percent of papers receive 20 percent of all citations; these are the classic papers of exploration geophysics. Short notes, on average, receive half the number of citations as full papers. Self-citations, which account for approximately one in five citations, do not appear to significantly affect the importance or relevance of a paper. When examined in terms of cost-effectiveness, SEG publications rate very well. GEOPHYSICS</w:t>
      </w:r>
      <w:r w:rsidR="00F81221">
        <w:rPr>
          <w:kern w:val="0"/>
        </w:rPr>
        <w:t xml:space="preserve"> and </w:t>
      </w:r>
      <w:r>
        <w:rPr>
          <w:kern w:val="0"/>
        </w:rPr>
        <w:t>SEG Expanded Abstracts have the lowest cost per 1000 characters of all the journals studied. In terms of the number of citations per unit cost, GEOPHYSICS is more than twice as cost-effective than its nearest neighbor, the Journal of Geophysical Research. The results also confirm those of earlier studies, that commercial journals are not as cost-effective as those published by not-for-profit professional societies.</w:t>
      </w:r>
    </w:p>
    <w:p w:rsidR="00967299" w:rsidRDefault="00967299" w:rsidP="00967299">
      <w:pPr>
        <w:pStyle w:val="a0"/>
        <w:rPr>
          <w:kern w:val="0"/>
        </w:rPr>
      </w:pPr>
      <w:r>
        <w:rPr>
          <w:kern w:val="0"/>
        </w:rPr>
        <w:t>Keywords: Analysis, Citation, Citation Analysis, Citations, Cost, Frequency, Impact, Journals, Physics Journals, Publications, Research, Science, Self-Citations</w:t>
      </w:r>
    </w:p>
    <w:p w:rsidR="00B95188" w:rsidRPr="00A428C3" w:rsidRDefault="00B95188" w:rsidP="00B95188">
      <w:pPr>
        <w:pStyle w:val="1"/>
      </w:pPr>
      <w:r w:rsidRPr="00A428C3">
        <w:br w:type="page"/>
      </w:r>
      <w:bookmarkStart w:id="340" w:name="_Toc186647723"/>
      <w:bookmarkStart w:id="341" w:name="_Toc317160931"/>
      <w:r w:rsidRPr="00A428C3">
        <w:lastRenderedPageBreak/>
        <w:t>Title: Geosciences Journal</w:t>
      </w:r>
      <w:bookmarkEnd w:id="340"/>
      <w:bookmarkEnd w:id="341"/>
    </w:p>
    <w:p w:rsidR="00B95188" w:rsidRPr="00A428C3" w:rsidRDefault="00B95188" w:rsidP="00B72EF9">
      <w:pPr>
        <w:pStyle w:val="12"/>
      </w:pPr>
      <w:r w:rsidRPr="00A428C3">
        <w:t>Full Journal Title: Geosciences Journal</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1226-4806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Yu, J.Y., Shin, M.Y., Noh, J.H.</w:t>
      </w:r>
      <w:r w:rsidR="00F81221">
        <w:t xml:space="preserve"> and </w:t>
      </w:r>
      <w:r w:rsidRPr="00A428C3">
        <w:t>Seo, J.J. (2004), Adsorption of phenol</w:t>
      </w:r>
      <w:r w:rsidR="00F81221">
        <w:t xml:space="preserve"> and </w:t>
      </w:r>
      <w:r w:rsidRPr="00A428C3">
        <w:t xml:space="preserve">chlorophenols on Ca-montmorillonite in aqueous solutions. </w:t>
      </w:r>
      <w:r w:rsidRPr="00A428C3">
        <w:rPr>
          <w:i/>
          <w:iCs/>
        </w:rPr>
        <w:t>Geosciences Journal</w:t>
      </w:r>
      <w:r w:rsidRPr="00A428C3">
        <w:t xml:space="preserve">, </w:t>
      </w:r>
      <w:r w:rsidRPr="00A428C3">
        <w:rPr>
          <w:b/>
        </w:rPr>
        <w:t>8</w:t>
      </w:r>
      <w:r w:rsidRPr="00A428C3">
        <w:t xml:space="preserve"> (2), 185-189.</w:t>
      </w:r>
    </w:p>
    <w:p w:rsidR="00B95188" w:rsidRPr="00A428C3" w:rsidRDefault="00B95188" w:rsidP="00B95188">
      <w:pPr>
        <w:pStyle w:val="a0"/>
      </w:pPr>
      <w:r w:rsidRPr="00A428C3">
        <w:t>Abstract: Adsorption of phenol, 2-chlorophenol,</w:t>
      </w:r>
      <w:r w:rsidR="00F81221">
        <w:t xml:space="preserve"> and </w:t>
      </w:r>
      <w:r w:rsidRPr="00A428C3">
        <w:t>2,4-dichlorophenol on Ca-montmorillonite was studied with batch experiments at 25</w:t>
      </w:r>
      <w:r w:rsidR="008A7E71">
        <w:t>°</w:t>
      </w:r>
      <w:r w:rsidRPr="00A428C3">
        <w:t>C. The results from the experiments show that the amount of the adsorption of the phenolic compounds increases with chlorination, i.e., phenol &lt; 2-chlorophenol &lt; 2,4-dichlorophenol. This adsorption trend is due to the differences in the affinity of the phenolic compounds between the adsorbent</w:t>
      </w:r>
      <w:r w:rsidR="00F81221">
        <w:t xml:space="preserve"> and </w:t>
      </w:r>
      <w:r w:rsidRPr="00A428C3">
        <w:t>water, that is more affinity to water leads to less adsorption. The adsorption of phenol is unrecognizable, while 2,4-dichlorophenol is showing the highest adsorption density despite the repulsion between dissociated dichlorophenol anions</w:t>
      </w:r>
      <w:r w:rsidR="00F81221">
        <w:t xml:space="preserve"> and </w:t>
      </w:r>
      <w:r w:rsidRPr="00A428C3">
        <w:t>montmorillonite surface. Freundlich model fits moderately well to the adsorption isotherm of 2-chlorophenol</w:t>
      </w:r>
      <w:r w:rsidR="00F81221">
        <w:t xml:space="preserve"> and </w:t>
      </w:r>
      <w:r w:rsidRPr="00A428C3">
        <w:t>2,4-dichlorophenol. The calculated model parameters are n = 1.50, 0.49</w:t>
      </w:r>
      <w:r w:rsidR="00F81221">
        <w:t xml:space="preserve"> and </w:t>
      </w:r>
      <w:r w:rsidRPr="00A428C3">
        <w:t>logk(F) = 0.51, 1.09 for 2-chlorophenol</w:t>
      </w:r>
      <w:r w:rsidR="00F81221">
        <w:t xml:space="preserve"> and </w:t>
      </w:r>
      <w:r w:rsidRPr="00A428C3">
        <w:t>2,4-dichlorophenol, respectively.</w:t>
      </w:r>
    </w:p>
    <w:p w:rsidR="00B95188" w:rsidRPr="00A428C3" w:rsidRDefault="00B95188" w:rsidP="00B95188">
      <w:pPr>
        <w:pStyle w:val="a0"/>
      </w:pPr>
      <w:r w:rsidRPr="00A428C3">
        <w:t>Keywords: Adsorption, Ca-Montmorillonite, Chlorophenol, Phenol, Organic-Compounds, Clay-Minerals, Sorption, Bentonite</w:t>
      </w:r>
    </w:p>
    <w:p w:rsidR="00B95188" w:rsidRPr="00A428C3" w:rsidRDefault="00B95188" w:rsidP="00B95188">
      <w:pPr>
        <w:pStyle w:val="a0"/>
      </w:pPr>
      <w:r w:rsidRPr="00A428C3">
        <w:t xml:space="preserve">? Heo, J.H., Lee, D.H., </w:t>
      </w:r>
      <w:smartTag w:uri="urn:schemas-microsoft-com:office:smarttags" w:element="City">
        <w:r w:rsidRPr="00A428C3">
          <w:t>Koh</w:t>
        </w:r>
      </w:smartTag>
      <w:r w:rsidRPr="00A428C3">
        <w:t>, D.C.</w:t>
      </w:r>
      <w:r w:rsidR="00F81221">
        <w:t xml:space="preserve"> and </w:t>
      </w:r>
      <w:r w:rsidRPr="00A428C3">
        <w:t>Chang, H.W. (2007), The effect of ionic strength</w:t>
      </w:r>
      <w:r w:rsidR="00F81221">
        <w:t xml:space="preserve"> and </w:t>
      </w:r>
      <w:r w:rsidRPr="00A428C3">
        <w:t xml:space="preserve">hardness of trichloroethylene-contaminated synthetic groundwater on remediation using granular activated carbon. </w:t>
      </w:r>
      <w:r w:rsidRPr="00A428C3">
        <w:rPr>
          <w:i/>
          <w:iCs/>
        </w:rPr>
        <w:t>Geosciences Journal</w:t>
      </w:r>
      <w:r w:rsidRPr="00A428C3">
        <w:t xml:space="preserve">, </w:t>
      </w:r>
      <w:r w:rsidRPr="00A428C3">
        <w:rPr>
          <w:b/>
        </w:rPr>
        <w:t>11</w:t>
      </w:r>
      <w:r w:rsidRPr="00A428C3">
        <w:t xml:space="preserve"> (3), 229-239.</w:t>
      </w:r>
    </w:p>
    <w:p w:rsidR="00B95188" w:rsidRPr="00A428C3" w:rsidRDefault="00B95188" w:rsidP="00B95188">
      <w:pPr>
        <w:pStyle w:val="a0"/>
      </w:pPr>
      <w:r w:rsidRPr="00A428C3">
        <w:t>Abstract: The objective of this study is to evaluate the effect of ionic strength</w:t>
      </w:r>
      <w:r w:rsidR="00F81221">
        <w:t xml:space="preserve"> and </w:t>
      </w:r>
      <w:r w:rsidRPr="00A428C3">
        <w:t>hardness of trichloroethylene (TCE)-contaminated synthetic groundwater on remediation using granular activated carbon (GAC). The TCE sorption rate onto GAC in synthetic groundwater was observed by batch experiments</w:t>
      </w:r>
      <w:r w:rsidR="00F81221">
        <w:t xml:space="preserve"> and </w:t>
      </w:r>
      <w:r w:rsidRPr="00A428C3">
        <w:t>ranged from 86.2% to 100%. As the ionic strength</w:t>
      </w:r>
      <w:r w:rsidR="00F81221">
        <w:t xml:space="preserve"> and </w:t>
      </w:r>
      <w:r w:rsidRPr="00A428C3">
        <w:t xml:space="preserve">hardness of the synthetic groundwater increased, the TCE sorption rates decreased. The sorption kinetics of the GAC were </w:t>
      </w:r>
      <w:r w:rsidRPr="00A428C3">
        <w:lastRenderedPageBreak/>
        <w:t xml:space="preserve">also analyzed by kinetic models. The Elovich model was more successfully applicable to the sorption kinetics than the Pseudo-first-order model. During the sorption, a greater amount of cations in groundwater were adsorbed than anions. The sorption capacity of GAC was affected by cations in groundwater. The GAC surface area was </w:t>
      </w:r>
      <w:smartTag w:uri="urn:schemas-microsoft-com:office:smarttags" w:element="chmetcnv">
        <w:smartTagPr>
          <w:attr w:name="TCSC" w:val="0"/>
          <w:attr w:name="NumberType" w:val="1"/>
          <w:attr w:name="Negative" w:val="False"/>
          <w:attr w:name="HasSpace" w:val="True"/>
          <w:attr w:name="SourceValue" w:val="958.98"/>
          <w:attr w:name="UnitName" w:val="m2"/>
        </w:smartTagPr>
        <w:r w:rsidRPr="00A428C3">
          <w:t>958.98 m</w:t>
        </w:r>
        <w:r w:rsidRPr="00A428C3">
          <w:rPr>
            <w:vertAlign w:val="superscript"/>
          </w:rPr>
          <w:t>2</w:t>
        </w:r>
      </w:smartTag>
      <w:r w:rsidRPr="00A428C3">
        <w:t>/g</w:t>
      </w:r>
      <w:r w:rsidR="00F81221">
        <w:t xml:space="preserve"> and </w:t>
      </w:r>
      <w:r w:rsidRPr="00A428C3">
        <w:t>the calculated TCE</w:t>
      </w:r>
      <w:r w:rsidR="00F81221">
        <w:t xml:space="preserve"> and </w:t>
      </w:r>
      <w:r w:rsidRPr="00A428C3">
        <w:t xml:space="preserve">ions sorption areas were </w:t>
      </w:r>
      <w:smartTag w:uri="urn:schemas-microsoft-com:office:smarttags" w:element="chmetcnv">
        <w:smartTagPr>
          <w:attr w:name="TCSC" w:val="0"/>
          <w:attr w:name="NumberType" w:val="1"/>
          <w:attr w:name="Negative" w:val="False"/>
          <w:attr w:name="HasSpace" w:val="True"/>
          <w:attr w:name="SourceValue" w:val="318.38"/>
          <w:attr w:name="UnitName" w:val="m2"/>
        </w:smartTagPr>
        <w:r w:rsidRPr="00A428C3">
          <w:t>318.38 m</w:t>
        </w:r>
        <w:r w:rsidRPr="00A428C3">
          <w:rPr>
            <w:vertAlign w:val="superscript"/>
          </w:rPr>
          <w:t>2</w:t>
        </w:r>
      </w:smartTag>
      <w:r w:rsidRPr="00A428C3">
        <w:t>/g, which comprised 33.2 % of the GAC surface area. Our experiments showed that TCE remediation was influenced by the ionic strength</w:t>
      </w:r>
      <w:r w:rsidR="00F81221">
        <w:t xml:space="preserve"> and </w:t>
      </w:r>
      <w:r w:rsidRPr="00A428C3">
        <w:t>hardness of groundwater. The results of these experiments were confirmed by two different models</w:t>
      </w:r>
      <w:r w:rsidR="00F81221">
        <w:t xml:space="preserve"> and </w:t>
      </w:r>
      <w:r w:rsidRPr="00A428C3">
        <w:t>sorption areas. Therefore, the ionic strength</w:t>
      </w:r>
      <w:r w:rsidR="00F81221">
        <w:t xml:space="preserve"> and </w:t>
      </w:r>
      <w:r w:rsidRPr="00A428C3">
        <w:t>hardness of groundwater must be considered in the remediation of TCE-contaminated groundwater using GAC.</w:t>
      </w:r>
    </w:p>
    <w:p w:rsidR="00B95188" w:rsidRPr="00A428C3" w:rsidRDefault="00B95188" w:rsidP="00B95188">
      <w:pPr>
        <w:pStyle w:val="a0"/>
      </w:pPr>
      <w:r w:rsidRPr="00A428C3">
        <w:t>Keywords: Ionic Strength, Hardness, TCE, Remediation, GAC, Volatile Organic-Compounds, Aqueous-Solutions, Simultaneous Adsorption, Surface-Chemistry, Drinking-Water, Bone Char, Removal, Sorption, Fibers, Coefficient</w:t>
      </w:r>
    </w:p>
    <w:p w:rsidR="00B95188" w:rsidRPr="00A428C3" w:rsidRDefault="00B95188" w:rsidP="00B95188">
      <w:pPr>
        <w:pStyle w:val="1"/>
      </w:pPr>
      <w:r w:rsidRPr="00A428C3">
        <w:br w:type="page"/>
      </w:r>
      <w:bookmarkStart w:id="342" w:name="_Toc186647724"/>
      <w:bookmarkStart w:id="343" w:name="_Toc317160932"/>
      <w:r w:rsidRPr="00A428C3">
        <w:lastRenderedPageBreak/>
        <w:t>Title: Geotimes</w:t>
      </w:r>
      <w:bookmarkEnd w:id="342"/>
      <w:bookmarkEnd w:id="343"/>
    </w:p>
    <w:p w:rsidR="00B95188" w:rsidRPr="00A428C3" w:rsidRDefault="00B95188" w:rsidP="00B72EF9">
      <w:pPr>
        <w:pStyle w:val="12"/>
      </w:pPr>
      <w:r w:rsidRPr="00A428C3">
        <w:t>Full Journal Title: Geotimes</w:t>
      </w:r>
    </w:p>
    <w:p w:rsidR="00B95188" w:rsidRPr="00A428C3" w:rsidRDefault="00B95188" w:rsidP="00B72EF9">
      <w:pPr>
        <w:pStyle w:val="12"/>
      </w:pPr>
      <w:r w:rsidRPr="00A428C3">
        <w:t>ISO Abbreviated Title: Geotimes</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0016-8556</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Amer Geological Inst, </w:t>
      </w:r>
      <w:smartTag w:uri="urn:schemas-microsoft-com:office:smarttags" w:element="place">
        <w:smartTag w:uri="urn:schemas-microsoft-com:office:smarttags" w:element="City">
          <w:r w:rsidRPr="00A428C3">
            <w:t>Alexandria</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4220 King St</w:t>
          </w:r>
        </w:smartTag>
        <w:r w:rsidRPr="00A428C3">
          <w:t xml:space="preserve">, </w:t>
        </w:r>
        <w:smartTag w:uri="urn:schemas-microsoft-com:office:smarttags" w:element="City">
          <w:r w:rsidRPr="00A428C3">
            <w:t>Alexandria</w:t>
          </w:r>
        </w:smartTag>
        <w:r w:rsidRPr="00A428C3">
          <w:t xml:space="preserve">, </w:t>
        </w:r>
        <w:smartTag w:uri="urn:schemas-microsoft-com:office:smarttags" w:element="State">
          <w:r w:rsidRPr="00A428C3">
            <w:t>Va</w:t>
          </w:r>
        </w:smartTag>
        <w:r w:rsidRPr="00A428C3">
          <w:t xml:space="preserve"> </w:t>
        </w:r>
        <w:smartTag w:uri="urn:schemas-microsoft-com:office:smarttags" w:element="PostalCode">
          <w:r w:rsidRPr="00A428C3">
            <w:t>22302-1507</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Geosciences, interdisciplinary: Impact Factor 0.096, / (2000)</w:t>
      </w:r>
    </w:p>
    <w:p w:rsidR="00B95188" w:rsidRPr="00A428C3" w:rsidRDefault="00B95188" w:rsidP="00B95188">
      <w:pPr>
        <w:pStyle w:val="a0"/>
      </w:pPr>
      <w:r w:rsidRPr="00A428C3">
        <w:t xml:space="preserve">? (2001), Bottled water from the well. </w:t>
      </w:r>
      <w:r w:rsidRPr="00A428C3">
        <w:rPr>
          <w:i/>
          <w:iCs/>
        </w:rPr>
        <w:t>Geotimes</w:t>
      </w:r>
      <w:r w:rsidRPr="00A428C3">
        <w:t xml:space="preserve">, </w:t>
      </w:r>
      <w:r w:rsidRPr="00A428C3">
        <w:rPr>
          <w:b/>
        </w:rPr>
        <w:t>46</w:t>
      </w:r>
      <w:r w:rsidRPr="00A428C3">
        <w:t xml:space="preserve"> (10), 29.</w:t>
      </w:r>
    </w:p>
    <w:p w:rsidR="00AB5961" w:rsidRPr="00A428C3" w:rsidRDefault="00AB5961" w:rsidP="00AB5961">
      <w:pPr>
        <w:pStyle w:val="1"/>
      </w:pPr>
      <w:r w:rsidRPr="00A428C3">
        <w:br w:type="page"/>
      </w:r>
      <w:bookmarkStart w:id="344" w:name="_Toc186647710"/>
      <w:bookmarkStart w:id="345" w:name="_Toc317160933"/>
      <w:r w:rsidRPr="00A428C3">
        <w:lastRenderedPageBreak/>
        <w:t>Title: Geriatric Nursing</w:t>
      </w:r>
      <w:bookmarkEnd w:id="344"/>
      <w:bookmarkEnd w:id="345"/>
    </w:p>
    <w:p w:rsidR="00AB5961" w:rsidRPr="00A428C3" w:rsidRDefault="00AB5961" w:rsidP="00AB5961">
      <w:pPr>
        <w:pStyle w:val="12"/>
      </w:pPr>
      <w:r w:rsidRPr="00A428C3">
        <w:t xml:space="preserve">Full Journal Title: </w:t>
      </w:r>
      <w:hyperlink r:id="rId466" w:history="1">
        <w:r w:rsidRPr="00A428C3">
          <w:rPr>
            <w:rStyle w:val="a5"/>
          </w:rPr>
          <w:t>Geriatric Nursing</w:t>
        </w:r>
      </w:hyperlink>
    </w:p>
    <w:p w:rsidR="00AB5961" w:rsidRPr="00A428C3" w:rsidRDefault="00AB5961" w:rsidP="00AB5961">
      <w:pPr>
        <w:pStyle w:val="12"/>
      </w:pPr>
      <w:r w:rsidRPr="00A428C3">
        <w:t>ISO Abbreviated Title: Geriatr. Nurs.</w:t>
      </w:r>
    </w:p>
    <w:p w:rsidR="00AB5961" w:rsidRPr="00A428C3" w:rsidRDefault="00AB5961" w:rsidP="00AB5961">
      <w:pPr>
        <w:pStyle w:val="12"/>
      </w:pPr>
      <w:r w:rsidRPr="00A428C3">
        <w:t>JCR Abbreviated Title: Geriatr Nurs</w:t>
      </w:r>
    </w:p>
    <w:p w:rsidR="00AB5961" w:rsidRPr="00A428C3" w:rsidRDefault="00AB5961" w:rsidP="00AB5961">
      <w:pPr>
        <w:pStyle w:val="12"/>
      </w:pPr>
      <w:r w:rsidRPr="00A428C3">
        <w:t>ISSN: 0197-4572</w:t>
      </w:r>
    </w:p>
    <w:p w:rsidR="00AB5961" w:rsidRPr="00A428C3" w:rsidRDefault="00AB5961" w:rsidP="00AB5961">
      <w:pPr>
        <w:pStyle w:val="12"/>
      </w:pPr>
      <w:r w:rsidRPr="00A428C3">
        <w:t>Issues/Year: 6</w:t>
      </w:r>
    </w:p>
    <w:p w:rsidR="00AB5961" w:rsidRPr="00A428C3" w:rsidRDefault="00AB5961" w:rsidP="00AB5961">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AB5961" w:rsidRPr="00A428C3" w:rsidRDefault="00AB5961" w:rsidP="00AB5961">
      <w:pPr>
        <w:pStyle w:val="12"/>
      </w:pPr>
      <w:r w:rsidRPr="00A428C3">
        <w:t>Language: English</w:t>
      </w:r>
    </w:p>
    <w:p w:rsidR="00AB5961" w:rsidRPr="00A428C3" w:rsidRDefault="00AB5961" w:rsidP="00AB5961">
      <w:pPr>
        <w:pStyle w:val="12"/>
      </w:pPr>
      <w:r w:rsidRPr="00A428C3">
        <w:t>Publisher: Mosby, Inc</w:t>
      </w:r>
    </w:p>
    <w:p w:rsidR="00AB5961" w:rsidRPr="00A428C3" w:rsidRDefault="00AB5961" w:rsidP="00AB5961">
      <w:pPr>
        <w:pStyle w:val="12"/>
      </w:pPr>
      <w:r w:rsidRPr="00A428C3">
        <w:t xml:space="preserve">Publisher Address: </w:t>
      </w:r>
      <w:smartTag w:uri="urn:schemas-microsoft-com:office:smarttags" w:element="address">
        <w:smartTag w:uri="urn:schemas-microsoft-com:office:smarttags" w:element="Street">
          <w:r w:rsidRPr="00A428C3">
            <w:t>11830 Westline Industrial Dr</w:t>
          </w:r>
        </w:smartTag>
        <w:r w:rsidRPr="00A428C3">
          <w:t xml:space="preserve">, </w:t>
        </w:r>
        <w:smartTag w:uri="urn:schemas-microsoft-com:office:smarttags" w:element="City">
          <w:r w:rsidRPr="00A428C3">
            <w:t>ST Louis</w:t>
          </w:r>
        </w:smartTag>
        <w:r w:rsidRPr="00A428C3">
          <w:t xml:space="preserve">, </w:t>
        </w:r>
        <w:smartTag w:uri="urn:schemas-microsoft-com:office:smarttags" w:element="State">
          <w:r w:rsidRPr="00A428C3">
            <w:t>MO</w:t>
          </w:r>
        </w:smartTag>
        <w:r w:rsidRPr="00A428C3">
          <w:t xml:space="preserve"> </w:t>
        </w:r>
        <w:smartTag w:uri="urn:schemas-microsoft-com:office:smarttags" w:element="PostalCode">
          <w:r w:rsidRPr="00A428C3">
            <w:t>63146-3318</w:t>
          </w:r>
        </w:smartTag>
      </w:smartTag>
    </w:p>
    <w:p w:rsidR="00AB5961" w:rsidRPr="00A428C3" w:rsidRDefault="00AB5961" w:rsidP="00AB5961">
      <w:pPr>
        <w:pStyle w:val="12"/>
      </w:pPr>
      <w:r w:rsidRPr="00A428C3">
        <w:t>Subject Categories:</w:t>
      </w:r>
    </w:p>
    <w:p w:rsidR="00AB5961" w:rsidRPr="00A428C3" w:rsidRDefault="00AB5961" w:rsidP="00AB5961">
      <w:pPr>
        <w:pStyle w:val="12"/>
      </w:pPr>
      <w:r w:rsidRPr="00A428C3">
        <w:t>Gerontology: Impact Factor 0.132, / (2001)</w:t>
      </w:r>
    </w:p>
    <w:p w:rsidR="00AB5961" w:rsidRPr="00A428C3" w:rsidRDefault="00AB5961" w:rsidP="00AB5961">
      <w:pPr>
        <w:pStyle w:val="12"/>
      </w:pPr>
      <w:r w:rsidRPr="00A428C3">
        <w:t>Nursing: Impact Factor 0.132, / (2001)</w:t>
      </w:r>
    </w:p>
    <w:p w:rsidR="00AB5961" w:rsidRPr="00A428C3" w:rsidRDefault="00AB5961" w:rsidP="00AB5961">
      <w:pPr>
        <w:pStyle w:val="a0"/>
      </w:pPr>
      <w:r w:rsidRPr="00A428C3">
        <w:t xml:space="preserve">? (2003), Advice regarding the SARS outbreak. </w:t>
      </w:r>
      <w:r w:rsidRPr="00A428C3">
        <w:rPr>
          <w:i/>
          <w:iCs/>
        </w:rPr>
        <w:t>Geriatric Nursing</w:t>
      </w:r>
      <w:r w:rsidRPr="00A428C3">
        <w:t xml:space="preserve">, </w:t>
      </w:r>
      <w:r w:rsidRPr="00A428C3">
        <w:rPr>
          <w:b/>
        </w:rPr>
        <w:t>24</w:t>
      </w:r>
      <w:r w:rsidRPr="00A428C3">
        <w:t xml:space="preserve"> (2), 73.</w:t>
      </w:r>
    </w:p>
    <w:p w:rsidR="00AB5961" w:rsidRDefault="00AB5961" w:rsidP="00AB5961">
      <w:pPr>
        <w:pStyle w:val="a0"/>
        <w:rPr>
          <w:kern w:val="0"/>
        </w:rPr>
      </w:pPr>
      <w:r>
        <w:rPr>
          <w:rFonts w:hint="eastAsia"/>
          <w:kern w:val="0"/>
        </w:rPr>
        <w:t xml:space="preserve">Full Text: </w:t>
      </w:r>
      <w:r>
        <w:rPr>
          <w:kern w:val="0"/>
        </w:rPr>
        <w:t>20</w:t>
      </w:r>
      <w:r>
        <w:rPr>
          <w:rFonts w:hint="eastAsia"/>
          <w:kern w:val="0"/>
        </w:rPr>
        <w:t>03</w:t>
      </w:r>
      <w:r>
        <w:rPr>
          <w:kern w:val="0"/>
        </w:rPr>
        <w:t>\Ger Nur</w:t>
      </w:r>
      <w:r>
        <w:rPr>
          <w:rFonts w:hint="eastAsia"/>
          <w:kern w:val="0"/>
        </w:rPr>
        <w:t>24</w:t>
      </w:r>
      <w:r>
        <w:rPr>
          <w:kern w:val="0"/>
        </w:rPr>
        <w:t xml:space="preserve">, </w:t>
      </w:r>
      <w:r>
        <w:rPr>
          <w:rFonts w:hint="eastAsia"/>
          <w:kern w:val="0"/>
        </w:rPr>
        <w:t>73</w:t>
      </w:r>
      <w:r w:rsidRPr="008170AE">
        <w:rPr>
          <w:kern w:val="0"/>
        </w:rPr>
        <w:t>.pdf</w:t>
      </w:r>
    </w:p>
    <w:p w:rsidR="00AB5961" w:rsidRDefault="00AB5961" w:rsidP="00AB5961">
      <w:pPr>
        <w:pStyle w:val="a0"/>
        <w:rPr>
          <w:kern w:val="0"/>
        </w:rPr>
      </w:pPr>
      <w:r>
        <w:rPr>
          <w:rFonts w:hint="eastAsia"/>
          <w:kern w:val="0"/>
        </w:rPr>
        <w:t xml:space="preserve">? </w:t>
      </w:r>
      <w:r>
        <w:rPr>
          <w:kern w:val="0"/>
        </w:rPr>
        <w:t>Al-Zadjali, M., Keller, C., Larkey, L.K.</w:t>
      </w:r>
      <w:r w:rsidR="00F81221">
        <w:rPr>
          <w:kern w:val="0"/>
        </w:rPr>
        <w:t xml:space="preserve"> and </w:t>
      </w:r>
      <w:r>
        <w:rPr>
          <w:kern w:val="0"/>
        </w:rPr>
        <w:t xml:space="preserve">Albertini, L. (2010), Evaluation of intervention research in weight reduction in post menopausal women. </w:t>
      </w:r>
      <w:r>
        <w:rPr>
          <w:i/>
          <w:iCs/>
          <w:kern w:val="0"/>
        </w:rPr>
        <w:t>Geriatric Nursing</w:t>
      </w:r>
      <w:r>
        <w:rPr>
          <w:kern w:val="0"/>
        </w:rPr>
        <w:t xml:space="preserve">, </w:t>
      </w:r>
      <w:r>
        <w:rPr>
          <w:b/>
          <w:bCs/>
          <w:kern w:val="0"/>
        </w:rPr>
        <w:t>31</w:t>
      </w:r>
      <w:r>
        <w:rPr>
          <w:kern w:val="0"/>
        </w:rPr>
        <w:t xml:space="preserve"> (6), 419-434.</w:t>
      </w:r>
    </w:p>
    <w:p w:rsidR="00AB5961" w:rsidRDefault="00AB5961" w:rsidP="00AB5961">
      <w:pPr>
        <w:pStyle w:val="a0"/>
        <w:rPr>
          <w:kern w:val="0"/>
        </w:rPr>
      </w:pPr>
      <w:r>
        <w:rPr>
          <w:rFonts w:hint="eastAsia"/>
          <w:kern w:val="0"/>
        </w:rPr>
        <w:t xml:space="preserve">Full Text: </w:t>
      </w:r>
      <w:hyperlink r:id="rId467" w:history="1">
        <w:r w:rsidRPr="004A3B0D">
          <w:rPr>
            <w:rStyle w:val="a5"/>
            <w:kern w:val="0"/>
          </w:rPr>
          <w:t>2011\Ger Nur31, 419.pdf</w:t>
        </w:r>
      </w:hyperlink>
    </w:p>
    <w:p w:rsidR="00AB5961" w:rsidRDefault="00AB5961" w:rsidP="00AB5961">
      <w:pPr>
        <w:pStyle w:val="a0"/>
        <w:rPr>
          <w:kern w:val="0"/>
        </w:rPr>
      </w:pPr>
      <w:r>
        <w:rPr>
          <w:kern w:val="0"/>
        </w:rPr>
        <w:t>Abstract: To describe the evidence that has accrued for interventions targeting weight loss in postmenopausal women,</w:t>
      </w:r>
      <w:r w:rsidR="00F81221">
        <w:rPr>
          <w:kern w:val="0"/>
        </w:rPr>
        <w:t xml:space="preserve"> and </w:t>
      </w:r>
      <w:r>
        <w:rPr>
          <w:kern w:val="0"/>
        </w:rPr>
        <w:t>to assess the strengths</w:t>
      </w:r>
      <w:r w:rsidR="00F81221">
        <w:rPr>
          <w:kern w:val="0"/>
        </w:rPr>
        <w:t xml:space="preserve"> and </w:t>
      </w:r>
      <w:r>
        <w:rPr>
          <w:kern w:val="0"/>
        </w:rPr>
        <w:t>limitations of weight loss interventions in postmenopausal women using the framework of evaluation theory, including definition of the problem</w:t>
      </w:r>
      <w:r w:rsidR="00F81221">
        <w:rPr>
          <w:kern w:val="0"/>
        </w:rPr>
        <w:t xml:space="preserve"> and </w:t>
      </w:r>
      <w:r>
        <w:rPr>
          <w:kern w:val="0"/>
        </w:rPr>
        <w:t>the use of theoretical framework</w:t>
      </w:r>
      <w:r w:rsidR="00F81221">
        <w:rPr>
          <w:kern w:val="0"/>
        </w:rPr>
        <w:t xml:space="preserve"> and </w:t>
      </w:r>
      <w:r>
        <w:rPr>
          <w:kern w:val="0"/>
        </w:rPr>
        <w:t>mediators. Electronic databases were used, including CINAHL, EBSCO Host, Google scholar, Medline,</w:t>
      </w:r>
      <w:r w:rsidR="00F81221">
        <w:rPr>
          <w:kern w:val="0"/>
        </w:rPr>
        <w:t xml:space="preserve"> and </w:t>
      </w:r>
      <w:r>
        <w:rPr>
          <w:kern w:val="0"/>
        </w:rPr>
        <w:t>the Science Citation Index, Expanded, in the Web of Science from 1995 to December 2009. Keyword searches included the terms obesity, obese, overweight, menopause,</w:t>
      </w:r>
      <w:r w:rsidR="00F81221">
        <w:rPr>
          <w:kern w:val="0"/>
        </w:rPr>
        <w:t xml:space="preserve"> and </w:t>
      </w:r>
      <w:r>
        <w:rPr>
          <w:kern w:val="0"/>
        </w:rPr>
        <w:t>weight management interventions. Searches were combined to find reports addressing 1 or more keywords. Experimental design studies that examined physical activity or dietary intervention effects on weight loss or body composition changes in postmenopausal women were selected for review. Reports of 15 intervention studies met inclusion criteria from the list of 120 generated through the database searches. Each article was evaluated for 1) effects produced as a result of the intervention, 2) the characteristics of the problem of postmenopausal obesity, 3) specification of theoretical constructs</w:t>
      </w:r>
      <w:r w:rsidR="00F81221">
        <w:rPr>
          <w:kern w:val="0"/>
        </w:rPr>
        <w:t xml:space="preserve"> and </w:t>
      </w:r>
      <w:r>
        <w:rPr>
          <w:kern w:val="0"/>
        </w:rPr>
        <w:t>critical inputs that guide the design of an intervention,</w:t>
      </w:r>
      <w:r w:rsidR="00F81221">
        <w:rPr>
          <w:kern w:val="0"/>
        </w:rPr>
        <w:t xml:space="preserve"> and </w:t>
      </w:r>
      <w:r>
        <w:rPr>
          <w:kern w:val="0"/>
        </w:rPr>
        <w:t>4) link of the iheoretical predictors</w:t>
      </w:r>
      <w:r w:rsidR="00F81221">
        <w:rPr>
          <w:kern w:val="0"/>
        </w:rPr>
        <w:t xml:space="preserve"> and </w:t>
      </w:r>
      <w:r>
        <w:rPr>
          <w:kern w:val="0"/>
        </w:rPr>
        <w:t xml:space="preserve">the outcome measures selected. Four types of interventions were tested in the 15 research reports. Only 5 of the 15 used theories or models to guide the intervenions. </w:t>
      </w:r>
      <w:r>
        <w:rPr>
          <w:kern w:val="0"/>
        </w:rPr>
        <w:lastRenderedPageBreak/>
        <w:t>All of the interventions resulted in some positive weight management outcome, such as lowered body mass index, fat mass, waist circumference, systolic blood pressure, glucose,</w:t>
      </w:r>
      <w:r w:rsidR="00F81221">
        <w:rPr>
          <w:kern w:val="0"/>
        </w:rPr>
        <w:t xml:space="preserve"> and </w:t>
      </w:r>
      <w:r>
        <w:rPr>
          <w:kern w:val="0"/>
        </w:rPr>
        <w:t>cholesterol. Overall, the reviewed research showed efficacy of varying intensities of exercise when combined with hypocaloric diet or meal replacement therapy in producing low body weight, low fat, improved insulin sensitivity, glycemic control,</w:t>
      </w:r>
      <w:r w:rsidR="00F81221">
        <w:rPr>
          <w:kern w:val="0"/>
        </w:rPr>
        <w:t xml:space="preserve"> and </w:t>
      </w:r>
      <w:r>
        <w:rPr>
          <w:kern w:val="0"/>
        </w:rPr>
        <w:t>cardio-respiratory fitness. The external validity of the 15 studies was limited in reporting of a clear delineation of the problem, theoretical frameworks,</w:t>
      </w:r>
      <w:r w:rsidR="00F81221">
        <w:rPr>
          <w:kern w:val="0"/>
        </w:rPr>
        <w:t xml:space="preserve"> and </w:t>
      </w:r>
      <w:r>
        <w:rPr>
          <w:kern w:val="0"/>
        </w:rPr>
        <w:t>application of the findings. (Geriatr Nurs 2010;31:419-434).</w:t>
      </w:r>
    </w:p>
    <w:p w:rsidR="00AB5961" w:rsidRDefault="00AB5961" w:rsidP="00AB5961">
      <w:pPr>
        <w:pStyle w:val="a0"/>
        <w:rPr>
          <w:kern w:val="0"/>
        </w:rPr>
      </w:pPr>
      <w:r>
        <w:rPr>
          <w:kern w:val="0"/>
        </w:rPr>
        <w:t>Keywords: Application, Blood, Blood Pressure, Blood-Pressure, Body Composition, Body Mass Index, Body Weight, Cardiorespiratory Fitness, Changes, Characteristics, Cholesterol, Clinical-Trial, Composition, Control, Criteria, Database, Databases, Design, Diet, Disease Risk-Factors, Efficacy, Evaluation, Evidence, Exercise, Fat Loss, Fitness, Framework, Glucose, Glycemic Control, Index, Insulin, Insulin Sensitivity, Intervention, Intervention Effects, Intervention Studies, Interventions, Life-Style Intervention, Management, Menopause, Models, Obese, Obese Postmenopausal Women, Obesity, Older-Adults, Outcome, Outcome Measures, Overweight, Physical, Physical Activity, Physical-Activity, Postmenopausal, Postmenopausal Women, Predictors, Pressure, Randomized Controlled-Trial, Reduction, Replacement Therapy, Reporting, Research, Review, Science Citation Index, Sensitivity, Targeting, Theory, Therapy, Validity, Waist Circumference, Web of Science, Women</w:t>
      </w:r>
    </w:p>
    <w:p w:rsidR="00B95188" w:rsidRPr="00A428C3" w:rsidRDefault="00B95188" w:rsidP="00B95188">
      <w:pPr>
        <w:pStyle w:val="1"/>
      </w:pPr>
      <w:r w:rsidRPr="00A428C3">
        <w:br w:type="page"/>
      </w:r>
      <w:bookmarkStart w:id="346" w:name="_Toc186647725"/>
      <w:bookmarkStart w:id="347" w:name="_Toc317160934"/>
      <w:r w:rsidRPr="00A428C3">
        <w:lastRenderedPageBreak/>
        <w:t xml:space="preserve">Title: </w:t>
      </w:r>
      <w:r w:rsidRPr="00A428C3">
        <w:rPr>
          <w:iCs/>
        </w:rPr>
        <w:t>Geriatrika (</w:t>
      </w:r>
      <w:smartTag w:uri="urn:schemas-microsoft-com:office:smarttags" w:element="place">
        <w:smartTag w:uri="urn:schemas-microsoft-com:office:smarttags" w:element="State">
          <w:r w:rsidRPr="00A428C3">
            <w:rPr>
              <w:iCs/>
            </w:rPr>
            <w:t>Madrid</w:t>
          </w:r>
        </w:smartTag>
      </w:smartTag>
      <w:r w:rsidRPr="00A428C3">
        <w:rPr>
          <w:iCs/>
        </w:rPr>
        <w:t>)</w:t>
      </w:r>
      <w:bookmarkEnd w:id="346"/>
      <w:bookmarkEnd w:id="347"/>
    </w:p>
    <w:p w:rsidR="00B95188" w:rsidRPr="00A428C3" w:rsidRDefault="00B95188" w:rsidP="00B72EF9">
      <w:pPr>
        <w:pStyle w:val="12"/>
      </w:pPr>
      <w:r w:rsidRPr="00A428C3">
        <w:t xml:space="preserve">Full Journal Title: </w:t>
      </w:r>
      <w:r w:rsidRPr="00A428C3">
        <w:rPr>
          <w:iCs/>
        </w:rPr>
        <w:t>Geriatrika (</w:t>
      </w:r>
      <w:smartTag w:uri="urn:schemas-microsoft-com:office:smarttags" w:element="place">
        <w:smartTag w:uri="urn:schemas-microsoft-com:office:smarttags" w:element="State">
          <w:r w:rsidRPr="00A428C3">
            <w:rPr>
              <w:iCs/>
            </w:rPr>
            <w:t>Madrid</w:t>
          </w:r>
        </w:smartTag>
      </w:smartTag>
      <w:r w:rsidRPr="00A428C3">
        <w:rPr>
          <w:iCs/>
        </w:rPr>
        <w: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Salom, J., Trenor, C., Climent, </w:t>
      </w:r>
      <w:smartTag w:uri="urn:schemas-microsoft-com:office:smarttags" w:element="place">
        <w:r w:rsidRPr="00A428C3">
          <w:t>I.</w:t>
        </w:r>
      </w:smartTag>
      <w:r w:rsidRPr="00A428C3">
        <w:t>, Perez De Lucia, B.</w:t>
      </w:r>
      <w:r w:rsidR="00F81221">
        <w:t xml:space="preserve"> and </w:t>
      </w:r>
      <w:r w:rsidRPr="00A428C3">
        <w:t xml:space="preserve">Ruiz, L. (1998), Current bibliometric study on fall fractures in elderly. </w:t>
      </w:r>
      <w:r w:rsidRPr="00A428C3">
        <w:rPr>
          <w:i/>
          <w:iCs/>
        </w:rPr>
        <w:t>Geriatrika (</w:t>
      </w:r>
      <w:smartTag w:uri="urn:schemas-microsoft-com:office:smarttags" w:element="place">
        <w:smartTag w:uri="urn:schemas-microsoft-com:office:smarttags" w:element="State">
          <w:r w:rsidRPr="00A428C3">
            <w:rPr>
              <w:i/>
              <w:iCs/>
            </w:rPr>
            <w:t>Madrid</w:t>
          </w:r>
        </w:smartTag>
      </w:smartTag>
      <w:r w:rsidRPr="00A428C3">
        <w:rPr>
          <w:i/>
          <w:iCs/>
        </w:rPr>
        <w:t>)</w:t>
      </w:r>
      <w:r w:rsidRPr="00A428C3">
        <w:t xml:space="preserve">, </w:t>
      </w:r>
      <w:r w:rsidRPr="00A428C3">
        <w:rPr>
          <w:b/>
        </w:rPr>
        <w:t>14</w:t>
      </w:r>
      <w:r w:rsidRPr="00A428C3">
        <w:t xml:space="preserve"> (7), 61-64.</w:t>
      </w:r>
    </w:p>
    <w:p w:rsidR="00B95188" w:rsidRPr="00A428C3" w:rsidRDefault="00B95188" w:rsidP="00B95188">
      <w:pPr>
        <w:pStyle w:val="a0"/>
      </w:pPr>
      <w:r w:rsidRPr="00A428C3">
        <w:t>Abstract: The increasing interest about the falls in the elderly</w:t>
      </w:r>
      <w:r w:rsidR="00F81221">
        <w:t xml:space="preserve"> and </w:t>
      </w:r>
      <w:r w:rsidRPr="00A428C3">
        <w:t>their consequences, one of them is the hip fracture, obliged us to do a bibliometric study over the last 11 years, to see the incidence, interest,</w:t>
      </w:r>
      <w:r w:rsidR="00F81221">
        <w:t xml:space="preserve"> and </w:t>
      </w:r>
      <w:r w:rsidRPr="00A428C3">
        <w:t xml:space="preserve">evolution of the publications about this subject. In </w:t>
      </w:r>
      <w:smartTag w:uri="urn:schemas-microsoft-com:office:smarttags" w:element="country-region">
        <w:r w:rsidRPr="00A428C3">
          <w:t>Spain</w:t>
        </w:r>
      </w:smartTag>
      <w:r w:rsidRPr="00A428C3">
        <w:t xml:space="preserve">, in 1991, during the 2nd european congress of Gerontology, where the IPSEN Institute organized a symposium titled </w:t>
      </w:r>
      <w:r w:rsidR="000352E7">
        <w:t>“</w:t>
      </w:r>
      <w:r w:rsidRPr="00A428C3">
        <w:t>Falls in the Elderly</w:t>
      </w:r>
      <w:r w:rsidR="000352E7">
        <w:t>”</w:t>
      </w:r>
      <w:r w:rsidRPr="00A428C3">
        <w:t xml:space="preserve"> authors as </w:t>
      </w:r>
      <w:smartTag w:uri="urn:schemas-microsoft-com:office:smarttags" w:element="City">
        <w:r w:rsidRPr="00A428C3">
          <w:t>Tinetti</w:t>
        </w:r>
      </w:smartTag>
      <w:r w:rsidRPr="00A428C3">
        <w:t xml:space="preserve">, </w:t>
      </w:r>
      <w:smartTag w:uri="urn:schemas-microsoft-com:office:smarttags" w:element="State">
        <w:r w:rsidRPr="00A428C3">
          <w:t>M.E.</w:t>
        </w:r>
      </w:smartTag>
      <w:r w:rsidRPr="00A428C3">
        <w:t xml:space="preserve"> (</w:t>
      </w:r>
      <w:smartTag w:uri="urn:schemas-microsoft-com:office:smarttags" w:element="City">
        <w:r w:rsidRPr="00A428C3">
          <w:t>New Haven</w:t>
        </w:r>
      </w:smartTag>
      <w:r w:rsidRPr="00A428C3">
        <w:t xml:space="preserve">, </w:t>
      </w:r>
      <w:smartTag w:uri="urn:schemas-microsoft-com:office:smarttags" w:element="country-region">
        <w:r w:rsidRPr="00A428C3">
          <w:t>USA</w:t>
        </w:r>
      </w:smartTag>
      <w:r w:rsidRPr="00A428C3">
        <w:t>),</w:t>
      </w:r>
      <w:r w:rsidR="00F81221">
        <w:t xml:space="preserve"> and </w:t>
      </w:r>
      <w:r w:rsidRPr="00A428C3">
        <w:t>Rubinstein, L. Z. (</w:t>
      </w:r>
      <w:smartTag w:uri="urn:schemas-microsoft-com:office:smarttags" w:element="place">
        <w:smartTag w:uri="urn:schemas-microsoft-com:office:smarttags" w:element="City">
          <w:r w:rsidRPr="00A428C3">
            <w:t>Los Angeles</w:t>
          </w:r>
        </w:smartTag>
        <w:r w:rsidRPr="00A428C3">
          <w:t xml:space="preserve">, </w:t>
        </w:r>
        <w:smartTag w:uri="urn:schemas-microsoft-com:office:smarttags" w:element="country-region">
          <w:r w:rsidRPr="00A428C3">
            <w:t>USA</w:t>
          </w:r>
        </w:smartTag>
      </w:smartTag>
      <w:r w:rsidRPr="00A428C3">
        <w:t xml:space="preserve">) gave their first results about the fall risk factors. In the </w:t>
      </w:r>
      <w:smartTag w:uri="urn:schemas-microsoft-com:office:smarttags" w:element="PlaceType">
        <w:r w:rsidRPr="00A428C3">
          <w:t>university</w:t>
        </w:r>
      </w:smartTag>
      <w:r w:rsidRPr="00A428C3">
        <w:t xml:space="preserve"> of </w:t>
      </w:r>
      <w:smartTag w:uri="urn:schemas-microsoft-com:office:smarttags" w:element="PlaceName">
        <w:r w:rsidRPr="00A428C3">
          <w:t>new mexico</w:t>
        </w:r>
      </w:smartTag>
      <w:r w:rsidRPr="00A428C3">
        <w:t xml:space="preserve"> (</w:t>
      </w:r>
      <w:smartTag w:uri="urn:schemas-microsoft-com:office:smarttags" w:element="country-region">
        <w:r w:rsidRPr="00A428C3">
          <w:t>USA</w:t>
        </w:r>
      </w:smartTag>
      <w:r w:rsidRPr="00A428C3">
        <w:t>), since 1979 its been developed the survey Aging process Study</w:t>
      </w:r>
      <w:r w:rsidR="000352E7">
        <w:t>”</w:t>
      </w:r>
      <w:r w:rsidRPr="00A428C3">
        <w:t xml:space="preserve"> with a longitudinal study of the aging of 304 people older than 60 years (Gary, P., </w:t>
      </w:r>
      <w:smartTag w:uri="urn:schemas-microsoft-com:office:smarttags" w:element="place">
        <w:smartTag w:uri="urn:schemas-microsoft-com:office:smarttags" w:element="City">
          <w:r w:rsidRPr="00A428C3">
            <w:t>Albuquerque</w:t>
          </w:r>
        </w:smartTag>
        <w:r w:rsidRPr="00A428C3">
          <w:t xml:space="preserve">, </w:t>
        </w:r>
        <w:smartTag w:uri="urn:schemas-microsoft-com:office:smarttags" w:element="country-region">
          <w:r w:rsidRPr="00A428C3">
            <w:t>USA</w:t>
          </w:r>
        </w:smartTag>
      </w:smartTag>
      <w:r w:rsidRPr="00A428C3">
        <w:t>). This study encouraged professor Vellas, b. (</w:t>
      </w:r>
      <w:smartTag w:uri="urn:schemas-microsoft-com:office:smarttags" w:element="City">
        <w:r w:rsidRPr="00A428C3">
          <w:t>Toulouse</w:t>
        </w:r>
      </w:smartTag>
      <w:r w:rsidRPr="00A428C3">
        <w:t xml:space="preserve">, </w:t>
      </w:r>
      <w:smartTag w:uri="urn:schemas-microsoft-com:office:smarttags" w:element="place">
        <w:smartTag w:uri="urn:schemas-microsoft-com:office:smarttags" w:element="country-region">
          <w:r w:rsidRPr="00A428C3">
            <w:t>france</w:t>
          </w:r>
        </w:smartTag>
      </w:smartTag>
      <w:r w:rsidRPr="00A428C3">
        <w:t>)</w:t>
      </w:r>
      <w:r w:rsidR="00F81221">
        <w:t xml:space="preserve"> and </w:t>
      </w:r>
      <w:r w:rsidRPr="00A428C3">
        <w:t>his colleagues to join this work. In the 2nd European congress of Gerontology the authors more interested in the prevention of the prevention of hip fractures, were Nevitt, M. (San Francisco, USA)</w:t>
      </w:r>
      <w:r w:rsidR="00F81221">
        <w:t xml:space="preserve"> and </w:t>
      </w:r>
      <w:r w:rsidRPr="00A428C3">
        <w:t xml:space="preserve">Perrit, H. (Saint Louis, USA). We did a search in the Medline database with the following keywords: </w:t>
      </w:r>
      <w:r w:rsidR="000352E7">
        <w:t>“</w:t>
      </w:r>
      <w:r w:rsidRPr="00A428C3">
        <w:t>Fall</w:t>
      </w:r>
      <w:r w:rsidR="00F81221">
        <w:t xml:space="preserve"> and </w:t>
      </w:r>
      <w:r w:rsidRPr="00A428C3">
        <w:t>Hip</w:t>
      </w:r>
      <w:r w:rsidR="00F81221">
        <w:t xml:space="preserve"> and </w:t>
      </w:r>
      <w:r w:rsidRPr="00A428C3">
        <w:t>Fracture</w:t>
      </w:r>
      <w:r w:rsidR="000352E7">
        <w:t>”</w:t>
      </w:r>
      <w:r w:rsidRPr="00A428C3">
        <w:t xml:space="preserve">, </w:t>
      </w:r>
      <w:r w:rsidR="000352E7">
        <w:t>“</w:t>
      </w:r>
      <w:r w:rsidRPr="00A428C3">
        <w:t>Fall</w:t>
      </w:r>
      <w:r w:rsidR="00F81221">
        <w:t xml:space="preserve"> and </w:t>
      </w:r>
      <w:r w:rsidRPr="00A428C3">
        <w:t>Fracture</w:t>
      </w:r>
      <w:r w:rsidR="000352E7">
        <w:t>”</w:t>
      </w:r>
      <w:r w:rsidRPr="00A428C3">
        <w:t xml:space="preserve">, </w:t>
      </w:r>
      <w:r w:rsidR="000352E7">
        <w:t>“</w:t>
      </w:r>
      <w:r w:rsidRPr="00A428C3">
        <w:t>Fall</w:t>
      </w:r>
      <w:r w:rsidR="00F81221">
        <w:t xml:space="preserve"> and </w:t>
      </w:r>
      <w:r w:rsidRPr="00A428C3">
        <w:t>Elderly</w:t>
      </w:r>
      <w:r w:rsidR="000352E7">
        <w:t>”</w:t>
      </w:r>
      <w:r w:rsidRPr="00A428C3">
        <w:t>, with the goal of doing a retrospective study of the last 11 years</w:t>
      </w:r>
      <w:r w:rsidR="00F81221">
        <w:t xml:space="preserve"> and </w:t>
      </w:r>
      <w:r w:rsidRPr="00A428C3">
        <w:t>to assess the subject in the literature, so as the most important authors, sites</w:t>
      </w:r>
      <w:r w:rsidR="00F81221">
        <w:t xml:space="preserve"> and </w:t>
      </w:r>
      <w:r w:rsidRPr="00A428C3">
        <w:t>reviews who have shown more interest about the issue. We analyze the behavior of the subject using the bibliometry laws.</w:t>
      </w:r>
    </w:p>
    <w:p w:rsidR="00B95188" w:rsidRPr="00A428C3" w:rsidRDefault="00B95188" w:rsidP="00B95188">
      <w:pPr>
        <w:pStyle w:val="1"/>
      </w:pPr>
      <w:r w:rsidRPr="00A428C3">
        <w:br w:type="page"/>
      </w:r>
      <w:bookmarkStart w:id="348" w:name="_Toc489709734"/>
      <w:bookmarkStart w:id="349" w:name="_Toc490687992"/>
      <w:bookmarkStart w:id="350" w:name="_Toc492807652"/>
      <w:bookmarkStart w:id="351" w:name="_Toc186647726"/>
      <w:bookmarkStart w:id="352" w:name="_Toc317160935"/>
      <w:r w:rsidRPr="00A428C3">
        <w:lastRenderedPageBreak/>
        <w:t>Title: Gerodontology</w:t>
      </w:r>
      <w:bookmarkEnd w:id="348"/>
      <w:bookmarkEnd w:id="349"/>
      <w:bookmarkEnd w:id="350"/>
      <w:bookmarkEnd w:id="351"/>
      <w:bookmarkEnd w:id="352"/>
    </w:p>
    <w:p w:rsidR="00B95188" w:rsidRPr="00A428C3" w:rsidRDefault="00B95188" w:rsidP="00B72EF9">
      <w:pPr>
        <w:pStyle w:val="12"/>
      </w:pPr>
      <w:r w:rsidRPr="00A428C3">
        <w:t>Full Journal Title: Gerodontology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Kato, S., Nakagaki, H., </w:t>
      </w:r>
      <w:smartTag w:uri="urn:schemas-microsoft-com:office:smarttags" w:element="place">
        <w:smartTag w:uri="urn:schemas-microsoft-com:office:smarttags" w:element="City">
          <w:r w:rsidRPr="00A428C3">
            <w:t>Toyama</w:t>
          </w:r>
        </w:smartTag>
      </w:smartTag>
      <w:r w:rsidRPr="00A428C3">
        <w:t>, Y., Kanayama, T., Arai, M., Togari, A., Matsumoto, S., Strong, M.</w:t>
      </w:r>
      <w:r w:rsidR="00F81221">
        <w:t xml:space="preserve"> and </w:t>
      </w:r>
      <w:r w:rsidRPr="00A428C3">
        <w:t>Robinson, C. (1997), Fluoride profiles in the cementum</w:t>
      </w:r>
      <w:r w:rsidR="00F81221">
        <w:t xml:space="preserve"> and </w:t>
      </w:r>
      <w:r w:rsidRPr="00A428C3">
        <w:t>root dentine of human permanent anterior teeth extracted from adult residents in a naturally fluoridated</w:t>
      </w:r>
      <w:r w:rsidR="00F81221">
        <w:t xml:space="preserve"> and </w:t>
      </w:r>
      <w:r w:rsidRPr="00A428C3">
        <w:t xml:space="preserve">a non-fluoridated area. </w:t>
      </w:r>
      <w:r w:rsidRPr="00A428C3">
        <w:rPr>
          <w:i/>
        </w:rPr>
        <w:t>Gerodontology</w:t>
      </w:r>
      <w:r w:rsidRPr="00A428C3">
        <w:t xml:space="preserve">, </w:t>
      </w:r>
      <w:r w:rsidRPr="00A428C3">
        <w:rPr>
          <w:b/>
        </w:rPr>
        <w:t>14</w:t>
      </w:r>
      <w:r w:rsidRPr="00A428C3">
        <w:t xml:space="preserve"> (1), 1-8.</w:t>
      </w:r>
    </w:p>
    <w:p w:rsidR="00B95188" w:rsidRPr="00A428C3" w:rsidRDefault="00B95188" w:rsidP="00B95188">
      <w:pPr>
        <w:pStyle w:val="a0"/>
      </w:pPr>
      <w:r w:rsidRPr="00A428C3">
        <w:t>Abstract: OBJECTIVES: To determine the effect of water fluoride concentration on the fluoride profile across the entire thickness of the cementum</w:t>
      </w:r>
      <w:r w:rsidR="00F81221">
        <w:t xml:space="preserve"> and </w:t>
      </w:r>
      <w:r w:rsidRPr="00A428C3">
        <w:t xml:space="preserve">root dentine of human permanent anterior teeth in adults. SUBJECTS: Twenty-eight human permanent anterior teeth from individuals aged from 30 to over 60 years were studied. SETTING: Teeth were obtained from a natural high-fluoride area (West Hartle-pool, </w:t>
      </w:r>
      <w:smartTag w:uri="urn:schemas-microsoft-com:office:smarttags" w:element="country-region">
        <w:r w:rsidRPr="00A428C3">
          <w:t>UK</w:t>
        </w:r>
      </w:smartTag>
      <w:r w:rsidRPr="00A428C3">
        <w:t>; 1.0-1.3 ppm F in drinking water, WHP)</w:t>
      </w:r>
      <w:r w:rsidR="00F81221">
        <w:t xml:space="preserve"> and </w:t>
      </w:r>
      <w:r w:rsidRPr="00A428C3">
        <w:t>the other from a non-fluoridated naturally low fluoride area (</w:t>
      </w:r>
      <w:smartTag w:uri="urn:schemas-microsoft-com:office:smarttags" w:element="place">
        <w:smartTag w:uri="urn:schemas-microsoft-com:office:smarttags" w:element="City">
          <w:r w:rsidRPr="00A428C3">
            <w:t>Leeds</w:t>
          </w:r>
        </w:smartTag>
        <w:r w:rsidRPr="00A428C3">
          <w:t xml:space="preserve">, </w:t>
        </w:r>
        <w:smartTag w:uri="urn:schemas-microsoft-com:office:smarttags" w:element="country-region">
          <w:r w:rsidRPr="00A428C3">
            <w:t>UK</w:t>
          </w:r>
        </w:smartTag>
      </w:smartTag>
      <w:r w:rsidRPr="00A428C3">
        <w:t>; 0.1 ppm F in drinking water, LDS). DESIGN: Cementum</w:t>
      </w:r>
      <w:r w:rsidR="00F81221">
        <w:t xml:space="preserve"> and </w:t>
      </w:r>
      <w:r w:rsidRPr="00A428C3">
        <w:t>root dentine were sampled using an abrasive micro-sampling technique from the cementum surface to the pulpal surface of root dentine. RESULTS: Fluoride concentration was higher in tooth roots (the cementum</w:t>
      </w:r>
      <w:r w:rsidR="00F81221">
        <w:t xml:space="preserve"> and </w:t>
      </w:r>
      <w:r w:rsidRPr="00A428C3">
        <w:t>dentine) taken from the naturally fluoridated area (WHP) than from the non-fluoridated area (LDS). Age</w:t>
      </w:r>
      <w:r w:rsidR="00F81221">
        <w:t xml:space="preserve"> and </w:t>
      </w:r>
      <w:r w:rsidRPr="00A428C3">
        <w:t>average fluoride concentration showed a positive correlation in WHP dentine, middle region of the root (r = 0.78, P &lt; 0.001)</w:t>
      </w:r>
      <w:r w:rsidR="00F81221">
        <w:t xml:space="preserve"> and </w:t>
      </w:r>
      <w:r w:rsidRPr="00A428C3">
        <w:t>in the apical region of the root (r = 0.61, P &lt; 0.05). WHP cementum had the strongest fluoride concentration correlation with age in the cervical region of the root (r = 0.67, P &lt; 0.01). An analysis of variance (ANOVA) showed that the area (water fluoride content), age</w:t>
      </w:r>
      <w:r w:rsidR="00F81221">
        <w:t xml:space="preserve"> and </w:t>
      </w:r>
      <w:r w:rsidRPr="00A428C3">
        <w:t>number of years lived in the area combined with total age were significant. CONCLUSIONS: The fluoride content of cementum</w:t>
      </w:r>
      <w:r w:rsidR="00F81221">
        <w:t xml:space="preserve"> and </w:t>
      </w:r>
      <w:r w:rsidRPr="00A428C3">
        <w:t>root dentine in adult residents is related to fluoride content in drinking water.</w:t>
      </w:r>
    </w:p>
    <w:p w:rsidR="00B95188" w:rsidRPr="00A428C3" w:rsidRDefault="00B95188" w:rsidP="00B95188">
      <w:pPr>
        <w:pStyle w:val="1"/>
      </w:pPr>
      <w:r w:rsidRPr="00A428C3">
        <w:br w:type="page"/>
      </w:r>
      <w:bookmarkStart w:id="353" w:name="_Toc488467654"/>
      <w:bookmarkStart w:id="354" w:name="_Toc489709733"/>
      <w:bookmarkStart w:id="355" w:name="_Toc490687991"/>
      <w:bookmarkStart w:id="356" w:name="_Toc492807653"/>
      <w:bookmarkStart w:id="357" w:name="_Toc186647727"/>
      <w:bookmarkStart w:id="358" w:name="_Toc317160936"/>
      <w:r w:rsidRPr="00A428C3">
        <w:lastRenderedPageBreak/>
        <w:t xml:space="preserve">Title: </w:t>
      </w:r>
      <w:bookmarkEnd w:id="353"/>
      <w:bookmarkEnd w:id="354"/>
      <w:bookmarkEnd w:id="355"/>
      <w:r w:rsidRPr="00A428C3">
        <w:t>Gerontologist</w:t>
      </w:r>
      <w:bookmarkEnd w:id="356"/>
      <w:bookmarkEnd w:id="357"/>
      <w:bookmarkEnd w:id="358"/>
    </w:p>
    <w:p w:rsidR="00B95188" w:rsidRPr="00A428C3" w:rsidRDefault="00B95188" w:rsidP="00B72EF9">
      <w:pPr>
        <w:pStyle w:val="12"/>
      </w:pPr>
      <w:r w:rsidRPr="00A428C3">
        <w:t>Full Journal Title: Gerontologist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Clark, P.G. (1995), Quality of life, values,</w:t>
      </w:r>
      <w:r w:rsidR="00F81221">
        <w:t xml:space="preserve"> and </w:t>
      </w:r>
      <w:r w:rsidRPr="00A428C3">
        <w:t xml:space="preserve">teamwork in geriatric care: Do we communicate what we mean? </w:t>
      </w:r>
      <w:r w:rsidRPr="00A428C3">
        <w:rPr>
          <w:i/>
        </w:rPr>
        <w:t>Gerontologist</w:t>
      </w:r>
      <w:r w:rsidRPr="00A428C3">
        <w:t xml:space="preserve">, </w:t>
      </w:r>
      <w:r w:rsidRPr="00A428C3">
        <w:rPr>
          <w:b/>
        </w:rPr>
        <w:t>35</w:t>
      </w:r>
      <w:r w:rsidRPr="00A428C3">
        <w:t xml:space="preserve"> (3), 402-411.</w:t>
      </w:r>
    </w:p>
    <w:p w:rsidR="00B95188" w:rsidRPr="00A428C3" w:rsidRDefault="00B95188" w:rsidP="00B95188">
      <w:pPr>
        <w:pStyle w:val="a0"/>
      </w:pPr>
      <w:r w:rsidRPr="00A428C3">
        <w:t>Abstract: Two major forces are changing the shape of health care for the frail elderly with disabling conditions: increasing emphasis on quality of life</w:t>
      </w:r>
      <w:r w:rsidR="00F81221">
        <w:t xml:space="preserve"> and </w:t>
      </w:r>
      <w:r w:rsidRPr="00A428C3">
        <w:t>growing reliance on an interprofessional team-based approach to care. This article outlines a conceptual framework for organizing discussions of quality of life for elderly persons with disabilities, reviews relevant empirical research,</w:t>
      </w:r>
      <w:r w:rsidR="00F81221">
        <w:t xml:space="preserve"> and </w:t>
      </w:r>
      <w:r w:rsidRPr="00A428C3">
        <w:t>develops a framework for understanding the different dimensions</w:t>
      </w:r>
      <w:r w:rsidR="00F81221">
        <w:t xml:space="preserve"> and </w:t>
      </w:r>
      <w:r w:rsidRPr="00A428C3">
        <w:t>interpretations of this concept-particularly as it is used in communication among health care providers,</w:t>
      </w:r>
      <w:r w:rsidR="00F81221">
        <w:t xml:space="preserve"> and </w:t>
      </w:r>
      <w:r w:rsidRPr="00A428C3">
        <w:t>between them</w:t>
      </w:r>
      <w:r w:rsidR="00F81221">
        <w:t xml:space="preserve"> and </w:t>
      </w:r>
      <w:r w:rsidRPr="00A428C3">
        <w:t>their elderly patients</w:t>
      </w:r>
      <w:r w:rsidR="00F81221">
        <w:t xml:space="preserve"> and </w:t>
      </w:r>
      <w:r w:rsidRPr="00A428C3">
        <w:t>families. New models of health care to enhance the focus on life quality</w:t>
      </w:r>
      <w:r w:rsidR="00F81221">
        <w:t xml:space="preserve"> and </w:t>
      </w:r>
      <w:r w:rsidRPr="00A428C3">
        <w:t xml:space="preserve">collaborative team practice are summarized. Proposed is the development of an </w:t>
      </w:r>
      <w:r w:rsidR="000352E7">
        <w:t>“</w:t>
      </w:r>
      <w:r w:rsidRPr="00A428C3">
        <w:t>empowering</w:t>
      </w:r>
      <w:r w:rsidR="00F81221">
        <w:t xml:space="preserve"> and </w:t>
      </w:r>
      <w:r w:rsidRPr="00A428C3">
        <w:t>reflective ethic</w:t>
      </w:r>
      <w:r w:rsidR="000352E7">
        <w:t>”</w:t>
      </w:r>
      <w:r w:rsidRPr="00A428C3">
        <w:t xml:space="preserve"> to achieve more effective communication about quality of life in geriatric clinical practice.</w:t>
      </w:r>
    </w:p>
    <w:p w:rsidR="00B95188" w:rsidRPr="00A428C3" w:rsidRDefault="00B95188" w:rsidP="00B95188">
      <w:pPr>
        <w:pStyle w:val="a0"/>
      </w:pPr>
      <w:r w:rsidRPr="00A428C3">
        <w:t>Keywords: Long-Term-Care, Of-Life, Elderly Patients, Health-Status, Autonomy, Perceptions, Illness, Nurses, Age, Ethics, Clinical Practice, Communication, Health Care Teams</w:t>
      </w:r>
    </w:p>
    <w:p w:rsidR="001571B9" w:rsidRPr="00A428C3" w:rsidRDefault="001571B9" w:rsidP="001571B9">
      <w:pPr>
        <w:pStyle w:val="1"/>
      </w:pPr>
      <w:r w:rsidRPr="00A428C3">
        <w:br w:type="page"/>
      </w:r>
      <w:bookmarkStart w:id="359" w:name="_Toc317160937"/>
      <w:r w:rsidRPr="00A428C3">
        <w:lastRenderedPageBreak/>
        <w:t xml:space="preserve">Title: </w:t>
      </w:r>
      <w:r w:rsidRPr="001571B9">
        <w:rPr>
          <w:iCs/>
        </w:rPr>
        <w:t>Gerontology</w:t>
      </w:r>
      <w:bookmarkEnd w:id="359"/>
    </w:p>
    <w:p w:rsidR="001571B9" w:rsidRPr="00A428C3" w:rsidRDefault="001571B9" w:rsidP="001571B9">
      <w:pPr>
        <w:pStyle w:val="12"/>
      </w:pPr>
      <w:r w:rsidRPr="00A428C3">
        <w:t xml:space="preserve">Full Journal Title: </w:t>
      </w:r>
      <w:r w:rsidRPr="001571B9">
        <w:rPr>
          <w:iCs/>
        </w:rPr>
        <w:t>Gerontology</w:t>
      </w:r>
    </w:p>
    <w:p w:rsidR="001571B9" w:rsidRPr="00A428C3" w:rsidRDefault="001571B9" w:rsidP="001571B9">
      <w:pPr>
        <w:pStyle w:val="12"/>
      </w:pPr>
      <w:r w:rsidRPr="00A428C3">
        <w:t xml:space="preserve">ISO Abbreviated Title: </w:t>
      </w:r>
    </w:p>
    <w:p w:rsidR="001571B9" w:rsidRPr="00A428C3" w:rsidRDefault="001571B9" w:rsidP="001571B9">
      <w:pPr>
        <w:pStyle w:val="12"/>
      </w:pPr>
      <w:r w:rsidRPr="00A428C3">
        <w:t xml:space="preserve">JCR Abbreviated Title: </w:t>
      </w:r>
    </w:p>
    <w:p w:rsidR="001571B9" w:rsidRPr="00A428C3" w:rsidRDefault="001571B9" w:rsidP="001571B9">
      <w:pPr>
        <w:pStyle w:val="12"/>
      </w:pPr>
      <w:r>
        <w:t xml:space="preserve">ISSN: </w:t>
      </w:r>
    </w:p>
    <w:p w:rsidR="001571B9" w:rsidRPr="00A428C3" w:rsidRDefault="001571B9" w:rsidP="001571B9">
      <w:pPr>
        <w:pStyle w:val="12"/>
      </w:pPr>
      <w:r w:rsidRPr="00A428C3">
        <w:t xml:space="preserve">Issues/Year: </w:t>
      </w:r>
    </w:p>
    <w:p w:rsidR="001571B9" w:rsidRPr="00A428C3" w:rsidRDefault="001571B9" w:rsidP="001571B9">
      <w:pPr>
        <w:pStyle w:val="12"/>
      </w:pPr>
      <w:r w:rsidRPr="00A428C3">
        <w:t xml:space="preserve">Journal Country/Territory: </w:t>
      </w:r>
    </w:p>
    <w:p w:rsidR="001571B9" w:rsidRPr="00A428C3" w:rsidRDefault="001571B9" w:rsidP="001571B9">
      <w:pPr>
        <w:pStyle w:val="12"/>
      </w:pPr>
      <w:r w:rsidRPr="00A428C3">
        <w:t xml:space="preserve">Language: </w:t>
      </w:r>
    </w:p>
    <w:p w:rsidR="001571B9" w:rsidRPr="00A428C3" w:rsidRDefault="001571B9" w:rsidP="001571B9">
      <w:pPr>
        <w:pStyle w:val="12"/>
      </w:pPr>
      <w:r w:rsidRPr="00A428C3">
        <w:t xml:space="preserve">Publisher: </w:t>
      </w:r>
    </w:p>
    <w:p w:rsidR="001571B9" w:rsidRPr="00A428C3" w:rsidRDefault="001571B9" w:rsidP="001571B9">
      <w:pPr>
        <w:pStyle w:val="12"/>
      </w:pPr>
      <w:r w:rsidRPr="00A428C3">
        <w:t xml:space="preserve">Publisher Address: </w:t>
      </w:r>
    </w:p>
    <w:p w:rsidR="001571B9" w:rsidRPr="00A428C3" w:rsidRDefault="001571B9" w:rsidP="001571B9">
      <w:pPr>
        <w:pStyle w:val="12"/>
      </w:pPr>
      <w:r w:rsidRPr="00A428C3">
        <w:t xml:space="preserve">Subject Categories: </w:t>
      </w:r>
    </w:p>
    <w:p w:rsidR="001571B9" w:rsidRPr="00A428C3" w:rsidRDefault="001571B9" w:rsidP="001571B9">
      <w:pPr>
        <w:pStyle w:val="12"/>
      </w:pPr>
      <w:r w:rsidRPr="00A428C3">
        <w:t xml:space="preserve">: Impact Factor </w:t>
      </w:r>
    </w:p>
    <w:p w:rsidR="001571B9" w:rsidRDefault="001571B9" w:rsidP="001571B9">
      <w:pPr>
        <w:pStyle w:val="a0"/>
        <w:rPr>
          <w:kern w:val="0"/>
        </w:rPr>
      </w:pPr>
      <w:r>
        <w:rPr>
          <w:rFonts w:hint="eastAsia"/>
          <w:kern w:val="0"/>
        </w:rPr>
        <w:t xml:space="preserve">? </w:t>
      </w:r>
      <w:r>
        <w:rPr>
          <w:kern w:val="0"/>
        </w:rPr>
        <w:t>Diermayr, G., McIsaac, T.L.</w:t>
      </w:r>
      <w:r w:rsidR="00F81221">
        <w:rPr>
          <w:kern w:val="0"/>
        </w:rPr>
        <w:t xml:space="preserve"> and </w:t>
      </w:r>
      <w:r>
        <w:rPr>
          <w:kern w:val="0"/>
        </w:rPr>
        <w:t xml:space="preserve">Gordon, A.M. (2011), Finger force coordination underlying object manipulation in the elderly: A mini-review. </w:t>
      </w:r>
      <w:r w:rsidRPr="001571B9">
        <w:rPr>
          <w:i/>
          <w:iCs/>
          <w:kern w:val="0"/>
        </w:rPr>
        <w:t>Gerontology</w:t>
      </w:r>
      <w:r>
        <w:rPr>
          <w:kern w:val="0"/>
        </w:rPr>
        <w:t xml:space="preserve">, </w:t>
      </w:r>
      <w:r>
        <w:rPr>
          <w:b/>
          <w:bCs/>
          <w:kern w:val="0"/>
        </w:rPr>
        <w:t>57</w:t>
      </w:r>
      <w:r>
        <w:rPr>
          <w:kern w:val="0"/>
        </w:rPr>
        <w:t xml:space="preserve"> (3), 217-227.</w:t>
      </w:r>
    </w:p>
    <w:p w:rsidR="001571B9" w:rsidRDefault="001571B9" w:rsidP="001571B9">
      <w:pPr>
        <w:pStyle w:val="a0"/>
        <w:rPr>
          <w:kern w:val="0"/>
        </w:rPr>
      </w:pPr>
      <w:r>
        <w:rPr>
          <w:kern w:val="0"/>
        </w:rPr>
        <w:t>Abstract: Background: A decline in manual dexterity is a common phenomenon in elderly individuals. Often, simple daily activities such as handling coins</w:t>
      </w:r>
      <w:r w:rsidR="00F81221">
        <w:rPr>
          <w:kern w:val="0"/>
        </w:rPr>
        <w:t xml:space="preserve"> and </w:t>
      </w:r>
      <w:r>
        <w:rPr>
          <w:kern w:val="0"/>
        </w:rPr>
        <w:t>preparing meals become challenging. A substantial decline in manual dexterity may impact one</w:t>
      </w:r>
      <w:r w:rsidR="000352E7">
        <w:rPr>
          <w:kern w:val="0"/>
        </w:rPr>
        <w:t>’</w:t>
      </w:r>
      <w:r>
        <w:rPr>
          <w:kern w:val="0"/>
        </w:rPr>
        <w:t>s ability to live independently. Thus, understanding the underlying causes of these impairments is essential. Considerable attention has been given to the regulation of fingertip forces during object grasp, lift</w:t>
      </w:r>
      <w:r w:rsidR="00F81221">
        <w:rPr>
          <w:kern w:val="0"/>
        </w:rPr>
        <w:t xml:space="preserve"> and </w:t>
      </w:r>
      <w:r>
        <w:rPr>
          <w:kern w:val="0"/>
        </w:rPr>
        <w:t>transport in the elderly. Objective: Here we review studies on fingertip force coordination in the elderly, with an emphasis on the relationship between the degree of change in elderly grip force control</w:t>
      </w:r>
      <w:r w:rsidR="00F81221">
        <w:rPr>
          <w:kern w:val="0"/>
        </w:rPr>
        <w:t xml:space="preserve"> and </w:t>
      </w:r>
      <w:r>
        <w:rPr>
          <w:kern w:val="0"/>
        </w:rPr>
        <w:t>the nature of the tasks performed. Methods: A literature search was performed using MEDLINE, PUBMED,</w:t>
      </w:r>
      <w:r w:rsidR="00F81221">
        <w:rPr>
          <w:kern w:val="0"/>
        </w:rPr>
        <w:t xml:space="preserve"> and </w:t>
      </w:r>
      <w:r>
        <w:rPr>
          <w:kern w:val="0"/>
        </w:rPr>
        <w:t>Web of Science electronic databases covering studies from 1985 to 2009, inputting combinations of the following key words: grip force, grasp force, fingertip forces, precision grip, aging, elderly,</w:t>
      </w:r>
      <w:r w:rsidR="00F81221">
        <w:rPr>
          <w:kern w:val="0"/>
        </w:rPr>
        <w:t xml:space="preserve"> and </w:t>
      </w:r>
      <w:r>
        <w:rPr>
          <w:kern w:val="0"/>
        </w:rPr>
        <w:t>hand motor control. Results: Studies show a consistent elevation in grip force magnitudes that may easily lead to fatigue. These force increases may represent a compensation for increased skin slipperiness or a reduction in tactile information. In contrast, anticipatory grip force control (planning) remains relatively intact. Age-related changes in anticipatory control seem to emerge only during more complex tasks. Conclusion: The relationship between task complexity</w:t>
      </w:r>
      <w:r w:rsidR="00F81221">
        <w:rPr>
          <w:kern w:val="0"/>
        </w:rPr>
        <w:t xml:space="preserve"> and </w:t>
      </w:r>
      <w:r>
        <w:rPr>
          <w:kern w:val="0"/>
        </w:rPr>
        <w:t xml:space="preserve">degree of age-related changes suggests that results from simple, laboratory-based tasks may only partially explain impairments observed during the performance of activities of daily living, since the latter ones are typically more complex. A better understanding of impaired manual dexterity experienced by elderly individuals could be achieved </w:t>
      </w:r>
      <w:r>
        <w:rPr>
          <w:kern w:val="0"/>
        </w:rPr>
        <w:lastRenderedPageBreak/>
        <w:t>by expanding experimental paradigms so that they more closely resemble the complexities encountered in functional daily tasks. Subsequently, these findings could be used in clinical settings to develop treatment approaches that consider grasp control in the context of behaviorally meaningful tasks. Copyright (C) 2010 S. Karger AG, Basel.</w:t>
      </w:r>
    </w:p>
    <w:p w:rsidR="001571B9" w:rsidRDefault="001571B9" w:rsidP="001571B9">
      <w:pPr>
        <w:pStyle w:val="a0"/>
        <w:rPr>
          <w:kern w:val="0"/>
        </w:rPr>
      </w:pPr>
      <w:r>
        <w:rPr>
          <w:kern w:val="0"/>
        </w:rPr>
        <w:t>Keywords: Activities, Age-Related-Changes, Aging, Attention, Control, Copyright, Databases, Elderly, Fatigue, Fingertip Force, Functional, Grasp Control, Hand Function, Hand Motor Control, Impact, Information, Lead, Literature, Methods, Muscle, Normative Data, Older Adults, People, Precision Grip, Precision Grip Force, Predictive Control, Review, Science, Treatment, Upper Extremity Performance, Variability, Web of Science</w:t>
      </w:r>
    </w:p>
    <w:p w:rsidR="00B95188" w:rsidRPr="00A428C3" w:rsidRDefault="00B95188" w:rsidP="00B95188">
      <w:pPr>
        <w:pStyle w:val="1"/>
      </w:pPr>
      <w:r w:rsidRPr="00A428C3">
        <w:br w:type="page"/>
      </w:r>
      <w:bookmarkStart w:id="360" w:name="_Toc186647728"/>
      <w:bookmarkStart w:id="361" w:name="_Toc317160938"/>
      <w:r w:rsidRPr="00A428C3">
        <w:lastRenderedPageBreak/>
        <w:t xml:space="preserve">Title: </w:t>
      </w:r>
      <w:r w:rsidRPr="00A428C3">
        <w:rPr>
          <w:iCs/>
        </w:rPr>
        <w:t>Gestion Ambiental</w:t>
      </w:r>
      <w:bookmarkEnd w:id="360"/>
      <w:bookmarkEnd w:id="361"/>
    </w:p>
    <w:p w:rsidR="00B95188" w:rsidRPr="00A428C3" w:rsidRDefault="00B95188" w:rsidP="00B72EF9">
      <w:pPr>
        <w:pStyle w:val="12"/>
      </w:pPr>
      <w:r w:rsidRPr="00A428C3">
        <w:t>Full Journal Title: Gestion Ambiental</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0717-4918</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Rau, J. (2001), History</w:t>
      </w:r>
      <w:r w:rsidR="00F81221">
        <w:t xml:space="preserve"> and </w:t>
      </w:r>
      <w:r w:rsidRPr="00A428C3">
        <w:t xml:space="preserve">diagnosis of wildlife management symposiums held in </w:t>
      </w:r>
      <w:smartTag w:uri="urn:schemas-microsoft-com:office:smarttags" w:element="place">
        <w:smartTag w:uri="urn:schemas-microsoft-com:office:smarttags" w:element="country-region">
          <w:r w:rsidRPr="00A428C3">
            <w:t>Chile</w:t>
          </w:r>
        </w:smartTag>
      </w:smartTag>
      <w:r w:rsidRPr="00A428C3">
        <w:t xml:space="preserve">. </w:t>
      </w:r>
      <w:r w:rsidRPr="00A428C3">
        <w:rPr>
          <w:i/>
          <w:iCs/>
        </w:rPr>
        <w:t>Gestion Ambiental</w:t>
      </w:r>
      <w:r w:rsidRPr="00A428C3">
        <w:t>, (7), 79-83.</w:t>
      </w:r>
    </w:p>
    <w:p w:rsidR="00B95188" w:rsidRPr="00A428C3" w:rsidRDefault="00B95188" w:rsidP="00B95188">
      <w:pPr>
        <w:pStyle w:val="a0"/>
      </w:pPr>
      <w:r w:rsidRPr="00A428C3">
        <w:t>Abstract: The historical record</w:t>
      </w:r>
      <w:r w:rsidR="00F81221">
        <w:t xml:space="preserve"> and </w:t>
      </w:r>
      <w:r w:rsidRPr="00A428C3">
        <w:t xml:space="preserve">diagnosis of the seven symposiums about wildlife management held in southern </w:t>
      </w:r>
      <w:smartTag w:uri="urn:schemas-microsoft-com:office:smarttags" w:element="place">
        <w:smartTag w:uri="urn:schemas-microsoft-com:office:smarttags" w:element="country-region">
          <w:r w:rsidRPr="00A428C3">
            <w:t>Chile</w:t>
          </w:r>
        </w:smartTag>
      </w:smartTag>
      <w:r w:rsidRPr="00A428C3">
        <w:t xml:space="preserve"> between 1976-2000 is analyzed in this paper. Most of those symposiums have been published either in scientific journals or as proceedings. By assuming an exponential model an annual growth of published papers was estimated in a 24%, but only a 9% for the oral commu n i cations. The greater participation of foreign authors (between 21-45% for papers</w:t>
      </w:r>
      <w:r w:rsidR="00F81221">
        <w:t xml:space="preserve"> and </w:t>
      </w:r>
      <w:r w:rsidRPr="00A428C3">
        <w:t>33-49% for communications) was interpreted as a low interest of the national academy for this applied discipline. Nevertheless, it seems to be being replaced effectively by some state organisms of the country.</w:t>
      </w:r>
    </w:p>
    <w:p w:rsidR="00B95188" w:rsidRPr="00A428C3" w:rsidRDefault="00B95188" w:rsidP="00B95188">
      <w:pPr>
        <w:pStyle w:val="1"/>
        <w:rPr>
          <w:lang w:val="de-DE"/>
        </w:rPr>
      </w:pPr>
      <w:r w:rsidRPr="00A428C3">
        <w:rPr>
          <w:lang w:val="de-DE"/>
        </w:rPr>
        <w:br w:type="page"/>
      </w:r>
      <w:bookmarkStart w:id="362" w:name="_Toc455569457"/>
      <w:bookmarkStart w:id="363" w:name="_Toc487190684"/>
      <w:bookmarkStart w:id="364" w:name="_Toc487882188"/>
      <w:bookmarkStart w:id="365" w:name="_Toc490687993"/>
      <w:bookmarkStart w:id="366" w:name="_Toc492807654"/>
      <w:bookmarkStart w:id="367" w:name="_Toc186647729"/>
      <w:bookmarkStart w:id="368" w:name="_Toc317160939"/>
      <w:r w:rsidRPr="00A428C3">
        <w:rPr>
          <w:lang w:val="de-DE"/>
        </w:rPr>
        <w:lastRenderedPageBreak/>
        <w:t>Title: Gesundheits-Ingrnieur</w:t>
      </w:r>
      <w:bookmarkEnd w:id="362"/>
      <w:bookmarkEnd w:id="363"/>
      <w:bookmarkEnd w:id="364"/>
      <w:bookmarkEnd w:id="365"/>
      <w:bookmarkEnd w:id="366"/>
      <w:bookmarkEnd w:id="367"/>
      <w:bookmarkEnd w:id="368"/>
    </w:p>
    <w:p w:rsidR="00B95188" w:rsidRPr="00A428C3" w:rsidRDefault="00B95188" w:rsidP="00B95188">
      <w:pPr>
        <w:pStyle w:val="a0"/>
        <w:rPr>
          <w:lang w:val="de-DE"/>
        </w:rPr>
      </w:pPr>
      <w:bookmarkStart w:id="369" w:name="Ottemeyer"/>
      <w:r w:rsidRPr="00A428C3">
        <w:rPr>
          <w:lang w:val="de-DE"/>
        </w:rPr>
        <w:t>(Gesundh. Ing.)</w:t>
      </w:r>
    </w:p>
    <w:p w:rsidR="00B95188" w:rsidRPr="00A428C3" w:rsidRDefault="00B95188" w:rsidP="00B95188">
      <w:pPr>
        <w:pStyle w:val="a0"/>
        <w:rPr>
          <w:lang w:val="de-DE"/>
        </w:rPr>
      </w:pPr>
      <w:r w:rsidRPr="00A428C3">
        <w:t>Ottemeyer</w:t>
      </w:r>
      <w:bookmarkEnd w:id="369"/>
      <w:r w:rsidRPr="00A428C3">
        <w:t>, W. (1930), The use of peat</w:t>
      </w:r>
      <w:r w:rsidR="00F81221">
        <w:t xml:space="preserve"> and </w:t>
      </w:r>
      <w:r w:rsidRPr="00A428C3">
        <w:t xml:space="preserve">woodmeal in the purification of dyeworks sewage. </w:t>
      </w:r>
      <w:r w:rsidRPr="00A428C3">
        <w:rPr>
          <w:i/>
          <w:lang w:val="de-DE"/>
        </w:rPr>
        <w:t>Gesundheits-Ingrnieur</w:t>
      </w:r>
      <w:r w:rsidRPr="00A428C3">
        <w:rPr>
          <w:lang w:val="de-DE"/>
        </w:rPr>
        <w:t xml:space="preserve">, </w:t>
      </w:r>
      <w:r w:rsidRPr="00A428C3">
        <w:rPr>
          <w:b/>
          <w:lang w:val="de-DE"/>
        </w:rPr>
        <w:t>53</w:t>
      </w:r>
      <w:r w:rsidRPr="00A428C3">
        <w:rPr>
          <w:lang w:val="de-DE"/>
        </w:rPr>
        <w:t>, 185-188.</w:t>
      </w:r>
    </w:p>
    <w:p w:rsidR="00B95188" w:rsidRPr="00A428C3" w:rsidRDefault="00B95188" w:rsidP="00B95188">
      <w:pPr>
        <w:pStyle w:val="1"/>
        <w:rPr>
          <w:lang w:val="de-DE"/>
        </w:rPr>
      </w:pPr>
      <w:r w:rsidRPr="00A428C3">
        <w:rPr>
          <w:lang w:val="de-DE"/>
        </w:rPr>
        <w:br w:type="page"/>
      </w:r>
      <w:bookmarkStart w:id="370" w:name="_Toc186647730"/>
      <w:bookmarkStart w:id="371" w:name="_Toc317160940"/>
      <w:r w:rsidRPr="00A428C3">
        <w:rPr>
          <w:lang w:val="de-DE"/>
        </w:rPr>
        <w:lastRenderedPageBreak/>
        <w:t>Title: Gesundheitswesen</w:t>
      </w:r>
      <w:bookmarkEnd w:id="370"/>
      <w:bookmarkEnd w:id="371"/>
    </w:p>
    <w:p w:rsidR="00B95188" w:rsidRPr="00A428C3" w:rsidRDefault="00B95188" w:rsidP="00B72EF9">
      <w:pPr>
        <w:pStyle w:val="12"/>
        <w:rPr>
          <w:lang w:val="de-DE"/>
        </w:rPr>
      </w:pPr>
      <w:r w:rsidRPr="00A428C3">
        <w:rPr>
          <w:lang w:val="de-DE"/>
        </w:rPr>
        <w:t>Full Journal Title: Gesundheitswesen</w:t>
      </w:r>
    </w:p>
    <w:p w:rsidR="00B95188" w:rsidRPr="00A428C3" w:rsidRDefault="00B95188" w:rsidP="00B72EF9">
      <w:pPr>
        <w:pStyle w:val="12"/>
        <w:rPr>
          <w:lang w:val="de-DE"/>
        </w:rPr>
      </w:pPr>
      <w:r w:rsidRPr="00A428C3">
        <w:rPr>
          <w:lang w:val="de-DE"/>
        </w:rPr>
        <w:t xml:space="preserve">ISO Abbreviated Title: </w:t>
      </w:r>
      <w:r w:rsidR="001571B9" w:rsidRPr="00A428C3">
        <w:rPr>
          <w:lang w:val="de-DE"/>
        </w:rPr>
        <w:t>Gesundheitswesen</w:t>
      </w:r>
    </w:p>
    <w:p w:rsidR="00B95188" w:rsidRPr="00A428C3" w:rsidRDefault="00B95188" w:rsidP="00B72EF9">
      <w:pPr>
        <w:pStyle w:val="12"/>
      </w:pPr>
      <w:r w:rsidRPr="00A428C3">
        <w:t xml:space="preserve">JCR Abbreviated Title: </w:t>
      </w:r>
      <w:r w:rsidR="001571B9" w:rsidRPr="00A428C3">
        <w:rPr>
          <w:lang w:val="de-DE"/>
        </w:rPr>
        <w:t>Gesundheitswesen</w:t>
      </w:r>
    </w:p>
    <w:p w:rsidR="00B95188" w:rsidRPr="00A428C3" w:rsidRDefault="00B95188" w:rsidP="00B72EF9">
      <w:pPr>
        <w:pStyle w:val="12"/>
      </w:pPr>
      <w:r w:rsidRPr="00A428C3">
        <w:t>ISSN: 0941-3790</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Borkenhagen, A., Von Troschke, J., Stossel, U.</w:t>
      </w:r>
      <w:r w:rsidR="00F81221">
        <w:t xml:space="preserve"> and </w:t>
      </w:r>
      <w:r w:rsidRPr="00A428C3">
        <w:t xml:space="preserve">Brahler, E. (2003), Demands for an internationalisation of German research as illustrated by the example of the Journal </w:t>
      </w:r>
      <w:r w:rsidR="000352E7">
        <w:t>“</w:t>
      </w:r>
      <w:r w:rsidRPr="00967299">
        <w:rPr>
          <w:i/>
        </w:rPr>
        <w:t>Das Gesundheitswesen</w:t>
      </w:r>
      <w:r w:rsidR="000352E7">
        <w:t>”</w:t>
      </w:r>
      <w:r w:rsidRPr="00A428C3">
        <w:t xml:space="preserve">. A contribution to the quality assurance of applied research. </w:t>
      </w:r>
      <w:r w:rsidRPr="00A428C3">
        <w:rPr>
          <w:i/>
          <w:iCs/>
        </w:rPr>
        <w:t>Gesundheitswesen</w:t>
      </w:r>
      <w:r w:rsidRPr="00A428C3">
        <w:t xml:space="preserve">, </w:t>
      </w:r>
      <w:r w:rsidRPr="00A428C3">
        <w:rPr>
          <w:b/>
        </w:rPr>
        <w:t>65</w:t>
      </w:r>
      <w:r w:rsidRPr="00A428C3">
        <w:t xml:space="preserve"> (2), 125-132.</w:t>
      </w:r>
    </w:p>
    <w:p w:rsidR="00B95188" w:rsidRPr="00A428C3" w:rsidRDefault="00B95188" w:rsidP="00B95188">
      <w:pPr>
        <w:pStyle w:val="a0"/>
      </w:pPr>
      <w:r w:rsidRPr="00A428C3">
        <w:t xml:space="preserve">Abstract: Objectives: Basing on the recent discussion on internationalisation of German research publications, the most recent volume of </w:t>
      </w:r>
      <w:r w:rsidR="000352E7">
        <w:t>“</w:t>
      </w:r>
      <w:r w:rsidRPr="00A428C3">
        <w:t>Das Gesundheitswesen</w:t>
      </w:r>
      <w:r w:rsidR="000352E7">
        <w:t>”</w:t>
      </w:r>
      <w:r w:rsidRPr="00A428C3">
        <w:t xml:space="preserve"> was bibliometrically analysed. Methods: 125 articles were compared with respect to citing sources, the rate of self-citations, the number of times English or German journals or books were cited in the year 2001, the acceptance rate of the international state of research</w:t>
      </w:r>
      <w:r w:rsidR="00F81221">
        <w:t xml:space="preserve"> and </w:t>
      </w:r>
      <w:r w:rsidRPr="00A428C3">
        <w:t xml:space="preserve">of its leading representatives. These are indicators of scientific quality. Results: The interdisciplinary approach by </w:t>
      </w:r>
      <w:r w:rsidR="000352E7">
        <w:t>“</w:t>
      </w:r>
      <w:r w:rsidRPr="00A428C3">
        <w:t>Das Gesundheitswesen</w:t>
      </w:r>
      <w:r w:rsidR="000352E7">
        <w:t>”</w:t>
      </w:r>
      <w:r w:rsidRPr="00A428C3">
        <w:t xml:space="preserve"> has proven successful in view of certain indicators of scientific quality. Conclusion: Related to scientific quality standards </w:t>
      </w:r>
      <w:r w:rsidR="000352E7">
        <w:t>“</w:t>
      </w:r>
      <w:r w:rsidRPr="00A428C3">
        <w:t>Das Gesundheitswesen</w:t>
      </w:r>
      <w:r w:rsidR="000352E7">
        <w:t>”</w:t>
      </w:r>
      <w:r w:rsidRPr="00A428C3">
        <w:t xml:space="preserve"> has achieved a good impact in the scientific community but some details require to be changed.</w:t>
      </w:r>
    </w:p>
    <w:p w:rsidR="00B95188" w:rsidRPr="00A428C3" w:rsidRDefault="00B95188" w:rsidP="00B95188">
      <w:pPr>
        <w:pStyle w:val="a0"/>
      </w:pPr>
      <w:r w:rsidRPr="00A428C3">
        <w:t>Keywords: Quality Control, Bibliometrics, Impact Factor Internationalisation of German Research Publications, Public-Health Service, North-Rhine-Westphalia, Social Medicine, Environmental Medicine, Schleswig-Holstein, Psychiatric-Care, Risk Assessment, Drinking-Water, Dental-Health, Pilot Project</w:t>
      </w:r>
    </w:p>
    <w:p w:rsidR="001571B9" w:rsidRDefault="001571B9" w:rsidP="001571B9">
      <w:pPr>
        <w:pStyle w:val="a0"/>
        <w:rPr>
          <w:kern w:val="0"/>
        </w:rPr>
      </w:pPr>
      <w:r>
        <w:rPr>
          <w:rFonts w:hint="eastAsia"/>
          <w:kern w:val="0"/>
        </w:rPr>
        <w:t xml:space="preserve">? </w:t>
      </w:r>
      <w:r>
        <w:rPr>
          <w:kern w:val="0"/>
        </w:rPr>
        <w:t>Roosli, M., Rapp, R.</w:t>
      </w:r>
      <w:r w:rsidR="00F81221">
        <w:rPr>
          <w:kern w:val="0"/>
        </w:rPr>
        <w:t xml:space="preserve"> and </w:t>
      </w:r>
      <w:r>
        <w:rPr>
          <w:kern w:val="0"/>
        </w:rPr>
        <w:t>Braun-Fahrlander, C. (2003), Radio</w:t>
      </w:r>
      <w:r w:rsidR="00F81221">
        <w:rPr>
          <w:kern w:val="0"/>
        </w:rPr>
        <w:t xml:space="preserve"> and </w:t>
      </w:r>
      <w:r>
        <w:rPr>
          <w:kern w:val="0"/>
        </w:rPr>
        <w:t>microwave frequency radiation</w:t>
      </w:r>
      <w:r w:rsidR="00F81221">
        <w:rPr>
          <w:kern w:val="0"/>
        </w:rPr>
        <w:t xml:space="preserve"> and </w:t>
      </w:r>
      <w:r>
        <w:rPr>
          <w:kern w:val="0"/>
        </w:rPr>
        <w:t xml:space="preserve">health: An analysis of the literature. </w:t>
      </w:r>
      <w:r>
        <w:rPr>
          <w:i/>
          <w:iCs/>
          <w:kern w:val="0"/>
        </w:rPr>
        <w:t>Gesundheitswesen</w:t>
      </w:r>
      <w:r>
        <w:rPr>
          <w:kern w:val="0"/>
        </w:rPr>
        <w:t xml:space="preserve">, </w:t>
      </w:r>
      <w:r>
        <w:rPr>
          <w:b/>
          <w:bCs/>
          <w:kern w:val="0"/>
        </w:rPr>
        <w:t>65</w:t>
      </w:r>
      <w:r>
        <w:rPr>
          <w:kern w:val="0"/>
        </w:rPr>
        <w:t xml:space="preserve"> (6), 378-392.</w:t>
      </w:r>
    </w:p>
    <w:p w:rsidR="001571B9" w:rsidRDefault="001571B9" w:rsidP="001571B9">
      <w:pPr>
        <w:pStyle w:val="a0"/>
        <w:rPr>
          <w:kern w:val="0"/>
        </w:rPr>
      </w:pPr>
      <w:r>
        <w:rPr>
          <w:kern w:val="0"/>
        </w:rPr>
        <w:t>Abstract: This paper gives an overview of present scientific knowledge in health research on the effects from radio</w:t>
      </w:r>
      <w:r w:rsidR="00F81221">
        <w:rPr>
          <w:kern w:val="0"/>
        </w:rPr>
        <w:t xml:space="preserve"> and </w:t>
      </w:r>
      <w:r>
        <w:rPr>
          <w:kern w:val="0"/>
        </w:rPr>
        <w:t>microwave frequency radiation, at levels to which the general population is typically exposed. The review is based on human experimental</w:t>
      </w:r>
      <w:r w:rsidR="00F81221">
        <w:rPr>
          <w:kern w:val="0"/>
        </w:rPr>
        <w:t xml:space="preserve"> and </w:t>
      </w:r>
      <w:r>
        <w:rPr>
          <w:kern w:val="0"/>
        </w:rPr>
        <w:t xml:space="preserve">epidemiological studies investigating the effects of radiation in the </w:t>
      </w:r>
      <w:r>
        <w:rPr>
          <w:kern w:val="0"/>
        </w:rPr>
        <w:lastRenderedPageBreak/>
        <w:t>frequency range between 100 kHz</w:t>
      </w:r>
      <w:r w:rsidR="00F81221">
        <w:rPr>
          <w:kern w:val="0"/>
        </w:rPr>
        <w:t xml:space="preserve"> and </w:t>
      </w:r>
      <w:r>
        <w:rPr>
          <w:kern w:val="0"/>
        </w:rPr>
        <w:t>10 GHz. The relevant studies were identified via systematic searches of the databases MEDLINE</w:t>
      </w:r>
      <w:r w:rsidR="00F81221">
        <w:rPr>
          <w:kern w:val="0"/>
        </w:rPr>
        <w:t xml:space="preserve"> and </w:t>
      </w:r>
      <w:r>
        <w:rPr>
          <w:kern w:val="0"/>
        </w:rPr>
        <w:t>ISI Web of Science. The review concludes that the existing scientific knowledge base is too limited to draw final conclusions on the health risk from exposure in the low-dose range. Only few studies have investigated the effect of long-term exposure on the general population in the normal environment. Accordingly, little can be predicted regarding long-term health risks. Various studies observed an increased risk for tumours in the hematopoietic</w:t>
      </w:r>
      <w:r w:rsidR="00F81221">
        <w:rPr>
          <w:kern w:val="0"/>
        </w:rPr>
        <w:t xml:space="preserve"> and </w:t>
      </w:r>
      <w:r>
        <w:rPr>
          <w:kern w:val="0"/>
        </w:rPr>
        <w:t>lymphatic tissue of people living in the proximity of TV</w:t>
      </w:r>
      <w:r w:rsidR="00F81221">
        <w:rPr>
          <w:kern w:val="0"/>
        </w:rPr>
        <w:t xml:space="preserve"> and </w:t>
      </w:r>
      <w:r>
        <w:rPr>
          <w:kern w:val="0"/>
        </w:rPr>
        <w:t>radio broadcast transmitters. However, methodological limitations to these studies have been identified</w:t>
      </w:r>
      <w:r w:rsidR="00F81221">
        <w:rPr>
          <w:kern w:val="0"/>
        </w:rPr>
        <w:t xml:space="preserve"> and </w:t>
      </w:r>
      <w:r>
        <w:rPr>
          <w:kern w:val="0"/>
        </w:rPr>
        <w:t>their findings are controversial. In studies of a possible association between brain tumours</w:t>
      </w:r>
      <w:r w:rsidR="00F81221">
        <w:rPr>
          <w:kern w:val="0"/>
        </w:rPr>
        <w:t xml:space="preserve"> and </w:t>
      </w:r>
      <w:r>
        <w:rPr>
          <w:kern w:val="0"/>
        </w:rPr>
        <w:t>mobile phone use, the average period mobile phones use was short compared to the known latency period of brain tumours. Although these studies did not establish an overall increased risk of brain tumours associated with mobile phone use, there were some indications of an association. Immediate effects associated with mobile phone use have been observed in human experimental studies that cannot be explained by conventional thermal mechanisms. The observed effects are within the normal physiological range</w:t>
      </w:r>
      <w:r w:rsidR="00F81221">
        <w:rPr>
          <w:kern w:val="0"/>
        </w:rPr>
        <w:t xml:space="preserve"> and </w:t>
      </w:r>
      <w:r>
        <w:rPr>
          <w:kern w:val="0"/>
        </w:rPr>
        <w:t>are therefore hard to interpret with respect to an increased risk to health. However, it can be concluded that mechanisms other than the established thermal mechanisms exist. Because of the present fragmentary scientific database, a precautionary approach when dealing with radio</w:t>
      </w:r>
      <w:r w:rsidR="00F81221">
        <w:rPr>
          <w:kern w:val="0"/>
        </w:rPr>
        <w:t xml:space="preserve"> and </w:t>
      </w:r>
      <w:r>
        <w:rPr>
          <w:kern w:val="0"/>
        </w:rPr>
        <w:t>microwave frequency radiation is recommended for the individual</w:t>
      </w:r>
      <w:r w:rsidR="00F81221">
        <w:rPr>
          <w:kern w:val="0"/>
        </w:rPr>
        <w:t xml:space="preserve"> and </w:t>
      </w:r>
      <w:r>
        <w:rPr>
          <w:kern w:val="0"/>
        </w:rPr>
        <w:t>the general population.</w:t>
      </w:r>
    </w:p>
    <w:p w:rsidR="001571B9" w:rsidRDefault="001571B9" w:rsidP="001571B9">
      <w:pPr>
        <w:pStyle w:val="a0"/>
        <w:rPr>
          <w:kern w:val="0"/>
        </w:rPr>
      </w:pPr>
      <w:r>
        <w:rPr>
          <w:kern w:val="0"/>
        </w:rPr>
        <w:t>Keywords: Affects Human Sleep, Analysis, Brain, Cancer Incidence, Cellular Telephone Users, Databases, Environment, Frequency, Great-Britain, Health Risks, High-Power Transmitters, Human, Human Brain Activity, Isi, Knowledge, Literature, Mobile Phone Radiation, Mobile Phone Use, Non Ionising Radiation, Normal, Overview, Radio</w:t>
      </w:r>
      <w:r w:rsidR="00F81221">
        <w:rPr>
          <w:kern w:val="0"/>
        </w:rPr>
        <w:t xml:space="preserve"> and </w:t>
      </w:r>
      <w:r>
        <w:rPr>
          <w:kern w:val="0"/>
        </w:rPr>
        <w:t>Microwave Frequency Radiation, Radiofrequency Electromagnetic-Fields, Research, Review, Risk, Science, Sutton Coldfield Transmitter, Symptoms of Ill Health, Systematic, Television Transmitters, Tumours, Web of Science</w:t>
      </w:r>
    </w:p>
    <w:p w:rsidR="00AA0681" w:rsidRDefault="00AA0681" w:rsidP="00AA0681">
      <w:pPr>
        <w:pStyle w:val="a0"/>
        <w:rPr>
          <w:kern w:val="0"/>
          <w:szCs w:val="24"/>
        </w:rPr>
      </w:pPr>
      <w:r>
        <w:rPr>
          <w:rFonts w:hint="eastAsia"/>
          <w:kern w:val="0"/>
          <w:szCs w:val="24"/>
        </w:rPr>
        <w:t xml:space="preserve">? </w:t>
      </w:r>
      <w:r>
        <w:rPr>
          <w:kern w:val="0"/>
          <w:szCs w:val="24"/>
        </w:rPr>
        <w:t>Roick, C., Angermeyer, M.C.</w:t>
      </w:r>
      <w:r w:rsidR="00F81221">
        <w:rPr>
          <w:kern w:val="0"/>
          <w:szCs w:val="24"/>
        </w:rPr>
        <w:t xml:space="preserve"> and </w:t>
      </w:r>
      <w:r>
        <w:rPr>
          <w:kern w:val="0"/>
          <w:szCs w:val="24"/>
        </w:rPr>
        <w:t xml:space="preserve">Riedel-Heller, S. (2005), The importance of the topic prevention in social-psychiatric research. A systematic literature analysis. </w:t>
      </w:r>
      <w:r>
        <w:rPr>
          <w:i/>
          <w:iCs/>
          <w:kern w:val="0"/>
          <w:szCs w:val="24"/>
        </w:rPr>
        <w:t>Gesundheitswesen</w:t>
      </w:r>
      <w:r>
        <w:rPr>
          <w:kern w:val="0"/>
          <w:szCs w:val="24"/>
        </w:rPr>
        <w:t xml:space="preserve">, </w:t>
      </w:r>
      <w:r>
        <w:rPr>
          <w:b/>
          <w:bCs/>
          <w:kern w:val="0"/>
          <w:szCs w:val="24"/>
        </w:rPr>
        <w:t>67</w:t>
      </w:r>
      <w:r>
        <w:rPr>
          <w:kern w:val="0"/>
          <w:szCs w:val="24"/>
        </w:rPr>
        <w:t xml:space="preserve"> (12), 879-886.</w:t>
      </w:r>
    </w:p>
    <w:p w:rsidR="00AA0681" w:rsidRDefault="00AA0681" w:rsidP="00AA0681">
      <w:pPr>
        <w:pStyle w:val="a0"/>
        <w:rPr>
          <w:kern w:val="0"/>
          <w:szCs w:val="24"/>
        </w:rPr>
      </w:pPr>
      <w:r>
        <w:rPr>
          <w:kern w:val="0"/>
          <w:szCs w:val="24"/>
        </w:rPr>
        <w:t>Abstract: Aim of the study: Scientists</w:t>
      </w:r>
      <w:r w:rsidR="00F81221">
        <w:rPr>
          <w:kern w:val="0"/>
          <w:szCs w:val="24"/>
        </w:rPr>
        <w:t xml:space="preserve"> and </w:t>
      </w:r>
      <w:r>
        <w:rPr>
          <w:kern w:val="0"/>
          <w:szCs w:val="24"/>
        </w:rPr>
        <w:t>politicians currently pin great hopes on preventive activities in order to increase the health of particular target populations</w:t>
      </w:r>
      <w:r w:rsidR="00F81221">
        <w:rPr>
          <w:kern w:val="0"/>
          <w:szCs w:val="24"/>
        </w:rPr>
        <w:t xml:space="preserve"> and </w:t>
      </w:r>
      <w:r>
        <w:rPr>
          <w:kern w:val="0"/>
          <w:szCs w:val="24"/>
        </w:rPr>
        <w:t xml:space="preserve">to reduce illness related costs. This also holds true for mental disorders, which often show a chronic course of disease. The aim of the present study is to analyse the importance of prevention in social-psychiatric research. Methods: Including 60 journals, listed in the Science Citation Index or the Social Science Citation Index for </w:t>
      </w:r>
      <w:r>
        <w:rPr>
          <w:kern w:val="0"/>
          <w:szCs w:val="24"/>
        </w:rPr>
        <w:lastRenderedPageBreak/>
        <w:t>the psychosocial field, a systematic literature analysis was done for the year 2004. Results: Only 14 percent of social-psychiatric original research paid attention to prevention. 39 percent of the prevention related publications refer to primary prevention, further 39 percent to secondary prevention, 22 percent focused on tertiary prevention. Research activities concentrated on prevention of substance related disorders as well as early detection or rehabilitation of schizophrenia. Conclusions: Social psychiatry has only partly responded to the growing importance of prevention in health care. Because many social-psychiatric questions are important for prevention research, social psychiatry should use their competences to facilitate prevention-studies. This holds particularly true for depressive disorders</w:t>
      </w:r>
      <w:r w:rsidR="00F81221">
        <w:rPr>
          <w:kern w:val="0"/>
          <w:szCs w:val="24"/>
        </w:rPr>
        <w:t xml:space="preserve"> and </w:t>
      </w:r>
      <w:r>
        <w:rPr>
          <w:kern w:val="0"/>
          <w:szCs w:val="24"/>
        </w:rPr>
        <w:t>dementia, which are conditions with high prevalence</w:t>
      </w:r>
      <w:r w:rsidR="00F81221">
        <w:rPr>
          <w:kern w:val="0"/>
          <w:szCs w:val="24"/>
        </w:rPr>
        <w:t xml:space="preserve"> and </w:t>
      </w:r>
      <w:r>
        <w:rPr>
          <w:kern w:val="0"/>
          <w:szCs w:val="24"/>
        </w:rPr>
        <w:t>substantial illness related costs.</w:t>
      </w:r>
    </w:p>
    <w:p w:rsidR="00AA0681" w:rsidRDefault="00AA0681" w:rsidP="00AA0681">
      <w:pPr>
        <w:pStyle w:val="a0"/>
        <w:rPr>
          <w:kern w:val="0"/>
          <w:szCs w:val="24"/>
        </w:rPr>
      </w:pPr>
      <w:r>
        <w:rPr>
          <w:kern w:val="0"/>
          <w:szCs w:val="24"/>
        </w:rPr>
        <w:t>Keywords: 5 European Countries, Affective-Disorders, Citation, Inpatient Treatment, Journals, Literature, Literature Analysis, Mentally-Ill People, Outpatient Treatment, Prevention, Prevention Research, Public-Attitudes, Publications, Quality-of-Life, Representative Population Survey, Research, Schizophrenic-Patients, Social Psychiatry, Union Member States</w:t>
      </w:r>
    </w:p>
    <w:p w:rsidR="001571B9" w:rsidRDefault="001571B9" w:rsidP="001571B9">
      <w:pPr>
        <w:pStyle w:val="a0"/>
        <w:rPr>
          <w:kern w:val="0"/>
        </w:rPr>
      </w:pPr>
      <w:r>
        <w:rPr>
          <w:rFonts w:hint="eastAsia"/>
          <w:kern w:val="0"/>
        </w:rPr>
        <w:t xml:space="preserve">? </w:t>
      </w:r>
      <w:r>
        <w:rPr>
          <w:kern w:val="0"/>
        </w:rPr>
        <w:t>Lehmann, S., Domdey, A.</w:t>
      </w:r>
      <w:r w:rsidR="00F81221">
        <w:rPr>
          <w:kern w:val="0"/>
        </w:rPr>
        <w:t xml:space="preserve"> and </w:t>
      </w:r>
      <w:r>
        <w:rPr>
          <w:kern w:val="0"/>
        </w:rPr>
        <w:t xml:space="preserve">Bramesfeld, A. (2010), Telephone case management: is it beneficial for the care of depression patients in Germany? A systematic literature survey. </w:t>
      </w:r>
      <w:r>
        <w:rPr>
          <w:i/>
          <w:iCs/>
          <w:kern w:val="0"/>
        </w:rPr>
        <w:t>Gesundheitswesen</w:t>
      </w:r>
      <w:r>
        <w:rPr>
          <w:kern w:val="0"/>
        </w:rPr>
        <w:t xml:space="preserve">, </w:t>
      </w:r>
      <w:r>
        <w:rPr>
          <w:b/>
          <w:bCs/>
          <w:kern w:val="0"/>
        </w:rPr>
        <w:t>72</w:t>
      </w:r>
      <w:r>
        <w:rPr>
          <w:kern w:val="0"/>
        </w:rPr>
        <w:t xml:space="preserve"> (5), E33-E37.</w:t>
      </w:r>
    </w:p>
    <w:p w:rsidR="001571B9" w:rsidRDefault="001571B9" w:rsidP="001571B9">
      <w:pPr>
        <w:pStyle w:val="a0"/>
        <w:rPr>
          <w:kern w:val="0"/>
        </w:rPr>
      </w:pPr>
      <w:r>
        <w:rPr>
          <w:kern w:val="0"/>
        </w:rPr>
        <w:t>Abstract: Background: Strategies are needed to effectively improve the management of depression in Germany. Can telephone case management (TCM) be a promising strategy to improve depression care in the German health-care system? Methods: A systematic literature review in PUBMED, Cochrane Library, ISI Web of Science, PsycINFO</w:t>
      </w:r>
      <w:r w:rsidR="00F81221">
        <w:rPr>
          <w:kern w:val="0"/>
        </w:rPr>
        <w:t xml:space="preserve"> and </w:t>
      </w:r>
      <w:r>
        <w:rPr>
          <w:kern w:val="0"/>
        </w:rPr>
        <w:t>PSYNEXplus for randomised controlled trials (RCT) that evaluate TCM was carried out. Results: Ten RCTs that compared TCM to treatment as usual were found. TCM was more effective in reducing depressive symptoms</w:t>
      </w:r>
      <w:r w:rsidR="00F81221">
        <w:rPr>
          <w:kern w:val="0"/>
        </w:rPr>
        <w:t xml:space="preserve"> and </w:t>
      </w:r>
      <w:r>
        <w:rPr>
          <w:kern w:val="0"/>
        </w:rPr>
        <w:t>in increasing satisfaction with care than treatment as usual. Whether TCM was capable of significantly improving pharmacotherapy compliance remained controversial. Discussion: The effectiveness of TCM seemed to be related to the health-care system structure in which it was implemented. Most studies on TCM were conducted in US-American Health Maintenance Organizations. Thus, it is unclear to what extent these results can be transferred to the German health system. However, in the light of the promising results of these studies it seems to be worthwhile to test TCM also under conditions of the German health-care system.</w:t>
      </w:r>
    </w:p>
    <w:p w:rsidR="001571B9" w:rsidRDefault="001571B9" w:rsidP="001571B9">
      <w:pPr>
        <w:pStyle w:val="a0"/>
        <w:rPr>
          <w:kern w:val="0"/>
        </w:rPr>
      </w:pPr>
      <w:r>
        <w:rPr>
          <w:kern w:val="0"/>
        </w:rPr>
        <w:t xml:space="preserve">Keywords: Care, Cochrane, Compliance, Depression, Direct Costs, Effectiveness, Germany, Health, Health Care, Health Services Research, Health-Insurance Data, ISI, Literature, Literature Review, Management, Mental-Disorders, Methods, Pharmacotherapy, Population, Program, Psychotherapy, Pubmed, Randomized Controlled-Trial, Review, Science, Starting Antidepressant Treatment, Strategy, </w:t>
      </w:r>
      <w:r>
        <w:rPr>
          <w:kern w:val="0"/>
        </w:rPr>
        <w:lastRenderedPageBreak/>
        <w:t>Symptoms, Systematic, Systematic Literature Review, Telephone Case Management, Treatment, Web of Science</w:t>
      </w:r>
    </w:p>
    <w:p w:rsidR="00B95188" w:rsidRPr="00A428C3" w:rsidRDefault="00B95188" w:rsidP="00B95188">
      <w:pPr>
        <w:pStyle w:val="1"/>
      </w:pPr>
      <w:r w:rsidRPr="00A428C3">
        <w:br w:type="page"/>
      </w:r>
      <w:bookmarkStart w:id="372" w:name="_Toc186647731"/>
      <w:bookmarkStart w:id="373" w:name="_Toc317160941"/>
      <w:r w:rsidRPr="00A428C3">
        <w:lastRenderedPageBreak/>
        <w:t xml:space="preserve">Title: The </w:t>
      </w:r>
      <w:smartTag w:uri="urn:schemas-microsoft-com:office:smarttags" w:element="place">
        <w:smartTag w:uri="urn:schemas-microsoft-com:office:smarttags" w:element="country-region">
          <w:r w:rsidRPr="00A428C3">
            <w:t>Ghana</w:t>
          </w:r>
        </w:smartTag>
      </w:smartTag>
      <w:r w:rsidRPr="00A428C3">
        <w:t xml:space="preserve"> Engineer</w:t>
      </w:r>
      <w:bookmarkEnd w:id="372"/>
      <w:bookmarkEnd w:id="373"/>
    </w:p>
    <w:p w:rsidR="00B95188" w:rsidRPr="00A428C3" w:rsidRDefault="00B95188" w:rsidP="00B72EF9">
      <w:pPr>
        <w:pStyle w:val="12"/>
      </w:pPr>
      <w:r w:rsidRPr="00A428C3">
        <w:t xml:space="preserve">Full Journal Title: The </w:t>
      </w:r>
      <w:smartTag w:uri="urn:schemas-microsoft-com:office:smarttags" w:element="place">
        <w:smartTag w:uri="urn:schemas-microsoft-com:office:smarttags" w:element="country-region">
          <w:r w:rsidRPr="00A428C3">
            <w:t>Ghana</w:t>
          </w:r>
        </w:smartTag>
      </w:smartTag>
      <w:r w:rsidRPr="00A428C3">
        <w:t xml:space="preserve"> Engineer</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Lartey, R.B.</w:t>
      </w:r>
      <w:r w:rsidR="00F81221">
        <w:t xml:space="preserve"> and </w:t>
      </w:r>
      <w:r w:rsidRPr="00A428C3">
        <w:t xml:space="preserve">Acquah, F. (1999), Developing national capability for manufacture of activated carbon from agricultural wastes. </w:t>
      </w:r>
      <w:r w:rsidRPr="00A428C3">
        <w:rPr>
          <w:i/>
          <w:iCs/>
        </w:rPr>
        <w:t xml:space="preserve">The </w:t>
      </w:r>
      <w:smartTag w:uri="urn:schemas-microsoft-com:office:smarttags" w:element="place">
        <w:smartTag w:uri="urn:schemas-microsoft-com:office:smarttags" w:element="country-region">
          <w:r w:rsidRPr="00A428C3">
            <w:rPr>
              <w:i/>
              <w:iCs/>
            </w:rPr>
            <w:t>Ghana</w:t>
          </w:r>
        </w:smartTag>
      </w:smartTag>
      <w:r w:rsidRPr="00A428C3">
        <w:rPr>
          <w:i/>
          <w:iCs/>
        </w:rPr>
        <w:t xml:space="preserve"> Engineer</w:t>
      </w:r>
      <w:r w:rsidRPr="00A428C3">
        <w:t xml:space="preserve">, </w:t>
      </w:r>
      <w:r w:rsidRPr="00A428C3">
        <w:rPr>
          <w:b/>
        </w:rPr>
        <w:t>19</w:t>
      </w:r>
      <w:r w:rsidRPr="00A428C3">
        <w:t xml:space="preserve"> (1), 1-2.</w:t>
      </w:r>
    </w:p>
    <w:p w:rsidR="00924E00" w:rsidRPr="001A3D2B" w:rsidRDefault="00924E00" w:rsidP="00924E00">
      <w:pPr>
        <w:pStyle w:val="1"/>
      </w:pPr>
      <w:r w:rsidRPr="001A3D2B">
        <w:br w:type="page"/>
      </w:r>
      <w:bookmarkStart w:id="374" w:name="_Toc317160942"/>
      <w:r w:rsidRPr="001A3D2B">
        <w:lastRenderedPageBreak/>
        <w:t xml:space="preserve">Title: </w:t>
      </w:r>
      <w:r w:rsidRPr="00992514">
        <w:rPr>
          <w:iCs/>
        </w:rPr>
        <w:t>Gifted Child Quarterly</w:t>
      </w:r>
      <w:bookmarkEnd w:id="374"/>
    </w:p>
    <w:p w:rsidR="00924E00" w:rsidRPr="001A3D2B" w:rsidRDefault="00924E00" w:rsidP="00924E00">
      <w:pPr>
        <w:pStyle w:val="12"/>
      </w:pPr>
      <w:r w:rsidRPr="001A3D2B">
        <w:t xml:space="preserve">Full Journal Title: </w:t>
      </w:r>
      <w:r w:rsidRPr="00992514">
        <w:rPr>
          <w:iCs/>
        </w:rPr>
        <w:t>Gifted Child Quarterly</w:t>
      </w:r>
    </w:p>
    <w:p w:rsidR="00924E00" w:rsidRPr="001A3D2B" w:rsidRDefault="00924E00" w:rsidP="00924E00">
      <w:pPr>
        <w:pStyle w:val="12"/>
      </w:pPr>
      <w:r w:rsidRPr="001A3D2B">
        <w:t xml:space="preserve">ISO Abbreviated Title: </w:t>
      </w:r>
    </w:p>
    <w:p w:rsidR="00924E00" w:rsidRPr="001A3D2B" w:rsidRDefault="00924E00" w:rsidP="00924E00">
      <w:pPr>
        <w:pStyle w:val="12"/>
      </w:pPr>
      <w:r w:rsidRPr="001A3D2B">
        <w:t xml:space="preserve">JCR Abbreviated Title: </w:t>
      </w:r>
    </w:p>
    <w:p w:rsidR="00924E00" w:rsidRPr="001A3D2B" w:rsidRDefault="00924E00" w:rsidP="00924E00">
      <w:pPr>
        <w:pStyle w:val="12"/>
      </w:pPr>
      <w:r w:rsidRPr="001A3D2B">
        <w:t xml:space="preserve">ISSN: </w:t>
      </w:r>
    </w:p>
    <w:p w:rsidR="00924E00" w:rsidRPr="001A3D2B" w:rsidRDefault="00924E00" w:rsidP="00924E00">
      <w:pPr>
        <w:pStyle w:val="12"/>
      </w:pPr>
      <w:r w:rsidRPr="001A3D2B">
        <w:t xml:space="preserve">Issues/Year: </w:t>
      </w:r>
    </w:p>
    <w:p w:rsidR="00924E00" w:rsidRPr="001A3D2B" w:rsidRDefault="00924E00" w:rsidP="00924E00">
      <w:pPr>
        <w:pStyle w:val="12"/>
      </w:pPr>
      <w:r w:rsidRPr="001A3D2B">
        <w:t xml:space="preserve">Journal Country/Territory: </w:t>
      </w:r>
    </w:p>
    <w:p w:rsidR="00924E00" w:rsidRPr="001A3D2B" w:rsidRDefault="00924E00" w:rsidP="00924E00">
      <w:pPr>
        <w:pStyle w:val="12"/>
      </w:pPr>
      <w:r w:rsidRPr="001A3D2B">
        <w:t xml:space="preserve">Language: </w:t>
      </w:r>
    </w:p>
    <w:p w:rsidR="00924E00" w:rsidRPr="001A3D2B" w:rsidRDefault="00924E00" w:rsidP="00924E00">
      <w:pPr>
        <w:pStyle w:val="12"/>
      </w:pPr>
      <w:r w:rsidRPr="001A3D2B">
        <w:t xml:space="preserve">Publisher: </w:t>
      </w:r>
    </w:p>
    <w:p w:rsidR="00924E00" w:rsidRPr="001A3D2B" w:rsidRDefault="00924E00" w:rsidP="00924E00">
      <w:pPr>
        <w:pStyle w:val="12"/>
      </w:pPr>
      <w:r w:rsidRPr="001A3D2B">
        <w:t xml:space="preserve">Publisher Address: </w:t>
      </w:r>
    </w:p>
    <w:p w:rsidR="00924E00" w:rsidRPr="001A3D2B" w:rsidRDefault="00924E00" w:rsidP="00924E00">
      <w:pPr>
        <w:pStyle w:val="12"/>
      </w:pPr>
      <w:r w:rsidRPr="001A3D2B">
        <w:t>Subject Categories:</w:t>
      </w:r>
    </w:p>
    <w:p w:rsidR="00924E00" w:rsidRPr="001A3D2B" w:rsidRDefault="00924E00" w:rsidP="00924E00">
      <w:pPr>
        <w:pStyle w:val="12"/>
      </w:pPr>
      <w:r w:rsidRPr="001A3D2B">
        <w:t xml:space="preserve">: Impact Factor </w:t>
      </w:r>
    </w:p>
    <w:p w:rsidR="00924E00" w:rsidRDefault="00924E00" w:rsidP="00924E00">
      <w:pPr>
        <w:pStyle w:val="a0"/>
        <w:rPr>
          <w:kern w:val="0"/>
        </w:rPr>
      </w:pPr>
      <w:r>
        <w:rPr>
          <w:rFonts w:hint="eastAsia"/>
          <w:kern w:val="0"/>
        </w:rPr>
        <w:t xml:space="preserve">? </w:t>
      </w:r>
      <w:r>
        <w:rPr>
          <w:kern w:val="0"/>
        </w:rPr>
        <w:t xml:space="preserve">Carter, K.R. and Swanson, H.L. (1990), An analysis of the most frequently cited gifted journal articles since the Marland report - Implications for researchers. </w:t>
      </w:r>
      <w:r w:rsidRPr="00992514">
        <w:rPr>
          <w:i/>
          <w:iCs/>
          <w:kern w:val="0"/>
        </w:rPr>
        <w:t>Gifted Child Quarterly</w:t>
      </w:r>
      <w:r>
        <w:rPr>
          <w:kern w:val="0"/>
        </w:rPr>
        <w:t xml:space="preserve">, </w:t>
      </w:r>
      <w:r>
        <w:rPr>
          <w:b/>
          <w:bCs/>
          <w:kern w:val="0"/>
        </w:rPr>
        <w:t>34</w:t>
      </w:r>
      <w:r>
        <w:rPr>
          <w:kern w:val="0"/>
        </w:rPr>
        <w:t xml:space="preserve"> (3), 116-123</w:t>
      </w:r>
      <w:r>
        <w:rPr>
          <w:rFonts w:hint="eastAsia"/>
          <w:kern w:val="0"/>
        </w:rPr>
        <w:t>.</w:t>
      </w:r>
    </w:p>
    <w:p w:rsidR="00924E00" w:rsidRDefault="00924E00" w:rsidP="00924E00">
      <w:pPr>
        <w:pStyle w:val="a0"/>
        <w:rPr>
          <w:kern w:val="0"/>
        </w:rPr>
      </w:pPr>
      <w:r>
        <w:rPr>
          <w:rFonts w:hint="eastAsia"/>
          <w:kern w:val="0"/>
        </w:rPr>
        <w:t xml:space="preserve">Full Text: </w:t>
      </w:r>
      <w:hyperlink r:id="rId468" w:history="1">
        <w:r w:rsidRPr="00924E00">
          <w:rPr>
            <w:rStyle w:val="a5"/>
            <w:kern w:val="0"/>
          </w:rPr>
          <w:t>1990\Gif Chi Qua34, 116.pdf</w:t>
        </w:r>
      </w:hyperlink>
    </w:p>
    <w:p w:rsidR="00924E00" w:rsidRDefault="00924E00" w:rsidP="00924E00">
      <w:pPr>
        <w:pStyle w:val="a0"/>
        <w:rPr>
          <w:kern w:val="0"/>
        </w:rPr>
      </w:pPr>
      <w:r>
        <w:rPr>
          <w:kern w:val="0"/>
        </w:rPr>
        <w:t>Keywords: Articles, Journal, Researchers</w:t>
      </w:r>
    </w:p>
    <w:p w:rsidR="00B95188" w:rsidRPr="00A428C3" w:rsidRDefault="00B95188" w:rsidP="00B95188">
      <w:pPr>
        <w:pStyle w:val="1"/>
      </w:pPr>
      <w:r w:rsidRPr="00A428C3">
        <w:rPr>
          <w:lang w:val="en-GB"/>
        </w:rPr>
        <w:br w:type="page"/>
      </w:r>
      <w:bookmarkStart w:id="375" w:name="_Toc186647732"/>
      <w:bookmarkStart w:id="376" w:name="_Toc317160943"/>
      <w:r w:rsidRPr="00A428C3">
        <w:lastRenderedPageBreak/>
        <w:t>Title: Giornale di Gerontologia</w:t>
      </w:r>
      <w:bookmarkEnd w:id="375"/>
      <w:bookmarkEnd w:id="376"/>
    </w:p>
    <w:p w:rsidR="00B95188" w:rsidRPr="00A428C3" w:rsidRDefault="00B95188" w:rsidP="00B72EF9">
      <w:pPr>
        <w:pStyle w:val="12"/>
      </w:pPr>
      <w:r w:rsidRPr="00A428C3">
        <w:t>Full Journal Title: Giornale di Gerontologia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0017-0305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Gherardi, E. (1981), The status of the Italian research in the field of the biology of aging from 1976 to 1980 - A bibliometric evaluation. </w:t>
      </w:r>
      <w:r w:rsidRPr="00A428C3">
        <w:rPr>
          <w:i/>
          <w:iCs/>
        </w:rPr>
        <w:t>Giornale di Gerontologia</w:t>
      </w:r>
      <w:r w:rsidRPr="00A428C3">
        <w:t xml:space="preserve">, </w:t>
      </w:r>
      <w:r w:rsidRPr="00A428C3">
        <w:rPr>
          <w:b/>
        </w:rPr>
        <w:t>29</w:t>
      </w:r>
      <w:r w:rsidRPr="00A428C3">
        <w:t xml:space="preserve"> (10), 757-768.</w:t>
      </w:r>
    </w:p>
    <w:p w:rsidR="00B95188" w:rsidRPr="00A428C3" w:rsidRDefault="00B95188" w:rsidP="00B95188">
      <w:pPr>
        <w:pStyle w:val="a0"/>
      </w:pPr>
      <w:r w:rsidRPr="00A428C3">
        <w:t>? Salvioli, G.F.</w:t>
      </w:r>
      <w:r w:rsidR="00F81221">
        <w:t xml:space="preserve"> and </w:t>
      </w:r>
      <w:r w:rsidRPr="00A428C3">
        <w:t>Salati, R. (1981), Bibliometric analysis of the clinical research in gerontology</w:t>
      </w:r>
      <w:r w:rsidR="00F81221">
        <w:t xml:space="preserve"> and </w:t>
      </w:r>
      <w:r w:rsidRPr="00A428C3">
        <w:t xml:space="preserve">geriatrics. </w:t>
      </w:r>
      <w:r w:rsidRPr="00A428C3">
        <w:rPr>
          <w:i/>
          <w:iCs/>
        </w:rPr>
        <w:t>Giornale di Gerontologia</w:t>
      </w:r>
      <w:r w:rsidRPr="00A428C3">
        <w:t xml:space="preserve">, </w:t>
      </w:r>
      <w:r w:rsidRPr="00A428C3">
        <w:rPr>
          <w:b/>
        </w:rPr>
        <w:t>29</w:t>
      </w:r>
      <w:r w:rsidRPr="00A428C3">
        <w:t xml:space="preserve"> (10), 769-773.</w:t>
      </w:r>
    </w:p>
    <w:p w:rsidR="00B95188" w:rsidRPr="00A428C3" w:rsidRDefault="00B95188" w:rsidP="00B95188">
      <w:pPr>
        <w:pStyle w:val="a0"/>
      </w:pPr>
      <w:r w:rsidRPr="00A428C3">
        <w:t>? Fabris, N. (1981), Bibliometric analysis of studies on immunology</w:t>
      </w:r>
      <w:r w:rsidR="00F81221">
        <w:t xml:space="preserve"> and </w:t>
      </w:r>
      <w:r w:rsidRPr="00A428C3">
        <w:t xml:space="preserve">aging during the period 1976-1980. </w:t>
      </w:r>
      <w:r w:rsidRPr="00A428C3">
        <w:rPr>
          <w:i/>
          <w:iCs/>
        </w:rPr>
        <w:t>Giornale di Gerontologia</w:t>
      </w:r>
      <w:r w:rsidRPr="00A428C3">
        <w:rPr>
          <w:iCs/>
        </w:rPr>
        <w:t>,</w:t>
      </w:r>
      <w:r w:rsidRPr="00A428C3">
        <w:t xml:space="preserve"> </w:t>
      </w:r>
      <w:r w:rsidRPr="00A428C3">
        <w:rPr>
          <w:b/>
          <w:iCs/>
        </w:rPr>
        <w:t>29</w:t>
      </w:r>
      <w:r w:rsidRPr="00A428C3">
        <w:t>, 775-776.</w:t>
      </w:r>
    </w:p>
    <w:p w:rsidR="00CF74C4" w:rsidRDefault="00CF74C4" w:rsidP="00CF74C4">
      <w:pPr>
        <w:pStyle w:val="1"/>
      </w:pPr>
      <w:r>
        <w:rPr>
          <w:lang w:val="en-GB"/>
        </w:rPr>
        <w:br w:type="page"/>
      </w:r>
      <w:bookmarkStart w:id="377" w:name="_Toc238862951"/>
      <w:bookmarkStart w:id="378" w:name="_Toc317160944"/>
      <w:r>
        <w:lastRenderedPageBreak/>
        <w:t xml:space="preserve">Title: </w:t>
      </w:r>
      <w:r w:rsidRPr="007E0C8D">
        <w:t>GL6: Work on Grey in Progress, Conference Proceedings</w:t>
      </w:r>
      <w:bookmarkEnd w:id="377"/>
      <w:bookmarkEnd w:id="378"/>
    </w:p>
    <w:p w:rsidR="00CF74C4" w:rsidRDefault="00CF74C4" w:rsidP="00B72EF9">
      <w:pPr>
        <w:pStyle w:val="12"/>
      </w:pPr>
      <w:r>
        <w:t xml:space="preserve">Full Journal Title: </w:t>
      </w:r>
      <w:r w:rsidRPr="00A55B4C">
        <w:t>GL6: Work on Grey in Progress, Conference Proceedings</w:t>
      </w:r>
    </w:p>
    <w:p w:rsidR="00CF74C4" w:rsidRDefault="00CF74C4" w:rsidP="00B72EF9">
      <w:pPr>
        <w:pStyle w:val="12"/>
      </w:pPr>
      <w:r>
        <w:t xml:space="preserve">ISO Abbreviated Title: </w:t>
      </w:r>
    </w:p>
    <w:p w:rsidR="00CF74C4" w:rsidRDefault="00CF74C4" w:rsidP="00B72EF9">
      <w:pPr>
        <w:pStyle w:val="12"/>
      </w:pPr>
      <w:r>
        <w:t xml:space="preserve">JCR Abbreviated Title: </w:t>
      </w:r>
    </w:p>
    <w:p w:rsidR="00CF74C4" w:rsidRDefault="00CF74C4" w:rsidP="00B72EF9">
      <w:pPr>
        <w:pStyle w:val="12"/>
      </w:pPr>
      <w:r>
        <w:t xml:space="preserve">ISSN: </w:t>
      </w:r>
    </w:p>
    <w:p w:rsidR="00CF74C4" w:rsidRDefault="00CF74C4" w:rsidP="00B72EF9">
      <w:pPr>
        <w:pStyle w:val="12"/>
      </w:pPr>
      <w:r>
        <w:t xml:space="preserve">Issues/Year: </w:t>
      </w:r>
    </w:p>
    <w:p w:rsidR="00CF74C4" w:rsidRDefault="00FB5623" w:rsidP="00B72EF9">
      <w:pPr>
        <w:pStyle w:val="12"/>
      </w:pPr>
      <w:r>
        <w:t>Journal Country/Territory:</w:t>
      </w:r>
      <w:r w:rsidR="00CF74C4">
        <w:t xml:space="preserve"> </w:t>
      </w:r>
    </w:p>
    <w:p w:rsidR="00CF74C4" w:rsidRDefault="00CF74C4" w:rsidP="00B72EF9">
      <w:pPr>
        <w:pStyle w:val="12"/>
      </w:pPr>
      <w:r>
        <w:t xml:space="preserve">Language: </w:t>
      </w:r>
    </w:p>
    <w:p w:rsidR="00CF74C4" w:rsidRDefault="00CF74C4" w:rsidP="00B72EF9">
      <w:pPr>
        <w:pStyle w:val="12"/>
      </w:pPr>
      <w:r>
        <w:t xml:space="preserve">Publisher: </w:t>
      </w:r>
    </w:p>
    <w:p w:rsidR="00CF74C4" w:rsidRDefault="00CF74C4" w:rsidP="00B72EF9">
      <w:pPr>
        <w:pStyle w:val="12"/>
      </w:pPr>
      <w:r>
        <w:t xml:space="preserve">Publisher Address: </w:t>
      </w:r>
    </w:p>
    <w:p w:rsidR="00CF74C4" w:rsidRDefault="00CF74C4" w:rsidP="00B72EF9">
      <w:pPr>
        <w:pStyle w:val="12"/>
      </w:pPr>
      <w:r>
        <w:t xml:space="preserve">Subject Categories: </w:t>
      </w:r>
    </w:p>
    <w:p w:rsidR="00CF74C4" w:rsidRDefault="00CF74C4" w:rsidP="00B72EF9">
      <w:pPr>
        <w:pStyle w:val="12"/>
      </w:pPr>
      <w:r>
        <w:t>:</w:t>
      </w:r>
      <w:r>
        <w:rPr>
          <w:rFonts w:hint="eastAsia"/>
        </w:rPr>
        <w:t xml:space="preserve"> </w:t>
      </w:r>
      <w:r>
        <w:t xml:space="preserve">Impact Factor </w:t>
      </w:r>
    </w:p>
    <w:p w:rsidR="00CF74C4" w:rsidRPr="003862C4" w:rsidRDefault="00CF74C4" w:rsidP="00CF74C4">
      <w:pPr>
        <w:pStyle w:val="a0"/>
      </w:pPr>
      <w:r w:rsidRPr="008B2BB0">
        <w:rPr>
          <w:rFonts w:hint="eastAsia"/>
        </w:rPr>
        <w:t xml:space="preserve">? </w:t>
      </w:r>
      <w:r w:rsidRPr="008B2BB0">
        <w:t>Di Cesare, R., Ruggieri, R., Giannini, S.</w:t>
      </w:r>
      <w:r w:rsidR="00F81221">
        <w:t xml:space="preserve"> and </w:t>
      </w:r>
      <w:r w:rsidRPr="008B2BB0">
        <w:t>Biagioni, S. (2005), Trend evaluation</w:t>
      </w:r>
      <w:r w:rsidR="00F81221">
        <w:t xml:space="preserve"> and </w:t>
      </w:r>
      <w:r w:rsidRPr="008B2BB0">
        <w:t>comparison of the use</w:t>
      </w:r>
      <w:r w:rsidR="00F81221">
        <w:t xml:space="preserve"> and </w:t>
      </w:r>
      <w:r w:rsidRPr="008B2BB0">
        <w:t>value of GL in core demography</w:t>
      </w:r>
      <w:r w:rsidR="00F81221">
        <w:t xml:space="preserve"> and </w:t>
      </w:r>
      <w:r w:rsidRPr="008B2BB0">
        <w:t xml:space="preserve">computer science journals. </w:t>
      </w:r>
      <w:r w:rsidRPr="00CE7517">
        <w:rPr>
          <w:i/>
          <w:iCs/>
        </w:rPr>
        <w:t>GL6: Work on Grey in Progress, Conference Proceedings</w:t>
      </w:r>
      <w:r w:rsidRPr="003862C4">
        <w:t>, 41-49.</w:t>
      </w:r>
    </w:p>
    <w:p w:rsidR="00CF74C4" w:rsidRPr="003862C4" w:rsidRDefault="00CF74C4" w:rsidP="00CF74C4">
      <w:pPr>
        <w:pStyle w:val="a0"/>
      </w:pPr>
      <w:r w:rsidRPr="003862C4">
        <w:t>Abstract: Over the last ten years the impact of grey literature on conventional literature has frequently been studied. Studies have made use of bibliometric instruments used for citation analysis. Recently, this research has magnified attention on the impact of new forms of GL that have emerged along with the spread of Internet. This work aims to a) measure the impact of GL on two different scientific fields; b) describe the characteristics of GL documents cited; c) ascertain any changes in LG impact due to use of the www. Two years (1995</w:t>
      </w:r>
      <w:r w:rsidR="00F81221">
        <w:t xml:space="preserve"> and </w:t>
      </w:r>
      <w:r w:rsidRPr="003862C4">
        <w:t>2003) were chosen as illustrative of the situation before</w:t>
      </w:r>
      <w:r w:rsidR="00F81221">
        <w:t xml:space="preserve"> and </w:t>
      </w:r>
      <w:r w:rsidRPr="003862C4">
        <w:t>after the growth in the use of the www. With these aims, bibliographic references have been analysed in publications in two scientific fields for which it is logical to hypothesise a different impact. The publications are three journals of computer sciences included in the Journal Citation Report (JCR) Science Ed.,</w:t>
      </w:r>
      <w:r w:rsidR="00F81221">
        <w:t xml:space="preserve"> and </w:t>
      </w:r>
      <w:r w:rsidRPr="003862C4">
        <w:t>three journals of demography included in Journal Citation Report (JCR) - Social Science Ed.. The three journals in each of the two categories were chosen on the basis of their stability during the observation period (1995</w:t>
      </w:r>
      <w:r w:rsidR="00F81221">
        <w:t xml:space="preserve"> and </w:t>
      </w:r>
      <w:r w:rsidRPr="003862C4">
        <w:t>2003) in terms both of their Impact Factor (IF) high, medium</w:t>
      </w:r>
      <w:r w:rsidR="00F81221">
        <w:t xml:space="preserve"> and </w:t>
      </w:r>
      <w:r w:rsidRPr="003862C4">
        <w:t>low -</w:t>
      </w:r>
      <w:r w:rsidR="00F81221">
        <w:t xml:space="preserve"> and </w:t>
      </w:r>
      <w:r w:rsidRPr="003862C4">
        <w:t>of their ranks.</w:t>
      </w:r>
    </w:p>
    <w:p w:rsidR="00CF74C4" w:rsidRPr="003862C4" w:rsidRDefault="00CF74C4" w:rsidP="00CF74C4">
      <w:pPr>
        <w:pStyle w:val="a0"/>
      </w:pPr>
      <w:r w:rsidRPr="003862C4">
        <w:t>Keywords: Analysis, Bibliometric, Changes, Characteristics, Citation, Citation Analysis, Comparison, Conventional, Demography, Evaluation, Growth, Impact, Internet, Journals, Literature, Observation, Publications, Research, Science, Science Journals, Sciences, Stability, Value, Work</w:t>
      </w:r>
    </w:p>
    <w:p w:rsidR="00B95188" w:rsidRPr="00A428C3" w:rsidRDefault="00B95188" w:rsidP="00B95188">
      <w:pPr>
        <w:pStyle w:val="1"/>
      </w:pPr>
      <w:r w:rsidRPr="00A428C3">
        <w:rPr>
          <w:lang w:val="en-GB"/>
        </w:rPr>
        <w:br w:type="page"/>
      </w:r>
      <w:bookmarkStart w:id="379" w:name="_Toc455569458"/>
      <w:bookmarkStart w:id="380" w:name="_Toc487190685"/>
      <w:bookmarkStart w:id="381" w:name="_Toc487882189"/>
      <w:bookmarkStart w:id="382" w:name="_Toc490687994"/>
      <w:bookmarkStart w:id="383" w:name="_Toc492807655"/>
      <w:bookmarkStart w:id="384" w:name="_Toc186647733"/>
      <w:bookmarkStart w:id="385" w:name="_Toc317160945"/>
      <w:r w:rsidRPr="00A428C3">
        <w:lastRenderedPageBreak/>
        <w:t>Title: Glass Technology</w:t>
      </w:r>
      <w:bookmarkEnd w:id="379"/>
      <w:bookmarkEnd w:id="380"/>
      <w:bookmarkEnd w:id="381"/>
      <w:bookmarkEnd w:id="382"/>
      <w:bookmarkEnd w:id="383"/>
      <w:bookmarkEnd w:id="384"/>
      <w:bookmarkEnd w:id="385"/>
    </w:p>
    <w:p w:rsidR="00B95188" w:rsidRPr="00A428C3" w:rsidRDefault="00B95188" w:rsidP="00B72EF9">
      <w:pPr>
        <w:pStyle w:val="12"/>
      </w:pPr>
      <w:r w:rsidRPr="00A428C3">
        <w:t>Full Journal Title: Glass Technology</w:t>
      </w:r>
    </w:p>
    <w:p w:rsidR="00B95188" w:rsidRPr="00A428C3" w:rsidRDefault="00B95188" w:rsidP="00B72EF9">
      <w:pPr>
        <w:pStyle w:val="12"/>
      </w:pPr>
      <w:r w:rsidRPr="00A428C3">
        <w:t>ISO Abbreviated Title: Glass Technol.</w:t>
      </w:r>
    </w:p>
    <w:p w:rsidR="00B95188" w:rsidRPr="00A428C3" w:rsidRDefault="00B95188" w:rsidP="00B72EF9">
      <w:pPr>
        <w:pStyle w:val="12"/>
      </w:pPr>
      <w:r w:rsidRPr="00A428C3">
        <w:t>JCR Abbreviated Title: Glass Technol</w:t>
      </w:r>
    </w:p>
    <w:p w:rsidR="00B95188" w:rsidRPr="00A428C3" w:rsidRDefault="00B95188" w:rsidP="00B72EF9">
      <w:pPr>
        <w:pStyle w:val="12"/>
      </w:pPr>
      <w:r w:rsidRPr="00A428C3">
        <w:t>ISSN: 0017-1271</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Soc Glass Technology</w:t>
      </w:r>
    </w:p>
    <w:p w:rsidR="00B95188" w:rsidRPr="00A428C3" w:rsidRDefault="00B95188" w:rsidP="00B72EF9">
      <w:pPr>
        <w:pStyle w:val="12"/>
      </w:pPr>
      <w:r w:rsidRPr="00A428C3">
        <w:t xml:space="preserve">Publisher Address: </w:t>
      </w:r>
      <w:smartTag w:uri="urn:schemas-microsoft-com:office:smarttags" w:element="City">
        <w:r w:rsidRPr="00A428C3">
          <w:t>Thornton</w:t>
        </w:r>
      </w:smartTag>
      <w:r w:rsidRPr="00A428C3">
        <w:t xml:space="preserve"> 20 Hallam Gate Road, Sheffield, S </w:t>
      </w:r>
      <w:smartTag w:uri="urn:schemas-microsoft-com:office:smarttags" w:element="place">
        <w:smartTag w:uri="urn:schemas-microsoft-com:office:smarttags" w:element="City">
          <w:r w:rsidRPr="00A428C3">
            <w:t>Yorkshire</w:t>
          </w:r>
        </w:smartTag>
        <w:r w:rsidRPr="00A428C3">
          <w:t xml:space="preserve">, </w:t>
        </w:r>
        <w:smartTag w:uri="urn:schemas-microsoft-com:office:smarttags" w:element="country-region">
          <w:r w:rsidRPr="00A428C3">
            <w:t>England</w:t>
          </w:r>
        </w:smartTag>
        <w:r w:rsidRPr="00A428C3">
          <w:t xml:space="preserve"> </w:t>
        </w:r>
        <w:smartTag w:uri="urn:schemas-microsoft-com:office:smarttags" w:element="PostalCode">
          <w:r w:rsidRPr="00A428C3">
            <w:t>S10 5BT</w:t>
          </w:r>
        </w:smartTag>
      </w:smartTag>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Materials Science, Ceramics: Impact Factor </w:t>
      </w:r>
    </w:p>
    <w:p w:rsidR="00B95188" w:rsidRPr="00A428C3" w:rsidRDefault="00B95188" w:rsidP="00B95188">
      <w:pPr>
        <w:pStyle w:val="a0"/>
      </w:pPr>
      <w:r w:rsidRPr="00A428C3">
        <w:t>? Green, R. (1990), Reliable continuous emission monitoring systems for legal stack emission surveillance.</w:t>
      </w:r>
      <w:r w:rsidRPr="00A428C3">
        <w:rPr>
          <w:i/>
        </w:rPr>
        <w:t xml:space="preserve"> Glass Technology</w:t>
      </w:r>
      <w:r w:rsidRPr="00A428C3">
        <w:t xml:space="preserve">, </w:t>
      </w:r>
      <w:r w:rsidRPr="00A428C3">
        <w:rPr>
          <w:b/>
        </w:rPr>
        <w:t>31</w:t>
      </w:r>
      <w:r w:rsidRPr="00A428C3">
        <w:t xml:space="preserve"> (2), 41-44.</w:t>
      </w:r>
    </w:p>
    <w:p w:rsidR="00F076FF" w:rsidRPr="00A428C3" w:rsidRDefault="00F076FF" w:rsidP="00F076FF">
      <w:pPr>
        <w:pStyle w:val="1"/>
      </w:pPr>
      <w:r w:rsidRPr="00A428C3">
        <w:rPr>
          <w:lang w:val="en-GB"/>
        </w:rPr>
        <w:br w:type="page"/>
      </w:r>
      <w:bookmarkStart w:id="386" w:name="_Toc317160946"/>
      <w:r w:rsidRPr="00A428C3">
        <w:lastRenderedPageBreak/>
        <w:t xml:space="preserve">Title: </w:t>
      </w:r>
      <w:r>
        <w:t>Global Biogeochemical Cycles</w:t>
      </w:r>
      <w:bookmarkEnd w:id="386"/>
    </w:p>
    <w:p w:rsidR="00F076FF" w:rsidRPr="00A428C3" w:rsidRDefault="00F076FF" w:rsidP="00F076FF">
      <w:pPr>
        <w:pStyle w:val="12"/>
      </w:pPr>
      <w:r w:rsidRPr="00A428C3">
        <w:t xml:space="preserve">Full Journal Title: </w:t>
      </w:r>
      <w:r>
        <w:t>Global Biogeochemical Cycles</w:t>
      </w:r>
    </w:p>
    <w:p w:rsidR="00F076FF" w:rsidRPr="00A428C3" w:rsidRDefault="00F076FF" w:rsidP="00F076FF">
      <w:pPr>
        <w:pStyle w:val="12"/>
      </w:pPr>
      <w:r w:rsidRPr="00A428C3">
        <w:t xml:space="preserve">ISO Abbreviated Title: </w:t>
      </w:r>
    </w:p>
    <w:p w:rsidR="00F076FF" w:rsidRPr="00A428C3" w:rsidRDefault="00F076FF" w:rsidP="00F076FF">
      <w:pPr>
        <w:pStyle w:val="12"/>
      </w:pPr>
      <w:r w:rsidRPr="00A428C3">
        <w:t xml:space="preserve">JCR Abbreviated Title: </w:t>
      </w:r>
    </w:p>
    <w:p w:rsidR="00F076FF" w:rsidRPr="00A428C3" w:rsidRDefault="00F076FF" w:rsidP="00F076FF">
      <w:pPr>
        <w:pStyle w:val="12"/>
      </w:pPr>
      <w:r w:rsidRPr="00A428C3">
        <w:t xml:space="preserve">ISSN: </w:t>
      </w:r>
    </w:p>
    <w:p w:rsidR="00F076FF" w:rsidRPr="00A428C3" w:rsidRDefault="00F076FF" w:rsidP="00F076FF">
      <w:pPr>
        <w:pStyle w:val="12"/>
      </w:pPr>
      <w:r w:rsidRPr="00A428C3">
        <w:t xml:space="preserve">Issues/Year: </w:t>
      </w:r>
    </w:p>
    <w:p w:rsidR="00F076FF" w:rsidRPr="00A428C3" w:rsidRDefault="00F076FF" w:rsidP="00F076FF">
      <w:pPr>
        <w:pStyle w:val="12"/>
      </w:pPr>
      <w:r w:rsidRPr="00A428C3">
        <w:t xml:space="preserve">Journal Country/Territory: </w:t>
      </w:r>
    </w:p>
    <w:p w:rsidR="00F076FF" w:rsidRPr="00A428C3" w:rsidRDefault="00F076FF" w:rsidP="00F076FF">
      <w:pPr>
        <w:pStyle w:val="12"/>
      </w:pPr>
      <w:r w:rsidRPr="00A428C3">
        <w:t xml:space="preserve">Language: </w:t>
      </w:r>
    </w:p>
    <w:p w:rsidR="00F076FF" w:rsidRPr="00A428C3" w:rsidRDefault="00F076FF" w:rsidP="00F076FF">
      <w:pPr>
        <w:pStyle w:val="12"/>
      </w:pPr>
      <w:r w:rsidRPr="00A428C3">
        <w:t xml:space="preserve">Publisher: </w:t>
      </w:r>
    </w:p>
    <w:p w:rsidR="00F076FF" w:rsidRPr="00A428C3" w:rsidRDefault="00F076FF" w:rsidP="00F076FF">
      <w:pPr>
        <w:pStyle w:val="12"/>
      </w:pPr>
      <w:r w:rsidRPr="00A428C3">
        <w:t xml:space="preserve">Publisher Address: </w:t>
      </w:r>
    </w:p>
    <w:p w:rsidR="00F076FF" w:rsidRPr="00A428C3" w:rsidRDefault="00F076FF" w:rsidP="00F076FF">
      <w:pPr>
        <w:pStyle w:val="12"/>
      </w:pPr>
      <w:r w:rsidRPr="00A428C3">
        <w:t xml:space="preserve">Subject Categories: </w:t>
      </w:r>
    </w:p>
    <w:p w:rsidR="00F076FF" w:rsidRPr="00A428C3" w:rsidRDefault="00F076FF" w:rsidP="00F076FF">
      <w:pPr>
        <w:pStyle w:val="12"/>
      </w:pPr>
      <w:r w:rsidRPr="00A428C3">
        <w:t xml:space="preserve">: Impact Factor </w:t>
      </w:r>
    </w:p>
    <w:p w:rsidR="003406F2" w:rsidRDefault="003406F2" w:rsidP="00F076FF">
      <w:pPr>
        <w:pStyle w:val="a0"/>
      </w:pPr>
      <w:r>
        <w:rPr>
          <w:rFonts w:hint="eastAsia"/>
        </w:rPr>
        <w:t>Notes: highly cited</w:t>
      </w:r>
    </w:p>
    <w:p w:rsidR="00F076FF" w:rsidRDefault="00F076FF" w:rsidP="00F076FF">
      <w:pPr>
        <w:pStyle w:val="a0"/>
      </w:pPr>
      <w:r w:rsidRPr="00A428C3">
        <w:t xml:space="preserve">? </w:t>
      </w:r>
      <w:r>
        <w:t>Schimel</w:t>
      </w:r>
      <w:r>
        <w:rPr>
          <w:rFonts w:hint="eastAsia"/>
        </w:rPr>
        <w:t>,</w:t>
      </w:r>
      <w:r>
        <w:t xml:space="preserve"> D</w:t>
      </w:r>
      <w:r>
        <w:rPr>
          <w:rFonts w:hint="eastAsia"/>
        </w:rPr>
        <w:t>.</w:t>
      </w:r>
      <w:r>
        <w:t>S</w:t>
      </w:r>
      <w:r>
        <w:rPr>
          <w:rFonts w:hint="eastAsia"/>
        </w:rPr>
        <w:t>.</w:t>
      </w:r>
      <w:r>
        <w:t>, Braswell</w:t>
      </w:r>
      <w:r>
        <w:rPr>
          <w:rFonts w:hint="eastAsia"/>
        </w:rPr>
        <w:t>,</w:t>
      </w:r>
      <w:r>
        <w:t xml:space="preserve"> B</w:t>
      </w:r>
      <w:r>
        <w:rPr>
          <w:rFonts w:hint="eastAsia"/>
        </w:rPr>
        <w:t>.</w:t>
      </w:r>
      <w:r>
        <w:t>H</w:t>
      </w:r>
      <w:r>
        <w:rPr>
          <w:rFonts w:hint="eastAsia"/>
        </w:rPr>
        <w:t>.</w:t>
      </w:r>
      <w:r>
        <w:t>, Holland</w:t>
      </w:r>
      <w:r>
        <w:rPr>
          <w:rFonts w:hint="eastAsia"/>
        </w:rPr>
        <w:t>,</w:t>
      </w:r>
      <w:r>
        <w:t xml:space="preserve"> E</w:t>
      </w:r>
      <w:r>
        <w:rPr>
          <w:rFonts w:hint="eastAsia"/>
        </w:rPr>
        <w:t>.</w:t>
      </w:r>
      <w:r>
        <w:t>A</w:t>
      </w:r>
      <w:r>
        <w:rPr>
          <w:rFonts w:hint="eastAsia"/>
        </w:rPr>
        <w:t>.</w:t>
      </w:r>
      <w:r>
        <w:t>, Mckeown</w:t>
      </w:r>
      <w:r>
        <w:rPr>
          <w:rFonts w:hint="eastAsia"/>
        </w:rPr>
        <w:t>,</w:t>
      </w:r>
      <w:r>
        <w:t xml:space="preserve"> R</w:t>
      </w:r>
      <w:r>
        <w:rPr>
          <w:rFonts w:hint="eastAsia"/>
        </w:rPr>
        <w:t>.</w:t>
      </w:r>
      <w:r>
        <w:t>, Ojima</w:t>
      </w:r>
      <w:r>
        <w:rPr>
          <w:rFonts w:hint="eastAsia"/>
        </w:rPr>
        <w:t>,</w:t>
      </w:r>
      <w:r>
        <w:t xml:space="preserve"> D</w:t>
      </w:r>
      <w:r>
        <w:rPr>
          <w:rFonts w:hint="eastAsia"/>
        </w:rPr>
        <w:t>.</w:t>
      </w:r>
      <w:r>
        <w:t>S</w:t>
      </w:r>
      <w:r>
        <w:rPr>
          <w:rFonts w:hint="eastAsia"/>
        </w:rPr>
        <w:t>.</w:t>
      </w:r>
      <w:r>
        <w:t>, Painter</w:t>
      </w:r>
      <w:r>
        <w:rPr>
          <w:rFonts w:hint="eastAsia"/>
        </w:rPr>
        <w:t>,</w:t>
      </w:r>
      <w:r>
        <w:t xml:space="preserve"> T</w:t>
      </w:r>
      <w:r>
        <w:rPr>
          <w:rFonts w:hint="eastAsia"/>
        </w:rPr>
        <w:t>.</w:t>
      </w:r>
      <w:r>
        <w:t>H</w:t>
      </w:r>
      <w:r>
        <w:rPr>
          <w:rFonts w:hint="eastAsia"/>
        </w:rPr>
        <w:t>.</w:t>
      </w:r>
      <w:r>
        <w:t>, Parton</w:t>
      </w:r>
      <w:r>
        <w:rPr>
          <w:rFonts w:hint="eastAsia"/>
        </w:rPr>
        <w:t>,</w:t>
      </w:r>
      <w:r>
        <w:t xml:space="preserve"> W</w:t>
      </w:r>
      <w:r>
        <w:rPr>
          <w:rFonts w:hint="eastAsia"/>
        </w:rPr>
        <w:t>.</w:t>
      </w:r>
      <w:r>
        <w:t>J</w:t>
      </w:r>
      <w:r>
        <w:rPr>
          <w:rFonts w:hint="eastAsia"/>
        </w:rPr>
        <w:t>.</w:t>
      </w:r>
      <w:r w:rsidR="00F81221">
        <w:rPr>
          <w:rFonts w:hint="eastAsia"/>
        </w:rPr>
        <w:t xml:space="preserve"> and </w:t>
      </w:r>
      <w:r>
        <w:t>Townsend</w:t>
      </w:r>
      <w:r>
        <w:rPr>
          <w:rFonts w:hint="eastAsia"/>
        </w:rPr>
        <w:t>,</w:t>
      </w:r>
      <w:r>
        <w:t xml:space="preserve"> A</w:t>
      </w:r>
      <w:r>
        <w:rPr>
          <w:rFonts w:hint="eastAsia"/>
        </w:rPr>
        <w:t>.</w:t>
      </w:r>
      <w:r>
        <w:t>R</w:t>
      </w:r>
      <w:r>
        <w:rPr>
          <w:rFonts w:hint="eastAsia"/>
        </w:rPr>
        <w:t>.</w:t>
      </w:r>
      <w:r w:rsidRPr="00A428C3">
        <w:t xml:space="preserve"> (199</w:t>
      </w:r>
      <w:r>
        <w:rPr>
          <w:rFonts w:hint="eastAsia"/>
        </w:rPr>
        <w:t>4</w:t>
      </w:r>
      <w:r w:rsidRPr="00A428C3">
        <w:t xml:space="preserve">), </w:t>
      </w:r>
      <w:r>
        <w:t>Climatic, Edaphic,</w:t>
      </w:r>
      <w:r w:rsidR="00F81221">
        <w:t xml:space="preserve"> and </w:t>
      </w:r>
      <w:r>
        <w:t>biotic controls over storage</w:t>
      </w:r>
      <w:r w:rsidR="00F81221">
        <w:t xml:space="preserve"> and </w:t>
      </w:r>
      <w:r>
        <w:t>turnover of carbon in soils</w:t>
      </w:r>
      <w:r w:rsidRPr="00A428C3">
        <w:t>.</w:t>
      </w:r>
      <w:r w:rsidRPr="00A428C3">
        <w:rPr>
          <w:i/>
        </w:rPr>
        <w:t xml:space="preserve"> </w:t>
      </w:r>
      <w:r w:rsidRPr="00F076FF">
        <w:rPr>
          <w:i/>
        </w:rPr>
        <w:t>Global Biogeochemical Cycles</w:t>
      </w:r>
      <w:r w:rsidRPr="00A428C3">
        <w:t xml:space="preserve">, </w:t>
      </w:r>
      <w:r>
        <w:rPr>
          <w:rFonts w:hint="eastAsia"/>
          <w:b/>
        </w:rPr>
        <w:t>8</w:t>
      </w:r>
      <w:r w:rsidRPr="00A428C3">
        <w:t xml:space="preserve"> (</w:t>
      </w:r>
      <w:r>
        <w:rPr>
          <w:rFonts w:hint="eastAsia"/>
        </w:rPr>
        <w:t>3</w:t>
      </w:r>
      <w:r w:rsidRPr="00A428C3">
        <w:t xml:space="preserve">), </w:t>
      </w:r>
      <w:r>
        <w:t>279-293</w:t>
      </w:r>
      <w:r w:rsidRPr="00A428C3">
        <w:t>.</w:t>
      </w:r>
    </w:p>
    <w:p w:rsidR="00F076FF" w:rsidRDefault="00F076FF" w:rsidP="00F076FF">
      <w:pPr>
        <w:pStyle w:val="a0"/>
      </w:pPr>
      <w:r>
        <w:rPr>
          <w:rFonts w:hint="eastAsia"/>
        </w:rPr>
        <w:t>Full Text: 1994\</w:t>
      </w:r>
      <w:r>
        <w:t>Glo Bio Cyc</w:t>
      </w:r>
      <w:r w:rsidRPr="00F076FF">
        <w:rPr>
          <w:rFonts w:hint="eastAsia"/>
        </w:rPr>
        <w:t>8</w:t>
      </w:r>
      <w:r w:rsidRPr="00A428C3">
        <w:t xml:space="preserve">, </w:t>
      </w:r>
      <w:r>
        <w:t>279</w:t>
      </w:r>
      <w:r>
        <w:rPr>
          <w:rFonts w:hint="eastAsia"/>
        </w:rPr>
        <w:t>.pdf</w:t>
      </w:r>
    </w:p>
    <w:p w:rsidR="00F076FF" w:rsidRDefault="00F076FF" w:rsidP="00F076FF">
      <w:pPr>
        <w:pStyle w:val="a0"/>
      </w:pPr>
      <w:r>
        <w:t>Abstract: Soil carbon, a major component of the global carbon inventory, has significant potential for change with changing climate</w:t>
      </w:r>
      <w:r w:rsidR="00F81221">
        <w:t xml:space="preserve"> and </w:t>
      </w:r>
      <w:r>
        <w:t>human land use. We applied the Century ecosystem model to a series of forest</w:t>
      </w:r>
      <w:r w:rsidR="00F81221">
        <w:t xml:space="preserve"> and </w:t>
      </w:r>
      <w:r>
        <w:t>grassland sites distributed globally to examine large-scale controls over soil carbon. Key site-specific parameters influencing soil carbon dynamics are soil texture</w:t>
      </w:r>
      <w:r w:rsidR="00F81221">
        <w:t xml:space="preserve"> and </w:t>
      </w:r>
      <w:r>
        <w:t>foliar lignin content; accordingly, we perturbed these variables at each site to establish a range of carbon concentrations</w:t>
      </w:r>
      <w:r w:rsidR="00F81221">
        <w:t xml:space="preserve"> and </w:t>
      </w:r>
      <w:r>
        <w:t>turnover times. We examined the simulated soil carbon stores, turnover times,</w:t>
      </w:r>
      <w:r w:rsidR="00F81221">
        <w:t xml:space="preserve"> and </w:t>
      </w:r>
      <w:r>
        <w:t>C:N ratios for correlations with patterns of independent variables. Results showed that soil carbon is related linearly to soil texture, increasing as clay content increases, that soil carbon stores</w:t>
      </w:r>
      <w:r w:rsidR="00F81221">
        <w:t xml:space="preserve"> and </w:t>
      </w:r>
      <w:r>
        <w:t>turnover time are related to mean annual temperature by negative exponential functions,</w:t>
      </w:r>
      <w:r w:rsidR="00F81221">
        <w:t xml:space="preserve"> and </w:t>
      </w:r>
      <w:r>
        <w:t>that heterotrophic respiration originates from recent detritus (similar to 50%), microbial turnover (similar to 30%),</w:t>
      </w:r>
      <w:r w:rsidR="00F81221">
        <w:t xml:space="preserve"> and </w:t>
      </w:r>
      <w:r>
        <w:t>soil organic matter (similar to 20%) with modest variations between forest</w:t>
      </w:r>
      <w:r w:rsidR="00F81221">
        <w:t xml:space="preserve"> and </w:t>
      </w:r>
      <w:r>
        <w:t>grassland ecosystems. The effect of changing temperature on soil organic carbon (SOC) estimated by Century is dSOC/dT = 183e(-0.034T). Global extrapolation of this relationship leads to an estimated sensitivity of soil C storage to a temperature of -11.1 Pg degrees C-1, excluding extreme arid</w:t>
      </w:r>
      <w:r w:rsidR="00F81221">
        <w:t xml:space="preserve"> and </w:t>
      </w:r>
      <w:r>
        <w:t>organic soils. In Century, net primary production (NPP)</w:t>
      </w:r>
      <w:r w:rsidR="00F81221">
        <w:t xml:space="preserve"> and </w:t>
      </w:r>
      <w:r>
        <w:t xml:space="preserve">soil carbon are closely coupled through the N cycle, so that as temperatures increase, accelerated N release first results in </w:t>
      </w:r>
      <w:r>
        <w:lastRenderedPageBreak/>
        <w:t>fertilization responses, increasing C inputs. The Century-predicted effect of temperature on carbon storage is modified by as much as 100% by the N cycle feedback. Century-estimated soil C sensitivity (-11.1 Pg degrees C-1) is similar to losses predicted with a simple data-based calculation (-14.1 Pg degrees C-1). Inclusion of the N cycle is important for even first order predictions of terrestrial carbon balance. If the NPP-SOC feedback is disrupted by land use or other disturbances, then SOC sensitivity can greatly exceed that estimated in our simulations. Century results further suggest that if climate change results in drying of organic soils (peats), soil carbon loss rates can be high.</w:t>
      </w:r>
    </w:p>
    <w:p w:rsidR="00F076FF" w:rsidRPr="00A428C3" w:rsidRDefault="00F076FF" w:rsidP="00F076FF">
      <w:pPr>
        <w:pStyle w:val="a0"/>
      </w:pPr>
      <w:r>
        <w:t>Keywords: Organic-Matter Dynamics, Shortgrass Steppe, CO2, Forest, Models, Fertilization, Cultivation, Succession, Ecosystems, Atmosphere</w:t>
      </w:r>
    </w:p>
    <w:p w:rsidR="00E6278C" w:rsidRDefault="00E6278C" w:rsidP="00E6278C">
      <w:pPr>
        <w:pStyle w:val="a0"/>
      </w:pPr>
      <w:r>
        <w:rPr>
          <w:rFonts w:hint="eastAsia"/>
        </w:rPr>
        <w:t>Notes: highly cited</w:t>
      </w:r>
    </w:p>
    <w:p w:rsidR="00E6278C" w:rsidRDefault="00E6278C" w:rsidP="00E6278C">
      <w:pPr>
        <w:pStyle w:val="a0"/>
      </w:pPr>
      <w:r w:rsidRPr="00A428C3">
        <w:t xml:space="preserve">? </w:t>
      </w:r>
      <w:r>
        <w:t>Hein, R</w:t>
      </w:r>
      <w:r>
        <w:rPr>
          <w:rFonts w:hint="eastAsia"/>
        </w:rPr>
        <w:t>.,</w:t>
      </w:r>
      <w:r>
        <w:t xml:space="preserve"> Crutzen, P</w:t>
      </w:r>
      <w:r>
        <w:rPr>
          <w:rFonts w:hint="eastAsia"/>
        </w:rPr>
        <w:t>.</w:t>
      </w:r>
      <w:r>
        <w:t>J</w:t>
      </w:r>
      <w:r>
        <w:rPr>
          <w:rFonts w:hint="eastAsia"/>
        </w:rPr>
        <w:t>.</w:t>
      </w:r>
      <w:r w:rsidR="00F81221">
        <w:rPr>
          <w:rFonts w:hint="eastAsia"/>
        </w:rPr>
        <w:t xml:space="preserve"> and </w:t>
      </w:r>
      <w:r>
        <w:t>Heimann, M</w:t>
      </w:r>
      <w:r>
        <w:rPr>
          <w:rFonts w:hint="eastAsia"/>
        </w:rPr>
        <w:t>.</w:t>
      </w:r>
      <w:r w:rsidRPr="00A428C3">
        <w:t xml:space="preserve"> (199</w:t>
      </w:r>
      <w:r>
        <w:rPr>
          <w:rFonts w:hint="eastAsia"/>
        </w:rPr>
        <w:t>7</w:t>
      </w:r>
      <w:r w:rsidRPr="00A428C3">
        <w:t xml:space="preserve">), </w:t>
      </w:r>
      <w:r>
        <w:t>An inverse modeling approach to investigate the global atmospheric methane cycle</w:t>
      </w:r>
      <w:r w:rsidRPr="00A428C3">
        <w:t>.</w:t>
      </w:r>
      <w:r w:rsidRPr="00A428C3">
        <w:rPr>
          <w:i/>
        </w:rPr>
        <w:t xml:space="preserve"> </w:t>
      </w:r>
      <w:r w:rsidRPr="00F076FF">
        <w:rPr>
          <w:i/>
        </w:rPr>
        <w:t>Global Biogeochemical Cycles</w:t>
      </w:r>
      <w:r w:rsidRPr="00A428C3">
        <w:t xml:space="preserve">, </w:t>
      </w:r>
      <w:r>
        <w:rPr>
          <w:rFonts w:hint="eastAsia"/>
          <w:b/>
        </w:rPr>
        <w:t>11</w:t>
      </w:r>
      <w:r w:rsidRPr="00A428C3">
        <w:t xml:space="preserve"> (</w:t>
      </w:r>
      <w:r>
        <w:rPr>
          <w:rFonts w:hint="eastAsia"/>
        </w:rPr>
        <w:t>1</w:t>
      </w:r>
      <w:r w:rsidRPr="00A428C3">
        <w:t xml:space="preserve">), </w:t>
      </w:r>
      <w:r>
        <w:t>43-76</w:t>
      </w:r>
      <w:r w:rsidRPr="00A428C3">
        <w:t>.</w:t>
      </w:r>
    </w:p>
    <w:p w:rsidR="00E6278C" w:rsidRDefault="00E6278C" w:rsidP="00E6278C">
      <w:pPr>
        <w:pStyle w:val="a0"/>
      </w:pPr>
      <w:r>
        <w:rPr>
          <w:rFonts w:hint="eastAsia"/>
        </w:rPr>
        <w:t xml:space="preserve">Full Text: </w:t>
      </w:r>
      <w:hyperlink r:id="rId469" w:history="1">
        <w:r w:rsidRPr="00E6278C">
          <w:rPr>
            <w:rStyle w:val="a5"/>
          </w:rPr>
          <w:t>1997\Glo Bio Cyc11, 43.pdf</w:t>
        </w:r>
      </w:hyperlink>
    </w:p>
    <w:p w:rsidR="00E6278C" w:rsidRDefault="00E6278C" w:rsidP="00E6278C">
      <w:pPr>
        <w:pStyle w:val="a0"/>
      </w:pPr>
      <w:r>
        <w:t>Abstract: Estimates of the global magnitude of atmospheric methane sources are currently mainly based on direct flux measurements in source regions. Their extrapolation to the entire globe often involves large uncertainties. In this paper, we present an inverse modeling approach which can be used to deduce information on methane sources</w:t>
      </w:r>
      <w:r w:rsidR="00F81221">
        <w:t xml:space="preserve"> and </w:t>
      </w:r>
      <w:r>
        <w:t>sinks from the temporal</w:t>
      </w:r>
      <w:r w:rsidR="00F81221">
        <w:t xml:space="preserve"> and </w:t>
      </w:r>
      <w:r>
        <w:t>spatial variations of atmospheric methane mixing ratios. Our approach is based on a three-dimensional atmospheric transport model which, combined with a tropospheric background chemistry module, is also employed to calculate the global distribution of OH radicals which provide the main sink for atmospheric methane. The global mean concentration of OH radicals is validated with methyl chloroform (CH3CCl3) observations. The inverse modeling method optimizes the agreement between model-calculated</w:t>
      </w:r>
      <w:r w:rsidR="00F81221">
        <w:t xml:space="preserve"> and </w:t>
      </w:r>
      <w:r>
        <w:t>observed methane mixing ratios by adjusting the magnitudes of the various methane sources</w:t>
      </w:r>
      <w:r w:rsidR="00F81221">
        <w:t xml:space="preserve"> and </w:t>
      </w:r>
      <w:r>
        <w:t>sinks. The adjustment is constrained by specified a priori estimates</w:t>
      </w:r>
      <w:r w:rsidR="00F81221">
        <w:t xml:space="preserve"> and </w:t>
      </w:r>
      <w:r>
        <w:t>uncertainties of the source</w:t>
      </w:r>
      <w:r w:rsidR="00F81221">
        <w:t xml:space="preserve"> and </w:t>
      </w:r>
      <w:r>
        <w:t>sink magnitudes. We also include data on the C-13/C-12 isotope ratio of atmospheric methane</w:t>
      </w:r>
      <w:r w:rsidR="00F81221">
        <w:t xml:space="preserve"> and </w:t>
      </w:r>
      <w:r>
        <w:t>its sources in the model. Focusing on the 1980s, two scenarios of global methane sources are constructed which reproduce the main features seen in the National Oceanic</w:t>
      </w:r>
      <w:r w:rsidR="00F81221">
        <w:t xml:space="preserve"> and </w:t>
      </w:r>
      <w:r>
        <w:t>Atmospheric Administration</w:t>
      </w:r>
      <w:r w:rsidR="000352E7">
        <w:t>’</w:t>
      </w:r>
      <w:r>
        <w:t>s Climate Monitoring</w:t>
      </w:r>
      <w:r w:rsidR="00F81221">
        <w:t xml:space="preserve"> and </w:t>
      </w:r>
      <w:r>
        <w:t xml:space="preserve">Diagnostics Laboratory (NOAA/CMDL) methane observations. Differences between these two scenarios may probably be attributed to underestimated a priori uncertainties of wetland emissions. Applying the inverse model, the average uncertainty of methane source magnitudes could be reduced by at least one third. We also examined the decrease in the atmospheric methane growth rate during the early 1990s but could not uniquely associate it with changes in </w:t>
      </w:r>
      <w:r>
        <w:lastRenderedPageBreak/>
        <w:t>particular sources.</w:t>
      </w:r>
    </w:p>
    <w:p w:rsidR="00E6278C" w:rsidRDefault="00E6278C" w:rsidP="00E6278C">
      <w:pPr>
        <w:pStyle w:val="a0"/>
      </w:pPr>
      <w:r>
        <w:t>Keywords: 1,1,1-Trichloroethane Methyl Chloroform, General-Circulation Model, Lightning Distributions, Nitrogen-Oxides, Growth-Rate, Emissions, Surface, Carbon, Parameterization, Troposphere</w:t>
      </w:r>
    </w:p>
    <w:p w:rsidR="00226269" w:rsidRPr="00A428C3" w:rsidRDefault="00226269" w:rsidP="00226269">
      <w:pPr>
        <w:pStyle w:val="1"/>
      </w:pPr>
      <w:r w:rsidRPr="00A428C3">
        <w:rPr>
          <w:lang w:val="en-GB"/>
        </w:rPr>
        <w:br w:type="page"/>
      </w:r>
      <w:bookmarkStart w:id="387" w:name="_Toc317160947"/>
      <w:r w:rsidRPr="00A428C3">
        <w:lastRenderedPageBreak/>
        <w:t xml:space="preserve">Title: </w:t>
      </w:r>
      <w:r>
        <w:t>Global Change Biology</w:t>
      </w:r>
      <w:bookmarkEnd w:id="387"/>
    </w:p>
    <w:p w:rsidR="00226269" w:rsidRPr="00A428C3" w:rsidRDefault="00226269" w:rsidP="00226269">
      <w:pPr>
        <w:pStyle w:val="12"/>
      </w:pPr>
      <w:r w:rsidRPr="00A428C3">
        <w:t xml:space="preserve">Full Journal Title: </w:t>
      </w:r>
      <w:r>
        <w:t>Global Change Biology</w:t>
      </w:r>
    </w:p>
    <w:p w:rsidR="00226269" w:rsidRPr="00A428C3" w:rsidRDefault="00226269" w:rsidP="00226269">
      <w:pPr>
        <w:pStyle w:val="12"/>
      </w:pPr>
      <w:r w:rsidRPr="00A428C3">
        <w:t xml:space="preserve">ISO Abbreviated Title: </w:t>
      </w:r>
    </w:p>
    <w:p w:rsidR="00226269" w:rsidRPr="00A428C3" w:rsidRDefault="00226269" w:rsidP="00226269">
      <w:pPr>
        <w:pStyle w:val="12"/>
      </w:pPr>
      <w:r w:rsidRPr="00A428C3">
        <w:t xml:space="preserve">JCR Abbreviated Title: </w:t>
      </w:r>
    </w:p>
    <w:p w:rsidR="00226269" w:rsidRPr="00A428C3" w:rsidRDefault="00226269" w:rsidP="00226269">
      <w:pPr>
        <w:pStyle w:val="12"/>
      </w:pPr>
      <w:r w:rsidRPr="00A428C3">
        <w:t xml:space="preserve">ISSN: </w:t>
      </w:r>
    </w:p>
    <w:p w:rsidR="00226269" w:rsidRPr="00A428C3" w:rsidRDefault="00226269" w:rsidP="00226269">
      <w:pPr>
        <w:pStyle w:val="12"/>
      </w:pPr>
      <w:r w:rsidRPr="00A428C3">
        <w:t xml:space="preserve">Issues/Year: </w:t>
      </w:r>
    </w:p>
    <w:p w:rsidR="00226269" w:rsidRPr="00A428C3" w:rsidRDefault="00226269" w:rsidP="00226269">
      <w:pPr>
        <w:pStyle w:val="12"/>
      </w:pPr>
      <w:r w:rsidRPr="00A428C3">
        <w:t xml:space="preserve">Journal Country/Territory: </w:t>
      </w:r>
    </w:p>
    <w:p w:rsidR="00226269" w:rsidRPr="00A428C3" w:rsidRDefault="00226269" w:rsidP="00226269">
      <w:pPr>
        <w:pStyle w:val="12"/>
      </w:pPr>
      <w:r w:rsidRPr="00A428C3">
        <w:t xml:space="preserve">Language: </w:t>
      </w:r>
    </w:p>
    <w:p w:rsidR="00226269" w:rsidRPr="00A428C3" w:rsidRDefault="00226269" w:rsidP="00226269">
      <w:pPr>
        <w:pStyle w:val="12"/>
      </w:pPr>
      <w:r w:rsidRPr="00A428C3">
        <w:t xml:space="preserve">Publisher: </w:t>
      </w:r>
    </w:p>
    <w:p w:rsidR="00226269" w:rsidRPr="00A428C3" w:rsidRDefault="00226269" w:rsidP="00226269">
      <w:pPr>
        <w:pStyle w:val="12"/>
      </w:pPr>
      <w:r w:rsidRPr="00A428C3">
        <w:t xml:space="preserve">Publisher Address: </w:t>
      </w:r>
    </w:p>
    <w:p w:rsidR="00226269" w:rsidRPr="00A428C3" w:rsidRDefault="00226269" w:rsidP="00226269">
      <w:pPr>
        <w:pStyle w:val="12"/>
      </w:pPr>
      <w:r w:rsidRPr="00A428C3">
        <w:t xml:space="preserve">Subject Categories: </w:t>
      </w:r>
    </w:p>
    <w:p w:rsidR="00226269" w:rsidRPr="00A428C3" w:rsidRDefault="00226269" w:rsidP="00226269">
      <w:pPr>
        <w:pStyle w:val="12"/>
      </w:pPr>
      <w:r w:rsidRPr="00A428C3">
        <w:t xml:space="preserve">: Impact Factor </w:t>
      </w:r>
    </w:p>
    <w:p w:rsidR="00226269" w:rsidRDefault="00226269" w:rsidP="00226269">
      <w:pPr>
        <w:pStyle w:val="a0"/>
      </w:pPr>
      <w:r>
        <w:rPr>
          <w:rFonts w:hint="eastAsia"/>
        </w:rPr>
        <w:t>Notes: highly cited</w:t>
      </w:r>
    </w:p>
    <w:p w:rsidR="00226269" w:rsidRDefault="00226269" w:rsidP="00226269">
      <w:pPr>
        <w:pStyle w:val="a0"/>
      </w:pPr>
      <w:r w:rsidRPr="00A428C3">
        <w:t xml:space="preserve">? </w:t>
      </w:r>
      <w:r>
        <w:t>Cramer</w:t>
      </w:r>
      <w:r>
        <w:rPr>
          <w:rFonts w:hint="eastAsia"/>
        </w:rPr>
        <w:t>,</w:t>
      </w:r>
      <w:r>
        <w:t xml:space="preserve"> W</w:t>
      </w:r>
      <w:r>
        <w:rPr>
          <w:rFonts w:hint="eastAsia"/>
        </w:rPr>
        <w:t>.</w:t>
      </w:r>
      <w:r>
        <w:t>, Bondeau</w:t>
      </w:r>
      <w:r>
        <w:rPr>
          <w:rFonts w:hint="eastAsia"/>
        </w:rPr>
        <w:t>,</w:t>
      </w:r>
      <w:r>
        <w:t xml:space="preserve"> A</w:t>
      </w:r>
      <w:r>
        <w:rPr>
          <w:rFonts w:hint="eastAsia"/>
        </w:rPr>
        <w:t>.</w:t>
      </w:r>
      <w:r>
        <w:t>, Woodward</w:t>
      </w:r>
      <w:r>
        <w:rPr>
          <w:rFonts w:hint="eastAsia"/>
        </w:rPr>
        <w:t>,</w:t>
      </w:r>
      <w:r>
        <w:t xml:space="preserve"> F</w:t>
      </w:r>
      <w:r>
        <w:rPr>
          <w:rFonts w:hint="eastAsia"/>
        </w:rPr>
        <w:t>.</w:t>
      </w:r>
      <w:r>
        <w:t>I</w:t>
      </w:r>
      <w:r>
        <w:rPr>
          <w:rFonts w:hint="eastAsia"/>
        </w:rPr>
        <w:t>.</w:t>
      </w:r>
      <w:r>
        <w:t>, Prentice</w:t>
      </w:r>
      <w:r>
        <w:rPr>
          <w:rFonts w:hint="eastAsia"/>
        </w:rPr>
        <w:t>,</w:t>
      </w:r>
      <w:r>
        <w:t xml:space="preserve"> I</w:t>
      </w:r>
      <w:r>
        <w:rPr>
          <w:rFonts w:hint="eastAsia"/>
        </w:rPr>
        <w:t>.</w:t>
      </w:r>
      <w:r>
        <w:t>C</w:t>
      </w:r>
      <w:r>
        <w:rPr>
          <w:rFonts w:hint="eastAsia"/>
        </w:rPr>
        <w:t>.</w:t>
      </w:r>
      <w:r>
        <w:t>, Betts</w:t>
      </w:r>
      <w:r>
        <w:rPr>
          <w:rFonts w:hint="eastAsia"/>
        </w:rPr>
        <w:t>,</w:t>
      </w:r>
      <w:r>
        <w:t xml:space="preserve"> R</w:t>
      </w:r>
      <w:r>
        <w:rPr>
          <w:rFonts w:hint="eastAsia"/>
        </w:rPr>
        <w:t>.</w:t>
      </w:r>
      <w:r>
        <w:t>A</w:t>
      </w:r>
      <w:r>
        <w:rPr>
          <w:rFonts w:hint="eastAsia"/>
        </w:rPr>
        <w:t>.</w:t>
      </w:r>
      <w:r>
        <w:t>, Brovkin</w:t>
      </w:r>
      <w:r>
        <w:rPr>
          <w:rFonts w:hint="eastAsia"/>
        </w:rPr>
        <w:t>,</w:t>
      </w:r>
      <w:r>
        <w:t xml:space="preserve"> V</w:t>
      </w:r>
      <w:r>
        <w:rPr>
          <w:rFonts w:hint="eastAsia"/>
        </w:rPr>
        <w:t>.</w:t>
      </w:r>
      <w:r>
        <w:t>, Cox</w:t>
      </w:r>
      <w:r>
        <w:rPr>
          <w:rFonts w:hint="eastAsia"/>
        </w:rPr>
        <w:t>,</w:t>
      </w:r>
      <w:r>
        <w:t xml:space="preserve"> P</w:t>
      </w:r>
      <w:r>
        <w:rPr>
          <w:rFonts w:hint="eastAsia"/>
        </w:rPr>
        <w:t>.</w:t>
      </w:r>
      <w:r>
        <w:t>M</w:t>
      </w:r>
      <w:r>
        <w:rPr>
          <w:rFonts w:hint="eastAsia"/>
        </w:rPr>
        <w:t>.</w:t>
      </w:r>
      <w:r>
        <w:t>, Fisher</w:t>
      </w:r>
      <w:r>
        <w:rPr>
          <w:rFonts w:hint="eastAsia"/>
        </w:rPr>
        <w:t>,</w:t>
      </w:r>
      <w:r>
        <w:t xml:space="preserve"> V</w:t>
      </w:r>
      <w:r>
        <w:rPr>
          <w:rFonts w:hint="eastAsia"/>
        </w:rPr>
        <w:t>.</w:t>
      </w:r>
      <w:r>
        <w:t>, Foley</w:t>
      </w:r>
      <w:r>
        <w:rPr>
          <w:rFonts w:hint="eastAsia"/>
        </w:rPr>
        <w:t>,</w:t>
      </w:r>
      <w:r>
        <w:t xml:space="preserve"> J</w:t>
      </w:r>
      <w:r>
        <w:rPr>
          <w:rFonts w:hint="eastAsia"/>
        </w:rPr>
        <w:t>.</w:t>
      </w:r>
      <w:r>
        <w:t>A</w:t>
      </w:r>
      <w:r>
        <w:rPr>
          <w:rFonts w:hint="eastAsia"/>
        </w:rPr>
        <w:t>.</w:t>
      </w:r>
      <w:r>
        <w:t>, Friend</w:t>
      </w:r>
      <w:r>
        <w:rPr>
          <w:rFonts w:hint="eastAsia"/>
        </w:rPr>
        <w:t>,</w:t>
      </w:r>
      <w:r>
        <w:t xml:space="preserve"> A</w:t>
      </w:r>
      <w:r>
        <w:rPr>
          <w:rFonts w:hint="eastAsia"/>
        </w:rPr>
        <w:t>.</w:t>
      </w:r>
      <w:r>
        <w:t>D</w:t>
      </w:r>
      <w:r>
        <w:rPr>
          <w:rFonts w:hint="eastAsia"/>
        </w:rPr>
        <w:t>.</w:t>
      </w:r>
      <w:r>
        <w:t>, Kucharik</w:t>
      </w:r>
      <w:r>
        <w:rPr>
          <w:rFonts w:hint="eastAsia"/>
        </w:rPr>
        <w:t>,</w:t>
      </w:r>
      <w:r>
        <w:t xml:space="preserve"> C</w:t>
      </w:r>
      <w:r>
        <w:rPr>
          <w:rFonts w:hint="eastAsia"/>
        </w:rPr>
        <w:t>.</w:t>
      </w:r>
      <w:r>
        <w:t>, Lomas</w:t>
      </w:r>
      <w:r>
        <w:rPr>
          <w:rFonts w:hint="eastAsia"/>
        </w:rPr>
        <w:t>,</w:t>
      </w:r>
      <w:r>
        <w:t xml:space="preserve"> M</w:t>
      </w:r>
      <w:r>
        <w:rPr>
          <w:rFonts w:hint="eastAsia"/>
        </w:rPr>
        <w:t>.</w:t>
      </w:r>
      <w:r>
        <w:t>R</w:t>
      </w:r>
      <w:r>
        <w:rPr>
          <w:rFonts w:hint="eastAsia"/>
        </w:rPr>
        <w:t>.</w:t>
      </w:r>
      <w:r>
        <w:t>, Ramankutty</w:t>
      </w:r>
      <w:r>
        <w:rPr>
          <w:rFonts w:hint="eastAsia"/>
        </w:rPr>
        <w:t>,</w:t>
      </w:r>
      <w:r>
        <w:t xml:space="preserve"> N</w:t>
      </w:r>
      <w:r>
        <w:rPr>
          <w:rFonts w:hint="eastAsia"/>
        </w:rPr>
        <w:t>.</w:t>
      </w:r>
      <w:r>
        <w:t>, Sitch</w:t>
      </w:r>
      <w:r>
        <w:rPr>
          <w:rFonts w:hint="eastAsia"/>
        </w:rPr>
        <w:t>,</w:t>
      </w:r>
      <w:r>
        <w:t xml:space="preserve"> S</w:t>
      </w:r>
      <w:r>
        <w:rPr>
          <w:rFonts w:hint="eastAsia"/>
        </w:rPr>
        <w:t>.</w:t>
      </w:r>
      <w:r>
        <w:t>, Smith</w:t>
      </w:r>
      <w:r>
        <w:rPr>
          <w:rFonts w:hint="eastAsia"/>
        </w:rPr>
        <w:t>,</w:t>
      </w:r>
      <w:r>
        <w:t xml:space="preserve"> B</w:t>
      </w:r>
      <w:r>
        <w:rPr>
          <w:rFonts w:hint="eastAsia"/>
        </w:rPr>
        <w:t>.</w:t>
      </w:r>
      <w:r>
        <w:t>, White</w:t>
      </w:r>
      <w:r>
        <w:rPr>
          <w:rFonts w:hint="eastAsia"/>
        </w:rPr>
        <w:t>,</w:t>
      </w:r>
      <w:r>
        <w:t xml:space="preserve"> A</w:t>
      </w:r>
      <w:r>
        <w:rPr>
          <w:rFonts w:hint="eastAsia"/>
        </w:rPr>
        <w:t>.</w:t>
      </w:r>
      <w:r w:rsidR="00F81221">
        <w:rPr>
          <w:rFonts w:hint="eastAsia"/>
        </w:rPr>
        <w:t xml:space="preserve"> and </w:t>
      </w:r>
      <w:r>
        <w:t>Young-Molling</w:t>
      </w:r>
      <w:r>
        <w:rPr>
          <w:rFonts w:hint="eastAsia"/>
        </w:rPr>
        <w:t>,</w:t>
      </w:r>
      <w:r>
        <w:t xml:space="preserve"> C</w:t>
      </w:r>
      <w:r>
        <w:rPr>
          <w:rFonts w:hint="eastAsia"/>
        </w:rPr>
        <w:t>.</w:t>
      </w:r>
      <w:r w:rsidRPr="00A428C3">
        <w:t xml:space="preserve"> (</w:t>
      </w:r>
      <w:r>
        <w:rPr>
          <w:rFonts w:hint="eastAsia"/>
        </w:rPr>
        <w:t>2001</w:t>
      </w:r>
      <w:r w:rsidRPr="00A428C3">
        <w:t xml:space="preserve">), </w:t>
      </w:r>
      <w:r>
        <w:t>Global response of terrestrial ecosystem structure</w:t>
      </w:r>
      <w:r w:rsidR="00F81221">
        <w:t xml:space="preserve"> and </w:t>
      </w:r>
      <w:r>
        <w:t>function to CO</w:t>
      </w:r>
      <w:r w:rsidRPr="00226269">
        <w:rPr>
          <w:vertAlign w:val="subscript"/>
        </w:rPr>
        <w:t>2</w:t>
      </w:r>
      <w:r w:rsidR="00F81221">
        <w:t xml:space="preserve"> and </w:t>
      </w:r>
      <w:r>
        <w:t>climate change: Results from six dynamic global vegetation models</w:t>
      </w:r>
      <w:r w:rsidRPr="00A428C3">
        <w:t>.</w:t>
      </w:r>
      <w:r w:rsidRPr="00A428C3">
        <w:rPr>
          <w:i/>
        </w:rPr>
        <w:t xml:space="preserve"> </w:t>
      </w:r>
      <w:r w:rsidRPr="00226269">
        <w:rPr>
          <w:i/>
        </w:rPr>
        <w:t>Global Change Biology</w:t>
      </w:r>
      <w:r w:rsidRPr="00A428C3">
        <w:t xml:space="preserve">, </w:t>
      </w:r>
      <w:r>
        <w:rPr>
          <w:rFonts w:hint="eastAsia"/>
          <w:b/>
        </w:rPr>
        <w:t>7</w:t>
      </w:r>
      <w:r w:rsidRPr="00A428C3">
        <w:t xml:space="preserve"> (</w:t>
      </w:r>
      <w:r>
        <w:rPr>
          <w:rFonts w:hint="eastAsia"/>
        </w:rPr>
        <w:t>4</w:t>
      </w:r>
      <w:r w:rsidRPr="00A428C3">
        <w:t xml:space="preserve">), </w:t>
      </w:r>
      <w:r>
        <w:t>357-373</w:t>
      </w:r>
      <w:r w:rsidRPr="00A428C3">
        <w:t>.</w:t>
      </w:r>
    </w:p>
    <w:p w:rsidR="00226269" w:rsidRDefault="00226269" w:rsidP="00226269">
      <w:pPr>
        <w:pStyle w:val="a0"/>
      </w:pPr>
      <w:r>
        <w:rPr>
          <w:rFonts w:hint="eastAsia"/>
        </w:rPr>
        <w:t xml:space="preserve">Full Text: </w:t>
      </w:r>
      <w:hyperlink r:id="rId470" w:history="1">
        <w:r w:rsidRPr="00226269">
          <w:rPr>
            <w:rStyle w:val="a5"/>
          </w:rPr>
          <w:t>1994\Glo Bio Cyc7, 357.pdf</w:t>
        </w:r>
      </w:hyperlink>
    </w:p>
    <w:p w:rsidR="00226269" w:rsidRDefault="00226269" w:rsidP="00226269">
      <w:pPr>
        <w:pStyle w:val="a0"/>
      </w:pPr>
      <w:r>
        <w:t>Abstract: The possible responses of ecosystem processes to rising atmospheric CO2 concentration</w:t>
      </w:r>
      <w:r w:rsidR="00F81221">
        <w:t xml:space="preserve"> and </w:t>
      </w:r>
      <w:r>
        <w:t>climate change are illustrated using six dynamic global vegetation models that explicitly represent the interactions of ecosystem carbon</w:t>
      </w:r>
      <w:r w:rsidR="00F81221">
        <w:t xml:space="preserve"> and </w:t>
      </w:r>
      <w:r>
        <w:t>water exchanges with vegetation dynamics. The models are driven by the IPCC IS92a scenario of rising CO2 (Wigley et al. 1991),</w:t>
      </w:r>
      <w:r w:rsidR="00F81221">
        <w:t xml:space="preserve"> and </w:t>
      </w:r>
      <w:r>
        <w:t>by climate changes resulting from effective CO2 concentrations corresponding to IS92a, simulated by the coupled ocean atmosphere model HadCM2-SUL. Simulations with changing CO2 alone show a widely distributed terrestrial carbon sink of 1.4-3.8 Pg C y(-1) during the 1990s, rising to 3.7-8.6 Pg C y(-1) a century later. Simulations including climate change show a reduced sink both today (0.6-3.0 Pg C y(-1))</w:t>
      </w:r>
      <w:r w:rsidR="00F81221">
        <w:t xml:space="preserve"> and </w:t>
      </w:r>
      <w:r>
        <w:t>a century later (0.3-6.6 Pg C y(-1)) as a result of the impacts of climate change on NEP of tropical</w:t>
      </w:r>
      <w:r w:rsidR="00F81221">
        <w:t xml:space="preserve"> and </w:t>
      </w:r>
      <w:r>
        <w:t xml:space="preserve">southern hemisphere ecosystems. In all models, the rate of increase of NEP begins to level off around 2030 as a consequence of the </w:t>
      </w:r>
      <w:r w:rsidR="000352E7">
        <w:t>‘</w:t>
      </w:r>
      <w:r>
        <w:t>diminishing return</w:t>
      </w:r>
      <w:r w:rsidR="000352E7">
        <w:t>’</w:t>
      </w:r>
      <w:r>
        <w:t xml:space="preserve"> of physiological CO2 effects at high CO2 concentrations. Four out of the six models show a further, climate-induced decline in NEP resulting from increased heterotrophic respiration</w:t>
      </w:r>
      <w:r w:rsidR="00F81221">
        <w:t xml:space="preserve"> and </w:t>
      </w:r>
      <w:r>
        <w:t>declining tropical NPP after 2050. Changes in vegetation structure influence the magnitude</w:t>
      </w:r>
      <w:r w:rsidR="00F81221">
        <w:t xml:space="preserve"> and </w:t>
      </w:r>
      <w:r>
        <w:t xml:space="preserve">spatial pattern of the carbon sink </w:t>
      </w:r>
      <w:r>
        <w:lastRenderedPageBreak/>
        <w:t>and, in combination with changing climate, also freshwater availability (runoff). It is shown that these changes, once set in motion, would continue to evolve for at least a century even if atmospheric CO2 concentration</w:t>
      </w:r>
      <w:r w:rsidR="00F81221">
        <w:t xml:space="preserve"> and </w:t>
      </w:r>
      <w:r>
        <w:t>climate could be instantaneously stabilized. The results should be considered illustrative in the sense that the choice of CO2 concentration scenario was arbitrary</w:t>
      </w:r>
      <w:r w:rsidR="00F81221">
        <w:t xml:space="preserve"> and </w:t>
      </w:r>
      <w:r>
        <w:t>only one climate model scenario was used. However, the results serve to indicate a range of possible biospheric responses to CO2</w:t>
      </w:r>
      <w:r w:rsidR="00F81221">
        <w:t xml:space="preserve"> and </w:t>
      </w:r>
      <w:r>
        <w:t>climate change. They reveal major uncertainties about the response of NEP to climate change resulting, primarily, from differences in the way that modelled global NPP responds to a changing climate. The simulations illustrate, however, that the magnitude of possible biospheric influences on the carbon balance requires that this factor is taken into account for future scenarios of atmospheric CO2</w:t>
      </w:r>
      <w:r w:rsidR="00F81221">
        <w:t xml:space="preserve"> and </w:t>
      </w:r>
      <w:r>
        <w:t>climate change.</w:t>
      </w:r>
    </w:p>
    <w:p w:rsidR="00226269" w:rsidRDefault="00226269" w:rsidP="00226269">
      <w:pPr>
        <w:pStyle w:val="a0"/>
      </w:pPr>
      <w:r>
        <w:t>Keywords: Dynamic Global Vegetation Model, Global Carbon Cycle, Atmospheric CO2, Stomatal Conductance, Biosphere Model, Carbon-Dioxide, Canopy Reflectance, Forest Ecosystems, Plant Migration, Boundary-Layer, Photosynthesis, Transpiration</w:t>
      </w:r>
    </w:p>
    <w:p w:rsidR="001571B9" w:rsidRPr="001A3D2B" w:rsidRDefault="001571B9" w:rsidP="001571B9">
      <w:pPr>
        <w:pStyle w:val="1"/>
      </w:pPr>
      <w:r w:rsidRPr="001A3D2B">
        <w:rPr>
          <w:lang w:val="en-GB"/>
        </w:rPr>
        <w:br w:type="page"/>
      </w:r>
      <w:bookmarkStart w:id="388" w:name="_Toc317160948"/>
      <w:r w:rsidRPr="001A3D2B">
        <w:lastRenderedPageBreak/>
        <w:t xml:space="preserve">Title: </w:t>
      </w:r>
      <w:r w:rsidRPr="001D2CCA">
        <w:rPr>
          <w:iCs/>
        </w:rPr>
        <w:t>Global Ecology</w:t>
      </w:r>
      <w:r w:rsidR="00F81221">
        <w:rPr>
          <w:iCs/>
        </w:rPr>
        <w:t xml:space="preserve"> and </w:t>
      </w:r>
      <w:r w:rsidRPr="001D2CCA">
        <w:rPr>
          <w:iCs/>
        </w:rPr>
        <w:t>Biogeography</w:t>
      </w:r>
      <w:bookmarkEnd w:id="388"/>
    </w:p>
    <w:p w:rsidR="001571B9" w:rsidRPr="001A3D2B" w:rsidRDefault="001571B9" w:rsidP="001571B9">
      <w:pPr>
        <w:pStyle w:val="12"/>
      </w:pPr>
      <w:r w:rsidRPr="001A3D2B">
        <w:t xml:space="preserve">Full Journal Title: </w:t>
      </w:r>
      <w:r w:rsidRPr="001D2CCA">
        <w:rPr>
          <w:iCs/>
        </w:rPr>
        <w:t>Global Ecology</w:t>
      </w:r>
      <w:r w:rsidR="00F81221">
        <w:rPr>
          <w:iCs/>
        </w:rPr>
        <w:t xml:space="preserve"> and </w:t>
      </w:r>
      <w:r w:rsidRPr="001D2CCA">
        <w:rPr>
          <w:iCs/>
        </w:rPr>
        <w:t>Biogeography</w:t>
      </w:r>
    </w:p>
    <w:p w:rsidR="001571B9" w:rsidRPr="001A3D2B" w:rsidRDefault="001571B9" w:rsidP="001571B9">
      <w:pPr>
        <w:pStyle w:val="12"/>
      </w:pPr>
      <w:r w:rsidRPr="001A3D2B">
        <w:t xml:space="preserve">ISO Abbreviated Title: </w:t>
      </w:r>
    </w:p>
    <w:p w:rsidR="001571B9" w:rsidRPr="001A3D2B" w:rsidRDefault="001571B9" w:rsidP="001571B9">
      <w:pPr>
        <w:pStyle w:val="12"/>
      </w:pPr>
      <w:r w:rsidRPr="001A3D2B">
        <w:t xml:space="preserve">JCR Abbreviated Title: </w:t>
      </w:r>
    </w:p>
    <w:p w:rsidR="001571B9" w:rsidRPr="001A3D2B" w:rsidRDefault="001571B9" w:rsidP="001571B9">
      <w:pPr>
        <w:pStyle w:val="12"/>
      </w:pPr>
      <w:r w:rsidRPr="001A3D2B">
        <w:t xml:space="preserve">ISSN: </w:t>
      </w:r>
    </w:p>
    <w:p w:rsidR="001571B9" w:rsidRPr="001A3D2B" w:rsidRDefault="001571B9" w:rsidP="001571B9">
      <w:pPr>
        <w:pStyle w:val="12"/>
      </w:pPr>
      <w:r w:rsidRPr="001A3D2B">
        <w:t xml:space="preserve">Issues/Year: </w:t>
      </w:r>
    </w:p>
    <w:p w:rsidR="001571B9" w:rsidRPr="001A3D2B" w:rsidRDefault="001571B9" w:rsidP="001571B9">
      <w:pPr>
        <w:pStyle w:val="12"/>
      </w:pPr>
      <w:r w:rsidRPr="001A3D2B">
        <w:t xml:space="preserve">Journal Country/Territory: </w:t>
      </w:r>
    </w:p>
    <w:p w:rsidR="001571B9" w:rsidRPr="001A3D2B" w:rsidRDefault="001571B9" w:rsidP="001571B9">
      <w:pPr>
        <w:pStyle w:val="12"/>
      </w:pPr>
      <w:r w:rsidRPr="001A3D2B">
        <w:t xml:space="preserve">Language: </w:t>
      </w:r>
    </w:p>
    <w:p w:rsidR="001571B9" w:rsidRPr="001A3D2B" w:rsidRDefault="001571B9" w:rsidP="001571B9">
      <w:pPr>
        <w:pStyle w:val="12"/>
      </w:pPr>
      <w:r w:rsidRPr="001A3D2B">
        <w:t xml:space="preserve">Publisher: </w:t>
      </w:r>
    </w:p>
    <w:p w:rsidR="001571B9" w:rsidRPr="001A3D2B" w:rsidRDefault="001571B9" w:rsidP="001571B9">
      <w:pPr>
        <w:pStyle w:val="12"/>
      </w:pPr>
      <w:r w:rsidRPr="001A3D2B">
        <w:t xml:space="preserve">Publisher Address: </w:t>
      </w:r>
    </w:p>
    <w:p w:rsidR="001571B9" w:rsidRPr="001A3D2B" w:rsidRDefault="001571B9" w:rsidP="001571B9">
      <w:pPr>
        <w:pStyle w:val="12"/>
      </w:pPr>
      <w:r w:rsidRPr="001A3D2B">
        <w:t xml:space="preserve">Subject Categories: </w:t>
      </w:r>
    </w:p>
    <w:p w:rsidR="001571B9" w:rsidRPr="001A3D2B" w:rsidRDefault="001571B9" w:rsidP="001571B9">
      <w:pPr>
        <w:pStyle w:val="12"/>
      </w:pPr>
      <w:r w:rsidRPr="001A3D2B">
        <w:t xml:space="preserve">: Impact Factor </w:t>
      </w:r>
    </w:p>
    <w:p w:rsidR="001571B9" w:rsidRDefault="001571B9" w:rsidP="001571B9">
      <w:pPr>
        <w:pStyle w:val="a0"/>
        <w:rPr>
          <w:kern w:val="0"/>
        </w:rPr>
      </w:pPr>
      <w:r>
        <w:rPr>
          <w:rFonts w:hint="eastAsia"/>
          <w:kern w:val="0"/>
        </w:rPr>
        <w:t xml:space="preserve">? </w:t>
      </w:r>
      <w:r>
        <w:rPr>
          <w:kern w:val="0"/>
        </w:rPr>
        <w:t xml:space="preserve">Decaens, T. (2010), Macroecological patterns in soil communities. </w:t>
      </w:r>
      <w:r w:rsidRPr="001D2CCA">
        <w:rPr>
          <w:i/>
          <w:iCs/>
          <w:kern w:val="0"/>
        </w:rPr>
        <w:t>Global Ecology</w:t>
      </w:r>
      <w:r w:rsidR="00F81221">
        <w:rPr>
          <w:i/>
          <w:iCs/>
          <w:kern w:val="0"/>
        </w:rPr>
        <w:t xml:space="preserve"> and </w:t>
      </w:r>
      <w:r w:rsidRPr="001D2CCA">
        <w:rPr>
          <w:i/>
          <w:iCs/>
          <w:kern w:val="0"/>
        </w:rPr>
        <w:t>Biogeography</w:t>
      </w:r>
      <w:r>
        <w:rPr>
          <w:kern w:val="0"/>
        </w:rPr>
        <w:t xml:space="preserve">, </w:t>
      </w:r>
      <w:r>
        <w:rPr>
          <w:b/>
          <w:bCs/>
          <w:kern w:val="0"/>
        </w:rPr>
        <w:t>19</w:t>
      </w:r>
      <w:r>
        <w:rPr>
          <w:kern w:val="0"/>
        </w:rPr>
        <w:t xml:space="preserve"> (3), 287-302.</w:t>
      </w:r>
    </w:p>
    <w:p w:rsidR="00706B62" w:rsidRDefault="00706B62" w:rsidP="00706B62">
      <w:pPr>
        <w:pStyle w:val="a0"/>
        <w:rPr>
          <w:kern w:val="0"/>
        </w:rPr>
      </w:pPr>
      <w:r>
        <w:rPr>
          <w:rFonts w:hint="eastAsia"/>
          <w:kern w:val="0"/>
        </w:rPr>
        <w:t xml:space="preserve">Full Text: </w:t>
      </w:r>
      <w:hyperlink r:id="rId471" w:history="1">
        <w:r w:rsidRPr="00706B62">
          <w:rPr>
            <w:rStyle w:val="a5"/>
            <w:kern w:val="0"/>
          </w:rPr>
          <w:t>2010\Glo Eco Bio19, 287.pdf</w:t>
        </w:r>
      </w:hyperlink>
    </w:p>
    <w:p w:rsidR="001571B9" w:rsidRDefault="001571B9" w:rsidP="001571B9">
      <w:pPr>
        <w:pStyle w:val="a0"/>
        <w:rPr>
          <w:kern w:val="0"/>
        </w:rPr>
      </w:pPr>
      <w:r>
        <w:rPr>
          <w:kern w:val="0"/>
        </w:rPr>
        <w:t>Abstract: Aim To review published evidence regarding the factors that influence the geographic variation in diversity of soil organisms at different spatial scales. Location Global. Methods A search of the relevant literature was conducted using the Web of Science</w:t>
      </w:r>
      <w:r w:rsidR="00F81221">
        <w:rPr>
          <w:kern w:val="0"/>
        </w:rPr>
        <w:t xml:space="preserve"> and </w:t>
      </w:r>
      <w:r>
        <w:rPr>
          <w:kern w:val="0"/>
        </w:rPr>
        <w:t>the author</w:t>
      </w:r>
      <w:r w:rsidR="000352E7">
        <w:rPr>
          <w:kern w:val="0"/>
        </w:rPr>
        <w:t>’</w:t>
      </w:r>
      <w:r>
        <w:rPr>
          <w:kern w:val="0"/>
        </w:rPr>
        <w:t>s personal scientific database as the major sources. Special attention was paid to include seminal studies, highly cited papers and/or studies highlighting novel results. Results Despite their significant contribution to global biodiversity, our taxonomic knowledge of soil biota is still poor compared with that of most above-ground organisms. This is particularly evident for small-bodied taxa. Global patterns of soil biodiversity distribution have been poorly documented</w:t>
      </w:r>
      <w:r w:rsidR="00F81221">
        <w:rPr>
          <w:kern w:val="0"/>
        </w:rPr>
        <w:t xml:space="preserve"> and </w:t>
      </w:r>
      <w:r>
        <w:rPr>
          <w:kern w:val="0"/>
        </w:rPr>
        <w:t>are thought to differ significantly from what is reported above-ground. Based on existing data, it appears that microorganisms do not respond to large-scale environmental gradients in the same way as metazoans. Whereas soil microflora seem to be mainly represented by cosmopolitan species, soil animals respond to altitudinal, latitudinal or area gradients in the same way as described for above-ground organisms. At local scales, there is less evidence that local factors regulate above-</w:t>
      </w:r>
      <w:r w:rsidR="00F81221">
        <w:rPr>
          <w:kern w:val="0"/>
        </w:rPr>
        <w:t xml:space="preserve"> and </w:t>
      </w:r>
      <w:r>
        <w:rPr>
          <w:kern w:val="0"/>
        </w:rPr>
        <w:t>below-ground communities in the same way. Except for a few taxa, the humpbacked response to stress</w:t>
      </w:r>
      <w:r w:rsidR="00F81221">
        <w:rPr>
          <w:kern w:val="0"/>
        </w:rPr>
        <w:t xml:space="preserve"> and </w:t>
      </w:r>
      <w:r>
        <w:rPr>
          <w:kern w:val="0"/>
        </w:rPr>
        <w:t>disturbance gradients doesn</w:t>
      </w:r>
      <w:r w:rsidR="000352E7">
        <w:rPr>
          <w:kern w:val="0"/>
        </w:rPr>
        <w:t>’</w:t>
      </w:r>
      <w:r>
        <w:rPr>
          <w:kern w:val="0"/>
        </w:rPr>
        <w:t>t seem to apply underground. Soil communities thus appear weakly structured by competition, although competitive constraints may account for assembly rules within specific taxa. The main factor constraining local soil biodiversity is the compact</w:t>
      </w:r>
      <w:r w:rsidR="00F81221">
        <w:rPr>
          <w:kern w:val="0"/>
        </w:rPr>
        <w:t xml:space="preserve"> and </w:t>
      </w:r>
      <w:r>
        <w:rPr>
          <w:kern w:val="0"/>
        </w:rPr>
        <w:t xml:space="preserve">heterogeneous nature of soils, which provides unrivalled potential for niche partitioning, thus allowing high levels of local biodiversity. This heterogeneity is increased by the </w:t>
      </w:r>
      <w:r>
        <w:rPr>
          <w:kern w:val="0"/>
        </w:rPr>
        <w:lastRenderedPageBreak/>
        <w:t>impact of ecosystem engineers that generate resource patchiness at a range of spatio-temporal scales.</w:t>
      </w:r>
    </w:p>
    <w:p w:rsidR="001571B9" w:rsidRDefault="001571B9" w:rsidP="001571B9">
      <w:pPr>
        <w:pStyle w:val="a0"/>
        <w:rPr>
          <w:kern w:val="0"/>
        </w:rPr>
      </w:pPr>
      <w:r>
        <w:rPr>
          <w:kern w:val="0"/>
        </w:rPr>
        <w:t>Keywords: Agricultural Intensification, Attention, Biodiversity, Biodiversity Driving Factors, Biodiversity Patterns, Collembolan Communities, Contribution, Earthworm Species Assemblages, Environmental, Forest Fragmentation, Functional Diversity, Habitat Fragmentation, Highly-Cited, Impact, Knowledge, Literature, Macrofaunal Communities, Methods, Microorganisms, Papers, Review, Science, Secondary Succession, Soil Biodiversity, Soil Fauna, Soil Microbial Communities, Spatiotemporal Distribution, Stress, Upper Normandy, Web of Science</w:t>
      </w:r>
    </w:p>
    <w:p w:rsidR="00706B62" w:rsidRDefault="00706B62" w:rsidP="00706B62">
      <w:pPr>
        <w:pStyle w:val="a0"/>
        <w:rPr>
          <w:kern w:val="0"/>
        </w:rPr>
      </w:pPr>
      <w:r>
        <w:rPr>
          <w:kern w:val="0"/>
        </w:rPr>
        <w:t xml:space="preserve">? Robinson, L.M., Elith, J., Hobday, A.J., Pearson, R.G., Kendall, B.E., Possingham, H.P. and Richardson, A.J. (2011), Pushing the limits in marine species distribution modelling: Lessons from the land present challenges and opportunities. </w:t>
      </w:r>
      <w:r>
        <w:rPr>
          <w:i/>
          <w:iCs/>
          <w:kern w:val="0"/>
        </w:rPr>
        <w:t>Global Ecology and Biogeography</w:t>
      </w:r>
      <w:r>
        <w:rPr>
          <w:kern w:val="0"/>
        </w:rPr>
        <w:t xml:space="preserve">, </w:t>
      </w:r>
      <w:r>
        <w:rPr>
          <w:b/>
          <w:bCs/>
          <w:kern w:val="0"/>
        </w:rPr>
        <w:t>20</w:t>
      </w:r>
      <w:r>
        <w:rPr>
          <w:kern w:val="0"/>
        </w:rPr>
        <w:t xml:space="preserve"> (6), 789-802.</w:t>
      </w:r>
    </w:p>
    <w:p w:rsidR="00706B62" w:rsidRDefault="00706B62" w:rsidP="00706B62">
      <w:pPr>
        <w:pStyle w:val="a0"/>
        <w:rPr>
          <w:kern w:val="0"/>
        </w:rPr>
      </w:pPr>
      <w:r>
        <w:rPr>
          <w:rFonts w:hint="eastAsia"/>
          <w:kern w:val="0"/>
        </w:rPr>
        <w:t xml:space="preserve">Full Text: </w:t>
      </w:r>
      <w:hyperlink r:id="rId472" w:history="1">
        <w:r w:rsidRPr="00706B62">
          <w:rPr>
            <w:rStyle w:val="a5"/>
            <w:kern w:val="0"/>
          </w:rPr>
          <w:t>2011\Glo Eco Bio20, 789.pdf</w:t>
        </w:r>
      </w:hyperlink>
    </w:p>
    <w:p w:rsidR="00706B62" w:rsidRDefault="00706B62" w:rsidP="00706B62">
      <w:pPr>
        <w:pStyle w:val="a0"/>
        <w:rPr>
          <w:kern w:val="0"/>
        </w:rPr>
      </w:pPr>
      <w:r>
        <w:rPr>
          <w:kern w:val="0"/>
        </w:rPr>
        <w:t xml:space="preserve">Abstract: Aim Species distribution models (SDMs) have been used to address a wide range of theoretical and applied questions in the terrestrial realm, but marine-based applications remain relatively scarce. In this review, we consider how conceptual and practical issues associated with terrestrial SDMs apply to a range of marine organisms and highlight the challenges relevant to improving marine SDMs. Location We include studies from both marine and terrestrial systems that encompass many geographic locations around the globe. Methods We first performed a literature search and analysis of marine and terrestrial SDMs in ISI Web of Science to assess trends and applications. Using knowledge from terrestrial applications, we critically evaluate the application of SDMs in marine systems in the context of ecological factors (dispersal, species interactions, aggregation and ontogenetic shifts) and practical considerations (data quality, alternative modelling approaches and model validation) that facilitate or create difficulties for model application. Results The relative importance of ecological factors to be considered when applying SDMs varies among terrestrial and marine organisms. Correctly incorporating dispersal is frequently considered an important issue for terrestrial models, but because there is greater potential for dispersal in the ocean, it is often less of a concern in marine SDMs. By contrast, ontogenetic shifts and feeding have received little attention in terrestrial SDM applications, but these factors are important to many marine SDMs. Opportunities also exist for applying more advanced SDM approaches in the marine realm, including mechanistic ecophysiological models, where water balance and heat transfer equations are simpler for some marine organisms relative to their terrestrial counterparts. Main conclusions SDMs have generally been under-utilized in the marine realm relative to terrestrial applications. Correlative SDM methods should be tested on a range of marine organisms, and we suggest further development of </w:t>
      </w:r>
      <w:r>
        <w:rPr>
          <w:kern w:val="0"/>
        </w:rPr>
        <w:lastRenderedPageBreak/>
        <w:t>methods that address ontogenetic shifts and feeding interactions. We anticipate developments in, and cross-fertilization between, coupled correlative and process-based SDMs, mechanistic eco-physiological SDMs, and spatial population dynamic models for climate change and species invasion applications in particular. Comparisons of the outputs of different model types will provide insight that is useful for improved spatial management of marine species.</w:t>
      </w:r>
    </w:p>
    <w:p w:rsidR="00706B62" w:rsidRDefault="00706B62" w:rsidP="00706B62">
      <w:pPr>
        <w:pStyle w:val="a0"/>
        <w:rPr>
          <w:kern w:val="0"/>
        </w:rPr>
      </w:pPr>
      <w:r>
        <w:rPr>
          <w:kern w:val="0"/>
        </w:rPr>
        <w:t>Keywords: Aggregation, Analysis, Attention, Balance, Bioclimatic Envelope Model, Biotic Interactions, Climate Change, Climate-Change, Competition, Coral-Reef Fish, Development, Dispersal, Ecological Niche Modelling, Ecological Theory, Feeding, Habitat Models, Improve Prediction, Insight, ISI, ISI Web of Science, Knowledge, Literature, Long-Distance Dispersal, Management, Marine, Terrestrial Systems, Methods, Model, Modelling, Ontogenetic Shifts, Prey, Pseudo-Absence Data, Resource Selection Functions, Review, Science, Spatial-Distribution, Species Distribution Model, Trends, Validation, Water, Web of Science</w:t>
      </w:r>
    </w:p>
    <w:p w:rsidR="00F076FF" w:rsidRPr="00A428C3" w:rsidRDefault="00F076FF" w:rsidP="00F076FF">
      <w:pPr>
        <w:pStyle w:val="1"/>
      </w:pPr>
      <w:r w:rsidRPr="00A428C3">
        <w:rPr>
          <w:lang w:val="en-GB"/>
        </w:rPr>
        <w:br w:type="page"/>
      </w:r>
      <w:bookmarkStart w:id="389" w:name="_Toc186647735"/>
      <w:bookmarkStart w:id="390" w:name="_Toc317160949"/>
      <w:r w:rsidRPr="00A428C3">
        <w:lastRenderedPageBreak/>
        <w:t>Title: Global Environmental Change</w:t>
      </w:r>
      <w:bookmarkEnd w:id="389"/>
      <w:bookmarkEnd w:id="390"/>
    </w:p>
    <w:p w:rsidR="00F076FF" w:rsidRPr="00A428C3" w:rsidRDefault="00F076FF" w:rsidP="00F076FF">
      <w:pPr>
        <w:pStyle w:val="12"/>
      </w:pPr>
      <w:r w:rsidRPr="00A428C3">
        <w:t xml:space="preserve">Full Journal Title: </w:t>
      </w:r>
      <w:hyperlink r:id="rId473" w:history="1">
        <w:r w:rsidRPr="00A428C3">
          <w:rPr>
            <w:rStyle w:val="a5"/>
          </w:rPr>
          <w:t>Global Environmental Change</w:t>
        </w:r>
      </w:hyperlink>
    </w:p>
    <w:p w:rsidR="00F076FF" w:rsidRPr="00A428C3" w:rsidRDefault="00F076FF" w:rsidP="00F076FF">
      <w:pPr>
        <w:pStyle w:val="12"/>
      </w:pPr>
      <w:r w:rsidRPr="00A428C3">
        <w:t xml:space="preserve">ISO Abbreviated Title: </w:t>
      </w:r>
    </w:p>
    <w:p w:rsidR="00F076FF" w:rsidRPr="00A428C3" w:rsidRDefault="00F076FF" w:rsidP="00F076FF">
      <w:pPr>
        <w:pStyle w:val="12"/>
      </w:pPr>
      <w:r w:rsidRPr="00A428C3">
        <w:t xml:space="preserve">JCR Abbreviated Title: </w:t>
      </w:r>
    </w:p>
    <w:p w:rsidR="00F076FF" w:rsidRPr="00A428C3" w:rsidRDefault="00F076FF" w:rsidP="00F076FF">
      <w:pPr>
        <w:pStyle w:val="12"/>
      </w:pPr>
      <w:r w:rsidRPr="00A428C3">
        <w:t xml:space="preserve">ISSN: </w:t>
      </w:r>
    </w:p>
    <w:p w:rsidR="00F076FF" w:rsidRPr="00A428C3" w:rsidRDefault="00F076FF" w:rsidP="00F076FF">
      <w:pPr>
        <w:pStyle w:val="12"/>
      </w:pPr>
      <w:r w:rsidRPr="00A428C3">
        <w:t xml:space="preserve">Issues/Year: </w:t>
      </w:r>
    </w:p>
    <w:p w:rsidR="00F076FF" w:rsidRPr="00A428C3" w:rsidRDefault="00F076FF" w:rsidP="00F076FF">
      <w:pPr>
        <w:pStyle w:val="12"/>
      </w:pPr>
      <w:r w:rsidRPr="00A428C3">
        <w:t xml:space="preserve">Journal Country/Territory: </w:t>
      </w:r>
    </w:p>
    <w:p w:rsidR="00F076FF" w:rsidRPr="00A428C3" w:rsidRDefault="00F076FF" w:rsidP="00F076FF">
      <w:pPr>
        <w:pStyle w:val="12"/>
      </w:pPr>
      <w:r w:rsidRPr="00A428C3">
        <w:t xml:space="preserve">Language: </w:t>
      </w:r>
    </w:p>
    <w:p w:rsidR="00F076FF" w:rsidRPr="00A428C3" w:rsidRDefault="00F076FF" w:rsidP="00F076FF">
      <w:pPr>
        <w:pStyle w:val="12"/>
      </w:pPr>
      <w:r w:rsidRPr="00A428C3">
        <w:t xml:space="preserve">Publisher: </w:t>
      </w:r>
    </w:p>
    <w:p w:rsidR="00F076FF" w:rsidRPr="00A428C3" w:rsidRDefault="00F076FF" w:rsidP="00F076FF">
      <w:pPr>
        <w:pStyle w:val="12"/>
      </w:pPr>
      <w:r w:rsidRPr="00A428C3">
        <w:t xml:space="preserve">Publisher Address: </w:t>
      </w:r>
    </w:p>
    <w:p w:rsidR="00F076FF" w:rsidRPr="00A428C3" w:rsidRDefault="00F076FF" w:rsidP="00F076FF">
      <w:pPr>
        <w:pStyle w:val="12"/>
      </w:pPr>
      <w:r w:rsidRPr="00A428C3">
        <w:t xml:space="preserve">Subject Categories: </w:t>
      </w:r>
    </w:p>
    <w:p w:rsidR="00F076FF" w:rsidRPr="00A428C3" w:rsidRDefault="00F076FF" w:rsidP="00F076FF">
      <w:pPr>
        <w:pStyle w:val="12"/>
      </w:pPr>
      <w:r w:rsidRPr="00A428C3">
        <w:t xml:space="preserve">: Impact Factor </w:t>
      </w:r>
    </w:p>
    <w:p w:rsidR="00B95188" w:rsidRPr="00A428C3" w:rsidRDefault="00B95188" w:rsidP="00B95188">
      <w:pPr>
        <w:pStyle w:val="1"/>
      </w:pPr>
      <w:r w:rsidRPr="00A428C3">
        <w:rPr>
          <w:lang w:val="en-GB"/>
        </w:rPr>
        <w:br w:type="page"/>
      </w:r>
      <w:bookmarkStart w:id="391" w:name="_Toc186647734"/>
      <w:bookmarkStart w:id="392" w:name="_Toc317160950"/>
      <w:r w:rsidRPr="00A428C3">
        <w:lastRenderedPageBreak/>
        <w:t xml:space="preserve">Title: </w:t>
      </w:r>
      <w:r w:rsidRPr="00A428C3">
        <w:rPr>
          <w:iCs/>
        </w:rPr>
        <w:t>Global Environmental Change-Human</w:t>
      </w:r>
      <w:r w:rsidR="00F81221">
        <w:rPr>
          <w:iCs/>
        </w:rPr>
        <w:t xml:space="preserve"> and </w:t>
      </w:r>
      <w:r w:rsidRPr="00A428C3">
        <w:rPr>
          <w:iCs/>
        </w:rPr>
        <w:t>Policy Dimensions</w:t>
      </w:r>
      <w:bookmarkEnd w:id="391"/>
      <w:bookmarkEnd w:id="392"/>
    </w:p>
    <w:p w:rsidR="00B95188" w:rsidRPr="00A428C3" w:rsidRDefault="00B95188" w:rsidP="00B72EF9">
      <w:pPr>
        <w:pStyle w:val="12"/>
      </w:pPr>
      <w:r w:rsidRPr="00A428C3">
        <w:t xml:space="preserve">Full Journal Title: </w:t>
      </w:r>
      <w:hyperlink r:id="rId474" w:history="1">
        <w:r w:rsidRPr="00A428C3">
          <w:rPr>
            <w:rStyle w:val="a5"/>
          </w:rPr>
          <w:t>Global Environmental Change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Janssen, M.A., Schoon, M.L., Ke, W.M.</w:t>
      </w:r>
      <w:r w:rsidR="00F81221">
        <w:t xml:space="preserve"> and </w:t>
      </w:r>
      <w:r w:rsidRPr="00A428C3">
        <w:t>Borner, K. (2006), Scholarly networks on resilience, vulnerability</w:t>
      </w:r>
      <w:r w:rsidR="00F81221">
        <w:t xml:space="preserve"> and </w:t>
      </w:r>
      <w:r w:rsidRPr="00A428C3">
        <w:t xml:space="preserve">adaptation within the human dimensions of global environmental change. </w:t>
      </w:r>
      <w:r w:rsidRPr="00A428C3">
        <w:rPr>
          <w:i/>
          <w:iCs/>
        </w:rPr>
        <w:t>Global Environmental Change-Human</w:t>
      </w:r>
      <w:r w:rsidR="00F81221">
        <w:rPr>
          <w:i/>
          <w:iCs/>
        </w:rPr>
        <w:t xml:space="preserve"> and </w:t>
      </w:r>
      <w:r w:rsidRPr="00A428C3">
        <w:rPr>
          <w:i/>
          <w:iCs/>
        </w:rPr>
        <w:t>Policy Dimensions</w:t>
      </w:r>
      <w:r w:rsidRPr="00A428C3">
        <w:t xml:space="preserve">, </w:t>
      </w:r>
      <w:r w:rsidRPr="00A428C3">
        <w:rPr>
          <w:b/>
        </w:rPr>
        <w:t>16</w:t>
      </w:r>
      <w:r w:rsidRPr="00A428C3">
        <w:t xml:space="preserve"> (3), 240-252.</w:t>
      </w:r>
    </w:p>
    <w:p w:rsidR="00B95188" w:rsidRPr="00A428C3" w:rsidRDefault="00B95188" w:rsidP="00B95188">
      <w:pPr>
        <w:pStyle w:val="a0"/>
      </w:pPr>
      <w:r w:rsidRPr="00A428C3">
        <w:t xml:space="preserve">Full Text: </w:t>
      </w:r>
      <w:hyperlink r:id="rId475" w:history="1">
        <w:r w:rsidRPr="00A428C3">
          <w:rPr>
            <w:rStyle w:val="a5"/>
          </w:rPr>
          <w:t>2006\Glo Env Cha16, 240.pdf</w:t>
        </w:r>
      </w:hyperlink>
    </w:p>
    <w:p w:rsidR="00B95188" w:rsidRPr="00A428C3" w:rsidRDefault="00B95188" w:rsidP="00B95188">
      <w:pPr>
        <w:pStyle w:val="a0"/>
      </w:pPr>
      <w:r w:rsidRPr="00A428C3">
        <w:t>Abstract: This paper presents the results of a bibliometric analysis of the knowledge domains resilience, vulnerability</w:t>
      </w:r>
      <w:r w:rsidR="00F81221">
        <w:t xml:space="preserve"> and </w:t>
      </w:r>
      <w:r w:rsidRPr="00A428C3">
        <w:t>adaptation within the research activities on human dimensions of global environmental change. We analyzed how 2286 publications between 1967</w:t>
      </w:r>
      <w:r w:rsidR="00F81221">
        <w:t xml:space="preserve"> and </w:t>
      </w:r>
      <w:r w:rsidRPr="00A428C3">
        <w:t>2005 are related in terms of co-authorship relations,</w:t>
      </w:r>
      <w:r w:rsidR="00F81221">
        <w:t xml:space="preserve"> and </w:t>
      </w:r>
      <w:r w:rsidRPr="00A428C3">
        <w:t>citation relations.</w:t>
      </w:r>
    </w:p>
    <w:p w:rsidR="00B95188" w:rsidRPr="00A428C3" w:rsidRDefault="00B95188" w:rsidP="00B95188">
      <w:pPr>
        <w:pStyle w:val="a0"/>
      </w:pPr>
      <w:r w:rsidRPr="00A428C3">
        <w:t>The number of publications in the three knowledge domains increased rapidly between 1995</w:t>
      </w:r>
      <w:r w:rsidR="00F81221">
        <w:t xml:space="preserve"> and </w:t>
      </w:r>
      <w:r w:rsidRPr="00A428C3">
        <w:t>2005. However, the resilience knowledge domain is only weakly connected with the other two domains in terms of co-authorships</w:t>
      </w:r>
      <w:r w:rsidR="00F81221">
        <w:t xml:space="preserve"> and </w:t>
      </w:r>
      <w:r w:rsidRPr="00A428C3">
        <w:t>citations. The resilience knowledge domain has a background in ecology</w:t>
      </w:r>
      <w:r w:rsidR="00F81221">
        <w:t xml:space="preserve"> and </w:t>
      </w:r>
      <w:r w:rsidRPr="00A428C3">
        <w:t>mathematics with a focus on theoretical models, while the vulnerability</w:t>
      </w:r>
      <w:r w:rsidR="00F81221">
        <w:t xml:space="preserve"> and </w:t>
      </w:r>
      <w:r w:rsidRPr="00A428C3">
        <w:t>adaptation knowledge domains have a background in geography</w:t>
      </w:r>
      <w:r w:rsidR="00F81221">
        <w:t xml:space="preserve"> and </w:t>
      </w:r>
      <w:r w:rsidRPr="00A428C3">
        <w:t>natural hazards research with a focus on case studies</w:t>
      </w:r>
      <w:r w:rsidR="00F81221">
        <w:t xml:space="preserve"> and </w:t>
      </w:r>
      <w:r w:rsidRPr="00A428C3">
        <w:t>climate change research. There is an increasing number of cross citations</w:t>
      </w:r>
      <w:r w:rsidR="00F81221">
        <w:t xml:space="preserve"> and </w:t>
      </w:r>
      <w:r w:rsidRPr="00A428C3">
        <w:t>papers classified in multiple knowledge domains. This seems to indicate an increasing integration of the different knowledge domains.</w:t>
      </w:r>
    </w:p>
    <w:p w:rsidR="00B95188" w:rsidRPr="00A428C3" w:rsidRDefault="00B95188" w:rsidP="00B95188">
      <w:pPr>
        <w:pStyle w:val="a0"/>
      </w:pPr>
      <w:r w:rsidRPr="00A428C3">
        <w:t xml:space="preserve">Keywords: Adaptation, Agriculture, Analysis, Bibliometric, Bibliometric Analysis, Citations, Climate, Climate Change, Climate-Change, Co-Authorship, Co-Authorship Networks, Ecological Resilience, Ecology, Ecosystems, Environmental, Environmental Change, Geography, Global, Human, Integration, Knowledge, Knowledge Domains, Knowledge Domains, Management, Models, </w:t>
      </w:r>
      <w:r w:rsidRPr="00A428C3">
        <w:lastRenderedPageBreak/>
        <w:t>Natural, Paper, Publications, Research, Resilience, Scale, Social Vulnerability, Thresholds, Variability, Vulnerability</w:t>
      </w:r>
    </w:p>
    <w:p w:rsidR="00EA17E4" w:rsidRPr="00A428C3" w:rsidRDefault="00EA17E4" w:rsidP="00EA17E4">
      <w:pPr>
        <w:pStyle w:val="1"/>
      </w:pPr>
      <w:r w:rsidRPr="00A428C3">
        <w:br w:type="page"/>
      </w:r>
      <w:bookmarkStart w:id="393" w:name="_Toc317160951"/>
      <w:r w:rsidRPr="00A428C3">
        <w:lastRenderedPageBreak/>
        <w:t>Tit</w:t>
      </w:r>
      <w:r>
        <w:t xml:space="preserve">le: </w:t>
      </w:r>
      <w:r w:rsidRPr="00F92C3B">
        <w:rPr>
          <w:szCs w:val="24"/>
        </w:rPr>
        <w:t>Global Journal of Library</w:t>
      </w:r>
      <w:r w:rsidR="00F81221">
        <w:rPr>
          <w:szCs w:val="24"/>
        </w:rPr>
        <w:t xml:space="preserve"> and </w:t>
      </w:r>
      <w:r w:rsidRPr="00F92C3B">
        <w:rPr>
          <w:szCs w:val="24"/>
        </w:rPr>
        <w:t>Information Sciences</w:t>
      </w:r>
      <w:bookmarkEnd w:id="393"/>
    </w:p>
    <w:p w:rsidR="00EA17E4" w:rsidRPr="00A428C3" w:rsidRDefault="00EA17E4" w:rsidP="00EA17E4">
      <w:pPr>
        <w:pStyle w:val="12"/>
      </w:pPr>
      <w:r w:rsidRPr="00A428C3">
        <w:t>F</w:t>
      </w:r>
      <w:r>
        <w:t xml:space="preserve">ull Journal Title: </w:t>
      </w:r>
      <w:r w:rsidRPr="00F92C3B">
        <w:t>Global Journal of Library</w:t>
      </w:r>
      <w:r w:rsidR="00F81221">
        <w:t xml:space="preserve"> and </w:t>
      </w:r>
      <w:r w:rsidRPr="00F92C3B">
        <w:t>Information Sciences</w:t>
      </w:r>
    </w:p>
    <w:p w:rsidR="00EA17E4" w:rsidRPr="00A428C3" w:rsidRDefault="00EA17E4" w:rsidP="00EA17E4">
      <w:pPr>
        <w:pStyle w:val="12"/>
      </w:pPr>
      <w:r w:rsidRPr="00A428C3">
        <w:t xml:space="preserve">ISO Abbreviated Title: </w:t>
      </w:r>
    </w:p>
    <w:p w:rsidR="00EA17E4" w:rsidRPr="00A428C3" w:rsidRDefault="00EA17E4" w:rsidP="00EA17E4">
      <w:pPr>
        <w:pStyle w:val="12"/>
      </w:pPr>
      <w:r w:rsidRPr="00A428C3">
        <w:t xml:space="preserve">JCR Abbreviated Title: </w:t>
      </w:r>
    </w:p>
    <w:p w:rsidR="00EA17E4" w:rsidRPr="00A428C3" w:rsidRDefault="00EA17E4" w:rsidP="00EA17E4">
      <w:pPr>
        <w:pStyle w:val="12"/>
      </w:pPr>
      <w:r w:rsidRPr="00A428C3">
        <w:t xml:space="preserve">ISSN: </w:t>
      </w:r>
    </w:p>
    <w:p w:rsidR="00EA17E4" w:rsidRPr="00A428C3" w:rsidRDefault="00EA17E4" w:rsidP="00EA17E4">
      <w:pPr>
        <w:pStyle w:val="12"/>
      </w:pPr>
      <w:r w:rsidRPr="00A428C3">
        <w:t xml:space="preserve">Issues/Year: </w:t>
      </w:r>
    </w:p>
    <w:p w:rsidR="00EA17E4" w:rsidRPr="00A428C3" w:rsidRDefault="00EA17E4" w:rsidP="00EA17E4">
      <w:pPr>
        <w:pStyle w:val="12"/>
      </w:pPr>
      <w:r w:rsidRPr="00A428C3">
        <w:t xml:space="preserve">Journal Country/Territory: </w:t>
      </w:r>
    </w:p>
    <w:p w:rsidR="00EA17E4" w:rsidRPr="00A428C3" w:rsidRDefault="00EA17E4" w:rsidP="00EA17E4">
      <w:pPr>
        <w:pStyle w:val="12"/>
      </w:pPr>
      <w:r w:rsidRPr="00A428C3">
        <w:t xml:space="preserve">Language: </w:t>
      </w:r>
    </w:p>
    <w:p w:rsidR="00EA17E4" w:rsidRPr="00A428C3" w:rsidRDefault="00EA17E4" w:rsidP="00EA17E4">
      <w:pPr>
        <w:pStyle w:val="12"/>
      </w:pPr>
      <w:r w:rsidRPr="00A428C3">
        <w:t xml:space="preserve">Publisher: </w:t>
      </w:r>
    </w:p>
    <w:p w:rsidR="00EA17E4" w:rsidRPr="00A428C3" w:rsidRDefault="00EA17E4" w:rsidP="00EA17E4">
      <w:pPr>
        <w:pStyle w:val="12"/>
      </w:pPr>
      <w:r w:rsidRPr="00A428C3">
        <w:t xml:space="preserve">Publisher Address: </w:t>
      </w:r>
    </w:p>
    <w:p w:rsidR="00EA17E4" w:rsidRPr="00A428C3" w:rsidRDefault="00EA17E4" w:rsidP="00EA17E4">
      <w:pPr>
        <w:pStyle w:val="12"/>
      </w:pPr>
      <w:r w:rsidRPr="00A428C3">
        <w:t>Subject Categories:</w:t>
      </w:r>
    </w:p>
    <w:p w:rsidR="00EA17E4" w:rsidRPr="00A428C3" w:rsidRDefault="00EA17E4" w:rsidP="00EA17E4">
      <w:pPr>
        <w:pStyle w:val="12"/>
      </w:pPr>
      <w:r w:rsidRPr="00A428C3">
        <w:t xml:space="preserve">: Impact Factor </w:t>
      </w:r>
    </w:p>
    <w:p w:rsidR="00B95188" w:rsidRPr="00A428C3" w:rsidRDefault="00B95188" w:rsidP="00B95188">
      <w:pPr>
        <w:pStyle w:val="1"/>
      </w:pPr>
      <w:r w:rsidRPr="00A428C3">
        <w:br w:type="page"/>
      </w:r>
      <w:bookmarkStart w:id="394" w:name="_Toc186647736"/>
      <w:bookmarkStart w:id="395" w:name="_Toc317160952"/>
      <w:r w:rsidRPr="00A428C3">
        <w:lastRenderedPageBreak/>
        <w:t>Title: Global Nest: the International Journal</w:t>
      </w:r>
      <w:bookmarkEnd w:id="394"/>
      <w:bookmarkEnd w:id="395"/>
    </w:p>
    <w:p w:rsidR="00B95188" w:rsidRPr="00A428C3" w:rsidRDefault="00B95188" w:rsidP="00B72EF9">
      <w:pPr>
        <w:pStyle w:val="12"/>
      </w:pPr>
      <w:r w:rsidRPr="00A428C3">
        <w:t xml:space="preserve">Full Journal Title: </w:t>
      </w:r>
      <w:hyperlink r:id="rId476" w:history="1">
        <w:r w:rsidRPr="00A428C3">
          <w:rPr>
            <w:rStyle w:val="a5"/>
          </w:rPr>
          <w:t>Global Nest: The International Journal</w:t>
        </w:r>
      </w:hyperlink>
    </w:p>
    <w:p w:rsidR="00B95188" w:rsidRPr="00A428C3" w:rsidRDefault="00B95188" w:rsidP="00B72EF9">
      <w:pPr>
        <w:pStyle w:val="12"/>
      </w:pPr>
      <w:r w:rsidRPr="00A428C3">
        <w:t xml:space="preserve">ISO Abbreviated Title: </w:t>
      </w:r>
      <w:r w:rsidRPr="00586CD8">
        <w:t>Global Nest: the Int. J.</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Nikolaou, A.D., Kostopoulou, M.N.</w:t>
      </w:r>
      <w:r w:rsidR="00F81221">
        <w:t xml:space="preserve"> and </w:t>
      </w:r>
      <w:r w:rsidRPr="00A428C3">
        <w:t>Lekkas, T.D. (1999), Organic by-products of drinking water chlorination.</w:t>
      </w:r>
      <w:r w:rsidRPr="00A428C3">
        <w:rPr>
          <w:i/>
        </w:rPr>
        <w:t xml:space="preserve"> </w:t>
      </w:r>
      <w:r w:rsidRPr="00A428C3">
        <w:rPr>
          <w:i/>
          <w:iCs/>
        </w:rPr>
        <w:t>Global Nest: the International Journal</w:t>
      </w:r>
      <w:r w:rsidRPr="00A428C3">
        <w:t xml:space="preserve">, </w:t>
      </w:r>
      <w:r w:rsidRPr="00A428C3">
        <w:rPr>
          <w:b/>
        </w:rPr>
        <w:t>1</w:t>
      </w:r>
      <w:r w:rsidRPr="00A428C3">
        <w:t xml:space="preserve"> (3), 143-156.</w:t>
      </w:r>
    </w:p>
    <w:p w:rsidR="00B95188" w:rsidRPr="00A428C3" w:rsidRDefault="00B95188" w:rsidP="00B95188">
      <w:pPr>
        <w:pStyle w:val="a0"/>
      </w:pPr>
      <w:r w:rsidRPr="00A428C3">
        <w:t xml:space="preserve">Full Text: </w:t>
      </w:r>
      <w:hyperlink r:id="rId477" w:history="1">
        <w:r w:rsidRPr="00A428C3">
          <w:rPr>
            <w:rStyle w:val="a5"/>
          </w:rPr>
          <w:t>G\Glo Nes Int J1, 143.pdf</w:t>
        </w:r>
      </w:hyperlink>
    </w:p>
    <w:p w:rsidR="00B95188" w:rsidRPr="00A428C3" w:rsidRDefault="00B95188" w:rsidP="00B95188">
      <w:pPr>
        <w:pStyle w:val="a0"/>
      </w:pPr>
      <w:r w:rsidRPr="00A428C3">
        <w:t>Abstract: Chlorination of drinking water leads to the formation of a variety of Disinfection By-Products (DBPs) that may have adverse health effects on humans. Research on this subject has been continued</w:t>
      </w:r>
      <w:r w:rsidR="00F81221">
        <w:t xml:space="preserve"> and </w:t>
      </w:r>
      <w:r w:rsidRPr="00A428C3">
        <w:t>new epidemiological</w:t>
      </w:r>
      <w:r w:rsidR="00F81221">
        <w:t xml:space="preserve"> and </w:t>
      </w:r>
      <w:r w:rsidRPr="00A428C3">
        <w:t>toxicological studies have been conducted. This review summarizes factors affecting DBP formation</w:t>
      </w:r>
      <w:r w:rsidR="00F81221">
        <w:t xml:space="preserve"> and </w:t>
      </w:r>
      <w:r w:rsidRPr="00A428C3">
        <w:t>predictive equations proposed for it, physical</w:t>
      </w:r>
      <w:r w:rsidR="00F81221">
        <w:t xml:space="preserve"> and </w:t>
      </w:r>
      <w:r w:rsidRPr="00A428C3">
        <w:t>chemical properties, environmental fate, actual measurements of these compounds</w:t>
      </w:r>
      <w:r w:rsidR="00F81221">
        <w:t xml:space="preserve"> and </w:t>
      </w:r>
      <w:r w:rsidRPr="00A428C3">
        <w:t>technologies for controlling them, as well as regulation</w:t>
      </w:r>
      <w:r w:rsidR="00F81221">
        <w:t xml:space="preserve"> and </w:t>
      </w:r>
      <w:r w:rsidRPr="00A428C3">
        <w:t>currently proposed changes of their Maximum Contaminant Levels (MCLs) after evaluation by EPA of new data available.</w:t>
      </w:r>
    </w:p>
    <w:p w:rsidR="00B95188" w:rsidRPr="00A428C3" w:rsidRDefault="00B95188" w:rsidP="00B95188">
      <w:pPr>
        <w:pStyle w:val="a0"/>
      </w:pPr>
      <w:r w:rsidRPr="00A428C3">
        <w:rPr>
          <w:szCs w:val="22"/>
        </w:rPr>
        <w:t xml:space="preserve">Keywords: </w:t>
      </w:r>
      <w:r w:rsidRPr="00A428C3">
        <w:t>Disinfection By-Products, Chlorination, Trihalomethanes, Haloacetic Acids</w:t>
      </w:r>
    </w:p>
    <w:p w:rsidR="00B95188" w:rsidRPr="00A428C3" w:rsidRDefault="00B95188" w:rsidP="00B95188">
      <w:pPr>
        <w:pStyle w:val="a0"/>
      </w:pPr>
      <w:r w:rsidRPr="00A428C3">
        <w:t>Alam, J.B., Dikshit, A.K.</w:t>
      </w:r>
      <w:r w:rsidR="00F81221">
        <w:t xml:space="preserve"> and </w:t>
      </w:r>
      <w:r w:rsidRPr="00A428C3">
        <w:t>Bandyopadhyay, M. (2000), Efficacy of adsorbents for 2,4-D</w:t>
      </w:r>
      <w:r w:rsidR="00F81221">
        <w:t xml:space="preserve"> and </w:t>
      </w:r>
      <w:r w:rsidRPr="00A428C3">
        <w:t>atrazine removal from water environment.</w:t>
      </w:r>
      <w:r w:rsidRPr="00A428C3">
        <w:rPr>
          <w:i/>
        </w:rPr>
        <w:t xml:space="preserve"> </w:t>
      </w:r>
      <w:r w:rsidRPr="00A428C3">
        <w:rPr>
          <w:i/>
          <w:iCs/>
        </w:rPr>
        <w:t>Global Nest: the International Journal</w:t>
      </w:r>
      <w:r w:rsidRPr="00A428C3">
        <w:t xml:space="preserve">, </w:t>
      </w:r>
      <w:r w:rsidRPr="00A428C3">
        <w:rPr>
          <w:b/>
        </w:rPr>
        <w:t>2</w:t>
      </w:r>
      <w:r w:rsidRPr="00A428C3">
        <w:t xml:space="preserve"> (2), 139-148.</w:t>
      </w:r>
    </w:p>
    <w:p w:rsidR="00B95188" w:rsidRPr="00A428C3" w:rsidRDefault="00B95188" w:rsidP="00B95188">
      <w:pPr>
        <w:pStyle w:val="a0"/>
      </w:pPr>
      <w:r w:rsidRPr="00A428C3">
        <w:t xml:space="preserve">Full Text: </w:t>
      </w:r>
      <w:hyperlink r:id="rId478" w:history="1">
        <w:r w:rsidRPr="00A428C3">
          <w:rPr>
            <w:rStyle w:val="a5"/>
          </w:rPr>
          <w:t>G\Glo Nes Int J2, 139.pdf</w:t>
        </w:r>
      </w:hyperlink>
    </w:p>
    <w:p w:rsidR="00B95188" w:rsidRPr="00A428C3" w:rsidRDefault="00B95188" w:rsidP="00B95188">
      <w:pPr>
        <w:pStyle w:val="a0"/>
      </w:pPr>
      <w:r w:rsidRPr="00A428C3">
        <w:rPr>
          <w:szCs w:val="22"/>
        </w:rPr>
        <w:t xml:space="preserve">Abstract: </w:t>
      </w:r>
      <w:r w:rsidRPr="00A428C3">
        <w:t>The efficacy of low cost adsorbing materials for removal of 2,4-d (2,4 dichloro phenoxy acetic acid)</w:t>
      </w:r>
      <w:r w:rsidR="00F81221">
        <w:t xml:space="preserve"> and </w:t>
      </w:r>
      <w:r w:rsidRPr="00A428C3">
        <w:t>atrazine (2-chloro-4-ethyamino-6-isopropylamino-1,3,5 triazine) herbicides from drinking water was evaluated. Five low cost adsorbents, viz. wood charcoal, rubber granules, bottom ash, macro fungi sajor caju</w:t>
      </w:r>
      <w:r w:rsidR="00F81221">
        <w:t xml:space="preserve"> and </w:t>
      </w:r>
      <w:r w:rsidRPr="00A428C3">
        <w:t>florida were tested. The above materials were selected from organic, inorganic</w:t>
      </w:r>
      <w:r w:rsidR="00F81221">
        <w:t xml:space="preserve"> and </w:t>
      </w:r>
      <w:r w:rsidRPr="00A428C3">
        <w:t>biological sources. For the selection of the suitable adsorbent for 2,4-D</w:t>
      </w:r>
      <w:r w:rsidR="00F81221">
        <w:t xml:space="preserve"> and </w:t>
      </w:r>
      <w:r w:rsidRPr="00A428C3">
        <w:t>atrazine uptake, the maximum adsorption capacity (Q</w:t>
      </w:r>
      <w:r w:rsidRPr="00A428C3">
        <w:rPr>
          <w:szCs w:val="14"/>
          <w:vertAlign w:val="subscript"/>
        </w:rPr>
        <w:t>max</w:t>
      </w:r>
      <w:r w:rsidRPr="00A428C3">
        <w:t xml:space="preserve">) was chosen as the main parameter. Using linearized forms of equilibrium </w:t>
      </w:r>
      <w:r w:rsidRPr="00A428C3">
        <w:lastRenderedPageBreak/>
        <w:t>models like Langmuir, Brunauer, Emmett</w:t>
      </w:r>
      <w:r w:rsidR="00F81221">
        <w:t xml:space="preserve"> and </w:t>
      </w:r>
      <w:r w:rsidRPr="00A428C3">
        <w:t>Teller (BET), Freundlich</w:t>
      </w:r>
      <w:r w:rsidR="00F81221">
        <w:t xml:space="preserve"> and </w:t>
      </w:r>
      <w:r w:rsidRPr="00A428C3">
        <w:t>Lopez-Gonzalez models (L-G models), the maximum adsorptive capacities were determined. Wood charcoal showed the best adsorptive capacity with Q</w:t>
      </w:r>
      <w:r w:rsidRPr="00A428C3">
        <w:rPr>
          <w:szCs w:val="14"/>
        </w:rPr>
        <w:t xml:space="preserve">max </w:t>
      </w:r>
      <w:r w:rsidRPr="00A428C3">
        <w:t>of 0.70 mg g</w:t>
      </w:r>
      <w:r w:rsidRPr="00A428C3">
        <w:rPr>
          <w:szCs w:val="14"/>
          <w:vertAlign w:val="superscript"/>
        </w:rPr>
        <w:t>-1</w:t>
      </w:r>
      <w:r w:rsidRPr="00A428C3">
        <w:rPr>
          <w:szCs w:val="14"/>
        </w:rPr>
        <w:t xml:space="preserve"> </w:t>
      </w:r>
      <w:r w:rsidRPr="00A428C3">
        <w:t>for 2,4-D</w:t>
      </w:r>
      <w:r w:rsidR="00F81221">
        <w:t xml:space="preserve"> and </w:t>
      </w:r>
      <w:r w:rsidRPr="00A428C3">
        <w:t>0.80 mg g</w:t>
      </w:r>
      <w:r w:rsidRPr="00A428C3">
        <w:rPr>
          <w:szCs w:val="14"/>
          <w:vertAlign w:val="superscript"/>
        </w:rPr>
        <w:t>-1</w:t>
      </w:r>
      <w:r w:rsidRPr="00A428C3">
        <w:rPr>
          <w:szCs w:val="14"/>
        </w:rPr>
        <w:t xml:space="preserve"> </w:t>
      </w:r>
      <w:r w:rsidRPr="00A428C3">
        <w:t>for atrazine followed by 0.40 mg g</w:t>
      </w:r>
      <w:r w:rsidRPr="00A428C3">
        <w:rPr>
          <w:szCs w:val="14"/>
          <w:vertAlign w:val="superscript"/>
        </w:rPr>
        <w:t>-1</w:t>
      </w:r>
      <w:r w:rsidRPr="00A428C3">
        <w:rPr>
          <w:szCs w:val="14"/>
        </w:rPr>
        <w:t xml:space="preserve"> </w:t>
      </w:r>
      <w:r w:rsidRPr="00A428C3">
        <w:t>for 2,4-D</w:t>
      </w:r>
      <w:r w:rsidR="00F81221">
        <w:t xml:space="preserve"> and </w:t>
      </w:r>
      <w:r w:rsidRPr="00A428C3">
        <w:t>0.47 mg g</w:t>
      </w:r>
      <w:r w:rsidRPr="00A428C3">
        <w:rPr>
          <w:szCs w:val="14"/>
          <w:vertAlign w:val="superscript"/>
        </w:rPr>
        <w:t>-1</w:t>
      </w:r>
      <w:r w:rsidRPr="00A428C3">
        <w:rPr>
          <w:szCs w:val="14"/>
        </w:rPr>
        <w:t xml:space="preserve"> </w:t>
      </w:r>
      <w:r w:rsidRPr="00A428C3">
        <w:t>for atrazine by rubber granules. Bottom ash, sajor caju</w:t>
      </w:r>
      <w:r w:rsidR="00F81221">
        <w:t xml:space="preserve"> and </w:t>
      </w:r>
      <w:r w:rsidRPr="00A428C3">
        <w:t>florida gave poor performance.</w:t>
      </w:r>
    </w:p>
    <w:p w:rsidR="00B95188" w:rsidRPr="00A428C3" w:rsidRDefault="00B95188" w:rsidP="00B95188">
      <w:pPr>
        <w:pStyle w:val="a0"/>
      </w:pPr>
      <w:r w:rsidRPr="00A428C3">
        <w:rPr>
          <w:szCs w:val="22"/>
        </w:rPr>
        <w:t xml:space="preserve">Keywords: </w:t>
      </w:r>
      <w:r w:rsidRPr="00A428C3">
        <w:t>Maximum Adsorption Capacity, Langmuir, Freundlich, BET, L-G Models, Herbicides</w:t>
      </w:r>
    </w:p>
    <w:p w:rsidR="00B95188" w:rsidRPr="00A428C3" w:rsidRDefault="00B95188" w:rsidP="00B95188">
      <w:pPr>
        <w:pStyle w:val="a0"/>
      </w:pPr>
      <w:r w:rsidRPr="00A428C3">
        <w:t>Albanis, T., Hela, D., Sakellarides, T.</w:t>
      </w:r>
      <w:r w:rsidR="00F81221">
        <w:t xml:space="preserve"> and </w:t>
      </w:r>
      <w:r w:rsidRPr="00A428C3">
        <w:t>Danis, T. (2000), Removal of dyes from aqueous solutions by adsorption on mixtures of fly ash</w:t>
      </w:r>
      <w:r w:rsidR="00F81221">
        <w:t xml:space="preserve"> and </w:t>
      </w:r>
      <w:r w:rsidRPr="00A428C3">
        <w:t>soil in batch</w:t>
      </w:r>
      <w:r w:rsidR="00F81221">
        <w:t xml:space="preserve"> and </w:t>
      </w:r>
      <w:r w:rsidRPr="00A428C3">
        <w:t>column techniques.</w:t>
      </w:r>
      <w:r w:rsidRPr="00A428C3">
        <w:rPr>
          <w:i/>
        </w:rPr>
        <w:t xml:space="preserve"> </w:t>
      </w:r>
      <w:r w:rsidRPr="00A428C3">
        <w:rPr>
          <w:i/>
          <w:iCs/>
        </w:rPr>
        <w:t>Global Nest: the International Journal</w:t>
      </w:r>
      <w:r w:rsidRPr="00A428C3">
        <w:t xml:space="preserve">, </w:t>
      </w:r>
      <w:r w:rsidRPr="00A428C3">
        <w:rPr>
          <w:b/>
        </w:rPr>
        <w:t>2</w:t>
      </w:r>
      <w:r w:rsidRPr="00A428C3">
        <w:t xml:space="preserve"> (3), 237-244.</w:t>
      </w:r>
    </w:p>
    <w:p w:rsidR="00B95188" w:rsidRPr="00A428C3" w:rsidRDefault="00B95188" w:rsidP="00B95188">
      <w:pPr>
        <w:pStyle w:val="a0"/>
      </w:pPr>
      <w:r w:rsidRPr="00A428C3">
        <w:t xml:space="preserve">Full Text: </w:t>
      </w:r>
      <w:hyperlink r:id="rId479" w:history="1">
        <w:r w:rsidRPr="00A428C3">
          <w:rPr>
            <w:rStyle w:val="a5"/>
          </w:rPr>
          <w:t>G\Glo Nes Int J2, 237.pdf</w:t>
        </w:r>
      </w:hyperlink>
    </w:p>
    <w:p w:rsidR="00B95188" w:rsidRPr="00A428C3" w:rsidRDefault="00B95188" w:rsidP="00B95188">
      <w:pPr>
        <w:pStyle w:val="a0"/>
      </w:pPr>
      <w:r w:rsidRPr="00A428C3">
        <w:rPr>
          <w:szCs w:val="22"/>
        </w:rPr>
        <w:t xml:space="preserve">Abstract: </w:t>
      </w:r>
      <w:r w:rsidRPr="00A428C3">
        <w:t>Adsorption</w:t>
      </w:r>
      <w:r w:rsidR="00F81221">
        <w:t xml:space="preserve"> and </w:t>
      </w:r>
      <w:r w:rsidRPr="00A428C3">
        <w:t>removal of commercial dyes were studied in aqueous suspensions of fly ash mixtures with a sandy clay loam soil of low organic matter content. The commercial dyes, acid orange 7, acid yellow 23, disperse blue 79, basic yellow 28</w:t>
      </w:r>
      <w:r w:rsidR="00F81221">
        <w:t xml:space="preserve"> and </w:t>
      </w:r>
      <w:r w:rsidRPr="00A428C3">
        <w:t>direct yellow 28 represent the widely used nitroazo structures. Batch</w:t>
      </w:r>
      <w:r w:rsidR="00F81221">
        <w:t xml:space="preserve"> and </w:t>
      </w:r>
      <w:r w:rsidRPr="00A428C3">
        <w:t>column experiments were carried out at equilibrium conditions for concentrations of dyes between 5</w:t>
      </w:r>
      <w:r w:rsidR="00F81221">
        <w:t xml:space="preserve"> and </w:t>
      </w:r>
      <w:r w:rsidRPr="00A428C3">
        <w:t>60 mg l</w:t>
      </w:r>
      <w:r w:rsidRPr="00A428C3">
        <w:rPr>
          <w:szCs w:val="14"/>
          <w:vertAlign w:val="superscript"/>
        </w:rPr>
        <w:t>-1</w:t>
      </w:r>
      <w:r w:rsidRPr="00A428C3">
        <w:t>. The logarithmic form of Freundlich equation gave a high linearity</w:t>
      </w:r>
      <w:r w:rsidR="00F81221">
        <w:t xml:space="preserve"> and </w:t>
      </w:r>
      <w:r w:rsidRPr="00A428C3">
        <w:t>the k constants are increasing with the increase of fly ash content in adsorbent mixtures</w:t>
      </w:r>
      <w:r w:rsidR="00F81221">
        <w:t xml:space="preserve"> and </w:t>
      </w:r>
      <w:r w:rsidRPr="00A428C3">
        <w:t>the affinity between the adsorbent surface</w:t>
      </w:r>
      <w:r w:rsidR="00F81221">
        <w:t xml:space="preserve"> and </w:t>
      </w:r>
      <w:r w:rsidRPr="00A428C3">
        <w:t>adsorbed solute. The mean removed amounts of dyes by adsorption batch experiments in soil mixture with 20% fly ash content were up to 53.0% for acid yellow 7, 44.9% for acid yellow 23, 99.2% for direct yellow 28, 96.8% for basic yellow 28</w:t>
      </w:r>
      <w:r w:rsidR="00F81221">
        <w:t xml:space="preserve"> and </w:t>
      </w:r>
      <w:r w:rsidRPr="00A428C3">
        <w:t>88.5% for disperse blue 79. The removal of dyes from column experiments decrease with the increase of the solution concentration form 10 to 50 mg l</w:t>
      </w:r>
      <w:r w:rsidRPr="00A428C3">
        <w:rPr>
          <w:szCs w:val="14"/>
          <w:vertAlign w:val="superscript"/>
        </w:rPr>
        <w:t>-1</w:t>
      </w:r>
      <w:r w:rsidRPr="00A428C3">
        <w:rPr>
          <w:szCs w:val="14"/>
        </w:rPr>
        <w:t xml:space="preserve"> </w:t>
      </w:r>
      <w:r w:rsidRPr="00A428C3">
        <w:t xml:space="preserve">at </w:t>
      </w:r>
      <w:smartTag w:uri="urn:schemas-microsoft-com:office:smarttags" w:element="chmetcnv">
        <w:smartTagPr>
          <w:attr w:name="TCSC" w:val="0"/>
          <w:attr w:name="NumberType" w:val="1"/>
          <w:attr w:name="Negative" w:val="False"/>
          <w:attr w:name="HasSpace" w:val="True"/>
          <w:attr w:name="SourceValue" w:val="20"/>
          <w:attr w:name="UnitName" w:val="ﾰC"/>
        </w:smartTagPr>
        <w:r w:rsidRPr="00A428C3">
          <w:t>20 °C</w:t>
        </w:r>
      </w:smartTag>
      <w:r w:rsidRPr="00A428C3">
        <w:t>, showing the process to be highly dependent on the concentration of the solution. The mean removed amounts of dyes by adsorption on columns of soil mixture with 20% fly ash content</w:t>
      </w:r>
      <w:r w:rsidR="00F81221">
        <w:t xml:space="preserve"> and </w:t>
      </w:r>
      <w:r w:rsidRPr="00A428C3">
        <w:t>for initial concentration of dye solutions 50 mg l</w:t>
      </w:r>
      <w:r w:rsidRPr="00A428C3">
        <w:rPr>
          <w:szCs w:val="14"/>
          <w:vertAlign w:val="superscript"/>
        </w:rPr>
        <w:t>-1</w:t>
      </w:r>
      <w:r w:rsidRPr="00A428C3">
        <w:rPr>
          <w:szCs w:val="14"/>
        </w:rPr>
        <w:t xml:space="preserve"> </w:t>
      </w:r>
      <w:r w:rsidRPr="00A428C3">
        <w:t>were up to 33.8% for acid yellow 7, 59.4% for acid yellow 23, 84.2% for direct yellow 28, 98.2% for basic yellow 28</w:t>
      </w:r>
      <w:r w:rsidR="00F81221">
        <w:t xml:space="preserve"> and </w:t>
      </w:r>
      <w:r w:rsidRPr="00A428C3">
        <w:t>60.3% for disperse blue 79.</w:t>
      </w:r>
    </w:p>
    <w:p w:rsidR="00B95188" w:rsidRPr="00A428C3" w:rsidRDefault="00B95188" w:rsidP="00B95188">
      <w:pPr>
        <w:pStyle w:val="a0"/>
      </w:pPr>
      <w:r w:rsidRPr="00A428C3">
        <w:rPr>
          <w:szCs w:val="22"/>
        </w:rPr>
        <w:t xml:space="preserve">Keywords: </w:t>
      </w:r>
      <w:r w:rsidRPr="00A428C3">
        <w:t>Azo Dyes, Fly Ash, Soil, Adsorption, Removal, Batch, Column Techniques</w:t>
      </w:r>
    </w:p>
    <w:p w:rsidR="00B95188" w:rsidRPr="00A428C3" w:rsidRDefault="00B95188" w:rsidP="00B95188">
      <w:pPr>
        <w:pStyle w:val="a0"/>
      </w:pPr>
      <w:r w:rsidRPr="00A428C3">
        <w:t>Koumenides, K., Sakkas, N., Lekkas, D.F.</w:t>
      </w:r>
      <w:r w:rsidR="00F81221">
        <w:t xml:space="preserve"> and </w:t>
      </w:r>
      <w:r w:rsidRPr="00A428C3">
        <w:t xml:space="preserve">Xylourgidis, N. (2001), Using gac to control thms in drinking water: An experimental study at the </w:t>
      </w:r>
      <w:smartTag w:uri="urn:schemas-microsoft-com:office:smarttags" w:element="place">
        <w:smartTag w:uri="urn:schemas-microsoft-com:office:smarttags" w:element="City">
          <w:r w:rsidRPr="00A428C3">
            <w:t>athens</w:t>
          </w:r>
        </w:smartTag>
      </w:smartTag>
      <w:r w:rsidRPr="00A428C3">
        <w:t xml:space="preserve"> water works</w:t>
      </w:r>
      <w:r w:rsidR="00F81221">
        <w:t xml:space="preserve"> and </w:t>
      </w:r>
      <w:r w:rsidRPr="00A428C3">
        <w:t>an economic evaluation of the method.</w:t>
      </w:r>
      <w:r w:rsidRPr="00A428C3">
        <w:rPr>
          <w:i/>
        </w:rPr>
        <w:t xml:space="preserve"> </w:t>
      </w:r>
      <w:r w:rsidRPr="00A428C3">
        <w:rPr>
          <w:i/>
          <w:iCs/>
        </w:rPr>
        <w:t>Global Nest: the International Journal</w:t>
      </w:r>
      <w:r w:rsidRPr="00A428C3">
        <w:t xml:space="preserve">, </w:t>
      </w:r>
      <w:r w:rsidRPr="00A428C3">
        <w:rPr>
          <w:b/>
        </w:rPr>
        <w:t>3</w:t>
      </w:r>
      <w:r w:rsidRPr="00A428C3">
        <w:t xml:space="preserve"> (3), 189-197.</w:t>
      </w:r>
    </w:p>
    <w:p w:rsidR="00B95188" w:rsidRPr="00A428C3" w:rsidRDefault="00B95188" w:rsidP="00B95188">
      <w:pPr>
        <w:pStyle w:val="a0"/>
      </w:pPr>
      <w:r w:rsidRPr="00A428C3">
        <w:t xml:space="preserve">Full Text: </w:t>
      </w:r>
      <w:hyperlink r:id="rId480" w:history="1">
        <w:r w:rsidRPr="00A428C3">
          <w:rPr>
            <w:rStyle w:val="a5"/>
          </w:rPr>
          <w:t>G\Glo Nes Int J3, 189.pdf</w:t>
        </w:r>
      </w:hyperlink>
    </w:p>
    <w:p w:rsidR="00B95188" w:rsidRPr="00A428C3" w:rsidRDefault="00B95188" w:rsidP="00B95188">
      <w:pPr>
        <w:pStyle w:val="a0"/>
      </w:pPr>
      <w:r w:rsidRPr="00A428C3">
        <w:rPr>
          <w:szCs w:val="22"/>
        </w:rPr>
        <w:t xml:space="preserve">Abstract: </w:t>
      </w:r>
      <w:r w:rsidRPr="00A428C3">
        <w:t>An experimental study has been carried out in an attempt to verify the efficiency of GAC (granular activated carbon) in removing THMs (trihalomethanes),</w:t>
      </w:r>
      <w:r w:rsidR="00F81221">
        <w:t xml:space="preserve"> and </w:t>
      </w:r>
      <w:r w:rsidRPr="00A428C3">
        <w:t>in particular CHCl</w:t>
      </w:r>
      <w:r w:rsidRPr="00A428C3">
        <w:rPr>
          <w:szCs w:val="14"/>
          <w:vertAlign w:val="subscript"/>
        </w:rPr>
        <w:t>3</w:t>
      </w:r>
      <w:r w:rsidRPr="00A428C3">
        <w:t>, CHCl</w:t>
      </w:r>
      <w:r w:rsidRPr="00A428C3">
        <w:rPr>
          <w:szCs w:val="14"/>
          <w:vertAlign w:val="subscript"/>
        </w:rPr>
        <w:t>2</w:t>
      </w:r>
      <w:r w:rsidRPr="00A428C3">
        <w:t>Br, CHClBr</w:t>
      </w:r>
      <w:r w:rsidRPr="00A428C3">
        <w:rPr>
          <w:szCs w:val="14"/>
          <w:vertAlign w:val="subscript"/>
        </w:rPr>
        <w:t>2</w:t>
      </w:r>
      <w:r w:rsidR="00F81221">
        <w:rPr>
          <w:szCs w:val="14"/>
        </w:rPr>
        <w:t xml:space="preserve"> and </w:t>
      </w:r>
      <w:r w:rsidRPr="00A428C3">
        <w:t>CHBr</w:t>
      </w:r>
      <w:r w:rsidRPr="00A428C3">
        <w:rPr>
          <w:szCs w:val="14"/>
          <w:vertAlign w:val="subscript"/>
        </w:rPr>
        <w:t>3</w:t>
      </w:r>
      <w:r w:rsidRPr="00A428C3">
        <w:rPr>
          <w:szCs w:val="14"/>
        </w:rPr>
        <w:t xml:space="preserve"> </w:t>
      </w:r>
      <w:r w:rsidRPr="00A428C3">
        <w:t xml:space="preserve">from drinking water. The </w:t>
      </w:r>
      <w:r w:rsidRPr="00A428C3">
        <w:lastRenderedPageBreak/>
        <w:t>experiments have been conducted at a pilot scale filtering plant that was set up for the purpose, at the Athens Water Authority, at Galatsi. This paper reports on the experimental procedure, the sampling technique, the analytical method used, the overall efficiency of the approach</w:t>
      </w:r>
      <w:r w:rsidR="00F81221">
        <w:t xml:space="preserve"> and </w:t>
      </w:r>
      <w:r w:rsidRPr="00A428C3">
        <w:t>finally also draws some first conclusions as to the economic justification of the method, in order to provide some insight on the additional costs of a possible fullscale use of the method.</w:t>
      </w:r>
    </w:p>
    <w:p w:rsidR="00B95188" w:rsidRPr="00A428C3" w:rsidRDefault="00B95188" w:rsidP="00B95188">
      <w:pPr>
        <w:pStyle w:val="a0"/>
      </w:pPr>
      <w:r w:rsidRPr="00A428C3">
        <w:rPr>
          <w:szCs w:val="22"/>
        </w:rPr>
        <w:t xml:space="preserve">Keywords: </w:t>
      </w:r>
      <w:r w:rsidRPr="00A428C3">
        <w:t>Water Filtration; Drinking Water Quality; Chlorination By-Products</w:t>
      </w:r>
    </w:p>
    <w:p w:rsidR="00B95188" w:rsidRPr="00A428C3" w:rsidRDefault="00B95188" w:rsidP="00B95188">
      <w:pPr>
        <w:pStyle w:val="a0"/>
      </w:pPr>
      <w:r w:rsidRPr="00A428C3">
        <w:t>Voudrias, E., Fytianos, K.</w:t>
      </w:r>
      <w:r w:rsidR="00F81221">
        <w:t xml:space="preserve"> and </w:t>
      </w:r>
      <w:r w:rsidRPr="00A428C3">
        <w:t>Bozani, E. (2002), Sorption-desorption isotherms of dyes from aqueous solutions</w:t>
      </w:r>
      <w:r w:rsidR="00F81221">
        <w:t xml:space="preserve"> and </w:t>
      </w:r>
      <w:r w:rsidRPr="00A428C3">
        <w:t>watewaters with different sorbent materials.</w:t>
      </w:r>
      <w:r w:rsidRPr="00A428C3">
        <w:rPr>
          <w:i/>
        </w:rPr>
        <w:t xml:space="preserve"> </w:t>
      </w:r>
      <w:r w:rsidRPr="00A428C3">
        <w:rPr>
          <w:i/>
          <w:iCs/>
        </w:rPr>
        <w:t>Global Nest: the International Journal</w:t>
      </w:r>
      <w:r w:rsidRPr="00A428C3">
        <w:t xml:space="preserve">, </w:t>
      </w:r>
      <w:r w:rsidRPr="00A428C3">
        <w:rPr>
          <w:b/>
        </w:rPr>
        <w:t>4</w:t>
      </w:r>
      <w:r w:rsidRPr="00A428C3">
        <w:t xml:space="preserve"> (1), 75-83.</w:t>
      </w:r>
    </w:p>
    <w:p w:rsidR="00B95188" w:rsidRPr="00A428C3" w:rsidRDefault="00B95188" w:rsidP="00B95188">
      <w:pPr>
        <w:pStyle w:val="a0"/>
      </w:pPr>
      <w:r w:rsidRPr="00A428C3">
        <w:t xml:space="preserve">Full Text: </w:t>
      </w:r>
      <w:hyperlink r:id="rId481" w:history="1">
        <w:r w:rsidRPr="00A428C3">
          <w:rPr>
            <w:rStyle w:val="a5"/>
          </w:rPr>
          <w:t>G\Glo Nes Int J4, 75.pdf</w:t>
        </w:r>
      </w:hyperlink>
    </w:p>
    <w:p w:rsidR="00B95188" w:rsidRPr="00A428C3" w:rsidRDefault="00B95188" w:rsidP="00B95188">
      <w:pPr>
        <w:pStyle w:val="a0"/>
      </w:pPr>
      <w:r w:rsidRPr="00A428C3">
        <w:rPr>
          <w:rFonts w:eastAsia="MSTT31d4d75701O17105800"/>
          <w:szCs w:val="22"/>
        </w:rPr>
        <w:t xml:space="preserve">Abstract: </w:t>
      </w:r>
      <w:r w:rsidRPr="00A428C3">
        <w:t>The ability of activated carbon</w:t>
      </w:r>
      <w:r w:rsidR="00F81221">
        <w:t xml:space="preserve"> and </w:t>
      </w:r>
      <w:r w:rsidRPr="00A428C3">
        <w:t>different low-cost by-products</w:t>
      </w:r>
      <w:r w:rsidR="00F81221">
        <w:t xml:space="preserve"> and </w:t>
      </w:r>
      <w:r w:rsidRPr="00A428C3">
        <w:t>waste material as sorbents to remove various reactive dyes from aqueous solutions</w:t>
      </w:r>
      <w:r w:rsidR="00F81221">
        <w:t xml:space="preserve"> and </w:t>
      </w:r>
      <w:r w:rsidRPr="00A428C3">
        <w:t>wastewaters was investigated. All aqueous dye solutions contained 2,000 mg l</w:t>
      </w:r>
      <w:r w:rsidRPr="00A428C3">
        <w:rPr>
          <w:szCs w:val="14"/>
          <w:vertAlign w:val="superscript"/>
        </w:rPr>
        <w:t>-1</w:t>
      </w:r>
      <w:r w:rsidRPr="00A428C3">
        <w:rPr>
          <w:szCs w:val="14"/>
        </w:rPr>
        <w:t xml:space="preserve"> </w:t>
      </w:r>
      <w:r w:rsidRPr="00A428C3">
        <w:t>NaCl, to mimic real dye wastewater. Batch kinetic</w:t>
      </w:r>
      <w:r w:rsidR="00F81221">
        <w:t xml:space="preserve"> and </w:t>
      </w:r>
      <w:r w:rsidRPr="00A428C3">
        <w:t>isotherm experiments were conducted to determine the sorption-desorption behavior of the examined dyes from aqueous solutions</w:t>
      </w:r>
      <w:r w:rsidR="00F81221">
        <w:t xml:space="preserve"> and </w:t>
      </w:r>
      <w:r w:rsidRPr="00A428C3">
        <w:t>wastewaters by different sorbents, including activated carbon, fly ash, bentonite</w:t>
      </w:r>
      <w:r w:rsidR="00F81221">
        <w:t xml:space="preserve"> and </w:t>
      </w:r>
      <w:r w:rsidRPr="00A428C3">
        <w:t>bleaching earth. The results from the aqueous solutions indicate that the form of the isotherm equation is not necessarily unique for best description of both sorption</w:t>
      </w:r>
      <w:r w:rsidR="00F81221">
        <w:t xml:space="preserve"> and </w:t>
      </w:r>
      <w:r w:rsidRPr="00A428C3">
        <w:t>desorption data. The values of the isotherm parameters are not the same, indicating a significant hysteresis effect. Of the 9 sorption systems tested, 5 are best described by the Freundlich, 3 by the Langmuir</w:t>
      </w:r>
      <w:r w:rsidR="00F81221">
        <w:t xml:space="preserve"> and </w:t>
      </w:r>
      <w:r w:rsidRPr="00A428C3">
        <w:t>1 by the linear sorption model. Of the 7 desorption systems tested, 5 are best described by the Freundlich</w:t>
      </w:r>
      <w:r w:rsidR="00F81221">
        <w:t xml:space="preserve"> and </w:t>
      </w:r>
      <w:r w:rsidRPr="00A428C3">
        <w:t>2 by the linear model. In all cases, the sorption capacity for dye removal was higher for activated carbon, followed by fly-ash</w:t>
      </w:r>
      <w:r w:rsidR="00F81221">
        <w:t xml:space="preserve"> and </w:t>
      </w:r>
      <w:r w:rsidRPr="00A428C3">
        <w:t>then by bentonite.</w:t>
      </w:r>
    </w:p>
    <w:p w:rsidR="00B95188" w:rsidRPr="00A428C3" w:rsidRDefault="00B95188" w:rsidP="00B95188">
      <w:pPr>
        <w:pStyle w:val="a0"/>
        <w:rPr>
          <w:rFonts w:eastAsia="MSTT31d4d75701O17105800"/>
        </w:rPr>
      </w:pPr>
      <w:r w:rsidRPr="00A428C3">
        <w:rPr>
          <w:rFonts w:eastAsia="MSTT31d4d75701O17105800"/>
          <w:szCs w:val="22"/>
        </w:rPr>
        <w:t xml:space="preserve">Keywords: </w:t>
      </w:r>
      <w:r w:rsidRPr="00A428C3">
        <w:t>Color Removal, Sorption, Desorption, Dye Wastewater, Sorbents</w:t>
      </w:r>
    </w:p>
    <w:p w:rsidR="00E0321D" w:rsidRPr="00A428C3" w:rsidRDefault="00E0321D" w:rsidP="00E0321D">
      <w:pPr>
        <w:pStyle w:val="1"/>
      </w:pPr>
      <w:r w:rsidRPr="00A428C3">
        <w:br w:type="page"/>
      </w:r>
      <w:bookmarkStart w:id="396" w:name="_Toc317160953"/>
      <w:r w:rsidRPr="00A428C3">
        <w:lastRenderedPageBreak/>
        <w:t xml:space="preserve">Title: </w:t>
      </w:r>
      <w:r w:rsidRPr="00E0321D">
        <w:rPr>
          <w:iCs/>
        </w:rPr>
        <w:t>Global Nest Journal</w:t>
      </w:r>
      <w:bookmarkEnd w:id="396"/>
    </w:p>
    <w:p w:rsidR="00E0321D" w:rsidRPr="00A428C3" w:rsidRDefault="00E0321D" w:rsidP="00B72EF9">
      <w:pPr>
        <w:pStyle w:val="12"/>
      </w:pPr>
      <w:r w:rsidRPr="00A428C3">
        <w:t xml:space="preserve">Full Journal Title: </w:t>
      </w:r>
      <w:hyperlink r:id="rId482" w:history="1">
        <w:r w:rsidRPr="00E0321D">
          <w:rPr>
            <w:rStyle w:val="a5"/>
            <w:iCs/>
          </w:rPr>
          <w:t>Global Nest Journal</w:t>
        </w:r>
      </w:hyperlink>
    </w:p>
    <w:p w:rsidR="00E0321D" w:rsidRPr="00A428C3" w:rsidRDefault="00E0321D" w:rsidP="00B72EF9">
      <w:pPr>
        <w:pStyle w:val="12"/>
      </w:pPr>
      <w:r w:rsidRPr="00A428C3">
        <w:t xml:space="preserve">ISO Abbreviated Title: </w:t>
      </w:r>
    </w:p>
    <w:p w:rsidR="00E0321D" w:rsidRPr="00A428C3" w:rsidRDefault="00E0321D" w:rsidP="00B72EF9">
      <w:pPr>
        <w:pStyle w:val="12"/>
      </w:pPr>
      <w:r w:rsidRPr="00A428C3">
        <w:t xml:space="preserve">JCR Abbreviated Title: </w:t>
      </w:r>
    </w:p>
    <w:p w:rsidR="00E0321D" w:rsidRPr="00A428C3" w:rsidRDefault="00E0321D" w:rsidP="00B72EF9">
      <w:pPr>
        <w:pStyle w:val="12"/>
      </w:pPr>
      <w:r w:rsidRPr="00A428C3">
        <w:t xml:space="preserve">ISSN: </w:t>
      </w:r>
    </w:p>
    <w:p w:rsidR="00E0321D" w:rsidRPr="00A428C3" w:rsidRDefault="00E0321D" w:rsidP="00B72EF9">
      <w:pPr>
        <w:pStyle w:val="12"/>
      </w:pPr>
      <w:r w:rsidRPr="00A428C3">
        <w:t xml:space="preserve">Issues/Year: </w:t>
      </w:r>
    </w:p>
    <w:p w:rsidR="00E0321D" w:rsidRPr="00A428C3" w:rsidRDefault="00E0321D" w:rsidP="00B72EF9">
      <w:pPr>
        <w:pStyle w:val="12"/>
      </w:pPr>
      <w:r w:rsidRPr="00A428C3">
        <w:t xml:space="preserve">Journal Country/Territory: </w:t>
      </w:r>
    </w:p>
    <w:p w:rsidR="00E0321D" w:rsidRPr="00A428C3" w:rsidRDefault="00E0321D" w:rsidP="00B72EF9">
      <w:pPr>
        <w:pStyle w:val="12"/>
      </w:pPr>
      <w:r w:rsidRPr="00A428C3">
        <w:t xml:space="preserve">Language: </w:t>
      </w:r>
    </w:p>
    <w:p w:rsidR="00E0321D" w:rsidRPr="00A428C3" w:rsidRDefault="00E0321D" w:rsidP="00B72EF9">
      <w:pPr>
        <w:pStyle w:val="12"/>
      </w:pPr>
      <w:r w:rsidRPr="00A428C3">
        <w:t xml:space="preserve">Publisher: </w:t>
      </w:r>
    </w:p>
    <w:p w:rsidR="00E0321D" w:rsidRPr="00A428C3" w:rsidRDefault="00E0321D" w:rsidP="00B72EF9">
      <w:pPr>
        <w:pStyle w:val="12"/>
      </w:pPr>
      <w:r w:rsidRPr="00A428C3">
        <w:t xml:space="preserve">Publisher Address: </w:t>
      </w:r>
    </w:p>
    <w:p w:rsidR="00E0321D" w:rsidRPr="00A428C3" w:rsidRDefault="00E0321D" w:rsidP="00B72EF9">
      <w:pPr>
        <w:pStyle w:val="12"/>
      </w:pPr>
      <w:r w:rsidRPr="00A428C3">
        <w:t>Subject Categories:</w:t>
      </w:r>
    </w:p>
    <w:p w:rsidR="00E0321D" w:rsidRPr="00A428C3" w:rsidRDefault="00E0321D" w:rsidP="00B72EF9">
      <w:pPr>
        <w:pStyle w:val="12"/>
      </w:pPr>
      <w:r w:rsidRPr="00A428C3">
        <w:t xml:space="preserve">: Impact Factor </w:t>
      </w:r>
    </w:p>
    <w:p w:rsidR="00E0321D" w:rsidRDefault="00E0321D" w:rsidP="00E0321D">
      <w:pPr>
        <w:pStyle w:val="a0"/>
        <w:rPr>
          <w:kern w:val="0"/>
        </w:rPr>
      </w:pPr>
      <w:r>
        <w:rPr>
          <w:rFonts w:hint="eastAsia"/>
          <w:kern w:val="0"/>
        </w:rPr>
        <w:t xml:space="preserve">? </w:t>
      </w:r>
      <w:r>
        <w:rPr>
          <w:kern w:val="0"/>
        </w:rPr>
        <w:t>Vazquez, G., Gonzalez-Alvarez, J., Freire, M.S., Calvo, M.</w:t>
      </w:r>
      <w:r w:rsidR="00F81221">
        <w:rPr>
          <w:kern w:val="0"/>
        </w:rPr>
        <w:t xml:space="preserve"> and </w:t>
      </w:r>
      <w:r>
        <w:rPr>
          <w:kern w:val="0"/>
        </w:rPr>
        <w:t>Antorrena, G. (2009), Determination of the optimal conditions for the adsorption of cadmium ions</w:t>
      </w:r>
      <w:r w:rsidR="00F81221">
        <w:rPr>
          <w:kern w:val="0"/>
        </w:rPr>
        <w:t xml:space="preserve"> and </w:t>
      </w:r>
      <w:r>
        <w:rPr>
          <w:kern w:val="0"/>
        </w:rPr>
        <w:t>phenol on chestnut (</w:t>
      </w:r>
      <w:r w:rsidRPr="00F23352">
        <w:rPr>
          <w:i/>
          <w:kern w:val="0"/>
        </w:rPr>
        <w:t>Castanea sativa</w:t>
      </w:r>
      <w:r>
        <w:rPr>
          <w:kern w:val="0"/>
        </w:rPr>
        <w:t xml:space="preserve">) shell. </w:t>
      </w:r>
      <w:r w:rsidRPr="00E0321D">
        <w:rPr>
          <w:i/>
          <w:iCs/>
          <w:kern w:val="0"/>
        </w:rPr>
        <w:t>Global Nest Journal</w:t>
      </w:r>
      <w:r>
        <w:rPr>
          <w:kern w:val="0"/>
        </w:rPr>
        <w:t xml:space="preserve">, </w:t>
      </w:r>
      <w:r>
        <w:rPr>
          <w:b/>
          <w:bCs/>
          <w:kern w:val="0"/>
        </w:rPr>
        <w:t>11</w:t>
      </w:r>
      <w:r>
        <w:rPr>
          <w:kern w:val="0"/>
        </w:rPr>
        <w:t xml:space="preserve"> (2), 196-204.</w:t>
      </w:r>
    </w:p>
    <w:p w:rsidR="00E0321D" w:rsidRDefault="00E0321D" w:rsidP="00E0321D">
      <w:pPr>
        <w:pStyle w:val="a0"/>
        <w:rPr>
          <w:kern w:val="0"/>
        </w:rPr>
      </w:pPr>
      <w:r>
        <w:rPr>
          <w:rFonts w:hint="eastAsia"/>
          <w:kern w:val="0"/>
        </w:rPr>
        <w:t xml:space="preserve">Full Text: </w:t>
      </w:r>
      <w:hyperlink r:id="rId483" w:history="1">
        <w:r w:rsidRPr="00E0321D">
          <w:rPr>
            <w:rStyle w:val="a5"/>
            <w:kern w:val="0"/>
          </w:rPr>
          <w:t>2009\Glo Nes J11, 196.pdf</w:t>
        </w:r>
      </w:hyperlink>
    </w:p>
    <w:p w:rsidR="00E0321D" w:rsidRDefault="00E0321D" w:rsidP="00E0321D">
      <w:pPr>
        <w:pStyle w:val="a0"/>
        <w:rPr>
          <w:kern w:val="0"/>
        </w:rPr>
      </w:pPr>
      <w:r>
        <w:rPr>
          <w:kern w:val="0"/>
        </w:rPr>
        <w:t>Abstract: Adsorption of cadmium ions</w:t>
      </w:r>
      <w:r w:rsidR="00F81221">
        <w:rPr>
          <w:kern w:val="0"/>
        </w:rPr>
        <w:t xml:space="preserve"> and </w:t>
      </w:r>
      <w:r>
        <w:rPr>
          <w:kern w:val="0"/>
        </w:rPr>
        <w:t>phenol from aqueous solutions on chestnut (Castanea sativa) shell was studied. An incomplete 3 3 factorial design was applied to investigate the influence of the initial cadmium ions (20-60-100 mg l</w:t>
      </w:r>
      <w:r>
        <w:rPr>
          <w:rFonts w:hint="eastAsia"/>
          <w:kern w:val="0"/>
          <w:vertAlign w:val="superscript"/>
        </w:rPr>
        <w:t>-1</w:t>
      </w:r>
      <w:r>
        <w:rPr>
          <w:kern w:val="0"/>
        </w:rPr>
        <w:t>) or phenol concentration (0.01-0.255-0.5 g l</w:t>
      </w:r>
      <w:r>
        <w:rPr>
          <w:rFonts w:hint="eastAsia"/>
          <w:kern w:val="0"/>
          <w:vertAlign w:val="superscript"/>
        </w:rPr>
        <w:t>-1</w:t>
      </w:r>
      <w:r>
        <w:rPr>
          <w:kern w:val="0"/>
        </w:rPr>
        <w:t>), temperature (10-25-40</w:t>
      </w:r>
      <w:r w:rsidR="008A7E71">
        <w:t>°</w:t>
      </w:r>
      <w:r>
        <w:rPr>
          <w:kern w:val="0"/>
        </w:rPr>
        <w:t>C for cadmium</w:t>
      </w:r>
      <w:r w:rsidR="00F81221">
        <w:rPr>
          <w:kern w:val="0"/>
        </w:rPr>
        <w:t xml:space="preserve"> and </w:t>
      </w:r>
      <w:r>
        <w:rPr>
          <w:kern w:val="0"/>
        </w:rPr>
        <w:t>10-35-60ºC for phenol)</w:t>
      </w:r>
      <w:r w:rsidR="00F81221">
        <w:rPr>
          <w:kern w:val="0"/>
        </w:rPr>
        <w:t xml:space="preserve"> and </w:t>
      </w:r>
      <w:r>
        <w:rPr>
          <w:kern w:val="0"/>
        </w:rPr>
        <w:t>pH (5.5-7.0-8.5 for Cd</w:t>
      </w:r>
      <w:r w:rsidRPr="0009192C">
        <w:rPr>
          <w:kern w:val="0"/>
          <w:vertAlign w:val="superscript"/>
        </w:rPr>
        <w:t>2+</w:t>
      </w:r>
      <w:r>
        <w:rPr>
          <w:kern w:val="0"/>
        </w:rPr>
        <w:t xml:space="preserve"> ions</w:t>
      </w:r>
      <w:r w:rsidR="00F81221">
        <w:rPr>
          <w:kern w:val="0"/>
        </w:rPr>
        <w:t xml:space="preserve"> and </w:t>
      </w:r>
      <w:r>
        <w:rPr>
          <w:kern w:val="0"/>
        </w:rPr>
        <w:t>2.5-6.0-9.5 for phenol) on the amount of contaminant adsorbed</w:t>
      </w:r>
      <w:r w:rsidR="00F81221">
        <w:rPr>
          <w:kern w:val="0"/>
        </w:rPr>
        <w:t xml:space="preserve"> and </w:t>
      </w:r>
      <w:r>
        <w:rPr>
          <w:kern w:val="0"/>
        </w:rPr>
        <w:t>on the adsorption percentage. Statistical analysis of the results showed the significance of the individual factors</w:t>
      </w:r>
      <w:r w:rsidR="00F81221">
        <w:rPr>
          <w:kern w:val="0"/>
        </w:rPr>
        <w:t xml:space="preserve"> and </w:t>
      </w:r>
      <w:r>
        <w:rPr>
          <w:kern w:val="0"/>
        </w:rPr>
        <w:t>their interactions on both adsorption processes. The best conditions for high cadmium ions</w:t>
      </w:r>
      <w:r w:rsidR="00F81221">
        <w:rPr>
          <w:kern w:val="0"/>
        </w:rPr>
        <w:t xml:space="preserve"> and </w:t>
      </w:r>
      <w:r>
        <w:rPr>
          <w:kern w:val="0"/>
        </w:rPr>
        <w:t>phenol removal within the experimental ranges of the variables studied were the natural pH (around 5.5)</w:t>
      </w:r>
      <w:r w:rsidR="00F81221">
        <w:rPr>
          <w:kern w:val="0"/>
        </w:rPr>
        <w:t xml:space="preserve"> and </w:t>
      </w:r>
      <w:r>
        <w:rPr>
          <w:kern w:val="0"/>
        </w:rPr>
        <w:t>a temperature of 25ºC for cadmium ions</w:t>
      </w:r>
      <w:r w:rsidR="00F81221">
        <w:rPr>
          <w:kern w:val="0"/>
        </w:rPr>
        <w:t xml:space="preserve"> and </w:t>
      </w:r>
      <w:r>
        <w:rPr>
          <w:kern w:val="0"/>
        </w:rPr>
        <w:t>60ºC for phenol. Under these conditions, adsorption equilibrium was modelled by the Freundlich isotherm for cadmium ions</w:t>
      </w:r>
      <w:r w:rsidR="00F81221">
        <w:rPr>
          <w:kern w:val="0"/>
        </w:rPr>
        <w:t xml:space="preserve"> and </w:t>
      </w:r>
      <w:r>
        <w:rPr>
          <w:kern w:val="0"/>
        </w:rPr>
        <w:t>by the Langmuir isotherm for phenol.</w:t>
      </w:r>
    </w:p>
    <w:p w:rsidR="00E0321D" w:rsidRDefault="00E0321D" w:rsidP="00E0321D">
      <w:pPr>
        <w:pStyle w:val="a0"/>
        <w:rPr>
          <w:kern w:val="0"/>
        </w:rPr>
      </w:pPr>
      <w:r>
        <w:rPr>
          <w:kern w:val="0"/>
        </w:rPr>
        <w:t>Keywords: Adsorption, Adsorption Equilibrium, Agricultural Waste Biomass, Analysis, Aqueous Solutions, Aqueous-Solution, Biosorption, Cadmium, Cadmium Ions, Cd</w:t>
      </w:r>
      <w:r w:rsidRPr="0009192C">
        <w:rPr>
          <w:kern w:val="0"/>
          <w:vertAlign w:val="superscript"/>
        </w:rPr>
        <w:t>2+</w:t>
      </w:r>
      <w:r>
        <w:rPr>
          <w:kern w:val="0"/>
        </w:rPr>
        <w:t xml:space="preserve">, Chestnut Shell, Concentration, Contaminant, Design, Equilibrium, Experimental, Experimental Statistical Design, Freundlich, Freundlich Isotherm, Heavy-Metals, Ions, Isotherm, Langmuir, Langmuir Isotherm, Natural, Pb(II), </w:t>
      </w:r>
      <w:r>
        <w:rPr>
          <w:rFonts w:hint="eastAsia"/>
          <w:kern w:val="0"/>
        </w:rPr>
        <w:t>p</w:t>
      </w:r>
      <w:r>
        <w:rPr>
          <w:kern w:val="0"/>
        </w:rPr>
        <w:t xml:space="preserve">H, Phenol, Phenol Removal, </w:t>
      </w:r>
      <w:r w:rsidRPr="00FD52D8">
        <w:rPr>
          <w:i/>
          <w:kern w:val="0"/>
        </w:rPr>
        <w:t>Pinus-pinaster</w:t>
      </w:r>
      <w:r>
        <w:rPr>
          <w:kern w:val="0"/>
        </w:rPr>
        <w:t xml:space="preserve"> Bark, Removal, Removal, Si, Significance, Solutions, Sorption, Temperature</w:t>
      </w:r>
    </w:p>
    <w:p w:rsidR="00E0321D" w:rsidRDefault="00E0321D" w:rsidP="00E0321D">
      <w:pPr>
        <w:pStyle w:val="a0"/>
        <w:rPr>
          <w:kern w:val="0"/>
        </w:rPr>
      </w:pPr>
      <w:r>
        <w:rPr>
          <w:kern w:val="0"/>
        </w:rPr>
        <w:t>? Chojnacka, K.</w:t>
      </w:r>
      <w:r w:rsidR="00F81221">
        <w:rPr>
          <w:kern w:val="0"/>
        </w:rPr>
        <w:t xml:space="preserve"> and </w:t>
      </w:r>
      <w:r>
        <w:rPr>
          <w:kern w:val="0"/>
        </w:rPr>
        <w:t>Michalak, I. (2009), Using wood</w:t>
      </w:r>
      <w:r w:rsidR="00F81221">
        <w:rPr>
          <w:kern w:val="0"/>
        </w:rPr>
        <w:t xml:space="preserve"> and </w:t>
      </w:r>
      <w:r>
        <w:rPr>
          <w:kern w:val="0"/>
        </w:rPr>
        <w:t xml:space="preserve">bone ash to remove metal ions from solutions. </w:t>
      </w:r>
      <w:r>
        <w:rPr>
          <w:i/>
          <w:iCs/>
          <w:kern w:val="0"/>
        </w:rPr>
        <w:t>Global Nest Journal</w:t>
      </w:r>
      <w:r>
        <w:rPr>
          <w:kern w:val="0"/>
        </w:rPr>
        <w:t xml:space="preserve">, </w:t>
      </w:r>
      <w:r>
        <w:rPr>
          <w:b/>
          <w:bCs/>
          <w:kern w:val="0"/>
        </w:rPr>
        <w:t>11</w:t>
      </w:r>
      <w:r>
        <w:rPr>
          <w:kern w:val="0"/>
        </w:rPr>
        <w:t xml:space="preserve"> (2), 205-217.</w:t>
      </w:r>
    </w:p>
    <w:p w:rsidR="00E0321D" w:rsidRDefault="00E0321D" w:rsidP="00E0321D">
      <w:pPr>
        <w:pStyle w:val="a0"/>
        <w:rPr>
          <w:kern w:val="0"/>
        </w:rPr>
      </w:pPr>
      <w:r>
        <w:rPr>
          <w:kern w:val="0"/>
        </w:rPr>
        <w:lastRenderedPageBreak/>
        <w:t>Full Text:</w:t>
      </w:r>
      <w:r w:rsidRPr="00B025C1">
        <w:t xml:space="preserve"> </w:t>
      </w:r>
      <w:hyperlink r:id="rId484" w:history="1">
        <w:r w:rsidRPr="00E0321D">
          <w:rPr>
            <w:rStyle w:val="a5"/>
          </w:rPr>
          <w:t>2009\Glo Nes J11, 205.pdf</w:t>
        </w:r>
      </w:hyperlink>
    </w:p>
    <w:p w:rsidR="00E0321D" w:rsidRDefault="00E0321D" w:rsidP="00E0321D">
      <w:pPr>
        <w:pStyle w:val="a0"/>
        <w:rPr>
          <w:kern w:val="0"/>
        </w:rPr>
      </w:pPr>
      <w:r>
        <w:rPr>
          <w:kern w:val="0"/>
        </w:rPr>
        <w:t>Abstract: In the present work, wood</w:t>
      </w:r>
      <w:r w:rsidR="00F81221">
        <w:rPr>
          <w:kern w:val="0"/>
        </w:rPr>
        <w:t xml:space="preserve"> and </w:t>
      </w:r>
      <w:r>
        <w:rPr>
          <w:kern w:val="0"/>
        </w:rPr>
        <w:t>bone ash were used to remove metal cations from solutions. Cation-removal capacity of the ashes was analyzed by potentiometric titration. It was found that the capacity of wood ash was two times higher (37.3 meq g</w:t>
      </w:r>
      <w:r>
        <w:rPr>
          <w:kern w:val="0"/>
          <w:vertAlign w:val="superscript"/>
        </w:rPr>
        <w:t>-1</w:t>
      </w:r>
      <w:r>
        <w:rPr>
          <w:kern w:val="0"/>
        </w:rPr>
        <w:t>) than bone ash (15.2 meq g</w:t>
      </w:r>
      <w:r>
        <w:rPr>
          <w:kern w:val="0"/>
          <w:vertAlign w:val="superscript"/>
        </w:rPr>
        <w:t>-1</w:t>
      </w:r>
      <w:r>
        <w:rPr>
          <w:kern w:val="0"/>
        </w:rPr>
        <w:t>). Kinetics of metal ions removal by both ashes was described with pseudo-second order equation</w:t>
      </w:r>
      <w:r w:rsidR="00F81221">
        <w:rPr>
          <w:kern w:val="0"/>
        </w:rPr>
        <w:t xml:space="preserve"> and </w:t>
      </w:r>
      <w:r>
        <w:rPr>
          <w:kern w:val="0"/>
        </w:rPr>
        <w:t>Langmuir model was employed to describe equilibrium of the process. Wood ash had better removal properties than bone ash - at the same experimental conditions biosorption capacity at equilibrium for wood ash was 2 times higher (244 mg g</w:t>
      </w:r>
      <w:r>
        <w:rPr>
          <w:kern w:val="0"/>
          <w:vertAlign w:val="superscript"/>
        </w:rPr>
        <w:t>-1</w:t>
      </w:r>
      <w:r>
        <w:rPr>
          <w:kern w:val="0"/>
        </w:rPr>
        <w:t>) than for bone ash (123 mg g</w:t>
      </w:r>
      <w:r>
        <w:rPr>
          <w:kern w:val="0"/>
          <w:vertAlign w:val="superscript"/>
        </w:rPr>
        <w:t>-1</w:t>
      </w:r>
      <w:r>
        <w:rPr>
          <w:kern w:val="0"/>
        </w:rPr>
        <w:t>). Promising results were also obtained for wood ash, which was capable of removing 67.9 % of Zn(II) ions, 70.4 % of Cd(II) ions, 92.8 % of Cu(II) ions</w:t>
      </w:r>
      <w:r w:rsidR="00F81221">
        <w:rPr>
          <w:kern w:val="0"/>
        </w:rPr>
        <w:t xml:space="preserve"> and </w:t>
      </w:r>
      <w:r>
        <w:rPr>
          <w:kern w:val="0"/>
        </w:rPr>
        <w:t>99.1 % of Cr(III) ions from model solution of wastewater from metallurgical industry</w:t>
      </w:r>
      <w:r w:rsidR="00F81221">
        <w:rPr>
          <w:kern w:val="0"/>
        </w:rPr>
        <w:t xml:space="preserve"> and </w:t>
      </w:r>
      <w:r>
        <w:rPr>
          <w:kern w:val="0"/>
        </w:rPr>
        <w:t>84.5 % of Cr(III) ions from the post-biosorption solution from the production process of biological feed additives. The utilization of ashes of biological origin was found to be a promising alternative to conventional processes of wastewater treatment.</w:t>
      </w:r>
    </w:p>
    <w:p w:rsidR="00E0321D" w:rsidRDefault="00E0321D" w:rsidP="00E0321D">
      <w:pPr>
        <w:pStyle w:val="a0"/>
        <w:rPr>
          <w:kern w:val="0"/>
        </w:rPr>
      </w:pPr>
      <w:r>
        <w:rPr>
          <w:kern w:val="0"/>
        </w:rPr>
        <w:t>Keywords: Adsorption, Alternative, Aqueous-Solution, Biological, Biomass, Biosorption, Bone, Capacity, Cd(II), Cd(II) Ions, Conventional, Cr(III), Cr(III) Ions, Cu(II), Cu(II) Ions, Equilibrium, Equilibrium, Experimental, Feed, Fly-Ash, Heavy-Metals, Ions, Kinetics, Langmuir, Langmuir Model, Metal, Metal Ions, Metal Ions Removal, Model, Ni(II) Ions, Origin, Potentiometric Titration, Pseudo Second Order, Pseudo-Second Order, Pseudo-Second-Order, Removal, Removal of Toxic Metal Ions, Si, Solution, Solutions, Sorption, Spent Animal Bones, Treatment, Utilization, Wastewater, Wastewater Treatment, Wood, Wood</w:t>
      </w:r>
      <w:r w:rsidR="00F81221">
        <w:rPr>
          <w:kern w:val="0"/>
        </w:rPr>
        <w:t xml:space="preserve"> and </w:t>
      </w:r>
      <w:r>
        <w:rPr>
          <w:kern w:val="0"/>
        </w:rPr>
        <w:t>Bone Ash, Wood Ash, Work, Zn(II), Zn(II) Ions</w:t>
      </w:r>
    </w:p>
    <w:p w:rsidR="00E0321D" w:rsidRDefault="00E0321D" w:rsidP="00E0321D">
      <w:pPr>
        <w:pStyle w:val="a0"/>
        <w:rPr>
          <w:kern w:val="0"/>
        </w:rPr>
      </w:pPr>
      <w:r>
        <w:rPr>
          <w:kern w:val="0"/>
        </w:rPr>
        <w:t>? Dhodapkar, R., Borde, P.</w:t>
      </w:r>
      <w:r w:rsidR="00F81221">
        <w:rPr>
          <w:kern w:val="0"/>
        </w:rPr>
        <w:t xml:space="preserve"> and </w:t>
      </w:r>
      <w:r>
        <w:rPr>
          <w:kern w:val="0"/>
        </w:rPr>
        <w:t xml:space="preserve">Nandy, T. (2009), Super absorbent polymers in environmental remediation. </w:t>
      </w:r>
      <w:r>
        <w:rPr>
          <w:i/>
          <w:iCs/>
          <w:kern w:val="0"/>
        </w:rPr>
        <w:t>Global Nest Journal</w:t>
      </w:r>
      <w:r>
        <w:rPr>
          <w:kern w:val="0"/>
        </w:rPr>
        <w:t xml:space="preserve">, </w:t>
      </w:r>
      <w:r>
        <w:rPr>
          <w:b/>
          <w:bCs/>
          <w:kern w:val="0"/>
        </w:rPr>
        <w:t>11</w:t>
      </w:r>
      <w:r>
        <w:rPr>
          <w:kern w:val="0"/>
        </w:rPr>
        <w:t xml:space="preserve"> (2), 223-234.</w:t>
      </w:r>
    </w:p>
    <w:p w:rsidR="00E0321D" w:rsidRDefault="00E0321D" w:rsidP="00E0321D">
      <w:pPr>
        <w:pStyle w:val="a0"/>
        <w:rPr>
          <w:kern w:val="0"/>
        </w:rPr>
      </w:pPr>
      <w:r>
        <w:rPr>
          <w:kern w:val="0"/>
        </w:rPr>
        <w:t>Full Text:</w:t>
      </w:r>
      <w:r w:rsidRPr="00B025C1">
        <w:t xml:space="preserve"> </w:t>
      </w:r>
      <w:hyperlink r:id="rId485" w:history="1">
        <w:r w:rsidRPr="00E0321D">
          <w:rPr>
            <w:rStyle w:val="a5"/>
          </w:rPr>
          <w:t>2009\Glo Nes J11, 223.pdf</w:t>
        </w:r>
      </w:hyperlink>
    </w:p>
    <w:p w:rsidR="00E0321D" w:rsidRDefault="00E0321D" w:rsidP="00E0321D">
      <w:pPr>
        <w:pStyle w:val="a0"/>
        <w:rPr>
          <w:kern w:val="0"/>
        </w:rPr>
      </w:pPr>
      <w:r>
        <w:rPr>
          <w:kern w:val="0"/>
        </w:rPr>
        <w:t>Abstract: Laboratory studies reported earlier, have shown very promising results in the selective removal of dyes from aqueous solutions by a commercially available (super absorbent polymer) SAP, Jalshakti (R) (JS). JS is mesoporous in nature</w:t>
      </w:r>
      <w:r w:rsidR="00F81221">
        <w:rPr>
          <w:kern w:val="0"/>
        </w:rPr>
        <w:t xml:space="preserve"> and </w:t>
      </w:r>
      <w:r>
        <w:rPr>
          <w:kern w:val="0"/>
        </w:rPr>
        <w:t>is a potential adsorbent for the basic dyes studied. This paper presents the adsorption</w:t>
      </w:r>
      <w:r w:rsidR="00F81221">
        <w:rPr>
          <w:kern w:val="0"/>
        </w:rPr>
        <w:t xml:space="preserve"> and </w:t>
      </w:r>
      <w:r>
        <w:rPr>
          <w:kern w:val="0"/>
        </w:rPr>
        <w:t>kinetic studies for the Methylene blue dye (MB) in a batch mode. The equilibrium adsorption capacity increases from 138.9 to 1428.6 mgg</w:t>
      </w:r>
      <w:r>
        <w:rPr>
          <w:kern w:val="0"/>
          <w:vertAlign w:val="superscript"/>
        </w:rPr>
        <w:t>-1</w:t>
      </w:r>
      <w:r>
        <w:rPr>
          <w:kern w:val="0"/>
        </w:rPr>
        <w:t xml:space="preserve"> as the initial concentration of MB increases from 100-1000 mg l</w:t>
      </w:r>
      <w:r>
        <w:rPr>
          <w:kern w:val="0"/>
          <w:vertAlign w:val="superscript"/>
        </w:rPr>
        <w:t>-1</w:t>
      </w:r>
      <w:r>
        <w:rPr>
          <w:kern w:val="0"/>
        </w:rPr>
        <w:t>. The maximum adsorption capacity obtained is 1200 mgg</w:t>
      </w:r>
      <w:r>
        <w:rPr>
          <w:kern w:val="0"/>
          <w:vertAlign w:val="superscript"/>
        </w:rPr>
        <w:t>-1</w:t>
      </w:r>
      <w:r>
        <w:rPr>
          <w:kern w:val="0"/>
        </w:rPr>
        <w:t xml:space="preserve"> which is more than the adsorbents reported in literature. The K-f value is 165.3 mg(1-(1/n))g</w:t>
      </w:r>
      <w:r>
        <w:rPr>
          <w:kern w:val="0"/>
          <w:vertAlign w:val="superscript"/>
        </w:rPr>
        <w:t>-1</w:t>
      </w:r>
      <w:r>
        <w:rPr>
          <w:kern w:val="0"/>
        </w:rPr>
        <w:t>L(1/n). The slope 1/n, ranging between 0</w:t>
      </w:r>
      <w:r w:rsidR="00F81221">
        <w:rPr>
          <w:kern w:val="0"/>
        </w:rPr>
        <w:t xml:space="preserve"> and </w:t>
      </w:r>
      <w:r>
        <w:rPr>
          <w:kern w:val="0"/>
        </w:rPr>
        <w:t xml:space="preserve">1, is indicative of the relative energy distribution on the adsorbent surface (or surface heterogeneity) The kinetics of the adsorption process suggests that the pseudo second order model is predominant. The pore diffusion kinetics as described by intraparticle diffusion </w:t>
      </w:r>
      <w:r>
        <w:rPr>
          <w:kern w:val="0"/>
        </w:rPr>
        <w:lastRenderedPageBreak/>
        <w:t>model also controls the adsorption process but is not the only rate limiting mechanism.</w:t>
      </w:r>
    </w:p>
    <w:p w:rsidR="00E0321D" w:rsidRDefault="00E0321D" w:rsidP="00E0321D">
      <w:pPr>
        <w:pStyle w:val="a0"/>
        <w:rPr>
          <w:kern w:val="0"/>
        </w:rPr>
      </w:pPr>
      <w:r>
        <w:rPr>
          <w:kern w:val="0"/>
        </w:rPr>
        <w:t>Keywords: Absorbent, Activated Carbon, Adsorbent, Adsorbents, Adsorption, Adsorption Capacity, Adsorption Kinetics, Aqueous Solutions, Aqueous-Solutions, Basic Dyes, Basic-Dyes, Batch, Batch Mode, Capacity, Concentration, Diffusion, Diffusion Kinetics, Diffusion Model, Distribution, Dye, Dyes, Energy, Equilibrium, Extraction Solvents, Heterogeneity, Hydrophilic Polymers, Intraparticle Diffusion, Intraparticle Diffusion Model, Jalshakti, Kinetic, Kinetic Studies, Kinetics, Liquid-Phase Adsorption, Literature, Mb, Mechanism, Mesoporous, Methylene Blue, Methylene Blue Dye, Methylene-Blue, Mode, Model, Polymer, Pore Diffusion, Potential, Pseudo Second Order, Pseudo-Second-Order, Release, Remediation, Removal, Removal of Dyes, Second Order, Second-Order, Selective, Selective Removal, Si, Solutions, Super Absorbent Polymer, Super Absorbent Polymers, Superabsorbent, Surface, Surface Heterogeneity, Value, Waste-Water</w:t>
      </w:r>
    </w:p>
    <w:p w:rsidR="00272C1E" w:rsidRPr="00A428C3" w:rsidRDefault="00272C1E" w:rsidP="00272C1E">
      <w:pPr>
        <w:pStyle w:val="1"/>
      </w:pPr>
      <w:r w:rsidRPr="00A428C3">
        <w:br w:type="page"/>
      </w:r>
      <w:bookmarkStart w:id="397" w:name="_Toc317160954"/>
      <w:r w:rsidRPr="00A428C3">
        <w:lastRenderedPageBreak/>
        <w:t xml:space="preserve">Title: </w:t>
      </w:r>
      <w:r w:rsidRPr="00272C1E">
        <w:t>Global</w:t>
      </w:r>
      <w:r w:rsidR="00F81221">
        <w:t xml:space="preserve"> and </w:t>
      </w:r>
      <w:r w:rsidRPr="00272C1E">
        <w:t>Planetary Change</w:t>
      </w:r>
      <w:bookmarkEnd w:id="397"/>
    </w:p>
    <w:p w:rsidR="005B7217" w:rsidRPr="00A428C3" w:rsidRDefault="005B7217" w:rsidP="005B7217">
      <w:pPr>
        <w:pStyle w:val="12"/>
      </w:pPr>
      <w:r w:rsidRPr="00A428C3">
        <w:t xml:space="preserve">Full Journal Title: </w:t>
      </w:r>
      <w:hyperlink r:id="rId486" w:history="1">
        <w:r w:rsidRPr="00C65818">
          <w:rPr>
            <w:rStyle w:val="a5"/>
          </w:rPr>
          <w:t>Global</w:t>
        </w:r>
        <w:r w:rsidR="00F81221">
          <w:rPr>
            <w:rStyle w:val="a5"/>
          </w:rPr>
          <w:t xml:space="preserve"> and </w:t>
        </w:r>
        <w:r w:rsidRPr="00C65818">
          <w:rPr>
            <w:rStyle w:val="a5"/>
          </w:rPr>
          <w:t>Planetary Change</w:t>
        </w:r>
      </w:hyperlink>
    </w:p>
    <w:p w:rsidR="00272C1E" w:rsidRDefault="00272C1E" w:rsidP="00272C1E">
      <w:pPr>
        <w:pStyle w:val="12"/>
      </w:pPr>
      <w:r>
        <w:t>ISO Abbrev. Title: Glob. Planet. Change</w:t>
      </w:r>
    </w:p>
    <w:p w:rsidR="00272C1E" w:rsidRDefault="00272C1E" w:rsidP="00272C1E">
      <w:pPr>
        <w:pStyle w:val="12"/>
      </w:pPr>
      <w:r>
        <w:t>JCR Abbrev. Title: Global Planet Change</w:t>
      </w:r>
    </w:p>
    <w:p w:rsidR="00272C1E" w:rsidRDefault="00272C1E" w:rsidP="00272C1E">
      <w:pPr>
        <w:pStyle w:val="12"/>
      </w:pPr>
      <w:r>
        <w:t>ISSN: 0921-8181</w:t>
      </w:r>
    </w:p>
    <w:p w:rsidR="00272C1E" w:rsidRDefault="00272C1E" w:rsidP="00272C1E">
      <w:pPr>
        <w:pStyle w:val="12"/>
      </w:pPr>
      <w:r>
        <w:t>Issues/Year: 10</w:t>
      </w:r>
    </w:p>
    <w:p w:rsidR="00272C1E" w:rsidRDefault="00272C1E" w:rsidP="00272C1E">
      <w:pPr>
        <w:pStyle w:val="12"/>
      </w:pPr>
      <w:r>
        <w:t>Language: English</w:t>
      </w:r>
    </w:p>
    <w:p w:rsidR="00272C1E" w:rsidRDefault="00272C1E" w:rsidP="00272C1E">
      <w:pPr>
        <w:pStyle w:val="12"/>
      </w:pPr>
      <w:r>
        <w:t>Journal Country/Territory: Netherlands</w:t>
      </w:r>
    </w:p>
    <w:p w:rsidR="00272C1E" w:rsidRDefault="00272C1E" w:rsidP="00272C1E">
      <w:pPr>
        <w:pStyle w:val="12"/>
      </w:pPr>
      <w:r>
        <w:t>Publisher: Elsevier Science BV</w:t>
      </w:r>
    </w:p>
    <w:p w:rsidR="00272C1E" w:rsidRDefault="00272C1E" w:rsidP="00272C1E">
      <w:pPr>
        <w:pStyle w:val="12"/>
      </w:pPr>
      <w:r>
        <w:t>Publisher Address: PO BOX 211, 1000 AE Amsterdam, Netherlands</w:t>
      </w:r>
    </w:p>
    <w:p w:rsidR="00272C1E" w:rsidRDefault="00272C1E" w:rsidP="00272C1E">
      <w:pPr>
        <w:pStyle w:val="12"/>
      </w:pPr>
      <w:r>
        <w:t>Subject Categories:</w:t>
      </w:r>
    </w:p>
    <w:p w:rsidR="00272C1E" w:rsidRPr="00A428C3" w:rsidRDefault="00272C1E" w:rsidP="00272C1E">
      <w:pPr>
        <w:pStyle w:val="12"/>
      </w:pPr>
      <w:r>
        <w:t>Geography, Physical</w:t>
      </w:r>
      <w:r>
        <w:rPr>
          <w:rFonts w:hint="eastAsia"/>
        </w:rPr>
        <w:t>:</w:t>
      </w:r>
      <w:r w:rsidRPr="00272C1E">
        <w:t xml:space="preserve"> </w:t>
      </w:r>
      <w:r w:rsidRPr="00A428C3">
        <w:t xml:space="preserve">Impact Factor </w:t>
      </w:r>
      <w:r>
        <w:rPr>
          <w:rFonts w:hint="eastAsia"/>
        </w:rPr>
        <w:t>3.272, 5/36 (2009)</w:t>
      </w:r>
      <w:r w:rsidR="008F409C">
        <w:rPr>
          <w:rFonts w:hint="eastAsia"/>
        </w:rPr>
        <w:t>;</w:t>
      </w:r>
      <w:r w:rsidR="008F409C" w:rsidRPr="008F409C">
        <w:t xml:space="preserve"> </w:t>
      </w:r>
      <w:r w:rsidR="008F409C" w:rsidRPr="00A428C3">
        <w:t xml:space="preserve">Impact Factor </w:t>
      </w:r>
      <w:r w:rsidR="008F409C">
        <w:rPr>
          <w:rFonts w:hint="eastAsia"/>
        </w:rPr>
        <w:t>3.551, 5/42, (2010)</w:t>
      </w:r>
    </w:p>
    <w:p w:rsidR="008F409C" w:rsidRPr="00A428C3" w:rsidRDefault="00272C1E" w:rsidP="008F409C">
      <w:pPr>
        <w:pStyle w:val="12"/>
      </w:pPr>
      <w:r>
        <w:t>Geosciences, Multidisciplinary</w:t>
      </w:r>
      <w:r w:rsidRPr="00A428C3">
        <w:t xml:space="preserve">: Impact Factor </w:t>
      </w:r>
      <w:r w:rsidR="00935FD0">
        <w:rPr>
          <w:rFonts w:hint="eastAsia"/>
        </w:rPr>
        <w:t xml:space="preserve">3.272, </w:t>
      </w:r>
      <w:r>
        <w:rPr>
          <w:rFonts w:hint="eastAsia"/>
        </w:rPr>
        <w:t>12/155, (2009)</w:t>
      </w:r>
      <w:r w:rsidR="008F409C">
        <w:rPr>
          <w:rFonts w:hint="eastAsia"/>
        </w:rPr>
        <w:t>;</w:t>
      </w:r>
      <w:r w:rsidR="008F409C" w:rsidRPr="008F409C">
        <w:t xml:space="preserve"> </w:t>
      </w:r>
      <w:r w:rsidR="008F409C" w:rsidRPr="00A428C3">
        <w:t xml:space="preserve">Impact Factor </w:t>
      </w:r>
      <w:r w:rsidR="008F409C">
        <w:rPr>
          <w:rFonts w:hint="eastAsia"/>
        </w:rPr>
        <w:t>3.551, 13/165, (2010)</w:t>
      </w:r>
    </w:p>
    <w:p w:rsidR="001E16A9" w:rsidRDefault="001E16A9" w:rsidP="008F409C">
      <w:pPr>
        <w:pStyle w:val="a0"/>
      </w:pPr>
      <w:r w:rsidRPr="00A428C3">
        <w:t xml:space="preserve">? </w:t>
      </w:r>
      <w:r w:rsidR="00277A57">
        <w:rPr>
          <w:kern w:val="0"/>
        </w:rPr>
        <w:t>Li, J.F., Wang, M.H.</w:t>
      </w:r>
      <w:r w:rsidR="00F81221">
        <w:rPr>
          <w:kern w:val="0"/>
        </w:rPr>
        <w:t xml:space="preserve"> and </w:t>
      </w:r>
      <w:r w:rsidR="00277A57">
        <w:rPr>
          <w:kern w:val="0"/>
        </w:rPr>
        <w:t xml:space="preserve">Ho, Y.S. (2011), Trends in research on global climate change: A Science Citation Index Expanded-based analysis. </w:t>
      </w:r>
      <w:r w:rsidR="00277A57">
        <w:rPr>
          <w:i/>
          <w:iCs/>
          <w:kern w:val="0"/>
        </w:rPr>
        <w:t>Global</w:t>
      </w:r>
      <w:r w:rsidR="00F81221">
        <w:rPr>
          <w:i/>
          <w:iCs/>
          <w:kern w:val="0"/>
        </w:rPr>
        <w:t xml:space="preserve"> and </w:t>
      </w:r>
      <w:r w:rsidR="00277A57">
        <w:rPr>
          <w:i/>
          <w:iCs/>
          <w:kern w:val="0"/>
        </w:rPr>
        <w:t>Planetary Change</w:t>
      </w:r>
      <w:r w:rsidR="00277A57">
        <w:rPr>
          <w:kern w:val="0"/>
        </w:rPr>
        <w:t xml:space="preserve">, </w:t>
      </w:r>
      <w:r w:rsidR="00277A57">
        <w:rPr>
          <w:b/>
          <w:bCs/>
          <w:kern w:val="0"/>
        </w:rPr>
        <w:t>77</w:t>
      </w:r>
      <w:r w:rsidR="00277A57">
        <w:rPr>
          <w:kern w:val="0"/>
        </w:rPr>
        <w:t xml:space="preserve"> (1-2), 13-20.</w:t>
      </w:r>
    </w:p>
    <w:p w:rsidR="001E16A9" w:rsidRDefault="001E16A9" w:rsidP="001E16A9">
      <w:pPr>
        <w:pStyle w:val="a0"/>
      </w:pPr>
      <w:r>
        <w:rPr>
          <w:rFonts w:hint="eastAsia"/>
        </w:rPr>
        <w:t xml:space="preserve">Full Text: </w:t>
      </w:r>
      <w:hyperlink r:id="rId487" w:history="1">
        <w:r w:rsidRPr="00B762D4">
          <w:rPr>
            <w:rStyle w:val="a5"/>
          </w:rPr>
          <w:t>2011\Glo Pla Cha77, 13.pdf</w:t>
        </w:r>
      </w:hyperlink>
      <w:r>
        <w:rPr>
          <w:rFonts w:hint="eastAsia"/>
        </w:rPr>
        <w:t>;</w:t>
      </w:r>
      <w:r w:rsidRPr="00B762D4">
        <w:t xml:space="preserve"> </w:t>
      </w:r>
      <w:hyperlink r:id="rId488" w:history="1">
        <w:r w:rsidRPr="00C65818">
          <w:rPr>
            <w:rStyle w:val="a5"/>
          </w:rPr>
          <w:t>2011\Glo Pla Cha-Li1.pdf</w:t>
        </w:r>
      </w:hyperlink>
      <w:r>
        <w:rPr>
          <w:rFonts w:hint="eastAsia"/>
        </w:rPr>
        <w:t xml:space="preserve">; </w:t>
      </w:r>
      <w:hyperlink r:id="rId489" w:history="1">
        <w:r w:rsidRPr="009A2755">
          <w:rPr>
            <w:rStyle w:val="a5"/>
          </w:rPr>
          <w:t>2011\Glo Pla Cha-Li.pdf</w:t>
        </w:r>
      </w:hyperlink>
    </w:p>
    <w:p w:rsidR="00277A57" w:rsidRDefault="00277A57" w:rsidP="00277A57">
      <w:pPr>
        <w:pStyle w:val="a0"/>
        <w:rPr>
          <w:kern w:val="0"/>
        </w:rPr>
      </w:pPr>
      <w:r>
        <w:rPr>
          <w:kern w:val="0"/>
        </w:rPr>
        <w:t>Abstract: This study was conceived to evaluate the global scientific output of climate change research over the past 18 years</w:t>
      </w:r>
      <w:r w:rsidR="00F81221">
        <w:rPr>
          <w:kern w:val="0"/>
        </w:rPr>
        <w:t xml:space="preserve"> and </w:t>
      </w:r>
      <w:r>
        <w:rPr>
          <w:kern w:val="0"/>
        </w:rPr>
        <w:t>to assess the characteristics of the research patterns, tendencies,</w:t>
      </w:r>
      <w:r w:rsidR="00F81221">
        <w:rPr>
          <w:kern w:val="0"/>
        </w:rPr>
        <w:t xml:space="preserve"> and </w:t>
      </w:r>
      <w:r>
        <w:rPr>
          <w:kern w:val="0"/>
        </w:rPr>
        <w:t>methods in the papers. Data were based on the online version of Science Citation Index Expanded from 1992 to 2009. Articles referring to climate change were assessed by distribution of source countries, source institutes, paper titles, author keywords, KeyWords Plus, abstracts,</w:t>
      </w:r>
      <w:r w:rsidR="00F81221">
        <w:rPr>
          <w:kern w:val="0"/>
        </w:rPr>
        <w:t xml:space="preserve"> and </w:t>
      </w:r>
      <w:r>
        <w:rPr>
          <w:kern w:val="0"/>
        </w:rPr>
        <w:t xml:space="preserve">the most cited articles in these years. By synthetic analysis of the four kinds of keywords, it was concluded that the items </w:t>
      </w:r>
      <w:r w:rsidR="000352E7">
        <w:rPr>
          <w:kern w:val="0"/>
        </w:rPr>
        <w:t>“</w:t>
      </w:r>
      <w:r>
        <w:rPr>
          <w:kern w:val="0"/>
        </w:rPr>
        <w:t>temperature</w:t>
      </w:r>
      <w:r w:rsidR="000352E7">
        <w:rPr>
          <w:kern w:val="0"/>
        </w:rPr>
        <w:t>”</w:t>
      </w:r>
      <w:r>
        <w:rPr>
          <w:kern w:val="0"/>
        </w:rPr>
        <w:t xml:space="preserve">, </w:t>
      </w:r>
      <w:r w:rsidR="000352E7">
        <w:rPr>
          <w:kern w:val="0"/>
        </w:rPr>
        <w:t>“</w:t>
      </w:r>
      <w:r>
        <w:rPr>
          <w:kern w:val="0"/>
        </w:rPr>
        <w:t>environment</w:t>
      </w:r>
      <w:r w:rsidR="000352E7">
        <w:rPr>
          <w:kern w:val="0"/>
        </w:rPr>
        <w:t>”</w:t>
      </w:r>
      <w:r>
        <w:rPr>
          <w:kern w:val="0"/>
        </w:rPr>
        <w:t xml:space="preserve">, </w:t>
      </w:r>
      <w:r w:rsidR="000352E7">
        <w:rPr>
          <w:kern w:val="0"/>
        </w:rPr>
        <w:t>“</w:t>
      </w:r>
      <w:r>
        <w:rPr>
          <w:kern w:val="0"/>
        </w:rPr>
        <w:t>precipitation</w:t>
      </w:r>
      <w:r w:rsidR="000352E7">
        <w:rPr>
          <w:kern w:val="0"/>
        </w:rPr>
        <w:t>”</w:t>
      </w:r>
      <w:r>
        <w:rPr>
          <w:kern w:val="0"/>
        </w:rPr>
        <w:t xml:space="preserve">, </w:t>
      </w:r>
      <w:r w:rsidR="000352E7">
        <w:rPr>
          <w:kern w:val="0"/>
        </w:rPr>
        <w:t>“</w:t>
      </w:r>
      <w:r>
        <w:rPr>
          <w:kern w:val="0"/>
        </w:rPr>
        <w:t>greenhouse gas</w:t>
      </w:r>
      <w:r w:rsidR="000352E7">
        <w:rPr>
          <w:kern w:val="0"/>
        </w:rPr>
        <w:t>”</w:t>
      </w:r>
      <w:r>
        <w:rPr>
          <w:kern w:val="0"/>
        </w:rPr>
        <w:t xml:space="preserve">, </w:t>
      </w:r>
      <w:r w:rsidR="000352E7">
        <w:rPr>
          <w:kern w:val="0"/>
        </w:rPr>
        <w:t>“</w:t>
      </w:r>
      <w:r>
        <w:rPr>
          <w:kern w:val="0"/>
        </w:rPr>
        <w:t>risk</w:t>
      </w:r>
      <w:r w:rsidR="000352E7">
        <w:rPr>
          <w:kern w:val="0"/>
        </w:rPr>
        <w:t>”</w:t>
      </w:r>
      <w:r>
        <w:rPr>
          <w:kern w:val="0"/>
        </w:rPr>
        <w:t>,</w:t>
      </w:r>
      <w:r w:rsidR="00F81221">
        <w:rPr>
          <w:kern w:val="0"/>
        </w:rPr>
        <w:t xml:space="preserve"> and </w:t>
      </w:r>
      <w:r w:rsidR="000352E7">
        <w:rPr>
          <w:kern w:val="0"/>
        </w:rPr>
        <w:t>“</w:t>
      </w:r>
      <w:r>
        <w:rPr>
          <w:kern w:val="0"/>
        </w:rPr>
        <w:t>biodiversity</w:t>
      </w:r>
      <w:r w:rsidR="000352E7">
        <w:rPr>
          <w:kern w:val="0"/>
        </w:rPr>
        <w:t>”</w:t>
      </w:r>
      <w:r>
        <w:rPr>
          <w:kern w:val="0"/>
        </w:rPr>
        <w:t xml:space="preserve"> will be the foci of climate change research in the 21st century, while </w:t>
      </w:r>
      <w:r w:rsidR="000352E7">
        <w:rPr>
          <w:kern w:val="0"/>
        </w:rPr>
        <w:t>“</w:t>
      </w:r>
      <w:r>
        <w:rPr>
          <w:kern w:val="0"/>
        </w:rPr>
        <w:t>model</w:t>
      </w:r>
      <w:r w:rsidR="000352E7">
        <w:rPr>
          <w:kern w:val="0"/>
        </w:rPr>
        <w:t>”</w:t>
      </w:r>
      <w:r>
        <w:rPr>
          <w:kern w:val="0"/>
        </w:rPr>
        <w:t xml:space="preserve">, </w:t>
      </w:r>
      <w:r w:rsidR="000352E7">
        <w:rPr>
          <w:kern w:val="0"/>
        </w:rPr>
        <w:t>“</w:t>
      </w:r>
      <w:r>
        <w:rPr>
          <w:kern w:val="0"/>
        </w:rPr>
        <w:t>monitoring</w:t>
      </w:r>
      <w:r w:rsidR="000352E7">
        <w:rPr>
          <w:kern w:val="0"/>
        </w:rPr>
        <w:t>”</w:t>
      </w:r>
      <w:r>
        <w:rPr>
          <w:kern w:val="0"/>
        </w:rPr>
        <w:t>,</w:t>
      </w:r>
      <w:r w:rsidR="00F81221">
        <w:rPr>
          <w:kern w:val="0"/>
        </w:rPr>
        <w:t xml:space="preserve"> and </w:t>
      </w:r>
      <w:r w:rsidR="000352E7">
        <w:rPr>
          <w:kern w:val="0"/>
        </w:rPr>
        <w:t>“</w:t>
      </w:r>
      <w:r>
        <w:rPr>
          <w:kern w:val="0"/>
        </w:rPr>
        <w:t>remote sensing</w:t>
      </w:r>
      <w:r w:rsidR="000352E7">
        <w:rPr>
          <w:kern w:val="0"/>
        </w:rPr>
        <w:t>”</w:t>
      </w:r>
      <w:r>
        <w:rPr>
          <w:kern w:val="0"/>
        </w:rPr>
        <w:t xml:space="preserve"> will continue to be the leading research methods. A novel method, </w:t>
      </w:r>
      <w:r w:rsidR="000352E7">
        <w:rPr>
          <w:kern w:val="0"/>
        </w:rPr>
        <w:t>“</w:t>
      </w:r>
      <w:r>
        <w:rPr>
          <w:kern w:val="0"/>
        </w:rPr>
        <w:t>phylogeography</w:t>
      </w:r>
      <w:r w:rsidR="000352E7">
        <w:rPr>
          <w:kern w:val="0"/>
        </w:rPr>
        <w:t>”</w:t>
      </w:r>
      <w:r>
        <w:rPr>
          <w:kern w:val="0"/>
        </w:rPr>
        <w:t>, may have a strong application potential in the near future. (C) 2011 Elsevier B.V. All rights reserved.</w:t>
      </w:r>
    </w:p>
    <w:p w:rsidR="00277A57" w:rsidRDefault="00277A57" w:rsidP="00277A57">
      <w:pPr>
        <w:pStyle w:val="a0"/>
        <w:rPr>
          <w:kern w:val="0"/>
        </w:rPr>
      </w:pPr>
      <w:r>
        <w:rPr>
          <w:kern w:val="0"/>
        </w:rPr>
        <w:t>Keywords: Adaptation, Bibliometric Analysis, Bibliometrics, Citation, Climate Change, Ice-Core, Model, Model, Papers, Precipitation, Research, Research Trend, Responses, Science Citation Index, Sea-Level Rise, Space-Time Climate, System, Temperature, Word Cluster Analysis</w:t>
      </w:r>
    </w:p>
    <w:p w:rsidR="000366D3" w:rsidRPr="00A428C3" w:rsidRDefault="000366D3" w:rsidP="000366D3">
      <w:pPr>
        <w:pStyle w:val="1"/>
      </w:pPr>
      <w:r w:rsidRPr="00A428C3">
        <w:br w:type="page"/>
      </w:r>
      <w:bookmarkStart w:id="398" w:name="_Toc317160955"/>
      <w:r w:rsidRPr="00A428C3">
        <w:lastRenderedPageBreak/>
        <w:t>Tit</w:t>
      </w:r>
      <w:r>
        <w:t xml:space="preserve">le: </w:t>
      </w:r>
      <w:r w:rsidRPr="000366D3">
        <w:rPr>
          <w:szCs w:val="24"/>
        </w:rPr>
        <w:t>Global Public Health</w:t>
      </w:r>
      <w:bookmarkEnd w:id="398"/>
    </w:p>
    <w:p w:rsidR="000366D3" w:rsidRPr="00A428C3" w:rsidRDefault="000366D3" w:rsidP="000366D3">
      <w:pPr>
        <w:pStyle w:val="12"/>
      </w:pPr>
      <w:r w:rsidRPr="00A428C3">
        <w:t>F</w:t>
      </w:r>
      <w:r>
        <w:t xml:space="preserve">ull Journal Title: </w:t>
      </w:r>
      <w:r w:rsidRPr="000366D3">
        <w:t>Global Public Health</w:t>
      </w:r>
    </w:p>
    <w:p w:rsidR="000366D3" w:rsidRPr="00A428C3" w:rsidRDefault="000366D3" w:rsidP="000366D3">
      <w:pPr>
        <w:pStyle w:val="12"/>
      </w:pPr>
      <w:r w:rsidRPr="00A428C3">
        <w:t xml:space="preserve">ISO Abbreviated Title: </w:t>
      </w:r>
    </w:p>
    <w:p w:rsidR="000366D3" w:rsidRPr="00A428C3" w:rsidRDefault="000366D3" w:rsidP="000366D3">
      <w:pPr>
        <w:pStyle w:val="12"/>
      </w:pPr>
      <w:r w:rsidRPr="00A428C3">
        <w:t xml:space="preserve">JCR Abbreviated Title: </w:t>
      </w:r>
    </w:p>
    <w:p w:rsidR="000366D3" w:rsidRPr="00A428C3" w:rsidRDefault="000366D3" w:rsidP="000366D3">
      <w:pPr>
        <w:pStyle w:val="12"/>
      </w:pPr>
      <w:r w:rsidRPr="00A428C3">
        <w:t xml:space="preserve">ISSN: </w:t>
      </w:r>
    </w:p>
    <w:p w:rsidR="000366D3" w:rsidRPr="00A428C3" w:rsidRDefault="000366D3" w:rsidP="000366D3">
      <w:pPr>
        <w:pStyle w:val="12"/>
      </w:pPr>
      <w:r w:rsidRPr="00A428C3">
        <w:t xml:space="preserve">Issues/Year: </w:t>
      </w:r>
    </w:p>
    <w:p w:rsidR="000366D3" w:rsidRPr="00A428C3" w:rsidRDefault="000366D3" w:rsidP="000366D3">
      <w:pPr>
        <w:pStyle w:val="12"/>
      </w:pPr>
      <w:r w:rsidRPr="00A428C3">
        <w:t xml:space="preserve">Journal Country/Territory: </w:t>
      </w:r>
    </w:p>
    <w:p w:rsidR="000366D3" w:rsidRPr="00A428C3" w:rsidRDefault="000366D3" w:rsidP="000366D3">
      <w:pPr>
        <w:pStyle w:val="12"/>
      </w:pPr>
      <w:r w:rsidRPr="00A428C3">
        <w:t xml:space="preserve">Language: </w:t>
      </w:r>
    </w:p>
    <w:p w:rsidR="000366D3" w:rsidRPr="00A428C3" w:rsidRDefault="000366D3" w:rsidP="000366D3">
      <w:pPr>
        <w:pStyle w:val="12"/>
      </w:pPr>
      <w:r w:rsidRPr="00A428C3">
        <w:t xml:space="preserve">Publisher: </w:t>
      </w:r>
    </w:p>
    <w:p w:rsidR="000366D3" w:rsidRPr="00A428C3" w:rsidRDefault="000366D3" w:rsidP="000366D3">
      <w:pPr>
        <w:pStyle w:val="12"/>
      </w:pPr>
      <w:r w:rsidRPr="00A428C3">
        <w:t xml:space="preserve">Publisher Address: </w:t>
      </w:r>
    </w:p>
    <w:p w:rsidR="000366D3" w:rsidRPr="00A428C3" w:rsidRDefault="000366D3" w:rsidP="000366D3">
      <w:pPr>
        <w:pStyle w:val="12"/>
      </w:pPr>
      <w:r w:rsidRPr="00A428C3">
        <w:t>Subject Categories:</w:t>
      </w:r>
    </w:p>
    <w:p w:rsidR="000366D3" w:rsidRPr="00A428C3" w:rsidRDefault="000366D3" w:rsidP="000366D3">
      <w:pPr>
        <w:pStyle w:val="12"/>
      </w:pPr>
      <w:r w:rsidRPr="00A428C3">
        <w:t xml:space="preserve">: Impact Factor </w:t>
      </w:r>
    </w:p>
    <w:p w:rsidR="000366D3" w:rsidRDefault="000366D3" w:rsidP="000366D3">
      <w:pPr>
        <w:pStyle w:val="a0"/>
        <w:rPr>
          <w:kern w:val="0"/>
          <w:szCs w:val="24"/>
        </w:rPr>
      </w:pPr>
      <w:r>
        <w:rPr>
          <w:rFonts w:hint="eastAsia"/>
          <w:kern w:val="0"/>
          <w:szCs w:val="24"/>
        </w:rPr>
        <w:t xml:space="preserve">? </w:t>
      </w:r>
      <w:r>
        <w:rPr>
          <w:kern w:val="0"/>
          <w:szCs w:val="24"/>
        </w:rPr>
        <w:t>Aaron, G.J., Wilson, S.E.</w:t>
      </w:r>
      <w:r w:rsidR="00F81221">
        <w:rPr>
          <w:kern w:val="0"/>
          <w:szCs w:val="24"/>
        </w:rPr>
        <w:t xml:space="preserve"> and </w:t>
      </w:r>
      <w:r>
        <w:rPr>
          <w:kern w:val="0"/>
          <w:szCs w:val="24"/>
        </w:rPr>
        <w:t xml:space="preserve">Brown, K.H. (2010), Bibliographic analysis of scientific research on selected topics in public health nutrition in West Africa: Review of articles published from 1998 to 2008. </w:t>
      </w:r>
      <w:r w:rsidRPr="000366D3">
        <w:rPr>
          <w:i/>
          <w:kern w:val="0"/>
          <w:szCs w:val="24"/>
        </w:rPr>
        <w:t>Global Public Health</w:t>
      </w:r>
      <w:r>
        <w:rPr>
          <w:kern w:val="0"/>
          <w:szCs w:val="24"/>
        </w:rPr>
        <w:t xml:space="preserve">, </w:t>
      </w:r>
      <w:r>
        <w:rPr>
          <w:b/>
          <w:bCs/>
          <w:kern w:val="0"/>
          <w:szCs w:val="24"/>
        </w:rPr>
        <w:t>5</w:t>
      </w:r>
      <w:r>
        <w:rPr>
          <w:kern w:val="0"/>
          <w:szCs w:val="24"/>
        </w:rPr>
        <w:t>, S42-S57.</w:t>
      </w:r>
    </w:p>
    <w:p w:rsidR="000366D3" w:rsidRDefault="000366D3" w:rsidP="000366D3">
      <w:pPr>
        <w:pStyle w:val="a0"/>
        <w:rPr>
          <w:kern w:val="0"/>
          <w:szCs w:val="24"/>
        </w:rPr>
      </w:pPr>
      <w:r>
        <w:rPr>
          <w:rFonts w:hint="eastAsia"/>
          <w:kern w:val="0"/>
          <w:szCs w:val="24"/>
        </w:rPr>
        <w:t>Full Text: 2010\</w:t>
      </w:r>
      <w:r>
        <w:rPr>
          <w:kern w:val="0"/>
          <w:szCs w:val="24"/>
        </w:rPr>
        <w:t>Glo Pub Hea</w:t>
      </w:r>
      <w:r w:rsidRPr="000366D3">
        <w:rPr>
          <w:bCs/>
          <w:kern w:val="0"/>
          <w:szCs w:val="24"/>
        </w:rPr>
        <w:t>5</w:t>
      </w:r>
      <w:r>
        <w:rPr>
          <w:kern w:val="0"/>
          <w:szCs w:val="24"/>
        </w:rPr>
        <w:t>, S42</w:t>
      </w:r>
      <w:r>
        <w:rPr>
          <w:rFonts w:hint="eastAsia"/>
          <w:kern w:val="0"/>
          <w:szCs w:val="24"/>
        </w:rPr>
        <w:t>.pdf</w:t>
      </w:r>
    </w:p>
    <w:p w:rsidR="000366D3" w:rsidRDefault="000366D3" w:rsidP="000366D3">
      <w:pPr>
        <w:pStyle w:val="a0"/>
        <w:rPr>
          <w:kern w:val="0"/>
          <w:szCs w:val="24"/>
        </w:rPr>
      </w:pPr>
      <w:r>
        <w:rPr>
          <w:kern w:val="0"/>
          <w:szCs w:val="24"/>
        </w:rPr>
        <w:t>Abstract: Few countries in West Africa have the capacity for carrying out advanced training in nutrition</w:t>
      </w:r>
      <w:r w:rsidR="00F81221">
        <w:rPr>
          <w:kern w:val="0"/>
          <w:szCs w:val="24"/>
        </w:rPr>
        <w:t xml:space="preserve"> and </w:t>
      </w:r>
      <w:r>
        <w:rPr>
          <w:kern w:val="0"/>
          <w:szCs w:val="24"/>
        </w:rPr>
        <w:t>public health. To provide additional information on current regional applied nutrition research capacity</w:t>
      </w:r>
      <w:r w:rsidR="00F81221">
        <w:rPr>
          <w:kern w:val="0"/>
          <w:szCs w:val="24"/>
        </w:rPr>
        <w:t xml:space="preserve"> and </w:t>
      </w:r>
      <w:r>
        <w:rPr>
          <w:kern w:val="0"/>
          <w:szCs w:val="24"/>
        </w:rPr>
        <w:t xml:space="preserve">productivity, we analysed peer-reviewed articles on key public health nutrition topics that were published from 1998 to 2008. Using MEDLINE/PubMed, the following terms were searched: </w:t>
      </w:r>
      <w:r w:rsidR="000352E7">
        <w:rPr>
          <w:kern w:val="0"/>
          <w:szCs w:val="24"/>
        </w:rPr>
        <w:t>‘</w:t>
      </w:r>
      <w:r>
        <w:rPr>
          <w:kern w:val="0"/>
          <w:szCs w:val="24"/>
        </w:rPr>
        <w:t>breast feeding</w:t>
      </w:r>
      <w:r w:rsidR="000352E7">
        <w:rPr>
          <w:kern w:val="0"/>
          <w:szCs w:val="24"/>
        </w:rPr>
        <w:t>’</w:t>
      </w:r>
      <w:r>
        <w:rPr>
          <w:kern w:val="0"/>
          <w:szCs w:val="24"/>
        </w:rPr>
        <w:t xml:space="preserve">, </w:t>
      </w:r>
      <w:r w:rsidR="000352E7">
        <w:rPr>
          <w:kern w:val="0"/>
          <w:szCs w:val="24"/>
        </w:rPr>
        <w:t>‘</w:t>
      </w:r>
      <w:r>
        <w:rPr>
          <w:kern w:val="0"/>
          <w:szCs w:val="24"/>
        </w:rPr>
        <w:t>infant nutrition physiology</w:t>
      </w:r>
      <w:r w:rsidR="000352E7">
        <w:rPr>
          <w:kern w:val="0"/>
          <w:szCs w:val="24"/>
        </w:rPr>
        <w:t>’</w:t>
      </w:r>
      <w:r>
        <w:rPr>
          <w:kern w:val="0"/>
          <w:szCs w:val="24"/>
        </w:rPr>
        <w:t xml:space="preserve"> (comprising complementary feeding</w:t>
      </w:r>
      <w:r w:rsidR="00F81221">
        <w:rPr>
          <w:kern w:val="0"/>
          <w:szCs w:val="24"/>
        </w:rPr>
        <w:t xml:space="preserve"> and </w:t>
      </w:r>
      <w:r>
        <w:rPr>
          <w:kern w:val="0"/>
          <w:szCs w:val="24"/>
        </w:rPr>
        <w:t xml:space="preserve">weaning), </w:t>
      </w:r>
      <w:r w:rsidR="000352E7">
        <w:rPr>
          <w:kern w:val="0"/>
          <w:szCs w:val="24"/>
        </w:rPr>
        <w:t>‘</w:t>
      </w:r>
      <w:r>
        <w:rPr>
          <w:kern w:val="0"/>
          <w:szCs w:val="24"/>
        </w:rPr>
        <w:t>protein energy malnutrition</w:t>
      </w:r>
      <w:r w:rsidR="000352E7">
        <w:rPr>
          <w:kern w:val="0"/>
          <w:szCs w:val="24"/>
        </w:rPr>
        <w:t>’</w:t>
      </w:r>
      <w:r>
        <w:rPr>
          <w:kern w:val="0"/>
          <w:szCs w:val="24"/>
        </w:rPr>
        <w:t xml:space="preserve">, </w:t>
      </w:r>
      <w:r w:rsidR="000352E7">
        <w:rPr>
          <w:kern w:val="0"/>
          <w:szCs w:val="24"/>
        </w:rPr>
        <w:t>‘</w:t>
      </w:r>
      <w:r>
        <w:rPr>
          <w:kern w:val="0"/>
          <w:szCs w:val="24"/>
        </w:rPr>
        <w:t>nutrition</w:t>
      </w:r>
      <w:r w:rsidR="00F81221">
        <w:rPr>
          <w:kern w:val="0"/>
          <w:szCs w:val="24"/>
        </w:rPr>
        <w:t xml:space="preserve"> and </w:t>
      </w:r>
      <w:r>
        <w:rPr>
          <w:kern w:val="0"/>
          <w:szCs w:val="24"/>
        </w:rPr>
        <w:t>infection</w:t>
      </w:r>
      <w:r w:rsidR="000352E7">
        <w:rPr>
          <w:kern w:val="0"/>
          <w:szCs w:val="24"/>
        </w:rPr>
        <w:t>’</w:t>
      </w:r>
      <w:r>
        <w:rPr>
          <w:kern w:val="0"/>
          <w:szCs w:val="24"/>
        </w:rPr>
        <w:t xml:space="preserve">, </w:t>
      </w:r>
      <w:r w:rsidR="000352E7">
        <w:rPr>
          <w:kern w:val="0"/>
          <w:szCs w:val="24"/>
        </w:rPr>
        <w:t>‘</w:t>
      </w:r>
      <w:r>
        <w:rPr>
          <w:kern w:val="0"/>
          <w:szCs w:val="24"/>
        </w:rPr>
        <w:t>vitamin A</w:t>
      </w:r>
      <w:r w:rsidR="000352E7">
        <w:rPr>
          <w:kern w:val="0"/>
          <w:szCs w:val="24"/>
        </w:rPr>
        <w:t>’</w:t>
      </w:r>
      <w:r>
        <w:rPr>
          <w:kern w:val="0"/>
          <w:szCs w:val="24"/>
        </w:rPr>
        <w:t xml:space="preserve">, </w:t>
      </w:r>
      <w:r w:rsidR="000352E7">
        <w:rPr>
          <w:kern w:val="0"/>
          <w:szCs w:val="24"/>
        </w:rPr>
        <w:t>‘</w:t>
      </w:r>
      <w:r>
        <w:rPr>
          <w:kern w:val="0"/>
          <w:szCs w:val="24"/>
        </w:rPr>
        <w:t>iodine</w:t>
      </w:r>
      <w:r w:rsidR="000352E7">
        <w:rPr>
          <w:kern w:val="0"/>
          <w:szCs w:val="24"/>
        </w:rPr>
        <w:t>’</w:t>
      </w:r>
      <w:r>
        <w:rPr>
          <w:kern w:val="0"/>
          <w:szCs w:val="24"/>
        </w:rPr>
        <w:t xml:space="preserve">, </w:t>
      </w:r>
      <w:r w:rsidR="000352E7">
        <w:rPr>
          <w:kern w:val="0"/>
          <w:szCs w:val="24"/>
        </w:rPr>
        <w:t>‘</w:t>
      </w:r>
      <w:r>
        <w:rPr>
          <w:kern w:val="0"/>
          <w:szCs w:val="24"/>
        </w:rPr>
        <w:t>zinc</w:t>
      </w:r>
      <w:r w:rsidR="000352E7">
        <w:rPr>
          <w:kern w:val="0"/>
          <w:szCs w:val="24"/>
        </w:rPr>
        <w:t>’</w:t>
      </w:r>
      <w:r w:rsidR="00F81221">
        <w:rPr>
          <w:rFonts w:hint="eastAsia"/>
          <w:kern w:val="0"/>
          <w:szCs w:val="24"/>
        </w:rPr>
        <w:t xml:space="preserve"> and </w:t>
      </w:r>
      <w:r w:rsidR="000352E7">
        <w:rPr>
          <w:kern w:val="0"/>
          <w:szCs w:val="24"/>
        </w:rPr>
        <w:t>‘</w:t>
      </w:r>
      <w:r>
        <w:rPr>
          <w:kern w:val="0"/>
          <w:szCs w:val="24"/>
        </w:rPr>
        <w:t>overweight</w:t>
      </w:r>
      <w:r w:rsidR="000352E7">
        <w:rPr>
          <w:kern w:val="0"/>
          <w:szCs w:val="24"/>
        </w:rPr>
        <w:t>’</w:t>
      </w:r>
      <w:r>
        <w:rPr>
          <w:kern w:val="0"/>
          <w:szCs w:val="24"/>
        </w:rPr>
        <w:t xml:space="preserve">, each linked with the term </w:t>
      </w:r>
      <w:r w:rsidR="000352E7">
        <w:rPr>
          <w:kern w:val="0"/>
          <w:szCs w:val="24"/>
        </w:rPr>
        <w:t>‘</w:t>
      </w:r>
      <w:r>
        <w:rPr>
          <w:kern w:val="0"/>
          <w:szCs w:val="24"/>
        </w:rPr>
        <w:t>Western Africa</w:t>
      </w:r>
      <w:r w:rsidR="000352E7">
        <w:rPr>
          <w:kern w:val="0"/>
          <w:szCs w:val="24"/>
        </w:rPr>
        <w:t>’</w:t>
      </w:r>
      <w:r>
        <w:rPr>
          <w:kern w:val="0"/>
          <w:szCs w:val="24"/>
        </w:rPr>
        <w:t>. In total, 412 unique articles (37 +/- 6 articles per year) were identified. Most research focused on infant</w:t>
      </w:r>
      <w:r w:rsidR="00F81221">
        <w:rPr>
          <w:kern w:val="0"/>
          <w:szCs w:val="24"/>
        </w:rPr>
        <w:t xml:space="preserve"> and </w:t>
      </w:r>
      <w:r>
        <w:rPr>
          <w:kern w:val="0"/>
          <w:szCs w:val="24"/>
        </w:rPr>
        <w:t>young child feeding practices, selected micro-nutrient deficiencies,</w:t>
      </w:r>
      <w:r w:rsidR="00F81221">
        <w:rPr>
          <w:kern w:val="0"/>
          <w:szCs w:val="24"/>
        </w:rPr>
        <w:t xml:space="preserve"> and </w:t>
      </w:r>
      <w:r>
        <w:rPr>
          <w:kern w:val="0"/>
          <w:szCs w:val="24"/>
        </w:rPr>
        <w:t>the emerging problem of overweight</w:t>
      </w:r>
      <w:r w:rsidR="00F81221">
        <w:rPr>
          <w:kern w:val="0"/>
          <w:szCs w:val="24"/>
        </w:rPr>
        <w:t xml:space="preserve"> and </w:t>
      </w:r>
      <w:r>
        <w:rPr>
          <w:kern w:val="0"/>
          <w:szCs w:val="24"/>
        </w:rPr>
        <w:t>obesity. The primary author of nearly half (46%) the publications was located in an institution outside of West Africa. Most articles were published in English (90%),</w:t>
      </w:r>
      <w:r w:rsidR="00F81221">
        <w:rPr>
          <w:kern w:val="0"/>
          <w:szCs w:val="24"/>
        </w:rPr>
        <w:t xml:space="preserve"> and </w:t>
      </w:r>
      <w:r>
        <w:rPr>
          <w:kern w:val="0"/>
          <w:szCs w:val="24"/>
        </w:rPr>
        <w:t>nearly half of all articles (41%) were cross-sectional studies. Our findings indicate that few peer-reviewed research studies are being published on key public health topics in the West African region, considering the magnitude of nutrition problems in this region. New approaches are needed to encourage</w:t>
      </w:r>
      <w:r w:rsidR="00F81221">
        <w:rPr>
          <w:kern w:val="0"/>
          <w:szCs w:val="24"/>
        </w:rPr>
        <w:t xml:space="preserve"> and </w:t>
      </w:r>
      <w:r>
        <w:rPr>
          <w:kern w:val="0"/>
          <w:szCs w:val="24"/>
        </w:rPr>
        <w:t>support research capacity</w:t>
      </w:r>
      <w:r w:rsidR="00F81221">
        <w:rPr>
          <w:kern w:val="0"/>
          <w:szCs w:val="24"/>
        </w:rPr>
        <w:t xml:space="preserve"> and </w:t>
      </w:r>
      <w:r>
        <w:rPr>
          <w:kern w:val="0"/>
          <w:szCs w:val="24"/>
        </w:rPr>
        <w:t>output in West Africa.</w:t>
      </w:r>
    </w:p>
    <w:p w:rsidR="000366D3" w:rsidRDefault="000366D3" w:rsidP="000366D3">
      <w:pPr>
        <w:pStyle w:val="a0"/>
        <w:rPr>
          <w:kern w:val="0"/>
          <w:szCs w:val="24"/>
        </w:rPr>
      </w:pPr>
      <w:r>
        <w:rPr>
          <w:kern w:val="0"/>
          <w:szCs w:val="24"/>
        </w:rPr>
        <w:t xml:space="preserve">Keywords: Advanced Training, Africa, Analysis, Applied Research, Bibliometrics, Breast Feeding, Breast-Feeding, Capacity, Child, Complementary, Cross-Sectional Studies, Energy, Feeding, Health, Infant, Infant Nutrition, Infection, Information, Malnutrition, Nutrition, Obesity, Overweight, Peer-Reviewed, Physiology, Practices, </w:t>
      </w:r>
      <w:r>
        <w:rPr>
          <w:kern w:val="0"/>
          <w:szCs w:val="24"/>
        </w:rPr>
        <w:lastRenderedPageBreak/>
        <w:t>Prevalence, Primary, Productivity, Protein, Public, Public Health, Public Health Nutrition, Publications, Region, Regional, Research, Review, Scientific Research, Si, Support, Term, Training, Trends, Vitamin A, West Africa</w:t>
      </w:r>
    </w:p>
    <w:p w:rsidR="00B95188" w:rsidRPr="00A428C3" w:rsidRDefault="00B95188" w:rsidP="00B95188">
      <w:pPr>
        <w:pStyle w:val="1"/>
      </w:pPr>
      <w:r w:rsidRPr="00A428C3">
        <w:br w:type="page"/>
      </w:r>
      <w:bookmarkStart w:id="399" w:name="_Toc186647737"/>
      <w:bookmarkStart w:id="400" w:name="_Toc317160956"/>
      <w:r w:rsidRPr="00A428C3">
        <w:lastRenderedPageBreak/>
        <w:t>Title: Gold Bulletin</w:t>
      </w:r>
      <w:bookmarkEnd w:id="399"/>
      <w:bookmarkEnd w:id="400"/>
    </w:p>
    <w:p w:rsidR="00B95188" w:rsidRPr="00A428C3" w:rsidRDefault="00B95188" w:rsidP="00B72EF9">
      <w:pPr>
        <w:pStyle w:val="12"/>
      </w:pPr>
      <w:r w:rsidRPr="00A428C3">
        <w:t>Full Journal Title: Gold Bulletin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Chang, Y.C.</w:t>
      </w:r>
      <w:r w:rsidR="00F81221">
        <w:t xml:space="preserve"> and </w:t>
      </w:r>
      <w:r w:rsidRPr="00A428C3">
        <w:t xml:space="preserve">Chen, D.H. (2006), Recovery of gold(III) ions by a chitosan-coated magnetic nano-adsorbent. </w:t>
      </w:r>
      <w:r w:rsidRPr="00A428C3">
        <w:rPr>
          <w:i/>
        </w:rPr>
        <w:t>Gold Bulletin</w:t>
      </w:r>
      <w:r w:rsidRPr="00A428C3">
        <w:t xml:space="preserve">, </w:t>
      </w:r>
      <w:r w:rsidRPr="00A428C3">
        <w:rPr>
          <w:b/>
        </w:rPr>
        <w:t>39</w:t>
      </w:r>
      <w:r w:rsidRPr="00A428C3">
        <w:t xml:space="preserve"> (3), 98-102.</w:t>
      </w:r>
    </w:p>
    <w:p w:rsidR="00B95188" w:rsidRPr="00A428C3" w:rsidRDefault="00B95188" w:rsidP="00B95188">
      <w:pPr>
        <w:pStyle w:val="a0"/>
      </w:pPr>
      <w:r w:rsidRPr="00A428C3">
        <w:t>Abstract: The monodisperse chitosan-coated Fe</w:t>
      </w:r>
      <w:r w:rsidRPr="00A428C3">
        <w:rPr>
          <w:vertAlign w:val="subscript"/>
        </w:rPr>
        <w:t>3</w:t>
      </w:r>
      <w:r w:rsidRPr="00A428C3">
        <w:t>O</w:t>
      </w:r>
      <w:r w:rsidRPr="00A428C3">
        <w:rPr>
          <w:vertAlign w:val="subscript"/>
        </w:rPr>
        <w:t>4</w:t>
      </w:r>
      <w:r w:rsidRPr="00A428C3">
        <w:t xml:space="preserve"> nanoparticles with a mean diameter of 13.5 nm</w:t>
      </w:r>
      <w:r w:rsidR="00F81221">
        <w:t xml:space="preserve"> and </w:t>
      </w:r>
      <w:r w:rsidRPr="00A428C3">
        <w:t>4.92 wt% chitosan were used as an anionic magnetic nano-adsorbent for the recovery of Au(III) ions from aqueous solutions. It was found that Au(III) ions could be fast</w:t>
      </w:r>
      <w:r w:rsidR="00F81221">
        <w:t xml:space="preserve"> and </w:t>
      </w:r>
      <w:r w:rsidRPr="00A428C3">
        <w:t>efficiently adsorbed,</w:t>
      </w:r>
      <w:r w:rsidR="00F81221">
        <w:t xml:space="preserve"> and </w:t>
      </w:r>
      <w:r w:rsidRPr="00A428C3">
        <w:t>the adsorption capacity increased with the decrease in pH due to the protonation of the amino groups of chitosan. The adsorption data obeyed the Langmuir equation with a maximum adsorption capacity of 59.52 mg/g (1210 mg/g based on the weight of chitosan)</w:t>
      </w:r>
      <w:r w:rsidR="00F81221">
        <w:t xml:space="preserve"> and </w:t>
      </w:r>
      <w:r w:rsidRPr="00A428C3">
        <w:t xml:space="preserve">a Langmuir adsorption equilibrium constant of </w:t>
      </w:r>
      <w:smartTag w:uri="urn:schemas-microsoft-com:office:smarttags" w:element="chmetcnv">
        <w:smartTagPr>
          <w:attr w:name="TCSC" w:val="0"/>
          <w:attr w:name="NumberType" w:val="1"/>
          <w:attr w:name="Negative" w:val="False"/>
          <w:attr w:name="HasSpace" w:val="True"/>
          <w:attr w:name="SourceValue" w:val="0.066"/>
          <w:attr w:name="UnitName" w:val="l"/>
        </w:smartTagPr>
        <w:r w:rsidRPr="00A428C3">
          <w:t>0.066 l</w:t>
        </w:r>
      </w:smartTag>
      <w:r w:rsidRPr="00A428C3">
        <w:t>/mg. From the studies on the adsorption kinetics</w:t>
      </w:r>
      <w:r w:rsidR="00F81221">
        <w:t xml:space="preserve"> and </w:t>
      </w:r>
      <w:r w:rsidRPr="00A428C3">
        <w:t>thermodynamics of Au(III) ions, it was found that the adsorption process obeyed the pseudo-second-order kinetic model. Furthermore, the time required to reach the equilibrium was significantly shorter than those using the micro-sized adsorbents due to the large available surface area.</w:t>
      </w:r>
    </w:p>
    <w:p w:rsidR="00B95188" w:rsidRPr="00A428C3" w:rsidRDefault="00B95188" w:rsidP="00B95188">
      <w:pPr>
        <w:pStyle w:val="a0"/>
      </w:pPr>
      <w:r w:rsidRPr="00A428C3">
        <w:t>Keywords: Gold(III), Adsorption, Chitosan, Magnetic, Adsorption Capacity, Aqueous-Solutions, Cross-Linking, Cu(II) Ions, Metal-Ions, Sorption, Equilibrium, Nanoparticles, Removal, Gold</w:t>
      </w:r>
    </w:p>
    <w:p w:rsidR="00B95188" w:rsidRPr="00A428C3" w:rsidRDefault="00B95188" w:rsidP="00B95188">
      <w:pPr>
        <w:pStyle w:val="1"/>
      </w:pPr>
      <w:r w:rsidRPr="00A428C3">
        <w:br w:type="page"/>
      </w:r>
      <w:bookmarkStart w:id="401" w:name="_Toc186647738"/>
      <w:bookmarkStart w:id="402" w:name="_Toc317160957"/>
      <w:r w:rsidRPr="00A428C3">
        <w:lastRenderedPageBreak/>
        <w:t>Title: Government Information Quarterly</w:t>
      </w:r>
      <w:bookmarkEnd w:id="401"/>
      <w:bookmarkEnd w:id="402"/>
    </w:p>
    <w:p w:rsidR="00B95188" w:rsidRPr="00A428C3" w:rsidRDefault="00B95188" w:rsidP="00B72EF9">
      <w:pPr>
        <w:pStyle w:val="12"/>
      </w:pPr>
      <w:r w:rsidRPr="00A428C3">
        <w:t xml:space="preserve">Full Journal Title: </w:t>
      </w:r>
      <w:hyperlink r:id="rId490" w:history="1">
        <w:r w:rsidRPr="00A428C3">
          <w:rPr>
            <w:rStyle w:val="a5"/>
          </w:rPr>
          <w:t>Government Information Quarterly</w:t>
        </w:r>
      </w:hyperlink>
    </w:p>
    <w:p w:rsidR="00B95188" w:rsidRPr="00A428C3" w:rsidRDefault="00B95188" w:rsidP="00B72EF9">
      <w:pPr>
        <w:pStyle w:val="12"/>
      </w:pPr>
      <w:r w:rsidRPr="00A428C3">
        <w:t>ISO Abbreviated Title: Gov. Inf. Q.</w:t>
      </w:r>
    </w:p>
    <w:p w:rsidR="00B95188" w:rsidRPr="00A428C3" w:rsidRDefault="00B95188" w:rsidP="00B72EF9">
      <w:pPr>
        <w:pStyle w:val="12"/>
      </w:pPr>
      <w:r w:rsidRPr="00A428C3">
        <w:t>JCR Abbreviated Title: Gov Inform Q</w:t>
      </w:r>
    </w:p>
    <w:p w:rsidR="00B95188" w:rsidRPr="00A428C3" w:rsidRDefault="00B95188" w:rsidP="00B72EF9">
      <w:pPr>
        <w:pStyle w:val="12"/>
      </w:pPr>
      <w:r w:rsidRPr="00A428C3">
        <w:t>ISSN: 0740-624X</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Elsevier Science Inc</w:t>
      </w:r>
    </w:p>
    <w:p w:rsidR="00B95188" w:rsidRPr="00A428C3" w:rsidRDefault="00B95188" w:rsidP="00B72EF9">
      <w:pPr>
        <w:pStyle w:val="12"/>
      </w:pPr>
      <w:r w:rsidRPr="00A428C3">
        <w:t xml:space="preserve">Publisher Address: 655 Avenue of the </w:t>
      </w:r>
      <w:smartTag w:uri="urn:schemas-microsoft-com:office:smarttags" w:element="country-region">
        <w:r w:rsidRPr="00A428C3">
          <w:t>Americas</w:t>
        </w:r>
      </w:smartTag>
      <w:r w:rsidRPr="00A428C3">
        <w:t xml:space="preserve">, </w:t>
      </w:r>
      <w:smartTag w:uri="urn:schemas-microsoft-com:office:smarttags" w:element="place">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Information Science &amp; Library Science: </w:t>
      </w:r>
      <w:r w:rsidRPr="00A428C3">
        <w:rPr>
          <w:color w:val="008000"/>
        </w:rPr>
        <w:t>Impact Factor 0.298, / (2001) SSCI</w:t>
      </w:r>
    </w:p>
    <w:p w:rsidR="00B95188" w:rsidRPr="00A428C3" w:rsidRDefault="00B95188" w:rsidP="00B95188">
      <w:pPr>
        <w:pStyle w:val="a0"/>
      </w:pPr>
      <w:r w:rsidRPr="00A428C3">
        <w:t>Altman, E.</w:t>
      </w:r>
      <w:r w:rsidR="00F81221">
        <w:t xml:space="preserve"> and </w:t>
      </w:r>
      <w:r w:rsidRPr="00A428C3">
        <w:t>Antieau, K. (1988), Dissemination</w:t>
      </w:r>
      <w:r w:rsidR="00F81221">
        <w:t xml:space="preserve"> and </w:t>
      </w:r>
      <w:r w:rsidRPr="00A428C3">
        <w:t xml:space="preserve">impact of </w:t>
      </w:r>
      <w:smartTag w:uri="urn:schemas-microsoft-com:office:smarttags" w:element="place">
        <w:smartTag w:uri="urn:schemas-microsoft-com:office:smarttags" w:element="country-region">
          <w:r w:rsidRPr="00A428C3">
            <w:t>U.S.</w:t>
          </w:r>
        </w:smartTag>
      </w:smartTag>
      <w:r w:rsidRPr="00A428C3">
        <w:t xml:space="preserve"> department of education</w:t>
      </w:r>
      <w:r w:rsidR="000352E7">
        <w:t>’</w:t>
      </w:r>
      <w:r w:rsidRPr="00A428C3">
        <w:t>s library research</w:t>
      </w:r>
      <w:r w:rsidR="00F81221">
        <w:t xml:space="preserve"> and </w:t>
      </w:r>
      <w:r w:rsidRPr="00A428C3">
        <w:t xml:space="preserve">demonstration projects: A citation analysis. </w:t>
      </w:r>
      <w:r w:rsidRPr="00A428C3">
        <w:rPr>
          <w:i/>
          <w:iCs/>
        </w:rPr>
        <w:t>Government Information Quarterly</w:t>
      </w:r>
      <w:r w:rsidRPr="00A428C3">
        <w:t xml:space="preserve">, </w:t>
      </w:r>
      <w:r w:rsidRPr="00A428C3">
        <w:rPr>
          <w:b/>
        </w:rPr>
        <w:t>5</w:t>
      </w:r>
      <w:r w:rsidRPr="00A428C3">
        <w:t xml:space="preserve"> (1), 45-56.</w:t>
      </w:r>
    </w:p>
    <w:p w:rsidR="00B95188" w:rsidRPr="00A428C3" w:rsidRDefault="00B95188" w:rsidP="00B95188">
      <w:pPr>
        <w:pStyle w:val="a0"/>
      </w:pPr>
      <w:r w:rsidRPr="00A428C3">
        <w:t xml:space="preserve">Full Text: </w:t>
      </w:r>
      <w:hyperlink r:id="rId491" w:history="1">
        <w:r w:rsidRPr="00A428C3">
          <w:rPr>
            <w:rStyle w:val="a5"/>
          </w:rPr>
          <w:t>G\Gov Inf Qua5, 45.pdf</w:t>
        </w:r>
      </w:hyperlink>
    </w:p>
    <w:p w:rsidR="00B95188" w:rsidRPr="00A428C3" w:rsidRDefault="00B95188" w:rsidP="00B95188">
      <w:pPr>
        <w:pStyle w:val="a0"/>
      </w:pPr>
      <w:r w:rsidRPr="00A428C3">
        <w:t>Abstract: Between 1965</w:t>
      </w:r>
      <w:r w:rsidR="00F81221">
        <w:t xml:space="preserve"> and </w:t>
      </w:r>
      <w:r w:rsidRPr="00A428C3">
        <w:t>1980, the Library Research</w:t>
      </w:r>
      <w:r w:rsidR="00F81221">
        <w:t xml:space="preserve"> and </w:t>
      </w:r>
      <w:r w:rsidRPr="00A428C3">
        <w:t xml:space="preserve">Demonstration Branch within the Department of Education awarded over $25 million to 312 projects. By tracing the citations in </w:t>
      </w:r>
      <w:r w:rsidRPr="00A428C3">
        <w:rPr>
          <w:i/>
          <w:iCs/>
        </w:rPr>
        <w:t>Social Sciences</w:t>
      </w:r>
      <w:r w:rsidRPr="00A428C3">
        <w:t xml:space="preserve"> </w:t>
      </w:r>
      <w:r w:rsidRPr="00A428C3">
        <w:rPr>
          <w:i/>
          <w:iCs/>
        </w:rPr>
        <w:t>Citation Index</w:t>
      </w:r>
      <w:r w:rsidRPr="00A428C3">
        <w:t xml:space="preserve"> from a random sampling of 52% of these projects, this study has attempted to assess the dissemination</w:t>
      </w:r>
      <w:r w:rsidR="00F81221">
        <w:t xml:space="preserve"> and </w:t>
      </w:r>
      <w:r w:rsidRPr="00A428C3">
        <w:t>impact of the projects in the professional literature.</w:t>
      </w:r>
    </w:p>
    <w:p w:rsidR="00B95188" w:rsidRPr="00A428C3" w:rsidRDefault="00B95188" w:rsidP="00B95188">
      <w:pPr>
        <w:pStyle w:val="a0"/>
      </w:pPr>
      <w:r w:rsidRPr="00A428C3">
        <w:t xml:space="preserve">Approximately half of the projects were not cited in </w:t>
      </w:r>
      <w:r w:rsidRPr="00A428C3">
        <w:rPr>
          <w:i/>
          <w:iCs/>
        </w:rPr>
        <w:t>SSCI</w:t>
      </w:r>
      <w:r w:rsidRPr="00A428C3">
        <w:t>. The citations tended to be clustered among a small number of library-related serials. A small number of funded projects accounted for a large number of the citations. The most cited projects cost only one-fifth as much as the most expensive studies, yet were cited nearly five times as often.</w:t>
      </w:r>
    </w:p>
    <w:p w:rsidR="00CF74C4" w:rsidRPr="00A428C3" w:rsidRDefault="00CF74C4" w:rsidP="00CF74C4">
      <w:pPr>
        <w:pStyle w:val="1"/>
      </w:pPr>
      <w:r w:rsidRPr="00A428C3">
        <w:br w:type="page"/>
      </w:r>
      <w:bookmarkStart w:id="403" w:name="_Toc238862954"/>
      <w:bookmarkStart w:id="404" w:name="_Toc317160958"/>
      <w:r w:rsidRPr="00A428C3">
        <w:lastRenderedPageBreak/>
        <w:t xml:space="preserve">Title: </w:t>
      </w:r>
      <w:r w:rsidRPr="00A9384A">
        <w:t>Government Publications Review</w:t>
      </w:r>
      <w:bookmarkEnd w:id="403"/>
      <w:bookmarkEnd w:id="404"/>
    </w:p>
    <w:p w:rsidR="00CF74C4" w:rsidRPr="00A428C3" w:rsidRDefault="00CF74C4" w:rsidP="00B72EF9">
      <w:pPr>
        <w:pStyle w:val="12"/>
      </w:pPr>
      <w:r w:rsidRPr="00A428C3">
        <w:t xml:space="preserve">Full Journal Title: </w:t>
      </w:r>
      <w:hyperlink r:id="rId492" w:history="1">
        <w:r w:rsidRPr="0023718C">
          <w:rPr>
            <w:rStyle w:val="a5"/>
            <w:iCs/>
          </w:rPr>
          <w:t>Government Publications Review</w:t>
        </w:r>
      </w:hyperlink>
    </w:p>
    <w:p w:rsidR="00CF74C4" w:rsidRPr="00A428C3" w:rsidRDefault="00CF74C4" w:rsidP="00B72EF9">
      <w:pPr>
        <w:pStyle w:val="12"/>
      </w:pPr>
      <w:r w:rsidRPr="00A428C3">
        <w:t xml:space="preserve">ISO Abbreviated Title: </w:t>
      </w:r>
    </w:p>
    <w:p w:rsidR="00CF74C4" w:rsidRPr="00A428C3" w:rsidRDefault="00CF74C4" w:rsidP="00B72EF9">
      <w:pPr>
        <w:pStyle w:val="12"/>
      </w:pPr>
      <w:r w:rsidRPr="00A428C3">
        <w:t>JCR Abbreviated Title</w:t>
      </w:r>
      <w:r>
        <w:t>:</w:t>
      </w:r>
      <w:r w:rsidRPr="00A428C3">
        <w:t xml:space="preserve"> </w:t>
      </w:r>
    </w:p>
    <w:p w:rsidR="00CF74C4" w:rsidRPr="00A428C3" w:rsidRDefault="00CF74C4" w:rsidP="00B72EF9">
      <w:pPr>
        <w:pStyle w:val="12"/>
      </w:pPr>
      <w:r w:rsidRPr="00A428C3">
        <w:t xml:space="preserve">ISSN: </w:t>
      </w:r>
    </w:p>
    <w:p w:rsidR="00CF74C4" w:rsidRPr="00A428C3" w:rsidRDefault="00CF74C4" w:rsidP="00B72EF9">
      <w:pPr>
        <w:pStyle w:val="12"/>
      </w:pPr>
      <w:r w:rsidRPr="00A428C3">
        <w:t xml:space="preserve">Issues/Year: </w:t>
      </w:r>
    </w:p>
    <w:p w:rsidR="00CF74C4" w:rsidRPr="00A428C3" w:rsidRDefault="00FB5623" w:rsidP="00B72EF9">
      <w:pPr>
        <w:pStyle w:val="12"/>
      </w:pPr>
      <w:r>
        <w:t>Journal Country/Territory:</w:t>
      </w:r>
      <w:r w:rsidR="00CF74C4">
        <w:t xml:space="preserve"> </w:t>
      </w:r>
    </w:p>
    <w:p w:rsidR="00CF74C4" w:rsidRPr="00A428C3" w:rsidRDefault="00CF74C4" w:rsidP="00B72EF9">
      <w:pPr>
        <w:pStyle w:val="12"/>
      </w:pPr>
      <w:r w:rsidRPr="00A428C3">
        <w:t xml:space="preserve">Language: </w:t>
      </w:r>
    </w:p>
    <w:p w:rsidR="00CF74C4" w:rsidRPr="00A428C3" w:rsidRDefault="00CF74C4" w:rsidP="00B72EF9">
      <w:pPr>
        <w:pStyle w:val="12"/>
      </w:pPr>
      <w:r w:rsidRPr="00A428C3">
        <w:t xml:space="preserve">Publisher: </w:t>
      </w:r>
    </w:p>
    <w:p w:rsidR="00CF74C4" w:rsidRPr="00A428C3" w:rsidRDefault="00CF74C4" w:rsidP="00B72EF9">
      <w:pPr>
        <w:pStyle w:val="12"/>
      </w:pPr>
      <w:r w:rsidRPr="00A428C3">
        <w:t xml:space="preserve">Publisher Address: </w:t>
      </w:r>
    </w:p>
    <w:p w:rsidR="00CF74C4" w:rsidRPr="00A428C3" w:rsidRDefault="00CF74C4" w:rsidP="00B72EF9">
      <w:pPr>
        <w:pStyle w:val="12"/>
      </w:pPr>
      <w:r w:rsidRPr="00A428C3">
        <w:t>Subject Categories:</w:t>
      </w:r>
    </w:p>
    <w:p w:rsidR="00CF74C4" w:rsidRPr="00A428C3" w:rsidRDefault="00CF74C4" w:rsidP="00B72EF9">
      <w:pPr>
        <w:pStyle w:val="12"/>
      </w:pPr>
      <w:r w:rsidRPr="00A428C3">
        <w:t>: Impact Factor</w:t>
      </w:r>
    </w:p>
    <w:p w:rsidR="00CF74C4" w:rsidRPr="00834D5F" w:rsidRDefault="00CF74C4" w:rsidP="00CF74C4">
      <w:pPr>
        <w:pStyle w:val="a0"/>
      </w:pPr>
      <w:r w:rsidRPr="00834D5F">
        <w:t>? Hernon, P.</w:t>
      </w:r>
      <w:r w:rsidR="00F81221">
        <w:t xml:space="preserve"> and </w:t>
      </w:r>
      <w:r w:rsidRPr="00834D5F">
        <w:t xml:space="preserve">Shepherd, C.A. (1983), Government publications represented in the Social-Sciences-Citation-Index - An exploratory-study. </w:t>
      </w:r>
      <w:r w:rsidRPr="00834D5F">
        <w:rPr>
          <w:i/>
          <w:iCs/>
        </w:rPr>
        <w:t>Government Publications Review</w:t>
      </w:r>
      <w:r w:rsidRPr="00834D5F">
        <w:t xml:space="preserve">, </w:t>
      </w:r>
      <w:r w:rsidRPr="00834D5F">
        <w:rPr>
          <w:b/>
          <w:bCs/>
        </w:rPr>
        <w:t>10</w:t>
      </w:r>
      <w:r w:rsidRPr="00834D5F">
        <w:t xml:space="preserve"> (2), 227-244.</w:t>
      </w:r>
    </w:p>
    <w:p w:rsidR="00CF74C4" w:rsidRPr="00834D5F" w:rsidRDefault="00CF74C4" w:rsidP="00CF74C4">
      <w:pPr>
        <w:pStyle w:val="a0"/>
      </w:pPr>
      <w:r w:rsidRPr="00834D5F">
        <w:rPr>
          <w:rFonts w:hint="eastAsia"/>
        </w:rPr>
        <w:t>Full Text:</w:t>
      </w:r>
      <w:r w:rsidRPr="00834D5F">
        <w:rPr>
          <w:i/>
          <w:iCs/>
        </w:rPr>
        <w:t xml:space="preserve"> </w:t>
      </w:r>
      <w:r w:rsidRPr="00834D5F">
        <w:t>Gov Pub Rev10, 227</w:t>
      </w:r>
    </w:p>
    <w:p w:rsidR="00BE3923" w:rsidRPr="00A428C3" w:rsidRDefault="00BE3923" w:rsidP="00BE3923">
      <w:pPr>
        <w:pStyle w:val="1"/>
      </w:pPr>
      <w:r w:rsidRPr="00A428C3">
        <w:br w:type="page"/>
      </w:r>
      <w:bookmarkStart w:id="405" w:name="_Toc317160959"/>
      <w:r w:rsidRPr="00A428C3">
        <w:lastRenderedPageBreak/>
        <w:t xml:space="preserve">Title: </w:t>
      </w:r>
      <w:r w:rsidRPr="00BE3923">
        <w:rPr>
          <w:iCs/>
        </w:rPr>
        <w:t>Gradevinar</w:t>
      </w:r>
      <w:bookmarkEnd w:id="405"/>
    </w:p>
    <w:p w:rsidR="00BE3923" w:rsidRPr="00A428C3" w:rsidRDefault="00BE3923" w:rsidP="00B72EF9">
      <w:pPr>
        <w:pStyle w:val="12"/>
      </w:pPr>
      <w:r w:rsidRPr="00A428C3">
        <w:t xml:space="preserve">Full Journal Title: </w:t>
      </w:r>
      <w:r w:rsidRPr="00BE3923">
        <w:rPr>
          <w:iCs/>
        </w:rPr>
        <w:t>Gradevinar</w:t>
      </w:r>
    </w:p>
    <w:p w:rsidR="00BE3923" w:rsidRPr="00A428C3" w:rsidRDefault="00BE3923" w:rsidP="00B72EF9">
      <w:pPr>
        <w:pStyle w:val="12"/>
      </w:pPr>
      <w:r w:rsidRPr="00A428C3">
        <w:t xml:space="preserve">ISO Abbreviated Title: </w:t>
      </w:r>
      <w:r w:rsidRPr="00BE3923">
        <w:rPr>
          <w:iCs/>
        </w:rPr>
        <w:t>Gradevinar</w:t>
      </w:r>
    </w:p>
    <w:p w:rsidR="00BE3923" w:rsidRPr="00A428C3" w:rsidRDefault="00BE3923" w:rsidP="00B72EF9">
      <w:pPr>
        <w:pStyle w:val="12"/>
      </w:pPr>
      <w:r w:rsidRPr="00A428C3">
        <w:t xml:space="preserve">JCR Abbreviated Title: </w:t>
      </w:r>
      <w:r w:rsidRPr="00BE3923">
        <w:rPr>
          <w:iCs/>
        </w:rPr>
        <w:t>Gradevinar</w:t>
      </w:r>
    </w:p>
    <w:p w:rsidR="00BE3923" w:rsidRPr="00A428C3" w:rsidRDefault="00BE3923" w:rsidP="00B72EF9">
      <w:pPr>
        <w:pStyle w:val="12"/>
      </w:pPr>
      <w:r w:rsidRPr="00A428C3">
        <w:t xml:space="preserve">ISSN: </w:t>
      </w:r>
    </w:p>
    <w:p w:rsidR="00BE3923" w:rsidRPr="00A428C3" w:rsidRDefault="00BE3923" w:rsidP="00B72EF9">
      <w:pPr>
        <w:pStyle w:val="12"/>
      </w:pPr>
      <w:r w:rsidRPr="00A428C3">
        <w:t xml:space="preserve">Issues/Year: </w:t>
      </w:r>
    </w:p>
    <w:p w:rsidR="00BE3923" w:rsidRPr="00A428C3" w:rsidRDefault="00BE3923" w:rsidP="00B72EF9">
      <w:pPr>
        <w:pStyle w:val="12"/>
      </w:pPr>
      <w:r w:rsidRPr="00A428C3">
        <w:t xml:space="preserve">Journal Country/Territory: </w:t>
      </w:r>
    </w:p>
    <w:p w:rsidR="00BE3923" w:rsidRPr="00A428C3" w:rsidRDefault="00BE3923" w:rsidP="00B72EF9">
      <w:pPr>
        <w:pStyle w:val="12"/>
      </w:pPr>
      <w:r w:rsidRPr="00A428C3">
        <w:t xml:space="preserve">Language: </w:t>
      </w:r>
    </w:p>
    <w:p w:rsidR="00BE3923" w:rsidRPr="00A428C3" w:rsidRDefault="00BE3923" w:rsidP="00B72EF9">
      <w:pPr>
        <w:pStyle w:val="12"/>
      </w:pPr>
      <w:r w:rsidRPr="00A428C3">
        <w:t xml:space="preserve">Publisher: </w:t>
      </w:r>
    </w:p>
    <w:p w:rsidR="00BE3923" w:rsidRPr="00A428C3" w:rsidRDefault="00BE3923" w:rsidP="00B72EF9">
      <w:pPr>
        <w:pStyle w:val="12"/>
      </w:pPr>
      <w:r w:rsidRPr="00A428C3">
        <w:t xml:space="preserve">Publisher Address: </w:t>
      </w:r>
    </w:p>
    <w:p w:rsidR="00BE3923" w:rsidRPr="00A428C3" w:rsidRDefault="00BE3923" w:rsidP="00B72EF9">
      <w:pPr>
        <w:pStyle w:val="12"/>
      </w:pPr>
      <w:r w:rsidRPr="00A428C3">
        <w:t>Subject Categories:</w:t>
      </w:r>
    </w:p>
    <w:p w:rsidR="00BE3923" w:rsidRPr="00A428C3" w:rsidRDefault="00BE3923" w:rsidP="00B72EF9">
      <w:pPr>
        <w:pStyle w:val="12"/>
      </w:pPr>
      <w:r w:rsidRPr="00A428C3">
        <w:t>: Impact Factor</w:t>
      </w:r>
    </w:p>
    <w:p w:rsidR="00BE3923" w:rsidRDefault="00BE3923" w:rsidP="00BE3923">
      <w:pPr>
        <w:pStyle w:val="a0"/>
        <w:rPr>
          <w:kern w:val="0"/>
        </w:rPr>
      </w:pPr>
      <w:r>
        <w:rPr>
          <w:rFonts w:hint="eastAsia"/>
          <w:kern w:val="0"/>
        </w:rPr>
        <w:t xml:space="preserve">? </w:t>
      </w:r>
      <w:r>
        <w:rPr>
          <w:kern w:val="0"/>
        </w:rPr>
        <w:t xml:space="preserve">Simovic, V. (2009), Sixty years of continuous publication of </w:t>
      </w:r>
      <w:r w:rsidRPr="00BE3923">
        <w:rPr>
          <w:i/>
          <w:iCs/>
          <w:kern w:val="0"/>
        </w:rPr>
        <w:t>Gradevinar</w:t>
      </w:r>
      <w:r>
        <w:rPr>
          <w:kern w:val="0"/>
        </w:rPr>
        <w:t xml:space="preserve">. </w:t>
      </w:r>
      <w:r>
        <w:rPr>
          <w:i/>
          <w:iCs/>
          <w:kern w:val="0"/>
        </w:rPr>
        <w:t>Gradevinar</w:t>
      </w:r>
      <w:r>
        <w:rPr>
          <w:kern w:val="0"/>
        </w:rPr>
        <w:t xml:space="preserve">, </w:t>
      </w:r>
      <w:r>
        <w:rPr>
          <w:b/>
          <w:bCs/>
          <w:kern w:val="0"/>
        </w:rPr>
        <w:t>61</w:t>
      </w:r>
      <w:r>
        <w:rPr>
          <w:kern w:val="0"/>
        </w:rPr>
        <w:t xml:space="preserve"> (1), 39-49.</w:t>
      </w:r>
    </w:p>
    <w:p w:rsidR="00BE3923" w:rsidRDefault="00BE3923" w:rsidP="00BE3923">
      <w:pPr>
        <w:pStyle w:val="a0"/>
        <w:rPr>
          <w:kern w:val="0"/>
        </w:rPr>
      </w:pPr>
      <w:r>
        <w:rPr>
          <w:kern w:val="0"/>
        </w:rPr>
        <w:t>Abstract: The journal Gradevinar (or Construction Professional in Croatian) is now celeberating its sixtieth anniversary of regular publication under the same name. From almost the first days of the journal, the policy has been to publish research &amp; professional articles</w:t>
      </w:r>
      <w:r w:rsidR="00F81221">
        <w:rPr>
          <w:kern w:val="0"/>
        </w:rPr>
        <w:t xml:space="preserve"> and </w:t>
      </w:r>
      <w:r>
        <w:rPr>
          <w:kern w:val="0"/>
        </w:rPr>
        <w:t>maintain an image as a primarily professional</w:t>
      </w:r>
      <w:r w:rsidR="00F81221">
        <w:rPr>
          <w:kern w:val="0"/>
        </w:rPr>
        <w:t xml:space="preserve"> and </w:t>
      </w:r>
      <w:r>
        <w:rPr>
          <w:kern w:val="0"/>
        </w:rPr>
        <w:t>research-oriented publication. At the same time, efforts are continuously being made to keep the journal at the forefront of the civil engineering developments and, in that respect, much attention is paid to the development of civil engineering, construction technology</w:t>
      </w:r>
      <w:r w:rsidR="00F81221">
        <w:rPr>
          <w:kern w:val="0"/>
        </w:rPr>
        <w:t xml:space="preserve"> and </w:t>
      </w:r>
      <w:r>
        <w:rPr>
          <w:kern w:val="0"/>
        </w:rPr>
        <w:t>building materials, with presentation of significant construction sites, both domestic</w:t>
      </w:r>
      <w:r w:rsidR="00F81221">
        <w:rPr>
          <w:kern w:val="0"/>
        </w:rPr>
        <w:t xml:space="preserve"> and </w:t>
      </w:r>
      <w:r>
        <w:rPr>
          <w:kern w:val="0"/>
        </w:rPr>
        <w:t>international. This is complemented with themes relating to environmental protection, history of civil engineering</w:t>
      </w:r>
      <w:r w:rsidR="00F81221">
        <w:rPr>
          <w:kern w:val="0"/>
        </w:rPr>
        <w:t xml:space="preserve"> and </w:t>
      </w:r>
      <w:r>
        <w:rPr>
          <w:kern w:val="0"/>
        </w:rPr>
        <w:t>other topics of high interest to this profession, As the journal is also the official publication of the Croatian Association of Civil Engineers, it regularly informs its readers about significant social events in this fields,</w:t>
      </w:r>
      <w:r w:rsidR="00F81221">
        <w:rPr>
          <w:kern w:val="0"/>
        </w:rPr>
        <w:t xml:space="preserve"> and </w:t>
      </w:r>
      <w:r>
        <w:rPr>
          <w:kern w:val="0"/>
        </w:rPr>
        <w:t>other topics. Over the last 60 years, as many as 671 issues, with 36.155 pages, have been published under the skilful guidance of 5 Editors-in-chief</w:t>
      </w:r>
      <w:r w:rsidR="00F81221">
        <w:rPr>
          <w:kern w:val="0"/>
        </w:rPr>
        <w:t xml:space="preserve"> and </w:t>
      </w:r>
      <w:r>
        <w:rPr>
          <w:kern w:val="0"/>
        </w:rPr>
        <w:t>77 members of the Editorial Board. The journal boasts as many as 2624 research</w:t>
      </w:r>
      <w:r w:rsidR="00F81221">
        <w:rPr>
          <w:kern w:val="0"/>
        </w:rPr>
        <w:t xml:space="preserve"> and </w:t>
      </w:r>
      <w:r>
        <w:rPr>
          <w:kern w:val="0"/>
        </w:rPr>
        <w:t>professional articles, or articles that can be considered as such since the present day article classification was initiated in 1980. Throughout this extensive period of time the journal has been improving with respect to its content, graphical presentation</w:t>
      </w:r>
      <w:r w:rsidR="00F81221">
        <w:rPr>
          <w:kern w:val="0"/>
        </w:rPr>
        <w:t xml:space="preserve"> and </w:t>
      </w:r>
      <w:r>
        <w:rPr>
          <w:kern w:val="0"/>
        </w:rPr>
        <w:t>organization. Thus, English</w:t>
      </w:r>
      <w:r w:rsidR="00F81221">
        <w:rPr>
          <w:kern w:val="0"/>
        </w:rPr>
        <w:t xml:space="preserve"> and </w:t>
      </w:r>
      <w:r>
        <w:rPr>
          <w:kern w:val="0"/>
        </w:rPr>
        <w:t>Russian language abstracts of published articles are provided since 1977, while abstracts are provided in 5 languages (Croatian, English, French, Russian</w:t>
      </w:r>
      <w:r w:rsidR="00F81221">
        <w:rPr>
          <w:kern w:val="0"/>
        </w:rPr>
        <w:t xml:space="preserve"> and </w:t>
      </w:r>
      <w:r>
        <w:rPr>
          <w:kern w:val="0"/>
        </w:rPr>
        <w:t>German) since 1992. The journal is also published on the Internet since 1996 (the full issue is on the web since 2000)</w:t>
      </w:r>
      <w:r w:rsidR="00F81221">
        <w:rPr>
          <w:kern w:val="0"/>
        </w:rPr>
        <w:t xml:space="preserve"> and </w:t>
      </w:r>
      <w:r>
        <w:rPr>
          <w:kern w:val="0"/>
        </w:rPr>
        <w:t xml:space="preserve">is cited since early 2008 in reputable international data bases: </w:t>
      </w:r>
      <w:r>
        <w:rPr>
          <w:kern w:val="0"/>
        </w:rPr>
        <w:lastRenderedPageBreak/>
        <w:t>Science Citation Index Expanded (SciSearch)</w:t>
      </w:r>
      <w:r w:rsidR="00F81221">
        <w:rPr>
          <w:kern w:val="0"/>
        </w:rPr>
        <w:t xml:space="preserve"> and </w:t>
      </w:r>
      <w:r>
        <w:rPr>
          <w:kern w:val="0"/>
        </w:rPr>
        <w:t>the Journal Citation Reports/Science Edition. Its present day circulation is 4500 copies per issue.</w:t>
      </w:r>
    </w:p>
    <w:p w:rsidR="00BE3923" w:rsidRDefault="00BE3923" w:rsidP="00BE3923">
      <w:pPr>
        <w:pStyle w:val="a0"/>
        <w:rPr>
          <w:kern w:val="0"/>
        </w:rPr>
      </w:pPr>
      <w:r>
        <w:rPr>
          <w:kern w:val="0"/>
        </w:rPr>
        <w:t>Keywords: Citation, History, Internet, Policy, Publication, Research, Science</w:t>
      </w:r>
    </w:p>
    <w:p w:rsidR="00B95188" w:rsidRPr="00A428C3" w:rsidRDefault="00B95188" w:rsidP="00B95188">
      <w:pPr>
        <w:pStyle w:val="1"/>
      </w:pPr>
      <w:r w:rsidRPr="00A428C3">
        <w:br w:type="page"/>
      </w:r>
      <w:bookmarkStart w:id="406" w:name="_Toc186647739"/>
      <w:bookmarkStart w:id="407" w:name="_Toc317160960"/>
      <w:r w:rsidRPr="00A428C3">
        <w:lastRenderedPageBreak/>
        <w:t xml:space="preserve">Title: </w:t>
      </w:r>
      <w:r w:rsidRPr="00A428C3">
        <w:rPr>
          <w:szCs w:val="19"/>
        </w:rPr>
        <w:t>Grasas y Aceites</w:t>
      </w:r>
      <w:bookmarkEnd w:id="406"/>
      <w:bookmarkEnd w:id="407"/>
    </w:p>
    <w:p w:rsidR="00B95188" w:rsidRPr="00A428C3" w:rsidRDefault="00B95188" w:rsidP="00B72EF9">
      <w:pPr>
        <w:pStyle w:val="12"/>
      </w:pPr>
      <w:r w:rsidRPr="00A428C3">
        <w:t xml:space="preserve">Full Journal Title: </w:t>
      </w:r>
      <w:r w:rsidRPr="00A428C3">
        <w:rPr>
          <w:szCs w:val="19"/>
        </w:rPr>
        <w:t>Grasas y Aceites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r w:rsidRPr="002241A1">
        <w:t>0017-3495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w:t>
      </w:r>
      <w:r>
        <w:t>Constante</w:t>
      </w:r>
      <w:r>
        <w:rPr>
          <w:rFonts w:hint="eastAsia"/>
        </w:rPr>
        <w:t>,</w:t>
      </w:r>
      <w:r>
        <w:t xml:space="preserve"> E</w:t>
      </w:r>
      <w:r>
        <w:rPr>
          <w:rFonts w:hint="eastAsia"/>
        </w:rPr>
        <w:t>.</w:t>
      </w:r>
      <w:r>
        <w:t>G</w:t>
      </w:r>
      <w:r>
        <w:rPr>
          <w:rFonts w:hint="eastAsia"/>
        </w:rPr>
        <w:t>.</w:t>
      </w:r>
      <w:r>
        <w:t>, del Valle</w:t>
      </w:r>
      <w:r>
        <w:rPr>
          <w:rFonts w:hint="eastAsia"/>
        </w:rPr>
        <w:t>,</w:t>
      </w:r>
      <w:r>
        <w:t xml:space="preserve"> M</w:t>
      </w:r>
      <w:r>
        <w:rPr>
          <w:rFonts w:hint="eastAsia"/>
        </w:rPr>
        <w:t>.</w:t>
      </w:r>
      <w:r>
        <w:t>L</w:t>
      </w:r>
      <w:r>
        <w:rPr>
          <w:rFonts w:hint="eastAsia"/>
        </w:rPr>
        <w:t>.</w:t>
      </w:r>
      <w:r>
        <w:t>J</w:t>
      </w:r>
      <w:r>
        <w:rPr>
          <w:rFonts w:hint="eastAsia"/>
        </w:rPr>
        <w:t>.</w:t>
      </w:r>
      <w:r w:rsidR="00F81221">
        <w:rPr>
          <w:rFonts w:hint="eastAsia"/>
        </w:rPr>
        <w:t xml:space="preserve"> and </w:t>
      </w:r>
      <w:r>
        <w:t>Duran</w:t>
      </w:r>
      <w:r>
        <w:rPr>
          <w:rFonts w:hint="eastAsia"/>
        </w:rPr>
        <w:t>,</w:t>
      </w:r>
      <w:r>
        <w:t xml:space="preserve"> R</w:t>
      </w:r>
      <w:r>
        <w:rPr>
          <w:rFonts w:hint="eastAsia"/>
        </w:rPr>
        <w:t>.</w:t>
      </w:r>
      <w:r>
        <w:t>M</w:t>
      </w:r>
      <w:r>
        <w:rPr>
          <w:rFonts w:hint="eastAsia"/>
        </w:rPr>
        <w:t>.</w:t>
      </w:r>
      <w:r w:rsidRPr="00A428C3">
        <w:t xml:space="preserve"> (2007), </w:t>
      </w:r>
      <w:r>
        <w:t>Bibliographical summary on high performance liquid chromatography of lipids: IV - 1985-1994</w:t>
      </w:r>
      <w:r w:rsidRPr="00A428C3">
        <w:t xml:space="preserve">. </w:t>
      </w:r>
      <w:r w:rsidRPr="00A428C3">
        <w:rPr>
          <w:i/>
        </w:rPr>
        <w:t>Grasas y Aceites</w:t>
      </w:r>
      <w:r w:rsidRPr="00A428C3">
        <w:t xml:space="preserve">, </w:t>
      </w:r>
      <w:r>
        <w:rPr>
          <w:rFonts w:hint="eastAsia"/>
          <w:b/>
        </w:rPr>
        <w:t>4</w:t>
      </w:r>
      <w:r w:rsidRPr="00A428C3">
        <w:rPr>
          <w:b/>
        </w:rPr>
        <w:t>8</w:t>
      </w:r>
      <w:r w:rsidRPr="00A428C3">
        <w:t xml:space="preserve"> (</w:t>
      </w:r>
      <w:r>
        <w:rPr>
          <w:rFonts w:hint="eastAsia"/>
        </w:rPr>
        <w:t>4</w:t>
      </w:r>
      <w:r w:rsidRPr="00A428C3">
        <w:t xml:space="preserve">), </w:t>
      </w:r>
      <w:r>
        <w:t>236-247</w:t>
      </w:r>
      <w:r w:rsidRPr="00A428C3">
        <w:t>.</w:t>
      </w:r>
    </w:p>
    <w:p w:rsidR="00B95188" w:rsidRDefault="00B95188" w:rsidP="00B95188">
      <w:pPr>
        <w:pStyle w:val="a0"/>
      </w:pPr>
      <w:r>
        <w:t>Abstract: The present summary, following the tradition begun by K. Aitzetmuller with the works published from 1961</w:t>
      </w:r>
      <w:r w:rsidR="00F81221">
        <w:t xml:space="preserve"> and </w:t>
      </w:r>
      <w:r>
        <w:t>continued by the present authors from 1975, is a compilation of articles appearing between the years given in the title; the database used was primarily Chem. Abstr. The study indicates the most frequent topics of research</w:t>
      </w:r>
      <w:r w:rsidR="00F81221">
        <w:t xml:space="preserve"> and </w:t>
      </w:r>
      <w:r>
        <w:t>the more specialised journals. The total number of works reviewed is 1680, 680 more than those appearing in the previous decade. Special emphasis is given to the reviews includes. (English).</w:t>
      </w:r>
    </w:p>
    <w:p w:rsidR="00B95188" w:rsidRDefault="00B95188" w:rsidP="00B95188">
      <w:pPr>
        <w:pStyle w:val="a0"/>
      </w:pPr>
      <w:r>
        <w:t>Keywords: Bibliometric (Study), High Performance Liquid Chromatography, Lipid, Review (Paper), Quantitative-Analysis, HPLC, Separation, Carotenoids, Glycerolipids, Phospholipids, Derivatives, Retinoids, Products, Acid</w:t>
      </w:r>
    </w:p>
    <w:p w:rsidR="00B95188" w:rsidRPr="00A428C3" w:rsidRDefault="00B95188" w:rsidP="00B95188">
      <w:pPr>
        <w:pStyle w:val="a0"/>
      </w:pPr>
      <w:r w:rsidRPr="00A428C3">
        <w:t>? Ena, A., Carlozzi, P., Pushparaj, B., Paperi, R., Carnevale, S.</w:t>
      </w:r>
      <w:r w:rsidR="00F81221">
        <w:t xml:space="preserve"> and </w:t>
      </w:r>
      <w:r w:rsidRPr="00A428C3">
        <w:t>Sacchi, A. (2007), Ability of the aquatic fern Azolla to remove chemical oxygen demand</w:t>
      </w:r>
      <w:r w:rsidR="00F81221">
        <w:t xml:space="preserve"> and </w:t>
      </w:r>
      <w:r w:rsidRPr="00A428C3">
        <w:t xml:space="preserve">polyphenols from olive mill wastewater. </w:t>
      </w:r>
      <w:r w:rsidRPr="00A428C3">
        <w:rPr>
          <w:i/>
        </w:rPr>
        <w:t>Grasas y Aceites</w:t>
      </w:r>
      <w:r w:rsidRPr="00A428C3">
        <w:t xml:space="preserve">, </w:t>
      </w:r>
      <w:r w:rsidRPr="00A428C3">
        <w:rPr>
          <w:b/>
        </w:rPr>
        <w:t>58</w:t>
      </w:r>
      <w:r w:rsidRPr="00A428C3">
        <w:t xml:space="preserve"> (1), 34-39.</w:t>
      </w:r>
    </w:p>
    <w:p w:rsidR="00B95188" w:rsidRPr="00A428C3" w:rsidRDefault="00B95188" w:rsidP="00B95188">
      <w:pPr>
        <w:pStyle w:val="a0"/>
      </w:pPr>
      <w:r w:rsidRPr="00A428C3">
        <w:t>Abstract: We investigated the biofiltration ability of the aquatic fern Azolla to remove polyphenols</w:t>
      </w:r>
      <w:r w:rsidR="00F81221">
        <w:t xml:space="preserve"> and </w:t>
      </w:r>
      <w:r w:rsidRPr="00A428C3">
        <w:t>chemical oxygen demand (COD) from olive mill wastewater (OMWw) collected from the traditional (TS)</w:t>
      </w:r>
      <w:r w:rsidR="00F81221">
        <w:t xml:space="preserve"> and </w:t>
      </w:r>
      <w:r w:rsidRPr="00A428C3">
        <w:t>continuous (CS) extraction systems. Azolla biomass was packed into five sequential Imhoff cones</w:t>
      </w:r>
      <w:r w:rsidR="00F81221">
        <w:t xml:space="preserve"> and </w:t>
      </w:r>
      <w:r w:rsidRPr="00A428C3">
        <w:t>five sequential columns. In both experiments, the filtrates collected from the 5(th) biofilter showed a decrease in polyphenol contents: from 7650 mg l</w:t>
      </w:r>
      <w:r w:rsidRPr="00A428C3">
        <w:rPr>
          <w:vertAlign w:val="superscript"/>
        </w:rPr>
        <w:t>-1</w:t>
      </w:r>
      <w:r w:rsidRPr="00A428C3">
        <w:t xml:space="preserve"> to 3610 mg l</w:t>
      </w:r>
      <w:smartTag w:uri="urn:schemas-microsoft-com:office:smarttags" w:element="chmetcnv">
        <w:smartTagPr>
          <w:attr w:name="TCSC" w:val="0"/>
          <w:attr w:name="NumberType" w:val="1"/>
          <w:attr w:name="Negative" w:val="True"/>
          <w:attr w:name="HasSpace" w:val="True"/>
          <w:attr w:name="SourceValue" w:val="1"/>
          <w:attr w:name="UnitName" w:val="in"/>
        </w:smartTagPr>
        <w:r w:rsidRPr="00A428C3">
          <w:rPr>
            <w:vertAlign w:val="superscript"/>
          </w:rPr>
          <w:t>-1</w:t>
        </w:r>
        <w:r w:rsidRPr="00A428C3">
          <w:t xml:space="preserve"> in</w:t>
        </w:r>
      </w:smartTag>
      <w:r w:rsidRPr="00A428C3">
        <w:t xml:space="preserve"> TS OMWw</w:t>
      </w:r>
      <w:r w:rsidR="00F81221">
        <w:t xml:space="preserve"> and </w:t>
      </w:r>
      <w:r w:rsidRPr="00A428C3">
        <w:t>from 3852 mg l</w:t>
      </w:r>
      <w:r w:rsidRPr="00A428C3">
        <w:rPr>
          <w:vertAlign w:val="superscript"/>
        </w:rPr>
        <w:t>-1</w:t>
      </w:r>
      <w:r w:rsidRPr="00A428C3">
        <w:t xml:space="preserve"> to 1351 mg l</w:t>
      </w:r>
      <w:smartTag w:uri="urn:schemas-microsoft-com:office:smarttags" w:element="chmetcnv">
        <w:smartTagPr>
          <w:attr w:name="TCSC" w:val="0"/>
          <w:attr w:name="NumberType" w:val="1"/>
          <w:attr w:name="Negative" w:val="True"/>
          <w:attr w:name="HasSpace" w:val="True"/>
          <w:attr w:name="SourceValue" w:val="1"/>
          <w:attr w:name="UnitName" w:val="in"/>
        </w:smartTagPr>
        <w:r w:rsidRPr="00A428C3">
          <w:rPr>
            <w:vertAlign w:val="superscript"/>
          </w:rPr>
          <w:t>-1</w:t>
        </w:r>
        <w:r w:rsidRPr="00A428C3">
          <w:t xml:space="preserve"> in</w:t>
        </w:r>
      </w:smartTag>
      <w:r w:rsidRPr="00A428C3">
        <w:t xml:space="preserve"> CS OMWw. The COD contents decreased from 110200 mg L</w:t>
      </w:r>
      <w:r w:rsidRPr="00A428C3">
        <w:rPr>
          <w:vertAlign w:val="superscript"/>
        </w:rPr>
        <w:t>-1</w:t>
      </w:r>
      <w:r w:rsidRPr="00A428C3">
        <w:t xml:space="preserve"> to 52400 mg L</w:t>
      </w:r>
      <w:smartTag w:uri="urn:schemas-microsoft-com:office:smarttags" w:element="chmetcnv">
        <w:smartTagPr>
          <w:attr w:name="TCSC" w:val="0"/>
          <w:attr w:name="NumberType" w:val="1"/>
          <w:attr w:name="Negative" w:val="True"/>
          <w:attr w:name="HasSpace" w:val="True"/>
          <w:attr w:name="SourceValue" w:val="1"/>
          <w:attr w:name="UnitName" w:val="in"/>
        </w:smartTagPr>
        <w:r w:rsidRPr="00A428C3">
          <w:rPr>
            <w:vertAlign w:val="superscript"/>
          </w:rPr>
          <w:t>-1</w:t>
        </w:r>
        <w:r w:rsidRPr="00A428C3">
          <w:t xml:space="preserve"> in</w:t>
        </w:r>
      </w:smartTag>
      <w:r w:rsidRPr="00A428C3">
        <w:t xml:space="preserve"> TS OMWw</w:t>
      </w:r>
      <w:r w:rsidR="00F81221">
        <w:t xml:space="preserve"> and </w:t>
      </w:r>
      <w:r w:rsidRPr="00A428C3">
        <w:t>from 41600 mg l</w:t>
      </w:r>
      <w:r w:rsidRPr="00A428C3">
        <w:rPr>
          <w:vertAlign w:val="superscript"/>
        </w:rPr>
        <w:t>-1</w:t>
      </w:r>
      <w:r w:rsidRPr="00A428C3">
        <w:t xml:space="preserve"> to 2300 mg L</w:t>
      </w:r>
      <w:smartTag w:uri="urn:schemas-microsoft-com:office:smarttags" w:element="chmetcnv">
        <w:smartTagPr>
          <w:attr w:name="TCSC" w:val="0"/>
          <w:attr w:name="NumberType" w:val="1"/>
          <w:attr w:name="Negative" w:val="True"/>
          <w:attr w:name="HasSpace" w:val="True"/>
          <w:attr w:name="SourceValue" w:val="1"/>
          <w:attr w:name="UnitName" w:val="in"/>
        </w:smartTagPr>
        <w:r w:rsidRPr="00A428C3">
          <w:rPr>
            <w:vertAlign w:val="superscript"/>
          </w:rPr>
          <w:t>-1</w:t>
        </w:r>
        <w:r w:rsidRPr="00A428C3">
          <w:t xml:space="preserve"> in</w:t>
        </w:r>
      </w:smartTag>
      <w:r w:rsidRPr="00A428C3">
        <w:t xml:space="preserve"> CS OMWw. A 5:1 OMWw to Azolla-fresh-weight ratio was optimal for both </w:t>
      </w:r>
      <w:r w:rsidRPr="00A428C3">
        <w:lastRenderedPageBreak/>
        <w:t>polyphenol</w:t>
      </w:r>
      <w:r w:rsidR="00F81221">
        <w:t xml:space="preserve"> and </w:t>
      </w:r>
      <w:r w:rsidRPr="00A428C3">
        <w:t>COD removal. The biofiltration ability of alfalfa was compared with that of Azolla, but the treatment with alfalfa did not result in the reduction of COD or polyphenols.</w:t>
      </w:r>
    </w:p>
    <w:p w:rsidR="00B95188" w:rsidRPr="00A428C3" w:rsidRDefault="00B95188" w:rsidP="00B95188">
      <w:pPr>
        <w:pStyle w:val="a0"/>
      </w:pPr>
      <w:r w:rsidRPr="00A428C3">
        <w:t>Keywords: Azolla, Biological Treatment, Chemical Oxygen Demand, Olive Mill Wastewater, Polyphenols, Anaerobic-Digestion, Phenolic-Compounds, Tree Fern, Wastewaters, Oil, Degradation, Effluents</w:t>
      </w:r>
    </w:p>
    <w:p w:rsidR="00B95188" w:rsidRPr="00586CD8" w:rsidRDefault="00B95188" w:rsidP="00B95188">
      <w:pPr>
        <w:pStyle w:val="a0"/>
        <w:rPr>
          <w:kern w:val="2"/>
        </w:rPr>
      </w:pPr>
      <w:r w:rsidRPr="00586CD8">
        <w:rPr>
          <w:rFonts w:hint="eastAsia"/>
          <w:kern w:val="2"/>
        </w:rPr>
        <w:t xml:space="preserve">? </w:t>
      </w:r>
      <w:r w:rsidRPr="00586CD8">
        <w:rPr>
          <w:kern w:val="2"/>
        </w:rPr>
        <w:t>de la Viesca, R., Fernandez, E.</w:t>
      </w:r>
      <w:r w:rsidR="00F81221">
        <w:rPr>
          <w:kern w:val="2"/>
        </w:rPr>
        <w:t xml:space="preserve"> and </w:t>
      </w:r>
      <w:r w:rsidRPr="00586CD8">
        <w:rPr>
          <w:kern w:val="2"/>
        </w:rPr>
        <w:t xml:space="preserve">Salvador, J. (2007), Analysis of the scientific production of olive products. I - Table olives. </w:t>
      </w:r>
      <w:r>
        <w:rPr>
          <w:i/>
          <w:iCs/>
          <w:kern w:val="0"/>
        </w:rPr>
        <w:t>Grasas y Aceites</w:t>
      </w:r>
      <w:r w:rsidRPr="00586CD8">
        <w:rPr>
          <w:kern w:val="2"/>
        </w:rPr>
        <w:t xml:space="preserve">, </w:t>
      </w:r>
      <w:r>
        <w:rPr>
          <w:b/>
          <w:bCs/>
          <w:kern w:val="0"/>
        </w:rPr>
        <w:t>58</w:t>
      </w:r>
      <w:r w:rsidRPr="00586CD8">
        <w:rPr>
          <w:kern w:val="2"/>
        </w:rPr>
        <w:t xml:space="preserve"> (3), 307-310.</w:t>
      </w:r>
    </w:p>
    <w:p w:rsidR="00B95188" w:rsidRPr="00586CD8" w:rsidRDefault="00B95188" w:rsidP="00B95188">
      <w:pPr>
        <w:pStyle w:val="a0"/>
        <w:rPr>
          <w:kern w:val="2"/>
        </w:rPr>
      </w:pPr>
      <w:r w:rsidRPr="00586CD8">
        <w:rPr>
          <w:kern w:val="2"/>
        </w:rPr>
        <w:t>Abstract: This article contains an overview of the scientific production in the area of table olives during the period 2000-2005. Author</w:t>
      </w:r>
      <w:r w:rsidR="000352E7">
        <w:rPr>
          <w:kern w:val="2"/>
        </w:rPr>
        <w:t>’</w:t>
      </w:r>
      <w:r w:rsidRPr="00586CD8">
        <w:rPr>
          <w:kern w:val="2"/>
        </w:rPr>
        <w:t>s productivity, most relevant topics, sources of information</w:t>
      </w:r>
      <w:r w:rsidR="00F81221">
        <w:rPr>
          <w:kern w:val="2"/>
        </w:rPr>
        <w:t xml:space="preserve"> and </w:t>
      </w:r>
      <w:r w:rsidRPr="00586CD8">
        <w:rPr>
          <w:kern w:val="2"/>
        </w:rPr>
        <w:t>groups of authors are analysed using basic bibliometric indicators. Also, contributions</w:t>
      </w:r>
      <w:r w:rsidR="00F81221">
        <w:rPr>
          <w:kern w:val="2"/>
        </w:rPr>
        <w:t xml:space="preserve"> and </w:t>
      </w:r>
      <w:r w:rsidRPr="00586CD8">
        <w:rPr>
          <w:kern w:val="2"/>
        </w:rPr>
        <w:t>collaborations among groups of authors are studied. Finally, this work includes impact indicators from the most important journals on this topic.</w:t>
      </w:r>
    </w:p>
    <w:p w:rsidR="00B95188" w:rsidRPr="00586CD8" w:rsidRDefault="00B95188" w:rsidP="00B95188">
      <w:pPr>
        <w:pStyle w:val="a0"/>
        <w:rPr>
          <w:kern w:val="2"/>
        </w:rPr>
      </w:pPr>
      <w:r w:rsidRPr="00586CD8">
        <w:rPr>
          <w:kern w:val="2"/>
        </w:rPr>
        <w:t>Keywords: Bibliometric, Bibliometric Analysis, Scientific Production, Table Olives</w:t>
      </w:r>
    </w:p>
    <w:p w:rsidR="00B95188" w:rsidRPr="00A428C3" w:rsidRDefault="00B95188" w:rsidP="00B95188">
      <w:pPr>
        <w:pStyle w:val="1"/>
      </w:pPr>
      <w:r w:rsidRPr="00A428C3">
        <w:br w:type="page"/>
      </w:r>
      <w:bookmarkStart w:id="408" w:name="_Toc186647740"/>
      <w:bookmarkStart w:id="409" w:name="_Toc317160961"/>
      <w:r w:rsidRPr="00A428C3">
        <w:lastRenderedPageBreak/>
        <w:t>Title: Green Chemistry</w:t>
      </w:r>
      <w:bookmarkEnd w:id="408"/>
      <w:bookmarkEnd w:id="409"/>
    </w:p>
    <w:p w:rsidR="00B95188" w:rsidRPr="00A428C3" w:rsidRDefault="00B95188" w:rsidP="00B72EF9">
      <w:pPr>
        <w:pStyle w:val="12"/>
      </w:pPr>
      <w:r w:rsidRPr="00A428C3">
        <w:t xml:space="preserve">Full Journal Title: </w:t>
      </w:r>
      <w:hyperlink r:id="rId493" w:history="1">
        <w:r w:rsidRPr="00C03185">
          <w:rPr>
            <w:rStyle w:val="a5"/>
          </w:rPr>
          <w:t>Green Chemistry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Orlando</w:t>
          </w:r>
        </w:smartTag>
        <w:r w:rsidRPr="00A428C3">
          <w:t xml:space="preserve">, </w:t>
        </w:r>
        <w:smartTag w:uri="urn:schemas-microsoft-com:office:smarttags" w:element="country-region">
          <w:r w:rsidRPr="00A428C3">
            <w:t>U.S.</w:t>
          </w:r>
        </w:smartTag>
      </w:smartTag>
      <w:r w:rsidRPr="00A428C3">
        <w:t>, Baes, A.U., Nishijima, W.</w:t>
      </w:r>
      <w:r w:rsidR="00F81221">
        <w:t xml:space="preserve"> and </w:t>
      </w:r>
      <w:r w:rsidRPr="00A428C3">
        <w:t xml:space="preserve">Okada, M. (2002), Preparation of chelating agents from sugarcane bagasse by microwave radiation as an alternative ecologically benign procedure. </w:t>
      </w:r>
      <w:r w:rsidRPr="00A428C3">
        <w:rPr>
          <w:i/>
          <w:iCs/>
        </w:rPr>
        <w:t>Green Chemistry</w:t>
      </w:r>
      <w:r w:rsidRPr="00A428C3">
        <w:t xml:space="preserve">, </w:t>
      </w:r>
      <w:r w:rsidRPr="00A428C3">
        <w:rPr>
          <w:b/>
        </w:rPr>
        <w:t>4</w:t>
      </w:r>
      <w:r w:rsidRPr="00A428C3">
        <w:t xml:space="preserve"> (6), 555-557.</w:t>
      </w:r>
    </w:p>
    <w:p w:rsidR="00C03185" w:rsidRDefault="00C03185" w:rsidP="00C03185">
      <w:pPr>
        <w:pStyle w:val="a0"/>
        <w:rPr>
          <w:kern w:val="0"/>
        </w:rPr>
      </w:pPr>
      <w:r>
        <w:rPr>
          <w:rFonts w:hint="eastAsia"/>
          <w:kern w:val="0"/>
        </w:rPr>
        <w:t xml:space="preserve">Full Text: </w:t>
      </w:r>
      <w:hyperlink r:id="rId494" w:history="1">
        <w:r w:rsidRPr="00C03185">
          <w:rPr>
            <w:rStyle w:val="a5"/>
            <w:kern w:val="0"/>
          </w:rPr>
          <w:t>2002\Gre Che4, 555.pdf</w:t>
        </w:r>
      </w:hyperlink>
    </w:p>
    <w:p w:rsidR="00B95188" w:rsidRPr="00A428C3" w:rsidRDefault="00B95188" w:rsidP="00B95188">
      <w:pPr>
        <w:pStyle w:val="a0"/>
      </w:pPr>
      <w:r w:rsidRPr="00A428C3">
        <w:t>Abstract: Microwave radiation was utilized to produce neutral chelating agents (BCA) from sugarcane bagasse. BCA were prepared by reaction of urea with reactive sites present in bagasse such as hydroxyl</w:t>
      </w:r>
      <w:r w:rsidR="00F81221">
        <w:t xml:space="preserve"> and </w:t>
      </w:r>
      <w:r w:rsidRPr="00A428C3">
        <w:t>carboxylic groups. BCA prepared through microwave radiation had slightly lower yield (83%) compared to the conventional oven-drier process (87%). BCA demonstrated maximum chelating adsorption capacity (Q</w:t>
      </w:r>
      <w:r w:rsidRPr="00A428C3">
        <w:rPr>
          <w:vertAlign w:val="subscript"/>
        </w:rPr>
        <w:t>max</w:t>
      </w:r>
      <w:r w:rsidRPr="00A428C3">
        <w:t>) of 1.2 mmol g</w:t>
      </w:r>
      <w:r w:rsidRPr="00A428C3">
        <w:rPr>
          <w:vertAlign w:val="superscript"/>
        </w:rPr>
        <w:t>-1</w:t>
      </w:r>
      <w:r w:rsidRPr="00A428C3">
        <w:t xml:space="preserve"> for Cu(II) at pH of 5.5</w:t>
      </w:r>
      <w:r w:rsidR="00F81221">
        <w:t xml:space="preserve"> and </w:t>
      </w:r>
      <w:r w:rsidRPr="00A428C3">
        <w:t>1.4 mmol g</w:t>
      </w:r>
      <w:r w:rsidRPr="00A428C3">
        <w:rPr>
          <w:vertAlign w:val="superscript"/>
        </w:rPr>
        <w:t>-1</w:t>
      </w:r>
      <w:r w:rsidRPr="00A428C3">
        <w:t xml:space="preserve"> for Hg(II) at pH 6.0. These results could be comparable with the Q</w:t>
      </w:r>
      <w:r w:rsidRPr="00A428C3">
        <w:rPr>
          <w:vertAlign w:val="subscript"/>
        </w:rPr>
        <w:t>max</w:t>
      </w:r>
      <w:r w:rsidRPr="00A428C3">
        <w:t xml:space="preserve"> of 1.46 mmol g</w:t>
      </w:r>
      <w:r w:rsidRPr="00A428C3">
        <w:rPr>
          <w:vertAlign w:val="superscript"/>
        </w:rPr>
        <w:t>-1</w:t>
      </w:r>
      <w:r w:rsidRPr="00A428C3">
        <w:t xml:space="preserve"> for Cu(II)</w:t>
      </w:r>
      <w:r w:rsidR="00F81221">
        <w:t xml:space="preserve"> and </w:t>
      </w:r>
      <w:r w:rsidRPr="00A428C3">
        <w:t>2.4 mmol g</w:t>
      </w:r>
      <w:r w:rsidRPr="00A428C3">
        <w:rPr>
          <w:vertAlign w:val="superscript"/>
        </w:rPr>
        <w:t>-1</w:t>
      </w:r>
      <w:r w:rsidRPr="00A428C3">
        <w:t xml:space="preserve"> for Hg(II) obtained from Duolite GT-73, a commercial chelating resin, macroreticular with tiol (S-H) functional groups.</w:t>
      </w:r>
    </w:p>
    <w:p w:rsidR="00B95188" w:rsidRPr="00A428C3" w:rsidRDefault="00B95188" w:rsidP="00B95188">
      <w:pPr>
        <w:pStyle w:val="a0"/>
      </w:pPr>
      <w:r w:rsidRPr="00A428C3">
        <w:t>Keywords: Ion-Exchange Resins, Mercury Removal, Adsorption, Water</w:t>
      </w:r>
    </w:p>
    <w:p w:rsidR="00C03185" w:rsidRDefault="00C03185" w:rsidP="00C03185">
      <w:pPr>
        <w:pStyle w:val="a0"/>
        <w:rPr>
          <w:kern w:val="0"/>
        </w:rPr>
      </w:pPr>
      <w:r>
        <w:rPr>
          <w:rFonts w:hint="eastAsia"/>
          <w:kern w:val="0"/>
        </w:rPr>
        <w:t xml:space="preserve">? </w:t>
      </w:r>
      <w:r>
        <w:rPr>
          <w:kern w:val="0"/>
        </w:rPr>
        <w:t>Romero-Hernandez, O. (2004), To treat or not to treat? Applying chemical engineering tools</w:t>
      </w:r>
      <w:r w:rsidR="00F81221">
        <w:rPr>
          <w:kern w:val="0"/>
        </w:rPr>
        <w:t xml:space="preserve"> and </w:t>
      </w:r>
      <w:r>
        <w:rPr>
          <w:kern w:val="0"/>
        </w:rPr>
        <w:t xml:space="preserve">a life cycle approach to assessing the level of sustainability of a clean-up technology. </w:t>
      </w:r>
      <w:r>
        <w:rPr>
          <w:i/>
          <w:iCs/>
          <w:kern w:val="0"/>
        </w:rPr>
        <w:t>Green Chemistry</w:t>
      </w:r>
      <w:r>
        <w:rPr>
          <w:kern w:val="0"/>
        </w:rPr>
        <w:t xml:space="preserve">, </w:t>
      </w:r>
      <w:r>
        <w:rPr>
          <w:b/>
          <w:bCs/>
          <w:kern w:val="0"/>
        </w:rPr>
        <w:t>6</w:t>
      </w:r>
      <w:r>
        <w:rPr>
          <w:kern w:val="0"/>
        </w:rPr>
        <w:t xml:space="preserve"> (8), 395-400.</w:t>
      </w:r>
    </w:p>
    <w:p w:rsidR="00C03185" w:rsidRDefault="00C03185" w:rsidP="00C03185">
      <w:pPr>
        <w:pStyle w:val="a0"/>
        <w:rPr>
          <w:kern w:val="0"/>
        </w:rPr>
      </w:pPr>
      <w:r>
        <w:rPr>
          <w:rFonts w:hint="eastAsia"/>
          <w:kern w:val="0"/>
        </w:rPr>
        <w:t xml:space="preserve">Full Text: </w:t>
      </w:r>
      <w:hyperlink r:id="rId495" w:history="1">
        <w:r w:rsidRPr="00C03185">
          <w:rPr>
            <w:rStyle w:val="a5"/>
            <w:kern w:val="0"/>
          </w:rPr>
          <w:t>2004\Gre Che6, 395.pdf</w:t>
        </w:r>
      </w:hyperlink>
    </w:p>
    <w:p w:rsidR="00C03185" w:rsidRDefault="00C03185" w:rsidP="00C03185">
      <w:pPr>
        <w:pStyle w:val="a0"/>
        <w:rPr>
          <w:kern w:val="0"/>
        </w:rPr>
      </w:pPr>
      <w:r>
        <w:rPr>
          <w:kern w:val="0"/>
        </w:rPr>
        <w:t>Abstract: A traditional approach used to evaluate clean-up technologies, in which only plant discharges are considered, is contrasted with a sustainability assessment. The sustainability of any technology can be assessed from three complementary points of view: economic, environmental</w:t>
      </w:r>
      <w:r w:rsidR="00F81221">
        <w:rPr>
          <w:kern w:val="0"/>
        </w:rPr>
        <w:t xml:space="preserve"> and </w:t>
      </w:r>
      <w:r>
        <w:rPr>
          <w:kern w:val="0"/>
        </w:rPr>
        <w:t>social. As such, this paper presents a comprehensive scheme that can be applied to any process, product or technology. In addition, the use of chemical engineering tools such as process design, process modelling</w:t>
      </w:r>
      <w:r w:rsidR="00F81221">
        <w:rPr>
          <w:kern w:val="0"/>
        </w:rPr>
        <w:t xml:space="preserve"> and </w:t>
      </w:r>
      <w:r>
        <w:rPr>
          <w:kern w:val="0"/>
        </w:rPr>
        <w:t xml:space="preserve">simulation represent a baseline for the sustainability assessment of </w:t>
      </w:r>
      <w:r>
        <w:rPr>
          <w:kern w:val="0"/>
        </w:rPr>
        <w:lastRenderedPageBreak/>
        <w:t>technologies, as presented in a case study. The optimal granular activated carbon adsorption process design is used as a model system to demonstrate the advantages of sustainability approaches over traditional approaches. A mathematical model that describes the performance of the process at various design options was developed. This model includes cost equations that were used to estimate the total cost of each alternative under different plant designs</w:t>
      </w:r>
      <w:r w:rsidR="00F81221">
        <w:rPr>
          <w:kern w:val="0"/>
        </w:rPr>
        <w:t xml:space="preserve"> and </w:t>
      </w:r>
      <w:r>
        <w:rPr>
          <w:kern w:val="0"/>
        </w:rPr>
        <w:t>two waste scenarios (a benzene</w:t>
      </w:r>
      <w:r w:rsidR="00F81221">
        <w:rPr>
          <w:kern w:val="0"/>
        </w:rPr>
        <w:t xml:space="preserve"> and </w:t>
      </w:r>
      <w:r>
        <w:rPr>
          <w:kern w:val="0"/>
        </w:rPr>
        <w:t>a 1,2-dichloroethane discharge). Life Cycle Assessment tools were applied to generate an inventory of emissions</w:t>
      </w:r>
      <w:r w:rsidR="00F81221">
        <w:rPr>
          <w:kern w:val="0"/>
        </w:rPr>
        <w:t xml:space="preserve"> and </w:t>
      </w:r>
      <w:r>
        <w:rPr>
          <w:kern w:val="0"/>
        </w:rPr>
        <w:t>the impact assessment measured as Photochemical Ozone Creation (POC)</w:t>
      </w:r>
      <w:r w:rsidR="00F81221">
        <w:rPr>
          <w:kern w:val="0"/>
        </w:rPr>
        <w:t xml:space="preserve"> and </w:t>
      </w:r>
      <w:r>
        <w:rPr>
          <w:kern w:val="0"/>
        </w:rPr>
        <w:t>Global Warming Potential (GWP). The model examined trade-offs between pollutants discharged into the atmosphere</w:t>
      </w:r>
      <w:r w:rsidR="00F81221">
        <w:rPr>
          <w:kern w:val="0"/>
        </w:rPr>
        <w:t xml:space="preserve"> and </w:t>
      </w:r>
      <w:r>
        <w:rPr>
          <w:kern w:val="0"/>
        </w:rPr>
        <w:t>pollution associated with the adoption</w:t>
      </w:r>
      <w:r w:rsidR="00F81221">
        <w:rPr>
          <w:kern w:val="0"/>
        </w:rPr>
        <w:t xml:space="preserve"> and </w:t>
      </w:r>
      <w:r>
        <w:rPr>
          <w:kern w:val="0"/>
        </w:rPr>
        <w:t>operation of the technology. One of the main results from the technology assessment is that the environmental impact, measured in terms of GWP proved to be higher for the technology operation than for the untreated waste streams themselves,</w:t>
      </w:r>
      <w:r w:rsidR="00F81221">
        <w:rPr>
          <w:kern w:val="0"/>
        </w:rPr>
        <w:t xml:space="preserve"> and </w:t>
      </w:r>
      <w:r>
        <w:rPr>
          <w:kern w:val="0"/>
        </w:rPr>
        <w:t>therefore suggested that the streams should not be treated. However, the social impact evaluation (measured as risk assessment) conducted as part of this work proved that it was morally</w:t>
      </w:r>
      <w:r w:rsidR="00F81221">
        <w:rPr>
          <w:kern w:val="0"/>
        </w:rPr>
        <w:t xml:space="preserve"> and </w:t>
      </w:r>
      <w:r>
        <w:rPr>
          <w:kern w:val="0"/>
        </w:rPr>
        <w:t>legally mandatory to treat them due to the adverse effects on human health that they may represent. As such, a triple bottom line sustainability assessment was demonstrated to be one of the most important frameworks for decision making. The evaluation scheme presented in this work can also be applied to other areas such as the identification of the most sustainable process design</w:t>
      </w:r>
      <w:r w:rsidR="00F81221">
        <w:rPr>
          <w:kern w:val="0"/>
        </w:rPr>
        <w:t xml:space="preserve"> and </w:t>
      </w:r>
      <w:r>
        <w:rPr>
          <w:kern w:val="0"/>
        </w:rPr>
        <w:t>different green chemistry route alternatives.</w:t>
      </w:r>
    </w:p>
    <w:p w:rsidR="00C03185" w:rsidRDefault="00C03185" w:rsidP="00C03185">
      <w:pPr>
        <w:pStyle w:val="a0"/>
        <w:rPr>
          <w:kern w:val="0"/>
        </w:rPr>
      </w:pPr>
      <w:r>
        <w:rPr>
          <w:kern w:val="0"/>
        </w:rPr>
        <w:t>Keywords: Adsorption, Assessment, Costs, Design, Evaluation, GAC, Models, Organics</w:t>
      </w:r>
    </w:p>
    <w:p w:rsidR="002936C6" w:rsidRPr="00A428C3" w:rsidRDefault="002936C6" w:rsidP="002936C6">
      <w:pPr>
        <w:pStyle w:val="1"/>
      </w:pPr>
      <w:r w:rsidRPr="00A428C3">
        <w:br w:type="page"/>
      </w:r>
      <w:bookmarkStart w:id="410" w:name="_Toc317160962"/>
      <w:r w:rsidRPr="00A428C3">
        <w:lastRenderedPageBreak/>
        <w:t xml:space="preserve">Title: </w:t>
      </w:r>
      <w:r w:rsidRPr="00105FF0">
        <w:t>Group Processes &amp; Intergroup Relations</w:t>
      </w:r>
      <w:bookmarkEnd w:id="410"/>
    </w:p>
    <w:p w:rsidR="002936C6" w:rsidRPr="00A428C3" w:rsidRDefault="002936C6" w:rsidP="00B72EF9">
      <w:pPr>
        <w:pStyle w:val="12"/>
      </w:pPr>
      <w:r w:rsidRPr="00A428C3">
        <w:t xml:space="preserve">Full Journal Title: </w:t>
      </w:r>
      <w:hyperlink r:id="rId496" w:history="1">
        <w:r w:rsidRPr="00105FF0">
          <w:rPr>
            <w:rStyle w:val="a5"/>
          </w:rPr>
          <w:t>Group Processes &amp; Intergroup Relations</w:t>
        </w:r>
      </w:hyperlink>
    </w:p>
    <w:p w:rsidR="002936C6" w:rsidRPr="00A428C3" w:rsidRDefault="002936C6" w:rsidP="00B72EF9">
      <w:pPr>
        <w:pStyle w:val="12"/>
      </w:pPr>
      <w:r w:rsidRPr="00A428C3">
        <w:t xml:space="preserve">ISO Abbreviated Title: </w:t>
      </w:r>
    </w:p>
    <w:p w:rsidR="002936C6" w:rsidRPr="00A428C3" w:rsidRDefault="002936C6" w:rsidP="00B72EF9">
      <w:pPr>
        <w:pStyle w:val="12"/>
      </w:pPr>
      <w:r w:rsidRPr="00A428C3">
        <w:t>JCR Abbreviated Title</w:t>
      </w:r>
      <w:r>
        <w:t>:</w:t>
      </w:r>
      <w:r w:rsidRPr="00A428C3">
        <w:t xml:space="preserve"> </w:t>
      </w:r>
    </w:p>
    <w:p w:rsidR="002936C6" w:rsidRPr="00A428C3" w:rsidRDefault="002936C6" w:rsidP="00B72EF9">
      <w:pPr>
        <w:pStyle w:val="12"/>
      </w:pPr>
      <w:r w:rsidRPr="00A428C3">
        <w:t xml:space="preserve">ISSN: </w:t>
      </w:r>
    </w:p>
    <w:p w:rsidR="002936C6" w:rsidRPr="00A428C3" w:rsidRDefault="002936C6" w:rsidP="00B72EF9">
      <w:pPr>
        <w:pStyle w:val="12"/>
      </w:pPr>
      <w:r w:rsidRPr="00A428C3">
        <w:t xml:space="preserve">Issues/Year: </w:t>
      </w:r>
    </w:p>
    <w:p w:rsidR="002936C6" w:rsidRPr="00A428C3" w:rsidRDefault="00FB5623" w:rsidP="00B72EF9">
      <w:pPr>
        <w:pStyle w:val="12"/>
      </w:pPr>
      <w:r>
        <w:t>Journal Country/Territory:</w:t>
      </w:r>
      <w:r w:rsidR="002936C6">
        <w:t xml:space="preserve"> </w:t>
      </w:r>
    </w:p>
    <w:p w:rsidR="002936C6" w:rsidRPr="00A428C3" w:rsidRDefault="002936C6" w:rsidP="00B72EF9">
      <w:pPr>
        <w:pStyle w:val="12"/>
      </w:pPr>
      <w:r w:rsidRPr="00A428C3">
        <w:t xml:space="preserve">Language: </w:t>
      </w:r>
    </w:p>
    <w:p w:rsidR="002936C6" w:rsidRPr="00A428C3" w:rsidRDefault="002936C6" w:rsidP="00B72EF9">
      <w:pPr>
        <w:pStyle w:val="12"/>
      </w:pPr>
      <w:r w:rsidRPr="00A428C3">
        <w:t xml:space="preserve">Publisher: </w:t>
      </w:r>
    </w:p>
    <w:p w:rsidR="002936C6" w:rsidRPr="00A428C3" w:rsidRDefault="002936C6" w:rsidP="00B72EF9">
      <w:pPr>
        <w:pStyle w:val="12"/>
      </w:pPr>
      <w:r w:rsidRPr="00A428C3">
        <w:t xml:space="preserve">Publisher Address: </w:t>
      </w:r>
    </w:p>
    <w:p w:rsidR="002936C6" w:rsidRPr="00A428C3" w:rsidRDefault="002936C6" w:rsidP="00B72EF9">
      <w:pPr>
        <w:pStyle w:val="12"/>
      </w:pPr>
      <w:r w:rsidRPr="00A428C3">
        <w:t>Subject Categories:</w:t>
      </w:r>
    </w:p>
    <w:p w:rsidR="002936C6" w:rsidRPr="00A428C3" w:rsidRDefault="002936C6" w:rsidP="00B72EF9">
      <w:pPr>
        <w:pStyle w:val="12"/>
      </w:pPr>
      <w:r w:rsidRPr="00A428C3">
        <w:t>: Impact Factor</w:t>
      </w:r>
    </w:p>
    <w:p w:rsidR="002936C6" w:rsidRDefault="002936C6" w:rsidP="002936C6">
      <w:pPr>
        <w:pStyle w:val="a0"/>
        <w:rPr>
          <w:kern w:val="0"/>
        </w:rPr>
      </w:pPr>
      <w:r>
        <w:rPr>
          <w:rFonts w:hint="eastAsia"/>
          <w:kern w:val="0"/>
        </w:rPr>
        <w:t xml:space="preserve">? </w:t>
      </w:r>
      <w:r>
        <w:rPr>
          <w:kern w:val="0"/>
        </w:rPr>
        <w:t>de Moura, G.R., Leader, T., Pelletier, J.</w:t>
      </w:r>
      <w:r w:rsidR="00F81221">
        <w:rPr>
          <w:kern w:val="0"/>
        </w:rPr>
        <w:t xml:space="preserve"> and </w:t>
      </w:r>
      <w:r>
        <w:rPr>
          <w:kern w:val="0"/>
        </w:rPr>
        <w:t xml:space="preserve">Abrams, D. (2008), Prospects for </w:t>
      </w:r>
      <w:r w:rsidRPr="00105FF0">
        <w:rPr>
          <w:i/>
          <w:iCs/>
          <w:kern w:val="0"/>
        </w:rPr>
        <w:t>Group Processes</w:t>
      </w:r>
      <w:r w:rsidR="00F81221">
        <w:rPr>
          <w:i/>
          <w:iCs/>
          <w:kern w:val="0"/>
        </w:rPr>
        <w:t xml:space="preserve"> and </w:t>
      </w:r>
      <w:r w:rsidRPr="00105FF0">
        <w:rPr>
          <w:i/>
          <w:iCs/>
          <w:kern w:val="0"/>
        </w:rPr>
        <w:t>Intergroup Relations</w:t>
      </w:r>
      <w:r>
        <w:rPr>
          <w:kern w:val="0"/>
        </w:rPr>
        <w:t xml:space="preserve"> research: A review of 70 years</w:t>
      </w:r>
      <w:r w:rsidR="000352E7">
        <w:rPr>
          <w:kern w:val="0"/>
        </w:rPr>
        <w:t>’</w:t>
      </w:r>
      <w:r>
        <w:rPr>
          <w:kern w:val="0"/>
        </w:rPr>
        <w:t xml:space="preserve"> progress. </w:t>
      </w:r>
      <w:r w:rsidRPr="00105FF0">
        <w:rPr>
          <w:i/>
          <w:iCs/>
          <w:kern w:val="0"/>
        </w:rPr>
        <w:t>Group Processes &amp; Intergroup Relations</w:t>
      </w:r>
      <w:r>
        <w:rPr>
          <w:kern w:val="0"/>
        </w:rPr>
        <w:t xml:space="preserve">, </w:t>
      </w:r>
      <w:r>
        <w:rPr>
          <w:b/>
          <w:bCs/>
          <w:kern w:val="0"/>
        </w:rPr>
        <w:t>11</w:t>
      </w:r>
      <w:r>
        <w:rPr>
          <w:kern w:val="0"/>
        </w:rPr>
        <w:t xml:space="preserve"> (4), 575-596.</w:t>
      </w:r>
    </w:p>
    <w:p w:rsidR="002936C6" w:rsidRDefault="002936C6" w:rsidP="003F129C">
      <w:pPr>
        <w:pStyle w:val="a0"/>
        <w:rPr>
          <w:kern w:val="0"/>
        </w:rPr>
      </w:pPr>
      <w:r>
        <w:rPr>
          <w:rFonts w:hint="eastAsia"/>
          <w:kern w:val="0"/>
        </w:rPr>
        <w:t xml:space="preserve">Full Text: </w:t>
      </w:r>
      <w:hyperlink r:id="rId497" w:history="1">
        <w:r w:rsidR="003F129C" w:rsidRPr="003F129C">
          <w:rPr>
            <w:rStyle w:val="a5"/>
            <w:kern w:val="0"/>
          </w:rPr>
          <w:t>2008\Gro Pro Int Rel11, 575.pdf</w:t>
        </w:r>
      </w:hyperlink>
    </w:p>
    <w:p w:rsidR="002936C6" w:rsidRDefault="002936C6" w:rsidP="002936C6">
      <w:pPr>
        <w:pStyle w:val="a0"/>
        <w:rPr>
          <w:kern w:val="0"/>
        </w:rPr>
      </w:pPr>
      <w:r>
        <w:rPr>
          <w:kern w:val="0"/>
        </w:rPr>
        <w:t>Abstract: Three archival analyses are presented substantially extending empirical reviews of the progress of group-related research. First, an analysis of social psychological research from 1935 to 2007 (cf. Abrams &amp; Hogg, 1998) showed that group-related research has a steadily increasing proportion of titles in the principal journals</w:t>
      </w:r>
      <w:r w:rsidR="00F81221">
        <w:rPr>
          <w:kern w:val="0"/>
        </w:rPr>
        <w:t xml:space="preserve"> and </w:t>
      </w:r>
      <w:r>
        <w:rPr>
          <w:kern w:val="0"/>
        </w:rPr>
        <w:t>currently accounts for over a sixth of all the research in our list of social psychological journals. Second, analysis of the most cited papers from a set of principal social psychology journals from 1998 to 2007 showed that a third of high-impact articles in social psychology focus on groups. Third, analysis of the content of two major specialist journals in the field, Group Processes &amp; Intergroup Relations</w:t>
      </w:r>
      <w:r w:rsidR="00F81221">
        <w:rPr>
          <w:kern w:val="0"/>
        </w:rPr>
        <w:t xml:space="preserve"> and </w:t>
      </w:r>
      <w:r>
        <w:rPr>
          <w:kern w:val="0"/>
        </w:rPr>
        <w:t>Group Dynamics: Theory, Research,</w:t>
      </w:r>
      <w:r w:rsidR="00F81221">
        <w:rPr>
          <w:kern w:val="0"/>
        </w:rPr>
        <w:t xml:space="preserve"> and </w:t>
      </w:r>
      <w:r>
        <w:rPr>
          <w:kern w:val="0"/>
        </w:rPr>
        <w:t>Practice, showed that together these journals cover a broad range of group-related research,</w:t>
      </w:r>
      <w:r w:rsidR="00F81221">
        <w:rPr>
          <w:kern w:val="0"/>
        </w:rPr>
        <w:t xml:space="preserve"> and </w:t>
      </w:r>
      <w:r>
        <w:rPr>
          <w:kern w:val="0"/>
        </w:rPr>
        <w:t>that the only keyword common to both journals was social identity. These findings demonstrate the health</w:t>
      </w:r>
      <w:r w:rsidR="00F81221">
        <w:rPr>
          <w:kern w:val="0"/>
        </w:rPr>
        <w:t xml:space="preserve"> and </w:t>
      </w:r>
      <w:r>
        <w:rPr>
          <w:kern w:val="0"/>
        </w:rPr>
        <w:t>major contributions of research into group processes</w:t>
      </w:r>
      <w:r w:rsidR="00F81221">
        <w:rPr>
          <w:kern w:val="0"/>
        </w:rPr>
        <w:t xml:space="preserve"> and </w:t>
      </w:r>
      <w:r>
        <w:rPr>
          <w:kern w:val="0"/>
        </w:rPr>
        <w:t>intergroup relations to social psychology as a whole.</w:t>
      </w:r>
    </w:p>
    <w:p w:rsidR="002936C6" w:rsidRDefault="002936C6" w:rsidP="002936C6">
      <w:pPr>
        <w:pStyle w:val="a0"/>
        <w:rPr>
          <w:kern w:val="0"/>
        </w:rPr>
      </w:pPr>
      <w:r>
        <w:rPr>
          <w:kern w:val="0"/>
        </w:rPr>
        <w:t>Keywords: Analysis, Dynamics, Empirical Review, Future, Group Decision, Group Dynamics, Group Processes, Group-Related Research, Intergroup Relations, Journals, Psychology, Research, Research Development, Review</w:t>
      </w:r>
    </w:p>
    <w:p w:rsidR="00B95188" w:rsidRPr="00A428C3" w:rsidRDefault="00B95188" w:rsidP="00B95188">
      <w:pPr>
        <w:pStyle w:val="1"/>
      </w:pPr>
      <w:r w:rsidRPr="00A428C3">
        <w:br w:type="page"/>
      </w:r>
      <w:bookmarkStart w:id="411" w:name="_Toc186647741"/>
      <w:bookmarkStart w:id="412" w:name="_Toc317160963"/>
      <w:r w:rsidRPr="00A428C3">
        <w:lastRenderedPageBreak/>
        <w:t>Title: Ground Water</w:t>
      </w:r>
      <w:bookmarkEnd w:id="411"/>
      <w:bookmarkEnd w:id="412"/>
    </w:p>
    <w:p w:rsidR="00B95188" w:rsidRPr="00A428C3" w:rsidRDefault="00B95188" w:rsidP="00B72EF9">
      <w:pPr>
        <w:pStyle w:val="12"/>
      </w:pPr>
      <w:r w:rsidRPr="00A428C3">
        <w:t xml:space="preserve">Full Journal Title: </w:t>
      </w:r>
      <w:hyperlink r:id="rId498" w:history="1">
        <w:r w:rsidRPr="00A428C3">
          <w:rPr>
            <w:rStyle w:val="a5"/>
          </w:rPr>
          <w:t>Ground Water</w:t>
        </w:r>
      </w:hyperlink>
    </w:p>
    <w:p w:rsidR="00B95188" w:rsidRPr="00A428C3" w:rsidRDefault="00B95188" w:rsidP="00B72EF9">
      <w:pPr>
        <w:pStyle w:val="12"/>
      </w:pPr>
      <w:r w:rsidRPr="00A428C3">
        <w:t>ISO Abbreviated Title: Ground Water</w:t>
      </w:r>
    </w:p>
    <w:p w:rsidR="00B95188" w:rsidRPr="00A428C3" w:rsidRDefault="00B95188" w:rsidP="00B72EF9">
      <w:pPr>
        <w:pStyle w:val="12"/>
      </w:pPr>
      <w:r w:rsidRPr="00A428C3">
        <w:t>JCR Abbreviated Title: Ground Water</w:t>
      </w:r>
    </w:p>
    <w:p w:rsidR="00B95188" w:rsidRPr="00A428C3" w:rsidRDefault="00B95188" w:rsidP="00B72EF9">
      <w:pPr>
        <w:pStyle w:val="12"/>
      </w:pPr>
      <w:r w:rsidRPr="00A428C3">
        <w:t>ISSN: 0017-467X</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Ground Water Publishing Co</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601 Dempsey Rd</w:t>
          </w:r>
        </w:smartTag>
        <w:r w:rsidRPr="00A428C3">
          <w:t xml:space="preserve">, </w:t>
        </w:r>
        <w:smartTag w:uri="urn:schemas-microsoft-com:office:smarttags" w:element="City">
          <w:r w:rsidRPr="00A428C3">
            <w:t>Westerville</w:t>
          </w:r>
        </w:smartTag>
        <w:r w:rsidRPr="00A428C3">
          <w:t xml:space="preserve">, </w:t>
        </w:r>
        <w:smartTag w:uri="urn:schemas-microsoft-com:office:smarttags" w:element="State">
          <w:r w:rsidRPr="00A428C3">
            <w:t>OH</w:t>
          </w:r>
        </w:smartTag>
        <w:r w:rsidRPr="00A428C3">
          <w:t xml:space="preserve"> </w:t>
        </w:r>
        <w:smartTag w:uri="urn:schemas-microsoft-com:office:smarttags" w:element="PostalCode">
          <w:r w:rsidRPr="00A428C3">
            <w:t>43081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Geosciences, Interdisciplinary: Impact Factor 1.191, /</w:t>
      </w:r>
    </w:p>
    <w:p w:rsidR="00B95188" w:rsidRPr="00A428C3" w:rsidRDefault="00B95188" w:rsidP="00B72EF9">
      <w:pPr>
        <w:pStyle w:val="12"/>
      </w:pPr>
      <w:r w:rsidRPr="00A428C3">
        <w:t>Water Resources: Impact Factor 1.191, /</w:t>
      </w:r>
    </w:p>
    <w:p w:rsidR="00B95188" w:rsidRPr="00A428C3" w:rsidRDefault="00B95188" w:rsidP="00B95188">
      <w:pPr>
        <w:pStyle w:val="a0"/>
      </w:pPr>
      <w:r w:rsidRPr="00A428C3">
        <w:t>? Mills, W.B., Liu, S.</w:t>
      </w:r>
      <w:r w:rsidR="00F81221">
        <w:t xml:space="preserve"> and </w:t>
      </w:r>
      <w:r w:rsidRPr="00A428C3">
        <w:t>Fong, F.K. (1991), Literature-review</w:t>
      </w:r>
      <w:r w:rsidR="00F81221">
        <w:t xml:space="preserve"> and </w:t>
      </w:r>
      <w:r w:rsidRPr="00A428C3">
        <w:t xml:space="preserve">model (comet) for colloid metals transport in porous-media. </w:t>
      </w:r>
      <w:r w:rsidRPr="00A428C3">
        <w:rPr>
          <w:i/>
        </w:rPr>
        <w:t>Ground Water</w:t>
      </w:r>
      <w:r w:rsidRPr="00A428C3">
        <w:t xml:space="preserve">, </w:t>
      </w:r>
      <w:r w:rsidRPr="00A428C3">
        <w:rPr>
          <w:b/>
        </w:rPr>
        <w:t>29</w:t>
      </w:r>
      <w:r w:rsidRPr="00A428C3">
        <w:t xml:space="preserve"> (2), 199-208.</w:t>
      </w:r>
    </w:p>
    <w:p w:rsidR="00B95188" w:rsidRPr="00A428C3" w:rsidRDefault="00B95188" w:rsidP="00B95188">
      <w:pPr>
        <w:pStyle w:val="a0"/>
      </w:pPr>
      <w:r w:rsidRPr="00A428C3">
        <w:t xml:space="preserve">Full Text: </w:t>
      </w:r>
      <w:hyperlink r:id="rId499" w:history="1">
        <w:r w:rsidRPr="00A428C3">
          <w:rPr>
            <w:rStyle w:val="a5"/>
          </w:rPr>
          <w:t>1991\Gro Wat29, 199.pdf</w:t>
        </w:r>
      </w:hyperlink>
    </w:p>
    <w:p w:rsidR="00B95188" w:rsidRPr="00A428C3" w:rsidRDefault="00B95188" w:rsidP="00B95188">
      <w:pPr>
        <w:pStyle w:val="a0"/>
      </w:pPr>
      <w:r w:rsidRPr="00A428C3">
        <w:t>Abstract: This paper summarizes topics related to colloid transport in subsurface media. The ultimate objective of the paper is to present a model that can be used to evaluate the significance of colloid facilitated transport on the mobility of metals. Field</w:t>
      </w:r>
      <w:r w:rsidR="00F81221">
        <w:t xml:space="preserve"> and </w:t>
      </w:r>
      <w:r w:rsidRPr="00A428C3">
        <w:t>laboratory studies are first reviewed to evaluate evidence that colloids are transported in subsurface media. Second, researchers active in the field are contacted to identify areas of ongoing research,</w:t>
      </w:r>
      <w:r w:rsidR="00F81221">
        <w:t xml:space="preserve"> and </w:t>
      </w:r>
      <w:r w:rsidRPr="00A428C3">
        <w:t>to solicit opinions concerning the level of understanding of mechanisms that control colloid migration. Third, the literature on colloid transport mechanisms is reviewed, with particular emphasis on colloid (and particle) filtration</w:t>
      </w:r>
      <w:r w:rsidR="00F81221">
        <w:t xml:space="preserve"> and </w:t>
      </w:r>
      <w:r w:rsidRPr="00A428C3">
        <w:t>on colloid stability as influenced by electrical repulsion</w:t>
      </w:r>
      <w:r w:rsidR="00F81221">
        <w:t xml:space="preserve"> and </w:t>
      </w:r>
      <w:r w:rsidRPr="00A428C3">
        <w:t>van der Waals attraction. Fourth, a conceptual colloids-metal transport model (COMET) is developed</w:t>
      </w:r>
      <w:r w:rsidR="00F81221">
        <w:t xml:space="preserve"> and </w:t>
      </w:r>
      <w:r w:rsidRPr="00A428C3">
        <w:t>incorporated into EPA</w:t>
      </w:r>
      <w:r w:rsidR="000352E7">
        <w:t>’</w:t>
      </w:r>
      <w:r w:rsidRPr="00A428C3">
        <w:t>s CML model, a model that simulates solute migration from a landfill in the unsaturated zone to a receptor (i.e., drinking-water well) in the saturated zone. Among the major features of the COMET model are the capability to simulate multiple metal species either dissolved or adsorbed to mobile colloids (in conjunction with results from a geochemical equilibrium model), the capability to simulate the influence of multiple colloid types,</w:t>
      </w:r>
      <w:r w:rsidR="00F81221">
        <w:t xml:space="preserve"> and </w:t>
      </w:r>
      <w:r w:rsidRPr="00A428C3">
        <w:t>to adjust source concentration</w:t>
      </w:r>
      <w:r w:rsidR="00F81221">
        <w:t xml:space="preserve"> and </w:t>
      </w:r>
      <w:r w:rsidRPr="00A428C3">
        <w:t>duration in the presence of colloids that migrate from a source. These capabilities are embodied in equations (2)</w:t>
      </w:r>
      <w:r w:rsidR="00F81221">
        <w:t xml:space="preserve"> and </w:t>
      </w:r>
      <w:r w:rsidRPr="00A428C3">
        <w:t xml:space="preserve">(3) in the main text of this paper. As expected, results from the COMET simulations indicate that mobile phase metal concentrations (dissolved concentration plus concentration adsorbed to mobile colloids) increase as colloid concentrations </w:t>
      </w:r>
      <w:r w:rsidRPr="00A428C3">
        <w:lastRenderedPageBreak/>
        <w:t>increase,</w:t>
      </w:r>
      <w:r w:rsidR="00F81221">
        <w:t xml:space="preserve"> and </w:t>
      </w:r>
      <w:r w:rsidRPr="00A428C3">
        <w:t>arrival times of soluble metal species (solutes) to stationary receptors decrease. When the partition coefficients for solute-colloid adsorption</w:t>
      </w:r>
      <w:r w:rsidR="00F81221">
        <w:t xml:space="preserve"> and </w:t>
      </w:r>
      <w:r w:rsidRPr="00A428C3">
        <w:t>solute-soil matrix adsorption are the same, neither the increase in mobile phase concentration nor decrease in travel time is always significant. However, when partition coefficients for solute-colloid adsorption are greater than partition coefficients for solute-soil matrix adsorption, travel times to stationary receptors can dramatically decrease</w:t>
      </w:r>
      <w:r w:rsidR="00F81221">
        <w:t xml:space="preserve"> and </w:t>
      </w:r>
      <w:r w:rsidRPr="00A428C3">
        <w:t>total mobile phase concentrations dramatically increase.</w:t>
      </w:r>
    </w:p>
    <w:p w:rsidR="00B95188" w:rsidRPr="00A428C3" w:rsidRDefault="00B95188" w:rsidP="00B95188">
      <w:pPr>
        <w:pStyle w:val="a0"/>
      </w:pPr>
      <w:r w:rsidRPr="00A428C3">
        <w:t xml:space="preserve">Keywords: Organic Pollutants, Filtration, Particles, Water, Pesticides, </w:t>
      </w:r>
      <w:smartTag w:uri="urn:schemas-microsoft-com:office:smarttags" w:element="place">
        <w:smartTag w:uri="urn:schemas-microsoft-com:office:smarttags" w:element="City">
          <w:r w:rsidRPr="00A428C3">
            <w:t>London</w:t>
          </w:r>
        </w:smartTag>
      </w:smartTag>
      <w:r w:rsidRPr="00A428C3">
        <w:t>, Forces, Soil</w:t>
      </w:r>
    </w:p>
    <w:p w:rsidR="00B95188" w:rsidRPr="00A428C3" w:rsidRDefault="00B95188" w:rsidP="00B95188">
      <w:pPr>
        <w:pStyle w:val="a0"/>
      </w:pPr>
      <w:r w:rsidRPr="00A428C3">
        <w:t xml:space="preserve">? Semprini, L., </w:t>
      </w:r>
      <w:smartTag w:uri="urn:schemas-microsoft-com:office:smarttags" w:element="place">
        <w:smartTag w:uri="urn:schemas-microsoft-com:office:smarttags" w:element="City">
          <w:r w:rsidRPr="00A428C3">
            <w:t>Hopkins</w:t>
          </w:r>
        </w:smartTag>
      </w:smartTag>
      <w:r w:rsidRPr="00A428C3">
        <w:t>, G.D., Roberts, P.V., Grbicgalic, D.</w:t>
      </w:r>
      <w:r w:rsidR="00F81221">
        <w:t xml:space="preserve"> and </w:t>
      </w:r>
      <w:r w:rsidRPr="00A428C3">
        <w:t xml:space="preserve">Mccarty, P.L. (1991), A field-evaluation of insitu biodegradation of chlorinated ethenes. 3. Studies of competitive-inhibition. </w:t>
      </w:r>
      <w:r w:rsidRPr="00A428C3">
        <w:rPr>
          <w:i/>
        </w:rPr>
        <w:t>Ground Water</w:t>
      </w:r>
      <w:r w:rsidRPr="00A428C3">
        <w:t xml:space="preserve">, </w:t>
      </w:r>
      <w:r w:rsidRPr="00A428C3">
        <w:rPr>
          <w:b/>
        </w:rPr>
        <w:t>29</w:t>
      </w:r>
      <w:r w:rsidRPr="00A428C3">
        <w:t xml:space="preserve"> (2), 239-250.</w:t>
      </w:r>
    </w:p>
    <w:p w:rsidR="00B95188" w:rsidRPr="00A428C3" w:rsidRDefault="00B95188" w:rsidP="00B95188">
      <w:pPr>
        <w:pStyle w:val="a0"/>
      </w:pPr>
      <w:r w:rsidRPr="00A428C3">
        <w:t xml:space="preserve">Full Text: </w:t>
      </w:r>
      <w:hyperlink r:id="rId500" w:history="1">
        <w:r w:rsidRPr="00A428C3">
          <w:rPr>
            <w:rStyle w:val="a5"/>
          </w:rPr>
          <w:t>1991\Gro Wat29, 239.pdf</w:t>
        </w:r>
      </w:hyperlink>
    </w:p>
    <w:p w:rsidR="00B95188" w:rsidRPr="00A428C3" w:rsidRDefault="00B95188" w:rsidP="00B95188">
      <w:pPr>
        <w:pStyle w:val="a0"/>
      </w:pPr>
      <w:r w:rsidRPr="00A428C3">
        <w:t>Abstract: Results are presented that demonstrate the in-situ biotransformation of vinyl chloride (VC), trans-1,2-dichloroethylene (t-DCE), cis-1,2-dichloroethylene (c-DCE),</w:t>
      </w:r>
      <w:r w:rsidR="00F81221">
        <w:t xml:space="preserve"> and </w:t>
      </w:r>
      <w:r w:rsidRPr="00A428C3">
        <w:t>trichloroethylene (TCE) by an enhanced population of methane-utilizing (methanotrophic) bacteria. Biostimulation was accomplished by introducing dissolved methane</w:t>
      </w:r>
      <w:r w:rsidR="00F81221">
        <w:t xml:space="preserve"> and </w:t>
      </w:r>
      <w:r w:rsidRPr="00A428C3">
        <w:t>oxygen into a shallow, confined aquifer, to encourage the growth of the native methanotrophic bacteria. Biotransformation of the target compounds ensued immediately after the commencement of methane utilization,</w:t>
      </w:r>
      <w:r w:rsidR="00F81221">
        <w:t xml:space="preserve"> and </w:t>
      </w:r>
      <w:r w:rsidRPr="00A428C3">
        <w:t>reached steady-state values within three weeks. The approximate extents of transformation achieved in the two meter biostimulated zone were as follows: VC, 95%; t-DCE, 90%; c-DCE, 50%;</w:t>
      </w:r>
      <w:r w:rsidR="00F81221">
        <w:t xml:space="preserve"> and </w:t>
      </w:r>
      <w:r w:rsidRPr="00A428C3">
        <w:t>TCE, 20%. The biotransformation of VC</w:t>
      </w:r>
      <w:r w:rsidR="00F81221">
        <w:t xml:space="preserve"> and </w:t>
      </w:r>
      <w:r w:rsidRPr="00A428C3">
        <w:t>t-DCE was observed to be competitively inhibited by methane. Cyclic variations in methane concentration caused by the alternate pulse injection of dissolved methane into the test zone caused oscillations of the aqueous concentrations of VC</w:t>
      </w:r>
      <w:r w:rsidR="00F81221">
        <w:t xml:space="preserve"> and </w:t>
      </w:r>
      <w:r w:rsidRPr="00A428C3">
        <w:t>t-DCE. When formate</w:t>
      </w:r>
      <w:r w:rsidR="00F81221">
        <w:t xml:space="preserve"> and </w:t>
      </w:r>
      <w:r w:rsidRPr="00A428C3">
        <w:t>methanol were substituted for methane as alternative electron donors, inhibition ceased (no oscillations),</w:t>
      </w:r>
      <w:r w:rsidR="00F81221">
        <w:t xml:space="preserve"> and </w:t>
      </w:r>
      <w:r w:rsidRPr="00A428C3">
        <w:t>concentrations were reduced to levels achieved during periods when no methane was present, confirming the inhibition by methane. Higher transformation rates were achieved temporarily, i.e., for several days, through the addition of formate or methanol. When electron donor addition was terminated, the concentration of target compounds rapidly increased, indicating that the transformation promptly ceased. Although these experiments indicated that methane competitively inhibits transformation rates, this competition is a second-order effect: methane as substrate for growth was also required for transformation of VC, t-DCE, c-DCE,</w:t>
      </w:r>
      <w:r w:rsidR="00F81221">
        <w:t xml:space="preserve"> and </w:t>
      </w:r>
      <w:r w:rsidRPr="00A428C3">
        <w:t>TCE by methanotrophs.</w:t>
      </w:r>
    </w:p>
    <w:p w:rsidR="00B95188" w:rsidRDefault="00B95188" w:rsidP="00B95188">
      <w:pPr>
        <w:pStyle w:val="a0"/>
      </w:pPr>
      <w:r w:rsidRPr="00A428C3">
        <w:t>Keywords: Microbial Oxidation, Methane, Hydrocarbons, Metabolism, Ethylenes, Culture, Ethanes</w:t>
      </w:r>
    </w:p>
    <w:p w:rsidR="001D417B" w:rsidRPr="00A428C3" w:rsidRDefault="001D417B" w:rsidP="001D417B">
      <w:pPr>
        <w:pStyle w:val="a0"/>
      </w:pPr>
      <w:r>
        <w:rPr>
          <w:rFonts w:hint="eastAsia"/>
        </w:rPr>
        <w:t>Notes: highly cited</w:t>
      </w:r>
    </w:p>
    <w:p w:rsidR="001D417B" w:rsidRDefault="001D417B" w:rsidP="001D417B">
      <w:pPr>
        <w:pStyle w:val="a0"/>
        <w:rPr>
          <w:kern w:val="0"/>
        </w:rPr>
      </w:pPr>
      <w:r>
        <w:rPr>
          <w:rFonts w:hint="eastAsia"/>
          <w:kern w:val="0"/>
        </w:rPr>
        <w:lastRenderedPageBreak/>
        <w:t xml:space="preserve">? </w:t>
      </w:r>
      <w:r>
        <w:t>Gillham, R</w:t>
      </w:r>
      <w:r>
        <w:rPr>
          <w:rFonts w:hint="eastAsia"/>
        </w:rPr>
        <w:t>.</w:t>
      </w:r>
      <w:r>
        <w:t>W</w:t>
      </w:r>
      <w:r>
        <w:rPr>
          <w:rFonts w:hint="eastAsia"/>
        </w:rPr>
        <w:t>. and</w:t>
      </w:r>
      <w:r>
        <w:t xml:space="preserve"> Ohannesin, S</w:t>
      </w:r>
      <w:r>
        <w:rPr>
          <w:rFonts w:hint="eastAsia"/>
        </w:rPr>
        <w:t>.</w:t>
      </w:r>
      <w:r>
        <w:t>F</w:t>
      </w:r>
      <w:r>
        <w:rPr>
          <w:rFonts w:hint="eastAsia"/>
        </w:rPr>
        <w:t>.</w:t>
      </w:r>
      <w:r>
        <w:rPr>
          <w:kern w:val="0"/>
        </w:rPr>
        <w:t xml:space="preserve"> (</w:t>
      </w:r>
      <w:r>
        <w:rPr>
          <w:rFonts w:hint="eastAsia"/>
          <w:kern w:val="0"/>
        </w:rPr>
        <w:t>1994</w:t>
      </w:r>
      <w:r>
        <w:rPr>
          <w:kern w:val="0"/>
        </w:rPr>
        <w:t xml:space="preserve">), </w:t>
      </w:r>
      <w:r>
        <w:t>Enhanced degradation of halogenated aliphatics by zero-valent iron</w:t>
      </w:r>
      <w:r>
        <w:rPr>
          <w:kern w:val="0"/>
        </w:rPr>
        <w:t xml:space="preserve">. </w:t>
      </w:r>
      <w:r>
        <w:rPr>
          <w:i/>
          <w:iCs/>
          <w:kern w:val="0"/>
        </w:rPr>
        <w:t>Ground Water</w:t>
      </w:r>
      <w:r>
        <w:rPr>
          <w:kern w:val="0"/>
        </w:rPr>
        <w:t xml:space="preserve">, </w:t>
      </w:r>
      <w:r>
        <w:rPr>
          <w:b/>
          <w:bCs/>
          <w:kern w:val="0"/>
        </w:rPr>
        <w:t>3</w:t>
      </w:r>
      <w:r>
        <w:rPr>
          <w:rFonts w:hint="eastAsia"/>
          <w:b/>
          <w:bCs/>
          <w:kern w:val="0"/>
        </w:rPr>
        <w:t>2</w:t>
      </w:r>
      <w:r>
        <w:rPr>
          <w:kern w:val="0"/>
        </w:rPr>
        <w:t xml:space="preserve"> (</w:t>
      </w:r>
      <w:r>
        <w:rPr>
          <w:rFonts w:hint="eastAsia"/>
          <w:kern w:val="0"/>
        </w:rPr>
        <w:t>6</w:t>
      </w:r>
      <w:r>
        <w:rPr>
          <w:kern w:val="0"/>
        </w:rPr>
        <w:t xml:space="preserve">), </w:t>
      </w:r>
      <w:r>
        <w:t>958-967</w:t>
      </w:r>
      <w:r>
        <w:rPr>
          <w:kern w:val="0"/>
        </w:rPr>
        <w:t>.</w:t>
      </w:r>
    </w:p>
    <w:p w:rsidR="001D417B" w:rsidRDefault="001D417B" w:rsidP="001D417B">
      <w:pPr>
        <w:pStyle w:val="a0"/>
      </w:pPr>
      <w:r w:rsidRPr="00A428C3">
        <w:t xml:space="preserve">Full Text: </w:t>
      </w:r>
      <w:hyperlink r:id="rId501" w:history="1">
        <w:r w:rsidRPr="001D417B">
          <w:rPr>
            <w:rStyle w:val="a5"/>
          </w:rPr>
          <w:t>1994\Gro Wat32, 958.pdf</w:t>
        </w:r>
      </w:hyperlink>
    </w:p>
    <w:p w:rsidR="001D417B" w:rsidRDefault="001D417B" w:rsidP="001D417B">
      <w:pPr>
        <w:pStyle w:val="a0"/>
      </w:pPr>
      <w:r>
        <w:t>Abstract: Laboratory tests were conducted to examine zero-valent iron as an enhancing agent in the dehalogenation of 14 chlorinated methanes, ethanes, and ethenes. All compounds were tested by batch procedures in which 10 g of 100-mesh electrolytic iron was added to 40 ml hypovials. Aqueous solutions of the respective compounds were added to the hypovials, and the decline in concentration was monitored over time. Substantial rates of degradation were observed for all compounds tested with the exception of dichloromethane. The degradation process appeared to be pseudo first-order with respect to the organic compound, with the rate constant appearing to be directly proportional to the surface area to volume ratio and increasing with increasing degree of chlorination. Column tests showed the process to proceed under flow conditions with degradation rates independent of velocity and consistent with those measured in the batch tests. When normalized to 1 m2/ml, the t50 values ranged from 0.013 to 20 hr, and were about 5 to 15 orders of magnitude lower than values reported for natural rates of abiotic degradation. The results indicate abiotic reductive dechlorination, with iron serving as the source of electrons; the mechanism is, however, uncertain. Based on the rapid rates of degradation, both in situ and aboveground applications for remediation of contaminated ground water are proposed.</w:t>
      </w:r>
    </w:p>
    <w:p w:rsidR="001D417B" w:rsidRPr="00A428C3" w:rsidRDefault="001D417B" w:rsidP="001D417B">
      <w:pPr>
        <w:pStyle w:val="a0"/>
      </w:pPr>
      <w:r>
        <w:t>Keywords: Groundwater</w:t>
      </w:r>
    </w:p>
    <w:p w:rsidR="001D417B" w:rsidRPr="00A428C3" w:rsidRDefault="001D417B" w:rsidP="001D417B">
      <w:pPr>
        <w:pStyle w:val="a0"/>
      </w:pPr>
      <w:r>
        <w:rPr>
          <w:rFonts w:hint="eastAsia"/>
        </w:rPr>
        <w:t>Notes: highly cited</w:t>
      </w:r>
    </w:p>
    <w:p w:rsidR="001D417B" w:rsidRDefault="001D417B" w:rsidP="001D417B">
      <w:pPr>
        <w:pStyle w:val="a0"/>
        <w:rPr>
          <w:kern w:val="0"/>
        </w:rPr>
      </w:pPr>
      <w:r>
        <w:rPr>
          <w:rFonts w:hint="eastAsia"/>
          <w:kern w:val="0"/>
        </w:rPr>
        <w:t xml:space="preserve">? </w:t>
      </w:r>
      <w:r>
        <w:rPr>
          <w:kern w:val="0"/>
        </w:rPr>
        <w:t xml:space="preserve">Welch, A.H., Westjohn, D.B., Helsel, D.R. and Wanty, R.B. (2000), Arsenic in ground water of the United States: Occurrence and geochemistry. </w:t>
      </w:r>
      <w:r>
        <w:rPr>
          <w:i/>
          <w:iCs/>
          <w:kern w:val="0"/>
        </w:rPr>
        <w:t>Ground Water</w:t>
      </w:r>
      <w:r>
        <w:rPr>
          <w:kern w:val="0"/>
        </w:rPr>
        <w:t xml:space="preserve">, </w:t>
      </w:r>
      <w:r>
        <w:rPr>
          <w:b/>
          <w:bCs/>
          <w:kern w:val="0"/>
        </w:rPr>
        <w:t>38</w:t>
      </w:r>
      <w:r>
        <w:rPr>
          <w:kern w:val="0"/>
        </w:rPr>
        <w:t xml:space="preserve"> (4), 589-604.</w:t>
      </w:r>
    </w:p>
    <w:p w:rsidR="001D417B" w:rsidRPr="00A428C3" w:rsidRDefault="001D417B" w:rsidP="001D417B">
      <w:pPr>
        <w:pStyle w:val="a0"/>
      </w:pPr>
      <w:r w:rsidRPr="00A428C3">
        <w:t xml:space="preserve">Full Text: </w:t>
      </w:r>
      <w:hyperlink r:id="rId502" w:history="1">
        <w:r w:rsidRPr="00325431">
          <w:rPr>
            <w:rStyle w:val="a5"/>
          </w:rPr>
          <w:t>2000\Gro Wat38, 589.pdf</w:t>
        </w:r>
      </w:hyperlink>
    </w:p>
    <w:p w:rsidR="00325431" w:rsidRDefault="00325431" w:rsidP="00325431">
      <w:pPr>
        <w:pStyle w:val="a0"/>
        <w:rPr>
          <w:kern w:val="0"/>
        </w:rPr>
      </w:pPr>
      <w:r>
        <w:rPr>
          <w:kern w:val="0"/>
        </w:rPr>
        <w:t>Abstract: Concentrations of naturally occurring arsenic in ground water vary regionally due to a combination of climate</w:t>
      </w:r>
      <w:r w:rsidR="00F81221">
        <w:rPr>
          <w:kern w:val="0"/>
        </w:rPr>
        <w:t xml:space="preserve"> and </w:t>
      </w:r>
      <w:r>
        <w:rPr>
          <w:kern w:val="0"/>
        </w:rPr>
        <w:t>geology. Although slightly less than half of 30,000 arsenic analyses of ground water in the United States were less than or equal to 1 mu g/L, about 10% exceeded 10 mu g/L. At a broad regional scale, arsenic concentrations exceeding 10 mu g/L appear to be more frequently observed in the western United States than in the eastern half. Arsenic concentrations in ground water of the Appalachian Highlands</w:t>
      </w:r>
      <w:r w:rsidR="00F81221">
        <w:rPr>
          <w:kern w:val="0"/>
        </w:rPr>
        <w:t xml:space="preserve"> and </w:t>
      </w:r>
      <w:r>
        <w:rPr>
          <w:kern w:val="0"/>
        </w:rPr>
        <w:t>the Atlantic Plain generally are very low (less than or equal to 1 mu g/L), Concentrations are somewhat greater in the Interior Plains</w:t>
      </w:r>
      <w:r w:rsidR="00F81221">
        <w:rPr>
          <w:kern w:val="0"/>
        </w:rPr>
        <w:t xml:space="preserve"> and </w:t>
      </w:r>
      <w:r>
        <w:rPr>
          <w:kern w:val="0"/>
        </w:rPr>
        <w:t>the Rocky Mountain System. Investigations of ground water in New England, Michigan, Minnesota, South Dakota, Oklahoma,</w:t>
      </w:r>
      <w:r w:rsidR="00F81221">
        <w:rPr>
          <w:kern w:val="0"/>
        </w:rPr>
        <w:t xml:space="preserve"> and </w:t>
      </w:r>
      <w:r>
        <w:rPr>
          <w:kern w:val="0"/>
        </w:rPr>
        <w:t>Wisconsin within the last decade suggest that arsenic concentrations exceeding 10 mu g/L are more widespread</w:t>
      </w:r>
      <w:r w:rsidR="00F81221">
        <w:rPr>
          <w:kern w:val="0"/>
        </w:rPr>
        <w:t xml:space="preserve"> and </w:t>
      </w:r>
      <w:r>
        <w:rPr>
          <w:kern w:val="0"/>
        </w:rPr>
        <w:t xml:space="preserve">common than previously recognized. Arsenic release from iron oxide </w:t>
      </w:r>
      <w:r>
        <w:rPr>
          <w:kern w:val="0"/>
        </w:rPr>
        <w:lastRenderedPageBreak/>
        <w:t>appears to he the most common cause of widespread arsenic concentrations exceeding 10 mu g/L in ground water. This can occur in response to different geochemical conditions, including release of arsenic to ground water through reaction of iron oxide with either natural or anthropogenic (i.e., petroleum products) organic carbon. Iron oxide also can release arsenic to alkaline ground water, such as that found in some felsic volcanic rocks</w:t>
      </w:r>
      <w:r w:rsidR="00F81221">
        <w:rPr>
          <w:kern w:val="0"/>
        </w:rPr>
        <w:t xml:space="preserve"> and </w:t>
      </w:r>
      <w:r>
        <w:rPr>
          <w:kern w:val="0"/>
        </w:rPr>
        <w:t>alkaline aquifers of the western United States. Sulfide minerals are both a source</w:t>
      </w:r>
      <w:r w:rsidR="00F81221">
        <w:rPr>
          <w:kern w:val="0"/>
        </w:rPr>
        <w:t xml:space="preserve"> and </w:t>
      </w:r>
      <w:r>
        <w:rPr>
          <w:kern w:val="0"/>
        </w:rPr>
        <w:t>sink for arsenic. Geothermal water</w:t>
      </w:r>
      <w:r w:rsidR="00F81221">
        <w:rPr>
          <w:kern w:val="0"/>
        </w:rPr>
        <w:t xml:space="preserve"> and </w:t>
      </w:r>
      <w:r>
        <w:rPr>
          <w:kern w:val="0"/>
        </w:rPr>
        <w:t>high evaporation rates also are associated,vith arsenic concentrations greater than or equal to 10g/L in ground</w:t>
      </w:r>
      <w:r w:rsidR="00F81221">
        <w:rPr>
          <w:kern w:val="0"/>
        </w:rPr>
        <w:t xml:space="preserve"> and </w:t>
      </w:r>
      <w:r>
        <w:rPr>
          <w:kern w:val="0"/>
        </w:rPr>
        <w:t>surface water, particularly in the west.</w:t>
      </w:r>
    </w:p>
    <w:p w:rsidR="00325431" w:rsidRDefault="00325431" w:rsidP="00325431">
      <w:pPr>
        <w:pStyle w:val="a0"/>
        <w:rPr>
          <w:kern w:val="0"/>
        </w:rPr>
      </w:pPr>
      <w:r>
        <w:rPr>
          <w:kern w:val="0"/>
        </w:rPr>
        <w:t>Keywords: Aquifers, Arsenic, Carbon, Clark-Fork-River, Drinking-Water, Evaporation, Ferrihydrite, Geothermal Waters, Iron, Iron Oxide, Lake-Sediments, Lead Arsenate, Pyrite Oxidation, Scale, Surface Water, Surface-Chemistry, Thiobacillus-Ferrooxidans, Trace-Metals, Water</w:t>
      </w:r>
    </w:p>
    <w:p w:rsidR="00E75FE0" w:rsidRDefault="00E75FE0" w:rsidP="00E75FE0">
      <w:pPr>
        <w:pStyle w:val="a0"/>
        <w:rPr>
          <w:kern w:val="0"/>
        </w:rPr>
      </w:pPr>
      <w:r>
        <w:rPr>
          <w:rFonts w:hint="eastAsia"/>
          <w:kern w:val="0"/>
        </w:rPr>
        <w:t xml:space="preserve">? </w:t>
      </w:r>
      <w:r>
        <w:t>Schwartz</w:t>
      </w:r>
      <w:r>
        <w:rPr>
          <w:rFonts w:hint="eastAsia"/>
        </w:rPr>
        <w:t>,</w:t>
      </w:r>
      <w:r>
        <w:t xml:space="preserve"> F</w:t>
      </w:r>
      <w:r>
        <w:rPr>
          <w:rFonts w:hint="eastAsia"/>
        </w:rPr>
        <w:t>.</w:t>
      </w:r>
      <w:r>
        <w:t>W</w:t>
      </w:r>
      <w:r>
        <w:rPr>
          <w:rFonts w:hint="eastAsia"/>
        </w:rPr>
        <w:t>.</w:t>
      </w:r>
      <w:r w:rsidR="00F81221">
        <w:rPr>
          <w:rFonts w:hint="eastAsia"/>
        </w:rPr>
        <w:t xml:space="preserve"> and </w:t>
      </w:r>
      <w:r>
        <w:t>Ibaraki</w:t>
      </w:r>
      <w:r>
        <w:rPr>
          <w:rFonts w:hint="eastAsia"/>
        </w:rPr>
        <w:t>,</w:t>
      </w:r>
      <w:r>
        <w:t xml:space="preserve"> M</w:t>
      </w:r>
      <w:r>
        <w:rPr>
          <w:rFonts w:hint="eastAsia"/>
        </w:rPr>
        <w:t>.</w:t>
      </w:r>
      <w:r>
        <w:rPr>
          <w:kern w:val="0"/>
        </w:rPr>
        <w:t xml:space="preserve"> (200</w:t>
      </w:r>
      <w:r>
        <w:rPr>
          <w:rFonts w:hint="eastAsia"/>
          <w:kern w:val="0"/>
        </w:rPr>
        <w:t>1</w:t>
      </w:r>
      <w:r>
        <w:rPr>
          <w:kern w:val="0"/>
        </w:rPr>
        <w:t xml:space="preserve">), </w:t>
      </w:r>
      <w:r>
        <w:t>Hydrogeological research: Beginning of the end or end of the beginning?</w:t>
      </w:r>
      <w:r>
        <w:rPr>
          <w:kern w:val="0"/>
        </w:rPr>
        <w:t xml:space="preserve"> </w:t>
      </w:r>
      <w:r>
        <w:rPr>
          <w:i/>
          <w:iCs/>
          <w:kern w:val="0"/>
        </w:rPr>
        <w:t>Ground Water</w:t>
      </w:r>
      <w:r>
        <w:rPr>
          <w:kern w:val="0"/>
        </w:rPr>
        <w:t xml:space="preserve">, </w:t>
      </w:r>
      <w:r>
        <w:rPr>
          <w:b/>
          <w:bCs/>
          <w:kern w:val="0"/>
        </w:rPr>
        <w:t>3</w:t>
      </w:r>
      <w:r>
        <w:rPr>
          <w:rFonts w:hint="eastAsia"/>
          <w:b/>
          <w:bCs/>
          <w:kern w:val="0"/>
        </w:rPr>
        <w:t>9</w:t>
      </w:r>
      <w:r>
        <w:rPr>
          <w:kern w:val="0"/>
        </w:rPr>
        <w:t xml:space="preserve"> (4), </w:t>
      </w:r>
      <w:r>
        <w:t>492-498</w:t>
      </w:r>
      <w:r>
        <w:rPr>
          <w:kern w:val="0"/>
        </w:rPr>
        <w:t>.</w:t>
      </w:r>
    </w:p>
    <w:p w:rsidR="00E75FE0" w:rsidRDefault="00E75FE0" w:rsidP="00E75FE0">
      <w:pPr>
        <w:pStyle w:val="a0"/>
      </w:pPr>
      <w:r w:rsidRPr="00A428C3">
        <w:t xml:space="preserve">Full Text: </w:t>
      </w:r>
      <w:hyperlink r:id="rId503" w:history="1">
        <w:r w:rsidRPr="00E75FE0">
          <w:rPr>
            <w:rStyle w:val="a5"/>
          </w:rPr>
          <w:t>2001\Gro Wat39, 492.pdf</w:t>
        </w:r>
      </w:hyperlink>
    </w:p>
    <w:p w:rsidR="00E75FE0" w:rsidRPr="00A428C3" w:rsidRDefault="00E75FE0" w:rsidP="00E75FE0">
      <w:pPr>
        <w:pStyle w:val="a0"/>
      </w:pPr>
      <w:r>
        <w:t>Abstract: This paper uses citation data to assess whether articles published in key ground water journals such as Ground Water (GW)</w:t>
      </w:r>
      <w:r w:rsidR="00F81221">
        <w:t xml:space="preserve"> and </w:t>
      </w:r>
      <w:r>
        <w:t>Water Resources Research (WRR) are impacting research. Citation information was obtained from SCI Journal Citation Reports</w:t>
      </w:r>
      <w:r w:rsidR="00F81221">
        <w:t xml:space="preserve"> and </w:t>
      </w:r>
      <w:r>
        <w:t>The Web of Science - databases maintained by the Institute for Scientific Information (ISI), Information extracted from The Web of Science was processed further to remove corrections to papers, discussion/replies,</w:t>
      </w:r>
      <w:r w:rsidR="00F81221">
        <w:t xml:space="preserve"> and </w:t>
      </w:r>
      <w:r>
        <w:t>book reviews. Generally, there are many ground water papers published, but citations of these papers are limited. Approximately 10% to 15% of WRR articles,</w:t>
      </w:r>
      <w:r w:rsidR="00F81221">
        <w:t xml:space="preserve"> and </w:t>
      </w:r>
      <w:r>
        <w:t>2% to 3% of GW articles attract more than 50 citations in their lifetimes. In both GW</w:t>
      </w:r>
      <w:r w:rsidR="00F81221">
        <w:t xml:space="preserve"> and </w:t>
      </w:r>
      <w:r>
        <w:t>WRR, the top 10% of papers eventually will contribute nearly half of the total yearly citations. Another emerging trend is a diminishing emphasis on citations to new work as compared to work more than 10 years in age. When articles in Ground Water or Journal of Hydrology cite papers in Water Resources Research, those papers cite work 10 or more years old half of the time. If one believes that citations are a measure of science impact, then there is cause for concern. Research is inefficient with much produced for little gain. On a typical industrial life-cycle curve, ground water research is likely ranked as mature</w:t>
      </w:r>
      <w:r w:rsidR="00F81221">
        <w:t xml:space="preserve"> and </w:t>
      </w:r>
      <w:r>
        <w:t>close to aging. At this stage, much work will have been completed</w:t>
      </w:r>
      <w:r w:rsidR="00F81221">
        <w:t xml:space="preserve"> and </w:t>
      </w:r>
      <w:r>
        <w:t>the number of truly impactful problems will have dwindled to just a few.</w:t>
      </w:r>
    </w:p>
    <w:p w:rsidR="00E75FE0" w:rsidRDefault="00E75FE0" w:rsidP="00E75FE0">
      <w:pPr>
        <w:pStyle w:val="a0"/>
        <w:rPr>
          <w:kern w:val="0"/>
        </w:rPr>
      </w:pPr>
      <w:r>
        <w:rPr>
          <w:rFonts w:hint="eastAsia"/>
          <w:kern w:val="0"/>
        </w:rPr>
        <w:t xml:space="preserve">? </w:t>
      </w:r>
      <w:r>
        <w:rPr>
          <w:kern w:val="0"/>
        </w:rPr>
        <w:t>(200</w:t>
      </w:r>
      <w:r w:rsidR="000C5BDC">
        <w:rPr>
          <w:rFonts w:hint="eastAsia"/>
          <w:kern w:val="0"/>
        </w:rPr>
        <w:t>2</w:t>
      </w:r>
      <w:r>
        <w:rPr>
          <w:kern w:val="0"/>
        </w:rPr>
        <w:t xml:space="preserve">), </w:t>
      </w:r>
      <w:r w:rsidR="000352E7">
        <w:t>“</w:t>
      </w:r>
      <w:r w:rsidR="000C5BDC">
        <w:t>Hydrogeological research: Beginning of the end or end of the beginning?</w:t>
      </w:r>
      <w:r w:rsidR="000352E7">
        <w:t>”</w:t>
      </w:r>
      <w:r w:rsidR="000C5BDC">
        <w:t xml:space="preserve"> by F.W. Schwartz,</w:t>
      </w:r>
      <w:r w:rsidR="00F81221">
        <w:t xml:space="preserve"> and </w:t>
      </w:r>
      <w:r w:rsidR="000C5BDC">
        <w:t>M. Ibaraki. 2001. Ground Water 39, no. 4 : 492-498. Discussion by Miller</w:t>
      </w:r>
      <w:r w:rsidR="00F81221">
        <w:t xml:space="preserve"> and </w:t>
      </w:r>
      <w:r w:rsidR="000C5BDC">
        <w:t>Gray appears on pp. 224-231 as an Issue Paper.</w:t>
      </w:r>
      <w:r>
        <w:rPr>
          <w:kern w:val="0"/>
        </w:rPr>
        <w:t xml:space="preserve"> </w:t>
      </w:r>
      <w:r>
        <w:rPr>
          <w:i/>
          <w:iCs/>
          <w:kern w:val="0"/>
        </w:rPr>
        <w:t>Ground Water</w:t>
      </w:r>
      <w:r>
        <w:rPr>
          <w:kern w:val="0"/>
        </w:rPr>
        <w:t xml:space="preserve">, </w:t>
      </w:r>
      <w:r w:rsidR="000C5BDC">
        <w:rPr>
          <w:rFonts w:hint="eastAsia"/>
          <w:b/>
          <w:bCs/>
          <w:kern w:val="0"/>
        </w:rPr>
        <w:t>40</w:t>
      </w:r>
      <w:r>
        <w:rPr>
          <w:kern w:val="0"/>
        </w:rPr>
        <w:t xml:space="preserve"> (</w:t>
      </w:r>
      <w:r w:rsidR="000C5BDC">
        <w:rPr>
          <w:rFonts w:hint="eastAsia"/>
          <w:kern w:val="0"/>
        </w:rPr>
        <w:t>3</w:t>
      </w:r>
      <w:r>
        <w:rPr>
          <w:kern w:val="0"/>
        </w:rPr>
        <w:t xml:space="preserve">), </w:t>
      </w:r>
      <w:r w:rsidR="000C5BDC">
        <w:t>317-319</w:t>
      </w:r>
      <w:r>
        <w:rPr>
          <w:kern w:val="0"/>
        </w:rPr>
        <w:t>.</w:t>
      </w:r>
    </w:p>
    <w:p w:rsidR="00E75FE0" w:rsidRDefault="00E75FE0" w:rsidP="00E75FE0">
      <w:pPr>
        <w:pStyle w:val="a0"/>
      </w:pPr>
      <w:r w:rsidRPr="00A428C3">
        <w:lastRenderedPageBreak/>
        <w:t xml:space="preserve">Full Text: </w:t>
      </w:r>
      <w:hyperlink r:id="rId504" w:history="1">
        <w:r w:rsidR="000C5BDC" w:rsidRPr="000C5BDC">
          <w:rPr>
            <w:rStyle w:val="a5"/>
          </w:rPr>
          <w:t>2002\Gro Wat40, 317.pdf</w:t>
        </w:r>
      </w:hyperlink>
    </w:p>
    <w:p w:rsidR="00B95188" w:rsidRPr="00A428C3" w:rsidRDefault="00B95188" w:rsidP="00B95188">
      <w:pPr>
        <w:pStyle w:val="1"/>
      </w:pPr>
      <w:r w:rsidRPr="00A428C3">
        <w:br w:type="page"/>
      </w:r>
      <w:bookmarkStart w:id="413" w:name="_Toc186647742"/>
      <w:bookmarkStart w:id="414" w:name="_Toc317160964"/>
      <w:r w:rsidRPr="00A428C3">
        <w:lastRenderedPageBreak/>
        <w:t>Title: Ground Water Monitoring</w:t>
      </w:r>
      <w:r w:rsidR="00F81221">
        <w:t xml:space="preserve"> and </w:t>
      </w:r>
      <w:r w:rsidRPr="00A428C3">
        <w:t>Remediation</w:t>
      </w:r>
      <w:bookmarkEnd w:id="413"/>
      <w:bookmarkEnd w:id="414"/>
    </w:p>
    <w:p w:rsidR="00B95188" w:rsidRPr="00A428C3" w:rsidRDefault="00B95188" w:rsidP="00B72EF9">
      <w:pPr>
        <w:pStyle w:val="12"/>
      </w:pPr>
      <w:r w:rsidRPr="00A428C3">
        <w:t>Full Journal Title: Ground Water Monitoring</w:t>
      </w:r>
      <w:r w:rsidR="00F81221">
        <w:t xml:space="preserve"> and </w:t>
      </w:r>
      <w:r w:rsidRPr="00A428C3">
        <w:t>Remediation</w:t>
      </w:r>
    </w:p>
    <w:p w:rsidR="00B95188" w:rsidRPr="00A428C3" w:rsidRDefault="00B95188" w:rsidP="00B72EF9">
      <w:pPr>
        <w:pStyle w:val="12"/>
      </w:pPr>
      <w:r w:rsidRPr="00A428C3">
        <w:t>ISO Abbreviated Title: Ground Water Monit. Remediat.</w:t>
      </w:r>
    </w:p>
    <w:p w:rsidR="00B95188" w:rsidRPr="00A428C3" w:rsidRDefault="00B95188" w:rsidP="00B72EF9">
      <w:pPr>
        <w:pStyle w:val="12"/>
      </w:pPr>
      <w:r w:rsidRPr="00A428C3">
        <w:t>JCR Abbreviated Title: Ground Water Monit Remediat</w:t>
      </w:r>
    </w:p>
    <w:p w:rsidR="00B95188" w:rsidRPr="00A428C3" w:rsidRDefault="00B95188" w:rsidP="00B72EF9">
      <w:pPr>
        <w:pStyle w:val="12"/>
      </w:pPr>
      <w:r w:rsidRPr="00A428C3">
        <w:t>ISSN: 1069-3629</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Ground Water Publishing Co</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601 Dempsey Rd</w:t>
          </w:r>
        </w:smartTag>
        <w:r w:rsidRPr="00A428C3">
          <w:t xml:space="preserve">, </w:t>
        </w:r>
        <w:smartTag w:uri="urn:schemas-microsoft-com:office:smarttags" w:element="City">
          <w:r w:rsidRPr="00A428C3">
            <w:t>Westerville</w:t>
          </w:r>
        </w:smartTag>
        <w:r w:rsidRPr="00A428C3">
          <w:t xml:space="preserve">, </w:t>
        </w:r>
        <w:smartTag w:uri="urn:schemas-microsoft-com:office:smarttags" w:element="State">
          <w:r w:rsidRPr="00A428C3">
            <w:t>OH</w:t>
          </w:r>
        </w:smartTag>
        <w:r w:rsidRPr="00A428C3">
          <w:t xml:space="preserve"> </w:t>
        </w:r>
        <w:smartTag w:uri="urn:schemas-microsoft-com:office:smarttags" w:element="PostalCode">
          <w:r w:rsidRPr="00A428C3">
            <w:t>43081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Water Resources: Impact Factor 0.732, / (2000)</w:t>
      </w:r>
    </w:p>
    <w:p w:rsidR="00B95188" w:rsidRPr="00A428C3" w:rsidRDefault="00B95188" w:rsidP="00B95188">
      <w:pPr>
        <w:pStyle w:val="a0"/>
      </w:pPr>
      <w:r w:rsidRPr="00A428C3">
        <w:t>? Lindberg, J., Sterneland, J., Johansson, P.O.</w:t>
      </w:r>
      <w:r w:rsidR="00F81221">
        <w:t xml:space="preserve"> and </w:t>
      </w:r>
      <w:r w:rsidRPr="00A428C3">
        <w:t xml:space="preserve">Gustafsson, J.P. (1997), Spodic material for in situ treatment of arsenic in ground water. </w:t>
      </w:r>
      <w:r w:rsidRPr="00A428C3">
        <w:rPr>
          <w:i/>
        </w:rPr>
        <w:t>Ground Water Monitoring</w:t>
      </w:r>
      <w:r w:rsidR="00F81221">
        <w:rPr>
          <w:i/>
        </w:rPr>
        <w:t xml:space="preserve"> and </w:t>
      </w:r>
      <w:r w:rsidRPr="00A428C3">
        <w:rPr>
          <w:i/>
        </w:rPr>
        <w:t>Remediation</w:t>
      </w:r>
      <w:r w:rsidRPr="00A428C3">
        <w:t xml:space="preserve">, </w:t>
      </w:r>
      <w:r w:rsidRPr="00A428C3">
        <w:rPr>
          <w:b/>
        </w:rPr>
        <w:t>17</w:t>
      </w:r>
      <w:r w:rsidRPr="00A428C3">
        <w:t xml:space="preserve"> (4), 125-130.</w:t>
      </w:r>
    </w:p>
    <w:p w:rsidR="00B95188" w:rsidRPr="00A428C3" w:rsidRDefault="00B95188" w:rsidP="00B95188">
      <w:pPr>
        <w:pStyle w:val="a0"/>
      </w:pPr>
      <w:r w:rsidRPr="00A428C3">
        <w:t xml:space="preserve">Abstract: The teaching of chromium-copper-arsenic salts from old wood preservation sites is a threat to ground water at many places in </w:t>
      </w:r>
      <w:smartTag w:uri="urn:schemas-microsoft-com:office:smarttags" w:element="place">
        <w:smartTag w:uri="urn:schemas-microsoft-com:office:smarttags" w:element="country-region">
          <w:r w:rsidRPr="00A428C3">
            <w:t>Sweden</w:t>
          </w:r>
        </w:smartTag>
      </w:smartTag>
      <w:r w:rsidRPr="00A428C3">
        <w:t xml:space="preserve">. The installation of in situ reactive barriers is an attractive </w:t>
      </w:r>
      <w:r w:rsidR="000352E7">
        <w:t>“</w:t>
      </w:r>
      <w:r w:rsidRPr="00A428C3">
        <w:t>passive</w:t>
      </w:r>
      <w:r w:rsidR="000352E7">
        <w:t>”</w:t>
      </w:r>
      <w:r w:rsidRPr="00A428C3">
        <w:t xml:space="preserve"> technique to prevent the further spreading of contaminants. The use of peat as a reactive barrier material has been suggested for heavy metals, but this material was expected to be unsatisfactory for arsenic (As). Therefore, the feasibility of using spodic B horizon material for the retention of arsenic was tested in laboratory column experiments. Contaminated soil was taken from an old preservation site</w:t>
      </w:r>
      <w:r w:rsidR="00F81221">
        <w:t xml:space="preserve"> and </w:t>
      </w:r>
      <w:r w:rsidRPr="00A428C3">
        <w:t>leached under conditions designed to imitate the field conditions. The arsenic load during the three-month duration of the test corresponded to a load at the field site during three years. The B horizon material proved to be efficient for retention of arsenic, despite the observation that As(III) dominated the As speciation. The As(III) concentration was reduced from 1 to 3 mg dm</w:t>
      </w:r>
      <w:r w:rsidRPr="00A428C3">
        <w:rPr>
          <w:vertAlign w:val="superscript"/>
        </w:rPr>
        <w:t>-3</w:t>
      </w:r>
      <w:r w:rsidRPr="00A428C3">
        <w:t xml:space="preserve"> to &lt; 0.02 mg dm</w:t>
      </w:r>
      <w:r w:rsidRPr="00A428C3">
        <w:rPr>
          <w:vertAlign w:val="superscript"/>
        </w:rPr>
        <w:t>-3</w:t>
      </w:r>
      <w:r w:rsidRPr="00A428C3">
        <w:t>). Pure pear was, as expected, not suited as a reactive barrier for As,</w:t>
      </w:r>
      <w:r w:rsidR="00F81221">
        <w:t xml:space="preserve"> and </w:t>
      </w:r>
      <w:r w:rsidRPr="00A428C3">
        <w:t>a mixed B horizon/peat reactive barrier also proved unsatisfactory for the removal of As. It is therefore important to separate the B horizon material from any peat that is used to sorb heavy metals. Before applying the B horizon reactive barrier technique in the field, the effect of the naturally occurring variability of the reactive compounds should be tested. The inclusion of oxidizing agents in the barrier could possibly improve the lifetime considerably. Furthermore, the influence of the flow rate should be evaluated since the kinetics of the arsenic adsorption is relatively slow.</w:t>
      </w:r>
    </w:p>
    <w:p w:rsidR="00B95188" w:rsidRPr="00A428C3" w:rsidRDefault="00B95188" w:rsidP="00B95188">
      <w:pPr>
        <w:pStyle w:val="a0"/>
      </w:pPr>
      <w:r w:rsidRPr="00A428C3">
        <w:t>Keywords: Hydride Generation, Remediation, Adsorption, Soils</w:t>
      </w:r>
    </w:p>
    <w:p w:rsidR="00BF38C2" w:rsidRPr="00217FB1" w:rsidRDefault="00BF38C2" w:rsidP="00BF38C2">
      <w:pPr>
        <w:pStyle w:val="1"/>
      </w:pPr>
      <w:r>
        <w:br w:type="page"/>
      </w:r>
      <w:bookmarkStart w:id="415" w:name="_Toc317160965"/>
      <w:r>
        <w:lastRenderedPageBreak/>
        <w:t xml:space="preserve">Title: </w:t>
      </w:r>
      <w:r w:rsidRPr="007D064B">
        <w:t>Gruppenpsychotherapie und Gruppendynamik</w:t>
      </w:r>
      <w:bookmarkEnd w:id="415"/>
    </w:p>
    <w:p w:rsidR="00BF38C2" w:rsidRPr="00217FB1" w:rsidRDefault="00BF38C2" w:rsidP="00B72EF9">
      <w:pPr>
        <w:pStyle w:val="12"/>
      </w:pPr>
      <w:r w:rsidRPr="00217FB1">
        <w:t xml:space="preserve">Full Journal Title: </w:t>
      </w:r>
      <w:r w:rsidRPr="007D064B">
        <w:t>Gruppenpsychotherapie und Gruppendynamik</w:t>
      </w:r>
    </w:p>
    <w:p w:rsidR="00BF38C2" w:rsidRPr="00217FB1" w:rsidRDefault="00BF38C2" w:rsidP="00B72EF9">
      <w:pPr>
        <w:pStyle w:val="12"/>
      </w:pPr>
      <w:r>
        <w:t>ISO Abbreviated Title:</w:t>
      </w:r>
    </w:p>
    <w:p w:rsidR="00BF38C2" w:rsidRPr="00217FB1" w:rsidRDefault="00BF38C2" w:rsidP="00B72EF9">
      <w:pPr>
        <w:pStyle w:val="12"/>
      </w:pPr>
      <w:r w:rsidRPr="00217FB1">
        <w:t>JCR Abbreviated Title</w:t>
      </w:r>
      <w:r>
        <w:t>:</w:t>
      </w:r>
    </w:p>
    <w:p w:rsidR="00BF38C2" w:rsidRPr="00217FB1" w:rsidRDefault="00BF38C2" w:rsidP="00B72EF9">
      <w:pPr>
        <w:pStyle w:val="12"/>
      </w:pPr>
      <w:r>
        <w:t xml:space="preserve">ISSN: </w:t>
      </w:r>
    </w:p>
    <w:p w:rsidR="00BF38C2" w:rsidRPr="00217FB1" w:rsidRDefault="00BF38C2" w:rsidP="00B72EF9">
      <w:pPr>
        <w:pStyle w:val="12"/>
      </w:pPr>
      <w:r>
        <w:t xml:space="preserve">Issues/Year: </w:t>
      </w:r>
    </w:p>
    <w:p w:rsidR="00BF38C2" w:rsidRPr="00217FB1" w:rsidRDefault="00FB5623" w:rsidP="00B72EF9">
      <w:pPr>
        <w:pStyle w:val="12"/>
      </w:pPr>
      <w:r>
        <w:t>Journal Country/Territory:</w:t>
      </w:r>
    </w:p>
    <w:p w:rsidR="00BF38C2" w:rsidRPr="00217FB1" w:rsidRDefault="00BF38C2" w:rsidP="00B72EF9">
      <w:pPr>
        <w:pStyle w:val="12"/>
      </w:pPr>
      <w:r w:rsidRPr="00217FB1">
        <w:t xml:space="preserve">Language: </w:t>
      </w:r>
    </w:p>
    <w:p w:rsidR="00BF38C2" w:rsidRPr="00217FB1" w:rsidRDefault="00BF38C2" w:rsidP="00B72EF9">
      <w:pPr>
        <w:pStyle w:val="12"/>
      </w:pPr>
      <w:r w:rsidRPr="00217FB1">
        <w:t xml:space="preserve">Publisher: </w:t>
      </w:r>
    </w:p>
    <w:p w:rsidR="00BF38C2" w:rsidRPr="00217FB1" w:rsidRDefault="00BF38C2" w:rsidP="00B72EF9">
      <w:pPr>
        <w:pStyle w:val="12"/>
      </w:pPr>
      <w:r w:rsidRPr="00217FB1">
        <w:t xml:space="preserve">Publisher Address: </w:t>
      </w:r>
    </w:p>
    <w:p w:rsidR="00BF38C2" w:rsidRPr="00217FB1" w:rsidRDefault="00BF38C2" w:rsidP="00B72EF9">
      <w:pPr>
        <w:pStyle w:val="12"/>
      </w:pPr>
      <w:r w:rsidRPr="00217FB1">
        <w:t>Subject Categories:</w:t>
      </w:r>
    </w:p>
    <w:p w:rsidR="00BF38C2" w:rsidRDefault="00BF38C2" w:rsidP="00BF38C2">
      <w:pPr>
        <w:pStyle w:val="a0"/>
        <w:rPr>
          <w:kern w:val="0"/>
          <w:szCs w:val="24"/>
        </w:rPr>
      </w:pPr>
      <w:r>
        <w:rPr>
          <w:rFonts w:hint="eastAsia"/>
          <w:kern w:val="0"/>
          <w:szCs w:val="24"/>
        </w:rPr>
        <w:t xml:space="preserve">? </w:t>
      </w:r>
      <w:r>
        <w:rPr>
          <w:kern w:val="0"/>
          <w:szCs w:val="24"/>
        </w:rPr>
        <w:t>Strauss, B., Schreiber, B.</w:t>
      </w:r>
      <w:r w:rsidR="00F81221">
        <w:rPr>
          <w:kern w:val="0"/>
          <w:szCs w:val="24"/>
        </w:rPr>
        <w:t xml:space="preserve"> and </w:t>
      </w:r>
      <w:r>
        <w:rPr>
          <w:kern w:val="0"/>
          <w:szCs w:val="24"/>
        </w:rPr>
        <w:t>Brahler, E. (2000), The relationship between empirical work</w:t>
      </w:r>
      <w:r w:rsidR="00F81221">
        <w:rPr>
          <w:kern w:val="0"/>
          <w:szCs w:val="24"/>
        </w:rPr>
        <w:t xml:space="preserve"> and </w:t>
      </w:r>
      <w:r>
        <w:rPr>
          <w:kern w:val="0"/>
          <w:szCs w:val="24"/>
        </w:rPr>
        <w:t xml:space="preserve">theory in group psychotherapy demonstrated in an analysis of the journal Gruppenpsychotherapie und Gruppendynamik. </w:t>
      </w:r>
      <w:r>
        <w:rPr>
          <w:i/>
          <w:iCs/>
          <w:kern w:val="0"/>
          <w:szCs w:val="24"/>
        </w:rPr>
        <w:t>Gruppenpsychotherapie und Gruppendynamik</w:t>
      </w:r>
      <w:r>
        <w:rPr>
          <w:kern w:val="0"/>
          <w:szCs w:val="24"/>
        </w:rPr>
        <w:t xml:space="preserve">, </w:t>
      </w:r>
      <w:r>
        <w:rPr>
          <w:b/>
          <w:bCs/>
          <w:kern w:val="0"/>
          <w:szCs w:val="24"/>
        </w:rPr>
        <w:t>36</w:t>
      </w:r>
      <w:r>
        <w:rPr>
          <w:kern w:val="0"/>
          <w:szCs w:val="24"/>
        </w:rPr>
        <w:t xml:space="preserve"> (4), 305-316.</w:t>
      </w:r>
    </w:p>
    <w:p w:rsidR="00BF38C2" w:rsidRDefault="00BF38C2" w:rsidP="00BF38C2">
      <w:pPr>
        <w:pStyle w:val="a0"/>
        <w:rPr>
          <w:kern w:val="0"/>
          <w:szCs w:val="24"/>
        </w:rPr>
      </w:pPr>
      <w:r>
        <w:rPr>
          <w:kern w:val="0"/>
          <w:szCs w:val="24"/>
        </w:rPr>
        <w:t>Abstract: In this article a bibliometrical analysis of two volumes of the journal Gruppenpsychotherapie</w:t>
      </w:r>
      <w:r w:rsidR="00F81221">
        <w:rPr>
          <w:kern w:val="0"/>
          <w:szCs w:val="24"/>
        </w:rPr>
        <w:t xml:space="preserve"> and </w:t>
      </w:r>
      <w:r>
        <w:rPr>
          <w:kern w:val="0"/>
          <w:szCs w:val="24"/>
        </w:rPr>
        <w:t>Gruppendynamik is described with the aim to assess the ratio between empirical work</w:t>
      </w:r>
      <w:r w:rsidR="00F81221">
        <w:rPr>
          <w:kern w:val="0"/>
          <w:szCs w:val="24"/>
        </w:rPr>
        <w:t xml:space="preserve"> and </w:t>
      </w:r>
      <w:r>
        <w:rPr>
          <w:kern w:val="0"/>
          <w:szCs w:val="24"/>
        </w:rPr>
        <w:t>theoretical contributions within a journal that should be representative for group research in Germany. The citations within 37 original articles are analysed with respect to the authors</w:t>
      </w:r>
      <w:r w:rsidR="00F81221">
        <w:rPr>
          <w:kern w:val="0"/>
          <w:szCs w:val="24"/>
        </w:rPr>
        <w:t xml:space="preserve"> and </w:t>
      </w:r>
      <w:r>
        <w:rPr>
          <w:kern w:val="0"/>
          <w:szCs w:val="24"/>
        </w:rPr>
        <w:t>their theoretical as well as their language-related origin (German speaking vs. Angloamerican). The quality of the articles is classified according to a schema from Buddeberg. The analysis showed a clear dominance of theoretical contributions from psychodynamic group psychotherapy. Related to quality it could be shown that the outline</w:t>
      </w:r>
      <w:r w:rsidR="00F81221">
        <w:rPr>
          <w:kern w:val="0"/>
          <w:szCs w:val="24"/>
        </w:rPr>
        <w:t xml:space="preserve"> and </w:t>
      </w:r>
      <w:r>
        <w:rPr>
          <w:kern w:val="0"/>
          <w:szCs w:val="24"/>
        </w:rPr>
        <w:t>hypotheses of many empirical as well as theoretical articles were specified in an insufficient manner.</w:t>
      </w:r>
    </w:p>
    <w:p w:rsidR="00BF38C2" w:rsidRDefault="00BF38C2" w:rsidP="00BF38C2">
      <w:pPr>
        <w:pStyle w:val="a0"/>
        <w:rPr>
          <w:kern w:val="0"/>
          <w:szCs w:val="24"/>
        </w:rPr>
      </w:pPr>
      <w:r>
        <w:rPr>
          <w:kern w:val="0"/>
          <w:szCs w:val="24"/>
        </w:rPr>
        <w:t>Keywords: 3rd Basic Approach, Authors, Bibliometrical Analysis, Citations, Germany, Group-Therapy, Inpatient Group-Psychotherapy, Model, Oedipus, Psychosomatic-Medicine, Quality, Research, Self, Supervision, View</w:t>
      </w:r>
    </w:p>
    <w:p w:rsidR="00B95188" w:rsidRPr="00A428C3" w:rsidRDefault="00BF38C2" w:rsidP="00BF38C2">
      <w:pPr>
        <w:pStyle w:val="1"/>
      </w:pPr>
      <w:r w:rsidRPr="00217FB1">
        <w:br w:type="page"/>
      </w:r>
      <w:bookmarkStart w:id="416" w:name="_Toc487190686"/>
      <w:bookmarkStart w:id="417" w:name="_Toc487882190"/>
      <w:bookmarkStart w:id="418" w:name="_Toc490687995"/>
      <w:bookmarkStart w:id="419" w:name="_Toc492807656"/>
      <w:bookmarkStart w:id="420" w:name="_Toc186647743"/>
      <w:bookmarkStart w:id="421" w:name="_Toc317160966"/>
      <w:r w:rsidR="00B95188" w:rsidRPr="00A428C3">
        <w:lastRenderedPageBreak/>
        <w:t>Title: Gulf Research Reports</w:t>
      </w:r>
      <w:bookmarkEnd w:id="416"/>
      <w:bookmarkEnd w:id="417"/>
      <w:bookmarkEnd w:id="418"/>
      <w:bookmarkEnd w:id="419"/>
      <w:bookmarkEnd w:id="420"/>
      <w:bookmarkEnd w:id="421"/>
    </w:p>
    <w:p w:rsidR="00B95188" w:rsidRPr="00A428C3" w:rsidRDefault="00B95188" w:rsidP="00B72EF9">
      <w:pPr>
        <w:pStyle w:val="12"/>
      </w:pPr>
      <w:r w:rsidRPr="00A428C3">
        <w:t>Full Journal Title: Gulf Research Reports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Chestnut, A.P. (1981), Morphometrics of the burrowing clam diplothyra-smithii Tryon.</w:t>
      </w:r>
      <w:r w:rsidRPr="00A428C3">
        <w:rPr>
          <w:i/>
        </w:rPr>
        <w:t xml:space="preserve"> Gulf Research Reports</w:t>
      </w:r>
      <w:r w:rsidRPr="00A428C3">
        <w:t xml:space="preserve">, </w:t>
      </w:r>
      <w:r w:rsidRPr="00A428C3">
        <w:rPr>
          <w:b/>
        </w:rPr>
        <w:t>7</w:t>
      </w:r>
      <w:r w:rsidRPr="00A428C3">
        <w:t xml:space="preserve"> (1), 1-11.</w:t>
      </w:r>
    </w:p>
    <w:p w:rsidR="00B95188" w:rsidRPr="00A428C3" w:rsidRDefault="00B95188" w:rsidP="00B95188">
      <w:pPr>
        <w:pStyle w:val="1"/>
      </w:pPr>
      <w:r w:rsidRPr="00A428C3">
        <w:br w:type="page"/>
      </w:r>
      <w:bookmarkStart w:id="422" w:name="_Toc490687996"/>
      <w:bookmarkStart w:id="423" w:name="_Toc492807657"/>
      <w:bookmarkStart w:id="424" w:name="_Toc186647744"/>
      <w:bookmarkStart w:id="425" w:name="_Toc455569459"/>
      <w:bookmarkStart w:id="426" w:name="_Toc487190687"/>
      <w:bookmarkStart w:id="427" w:name="_Toc487882191"/>
      <w:bookmarkStart w:id="428" w:name="_Toc317160967"/>
      <w:r w:rsidRPr="00A428C3">
        <w:lastRenderedPageBreak/>
        <w:t>Title: Gut</w:t>
      </w:r>
      <w:bookmarkEnd w:id="422"/>
      <w:bookmarkEnd w:id="423"/>
      <w:bookmarkEnd w:id="424"/>
      <w:bookmarkEnd w:id="428"/>
    </w:p>
    <w:p w:rsidR="00B95188" w:rsidRPr="00AD1E07" w:rsidRDefault="00B95188" w:rsidP="00B72EF9">
      <w:pPr>
        <w:pStyle w:val="12"/>
      </w:pPr>
      <w:r w:rsidRPr="00AD1E07">
        <w:t xml:space="preserve">Full Journal Title: </w:t>
      </w:r>
      <w:hyperlink r:id="rId505" w:history="1">
        <w:r w:rsidRPr="00AD1E07">
          <w:rPr>
            <w:rStyle w:val="a5"/>
          </w:rPr>
          <w:t>Gut</w:t>
        </w:r>
      </w:hyperlink>
    </w:p>
    <w:p w:rsidR="00B95188" w:rsidRPr="00AD1E07" w:rsidRDefault="00B95188" w:rsidP="00B72EF9">
      <w:pPr>
        <w:pStyle w:val="12"/>
      </w:pPr>
      <w:r w:rsidRPr="00AD1E07">
        <w:t>ISO Abbreviated Title: Gut</w:t>
      </w:r>
    </w:p>
    <w:p w:rsidR="00B95188" w:rsidRPr="00AD1E07" w:rsidRDefault="00B95188" w:rsidP="00B72EF9">
      <w:pPr>
        <w:pStyle w:val="12"/>
      </w:pPr>
      <w:r w:rsidRPr="00AD1E07">
        <w:t>JCR Abbreviated Title: Gut</w:t>
      </w:r>
    </w:p>
    <w:p w:rsidR="00B95188" w:rsidRPr="00AD1E07" w:rsidRDefault="00B95188" w:rsidP="00B72EF9">
      <w:pPr>
        <w:pStyle w:val="12"/>
      </w:pPr>
      <w:r w:rsidRPr="00AD1E07">
        <w:t>ISSN: 0017-5749</w:t>
      </w:r>
    </w:p>
    <w:p w:rsidR="00B95188" w:rsidRPr="00AD1E07" w:rsidRDefault="00B95188" w:rsidP="00B72EF9">
      <w:pPr>
        <w:pStyle w:val="12"/>
      </w:pPr>
      <w:r w:rsidRPr="00AD1E07">
        <w:t>Issues/Year: 12</w:t>
      </w:r>
    </w:p>
    <w:p w:rsidR="00B95188" w:rsidRPr="00AD1E07" w:rsidRDefault="00B95188" w:rsidP="00B72EF9">
      <w:pPr>
        <w:pStyle w:val="12"/>
      </w:pPr>
      <w:r w:rsidRPr="00AD1E07">
        <w:t>Journal Country/Territory: England</w:t>
      </w:r>
    </w:p>
    <w:p w:rsidR="00B95188" w:rsidRPr="00AD1E07" w:rsidRDefault="00B95188" w:rsidP="00B72EF9">
      <w:pPr>
        <w:pStyle w:val="12"/>
      </w:pPr>
      <w:r w:rsidRPr="00AD1E07">
        <w:t>Language: English</w:t>
      </w:r>
    </w:p>
    <w:p w:rsidR="00B95188" w:rsidRPr="00AD1E07" w:rsidRDefault="00B95188" w:rsidP="00B72EF9">
      <w:pPr>
        <w:pStyle w:val="12"/>
      </w:pPr>
      <w:r w:rsidRPr="00AD1E07">
        <w:t>Publisher: British Med Journal Publ Group</w:t>
      </w:r>
    </w:p>
    <w:p w:rsidR="00B95188" w:rsidRPr="00AD1E07" w:rsidRDefault="00B95188" w:rsidP="00B72EF9">
      <w:pPr>
        <w:pStyle w:val="12"/>
      </w:pPr>
      <w:r w:rsidRPr="00AD1E07">
        <w:t>Publisher Address: British Med Assoc House, Tavistock Square, London WC1H 9JR, England</w:t>
      </w:r>
    </w:p>
    <w:p w:rsidR="00B95188" w:rsidRPr="00AD1E07" w:rsidRDefault="00B95188" w:rsidP="00B72EF9">
      <w:pPr>
        <w:pStyle w:val="12"/>
      </w:pPr>
      <w:r w:rsidRPr="00AD1E07">
        <w:t>Subject Categories:</w:t>
      </w:r>
    </w:p>
    <w:p w:rsidR="00B95188" w:rsidRPr="00AD1E07" w:rsidRDefault="00B95188" w:rsidP="00B72EF9">
      <w:pPr>
        <w:pStyle w:val="12"/>
      </w:pPr>
      <w:r w:rsidRPr="00AD1E07">
        <w:t>Gastroenterology &amp; Hepatology: Impact Factor 6.170, 4/47 (2001)</w:t>
      </w:r>
    </w:p>
    <w:p w:rsidR="00A55D2F" w:rsidRDefault="00A55D2F" w:rsidP="00A55D2F">
      <w:pPr>
        <w:pStyle w:val="a0"/>
        <w:rPr>
          <w:kern w:val="0"/>
        </w:rPr>
      </w:pPr>
      <w:r>
        <w:rPr>
          <w:rFonts w:hint="eastAsia"/>
          <w:kern w:val="0"/>
        </w:rPr>
        <w:t xml:space="preserve">? </w:t>
      </w:r>
      <w:r>
        <w:rPr>
          <w:kern w:val="0"/>
        </w:rPr>
        <w:t xml:space="preserve">Calam, J. (1997), The most cited papers in </w:t>
      </w:r>
      <w:r w:rsidRPr="00BA6E22">
        <w:rPr>
          <w:i/>
          <w:kern w:val="0"/>
        </w:rPr>
        <w:t>Gut</w:t>
      </w:r>
      <w:r>
        <w:rPr>
          <w:kern w:val="0"/>
        </w:rPr>
        <w:t xml:space="preserve">: A decade of helicobacterology. </w:t>
      </w:r>
      <w:r>
        <w:rPr>
          <w:i/>
          <w:iCs/>
          <w:kern w:val="0"/>
        </w:rPr>
        <w:t>Gut</w:t>
      </w:r>
      <w:r>
        <w:rPr>
          <w:kern w:val="0"/>
        </w:rPr>
        <w:t xml:space="preserve">, </w:t>
      </w:r>
      <w:r>
        <w:rPr>
          <w:b/>
          <w:bCs/>
          <w:kern w:val="0"/>
        </w:rPr>
        <w:t>40</w:t>
      </w:r>
      <w:r>
        <w:rPr>
          <w:kern w:val="0"/>
        </w:rPr>
        <w:t>, S7-S8</w:t>
      </w:r>
      <w:r>
        <w:rPr>
          <w:rFonts w:hint="eastAsia"/>
          <w:kern w:val="0"/>
        </w:rPr>
        <w:t>.</w:t>
      </w:r>
    </w:p>
    <w:p w:rsidR="00A55D2F" w:rsidRPr="001A3D2B" w:rsidRDefault="00A55D2F" w:rsidP="00A55D2F">
      <w:pPr>
        <w:pStyle w:val="a0"/>
      </w:pPr>
      <w:r w:rsidRPr="001A3D2B">
        <w:t xml:space="preserve">Full Text: </w:t>
      </w:r>
      <w:r>
        <w:t>199</w:t>
      </w:r>
      <w:r>
        <w:rPr>
          <w:rFonts w:hint="eastAsia"/>
        </w:rPr>
        <w:t>7</w:t>
      </w:r>
      <w:r>
        <w:t>\Gut4</w:t>
      </w:r>
      <w:r>
        <w:rPr>
          <w:rFonts w:hint="eastAsia"/>
        </w:rPr>
        <w:t>0</w:t>
      </w:r>
      <w:r>
        <w:t xml:space="preserve">, </w:t>
      </w:r>
      <w:r>
        <w:rPr>
          <w:rFonts w:hint="eastAsia"/>
        </w:rPr>
        <w:t>S7</w:t>
      </w:r>
      <w:r w:rsidRPr="00A55D2F">
        <w:t>.pdf</w:t>
      </w:r>
    </w:p>
    <w:p w:rsidR="00A55D2F" w:rsidRDefault="00A55D2F" w:rsidP="00A55D2F">
      <w:pPr>
        <w:pStyle w:val="a0"/>
        <w:rPr>
          <w:kern w:val="0"/>
        </w:rPr>
      </w:pPr>
      <w:r>
        <w:rPr>
          <w:kern w:val="0"/>
        </w:rPr>
        <w:t>Keywords: Acid-Secretion, Campylobacter-Pyloridis, Cohort, Disease, Duodenal-Ulcer, Eradication, Gastritis, Papers, Pylori Infection</w:t>
      </w:r>
    </w:p>
    <w:p w:rsidR="00B95188" w:rsidRPr="00A428C3" w:rsidRDefault="00B95188" w:rsidP="00B95188">
      <w:pPr>
        <w:pStyle w:val="a0"/>
      </w:pPr>
      <w:r w:rsidRPr="00A428C3">
        <w:t xml:space="preserve">Reif, S., </w:t>
      </w:r>
      <w:smartTag w:uri="urn:schemas-microsoft-com:office:smarttags" w:element="place">
        <w:smartTag w:uri="urn:schemas:contacts" w:element="Sn">
          <w:r w:rsidRPr="00A428C3">
            <w:t>Klein</w:t>
          </w:r>
        </w:smartTag>
        <w:r w:rsidRPr="00A428C3">
          <w:t xml:space="preserve"> </w:t>
        </w:r>
        <w:smartTag w:uri="urn:schemas:contacts" w:element="Sn">
          <w:r w:rsidRPr="00A428C3">
            <w:t>I.</w:t>
          </w:r>
        </w:smartTag>
      </w:smartTag>
      <w:r w:rsidRPr="00A428C3">
        <w:t>, Lubin, F., Farbstein, M., Hallak, A.</w:t>
      </w:r>
      <w:r w:rsidR="00F81221">
        <w:t xml:space="preserve"> and </w:t>
      </w:r>
      <w:r w:rsidRPr="00A428C3">
        <w:t xml:space="preserve">Gilat, T. (1997), Pre-illness dietary factors in inflammatory bowel-disease. </w:t>
      </w:r>
      <w:r w:rsidRPr="00A428C3">
        <w:rPr>
          <w:i/>
        </w:rPr>
        <w:t>Gut</w:t>
      </w:r>
      <w:r w:rsidRPr="00A428C3">
        <w:t xml:space="preserve">, </w:t>
      </w:r>
      <w:r w:rsidRPr="00A428C3">
        <w:rPr>
          <w:b/>
        </w:rPr>
        <w:t>40</w:t>
      </w:r>
      <w:r w:rsidRPr="00A428C3">
        <w:t xml:space="preserve"> (6), 754-760.</w:t>
      </w:r>
    </w:p>
    <w:p w:rsidR="00B95188" w:rsidRPr="00A428C3" w:rsidRDefault="00B95188" w:rsidP="00B95188">
      <w:pPr>
        <w:pStyle w:val="a0"/>
      </w:pPr>
      <w:r w:rsidRPr="00A428C3">
        <w:t xml:space="preserve">Full Text: </w:t>
      </w:r>
      <w:hyperlink r:id="rId506" w:history="1">
        <w:r w:rsidRPr="00A428C3">
          <w:rPr>
            <w:rStyle w:val="a5"/>
          </w:rPr>
          <w:t>G\Gut40, 754.pdf</w:t>
        </w:r>
      </w:hyperlink>
    </w:p>
    <w:p w:rsidR="00B95188" w:rsidRPr="00A428C3" w:rsidRDefault="00B95188" w:rsidP="00B95188">
      <w:pPr>
        <w:pStyle w:val="a0"/>
      </w:pPr>
      <w:r w:rsidRPr="00A428C3">
        <w:t>Abstract: Background-The effect of environmental factors has been demonstrated in the pathogenesis of inflammatory bowel disease (IBD). Nutrition may be one of them. Aim-To investigate the pre-illness diet in patients with recent IBD in comparison with matched population</w:t>
      </w:r>
      <w:r w:rsidR="00F81221">
        <w:t xml:space="preserve"> and </w:t>
      </w:r>
      <w:r w:rsidRPr="00A428C3">
        <w:t>clinic controls. Methods-Quantified dietary histories were obtained from 87 patients with recent IBD (54 ulcerative colitis (UC)</w:t>
      </w:r>
      <w:r w:rsidR="00F81221">
        <w:t xml:space="preserve"> and </w:t>
      </w:r>
      <w:r w:rsidRPr="00A428C3">
        <w:t>33 Crohn</w:t>
      </w:r>
      <w:r w:rsidR="000352E7">
        <w:t>’</w:t>
      </w:r>
      <w:r w:rsidRPr="00A428C3">
        <w:t>s disease (CD))</w:t>
      </w:r>
      <w:r w:rsidR="00F81221">
        <w:t xml:space="preserve"> and </w:t>
      </w:r>
      <w:r w:rsidRPr="00A428C3">
        <w:t>144 controls. Odds ratios (OR) for IBD were derived for intake levels of various foods. Results-A high sucrose consumption was associated with an increased risk for IBD (OR 2.85 (p = 0.03) against population controls</w:t>
      </w:r>
      <w:r w:rsidR="00F81221">
        <w:t xml:space="preserve"> and </w:t>
      </w:r>
      <w:r w:rsidRPr="00A428C3">
        <w:t>5.3 (p = 0.00) against clinic controls). Lactose consumption showed no effect while fructose intake was negatively associated with risk for IBD (NS). Similar trends were noted in UC</w:t>
      </w:r>
      <w:r w:rsidR="00F81221">
        <w:t xml:space="preserve"> and </w:t>
      </w:r>
      <w:r w:rsidRPr="00A428C3">
        <w:t>CD. A high fat intake was associated with an increased risk for UC, this was particularly marked for animal fat (OR 4.09, p = 0.02)</w:t>
      </w:r>
      <w:r w:rsidR="00F81221">
        <w:t xml:space="preserve"> and </w:t>
      </w:r>
      <w:r w:rsidRPr="00A428C3">
        <w:t>cholesterol (OR 4.57, p = 0.02). A high intake of fluids (p = 0.04), magnesium (p = 0.04), vitamin C,</w:t>
      </w:r>
      <w:r w:rsidR="00F81221">
        <w:t xml:space="preserve"> and </w:t>
      </w:r>
      <w:r w:rsidRPr="00A428C3">
        <w:t>fruits (NS) was negatively associated with the risk for IBD, while a positive association was found for retinol (p = 0.01). Most of the findings were similar in UC</w:t>
      </w:r>
      <w:r w:rsidR="00F81221">
        <w:t xml:space="preserve"> and </w:t>
      </w:r>
      <w:r w:rsidRPr="00A428C3">
        <w:t>CD except for potassium</w:t>
      </w:r>
      <w:r w:rsidR="00F81221">
        <w:t xml:space="preserve"> and </w:t>
      </w:r>
      <w:r w:rsidRPr="00A428C3">
        <w:t xml:space="preserve">vegetable consumption which showed a negative </w:t>
      </w:r>
      <w:r w:rsidRPr="00A428C3">
        <w:lastRenderedPageBreak/>
        <w:t>association only with risk for CD. Conclusions-An association was found between pre-illness diet</w:t>
      </w:r>
      <w:r w:rsidR="00F81221">
        <w:t xml:space="preserve"> and </w:t>
      </w:r>
      <w:r w:rsidRPr="00A428C3">
        <w:t>subsequent development of UC</w:t>
      </w:r>
      <w:r w:rsidR="00F81221">
        <w:t xml:space="preserve"> and </w:t>
      </w:r>
      <w:r w:rsidRPr="00A428C3">
        <w:t>CD. The effect of dietary components may be primary or modulatory.</w:t>
      </w:r>
    </w:p>
    <w:p w:rsidR="00B95188" w:rsidRPr="00A428C3" w:rsidRDefault="00B95188" w:rsidP="00B95188">
      <w:pPr>
        <w:pStyle w:val="a0"/>
      </w:pPr>
      <w:r w:rsidRPr="00A428C3">
        <w:t>Keywords: Diet, Nutrition, Ulcerative Colitis, Crohns Disease, Inflammatory Bowel Disease, Breast-Cancer Etiology, Crohns-Disease, Ulcerative-Colitis, Cigarette-Smoking, Consumption, Sugar, Fiber, Fat</w:t>
      </w:r>
    </w:p>
    <w:p w:rsidR="00B95188" w:rsidRPr="00A428C3" w:rsidRDefault="00B95188" w:rsidP="00B95188">
      <w:pPr>
        <w:pStyle w:val="a0"/>
      </w:pPr>
      <w:r w:rsidRPr="00A428C3">
        <w:t>Tan, W.C., Krasner, N.O., Toole, P.</w:t>
      </w:r>
      <w:r w:rsidR="00F81221">
        <w:t xml:space="preserve"> and </w:t>
      </w:r>
      <w:r w:rsidRPr="00A428C3">
        <w:t xml:space="preserve">Lombard, M. (1997), Enhancement of photodynamic therapy in gastric cancer cells by removal of iron. </w:t>
      </w:r>
      <w:r w:rsidRPr="00A428C3">
        <w:rPr>
          <w:i/>
        </w:rPr>
        <w:t>Gut</w:t>
      </w:r>
      <w:r w:rsidRPr="00A428C3">
        <w:t xml:space="preserve">, </w:t>
      </w:r>
      <w:r w:rsidRPr="00A428C3">
        <w:rPr>
          <w:b/>
        </w:rPr>
        <w:t>41</w:t>
      </w:r>
      <w:r w:rsidRPr="00A428C3">
        <w:t xml:space="preserve"> (1), 14-18.</w:t>
      </w:r>
    </w:p>
    <w:p w:rsidR="00B95188" w:rsidRPr="00A428C3" w:rsidRDefault="00B95188" w:rsidP="00B95188">
      <w:pPr>
        <w:pStyle w:val="a0"/>
      </w:pPr>
      <w:r w:rsidRPr="00A428C3">
        <w:t xml:space="preserve">Full Text: </w:t>
      </w:r>
      <w:hyperlink r:id="rId507" w:history="1">
        <w:r w:rsidRPr="00A428C3">
          <w:rPr>
            <w:rStyle w:val="a5"/>
          </w:rPr>
          <w:t>G\Gut41, 14.pdf</w:t>
        </w:r>
      </w:hyperlink>
    </w:p>
    <w:p w:rsidR="00B95188" w:rsidRPr="00A428C3" w:rsidRDefault="00B95188" w:rsidP="00B95188">
      <w:pPr>
        <w:pStyle w:val="a0"/>
      </w:pPr>
      <w:r w:rsidRPr="00A428C3">
        <w:t>Abstract: Background-Aminolaevulinic acid (</w:t>
      </w:r>
      <w:smartTag w:uri="urn:schemas-microsoft-com:office:smarttags" w:element="place">
        <w:smartTag w:uri="urn:schemas-microsoft-com:office:smarttags" w:element="State">
          <w:r w:rsidRPr="00A428C3">
            <w:t>ALA</w:t>
          </w:r>
        </w:smartTag>
      </w:smartTag>
      <w:r w:rsidRPr="00A428C3">
        <w:t xml:space="preserve">) is an endogenous substrate in the haem biosynthetic pathway. Protoporphyrin IX (PPM), the immediate haem precursor in the pathway, has photoexcitable properties. Exogenous </w:t>
      </w:r>
      <w:smartTag w:uri="urn:schemas-microsoft-com:office:smarttags" w:element="place">
        <w:smartTag w:uri="urn:schemas-microsoft-com:office:smarttags" w:element="State">
          <w:r w:rsidRPr="00A428C3">
            <w:t>ALA</w:t>
          </w:r>
        </w:smartTag>
      </w:smartTag>
      <w:r w:rsidRPr="00A428C3">
        <w:t xml:space="preserve"> has been used previously as a precursor agent in photodynamic therapy (PDT). Its main advantage is a short half-life</w:t>
      </w:r>
      <w:r w:rsidR="00F81221">
        <w:t xml:space="preserve"> and </w:t>
      </w:r>
      <w:r w:rsidRPr="00A428C3">
        <w:t xml:space="preserve">hence reduced incidence of skin photosensitivity. </w:t>
      </w:r>
      <w:smartTag w:uri="urn:schemas-microsoft-com:office:smarttags" w:element="place">
        <w:smartTag w:uri="urn:schemas-microsoft-com:office:smarttags" w:element="State">
          <w:r w:rsidRPr="00A428C3">
            <w:t>ALA</w:t>
          </w:r>
        </w:smartTag>
      </w:smartTag>
      <w:r w:rsidRPr="00A428C3">
        <w:t xml:space="preserve"> can be toxic, however, causing, for example, transient increases in liver enzyme concentrations when given systemically</w:t>
      </w:r>
      <w:r w:rsidR="00F81221">
        <w:t xml:space="preserve"> and </w:t>
      </w:r>
      <w:r w:rsidRPr="00A428C3">
        <w:t>this may be dose related.Aim-To assess whether accumulation of PPM</w:t>
      </w:r>
      <w:r w:rsidR="00F81221">
        <w:t xml:space="preserve"> and </w:t>
      </w:r>
      <w:r w:rsidRPr="00A428C3">
        <w:t xml:space="preserve">ultimately the efficacy of PDT could be improved by modulating both ends of the haem biosynthetic pathway. Methods-Gastric cancer cells (MKN 28) were incubated with </w:t>
      </w:r>
      <w:smartTag w:uri="urn:schemas-microsoft-com:office:smarttags" w:element="place">
        <w:smartTag w:uri="urn:schemas-microsoft-com:office:smarttags" w:element="State">
          <w:r w:rsidRPr="00A428C3">
            <w:t>ALA</w:t>
          </w:r>
        </w:smartTag>
      </w:smartTag>
      <w:r w:rsidRPr="00A428C3">
        <w:t xml:space="preserve"> (0-1000 µmolar)</w:t>
      </w:r>
      <w:r w:rsidR="00F81221">
        <w:t xml:space="preserve"> and </w:t>
      </w:r>
      <w:r w:rsidRPr="00A428C3">
        <w:t>desferrioxamine (0-800 µmolar) for 24 hours before exposure to argonpumped dye laser (630 nm) at different energy levels (0-40 J/cm</w:t>
      </w:r>
      <w:r w:rsidRPr="00A428C3">
        <w:rPr>
          <w:vertAlign w:val="superscript"/>
        </w:rPr>
        <w:t>2</w:t>
      </w:r>
      <w:r w:rsidRPr="00A428C3">
        <w:t>). Cell viability was assessed by use of the methyl-tetrazolium (MTT) assay four hours after exposure to light. Results-Total PPM accumulation increased linearly with</w:t>
      </w:r>
    </w:p>
    <w:p w:rsidR="00B95188" w:rsidRPr="00A428C3" w:rsidRDefault="00B95188" w:rsidP="00B95188">
      <w:pPr>
        <w:pStyle w:val="a0"/>
      </w:pPr>
      <w:r w:rsidRPr="00A428C3">
        <w:t xml:space="preserve">Lewison, G. (1998), Gastroenterology research in the </w:t>
      </w:r>
      <w:smartTag w:uri="urn:schemas-microsoft-com:office:smarttags" w:element="place">
        <w:smartTag w:uri="urn:schemas-microsoft-com:office:smarttags" w:element="country-region">
          <w:r w:rsidRPr="00A428C3">
            <w:t>United Kingdom</w:t>
          </w:r>
        </w:smartTag>
      </w:smartTag>
      <w:r w:rsidRPr="00A428C3">
        <w:t>: Funding sources</w:t>
      </w:r>
      <w:r w:rsidR="00F81221">
        <w:t xml:space="preserve"> and </w:t>
      </w:r>
      <w:r w:rsidRPr="00A428C3">
        <w:t xml:space="preserve">impact. </w:t>
      </w:r>
      <w:r w:rsidRPr="00A428C3">
        <w:rPr>
          <w:i/>
          <w:iCs/>
        </w:rPr>
        <w:t>Gut</w:t>
      </w:r>
      <w:r w:rsidRPr="00A428C3">
        <w:t xml:space="preserve">, </w:t>
      </w:r>
      <w:r w:rsidRPr="00A428C3">
        <w:rPr>
          <w:b/>
        </w:rPr>
        <w:t>43</w:t>
      </w:r>
      <w:r w:rsidRPr="00A428C3">
        <w:t xml:space="preserve"> (2), 288-293.</w:t>
      </w:r>
    </w:p>
    <w:p w:rsidR="00B95188" w:rsidRPr="00A428C3" w:rsidRDefault="00B95188" w:rsidP="00B95188">
      <w:pPr>
        <w:pStyle w:val="a0"/>
      </w:pPr>
      <w:r w:rsidRPr="00A428C3">
        <w:t xml:space="preserve">Full Text: </w:t>
      </w:r>
      <w:hyperlink r:id="rId508" w:history="1">
        <w:r w:rsidRPr="00A428C3">
          <w:rPr>
            <w:rStyle w:val="a5"/>
          </w:rPr>
          <w:t>G\Gut43, 288.pdf</w:t>
        </w:r>
      </w:hyperlink>
    </w:p>
    <w:p w:rsidR="00B95188" w:rsidRPr="00A428C3" w:rsidRDefault="00B95188" w:rsidP="00B95188">
      <w:pPr>
        <w:pStyle w:val="a0"/>
      </w:pPr>
      <w:r w:rsidRPr="00A428C3">
        <w:t xml:space="preserve">Abstract: Aims-To determine the sources of funding for </w:t>
      </w:r>
      <w:smartTag w:uri="urn:schemas-microsoft-com:office:smarttags" w:element="place">
        <w:smartTag w:uri="urn:schemas-microsoft-com:office:smarttags" w:element="country-region">
          <w:r w:rsidRPr="00A428C3">
            <w:t>UK</w:t>
          </w:r>
        </w:smartTag>
      </w:smartTag>
      <w:r w:rsidRPr="00A428C3">
        <w:t xml:space="preserve"> gastroenterology research papers</w:t>
      </w:r>
      <w:r w:rsidR="00F81221">
        <w:t xml:space="preserve"> and </w:t>
      </w:r>
      <w:r w:rsidRPr="00A428C3">
        <w:t>the relative impact of papers funded by different groups</w:t>
      </w:r>
      <w:r w:rsidR="00F81221">
        <w:t xml:space="preserve"> and </w:t>
      </w:r>
      <w:r w:rsidRPr="00A428C3">
        <w:t>of unfunded ones.</w:t>
      </w:r>
    </w:p>
    <w:p w:rsidR="00B95188" w:rsidRPr="00A428C3" w:rsidRDefault="00B95188" w:rsidP="00B95188">
      <w:pPr>
        <w:pStyle w:val="a0"/>
      </w:pPr>
      <w:r w:rsidRPr="00A428C3">
        <w:t>Methods-UK gastroenterology papers from 1985-94 were selectively retrieved from the Science Citation Index by means of a specially constructed filter based on their title keywords</w:t>
      </w:r>
      <w:r w:rsidR="00F81221">
        <w:t xml:space="preserve"> and </w:t>
      </w:r>
      <w:r w:rsidRPr="00A428C3">
        <w:t>journal names. They were looked up in libraries to determine their funding sources</w:t>
      </w:r>
      <w:r w:rsidR="00F81221">
        <w:t xml:space="preserve"> and </w:t>
      </w:r>
      <w:r w:rsidRPr="00A428C3">
        <w:t>these, together with their numbers of authors, numbers of addresses,</w:t>
      </w:r>
      <w:r w:rsidR="00F81221">
        <w:t xml:space="preserve"> and </w:t>
      </w:r>
      <w:r w:rsidRPr="00A428C3">
        <w:t>research category (clinical/basic) were considered as input parameters to the research. Output parameters analysed were mean journal impact category, citation counts by papers,</w:t>
      </w:r>
      <w:r w:rsidR="00F81221">
        <w:t xml:space="preserve"> and </w:t>
      </w:r>
      <w:r w:rsidRPr="00A428C3">
        <w:t xml:space="preserve">the frequency of citation by a </w:t>
      </w:r>
      <w:smartTag w:uri="urn:schemas-microsoft-com:office:smarttags" w:element="place">
        <w:smartTag w:uri="urn:schemas-microsoft-com:office:smarttags" w:element="country-region">
          <w:r w:rsidRPr="00A428C3">
            <w:t>US</w:t>
          </w:r>
        </w:smartTag>
      </w:smartTag>
      <w:r w:rsidRPr="00A428C3">
        <w:t xml:space="preserve"> patent.</w:t>
      </w:r>
    </w:p>
    <w:p w:rsidR="00B95188" w:rsidRPr="00A428C3" w:rsidRDefault="00B95188" w:rsidP="00B95188">
      <w:pPr>
        <w:pStyle w:val="a0"/>
      </w:pPr>
      <w:r w:rsidRPr="00A428C3">
        <w:t xml:space="preserve">Results-Gastroenterology papers comprise about 7% of all </w:t>
      </w:r>
      <w:smartTag w:uri="urn:schemas-microsoft-com:office:smarttags" w:element="place">
        <w:smartTag w:uri="urn:schemas-microsoft-com:office:smarttags" w:element="country-region">
          <w:r w:rsidRPr="00A428C3">
            <w:t>UK</w:t>
          </w:r>
        </w:smartTag>
      </w:smartTag>
      <w:r w:rsidRPr="00A428C3">
        <w:t xml:space="preserve"> biomedical research</w:t>
      </w:r>
      <w:r w:rsidR="00F81221">
        <w:t xml:space="preserve"> and </w:t>
      </w:r>
      <w:r w:rsidRPr="00A428C3">
        <w:t>46% of them have no acknowledged funding source. One quarter of the papers acknowledged government support,</w:t>
      </w:r>
      <w:r w:rsidR="00F81221">
        <w:t xml:space="preserve"> and </w:t>
      </w:r>
      <w:r w:rsidRPr="00A428C3">
        <w:t xml:space="preserve">a similar fraction a private, non-profit source; </w:t>
      </w:r>
      <w:r w:rsidRPr="00A428C3">
        <w:lastRenderedPageBreak/>
        <w:t xml:space="preserve">11% were funded by the pharmaceutical industry The papers acknowledging funding had significantly more impact than the others on all three measures. The citing patents had six times more </w:t>
      </w:r>
      <w:smartTag w:uri="urn:schemas-microsoft-com:office:smarttags" w:element="place">
        <w:smartTag w:uri="urn:schemas-microsoft-com:office:smarttags" w:element="country-region">
          <w:r w:rsidRPr="00A428C3">
            <w:t>UK</w:t>
          </w:r>
        </w:smartTag>
      </w:smartTag>
      <w:r w:rsidRPr="00A428C3">
        <w:t xml:space="preserve"> inventors than the average for all US Patent</w:t>
      </w:r>
      <w:r w:rsidR="00F81221">
        <w:t xml:space="preserve"> and </w:t>
      </w:r>
      <w:r w:rsidRPr="00A428C3">
        <w:t>Trademark Office patents in the relevant classes</w:t>
      </w:r>
      <w:r w:rsidR="00F81221">
        <w:t xml:space="preserve"> and </w:t>
      </w:r>
      <w:r w:rsidRPr="00A428C3">
        <w:t>were mostly generic in application.</w:t>
      </w:r>
    </w:p>
    <w:p w:rsidR="00B95188" w:rsidRPr="00A428C3" w:rsidRDefault="00B95188" w:rsidP="00B95188">
      <w:pPr>
        <w:pStyle w:val="a0"/>
      </w:pPr>
      <w:r w:rsidRPr="00A428C3">
        <w:t>Conclusion-The variation in impact of papers funded by different sources can mostly be explained by a simple model based on the input factors (numbers of funding bodies, numbers of authors, numbers of addresses,</w:t>
      </w:r>
      <w:r w:rsidR="00F81221">
        <w:t xml:space="preserve"> and </w:t>
      </w:r>
      <w:r w:rsidRPr="00A428C3">
        <w:t xml:space="preserve">research type). The national science base in gastroenterology is important for the underpinning of </w:t>
      </w:r>
      <w:smartTag w:uri="urn:schemas-microsoft-com:office:smarttags" w:element="place">
        <w:smartTag w:uri="urn:schemas-microsoft-com:office:smarttags" w:element="country-region">
          <w:r w:rsidRPr="00A428C3">
            <w:t>UK</w:t>
          </w:r>
        </w:smartTag>
      </w:smartTag>
      <w:r w:rsidRPr="00A428C3">
        <w:t xml:space="preserve"> invented patents citing to it.</w:t>
      </w:r>
    </w:p>
    <w:p w:rsidR="00B95188" w:rsidRPr="00A428C3" w:rsidRDefault="00B95188" w:rsidP="00B95188">
      <w:pPr>
        <w:pStyle w:val="a0"/>
      </w:pPr>
      <w:r w:rsidRPr="00A428C3">
        <w:t xml:space="preserve">Keywords: Bibliometric Analysis, Citation, Citations, Funding, Gastroenterology, Impact, Libraries, Patents, Performance, Research, </w:t>
      </w:r>
      <w:smartTag w:uri="urn:schemas-microsoft-com:office:smarttags" w:element="City">
        <w:r w:rsidRPr="00A428C3">
          <w:t>Science</w:t>
        </w:r>
      </w:smartTag>
      <w:r w:rsidRPr="00A428C3">
        <w:t xml:space="preserve">, </w:t>
      </w:r>
      <w:smartTag w:uri="urn:schemas-microsoft-com:office:smarttags" w:element="country-region">
        <w:r w:rsidRPr="00A428C3">
          <w:t>Spain</w:t>
        </w:r>
      </w:smartTag>
      <w:r w:rsidRPr="00A428C3">
        <w:t xml:space="preserve">, </w:t>
      </w:r>
      <w:smartTag w:uri="urn:schemas-microsoft-com:office:smarttags" w:element="place">
        <w:smartTag w:uri="urn:schemas-microsoft-com:office:smarttags" w:element="City">
          <w:r w:rsidRPr="00A428C3">
            <w:t>Technology</w:t>
          </w:r>
        </w:smartTag>
        <w:r w:rsidRPr="00A428C3">
          <w:t xml:space="preserve">, </w:t>
        </w:r>
        <w:smartTag w:uri="urn:schemas-microsoft-com:office:smarttags" w:element="country-region">
          <w:r w:rsidRPr="00A428C3">
            <w:t>United Kingdom</w:t>
          </w:r>
        </w:smartTag>
      </w:smartTag>
    </w:p>
    <w:p w:rsidR="00B95188" w:rsidRPr="00A428C3" w:rsidRDefault="00B95188" w:rsidP="00B95188">
      <w:pPr>
        <w:pStyle w:val="a0"/>
      </w:pPr>
      <w:r w:rsidRPr="00A428C3">
        <w:t>Lewison, G., Grant, J.</w:t>
      </w:r>
      <w:r w:rsidR="00F81221">
        <w:t xml:space="preserve"> and </w:t>
      </w:r>
      <w:r w:rsidRPr="00A428C3">
        <w:t>Jansen, P. (2001), International gastroenterology research: Subject areas, impact,</w:t>
      </w:r>
      <w:r w:rsidR="00F81221">
        <w:t xml:space="preserve"> and </w:t>
      </w:r>
      <w:r w:rsidRPr="00A428C3">
        <w:t xml:space="preserve">funding. </w:t>
      </w:r>
      <w:r w:rsidRPr="00A428C3">
        <w:rPr>
          <w:i/>
          <w:iCs/>
        </w:rPr>
        <w:t>Gut</w:t>
      </w:r>
      <w:r w:rsidRPr="00A428C3">
        <w:t xml:space="preserve">, </w:t>
      </w:r>
      <w:r w:rsidRPr="00A428C3">
        <w:rPr>
          <w:b/>
        </w:rPr>
        <w:t>49</w:t>
      </w:r>
      <w:r w:rsidRPr="00A428C3">
        <w:t xml:space="preserve"> (2), 295-302.</w:t>
      </w:r>
    </w:p>
    <w:p w:rsidR="00B95188" w:rsidRPr="00A428C3" w:rsidRDefault="00B95188" w:rsidP="00B95188">
      <w:pPr>
        <w:pStyle w:val="a0"/>
      </w:pPr>
      <w:r w:rsidRPr="00A428C3">
        <w:t xml:space="preserve">Full Text: </w:t>
      </w:r>
      <w:hyperlink r:id="rId509" w:history="1">
        <w:r w:rsidRPr="00A428C3">
          <w:rPr>
            <w:rStyle w:val="a5"/>
          </w:rPr>
          <w:t>G\Gut49, 295.pdf</w:t>
        </w:r>
      </w:hyperlink>
    </w:p>
    <w:p w:rsidR="00B95188" w:rsidRPr="00A428C3" w:rsidRDefault="00B95188" w:rsidP="00B95188">
      <w:pPr>
        <w:pStyle w:val="a0"/>
      </w:pPr>
      <w:r w:rsidRPr="00A428C3">
        <w:t>Abstract: Aims - To examine the volume</w:t>
      </w:r>
      <w:r w:rsidR="00F81221">
        <w:t xml:space="preserve"> and </w:t>
      </w:r>
      <w:r w:rsidRPr="00A428C3">
        <w:t>potential impact of gastroenterology research outputs from 1985 to 1998 from 14 developed countries; the overlap with research in cancer, infectious diseases,</w:t>
      </w:r>
      <w:r w:rsidR="00F81221">
        <w:t xml:space="preserve"> and </w:t>
      </w:r>
      <w:r w:rsidRPr="00A428C3">
        <w:t>genetics;</w:t>
      </w:r>
      <w:r w:rsidR="00F81221">
        <w:t xml:space="preserve"> and </w:t>
      </w:r>
      <w:r w:rsidRPr="00A428C3">
        <w:t>the funding sources for this research. To determine if countries</w:t>
      </w:r>
      <w:r w:rsidR="000352E7">
        <w:t>’</w:t>
      </w:r>
      <w:r w:rsidRPr="00A428C3">
        <w:t xml:space="preserve"> research outputs correlated with their burden of corresponding diseases</w:t>
      </w:r>
      <w:r w:rsidR="00F81221">
        <w:t xml:space="preserve"> and </w:t>
      </w:r>
      <w:r w:rsidRPr="00A428C3">
        <w:t>inputs to their research.</w:t>
      </w:r>
    </w:p>
    <w:p w:rsidR="00B95188" w:rsidRPr="00A428C3" w:rsidRDefault="00B95188" w:rsidP="00B95188">
      <w:pPr>
        <w:pStyle w:val="a0"/>
      </w:pPr>
      <w:r w:rsidRPr="00A428C3">
        <w:t>Methods - Selective retrieval of papers from the Science Citation Index</w:t>
      </w:r>
      <w:r w:rsidR="00F81221">
        <w:t xml:space="preserve"> and </w:t>
      </w:r>
      <w:r w:rsidRPr="00A428C3">
        <w:t>manual look up of a sample to determine funding sources. Classification of journals by four categories of research level (clinical/basic)</w:t>
      </w:r>
      <w:r w:rsidR="00F81221">
        <w:t xml:space="preserve"> and </w:t>
      </w:r>
      <w:r w:rsidRPr="00A428C3">
        <w:t>potential impact (low/high).</w:t>
      </w:r>
    </w:p>
    <w:p w:rsidR="00B95188" w:rsidRPr="00A428C3" w:rsidRDefault="00B95188" w:rsidP="00B95188">
      <w:pPr>
        <w:pStyle w:val="a0"/>
      </w:pPr>
      <w:r w:rsidRPr="00A428C3">
        <w:t xml:space="preserve">Results - Gastroenterology represents about 8% of world biomedical research but over 11% in </w:t>
      </w:r>
      <w:smartTag w:uri="urn:schemas-microsoft-com:office:smarttags" w:element="country-region">
        <w:r w:rsidRPr="00A428C3">
          <w:t>Italy</w:t>
        </w:r>
      </w:smartTag>
      <w:r w:rsidRPr="00A428C3">
        <w:t xml:space="preserve">, </w:t>
      </w:r>
      <w:smartTag w:uri="urn:schemas-microsoft-com:office:smarttags" w:element="country-region">
        <w:r w:rsidRPr="00A428C3">
          <w:t>Japan</w:t>
        </w:r>
      </w:smartTag>
      <w:r w:rsidRPr="00A428C3">
        <w:t>,</w:t>
      </w:r>
      <w:r w:rsidR="00F81221">
        <w:t xml:space="preserve"> and </w:t>
      </w:r>
      <w:r w:rsidRPr="00A428C3">
        <w:t xml:space="preserve">Spain. Its potential impact is highest (but declining) for the </w:t>
      </w:r>
      <w:smartTag w:uri="urn:schemas-microsoft-com:office:smarttags" w:element="place">
        <w:smartTag w:uri="urn:schemas-microsoft-com:office:smarttags" w:element="country-region">
          <w:r w:rsidRPr="00A428C3">
            <w:t>USA</w:t>
          </w:r>
        </w:smartTag>
      </w:smartTag>
      <w:r w:rsidRPr="00A428C3">
        <w:t xml:space="preserve">. It has increased noticeably in most European countries, particularly in </w:t>
      </w:r>
      <w:smartTag w:uri="urn:schemas-microsoft-com:office:smarttags" w:element="place">
        <w:smartTag w:uri="urn:schemas-microsoft-com:office:smarttags" w:element="country-region">
          <w:r w:rsidRPr="00A428C3">
            <w:t>Finland</w:t>
          </w:r>
        </w:smartTag>
      </w:smartTag>
      <w:r w:rsidRPr="00A428C3">
        <w:t xml:space="preserve">. Gastroenterology research has become more clinical in </w:t>
      </w:r>
      <w:smartTag w:uri="urn:schemas-microsoft-com:office:smarttags" w:element="country-region">
        <w:r w:rsidRPr="00A428C3">
          <w:t>Japan</w:t>
        </w:r>
      </w:smartTag>
      <w:r w:rsidRPr="00A428C3">
        <w:t xml:space="preserve">, </w:t>
      </w:r>
      <w:smartTag w:uri="urn:schemas-microsoft-com:office:smarttags" w:element="country-region">
        <w:r w:rsidRPr="00A428C3">
          <w:t>Spain</w:t>
        </w:r>
      </w:smartTag>
      <w:r w:rsidRPr="00A428C3">
        <w:t xml:space="preserve">, </w:t>
      </w:r>
      <w:smartTag w:uri="urn:schemas-microsoft-com:office:smarttags" w:element="country-region">
        <w:r w:rsidRPr="00A428C3">
          <w:t>Australia</w:t>
        </w:r>
      </w:smartTag>
      <w:r w:rsidRPr="00A428C3">
        <w:t>,</w:t>
      </w:r>
      <w:r w:rsidR="00F81221">
        <w:t xml:space="preserve"> and </w:t>
      </w:r>
      <w:r w:rsidRPr="00A428C3">
        <w:t xml:space="preserve">the </w:t>
      </w:r>
      <w:smartTag w:uri="urn:schemas-microsoft-com:office:smarttags" w:element="country-region">
        <w:r w:rsidRPr="00A428C3">
          <w:t>Netherlands</w:t>
        </w:r>
      </w:smartTag>
      <w:r w:rsidRPr="00A428C3">
        <w:t xml:space="preserve"> but more basic in </w:t>
      </w:r>
      <w:smartTag w:uri="urn:schemas-microsoft-com:office:smarttags" w:element="country-region">
        <w:r w:rsidRPr="00A428C3">
          <w:t>Canada</w:t>
        </w:r>
      </w:smartTag>
      <w:r w:rsidRPr="00A428C3">
        <w:t xml:space="preserve">, </w:t>
      </w:r>
      <w:smartTag w:uri="urn:schemas-microsoft-com:office:smarttags" w:element="country-region">
        <w:r w:rsidRPr="00A428C3">
          <w:t>Germany</w:t>
        </w:r>
      </w:smartTag>
      <w:r w:rsidRPr="00A428C3">
        <w:t xml:space="preserve">, </w:t>
      </w:r>
      <w:smartTag w:uri="urn:schemas-microsoft-com:office:smarttags" w:element="country-region">
        <w:r w:rsidRPr="00A428C3">
          <w:t>Finland</w:t>
        </w:r>
      </w:smartTag>
      <w:r w:rsidRPr="00A428C3">
        <w:t xml:space="preserve">, </w:t>
      </w:r>
      <w:smartTag w:uri="urn:schemas-microsoft-com:office:smarttags" w:element="country-region">
        <w:r w:rsidRPr="00A428C3">
          <w:t>Israel</w:t>
        </w:r>
      </w:smartTag>
      <w:r w:rsidRPr="00A428C3">
        <w:t>,</w:t>
      </w:r>
      <w:r w:rsidR="00F81221">
        <w:t xml:space="preserve"> and </w:t>
      </w:r>
      <w:r w:rsidRPr="00A428C3">
        <w:t>South Africa. Funding comes primarily from national governments, followed by national private non-profit sources</w:t>
      </w:r>
      <w:r w:rsidR="00F81221">
        <w:t xml:space="preserve"> and </w:t>
      </w:r>
      <w:r w:rsidRPr="00A428C3">
        <w:t>industry but little industrial funding occurs in some countries. There is a strong</w:t>
      </w:r>
      <w:r w:rsidR="00F81221">
        <w:t xml:space="preserve"> and </w:t>
      </w:r>
      <w:r w:rsidRPr="00A428C3">
        <w:t>positive correlation between reported deaths from gastrointestinal neoplasms</w:t>
      </w:r>
      <w:r w:rsidR="00F81221">
        <w:t xml:space="preserve"> and </w:t>
      </w:r>
      <w:r w:rsidRPr="00A428C3">
        <w:t>countries</w:t>
      </w:r>
      <w:r w:rsidR="000352E7">
        <w:t>’</w:t>
      </w:r>
      <w:r w:rsidRPr="00A428C3">
        <w:t xml:space="preserve"> outputs of research in gastrointestinal oncology.</w:t>
      </w:r>
    </w:p>
    <w:p w:rsidR="00B95188" w:rsidRPr="00A428C3" w:rsidRDefault="00B95188" w:rsidP="00B95188">
      <w:pPr>
        <w:pStyle w:val="a0"/>
      </w:pPr>
      <w:r w:rsidRPr="00A428C3">
        <w:t>Conclusions - Bibliometric analysis can reveal differences between countries in their research in a subject when a common methodology is applied to an international database. Variations in research methods in different countries can plausibly explain some of the variation in the potential impact of the work.</w:t>
      </w:r>
    </w:p>
    <w:p w:rsidR="00B95188" w:rsidRPr="00A428C3" w:rsidRDefault="00B95188" w:rsidP="00B95188">
      <w:pPr>
        <w:pStyle w:val="a0"/>
      </w:pPr>
      <w:r w:rsidRPr="00A428C3">
        <w:t>Keywords: Bibliometrics, Funding, Impact, Journals, Mortality, Research</w:t>
      </w:r>
    </w:p>
    <w:p w:rsidR="00731CF3" w:rsidRDefault="00731CF3" w:rsidP="00731CF3">
      <w:pPr>
        <w:pStyle w:val="a0"/>
        <w:rPr>
          <w:kern w:val="0"/>
        </w:rPr>
      </w:pPr>
      <w:r>
        <w:rPr>
          <w:rFonts w:hint="eastAsia"/>
          <w:kern w:val="0"/>
        </w:rPr>
        <w:lastRenderedPageBreak/>
        <w:t xml:space="preserve">? </w:t>
      </w:r>
      <w:r>
        <w:rPr>
          <w:kern w:val="0"/>
        </w:rPr>
        <w:t>Leung, W.K., Lin, S.R., Ching, J.Y.L., To, K.F., Ng, E.K.W., Chan, F.K.L., Lau, J.Y.W.</w:t>
      </w:r>
      <w:r w:rsidR="00F81221">
        <w:rPr>
          <w:kern w:val="0"/>
        </w:rPr>
        <w:t xml:space="preserve"> and </w:t>
      </w:r>
      <w:r>
        <w:rPr>
          <w:kern w:val="0"/>
        </w:rPr>
        <w:t xml:space="preserve">Sung, J.J.Y. (2004), Factors predicting progression of gastric intestinal metaplasia: Results of a randomised trial on </w:t>
      </w:r>
      <w:r w:rsidRPr="00015635">
        <w:rPr>
          <w:i/>
          <w:kern w:val="0"/>
        </w:rPr>
        <w:t>Helicobacter pylori</w:t>
      </w:r>
      <w:r>
        <w:rPr>
          <w:kern w:val="0"/>
        </w:rPr>
        <w:t xml:space="preserve"> eradication. </w:t>
      </w:r>
      <w:r>
        <w:rPr>
          <w:i/>
          <w:iCs/>
          <w:kern w:val="0"/>
        </w:rPr>
        <w:t>Gut</w:t>
      </w:r>
      <w:r>
        <w:rPr>
          <w:kern w:val="0"/>
        </w:rPr>
        <w:t xml:space="preserve">, </w:t>
      </w:r>
      <w:r>
        <w:rPr>
          <w:b/>
          <w:bCs/>
          <w:kern w:val="0"/>
        </w:rPr>
        <w:t>53</w:t>
      </w:r>
      <w:r>
        <w:rPr>
          <w:kern w:val="0"/>
        </w:rPr>
        <w:t xml:space="preserve"> (9), 1244-1249.</w:t>
      </w:r>
    </w:p>
    <w:p w:rsidR="00731CF3" w:rsidRPr="00A428C3" w:rsidRDefault="00731CF3" w:rsidP="00731CF3">
      <w:pPr>
        <w:pStyle w:val="a0"/>
      </w:pPr>
      <w:r w:rsidRPr="00A428C3">
        <w:t xml:space="preserve">Full Text: </w:t>
      </w:r>
      <w:hyperlink r:id="rId510" w:history="1">
        <w:r w:rsidRPr="00731CF3">
          <w:rPr>
            <w:rStyle w:val="a5"/>
          </w:rPr>
          <w:t>2004\Gut53, 1244.pdf</w:t>
        </w:r>
      </w:hyperlink>
    </w:p>
    <w:p w:rsidR="00731CF3" w:rsidRDefault="00731CF3" w:rsidP="00731CF3">
      <w:pPr>
        <w:pStyle w:val="a0"/>
        <w:rPr>
          <w:kern w:val="0"/>
        </w:rPr>
      </w:pPr>
      <w:r>
        <w:rPr>
          <w:kern w:val="0"/>
        </w:rPr>
        <w:t>Abstract: Background</w:t>
      </w:r>
      <w:r w:rsidR="00F81221">
        <w:rPr>
          <w:kern w:val="0"/>
        </w:rPr>
        <w:t xml:space="preserve"> and </w:t>
      </w:r>
      <w:r>
        <w:rPr>
          <w:kern w:val="0"/>
        </w:rPr>
        <w:t>aim: Gastric intestinal metaplasia (IM) is generally considered to be a precancerous lesion in the gastric carcinogenesis cascade. This study identified the risk factors associated with progression of IM in a randomised control study. Subjects</w:t>
      </w:r>
      <w:r w:rsidR="00F81221">
        <w:rPr>
          <w:kern w:val="0"/>
        </w:rPr>
        <w:t xml:space="preserve"> and </w:t>
      </w:r>
      <w:r>
        <w:rPr>
          <w:kern w:val="0"/>
        </w:rPr>
        <w:t>methods: A total of 587 Helicobacter pylori infected subjects were randomised to receive a one week course of anti-Helicobacter therapy (omeprazole, amoxicillin,</w:t>
      </w:r>
      <w:r w:rsidR="00F81221">
        <w:rPr>
          <w:kern w:val="0"/>
        </w:rPr>
        <w:t xml:space="preserve"> and </w:t>
      </w:r>
      <w:r>
        <w:rPr>
          <w:kern w:val="0"/>
        </w:rPr>
        <w:t>clarithromycin (OAC)) or placebo. Subjects underwent endoscopy with biopsy at baseline</w:t>
      </w:r>
      <w:r w:rsidR="00F81221">
        <w:rPr>
          <w:kern w:val="0"/>
        </w:rPr>
        <w:t xml:space="preserve"> and </w:t>
      </w:r>
      <w:r>
        <w:rPr>
          <w:kern w:val="0"/>
        </w:rPr>
        <w:t>at five years. Severity of IM was graded according to the updated Sydney classification</w:t>
      </w:r>
      <w:r w:rsidR="00F81221">
        <w:rPr>
          <w:kern w:val="0"/>
        </w:rPr>
        <w:t xml:space="preserve"> and </w:t>
      </w:r>
      <w:r>
        <w:rPr>
          <w:kern w:val="0"/>
        </w:rPr>
        <w:t>progression was defined as worsening of IM scores at five years in either the antrum or corpus, or development of neoplasia. Backward stepwise multiple logistic regression was used to identify independent risk factors associated with IM progression. Results: Of 435 subjects (220 in the OAC</w:t>
      </w:r>
      <w:r w:rsidR="00F81221">
        <w:rPr>
          <w:kern w:val="0"/>
        </w:rPr>
        <w:t xml:space="preserve"> and </w:t>
      </w:r>
      <w:r>
        <w:rPr>
          <w:kern w:val="0"/>
        </w:rPr>
        <w:t>215 in the placebo group) available for analysis, 10 developed gastric cancer</w:t>
      </w:r>
      <w:r w:rsidR="00F81221">
        <w:rPr>
          <w:kern w:val="0"/>
        </w:rPr>
        <w:t xml:space="preserve"> and </w:t>
      </w:r>
      <w:r>
        <w:rPr>
          <w:kern w:val="0"/>
        </w:rPr>
        <w:t>three had dysplasia. Overall progression of IM was noted in 52.9% of subjects. Univariate analysis showed that persistent H pylori infection, age &gt;45 years, male subjects, alcohol use,</w:t>
      </w:r>
      <w:r w:rsidR="00F81221">
        <w:rPr>
          <w:kern w:val="0"/>
        </w:rPr>
        <w:t xml:space="preserve"> and </w:t>
      </w:r>
      <w:r>
        <w:rPr>
          <w:kern w:val="0"/>
        </w:rPr>
        <w:t>drinking water from a well were significantly associated with IM progression. Duodenal ulcer</w:t>
      </w:r>
      <w:r w:rsidR="00F81221">
        <w:rPr>
          <w:kern w:val="0"/>
        </w:rPr>
        <w:t xml:space="preserve"> and </w:t>
      </w:r>
      <w:r>
        <w:rPr>
          <w:kern w:val="0"/>
        </w:rPr>
        <w:t>OAC treatment were associated with a reduced risk of histological progression. Progression of IM was more frequent in those with more extensive</w:t>
      </w:r>
      <w:r w:rsidR="00F81221">
        <w:rPr>
          <w:kern w:val="0"/>
        </w:rPr>
        <w:t xml:space="preserve"> and </w:t>
      </w:r>
      <w:r>
        <w:rPr>
          <w:kern w:val="0"/>
        </w:rPr>
        <w:t>more severe IM at baseline. With multiple logistic regression, duodenal ulcer (odds ratio (OR) 0.23 (95% confidence interval (CI) 0.09-0.58)) was found to be an independent protective factor against IM progression. Conversely, persistent H pylori infection (OR 2.13 (95% CI 1.41-3.24)), age &gt;45 years (OR 1.92 (95% CI 1.18-3.11)), alcohol use (OR 1.67 (95% CI 1.07-2.62)),</w:t>
      </w:r>
      <w:r w:rsidR="00F81221">
        <w:rPr>
          <w:kern w:val="0"/>
        </w:rPr>
        <w:t xml:space="preserve"> and </w:t>
      </w:r>
      <w:r>
        <w:rPr>
          <w:kern w:val="0"/>
        </w:rPr>
        <w:t>drinking water from a well (OR 1.74 (95% CI 1.13-2.67)) were independent risk factors associated with IM progression. Conclusion: Eradication of H pylori is protective against progression of premalignant gastric lesions.</w:t>
      </w:r>
    </w:p>
    <w:p w:rsidR="00731CF3" w:rsidRDefault="00731CF3" w:rsidP="00731CF3">
      <w:pPr>
        <w:pStyle w:val="a0"/>
        <w:rPr>
          <w:kern w:val="0"/>
        </w:rPr>
      </w:pPr>
      <w:r>
        <w:rPr>
          <w:kern w:val="0"/>
        </w:rPr>
        <w:t>Keywords: Cancer Mortality, Carcinogenesis, Classification, Drinking-Water, Dysplasia, Follow-Up, Helicobacter Pylori, Improvement, Infection, Precancerous Lesions, Risk, Risk Factors, Treatment, Water</w:t>
      </w:r>
    </w:p>
    <w:p w:rsidR="0009400A" w:rsidRPr="001A3D2B" w:rsidRDefault="0009400A" w:rsidP="0009400A">
      <w:pPr>
        <w:pStyle w:val="a0"/>
      </w:pPr>
      <w:r w:rsidRPr="001A3D2B">
        <w:t>? Hart, P.A., Ibdah, J.A.</w:t>
      </w:r>
      <w:r w:rsidR="00F81221">
        <w:t xml:space="preserve"> and </w:t>
      </w:r>
      <w:r w:rsidRPr="001A3D2B">
        <w:t>Marshall, J.B. (2007), Internationalisation</w:t>
      </w:r>
      <w:r>
        <w:t xml:space="preserve"> of </w:t>
      </w:r>
      <w:r w:rsidRPr="001A3D2B">
        <w:t xml:space="preserve">high-impact gastroenterology journals, 1970-2005. </w:t>
      </w:r>
      <w:r w:rsidRPr="001A3D2B">
        <w:rPr>
          <w:i/>
          <w:iCs/>
        </w:rPr>
        <w:t>Gut</w:t>
      </w:r>
      <w:r w:rsidRPr="001A3D2B">
        <w:t xml:space="preserve">, </w:t>
      </w:r>
      <w:r w:rsidRPr="001A3D2B">
        <w:rPr>
          <w:b/>
          <w:bCs/>
        </w:rPr>
        <w:t>56</w:t>
      </w:r>
      <w:r w:rsidRPr="001A3D2B">
        <w:t xml:space="preserve"> (6), 895-896</w:t>
      </w:r>
      <w:r>
        <w:rPr>
          <w:rFonts w:hint="eastAsia"/>
        </w:rPr>
        <w:t>.</w:t>
      </w:r>
    </w:p>
    <w:p w:rsidR="0009400A" w:rsidRPr="001A3D2B" w:rsidRDefault="0009400A" w:rsidP="0009400A">
      <w:pPr>
        <w:pStyle w:val="a0"/>
      </w:pPr>
      <w:r w:rsidRPr="001A3D2B">
        <w:t xml:space="preserve">Full Text: </w:t>
      </w:r>
      <w:hyperlink r:id="rId511" w:history="1">
        <w:r w:rsidRPr="001A3D2B">
          <w:rPr>
            <w:rStyle w:val="a5"/>
          </w:rPr>
          <w:t>2007\Gut56, 895.pdf</w:t>
        </w:r>
      </w:hyperlink>
    </w:p>
    <w:p w:rsidR="0009400A" w:rsidRDefault="0009400A" w:rsidP="0009400A">
      <w:pPr>
        <w:pStyle w:val="a0"/>
      </w:pPr>
      <w:r w:rsidRPr="001A3D2B">
        <w:t>Keywords: Gastroenterology, Journals</w:t>
      </w:r>
    </w:p>
    <w:p w:rsidR="004B0126" w:rsidRDefault="004B0126" w:rsidP="004B0126">
      <w:pPr>
        <w:pStyle w:val="a0"/>
        <w:rPr>
          <w:kern w:val="0"/>
        </w:rPr>
      </w:pPr>
      <w:r>
        <w:rPr>
          <w:rFonts w:hint="eastAsia"/>
          <w:kern w:val="0"/>
        </w:rPr>
        <w:t xml:space="preserve">? </w:t>
      </w:r>
      <w:r>
        <w:rPr>
          <w:kern w:val="0"/>
        </w:rPr>
        <w:t xml:space="preserve">Spiller, R., Aziz, Q., Creed, F., Emmanuel, A., Houghton, L., Hungin, P., Jones, R., </w:t>
      </w:r>
      <w:r>
        <w:rPr>
          <w:kern w:val="0"/>
        </w:rPr>
        <w:lastRenderedPageBreak/>
        <w:t>Kumar, D., Rubin, G., Trudgill, N.</w:t>
      </w:r>
      <w:r w:rsidR="00F81221">
        <w:rPr>
          <w:kern w:val="0"/>
        </w:rPr>
        <w:t xml:space="preserve"> and </w:t>
      </w:r>
      <w:r>
        <w:rPr>
          <w:kern w:val="0"/>
        </w:rPr>
        <w:t>Whorwell, P. (2007), Guidelines on the irritable bowel syndrome: mechanisms</w:t>
      </w:r>
      <w:r w:rsidR="00F81221">
        <w:rPr>
          <w:kern w:val="0"/>
        </w:rPr>
        <w:t xml:space="preserve"> and </w:t>
      </w:r>
      <w:r>
        <w:rPr>
          <w:kern w:val="0"/>
        </w:rPr>
        <w:t xml:space="preserve">practical management. </w:t>
      </w:r>
      <w:r>
        <w:rPr>
          <w:i/>
          <w:iCs/>
          <w:kern w:val="0"/>
        </w:rPr>
        <w:t>Gut</w:t>
      </w:r>
      <w:r>
        <w:rPr>
          <w:kern w:val="0"/>
        </w:rPr>
        <w:t xml:space="preserve">, </w:t>
      </w:r>
      <w:r>
        <w:rPr>
          <w:b/>
          <w:bCs/>
          <w:kern w:val="0"/>
        </w:rPr>
        <w:t>56</w:t>
      </w:r>
      <w:r>
        <w:rPr>
          <w:kern w:val="0"/>
        </w:rPr>
        <w:t xml:space="preserve"> (12), 1770-1798.</w:t>
      </w:r>
    </w:p>
    <w:p w:rsidR="004B0126" w:rsidRPr="001A3D2B" w:rsidRDefault="004B0126" w:rsidP="004B0126">
      <w:pPr>
        <w:pStyle w:val="a0"/>
      </w:pPr>
      <w:r w:rsidRPr="001A3D2B">
        <w:t xml:space="preserve">Full Text: </w:t>
      </w:r>
      <w:r>
        <w:t>200</w:t>
      </w:r>
      <w:r>
        <w:rPr>
          <w:rFonts w:hint="eastAsia"/>
        </w:rPr>
        <w:t>7</w:t>
      </w:r>
      <w:r>
        <w:t>\Gut5</w:t>
      </w:r>
      <w:r>
        <w:rPr>
          <w:rFonts w:hint="eastAsia"/>
        </w:rPr>
        <w:t>6</w:t>
      </w:r>
      <w:r>
        <w:t xml:space="preserve">, </w:t>
      </w:r>
      <w:r>
        <w:rPr>
          <w:rFonts w:hint="eastAsia"/>
        </w:rPr>
        <w:t>1770</w:t>
      </w:r>
      <w:r w:rsidRPr="002046D1">
        <w:t>.pdf</w:t>
      </w:r>
    </w:p>
    <w:p w:rsidR="004B0126" w:rsidRDefault="004B0126" w:rsidP="004B0126">
      <w:pPr>
        <w:pStyle w:val="a0"/>
        <w:rPr>
          <w:kern w:val="0"/>
        </w:rPr>
      </w:pPr>
      <w:r>
        <w:rPr>
          <w:kern w:val="0"/>
        </w:rPr>
        <w:t>Abstract: Background: IBS affects 5-11% of the population of most countries. Prevalence peaks in the third</w:t>
      </w:r>
      <w:r w:rsidR="00F81221">
        <w:rPr>
          <w:kern w:val="0"/>
        </w:rPr>
        <w:t xml:space="preserve"> and </w:t>
      </w:r>
      <w:r>
        <w:rPr>
          <w:kern w:val="0"/>
        </w:rPr>
        <w:t>fourth decades, with a female predominance. Aim: To provide a guide for the assessment</w:t>
      </w:r>
      <w:r w:rsidR="00F81221">
        <w:rPr>
          <w:kern w:val="0"/>
        </w:rPr>
        <w:t xml:space="preserve"> and </w:t>
      </w:r>
      <w:r>
        <w:rPr>
          <w:kern w:val="0"/>
        </w:rPr>
        <w:t>management of adult patients with irritable bowel syndrome. Methods: Members of the Clinical Services Committee of The British Society of Gastroenterology were allocated particular areas to produce review documents. Literature searching included systematic searches using electronic databases such as PUBMED, EMBASE, MEDLINE, Web of Science,</w:t>
      </w:r>
      <w:r w:rsidR="00F81221">
        <w:rPr>
          <w:kern w:val="0"/>
        </w:rPr>
        <w:t xml:space="preserve"> and </w:t>
      </w:r>
      <w:r>
        <w:rPr>
          <w:kern w:val="0"/>
        </w:rPr>
        <w:t>Cochrane databases</w:t>
      </w:r>
      <w:r w:rsidR="00F81221">
        <w:rPr>
          <w:kern w:val="0"/>
        </w:rPr>
        <w:t xml:space="preserve"> and </w:t>
      </w:r>
      <w:r>
        <w:rPr>
          <w:kern w:val="0"/>
        </w:rPr>
        <w:t>extensive personal reference databases. Results: Patients can usefully be classified by predominant bowel habit. Few investigations are needed except when diarrhoea is a prominent feature. Alarm features may warrant further investigation. Adverse psychological features</w:t>
      </w:r>
      <w:r w:rsidR="00F81221">
        <w:rPr>
          <w:kern w:val="0"/>
        </w:rPr>
        <w:t xml:space="preserve"> and </w:t>
      </w:r>
      <w:r>
        <w:rPr>
          <w:kern w:val="0"/>
        </w:rPr>
        <w:t>somatisation are often present. Ascertaining the patients</w:t>
      </w:r>
      <w:r w:rsidR="000352E7">
        <w:rPr>
          <w:kern w:val="0"/>
        </w:rPr>
        <w:t>’</w:t>
      </w:r>
      <w:r>
        <w:rPr>
          <w:kern w:val="0"/>
        </w:rPr>
        <w:t xml:space="preserve"> concerns</w:t>
      </w:r>
      <w:r w:rsidR="00F81221">
        <w:rPr>
          <w:kern w:val="0"/>
        </w:rPr>
        <w:t xml:space="preserve"> and </w:t>
      </w:r>
      <w:r>
        <w:rPr>
          <w:kern w:val="0"/>
        </w:rPr>
        <w:t>explaining symptoms in simple terms improves outcome. IBS is a heterogeneous condition with a range of treatments, each of which benefits a small proportion of patients. Treatment of associated anxiety</w:t>
      </w:r>
      <w:r w:rsidR="00F81221">
        <w:rPr>
          <w:kern w:val="0"/>
        </w:rPr>
        <w:t xml:space="preserve"> and </w:t>
      </w:r>
      <w:r>
        <w:rPr>
          <w:kern w:val="0"/>
        </w:rPr>
        <w:t>depression often improves bowel</w:t>
      </w:r>
      <w:r w:rsidR="00F81221">
        <w:rPr>
          <w:kern w:val="0"/>
        </w:rPr>
        <w:t xml:space="preserve"> and </w:t>
      </w:r>
      <w:r>
        <w:rPr>
          <w:kern w:val="0"/>
        </w:rPr>
        <w:t>other symptoms. Randomised placebo controlled trials show benefit as follows: cognitive behavioural therapy</w:t>
      </w:r>
      <w:r w:rsidR="00F81221">
        <w:rPr>
          <w:kern w:val="0"/>
        </w:rPr>
        <w:t xml:space="preserve"> and </w:t>
      </w:r>
      <w:r>
        <w:rPr>
          <w:kern w:val="0"/>
        </w:rPr>
        <w:t>psychodynamic interpersonal therapy improve coping; hypnotherapy benefits global symptoms in otherwise refractory patients; antispasmodics</w:t>
      </w:r>
      <w:r w:rsidR="00F81221">
        <w:rPr>
          <w:kern w:val="0"/>
        </w:rPr>
        <w:t xml:space="preserve"> and </w:t>
      </w:r>
      <w:r>
        <w:rPr>
          <w:kern w:val="0"/>
        </w:rPr>
        <w:t>tricyclic antidepressants improve pain; ispaghula improves pain</w:t>
      </w:r>
      <w:r w:rsidR="00F81221">
        <w:rPr>
          <w:kern w:val="0"/>
        </w:rPr>
        <w:t xml:space="preserve"> and </w:t>
      </w:r>
      <w:r>
        <w:rPr>
          <w:kern w:val="0"/>
        </w:rPr>
        <w:t>bowel habit; 5-HT(3) antagonists improve global symptoms, diarrhoea,</w:t>
      </w:r>
      <w:r w:rsidR="00F81221">
        <w:rPr>
          <w:kern w:val="0"/>
        </w:rPr>
        <w:t xml:space="preserve"> and </w:t>
      </w:r>
      <w:r>
        <w:rPr>
          <w:kern w:val="0"/>
        </w:rPr>
        <w:t>pain but may rarely cause unexplained colitis; 5-HT(4) agonists improve global symptoms, constipation,</w:t>
      </w:r>
      <w:r w:rsidR="00F81221">
        <w:rPr>
          <w:kern w:val="0"/>
        </w:rPr>
        <w:t xml:space="preserve"> and </w:t>
      </w:r>
      <w:r>
        <w:rPr>
          <w:kern w:val="0"/>
        </w:rPr>
        <w:t>bloating; selective serotonin reuptake inhibitors improve global symptoms. Conclusions: Better ways of identifying which patients will respond to specific treatments are urgently needed.</w:t>
      </w:r>
    </w:p>
    <w:p w:rsidR="004B0126" w:rsidRDefault="004B0126" w:rsidP="004B0126">
      <w:pPr>
        <w:pStyle w:val="a0"/>
        <w:rPr>
          <w:kern w:val="0"/>
        </w:rPr>
      </w:pPr>
      <w:r>
        <w:rPr>
          <w:kern w:val="0"/>
        </w:rPr>
        <w:t>Keywords: Adult, Antidepressants, Anxiety, Assessment, Bile-Acid Malabsorption, Bloating, Chronic Pelvic Pain, Cochrane, Constipation, Databases, Depression, Embase, Enterochromaffin Cell Hyperplasia, Functional Gastrointestinal Disorders, Health-Care Seeking, Intestinal Bacterial Overgrowth, Irritable Bowel Syndrome, Literature Searching, Management, Medline, Methods, Outcome, Pain, Placebo-Controlled Trial, Quality-of-Life, Randomized Controlled-Trial, Review, Rome-II Criteria, Science, Selective Serotonin Reuptake Inhibitors, Serotonin, Symptoms, Systematic, Therapy, Web of Science</w:t>
      </w:r>
    </w:p>
    <w:p w:rsidR="0009400A" w:rsidRDefault="0009400A" w:rsidP="0009400A">
      <w:pPr>
        <w:pStyle w:val="a0"/>
        <w:rPr>
          <w:kern w:val="0"/>
        </w:rPr>
      </w:pPr>
      <w:r>
        <w:rPr>
          <w:rFonts w:hint="eastAsia"/>
          <w:kern w:val="0"/>
        </w:rPr>
        <w:t xml:space="preserve">? </w:t>
      </w:r>
      <w:r>
        <w:rPr>
          <w:kern w:val="0"/>
        </w:rPr>
        <w:t>Song, F., Phesse, T., Jenkins, J., Clarke, A.</w:t>
      </w:r>
      <w:r w:rsidR="00F81221">
        <w:rPr>
          <w:kern w:val="0"/>
        </w:rPr>
        <w:t xml:space="preserve"> and </w:t>
      </w:r>
      <w:r>
        <w:rPr>
          <w:kern w:val="0"/>
        </w:rPr>
        <w:t xml:space="preserve">Watson, A.J.M. (2009), Cited 1 is a novel colorectal cancer gene whose deficiency inhibits the growth of colorectal cancer. </w:t>
      </w:r>
      <w:r>
        <w:rPr>
          <w:i/>
          <w:iCs/>
          <w:kern w:val="0"/>
        </w:rPr>
        <w:t>Gut</w:t>
      </w:r>
      <w:r>
        <w:rPr>
          <w:kern w:val="0"/>
        </w:rPr>
        <w:t xml:space="preserve">, </w:t>
      </w:r>
      <w:r>
        <w:rPr>
          <w:b/>
          <w:bCs/>
          <w:kern w:val="0"/>
        </w:rPr>
        <w:t>58</w:t>
      </w:r>
      <w:r>
        <w:rPr>
          <w:rFonts w:hint="eastAsia"/>
          <w:b/>
          <w:bCs/>
          <w:kern w:val="0"/>
        </w:rPr>
        <w:t xml:space="preserve"> </w:t>
      </w:r>
      <w:r w:rsidRPr="00E40E7F">
        <w:rPr>
          <w:rFonts w:hint="eastAsia"/>
          <w:bCs/>
          <w:kern w:val="0"/>
        </w:rPr>
        <w:t>(</w:t>
      </w:r>
      <w:r w:rsidRPr="00E40E7F">
        <w:rPr>
          <w:bCs/>
          <w:kern w:val="0"/>
        </w:rPr>
        <w:t>S</w:t>
      </w:r>
      <w:r w:rsidRPr="00E40E7F">
        <w:rPr>
          <w:rFonts w:hint="eastAsia"/>
          <w:bCs/>
          <w:kern w:val="0"/>
        </w:rPr>
        <w:t>1</w:t>
      </w:r>
      <w:r w:rsidRPr="00E40E7F">
        <w:rPr>
          <w:kern w:val="0"/>
        </w:rPr>
        <w:t>)</w:t>
      </w:r>
      <w:r>
        <w:rPr>
          <w:kern w:val="0"/>
        </w:rPr>
        <w:t>, A3</w:t>
      </w:r>
      <w:r>
        <w:rPr>
          <w:rFonts w:hint="eastAsia"/>
          <w:kern w:val="0"/>
        </w:rPr>
        <w:t>.</w:t>
      </w:r>
    </w:p>
    <w:p w:rsidR="0009400A" w:rsidRPr="001A3D2B" w:rsidRDefault="0009400A" w:rsidP="0009400A">
      <w:pPr>
        <w:pStyle w:val="a0"/>
      </w:pPr>
      <w:r w:rsidRPr="001A3D2B">
        <w:lastRenderedPageBreak/>
        <w:t xml:space="preserve">Full Text: </w:t>
      </w:r>
      <w:r>
        <w:t>200</w:t>
      </w:r>
      <w:r>
        <w:rPr>
          <w:rFonts w:hint="eastAsia"/>
        </w:rPr>
        <w:t>9</w:t>
      </w:r>
      <w:r>
        <w:t>\Gut5</w:t>
      </w:r>
      <w:r>
        <w:rPr>
          <w:rFonts w:hint="eastAsia"/>
        </w:rPr>
        <w:t>8</w:t>
      </w:r>
      <w:r>
        <w:t xml:space="preserve">, </w:t>
      </w:r>
      <w:r>
        <w:rPr>
          <w:rFonts w:hint="eastAsia"/>
        </w:rPr>
        <w:t>A3</w:t>
      </w:r>
      <w:r w:rsidRPr="002046D1">
        <w:t>.pdf</w:t>
      </w:r>
    </w:p>
    <w:p w:rsidR="0009400A" w:rsidRPr="002046D1" w:rsidRDefault="0009400A" w:rsidP="0009400A">
      <w:pPr>
        <w:pStyle w:val="a0"/>
        <w:rPr>
          <w:kern w:val="0"/>
        </w:rPr>
      </w:pPr>
      <w:r>
        <w:rPr>
          <w:kern w:val="0"/>
        </w:rPr>
        <w:t>Keywords: Cancer</w:t>
      </w:r>
    </w:p>
    <w:p w:rsidR="00B95188" w:rsidRPr="00A428C3" w:rsidRDefault="00B95188" w:rsidP="00B95188">
      <w:pPr>
        <w:pStyle w:val="1"/>
      </w:pPr>
      <w:r w:rsidRPr="00A428C3">
        <w:br w:type="page"/>
      </w:r>
      <w:bookmarkStart w:id="429" w:name="_Toc186647745"/>
      <w:bookmarkStart w:id="430" w:name="_Toc317160968"/>
      <w:r w:rsidRPr="00A428C3">
        <w:lastRenderedPageBreak/>
        <w:t>Title: Gynecologic Oncology</w:t>
      </w:r>
      <w:bookmarkEnd w:id="429"/>
      <w:bookmarkEnd w:id="430"/>
    </w:p>
    <w:p w:rsidR="00B95188" w:rsidRPr="00A428C3" w:rsidRDefault="00B95188" w:rsidP="00B72EF9">
      <w:pPr>
        <w:pStyle w:val="12"/>
      </w:pPr>
      <w:r w:rsidRPr="00A428C3">
        <w:t>Full Journal Title: Gynecologic Oncology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0090-8258</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Averette, H.E.</w:t>
      </w:r>
      <w:r w:rsidR="00F81221">
        <w:t xml:space="preserve"> and </w:t>
      </w:r>
      <w:r w:rsidRPr="00A428C3">
        <w:t xml:space="preserve">Nguyen, H.N. (1994), The role of prophylactic oophorectomy in cancer prevention. </w:t>
      </w:r>
      <w:r w:rsidRPr="00A428C3">
        <w:rPr>
          <w:i/>
          <w:iCs/>
        </w:rPr>
        <w:t>Gynecologic Oncology</w:t>
      </w:r>
      <w:r w:rsidRPr="00A428C3">
        <w:t xml:space="preserve">, </w:t>
      </w:r>
      <w:r w:rsidRPr="00A428C3">
        <w:rPr>
          <w:b/>
        </w:rPr>
        <w:t>55</w:t>
      </w:r>
      <w:r w:rsidRPr="00A428C3">
        <w:t xml:space="preserve"> (3), S38-S41.</w:t>
      </w:r>
    </w:p>
    <w:p w:rsidR="00B95188" w:rsidRPr="00A428C3" w:rsidRDefault="00B95188" w:rsidP="00B95188">
      <w:pPr>
        <w:pStyle w:val="a0"/>
      </w:pPr>
      <w:r w:rsidRPr="00A428C3">
        <w:t xml:space="preserve">Full Text: </w:t>
      </w:r>
      <w:hyperlink r:id="rId512" w:history="1">
        <w:r w:rsidRPr="00A428C3">
          <w:rPr>
            <w:rStyle w:val="a5"/>
          </w:rPr>
          <w:t>G\Gyn Onc55, S38.pdf</w:t>
        </w:r>
      </w:hyperlink>
    </w:p>
    <w:p w:rsidR="00B95188" w:rsidRPr="00A428C3" w:rsidRDefault="00B95188" w:rsidP="00B95188">
      <w:pPr>
        <w:pStyle w:val="a0"/>
      </w:pPr>
      <w:r w:rsidRPr="00A428C3">
        <w:t>Abstract: Prophylactic oophorectomy is presently the only effective method of ovarian cancer prevention. This study reviews current data on how prophylactic oophorectomy (</w:t>
      </w:r>
      <w:smartTag w:uri="urn:schemas-microsoft-com:office:smarttags" w:element="place">
        <w:r w:rsidRPr="00A428C3">
          <w:t>PO</w:t>
        </w:r>
      </w:smartTag>
      <w:r w:rsidRPr="00A428C3">
        <w:t xml:space="preserve">) should be used in different risk groups. It is estimated that 7% of ovarian cancer patients have positive family history, of which 3-9% may end up having hereditary cancer syndromes. Women in direct genetic lineage of family cancer syndromes may have up to 50% lifetime risk of ovarian cancer. Because of such a high risk, </w:t>
      </w:r>
      <w:smartTag w:uri="urn:schemas-microsoft-com:office:smarttags" w:element="place">
        <w:r w:rsidRPr="00A428C3">
          <w:t>PO</w:t>
        </w:r>
      </w:smartTag>
      <w:r w:rsidRPr="00A428C3">
        <w:t xml:space="preserve"> is indicated for women with familial cancer syndromes after childbearing or the age of 35-40 at the latest. Most women with positive family history of ovarian cancer do not have one of the recognized hereditary cancer syndromes. However, women with one or two affected relatives do have an increased lifetime risk of ovarian cancer from a baseline of 1.6 to 5-7%. This risk is ndt high enough to warrant </w:t>
      </w:r>
      <w:smartTag w:uri="urn:schemas-microsoft-com:office:smarttags" w:element="place">
        <w:r w:rsidRPr="00A428C3">
          <w:t>PO</w:t>
        </w:r>
      </w:smartTag>
      <w:r w:rsidRPr="00A428C3">
        <w:t xml:space="preserve"> recommendation for a large number of women. After being properly informed</w:t>
      </w:r>
      <w:r w:rsidR="00F81221">
        <w:t xml:space="preserve"> and </w:t>
      </w:r>
      <w:r w:rsidRPr="00A428C3">
        <w:t xml:space="preserve">the patient still desires surgical prevention (i.e., cancer phobia), </w:t>
      </w:r>
      <w:smartTag w:uri="urn:schemas-microsoft-com:office:smarttags" w:element="place">
        <w:r w:rsidRPr="00A428C3">
          <w:t>PO</w:t>
        </w:r>
      </w:smartTag>
      <w:r w:rsidRPr="00A428C3">
        <w:t xml:space="preserve"> then becomes an indicated procedure. In women without family history of ovarian cancer, the role of </w:t>
      </w:r>
      <w:smartTag w:uri="urn:schemas-microsoft-com:office:smarttags" w:element="place">
        <w:r w:rsidRPr="00A428C3">
          <w:t>PO</w:t>
        </w:r>
      </w:smartTag>
      <w:r w:rsidRPr="00A428C3">
        <w:t xml:space="preserve"> remains controversial. The decision of </w:t>
      </w:r>
      <w:smartTag w:uri="urn:schemas-microsoft-com:office:smarttags" w:element="place">
        <w:r w:rsidRPr="00A428C3">
          <w:t>PO</w:t>
        </w:r>
      </w:smartTag>
      <w:r w:rsidRPr="00A428C3">
        <w:t xml:space="preserve"> as a concurrent procedure to other indicated gynecologic surgeries should depend on the individual patient</w:t>
      </w:r>
      <w:r w:rsidR="00F81221">
        <w:t xml:space="preserve"> and </w:t>
      </w:r>
      <w:r w:rsidRPr="00A428C3">
        <w:t>her ability to comply with lifelong estrogen replacement therapy. (C) 1994 Academic Press, Inc.</w:t>
      </w:r>
    </w:p>
    <w:p w:rsidR="00B95188" w:rsidRPr="00A428C3" w:rsidRDefault="00B95188" w:rsidP="00B95188">
      <w:pPr>
        <w:pStyle w:val="a0"/>
      </w:pPr>
      <w:r w:rsidRPr="00A428C3">
        <w:t>Keywords: Familial Ovarian-Cancer, Women</w:t>
      </w:r>
    </w:p>
    <w:p w:rsidR="00FF569D" w:rsidRPr="00A428C3" w:rsidRDefault="00FF569D" w:rsidP="00FF569D">
      <w:pPr>
        <w:pStyle w:val="1"/>
      </w:pPr>
      <w:r w:rsidRPr="00A428C3">
        <w:br w:type="page"/>
      </w:r>
      <w:bookmarkStart w:id="431" w:name="_Toc317160969"/>
      <w:r w:rsidRPr="00A428C3">
        <w:lastRenderedPageBreak/>
        <w:t xml:space="preserve">Title: </w:t>
      </w:r>
      <w:r w:rsidRPr="00FF569D">
        <w:rPr>
          <w:iCs/>
        </w:rPr>
        <w:t>Gynaecological Endoscopy</w:t>
      </w:r>
      <w:bookmarkEnd w:id="431"/>
    </w:p>
    <w:p w:rsidR="00FF569D" w:rsidRPr="00A428C3" w:rsidRDefault="00FF569D" w:rsidP="00B72EF9">
      <w:pPr>
        <w:pStyle w:val="12"/>
      </w:pPr>
      <w:r w:rsidRPr="00A428C3">
        <w:t xml:space="preserve">Full Journal Title: </w:t>
      </w:r>
      <w:hyperlink r:id="rId513" w:history="1">
        <w:r w:rsidRPr="00FF569D">
          <w:rPr>
            <w:rStyle w:val="a5"/>
            <w:iCs/>
          </w:rPr>
          <w:t>Gynaecological Endoscopy</w:t>
        </w:r>
      </w:hyperlink>
    </w:p>
    <w:p w:rsidR="00FF569D" w:rsidRPr="00A428C3" w:rsidRDefault="00FF569D" w:rsidP="00B72EF9">
      <w:pPr>
        <w:pStyle w:val="12"/>
      </w:pPr>
      <w:r w:rsidRPr="00A428C3">
        <w:t xml:space="preserve">ISO Abbreviated Title: </w:t>
      </w:r>
    </w:p>
    <w:p w:rsidR="00FF569D" w:rsidRPr="00A428C3" w:rsidRDefault="00FF569D" w:rsidP="00B72EF9">
      <w:pPr>
        <w:pStyle w:val="12"/>
      </w:pPr>
      <w:r w:rsidRPr="00A428C3">
        <w:t xml:space="preserve">JCR Abbreviated Title: </w:t>
      </w:r>
    </w:p>
    <w:p w:rsidR="00FF569D" w:rsidRPr="00A428C3" w:rsidRDefault="00FF569D" w:rsidP="00B72EF9">
      <w:pPr>
        <w:pStyle w:val="12"/>
      </w:pPr>
      <w:r w:rsidRPr="00A428C3">
        <w:t xml:space="preserve">ISSN: </w:t>
      </w:r>
    </w:p>
    <w:p w:rsidR="00FF569D" w:rsidRPr="00A428C3" w:rsidRDefault="00FF569D" w:rsidP="00B72EF9">
      <w:pPr>
        <w:pStyle w:val="12"/>
      </w:pPr>
      <w:r w:rsidRPr="00A428C3">
        <w:t xml:space="preserve">Issues/Year: </w:t>
      </w:r>
    </w:p>
    <w:p w:rsidR="00FF569D" w:rsidRPr="00A428C3" w:rsidRDefault="00FF569D" w:rsidP="00B72EF9">
      <w:pPr>
        <w:pStyle w:val="12"/>
      </w:pPr>
      <w:r w:rsidRPr="00A428C3">
        <w:t xml:space="preserve">Journal Country/Territory: </w:t>
      </w:r>
    </w:p>
    <w:p w:rsidR="00FF569D" w:rsidRPr="00A428C3" w:rsidRDefault="00FF569D" w:rsidP="00B72EF9">
      <w:pPr>
        <w:pStyle w:val="12"/>
      </w:pPr>
      <w:r w:rsidRPr="00A428C3">
        <w:t xml:space="preserve">Language: </w:t>
      </w:r>
    </w:p>
    <w:p w:rsidR="00FF569D" w:rsidRPr="00A428C3" w:rsidRDefault="00FF569D" w:rsidP="00B72EF9">
      <w:pPr>
        <w:pStyle w:val="12"/>
      </w:pPr>
      <w:r w:rsidRPr="00A428C3">
        <w:t xml:space="preserve">Publisher: </w:t>
      </w:r>
    </w:p>
    <w:p w:rsidR="00FF569D" w:rsidRPr="00A428C3" w:rsidRDefault="00FF569D" w:rsidP="00B72EF9">
      <w:pPr>
        <w:pStyle w:val="12"/>
      </w:pPr>
      <w:r w:rsidRPr="00A428C3">
        <w:t xml:space="preserve">Publisher Address: </w:t>
      </w:r>
    </w:p>
    <w:p w:rsidR="00FF569D" w:rsidRPr="00A428C3" w:rsidRDefault="00FF569D" w:rsidP="00B72EF9">
      <w:pPr>
        <w:pStyle w:val="12"/>
      </w:pPr>
      <w:r w:rsidRPr="00A428C3">
        <w:t>Subject Categories:</w:t>
      </w:r>
    </w:p>
    <w:p w:rsidR="00FF569D" w:rsidRPr="00A428C3" w:rsidRDefault="00FF569D" w:rsidP="00B72EF9">
      <w:pPr>
        <w:pStyle w:val="12"/>
      </w:pPr>
      <w:r w:rsidRPr="00A428C3">
        <w:t xml:space="preserve">: Impact Factor </w:t>
      </w:r>
    </w:p>
    <w:p w:rsidR="00FF569D" w:rsidRDefault="00FF569D" w:rsidP="00FF569D">
      <w:pPr>
        <w:pStyle w:val="a0"/>
        <w:rPr>
          <w:kern w:val="0"/>
        </w:rPr>
      </w:pPr>
      <w:r>
        <w:rPr>
          <w:rFonts w:hint="eastAsia"/>
          <w:kern w:val="0"/>
        </w:rPr>
        <w:t xml:space="preserve">? </w:t>
      </w:r>
      <w:r>
        <w:rPr>
          <w:kern w:val="0"/>
        </w:rPr>
        <w:t>Khan, K.S., Khan, S.F., Nwosu, C.R., Dwarakanath, L.S.</w:t>
      </w:r>
      <w:r w:rsidR="00F81221">
        <w:rPr>
          <w:kern w:val="0"/>
        </w:rPr>
        <w:t xml:space="preserve"> and </w:t>
      </w:r>
      <w:r>
        <w:rPr>
          <w:kern w:val="0"/>
        </w:rPr>
        <w:t xml:space="preserve">Chien, P.F.W. (1999), Laparoscopic uterosacral nerve ablation in chronic pelvic pain: An overview. </w:t>
      </w:r>
      <w:r w:rsidRPr="00FF569D">
        <w:rPr>
          <w:i/>
          <w:iCs/>
          <w:kern w:val="0"/>
        </w:rPr>
        <w:t>Gynaecological Endoscopy</w:t>
      </w:r>
      <w:r>
        <w:rPr>
          <w:kern w:val="0"/>
        </w:rPr>
        <w:t xml:space="preserve">, </w:t>
      </w:r>
      <w:r>
        <w:rPr>
          <w:b/>
          <w:bCs/>
          <w:kern w:val="0"/>
        </w:rPr>
        <w:t>8</w:t>
      </w:r>
      <w:r>
        <w:rPr>
          <w:kern w:val="0"/>
        </w:rPr>
        <w:t xml:space="preserve"> (5), 257-265.</w:t>
      </w:r>
    </w:p>
    <w:p w:rsidR="00FF569D" w:rsidRDefault="00FF569D" w:rsidP="00FF569D">
      <w:pPr>
        <w:pStyle w:val="a0"/>
        <w:rPr>
          <w:kern w:val="0"/>
        </w:rPr>
      </w:pPr>
      <w:r>
        <w:rPr>
          <w:rFonts w:hint="eastAsia"/>
          <w:kern w:val="0"/>
        </w:rPr>
        <w:t xml:space="preserve">Full Text: </w:t>
      </w:r>
      <w:hyperlink r:id="rId514" w:history="1">
        <w:r w:rsidRPr="00FF569D">
          <w:rPr>
            <w:rStyle w:val="a5"/>
            <w:kern w:val="0"/>
          </w:rPr>
          <w:t>1999\Gyn End8, 257.pdf</w:t>
        </w:r>
      </w:hyperlink>
    </w:p>
    <w:p w:rsidR="00FF569D" w:rsidRDefault="00FF569D" w:rsidP="00FF569D">
      <w:pPr>
        <w:pStyle w:val="a0"/>
        <w:rPr>
          <w:kern w:val="0"/>
        </w:rPr>
      </w:pPr>
      <w:r>
        <w:rPr>
          <w:kern w:val="0"/>
        </w:rPr>
        <w:t>Abstract: Objective To assess the efficacy of laparoscopic uterine nerve ablation (LUNA) in the treatment of chronic pelvic pain, by means of a systematic overview of the published literature. Design Relevant papers were identified through electronic scanning of MEDLINE (1966 1997), EMBASE (1980m 1997), the Science Citation Index</w:t>
      </w:r>
      <w:r w:rsidR="00F81221">
        <w:rPr>
          <w:kern w:val="0"/>
        </w:rPr>
        <w:t xml:space="preserve"> and </w:t>
      </w:r>
      <w:r>
        <w:rPr>
          <w:kern w:val="0"/>
        </w:rPr>
        <w:t>the Cochrane Library</w:t>
      </w:r>
      <w:r w:rsidR="00F81221">
        <w:rPr>
          <w:kern w:val="0"/>
        </w:rPr>
        <w:t xml:space="preserve"> and </w:t>
      </w:r>
      <w:r>
        <w:rPr>
          <w:kern w:val="0"/>
        </w:rPr>
        <w:t>manual searching of the bibliography of known primary</w:t>
      </w:r>
      <w:r w:rsidR="00F81221">
        <w:rPr>
          <w:kern w:val="0"/>
        </w:rPr>
        <w:t xml:space="preserve"> and </w:t>
      </w:r>
      <w:r>
        <w:rPr>
          <w:kern w:val="0"/>
        </w:rPr>
        <w:t>review articles. Study selection, study quality assessment</w:t>
      </w:r>
      <w:r w:rsidR="00F81221">
        <w:rPr>
          <w:kern w:val="0"/>
        </w:rPr>
        <w:t xml:space="preserve"> and </w:t>
      </w:r>
      <w:r>
        <w:rPr>
          <w:kern w:val="0"/>
        </w:rPr>
        <w:t>data abstraction were performed independently in duplicate. For controlled studies data were used to generate odds ratios (OR)</w:t>
      </w:r>
      <w:r w:rsidR="00F81221">
        <w:rPr>
          <w:kern w:val="0"/>
        </w:rPr>
        <w:t xml:space="preserve"> and </w:t>
      </w:r>
      <w:r>
        <w:rPr>
          <w:kern w:val="0"/>
        </w:rPr>
        <w:t>their confidence intervals (CI). Subjects These were 555 women included in 11 case series</w:t>
      </w:r>
      <w:r w:rsidR="00F81221">
        <w:rPr>
          <w:kern w:val="0"/>
        </w:rPr>
        <w:t xml:space="preserve"> and </w:t>
      </w:r>
      <w:r>
        <w:rPr>
          <w:kern w:val="0"/>
        </w:rPr>
        <w:t>250 women included in two controlled observational studies</w:t>
      </w:r>
      <w:r w:rsidR="00F81221">
        <w:rPr>
          <w:kern w:val="0"/>
        </w:rPr>
        <w:t xml:space="preserve"> and </w:t>
      </w:r>
      <w:r>
        <w:rPr>
          <w:kern w:val="0"/>
        </w:rPr>
        <w:t xml:space="preserve">three randomized trials. Main outcome measure Pain relief measured in general terms or assessed using visual analogue or numeric pain scales. Results In the case of pelvic pain with no visible pathological findings at laparoscopy: randomized studies showed that LUNA had a trend towards better pain relief compared with no surgical intervention (OR 9.4, 95% CI 0.7 to 472; P = 0.9) but its effect was inferior to presacral neurectomy (OR 0.24, 95% CI 0.07 to 0.8; P = 0.01). Where there was endometriosis, controlled non-randomized studies showed that with ablative treatment of endometriosis, the outcomes were better with than without LUNA (OR 36.7, 95% CI 3.9 to 1625; P = 0.001); however, presacral neurectomy did not show better results than LUNA (OR 0.30, 95% CI 0.03 to 1.76; P = 0.1). One randomized controlled study in patients with endometriosis showed that LUNA plus ablative treatment was better than no intervention (OR 5.7, 95% CI 1.6 </w:t>
      </w:r>
      <w:r>
        <w:rPr>
          <w:kern w:val="0"/>
        </w:rPr>
        <w:lastRenderedPageBreak/>
        <w:t>to 20.3; P = 0.003), an effect that was not apparent in the subgroup with minimal endometriosis (P = 0.24). Conclusion On theoretical grounds, LUNA has the promise of an efficacious intervention in alleviating pelvic pain. However, the pitfalls in the published research that we have identified</w:t>
      </w:r>
      <w:r w:rsidR="00F81221">
        <w:rPr>
          <w:kern w:val="0"/>
        </w:rPr>
        <w:t xml:space="preserve"> and </w:t>
      </w:r>
      <w:r>
        <w:rPr>
          <w:kern w:val="0"/>
        </w:rPr>
        <w:t>evaluated make it impossible for us to conclude that this intervention is universally effective. At best there is a trend indicating effectiveness in relieving primary dysmenorrhoea</w:t>
      </w:r>
      <w:r w:rsidR="00F81221">
        <w:rPr>
          <w:kern w:val="0"/>
        </w:rPr>
        <w:t xml:space="preserve"> and </w:t>
      </w:r>
      <w:r>
        <w:rPr>
          <w:kern w:val="0"/>
        </w:rPr>
        <w:t>mild to moderate endometriosis. For the majority of women with chronic pelvic pain, there is not sufficient evidence to guide therapeutic decision making with regard to laparoscopic uterine nerve ablation.</w:t>
      </w:r>
    </w:p>
    <w:p w:rsidR="00FF569D" w:rsidRDefault="00FF569D" w:rsidP="00FF569D">
      <w:pPr>
        <w:pStyle w:val="a0"/>
        <w:rPr>
          <w:kern w:val="0"/>
        </w:rPr>
      </w:pPr>
      <w:r>
        <w:rPr>
          <w:kern w:val="0"/>
        </w:rPr>
        <w:t>Keywords: Article, Articles, Assessment, Bibliography, Case Series, Chronic, Chronic Pelvic Pain, Citation, Denervation, Design, Effectiveness, Endometriosis, Intervention, Laser Laparoscopy, Literature, Medical Literature, Medline, Outcomes, Pain, Pelvic Denervation, Primary, Primary Dysmenorrhea, Research, Review, Science, Science Citation Index, Selection, Systematic Review, Treatment, Users Guides, Women</w:t>
      </w:r>
    </w:p>
    <w:p w:rsidR="00B95188" w:rsidRPr="00A428C3" w:rsidRDefault="00B95188" w:rsidP="00B95188">
      <w:pPr>
        <w:pStyle w:val="1"/>
      </w:pPr>
      <w:r w:rsidRPr="00A428C3">
        <w:br w:type="page"/>
      </w:r>
      <w:bookmarkStart w:id="432" w:name="_Toc186647746"/>
      <w:bookmarkStart w:id="433" w:name="_Toc317160970"/>
      <w:r w:rsidRPr="00A428C3">
        <w:lastRenderedPageBreak/>
        <w:t xml:space="preserve">Title: </w:t>
      </w:r>
      <w:r w:rsidRPr="00A428C3">
        <w:rPr>
          <w:szCs w:val="12"/>
        </w:rPr>
        <w:t>Gynäkologische Endokrinologie</w:t>
      </w:r>
      <w:bookmarkEnd w:id="432"/>
      <w:bookmarkEnd w:id="433"/>
    </w:p>
    <w:p w:rsidR="00B95188" w:rsidRPr="00A428C3" w:rsidRDefault="00B95188" w:rsidP="00B72EF9">
      <w:pPr>
        <w:pStyle w:val="12"/>
      </w:pPr>
      <w:r w:rsidRPr="00A428C3">
        <w:t>Full Journal Title: Gynäkologische Endokrinologie</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1610-2894 (Paper) 1610-2908 (Online)</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hyperlink r:id="rId515" w:history="1">
        <w:r w:rsidRPr="00A428C3">
          <w:rPr>
            <w:rStyle w:val="a5"/>
            <w:szCs w:val="12"/>
          </w:rPr>
          <w:t>Springer-Verlag Heidelberg</w:t>
        </w:r>
      </w:hyperlink>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rPr>
          <w:lang w:val="de-DE"/>
        </w:rPr>
      </w:pPr>
      <w:r w:rsidRPr="00A428C3">
        <w:rPr>
          <w:lang w:val="de-DE"/>
        </w:rPr>
        <w:t>: Impact Factor</w:t>
      </w:r>
    </w:p>
    <w:p w:rsidR="00B95188" w:rsidRPr="00A428C3" w:rsidRDefault="00B95188" w:rsidP="00B95188">
      <w:pPr>
        <w:pStyle w:val="a0"/>
        <w:rPr>
          <w:lang w:val="de-DE"/>
        </w:rPr>
      </w:pPr>
      <w:r w:rsidRPr="00A428C3">
        <w:rPr>
          <w:lang w:val="de-DE"/>
        </w:rPr>
        <w:t>Borkenhagen, A., Stöbel-Richter, Y. Brähler, E.</w:t>
      </w:r>
      <w:r w:rsidR="00F81221">
        <w:rPr>
          <w:lang w:val="de-DE"/>
        </w:rPr>
        <w:t xml:space="preserve"> and </w:t>
      </w:r>
      <w:r w:rsidRPr="00A428C3">
        <w:rPr>
          <w:lang w:val="de-DE"/>
        </w:rPr>
        <w:t>Kentenich, H. (2004), Mehrlingsproblem bei Kinderwunschpaaren: Einstellungen und Informationsgrad zur Mehrlingsschwangerschaft, selektiven Mehrlingsreduktion und zum Single-Embryo-Transfer.</w:t>
      </w:r>
      <w:r w:rsidRPr="00A428C3">
        <w:rPr>
          <w:iCs/>
          <w:lang w:val="de-DE"/>
        </w:rPr>
        <w:t xml:space="preserve"> </w:t>
      </w:r>
      <w:r w:rsidRPr="00A428C3">
        <w:rPr>
          <w:i/>
          <w:iCs/>
          <w:lang w:val="de-DE"/>
        </w:rPr>
        <w:t>Gynäkologische Endokrinologie</w:t>
      </w:r>
      <w:r w:rsidRPr="00A428C3">
        <w:rPr>
          <w:lang w:val="de-DE"/>
        </w:rPr>
        <w:t xml:space="preserve">, </w:t>
      </w:r>
      <w:r w:rsidRPr="00A428C3">
        <w:rPr>
          <w:b/>
          <w:lang w:val="de-DE"/>
        </w:rPr>
        <w:t>3</w:t>
      </w:r>
      <w:r w:rsidRPr="00A428C3">
        <w:rPr>
          <w:lang w:val="de-DE"/>
        </w:rPr>
        <w:t xml:space="preserve"> (3), 163-168.</w:t>
      </w:r>
    </w:p>
    <w:p w:rsidR="00B95188" w:rsidRPr="00A428C3" w:rsidRDefault="00B95188" w:rsidP="00B95188">
      <w:pPr>
        <w:pStyle w:val="a0"/>
        <w:rPr>
          <w:lang w:val="de-DE"/>
        </w:rPr>
      </w:pPr>
      <w:r w:rsidRPr="00A428C3">
        <w:rPr>
          <w:lang w:val="de-DE"/>
        </w:rPr>
        <w:t xml:space="preserve">Full Text: </w:t>
      </w:r>
      <w:hyperlink r:id="rId516" w:history="1">
        <w:r w:rsidRPr="00A428C3">
          <w:rPr>
            <w:rStyle w:val="a5"/>
            <w:lang w:val="de-DE"/>
          </w:rPr>
          <w:t>G\Gyn End3, 163.pdf</w:t>
        </w:r>
      </w:hyperlink>
    </w:p>
    <w:p w:rsidR="00B95188" w:rsidRPr="00A428C3" w:rsidRDefault="00B95188" w:rsidP="00B95188">
      <w:pPr>
        <w:pStyle w:val="a0"/>
        <w:rPr>
          <w:lang w:val="de-DE"/>
        </w:rPr>
      </w:pPr>
      <w:r w:rsidRPr="00A428C3">
        <w:rPr>
          <w:lang w:val="de-DE"/>
        </w:rPr>
        <w:t>Abstract: Das Mehrlingsproblem ist gegenwärtig eines der schwerwiegendsten der assistierten Fortpflanzung. Zur Reduktion der Mehrlingsraten müssen die Einstellungen und das Wissen von Kinderwunschpaaren zur Mehrlingsproblematik vermehrt Eingang in die reproduktionsmedizinische Behandlung finden. In einem Review werden die Ergebnisse aktueller empirischer Studien zu Einstellungen und Wissen von Kinderwunschpaaren zur Mehrlingsproblematik und -reduktion sowie zum Single-Embryo-Transfer dargestellt. Dazu wurden im Anschluss an eine Recherche in Medline, Psyndex und ausgewählten deutschsprachigen Zeitschriften 9 Studien analysiert, die zwischen 1990 und 2004 publiziert wurden. Die Analyse ergab: 1. Kinderwunschpaare haben eine sehr hohe Präferenz für eine Zwillingsschwangerschaft und eine hohe bis mittlere Präferenz für eine Drillingsschwangerschaft. 2. Mit steigendem Alter der Frau nimmt die Präferenz für eine Mehrlingsschwangerschaft zu. 3. Kinderwunschpatienten haben ein Informationsdefizit bezüglich den Folgen einer Mehrlingsschwangerschaft.</w:t>
      </w:r>
    </w:p>
    <w:p w:rsidR="00B95188" w:rsidRPr="00A428C3" w:rsidRDefault="00B95188" w:rsidP="00B95188">
      <w:pPr>
        <w:pStyle w:val="1"/>
        <w:rPr>
          <w:lang w:val="de-DE"/>
        </w:rPr>
      </w:pPr>
      <w:r w:rsidRPr="00A428C3">
        <w:rPr>
          <w:lang w:val="de-DE"/>
        </w:rPr>
        <w:br w:type="page"/>
      </w:r>
      <w:bookmarkStart w:id="434" w:name="_Toc7177650"/>
      <w:bookmarkStart w:id="435" w:name="_Toc186647747"/>
      <w:bookmarkStart w:id="436" w:name="_Toc490687997"/>
      <w:bookmarkStart w:id="437" w:name="_Toc492807658"/>
      <w:bookmarkStart w:id="438" w:name="_Toc317160971"/>
      <w:r w:rsidRPr="00A428C3">
        <w:rPr>
          <w:lang w:val="de-DE"/>
        </w:rPr>
        <w:lastRenderedPageBreak/>
        <w:t>Title: Haematologica</w:t>
      </w:r>
      <w:bookmarkEnd w:id="434"/>
      <w:bookmarkEnd w:id="435"/>
      <w:bookmarkEnd w:id="438"/>
    </w:p>
    <w:p w:rsidR="00B95188" w:rsidRPr="00A428C3" w:rsidRDefault="00B95188" w:rsidP="00B72EF9">
      <w:pPr>
        <w:pStyle w:val="12"/>
      </w:pPr>
      <w:r w:rsidRPr="00A428C3">
        <w:t>Full Journal Title: Haematologica</w:t>
      </w:r>
    </w:p>
    <w:p w:rsidR="00B95188" w:rsidRPr="00A428C3" w:rsidRDefault="00B95188" w:rsidP="00B72EF9">
      <w:pPr>
        <w:pStyle w:val="12"/>
      </w:pPr>
      <w:r w:rsidRPr="00A428C3">
        <w:t>ISO Abbreviated Title: Haematologica</w:t>
      </w:r>
    </w:p>
    <w:p w:rsidR="00B95188" w:rsidRPr="00A428C3" w:rsidRDefault="00B95188" w:rsidP="00B72EF9">
      <w:pPr>
        <w:pStyle w:val="12"/>
      </w:pPr>
      <w:r w:rsidRPr="00A428C3">
        <w:t>JCR Abbreviated Title: Haematologica</w:t>
      </w:r>
    </w:p>
    <w:p w:rsidR="00B95188" w:rsidRPr="00A428C3" w:rsidRDefault="00B95188" w:rsidP="00B72EF9">
      <w:pPr>
        <w:pStyle w:val="12"/>
      </w:pPr>
      <w:r w:rsidRPr="00A428C3">
        <w:t>ISSN: 0390-6078</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Italy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Ferrata Storti Foundation</w:t>
      </w:r>
    </w:p>
    <w:p w:rsidR="00B95188" w:rsidRPr="00A428C3" w:rsidRDefault="00B95188" w:rsidP="00B72EF9">
      <w:pPr>
        <w:pStyle w:val="12"/>
      </w:pPr>
      <w:r w:rsidRPr="00A428C3">
        <w:t xml:space="preserve">Publisher Address: Strada Nuova 134, 27100 </w:t>
      </w:r>
      <w:smartTag w:uri="urn:schemas-microsoft-com:office:smarttags" w:element="place">
        <w:smartTag w:uri="urn:schemas-microsoft-com:office:smarttags" w:element="City">
          <w:r w:rsidRPr="00A428C3">
            <w:t>Pavia</w:t>
          </w:r>
        </w:smartTag>
        <w:r w:rsidRPr="00A428C3">
          <w:t xml:space="preserve">, </w:t>
        </w:r>
        <w:smartTag w:uri="urn:schemas-microsoft-com:office:smarttags" w:element="country-region">
          <w:r w:rsidRPr="00A428C3">
            <w:t>Italy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Hematology: Impact Factor 2.538, 19/60 (2000)</w:t>
      </w:r>
    </w:p>
    <w:p w:rsidR="00FF569D" w:rsidRPr="001A3D2B" w:rsidRDefault="00FF569D" w:rsidP="00FF569D">
      <w:pPr>
        <w:pStyle w:val="a0"/>
      </w:pPr>
      <w:r w:rsidRPr="001A3D2B">
        <w:t>? Crippa, L., D</w:t>
      </w:r>
      <w:r w:rsidR="000352E7">
        <w:t>’</w:t>
      </w:r>
      <w:r w:rsidRPr="001A3D2B">
        <w:t>Angelo, S.V., Tomassini, L., Rizzi, B., D</w:t>
      </w:r>
      <w:r w:rsidR="000352E7">
        <w:t>’</w:t>
      </w:r>
      <w:r w:rsidRPr="001A3D2B">
        <w:t>Alessandro, G.</w:t>
      </w:r>
      <w:r w:rsidR="00F81221">
        <w:t xml:space="preserve"> and </w:t>
      </w:r>
      <w:r w:rsidRPr="001A3D2B">
        <w:t>D</w:t>
      </w:r>
      <w:r w:rsidR="000352E7">
        <w:t>’</w:t>
      </w:r>
      <w:r w:rsidRPr="001A3D2B">
        <w:t>Angelo, A. (1997), The utility</w:t>
      </w:r>
      <w:r w:rsidR="00F81221">
        <w:t xml:space="preserve"> and </w:t>
      </w:r>
      <w:r w:rsidRPr="001A3D2B">
        <w:t xml:space="preserve">cost-effectiveness of D-DIMER measurements in the diagnosis of deep vein thrombosis. </w:t>
      </w:r>
      <w:r w:rsidRPr="001A3D2B">
        <w:rPr>
          <w:i/>
          <w:iCs/>
        </w:rPr>
        <w:t>Haematologica</w:t>
      </w:r>
      <w:r w:rsidRPr="001A3D2B">
        <w:t xml:space="preserve">, </w:t>
      </w:r>
      <w:r w:rsidRPr="001A3D2B">
        <w:rPr>
          <w:b/>
          <w:bCs/>
        </w:rPr>
        <w:t>82</w:t>
      </w:r>
      <w:r w:rsidRPr="001A3D2B">
        <w:t xml:space="preserve"> (4), 446-451.</w:t>
      </w:r>
    </w:p>
    <w:p w:rsidR="00D0026F" w:rsidRPr="00A428C3" w:rsidRDefault="00D0026F" w:rsidP="00D0026F">
      <w:pPr>
        <w:pStyle w:val="a0"/>
      </w:pPr>
      <w:r>
        <w:rPr>
          <w:rFonts w:hint="eastAsia"/>
        </w:rPr>
        <w:t xml:space="preserve">Full Text: </w:t>
      </w:r>
      <w:hyperlink r:id="rId517" w:history="1">
        <w:r w:rsidRPr="000D39E9">
          <w:rPr>
            <w:rStyle w:val="a5"/>
          </w:rPr>
          <w:t>1997\Haematologica82, 446.pdf</w:t>
        </w:r>
      </w:hyperlink>
    </w:p>
    <w:p w:rsidR="00FF569D" w:rsidRPr="001A3D2B" w:rsidRDefault="00FF569D" w:rsidP="00FF569D">
      <w:pPr>
        <w:pStyle w:val="a0"/>
      </w:pPr>
      <w:r w:rsidRPr="001A3D2B">
        <w:t>Abstract: Background</w:t>
      </w:r>
      <w:r w:rsidR="00F81221">
        <w:t xml:space="preserve"> and </w:t>
      </w:r>
      <w:r w:rsidRPr="001A3D2B">
        <w:t>Objective. The potential utility of D-dimer measurements for the diagnosis of deep vein thrombosis became evident soon after the development of reliable commercial assays. The purpose of this review is to outline some critical aspects affecting cost-effectiveness of D-dimer measurements In the diagnosis of deep vein thrombosis (DVT). Methods. The authors have been working in this field contributing original papers whose data have been used for this study. In addition, the material analyzed in this article includes papers published in the journals covered by the Science Citation Index(R)</w:t>
      </w:r>
      <w:r w:rsidR="00F81221">
        <w:t xml:space="preserve"> and </w:t>
      </w:r>
      <w:r w:rsidRPr="001A3D2B">
        <w:t>MEDLINE(R). Results. D-dimer levels are very sensitive to the process of fibrin formation/dissolution occurring with ongoing thrombosis. However, they may not be highly specific for venous thromboembolism as they are influenced by the presence of comorbid conditions potentially elevating plasma D-dimer (cancer, surgery, infectious diseases). In addition, commercially available ELISA assays, although quantitative</w:t>
      </w:r>
      <w:r w:rsidR="00F81221">
        <w:t xml:space="preserve"> and </w:t>
      </w:r>
      <w:r w:rsidRPr="001A3D2B">
        <w:t>reproducible, cannot be used under emergency conditions because they are time-consuming</w:t>
      </w:r>
      <w:r w:rsidR="00F81221">
        <w:t xml:space="preserve"> and </w:t>
      </w:r>
      <w:r w:rsidRPr="001A3D2B">
        <w:t>suited for batch-processing of plasma samples. Recently, new assays have been introduced which permit fast</w:t>
      </w:r>
      <w:r w:rsidR="00F81221">
        <w:t xml:space="preserve"> and </w:t>
      </w:r>
      <w:r w:rsidRPr="001A3D2B">
        <w:t>quantitative D-dimer estimations in individual patients. We have evaluated the utility of two new rapid assays (LPIA D-dimer, Mitsubishi,</w:t>
      </w:r>
      <w:r w:rsidR="00F81221">
        <w:t xml:space="preserve"> and </w:t>
      </w:r>
      <w:r w:rsidRPr="001A3D2B">
        <w:t>VIDAS D-DIMER, bio-Merieux) in combination with compression real-time-B-mode ultrasonography for the detection of deep vein thrombosis in asymptomatic patients following elective hip replacement</w:t>
      </w:r>
      <w:r w:rsidR="00F81221">
        <w:t xml:space="preserve"> and </w:t>
      </w:r>
      <w:r w:rsidRPr="001A3D2B">
        <w:t xml:space="preserve">in patients with clinically suspected deep vein thrombosis. In both settings, we identified cut-off </w:t>
      </w:r>
      <w:r w:rsidRPr="001A3D2B">
        <w:lastRenderedPageBreak/>
        <w:t>values with optimal sensitivity which allow exclusion of deep vein thrombosis in a considerable percentage of patients, with substantial sparing of economic resources. In fact, based on a cost-effectiveness analysis, a diagnostic algorithm combining D-dimers measerement</w:t>
      </w:r>
      <w:r w:rsidR="00F81221">
        <w:t xml:space="preserve"> and </w:t>
      </w:r>
      <w:r w:rsidRPr="001A3D2B">
        <w:t>compression ultrasonography would result in cost-savings ranging from 5% to 55% in patients with high or low clinical pretest probability respectively. However, the specificity of D-dimer measurements for deep vein thrombosis was much higher in symptomatic than in asymptomatic patients. Choice of the cut-off value proved to be dependent on the method as well as on the patient populations studied. Conclusions. The cost-effectiveness of D-dimers measurement in the diagnosis of asymptomatic DVT remains questionable. Conversely, our data strongly support the utility of D-dimers determinations in the diagnosis of symptomatic DVT. In terms of sparing economic resources, the introduction in the clinical laboratory of the rapid quantitative assays would be highly convenient, because they avoid a source of bias in the interpretation of D-dimers results, are easy to perform</w:t>
      </w:r>
      <w:r w:rsidR="00F81221">
        <w:t xml:space="preserve"> and </w:t>
      </w:r>
      <w:r w:rsidRPr="001A3D2B">
        <w:t>do not require dedicated personnel or instrumentation. Prospective management studies validating the utility of D-dimer measurement in the diagnosis of deep vein thrombosis are urgently needed. (C) 1997, Ferrata Storti Foundation.</w:t>
      </w:r>
    </w:p>
    <w:p w:rsidR="00FF569D" w:rsidRPr="001A3D2B" w:rsidRDefault="00FF569D" w:rsidP="00FF569D">
      <w:pPr>
        <w:pStyle w:val="a0"/>
      </w:pPr>
      <w:r w:rsidRPr="001A3D2B">
        <w:t>Keywords: Abdominal-Surgery, Algorithm, Analysis, Antithrombin-Iii Complexes, Authors, B-Mode Ultrasonography, Batch Processing, Bias, Cancer, Clinical, Contrast Venography, Cost Effectiveness, Cost Effectiveness Analysis, Cost Savings, Cost-Effectiveness, Cost-Effectiveness Analysis, D-Dimer, Data, Deep Vein Thrombosis, Development, Diagnosis, Diseases, Economic, Elective, Elisa, Emergency, Fibrin Degradation Products, Field, Hip Replacement, Hip-Surgery, Impedance Plethysmography, Infectious Diseases, Instrumentation, Journals, Latex D-Dimer, Management, Measurement, Papers, Patients, Personnel, Plasma, Plasma D-Dimer, Populations, Potential, Purpose, Review, Sensitivity, Source, Specificity, Support, Surgery, Thromboembolism, Thrombosis, Ultrasonography, Utility, Value, Vein Thrombosis, Venous Thromboembolism, Venous Thrombosis</w:t>
      </w:r>
    </w:p>
    <w:p w:rsidR="008D25AC" w:rsidRDefault="008D25AC" w:rsidP="008D25AC">
      <w:pPr>
        <w:pStyle w:val="a0"/>
        <w:rPr>
          <w:kern w:val="0"/>
        </w:rPr>
      </w:pPr>
      <w:r>
        <w:rPr>
          <w:rFonts w:hint="eastAsia"/>
          <w:kern w:val="0"/>
        </w:rPr>
        <w:t xml:space="preserve">? </w:t>
      </w:r>
      <w:r>
        <w:rPr>
          <w:kern w:val="0"/>
        </w:rPr>
        <w:t>Agnelli, G.</w:t>
      </w:r>
      <w:r w:rsidR="00F81221">
        <w:rPr>
          <w:kern w:val="0"/>
        </w:rPr>
        <w:t xml:space="preserve"> and </w:t>
      </w:r>
      <w:r>
        <w:rPr>
          <w:kern w:val="0"/>
        </w:rPr>
        <w:t xml:space="preserve">Sonaglia, F. (1997), Prevention of venous thromboembolism in high risk patients. </w:t>
      </w:r>
      <w:r>
        <w:rPr>
          <w:i/>
          <w:iCs/>
          <w:kern w:val="0"/>
        </w:rPr>
        <w:t>Haematologica</w:t>
      </w:r>
      <w:r>
        <w:rPr>
          <w:kern w:val="0"/>
        </w:rPr>
        <w:t xml:space="preserve">, </w:t>
      </w:r>
      <w:r>
        <w:rPr>
          <w:b/>
          <w:bCs/>
          <w:kern w:val="0"/>
        </w:rPr>
        <w:t>82</w:t>
      </w:r>
      <w:r>
        <w:rPr>
          <w:kern w:val="0"/>
        </w:rPr>
        <w:t xml:space="preserve"> (4), 496-502.</w:t>
      </w:r>
    </w:p>
    <w:p w:rsidR="00D0026F" w:rsidRPr="00A428C3" w:rsidRDefault="00D0026F" w:rsidP="00D0026F">
      <w:pPr>
        <w:pStyle w:val="a0"/>
      </w:pPr>
      <w:r>
        <w:rPr>
          <w:rFonts w:hint="eastAsia"/>
        </w:rPr>
        <w:t xml:space="preserve">Full Text: </w:t>
      </w:r>
      <w:hyperlink r:id="rId518" w:history="1">
        <w:r w:rsidRPr="00D0026F">
          <w:rPr>
            <w:rStyle w:val="a5"/>
          </w:rPr>
          <w:t>1997\Haematologica82, 496.pdf</w:t>
        </w:r>
      </w:hyperlink>
    </w:p>
    <w:p w:rsidR="008D25AC" w:rsidRDefault="008D25AC" w:rsidP="008D25AC">
      <w:pPr>
        <w:pStyle w:val="a0"/>
        <w:rPr>
          <w:kern w:val="0"/>
        </w:rPr>
      </w:pPr>
      <w:r>
        <w:rPr>
          <w:kern w:val="0"/>
        </w:rPr>
        <w:t>Abstract: Background</w:t>
      </w:r>
      <w:r w:rsidR="00F81221">
        <w:rPr>
          <w:kern w:val="0"/>
        </w:rPr>
        <w:t xml:space="preserve"> and </w:t>
      </w:r>
      <w:r>
        <w:rPr>
          <w:kern w:val="0"/>
        </w:rPr>
        <w:t>Objective. Venous thromboembolism includes two closely related clinical manifestations: deep vein thrombosis (DVT), more commonly of the lower limbs,</w:t>
      </w:r>
      <w:r w:rsidR="00F81221">
        <w:rPr>
          <w:kern w:val="0"/>
        </w:rPr>
        <w:t xml:space="preserve"> and </w:t>
      </w:r>
      <w:r>
        <w:rPr>
          <w:kern w:val="0"/>
        </w:rPr>
        <w:t>pulmonary embolism. pulmonary embolism is the most common cause of preventable death in hospitalized patients. The definition of the risk factors for venous thromboembolism should allow to adopt the most suitable prophylactic regimen. Determinants for the risk of venous thromboembolism are patient risk factors, both clinical</w:t>
      </w:r>
      <w:r w:rsidR="00F81221">
        <w:rPr>
          <w:kern w:val="0"/>
        </w:rPr>
        <w:t xml:space="preserve"> and </w:t>
      </w:r>
      <w:r>
        <w:rPr>
          <w:kern w:val="0"/>
        </w:rPr>
        <w:t>molecular,</w:t>
      </w:r>
      <w:r w:rsidR="00F81221">
        <w:rPr>
          <w:kern w:val="0"/>
        </w:rPr>
        <w:t xml:space="preserve"> and </w:t>
      </w:r>
      <w:r>
        <w:rPr>
          <w:kern w:val="0"/>
        </w:rPr>
        <w:t xml:space="preserve">the clinical setting. In this article the </w:t>
      </w:r>
      <w:r>
        <w:rPr>
          <w:kern w:val="0"/>
        </w:rPr>
        <w:lastRenderedPageBreak/>
        <w:t>prophylactic regimens most widely employed in the prevention of venous thromboembolism in high-risk clinical settings will be reviewed. Then, the available guidelines for the management of thrombophilic patients will be given. Information sources. The authors have been working in this field contributing original papers. In addition, the material examined in this review article includes papers published in the journals covered by the Science Citation Index(R)</w:t>
      </w:r>
      <w:r w:rsidR="00F81221">
        <w:rPr>
          <w:kern w:val="0"/>
        </w:rPr>
        <w:t xml:space="preserve"> and </w:t>
      </w:r>
      <w:r>
        <w:rPr>
          <w:kern w:val="0"/>
        </w:rPr>
        <w:t>Medline(R). State of art</w:t>
      </w:r>
      <w:r w:rsidR="00F81221">
        <w:rPr>
          <w:kern w:val="0"/>
        </w:rPr>
        <w:t xml:space="preserve"> and </w:t>
      </w:r>
      <w:r>
        <w:rPr>
          <w:kern w:val="0"/>
        </w:rPr>
        <w:t>Perspectives. Pharmacological prophylaxis is an effective approach for reducing morbidity</w:t>
      </w:r>
      <w:r w:rsidR="00F81221">
        <w:rPr>
          <w:kern w:val="0"/>
        </w:rPr>
        <w:t xml:space="preserve"> and </w:t>
      </w:r>
      <w:r>
        <w:rPr>
          <w:kern w:val="0"/>
        </w:rPr>
        <w:t>mortality from venous thromboembolism. Nevertheless, prophylaxis for venous thromboembolism is under employed because the incidence of venous thromboembolism is underestimated</w:t>
      </w:r>
      <w:r w:rsidR="00F81221">
        <w:rPr>
          <w:kern w:val="0"/>
        </w:rPr>
        <w:t xml:space="preserve"> and </w:t>
      </w:r>
      <w:r>
        <w:rPr>
          <w:kern w:val="0"/>
        </w:rPr>
        <w:t>there is fear of bleeding side effects. Adopting the proper prophylactic strategy for venous thromboembolism requires defining the patient risk factor. Determinants for the risk of venous thromboembolism are patient risk factors, both clinical</w:t>
      </w:r>
      <w:r w:rsidR="00F81221">
        <w:rPr>
          <w:kern w:val="0"/>
        </w:rPr>
        <w:t xml:space="preserve"> and </w:t>
      </w:r>
      <w:r>
        <w:rPr>
          <w:kern w:val="0"/>
        </w:rPr>
        <w:t>molecular,</w:t>
      </w:r>
      <w:r w:rsidR="00F81221">
        <w:rPr>
          <w:kern w:val="0"/>
        </w:rPr>
        <w:t xml:space="preserve"> and </w:t>
      </w:r>
      <w:r>
        <w:rPr>
          <w:kern w:val="0"/>
        </w:rPr>
        <w:t>the clinical setting. The risk connected with the clinical setting is the only risk defined by properly performed epidemiological studies. High-risk clinical settings are major orthopedic surgery, elective neurosurgery, spinal cord injury, cancer surgery</w:t>
      </w:r>
      <w:r w:rsidR="00F81221">
        <w:rPr>
          <w:kern w:val="0"/>
        </w:rPr>
        <w:t xml:space="preserve"> and </w:t>
      </w:r>
      <w:r>
        <w:rPr>
          <w:kern w:val="0"/>
        </w:rPr>
        <w:t>multiple trauma. The most effective anticoagulant regimens in the prevention of venous thromboembolism in high-risk patients are adjusted-dose unfractionated heparin, low molecular weight heparins (LMWHs)</w:t>
      </w:r>
      <w:r w:rsidR="00F81221">
        <w:rPr>
          <w:kern w:val="0"/>
        </w:rPr>
        <w:t xml:space="preserve"> and </w:t>
      </w:r>
      <w:r>
        <w:rPr>
          <w:kern w:val="0"/>
        </w:rPr>
        <w:t>oral anticoagulants. LMWHs are as effective</w:t>
      </w:r>
      <w:r w:rsidR="00F81221">
        <w:rPr>
          <w:kern w:val="0"/>
        </w:rPr>
        <w:t xml:space="preserve"> and </w:t>
      </w:r>
      <w:r>
        <w:rPr>
          <w:kern w:val="0"/>
        </w:rPr>
        <w:t>safe as the other two agents, but they do not require laboratory monitoring. On the other hand, LMWHs are more expensive than unfractionated heparin</w:t>
      </w:r>
      <w:r w:rsidR="00F81221">
        <w:rPr>
          <w:kern w:val="0"/>
        </w:rPr>
        <w:t xml:space="preserve"> and </w:t>
      </w:r>
      <w:r>
        <w:rPr>
          <w:kern w:val="0"/>
        </w:rPr>
        <w:t>warfarin. The use of effective agents still leaves the patients with a high prevalence of venous thromboembolism. Hence the search for more effective agents such as selective thrombin inhibitors like hirudin</w:t>
      </w:r>
      <w:r w:rsidR="00F81221">
        <w:rPr>
          <w:kern w:val="0"/>
        </w:rPr>
        <w:t xml:space="preserve"> and </w:t>
      </w:r>
      <w:r>
        <w:rPr>
          <w:kern w:val="0"/>
        </w:rPr>
        <w:t>its analogues. In patients undergoing elective hip surgery, hirudin has been recently shown to be more effective than low-dose unfractionated heparin</w:t>
      </w:r>
      <w:r w:rsidR="00F81221">
        <w:rPr>
          <w:kern w:val="0"/>
        </w:rPr>
        <w:t xml:space="preserve"> and </w:t>
      </w:r>
      <w:r>
        <w:rPr>
          <w:kern w:val="0"/>
        </w:rPr>
        <w:t>the LMWH enoxaparin. (C) 1997, Ferrata Storti Foundation.</w:t>
      </w:r>
    </w:p>
    <w:p w:rsidR="008D25AC" w:rsidRDefault="008D25AC" w:rsidP="008D25AC">
      <w:pPr>
        <w:pStyle w:val="a0"/>
        <w:rPr>
          <w:kern w:val="0"/>
        </w:rPr>
      </w:pPr>
      <w:r>
        <w:rPr>
          <w:kern w:val="0"/>
        </w:rPr>
        <w:t>Keywords: Anticoagulant, Bleeding, Calf Thrombosis, Cancer, Citation, Deep Vein Thrombosis, Deep-Vein Thrombosis, Heparin, High Risk, High-Risk, Hirudin, Journals, Knee Surgery, Lmwhs, Low-Dose Heparin, Low-Molecular-Weight, Major Trauma, Management, Mortality, Neurosurgery, Prevalence, Pulmonary Embolism, Pulmonary-Embolism, Review, Risk, Risk Factors, Science, Subcutaneous Heparin, Surgery, Surgical Patients, Thrombosis, Total Hip-Replacement, Trauma, Venous Thromboembolism, Warfarin</w:t>
      </w:r>
    </w:p>
    <w:p w:rsidR="008D25AC" w:rsidRDefault="008D25AC" w:rsidP="008D25AC">
      <w:pPr>
        <w:pStyle w:val="a0"/>
        <w:rPr>
          <w:kern w:val="0"/>
        </w:rPr>
      </w:pPr>
      <w:r>
        <w:rPr>
          <w:rFonts w:hint="eastAsia"/>
          <w:kern w:val="0"/>
        </w:rPr>
        <w:t xml:space="preserve">? </w:t>
      </w:r>
      <w:r>
        <w:rPr>
          <w:kern w:val="0"/>
        </w:rPr>
        <w:t>Pengo, V., Zasso, A., Barbero, F., Garelli, E.</w:t>
      </w:r>
      <w:r w:rsidR="00F81221">
        <w:rPr>
          <w:kern w:val="0"/>
        </w:rPr>
        <w:t xml:space="preserve"> and </w:t>
      </w:r>
      <w:r>
        <w:rPr>
          <w:kern w:val="0"/>
        </w:rPr>
        <w:t xml:space="preserve">Biasiolo, A. (1997), Low intensity warfarin therapy. </w:t>
      </w:r>
      <w:r>
        <w:rPr>
          <w:i/>
          <w:iCs/>
          <w:kern w:val="0"/>
        </w:rPr>
        <w:t>Haematologica</w:t>
      </w:r>
      <w:r>
        <w:rPr>
          <w:kern w:val="0"/>
        </w:rPr>
        <w:t xml:space="preserve">, </w:t>
      </w:r>
      <w:r>
        <w:rPr>
          <w:b/>
          <w:bCs/>
          <w:kern w:val="0"/>
        </w:rPr>
        <w:t>82</w:t>
      </w:r>
      <w:r>
        <w:rPr>
          <w:kern w:val="0"/>
        </w:rPr>
        <w:t xml:space="preserve"> (6), 710-712.</w:t>
      </w:r>
    </w:p>
    <w:p w:rsidR="00D0026F" w:rsidRPr="00A428C3" w:rsidRDefault="00D0026F" w:rsidP="00D0026F">
      <w:pPr>
        <w:pStyle w:val="a0"/>
      </w:pPr>
      <w:r>
        <w:rPr>
          <w:rFonts w:hint="eastAsia"/>
        </w:rPr>
        <w:t xml:space="preserve">Full Text: </w:t>
      </w:r>
      <w:hyperlink r:id="rId519" w:history="1">
        <w:r w:rsidRPr="00B45C27">
          <w:rPr>
            <w:rStyle w:val="a5"/>
          </w:rPr>
          <w:t>1997\Haematologica82, 710.pdf</w:t>
        </w:r>
      </w:hyperlink>
    </w:p>
    <w:p w:rsidR="008D25AC" w:rsidRDefault="008D25AC" w:rsidP="008D25AC">
      <w:pPr>
        <w:pStyle w:val="a0"/>
        <w:rPr>
          <w:kern w:val="0"/>
        </w:rPr>
      </w:pPr>
      <w:r>
        <w:rPr>
          <w:kern w:val="0"/>
        </w:rPr>
        <w:t>Abstract: Background</w:t>
      </w:r>
      <w:r w:rsidR="00F81221">
        <w:rPr>
          <w:kern w:val="0"/>
        </w:rPr>
        <w:t xml:space="preserve"> and </w:t>
      </w:r>
      <w:r>
        <w:rPr>
          <w:kern w:val="0"/>
        </w:rPr>
        <w:t xml:space="preserve">Objective. Several studies comparing different intensities of oral anticoagulant treatment have clearly shown a relationship between bleeding </w:t>
      </w:r>
      <w:r>
        <w:rPr>
          <w:kern w:val="0"/>
        </w:rPr>
        <w:lastRenderedPageBreak/>
        <w:t>complications</w:t>
      </w:r>
      <w:r w:rsidR="00F81221">
        <w:rPr>
          <w:kern w:val="0"/>
        </w:rPr>
        <w:t xml:space="preserve"> and </w:t>
      </w:r>
      <w:r>
        <w:rPr>
          <w:kern w:val="0"/>
        </w:rPr>
        <w:t xml:space="preserve">prolongation of prothrombin time. In the early </w:t>
      </w:r>
      <w:r w:rsidR="000352E7">
        <w:rPr>
          <w:kern w:val="0"/>
        </w:rPr>
        <w:t>‘</w:t>
      </w:r>
      <w:r>
        <w:rPr>
          <w:kern w:val="0"/>
        </w:rPr>
        <w:t>50s, de Takats suggested that low-dose oral anticoagulants might be as effective as higher doses in preventing thrombosis, at a lower risk of bleeding. This review article examines the potential of low dose warfarin therapy. information sources. The authors have been working in this field, contributing original papers. In addition, the material examined in this article includes articles published in the journals covered by the Science Citation Index(R)</w:t>
      </w:r>
      <w:r w:rsidR="00F81221">
        <w:rPr>
          <w:kern w:val="0"/>
        </w:rPr>
        <w:t xml:space="preserve"> and </w:t>
      </w:r>
      <w:r>
        <w:rPr>
          <w:kern w:val="0"/>
        </w:rPr>
        <w:t>Medline(R). State of art</w:t>
      </w:r>
      <w:r w:rsidR="00F81221">
        <w:rPr>
          <w:kern w:val="0"/>
        </w:rPr>
        <w:t xml:space="preserve"> and </w:t>
      </w:r>
      <w:r>
        <w:rPr>
          <w:kern w:val="0"/>
        </w:rPr>
        <w:t>Perspectives. The hypothesis that low-dose oral anticoagulants can be effective in preventing thrombosis was first proven by experiments in animal models,</w:t>
      </w:r>
      <w:r w:rsidR="00F81221">
        <w:rPr>
          <w:kern w:val="0"/>
        </w:rPr>
        <w:t xml:space="preserve"> and </w:t>
      </w:r>
      <w:r>
        <w:rPr>
          <w:kern w:val="0"/>
        </w:rPr>
        <w:t>showed that a prothrombin time ratio as low as 1.14 using rabbit brain thromboplastin was still able to confer some inhibition of experimental thrombosis. Low-dose or very low-dose warfarin were subsequently demonstrated to be effective in patients with morbid obesity</w:t>
      </w:r>
      <w:r w:rsidR="00F81221">
        <w:rPr>
          <w:kern w:val="0"/>
        </w:rPr>
        <w:t xml:space="preserve"> and </w:t>
      </w:r>
      <w:r>
        <w:rPr>
          <w:kern w:val="0"/>
        </w:rPr>
        <w:t>decreased antithrombin III functional</w:t>
      </w:r>
      <w:r w:rsidR="00F81221">
        <w:rPr>
          <w:kern w:val="0"/>
        </w:rPr>
        <w:t xml:space="preserve"> and </w:t>
      </w:r>
      <w:r>
        <w:rPr>
          <w:kern w:val="0"/>
        </w:rPr>
        <w:t>antigenic levels, in patients with indwelling catheters, in patients undergoing gynecological surgery, as well as in patients with stage IV breast cancer. Low-dose warfarin is also effective in the prevention of embolic strokes in patients with non-rheumatic atrial fibrillation. However, older patients (&gt;75 years), who have a very high risk of bleeding, might be safer taking a very low dose of warfarin (i.e., a daily dose of 1-1.25 mg). Moreover, after a period of run-in, a fixed, very low-dose warfarin schedule does not need further laboratory control, which is a factor that could contribute to the full acceptance of treatment by patients</w:t>
      </w:r>
      <w:r w:rsidR="00F81221">
        <w:rPr>
          <w:kern w:val="0"/>
        </w:rPr>
        <w:t xml:space="preserve"> and </w:t>
      </w:r>
      <w:r>
        <w:rPr>
          <w:kern w:val="0"/>
        </w:rPr>
        <w:t>could stimulate a broader prescription of warfarin for the primary prevention of stroke in older patients with nonrheumatic atrial fibrillation. Therefore, we have organized a multicenter clinical trial in which 1000 patients with non-rheumatic atrial fibrillation will be randomized to receive either a fixed mini-dose of warfarin or a standard dose. Positive results might permit the treatment of most older patients with non-rheumatic atrial fibrillation, creating a benefit for the community as a consequence of its effective prevention of disabling strokes. (C) 1997, Ferrata Storti Foundation.</w:t>
      </w:r>
    </w:p>
    <w:p w:rsidR="008D25AC" w:rsidRDefault="008D25AC" w:rsidP="008D25AC">
      <w:pPr>
        <w:pStyle w:val="a0"/>
        <w:rPr>
          <w:kern w:val="0"/>
        </w:rPr>
      </w:pPr>
      <w:r>
        <w:rPr>
          <w:kern w:val="0"/>
        </w:rPr>
        <w:t>Keywords: Animal Models, Anticoagulant Treatment, Articles, Atrial-Fibrillation, Brain, Cancer, Citation, Heart-Valves, High Risk, High-Risk, Journals, Low-Dose Warfarin, Models, Oral Anticoagulant-Therapy, Primary, Rabbits, Review, Risk, Science, Stroke, Surgery, Therapy, Thromboplastin, Thrombosis, Treatment, Trial, Warfarin</w:t>
      </w:r>
    </w:p>
    <w:p w:rsidR="008D25AC" w:rsidRDefault="008D25AC" w:rsidP="008D25AC">
      <w:pPr>
        <w:pStyle w:val="a0"/>
        <w:rPr>
          <w:kern w:val="0"/>
        </w:rPr>
      </w:pPr>
      <w:r>
        <w:rPr>
          <w:rFonts w:hint="eastAsia"/>
          <w:kern w:val="0"/>
        </w:rPr>
        <w:t xml:space="preserve">? </w:t>
      </w:r>
      <w:r>
        <w:rPr>
          <w:kern w:val="0"/>
        </w:rPr>
        <w:t xml:space="preserve">Berrettini, M. (1997), Anticoagulation clinics: The Italian experience. </w:t>
      </w:r>
      <w:r>
        <w:rPr>
          <w:i/>
          <w:iCs/>
          <w:kern w:val="0"/>
        </w:rPr>
        <w:t>Haematologica</w:t>
      </w:r>
      <w:r>
        <w:rPr>
          <w:kern w:val="0"/>
        </w:rPr>
        <w:t xml:space="preserve">, </w:t>
      </w:r>
      <w:r>
        <w:rPr>
          <w:b/>
          <w:bCs/>
          <w:kern w:val="0"/>
        </w:rPr>
        <w:t>82</w:t>
      </w:r>
      <w:r>
        <w:rPr>
          <w:kern w:val="0"/>
        </w:rPr>
        <w:t xml:space="preserve"> (6), 713-717.</w:t>
      </w:r>
    </w:p>
    <w:p w:rsidR="00D0026F" w:rsidRPr="00A428C3" w:rsidRDefault="00D0026F" w:rsidP="00D0026F">
      <w:pPr>
        <w:pStyle w:val="a0"/>
      </w:pPr>
      <w:r>
        <w:rPr>
          <w:rFonts w:hint="eastAsia"/>
        </w:rPr>
        <w:t xml:space="preserve">Full Text: </w:t>
      </w:r>
      <w:hyperlink r:id="rId520" w:history="1">
        <w:r w:rsidRPr="00D0026F">
          <w:rPr>
            <w:rStyle w:val="a5"/>
          </w:rPr>
          <w:t>1997\Haematologica82, 713.pdf</w:t>
        </w:r>
      </w:hyperlink>
    </w:p>
    <w:p w:rsidR="008D25AC" w:rsidRDefault="008D25AC" w:rsidP="008D25AC">
      <w:pPr>
        <w:pStyle w:val="a0"/>
        <w:rPr>
          <w:kern w:val="0"/>
        </w:rPr>
      </w:pPr>
      <w:r>
        <w:rPr>
          <w:kern w:val="0"/>
        </w:rPr>
        <w:t>Abstract: Background</w:t>
      </w:r>
      <w:r w:rsidR="00F81221">
        <w:rPr>
          <w:kern w:val="0"/>
        </w:rPr>
        <w:t xml:space="preserve"> and </w:t>
      </w:r>
      <w:r>
        <w:rPr>
          <w:kern w:val="0"/>
        </w:rPr>
        <w:t>Objective. The clinical quality of oral anticoagulant therapy (OAT) depends on how successful physicians</w:t>
      </w:r>
      <w:r w:rsidR="00F81221">
        <w:rPr>
          <w:kern w:val="0"/>
        </w:rPr>
        <w:t xml:space="preserve"> and </w:t>
      </w:r>
      <w:r>
        <w:rPr>
          <w:kern w:val="0"/>
        </w:rPr>
        <w:t>patients are in achieving</w:t>
      </w:r>
      <w:r w:rsidR="00F81221">
        <w:rPr>
          <w:kern w:val="0"/>
        </w:rPr>
        <w:t xml:space="preserve"> and </w:t>
      </w:r>
      <w:r>
        <w:rPr>
          <w:kern w:val="0"/>
        </w:rPr>
        <w:t xml:space="preserve">maintaining levels of anticoagulation capable of preventing thromboembolic events </w:t>
      </w:r>
      <w:r>
        <w:rPr>
          <w:kern w:val="0"/>
        </w:rPr>
        <w:lastRenderedPageBreak/>
        <w:t>without increasing the risk of hemorrhagic complications. Concerning the patient, education</w:t>
      </w:r>
      <w:r w:rsidR="00F81221">
        <w:rPr>
          <w:kern w:val="0"/>
        </w:rPr>
        <w:t xml:space="preserve"> and </w:t>
      </w:r>
      <w:r>
        <w:rPr>
          <w:kern w:val="0"/>
        </w:rPr>
        <w:t>compliance are the major problems. As for the physician, on the other hand, the management of patients receiving OAT is a complex task that requires frequent laboratory testing, dosage regulation, prompt diagnosis</w:t>
      </w:r>
      <w:r w:rsidR="00F81221">
        <w:rPr>
          <w:kern w:val="0"/>
        </w:rPr>
        <w:t xml:space="preserve"> and </w:t>
      </w:r>
      <w:r>
        <w:rPr>
          <w:kern w:val="0"/>
        </w:rPr>
        <w:t>treatment of thromboembolic</w:t>
      </w:r>
      <w:r w:rsidR="00F81221">
        <w:rPr>
          <w:kern w:val="0"/>
        </w:rPr>
        <w:t xml:space="preserve"> and </w:t>
      </w:r>
      <w:r>
        <w:rPr>
          <w:kern w:val="0"/>
        </w:rPr>
        <w:t>hemorrhagic events. It requires educated</w:t>
      </w:r>
      <w:r w:rsidR="00F81221">
        <w:rPr>
          <w:kern w:val="0"/>
        </w:rPr>
        <w:t xml:space="preserve"> and </w:t>
      </w:r>
      <w:r>
        <w:rPr>
          <w:kern w:val="0"/>
        </w:rPr>
        <w:t>skilled personnel</w:t>
      </w:r>
      <w:r w:rsidR="00F81221">
        <w:rPr>
          <w:kern w:val="0"/>
        </w:rPr>
        <w:t xml:space="preserve"> and </w:t>
      </w:r>
      <w:r>
        <w:rPr>
          <w:kern w:val="0"/>
        </w:rPr>
        <w:t>a well-organized framework of services. Anticoagulation clinics, which provide patient education, close monitoring of prothrombin time</w:t>
      </w:r>
      <w:r w:rsidR="00F81221">
        <w:rPr>
          <w:kern w:val="0"/>
        </w:rPr>
        <w:t xml:space="preserve"> and </w:t>
      </w:r>
      <w:r>
        <w:rPr>
          <w:kern w:val="0"/>
        </w:rPr>
        <w:t>continuous clinical surveillance, may help in improving the overall quality of OAT. Information sources. The authors have been working in this field contributing, original papers. In addition, the material examined in this article includes articles published in the journals covered by the Science Citation index(R)</w:t>
      </w:r>
      <w:r w:rsidR="00F81221">
        <w:rPr>
          <w:kern w:val="0"/>
        </w:rPr>
        <w:t xml:space="preserve"> and </w:t>
      </w:r>
      <w:r>
        <w:rPr>
          <w:kern w:val="0"/>
        </w:rPr>
        <w:t>Medline(R). State of art</w:t>
      </w:r>
      <w:r w:rsidR="00F81221">
        <w:rPr>
          <w:kern w:val="0"/>
        </w:rPr>
        <w:t xml:space="preserve"> and </w:t>
      </w:r>
      <w:r>
        <w:rPr>
          <w:kern w:val="0"/>
        </w:rPr>
        <w:t>Perspectives. The concept of a coordinated network of medical services specifically devoted to the control of OAT was developed in the Netherlands following the model created by the late Professor Jordan, who in 1949 founded the first thrombosis center at the University of Utrecht. Many other anticoagulant clinics were organized on a voluntary basis in the following decades in the Netherlands. The Dutch Federation of Thrombosis Centers was founded in 1971</w:t>
      </w:r>
      <w:r w:rsidR="00F81221">
        <w:rPr>
          <w:kern w:val="0"/>
        </w:rPr>
        <w:t xml:space="preserve"> and </w:t>
      </w:r>
      <w:r>
        <w:rPr>
          <w:kern w:val="0"/>
        </w:rPr>
        <w:t>each affiliated Center is formally recognized</w:t>
      </w:r>
      <w:r w:rsidR="00F81221">
        <w:rPr>
          <w:kern w:val="0"/>
        </w:rPr>
        <w:t xml:space="preserve"> and </w:t>
      </w:r>
      <w:r>
        <w:rPr>
          <w:kern w:val="0"/>
        </w:rPr>
        <w:t>supported by the central Government. Today, there is a nation-wide system of regionally centralized anticoagulant control for outpatients</w:t>
      </w:r>
      <w:r w:rsidR="00F81221">
        <w:rPr>
          <w:kern w:val="0"/>
        </w:rPr>
        <w:t xml:space="preserve"> and </w:t>
      </w:r>
      <w:r>
        <w:rPr>
          <w:kern w:val="0"/>
        </w:rPr>
        <w:t>home patients that counts approximately 70 anticoagulant clinics (thrombosis centers), covering more than 90% of the country. Similar global approaches to the management of patients receiving OAT were proposed in other countries. In the 1950</w:t>
      </w:r>
      <w:r w:rsidR="000352E7">
        <w:rPr>
          <w:kern w:val="0"/>
        </w:rPr>
        <w:t>’</w:t>
      </w:r>
      <w:r>
        <w:rPr>
          <w:kern w:val="0"/>
        </w:rPr>
        <w:t>s, a group of internists</w:t>
      </w:r>
      <w:r w:rsidR="00F81221">
        <w:rPr>
          <w:kern w:val="0"/>
        </w:rPr>
        <w:t xml:space="preserve"> and </w:t>
      </w:r>
      <w:r>
        <w:rPr>
          <w:kern w:val="0"/>
        </w:rPr>
        <w:t>surgeons at the University of Michigan, USA, developed a unit specifically devoted to the diagnosis</w:t>
      </w:r>
      <w:r w:rsidR="00F81221">
        <w:rPr>
          <w:kern w:val="0"/>
        </w:rPr>
        <w:t xml:space="preserve"> and </w:t>
      </w:r>
      <w:r>
        <w:rPr>
          <w:kern w:val="0"/>
        </w:rPr>
        <w:t>treatment of thromboembolic disease,</w:t>
      </w:r>
      <w:r w:rsidR="00F81221">
        <w:rPr>
          <w:kern w:val="0"/>
        </w:rPr>
        <w:t xml:space="preserve"> and </w:t>
      </w:r>
      <w:r>
        <w:rPr>
          <w:kern w:val="0"/>
        </w:rPr>
        <w:t>proposed common strategies, teaching</w:t>
      </w:r>
      <w:r w:rsidR="00F81221">
        <w:rPr>
          <w:kern w:val="0"/>
        </w:rPr>
        <w:t xml:space="preserve"> and </w:t>
      </w:r>
      <w:r>
        <w:rPr>
          <w:kern w:val="0"/>
        </w:rPr>
        <w:t>research programs. In 1959, Sevitt</w:t>
      </w:r>
      <w:r w:rsidR="00F81221">
        <w:rPr>
          <w:kern w:val="0"/>
        </w:rPr>
        <w:t xml:space="preserve"> and </w:t>
      </w:r>
      <w:r>
        <w:rPr>
          <w:kern w:val="0"/>
        </w:rPr>
        <w:t>Gallagher were the first to propose a formal recognition of an anticoagulant unit in Great Britain. Finally, the Italian Federation of Centers for the Surveillance of Anticoagulant (FCSA) therapies was founded in 1989. Nowadays, Italian anticoagulation clinics operating in the framework of the FCSA are still voluntary organizations which provide a specific medical service by continuously reorganizing the personnel, structures</w:t>
      </w:r>
      <w:r w:rsidR="00F81221">
        <w:rPr>
          <w:kern w:val="0"/>
        </w:rPr>
        <w:t xml:space="preserve"> and </w:t>
      </w:r>
      <w:r>
        <w:rPr>
          <w:kern w:val="0"/>
        </w:rPr>
        <w:t xml:space="preserve">resources available to meet increasing demands. Since OAT has a profound social impact, its control should not be left to the good will of dedicated people, but should instead represent a specific task of the public health system. The achievement of a formal recognition of federated centers is essential for their growth, but the unavoidable increase of the expenses needed to support anticoagulation clinics is difficult to bear in a public care system which is currently facing a substantial reduction of financial resources. In a fixed health care budget, a redistribution of existing resources is the only possible solution, but to achieve this goal, public authorities have to be convinced that the </w:t>
      </w:r>
      <w:r>
        <w:rPr>
          <w:kern w:val="0"/>
        </w:rPr>
        <w:lastRenderedPageBreak/>
        <w:t>management of OAT in specific anticoagulation clinics is cost-effective. A more accurate estimate of costs is needed</w:t>
      </w:r>
      <w:r w:rsidR="00F81221">
        <w:rPr>
          <w:kern w:val="0"/>
        </w:rPr>
        <w:t xml:space="preserve"> and </w:t>
      </w:r>
      <w:r>
        <w:rPr>
          <w:kern w:val="0"/>
        </w:rPr>
        <w:t>should be performed by the FCSA. Finally, the FCSA should strengthen its contacts with patient organizations</w:t>
      </w:r>
      <w:r w:rsidR="00F81221">
        <w:rPr>
          <w:kern w:val="0"/>
        </w:rPr>
        <w:t xml:space="preserve"> and </w:t>
      </w:r>
      <w:r>
        <w:rPr>
          <w:kern w:val="0"/>
        </w:rPr>
        <w:t>other scientific associations in order to develop common action strategies for improving the quality of OAT. (C) 1997, Ferrata Storti Foundation.</w:t>
      </w:r>
    </w:p>
    <w:p w:rsidR="008D25AC" w:rsidRDefault="008D25AC" w:rsidP="008D25AC">
      <w:pPr>
        <w:pStyle w:val="a0"/>
        <w:rPr>
          <w:kern w:val="0"/>
        </w:rPr>
      </w:pPr>
      <w:r>
        <w:rPr>
          <w:kern w:val="0"/>
        </w:rPr>
        <w:t>Keywords: Anticoagulant, Anticoagulation, Anticoagulation Clinic, Articles, Bleeding, Citation, Coagulation, Complex, Costs, Diagnosis, Education, Global, Growth, Health, Health Care, Impact, Journals, Management, Medical, Model, Netherlands, Public Health, Reduction, Regulation, Research, Risk, Science, System, Task, Therapy, Thrombosis, Treatment, University, USA</w:t>
      </w:r>
    </w:p>
    <w:p w:rsidR="00FF569D" w:rsidRPr="001A3D2B" w:rsidRDefault="00FF569D" w:rsidP="00FF569D">
      <w:pPr>
        <w:pStyle w:val="a0"/>
      </w:pPr>
      <w:r w:rsidRPr="001A3D2B">
        <w:t>? Arcese, W., Aversa, F., Bandini, G., De Vincentiis, A., Falda, M., Lanata, L., Lemoli, R.M., Locatelli, F., Majolino, I., Zanon, P.</w:t>
      </w:r>
      <w:r w:rsidR="00F81221">
        <w:t xml:space="preserve"> and </w:t>
      </w:r>
      <w:r w:rsidRPr="001A3D2B">
        <w:t xml:space="preserve">Tura, S. (1998), Clinical use of allogeneic hematopoietic stem cells from sources other than bone marrow. </w:t>
      </w:r>
      <w:r w:rsidRPr="001A3D2B">
        <w:rPr>
          <w:i/>
          <w:iCs/>
        </w:rPr>
        <w:t>Haematologica</w:t>
      </w:r>
      <w:r w:rsidRPr="001A3D2B">
        <w:t xml:space="preserve">, </w:t>
      </w:r>
      <w:r w:rsidRPr="001A3D2B">
        <w:rPr>
          <w:b/>
          <w:bCs/>
        </w:rPr>
        <w:t>83</w:t>
      </w:r>
      <w:r w:rsidRPr="001A3D2B">
        <w:t xml:space="preserve"> (2), 159-182.</w:t>
      </w:r>
    </w:p>
    <w:p w:rsidR="00D0026F" w:rsidRPr="00A428C3" w:rsidRDefault="00D0026F" w:rsidP="00D0026F">
      <w:pPr>
        <w:pStyle w:val="a0"/>
      </w:pPr>
      <w:r>
        <w:rPr>
          <w:rFonts w:hint="eastAsia"/>
        </w:rPr>
        <w:t xml:space="preserve">Full Text: </w:t>
      </w:r>
      <w:hyperlink r:id="rId521" w:history="1">
        <w:r w:rsidRPr="00B45C27">
          <w:rPr>
            <w:rStyle w:val="a5"/>
          </w:rPr>
          <w:t>1998\Haematologica83, 159.pdf</w:t>
        </w:r>
      </w:hyperlink>
    </w:p>
    <w:p w:rsidR="00FF569D" w:rsidRPr="001A3D2B" w:rsidRDefault="00FF569D" w:rsidP="00FF569D">
      <w:pPr>
        <w:pStyle w:val="a0"/>
      </w:pPr>
      <w:r w:rsidRPr="001A3D2B">
        <w:t>Abstract: Background</w:t>
      </w:r>
      <w:r w:rsidR="00F81221">
        <w:t xml:space="preserve"> and </w:t>
      </w:r>
      <w:r w:rsidRPr="001A3D2B">
        <w:t>Objective. Peripheral blood stem cells (PBSC) are being increasingly used as an alternative to conventional allogeneic bone marrow (BM) transplantation. This has prompted the Working Group on CD34-Positive Hematopoietic Cells to evaluate the current utilization of allogeneic PBSC in clinical hematology. Evidence</w:t>
      </w:r>
      <w:r w:rsidR="00F81221">
        <w:t xml:space="preserve"> and </w:t>
      </w:r>
      <w:r w:rsidRPr="001A3D2B">
        <w:t>information Sources. The method employed for preparing this review was that of informal consensus development. Members of the Working Group met three times,</w:t>
      </w:r>
      <w:r w:rsidR="00F81221">
        <w:t xml:space="preserve"> and </w:t>
      </w:r>
      <w:r w:rsidRPr="001A3D2B">
        <w:t>the participants at these meetings examined a list of problems previously prepared by the chairman. They discussed the single points in order to reach an agreement on different opinions</w:t>
      </w:r>
      <w:r w:rsidR="00F81221">
        <w:t xml:space="preserve"> and </w:t>
      </w:r>
      <w:r w:rsidRPr="001A3D2B">
        <w:t>eventually approved the final manuscript. Some of the authors of the present review have been working in the field of stem cell transplantation</w:t>
      </w:r>
      <w:r w:rsidR="00F81221">
        <w:t xml:space="preserve"> and </w:t>
      </w:r>
      <w:r w:rsidRPr="001A3D2B">
        <w:t>have contributed original papers in peer-reviewed journals. In addition, the material examined in the present review includes articles</w:t>
      </w:r>
      <w:r w:rsidR="00F81221">
        <w:t xml:space="preserve"> and </w:t>
      </w:r>
      <w:r w:rsidRPr="001A3D2B">
        <w:t>abstracts published in journals covered by the Science Citation index(R)</w:t>
      </w:r>
      <w:r w:rsidR="00F81221">
        <w:t xml:space="preserve"> and </w:t>
      </w:r>
      <w:r w:rsidRPr="001A3D2B">
        <w:t>MEDLINE(R). State of the Art. Review of the current literature shows that unmanipulated allogeneic PBSC give prompt</w:t>
      </w:r>
      <w:r w:rsidR="00F81221">
        <w:t xml:space="preserve"> and </w:t>
      </w:r>
      <w:r w:rsidRPr="001A3D2B">
        <w:t>stable engraftment in HLA-identical sibling recipients. Despite the much higher number of T-cells infused, the incidence</w:t>
      </w:r>
      <w:r w:rsidR="00F81221">
        <w:t xml:space="preserve"> and </w:t>
      </w:r>
      <w:r w:rsidRPr="001A3D2B">
        <w:t>severity of acute GVHD after PBSC transplant seems comparable to that observed with bone marrow (BM) cells. In comparison to the latter, PBSC probably ensure faster immunologic reconstitution in the early post-transplant period. Controversial results on the incidence</w:t>
      </w:r>
      <w:r w:rsidR="00F81221">
        <w:t xml:space="preserve"> and </w:t>
      </w:r>
      <w:r w:rsidRPr="001A3D2B">
        <w:t>severity of acute-GVHD have been reported when CD34(+) selection methods are used. Prospective randomized trials are underway to compare the results of PBSC</w:t>
      </w:r>
      <w:r w:rsidR="00F81221">
        <w:t xml:space="preserve"> and </w:t>
      </w:r>
      <w:r w:rsidRPr="001A3D2B">
        <w:t xml:space="preserve">BM allogeneic transplantation. In mismatched family donor transplants, T-cell depleted PBSC successfully engraft immune-myeloablated recipients through a megacell-dose effect able to overcome </w:t>
      </w:r>
      <w:r w:rsidRPr="001A3D2B">
        <w:lastRenderedPageBreak/>
        <w:t>the HLA barrier. Experience with PBSC in the context of unrelated donor transplants is currently anecdotal</w:t>
      </w:r>
      <w:r w:rsidR="00F81221">
        <w:t xml:space="preserve"> and </w:t>
      </w:r>
      <w:r w:rsidRPr="001A3D2B">
        <w:t>prospective trials should be completed before that practice becomes routine. Finally, there is also limited evidence that, following induction chemotherapy, the addition of PBSC to donor lymphocyte infusion (DLI) for treatment of leukemia relapse after BMT may improve the safety</w:t>
      </w:r>
      <w:r w:rsidR="00F81221">
        <w:t xml:space="preserve"> and </w:t>
      </w:r>
      <w:r w:rsidRPr="001A3D2B">
        <w:t>effectiveness of DLI itself. Concerning cord blood (CB) transplants, the most interesting aspects are the ease of CB collection</w:t>
      </w:r>
      <w:r w:rsidR="00F81221">
        <w:t xml:space="preserve"> and </w:t>
      </w:r>
      <w:r w:rsidRPr="001A3D2B">
        <w:t>storage, the low risk of viral contamination</w:t>
      </w:r>
      <w:r w:rsidR="00F81221">
        <w:t xml:space="preserve"> and </w:t>
      </w:r>
      <w:r w:rsidRPr="001A3D2B">
        <w:t>the low immune reactivity of CB cells. This last property has its clinical counterpart in an apparently reduced incidence</w:t>
      </w:r>
      <w:r w:rsidR="00F81221">
        <w:t xml:space="preserve"> and </w:t>
      </w:r>
      <w:r w:rsidRPr="001A3D2B">
        <w:t>severity of acute GVHD both in sibling</w:t>
      </w:r>
      <w:r w:rsidR="00F81221">
        <w:t xml:space="preserve"> and </w:t>
      </w:r>
      <w:r w:rsidRPr="001A3D2B">
        <w:t>unrelated CB transplants, probably making the level of donor/recipient HLA disparity acceptable a greater degree with respect to what is required for transplants from other sources.</w:t>
      </w:r>
    </w:p>
    <w:p w:rsidR="00FF569D" w:rsidRPr="001A3D2B" w:rsidRDefault="00FF569D" w:rsidP="00FF569D">
      <w:pPr>
        <w:pStyle w:val="a0"/>
      </w:pPr>
      <w:r w:rsidRPr="001A3D2B">
        <w:t>Keywords: Allogeneic, Allogeneic Transplantation, Alternative, Authors, Barrier, Blood, Bone, Bone Marrow, Cell Transplantation, Chemotherapy, Chronic Myelogenous Leukemia, Chronic Myeloid-Leukemia, Clinical, Collection, Colony-Stimulating Factor, Comparison, Consensus, Contamination, Context, Conventional, Cord Blood, Cord-Blood, Development, Disparity, Donor Leukocyte Infusions, Effectiveness, Evidence, Family, Field, Graft-Versus-Host Disease, Graft-Versus-Leukemia, Hematopoietic Stem Cells, Hla-Identical Siblings, Immune, Incidence, Induction, Information, Infusion, Journals, Leukemia, Literature, Long-Term Persistence, Low Risk, Methods, Opinions, Papers, Peer Reviewed Journals, Peer-Reviewed, Peripheral Blood, Practice, Property, Prospective, Randomized, Relapse, Review, Risk, Safety, Sources, Stem Cell, Stem Cell Transplantation, Stem Cells, Storage, T-Cell, Total-Body Irradiation, Transplantation, Transplants, Treatment, Umbilical-Cord-Blood, Utilization, Viral</w:t>
      </w:r>
    </w:p>
    <w:p w:rsidR="00412994" w:rsidRDefault="00412994" w:rsidP="00412994">
      <w:pPr>
        <w:pStyle w:val="a0"/>
        <w:rPr>
          <w:kern w:val="0"/>
        </w:rPr>
      </w:pPr>
      <w:r>
        <w:rPr>
          <w:rFonts w:hint="eastAsia"/>
          <w:kern w:val="0"/>
        </w:rPr>
        <w:t xml:space="preserve">? </w:t>
      </w:r>
      <w:r>
        <w:rPr>
          <w:kern w:val="0"/>
        </w:rPr>
        <w:t>Prandoni, P., Piccioli, A.</w:t>
      </w:r>
      <w:r w:rsidR="00F81221">
        <w:rPr>
          <w:kern w:val="0"/>
        </w:rPr>
        <w:t xml:space="preserve"> and </w:t>
      </w:r>
      <w:r>
        <w:rPr>
          <w:kern w:val="0"/>
        </w:rPr>
        <w:t>Girolami, A. (1999), Cancer</w:t>
      </w:r>
      <w:r w:rsidR="00F81221">
        <w:rPr>
          <w:kern w:val="0"/>
        </w:rPr>
        <w:t xml:space="preserve"> and </w:t>
      </w:r>
      <w:r>
        <w:rPr>
          <w:kern w:val="0"/>
        </w:rPr>
        <w:t xml:space="preserve">venous thromboembolism: </w:t>
      </w:r>
      <w:r w:rsidR="00077B31">
        <w:rPr>
          <w:kern w:val="0"/>
        </w:rPr>
        <w:t xml:space="preserve">An </w:t>
      </w:r>
      <w:r>
        <w:rPr>
          <w:kern w:val="0"/>
        </w:rPr>
        <w:t xml:space="preserve">overview. </w:t>
      </w:r>
      <w:r>
        <w:rPr>
          <w:i/>
          <w:iCs/>
          <w:kern w:val="0"/>
        </w:rPr>
        <w:t>Haematologica</w:t>
      </w:r>
      <w:r>
        <w:rPr>
          <w:kern w:val="0"/>
        </w:rPr>
        <w:t xml:space="preserve">, </w:t>
      </w:r>
      <w:r>
        <w:rPr>
          <w:b/>
          <w:bCs/>
          <w:kern w:val="0"/>
        </w:rPr>
        <w:t>84</w:t>
      </w:r>
      <w:r>
        <w:rPr>
          <w:kern w:val="0"/>
        </w:rPr>
        <w:t xml:space="preserve"> (5), 437-445.</w:t>
      </w:r>
    </w:p>
    <w:p w:rsidR="00077B31" w:rsidRPr="00A428C3" w:rsidRDefault="00077B31" w:rsidP="00077B31">
      <w:pPr>
        <w:pStyle w:val="a0"/>
      </w:pPr>
      <w:r>
        <w:rPr>
          <w:rFonts w:hint="eastAsia"/>
        </w:rPr>
        <w:t xml:space="preserve">Full Text: </w:t>
      </w:r>
      <w:hyperlink r:id="rId522" w:history="1">
        <w:r w:rsidRPr="00077B31">
          <w:rPr>
            <w:rStyle w:val="a5"/>
          </w:rPr>
          <w:t>1999\Haematologica84, 437.pdf</w:t>
        </w:r>
      </w:hyperlink>
    </w:p>
    <w:p w:rsidR="00412994" w:rsidRDefault="00412994" w:rsidP="00412994">
      <w:pPr>
        <w:pStyle w:val="a0"/>
        <w:rPr>
          <w:kern w:val="0"/>
        </w:rPr>
      </w:pPr>
      <w:r>
        <w:rPr>
          <w:kern w:val="0"/>
        </w:rPr>
        <w:t>Abstract: Background</w:t>
      </w:r>
      <w:r w:rsidR="00F81221">
        <w:rPr>
          <w:kern w:val="0"/>
        </w:rPr>
        <w:t xml:space="preserve"> and </w:t>
      </w:r>
      <w:r>
        <w:rPr>
          <w:kern w:val="0"/>
        </w:rPr>
        <w:t>Objective. Although the relationship between malignant diseases</w:t>
      </w:r>
      <w:r w:rsidR="00F81221">
        <w:rPr>
          <w:kern w:val="0"/>
        </w:rPr>
        <w:t xml:space="preserve"> and </w:t>
      </w:r>
      <w:r>
        <w:rPr>
          <w:kern w:val="0"/>
        </w:rPr>
        <w:t>venous thromboembolism has been convincingly demonstrated, the clinical implications of this association still have to be thoroughly elucidated. The aim of this study was to review briefly the mechanisms by which cancer may induce the development of thrombosis</w:t>
      </w:r>
      <w:r w:rsidR="00F81221">
        <w:rPr>
          <w:kern w:val="0"/>
        </w:rPr>
        <w:t xml:space="preserve"> and </w:t>
      </w:r>
      <w:r>
        <w:rPr>
          <w:kern w:val="0"/>
        </w:rPr>
        <w:t>to analyze critically the most recent clinical advances in this field. Evidence</w:t>
      </w:r>
      <w:r w:rsidR="00F81221">
        <w:rPr>
          <w:kern w:val="0"/>
        </w:rPr>
        <w:t xml:space="preserve"> and </w:t>
      </w:r>
      <w:r>
        <w:rPr>
          <w:kern w:val="0"/>
        </w:rPr>
        <w:t>Information Sources. The material examined in the present review includes articles published in Journals covered by the Science Citation Index(R)</w:t>
      </w:r>
      <w:r w:rsidR="00F81221">
        <w:rPr>
          <w:kern w:val="0"/>
        </w:rPr>
        <w:t xml:space="preserve"> and </w:t>
      </w:r>
      <w:r>
        <w:rPr>
          <w:kern w:val="0"/>
        </w:rPr>
        <w:t>Medline(R). State of the Art. Neoplastic cells can activate the clotting system directly, thereby generating thrombin, or indirectly, by stimulating mononuclear cells to synthesize</w:t>
      </w:r>
      <w:r w:rsidR="00F81221">
        <w:rPr>
          <w:kern w:val="0"/>
        </w:rPr>
        <w:t xml:space="preserve"> and </w:t>
      </w:r>
      <w:r>
        <w:rPr>
          <w:kern w:val="0"/>
        </w:rPr>
        <w:t>express various procoagulants. Cancer cells</w:t>
      </w:r>
      <w:r w:rsidR="00F81221">
        <w:rPr>
          <w:kern w:val="0"/>
        </w:rPr>
        <w:t xml:space="preserve"> and </w:t>
      </w:r>
      <w:r>
        <w:rPr>
          <w:kern w:val="0"/>
        </w:rPr>
        <w:t xml:space="preserve">chemotherapeutic agents can injure endothelial cells, thereby intensifying </w:t>
      </w:r>
      <w:r>
        <w:rPr>
          <w:kern w:val="0"/>
        </w:rPr>
        <w:lastRenderedPageBreak/>
        <w:t>hypercoagulability. Currently, primary prevention of venous thrombosis should be considered for cancer patients during</w:t>
      </w:r>
      <w:r w:rsidR="00F81221">
        <w:rPr>
          <w:kern w:val="0"/>
        </w:rPr>
        <w:t xml:space="preserve"> and </w:t>
      </w:r>
      <w:r>
        <w:rPr>
          <w:kern w:val="0"/>
        </w:rPr>
        <w:t>immediately after chemotherapy, when long-term indwelling central venous catheters are placed, during prolonged immobilization from any cause,</w:t>
      </w:r>
      <w:r w:rsidR="00F81221">
        <w:rPr>
          <w:kern w:val="0"/>
        </w:rPr>
        <w:t xml:space="preserve"> and </w:t>
      </w:r>
      <w:r>
        <w:rPr>
          <w:kern w:val="0"/>
        </w:rPr>
        <w:t>following surgical interventions. Secondary prevention of recurrent venous thromboses usually necessitates long-term anticoagulation. In some patients with cancer the condition is resistant to warfarin,</w:t>
      </w:r>
      <w:r w:rsidR="00F81221">
        <w:rPr>
          <w:kern w:val="0"/>
        </w:rPr>
        <w:t xml:space="preserve"> and </w:t>
      </w:r>
      <w:r>
        <w:rPr>
          <w:kern w:val="0"/>
        </w:rPr>
        <w:t>longterm adjusted high-dose heparin is required. The diagnosis of venous thromboembolism may help to uncover previously occult carcinoma by prompting a complete physical examination</w:t>
      </w:r>
      <w:r w:rsidR="00F81221">
        <w:rPr>
          <w:kern w:val="0"/>
        </w:rPr>
        <w:t xml:space="preserve"> and </w:t>
      </w:r>
      <w:r>
        <w:rPr>
          <w:kern w:val="0"/>
        </w:rPr>
        <w:t>a few routine tests. Perspectives. Further investigations are required to evaluate the cost-benefit ratio of extensive diagnostic screening for occult malignancy in all patients presenting with idiopathic venous thromboembolism,</w:t>
      </w:r>
      <w:r w:rsidR="00F81221">
        <w:rPr>
          <w:kern w:val="0"/>
        </w:rPr>
        <w:t xml:space="preserve"> and </w:t>
      </w:r>
      <w:r>
        <w:rPr>
          <w:kern w:val="0"/>
        </w:rPr>
        <w:t>to explore the potential of low molecular weight heparins for improving survival in patients with cancer. (C)1999, Ferrata Storti Foundation.</w:t>
      </w:r>
    </w:p>
    <w:p w:rsidR="00412994" w:rsidRDefault="00412994" w:rsidP="00412994">
      <w:pPr>
        <w:pStyle w:val="a0"/>
        <w:rPr>
          <w:kern w:val="0"/>
        </w:rPr>
      </w:pPr>
      <w:r>
        <w:rPr>
          <w:kern w:val="0"/>
        </w:rPr>
        <w:t>Keywords: Acute Pulmonary-Embolism, Anticoagulation, Articles, Cancer, Chemotherapy, Citation, Clinical Course, Deep-Vein-Thrombosis, Development, Diagnosis, Endothelial Cells, Evidence, Heparin, Immobilization, Journals, Low Molecular Weight Heparin, Low-Dose Warfarin, Low-Molecular-Weight, Mechanisms, Metastatic Breast-Cancer, Occult Cancer, Primary, Randomized Trial, Review, Science, Screening, Sources, Standardization Committee, System, Thrombosis, Tumor Procoagulants, Venous Thromboembolism, Warfarin</w:t>
      </w:r>
    </w:p>
    <w:p w:rsidR="00FF569D" w:rsidRDefault="00FF569D" w:rsidP="00FF569D">
      <w:pPr>
        <w:pStyle w:val="a0"/>
        <w:rPr>
          <w:kern w:val="0"/>
        </w:rPr>
      </w:pPr>
      <w:r>
        <w:rPr>
          <w:rFonts w:hint="eastAsia"/>
          <w:kern w:val="0"/>
        </w:rPr>
        <w:t xml:space="preserve">? </w:t>
      </w:r>
      <w:r>
        <w:rPr>
          <w:kern w:val="0"/>
        </w:rPr>
        <w:t>Grignani, G.</w:t>
      </w:r>
      <w:r w:rsidR="00F81221">
        <w:rPr>
          <w:kern w:val="0"/>
        </w:rPr>
        <w:t xml:space="preserve"> and </w:t>
      </w:r>
      <w:r>
        <w:rPr>
          <w:kern w:val="0"/>
        </w:rPr>
        <w:t>Maiolo, A. (2000), Cytokines</w:t>
      </w:r>
      <w:r w:rsidR="00F81221">
        <w:rPr>
          <w:kern w:val="0"/>
        </w:rPr>
        <w:t xml:space="preserve"> and </w:t>
      </w:r>
      <w:r>
        <w:rPr>
          <w:kern w:val="0"/>
        </w:rPr>
        <w:t xml:space="preserve">hemostasis. </w:t>
      </w:r>
      <w:r>
        <w:rPr>
          <w:i/>
          <w:iCs/>
          <w:kern w:val="0"/>
        </w:rPr>
        <w:t>Haematologica</w:t>
      </w:r>
      <w:r>
        <w:rPr>
          <w:kern w:val="0"/>
        </w:rPr>
        <w:t xml:space="preserve">, </w:t>
      </w:r>
      <w:r>
        <w:rPr>
          <w:b/>
          <w:bCs/>
          <w:kern w:val="0"/>
        </w:rPr>
        <w:t>85</w:t>
      </w:r>
      <w:r>
        <w:rPr>
          <w:kern w:val="0"/>
        </w:rPr>
        <w:t xml:space="preserve"> (9), 967-972.</w:t>
      </w:r>
    </w:p>
    <w:p w:rsidR="00077B31" w:rsidRPr="00A428C3" w:rsidRDefault="00077B31" w:rsidP="00077B31">
      <w:pPr>
        <w:pStyle w:val="a0"/>
      </w:pPr>
      <w:r>
        <w:rPr>
          <w:rFonts w:hint="eastAsia"/>
        </w:rPr>
        <w:t xml:space="preserve">Full Text: </w:t>
      </w:r>
      <w:hyperlink r:id="rId523" w:history="1">
        <w:r w:rsidRPr="00B45C27">
          <w:rPr>
            <w:rStyle w:val="a5"/>
          </w:rPr>
          <w:t>2000\Haematologica85, 967.pdf</w:t>
        </w:r>
      </w:hyperlink>
    </w:p>
    <w:p w:rsidR="00FF569D" w:rsidRDefault="00FF569D" w:rsidP="00FF569D">
      <w:pPr>
        <w:pStyle w:val="a0"/>
        <w:rPr>
          <w:kern w:val="0"/>
        </w:rPr>
      </w:pPr>
      <w:r>
        <w:rPr>
          <w:kern w:val="0"/>
        </w:rPr>
        <w:t>Abstract: Background</w:t>
      </w:r>
      <w:r w:rsidR="00F81221">
        <w:rPr>
          <w:kern w:val="0"/>
        </w:rPr>
        <w:t xml:space="preserve"> and </w:t>
      </w:r>
      <w:r>
        <w:rPr>
          <w:kern w:val="0"/>
        </w:rPr>
        <w:t>Objectives. Cytokines are low molecular weight polypeptides that act as pleiotropic mediators of inflammation</w:t>
      </w:r>
      <w:r w:rsidR="00F81221">
        <w:rPr>
          <w:kern w:val="0"/>
        </w:rPr>
        <w:t xml:space="preserve"> and </w:t>
      </w:r>
      <w:r>
        <w:rPr>
          <w:kern w:val="0"/>
        </w:rPr>
        <w:t>may contribute significantly to regulation of hemostatic balance in both physiologic</w:t>
      </w:r>
      <w:r w:rsidR="00F81221">
        <w:rPr>
          <w:kern w:val="0"/>
        </w:rPr>
        <w:t xml:space="preserve"> and </w:t>
      </w:r>
      <w:r>
        <w:rPr>
          <w:kern w:val="0"/>
        </w:rPr>
        <w:t>pathologic conditions. The purpose of this review is to underline the most significant progresses recently achieved in this rapidly growing area. Design</w:t>
      </w:r>
      <w:r w:rsidR="00F81221">
        <w:rPr>
          <w:kern w:val="0"/>
        </w:rPr>
        <w:t xml:space="preserve"> and </w:t>
      </w:r>
      <w:r>
        <w:rPr>
          <w:kern w:val="0"/>
        </w:rPr>
        <w:t>Methods. The authors have been involved both at home</w:t>
      </w:r>
      <w:r w:rsidR="00F81221">
        <w:rPr>
          <w:kern w:val="0"/>
        </w:rPr>
        <w:t xml:space="preserve"> and </w:t>
      </w:r>
      <w:r>
        <w:rPr>
          <w:kern w:val="0"/>
        </w:rPr>
        <w:t>abroad in experimental</w:t>
      </w:r>
      <w:r w:rsidR="00F81221">
        <w:rPr>
          <w:kern w:val="0"/>
        </w:rPr>
        <w:t xml:space="preserve"> and </w:t>
      </w:r>
      <w:r>
        <w:rPr>
          <w:kern w:val="0"/>
        </w:rPr>
        <w:t>clinical research in this held for years</w:t>
      </w:r>
      <w:r w:rsidR="00F81221">
        <w:rPr>
          <w:kern w:val="0"/>
        </w:rPr>
        <w:t xml:space="preserve"> and </w:t>
      </w:r>
      <w:r>
        <w:rPr>
          <w:kern w:val="0"/>
        </w:rPr>
        <w:t>have contributed original papers in peer-reviewed journals. In addition, the material examined in the present review includes articles published in journals covered by the Science Citation Index</w:t>
      </w:r>
      <w:r w:rsidR="00F81221">
        <w:rPr>
          <w:kern w:val="0"/>
        </w:rPr>
        <w:t xml:space="preserve"> and </w:t>
      </w:r>
      <w:r>
        <w:rPr>
          <w:kern w:val="0"/>
        </w:rPr>
        <w:t>Medline. Results. Tissue factor, a transmembrane glycoprotein that serves as a surface receptor for coagulation factor VIIa, plays a key role in the initiation of coagulation processes. Very little, if any, tissue factor activity is detectable in normal conditions on the cell surface of monocytes</w:t>
      </w:r>
      <w:r w:rsidR="00F81221">
        <w:rPr>
          <w:kern w:val="0"/>
        </w:rPr>
        <w:t xml:space="preserve"> and </w:t>
      </w:r>
      <w:r>
        <w:rPr>
          <w:kern w:val="0"/>
        </w:rPr>
        <w:t>endothelial cells. However, upon proper stimulation by a number of agents such activity may be expressed in these cells, which can then contribute significantly to clotting activation. Pro inflammatory cytokines. Interleukin-1(IL-1), IL-6</w:t>
      </w:r>
      <w:r w:rsidR="00F81221">
        <w:rPr>
          <w:kern w:val="0"/>
        </w:rPr>
        <w:t xml:space="preserve"> and </w:t>
      </w:r>
      <w:r>
        <w:rPr>
          <w:kern w:val="0"/>
        </w:rPr>
        <w:t xml:space="preserve">tumor necrosis factor (TNF) are effective inducers of tissue factor </w:t>
      </w:r>
      <w:r>
        <w:rPr>
          <w:kern w:val="0"/>
        </w:rPr>
        <w:lastRenderedPageBreak/>
        <w:t>upregulation</w:t>
      </w:r>
      <w:r w:rsidR="00F81221">
        <w:rPr>
          <w:kern w:val="0"/>
        </w:rPr>
        <w:t xml:space="preserve"> and </w:t>
      </w:r>
      <w:r>
        <w:rPr>
          <w:kern w:val="0"/>
        </w:rPr>
        <w:t>may trigger endothelial cells to change their antithrombotic properties into a procoagulant, clot-promoting state. Indeed, much experimental</w:t>
      </w:r>
      <w:r w:rsidR="00F81221">
        <w:rPr>
          <w:kern w:val="0"/>
        </w:rPr>
        <w:t xml:space="preserve"> and </w:t>
      </w:r>
      <w:r>
        <w:rPr>
          <w:kern w:val="0"/>
        </w:rPr>
        <w:t>clinical evidence has been accumulated to suggest that cytokines play a key role in the pathophysiology of hemostatic abnormalities in different disease states. These include, inter alia, the coagulopathy observed during septicemia, the veno occlusive disease of the liver after bone marrow transplantation, the prothrombotic state associated with atherosclerotic vessels, the occurrence of deep venous thrombosis after major abdominal surgery</w:t>
      </w:r>
      <w:r w:rsidR="00F81221">
        <w:rPr>
          <w:kern w:val="0"/>
        </w:rPr>
        <w:t xml:space="preserve"> and </w:t>
      </w:r>
      <w:r>
        <w:rPr>
          <w:kern w:val="0"/>
        </w:rPr>
        <w:t>the thrombotic tendency of patients with cancer. Several new antithrombotic strategies based on these new concepts have been attempted in experimental models of thrombosis</w:t>
      </w:r>
      <w:r w:rsidR="00F81221">
        <w:rPr>
          <w:kern w:val="0"/>
        </w:rPr>
        <w:t xml:space="preserve"> and </w:t>
      </w:r>
      <w:r>
        <w:rPr>
          <w:kern w:val="0"/>
        </w:rPr>
        <w:t>also in man. Examples of new possible antithrombotic agents are the tissue factor pathway inhibitor, Fab fragments of monoclonal antibodies directed against factor VII or factor VIIa, mutant forms of biologically inactive tissue factor</w:t>
      </w:r>
      <w:r w:rsidR="00F81221">
        <w:rPr>
          <w:kern w:val="0"/>
        </w:rPr>
        <w:t xml:space="preserve"> and </w:t>
      </w:r>
      <w:r>
        <w:rPr>
          <w:kern w:val="0"/>
        </w:rPr>
        <w:t>inhibition of cytokines involved in the regulation of tissue factor expression. Many of these studies have produced positive or interesting results, although more must be learned before the appropriate drug</w:t>
      </w:r>
      <w:r w:rsidR="00F81221">
        <w:rPr>
          <w:kern w:val="0"/>
        </w:rPr>
        <w:t xml:space="preserve"> and </w:t>
      </w:r>
      <w:r>
        <w:rPr>
          <w:kern w:val="0"/>
        </w:rPr>
        <w:t>the adequate dose are defined in the different clinical situations. Conclusions. Pro-inflammatory cytokines (IL-1, IL-6</w:t>
      </w:r>
      <w:r w:rsidR="00F81221">
        <w:rPr>
          <w:kern w:val="0"/>
        </w:rPr>
        <w:t xml:space="preserve"> and </w:t>
      </w:r>
      <w:r>
        <w:rPr>
          <w:kern w:val="0"/>
        </w:rPr>
        <w:t>TNF) play a key role in tissue factor expression on monocytes</w:t>
      </w:r>
      <w:r w:rsidR="00F81221">
        <w:rPr>
          <w:kern w:val="0"/>
        </w:rPr>
        <w:t xml:space="preserve"> and </w:t>
      </w:r>
      <w:r>
        <w:rPr>
          <w:kern w:val="0"/>
        </w:rPr>
        <w:t>on endothelial cells</w:t>
      </w:r>
      <w:r w:rsidR="00F81221">
        <w:rPr>
          <w:kern w:val="0"/>
        </w:rPr>
        <w:t xml:space="preserve"> and </w:t>
      </w:r>
      <w:r>
        <w:rPr>
          <w:kern w:val="0"/>
        </w:rPr>
        <w:t>contribute significantly to regulation of hemostatic balance in physiologic</w:t>
      </w:r>
      <w:r w:rsidR="00F81221">
        <w:rPr>
          <w:kern w:val="0"/>
        </w:rPr>
        <w:t xml:space="preserve"> and </w:t>
      </w:r>
      <w:r>
        <w:rPr>
          <w:kern w:val="0"/>
        </w:rPr>
        <w:t>pathologic conditions. This effect is of great interest from both speculative</w:t>
      </w:r>
      <w:r w:rsidR="00F81221">
        <w:rPr>
          <w:kern w:val="0"/>
        </w:rPr>
        <w:t xml:space="preserve"> and </w:t>
      </w:r>
      <w:r>
        <w:rPr>
          <w:kern w:val="0"/>
        </w:rPr>
        <w:t>practical viewpoints. (C) 2000, Ferrata Storti Foundation.</w:t>
      </w:r>
    </w:p>
    <w:p w:rsidR="00FF569D" w:rsidRDefault="00FF569D" w:rsidP="00FF569D">
      <w:pPr>
        <w:pStyle w:val="a0"/>
        <w:rPr>
          <w:kern w:val="0"/>
        </w:rPr>
      </w:pPr>
      <w:r>
        <w:rPr>
          <w:kern w:val="0"/>
        </w:rPr>
        <w:t>Keywords: Activation, Articles, Blood-Coagulation, Bone-Marrow Transplantation, Cancer, Change, Citation, Clinical Research, Coagulation, Cytokines, Design, Disseminated Intravascular Coagulation, Endothelial Cells, Endothelial-Cells, Experimental Endotoxemia, Hemostasis, Human Cancer-Cells, Journals, Medline, Models, Monocytes, Occurrence, Play, Positive, Primary Antiphospholipid Syndrome, Procoagulant Activity, Regulation, Research, Review, Science, Science Citation Index, State, Surgery, Tissue Factor, Tissue Factor Pathway, Transplantation, Tumor-Necrosis-Factor</w:t>
      </w:r>
    </w:p>
    <w:p w:rsidR="00077B31" w:rsidRPr="001A3D2B" w:rsidRDefault="00077B31" w:rsidP="00077B31">
      <w:pPr>
        <w:pStyle w:val="a0"/>
      </w:pPr>
      <w:r w:rsidRPr="001A3D2B">
        <w:t>? Curti, M., Pistotti, V., Gabutti, G.</w:t>
      </w:r>
      <w:r w:rsidR="00F81221">
        <w:t xml:space="preserve"> and </w:t>
      </w:r>
      <w:r w:rsidRPr="001A3D2B">
        <w:t>Klersy, C. (2001), Impact factor</w:t>
      </w:r>
      <w:r w:rsidR="00F81221">
        <w:t xml:space="preserve"> and </w:t>
      </w:r>
      <w:r w:rsidRPr="001A3D2B">
        <w:t xml:space="preserve">electronic versions of biomedical scientific journals. </w:t>
      </w:r>
      <w:r w:rsidRPr="001A3D2B">
        <w:rPr>
          <w:i/>
          <w:iCs/>
        </w:rPr>
        <w:t>Haematologica</w:t>
      </w:r>
      <w:r w:rsidRPr="001A3D2B">
        <w:t xml:space="preserve">, </w:t>
      </w:r>
      <w:r w:rsidRPr="001A3D2B">
        <w:rPr>
          <w:b/>
          <w:bCs/>
        </w:rPr>
        <w:t>86</w:t>
      </w:r>
      <w:r w:rsidRPr="001A3D2B">
        <w:t xml:space="preserve"> (10), 1015-1020.</w:t>
      </w:r>
    </w:p>
    <w:p w:rsidR="00077B31" w:rsidRPr="00A428C3" w:rsidRDefault="00077B31" w:rsidP="00B95188">
      <w:pPr>
        <w:pStyle w:val="a0"/>
      </w:pPr>
      <w:r>
        <w:rPr>
          <w:rFonts w:hint="eastAsia"/>
        </w:rPr>
        <w:t xml:space="preserve">Full Text: </w:t>
      </w:r>
      <w:hyperlink r:id="rId524" w:history="1">
        <w:r w:rsidRPr="00077B31">
          <w:rPr>
            <w:rStyle w:val="a5"/>
          </w:rPr>
          <w:t>2001\Haematologica86, 1015.pdf</w:t>
        </w:r>
      </w:hyperlink>
    </w:p>
    <w:p w:rsidR="00B95188" w:rsidRPr="00A428C3" w:rsidRDefault="00B95188" w:rsidP="00B95188">
      <w:pPr>
        <w:pStyle w:val="a0"/>
      </w:pPr>
      <w:r w:rsidRPr="00A428C3">
        <w:t>Abstract: Background</w:t>
      </w:r>
      <w:r w:rsidR="00F81221">
        <w:t xml:space="preserve"> and </w:t>
      </w:r>
      <w:r w:rsidRPr="00A428C3">
        <w:t>Objectives. The development of electronic editions of scientific journals</w:t>
      </w:r>
      <w:r w:rsidR="00F81221">
        <w:t xml:space="preserve"> and </w:t>
      </w:r>
      <w:r w:rsidRPr="00A428C3">
        <w:t>the rapid spread of scientific information might modify the pattern the bibliographic citations,</w:t>
      </w:r>
      <w:r w:rsidR="00F81221">
        <w:t xml:space="preserve"> and </w:t>
      </w:r>
      <w:r w:rsidRPr="00A428C3">
        <w:t>thus the impact factor</w:t>
      </w:r>
      <w:r w:rsidR="00F81221">
        <w:t xml:space="preserve"> and </w:t>
      </w:r>
      <w:r w:rsidRPr="00A428C3">
        <w:t>quality of journals. We assessed changes in the impact factor over years of a number of journals</w:t>
      </w:r>
      <w:r w:rsidR="00F81221">
        <w:t xml:space="preserve"> and </w:t>
      </w:r>
      <w:r w:rsidRPr="00A428C3">
        <w:t>whether the presence of an electronic version of the journal was associated with the impact factor score.</w:t>
      </w:r>
    </w:p>
    <w:p w:rsidR="00B95188" w:rsidRPr="00A428C3" w:rsidRDefault="00B95188" w:rsidP="00B95188">
      <w:pPr>
        <w:pStyle w:val="a0"/>
      </w:pPr>
      <w:r w:rsidRPr="00A428C3">
        <w:t>Design</w:t>
      </w:r>
      <w:r w:rsidR="00F81221">
        <w:t xml:space="preserve"> and </w:t>
      </w:r>
      <w:r w:rsidRPr="00A428C3">
        <w:t xml:space="preserve">Methods. This is a retrospective longitudinal study. The availability of </w:t>
      </w:r>
      <w:r w:rsidRPr="00A428C3">
        <w:lastRenderedPageBreak/>
        <w:t>journals (table of contents (TOC), abstracts, full text</w:t>
      </w:r>
      <w:r w:rsidR="00F81221">
        <w:t xml:space="preserve"> and </w:t>
      </w:r>
      <w:r w:rsidRPr="00A428C3">
        <w:t>free full text) on Internet, in years 1995-2000, was assessed between December 2000</w:t>
      </w:r>
      <w:r w:rsidR="00F81221">
        <w:t xml:space="preserve"> and </w:t>
      </w:r>
      <w:r w:rsidRPr="00A428C3">
        <w:t>January 2001. The first 20 top-journals from 8 subject categories were included. Changes in impact factor overtime</w:t>
      </w:r>
      <w:r w:rsidR="00F81221">
        <w:t xml:space="preserve"> and </w:t>
      </w:r>
      <w:r w:rsidRPr="00A428C3">
        <w:t>association with Internet availability were modeled.</w:t>
      </w:r>
    </w:p>
    <w:p w:rsidR="00B95188" w:rsidRPr="00A428C3" w:rsidRDefault="00B95188" w:rsidP="00B95188">
      <w:pPr>
        <w:pStyle w:val="a0"/>
      </w:pPr>
      <w:r w:rsidRPr="00A428C3">
        <w:t>Results. Overall, 118/139 journals (85%) had their TOC on the Internet, of these 107 (77%) had abstracts, 97 (70%) had full text</w:t>
      </w:r>
      <w:r w:rsidR="00F81221">
        <w:t xml:space="preserve"> and </w:t>
      </w:r>
      <w:r w:rsidRPr="00A428C3">
        <w:t>33 (24%) free full text. The median impact factor for all journals was 1.65, 2.08, 2.10, 2.21</w:t>
      </w:r>
      <w:r w:rsidR="00F81221">
        <w:t xml:space="preserve"> and </w:t>
      </w:r>
      <w:r w:rsidRPr="00A428C3">
        <w:t>2.35 for the years from 1995 to 1999, respectively. This increase was statistically significant, with differences among subject categories. The presence of TOC, abstracts</w:t>
      </w:r>
      <w:r w:rsidR="00F81221">
        <w:t xml:space="preserve"> and </w:t>
      </w:r>
      <w:r w:rsidRPr="00A428C3">
        <w:t>full text on the Internet was also significantly associated with higher impact factor, after accounting for time</w:t>
      </w:r>
      <w:r w:rsidR="00F81221">
        <w:t xml:space="preserve"> and </w:t>
      </w:r>
      <w:r w:rsidRPr="00A428C3">
        <w:t>subject category.</w:t>
      </w:r>
    </w:p>
    <w:p w:rsidR="00B95188" w:rsidRPr="00A428C3" w:rsidRDefault="00B95188" w:rsidP="00B95188">
      <w:pPr>
        <w:pStyle w:val="a0"/>
      </w:pPr>
      <w:r w:rsidRPr="00A428C3">
        <w:t>Interpretation</w:t>
      </w:r>
      <w:r w:rsidR="00F81221">
        <w:t xml:space="preserve"> and </w:t>
      </w:r>
      <w:r w:rsidRPr="00A428C3">
        <w:t>Conclusions. The impact factor has been used for assessing the quality of journals. We identified a new limitation of this indicator: the impact factor seems to be related to the amount of circulation of information through Internet. This could be a temporary limitation, associated with diffusion of journals on,</w:t>
      </w:r>
      <w:r w:rsidR="00F81221">
        <w:t xml:space="preserve"> and </w:t>
      </w:r>
      <w:r w:rsidRPr="00A428C3">
        <w:t>spread of Internet. (C) 2001, Ferrata Storti Foundation.</w:t>
      </w:r>
    </w:p>
    <w:p w:rsidR="00B95188" w:rsidRPr="00A428C3" w:rsidRDefault="00B95188" w:rsidP="00B95188">
      <w:pPr>
        <w:pStyle w:val="a0"/>
      </w:pPr>
      <w:r w:rsidRPr="00A428C3">
        <w:t>Keywords: Internet, Impact Factor, Scientific Documentation</w:t>
      </w:r>
    </w:p>
    <w:p w:rsidR="00336CF1" w:rsidRDefault="00336CF1" w:rsidP="00336CF1">
      <w:pPr>
        <w:pStyle w:val="a0"/>
        <w:rPr>
          <w:kern w:val="0"/>
          <w:szCs w:val="24"/>
        </w:rPr>
      </w:pPr>
      <w:r>
        <w:rPr>
          <w:rFonts w:hint="eastAsia"/>
          <w:kern w:val="0"/>
          <w:szCs w:val="24"/>
        </w:rPr>
        <w:t xml:space="preserve">? </w:t>
      </w:r>
      <w:r>
        <w:rPr>
          <w:kern w:val="0"/>
          <w:szCs w:val="24"/>
        </w:rPr>
        <w:t>Bocchia, M., Bronte, V., Colombo, M.P., De Vincentiis, A., Di Nicola, M., Forni, G., Lanata, L., Lemoli, R.M., Massaia, M., Rondelli, D., Zanon, P.</w:t>
      </w:r>
      <w:r w:rsidR="00F81221">
        <w:rPr>
          <w:kern w:val="0"/>
          <w:szCs w:val="24"/>
        </w:rPr>
        <w:t xml:space="preserve"> and </w:t>
      </w:r>
      <w:r>
        <w:rPr>
          <w:kern w:val="0"/>
          <w:szCs w:val="24"/>
        </w:rPr>
        <w:t xml:space="preserve">Tura, S. (2000), Antitumor vaccination: Where we stand. </w:t>
      </w:r>
      <w:r>
        <w:rPr>
          <w:i/>
          <w:iCs/>
          <w:kern w:val="0"/>
          <w:szCs w:val="24"/>
        </w:rPr>
        <w:t>Haematologica</w:t>
      </w:r>
      <w:r>
        <w:rPr>
          <w:kern w:val="0"/>
          <w:szCs w:val="24"/>
        </w:rPr>
        <w:t xml:space="preserve">, </w:t>
      </w:r>
      <w:r>
        <w:rPr>
          <w:b/>
          <w:bCs/>
          <w:kern w:val="0"/>
          <w:szCs w:val="24"/>
        </w:rPr>
        <w:t>85</w:t>
      </w:r>
      <w:r>
        <w:rPr>
          <w:kern w:val="0"/>
          <w:szCs w:val="24"/>
        </w:rPr>
        <w:t xml:space="preserve"> (11), 1172-1206.</w:t>
      </w:r>
    </w:p>
    <w:p w:rsidR="00336CF1" w:rsidRPr="00A428C3" w:rsidRDefault="00336CF1" w:rsidP="00336CF1">
      <w:pPr>
        <w:pStyle w:val="a0"/>
      </w:pPr>
      <w:r>
        <w:rPr>
          <w:rFonts w:hint="eastAsia"/>
        </w:rPr>
        <w:t xml:space="preserve">Full Text: </w:t>
      </w:r>
      <w:hyperlink r:id="rId525" w:history="1">
        <w:r w:rsidRPr="00AF0034">
          <w:rPr>
            <w:rStyle w:val="a5"/>
          </w:rPr>
          <w:t>2000\Haematologica85, 1172.pdf</w:t>
        </w:r>
      </w:hyperlink>
    </w:p>
    <w:p w:rsidR="00336CF1" w:rsidRDefault="00336CF1" w:rsidP="00336CF1">
      <w:pPr>
        <w:pStyle w:val="a0"/>
        <w:rPr>
          <w:kern w:val="0"/>
          <w:szCs w:val="24"/>
        </w:rPr>
      </w:pPr>
      <w:r>
        <w:rPr>
          <w:kern w:val="0"/>
          <w:szCs w:val="24"/>
        </w:rPr>
        <w:t>Abstract: Background</w:t>
      </w:r>
      <w:r w:rsidR="00F81221">
        <w:rPr>
          <w:kern w:val="0"/>
          <w:szCs w:val="24"/>
        </w:rPr>
        <w:t xml:space="preserve"> and </w:t>
      </w:r>
      <w:r>
        <w:rPr>
          <w:kern w:val="0"/>
          <w:szCs w:val="24"/>
        </w:rPr>
        <w:t>Objectives, Vaccination is an effective medical procedure of preventive medicine based on the induction of a long-lasting immunologic memory characterized by mechanisms endowed with high destructive potential</w:t>
      </w:r>
      <w:r w:rsidR="00F81221">
        <w:rPr>
          <w:kern w:val="0"/>
          <w:szCs w:val="24"/>
        </w:rPr>
        <w:t xml:space="preserve"> and </w:t>
      </w:r>
      <w:r>
        <w:rPr>
          <w:kern w:val="0"/>
          <w:szCs w:val="24"/>
        </w:rPr>
        <w:t>specificity. In the last few years, identification of tumor-associated antigens (TAA) has prompted the development of different strategies for antitumor vaccination, aimed at inducing specific recognition of TAA in order to elicit a persistent immune memory that may eliminate residual tumor cells</w:t>
      </w:r>
      <w:r w:rsidR="00F81221">
        <w:rPr>
          <w:kern w:val="0"/>
          <w:szCs w:val="24"/>
        </w:rPr>
        <w:t xml:space="preserve"> and </w:t>
      </w:r>
      <w:r>
        <w:rPr>
          <w:kern w:val="0"/>
          <w:szCs w:val="24"/>
        </w:rPr>
        <w:t>protect recipients from relapses. In this review characterization of TAA, different potential means of vaccination in experimental models</w:t>
      </w:r>
      <w:r w:rsidR="00F81221">
        <w:rPr>
          <w:kern w:val="0"/>
          <w:szCs w:val="24"/>
        </w:rPr>
        <w:t xml:space="preserve"> and </w:t>
      </w:r>
      <w:r>
        <w:rPr>
          <w:kern w:val="0"/>
          <w:szCs w:val="24"/>
        </w:rPr>
        <w:t>preliminary data from clinical trials in humans have been examined by the Working Group on Hematopoietic Cells. Evidence</w:t>
      </w:r>
      <w:r w:rsidR="00F81221">
        <w:rPr>
          <w:kern w:val="0"/>
          <w:szCs w:val="24"/>
        </w:rPr>
        <w:t xml:space="preserve"> and </w:t>
      </w:r>
      <w:r>
        <w:rPr>
          <w:kern w:val="0"/>
          <w:szCs w:val="24"/>
        </w:rPr>
        <w:t>Information Sources. The method employed for preparing this review was that of informal consensus development. Members of the Working Group met four times</w:t>
      </w:r>
      <w:r w:rsidR="00F81221">
        <w:rPr>
          <w:kern w:val="0"/>
          <w:szCs w:val="24"/>
        </w:rPr>
        <w:t xml:space="preserve"> and </w:t>
      </w:r>
      <w:r>
        <w:rPr>
          <w:kern w:val="0"/>
          <w:szCs w:val="24"/>
        </w:rPr>
        <w:t>discussed the single points, previously assigned by the chairman, in order to achieve an agreement on different opinions and.-approve the final manuscript. Some of the authors of the present review have been working in the field of antitumor immunotherapy</w:t>
      </w:r>
      <w:r w:rsidR="00F81221">
        <w:rPr>
          <w:kern w:val="0"/>
          <w:szCs w:val="24"/>
        </w:rPr>
        <w:t xml:space="preserve"> and </w:t>
      </w:r>
      <w:r>
        <w:rPr>
          <w:kern w:val="0"/>
          <w:szCs w:val="24"/>
        </w:rPr>
        <w:t>have contributed original papers to peer-reviewed journals. In addition, the material examined in the present review includes articles</w:t>
      </w:r>
      <w:r w:rsidR="00F81221">
        <w:rPr>
          <w:kern w:val="0"/>
          <w:szCs w:val="24"/>
        </w:rPr>
        <w:t xml:space="preserve"> and </w:t>
      </w:r>
      <w:r>
        <w:rPr>
          <w:kern w:val="0"/>
          <w:szCs w:val="24"/>
        </w:rPr>
        <w:t>abstracts published in journals covered by the Science Citation Index</w:t>
      </w:r>
      <w:r w:rsidR="00F81221">
        <w:rPr>
          <w:kern w:val="0"/>
          <w:szCs w:val="24"/>
        </w:rPr>
        <w:t xml:space="preserve"> and </w:t>
      </w:r>
      <w:r>
        <w:rPr>
          <w:kern w:val="0"/>
          <w:szCs w:val="24"/>
        </w:rPr>
        <w:t xml:space="preserve">Medline. State of the </w:t>
      </w:r>
      <w:r>
        <w:rPr>
          <w:kern w:val="0"/>
          <w:szCs w:val="24"/>
        </w:rPr>
        <w:lastRenderedPageBreak/>
        <w:t>art The cellular basis of antitumor immune memory consists in the generation</w:t>
      </w:r>
      <w:r w:rsidR="00F81221">
        <w:rPr>
          <w:kern w:val="0"/>
          <w:szCs w:val="24"/>
        </w:rPr>
        <w:t xml:space="preserve"> and </w:t>
      </w:r>
      <w:r>
        <w:rPr>
          <w:kern w:val="0"/>
          <w:szCs w:val="24"/>
        </w:rPr>
        <w:t>extended persistence of expanded populations of T-</w:t>
      </w:r>
      <w:r w:rsidR="00F81221">
        <w:rPr>
          <w:kern w:val="0"/>
          <w:szCs w:val="24"/>
        </w:rPr>
        <w:t xml:space="preserve"> and </w:t>
      </w:r>
      <w:r>
        <w:rPr>
          <w:kern w:val="0"/>
          <w:szCs w:val="24"/>
        </w:rPr>
        <w:t>B-lymphocytes that specifically recognize</w:t>
      </w:r>
      <w:r w:rsidR="00F81221">
        <w:rPr>
          <w:kern w:val="0"/>
          <w:szCs w:val="24"/>
        </w:rPr>
        <w:t xml:space="preserve"> and </w:t>
      </w:r>
      <w:r>
        <w:rPr>
          <w:kern w:val="0"/>
          <w:szCs w:val="24"/>
        </w:rPr>
        <w:t xml:space="preserve">react against TAA. The efficacy of the memory can be modulated by compounds, called </w:t>
      </w:r>
      <w:r w:rsidR="000352E7">
        <w:rPr>
          <w:kern w:val="0"/>
          <w:szCs w:val="24"/>
        </w:rPr>
        <w:t>“</w:t>
      </w:r>
      <w:r>
        <w:rPr>
          <w:kern w:val="0"/>
          <w:szCs w:val="24"/>
        </w:rPr>
        <w:t>adjuvants</w:t>
      </w:r>
      <w:r w:rsidR="000352E7">
        <w:rPr>
          <w:kern w:val="0"/>
          <w:szCs w:val="24"/>
        </w:rPr>
        <w:t>”</w:t>
      </w:r>
      <w:r>
        <w:rPr>
          <w:kern w:val="0"/>
          <w:szCs w:val="24"/>
        </w:rPr>
        <w:t>, such as certain bacterial products</w:t>
      </w:r>
      <w:r w:rsidR="00F81221">
        <w:rPr>
          <w:kern w:val="0"/>
          <w:szCs w:val="24"/>
        </w:rPr>
        <w:t xml:space="preserve"> and </w:t>
      </w:r>
      <w:r>
        <w:rPr>
          <w:kern w:val="0"/>
          <w:szCs w:val="24"/>
        </w:rPr>
        <w:t>mineral oils, cytokines, chemokines, by monoclonal antibodies I triggering cc-stimulatory receptors. Strategies that have been shown in preclinical models to be efficient in protecting from tumor engraftment, or in preventing a tumor rechallenge, include vaccination by means of soluble proteins or peptides, recombinant viruses or bacteria as TAA genes vectors, DNA injection professional antigen-presenting cells, namely dentritic cells, either pulsed with TAA or transduced with or-specific genes, provides a useful alternative for inducing antitumor cytotoxic activity. Some of le approaches have been tested in phase I/II clinical trials in hematologic malignancies, such as lymphoproliferative diseases or chronic myeloid leukemia,</w:t>
      </w:r>
      <w:r w:rsidR="00F81221">
        <w:rPr>
          <w:kern w:val="0"/>
          <w:szCs w:val="24"/>
        </w:rPr>
        <w:t xml:space="preserve"> and </w:t>
      </w:r>
      <w:r>
        <w:rPr>
          <w:kern w:val="0"/>
          <w:szCs w:val="24"/>
        </w:rPr>
        <w:t>in solid tumors, such as melanoma, colon cancer, prostate cancer</w:t>
      </w:r>
      <w:r w:rsidR="00F81221">
        <w:rPr>
          <w:kern w:val="0"/>
          <w:szCs w:val="24"/>
        </w:rPr>
        <w:t xml:space="preserve"> and </w:t>
      </w:r>
      <w:r>
        <w:rPr>
          <w:kern w:val="0"/>
          <w:szCs w:val="24"/>
        </w:rPr>
        <w:t>renal cell carcinoma types of vaccines, use of adjuvants, : of vaccination as well as selection of patients eligible for this procedure are discussed in this as. Perspectives. Experimental models demonstrate the possibility of curing cancer through the active induction of a specific immune response to TAA. However, while pre-clinical research has identified several possible targets</w:t>
      </w:r>
      <w:r w:rsidR="00F81221">
        <w:rPr>
          <w:kern w:val="0"/>
          <w:szCs w:val="24"/>
        </w:rPr>
        <w:t xml:space="preserve"> and </w:t>
      </w:r>
      <w:r>
        <w:rPr>
          <w:kern w:val="0"/>
          <w:szCs w:val="24"/>
        </w:rPr>
        <w:t>strategies for tumor vaccination the clinical scenario is far more complex for a number of possible reasons. Since experimental data suggest that vaccination is more likely to be effective on small tumor burden, such as a minimal residual disease after conventional treatments, or tumors at an early stage of disease, better selection of patients allow more reliable clinical results to be obtained. a poor correlation is frequently observed the ability of TAA to induce a T-cell response vitro</w:t>
      </w:r>
      <w:r w:rsidR="00F81221">
        <w:rPr>
          <w:kern w:val="0"/>
          <w:szCs w:val="24"/>
        </w:rPr>
        <w:t xml:space="preserve"> and </w:t>
      </w:r>
      <w:r>
        <w:rPr>
          <w:kern w:val="0"/>
          <w:szCs w:val="24"/>
        </w:rPr>
        <w:t>clinical responses. Controversial findings may also be due to the techniques used for monitoring the immune status. Therefore, the development reliable assays for efficient monitoring; of the state of immunization of cancer patients against TAA is an important goal that will markedly improve the progress of antitumor vaccines. Finally, given the promising results, identification of new or mutated involved in neoplastic events might provide the opportunity to vaccinate susceptible subjects against foreseeable cancer in the next future. (C)2000, Ferrata Storti Foundation.</w:t>
      </w:r>
    </w:p>
    <w:p w:rsidR="00336CF1" w:rsidRDefault="00336CF1" w:rsidP="00336CF1">
      <w:pPr>
        <w:pStyle w:val="a0"/>
        <w:rPr>
          <w:kern w:val="0"/>
          <w:szCs w:val="24"/>
        </w:rPr>
      </w:pPr>
      <w:r>
        <w:rPr>
          <w:kern w:val="0"/>
          <w:szCs w:val="24"/>
        </w:rPr>
        <w:t xml:space="preserve">Keywords: Active Specific Immunotherapy, Adjuvants, Alternative, Antibodies, Antigen-Presenting Cells, Antitumor Vaccination, Art, Authors, Autologous Melanoma-Cells, Bacteria, Burden, Cancer, Characterization, Chronic, Chronic Myelogenous Leukemia, Chronic Myeloid-Leukemia, Citation, Clinical, Clinical Trials, Colony-Stimulating Factor, Consensus, Conventional, Correlation, Cytokines, Cytotoxic T-Lymphocytes, Data, Development, Disease, Diseases, DNA, Efficacy, Established Pulmonary Metastases, Events, Experimental, Field, Generation, Genes, </w:t>
      </w:r>
      <w:r>
        <w:rPr>
          <w:kern w:val="0"/>
          <w:szCs w:val="24"/>
        </w:rPr>
        <w:lastRenderedPageBreak/>
        <w:t>Hematologic, Human Dendritic Cells, Humans, Identification, Immune, Immune Response, Immunization, Immunotherapy, Induction, Journals, Leukemia, Mechanisms, Medical, Medicine, Melanoma, Memory, Models, Monitoring, NOV, Opinions, Papers, Patients, Peer Reviewed Journals, Peer-Reviewed, Persistence, Populations, Potential, Pre-Clinical, Procedure, Progress, Prostate Cancer, Proteins, Renal, Research, Review, Scenario, Science, Science Citation Index, Small, Specificity, State, Techniques, Tumor, Tumor-Necrosis-Factor, Vaccination, Vaccines</w:t>
      </w:r>
    </w:p>
    <w:p w:rsidR="00B95188" w:rsidRPr="00A428C3" w:rsidRDefault="00B95188" w:rsidP="00B95188">
      <w:pPr>
        <w:pStyle w:val="1"/>
      </w:pPr>
      <w:r w:rsidRPr="00A428C3">
        <w:br w:type="page"/>
      </w:r>
      <w:bookmarkStart w:id="439" w:name="_Toc186647748"/>
      <w:bookmarkStart w:id="440" w:name="_Toc317160972"/>
      <w:r w:rsidRPr="00A428C3">
        <w:lastRenderedPageBreak/>
        <w:t xml:space="preserve">Title: </w:t>
      </w:r>
      <w:r w:rsidRPr="00A428C3">
        <w:rPr>
          <w:szCs w:val="18"/>
        </w:rPr>
        <w:t>Handbook of Nonlinear Regression Models</w:t>
      </w:r>
      <w:bookmarkEnd w:id="439"/>
      <w:bookmarkEnd w:id="440"/>
    </w:p>
    <w:p w:rsidR="00B95188" w:rsidRPr="00A428C3" w:rsidRDefault="00B95188" w:rsidP="00B95188">
      <w:pPr>
        <w:pStyle w:val="a0"/>
      </w:pPr>
      <w:r w:rsidRPr="00A428C3">
        <w:t xml:space="preserve">Marcel </w:t>
      </w:r>
      <w:smartTag w:uri="urn:schemas-microsoft-com:office:smarttags" w:element="place">
        <w:smartTag w:uri="urn:schemas-microsoft-com:office:smarttags" w:element="City">
          <w:r w:rsidRPr="00A428C3">
            <w:t>Dekker</w:t>
          </w:r>
        </w:smartTag>
        <w:r w:rsidRPr="00A428C3">
          <w:t xml:space="preserve">, </w:t>
        </w:r>
        <w:smartTag w:uri="urn:schemas-microsoft-com:office:smarttags" w:element="State">
          <w:r w:rsidRPr="00A428C3">
            <w:t>New York</w:t>
          </w:r>
        </w:smartTag>
      </w:smartTag>
    </w:p>
    <w:p w:rsidR="00B95188" w:rsidRPr="00A428C3" w:rsidRDefault="00B95188" w:rsidP="00B95188">
      <w:pPr>
        <w:pStyle w:val="a0"/>
      </w:pPr>
      <w:r w:rsidRPr="00A428C3">
        <w:t xml:space="preserve">Ratkowsky, D.A. (1990), </w:t>
      </w:r>
      <w:r w:rsidRPr="00A428C3">
        <w:rPr>
          <w:i/>
          <w:iCs/>
        </w:rPr>
        <w:t>Handbook of Nonlinear Regression Models</w:t>
      </w:r>
      <w:r w:rsidRPr="00A428C3">
        <w:t xml:space="preserve">, Marcel Dekker, Inc. </w:t>
      </w:r>
      <w:smartTag w:uri="urn:schemas-microsoft-com:office:smarttags" w:element="place">
        <w:smartTag w:uri="urn:schemas-microsoft-com:office:smarttags" w:element="State">
          <w:r w:rsidRPr="00A428C3">
            <w:t>New York</w:t>
          </w:r>
        </w:smartTag>
      </w:smartTag>
      <w:r w:rsidRPr="00A428C3">
        <w:t>.</w:t>
      </w:r>
    </w:p>
    <w:p w:rsidR="00B95188" w:rsidRPr="00A428C3" w:rsidRDefault="00B95188" w:rsidP="00B95188">
      <w:pPr>
        <w:pStyle w:val="1"/>
      </w:pPr>
      <w:r w:rsidRPr="00A428C3">
        <w:br w:type="page"/>
      </w:r>
      <w:bookmarkStart w:id="441" w:name="_Toc186647749"/>
      <w:bookmarkStart w:id="442" w:name="_Toc317160973"/>
      <w:r w:rsidRPr="00A428C3">
        <w:lastRenderedPageBreak/>
        <w:t>Title: Handbook on the Toxicology of Metals</w:t>
      </w:r>
      <w:bookmarkEnd w:id="425"/>
      <w:bookmarkEnd w:id="426"/>
      <w:bookmarkEnd w:id="427"/>
      <w:bookmarkEnd w:id="436"/>
      <w:bookmarkEnd w:id="437"/>
      <w:bookmarkEnd w:id="441"/>
      <w:bookmarkEnd w:id="442"/>
    </w:p>
    <w:p w:rsidR="00B95188" w:rsidRPr="00A428C3" w:rsidRDefault="00B95188" w:rsidP="00B95188">
      <w:pPr>
        <w:pStyle w:val="a0"/>
      </w:pPr>
      <w:r w:rsidRPr="00A428C3">
        <w:t xml:space="preserve">Elsevier, </w:t>
      </w:r>
      <w:smartTag w:uri="urn:schemas-microsoft-com:office:smarttags" w:element="place">
        <w:smartTag w:uri="urn:schemas-microsoft-com:office:smarttags" w:element="City">
          <w:r w:rsidRPr="00A428C3">
            <w:t>Amsterdam</w:t>
          </w:r>
        </w:smartTag>
      </w:smartTag>
    </w:p>
    <w:p w:rsidR="00B95188" w:rsidRPr="00A428C3" w:rsidRDefault="00B95188" w:rsidP="00B95188">
      <w:pPr>
        <w:pStyle w:val="a0"/>
      </w:pPr>
      <w:bookmarkStart w:id="443" w:name="Beijer"/>
      <w:r w:rsidRPr="00A428C3">
        <w:t>Beijer</w:t>
      </w:r>
      <w:bookmarkEnd w:id="443"/>
      <w:r w:rsidRPr="00A428C3">
        <w:t>, K.</w:t>
      </w:r>
      <w:r w:rsidR="00F81221">
        <w:t xml:space="preserve"> and </w:t>
      </w:r>
      <w:bookmarkStart w:id="444" w:name="Jernelöv"/>
      <w:r w:rsidRPr="00A428C3">
        <w:t>Jernel</w:t>
      </w:r>
      <w:bookmarkEnd w:id="444"/>
      <w:r w:rsidRPr="00A428C3">
        <w:t>饘</w:t>
      </w:r>
      <w:r w:rsidRPr="00A428C3">
        <w:t xml:space="preserve">, A. (1979), </w:t>
      </w:r>
      <w:r w:rsidRPr="00A428C3">
        <w:rPr>
          <w:i/>
        </w:rPr>
        <w:t>Handbook on the Toxicology of Metals</w:t>
      </w:r>
      <w:r w:rsidRPr="00A428C3">
        <w:t xml:space="preserve"> (Edited by Friberg, L., Nordberg, G.F.</w:t>
      </w:r>
      <w:r w:rsidR="00F81221">
        <w:t xml:space="preserve"> and </w:t>
      </w:r>
      <w:r w:rsidRPr="00A428C3">
        <w:t xml:space="preserve">Vouk, V.B.), Elsevier, </w:t>
      </w:r>
      <w:smartTag w:uri="urn:schemas-microsoft-com:office:smarttags" w:element="place">
        <w:smartTag w:uri="urn:schemas-microsoft-com:office:smarttags" w:element="City">
          <w:r w:rsidRPr="00A428C3">
            <w:t>Amsterdam</w:t>
          </w:r>
        </w:smartTag>
      </w:smartTag>
      <w:r w:rsidRPr="00A428C3">
        <w:t>, 47-63, 197-207.</w:t>
      </w:r>
    </w:p>
    <w:p w:rsidR="00B95188" w:rsidRPr="00A428C3" w:rsidRDefault="00B95188" w:rsidP="00B95188">
      <w:pPr>
        <w:pStyle w:val="1"/>
      </w:pPr>
      <w:r w:rsidRPr="00A428C3">
        <w:br w:type="page"/>
      </w:r>
      <w:bookmarkStart w:id="445" w:name="_Toc317160974"/>
      <w:r w:rsidRPr="00A428C3">
        <w:lastRenderedPageBreak/>
        <w:t>Title:</w:t>
      </w:r>
      <w:r w:rsidRPr="00872CAE">
        <w:rPr>
          <w:lang w:val="de-DE"/>
        </w:rPr>
        <w:t xml:space="preserve"> Harmful Algae</w:t>
      </w:r>
      <w:bookmarkEnd w:id="445"/>
    </w:p>
    <w:p w:rsidR="00B95188" w:rsidRPr="00A428C3" w:rsidRDefault="00B95188" w:rsidP="00B72EF9">
      <w:pPr>
        <w:pStyle w:val="12"/>
      </w:pPr>
      <w:r w:rsidRPr="00A428C3">
        <w:t xml:space="preserve">Full Journal Title: </w:t>
      </w:r>
      <w:hyperlink r:id="rId526" w:history="1">
        <w:r w:rsidRPr="00B26644">
          <w:rPr>
            <w:rStyle w:val="a5"/>
            <w:lang w:val="de-DE"/>
          </w:rPr>
          <w:t>Harmful Algae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r w:rsidRPr="00872CAE">
        <w:rPr>
          <w:lang w:val="de-DE"/>
        </w:rPr>
        <w:t>1568-9883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rPr>
          <w:lang w:val="de-DE"/>
        </w:rPr>
      </w:pPr>
      <w:r w:rsidRPr="00A428C3">
        <w:rPr>
          <w:lang w:val="de-DE"/>
        </w:rPr>
        <w:t>: Impact Factor</w:t>
      </w:r>
    </w:p>
    <w:p w:rsidR="00B95188" w:rsidRPr="00A428C3" w:rsidRDefault="00B95188" w:rsidP="00B95188">
      <w:pPr>
        <w:pStyle w:val="a0"/>
        <w:rPr>
          <w:lang w:val="de-DE"/>
        </w:rPr>
      </w:pPr>
      <w:r>
        <w:rPr>
          <w:rFonts w:hint="eastAsia"/>
          <w:lang w:val="de-DE"/>
        </w:rPr>
        <w:t>?</w:t>
      </w:r>
      <w:r w:rsidRPr="00872CAE">
        <w:rPr>
          <w:lang w:val="de-DE"/>
        </w:rPr>
        <w:t xml:space="preserve"> Ross</w:t>
      </w:r>
      <w:r>
        <w:rPr>
          <w:rFonts w:hint="eastAsia"/>
          <w:lang w:val="de-DE"/>
        </w:rPr>
        <w:t>,</w:t>
      </w:r>
      <w:r w:rsidRPr="00872CAE">
        <w:rPr>
          <w:lang w:val="de-DE"/>
        </w:rPr>
        <w:t xml:space="preserve"> G</w:t>
      </w:r>
      <w:r>
        <w:rPr>
          <w:rFonts w:hint="eastAsia"/>
          <w:lang w:val="de-DE"/>
        </w:rPr>
        <w:t>.,</w:t>
      </w:r>
      <w:r w:rsidRPr="00872CAE">
        <w:rPr>
          <w:lang w:val="de-DE"/>
        </w:rPr>
        <w:t xml:space="preserve"> Haghseresht</w:t>
      </w:r>
      <w:r>
        <w:rPr>
          <w:rFonts w:hint="eastAsia"/>
          <w:lang w:val="de-DE"/>
        </w:rPr>
        <w:t>,</w:t>
      </w:r>
      <w:r w:rsidRPr="00872CAE">
        <w:rPr>
          <w:lang w:val="de-DE"/>
        </w:rPr>
        <w:t xml:space="preserve"> F</w:t>
      </w:r>
      <w:r>
        <w:rPr>
          <w:rFonts w:hint="eastAsia"/>
          <w:lang w:val="de-DE"/>
        </w:rPr>
        <w:t>.</w:t>
      </w:r>
      <w:r w:rsidR="00F81221">
        <w:rPr>
          <w:rFonts w:hint="eastAsia"/>
          <w:lang w:val="de-DE"/>
        </w:rPr>
        <w:t xml:space="preserve"> and </w:t>
      </w:r>
      <w:r w:rsidRPr="00872CAE">
        <w:rPr>
          <w:lang w:val="de-DE"/>
        </w:rPr>
        <w:t>Cloete</w:t>
      </w:r>
      <w:r>
        <w:rPr>
          <w:rFonts w:hint="eastAsia"/>
          <w:lang w:val="de-DE"/>
        </w:rPr>
        <w:t>,</w:t>
      </w:r>
      <w:r w:rsidRPr="00872CAE">
        <w:rPr>
          <w:lang w:val="de-DE"/>
        </w:rPr>
        <w:t xml:space="preserve"> T</w:t>
      </w:r>
      <w:r>
        <w:rPr>
          <w:rFonts w:hint="eastAsia"/>
          <w:lang w:val="de-DE"/>
        </w:rPr>
        <w:t>.</w:t>
      </w:r>
      <w:r w:rsidRPr="00872CAE">
        <w:rPr>
          <w:lang w:val="de-DE"/>
        </w:rPr>
        <w:t>E</w:t>
      </w:r>
      <w:r>
        <w:rPr>
          <w:rFonts w:hint="eastAsia"/>
          <w:lang w:val="de-DE"/>
        </w:rPr>
        <w:t>.</w:t>
      </w:r>
      <w:r w:rsidRPr="00872CAE">
        <w:rPr>
          <w:lang w:val="de-DE"/>
        </w:rPr>
        <w:t xml:space="preserve"> </w:t>
      </w:r>
      <w:r w:rsidRPr="00A428C3">
        <w:rPr>
          <w:lang w:val="de-DE"/>
        </w:rPr>
        <w:t>(200</w:t>
      </w:r>
      <w:r>
        <w:rPr>
          <w:rFonts w:hint="eastAsia"/>
          <w:lang w:val="de-DE"/>
        </w:rPr>
        <w:t>8</w:t>
      </w:r>
      <w:r w:rsidRPr="00A428C3">
        <w:rPr>
          <w:lang w:val="de-DE"/>
        </w:rPr>
        <w:t xml:space="preserve">), </w:t>
      </w:r>
      <w:r w:rsidRPr="00872CAE">
        <w:rPr>
          <w:lang w:val="de-DE"/>
        </w:rPr>
        <w:t>The effect of pH</w:t>
      </w:r>
      <w:r w:rsidR="00F81221">
        <w:rPr>
          <w:lang w:val="de-DE"/>
        </w:rPr>
        <w:t xml:space="preserve"> and </w:t>
      </w:r>
      <w:r w:rsidRPr="00872CAE">
        <w:rPr>
          <w:lang w:val="de-DE"/>
        </w:rPr>
        <w:t>anoxia on the performance of Phoslock</w:t>
      </w:r>
      <w:r w:rsidRPr="00872CAE">
        <w:rPr>
          <w:vertAlign w:val="superscript"/>
          <w:lang w:val="de-DE"/>
        </w:rPr>
        <w:sym w:font="Symbol" w:char="F0D2"/>
      </w:r>
      <w:r w:rsidRPr="00872CAE">
        <w:rPr>
          <w:lang w:val="de-DE"/>
        </w:rPr>
        <w:t>, a phosphorus binding clay</w:t>
      </w:r>
      <w:r w:rsidRPr="00A428C3">
        <w:rPr>
          <w:lang w:val="de-DE"/>
        </w:rPr>
        <w:t>.</w:t>
      </w:r>
      <w:r w:rsidRPr="00A428C3">
        <w:rPr>
          <w:iCs/>
          <w:lang w:val="de-DE"/>
        </w:rPr>
        <w:t xml:space="preserve"> </w:t>
      </w:r>
      <w:r w:rsidRPr="00872CAE">
        <w:rPr>
          <w:i/>
          <w:lang w:val="de-DE"/>
        </w:rPr>
        <w:t>Harmful Algae</w:t>
      </w:r>
      <w:r w:rsidRPr="00A428C3">
        <w:rPr>
          <w:lang w:val="de-DE"/>
        </w:rPr>
        <w:t xml:space="preserve">, </w:t>
      </w:r>
      <w:r>
        <w:rPr>
          <w:rFonts w:hint="eastAsia"/>
          <w:b/>
          <w:lang w:val="de-DE"/>
        </w:rPr>
        <w:t>7</w:t>
      </w:r>
      <w:r w:rsidRPr="00A428C3">
        <w:rPr>
          <w:lang w:val="de-DE"/>
        </w:rPr>
        <w:t xml:space="preserve"> (</w:t>
      </w:r>
      <w:r>
        <w:rPr>
          <w:rFonts w:hint="eastAsia"/>
          <w:lang w:val="de-DE"/>
        </w:rPr>
        <w:t>4</w:t>
      </w:r>
      <w:r w:rsidRPr="00A428C3">
        <w:rPr>
          <w:lang w:val="de-DE"/>
        </w:rPr>
        <w:t xml:space="preserve">), </w:t>
      </w:r>
      <w:r w:rsidRPr="00872CAE">
        <w:rPr>
          <w:lang w:val="de-DE"/>
        </w:rPr>
        <w:t>545-550</w:t>
      </w:r>
      <w:r w:rsidRPr="00A428C3">
        <w:rPr>
          <w:lang w:val="de-DE"/>
        </w:rPr>
        <w:t>.</w:t>
      </w:r>
    </w:p>
    <w:p w:rsidR="00B95188" w:rsidRDefault="00B95188" w:rsidP="00B95188">
      <w:pPr>
        <w:pStyle w:val="a0"/>
        <w:rPr>
          <w:lang w:val="de-DE"/>
        </w:rPr>
      </w:pPr>
      <w:r w:rsidRPr="00A428C3">
        <w:rPr>
          <w:lang w:val="de-DE"/>
        </w:rPr>
        <w:t xml:space="preserve">Full Text: </w:t>
      </w:r>
      <w:hyperlink r:id="rId527" w:history="1">
        <w:r w:rsidRPr="00872CAE">
          <w:rPr>
            <w:rStyle w:val="a5"/>
            <w:lang w:val="de-DE"/>
          </w:rPr>
          <w:t>2008\Har Alg7, 545.pdf</w:t>
        </w:r>
      </w:hyperlink>
    </w:p>
    <w:p w:rsidR="00B95188" w:rsidRPr="00872CAE" w:rsidRDefault="00B95188" w:rsidP="00B95188">
      <w:pPr>
        <w:pStyle w:val="a0"/>
        <w:rPr>
          <w:lang w:val="de-DE"/>
        </w:rPr>
      </w:pPr>
      <w:r w:rsidRPr="00872CAE">
        <w:rPr>
          <w:lang w:val="de-DE"/>
        </w:rPr>
        <w:t>Abstract: This study examined the adsorption of phosphate by Phoslock, a lanthanum modified clay, by investigating the effect of solution pH</w:t>
      </w:r>
      <w:r w:rsidR="00F81221">
        <w:rPr>
          <w:lang w:val="de-DE"/>
        </w:rPr>
        <w:t xml:space="preserve"> and </w:t>
      </w:r>
      <w:r w:rsidRPr="00872CAE">
        <w:rPr>
          <w:lang w:val="de-DE"/>
        </w:rPr>
        <w:t>presence of algal mass on its kinetic behavior. In addition, the effect of anoxic conditions on its ability to retain the adsorbed phosphate was studied. It was found that Phoslok(R) was most effective at pH values between 5</w:t>
      </w:r>
      <w:r w:rsidR="00F81221">
        <w:rPr>
          <w:lang w:val="de-DE"/>
        </w:rPr>
        <w:t xml:space="preserve"> and </w:t>
      </w:r>
      <w:r w:rsidRPr="00872CAE">
        <w:rPr>
          <w:lang w:val="de-DE"/>
        </w:rPr>
        <w:t>7,</w:t>
      </w:r>
      <w:r w:rsidR="00F81221">
        <w:rPr>
          <w:lang w:val="de-DE"/>
        </w:rPr>
        <w:t xml:space="preserve"> and </w:t>
      </w:r>
      <w:r w:rsidRPr="00872CAE">
        <w:rPr>
          <w:lang w:val="de-DE"/>
        </w:rPr>
        <w:t>the adsorption capacity decreased above pH 9. The adsorption capacity was lower in algae-containing lake water than in prepared reverse osmosis water solutions. The phosphorus was not released from the Phoslock(R) under anoxic conditions. (C) 2007 Els</w:t>
      </w:r>
      <w:r w:rsidR="00244306">
        <w:rPr>
          <w:lang w:val="de-DE"/>
        </w:rPr>
        <w:t>evier B.V. All rights reserved.</w:t>
      </w:r>
    </w:p>
    <w:p w:rsidR="00B95188" w:rsidRPr="00872CAE" w:rsidRDefault="00244306" w:rsidP="00244306">
      <w:pPr>
        <w:pStyle w:val="a0"/>
        <w:rPr>
          <w:lang w:val="de-DE"/>
        </w:rPr>
      </w:pPr>
      <w:r w:rsidRPr="00872CAE">
        <w:rPr>
          <w:lang w:val="de-DE"/>
        </w:rPr>
        <w:t>Keywords: Anoxia</w:t>
      </w:r>
      <w:r>
        <w:rPr>
          <w:lang w:val="de-DE"/>
        </w:rPr>
        <w:t>,</w:t>
      </w:r>
      <w:r w:rsidRPr="00872CAE">
        <w:rPr>
          <w:lang w:val="de-DE"/>
        </w:rPr>
        <w:t xml:space="preserve"> Adsorption Capacity</w:t>
      </w:r>
      <w:r>
        <w:rPr>
          <w:lang w:val="de-DE"/>
        </w:rPr>
        <w:t>,</w:t>
      </w:r>
      <w:r w:rsidRPr="00872CAE">
        <w:rPr>
          <w:lang w:val="de-DE"/>
        </w:rPr>
        <w:t xml:space="preserve"> Kinetics</w:t>
      </w:r>
      <w:r>
        <w:rPr>
          <w:lang w:val="de-DE"/>
        </w:rPr>
        <w:t>,</w:t>
      </w:r>
      <w:r w:rsidRPr="00872CAE">
        <w:rPr>
          <w:lang w:val="de-DE"/>
        </w:rPr>
        <w:t xml:space="preserve"> Ph</w:t>
      </w:r>
      <w:r>
        <w:rPr>
          <w:lang w:val="de-DE"/>
        </w:rPr>
        <w:t>,</w:t>
      </w:r>
      <w:r w:rsidRPr="00872CAE">
        <w:rPr>
          <w:lang w:val="de-DE"/>
        </w:rPr>
        <w:t xml:space="preserve"> Phoslock</w:t>
      </w:r>
      <w:r>
        <w:rPr>
          <w:lang w:val="de-DE"/>
        </w:rPr>
        <w:t>,</w:t>
      </w:r>
      <w:r w:rsidRPr="00872CAE">
        <w:rPr>
          <w:lang w:val="de-DE"/>
        </w:rPr>
        <w:t xml:space="preserve"> Aqueous-Solutions</w:t>
      </w:r>
      <w:r>
        <w:rPr>
          <w:lang w:val="de-DE"/>
        </w:rPr>
        <w:t>,</w:t>
      </w:r>
      <w:r w:rsidRPr="00872CAE">
        <w:rPr>
          <w:lang w:val="de-DE"/>
        </w:rPr>
        <w:t xml:space="preserve"> Removal</w:t>
      </w:r>
      <w:r>
        <w:rPr>
          <w:lang w:val="de-DE"/>
        </w:rPr>
        <w:t>,</w:t>
      </w:r>
      <w:r w:rsidRPr="00872CAE">
        <w:rPr>
          <w:lang w:val="de-DE"/>
        </w:rPr>
        <w:t xml:space="preserve"> Sorbents</w:t>
      </w:r>
      <w:r>
        <w:rPr>
          <w:lang w:val="de-DE"/>
        </w:rPr>
        <w:t>,</w:t>
      </w:r>
      <w:r w:rsidRPr="00872CAE">
        <w:rPr>
          <w:lang w:val="de-DE"/>
        </w:rPr>
        <w:t xml:space="preserve"> Sorption</w:t>
      </w:r>
      <w:r>
        <w:rPr>
          <w:lang w:val="de-DE"/>
        </w:rPr>
        <w:t>,</w:t>
      </w:r>
      <w:r w:rsidRPr="00872CAE">
        <w:rPr>
          <w:lang w:val="de-DE"/>
        </w:rPr>
        <w:t xml:space="preserve"> Ions</w:t>
      </w:r>
      <w:r>
        <w:rPr>
          <w:lang w:val="de-DE"/>
        </w:rPr>
        <w:t>, Salt</w:t>
      </w:r>
    </w:p>
    <w:p w:rsidR="009E7D04" w:rsidRPr="00A428C3" w:rsidRDefault="009E7D04" w:rsidP="009E7D04">
      <w:pPr>
        <w:pStyle w:val="1"/>
      </w:pPr>
      <w:r w:rsidRPr="00A428C3">
        <w:br w:type="page"/>
      </w:r>
      <w:bookmarkStart w:id="446" w:name="_Toc317160975"/>
      <w:r w:rsidRPr="00A428C3">
        <w:lastRenderedPageBreak/>
        <w:t>Title:</w:t>
      </w:r>
      <w:r w:rsidRPr="00872CAE">
        <w:rPr>
          <w:lang w:val="de-DE"/>
        </w:rPr>
        <w:t xml:space="preserve"> </w:t>
      </w:r>
      <w:r w:rsidRPr="009E7D04">
        <w:rPr>
          <w:iCs/>
          <w:szCs w:val="24"/>
        </w:rPr>
        <w:t>Harvard Review of Psychiatry</w:t>
      </w:r>
      <w:bookmarkEnd w:id="446"/>
    </w:p>
    <w:p w:rsidR="009E7D04" w:rsidRPr="00A428C3" w:rsidRDefault="009E7D04" w:rsidP="00B72EF9">
      <w:pPr>
        <w:pStyle w:val="12"/>
      </w:pPr>
      <w:r w:rsidRPr="00A428C3">
        <w:t xml:space="preserve">Full Journal Title: </w:t>
      </w:r>
      <w:r w:rsidRPr="009E7D04">
        <w:t>Harvard Review of Psychiatry</w:t>
      </w:r>
    </w:p>
    <w:p w:rsidR="009E7D04" w:rsidRPr="00A428C3" w:rsidRDefault="009E7D04" w:rsidP="00B72EF9">
      <w:pPr>
        <w:pStyle w:val="12"/>
      </w:pPr>
      <w:r w:rsidRPr="00A428C3">
        <w:t xml:space="preserve">ISO Abbreviated Title: </w:t>
      </w:r>
    </w:p>
    <w:p w:rsidR="009E7D04" w:rsidRPr="00A428C3" w:rsidRDefault="009E7D04" w:rsidP="00B72EF9">
      <w:pPr>
        <w:pStyle w:val="12"/>
      </w:pPr>
      <w:r w:rsidRPr="00A428C3">
        <w:t xml:space="preserve">JCR Abbreviated Title: </w:t>
      </w:r>
    </w:p>
    <w:p w:rsidR="009E7D04" w:rsidRPr="00A428C3" w:rsidRDefault="009E7D04" w:rsidP="00B72EF9">
      <w:pPr>
        <w:pStyle w:val="12"/>
      </w:pPr>
      <w:r w:rsidRPr="00A428C3">
        <w:t xml:space="preserve">ISSN: </w:t>
      </w:r>
    </w:p>
    <w:p w:rsidR="009E7D04" w:rsidRPr="00A428C3" w:rsidRDefault="009E7D04" w:rsidP="00B72EF9">
      <w:pPr>
        <w:pStyle w:val="12"/>
      </w:pPr>
      <w:r w:rsidRPr="00A428C3">
        <w:t xml:space="preserve">Issues/Year: </w:t>
      </w:r>
    </w:p>
    <w:p w:rsidR="009E7D04" w:rsidRPr="00A428C3" w:rsidRDefault="009E7D04" w:rsidP="00B72EF9">
      <w:pPr>
        <w:pStyle w:val="12"/>
      </w:pPr>
      <w:r w:rsidRPr="00A428C3">
        <w:t xml:space="preserve">Journal Country/Territory: </w:t>
      </w:r>
    </w:p>
    <w:p w:rsidR="009E7D04" w:rsidRPr="00A428C3" w:rsidRDefault="009E7D04" w:rsidP="00B72EF9">
      <w:pPr>
        <w:pStyle w:val="12"/>
      </w:pPr>
      <w:r w:rsidRPr="00A428C3">
        <w:t xml:space="preserve">Language: </w:t>
      </w:r>
    </w:p>
    <w:p w:rsidR="009E7D04" w:rsidRPr="00A428C3" w:rsidRDefault="009E7D04" w:rsidP="00B72EF9">
      <w:pPr>
        <w:pStyle w:val="12"/>
      </w:pPr>
      <w:r w:rsidRPr="00A428C3">
        <w:t xml:space="preserve">Publisher: </w:t>
      </w:r>
    </w:p>
    <w:p w:rsidR="009E7D04" w:rsidRPr="00A428C3" w:rsidRDefault="009E7D04" w:rsidP="00B72EF9">
      <w:pPr>
        <w:pStyle w:val="12"/>
      </w:pPr>
      <w:r w:rsidRPr="00A428C3">
        <w:t xml:space="preserve">Publisher Address: </w:t>
      </w:r>
    </w:p>
    <w:p w:rsidR="009E7D04" w:rsidRPr="00A428C3" w:rsidRDefault="009E7D04" w:rsidP="00B72EF9">
      <w:pPr>
        <w:pStyle w:val="12"/>
      </w:pPr>
      <w:r w:rsidRPr="00A428C3">
        <w:t xml:space="preserve">Subject Categories: </w:t>
      </w:r>
    </w:p>
    <w:p w:rsidR="009E7D04" w:rsidRPr="00A428C3" w:rsidRDefault="009E7D04" w:rsidP="00B72EF9">
      <w:pPr>
        <w:pStyle w:val="12"/>
        <w:rPr>
          <w:lang w:val="de-DE"/>
        </w:rPr>
      </w:pPr>
      <w:r w:rsidRPr="00A428C3">
        <w:rPr>
          <w:lang w:val="de-DE"/>
        </w:rPr>
        <w:t>: Impact Factor</w:t>
      </w:r>
    </w:p>
    <w:p w:rsidR="009E7D04" w:rsidRDefault="009E7D04" w:rsidP="009E7D04">
      <w:pPr>
        <w:pStyle w:val="a0"/>
        <w:rPr>
          <w:kern w:val="0"/>
          <w:szCs w:val="24"/>
        </w:rPr>
      </w:pPr>
      <w:r>
        <w:rPr>
          <w:rFonts w:hint="eastAsia"/>
          <w:kern w:val="0"/>
          <w:szCs w:val="24"/>
        </w:rPr>
        <w:t xml:space="preserve">? </w:t>
      </w:r>
      <w:r>
        <w:rPr>
          <w:kern w:val="0"/>
          <w:szCs w:val="24"/>
        </w:rPr>
        <w:t>Hunt, G.E., Cleary, M.</w:t>
      </w:r>
      <w:r w:rsidR="00F81221">
        <w:rPr>
          <w:kern w:val="0"/>
          <w:szCs w:val="24"/>
        </w:rPr>
        <w:t xml:space="preserve"> and </w:t>
      </w:r>
      <w:r>
        <w:rPr>
          <w:kern w:val="0"/>
          <w:szCs w:val="24"/>
        </w:rPr>
        <w:t>Walter, G. (2010), Psychiatry</w:t>
      </w:r>
      <w:r w:rsidR="00F81221">
        <w:rPr>
          <w:kern w:val="0"/>
          <w:szCs w:val="24"/>
        </w:rPr>
        <w:t xml:space="preserve"> and </w:t>
      </w:r>
      <w:r>
        <w:rPr>
          <w:kern w:val="0"/>
          <w:szCs w:val="24"/>
        </w:rPr>
        <w:t>the Hirsch h-index: The relationship between journal impact factors</w:t>
      </w:r>
      <w:r w:rsidR="00F81221">
        <w:rPr>
          <w:kern w:val="0"/>
          <w:szCs w:val="24"/>
        </w:rPr>
        <w:t xml:space="preserve"> and </w:t>
      </w:r>
      <w:r>
        <w:rPr>
          <w:kern w:val="0"/>
          <w:szCs w:val="24"/>
        </w:rPr>
        <w:t xml:space="preserve">accrued citations. </w:t>
      </w:r>
      <w:r w:rsidRPr="009E7D04">
        <w:rPr>
          <w:i/>
          <w:iCs/>
          <w:kern w:val="0"/>
          <w:szCs w:val="24"/>
        </w:rPr>
        <w:t>Harvard Review of Psychiatry</w:t>
      </w:r>
      <w:r>
        <w:rPr>
          <w:kern w:val="0"/>
          <w:szCs w:val="24"/>
        </w:rPr>
        <w:t xml:space="preserve">, </w:t>
      </w:r>
      <w:r>
        <w:rPr>
          <w:b/>
          <w:bCs/>
          <w:kern w:val="0"/>
          <w:szCs w:val="24"/>
        </w:rPr>
        <w:t>18</w:t>
      </w:r>
      <w:r>
        <w:rPr>
          <w:kern w:val="0"/>
          <w:szCs w:val="24"/>
        </w:rPr>
        <w:t xml:space="preserve"> (4), 207-219.</w:t>
      </w:r>
    </w:p>
    <w:p w:rsidR="00336F7F" w:rsidRDefault="00336F7F" w:rsidP="00336F7F">
      <w:pPr>
        <w:pStyle w:val="a0"/>
        <w:rPr>
          <w:kern w:val="0"/>
          <w:szCs w:val="24"/>
        </w:rPr>
      </w:pPr>
      <w:r>
        <w:rPr>
          <w:rFonts w:hint="eastAsia"/>
          <w:kern w:val="0"/>
          <w:szCs w:val="24"/>
        </w:rPr>
        <w:t xml:space="preserve">Full Text: </w:t>
      </w:r>
      <w:hyperlink r:id="rId528" w:history="1">
        <w:r w:rsidRPr="003D7640">
          <w:rPr>
            <w:rStyle w:val="a5"/>
            <w:kern w:val="0"/>
            <w:szCs w:val="24"/>
          </w:rPr>
          <w:t>2010\Har Rev Psy18, 207.pdf</w:t>
        </w:r>
      </w:hyperlink>
    </w:p>
    <w:p w:rsidR="009E7D04" w:rsidRDefault="009E7D04" w:rsidP="009E7D04">
      <w:pPr>
        <w:pStyle w:val="a0"/>
        <w:rPr>
          <w:kern w:val="0"/>
          <w:szCs w:val="24"/>
        </w:rPr>
      </w:pPr>
      <w:r>
        <w:rPr>
          <w:kern w:val="0"/>
          <w:szCs w:val="24"/>
        </w:rPr>
        <w:t>Abstract: There is considerable debate on the use</w:t>
      </w:r>
      <w:r w:rsidR="00F81221">
        <w:rPr>
          <w:kern w:val="0"/>
          <w:szCs w:val="24"/>
        </w:rPr>
        <w:t xml:space="preserve"> and </w:t>
      </w:r>
      <w:r>
        <w:rPr>
          <w:kern w:val="0"/>
          <w:szCs w:val="24"/>
        </w:rPr>
        <w:t>abuse of journal impact factors</w:t>
      </w:r>
      <w:r w:rsidR="00F81221">
        <w:rPr>
          <w:kern w:val="0"/>
          <w:szCs w:val="24"/>
        </w:rPr>
        <w:t xml:space="preserve"> and </w:t>
      </w:r>
      <w:r>
        <w:rPr>
          <w:kern w:val="0"/>
          <w:szCs w:val="24"/>
        </w:rPr>
        <w:t>on selecting the most appropriate indicator to assess research outcome for an individual or group of scientists. Internet searches using Web of Science</w:t>
      </w:r>
      <w:r w:rsidR="00F81221">
        <w:rPr>
          <w:kern w:val="0"/>
          <w:szCs w:val="24"/>
        </w:rPr>
        <w:t xml:space="preserve"> and </w:t>
      </w:r>
      <w:r>
        <w:rPr>
          <w:kern w:val="0"/>
          <w:szCs w:val="24"/>
        </w:rPr>
        <w:t>Scopus were conducted to retrieve citation data for an individual in order to calculate nine variants of Hirsch</w:t>
      </w:r>
      <w:r w:rsidR="000352E7">
        <w:rPr>
          <w:kern w:val="0"/>
          <w:szCs w:val="24"/>
        </w:rPr>
        <w:t>’</w:t>
      </w:r>
      <w:r>
        <w:rPr>
          <w:kern w:val="0"/>
          <w:szCs w:val="24"/>
        </w:rPr>
        <w:t>s h-index. Citations to articles published in a wide range of psychiatric journals in the periods 1995-99</w:t>
      </w:r>
      <w:r w:rsidR="00F81221">
        <w:rPr>
          <w:kern w:val="0"/>
          <w:szCs w:val="24"/>
        </w:rPr>
        <w:t xml:space="preserve"> and </w:t>
      </w:r>
      <w:r>
        <w:rPr>
          <w:kern w:val="0"/>
          <w:szCs w:val="24"/>
        </w:rPr>
        <w:t>2000-05 were analyzed using Web of Science. Comparisons were made between journal impact factor, h-index of citations from publication to 2008,</w:t>
      </w:r>
      <w:r w:rsidR="00F81221">
        <w:rPr>
          <w:kern w:val="0"/>
          <w:szCs w:val="24"/>
        </w:rPr>
        <w:t xml:space="preserve"> and </w:t>
      </w:r>
      <w:r>
        <w:rPr>
          <w:kern w:val="0"/>
          <w:szCs w:val="24"/>
        </w:rPr>
        <w:t>the proportion of articles cited at least 30 or 50 times. For up to 14 years post-publication, there was a strong positive relationship between journal impact factor</w:t>
      </w:r>
      <w:r w:rsidR="00F81221">
        <w:rPr>
          <w:kern w:val="0"/>
          <w:szCs w:val="24"/>
        </w:rPr>
        <w:t xml:space="preserve"> and </w:t>
      </w:r>
      <w:r>
        <w:rPr>
          <w:kern w:val="0"/>
          <w:szCs w:val="24"/>
        </w:rPr>
        <w:t>h-index for citations received. Journal impact factor was also compared to the percentage of articles cited at least 30 or 50 times a comparison that showed wide variations between journals with similar impact factors. This study found that 40%-50% of the articles published in the top ten psychiatry journals ranked by impact factor acquire 30 to 50 citations within ten to fifteen years. Despite certain flaws</w:t>
      </w:r>
      <w:r w:rsidR="00F81221">
        <w:rPr>
          <w:kern w:val="0"/>
          <w:szCs w:val="24"/>
        </w:rPr>
        <w:t xml:space="preserve"> and </w:t>
      </w:r>
      <w:r>
        <w:rPr>
          <w:kern w:val="0"/>
          <w:szCs w:val="24"/>
        </w:rPr>
        <w:t>weaknesses, the h-index provides a better way to assess long-term performance of articles or authors than using a journal</w:t>
      </w:r>
      <w:r w:rsidR="000352E7">
        <w:rPr>
          <w:kern w:val="0"/>
          <w:szCs w:val="24"/>
        </w:rPr>
        <w:t>’</w:t>
      </w:r>
      <w:r>
        <w:rPr>
          <w:kern w:val="0"/>
          <w:szCs w:val="24"/>
        </w:rPr>
        <w:t>s impact factor,</w:t>
      </w:r>
      <w:r w:rsidR="00F81221">
        <w:rPr>
          <w:kern w:val="0"/>
          <w:szCs w:val="24"/>
        </w:rPr>
        <w:t xml:space="preserve"> and </w:t>
      </w:r>
      <w:r>
        <w:rPr>
          <w:kern w:val="0"/>
          <w:szCs w:val="24"/>
        </w:rPr>
        <w:t>it provides an alternative way to assess a journal</w:t>
      </w:r>
      <w:r w:rsidR="000352E7">
        <w:rPr>
          <w:kern w:val="0"/>
          <w:szCs w:val="24"/>
        </w:rPr>
        <w:t>’</w:t>
      </w:r>
      <w:r>
        <w:rPr>
          <w:kern w:val="0"/>
          <w:szCs w:val="24"/>
        </w:rPr>
        <w:t>s long-term ranking. (HARV REV PSYCHIATRY 2010;18:207-219.).</w:t>
      </w:r>
    </w:p>
    <w:p w:rsidR="009E7D04" w:rsidRDefault="009E7D04" w:rsidP="009E7D04">
      <w:pPr>
        <w:pStyle w:val="a0"/>
        <w:rPr>
          <w:kern w:val="0"/>
          <w:szCs w:val="24"/>
        </w:rPr>
      </w:pPr>
      <w:r>
        <w:rPr>
          <w:kern w:val="0"/>
          <w:szCs w:val="24"/>
        </w:rPr>
        <w:t xml:space="preserve">Keywords: Authors, Citations, Google-Scholar, </w:t>
      </w:r>
      <w:r>
        <w:rPr>
          <w:rFonts w:hint="eastAsia"/>
          <w:kern w:val="0"/>
          <w:szCs w:val="24"/>
        </w:rPr>
        <w:t>h</w:t>
      </w:r>
      <w:r>
        <w:rPr>
          <w:kern w:val="0"/>
          <w:szCs w:val="24"/>
        </w:rPr>
        <w:t xml:space="preserve">-Index, Impact Factor, Indicators, Journal, Journal Impact Factor, Psychiatry, Psychiatry Journals, Publication, Quality, Research, Researchers, Science, Scientists, Scopus, Standard Bibliometric Measures, </w:t>
      </w:r>
      <w:r>
        <w:rPr>
          <w:kern w:val="0"/>
          <w:szCs w:val="24"/>
        </w:rPr>
        <w:lastRenderedPageBreak/>
        <w:t>Web, Web of Science, Web-of-Science</w:t>
      </w:r>
    </w:p>
    <w:p w:rsidR="004B0126" w:rsidRDefault="004B0126" w:rsidP="004B0126">
      <w:pPr>
        <w:pStyle w:val="a0"/>
        <w:rPr>
          <w:kern w:val="0"/>
        </w:rPr>
      </w:pPr>
      <w:r>
        <w:rPr>
          <w:rFonts w:hint="eastAsia"/>
          <w:kern w:val="0"/>
        </w:rPr>
        <w:t xml:space="preserve">? </w:t>
      </w:r>
      <w:r>
        <w:rPr>
          <w:kern w:val="0"/>
        </w:rPr>
        <w:t>Freire, R.C., Perna, G.</w:t>
      </w:r>
      <w:r w:rsidR="00F81221">
        <w:rPr>
          <w:kern w:val="0"/>
        </w:rPr>
        <w:t xml:space="preserve"> and </w:t>
      </w:r>
      <w:r>
        <w:rPr>
          <w:kern w:val="0"/>
        </w:rPr>
        <w:t>Nardi, A.E. (2010), Panic disorder respiratory subtype: Psychopathology, laboratory challenge tests,</w:t>
      </w:r>
      <w:r w:rsidR="00F81221">
        <w:rPr>
          <w:kern w:val="0"/>
        </w:rPr>
        <w:t xml:space="preserve"> and </w:t>
      </w:r>
      <w:r>
        <w:rPr>
          <w:kern w:val="0"/>
        </w:rPr>
        <w:t xml:space="preserve">response to treatment. </w:t>
      </w:r>
      <w:r>
        <w:rPr>
          <w:i/>
          <w:iCs/>
          <w:kern w:val="0"/>
        </w:rPr>
        <w:t>Harvard Review of Psychiatry</w:t>
      </w:r>
      <w:r>
        <w:rPr>
          <w:kern w:val="0"/>
        </w:rPr>
        <w:t xml:space="preserve">, </w:t>
      </w:r>
      <w:r>
        <w:rPr>
          <w:b/>
          <w:bCs/>
          <w:kern w:val="0"/>
        </w:rPr>
        <w:t>18</w:t>
      </w:r>
      <w:r>
        <w:rPr>
          <w:kern w:val="0"/>
        </w:rPr>
        <w:t xml:space="preserve"> (4), 220-229.</w:t>
      </w:r>
    </w:p>
    <w:p w:rsidR="004B0126" w:rsidRDefault="004B0126" w:rsidP="004B0126">
      <w:pPr>
        <w:pStyle w:val="a0"/>
        <w:rPr>
          <w:kern w:val="0"/>
          <w:szCs w:val="24"/>
        </w:rPr>
      </w:pPr>
      <w:r>
        <w:rPr>
          <w:rFonts w:hint="eastAsia"/>
          <w:kern w:val="0"/>
          <w:szCs w:val="24"/>
        </w:rPr>
        <w:t xml:space="preserve">Full Text: </w:t>
      </w:r>
      <w:r>
        <w:rPr>
          <w:kern w:val="0"/>
          <w:szCs w:val="24"/>
        </w:rPr>
        <w:t>2010\Har Rev Psy18, 2</w:t>
      </w:r>
      <w:r>
        <w:rPr>
          <w:rFonts w:hint="eastAsia"/>
          <w:kern w:val="0"/>
          <w:szCs w:val="24"/>
        </w:rPr>
        <w:t>20</w:t>
      </w:r>
      <w:r w:rsidRPr="00CA5342">
        <w:rPr>
          <w:kern w:val="0"/>
          <w:szCs w:val="24"/>
        </w:rPr>
        <w:t>.pdf</w:t>
      </w:r>
    </w:p>
    <w:p w:rsidR="004B0126" w:rsidRDefault="004B0126" w:rsidP="004B0126">
      <w:pPr>
        <w:pStyle w:val="a0"/>
        <w:rPr>
          <w:kern w:val="0"/>
        </w:rPr>
      </w:pPr>
      <w:r>
        <w:rPr>
          <w:kern w:val="0"/>
        </w:rPr>
        <w:t xml:space="preserve">Abstract: Objective: Our objective is to summarize the new findings concerning the respiratory subtype (RS) of panic disorder (PD) since its first description. Methods: Two searches were made in the Institute for Scientific Information Web of Science: with the keywords </w:t>
      </w:r>
      <w:r w:rsidR="000352E7">
        <w:rPr>
          <w:kern w:val="0"/>
        </w:rPr>
        <w:t>“</w:t>
      </w:r>
      <w:r>
        <w:rPr>
          <w:kern w:val="0"/>
        </w:rPr>
        <w:t>panic disorder</w:t>
      </w:r>
      <w:r w:rsidR="000352E7">
        <w:rPr>
          <w:kern w:val="0"/>
        </w:rPr>
        <w:t>”</w:t>
      </w:r>
      <w:r w:rsidR="00F81221">
        <w:rPr>
          <w:kern w:val="0"/>
        </w:rPr>
        <w:t xml:space="preserve"> and </w:t>
      </w:r>
      <w:r w:rsidR="000352E7">
        <w:rPr>
          <w:kern w:val="0"/>
        </w:rPr>
        <w:t>“</w:t>
      </w:r>
      <w:r>
        <w:rPr>
          <w:kern w:val="0"/>
        </w:rPr>
        <w:t>respiratory symptoms,</w:t>
      </w:r>
      <w:r w:rsidR="000352E7">
        <w:rPr>
          <w:kern w:val="0"/>
        </w:rPr>
        <w:t>”</w:t>
      </w:r>
      <w:r w:rsidR="00F81221">
        <w:rPr>
          <w:kern w:val="0"/>
        </w:rPr>
        <w:t xml:space="preserve"> and </w:t>
      </w:r>
      <w:r>
        <w:rPr>
          <w:kern w:val="0"/>
        </w:rPr>
        <w:t>all articles that cited Briggs</w:t>
      </w:r>
      <w:r w:rsidR="00F81221">
        <w:rPr>
          <w:kern w:val="0"/>
        </w:rPr>
        <w:t xml:space="preserve"> and </w:t>
      </w:r>
      <w:r>
        <w:rPr>
          <w:kern w:val="0"/>
        </w:rPr>
        <w:t>colleagues</w:t>
      </w:r>
      <w:r w:rsidR="000352E7">
        <w:rPr>
          <w:kern w:val="0"/>
        </w:rPr>
        <w:t>’</w:t>
      </w:r>
      <w:r>
        <w:rPr>
          <w:kern w:val="0"/>
        </w:rPr>
        <w:t xml:space="preserve"> 1993 article </w:t>
      </w:r>
      <w:r w:rsidR="000352E7">
        <w:rPr>
          <w:kern w:val="0"/>
        </w:rPr>
        <w:t>“</w:t>
      </w:r>
      <w:r>
        <w:rPr>
          <w:kern w:val="0"/>
        </w:rPr>
        <w:t>Subtyping of Panic Disorder by Symptom Profile</w:t>
      </w:r>
      <w:r w:rsidR="000352E7">
        <w:rPr>
          <w:kern w:val="0"/>
        </w:rPr>
        <w:t>”</w:t>
      </w:r>
      <w:r>
        <w:rPr>
          <w:kern w:val="0"/>
        </w:rPr>
        <w:t xml:space="preserve"> (Br J Psychiatry 1993;163:201-9). Altogether, 133 articles were reviewed. Results: We describe</w:t>
      </w:r>
      <w:r w:rsidR="00F81221">
        <w:rPr>
          <w:kern w:val="0"/>
        </w:rPr>
        <w:t xml:space="preserve"> and </w:t>
      </w:r>
      <w:r>
        <w:rPr>
          <w:kern w:val="0"/>
        </w:rPr>
        <w:t>discuss RS epidemiology, genetics, psychopathology, demographic features, clinical features, correlations with the respiratory system, traumatic suffocation history, provocative tests,</w:t>
      </w:r>
      <w:r w:rsidR="00F81221">
        <w:rPr>
          <w:kern w:val="0"/>
        </w:rPr>
        <w:t xml:space="preserve"> and </w:t>
      </w:r>
      <w:r>
        <w:rPr>
          <w:kern w:val="0"/>
        </w:rPr>
        <w:t>nocturnal panic. Compared to patients with the nonrespiratory subtype (non-RS), the RS patients had higher familial history of PD, lower comorbidity with depression, longer duration of illness, lower neuroticism scores,</w:t>
      </w:r>
      <w:r w:rsidR="00F81221">
        <w:rPr>
          <w:kern w:val="0"/>
        </w:rPr>
        <w:t xml:space="preserve"> and </w:t>
      </w:r>
      <w:r>
        <w:rPr>
          <w:kern w:val="0"/>
        </w:rPr>
        <w:t>higher scores in severity scales, such as the Panic</w:t>
      </w:r>
      <w:r w:rsidR="00F81221">
        <w:rPr>
          <w:kern w:val="0"/>
        </w:rPr>
        <w:t xml:space="preserve"> and </w:t>
      </w:r>
      <w:r>
        <w:rPr>
          <w:kern w:val="0"/>
        </w:rPr>
        <w:t>Agoraphobia Scale, Panic-Agoraphobia Spectrum scale</w:t>
      </w:r>
      <w:r w:rsidR="00F81221">
        <w:rPr>
          <w:kern w:val="0"/>
        </w:rPr>
        <w:t xml:space="preserve"> and </w:t>
      </w:r>
      <w:r>
        <w:rPr>
          <w:kern w:val="0"/>
        </w:rPr>
        <w:t>the Clinical Global Impression scale. Tests to induce panic attacks, such as those with CO(2), hyperventilation,</w:t>
      </w:r>
      <w:r w:rsidR="00F81221">
        <w:rPr>
          <w:kern w:val="0"/>
        </w:rPr>
        <w:t xml:space="preserve"> and </w:t>
      </w:r>
      <w:r>
        <w:rPr>
          <w:kern w:val="0"/>
        </w:rPr>
        <w:t>caffeine, produce panic attacks in a higher proportion of RS patients than non-RS patients. Differences in the subtypes</w:t>
      </w:r>
      <w:r w:rsidR="000352E7">
        <w:rPr>
          <w:kern w:val="0"/>
        </w:rPr>
        <w:t>’</w:t>
      </w:r>
      <w:r>
        <w:rPr>
          <w:kern w:val="0"/>
        </w:rPr>
        <w:t xml:space="preserve"> improvement with the pharmacologic treatment were found. There are also some controversial findings regarding the RS, including the age of onset of PD,</w:t>
      </w:r>
      <w:r w:rsidR="00F81221">
        <w:rPr>
          <w:kern w:val="0"/>
        </w:rPr>
        <w:t xml:space="preserve"> and </w:t>
      </w:r>
      <w:r>
        <w:rPr>
          <w:kern w:val="0"/>
        </w:rPr>
        <w:t>alcohol</w:t>
      </w:r>
      <w:r w:rsidR="00F81221">
        <w:rPr>
          <w:kern w:val="0"/>
        </w:rPr>
        <w:t xml:space="preserve"> and </w:t>
      </w:r>
      <w:r>
        <w:rPr>
          <w:kern w:val="0"/>
        </w:rPr>
        <w:t>tobacco use in RS patients. Conclusions: Some characteristics, such as the increased sensitivity to CO2</w:t>
      </w:r>
      <w:r w:rsidR="00F81221">
        <w:rPr>
          <w:kern w:val="0"/>
        </w:rPr>
        <w:t xml:space="preserve"> and </w:t>
      </w:r>
      <w:r>
        <w:rPr>
          <w:kern w:val="0"/>
        </w:rPr>
        <w:t>the higher familial history of PD, clearly distinguish the RS from the non-RS. Nevertheless, there are also controversial findings. More studies are needed to determine the validity of the RS subtype. (HARV REV PSYCHIATRY 2010;18:220-229.).</w:t>
      </w:r>
    </w:p>
    <w:p w:rsidR="004B0126" w:rsidRDefault="004B0126" w:rsidP="004B0126">
      <w:pPr>
        <w:pStyle w:val="a0"/>
        <w:rPr>
          <w:kern w:val="0"/>
        </w:rPr>
      </w:pPr>
      <w:r>
        <w:rPr>
          <w:kern w:val="0"/>
        </w:rPr>
        <w:t>Keywords: 35-Percent Carbon-Dioxide, Alcohol, Attacks, Caffeine, Caffeine Challenge, Carbon Dioxide, Clinical-Features, Co2, Co2 Challenge, Comorbidity, Depression, Disorder, Dyspnea-Fear Theory, Epidemiology, Genetics, History, Methods, Nocturnal Panic Attacks, Panic Attacks, Panic Disorder, Phobic Anxiety, Psychiatry, Pulmonary-Function, Respiratory Symptom, Scale, Science, Scientific Information, Sodium Lactate, Symptom Dimensions, Tobacco, Traumatic Suffocation, Treatment, Validity, Web of Science</w:t>
      </w:r>
    </w:p>
    <w:p w:rsidR="00B95188" w:rsidRPr="00A428C3" w:rsidRDefault="00B95188" w:rsidP="00B95188">
      <w:pPr>
        <w:pStyle w:val="1"/>
      </w:pPr>
      <w:r w:rsidRPr="00A428C3">
        <w:br w:type="page"/>
      </w:r>
      <w:bookmarkStart w:id="447" w:name="_Toc488467655"/>
      <w:bookmarkStart w:id="448" w:name="_Toc489709735"/>
      <w:bookmarkStart w:id="449" w:name="_Toc490687998"/>
      <w:bookmarkStart w:id="450" w:name="_Toc492807659"/>
      <w:bookmarkStart w:id="451" w:name="_Toc186647750"/>
      <w:bookmarkStart w:id="452" w:name="_Toc317160976"/>
      <w:r w:rsidRPr="00A428C3">
        <w:lastRenderedPageBreak/>
        <w:t>Title: Hautarzt</w:t>
      </w:r>
      <w:bookmarkEnd w:id="447"/>
      <w:bookmarkEnd w:id="448"/>
      <w:bookmarkEnd w:id="449"/>
      <w:bookmarkEnd w:id="450"/>
      <w:bookmarkEnd w:id="451"/>
      <w:bookmarkEnd w:id="452"/>
    </w:p>
    <w:p w:rsidR="00B95188" w:rsidRPr="00A428C3" w:rsidRDefault="00B95188" w:rsidP="00B72EF9">
      <w:pPr>
        <w:pStyle w:val="12"/>
      </w:pPr>
      <w:r w:rsidRPr="00A428C3">
        <w:t>Full Journal Title: Hautarzt</w:t>
      </w:r>
    </w:p>
    <w:p w:rsidR="00B95188" w:rsidRPr="00A428C3" w:rsidRDefault="00B95188" w:rsidP="00B72EF9">
      <w:pPr>
        <w:pStyle w:val="12"/>
      </w:pPr>
      <w:r w:rsidRPr="00A428C3">
        <w:t>ISO Abbreviated Title: Hautarzt</w:t>
      </w:r>
    </w:p>
    <w:p w:rsidR="00B95188" w:rsidRPr="00A428C3" w:rsidRDefault="00B95188" w:rsidP="00B72EF9">
      <w:pPr>
        <w:pStyle w:val="12"/>
      </w:pPr>
      <w:r w:rsidRPr="00A428C3">
        <w:t>JCR Abbreviated Title: Hautarzt</w:t>
      </w:r>
    </w:p>
    <w:p w:rsidR="00B95188" w:rsidRPr="00A428C3" w:rsidRDefault="00B95188" w:rsidP="00B72EF9">
      <w:pPr>
        <w:pStyle w:val="12"/>
      </w:pPr>
      <w:r w:rsidRPr="00A428C3">
        <w:t>ISSN: 0017-8470</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Springer Verlag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Dermatology &amp; Venereal Diseases: </w:t>
      </w:r>
      <w:r w:rsidRPr="00A428C3">
        <w:rPr>
          <w:color w:val="008000"/>
        </w:rPr>
        <w:t xml:space="preserve">Impact Factor </w:t>
      </w:r>
    </w:p>
    <w:p w:rsidR="00B95188" w:rsidRPr="00A428C3" w:rsidRDefault="00B95188" w:rsidP="00B95188">
      <w:pPr>
        <w:pStyle w:val="a0"/>
      </w:pPr>
      <w:r w:rsidRPr="00A428C3">
        <w:t>? Platschek, H.</w:t>
      </w:r>
      <w:r w:rsidR="00F81221">
        <w:t xml:space="preserve"> and </w:t>
      </w:r>
      <w:r w:rsidRPr="00A428C3">
        <w:t>Lubach, D. (1989), Brown discoloration of hair</w:t>
      </w:r>
      <w:r w:rsidR="00F81221">
        <w:t xml:space="preserve"> and </w:t>
      </w:r>
      <w:r w:rsidRPr="00A428C3">
        <w:t xml:space="preserve">nails by water with high iron content. </w:t>
      </w:r>
      <w:r w:rsidRPr="00A428C3">
        <w:rPr>
          <w:i/>
        </w:rPr>
        <w:t>Hautarzt</w:t>
      </w:r>
      <w:r w:rsidRPr="00A428C3">
        <w:t xml:space="preserve">, </w:t>
      </w:r>
      <w:r w:rsidRPr="00A428C3">
        <w:rPr>
          <w:b/>
        </w:rPr>
        <w:t>40</w:t>
      </w:r>
      <w:r w:rsidRPr="00A428C3">
        <w:t xml:space="preserve"> (7), 441-442.</w:t>
      </w:r>
    </w:p>
    <w:p w:rsidR="00B95188" w:rsidRPr="00A428C3" w:rsidRDefault="00B95188" w:rsidP="00B95188">
      <w:pPr>
        <w:pStyle w:val="a0"/>
      </w:pPr>
      <w:r w:rsidRPr="00A428C3">
        <w:t>Iliev, D., Furrer, L.</w:t>
      </w:r>
      <w:r w:rsidR="00F81221">
        <w:t xml:space="preserve"> and </w:t>
      </w:r>
      <w:r w:rsidRPr="00A428C3">
        <w:t xml:space="preserve">Elsner, P. (1998), Estimating the quality of life of dermatologic patients. </w:t>
      </w:r>
      <w:r w:rsidRPr="00A428C3">
        <w:rPr>
          <w:i/>
        </w:rPr>
        <w:t>Hautarzt</w:t>
      </w:r>
      <w:r w:rsidRPr="00A428C3">
        <w:t xml:space="preserve">, </w:t>
      </w:r>
      <w:r w:rsidRPr="00A428C3">
        <w:rPr>
          <w:b/>
        </w:rPr>
        <w:t>49</w:t>
      </w:r>
      <w:r w:rsidRPr="00A428C3">
        <w:t xml:space="preserve"> (6), 453-456.</w:t>
      </w:r>
    </w:p>
    <w:p w:rsidR="00B95188" w:rsidRPr="00A428C3" w:rsidRDefault="00B95188" w:rsidP="00B95188">
      <w:pPr>
        <w:pStyle w:val="a0"/>
      </w:pPr>
      <w:r w:rsidRPr="00A428C3">
        <w:t xml:space="preserve">Full Text: </w:t>
      </w:r>
      <w:hyperlink r:id="rId529" w:history="1">
        <w:r w:rsidRPr="00A428C3">
          <w:rPr>
            <w:rStyle w:val="a5"/>
          </w:rPr>
          <w:t>H\Hautarzt49, 453.pdf</w:t>
        </w:r>
      </w:hyperlink>
    </w:p>
    <w:p w:rsidR="00B95188" w:rsidRPr="00A428C3" w:rsidRDefault="00B95188" w:rsidP="00B95188">
      <w:pPr>
        <w:pStyle w:val="a0"/>
      </w:pPr>
      <w:r w:rsidRPr="00A428C3">
        <w:t>Abstract: A judgement on the patient</w:t>
      </w:r>
      <w:r w:rsidR="000352E7">
        <w:t>’</w:t>
      </w:r>
      <w:r w:rsidRPr="00A428C3">
        <w:t>s quality of life cannot be based solely on the information about the clinical severity of a disease.Very often there is no correlation between these parameters.lt is necessary to assess the quality of life by a health status questionnaire since non-life threatening diseases common in dermatology influence the quality of life very much.The most frequently used questionnaires are the SF-36</w:t>
      </w:r>
      <w:r w:rsidR="00F81221">
        <w:t xml:space="preserve"> and </w:t>
      </w:r>
      <w:r w:rsidRPr="00A428C3">
        <w:t>the Nottingham Health Profile. However, these forms do not evaluate all dermatologic patients adequately.Therefore specific tools such as the DLQI (Dermatology Life Quality Index)</w:t>
      </w:r>
      <w:r w:rsidR="00F81221">
        <w:t xml:space="preserve"> and </w:t>
      </w:r>
      <w:r w:rsidRPr="00A428C3">
        <w:t>Skindex have been established for dermatology. Further disease-specific questionnaires have been created to measure time related changes in dermatological patients.</w:t>
      </w:r>
    </w:p>
    <w:p w:rsidR="00B95188" w:rsidRPr="00A428C3" w:rsidRDefault="00B95188" w:rsidP="00B95188">
      <w:pPr>
        <w:pStyle w:val="a0"/>
      </w:pPr>
      <w:r w:rsidRPr="00A428C3">
        <w:t xml:space="preserve">Keywords: Nottingham Health Profile, Of-Life, Clinical-Trials, IQOLA Project, SF-36, Rhinoconjunctivitis, Questionnaire, Disability, Quality of Life, SF-36, </w:t>
      </w:r>
      <w:smartTag w:uri="urn:schemas-microsoft-com:office:smarttags" w:element="place">
        <w:r w:rsidRPr="00A428C3">
          <w:t>Nottingham</w:t>
        </w:r>
      </w:smartTag>
      <w:r w:rsidRPr="00A428C3">
        <w:t xml:space="preserve"> Health Profile, Skindex, DLQI, Health Status</w:t>
      </w:r>
    </w:p>
    <w:p w:rsidR="00B95188" w:rsidRPr="00A428C3" w:rsidRDefault="00B95188" w:rsidP="00B95188">
      <w:pPr>
        <w:pStyle w:val="1"/>
      </w:pPr>
      <w:r w:rsidRPr="00A428C3">
        <w:br w:type="page"/>
      </w:r>
      <w:bookmarkStart w:id="453" w:name="_Toc487190688"/>
      <w:bookmarkStart w:id="454" w:name="_Toc487882192"/>
      <w:bookmarkStart w:id="455" w:name="_Toc490687999"/>
      <w:bookmarkStart w:id="456" w:name="_Toc492807660"/>
      <w:bookmarkStart w:id="457" w:name="_Toc186647751"/>
      <w:bookmarkStart w:id="458" w:name="_Toc317160977"/>
      <w:r w:rsidRPr="00A428C3">
        <w:lastRenderedPageBreak/>
        <w:t>Title: Hazardous</w:t>
      </w:r>
      <w:r w:rsidR="00F81221">
        <w:t xml:space="preserve"> and </w:t>
      </w:r>
      <w:r w:rsidRPr="00A428C3">
        <w:t>Industrial Wastes</w:t>
      </w:r>
      <w:bookmarkEnd w:id="453"/>
      <w:bookmarkEnd w:id="454"/>
      <w:bookmarkEnd w:id="455"/>
      <w:bookmarkEnd w:id="456"/>
      <w:bookmarkEnd w:id="457"/>
      <w:bookmarkEnd w:id="458"/>
    </w:p>
    <w:p w:rsidR="00B95188" w:rsidRPr="00A428C3" w:rsidRDefault="00B95188" w:rsidP="00B95188">
      <w:pPr>
        <w:pStyle w:val="a0"/>
      </w:pPr>
      <w:r w:rsidRPr="00A428C3">
        <w:t>Hazardous</w:t>
      </w:r>
      <w:r w:rsidR="00F81221">
        <w:t xml:space="preserve"> and </w:t>
      </w:r>
      <w:r w:rsidRPr="00A428C3">
        <w:t>Industrial Wastes: Proceeding of the Mid-Alantic Industrial Wastes</w:t>
      </w:r>
    </w:p>
    <w:p w:rsidR="00B95188" w:rsidRPr="00A428C3" w:rsidRDefault="00B95188" w:rsidP="00B95188">
      <w:pPr>
        <w:pStyle w:val="a0"/>
      </w:pPr>
      <w:r w:rsidRPr="00A428C3">
        <w:t>Nonavinakere, S.</w:t>
      </w:r>
      <w:r w:rsidR="00F81221">
        <w:t xml:space="preserve"> and </w:t>
      </w:r>
      <w:r w:rsidRPr="00A428C3">
        <w:t xml:space="preserve">Reed, B.E. (1996), Fly ash enhanced metal removal process. </w:t>
      </w:r>
      <w:r w:rsidRPr="00A428C3">
        <w:rPr>
          <w:i/>
        </w:rPr>
        <w:t>Hazardous</w:t>
      </w:r>
      <w:r w:rsidR="00F81221">
        <w:rPr>
          <w:i/>
        </w:rPr>
        <w:t xml:space="preserve"> and </w:t>
      </w:r>
      <w:r w:rsidRPr="00A428C3">
        <w:rPr>
          <w:i/>
        </w:rPr>
        <w:t>Industrial Wastes</w:t>
      </w:r>
      <w:r w:rsidRPr="00A428C3">
        <w:t xml:space="preserve">, </w:t>
      </w:r>
      <w:r w:rsidRPr="00A428C3">
        <w:rPr>
          <w:b/>
        </w:rPr>
        <w:t>27</w:t>
      </w:r>
      <w:r w:rsidRPr="00A428C3">
        <w:t>, 588-599.</w:t>
      </w:r>
    </w:p>
    <w:p w:rsidR="00B95188" w:rsidRPr="00A428C3" w:rsidRDefault="00B95188" w:rsidP="00B95188">
      <w:pPr>
        <w:pStyle w:val="1"/>
      </w:pPr>
      <w:r w:rsidRPr="00A428C3">
        <w:br w:type="page"/>
      </w:r>
      <w:bookmarkStart w:id="459" w:name="_Toc487190689"/>
      <w:bookmarkStart w:id="460" w:name="_Toc487882193"/>
      <w:bookmarkStart w:id="461" w:name="_Toc490688000"/>
      <w:bookmarkStart w:id="462" w:name="_Toc492807661"/>
      <w:bookmarkStart w:id="463" w:name="_Toc186647752"/>
      <w:bookmarkStart w:id="464" w:name="_Toc317160978"/>
      <w:r w:rsidRPr="00A428C3">
        <w:lastRenderedPageBreak/>
        <w:t>Title: Hazardous Waste Consultant</w:t>
      </w:r>
      <w:bookmarkEnd w:id="459"/>
      <w:bookmarkEnd w:id="460"/>
      <w:bookmarkEnd w:id="461"/>
      <w:bookmarkEnd w:id="462"/>
      <w:bookmarkEnd w:id="463"/>
      <w:bookmarkEnd w:id="464"/>
    </w:p>
    <w:p w:rsidR="00B95188" w:rsidRPr="00A428C3" w:rsidRDefault="00B95188" w:rsidP="00B72EF9">
      <w:pPr>
        <w:pStyle w:val="12"/>
      </w:pPr>
      <w:bookmarkStart w:id="465" w:name="Green"/>
      <w:r w:rsidRPr="00A428C3">
        <w:t xml:space="preserve">Full Journal Title: </w:t>
      </w:r>
      <w:hyperlink r:id="rId530" w:history="1">
        <w:r w:rsidRPr="00A428C3">
          <w:rPr>
            <w:rStyle w:val="a5"/>
          </w:rPr>
          <w:t>Hazardous Waste Consultant</w:t>
        </w:r>
      </w:hyperlink>
    </w:p>
    <w:p w:rsidR="00B95188" w:rsidRPr="00E24658" w:rsidRDefault="00B95188" w:rsidP="00B72EF9">
      <w:pPr>
        <w:pStyle w:val="12"/>
      </w:pPr>
      <w:r w:rsidRPr="00E24658">
        <w:t>ISO Abbreviated Title: Hazard. Waste Consult.</w:t>
      </w:r>
    </w:p>
    <w:p w:rsidR="00B95188" w:rsidRPr="00E24658" w:rsidRDefault="00B95188" w:rsidP="00B72EF9">
      <w:pPr>
        <w:pStyle w:val="12"/>
      </w:pPr>
      <w:r w:rsidRPr="00E24658">
        <w:t>JCR Abbreviated Title: Hazardous Waste Cons</w:t>
      </w:r>
    </w:p>
    <w:p w:rsidR="00B95188" w:rsidRPr="00E24658" w:rsidRDefault="00B95188" w:rsidP="00B72EF9">
      <w:pPr>
        <w:pStyle w:val="12"/>
      </w:pPr>
      <w:r w:rsidRPr="00E24658">
        <w:t>ISSN: 0738-0232</w:t>
      </w:r>
    </w:p>
    <w:p w:rsidR="00B95188" w:rsidRPr="00E24658" w:rsidRDefault="00B95188" w:rsidP="00B72EF9">
      <w:pPr>
        <w:pStyle w:val="12"/>
      </w:pPr>
      <w:r w:rsidRPr="00E24658">
        <w:t>Issues/Year: 7</w:t>
      </w:r>
    </w:p>
    <w:p w:rsidR="00B95188" w:rsidRPr="00E24658" w:rsidRDefault="00B95188" w:rsidP="00B72EF9">
      <w:pPr>
        <w:pStyle w:val="12"/>
      </w:pPr>
      <w:r w:rsidRPr="00E24658">
        <w:t>Journal Country/Territory: United States</w:t>
      </w:r>
    </w:p>
    <w:p w:rsidR="00B95188" w:rsidRPr="00E24658" w:rsidRDefault="00B95188" w:rsidP="00B72EF9">
      <w:pPr>
        <w:pStyle w:val="12"/>
      </w:pPr>
      <w:r w:rsidRPr="00E24658">
        <w:t>Language: English</w:t>
      </w:r>
    </w:p>
    <w:p w:rsidR="00B95188" w:rsidRPr="00E24658" w:rsidRDefault="00B95188" w:rsidP="00B72EF9">
      <w:pPr>
        <w:pStyle w:val="12"/>
      </w:pPr>
      <w:r w:rsidRPr="00E24658">
        <w:t>Publisher: Elsevier Science Inc</w:t>
      </w:r>
    </w:p>
    <w:p w:rsidR="00B95188" w:rsidRPr="00E24658" w:rsidRDefault="00B95188" w:rsidP="00B72EF9">
      <w:pPr>
        <w:pStyle w:val="12"/>
      </w:pPr>
      <w:r w:rsidRPr="00E24658">
        <w:t>Publisher Address: 655 Avenue of the Americas, New York, NY 10010</w:t>
      </w:r>
    </w:p>
    <w:p w:rsidR="00B95188" w:rsidRPr="00E24658" w:rsidRDefault="00B95188" w:rsidP="00B72EF9">
      <w:pPr>
        <w:pStyle w:val="12"/>
      </w:pPr>
      <w:r w:rsidRPr="00E24658">
        <w:t>Subject Categories:</w:t>
      </w:r>
    </w:p>
    <w:p w:rsidR="00B95188" w:rsidRPr="00E24658" w:rsidRDefault="00B95188" w:rsidP="00B72EF9">
      <w:pPr>
        <w:pStyle w:val="12"/>
      </w:pPr>
      <w:r w:rsidRPr="00E24658">
        <w:t xml:space="preserve">Engineering, Environmental: Impact Factor </w:t>
      </w:r>
    </w:p>
    <w:p w:rsidR="00B95188" w:rsidRPr="00A428C3" w:rsidRDefault="00B95188" w:rsidP="00B95188">
      <w:pPr>
        <w:pStyle w:val="a0"/>
      </w:pPr>
      <w:r w:rsidRPr="00A428C3">
        <w:rPr>
          <w:lang w:val="nl-NL"/>
        </w:rPr>
        <w:t>Green</w:t>
      </w:r>
      <w:bookmarkEnd w:id="465"/>
      <w:r w:rsidRPr="00A428C3">
        <w:rPr>
          <w:lang w:val="nl-NL"/>
        </w:rPr>
        <w:t xml:space="preserve">, D.H. </w:t>
      </w:r>
      <w:r w:rsidRPr="00A428C3">
        <w:rPr>
          <w:i/>
          <w:lang w:val="nl-NL"/>
        </w:rPr>
        <w:t>et al.</w:t>
      </w:r>
      <w:r w:rsidRPr="00A428C3">
        <w:rPr>
          <w:lang w:val="nl-NL"/>
        </w:rPr>
        <w:t xml:space="preserve"> </w:t>
      </w:r>
      <w:r w:rsidRPr="00A428C3">
        <w:t xml:space="preserve">(1994), Peat moss beads remove metals from waste-water. </w:t>
      </w:r>
      <w:r w:rsidRPr="00A428C3">
        <w:rPr>
          <w:i/>
        </w:rPr>
        <w:t>Hazardous Waste Consultant</w:t>
      </w:r>
      <w:r w:rsidRPr="00A428C3">
        <w:t xml:space="preserve">, </w:t>
      </w:r>
      <w:r w:rsidRPr="00A428C3">
        <w:rPr>
          <w:b/>
        </w:rPr>
        <w:t>12</w:t>
      </w:r>
      <w:r w:rsidRPr="00A428C3">
        <w:t xml:space="preserve"> (2), 1.19-1.21.</w:t>
      </w:r>
    </w:p>
    <w:p w:rsidR="00B95188" w:rsidRPr="00A428C3" w:rsidRDefault="00B95188" w:rsidP="00B95188">
      <w:pPr>
        <w:pStyle w:val="a0"/>
      </w:pPr>
      <w:r w:rsidRPr="00A428C3">
        <w:t xml:space="preserve">Full Text: </w:t>
      </w:r>
      <w:hyperlink r:id="rId531" w:history="1">
        <w:r w:rsidRPr="00A428C3">
          <w:rPr>
            <w:rStyle w:val="a5"/>
          </w:rPr>
          <w:t>H\Haz Was Con12, 1.19.pdf</w:t>
        </w:r>
      </w:hyperlink>
    </w:p>
    <w:p w:rsidR="00B95188" w:rsidRPr="00A428C3" w:rsidRDefault="00B95188" w:rsidP="00B95188">
      <w:pPr>
        <w:pStyle w:val="a0"/>
      </w:pPr>
      <w:r w:rsidRPr="00A428C3">
        <w:t>? (1994), New incinerator</w:t>
      </w:r>
      <w:r w:rsidR="00F81221">
        <w:t xml:space="preserve"> and </w:t>
      </w:r>
      <w:r w:rsidRPr="00A428C3">
        <w:t xml:space="preserve">furnace enhance hazardous-waste treatment capabilities at Canadian facility. </w:t>
      </w:r>
      <w:r w:rsidRPr="00A428C3">
        <w:rPr>
          <w:i/>
        </w:rPr>
        <w:t>Hazardous Waste Consultant</w:t>
      </w:r>
      <w:r w:rsidRPr="00A428C3">
        <w:t xml:space="preserve">, </w:t>
      </w:r>
      <w:r w:rsidRPr="00A428C3">
        <w:rPr>
          <w:b/>
        </w:rPr>
        <w:t>12</w:t>
      </w:r>
      <w:r w:rsidRPr="00A428C3">
        <w:t xml:space="preserve"> (1), A16-A20.</w:t>
      </w:r>
    </w:p>
    <w:p w:rsidR="00B95188" w:rsidRPr="00A428C3" w:rsidRDefault="00B95188" w:rsidP="00B95188">
      <w:pPr>
        <w:pStyle w:val="a0"/>
      </w:pPr>
      <w:r w:rsidRPr="00A428C3">
        <w:t>? Cooper, D.</w:t>
      </w:r>
      <w:r w:rsidR="00F81221">
        <w:t xml:space="preserve"> and </w:t>
      </w:r>
      <w:r w:rsidRPr="00A428C3">
        <w:t xml:space="preserve">Whittaker, H. (1994), New adsorption microfiltration method enhances arsenic removal from water. </w:t>
      </w:r>
      <w:r w:rsidRPr="00A428C3">
        <w:rPr>
          <w:i/>
        </w:rPr>
        <w:t>Hazardous Waste Consultant</w:t>
      </w:r>
      <w:r w:rsidRPr="00A428C3">
        <w:t xml:space="preserve">, </w:t>
      </w:r>
      <w:r w:rsidRPr="00A428C3">
        <w:rPr>
          <w:b/>
        </w:rPr>
        <w:t>12</w:t>
      </w:r>
      <w:r w:rsidRPr="00A428C3">
        <w:t xml:space="preserve"> (3), A3-A6.</w:t>
      </w:r>
    </w:p>
    <w:p w:rsidR="00B95188" w:rsidRPr="00A428C3" w:rsidRDefault="00B95188" w:rsidP="00B95188">
      <w:pPr>
        <w:pStyle w:val="a0"/>
      </w:pPr>
      <w:r w:rsidRPr="00A428C3">
        <w:t xml:space="preserve">? (1994), EPA provides guidance on estimating health risks from incinerator emissions. </w:t>
      </w:r>
      <w:r w:rsidRPr="00A428C3">
        <w:rPr>
          <w:i/>
        </w:rPr>
        <w:t>Hazardous Waste Consultant</w:t>
      </w:r>
      <w:r w:rsidRPr="00A428C3">
        <w:t xml:space="preserve">, </w:t>
      </w:r>
      <w:r w:rsidRPr="00A428C3">
        <w:rPr>
          <w:b/>
        </w:rPr>
        <w:t>12</w:t>
      </w:r>
      <w:r w:rsidRPr="00A428C3">
        <w:t xml:space="preserve"> (3), D21-D23.</w:t>
      </w:r>
    </w:p>
    <w:p w:rsidR="00B95188" w:rsidRPr="00A428C3" w:rsidRDefault="00B95188" w:rsidP="00B95188">
      <w:pPr>
        <w:pStyle w:val="a0"/>
      </w:pPr>
      <w:r w:rsidRPr="00A428C3">
        <w:t>? (1994), Hydrogen-peroxide or ozone injection may improve incinerator DRE without boosting NO</w:t>
      </w:r>
      <w:r w:rsidRPr="00A428C3">
        <w:rPr>
          <w:vertAlign w:val="subscript"/>
        </w:rPr>
        <w:t>X</w:t>
      </w:r>
      <w:r w:rsidRPr="00A428C3">
        <w:t xml:space="preserve">. </w:t>
      </w:r>
      <w:r w:rsidRPr="00A428C3">
        <w:rPr>
          <w:i/>
        </w:rPr>
        <w:t>Hazardous Waste Consultant</w:t>
      </w:r>
      <w:r w:rsidRPr="00A428C3">
        <w:t xml:space="preserve">, </w:t>
      </w:r>
      <w:r w:rsidRPr="00A428C3">
        <w:rPr>
          <w:b/>
        </w:rPr>
        <w:t>12</w:t>
      </w:r>
      <w:r w:rsidRPr="00A428C3">
        <w:t xml:space="preserve"> (4), A36-A37.</w:t>
      </w:r>
    </w:p>
    <w:p w:rsidR="00B95188" w:rsidRPr="00A428C3" w:rsidRDefault="00B95188" w:rsidP="00B95188">
      <w:pPr>
        <w:pStyle w:val="a0"/>
      </w:pPr>
      <w:r w:rsidRPr="00A428C3">
        <w:t xml:space="preserve">? (1994), Risk assessment plan for WTI incinerator reviewed. </w:t>
      </w:r>
      <w:r w:rsidRPr="00A428C3">
        <w:rPr>
          <w:i/>
        </w:rPr>
        <w:t>Hazardous Waste Consultant</w:t>
      </w:r>
      <w:r w:rsidRPr="00A428C3">
        <w:t xml:space="preserve">, </w:t>
      </w:r>
      <w:r w:rsidRPr="00A428C3">
        <w:rPr>
          <w:b/>
        </w:rPr>
        <w:t>12</w:t>
      </w:r>
      <w:r w:rsidRPr="00A428C3">
        <w:t xml:space="preserve"> (4), B28.</w:t>
      </w:r>
    </w:p>
    <w:p w:rsidR="00B95188" w:rsidRPr="00A428C3" w:rsidRDefault="00B95188" w:rsidP="00B95188">
      <w:pPr>
        <w:pStyle w:val="a0"/>
      </w:pPr>
      <w:r w:rsidRPr="00A428C3">
        <w:t xml:space="preserve">? (1994), Supreme-court rules municipal incinerator ash is not exempt from RCRA. </w:t>
      </w:r>
      <w:r w:rsidRPr="00A428C3">
        <w:rPr>
          <w:i/>
        </w:rPr>
        <w:t>Hazardous Waste Consultant</w:t>
      </w:r>
      <w:r w:rsidRPr="00A428C3">
        <w:t xml:space="preserve">, </w:t>
      </w:r>
      <w:r w:rsidRPr="00A428C3">
        <w:rPr>
          <w:b/>
        </w:rPr>
        <w:t>12</w:t>
      </w:r>
      <w:r w:rsidRPr="00A428C3">
        <w:t xml:space="preserve"> (4), C1-C3.</w:t>
      </w:r>
    </w:p>
    <w:p w:rsidR="00B95188" w:rsidRPr="00A428C3" w:rsidRDefault="00B95188" w:rsidP="00B95188">
      <w:pPr>
        <w:pStyle w:val="a0"/>
      </w:pPr>
      <w:r w:rsidRPr="00A428C3">
        <w:t>? Price, J.</w:t>
      </w:r>
      <w:r w:rsidR="00F81221">
        <w:t xml:space="preserve"> and </w:t>
      </w:r>
      <w:r w:rsidRPr="00A428C3">
        <w:t xml:space="preserve">Sinback, T. (1994), Westinghouse incinerator destroys dioxins with support of local-community. </w:t>
      </w:r>
      <w:r w:rsidRPr="00A428C3">
        <w:rPr>
          <w:i/>
        </w:rPr>
        <w:t>Hazardous Waste Consultant</w:t>
      </w:r>
      <w:r w:rsidRPr="00A428C3">
        <w:t xml:space="preserve">, </w:t>
      </w:r>
      <w:r w:rsidRPr="00A428C3">
        <w:rPr>
          <w:b/>
        </w:rPr>
        <w:t>12</w:t>
      </w:r>
      <w:r w:rsidRPr="00A428C3">
        <w:t xml:space="preserve"> (5), A5-A8.</w:t>
      </w:r>
    </w:p>
    <w:p w:rsidR="00B95188" w:rsidRPr="00A428C3" w:rsidRDefault="00B95188" w:rsidP="00B95188">
      <w:pPr>
        <w:pStyle w:val="a0"/>
      </w:pPr>
      <w:r w:rsidRPr="00A428C3">
        <w:t>? (1994), More BIF</w:t>
      </w:r>
      <w:r w:rsidR="00F81221">
        <w:t xml:space="preserve"> and </w:t>
      </w:r>
      <w:r w:rsidRPr="00A428C3">
        <w:t xml:space="preserve">incinerator violations cited, settled. </w:t>
      </w:r>
      <w:r w:rsidRPr="00A428C3">
        <w:rPr>
          <w:i/>
        </w:rPr>
        <w:t>Hazardous Waste Consultant</w:t>
      </w:r>
      <w:r w:rsidRPr="00A428C3">
        <w:t xml:space="preserve">, </w:t>
      </w:r>
      <w:r w:rsidRPr="00A428C3">
        <w:rPr>
          <w:b/>
        </w:rPr>
        <w:t>12</w:t>
      </w:r>
      <w:r w:rsidRPr="00A428C3">
        <w:t xml:space="preserve"> (5), C7-C11.</w:t>
      </w:r>
    </w:p>
    <w:p w:rsidR="00B95188" w:rsidRPr="00A428C3" w:rsidRDefault="00B95188" w:rsidP="00B95188">
      <w:pPr>
        <w:pStyle w:val="a0"/>
      </w:pPr>
      <w:r w:rsidRPr="00A428C3">
        <w:t xml:space="preserve">? (1994), Solid-waste equipment used to process incinerator feed. </w:t>
      </w:r>
      <w:r w:rsidRPr="00A428C3">
        <w:rPr>
          <w:i/>
        </w:rPr>
        <w:t>Hazardous Waste Consultant</w:t>
      </w:r>
      <w:r w:rsidRPr="00A428C3">
        <w:t xml:space="preserve">, </w:t>
      </w:r>
      <w:r w:rsidRPr="00A428C3">
        <w:rPr>
          <w:b/>
        </w:rPr>
        <w:t>12</w:t>
      </w:r>
      <w:r w:rsidRPr="00A428C3">
        <w:t xml:space="preserve"> (7), A35-A37.</w:t>
      </w:r>
    </w:p>
    <w:p w:rsidR="00B95188" w:rsidRPr="00A428C3" w:rsidRDefault="00B95188" w:rsidP="00B95188">
      <w:pPr>
        <w:pStyle w:val="a0"/>
      </w:pPr>
      <w:r w:rsidRPr="00A428C3">
        <w:t xml:space="preserve">(1997), First explosives-only incinerator in commercial operation. </w:t>
      </w:r>
      <w:r w:rsidRPr="00A428C3">
        <w:rPr>
          <w:i/>
        </w:rPr>
        <w:t>Hazardous Waste Consultant</w:t>
      </w:r>
      <w:r w:rsidRPr="00A428C3">
        <w:t xml:space="preserve">, </w:t>
      </w:r>
      <w:r w:rsidRPr="00A428C3">
        <w:rPr>
          <w:b/>
        </w:rPr>
        <w:t>15</w:t>
      </w:r>
      <w:r w:rsidRPr="00A428C3">
        <w:t xml:space="preserve"> (1), A8-A10.</w:t>
      </w:r>
    </w:p>
    <w:p w:rsidR="00B95188" w:rsidRPr="00A428C3" w:rsidRDefault="00B95188" w:rsidP="00B95188">
      <w:pPr>
        <w:pStyle w:val="a0"/>
      </w:pPr>
      <w:r w:rsidRPr="00A428C3">
        <w:t xml:space="preserve">Full Text: </w:t>
      </w:r>
      <w:hyperlink r:id="rId532" w:history="1">
        <w:r w:rsidRPr="00A428C3">
          <w:rPr>
            <w:rStyle w:val="a5"/>
          </w:rPr>
          <w:t>H\Haz Was Con15, A8.pdf</w:t>
        </w:r>
      </w:hyperlink>
    </w:p>
    <w:p w:rsidR="00B95188" w:rsidRPr="00A428C3" w:rsidRDefault="00B95188" w:rsidP="00B95188">
      <w:pPr>
        <w:pStyle w:val="a0"/>
      </w:pPr>
      <w:r w:rsidRPr="00A428C3">
        <w:t xml:space="preserve">? (1999), Supercritical water oxidation offers viable alternative to incinerator upgrade. </w:t>
      </w:r>
      <w:r w:rsidRPr="00A428C3">
        <w:rPr>
          <w:i/>
        </w:rPr>
        <w:lastRenderedPageBreak/>
        <w:t>Hazardous Waste Consultant</w:t>
      </w:r>
      <w:r w:rsidRPr="00A428C3">
        <w:t xml:space="preserve">, </w:t>
      </w:r>
      <w:r w:rsidRPr="00A428C3">
        <w:rPr>
          <w:b/>
        </w:rPr>
        <w:t>17</w:t>
      </w:r>
      <w:r w:rsidRPr="00A428C3">
        <w:t xml:space="preserve"> (1), A11-A13.</w:t>
      </w:r>
    </w:p>
    <w:p w:rsidR="001776BA" w:rsidRPr="00A428C3" w:rsidRDefault="001776BA" w:rsidP="001776BA">
      <w:pPr>
        <w:pStyle w:val="a0"/>
      </w:pPr>
      <w:r w:rsidRPr="00A428C3">
        <w:t xml:space="preserve">Full Text: </w:t>
      </w:r>
      <w:hyperlink r:id="rId533" w:history="1">
        <w:r w:rsidRPr="001776BA">
          <w:rPr>
            <w:rStyle w:val="a5"/>
          </w:rPr>
          <w:t>1999\Haz Was Con17, A11.pdf</w:t>
        </w:r>
      </w:hyperlink>
    </w:p>
    <w:p w:rsidR="00B95188" w:rsidRPr="00A428C3" w:rsidRDefault="00B95188" w:rsidP="00B95188">
      <w:pPr>
        <w:pStyle w:val="1"/>
      </w:pPr>
      <w:r w:rsidRPr="00A428C3">
        <w:br w:type="page"/>
      </w:r>
      <w:bookmarkStart w:id="466" w:name="_Toc487190690"/>
      <w:bookmarkStart w:id="467" w:name="_Toc487882194"/>
      <w:bookmarkStart w:id="468" w:name="_Toc490688001"/>
      <w:bookmarkStart w:id="469" w:name="_Toc492807662"/>
      <w:bookmarkStart w:id="470" w:name="_Toc186647753"/>
      <w:bookmarkStart w:id="471" w:name="_Toc317160979"/>
      <w:r w:rsidRPr="00A428C3">
        <w:lastRenderedPageBreak/>
        <w:t>Title: Hazardous Waste &amp; Hazardous Materials</w:t>
      </w:r>
      <w:bookmarkEnd w:id="466"/>
      <w:bookmarkEnd w:id="467"/>
      <w:bookmarkEnd w:id="468"/>
      <w:bookmarkEnd w:id="469"/>
      <w:bookmarkEnd w:id="470"/>
      <w:bookmarkEnd w:id="471"/>
    </w:p>
    <w:p w:rsidR="00B95188" w:rsidRPr="00A428C3" w:rsidRDefault="00B95188" w:rsidP="00B72EF9">
      <w:pPr>
        <w:pStyle w:val="12"/>
      </w:pPr>
      <w:r w:rsidRPr="00A428C3">
        <w:t>Full Journal Title: Hazardous Waste &amp; Hazardous Materials</w:t>
      </w:r>
    </w:p>
    <w:p w:rsidR="00B95188" w:rsidRPr="00A428C3" w:rsidRDefault="00B95188" w:rsidP="00B72EF9">
      <w:pPr>
        <w:pStyle w:val="12"/>
      </w:pPr>
      <w:r w:rsidRPr="00A428C3">
        <w:t>ISO Abbreviated Title: Hazard. Waste Hazard. Mater.</w:t>
      </w:r>
    </w:p>
    <w:p w:rsidR="00B95188" w:rsidRPr="00A428C3" w:rsidRDefault="00B95188" w:rsidP="00B72EF9">
      <w:pPr>
        <w:pStyle w:val="12"/>
      </w:pPr>
      <w:r w:rsidRPr="00A428C3">
        <w:t>JCR Abbreviated Title: Hazard Waste Hazard Mater</w:t>
      </w:r>
    </w:p>
    <w:p w:rsidR="00B95188" w:rsidRPr="00A428C3" w:rsidRDefault="00B95188" w:rsidP="00B72EF9">
      <w:pPr>
        <w:pStyle w:val="12"/>
      </w:pPr>
      <w:r w:rsidRPr="00A428C3">
        <w:t>ISSN: 0882-5696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Publisher: Mary Ann Liebert Inc Publ, Larchmont</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Khan, J.A., Pal, D.</w:t>
      </w:r>
      <w:r w:rsidR="00F81221">
        <w:t xml:space="preserve"> and </w:t>
      </w:r>
      <w:r w:rsidRPr="00A428C3">
        <w:t xml:space="preserve">Morse, J.S. (1993), Numerical modeling of a rotary kiln incinerator. </w:t>
      </w:r>
      <w:r w:rsidRPr="00A428C3">
        <w:rPr>
          <w:i/>
        </w:rPr>
        <w:t>Hazardous Waste &amp; Hazardous Materials</w:t>
      </w:r>
      <w:r w:rsidRPr="00A428C3">
        <w:t xml:space="preserve">, </w:t>
      </w:r>
      <w:r w:rsidRPr="00A428C3">
        <w:rPr>
          <w:b/>
        </w:rPr>
        <w:t>10</w:t>
      </w:r>
      <w:r w:rsidRPr="00A428C3">
        <w:t xml:space="preserve"> (1), 81-95.</w:t>
      </w:r>
    </w:p>
    <w:p w:rsidR="00B95188" w:rsidRPr="00A428C3" w:rsidRDefault="00B95188" w:rsidP="00B95188">
      <w:pPr>
        <w:pStyle w:val="a0"/>
      </w:pPr>
      <w:r w:rsidRPr="00A428C3">
        <w:t>Abstract: A computational modelling study is performed for a full-scale rotary kiln incinerator, using the commercial fluid mechanics code FLUENT. The coordinate system is three-dimensional,</w:t>
      </w:r>
      <w:r w:rsidR="00F81221">
        <w:t xml:space="preserve"> and </w:t>
      </w:r>
      <w:r w:rsidRPr="00A428C3">
        <w:t>turbulence</w:t>
      </w:r>
      <w:r w:rsidR="00F81221">
        <w:t xml:space="preserve"> and </w:t>
      </w:r>
      <w:r w:rsidRPr="00A428C3">
        <w:t>buoyancy are also modelled. A global one-step reaction is used for methane combustion. Heat transfer modelling is limited to conduction</w:t>
      </w:r>
      <w:r w:rsidR="00F81221">
        <w:t xml:space="preserve"> and </w:t>
      </w:r>
      <w:r w:rsidRPr="00A428C3">
        <w:t>convection. The leak air locations</w:t>
      </w:r>
      <w:r w:rsidR="00F81221">
        <w:t xml:space="preserve"> and </w:t>
      </w:r>
      <w:r w:rsidRPr="00A428C3">
        <w:t>flowrates, as well as the heat flux at the kiln walls are varied to study their effects on the kiln operation. A comparison is made with full-scale kiln data [1-3],</w:t>
      </w:r>
      <w:r w:rsidR="00F81221">
        <w:t xml:space="preserve"> and </w:t>
      </w:r>
      <w:r w:rsidRPr="00A428C3">
        <w:t>good qualitative agreement is reached. The issue of grid dependence is addressed but not resolved.</w:t>
      </w:r>
    </w:p>
    <w:p w:rsidR="00B95188" w:rsidRPr="00A428C3" w:rsidRDefault="00B95188" w:rsidP="00B95188">
      <w:pPr>
        <w:pStyle w:val="a0"/>
      </w:pPr>
      <w:r w:rsidRPr="00A428C3">
        <w:t>Chen, K.S., Tu, J.T.</w:t>
      </w:r>
      <w:r w:rsidR="00F81221">
        <w:t xml:space="preserve"> and </w:t>
      </w:r>
      <w:r w:rsidRPr="00A428C3">
        <w:t>Chang, Y.R. (1993), Simulation of steady-state heat</w:t>
      </w:r>
      <w:r w:rsidR="00F81221">
        <w:t xml:space="preserve"> and </w:t>
      </w:r>
      <w:r w:rsidRPr="00A428C3">
        <w:t xml:space="preserve">mass-transfer in a rotary kiln incinerator. </w:t>
      </w:r>
      <w:r w:rsidRPr="00A428C3">
        <w:rPr>
          <w:i/>
        </w:rPr>
        <w:t>Hazardous Waste &amp; Hazardous Materials</w:t>
      </w:r>
      <w:r w:rsidRPr="00A428C3">
        <w:t xml:space="preserve">, </w:t>
      </w:r>
      <w:r w:rsidRPr="00A428C3">
        <w:rPr>
          <w:b/>
        </w:rPr>
        <w:t>10</w:t>
      </w:r>
      <w:r w:rsidRPr="00A428C3">
        <w:t xml:space="preserve"> (4), 397-411.</w:t>
      </w:r>
    </w:p>
    <w:p w:rsidR="00B95188" w:rsidRPr="00A428C3" w:rsidRDefault="00B95188" w:rsidP="00B95188">
      <w:pPr>
        <w:pStyle w:val="a0"/>
      </w:pPr>
      <w:r w:rsidRPr="00A428C3">
        <w:t>Abstract: Simulation is presented for steady-state heat</w:t>
      </w:r>
      <w:r w:rsidR="00F81221">
        <w:t xml:space="preserve"> and </w:t>
      </w:r>
      <w:r w:rsidRPr="00A428C3">
        <w:t>mass transfer in the combustion chamber of a rotary kiln. The gas-phase region in the chamber is divided into 3x8x4 computational volumes in r-, theta-,</w:t>
      </w:r>
      <w:r w:rsidR="00F81221">
        <w:t xml:space="preserve"> and </w:t>
      </w:r>
      <w:r w:rsidRPr="00A428C3">
        <w:t>z-coordinates, respectively. Conservations of mass</w:t>
      </w:r>
      <w:r w:rsidR="00F81221">
        <w:t xml:space="preserve"> and </w:t>
      </w:r>
      <w:r w:rsidRPr="00A428C3">
        <w:t>energy are formulated in each volume, in which convection</w:t>
      </w:r>
      <w:r w:rsidR="00F81221">
        <w:t xml:space="preserve"> and </w:t>
      </w:r>
      <w:r w:rsidRPr="00A428C3">
        <w:t>radiation transfers coupled with energy balance</w:t>
      </w:r>
      <w:r w:rsidR="00F81221">
        <w:t xml:space="preserve"> and </w:t>
      </w:r>
      <w:r w:rsidRPr="00A428C3">
        <w:t>volatilization of waste bed are considered with plug flow model. The volatilization rate of wastes is considered by using the volatilization model for a mixture of cellulose</w:t>
      </w:r>
      <w:r w:rsidR="00F81221">
        <w:t xml:space="preserve"> and </w:t>
      </w:r>
      <w:r w:rsidRPr="00A428C3">
        <w:t>toluene. The governing equations for all computation cells together with the boundary</w:t>
      </w:r>
      <w:r w:rsidR="00F81221">
        <w:t xml:space="preserve"> and </w:t>
      </w:r>
      <w:r w:rsidRPr="00A428C3">
        <w:t>auxiliary conditions constitute a nonlinear system of equations</w:t>
      </w:r>
      <w:r w:rsidR="00F81221">
        <w:t xml:space="preserve"> and </w:t>
      </w:r>
      <w:r w:rsidRPr="00A428C3">
        <w:t>are solved numerically. Effects of percentage excess air, rotation speed</w:t>
      </w:r>
      <w:r w:rsidR="00F81221">
        <w:t xml:space="preserve"> and </w:t>
      </w:r>
      <w:r w:rsidRPr="00A428C3">
        <w:t>inclination angle of the kiln at a fixed waste loading level are examined</w:t>
      </w:r>
      <w:r w:rsidR="00F81221">
        <w:t xml:space="preserve"> and </w:t>
      </w:r>
      <w:r w:rsidRPr="00A428C3">
        <w:t>discussed. Comparisons between two waste volatilization models are also made.</w:t>
      </w:r>
    </w:p>
    <w:p w:rsidR="00B95188" w:rsidRPr="00A428C3" w:rsidRDefault="00B95188" w:rsidP="00B95188">
      <w:pPr>
        <w:pStyle w:val="a0"/>
      </w:pPr>
      <w:r w:rsidRPr="00A428C3">
        <w:lastRenderedPageBreak/>
        <w:t>Cowley, R.J., Gallagher, B.P.</w:t>
      </w:r>
      <w:r w:rsidR="00F81221">
        <w:t xml:space="preserve"> and </w:t>
      </w:r>
      <w:r w:rsidRPr="00A428C3">
        <w:t>Nee, B.M. (1994), Development</w:t>
      </w:r>
      <w:r w:rsidR="00F81221">
        <w:t xml:space="preserve"> and </w:t>
      </w:r>
      <w:r w:rsidRPr="00A428C3">
        <w:t xml:space="preserve">execution of a metals pretest program for a hazardous waste incinerator. </w:t>
      </w:r>
      <w:r w:rsidRPr="00A428C3">
        <w:rPr>
          <w:i/>
        </w:rPr>
        <w:t>Hazardous Waste &amp; Hazardous Materials</w:t>
      </w:r>
      <w:r w:rsidRPr="00A428C3">
        <w:t xml:space="preserve">, </w:t>
      </w:r>
      <w:r w:rsidRPr="00A428C3">
        <w:rPr>
          <w:b/>
        </w:rPr>
        <w:t>11</w:t>
      </w:r>
      <w:r w:rsidRPr="00A428C3">
        <w:t xml:space="preserve"> (1), 31-51.</w:t>
      </w:r>
    </w:p>
    <w:p w:rsidR="00B95188" w:rsidRPr="00A428C3" w:rsidRDefault="00B95188" w:rsidP="00B95188">
      <w:pPr>
        <w:pStyle w:val="a0"/>
      </w:pPr>
      <w:r w:rsidRPr="00A428C3">
        <w:t>Abstract: Eastman Kodak Company owns</w:t>
      </w:r>
      <w:r w:rsidR="00F81221">
        <w:t xml:space="preserve"> and </w:t>
      </w:r>
      <w:r w:rsidRPr="00A428C3">
        <w:t xml:space="preserve">operates a hazardous waste incinerator at the Kodak Park Site facility, located in </w:t>
      </w:r>
      <w:smartTag w:uri="urn:schemas-microsoft-com:office:smarttags" w:element="place">
        <w:smartTag w:uri="urn:schemas-microsoft-com:office:smarttags" w:element="City">
          <w:r w:rsidRPr="00A428C3">
            <w:t>Rochester</w:t>
          </w:r>
        </w:smartTag>
        <w:r w:rsidRPr="00A428C3">
          <w:t xml:space="preserve">, </w:t>
        </w:r>
        <w:smartTag w:uri="urn:schemas-microsoft-com:office:smarttags" w:element="State">
          <w:r w:rsidRPr="00A428C3">
            <w:t>New York</w:t>
          </w:r>
        </w:smartTag>
      </w:smartTag>
      <w:r w:rsidRPr="00A428C3">
        <w:t>. The incinerator consists of a rotary kiln followed by a secondary combustion chamber. Particulate</w:t>
      </w:r>
      <w:r w:rsidR="00F81221">
        <w:t xml:space="preserve"> and </w:t>
      </w:r>
      <w:r w:rsidRPr="00A428C3">
        <w:t>HCI control is provided by a quench chamber</w:t>
      </w:r>
      <w:r w:rsidR="00F81221">
        <w:t xml:space="preserve"> and </w:t>
      </w:r>
      <w:r w:rsidRPr="00A428C3">
        <w:t>a venturi scrubber. In May, 1991, a Trial Burn Plan was submitted for the incinerator as part of the NYS Hazardous Waste Management Facility Permit Application process. A key requirement of the Trial Burn was to demonstrate the hazardous waste incinerator</w:t>
      </w:r>
      <w:r w:rsidR="000352E7">
        <w:t>’</w:t>
      </w:r>
      <w:r w:rsidRPr="00A428C3">
        <w:t>s ability to control heavy metal emissions. To achieve this, an aqueous metals test protocol was developed to evaluate the incinerator</w:t>
      </w:r>
      <w:r w:rsidR="000352E7">
        <w:t>’</w:t>
      </w:r>
      <w:r w:rsidRPr="00A428C3">
        <w:t>s metals control capability under worst case conditions. Prior to the actual Trial Burn, an extensive metals pretest program was conducted at the facility to evaluate the incinerator metals control capability as a function of metal species, metals feedrate, waste chlorine content</w:t>
      </w:r>
      <w:r w:rsidR="00F81221">
        <w:t xml:space="preserve"> and </w:t>
      </w:r>
      <w:r w:rsidRPr="00A428C3">
        <w:t>combustion chamber temperatures. As a result of this program it was demonstrated that the high pressure differential venturi scrubber effectively controls emissions of heavy metals to levels prescribed in USEPA Guidance. Also, the program demonstrated the impact that combustion chamber temperatures</w:t>
      </w:r>
      <w:r w:rsidR="00F81221">
        <w:t xml:space="preserve"> and </w:t>
      </w:r>
      <w:r w:rsidRPr="00A428C3">
        <w:t>waste chlorine content have on incinerator metals control capability.</w:t>
      </w:r>
    </w:p>
    <w:p w:rsidR="00B95188" w:rsidRPr="00A428C3" w:rsidRDefault="00B95188" w:rsidP="00B95188">
      <w:pPr>
        <w:pStyle w:val="a0"/>
      </w:pPr>
      <w:r w:rsidRPr="00A428C3">
        <w:t>Ho, T.C., Lee, H.T., Kuo, T.H., Chen, D.</w:t>
      </w:r>
      <w:r w:rsidR="00F81221">
        <w:t xml:space="preserve"> and </w:t>
      </w:r>
      <w:r w:rsidRPr="00A428C3">
        <w:t>Bostick, W.D. (1994), Analysis of incinerator performance</w:t>
      </w:r>
      <w:r w:rsidR="00F81221">
        <w:t xml:space="preserve"> and </w:t>
      </w:r>
      <w:r w:rsidRPr="00A428C3">
        <w:t>metal emissions from recent trial</w:t>
      </w:r>
      <w:r w:rsidR="00F81221">
        <w:t xml:space="preserve"> and </w:t>
      </w:r>
      <w:r w:rsidRPr="00A428C3">
        <w:t xml:space="preserve">test burns. </w:t>
      </w:r>
      <w:r w:rsidRPr="00A428C3">
        <w:rPr>
          <w:i/>
        </w:rPr>
        <w:t>Hazardous Waste &amp; Hazardous Materials</w:t>
      </w:r>
      <w:r w:rsidRPr="00A428C3">
        <w:t xml:space="preserve">, </w:t>
      </w:r>
      <w:r w:rsidRPr="00A428C3">
        <w:rPr>
          <w:b/>
        </w:rPr>
        <w:t>11</w:t>
      </w:r>
      <w:r w:rsidRPr="00A428C3">
        <w:t xml:space="preserve"> (1), 53-70.</w:t>
      </w:r>
    </w:p>
    <w:p w:rsidR="00B95188" w:rsidRPr="00A428C3" w:rsidRDefault="00B95188" w:rsidP="00B95188">
      <w:pPr>
        <w:pStyle w:val="a0"/>
      </w:pPr>
      <w:r w:rsidRPr="00A428C3">
        <w:t>Abstract: Recent trial-and test-burn data from five rotary kiln incinerator facilities were analyzed for combustion performance</w:t>
      </w:r>
      <w:r w:rsidR="00F81221">
        <w:t xml:space="preserve"> and </w:t>
      </w:r>
      <w:r w:rsidRPr="00A428C3">
        <w:rPr>
          <w:b/>
        </w:rPr>
        <w:t>metal</w:t>
      </w:r>
      <w:r w:rsidRPr="00A428C3">
        <w:t xml:space="preserve"> </w:t>
      </w:r>
      <w:r w:rsidRPr="00A428C3">
        <w:rPr>
          <w:b/>
        </w:rPr>
        <w:t>emissions</w:t>
      </w:r>
      <w:r w:rsidRPr="00A428C3">
        <w:t>. The incinerator facilities examined included: DuPont</w:t>
      </w:r>
      <w:r w:rsidR="000352E7">
        <w:t>’</w:t>
      </w:r>
      <w:r w:rsidRPr="00A428C3">
        <w:t xml:space="preserve">s Gulf Coast Regional Waste Incinerator in </w:t>
      </w:r>
      <w:smartTag w:uri="urn:schemas-microsoft-com:office:smarttags" w:element="City">
        <w:r w:rsidRPr="00A428C3">
          <w:t>Orange</w:t>
        </w:r>
      </w:smartTag>
      <w:r w:rsidRPr="00A428C3">
        <w:t xml:space="preserve">, </w:t>
      </w:r>
      <w:smartTag w:uri="urn:schemas-microsoft-com:office:smarttags" w:element="State">
        <w:r w:rsidRPr="00A428C3">
          <w:t>Texas</w:t>
        </w:r>
      </w:smartTag>
      <w:r w:rsidRPr="00A428C3">
        <w:t>; Chemical Waste Management</w:t>
      </w:r>
      <w:r w:rsidR="000352E7">
        <w:t>’</w:t>
      </w:r>
      <w:r w:rsidRPr="00A428C3">
        <w:t xml:space="preserve">s Incinerator in </w:t>
      </w:r>
      <w:smartTag w:uri="urn:schemas-microsoft-com:office:smarttags" w:element="City">
        <w:r w:rsidRPr="00A428C3">
          <w:t>Port Arthur</w:t>
        </w:r>
      </w:smartTag>
      <w:r w:rsidRPr="00A428C3">
        <w:t xml:space="preserve">, </w:t>
      </w:r>
      <w:smartTag w:uri="urn:schemas-microsoft-com:office:smarttags" w:element="State">
        <w:r w:rsidRPr="00A428C3">
          <w:t>Texas</w:t>
        </w:r>
      </w:smartTag>
      <w:r w:rsidRPr="00A428C3">
        <w:t>; Rollins Environmental Service</w:t>
      </w:r>
      <w:r w:rsidR="000352E7">
        <w:t>’</w:t>
      </w:r>
      <w:r w:rsidRPr="00A428C3">
        <w:t xml:space="preserve">s Incinerator in </w:t>
      </w:r>
      <w:smartTag w:uri="urn:schemas-microsoft-com:office:smarttags" w:element="City">
        <w:r w:rsidRPr="00A428C3">
          <w:t>Deer Park</w:t>
        </w:r>
      </w:smartTag>
      <w:r w:rsidRPr="00A428C3">
        <w:t xml:space="preserve">, </w:t>
      </w:r>
      <w:smartTag w:uri="urn:schemas-microsoft-com:office:smarttags" w:element="State">
        <w:r w:rsidRPr="00A428C3">
          <w:t>Texas</w:t>
        </w:r>
      </w:smartTag>
      <w:r w:rsidRPr="00A428C3">
        <w:t>; Martin Marietta</w:t>
      </w:r>
      <w:r w:rsidR="000352E7">
        <w:t>’</w:t>
      </w:r>
      <w:r w:rsidRPr="00A428C3">
        <w:t xml:space="preserve">s TSCA Incinerator in </w:t>
      </w:r>
      <w:smartTag w:uri="urn:schemas-microsoft-com:office:smarttags" w:element="City">
        <w:r w:rsidRPr="00A428C3">
          <w:t>Oak Ridge</w:t>
        </w:r>
      </w:smartTag>
      <w:r w:rsidRPr="00A428C3">
        <w:t xml:space="preserve">, </w:t>
      </w:r>
      <w:smartTag w:uri="urn:schemas-microsoft-com:office:smarttags" w:element="State">
        <w:r w:rsidRPr="00A428C3">
          <w:t>Tennessee</w:t>
        </w:r>
      </w:smartTag>
      <w:r w:rsidRPr="00A428C3">
        <w:t>;</w:t>
      </w:r>
      <w:r w:rsidR="00F81221">
        <w:t xml:space="preserve"> and </w:t>
      </w:r>
      <w:r w:rsidRPr="00A428C3">
        <w:t>EPA</w:t>
      </w:r>
      <w:r w:rsidR="000352E7">
        <w:t>’</w:t>
      </w:r>
      <w:r w:rsidRPr="00A428C3">
        <w:t xml:space="preserve">s Incineration Research Facility in </w:t>
      </w:r>
      <w:smartTag w:uri="urn:schemas-microsoft-com:office:smarttags" w:element="place">
        <w:smartTag w:uri="urn:schemas-microsoft-com:office:smarttags" w:element="City">
          <w:r w:rsidRPr="00A428C3">
            <w:t>Jefferson</w:t>
          </w:r>
        </w:smartTag>
        <w:r w:rsidRPr="00A428C3">
          <w:t xml:space="preserve">, </w:t>
        </w:r>
        <w:smartTag w:uri="urn:schemas-microsoft-com:office:smarttags" w:element="State">
          <w:r w:rsidRPr="00A428C3">
            <w:t>Arkansas</w:t>
          </w:r>
        </w:smartTag>
      </w:smartTag>
      <w:r w:rsidRPr="00A428C3">
        <w:t>. The analysis involved the use of a PC-based computer program capable of performing material</w:t>
      </w:r>
      <w:r w:rsidR="00F81221">
        <w:t xml:space="preserve"> and </w:t>
      </w:r>
      <w:r w:rsidRPr="00A428C3">
        <w:t>energy balance calculations</w:t>
      </w:r>
      <w:r w:rsidR="00F81221">
        <w:t xml:space="preserve"> and </w:t>
      </w:r>
      <w:r w:rsidRPr="00A428C3">
        <w:t>predicting equilibrium compositions based on the minimization of system free energy. For each analysis, the feed data of waste</w:t>
      </w:r>
      <w:r w:rsidR="00F81221">
        <w:t xml:space="preserve"> and </w:t>
      </w:r>
      <w:r w:rsidRPr="00A428C3">
        <w:t>fuel</w:t>
      </w:r>
      <w:r w:rsidR="00F81221">
        <w:t xml:space="preserve"> and </w:t>
      </w:r>
      <w:r w:rsidRPr="00A428C3">
        <w:t>the corresponding operating parameters associated with incinerator and/or afterburner operation were input to the program</w:t>
      </w:r>
      <w:r w:rsidR="00F81221">
        <w:t xml:space="preserve"> and </w:t>
      </w:r>
      <w:r w:rsidRPr="00A428C3">
        <w:t>the program simulated the combustion performance under equilibrium conditions. In the analysis, the field-recorded performance data were compared with the simulated equilibrium results</w:t>
      </w:r>
      <w:r w:rsidR="00F81221">
        <w:t xml:space="preserve"> and </w:t>
      </w:r>
      <w:r w:rsidRPr="00A428C3">
        <w:t>the incinerator performance, including the quality of the field data, the combustion efficiency, the percent excess air, the heat loss,</w:t>
      </w:r>
      <w:r w:rsidR="00F81221">
        <w:t xml:space="preserve"> and </w:t>
      </w:r>
      <w:r w:rsidRPr="00A428C3">
        <w:t xml:space="preserve">the amount of air inleakage, was evaluated. In addition, the field-obtained metal data </w:t>
      </w:r>
      <w:r w:rsidRPr="00A428C3">
        <w:lastRenderedPageBreak/>
        <w:t>were analyzed for emission rate</w:t>
      </w:r>
      <w:r w:rsidR="00F81221">
        <w:t xml:space="preserve"> and </w:t>
      </w:r>
      <w:r w:rsidRPr="00A428C3">
        <w:t>metal balance.</w:t>
      </w:r>
    </w:p>
    <w:p w:rsidR="00B95188" w:rsidRPr="00A428C3" w:rsidRDefault="00B95188" w:rsidP="00B95188">
      <w:pPr>
        <w:pStyle w:val="a0"/>
      </w:pPr>
      <w:r w:rsidRPr="00A428C3">
        <w:t>Hinshaw, G.D. (1994), Behavior</w:t>
      </w:r>
      <w:r w:rsidR="00F81221">
        <w:t xml:space="preserve"> and </w:t>
      </w:r>
      <w:r w:rsidRPr="00A428C3">
        <w:t xml:space="preserve">control of metals in a hazardous waste incinerator. </w:t>
      </w:r>
      <w:r w:rsidRPr="00A428C3">
        <w:rPr>
          <w:i/>
        </w:rPr>
        <w:t>Hazardous Waste &amp; Hazardous Materials</w:t>
      </w:r>
      <w:r w:rsidRPr="00A428C3">
        <w:t xml:space="preserve">, </w:t>
      </w:r>
      <w:r w:rsidRPr="00A428C3">
        <w:rPr>
          <w:b/>
        </w:rPr>
        <w:t>11</w:t>
      </w:r>
      <w:r w:rsidRPr="00A428C3">
        <w:t xml:space="preserve"> (1), 93-109.</w:t>
      </w:r>
    </w:p>
    <w:p w:rsidR="00B95188" w:rsidRPr="00A428C3" w:rsidRDefault="00B95188" w:rsidP="00B95188">
      <w:pPr>
        <w:pStyle w:val="a0"/>
      </w:pPr>
      <w:r w:rsidRPr="00A428C3">
        <w:t>Abstract: In conjunction with a performance test series used to develop trial burn test conditions, supplementary sampling</w:t>
      </w:r>
      <w:r w:rsidR="00F81221">
        <w:t xml:space="preserve"> and </w:t>
      </w:r>
      <w:r w:rsidRPr="00A428C3">
        <w:t>analysis were performed to study the behavior of metals in an incinerator</w:t>
      </w:r>
      <w:r w:rsidR="000352E7">
        <w:t>’</w:t>
      </w:r>
      <w:r w:rsidRPr="00A428C3">
        <w:t>s combustion system</w:t>
      </w:r>
      <w:r w:rsidR="00F81221">
        <w:t xml:space="preserve"> and </w:t>
      </w:r>
      <w:r w:rsidRPr="00A428C3">
        <w:t>the control of metals in the incinerator</w:t>
      </w:r>
      <w:r w:rsidR="000352E7">
        <w:t>’</w:t>
      </w:r>
      <w:r w:rsidRPr="00A428C3">
        <w:t>s air pollution control equipment (APCE) train. The test incinerator was a Nichols Monohearth primary chamber with an afterburner; APCE consisted of a spray dryer, a cooler/condenser, a venturi scrubber, a baffle-absorber,</w:t>
      </w:r>
      <w:r w:rsidR="00F81221">
        <w:t xml:space="preserve"> and </w:t>
      </w:r>
      <w:r w:rsidRPr="00A428C3">
        <w:t>a mist eliminator. Multiple metals stack sampling was performed at the inlet to the APCE system, concurrent with incinerator feed</w:t>
      </w:r>
      <w:r w:rsidR="00F81221">
        <w:t xml:space="preserve"> and </w:t>
      </w:r>
      <w:r w:rsidRPr="00A428C3">
        <w:t>stack sampling. Analysis of these additional samples allowed evaluation of metals partitioning in the combustion system as well as APCE removal efficiencies as a function of chlorine feed concentration</w:t>
      </w:r>
      <w:r w:rsidR="00F81221">
        <w:t xml:space="preserve"> and </w:t>
      </w:r>
      <w:r w:rsidRPr="00A428C3">
        <w:t>venturi differential pressure. X-Ray diffractometry was applied to selected samples to speciate any crystalline phases present,</w:t>
      </w:r>
      <w:r w:rsidR="00F81221">
        <w:t xml:space="preserve"> and </w:t>
      </w:r>
      <w:r w:rsidRPr="00A428C3">
        <w:t>scanning electron microscopy with energy dispersive X-ray spectroscopy was used to study the morphology, size,</w:t>
      </w:r>
      <w:r w:rsidR="00F81221">
        <w:t xml:space="preserve"> and </w:t>
      </w:r>
      <w:r w:rsidRPr="00A428C3">
        <w:t>composition of particles captured via conventional sampling techniques. Arsenic, beryllium, cadmium, chromium,</w:t>
      </w:r>
      <w:r w:rsidR="00F81221">
        <w:t xml:space="preserve"> and </w:t>
      </w:r>
      <w:r w:rsidRPr="00A428C3">
        <w:t>lead compounds were spiked at known rates,</w:t>
      </w:r>
      <w:r w:rsidR="00F81221">
        <w:t xml:space="preserve"> and </w:t>
      </w:r>
      <w:r w:rsidRPr="00A428C3">
        <w:t>additionally, several nontoxic metals natively present in the feeds were evaluated as potential surrogates, including copper, iron, titanium,</w:t>
      </w:r>
      <w:r w:rsidR="00F81221">
        <w:t xml:space="preserve"> and </w:t>
      </w:r>
      <w:r w:rsidRPr="00A428C3">
        <w:t>zinc.</w:t>
      </w:r>
    </w:p>
    <w:p w:rsidR="00B95188" w:rsidRPr="00A428C3" w:rsidRDefault="00B95188" w:rsidP="00B95188">
      <w:pPr>
        <w:pStyle w:val="a0"/>
      </w:pPr>
      <w:r w:rsidRPr="00A428C3">
        <w:t>Kafkewitz, D., Armenante, P.M., Hinshalwood, G.</w:t>
      </w:r>
      <w:r w:rsidR="00F81221">
        <w:t xml:space="preserve"> and </w:t>
      </w:r>
      <w:r w:rsidRPr="00A428C3">
        <w:t xml:space="preserve">Sanagustin, G. (1994), Immobilization of heavy metals in incinerator ash by the activity of </w:t>
      </w:r>
      <w:r w:rsidRPr="00A428C3">
        <w:rPr>
          <w:i/>
          <w:iCs/>
        </w:rPr>
        <w:t>Desulfovibrio desulfuricans</w:t>
      </w:r>
      <w:r w:rsidRPr="00A428C3">
        <w:t xml:space="preserve">. </w:t>
      </w:r>
      <w:r w:rsidRPr="00A428C3">
        <w:rPr>
          <w:i/>
        </w:rPr>
        <w:t>Hazardous Waste &amp; Hazardous Materials</w:t>
      </w:r>
      <w:r w:rsidRPr="00A428C3">
        <w:t xml:space="preserve">, </w:t>
      </w:r>
      <w:r w:rsidRPr="00A428C3">
        <w:rPr>
          <w:b/>
        </w:rPr>
        <w:t>11</w:t>
      </w:r>
      <w:r w:rsidRPr="00A428C3">
        <w:t xml:space="preserve"> (4), 519-527.</w:t>
      </w:r>
    </w:p>
    <w:p w:rsidR="00B95188" w:rsidRPr="00A428C3" w:rsidRDefault="00B95188" w:rsidP="00B95188">
      <w:pPr>
        <w:pStyle w:val="a0"/>
      </w:pPr>
      <w:r w:rsidRPr="00A428C3">
        <w:t>Abstract: The ash produced by the incineration of domestic refuse contains significant amounts of heavy metals. Because incerator ash is often disposed of by burial in landfills, leaching of the heavy metals into groundwater is an environmental hazard associated with incineration. Although ash is considered to have the potential to be highly toxic, the anaerobic sulfate reducing bacterium Desulfovibrio desulfuricans can grow in the presence of incinerator ash</w:t>
      </w:r>
      <w:r w:rsidR="00F81221">
        <w:t xml:space="preserve"> and </w:t>
      </w:r>
      <w:r w:rsidRPr="00A428C3">
        <w:t>significantly increase the leach resistance of the lead, cadmium,</w:t>
      </w:r>
      <w:r w:rsidR="00F81221">
        <w:t xml:space="preserve"> and </w:t>
      </w:r>
      <w:r w:rsidRPr="00A428C3">
        <w:t>chromium that is present in the ash. The data suggest that conditions compatible with microbial sulfidogenesis in landfills may be of value in preventing metal leaching should other containment startegies prove ineffective.</w:t>
      </w:r>
    </w:p>
    <w:p w:rsidR="00B95188" w:rsidRPr="00A428C3" w:rsidRDefault="00B95188" w:rsidP="00B95188">
      <w:pPr>
        <w:pStyle w:val="a0"/>
      </w:pPr>
      <w:r w:rsidRPr="00A428C3">
        <w:t>Chen, Y.Y.</w:t>
      </w:r>
      <w:r w:rsidR="00F81221">
        <w:t xml:space="preserve"> and </w:t>
      </w:r>
      <w:r w:rsidRPr="00A428C3">
        <w:t xml:space="preserve">Lee, D.J. (1994), A steady-state model of a rotary kiln incinerator. </w:t>
      </w:r>
      <w:r w:rsidRPr="00A428C3">
        <w:rPr>
          <w:i/>
        </w:rPr>
        <w:t>Hazardous Waste &amp; Hazardous Materials</w:t>
      </w:r>
      <w:r w:rsidRPr="00A428C3">
        <w:t xml:space="preserve">, </w:t>
      </w:r>
      <w:r w:rsidRPr="00A428C3">
        <w:rPr>
          <w:b/>
        </w:rPr>
        <w:t>11</w:t>
      </w:r>
      <w:r w:rsidRPr="00A428C3">
        <w:t xml:space="preserve"> (4), 541-559.</w:t>
      </w:r>
    </w:p>
    <w:p w:rsidR="00B95188" w:rsidRPr="00A428C3" w:rsidRDefault="00B95188" w:rsidP="00B95188">
      <w:pPr>
        <w:pStyle w:val="a0"/>
        <w:rPr>
          <w:rFonts w:eastAsia="Arial Unicode MS"/>
        </w:rPr>
      </w:pPr>
      <w:r w:rsidRPr="00A428C3">
        <w:t>Abstract: A simple steady state model for a rotary kiln incinerator operating under excess-air mode is developed</w:t>
      </w:r>
      <w:r w:rsidR="00F81221">
        <w:t xml:space="preserve"> and </w:t>
      </w:r>
      <w:r w:rsidRPr="00A428C3">
        <w:t xml:space="preserve">the resulting governing equations are solved numerically. The focus is to examine the effects of some usually ignored factors, </w:t>
      </w:r>
      <w:r w:rsidRPr="00A428C3">
        <w:lastRenderedPageBreak/>
        <w:t>including the thermal radiation between all enclosed surfaces in a kiln, the solid/gas reaction</w:t>
      </w:r>
      <w:r w:rsidR="00F81221">
        <w:t xml:space="preserve"> and </w:t>
      </w:r>
      <w:r w:rsidRPr="00A428C3">
        <w:t>the existence of surface flame, on the kiln behaviour, but to fit all experimental data exactly.</w:t>
      </w:r>
    </w:p>
    <w:p w:rsidR="00B95188" w:rsidRPr="00A428C3" w:rsidRDefault="00B95188" w:rsidP="00B95188">
      <w:pPr>
        <w:pStyle w:val="a0"/>
      </w:pPr>
      <w:r w:rsidRPr="00A428C3">
        <w:t>The results demonstrate that, since the length/diameter ratio is small for a rotary kiln incinerator, the thermal radiation heat transfer is the most significant process determinant,</w:t>
      </w:r>
      <w:r w:rsidR="00F81221">
        <w:t xml:space="preserve"> and </w:t>
      </w:r>
      <w:r w:rsidRPr="00A428C3">
        <w:t xml:space="preserve">the usually adopted </w:t>
      </w:r>
      <w:r w:rsidR="000352E7">
        <w:t>“</w:t>
      </w:r>
      <w:r w:rsidRPr="00A428C3">
        <w:t>unity view factor</w:t>
      </w:r>
      <w:r w:rsidR="000352E7">
        <w:t>”</w:t>
      </w:r>
      <w:r w:rsidRPr="00A428C3">
        <w:t xml:space="preserve"> assumption might introduce serious errors. The effects of other factors, such as heat convection/conduction contributions, the enclosed surface emissivity,</w:t>
      </w:r>
      <w:r w:rsidR="00F81221">
        <w:t xml:space="preserve"> and </w:t>
      </w:r>
      <w:r w:rsidRPr="00A428C3">
        <w:t>the feed particle size, are only secondary. The thermal radiation exchanges between gas</w:t>
      </w:r>
      <w:r w:rsidR="00F81221">
        <w:t xml:space="preserve"> and </w:t>
      </w:r>
      <w:r w:rsidRPr="00A428C3">
        <w:t>exposed surfaces are also discussed.</w:t>
      </w:r>
    </w:p>
    <w:p w:rsidR="00B95188" w:rsidRPr="00A428C3" w:rsidRDefault="00B95188" w:rsidP="00B95188">
      <w:pPr>
        <w:pStyle w:val="a0"/>
      </w:pPr>
      <w:r w:rsidRPr="00A428C3">
        <w:t xml:space="preserve">Johnson, L.D., Fuerst, R.G., </w:t>
      </w:r>
      <w:smartTag w:uri="urn:schemas-microsoft-com:office:smarttags" w:element="place">
        <w:smartTag w:uri="urn:schemas-microsoft-com:office:smarttags" w:element="City">
          <w:r w:rsidRPr="00A428C3">
            <w:t>Logan</w:t>
          </w:r>
        </w:smartTag>
      </w:smartTag>
      <w:r w:rsidRPr="00A428C3">
        <w:t>, T.J., Midgett, M.R., Peterson, M.R., Albritton, J.</w:t>
      </w:r>
      <w:r w:rsidR="00F81221">
        <w:t xml:space="preserve"> and </w:t>
      </w:r>
      <w:r w:rsidRPr="00A428C3">
        <w:t xml:space="preserve">Jayanty, R.K.M. (1995), Development of a laboratory method for estimation of hydrogen chloride emission potential of incinerator feed materials. </w:t>
      </w:r>
      <w:r w:rsidRPr="00A428C3">
        <w:rPr>
          <w:i/>
        </w:rPr>
        <w:t>Hazardous Waste &amp; Hazardous Materials</w:t>
      </w:r>
      <w:r w:rsidRPr="00A428C3">
        <w:t xml:space="preserve">, </w:t>
      </w:r>
      <w:r w:rsidRPr="00A428C3">
        <w:rPr>
          <w:b/>
        </w:rPr>
        <w:t>12</w:t>
      </w:r>
      <w:r w:rsidRPr="00A428C3">
        <w:t xml:space="preserve"> (1), 61-69.</w:t>
      </w:r>
    </w:p>
    <w:p w:rsidR="00B95188" w:rsidRPr="00A428C3" w:rsidRDefault="00B95188" w:rsidP="00B95188">
      <w:pPr>
        <w:pStyle w:val="a0"/>
      </w:pPr>
      <w:r w:rsidRPr="00A428C3">
        <w:t>Abstract: A laboratory method was developed to provide an estimate of the amount of hydrogen chloride (HCl) gas formed during waste incineration. The method involves heating the waste sample to 900</w:t>
      </w:r>
      <w:r w:rsidR="008A7E71">
        <w:t>°</w:t>
      </w:r>
      <w:r w:rsidRPr="00A428C3">
        <w:t>C in a tube furnace, removing particles from the resulting gases by filtration, collecting HCl gas in a water-filled impinger,</w:t>
      </w:r>
      <w:r w:rsidR="00F81221">
        <w:t xml:space="preserve"> and </w:t>
      </w:r>
      <w:r w:rsidRPr="00A428C3">
        <w:t>measuring the collected HCl as chloride using ion chromatography. The original goal of this project was to develop</w:t>
      </w:r>
      <w:r w:rsidR="00F81221">
        <w:t xml:space="preserve"> and </w:t>
      </w:r>
      <w:r w:rsidRPr="00A428C3">
        <w:t>evaluate a method that would allow determining, in the laboratory, the amount of HCl formed upon full-scale incineration of a given hazardous waste feed material. Although the laboratory equipment</w:t>
      </w:r>
      <w:r w:rsidR="00F81221">
        <w:t xml:space="preserve"> and </w:t>
      </w:r>
      <w:r w:rsidRPr="00A428C3">
        <w:t>procedures performed as designed, the data show that results are very sensitive to materials of construction of the furnace zone, availability of hydrogen,</w:t>
      </w:r>
      <w:r w:rsidR="00F81221">
        <w:t xml:space="preserve"> and </w:t>
      </w:r>
      <w:r w:rsidRPr="00A428C3">
        <w:t>probably other factors that are difficult to translate accurately from laboratory to full-scale equipment. In particular, the incomplete</w:t>
      </w:r>
      <w:r w:rsidR="00F81221">
        <w:t xml:space="preserve"> and </w:t>
      </w:r>
      <w:r w:rsidRPr="00A428C3">
        <w:t>variable conversion of inorganic chlorine compounds during incineration makes estimating HCl formation from a real waste highly unreliable. This same variable conversion of inorganic chlorides also makes using any so-called total organochlorine analysis results extremely undependable for estimating HCl emissions. This paper describes the test method developed, the evaluation experiments performed,</w:t>
      </w:r>
      <w:r w:rsidR="00F81221">
        <w:t xml:space="preserve"> and </w:t>
      </w:r>
      <w:r w:rsidRPr="00A428C3">
        <w:t>the basis for the conclusion that the method is not applicable to accurate prediction of hydrogen chloride emissions from hazardous waste incinerators.</w:t>
      </w:r>
    </w:p>
    <w:p w:rsidR="00B95188" w:rsidRPr="00A428C3" w:rsidRDefault="00B95188" w:rsidP="00B95188">
      <w:pPr>
        <w:pStyle w:val="a0"/>
      </w:pPr>
      <w:r w:rsidRPr="00A428C3">
        <w:t>Thomson, M., Lucas, D., Koshland, C.P.</w:t>
      </w:r>
      <w:r w:rsidR="00F81221">
        <w:t xml:space="preserve"> and </w:t>
      </w:r>
      <w:r w:rsidRPr="00A428C3">
        <w:t xml:space="preserve">Sawyer, R.F. (1996), Reducing hazardous waste incinerator emissions through blending: A study of 1,1,1-trichloroethane injection. </w:t>
      </w:r>
      <w:r w:rsidRPr="00A428C3">
        <w:rPr>
          <w:i/>
        </w:rPr>
        <w:t>Hazardous Waste &amp; Hazardous Materials</w:t>
      </w:r>
      <w:r w:rsidRPr="00A428C3">
        <w:t xml:space="preserve">, </w:t>
      </w:r>
      <w:r w:rsidRPr="00A428C3">
        <w:rPr>
          <w:b/>
        </w:rPr>
        <w:t>13</w:t>
      </w:r>
      <w:r w:rsidRPr="00A428C3">
        <w:t xml:space="preserve"> (3), 387-398.</w:t>
      </w:r>
    </w:p>
    <w:p w:rsidR="00B95188" w:rsidRPr="00A428C3" w:rsidRDefault="00B95188" w:rsidP="00B95188">
      <w:pPr>
        <w:pStyle w:val="a0"/>
        <w:rPr>
          <w:rFonts w:eastAsia="Arial Unicode MS"/>
        </w:rPr>
      </w:pPr>
      <w:r w:rsidRPr="00A428C3">
        <w:t>Abstract: We investigate whether blending liquid hazardous wastes with hydrocarbons such as alkanes can improve the destruction efficiency</w:t>
      </w:r>
      <w:r w:rsidR="00F81221">
        <w:t xml:space="preserve"> and </w:t>
      </w:r>
      <w:r w:rsidRPr="00A428C3">
        <w:t xml:space="preserve">reduce the combustion byproduct levels in the post-flame region of a laboratory scale combustor. Outlet </w:t>
      </w:r>
      <w:r w:rsidRPr="00A428C3">
        <w:lastRenderedPageBreak/>
        <w:t>species concentrations are measured with an FTIR spectrometer for mixtures of 1,1,1-trichloroethane</w:t>
      </w:r>
      <w:r w:rsidR="00F81221">
        <w:t xml:space="preserve"> and </w:t>
      </w:r>
      <w:r w:rsidRPr="00A428C3">
        <w:t>25% (by volume) dodecane or heptane injected as a spray of droplets. We also inject sprays of liquid pure 1,1,1-trichloroethane, gaseous pure 1,1,1-trichloroethane,</w:t>
      </w:r>
      <w:r w:rsidR="00F81221">
        <w:t xml:space="preserve"> and </w:t>
      </w:r>
      <w:r w:rsidRPr="00A428C3">
        <w:t>gaseous 1,1,1-trichloroethane with 25% (by volume) heptane. Once vaporized, the 1,1,1-trichloroethane decomposes to form CO</w:t>
      </w:r>
      <w:r w:rsidRPr="00A428C3">
        <w:rPr>
          <w:vertAlign w:val="subscript"/>
        </w:rPr>
        <w:t>2</w:t>
      </w:r>
      <w:r w:rsidR="00F81221">
        <w:t xml:space="preserve"> and </w:t>
      </w:r>
      <w:r w:rsidRPr="00A428C3">
        <w:t>HCl through the intermediates 1,1-dichloroethylene, phosgene, acetylene,</w:t>
      </w:r>
      <w:r w:rsidR="00F81221">
        <w:t xml:space="preserve"> and </w:t>
      </w:r>
      <w:r w:rsidRPr="00A428C3">
        <w:t>carbon monoxide. The 1,1,1-trichloroethane/alkane mixtures also form the intermediate ethylene. No significant differences are observed between injecting the compounds as a droplet spray or as a gaseous jet, not an unexpected result as the mixing time of the gas jet is longer than the vaporization time of the droplets. The addition of heptane or dodecane to 1,1,1-trichloroethane produces two principal effects: an increase in ethylene, acetylene</w:t>
      </w:r>
      <w:r w:rsidR="00F81221">
        <w:t xml:space="preserve"> and </w:t>
      </w:r>
      <w:r w:rsidRPr="00A428C3">
        <w:t>carbon monoxide levels for injection temperatures between 950 to 1040 K,</w:t>
      </w:r>
      <w:r w:rsidR="00F81221">
        <w:t xml:space="preserve"> and </w:t>
      </w:r>
      <w:r w:rsidRPr="00A428C3">
        <w:t>a decrease in 1,1-dichloroethylene, phosgene, acetylene,</w:t>
      </w:r>
      <w:r w:rsidR="00F81221">
        <w:t xml:space="preserve"> and </w:t>
      </w:r>
      <w:r w:rsidRPr="00A428C3">
        <w:t>carbon monoxide levels for injection temperatures greater than 1050 K. Reaction of the injected alkane causes the former effect, while the additional heat of combustion of the alkane additives causes the latter.</w:t>
      </w:r>
    </w:p>
    <w:p w:rsidR="00B95188" w:rsidRPr="00A428C3" w:rsidRDefault="00B95188" w:rsidP="00B95188">
      <w:pPr>
        <w:pStyle w:val="a0"/>
      </w:pPr>
      <w:r w:rsidRPr="00A428C3">
        <w:t>Keywords: 1,1,1-C</w:t>
      </w:r>
      <w:r w:rsidRPr="00A428C3">
        <w:rPr>
          <w:vertAlign w:val="subscript"/>
        </w:rPr>
        <w:t>2</w:t>
      </w:r>
      <w:r w:rsidRPr="00A428C3">
        <w:t>H</w:t>
      </w:r>
      <w:r w:rsidRPr="00A428C3">
        <w:rPr>
          <w:vertAlign w:val="subscript"/>
        </w:rPr>
        <w:t>3</w:t>
      </w:r>
      <w:r w:rsidRPr="00A428C3">
        <w:t>Cl</w:t>
      </w:r>
      <w:r w:rsidRPr="00A428C3">
        <w:rPr>
          <w:vertAlign w:val="subscript"/>
        </w:rPr>
        <w:t>3</w:t>
      </w:r>
      <w:r w:rsidRPr="00A428C3">
        <w:t>, Combustion, Oxidation</w:t>
      </w:r>
    </w:p>
    <w:p w:rsidR="00B95188" w:rsidRPr="00A428C3" w:rsidRDefault="00B95188" w:rsidP="00B95188">
      <w:pPr>
        <w:pStyle w:val="a0"/>
      </w:pPr>
      <w:r w:rsidRPr="00A428C3">
        <w:t>Katsumata, P.T.</w:t>
      </w:r>
      <w:r w:rsidR="00F81221">
        <w:t xml:space="preserve"> and </w:t>
      </w:r>
      <w:r w:rsidRPr="00A428C3">
        <w:t>Kastenberg, W.E. (1996), Fate</w:t>
      </w:r>
      <w:r w:rsidR="00F81221">
        <w:t xml:space="preserve"> and </w:t>
      </w:r>
      <w:r w:rsidRPr="00A428C3">
        <w:t>transport of methanol fuel from spills</w:t>
      </w:r>
      <w:r w:rsidR="00F81221">
        <w:t xml:space="preserve"> and </w:t>
      </w:r>
      <w:r w:rsidRPr="00A428C3">
        <w:t xml:space="preserve">leaks. </w:t>
      </w:r>
      <w:r w:rsidRPr="00A428C3">
        <w:rPr>
          <w:i/>
        </w:rPr>
        <w:t>Hazardous Waste &amp; Hazardous Materials</w:t>
      </w:r>
      <w:r w:rsidRPr="00A428C3">
        <w:t xml:space="preserve">, </w:t>
      </w:r>
      <w:r w:rsidRPr="00A428C3">
        <w:rPr>
          <w:b/>
        </w:rPr>
        <w:t>13</w:t>
      </w:r>
      <w:r w:rsidRPr="00A428C3">
        <w:t xml:space="preserve"> (4), 485-498.</w:t>
      </w:r>
    </w:p>
    <w:p w:rsidR="00B95188" w:rsidRPr="00A428C3" w:rsidRDefault="00B95188" w:rsidP="00B95188">
      <w:pPr>
        <w:pStyle w:val="a0"/>
      </w:pPr>
      <w:r w:rsidRPr="00A428C3">
        <w:t>Abstract: This paper describes the results of a computer simulation that models the transport</w:t>
      </w:r>
      <w:r w:rsidR="00F81221">
        <w:t xml:space="preserve"> and </w:t>
      </w:r>
      <w:r w:rsidRPr="00A428C3">
        <w:t>fate of methanol introduced into surface water</w:t>
      </w:r>
      <w:r w:rsidR="00F81221">
        <w:t xml:space="preserve"> and </w:t>
      </w:r>
      <w:r w:rsidRPr="00A428C3">
        <w:t>ground water environments. Several different scenarios involving substantial (5,000 gallon) releases of methanol were modeled using GEOTOX, a multimedia environmental compartment model for examining the transport</w:t>
      </w:r>
      <w:r w:rsidR="00F81221">
        <w:t xml:space="preserve"> and </w:t>
      </w:r>
      <w:r w:rsidRPr="00A428C3">
        <w:t>transformation of chemical substances in various environmental release situations. These results provide an improved theoretical basis to help explain the fate of methanol spilled or leaked into fresh surface or ground waters</w:t>
      </w:r>
      <w:r w:rsidR="00F81221">
        <w:t xml:space="preserve"> and </w:t>
      </w:r>
      <w:r w:rsidRPr="00A428C3">
        <w:t>better determine the extent of related public health risk. For comparative purposes, one fuel spill scenario was also modeled for the common gasoline constituents, benzene, toluene, ethylbenzene</w:t>
      </w:r>
      <w:r w:rsidR="00F81221">
        <w:t xml:space="preserve"> and </w:t>
      </w:r>
      <w:r w:rsidRPr="00A428C3">
        <w:t>xylenes (BTEX). The results presented in this paper show that approximately all of the methanol introduced into the environment from any of the three release scenarios will be removed fairly quickly due to either volatilization, advection or degradation. Thus the possibility of contaminating groundwater supplies to the extent of endangering human health is very small. In comparing the results of the first scenario to a similar gasoline release, the hazard posed by the BTEX compounds of the gasoline release will be greater than that of the methanol release. The BTEX compounds will persist much longer in the environment than methanol.</w:t>
      </w:r>
    </w:p>
    <w:p w:rsidR="00801170" w:rsidRPr="001A3D2B" w:rsidRDefault="00801170" w:rsidP="00801170">
      <w:pPr>
        <w:pStyle w:val="1"/>
      </w:pPr>
      <w:r w:rsidRPr="001A3D2B">
        <w:br w:type="page"/>
      </w:r>
      <w:bookmarkStart w:id="472" w:name="_Toc317160980"/>
      <w:r w:rsidRPr="001A3D2B">
        <w:lastRenderedPageBreak/>
        <w:t xml:space="preserve">Title: </w:t>
      </w:r>
      <w:r w:rsidRPr="006A345C">
        <w:rPr>
          <w:iCs/>
        </w:rPr>
        <w:t>Headache</w:t>
      </w:r>
      <w:bookmarkEnd w:id="472"/>
    </w:p>
    <w:p w:rsidR="00801170" w:rsidRPr="001A3D2B" w:rsidRDefault="00801170" w:rsidP="00B72EF9">
      <w:pPr>
        <w:pStyle w:val="12"/>
      </w:pPr>
      <w:r w:rsidRPr="001A3D2B">
        <w:t xml:space="preserve">Full Journal Title: </w:t>
      </w:r>
      <w:hyperlink r:id="rId534" w:history="1">
        <w:r w:rsidRPr="00801170">
          <w:rPr>
            <w:rStyle w:val="a5"/>
            <w:iCs/>
          </w:rPr>
          <w:t>Headache</w:t>
        </w:r>
      </w:hyperlink>
    </w:p>
    <w:p w:rsidR="00801170" w:rsidRPr="001A3D2B" w:rsidRDefault="00801170" w:rsidP="00B72EF9">
      <w:pPr>
        <w:pStyle w:val="12"/>
      </w:pPr>
      <w:r w:rsidRPr="001A3D2B">
        <w:t xml:space="preserve">ISO Abbreviated Title: </w:t>
      </w:r>
      <w:r w:rsidRPr="006A345C">
        <w:rPr>
          <w:iCs/>
        </w:rPr>
        <w:t>Headache</w:t>
      </w:r>
    </w:p>
    <w:p w:rsidR="00801170" w:rsidRPr="001A3D2B" w:rsidRDefault="00801170" w:rsidP="00B72EF9">
      <w:pPr>
        <w:pStyle w:val="12"/>
      </w:pPr>
      <w:r w:rsidRPr="001A3D2B">
        <w:t xml:space="preserve">JCR Abbreviated Title: </w:t>
      </w:r>
      <w:r w:rsidRPr="006A345C">
        <w:rPr>
          <w:iCs/>
        </w:rPr>
        <w:t>Headache</w:t>
      </w:r>
    </w:p>
    <w:p w:rsidR="00801170" w:rsidRPr="001A3D2B" w:rsidRDefault="00801170" w:rsidP="00B72EF9">
      <w:pPr>
        <w:pStyle w:val="12"/>
      </w:pPr>
      <w:r>
        <w:t xml:space="preserve">ISSN: </w:t>
      </w:r>
    </w:p>
    <w:p w:rsidR="00801170" w:rsidRPr="001A3D2B" w:rsidRDefault="00801170" w:rsidP="00B72EF9">
      <w:pPr>
        <w:pStyle w:val="12"/>
      </w:pPr>
      <w:r w:rsidRPr="001A3D2B">
        <w:t xml:space="preserve">Issues/Year: </w:t>
      </w:r>
    </w:p>
    <w:p w:rsidR="00801170" w:rsidRPr="001A3D2B" w:rsidRDefault="00801170" w:rsidP="00B72EF9">
      <w:pPr>
        <w:pStyle w:val="12"/>
      </w:pPr>
      <w:r w:rsidRPr="001A3D2B">
        <w:t xml:space="preserve">Journal Country/Territory: </w:t>
      </w:r>
    </w:p>
    <w:p w:rsidR="00801170" w:rsidRPr="001A3D2B" w:rsidRDefault="00801170" w:rsidP="00B72EF9">
      <w:pPr>
        <w:pStyle w:val="12"/>
      </w:pPr>
      <w:r w:rsidRPr="001A3D2B">
        <w:t xml:space="preserve">Language: </w:t>
      </w:r>
    </w:p>
    <w:p w:rsidR="00801170" w:rsidRPr="001A3D2B" w:rsidRDefault="00801170" w:rsidP="00B72EF9">
      <w:pPr>
        <w:pStyle w:val="12"/>
      </w:pPr>
      <w:r w:rsidRPr="001A3D2B">
        <w:t xml:space="preserve">Publisher: </w:t>
      </w:r>
    </w:p>
    <w:p w:rsidR="00801170" w:rsidRPr="001A3D2B" w:rsidRDefault="00801170" w:rsidP="00B72EF9">
      <w:pPr>
        <w:pStyle w:val="12"/>
      </w:pPr>
      <w:r w:rsidRPr="001A3D2B">
        <w:t xml:space="preserve">Publisher Address: </w:t>
      </w:r>
    </w:p>
    <w:p w:rsidR="00801170" w:rsidRPr="001A3D2B" w:rsidRDefault="00801170" w:rsidP="00B72EF9">
      <w:pPr>
        <w:pStyle w:val="12"/>
      </w:pPr>
      <w:r w:rsidRPr="001A3D2B">
        <w:t>Subject Categories:</w:t>
      </w:r>
    </w:p>
    <w:p w:rsidR="00801170" w:rsidRPr="001A3D2B" w:rsidRDefault="00801170" w:rsidP="00B72EF9">
      <w:pPr>
        <w:pStyle w:val="12"/>
      </w:pPr>
      <w:r w:rsidRPr="001A3D2B">
        <w:t xml:space="preserve">: Impact Factor </w:t>
      </w:r>
    </w:p>
    <w:p w:rsidR="004B0126" w:rsidRDefault="004B0126" w:rsidP="004B0126">
      <w:pPr>
        <w:pStyle w:val="a0"/>
        <w:rPr>
          <w:kern w:val="0"/>
        </w:rPr>
      </w:pPr>
      <w:r>
        <w:rPr>
          <w:rFonts w:hint="eastAsia"/>
          <w:kern w:val="0"/>
        </w:rPr>
        <w:t xml:space="preserve">? </w:t>
      </w:r>
      <w:r>
        <w:rPr>
          <w:kern w:val="0"/>
        </w:rPr>
        <w:t xml:space="preserve">Harrington, M.G. (2006), Cerebrospinal fluid biomarkers in primary headache disorders. </w:t>
      </w:r>
      <w:r>
        <w:rPr>
          <w:i/>
          <w:iCs/>
          <w:kern w:val="0"/>
        </w:rPr>
        <w:t>Headache</w:t>
      </w:r>
      <w:r>
        <w:rPr>
          <w:kern w:val="0"/>
        </w:rPr>
        <w:t xml:space="preserve">, </w:t>
      </w:r>
      <w:r>
        <w:rPr>
          <w:b/>
          <w:bCs/>
          <w:kern w:val="0"/>
        </w:rPr>
        <w:t>46</w:t>
      </w:r>
      <w:r>
        <w:rPr>
          <w:kern w:val="0"/>
        </w:rPr>
        <w:t xml:space="preserve"> (7), 1075-1087.</w:t>
      </w:r>
    </w:p>
    <w:p w:rsidR="004B0126" w:rsidRDefault="004B0126" w:rsidP="004B0126">
      <w:pPr>
        <w:pStyle w:val="a0"/>
        <w:rPr>
          <w:kern w:val="0"/>
        </w:rPr>
      </w:pPr>
      <w:r>
        <w:rPr>
          <w:rFonts w:hint="eastAsia"/>
          <w:kern w:val="0"/>
        </w:rPr>
        <w:t xml:space="preserve">Full Text: </w:t>
      </w:r>
      <w:r>
        <w:rPr>
          <w:kern w:val="0"/>
        </w:rPr>
        <w:t>20</w:t>
      </w:r>
      <w:r>
        <w:rPr>
          <w:rFonts w:hint="eastAsia"/>
          <w:kern w:val="0"/>
        </w:rPr>
        <w:t>06</w:t>
      </w:r>
      <w:r>
        <w:rPr>
          <w:kern w:val="0"/>
        </w:rPr>
        <w:t>\Headache</w:t>
      </w:r>
      <w:r>
        <w:rPr>
          <w:rFonts w:hint="eastAsia"/>
          <w:kern w:val="0"/>
        </w:rPr>
        <w:t>46</w:t>
      </w:r>
      <w:r>
        <w:rPr>
          <w:kern w:val="0"/>
        </w:rPr>
        <w:t xml:space="preserve">, </w:t>
      </w:r>
      <w:r>
        <w:rPr>
          <w:rFonts w:hint="eastAsia"/>
          <w:kern w:val="0"/>
        </w:rPr>
        <w:t>1075</w:t>
      </w:r>
      <w:r w:rsidRPr="00CA5342">
        <w:rPr>
          <w:kern w:val="0"/>
        </w:rPr>
        <w:t>.pdf</w:t>
      </w:r>
    </w:p>
    <w:p w:rsidR="004B0126" w:rsidRDefault="004B0126" w:rsidP="004B0126">
      <w:pPr>
        <w:pStyle w:val="a0"/>
        <w:rPr>
          <w:kern w:val="0"/>
        </w:rPr>
      </w:pPr>
      <w:r>
        <w:rPr>
          <w:kern w:val="0"/>
        </w:rPr>
        <w:t>Abstract: Objective.-The object of this review is to examine the published literature for cerebrospinal fluid laboratory measures of primary headache disorders to identify biomarkers</w:t>
      </w:r>
      <w:r w:rsidR="00F81221">
        <w:rPr>
          <w:kern w:val="0"/>
        </w:rPr>
        <w:t xml:space="preserve"> and </w:t>
      </w:r>
      <w:r>
        <w:rPr>
          <w:kern w:val="0"/>
        </w:rPr>
        <w:t>provide recommendations for future biomarker discovery. Background.-Biomarkers may distinguish deviation from a normal state, provide insight into mechanisms of pathophysiology, quantify the degree of change, discriminate what may be clinically overlapping disorders,</w:t>
      </w:r>
      <w:r w:rsidR="00F81221">
        <w:rPr>
          <w:kern w:val="0"/>
        </w:rPr>
        <w:t xml:space="preserve"> and </w:t>
      </w:r>
      <w:r>
        <w:rPr>
          <w:kern w:val="0"/>
        </w:rPr>
        <w:t>allow monitoring and/or selection of specific treatment. High-throughput, discovery technologies fuel the ability to reveal more biomarkers than past hypothesis-driven studies. Design or Methods.-Publications were identified in PUBMED, ISI web of knowledge (both Web of Science</w:t>
      </w:r>
      <w:r w:rsidR="00F81221">
        <w:rPr>
          <w:kern w:val="0"/>
        </w:rPr>
        <w:t xml:space="preserve"> and </w:t>
      </w:r>
      <w:r>
        <w:rPr>
          <w:kern w:val="0"/>
        </w:rPr>
        <w:t>BIOSYS),</w:t>
      </w:r>
      <w:r w:rsidR="00F81221">
        <w:rPr>
          <w:kern w:val="0"/>
        </w:rPr>
        <w:t xml:space="preserve"> and </w:t>
      </w:r>
      <w:r>
        <w:rPr>
          <w:kern w:val="0"/>
        </w:rPr>
        <w:t>SciFinder, using the key words for cerebrospinal fluid (CSF)</w:t>
      </w:r>
      <w:r w:rsidR="00F81221">
        <w:rPr>
          <w:kern w:val="0"/>
        </w:rPr>
        <w:t xml:space="preserve"> and </w:t>
      </w:r>
      <w:r>
        <w:rPr>
          <w:kern w:val="0"/>
        </w:rPr>
        <w:t>migraine, headache, or biomarkers. Additional references were sought from the papers identified in these searches. Data were assessed relating to all primary headache types for clinical</w:t>
      </w:r>
      <w:r w:rsidR="00F81221">
        <w:rPr>
          <w:kern w:val="0"/>
        </w:rPr>
        <w:t xml:space="preserve"> and </w:t>
      </w:r>
      <w:r>
        <w:rPr>
          <w:kern w:val="0"/>
        </w:rPr>
        <w:t>scientific methods</w:t>
      </w:r>
      <w:r w:rsidR="00F81221">
        <w:rPr>
          <w:kern w:val="0"/>
        </w:rPr>
        <w:t xml:space="preserve"> and </w:t>
      </w:r>
      <w:r>
        <w:rPr>
          <w:kern w:val="0"/>
        </w:rPr>
        <w:t>results. Results.-Fifty-five out of 82 biomarkers were found from 55 publications, though none have been validated for clinical utility. Data for site (ventricular, cervical, lumbar)</w:t>
      </w:r>
      <w:r w:rsidR="00F81221">
        <w:rPr>
          <w:kern w:val="0"/>
        </w:rPr>
        <w:t xml:space="preserve"> and </w:t>
      </w:r>
      <w:r>
        <w:rPr>
          <w:kern w:val="0"/>
        </w:rPr>
        <w:t>timing of CSF collection, headache state,</w:t>
      </w:r>
      <w:r w:rsidR="00F81221">
        <w:rPr>
          <w:kern w:val="0"/>
        </w:rPr>
        <w:t xml:space="preserve"> and </w:t>
      </w:r>
      <w:r>
        <w:rPr>
          <w:kern w:val="0"/>
        </w:rPr>
        <w:t>diagnostic description were patchy,</w:t>
      </w:r>
      <w:r w:rsidR="00F81221">
        <w:rPr>
          <w:kern w:val="0"/>
        </w:rPr>
        <w:t xml:space="preserve"> and </w:t>
      </w:r>
      <w:r>
        <w:rPr>
          <w:kern w:val="0"/>
        </w:rPr>
        <w:t>controls were often poorly defined. Most routinely performed CSF measurements were within normal limits. Most levels of pain-related molecules were reduced,</w:t>
      </w:r>
      <w:r w:rsidR="00F81221">
        <w:rPr>
          <w:kern w:val="0"/>
        </w:rPr>
        <w:t xml:space="preserve"> and </w:t>
      </w:r>
      <w:r>
        <w:rPr>
          <w:kern w:val="0"/>
        </w:rPr>
        <w:t>concentrations of most neurotransmitters, neuropeptides, proteins,</w:t>
      </w:r>
      <w:r w:rsidR="00F81221">
        <w:rPr>
          <w:kern w:val="0"/>
        </w:rPr>
        <w:t xml:space="preserve"> and </w:t>
      </w:r>
      <w:r>
        <w:rPr>
          <w:kern w:val="0"/>
        </w:rPr>
        <w:t>small molecules were increased. Though few studies assessed the specificity of biomarkers for primary headaches, it is clear that there are differences in CSF biomarkers between migraine, cluster headache, tension-type headache,</w:t>
      </w:r>
      <w:r w:rsidR="00F81221">
        <w:rPr>
          <w:kern w:val="0"/>
        </w:rPr>
        <w:t xml:space="preserve"> and </w:t>
      </w:r>
      <w:r>
        <w:rPr>
          <w:kern w:val="0"/>
        </w:rPr>
        <w:lastRenderedPageBreak/>
        <w:t>trigeminal neuralgia. Conclusions.-The high proportion (67%) of biomarkers identified from laboratory measures tested thus far predicts that many more biomarkers will be identified for primary headaches when more candidates are evaluated. In order to discover</w:t>
      </w:r>
      <w:r w:rsidR="00F81221">
        <w:rPr>
          <w:kern w:val="0"/>
        </w:rPr>
        <w:t xml:space="preserve"> and </w:t>
      </w:r>
      <w:r>
        <w:rPr>
          <w:kern w:val="0"/>
        </w:rPr>
        <w:t>evaluate more biomarkers, especially those that may have clinical application for headache management, 3 recommendations are encouraged: prospective design of care-independent studies; evaluation of more clinical variables;</w:t>
      </w:r>
      <w:r w:rsidR="00F81221">
        <w:rPr>
          <w:kern w:val="0"/>
        </w:rPr>
        <w:t xml:space="preserve"> and </w:t>
      </w:r>
      <w:r>
        <w:rPr>
          <w:kern w:val="0"/>
        </w:rPr>
        <w:t>evaluation of substantially more candidates by using discovery-based research methods. Outlines of approaches to pursue these aims are proposed.</w:t>
      </w:r>
    </w:p>
    <w:p w:rsidR="004B0126" w:rsidRDefault="004B0126" w:rsidP="004B0126">
      <w:pPr>
        <w:pStyle w:val="a0"/>
        <w:rPr>
          <w:kern w:val="0"/>
        </w:rPr>
      </w:pPr>
      <w:r>
        <w:rPr>
          <w:kern w:val="0"/>
        </w:rPr>
        <w:t>Keywords: Acid Levels, Attacks, Biomarker Identification, Biomarkers, Cerebrospinal Fluid, Cerebrospinal Fluid Biomarkers, Chronic Migraine Patients, Clinical Utility, Cluster Headache, Csf Beta-Ep, Evaluation, Free Intervals, Glutamate Levels, ISI, Knowledge, Literature, Management, Monitoring, Normal, Papers, Plasma, Primary, Primary Headache Disorders, Publications, Pubmed, Research, Review, Science, Tension-Type Headache, Treatment, Tryptophan, Web of Science</w:t>
      </w:r>
    </w:p>
    <w:p w:rsidR="00801170" w:rsidRDefault="00801170" w:rsidP="00801170">
      <w:pPr>
        <w:pStyle w:val="a0"/>
        <w:rPr>
          <w:kern w:val="0"/>
        </w:rPr>
      </w:pPr>
      <w:r>
        <w:rPr>
          <w:rFonts w:hint="eastAsia"/>
          <w:kern w:val="0"/>
        </w:rPr>
        <w:t xml:space="preserve">? </w:t>
      </w:r>
      <w:r>
        <w:rPr>
          <w:kern w:val="0"/>
        </w:rPr>
        <w:t>Schurks, M., Rist, P.M.</w:t>
      </w:r>
      <w:r w:rsidR="00F81221">
        <w:rPr>
          <w:kern w:val="0"/>
        </w:rPr>
        <w:t xml:space="preserve"> and </w:t>
      </w:r>
      <w:r>
        <w:rPr>
          <w:kern w:val="0"/>
        </w:rPr>
        <w:t xml:space="preserve">Kurth, T. (2010), </w:t>
      </w:r>
      <w:r w:rsidRPr="00801170">
        <w:rPr>
          <w:i/>
          <w:kern w:val="0"/>
        </w:rPr>
        <w:t>MTHFR</w:t>
      </w:r>
      <w:r>
        <w:rPr>
          <w:kern w:val="0"/>
        </w:rPr>
        <w:t xml:space="preserve"> 677C &gt; T</w:t>
      </w:r>
      <w:r w:rsidR="00F81221">
        <w:rPr>
          <w:kern w:val="0"/>
        </w:rPr>
        <w:t xml:space="preserve"> and </w:t>
      </w:r>
      <w:r w:rsidRPr="00801170">
        <w:rPr>
          <w:i/>
          <w:kern w:val="0"/>
        </w:rPr>
        <w:t>ACE</w:t>
      </w:r>
      <w:r>
        <w:rPr>
          <w:kern w:val="0"/>
        </w:rPr>
        <w:t xml:space="preserve"> D, I polymorphisms in migraine: A systematic review</w:t>
      </w:r>
      <w:r w:rsidR="00F81221">
        <w:rPr>
          <w:kern w:val="0"/>
        </w:rPr>
        <w:t xml:space="preserve"> and </w:t>
      </w:r>
      <w:r>
        <w:rPr>
          <w:kern w:val="0"/>
        </w:rPr>
        <w:t xml:space="preserve">meta-analysis. </w:t>
      </w:r>
      <w:r w:rsidRPr="006A345C">
        <w:rPr>
          <w:i/>
          <w:iCs/>
          <w:kern w:val="0"/>
        </w:rPr>
        <w:t>Headache</w:t>
      </w:r>
      <w:r>
        <w:rPr>
          <w:kern w:val="0"/>
        </w:rPr>
        <w:t xml:space="preserve">, </w:t>
      </w:r>
      <w:r>
        <w:rPr>
          <w:b/>
          <w:bCs/>
          <w:kern w:val="0"/>
        </w:rPr>
        <w:t>50</w:t>
      </w:r>
      <w:r>
        <w:rPr>
          <w:kern w:val="0"/>
        </w:rPr>
        <w:t xml:space="preserve"> (4), 588-599.</w:t>
      </w:r>
    </w:p>
    <w:p w:rsidR="00801170" w:rsidRDefault="00801170" w:rsidP="00801170">
      <w:pPr>
        <w:pStyle w:val="a0"/>
        <w:rPr>
          <w:kern w:val="0"/>
        </w:rPr>
      </w:pPr>
      <w:r>
        <w:rPr>
          <w:rFonts w:hint="eastAsia"/>
          <w:kern w:val="0"/>
        </w:rPr>
        <w:t xml:space="preserve">Full Text: </w:t>
      </w:r>
      <w:hyperlink r:id="rId535" w:history="1">
        <w:r w:rsidRPr="00801170">
          <w:rPr>
            <w:rStyle w:val="a5"/>
            <w:kern w:val="0"/>
          </w:rPr>
          <w:t>2010\Headache50, 588.pdf</w:t>
        </w:r>
      </w:hyperlink>
    </w:p>
    <w:p w:rsidR="00801170" w:rsidRDefault="00801170" w:rsidP="00801170">
      <w:pPr>
        <w:pStyle w:val="a0"/>
        <w:rPr>
          <w:kern w:val="0"/>
        </w:rPr>
      </w:pPr>
      <w:r>
        <w:rPr>
          <w:kern w:val="0"/>
        </w:rPr>
        <w:t>Abstract: Background.- Data on the association between the MTHFR 677C &gt; T</w:t>
      </w:r>
      <w:r w:rsidR="00F81221">
        <w:rPr>
          <w:kern w:val="0"/>
        </w:rPr>
        <w:t xml:space="preserve"> and </w:t>
      </w:r>
      <w:r>
        <w:rPr>
          <w:kern w:val="0"/>
        </w:rPr>
        <w:t>ACE D, I polymorphisms</w:t>
      </w:r>
      <w:r w:rsidR="00F81221">
        <w:rPr>
          <w:kern w:val="0"/>
        </w:rPr>
        <w:t xml:space="preserve"> and </w:t>
      </w:r>
      <w:r>
        <w:rPr>
          <w:kern w:val="0"/>
        </w:rPr>
        <w:t>migraine including aura status are conflicting. Objective.- The objective of this study is to perform a systematic review</w:t>
      </w:r>
      <w:r w:rsidR="00F81221">
        <w:rPr>
          <w:kern w:val="0"/>
        </w:rPr>
        <w:t xml:space="preserve"> and </w:t>
      </w:r>
      <w:r>
        <w:rPr>
          <w:kern w:val="0"/>
        </w:rPr>
        <w:t>meta-analysis on this topic. Methods.- We searched for studies published until March 2009 using electronic databases (MEDLINE, EMBASE, Science Citation Index)</w:t>
      </w:r>
      <w:r w:rsidR="00F81221">
        <w:rPr>
          <w:kern w:val="0"/>
        </w:rPr>
        <w:t xml:space="preserve"> and </w:t>
      </w:r>
      <w:r>
        <w:rPr>
          <w:kern w:val="0"/>
        </w:rPr>
        <w:t>reference lists of studies</w:t>
      </w:r>
      <w:r w:rsidR="00F81221">
        <w:rPr>
          <w:kern w:val="0"/>
        </w:rPr>
        <w:t xml:space="preserve"> and </w:t>
      </w:r>
      <w:r>
        <w:rPr>
          <w:kern w:val="0"/>
        </w:rPr>
        <w:t>reviews on the topic. Assessment for eligibility of studies</w:t>
      </w:r>
      <w:r w:rsidR="00F81221">
        <w:rPr>
          <w:kern w:val="0"/>
        </w:rPr>
        <w:t xml:space="preserve"> and </w:t>
      </w:r>
      <w:r>
        <w:rPr>
          <w:kern w:val="0"/>
        </w:rPr>
        <w:t>extraction of data was performed by 2 independent investigators. For each study we calculated the odds ratios (OR)</w:t>
      </w:r>
      <w:r w:rsidR="00F81221">
        <w:rPr>
          <w:kern w:val="0"/>
        </w:rPr>
        <w:t xml:space="preserve"> and </w:t>
      </w:r>
      <w:r>
        <w:rPr>
          <w:kern w:val="0"/>
        </w:rPr>
        <w:t>95% confidence intervals (CI) assuming additive, dominant,</w:t>
      </w:r>
      <w:r w:rsidR="00F81221">
        <w:rPr>
          <w:kern w:val="0"/>
        </w:rPr>
        <w:t xml:space="preserve"> and </w:t>
      </w:r>
      <w:r>
        <w:rPr>
          <w:kern w:val="0"/>
        </w:rPr>
        <w:t>recessive genetic models. We then calculated pooled ORs</w:t>
      </w:r>
      <w:r w:rsidR="00F81221">
        <w:rPr>
          <w:kern w:val="0"/>
        </w:rPr>
        <w:t xml:space="preserve"> and </w:t>
      </w:r>
      <w:r>
        <w:rPr>
          <w:kern w:val="0"/>
        </w:rPr>
        <w:t>95% CIs. Results.- Thirteen studies investigated the association between the MTHFR 677C &gt; T polymorphism</w:t>
      </w:r>
      <w:r w:rsidR="00F81221">
        <w:rPr>
          <w:kern w:val="0"/>
        </w:rPr>
        <w:t xml:space="preserve"> and </w:t>
      </w:r>
      <w:r>
        <w:rPr>
          <w:kern w:val="0"/>
        </w:rPr>
        <w:t>migraine. The TT genotype was associated with an increased risk for any migraine, which only appeared for migraine with aura (pooled OR = 1.48, 95% CI 1.02-2.13), but not for migraine without aura. Nine studies investigated the association of the ACE D, I polymorphism with migraine. The II genotype was associated with a reduced risk for migraine with aura (pooled OR = 0.71, 95% CI 0.55-0.93)</w:t>
      </w:r>
      <w:r w:rsidR="00F81221">
        <w:rPr>
          <w:kern w:val="0"/>
        </w:rPr>
        <w:t xml:space="preserve"> and </w:t>
      </w:r>
      <w:r>
        <w:rPr>
          <w:kern w:val="0"/>
        </w:rPr>
        <w:t xml:space="preserve">migraine without aura (pooled OR = 0.84, 95% CI 0.70-0.99). Results for both variants were driven by studies in non-Caucasian populations. Results among Caucasians did not suggest an association. Extractable data did not allow investigation of gene-gene interactions. Conslusions.- The MTHFR 677TT genotype is associated with an increased risk for migraine with </w:t>
      </w:r>
      <w:r>
        <w:rPr>
          <w:kern w:val="0"/>
        </w:rPr>
        <w:lastRenderedPageBreak/>
        <w:t>aura, while the ACE II genotype is protective against both migraine with</w:t>
      </w:r>
      <w:r w:rsidR="00F81221">
        <w:rPr>
          <w:kern w:val="0"/>
        </w:rPr>
        <w:t xml:space="preserve"> and </w:t>
      </w:r>
      <w:r>
        <w:rPr>
          <w:kern w:val="0"/>
        </w:rPr>
        <w:t>without aura. Results for both variants appeared only among non-Caucasian populations. There was no association among Caucasians.</w:t>
      </w:r>
    </w:p>
    <w:p w:rsidR="00801170" w:rsidRDefault="00801170" w:rsidP="00801170">
      <w:pPr>
        <w:pStyle w:val="a0"/>
        <w:rPr>
          <w:kern w:val="0"/>
        </w:rPr>
      </w:pPr>
      <w:r>
        <w:rPr>
          <w:kern w:val="0"/>
        </w:rPr>
        <w:t>Keywords: Ace D, Angiotensin-Converting Enzyme, Association, Aura, C677t Polymorphism, Cardiovascular-Disease, Citation, Databases, Gene Deletion Polymorphism, I Polymorphism, Insertion, Deletion Polymorphism, Medline, Meta-Analysis, Methylenetetrahydrofolate Reductase, Migraine, Models, MTHFR 677C &gt; T Polymorphism, Prevalence, Review, Risk, Science, Science Citation Index, Systematic Review, Topic</w:t>
      </w:r>
    </w:p>
    <w:p w:rsidR="00CF74C4" w:rsidRPr="00217FB1" w:rsidRDefault="00CF74C4" w:rsidP="00CF74C4">
      <w:pPr>
        <w:pStyle w:val="1"/>
      </w:pPr>
      <w:r w:rsidRPr="00217FB1">
        <w:br w:type="page"/>
      </w:r>
      <w:bookmarkStart w:id="473" w:name="_Toc238862959"/>
      <w:bookmarkStart w:id="474" w:name="_Toc317160981"/>
      <w:r w:rsidRPr="00217FB1">
        <w:lastRenderedPageBreak/>
        <w:t>Title: Health</w:t>
      </w:r>
      <w:bookmarkEnd w:id="473"/>
      <w:bookmarkEnd w:id="474"/>
    </w:p>
    <w:p w:rsidR="00CF74C4" w:rsidRPr="00F82F1B" w:rsidRDefault="00CF74C4" w:rsidP="00B72EF9">
      <w:pPr>
        <w:pStyle w:val="12"/>
      </w:pPr>
      <w:r w:rsidRPr="00F82F1B">
        <w:t xml:space="preserve">Full Journal Title: </w:t>
      </w:r>
      <w:hyperlink r:id="rId536" w:history="1">
        <w:r w:rsidRPr="005152FE">
          <w:rPr>
            <w:rStyle w:val="a5"/>
          </w:rPr>
          <w:t>Health</w:t>
        </w:r>
      </w:hyperlink>
    </w:p>
    <w:p w:rsidR="00CF74C4" w:rsidRPr="00F82F1B" w:rsidRDefault="00CF74C4" w:rsidP="00B72EF9">
      <w:pPr>
        <w:pStyle w:val="12"/>
      </w:pPr>
      <w:r w:rsidRPr="00F82F1B">
        <w:t xml:space="preserve">ISO Abbreviated Title: </w:t>
      </w:r>
      <w:r w:rsidRPr="00217FB1">
        <w:t>Health</w:t>
      </w:r>
    </w:p>
    <w:p w:rsidR="00CF74C4" w:rsidRPr="00F82F1B" w:rsidRDefault="00CF74C4" w:rsidP="00B72EF9">
      <w:pPr>
        <w:pStyle w:val="12"/>
      </w:pPr>
      <w:r w:rsidRPr="00F82F1B">
        <w:t>JCR Abbreviated Title</w:t>
      </w:r>
      <w:r>
        <w:t>:</w:t>
      </w:r>
      <w:r w:rsidRPr="00F82F1B">
        <w:t xml:space="preserve"> </w:t>
      </w:r>
      <w:r w:rsidRPr="00217FB1">
        <w:t>Health</w:t>
      </w:r>
    </w:p>
    <w:p w:rsidR="00CF74C4" w:rsidRPr="00F82F1B" w:rsidRDefault="00CF74C4" w:rsidP="00B72EF9">
      <w:pPr>
        <w:pStyle w:val="12"/>
      </w:pPr>
      <w:r w:rsidRPr="00F82F1B">
        <w:t xml:space="preserve">ISSN: </w:t>
      </w:r>
      <w:r w:rsidRPr="005152FE">
        <w:t>1363-4593</w:t>
      </w:r>
    </w:p>
    <w:p w:rsidR="00CF74C4" w:rsidRPr="00F82F1B" w:rsidRDefault="00CF74C4" w:rsidP="00B72EF9">
      <w:pPr>
        <w:pStyle w:val="12"/>
      </w:pPr>
      <w:r w:rsidRPr="00F82F1B">
        <w:t xml:space="preserve">Issues/Year: </w:t>
      </w:r>
    </w:p>
    <w:p w:rsidR="00CF74C4" w:rsidRPr="00F82F1B" w:rsidRDefault="00FB5623" w:rsidP="00B72EF9">
      <w:pPr>
        <w:pStyle w:val="12"/>
      </w:pPr>
      <w:r>
        <w:t>Journal Country/Territory:</w:t>
      </w:r>
      <w:r w:rsidR="00CF74C4">
        <w:t xml:space="preserve"> </w:t>
      </w:r>
    </w:p>
    <w:p w:rsidR="00CF74C4" w:rsidRPr="00F82F1B" w:rsidRDefault="00CF74C4" w:rsidP="00B72EF9">
      <w:pPr>
        <w:pStyle w:val="12"/>
      </w:pPr>
      <w:r w:rsidRPr="00F82F1B">
        <w:t xml:space="preserve">Language: </w:t>
      </w:r>
    </w:p>
    <w:p w:rsidR="00CF74C4" w:rsidRPr="00F82F1B" w:rsidRDefault="00CF74C4" w:rsidP="00B72EF9">
      <w:pPr>
        <w:pStyle w:val="12"/>
      </w:pPr>
      <w:r w:rsidRPr="00F82F1B">
        <w:t xml:space="preserve">Publisher: </w:t>
      </w:r>
    </w:p>
    <w:p w:rsidR="00CF74C4" w:rsidRPr="00F82F1B" w:rsidRDefault="00CF74C4" w:rsidP="00B72EF9">
      <w:pPr>
        <w:pStyle w:val="12"/>
      </w:pPr>
      <w:r w:rsidRPr="00F82F1B">
        <w:t xml:space="preserve">Publisher Address: </w:t>
      </w:r>
    </w:p>
    <w:p w:rsidR="00CF74C4" w:rsidRPr="00F82F1B" w:rsidRDefault="00CF74C4" w:rsidP="00B72EF9">
      <w:pPr>
        <w:pStyle w:val="12"/>
      </w:pPr>
      <w:r w:rsidRPr="00F82F1B">
        <w:t>Subject Categories:</w:t>
      </w:r>
    </w:p>
    <w:p w:rsidR="00CF74C4" w:rsidRPr="00F82F1B" w:rsidRDefault="00CF74C4" w:rsidP="00B72EF9">
      <w:pPr>
        <w:pStyle w:val="12"/>
      </w:pPr>
      <w:r w:rsidRPr="00F82F1B">
        <w:t xml:space="preserve">: Impact Factor </w:t>
      </w:r>
    </w:p>
    <w:p w:rsidR="00CF74C4" w:rsidRPr="003862C4" w:rsidRDefault="00CF74C4" w:rsidP="00CF74C4">
      <w:pPr>
        <w:pStyle w:val="a0"/>
      </w:pPr>
      <w:r w:rsidRPr="008B2BB0">
        <w:t>? Winnick, T.A. (2007), Trends in attention to complementary</w:t>
      </w:r>
      <w:r w:rsidR="00F81221">
        <w:t xml:space="preserve"> and </w:t>
      </w:r>
      <w:r w:rsidRPr="008B2BB0">
        <w:t xml:space="preserve">alternative medicine in the American medical literature. </w:t>
      </w:r>
      <w:r w:rsidRPr="00CE7517">
        <w:rPr>
          <w:i/>
          <w:iCs/>
        </w:rPr>
        <w:t>Health</w:t>
      </w:r>
      <w:r w:rsidRPr="008B2BB0">
        <w:t xml:space="preserve">, </w:t>
      </w:r>
      <w:r w:rsidRPr="00551655">
        <w:rPr>
          <w:b/>
          <w:bCs/>
        </w:rPr>
        <w:t>11</w:t>
      </w:r>
      <w:r w:rsidRPr="003862C4">
        <w:rPr>
          <w:rFonts w:hint="eastAsia"/>
        </w:rPr>
        <w:t xml:space="preserve"> (3),</w:t>
      </w:r>
      <w:r w:rsidRPr="003862C4">
        <w:t xml:space="preserve"> 371-399.</w:t>
      </w:r>
    </w:p>
    <w:p w:rsidR="00CF74C4" w:rsidRPr="003862C4" w:rsidRDefault="00CF74C4" w:rsidP="00CF74C4">
      <w:pPr>
        <w:pStyle w:val="a0"/>
      </w:pPr>
      <w:r w:rsidRPr="003862C4">
        <w:rPr>
          <w:rFonts w:hint="eastAsia"/>
        </w:rPr>
        <w:t xml:space="preserve">Full Text: </w:t>
      </w:r>
      <w:hyperlink r:id="rId537" w:history="1">
        <w:r w:rsidRPr="00D22445">
          <w:rPr>
            <w:rStyle w:val="a5"/>
          </w:rPr>
          <w:t>2007\Health11, 371.pdf</w:t>
        </w:r>
      </w:hyperlink>
    </w:p>
    <w:p w:rsidR="00CF74C4" w:rsidRPr="003862C4" w:rsidRDefault="00CF74C4" w:rsidP="00CF74C4">
      <w:pPr>
        <w:pStyle w:val="a0"/>
      </w:pPr>
      <w:r w:rsidRPr="003862C4">
        <w:t>Abstract: For decades, complementary</w:t>
      </w:r>
      <w:r w:rsidR="00F81221">
        <w:t xml:space="preserve"> and </w:t>
      </w:r>
      <w:r w:rsidRPr="003862C4">
        <w:t>alternative medicine (CAM) has been a topic of discussion within American medical journals. This research examines trends in the amount of coverage CAM receives in top professional journals in US medicine in order to ascertain if the timing of this discussion is linked to demographic, economic or political changes occurring in US society</w:t>
      </w:r>
      <w:r w:rsidR="00F81221">
        <w:t xml:space="preserve"> and </w:t>
      </w:r>
      <w:r w:rsidRPr="003862C4">
        <w:t>affecting organized medicine. Pooled time series analyses of the number of published documents in five prestigious American medical journals between 1965</w:t>
      </w:r>
      <w:r w:rsidR="00F81221">
        <w:t xml:space="preserve"> and </w:t>
      </w:r>
      <w:r w:rsidRPr="003862C4">
        <w:t>1999 were conducted,</w:t>
      </w:r>
      <w:r w:rsidR="00F81221">
        <w:t xml:space="preserve"> and </w:t>
      </w:r>
      <w:r w:rsidRPr="003862C4">
        <w:t>findings of models with unlagged</w:t>
      </w:r>
      <w:r w:rsidR="00F81221">
        <w:t xml:space="preserve"> and </w:t>
      </w:r>
      <w:r w:rsidRPr="003862C4">
        <w:t>lagged variables are presented. Results indicate that coverage of CAM is related to a proportionately older population, disability, innovation in health care financing</w:t>
      </w:r>
      <w:r w:rsidR="00F81221">
        <w:t xml:space="preserve"> and </w:t>
      </w:r>
      <w:r w:rsidRPr="003862C4">
        <w:t>expanded licensing for non-physician health care providers. These associations point to a profession actively monitoring its competitors in a rapidly changing medical marketplace.</w:t>
      </w:r>
    </w:p>
    <w:p w:rsidR="00CF74C4" w:rsidRPr="003862C4" w:rsidRDefault="00CF74C4" w:rsidP="00CF74C4">
      <w:pPr>
        <w:pStyle w:val="a0"/>
      </w:pPr>
      <w:r w:rsidRPr="003862C4">
        <w:t>Keywords: Alternative, Analyses, Care, Changes, Complementary, Complementary</w:t>
      </w:r>
      <w:r w:rsidR="00F81221">
        <w:t xml:space="preserve"> and </w:t>
      </w:r>
      <w:r w:rsidRPr="003862C4">
        <w:t>Alternative Medicine, Coverage, Disability, Economic, Financing, Health, Health Care, Health Care Financing, Innovation, Journals, Licensing, Literature, Medical, Medical Journals, Medical Literature, Medicine, Models, Monitoring, Population, Profession, Providers, Research, Society, Time Series, Timing, Trends, US</w:t>
      </w:r>
    </w:p>
    <w:p w:rsidR="00B95188" w:rsidRPr="00A428C3" w:rsidRDefault="00B95188" w:rsidP="00B95188">
      <w:pPr>
        <w:pStyle w:val="1"/>
      </w:pPr>
      <w:r w:rsidRPr="00A428C3">
        <w:br w:type="page"/>
      </w:r>
      <w:bookmarkStart w:id="475" w:name="_Toc186647754"/>
      <w:bookmarkStart w:id="476" w:name="_Toc317160982"/>
      <w:r w:rsidRPr="00A428C3">
        <w:lastRenderedPageBreak/>
        <w:t>Title: Health Bulletin (Edinb)</w:t>
      </w:r>
      <w:bookmarkEnd w:id="475"/>
      <w:bookmarkEnd w:id="476"/>
    </w:p>
    <w:p w:rsidR="00B95188" w:rsidRPr="00A428C3" w:rsidRDefault="00B95188" w:rsidP="00B72EF9">
      <w:pPr>
        <w:pStyle w:val="12"/>
      </w:pPr>
      <w:r w:rsidRPr="00A428C3">
        <w:t>Full Journal Title: Health Bulletin (Edinb)</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Sullivan, F.M., Lewison, G.</w:t>
      </w:r>
      <w:r w:rsidR="00F81221">
        <w:t xml:space="preserve"> and </w:t>
      </w:r>
      <w:r w:rsidRPr="00A428C3">
        <w:t xml:space="preserve">Clarkson, J. (2002), </w:t>
      </w:r>
      <w:r w:rsidRPr="00A428C3">
        <w:rPr>
          <w:szCs w:val="27"/>
        </w:rPr>
        <w:t xml:space="preserve">What Scottish primary care researchers are doing to recover their standing in the </w:t>
      </w:r>
      <w:smartTag w:uri="urn:schemas-microsoft-com:office:smarttags" w:element="place">
        <w:smartTag w:uri="urn:schemas-microsoft-com:office:smarttags" w:element="country-region">
          <w:r w:rsidRPr="00A428C3">
            <w:rPr>
              <w:szCs w:val="27"/>
            </w:rPr>
            <w:t>UK</w:t>
          </w:r>
        </w:smartTag>
      </w:smartTag>
      <w:r w:rsidRPr="00A428C3">
        <w:rPr>
          <w:szCs w:val="27"/>
        </w:rPr>
        <w:t>?</w:t>
      </w:r>
      <w:r w:rsidRPr="00A428C3">
        <w:t xml:space="preserve"> </w:t>
      </w:r>
      <w:r w:rsidRPr="00A428C3">
        <w:rPr>
          <w:i/>
          <w:iCs/>
        </w:rPr>
        <w:t>Health Bulletin (Edinb)</w:t>
      </w:r>
      <w:r w:rsidRPr="00A428C3">
        <w:t xml:space="preserve">, </w:t>
      </w:r>
      <w:r w:rsidRPr="00A428C3">
        <w:rPr>
          <w:b/>
        </w:rPr>
        <w:t>60</w:t>
      </w:r>
      <w:r w:rsidRPr="00A428C3">
        <w:t xml:space="preserve"> (1), 7-12.</w:t>
      </w:r>
    </w:p>
    <w:p w:rsidR="00B95188" w:rsidRPr="00A428C3" w:rsidRDefault="00B95188" w:rsidP="00B95188">
      <w:pPr>
        <w:pStyle w:val="a0"/>
      </w:pPr>
      <w:r w:rsidRPr="00A428C3">
        <w:t>Full Text: Hea Bul60, 7</w:t>
      </w:r>
    </w:p>
    <w:p w:rsidR="00B95188" w:rsidRPr="00A428C3" w:rsidRDefault="00B95188" w:rsidP="00B95188">
      <w:pPr>
        <w:pStyle w:val="a0"/>
        <w:rPr>
          <w:color w:val="000000"/>
        </w:rPr>
      </w:pPr>
      <w:r w:rsidRPr="00A428C3">
        <w:t xml:space="preserve">Abstract: OBJECTIVE: To compare the outputs of Scottish PC research with the rest of the </w:t>
      </w:r>
      <w:smartTag w:uri="urn:schemas-microsoft-com:office:smarttags" w:element="place">
        <w:smartTag w:uri="urn:schemas-microsoft-com:office:smarttags" w:element="country-region">
          <w:r w:rsidRPr="00A428C3">
            <w:t>UK</w:t>
          </w:r>
        </w:smartTag>
      </w:smartTag>
      <w:r w:rsidRPr="00A428C3">
        <w:t>. DESIGN: Bibliometric analysis of the research level</w:t>
      </w:r>
      <w:r w:rsidR="00F81221">
        <w:t xml:space="preserve"> and </w:t>
      </w:r>
      <w:r w:rsidRPr="00A428C3">
        <w:t>potential impact of research publications. Papers are categorised by level (RL) from basic research to clinical observation</w:t>
      </w:r>
      <w:r w:rsidR="00F81221">
        <w:t xml:space="preserve"> and </w:t>
      </w:r>
      <w:r w:rsidRPr="00A428C3">
        <w:t>potential impact category (PIC), a 5 year impact factor on a numerical scale. SETTING: Interrogation of the Wellcome Trust</w:t>
      </w:r>
      <w:r w:rsidR="000352E7">
        <w:t>’</w:t>
      </w:r>
      <w:r w:rsidRPr="00A428C3">
        <w:t xml:space="preserve">s Research Outputs Database 1988-97. SUBJECTS: 17, 303 papers, 2,280 arising from Scottish primary care. RESULTS: Scottish primary care publications totalled 14% of the published research in the </w:t>
      </w:r>
      <w:smartTag w:uri="urn:schemas-microsoft-com:office:smarttags" w:element="place">
        <w:smartTag w:uri="urn:schemas-microsoft-com:office:smarttags" w:element="country-region">
          <w:r w:rsidRPr="00A428C3">
            <w:t>UK</w:t>
          </w:r>
        </w:smartTag>
      </w:smartTag>
      <w:r w:rsidRPr="00A428C3">
        <w:t xml:space="preserve"> during 1988, by 1997 it had fallen to 10%. PC researchers in the rest of the </w:t>
      </w:r>
      <w:smartTag w:uri="urn:schemas-microsoft-com:office:smarttags" w:element="place">
        <w:smartTag w:uri="urn:schemas-microsoft-com:office:smarttags" w:element="country-region">
          <w:r w:rsidRPr="00A428C3">
            <w:t>UK</w:t>
          </w:r>
        </w:smartTag>
      </w:smartTag>
      <w:r w:rsidRPr="00A428C3">
        <w:t xml:space="preserve"> produced a 60% increase (1169 to 1866 per annum) in publications compared to our 25% increase (201 to 251 per annum) over the same period. Scottish papers were less likely to be presenting basic science. The mean potential impact was slightly lower than the rest of the </w:t>
      </w:r>
      <w:smartTag w:uri="urn:schemas-microsoft-com:office:smarttags" w:element="place">
        <w:smartTag w:uri="urn:schemas-microsoft-com:office:smarttags" w:element="country-region">
          <w:r w:rsidRPr="00A428C3">
            <w:t>UK</w:t>
          </w:r>
        </w:smartTag>
      </w:smartTag>
      <w:r w:rsidRPr="00A428C3">
        <w:t xml:space="preserve"> (1.89 compared to 1.94, s.e.m.0.02). CONCLUSION: Scottish PC research outputs grew more slowly than the rest of the </w:t>
      </w:r>
      <w:smartTag w:uri="urn:schemas-microsoft-com:office:smarttags" w:element="place">
        <w:smartTag w:uri="urn:schemas-microsoft-com:office:smarttags" w:element="country-region">
          <w:r w:rsidRPr="00A428C3">
            <w:t>UK</w:t>
          </w:r>
        </w:smartTag>
      </w:smartTag>
      <w:r w:rsidRPr="00A428C3">
        <w:t xml:space="preserve"> during 1988-97. The research interests</w:t>
      </w:r>
      <w:r w:rsidR="00F81221">
        <w:t xml:space="preserve"> and </w:t>
      </w:r>
      <w:r w:rsidRPr="00A428C3">
        <w:t>journals selected by the research community contributed to this pattern. The climate, infrastructure</w:t>
      </w:r>
      <w:r w:rsidR="00F81221">
        <w:t xml:space="preserve"> and </w:t>
      </w:r>
      <w:r w:rsidRPr="00A428C3">
        <w:t xml:space="preserve">skills required for more effective PC research during this period were also significant factors. The </w:t>
      </w:r>
      <w:smartTag w:uri="urn:schemas-microsoft-com:office:smarttags" w:element="place">
        <w:smartTag w:uri="urn:schemas-microsoft-com:office:smarttags" w:element="PlaceName">
          <w:r w:rsidRPr="00A428C3">
            <w:t>Scottish</w:t>
          </w:r>
        </w:smartTag>
        <w:r w:rsidRPr="00A428C3">
          <w:t xml:space="preserve"> </w:t>
        </w:r>
        <w:smartTag w:uri="urn:schemas-microsoft-com:office:smarttags" w:element="PlaceType">
          <w:r w:rsidRPr="00A428C3">
            <w:t>School</w:t>
          </w:r>
        </w:smartTag>
      </w:smartTag>
      <w:r w:rsidRPr="00A428C3">
        <w:t xml:space="preserve"> of Primary Care provides a mechanism for everyone in NHSScotland</w:t>
      </w:r>
      <w:r w:rsidR="00F81221">
        <w:t xml:space="preserve"> and </w:t>
      </w:r>
      <w:r w:rsidRPr="00A428C3">
        <w:t xml:space="preserve">Higher Education Institutions to address the underlying issues identified in this analysis. As a </w:t>
      </w:r>
      <w:r w:rsidR="000352E7">
        <w:t>‘</w:t>
      </w:r>
      <w:r w:rsidRPr="00A428C3">
        <w:t>baseline</w:t>
      </w:r>
      <w:r w:rsidR="000352E7">
        <w:t>’</w:t>
      </w:r>
      <w:r w:rsidRPr="00A428C3">
        <w:t xml:space="preserve"> analysis, this report will allow progress to be monitored as the SSPC becomes increasingly effective.</w:t>
      </w:r>
    </w:p>
    <w:p w:rsidR="00CF74C4" w:rsidRPr="00A428C3" w:rsidRDefault="00CF74C4" w:rsidP="00CF74C4">
      <w:pPr>
        <w:pStyle w:val="1"/>
      </w:pPr>
      <w:r w:rsidRPr="00A428C3">
        <w:br w:type="page"/>
      </w:r>
      <w:bookmarkStart w:id="477" w:name="_Toc238862961"/>
      <w:bookmarkStart w:id="478" w:name="_Toc317160983"/>
      <w:r w:rsidRPr="00A428C3">
        <w:lastRenderedPageBreak/>
        <w:t xml:space="preserve">Title: </w:t>
      </w:r>
      <w:r w:rsidRPr="00C75AB9">
        <w:t>Health Care Management Review</w:t>
      </w:r>
      <w:bookmarkEnd w:id="477"/>
      <w:bookmarkEnd w:id="478"/>
    </w:p>
    <w:p w:rsidR="00CF74C4" w:rsidRPr="00A428C3" w:rsidRDefault="00CF74C4" w:rsidP="00B72EF9">
      <w:pPr>
        <w:pStyle w:val="12"/>
      </w:pPr>
      <w:r w:rsidRPr="00A428C3">
        <w:t xml:space="preserve">Full Journal Title: </w:t>
      </w:r>
      <w:r w:rsidRPr="00A55B4C">
        <w:t>Health Care Management Review</w:t>
      </w:r>
    </w:p>
    <w:p w:rsidR="00CF74C4" w:rsidRPr="00A428C3" w:rsidRDefault="00CF74C4" w:rsidP="00B72EF9">
      <w:pPr>
        <w:pStyle w:val="12"/>
      </w:pPr>
      <w:r w:rsidRPr="00A428C3">
        <w:t xml:space="preserve">ISO Abbreviated Title: </w:t>
      </w:r>
    </w:p>
    <w:p w:rsidR="00CF74C4" w:rsidRPr="00A428C3" w:rsidRDefault="00CF74C4" w:rsidP="00B72EF9">
      <w:pPr>
        <w:pStyle w:val="12"/>
      </w:pPr>
      <w:r w:rsidRPr="00A428C3">
        <w:t>JCR Abbreviated Title</w:t>
      </w:r>
      <w:r>
        <w:t>:</w:t>
      </w:r>
      <w:r w:rsidRPr="00A428C3">
        <w:t xml:space="preserve"> </w:t>
      </w:r>
    </w:p>
    <w:p w:rsidR="00CF74C4" w:rsidRPr="00A428C3" w:rsidRDefault="00CF74C4" w:rsidP="00B72EF9">
      <w:pPr>
        <w:pStyle w:val="12"/>
      </w:pPr>
      <w:r w:rsidRPr="00A428C3">
        <w:t xml:space="preserve">ISSN: </w:t>
      </w:r>
      <w:r w:rsidRPr="00C75AB9">
        <w:t>0361-6274</w:t>
      </w:r>
    </w:p>
    <w:p w:rsidR="00CF74C4" w:rsidRPr="00A428C3" w:rsidRDefault="00CF74C4" w:rsidP="00B72EF9">
      <w:pPr>
        <w:pStyle w:val="12"/>
      </w:pPr>
      <w:r w:rsidRPr="00A428C3">
        <w:t xml:space="preserve">Issues/Year: </w:t>
      </w:r>
    </w:p>
    <w:p w:rsidR="00CF74C4" w:rsidRPr="00A428C3" w:rsidRDefault="00CF74C4" w:rsidP="00B72EF9">
      <w:pPr>
        <w:pStyle w:val="12"/>
      </w:pPr>
      <w:r w:rsidRPr="00A428C3">
        <w:t>Journal Country/Territory:</w:t>
      </w:r>
    </w:p>
    <w:p w:rsidR="00CF74C4" w:rsidRPr="00A428C3" w:rsidRDefault="00CF74C4" w:rsidP="00B72EF9">
      <w:pPr>
        <w:pStyle w:val="12"/>
      </w:pPr>
      <w:r w:rsidRPr="00A428C3">
        <w:t xml:space="preserve">Language: </w:t>
      </w:r>
    </w:p>
    <w:p w:rsidR="00CF74C4" w:rsidRPr="00A428C3" w:rsidRDefault="00CF74C4" w:rsidP="00B72EF9">
      <w:pPr>
        <w:pStyle w:val="12"/>
      </w:pPr>
      <w:r w:rsidRPr="00A428C3">
        <w:t xml:space="preserve">Publisher: </w:t>
      </w:r>
    </w:p>
    <w:p w:rsidR="00CF74C4" w:rsidRPr="00A428C3" w:rsidRDefault="00CF74C4" w:rsidP="00B72EF9">
      <w:pPr>
        <w:pStyle w:val="12"/>
      </w:pPr>
      <w:r w:rsidRPr="00A428C3">
        <w:t xml:space="preserve">Publisher Address: </w:t>
      </w:r>
    </w:p>
    <w:p w:rsidR="00CF74C4" w:rsidRPr="00A428C3" w:rsidRDefault="00CF74C4" w:rsidP="00B72EF9">
      <w:pPr>
        <w:pStyle w:val="12"/>
      </w:pPr>
      <w:r w:rsidRPr="00A428C3">
        <w:t>Subject Categories:</w:t>
      </w:r>
    </w:p>
    <w:p w:rsidR="00CF74C4" w:rsidRPr="00A428C3" w:rsidRDefault="00CF74C4" w:rsidP="00B72EF9">
      <w:pPr>
        <w:pStyle w:val="12"/>
      </w:pPr>
      <w:r w:rsidRPr="00A428C3">
        <w:t>: Impact Factor</w:t>
      </w:r>
    </w:p>
    <w:p w:rsidR="00CF74C4" w:rsidRPr="003862C4" w:rsidRDefault="00CF74C4" w:rsidP="00CF74C4">
      <w:pPr>
        <w:pStyle w:val="a0"/>
      </w:pPr>
      <w:r w:rsidRPr="008B2BB0">
        <w:t>? Dopson, S., FitzGerald, L., Ferlie, E., Gabbay, J.</w:t>
      </w:r>
      <w:r w:rsidR="00F81221">
        <w:t xml:space="preserve"> and </w:t>
      </w:r>
      <w:r w:rsidRPr="008B2BB0">
        <w:t xml:space="preserve">Locock, L. (2002), No magic targets! Changing clinical practice to become more evidence based. </w:t>
      </w:r>
      <w:r w:rsidRPr="00CE7517">
        <w:rPr>
          <w:i/>
          <w:iCs/>
        </w:rPr>
        <w:t>Health Care Management Review</w:t>
      </w:r>
      <w:r w:rsidRPr="008B2BB0">
        <w:t xml:space="preserve">, </w:t>
      </w:r>
      <w:r w:rsidRPr="00551655">
        <w:rPr>
          <w:b/>
          <w:bCs/>
        </w:rPr>
        <w:t>27</w:t>
      </w:r>
      <w:r w:rsidRPr="003862C4">
        <w:t xml:space="preserve"> (3), 35-47.</w:t>
      </w:r>
    </w:p>
    <w:p w:rsidR="00CF74C4" w:rsidRPr="003862C4" w:rsidRDefault="00CF74C4" w:rsidP="00CF74C4">
      <w:pPr>
        <w:pStyle w:val="a0"/>
      </w:pPr>
      <w:r w:rsidRPr="003862C4">
        <w:t>Abstract: This article focuses on the diffusion</w:t>
      </w:r>
      <w:r w:rsidR="00F81221">
        <w:t xml:space="preserve"> and </w:t>
      </w:r>
      <w:r w:rsidRPr="003862C4">
        <w:t>adoption of innovations in clinical practice. The authors are specifically interested in underresearched questions concerning the latter stages of the creation, diffusion,</w:t>
      </w:r>
      <w:r w:rsidR="00F81221">
        <w:t xml:space="preserve"> and </w:t>
      </w:r>
      <w:r w:rsidRPr="003862C4">
        <w:t>adoption of new knowledge, namely: What makes this information credible</w:t>
      </w:r>
      <w:r w:rsidR="00F81221">
        <w:t xml:space="preserve"> and </w:t>
      </w:r>
      <w:r w:rsidRPr="003862C4">
        <w:t>therefore utilized? Why do actors decide to use new knowledge?</w:t>
      </w:r>
      <w:r w:rsidR="00F81221">
        <w:t xml:space="preserve"> and </w:t>
      </w:r>
      <w:r w:rsidRPr="003862C4">
        <w:t>what is the significance of the social context of which actors are a part?</w:t>
      </w:r>
    </w:p>
    <w:p w:rsidR="00CF74C4" w:rsidRPr="003862C4" w:rsidRDefault="00CF74C4" w:rsidP="00CF74C4">
      <w:pPr>
        <w:pStyle w:val="a0"/>
      </w:pPr>
      <w:r w:rsidRPr="003862C4">
        <w:t>Keywords: Adoption, Clinical, Clinical Practice, Context, Diffusion, Evidence, Evidence Based, Evidence-Based, Information, Knowledge, Practice, Significance, Social</w:t>
      </w:r>
    </w:p>
    <w:p w:rsidR="00CF74C4" w:rsidRPr="00A428C3" w:rsidRDefault="00CF74C4" w:rsidP="00CF74C4">
      <w:pPr>
        <w:pStyle w:val="1"/>
      </w:pPr>
      <w:r w:rsidRPr="00A428C3">
        <w:br w:type="page"/>
      </w:r>
      <w:bookmarkStart w:id="479" w:name="_Toc238862962"/>
      <w:bookmarkStart w:id="480" w:name="_Toc317160984"/>
      <w:r w:rsidRPr="00A428C3">
        <w:lastRenderedPageBreak/>
        <w:t xml:space="preserve">Title: </w:t>
      </w:r>
      <w:r w:rsidRPr="000E1A2E">
        <w:t>Health Communication</w:t>
      </w:r>
      <w:bookmarkEnd w:id="479"/>
      <w:bookmarkEnd w:id="480"/>
    </w:p>
    <w:p w:rsidR="00CF74C4" w:rsidRPr="00A428C3" w:rsidRDefault="00CF74C4" w:rsidP="00B72EF9">
      <w:pPr>
        <w:pStyle w:val="12"/>
      </w:pPr>
      <w:r w:rsidRPr="00A428C3">
        <w:t xml:space="preserve">Full Journal Title: </w:t>
      </w:r>
      <w:hyperlink r:id="rId538" w:history="1">
        <w:r w:rsidRPr="004E143C">
          <w:rPr>
            <w:rStyle w:val="a5"/>
          </w:rPr>
          <w:t>Health Communication</w:t>
        </w:r>
      </w:hyperlink>
    </w:p>
    <w:p w:rsidR="00CF74C4" w:rsidRPr="00A428C3" w:rsidRDefault="00CF74C4" w:rsidP="00B72EF9">
      <w:pPr>
        <w:pStyle w:val="12"/>
      </w:pPr>
      <w:r w:rsidRPr="00A428C3">
        <w:t xml:space="preserve">ISO Abbreviated Title: </w:t>
      </w:r>
      <w:r>
        <w:t>Health Commun.</w:t>
      </w:r>
    </w:p>
    <w:p w:rsidR="00CF74C4" w:rsidRPr="00A428C3" w:rsidRDefault="00CF74C4" w:rsidP="00B72EF9">
      <w:pPr>
        <w:pStyle w:val="12"/>
      </w:pPr>
      <w:r w:rsidRPr="00A428C3">
        <w:t>JCR Abbreviated Title</w:t>
      </w:r>
      <w:r>
        <w:t>:</w:t>
      </w:r>
      <w:r w:rsidRPr="00A428C3">
        <w:t xml:space="preserve"> </w:t>
      </w:r>
      <w:r>
        <w:t>Health Commun</w:t>
      </w:r>
    </w:p>
    <w:p w:rsidR="00CF74C4" w:rsidRPr="00A428C3" w:rsidRDefault="00CF74C4" w:rsidP="00B72EF9">
      <w:pPr>
        <w:pStyle w:val="12"/>
      </w:pPr>
      <w:r w:rsidRPr="00A428C3">
        <w:t xml:space="preserve">ISSN: </w:t>
      </w:r>
      <w:r w:rsidRPr="000E1A2E">
        <w:t>1041-0236</w:t>
      </w:r>
    </w:p>
    <w:p w:rsidR="00CF74C4" w:rsidRPr="00A428C3" w:rsidRDefault="00CF74C4" w:rsidP="00B72EF9">
      <w:pPr>
        <w:pStyle w:val="12"/>
      </w:pPr>
      <w:r w:rsidRPr="00A428C3">
        <w:t xml:space="preserve">Issues/Year: </w:t>
      </w:r>
      <w:r>
        <w:rPr>
          <w:rFonts w:hint="eastAsia"/>
        </w:rPr>
        <w:t>4</w:t>
      </w:r>
    </w:p>
    <w:p w:rsidR="00CF74C4" w:rsidRPr="00A428C3" w:rsidRDefault="00FB5623" w:rsidP="00B72EF9">
      <w:pPr>
        <w:pStyle w:val="12"/>
      </w:pPr>
      <w:r>
        <w:t>Journal Country/Territory:</w:t>
      </w:r>
      <w:r w:rsidR="00CF74C4">
        <w:t xml:space="preserve"> United States</w:t>
      </w:r>
    </w:p>
    <w:p w:rsidR="00CF74C4" w:rsidRPr="00A428C3" w:rsidRDefault="00CF74C4" w:rsidP="00B72EF9">
      <w:pPr>
        <w:pStyle w:val="12"/>
      </w:pPr>
      <w:r w:rsidRPr="00A428C3">
        <w:t xml:space="preserve">Language: </w:t>
      </w:r>
      <w:r>
        <w:t>English</w:t>
      </w:r>
    </w:p>
    <w:p w:rsidR="00CF74C4" w:rsidRPr="00A428C3" w:rsidRDefault="00CF74C4" w:rsidP="00B72EF9">
      <w:pPr>
        <w:pStyle w:val="12"/>
      </w:pPr>
      <w:r w:rsidRPr="00A428C3">
        <w:t xml:space="preserve">Publisher: </w:t>
      </w:r>
      <w:r>
        <w:t>Lawrence Erlbaum Assoc Inc-Taylor &amp; Francis</w:t>
      </w:r>
    </w:p>
    <w:p w:rsidR="00CF74C4" w:rsidRPr="00A428C3" w:rsidRDefault="00CF74C4" w:rsidP="00B72EF9">
      <w:pPr>
        <w:pStyle w:val="12"/>
      </w:pPr>
      <w:r w:rsidRPr="00A428C3">
        <w:t xml:space="preserve">Publisher Address: </w:t>
      </w:r>
      <w:r>
        <w:t>325 Chestnut Street, Ste 800, Philadelphia, PA 19106</w:t>
      </w:r>
    </w:p>
    <w:p w:rsidR="00CF74C4" w:rsidRPr="00A428C3" w:rsidRDefault="00CF74C4" w:rsidP="00B72EF9">
      <w:pPr>
        <w:pStyle w:val="12"/>
      </w:pPr>
      <w:r w:rsidRPr="00A428C3">
        <w:t>Subject Categories:</w:t>
      </w:r>
    </w:p>
    <w:p w:rsidR="00CF74C4" w:rsidRDefault="00CF74C4" w:rsidP="00B72EF9">
      <w:pPr>
        <w:pStyle w:val="12"/>
      </w:pPr>
      <w:r>
        <w:t>Communication</w:t>
      </w:r>
      <w:r w:rsidRPr="00A428C3">
        <w:t>: Impact Factor</w:t>
      </w:r>
      <w:r>
        <w:rPr>
          <w:rFonts w:hint="eastAsia"/>
        </w:rPr>
        <w:t xml:space="preserve"> 1.047, 16/45 (2007)</w:t>
      </w:r>
    </w:p>
    <w:p w:rsidR="00CF74C4" w:rsidRDefault="00CF74C4" w:rsidP="00B72EF9">
      <w:pPr>
        <w:pStyle w:val="12"/>
      </w:pPr>
      <w:r>
        <w:t>Health Policy &amp; Services</w:t>
      </w:r>
      <w:r w:rsidRPr="00A428C3">
        <w:t>: Impact Factor</w:t>
      </w:r>
      <w:r>
        <w:rPr>
          <w:rFonts w:hint="eastAsia"/>
        </w:rPr>
        <w:t xml:space="preserve"> 1.047, 28/40 (2007)</w:t>
      </w:r>
    </w:p>
    <w:p w:rsidR="00CF74C4" w:rsidRDefault="00CF74C4" w:rsidP="00CF74C4">
      <w:pPr>
        <w:pStyle w:val="a0"/>
      </w:pPr>
      <w:r w:rsidRPr="008B2BB0">
        <w:t>? Campo, S.</w:t>
      </w:r>
      <w:r w:rsidR="00F81221">
        <w:t xml:space="preserve"> and </w:t>
      </w:r>
      <w:r w:rsidRPr="008B2BB0">
        <w:t>Mastin, T. (2007), Placing the burden on the individual: Overweight</w:t>
      </w:r>
      <w:r w:rsidR="00F81221">
        <w:t xml:space="preserve"> and </w:t>
      </w:r>
      <w:r w:rsidRPr="008B2BB0">
        <w:t>obesity in African American</w:t>
      </w:r>
      <w:r w:rsidR="00F81221">
        <w:t xml:space="preserve"> and </w:t>
      </w:r>
      <w:r w:rsidRPr="008B2BB0">
        <w:t>mainstream women</w:t>
      </w:r>
      <w:r w:rsidR="000352E7">
        <w:t>’</w:t>
      </w:r>
      <w:r w:rsidRPr="008B2BB0">
        <w:t xml:space="preserve">s magazines. </w:t>
      </w:r>
      <w:r w:rsidRPr="00CE7517">
        <w:rPr>
          <w:i/>
          <w:iCs/>
        </w:rPr>
        <w:t>Health Communication</w:t>
      </w:r>
      <w:r w:rsidRPr="008B2BB0">
        <w:t xml:space="preserve">, </w:t>
      </w:r>
      <w:r w:rsidRPr="00551655">
        <w:rPr>
          <w:b/>
          <w:bCs/>
        </w:rPr>
        <w:t>22</w:t>
      </w:r>
      <w:r w:rsidRPr="00671234">
        <w:rPr>
          <w:rFonts w:hint="eastAsia"/>
          <w:bCs/>
        </w:rPr>
        <w:t xml:space="preserve"> </w:t>
      </w:r>
      <w:r>
        <w:rPr>
          <w:rFonts w:hint="eastAsia"/>
        </w:rPr>
        <w:t>(3)</w:t>
      </w:r>
      <w:r w:rsidRPr="003862C4">
        <w:t>, 229-240.</w:t>
      </w:r>
    </w:p>
    <w:p w:rsidR="00B2231E" w:rsidRPr="001A3D2B" w:rsidRDefault="00B2231E" w:rsidP="00B2231E">
      <w:pPr>
        <w:pStyle w:val="a0"/>
      </w:pPr>
      <w:r w:rsidRPr="001A3D2B">
        <w:t xml:space="preserve">Full text: </w:t>
      </w:r>
      <w:hyperlink r:id="rId539" w:history="1">
        <w:r w:rsidRPr="00D829E7">
          <w:rPr>
            <w:rStyle w:val="a5"/>
          </w:rPr>
          <w:t>2007\Hea Com22, 229.pdf</w:t>
        </w:r>
      </w:hyperlink>
    </w:p>
    <w:p w:rsidR="00CF74C4" w:rsidRPr="003862C4" w:rsidRDefault="00CF74C4" w:rsidP="00CF74C4">
      <w:pPr>
        <w:pStyle w:val="a0"/>
      </w:pPr>
      <w:r w:rsidRPr="003862C4">
        <w:t>Abstract: One third of all U.S. adult women,</w:t>
      </w:r>
      <w:r w:rsidR="00F81221">
        <w:t xml:space="preserve"> and </w:t>
      </w:r>
      <w:r w:rsidRPr="003862C4">
        <w:t>more than 75% of African American women, are overweight or obese. This study examined overweight</w:t>
      </w:r>
      <w:r w:rsidR="00F81221">
        <w:t xml:space="preserve"> and </w:t>
      </w:r>
      <w:r w:rsidRPr="003862C4">
        <w:t>obesity editorial content (N=406) in three mainstream</w:t>
      </w:r>
      <w:r w:rsidR="00F81221">
        <w:t xml:space="preserve"> and </w:t>
      </w:r>
      <w:r w:rsidRPr="003862C4">
        <w:t>three African American women</w:t>
      </w:r>
      <w:r w:rsidR="000352E7">
        <w:t>’</w:t>
      </w:r>
      <w:r w:rsidRPr="003862C4">
        <w:t>s magazines between 1984</w:t>
      </w:r>
      <w:r w:rsidR="00F81221">
        <w:t xml:space="preserve"> and </w:t>
      </w:r>
      <w:r w:rsidRPr="003862C4">
        <w:t>2004. Content analysis was used to determine which strategies were suggested regarding diet, overweight,</w:t>
      </w:r>
      <w:r w:rsidR="00F81221">
        <w:t xml:space="preserve"> and </w:t>
      </w:r>
      <w:r w:rsidRPr="003862C4">
        <w:t>obesity, which components of social cognitive theory were offered (behavior, person, or environment),</w:t>
      </w:r>
      <w:r w:rsidR="00F81221">
        <w:t xml:space="preserve"> and </w:t>
      </w:r>
      <w:r w:rsidRPr="003862C4">
        <w:t>whether or not there were differences in the genres. The results suggest that although a wide range of strategies were being offered, the vast majority were behavioral changes with an individual solution focus. Although African American</w:t>
      </w:r>
      <w:r w:rsidR="00F81221">
        <w:t xml:space="preserve"> and </w:t>
      </w:r>
      <w:r w:rsidRPr="003862C4">
        <w:t>mainstream magazines suggested many of the same strategies, nearly half more frequently appeared in one or the other genre. Mainstream magazines were twice as likely to offer the limiting or eliminating of fast food or junk food, eating more protein, eating lower-fat foods,</w:t>
      </w:r>
      <w:r w:rsidR="00F81221">
        <w:t xml:space="preserve"> and </w:t>
      </w:r>
      <w:r w:rsidRPr="003862C4">
        <w:t>eating smaller portions. African American magazines were much more likely to cover fad diets</w:t>
      </w:r>
      <w:r w:rsidR="00F81221">
        <w:t xml:space="preserve"> and </w:t>
      </w:r>
      <w:r w:rsidRPr="003862C4">
        <w:t>to suggest readers rely on God or faith in their diet plans. The average number of strategies offered per article was significantly higher in mainstream than in African American magazines.</w:t>
      </w:r>
    </w:p>
    <w:p w:rsidR="00CF74C4" w:rsidRPr="003862C4" w:rsidRDefault="00CF74C4" w:rsidP="00CF74C4">
      <w:pPr>
        <w:pStyle w:val="a0"/>
      </w:pPr>
      <w:r w:rsidRPr="003862C4">
        <w:t>Keywords: Adult, African American, Analysis, Behavior, Burden, Changes, Diet, Environment, Food, Obese, Obesity, Overweight, Person, Protein, Social, Solution, Theory, Women</w:t>
      </w:r>
    </w:p>
    <w:p w:rsidR="00CF74C4" w:rsidRPr="003862C4" w:rsidRDefault="00CF74C4" w:rsidP="00CF74C4">
      <w:pPr>
        <w:pStyle w:val="a0"/>
      </w:pPr>
      <w:r w:rsidRPr="003862C4">
        <w:t>? Dutta, M.J.</w:t>
      </w:r>
      <w:r w:rsidR="00F81221">
        <w:t xml:space="preserve"> and </w:t>
      </w:r>
      <w:r w:rsidRPr="003862C4">
        <w:t xml:space="preserve">Boyd, J. (2007), Turning </w:t>
      </w:r>
      <w:r w:rsidR="000352E7">
        <w:t>“</w:t>
      </w:r>
      <w:r w:rsidRPr="003862C4">
        <w:t>Smoking man</w:t>
      </w:r>
      <w:r w:rsidR="000352E7">
        <w:t>”</w:t>
      </w:r>
      <w:r w:rsidRPr="003862C4">
        <w:t xml:space="preserve"> images around: Portrayals </w:t>
      </w:r>
      <w:r w:rsidRPr="003862C4">
        <w:lastRenderedPageBreak/>
        <w:t>of smoking in men</w:t>
      </w:r>
      <w:r w:rsidR="000352E7">
        <w:t>’</w:t>
      </w:r>
      <w:r w:rsidRPr="003862C4">
        <w:t xml:space="preserve">s magazines as a blueprint for smoking cessation campaigns. </w:t>
      </w:r>
      <w:r w:rsidRPr="00CE7517">
        <w:rPr>
          <w:i/>
          <w:iCs/>
        </w:rPr>
        <w:t>Health Communication</w:t>
      </w:r>
      <w:r w:rsidRPr="008B2BB0">
        <w:t xml:space="preserve">, </w:t>
      </w:r>
      <w:r w:rsidRPr="00551655">
        <w:rPr>
          <w:b/>
          <w:bCs/>
        </w:rPr>
        <w:t>22</w:t>
      </w:r>
      <w:r w:rsidRPr="00671234">
        <w:rPr>
          <w:rFonts w:hint="eastAsia"/>
          <w:bCs/>
        </w:rPr>
        <w:t xml:space="preserve"> </w:t>
      </w:r>
      <w:r>
        <w:rPr>
          <w:rFonts w:hint="eastAsia"/>
        </w:rPr>
        <w:t>(3)</w:t>
      </w:r>
      <w:r w:rsidRPr="003862C4">
        <w:t>, 253-263.</w:t>
      </w:r>
    </w:p>
    <w:p w:rsidR="00B2231E" w:rsidRPr="001A3D2B" w:rsidRDefault="00B2231E" w:rsidP="00B2231E">
      <w:pPr>
        <w:pStyle w:val="a0"/>
      </w:pPr>
      <w:r w:rsidRPr="001A3D2B">
        <w:t xml:space="preserve">Full text: </w:t>
      </w:r>
      <w:hyperlink r:id="rId540" w:history="1">
        <w:r w:rsidRPr="00B2231E">
          <w:rPr>
            <w:rStyle w:val="a5"/>
          </w:rPr>
          <w:t>2007\Hea Com22, 253.pdf</w:t>
        </w:r>
      </w:hyperlink>
    </w:p>
    <w:p w:rsidR="00CF74C4" w:rsidRPr="003862C4" w:rsidRDefault="00CF74C4" w:rsidP="00CF74C4">
      <w:pPr>
        <w:pStyle w:val="a0"/>
      </w:pPr>
      <w:r w:rsidRPr="003862C4">
        <w:t>Abstract: Published scholarship documents the prevalence</w:t>
      </w:r>
      <w:r w:rsidR="00F81221">
        <w:t xml:space="preserve"> and </w:t>
      </w:r>
      <w:r w:rsidRPr="003862C4">
        <w:t>health risks of smoking among men. There is also a rich tradition of studying the normative influences of the media in constructing</w:t>
      </w:r>
      <w:r w:rsidR="00F81221">
        <w:t xml:space="preserve"> and </w:t>
      </w:r>
      <w:r w:rsidRPr="003862C4">
        <w:t>propagating images of healthy/unhealthy behaviors such as smoking. To understand the construction of these media-propagated smoking images toward male audiences, this article studies all advertising</w:t>
      </w:r>
      <w:r w:rsidR="00F81221">
        <w:t xml:space="preserve"> and </w:t>
      </w:r>
      <w:r w:rsidRPr="003862C4">
        <w:t>editorial content of 3 major men</w:t>
      </w:r>
      <w:r w:rsidR="000352E7">
        <w:t>’</w:t>
      </w:r>
      <w:r w:rsidRPr="003862C4">
        <w:t>s magazines for 2001 using rhetorical</w:t>
      </w:r>
      <w:r w:rsidR="00F81221">
        <w:t xml:space="preserve"> and </w:t>
      </w:r>
      <w:r w:rsidRPr="003862C4">
        <w:t>content analyses. The emergent themes construct the smoking man as sensual, in another place, independent,</w:t>
      </w:r>
      <w:r w:rsidR="00F81221">
        <w:t xml:space="preserve"> and </w:t>
      </w:r>
      <w:r w:rsidRPr="003862C4">
        <w:t xml:space="preserve">mysterious. The authors recommend turning around these themes of the masculine </w:t>
      </w:r>
      <w:r w:rsidR="000352E7">
        <w:t>“</w:t>
      </w:r>
      <w:r w:rsidRPr="003862C4">
        <w:t>smoking man</w:t>
      </w:r>
      <w:r w:rsidR="000352E7">
        <w:t>”</w:t>
      </w:r>
      <w:r w:rsidRPr="003862C4">
        <w:t xml:space="preserve"> for the purpose of strategic media planning</w:t>
      </w:r>
      <w:r w:rsidR="00F81221">
        <w:t xml:space="preserve"> and </w:t>
      </w:r>
      <w:r w:rsidRPr="003862C4">
        <w:t>developing message-targeting guidelines for smoking cessation</w:t>
      </w:r>
      <w:r w:rsidR="00F81221">
        <w:t xml:space="preserve"> and </w:t>
      </w:r>
      <w:r w:rsidRPr="003862C4">
        <w:t>prevention messages directed at men.</w:t>
      </w:r>
    </w:p>
    <w:p w:rsidR="00CF74C4" w:rsidRPr="003862C4" w:rsidRDefault="00CF74C4" w:rsidP="00CF74C4">
      <w:pPr>
        <w:pStyle w:val="a0"/>
      </w:pPr>
      <w:r w:rsidRPr="003862C4">
        <w:t>Keywords: Advertising, Analyses, Construction, Developing, Guidelines, Health, Male, Media, Men, Planning, Prevalence, Prevention, Purpose, Risks, Scholarship, Smoking, Strategic</w:t>
      </w:r>
    </w:p>
    <w:p w:rsidR="00BF38C2" w:rsidRPr="00217FB1" w:rsidRDefault="00BF38C2" w:rsidP="00BF38C2">
      <w:pPr>
        <w:pStyle w:val="1"/>
      </w:pPr>
      <w:r w:rsidRPr="00217FB1">
        <w:br w:type="page"/>
      </w:r>
      <w:bookmarkStart w:id="481" w:name="_Toc317160985"/>
      <w:r w:rsidRPr="00217FB1">
        <w:lastRenderedPageBreak/>
        <w:t xml:space="preserve">Title: </w:t>
      </w:r>
      <w:r w:rsidRPr="007D064B">
        <w:t>Health Data in the Information Society</w:t>
      </w:r>
      <w:bookmarkEnd w:id="481"/>
    </w:p>
    <w:p w:rsidR="00BF38C2" w:rsidRPr="00F82F1B" w:rsidRDefault="00BF38C2" w:rsidP="00B72EF9">
      <w:pPr>
        <w:pStyle w:val="12"/>
      </w:pPr>
      <w:r w:rsidRPr="00F82F1B">
        <w:t xml:space="preserve">Full Journal Title: </w:t>
      </w:r>
      <w:r w:rsidRPr="007D064B">
        <w:t>Health Data in the Information Society</w:t>
      </w:r>
    </w:p>
    <w:p w:rsidR="00BF38C2" w:rsidRPr="00F82F1B" w:rsidRDefault="00BF38C2" w:rsidP="00B72EF9">
      <w:pPr>
        <w:pStyle w:val="12"/>
      </w:pPr>
      <w:r w:rsidRPr="00F82F1B">
        <w:t xml:space="preserve">ISO Abbreviated Title: </w:t>
      </w:r>
    </w:p>
    <w:p w:rsidR="00BF38C2" w:rsidRPr="00F82F1B" w:rsidRDefault="00BF38C2" w:rsidP="00B72EF9">
      <w:pPr>
        <w:pStyle w:val="12"/>
      </w:pPr>
      <w:r w:rsidRPr="00F82F1B">
        <w:t>JCR Abbreviated Title</w:t>
      </w:r>
      <w:r>
        <w:t>:</w:t>
      </w:r>
      <w:r w:rsidRPr="00F82F1B">
        <w:t xml:space="preserve"> </w:t>
      </w:r>
    </w:p>
    <w:p w:rsidR="00BF38C2" w:rsidRPr="00F82F1B" w:rsidRDefault="00BF38C2" w:rsidP="00B72EF9">
      <w:pPr>
        <w:pStyle w:val="12"/>
      </w:pPr>
      <w:r w:rsidRPr="00F82F1B">
        <w:t xml:space="preserve">ISSN: </w:t>
      </w:r>
    </w:p>
    <w:p w:rsidR="00BF38C2" w:rsidRPr="00F82F1B" w:rsidRDefault="00BF38C2" w:rsidP="00B72EF9">
      <w:pPr>
        <w:pStyle w:val="12"/>
      </w:pPr>
      <w:r>
        <w:t xml:space="preserve">Issues/Year: </w:t>
      </w:r>
    </w:p>
    <w:p w:rsidR="00BF38C2" w:rsidRPr="00F82F1B" w:rsidRDefault="00FB5623" w:rsidP="00B72EF9">
      <w:pPr>
        <w:pStyle w:val="12"/>
      </w:pPr>
      <w:r>
        <w:t>Journal Country/Territory:</w:t>
      </w:r>
      <w:r w:rsidR="00BF38C2">
        <w:t xml:space="preserve"> </w:t>
      </w:r>
    </w:p>
    <w:p w:rsidR="00BF38C2" w:rsidRPr="00F82F1B" w:rsidRDefault="00BF38C2" w:rsidP="00B72EF9">
      <w:pPr>
        <w:pStyle w:val="12"/>
      </w:pPr>
      <w:r w:rsidRPr="00F82F1B">
        <w:t xml:space="preserve">Language: </w:t>
      </w:r>
    </w:p>
    <w:p w:rsidR="00BF38C2" w:rsidRDefault="00BF38C2" w:rsidP="00B72EF9">
      <w:pPr>
        <w:pStyle w:val="12"/>
      </w:pPr>
      <w:r w:rsidRPr="00F82F1B">
        <w:t xml:space="preserve">Publisher: </w:t>
      </w:r>
    </w:p>
    <w:p w:rsidR="00BF38C2" w:rsidRDefault="00BF38C2" w:rsidP="00B72EF9">
      <w:pPr>
        <w:pStyle w:val="12"/>
      </w:pPr>
      <w:r w:rsidRPr="00F82F1B">
        <w:t xml:space="preserve">Publisher Address: </w:t>
      </w:r>
    </w:p>
    <w:p w:rsidR="00BF38C2" w:rsidRPr="00F82F1B" w:rsidRDefault="00BF38C2" w:rsidP="00B72EF9">
      <w:pPr>
        <w:pStyle w:val="12"/>
      </w:pPr>
      <w:r w:rsidRPr="00F82F1B">
        <w:t>Subject Categories:</w:t>
      </w:r>
    </w:p>
    <w:p w:rsidR="00BF38C2" w:rsidRDefault="00BF38C2" w:rsidP="00BF38C2">
      <w:pPr>
        <w:pStyle w:val="a0"/>
        <w:rPr>
          <w:kern w:val="0"/>
          <w:szCs w:val="24"/>
        </w:rPr>
      </w:pPr>
      <w:r w:rsidRPr="00C739E0">
        <w:rPr>
          <w:rFonts w:hint="eastAsia"/>
        </w:rPr>
        <w:t xml:space="preserve">? </w:t>
      </w:r>
      <w:r>
        <w:rPr>
          <w:kern w:val="0"/>
          <w:szCs w:val="24"/>
        </w:rPr>
        <w:t>Soualmia, L.F., Darmon, S.J., Le Duff, F., Douyere, M.</w:t>
      </w:r>
      <w:r w:rsidR="00F81221">
        <w:rPr>
          <w:kern w:val="0"/>
          <w:szCs w:val="24"/>
        </w:rPr>
        <w:t xml:space="preserve"> and </w:t>
      </w:r>
      <w:r>
        <w:rPr>
          <w:kern w:val="0"/>
          <w:szCs w:val="24"/>
        </w:rPr>
        <w:t xml:space="preserve">Thelwall, M. (2002), Web Impact Factor: </w:t>
      </w:r>
      <w:r w:rsidR="00B82335">
        <w:rPr>
          <w:kern w:val="0"/>
          <w:szCs w:val="24"/>
        </w:rPr>
        <w:t xml:space="preserve">A </w:t>
      </w:r>
      <w:r>
        <w:rPr>
          <w:kern w:val="0"/>
          <w:szCs w:val="24"/>
        </w:rPr>
        <w:t>bibliometric criterion applied to medical informatics societies</w:t>
      </w:r>
      <w:r w:rsidR="000352E7">
        <w:rPr>
          <w:kern w:val="0"/>
          <w:szCs w:val="24"/>
        </w:rPr>
        <w:t>’</w:t>
      </w:r>
      <w:r>
        <w:rPr>
          <w:kern w:val="0"/>
          <w:szCs w:val="24"/>
        </w:rPr>
        <w:t xml:space="preserve"> Web sites. </w:t>
      </w:r>
      <w:r>
        <w:rPr>
          <w:i/>
          <w:iCs/>
          <w:kern w:val="0"/>
          <w:szCs w:val="24"/>
        </w:rPr>
        <w:t>Health Data in the Information Society</w:t>
      </w:r>
      <w:r>
        <w:rPr>
          <w:kern w:val="0"/>
          <w:szCs w:val="24"/>
        </w:rPr>
        <w:t xml:space="preserve">, </w:t>
      </w:r>
      <w:r>
        <w:rPr>
          <w:b/>
          <w:bCs/>
          <w:kern w:val="0"/>
          <w:szCs w:val="24"/>
        </w:rPr>
        <w:t>90</w:t>
      </w:r>
      <w:r>
        <w:rPr>
          <w:kern w:val="0"/>
          <w:szCs w:val="24"/>
        </w:rPr>
        <w:t>, 178-183.</w:t>
      </w:r>
    </w:p>
    <w:p w:rsidR="00BF38C2" w:rsidRDefault="00BF38C2" w:rsidP="00BF38C2">
      <w:pPr>
        <w:pStyle w:val="a0"/>
        <w:rPr>
          <w:kern w:val="0"/>
          <w:szCs w:val="24"/>
        </w:rPr>
      </w:pPr>
      <w:r>
        <w:rPr>
          <w:kern w:val="0"/>
          <w:szCs w:val="24"/>
        </w:rPr>
        <w:t>Abstract: Several methods are available to evaluate</w:t>
      </w:r>
      <w:r w:rsidR="00F81221">
        <w:rPr>
          <w:kern w:val="0"/>
          <w:szCs w:val="24"/>
        </w:rPr>
        <w:t xml:space="preserve"> and </w:t>
      </w:r>
      <w:r>
        <w:rPr>
          <w:kern w:val="0"/>
          <w:szCs w:val="24"/>
        </w:rPr>
        <w:t>compare medical journals. The most popular is the journal Impact Factor, derived from averaging counts of citations to articles. Ingwersen adapted this method to assess the attractiveness of Web sites, defining the external Web Impact Factor (WIF) to be the number of external pages containing a link to a given Web site. This paper applies the WIF to 43 medical informatics societies</w:t>
      </w:r>
      <w:r w:rsidR="000352E7">
        <w:rPr>
          <w:kern w:val="0"/>
          <w:szCs w:val="24"/>
        </w:rPr>
        <w:t>’</w:t>
      </w:r>
      <w:r>
        <w:rPr>
          <w:kern w:val="0"/>
          <w:szCs w:val="24"/>
        </w:rPr>
        <w:t xml:space="preserve"> Web sites using advanced search engine queries to obtain the necessary link counts. The WIF was compared to the number of publications available in the Medline bibliographic database in medical informatics in these 43 countries. Between these two metrics, the observed Pearson correlation was 0.952 (p&lt;0.01)</w:t>
      </w:r>
      <w:r w:rsidR="00F81221">
        <w:rPr>
          <w:kern w:val="0"/>
          <w:szCs w:val="24"/>
        </w:rPr>
        <w:t xml:space="preserve"> and </w:t>
      </w:r>
      <w:r>
        <w:rPr>
          <w:kern w:val="0"/>
          <w:szCs w:val="24"/>
        </w:rPr>
        <w:t>the Spearman rank correlation was 0.548 (p&lt;0.01) showing in both cases a positive</w:t>
      </w:r>
      <w:r w:rsidR="00F81221">
        <w:rPr>
          <w:kern w:val="0"/>
          <w:szCs w:val="24"/>
        </w:rPr>
        <w:t xml:space="preserve"> and </w:t>
      </w:r>
      <w:r>
        <w:rPr>
          <w:kern w:val="0"/>
          <w:szCs w:val="24"/>
        </w:rPr>
        <w:t>strong significant correlation. Conclusion: the WIF of medicalm informatics society</w:t>
      </w:r>
      <w:r w:rsidR="000352E7">
        <w:rPr>
          <w:kern w:val="0"/>
          <w:szCs w:val="24"/>
        </w:rPr>
        <w:t>’</w:t>
      </w:r>
      <w:r>
        <w:rPr>
          <w:kern w:val="0"/>
          <w:szCs w:val="24"/>
        </w:rPr>
        <w:t>s Web site is statistically related to national productivity</w:t>
      </w:r>
      <w:r w:rsidR="00F81221">
        <w:rPr>
          <w:kern w:val="0"/>
          <w:szCs w:val="24"/>
        </w:rPr>
        <w:t xml:space="preserve"> and </w:t>
      </w:r>
      <w:r>
        <w:rPr>
          <w:kern w:val="0"/>
          <w:szCs w:val="24"/>
        </w:rPr>
        <w:t>discrepancies can be used to indicate countries where there are either weak medical informatics associations, or ones that do not make optimal use of the Web.</w:t>
      </w:r>
    </w:p>
    <w:p w:rsidR="00BF38C2" w:rsidRPr="007D064B" w:rsidRDefault="00BF38C2" w:rsidP="00BF38C2">
      <w:pPr>
        <w:pStyle w:val="a0"/>
      </w:pPr>
      <w:r>
        <w:rPr>
          <w:kern w:val="0"/>
          <w:szCs w:val="24"/>
        </w:rPr>
        <w:t>Keywords: Bibliographic Database, Bibliometric, Bibliometrics, Citations, Countries, Database, Health Information, Internet, Journals, Medical, Medical Informatics, Medical Journals, Medline, Productivity, Publications, Search Engine</w:t>
      </w:r>
    </w:p>
    <w:p w:rsidR="00B95188" w:rsidRPr="00A428C3" w:rsidRDefault="00BF38C2" w:rsidP="00BF38C2">
      <w:pPr>
        <w:pStyle w:val="1"/>
      </w:pPr>
      <w:r w:rsidRPr="00217FB1">
        <w:br w:type="page"/>
      </w:r>
      <w:bookmarkStart w:id="482" w:name="_Toc186647755"/>
      <w:bookmarkStart w:id="483" w:name="_Toc317160986"/>
      <w:r w:rsidR="00B95188" w:rsidRPr="00A428C3">
        <w:lastRenderedPageBreak/>
        <w:t>Title: Health Economics</w:t>
      </w:r>
      <w:bookmarkEnd w:id="482"/>
      <w:bookmarkEnd w:id="483"/>
    </w:p>
    <w:p w:rsidR="00B95188" w:rsidRPr="00A428C3" w:rsidRDefault="00B95188" w:rsidP="00B72EF9">
      <w:pPr>
        <w:pStyle w:val="12"/>
      </w:pPr>
      <w:r w:rsidRPr="00A428C3">
        <w:t xml:space="preserve">Full Journal Title: </w:t>
      </w:r>
      <w:hyperlink r:id="rId541" w:history="1">
        <w:r w:rsidRPr="00A428C3">
          <w:rPr>
            <w:rStyle w:val="a5"/>
          </w:rPr>
          <w:t>Health Economics</w:t>
        </w:r>
      </w:hyperlink>
    </w:p>
    <w:p w:rsidR="00B95188" w:rsidRPr="00A428C3" w:rsidRDefault="00B95188" w:rsidP="00B72EF9">
      <w:pPr>
        <w:pStyle w:val="12"/>
      </w:pPr>
      <w:r w:rsidRPr="00A428C3">
        <w:t>ISO Abbreviated Title: Health Econ.</w:t>
      </w:r>
    </w:p>
    <w:p w:rsidR="00B95188" w:rsidRPr="00A428C3" w:rsidRDefault="00B95188" w:rsidP="00B72EF9">
      <w:pPr>
        <w:pStyle w:val="12"/>
      </w:pPr>
      <w:r w:rsidRPr="00A428C3">
        <w:t>JCR Abbreviated Title: Health Econ</w:t>
      </w:r>
    </w:p>
    <w:p w:rsidR="00B95188" w:rsidRPr="00A428C3" w:rsidRDefault="00B95188" w:rsidP="00B72EF9">
      <w:pPr>
        <w:pStyle w:val="12"/>
      </w:pPr>
      <w:r w:rsidRPr="00A428C3">
        <w:t>ISSN: 1057-9230</w:t>
      </w:r>
    </w:p>
    <w:p w:rsidR="00B95188" w:rsidRPr="00A428C3" w:rsidRDefault="00B95188" w:rsidP="00B72EF9">
      <w:pPr>
        <w:pStyle w:val="12"/>
      </w:pPr>
      <w:r w:rsidRPr="00A428C3">
        <w:t>Issues/Year: 8</w:t>
      </w:r>
    </w:p>
    <w:p w:rsidR="00B95188" w:rsidRPr="00A428C3" w:rsidRDefault="00B95188" w:rsidP="00B72EF9">
      <w:pPr>
        <w:pStyle w:val="12"/>
      </w:pPr>
      <w:r w:rsidRPr="00A428C3">
        <w:t>Journal Country/Territory: English</w:t>
      </w:r>
    </w:p>
    <w:p w:rsidR="00B95188" w:rsidRPr="00A428C3" w:rsidRDefault="00B95188" w:rsidP="00B72EF9">
      <w:pPr>
        <w:pStyle w:val="12"/>
      </w:pPr>
      <w:r w:rsidRPr="00A428C3">
        <w:t xml:space="preserve">Language: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Publisher: John Wiley &amp; Sons Ltd</w:t>
      </w:r>
    </w:p>
    <w:p w:rsidR="00B95188" w:rsidRPr="00A428C3" w:rsidRDefault="00B95188" w:rsidP="00B72EF9">
      <w:pPr>
        <w:pStyle w:val="12"/>
      </w:pPr>
      <w:r w:rsidRPr="00A428C3">
        <w:t xml:space="preserve">Publisher Address: The Atrium, Southern Gate, </w:t>
      </w:r>
      <w:smartTag w:uri="urn:schemas-microsoft-com:office:smarttags" w:element="City">
        <w:r w:rsidRPr="00A428C3">
          <w:t>Chichester</w:t>
        </w:r>
      </w:smartTag>
      <w:r w:rsidRPr="00A428C3">
        <w:t xml:space="preserve"> </w:t>
      </w:r>
      <w:smartTag w:uri="urn:schemas-microsoft-com:office:smarttags" w:element="PostalCode">
        <w:r w:rsidRPr="00A428C3">
          <w:t>PO19 8SQ</w:t>
        </w:r>
      </w:smartTag>
      <w:r w:rsidRPr="00A428C3">
        <w:t xml:space="preserve">, </w:t>
      </w:r>
      <w:smartTag w:uri="urn:schemas-microsoft-com:office:smarttags" w:element="State">
        <w:r w:rsidRPr="00A428C3">
          <w:t>W</w:t>
        </w:r>
      </w:smartTag>
      <w:r w:rsidRPr="00A428C3">
        <w:t xml:space="preserve"> </w:t>
      </w:r>
      <w:smartTag w:uri="urn:schemas-microsoft-com:office:smarttags" w:element="country-region">
        <w:r w:rsidRPr="00A428C3">
          <w:t>Sussex</w:t>
        </w:r>
      </w:smartTag>
      <w:r w:rsidRPr="00A428C3">
        <w:t xml:space="preserve">,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BF38C2" w:rsidRDefault="00B95188" w:rsidP="00B72EF9">
      <w:pPr>
        <w:pStyle w:val="12"/>
      </w:pPr>
      <w:r w:rsidRPr="00BF38C2">
        <w:t>Health Care Sciences &amp; Services: Impact Factor 1.591 (2004)</w:t>
      </w:r>
    </w:p>
    <w:p w:rsidR="00E61CE1" w:rsidRPr="001A3D2B" w:rsidRDefault="00E61CE1" w:rsidP="00E61CE1">
      <w:pPr>
        <w:pStyle w:val="a0"/>
      </w:pPr>
      <w:r w:rsidRPr="001A3D2B">
        <w:t>Notes: highly cited</w:t>
      </w:r>
    </w:p>
    <w:p w:rsidR="00E61CE1" w:rsidRPr="001A3D2B" w:rsidRDefault="00E61CE1" w:rsidP="00E61CE1">
      <w:pPr>
        <w:pStyle w:val="a0"/>
      </w:pPr>
      <w:r w:rsidRPr="001A3D2B">
        <w:t>? Diener, A., O</w:t>
      </w:r>
      <w:r w:rsidR="000352E7">
        <w:t>’</w:t>
      </w:r>
      <w:r w:rsidRPr="001A3D2B">
        <w:t>Brien, B.</w:t>
      </w:r>
      <w:r w:rsidR="00F81221">
        <w:t xml:space="preserve"> and </w:t>
      </w:r>
      <w:r w:rsidRPr="001A3D2B">
        <w:t>Gafni, A. (1998), Health care contingent valuation studies: A review</w:t>
      </w:r>
      <w:r w:rsidR="00F81221">
        <w:t xml:space="preserve"> and </w:t>
      </w:r>
      <w:r w:rsidRPr="001A3D2B">
        <w:t xml:space="preserve">classification of the literature. </w:t>
      </w:r>
      <w:r w:rsidRPr="001A3D2B">
        <w:rPr>
          <w:i/>
          <w:iCs/>
        </w:rPr>
        <w:t>Health Economics</w:t>
      </w:r>
      <w:r w:rsidRPr="001A3D2B">
        <w:t xml:space="preserve">, </w:t>
      </w:r>
      <w:r w:rsidRPr="001A3D2B">
        <w:rPr>
          <w:b/>
          <w:bCs/>
        </w:rPr>
        <w:t>7</w:t>
      </w:r>
      <w:r w:rsidRPr="001A3D2B">
        <w:t xml:space="preserve"> (4), 313-326.</w:t>
      </w:r>
    </w:p>
    <w:p w:rsidR="00E61CE1" w:rsidRPr="001A3D2B" w:rsidRDefault="00E61CE1" w:rsidP="00E61CE1">
      <w:pPr>
        <w:pStyle w:val="a0"/>
      </w:pPr>
      <w:r w:rsidRPr="001A3D2B">
        <w:t xml:space="preserve">Full Text: </w:t>
      </w:r>
      <w:hyperlink r:id="rId542" w:history="1">
        <w:r w:rsidRPr="001A3D2B">
          <w:rPr>
            <w:rStyle w:val="a5"/>
          </w:rPr>
          <w:t>1998\Hea Eco7, 313.pdf</w:t>
        </w:r>
      </w:hyperlink>
    </w:p>
    <w:p w:rsidR="00E61CE1" w:rsidRPr="001A3D2B" w:rsidRDefault="00E61CE1" w:rsidP="00E61CE1">
      <w:pPr>
        <w:pStyle w:val="a0"/>
      </w:pPr>
      <w:r w:rsidRPr="001A3D2B">
        <w:t>Abstract: Purpose: The contingent valuation method (CVM) is a survey-based approach for eliciting consumer</w:t>
      </w:r>
      <w:r w:rsidR="000352E7">
        <w:t>’</w:t>
      </w:r>
      <w:r w:rsidRPr="001A3D2B">
        <w:t>s monetary valuations for programme benefits for use in cost-benefit analysis (CBA). We used the conceptual framework of O</w:t>
      </w:r>
      <w:r w:rsidR="000352E7">
        <w:t>’</w:t>
      </w:r>
      <w:r w:rsidRPr="001A3D2B">
        <w:t>Brien</w:t>
      </w:r>
      <w:r w:rsidR="00F81221">
        <w:t xml:space="preserve"> and </w:t>
      </w:r>
      <w:r w:rsidRPr="001A3D2B">
        <w:t>Gafni (1996) to classify</w:t>
      </w:r>
      <w:r w:rsidR="00F81221">
        <w:t xml:space="preserve"> and </w:t>
      </w:r>
      <w:r w:rsidRPr="001A3D2B">
        <w:t>critically appraise health care CVM studies. Methods: Search of computerized health care</w:t>
      </w:r>
      <w:r w:rsidR="00F81221">
        <w:t xml:space="preserve"> and </w:t>
      </w:r>
      <w:r w:rsidRPr="001A3D2B">
        <w:t>economic citation databases (e.g. MEDLINE, ECONLIT)</w:t>
      </w:r>
      <w:r w:rsidR="00F81221">
        <w:t xml:space="preserve"> and </w:t>
      </w:r>
      <w:r w:rsidRPr="001A3D2B">
        <w:t>manual search for papers published between 1984-1996 reporting primary data valuing health programme benefits in monetary units by CVM using willingness-to-pay (WTP) or accept (WTA). We classified studies using both empirical (i.e. who was surveyed</w:t>
      </w:r>
      <w:r w:rsidR="00F81221">
        <w:t xml:space="preserve"> and </w:t>
      </w:r>
      <w:r w:rsidRPr="001A3D2B">
        <w:t>how)</w:t>
      </w:r>
      <w:r w:rsidR="00F81221">
        <w:t xml:space="preserve"> and </w:t>
      </w:r>
      <w:r w:rsidRPr="001A3D2B">
        <w:t>conceptual criteria (i.e. which measure of consumer utility was measured</w:t>
      </w:r>
      <w:r w:rsidR="00F81221">
        <w:t xml:space="preserve"> and </w:t>
      </w:r>
      <w:r w:rsidRPr="001A3D2B">
        <w:t>why). Results: 48 CVM studies were retrieved; the majority (42) undertook money valuation in the context of cost benefit analysis (CBA), with the remainder being pricing/demand studies. Among the 42 CBA studies, the consumer utility being measured (i.e. compensating (CV) vs. equivalent variation (EV) was explicitly stated in only three (7%) studies). WTP was measured in 95% of studies</w:t>
      </w:r>
      <w:r w:rsidR="00F81221">
        <w:t xml:space="preserve"> and </w:t>
      </w:r>
      <w:r w:rsidRPr="001A3D2B">
        <w:t>WTA in 5%. By cross-tabulation, 42 (91%) studies were designed as WTP/CV, two (4%) were WTP/CV, two (4%) were WTA/CV</w:t>
      </w:r>
      <w:r w:rsidR="00F81221">
        <w:t xml:space="preserve"> and </w:t>
      </w:r>
      <w:r w:rsidRPr="001A3D2B">
        <w:t xml:space="preserve">no studies used WTA/EV. Most studies were administered by mail (52%) with 38% being in-person interviews. Value elicitation techniques included open-ended questions (38%), payment cards (19%) discrete choice questions (26%) or bidding games (29%). Some form of construct validation tests, particularly associations </w:t>
      </w:r>
      <w:r w:rsidRPr="001A3D2B">
        <w:lastRenderedPageBreak/>
        <w:t>between WTP</w:t>
      </w:r>
      <w:r w:rsidR="00F81221">
        <w:t xml:space="preserve"> and </w:t>
      </w:r>
      <w:r w:rsidRPr="001A3D2B">
        <w:t>income, were done in 21 studies (50%). Conclusions: (i) The number of health care CVM studies is growing rapidly</w:t>
      </w:r>
      <w:r w:rsidR="00F81221">
        <w:t xml:space="preserve"> and </w:t>
      </w:r>
      <w:r w:rsidRPr="001A3D2B">
        <w:t>the majority are done in the context of CBA; (ii) there is wide variation among health care CVM studies in terms of the types of questions being posed</w:t>
      </w:r>
      <w:r w:rsidR="00F81221">
        <w:t xml:space="preserve"> and </w:t>
      </w:r>
      <w:r w:rsidRPr="001A3D2B">
        <w:t>the elicitation formats being used; (iii) classification</w:t>
      </w:r>
      <w:r w:rsidR="00F81221">
        <w:t xml:space="preserve"> and </w:t>
      </w:r>
      <w:r w:rsidRPr="001A3D2B">
        <w:t>appraisal of the literature is difficult because reporting of methods</w:t>
      </w:r>
      <w:r w:rsidR="00F81221">
        <w:t xml:space="preserve"> and </w:t>
      </w:r>
      <w:r w:rsidRPr="001A3D2B">
        <w:t>their relationship with the conceptual framework of CBA is poor; (iii) the applicability to health care of the CVM guidelines issued by the National Oceanic</w:t>
      </w:r>
      <w:r w:rsidR="00F81221">
        <w:t xml:space="preserve"> and </w:t>
      </w:r>
      <w:r w:rsidRPr="001A3D2B">
        <w:t>Atmospheric Administration (NOAA) panel for environmental economics is unclear. (C) 1998 John Wiley &amp; Sons, Ltd.</w:t>
      </w:r>
    </w:p>
    <w:p w:rsidR="00E61CE1" w:rsidRPr="001A3D2B" w:rsidRDefault="00E61CE1" w:rsidP="00E61CE1">
      <w:pPr>
        <w:pStyle w:val="a0"/>
      </w:pPr>
      <w:r w:rsidRPr="001A3D2B">
        <w:t>Keywords: Analysis, Approach, Benefit Analysis, Care, Choice, Citation, Classification, Context, Contingent Valuation, Cost, Cost Benefit, Cost-Benefit Analysis, Criteria, CVM, Data, Databases, Economic, Economics, Environmental, Environmental Economics, Framework, Guidelines, Health, Health Care, Interviews, Literature, Measure, MEDLINE, Methods, Papers, Primary, Reporting, Review, Techniques, Utility, Validation, Valuation, Willingness to Pay, WTA, WTP</w:t>
      </w:r>
    </w:p>
    <w:p w:rsidR="00E61CE1" w:rsidRPr="001A3D2B" w:rsidRDefault="00E61CE1" w:rsidP="00E61CE1">
      <w:pPr>
        <w:pStyle w:val="a0"/>
      </w:pPr>
      <w:r w:rsidRPr="001A3D2B">
        <w:t>? Maynard, A.</w:t>
      </w:r>
      <w:r w:rsidR="00F81221">
        <w:t xml:space="preserve"> and </w:t>
      </w:r>
      <w:r w:rsidRPr="001A3D2B">
        <w:t xml:space="preserve">Kanavos, P. (2000), </w:t>
      </w:r>
      <w:r w:rsidRPr="001A3D2B">
        <w:rPr>
          <w:i/>
          <w:iCs/>
        </w:rPr>
        <w:t>Health Economics</w:t>
      </w:r>
      <w:r w:rsidRPr="001A3D2B">
        <w:t xml:space="preserve">: An evolving paradigm. </w:t>
      </w:r>
      <w:r w:rsidRPr="001A3D2B">
        <w:rPr>
          <w:i/>
          <w:iCs/>
        </w:rPr>
        <w:t>Health Economics</w:t>
      </w:r>
      <w:r w:rsidRPr="001A3D2B">
        <w:t xml:space="preserve">, </w:t>
      </w:r>
      <w:r w:rsidRPr="001A3D2B">
        <w:rPr>
          <w:b/>
          <w:bCs/>
        </w:rPr>
        <w:t>9</w:t>
      </w:r>
      <w:r w:rsidRPr="001A3D2B">
        <w:t xml:space="preserve"> (3), 183-190.</w:t>
      </w:r>
    </w:p>
    <w:p w:rsidR="00E61CE1" w:rsidRPr="001A3D2B" w:rsidRDefault="00E61CE1" w:rsidP="00E61CE1">
      <w:pPr>
        <w:pStyle w:val="a0"/>
      </w:pPr>
      <w:r w:rsidRPr="001A3D2B">
        <w:t xml:space="preserve">Full Text: </w:t>
      </w:r>
      <w:hyperlink r:id="rId543" w:history="1">
        <w:r w:rsidRPr="001A3D2B">
          <w:rPr>
            <w:rStyle w:val="a5"/>
          </w:rPr>
          <w:t>2000\Hea Eco9, 183.pdf</w:t>
        </w:r>
      </w:hyperlink>
    </w:p>
    <w:p w:rsidR="00E61CE1" w:rsidRPr="001A3D2B" w:rsidRDefault="00E61CE1" w:rsidP="00E61CE1">
      <w:pPr>
        <w:pStyle w:val="a0"/>
      </w:pPr>
      <w:r w:rsidRPr="001A3D2B">
        <w:t>Keywords: Economics, Paradigm</w:t>
      </w:r>
    </w:p>
    <w:p w:rsidR="00B95188" w:rsidRPr="00A428C3" w:rsidRDefault="00B95188" w:rsidP="00B95188">
      <w:pPr>
        <w:pStyle w:val="a0"/>
      </w:pPr>
      <w:r w:rsidRPr="00A428C3">
        <w:t>? Rubin, R.M.</w:t>
      </w:r>
      <w:r w:rsidR="00F81221">
        <w:t xml:space="preserve"> and </w:t>
      </w:r>
      <w:r w:rsidRPr="00A428C3">
        <w:t xml:space="preserve">Chang, C.F. (2003), A bibliometric analysis of health economics articles in the economics literature: 1991-2000. </w:t>
      </w:r>
      <w:r w:rsidRPr="00A428C3">
        <w:rPr>
          <w:i/>
          <w:iCs/>
        </w:rPr>
        <w:t>Health Economics</w:t>
      </w:r>
      <w:r w:rsidRPr="00A428C3">
        <w:t xml:space="preserve">, </w:t>
      </w:r>
      <w:r w:rsidRPr="00A428C3">
        <w:rPr>
          <w:b/>
        </w:rPr>
        <w:t>12</w:t>
      </w:r>
      <w:r w:rsidRPr="00A428C3">
        <w:t xml:space="preserve"> (5), 403-414.</w:t>
      </w:r>
    </w:p>
    <w:p w:rsidR="00E61CE1" w:rsidRPr="001A3D2B" w:rsidRDefault="00E61CE1" w:rsidP="00E61CE1">
      <w:pPr>
        <w:pStyle w:val="a0"/>
      </w:pPr>
      <w:r w:rsidRPr="001A3D2B">
        <w:t xml:space="preserve">Full Text: </w:t>
      </w:r>
      <w:hyperlink r:id="rId544" w:history="1">
        <w:r w:rsidRPr="001A3D2B">
          <w:rPr>
            <w:rStyle w:val="a5"/>
          </w:rPr>
          <w:t>2003\Hea Eco12, 403.pdf</w:t>
        </w:r>
      </w:hyperlink>
    </w:p>
    <w:p w:rsidR="00B95188" w:rsidRPr="00A428C3" w:rsidRDefault="00B95188" w:rsidP="00B95188">
      <w:pPr>
        <w:pStyle w:val="a0"/>
      </w:pPr>
      <w:r w:rsidRPr="00A428C3">
        <w:t>Abstract: This paper describes</w:t>
      </w:r>
      <w:r w:rsidR="00F81221">
        <w:t xml:space="preserve"> and </w:t>
      </w:r>
      <w:r w:rsidRPr="00A428C3">
        <w:t>analyzes trends in health economics articles indexed in the economics literature from 1991 to 2000. demonstrating the robust state of publication in the field during the past decade. While articles, pages,</w:t>
      </w:r>
      <w:r w:rsidR="00F81221">
        <w:t xml:space="preserve"> and </w:t>
      </w:r>
      <w:r w:rsidRPr="00A428C3">
        <w:t>the number of journals increased, single authorship declined dramatically from almost half of articles published to only one-third,</w:t>
      </w:r>
      <w:r w:rsidR="00F81221">
        <w:t xml:space="preserve"> and </w:t>
      </w:r>
      <w:r w:rsidRPr="00A428C3">
        <w:t>papers with four or more authors increased three-fold. Over three-fourths of articles were analyses of healthcare markets or health production, while policy oriented articles constituted the third largest share. Author concentration ratios decreased almost by half</w:t>
      </w:r>
      <w:r w:rsidR="00F81221">
        <w:t xml:space="preserve"> and </w:t>
      </w:r>
      <w:r w:rsidRPr="00A428C3">
        <w:t xml:space="preserve">the Herfindhal-Hirschman index of author concentration declined from </w:t>
      </w:r>
      <w:smartTag w:uri="urn:schemas-microsoft-com:office:smarttags" w:element="chmetcnv">
        <w:smartTagPr>
          <w:attr w:name="TCSC" w:val="0"/>
          <w:attr w:name="NumberType" w:val="1"/>
          <w:attr w:name="Negative" w:val="False"/>
          <w:attr w:name="HasSpace" w:val="True"/>
          <w:attr w:name="SourceValue" w:val="14"/>
          <w:attr w:name="UnitName" w:val="in"/>
        </w:smartTagPr>
        <w:r w:rsidRPr="00A428C3">
          <w:t>14 in</w:t>
        </w:r>
      </w:smartTag>
      <w:r w:rsidRPr="00A428C3">
        <w:t xml:space="preserve"> 1991 to only </w:t>
      </w:r>
      <w:smartTag w:uri="urn:schemas-microsoft-com:office:smarttags" w:element="chmetcnv">
        <w:smartTagPr>
          <w:attr w:name="TCSC" w:val="0"/>
          <w:attr w:name="NumberType" w:val="1"/>
          <w:attr w:name="Negative" w:val="False"/>
          <w:attr w:name="HasSpace" w:val="True"/>
          <w:attr w:name="SourceValue" w:val="4"/>
          <w:attr w:name="UnitName" w:val="in"/>
        </w:smartTagPr>
        <w:r w:rsidRPr="00A428C3">
          <w:t>4 in</w:t>
        </w:r>
      </w:smartTag>
      <w:r w:rsidRPr="00A428C3">
        <w:t xml:space="preserve"> 1999. Copyright (C) 2003 John Wiley Sons, Ltd.</w:t>
      </w:r>
    </w:p>
    <w:p w:rsidR="00B95188" w:rsidRPr="00A428C3" w:rsidRDefault="00B95188" w:rsidP="00B95188">
      <w:pPr>
        <w:pStyle w:val="a0"/>
      </w:pPr>
      <w:r w:rsidRPr="00A428C3">
        <w:t>Keywords: Health Economics Articles, Bibliometric Analysis, Health Economics Literature, Scholarly Journals</w:t>
      </w:r>
    </w:p>
    <w:p w:rsidR="00E61CE1" w:rsidRDefault="00E61CE1" w:rsidP="00E61CE1">
      <w:pPr>
        <w:pStyle w:val="a0"/>
        <w:rPr>
          <w:kern w:val="0"/>
        </w:rPr>
      </w:pPr>
      <w:r>
        <w:rPr>
          <w:rFonts w:hint="eastAsia"/>
          <w:kern w:val="0"/>
        </w:rPr>
        <w:t xml:space="preserve">? </w:t>
      </w:r>
      <w:r>
        <w:rPr>
          <w:kern w:val="0"/>
        </w:rPr>
        <w:t>Bonastre, J., le Vaillant, M.</w:t>
      </w:r>
      <w:r w:rsidR="00F81221">
        <w:rPr>
          <w:kern w:val="0"/>
        </w:rPr>
        <w:t xml:space="preserve"> and </w:t>
      </w:r>
      <w:r>
        <w:rPr>
          <w:kern w:val="0"/>
        </w:rPr>
        <w:t>de Pouvourville, G. (201</w:t>
      </w:r>
      <w:r>
        <w:rPr>
          <w:rFonts w:hint="eastAsia"/>
          <w:kern w:val="0"/>
        </w:rPr>
        <w:t>1</w:t>
      </w:r>
      <w:r>
        <w:rPr>
          <w:kern w:val="0"/>
        </w:rPr>
        <w:t xml:space="preserve">), The impact of research on hospital costs of care: An empirical study. </w:t>
      </w:r>
      <w:r>
        <w:rPr>
          <w:i/>
          <w:iCs/>
          <w:kern w:val="0"/>
        </w:rPr>
        <w:t>Health Economics</w:t>
      </w:r>
      <w:r>
        <w:rPr>
          <w:kern w:val="0"/>
        </w:rPr>
        <w:t xml:space="preserve">, </w:t>
      </w:r>
      <w:r>
        <w:rPr>
          <w:b/>
          <w:bCs/>
          <w:kern w:val="0"/>
        </w:rPr>
        <w:t>20</w:t>
      </w:r>
      <w:r>
        <w:rPr>
          <w:kern w:val="0"/>
        </w:rPr>
        <w:t xml:space="preserve"> (1), 73-84.</w:t>
      </w:r>
    </w:p>
    <w:p w:rsidR="00E61CE1" w:rsidRPr="001A3D2B" w:rsidRDefault="00E61CE1" w:rsidP="00E61CE1">
      <w:pPr>
        <w:pStyle w:val="a0"/>
      </w:pPr>
      <w:r w:rsidRPr="001A3D2B">
        <w:t xml:space="preserve">Full Text: </w:t>
      </w:r>
      <w:hyperlink r:id="rId545" w:history="1">
        <w:r w:rsidRPr="00E61CE1">
          <w:rPr>
            <w:rStyle w:val="a5"/>
          </w:rPr>
          <w:t>2011\Hea Eco20, 73.pdf</w:t>
        </w:r>
      </w:hyperlink>
    </w:p>
    <w:p w:rsidR="00E61CE1" w:rsidRDefault="00E61CE1" w:rsidP="00E61CE1">
      <w:pPr>
        <w:pStyle w:val="a0"/>
        <w:rPr>
          <w:kern w:val="0"/>
        </w:rPr>
      </w:pPr>
      <w:r>
        <w:rPr>
          <w:kern w:val="0"/>
        </w:rPr>
        <w:t>Abstract: The goal of this study was to examine the impact of research activities on hospital costs</w:t>
      </w:r>
      <w:r w:rsidR="00F81221">
        <w:rPr>
          <w:kern w:val="0"/>
        </w:rPr>
        <w:t xml:space="preserve"> and </w:t>
      </w:r>
      <w:r>
        <w:rPr>
          <w:kern w:val="0"/>
        </w:rPr>
        <w:t xml:space="preserve">lengths of stay in French public hospitals. Our data consist of a </w:t>
      </w:r>
      <w:r>
        <w:rPr>
          <w:kern w:val="0"/>
        </w:rPr>
        <w:lastRenderedPageBreak/>
        <w:t>random sample of 30 000 inpatient stays in 38 hospitals that were extracted from the French Hospital Cost Survey database. Hospital characteristics were added using data from a French national survey</w:t>
      </w:r>
      <w:r w:rsidR="00F81221">
        <w:rPr>
          <w:kern w:val="0"/>
        </w:rPr>
        <w:t xml:space="preserve"> and </w:t>
      </w:r>
      <w:r>
        <w:rPr>
          <w:kern w:val="0"/>
        </w:rPr>
        <w:t>performing a bibliometric study. This is a retrospective study of hospitalizations. We used multilevel modelling. We considered separate models to explain the cost per day</w:t>
      </w:r>
      <w:r w:rsidR="00F81221">
        <w:rPr>
          <w:kern w:val="0"/>
        </w:rPr>
        <w:t xml:space="preserve"> and </w:t>
      </w:r>
      <w:r>
        <w:rPr>
          <w:kern w:val="0"/>
        </w:rPr>
        <w:t>the length of hospital stay (LOS). Research output was defined based on the quartiles of the distribution of the number of impact-weighted scientific publications produced in our sample of hospitals over a 6-year period. Research production was associated with a higher cost of care. The cost per day was 19% higher in hospitals in the 3rd quartile</w:t>
      </w:r>
      <w:r w:rsidR="00F81221">
        <w:rPr>
          <w:kern w:val="0"/>
        </w:rPr>
        <w:t xml:space="preserve"> and </w:t>
      </w:r>
      <w:r>
        <w:rPr>
          <w:kern w:val="0"/>
        </w:rPr>
        <w:t>42% higher in hospitals in the 4th quartile compared to that in hospitals that were not involved in research activities. This result was sensitive to the type of care under consideration. The effect was stronger in oncology but not significant in routine care. Scientific production did not impact the LOS. Copyright (C) 2010 John Wiley &amp; Sons, Ltd.</w:t>
      </w:r>
    </w:p>
    <w:p w:rsidR="00E61CE1" w:rsidRDefault="00E61CE1" w:rsidP="00E61CE1">
      <w:pPr>
        <w:pStyle w:val="a0"/>
        <w:rPr>
          <w:kern w:val="0"/>
        </w:rPr>
      </w:pPr>
      <w:r>
        <w:rPr>
          <w:kern w:val="0"/>
        </w:rPr>
        <w:t>Keywords: Bibliometric, Bibliometric Study, Cost, Data, Database, Efficiency, French, Funding, Hospital Costs, Impact, Length, Medical-Service Increment, Modelling, Models, Multilevel Modelling, Output, Payment, Production, Publications, Research, Research Output, Scientific Production, Scientific Publications, Stay, Survey, Teaching Hospitals, Teaching Sift, Web of Science</w:t>
      </w:r>
    </w:p>
    <w:p w:rsidR="00CF74C4" w:rsidRPr="00A428C3" w:rsidRDefault="00CF74C4" w:rsidP="00CF74C4">
      <w:pPr>
        <w:pStyle w:val="1"/>
      </w:pPr>
      <w:r w:rsidRPr="00A428C3">
        <w:br w:type="page"/>
      </w:r>
      <w:bookmarkStart w:id="484" w:name="_Toc238862964"/>
      <w:bookmarkStart w:id="485" w:name="_Toc317160987"/>
      <w:r w:rsidRPr="00A428C3">
        <w:lastRenderedPageBreak/>
        <w:t xml:space="preserve">Title: </w:t>
      </w:r>
      <w:r w:rsidRPr="003E3BCE">
        <w:t>Health Education &amp; Behavior</w:t>
      </w:r>
      <w:bookmarkEnd w:id="484"/>
      <w:bookmarkEnd w:id="485"/>
    </w:p>
    <w:p w:rsidR="00CF74C4" w:rsidRPr="00A428C3" w:rsidRDefault="00CF74C4" w:rsidP="00B72EF9">
      <w:pPr>
        <w:pStyle w:val="12"/>
      </w:pPr>
      <w:r w:rsidRPr="00A428C3">
        <w:t xml:space="preserve">Full Journal Title: </w:t>
      </w:r>
      <w:hyperlink r:id="rId546" w:history="1">
        <w:r w:rsidRPr="003E3BCE">
          <w:rPr>
            <w:rStyle w:val="a5"/>
            <w:iCs/>
          </w:rPr>
          <w:t>Health Education &amp; Behavior</w:t>
        </w:r>
      </w:hyperlink>
    </w:p>
    <w:p w:rsidR="00CF74C4" w:rsidRPr="00A428C3" w:rsidRDefault="00CF74C4" w:rsidP="00B72EF9">
      <w:pPr>
        <w:pStyle w:val="12"/>
      </w:pPr>
      <w:r>
        <w:t xml:space="preserve">ISO Abbreviated Title: </w:t>
      </w:r>
    </w:p>
    <w:p w:rsidR="00CF74C4" w:rsidRPr="00A428C3" w:rsidRDefault="00CF74C4" w:rsidP="00B72EF9">
      <w:pPr>
        <w:pStyle w:val="12"/>
      </w:pPr>
      <w:r w:rsidRPr="00A428C3">
        <w:t>JCR Abbreviated Title</w:t>
      </w:r>
      <w:r>
        <w:t>:</w:t>
      </w:r>
      <w:r w:rsidRPr="00A428C3">
        <w:t xml:space="preserve"> </w:t>
      </w:r>
    </w:p>
    <w:p w:rsidR="00CF74C4" w:rsidRPr="00A428C3" w:rsidRDefault="00CF74C4" w:rsidP="00B72EF9">
      <w:pPr>
        <w:pStyle w:val="12"/>
      </w:pPr>
      <w:r w:rsidRPr="00A428C3">
        <w:t xml:space="preserve">ISSN: </w:t>
      </w:r>
      <w:r w:rsidRPr="00AC6439">
        <w:t>1090-1981</w:t>
      </w:r>
    </w:p>
    <w:p w:rsidR="00CF74C4" w:rsidRPr="00A428C3" w:rsidRDefault="00CF74C4" w:rsidP="00B72EF9">
      <w:pPr>
        <w:pStyle w:val="12"/>
      </w:pPr>
      <w:r w:rsidRPr="00A428C3">
        <w:t xml:space="preserve">Issues/Year: </w:t>
      </w:r>
    </w:p>
    <w:p w:rsidR="00CF74C4" w:rsidRPr="00A428C3" w:rsidRDefault="00CF74C4" w:rsidP="00B72EF9">
      <w:pPr>
        <w:pStyle w:val="12"/>
      </w:pPr>
      <w:r w:rsidRPr="00A428C3">
        <w:t>Journal Country/Territory:</w:t>
      </w:r>
    </w:p>
    <w:p w:rsidR="00CF74C4" w:rsidRPr="00A428C3" w:rsidRDefault="00CF74C4" w:rsidP="00B72EF9">
      <w:pPr>
        <w:pStyle w:val="12"/>
      </w:pPr>
      <w:r w:rsidRPr="00A428C3">
        <w:t xml:space="preserve">Language: </w:t>
      </w:r>
    </w:p>
    <w:p w:rsidR="00CF74C4" w:rsidRPr="00A428C3" w:rsidRDefault="00CF74C4" w:rsidP="00B72EF9">
      <w:pPr>
        <w:pStyle w:val="12"/>
      </w:pPr>
      <w:r w:rsidRPr="00A428C3">
        <w:t xml:space="preserve">Publisher: </w:t>
      </w:r>
    </w:p>
    <w:p w:rsidR="00CF74C4" w:rsidRPr="00A428C3" w:rsidRDefault="00CF74C4" w:rsidP="00B72EF9">
      <w:pPr>
        <w:pStyle w:val="12"/>
      </w:pPr>
      <w:r w:rsidRPr="00A428C3">
        <w:t xml:space="preserve">Publisher Address: </w:t>
      </w:r>
    </w:p>
    <w:p w:rsidR="00CF74C4" w:rsidRPr="00A428C3" w:rsidRDefault="00CF74C4" w:rsidP="00B72EF9">
      <w:pPr>
        <w:pStyle w:val="12"/>
      </w:pPr>
      <w:r w:rsidRPr="00A428C3">
        <w:t>Subject Categories:</w:t>
      </w:r>
    </w:p>
    <w:p w:rsidR="00CF74C4" w:rsidRPr="00A428C3" w:rsidRDefault="00CF74C4" w:rsidP="00B72EF9">
      <w:pPr>
        <w:pStyle w:val="12"/>
      </w:pPr>
      <w:r w:rsidRPr="00A428C3">
        <w:t>: Impact Factor</w:t>
      </w:r>
    </w:p>
    <w:p w:rsidR="00CF74C4" w:rsidRPr="003862C4" w:rsidRDefault="00CF74C4" w:rsidP="00CF74C4">
      <w:pPr>
        <w:pStyle w:val="a0"/>
      </w:pPr>
      <w:r w:rsidRPr="008B2BB0">
        <w:t>? Simons-Morton, B. (2007), Defined by publication: A commentary on health education</w:t>
      </w:r>
      <w:r w:rsidR="00F81221">
        <w:t xml:space="preserve"> and </w:t>
      </w:r>
      <w:r w:rsidRPr="008B2BB0">
        <w:t xml:space="preserve">health promotion publication trends. </w:t>
      </w:r>
      <w:r w:rsidRPr="00CE7517">
        <w:rPr>
          <w:i/>
          <w:iCs/>
        </w:rPr>
        <w:t>Health Education &amp; Behavior</w:t>
      </w:r>
      <w:r w:rsidRPr="008B2BB0">
        <w:t xml:space="preserve">, </w:t>
      </w:r>
      <w:r w:rsidRPr="00551655">
        <w:rPr>
          <w:b/>
          <w:bCs/>
        </w:rPr>
        <w:t>34</w:t>
      </w:r>
      <w:r w:rsidRPr="003862C4">
        <w:t xml:space="preserve"> (1), 26-30</w:t>
      </w:r>
      <w:r w:rsidRPr="003862C4">
        <w:rPr>
          <w:rFonts w:hint="eastAsia"/>
        </w:rPr>
        <w:t>.</w:t>
      </w:r>
    </w:p>
    <w:p w:rsidR="00CF74C4" w:rsidRPr="003862C4" w:rsidRDefault="00CF74C4" w:rsidP="00CF74C4">
      <w:pPr>
        <w:pStyle w:val="a0"/>
      </w:pPr>
      <w:r w:rsidRPr="003862C4">
        <w:rPr>
          <w:rFonts w:hint="eastAsia"/>
        </w:rPr>
        <w:t xml:space="preserve">Full Text: </w:t>
      </w:r>
      <w:hyperlink r:id="rId547" w:history="1">
        <w:r w:rsidRPr="00AC6439">
          <w:rPr>
            <w:rStyle w:val="a5"/>
          </w:rPr>
          <w:t>2007\Hea Edu Beh34, 26.pdf</w:t>
        </w:r>
      </w:hyperlink>
    </w:p>
    <w:p w:rsidR="00CF74C4" w:rsidRPr="003862C4" w:rsidRDefault="00CF74C4" w:rsidP="00CF74C4">
      <w:pPr>
        <w:pStyle w:val="a0"/>
      </w:pPr>
      <w:r w:rsidRPr="003862C4">
        <w:t>Keywords: Education, Health, Health Education, Health Promotion, Promotion, Publication, Trends</w:t>
      </w:r>
    </w:p>
    <w:p w:rsidR="00AA0681" w:rsidRPr="00A428C3" w:rsidRDefault="00AA0681" w:rsidP="00AA0681">
      <w:pPr>
        <w:pStyle w:val="1"/>
      </w:pPr>
      <w:r w:rsidRPr="00A428C3">
        <w:br w:type="page"/>
      </w:r>
      <w:bookmarkStart w:id="486" w:name="_Toc317160988"/>
      <w:r w:rsidRPr="00A428C3">
        <w:lastRenderedPageBreak/>
        <w:t xml:space="preserve">Title: </w:t>
      </w:r>
      <w:r w:rsidRPr="00AA0681">
        <w:rPr>
          <w:iCs/>
          <w:szCs w:val="24"/>
        </w:rPr>
        <w:t>Health Education Journal</w:t>
      </w:r>
      <w:bookmarkEnd w:id="486"/>
    </w:p>
    <w:p w:rsidR="00AA0681" w:rsidRPr="00A428C3" w:rsidRDefault="00AA0681" w:rsidP="00AA0681">
      <w:pPr>
        <w:pStyle w:val="12"/>
      </w:pPr>
      <w:r w:rsidRPr="00A428C3">
        <w:t xml:space="preserve">Full Journal Title: </w:t>
      </w:r>
      <w:r w:rsidRPr="00AA0681">
        <w:rPr>
          <w:iCs/>
        </w:rPr>
        <w:t>Health Education Journal</w:t>
      </w:r>
    </w:p>
    <w:p w:rsidR="00AA0681" w:rsidRPr="00A428C3" w:rsidRDefault="00AA0681" w:rsidP="00AA0681">
      <w:pPr>
        <w:pStyle w:val="12"/>
      </w:pPr>
      <w:r w:rsidRPr="00A428C3">
        <w:t xml:space="preserve">ISO Abbreviated Title: </w:t>
      </w:r>
    </w:p>
    <w:p w:rsidR="00AA0681" w:rsidRPr="00A428C3" w:rsidRDefault="00AA0681" w:rsidP="00AA0681">
      <w:pPr>
        <w:pStyle w:val="12"/>
      </w:pPr>
      <w:r w:rsidRPr="00A428C3">
        <w:t xml:space="preserve">JCR Abbreviated Title: </w:t>
      </w:r>
    </w:p>
    <w:p w:rsidR="00AA0681" w:rsidRPr="00A428C3" w:rsidRDefault="00AA0681" w:rsidP="00AA0681">
      <w:pPr>
        <w:pStyle w:val="12"/>
      </w:pPr>
      <w:r w:rsidRPr="00A428C3">
        <w:t xml:space="preserve">ISSN: </w:t>
      </w:r>
    </w:p>
    <w:p w:rsidR="00AA0681" w:rsidRPr="00A428C3" w:rsidRDefault="00AA0681" w:rsidP="00AA0681">
      <w:pPr>
        <w:pStyle w:val="12"/>
      </w:pPr>
      <w:r w:rsidRPr="00A428C3">
        <w:t xml:space="preserve">Issues/Year: </w:t>
      </w:r>
    </w:p>
    <w:p w:rsidR="00AA0681" w:rsidRPr="00A428C3" w:rsidRDefault="00AA0681" w:rsidP="00AA0681">
      <w:pPr>
        <w:pStyle w:val="12"/>
      </w:pPr>
      <w:r w:rsidRPr="00A428C3">
        <w:t>Journal Country/Territory:</w:t>
      </w:r>
    </w:p>
    <w:p w:rsidR="00AA0681" w:rsidRPr="00A428C3" w:rsidRDefault="00AA0681" w:rsidP="00AA0681">
      <w:pPr>
        <w:pStyle w:val="12"/>
      </w:pPr>
      <w:r w:rsidRPr="00A428C3">
        <w:t xml:space="preserve">Language: </w:t>
      </w:r>
    </w:p>
    <w:p w:rsidR="00AA0681" w:rsidRPr="00A428C3" w:rsidRDefault="00AA0681" w:rsidP="00AA0681">
      <w:pPr>
        <w:pStyle w:val="12"/>
      </w:pPr>
      <w:r w:rsidRPr="00A428C3">
        <w:t xml:space="preserve">Publisher: </w:t>
      </w:r>
    </w:p>
    <w:p w:rsidR="00AA0681" w:rsidRPr="00A428C3" w:rsidRDefault="00AA0681" w:rsidP="00AA0681">
      <w:pPr>
        <w:pStyle w:val="12"/>
      </w:pPr>
      <w:r w:rsidRPr="00A428C3">
        <w:t xml:space="preserve">Publisher Address: </w:t>
      </w:r>
    </w:p>
    <w:p w:rsidR="00AA0681" w:rsidRPr="00A428C3" w:rsidRDefault="00AA0681" w:rsidP="00AA0681">
      <w:pPr>
        <w:pStyle w:val="12"/>
      </w:pPr>
      <w:r w:rsidRPr="00A428C3">
        <w:t>Subject Categories:</w:t>
      </w:r>
    </w:p>
    <w:p w:rsidR="00AA0681" w:rsidRPr="00A428C3" w:rsidRDefault="00AA0681" w:rsidP="00AA0681">
      <w:pPr>
        <w:pStyle w:val="12"/>
      </w:pPr>
      <w:r w:rsidRPr="00A428C3">
        <w:t>: Impact Factor</w:t>
      </w:r>
    </w:p>
    <w:p w:rsidR="00AA0681" w:rsidRDefault="00AA0681" w:rsidP="00AA0681">
      <w:pPr>
        <w:pStyle w:val="a0"/>
        <w:rPr>
          <w:kern w:val="0"/>
          <w:szCs w:val="24"/>
        </w:rPr>
      </w:pPr>
      <w:r>
        <w:rPr>
          <w:rFonts w:hint="eastAsia"/>
          <w:kern w:val="0"/>
          <w:szCs w:val="24"/>
        </w:rPr>
        <w:t xml:space="preserve">? </w:t>
      </w:r>
      <w:r>
        <w:rPr>
          <w:kern w:val="0"/>
          <w:szCs w:val="24"/>
        </w:rPr>
        <w:t>Friedman, D.B.</w:t>
      </w:r>
      <w:r w:rsidR="00F81221">
        <w:rPr>
          <w:kern w:val="0"/>
          <w:szCs w:val="24"/>
        </w:rPr>
        <w:t xml:space="preserve"> and </w:t>
      </w:r>
      <w:r>
        <w:rPr>
          <w:kern w:val="0"/>
          <w:szCs w:val="24"/>
        </w:rPr>
        <w:t>Hoffman-Goetz, L. (2008), Literacy</w:t>
      </w:r>
      <w:r w:rsidR="00F81221">
        <w:rPr>
          <w:kern w:val="0"/>
          <w:szCs w:val="24"/>
        </w:rPr>
        <w:t xml:space="preserve"> and </w:t>
      </w:r>
      <w:r>
        <w:rPr>
          <w:kern w:val="0"/>
          <w:szCs w:val="24"/>
        </w:rPr>
        <w:t xml:space="preserve">health literacy as defined in cancer education research: A systematic review. </w:t>
      </w:r>
      <w:r w:rsidRPr="00AA0681">
        <w:rPr>
          <w:i/>
          <w:iCs/>
          <w:kern w:val="0"/>
          <w:szCs w:val="24"/>
        </w:rPr>
        <w:t>Health Education Journal</w:t>
      </w:r>
      <w:r>
        <w:rPr>
          <w:kern w:val="0"/>
          <w:szCs w:val="24"/>
        </w:rPr>
        <w:t xml:space="preserve">, </w:t>
      </w:r>
      <w:r>
        <w:rPr>
          <w:b/>
          <w:bCs/>
          <w:kern w:val="0"/>
          <w:szCs w:val="24"/>
        </w:rPr>
        <w:t>67</w:t>
      </w:r>
      <w:r>
        <w:rPr>
          <w:kern w:val="0"/>
          <w:szCs w:val="24"/>
        </w:rPr>
        <w:t xml:space="preserve"> (4), 285-304.</w:t>
      </w:r>
    </w:p>
    <w:p w:rsidR="00AA0681" w:rsidRDefault="00AA0681" w:rsidP="00AA0681">
      <w:pPr>
        <w:pStyle w:val="a0"/>
        <w:rPr>
          <w:kern w:val="0"/>
          <w:szCs w:val="24"/>
        </w:rPr>
      </w:pPr>
      <w:r>
        <w:rPr>
          <w:rFonts w:hint="eastAsia"/>
          <w:kern w:val="0"/>
          <w:szCs w:val="24"/>
        </w:rPr>
        <w:t xml:space="preserve">Full Text: </w:t>
      </w:r>
      <w:hyperlink r:id="rId548" w:history="1">
        <w:r w:rsidRPr="00AA0681">
          <w:rPr>
            <w:rStyle w:val="a5"/>
            <w:kern w:val="0"/>
            <w:szCs w:val="24"/>
          </w:rPr>
          <w:t>2008\Hea Edu J67, 285.pdf</w:t>
        </w:r>
      </w:hyperlink>
    </w:p>
    <w:p w:rsidR="00AA0681" w:rsidRDefault="00AA0681" w:rsidP="00AA0681">
      <w:pPr>
        <w:pStyle w:val="a0"/>
        <w:rPr>
          <w:kern w:val="0"/>
          <w:szCs w:val="24"/>
        </w:rPr>
      </w:pPr>
      <w:r>
        <w:rPr>
          <w:kern w:val="0"/>
          <w:szCs w:val="24"/>
        </w:rPr>
        <w:t>Abstract: Background Limited literacy</w:t>
      </w:r>
      <w:r w:rsidR="00F81221">
        <w:rPr>
          <w:kern w:val="0"/>
          <w:szCs w:val="24"/>
        </w:rPr>
        <w:t xml:space="preserve"> and </w:t>
      </w:r>
      <w:r>
        <w:rPr>
          <w:kern w:val="0"/>
          <w:szCs w:val="24"/>
        </w:rPr>
        <w:t>health literacy are associated with lack of cancer screening</w:t>
      </w:r>
      <w:r w:rsidR="00F81221">
        <w:rPr>
          <w:kern w:val="0"/>
          <w:szCs w:val="24"/>
        </w:rPr>
        <w:t xml:space="preserve"> and </w:t>
      </w:r>
      <w:r>
        <w:rPr>
          <w:kern w:val="0"/>
          <w:szCs w:val="24"/>
        </w:rPr>
        <w:t>later stage cancer diagnoses. Objective To systematically review the literature for definitions of literacy</w:t>
      </w:r>
      <w:r w:rsidR="00F81221">
        <w:rPr>
          <w:kern w:val="0"/>
          <w:szCs w:val="24"/>
        </w:rPr>
        <w:t xml:space="preserve"> and </w:t>
      </w:r>
      <w:r>
        <w:rPr>
          <w:kern w:val="0"/>
          <w:szCs w:val="24"/>
        </w:rPr>
        <w:t>health literacy as related to patient access, use,</w:t>
      </w:r>
      <w:r w:rsidR="00F81221">
        <w:rPr>
          <w:kern w:val="0"/>
          <w:szCs w:val="24"/>
        </w:rPr>
        <w:t xml:space="preserve"> and </w:t>
      </w:r>
      <w:r>
        <w:rPr>
          <w:kern w:val="0"/>
          <w:szCs w:val="24"/>
        </w:rPr>
        <w:t>comprehension of cancer prevention</w:t>
      </w:r>
      <w:r w:rsidR="00F81221">
        <w:rPr>
          <w:kern w:val="0"/>
          <w:szCs w:val="24"/>
        </w:rPr>
        <w:t xml:space="preserve"> and </w:t>
      </w:r>
      <w:r>
        <w:rPr>
          <w:kern w:val="0"/>
          <w:szCs w:val="24"/>
        </w:rPr>
        <w:t>treatment education. Methods Original research articles written from 1992 to 2006 inclusive with the terms health literacy and/or literacy in the title, abstract or key words</w:t>
      </w:r>
      <w:r w:rsidR="00F81221">
        <w:rPr>
          <w:kern w:val="0"/>
          <w:szCs w:val="24"/>
        </w:rPr>
        <w:t xml:space="preserve"> and </w:t>
      </w:r>
      <w:r>
        <w:rPr>
          <w:kern w:val="0"/>
          <w:szCs w:val="24"/>
        </w:rPr>
        <w:t>explicitly linked to cancer information were found by searching MEDLINE, PsycINFO, CSA Sociological Abstracts, Social Sciences Citation Index,</w:t>
      </w:r>
      <w:r w:rsidR="00F81221">
        <w:rPr>
          <w:kern w:val="0"/>
          <w:szCs w:val="24"/>
        </w:rPr>
        <w:t xml:space="preserve"> and </w:t>
      </w:r>
      <w:r>
        <w:rPr>
          <w:kern w:val="0"/>
          <w:szCs w:val="24"/>
        </w:rPr>
        <w:t>Cumulative Index to Nursing</w:t>
      </w:r>
      <w:r w:rsidR="00F81221">
        <w:rPr>
          <w:kern w:val="0"/>
          <w:szCs w:val="24"/>
        </w:rPr>
        <w:t xml:space="preserve"> and </w:t>
      </w:r>
      <w:r>
        <w:rPr>
          <w:kern w:val="0"/>
          <w:szCs w:val="24"/>
        </w:rPr>
        <w:t>Allied Health Literature (CINAHL). Results A final sample of 78 studies was included in this review. Forty-five articles mentioned literacy, seven were on health literacy,</w:t>
      </w:r>
      <w:r w:rsidR="00F81221">
        <w:rPr>
          <w:kern w:val="0"/>
          <w:szCs w:val="24"/>
        </w:rPr>
        <w:t xml:space="preserve"> and </w:t>
      </w:r>
      <w:r>
        <w:rPr>
          <w:kern w:val="0"/>
          <w:szCs w:val="24"/>
        </w:rPr>
        <w:t>26 discussed both literacy</w:t>
      </w:r>
      <w:r w:rsidR="00F81221">
        <w:rPr>
          <w:kern w:val="0"/>
          <w:szCs w:val="24"/>
        </w:rPr>
        <w:t xml:space="preserve"> and </w:t>
      </w:r>
      <w:r>
        <w:rPr>
          <w:kern w:val="0"/>
          <w:szCs w:val="24"/>
        </w:rPr>
        <w:t>health literacy. Only 15 articles (19.2 per cent) defined literacy and/or health literacy. Conclusion This systematic review indicates that definitions of literacy</w:t>
      </w:r>
      <w:r w:rsidR="00F81221">
        <w:rPr>
          <w:kern w:val="0"/>
          <w:szCs w:val="24"/>
        </w:rPr>
        <w:t xml:space="preserve"> and </w:t>
      </w:r>
      <w:r>
        <w:rPr>
          <w:kern w:val="0"/>
          <w:szCs w:val="24"/>
        </w:rPr>
        <w:t>health literacy are not being used consistently in the cancer education literature. Best practice definitions of literacy</w:t>
      </w:r>
      <w:r w:rsidR="00F81221">
        <w:rPr>
          <w:kern w:val="0"/>
          <w:szCs w:val="24"/>
        </w:rPr>
        <w:t xml:space="preserve"> and </w:t>
      </w:r>
      <w:r>
        <w:rPr>
          <w:kern w:val="0"/>
          <w:szCs w:val="24"/>
        </w:rPr>
        <w:t>health literacy are important, especially when screening individuals for their understanding of cancer prevention</w:t>
      </w:r>
      <w:r w:rsidR="00F81221">
        <w:rPr>
          <w:kern w:val="0"/>
          <w:szCs w:val="24"/>
        </w:rPr>
        <w:t xml:space="preserve"> and </w:t>
      </w:r>
      <w:r>
        <w:rPr>
          <w:kern w:val="0"/>
          <w:szCs w:val="24"/>
        </w:rPr>
        <w:t>treatment information.</w:t>
      </w:r>
    </w:p>
    <w:p w:rsidR="00AA0681" w:rsidRDefault="00AA0681" w:rsidP="00AA0681">
      <w:pPr>
        <w:pStyle w:val="a0"/>
        <w:rPr>
          <w:kern w:val="0"/>
          <w:szCs w:val="24"/>
        </w:rPr>
      </w:pPr>
      <w:r>
        <w:rPr>
          <w:kern w:val="0"/>
          <w:szCs w:val="24"/>
        </w:rPr>
        <w:t>Keywords: Breast-Cancer, Cancer Education, Citation, Colorectal-Cancer, Health Literacy, Literacy, Literature, Low-Income Patients, Metastatic Prostate-Cancer, Nutrition Education, Outcomes Assessment, Patient-Education, Prevention, Quality-of-Life, Randomized Controlled-Trial, Research, Review, Social Sciences, Socioeconomic-Status, Systematic Review</w:t>
      </w:r>
    </w:p>
    <w:p w:rsidR="00B95188" w:rsidRPr="00A428C3" w:rsidRDefault="00B95188" w:rsidP="00B95188">
      <w:pPr>
        <w:pStyle w:val="1"/>
      </w:pPr>
      <w:r w:rsidRPr="00A428C3">
        <w:br w:type="page"/>
      </w:r>
      <w:bookmarkStart w:id="487" w:name="_Toc487192716"/>
      <w:bookmarkStart w:id="488" w:name="_Toc489709737"/>
      <w:bookmarkStart w:id="489" w:name="_Toc490688002"/>
      <w:bookmarkStart w:id="490" w:name="_Toc492807663"/>
      <w:bookmarkStart w:id="491" w:name="_Toc186647756"/>
      <w:bookmarkStart w:id="492" w:name="_Toc317160989"/>
      <w:r w:rsidRPr="00A428C3">
        <w:lastRenderedPageBreak/>
        <w:t xml:space="preserve">Title: </w:t>
      </w:r>
      <w:bookmarkEnd w:id="487"/>
      <w:bookmarkEnd w:id="488"/>
      <w:bookmarkEnd w:id="489"/>
      <w:r w:rsidRPr="00A428C3">
        <w:t>Health Education Quarterly</w:t>
      </w:r>
      <w:bookmarkEnd w:id="490"/>
      <w:bookmarkEnd w:id="491"/>
      <w:bookmarkEnd w:id="492"/>
    </w:p>
    <w:p w:rsidR="00B95188" w:rsidRPr="00A428C3" w:rsidRDefault="00B95188" w:rsidP="00B72EF9">
      <w:pPr>
        <w:pStyle w:val="12"/>
      </w:pPr>
      <w:r w:rsidRPr="00A428C3">
        <w:t>Full Journal Title: Health Education Quarterly</w:t>
      </w:r>
    </w:p>
    <w:p w:rsidR="00B95188" w:rsidRPr="00A428C3" w:rsidRDefault="00B95188" w:rsidP="00B72EF9">
      <w:pPr>
        <w:pStyle w:val="12"/>
      </w:pPr>
      <w:r w:rsidRPr="00A428C3">
        <w:t>ISO Abbreviated Title: Health. Educ. Q.</w:t>
      </w:r>
    </w:p>
    <w:p w:rsidR="00B95188" w:rsidRPr="00A428C3" w:rsidRDefault="00B95188" w:rsidP="00B72EF9">
      <w:pPr>
        <w:pStyle w:val="12"/>
      </w:pPr>
      <w:r w:rsidRPr="00A428C3">
        <w:t>JCR Abbreviated Title: Health Educ Q</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Gielen, A.C., </w:t>
      </w:r>
      <w:smartTag w:uri="urn:schemas-microsoft-com:office:smarttags" w:element="place">
        <w:smartTag w:uri="urn:schemas-microsoft-com:office:smarttags" w:element="City">
          <w:r w:rsidRPr="00A428C3">
            <w:t>Wilson</w:t>
          </w:r>
        </w:smartTag>
        <w:r w:rsidRPr="00A428C3">
          <w:t xml:space="preserve">, </w:t>
        </w:r>
        <w:smartTag w:uri="urn:schemas-microsoft-com:office:smarttags" w:element="State">
          <w:r w:rsidRPr="00A428C3">
            <w:t>M.E.</w:t>
          </w:r>
        </w:smartTag>
      </w:smartTag>
      <w:r w:rsidRPr="00A428C3">
        <w:t>, Faden, R.R., Wissow, L.</w:t>
      </w:r>
      <w:r w:rsidR="00F81221">
        <w:t xml:space="preserve"> and </w:t>
      </w:r>
      <w:r w:rsidRPr="00A428C3">
        <w:t>Harvilchuck, J.D. (1995), In-home injury prevention practices for infants</w:t>
      </w:r>
      <w:r w:rsidR="00F81221">
        <w:t xml:space="preserve"> and </w:t>
      </w:r>
      <w:r w:rsidRPr="00A428C3">
        <w:t>toddlers: The role of parental beliefs, barriers,</w:t>
      </w:r>
      <w:r w:rsidR="00F81221">
        <w:t xml:space="preserve"> and </w:t>
      </w:r>
      <w:r w:rsidRPr="00A428C3">
        <w:t xml:space="preserve">housing quality. </w:t>
      </w:r>
      <w:r w:rsidRPr="00A428C3">
        <w:rPr>
          <w:i/>
        </w:rPr>
        <w:t>Health Education Quarterly</w:t>
      </w:r>
      <w:r w:rsidRPr="00A428C3">
        <w:t xml:space="preserve">, </w:t>
      </w:r>
      <w:r w:rsidRPr="00A428C3">
        <w:rPr>
          <w:b/>
        </w:rPr>
        <w:t>22</w:t>
      </w:r>
      <w:r w:rsidRPr="00A428C3">
        <w:t xml:space="preserve"> (1), 85-95.</w:t>
      </w:r>
    </w:p>
    <w:p w:rsidR="00B95188" w:rsidRPr="00A428C3" w:rsidRDefault="00B95188" w:rsidP="00B95188">
      <w:pPr>
        <w:pStyle w:val="a0"/>
      </w:pPr>
      <w:r w:rsidRPr="00A428C3">
        <w:t>Abstract: The present research was designed to contribute to the empirical literature on the scope</w:t>
      </w:r>
      <w:r w:rsidR="00F81221">
        <w:t xml:space="preserve"> and </w:t>
      </w:r>
      <w:r w:rsidRPr="00A428C3">
        <w:t>determinants of parents</w:t>
      </w:r>
      <w:r w:rsidR="000352E7">
        <w:t>’</w:t>
      </w:r>
      <w:r w:rsidRPr="00A428C3">
        <w:t xml:space="preserve"> injury prevention practices among families living in disadvantaged, urban areas. One hundred fifty mothers were interviewed about their living environment when they brought their children (ages 6-36 months) to a hospital-based, pediatric primary care clinic. Only 37% of respondents reported that they knew their hot water temperature was 125</w:t>
      </w:r>
      <w:r w:rsidR="008A7E71">
        <w:t>°</w:t>
      </w:r>
      <w:r w:rsidRPr="00A428C3">
        <w:t xml:space="preserve"> or less. A majority (59%) of families reported that they did not use stair gates. More than one fourth (27%) of respondents said they did not have smoke detectors. Mothers uniformly reported very favorable attitudes</w:t>
      </w:r>
      <w:r w:rsidR="00F81221">
        <w:t xml:space="preserve"> and </w:t>
      </w:r>
      <w:r w:rsidRPr="00A428C3">
        <w:t>beliefs</w:t>
      </w:r>
      <w:r w:rsidR="00F81221">
        <w:t xml:space="preserve"> and </w:t>
      </w:r>
      <w:r w:rsidRPr="00A428C3">
        <w:t>strong support from others for in-home injury prevention practices. Factors significantly associated with the number of injury prevention practices implemented were family income, housing quality,</w:t>
      </w:r>
      <w:r w:rsidR="00F81221">
        <w:t xml:space="preserve"> and </w:t>
      </w:r>
      <w:r w:rsidRPr="00A428C3">
        <w:t>environmental barriers. Instead of attempting solely to persuade parents about the value of injury prevention practices, skill-based interventions are needed to help parents overcome specific barriers that result from living in substandard housing</w:t>
      </w:r>
      <w:r w:rsidR="00F81221">
        <w:t xml:space="preserve"> and </w:t>
      </w:r>
      <w:r w:rsidRPr="00A428C3">
        <w:t>having very limited financial resources.</w:t>
      </w:r>
    </w:p>
    <w:p w:rsidR="00B95188" w:rsidRPr="00A428C3" w:rsidRDefault="00B95188" w:rsidP="00B95188">
      <w:pPr>
        <w:pStyle w:val="1"/>
      </w:pPr>
      <w:r w:rsidRPr="00A428C3">
        <w:br w:type="page"/>
      </w:r>
      <w:bookmarkStart w:id="493" w:name="_Toc186647757"/>
      <w:bookmarkStart w:id="494" w:name="_Toc317160990"/>
      <w:r w:rsidRPr="00A428C3">
        <w:lastRenderedPageBreak/>
        <w:t>Title: Health Education Research</w:t>
      </w:r>
      <w:bookmarkEnd w:id="493"/>
      <w:bookmarkEnd w:id="494"/>
    </w:p>
    <w:p w:rsidR="00B95188" w:rsidRPr="00A428C3" w:rsidRDefault="00B95188" w:rsidP="00B72EF9">
      <w:pPr>
        <w:pStyle w:val="12"/>
      </w:pPr>
      <w:r w:rsidRPr="00A428C3">
        <w:t xml:space="preserve">Full Journal Title: </w:t>
      </w:r>
      <w:hyperlink r:id="rId549" w:history="1">
        <w:r w:rsidRPr="00A428C3">
          <w:rPr>
            <w:rStyle w:val="a5"/>
          </w:rPr>
          <w:t>Health Education Research</w:t>
        </w:r>
      </w:hyperlink>
      <w:r w:rsidRPr="00A428C3">
        <w:t xml:space="preserve">; </w:t>
      </w:r>
      <w:hyperlink r:id="rId550" w:history="1">
        <w:r w:rsidRPr="00A428C3">
          <w:rPr>
            <w:rStyle w:val="a5"/>
          </w:rPr>
          <w:t>Health Education Research</w:t>
        </w:r>
      </w:hyperlink>
    </w:p>
    <w:p w:rsidR="00B95188" w:rsidRPr="00A428C3" w:rsidRDefault="00B95188" w:rsidP="00B72EF9">
      <w:pPr>
        <w:pStyle w:val="12"/>
      </w:pPr>
      <w:r w:rsidRPr="00A428C3">
        <w:t>ISO Abbreviated Title: Health Educ. Res.</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0268-1153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Schloman, B.F.</w:t>
      </w:r>
      <w:r w:rsidR="00F81221">
        <w:t xml:space="preserve"> and </w:t>
      </w:r>
      <w:r w:rsidRPr="00A428C3">
        <w:t>Byrne, T.J. (1992), Patterns of information</w:t>
      </w:r>
      <w:r w:rsidR="00AA0681">
        <w:rPr>
          <w:rFonts w:hint="eastAsia"/>
        </w:rPr>
        <w:t xml:space="preserve"> </w:t>
      </w:r>
      <w:r w:rsidRPr="00A428C3">
        <w:t>transfer in health</w:t>
      </w:r>
      <w:r w:rsidR="00AA0681">
        <w:rPr>
          <w:rFonts w:hint="eastAsia"/>
        </w:rPr>
        <w:t xml:space="preserve"> </w:t>
      </w:r>
      <w:r w:rsidRPr="00A428C3">
        <w:t xml:space="preserve">education: A bibliometric analysis of the research literature. </w:t>
      </w:r>
      <w:r w:rsidRPr="00A428C3">
        <w:rPr>
          <w:i/>
          <w:iCs/>
        </w:rPr>
        <w:t>Health Education Research</w:t>
      </w:r>
      <w:r w:rsidRPr="00A428C3">
        <w:t xml:space="preserve">, </w:t>
      </w:r>
      <w:r w:rsidRPr="00A428C3">
        <w:rPr>
          <w:b/>
        </w:rPr>
        <w:t>7</w:t>
      </w:r>
      <w:r w:rsidRPr="00A428C3">
        <w:t xml:space="preserve"> (1), 117-128.</w:t>
      </w:r>
    </w:p>
    <w:p w:rsidR="00AA0681" w:rsidRPr="001A3D2B" w:rsidRDefault="00AA0681" w:rsidP="00AA0681">
      <w:pPr>
        <w:pStyle w:val="a0"/>
      </w:pPr>
      <w:r w:rsidRPr="001A3D2B">
        <w:t xml:space="preserve">Full Text: </w:t>
      </w:r>
      <w:hyperlink r:id="rId551" w:history="1">
        <w:r w:rsidRPr="00AA0681">
          <w:rPr>
            <w:rStyle w:val="a5"/>
          </w:rPr>
          <w:t>1992\Hea Edu Res7, 117.pdf</w:t>
        </w:r>
      </w:hyperlink>
    </w:p>
    <w:p w:rsidR="00B95188" w:rsidRPr="00A428C3" w:rsidRDefault="00B95188" w:rsidP="00B95188">
      <w:pPr>
        <w:pStyle w:val="a0"/>
      </w:pPr>
      <w:r w:rsidRPr="00A428C3">
        <w:t>Abstract: The purpose of this study is to examine the extent to which health education has become a distinctly separate field of inquiry as evidenced by the patterns of information transfer in the health education research literature. Bibliometric analysis is used to determine: (1) if health education has an identifiable core of journals, (2) the extent to which health education research is derivative of research from other disciplines</w:t>
      </w:r>
      <w:r w:rsidR="00F81221">
        <w:t xml:space="preserve"> and </w:t>
      </w:r>
      <w:r w:rsidRPr="00A428C3">
        <w:t>(3) the extent to which research from other disciplines draws upon research published in health education journals. The results suggest that there is an identifiable core of journals that serve to characterize health education as a distinct field of inquiry. However, health education research is found to be more derivative of research from other fields than are the other comparative fields in the sample. Moreover, researchers in other disciplines use health education research less than half as often as health education uses its own research. Differences in citing patterns in journals dedicated to health education</w:t>
      </w:r>
      <w:r w:rsidR="00F81221">
        <w:t xml:space="preserve"> and </w:t>
      </w:r>
      <w:r w:rsidRPr="00A428C3">
        <w:t>by researchers publishing on health education topics in research journals of other areas seem to indicate that health education research is not one unified undertaking.</w:t>
      </w:r>
    </w:p>
    <w:p w:rsidR="00B95188" w:rsidRPr="00A428C3" w:rsidRDefault="00B95188" w:rsidP="00B95188">
      <w:pPr>
        <w:pStyle w:val="a0"/>
      </w:pPr>
      <w:r w:rsidRPr="00A428C3">
        <w:t>Keywords: Citation Analysis, Specialties</w:t>
      </w:r>
    </w:p>
    <w:p w:rsidR="00B95188" w:rsidRPr="00A428C3" w:rsidRDefault="00B95188" w:rsidP="00B95188">
      <w:pPr>
        <w:pStyle w:val="a0"/>
      </w:pPr>
      <w:r w:rsidRPr="00A428C3">
        <w:t xml:space="preserve">? Connell, C.M. (1999), Older adults in health education research: Some recommendations. </w:t>
      </w:r>
      <w:r w:rsidRPr="00A428C3">
        <w:rPr>
          <w:i/>
          <w:iCs/>
        </w:rPr>
        <w:t>Health Education Research</w:t>
      </w:r>
      <w:r w:rsidRPr="00A428C3">
        <w:t xml:space="preserve">, </w:t>
      </w:r>
      <w:r w:rsidRPr="00A428C3">
        <w:rPr>
          <w:b/>
        </w:rPr>
        <w:t>14</w:t>
      </w:r>
      <w:r w:rsidRPr="00A428C3">
        <w:t xml:space="preserve"> (3), 427-431.</w:t>
      </w:r>
    </w:p>
    <w:p w:rsidR="00B95188" w:rsidRPr="00A428C3" w:rsidRDefault="00B95188" w:rsidP="00B95188">
      <w:pPr>
        <w:pStyle w:val="a0"/>
      </w:pPr>
      <w:r w:rsidRPr="00A428C3">
        <w:t xml:space="preserve">Full Text: </w:t>
      </w:r>
      <w:hyperlink r:id="rId552" w:history="1">
        <w:r w:rsidRPr="00A428C3">
          <w:rPr>
            <w:rStyle w:val="a5"/>
          </w:rPr>
          <w:t>1999\Hea Edu Res14, 27.pdf</w:t>
        </w:r>
      </w:hyperlink>
    </w:p>
    <w:p w:rsidR="00B95188" w:rsidRPr="00A428C3" w:rsidRDefault="00B95188" w:rsidP="00B95188">
      <w:pPr>
        <w:pStyle w:val="a0"/>
      </w:pPr>
      <w:r w:rsidRPr="00A428C3">
        <w:t xml:space="preserve">Abstract: A review of articles published in two health education journals is provided to examine the extent to which older adults were included in published research. The </w:t>
      </w:r>
      <w:r w:rsidRPr="00A428C3">
        <w:lastRenderedPageBreak/>
        <w:t xml:space="preserve">review suggests that older adults were included in about 15% of the research articles published in </w:t>
      </w:r>
      <w:r w:rsidRPr="00A428C3">
        <w:rPr>
          <w:i/>
          <w:iCs/>
        </w:rPr>
        <w:t>Health Education</w:t>
      </w:r>
      <w:r w:rsidR="00F81221">
        <w:rPr>
          <w:i/>
          <w:iCs/>
        </w:rPr>
        <w:t xml:space="preserve"> and </w:t>
      </w:r>
      <w:r w:rsidRPr="00A428C3">
        <w:rPr>
          <w:i/>
          <w:iCs/>
        </w:rPr>
        <w:t>Behavior</w:t>
      </w:r>
      <w:r w:rsidR="00F81221">
        <w:t xml:space="preserve"> and </w:t>
      </w:r>
      <w:r w:rsidRPr="00A428C3">
        <w:rPr>
          <w:i/>
          <w:iCs/>
        </w:rPr>
        <w:t>Health Education Research</w:t>
      </w:r>
      <w:r w:rsidRPr="00A428C3">
        <w:t>. Of the articles that include older adults, age differences in study processes</w:t>
      </w:r>
      <w:r w:rsidR="00F81221">
        <w:t xml:space="preserve"> and </w:t>
      </w:r>
      <w:r w:rsidRPr="00A428C3">
        <w:t>outcomes are rarely examined,</w:t>
      </w:r>
      <w:r w:rsidR="00F81221">
        <w:t xml:space="preserve"> and </w:t>
      </w:r>
      <w:r w:rsidRPr="00A428C3">
        <w:t>very few studies advance specific hypotheses based on a theoretical or conceptual model of aging or older adulthood. Several recommendations for health education research are suggested.</w:t>
      </w:r>
    </w:p>
    <w:p w:rsidR="00BB508D" w:rsidRDefault="00BB508D" w:rsidP="00BB508D">
      <w:pPr>
        <w:pStyle w:val="a0"/>
        <w:rPr>
          <w:kern w:val="0"/>
        </w:rPr>
      </w:pPr>
      <w:r>
        <w:rPr>
          <w:rFonts w:hint="eastAsia"/>
          <w:kern w:val="0"/>
        </w:rPr>
        <w:t xml:space="preserve">? </w:t>
      </w:r>
      <w:r>
        <w:rPr>
          <w:kern w:val="0"/>
        </w:rPr>
        <w:t>Camacho-Miñano, M.J., La</w:t>
      </w:r>
      <w:r>
        <w:rPr>
          <w:rFonts w:hint="eastAsia"/>
          <w:kern w:val="0"/>
        </w:rPr>
        <w:t>V</w:t>
      </w:r>
      <w:r>
        <w:rPr>
          <w:kern w:val="0"/>
        </w:rPr>
        <w:t xml:space="preserve">oi, N.M. and Barr-Anderson, D.J. (2011), Interventions to promote physical activity among young and adolescent girls: A systematic review. </w:t>
      </w:r>
      <w:r>
        <w:rPr>
          <w:i/>
          <w:iCs/>
          <w:kern w:val="0"/>
        </w:rPr>
        <w:t>Health Education Research</w:t>
      </w:r>
      <w:r>
        <w:rPr>
          <w:kern w:val="0"/>
        </w:rPr>
        <w:t xml:space="preserve">, </w:t>
      </w:r>
      <w:r>
        <w:rPr>
          <w:b/>
          <w:bCs/>
          <w:kern w:val="0"/>
        </w:rPr>
        <w:t>26</w:t>
      </w:r>
      <w:r>
        <w:rPr>
          <w:kern w:val="0"/>
        </w:rPr>
        <w:t xml:space="preserve"> (6), 1025-1049.</w:t>
      </w:r>
    </w:p>
    <w:p w:rsidR="00BB508D" w:rsidRPr="00A428C3" w:rsidRDefault="00BB508D" w:rsidP="00BB508D">
      <w:pPr>
        <w:pStyle w:val="a0"/>
      </w:pPr>
      <w:r w:rsidRPr="00A428C3">
        <w:t xml:space="preserve">Full Text: </w:t>
      </w:r>
      <w:hyperlink r:id="rId553" w:history="1">
        <w:r w:rsidRPr="00BB508D">
          <w:rPr>
            <w:rStyle w:val="a5"/>
          </w:rPr>
          <w:t>2011\Hea Edu Res26, 1025.pdf</w:t>
        </w:r>
      </w:hyperlink>
    </w:p>
    <w:p w:rsidR="00BB508D" w:rsidRDefault="00BB508D" w:rsidP="00BB508D">
      <w:pPr>
        <w:pStyle w:val="a0"/>
        <w:rPr>
          <w:kern w:val="0"/>
        </w:rPr>
      </w:pPr>
      <w:r>
        <w:rPr>
          <w:kern w:val="0"/>
        </w:rPr>
        <w:t>Abstract: A narrative systematic review was conducted to describe the available evidence from physical activity (PA) interventions that targeted girls aged 5-18 years and to determine their effectiveness and key characteristics of success. Systematic literature searches were conducted using four databases: PubMed, Web of Science, PsychInfo and SPORTDiscus and by examining the reference lists of included articles and published relevant reviews, to identify studies published in English from 2000 to July 2010. Randomized controlled trials or quasi-experimental designs with pre-test and post-test behavioral outcome data (objective or self-report measure) were included. Methodological quality was assessed using a checklist and conclusions were made concerning effectiveness. A total of 29 articles were reviewed, describing the evaluation of 21 interventions. Ten studies reported a favorable intervention effect upon PA outcomes, seven of which were rated as having a high methodological quality. Multi-component school-based interventions that also offer a physical education that address the unique needs of girls seemed to be the most effective. Although family support is revealed as ineffective, peer strategies showed promising evidence. The review finishes highlighting possible intervention strategies and reporting areas where further investigation is required.</w:t>
      </w:r>
    </w:p>
    <w:p w:rsidR="00BB508D" w:rsidRDefault="00BB508D" w:rsidP="00BB508D">
      <w:pPr>
        <w:pStyle w:val="a0"/>
        <w:rPr>
          <w:kern w:val="0"/>
        </w:rPr>
      </w:pPr>
      <w:r>
        <w:rPr>
          <w:kern w:val="0"/>
        </w:rPr>
        <w:t>Keywords: Activity Participation, Activity Program, Adolescent, African-American, Aged, Behavior-Change, Children, Databases, Education, Effectiveness, English, Evaluation, Family, Health-Promotion, Intervention, Interventions, Literature, Middle School Girls, Outcome, Outcomes, Physical Activity, Pubmed, Quality, Randomized Controlled Trials, Randomized Controlled-Trial, Review, Science, Self-Report, Success, Systematic, Systematic Review, Web of Science, Youth</w:t>
      </w:r>
    </w:p>
    <w:p w:rsidR="00236E5C" w:rsidRPr="001A3D2B" w:rsidRDefault="00236E5C" w:rsidP="00236E5C">
      <w:pPr>
        <w:pStyle w:val="1"/>
      </w:pPr>
      <w:r w:rsidRPr="001A3D2B">
        <w:br w:type="page"/>
      </w:r>
      <w:bookmarkStart w:id="495" w:name="_Toc81215758"/>
      <w:bookmarkStart w:id="496" w:name="_Toc246165215"/>
      <w:bookmarkStart w:id="497" w:name="_Toc253669701"/>
      <w:bookmarkStart w:id="498" w:name="_Toc317160991"/>
      <w:r w:rsidRPr="001A3D2B">
        <w:lastRenderedPageBreak/>
        <w:t>Title: Health Information</w:t>
      </w:r>
      <w:r w:rsidR="00F81221">
        <w:t xml:space="preserve"> and </w:t>
      </w:r>
      <w:r w:rsidRPr="001A3D2B">
        <w:t>Libraries Journal</w:t>
      </w:r>
      <w:bookmarkEnd w:id="495"/>
      <w:bookmarkEnd w:id="496"/>
      <w:bookmarkEnd w:id="497"/>
      <w:bookmarkEnd w:id="498"/>
    </w:p>
    <w:p w:rsidR="00236E5C" w:rsidRPr="001A3D2B" w:rsidRDefault="00236E5C" w:rsidP="00B72EF9">
      <w:pPr>
        <w:pStyle w:val="12"/>
      </w:pPr>
      <w:r w:rsidRPr="001A3D2B">
        <w:t xml:space="preserve">Full Journal Title: </w:t>
      </w:r>
      <w:hyperlink r:id="rId554" w:history="1">
        <w:r w:rsidRPr="001A3D2B">
          <w:rPr>
            <w:rStyle w:val="a5"/>
          </w:rPr>
          <w:t>Health Information</w:t>
        </w:r>
        <w:r w:rsidR="00F81221">
          <w:rPr>
            <w:rStyle w:val="a5"/>
          </w:rPr>
          <w:t xml:space="preserve"> and </w:t>
        </w:r>
        <w:r w:rsidRPr="001A3D2B">
          <w:rPr>
            <w:rStyle w:val="a5"/>
          </w:rPr>
          <w:t>Libraries Journal</w:t>
        </w:r>
      </w:hyperlink>
    </w:p>
    <w:p w:rsidR="00236E5C" w:rsidRDefault="00236E5C" w:rsidP="00B72EF9">
      <w:pPr>
        <w:pStyle w:val="12"/>
      </w:pPr>
      <w:r>
        <w:t>ISO Abbrev. Title: Heatlth Info. Libr. J.</w:t>
      </w:r>
    </w:p>
    <w:p w:rsidR="00236E5C" w:rsidRDefault="00236E5C" w:rsidP="00B72EF9">
      <w:pPr>
        <w:pStyle w:val="12"/>
      </w:pPr>
      <w:r>
        <w:t>JCR Abbrev. Title: Health Info Libr J</w:t>
      </w:r>
    </w:p>
    <w:p w:rsidR="00236E5C" w:rsidRPr="001A3D2B" w:rsidRDefault="00236E5C" w:rsidP="00B72EF9">
      <w:pPr>
        <w:pStyle w:val="12"/>
      </w:pPr>
      <w:r w:rsidRPr="001A3D2B">
        <w:t>ISSN: 1471-1834</w:t>
      </w:r>
    </w:p>
    <w:p w:rsidR="00236E5C" w:rsidRPr="001A3D2B" w:rsidRDefault="00236E5C" w:rsidP="00B72EF9">
      <w:pPr>
        <w:pStyle w:val="12"/>
      </w:pPr>
      <w:r w:rsidRPr="001A3D2B">
        <w:t xml:space="preserve">Issues/Year: </w:t>
      </w:r>
      <w:r>
        <w:rPr>
          <w:rFonts w:hint="eastAsia"/>
        </w:rPr>
        <w:t>4</w:t>
      </w:r>
    </w:p>
    <w:p w:rsidR="00236E5C" w:rsidRPr="001A3D2B" w:rsidRDefault="00236E5C" w:rsidP="00B72EF9">
      <w:pPr>
        <w:pStyle w:val="12"/>
      </w:pPr>
      <w:r w:rsidRPr="001A3D2B">
        <w:t xml:space="preserve">Language: </w:t>
      </w:r>
      <w:r>
        <w:t>English</w:t>
      </w:r>
    </w:p>
    <w:p w:rsidR="00236E5C" w:rsidRPr="001A3D2B" w:rsidRDefault="00236E5C" w:rsidP="00B72EF9">
      <w:pPr>
        <w:pStyle w:val="12"/>
      </w:pPr>
      <w:r w:rsidRPr="001A3D2B">
        <w:t xml:space="preserve">Journal Country/Territory: </w:t>
      </w:r>
      <w:r>
        <w:t>England</w:t>
      </w:r>
    </w:p>
    <w:p w:rsidR="00236E5C" w:rsidRPr="001A3D2B" w:rsidRDefault="00236E5C" w:rsidP="00B72EF9">
      <w:pPr>
        <w:pStyle w:val="12"/>
      </w:pPr>
      <w:r w:rsidRPr="001A3D2B">
        <w:t xml:space="preserve">Publisher: </w:t>
      </w:r>
      <w:r>
        <w:t>Wiley-Blackwell Publishing, Inc</w:t>
      </w:r>
    </w:p>
    <w:p w:rsidR="00236E5C" w:rsidRPr="001A3D2B" w:rsidRDefault="00236E5C" w:rsidP="00B72EF9">
      <w:pPr>
        <w:pStyle w:val="12"/>
      </w:pPr>
      <w:r w:rsidRPr="001A3D2B">
        <w:t xml:space="preserve">Publisher Address: </w:t>
      </w:r>
      <w:r>
        <w:t>Commerce Place, 350 Main St, Malden 02148, MA</w:t>
      </w:r>
    </w:p>
    <w:p w:rsidR="00236E5C" w:rsidRPr="001A3D2B" w:rsidRDefault="00236E5C" w:rsidP="00B72EF9">
      <w:pPr>
        <w:pStyle w:val="12"/>
      </w:pPr>
      <w:r w:rsidRPr="001A3D2B">
        <w:t>Subject Categories:</w:t>
      </w:r>
    </w:p>
    <w:p w:rsidR="00236E5C" w:rsidRDefault="00236E5C" w:rsidP="00B72EF9">
      <w:pPr>
        <w:pStyle w:val="12"/>
      </w:pPr>
      <w:r>
        <w:t>Information Science &amp; Library Science</w:t>
      </w:r>
      <w:r w:rsidRPr="001A3D2B">
        <w:t xml:space="preserve">: Impact Factor </w:t>
      </w:r>
      <w:r>
        <w:rPr>
          <w:rFonts w:hint="eastAsia"/>
        </w:rPr>
        <w:t>0.939, 30/61 (2008)</w:t>
      </w:r>
      <w:r w:rsidR="0094328E">
        <w:rPr>
          <w:rFonts w:hint="eastAsia"/>
        </w:rPr>
        <w:t xml:space="preserve"> SSCI</w:t>
      </w:r>
    </w:p>
    <w:p w:rsidR="00B95188" w:rsidRPr="00A428C3" w:rsidRDefault="00B95188" w:rsidP="00B95188">
      <w:pPr>
        <w:pStyle w:val="a0"/>
      </w:pPr>
      <w:r w:rsidRPr="00A428C3">
        <w:rPr>
          <w:color w:val="000000"/>
          <w:szCs w:val="18"/>
        </w:rPr>
        <w:t>Robu, I., Marineanu, D., Aciu, I.</w:t>
      </w:r>
      <w:r w:rsidR="00F81221">
        <w:rPr>
          <w:color w:val="000000"/>
          <w:szCs w:val="18"/>
        </w:rPr>
        <w:t xml:space="preserve"> and </w:t>
      </w:r>
      <w:r w:rsidRPr="00A428C3">
        <w:rPr>
          <w:color w:val="000000"/>
          <w:szCs w:val="18"/>
        </w:rPr>
        <w:t>Wood-Lamont, S.</w:t>
      </w:r>
      <w:r w:rsidRPr="00A428C3">
        <w:t xml:space="preserve"> (2001), Improving standards in the scientific biomedical community in </w:t>
      </w:r>
      <w:smartTag w:uri="urn:schemas-microsoft-com:office:smarttags" w:element="place">
        <w:smartTag w:uri="urn:schemas-microsoft-com:office:smarttags" w:element="country-region">
          <w:r w:rsidRPr="00A428C3">
            <w:t>Romania</w:t>
          </w:r>
        </w:smartTag>
      </w:smartTag>
      <w:r w:rsidRPr="00A428C3">
        <w:t xml:space="preserve"> by using journal ranking to improve journal quality. </w:t>
      </w:r>
      <w:r w:rsidRPr="00A428C3">
        <w:rPr>
          <w:i/>
          <w:iCs/>
        </w:rPr>
        <w:t>Health Information</w:t>
      </w:r>
      <w:r w:rsidR="00F81221">
        <w:rPr>
          <w:i/>
          <w:iCs/>
        </w:rPr>
        <w:t xml:space="preserve"> and </w:t>
      </w:r>
      <w:r w:rsidRPr="00A428C3">
        <w:rPr>
          <w:i/>
          <w:iCs/>
        </w:rPr>
        <w:t>Libraries Journal</w:t>
      </w:r>
      <w:r w:rsidRPr="00A428C3">
        <w:t xml:space="preserve">, </w:t>
      </w:r>
      <w:r w:rsidRPr="00A428C3">
        <w:rPr>
          <w:b/>
        </w:rPr>
        <w:t>18</w:t>
      </w:r>
      <w:r w:rsidRPr="00A428C3">
        <w:t xml:space="preserve"> (2), 91-98.</w:t>
      </w:r>
    </w:p>
    <w:p w:rsidR="00B95188" w:rsidRPr="00A428C3" w:rsidRDefault="00B95188" w:rsidP="00B95188">
      <w:pPr>
        <w:pStyle w:val="a0"/>
      </w:pPr>
      <w:r w:rsidRPr="00A428C3">
        <w:t xml:space="preserve">Full Text: </w:t>
      </w:r>
      <w:hyperlink r:id="rId555" w:history="1">
        <w:r w:rsidRPr="00A428C3">
          <w:rPr>
            <w:rStyle w:val="a5"/>
          </w:rPr>
          <w:t>H\Hea Inf Lib J18, 91.pdf</w:t>
        </w:r>
      </w:hyperlink>
    </w:p>
    <w:p w:rsidR="00B95188" w:rsidRPr="00A428C3" w:rsidRDefault="00B95188" w:rsidP="00B95188">
      <w:pPr>
        <w:pStyle w:val="a0"/>
      </w:pPr>
      <w:r w:rsidRPr="00A428C3">
        <w:t xml:space="preserve">Abstract: The paper articulates the problems of journal publication in a relatively small country such as </w:t>
      </w:r>
      <w:smartTag w:uri="urn:schemas-microsoft-com:office:smarttags" w:element="place">
        <w:smartTag w:uri="urn:schemas-microsoft-com:office:smarttags" w:element="country-region">
          <w:r w:rsidRPr="00A428C3">
            <w:t>Romania</w:t>
          </w:r>
        </w:smartTag>
      </w:smartTag>
      <w:r w:rsidRPr="00A428C3">
        <w:t xml:space="preserve"> where locally (i.e. nationally) published journals include most of the national medical scientific output. The starting point was a study ordered by the Cluj University of Medicine</w:t>
      </w:r>
      <w:r w:rsidR="00F81221">
        <w:t xml:space="preserve"> and </w:t>
      </w:r>
      <w:r w:rsidRPr="00A428C3">
        <w:t>Pharmacy Scientific Council, for the purpose of obtaining an objectively ranked list of all current Romanian biomedical journals that could be used in the evaluation of the scientific activity of the university academic staff. Sixty-five current biomedical journals were identified - of which more than half were new titles that had appeared over the past 5 years. None of these are included in the Science Citation Index or Journal Citation Reports (JCR). A set of criteria was used for ranking the journals: peer review, inclusion in international databases, publication time lag, language of articles</w:t>
      </w:r>
      <w:r w:rsidR="00F81221">
        <w:t xml:space="preserve"> and </w:t>
      </w:r>
      <w:r w:rsidRPr="00A428C3">
        <w:t>abstracts, journal specific index</w:t>
      </w:r>
      <w:r w:rsidR="00F81221">
        <w:t xml:space="preserve"> and </w:t>
      </w:r>
      <w:r w:rsidRPr="00A428C3">
        <w:t>domestic impact factor. The period covered, along with tools</w:t>
      </w:r>
      <w:r w:rsidR="00F81221">
        <w:t xml:space="preserve"> and </w:t>
      </w:r>
      <w:r w:rsidRPr="00A428C3">
        <w:t>formulas used are presented. The problems of Romanian biomedical journals as well as ways of improving publishing standards are discussed. Also emphasized is the necessity for increased awareness in the medical scholarly community</w:t>
      </w:r>
      <w:r w:rsidR="00F81221">
        <w:t xml:space="preserve"> and </w:t>
      </w:r>
      <w:r w:rsidRPr="00A428C3">
        <w:t>the role of the library in this respect.</w:t>
      </w:r>
    </w:p>
    <w:p w:rsidR="00B95188" w:rsidRPr="00A428C3" w:rsidRDefault="00B95188" w:rsidP="00B95188">
      <w:pPr>
        <w:pStyle w:val="a0"/>
      </w:pPr>
      <w:r w:rsidRPr="00A428C3">
        <w:t xml:space="preserve">Booth, A. (2003), Collective decisions. </w:t>
      </w:r>
      <w:r w:rsidRPr="00A428C3">
        <w:rPr>
          <w:i/>
          <w:iCs/>
        </w:rPr>
        <w:t>Health Information</w:t>
      </w:r>
      <w:r w:rsidR="00F81221">
        <w:rPr>
          <w:i/>
          <w:iCs/>
        </w:rPr>
        <w:t xml:space="preserve"> and </w:t>
      </w:r>
      <w:r w:rsidRPr="00A428C3">
        <w:rPr>
          <w:i/>
          <w:iCs/>
        </w:rPr>
        <w:t>Libraries Journal</w:t>
      </w:r>
      <w:r w:rsidRPr="00A428C3">
        <w:t xml:space="preserve">, </w:t>
      </w:r>
      <w:r w:rsidRPr="00A428C3">
        <w:rPr>
          <w:b/>
        </w:rPr>
        <w:t>20</w:t>
      </w:r>
      <w:r w:rsidRPr="00A428C3">
        <w:t xml:space="preserve"> (3), 185-188.</w:t>
      </w:r>
    </w:p>
    <w:p w:rsidR="00B95188" w:rsidRPr="00A428C3" w:rsidRDefault="00B95188" w:rsidP="00B95188">
      <w:pPr>
        <w:pStyle w:val="a0"/>
        <w:rPr>
          <w:rFonts w:eastAsia="新細明體"/>
        </w:rPr>
      </w:pPr>
      <w:r w:rsidRPr="00A428C3">
        <w:t xml:space="preserve">Full Text: </w:t>
      </w:r>
      <w:hyperlink r:id="rId556" w:history="1">
        <w:r w:rsidRPr="00A428C3">
          <w:rPr>
            <w:rStyle w:val="a5"/>
          </w:rPr>
          <w:t>H\Hea Inf Lib J20, 185.pdf</w:t>
        </w:r>
      </w:hyperlink>
    </w:p>
    <w:p w:rsidR="00B95188" w:rsidRPr="00A428C3" w:rsidRDefault="00B95188" w:rsidP="00B95188">
      <w:pPr>
        <w:pStyle w:val="a0"/>
      </w:pPr>
      <w:r w:rsidRPr="00A428C3">
        <w:t>Royle P.</w:t>
      </w:r>
      <w:r w:rsidR="00F81221">
        <w:t xml:space="preserve"> and </w:t>
      </w:r>
      <w:r w:rsidRPr="00A428C3">
        <w:t xml:space="preserve">Waugh, N. (2004), Should systematic reviews include searches for published errata? </w:t>
      </w:r>
      <w:r w:rsidRPr="00A428C3">
        <w:rPr>
          <w:i/>
          <w:iCs/>
        </w:rPr>
        <w:t>Health Information</w:t>
      </w:r>
      <w:r w:rsidR="00F81221">
        <w:rPr>
          <w:i/>
          <w:iCs/>
        </w:rPr>
        <w:t xml:space="preserve"> and </w:t>
      </w:r>
      <w:r w:rsidRPr="00A428C3">
        <w:rPr>
          <w:i/>
          <w:iCs/>
        </w:rPr>
        <w:t>Libraries Journal</w:t>
      </w:r>
      <w:r w:rsidRPr="00A428C3">
        <w:t xml:space="preserve">, </w:t>
      </w:r>
      <w:r w:rsidRPr="00A428C3">
        <w:rPr>
          <w:b/>
        </w:rPr>
        <w:t>21</w:t>
      </w:r>
      <w:r w:rsidRPr="00A428C3">
        <w:t xml:space="preserve"> (1), 14-20.</w:t>
      </w:r>
    </w:p>
    <w:p w:rsidR="00B95188" w:rsidRPr="00A428C3" w:rsidRDefault="00B95188" w:rsidP="00B95188">
      <w:pPr>
        <w:pStyle w:val="a0"/>
        <w:rPr>
          <w:rFonts w:eastAsia="新細明體"/>
        </w:rPr>
      </w:pPr>
      <w:r w:rsidRPr="00A428C3">
        <w:lastRenderedPageBreak/>
        <w:t xml:space="preserve">Full Text: </w:t>
      </w:r>
      <w:hyperlink r:id="rId557" w:history="1">
        <w:r w:rsidRPr="00A428C3">
          <w:rPr>
            <w:rStyle w:val="a5"/>
          </w:rPr>
          <w:t>H\Hea Inf Lib J21, 14.pdf</w:t>
        </w:r>
      </w:hyperlink>
    </w:p>
    <w:p w:rsidR="00B95188" w:rsidRPr="00A428C3" w:rsidRDefault="00B95188" w:rsidP="00B95188">
      <w:pPr>
        <w:pStyle w:val="a0"/>
      </w:pPr>
      <w:r w:rsidRPr="00A428C3">
        <w:rPr>
          <w:rFonts w:eastAsia="新細明體"/>
        </w:rPr>
        <w:t xml:space="preserve">Abstract: </w:t>
      </w:r>
      <w:r w:rsidRPr="00A428C3">
        <w:t xml:space="preserve">Our objective was to perform a pilot study to estimate the proportion of published errata linked to randomized controlled trials (RCTs) that are worthwhile obtaining when doing a systematic review. medline was searched for records that had both </w:t>
      </w:r>
      <w:r w:rsidR="000352E7">
        <w:t>‘</w:t>
      </w:r>
      <w:r w:rsidRPr="00A428C3">
        <w:t>randomized-controlled-trial</w:t>
      </w:r>
      <w:r w:rsidR="000352E7">
        <w:t>’</w:t>
      </w:r>
      <w:r w:rsidRPr="00A428C3">
        <w:t xml:space="preserve"> in the publication type field</w:t>
      </w:r>
      <w:r w:rsidR="00F81221">
        <w:t xml:space="preserve"> and </w:t>
      </w:r>
      <w:r w:rsidR="000352E7">
        <w:t>‘</w:t>
      </w:r>
      <w:r w:rsidRPr="00A428C3">
        <w:t>erratum</w:t>
      </w:r>
      <w:r w:rsidR="000352E7">
        <w:t>’</w:t>
      </w:r>
      <w:r w:rsidRPr="00A428C3">
        <w:t xml:space="preserve"> in the comments field. One hundred records from four general medical journals were examined independently from two different perspectives. From the information specialist</w:t>
      </w:r>
      <w:r w:rsidR="000352E7">
        <w:t>’</w:t>
      </w:r>
      <w:r w:rsidRPr="00A428C3">
        <w:t>s perspective, 74% of the errata were considered worthwhile obtaining; these were mainly errors in tables or figures. Another 9% described less serious errors, but were worth obtaining if easily available. The other 17% were minor errors. From the perspective of the experienced reviewer/public health consultant, 5% of errata were classified as likely to affect a meta-analysis,</w:t>
      </w:r>
      <w:r w:rsidR="00F81221">
        <w:t xml:space="preserve"> and </w:t>
      </w:r>
      <w:r w:rsidRPr="00A428C3">
        <w:t>10% as having significant errors that would affect the interpretation of the RCT, but no effect on a meta-analysis; 85% were not considered important enough to affect either. About 5% of errata to RCTs appeared to matter in terms of changing the final conclusions of a systematic review. However, the majority of errata were considered to be worthwhile obtaining, on the basis that having full</w:t>
      </w:r>
      <w:r w:rsidR="00F81221">
        <w:t xml:space="preserve"> and </w:t>
      </w:r>
      <w:r w:rsidRPr="00A428C3">
        <w:t>accurate data can reduce confusion</w:t>
      </w:r>
      <w:r w:rsidR="00F81221">
        <w:t xml:space="preserve"> and </w:t>
      </w:r>
      <w:r w:rsidRPr="00A428C3">
        <w:t>save reviewers time.</w:t>
      </w:r>
    </w:p>
    <w:p w:rsidR="00BE3923" w:rsidRPr="008B2BB0" w:rsidRDefault="00BE3923" w:rsidP="00BE3923">
      <w:pPr>
        <w:pStyle w:val="a0"/>
      </w:pPr>
      <w:r w:rsidRPr="003862C4">
        <w:t>? Leung, S., Chan, K.</w:t>
      </w:r>
      <w:r w:rsidR="00F81221">
        <w:t xml:space="preserve"> and </w:t>
      </w:r>
      <w:r w:rsidRPr="003862C4">
        <w:t>Song, L. (2006), Publishing trends in Chinese medicine</w:t>
      </w:r>
      <w:r w:rsidR="00F81221">
        <w:t xml:space="preserve"> and </w:t>
      </w:r>
      <w:r w:rsidRPr="003862C4">
        <w:t xml:space="preserve">related subjects documented in WorldCat. </w:t>
      </w:r>
      <w:r w:rsidRPr="00CE7517">
        <w:rPr>
          <w:i/>
          <w:iCs/>
        </w:rPr>
        <w:t>Health Information</w:t>
      </w:r>
      <w:r w:rsidR="00F81221">
        <w:rPr>
          <w:i/>
          <w:iCs/>
        </w:rPr>
        <w:t xml:space="preserve"> and </w:t>
      </w:r>
      <w:r w:rsidRPr="00CE7517">
        <w:rPr>
          <w:i/>
          <w:iCs/>
        </w:rPr>
        <w:t>Libraries Journal</w:t>
      </w:r>
      <w:r w:rsidRPr="008B2BB0">
        <w:t xml:space="preserve">, </w:t>
      </w:r>
      <w:r w:rsidRPr="00551655">
        <w:rPr>
          <w:b/>
          <w:bCs/>
        </w:rPr>
        <w:t>23</w:t>
      </w:r>
      <w:r w:rsidRPr="008B2BB0">
        <w:t xml:space="preserve"> (1), 13-22.</w:t>
      </w:r>
    </w:p>
    <w:p w:rsidR="00BE3923" w:rsidRPr="00BD191D" w:rsidRDefault="00BE3923" w:rsidP="00BE3923">
      <w:pPr>
        <w:pStyle w:val="a0"/>
      </w:pPr>
      <w:r>
        <w:t xml:space="preserve">Full Text: </w:t>
      </w:r>
      <w:hyperlink r:id="rId558" w:history="1">
        <w:r w:rsidRPr="00895555">
          <w:rPr>
            <w:rStyle w:val="a5"/>
          </w:rPr>
          <w:t>2006\Hea Inf Lib J23, 13.pdf</w:t>
        </w:r>
      </w:hyperlink>
    </w:p>
    <w:p w:rsidR="00BE3923" w:rsidRPr="003862C4" w:rsidRDefault="00BE3923" w:rsidP="00BE3923">
      <w:pPr>
        <w:pStyle w:val="a0"/>
      </w:pPr>
      <w:r w:rsidRPr="003862C4">
        <w:t>Abstract: Background: Chinese medicine (CM) has been the subject of increasing interest in the past 30 years, both as a discipline</w:t>
      </w:r>
      <w:r w:rsidR="00F81221">
        <w:t xml:space="preserve"> and </w:t>
      </w:r>
      <w:r w:rsidRPr="003862C4">
        <w:t>in the larger context of alternative medicine. It has steadily been accepted by</w:t>
      </w:r>
      <w:r w:rsidR="00F81221">
        <w:t xml:space="preserve"> and </w:t>
      </w:r>
      <w:r w:rsidRPr="003862C4">
        <w:t>integrated into the medical</w:t>
      </w:r>
      <w:r w:rsidR="00F81221">
        <w:t xml:space="preserve"> and </w:t>
      </w:r>
      <w:r w:rsidRPr="003862C4">
        <w:t>health-care fields in many countries. Objective: This study aims to gain an overview of how CM has been interpreted</w:t>
      </w:r>
      <w:r w:rsidR="00F81221">
        <w:t xml:space="preserve"> and </w:t>
      </w:r>
      <w:r w:rsidRPr="003862C4">
        <w:t>presented to the world outside China</w:t>
      </w:r>
      <w:r w:rsidR="00F81221">
        <w:t xml:space="preserve"> and </w:t>
      </w:r>
      <w:r w:rsidRPr="003862C4">
        <w:t>to identify emerging trends. Methods: This study is designed to analyse the publishing trends of CM</w:t>
      </w:r>
      <w:r w:rsidR="00F81221">
        <w:t xml:space="preserve"> and </w:t>
      </w:r>
      <w:r w:rsidRPr="003862C4">
        <w:t>related subjects in all languages except Chinese, ranging from books</w:t>
      </w:r>
      <w:r w:rsidR="00F81221">
        <w:t xml:space="preserve"> and </w:t>
      </w:r>
      <w:r w:rsidRPr="003862C4">
        <w:t>serials to audio-visual</w:t>
      </w:r>
      <w:r w:rsidR="00F81221">
        <w:t xml:space="preserve"> and </w:t>
      </w:r>
      <w:r w:rsidRPr="003862C4">
        <w:t>electronic resources found in WorldCat, the world</w:t>
      </w:r>
      <w:r w:rsidR="000352E7">
        <w:t>’</w:t>
      </w:r>
      <w:r w:rsidRPr="003862C4">
        <w:t>s largest bibliographic database produced by OnLine Computer Library Center (OCLC). Results: The findings showed a flourishing growth of publications in CM</w:t>
      </w:r>
      <w:r w:rsidR="00F81221">
        <w:t xml:space="preserve"> and </w:t>
      </w:r>
      <w:r w:rsidRPr="003862C4">
        <w:t>related subjects beginning in the 1970s with greater coverage on acupuncture. The materials in English language constitute the major portion of total output. Conclusion: We conclude that Chinese medicine has steadily gained recognition in the world based on the analysis of publication records. The translation of original works</w:t>
      </w:r>
      <w:r w:rsidR="00F81221">
        <w:t xml:space="preserve"> and </w:t>
      </w:r>
      <w:r w:rsidRPr="003862C4">
        <w:t>analysis of journal literature</w:t>
      </w:r>
      <w:r w:rsidR="00F81221">
        <w:t xml:space="preserve"> and </w:t>
      </w:r>
      <w:r w:rsidRPr="003862C4">
        <w:t>conference proceedings on Chinese medicine merit further study.</w:t>
      </w:r>
    </w:p>
    <w:p w:rsidR="00BE3923" w:rsidRPr="003862C4" w:rsidRDefault="00BE3923" w:rsidP="00BE3923">
      <w:pPr>
        <w:pStyle w:val="a0"/>
      </w:pPr>
      <w:r w:rsidRPr="003862C4">
        <w:t xml:space="preserve">Keywords: Acupuncture, Alternative, Analysis, China, Chinese, Context, Coverage, </w:t>
      </w:r>
      <w:r w:rsidRPr="003862C4">
        <w:lastRenderedPageBreak/>
        <w:t>Database, Flourishing, Growth, Health Care, Journal, Languages, Literature, Medical, Medicine, Publication, Publications, Publishing, Records, Serials, Translation, Trends, World</w:t>
      </w:r>
    </w:p>
    <w:p w:rsidR="00967299" w:rsidRDefault="00967299" w:rsidP="00967299">
      <w:pPr>
        <w:pStyle w:val="a0"/>
        <w:rPr>
          <w:kern w:val="0"/>
        </w:rPr>
      </w:pPr>
      <w:r>
        <w:rPr>
          <w:rFonts w:hint="eastAsia"/>
          <w:kern w:val="0"/>
        </w:rPr>
        <w:t xml:space="preserve">? </w:t>
      </w:r>
      <w:r>
        <w:rPr>
          <w:kern w:val="0"/>
        </w:rPr>
        <w:t>Ullah, M.</w:t>
      </w:r>
      <w:r w:rsidR="00F81221">
        <w:rPr>
          <w:kern w:val="0"/>
        </w:rPr>
        <w:t xml:space="preserve"> and </w:t>
      </w:r>
      <w:r>
        <w:rPr>
          <w:kern w:val="0"/>
        </w:rPr>
        <w:t xml:space="preserve">Butt, I.F. (2008), Rating Pakistani medical journals using the principles of citation analysis. </w:t>
      </w:r>
      <w:r>
        <w:rPr>
          <w:i/>
          <w:iCs/>
          <w:kern w:val="0"/>
        </w:rPr>
        <w:t>Health Information</w:t>
      </w:r>
      <w:r w:rsidR="00F81221">
        <w:rPr>
          <w:i/>
          <w:iCs/>
          <w:kern w:val="0"/>
        </w:rPr>
        <w:t xml:space="preserve"> and </w:t>
      </w:r>
      <w:r>
        <w:rPr>
          <w:i/>
          <w:iCs/>
          <w:kern w:val="0"/>
        </w:rPr>
        <w:t>Libraries Journal</w:t>
      </w:r>
      <w:r>
        <w:rPr>
          <w:kern w:val="0"/>
        </w:rPr>
        <w:t xml:space="preserve">, </w:t>
      </w:r>
      <w:r>
        <w:rPr>
          <w:b/>
          <w:bCs/>
          <w:kern w:val="0"/>
        </w:rPr>
        <w:t>25</w:t>
      </w:r>
      <w:r>
        <w:rPr>
          <w:kern w:val="0"/>
        </w:rPr>
        <w:t xml:space="preserve"> (1), 50-54.</w:t>
      </w:r>
    </w:p>
    <w:p w:rsidR="00967299" w:rsidRPr="001A3D2B" w:rsidRDefault="00967299" w:rsidP="00967299">
      <w:pPr>
        <w:pStyle w:val="a0"/>
      </w:pPr>
      <w:r w:rsidRPr="001A3D2B">
        <w:t xml:space="preserve">Full Text: </w:t>
      </w:r>
      <w:hyperlink r:id="rId559" w:history="1">
        <w:r w:rsidRPr="00FA4F83">
          <w:rPr>
            <w:rStyle w:val="a5"/>
          </w:rPr>
          <w:t>2008\Hea Inf Lib J25, 50.pdf</w:t>
        </w:r>
      </w:hyperlink>
    </w:p>
    <w:p w:rsidR="00967299" w:rsidRDefault="00967299" w:rsidP="00967299">
      <w:pPr>
        <w:pStyle w:val="a0"/>
        <w:rPr>
          <w:kern w:val="0"/>
        </w:rPr>
      </w:pPr>
      <w:r>
        <w:rPr>
          <w:kern w:val="0"/>
        </w:rPr>
        <w:t>Abstract: Objective: To quantify the impact of Pakistani Medical Journals using the principles of citation analysis. Methods: References of articles published in 2006 in three selected Pakistani medical Journals were collected</w:t>
      </w:r>
      <w:r w:rsidR="00F81221">
        <w:rPr>
          <w:kern w:val="0"/>
        </w:rPr>
        <w:t xml:space="preserve"> and </w:t>
      </w:r>
      <w:r>
        <w:rPr>
          <w:kern w:val="0"/>
        </w:rPr>
        <w:t>examined. The number of citations for each Pakistani medical journal was totalled. The first ranking of journals was based on the total number of citations; second ranking was based on impact factor 2006</w:t>
      </w:r>
      <w:r w:rsidR="00F81221">
        <w:rPr>
          <w:kern w:val="0"/>
        </w:rPr>
        <w:t xml:space="preserve"> and </w:t>
      </w:r>
      <w:r>
        <w:rPr>
          <w:kern w:val="0"/>
        </w:rPr>
        <w:t>third ranking was based on the 5-year impact factor. Self-citations were excluded in all the three ratings. Results: A total of 9079 citations in 567 articles were examined. Forty-nine separate Pakistani medical journals were cited. The Journal of the Pakistan Medical Association remains on the top in all three rankings, while Journal of College of Physicians</w:t>
      </w:r>
      <w:r w:rsidR="00F81221">
        <w:rPr>
          <w:kern w:val="0"/>
        </w:rPr>
        <w:t xml:space="preserve"> and </w:t>
      </w:r>
      <w:r>
        <w:rPr>
          <w:kern w:val="0"/>
        </w:rPr>
        <w:t>Surgeons-Pakistan attains second position in the ranking based on the total number of citations. The Pakistan Journal of Medical Sciences moves to second position in the ranking based on the impact factor 2006. The Journal of Ayub Medical College, Abbottabad moves to second position in the ranking based on the 5-year impact factor. Conclusion: This study examined the citation pattern of Pakistani medical journals. The impact factor, despite its limitations, is a valid indicator of quality for journals.</w:t>
      </w:r>
    </w:p>
    <w:p w:rsidR="00967299" w:rsidRDefault="00967299" w:rsidP="00967299">
      <w:pPr>
        <w:pStyle w:val="a0"/>
        <w:rPr>
          <w:kern w:val="0"/>
        </w:rPr>
      </w:pPr>
      <w:r>
        <w:rPr>
          <w:kern w:val="0"/>
        </w:rPr>
        <w:t>Keywords: Analysis, Citation, Citation Analysis, Citations, Impact Factor, Impact Factors, Journals, Medical Journals, Sciences, Self-Citations</w:t>
      </w:r>
    </w:p>
    <w:p w:rsidR="00F158CE" w:rsidRPr="00D55BF2" w:rsidRDefault="00F158CE" w:rsidP="00F158CE">
      <w:pPr>
        <w:pStyle w:val="a0"/>
        <w:rPr>
          <w:rStyle w:val="a4"/>
        </w:rPr>
      </w:pPr>
      <w:r w:rsidRPr="003862C4">
        <w:rPr>
          <w:rFonts w:hint="eastAsia"/>
        </w:rPr>
        <w:t xml:space="preserve">? </w:t>
      </w:r>
      <w:r w:rsidRPr="003862C4">
        <w:t>Ullah, M., Butt, I.F.</w:t>
      </w:r>
      <w:r w:rsidR="00F81221">
        <w:t xml:space="preserve"> and </w:t>
      </w:r>
      <w:r w:rsidRPr="003862C4">
        <w:t xml:space="preserve">Haroon, M. (2008), The </w:t>
      </w:r>
      <w:r w:rsidRPr="00CE7517">
        <w:rPr>
          <w:i/>
          <w:iCs/>
        </w:rPr>
        <w:t>Journal of Ayub Medical College</w:t>
      </w:r>
      <w:r w:rsidRPr="00D55BF2">
        <w:rPr>
          <w:rStyle w:val="a4"/>
        </w:rPr>
        <w:t xml:space="preserve">: A 10-year bibliometric study. </w:t>
      </w:r>
      <w:r w:rsidRPr="00CE7517">
        <w:rPr>
          <w:i/>
          <w:iCs/>
        </w:rPr>
        <w:t>Health Information</w:t>
      </w:r>
      <w:r w:rsidR="00F81221">
        <w:rPr>
          <w:i/>
          <w:iCs/>
        </w:rPr>
        <w:t xml:space="preserve"> and </w:t>
      </w:r>
      <w:r w:rsidRPr="00CE7517">
        <w:rPr>
          <w:i/>
          <w:iCs/>
        </w:rPr>
        <w:t>Libraries Journal</w:t>
      </w:r>
      <w:r w:rsidRPr="00D55BF2">
        <w:rPr>
          <w:rStyle w:val="a4"/>
        </w:rPr>
        <w:t xml:space="preserve">, </w:t>
      </w:r>
      <w:r w:rsidRPr="00551655">
        <w:rPr>
          <w:b/>
          <w:bCs/>
        </w:rPr>
        <w:t>25</w:t>
      </w:r>
      <w:r w:rsidRPr="00D55BF2">
        <w:rPr>
          <w:rStyle w:val="a4"/>
        </w:rPr>
        <w:t xml:space="preserve"> (2), 116-124.</w:t>
      </w:r>
    </w:p>
    <w:p w:rsidR="00F158CE" w:rsidRPr="00BD191D" w:rsidRDefault="00F158CE" w:rsidP="00F158CE">
      <w:pPr>
        <w:pStyle w:val="a0"/>
      </w:pPr>
      <w:r>
        <w:t xml:space="preserve">Full Text: </w:t>
      </w:r>
      <w:hyperlink r:id="rId560" w:history="1">
        <w:r w:rsidRPr="00AD751B">
          <w:rPr>
            <w:rStyle w:val="a5"/>
          </w:rPr>
          <w:t>2008\Hea Inf Lib J25, 116.pdf</w:t>
        </w:r>
      </w:hyperlink>
    </w:p>
    <w:p w:rsidR="00F158CE" w:rsidRPr="003862C4" w:rsidRDefault="00F158CE" w:rsidP="00F158CE">
      <w:pPr>
        <w:pStyle w:val="a0"/>
      </w:pPr>
      <w:r w:rsidRPr="003862C4">
        <w:t>Abstract: Objective: To conduct a bibliometric evaluation of the Journal of Ayub Medical College (JAMC), Abbottabad, Pakistan. Methods The data of articles, citations</w:t>
      </w:r>
      <w:r w:rsidR="00F81221">
        <w:t xml:space="preserve"> and </w:t>
      </w:r>
      <w:r w:rsidRPr="003862C4">
        <w:t>authors of JAMC from 1997 to 2006 were collected</w:t>
      </w:r>
      <w:r w:rsidR="00F81221">
        <w:t xml:space="preserve"> and </w:t>
      </w:r>
      <w:r w:rsidRPr="003862C4">
        <w:t>analysed in terms of bibliometric parameters. Results: The number of articles published per year ranges between 27</w:t>
      </w:r>
      <w:r w:rsidR="00F81221">
        <w:t xml:space="preserve"> and </w:t>
      </w:r>
      <w:r w:rsidRPr="003862C4">
        <w:t xml:space="preserve">97; most of the articles (47.2%) have 11-20 citations. Three-author contributions ranked the highest (134; 23.43%); the most prolific authors contributed seven articles; 295 (51.57%) of the authors are geographically affiliated to the North West Frontier Province (NWFP), Pakistan; the most popular subject is Internal Medicine; journal self-cited references are 43; 7769 (77.94%) of the citations were from foreign journals; the most productive institution is Ayub Medical College, Abbottabad, Pakistan. Conclusion: The number of papers published </w:t>
      </w:r>
      <w:r w:rsidRPr="003862C4">
        <w:lastRenderedPageBreak/>
        <w:t>in JAMC per issue has been increasing over the last 10 years,</w:t>
      </w:r>
      <w:r w:rsidR="00F81221">
        <w:t xml:space="preserve"> and </w:t>
      </w:r>
      <w:r w:rsidRPr="003862C4">
        <w:t>the core region is NWFP, Pakistan. Original articles are the main type of papers for this journal. The publication is open for all fields of medical sciences.</w:t>
      </w:r>
    </w:p>
    <w:p w:rsidR="00F158CE" w:rsidRPr="00781016" w:rsidRDefault="00F158CE" w:rsidP="00F158CE">
      <w:pPr>
        <w:pStyle w:val="a0"/>
      </w:pPr>
      <w:r w:rsidRPr="00781016">
        <w:t>Keywords: Authors, Bibliometric, Bibliometric Evaluation, Bibliometric Study, Citation Analysis, Citations, Data, Evaluation, Foreign, Institution, Journal, Journal Self-Cited, Journals, Jun, Medical, North, Open, Pakistan, Papers, Publication, References, Sciences</w:t>
      </w:r>
    </w:p>
    <w:p w:rsidR="00BE3923" w:rsidRDefault="00BE3923" w:rsidP="00BE3923">
      <w:pPr>
        <w:pStyle w:val="a0"/>
        <w:rPr>
          <w:kern w:val="0"/>
        </w:rPr>
      </w:pPr>
      <w:r>
        <w:rPr>
          <w:rFonts w:hint="eastAsia"/>
          <w:kern w:val="0"/>
        </w:rPr>
        <w:t xml:space="preserve">? </w:t>
      </w:r>
      <w:r>
        <w:rPr>
          <w:kern w:val="0"/>
        </w:rPr>
        <w:t>Booth, A., Carroll, C., Papaioannou, D., Sutton, A.</w:t>
      </w:r>
      <w:r w:rsidR="00F81221">
        <w:rPr>
          <w:kern w:val="0"/>
        </w:rPr>
        <w:t xml:space="preserve"> and </w:t>
      </w:r>
      <w:r>
        <w:rPr>
          <w:kern w:val="0"/>
        </w:rPr>
        <w:t xml:space="preserve">Wong, R. (2009), Applying findings from a systematic review of workplace-based e-learning: implications for health information professionals. </w:t>
      </w:r>
      <w:r>
        <w:rPr>
          <w:i/>
          <w:iCs/>
          <w:kern w:val="0"/>
        </w:rPr>
        <w:t>Health Information</w:t>
      </w:r>
      <w:r w:rsidR="00F81221">
        <w:rPr>
          <w:i/>
          <w:iCs/>
          <w:kern w:val="0"/>
        </w:rPr>
        <w:t xml:space="preserve"> and </w:t>
      </w:r>
      <w:r>
        <w:rPr>
          <w:i/>
          <w:iCs/>
          <w:kern w:val="0"/>
        </w:rPr>
        <w:t>Libraries Journal</w:t>
      </w:r>
      <w:r>
        <w:rPr>
          <w:kern w:val="0"/>
        </w:rPr>
        <w:t xml:space="preserve">, </w:t>
      </w:r>
      <w:r>
        <w:rPr>
          <w:b/>
          <w:bCs/>
          <w:kern w:val="0"/>
        </w:rPr>
        <w:t>26</w:t>
      </w:r>
      <w:r>
        <w:rPr>
          <w:kern w:val="0"/>
        </w:rPr>
        <w:t xml:space="preserve"> (1), 4-21.</w:t>
      </w:r>
    </w:p>
    <w:p w:rsidR="00BE3923" w:rsidRPr="00BD191D" w:rsidRDefault="00BE3923" w:rsidP="00BE3923">
      <w:pPr>
        <w:pStyle w:val="a0"/>
      </w:pPr>
      <w:r>
        <w:t xml:space="preserve">Full Text: </w:t>
      </w:r>
      <w:hyperlink r:id="rId561" w:history="1">
        <w:r w:rsidRPr="00B1501F">
          <w:rPr>
            <w:rStyle w:val="a5"/>
          </w:rPr>
          <w:t>2009\Hea Inf Lib J26, 4.pdf</w:t>
        </w:r>
      </w:hyperlink>
    </w:p>
    <w:p w:rsidR="00BE3923" w:rsidRDefault="00BE3923" w:rsidP="00BE3923">
      <w:pPr>
        <w:pStyle w:val="a0"/>
        <w:rPr>
          <w:kern w:val="0"/>
        </w:rPr>
      </w:pPr>
      <w:r>
        <w:rPr>
          <w:kern w:val="0"/>
        </w:rPr>
        <w:t>Abstract: Objectives: To systematically review the UK published literature on e-learning in the health workplace</w:t>
      </w:r>
      <w:r w:rsidR="00F81221">
        <w:rPr>
          <w:kern w:val="0"/>
        </w:rPr>
        <w:t xml:space="preserve"> and </w:t>
      </w:r>
      <w:r>
        <w:rPr>
          <w:kern w:val="0"/>
        </w:rPr>
        <w:t>to apply the findings to one of the most prolific UK e-learning initiatives in the health sector-the National Library for Health Facilitated Online Learning Interactive Opportunity (FOLIO) Programme. Methods: Sensitive searches were conducted across ASSIA, Australian Education Index, British Education Index, CINAHL, CSA Abstracts, Dissertation Abstracts, Emerald, ERIC, IBSS, Index to Theses, LISA, MEDLINE, PSYCINFO</w:t>
      </w:r>
      <w:r w:rsidR="00F81221">
        <w:rPr>
          <w:kern w:val="0"/>
        </w:rPr>
        <w:t xml:space="preserve"> and </w:t>
      </w:r>
      <w:r>
        <w:rPr>
          <w:kern w:val="0"/>
        </w:rPr>
        <w:t>Social Science Citation Index. Additional citations were identified from reference lists of included studies</w:t>
      </w:r>
      <w:r w:rsidR="00F81221">
        <w:rPr>
          <w:kern w:val="0"/>
        </w:rPr>
        <w:t xml:space="preserve"> and </w:t>
      </w:r>
      <w:r>
        <w:rPr>
          <w:kern w:val="0"/>
        </w:rPr>
        <w:t>of relevant reviews; citation tracking</w:t>
      </w:r>
      <w:r w:rsidR="00F81221">
        <w:rPr>
          <w:kern w:val="0"/>
        </w:rPr>
        <w:t xml:space="preserve"> and </w:t>
      </w:r>
      <w:r>
        <w:rPr>
          <w:kern w:val="0"/>
        </w:rPr>
        <w:t>contact with experts. Twenty-nine studies met the inclusion criteria</w:t>
      </w:r>
      <w:r w:rsidR="00F81221">
        <w:rPr>
          <w:kern w:val="0"/>
        </w:rPr>
        <w:t xml:space="preserve"> and </w:t>
      </w:r>
      <w:r>
        <w:rPr>
          <w:kern w:val="0"/>
        </w:rPr>
        <w:t>were coded</w:t>
      </w:r>
      <w:r w:rsidR="00F81221">
        <w:rPr>
          <w:kern w:val="0"/>
        </w:rPr>
        <w:t xml:space="preserve"> and </w:t>
      </w:r>
      <w:r>
        <w:rPr>
          <w:kern w:val="0"/>
        </w:rPr>
        <w:t>analysed using thematic analysis as described by Miles &amp; Huberman (Qualitative Data Analysis: A Sourcebook of New Methods. Newbury Park, CA: Sage, 1984). Results: Five broad themes were identified from the 29 included studies: (i) peer communication; (ii) flexibility; (iii) support; (iv) knowledge validation;</w:t>
      </w:r>
      <w:r w:rsidR="00F81221">
        <w:rPr>
          <w:kern w:val="0"/>
        </w:rPr>
        <w:t xml:space="preserve"> and </w:t>
      </w:r>
      <w:r>
        <w:rPr>
          <w:kern w:val="0"/>
        </w:rPr>
        <w:t>(v) course presentation</w:t>
      </w:r>
      <w:r w:rsidR="00F81221">
        <w:rPr>
          <w:kern w:val="0"/>
        </w:rPr>
        <w:t xml:space="preserve"> and </w:t>
      </w:r>
      <w:r>
        <w:rPr>
          <w:kern w:val="0"/>
        </w:rPr>
        <w:t>design. These broad themes were supported by a total of eleven sub-themes. Components from the FOLIO Programme were analysed</w:t>
      </w:r>
      <w:r w:rsidR="00F81221">
        <w:rPr>
          <w:kern w:val="0"/>
        </w:rPr>
        <w:t xml:space="preserve"> and </w:t>
      </w:r>
      <w:r>
        <w:rPr>
          <w:kern w:val="0"/>
        </w:rPr>
        <w:t>existing</w:t>
      </w:r>
      <w:r w:rsidR="00F81221">
        <w:rPr>
          <w:kern w:val="0"/>
        </w:rPr>
        <w:t xml:space="preserve"> and </w:t>
      </w:r>
      <w:r>
        <w:rPr>
          <w:kern w:val="0"/>
        </w:rPr>
        <w:t>proposed developments were mapped against each sub-theme. This provides a valuable framework for ongoing course development. Conclusion: Librarians involved in delivering</w:t>
      </w:r>
      <w:r w:rsidR="00F81221">
        <w:rPr>
          <w:kern w:val="0"/>
        </w:rPr>
        <w:t xml:space="preserve"> and </w:t>
      </w:r>
      <w:r>
        <w:rPr>
          <w:kern w:val="0"/>
        </w:rPr>
        <w:t>supporting e-learning can benefit from applying the findings from the systematic review to existing programmes, exemplified by the FOLIO Programme. The resultant framework can also be used in developing new e-learning programmes.</w:t>
      </w:r>
    </w:p>
    <w:p w:rsidR="00BE3923" w:rsidRDefault="00BE3923" w:rsidP="00BE3923">
      <w:pPr>
        <w:pStyle w:val="a0"/>
        <w:rPr>
          <w:kern w:val="0"/>
        </w:rPr>
      </w:pPr>
      <w:r>
        <w:rPr>
          <w:kern w:val="0"/>
        </w:rPr>
        <w:t>Keywords: Citation, Citations, Education, Internet, Knowledge, Medline, Reproductive Medicine, Science, Systematic Review, UK</w:t>
      </w:r>
    </w:p>
    <w:p w:rsidR="00BF38C2" w:rsidRDefault="00BF38C2" w:rsidP="00BF38C2">
      <w:pPr>
        <w:pStyle w:val="a0"/>
        <w:rPr>
          <w:kern w:val="0"/>
          <w:szCs w:val="24"/>
        </w:rPr>
      </w:pPr>
      <w:r>
        <w:rPr>
          <w:rFonts w:hint="eastAsia"/>
          <w:kern w:val="0"/>
          <w:szCs w:val="24"/>
        </w:rPr>
        <w:t xml:space="preserve">? </w:t>
      </w:r>
      <w:r>
        <w:rPr>
          <w:kern w:val="0"/>
          <w:szCs w:val="24"/>
        </w:rPr>
        <w:t>Garg, K.C., Kumar, S., Madhavi, Y.</w:t>
      </w:r>
      <w:r w:rsidR="00F81221">
        <w:rPr>
          <w:kern w:val="0"/>
          <w:szCs w:val="24"/>
        </w:rPr>
        <w:t xml:space="preserve"> and </w:t>
      </w:r>
      <w:r>
        <w:rPr>
          <w:kern w:val="0"/>
          <w:szCs w:val="24"/>
        </w:rPr>
        <w:t xml:space="preserve">Bahl, M. (2009), Bibliometrics of global malaria vaccine research. </w:t>
      </w:r>
      <w:r>
        <w:rPr>
          <w:i/>
          <w:iCs/>
          <w:kern w:val="0"/>
          <w:szCs w:val="24"/>
        </w:rPr>
        <w:t>Health Information</w:t>
      </w:r>
      <w:r w:rsidR="00F81221">
        <w:rPr>
          <w:i/>
          <w:iCs/>
          <w:kern w:val="0"/>
          <w:szCs w:val="24"/>
        </w:rPr>
        <w:t xml:space="preserve"> and </w:t>
      </w:r>
      <w:r>
        <w:rPr>
          <w:i/>
          <w:iCs/>
          <w:kern w:val="0"/>
          <w:szCs w:val="24"/>
        </w:rPr>
        <w:t>Libraries Journal</w:t>
      </w:r>
      <w:r>
        <w:rPr>
          <w:kern w:val="0"/>
          <w:szCs w:val="24"/>
        </w:rPr>
        <w:t xml:space="preserve">, </w:t>
      </w:r>
      <w:r>
        <w:rPr>
          <w:b/>
          <w:bCs/>
          <w:kern w:val="0"/>
          <w:szCs w:val="24"/>
        </w:rPr>
        <w:t>26</w:t>
      </w:r>
      <w:r>
        <w:rPr>
          <w:kern w:val="0"/>
          <w:szCs w:val="24"/>
        </w:rPr>
        <w:t xml:space="preserve"> (1), 22-31.</w:t>
      </w:r>
    </w:p>
    <w:p w:rsidR="00BE3923" w:rsidRPr="00BD191D" w:rsidRDefault="00BE3923" w:rsidP="00BE3923">
      <w:pPr>
        <w:pStyle w:val="a0"/>
      </w:pPr>
      <w:r>
        <w:t xml:space="preserve">Full Text: </w:t>
      </w:r>
      <w:hyperlink r:id="rId562" w:history="1">
        <w:r w:rsidRPr="00F65486">
          <w:rPr>
            <w:rStyle w:val="a5"/>
          </w:rPr>
          <w:t>2009\Hea Inf Lib J26, 22.pdf</w:t>
        </w:r>
      </w:hyperlink>
    </w:p>
    <w:p w:rsidR="00BF38C2" w:rsidRDefault="00BE3923" w:rsidP="00BF38C2">
      <w:pPr>
        <w:pStyle w:val="a0"/>
        <w:rPr>
          <w:kern w:val="0"/>
          <w:szCs w:val="24"/>
        </w:rPr>
      </w:pPr>
      <w:r>
        <w:rPr>
          <w:kern w:val="0"/>
          <w:szCs w:val="24"/>
        </w:rPr>
        <w:t>Abstract: Objectives</w:t>
      </w:r>
      <w:r w:rsidR="00BF38C2">
        <w:rPr>
          <w:kern w:val="0"/>
          <w:szCs w:val="24"/>
        </w:rPr>
        <w:t xml:space="preserve">: This study evaluates malaria vaccine research carried out in </w:t>
      </w:r>
      <w:r w:rsidR="00BF38C2">
        <w:rPr>
          <w:kern w:val="0"/>
          <w:szCs w:val="24"/>
        </w:rPr>
        <w:lastRenderedPageBreak/>
        <w:t>different parts of the world during 1972-2004 using different bibliometric indicators. Method : Data have been downloaded from PubMed for the period 1972-2004 using the keywords (malaria* or plasmodium or falciparum)</w:t>
      </w:r>
      <w:r w:rsidR="00F81221">
        <w:rPr>
          <w:kern w:val="0"/>
          <w:szCs w:val="24"/>
        </w:rPr>
        <w:t xml:space="preserve"> and </w:t>
      </w:r>
      <w:r w:rsidR="00BF38C2">
        <w:rPr>
          <w:kern w:val="0"/>
          <w:szCs w:val="24"/>
        </w:rPr>
        <w:t>(vaccine*) in the title</w:t>
      </w:r>
      <w:r w:rsidR="00F81221">
        <w:rPr>
          <w:kern w:val="0"/>
          <w:szCs w:val="24"/>
        </w:rPr>
        <w:t xml:space="preserve"> and </w:t>
      </w:r>
      <w:r w:rsidR="00BF38C2">
        <w:rPr>
          <w:kern w:val="0"/>
          <w:szCs w:val="24"/>
        </w:rPr>
        <w:t>abstract fields. The study examined the pattern of growth of the output, its geographical distribution, profile of different countries in different subfields</w:t>
      </w:r>
      <w:r w:rsidR="00F81221">
        <w:rPr>
          <w:kern w:val="0"/>
          <w:szCs w:val="24"/>
        </w:rPr>
        <w:t xml:space="preserve"> and </w:t>
      </w:r>
      <w:r w:rsidR="00BF38C2">
        <w:rPr>
          <w:kern w:val="0"/>
          <w:szCs w:val="24"/>
        </w:rPr>
        <w:t>pattern of citations using GOOGLE Scholar. Results: Malaria vaccine research output is gradually increasing. The USA, followed by the UK</w:t>
      </w:r>
      <w:r w:rsidR="00F81221">
        <w:rPr>
          <w:kern w:val="0"/>
          <w:szCs w:val="24"/>
        </w:rPr>
        <w:t xml:space="preserve"> and </w:t>
      </w:r>
      <w:r w:rsidR="00BF38C2">
        <w:rPr>
          <w:kern w:val="0"/>
          <w:szCs w:val="24"/>
        </w:rPr>
        <w:t>Australia contributed the highest number of papers. Publication activity has decreased in Switzerland</w:t>
      </w:r>
      <w:r w:rsidR="00F81221">
        <w:rPr>
          <w:kern w:val="0"/>
          <w:szCs w:val="24"/>
        </w:rPr>
        <w:t xml:space="preserve"> and </w:t>
      </w:r>
      <w:r w:rsidR="00BF38C2">
        <w:rPr>
          <w:kern w:val="0"/>
          <w:szCs w:val="24"/>
        </w:rPr>
        <w:t>Sweden, but has increased in Brazil</w:t>
      </w:r>
      <w:r w:rsidR="00F81221">
        <w:rPr>
          <w:kern w:val="0"/>
          <w:szCs w:val="24"/>
        </w:rPr>
        <w:t xml:space="preserve"> and </w:t>
      </w:r>
      <w:r w:rsidR="00BF38C2">
        <w:rPr>
          <w:kern w:val="0"/>
          <w:szCs w:val="24"/>
        </w:rPr>
        <w:t>China. The majority of the countries have focused on the development of asexual blood stage malaria. Citations per paper</w:t>
      </w:r>
      <w:r w:rsidR="00F81221">
        <w:rPr>
          <w:kern w:val="0"/>
          <w:szCs w:val="24"/>
        </w:rPr>
        <w:t xml:space="preserve"> and </w:t>
      </w:r>
      <w:r w:rsidR="00BF38C2">
        <w:rPr>
          <w:kern w:val="0"/>
          <w:szCs w:val="24"/>
        </w:rPr>
        <w:t>incidence of high-quality papers for the USA, the UK, Papua New Guinea</w:t>
      </w:r>
      <w:r w:rsidR="00F81221">
        <w:rPr>
          <w:kern w:val="0"/>
          <w:szCs w:val="24"/>
        </w:rPr>
        <w:t xml:space="preserve"> and </w:t>
      </w:r>
      <w:r w:rsidR="00BF38C2">
        <w:rPr>
          <w:kern w:val="0"/>
          <w:szCs w:val="24"/>
        </w:rPr>
        <w:t>Denmark are more than the average. The majority of the prolific institutions are located in the USA, the UK, France</w:t>
      </w:r>
      <w:r w:rsidR="00F81221">
        <w:rPr>
          <w:kern w:val="0"/>
          <w:szCs w:val="24"/>
        </w:rPr>
        <w:t xml:space="preserve"> and </w:t>
      </w:r>
      <w:r w:rsidR="00BF38C2">
        <w:rPr>
          <w:kern w:val="0"/>
          <w:szCs w:val="24"/>
        </w:rPr>
        <w:t>Australia. Conclusion: The last two decades have witnessed considerable growth in research output in this field, while a successful malaria vaccine still remains elusive. Interestingly, the countries like the USA, the UK</w:t>
      </w:r>
      <w:r w:rsidR="00F81221">
        <w:rPr>
          <w:kern w:val="0"/>
          <w:szCs w:val="24"/>
        </w:rPr>
        <w:t xml:space="preserve"> and </w:t>
      </w:r>
      <w:r w:rsidR="00BF38C2">
        <w:rPr>
          <w:kern w:val="0"/>
          <w:szCs w:val="24"/>
        </w:rPr>
        <w:t>Australia that lead in the quantity, quality</w:t>
      </w:r>
      <w:r w:rsidR="00F81221">
        <w:rPr>
          <w:kern w:val="0"/>
          <w:szCs w:val="24"/>
        </w:rPr>
        <w:t xml:space="preserve"> and </w:t>
      </w:r>
      <w:r w:rsidR="00BF38C2">
        <w:rPr>
          <w:kern w:val="0"/>
          <w:szCs w:val="24"/>
        </w:rPr>
        <w:t>citation of this output are often not those directly affected by malaria.</w:t>
      </w:r>
    </w:p>
    <w:p w:rsidR="00BF38C2" w:rsidRDefault="00BF38C2" w:rsidP="00BF38C2">
      <w:pPr>
        <w:pStyle w:val="a0"/>
        <w:rPr>
          <w:kern w:val="0"/>
          <w:szCs w:val="24"/>
        </w:rPr>
      </w:pPr>
      <w:r>
        <w:rPr>
          <w:kern w:val="0"/>
          <w:szCs w:val="24"/>
        </w:rPr>
        <w:t>Keywords: Bibliometric, Bibliometric Indicators, Bibliometrics, Brazil, Citation, Citations, Computer-Science, Countries, Development, France, Growth, India, Indicators, Malaria, Output, Papers, Publication, Pubmed, Quality, Research, Research Output, Rts,S, As02a, Safety</w:t>
      </w:r>
    </w:p>
    <w:p w:rsidR="00BE3923" w:rsidRDefault="00BE3923" w:rsidP="00BE3923">
      <w:pPr>
        <w:pStyle w:val="a0"/>
        <w:rPr>
          <w:kern w:val="0"/>
        </w:rPr>
      </w:pPr>
      <w:r>
        <w:rPr>
          <w:rFonts w:hint="eastAsia"/>
          <w:kern w:val="0"/>
        </w:rPr>
        <w:t xml:space="preserve">? </w:t>
      </w:r>
      <w:r>
        <w:rPr>
          <w:kern w:val="0"/>
        </w:rPr>
        <w:t>Benamer, H.T.S., Bredan, A.</w:t>
      </w:r>
      <w:r w:rsidR="00F81221">
        <w:rPr>
          <w:kern w:val="0"/>
        </w:rPr>
        <w:t xml:space="preserve"> and </w:t>
      </w:r>
      <w:r>
        <w:rPr>
          <w:kern w:val="0"/>
        </w:rPr>
        <w:t xml:space="preserve">Bakoush, O. (2009), A negative trend of biomedical research in Libya: </w:t>
      </w:r>
      <w:r>
        <w:rPr>
          <w:rFonts w:hint="eastAsia"/>
          <w:kern w:val="0"/>
        </w:rPr>
        <w:t>A</w:t>
      </w:r>
      <w:r>
        <w:rPr>
          <w:kern w:val="0"/>
        </w:rPr>
        <w:t xml:space="preserve"> bibliometric study. </w:t>
      </w:r>
      <w:r>
        <w:rPr>
          <w:i/>
          <w:iCs/>
          <w:kern w:val="0"/>
        </w:rPr>
        <w:t>Health Information</w:t>
      </w:r>
      <w:r w:rsidR="00F81221">
        <w:rPr>
          <w:i/>
          <w:iCs/>
          <w:kern w:val="0"/>
        </w:rPr>
        <w:t xml:space="preserve"> and </w:t>
      </w:r>
      <w:r>
        <w:rPr>
          <w:i/>
          <w:iCs/>
          <w:kern w:val="0"/>
        </w:rPr>
        <w:t>Libraries Journal</w:t>
      </w:r>
      <w:r>
        <w:rPr>
          <w:kern w:val="0"/>
        </w:rPr>
        <w:t xml:space="preserve">, </w:t>
      </w:r>
      <w:r>
        <w:rPr>
          <w:b/>
          <w:bCs/>
          <w:kern w:val="0"/>
        </w:rPr>
        <w:t>26</w:t>
      </w:r>
      <w:r>
        <w:rPr>
          <w:kern w:val="0"/>
        </w:rPr>
        <w:t xml:space="preserve"> (3), 240-245.</w:t>
      </w:r>
    </w:p>
    <w:p w:rsidR="00BE3923" w:rsidRPr="00BD191D" w:rsidRDefault="00BE3923" w:rsidP="00BE3923">
      <w:pPr>
        <w:pStyle w:val="a0"/>
      </w:pPr>
      <w:r>
        <w:t xml:space="preserve">Full Text: </w:t>
      </w:r>
      <w:hyperlink r:id="rId563" w:history="1">
        <w:r w:rsidRPr="00F65486">
          <w:rPr>
            <w:rStyle w:val="a5"/>
          </w:rPr>
          <w:t>2009\Hea Inf Lib J26, 240.pdf</w:t>
        </w:r>
      </w:hyperlink>
    </w:p>
    <w:p w:rsidR="00BE3923" w:rsidRDefault="00BE3923" w:rsidP="00BE3923">
      <w:pPr>
        <w:pStyle w:val="a0"/>
        <w:rPr>
          <w:kern w:val="0"/>
        </w:rPr>
      </w:pPr>
      <w:r>
        <w:rPr>
          <w:kern w:val="0"/>
        </w:rPr>
        <w:t>Abstract: Background: It is well established that Libya is lagging behind its peers in biomedical research. The aim of this study is to analyse all the original biomedical publications affiliated with Libya from 1973 to 2007. Methods: PubMed</w:t>
      </w:r>
      <w:r w:rsidR="00F81221">
        <w:rPr>
          <w:kern w:val="0"/>
        </w:rPr>
        <w:t xml:space="preserve"> and </w:t>
      </w:r>
      <w:r>
        <w:rPr>
          <w:kern w:val="0"/>
        </w:rPr>
        <w:t xml:space="preserve">the Science Citation Index Expanded were searched for </w:t>
      </w:r>
      <w:r w:rsidR="000352E7">
        <w:rPr>
          <w:kern w:val="0"/>
        </w:rPr>
        <w:t>‘</w:t>
      </w:r>
      <w:r>
        <w:rPr>
          <w:kern w:val="0"/>
        </w:rPr>
        <w:t>original research</w:t>
      </w:r>
      <w:r w:rsidR="000352E7">
        <w:rPr>
          <w:kern w:val="0"/>
        </w:rPr>
        <w:t>’</w:t>
      </w:r>
      <w:r>
        <w:rPr>
          <w:kern w:val="0"/>
        </w:rPr>
        <w:t xml:space="preserve"> biomedical studies affiliated with Libya. The generated data were hand searched</w:t>
      </w:r>
      <w:r w:rsidR="00F81221">
        <w:rPr>
          <w:kern w:val="0"/>
        </w:rPr>
        <w:t xml:space="preserve"> and </w:t>
      </w:r>
      <w:r>
        <w:rPr>
          <w:kern w:val="0"/>
        </w:rPr>
        <w:t xml:space="preserve">329 </w:t>
      </w:r>
      <w:r w:rsidR="000352E7">
        <w:rPr>
          <w:kern w:val="0"/>
        </w:rPr>
        <w:t>‘</w:t>
      </w:r>
      <w:r>
        <w:rPr>
          <w:kern w:val="0"/>
        </w:rPr>
        <w:t>original research</w:t>
      </w:r>
      <w:r w:rsidR="000352E7">
        <w:rPr>
          <w:kern w:val="0"/>
        </w:rPr>
        <w:t>’</w:t>
      </w:r>
      <w:r>
        <w:rPr>
          <w:kern w:val="0"/>
        </w:rPr>
        <w:t xml:space="preserve"> studies were included in the analysis. Results: The first study was published in 1973. Publication rate peaked to an average of 15.2 studies per year during 1986-1996</w:t>
      </w:r>
      <w:r w:rsidR="00F81221">
        <w:rPr>
          <w:kern w:val="0"/>
        </w:rPr>
        <w:t xml:space="preserve"> and </w:t>
      </w:r>
      <w:r>
        <w:rPr>
          <w:kern w:val="0"/>
        </w:rPr>
        <w:t>dropped to an average of 8.8 studies per year during 1997-2007. Of 166 first authors; 41% were Libyans</w:t>
      </w:r>
      <w:r w:rsidR="00F81221">
        <w:rPr>
          <w:kern w:val="0"/>
        </w:rPr>
        <w:t xml:space="preserve"> and </w:t>
      </w:r>
      <w:r>
        <w:rPr>
          <w:kern w:val="0"/>
        </w:rPr>
        <w:t>59% were expatriates. The latter contributed 104 studies between 1986</w:t>
      </w:r>
      <w:r w:rsidR="00F81221">
        <w:rPr>
          <w:kern w:val="0"/>
        </w:rPr>
        <w:t xml:space="preserve"> and </w:t>
      </w:r>
      <w:r>
        <w:rPr>
          <w:kern w:val="0"/>
        </w:rPr>
        <w:t>1996</w:t>
      </w:r>
      <w:r w:rsidR="00F81221">
        <w:rPr>
          <w:kern w:val="0"/>
        </w:rPr>
        <w:t xml:space="preserve"> and </w:t>
      </w:r>
      <w:r>
        <w:rPr>
          <w:kern w:val="0"/>
        </w:rPr>
        <w:t>36 studies between 1997</w:t>
      </w:r>
      <w:r w:rsidR="00F81221">
        <w:rPr>
          <w:kern w:val="0"/>
        </w:rPr>
        <w:t xml:space="preserve"> and </w:t>
      </w:r>
      <w:r>
        <w:rPr>
          <w:kern w:val="0"/>
        </w:rPr>
        <w:t>2007, while the Libyans contributed 63</w:t>
      </w:r>
      <w:r w:rsidR="00F81221">
        <w:rPr>
          <w:kern w:val="0"/>
        </w:rPr>
        <w:t xml:space="preserve"> and </w:t>
      </w:r>
      <w:r>
        <w:rPr>
          <w:kern w:val="0"/>
        </w:rPr>
        <w:t>61 studies in the two respective periods. Authors affiliated with Benghazi produced 67% of the published studies, while authors from Tripoli produced 30%</w:t>
      </w:r>
      <w:r w:rsidR="00F81221">
        <w:rPr>
          <w:kern w:val="0"/>
        </w:rPr>
        <w:t xml:space="preserve"> and </w:t>
      </w:r>
      <w:r>
        <w:rPr>
          <w:kern w:val="0"/>
        </w:rPr>
        <w:t>other medical schools, hospitals</w:t>
      </w:r>
      <w:r w:rsidR="00F81221">
        <w:rPr>
          <w:kern w:val="0"/>
        </w:rPr>
        <w:t xml:space="preserve"> and </w:t>
      </w:r>
      <w:r>
        <w:rPr>
          <w:kern w:val="0"/>
        </w:rPr>
        <w:t xml:space="preserve">research centres from other Libyan cities produced only 3%. Conclusion: This study </w:t>
      </w:r>
      <w:r>
        <w:rPr>
          <w:kern w:val="0"/>
        </w:rPr>
        <w:lastRenderedPageBreak/>
        <w:t>showed a decline in biomedical research publication in Libya. We propose that the lack of a research culture among the Libyan medical professionals is one of the factors contributing to this decline, which coincided with the departure of expatriate doctors from Libya. Raising awareness of the importance of research</w:t>
      </w:r>
      <w:r w:rsidR="00F81221">
        <w:rPr>
          <w:kern w:val="0"/>
        </w:rPr>
        <w:t xml:space="preserve"> and </w:t>
      </w:r>
      <w:r>
        <w:rPr>
          <w:kern w:val="0"/>
        </w:rPr>
        <w:t>improving research skills among Libyan medical professionals may help to reverse the current trend.</w:t>
      </w:r>
    </w:p>
    <w:p w:rsidR="00BE3923" w:rsidRDefault="00BE3923" w:rsidP="00BE3923">
      <w:pPr>
        <w:pStyle w:val="a0"/>
        <w:rPr>
          <w:kern w:val="0"/>
        </w:rPr>
      </w:pPr>
      <w:r>
        <w:rPr>
          <w:kern w:val="0"/>
        </w:rPr>
        <w:t>Keywords: Bibliometric Study, Citation, Geography, Libya, Publication, Publications, Research, Science</w:t>
      </w:r>
    </w:p>
    <w:p w:rsidR="00CF757F" w:rsidRDefault="00CF757F" w:rsidP="00CF757F">
      <w:pPr>
        <w:pStyle w:val="a0"/>
        <w:rPr>
          <w:kern w:val="0"/>
        </w:rPr>
      </w:pPr>
      <w:r>
        <w:rPr>
          <w:rFonts w:hint="eastAsia"/>
          <w:kern w:val="0"/>
        </w:rPr>
        <w:t xml:space="preserve">? </w:t>
      </w:r>
      <w:r>
        <w:rPr>
          <w:kern w:val="0"/>
        </w:rPr>
        <w:t>Zainal, H.</w:t>
      </w:r>
      <w:r w:rsidR="00F81221">
        <w:rPr>
          <w:kern w:val="0"/>
        </w:rPr>
        <w:t xml:space="preserve"> and </w:t>
      </w:r>
      <w:r>
        <w:rPr>
          <w:kern w:val="0"/>
        </w:rPr>
        <w:t>Zainab, A.N. (2011), Biomedical</w:t>
      </w:r>
      <w:r w:rsidR="00F81221">
        <w:rPr>
          <w:kern w:val="0"/>
        </w:rPr>
        <w:t xml:space="preserve"> and </w:t>
      </w:r>
      <w:r>
        <w:rPr>
          <w:kern w:val="0"/>
        </w:rPr>
        <w:t xml:space="preserve">health sciences publication productivity from Malaysia. </w:t>
      </w:r>
      <w:r>
        <w:rPr>
          <w:i/>
          <w:iCs/>
          <w:kern w:val="0"/>
        </w:rPr>
        <w:t>Health Information</w:t>
      </w:r>
      <w:r w:rsidR="00F81221">
        <w:rPr>
          <w:i/>
          <w:iCs/>
          <w:kern w:val="0"/>
        </w:rPr>
        <w:t xml:space="preserve"> and </w:t>
      </w:r>
      <w:r>
        <w:rPr>
          <w:i/>
          <w:iCs/>
          <w:kern w:val="0"/>
        </w:rPr>
        <w:t>Libraries Journal</w:t>
      </w:r>
      <w:r>
        <w:rPr>
          <w:kern w:val="0"/>
        </w:rPr>
        <w:t xml:space="preserve">, </w:t>
      </w:r>
      <w:r>
        <w:rPr>
          <w:b/>
          <w:bCs/>
          <w:kern w:val="0"/>
        </w:rPr>
        <w:t>28</w:t>
      </w:r>
      <w:r>
        <w:rPr>
          <w:kern w:val="0"/>
        </w:rPr>
        <w:t xml:space="preserve"> (3), 216-225.</w:t>
      </w:r>
    </w:p>
    <w:p w:rsidR="00CF757F" w:rsidRPr="001A3D2B" w:rsidRDefault="00CF757F" w:rsidP="00CF757F">
      <w:pPr>
        <w:pStyle w:val="a0"/>
      </w:pPr>
      <w:r w:rsidRPr="001A3D2B">
        <w:t xml:space="preserve">Full Text: </w:t>
      </w:r>
      <w:hyperlink r:id="rId564" w:history="1">
        <w:r w:rsidRPr="002E57B2">
          <w:rPr>
            <w:rStyle w:val="a5"/>
          </w:rPr>
          <w:t>2011\Hea Inf Lib J28, 216.pdf</w:t>
        </w:r>
      </w:hyperlink>
    </w:p>
    <w:p w:rsidR="00CF757F" w:rsidRDefault="00CF757F" w:rsidP="00CF757F">
      <w:pPr>
        <w:pStyle w:val="a0"/>
        <w:rPr>
          <w:kern w:val="0"/>
        </w:rPr>
      </w:pPr>
      <w:r>
        <w:rPr>
          <w:kern w:val="0"/>
        </w:rPr>
        <w:t>Abstract: Background: The aim of this study was to examine Malaysian contributions in the field of biomedical</w:t>
      </w:r>
      <w:r w:rsidR="00F81221">
        <w:rPr>
          <w:kern w:val="0"/>
        </w:rPr>
        <w:t xml:space="preserve"> and </w:t>
      </w:r>
      <w:r>
        <w:rPr>
          <w:kern w:val="0"/>
        </w:rPr>
        <w:t>health sciences. Methods: In this study, 3697 publications affiliated to Malaysian addresses from the SCI database between 1990</w:t>
      </w:r>
      <w:r w:rsidR="00F81221">
        <w:rPr>
          <w:kern w:val="0"/>
        </w:rPr>
        <w:t xml:space="preserve"> and </w:t>
      </w:r>
      <w:r>
        <w:rPr>
          <w:kern w:val="0"/>
        </w:rPr>
        <w:t>2005 were sampled. This study also explored publication productivity trends, authorship</w:t>
      </w:r>
      <w:r w:rsidR="00F81221">
        <w:rPr>
          <w:kern w:val="0"/>
        </w:rPr>
        <w:t xml:space="preserve"> and </w:t>
      </w:r>
      <w:r>
        <w:rPr>
          <w:kern w:val="0"/>
        </w:rPr>
        <w:t>collaboration pattern, core journals used,</w:t>
      </w:r>
      <w:r w:rsidR="00F81221">
        <w:rPr>
          <w:kern w:val="0"/>
        </w:rPr>
        <w:t xml:space="preserve"> and </w:t>
      </w:r>
      <w:r>
        <w:rPr>
          <w:kern w:val="0"/>
        </w:rPr>
        <w:t>citations obtained. Results: Main contributions were journal articles (73.3%). Most authors (63.7%) contributed only one article</w:t>
      </w:r>
      <w:r w:rsidR="00F81221">
        <w:rPr>
          <w:kern w:val="0"/>
        </w:rPr>
        <w:t xml:space="preserve"> and </w:t>
      </w:r>
      <w:r>
        <w:rPr>
          <w:kern w:val="0"/>
        </w:rPr>
        <w:t>16.1% produced over 30-68 publications. Multi-authored works were the norm. The productive authors were named either first or second in publications. There were active collaborations with authors from Asia-Pacific countries (35%)</w:t>
      </w:r>
      <w:r w:rsidR="00F81221">
        <w:rPr>
          <w:kern w:val="0"/>
        </w:rPr>
        <w:t xml:space="preserve"> and </w:t>
      </w:r>
      <w:r>
        <w:rPr>
          <w:kern w:val="0"/>
        </w:rPr>
        <w:t>Europe (30%). The majority of publications were contributed by institutions of higher learning (87%). Core journals used follow quite close to Bradford</w:t>
      </w:r>
      <w:r w:rsidR="000352E7">
        <w:rPr>
          <w:kern w:val="0"/>
        </w:rPr>
        <w:t>’</w:t>
      </w:r>
      <w:r>
        <w:rPr>
          <w:kern w:val="0"/>
        </w:rPr>
        <w:t>s zonal ratios of 44:152:581. The active research areas were identified. About 71.3% of publications received citations especially those published from 1995 to 1999. Conclusion: This study helped librarians identify active researchers, active research areas</w:t>
      </w:r>
      <w:r w:rsidR="00F81221">
        <w:rPr>
          <w:kern w:val="0"/>
        </w:rPr>
        <w:t xml:space="preserve"> and </w:t>
      </w:r>
      <w:r>
        <w:rPr>
          <w:kern w:val="0"/>
        </w:rPr>
        <w:t>journals relevant to biomedical</w:t>
      </w:r>
      <w:r w:rsidR="00F81221">
        <w:rPr>
          <w:kern w:val="0"/>
        </w:rPr>
        <w:t xml:space="preserve"> and </w:t>
      </w:r>
      <w:r>
        <w:rPr>
          <w:kern w:val="0"/>
        </w:rPr>
        <w:t>health sciences researchers</w:t>
      </w:r>
      <w:r w:rsidR="00F81221">
        <w:rPr>
          <w:kern w:val="0"/>
        </w:rPr>
        <w:t xml:space="preserve"> and </w:t>
      </w:r>
      <w:r>
        <w:rPr>
          <w:kern w:val="0"/>
        </w:rPr>
        <w:t>useful when producing reports to university management</w:t>
      </w:r>
      <w:r w:rsidR="00F81221">
        <w:rPr>
          <w:kern w:val="0"/>
        </w:rPr>
        <w:t xml:space="preserve"> and </w:t>
      </w:r>
      <w:r>
        <w:rPr>
          <w:kern w:val="0"/>
        </w:rPr>
        <w:t>planning medical collection policies</w:t>
      </w:r>
      <w:r w:rsidR="00F81221">
        <w:rPr>
          <w:kern w:val="0"/>
        </w:rPr>
        <w:t xml:space="preserve"> and </w:t>
      </w:r>
      <w:r>
        <w:rPr>
          <w:kern w:val="0"/>
        </w:rPr>
        <w:t>deciding on journal subscriptions</w:t>
      </w:r>
      <w:r w:rsidR="00F81221">
        <w:rPr>
          <w:kern w:val="0"/>
        </w:rPr>
        <w:t xml:space="preserve"> and </w:t>
      </w:r>
      <w:r>
        <w:rPr>
          <w:kern w:val="0"/>
        </w:rPr>
        <w:t>cancellations.</w:t>
      </w:r>
    </w:p>
    <w:p w:rsidR="00CF757F" w:rsidRDefault="00CF757F" w:rsidP="00CF757F">
      <w:pPr>
        <w:pStyle w:val="a0"/>
        <w:rPr>
          <w:kern w:val="0"/>
        </w:rPr>
      </w:pPr>
      <w:r>
        <w:rPr>
          <w:kern w:val="0"/>
        </w:rPr>
        <w:t>Keywords: Authors, Authorship, Bibliometric Analysis, Bibliometrics, Biomedical, Citation Analysis, Citations, Collaboration, Europe, Health Sciences, Journal, Journal Use, Journals, Learning, Library, Malaysia, Medical, Medicine, Methods, Parasitology, Patterns, Policies, Publication, Publication Productivity, Publications, Research, Researchers, SCI, Sciences, Scopus, Trends, Tropical-Medicine, University</w:t>
      </w:r>
    </w:p>
    <w:p w:rsidR="00B95188" w:rsidRPr="00A428C3" w:rsidRDefault="00F158CE" w:rsidP="00F158CE">
      <w:pPr>
        <w:pStyle w:val="1"/>
      </w:pPr>
      <w:r w:rsidRPr="00217FB1">
        <w:br w:type="page"/>
      </w:r>
      <w:bookmarkStart w:id="499" w:name="_Toc186647759"/>
      <w:bookmarkStart w:id="500" w:name="_Toc317160992"/>
      <w:r w:rsidR="00B95188" w:rsidRPr="00A428C3">
        <w:lastRenderedPageBreak/>
        <w:t xml:space="preserve">Title: </w:t>
      </w:r>
      <w:r w:rsidR="00B95188" w:rsidRPr="00A428C3">
        <w:rPr>
          <w:szCs w:val="12"/>
        </w:rPr>
        <w:t>Health Medicine Recsearch</w:t>
      </w:r>
      <w:r w:rsidR="00F81221">
        <w:rPr>
          <w:szCs w:val="12"/>
        </w:rPr>
        <w:t xml:space="preserve"> and </w:t>
      </w:r>
      <w:r w:rsidR="00B95188" w:rsidRPr="00A428C3">
        <w:rPr>
          <w:szCs w:val="12"/>
        </w:rPr>
        <w:t>Practice</w:t>
      </w:r>
      <w:bookmarkEnd w:id="499"/>
      <w:bookmarkEnd w:id="500"/>
    </w:p>
    <w:p w:rsidR="00B95188" w:rsidRPr="00A428C3" w:rsidRDefault="00B95188" w:rsidP="00B72EF9">
      <w:pPr>
        <w:pStyle w:val="12"/>
      </w:pPr>
      <w:r w:rsidRPr="00A428C3">
        <w:t xml:space="preserve">Full Journal Title: </w:t>
      </w:r>
      <w:hyperlink r:id="rId565" w:history="1">
        <w:r w:rsidRPr="00A428C3">
          <w:rPr>
            <w:rStyle w:val="a5"/>
            <w:szCs w:val="12"/>
          </w:rPr>
          <w:t>Health Medicine Recsearch</w:t>
        </w:r>
        <w:r w:rsidR="00F81221">
          <w:rPr>
            <w:rStyle w:val="a5"/>
            <w:szCs w:val="12"/>
          </w:rPr>
          <w:t xml:space="preserve"> and </w:t>
        </w:r>
        <w:r w:rsidRPr="00A428C3">
          <w:rPr>
            <w:rStyle w:val="a5"/>
            <w:szCs w:val="12"/>
          </w:rPr>
          <w:t>Practice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w:t>
      </w:r>
      <w:r w:rsidRPr="00A428C3">
        <w:rPr>
          <w:szCs w:val="12"/>
        </w:rPr>
        <w:t>Zeng, R.F.</w:t>
      </w:r>
      <w:r w:rsidR="00F81221">
        <w:rPr>
          <w:szCs w:val="12"/>
        </w:rPr>
        <w:t xml:space="preserve"> and </w:t>
      </w:r>
      <w:r w:rsidRPr="00A428C3">
        <w:rPr>
          <w:szCs w:val="12"/>
        </w:rPr>
        <w:t>Zhao, W.L.</w:t>
      </w:r>
      <w:r w:rsidRPr="00A428C3">
        <w:t xml:space="preserve"> (2005), Bibliometric analysis of health education on AIDS in </w:t>
      </w:r>
      <w:smartTag w:uri="urn:schemas-microsoft-com:office:smarttags" w:element="place">
        <w:smartTag w:uri="urn:schemas-microsoft-com:office:smarttags" w:element="country-region">
          <w:r w:rsidRPr="00A428C3">
            <w:t>China</w:t>
          </w:r>
        </w:smartTag>
      </w:smartTag>
      <w:r w:rsidRPr="00A428C3">
        <w:t xml:space="preserve">. </w:t>
      </w:r>
      <w:r w:rsidRPr="00A428C3">
        <w:rPr>
          <w:i/>
          <w:szCs w:val="12"/>
        </w:rPr>
        <w:t>Health Medicine Recsearch</w:t>
      </w:r>
      <w:r w:rsidR="00F81221">
        <w:rPr>
          <w:i/>
          <w:szCs w:val="12"/>
        </w:rPr>
        <w:t xml:space="preserve"> and </w:t>
      </w:r>
      <w:r w:rsidRPr="00A428C3">
        <w:rPr>
          <w:i/>
          <w:szCs w:val="12"/>
        </w:rPr>
        <w:t>Practice</w:t>
      </w:r>
      <w:r w:rsidRPr="00A428C3">
        <w:t xml:space="preserve">, </w:t>
      </w:r>
      <w:r w:rsidRPr="00A428C3">
        <w:rPr>
          <w:b/>
        </w:rPr>
        <w:t>2</w:t>
      </w:r>
      <w:r w:rsidRPr="00A428C3">
        <w:t xml:space="preserve"> (2), 45-48.</w:t>
      </w:r>
    </w:p>
    <w:p w:rsidR="00B95188" w:rsidRPr="00A428C3" w:rsidRDefault="00B95188" w:rsidP="00B95188">
      <w:pPr>
        <w:pStyle w:val="a0"/>
      </w:pPr>
      <w:r w:rsidRPr="00A428C3">
        <w:t xml:space="preserve">Full Text: </w:t>
      </w:r>
      <w:hyperlink r:id="rId566" w:history="1">
        <w:r w:rsidRPr="00A428C3">
          <w:rPr>
            <w:rStyle w:val="a5"/>
            <w:szCs w:val="12"/>
          </w:rPr>
          <w:t>2005\Hea Med Rec Pra2, 45.pdf</w:t>
        </w:r>
      </w:hyperlink>
    </w:p>
    <w:p w:rsidR="00B95188" w:rsidRPr="00A428C3" w:rsidRDefault="00B95188" w:rsidP="00B95188">
      <w:pPr>
        <w:pStyle w:val="a0"/>
      </w:pPr>
      <w:r w:rsidRPr="00A428C3">
        <w:t>Abstract: Objective To analyze the situation of AIDS health education in twenty five years in China</w:t>
      </w:r>
      <w:r w:rsidR="00F81221">
        <w:t xml:space="preserve"> and </w:t>
      </w:r>
      <w:r w:rsidRPr="00A428C3">
        <w:t>un derstand thoroughly the research of AIDS health education in our country. Method Search out the bibliogra phy about AIDS health education f rom CBMdisc,</w:t>
      </w:r>
      <w:r w:rsidR="00F81221">
        <w:t xml:space="preserve"> and </w:t>
      </w:r>
      <w:r w:rsidRPr="00A428C3">
        <w:t>use the method of bibliomet ric to analyze the index that include the amount of publishing each year, the degree</w:t>
      </w:r>
      <w:r w:rsidR="00F81221">
        <w:t xml:space="preserve"> and </w:t>
      </w:r>
      <w:r w:rsidRPr="00A428C3">
        <w:t>the rate of cooperation, periodical dist ribution</w:t>
      </w:r>
      <w:r w:rsidR="00F81221">
        <w:t xml:space="preserve"> and </w:t>
      </w:r>
      <w:r w:rsidRPr="00A428C3">
        <w:t>locality dist ribution. Results Two hundred</w:t>
      </w:r>
      <w:r w:rsidR="00F81221">
        <w:t xml:space="preserve"> and </w:t>
      </w:r>
      <w:r w:rsidRPr="00A428C3">
        <w:t>sixty three literature about AIDS health education were searched. The degree of cooperation is 3</w:t>
      </w:r>
      <w:r w:rsidRPr="00A428C3">
        <w:rPr>
          <w:szCs w:val="18"/>
        </w:rPr>
        <w:t>1</w:t>
      </w:r>
      <w:r w:rsidRPr="00A428C3">
        <w:t>93, the rate of cooperation is 82</w:t>
      </w:r>
      <w:r w:rsidRPr="00A428C3">
        <w:rPr>
          <w:szCs w:val="18"/>
        </w:rPr>
        <w:t>.</w:t>
      </w:r>
      <w:r w:rsidRPr="00A428C3">
        <w:t>50 %. 1916 authors, 535 institution</w:t>
      </w:r>
      <w:r w:rsidR="00F81221">
        <w:t xml:space="preserve"> and </w:t>
      </w:r>
      <w:r w:rsidRPr="00A428C3">
        <w:t>139 magazines are related to. Conclusion Analyze the main people, locality dist ribution</w:t>
      </w:r>
      <w:r w:rsidR="00F81221">
        <w:t xml:space="preserve"> and </w:t>
      </w:r>
      <w:r w:rsidRPr="00A428C3">
        <w:t>the situation of AIDS health education in our count ry quantitatively. Definite the emphases</w:t>
      </w:r>
      <w:r w:rsidR="00F81221">
        <w:t xml:space="preserve"> and </w:t>
      </w:r>
      <w:r w:rsidRPr="00A428C3">
        <w:t>hot spot, whole show</w:t>
      </w:r>
      <w:r w:rsidR="00F81221">
        <w:t xml:space="preserve"> and </w:t>
      </w:r>
      <w:r w:rsidRPr="00A428C3">
        <w:t>main organization,</w:t>
      </w:r>
      <w:r w:rsidR="00F81221">
        <w:t xml:space="preserve"> and </w:t>
      </w:r>
      <w:r w:rsidRPr="00A428C3">
        <w:t>show the direction of further study</w:t>
      </w:r>
      <w:r w:rsidR="00F81221">
        <w:t xml:space="preserve"> and </w:t>
      </w:r>
      <w:r w:rsidRPr="00A428C3">
        <w:t>development clearly.</w:t>
      </w:r>
    </w:p>
    <w:p w:rsidR="00B95188" w:rsidRPr="00A428C3" w:rsidRDefault="00B95188" w:rsidP="00B95188">
      <w:pPr>
        <w:pStyle w:val="a0"/>
      </w:pPr>
      <w:r w:rsidRPr="00A428C3">
        <w:t>Keywords: AIDS, Health Education, Bibliometric Analysis</w:t>
      </w:r>
    </w:p>
    <w:p w:rsidR="00B95188" w:rsidRPr="00A428C3" w:rsidRDefault="00B95188" w:rsidP="00B95188">
      <w:pPr>
        <w:pStyle w:val="1"/>
      </w:pPr>
      <w:r w:rsidRPr="00A428C3">
        <w:br w:type="page"/>
      </w:r>
      <w:bookmarkStart w:id="501" w:name="_Toc487190691"/>
      <w:bookmarkStart w:id="502" w:name="_Toc487882195"/>
      <w:bookmarkStart w:id="503" w:name="_Toc490688003"/>
      <w:bookmarkStart w:id="504" w:name="_Toc492807664"/>
      <w:bookmarkStart w:id="505" w:name="_Toc186647760"/>
      <w:bookmarkStart w:id="506" w:name="_Toc317160993"/>
      <w:r w:rsidRPr="00A428C3">
        <w:lastRenderedPageBreak/>
        <w:t>Title: Health Physics</w:t>
      </w:r>
      <w:bookmarkEnd w:id="501"/>
      <w:bookmarkEnd w:id="502"/>
      <w:bookmarkEnd w:id="503"/>
      <w:bookmarkEnd w:id="504"/>
      <w:bookmarkEnd w:id="505"/>
      <w:bookmarkEnd w:id="506"/>
    </w:p>
    <w:p w:rsidR="00B95188" w:rsidRPr="00CF74C4" w:rsidRDefault="00B95188" w:rsidP="00B72EF9">
      <w:pPr>
        <w:pStyle w:val="12"/>
      </w:pPr>
      <w:r w:rsidRPr="00CF74C4">
        <w:t>Full Journal Title: Health Physics</w:t>
      </w:r>
    </w:p>
    <w:p w:rsidR="00B95188" w:rsidRPr="00CF74C4" w:rsidRDefault="00B95188" w:rsidP="00B72EF9">
      <w:pPr>
        <w:pStyle w:val="12"/>
      </w:pPr>
      <w:r w:rsidRPr="00CF74C4">
        <w:t>ISO Abbreviated Title: Health Phys.</w:t>
      </w:r>
    </w:p>
    <w:p w:rsidR="00B95188" w:rsidRPr="00CF74C4" w:rsidRDefault="00B95188" w:rsidP="00B72EF9">
      <w:pPr>
        <w:pStyle w:val="12"/>
      </w:pPr>
      <w:r w:rsidRPr="00CF74C4">
        <w:t>JCR Abbreviated Title: Health Phys</w:t>
      </w:r>
    </w:p>
    <w:p w:rsidR="00B95188" w:rsidRPr="00CF74C4" w:rsidRDefault="00B95188" w:rsidP="00B72EF9">
      <w:pPr>
        <w:pStyle w:val="12"/>
      </w:pPr>
      <w:r w:rsidRPr="00CF74C4">
        <w:t>ISSN: 0017-9078</w:t>
      </w:r>
    </w:p>
    <w:p w:rsidR="00B95188" w:rsidRPr="00CF74C4" w:rsidRDefault="00B95188" w:rsidP="00B72EF9">
      <w:pPr>
        <w:pStyle w:val="12"/>
      </w:pPr>
      <w:r w:rsidRPr="00CF74C4">
        <w:t>Issues/Year: 12</w:t>
      </w:r>
    </w:p>
    <w:p w:rsidR="00B95188" w:rsidRPr="00CF74C4" w:rsidRDefault="00B95188" w:rsidP="00B72EF9">
      <w:pPr>
        <w:pStyle w:val="12"/>
      </w:pPr>
      <w:r w:rsidRPr="00CF74C4">
        <w:t>Journal Country/Territory: United States</w:t>
      </w:r>
    </w:p>
    <w:p w:rsidR="00B95188" w:rsidRPr="00CF74C4" w:rsidRDefault="00B95188" w:rsidP="00B72EF9">
      <w:pPr>
        <w:pStyle w:val="12"/>
      </w:pPr>
      <w:r w:rsidRPr="00CF74C4">
        <w:t>Language: English</w:t>
      </w:r>
    </w:p>
    <w:p w:rsidR="00B95188" w:rsidRPr="00CF74C4" w:rsidRDefault="00B95188" w:rsidP="00B72EF9">
      <w:pPr>
        <w:pStyle w:val="12"/>
      </w:pPr>
      <w:r w:rsidRPr="00CF74C4">
        <w:t>Publisher: Lippincott Williams &amp; Wilkins</w:t>
      </w:r>
    </w:p>
    <w:p w:rsidR="00B95188" w:rsidRPr="00CF74C4" w:rsidRDefault="00B95188" w:rsidP="00B72EF9">
      <w:pPr>
        <w:pStyle w:val="12"/>
      </w:pPr>
      <w:r w:rsidRPr="00CF74C4">
        <w:t>Publisher Address: 530 Walnut St, Philadelphia, PA 19106-3621</w:t>
      </w:r>
    </w:p>
    <w:p w:rsidR="00B95188" w:rsidRPr="00CF74C4" w:rsidRDefault="00B95188" w:rsidP="00B72EF9">
      <w:pPr>
        <w:pStyle w:val="12"/>
      </w:pPr>
      <w:r w:rsidRPr="00CF74C4">
        <w:t>Subject Categories:</w:t>
      </w:r>
    </w:p>
    <w:p w:rsidR="00B95188" w:rsidRPr="00CF74C4" w:rsidRDefault="00B95188" w:rsidP="00B72EF9">
      <w:pPr>
        <w:pStyle w:val="12"/>
      </w:pPr>
      <w:r w:rsidRPr="00CF74C4">
        <w:t>Radiology, Nuclear Medicine &amp; Medical Imaging: Impact Factor</w:t>
      </w:r>
    </w:p>
    <w:p w:rsidR="00B95188" w:rsidRPr="00A428C3" w:rsidRDefault="00B95188" w:rsidP="00B95188">
      <w:pPr>
        <w:pStyle w:val="a0"/>
      </w:pPr>
      <w:r w:rsidRPr="00A428C3">
        <w:t>? Mccurdy, D.E.</w:t>
      </w:r>
      <w:r w:rsidR="00F81221">
        <w:t xml:space="preserve"> and </w:t>
      </w:r>
      <w:r w:rsidRPr="00A428C3">
        <w:t>Mellor, R.A. (1981), The concentration of Ra-226</w:t>
      </w:r>
      <w:r w:rsidR="00F81221">
        <w:t xml:space="preserve"> and </w:t>
      </w:r>
      <w:r w:rsidRPr="00A428C3">
        <w:t>Ra</w:t>
      </w:r>
      <w:smartTag w:uri="urn:schemas-microsoft-com:office:smarttags" w:element="chmetcnv">
        <w:smartTagPr>
          <w:attr w:name="TCSC" w:val="0"/>
          <w:attr w:name="NumberType" w:val="1"/>
          <w:attr w:name="Negative" w:val="True"/>
          <w:attr w:name="HasSpace" w:val="True"/>
          <w:attr w:name="SourceValue" w:val="228"/>
          <w:attr w:name="UnitName" w:val="in"/>
        </w:smartTagPr>
        <w:r w:rsidRPr="00A428C3">
          <w:t>-228 in</w:t>
        </w:r>
      </w:smartTag>
      <w:r w:rsidRPr="00A428C3">
        <w:t xml:space="preserve"> domestic</w:t>
      </w:r>
      <w:r w:rsidR="00F81221">
        <w:t xml:space="preserve"> and </w:t>
      </w:r>
      <w:r w:rsidRPr="00A428C3">
        <w:t xml:space="preserve">imported bottled waters. </w:t>
      </w:r>
      <w:r w:rsidRPr="00A428C3">
        <w:rPr>
          <w:i/>
        </w:rPr>
        <w:t>Health Physics</w:t>
      </w:r>
      <w:r w:rsidRPr="00A428C3">
        <w:t xml:space="preserve">, </w:t>
      </w:r>
      <w:r w:rsidRPr="00A428C3">
        <w:rPr>
          <w:b/>
        </w:rPr>
        <w:t>40</w:t>
      </w:r>
      <w:r w:rsidRPr="00A428C3">
        <w:t xml:space="preserve"> (2), 250-254.</w:t>
      </w:r>
    </w:p>
    <w:p w:rsidR="00CF74C4" w:rsidRDefault="00CF74C4" w:rsidP="00CF74C4">
      <w:pPr>
        <w:pStyle w:val="a0"/>
        <w:rPr>
          <w:kern w:val="0"/>
          <w:szCs w:val="24"/>
        </w:rPr>
      </w:pPr>
      <w:r>
        <w:rPr>
          <w:rFonts w:hint="eastAsia"/>
          <w:kern w:val="0"/>
          <w:szCs w:val="24"/>
        </w:rPr>
        <w:t xml:space="preserve">? </w:t>
      </w:r>
      <w:r>
        <w:rPr>
          <w:kern w:val="0"/>
          <w:szCs w:val="24"/>
        </w:rPr>
        <w:t>Bujdoso, E., Lyon, W.S.</w:t>
      </w:r>
      <w:r w:rsidR="00F81221">
        <w:rPr>
          <w:kern w:val="0"/>
          <w:szCs w:val="24"/>
        </w:rPr>
        <w:t xml:space="preserve"> and </w:t>
      </w:r>
      <w:r>
        <w:rPr>
          <w:kern w:val="0"/>
          <w:szCs w:val="24"/>
        </w:rPr>
        <w:t xml:space="preserve">Braun, T. (1981), Scientometric Study of </w:t>
      </w:r>
      <w:r w:rsidRPr="00823023">
        <w:rPr>
          <w:i/>
          <w:kern w:val="0"/>
          <w:szCs w:val="24"/>
        </w:rPr>
        <w:t>Health</w:t>
      </w:r>
      <w:r w:rsidRPr="00823023">
        <w:rPr>
          <w:rFonts w:hint="eastAsia"/>
          <w:i/>
          <w:kern w:val="0"/>
          <w:szCs w:val="24"/>
        </w:rPr>
        <w:t xml:space="preserve"> </w:t>
      </w:r>
      <w:r w:rsidRPr="00823023">
        <w:rPr>
          <w:i/>
          <w:kern w:val="0"/>
          <w:szCs w:val="24"/>
        </w:rPr>
        <w:t>Physics</w:t>
      </w:r>
      <w:r>
        <w:rPr>
          <w:kern w:val="0"/>
          <w:szCs w:val="24"/>
        </w:rPr>
        <w:t xml:space="preserve">. </w:t>
      </w:r>
      <w:r>
        <w:rPr>
          <w:i/>
          <w:iCs/>
          <w:kern w:val="0"/>
          <w:szCs w:val="24"/>
        </w:rPr>
        <w:t>Health Physics</w:t>
      </w:r>
      <w:r>
        <w:rPr>
          <w:kern w:val="0"/>
          <w:szCs w:val="24"/>
        </w:rPr>
        <w:t xml:space="preserve">, </w:t>
      </w:r>
      <w:r>
        <w:rPr>
          <w:b/>
          <w:bCs/>
          <w:kern w:val="0"/>
          <w:szCs w:val="24"/>
        </w:rPr>
        <w:t>41</w:t>
      </w:r>
      <w:r>
        <w:rPr>
          <w:kern w:val="0"/>
          <w:szCs w:val="24"/>
        </w:rPr>
        <w:t xml:space="preserve"> (2), 233-242</w:t>
      </w:r>
      <w:r>
        <w:rPr>
          <w:rFonts w:hint="eastAsia"/>
          <w:kern w:val="0"/>
          <w:szCs w:val="24"/>
        </w:rPr>
        <w:t>.</w:t>
      </w:r>
    </w:p>
    <w:p w:rsidR="00B95188" w:rsidRPr="00A428C3" w:rsidRDefault="00B95188" w:rsidP="00B95188">
      <w:pPr>
        <w:pStyle w:val="a0"/>
      </w:pPr>
      <w:r w:rsidRPr="00A428C3">
        <w:t xml:space="preserve">? Mills, W.A. (1985), Regulatory consideration in radiation protection. </w:t>
      </w:r>
      <w:r w:rsidRPr="00A428C3">
        <w:rPr>
          <w:i/>
        </w:rPr>
        <w:t>Health Physics</w:t>
      </w:r>
      <w:r w:rsidRPr="00A428C3">
        <w:t xml:space="preserve">, </w:t>
      </w:r>
      <w:r w:rsidRPr="00A428C3">
        <w:rPr>
          <w:b/>
        </w:rPr>
        <w:t>48</w:t>
      </w:r>
      <w:r w:rsidRPr="00A428C3">
        <w:t xml:space="preserve"> (5), 701-704.</w:t>
      </w:r>
    </w:p>
    <w:p w:rsidR="00B95188" w:rsidRPr="00A428C3" w:rsidRDefault="00B95188" w:rsidP="00B95188">
      <w:pPr>
        <w:pStyle w:val="a0"/>
      </w:pPr>
      <w:r w:rsidRPr="00A428C3">
        <w:t xml:space="preserve">Abstract: A regulatory scheme is suggested that identifies regions labeled </w:t>
      </w:r>
      <w:r w:rsidR="000352E7">
        <w:t>“</w:t>
      </w:r>
      <w:r w:rsidRPr="00A428C3">
        <w:t>unacceptable</w:t>
      </w:r>
      <w:r w:rsidR="000352E7">
        <w:t>”</w:t>
      </w:r>
      <w:r w:rsidR="00F81221">
        <w:t xml:space="preserve"> and </w:t>
      </w:r>
      <w:r w:rsidR="000352E7">
        <w:t>“</w:t>
      </w:r>
      <w:r w:rsidRPr="00A428C3">
        <w:t>safe</w:t>
      </w:r>
      <w:r w:rsidR="000352E7">
        <w:t>”</w:t>
      </w:r>
      <w:r w:rsidRPr="00A428C3">
        <w:t xml:space="preserve"> as the upper</w:t>
      </w:r>
      <w:r w:rsidR="00F81221">
        <w:t xml:space="preserve"> and </w:t>
      </w:r>
      <w:r w:rsidRPr="00A428C3">
        <w:t>lower bounds</w:t>
      </w:r>
      <w:r w:rsidR="00F81221">
        <w:t xml:space="preserve"> and </w:t>
      </w:r>
      <w:r w:rsidR="000352E7">
        <w:t>“</w:t>
      </w:r>
      <w:r w:rsidRPr="00A428C3">
        <w:t>operational</w:t>
      </w:r>
      <w:r w:rsidR="000352E7">
        <w:t>”</w:t>
      </w:r>
      <w:r w:rsidRPr="00A428C3">
        <w:t xml:space="preserve"> region is identified as the continuum between the two extremes. These regions are associated with levels of annual risk of cancer death for a given level of lifetime exposure between 100 mrem/yr</w:t>
      </w:r>
      <w:r w:rsidR="00F81221">
        <w:t xml:space="preserve"> and </w:t>
      </w:r>
      <w:r w:rsidRPr="00A428C3">
        <w:t>1 mrem/yr, upper</w:t>
      </w:r>
      <w:r w:rsidR="00F81221">
        <w:t xml:space="preserve"> and </w:t>
      </w:r>
      <w:r w:rsidRPr="00A428C3">
        <w:t>lower bounds, respectively. Concern is expressed with establishing public health standards at ALARA (as low as reasonably achievable) levels, which result in lower standards for reference,</w:t>
      </w:r>
      <w:r w:rsidR="00F81221">
        <w:t xml:space="preserve"> and </w:t>
      </w:r>
      <w:r w:rsidRPr="00A428C3">
        <w:t>views are presented on several issues of interest in regulations for protection of the public from radioactivity in drinking water. Based on the regulatory scheme suggested, the author concludes that existing standards for drinking water appear to be lower than necessary.</w:t>
      </w:r>
    </w:p>
    <w:p w:rsidR="00B95188" w:rsidRPr="00A428C3" w:rsidRDefault="00B95188" w:rsidP="00B95188">
      <w:pPr>
        <w:pStyle w:val="a0"/>
      </w:pPr>
      <w:r w:rsidRPr="00A428C3">
        <w:t>? Holbert, K.E., Stewart, B.D.</w:t>
      </w:r>
      <w:r w:rsidR="00F81221">
        <w:t xml:space="preserve"> and </w:t>
      </w:r>
      <w:r w:rsidRPr="00A428C3">
        <w:t xml:space="preserve">Eshraghi, P. (1995), Measurement of radioactivity in </w:t>
      </w:r>
      <w:smartTag w:uri="urn:schemas-microsoft-com:office:smarttags" w:element="place">
        <w:smartTag w:uri="urn:schemas-microsoft-com:office:smarttags" w:element="State">
          <w:r w:rsidRPr="00A428C3">
            <w:t>Arizona</w:t>
          </w:r>
        </w:smartTag>
      </w:smartTag>
      <w:r w:rsidRPr="00A428C3">
        <w:t xml:space="preserve"> groundwater using improved analytical techniques for samples with high dissolved solids. </w:t>
      </w:r>
      <w:r w:rsidRPr="00A428C3">
        <w:rPr>
          <w:i/>
        </w:rPr>
        <w:t>Health Physics</w:t>
      </w:r>
      <w:r w:rsidRPr="00A428C3">
        <w:t xml:space="preserve">, </w:t>
      </w:r>
      <w:r w:rsidRPr="00A428C3">
        <w:rPr>
          <w:b/>
        </w:rPr>
        <w:t>68</w:t>
      </w:r>
      <w:r w:rsidRPr="00A428C3">
        <w:t xml:space="preserve"> (2), 185-194.</w:t>
      </w:r>
    </w:p>
    <w:p w:rsidR="00B95188" w:rsidRPr="00A428C3" w:rsidRDefault="00B95188" w:rsidP="00B95188">
      <w:pPr>
        <w:pStyle w:val="a0"/>
      </w:pPr>
      <w:r w:rsidRPr="00A428C3">
        <w:t xml:space="preserve">Abstract: Radiochemical analyses of 667 samples collected over the 5-y period 1989 to 1993 indicate that approximately 2% of </w:t>
      </w:r>
      <w:smartTag w:uri="urn:schemas-microsoft-com:office:smarttags" w:element="place">
        <w:smartTag w:uri="urn:schemas-microsoft-com:office:smarttags" w:element="State">
          <w:r w:rsidRPr="00A428C3">
            <w:t>Arizona</w:t>
          </w:r>
        </w:smartTag>
      </w:smartTag>
      <w:r w:rsidRPr="00A428C3">
        <w:t xml:space="preserve"> drinking water supplies from groundwater sources violate current regulatory standards. About 1% of the population is affected. The 1996 change in regulatory requirements will bring some </w:t>
      </w:r>
      <w:smartTag w:uri="urn:schemas-microsoft-com:office:smarttags" w:element="place">
        <w:smartTag w:uri="urn:schemas-microsoft-com:office:smarttags" w:element="State">
          <w:r w:rsidRPr="00A428C3">
            <w:t>Arizona</w:t>
          </w:r>
        </w:smartTag>
      </w:smartTag>
      <w:r w:rsidRPr="00A428C3">
        <w:t xml:space="preserve"> water systems into compliance through 226Ra limit relaxation, while others </w:t>
      </w:r>
      <w:r w:rsidRPr="00A428C3">
        <w:lastRenderedPageBreak/>
        <w:t xml:space="preserve">will become noncompliant due to new limits on uranium levels. Maximum concentrations in </w:t>
      </w:r>
      <w:smartTag w:uri="urn:schemas-microsoft-com:office:smarttags" w:element="place">
        <w:smartTag w:uri="urn:schemas-microsoft-com:office:smarttags" w:element="State">
          <w:r w:rsidRPr="00A428C3">
            <w:t>Arizona</w:t>
          </w:r>
        </w:smartTag>
      </w:smartTag>
      <w:r w:rsidRPr="00A428C3">
        <w:t xml:space="preserve"> of adjusted gross alpha, gross beta,</w:t>
      </w:r>
      <w:r w:rsidR="00F81221">
        <w:t xml:space="preserve"> and </w:t>
      </w:r>
      <w:r w:rsidRPr="00A428C3">
        <w:t>226Ra activities are higher than levels found in the U.S. Environmental Protection Agency</w:t>
      </w:r>
      <w:r w:rsidR="000352E7">
        <w:t>’</w:t>
      </w:r>
      <w:r w:rsidRPr="00A428C3">
        <w:t>s national survey. Sampling results show a correlation between radionuclide concentration</w:t>
      </w:r>
      <w:r w:rsidR="00F81221">
        <w:t xml:space="preserve"> and </w:t>
      </w:r>
      <w:r w:rsidRPr="00A428C3">
        <w:t>localized geology. Improved radiochemical methods are described that result in greater accuracy</w:t>
      </w:r>
      <w:r w:rsidR="00F81221">
        <w:t xml:space="preserve"> and </w:t>
      </w:r>
      <w:r w:rsidRPr="00A428C3">
        <w:t xml:space="preserve">sensitivity for samples high in dissolved solids, as are typical in </w:t>
      </w:r>
      <w:smartTag w:uri="urn:schemas-microsoft-com:office:smarttags" w:element="place">
        <w:smartTag w:uri="urn:schemas-microsoft-com:office:smarttags" w:element="State">
          <w:r w:rsidRPr="00A428C3">
            <w:t>Arizona</w:t>
          </w:r>
        </w:smartTag>
      </w:smartTag>
      <w:r w:rsidRPr="00A428C3">
        <w:t>.</w:t>
      </w:r>
    </w:p>
    <w:p w:rsidR="00B95188" w:rsidRPr="00A428C3" w:rsidRDefault="00B95188" w:rsidP="00B95188">
      <w:pPr>
        <w:pStyle w:val="a0"/>
      </w:pPr>
      <w:r w:rsidRPr="00A428C3">
        <w:t>? Tries, M.A., Ring, J.P.</w:t>
      </w:r>
      <w:r w:rsidR="00F81221">
        <w:t xml:space="preserve"> and </w:t>
      </w:r>
      <w:r w:rsidRPr="00A428C3">
        <w:t xml:space="preserve">Chabot, G.E. (1996), Environmental monitoring for a low-level radioactive waste management facility: Incinerator operations. </w:t>
      </w:r>
      <w:r w:rsidRPr="00A428C3">
        <w:rPr>
          <w:i/>
        </w:rPr>
        <w:t>Health Physics</w:t>
      </w:r>
      <w:r w:rsidRPr="00A428C3">
        <w:t xml:space="preserve">, </w:t>
      </w:r>
      <w:r w:rsidRPr="00A428C3">
        <w:rPr>
          <w:b/>
        </w:rPr>
        <w:t>71</w:t>
      </w:r>
      <w:r w:rsidRPr="00A428C3">
        <w:t xml:space="preserve"> (3), 384-394.</w:t>
      </w:r>
    </w:p>
    <w:p w:rsidR="00B95188" w:rsidRPr="00A428C3" w:rsidRDefault="00B95188" w:rsidP="00B95188">
      <w:pPr>
        <w:pStyle w:val="a0"/>
        <w:rPr>
          <w:rFonts w:eastAsia="Arial Unicode MS"/>
        </w:rPr>
      </w:pPr>
      <w:r w:rsidRPr="00A428C3">
        <w:t xml:space="preserve">Abstract: An environmental monitoring program has been developed for </w:t>
      </w:r>
      <w:smartTag w:uri="urn:schemas-microsoft-com:office:smarttags" w:element="place">
        <w:smartTag w:uri="urn:schemas-microsoft-com:office:smarttags" w:element="PlaceName">
          <w:r w:rsidRPr="00A428C3">
            <w:t>Harvard</w:t>
          </w:r>
        </w:smartTag>
        <w:r w:rsidRPr="00A428C3">
          <w:t xml:space="preserve"> </w:t>
        </w:r>
        <w:smartTag w:uri="urn:schemas-microsoft-com:office:smarttags" w:element="PlaceType">
          <w:r w:rsidRPr="00A428C3">
            <w:t>University</w:t>
          </w:r>
        </w:smartTag>
      </w:smartTag>
      <w:r w:rsidRPr="00A428C3">
        <w:t>, Southborough campus, to assess the local environmental concentrations of radionuclides released in incinerator effluents. The campus is host to the University</w:t>
      </w:r>
      <w:r w:rsidR="000352E7">
        <w:t>’</w:t>
      </w:r>
      <w:r w:rsidRPr="00A428C3">
        <w:t>s low-level radioactive waste management facility, which consists of 6,000 drum capacity decay-storage buildings; a 250 drum capacity decay-storage freezer;</w:t>
      </w:r>
      <w:r w:rsidR="00F81221">
        <w:t xml:space="preserve"> and </w:t>
      </w:r>
      <w:r w:rsidRPr="00A428C3">
        <w:t>a controlled-air incinerator. Developmental considerations were based on the characteristics</w:t>
      </w:r>
      <w:r w:rsidR="00F81221">
        <w:t xml:space="preserve"> and </w:t>
      </w:r>
      <w:r w:rsidRPr="00A428C3">
        <w:t>use of the incinerator, which has a capacity of 8 tons per day</w:t>
      </w:r>
      <w:r w:rsidR="00F81221">
        <w:t xml:space="preserve"> and </w:t>
      </w:r>
      <w:r w:rsidRPr="00A428C3">
        <w:t>is operated 5% of the time for the volume reduction of Type 0</w:t>
      </w:r>
      <w:r w:rsidR="00F81221">
        <w:t xml:space="preserve"> and </w:t>
      </w:r>
      <w:r w:rsidRPr="00A428C3">
        <w:t>Type 4 wastes contaminated with a variety of radionuclides used in biomedical research-some in microsphere form. Monitoring was established for air, leafy vegetation, leaf-litter,</w:t>
      </w:r>
      <w:r w:rsidR="00F81221">
        <w:t xml:space="preserve"> and </w:t>
      </w:r>
      <w:r w:rsidRPr="00A428C3">
        <w:t>surface soil media, Field sampling was optimized regarding location</w:t>
      </w:r>
      <w:r w:rsidR="00F81221">
        <w:t xml:space="preserve"> and </w:t>
      </w:r>
      <w:r w:rsidRPr="00A428C3">
        <w:t>time based on the action of atmospheric, terrestrial,</w:t>
      </w:r>
      <w:r w:rsidR="00F81221">
        <w:t xml:space="preserve"> and </w:t>
      </w:r>
      <w:r w:rsidRPr="00A428C3">
        <w:t>biotic transport mechanisms. Preliminary results indicate transient concentrations of H-3</w:t>
      </w:r>
      <w:r w:rsidR="00F81221">
        <w:t xml:space="preserve"> and </w:t>
      </w:r>
      <w:r w:rsidRPr="00A428C3">
        <w:t>I</w:t>
      </w:r>
      <w:smartTag w:uri="urn:schemas-microsoft-com:office:smarttags" w:element="chmetcnv">
        <w:smartTagPr>
          <w:attr w:name="TCSC" w:val="0"/>
          <w:attr w:name="NumberType" w:val="1"/>
          <w:attr w:name="Negative" w:val="True"/>
          <w:attr w:name="HasSpace" w:val="True"/>
          <w:attr w:name="SourceValue" w:val="125"/>
          <w:attr w:name="UnitName" w:val="in"/>
        </w:smartTagPr>
        <w:r w:rsidRPr="00A428C3">
          <w:t>-125 in</w:t>
        </w:r>
      </w:smartTag>
      <w:r w:rsidRPr="00A428C3">
        <w:t xml:space="preserve"> vegetation directly exposed to the dispersing plume. Measurable particulate depositions have not been observed.</w:t>
      </w:r>
    </w:p>
    <w:p w:rsidR="00B95188" w:rsidRPr="00A428C3" w:rsidRDefault="00B95188" w:rsidP="00B95188">
      <w:pPr>
        <w:pStyle w:val="a0"/>
      </w:pPr>
      <w:r w:rsidRPr="00A428C3">
        <w:t>Keywords: Monitoring, Environmental, Incineration, Waste Management, Radiation, Low-Level, Atmospheric Release, Tritium Transport, Tritiated-Water, Soil</w:t>
      </w:r>
    </w:p>
    <w:p w:rsidR="00CF74C4" w:rsidRPr="00A428C3" w:rsidRDefault="00CF74C4" w:rsidP="00CF74C4">
      <w:pPr>
        <w:pStyle w:val="1"/>
      </w:pPr>
      <w:r w:rsidRPr="00A428C3">
        <w:br w:type="page"/>
      </w:r>
      <w:bookmarkStart w:id="507" w:name="_Toc238862968"/>
      <w:bookmarkStart w:id="508" w:name="_Toc317160994"/>
      <w:r w:rsidRPr="00A428C3">
        <w:lastRenderedPageBreak/>
        <w:t xml:space="preserve">Title: </w:t>
      </w:r>
      <w:r w:rsidRPr="00E96AFD">
        <w:t>Health &amp; Place</w:t>
      </w:r>
      <w:bookmarkEnd w:id="507"/>
      <w:bookmarkEnd w:id="508"/>
    </w:p>
    <w:p w:rsidR="00CF74C4" w:rsidRPr="00A428C3" w:rsidRDefault="00CF74C4" w:rsidP="00B72EF9">
      <w:pPr>
        <w:pStyle w:val="12"/>
      </w:pPr>
      <w:r w:rsidRPr="00A428C3">
        <w:t>Full Journal Title:</w:t>
      </w:r>
      <w:r>
        <w:rPr>
          <w:rFonts w:hint="eastAsia"/>
        </w:rPr>
        <w:t xml:space="preserve"> </w:t>
      </w:r>
      <w:hyperlink r:id="rId567" w:history="1">
        <w:r w:rsidRPr="00E96AFD">
          <w:rPr>
            <w:rStyle w:val="a5"/>
            <w:iCs/>
          </w:rPr>
          <w:t>Health &amp; Place</w:t>
        </w:r>
      </w:hyperlink>
    </w:p>
    <w:p w:rsidR="00CF74C4" w:rsidRPr="00A428C3" w:rsidRDefault="00CF74C4" w:rsidP="00B72EF9">
      <w:pPr>
        <w:pStyle w:val="12"/>
      </w:pPr>
      <w:r w:rsidRPr="00A428C3">
        <w:t xml:space="preserve">ISO Abbreviated Title: </w:t>
      </w:r>
    </w:p>
    <w:p w:rsidR="00CF74C4" w:rsidRPr="00A428C3" w:rsidRDefault="00CF74C4" w:rsidP="00B72EF9">
      <w:pPr>
        <w:pStyle w:val="12"/>
      </w:pPr>
      <w:r w:rsidRPr="00A428C3">
        <w:t>JCR Abbreviated Title</w:t>
      </w:r>
      <w:r>
        <w:t>:</w:t>
      </w:r>
      <w:r w:rsidRPr="00A428C3">
        <w:t xml:space="preserve"> </w:t>
      </w:r>
    </w:p>
    <w:p w:rsidR="00CF74C4" w:rsidRPr="00A428C3" w:rsidRDefault="00CF74C4" w:rsidP="00B72EF9">
      <w:pPr>
        <w:pStyle w:val="12"/>
      </w:pPr>
      <w:r>
        <w:t xml:space="preserve">ISSN: </w:t>
      </w:r>
      <w:r w:rsidRPr="00E96AFD">
        <w:t>1353-8292</w:t>
      </w:r>
    </w:p>
    <w:p w:rsidR="00CF74C4" w:rsidRPr="00A428C3" w:rsidRDefault="00CF74C4" w:rsidP="00B72EF9">
      <w:pPr>
        <w:pStyle w:val="12"/>
      </w:pPr>
      <w:r w:rsidRPr="00A428C3">
        <w:t xml:space="preserve">Issues/Year: </w:t>
      </w:r>
    </w:p>
    <w:p w:rsidR="00CF74C4" w:rsidRPr="00A428C3" w:rsidRDefault="00FB5623" w:rsidP="00B72EF9">
      <w:pPr>
        <w:pStyle w:val="12"/>
      </w:pPr>
      <w:r>
        <w:t>Journal Country/Territory:</w:t>
      </w:r>
      <w:r w:rsidR="00CF74C4">
        <w:t xml:space="preserve"> </w:t>
      </w:r>
    </w:p>
    <w:p w:rsidR="00CF74C4" w:rsidRPr="00A428C3" w:rsidRDefault="00CF74C4" w:rsidP="00B72EF9">
      <w:pPr>
        <w:pStyle w:val="12"/>
      </w:pPr>
      <w:r w:rsidRPr="00A428C3">
        <w:t xml:space="preserve">Language: </w:t>
      </w:r>
    </w:p>
    <w:p w:rsidR="00CF74C4" w:rsidRPr="00A428C3" w:rsidRDefault="00CF74C4" w:rsidP="00B72EF9">
      <w:pPr>
        <w:pStyle w:val="12"/>
      </w:pPr>
      <w:r w:rsidRPr="00A428C3">
        <w:t xml:space="preserve">Publisher: </w:t>
      </w:r>
    </w:p>
    <w:p w:rsidR="00CF74C4" w:rsidRPr="00A428C3" w:rsidRDefault="00CF74C4" w:rsidP="00B72EF9">
      <w:pPr>
        <w:pStyle w:val="12"/>
      </w:pPr>
      <w:r w:rsidRPr="00A428C3">
        <w:t xml:space="preserve">Publisher Address: </w:t>
      </w:r>
    </w:p>
    <w:p w:rsidR="00CF74C4" w:rsidRPr="00A428C3" w:rsidRDefault="00CF74C4" w:rsidP="00B72EF9">
      <w:pPr>
        <w:pStyle w:val="12"/>
      </w:pPr>
      <w:r w:rsidRPr="00A428C3">
        <w:t>Subject Categories:</w:t>
      </w:r>
    </w:p>
    <w:p w:rsidR="00CF74C4" w:rsidRPr="00A428C3" w:rsidRDefault="00CF74C4" w:rsidP="00B72EF9">
      <w:pPr>
        <w:pStyle w:val="12"/>
      </w:pPr>
      <w:r w:rsidRPr="00A428C3">
        <w:t xml:space="preserve">: Impact Factor </w:t>
      </w:r>
    </w:p>
    <w:p w:rsidR="00CF74C4" w:rsidRPr="003862C4" w:rsidRDefault="00CF74C4" w:rsidP="00CF74C4">
      <w:pPr>
        <w:pStyle w:val="a0"/>
      </w:pPr>
      <w:r w:rsidRPr="008B2BB0">
        <w:t>? MacKian, S.C. (2008), What the papers say: Reading therapeutic landscapes of women</w:t>
      </w:r>
      <w:r w:rsidR="000352E7">
        <w:t>’</w:t>
      </w:r>
      <w:r w:rsidRPr="008B2BB0">
        <w:t>s health</w:t>
      </w:r>
      <w:r w:rsidR="00F81221">
        <w:t xml:space="preserve"> and </w:t>
      </w:r>
      <w:r w:rsidRPr="008B2BB0">
        <w:t xml:space="preserve">empowerment in Uganda. </w:t>
      </w:r>
      <w:r w:rsidRPr="00CE7517">
        <w:rPr>
          <w:i/>
          <w:iCs/>
        </w:rPr>
        <w:t>Health &amp; Place</w:t>
      </w:r>
      <w:r w:rsidRPr="008B2BB0">
        <w:t xml:space="preserve">, </w:t>
      </w:r>
      <w:r w:rsidRPr="00551655">
        <w:rPr>
          <w:b/>
          <w:bCs/>
        </w:rPr>
        <w:t>14</w:t>
      </w:r>
      <w:r w:rsidRPr="003862C4">
        <w:rPr>
          <w:rFonts w:hint="eastAsia"/>
        </w:rPr>
        <w:t xml:space="preserve"> (1),</w:t>
      </w:r>
      <w:r w:rsidRPr="003862C4">
        <w:t xml:space="preserve"> 106-115.</w:t>
      </w:r>
    </w:p>
    <w:p w:rsidR="00CF74C4" w:rsidRPr="003862C4" w:rsidRDefault="00CF74C4" w:rsidP="00CF74C4">
      <w:pPr>
        <w:pStyle w:val="a0"/>
      </w:pPr>
      <w:r w:rsidRPr="003862C4">
        <w:rPr>
          <w:rFonts w:hint="eastAsia"/>
        </w:rPr>
        <w:t xml:space="preserve">Full Text: </w:t>
      </w:r>
      <w:hyperlink r:id="rId568" w:history="1">
        <w:r w:rsidRPr="00E96AFD">
          <w:rPr>
            <w:rStyle w:val="a5"/>
          </w:rPr>
          <w:t>2008\Hea Pla,14, 106.pdf</w:t>
        </w:r>
      </w:hyperlink>
    </w:p>
    <w:p w:rsidR="00CF74C4" w:rsidRPr="003862C4" w:rsidRDefault="00CF74C4" w:rsidP="00CF74C4">
      <w:pPr>
        <w:pStyle w:val="a0"/>
      </w:pPr>
      <w:r w:rsidRPr="003862C4">
        <w:t>Abstract: The Ugandan Ministry of Health emphasises the pivotal position of women in securing the nation</w:t>
      </w:r>
      <w:r w:rsidR="000352E7">
        <w:t>’</w:t>
      </w:r>
      <w:r w:rsidRPr="003862C4">
        <w:t xml:space="preserve">s health. Drawing on the concept of therapeutic landscapes, this paper explores media constructions of health in Uganda in order to question what role these may play in creating or undermining a </w:t>
      </w:r>
      <w:r w:rsidR="000352E7">
        <w:t>‘</w:t>
      </w:r>
      <w:r w:rsidRPr="003862C4">
        <w:t>therapeutic landscape</w:t>
      </w:r>
      <w:r w:rsidR="000352E7">
        <w:t>’</w:t>
      </w:r>
      <w:r w:rsidRPr="003862C4">
        <w:t xml:space="preserve"> which supports women</w:t>
      </w:r>
      <w:r w:rsidR="000352E7">
        <w:t>’</w:t>
      </w:r>
      <w:r w:rsidRPr="003862C4">
        <w:t>s empowerment in a health context. The paper argues for the importance of understanding discursively constructed notions of health in order to ground the promotion of a health care strategy in the everyday lives</w:t>
      </w:r>
      <w:r w:rsidR="00F81221">
        <w:t xml:space="preserve"> and </w:t>
      </w:r>
      <w:r w:rsidRPr="003862C4">
        <w:t>discourses of the users implicated. Given the Ugandan government</w:t>
      </w:r>
      <w:r w:rsidR="000352E7">
        <w:t>’</w:t>
      </w:r>
      <w:r w:rsidRPr="003862C4">
        <w:t>s current drive to both empower women</w:t>
      </w:r>
      <w:r w:rsidR="00F81221">
        <w:t xml:space="preserve"> and </w:t>
      </w:r>
      <w:r w:rsidRPr="003862C4">
        <w:t>push an agenda of formally provided health care, this paper provides an exploratory analysis of how far newspapers facilitate or hinder this vision. (c) 2007 Elsevier Ltd. All rights reserved.</w:t>
      </w:r>
    </w:p>
    <w:p w:rsidR="00CF74C4" w:rsidRPr="003862C4" w:rsidRDefault="00CF74C4" w:rsidP="00CF74C4">
      <w:pPr>
        <w:pStyle w:val="a0"/>
      </w:pPr>
      <w:r w:rsidRPr="003862C4">
        <w:t>Keywords: Analysis, Care, Constructed, Context, Drive, Empowerment, Health, Health Care, Landscape, Landscapes, Media, Papers, Promotion, Rights, Role, Therapeutic, Uganda, Understanding, Women, Women</w:t>
      </w:r>
      <w:r w:rsidR="000352E7">
        <w:t>’</w:t>
      </w:r>
      <w:r w:rsidRPr="003862C4">
        <w:rPr>
          <w:rFonts w:hint="eastAsia"/>
        </w:rPr>
        <w:t>s</w:t>
      </w:r>
      <w:r w:rsidRPr="003862C4">
        <w:t xml:space="preserve"> Health</w:t>
      </w:r>
    </w:p>
    <w:p w:rsidR="00B95188" w:rsidRPr="00A428C3" w:rsidRDefault="00B95188" w:rsidP="00B95188">
      <w:pPr>
        <w:pStyle w:val="1"/>
      </w:pPr>
      <w:r w:rsidRPr="00A428C3">
        <w:br w:type="page"/>
      </w:r>
      <w:bookmarkStart w:id="509" w:name="_Toc488467656"/>
      <w:bookmarkStart w:id="510" w:name="_Toc489709739"/>
      <w:bookmarkStart w:id="511" w:name="_Toc490688004"/>
      <w:bookmarkStart w:id="512" w:name="_Toc492807665"/>
      <w:bookmarkStart w:id="513" w:name="_Toc186647761"/>
      <w:bookmarkStart w:id="514" w:name="_Toc317160995"/>
      <w:r w:rsidRPr="00A428C3">
        <w:lastRenderedPageBreak/>
        <w:t>Title: Health Policy</w:t>
      </w:r>
      <w:bookmarkEnd w:id="509"/>
      <w:bookmarkEnd w:id="510"/>
      <w:bookmarkEnd w:id="511"/>
      <w:bookmarkEnd w:id="512"/>
      <w:bookmarkEnd w:id="513"/>
      <w:bookmarkEnd w:id="514"/>
    </w:p>
    <w:p w:rsidR="00B95188" w:rsidRPr="00CF74C4" w:rsidRDefault="00B95188" w:rsidP="00B72EF9">
      <w:pPr>
        <w:pStyle w:val="12"/>
      </w:pPr>
      <w:r w:rsidRPr="00CF74C4">
        <w:t xml:space="preserve">Full Journal Title: </w:t>
      </w:r>
      <w:hyperlink r:id="rId569" w:history="1">
        <w:r w:rsidRPr="00CF74C4">
          <w:rPr>
            <w:rStyle w:val="a5"/>
          </w:rPr>
          <w:t>Health Policy</w:t>
        </w:r>
      </w:hyperlink>
    </w:p>
    <w:p w:rsidR="00B95188" w:rsidRPr="00CF74C4" w:rsidRDefault="00B95188" w:rsidP="00B72EF9">
      <w:pPr>
        <w:pStyle w:val="12"/>
      </w:pPr>
      <w:r w:rsidRPr="00CF74C4">
        <w:t>ISO Abbreviated Title: Health Policy</w:t>
      </w:r>
    </w:p>
    <w:p w:rsidR="00B95188" w:rsidRPr="00CF74C4" w:rsidRDefault="00B95188" w:rsidP="00B72EF9">
      <w:pPr>
        <w:pStyle w:val="12"/>
      </w:pPr>
      <w:r w:rsidRPr="00CF74C4">
        <w:t>JCR Abbreviated Title: Health Policy</w:t>
      </w:r>
    </w:p>
    <w:p w:rsidR="00B95188" w:rsidRPr="00CF74C4" w:rsidRDefault="00B95188" w:rsidP="00B72EF9">
      <w:pPr>
        <w:pStyle w:val="12"/>
      </w:pPr>
      <w:r w:rsidRPr="00CF74C4">
        <w:t>ISSN: 0168-8510</w:t>
      </w:r>
    </w:p>
    <w:p w:rsidR="00B95188" w:rsidRPr="00CF74C4" w:rsidRDefault="00B95188" w:rsidP="00B72EF9">
      <w:pPr>
        <w:pStyle w:val="12"/>
      </w:pPr>
      <w:r w:rsidRPr="00CF74C4">
        <w:t>Issues/Year: 12</w:t>
      </w:r>
    </w:p>
    <w:p w:rsidR="00B95188" w:rsidRPr="00CF74C4" w:rsidRDefault="00B95188" w:rsidP="00B72EF9">
      <w:pPr>
        <w:pStyle w:val="12"/>
      </w:pPr>
      <w:r w:rsidRPr="00CF74C4">
        <w:t>Journal Country/Territory: Ireland</w:t>
      </w:r>
    </w:p>
    <w:p w:rsidR="00B95188" w:rsidRPr="00CF74C4" w:rsidRDefault="00B95188" w:rsidP="00B72EF9">
      <w:pPr>
        <w:pStyle w:val="12"/>
      </w:pPr>
      <w:r w:rsidRPr="00CF74C4">
        <w:t>Language: English</w:t>
      </w:r>
    </w:p>
    <w:p w:rsidR="00B95188" w:rsidRPr="00CF74C4" w:rsidRDefault="00B95188" w:rsidP="00B72EF9">
      <w:pPr>
        <w:pStyle w:val="12"/>
      </w:pPr>
      <w:r w:rsidRPr="00CF74C4">
        <w:t>Publisher: Elsevier Sci Ireland Ltd</w:t>
      </w:r>
    </w:p>
    <w:p w:rsidR="00B95188" w:rsidRPr="00CF74C4" w:rsidRDefault="00B95188" w:rsidP="00B72EF9">
      <w:pPr>
        <w:pStyle w:val="12"/>
      </w:pPr>
      <w:r w:rsidRPr="00CF74C4">
        <w:t>Publisher Address: Customer Relations Manager, Bay 15, Shannon Industrial Estate Co, Clare, IR</w:t>
      </w:r>
    </w:p>
    <w:p w:rsidR="00B95188" w:rsidRPr="00CF74C4" w:rsidRDefault="00B95188" w:rsidP="00B72EF9">
      <w:pPr>
        <w:pStyle w:val="12"/>
      </w:pPr>
      <w:r w:rsidRPr="00CF74C4">
        <w:t>Subject Categories:</w:t>
      </w:r>
    </w:p>
    <w:p w:rsidR="00B95188" w:rsidRPr="00CF74C4" w:rsidRDefault="00B95188" w:rsidP="00B72EF9">
      <w:pPr>
        <w:pStyle w:val="12"/>
      </w:pPr>
      <w:r w:rsidRPr="00CF74C4">
        <w:t>Health Care Sciences &amp; Services: Impact Factor</w:t>
      </w:r>
    </w:p>
    <w:p w:rsidR="00B95188" w:rsidRPr="00A428C3" w:rsidRDefault="00B95188" w:rsidP="00B95188">
      <w:pPr>
        <w:pStyle w:val="a0"/>
      </w:pPr>
      <w:r w:rsidRPr="00A428C3">
        <w:t>Blumenschein, K.</w:t>
      </w:r>
      <w:r w:rsidR="00F81221">
        <w:t xml:space="preserve"> and </w:t>
      </w:r>
      <w:r w:rsidRPr="00A428C3">
        <w:t xml:space="preserve">Johannesson, M. (1996), Incorporating quality of life changes into economic evaluations of health care: An overview. </w:t>
      </w:r>
      <w:r w:rsidRPr="00A428C3">
        <w:rPr>
          <w:i/>
        </w:rPr>
        <w:t>Health Policy</w:t>
      </w:r>
      <w:r w:rsidRPr="00A428C3">
        <w:t xml:space="preserve">, </w:t>
      </w:r>
      <w:r w:rsidRPr="00A428C3">
        <w:rPr>
          <w:b/>
        </w:rPr>
        <w:t>36</w:t>
      </w:r>
      <w:r w:rsidRPr="00A428C3">
        <w:t xml:space="preserve"> (2), 155-166.</w:t>
      </w:r>
    </w:p>
    <w:p w:rsidR="00B95188" w:rsidRPr="00A428C3" w:rsidRDefault="00B95188" w:rsidP="00B95188">
      <w:pPr>
        <w:pStyle w:val="a0"/>
      </w:pPr>
      <w:r w:rsidRPr="00A428C3">
        <w:t xml:space="preserve">Full Text: </w:t>
      </w:r>
      <w:hyperlink r:id="rId570" w:history="1">
        <w:r w:rsidRPr="00A428C3">
          <w:rPr>
            <w:rStyle w:val="a5"/>
          </w:rPr>
          <w:t>H\Hea Pol36, 155.pdf</w:t>
        </w:r>
      </w:hyperlink>
    </w:p>
    <w:p w:rsidR="00B95188" w:rsidRPr="00A428C3" w:rsidRDefault="00B95188" w:rsidP="00B95188">
      <w:pPr>
        <w:pStyle w:val="a0"/>
      </w:pPr>
      <w:r w:rsidRPr="00A428C3">
        <w:t>Abstract: The demand for economic evaluations of health care programs, especially pharmaceuticals, is steadily increasing. One of the most important issues in this field is how to measure, value</w:t>
      </w:r>
      <w:r w:rsidR="00F81221">
        <w:t xml:space="preserve"> and </w:t>
      </w:r>
      <w:r w:rsidRPr="00A428C3">
        <w:t>incorporate changes in quality of life into the economic evaluation. We provide an overview of the different approaches to measure changes in quality of life: quality of life instruments, the quality-adjusted life-year (QALY) approach</w:t>
      </w:r>
      <w:r w:rsidR="00F81221">
        <w:t xml:space="preserve"> and </w:t>
      </w:r>
      <w:r w:rsidRPr="00A428C3">
        <w:t>the willingness to pay approach. Quality of life instruments have major practical advantages since they are easy to administer. The results of these instruments cannot, however, be used in economic evaluations. In economic evaluations, the quality of life has to be measured on the 0 (death) to 1 (full health) scale necessary to construct QALYs, or the willingness to pay for the change in quality of life has to be measured. Such measurements are, however, much less straightforward to carry out. It would therefore be a major advance if it would be possible to directly translate the duality of life score into a QALY weight or the willingness to pay. It is recommended that more systematic research should be carried out on the relationship between duality of life, QALY weights,</w:t>
      </w:r>
      <w:r w:rsidR="00F81221">
        <w:t xml:space="preserve"> and </w:t>
      </w:r>
      <w:r w:rsidRPr="00A428C3">
        <w:t>willingness to pay.</w:t>
      </w:r>
    </w:p>
    <w:p w:rsidR="00B95188" w:rsidRPr="00A428C3" w:rsidRDefault="00B95188" w:rsidP="00B95188">
      <w:pPr>
        <w:pStyle w:val="a0"/>
      </w:pPr>
      <w:r w:rsidRPr="00A428C3">
        <w:t>Keywords: Antihypertensive Therapy, Willingness, Pay, Preferences, Valuation, Economic Evaluation, Quality of Life, Qalys, Willingness to Pay, Pharmaceuticals</w:t>
      </w:r>
    </w:p>
    <w:p w:rsidR="00B95188" w:rsidRPr="00A428C3" w:rsidRDefault="00B95188" w:rsidP="00B95188">
      <w:pPr>
        <w:pStyle w:val="a0"/>
      </w:pPr>
      <w:r w:rsidRPr="00A428C3">
        <w:t>Holmberg, H., Carlsson, P., Löfman, O.</w:t>
      </w:r>
      <w:r w:rsidR="00F81221">
        <w:t xml:space="preserve"> and </w:t>
      </w:r>
      <w:r w:rsidRPr="00A428C3">
        <w:t xml:space="preserve">Varenhorst, E. (1998), Economic evaluation of screening for prostate cancer: A randomized population based </w:t>
      </w:r>
      <w:r w:rsidRPr="00A428C3">
        <w:lastRenderedPageBreak/>
        <w:t xml:space="preserve">programme during a 10-year period in </w:t>
      </w:r>
      <w:smartTag w:uri="urn:schemas-microsoft-com:office:smarttags" w:element="place">
        <w:smartTag w:uri="urn:schemas-microsoft-com:office:smarttags" w:element="country-region">
          <w:r w:rsidRPr="00A428C3">
            <w:t>Sweden</w:t>
          </w:r>
        </w:smartTag>
      </w:smartTag>
      <w:r w:rsidRPr="00A428C3">
        <w:t xml:space="preserve">. </w:t>
      </w:r>
      <w:r w:rsidRPr="00A428C3">
        <w:rPr>
          <w:i/>
        </w:rPr>
        <w:t>Health Policy</w:t>
      </w:r>
      <w:r w:rsidRPr="00A428C3">
        <w:t xml:space="preserve">, </w:t>
      </w:r>
      <w:r w:rsidRPr="00A428C3">
        <w:rPr>
          <w:b/>
        </w:rPr>
        <w:t>45</w:t>
      </w:r>
      <w:r w:rsidRPr="00A428C3">
        <w:t xml:space="preserve"> (2), 133-147.</w:t>
      </w:r>
    </w:p>
    <w:p w:rsidR="00B95188" w:rsidRPr="00A428C3" w:rsidRDefault="00B95188" w:rsidP="00B95188">
      <w:pPr>
        <w:pStyle w:val="a0"/>
      </w:pPr>
      <w:r w:rsidRPr="00A428C3">
        <w:t xml:space="preserve">Full Text: </w:t>
      </w:r>
      <w:hyperlink r:id="rId571" w:history="1">
        <w:r w:rsidRPr="00A428C3">
          <w:rPr>
            <w:rStyle w:val="a5"/>
          </w:rPr>
          <w:t>H\Hea Pol45, 133.pdf</w:t>
        </w:r>
      </w:hyperlink>
    </w:p>
    <w:p w:rsidR="00B95188" w:rsidRPr="00A428C3" w:rsidRDefault="00B95188" w:rsidP="00B95188">
      <w:pPr>
        <w:pStyle w:val="a0"/>
      </w:pPr>
      <w:r w:rsidRPr="00A428C3">
        <w:t>Abstract: Prostate cancer is a growing health problem representing considerable costs. Screening</w:t>
      </w:r>
      <w:r w:rsidR="00F81221">
        <w:t xml:space="preserve"> and </w:t>
      </w:r>
      <w:r w:rsidRPr="00A428C3">
        <w:t>early curative treatment may reduce morbidity</w:t>
      </w:r>
      <w:r w:rsidR="00F81221">
        <w:t xml:space="preserve"> and </w:t>
      </w:r>
      <w:r w:rsidRPr="00A428C3">
        <w:t>possibly prevent future escalating costs. However, population screening programmes are generally not well accepted at present due to uncerainty about whether screening for prostate cancer can result in reduced mortality. Evidence from large, randomized, controlled trials is still lacking. The objective of this study was to calculate clinical</w:t>
      </w:r>
      <w:r w:rsidR="00F81221">
        <w:t xml:space="preserve"> and </w:t>
      </w:r>
      <w:r w:rsidRPr="00A428C3">
        <w:t>economic consequences of general prostate cancer screening based on a limited screening trial in a Swedish community</w:t>
      </w:r>
      <w:r w:rsidR="00F81221">
        <w:t xml:space="preserve"> and </w:t>
      </w:r>
      <w:r w:rsidRPr="00A428C3">
        <w:t>a decision-tree model. A random selection of 1492 men (50-69 years) were invited to repeated screening in 1987, They have been examined every third year (four rounds). The other 7679 men in the population act as controls. The results show that the total incremental health care costs for prostate cacer will increase by 179 million SEK per year with screening compared to no-screening. The number of detected cases of localized cancer will increase by about 1000, which represents an additional cost of about 158 000 SEK per case. In conclusion, general screening for prostate cancer can be performed with a reasonable cost per detected localized cancer. Information on the long-term effect on life quality</w:t>
      </w:r>
      <w:r w:rsidR="00F81221">
        <w:t xml:space="preserve"> and </w:t>
      </w:r>
      <w:r w:rsidRPr="00A428C3">
        <w:t>cancer mortality is unknown. (C) 1998 Elsevier Science Ireland Ltd. All rights reserved.</w:t>
      </w:r>
    </w:p>
    <w:p w:rsidR="00B95188" w:rsidRPr="00A428C3" w:rsidRDefault="00B95188" w:rsidP="00B95188">
      <w:pPr>
        <w:pStyle w:val="a0"/>
      </w:pPr>
      <w:r w:rsidRPr="00A428C3">
        <w:t>Keywords: Carcinoma, Prostate Cancer, Screening, Economic Evaluation, Decision Model</w:t>
      </w:r>
    </w:p>
    <w:p w:rsidR="004B0126" w:rsidRDefault="004B0126" w:rsidP="004B0126">
      <w:pPr>
        <w:pStyle w:val="a0"/>
        <w:rPr>
          <w:kern w:val="0"/>
        </w:rPr>
      </w:pPr>
      <w:r>
        <w:rPr>
          <w:rFonts w:hint="eastAsia"/>
          <w:kern w:val="0"/>
        </w:rPr>
        <w:t xml:space="preserve">? </w:t>
      </w:r>
      <w:r>
        <w:rPr>
          <w:kern w:val="0"/>
        </w:rPr>
        <w:t>Buljac-Samardzic, M., kker-van Doorn, C.M., van Wijngaarden, J.D.H.</w:t>
      </w:r>
      <w:r w:rsidR="00F81221">
        <w:rPr>
          <w:kern w:val="0"/>
        </w:rPr>
        <w:t xml:space="preserve"> and </w:t>
      </w:r>
      <w:r>
        <w:rPr>
          <w:kern w:val="0"/>
        </w:rPr>
        <w:t xml:space="preserve">van Wijk, K.P. (2010), Interventions to improve team effectiveness: A systematic review. </w:t>
      </w:r>
      <w:r>
        <w:rPr>
          <w:i/>
          <w:iCs/>
          <w:kern w:val="0"/>
        </w:rPr>
        <w:t>Health Policy</w:t>
      </w:r>
      <w:r>
        <w:rPr>
          <w:kern w:val="0"/>
        </w:rPr>
        <w:t xml:space="preserve">, </w:t>
      </w:r>
      <w:r>
        <w:rPr>
          <w:b/>
          <w:bCs/>
          <w:kern w:val="0"/>
        </w:rPr>
        <w:t>94</w:t>
      </w:r>
      <w:r>
        <w:rPr>
          <w:kern w:val="0"/>
        </w:rPr>
        <w:t xml:space="preserve"> (3), 183-195.</w:t>
      </w:r>
    </w:p>
    <w:p w:rsidR="004B0126" w:rsidRPr="00A428C3" w:rsidRDefault="004B0126" w:rsidP="004B0126">
      <w:pPr>
        <w:pStyle w:val="a0"/>
      </w:pPr>
      <w:r w:rsidRPr="00A428C3">
        <w:t xml:space="preserve">Full Text: </w:t>
      </w:r>
      <w:r>
        <w:t>2010\Hea Pol9</w:t>
      </w:r>
      <w:r>
        <w:rPr>
          <w:rFonts w:hint="eastAsia"/>
        </w:rPr>
        <w:t>4</w:t>
      </w:r>
      <w:r>
        <w:t xml:space="preserve">, </w:t>
      </w:r>
      <w:r>
        <w:rPr>
          <w:rFonts w:hint="eastAsia"/>
        </w:rPr>
        <w:t>183</w:t>
      </w:r>
      <w:r w:rsidRPr="00CA5342">
        <w:t>.pdf</w:t>
      </w:r>
    </w:p>
    <w:p w:rsidR="004B0126" w:rsidRDefault="004B0126" w:rsidP="004B0126">
      <w:pPr>
        <w:pStyle w:val="a0"/>
        <w:rPr>
          <w:kern w:val="0"/>
        </w:rPr>
      </w:pPr>
      <w:r>
        <w:rPr>
          <w:kern w:val="0"/>
        </w:rPr>
        <w:t>Abstract: Objectives: To review the literature on interventions to improve team effectiveness</w:t>
      </w:r>
      <w:r w:rsidR="00F81221">
        <w:rPr>
          <w:kern w:val="0"/>
        </w:rPr>
        <w:t xml:space="preserve"> and </w:t>
      </w:r>
      <w:r>
        <w:rPr>
          <w:kern w:val="0"/>
        </w:rPr>
        <w:t xml:space="preserve">identify their </w:t>
      </w:r>
      <w:r w:rsidR="000352E7">
        <w:rPr>
          <w:kern w:val="0"/>
        </w:rPr>
        <w:t>‘</w:t>
      </w:r>
      <w:r>
        <w:rPr>
          <w:kern w:val="0"/>
        </w:rPr>
        <w:t>evidence based</w:t>
      </w:r>
      <w:r w:rsidR="000352E7">
        <w:rPr>
          <w:kern w:val="0"/>
        </w:rPr>
        <w:t>’</w:t>
      </w:r>
      <w:r>
        <w:rPr>
          <w:kern w:val="0"/>
        </w:rPr>
        <w:t>-level. Methods: Major data bases (PUBMED, Web of Science, PsycInfo</w:t>
      </w:r>
      <w:r w:rsidR="00F81221">
        <w:rPr>
          <w:kern w:val="0"/>
        </w:rPr>
        <w:t xml:space="preserve"> and </w:t>
      </w:r>
      <w:r>
        <w:rPr>
          <w:kern w:val="0"/>
        </w:rPr>
        <w:t>Cochrane Library) were systematically searched for all relevant papers. Inclusion criteria were: peer-reviewed papers, published in English between January 1990</w:t>
      </w:r>
      <w:r w:rsidR="00F81221">
        <w:rPr>
          <w:kern w:val="0"/>
        </w:rPr>
        <w:t xml:space="preserve"> and </w:t>
      </w:r>
      <w:r>
        <w:rPr>
          <w:kern w:val="0"/>
        </w:rPr>
        <w:t>April 2008, which present empirically based studies focussing on interventions to improve team effectiveness in health care. A data abstraction form was developed to summarize each paper. The Grading of Recommendations, Assessment, Development,</w:t>
      </w:r>
      <w:r w:rsidR="00F81221">
        <w:rPr>
          <w:kern w:val="0"/>
        </w:rPr>
        <w:t xml:space="preserve"> and </w:t>
      </w:r>
      <w:r>
        <w:rPr>
          <w:kern w:val="0"/>
        </w:rPr>
        <w:t>Evaluation Scale was used to assess the level of empirical evidence. Results: Forty-eight papers were included in this review. Three categories of interventions were identified: training, tools,</w:t>
      </w:r>
      <w:r w:rsidR="00F81221">
        <w:rPr>
          <w:kern w:val="0"/>
        </w:rPr>
        <w:t xml:space="preserve"> and </w:t>
      </w:r>
      <w:r>
        <w:rPr>
          <w:kern w:val="0"/>
        </w:rPr>
        <w:t>organisational interventions. Target groups were mostly multidisciplinary teams in acute care. The majority of the studies found a positive association between the intervention</w:t>
      </w:r>
      <w:r w:rsidR="00F81221">
        <w:rPr>
          <w:kern w:val="0"/>
        </w:rPr>
        <w:t xml:space="preserve"> and </w:t>
      </w:r>
      <w:r>
        <w:rPr>
          <w:kern w:val="0"/>
        </w:rPr>
        <w:t xml:space="preserve">non-technical team skills. Most articles presented research with </w:t>
      </w:r>
      <w:r>
        <w:rPr>
          <w:kern w:val="0"/>
        </w:rPr>
        <w:lastRenderedPageBreak/>
        <w:t>a low level of evidence. Positive results in combination with a moderate or high level of evidence were found for some specific interventions: Simulation training, Crew Resource Management training, Team-based training</w:t>
      </w:r>
      <w:r w:rsidR="00F81221">
        <w:rPr>
          <w:kern w:val="0"/>
        </w:rPr>
        <w:t xml:space="preserve"> and </w:t>
      </w:r>
      <w:r>
        <w:rPr>
          <w:kern w:val="0"/>
        </w:rPr>
        <w:t>projects on Continuous quality improvement. Conclusions: There are only some studies available with high quality evidence on interventions to improve team effectiveness. These studies show that team training can improve the effectiveness of multidisciplinary teams in acute (hospital) care. (C) 2009 Elsevier Ireland Ltd. All rights reserved.</w:t>
      </w:r>
    </w:p>
    <w:p w:rsidR="004B0126" w:rsidRDefault="004B0126" w:rsidP="004B0126">
      <w:pPr>
        <w:pStyle w:val="a0"/>
        <w:rPr>
          <w:kern w:val="0"/>
        </w:rPr>
      </w:pPr>
      <w:r>
        <w:rPr>
          <w:kern w:val="0"/>
        </w:rPr>
        <w:t>Keywords: Assessment, Cochrane, Communication, Complex Interventions, Development Program, Effectiveness, Evaluation, Health Care, Health-Care, Hospital, Human Patient Simulator, Interdisciplinary Team, Intervention, Intervention Studies, Interventions, Literature, Management, Methods, Operating-Room, Papers, Patient Care Teams, Pubmed, Quality Improvement, Randomized Controlled-Trial, Research, Review, Safety Research, Scale, Science, Systematic, Systematic Review, Training, Training-Program, Web of Science</w:t>
      </w:r>
    </w:p>
    <w:p w:rsidR="005852D5" w:rsidRDefault="005852D5" w:rsidP="005852D5">
      <w:pPr>
        <w:pStyle w:val="a0"/>
        <w:rPr>
          <w:kern w:val="0"/>
          <w:szCs w:val="24"/>
        </w:rPr>
      </w:pPr>
      <w:r>
        <w:rPr>
          <w:rFonts w:hint="eastAsia"/>
          <w:kern w:val="0"/>
          <w:szCs w:val="24"/>
        </w:rPr>
        <w:t xml:space="preserve">? </w:t>
      </w:r>
      <w:r>
        <w:rPr>
          <w:kern w:val="0"/>
          <w:szCs w:val="24"/>
        </w:rPr>
        <w:t>Nykiforuk, C.I.J., Osler, G.E.</w:t>
      </w:r>
      <w:r w:rsidR="00F81221">
        <w:rPr>
          <w:kern w:val="0"/>
          <w:szCs w:val="24"/>
        </w:rPr>
        <w:t xml:space="preserve"> and </w:t>
      </w:r>
      <w:r>
        <w:rPr>
          <w:kern w:val="0"/>
          <w:szCs w:val="24"/>
        </w:rPr>
        <w:t xml:space="preserve">Viehbeck, S. (2010), The evolution of smoke-free spaces policy literature: A bibliometric analysis. </w:t>
      </w:r>
      <w:r>
        <w:rPr>
          <w:i/>
          <w:iCs/>
          <w:kern w:val="0"/>
          <w:szCs w:val="24"/>
        </w:rPr>
        <w:t>Health Policy</w:t>
      </w:r>
      <w:r>
        <w:rPr>
          <w:kern w:val="0"/>
          <w:szCs w:val="24"/>
        </w:rPr>
        <w:t xml:space="preserve">, </w:t>
      </w:r>
      <w:r>
        <w:rPr>
          <w:b/>
          <w:bCs/>
          <w:kern w:val="0"/>
          <w:szCs w:val="24"/>
        </w:rPr>
        <w:t>97</w:t>
      </w:r>
      <w:r>
        <w:rPr>
          <w:kern w:val="0"/>
          <w:szCs w:val="24"/>
        </w:rPr>
        <w:t xml:space="preserve"> (1), 1-7.</w:t>
      </w:r>
    </w:p>
    <w:p w:rsidR="005852D5" w:rsidRPr="00A428C3" w:rsidRDefault="005852D5" w:rsidP="005852D5">
      <w:pPr>
        <w:pStyle w:val="a0"/>
      </w:pPr>
      <w:r w:rsidRPr="00A428C3">
        <w:t xml:space="preserve">Full Text: </w:t>
      </w:r>
      <w:hyperlink r:id="rId572" w:history="1">
        <w:r w:rsidR="00EC3BF1" w:rsidRPr="00EC3BF1">
          <w:rPr>
            <w:rStyle w:val="a5"/>
          </w:rPr>
          <w:t>2010\Hea Pol97, 1.pdf</w:t>
        </w:r>
      </w:hyperlink>
    </w:p>
    <w:p w:rsidR="005852D5" w:rsidRDefault="005852D5" w:rsidP="005852D5">
      <w:pPr>
        <w:pStyle w:val="a0"/>
        <w:rPr>
          <w:kern w:val="0"/>
          <w:szCs w:val="24"/>
        </w:rPr>
      </w:pPr>
      <w:r>
        <w:rPr>
          <w:kern w:val="0"/>
          <w:szCs w:val="24"/>
        </w:rPr>
        <w:t>Abstract: Objectives: This paper describes patterns in the international published literature regarding smoke-free spaces policy through a bibliometric analysis of journals, articles</w:t>
      </w:r>
      <w:r w:rsidR="00F81221">
        <w:rPr>
          <w:kern w:val="0"/>
          <w:szCs w:val="24"/>
        </w:rPr>
        <w:t xml:space="preserve"> and </w:t>
      </w:r>
      <w:r>
        <w:rPr>
          <w:kern w:val="0"/>
          <w:szCs w:val="24"/>
        </w:rPr>
        <w:t>authors from 1990 to 2009. Methods: Secondary data from a recent systematic literature review were analyzed. Bibliometric techniques included statistical analysis of publication counts</w:t>
      </w:r>
      <w:r w:rsidR="00F81221">
        <w:rPr>
          <w:kern w:val="0"/>
          <w:szCs w:val="24"/>
        </w:rPr>
        <w:t xml:space="preserve"> and </w:t>
      </w:r>
      <w:r>
        <w:rPr>
          <w:kern w:val="0"/>
          <w:szCs w:val="24"/>
        </w:rPr>
        <w:t>co-citation analysis. Findings were generated through calculations of frequencies of journals. authors,</w:t>
      </w:r>
      <w:r w:rsidR="00F81221">
        <w:rPr>
          <w:kern w:val="0"/>
          <w:szCs w:val="24"/>
        </w:rPr>
        <w:t xml:space="preserve"> and </w:t>
      </w:r>
      <w:r>
        <w:rPr>
          <w:kern w:val="0"/>
          <w:szCs w:val="24"/>
        </w:rPr>
        <w:t>articles published per year. Analysis was conducted for five policy-relevant domains: public place, schools, private space, workplace,</w:t>
      </w:r>
      <w:r w:rsidR="00F81221">
        <w:rPr>
          <w:kern w:val="0"/>
          <w:szCs w:val="24"/>
        </w:rPr>
        <w:t xml:space="preserve"> and </w:t>
      </w:r>
      <w:r>
        <w:rPr>
          <w:kern w:val="0"/>
          <w:szCs w:val="24"/>
        </w:rPr>
        <w:t>tobacco industry tactics. Results: Of the 5656 total articles examined, scientific articles written for the public place</w:t>
      </w:r>
      <w:r w:rsidR="00F81221">
        <w:rPr>
          <w:kern w:val="0"/>
          <w:szCs w:val="24"/>
        </w:rPr>
        <w:t xml:space="preserve"> and </w:t>
      </w:r>
      <w:r>
        <w:rPr>
          <w:kern w:val="0"/>
          <w:szCs w:val="24"/>
        </w:rPr>
        <w:t>workplace domains far outweighed those for schools, private spaces,</w:t>
      </w:r>
      <w:r w:rsidR="00F81221">
        <w:rPr>
          <w:kern w:val="0"/>
          <w:szCs w:val="24"/>
        </w:rPr>
        <w:t xml:space="preserve"> and </w:t>
      </w:r>
      <w:r>
        <w:rPr>
          <w:kern w:val="0"/>
          <w:szCs w:val="24"/>
        </w:rPr>
        <w:t>tobacco industry. This bibliometric analysis indicated that publication patterns aligned with patterns of policy activity</w:t>
      </w:r>
      <w:r w:rsidR="00F81221">
        <w:rPr>
          <w:kern w:val="0"/>
          <w:szCs w:val="24"/>
        </w:rPr>
        <w:t xml:space="preserve"> and </w:t>
      </w:r>
      <w:r>
        <w:rPr>
          <w:kern w:val="0"/>
          <w:szCs w:val="24"/>
        </w:rPr>
        <w:t>increasing sophistication in the evolution of smoke-free spaces policy development. This finding held for analyses by article. journal,</w:t>
      </w:r>
      <w:r w:rsidR="00F81221">
        <w:rPr>
          <w:kern w:val="0"/>
          <w:szCs w:val="24"/>
        </w:rPr>
        <w:t xml:space="preserve"> and </w:t>
      </w:r>
      <w:r>
        <w:rPr>
          <w:kern w:val="0"/>
          <w:szCs w:val="24"/>
        </w:rPr>
        <w:t>author over all years. The analysis also revealed relatively high numbers of unique authors publishing on smoke-free spaces policy each year. Conclusions: This study identified patterns regarding the publication of scientific articles, by varying journals</w:t>
      </w:r>
      <w:r w:rsidR="00F81221">
        <w:rPr>
          <w:kern w:val="0"/>
          <w:szCs w:val="24"/>
        </w:rPr>
        <w:t xml:space="preserve"> and </w:t>
      </w:r>
      <w:r>
        <w:rPr>
          <w:kern w:val="0"/>
          <w:szCs w:val="24"/>
        </w:rPr>
        <w:t>authors,</w:t>
      </w:r>
      <w:r w:rsidR="00F81221">
        <w:rPr>
          <w:kern w:val="0"/>
          <w:szCs w:val="24"/>
        </w:rPr>
        <w:t xml:space="preserve"> and </w:t>
      </w:r>
      <w:r>
        <w:rPr>
          <w:kern w:val="0"/>
          <w:szCs w:val="24"/>
        </w:rPr>
        <w:t>illustrated sub-field priorities both recently</w:t>
      </w:r>
      <w:r w:rsidR="00F81221">
        <w:rPr>
          <w:kern w:val="0"/>
          <w:szCs w:val="24"/>
        </w:rPr>
        <w:t xml:space="preserve"> and </w:t>
      </w:r>
      <w:r>
        <w:rPr>
          <w:kern w:val="0"/>
          <w:szCs w:val="24"/>
        </w:rPr>
        <w:t>for the entire 20-year period examined. (C) 2010 Elsevier Ireland Ltd. All rights reserved.</w:t>
      </w:r>
    </w:p>
    <w:p w:rsidR="005852D5" w:rsidRDefault="005852D5" w:rsidP="005852D5">
      <w:pPr>
        <w:pStyle w:val="a0"/>
        <w:rPr>
          <w:kern w:val="0"/>
          <w:szCs w:val="24"/>
        </w:rPr>
      </w:pPr>
      <w:r>
        <w:rPr>
          <w:kern w:val="0"/>
          <w:szCs w:val="24"/>
        </w:rPr>
        <w:t>Keywords: Bibliometric, Bibliometric Analysis, Bibliometrics, Health Policy, Latin-America, Tobacco Smoke Pollution</w:t>
      </w:r>
    </w:p>
    <w:p w:rsidR="004B0126" w:rsidRPr="001A3D2B" w:rsidRDefault="004B0126" w:rsidP="004B0126">
      <w:pPr>
        <w:pStyle w:val="1"/>
      </w:pPr>
      <w:r w:rsidRPr="001A3D2B">
        <w:br w:type="page"/>
      </w:r>
      <w:bookmarkStart w:id="515" w:name="_Toc317160996"/>
      <w:r w:rsidRPr="001A3D2B">
        <w:lastRenderedPageBreak/>
        <w:t xml:space="preserve">Title: </w:t>
      </w:r>
      <w:r w:rsidRPr="001D2CCA">
        <w:rPr>
          <w:iCs/>
        </w:rPr>
        <w:t>Health Psychology</w:t>
      </w:r>
      <w:bookmarkEnd w:id="515"/>
    </w:p>
    <w:p w:rsidR="004B0126" w:rsidRPr="001A3D2B" w:rsidRDefault="004B0126" w:rsidP="004B0126">
      <w:pPr>
        <w:pStyle w:val="12"/>
      </w:pPr>
      <w:r w:rsidRPr="001A3D2B">
        <w:t xml:space="preserve">Full Journal Title: </w:t>
      </w:r>
      <w:r w:rsidRPr="001D2CCA">
        <w:rPr>
          <w:iCs/>
        </w:rPr>
        <w:t>Health Psychology</w:t>
      </w:r>
    </w:p>
    <w:p w:rsidR="004B0126" w:rsidRPr="001A3D2B" w:rsidRDefault="004B0126" w:rsidP="004B0126">
      <w:pPr>
        <w:pStyle w:val="12"/>
      </w:pPr>
      <w:r w:rsidRPr="001A3D2B">
        <w:t xml:space="preserve">ISO Abbreviated Title: </w:t>
      </w:r>
    </w:p>
    <w:p w:rsidR="004B0126" w:rsidRPr="001A3D2B" w:rsidRDefault="004B0126" w:rsidP="004B0126">
      <w:pPr>
        <w:pStyle w:val="12"/>
      </w:pPr>
      <w:r w:rsidRPr="001A3D2B">
        <w:t xml:space="preserve">JCR Abbreviated Title: </w:t>
      </w:r>
    </w:p>
    <w:p w:rsidR="004B0126" w:rsidRPr="001A3D2B" w:rsidRDefault="004B0126" w:rsidP="004B0126">
      <w:pPr>
        <w:pStyle w:val="12"/>
      </w:pPr>
      <w:r w:rsidRPr="001A3D2B">
        <w:t xml:space="preserve">ISSN: </w:t>
      </w:r>
    </w:p>
    <w:p w:rsidR="004B0126" w:rsidRPr="001A3D2B" w:rsidRDefault="004B0126" w:rsidP="004B0126">
      <w:pPr>
        <w:pStyle w:val="12"/>
      </w:pPr>
      <w:r w:rsidRPr="001A3D2B">
        <w:t xml:space="preserve">Issues/Year: </w:t>
      </w:r>
    </w:p>
    <w:p w:rsidR="004B0126" w:rsidRPr="001A3D2B" w:rsidRDefault="004B0126" w:rsidP="004B0126">
      <w:pPr>
        <w:pStyle w:val="12"/>
      </w:pPr>
      <w:r w:rsidRPr="001A3D2B">
        <w:t xml:space="preserve">Journal Country/Territory: </w:t>
      </w:r>
    </w:p>
    <w:p w:rsidR="004B0126" w:rsidRPr="001A3D2B" w:rsidRDefault="004B0126" w:rsidP="004B0126">
      <w:pPr>
        <w:pStyle w:val="12"/>
      </w:pPr>
      <w:r w:rsidRPr="001A3D2B">
        <w:t xml:space="preserve">Language: </w:t>
      </w:r>
    </w:p>
    <w:p w:rsidR="004B0126" w:rsidRPr="001A3D2B" w:rsidRDefault="004B0126" w:rsidP="004B0126">
      <w:pPr>
        <w:pStyle w:val="12"/>
      </w:pPr>
      <w:r w:rsidRPr="001A3D2B">
        <w:t xml:space="preserve">Publisher: </w:t>
      </w:r>
    </w:p>
    <w:p w:rsidR="004B0126" w:rsidRPr="001A3D2B" w:rsidRDefault="004B0126" w:rsidP="004B0126">
      <w:pPr>
        <w:pStyle w:val="12"/>
      </w:pPr>
      <w:r w:rsidRPr="001A3D2B">
        <w:t xml:space="preserve">Publisher Address: </w:t>
      </w:r>
    </w:p>
    <w:p w:rsidR="004B0126" w:rsidRPr="001A3D2B" w:rsidRDefault="004B0126" w:rsidP="004B0126">
      <w:pPr>
        <w:pStyle w:val="12"/>
      </w:pPr>
      <w:r w:rsidRPr="001A3D2B">
        <w:t>Subject Categories:</w:t>
      </w:r>
    </w:p>
    <w:p w:rsidR="004B0126" w:rsidRPr="001A3D2B" w:rsidRDefault="004B0126" w:rsidP="004B0126">
      <w:pPr>
        <w:pStyle w:val="12"/>
      </w:pPr>
      <w:r w:rsidRPr="001A3D2B">
        <w:t xml:space="preserve">: Impact Factor </w:t>
      </w:r>
    </w:p>
    <w:p w:rsidR="004B0126" w:rsidRDefault="004B0126" w:rsidP="004B0126">
      <w:pPr>
        <w:pStyle w:val="a0"/>
        <w:rPr>
          <w:kern w:val="0"/>
        </w:rPr>
      </w:pPr>
      <w:r>
        <w:rPr>
          <w:rFonts w:hint="eastAsia"/>
          <w:kern w:val="0"/>
        </w:rPr>
        <w:t xml:space="preserve">? </w:t>
      </w:r>
      <w:r>
        <w:rPr>
          <w:kern w:val="0"/>
        </w:rPr>
        <w:t>Cabizuca, M., Marques-Portella, C., Mendlowicz, M.V., Coutinho, E.S.F.</w:t>
      </w:r>
      <w:r w:rsidR="00F81221">
        <w:rPr>
          <w:kern w:val="0"/>
        </w:rPr>
        <w:t xml:space="preserve"> and </w:t>
      </w:r>
      <w:r>
        <w:rPr>
          <w:kern w:val="0"/>
        </w:rPr>
        <w:t xml:space="preserve">Figueira, I. (2009), Posttraumatic stress disorder in parents of children with chronic illnesses: A meta-analysis. </w:t>
      </w:r>
      <w:r w:rsidRPr="001D2CCA">
        <w:rPr>
          <w:i/>
          <w:iCs/>
          <w:kern w:val="0"/>
        </w:rPr>
        <w:t>Health Psychology</w:t>
      </w:r>
      <w:r>
        <w:rPr>
          <w:kern w:val="0"/>
        </w:rPr>
        <w:t xml:space="preserve">, </w:t>
      </w:r>
      <w:r>
        <w:rPr>
          <w:b/>
          <w:bCs/>
          <w:kern w:val="0"/>
        </w:rPr>
        <w:t>28</w:t>
      </w:r>
      <w:r>
        <w:rPr>
          <w:kern w:val="0"/>
        </w:rPr>
        <w:t xml:space="preserve"> (3), 379-388.</w:t>
      </w:r>
    </w:p>
    <w:p w:rsidR="004B0126" w:rsidRDefault="004B0126" w:rsidP="004B0126">
      <w:pPr>
        <w:pStyle w:val="a0"/>
        <w:rPr>
          <w:kern w:val="0"/>
        </w:rPr>
      </w:pPr>
      <w:r>
        <w:rPr>
          <w:kern w:val="0"/>
        </w:rPr>
        <w:t>Abstract: Objective: To estimate PTSD prevalence in parents of children with chronic illnesses or undergoing invasive procedures,</w:t>
      </w:r>
      <w:r w:rsidR="00F81221">
        <w:rPr>
          <w:kern w:val="0"/>
        </w:rPr>
        <w:t xml:space="preserve"> and </w:t>
      </w:r>
      <w:r>
        <w:rPr>
          <w:kern w:val="0"/>
        </w:rPr>
        <w:t>its association with higher risk of PTSD among parents. Methods: Sixteen studies reporting prevalence of PTSD in parents of children with chronic illnesses were identified through a systematic review in PUBMED, Web of Science, Pilots</w:t>
      </w:r>
      <w:r w:rsidR="00F81221">
        <w:rPr>
          <w:kern w:val="0"/>
        </w:rPr>
        <w:t xml:space="preserve"> and </w:t>
      </w:r>
      <w:r>
        <w:rPr>
          <w:kern w:val="0"/>
        </w:rPr>
        <w:t>Psycinfo databases. Main Outcome Measures: Pooled current PTSD prevalence was calculated for parents from these studies. Pooled PT SD prevalence ratios were obtained by comparing parents of children with chronic diseases with parents of healthy children. Meta-regression was used to identify variables that could account for the lack of homogeneity. Results: Pooled PTSD prevalence was 19.6% in mothers, 11.6% in fathers,</w:t>
      </w:r>
      <w:r w:rsidR="00F81221">
        <w:rPr>
          <w:kern w:val="0"/>
        </w:rPr>
        <w:t xml:space="preserve"> and </w:t>
      </w:r>
      <w:r>
        <w:rPr>
          <w:kern w:val="0"/>
        </w:rPr>
        <w:t>22.8% in parents in general (p &lt; .001). Pooled prevalence ratio for the four studies reporting on mothers</w:t>
      </w:r>
      <w:r w:rsidR="00F81221">
        <w:rPr>
          <w:kern w:val="0"/>
        </w:rPr>
        <w:t xml:space="preserve"> and </w:t>
      </w:r>
      <w:r>
        <w:rPr>
          <w:kern w:val="0"/>
        </w:rPr>
        <w:t>comparison healthy groups was 4.2 (p &lt; .001). Conclusions: The high prevalence of PTSD found in this population highlights the importance of promptly assessing</w:t>
      </w:r>
      <w:r w:rsidR="00F81221">
        <w:rPr>
          <w:kern w:val="0"/>
        </w:rPr>
        <w:t xml:space="preserve"> and </w:t>
      </w:r>
      <w:r>
        <w:rPr>
          <w:kern w:val="0"/>
        </w:rPr>
        <w:t>treating post-traumatic symptoms in parents of children with chronic diseases as a key step to prevent the negative consequences of PTSD</w:t>
      </w:r>
      <w:r w:rsidR="00F81221">
        <w:rPr>
          <w:kern w:val="0"/>
        </w:rPr>
        <w:t xml:space="preserve"> and </w:t>
      </w:r>
      <w:r>
        <w:rPr>
          <w:kern w:val="0"/>
        </w:rPr>
        <w:t>preserve their competency as caregivers.</w:t>
      </w:r>
    </w:p>
    <w:p w:rsidR="004B0126" w:rsidRDefault="004B0126" w:rsidP="004B0126">
      <w:pPr>
        <w:pStyle w:val="a0"/>
        <w:rPr>
          <w:kern w:val="0"/>
        </w:rPr>
      </w:pPr>
      <w:r>
        <w:rPr>
          <w:kern w:val="0"/>
        </w:rPr>
        <w:t>Keywords: Adolescent Survivors, Bad-News, Childhood-Cancer, Children, Chronic Illnesses, Databases, Meta-Analysis, Methods, Mothers, Myocardial-Infarction, National Comorbidity Survey, Parents, Pediatric Cancer Survivors, Posttraumatic Stress Disorder, Prevalence, PTSD, Ratio, Review, Risk, Science, Stress, Symptoms, Systematic, Systematic Review, Transplant Recipients, Traumatic Stress, Web of Science</w:t>
      </w:r>
    </w:p>
    <w:p w:rsidR="00D20B89" w:rsidRPr="001A3D2B" w:rsidRDefault="00D20B89" w:rsidP="00D20B89">
      <w:pPr>
        <w:pStyle w:val="1"/>
      </w:pPr>
      <w:r w:rsidRPr="001A3D2B">
        <w:br w:type="page"/>
      </w:r>
      <w:bookmarkStart w:id="516" w:name="_Toc317160997"/>
      <w:r w:rsidRPr="001A3D2B">
        <w:lastRenderedPageBreak/>
        <w:t xml:space="preserve">Title: </w:t>
      </w:r>
      <w:r w:rsidRPr="002A57E7">
        <w:rPr>
          <w:iCs/>
        </w:rPr>
        <w:t>Health Psychology Review</w:t>
      </w:r>
      <w:bookmarkEnd w:id="516"/>
    </w:p>
    <w:p w:rsidR="00D20B89" w:rsidRPr="001A3D2B" w:rsidRDefault="00D20B89" w:rsidP="00D20B89">
      <w:pPr>
        <w:pStyle w:val="12"/>
      </w:pPr>
      <w:r w:rsidRPr="001A3D2B">
        <w:t xml:space="preserve">Full Journal Title: </w:t>
      </w:r>
      <w:r w:rsidRPr="002A57E7">
        <w:rPr>
          <w:iCs/>
        </w:rPr>
        <w:t>Health Psychology Review</w:t>
      </w:r>
    </w:p>
    <w:p w:rsidR="00D20B89" w:rsidRPr="001A3D2B" w:rsidRDefault="00D20B89" w:rsidP="00D20B89">
      <w:pPr>
        <w:pStyle w:val="12"/>
      </w:pPr>
      <w:r w:rsidRPr="001A3D2B">
        <w:t xml:space="preserve">ISO Abbreviated Title: </w:t>
      </w:r>
    </w:p>
    <w:p w:rsidR="00D20B89" w:rsidRPr="001A3D2B" w:rsidRDefault="00D20B89" w:rsidP="00D20B89">
      <w:pPr>
        <w:pStyle w:val="12"/>
      </w:pPr>
      <w:r>
        <w:t xml:space="preserve">JCR Abbreviated Title: </w:t>
      </w:r>
    </w:p>
    <w:p w:rsidR="00D20B89" w:rsidRPr="001A3D2B" w:rsidRDefault="00D20B89" w:rsidP="00D20B89">
      <w:pPr>
        <w:pStyle w:val="12"/>
      </w:pPr>
      <w:r w:rsidRPr="001A3D2B">
        <w:t xml:space="preserve">ISSN: </w:t>
      </w:r>
    </w:p>
    <w:p w:rsidR="00D20B89" w:rsidRPr="001A3D2B" w:rsidRDefault="00D20B89" w:rsidP="00D20B89">
      <w:pPr>
        <w:pStyle w:val="12"/>
      </w:pPr>
      <w:r w:rsidRPr="001A3D2B">
        <w:t xml:space="preserve">Issues/Year: </w:t>
      </w:r>
    </w:p>
    <w:p w:rsidR="00D20B89" w:rsidRPr="001A3D2B" w:rsidRDefault="00D20B89" w:rsidP="00D20B89">
      <w:pPr>
        <w:pStyle w:val="12"/>
      </w:pPr>
      <w:r w:rsidRPr="001A3D2B">
        <w:t xml:space="preserve">Journal Country/Territory: </w:t>
      </w:r>
    </w:p>
    <w:p w:rsidR="00D20B89" w:rsidRPr="001A3D2B" w:rsidRDefault="00D20B89" w:rsidP="00D20B89">
      <w:pPr>
        <w:pStyle w:val="12"/>
      </w:pPr>
      <w:r w:rsidRPr="001A3D2B">
        <w:t xml:space="preserve">Language: </w:t>
      </w:r>
    </w:p>
    <w:p w:rsidR="00D20B89" w:rsidRPr="001A3D2B" w:rsidRDefault="00D20B89" w:rsidP="00D20B89">
      <w:pPr>
        <w:pStyle w:val="12"/>
      </w:pPr>
      <w:r w:rsidRPr="001A3D2B">
        <w:t xml:space="preserve">Publisher: </w:t>
      </w:r>
    </w:p>
    <w:p w:rsidR="00D20B89" w:rsidRPr="001A3D2B" w:rsidRDefault="00D20B89" w:rsidP="00D20B89">
      <w:pPr>
        <w:pStyle w:val="12"/>
      </w:pPr>
      <w:r w:rsidRPr="001A3D2B">
        <w:t xml:space="preserve">Publisher Address: </w:t>
      </w:r>
    </w:p>
    <w:p w:rsidR="00D20B89" w:rsidRPr="001A3D2B" w:rsidRDefault="00D20B89" w:rsidP="00D20B89">
      <w:pPr>
        <w:pStyle w:val="12"/>
      </w:pPr>
      <w:r w:rsidRPr="001A3D2B">
        <w:t>Subject Categories:</w:t>
      </w:r>
    </w:p>
    <w:p w:rsidR="00D20B89" w:rsidRPr="001A3D2B" w:rsidRDefault="00D20B89" w:rsidP="00D20B89">
      <w:pPr>
        <w:pStyle w:val="12"/>
      </w:pPr>
      <w:r w:rsidRPr="001A3D2B">
        <w:t xml:space="preserve">: Impact Factor </w:t>
      </w:r>
    </w:p>
    <w:p w:rsidR="00D20B89" w:rsidRDefault="00D20B89" w:rsidP="00D20B89">
      <w:pPr>
        <w:pStyle w:val="a0"/>
        <w:rPr>
          <w:kern w:val="0"/>
        </w:rPr>
      </w:pPr>
      <w:r>
        <w:rPr>
          <w:rFonts w:hint="eastAsia"/>
          <w:kern w:val="0"/>
        </w:rPr>
        <w:t xml:space="preserve">? </w:t>
      </w:r>
      <w:r>
        <w:rPr>
          <w:kern w:val="0"/>
        </w:rPr>
        <w:t xml:space="preserve">Smith, J.A. (2011), Evaluating the contribution of interpretative phenomenological analysis. </w:t>
      </w:r>
      <w:r w:rsidRPr="002A57E7">
        <w:rPr>
          <w:i/>
          <w:iCs/>
          <w:kern w:val="0"/>
        </w:rPr>
        <w:t>Health Psychology Review</w:t>
      </w:r>
      <w:r>
        <w:rPr>
          <w:kern w:val="0"/>
        </w:rPr>
        <w:t xml:space="preserve">, </w:t>
      </w:r>
      <w:r>
        <w:rPr>
          <w:b/>
          <w:bCs/>
          <w:kern w:val="0"/>
        </w:rPr>
        <w:t>5</w:t>
      </w:r>
      <w:r>
        <w:rPr>
          <w:kern w:val="0"/>
        </w:rPr>
        <w:t xml:space="preserve"> (1), 9-27.</w:t>
      </w:r>
    </w:p>
    <w:p w:rsidR="00D20B89" w:rsidRDefault="00D20B89" w:rsidP="00D20B89">
      <w:pPr>
        <w:pStyle w:val="a0"/>
        <w:rPr>
          <w:kern w:val="0"/>
        </w:rPr>
      </w:pPr>
      <w:r>
        <w:rPr>
          <w:rFonts w:hint="eastAsia"/>
          <w:kern w:val="0"/>
        </w:rPr>
        <w:t xml:space="preserve">Full Text: </w:t>
      </w:r>
      <w:hyperlink r:id="rId573" w:history="1">
        <w:r w:rsidR="00512D72" w:rsidRPr="00512D72">
          <w:rPr>
            <w:rStyle w:val="a5"/>
            <w:kern w:val="0"/>
          </w:rPr>
          <w:t>2011\Hea Psy Rev5, 9.pdf</w:t>
        </w:r>
      </w:hyperlink>
    </w:p>
    <w:p w:rsidR="00D20B89" w:rsidRDefault="00D20B89" w:rsidP="00D20B89">
      <w:pPr>
        <w:pStyle w:val="a0"/>
        <w:rPr>
          <w:kern w:val="0"/>
        </w:rPr>
      </w:pPr>
      <w:r>
        <w:rPr>
          <w:kern w:val="0"/>
        </w:rPr>
        <w:t>Abstract: A This paper presents the results of a review of studies employing interpretative phenomenological analysis (IPA) obtained from three of the major databases: web of science, medline and psychinfo. Between 1996 and 2008, 293 papers presenting empirical IPA studies were published. Trends over time are presented. This is followed by a categorisation of the content area of that corpus. The biggest specific area of research within IPA is illness experience, it forming the subject of nearly a quarter of the corpus. The paper then describes a guide for evaluating IPA research which is used to assess the illness experience papers. Detailed summaries are provided of the papers rated as good. These summaries describe the substantive findings as well as the markers of high quality. The paper finishes with a summary of core features of high-quality IPA work.</w:t>
      </w:r>
    </w:p>
    <w:p w:rsidR="00D20B89" w:rsidRDefault="00D20B89" w:rsidP="00D20B89">
      <w:pPr>
        <w:pStyle w:val="a0"/>
        <w:rPr>
          <w:kern w:val="0"/>
        </w:rPr>
      </w:pPr>
      <w:r>
        <w:rPr>
          <w:kern w:val="0"/>
        </w:rPr>
        <w:t>Keywords: Analysis, Back-Pain, Chronic-Fatigue-Syndrome, Contribution, Databases, Disease, Experience, Identity, Illness Experience, Interpretative Phenomenological Analysis, Medline, Papers, Psychology, Qualitative, Qualitative Research, Quality, Research, Review, Science, Trends, Trustworthiness, Web of Science</w:t>
      </w:r>
    </w:p>
    <w:p w:rsidR="00934583" w:rsidRDefault="00934583" w:rsidP="00934583">
      <w:pPr>
        <w:pStyle w:val="a0"/>
        <w:rPr>
          <w:kern w:val="0"/>
        </w:rPr>
      </w:pPr>
      <w:r>
        <w:rPr>
          <w:rFonts w:hint="eastAsia"/>
          <w:kern w:val="0"/>
        </w:rPr>
        <w:t xml:space="preserve">? </w:t>
      </w:r>
      <w:r>
        <w:rPr>
          <w:kern w:val="0"/>
        </w:rPr>
        <w:t xml:space="preserve">Smith, J.A. (2011), </w:t>
      </w:r>
      <w:r w:rsidRPr="00934583">
        <w:rPr>
          <w:kern w:val="0"/>
        </w:rPr>
        <w:t>Evaluating the contribution of interpretative phenomenological analysis: A reply to the commentaries and further development of criteria</w:t>
      </w:r>
      <w:r>
        <w:rPr>
          <w:kern w:val="0"/>
        </w:rPr>
        <w:t xml:space="preserve">. </w:t>
      </w:r>
      <w:r w:rsidRPr="002A57E7">
        <w:rPr>
          <w:i/>
          <w:iCs/>
          <w:kern w:val="0"/>
        </w:rPr>
        <w:t>Health Psychology Review</w:t>
      </w:r>
      <w:r>
        <w:rPr>
          <w:kern w:val="0"/>
        </w:rPr>
        <w:t xml:space="preserve">, </w:t>
      </w:r>
      <w:r>
        <w:rPr>
          <w:b/>
          <w:bCs/>
          <w:kern w:val="0"/>
        </w:rPr>
        <w:t>5</w:t>
      </w:r>
      <w:r>
        <w:rPr>
          <w:kern w:val="0"/>
        </w:rPr>
        <w:t xml:space="preserve"> (1), </w:t>
      </w:r>
      <w:r w:rsidRPr="00934583">
        <w:rPr>
          <w:kern w:val="0"/>
        </w:rPr>
        <w:t>55-61</w:t>
      </w:r>
      <w:r>
        <w:rPr>
          <w:kern w:val="0"/>
        </w:rPr>
        <w:t>.</w:t>
      </w:r>
    </w:p>
    <w:p w:rsidR="00934583" w:rsidRDefault="00934583" w:rsidP="00934583">
      <w:pPr>
        <w:pStyle w:val="a0"/>
        <w:rPr>
          <w:kern w:val="0"/>
        </w:rPr>
      </w:pPr>
      <w:r>
        <w:rPr>
          <w:rFonts w:hint="eastAsia"/>
          <w:kern w:val="0"/>
        </w:rPr>
        <w:t xml:space="preserve">Full Text: </w:t>
      </w:r>
      <w:hyperlink r:id="rId574" w:history="1">
        <w:r w:rsidRPr="00934583">
          <w:rPr>
            <w:rStyle w:val="a5"/>
            <w:kern w:val="0"/>
          </w:rPr>
          <w:t>2011\Hea Psy Rev5, 55.pdf</w:t>
        </w:r>
      </w:hyperlink>
    </w:p>
    <w:p w:rsidR="00934583" w:rsidRDefault="00934583" w:rsidP="00934583">
      <w:pPr>
        <w:pStyle w:val="a0"/>
        <w:rPr>
          <w:kern w:val="0"/>
        </w:rPr>
      </w:pPr>
      <w:r>
        <w:rPr>
          <w:kern w:val="0"/>
        </w:rPr>
        <w:t>Keywords: Health</w:t>
      </w:r>
    </w:p>
    <w:p w:rsidR="008E58C7" w:rsidRPr="00A428C3" w:rsidRDefault="008E58C7" w:rsidP="008E58C7">
      <w:pPr>
        <w:pStyle w:val="1"/>
      </w:pPr>
      <w:r w:rsidRPr="00A428C3">
        <w:br w:type="page"/>
      </w:r>
      <w:bookmarkStart w:id="517" w:name="_Toc238862969"/>
      <w:bookmarkStart w:id="518" w:name="_Toc317160998"/>
      <w:r w:rsidRPr="00A428C3">
        <w:lastRenderedPageBreak/>
        <w:t xml:space="preserve">Title: </w:t>
      </w:r>
      <w:r w:rsidRPr="00EA6D76">
        <w:t>Health Research Policy</w:t>
      </w:r>
      <w:r w:rsidR="00F81221">
        <w:t xml:space="preserve"> and </w:t>
      </w:r>
      <w:r w:rsidRPr="00EA6D76">
        <w:t>Systems</w:t>
      </w:r>
      <w:bookmarkEnd w:id="517"/>
      <w:bookmarkEnd w:id="518"/>
    </w:p>
    <w:p w:rsidR="008E58C7" w:rsidRPr="00A428C3" w:rsidRDefault="008E58C7" w:rsidP="00B72EF9">
      <w:pPr>
        <w:pStyle w:val="12"/>
      </w:pPr>
      <w:r w:rsidRPr="00A428C3">
        <w:t>Full Journal Title:</w:t>
      </w:r>
      <w:r>
        <w:rPr>
          <w:rFonts w:hint="eastAsia"/>
        </w:rPr>
        <w:t xml:space="preserve"> </w:t>
      </w:r>
      <w:hyperlink r:id="rId575" w:history="1">
        <w:r w:rsidRPr="00EA6D76">
          <w:rPr>
            <w:rStyle w:val="a5"/>
          </w:rPr>
          <w:t>Health Research Policy</w:t>
        </w:r>
        <w:r w:rsidR="00F81221">
          <w:rPr>
            <w:rStyle w:val="a5"/>
          </w:rPr>
          <w:t xml:space="preserve"> and </w:t>
        </w:r>
        <w:r w:rsidRPr="00EA6D76">
          <w:rPr>
            <w:rStyle w:val="a5"/>
          </w:rPr>
          <w:t>Systems</w:t>
        </w:r>
      </w:hyperlink>
    </w:p>
    <w:p w:rsidR="008E58C7" w:rsidRPr="00A428C3" w:rsidRDefault="008E58C7" w:rsidP="00B72EF9">
      <w:pPr>
        <w:pStyle w:val="12"/>
      </w:pPr>
      <w:r w:rsidRPr="00A428C3">
        <w:t xml:space="preserve">ISO Abbreviated Title: </w:t>
      </w:r>
    </w:p>
    <w:p w:rsidR="008E58C7" w:rsidRPr="00EA6D76" w:rsidRDefault="008E58C7" w:rsidP="00B72EF9">
      <w:pPr>
        <w:pStyle w:val="12"/>
      </w:pPr>
      <w:r w:rsidRPr="00A428C3">
        <w:t>JCR Abbreviated Title</w:t>
      </w:r>
      <w:r>
        <w:t>:</w:t>
      </w:r>
      <w:r w:rsidRPr="00A428C3">
        <w:t xml:space="preserve"> </w:t>
      </w:r>
      <w:r w:rsidRPr="00A55B4C">
        <w:t>Health Res Policy Syst</w:t>
      </w:r>
    </w:p>
    <w:p w:rsidR="008E58C7" w:rsidRPr="00A428C3" w:rsidRDefault="008E58C7" w:rsidP="00B72EF9">
      <w:pPr>
        <w:pStyle w:val="12"/>
      </w:pPr>
      <w:r>
        <w:t xml:space="preserve">ISSN: </w:t>
      </w:r>
    </w:p>
    <w:p w:rsidR="008E58C7" w:rsidRPr="00A428C3" w:rsidRDefault="008E58C7" w:rsidP="00B72EF9">
      <w:pPr>
        <w:pStyle w:val="12"/>
      </w:pPr>
      <w:r w:rsidRPr="00A428C3">
        <w:t xml:space="preserve">Issues/Year: </w:t>
      </w:r>
    </w:p>
    <w:p w:rsidR="008E58C7" w:rsidRPr="00A428C3" w:rsidRDefault="00FB5623" w:rsidP="00B72EF9">
      <w:pPr>
        <w:pStyle w:val="12"/>
      </w:pPr>
      <w:r>
        <w:t>Journal Country/Territory:</w:t>
      </w:r>
      <w:r w:rsidR="008E58C7">
        <w:t xml:space="preserve"> </w:t>
      </w:r>
    </w:p>
    <w:p w:rsidR="008E58C7" w:rsidRPr="00A428C3" w:rsidRDefault="008E58C7" w:rsidP="00B72EF9">
      <w:pPr>
        <w:pStyle w:val="12"/>
      </w:pPr>
      <w:r w:rsidRPr="00A428C3">
        <w:t xml:space="preserve">Language: </w:t>
      </w:r>
    </w:p>
    <w:p w:rsidR="008E58C7" w:rsidRPr="00A428C3" w:rsidRDefault="008E58C7" w:rsidP="00B72EF9">
      <w:pPr>
        <w:pStyle w:val="12"/>
      </w:pPr>
      <w:r w:rsidRPr="00A428C3">
        <w:t xml:space="preserve">Publisher: </w:t>
      </w:r>
    </w:p>
    <w:p w:rsidR="008E58C7" w:rsidRPr="00A428C3" w:rsidRDefault="008E58C7" w:rsidP="00B72EF9">
      <w:pPr>
        <w:pStyle w:val="12"/>
      </w:pPr>
      <w:r w:rsidRPr="00A428C3">
        <w:t xml:space="preserve">Publisher Address: </w:t>
      </w:r>
    </w:p>
    <w:p w:rsidR="008E58C7" w:rsidRPr="00A428C3" w:rsidRDefault="008E58C7" w:rsidP="00B72EF9">
      <w:pPr>
        <w:pStyle w:val="12"/>
      </w:pPr>
      <w:r w:rsidRPr="00A428C3">
        <w:t>Subject Categories:</w:t>
      </w:r>
    </w:p>
    <w:p w:rsidR="008E58C7" w:rsidRPr="00A428C3" w:rsidRDefault="008E58C7" w:rsidP="00B72EF9">
      <w:pPr>
        <w:pStyle w:val="12"/>
      </w:pPr>
      <w:r w:rsidRPr="00A428C3">
        <w:t xml:space="preserve">: Impact Factor </w:t>
      </w:r>
    </w:p>
    <w:p w:rsidR="008E58C7" w:rsidRPr="003862C4" w:rsidRDefault="008E58C7" w:rsidP="008E58C7">
      <w:pPr>
        <w:pStyle w:val="a0"/>
      </w:pPr>
      <w:r w:rsidRPr="008B2BB0">
        <w:t xml:space="preserve">? González Block, M.A. (2006), The state of international collaboration for health systems research: What do publications tell? </w:t>
      </w:r>
      <w:r w:rsidRPr="001E77C3">
        <w:rPr>
          <w:i/>
        </w:rPr>
        <w:t>Health Research Policy</w:t>
      </w:r>
      <w:r w:rsidR="00F81221">
        <w:rPr>
          <w:i/>
        </w:rPr>
        <w:t xml:space="preserve"> and </w:t>
      </w:r>
      <w:r w:rsidRPr="001E77C3">
        <w:rPr>
          <w:i/>
        </w:rPr>
        <w:t>Systems</w:t>
      </w:r>
      <w:r w:rsidRPr="008B2BB0">
        <w:t xml:space="preserve">, </w:t>
      </w:r>
      <w:r w:rsidRPr="00551655">
        <w:rPr>
          <w:b/>
          <w:bCs/>
        </w:rPr>
        <w:t>4</w:t>
      </w:r>
      <w:r w:rsidRPr="003862C4">
        <w:t>, 7</w:t>
      </w:r>
      <w:r w:rsidR="00A940A1">
        <w:rPr>
          <w:rFonts w:hint="eastAsia"/>
        </w:rPr>
        <w:t xml:space="preserve">, </w:t>
      </w:r>
      <w:r w:rsidR="00A940A1" w:rsidRPr="00A940A1">
        <w:t>doi: 10.1186/1478-4505-4-7.</w:t>
      </w:r>
    </w:p>
    <w:p w:rsidR="008E58C7" w:rsidRPr="003862C4" w:rsidRDefault="008E58C7" w:rsidP="008E58C7">
      <w:pPr>
        <w:pStyle w:val="a0"/>
      </w:pPr>
      <w:r w:rsidRPr="003862C4">
        <w:rPr>
          <w:rFonts w:hint="eastAsia"/>
        </w:rPr>
        <w:t xml:space="preserve">Full Text: </w:t>
      </w:r>
      <w:hyperlink r:id="rId576" w:history="1">
        <w:r w:rsidRPr="00F25CD6">
          <w:rPr>
            <w:rStyle w:val="a5"/>
          </w:rPr>
          <w:t>2006\Hea Res Pol Sys4, 7.pdf</w:t>
        </w:r>
      </w:hyperlink>
    </w:p>
    <w:p w:rsidR="008E58C7" w:rsidRPr="003862C4" w:rsidRDefault="008E58C7" w:rsidP="008E58C7">
      <w:pPr>
        <w:pStyle w:val="a0"/>
      </w:pPr>
      <w:r w:rsidRPr="003862C4">
        <w:t>Abstract: AIM: International collaboration for health system development has been identified as a critical input to meet pressing global health needs. North-South collaboration has the potential to benefit both parties, while South-South collaboration offers promise to strengthen capacity rapidly</w:t>
      </w:r>
      <w:r w:rsidR="00F81221">
        <w:t xml:space="preserve"> and </w:t>
      </w:r>
      <w:r w:rsidRPr="003862C4">
        <w:t>efficiently across developing countries. There is an emerging trend to analyze the fruits of such collaboration. This paper builds on this trend by applying an innovative concept-based bibliometric method to identify the international scope of collaboration within the field of health policy</w:t>
      </w:r>
      <w:r w:rsidR="00F81221">
        <w:t xml:space="preserve"> and </w:t>
      </w:r>
      <w:r w:rsidRPr="003862C4">
        <w:t xml:space="preserve">systems research. Two key questions are addressed: to what extent are papers comparing developing countries as against reporting on single country studies? To what extent are papers in either case being produced by researchers within their respective countries or through North-South or South-South collaboration? METHODS: A total of 8,751 papers published in </w:t>
      </w:r>
      <w:r>
        <w:t>MEDLINE</w:t>
      </w:r>
      <w:r w:rsidRPr="003862C4">
        <w:t xml:space="preserve"> between 1999</w:t>
      </w:r>
      <w:r w:rsidR="00F81221">
        <w:t xml:space="preserve"> and </w:t>
      </w:r>
      <w:r w:rsidRPr="003862C4">
        <w:t>2003 with data on health systems</w:t>
      </w:r>
      <w:r w:rsidR="00F81221">
        <w:t xml:space="preserve"> and </w:t>
      </w:r>
      <w:r w:rsidRPr="003862C4">
        <w:t>policies in developing countries were identified</w:t>
      </w:r>
      <w:r w:rsidR="00F81221">
        <w:t xml:space="preserve"> and </w:t>
      </w:r>
      <w:r w:rsidRPr="003862C4">
        <w:t>content-analyzed using an innovative concept-based search technology. A sample of 13% of papers was used to identify the corresponding institution</w:t>
      </w:r>
      <w:r w:rsidR="00F81221">
        <w:t xml:space="preserve"> and </w:t>
      </w:r>
      <w:r w:rsidRPr="003862C4">
        <w:t xml:space="preserve">countries covered. The sampled data was then analyzed by income group. RESULTS: Papers with an international, cross-country focus account for only 10% of the total. Just over a third of all papers are led by upper middle income country authors, closely followed by authors from high income countries. Just under half of all papers target low income countries. Cross-country papers are led mostly by institutions in high income countries, with </w:t>
      </w:r>
      <w:r w:rsidRPr="003862C4">
        <w:lastRenderedPageBreak/>
        <w:t>74% of the total. Only seven countries concentrate 60% of the papers led by developing country institutions. Institutions in the United States</w:t>
      </w:r>
      <w:r w:rsidR="00F81221">
        <w:t xml:space="preserve"> and </w:t>
      </w:r>
      <w:r w:rsidRPr="003862C4">
        <w:t>the United Kingdom concentrate between them as many as 68% of the papers led by high income countries. Only 11% of all single-country papers</w:t>
      </w:r>
      <w:r w:rsidR="00F81221">
        <w:t xml:space="preserve"> and </w:t>
      </w:r>
      <w:r w:rsidRPr="003862C4">
        <w:t>21% of multi-country studies are the product of South-South collaboration. Health Financing is the topic with the greatest international scope, with 26% of all papers in the topic. Topics such as Costing</w:t>
      </w:r>
      <w:r w:rsidR="00F81221">
        <w:t xml:space="preserve"> and </w:t>
      </w:r>
      <w:r w:rsidRPr="003862C4">
        <w:t>Cost Effectiveness, Finance, Sector Analysis</w:t>
      </w:r>
      <w:r w:rsidR="00F81221">
        <w:t xml:space="preserve"> and </w:t>
      </w:r>
      <w:r w:rsidRPr="003862C4">
        <w:t>Insurance, regardless of their national or international scope, are led in 38% to 54% of cases by high income authors. CONCLUSION: While there is modest health systems research capacity in many developing countries for single country studies, capacity is severely limited for multi-country studies. While North-South collaboration is important, the number of international studies is still very limited to produce the kind of knowledge required to learn from experiences across countries. The fact that lead institutions as well as study countries are concentrated in a handful of mostly middle income countries attests to great disparities in research capacity. However, disparities in research capacity</w:t>
      </w:r>
      <w:r w:rsidR="00F81221">
        <w:t xml:space="preserve"> and </w:t>
      </w:r>
      <w:r w:rsidRPr="003862C4">
        <w:t>interest are also evident in the North. It is urgent to build cross-country research capacity including appropriate forms of South-South</w:t>
      </w:r>
      <w:r w:rsidR="00F81221">
        <w:t xml:space="preserve"> and </w:t>
      </w:r>
      <w:r w:rsidRPr="003862C4">
        <w:t>North-South collaboration.</w:t>
      </w:r>
    </w:p>
    <w:p w:rsidR="008E58C7" w:rsidRPr="003862C4" w:rsidRDefault="008E58C7" w:rsidP="008E58C7">
      <w:pPr>
        <w:pStyle w:val="a0"/>
      </w:pPr>
      <w:r w:rsidRPr="003862C4">
        <w:t>Keywords: Bibliometric, Capacity, Collaboration, Concentrate, Country, Data, Developing, Developing Countries, Developing Country, Development, Field, Health, Health Policy, Health System, Health Systems, Health Systems Research, Institutions, International, Knowledge, Lead, Methods, Needs, North, Papers, Policies, Policy, Potential, Publications, Reporting, Research, Scope, State, Systems, Technology, Trend, United Kingdom, United States</w:t>
      </w:r>
    </w:p>
    <w:p w:rsidR="008E58C7" w:rsidRPr="003862C4" w:rsidRDefault="008E58C7" w:rsidP="008E58C7">
      <w:pPr>
        <w:pStyle w:val="a0"/>
      </w:pPr>
      <w:r w:rsidRPr="003862C4">
        <w:t>? Groneberg-Kloft, B., Scutaru, C., Kreiter, C., Kolzow, S., Fischer, A.</w:t>
      </w:r>
      <w:r w:rsidR="00F81221">
        <w:t xml:space="preserve"> and </w:t>
      </w:r>
      <w:r w:rsidRPr="003862C4">
        <w:t>Quarcoo, D. (2008), Institutional operating figures in basic</w:t>
      </w:r>
      <w:r w:rsidR="00F81221">
        <w:t xml:space="preserve"> and </w:t>
      </w:r>
      <w:r w:rsidRPr="003862C4">
        <w:t xml:space="preserve">applied sciences: Scientometric analysis of quantitative output benchmarking. </w:t>
      </w:r>
      <w:r w:rsidRPr="001E77C3">
        <w:rPr>
          <w:i/>
        </w:rPr>
        <w:t>Health Research Policy</w:t>
      </w:r>
      <w:r w:rsidR="00F81221">
        <w:rPr>
          <w:i/>
        </w:rPr>
        <w:t xml:space="preserve"> and </w:t>
      </w:r>
      <w:r w:rsidRPr="001E77C3">
        <w:rPr>
          <w:i/>
        </w:rPr>
        <w:t>Systems</w:t>
      </w:r>
      <w:r w:rsidRPr="008B2BB0">
        <w:t xml:space="preserve">, </w:t>
      </w:r>
      <w:r w:rsidRPr="00551655">
        <w:rPr>
          <w:b/>
          <w:bCs/>
        </w:rPr>
        <w:t>6</w:t>
      </w:r>
      <w:r w:rsidR="00A940A1">
        <w:t>, 6</w:t>
      </w:r>
      <w:r w:rsidR="00A940A1">
        <w:rPr>
          <w:rFonts w:hint="eastAsia"/>
        </w:rPr>
        <w:t xml:space="preserve">, </w:t>
      </w:r>
      <w:r w:rsidR="00A940A1" w:rsidRPr="00A940A1">
        <w:t>doi:10.1186/1478-4505-6-6</w:t>
      </w:r>
      <w:r w:rsidR="00A940A1">
        <w:rPr>
          <w:rFonts w:hint="eastAsia"/>
        </w:rPr>
        <w:t>.</w:t>
      </w:r>
    </w:p>
    <w:p w:rsidR="008E58C7" w:rsidRPr="003862C4" w:rsidRDefault="008E58C7" w:rsidP="008E58C7">
      <w:pPr>
        <w:pStyle w:val="a0"/>
      </w:pPr>
      <w:r w:rsidRPr="003862C4">
        <w:rPr>
          <w:rFonts w:hint="eastAsia"/>
        </w:rPr>
        <w:t xml:space="preserve">Full Text: </w:t>
      </w:r>
      <w:hyperlink r:id="rId577" w:history="1">
        <w:r w:rsidRPr="00F25CD6">
          <w:rPr>
            <w:rStyle w:val="a5"/>
          </w:rPr>
          <w:t>2008\Hea Res Pol Sys6, 6.pdf</w:t>
        </w:r>
      </w:hyperlink>
    </w:p>
    <w:p w:rsidR="008E58C7" w:rsidRPr="003862C4" w:rsidRDefault="008E58C7" w:rsidP="008E58C7">
      <w:pPr>
        <w:pStyle w:val="a0"/>
      </w:pPr>
      <w:r w:rsidRPr="003862C4">
        <w:t>Abstract: BACKGROUND: Institutional operating figures</w:t>
      </w:r>
      <w:r w:rsidR="00F81221">
        <w:t xml:space="preserve"> and </w:t>
      </w:r>
      <w:r w:rsidRPr="003862C4">
        <w:t>benchmarking systems are important features for the implementation of efficacy in basic</w:t>
      </w:r>
      <w:r w:rsidR="00F81221">
        <w:t xml:space="preserve"> and </w:t>
      </w:r>
      <w:r w:rsidRPr="003862C4">
        <w:t>applied sciences. They are needed for research evaluation</w:t>
      </w:r>
      <w:r w:rsidR="00F81221">
        <w:t xml:space="preserve"> and </w:t>
      </w:r>
      <w:r w:rsidRPr="003862C4">
        <w:t>funding policy. However, the current policy settings for research evaluation urgently need review since there may be imbalances present in many areas. METHODS: The present study assessed benchmarking of research output. By the use of large data bases research output was categorized</w:t>
      </w:r>
      <w:r w:rsidR="00F81221">
        <w:t xml:space="preserve"> and </w:t>
      </w:r>
      <w:r w:rsidRPr="003862C4">
        <w:t>analyzed. Specific areas of major research activity were identified by comparing publication density on different organ systems</w:t>
      </w:r>
      <w:r w:rsidR="00F81221">
        <w:t xml:space="preserve"> and </w:t>
      </w:r>
      <w:r w:rsidRPr="003862C4">
        <w:t>inter-</w:t>
      </w:r>
      <w:r w:rsidR="00F81221">
        <w:t xml:space="preserve"> and </w:t>
      </w:r>
      <w:r w:rsidRPr="003862C4">
        <w:t xml:space="preserve">intrafield comparison was performed for selected countries. RESULTS: Novel density-equalizing mappings were constructed that illustrate trends of publication </w:t>
      </w:r>
      <w:r w:rsidRPr="003862C4">
        <w:lastRenderedPageBreak/>
        <w:t>activity</w:t>
      </w:r>
      <w:r w:rsidR="00F81221">
        <w:t xml:space="preserve"> and </w:t>
      </w:r>
      <w:r w:rsidRPr="003862C4">
        <w:t>identify subsets of major interest in a total of 5,527,558 published items. A dichotomy was present between Western countries such as the US, UK or Germany</w:t>
      </w:r>
      <w:r w:rsidR="00F81221">
        <w:t xml:space="preserve"> and </w:t>
      </w:r>
      <w:r w:rsidRPr="003862C4">
        <w:t>Asian countries such as Japan, China or South Korea concerning research focuses. CONCLUSION: The present study is the first large scale analysis of global research activity</w:t>
      </w:r>
      <w:r w:rsidR="00F81221">
        <w:t xml:space="preserve"> and </w:t>
      </w:r>
      <w:r w:rsidRPr="003862C4">
        <w:t>output over the last 50 years. The presently described assessment of operating figures at the national</w:t>
      </w:r>
      <w:r w:rsidR="00F81221">
        <w:t xml:space="preserve"> and </w:t>
      </w:r>
      <w:r w:rsidRPr="003862C4">
        <w:t>international level can be used to identify single areas of research that are heavily focused. Further research on qualitative output benchmarking is needed to improve current policy settings for research evaluation.</w:t>
      </w:r>
    </w:p>
    <w:p w:rsidR="008E58C7" w:rsidRPr="003862C4" w:rsidRDefault="008E58C7" w:rsidP="008E58C7">
      <w:pPr>
        <w:pStyle w:val="a0"/>
      </w:pPr>
      <w:r w:rsidRPr="003862C4">
        <w:t>Keywords: Analysis, Asian, Assessment, Background, Benchmarking, China, Comparison, Constructed, Data, Efficacy, Evaluation, First, Funding, Germany, Implementation, International, Japan, Korea, Methods, Policy, Publication, Publication Activity, Qualitative, Research, Research Evaluation, Review, Scale, Sciences, Systems, Trends, UK, US</w:t>
      </w:r>
    </w:p>
    <w:p w:rsidR="00B95188" w:rsidRPr="00A428C3" w:rsidRDefault="00B95188" w:rsidP="00B95188">
      <w:pPr>
        <w:pStyle w:val="1"/>
      </w:pPr>
      <w:r w:rsidRPr="00A428C3">
        <w:br w:type="page"/>
      </w:r>
      <w:bookmarkStart w:id="519" w:name="_Toc317160999"/>
      <w:r w:rsidRPr="00A428C3">
        <w:lastRenderedPageBreak/>
        <w:t xml:space="preserve">Title: </w:t>
      </w:r>
      <w:r>
        <w:t>Health Risk &amp; Society</w:t>
      </w:r>
      <w:bookmarkEnd w:id="519"/>
    </w:p>
    <w:p w:rsidR="00B95188" w:rsidRPr="00A428C3" w:rsidRDefault="00B95188" w:rsidP="00B72EF9">
      <w:pPr>
        <w:pStyle w:val="12"/>
      </w:pPr>
      <w:r w:rsidRPr="00A428C3">
        <w:t>Full Journal Title:</w:t>
      </w:r>
      <w:r>
        <w:rPr>
          <w:rFonts w:hint="eastAsia"/>
        </w:rPr>
        <w:t xml:space="preserve"> </w:t>
      </w:r>
      <w:hyperlink r:id="rId578" w:history="1">
        <w:r w:rsidRPr="00FE0A7C">
          <w:rPr>
            <w:rStyle w:val="a5"/>
          </w:rPr>
          <w:t>Health Risk &amp; Society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t xml:space="preserve">ISSN: </w:t>
      </w:r>
      <w:r w:rsidRPr="00FE0A7C">
        <w:t>1369-8575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Default="00B95188" w:rsidP="00B95188">
      <w:pPr>
        <w:pStyle w:val="a0"/>
      </w:pPr>
      <w:r w:rsidRPr="00A428C3">
        <w:t xml:space="preserve">? </w:t>
      </w:r>
      <w:r>
        <w:t>Lewison</w:t>
      </w:r>
      <w:r>
        <w:rPr>
          <w:rFonts w:hint="eastAsia"/>
        </w:rPr>
        <w:t>,</w:t>
      </w:r>
      <w:r>
        <w:t xml:space="preserve"> G</w:t>
      </w:r>
      <w:r>
        <w:rPr>
          <w:rFonts w:hint="eastAsia"/>
        </w:rPr>
        <w:t>.</w:t>
      </w:r>
      <w:r w:rsidRPr="00A428C3">
        <w:t xml:space="preserve"> (</w:t>
      </w:r>
      <w:r>
        <w:rPr>
          <w:rFonts w:hint="eastAsia"/>
        </w:rPr>
        <w:t>200</w:t>
      </w:r>
      <w:r w:rsidRPr="00A428C3">
        <w:t xml:space="preserve">8), </w:t>
      </w:r>
      <w:r>
        <w:t>The reporting of the risks from severe acute respiratory syndrome (SARS) in the news media, 2003-2004</w:t>
      </w:r>
      <w:r w:rsidRPr="00A428C3">
        <w:t xml:space="preserve">. </w:t>
      </w:r>
      <w:r w:rsidRPr="00FE0A7C">
        <w:rPr>
          <w:i/>
        </w:rPr>
        <w:t>Health Risk &amp; Society</w:t>
      </w:r>
      <w:r w:rsidRPr="00A428C3">
        <w:t xml:space="preserve">, </w:t>
      </w:r>
      <w:r>
        <w:rPr>
          <w:rFonts w:hint="eastAsia"/>
          <w:b/>
        </w:rPr>
        <w:t>10</w:t>
      </w:r>
      <w:r w:rsidRPr="00A428C3">
        <w:t xml:space="preserve"> (3), </w:t>
      </w:r>
      <w:r>
        <w:t>241-262</w:t>
      </w:r>
      <w:r w:rsidRPr="00A428C3">
        <w:t>.</w:t>
      </w:r>
    </w:p>
    <w:p w:rsidR="00B95188" w:rsidRDefault="00B95188" w:rsidP="00B95188">
      <w:pPr>
        <w:pStyle w:val="a0"/>
      </w:pPr>
      <w:r>
        <w:rPr>
          <w:rFonts w:hint="eastAsia"/>
        </w:rPr>
        <w:t xml:space="preserve">Full Text: </w:t>
      </w:r>
      <w:hyperlink r:id="rId579" w:history="1">
        <w:r w:rsidRPr="0056139E">
          <w:rPr>
            <w:rStyle w:val="a5"/>
          </w:rPr>
          <w:t>2008\Hea Ris Soc10, 241.pdf</w:t>
        </w:r>
      </w:hyperlink>
    </w:p>
    <w:p w:rsidR="00B95188" w:rsidRDefault="00B95188" w:rsidP="00B95188">
      <w:pPr>
        <w:pStyle w:val="a0"/>
      </w:pPr>
      <w:r>
        <w:t>Abstract: This paper analyses coverage of the risks from Severe Acute Respiratory Syndrome (SARS) in March 2003 to April 2004 in 15 news media from seven countries (Canada, France, Germany, Hong Kong, Spain, the UK</w:t>
      </w:r>
      <w:r w:rsidR="00F81221">
        <w:t xml:space="preserve"> and </w:t>
      </w:r>
      <w:r>
        <w:t>the USA) as part of an analysis of risk management for the European Commission. A total of 1014 relevant news articles were found</w:t>
      </w:r>
      <w:r w:rsidR="00F81221">
        <w:t xml:space="preserve"> and </w:t>
      </w:r>
      <w:r>
        <w:t xml:space="preserve">coded for their presentational tone or </w:t>
      </w:r>
      <w:r w:rsidR="000352E7">
        <w:t>‘</w:t>
      </w:r>
      <w:r>
        <w:t>scariness,</w:t>
      </w:r>
      <w:r w:rsidR="000352E7">
        <w:t>’</w:t>
      </w:r>
      <w:r>
        <w:t xml:space="preserve"> the types of risk (health, financial</w:t>
      </w:r>
      <w:r w:rsidR="00F81221">
        <w:t xml:space="preserve"> and </w:t>
      </w:r>
      <w:r>
        <w:t>political) mentioned, the countries involved,</w:t>
      </w:r>
      <w:r w:rsidR="00F81221">
        <w:t xml:space="preserve"> and </w:t>
      </w:r>
      <w:r>
        <w:t>the documents, people</w:t>
      </w:r>
      <w:r w:rsidR="00F81221">
        <w:t xml:space="preserve"> and </w:t>
      </w:r>
      <w:r>
        <w:t>organizations cited. The main period of the epidemic (as reported internationally) lasted 3 months from the end of March to the end of June 2003, by which time over 770 people had died worldwide. In the early weeks, the tone of the articles was somewhat scary, but by the end of May much had been learned about the disease, its likely death rate</w:t>
      </w:r>
      <w:r w:rsidR="00F81221">
        <w:t xml:space="preserve"> and </w:t>
      </w:r>
      <w:r>
        <w:t>how to contain it,</w:t>
      </w:r>
      <w:r w:rsidR="00F81221">
        <w:t xml:space="preserve"> and </w:t>
      </w:r>
      <w:r>
        <w:t>the articles became less numerous</w:t>
      </w:r>
      <w:r w:rsidR="00F81221">
        <w:t xml:space="preserve"> and </w:t>
      </w:r>
      <w:r>
        <w:t>more moderate in tone. Because of the rapid spread of the disease, there was not time for it to become politicized. Some 62 documents were cited in the news articles, mostly research papers. The people</w:t>
      </w:r>
      <w:r w:rsidR="00F81221">
        <w:t xml:space="preserve"> and </w:t>
      </w:r>
      <w:r>
        <w:t>organizations most cited were the WHO, medical personnel, officials, governments, politicians</w:t>
      </w:r>
      <w:r w:rsidR="00F81221">
        <w:t xml:space="preserve"> and </w:t>
      </w:r>
      <w:r>
        <w:t>scientists; the latter tended to make the news articles less scary. Public reaction to the news, in the form of statistics on air travellers to the Far East</w:t>
      </w:r>
      <w:r w:rsidR="00F81221">
        <w:t xml:space="preserve"> and </w:t>
      </w:r>
      <w:r>
        <w:t>to Toronto, Canada, suggests that the health risks of the latter were seen as much less serious than those of the former.</w:t>
      </w:r>
    </w:p>
    <w:p w:rsidR="00B95188" w:rsidRPr="00A428C3" w:rsidRDefault="00B95188" w:rsidP="00B95188">
      <w:pPr>
        <w:pStyle w:val="a0"/>
      </w:pPr>
      <w:r>
        <w:t>Keywords: SARS, Newspapers, Risk, Research, Scariness, Financial, Political, Health, Genome Sequence, Health-Risks, Communication, Coronavirus, Disease, Newspapers, Epidemic, Coverage, Students, China</w:t>
      </w:r>
    </w:p>
    <w:p w:rsidR="000658CF" w:rsidRDefault="000658CF" w:rsidP="000658CF">
      <w:pPr>
        <w:pStyle w:val="a0"/>
        <w:rPr>
          <w:kern w:val="0"/>
          <w:szCs w:val="24"/>
        </w:rPr>
      </w:pPr>
      <w:r>
        <w:rPr>
          <w:rFonts w:hint="eastAsia"/>
          <w:kern w:val="0"/>
          <w:szCs w:val="24"/>
        </w:rPr>
        <w:lastRenderedPageBreak/>
        <w:t xml:space="preserve">? </w:t>
      </w:r>
      <w:r>
        <w:rPr>
          <w:kern w:val="0"/>
          <w:szCs w:val="24"/>
        </w:rPr>
        <w:t xml:space="preserve">Heyman, B. (2010), Screening for health risks: A social science perspective. </w:t>
      </w:r>
      <w:r>
        <w:rPr>
          <w:i/>
          <w:iCs/>
          <w:kern w:val="0"/>
          <w:szCs w:val="24"/>
        </w:rPr>
        <w:t>Health Risk &amp; Society</w:t>
      </w:r>
      <w:r>
        <w:rPr>
          <w:kern w:val="0"/>
          <w:szCs w:val="24"/>
        </w:rPr>
        <w:t xml:space="preserve">, </w:t>
      </w:r>
      <w:r>
        <w:rPr>
          <w:b/>
          <w:bCs/>
          <w:kern w:val="0"/>
          <w:szCs w:val="24"/>
        </w:rPr>
        <w:t>12</w:t>
      </w:r>
      <w:r>
        <w:rPr>
          <w:kern w:val="0"/>
          <w:szCs w:val="24"/>
        </w:rPr>
        <w:t xml:space="preserve"> (1), 1-6.</w:t>
      </w:r>
    </w:p>
    <w:p w:rsidR="000658CF" w:rsidRDefault="000658CF" w:rsidP="000658CF">
      <w:pPr>
        <w:pStyle w:val="a0"/>
      </w:pPr>
      <w:r>
        <w:rPr>
          <w:rFonts w:hint="eastAsia"/>
        </w:rPr>
        <w:t xml:space="preserve">Full Text: </w:t>
      </w:r>
      <w:hyperlink r:id="rId580" w:history="1">
        <w:r w:rsidRPr="000658CF">
          <w:rPr>
            <w:rStyle w:val="a5"/>
          </w:rPr>
          <w:t>2010\Hea Ris Soc12, 1.pdf</w:t>
        </w:r>
      </w:hyperlink>
    </w:p>
    <w:p w:rsidR="000658CF" w:rsidRDefault="000658CF" w:rsidP="000658CF">
      <w:pPr>
        <w:pStyle w:val="a0"/>
        <w:rPr>
          <w:kern w:val="0"/>
          <w:szCs w:val="24"/>
        </w:rPr>
      </w:pPr>
      <w:r>
        <w:rPr>
          <w:kern w:val="0"/>
          <w:szCs w:val="24"/>
        </w:rPr>
        <w:t>Abstract: Health screening promises to reduce risks to individuals via probabilistic sifting of populations for medical conditions. The categorisation</w:t>
      </w:r>
      <w:r w:rsidR="00F81221">
        <w:rPr>
          <w:kern w:val="0"/>
          <w:szCs w:val="24"/>
        </w:rPr>
        <w:t xml:space="preserve"> and </w:t>
      </w:r>
      <w:r>
        <w:rPr>
          <w:kern w:val="0"/>
          <w:szCs w:val="24"/>
        </w:rPr>
        <w:t xml:space="preserve">selection of </w:t>
      </w:r>
      <w:r w:rsidR="000352E7">
        <w:rPr>
          <w:kern w:val="0"/>
          <w:szCs w:val="24"/>
        </w:rPr>
        <w:t>‘</w:t>
      </w:r>
      <w:r>
        <w:rPr>
          <w:kern w:val="0"/>
          <w:szCs w:val="24"/>
        </w:rPr>
        <w:t>conditions</w:t>
      </w:r>
      <w:r w:rsidR="000352E7">
        <w:rPr>
          <w:kern w:val="0"/>
          <w:szCs w:val="24"/>
        </w:rPr>
        <w:t>’</w:t>
      </w:r>
      <w:r>
        <w:rPr>
          <w:kern w:val="0"/>
          <w:szCs w:val="24"/>
        </w:rPr>
        <w:t xml:space="preserve"> such as cardiovascular events, dementia</w:t>
      </w:r>
      <w:r w:rsidR="00F81221">
        <w:rPr>
          <w:kern w:val="0"/>
          <w:szCs w:val="24"/>
        </w:rPr>
        <w:t xml:space="preserve"> and </w:t>
      </w:r>
      <w:r>
        <w:rPr>
          <w:kern w:val="0"/>
          <w:szCs w:val="24"/>
        </w:rPr>
        <w:t>depression for screening itself requires prior interpretive labour which usually remains unexamined. Screening systems can take diverse organisational forms</w:t>
      </w:r>
      <w:r w:rsidR="00F81221">
        <w:rPr>
          <w:kern w:val="0"/>
          <w:szCs w:val="24"/>
        </w:rPr>
        <w:t xml:space="preserve"> and </w:t>
      </w:r>
      <w:r>
        <w:rPr>
          <w:kern w:val="0"/>
          <w:szCs w:val="24"/>
        </w:rPr>
        <w:t xml:space="preserve">varying relationships to health status, as when purported disease precursors, for example </w:t>
      </w:r>
      <w:r w:rsidR="000352E7">
        <w:rPr>
          <w:kern w:val="0"/>
          <w:szCs w:val="24"/>
        </w:rPr>
        <w:t>‘</w:t>
      </w:r>
      <w:r>
        <w:rPr>
          <w:kern w:val="0"/>
          <w:szCs w:val="24"/>
        </w:rPr>
        <w:t>pre-cancerous</w:t>
      </w:r>
      <w:r w:rsidR="000352E7">
        <w:rPr>
          <w:kern w:val="0"/>
          <w:szCs w:val="24"/>
        </w:rPr>
        <w:t>’</w:t>
      </w:r>
      <w:r>
        <w:rPr>
          <w:kern w:val="0"/>
          <w:szCs w:val="24"/>
        </w:rPr>
        <w:t xml:space="preserve"> polyps, or supposed risk factors, such as high cholesterol themselves, become targets for screening. Screening at best yields small, although not necessarily unworthwhile, net population health gains. It also creates new risks, leaving some individuals worse-off than if they had been left alone. The difficulties associated with attempting to measure small net gains through randomised controlled trials are sometimes underestimated. Despite endemic doubts about its clinical utility, bibliometric analysis of published papers shows that responses to health risks are coming to be increasingly thought about in terms of screening. This shift is superimposed on a strengthening tendency to view health through the lens of risk. It merits further scrutiny as a societal phenomenon.</w:t>
      </w:r>
    </w:p>
    <w:p w:rsidR="000658CF" w:rsidRDefault="000658CF" w:rsidP="000658CF">
      <w:pPr>
        <w:pStyle w:val="a0"/>
        <w:rPr>
          <w:kern w:val="0"/>
          <w:szCs w:val="24"/>
        </w:rPr>
      </w:pPr>
      <w:r>
        <w:rPr>
          <w:kern w:val="0"/>
          <w:szCs w:val="24"/>
        </w:rPr>
        <w:t>Keywords: Bibliometric Analysis, Depression, Health Conditions, Health Risk Management, Health Risks, Papers, Population Health, Risk Thinking, Screening</w:t>
      </w:r>
    </w:p>
    <w:p w:rsidR="000658CF" w:rsidRDefault="000658CF" w:rsidP="000658CF">
      <w:pPr>
        <w:pStyle w:val="a0"/>
        <w:rPr>
          <w:kern w:val="0"/>
          <w:szCs w:val="24"/>
        </w:rPr>
      </w:pPr>
      <w:r>
        <w:rPr>
          <w:rFonts w:hint="eastAsia"/>
          <w:kern w:val="0"/>
          <w:szCs w:val="24"/>
        </w:rPr>
        <w:t xml:space="preserve">? </w:t>
      </w:r>
      <w:r>
        <w:rPr>
          <w:kern w:val="0"/>
          <w:szCs w:val="24"/>
        </w:rPr>
        <w:t xml:space="preserve">Heyman, B. (2010), Screening for health risks: A second editorial. </w:t>
      </w:r>
      <w:r>
        <w:rPr>
          <w:i/>
          <w:iCs/>
          <w:kern w:val="0"/>
          <w:szCs w:val="24"/>
        </w:rPr>
        <w:t>Health Risk &amp; Society</w:t>
      </w:r>
      <w:r>
        <w:rPr>
          <w:kern w:val="0"/>
          <w:szCs w:val="24"/>
        </w:rPr>
        <w:t xml:space="preserve">, </w:t>
      </w:r>
      <w:r>
        <w:rPr>
          <w:b/>
          <w:bCs/>
          <w:kern w:val="0"/>
          <w:szCs w:val="24"/>
        </w:rPr>
        <w:t>12</w:t>
      </w:r>
      <w:r>
        <w:rPr>
          <w:kern w:val="0"/>
          <w:szCs w:val="24"/>
        </w:rPr>
        <w:t xml:space="preserve"> (2), 81-84.</w:t>
      </w:r>
    </w:p>
    <w:p w:rsidR="000658CF" w:rsidRDefault="000658CF" w:rsidP="000658CF">
      <w:pPr>
        <w:pStyle w:val="a0"/>
      </w:pPr>
      <w:r>
        <w:rPr>
          <w:rFonts w:hint="eastAsia"/>
        </w:rPr>
        <w:t xml:space="preserve">Full Text: </w:t>
      </w:r>
      <w:hyperlink r:id="rId581" w:history="1">
        <w:r w:rsidRPr="000658CF">
          <w:rPr>
            <w:rStyle w:val="a5"/>
          </w:rPr>
          <w:t>2010\Hea Ris Soc12, 81.pdf</w:t>
        </w:r>
      </w:hyperlink>
    </w:p>
    <w:p w:rsidR="000658CF" w:rsidRDefault="000658CF" w:rsidP="000658CF">
      <w:pPr>
        <w:pStyle w:val="a0"/>
        <w:rPr>
          <w:kern w:val="0"/>
          <w:szCs w:val="24"/>
        </w:rPr>
      </w:pPr>
      <w:r>
        <w:rPr>
          <w:kern w:val="0"/>
          <w:szCs w:val="24"/>
        </w:rPr>
        <w:t>Abstract: This editorial discusses nine papers concerned with health risk screening,</w:t>
      </w:r>
      <w:r w:rsidR="00F81221">
        <w:rPr>
          <w:kern w:val="0"/>
          <w:szCs w:val="24"/>
        </w:rPr>
        <w:t xml:space="preserve"> and </w:t>
      </w:r>
      <w:r>
        <w:rPr>
          <w:kern w:val="0"/>
          <w:szCs w:val="24"/>
        </w:rPr>
        <w:t>two papers reporting original research on risk management for children</w:t>
      </w:r>
      <w:r w:rsidR="00F81221">
        <w:rPr>
          <w:kern w:val="0"/>
          <w:szCs w:val="24"/>
        </w:rPr>
        <w:t xml:space="preserve"> and </w:t>
      </w:r>
      <w:r>
        <w:rPr>
          <w:kern w:val="0"/>
          <w:szCs w:val="24"/>
        </w:rPr>
        <w:t xml:space="preserve">adolescents. Five of the screening papers were published in a previous issue of Health, Risk Society (Vol. 12, No. 1) along with an analytic editorial. This issue (Vol. 12, No. 2) contains an annexe with four additional screening papers plus a second editorial covering all nine papers. The papers illustrate the increasing scope of screening applications </w:t>
      </w:r>
      <w:r w:rsidR="000352E7">
        <w:rPr>
          <w:kern w:val="0"/>
          <w:szCs w:val="24"/>
        </w:rPr>
        <w:t>‘</w:t>
      </w:r>
      <w:r>
        <w:rPr>
          <w:kern w:val="0"/>
          <w:szCs w:val="24"/>
        </w:rPr>
        <w:t>from the cradle to the grave</w:t>
      </w:r>
      <w:r w:rsidR="000352E7">
        <w:rPr>
          <w:kern w:val="0"/>
          <w:szCs w:val="24"/>
        </w:rPr>
        <w:t>’</w:t>
      </w:r>
      <w:r>
        <w:rPr>
          <w:kern w:val="0"/>
          <w:szCs w:val="24"/>
        </w:rPr>
        <w:t>. They cover risk screening for Down</w:t>
      </w:r>
      <w:r w:rsidR="000352E7">
        <w:rPr>
          <w:kern w:val="0"/>
          <w:szCs w:val="24"/>
        </w:rPr>
        <w:t>’</w:t>
      </w:r>
      <w:r>
        <w:rPr>
          <w:kern w:val="0"/>
          <w:szCs w:val="24"/>
        </w:rPr>
        <w:t>s syndrome (Gross 2010), child welfare</w:t>
      </w:r>
      <w:r w:rsidR="00F81221">
        <w:rPr>
          <w:kern w:val="0"/>
          <w:szCs w:val="24"/>
        </w:rPr>
        <w:t xml:space="preserve"> and </w:t>
      </w:r>
      <w:r>
        <w:rPr>
          <w:kern w:val="0"/>
          <w:szCs w:val="24"/>
        </w:rPr>
        <w:t>protection (Munro 2010, Parton 2010), Chlamydia (Balfe 2010), mental health service user violence (Langan 2010), Huntingdon</w:t>
      </w:r>
      <w:r w:rsidR="000352E7">
        <w:rPr>
          <w:kern w:val="0"/>
          <w:szCs w:val="24"/>
        </w:rPr>
        <w:t>’</w:t>
      </w:r>
      <w:r>
        <w:rPr>
          <w:kern w:val="0"/>
          <w:szCs w:val="24"/>
        </w:rPr>
        <w:t>s disease (Leontini 2010), coronary heart disease (Peckham</w:t>
      </w:r>
      <w:r w:rsidR="00F81221">
        <w:rPr>
          <w:kern w:val="0"/>
          <w:szCs w:val="24"/>
        </w:rPr>
        <w:t xml:space="preserve"> and </w:t>
      </w:r>
      <w:r>
        <w:rPr>
          <w:kern w:val="0"/>
          <w:szCs w:val="24"/>
        </w:rPr>
        <w:t>Hann 2010), cancer (Craddock Lee 2010),</w:t>
      </w:r>
      <w:r w:rsidR="00F81221">
        <w:rPr>
          <w:kern w:val="0"/>
          <w:szCs w:val="24"/>
        </w:rPr>
        <w:t xml:space="preserve"> and </w:t>
      </w:r>
      <w:r>
        <w:rPr>
          <w:kern w:val="0"/>
          <w:szCs w:val="24"/>
        </w:rPr>
        <w:t>dementia (Milne 2010). The screening papers fall into two strands: one questioning the utility of current systems (Langan 2010, Milne 2010, Munro 2010, Parton 2010, Peckham</w:t>
      </w:r>
      <w:r w:rsidR="00F81221">
        <w:rPr>
          <w:kern w:val="0"/>
          <w:szCs w:val="24"/>
        </w:rPr>
        <w:t xml:space="preserve"> and </w:t>
      </w:r>
      <w:r>
        <w:rPr>
          <w:kern w:val="0"/>
          <w:szCs w:val="24"/>
        </w:rPr>
        <w:t xml:space="preserve">Hann 2010); the other presenting original findings concerning the perspectives of eligible candidates (Balfe 2010, Craddock Lee 2010, Gross 2010, Leontini 2010). The two papers concerned </w:t>
      </w:r>
      <w:r>
        <w:rPr>
          <w:kern w:val="0"/>
          <w:szCs w:val="24"/>
        </w:rPr>
        <w:lastRenderedPageBreak/>
        <w:t>with children</w:t>
      </w:r>
      <w:r w:rsidR="00F81221">
        <w:rPr>
          <w:kern w:val="0"/>
          <w:szCs w:val="24"/>
        </w:rPr>
        <w:t xml:space="preserve"> and </w:t>
      </w:r>
      <w:r>
        <w:rPr>
          <w:kern w:val="0"/>
          <w:szCs w:val="24"/>
        </w:rPr>
        <w:t>adolescents, published in the second part of the present issue, also consider risk perspectives, with particular reference to cultural comparisons. These papers focus on attitudes to</w:t>
      </w:r>
      <w:r w:rsidR="00F81221">
        <w:rPr>
          <w:kern w:val="0"/>
          <w:szCs w:val="24"/>
        </w:rPr>
        <w:t xml:space="preserve"> and </w:t>
      </w:r>
      <w:r>
        <w:rPr>
          <w:kern w:val="0"/>
          <w:szCs w:val="24"/>
        </w:rPr>
        <w:t>knowledge about sexual health in relation to uncertainty about the future (Davis</w:t>
      </w:r>
      <w:r w:rsidR="00F81221">
        <w:rPr>
          <w:kern w:val="0"/>
          <w:szCs w:val="24"/>
        </w:rPr>
        <w:t xml:space="preserve"> and </w:t>
      </w:r>
      <w:r>
        <w:rPr>
          <w:kern w:val="0"/>
          <w:szCs w:val="24"/>
        </w:rPr>
        <w:t>Niebes-Davis 2010),</w:t>
      </w:r>
      <w:r w:rsidR="00F81221">
        <w:rPr>
          <w:kern w:val="0"/>
          <w:szCs w:val="24"/>
        </w:rPr>
        <w:t xml:space="preserve"> and </w:t>
      </w:r>
      <w:r>
        <w:rPr>
          <w:kern w:val="0"/>
          <w:szCs w:val="24"/>
        </w:rPr>
        <w:t>parental views about children</w:t>
      </w:r>
      <w:r w:rsidR="000352E7">
        <w:rPr>
          <w:kern w:val="0"/>
          <w:szCs w:val="24"/>
        </w:rPr>
        <w:t>’</w:t>
      </w:r>
      <w:r>
        <w:rPr>
          <w:kern w:val="0"/>
          <w:szCs w:val="24"/>
        </w:rPr>
        <w:t>s exposure to environmental pollution (Dabrowska</w:t>
      </w:r>
      <w:r w:rsidR="00F81221">
        <w:rPr>
          <w:kern w:val="0"/>
          <w:szCs w:val="24"/>
        </w:rPr>
        <w:t xml:space="preserve"> and </w:t>
      </w:r>
      <w:r>
        <w:rPr>
          <w:kern w:val="0"/>
          <w:szCs w:val="24"/>
        </w:rPr>
        <w:t>Wismer 2010).</w:t>
      </w:r>
    </w:p>
    <w:p w:rsidR="000658CF" w:rsidRDefault="000658CF" w:rsidP="000658CF">
      <w:pPr>
        <w:pStyle w:val="a0"/>
        <w:rPr>
          <w:kern w:val="0"/>
          <w:szCs w:val="24"/>
        </w:rPr>
      </w:pPr>
      <w:r>
        <w:rPr>
          <w:kern w:val="0"/>
          <w:szCs w:val="24"/>
        </w:rPr>
        <w:t>Keywords: Bibliometric Analysis, Children, Health Conditions, Health Risk Management, Health Risks, Papers, Research, Risk Thinking, Screening</w:t>
      </w:r>
    </w:p>
    <w:p w:rsidR="00B95188" w:rsidRPr="00A428C3" w:rsidRDefault="00B95188" w:rsidP="00B95188">
      <w:pPr>
        <w:pStyle w:val="1"/>
      </w:pPr>
      <w:r w:rsidRPr="00A428C3">
        <w:br w:type="page"/>
      </w:r>
      <w:bookmarkStart w:id="520" w:name="_Toc186647762"/>
      <w:bookmarkStart w:id="521" w:name="_Toc317161000"/>
      <w:r w:rsidRPr="00A428C3">
        <w:lastRenderedPageBreak/>
        <w:t>Title: Health Services Research</w:t>
      </w:r>
      <w:bookmarkEnd w:id="520"/>
      <w:bookmarkEnd w:id="521"/>
    </w:p>
    <w:p w:rsidR="00B95188" w:rsidRPr="00A428C3" w:rsidRDefault="00B95188" w:rsidP="00B72EF9">
      <w:pPr>
        <w:pStyle w:val="12"/>
      </w:pPr>
      <w:r w:rsidRPr="00A428C3">
        <w:t xml:space="preserve">Full Journal Title: </w:t>
      </w:r>
      <w:hyperlink r:id="rId582" w:history="1">
        <w:r w:rsidRPr="00A428C3">
          <w:rPr>
            <w:rStyle w:val="a5"/>
          </w:rPr>
          <w:t>Health Services Research</w:t>
        </w:r>
      </w:hyperlink>
      <w:r w:rsidRPr="00A428C3">
        <w:t xml:space="preserve">; </w:t>
      </w:r>
      <w:hyperlink r:id="rId583" w:history="1">
        <w:r w:rsidRPr="00A428C3">
          <w:rPr>
            <w:rStyle w:val="a5"/>
          </w:rPr>
          <w:t>Health Services Research</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0017-9124</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Phillips, K.A., Morrison, K.R., Andersen, R.</w:t>
      </w:r>
      <w:r w:rsidR="00F81221">
        <w:t xml:space="preserve"> and </w:t>
      </w:r>
      <w:r w:rsidRPr="00A428C3">
        <w:t xml:space="preserve">Aday, </w:t>
      </w:r>
      <w:smartTag w:uri="urn:schemas-microsoft-com:office:smarttags" w:element="place">
        <w:smartTag w:uri="urn:schemas-microsoft-com:office:smarttags" w:element="City">
          <w:r w:rsidRPr="00A428C3">
            <w:t>L.A.</w:t>
          </w:r>
        </w:smartTag>
      </w:smartTag>
      <w:r w:rsidRPr="00A428C3">
        <w:t xml:space="preserve"> (1998), Understanding the context of healthcare utilization: Assessing environmental</w:t>
      </w:r>
      <w:r w:rsidR="00F81221">
        <w:t xml:space="preserve"> and </w:t>
      </w:r>
      <w:r w:rsidRPr="00A428C3">
        <w:t xml:space="preserve">provider-related variables in the behavioral model of utilization. </w:t>
      </w:r>
      <w:r w:rsidRPr="00A428C3">
        <w:rPr>
          <w:i/>
          <w:iCs/>
        </w:rPr>
        <w:t>Health Services Research</w:t>
      </w:r>
      <w:r w:rsidRPr="00A428C3">
        <w:t xml:space="preserve">, </w:t>
      </w:r>
      <w:r w:rsidRPr="00A428C3">
        <w:rPr>
          <w:b/>
        </w:rPr>
        <w:t>33</w:t>
      </w:r>
      <w:r w:rsidRPr="00A428C3">
        <w:t xml:space="preserve"> (3), 571-596.</w:t>
      </w:r>
    </w:p>
    <w:p w:rsidR="00B95188" w:rsidRPr="00A428C3" w:rsidRDefault="00B95188" w:rsidP="00B95188">
      <w:pPr>
        <w:pStyle w:val="a0"/>
      </w:pPr>
      <w:r w:rsidRPr="00A428C3">
        <w:t xml:space="preserve">Full Text: </w:t>
      </w:r>
      <w:r w:rsidR="009D326F" w:rsidRPr="00A428C3">
        <w:rPr>
          <w:iCs/>
        </w:rPr>
        <w:t>Hea Ser Res</w:t>
      </w:r>
      <w:r w:rsidR="009D326F" w:rsidRPr="00A428C3">
        <w:t>33, 571</w:t>
      </w:r>
      <w:r w:rsidR="009D326F">
        <w:rPr>
          <w:rFonts w:hint="eastAsia"/>
        </w:rPr>
        <w:t>.pdf</w:t>
      </w:r>
    </w:p>
    <w:p w:rsidR="00B95188" w:rsidRPr="00A428C3" w:rsidRDefault="00B95188" w:rsidP="00B95188">
      <w:pPr>
        <w:pStyle w:val="a0"/>
      </w:pPr>
      <w:r w:rsidRPr="00A428C3">
        <w:t>Abstract: Objective. The behavioral model of utilization, developed by Andersen, Aday,</w:t>
      </w:r>
      <w:r w:rsidR="00F81221">
        <w:t xml:space="preserve"> and </w:t>
      </w:r>
      <w:r w:rsidRPr="00A428C3">
        <w:t>others, is one of the most frequently used frameworks for analyzing the factors that are associated with patient utilization of healthcare services. However, the use of the model for examining the context within which utilization occurs-the role of the environment</w:t>
      </w:r>
      <w:r w:rsidR="00F81221">
        <w:t xml:space="preserve"> and </w:t>
      </w:r>
      <w:r w:rsidRPr="00A428C3">
        <w:t>provider-related factors-has been largely neglected. Objective: To conduct a systematic review</w:t>
      </w:r>
      <w:r w:rsidR="00F81221">
        <w:t xml:space="preserve"> and </w:t>
      </w:r>
      <w:r w:rsidRPr="00A428C3">
        <w:t>analysis to determine if studies of medical care utilization that have used the behavioral model during the last 20 years have included environmental</w:t>
      </w:r>
      <w:r w:rsidR="00F81221">
        <w:t xml:space="preserve"> and </w:t>
      </w:r>
      <w:r w:rsidRPr="00A428C3">
        <w:t>provider-related variables</w:t>
      </w:r>
      <w:r w:rsidR="00F81221">
        <w:t xml:space="preserve"> and </w:t>
      </w:r>
      <w:r w:rsidRPr="00A428C3">
        <w:t>the methods used to analyze these variables</w:t>
      </w:r>
      <w:r w:rsidR="00F81221">
        <w:t xml:space="preserve"> and </w:t>
      </w:r>
      <w:r w:rsidRPr="00A428C3">
        <w:t>potential solutions.</w:t>
      </w:r>
      <w:r w:rsidR="009D326F">
        <w:rPr>
          <w:rFonts w:hint="eastAsia"/>
        </w:rPr>
        <w:t xml:space="preserve"> </w:t>
      </w:r>
      <w:r w:rsidRPr="00A428C3">
        <w:t>Data Sources. The Social Science Citation Index</w:t>
      </w:r>
      <w:r w:rsidR="00F81221">
        <w:t xml:space="preserve"> and </w:t>
      </w:r>
      <w:r w:rsidRPr="00A428C3">
        <w:t>Science Citation Index. We included all articles from 1975-1995 that cited any of three key articles on the behavioral model, that included all articles that were empirical analyses</w:t>
      </w:r>
      <w:r w:rsidR="00F81221">
        <w:t xml:space="preserve"> and </w:t>
      </w:r>
      <w:r w:rsidRPr="00A428C3">
        <w:t>studies of formal medical care utilization,</w:t>
      </w:r>
      <w:r w:rsidR="00F81221">
        <w:t xml:space="preserve"> and </w:t>
      </w:r>
      <w:r w:rsidRPr="00A428C3">
        <w:t>articles that specifically stated their use of the behavioral model (n = 139).</w:t>
      </w:r>
      <w:r w:rsidR="009D326F">
        <w:rPr>
          <w:rFonts w:hint="eastAsia"/>
        </w:rPr>
        <w:t xml:space="preserve"> </w:t>
      </w:r>
      <w:r w:rsidRPr="00A428C3">
        <w:t>Study Design. Design was a systematic literature review.</w:t>
      </w:r>
      <w:r w:rsidR="009D326F">
        <w:rPr>
          <w:rFonts w:hint="eastAsia"/>
        </w:rPr>
        <w:t xml:space="preserve"> </w:t>
      </w:r>
      <w:r w:rsidRPr="00A428C3">
        <w:t>Data Analysis. We use a structured review process to code articles on whether they included contextual variables: (1) environmental variables (characteristics of the healthcare delivery system, external environment,</w:t>
      </w:r>
      <w:r w:rsidR="00F81221">
        <w:t xml:space="preserve"> and </w:t>
      </w:r>
      <w:r w:rsidRPr="00A428C3">
        <w:t>community-level enabling factors);</w:t>
      </w:r>
      <w:r w:rsidR="00F81221">
        <w:t xml:space="preserve"> and </w:t>
      </w:r>
      <w:r w:rsidRPr="00A428C3">
        <w:t>(2) provider-related variables (patient factors that may be influenced by providers</w:t>
      </w:r>
      <w:r w:rsidR="00F81221">
        <w:t xml:space="preserve"> and </w:t>
      </w:r>
      <w:r w:rsidRPr="00A428C3">
        <w:t>provider characteristics that interact with patient characteristics to influence utilization). We also examined the methods used in studies that included contextual variables.</w:t>
      </w:r>
      <w:r w:rsidR="009D326F">
        <w:rPr>
          <w:rFonts w:hint="eastAsia"/>
        </w:rPr>
        <w:t xml:space="preserve"> </w:t>
      </w:r>
      <w:r w:rsidRPr="00A428C3">
        <w:lastRenderedPageBreak/>
        <w:t>Principal Findings. Forty-five percent of the studies included environmental variables</w:t>
      </w:r>
      <w:r w:rsidR="00F81221">
        <w:t xml:space="preserve"> and </w:t>
      </w:r>
      <w:r w:rsidRPr="00A428C3">
        <w:t>50 percent included provider-related variables. Few studies examined specific measures of the healthcare system or provider characteristics or used methods other than simple regression analysis with hierarchical entry of variables. Only 14 percent of studies analyzed the context of healthcare by including both environmental</w:t>
      </w:r>
      <w:r w:rsidR="00F81221">
        <w:t xml:space="preserve"> and </w:t>
      </w:r>
      <w:r w:rsidRPr="00A428C3">
        <w:t>provider-related variables as well as using relevant methods.</w:t>
      </w:r>
    </w:p>
    <w:p w:rsidR="00B95188" w:rsidRPr="00A428C3" w:rsidRDefault="00B95188" w:rsidP="00B95188">
      <w:pPr>
        <w:pStyle w:val="a0"/>
      </w:pPr>
      <w:r w:rsidRPr="00A428C3">
        <w:t>Keywords: Utilization Behavior, Behavioral Model, Context of Healthcare Utilization, Methods, National Insured Population, Medical-Care, Physician Utilization, United-States, Services, Access, Women, Multivariate, Patterns, Matter</w:t>
      </w:r>
    </w:p>
    <w:p w:rsidR="00340957" w:rsidRPr="00A428C3" w:rsidRDefault="00340957" w:rsidP="00340957">
      <w:pPr>
        <w:pStyle w:val="a0"/>
      </w:pPr>
      <w:r w:rsidRPr="00A428C3">
        <w:t>Clancy, C.</w:t>
      </w:r>
      <w:r w:rsidR="00F81221">
        <w:t xml:space="preserve"> and </w:t>
      </w:r>
      <w:r w:rsidRPr="00A428C3">
        <w:t xml:space="preserve">Simpson, L. (1998), Looking forward to impact: Moving beyond serendipity. </w:t>
      </w:r>
      <w:r w:rsidRPr="00A428C3">
        <w:rPr>
          <w:i/>
          <w:iCs/>
        </w:rPr>
        <w:t>Health Services Research</w:t>
      </w:r>
      <w:r w:rsidRPr="00A428C3">
        <w:t xml:space="preserve">, </w:t>
      </w:r>
      <w:r w:rsidRPr="00A428C3">
        <w:rPr>
          <w:b/>
        </w:rPr>
        <w:t>37</w:t>
      </w:r>
      <w:r w:rsidRPr="00A428C3">
        <w:t xml:space="preserve"> (4), xiv-xxiii.</w:t>
      </w:r>
    </w:p>
    <w:p w:rsidR="00340957" w:rsidRDefault="00340957" w:rsidP="00340957">
      <w:pPr>
        <w:pStyle w:val="a0"/>
      </w:pPr>
      <w:r w:rsidRPr="00A428C3">
        <w:t xml:space="preserve">Full Text: </w:t>
      </w:r>
      <w:hyperlink r:id="rId584" w:history="1">
        <w:r w:rsidRPr="00A428C3">
          <w:rPr>
            <w:rStyle w:val="a5"/>
          </w:rPr>
          <w:t>H\Hea Ser Res37, xiv.pdf</w:t>
        </w:r>
      </w:hyperlink>
    </w:p>
    <w:p w:rsidR="00340957" w:rsidRPr="00A428C3" w:rsidRDefault="00340957" w:rsidP="00340957">
      <w:pPr>
        <w:pStyle w:val="a0"/>
      </w:pPr>
      <w:r>
        <w:rPr>
          <w:rFonts w:hint="eastAsia"/>
        </w:rPr>
        <w:t xml:space="preserve">? </w:t>
      </w:r>
      <w:r w:rsidRPr="00F25CAE">
        <w:rPr>
          <w:kern w:val="0"/>
          <w:szCs w:val="24"/>
        </w:rPr>
        <w:t>Cooper</w:t>
      </w:r>
      <w:r>
        <w:rPr>
          <w:kern w:val="0"/>
          <w:szCs w:val="24"/>
        </w:rPr>
        <w:t xml:space="preserve">, </w:t>
      </w:r>
      <w:r w:rsidRPr="00F25CAE">
        <w:rPr>
          <w:kern w:val="0"/>
          <w:szCs w:val="24"/>
        </w:rPr>
        <w:t>R</w:t>
      </w:r>
      <w:r>
        <w:rPr>
          <w:rFonts w:hint="eastAsia"/>
          <w:kern w:val="0"/>
          <w:szCs w:val="24"/>
        </w:rPr>
        <w:t>.</w:t>
      </w:r>
      <w:r w:rsidRPr="00F25CAE">
        <w:rPr>
          <w:kern w:val="0"/>
          <w:szCs w:val="24"/>
        </w:rPr>
        <w:t>A</w:t>
      </w:r>
      <w:r>
        <w:rPr>
          <w:rFonts w:hint="eastAsia"/>
          <w:kern w:val="0"/>
          <w:szCs w:val="24"/>
        </w:rPr>
        <w:t>.,</w:t>
      </w:r>
      <w:r w:rsidRPr="00F25CAE">
        <w:rPr>
          <w:kern w:val="0"/>
          <w:szCs w:val="24"/>
        </w:rPr>
        <w:t xml:space="preserve"> Getzen</w:t>
      </w:r>
      <w:r>
        <w:rPr>
          <w:kern w:val="0"/>
          <w:szCs w:val="24"/>
        </w:rPr>
        <w:t xml:space="preserve">, </w:t>
      </w:r>
      <w:r w:rsidRPr="00F25CAE">
        <w:rPr>
          <w:kern w:val="0"/>
          <w:szCs w:val="24"/>
        </w:rPr>
        <w:t>T</w:t>
      </w:r>
      <w:r>
        <w:rPr>
          <w:rFonts w:hint="eastAsia"/>
          <w:kern w:val="0"/>
          <w:szCs w:val="24"/>
        </w:rPr>
        <w:t>.</w:t>
      </w:r>
      <w:r w:rsidRPr="00F25CAE">
        <w:rPr>
          <w:kern w:val="0"/>
          <w:szCs w:val="24"/>
        </w:rPr>
        <w:t>E</w:t>
      </w:r>
      <w:r>
        <w:rPr>
          <w:rFonts w:hint="eastAsia"/>
          <w:kern w:val="0"/>
          <w:szCs w:val="24"/>
        </w:rPr>
        <w:t>.</w:t>
      </w:r>
      <w:r w:rsidR="00F81221">
        <w:rPr>
          <w:rFonts w:hint="eastAsia"/>
          <w:kern w:val="0"/>
          <w:szCs w:val="24"/>
        </w:rPr>
        <w:t xml:space="preserve"> and </w:t>
      </w:r>
      <w:r w:rsidRPr="00F25CAE">
        <w:rPr>
          <w:kern w:val="0"/>
          <w:szCs w:val="24"/>
        </w:rPr>
        <w:t>Laud</w:t>
      </w:r>
      <w:r>
        <w:rPr>
          <w:kern w:val="0"/>
          <w:szCs w:val="24"/>
        </w:rPr>
        <w:t xml:space="preserve">, </w:t>
      </w:r>
      <w:r w:rsidRPr="00F25CAE">
        <w:rPr>
          <w:kern w:val="0"/>
          <w:szCs w:val="24"/>
        </w:rPr>
        <w:t>P.</w:t>
      </w:r>
      <w:r w:rsidRPr="00A428C3">
        <w:t xml:space="preserve"> (</w:t>
      </w:r>
      <w:r>
        <w:rPr>
          <w:rFonts w:hint="eastAsia"/>
        </w:rPr>
        <w:t>2003</w:t>
      </w:r>
      <w:r w:rsidRPr="00A428C3">
        <w:t xml:space="preserve">), </w:t>
      </w:r>
      <w:r w:rsidRPr="00F25CAE">
        <w:rPr>
          <w:kern w:val="0"/>
          <w:szCs w:val="24"/>
        </w:rPr>
        <w:t>Economic expansion is a major determinant of physician supply</w:t>
      </w:r>
      <w:r w:rsidR="00F81221">
        <w:rPr>
          <w:kern w:val="0"/>
          <w:szCs w:val="24"/>
        </w:rPr>
        <w:t xml:space="preserve"> and </w:t>
      </w:r>
      <w:r w:rsidRPr="00F25CAE">
        <w:rPr>
          <w:kern w:val="0"/>
          <w:szCs w:val="24"/>
        </w:rPr>
        <w:t>utilization</w:t>
      </w:r>
      <w:r w:rsidRPr="00A428C3">
        <w:t xml:space="preserve">. </w:t>
      </w:r>
      <w:r w:rsidRPr="00A428C3">
        <w:rPr>
          <w:i/>
          <w:iCs/>
        </w:rPr>
        <w:t>Health Services Research</w:t>
      </w:r>
      <w:r w:rsidRPr="00A428C3">
        <w:t xml:space="preserve">, </w:t>
      </w:r>
      <w:r w:rsidRPr="00A428C3">
        <w:rPr>
          <w:b/>
        </w:rPr>
        <w:t>3</w:t>
      </w:r>
      <w:r>
        <w:rPr>
          <w:rFonts w:hint="eastAsia"/>
          <w:b/>
        </w:rPr>
        <w:t>8</w:t>
      </w:r>
      <w:r w:rsidRPr="00A428C3">
        <w:t xml:space="preserve"> (</w:t>
      </w:r>
      <w:r>
        <w:rPr>
          <w:rFonts w:hint="eastAsia"/>
        </w:rPr>
        <w:t>2</w:t>
      </w:r>
      <w:r w:rsidRPr="00A428C3">
        <w:t xml:space="preserve">), </w:t>
      </w:r>
      <w:r w:rsidRPr="00F25CAE">
        <w:rPr>
          <w:kern w:val="0"/>
          <w:szCs w:val="24"/>
        </w:rPr>
        <w:t>675-696</w:t>
      </w:r>
      <w:r w:rsidRPr="00A428C3">
        <w:t>.</w:t>
      </w:r>
    </w:p>
    <w:p w:rsidR="00340957" w:rsidRDefault="00340957" w:rsidP="00340957">
      <w:pPr>
        <w:pStyle w:val="a0"/>
      </w:pPr>
      <w:r w:rsidRPr="00A428C3">
        <w:t xml:space="preserve">Full Text: </w:t>
      </w:r>
      <w:hyperlink r:id="rId585" w:history="1">
        <w:r w:rsidRPr="00340957">
          <w:rPr>
            <w:rStyle w:val="a5"/>
          </w:rPr>
          <w:t>2003\Hea Ser Res38, 675.pdf</w:t>
        </w:r>
      </w:hyperlink>
    </w:p>
    <w:p w:rsidR="00340957" w:rsidRDefault="00340957" w:rsidP="00340957">
      <w:pPr>
        <w:pStyle w:val="a0"/>
        <w:rPr>
          <w:kern w:val="0"/>
          <w:szCs w:val="24"/>
        </w:rPr>
      </w:pPr>
      <w:r w:rsidRPr="00F25CAE">
        <w:rPr>
          <w:kern w:val="0"/>
          <w:szCs w:val="24"/>
        </w:rPr>
        <w:t>Abstract: Objective. To assess the relationship between levels of economic development</w:t>
      </w:r>
      <w:r w:rsidR="00F81221">
        <w:rPr>
          <w:kern w:val="0"/>
          <w:szCs w:val="24"/>
        </w:rPr>
        <w:t xml:space="preserve"> and </w:t>
      </w:r>
      <w:r w:rsidRPr="00F25CAE">
        <w:rPr>
          <w:kern w:val="0"/>
          <w:szCs w:val="24"/>
        </w:rPr>
        <w:t>the supply</w:t>
      </w:r>
      <w:r w:rsidR="00F81221">
        <w:rPr>
          <w:kern w:val="0"/>
          <w:szCs w:val="24"/>
        </w:rPr>
        <w:t xml:space="preserve"> and </w:t>
      </w:r>
      <w:r w:rsidRPr="00F25CAE">
        <w:rPr>
          <w:kern w:val="0"/>
          <w:szCs w:val="24"/>
        </w:rPr>
        <w:t>utilization of physicians.</w:t>
      </w:r>
      <w:r>
        <w:rPr>
          <w:rFonts w:hint="eastAsia"/>
          <w:kern w:val="0"/>
          <w:szCs w:val="24"/>
        </w:rPr>
        <w:t xml:space="preserve"> </w:t>
      </w:r>
      <w:r w:rsidRPr="00F25CAE">
        <w:rPr>
          <w:kern w:val="0"/>
          <w:szCs w:val="24"/>
        </w:rPr>
        <w:t>Data Sources Data were obtained from the American Medical Association</w:t>
      </w:r>
      <w:r>
        <w:rPr>
          <w:kern w:val="0"/>
          <w:szCs w:val="24"/>
        </w:rPr>
        <w:t xml:space="preserve">, </w:t>
      </w:r>
      <w:r w:rsidRPr="00F25CAE">
        <w:rPr>
          <w:kern w:val="0"/>
          <w:szCs w:val="24"/>
        </w:rPr>
        <w:t>American Osteopathic Association</w:t>
      </w:r>
      <w:r>
        <w:rPr>
          <w:kern w:val="0"/>
          <w:szCs w:val="24"/>
        </w:rPr>
        <w:t xml:space="preserve">, </w:t>
      </w:r>
      <w:r w:rsidRPr="00F25CAE">
        <w:rPr>
          <w:kern w:val="0"/>
          <w:szCs w:val="24"/>
        </w:rPr>
        <w:t>Organization for Economic Cooperation</w:t>
      </w:r>
      <w:r w:rsidR="00F81221">
        <w:rPr>
          <w:kern w:val="0"/>
          <w:szCs w:val="24"/>
        </w:rPr>
        <w:t xml:space="preserve"> and </w:t>
      </w:r>
      <w:r w:rsidRPr="00F25CAE">
        <w:rPr>
          <w:kern w:val="0"/>
          <w:szCs w:val="24"/>
        </w:rPr>
        <w:t>Development (OECD)</w:t>
      </w:r>
      <w:r>
        <w:rPr>
          <w:kern w:val="0"/>
          <w:szCs w:val="24"/>
        </w:rPr>
        <w:t xml:space="preserve">, </w:t>
      </w:r>
      <w:r w:rsidRPr="00F25CAE">
        <w:rPr>
          <w:kern w:val="0"/>
          <w:szCs w:val="24"/>
        </w:rPr>
        <w:t>Bureau of Health Professions</w:t>
      </w:r>
      <w:r>
        <w:rPr>
          <w:kern w:val="0"/>
          <w:szCs w:val="24"/>
        </w:rPr>
        <w:t xml:space="preserve">, </w:t>
      </w:r>
      <w:r w:rsidRPr="00F25CAE">
        <w:rPr>
          <w:kern w:val="0"/>
          <w:szCs w:val="24"/>
        </w:rPr>
        <w:t>Bureau of Labor Statistics</w:t>
      </w:r>
      <w:r>
        <w:rPr>
          <w:kern w:val="0"/>
          <w:szCs w:val="24"/>
        </w:rPr>
        <w:t xml:space="preserve">, </w:t>
      </w:r>
      <w:r w:rsidRPr="00F25CAE">
        <w:rPr>
          <w:kern w:val="0"/>
          <w:szCs w:val="24"/>
        </w:rPr>
        <w:t>Bureau of Economic Analysis</w:t>
      </w:r>
      <w:r>
        <w:rPr>
          <w:kern w:val="0"/>
          <w:szCs w:val="24"/>
        </w:rPr>
        <w:t xml:space="preserve">, </w:t>
      </w:r>
      <w:r w:rsidRPr="00F25CAE">
        <w:rPr>
          <w:kern w:val="0"/>
          <w:szCs w:val="24"/>
        </w:rPr>
        <w:t>Census Bureau</w:t>
      </w:r>
      <w:r>
        <w:rPr>
          <w:kern w:val="0"/>
          <w:szCs w:val="24"/>
        </w:rPr>
        <w:t xml:space="preserve">, </w:t>
      </w:r>
      <w:r w:rsidRPr="00F25CAE">
        <w:rPr>
          <w:kern w:val="0"/>
          <w:szCs w:val="24"/>
        </w:rPr>
        <w:t>Health Care Financing Administration</w:t>
      </w:r>
      <w:r>
        <w:rPr>
          <w:kern w:val="0"/>
          <w:szCs w:val="24"/>
        </w:rPr>
        <w:t>,</w:t>
      </w:r>
      <w:r w:rsidR="00F81221">
        <w:rPr>
          <w:kern w:val="0"/>
          <w:szCs w:val="24"/>
        </w:rPr>
        <w:t xml:space="preserve"> and </w:t>
      </w:r>
      <w:r w:rsidRPr="00F25CAE">
        <w:rPr>
          <w:kern w:val="0"/>
          <w:szCs w:val="24"/>
        </w:rPr>
        <w:t>historical sources.</w:t>
      </w:r>
      <w:r>
        <w:rPr>
          <w:rFonts w:hint="eastAsia"/>
          <w:kern w:val="0"/>
          <w:szCs w:val="24"/>
        </w:rPr>
        <w:t xml:space="preserve"> </w:t>
      </w:r>
      <w:r w:rsidRPr="00F25CAE">
        <w:rPr>
          <w:kern w:val="0"/>
          <w:szCs w:val="24"/>
        </w:rPr>
        <w:t>Study Design. Economic development</w:t>
      </w:r>
      <w:r>
        <w:rPr>
          <w:kern w:val="0"/>
          <w:szCs w:val="24"/>
        </w:rPr>
        <w:t xml:space="preserve">, </w:t>
      </w:r>
      <w:r w:rsidRPr="00F25CAE">
        <w:rPr>
          <w:kern w:val="0"/>
          <w:szCs w:val="24"/>
        </w:rPr>
        <w:t>expressed as real per capita gross domestic product (GDP) or personal income</w:t>
      </w:r>
      <w:r>
        <w:rPr>
          <w:kern w:val="0"/>
          <w:szCs w:val="24"/>
        </w:rPr>
        <w:t xml:space="preserve">, </w:t>
      </w:r>
      <w:r w:rsidRPr="00F25CAE">
        <w:rPr>
          <w:kern w:val="0"/>
          <w:szCs w:val="24"/>
        </w:rPr>
        <w:t>was correlated with per capita health care labor</w:t>
      </w:r>
      <w:r w:rsidR="00F81221">
        <w:rPr>
          <w:kern w:val="0"/>
          <w:szCs w:val="24"/>
        </w:rPr>
        <w:t xml:space="preserve"> and </w:t>
      </w:r>
      <w:r w:rsidRPr="00F25CAE">
        <w:rPr>
          <w:kern w:val="0"/>
          <w:szCs w:val="24"/>
        </w:rPr>
        <w:t>physician supply within countries</w:t>
      </w:r>
      <w:r w:rsidR="00F81221">
        <w:rPr>
          <w:kern w:val="0"/>
          <w:szCs w:val="24"/>
        </w:rPr>
        <w:t xml:space="preserve"> and </w:t>
      </w:r>
      <w:r w:rsidRPr="00F25CAE">
        <w:rPr>
          <w:kern w:val="0"/>
          <w:szCs w:val="24"/>
        </w:rPr>
        <w:t>states over periods of time spanning 25-70 years</w:t>
      </w:r>
      <w:r w:rsidR="00F81221">
        <w:rPr>
          <w:kern w:val="0"/>
          <w:szCs w:val="24"/>
        </w:rPr>
        <w:t xml:space="preserve"> and </w:t>
      </w:r>
      <w:r w:rsidRPr="00F25CAE">
        <w:rPr>
          <w:kern w:val="0"/>
          <w:szCs w:val="24"/>
        </w:rPr>
        <w:t>across countries</w:t>
      </w:r>
      <w:r>
        <w:rPr>
          <w:kern w:val="0"/>
          <w:szCs w:val="24"/>
        </w:rPr>
        <w:t xml:space="preserve">, </w:t>
      </w:r>
      <w:r w:rsidRPr="00F25CAE">
        <w:rPr>
          <w:kern w:val="0"/>
          <w:szCs w:val="24"/>
        </w:rPr>
        <w:t>states</w:t>
      </w:r>
      <w:r>
        <w:rPr>
          <w:kern w:val="0"/>
          <w:szCs w:val="24"/>
        </w:rPr>
        <w:t>,</w:t>
      </w:r>
      <w:r w:rsidR="00F81221">
        <w:rPr>
          <w:kern w:val="0"/>
          <w:szCs w:val="24"/>
        </w:rPr>
        <w:t xml:space="preserve"> and </w:t>
      </w:r>
      <w:r w:rsidRPr="00F25CAE">
        <w:rPr>
          <w:kern w:val="0"/>
          <w:szCs w:val="24"/>
        </w:rPr>
        <w:t>metropolitan statistical areas (MSAs) at multiple points in time over periods of up to 30 years. Longitudinal data were analyzed in four complementary ways: (1) simple univariate regressions; (2) regressions in which temporal trends were partialled out; (3) time series comparing percentage differences across segments of time;</w:t>
      </w:r>
      <w:r w:rsidR="00F81221">
        <w:rPr>
          <w:kern w:val="0"/>
          <w:szCs w:val="24"/>
        </w:rPr>
        <w:t xml:space="preserve"> and </w:t>
      </w:r>
      <w:r w:rsidRPr="00F25CAE">
        <w:rPr>
          <w:kern w:val="0"/>
          <w:szCs w:val="24"/>
        </w:rPr>
        <w:t>(4) a bivariate Granger causality test. Cross-sectional data were assessed at multiple time points by means of univariate regression analyses.</w:t>
      </w:r>
      <w:r w:rsidRPr="00F25CAE">
        <w:rPr>
          <w:kern w:val="0"/>
          <w:szCs w:val="24"/>
        </w:rPr>
        <w:br/>
        <w:t>Principal Findings. Under each analytic scenario; physician supply correlated with differences in GDP or personal income. Longitudinal correlations were associated with temporal lags of approximately 5 years for health employment</w:t>
      </w:r>
      <w:r w:rsidR="00F81221">
        <w:rPr>
          <w:kern w:val="0"/>
          <w:szCs w:val="24"/>
        </w:rPr>
        <w:t xml:space="preserve"> and </w:t>
      </w:r>
      <w:r w:rsidRPr="00F25CAE">
        <w:rPr>
          <w:kern w:val="0"/>
          <w:szCs w:val="24"/>
        </w:rPr>
        <w:t>10 years for changes in physician supply. The magnitude of changes in per capita physician supply in the United States was equivalent to differences of approximately 0.75 percent for each 1.0 percent difference in GDP. The greatest effects of economic expansion were on the medical specialties</w:t>
      </w:r>
      <w:r>
        <w:rPr>
          <w:kern w:val="0"/>
          <w:szCs w:val="24"/>
        </w:rPr>
        <w:t xml:space="preserve">, </w:t>
      </w:r>
      <w:r w:rsidRPr="00F25CAE">
        <w:rPr>
          <w:kern w:val="0"/>
          <w:szCs w:val="24"/>
        </w:rPr>
        <w:t>whereas the surgical</w:t>
      </w:r>
      <w:r w:rsidR="00F81221">
        <w:rPr>
          <w:kern w:val="0"/>
          <w:szCs w:val="24"/>
        </w:rPr>
        <w:t xml:space="preserve"> and </w:t>
      </w:r>
      <w:r w:rsidRPr="00F25CAE">
        <w:rPr>
          <w:kern w:val="0"/>
          <w:szCs w:val="24"/>
        </w:rPr>
        <w:t>hospital-based specialties were affected to a lesser degree</w:t>
      </w:r>
      <w:r>
        <w:rPr>
          <w:kern w:val="0"/>
          <w:szCs w:val="24"/>
        </w:rPr>
        <w:t>,</w:t>
      </w:r>
      <w:r w:rsidR="00F81221">
        <w:rPr>
          <w:kern w:val="0"/>
          <w:szCs w:val="24"/>
        </w:rPr>
        <w:t xml:space="preserve"> and </w:t>
      </w:r>
      <w:r w:rsidRPr="00F25CAE">
        <w:rPr>
          <w:kern w:val="0"/>
          <w:szCs w:val="24"/>
        </w:rPr>
        <w:t xml:space="preserve">levels of economic expansion had </w:t>
      </w:r>
      <w:r w:rsidRPr="00F25CAE">
        <w:rPr>
          <w:kern w:val="0"/>
          <w:szCs w:val="24"/>
        </w:rPr>
        <w:lastRenderedPageBreak/>
        <w:t>little influence on family/general practice.</w:t>
      </w:r>
      <w:r>
        <w:rPr>
          <w:rFonts w:hint="eastAsia"/>
          <w:kern w:val="0"/>
          <w:szCs w:val="24"/>
        </w:rPr>
        <w:t xml:space="preserve"> </w:t>
      </w:r>
      <w:r w:rsidRPr="00F25CAE">
        <w:rPr>
          <w:kern w:val="0"/>
          <w:szCs w:val="24"/>
        </w:rPr>
        <w:t>Conclusions. Economic expansion has a strong</w:t>
      </w:r>
      <w:r>
        <w:rPr>
          <w:kern w:val="0"/>
          <w:szCs w:val="24"/>
        </w:rPr>
        <w:t xml:space="preserve">, </w:t>
      </w:r>
      <w:r w:rsidRPr="00F25CAE">
        <w:rPr>
          <w:kern w:val="0"/>
          <w:szCs w:val="24"/>
        </w:rPr>
        <w:t>lagged relationship with changes in physician supply. This suggests that economic projections could serve as a gauge for projecting the future utilization of physician services.</w:t>
      </w:r>
    </w:p>
    <w:p w:rsidR="00340957" w:rsidRDefault="00340957" w:rsidP="00340957">
      <w:pPr>
        <w:pStyle w:val="a0"/>
      </w:pPr>
      <w:r w:rsidRPr="00F25CAE">
        <w:rPr>
          <w:kern w:val="0"/>
          <w:szCs w:val="24"/>
        </w:rPr>
        <w:t>Keywords: Physician Supply</w:t>
      </w:r>
      <w:r>
        <w:rPr>
          <w:kern w:val="0"/>
          <w:szCs w:val="24"/>
        </w:rPr>
        <w:t>,</w:t>
      </w:r>
      <w:r w:rsidRPr="00F25CAE">
        <w:rPr>
          <w:kern w:val="0"/>
          <w:szCs w:val="24"/>
        </w:rPr>
        <w:t xml:space="preserve"> Health Care Expenditures</w:t>
      </w:r>
      <w:r>
        <w:rPr>
          <w:kern w:val="0"/>
          <w:szCs w:val="24"/>
        </w:rPr>
        <w:t>,</w:t>
      </w:r>
      <w:r w:rsidRPr="00F25CAE">
        <w:rPr>
          <w:kern w:val="0"/>
          <w:szCs w:val="24"/>
        </w:rPr>
        <w:t xml:space="preserve"> Health Care Labor Force</w:t>
      </w:r>
      <w:r>
        <w:rPr>
          <w:kern w:val="0"/>
          <w:szCs w:val="24"/>
        </w:rPr>
        <w:t xml:space="preserve">, </w:t>
      </w:r>
      <w:r w:rsidRPr="00F25CAE">
        <w:rPr>
          <w:kern w:val="0"/>
          <w:szCs w:val="24"/>
        </w:rPr>
        <w:t>Health-Care</w:t>
      </w:r>
      <w:r>
        <w:rPr>
          <w:kern w:val="0"/>
          <w:szCs w:val="24"/>
        </w:rPr>
        <w:t>,</w:t>
      </w:r>
      <w:r w:rsidRPr="00F25CAE">
        <w:rPr>
          <w:kern w:val="0"/>
          <w:szCs w:val="24"/>
        </w:rPr>
        <w:t xml:space="preserve"> United-States</w:t>
      </w:r>
      <w:r>
        <w:rPr>
          <w:kern w:val="0"/>
          <w:szCs w:val="24"/>
        </w:rPr>
        <w:t>,</w:t>
      </w:r>
      <w:r w:rsidRPr="00F25CAE">
        <w:rPr>
          <w:kern w:val="0"/>
          <w:szCs w:val="24"/>
        </w:rPr>
        <w:t xml:space="preserve"> Nonphysician Clinician</w:t>
      </w:r>
      <w:r>
        <w:rPr>
          <w:kern w:val="0"/>
          <w:szCs w:val="24"/>
        </w:rPr>
        <w:t>,</w:t>
      </w:r>
      <w:r w:rsidRPr="00F25CAE">
        <w:rPr>
          <w:kern w:val="0"/>
          <w:szCs w:val="24"/>
        </w:rPr>
        <w:t xml:space="preserve"> Workforce</w:t>
      </w:r>
      <w:r>
        <w:rPr>
          <w:kern w:val="0"/>
          <w:szCs w:val="24"/>
        </w:rPr>
        <w:t>,</w:t>
      </w:r>
      <w:r w:rsidRPr="00F25CAE">
        <w:rPr>
          <w:kern w:val="0"/>
          <w:szCs w:val="24"/>
        </w:rPr>
        <w:t xml:space="preserve"> Shortage</w:t>
      </w:r>
      <w:r>
        <w:rPr>
          <w:kern w:val="0"/>
          <w:szCs w:val="24"/>
        </w:rPr>
        <w:t>,</w:t>
      </w:r>
      <w:r w:rsidRPr="00F25CAE">
        <w:rPr>
          <w:kern w:val="0"/>
          <w:szCs w:val="24"/>
        </w:rPr>
        <w:t xml:space="preserve"> Services</w:t>
      </w:r>
      <w:r>
        <w:rPr>
          <w:kern w:val="0"/>
          <w:szCs w:val="24"/>
        </w:rPr>
        <w:t>,</w:t>
      </w:r>
      <w:r w:rsidRPr="00F25CAE">
        <w:rPr>
          <w:kern w:val="0"/>
          <w:szCs w:val="24"/>
        </w:rPr>
        <w:t xml:space="preserve"> Reform</w:t>
      </w:r>
    </w:p>
    <w:p w:rsidR="004A46B8" w:rsidRPr="001A3D2B" w:rsidRDefault="004A46B8" w:rsidP="004A46B8">
      <w:pPr>
        <w:pStyle w:val="1"/>
      </w:pPr>
      <w:r w:rsidRPr="001A3D2B">
        <w:br w:type="page"/>
      </w:r>
      <w:bookmarkStart w:id="522" w:name="_Toc317161001"/>
      <w:r w:rsidRPr="001A3D2B">
        <w:lastRenderedPageBreak/>
        <w:t xml:space="preserve">Title: </w:t>
      </w:r>
      <w:r w:rsidRPr="0000718D">
        <w:rPr>
          <w:iCs/>
        </w:rPr>
        <w:t>Health &amp; Social Care in the Community</w:t>
      </w:r>
      <w:bookmarkEnd w:id="522"/>
    </w:p>
    <w:p w:rsidR="004A46B8" w:rsidRPr="001A3D2B" w:rsidRDefault="004A46B8" w:rsidP="004A46B8">
      <w:pPr>
        <w:pStyle w:val="12"/>
      </w:pPr>
      <w:r w:rsidRPr="001A3D2B">
        <w:t xml:space="preserve">Full Journal Title: </w:t>
      </w:r>
      <w:r w:rsidRPr="0000718D">
        <w:rPr>
          <w:iCs/>
        </w:rPr>
        <w:t>Health &amp; Social Care in the Community</w:t>
      </w:r>
    </w:p>
    <w:p w:rsidR="004A46B8" w:rsidRPr="001A3D2B" w:rsidRDefault="004A46B8" w:rsidP="004A46B8">
      <w:pPr>
        <w:pStyle w:val="12"/>
      </w:pPr>
      <w:r w:rsidRPr="001A3D2B">
        <w:t xml:space="preserve">ISO Abbreviated Title: </w:t>
      </w:r>
    </w:p>
    <w:p w:rsidR="004A46B8" w:rsidRPr="001A3D2B" w:rsidRDefault="004A46B8" w:rsidP="004A46B8">
      <w:pPr>
        <w:pStyle w:val="12"/>
      </w:pPr>
      <w:r w:rsidRPr="001A3D2B">
        <w:t xml:space="preserve">JCR Abbreviated Title: </w:t>
      </w:r>
    </w:p>
    <w:p w:rsidR="004A46B8" w:rsidRPr="001A3D2B" w:rsidRDefault="004A46B8" w:rsidP="004A46B8">
      <w:pPr>
        <w:pStyle w:val="12"/>
      </w:pPr>
      <w:r w:rsidRPr="001A3D2B">
        <w:t xml:space="preserve">ISSN: </w:t>
      </w:r>
    </w:p>
    <w:p w:rsidR="004A46B8" w:rsidRPr="001A3D2B" w:rsidRDefault="004A46B8" w:rsidP="004A46B8">
      <w:pPr>
        <w:pStyle w:val="12"/>
      </w:pPr>
      <w:r w:rsidRPr="001A3D2B">
        <w:t xml:space="preserve">Issues/Year: </w:t>
      </w:r>
    </w:p>
    <w:p w:rsidR="004A46B8" w:rsidRPr="001A3D2B" w:rsidRDefault="004A46B8" w:rsidP="004A46B8">
      <w:pPr>
        <w:pStyle w:val="12"/>
      </w:pPr>
      <w:r w:rsidRPr="001A3D2B">
        <w:t xml:space="preserve">Journal Country/Territory: </w:t>
      </w:r>
    </w:p>
    <w:p w:rsidR="004A46B8" w:rsidRPr="001A3D2B" w:rsidRDefault="004A46B8" w:rsidP="004A46B8">
      <w:pPr>
        <w:pStyle w:val="12"/>
      </w:pPr>
      <w:r w:rsidRPr="001A3D2B">
        <w:t xml:space="preserve">Language: </w:t>
      </w:r>
    </w:p>
    <w:p w:rsidR="004A46B8" w:rsidRPr="001A3D2B" w:rsidRDefault="004A46B8" w:rsidP="004A46B8">
      <w:pPr>
        <w:pStyle w:val="12"/>
      </w:pPr>
      <w:r w:rsidRPr="001A3D2B">
        <w:t xml:space="preserve">Publisher: </w:t>
      </w:r>
    </w:p>
    <w:p w:rsidR="004A46B8" w:rsidRPr="001A3D2B" w:rsidRDefault="004A46B8" w:rsidP="004A46B8">
      <w:pPr>
        <w:pStyle w:val="12"/>
      </w:pPr>
      <w:r w:rsidRPr="001A3D2B">
        <w:t xml:space="preserve">Publisher Address: </w:t>
      </w:r>
    </w:p>
    <w:p w:rsidR="004A46B8" w:rsidRPr="001A3D2B" w:rsidRDefault="004A46B8" w:rsidP="004A46B8">
      <w:pPr>
        <w:pStyle w:val="12"/>
      </w:pPr>
      <w:r w:rsidRPr="001A3D2B">
        <w:t>Subject Categories:</w:t>
      </w:r>
    </w:p>
    <w:p w:rsidR="004A46B8" w:rsidRPr="001A3D2B" w:rsidRDefault="004A46B8" w:rsidP="004A46B8">
      <w:pPr>
        <w:pStyle w:val="12"/>
      </w:pPr>
      <w:r w:rsidRPr="001A3D2B">
        <w:t xml:space="preserve">: Impact Factor </w:t>
      </w:r>
    </w:p>
    <w:p w:rsidR="004A46B8" w:rsidRDefault="004A46B8" w:rsidP="004A46B8">
      <w:pPr>
        <w:pStyle w:val="a0"/>
        <w:rPr>
          <w:kern w:val="0"/>
        </w:rPr>
      </w:pPr>
      <w:r>
        <w:rPr>
          <w:rFonts w:hint="eastAsia"/>
          <w:kern w:val="0"/>
        </w:rPr>
        <w:t xml:space="preserve">? </w:t>
      </w:r>
      <w:r>
        <w:rPr>
          <w:kern w:val="0"/>
        </w:rPr>
        <w:t>Robertson, J., Hatton, C., Wells, E., Collins, M., Langer, S., Welch, V.</w:t>
      </w:r>
      <w:r w:rsidR="00F81221">
        <w:rPr>
          <w:kern w:val="0"/>
        </w:rPr>
        <w:t xml:space="preserve"> and </w:t>
      </w:r>
      <w:r>
        <w:rPr>
          <w:kern w:val="0"/>
        </w:rPr>
        <w:t xml:space="preserve">Emerson, E. (2011), The impacts of short break provision on families with a disabled child: An international literature review. </w:t>
      </w:r>
      <w:r w:rsidRPr="0000718D">
        <w:rPr>
          <w:i/>
          <w:iCs/>
          <w:kern w:val="0"/>
        </w:rPr>
        <w:t>Health &amp; Social Care in the Community</w:t>
      </w:r>
      <w:r>
        <w:rPr>
          <w:kern w:val="0"/>
        </w:rPr>
        <w:t xml:space="preserve">, </w:t>
      </w:r>
      <w:r>
        <w:rPr>
          <w:b/>
          <w:bCs/>
          <w:kern w:val="0"/>
        </w:rPr>
        <w:t>19</w:t>
      </w:r>
      <w:r>
        <w:rPr>
          <w:kern w:val="0"/>
        </w:rPr>
        <w:t xml:space="preserve"> (4), 337-371.</w:t>
      </w:r>
    </w:p>
    <w:p w:rsidR="004A46B8" w:rsidRDefault="004A46B8" w:rsidP="004A46B8">
      <w:pPr>
        <w:pStyle w:val="a0"/>
        <w:rPr>
          <w:kern w:val="0"/>
        </w:rPr>
      </w:pPr>
      <w:r>
        <w:rPr>
          <w:kern w:val="0"/>
        </w:rPr>
        <w:t>Abstract: There are widespread assumptions about the potential impacts of short breaks on family carers</w:t>
      </w:r>
      <w:r w:rsidR="00F81221">
        <w:rPr>
          <w:kern w:val="0"/>
        </w:rPr>
        <w:t xml:space="preserve"> and </w:t>
      </w:r>
      <w:r>
        <w:rPr>
          <w:kern w:val="0"/>
        </w:rPr>
        <w:t>disabled children. This review aims to evaluate the existing international research evidence concerning the impacts of short breaks on families with a disabled child. Electronic literature searches were conducted using ASSIA, PsycInfo, CINAHL,</w:t>
      </w:r>
      <w:r w:rsidR="00F81221">
        <w:rPr>
          <w:kern w:val="0"/>
        </w:rPr>
        <w:t xml:space="preserve"> and </w:t>
      </w:r>
      <w:r>
        <w:rPr>
          <w:kern w:val="0"/>
        </w:rPr>
        <w:t>Web of Science,</w:t>
      </w:r>
      <w:r w:rsidR="00F81221">
        <w:rPr>
          <w:kern w:val="0"/>
        </w:rPr>
        <w:t xml:space="preserve"> and </w:t>
      </w:r>
      <w:r>
        <w:rPr>
          <w:kern w:val="0"/>
        </w:rPr>
        <w:t>requests for information were sent to selected email lists. of 60 articles or reports identified for inclusion in the review, the vast majority of studies were cross-sectional, with only eight studies using quasi-experimental pre-post designs or longitudinal designs. Nonetheless, the consistency with which sonic findings have been reported suggests that short breaks appear to have the potential to positively impact on not only the well-being of carers, but also the children receiving short breaks</w:t>
      </w:r>
      <w:r w:rsidR="00F81221">
        <w:rPr>
          <w:kern w:val="0"/>
        </w:rPr>
        <w:t xml:space="preserve"> and </w:t>
      </w:r>
      <w:r>
        <w:rPr>
          <w:kern w:val="0"/>
        </w:rPr>
        <w:t>their families as a whole. Additional research is warranted in a number of areas. First, research needs to consider the impact of short breaks on fathers. Second, there is a need to consider in more depth how short breaks can impact on the siblings of disabled children. Third, research could consider how best short breaks can be combined with other interventions to maximise the impact for disabled children</w:t>
      </w:r>
      <w:r w:rsidR="00F81221">
        <w:rPr>
          <w:kern w:val="0"/>
        </w:rPr>
        <w:t xml:space="preserve"> and </w:t>
      </w:r>
      <w:r>
        <w:rPr>
          <w:kern w:val="0"/>
        </w:rPr>
        <w:t>their families. Fourth, research needs to look at the longer term impact of short breaks on outcomes for disabled children</w:t>
      </w:r>
      <w:r w:rsidR="00F81221">
        <w:rPr>
          <w:kern w:val="0"/>
        </w:rPr>
        <w:t xml:space="preserve"> and </w:t>
      </w:r>
      <w:r>
        <w:rPr>
          <w:kern w:val="0"/>
        </w:rPr>
        <w:t>their families. What is needed is evidence on what type of short breaks are best for children</w:t>
      </w:r>
      <w:r w:rsidR="00F81221">
        <w:rPr>
          <w:kern w:val="0"/>
        </w:rPr>
        <w:t xml:space="preserve"> and </w:t>
      </w:r>
      <w:r>
        <w:rPr>
          <w:kern w:val="0"/>
        </w:rPr>
        <w:t>families with particular characteristics at particular times during the course of the child</w:t>
      </w:r>
      <w:r w:rsidR="000352E7">
        <w:rPr>
          <w:kern w:val="0"/>
        </w:rPr>
        <w:t>’</w:t>
      </w:r>
      <w:r>
        <w:rPr>
          <w:kern w:val="0"/>
        </w:rPr>
        <w:t>s maturation towards adulthood.</w:t>
      </w:r>
    </w:p>
    <w:p w:rsidR="004A46B8" w:rsidRDefault="004A46B8" w:rsidP="004A46B8">
      <w:pPr>
        <w:pStyle w:val="a0"/>
        <w:rPr>
          <w:kern w:val="0"/>
        </w:rPr>
      </w:pPr>
      <w:r>
        <w:rPr>
          <w:kern w:val="0"/>
        </w:rPr>
        <w:t xml:space="preserve">Keywords: Carers, Child, Children, Developmental-Disabilities, Disabled Children, </w:t>
      </w:r>
      <w:r>
        <w:rPr>
          <w:kern w:val="0"/>
        </w:rPr>
        <w:lastRenderedPageBreak/>
        <w:t>Families, Home, Hospice Program, Impact, Information, Interventions, Life, Literature, Literature Review, Needs, Outcomes, Parents, Quality, Research, Residential Respite Care, Respite, Review, Science, Short Breaks, Support, Web of Science, Young-People</w:t>
      </w:r>
    </w:p>
    <w:p w:rsidR="008E58C7" w:rsidRPr="00217FB1" w:rsidRDefault="008E58C7" w:rsidP="008E58C7">
      <w:pPr>
        <w:pStyle w:val="1"/>
      </w:pPr>
      <w:r w:rsidRPr="00217FB1">
        <w:br w:type="page"/>
      </w:r>
      <w:bookmarkStart w:id="523" w:name="_Toc238862972"/>
      <w:bookmarkStart w:id="524" w:name="_Toc317161002"/>
      <w:r w:rsidRPr="00217FB1">
        <w:lastRenderedPageBreak/>
        <w:t xml:space="preserve">Title: </w:t>
      </w:r>
      <w:r w:rsidRPr="00290015">
        <w:t>Health Technology Assessment</w:t>
      </w:r>
      <w:bookmarkEnd w:id="523"/>
      <w:bookmarkEnd w:id="524"/>
    </w:p>
    <w:p w:rsidR="008E58C7" w:rsidRPr="00217FB1" w:rsidRDefault="008E58C7" w:rsidP="00B72EF9">
      <w:pPr>
        <w:pStyle w:val="12"/>
      </w:pPr>
      <w:r w:rsidRPr="00217FB1">
        <w:t xml:space="preserve">Full Journal Title: </w:t>
      </w:r>
      <w:hyperlink r:id="rId586" w:history="1">
        <w:r w:rsidRPr="00110225">
          <w:rPr>
            <w:rStyle w:val="a5"/>
          </w:rPr>
          <w:t>Health Technology Assessment</w:t>
        </w:r>
      </w:hyperlink>
    </w:p>
    <w:p w:rsidR="008E58C7" w:rsidRPr="00217FB1" w:rsidRDefault="008E58C7" w:rsidP="00B72EF9">
      <w:pPr>
        <w:pStyle w:val="12"/>
      </w:pPr>
      <w:r w:rsidRPr="00217FB1">
        <w:t xml:space="preserve">ISO Abbreviated Title: </w:t>
      </w:r>
    </w:p>
    <w:p w:rsidR="008E58C7" w:rsidRPr="00217FB1" w:rsidRDefault="008E58C7" w:rsidP="00B72EF9">
      <w:pPr>
        <w:pStyle w:val="12"/>
      </w:pPr>
      <w:r w:rsidRPr="00217FB1">
        <w:t>JCR Abbreviated Title</w:t>
      </w:r>
      <w:r>
        <w:t>:</w:t>
      </w:r>
      <w:r w:rsidRPr="00217FB1">
        <w:t xml:space="preserve"> </w:t>
      </w:r>
      <w:r w:rsidRPr="00A55B4C">
        <w:t>Health Technol Assess</w:t>
      </w:r>
    </w:p>
    <w:p w:rsidR="008E58C7" w:rsidRPr="00217FB1" w:rsidRDefault="008E58C7" w:rsidP="00B72EF9">
      <w:pPr>
        <w:pStyle w:val="12"/>
      </w:pPr>
      <w:r>
        <w:t xml:space="preserve">ISSN: </w:t>
      </w:r>
      <w:r w:rsidRPr="00290015">
        <w:t>1366-5278</w:t>
      </w:r>
    </w:p>
    <w:p w:rsidR="008E58C7" w:rsidRPr="00217FB1" w:rsidRDefault="008E58C7" w:rsidP="00B72EF9">
      <w:pPr>
        <w:pStyle w:val="12"/>
      </w:pPr>
      <w:r w:rsidRPr="00217FB1">
        <w:t xml:space="preserve">Issues/Year: </w:t>
      </w:r>
    </w:p>
    <w:p w:rsidR="008E58C7" w:rsidRPr="00217FB1" w:rsidRDefault="00FB5623" w:rsidP="00B72EF9">
      <w:pPr>
        <w:pStyle w:val="12"/>
      </w:pPr>
      <w:r>
        <w:t>Journal Country/Territory:</w:t>
      </w:r>
      <w:r w:rsidR="008E58C7">
        <w:t xml:space="preserve"> </w:t>
      </w:r>
    </w:p>
    <w:p w:rsidR="008E58C7" w:rsidRPr="00217FB1" w:rsidRDefault="008E58C7" w:rsidP="00B72EF9">
      <w:pPr>
        <w:pStyle w:val="12"/>
      </w:pPr>
      <w:r w:rsidRPr="00217FB1">
        <w:t xml:space="preserve">Language: </w:t>
      </w:r>
    </w:p>
    <w:p w:rsidR="008E58C7" w:rsidRPr="00217FB1" w:rsidRDefault="008E58C7" w:rsidP="00B72EF9">
      <w:pPr>
        <w:pStyle w:val="12"/>
      </w:pPr>
      <w:r w:rsidRPr="00217FB1">
        <w:t xml:space="preserve">Publisher: </w:t>
      </w:r>
    </w:p>
    <w:p w:rsidR="008E58C7" w:rsidRPr="00217FB1" w:rsidRDefault="008E58C7" w:rsidP="00B72EF9">
      <w:pPr>
        <w:pStyle w:val="12"/>
      </w:pPr>
      <w:r w:rsidRPr="00217FB1">
        <w:t xml:space="preserve">Publisher Address: </w:t>
      </w:r>
    </w:p>
    <w:p w:rsidR="008E58C7" w:rsidRPr="00217FB1" w:rsidRDefault="008E58C7" w:rsidP="00B72EF9">
      <w:pPr>
        <w:pStyle w:val="12"/>
      </w:pPr>
      <w:r w:rsidRPr="00217FB1">
        <w:t>Subject Categories:</w:t>
      </w:r>
    </w:p>
    <w:p w:rsidR="008E58C7" w:rsidRPr="00217FB1" w:rsidRDefault="008E58C7" w:rsidP="00B72EF9">
      <w:pPr>
        <w:pStyle w:val="12"/>
      </w:pPr>
      <w:r w:rsidRPr="00217FB1">
        <w:t xml:space="preserve">: Impact Factor </w:t>
      </w:r>
    </w:p>
    <w:p w:rsidR="008E58C7" w:rsidRPr="003862C4" w:rsidRDefault="008E58C7" w:rsidP="008E58C7">
      <w:pPr>
        <w:pStyle w:val="a0"/>
      </w:pPr>
      <w:r w:rsidRPr="008B2BB0">
        <w:t>? Mowatt, G., Bower, D.J., Brebner, J.A., Cairns, J.A., Grant, A.M.</w:t>
      </w:r>
      <w:r w:rsidR="00F81221">
        <w:t xml:space="preserve"> and </w:t>
      </w:r>
      <w:r w:rsidRPr="008B2BB0">
        <w:t>Mckee, L. (1997), When</w:t>
      </w:r>
      <w:r w:rsidR="00F81221">
        <w:t xml:space="preserve"> and </w:t>
      </w:r>
      <w:r w:rsidRPr="008B2BB0">
        <w:t xml:space="preserve">how to assess fast-changing technologies: </w:t>
      </w:r>
      <w:r w:rsidRPr="008B2BB0">
        <w:rPr>
          <w:rFonts w:hint="eastAsia"/>
        </w:rPr>
        <w:t>A</w:t>
      </w:r>
      <w:r w:rsidRPr="008B2BB0">
        <w:t xml:space="preserve"> comparative study of medical applications of four generic technologies. </w:t>
      </w:r>
      <w:r w:rsidRPr="00CE7517">
        <w:rPr>
          <w:i/>
          <w:iCs/>
        </w:rPr>
        <w:t>Health Technology Assessment</w:t>
      </w:r>
      <w:r w:rsidRPr="008B2BB0">
        <w:t xml:space="preserve">, </w:t>
      </w:r>
      <w:r w:rsidRPr="00551655">
        <w:rPr>
          <w:b/>
          <w:bCs/>
        </w:rPr>
        <w:t>1</w:t>
      </w:r>
      <w:r w:rsidRPr="003862C4">
        <w:t xml:space="preserve"> (14), </w:t>
      </w:r>
      <w:r w:rsidRPr="003862C4">
        <w:rPr>
          <w:rFonts w:hint="eastAsia"/>
        </w:rPr>
        <w:t>1</w:t>
      </w:r>
      <w:r w:rsidRPr="003862C4">
        <w:t>-149.</w:t>
      </w:r>
    </w:p>
    <w:p w:rsidR="00CC2C25" w:rsidRDefault="00CC2C25" w:rsidP="00CC2C25">
      <w:pPr>
        <w:pStyle w:val="a0"/>
        <w:rPr>
          <w:kern w:val="0"/>
        </w:rPr>
      </w:pPr>
      <w:r>
        <w:rPr>
          <w:rFonts w:hint="eastAsia"/>
          <w:kern w:val="0"/>
        </w:rPr>
        <w:t xml:space="preserve">Full Text: </w:t>
      </w:r>
      <w:hyperlink r:id="rId587" w:history="1">
        <w:r w:rsidR="00110225" w:rsidRPr="00110225">
          <w:rPr>
            <w:rStyle w:val="a5"/>
            <w:kern w:val="0"/>
          </w:rPr>
          <w:t>1997\Hea Tec Ass1-14, 1.pdf</w:t>
        </w:r>
      </w:hyperlink>
    </w:p>
    <w:p w:rsidR="008E58C7" w:rsidRPr="003862C4" w:rsidRDefault="008E58C7" w:rsidP="008E58C7">
      <w:pPr>
        <w:pStyle w:val="a0"/>
      </w:pPr>
      <w:r w:rsidRPr="003862C4">
        <w:t>Abstract: OBJECTIVES. To try to identify the optimal time at which to start assessing new</w:t>
      </w:r>
      <w:r w:rsidR="00F81221">
        <w:t xml:space="preserve"> and </w:t>
      </w:r>
      <w:r w:rsidRPr="003862C4">
        <w:t>fast-evolving health technologies. To provide insight into factors influencing the timing of assessments</w:t>
      </w:r>
      <w:r w:rsidR="00F81221">
        <w:t xml:space="preserve"> and </w:t>
      </w:r>
      <w:r w:rsidRPr="003862C4">
        <w:t>the choice of methods for assessing new</w:t>
      </w:r>
      <w:r w:rsidR="00F81221">
        <w:t xml:space="preserve"> and </w:t>
      </w:r>
      <w:r w:rsidRPr="003862C4">
        <w:t>fast-changing technologies. HOW THE RESEARCH WAS CONDUCTED. A series of literature reviews were undertaken covering the general principles involved in the timing of health technology assessments (HTAs). Additionally, the reported assessments of laparoscopic cholecystectomy, chorionic villus sampling (CVS), teleradiology, teledermatology, genetic screening for predisposition to breast cancer,</w:t>
      </w:r>
      <w:r w:rsidR="00F81221">
        <w:t xml:space="preserve"> and </w:t>
      </w:r>
      <w:r w:rsidRPr="003862C4">
        <w:t>gene therapy for cystic fibrosis were reviewed to try to identify the factors that influenced the timing of these assessments. Key individuals in each field were also interviewed. The selected technologies allowed comparison between those that were new</w:t>
      </w:r>
      <w:r w:rsidR="00F81221">
        <w:t xml:space="preserve"> and </w:t>
      </w:r>
      <w:r w:rsidRPr="003862C4">
        <w:t>evolving</w:t>
      </w:r>
      <w:r w:rsidR="00F81221">
        <w:t xml:space="preserve"> and </w:t>
      </w:r>
      <w:r w:rsidRPr="003862C4">
        <w:t>those that were relatively well-established. A bibliometric study of publication trends was also undertaken to see whether these trends would suggest points in the development of a technology that could be used as indicators that assessment should be started. RESEARCH FINDINGS. TIMING. The precise point at which assessment should start was not identified but the bibliometric study suggested that extending this approach might give useful results. For all health technologies, more regular reporting of outcomes</w:t>
      </w:r>
      <w:r w:rsidR="00F81221">
        <w:t xml:space="preserve"> and </w:t>
      </w:r>
      <w:r w:rsidRPr="003862C4">
        <w:t xml:space="preserve">side-effects should be encouraged during the period after initial assessment and, where the technology is fast-changing, reassessment should take place from time to time. The precise </w:t>
      </w:r>
      <w:r w:rsidRPr="003862C4">
        <w:lastRenderedPageBreak/>
        <w:t>intervals were not identified</w:t>
      </w:r>
      <w:r w:rsidR="00F81221">
        <w:t xml:space="preserve"> and </w:t>
      </w:r>
      <w:r w:rsidRPr="003862C4">
        <w:t>the problem remains of deciding when a technology has changed enough to warrant reassessment. FACTORS INFLUENCING TIMING. Published reports of assessments did not generally specify the reasons for their timing, but a number of factors appear to have influenced the timing of those assessments, directly or indirectly. Product champions</w:t>
      </w:r>
      <w:r w:rsidR="00F81221">
        <w:t xml:space="preserve"> and </w:t>
      </w:r>
      <w:r w:rsidRPr="003862C4">
        <w:t>opinion leaders pioneer the introduction of new technologies into clinical practice,</w:t>
      </w:r>
      <w:r w:rsidR="00F81221">
        <w:t xml:space="preserve"> and </w:t>
      </w:r>
      <w:r w:rsidRPr="003862C4">
        <w:t>their reports may lead to the rapid diffusion of such technologies before they have been adequately evaluated, as was the case with laparoscopic cholecystectomy; this diffusion may limit the methods of evaluation that can then be used. It is therefore important to assess new health technologies before diffusion takes place. The extent to which regulatory control is imposed on the introduction of new health technologies can also influence the timing of assessments. Such controls might have helped to restrict the diffusion of laparoscopic cholecystectomy, making a large</w:t>
      </w:r>
      <w:r w:rsidR="00F81221">
        <w:t xml:space="preserve"> and </w:t>
      </w:r>
      <w:r w:rsidRPr="003862C4">
        <w:t>widely generalisable randomised controlled trial (RCT) feasible. The source</w:t>
      </w:r>
      <w:r w:rsidR="00F81221">
        <w:t xml:space="preserve"> and </w:t>
      </w:r>
      <w:r w:rsidRPr="003862C4">
        <w:t>availability of funding for studies may influence the nature</w:t>
      </w:r>
      <w:r w:rsidR="00F81221">
        <w:t xml:space="preserve"> and </w:t>
      </w:r>
      <w:r w:rsidRPr="003862C4">
        <w:t>timing of trials. Many telemedicine evaluations were funded by commercial telecommunications organisations</w:t>
      </w:r>
      <w:r w:rsidR="00F81221">
        <w:t xml:space="preserve"> and </w:t>
      </w:r>
      <w:r w:rsidRPr="003862C4">
        <w:t xml:space="preserve">were thus restricted in their timing (and biased towards the technological aspects of the applications) by the availability of funds. Media coverage undoubtedly has an influence although this influence is not always predictable; it may generate </w:t>
      </w:r>
      <w:r w:rsidR="000352E7">
        <w:t>‘</w:t>
      </w:r>
      <w:r w:rsidRPr="003862C4">
        <w:t>favourable</w:t>
      </w:r>
      <w:r w:rsidR="000352E7">
        <w:t>’</w:t>
      </w:r>
      <w:r w:rsidRPr="003862C4">
        <w:t xml:space="preserve"> publicity about new health technologies, which can lead to immediate demands for the new technique, as was the case with laparosocpic cholecystectomy with its apparent benefits. Thus assessments should be made before media coverage exerts popular pressure on purchasers to adopt the technology</w:t>
      </w:r>
      <w:r w:rsidR="00F81221">
        <w:t xml:space="preserve"> and </w:t>
      </w:r>
      <w:r w:rsidRPr="003862C4">
        <w:t>dissuades patients from participating in RCTs (because of fear they may be randomised to the standard treatment as occurred in a US trial of CVS). Innovators should also be cautious in the claims that they make to the media.</w:t>
      </w:r>
    </w:p>
    <w:p w:rsidR="008E58C7" w:rsidRPr="003862C4" w:rsidRDefault="008E58C7" w:rsidP="008E58C7">
      <w:pPr>
        <w:pStyle w:val="a0"/>
      </w:pPr>
      <w:r w:rsidRPr="003862C4">
        <w:t>Keywords: Approach, Assessing, Assessment, Assessments, Availability, Bibliometric, Bibliometric Study, Breast Cancer, Cancer, Choice, Cholecystectomy, Clinical, Clinical Practice, Comparative Study, Comparison, Control, Controlled Trial, Coverage, Cystic Fibrosis, Development, Diffusion, Evaluation, Fear, Fibrosis, Field, Funding, Gene, General, Genetic, Genetic Screening, Health, Indicators, Intervals, Laparoscopic, Lead, Literature, Media, Medical, Methods, Objectives, Outcomes, Patients, Practice, Pressure, Principles, Publication, Randomised, Randomised Controlled Trial, RCT, Reporting, Research, Reviews, Sampling, Screening, Side Effects, Source, Standard, Technologies, Technology, Telemedicine, Teleradiology, Therapy, Timing, Treatment, Trends, Trial, US</w:t>
      </w:r>
    </w:p>
    <w:p w:rsidR="008D25AC" w:rsidRDefault="008D25AC" w:rsidP="008D25AC">
      <w:pPr>
        <w:pStyle w:val="a0"/>
        <w:rPr>
          <w:kern w:val="0"/>
        </w:rPr>
      </w:pPr>
      <w:r>
        <w:rPr>
          <w:rFonts w:hint="eastAsia"/>
          <w:kern w:val="0"/>
        </w:rPr>
        <w:t xml:space="preserve">? </w:t>
      </w:r>
      <w:r>
        <w:rPr>
          <w:kern w:val="0"/>
        </w:rPr>
        <w:t>Picot, J., Jones, J., Colquitt, J.L., Gospodarevskaya, E., Loveman, E., Baxter, L.</w:t>
      </w:r>
      <w:r w:rsidR="00F81221">
        <w:rPr>
          <w:kern w:val="0"/>
        </w:rPr>
        <w:t xml:space="preserve"> and </w:t>
      </w:r>
      <w:r>
        <w:rPr>
          <w:kern w:val="0"/>
        </w:rPr>
        <w:t>Clegg, A.J. (2009), The clinical effectiveness</w:t>
      </w:r>
      <w:r w:rsidR="00F81221">
        <w:rPr>
          <w:kern w:val="0"/>
        </w:rPr>
        <w:t xml:space="preserve"> and </w:t>
      </w:r>
      <w:r>
        <w:rPr>
          <w:kern w:val="0"/>
        </w:rPr>
        <w:t>cost-effectiveness of bariatric (weight loss) surgery for obesity: A systematic review</w:t>
      </w:r>
      <w:r w:rsidR="00F81221">
        <w:rPr>
          <w:kern w:val="0"/>
        </w:rPr>
        <w:t xml:space="preserve"> and </w:t>
      </w:r>
      <w:r>
        <w:rPr>
          <w:kern w:val="0"/>
        </w:rPr>
        <w:t xml:space="preserve">economic evaluation. </w:t>
      </w:r>
      <w:r>
        <w:rPr>
          <w:i/>
          <w:iCs/>
          <w:kern w:val="0"/>
        </w:rPr>
        <w:lastRenderedPageBreak/>
        <w:t>Health Technology Assessment</w:t>
      </w:r>
      <w:r>
        <w:rPr>
          <w:kern w:val="0"/>
        </w:rPr>
        <w:t xml:space="preserve">, </w:t>
      </w:r>
      <w:r>
        <w:rPr>
          <w:b/>
          <w:bCs/>
          <w:kern w:val="0"/>
        </w:rPr>
        <w:t>13</w:t>
      </w:r>
      <w:r>
        <w:rPr>
          <w:kern w:val="0"/>
        </w:rPr>
        <w:t xml:space="preserve"> (41), 1-</w:t>
      </w:r>
      <w:r w:rsidR="00DB45FC">
        <w:rPr>
          <w:rFonts w:hint="eastAsia"/>
          <w:kern w:val="0"/>
        </w:rPr>
        <w:t>214</w:t>
      </w:r>
      <w:r>
        <w:rPr>
          <w:kern w:val="0"/>
        </w:rPr>
        <w:t>.</w:t>
      </w:r>
    </w:p>
    <w:p w:rsidR="008D25AC" w:rsidRDefault="008D25AC" w:rsidP="008D25AC">
      <w:pPr>
        <w:pStyle w:val="a0"/>
        <w:rPr>
          <w:kern w:val="0"/>
        </w:rPr>
      </w:pPr>
      <w:r>
        <w:rPr>
          <w:rFonts w:hint="eastAsia"/>
          <w:kern w:val="0"/>
        </w:rPr>
        <w:t xml:space="preserve">Full Text: </w:t>
      </w:r>
      <w:hyperlink r:id="rId588" w:history="1">
        <w:r w:rsidR="00DB45FC" w:rsidRPr="00DB45FC">
          <w:rPr>
            <w:rStyle w:val="a5"/>
            <w:kern w:val="0"/>
          </w:rPr>
          <w:t>2009\Hea Tec Ass13-41, 1.pdf</w:t>
        </w:r>
      </w:hyperlink>
    </w:p>
    <w:p w:rsidR="008D25AC" w:rsidRDefault="008D25AC" w:rsidP="008D25AC">
      <w:pPr>
        <w:pStyle w:val="a0"/>
        <w:rPr>
          <w:kern w:val="0"/>
        </w:rPr>
      </w:pPr>
      <w:r>
        <w:rPr>
          <w:kern w:val="0"/>
        </w:rPr>
        <w:t>Abstract: Objectives: To assess the clinical effectiveness</w:t>
      </w:r>
      <w:r w:rsidR="00F81221">
        <w:rPr>
          <w:kern w:val="0"/>
        </w:rPr>
        <w:t xml:space="preserve"> and </w:t>
      </w:r>
      <w:r>
        <w:rPr>
          <w:kern w:val="0"/>
        </w:rPr>
        <w:t>cost-effectiveness of bariatric surgery for obesity. Data sources: Seventeen electronic databases were searched [MEDLINE; EMBASE; PreMedline In-Process &amp; Other Non-Indexed Citations; The Cochrane Library including the Cochrane Systematic Reviews Database, Cochrane Controlled Trials Register, DARE, NHS EED</w:t>
      </w:r>
      <w:r w:rsidR="00F81221">
        <w:rPr>
          <w:kern w:val="0"/>
        </w:rPr>
        <w:t xml:space="preserve"> and </w:t>
      </w:r>
      <w:r>
        <w:rPr>
          <w:kern w:val="0"/>
        </w:rPr>
        <w:t>HTA databases; Web of Knowledge Science Citation Index (SCI); Web of Knowledge ISI Proceedings; PsycInfo; CRD databases; BIOSIS;</w:t>
      </w:r>
      <w:r w:rsidR="00F81221">
        <w:rPr>
          <w:kern w:val="0"/>
        </w:rPr>
        <w:t xml:space="preserve"> and </w:t>
      </w:r>
      <w:r>
        <w:rPr>
          <w:kern w:val="0"/>
        </w:rPr>
        <w:t>databases listing ongoing clinical trials] from inception to August 2008. Bibliographies of related papers were assessed</w:t>
      </w:r>
      <w:r w:rsidR="00F81221">
        <w:rPr>
          <w:kern w:val="0"/>
        </w:rPr>
        <w:t xml:space="preserve"> and </w:t>
      </w:r>
      <w:r>
        <w:rPr>
          <w:kern w:val="0"/>
        </w:rPr>
        <w:t>experts were contacted to identify additional published</w:t>
      </w:r>
      <w:r w:rsidR="00F81221">
        <w:rPr>
          <w:kern w:val="0"/>
        </w:rPr>
        <w:t xml:space="preserve"> and </w:t>
      </w:r>
      <w:r>
        <w:rPr>
          <w:kern w:val="0"/>
        </w:rPr>
        <w:t>unpublished references Review methods: Two reviewers independently screened titles</w:t>
      </w:r>
      <w:r w:rsidR="00F81221">
        <w:rPr>
          <w:kern w:val="0"/>
        </w:rPr>
        <w:t xml:space="preserve"> and </w:t>
      </w:r>
      <w:r>
        <w:rPr>
          <w:kern w:val="0"/>
        </w:rPr>
        <w:t>abstracts for eligibility. Inclusion criteria were applied to the full text using a standard form. Interventions investigated were open</w:t>
      </w:r>
      <w:r w:rsidR="00F81221">
        <w:rPr>
          <w:kern w:val="0"/>
        </w:rPr>
        <w:t xml:space="preserve"> and </w:t>
      </w:r>
      <w:r>
        <w:rPr>
          <w:kern w:val="0"/>
        </w:rPr>
        <w:t>laparoscopic bariatric surgical procedures in widespread current use compared with one another</w:t>
      </w:r>
      <w:r w:rsidR="00F81221">
        <w:rPr>
          <w:kern w:val="0"/>
        </w:rPr>
        <w:t xml:space="preserve"> and </w:t>
      </w:r>
      <w:r>
        <w:rPr>
          <w:kern w:val="0"/>
        </w:rPr>
        <w:t>with non-surgical interventions. Population comprised adult patients with body mass index (BMI) &gt;= 30</w:t>
      </w:r>
      <w:r w:rsidR="00F81221">
        <w:rPr>
          <w:kern w:val="0"/>
        </w:rPr>
        <w:t xml:space="preserve"> and </w:t>
      </w:r>
      <w:r>
        <w:rPr>
          <w:kern w:val="0"/>
        </w:rPr>
        <w:t>young obese people. Main outcomes were at least one of the following after at least 12 months follow-up: measures of weight change; quality of life (QoL); perioperative</w:t>
      </w:r>
      <w:r w:rsidR="00F81221">
        <w:rPr>
          <w:kern w:val="0"/>
        </w:rPr>
        <w:t xml:space="preserve"> and </w:t>
      </w:r>
      <w:r>
        <w:rPr>
          <w:kern w:val="0"/>
        </w:rPr>
        <w:t>postoperative mortality</w:t>
      </w:r>
      <w:r w:rsidR="00F81221">
        <w:rPr>
          <w:kern w:val="0"/>
        </w:rPr>
        <w:t xml:space="preserve"> and </w:t>
      </w:r>
      <w:r>
        <w:rPr>
          <w:kern w:val="0"/>
        </w:rPr>
        <w:t>morbidity; change in obesity-related comorbidities; cost-effectiveness. Studies eligible for inclusion in the systematic review for comparisons of Surgery versus Surgery were RCTs. For comparisons of Surgery versus Non-surgical procedures eligible studies were RCTs, controlled clinical trials</w:t>
      </w:r>
      <w:r w:rsidR="00F81221">
        <w:rPr>
          <w:kern w:val="0"/>
        </w:rPr>
        <w:t xml:space="preserve"> and </w:t>
      </w:r>
      <w:r>
        <w:rPr>
          <w:kern w:val="0"/>
        </w:rPr>
        <w:t>prospective cohort studies (with a control cohort). Studies eligible for inclusion in the systematic review of cost-effectiveness were full cost-effectiveness analyses, cost-utility analyses, cost-benefit analyses</w:t>
      </w:r>
      <w:r w:rsidR="00F81221">
        <w:rPr>
          <w:kern w:val="0"/>
        </w:rPr>
        <w:t xml:space="preserve"> and </w:t>
      </w:r>
      <w:r>
        <w:rPr>
          <w:kern w:val="0"/>
        </w:rPr>
        <w:t>cost-consequence analyses. One reviewer performed data extraction, which was checked by two reviewers independently. Two reviewers independently applied quality assessment criteria</w:t>
      </w:r>
      <w:r w:rsidR="00F81221">
        <w:rPr>
          <w:kern w:val="0"/>
        </w:rPr>
        <w:t xml:space="preserve"> and </w:t>
      </w:r>
      <w:r>
        <w:rPr>
          <w:kern w:val="0"/>
        </w:rPr>
        <w:t>differences in opinion were resolved at each stage. Studies were synthesised through a narrative review with full tabulation of the results of all included studies. In the economic model the analysis was developed for three patient populations, those with BMI &gt;= 40; BMI &gt;= 30</w:t>
      </w:r>
      <w:r w:rsidR="00F81221">
        <w:rPr>
          <w:kern w:val="0"/>
        </w:rPr>
        <w:t xml:space="preserve"> and </w:t>
      </w:r>
      <w:r>
        <w:rPr>
          <w:kern w:val="0"/>
        </w:rPr>
        <w:t>&lt; 40 with Type 2 diabetes at baseline;</w:t>
      </w:r>
      <w:r w:rsidR="00F81221">
        <w:rPr>
          <w:kern w:val="0"/>
        </w:rPr>
        <w:t xml:space="preserve"> and </w:t>
      </w:r>
      <w:r>
        <w:rPr>
          <w:kern w:val="0"/>
        </w:rPr>
        <w:t>BMI &gt;= 30</w:t>
      </w:r>
      <w:r w:rsidR="00F81221">
        <w:rPr>
          <w:kern w:val="0"/>
        </w:rPr>
        <w:t xml:space="preserve"> and </w:t>
      </w:r>
      <w:r>
        <w:rPr>
          <w:kern w:val="0"/>
        </w:rPr>
        <w:t>&lt; 35. Models were applied with assumptions on costs</w:t>
      </w:r>
      <w:r w:rsidR="00F81221">
        <w:rPr>
          <w:kern w:val="0"/>
        </w:rPr>
        <w:t xml:space="preserve"> and </w:t>
      </w:r>
      <w:r>
        <w:rPr>
          <w:kern w:val="0"/>
        </w:rPr>
        <w:t>comorbidity. Results: A total of 5386 references were identified of which 26 were included in the clinical effectiveness review: three randomised controlled trials (RCTs)</w:t>
      </w:r>
      <w:r w:rsidR="00F81221">
        <w:rPr>
          <w:kern w:val="0"/>
        </w:rPr>
        <w:t xml:space="preserve"> and </w:t>
      </w:r>
      <w:r>
        <w:rPr>
          <w:kern w:val="0"/>
        </w:rPr>
        <w:t>three cohort studies compared surgery with nonsurgical interventions</w:t>
      </w:r>
      <w:r w:rsidR="00F81221">
        <w:rPr>
          <w:kern w:val="0"/>
        </w:rPr>
        <w:t xml:space="preserve"> and </w:t>
      </w:r>
      <w:r>
        <w:rPr>
          <w:kern w:val="0"/>
        </w:rPr>
        <w:t xml:space="preserve">20 RCTs compared different surgical procedures. Bariatric surgery was a more effective intervention for weight loss than non-surgical options. In one large cohort study weight loss was still apparent 10 years after surgery, whereas patients receiving conventional treatment had gained weight. Some </w:t>
      </w:r>
      <w:r>
        <w:rPr>
          <w:kern w:val="0"/>
        </w:rPr>
        <w:lastRenderedPageBreak/>
        <w:t>measures of QoL improved after surgery but not others. After surgery statistically fewer people had metabolic syndrome</w:t>
      </w:r>
      <w:r w:rsidR="00F81221">
        <w:rPr>
          <w:kern w:val="0"/>
        </w:rPr>
        <w:t xml:space="preserve"> and </w:t>
      </w:r>
      <w:r>
        <w:rPr>
          <w:kern w:val="0"/>
        </w:rPr>
        <w:t>there was higher remission of Type 2 diabetes than in non-surgical groups. In one large cohort study the incidence of three out of six comorbidities assessed 10 years after surgery was significantly reduced compared with conventional therapy. Gastric bypass (GBP) was more effective for weight loss than vertical banded gastroplasty (VBG)</w:t>
      </w:r>
      <w:r w:rsidR="00F81221">
        <w:rPr>
          <w:kern w:val="0"/>
        </w:rPr>
        <w:t xml:space="preserve"> and </w:t>
      </w:r>
      <w:r>
        <w:rPr>
          <w:kern w:val="0"/>
        </w:rPr>
        <w:t>adjustable gastric banding (AGB). Laparoscopic isolated sleeve gastrectomy (LISG) was more effective than AGB in one study. GBP</w:t>
      </w:r>
      <w:r w:rsidR="00F81221">
        <w:rPr>
          <w:kern w:val="0"/>
        </w:rPr>
        <w:t xml:space="preserve"> and </w:t>
      </w:r>
      <w:r>
        <w:rPr>
          <w:kern w:val="0"/>
        </w:rPr>
        <w:t>banded GBP led to similar weight loss</w:t>
      </w:r>
      <w:r w:rsidR="00F81221">
        <w:rPr>
          <w:kern w:val="0"/>
        </w:rPr>
        <w:t xml:space="preserve"> and </w:t>
      </w:r>
      <w:r>
        <w:rPr>
          <w:kern w:val="0"/>
        </w:rPr>
        <w:t>results for GBP versus LISG</w:t>
      </w:r>
      <w:r w:rsidR="00F81221">
        <w:rPr>
          <w:kern w:val="0"/>
        </w:rPr>
        <w:t xml:space="preserve"> and </w:t>
      </w:r>
      <w:r>
        <w:rPr>
          <w:kern w:val="0"/>
        </w:rPr>
        <w:t>VBG versus AGB were equivocal. All comparisons of open versus laparoscopic surgeries found similar weight losses in each group. Comorbidities after surgery improved in all groups, but with no significant differences between different surgical interventions. Adverse event reporting varied; mortality ranged from none to 10%. Adverse events from conventional therapy included intolerance to medication, acute cholecystitis</w:t>
      </w:r>
      <w:r w:rsidR="00F81221">
        <w:rPr>
          <w:kern w:val="0"/>
        </w:rPr>
        <w:t xml:space="preserve"> and </w:t>
      </w:r>
      <w:r>
        <w:rPr>
          <w:kern w:val="0"/>
        </w:rPr>
        <w:t>gastrointestinal problems. Major adverse events following surgery, some necessitating reoperation, included anastomosis leakage, pneumonia, pulmonary embolism, band slippage</w:t>
      </w:r>
      <w:r w:rsidR="00F81221">
        <w:rPr>
          <w:kern w:val="0"/>
        </w:rPr>
        <w:t xml:space="preserve"> and </w:t>
      </w:r>
      <w:r>
        <w:rPr>
          <w:kern w:val="0"/>
        </w:rPr>
        <w:t>band erosion. Bariatric surgery was cost-effective in comparison to non-surgical treatment in the reviewed published estimates of cost-effectiveness. However, these estimates are likely to be unreliable</w:t>
      </w:r>
      <w:r w:rsidR="00F81221">
        <w:rPr>
          <w:kern w:val="0"/>
        </w:rPr>
        <w:t xml:space="preserve"> and </w:t>
      </w:r>
      <w:r>
        <w:rPr>
          <w:kern w:val="0"/>
        </w:rPr>
        <w:t>not generalisable because of methodological shortcomings</w:t>
      </w:r>
      <w:r w:rsidR="00F81221">
        <w:rPr>
          <w:kern w:val="0"/>
        </w:rPr>
        <w:t xml:space="preserve"> and </w:t>
      </w:r>
      <w:r>
        <w:rPr>
          <w:kern w:val="0"/>
        </w:rPr>
        <w:t>the modelling assumptions made. Therefore a new economic model was developed. Surgical management was more costly than non-surgical management in each of the three patient populations analysed, but gave improved outcomes. For morbid obesity, incremental cost-effectiveness ratios (ICERs) (base case) ranged between 2000 pound</w:t>
      </w:r>
      <w:r w:rsidR="00F81221">
        <w:rPr>
          <w:kern w:val="0"/>
        </w:rPr>
        <w:t xml:space="preserve"> and </w:t>
      </w:r>
      <w:r>
        <w:rPr>
          <w:kern w:val="0"/>
        </w:rPr>
        <w:t>4000 pound per QALY gained. They remained within the range regarded as cost-effective from an NHS decision-making perspective when assumptions for deterministic sensitivity analysis were changed. For BMI &gt;= 30</w:t>
      </w:r>
      <w:r w:rsidR="00F81221">
        <w:rPr>
          <w:kern w:val="0"/>
        </w:rPr>
        <w:t xml:space="preserve"> and </w:t>
      </w:r>
      <w:r>
        <w:rPr>
          <w:kern w:val="0"/>
        </w:rPr>
        <w:t>&lt; 40, ICERs were 18,930 pound at two years</w:t>
      </w:r>
      <w:r w:rsidR="00F81221">
        <w:rPr>
          <w:kern w:val="0"/>
        </w:rPr>
        <w:t xml:space="preserve"> and </w:t>
      </w:r>
      <w:r>
        <w:rPr>
          <w:kern w:val="0"/>
        </w:rPr>
        <w:t>1397 pound at 20 years,</w:t>
      </w:r>
      <w:r w:rsidR="00F81221">
        <w:rPr>
          <w:kern w:val="0"/>
        </w:rPr>
        <w:t xml:space="preserve"> and </w:t>
      </w:r>
      <w:r>
        <w:rPr>
          <w:kern w:val="0"/>
        </w:rPr>
        <w:t>for BMI &gt;= 30</w:t>
      </w:r>
      <w:r w:rsidR="00F81221">
        <w:rPr>
          <w:kern w:val="0"/>
        </w:rPr>
        <w:t xml:space="preserve"> and </w:t>
      </w:r>
      <w:r>
        <w:rPr>
          <w:kern w:val="0"/>
        </w:rPr>
        <w:t>&lt; 35, ICERs were 60,754 pound at two years</w:t>
      </w:r>
      <w:r w:rsidR="00F81221">
        <w:rPr>
          <w:kern w:val="0"/>
        </w:rPr>
        <w:t xml:space="preserve"> and </w:t>
      </w:r>
      <w:r>
        <w:rPr>
          <w:kern w:val="0"/>
        </w:rPr>
        <w:t>12,763 pound at 20 years. Deterministic</w:t>
      </w:r>
      <w:r w:rsidR="00F81221">
        <w:rPr>
          <w:kern w:val="0"/>
        </w:rPr>
        <w:t xml:space="preserve"> and </w:t>
      </w:r>
      <w:r>
        <w:rPr>
          <w:kern w:val="0"/>
        </w:rPr>
        <w:t>probabilistic sensitivity analyses produced ICERs which were generally within the range considered cost-effective, particularly at the long twenty year time horizons, although for the BMI 30-35 group some ICERs were above the acceptable range. Conclusions: Bariatric surgery appears to be a clinically effective</w:t>
      </w:r>
      <w:r w:rsidR="00F81221">
        <w:rPr>
          <w:kern w:val="0"/>
        </w:rPr>
        <w:t xml:space="preserve"> and </w:t>
      </w:r>
      <w:r>
        <w:rPr>
          <w:kern w:val="0"/>
        </w:rPr>
        <w:t>cost-effective intervention for moderately to severely obese people compared with non-surgical interventions. Uncertainties remain</w:t>
      </w:r>
      <w:r w:rsidR="00F81221">
        <w:rPr>
          <w:kern w:val="0"/>
        </w:rPr>
        <w:t xml:space="preserve"> and </w:t>
      </w:r>
      <w:r>
        <w:rPr>
          <w:kern w:val="0"/>
        </w:rPr>
        <w:t>further research is required to provide detailed data on patient QoL; impact of surgeon experience on outcome; late complications leading to reoperation; duration of comorbidity remission; resource use. Good-quality RCTs will provide evidence on bariatric surgery for young people</w:t>
      </w:r>
      <w:r w:rsidR="00F81221">
        <w:rPr>
          <w:kern w:val="0"/>
        </w:rPr>
        <w:t xml:space="preserve"> and </w:t>
      </w:r>
      <w:r>
        <w:rPr>
          <w:kern w:val="0"/>
        </w:rPr>
        <w:t xml:space="preserve">for adults with class I or class II obesity. New research must report on the resolution and/or development of </w:t>
      </w:r>
      <w:r>
        <w:rPr>
          <w:kern w:val="0"/>
        </w:rPr>
        <w:lastRenderedPageBreak/>
        <w:t>comorbidities such as Type 2 diabetes</w:t>
      </w:r>
      <w:r w:rsidR="00F81221">
        <w:rPr>
          <w:kern w:val="0"/>
        </w:rPr>
        <w:t xml:space="preserve"> and </w:t>
      </w:r>
      <w:r>
        <w:rPr>
          <w:kern w:val="0"/>
        </w:rPr>
        <w:t>hypertension so that the potential benefits of early intervention can be assessed.</w:t>
      </w:r>
    </w:p>
    <w:p w:rsidR="008D25AC" w:rsidRDefault="008D25AC" w:rsidP="008D25AC">
      <w:pPr>
        <w:pStyle w:val="a0"/>
        <w:rPr>
          <w:kern w:val="0"/>
        </w:rPr>
      </w:pPr>
      <w:r>
        <w:rPr>
          <w:kern w:val="0"/>
        </w:rPr>
        <w:t>Keywords: 2-Year Follow-up, Assessment, Body-Mass Index, Cardiovascular Risk-Factors, Change, Citation, Citations, Clinical Trials, Cohort, Comparison, Cost Effectiveness, Costs, Criteria, Database, Databases, Development, Early Intervention, Economic, Effectiveness, Erosion, Evaluation, Groups, Health-Related Utility, Hypertension, Impact, Intervention, Isi, Knowledge, Management, Methods, Model, Modelling, Models, Morbid-Obesity, Mortality, Narrative, Outcomes, Prospective Randomized-Trial, Pulmonary Embolism, Quality-of-Life, Research, Resolution, Review, SCI, Science, Science Citation Index, Sensitivity Analysis, Structured Commercial Program, Surgery, Systematic Review, Therapy, Treatment, Vertical Banded Gastroplasty, Web of Knowledge, Y Gastric Bypass</w:t>
      </w:r>
    </w:p>
    <w:p w:rsidR="008D25AC" w:rsidRDefault="008D25AC" w:rsidP="008D25AC">
      <w:pPr>
        <w:pStyle w:val="a0"/>
        <w:rPr>
          <w:kern w:val="0"/>
        </w:rPr>
      </w:pPr>
      <w:r>
        <w:rPr>
          <w:rFonts w:hint="eastAsia"/>
          <w:kern w:val="0"/>
        </w:rPr>
        <w:t xml:space="preserve">? </w:t>
      </w:r>
      <w:r>
        <w:rPr>
          <w:kern w:val="0"/>
        </w:rPr>
        <w:t>Chambers, D., Epstein, D., Walker, S., Fayter, D., Paton, F., Wright, K., Michaels, J., Thomas, S., Sculpher, M.</w:t>
      </w:r>
      <w:r w:rsidR="00F81221">
        <w:rPr>
          <w:kern w:val="0"/>
        </w:rPr>
        <w:t xml:space="preserve"> and </w:t>
      </w:r>
      <w:r>
        <w:rPr>
          <w:kern w:val="0"/>
        </w:rPr>
        <w:t>Woolacott, N. (2009), Endovascular stents for abdominal aortic aneurysms: A systematic review</w:t>
      </w:r>
      <w:r w:rsidR="00F81221">
        <w:rPr>
          <w:kern w:val="0"/>
        </w:rPr>
        <w:t xml:space="preserve"> and </w:t>
      </w:r>
      <w:r>
        <w:rPr>
          <w:kern w:val="0"/>
        </w:rPr>
        <w:t xml:space="preserve">economic model. </w:t>
      </w:r>
      <w:r>
        <w:rPr>
          <w:i/>
          <w:iCs/>
          <w:kern w:val="0"/>
        </w:rPr>
        <w:t>Health Technology Assessment</w:t>
      </w:r>
      <w:r>
        <w:rPr>
          <w:kern w:val="0"/>
        </w:rPr>
        <w:t xml:space="preserve">, </w:t>
      </w:r>
      <w:r>
        <w:rPr>
          <w:b/>
          <w:bCs/>
          <w:kern w:val="0"/>
        </w:rPr>
        <w:t>13</w:t>
      </w:r>
      <w:r>
        <w:rPr>
          <w:kern w:val="0"/>
        </w:rPr>
        <w:t xml:space="preserve"> (48), 1-</w:t>
      </w:r>
      <w:r w:rsidR="00EE55B5">
        <w:rPr>
          <w:rFonts w:hint="eastAsia"/>
          <w:kern w:val="0"/>
        </w:rPr>
        <w:t>214</w:t>
      </w:r>
      <w:r>
        <w:rPr>
          <w:kern w:val="0"/>
        </w:rPr>
        <w:t>.</w:t>
      </w:r>
    </w:p>
    <w:p w:rsidR="00EE55B5" w:rsidRDefault="00EE55B5" w:rsidP="00EE55B5">
      <w:pPr>
        <w:pStyle w:val="a0"/>
        <w:rPr>
          <w:kern w:val="0"/>
        </w:rPr>
      </w:pPr>
      <w:r>
        <w:rPr>
          <w:rFonts w:hint="eastAsia"/>
          <w:kern w:val="0"/>
        </w:rPr>
        <w:t xml:space="preserve">Full Text: </w:t>
      </w:r>
      <w:hyperlink r:id="rId589" w:history="1">
        <w:r w:rsidRPr="00D53F71">
          <w:rPr>
            <w:rStyle w:val="a5"/>
            <w:kern w:val="0"/>
          </w:rPr>
          <w:t>2009\Hea Tec Ass13-48, 1.pdf</w:t>
        </w:r>
      </w:hyperlink>
    </w:p>
    <w:p w:rsidR="008D25AC" w:rsidRDefault="008D25AC" w:rsidP="008D25AC">
      <w:pPr>
        <w:pStyle w:val="a0"/>
        <w:rPr>
          <w:kern w:val="0"/>
        </w:rPr>
      </w:pPr>
      <w:r>
        <w:rPr>
          <w:kern w:val="0"/>
        </w:rPr>
        <w:t>Abstract: Objective: To determine the clinical effectiveness</w:t>
      </w:r>
      <w:r w:rsidR="00F81221">
        <w:rPr>
          <w:kern w:val="0"/>
        </w:rPr>
        <w:t xml:space="preserve"> and </w:t>
      </w:r>
      <w:r>
        <w:rPr>
          <w:kern w:val="0"/>
        </w:rPr>
        <w:t>cost-effectiveness of endovascular aneurysm repair (EVAR) of infrarenal abdominal aortic aneurysms (AAAs) in patients at varying levels of risk. Data sources: The following bibliographic databases were searched (2005-February 2007): BIOSIS Previews,(R) CINAHL, Cochrane Central Register of Controlled Trials, EMBASE, ISI Proceedings, MEDLINE,(R) MEDLINE (R) In-Process &amp; Other Non-Indexed Citations, Science Citation Index</w:t>
      </w:r>
      <w:r w:rsidR="00F81221">
        <w:rPr>
          <w:kern w:val="0"/>
        </w:rPr>
        <w:t xml:space="preserve"> and </w:t>
      </w:r>
      <w:r>
        <w:rPr>
          <w:kern w:val="0"/>
        </w:rPr>
        <w:t>Zetoc Conferences. Review methods: A systematic review of the clinical effectiveness of EVAR was performed using standard methods. Meta-analysis was employed to estimate a summary measure of treatment effect on relevant outcomes based on intention to treat analyses. A second systematic review was undertaken to identify existing cost-effectiveness analyses of EVAR compared with open surgery</w:t>
      </w:r>
      <w:r w:rsidR="00F81221">
        <w:rPr>
          <w:kern w:val="0"/>
        </w:rPr>
        <w:t xml:space="preserve"> and </w:t>
      </w:r>
      <w:r>
        <w:rPr>
          <w:kern w:val="0"/>
        </w:rPr>
        <w:t>non-surgical interventions. Two new decision models were developed to inform the review. Results: Six RCTs were included in the clinical effectiveness review. Thirty-four studies evaluated the role of patients</w:t>
      </w:r>
      <w:r w:rsidR="000352E7">
        <w:rPr>
          <w:kern w:val="0"/>
        </w:rPr>
        <w:t>’</w:t>
      </w:r>
      <w:r>
        <w:rPr>
          <w:kern w:val="0"/>
        </w:rPr>
        <w:t xml:space="preserve"> baseline characteristics in predicting risks of particular outcomes after EVAR. The majority were based on data relating to devices in current use from the EUROSTAR registry. Compared with open repair EVAR reduces operative mortality (odds ratio 0.35, 95% CI 0.19 to 0.63)</w:t>
      </w:r>
      <w:r w:rsidR="00F81221">
        <w:rPr>
          <w:kern w:val="0"/>
        </w:rPr>
        <w:t xml:space="preserve"> and </w:t>
      </w:r>
      <w:r>
        <w:rPr>
          <w:kern w:val="0"/>
        </w:rPr>
        <w:t>medium-term aneurysm-related mortality (hazard ratio 0.49, 95% CI 0.29 to 0.83) but offers no significant difference in all-cause mortality. EVAR is associated with increased rates of complications</w:t>
      </w:r>
      <w:r w:rsidR="00F81221">
        <w:rPr>
          <w:kern w:val="0"/>
        </w:rPr>
        <w:t xml:space="preserve"> and </w:t>
      </w:r>
      <w:r>
        <w:rPr>
          <w:kern w:val="0"/>
        </w:rPr>
        <w:t xml:space="preserve">reinterventions, which are not offset by any increase in health-related quality of life. EVAR trial 2 comparing EVAR with non-surgical management in patients unfit for </w:t>
      </w:r>
      <w:r>
        <w:rPr>
          <w:kern w:val="0"/>
        </w:rPr>
        <w:lastRenderedPageBreak/>
        <w:t>open repair found no differences in mortality between groups; however, substantial numbers of patients randomised to non-surgical management crossed over to receive surgical repair of their aneurysm. The cost-effectiveness systematic review identified six published decision models. Both models considered relevant for the decision in the UK concluded that EVAR was not cost-effective on average compared with open repair at a threshold of 20,000 pound per quality-adjusted life-year (QALY). Another model concluded that EVAR would be on average more cost-effective than no surgical intervention in unfit patients at this threshold. The Medtronic model concluded that EVAR was more cost-effective than open repair for fit patients at this threshold. The York economic evaluations found that EVAR is not cost-effective compared with open repair on average at a threshold of 30,000 pound per QALY, with the results very sensitive to model assumptions</w:t>
      </w:r>
      <w:r w:rsidR="00F81221">
        <w:rPr>
          <w:kern w:val="0"/>
        </w:rPr>
        <w:t xml:space="preserve"> and </w:t>
      </w:r>
      <w:r>
        <w:rPr>
          <w:kern w:val="0"/>
        </w:rPr>
        <w:t>the baseline risk of operative mortality. Exploratory analysis to evaluate management options in patients unsuitable for open surgery suggested that the cost-effectiveness of EVAR may be sensitive to aneurysm size</w:t>
      </w:r>
      <w:r w:rsidR="00F81221">
        <w:rPr>
          <w:kern w:val="0"/>
        </w:rPr>
        <w:t xml:space="preserve"> and </w:t>
      </w:r>
      <w:r>
        <w:rPr>
          <w:kern w:val="0"/>
        </w:rPr>
        <w:t>patient</w:t>
      </w:r>
      <w:r w:rsidR="000352E7">
        <w:rPr>
          <w:kern w:val="0"/>
        </w:rPr>
        <w:t>’</w:t>
      </w:r>
      <w:r>
        <w:rPr>
          <w:kern w:val="0"/>
        </w:rPr>
        <w:t>s age at operation. Indicative modelling suggests that EVAR may be cost-effective for small aneurysms in some patient groups. Ongoing RCTs will provide further evidence relating to these patients. Conclusion: Open repair is more likely to be cost-effective than EVAR on average in patients considered fit for open surgery. EVAR is likely to be more cost-effective than open repair for a subgroup of patients at higher risk of operative mortality These results are based on extrapolation of mid-term results of clinical trials. Evidence does not currently support EVAR for the treatment of ruptured aneurysms. Further follow-up of the existing UK trials should be undertaken</w:t>
      </w:r>
      <w:r w:rsidR="00F81221">
        <w:rPr>
          <w:kern w:val="0"/>
        </w:rPr>
        <w:t xml:space="preserve"> and </w:t>
      </w:r>
      <w:r>
        <w:rPr>
          <w:kern w:val="0"/>
        </w:rPr>
        <w:t>the relative costs of procedures</w:t>
      </w:r>
      <w:r w:rsidR="00F81221">
        <w:rPr>
          <w:kern w:val="0"/>
        </w:rPr>
        <w:t xml:space="preserve"> and </w:t>
      </w:r>
      <w:r>
        <w:rPr>
          <w:kern w:val="0"/>
        </w:rPr>
        <w:t>devices should be investigated further.</w:t>
      </w:r>
    </w:p>
    <w:p w:rsidR="008D25AC" w:rsidRDefault="008D25AC" w:rsidP="008D25AC">
      <w:pPr>
        <w:pStyle w:val="a0"/>
        <w:rPr>
          <w:kern w:val="0"/>
        </w:rPr>
      </w:pPr>
      <w:r>
        <w:rPr>
          <w:kern w:val="0"/>
        </w:rPr>
        <w:t>Keywords: Characteristics, Citation, Citations, Clinical Trials, Cost Effectiveness, Cost-Effectiveness Analysis, Costs, Databases, Economic, Effectiveness, Elective Open Repair, Emergency Open Repair, European Pivotal Trial, Evidence, Groups, Health-Related Quality of Life, High-Risk Patients, Intervention, Isi, Long-Term Survival, Management, Medline, Meta-Analysis, Methods, Model, Modelling, Models, Mortality, Open Surgical Repair, Outcomes, Quality-of-Life, Randomized Controlled-Trial, Review, Risk, Science, Science Citation Index, Surgery, Systematic Review, Treatment, UK, Veterans-Affairs Hospitals</w:t>
      </w:r>
    </w:p>
    <w:p w:rsidR="004A46B8" w:rsidRDefault="004A46B8" w:rsidP="004A46B8">
      <w:pPr>
        <w:pStyle w:val="a0"/>
        <w:rPr>
          <w:kern w:val="0"/>
        </w:rPr>
      </w:pPr>
      <w:r>
        <w:rPr>
          <w:rFonts w:hint="eastAsia"/>
          <w:kern w:val="0"/>
        </w:rPr>
        <w:t xml:space="preserve">? </w:t>
      </w:r>
      <w:r>
        <w:rPr>
          <w:kern w:val="0"/>
        </w:rPr>
        <w:t>Black, C., Clar, C., Henderson, R., MacEachern, C., McNamee, P., Quayyum, Z., Royle, P.</w:t>
      </w:r>
      <w:r w:rsidR="00F81221">
        <w:rPr>
          <w:kern w:val="0"/>
        </w:rPr>
        <w:t xml:space="preserve"> and </w:t>
      </w:r>
      <w:r>
        <w:rPr>
          <w:kern w:val="0"/>
        </w:rPr>
        <w:t>Thomas, S. (2009), The clinical effectiveness of glucosamine</w:t>
      </w:r>
      <w:r w:rsidR="00F81221">
        <w:rPr>
          <w:kern w:val="0"/>
        </w:rPr>
        <w:t xml:space="preserve"> and </w:t>
      </w:r>
      <w:r>
        <w:rPr>
          <w:kern w:val="0"/>
        </w:rPr>
        <w:t>chondroitin supplements in slowing or arresting progression of osteoarthritis of the knee: A systematic review</w:t>
      </w:r>
      <w:r w:rsidR="00F81221">
        <w:rPr>
          <w:kern w:val="0"/>
        </w:rPr>
        <w:t xml:space="preserve"> and </w:t>
      </w:r>
      <w:r>
        <w:rPr>
          <w:kern w:val="0"/>
        </w:rPr>
        <w:t xml:space="preserve">economic evaluation. </w:t>
      </w:r>
      <w:r>
        <w:rPr>
          <w:i/>
          <w:iCs/>
          <w:kern w:val="0"/>
        </w:rPr>
        <w:t>Health Technology Assessment</w:t>
      </w:r>
      <w:r>
        <w:rPr>
          <w:kern w:val="0"/>
        </w:rPr>
        <w:t xml:space="preserve">, </w:t>
      </w:r>
      <w:r>
        <w:rPr>
          <w:b/>
          <w:bCs/>
          <w:kern w:val="0"/>
        </w:rPr>
        <w:t>13</w:t>
      </w:r>
      <w:r>
        <w:rPr>
          <w:kern w:val="0"/>
        </w:rPr>
        <w:t xml:space="preserve"> (52), 1-</w:t>
      </w:r>
      <w:r w:rsidR="003C62C2">
        <w:rPr>
          <w:rFonts w:hint="eastAsia"/>
          <w:kern w:val="0"/>
        </w:rPr>
        <w:t>148</w:t>
      </w:r>
      <w:r>
        <w:rPr>
          <w:kern w:val="0"/>
        </w:rPr>
        <w:t>.</w:t>
      </w:r>
    </w:p>
    <w:p w:rsidR="004A46B8" w:rsidRDefault="004A46B8" w:rsidP="004A46B8">
      <w:pPr>
        <w:pStyle w:val="a0"/>
        <w:rPr>
          <w:kern w:val="0"/>
        </w:rPr>
      </w:pPr>
      <w:r>
        <w:rPr>
          <w:rFonts w:hint="eastAsia"/>
          <w:kern w:val="0"/>
        </w:rPr>
        <w:t xml:space="preserve">Full Text: </w:t>
      </w:r>
      <w:hyperlink r:id="rId590" w:history="1">
        <w:r w:rsidR="003C62C2" w:rsidRPr="003C62C2">
          <w:rPr>
            <w:rStyle w:val="a5"/>
            <w:kern w:val="0"/>
          </w:rPr>
          <w:t>2009\Hea Tec Ass13-52, 1.pdf</w:t>
        </w:r>
      </w:hyperlink>
    </w:p>
    <w:p w:rsidR="004A46B8" w:rsidRDefault="004A46B8" w:rsidP="004A46B8">
      <w:pPr>
        <w:pStyle w:val="a0"/>
        <w:rPr>
          <w:kern w:val="0"/>
        </w:rPr>
      </w:pPr>
      <w:r>
        <w:rPr>
          <w:kern w:val="0"/>
        </w:rPr>
        <w:t>Abstract: Objective: To assess the clinical effectiveness</w:t>
      </w:r>
      <w:r w:rsidR="00F81221">
        <w:rPr>
          <w:kern w:val="0"/>
        </w:rPr>
        <w:t xml:space="preserve"> and </w:t>
      </w:r>
      <w:r>
        <w:rPr>
          <w:kern w:val="0"/>
        </w:rPr>
        <w:t xml:space="preserve">cost effectiveness of </w:t>
      </w:r>
      <w:r>
        <w:rPr>
          <w:kern w:val="0"/>
        </w:rPr>
        <w:lastRenderedPageBreak/>
        <w:t>glucosamine sulphate/hydrochloride</w:t>
      </w:r>
      <w:r w:rsidR="00F81221">
        <w:rPr>
          <w:kern w:val="0"/>
        </w:rPr>
        <w:t xml:space="preserve"> and </w:t>
      </w:r>
      <w:r>
        <w:rPr>
          <w:kern w:val="0"/>
        </w:rPr>
        <w:t>chondroitin sulphate in modifying the progression of osteoarthritis (OA) of the knee. Data sources: Electronic databases were searched from 1950 to 2008</w:t>
      </w:r>
      <w:r w:rsidR="00F81221">
        <w:rPr>
          <w:kern w:val="0"/>
        </w:rPr>
        <w:t xml:space="preserve"> and </w:t>
      </w:r>
      <w:r>
        <w:rPr>
          <w:kern w:val="0"/>
        </w:rPr>
        <w:t>included: MEDLINE</w:t>
      </w:r>
      <w:r w:rsidR="00F81221">
        <w:rPr>
          <w:kern w:val="0"/>
        </w:rPr>
        <w:t xml:space="preserve"> and </w:t>
      </w:r>
      <w:r>
        <w:rPr>
          <w:kern w:val="0"/>
        </w:rPr>
        <w:t>PUBMED; EMBASE; Cochrane Library (including Cochrane Systematic Reviews Database, CENTRAL, DARE, NHS EED</w:t>
      </w:r>
      <w:r w:rsidR="00F81221">
        <w:rPr>
          <w:kern w:val="0"/>
        </w:rPr>
        <w:t xml:space="preserve"> and </w:t>
      </w:r>
      <w:r>
        <w:rPr>
          <w:kern w:val="0"/>
        </w:rPr>
        <w:t>HTA databases); Allied</w:t>
      </w:r>
      <w:r w:rsidR="00F81221">
        <w:rPr>
          <w:kern w:val="0"/>
        </w:rPr>
        <w:t xml:space="preserve"> and </w:t>
      </w:r>
      <w:r>
        <w:rPr>
          <w:kern w:val="0"/>
        </w:rPr>
        <w:t>Complementary Medicine (AMED); National Research Register (NRR); Web of Science Proceedings; Current Controlled Trials;</w:t>
      </w:r>
      <w:r w:rsidR="00F81221">
        <w:rPr>
          <w:kern w:val="0"/>
        </w:rPr>
        <w:t xml:space="preserve"> and </w:t>
      </w:r>
      <w:r>
        <w:rPr>
          <w:kern w:val="0"/>
        </w:rPr>
        <w:t>Clinical Trials.gov. Other sources included bibliographies of retrieved papers, registered but unpublished trials, internet searches</w:t>
      </w:r>
      <w:r w:rsidR="00F81221">
        <w:rPr>
          <w:kern w:val="0"/>
        </w:rPr>
        <w:t xml:space="preserve"> and </w:t>
      </w:r>
      <w:r>
        <w:rPr>
          <w:kern w:val="0"/>
        </w:rPr>
        <w:t>the Food Standards Agency website. Review methods: A search was conducted for systematic reviews of randomised controlled trials (RCTs), which were used to identify RCTs of at least 12 months</w:t>
      </w:r>
      <w:r w:rsidR="000352E7">
        <w:rPr>
          <w:kern w:val="0"/>
        </w:rPr>
        <w:t>’</w:t>
      </w:r>
      <w:r>
        <w:rPr>
          <w:kern w:val="0"/>
        </w:rPr>
        <w:t xml:space="preserve"> duration</w:t>
      </w:r>
      <w:r w:rsidR="00F81221">
        <w:rPr>
          <w:kern w:val="0"/>
        </w:rPr>
        <w:t xml:space="preserve"> and </w:t>
      </w:r>
      <w:r>
        <w:rPr>
          <w:kern w:val="0"/>
        </w:rPr>
        <w:t>updated with searches for primary studies. A cost-effectiveness model was constructed using cohort simulation</w:t>
      </w:r>
      <w:r w:rsidR="00F81221">
        <w:rPr>
          <w:kern w:val="0"/>
        </w:rPr>
        <w:t xml:space="preserve"> and </w:t>
      </w:r>
      <w:r>
        <w:rPr>
          <w:kern w:val="0"/>
        </w:rPr>
        <w:t>drawing on available evidence. Sensitivity analysis was undertaken</w:t>
      </w:r>
      <w:r w:rsidR="00F81221">
        <w:rPr>
          <w:kern w:val="0"/>
        </w:rPr>
        <w:t xml:space="preserve"> and </w:t>
      </w:r>
      <w:r>
        <w:rPr>
          <w:kern w:val="0"/>
        </w:rPr>
        <w:t>value of information analysis conducted. A review of studies of mechanism of action was carried out to explore the biological plausibility of the preparations. Results: Five systematic reviews</w:t>
      </w:r>
      <w:r w:rsidR="00F81221">
        <w:rPr>
          <w:kern w:val="0"/>
        </w:rPr>
        <w:t xml:space="preserve"> and </w:t>
      </w:r>
      <w:r>
        <w:rPr>
          <w:kern w:val="0"/>
        </w:rPr>
        <w:t>one clinical guideline met the inclusion criteria. They reported inconsistent conclusions with only modest effects on reported pain</w:t>
      </w:r>
      <w:r w:rsidR="00F81221">
        <w:rPr>
          <w:kern w:val="0"/>
        </w:rPr>
        <w:t xml:space="preserve"> and </w:t>
      </w:r>
      <w:r>
        <w:rPr>
          <w:kern w:val="0"/>
        </w:rPr>
        <w:t>function. A reduction in joint space narrowing was more consistently observed, but the effect size was small</w:t>
      </w:r>
      <w:r w:rsidR="00F81221">
        <w:rPr>
          <w:kern w:val="0"/>
        </w:rPr>
        <w:t xml:space="preserve"> and </w:t>
      </w:r>
      <w:r>
        <w:rPr>
          <w:kern w:val="0"/>
        </w:rPr>
        <w:t>the clinical significance uncertain. A separate review of eight primary trials of &gt; 12 months</w:t>
      </w:r>
      <w:r w:rsidR="000352E7">
        <w:rPr>
          <w:kern w:val="0"/>
        </w:rPr>
        <w:t>’</w:t>
      </w:r>
      <w:r>
        <w:rPr>
          <w:kern w:val="0"/>
        </w:rPr>
        <w:t xml:space="preserve"> duration showed evidence of statistically significant improvements in joint space loss, pain</w:t>
      </w:r>
      <w:r w:rsidR="00F81221">
        <w:rPr>
          <w:kern w:val="0"/>
        </w:rPr>
        <w:t xml:space="preserve"> and </w:t>
      </w:r>
      <w:r>
        <w:rPr>
          <w:kern w:val="0"/>
        </w:rPr>
        <w:t>function for glucosamine sulphate, but the clinical importance of these differences was not clear. In two studies of glucosamine sulphate, the need for knee arthroplasty was reduced from 14.5% to 6.3% at 8 years</w:t>
      </w:r>
      <w:r w:rsidR="000352E7">
        <w:rPr>
          <w:kern w:val="0"/>
        </w:rPr>
        <w:t>’</w:t>
      </w:r>
      <w:r>
        <w:rPr>
          <w:kern w:val="0"/>
        </w:rPr>
        <w:t xml:space="preserve"> follow-up. For other preparations of glucosamine, chondroitin</w:t>
      </w:r>
      <w:r w:rsidR="00F81221">
        <w:rPr>
          <w:kern w:val="0"/>
        </w:rPr>
        <w:t xml:space="preserve"> and </w:t>
      </w:r>
      <w:r>
        <w:rPr>
          <w:kern w:val="0"/>
        </w:rPr>
        <w:t>combination therapy, there was less evidence to support a clinical effect. Cost-effectiveness modelling was restricted to glucosamine sulphate. Over a lifetime horizon the incremental cost per quality-adjusted life-year (QALY) gain for adding glucosamine sulphate to current care was estimated to be 21,335 pound. Deterministic sensitivity analysis suggested that the cost-effectiveness of glucosamine sulphate therapy was particularly dependent on the magnitude of the quality of life (QoL) gain, the change in knee arthroplasty probability with therapy</w:t>
      </w:r>
      <w:r w:rsidR="00F81221">
        <w:rPr>
          <w:kern w:val="0"/>
        </w:rPr>
        <w:t xml:space="preserve"> and </w:t>
      </w:r>
      <w:r>
        <w:rPr>
          <w:kern w:val="0"/>
        </w:rPr>
        <w:t>the discount rate. At a cost per QALY gained threshold of 20,000 pound, the likelihood that glucosamine sulphate is more cost-effective than current care is 0.43, while at a threshold of 300,000 pound, the probability rises to 0.73. Probabilistic sensitivity analysis showed that estimates were imprecise</w:t>
      </w:r>
      <w:r w:rsidR="00F81221">
        <w:rPr>
          <w:kern w:val="0"/>
        </w:rPr>
        <w:t xml:space="preserve"> and </w:t>
      </w:r>
      <w:r>
        <w:rPr>
          <w:kern w:val="0"/>
        </w:rPr>
        <w:t>subject to a degree of decision uncertainty. Value of information analysis demonstrated the need for further research. Several biologically plausible mechanisms of action for glucosamine sulphate</w:t>
      </w:r>
      <w:r w:rsidR="00F81221">
        <w:rPr>
          <w:kern w:val="0"/>
        </w:rPr>
        <w:t xml:space="preserve"> and </w:t>
      </w:r>
      <w:r>
        <w:rPr>
          <w:kern w:val="0"/>
        </w:rPr>
        <w:t xml:space="preserve">chondroitin were proposed. Conclusions: There was evidence that glucosamine sulphate shows some clinical effectiveness in the treatment of OA of </w:t>
      </w:r>
      <w:r>
        <w:rPr>
          <w:kern w:val="0"/>
        </w:rPr>
        <w:lastRenderedPageBreak/>
        <w:t>the knee. No trial data came from the UK</w:t>
      </w:r>
      <w:r w:rsidR="00F81221">
        <w:rPr>
          <w:kern w:val="0"/>
        </w:rPr>
        <w:t xml:space="preserve"> and </w:t>
      </w:r>
      <w:r>
        <w:rPr>
          <w:kern w:val="0"/>
        </w:rPr>
        <w:t>caution should be exercised in generalising the findings to the UK health-care setting. Cost-effectiveness was not conclusively demonstrated. There was evidence to support the potential clinical impact of glucosamine sulphate. The value of information analysis identified three research priorities: QoL, structural outcomes</w:t>
      </w:r>
      <w:r w:rsidR="00F81221">
        <w:rPr>
          <w:kern w:val="0"/>
        </w:rPr>
        <w:t xml:space="preserve"> and </w:t>
      </w:r>
      <w:r>
        <w:rPr>
          <w:kern w:val="0"/>
        </w:rPr>
        <w:t>knee arthroplasty. The biological mechanism of glucosamine sulphate</w:t>
      </w:r>
      <w:r w:rsidR="00F81221">
        <w:rPr>
          <w:kern w:val="0"/>
        </w:rPr>
        <w:t xml:space="preserve"> and </w:t>
      </w:r>
      <w:r>
        <w:rPr>
          <w:kern w:val="0"/>
        </w:rPr>
        <w:t>chondroitin remains uncertain and, in particular, the proposal that the active substance may be sulphate should be explored further.</w:t>
      </w:r>
    </w:p>
    <w:p w:rsidR="004A46B8" w:rsidRDefault="004A46B8" w:rsidP="004A46B8">
      <w:pPr>
        <w:pStyle w:val="a0"/>
        <w:rPr>
          <w:kern w:val="0"/>
        </w:rPr>
      </w:pPr>
      <w:r>
        <w:rPr>
          <w:kern w:val="0"/>
        </w:rPr>
        <w:t>Keywords: Analysis, Arthroplasty, Articular-Cartilage Explants, Chondrocyte-Mediated Catabolism, Clinical Effectiveness, Cochrane, Combination Therapy, Cost-Effectiveness, Databases, Double-Blind, Effectiveness, Embase, Evaluation, Follow-up, Gene-Expression, Health Care, Healthy Male-Volunteers, Impact, Information, Joint Space, Mechanism, Mechanism of Action, Medline, Model, Oral Glucosamine, Outcomes, Pain, Papers, Placebo-Controlled Trial, Primary, Pubmed, Quality of Life, Randomized Controlled-Trials, Research, Review, Risk-Factors, Science, Systematic, Systematic Review, Systematic Reviews, Therapy, Treatment, UK, Web of Science</w:t>
      </w:r>
    </w:p>
    <w:p w:rsidR="00766DF9" w:rsidRDefault="00766DF9" w:rsidP="00766DF9">
      <w:pPr>
        <w:pStyle w:val="a0"/>
        <w:rPr>
          <w:kern w:val="0"/>
        </w:rPr>
      </w:pPr>
      <w:r>
        <w:rPr>
          <w:rFonts w:hint="eastAsia"/>
          <w:kern w:val="0"/>
        </w:rPr>
        <w:t xml:space="preserve">? </w:t>
      </w:r>
      <w:r>
        <w:rPr>
          <w:kern w:val="0"/>
        </w:rPr>
        <w:t>Burch, J., Paulden, M., Conti, S., Stock, C., Corbett, M., Welton, N.J., Ades, A.E., Sutton, A., Cooper, N., Elliot, A.J., Nicholson, K., Duffy, S., McKenna, C., Stewart, L., Westwood, M.</w:t>
      </w:r>
      <w:r w:rsidR="00F81221">
        <w:rPr>
          <w:kern w:val="0"/>
        </w:rPr>
        <w:t xml:space="preserve"> and </w:t>
      </w:r>
      <w:r>
        <w:rPr>
          <w:kern w:val="0"/>
        </w:rPr>
        <w:t xml:space="preserve">Palmer, S. (2009), Antiviral drugs for the treatment of influenza: </w:t>
      </w:r>
      <w:r>
        <w:rPr>
          <w:rFonts w:hint="eastAsia"/>
          <w:kern w:val="0"/>
        </w:rPr>
        <w:t>A</w:t>
      </w:r>
      <w:r>
        <w:rPr>
          <w:kern w:val="0"/>
        </w:rPr>
        <w:t xml:space="preserve"> systematic review</w:t>
      </w:r>
      <w:r w:rsidR="00F81221">
        <w:rPr>
          <w:kern w:val="0"/>
        </w:rPr>
        <w:t xml:space="preserve"> and </w:t>
      </w:r>
      <w:r>
        <w:rPr>
          <w:kern w:val="0"/>
        </w:rPr>
        <w:t xml:space="preserve">economic evaluation. </w:t>
      </w:r>
      <w:r>
        <w:rPr>
          <w:i/>
          <w:iCs/>
          <w:kern w:val="0"/>
        </w:rPr>
        <w:t>Health Technology Assessment</w:t>
      </w:r>
      <w:r>
        <w:rPr>
          <w:kern w:val="0"/>
        </w:rPr>
        <w:t xml:space="preserve">, </w:t>
      </w:r>
      <w:r>
        <w:rPr>
          <w:b/>
          <w:bCs/>
          <w:kern w:val="0"/>
        </w:rPr>
        <w:t>13</w:t>
      </w:r>
      <w:r>
        <w:rPr>
          <w:kern w:val="0"/>
        </w:rPr>
        <w:t xml:space="preserve"> (58), 1-</w:t>
      </w:r>
      <w:r w:rsidR="00EE55B5">
        <w:rPr>
          <w:rFonts w:hint="eastAsia"/>
          <w:kern w:val="0"/>
        </w:rPr>
        <w:t>290</w:t>
      </w:r>
      <w:r>
        <w:rPr>
          <w:kern w:val="0"/>
        </w:rPr>
        <w:t>.</w:t>
      </w:r>
    </w:p>
    <w:p w:rsidR="00DB45FC" w:rsidRDefault="00DB45FC" w:rsidP="00DB45FC">
      <w:pPr>
        <w:pStyle w:val="a0"/>
        <w:rPr>
          <w:kern w:val="0"/>
        </w:rPr>
      </w:pPr>
      <w:r>
        <w:rPr>
          <w:rFonts w:hint="eastAsia"/>
          <w:kern w:val="0"/>
        </w:rPr>
        <w:t xml:space="preserve">Full Text: </w:t>
      </w:r>
      <w:hyperlink r:id="rId591" w:history="1">
        <w:r w:rsidRPr="00451801">
          <w:rPr>
            <w:rStyle w:val="a5"/>
            <w:kern w:val="0"/>
          </w:rPr>
          <w:t>2009\Hea Tec Ass13, 1.pdf</w:t>
        </w:r>
      </w:hyperlink>
    </w:p>
    <w:p w:rsidR="00766DF9" w:rsidRDefault="00766DF9" w:rsidP="00766DF9">
      <w:pPr>
        <w:pStyle w:val="a0"/>
        <w:rPr>
          <w:kern w:val="0"/>
        </w:rPr>
      </w:pPr>
      <w:r>
        <w:rPr>
          <w:kern w:val="0"/>
        </w:rPr>
        <w:t>Abstract: Objectives: To evaluate the clinical effectiveness (including adverse events)</w:t>
      </w:r>
      <w:r w:rsidR="00F81221">
        <w:rPr>
          <w:kern w:val="0"/>
        </w:rPr>
        <w:t xml:space="preserve"> and </w:t>
      </w:r>
      <w:r>
        <w:rPr>
          <w:kern w:val="0"/>
        </w:rPr>
        <w:t xml:space="preserve">cost-effectiveness of antivirals for the treatment of naturally acquired influenza for </w:t>
      </w:r>
      <w:r w:rsidR="000352E7">
        <w:rPr>
          <w:kern w:val="0"/>
        </w:rPr>
        <w:t>‘</w:t>
      </w:r>
      <w:r>
        <w:rPr>
          <w:kern w:val="0"/>
        </w:rPr>
        <w:t>at-risk</w:t>
      </w:r>
      <w:r w:rsidR="000352E7">
        <w:rPr>
          <w:kern w:val="0"/>
        </w:rPr>
        <w:t>’</w:t>
      </w:r>
      <w:r w:rsidR="00F81221">
        <w:rPr>
          <w:kern w:val="0"/>
        </w:rPr>
        <w:t xml:space="preserve"> and </w:t>
      </w:r>
      <w:r>
        <w:rPr>
          <w:kern w:val="0"/>
        </w:rPr>
        <w:t>otherwise healthy populations. Data sources: Eleven electronic databases (MEDLINE, EMBASE, Cumulative Index to Nursing</w:t>
      </w:r>
      <w:r w:rsidR="00F81221">
        <w:rPr>
          <w:kern w:val="0"/>
        </w:rPr>
        <w:t xml:space="preserve"> and </w:t>
      </w:r>
      <w:r>
        <w:rPr>
          <w:kern w:val="0"/>
        </w:rPr>
        <w:t>Allied Health Literature, Pascal, Science Citation Index, BIOSIS, Latin American</w:t>
      </w:r>
      <w:r w:rsidR="00F81221">
        <w:rPr>
          <w:kern w:val="0"/>
        </w:rPr>
        <w:t xml:space="preserve"> and </w:t>
      </w:r>
      <w:r>
        <w:rPr>
          <w:kern w:val="0"/>
        </w:rPr>
        <w:t>Caribbean Health Sciences, Cochrane Database of Systematic Reviews, Cochrane Central Register of Controlled Trials, Database of Abstracts of Reviews of Effects,</w:t>
      </w:r>
      <w:r w:rsidR="00F81221">
        <w:rPr>
          <w:kern w:val="0"/>
        </w:rPr>
        <w:t xml:space="preserve"> and </w:t>
      </w:r>
      <w:r>
        <w:rPr>
          <w:kern w:val="0"/>
        </w:rPr>
        <w:t>Health Technology Assessment Database) were searched from October 2001 to November 2007. A supplementary search was undertaken in June 2008 for information relating to drug resistance during the 2007-8 influenza season. Review methods: Systematic reviews of the evidence on the clinical effectiveness</w:t>
      </w:r>
      <w:r w:rsidR="00F81221">
        <w:rPr>
          <w:kern w:val="0"/>
        </w:rPr>
        <w:t xml:space="preserve"> and </w:t>
      </w:r>
      <w:r>
        <w:rPr>
          <w:kern w:val="0"/>
        </w:rPr>
        <w:t xml:space="preserve">cost-effectiveness of antivirals for the treatment of influenza were undertaken. Twenty-nine randomised controlled trials comparing antivirals with each other, placebo, or best symptomatic care were included in the evaluation of clinical effectiveness in patients presenting with an influenza-like illness (ILI). Primary outcomes were measures of symptom duration (median time to alleviation of </w:t>
      </w:r>
      <w:r>
        <w:rPr>
          <w:kern w:val="0"/>
        </w:rPr>
        <w:lastRenderedPageBreak/>
        <w:t>symptoms</w:t>
      </w:r>
      <w:r w:rsidR="00F81221">
        <w:rPr>
          <w:kern w:val="0"/>
        </w:rPr>
        <w:t xml:space="preserve"> and </w:t>
      </w:r>
      <w:r>
        <w:rPr>
          <w:kern w:val="0"/>
        </w:rPr>
        <w:t>median time to return to normal activity). Incidence of complications, mortality, hospitalisations, antibiotic use (as a surrogate for complications)</w:t>
      </w:r>
      <w:r w:rsidR="00F81221">
        <w:rPr>
          <w:kern w:val="0"/>
        </w:rPr>
        <w:t xml:space="preserve"> and </w:t>
      </w:r>
      <w:r>
        <w:rPr>
          <w:kern w:val="0"/>
        </w:rPr>
        <w:t>adverse events was also assessed. In addition, an independent decision model was developed to evaluate the cost-effectiveness of antiviral treatment from the perspective of the UK NHS. Results: Amantadine was excluded at an early stage, owing to a lack of any new trials that met the inclusion criteria</w:t>
      </w:r>
      <w:r w:rsidR="00F81221">
        <w:rPr>
          <w:kern w:val="0"/>
        </w:rPr>
        <w:t xml:space="preserve"> and </w:t>
      </w:r>
      <w:r>
        <w:rPr>
          <w:kern w:val="0"/>
        </w:rPr>
        <w:t>the limitations of the existing evidence. The review therefore focused on the neuraminiclase inhibitors (NIs) oseltarrivir</w:t>
      </w:r>
      <w:r w:rsidR="00F81221">
        <w:rPr>
          <w:kern w:val="0"/>
        </w:rPr>
        <w:t xml:space="preserve"> and </w:t>
      </w:r>
      <w:r>
        <w:rPr>
          <w:kern w:val="0"/>
        </w:rPr>
        <w:t>zanarnivir, both of which were found to be effective in reducing symptom duration (zanamavir by 0.5- 1.0 days</w:t>
      </w:r>
      <w:r w:rsidR="00F81221">
        <w:rPr>
          <w:kern w:val="0"/>
        </w:rPr>
        <w:t xml:space="preserve"> and </w:t>
      </w:r>
      <w:r>
        <w:rPr>
          <w:kern w:val="0"/>
        </w:rPr>
        <w:t>oseltarnivir by 0.5-1.5 days). However, the effect sizes were often small</w:t>
      </w:r>
      <w:r w:rsidR="00F81221">
        <w:rPr>
          <w:kern w:val="0"/>
        </w:rPr>
        <w:t xml:space="preserve"> and </w:t>
      </w:r>
      <w:r>
        <w:rPr>
          <w:kern w:val="0"/>
        </w:rPr>
        <w:t>unlikely to be clinically significant in many cases, particularly in healthy adults. For the at-risk subgroups, effect sizes for differences in symptom duration were generally larger,</w:t>
      </w:r>
      <w:r w:rsidR="00F81221">
        <w:rPr>
          <w:kern w:val="0"/>
        </w:rPr>
        <w:t xml:space="preserve"> and </w:t>
      </w:r>
      <w:r>
        <w:rPr>
          <w:kern w:val="0"/>
        </w:rPr>
        <w:t>potentially more clinically significant, than those seen in healthy adults (median duration of symptoms reduced by 1-2 days with zanarnivir</w:t>
      </w:r>
      <w:r w:rsidR="00F81221">
        <w:rPr>
          <w:kern w:val="0"/>
        </w:rPr>
        <w:t xml:space="preserve"> and </w:t>
      </w:r>
      <w:r>
        <w:rPr>
          <w:kern w:val="0"/>
        </w:rPr>
        <w:t>0.50-0.75 days with oseltarnivir). However, there was greater uncertainty around these results, with estimates often failing to reach statistical significance. The most consistent data</w:t>
      </w:r>
      <w:r w:rsidR="00F81221">
        <w:rPr>
          <w:kern w:val="0"/>
        </w:rPr>
        <w:t xml:space="preserve"> and </w:t>
      </w:r>
      <w:r>
        <w:rPr>
          <w:kern w:val="0"/>
        </w:rPr>
        <w:t>strongest evidence related to antibiotic use, with both zanarnivir</w:t>
      </w:r>
      <w:r w:rsidR="00F81221">
        <w:rPr>
          <w:kern w:val="0"/>
        </w:rPr>
        <w:t xml:space="preserve"> and </w:t>
      </w:r>
      <w:r>
        <w:rPr>
          <w:kern w:val="0"/>
        </w:rPr>
        <w:t>oseltarnivir resulting in statistically significant reductions in antibiotic use. In general, the estimates from the cost-effectiveness model were more favourable in at-risk populations (including adults</w:t>
      </w:r>
      <w:r w:rsidR="00F81221">
        <w:rPr>
          <w:kern w:val="0"/>
        </w:rPr>
        <w:t xml:space="preserve"> and </w:t>
      </w:r>
      <w:r>
        <w:rPr>
          <w:kern w:val="0"/>
        </w:rPr>
        <w:t>children with comorbid conditions</w:t>
      </w:r>
      <w:r w:rsidR="00F81221">
        <w:rPr>
          <w:kern w:val="0"/>
        </w:rPr>
        <w:t xml:space="preserve"> and </w:t>
      </w:r>
      <w:r>
        <w:rPr>
          <w:kern w:val="0"/>
        </w:rPr>
        <w:t>the elderly) compared with otherwise healthy populations. Zanamivir was the optimal NI treatment in each of the at-risk populations considered,</w:t>
      </w:r>
      <w:r w:rsidR="00F81221">
        <w:rPr>
          <w:kern w:val="0"/>
        </w:rPr>
        <w:t xml:space="preserve"> and </w:t>
      </w:r>
      <w:r>
        <w:rPr>
          <w:kern w:val="0"/>
        </w:rPr>
        <w:t>oseltarnivir was optimal for healthy populations (both adults</w:t>
      </w:r>
      <w:r w:rsidR="00F81221">
        <w:rPr>
          <w:kern w:val="0"/>
        </w:rPr>
        <w:t xml:space="preserve"> and </w:t>
      </w:r>
      <w:r>
        <w:rPr>
          <w:kern w:val="0"/>
        </w:rPr>
        <w:t>children). Conclusions: The clinical effectiveness data for population subgroups used to inform the multiparameter evidence synthesis</w:t>
      </w:r>
      <w:r w:rsidR="00F81221">
        <w:rPr>
          <w:kern w:val="0"/>
        </w:rPr>
        <w:t xml:space="preserve"> and </w:t>
      </w:r>
      <w:r>
        <w:rPr>
          <w:kern w:val="0"/>
        </w:rPr>
        <w:t>costeffectiveness modelling were, in places, limited</w:t>
      </w:r>
      <w:r w:rsidR="00F81221">
        <w:rPr>
          <w:kern w:val="0"/>
        </w:rPr>
        <w:t xml:space="preserve"> and </w:t>
      </w:r>
      <w:r>
        <w:rPr>
          <w:kern w:val="0"/>
        </w:rPr>
        <w:t>this should be borne in mind when interpreting the findings of this review. Trials were often not designed to determine clinical effectiveness in population subgroups</w:t>
      </w:r>
      <w:r w:rsidR="00F81221">
        <w:rPr>
          <w:kern w:val="0"/>
        </w:rPr>
        <w:t xml:space="preserve"> and </w:t>
      </w:r>
      <w:r>
        <w:rPr>
          <w:kern w:val="0"/>
        </w:rPr>
        <w:t>hence, although the direction of effect was clear, estimates of differences in symptom duration tended to be subject to greater uncertainty in subgroups. Despite some concerns, the use of Nis in at-risk populations appeared to be a cost-effective approach for the treatment of influenza. Well-designed observational studies might also be considered to evaluate the clinical course of influenza in terms of complications, hospitalisation, mortality</w:t>
      </w:r>
      <w:r w:rsidR="00F81221">
        <w:rPr>
          <w:kern w:val="0"/>
        </w:rPr>
        <w:t xml:space="preserve"> and </w:t>
      </w:r>
      <w:r>
        <w:rPr>
          <w:kern w:val="0"/>
        </w:rPr>
        <w:t>quality of life, as well as the impact of Nis.</w:t>
      </w:r>
    </w:p>
    <w:p w:rsidR="00766DF9" w:rsidRDefault="00766DF9" w:rsidP="00766DF9">
      <w:pPr>
        <w:pStyle w:val="a0"/>
        <w:rPr>
          <w:kern w:val="0"/>
        </w:rPr>
      </w:pPr>
      <w:r>
        <w:rPr>
          <w:kern w:val="0"/>
        </w:rPr>
        <w:t xml:space="preserve">Keywords: B Virus-Infections, Citation, Cost-Effectiveness Analysis, Database, Double-Blind, Elderly, Evaluation, High-Risk Population, Impact, Inhaled Zanamivir, Literature, Medical Decision-Making, Medline, Mixed Treatment Comparisons, Neuraminidase Inhibitor Zanamivir, Otherwise Healthy-Adults, Randomized Controlled-Trial, Review, Science Citation Index, Systematic Review, Treatment, </w:t>
      </w:r>
      <w:r>
        <w:rPr>
          <w:kern w:val="0"/>
        </w:rPr>
        <w:lastRenderedPageBreak/>
        <w:t>UK</w:t>
      </w:r>
    </w:p>
    <w:p w:rsidR="005940D1" w:rsidRDefault="005940D1" w:rsidP="005940D1">
      <w:pPr>
        <w:pStyle w:val="a0"/>
        <w:rPr>
          <w:kern w:val="0"/>
        </w:rPr>
      </w:pPr>
      <w:r>
        <w:rPr>
          <w:rFonts w:hint="eastAsia"/>
          <w:kern w:val="0"/>
        </w:rPr>
        <w:t xml:space="preserve">? </w:t>
      </w:r>
      <w:r>
        <w:rPr>
          <w:kern w:val="0"/>
        </w:rPr>
        <w:t>Bond, M., Wyatt, K., Lloyd, J., Welch, K.</w:t>
      </w:r>
      <w:r w:rsidR="00F81221">
        <w:rPr>
          <w:kern w:val="0"/>
        </w:rPr>
        <w:t xml:space="preserve"> and </w:t>
      </w:r>
      <w:r>
        <w:rPr>
          <w:kern w:val="0"/>
        </w:rPr>
        <w:t>Taylor, R. (2009), Systematic review of the effectiveness</w:t>
      </w:r>
      <w:r w:rsidR="00F81221">
        <w:rPr>
          <w:kern w:val="0"/>
        </w:rPr>
        <w:t xml:space="preserve"> and </w:t>
      </w:r>
      <w:r>
        <w:rPr>
          <w:kern w:val="0"/>
        </w:rPr>
        <w:t xml:space="preserve">cost-effectiveness of weight management schemes for the under fives: </w:t>
      </w:r>
      <w:r>
        <w:rPr>
          <w:rFonts w:hint="eastAsia"/>
          <w:kern w:val="0"/>
        </w:rPr>
        <w:t>A</w:t>
      </w:r>
      <w:r>
        <w:rPr>
          <w:kern w:val="0"/>
        </w:rPr>
        <w:t xml:space="preserve"> short report. </w:t>
      </w:r>
      <w:r>
        <w:rPr>
          <w:i/>
          <w:iCs/>
          <w:kern w:val="0"/>
        </w:rPr>
        <w:t>Health Technology Assessment</w:t>
      </w:r>
      <w:r>
        <w:rPr>
          <w:kern w:val="0"/>
        </w:rPr>
        <w:t xml:space="preserve">, </w:t>
      </w:r>
      <w:r>
        <w:rPr>
          <w:b/>
          <w:bCs/>
          <w:kern w:val="0"/>
        </w:rPr>
        <w:t>13</w:t>
      </w:r>
      <w:r>
        <w:rPr>
          <w:kern w:val="0"/>
        </w:rPr>
        <w:t xml:space="preserve"> (61), 1-</w:t>
      </w:r>
      <w:r w:rsidR="001E3802">
        <w:rPr>
          <w:rFonts w:hint="eastAsia"/>
          <w:kern w:val="0"/>
        </w:rPr>
        <w:t>99</w:t>
      </w:r>
      <w:r>
        <w:rPr>
          <w:kern w:val="0"/>
        </w:rPr>
        <w:t>.</w:t>
      </w:r>
    </w:p>
    <w:p w:rsidR="005940D1" w:rsidRDefault="005940D1" w:rsidP="005940D1">
      <w:pPr>
        <w:pStyle w:val="a0"/>
        <w:rPr>
          <w:kern w:val="0"/>
        </w:rPr>
      </w:pPr>
      <w:r>
        <w:rPr>
          <w:rFonts w:hint="eastAsia"/>
          <w:kern w:val="0"/>
        </w:rPr>
        <w:t xml:space="preserve">Full Text: </w:t>
      </w:r>
      <w:hyperlink r:id="rId592" w:history="1">
        <w:r w:rsidRPr="00A073C0">
          <w:rPr>
            <w:rStyle w:val="a5"/>
            <w:kern w:val="0"/>
          </w:rPr>
          <w:t>2009\Hea Tec Ass13-61, 1.pdf</w:t>
        </w:r>
      </w:hyperlink>
    </w:p>
    <w:p w:rsidR="005940D1" w:rsidRDefault="005940D1" w:rsidP="005940D1">
      <w:pPr>
        <w:pStyle w:val="a0"/>
        <w:rPr>
          <w:kern w:val="0"/>
        </w:rPr>
      </w:pPr>
      <w:r>
        <w:rPr>
          <w:kern w:val="0"/>
        </w:rPr>
        <w:t>Abstract: Objective: To search for, review</w:t>
      </w:r>
      <w:r w:rsidR="00F81221">
        <w:rPr>
          <w:kern w:val="0"/>
        </w:rPr>
        <w:t xml:space="preserve"> and </w:t>
      </w:r>
      <w:r>
        <w:rPr>
          <w:kern w:val="0"/>
        </w:rPr>
        <w:t>synthesise studies of the effectiveness</w:t>
      </w:r>
      <w:r w:rsidR="00F81221">
        <w:rPr>
          <w:kern w:val="0"/>
        </w:rPr>
        <w:t xml:space="preserve"> and </w:t>
      </w:r>
      <w:r>
        <w:rPr>
          <w:kern w:val="0"/>
        </w:rPr>
        <w:t>cost-effectiveness of weight management schemes for the under fives. Data sources: MEDLINE [Ovid], MEDLINE In-Process [Ovid], EMBASE (Ovid], CAB [Ovid], Health Management Information Consortium [Ovid],The Cochrane Database of Systematic Reviews, Cochrane Register of Controlled Trials, Science Citation Index Expanded [Web of Science], Conference Proceedings Citation Index [The Web of Science], Database of Abstract Reviews [CRD; Centre for Reviews</w:t>
      </w:r>
      <w:r w:rsidR="00F81221">
        <w:rPr>
          <w:kern w:val="0"/>
        </w:rPr>
        <w:t xml:space="preserve"> and </w:t>
      </w:r>
      <w:r>
        <w:rPr>
          <w:kern w:val="0"/>
        </w:rPr>
        <w:t>Dissemination], HTA [CRD], PsycINFO [Ebsco], NHS CRD. These databases were searched from 1990 to February 2009. Supplementary internet searches were additionally conducted. Review methods: Relevant clinical effectiveness studies were identified in two stages.</w:t>
      </w:r>
      <w:r w:rsidR="001E3802">
        <w:rPr>
          <w:rFonts w:hint="eastAsia"/>
          <w:kern w:val="0"/>
        </w:rPr>
        <w:t xml:space="preserve"> </w:t>
      </w:r>
      <w:r>
        <w:rPr>
          <w:kern w:val="0"/>
        </w:rPr>
        <w:t>Titles</w:t>
      </w:r>
      <w:r w:rsidR="00F81221">
        <w:rPr>
          <w:kern w:val="0"/>
        </w:rPr>
        <w:t xml:space="preserve"> and </w:t>
      </w:r>
      <w:r>
        <w:rPr>
          <w:kern w:val="0"/>
        </w:rPr>
        <w:t>abstracts returned by the search strategy were examined independently by three researchers</w:t>
      </w:r>
      <w:r w:rsidR="00F81221">
        <w:rPr>
          <w:kern w:val="0"/>
        </w:rPr>
        <w:t xml:space="preserve"> and </w:t>
      </w:r>
      <w:r>
        <w:rPr>
          <w:kern w:val="0"/>
        </w:rPr>
        <w:t>screened for possible inclusion. Disagreements were resolved by discussion. Full texts of the identified studies were obtained.</w:t>
      </w:r>
      <w:r w:rsidR="001E3802">
        <w:rPr>
          <w:rFonts w:hint="eastAsia"/>
          <w:kern w:val="0"/>
        </w:rPr>
        <w:t xml:space="preserve"> </w:t>
      </w:r>
      <w:r>
        <w:rPr>
          <w:kern w:val="0"/>
        </w:rPr>
        <w:t>Three researchers examined these independently for inclusion or exclusion,</w:t>
      </w:r>
      <w:r w:rsidR="00F81221">
        <w:rPr>
          <w:kern w:val="0"/>
        </w:rPr>
        <w:t xml:space="preserve"> and </w:t>
      </w:r>
      <w:r>
        <w:rPr>
          <w:kern w:val="0"/>
        </w:rPr>
        <w:t>disagreements were again resolved by discussion. Results: One of the randomised controlled trials (RCTs) was from the UK. It measured the effects of a physical activity intervention for children in nurseries combined with home-based health education for their parents; this was compared to usual care. The main outcome measure was body mass index (BMI); secondary measures were weight</w:t>
      </w:r>
      <w:r w:rsidR="00F81221">
        <w:rPr>
          <w:kern w:val="0"/>
        </w:rPr>
        <w:t xml:space="preserve"> and </w:t>
      </w:r>
      <w:r>
        <w:rPr>
          <w:kern w:val="0"/>
        </w:rPr>
        <w:t>physical activity. At the 12-month follow-up, no statistically significant differences were found between the groups on any measure. However, a trend, favouring the intervention, was found for BMI</w:t>
      </w:r>
      <w:r w:rsidR="00F81221">
        <w:rPr>
          <w:kern w:val="0"/>
        </w:rPr>
        <w:t xml:space="preserve"> and </w:t>
      </w:r>
      <w:r>
        <w:rPr>
          <w:kern w:val="0"/>
        </w:rPr>
        <w:t>weight. The other two RCTs were from the USA. The larger trial investigated the effects of a combined preschool</w:t>
      </w:r>
      <w:r w:rsidR="00F81221">
        <w:rPr>
          <w:kern w:val="0"/>
        </w:rPr>
        <w:t xml:space="preserve"> and </w:t>
      </w:r>
      <w:r>
        <w:rPr>
          <w:kern w:val="0"/>
        </w:rPr>
        <w:t>home intervention in African American</w:t>
      </w:r>
      <w:r w:rsidR="00F81221">
        <w:rPr>
          <w:kern w:val="0"/>
        </w:rPr>
        <w:t xml:space="preserve"> and </w:t>
      </w:r>
      <w:r>
        <w:rPr>
          <w:kern w:val="0"/>
        </w:rPr>
        <w:t>Latino communities. Nutrition education</w:t>
      </w:r>
      <w:r w:rsidR="00F81221">
        <w:rPr>
          <w:kern w:val="0"/>
        </w:rPr>
        <w:t xml:space="preserve"> and </w:t>
      </w:r>
      <w:r>
        <w:rPr>
          <w:kern w:val="0"/>
        </w:rPr>
        <w:t>physical activity programmes were aimed at under fives in preschool. The home component consisted of related health education</w:t>
      </w:r>
      <w:r w:rsidR="00F81221">
        <w:rPr>
          <w:kern w:val="0"/>
        </w:rPr>
        <w:t xml:space="preserve"> and </w:t>
      </w:r>
      <w:r>
        <w:rPr>
          <w:kern w:val="0"/>
        </w:rPr>
        <w:t>homework for the parents, who received a small financial reward on completion. The I -</w:t>
      </w:r>
      <w:r w:rsidR="00F81221">
        <w:rPr>
          <w:kern w:val="0"/>
        </w:rPr>
        <w:t xml:space="preserve"> and </w:t>
      </w:r>
      <w:r>
        <w:rPr>
          <w:kern w:val="0"/>
        </w:rPr>
        <w:t>2-year results for the African American sites showed a significantly slower rate of increase in BMI than for results at baseline, for the intervention group than for the control group. However, in the Latino communities no such differences were found. The second US trial was a much smaller home-based parental education programme in Native American communities in the USA</w:t>
      </w:r>
      <w:r w:rsidR="00F81221">
        <w:rPr>
          <w:kern w:val="0"/>
        </w:rPr>
        <w:t xml:space="preserve"> and </w:t>
      </w:r>
      <w:r>
        <w:rPr>
          <w:kern w:val="0"/>
        </w:rPr>
        <w:t>Canada. The intervention consisted of a parental skills course for parents to improve their children</w:t>
      </w:r>
      <w:r w:rsidR="000352E7">
        <w:rPr>
          <w:kern w:val="0"/>
        </w:rPr>
        <w:t>’</w:t>
      </w:r>
      <w:r>
        <w:rPr>
          <w:kern w:val="0"/>
        </w:rPr>
        <w:t>s diet</w:t>
      </w:r>
      <w:r w:rsidR="00F81221">
        <w:rPr>
          <w:kern w:val="0"/>
        </w:rPr>
        <w:t xml:space="preserve"> and </w:t>
      </w:r>
      <w:r>
        <w:rPr>
          <w:kern w:val="0"/>
        </w:rPr>
        <w:t xml:space="preserve">physical activity.This was compared with a course providing skills to improve child behaviour. Follow-up was </w:t>
      </w:r>
      <w:r>
        <w:rPr>
          <w:kern w:val="0"/>
        </w:rPr>
        <w:lastRenderedPageBreak/>
        <w:t>at 16 weeks</w:t>
      </w:r>
      <w:r w:rsidR="00F81221">
        <w:rPr>
          <w:kern w:val="0"/>
        </w:rPr>
        <w:t xml:space="preserve"> and </w:t>
      </w:r>
      <w:r>
        <w:rPr>
          <w:kern w:val="0"/>
        </w:rPr>
        <w:t>showed no significant differences between groups in BMI. Conclusions: No controlled trials addressing the issue of treating obesity or evidence of cost-effectiveness studies in the under fives</w:t>
      </w:r>
      <w:r w:rsidR="000352E7">
        <w:rPr>
          <w:kern w:val="0"/>
        </w:rPr>
        <w:t>’</w:t>
      </w:r>
      <w:r>
        <w:rPr>
          <w:kern w:val="0"/>
        </w:rPr>
        <w:t xml:space="preserve"> population were found. From the three prevention studies, apart from the larger US trial, the interventions showed no statistically significant differences in BMI</w:t>
      </w:r>
      <w:r w:rsidR="00F81221">
        <w:rPr>
          <w:kern w:val="0"/>
        </w:rPr>
        <w:t xml:space="preserve"> and </w:t>
      </w:r>
      <w:r>
        <w:rPr>
          <w:kern w:val="0"/>
        </w:rPr>
        <w:t>weight between the intervention</w:t>
      </w:r>
      <w:r w:rsidR="00F81221">
        <w:rPr>
          <w:kern w:val="0"/>
        </w:rPr>
        <w:t xml:space="preserve"> and </w:t>
      </w:r>
      <w:r>
        <w:rPr>
          <w:kern w:val="0"/>
        </w:rPr>
        <w:t>control groups (although there was some evidence of positive trends for BMI</w:t>
      </w:r>
      <w:r w:rsidR="00F81221">
        <w:rPr>
          <w:kern w:val="0"/>
        </w:rPr>
        <w:t xml:space="preserve"> and </w:t>
      </w:r>
      <w:r>
        <w:rPr>
          <w:kern w:val="0"/>
        </w:rPr>
        <w:t>weight). It should also be noted that these conclusions are based on only three dissimilar studies, thereby making the drawing of firm conclusions difficult. Further research is urgently needed in well-designed UK-based RCTs of weight management schemes aimed at the prevention of obesity, that combine with cost-effectiveness studies targeted at preschool children with long-term follow-up.</w:t>
      </w:r>
    </w:p>
    <w:p w:rsidR="005940D1" w:rsidRDefault="005940D1" w:rsidP="005940D1">
      <w:pPr>
        <w:pStyle w:val="a0"/>
        <w:rPr>
          <w:kern w:val="0"/>
        </w:rPr>
      </w:pPr>
      <w:r>
        <w:rPr>
          <w:kern w:val="0"/>
        </w:rPr>
        <w:t>Keywords: Body-Mass Index, Childhood Obesity, Citation, Database, Education, Groups, Hip-Hop, Medline, Obesity Prevention Program, Pediatric Obesity, Physical-Activity, Preschool-Children, Quality-of-Life, Randomized-Trials, Research, Review, Science Citation Index, Sedentary Behaviors, UK</w:t>
      </w:r>
    </w:p>
    <w:p w:rsidR="00110225" w:rsidRDefault="00110225" w:rsidP="00110225">
      <w:pPr>
        <w:pStyle w:val="a0"/>
        <w:rPr>
          <w:kern w:val="0"/>
        </w:rPr>
      </w:pPr>
      <w:r>
        <w:rPr>
          <w:rFonts w:hint="eastAsia"/>
          <w:kern w:val="0"/>
        </w:rPr>
        <w:t xml:space="preserve">? </w:t>
      </w:r>
      <w:r>
        <w:rPr>
          <w:kern w:val="0"/>
        </w:rPr>
        <w:t>Craig, D., McDaid, C., Fonseca, T., Stock, C., Duffy, S.</w:t>
      </w:r>
      <w:r w:rsidR="00F81221">
        <w:rPr>
          <w:kern w:val="0"/>
        </w:rPr>
        <w:t xml:space="preserve"> and </w:t>
      </w:r>
      <w:r>
        <w:rPr>
          <w:kern w:val="0"/>
        </w:rPr>
        <w:t xml:space="preserve">Woolacott, N. (2009), Are adverse effects incorporated in economic models? An initial review of current practice. </w:t>
      </w:r>
      <w:r>
        <w:rPr>
          <w:i/>
          <w:iCs/>
          <w:kern w:val="0"/>
        </w:rPr>
        <w:t>Health Technology Assessment</w:t>
      </w:r>
      <w:r>
        <w:rPr>
          <w:kern w:val="0"/>
        </w:rPr>
        <w:t xml:space="preserve">, </w:t>
      </w:r>
      <w:r>
        <w:rPr>
          <w:b/>
          <w:bCs/>
          <w:kern w:val="0"/>
        </w:rPr>
        <w:t>13</w:t>
      </w:r>
      <w:r>
        <w:rPr>
          <w:kern w:val="0"/>
        </w:rPr>
        <w:t xml:space="preserve"> (62), 1-</w:t>
      </w:r>
      <w:r>
        <w:rPr>
          <w:rFonts w:hint="eastAsia"/>
          <w:kern w:val="0"/>
        </w:rPr>
        <w:t>182</w:t>
      </w:r>
      <w:r>
        <w:rPr>
          <w:kern w:val="0"/>
        </w:rPr>
        <w:t>.</w:t>
      </w:r>
    </w:p>
    <w:p w:rsidR="00110225" w:rsidRDefault="00110225" w:rsidP="00110225">
      <w:pPr>
        <w:pStyle w:val="a0"/>
        <w:rPr>
          <w:kern w:val="0"/>
        </w:rPr>
      </w:pPr>
      <w:r>
        <w:rPr>
          <w:rFonts w:hint="eastAsia"/>
          <w:kern w:val="0"/>
        </w:rPr>
        <w:t xml:space="preserve">Full Text: </w:t>
      </w:r>
      <w:hyperlink r:id="rId593" w:history="1">
        <w:r w:rsidRPr="00440DEB">
          <w:rPr>
            <w:rStyle w:val="a5"/>
            <w:kern w:val="0"/>
          </w:rPr>
          <w:t>2009\Hea Tec Ass13-62, 1.pdf</w:t>
        </w:r>
      </w:hyperlink>
    </w:p>
    <w:p w:rsidR="00110225" w:rsidRDefault="00110225" w:rsidP="00110225">
      <w:pPr>
        <w:pStyle w:val="a0"/>
        <w:rPr>
          <w:kern w:val="0"/>
        </w:rPr>
      </w:pPr>
      <w:r>
        <w:rPr>
          <w:kern w:val="0"/>
        </w:rPr>
        <w:t>Abstract: Objectives: To identify methodological research on the incorporation of adverse effects in economic models</w:t>
      </w:r>
      <w:r w:rsidR="00F81221">
        <w:rPr>
          <w:kern w:val="0"/>
        </w:rPr>
        <w:t xml:space="preserve"> and </w:t>
      </w:r>
      <w:r>
        <w:rPr>
          <w:kern w:val="0"/>
        </w:rPr>
        <w:t>to review current practice. Data sources: Major electronic databases (Cochrane Methodology Register, Health Economic Evaluations Database, NHS Economic Evaluation Database, EconLit, EMBASE, Health Management Information Consortium, IDEAS, MEDLINE</w:t>
      </w:r>
      <w:r w:rsidR="00F81221">
        <w:rPr>
          <w:kern w:val="0"/>
        </w:rPr>
        <w:t xml:space="preserve"> and </w:t>
      </w:r>
      <w:r>
        <w:rPr>
          <w:kern w:val="0"/>
        </w:rPr>
        <w:t>Science Citation Index) were searched from inception to September 2007. Health technology assessment (HTA) reports commissioned by the National Institute for Health Research (NIHR) HTA programme</w:t>
      </w:r>
      <w:r w:rsidR="00F81221">
        <w:rPr>
          <w:kern w:val="0"/>
        </w:rPr>
        <w:t xml:space="preserve"> and </w:t>
      </w:r>
      <w:r>
        <w:rPr>
          <w:kern w:val="0"/>
        </w:rPr>
        <w:t>published between 2004</w:t>
      </w:r>
      <w:r w:rsidR="00F81221">
        <w:rPr>
          <w:kern w:val="0"/>
        </w:rPr>
        <w:t xml:space="preserve"> and </w:t>
      </w:r>
      <w:r>
        <w:rPr>
          <w:kern w:val="0"/>
        </w:rPr>
        <w:t>2007 were also reviewed. Review methods: The reviews of methodological research on the inclusion of adverse effects in decision models</w:t>
      </w:r>
      <w:r w:rsidR="00F81221">
        <w:rPr>
          <w:kern w:val="0"/>
        </w:rPr>
        <w:t xml:space="preserve"> and </w:t>
      </w:r>
      <w:r>
        <w:rPr>
          <w:kern w:val="0"/>
        </w:rPr>
        <w:t>of current practice were carried out according to standard methods. Data were summarised in a narrative synthesis. Results: Of the 719 potentially relevant references in the methodological research review, five met the inclusion criteria; however, they contained little information of direct relevance to the incorporation of adverse effects in models. Of the 194 HTA monographs published from 2004 to 2007,</w:t>
      </w:r>
      <w:r>
        <w:rPr>
          <w:rFonts w:hint="eastAsia"/>
          <w:kern w:val="0"/>
        </w:rPr>
        <w:t xml:space="preserve"> </w:t>
      </w:r>
      <w:r>
        <w:rPr>
          <w:kern w:val="0"/>
        </w:rPr>
        <w:t>80 were reviewed, covering a range of research</w:t>
      </w:r>
      <w:r w:rsidR="00F81221">
        <w:rPr>
          <w:kern w:val="0"/>
        </w:rPr>
        <w:t xml:space="preserve"> and </w:t>
      </w:r>
      <w:r>
        <w:rPr>
          <w:kern w:val="0"/>
        </w:rPr>
        <w:t>therapeutic areas. In total, 85% of the reports included adverse effects in the clinical effectiveness review</w:t>
      </w:r>
      <w:r w:rsidR="00F81221">
        <w:rPr>
          <w:kern w:val="0"/>
        </w:rPr>
        <w:t xml:space="preserve"> and </w:t>
      </w:r>
      <w:r>
        <w:rPr>
          <w:kern w:val="0"/>
        </w:rPr>
        <w:t>54% of the decision models included adverse effects in the model; 49% included adverse effects in the clinical review</w:t>
      </w:r>
      <w:r w:rsidR="00F81221">
        <w:rPr>
          <w:kern w:val="0"/>
        </w:rPr>
        <w:t xml:space="preserve"> and </w:t>
      </w:r>
      <w:r>
        <w:rPr>
          <w:kern w:val="0"/>
        </w:rPr>
        <w:t>model. The link between adverse effects in the clinical review</w:t>
      </w:r>
      <w:r w:rsidR="00F81221">
        <w:rPr>
          <w:kern w:val="0"/>
        </w:rPr>
        <w:t xml:space="preserve"> and </w:t>
      </w:r>
      <w:r>
        <w:rPr>
          <w:kern w:val="0"/>
        </w:rPr>
        <w:t xml:space="preserve">model was generally weak; only 3/80 (&lt;4%) used the results of a meta-analysis from the systematic </w:t>
      </w:r>
      <w:r>
        <w:rPr>
          <w:kern w:val="0"/>
        </w:rPr>
        <w:lastRenderedPageBreak/>
        <w:t>review of clinical effectiveness</w:t>
      </w:r>
      <w:r w:rsidR="00F81221">
        <w:rPr>
          <w:kern w:val="0"/>
        </w:rPr>
        <w:t xml:space="preserve"> and </w:t>
      </w:r>
      <w:r>
        <w:rPr>
          <w:kern w:val="0"/>
        </w:rPr>
        <w:t>none used only data from the review without further manipulation. Of the models including adverse effects, 67% used a clinical adverse effects parameter, 79% used a cost of adverse effects parameter, 86% used one of these</w:t>
      </w:r>
      <w:r w:rsidR="00F81221">
        <w:rPr>
          <w:kern w:val="0"/>
        </w:rPr>
        <w:t xml:space="preserve"> and </w:t>
      </w:r>
      <w:r>
        <w:rPr>
          <w:kern w:val="0"/>
        </w:rPr>
        <w:t>60% used both. Most models (83%) used utilities, but only two (2.5%) used solely utilities to incorporate adverse effects</w:t>
      </w:r>
      <w:r w:rsidR="00F81221">
        <w:rPr>
          <w:kern w:val="0"/>
        </w:rPr>
        <w:t xml:space="preserve"> and </w:t>
      </w:r>
      <w:r>
        <w:rPr>
          <w:kern w:val="0"/>
        </w:rPr>
        <w:t>were explicit that the utility captured relevant adverse effects; 53% of those models that included utilities derived them from patients on treatment</w:t>
      </w:r>
      <w:r w:rsidR="00F81221">
        <w:rPr>
          <w:kern w:val="0"/>
        </w:rPr>
        <w:t xml:space="preserve"> and </w:t>
      </w:r>
      <w:r>
        <w:rPr>
          <w:kern w:val="0"/>
        </w:rPr>
        <w:t>could therefore be interpreted as capturing adverse effects. In total, 30% of the models that included adverse effects used withdrawals related to drug toxicity</w:t>
      </w:r>
      <w:r w:rsidR="00F81221">
        <w:rPr>
          <w:kern w:val="0"/>
        </w:rPr>
        <w:t xml:space="preserve"> and </w:t>
      </w:r>
      <w:r>
        <w:rPr>
          <w:kern w:val="0"/>
        </w:rPr>
        <w:t>therefore might be interpreted as using withdrawals to capture adverse effects, but this was explicitly stated in only three reports. Of the 37 models that did not include adverse effects, 18 provided justification for this omission, most commonly lack of data; 19 appeared to make no explicit consideration of adverse effects in the model. Conclusions: There is an implicit assumption within modelling guidance that adverse effects are very important but there is a lack of clarity regarding how they should be dealt with</w:t>
      </w:r>
      <w:r w:rsidR="00F81221">
        <w:rPr>
          <w:kern w:val="0"/>
        </w:rPr>
        <w:t xml:space="preserve"> and </w:t>
      </w:r>
      <w:r>
        <w:rPr>
          <w:kern w:val="0"/>
        </w:rPr>
        <w:t>considered in modelling. In many cases a lack of clear reporting in the HTAs made it extremely difficult to ascertain what had actually been carried out in consideration of adverse effects. The main recommendation is for much clearer</w:t>
      </w:r>
      <w:r w:rsidR="00F81221">
        <w:rPr>
          <w:kern w:val="0"/>
        </w:rPr>
        <w:t xml:space="preserve"> and </w:t>
      </w:r>
      <w:r>
        <w:rPr>
          <w:kern w:val="0"/>
        </w:rPr>
        <w:t>explicit reporting of adverse effects, or their exclusion, in decision models</w:t>
      </w:r>
      <w:r w:rsidR="00F81221">
        <w:rPr>
          <w:kern w:val="0"/>
        </w:rPr>
        <w:t xml:space="preserve"> and </w:t>
      </w:r>
      <w:r>
        <w:rPr>
          <w:kern w:val="0"/>
        </w:rPr>
        <w:t xml:space="preserve">for explicit recognition in future guidelines that </w:t>
      </w:r>
      <w:r w:rsidR="000352E7">
        <w:rPr>
          <w:kern w:val="0"/>
        </w:rPr>
        <w:t>‘</w:t>
      </w:r>
      <w:r>
        <w:rPr>
          <w:kern w:val="0"/>
        </w:rPr>
        <w:t>all relevant outcomes</w:t>
      </w:r>
      <w:r w:rsidR="000352E7">
        <w:rPr>
          <w:kern w:val="0"/>
        </w:rPr>
        <w:t>’</w:t>
      </w:r>
      <w:r>
        <w:rPr>
          <w:kern w:val="0"/>
        </w:rPr>
        <w:t xml:space="preserve"> should include some consideration of adverse events.</w:t>
      </w:r>
    </w:p>
    <w:p w:rsidR="00110225" w:rsidRDefault="00110225" w:rsidP="00110225">
      <w:pPr>
        <w:pStyle w:val="a0"/>
        <w:rPr>
          <w:kern w:val="0"/>
        </w:rPr>
      </w:pPr>
      <w:r>
        <w:rPr>
          <w:kern w:val="0"/>
        </w:rPr>
        <w:t>Keywords: Assessment, Chronic Hepatitis-C, Citation, Clinical Effectiveness, Cognitive-Behavioral Therapy, Cost-Effectiveness Analysis, Database, Drug-Reactions, Evaluation, Health Technology-Assessment, Ideas, Medline, Meta-Analysis, Pegylated Interferon Alpha-2A, Randomized Controlled-Trial, Rapid Diagnostic-Tests, Research, Review, Science Citation Index, Systematic Review, Systematic Reviews, Treatment</w:t>
      </w:r>
    </w:p>
    <w:p w:rsidR="004D3F32" w:rsidRDefault="004D3F32" w:rsidP="004D3F32">
      <w:pPr>
        <w:pStyle w:val="a0"/>
        <w:rPr>
          <w:kern w:val="0"/>
        </w:rPr>
      </w:pPr>
      <w:r>
        <w:rPr>
          <w:rFonts w:hint="eastAsia"/>
          <w:kern w:val="0"/>
        </w:rPr>
        <w:t xml:space="preserve">? </w:t>
      </w:r>
      <w:r>
        <w:rPr>
          <w:kern w:val="0"/>
        </w:rPr>
        <w:t>Mowatt, G., Zhu, S., Kilonzo, M., Boachie, C., Fraser, C., Griffiths, T.R.L., N</w:t>
      </w:r>
      <w:r w:rsidR="000352E7">
        <w:rPr>
          <w:kern w:val="0"/>
        </w:rPr>
        <w:t>’</w:t>
      </w:r>
      <w:r>
        <w:rPr>
          <w:kern w:val="0"/>
        </w:rPr>
        <w:t>Dow, J., Nabi, G., Cook, J.</w:t>
      </w:r>
      <w:r w:rsidR="00F81221">
        <w:rPr>
          <w:kern w:val="0"/>
        </w:rPr>
        <w:t xml:space="preserve"> and </w:t>
      </w:r>
      <w:r>
        <w:rPr>
          <w:kern w:val="0"/>
        </w:rPr>
        <w:t>Vale, L. (2010), Systematic review of the clinical effectiveness</w:t>
      </w:r>
      <w:r w:rsidR="00F81221">
        <w:rPr>
          <w:kern w:val="0"/>
        </w:rPr>
        <w:t xml:space="preserve"> and </w:t>
      </w:r>
      <w:r>
        <w:rPr>
          <w:kern w:val="0"/>
        </w:rPr>
        <w:t>cost-effectiveness of photodynamic diagnosis</w:t>
      </w:r>
      <w:r w:rsidR="00F81221">
        <w:rPr>
          <w:kern w:val="0"/>
        </w:rPr>
        <w:t xml:space="preserve"> and </w:t>
      </w:r>
      <w:r>
        <w:rPr>
          <w:kern w:val="0"/>
        </w:rPr>
        <w:t>urine biomarkers (FISH, ImmunoCyt, NMP22)</w:t>
      </w:r>
      <w:r w:rsidR="00F81221">
        <w:rPr>
          <w:kern w:val="0"/>
        </w:rPr>
        <w:t xml:space="preserve"> and </w:t>
      </w:r>
      <w:r>
        <w:rPr>
          <w:kern w:val="0"/>
        </w:rPr>
        <w:t>cytology for the detection</w:t>
      </w:r>
      <w:r w:rsidR="00F81221">
        <w:rPr>
          <w:kern w:val="0"/>
        </w:rPr>
        <w:t xml:space="preserve"> and </w:t>
      </w:r>
      <w:r>
        <w:rPr>
          <w:kern w:val="0"/>
        </w:rPr>
        <w:t xml:space="preserve">follow-up of bladder cancer. </w:t>
      </w:r>
      <w:r>
        <w:rPr>
          <w:i/>
          <w:iCs/>
          <w:kern w:val="0"/>
        </w:rPr>
        <w:t>Health Technology Assessment</w:t>
      </w:r>
      <w:r>
        <w:rPr>
          <w:kern w:val="0"/>
        </w:rPr>
        <w:t xml:space="preserve">, </w:t>
      </w:r>
      <w:r>
        <w:rPr>
          <w:b/>
          <w:bCs/>
          <w:kern w:val="0"/>
        </w:rPr>
        <w:t>14</w:t>
      </w:r>
      <w:r>
        <w:rPr>
          <w:kern w:val="0"/>
        </w:rPr>
        <w:t xml:space="preserve"> (4), 1-</w:t>
      </w:r>
      <w:r>
        <w:rPr>
          <w:rFonts w:hint="eastAsia"/>
          <w:kern w:val="0"/>
        </w:rPr>
        <w:t>356</w:t>
      </w:r>
      <w:r>
        <w:rPr>
          <w:kern w:val="0"/>
        </w:rPr>
        <w:t>.</w:t>
      </w:r>
    </w:p>
    <w:p w:rsidR="004D3F32" w:rsidRDefault="004D3F32" w:rsidP="004D3F32">
      <w:pPr>
        <w:pStyle w:val="a0"/>
        <w:rPr>
          <w:kern w:val="0"/>
        </w:rPr>
      </w:pPr>
      <w:r>
        <w:rPr>
          <w:rFonts w:hint="eastAsia"/>
          <w:kern w:val="0"/>
        </w:rPr>
        <w:t xml:space="preserve">Full Text: </w:t>
      </w:r>
      <w:hyperlink r:id="rId594" w:history="1">
        <w:r w:rsidRPr="00DB7863">
          <w:rPr>
            <w:rStyle w:val="a5"/>
            <w:kern w:val="0"/>
          </w:rPr>
          <w:t>2010\Hea Tec Ass14, 1.pdf</w:t>
        </w:r>
      </w:hyperlink>
    </w:p>
    <w:p w:rsidR="004D3F32" w:rsidRDefault="004D3F32" w:rsidP="004D3F32">
      <w:pPr>
        <w:pStyle w:val="a0"/>
        <w:rPr>
          <w:kern w:val="0"/>
        </w:rPr>
      </w:pPr>
      <w:r>
        <w:rPr>
          <w:kern w:val="0"/>
        </w:rPr>
        <w:t>Abstract: Objective: To assess the clinical effectiveness</w:t>
      </w:r>
      <w:r w:rsidR="00F81221">
        <w:rPr>
          <w:kern w:val="0"/>
        </w:rPr>
        <w:t xml:space="preserve"> and </w:t>
      </w:r>
      <w:r>
        <w:rPr>
          <w:kern w:val="0"/>
        </w:rPr>
        <w:t>cost-effectiveness of photodynamic diagnosis (PDD) compared with white light cystoscopy (WLC),</w:t>
      </w:r>
      <w:r w:rsidR="00F81221">
        <w:rPr>
          <w:kern w:val="0"/>
        </w:rPr>
        <w:t xml:space="preserve"> and </w:t>
      </w:r>
      <w:r>
        <w:rPr>
          <w:kern w:val="0"/>
        </w:rPr>
        <w:t>urine biomarkers [fluorescence in situ hybridisation (FISH), ImmunoCyt, NMP22]</w:t>
      </w:r>
      <w:r w:rsidR="00F81221">
        <w:rPr>
          <w:kern w:val="0"/>
        </w:rPr>
        <w:t xml:space="preserve"> and </w:t>
      </w:r>
      <w:r>
        <w:rPr>
          <w:kern w:val="0"/>
        </w:rPr>
        <w:t>cytology for the detection</w:t>
      </w:r>
      <w:r w:rsidR="00F81221">
        <w:rPr>
          <w:kern w:val="0"/>
        </w:rPr>
        <w:t xml:space="preserve"> and </w:t>
      </w:r>
      <w:r>
        <w:rPr>
          <w:kern w:val="0"/>
        </w:rPr>
        <w:t>follow-up of bladder cancer. Data sources: Major electronic databases including MEDLINE, MEDLINE In-Process, EMBASE, BIOSIS, Science Citation Index, Health Management Information Consortium</w:t>
      </w:r>
      <w:r w:rsidR="00F81221">
        <w:rPr>
          <w:kern w:val="0"/>
        </w:rPr>
        <w:t xml:space="preserve"> and </w:t>
      </w:r>
      <w:r>
        <w:rPr>
          <w:kern w:val="0"/>
        </w:rPr>
        <w:lastRenderedPageBreak/>
        <w:t>the Cochrane Controlled Trials Register were searched until April 2008. Review methods: A systematic review of the literature was carried out according to standard methods. An economic model was constructed to assess the cost-effectiveness of alternative diagnostic</w:t>
      </w:r>
      <w:r w:rsidR="00F81221">
        <w:rPr>
          <w:kern w:val="0"/>
        </w:rPr>
        <w:t xml:space="preserve"> and </w:t>
      </w:r>
      <w:r>
        <w:rPr>
          <w:kern w:val="0"/>
        </w:rPr>
        <w:t>follow-up strategies for the diagnosis</w:t>
      </w:r>
      <w:r w:rsidR="00F81221">
        <w:rPr>
          <w:kern w:val="0"/>
        </w:rPr>
        <w:t xml:space="preserve"> and </w:t>
      </w:r>
      <w:r>
        <w:rPr>
          <w:kern w:val="0"/>
        </w:rPr>
        <w:t>management of patients with bladder cancer. Results: In total, 27 studies reported PDD test performance. In pooled estimates [95% confidence interval (Cl)] for patient-level analysis, PDD had higher sensitivity than WLC [92% (80% to 100%) versus 71% (49% to 93%)] but lower specificity [57% (36% to 79%) versus 72% (47% to 96%)]. Similar results were found for biopsy-level analysis. The median sensitivities (range) of PDD</w:t>
      </w:r>
      <w:r w:rsidR="00F81221">
        <w:rPr>
          <w:kern w:val="0"/>
        </w:rPr>
        <w:t xml:space="preserve"> and </w:t>
      </w:r>
      <w:r>
        <w:rPr>
          <w:kern w:val="0"/>
        </w:rPr>
        <w:t>WLC for detecting lower risk, less aggressive tumours were similar for patient-level detection [92% (20% to 95%) versus 95% (8% to 100%)], but sensitivity was higher for PDD than for WLC for biopsy-level detection [96% (88% to 100%) versus 88% (74% to 100%)]. For more aggressive, higher-risk tumours the median sensitivity of PDD for both patient-level [89% (6% to 100%)]</w:t>
      </w:r>
      <w:r w:rsidR="00F81221">
        <w:rPr>
          <w:kern w:val="0"/>
        </w:rPr>
        <w:t xml:space="preserve"> and </w:t>
      </w:r>
      <w:r>
        <w:rPr>
          <w:kern w:val="0"/>
        </w:rPr>
        <w:t>biopsy-level [99% (54% to 100%)] detection was higher than those of WLC [56% (0% to 100%)</w:t>
      </w:r>
      <w:r w:rsidR="00F81221">
        <w:rPr>
          <w:kern w:val="0"/>
        </w:rPr>
        <w:t xml:space="preserve"> and </w:t>
      </w:r>
      <w:r>
        <w:rPr>
          <w:kern w:val="0"/>
        </w:rPr>
        <w:t>67% (0% to 100%) respectively]. Four RCTs comparing PDD with WLC reported effectiveness outcomes. PDD use at transurethral resection of bladder tumour resulted in fewer residual tumours at check cystoscopy [relative risk, RR, 0.37 (95% Cl 0.20 to 0.69)]</w:t>
      </w:r>
      <w:r w:rsidR="00F81221">
        <w:rPr>
          <w:kern w:val="0"/>
        </w:rPr>
        <w:t xml:space="preserve"> and </w:t>
      </w:r>
      <w:r>
        <w:rPr>
          <w:kern w:val="0"/>
        </w:rPr>
        <w:t>longer recurrence-free survival [RR 1.37 (95% Cl 1.18 to 1.59)] compared with WLC. In 71 studies reporting the performance of biomarkers</w:t>
      </w:r>
      <w:r w:rsidR="00F81221">
        <w:rPr>
          <w:kern w:val="0"/>
        </w:rPr>
        <w:t xml:space="preserve"> and </w:t>
      </w:r>
      <w:r>
        <w:rPr>
          <w:kern w:val="0"/>
        </w:rPr>
        <w:t>cytology in detecting bladder cancer, sensitivity (95% CI) was highest for ImmunoCyt [84% (77% to 91%)]</w:t>
      </w:r>
      <w:r w:rsidR="00F81221">
        <w:rPr>
          <w:kern w:val="0"/>
        </w:rPr>
        <w:t xml:space="preserve"> and </w:t>
      </w:r>
      <w:r>
        <w:rPr>
          <w:kern w:val="0"/>
        </w:rPr>
        <w:t>lowest for cytology [44% (38% to 51%)], whereas specificity was highest for cytology [96% (94% to 98%)]</w:t>
      </w:r>
      <w:r w:rsidR="00F81221">
        <w:rPr>
          <w:kern w:val="0"/>
        </w:rPr>
        <w:t xml:space="preserve"> and </w:t>
      </w:r>
      <w:r>
        <w:rPr>
          <w:kern w:val="0"/>
        </w:rPr>
        <w:t>lowest for ImmunoCyt [75% (68% to 83%)]. In the cost-effectiveness analysis the most effective strategy in terms of true positive cases (44)</w:t>
      </w:r>
      <w:r w:rsidR="00F81221">
        <w:rPr>
          <w:kern w:val="0"/>
        </w:rPr>
        <w:t xml:space="preserve"> and </w:t>
      </w:r>
      <w:r>
        <w:rPr>
          <w:kern w:val="0"/>
        </w:rPr>
        <w:t xml:space="preserve">life-years </w:t>
      </w:r>
      <w:r w:rsidR="002F1E82">
        <w:rPr>
          <w:kern w:val="0"/>
        </w:rPr>
        <w:t>(</w:t>
      </w:r>
      <w:r>
        <w:rPr>
          <w:kern w:val="0"/>
        </w:rPr>
        <w:t>11.66) [flexible cystoscopy (CSC)</w:t>
      </w:r>
      <w:r w:rsidR="00F81221">
        <w:rPr>
          <w:kern w:val="0"/>
        </w:rPr>
        <w:t xml:space="preserve"> and </w:t>
      </w:r>
      <w:r>
        <w:rPr>
          <w:kern w:val="0"/>
        </w:rPr>
        <w:t>ImmunoCyt followed by PDD in initial diagnosis</w:t>
      </w:r>
      <w:r w:rsidR="00F81221">
        <w:rPr>
          <w:kern w:val="0"/>
        </w:rPr>
        <w:t xml:space="preserve"> and </w:t>
      </w:r>
      <w:r>
        <w:rPr>
          <w:kern w:val="0"/>
        </w:rPr>
        <w:t>CSC followed by WLC in follow-up] had an incremental cost per life-year of over 270,000 pound. The least effective strategy [cytology followed by WLC in initial diagnosis (average cost over 20 years L 1403, average life expectancy 11.59)] was most likely to be considered cost-effective when society</w:t>
      </w:r>
      <w:r w:rsidR="000352E7">
        <w:rPr>
          <w:kern w:val="0"/>
        </w:rPr>
        <w:t>’</w:t>
      </w:r>
      <w:r>
        <w:rPr>
          <w:kern w:val="0"/>
        </w:rPr>
        <w:t>s willingness to pay was less than 00,000 per life-year. No strategy was cost-effective more than 50% of the time, but four of the eight strategies in the probabilistic sensitivity analysis (three involving a biomarker or PDD) were each associated with a 20% chance of being considered cost-effective. In sensitivity analyses the results were most sensitive to the pretest probability of disease (5% in the base case). Conclusions: The advantages of PDD</w:t>
      </w:r>
      <w:r w:rsidR="000352E7">
        <w:rPr>
          <w:kern w:val="0"/>
        </w:rPr>
        <w:t>’</w:t>
      </w:r>
      <w:r>
        <w:rPr>
          <w:kern w:val="0"/>
        </w:rPr>
        <w:t xml:space="preserve">s higher sensitivity in detecting bladder cancer have to be weighed against the disadvantages of a higher false-positive rate. Taking into account the assumptions made in the model, strategies involving biomarkers and/or PDD provide additional benefits at a cost that society might be willing to pay. Strategies replacing WLC with </w:t>
      </w:r>
      <w:r>
        <w:rPr>
          <w:kern w:val="0"/>
        </w:rPr>
        <w:lastRenderedPageBreak/>
        <w:t>PDD provide more life-years but it is unclear whether they are worth the extra cost.</w:t>
      </w:r>
    </w:p>
    <w:p w:rsidR="004D3F32" w:rsidRDefault="004D3F32" w:rsidP="004D3F32">
      <w:pPr>
        <w:pStyle w:val="a0"/>
        <w:rPr>
          <w:kern w:val="0"/>
        </w:rPr>
      </w:pPr>
      <w:r>
        <w:rPr>
          <w:kern w:val="0"/>
        </w:rPr>
        <w:t>Keywords: 5-Aminolevulinic Acid, Bta Stat Test, Cancer, Care Proteomic Assay, Citation, Databases, Diagnosis, In-Situ Hybridization, Induced Fluorescence Endoscopy, Induced Porphyrin Fluorescence, Literature, Medical-Research-Council, Medline, Nuclear-Matrix Protein-22, Positive, Review, Science, Science Citation Index, Systematic Review, Transitional-Cell Carcinoma, White-Light Cystoscopy</w:t>
      </w:r>
    </w:p>
    <w:p w:rsidR="00D91792" w:rsidRDefault="00D91792" w:rsidP="00D91792">
      <w:pPr>
        <w:pStyle w:val="a0"/>
        <w:rPr>
          <w:kern w:val="0"/>
          <w:szCs w:val="24"/>
        </w:rPr>
      </w:pPr>
      <w:r>
        <w:rPr>
          <w:rFonts w:hint="eastAsia"/>
          <w:kern w:val="0"/>
          <w:szCs w:val="24"/>
        </w:rPr>
        <w:t xml:space="preserve">? </w:t>
      </w:r>
      <w:r>
        <w:rPr>
          <w:kern w:val="0"/>
          <w:szCs w:val="24"/>
        </w:rPr>
        <w:t>Cummins, E., Royle, P., Snaith, A., Greene, A., Robertson, L., McIntyre, L.</w:t>
      </w:r>
      <w:r w:rsidR="00F81221">
        <w:rPr>
          <w:kern w:val="0"/>
          <w:szCs w:val="24"/>
        </w:rPr>
        <w:t xml:space="preserve"> and </w:t>
      </w:r>
      <w:r>
        <w:rPr>
          <w:kern w:val="0"/>
          <w:szCs w:val="24"/>
        </w:rPr>
        <w:t>Waugh, N. (2010), Clinical effectiveness</w:t>
      </w:r>
      <w:r w:rsidR="00F81221">
        <w:rPr>
          <w:kern w:val="0"/>
          <w:szCs w:val="24"/>
        </w:rPr>
        <w:t xml:space="preserve"> and </w:t>
      </w:r>
      <w:r>
        <w:rPr>
          <w:kern w:val="0"/>
          <w:szCs w:val="24"/>
        </w:rPr>
        <w:t xml:space="preserve">cost-effectiveness of continuous subcutaneous insulin infusion for diabetes: </w:t>
      </w:r>
      <w:r w:rsidR="001145A0">
        <w:rPr>
          <w:kern w:val="0"/>
          <w:szCs w:val="24"/>
        </w:rPr>
        <w:t xml:space="preserve">Systematic </w:t>
      </w:r>
      <w:r>
        <w:rPr>
          <w:kern w:val="0"/>
          <w:szCs w:val="24"/>
        </w:rPr>
        <w:t>review</w:t>
      </w:r>
      <w:r w:rsidR="00F81221">
        <w:rPr>
          <w:kern w:val="0"/>
          <w:szCs w:val="24"/>
        </w:rPr>
        <w:t xml:space="preserve"> and </w:t>
      </w:r>
      <w:r>
        <w:rPr>
          <w:kern w:val="0"/>
          <w:szCs w:val="24"/>
        </w:rPr>
        <w:t xml:space="preserve">economic evaluation. </w:t>
      </w:r>
      <w:r>
        <w:rPr>
          <w:i/>
          <w:iCs/>
          <w:kern w:val="0"/>
          <w:szCs w:val="24"/>
        </w:rPr>
        <w:t>Health Technology Assessment</w:t>
      </w:r>
      <w:r>
        <w:rPr>
          <w:kern w:val="0"/>
          <w:szCs w:val="24"/>
        </w:rPr>
        <w:t xml:space="preserve">, </w:t>
      </w:r>
      <w:r>
        <w:rPr>
          <w:b/>
          <w:bCs/>
          <w:kern w:val="0"/>
          <w:szCs w:val="24"/>
        </w:rPr>
        <w:t>14</w:t>
      </w:r>
      <w:r w:rsidR="001145A0">
        <w:rPr>
          <w:kern w:val="0"/>
          <w:szCs w:val="24"/>
        </w:rPr>
        <w:t xml:space="preserve"> (11), 1-</w:t>
      </w:r>
      <w:r w:rsidR="00C96209">
        <w:rPr>
          <w:rFonts w:hint="eastAsia"/>
          <w:kern w:val="0"/>
          <w:szCs w:val="24"/>
        </w:rPr>
        <w:t>208</w:t>
      </w:r>
      <w:r>
        <w:rPr>
          <w:kern w:val="0"/>
          <w:szCs w:val="24"/>
        </w:rPr>
        <w:t>.</w:t>
      </w:r>
    </w:p>
    <w:p w:rsidR="00C96209" w:rsidRDefault="00C96209" w:rsidP="00C96209">
      <w:pPr>
        <w:pStyle w:val="a0"/>
        <w:rPr>
          <w:kern w:val="0"/>
        </w:rPr>
      </w:pPr>
      <w:r>
        <w:rPr>
          <w:rFonts w:hint="eastAsia"/>
          <w:kern w:val="0"/>
        </w:rPr>
        <w:t xml:space="preserve">Full Text: </w:t>
      </w:r>
      <w:hyperlink r:id="rId595" w:history="1">
        <w:r w:rsidRPr="008B039C">
          <w:rPr>
            <w:rStyle w:val="a5"/>
            <w:kern w:val="0"/>
          </w:rPr>
          <w:t>2010\Hea Tec Ass14-11, 1.pdf</w:t>
        </w:r>
      </w:hyperlink>
    </w:p>
    <w:p w:rsidR="00D91792" w:rsidRDefault="00D91792" w:rsidP="00D91792">
      <w:pPr>
        <w:pStyle w:val="a0"/>
        <w:rPr>
          <w:kern w:val="0"/>
          <w:szCs w:val="24"/>
        </w:rPr>
      </w:pPr>
      <w:r>
        <w:rPr>
          <w:kern w:val="0"/>
          <w:szCs w:val="24"/>
        </w:rPr>
        <w:t>Abstract: Background: The National Institute for Health</w:t>
      </w:r>
      <w:r w:rsidR="00F81221">
        <w:rPr>
          <w:kern w:val="0"/>
          <w:szCs w:val="24"/>
        </w:rPr>
        <w:t xml:space="preserve"> and </w:t>
      </w:r>
      <w:r>
        <w:rPr>
          <w:kern w:val="0"/>
          <w:szCs w:val="24"/>
        </w:rPr>
        <w:t>Clinical Excellence (NICE) was reviewing its previous guidance on continuous subcutaneous insulin infusion (CSII).</w:t>
      </w:r>
      <w:r w:rsidR="00B95348">
        <w:rPr>
          <w:rFonts w:hint="eastAsia"/>
          <w:kern w:val="0"/>
          <w:szCs w:val="24"/>
        </w:rPr>
        <w:t xml:space="preserve"> </w:t>
      </w:r>
      <w:r>
        <w:rPr>
          <w:kern w:val="0"/>
          <w:szCs w:val="24"/>
        </w:rPr>
        <w:t>The review provided an assessment of evidence which had been published since the previous NICE appraisal (TA 151) in 2007. Objectives: To examine the clinical effectiveness</w:t>
      </w:r>
      <w:r w:rsidR="00F81221">
        <w:rPr>
          <w:kern w:val="0"/>
          <w:szCs w:val="24"/>
        </w:rPr>
        <w:t xml:space="preserve"> and </w:t>
      </w:r>
      <w:r>
        <w:rPr>
          <w:kern w:val="0"/>
          <w:szCs w:val="24"/>
        </w:rPr>
        <w:t>cost-effectiveness of using CSII to treat diabetes. To update the previous assessment report by reviewing evidence that has emerged since the last appraisal,</w:t>
      </w:r>
      <w:r w:rsidR="00F81221">
        <w:rPr>
          <w:kern w:val="0"/>
          <w:szCs w:val="24"/>
        </w:rPr>
        <w:t xml:space="preserve"> and </w:t>
      </w:r>
      <w:r>
        <w:rPr>
          <w:kern w:val="0"/>
          <w:szCs w:val="24"/>
        </w:rPr>
        <w:t>to take account of developments in alternative therapies, in particular the long-acting analogue insulins, which cause fewer problems with hypoglycaemia. Data sources:A systematic review of the literature</w:t>
      </w:r>
      <w:r w:rsidR="00F81221">
        <w:rPr>
          <w:kern w:val="0"/>
          <w:szCs w:val="24"/>
        </w:rPr>
        <w:t xml:space="preserve"> and </w:t>
      </w:r>
      <w:r>
        <w:rPr>
          <w:kern w:val="0"/>
          <w:szCs w:val="24"/>
        </w:rPr>
        <w:t>an economic evaluation were carried out. The bibliographic databases used were MEDLINE</w:t>
      </w:r>
      <w:r w:rsidR="00F81221">
        <w:rPr>
          <w:kern w:val="0"/>
          <w:szCs w:val="24"/>
        </w:rPr>
        <w:t xml:space="preserve"> and </w:t>
      </w:r>
      <w:r>
        <w:rPr>
          <w:kern w:val="0"/>
          <w:szCs w:val="24"/>
        </w:rPr>
        <w:t>EMBASE, 2002 to June 2007.</w:t>
      </w:r>
      <w:r w:rsidR="003C62C2">
        <w:rPr>
          <w:rFonts w:hint="eastAsia"/>
          <w:kern w:val="0"/>
          <w:szCs w:val="24"/>
        </w:rPr>
        <w:t xml:space="preserve"> </w:t>
      </w:r>
      <w:r>
        <w:rPr>
          <w:kern w:val="0"/>
          <w:szCs w:val="24"/>
        </w:rPr>
        <w:t>The Cochrane Library (all sections), the Science Citation Index (for meeting abstracts only)</w:t>
      </w:r>
      <w:r w:rsidR="00F81221">
        <w:rPr>
          <w:kern w:val="0"/>
          <w:szCs w:val="24"/>
        </w:rPr>
        <w:t xml:space="preserve"> and </w:t>
      </w:r>
      <w:r>
        <w:rPr>
          <w:kern w:val="0"/>
          <w:szCs w:val="24"/>
        </w:rPr>
        <w:t>the website of the 2007 American Diabetes Association were also searched. Review methods: The primary focus for type I diabetes mellitus (TI DM) was the comparison of CSII with multiple daily injection (MDI), based on the newer insulin analogues, but trials of neutral protamine Hagedorn (NPH)-based MDI that had been published since the last assessment were identified</w:t>
      </w:r>
      <w:r w:rsidR="00F81221">
        <w:rPr>
          <w:kern w:val="0"/>
          <w:szCs w:val="24"/>
        </w:rPr>
        <w:t xml:space="preserve"> and </w:t>
      </w:r>
      <w:r>
        <w:rPr>
          <w:kern w:val="0"/>
          <w:szCs w:val="24"/>
        </w:rPr>
        <w:t>described in brief. For type 2 diabetes mellitus (T2DM), all trials of MDI versus CSII were included, whether the longacting insulin was analogue or not, because there was no evidence that analogue-based MDI was better than NPH-based MDI.</w:t>
      </w:r>
      <w:r w:rsidR="003C62C2">
        <w:rPr>
          <w:rFonts w:hint="eastAsia"/>
          <w:kern w:val="0"/>
          <w:szCs w:val="24"/>
        </w:rPr>
        <w:t xml:space="preserve"> </w:t>
      </w:r>
      <w:r>
        <w:rPr>
          <w:kern w:val="0"/>
          <w:szCs w:val="24"/>
        </w:rPr>
        <w:t>Trials that were shorter than 12 weeks were excluded. Information on the patients</w:t>
      </w:r>
      <w:r w:rsidR="000352E7">
        <w:rPr>
          <w:kern w:val="0"/>
          <w:szCs w:val="24"/>
        </w:rPr>
        <w:t>’</w:t>
      </w:r>
      <w:r>
        <w:rPr>
          <w:kern w:val="0"/>
          <w:szCs w:val="24"/>
        </w:rPr>
        <w:t xml:space="preserve"> perspectives was obtained from four sources: the submission from the pump users group Insulin Pump Therapy (INPUT); interviews with parents of young children who were members of INPUT; some recent 2010 Queen</w:t>
      </w:r>
      <w:r w:rsidR="000352E7">
        <w:rPr>
          <w:kern w:val="0"/>
          <w:szCs w:val="24"/>
        </w:rPr>
        <w:t>’</w:t>
      </w:r>
      <w:r>
        <w:rPr>
          <w:kern w:val="0"/>
          <w:szCs w:val="24"/>
        </w:rPr>
        <w:t>s Printer</w:t>
      </w:r>
      <w:r w:rsidR="00F81221">
        <w:rPr>
          <w:kern w:val="0"/>
          <w:szCs w:val="24"/>
        </w:rPr>
        <w:t xml:space="preserve"> and </w:t>
      </w:r>
      <w:r>
        <w:rPr>
          <w:kern w:val="0"/>
          <w:szCs w:val="24"/>
        </w:rPr>
        <w:t>Controller of HMSO. All rights reserved. studies;</w:t>
      </w:r>
      <w:r w:rsidR="00F81221">
        <w:rPr>
          <w:kern w:val="0"/>
          <w:szCs w:val="24"/>
        </w:rPr>
        <w:t xml:space="preserve"> and </w:t>
      </w:r>
      <w:r>
        <w:rPr>
          <w:kern w:val="0"/>
          <w:szCs w:val="24"/>
        </w:rPr>
        <w:t>from a summary of findings from the previous assessment report. Economic modelling used the Center for Outcomes Research (CORE) model, through an arrangement with the NICE</w:t>
      </w:r>
      <w:r w:rsidR="00F81221">
        <w:rPr>
          <w:kern w:val="0"/>
          <w:szCs w:val="24"/>
        </w:rPr>
        <w:t xml:space="preserve"> and </w:t>
      </w:r>
      <w:r>
        <w:rPr>
          <w:kern w:val="0"/>
          <w:szCs w:val="24"/>
        </w:rPr>
        <w:t xml:space="preserve">the pump manufacturers, whose submission also used the CORE model. Results: The 74 studies used for analysis included eight randomised controlled trials (RCTs) of CSII </w:t>
      </w:r>
      <w:r>
        <w:rPr>
          <w:kern w:val="0"/>
          <w:szCs w:val="24"/>
        </w:rPr>
        <w:lastRenderedPageBreak/>
        <w:t>versus analogue-based MDI in either T I DM or T2DM, eight new (since the last NICE appraisal) RCTs of CSII versus NPH-based MDI in TI DM, 48 observational studies of CSII, six studies of CSII in pregnancy,</w:t>
      </w:r>
      <w:r w:rsidR="00F81221">
        <w:rPr>
          <w:kern w:val="0"/>
          <w:szCs w:val="24"/>
        </w:rPr>
        <w:t xml:space="preserve"> and </w:t>
      </w:r>
      <w:r>
        <w:rPr>
          <w:kern w:val="0"/>
          <w:szCs w:val="24"/>
        </w:rPr>
        <w:t>four systematic reviews.</w:t>
      </w:r>
      <w:r w:rsidR="003C62C2">
        <w:rPr>
          <w:rFonts w:hint="eastAsia"/>
          <w:kern w:val="0"/>
          <w:szCs w:val="24"/>
        </w:rPr>
        <w:t xml:space="preserve"> </w:t>
      </w:r>
      <w:r>
        <w:rPr>
          <w:kern w:val="0"/>
          <w:szCs w:val="24"/>
        </w:rPr>
        <w:t>The following benefits of CSII were highlighted: better control of blood glucose levels, as reflected by glycated haemoglobin (HbAk) levels, with the size of improvement depending on the level before starting CSII; reduction in swings in blood glucose levels,</w:t>
      </w:r>
      <w:r w:rsidR="00F81221">
        <w:rPr>
          <w:kern w:val="0"/>
          <w:szCs w:val="24"/>
        </w:rPr>
        <w:t xml:space="preserve"> and </w:t>
      </w:r>
      <w:r>
        <w:rPr>
          <w:kern w:val="0"/>
          <w:szCs w:val="24"/>
        </w:rPr>
        <w:t>in problems due to the dawn phenomenon; fewer problems with hypoglycaemic episodes; reduction in insulin dose per day, thereby partly off-setting the cost of CSII; improved quality of life, including a reduction in the chronic fear of severe hypoglycaemia; more flexibility of lifestyle no need to eat at fixed intervals, more freedom of lifestyle</w:t>
      </w:r>
      <w:r w:rsidR="00F81221">
        <w:rPr>
          <w:kern w:val="0"/>
          <w:szCs w:val="24"/>
        </w:rPr>
        <w:t xml:space="preserve"> and </w:t>
      </w:r>
      <w:r>
        <w:rPr>
          <w:kern w:val="0"/>
          <w:szCs w:val="24"/>
        </w:rPr>
        <w:t>easier participation in social</w:t>
      </w:r>
      <w:r w:rsidR="00F81221">
        <w:rPr>
          <w:kern w:val="0"/>
          <w:szCs w:val="24"/>
        </w:rPr>
        <w:t xml:space="preserve"> and </w:t>
      </w:r>
      <w:r>
        <w:rPr>
          <w:kern w:val="0"/>
          <w:szCs w:val="24"/>
        </w:rPr>
        <w:t>physical activity;</w:t>
      </w:r>
      <w:r w:rsidR="00F81221">
        <w:rPr>
          <w:kern w:val="0"/>
          <w:szCs w:val="24"/>
        </w:rPr>
        <w:t xml:space="preserve"> and </w:t>
      </w:r>
      <w:r>
        <w:rPr>
          <w:kern w:val="0"/>
          <w:szCs w:val="24"/>
        </w:rPr>
        <w:t>benefits for the patients</w:t>
      </w:r>
      <w:r w:rsidR="000352E7">
        <w:rPr>
          <w:kern w:val="0"/>
          <w:szCs w:val="24"/>
        </w:rPr>
        <w:t>’</w:t>
      </w:r>
      <w:r>
        <w:rPr>
          <w:kern w:val="0"/>
          <w:szCs w:val="24"/>
        </w:rPr>
        <w:t xml:space="preserve"> family.</w:t>
      </w:r>
      <w:r w:rsidR="003C62C2">
        <w:rPr>
          <w:rFonts w:hint="eastAsia"/>
          <w:kern w:val="0"/>
          <w:szCs w:val="24"/>
        </w:rPr>
        <w:t xml:space="preserve"> </w:t>
      </w:r>
      <w:r>
        <w:rPr>
          <w:kern w:val="0"/>
          <w:szCs w:val="24"/>
        </w:rPr>
        <w:t>The submission from INPUT emphasised the quality of life gains from CSII, as well as improved control</w:t>
      </w:r>
      <w:r w:rsidR="00F81221">
        <w:rPr>
          <w:kern w:val="0"/>
          <w:szCs w:val="24"/>
        </w:rPr>
        <w:t xml:space="preserve"> and </w:t>
      </w:r>
      <w:r>
        <w:rPr>
          <w:kern w:val="0"/>
          <w:szCs w:val="24"/>
        </w:rPr>
        <w:t>fewer hypoglycaemic episodes.Also, there was a marked discrepancy between the improvement in social quality of life reported by successful pump users,</w:t>
      </w:r>
      <w:r w:rsidR="00F81221">
        <w:rPr>
          <w:kern w:val="0"/>
          <w:szCs w:val="24"/>
        </w:rPr>
        <w:t xml:space="preserve"> and </w:t>
      </w:r>
      <w:r>
        <w:rPr>
          <w:kern w:val="0"/>
          <w:szCs w:val="24"/>
        </w:rPr>
        <w:t>the lack of convincing health-related quality of life gains reported in the trials.</w:t>
      </w:r>
      <w:r w:rsidR="003C62C2">
        <w:rPr>
          <w:rFonts w:hint="eastAsia"/>
          <w:kern w:val="0"/>
          <w:szCs w:val="24"/>
        </w:rPr>
        <w:t xml:space="preserve"> </w:t>
      </w:r>
      <w:r>
        <w:rPr>
          <w:kern w:val="0"/>
          <w:szCs w:val="24"/>
        </w:rPr>
        <w:t>With regard to economic evaluation, the main cost of CSII is for consumables, such as tubing</w:t>
      </w:r>
      <w:r w:rsidR="00F81221">
        <w:rPr>
          <w:kern w:val="0"/>
          <w:szCs w:val="24"/>
        </w:rPr>
        <w:t xml:space="preserve"> and </w:t>
      </w:r>
      <w:r>
        <w:rPr>
          <w:kern w:val="0"/>
          <w:szCs w:val="24"/>
        </w:rPr>
        <w:t>cannulas,</w:t>
      </w:r>
      <w:r w:rsidR="00F81221">
        <w:rPr>
          <w:kern w:val="0"/>
          <w:szCs w:val="24"/>
        </w:rPr>
        <w:t xml:space="preserve"> and </w:t>
      </w:r>
      <w:r>
        <w:rPr>
          <w:kern w:val="0"/>
          <w:szCs w:val="24"/>
        </w:rPr>
        <w:t>is about 800-2000 pound per year</w:t>
      </w:r>
      <w:r w:rsidR="003C62C2">
        <w:rPr>
          <w:rFonts w:hint="eastAsia"/>
          <w:kern w:val="0"/>
          <w:szCs w:val="24"/>
        </w:rPr>
        <w:t xml:space="preserve"> </w:t>
      </w:r>
      <w:r>
        <w:rPr>
          <w:kern w:val="0"/>
          <w:szCs w:val="24"/>
        </w:rPr>
        <w:t>The cost of the pump, assuming 4-year life, adds another 430-720 pound per annum.</w:t>
      </w:r>
      <w:r w:rsidR="003C62C2">
        <w:rPr>
          <w:rFonts w:hint="eastAsia"/>
          <w:kern w:val="0"/>
          <w:szCs w:val="24"/>
        </w:rPr>
        <w:t xml:space="preserve"> </w:t>
      </w:r>
      <w:r>
        <w:rPr>
          <w:kern w:val="0"/>
          <w:szCs w:val="24"/>
        </w:rPr>
        <w:t>The extra cost compared with analogue-based MDI averages 1700. Most studies, assuming a reduction in HbA(1c) level of 1.2%, found CSII to be cost-effective. Limitations:</w:t>
      </w:r>
      <w:r w:rsidR="003C62C2">
        <w:rPr>
          <w:rFonts w:hint="eastAsia"/>
          <w:kern w:val="0"/>
          <w:szCs w:val="24"/>
        </w:rPr>
        <w:t xml:space="preserve"> </w:t>
      </w:r>
      <w:r>
        <w:rPr>
          <w:kern w:val="0"/>
          <w:szCs w:val="24"/>
        </w:rPr>
        <w:t>The most important weakness of the evidence was the very small number of randomised trials of CSII against the most modern forms of MDI, using analogue insulins. Conclusions: Based on the totality of evidence, using observational studies to supplement the limited data from randomised trials against best MDI, CSII provides some advantages over MDI in T I DM for both children</w:t>
      </w:r>
      <w:r w:rsidR="00F81221">
        <w:rPr>
          <w:kern w:val="0"/>
          <w:szCs w:val="24"/>
        </w:rPr>
        <w:t xml:space="preserve"> and </w:t>
      </w:r>
      <w:r>
        <w:rPr>
          <w:kern w:val="0"/>
          <w:szCs w:val="24"/>
        </w:rPr>
        <w:t>adults. However, there was no evidence that CSII is better than analogue-based MDI in T2DM or in pregnancy. Further trials with larger numbers</w:t>
      </w:r>
      <w:r w:rsidR="00F81221">
        <w:rPr>
          <w:kern w:val="0"/>
          <w:szCs w:val="24"/>
        </w:rPr>
        <w:t xml:space="preserve"> and </w:t>
      </w:r>
      <w:r>
        <w:rPr>
          <w:kern w:val="0"/>
          <w:szCs w:val="24"/>
        </w:rPr>
        <w:t>longer durations comparing CSII</w:t>
      </w:r>
      <w:r w:rsidR="00F81221">
        <w:rPr>
          <w:kern w:val="0"/>
          <w:szCs w:val="24"/>
        </w:rPr>
        <w:t xml:space="preserve"> and </w:t>
      </w:r>
      <w:r>
        <w:rPr>
          <w:kern w:val="0"/>
          <w:szCs w:val="24"/>
        </w:rPr>
        <w:t>optimised MDI in adults, adolescents</w:t>
      </w:r>
      <w:r w:rsidR="00F81221">
        <w:rPr>
          <w:kern w:val="0"/>
          <w:szCs w:val="24"/>
        </w:rPr>
        <w:t xml:space="preserve"> and </w:t>
      </w:r>
      <w:r>
        <w:rPr>
          <w:kern w:val="0"/>
          <w:szCs w:val="24"/>
        </w:rPr>
        <w:t>children are needed. In addition, there should be a trial of CSII versus MDI with similar provision of structured education in both arms. A trial is also needed for pregnant women with pre-existing diabetes, to investigate using CSII to the best effect.</w:t>
      </w:r>
    </w:p>
    <w:p w:rsidR="00D91792" w:rsidRDefault="00D91792" w:rsidP="00D91792">
      <w:pPr>
        <w:pStyle w:val="a0"/>
        <w:rPr>
          <w:kern w:val="0"/>
          <w:szCs w:val="24"/>
        </w:rPr>
      </w:pPr>
      <w:r>
        <w:rPr>
          <w:kern w:val="0"/>
          <w:szCs w:val="24"/>
        </w:rPr>
        <w:t xml:space="preserve">Keywords: Adolescents, Assessment, Basal-Bolus Regimen, Bedtime NPH Insulin, Children, Citation, Comparison, Core, Cost Effectiveness, Databases, Economic, Education, Evaluation, Health-Related Quality of Life, Improved Glycemic Control, Input, Literature, Long-Term, Medline, Meeting Abstracts, Methods, Model, Modelling, Multiple Daily Injections, Neutral Protamine Hagedorn, Pregnancy, Primary, Pump Therapy, Quality-of-Life, Randomized Cross-Over, Reduction, Regular Human Insulin, Research, Review, Science, Science Citation Index, </w:t>
      </w:r>
      <w:r>
        <w:rPr>
          <w:kern w:val="0"/>
          <w:szCs w:val="24"/>
        </w:rPr>
        <w:lastRenderedPageBreak/>
        <w:t>Systematic Review, Ti</w:t>
      </w:r>
    </w:p>
    <w:p w:rsidR="004A46B8" w:rsidRDefault="004A46B8" w:rsidP="004A46B8">
      <w:pPr>
        <w:pStyle w:val="a0"/>
        <w:rPr>
          <w:kern w:val="0"/>
        </w:rPr>
      </w:pPr>
      <w:r>
        <w:rPr>
          <w:rFonts w:hint="eastAsia"/>
          <w:kern w:val="0"/>
        </w:rPr>
        <w:t xml:space="preserve">? </w:t>
      </w:r>
      <w:r>
        <w:rPr>
          <w:kern w:val="0"/>
        </w:rPr>
        <w:t>Clar, C., Barnard, K., Cummins, E., Royle, P.</w:t>
      </w:r>
      <w:r w:rsidR="00F81221">
        <w:rPr>
          <w:kern w:val="0"/>
        </w:rPr>
        <w:t xml:space="preserve"> and </w:t>
      </w:r>
      <w:r>
        <w:rPr>
          <w:kern w:val="0"/>
        </w:rPr>
        <w:t xml:space="preserve">Waugh, N. (2010), Self-monitoring of blood glucose in type 2 diabetes: Systematic review. </w:t>
      </w:r>
      <w:r>
        <w:rPr>
          <w:i/>
          <w:iCs/>
          <w:kern w:val="0"/>
        </w:rPr>
        <w:t>Health Technology Assessment</w:t>
      </w:r>
      <w:r>
        <w:rPr>
          <w:kern w:val="0"/>
        </w:rPr>
        <w:t xml:space="preserve">, </w:t>
      </w:r>
      <w:r>
        <w:rPr>
          <w:b/>
          <w:bCs/>
          <w:kern w:val="0"/>
        </w:rPr>
        <w:t>14</w:t>
      </w:r>
      <w:r>
        <w:rPr>
          <w:kern w:val="0"/>
        </w:rPr>
        <w:t xml:space="preserve"> (12), 1-</w:t>
      </w:r>
      <w:r w:rsidR="003C62C2">
        <w:rPr>
          <w:rFonts w:hint="eastAsia"/>
          <w:kern w:val="0"/>
        </w:rPr>
        <w:t>140</w:t>
      </w:r>
      <w:r>
        <w:rPr>
          <w:kern w:val="0"/>
        </w:rPr>
        <w:t>.</w:t>
      </w:r>
    </w:p>
    <w:p w:rsidR="004A46B8" w:rsidRDefault="004A46B8" w:rsidP="004A46B8">
      <w:pPr>
        <w:pStyle w:val="a0"/>
        <w:rPr>
          <w:kern w:val="0"/>
        </w:rPr>
      </w:pPr>
      <w:r>
        <w:rPr>
          <w:rFonts w:hint="eastAsia"/>
          <w:kern w:val="0"/>
        </w:rPr>
        <w:t xml:space="preserve">Full Text: </w:t>
      </w:r>
      <w:hyperlink r:id="rId596" w:history="1">
        <w:r w:rsidR="003C62C2" w:rsidRPr="003C62C2">
          <w:rPr>
            <w:rStyle w:val="a5"/>
            <w:kern w:val="0"/>
          </w:rPr>
          <w:t>2010\Hea Tec Ass14-12, 1.pdf</w:t>
        </w:r>
      </w:hyperlink>
    </w:p>
    <w:p w:rsidR="004A46B8" w:rsidRDefault="004A46B8" w:rsidP="004A46B8">
      <w:pPr>
        <w:pStyle w:val="a0"/>
        <w:rPr>
          <w:kern w:val="0"/>
        </w:rPr>
      </w:pPr>
      <w:r>
        <w:rPr>
          <w:kern w:val="0"/>
        </w:rPr>
        <w:t>Abstract: Objectives: To examine whether or not self-monitoring of blood glucose (SMBG) is worthwhile, in terms of glycaennic control, hypoglycaemia, quality of life (QoL)</w:t>
      </w:r>
      <w:r w:rsidR="00F81221">
        <w:rPr>
          <w:kern w:val="0"/>
        </w:rPr>
        <w:t xml:space="preserve"> and </w:t>
      </w:r>
      <w:r>
        <w:rPr>
          <w:kern w:val="0"/>
        </w:rPr>
        <w:t>cost per quality-adjusted life-year (QALY), in people with type 2 diabetes (T2DM) who were not treated with insulin or who were on basal insulin in combination with oral agents. Data sources: Literature searched included systematic reviews published since 1996,</w:t>
      </w:r>
      <w:r w:rsidR="00F81221">
        <w:rPr>
          <w:kern w:val="0"/>
        </w:rPr>
        <w:t xml:space="preserve"> and </w:t>
      </w:r>
      <w:r>
        <w:rPr>
          <w:kern w:val="0"/>
        </w:rPr>
        <w:t>a systematic review</w:t>
      </w:r>
      <w:r w:rsidR="00F81221">
        <w:rPr>
          <w:kern w:val="0"/>
        </w:rPr>
        <w:t xml:space="preserve"> and </w:t>
      </w:r>
      <w:r>
        <w:rPr>
          <w:kern w:val="0"/>
        </w:rPr>
        <w:t>meta-analyses of randomised controlled trials (RCTs) identified from the reviews,</w:t>
      </w:r>
      <w:r w:rsidR="00F81221">
        <w:rPr>
          <w:kern w:val="0"/>
        </w:rPr>
        <w:t xml:space="preserve"> and </w:t>
      </w:r>
      <w:r>
        <w:rPr>
          <w:kern w:val="0"/>
        </w:rPr>
        <w:t>from searches for more recent trials, along with review of qualitative</w:t>
      </w:r>
      <w:r w:rsidR="00F81221">
        <w:rPr>
          <w:kern w:val="0"/>
        </w:rPr>
        <w:t xml:space="preserve"> and </w:t>
      </w:r>
      <w:r>
        <w:rPr>
          <w:kern w:val="0"/>
        </w:rPr>
        <w:t>economic studies. Search strategies were limited to the English language</w:t>
      </w:r>
      <w:r w:rsidR="00F81221">
        <w:rPr>
          <w:kern w:val="0"/>
        </w:rPr>
        <w:t xml:space="preserve"> and </w:t>
      </w:r>
      <w:r>
        <w:rPr>
          <w:kern w:val="0"/>
        </w:rPr>
        <w:t>to articles published since 1996,</w:t>
      </w:r>
      <w:r w:rsidR="00F81221">
        <w:rPr>
          <w:kern w:val="0"/>
        </w:rPr>
        <w:t xml:space="preserve"> and </w:t>
      </w:r>
      <w:r>
        <w:rPr>
          <w:kern w:val="0"/>
        </w:rPr>
        <w:t>included: databases searched from 1996 to April 2009 The Cochrane Library, MEDLINE, EMBASE, PsycINFO,Web of Science limited to meeting abstracts;</w:t>
      </w:r>
      <w:r w:rsidR="00F81221">
        <w:rPr>
          <w:kern w:val="0"/>
        </w:rPr>
        <w:t xml:space="preserve"> and </w:t>
      </w:r>
      <w:r>
        <w:rPr>
          <w:kern w:val="0"/>
        </w:rPr>
        <w:t>websites. Review methods: The intervention was selftesting of blood glucose with a meter</w:t>
      </w:r>
      <w:r w:rsidR="00F81221">
        <w:rPr>
          <w:kern w:val="0"/>
        </w:rPr>
        <w:t xml:space="preserve"> and </w:t>
      </w:r>
      <w:r>
        <w:rPr>
          <w:kern w:val="0"/>
        </w:rPr>
        <w:t>test strips. Studies included adult patients with T2DM on any oral treatment or combination of regimens, including lifestyle, oral agents or once-daily basal insulin. Existing systematic reviews of SMBG were summarised</w:t>
      </w:r>
      <w:r w:rsidR="00F81221">
        <w:rPr>
          <w:kern w:val="0"/>
        </w:rPr>
        <w:t xml:space="preserve"> and </w:t>
      </w:r>
      <w:r>
        <w:rPr>
          <w:kern w:val="0"/>
        </w:rPr>
        <w:t>results compared. Evidence synthesis of all of the studies meeting the inclusion criteria was carried out using a narrative review. Data were analysed by outcome</w:t>
      </w:r>
      <w:r w:rsidR="00F81221">
        <w:rPr>
          <w:kern w:val="0"/>
        </w:rPr>
        <w:t xml:space="preserve"> and </w:t>
      </w:r>
      <w:r>
        <w:rPr>
          <w:kern w:val="0"/>
        </w:rPr>
        <w:t>subgroups. HbAic data from RCTs were summarised using a meta-analysis. Heterogeneity was calculated using the chi-squared</w:t>
      </w:r>
      <w:r w:rsidR="00F81221">
        <w:rPr>
          <w:kern w:val="0"/>
        </w:rPr>
        <w:t xml:space="preserve"> and </w:t>
      </w:r>
      <w:r>
        <w:rPr>
          <w:kern w:val="0"/>
        </w:rPr>
        <w:t>12 methods.The following analyses were carried out: SMBG compared to self-monitoring of urine glucose, SMBG versus no SMBG, more intensive SMBG versus less intensive SMBG,</w:t>
      </w:r>
      <w:r w:rsidR="00F81221">
        <w:rPr>
          <w:kern w:val="0"/>
        </w:rPr>
        <w:t xml:space="preserve"> and </w:t>
      </w:r>
      <w:r>
        <w:rPr>
          <w:kern w:val="0"/>
        </w:rPr>
        <w:t>more intensive SMBG versus no SMBG. Available qualitative data gained from in-depth interview studies, repeated interviews,</w:t>
      </w:r>
      <w:r w:rsidR="00F81221">
        <w:rPr>
          <w:kern w:val="0"/>
        </w:rPr>
        <w:t xml:space="preserve"> and </w:t>
      </w:r>
      <w:r>
        <w:rPr>
          <w:kern w:val="0"/>
        </w:rPr>
        <w:t>questionnaire</w:t>
      </w:r>
      <w:r w:rsidR="00F81221">
        <w:rPr>
          <w:kern w:val="0"/>
        </w:rPr>
        <w:t xml:space="preserve"> and </w:t>
      </w:r>
      <w:r>
        <w:rPr>
          <w:kern w:val="0"/>
        </w:rPr>
        <w:t>survey data were summarised. Results: The review identified 30 RCTs, although few were of high quality.Ten trials comparing SMBG with no SMBG showed statistically significant reduction in HbAlc of 0.21%, which may not be considered clinically significant. A similar, though not statistically significant difference, was shown where SMBG with education was compared to SMBG without education or feedback. RCTs showed no consistent effect on hypoglycaemic episodes</w:t>
      </w:r>
      <w:r w:rsidR="00F81221">
        <w:rPr>
          <w:kern w:val="0"/>
        </w:rPr>
        <w:t xml:space="preserve"> and </w:t>
      </w:r>
      <w:r>
        <w:rPr>
          <w:kern w:val="0"/>
        </w:rPr>
        <w:t>no impact on medication changes. Review of cost-effectiveness studies showed that costs of SMBG per annum vary considerably (10-259). Although some studies assert that SMBG may lead to savings in health-care costs which may offset the costs of testing, the best analysis to date (DiGEM Diabetes Glycaemic Education</w:t>
      </w:r>
      <w:r w:rsidR="00F81221">
        <w:rPr>
          <w:kern w:val="0"/>
        </w:rPr>
        <w:t xml:space="preserve"> and </w:t>
      </w:r>
      <w:r>
        <w:rPr>
          <w:kern w:val="0"/>
        </w:rPr>
        <w:t xml:space="preserve">Monitoring) concluded that SMBG was not cost-effective. Qualitative studies revealed that there was a lack of education in </w:t>
      </w:r>
      <w:r>
        <w:rPr>
          <w:kern w:val="0"/>
        </w:rPr>
        <w:lastRenderedPageBreak/>
        <w:t>how to interpret</w:t>
      </w:r>
      <w:r w:rsidR="00F81221">
        <w:rPr>
          <w:kern w:val="0"/>
        </w:rPr>
        <w:t xml:space="preserve"> and </w:t>
      </w:r>
      <w:r>
        <w:rPr>
          <w:kern w:val="0"/>
        </w:rPr>
        <w:t>use the data from SMBG,</w:t>
      </w:r>
      <w:r w:rsidR="00F81221">
        <w:rPr>
          <w:kern w:val="0"/>
        </w:rPr>
        <w:t xml:space="preserve"> and </w:t>
      </w:r>
      <w:r>
        <w:rPr>
          <w:kern w:val="0"/>
        </w:rPr>
        <w:t>that failure to act on the results was common. Conclusions: The evidence suggested that SMBG is of limited clinical effectiveness in improving glycaemic control in people with T2DM on oral agents, or diet alone,</w:t>
      </w:r>
      <w:r w:rsidR="00F81221">
        <w:rPr>
          <w:kern w:val="0"/>
        </w:rPr>
        <w:t xml:space="preserve"> and </w:t>
      </w:r>
      <w:r>
        <w:rPr>
          <w:kern w:val="0"/>
        </w:rPr>
        <w:t>is therefore unlikely to be cost-effective. SMBG may lead to improved glycaemic control only in the context of appropriate education both for patients</w:t>
      </w:r>
      <w:r w:rsidR="00F81221">
        <w:rPr>
          <w:kern w:val="0"/>
        </w:rPr>
        <w:t xml:space="preserve"> and </w:t>
      </w:r>
      <w:r>
        <w:rPr>
          <w:kern w:val="0"/>
        </w:rPr>
        <w:t>health-care professionals on how to respond to the data, in terms of lifestyle</w:t>
      </w:r>
      <w:r w:rsidR="00F81221">
        <w:rPr>
          <w:kern w:val="0"/>
        </w:rPr>
        <w:t xml:space="preserve"> and </w:t>
      </w:r>
      <w:r>
        <w:rPr>
          <w:kern w:val="0"/>
        </w:rPr>
        <w:t>treatment adjustment. Also, SMBG may be more effective if patients are able to self-adjust drug treatment. Furtherresearch is required on the type of education</w:t>
      </w:r>
      <w:r w:rsidR="00F81221">
        <w:rPr>
          <w:kern w:val="0"/>
        </w:rPr>
        <w:t xml:space="preserve"> and </w:t>
      </w:r>
      <w:r>
        <w:rPr>
          <w:kern w:val="0"/>
        </w:rPr>
        <w:t>feedback that are most helpful, characteristics of patients benefiting most from SMBG, optimal timing</w:t>
      </w:r>
      <w:r w:rsidR="00F81221">
        <w:rPr>
          <w:kern w:val="0"/>
        </w:rPr>
        <w:t xml:space="preserve"> and </w:t>
      </w:r>
      <w:r>
        <w:rPr>
          <w:kern w:val="0"/>
        </w:rPr>
        <w:t>frequency of SMBG,</w:t>
      </w:r>
      <w:r w:rsidR="00F81221">
        <w:rPr>
          <w:kern w:val="0"/>
        </w:rPr>
        <w:t xml:space="preserve"> and </w:t>
      </w:r>
      <w:r>
        <w:rPr>
          <w:kern w:val="0"/>
        </w:rPr>
        <w:t>the circumstances under which SMBG causes anxiety and/or depression.</w:t>
      </w:r>
    </w:p>
    <w:p w:rsidR="004A46B8" w:rsidRDefault="004A46B8" w:rsidP="004A46B8">
      <w:pPr>
        <w:pStyle w:val="a0"/>
        <w:rPr>
          <w:kern w:val="0"/>
        </w:rPr>
      </w:pPr>
      <w:r>
        <w:rPr>
          <w:kern w:val="0"/>
        </w:rPr>
        <w:t>Keywords: Adult, Analysis, Anxiety, Blood, Clinical Effectiveness, Cochrane, Control, Cost-Effectiveness, Costs, Databases, Depression, Diabetes, Drug, Education, Effectiveness, Embase, Feedback, Frequency, Health Care, Health Care Costs, Healthcare Professionals, Hypoglycaemia, Impact, Improves Glycemic Control, Insulin, Intervention, Lead, Medication, Medline, Meta-Analysis, Metabolic-Control, Outcome, Parallel-Group, Patients Perceptions, Patients Perspectives, Primary-Care, Quality of Life, Quality-of-Life, Questionnaire, Randomized Controlled-Trial, Receiving Insulin, Review, Science, Survey, Systematic, Systematic Review, Systematic Reviews, Treatment, Type 2, Type 2 Diabetes, Urine, Websites</w:t>
      </w:r>
    </w:p>
    <w:p w:rsidR="00D7355A" w:rsidRDefault="00D7355A" w:rsidP="00D7355A">
      <w:pPr>
        <w:pStyle w:val="a0"/>
        <w:rPr>
          <w:kern w:val="0"/>
        </w:rPr>
      </w:pPr>
      <w:r>
        <w:rPr>
          <w:rFonts w:hint="eastAsia"/>
          <w:kern w:val="0"/>
        </w:rPr>
        <w:t xml:space="preserve">? </w:t>
      </w:r>
      <w:r>
        <w:rPr>
          <w:kern w:val="0"/>
        </w:rPr>
        <w:t>Oliver, S., Bagnall, A.M., Thomas, J., Shepherd, J., Sowden, A., White, I., Dinnes, J., Rees, R., Colquitt, J., Oliver, K.</w:t>
      </w:r>
      <w:r w:rsidR="00F81221">
        <w:rPr>
          <w:kern w:val="0"/>
        </w:rPr>
        <w:t xml:space="preserve"> and </w:t>
      </w:r>
      <w:r>
        <w:rPr>
          <w:kern w:val="0"/>
        </w:rPr>
        <w:t xml:space="preserve">Garrett, Z. (2010), Randomised controlled trials for policy interventions: </w:t>
      </w:r>
      <w:r>
        <w:rPr>
          <w:rFonts w:hint="eastAsia"/>
          <w:kern w:val="0"/>
        </w:rPr>
        <w:t>A</w:t>
      </w:r>
      <w:r>
        <w:rPr>
          <w:kern w:val="0"/>
        </w:rPr>
        <w:t xml:space="preserve"> review of reviews</w:t>
      </w:r>
      <w:r w:rsidR="00F81221">
        <w:rPr>
          <w:kern w:val="0"/>
        </w:rPr>
        <w:t xml:space="preserve"> and </w:t>
      </w:r>
      <w:r>
        <w:rPr>
          <w:kern w:val="0"/>
        </w:rPr>
        <w:t xml:space="preserve">meta-regression. </w:t>
      </w:r>
      <w:r>
        <w:rPr>
          <w:i/>
          <w:iCs/>
          <w:kern w:val="0"/>
        </w:rPr>
        <w:t>Health Technology Assessment</w:t>
      </w:r>
      <w:r>
        <w:rPr>
          <w:kern w:val="0"/>
        </w:rPr>
        <w:t xml:space="preserve">, </w:t>
      </w:r>
      <w:r>
        <w:rPr>
          <w:b/>
          <w:bCs/>
          <w:kern w:val="0"/>
        </w:rPr>
        <w:t>14</w:t>
      </w:r>
      <w:r>
        <w:rPr>
          <w:kern w:val="0"/>
        </w:rPr>
        <w:t xml:space="preserve"> (16), 1-</w:t>
      </w:r>
      <w:r>
        <w:rPr>
          <w:rFonts w:hint="eastAsia"/>
          <w:kern w:val="0"/>
        </w:rPr>
        <w:t>192</w:t>
      </w:r>
      <w:r>
        <w:rPr>
          <w:kern w:val="0"/>
        </w:rPr>
        <w:t>.</w:t>
      </w:r>
    </w:p>
    <w:p w:rsidR="00D7355A" w:rsidRDefault="00D7355A" w:rsidP="00D7355A">
      <w:pPr>
        <w:pStyle w:val="a0"/>
        <w:rPr>
          <w:kern w:val="0"/>
        </w:rPr>
      </w:pPr>
      <w:r>
        <w:rPr>
          <w:rFonts w:hint="eastAsia"/>
          <w:kern w:val="0"/>
        </w:rPr>
        <w:t xml:space="preserve">Full Text: </w:t>
      </w:r>
      <w:hyperlink r:id="rId597" w:history="1">
        <w:r w:rsidRPr="006B0869">
          <w:rPr>
            <w:rStyle w:val="a5"/>
            <w:kern w:val="0"/>
          </w:rPr>
          <w:t>2010\Hea Tec Ass14-16, 1.pdf</w:t>
        </w:r>
      </w:hyperlink>
    </w:p>
    <w:p w:rsidR="00D7355A" w:rsidRDefault="00D7355A" w:rsidP="00D7355A">
      <w:pPr>
        <w:pStyle w:val="a0"/>
        <w:rPr>
          <w:kern w:val="0"/>
        </w:rPr>
      </w:pPr>
      <w:r>
        <w:rPr>
          <w:kern w:val="0"/>
        </w:rPr>
        <w:t>Abstract: Objectives: To determine whether randomised controlled trials (RCTs) lead to the same effect size</w:t>
      </w:r>
      <w:r w:rsidR="00F81221">
        <w:rPr>
          <w:kern w:val="0"/>
        </w:rPr>
        <w:t xml:space="preserve"> and </w:t>
      </w:r>
      <w:r>
        <w:rPr>
          <w:kern w:val="0"/>
        </w:rPr>
        <w:t>variance as non-randomised studies (NRSs) of similar policy interventions,</w:t>
      </w:r>
      <w:r w:rsidR="00F81221">
        <w:rPr>
          <w:kern w:val="0"/>
        </w:rPr>
        <w:t xml:space="preserve"> and </w:t>
      </w:r>
      <w:r>
        <w:rPr>
          <w:kern w:val="0"/>
        </w:rPr>
        <w:t>whether these findings can be explained by other factors associated with the interventions or their evaluation. Data sources: Two RCTs were resampled to compare randomised</w:t>
      </w:r>
      <w:r w:rsidR="00F81221">
        <w:rPr>
          <w:kern w:val="0"/>
        </w:rPr>
        <w:t xml:space="preserve"> and </w:t>
      </w:r>
      <w:r>
        <w:rPr>
          <w:kern w:val="0"/>
        </w:rPr>
        <w:t>non-randomised arms. Comparable field trials were identified from a series of health promotion systematic reviews</w:t>
      </w:r>
      <w:r w:rsidR="00F81221">
        <w:rPr>
          <w:kern w:val="0"/>
        </w:rPr>
        <w:t xml:space="preserve"> and </w:t>
      </w:r>
      <w:r>
        <w:rPr>
          <w:kern w:val="0"/>
        </w:rPr>
        <w:t>a systematic review of transition for youths with disabilities. Previous methodological studies were sought from 14 electronic bibliographic databases (Applied Social Sciences Index</w:t>
      </w:r>
      <w:r w:rsidR="00F81221">
        <w:rPr>
          <w:kern w:val="0"/>
        </w:rPr>
        <w:t xml:space="preserve"> and </w:t>
      </w:r>
      <w:r>
        <w:rPr>
          <w:kern w:val="0"/>
        </w:rPr>
        <w:t>Abstracts, Australian Education Index, British Education Index, CareData, Dissertation Abstracts, EconLIT, Educational Resources Information Centre, International Bibliography of the Sociological Sciences, ISI Proceedings: Social Sciences</w:t>
      </w:r>
      <w:r w:rsidR="00F81221">
        <w:rPr>
          <w:kern w:val="0"/>
        </w:rPr>
        <w:t xml:space="preserve"> and </w:t>
      </w:r>
      <w:r>
        <w:rPr>
          <w:kern w:val="0"/>
        </w:rPr>
        <w:t>Humanities, PAIS International, PsycINFO, SIGLE, Social Science Citation Index, Sociological Abstracts) in June</w:t>
      </w:r>
      <w:r w:rsidR="00F81221">
        <w:rPr>
          <w:kern w:val="0"/>
        </w:rPr>
        <w:t xml:space="preserve"> and </w:t>
      </w:r>
      <w:r>
        <w:rPr>
          <w:kern w:val="0"/>
        </w:rPr>
        <w:t>July 2004. These were supplemented by citation searching for key authors, contacting review authors</w:t>
      </w:r>
      <w:r w:rsidR="00F81221">
        <w:rPr>
          <w:kern w:val="0"/>
        </w:rPr>
        <w:t xml:space="preserve"> and </w:t>
      </w:r>
      <w:r>
        <w:rPr>
          <w:kern w:val="0"/>
        </w:rPr>
        <w:lastRenderedPageBreak/>
        <w:t>searching key internet sites. Review methods: Analyses of previous resampling studies, replication studies, comparable field studies</w:t>
      </w:r>
      <w:r w:rsidR="00F81221">
        <w:rPr>
          <w:kern w:val="0"/>
        </w:rPr>
        <w:t xml:space="preserve"> and </w:t>
      </w:r>
      <w:r>
        <w:rPr>
          <w:kern w:val="0"/>
        </w:rPr>
        <w:t>meta-epidemiology investigated the relationship between randomisation</w:t>
      </w:r>
      <w:r w:rsidR="00F81221">
        <w:rPr>
          <w:kern w:val="0"/>
        </w:rPr>
        <w:t xml:space="preserve"> and </w:t>
      </w:r>
      <w:r>
        <w:rPr>
          <w:kern w:val="0"/>
        </w:rPr>
        <w:t>effect size of policy interventions. New resampling studies</w:t>
      </w:r>
      <w:r w:rsidR="00F81221">
        <w:rPr>
          <w:kern w:val="0"/>
        </w:rPr>
        <w:t xml:space="preserve"> and </w:t>
      </w:r>
      <w:r>
        <w:rPr>
          <w:kern w:val="0"/>
        </w:rPr>
        <w:t>new analyses of comparable field studies</w:t>
      </w:r>
      <w:r w:rsidR="00F81221">
        <w:rPr>
          <w:kern w:val="0"/>
        </w:rPr>
        <w:t xml:space="preserve"> and </w:t>
      </w:r>
      <w:r>
        <w:rPr>
          <w:kern w:val="0"/>
        </w:rPr>
        <w:t>meta-epidemiology were strengthened by testing pre-specified associations supported by carefully argued hypotheses. Results: Resampling studies offer no evidence that the absence of randomisation directly influences the effect size of policy interventions in a systematic way. Prior methodological reviews</w:t>
      </w:r>
      <w:r w:rsidR="00F81221">
        <w:rPr>
          <w:kern w:val="0"/>
        </w:rPr>
        <w:t xml:space="preserve"> and </w:t>
      </w:r>
      <w:r>
        <w:rPr>
          <w:kern w:val="0"/>
        </w:rPr>
        <w:t>meta-analyses of existing reviews comparing effects from RCTs</w:t>
      </w:r>
      <w:r w:rsidR="00F81221">
        <w:rPr>
          <w:kern w:val="0"/>
        </w:rPr>
        <w:t xml:space="preserve"> and </w:t>
      </w:r>
      <w:r>
        <w:rPr>
          <w:kern w:val="0"/>
        </w:rPr>
        <w:t>non-randomised controlled trials (nRCTs) suggested that effect sizes from RCTs</w:t>
      </w:r>
      <w:r w:rsidR="00F81221">
        <w:rPr>
          <w:kern w:val="0"/>
        </w:rPr>
        <w:t xml:space="preserve"> and </w:t>
      </w:r>
      <w:r>
        <w:rPr>
          <w:kern w:val="0"/>
        </w:rPr>
        <w:t>nRCTs may indeed differ in some circumstances</w:t>
      </w:r>
      <w:r w:rsidR="00F81221">
        <w:rPr>
          <w:kern w:val="0"/>
        </w:rPr>
        <w:t xml:space="preserve"> and </w:t>
      </w:r>
      <w:r>
        <w:rPr>
          <w:kern w:val="0"/>
        </w:rPr>
        <w:t>that these differences may well be associated with factors confounded with design. No consistent explanations were found for randomisation being associated with changes in effect sizes of policy interventions in field trials. Conclusions: From the resampling studies we have no evidence that the absence of randomisation directly influences the effect size of policy interventions in a systematic way. At the level of individual studies, non-randomised trials may lead to different effect sizes, but this is unpredictable. Many of the examples reviewed</w:t>
      </w:r>
      <w:r w:rsidR="00F81221">
        <w:rPr>
          <w:kern w:val="0"/>
        </w:rPr>
        <w:t xml:space="preserve"> and </w:t>
      </w:r>
      <w:r>
        <w:rPr>
          <w:kern w:val="0"/>
        </w:rPr>
        <w:t>the new analyses in the current study reveal that randomisation is indeed associated with changes in effect sizes of policy interventions in field trials. Despite extensive analysis, we have identified no consistent explanations for these differences. Researchers mounting new evaluations need to avoid, wherever possible, allocation bias. New policy evaluations should adopt randomised designs wherever possible.</w:t>
      </w:r>
    </w:p>
    <w:p w:rsidR="00D7355A" w:rsidRDefault="00D7355A" w:rsidP="00D7355A">
      <w:pPr>
        <w:pStyle w:val="a0"/>
        <w:rPr>
          <w:kern w:val="0"/>
        </w:rPr>
      </w:pPr>
      <w:r>
        <w:rPr>
          <w:kern w:val="0"/>
        </w:rPr>
        <w:t>Keywords: Adolescents, Alcohol Treatment, Bias, Citation, Clinical-Trials, Databases, Evaluation, Health, HIV Prevention, Humanities, International, ISI, Lead, Metaanalysis, Methods, Nonrandom Assignment, Prevention Interventions, Programs, Promotion, Public-Health Interventions, Quality, Review, Science, Science Citation Index, Social Science Citation Index, Systematic Review</w:t>
      </w:r>
    </w:p>
    <w:p w:rsidR="00C75645" w:rsidRDefault="00C75645" w:rsidP="00C75645">
      <w:pPr>
        <w:pStyle w:val="a0"/>
        <w:rPr>
          <w:kern w:val="0"/>
        </w:rPr>
      </w:pPr>
      <w:r>
        <w:rPr>
          <w:rFonts w:hint="eastAsia"/>
          <w:kern w:val="0"/>
        </w:rPr>
        <w:t xml:space="preserve">? </w:t>
      </w:r>
      <w:r>
        <w:rPr>
          <w:kern w:val="0"/>
        </w:rPr>
        <w:t>Owen, J., Carroll, C., Cooke, J., Formby, E., Hayter, M., Hirst, J., Jones, M.L., Stapleton, H., Stevenson, M.</w:t>
      </w:r>
      <w:r w:rsidR="00F81221">
        <w:rPr>
          <w:kern w:val="0"/>
        </w:rPr>
        <w:t xml:space="preserve"> and </w:t>
      </w:r>
      <w:r>
        <w:rPr>
          <w:kern w:val="0"/>
        </w:rPr>
        <w:t xml:space="preserve">Sutton, A. (2010), School-linked sexual health services for young people (SSHYP): </w:t>
      </w:r>
      <w:r w:rsidR="00C40083">
        <w:rPr>
          <w:kern w:val="0"/>
        </w:rPr>
        <w:t xml:space="preserve">A </w:t>
      </w:r>
      <w:r>
        <w:rPr>
          <w:kern w:val="0"/>
        </w:rPr>
        <w:t>survey</w:t>
      </w:r>
      <w:r w:rsidR="00F81221">
        <w:rPr>
          <w:kern w:val="0"/>
        </w:rPr>
        <w:t xml:space="preserve"> and </w:t>
      </w:r>
      <w:r>
        <w:rPr>
          <w:kern w:val="0"/>
        </w:rPr>
        <w:t>systematic review concerning current models, effectiveness, cost-effectiveness</w:t>
      </w:r>
      <w:r w:rsidR="00F81221">
        <w:rPr>
          <w:kern w:val="0"/>
        </w:rPr>
        <w:t xml:space="preserve"> and </w:t>
      </w:r>
      <w:r>
        <w:rPr>
          <w:kern w:val="0"/>
        </w:rPr>
        <w:t xml:space="preserve">research opportunities Introduction. </w:t>
      </w:r>
      <w:r>
        <w:rPr>
          <w:i/>
          <w:iCs/>
          <w:kern w:val="0"/>
        </w:rPr>
        <w:t>Health Technology Assessment</w:t>
      </w:r>
      <w:r>
        <w:rPr>
          <w:kern w:val="0"/>
        </w:rPr>
        <w:t xml:space="preserve">, </w:t>
      </w:r>
      <w:r>
        <w:rPr>
          <w:b/>
          <w:bCs/>
          <w:kern w:val="0"/>
        </w:rPr>
        <w:t>14</w:t>
      </w:r>
      <w:r>
        <w:rPr>
          <w:kern w:val="0"/>
        </w:rPr>
        <w:t xml:space="preserve"> (30), 1-</w:t>
      </w:r>
      <w:r w:rsidR="00C40083">
        <w:rPr>
          <w:rFonts w:hint="eastAsia"/>
          <w:kern w:val="0"/>
        </w:rPr>
        <w:t>255</w:t>
      </w:r>
      <w:r>
        <w:rPr>
          <w:kern w:val="0"/>
        </w:rPr>
        <w:t>.</w:t>
      </w:r>
    </w:p>
    <w:p w:rsidR="00C75645" w:rsidRDefault="00C75645" w:rsidP="00C75645">
      <w:pPr>
        <w:pStyle w:val="a0"/>
        <w:rPr>
          <w:kern w:val="0"/>
        </w:rPr>
      </w:pPr>
      <w:r>
        <w:rPr>
          <w:rFonts w:hint="eastAsia"/>
          <w:kern w:val="0"/>
        </w:rPr>
        <w:t xml:space="preserve">Full Text: </w:t>
      </w:r>
      <w:hyperlink r:id="rId598" w:history="1">
        <w:r w:rsidR="00C40083" w:rsidRPr="00C40083">
          <w:rPr>
            <w:rStyle w:val="a5"/>
            <w:kern w:val="0"/>
          </w:rPr>
          <w:t>2010\Hea Tec Ass14-30, 1.pdf</w:t>
        </w:r>
      </w:hyperlink>
    </w:p>
    <w:p w:rsidR="00C75645" w:rsidRDefault="00C75645" w:rsidP="00C75645">
      <w:pPr>
        <w:pStyle w:val="a0"/>
        <w:rPr>
          <w:kern w:val="0"/>
        </w:rPr>
      </w:pPr>
      <w:r>
        <w:rPr>
          <w:kern w:val="0"/>
        </w:rPr>
        <w:t>Abstract: Background: Report based on a service-mapping study</w:t>
      </w:r>
      <w:r w:rsidR="00F81221">
        <w:rPr>
          <w:kern w:val="0"/>
        </w:rPr>
        <w:t xml:space="preserve"> and </w:t>
      </w:r>
      <w:r>
        <w:rPr>
          <w:kern w:val="0"/>
        </w:rPr>
        <w:t>a systematic review concerning sexual health services for young people, either based in or closely linked to schools. Objectives: To identify current forms of school-based sexual health services (SBSHS)</w:t>
      </w:r>
      <w:r w:rsidR="00F81221">
        <w:rPr>
          <w:kern w:val="0"/>
        </w:rPr>
        <w:t xml:space="preserve"> and </w:t>
      </w:r>
      <w:r>
        <w:rPr>
          <w:kern w:val="0"/>
        </w:rPr>
        <w:t>school-linked sexual health services (SLSHS) in the UK, review</w:t>
      </w:r>
      <w:r w:rsidR="00F81221">
        <w:rPr>
          <w:kern w:val="0"/>
        </w:rPr>
        <w:t xml:space="preserve"> and </w:t>
      </w:r>
      <w:r>
        <w:rPr>
          <w:kern w:val="0"/>
        </w:rPr>
        <w:t>synthesise existing evidence from qualitative</w:t>
      </w:r>
      <w:r w:rsidR="00F81221">
        <w:rPr>
          <w:kern w:val="0"/>
        </w:rPr>
        <w:t xml:space="preserve"> and </w:t>
      </w:r>
      <w:r>
        <w:rPr>
          <w:kern w:val="0"/>
        </w:rPr>
        <w:t xml:space="preserve">quantitative </w:t>
      </w:r>
      <w:r>
        <w:rPr>
          <w:kern w:val="0"/>
        </w:rPr>
        <w:lastRenderedPageBreak/>
        <w:t>studies concerning the effectiveness, acceptability</w:t>
      </w:r>
      <w:r w:rsidR="00F81221">
        <w:rPr>
          <w:kern w:val="0"/>
        </w:rPr>
        <w:t xml:space="preserve"> and </w:t>
      </w:r>
      <w:r>
        <w:rPr>
          <w:kern w:val="0"/>
        </w:rPr>
        <w:t>cost-effectiveness of these types of service</w:t>
      </w:r>
      <w:r w:rsidR="00F81221">
        <w:rPr>
          <w:kern w:val="0"/>
        </w:rPr>
        <w:t xml:space="preserve"> and </w:t>
      </w:r>
      <w:r>
        <w:rPr>
          <w:kern w:val="0"/>
        </w:rPr>
        <w:t>to identify potential areas for further research. Data sources: Electronic databases were searched from 1985 onwards. For published material: the Cochrane Library (1991), MEDLINE, PREMEDLINE (2007), CINAHL, EMBASE,AMED,ASSIA (1987), IBSS, ERIC, PsycINFO, Science Citation Index (SCI)</w:t>
      </w:r>
      <w:r w:rsidR="00F81221">
        <w:rPr>
          <w:kern w:val="0"/>
        </w:rPr>
        <w:t xml:space="preserve"> and </w:t>
      </w:r>
      <w:r>
        <w:rPr>
          <w:kern w:val="0"/>
        </w:rPr>
        <w:t>Social Sciences Citation Index. For unpublished material</w:t>
      </w:r>
      <w:r w:rsidR="00F81221">
        <w:rPr>
          <w:kern w:val="0"/>
        </w:rPr>
        <w:t xml:space="preserve"> and </w:t>
      </w:r>
      <w:r>
        <w:rPr>
          <w:kern w:val="0"/>
        </w:rPr>
        <w:t>grey literature: the Social Care Institute of Excellence Research Register; the National Research Register (1997), ReFeR; Index to Theses,</w:t>
      </w:r>
      <w:r w:rsidR="00F81221">
        <w:rPr>
          <w:kern w:val="0"/>
        </w:rPr>
        <w:t xml:space="preserve"> and </w:t>
      </w:r>
      <w:r>
        <w:rPr>
          <w:kern w:val="0"/>
        </w:rPr>
        <w:t>HMIC. Review methods: A service-mapping questionnaire was circulated to school nurses in all parts of the UK,</w:t>
      </w:r>
      <w:r w:rsidR="00F81221">
        <w:rPr>
          <w:kern w:val="0"/>
        </w:rPr>
        <w:t xml:space="preserve"> and </w:t>
      </w:r>
      <w:r>
        <w:rPr>
          <w:kern w:val="0"/>
        </w:rPr>
        <w:t>semistructured telephone interviews with service coordinators in NHS</w:t>
      </w:r>
      <w:r w:rsidR="00F81221">
        <w:rPr>
          <w:kern w:val="0"/>
        </w:rPr>
        <w:t xml:space="preserve"> and </w:t>
      </w:r>
      <w:r>
        <w:rPr>
          <w:kern w:val="0"/>
        </w:rPr>
        <w:t>local authority (LA) roles were conducted. An evidence synthesis was performed based on a systematic review of the quantitative evidence about service effectiveness, qualitative evidence about user</w:t>
      </w:r>
      <w:r w:rsidR="00F81221">
        <w:rPr>
          <w:kern w:val="0"/>
        </w:rPr>
        <w:t xml:space="preserve"> and </w:t>
      </w:r>
      <w:r>
        <w:rPr>
          <w:kern w:val="0"/>
        </w:rPr>
        <w:t>professional views</w:t>
      </w:r>
      <w:r w:rsidR="00F81221">
        <w:rPr>
          <w:kern w:val="0"/>
        </w:rPr>
        <w:t xml:space="preserve"> and </w:t>
      </w:r>
      <w:r>
        <w:rPr>
          <w:kern w:val="0"/>
        </w:rPr>
        <w:t xml:space="preserve">a mixed-methods synthesis. A proof-of-concept model for assessing cost-effectiveness was drawn up. Results: Three broad types of UK sexual health service provision were identified. Firstly, SBSHS staffed by school nurses, offering </w:t>
      </w:r>
      <w:r w:rsidR="000352E7">
        <w:rPr>
          <w:kern w:val="0"/>
        </w:rPr>
        <w:t>‘</w:t>
      </w:r>
      <w:r>
        <w:rPr>
          <w:kern w:val="0"/>
        </w:rPr>
        <w:t>minimal</w:t>
      </w:r>
      <w:r w:rsidR="000352E7">
        <w:rPr>
          <w:kern w:val="0"/>
        </w:rPr>
        <w:t>’</w:t>
      </w:r>
      <w:r>
        <w:rPr>
          <w:kern w:val="0"/>
        </w:rPr>
        <w:t xml:space="preserve"> or </w:t>
      </w:r>
      <w:r w:rsidR="000352E7">
        <w:rPr>
          <w:kern w:val="0"/>
        </w:rPr>
        <w:t>‘</w:t>
      </w:r>
      <w:r>
        <w:rPr>
          <w:kern w:val="0"/>
        </w:rPr>
        <w:t>basic</w:t>
      </w:r>
      <w:r w:rsidR="000352E7">
        <w:rPr>
          <w:kern w:val="0"/>
        </w:rPr>
        <w:t>’</w:t>
      </w:r>
      <w:r>
        <w:rPr>
          <w:kern w:val="0"/>
        </w:rPr>
        <w:t xml:space="preserve"> levels of service. Secondly, SBSHS</w:t>
      </w:r>
      <w:r w:rsidR="00F81221">
        <w:rPr>
          <w:kern w:val="0"/>
        </w:rPr>
        <w:t xml:space="preserve"> and </w:t>
      </w:r>
      <w:r>
        <w:rPr>
          <w:kern w:val="0"/>
        </w:rPr>
        <w:t xml:space="preserve">SLSHS staffed by a multiprofessional team, but not medical practitioners, offering </w:t>
      </w:r>
      <w:r w:rsidR="000352E7">
        <w:rPr>
          <w:kern w:val="0"/>
        </w:rPr>
        <w:t>‘</w:t>
      </w:r>
      <w:r>
        <w:rPr>
          <w:kern w:val="0"/>
        </w:rPr>
        <w:t>basic</w:t>
      </w:r>
      <w:r w:rsidR="000352E7">
        <w:rPr>
          <w:kern w:val="0"/>
        </w:rPr>
        <w:t>’</w:t>
      </w:r>
      <w:r>
        <w:rPr>
          <w:kern w:val="0"/>
        </w:rPr>
        <w:t xml:space="preserve"> or </w:t>
      </w:r>
      <w:r w:rsidR="000352E7">
        <w:rPr>
          <w:kern w:val="0"/>
        </w:rPr>
        <w:t>‘</w:t>
      </w:r>
      <w:r>
        <w:rPr>
          <w:kern w:val="0"/>
        </w:rPr>
        <w:t>intermediate</w:t>
      </w:r>
      <w:r w:rsidR="000352E7">
        <w:rPr>
          <w:kern w:val="0"/>
        </w:rPr>
        <w:t>’</w:t>
      </w:r>
      <w:r>
        <w:rPr>
          <w:kern w:val="0"/>
        </w:rPr>
        <w:t xml:space="preserve"> levels of service.Thirdly, SBSHS</w:t>
      </w:r>
      <w:r w:rsidR="00F81221">
        <w:rPr>
          <w:kern w:val="0"/>
        </w:rPr>
        <w:t xml:space="preserve"> and </w:t>
      </w:r>
      <w:r>
        <w:rPr>
          <w:kern w:val="0"/>
        </w:rPr>
        <w:t xml:space="preserve">SLSHS staffed by a multiprofessional team, including medical practitioners offering </w:t>
      </w:r>
      <w:r w:rsidR="000352E7">
        <w:rPr>
          <w:kern w:val="0"/>
        </w:rPr>
        <w:t>‘</w:t>
      </w:r>
      <w:r>
        <w:rPr>
          <w:kern w:val="0"/>
        </w:rPr>
        <w:t>intermediate</w:t>
      </w:r>
      <w:r w:rsidR="000352E7">
        <w:rPr>
          <w:kern w:val="0"/>
        </w:rPr>
        <w:t>’</w:t>
      </w:r>
      <w:r>
        <w:rPr>
          <w:kern w:val="0"/>
        </w:rPr>
        <w:t xml:space="preserve"> or </w:t>
      </w:r>
      <w:r w:rsidR="000352E7">
        <w:rPr>
          <w:kern w:val="0"/>
        </w:rPr>
        <w:t>‘</w:t>
      </w:r>
      <w:r>
        <w:rPr>
          <w:kern w:val="0"/>
        </w:rPr>
        <w:t>comprehensive</w:t>
      </w:r>
      <w:r w:rsidR="000352E7">
        <w:rPr>
          <w:kern w:val="0"/>
        </w:rPr>
        <w:t>’</w:t>
      </w:r>
      <w:r>
        <w:rPr>
          <w:kern w:val="0"/>
        </w:rPr>
        <w:t xml:space="preserve"> levels of service.The systematic review showed that SBSHS are not associated with higher rates of sexual activity among young people, nor with an earlier age of first intercourse.There was evidence to show positive effects in terms of reductions in births to teenage mothers,</w:t>
      </w:r>
      <w:r w:rsidR="00F81221">
        <w:rPr>
          <w:kern w:val="0"/>
        </w:rPr>
        <w:t xml:space="preserve"> and </w:t>
      </w:r>
      <w:r>
        <w:rPr>
          <w:kern w:val="0"/>
        </w:rPr>
        <w:t>in chlamydial infection rates among young men, although this evidence coming primarily from the USA.</w:t>
      </w:r>
      <w:r w:rsidR="003C62C2">
        <w:rPr>
          <w:rFonts w:hint="eastAsia"/>
          <w:kern w:val="0"/>
        </w:rPr>
        <w:t xml:space="preserve"> </w:t>
      </w:r>
      <w:r>
        <w:rPr>
          <w:kern w:val="0"/>
        </w:rPr>
        <w:t>Therefore, the findings need to be tested in relation to UK-based services. Also evidence to suggest that broad-based, holistic service models, not restricted to sexual health, offer the strongest basis for protecting young people</w:t>
      </w:r>
      <w:r w:rsidR="000352E7">
        <w:rPr>
          <w:kern w:val="0"/>
        </w:rPr>
        <w:t>’</w:t>
      </w:r>
      <w:r>
        <w:rPr>
          <w:kern w:val="0"/>
        </w:rPr>
        <w:t>s privacy</w:t>
      </w:r>
      <w:r w:rsidR="00F81221">
        <w:rPr>
          <w:kern w:val="0"/>
        </w:rPr>
        <w:t xml:space="preserve"> and </w:t>
      </w:r>
      <w:r>
        <w:rPr>
          <w:kern w:val="0"/>
        </w:rPr>
        <w:t>confidentiality, countering perceived stigmatisation, offering the most comprehensive range of products</w:t>
      </w:r>
      <w:r w:rsidR="00F81221">
        <w:rPr>
          <w:kern w:val="0"/>
        </w:rPr>
        <w:t xml:space="preserve"> and </w:t>
      </w:r>
      <w:r>
        <w:rPr>
          <w:kern w:val="0"/>
        </w:rPr>
        <w:t>services,</w:t>
      </w:r>
      <w:r w:rsidR="00F81221">
        <w:rPr>
          <w:kern w:val="0"/>
        </w:rPr>
        <w:t xml:space="preserve"> and </w:t>
      </w:r>
      <w:r>
        <w:rPr>
          <w:kern w:val="0"/>
        </w:rPr>
        <w:t>maximising service uptake. Findings from the mapping study also indicate that broad-based services, which include medical practitioner input within a multipr</w:t>
      </w:r>
      <w:r w:rsidR="003C62C2">
        <w:rPr>
          <w:rFonts w:hint="eastAsia"/>
          <w:kern w:val="0"/>
        </w:rPr>
        <w:t xml:space="preserve"> </w:t>
      </w:r>
      <w:r>
        <w:rPr>
          <w:kern w:val="0"/>
        </w:rPr>
        <w:t>of</w:t>
      </w:r>
      <w:r w:rsidR="003C62C2">
        <w:rPr>
          <w:rFonts w:hint="eastAsia"/>
          <w:kern w:val="0"/>
        </w:rPr>
        <w:t xml:space="preserve"> </w:t>
      </w:r>
      <w:r>
        <w:rPr>
          <w:kern w:val="0"/>
        </w:rPr>
        <w:t>essional team, meet the stated preferences of staff</w:t>
      </w:r>
      <w:r w:rsidR="00F81221">
        <w:rPr>
          <w:kern w:val="0"/>
        </w:rPr>
        <w:t xml:space="preserve"> and </w:t>
      </w:r>
      <w:r>
        <w:rPr>
          <w:kern w:val="0"/>
        </w:rPr>
        <w:t>of young people most clearly. Partnership</w:t>
      </w:r>
      <w:r w:rsidR="003C62C2">
        <w:rPr>
          <w:rFonts w:hint="eastAsia"/>
          <w:kern w:val="0"/>
        </w:rPr>
        <w:t xml:space="preserve"> </w:t>
      </w:r>
      <w:r>
        <w:rPr>
          <w:kern w:val="0"/>
        </w:rPr>
        <w:t>based developments of this kind also conform to the broad policy principles embodied in the Every Child Matters framework in the UK</w:t>
      </w:r>
      <w:r w:rsidR="00F81221">
        <w:rPr>
          <w:kern w:val="0"/>
        </w:rPr>
        <w:t xml:space="preserve"> and </w:t>
      </w:r>
      <w:r>
        <w:rPr>
          <w:kern w:val="0"/>
        </w:rPr>
        <w:t>allied policy initiatives. However, neither these service models nor narrower ones have been rigorously evaluated in terms of their impact on the key outcomes of conception rates</w:t>
      </w:r>
      <w:r w:rsidR="00F81221">
        <w:rPr>
          <w:kern w:val="0"/>
        </w:rPr>
        <w:t xml:space="preserve"> and </w:t>
      </w:r>
      <w:r>
        <w:rPr>
          <w:kern w:val="0"/>
        </w:rPr>
        <w:t>sexually transmitted infection (STI) rates, in the UK or in other countries. Therefore, appropriate data were not found to support cost-effectiveness modelling. Limitations: Low response rate to the questionnaire. Scotland,</w:t>
      </w:r>
      <w:r w:rsidR="00C40083">
        <w:rPr>
          <w:rFonts w:hint="eastAsia"/>
          <w:kern w:val="0"/>
        </w:rPr>
        <w:t xml:space="preserve"> </w:t>
      </w:r>
      <w:r>
        <w:rPr>
          <w:kern w:val="0"/>
        </w:rPr>
        <w:t>Wales</w:t>
      </w:r>
      <w:r w:rsidR="00F81221">
        <w:rPr>
          <w:kern w:val="0"/>
        </w:rPr>
        <w:t xml:space="preserve"> and </w:t>
      </w:r>
      <w:r>
        <w:rPr>
          <w:kern w:val="0"/>
        </w:rPr>
        <w:t xml:space="preserve">Northern Ireland were </w:t>
      </w:r>
      <w:r>
        <w:rPr>
          <w:kern w:val="0"/>
        </w:rPr>
        <w:lastRenderedPageBreak/>
        <w:t xml:space="preserve">under-represented. Also, the distinction made in the questionnaire between </w:t>
      </w:r>
      <w:r w:rsidR="000352E7">
        <w:rPr>
          <w:kern w:val="0"/>
        </w:rPr>
        <w:t>‘</w:t>
      </w:r>
      <w:r>
        <w:rPr>
          <w:kern w:val="0"/>
        </w:rPr>
        <w:t>general health</w:t>
      </w:r>
      <w:r w:rsidR="000352E7">
        <w:rPr>
          <w:kern w:val="0"/>
        </w:rPr>
        <w:t>’</w:t>
      </w:r>
      <w:r w:rsidR="00F81221">
        <w:rPr>
          <w:kern w:val="0"/>
        </w:rPr>
        <w:t xml:space="preserve"> and </w:t>
      </w:r>
      <w:r w:rsidR="000352E7">
        <w:rPr>
          <w:kern w:val="0"/>
        </w:rPr>
        <w:t>‘</w:t>
      </w:r>
      <w:r>
        <w:rPr>
          <w:kern w:val="0"/>
        </w:rPr>
        <w:t>sexual health</w:t>
      </w:r>
      <w:r w:rsidR="000352E7">
        <w:rPr>
          <w:kern w:val="0"/>
        </w:rPr>
        <w:t>’</w:t>
      </w:r>
      <w:r>
        <w:rPr>
          <w:kern w:val="0"/>
        </w:rPr>
        <w:t xml:space="preserve"> services did not prove robust. Conclusions: There is no single, dominant service model in the UK. The systematic review demonstrated that the evidence base for these services remains limited</w:t>
      </w:r>
      <w:r w:rsidR="00F81221">
        <w:rPr>
          <w:kern w:val="0"/>
        </w:rPr>
        <w:t xml:space="preserve"> and </w:t>
      </w:r>
      <w:r>
        <w:rPr>
          <w:kern w:val="0"/>
        </w:rPr>
        <w:t>uneven,</w:t>
      </w:r>
      <w:r w:rsidR="00F81221">
        <w:rPr>
          <w:kern w:val="0"/>
        </w:rPr>
        <w:t xml:space="preserve"> and </w:t>
      </w:r>
      <w:r>
        <w:rPr>
          <w:kern w:val="0"/>
        </w:rPr>
        <w:t>draws largely on US studies. Qualitative research is needed to develop robust process</w:t>
      </w:r>
      <w:r w:rsidR="00F81221">
        <w:rPr>
          <w:kern w:val="0"/>
        </w:rPr>
        <w:t xml:space="preserve"> and </w:t>
      </w:r>
      <w:r>
        <w:rPr>
          <w:kern w:val="0"/>
        </w:rPr>
        <w:t>outcome indicators for the evaluation of SLSHS/SBSHS in the UK.</w:t>
      </w:r>
      <w:r w:rsidR="00C40083">
        <w:rPr>
          <w:rFonts w:hint="eastAsia"/>
          <w:kern w:val="0"/>
        </w:rPr>
        <w:t xml:space="preserve"> </w:t>
      </w:r>
      <w:r>
        <w:rPr>
          <w:kern w:val="0"/>
        </w:rPr>
        <w:t>These indicators could then be used both in local evaluations,</w:t>
      </w:r>
      <w:r w:rsidR="00F81221">
        <w:rPr>
          <w:kern w:val="0"/>
        </w:rPr>
        <w:t xml:space="preserve"> and </w:t>
      </w:r>
      <w:r>
        <w:rPr>
          <w:kern w:val="0"/>
        </w:rPr>
        <w:t>in large, longitudinal studies of service effectiveness</w:t>
      </w:r>
      <w:r w:rsidR="00F81221">
        <w:rPr>
          <w:kern w:val="0"/>
        </w:rPr>
        <w:t xml:space="preserve"> and </w:t>
      </w:r>
      <w:r>
        <w:rPr>
          <w:kern w:val="0"/>
        </w:rPr>
        <w:t>cost-effectiveness. Future research should examine the impact of the differing types of services currently evolving in the UK, encompassing school-based</w:t>
      </w:r>
      <w:r w:rsidR="00F81221">
        <w:rPr>
          <w:kern w:val="0"/>
        </w:rPr>
        <w:t xml:space="preserve"> and </w:t>
      </w:r>
      <w:r>
        <w:rPr>
          <w:kern w:val="0"/>
        </w:rPr>
        <w:t>school-linked models, as well as models with</w:t>
      </w:r>
      <w:r w:rsidR="00F81221">
        <w:rPr>
          <w:kern w:val="0"/>
        </w:rPr>
        <w:t xml:space="preserve"> and </w:t>
      </w:r>
      <w:r>
        <w:rPr>
          <w:kern w:val="0"/>
        </w:rPr>
        <w:t>without medical practitioner involvement.</w:t>
      </w:r>
    </w:p>
    <w:p w:rsidR="00C75645" w:rsidRDefault="00C75645" w:rsidP="00C75645">
      <w:pPr>
        <w:pStyle w:val="a0"/>
        <w:rPr>
          <w:kern w:val="0"/>
        </w:rPr>
      </w:pPr>
      <w:r>
        <w:rPr>
          <w:kern w:val="0"/>
        </w:rPr>
        <w:t>Keywords: Adolescent Pregnancy Prevention, Chlamydia-Trachomatis, Community-Randomized-Trial, Condom Availability, Family-Planning-Services, National-Survey, New-York-City, Public High-Schools, Research, Review, Teenage Pregnancy, Transmitted Infections</w:t>
      </w:r>
    </w:p>
    <w:p w:rsidR="00C40083" w:rsidRDefault="00C40083" w:rsidP="00C40083">
      <w:pPr>
        <w:pStyle w:val="a0"/>
        <w:rPr>
          <w:kern w:val="0"/>
        </w:rPr>
      </w:pPr>
      <w:r>
        <w:rPr>
          <w:rFonts w:hint="eastAsia"/>
          <w:kern w:val="0"/>
        </w:rPr>
        <w:t xml:space="preserve">? </w:t>
      </w:r>
      <w:r>
        <w:rPr>
          <w:kern w:val="0"/>
        </w:rPr>
        <w:t>Cooper, K., Squires, H., Carroll, C., Papaioannou, D., Booth, A., Logan, R.F., Maguire, C., Hind, D.</w:t>
      </w:r>
      <w:r w:rsidR="00F81221">
        <w:rPr>
          <w:kern w:val="0"/>
        </w:rPr>
        <w:t xml:space="preserve"> and </w:t>
      </w:r>
      <w:r>
        <w:rPr>
          <w:kern w:val="0"/>
        </w:rPr>
        <w:t>Tappenden, P. (2010), Chemoprevention of colorectal cancer: Systematic review</w:t>
      </w:r>
      <w:r w:rsidR="00F81221">
        <w:rPr>
          <w:kern w:val="0"/>
        </w:rPr>
        <w:t xml:space="preserve"> and </w:t>
      </w:r>
      <w:r>
        <w:rPr>
          <w:kern w:val="0"/>
        </w:rPr>
        <w:t xml:space="preserve">economic evaluation. </w:t>
      </w:r>
      <w:r>
        <w:rPr>
          <w:i/>
          <w:iCs/>
          <w:kern w:val="0"/>
        </w:rPr>
        <w:t>Health Technology Assessment</w:t>
      </w:r>
      <w:r>
        <w:rPr>
          <w:kern w:val="0"/>
        </w:rPr>
        <w:t xml:space="preserve">, </w:t>
      </w:r>
      <w:r>
        <w:rPr>
          <w:b/>
          <w:bCs/>
          <w:kern w:val="0"/>
        </w:rPr>
        <w:t>14</w:t>
      </w:r>
      <w:r>
        <w:rPr>
          <w:kern w:val="0"/>
        </w:rPr>
        <w:t xml:space="preserve"> (32), 1-</w:t>
      </w:r>
      <w:r>
        <w:rPr>
          <w:rFonts w:hint="eastAsia"/>
          <w:kern w:val="0"/>
        </w:rPr>
        <w:t>205</w:t>
      </w:r>
      <w:r>
        <w:rPr>
          <w:kern w:val="0"/>
        </w:rPr>
        <w:t>.</w:t>
      </w:r>
    </w:p>
    <w:p w:rsidR="00C40083" w:rsidRDefault="00C40083" w:rsidP="00C40083">
      <w:pPr>
        <w:pStyle w:val="a0"/>
        <w:rPr>
          <w:kern w:val="0"/>
        </w:rPr>
      </w:pPr>
      <w:r>
        <w:rPr>
          <w:rFonts w:hint="eastAsia"/>
          <w:kern w:val="0"/>
        </w:rPr>
        <w:t xml:space="preserve">Full Text: </w:t>
      </w:r>
      <w:hyperlink r:id="rId599" w:history="1">
        <w:r w:rsidRPr="00C40083">
          <w:rPr>
            <w:rStyle w:val="a5"/>
            <w:kern w:val="0"/>
          </w:rPr>
          <w:t>2010\Hea Tec Ass14-32, 1.pdf</w:t>
        </w:r>
      </w:hyperlink>
    </w:p>
    <w:p w:rsidR="00C40083" w:rsidRDefault="00C40083" w:rsidP="00C40083">
      <w:pPr>
        <w:pStyle w:val="a0"/>
        <w:rPr>
          <w:kern w:val="0"/>
        </w:rPr>
      </w:pPr>
      <w:r>
        <w:rPr>
          <w:kern w:val="0"/>
        </w:rPr>
        <w:t>Abstract: Background: Colorectal cancer (CRC) is the third most common cancer in the UK: incidence increases with age, median age at diagnosis being over 70 years. Approximately 25% of cases occur in individuals with a family history of CRC, including 5% caused by familial adenomatous polyposis (FAP) or hereditary non-polyposis CRC (HNJPCC). Most develop from adenomatous polyps arising from the intestine lining. Individuals with these polyps undergo polypectomy</w:t>
      </w:r>
      <w:r w:rsidR="00F81221">
        <w:rPr>
          <w:kern w:val="0"/>
        </w:rPr>
        <w:t xml:space="preserve"> and </w:t>
      </w:r>
      <w:r>
        <w:rPr>
          <w:kern w:val="0"/>
        </w:rPr>
        <w:t>are invited for endoscopic surveillance. Screening via faecal occult blood testing has been rolled out across the UK. Objectives: To evaluate the CIinical effectiveness</w:t>
      </w:r>
      <w:r w:rsidR="00F81221">
        <w:rPr>
          <w:kern w:val="0"/>
        </w:rPr>
        <w:t xml:space="preserve"> and </w:t>
      </w:r>
      <w:r>
        <w:rPr>
          <w:kern w:val="0"/>
        </w:rPr>
        <w:t>cost-effectiveness of drug</w:t>
      </w:r>
      <w:r w:rsidR="00F81221">
        <w:rPr>
          <w:kern w:val="0"/>
        </w:rPr>
        <w:t xml:space="preserve"> and </w:t>
      </w:r>
      <w:r>
        <w:rPr>
          <w:kern w:val="0"/>
        </w:rPr>
        <w:t>micronutrient interventions for the prevention of CRC and/ or adenomatous polyps. Interventions considered include: non-steroidal anti-inflammatory drugs (NSAIDs), including aspirin</w:t>
      </w:r>
      <w:r w:rsidR="00F81221">
        <w:rPr>
          <w:kern w:val="0"/>
        </w:rPr>
        <w:t xml:space="preserve"> and </w:t>
      </w:r>
      <w:r>
        <w:rPr>
          <w:kern w:val="0"/>
        </w:rPr>
        <w:t>cyclo-oxygenase-2 (COX-2) inhibitors; folic acid; calcium; vitamin D</w:t>
      </w:r>
      <w:r w:rsidR="00F81221">
        <w:rPr>
          <w:kern w:val="0"/>
        </w:rPr>
        <w:t xml:space="preserve"> and </w:t>
      </w:r>
      <w:r>
        <w:rPr>
          <w:kern w:val="0"/>
        </w:rPr>
        <w:t>antioxidants (including vitamin A, vitamin C, vitamin E, selenium</w:t>
      </w:r>
      <w:r w:rsidR="00F81221">
        <w:rPr>
          <w:kern w:val="0"/>
        </w:rPr>
        <w:t xml:space="preserve"> and </w:t>
      </w:r>
      <w:r>
        <w:rPr>
          <w:kern w:val="0"/>
        </w:rPr>
        <w:t>beta-carotene). Chemoprevention was assessed in the general population, in individuals at increased risk of CRC,</w:t>
      </w:r>
      <w:r w:rsidR="00F81221">
        <w:rPr>
          <w:kern w:val="0"/>
        </w:rPr>
        <w:t xml:space="preserve"> and </w:t>
      </w:r>
      <w:r>
        <w:rPr>
          <w:kern w:val="0"/>
        </w:rPr>
        <w:t>in individuals with FAP or HNPCC. Data sources: A systematic review identified randomised controlled trials (RCTs) assessing drug</w:t>
      </w:r>
      <w:r w:rsidR="00F81221">
        <w:rPr>
          <w:kern w:val="0"/>
        </w:rPr>
        <w:t xml:space="preserve"> and </w:t>
      </w:r>
      <w:r>
        <w:rPr>
          <w:kern w:val="0"/>
        </w:rPr>
        <w:t>nutritional agents for the prevention of CRC or adenomatous polyps. A separate search identified qualitative studies relating to individuals</w:t>
      </w:r>
      <w:r w:rsidR="000352E7">
        <w:rPr>
          <w:kern w:val="0"/>
        </w:rPr>
        <w:t>’</w:t>
      </w:r>
      <w:r>
        <w:rPr>
          <w:kern w:val="0"/>
        </w:rPr>
        <w:t xml:space="preserve"> views, attitudes</w:t>
      </w:r>
      <w:r w:rsidR="00F81221">
        <w:rPr>
          <w:kern w:val="0"/>
        </w:rPr>
        <w:t xml:space="preserve"> and </w:t>
      </w:r>
      <w:r>
        <w:rPr>
          <w:kern w:val="0"/>
        </w:rPr>
        <w:t xml:space="preserve">beliefs about chemoprevention. MEDLINE, MEDLINE In-Process &amp; Other NonIndexed Citations, EM BASE, </w:t>
      </w:r>
      <w:r>
        <w:rPr>
          <w:kern w:val="0"/>
        </w:rPr>
        <w:lastRenderedPageBreak/>
        <w:t>CINAHL, the Cochrane Database of Systematic Reviews, Cochrane CENTRAL Register of Controlled Trials, DARE, NHS-EED (NHS Economic Evaluation Database), HTA database, Science Citation Index, BIOSIS previews</w:t>
      </w:r>
      <w:r w:rsidR="00F81221">
        <w:rPr>
          <w:kern w:val="0"/>
        </w:rPr>
        <w:t xml:space="preserve"> and </w:t>
      </w:r>
      <w:r>
        <w:rPr>
          <w:kern w:val="0"/>
        </w:rPr>
        <w:t>the Current Controlled Trials research register were searched in June 2008. Data were extracted by one reviewer</w:t>
      </w:r>
      <w:r w:rsidR="00F81221">
        <w:rPr>
          <w:kern w:val="0"/>
        </w:rPr>
        <w:t xml:space="preserve"> and </w:t>
      </w:r>
      <w:r>
        <w:rPr>
          <w:kern w:val="0"/>
        </w:rPr>
        <w:t>checked by a second. Review methods: The synthesis methods used were systematic review</w:t>
      </w:r>
      <w:r w:rsidR="00F81221">
        <w:rPr>
          <w:kern w:val="0"/>
        </w:rPr>
        <w:t xml:space="preserve"> and </w:t>
      </w:r>
      <w:r>
        <w:rPr>
          <w:kern w:val="0"/>
        </w:rPr>
        <w:t>meta-analysis for RCTs</w:t>
      </w:r>
      <w:r w:rsidR="00F81221">
        <w:rPr>
          <w:kern w:val="0"/>
        </w:rPr>
        <w:t xml:space="preserve"> and </w:t>
      </w:r>
      <w:r>
        <w:rPr>
          <w:kern w:val="0"/>
        </w:rPr>
        <w:t>qualitative framework synthesis for qualitative studies. A health economic model was developed to assess the cost-effectiveness of chemoprevention for two populations with different levels of risk of developing CRC: the general population</w:t>
      </w:r>
      <w:r w:rsidR="00F81221">
        <w:rPr>
          <w:kern w:val="0"/>
        </w:rPr>
        <w:t xml:space="preserve"> and </w:t>
      </w:r>
      <w:r>
        <w:rPr>
          <w:kern w:val="0"/>
        </w:rPr>
        <w:t>an intermediate-risk population. Results: The search identified 44 relevant RCTs</w:t>
      </w:r>
      <w:r w:rsidR="00F81221">
        <w:rPr>
          <w:kern w:val="0"/>
        </w:rPr>
        <w:t xml:space="preserve"> and </w:t>
      </w:r>
      <w:r>
        <w:rPr>
          <w:kern w:val="0"/>
        </w:rPr>
        <w:t>six ongoing studies. A small study of aspirin in FAP patients produced no statistically significant reduction in polyp number but a possible reduction in polyp size. There was a statistically significant 21% reduction in risk of adenoma recurrence [relative risk (RR) 0.79, 95% confidence interval (CI) 0.68 to 0.92] in an analysis of aspirin versus no aspirin in individuals with a history of adenomas or CRC. In the general population, a significant 26% reduction in CRC incidence was demonstrated in studies with a 23-year follow-up (RR 0.74, 95% CI 0.57 to 0.97). Non-aspirin NSAID use in FAP individuals produced a non-statistically significant reduction in adenoma incidence after 4 years of treatment</w:t>
      </w:r>
      <w:r w:rsidR="00F81221">
        <w:rPr>
          <w:kern w:val="0"/>
        </w:rPr>
        <w:t xml:space="preserve"> and </w:t>
      </w:r>
      <w:r>
        <w:rPr>
          <w:kern w:val="0"/>
        </w:rPr>
        <w:t>follow-up</w:t>
      </w:r>
      <w:r w:rsidR="00F81221">
        <w:rPr>
          <w:kern w:val="0"/>
        </w:rPr>
        <w:t xml:space="preserve"> and </w:t>
      </w:r>
      <w:r>
        <w:rPr>
          <w:kern w:val="0"/>
        </w:rPr>
        <w:t>reductions in polyp number</w:t>
      </w:r>
      <w:r w:rsidR="00F81221">
        <w:rPr>
          <w:kern w:val="0"/>
        </w:rPr>
        <w:t xml:space="preserve"> and </w:t>
      </w:r>
      <w:r>
        <w:rPr>
          <w:kern w:val="0"/>
        </w:rPr>
        <w:t>size. In individuals with a history of adenomas there was a statistically significant 34% reduction in adenoma recurrence risk (RR 0.66, 95% CI 0.60 to 0.72)</w:t>
      </w:r>
      <w:r w:rsidR="00F81221">
        <w:rPr>
          <w:kern w:val="0"/>
        </w:rPr>
        <w:t xml:space="preserve"> and </w:t>
      </w:r>
      <w:r>
        <w:rPr>
          <w:kern w:val="0"/>
        </w:rPr>
        <w:t>a statistically significant 55% reduction in advanced adenoma incidence (RR 0.45, 95% CI 0.35 to 0.58). No studies assessed the effect of non-aspirin NSAIDs in the general population. There were no studies of folic acid in individuals with FAP or HNPCC. There was no significant effect of folic acid versus placebo on adenoma recurrence (RR 1.16, 95% CI 0.97 to 1.39) or advanced adenoma incidence in individuals with a history of adenomas. In the general population there was no significant effect of folic acid on risk of CRC (RR 1.13, 95% CI 0.77 to 1.64), although studies were of relatively short duration. Calcium use by FAP patients produced no significant reduction in polyp number or disease progression. In individuals with a history of adenomas there was a statistically significant 18% reduction in risk of adenoma recurrence (RR 0.82, 95% CI 0.69 to 0.98)</w:t>
      </w:r>
      <w:r w:rsidR="00F81221">
        <w:rPr>
          <w:kern w:val="0"/>
        </w:rPr>
        <w:t xml:space="preserve"> and </w:t>
      </w:r>
      <w:r>
        <w:rPr>
          <w:kern w:val="0"/>
        </w:rPr>
        <w:t>a non-significant reduction in risk of advanced adenomas (RR 0.77, 95% CI 0.50 to 1.17). In the general population there was no significant effect of calcium on risk of CRC (RR 1.08, 95% CI 0.87 to 1.34), although studies were of relatively short duration. There were no studies of antioxidant use in individuals with FAP or HNPCC,</w:t>
      </w:r>
      <w:r w:rsidR="00F81221">
        <w:rPr>
          <w:kern w:val="0"/>
        </w:rPr>
        <w:t xml:space="preserve"> and </w:t>
      </w:r>
      <w:r>
        <w:rPr>
          <w:kern w:val="0"/>
        </w:rPr>
        <w:t xml:space="preserve">in individuals with a history of adenomas no statistically significant differences in relative risk of adenoma recurrence were found. In the general population there was no difference in incidence of CRC (RR 1.00, 95% CI 0.88 to </w:t>
      </w:r>
      <w:r>
        <w:rPr>
          <w:kern w:val="0"/>
        </w:rPr>
        <w:lastRenderedPageBreak/>
        <w:t>1.13) with antioxidant use compared with no antioxidant use. Twenty studies reported qualitative findings concerning chemoprevention. People are more likely to use NSAIDs if there is a strong perceived need. Perceptions of risk</w:t>
      </w:r>
      <w:r w:rsidR="00F81221">
        <w:rPr>
          <w:kern w:val="0"/>
        </w:rPr>
        <w:t xml:space="preserve"> and </w:t>
      </w:r>
      <w:r>
        <w:rPr>
          <w:kern w:val="0"/>
        </w:rPr>
        <w:t>benefit also influence decision-making</w:t>
      </w:r>
      <w:r w:rsidR="00F81221">
        <w:rPr>
          <w:kern w:val="0"/>
        </w:rPr>
        <w:t xml:space="preserve"> and </w:t>
      </w:r>
      <w:r>
        <w:rPr>
          <w:kern w:val="0"/>
        </w:rPr>
        <w:t>use. People have fewer concerns about using antioxidants or other supplements, but their perception of the benefits of these agents is less well-defined. The model analysis suggested that the most cost-effective age-range policy in the general population would be to provide chemoprevention to all individuals within the general population from age 50 to 60 years. The use of aspirin in addition to screening within the general population is likely to result in a discounted cost per life-year gained of around 10,000</w:t>
      </w:r>
      <w:r w:rsidR="00F81221">
        <w:rPr>
          <w:kern w:val="0"/>
        </w:rPr>
        <w:t xml:space="preserve"> and </w:t>
      </w:r>
      <w:r>
        <w:rPr>
          <w:kern w:val="0"/>
        </w:rPr>
        <w:t>a discounted cost per quality- adjusted life-year (QALY) gained of around 23,000 compared with screening alone. In the intermediaterisk group the most economically viable age-range policy would be to provide chemoprevention to individuals following polypectomy aged 61 to 70 years. Calcium is likely to have a discounted cost per QALY gained of around {8000 compared with screening alone. Althogh aspirin in addition to screening should be more effective</w:t>
      </w:r>
      <w:r w:rsidR="00F81221">
        <w:rPr>
          <w:kern w:val="0"/>
        </w:rPr>
        <w:t xml:space="preserve"> and </w:t>
      </w:r>
      <w:r>
        <w:rPr>
          <w:kern w:val="0"/>
        </w:rPr>
        <w:t>less costly than screening alone, under the current assumptions of benefits to harms of aspirin</w:t>
      </w:r>
      <w:r w:rsidR="00F81221">
        <w:rPr>
          <w:kern w:val="0"/>
        </w:rPr>
        <w:t xml:space="preserve"> and </w:t>
      </w:r>
      <w:r>
        <w:rPr>
          <w:kern w:val="0"/>
        </w:rPr>
        <w:t>calcium, aspirin is expected to be extendedly dominated by calcium. Limitations: Whilst a number of studies were included in the review, the duration of follow-up was generally insufficient to detect an effect on cancer incidence. Given the uncertainties</w:t>
      </w:r>
      <w:r w:rsidR="00F81221">
        <w:rPr>
          <w:kern w:val="0"/>
        </w:rPr>
        <w:t xml:space="preserve"> and </w:t>
      </w:r>
      <w:r>
        <w:rPr>
          <w:kern w:val="0"/>
        </w:rPr>
        <w:t>ambiguities in the evidence base, the results of the health economic analysis should be interpreted with caution. Conclusions: Aspirin</w:t>
      </w:r>
      <w:r w:rsidR="00F81221">
        <w:rPr>
          <w:kern w:val="0"/>
        </w:rPr>
        <w:t xml:space="preserve"> and </w:t>
      </w:r>
      <w:r>
        <w:rPr>
          <w:kern w:val="0"/>
        </w:rPr>
        <w:t>celecoxib may reduce recurrence of adenomas</w:t>
      </w:r>
      <w:r w:rsidR="00F81221">
        <w:rPr>
          <w:kern w:val="0"/>
        </w:rPr>
        <w:t xml:space="preserve"> and </w:t>
      </w:r>
      <w:r>
        <w:rPr>
          <w:kern w:val="0"/>
        </w:rPr>
        <w:t>incidence of advanced adenomas in individuals with an increased risk of CRC</w:t>
      </w:r>
      <w:r w:rsidR="00F81221">
        <w:rPr>
          <w:kern w:val="0"/>
        </w:rPr>
        <w:t xml:space="preserve"> and </w:t>
      </w:r>
      <w:r>
        <w:rPr>
          <w:kern w:val="0"/>
        </w:rPr>
        <w:t>calcium may reduce recurrence of adenomas in this group. COX-2 inhibitors may decrease polyp number in patients with FAR There is some evidence for aspirin reducing the incidence of CRC in the general population. Both aspirin</w:t>
      </w:r>
      <w:r w:rsidR="00F81221">
        <w:rPr>
          <w:kern w:val="0"/>
        </w:rPr>
        <w:t xml:space="preserve"> and </w:t>
      </w:r>
      <w:r>
        <w:rPr>
          <w:kern w:val="0"/>
        </w:rPr>
        <w:t>NSAIDs are associated with adverse effects so it will be important to consider the risk benefit ratio before recommending these agents for chemoprevention. The economic analysis suggests that chemoprevention has the potential to represent a cost-effective intervention, particularly when targeted at intermediate-risk populations following polypectomy.</w:t>
      </w:r>
    </w:p>
    <w:p w:rsidR="00C40083" w:rsidRDefault="00C40083" w:rsidP="00C40083">
      <w:pPr>
        <w:pStyle w:val="a0"/>
        <w:rPr>
          <w:kern w:val="0"/>
        </w:rPr>
      </w:pPr>
      <w:r>
        <w:rPr>
          <w:kern w:val="0"/>
        </w:rPr>
        <w:t>Keywords: Base-Line Characteristics, Beta-Carotene Supplementation, Cost-Effectiveness Analysis, Familial Adenomatous Polyposis, Long-Term Supplementation, Low-Dose Aspirin, Nonsteroidal Antiinflammatory Drugs, Placebo-Controlled Trial, Protection Motivation Theory, Randomized Controlled-Trial</w:t>
      </w:r>
    </w:p>
    <w:p w:rsidR="001E14B6" w:rsidRDefault="001E14B6" w:rsidP="001E14B6">
      <w:pPr>
        <w:pStyle w:val="a0"/>
        <w:rPr>
          <w:kern w:val="0"/>
        </w:rPr>
      </w:pPr>
      <w:r>
        <w:rPr>
          <w:rFonts w:hint="eastAsia"/>
          <w:kern w:val="0"/>
        </w:rPr>
        <w:t xml:space="preserve">? </w:t>
      </w:r>
      <w:r>
        <w:rPr>
          <w:kern w:val="0"/>
        </w:rPr>
        <w:t>Chambers, D., Paulden, M., Paton, F., Heirs, M., Duffy, S., Craig, D., Hunter, J., Wilson, J., Sculpher, M.</w:t>
      </w:r>
      <w:r w:rsidR="00F81221">
        <w:rPr>
          <w:kern w:val="0"/>
        </w:rPr>
        <w:t xml:space="preserve"> and </w:t>
      </w:r>
      <w:r>
        <w:rPr>
          <w:kern w:val="0"/>
        </w:rPr>
        <w:t>Woolacott, N. (2010), Sugammadex for the reversal of muscle relaxation in general anaesthesia: A systematic review</w:t>
      </w:r>
      <w:r w:rsidR="00F81221">
        <w:rPr>
          <w:kern w:val="0"/>
        </w:rPr>
        <w:t xml:space="preserve"> and </w:t>
      </w:r>
      <w:r>
        <w:rPr>
          <w:kern w:val="0"/>
        </w:rPr>
        <w:t xml:space="preserve">economic </w:t>
      </w:r>
      <w:r>
        <w:rPr>
          <w:kern w:val="0"/>
        </w:rPr>
        <w:lastRenderedPageBreak/>
        <w:t xml:space="preserve">assessment. </w:t>
      </w:r>
      <w:r>
        <w:rPr>
          <w:i/>
          <w:iCs/>
          <w:kern w:val="0"/>
        </w:rPr>
        <w:t>Health Technology Assessment</w:t>
      </w:r>
      <w:r>
        <w:rPr>
          <w:kern w:val="0"/>
        </w:rPr>
        <w:t xml:space="preserve">, </w:t>
      </w:r>
      <w:r>
        <w:rPr>
          <w:b/>
          <w:bCs/>
          <w:kern w:val="0"/>
        </w:rPr>
        <w:t>14</w:t>
      </w:r>
      <w:r>
        <w:rPr>
          <w:kern w:val="0"/>
        </w:rPr>
        <w:t xml:space="preserve"> (39), 1-</w:t>
      </w:r>
      <w:r>
        <w:rPr>
          <w:rFonts w:hint="eastAsia"/>
          <w:kern w:val="0"/>
        </w:rPr>
        <w:t>211</w:t>
      </w:r>
      <w:r>
        <w:rPr>
          <w:kern w:val="0"/>
        </w:rPr>
        <w:t>.</w:t>
      </w:r>
    </w:p>
    <w:p w:rsidR="001E14B6" w:rsidRDefault="001E14B6" w:rsidP="001E14B6">
      <w:pPr>
        <w:pStyle w:val="a0"/>
        <w:rPr>
          <w:kern w:val="0"/>
        </w:rPr>
      </w:pPr>
      <w:r>
        <w:rPr>
          <w:rFonts w:hint="eastAsia"/>
          <w:kern w:val="0"/>
        </w:rPr>
        <w:t xml:space="preserve">Full Text: </w:t>
      </w:r>
      <w:hyperlink r:id="rId600" w:history="1">
        <w:r w:rsidRPr="001E14B6">
          <w:rPr>
            <w:rStyle w:val="a5"/>
            <w:kern w:val="0"/>
          </w:rPr>
          <w:t>2010\Hea Tec Ass14-39, 1.pdf</w:t>
        </w:r>
      </w:hyperlink>
    </w:p>
    <w:p w:rsidR="001E14B6" w:rsidRDefault="001E14B6" w:rsidP="001E14B6">
      <w:pPr>
        <w:pStyle w:val="a0"/>
        <w:rPr>
          <w:kern w:val="0"/>
        </w:rPr>
      </w:pPr>
      <w:r>
        <w:rPr>
          <w:kern w:val="0"/>
        </w:rPr>
        <w:t>Abstract: Background: Sugammadex (Bridion (R)) is a newly developed agent for the reversal of neuromuscular blockade (NMB) induced by rocuronium or vecuronium. Sugammadex can reverse profound blockade</w:t>
      </w:r>
      <w:r w:rsidR="00F81221">
        <w:rPr>
          <w:kern w:val="0"/>
        </w:rPr>
        <w:t xml:space="preserve"> and </w:t>
      </w:r>
      <w:r>
        <w:rPr>
          <w:kern w:val="0"/>
        </w:rPr>
        <w:t>can be given for immediate reversal</w:t>
      </w:r>
      <w:r w:rsidR="00F81221">
        <w:rPr>
          <w:kern w:val="0"/>
        </w:rPr>
        <w:t xml:space="preserve"> and </w:t>
      </w:r>
      <w:r>
        <w:rPr>
          <w:kern w:val="0"/>
        </w:rPr>
        <w:t>its use would avoid the potentially serious adverse effects of the currently used agent, succinylcholine. Also, sugammadex can reverse NMB more quickly</w:t>
      </w:r>
      <w:r w:rsidR="00F81221">
        <w:rPr>
          <w:kern w:val="0"/>
        </w:rPr>
        <w:t xml:space="preserve"> and </w:t>
      </w:r>
      <w:r>
        <w:rPr>
          <w:kern w:val="0"/>
        </w:rPr>
        <w:t>predictably than existing agents. Objectives: To determine the clinical effectiveness</w:t>
      </w:r>
      <w:r w:rsidR="00F81221">
        <w:rPr>
          <w:kern w:val="0"/>
        </w:rPr>
        <w:t xml:space="preserve"> and </w:t>
      </w:r>
      <w:r>
        <w:rPr>
          <w:kern w:val="0"/>
        </w:rPr>
        <w:t>cost-effectiveness of sugammadex for the reversal of muscle relaxation after general anaesthesia in UK practice following routine or rapid induction of NMB. Data sources: Medical databases [including MEDLINE, EMBASE, CINAHL, Science Citation Index, BIOSIS</w:t>
      </w:r>
      <w:r w:rsidR="00F81221">
        <w:rPr>
          <w:kern w:val="0"/>
        </w:rPr>
        <w:t xml:space="preserve"> and </w:t>
      </w:r>
      <w:r>
        <w:rPr>
          <w:kern w:val="0"/>
        </w:rPr>
        <w:t>Cochrane Central Register of Controlled Trials (CENTRAL), conference proceedings, internet sites</w:t>
      </w:r>
      <w:r w:rsidR="00F81221">
        <w:rPr>
          <w:kern w:val="0"/>
        </w:rPr>
        <w:t xml:space="preserve"> and </w:t>
      </w:r>
      <w:r>
        <w:rPr>
          <w:kern w:val="0"/>
        </w:rPr>
        <w:t>clinical trials registers] were searched to identify published</w:t>
      </w:r>
      <w:r w:rsidR="00F81221">
        <w:rPr>
          <w:kern w:val="0"/>
        </w:rPr>
        <w:t xml:space="preserve"> and </w:t>
      </w:r>
      <w:r>
        <w:rPr>
          <w:kern w:val="0"/>
        </w:rPr>
        <w:t>unpublished studies. The main searches were carried out in May 2008</w:t>
      </w:r>
      <w:r w:rsidR="00F81221">
        <w:rPr>
          <w:kern w:val="0"/>
        </w:rPr>
        <w:t xml:space="preserve"> and </w:t>
      </w:r>
      <w:r>
        <w:rPr>
          <w:kern w:val="0"/>
        </w:rPr>
        <w:t>supplemented by current awareness updates up until November 2008. Review methods: For the clinical effectiveness review, randomised controlled trials of sugammadex against placebo or an active comparator (neostigmine+glycopyrrolate) for the reversal of moderate or profound NMB</w:t>
      </w:r>
      <w:r w:rsidR="00F81221">
        <w:rPr>
          <w:kern w:val="0"/>
        </w:rPr>
        <w:t xml:space="preserve"> and </w:t>
      </w:r>
      <w:r>
        <w:rPr>
          <w:kern w:val="0"/>
        </w:rPr>
        <w:t>for immediate reversal (spontaneous recovery from succinylcholine-induced blockade) were included. The primary effectiveness outcome was speed of recovery from NMB, as measured by objective monitoring of neuromuscular function. For the cost-effectiveness review, a de novo economic assessment considered the routine induction of NMB</w:t>
      </w:r>
      <w:r w:rsidR="00F81221">
        <w:rPr>
          <w:kern w:val="0"/>
        </w:rPr>
        <w:t xml:space="preserve"> and </w:t>
      </w:r>
      <w:r>
        <w:rPr>
          <w:kern w:val="0"/>
        </w:rPr>
        <w:t>the rapid induction and/or reversal of NMB,</w:t>
      </w:r>
      <w:r w:rsidR="00F81221">
        <w:rPr>
          <w:kern w:val="0"/>
        </w:rPr>
        <w:t xml:space="preserve"> and </w:t>
      </w:r>
      <w:r>
        <w:rPr>
          <w:kern w:val="0"/>
        </w:rPr>
        <w:t>threshold analyses were carried out on a series of pairwise comparisons to establish how effective sugammadex needs to be to justify its cost. Results: The review of clinical effectiveness included four randomised active-control trials of sugammadex, nine randomised placebo-controlled trials</w:t>
      </w:r>
      <w:r w:rsidR="00F81221">
        <w:rPr>
          <w:kern w:val="0"/>
        </w:rPr>
        <w:t xml:space="preserve"> and </w:t>
      </w:r>
      <w:r>
        <w:rPr>
          <w:kern w:val="0"/>
        </w:rPr>
        <w:t>five studies in special populations. A total of 2132 titles</w:t>
      </w:r>
      <w:r w:rsidR="00F81221">
        <w:rPr>
          <w:kern w:val="0"/>
        </w:rPr>
        <w:t xml:space="preserve"> and </w:t>
      </w:r>
      <w:r>
        <w:rPr>
          <w:kern w:val="0"/>
        </w:rPr>
        <w:t>abstracts</w:t>
      </w:r>
      <w:r w:rsidR="00F81221">
        <w:rPr>
          <w:kern w:val="0"/>
        </w:rPr>
        <w:t xml:space="preserve"> and </w:t>
      </w:r>
      <w:r>
        <w:rPr>
          <w:kern w:val="0"/>
        </w:rPr>
        <w:t>265 full-text publications were screened. The included trials indicated that sugammadex produces more rapid recovery from moderate or profound NMB than placebo or neostigmine. Median time to recovery from moderate blockade was 1.3-1.7 minutes for rocuronium + sugammadex, 21-86 minutes for rocuronium + placebo</w:t>
      </w:r>
      <w:r w:rsidR="00F81221">
        <w:rPr>
          <w:kern w:val="0"/>
        </w:rPr>
        <w:t xml:space="preserve"> and </w:t>
      </w:r>
      <w:r>
        <w:rPr>
          <w:kern w:val="0"/>
        </w:rPr>
        <w:t>17.6 minutes for rocuronium + neostigmine. In profound blockade, median time to recovery was 2.7 minutes for rocuronium + sugammadex, 30 to &gt;90 minutes for rocuronium + placebo,</w:t>
      </w:r>
      <w:r w:rsidR="00F81221">
        <w:rPr>
          <w:kern w:val="0"/>
        </w:rPr>
        <w:t xml:space="preserve"> and </w:t>
      </w:r>
      <w:r>
        <w:rPr>
          <w:kern w:val="0"/>
        </w:rPr>
        <w:t xml:space="preserve">49 minutes for rocuronium + neostigmine. Results for vecuronium were similar. In addition, recovery from NMB was faster with rocuronium reversed by sugammadex 16mg/kg after 3 minutes (immediate reversal) than with succinylcholine followed by spontaneous recovery (median time to primary outcome 4.2 versus 7.1 minutes). The evidence base for modelling cost-effectiveness is very </w:t>
      </w:r>
      <w:r>
        <w:rPr>
          <w:kern w:val="0"/>
        </w:rPr>
        <w:lastRenderedPageBreak/>
        <w:t>limited. However, assuming that the reductions in recovery times seen in the trials can be achieved in routine practice</w:t>
      </w:r>
      <w:r w:rsidR="00F81221">
        <w:rPr>
          <w:kern w:val="0"/>
        </w:rPr>
        <w:t xml:space="preserve"> and </w:t>
      </w:r>
      <w:r>
        <w:rPr>
          <w:kern w:val="0"/>
        </w:rPr>
        <w:t>can be used productively, sugammadex [2 mg/kg (4 mg/kg)] is potentially cost-effective at its current list price for the routine reversal of rocuronium-induced moderate (profound) blockade, if each minute of recovery time saved can be valued at approximately 2.40 pound (1.75) pound or more. This is more likely to be achieved if any reductions in recovery time are in the operating room (estimated value of 4.44 pound per minute saved) rather than the recovery room (estimated value of 0.33 pound per minute saved). The results were broadly similar for rocuronium-</w:t>
      </w:r>
      <w:r w:rsidR="00F81221">
        <w:rPr>
          <w:kern w:val="0"/>
        </w:rPr>
        <w:t xml:space="preserve"> and </w:t>
      </w:r>
      <w:r>
        <w:rPr>
          <w:kern w:val="0"/>
        </w:rPr>
        <w:t>vecuronium-induced blockade. For rapid reversal of NMB it appeared that any reduction in morbidity from adopting sugammadex is unlikely to result in significant cost savings. Limitations: The evidence base was not large</w:t>
      </w:r>
      <w:r w:rsidR="00F81221">
        <w:rPr>
          <w:kern w:val="0"/>
        </w:rPr>
        <w:t xml:space="preserve"> and </w:t>
      </w:r>
      <w:r>
        <w:rPr>
          <w:kern w:val="0"/>
        </w:rPr>
        <w:t>many of the published trials were dose-finding</w:t>
      </w:r>
      <w:r w:rsidR="00F81221">
        <w:rPr>
          <w:kern w:val="0"/>
        </w:rPr>
        <w:t xml:space="preserve"> and </w:t>
      </w:r>
      <w:r>
        <w:rPr>
          <w:kern w:val="0"/>
        </w:rPr>
        <w:t>safety studies with very small sample sizes. Also, some relevant outcomes, in particular patient experience/quality of life</w:t>
      </w:r>
      <w:r w:rsidR="00F81221">
        <w:rPr>
          <w:kern w:val="0"/>
        </w:rPr>
        <w:t xml:space="preserve"> and </w:t>
      </w:r>
      <w:r>
        <w:rPr>
          <w:kern w:val="0"/>
        </w:rPr>
        <w:t>resources/costs used, were either not investigated or not reported. In addition, it is likely that the patients included in the efficacy trials were relatively young</w:t>
      </w:r>
      <w:r w:rsidR="00F81221">
        <w:rPr>
          <w:kern w:val="0"/>
        </w:rPr>
        <w:t xml:space="preserve"> and </w:t>
      </w:r>
      <w:r>
        <w:rPr>
          <w:kern w:val="0"/>
        </w:rPr>
        <w:t>in good general health compared with the overall surgical population. Regarding the economic evaluation, there appears to be no evidence linking measures of clinical efficacy to patients</w:t>
      </w:r>
      <w:r w:rsidR="000352E7">
        <w:rPr>
          <w:kern w:val="0"/>
        </w:rPr>
        <w:t>’</w:t>
      </w:r>
      <w:r>
        <w:rPr>
          <w:kern w:val="0"/>
        </w:rPr>
        <w:t xml:space="preserve"> healthrelated quality of life</w:t>
      </w:r>
      <w:r w:rsidR="00F81221">
        <w:rPr>
          <w:kern w:val="0"/>
        </w:rPr>
        <w:t xml:space="preserve"> and </w:t>
      </w:r>
      <w:r>
        <w:rPr>
          <w:kern w:val="0"/>
        </w:rPr>
        <w:t>mortality risks. Conclusions: Sugammadex may be a cost-effective option compared with neostigmine + glycopyrrolate for reversal of moderate NMB</w:t>
      </w:r>
      <w:r w:rsidR="00F81221">
        <w:rPr>
          <w:kern w:val="0"/>
        </w:rPr>
        <w:t xml:space="preserve"> and </w:t>
      </w:r>
      <w:r>
        <w:rPr>
          <w:kern w:val="0"/>
        </w:rPr>
        <w:t>also provides the facility to recover patients from profound blockade. Rocuronium + sugammadex could be considered as a replacement for succinylcholine for rapid induction (and reversal) of NMB, although this may not be a cost-effective option in some types of patient at current list prices for sugammadex. Considerable uncertainties remain about whether the full benefits of sugammadex can be realised in clinical practice.</w:t>
      </w:r>
    </w:p>
    <w:p w:rsidR="001E14B6" w:rsidRDefault="001E14B6" w:rsidP="001E14B6">
      <w:pPr>
        <w:pStyle w:val="a0"/>
        <w:rPr>
          <w:kern w:val="0"/>
        </w:rPr>
      </w:pPr>
      <w:r>
        <w:rPr>
          <w:kern w:val="0"/>
        </w:rPr>
        <w:t>Keywords: Artery-Bypass Surgery, Citation, Endotracheal Intubating Conditions, Induced Neuromuscular Block, Intensive-Care-Unit, Markov Computer-Simulation, Mivacurium Chloride, Postoperative Residual Curarization, Publications, Spontaneous-Recovery, Succinylcholine-Induced Hyperkalemia, Time-Course</w:t>
      </w:r>
    </w:p>
    <w:p w:rsidR="00464A03" w:rsidRDefault="00464A03" w:rsidP="00464A03">
      <w:pPr>
        <w:pStyle w:val="a0"/>
        <w:rPr>
          <w:kern w:val="0"/>
        </w:rPr>
      </w:pPr>
      <w:r>
        <w:rPr>
          <w:rFonts w:hint="eastAsia"/>
          <w:kern w:val="0"/>
        </w:rPr>
        <w:t xml:space="preserve">? </w:t>
      </w:r>
      <w:r>
        <w:rPr>
          <w:kern w:val="0"/>
        </w:rPr>
        <w:t>Imamura, M., Abrams, P., Bain, C., Buckley, B., Cardozo, L., Cody, J., Cook, J., Eustice, S., Glazener, C., Grant, A., Hay-Smith, J., Hislop, J., Jenkinson, D., Kilonzo, M., Nabi, G., N</w:t>
      </w:r>
      <w:r w:rsidR="000352E7">
        <w:rPr>
          <w:kern w:val="0"/>
        </w:rPr>
        <w:t>’</w:t>
      </w:r>
      <w:r>
        <w:rPr>
          <w:kern w:val="0"/>
        </w:rPr>
        <w:t>Dow, J., Pickard, R., Ternent, L., Wallace, S., Wardle, J., Zhu, S.</w:t>
      </w:r>
      <w:r w:rsidR="00F81221">
        <w:rPr>
          <w:kern w:val="0"/>
        </w:rPr>
        <w:t xml:space="preserve"> and </w:t>
      </w:r>
      <w:r>
        <w:rPr>
          <w:kern w:val="0"/>
        </w:rPr>
        <w:t>Vale, L. (2010), Systematic review</w:t>
      </w:r>
      <w:r w:rsidR="00F81221">
        <w:rPr>
          <w:kern w:val="0"/>
        </w:rPr>
        <w:t xml:space="preserve"> and </w:t>
      </w:r>
      <w:r>
        <w:rPr>
          <w:kern w:val="0"/>
        </w:rPr>
        <w:t>economic modelling of the effectiveness</w:t>
      </w:r>
      <w:r w:rsidR="00F81221">
        <w:rPr>
          <w:kern w:val="0"/>
        </w:rPr>
        <w:t xml:space="preserve"> and </w:t>
      </w:r>
      <w:r>
        <w:rPr>
          <w:kern w:val="0"/>
        </w:rPr>
        <w:t xml:space="preserve">cost-effectiveness of non-surgical treatments for women with stress urinary incontinence. </w:t>
      </w:r>
      <w:r>
        <w:rPr>
          <w:i/>
          <w:iCs/>
          <w:kern w:val="0"/>
        </w:rPr>
        <w:t>Health Technology Assessment</w:t>
      </w:r>
      <w:r>
        <w:rPr>
          <w:kern w:val="0"/>
        </w:rPr>
        <w:t xml:space="preserve">, </w:t>
      </w:r>
      <w:r>
        <w:rPr>
          <w:b/>
          <w:bCs/>
          <w:kern w:val="0"/>
        </w:rPr>
        <w:t>14</w:t>
      </w:r>
      <w:r>
        <w:rPr>
          <w:kern w:val="0"/>
        </w:rPr>
        <w:t xml:space="preserve"> (40), 1-</w:t>
      </w:r>
      <w:r>
        <w:rPr>
          <w:rFonts w:hint="eastAsia"/>
          <w:kern w:val="0"/>
        </w:rPr>
        <w:t>506</w:t>
      </w:r>
      <w:r>
        <w:rPr>
          <w:kern w:val="0"/>
        </w:rPr>
        <w:t>.</w:t>
      </w:r>
    </w:p>
    <w:p w:rsidR="00464A03" w:rsidRDefault="00464A03" w:rsidP="00464A03">
      <w:pPr>
        <w:pStyle w:val="a0"/>
        <w:rPr>
          <w:kern w:val="0"/>
        </w:rPr>
      </w:pPr>
      <w:r>
        <w:rPr>
          <w:rFonts w:hint="eastAsia"/>
          <w:kern w:val="0"/>
        </w:rPr>
        <w:t xml:space="preserve">Full Text: </w:t>
      </w:r>
      <w:hyperlink r:id="rId601" w:history="1">
        <w:r w:rsidRPr="00784741">
          <w:rPr>
            <w:rStyle w:val="a5"/>
            <w:kern w:val="0"/>
          </w:rPr>
          <w:t>2010\Hea Tec Ass14-40, 1.pdf</w:t>
        </w:r>
      </w:hyperlink>
    </w:p>
    <w:p w:rsidR="00464A03" w:rsidRDefault="00464A03" w:rsidP="00464A03">
      <w:pPr>
        <w:pStyle w:val="a0"/>
        <w:rPr>
          <w:kern w:val="0"/>
        </w:rPr>
      </w:pPr>
      <w:r>
        <w:rPr>
          <w:kern w:val="0"/>
        </w:rPr>
        <w:t>Abstract: Objectives: To assess the clinical effectiveness</w:t>
      </w:r>
      <w:r w:rsidR="00F81221">
        <w:rPr>
          <w:kern w:val="0"/>
        </w:rPr>
        <w:t xml:space="preserve"> and </w:t>
      </w:r>
      <w:r>
        <w:rPr>
          <w:kern w:val="0"/>
        </w:rPr>
        <w:t xml:space="preserve">cost-effectiveness of non-surgical treatments for women with stress urinary incontinence (SUI) through </w:t>
      </w:r>
      <w:r>
        <w:rPr>
          <w:kern w:val="0"/>
        </w:rPr>
        <w:lastRenderedPageBreak/>
        <w:t>systematic review</w:t>
      </w:r>
      <w:r w:rsidR="00F81221">
        <w:rPr>
          <w:kern w:val="0"/>
        </w:rPr>
        <w:t xml:space="preserve"> and </w:t>
      </w:r>
      <w:r>
        <w:rPr>
          <w:kern w:val="0"/>
        </w:rPr>
        <w:t>economic modelling. Data sources: The Cochrane Incontinence Group Specialised Register, electronic databases</w:t>
      </w:r>
      <w:r w:rsidR="00F81221">
        <w:rPr>
          <w:kern w:val="0"/>
        </w:rPr>
        <w:t xml:space="preserve"> and </w:t>
      </w:r>
      <w:r>
        <w:rPr>
          <w:kern w:val="0"/>
        </w:rPr>
        <w:t>the websites of relevant professional organisations</w:t>
      </w:r>
      <w:r w:rsidR="00F81221">
        <w:rPr>
          <w:kern w:val="0"/>
        </w:rPr>
        <w:t xml:space="preserve"> and </w:t>
      </w:r>
      <w:r>
        <w:rPr>
          <w:kern w:val="0"/>
        </w:rPr>
        <w:t>manufacturers,</w:t>
      </w:r>
      <w:r w:rsidR="00F81221">
        <w:rPr>
          <w:kern w:val="0"/>
        </w:rPr>
        <w:t xml:space="preserve"> and </w:t>
      </w:r>
      <w:r>
        <w:rPr>
          <w:kern w:val="0"/>
        </w:rPr>
        <w:t>the following databases: CINAHL, EMBASE, BIOSIS, Science Citation Index</w:t>
      </w:r>
      <w:r w:rsidR="00F81221">
        <w:rPr>
          <w:kern w:val="0"/>
        </w:rPr>
        <w:t xml:space="preserve"> and </w:t>
      </w:r>
      <w:r>
        <w:rPr>
          <w:kern w:val="0"/>
        </w:rPr>
        <w:t>Social Science Citation Index, Current Controlled Trials, ClinicalTrials.gov</w:t>
      </w:r>
      <w:r w:rsidR="00F81221">
        <w:rPr>
          <w:kern w:val="0"/>
        </w:rPr>
        <w:t xml:space="preserve"> and </w:t>
      </w:r>
      <w:r>
        <w:rPr>
          <w:kern w:val="0"/>
        </w:rPr>
        <w:t>the UKCRN Portfolio Database. Study selection: The study comprised three distinct elements. (I) A survey of 188 women with SU1 to identify outcomes of importance to them (activities of daily living; sex, hygiene</w:t>
      </w:r>
      <w:r w:rsidR="00F81221">
        <w:rPr>
          <w:kern w:val="0"/>
        </w:rPr>
        <w:t xml:space="preserve"> and </w:t>
      </w:r>
      <w:r>
        <w:rPr>
          <w:kern w:val="0"/>
        </w:rPr>
        <w:t>lifestyle issues; emotional health;</w:t>
      </w:r>
      <w:r w:rsidR="00F81221">
        <w:rPr>
          <w:kern w:val="0"/>
        </w:rPr>
        <w:t xml:space="preserve"> and </w:t>
      </w:r>
      <w:r>
        <w:rPr>
          <w:kern w:val="0"/>
        </w:rPr>
        <w:t>the availability of services). (2) A systematic review</w:t>
      </w:r>
      <w:r w:rsidR="00F81221">
        <w:rPr>
          <w:kern w:val="0"/>
        </w:rPr>
        <w:t xml:space="preserve"> and </w:t>
      </w:r>
      <w:r>
        <w:rPr>
          <w:kern w:val="0"/>
        </w:rPr>
        <w:t>meta-analysis of non-surgical treatments for SUI to find out which are most effective by comparing results of trials (direct pairwise comparisons)</w:t>
      </w:r>
      <w:r w:rsidR="00F81221">
        <w:rPr>
          <w:kern w:val="0"/>
        </w:rPr>
        <w:t xml:space="preserve"> and </w:t>
      </w:r>
      <w:r>
        <w:rPr>
          <w:kern w:val="0"/>
        </w:rPr>
        <w:t>by modelling results (mixed-treatment comparisons MTCs). A total of 88 randomised controlled trials (RCTs)</w:t>
      </w:r>
      <w:r w:rsidR="00F81221">
        <w:rPr>
          <w:kern w:val="0"/>
        </w:rPr>
        <w:t xml:space="preserve"> and </w:t>
      </w:r>
      <w:r>
        <w:rPr>
          <w:kern w:val="0"/>
        </w:rPr>
        <w:t>quasi-RCTs reporting data from 9721 women were identified, considering five generic interventions [pelvic floor muscle training (PFMT), electrical stimulation (ES), vaginal cones (VCs), bladder training (BT)</w:t>
      </w:r>
      <w:r w:rsidR="00F81221">
        <w:rPr>
          <w:kern w:val="0"/>
        </w:rPr>
        <w:t xml:space="preserve"> and </w:t>
      </w:r>
      <w:r>
        <w:rPr>
          <w:kern w:val="0"/>
        </w:rPr>
        <w:t>serotonin noradrenaline reuptake inhibitor (SNRI) medications], in many variations</w:t>
      </w:r>
      <w:r w:rsidR="00F81221">
        <w:rPr>
          <w:kern w:val="0"/>
        </w:rPr>
        <w:t xml:space="preserve"> and </w:t>
      </w:r>
      <w:r>
        <w:rPr>
          <w:kern w:val="0"/>
        </w:rPr>
        <w:t>combinations. Data were available for 37 interventions</w:t>
      </w:r>
      <w:r w:rsidR="00F81221">
        <w:rPr>
          <w:kern w:val="0"/>
        </w:rPr>
        <w:t xml:space="preserve"> and </w:t>
      </w:r>
      <w:r>
        <w:rPr>
          <w:kern w:val="0"/>
        </w:rPr>
        <w:t>68 treatment comparisons by direct pairwise assessment. Mixed-treatment comparison models compared 14 interventions, using data from 55 trials (6608 women). (3) Economic modelling, using a Markov model, to find out which combinations of treatments (treatment pathways) are most cost-effective for SUI. Data extraction: Titles</w:t>
      </w:r>
      <w:r w:rsidR="00F81221">
        <w:rPr>
          <w:kern w:val="0"/>
        </w:rPr>
        <w:t xml:space="preserve"> and </w:t>
      </w:r>
      <w:r>
        <w:rPr>
          <w:kern w:val="0"/>
        </w:rPr>
        <w:t>abstracts identified were assessed by one reviewer</w:t>
      </w:r>
      <w:r w:rsidR="00F81221">
        <w:rPr>
          <w:kern w:val="0"/>
        </w:rPr>
        <w:t xml:space="preserve"> and </w:t>
      </w:r>
      <w:r>
        <w:rPr>
          <w:kern w:val="0"/>
        </w:rPr>
        <w:t>full-text copies of all potentially relevant reports independently assessed by two reviewers. Any disagreements were resolved by consensus or arbitration by a third person. Results: Direct pairwise comparison</w:t>
      </w:r>
      <w:r w:rsidR="00F81221">
        <w:rPr>
          <w:kern w:val="0"/>
        </w:rPr>
        <w:t xml:space="preserve"> and </w:t>
      </w:r>
      <w:r>
        <w:rPr>
          <w:kern w:val="0"/>
        </w:rPr>
        <w:t>MTC analysis showed that the treatments were more effective than no treatment. Delivering PFMT in a more intense fashion, either through extra sessions or with biofeedback (BF), appeared to be the most effective treatment [PFMT extra sessions vs no treatment (NT) odds ratio (OR) 10.7, 95% credible interval (Cr!) 5.03 to 26.2; PFMT+ BF vs NT OR 12.3, 95% Crl 5.35 to 32.7]. Only when success was measured in terms of improvement was there evidence that basic PFMT was better than no treatment (PFMT basic vs NT OR 4.47, 95% Crl 2.03 to 11.9). Analysis of cost-effectiveness showed that for cure rates, the strategy using lifestyle changes</w:t>
      </w:r>
      <w:r w:rsidR="00F81221">
        <w:rPr>
          <w:kern w:val="0"/>
        </w:rPr>
        <w:t xml:space="preserve"> and </w:t>
      </w:r>
      <w:r>
        <w:rPr>
          <w:kern w:val="0"/>
        </w:rPr>
        <w:t>PFMT with extra sessions followed by tension-free vaginal tape (TVT) (lifestyle advice PFMT extra sessions TVT) had a probability of greater than 70% of being considered cost-effective for all threshold values for willingness to pay for a QALY up to 50,000. For improvement rates, lifestyle advice PFMT extra sessions TVT had a probability of greater than 50% of being considered cost-effective when society</w:t>
      </w:r>
      <w:r w:rsidR="000352E7">
        <w:rPr>
          <w:kern w:val="0"/>
        </w:rPr>
        <w:t>’</w:t>
      </w:r>
      <w:r>
        <w:rPr>
          <w:kern w:val="0"/>
        </w:rPr>
        <w:t>s willingness to pay for an additional QALY was more than 10,000. The results were most sensitive to changes in the long-term performance of PFMT</w:t>
      </w:r>
      <w:r w:rsidR="00F81221">
        <w:rPr>
          <w:kern w:val="0"/>
        </w:rPr>
        <w:t xml:space="preserve"> and </w:t>
      </w:r>
      <w:r>
        <w:rPr>
          <w:kern w:val="0"/>
        </w:rPr>
        <w:t xml:space="preserve">also in the relative effectiveness of basic </w:t>
      </w:r>
      <w:r>
        <w:rPr>
          <w:kern w:val="0"/>
        </w:rPr>
        <w:lastRenderedPageBreak/>
        <w:t>PFMT</w:t>
      </w:r>
      <w:r w:rsidR="00F81221">
        <w:rPr>
          <w:kern w:val="0"/>
        </w:rPr>
        <w:t xml:space="preserve"> and </w:t>
      </w:r>
      <w:r>
        <w:rPr>
          <w:kern w:val="0"/>
        </w:rPr>
        <w:t>PFMT with extra sessions. Limitations: Although a large number of studies were identified, few data were available for most comparisons</w:t>
      </w:r>
      <w:r w:rsidR="00F81221">
        <w:rPr>
          <w:kern w:val="0"/>
        </w:rPr>
        <w:t xml:space="preserve"> and </w:t>
      </w:r>
      <w:r>
        <w:rPr>
          <w:kern w:val="0"/>
        </w:rPr>
        <w:t>long-term data were sparse. Challenges for evidence synthesis were the lack of consensus on the most appropriate method for assessing incontinence an intervention protocols that were complex</w:t>
      </w:r>
      <w:r w:rsidR="00F81221">
        <w:rPr>
          <w:kern w:val="0"/>
        </w:rPr>
        <w:t xml:space="preserve"> and </w:t>
      </w:r>
      <w:r>
        <w:rPr>
          <w:kern w:val="0"/>
        </w:rPr>
        <w:t>varied considerably across studies. Conclusions: More intensive forms of PFMT appear worthwhile, but further research is required to define an optimal form of more intensive therapy that is feasible</w:t>
      </w:r>
      <w:r w:rsidR="00F81221">
        <w:rPr>
          <w:kern w:val="0"/>
        </w:rPr>
        <w:t xml:space="preserve"> and </w:t>
      </w:r>
      <w:r>
        <w:rPr>
          <w:kern w:val="0"/>
        </w:rPr>
        <w:t>efficient for the NHS to provide, along with further definitive evidence from large, welldesigned studies.</w:t>
      </w:r>
    </w:p>
    <w:p w:rsidR="00464A03" w:rsidRDefault="00464A03" w:rsidP="00464A03">
      <w:pPr>
        <w:pStyle w:val="a0"/>
        <w:rPr>
          <w:kern w:val="0"/>
        </w:rPr>
      </w:pPr>
      <w:r>
        <w:rPr>
          <w:kern w:val="0"/>
        </w:rPr>
        <w:t>Keywords: Citation, Complex, Floor Muscle Exercise, Free Vaginal Tape, Group Educational Intervention, Meta-Analysis, Mixed Treatment Comparisons, Modelling, Patient-Generated Index, Placebo-Controlled Trial, Quality-of-Life, Randomized Controlled-Trial, Research, Science Citation Index, Standardization Sub-Committee, Synthesis, Transvaginal Electrical-Stimulation, Treatment</w:t>
      </w:r>
    </w:p>
    <w:p w:rsidR="004A46B8" w:rsidRDefault="004A46B8" w:rsidP="004A46B8">
      <w:pPr>
        <w:pStyle w:val="a0"/>
        <w:rPr>
          <w:kern w:val="0"/>
        </w:rPr>
      </w:pPr>
      <w:r>
        <w:rPr>
          <w:rFonts w:hint="eastAsia"/>
          <w:kern w:val="0"/>
        </w:rPr>
        <w:t xml:space="preserve">? </w:t>
      </w:r>
      <w:r>
        <w:rPr>
          <w:kern w:val="0"/>
        </w:rPr>
        <w:t>Waugh, N., Royle, P., Clar, C., Henderson, R., Cummins, E., Hadden, D., Lindsay, R.</w:t>
      </w:r>
      <w:r w:rsidR="00F81221">
        <w:rPr>
          <w:kern w:val="0"/>
        </w:rPr>
        <w:t xml:space="preserve"> and </w:t>
      </w:r>
      <w:r>
        <w:rPr>
          <w:kern w:val="0"/>
        </w:rPr>
        <w:t xml:space="preserve">Pearson, D. (2010), Screening for hyperglycaemia in pregnancy: A rapid update for the National Screening Committee. </w:t>
      </w:r>
      <w:r>
        <w:rPr>
          <w:i/>
          <w:iCs/>
          <w:kern w:val="0"/>
        </w:rPr>
        <w:t>Health Technology Assessment</w:t>
      </w:r>
      <w:r>
        <w:rPr>
          <w:kern w:val="0"/>
        </w:rPr>
        <w:t xml:space="preserve">, </w:t>
      </w:r>
      <w:r>
        <w:rPr>
          <w:b/>
          <w:bCs/>
          <w:kern w:val="0"/>
        </w:rPr>
        <w:t>14</w:t>
      </w:r>
      <w:r>
        <w:rPr>
          <w:kern w:val="0"/>
        </w:rPr>
        <w:t xml:space="preserve"> (45), 1-</w:t>
      </w:r>
      <w:r w:rsidR="003C62C2">
        <w:rPr>
          <w:rFonts w:hint="eastAsia"/>
          <w:kern w:val="0"/>
        </w:rPr>
        <w:t>183</w:t>
      </w:r>
      <w:r>
        <w:rPr>
          <w:kern w:val="0"/>
        </w:rPr>
        <w:t>.</w:t>
      </w:r>
    </w:p>
    <w:p w:rsidR="004A46B8" w:rsidRDefault="004A46B8" w:rsidP="004A46B8">
      <w:pPr>
        <w:pStyle w:val="a0"/>
        <w:rPr>
          <w:kern w:val="0"/>
        </w:rPr>
      </w:pPr>
      <w:r>
        <w:rPr>
          <w:rFonts w:hint="eastAsia"/>
          <w:kern w:val="0"/>
        </w:rPr>
        <w:t xml:space="preserve">Full Text: </w:t>
      </w:r>
      <w:hyperlink r:id="rId602" w:history="1">
        <w:r w:rsidRPr="004A46B8">
          <w:rPr>
            <w:rStyle w:val="a5"/>
            <w:kern w:val="0"/>
          </w:rPr>
          <w:t>2010\Hea Tec Ass14-45, 1.pdf</w:t>
        </w:r>
      </w:hyperlink>
    </w:p>
    <w:p w:rsidR="004A46B8" w:rsidRDefault="004A46B8" w:rsidP="004A46B8">
      <w:pPr>
        <w:pStyle w:val="a0"/>
        <w:rPr>
          <w:kern w:val="0"/>
        </w:rPr>
      </w:pPr>
      <w:r>
        <w:rPr>
          <w:kern w:val="0"/>
        </w:rPr>
        <w:t>Abstract: Background: Screening for gestational diabetes has long been a controversial topic. A previous Health Technology Assessment (HTA) report reviewed literature on screening for gestational diabetes mellitus (GDM)</w:t>
      </w:r>
      <w:r w:rsidR="00F81221">
        <w:rPr>
          <w:kern w:val="0"/>
        </w:rPr>
        <w:t xml:space="preserve"> and </w:t>
      </w:r>
      <w:r>
        <w:rPr>
          <w:kern w:val="0"/>
        </w:rPr>
        <w:t>assessed the case for screening against the criteria set by the National Screening Committee. Objective: To update a previous HTA report which reviewed the literature on screening for GDM by examining evidence that has emerged since that last report, including the Australian Carbohydrate Intolerance Study in Pregnant Women (ACHOIS), the Maternal</w:t>
      </w:r>
      <w:r w:rsidR="00F81221">
        <w:rPr>
          <w:kern w:val="0"/>
        </w:rPr>
        <w:t xml:space="preserve"> and </w:t>
      </w:r>
      <w:r>
        <w:rPr>
          <w:kern w:val="0"/>
        </w:rPr>
        <w:t>Fetal Medicine Units Network (MFMUN) trial</w:t>
      </w:r>
      <w:r w:rsidR="00F81221">
        <w:rPr>
          <w:kern w:val="0"/>
        </w:rPr>
        <w:t xml:space="preserve"> and </w:t>
      </w:r>
      <w:r>
        <w:rPr>
          <w:kern w:val="0"/>
        </w:rPr>
        <w:t>the Hyperglycemia</w:t>
      </w:r>
      <w:r w:rsidR="00F81221">
        <w:rPr>
          <w:kern w:val="0"/>
        </w:rPr>
        <w:t xml:space="preserve"> and </w:t>
      </w:r>
      <w:r>
        <w:rPr>
          <w:kern w:val="0"/>
        </w:rPr>
        <w:t>Adverse Pregnancy Outcomes (HAPO) study. To review data on recent trends in maternal age at birth</w:t>
      </w:r>
      <w:r w:rsidR="00F81221">
        <w:rPr>
          <w:kern w:val="0"/>
        </w:rPr>
        <w:t xml:space="preserve"> and </w:t>
      </w:r>
      <w:r>
        <w:rPr>
          <w:kern w:val="0"/>
        </w:rPr>
        <w:t>on the prevalence of overweight</w:t>
      </w:r>
      <w:r w:rsidR="00F81221">
        <w:rPr>
          <w:kern w:val="0"/>
        </w:rPr>
        <w:t xml:space="preserve"> and </w:t>
      </w:r>
      <w:r>
        <w:rPr>
          <w:kern w:val="0"/>
        </w:rPr>
        <w:t>obesity</w:t>
      </w:r>
      <w:r w:rsidR="00F81221">
        <w:rPr>
          <w:kern w:val="0"/>
        </w:rPr>
        <w:t xml:space="preserve"> and </w:t>
      </w:r>
      <w:r>
        <w:rPr>
          <w:kern w:val="0"/>
        </w:rPr>
        <w:t>the effect on prevalence of GDM. Data sources: A systematic review</w:t>
      </w:r>
      <w:r w:rsidR="00F81221">
        <w:rPr>
          <w:kern w:val="0"/>
        </w:rPr>
        <w:t xml:space="preserve"> and </w:t>
      </w:r>
      <w:r>
        <w:rPr>
          <w:kern w:val="0"/>
        </w:rPr>
        <w:t>meta-analysis of the literature was carried out. The bibliographic databases used were MEDLINE (1996 to January 2009), EMBASE (1996 to December 2009), the Cochrane Library 2008 issue 4, the Centre for Reviews</w:t>
      </w:r>
      <w:r w:rsidR="00F81221">
        <w:rPr>
          <w:kern w:val="0"/>
        </w:rPr>
        <w:t xml:space="preserve"> and </w:t>
      </w:r>
      <w:r>
        <w:rPr>
          <w:kern w:val="0"/>
        </w:rPr>
        <w:t>Dissemination database</w:t>
      </w:r>
      <w:r w:rsidR="00F81221">
        <w:rPr>
          <w:kern w:val="0"/>
        </w:rPr>
        <w:t xml:space="preserve"> and </w:t>
      </w:r>
      <w:r>
        <w:rPr>
          <w:kern w:val="0"/>
        </w:rPr>
        <w:t>the Web of Science. Review methods: For the review of treatment with oral drugs versus insulin, a full systematic review</w:t>
      </w:r>
      <w:r w:rsidR="00F81221">
        <w:rPr>
          <w:kern w:val="0"/>
        </w:rPr>
        <w:t xml:space="preserve"> and </w:t>
      </w:r>
      <w:r>
        <w:rPr>
          <w:kern w:val="0"/>
        </w:rPr>
        <w:t>meta-analysis was carried out. The results of the ACHOIS, MFMUN</w:t>
      </w:r>
      <w:r w:rsidR="00F81221">
        <w:rPr>
          <w:kern w:val="0"/>
        </w:rPr>
        <w:t xml:space="preserve"> and </w:t>
      </w:r>
      <w:r>
        <w:rPr>
          <w:kern w:val="0"/>
        </w:rPr>
        <w:t>HAPO studies were summarised</w:t>
      </w:r>
      <w:r w:rsidR="00F81221">
        <w:rPr>
          <w:kern w:val="0"/>
        </w:rPr>
        <w:t xml:space="preserve"> and </w:t>
      </w:r>
      <w:r>
        <w:rPr>
          <w:kern w:val="0"/>
        </w:rPr>
        <w:t>their implications discussed. Findings of a selection of other recent studies, relevant to the continuum issue, were summarised. Some recent screening studies were reviewed, including a particular focus on studies of screening earlier in pregnancy. Results: The HAPO results showed a linear relationship between plasma glucose</w:t>
      </w:r>
      <w:r w:rsidR="00F81221">
        <w:rPr>
          <w:kern w:val="0"/>
        </w:rPr>
        <w:t xml:space="preserve"> and </w:t>
      </w:r>
      <w:r>
        <w:rPr>
          <w:kern w:val="0"/>
        </w:rPr>
        <w:t xml:space="preserve">adverse outcomes there is a </w:t>
      </w:r>
      <w:r>
        <w:rPr>
          <w:kern w:val="0"/>
        </w:rPr>
        <w:lastRenderedPageBreak/>
        <w:t>continuum of risk with no clear threshold which could divide women into those with gestational diabetes</w:t>
      </w:r>
      <w:r w:rsidR="00F81221">
        <w:rPr>
          <w:kern w:val="0"/>
        </w:rPr>
        <w:t xml:space="preserve"> and </w:t>
      </w:r>
      <w:r>
        <w:rPr>
          <w:kern w:val="0"/>
        </w:rPr>
        <w:t>those without. There was good evidence from trials</w:t>
      </w:r>
      <w:r w:rsidR="00F81221">
        <w:rPr>
          <w:kern w:val="0"/>
        </w:rPr>
        <w:t xml:space="preserve"> and </w:t>
      </w:r>
      <w:r>
        <w:rPr>
          <w:kern w:val="0"/>
        </w:rPr>
        <w:t>the meta-analysis that women who fail to control hyperglycaemic in pregnancy on lifestyle measures alone can be safely</w:t>
      </w:r>
      <w:r w:rsidR="00F81221">
        <w:rPr>
          <w:kern w:val="0"/>
        </w:rPr>
        <w:t xml:space="preserve"> and </w:t>
      </w:r>
      <w:r>
        <w:rPr>
          <w:kern w:val="0"/>
        </w:rPr>
        <w:t>effectively be treated with oral agents, metformin or glibenclamide, rather than going directly to insulin. Evidence showed few differences in results between glibenclamide</w:t>
      </w:r>
      <w:r w:rsidR="00F81221">
        <w:rPr>
          <w:kern w:val="0"/>
        </w:rPr>
        <w:t xml:space="preserve"> and </w:t>
      </w:r>
      <w:r>
        <w:rPr>
          <w:kern w:val="0"/>
        </w:rPr>
        <w:t>insulin</w:t>
      </w:r>
      <w:r w:rsidR="00F81221">
        <w:rPr>
          <w:kern w:val="0"/>
        </w:rPr>
        <w:t xml:space="preserve"> and </w:t>
      </w:r>
      <w:r>
        <w:rPr>
          <w:kern w:val="0"/>
        </w:rPr>
        <w:t>metformin</w:t>
      </w:r>
      <w:r w:rsidR="00F81221">
        <w:rPr>
          <w:kern w:val="0"/>
        </w:rPr>
        <w:t xml:space="preserve"> and </w:t>
      </w:r>
      <w:r>
        <w:rPr>
          <w:kern w:val="0"/>
        </w:rPr>
        <w:t>insulin. The exceptions were that there was less maternal hypoglycaemia with glibenclamide, but less neonatal hypoglycaemia</w:t>
      </w:r>
      <w:r w:rsidR="00F81221">
        <w:rPr>
          <w:kern w:val="0"/>
        </w:rPr>
        <w:t xml:space="preserve"> and </w:t>
      </w:r>
      <w:r>
        <w:rPr>
          <w:kern w:val="0"/>
        </w:rPr>
        <w:t>lower birthweight with insulin,</w:t>
      </w:r>
      <w:r w:rsidR="00F81221">
        <w:rPr>
          <w:kern w:val="0"/>
        </w:rPr>
        <w:t xml:space="preserve"> and </w:t>
      </w:r>
      <w:r>
        <w:rPr>
          <w:kern w:val="0"/>
        </w:rPr>
        <w:t>there was less maternal weight gain with metformin. The ACHOIS</w:t>
      </w:r>
      <w:r w:rsidR="00F81221">
        <w:rPr>
          <w:kern w:val="0"/>
        </w:rPr>
        <w:t xml:space="preserve"> and </w:t>
      </w:r>
      <w:r>
        <w:rPr>
          <w:kern w:val="0"/>
        </w:rPr>
        <w:t>MFMUN trials showed reductions in perinatal complications among infants born to mothers who were provided with more intensive dietary advice, blood glucose monitoring</w:t>
      </w:r>
      <w:r w:rsidR="00F81221">
        <w:rPr>
          <w:kern w:val="0"/>
        </w:rPr>
        <w:t xml:space="preserve"> and </w:t>
      </w:r>
      <w:r>
        <w:rPr>
          <w:kern w:val="0"/>
        </w:rPr>
        <w:t>insulin when required. The HAPO study demonstrated adverse outcomes over a much wider range of blood glucose (BG) than the traditional definition of GDM. In the HAPO study, no one measure of BG came out as being clearly the best, although fasting plasma glucose (FPG) was as good as any,</w:t>
      </w:r>
      <w:r w:rsidR="00F81221">
        <w:rPr>
          <w:kern w:val="0"/>
        </w:rPr>
        <w:t xml:space="preserve"> and </w:t>
      </w:r>
      <w:r>
        <w:rPr>
          <w:kern w:val="0"/>
        </w:rPr>
        <w:t>had advantages of being more convenient than an oral glucose tolerance test (OGTT), but correlations between fasting</w:t>
      </w:r>
      <w:r w:rsidR="00F81221">
        <w:rPr>
          <w:kern w:val="0"/>
        </w:rPr>
        <w:t xml:space="preserve"> and </w:t>
      </w:r>
      <w:r>
        <w:rPr>
          <w:kern w:val="0"/>
        </w:rPr>
        <w:t>post-load levels were quite poor. Two screening strategies dominated; (I) selection by the American Diabetes Association criteria followed by the 75-g OGTT [incremental cost-effectiveness ratio (ICER) 3678],</w:t>
      </w:r>
      <w:r w:rsidR="00F81221">
        <w:rPr>
          <w:kern w:val="0"/>
        </w:rPr>
        <w:t xml:space="preserve"> and </w:t>
      </w:r>
      <w:r>
        <w:rPr>
          <w:kern w:val="0"/>
        </w:rPr>
        <w:t>(2) selection by high-risk ethnicity followed by the 75-g OGTT (ICER 21,739). Studies indicated that costs are about 1833 higher for pregnancies complicated by gestational diabetes, suggesting that prevention would be worthwhile. Limitations: Not all of the HAPO results have been published,</w:t>
      </w:r>
      <w:r w:rsidR="00F81221">
        <w:rPr>
          <w:kern w:val="0"/>
        </w:rPr>
        <w:t xml:space="preserve"> and </w:t>
      </w:r>
      <w:r>
        <w:rPr>
          <w:kern w:val="0"/>
        </w:rPr>
        <w:t>none of the reviewed economic studies resolved the most difficult issue at what level of BG does intervention become cost-effective? Conclusions: The evidence base has improved since the last HTA review in 2002. There is now good evidence for treatment of oral drugs instead of insulin</w:t>
      </w:r>
      <w:r w:rsidR="00F81221">
        <w:rPr>
          <w:kern w:val="0"/>
        </w:rPr>
        <w:t xml:space="preserve"> and </w:t>
      </w:r>
      <w:r>
        <w:rPr>
          <w:kern w:val="0"/>
        </w:rPr>
        <w:t>it looks increasingly as if FPG could be the test of choice. However some key uncertainties remain to be resolved, which can be done by further analysis iv of the already collected HAPO data</w:t>
      </w:r>
      <w:r w:rsidR="00F81221">
        <w:rPr>
          <w:kern w:val="0"/>
        </w:rPr>
        <w:t xml:space="preserve"> and </w:t>
      </w:r>
      <w:r>
        <w:rPr>
          <w:kern w:val="0"/>
        </w:rPr>
        <w:t>by using the UK model used in developing the NICE guidelines to assess the cost-effectiveness of intervention in each of the seven HAPO categories.</w:t>
      </w:r>
    </w:p>
    <w:p w:rsidR="004A46B8" w:rsidRDefault="004A46B8" w:rsidP="004A46B8">
      <w:pPr>
        <w:pStyle w:val="a0"/>
        <w:rPr>
          <w:kern w:val="0"/>
        </w:rPr>
      </w:pPr>
      <w:r>
        <w:rPr>
          <w:kern w:val="0"/>
        </w:rPr>
        <w:t xml:space="preserve">Keywords: Adverse Outcomes, Analysis, Assessment, Bibliographic, Bibliographic Databases, Birthweight, Blood, Cochrane, Control, Cost-Effectiveness, Cost-Effectiveness Analysis, Costs, Databases, Diabetes, Diabetes Mellitus, Embase, Ethnicity, Fasting, Fasting Capillary Glucose, Gestational Diabetes, Gestational Diabetes-Mellitus, Glucose Challenge Test, Guidelines, Health, High-Risk Population, Hypoglycaemia, Infants, Insulin, Intervention, Literature, Maternal, Medline, Meta-Analysis, Metformin, Model, Monitoring, Mothers, Neonatal Macrosomia, Obesity, Oral Hypoglycemic Agents, Outcome Hapo, Outcomes, </w:t>
      </w:r>
      <w:r>
        <w:rPr>
          <w:kern w:val="0"/>
        </w:rPr>
        <w:lastRenderedPageBreak/>
        <w:t>Overweight, Perinatal, Perinatal Outcomes, Plasma, Plasma-Glucose, Pregnancy, Prevalence, Prevention, Ratio, Review, Risk, Science, Screening, Systematic, Systematic Review, Traditional, Treatment, Trends, UK, Web of Science, Women</w:t>
      </w:r>
    </w:p>
    <w:p w:rsidR="001E3802" w:rsidRDefault="001E3802" w:rsidP="001E3802">
      <w:pPr>
        <w:pStyle w:val="a0"/>
        <w:rPr>
          <w:kern w:val="0"/>
        </w:rPr>
      </w:pPr>
      <w:r>
        <w:rPr>
          <w:rFonts w:hint="eastAsia"/>
          <w:kern w:val="0"/>
        </w:rPr>
        <w:t xml:space="preserve">? </w:t>
      </w:r>
      <w:r>
        <w:rPr>
          <w:kern w:val="0"/>
        </w:rPr>
        <w:t>Coleman, T., Agboola, S., Leonardi-Bee, J., Taylor, M., McEwen, A.</w:t>
      </w:r>
      <w:r w:rsidR="00F81221">
        <w:rPr>
          <w:kern w:val="0"/>
        </w:rPr>
        <w:t xml:space="preserve"> and </w:t>
      </w:r>
      <w:r>
        <w:rPr>
          <w:kern w:val="0"/>
        </w:rPr>
        <w:t>McNeill, A. (2010), Relapse prevention in UK Stop Smoking Services: Current practice, systematic reviews of effectiveness</w:t>
      </w:r>
      <w:r w:rsidR="00F81221">
        <w:rPr>
          <w:kern w:val="0"/>
        </w:rPr>
        <w:t xml:space="preserve"> and </w:t>
      </w:r>
      <w:r>
        <w:rPr>
          <w:kern w:val="0"/>
        </w:rPr>
        <w:t xml:space="preserve">cost-effectiveness analysis. </w:t>
      </w:r>
      <w:r>
        <w:rPr>
          <w:i/>
          <w:iCs/>
          <w:kern w:val="0"/>
        </w:rPr>
        <w:t>Health Technology Assessment</w:t>
      </w:r>
      <w:r>
        <w:rPr>
          <w:kern w:val="0"/>
        </w:rPr>
        <w:t xml:space="preserve">, </w:t>
      </w:r>
      <w:r>
        <w:rPr>
          <w:b/>
          <w:bCs/>
          <w:kern w:val="0"/>
        </w:rPr>
        <w:t>14</w:t>
      </w:r>
      <w:r>
        <w:rPr>
          <w:kern w:val="0"/>
        </w:rPr>
        <w:t xml:space="preserve"> (49), 1-</w:t>
      </w:r>
      <w:r>
        <w:rPr>
          <w:rFonts w:hint="eastAsia"/>
          <w:kern w:val="0"/>
        </w:rPr>
        <w:t>181</w:t>
      </w:r>
      <w:r>
        <w:rPr>
          <w:kern w:val="0"/>
        </w:rPr>
        <w:t>.</w:t>
      </w:r>
    </w:p>
    <w:p w:rsidR="001E3802" w:rsidRDefault="001E3802" w:rsidP="001E3802">
      <w:pPr>
        <w:pStyle w:val="a0"/>
        <w:rPr>
          <w:kern w:val="0"/>
        </w:rPr>
      </w:pPr>
      <w:r>
        <w:rPr>
          <w:rFonts w:hint="eastAsia"/>
          <w:kern w:val="0"/>
        </w:rPr>
        <w:t xml:space="preserve">Full Text: </w:t>
      </w:r>
      <w:hyperlink r:id="rId603" w:history="1">
        <w:r w:rsidRPr="004548DF">
          <w:rPr>
            <w:rStyle w:val="a5"/>
            <w:kern w:val="0"/>
          </w:rPr>
          <w:t>2010\Hea Tec Ass14-49, 1.pdf</w:t>
        </w:r>
      </w:hyperlink>
    </w:p>
    <w:p w:rsidR="001E3802" w:rsidRDefault="001E3802" w:rsidP="001E3802">
      <w:pPr>
        <w:pStyle w:val="a0"/>
        <w:rPr>
          <w:kern w:val="0"/>
        </w:rPr>
      </w:pPr>
      <w:r>
        <w:rPr>
          <w:kern w:val="0"/>
        </w:rPr>
        <w:t>Abstract: Background: Reducing smoking is a chief priority for governments</w:t>
      </w:r>
      <w:r w:rsidR="00F81221">
        <w:rPr>
          <w:kern w:val="0"/>
        </w:rPr>
        <w:t xml:space="preserve"> and </w:t>
      </w:r>
      <w:r>
        <w:rPr>
          <w:kern w:val="0"/>
        </w:rPr>
        <w:t>health systems like the UK National Health Service (NHS). The UK has implemented a comprehensive tobacco control strategy involving a combination of population tobacco control interventions combined with treatment for dependent smokers through a national network of NHS Stop Smoking Services (NHS SSS). Objectives: To assess the effectiveness</w:t>
      </w:r>
      <w:r w:rsidR="00F81221">
        <w:rPr>
          <w:kern w:val="0"/>
        </w:rPr>
        <w:t xml:space="preserve"> and </w:t>
      </w:r>
      <w:r>
        <w:rPr>
          <w:kern w:val="0"/>
        </w:rPr>
        <w:t>cost-effectiveness of relapse prevention in NHS SSS. To (1) update current estimates of effectiveness on interventions for preventing relapse to smoking; (2) examine studies that provide findings that are generalisable to NHS SSS,</w:t>
      </w:r>
      <w:r w:rsidR="00F81221">
        <w:rPr>
          <w:kern w:val="0"/>
        </w:rPr>
        <w:t xml:space="preserve"> and </w:t>
      </w:r>
      <w:r>
        <w:rPr>
          <w:kern w:val="0"/>
        </w:rPr>
        <w:t>which test interventions that might be acceptable to introduce within the NHS;</w:t>
      </w:r>
      <w:r w:rsidR="00F81221">
        <w:rPr>
          <w:kern w:val="0"/>
        </w:rPr>
        <w:t xml:space="preserve"> and </w:t>
      </w:r>
      <w:r>
        <w:rPr>
          <w:kern w:val="0"/>
        </w:rPr>
        <w:t>(3) determine the cost-effectiveness of those relapse preventions interventions (RPIs) that could potentially be delivered by the NHS SSS. Data sources: A systematic review of the literature</w:t>
      </w:r>
      <w:r w:rsidR="00F81221">
        <w:rPr>
          <w:kern w:val="0"/>
        </w:rPr>
        <w:t xml:space="preserve"> and </w:t>
      </w:r>
      <w:r>
        <w:rPr>
          <w:kern w:val="0"/>
        </w:rPr>
        <w:t>economic evaluation were carried out. In addition to searching the Cochrane Tobacco Addiction Group register of trials (2004 to July 2008), MEDLINE, the Cochrane Central Register of Controlled Trials, EMBASE, PsycINFO, the Science Citation Index</w:t>
      </w:r>
      <w:r w:rsidR="00F81221">
        <w:rPr>
          <w:kern w:val="0"/>
        </w:rPr>
        <w:t xml:space="preserve"> and </w:t>
      </w:r>
      <w:r>
        <w:rPr>
          <w:kern w:val="0"/>
        </w:rPr>
        <w:t>Social Science Citation Index were also searched. Review methods: The project was divided into four distinct phases with different methodologies: qualitative research with a convenience sample of NHS SSS managers; a systematic review investigation the efficacy of RPIs; a cost-effectiveness analysis;</w:t>
      </w:r>
      <w:r w:rsidR="00F81221">
        <w:rPr>
          <w:kern w:val="0"/>
        </w:rPr>
        <w:t xml:space="preserve"> and </w:t>
      </w:r>
      <w:r>
        <w:rPr>
          <w:kern w:val="0"/>
        </w:rPr>
        <w:t>a further systematic review to derive the relapse curves for smokers receiving evidence-based treatment of the type delivered by the NHS SSS. Results: Qualitative research with 16 NHS SSS managers indicated that there was no shared understanding of what relapse prevention meant or of the kinds of interventions that should be used for this. The systematic review included 36 studies that randomised</w:t>
      </w:r>
      <w:r w:rsidR="00F81221">
        <w:rPr>
          <w:kern w:val="0"/>
        </w:rPr>
        <w:t xml:space="preserve"> and </w:t>
      </w:r>
      <w:r>
        <w:rPr>
          <w:kern w:val="0"/>
        </w:rPr>
        <w:t xml:space="preserve">delivered interventions to abstainers. </w:t>
      </w:r>
      <w:r w:rsidR="000352E7">
        <w:rPr>
          <w:kern w:val="0"/>
        </w:rPr>
        <w:t>‘</w:t>
      </w:r>
      <w:r>
        <w:rPr>
          <w:kern w:val="0"/>
        </w:rPr>
        <w:t>Self-help</w:t>
      </w:r>
      <w:r w:rsidR="000352E7">
        <w:rPr>
          <w:kern w:val="0"/>
        </w:rPr>
        <w:t>’</w:t>
      </w:r>
      <w:r>
        <w:rPr>
          <w:kern w:val="0"/>
        </w:rPr>
        <w:t xml:space="preserve"> behavioural interventions delivered to abstainers who had achieved abstinence unaided were effective for preventing relapse to smoking at long-term follow-up [odds ratio (OR) 1.52, 95% confidence interval (CI) 1.15 to 2.01]. The following pharmacotherapies were also effective as RPIs after their successful use as cessation treatments: bupropion at long-term follow-up (pooled OR 1.49, 95% CI 1.10 to 2.01); nicotine replacement therapy (NRT) at medium- (pooled OR 1.56, 95% CI 1.16 to 2.11)</w:t>
      </w:r>
      <w:r w:rsidR="00F81221">
        <w:rPr>
          <w:kern w:val="0"/>
        </w:rPr>
        <w:t xml:space="preserve"> and </w:t>
      </w:r>
      <w:r>
        <w:rPr>
          <w:kern w:val="0"/>
        </w:rPr>
        <w:t>long-term follow-ups (pooled OR 1.33, 95% CI 1.08 to 1.63)</w:t>
      </w:r>
      <w:r w:rsidR="00F81221">
        <w:rPr>
          <w:kern w:val="0"/>
        </w:rPr>
        <w:t xml:space="preserve"> and </w:t>
      </w:r>
      <w:r>
        <w:rPr>
          <w:kern w:val="0"/>
        </w:rPr>
        <w:t xml:space="preserve">one trial </w:t>
      </w:r>
      <w:r>
        <w:rPr>
          <w:kern w:val="0"/>
        </w:rPr>
        <w:lastRenderedPageBreak/>
        <w:t xml:space="preserve">of varenicline also indicated effectiveness. The health economic analysis found that RPIs are highly cost-effective. Compared with </w:t>
      </w:r>
      <w:r w:rsidR="000352E7">
        <w:rPr>
          <w:kern w:val="0"/>
        </w:rPr>
        <w:t>‘</w:t>
      </w:r>
      <w:r>
        <w:rPr>
          <w:kern w:val="0"/>
        </w:rPr>
        <w:t>no intervention</w:t>
      </w:r>
      <w:r w:rsidR="000352E7">
        <w:rPr>
          <w:kern w:val="0"/>
        </w:rPr>
        <w:t>’</w:t>
      </w:r>
      <w:r>
        <w:rPr>
          <w:kern w:val="0"/>
        </w:rPr>
        <w:t>; using bupropion resulted in an incremental quality-adjusted life-year (QALY) increase of 0.07, with a concurrent NHS cost saving of 68; for NRT, spending 12 pound resulted in a 0.04 incremental QALY increase; varenicline resulted in a similar QALY increase as NRT, but at almost seven times the cost. Extensive sensitivity analyses demonstrated that cost-effectiveness ratios were more sensitive to variations in effectiveness than cost</w:t>
      </w:r>
      <w:r w:rsidR="00F81221">
        <w:rPr>
          <w:kern w:val="0"/>
        </w:rPr>
        <w:t xml:space="preserve"> and </w:t>
      </w:r>
      <w:r>
        <w:rPr>
          <w:kern w:val="0"/>
        </w:rPr>
        <w:t>that for bupropion</w:t>
      </w:r>
      <w:r w:rsidR="00F81221">
        <w:rPr>
          <w:kern w:val="0"/>
        </w:rPr>
        <w:t xml:space="preserve"> and </w:t>
      </w:r>
      <w:r>
        <w:rPr>
          <w:kern w:val="0"/>
        </w:rPr>
        <w:t xml:space="preserve">NRT, cost-effectiveness generally remained. Varenicline also demonstrated cost-effectiveness at a </w:t>
      </w:r>
      <w:r w:rsidR="000352E7">
        <w:rPr>
          <w:kern w:val="0"/>
        </w:rPr>
        <w:t>‘</w:t>
      </w:r>
      <w:r>
        <w:rPr>
          <w:kern w:val="0"/>
        </w:rPr>
        <w:t>willingness-to-pay</w:t>
      </w:r>
      <w:r w:rsidR="000352E7">
        <w:rPr>
          <w:kern w:val="0"/>
        </w:rPr>
        <w:t>’</w:t>
      </w:r>
      <w:r>
        <w:rPr>
          <w:kern w:val="0"/>
        </w:rPr>
        <w:t xml:space="preserve"> threshold of 20,000 per QALY, but exceeded this when inputted values for potential effectiveness were at the lower end of the range explored. For all drugs, there was substantial relapse to smoking after treatment courses had finished. Quit attempts involving NRT appeared to have the highest early relapse rates, when trial participants would be expected to still be on treatment, but for those involving bupropion</w:t>
      </w:r>
      <w:r w:rsidR="00F81221">
        <w:rPr>
          <w:kern w:val="0"/>
        </w:rPr>
        <w:t xml:space="preserve"> and </w:t>
      </w:r>
      <w:r>
        <w:rPr>
          <w:kern w:val="0"/>
        </w:rPr>
        <w:t>varenicline little relapse was apparent during this time. Limitations: The qualitative research sample was small. Conclusions: Based on the totality of evidence, RPIs are expected to be effective</w:t>
      </w:r>
      <w:r w:rsidR="00F81221">
        <w:rPr>
          <w:kern w:val="0"/>
        </w:rPr>
        <w:t xml:space="preserve"> and </w:t>
      </w:r>
      <w:r>
        <w:rPr>
          <w:kern w:val="0"/>
        </w:rPr>
        <w:t>cost-effective if incorporated into routine treatment within the NHS SSS. While staff within the NHS SSS were largely favourably inclined towards providing RPIs, guidance would be needed to encourage the adoption of the most effective RPIs, as would incentives that focused on the importance of sustaining quit attempts beyond the currently monitored 4-week targets.</w:t>
      </w:r>
    </w:p>
    <w:p w:rsidR="001E3802" w:rsidRDefault="001E3802" w:rsidP="001E3802">
      <w:pPr>
        <w:pStyle w:val="a0"/>
        <w:rPr>
          <w:kern w:val="0"/>
        </w:rPr>
      </w:pPr>
      <w:r>
        <w:rPr>
          <w:kern w:val="0"/>
        </w:rPr>
        <w:t>Keywords: Alpha, Analysis, Behavioral Treatment, Cessation Intervention, Cigarette-Smoking, Citation, Control, Cost, Embase, Evaluation, Follow-Up, Health, Literature, Male British Doctors, Medline, Network, Nicotine Patch Therapy, Population, Postpartum Women, Qualitative Research, Randomized Controlled-Trial, Receptor Partial Agonist, Research, Science, Science Citation Index, Sciences, Smoking, Sustained-Release Bupropion, Technology, Therapy, Treatment, UK</w:t>
      </w:r>
    </w:p>
    <w:p w:rsidR="00DB45FC" w:rsidRDefault="00DB45FC" w:rsidP="00DB45FC">
      <w:pPr>
        <w:pStyle w:val="a0"/>
        <w:rPr>
          <w:kern w:val="0"/>
        </w:rPr>
      </w:pPr>
      <w:r>
        <w:rPr>
          <w:rFonts w:hint="eastAsia"/>
          <w:kern w:val="0"/>
        </w:rPr>
        <w:t xml:space="preserve">? </w:t>
      </w:r>
      <w:r>
        <w:rPr>
          <w:kern w:val="0"/>
        </w:rPr>
        <w:t>Patterson, M., Rick, J., Wood, S., Carroll, C., Balain, S.</w:t>
      </w:r>
      <w:r w:rsidR="00F81221">
        <w:rPr>
          <w:kern w:val="0"/>
        </w:rPr>
        <w:t xml:space="preserve"> and </w:t>
      </w:r>
      <w:r>
        <w:rPr>
          <w:kern w:val="0"/>
        </w:rPr>
        <w:t>Booth, A. (2010), Systematic review of the links between human resource management practices</w:t>
      </w:r>
      <w:r w:rsidR="00F81221">
        <w:rPr>
          <w:kern w:val="0"/>
        </w:rPr>
        <w:t xml:space="preserve"> and </w:t>
      </w:r>
      <w:r>
        <w:rPr>
          <w:kern w:val="0"/>
        </w:rPr>
        <w:t xml:space="preserve">performance. </w:t>
      </w:r>
      <w:r>
        <w:rPr>
          <w:i/>
          <w:iCs/>
          <w:kern w:val="0"/>
        </w:rPr>
        <w:t>Health Technology Assessment</w:t>
      </w:r>
      <w:r>
        <w:rPr>
          <w:kern w:val="0"/>
        </w:rPr>
        <w:t xml:space="preserve">, </w:t>
      </w:r>
      <w:r>
        <w:rPr>
          <w:b/>
          <w:bCs/>
          <w:kern w:val="0"/>
        </w:rPr>
        <w:t>14</w:t>
      </w:r>
      <w:r>
        <w:rPr>
          <w:kern w:val="0"/>
        </w:rPr>
        <w:t xml:space="preserve"> (51), 1-</w:t>
      </w:r>
      <w:r>
        <w:rPr>
          <w:rFonts w:hint="eastAsia"/>
          <w:kern w:val="0"/>
        </w:rPr>
        <w:t>363</w:t>
      </w:r>
      <w:r>
        <w:rPr>
          <w:kern w:val="0"/>
        </w:rPr>
        <w:t>.</w:t>
      </w:r>
    </w:p>
    <w:p w:rsidR="00DB45FC" w:rsidRDefault="00DB45FC" w:rsidP="00DB45FC">
      <w:pPr>
        <w:pStyle w:val="a0"/>
        <w:rPr>
          <w:kern w:val="0"/>
        </w:rPr>
      </w:pPr>
      <w:r>
        <w:rPr>
          <w:rFonts w:hint="eastAsia"/>
          <w:kern w:val="0"/>
        </w:rPr>
        <w:t xml:space="preserve">Full Text: </w:t>
      </w:r>
      <w:hyperlink r:id="rId604" w:history="1">
        <w:r w:rsidRPr="00451801">
          <w:rPr>
            <w:rStyle w:val="a5"/>
            <w:kern w:val="0"/>
          </w:rPr>
          <w:t>2010\Hea Tec Ass14-51, 1.pdf</w:t>
        </w:r>
      </w:hyperlink>
    </w:p>
    <w:p w:rsidR="00DB45FC" w:rsidRDefault="00DB45FC" w:rsidP="00DB45FC">
      <w:pPr>
        <w:pStyle w:val="a0"/>
        <w:rPr>
          <w:kern w:val="0"/>
        </w:rPr>
      </w:pPr>
      <w:r>
        <w:rPr>
          <w:kern w:val="0"/>
        </w:rPr>
        <w:t>Abstract: Background: In recent years human resource management (HRM) has been seen as an important factor in the successful realisation of organisational change programmes. The UK NHS is undergoing substantial organisational change</w:t>
      </w:r>
      <w:r w:rsidR="00F81221">
        <w:rPr>
          <w:kern w:val="0"/>
        </w:rPr>
        <w:t xml:space="preserve"> and </w:t>
      </w:r>
      <w:r>
        <w:rPr>
          <w:kern w:val="0"/>
        </w:rPr>
        <w:t>there is a need to establish which human resource (HR) initiatives may be most effective. Objectives: To assess the results from a wide-ranging series of systematic reviews of the evidence on HRM</w:t>
      </w:r>
      <w:r w:rsidR="00F81221">
        <w:rPr>
          <w:kern w:val="0"/>
        </w:rPr>
        <w:t xml:space="preserve"> and </w:t>
      </w:r>
      <w:r>
        <w:rPr>
          <w:kern w:val="0"/>
        </w:rPr>
        <w:t>performance. The first part assesses evidence on use of HRM in the UK</w:t>
      </w:r>
      <w:r w:rsidR="00F81221">
        <w:rPr>
          <w:kern w:val="0"/>
        </w:rPr>
        <w:t xml:space="preserve"> and </w:t>
      </w:r>
      <w:r>
        <w:rPr>
          <w:kern w:val="0"/>
        </w:rPr>
        <w:t xml:space="preserve">fidelity of practice implemented. The second part considers </w:t>
      </w:r>
      <w:r>
        <w:rPr>
          <w:kern w:val="0"/>
        </w:rPr>
        <w:lastRenderedPageBreak/>
        <w:t>evidence for the impact of HRM practices on intermediate outcomes, which can impact on final outcomes, such as organisational performance or patient care. Data sources: The following databases were searched: Applied Social Sciences Index</w:t>
      </w:r>
      <w:r w:rsidR="00F81221">
        <w:rPr>
          <w:kern w:val="0"/>
        </w:rPr>
        <w:t xml:space="preserve"> and </w:t>
      </w:r>
      <w:r>
        <w:rPr>
          <w:kern w:val="0"/>
        </w:rPr>
        <w:t>Abstracts (ASSIA), British Nursing Index (BNI), Business Source Premier, Campbell Collaboration, Cochrane Central Register of Controlled Trials (CENTRAL), Cochrane Database of Systematic Reviews (CDSR), Cumulative Index to Nursing</w:t>
      </w:r>
      <w:r w:rsidR="00F81221">
        <w:rPr>
          <w:kern w:val="0"/>
        </w:rPr>
        <w:t xml:space="preserve"> and </w:t>
      </w:r>
      <w:r>
        <w:rPr>
          <w:kern w:val="0"/>
        </w:rPr>
        <w:t>Allied Health Literature (CINAHL), Database of Abstracts of Reviews of Effectiveness (DARE), DH-Data, EMBASE, Health Management Information Consortium (HMIC), International Bibliography of the Social Sciences (IBSS), King</w:t>
      </w:r>
      <w:r w:rsidR="000352E7">
        <w:rPr>
          <w:kern w:val="0"/>
        </w:rPr>
        <w:t>’</w:t>
      </w:r>
      <w:r>
        <w:rPr>
          <w:kern w:val="0"/>
        </w:rPr>
        <w:t>s Fund database, MEDLINE, NHS Economic Evaluation Database (NHS EED), National Research Register (NRR), PREMEDLINE, PsycINFO, ReFeR, Social Sciences Citation Index (SSCI)</w:t>
      </w:r>
      <w:r w:rsidR="00F81221">
        <w:rPr>
          <w:kern w:val="0"/>
        </w:rPr>
        <w:t xml:space="preserve"> and </w:t>
      </w:r>
      <w:r>
        <w:rPr>
          <w:kern w:val="0"/>
        </w:rPr>
        <w:t>Science Citation Index (SCI). The searches were conducted in May/June 2006. Review methods: Broad categories of HRM interventions</w:t>
      </w:r>
      <w:r w:rsidR="00F81221">
        <w:rPr>
          <w:kern w:val="0"/>
        </w:rPr>
        <w:t xml:space="preserve"> and </w:t>
      </w:r>
      <w:r>
        <w:rPr>
          <w:kern w:val="0"/>
        </w:rPr>
        <w:t>intermediate outcomes were generated: 10 HRM categories</w:t>
      </w:r>
      <w:r w:rsidR="00F81221">
        <w:rPr>
          <w:kern w:val="0"/>
        </w:rPr>
        <w:t xml:space="preserve"> and </w:t>
      </w:r>
      <w:r>
        <w:rPr>
          <w:kern w:val="0"/>
        </w:rPr>
        <w:t>12 intermediate outcome categories. Seven patient final outcomes were derived from the NHS Performance Indicators</w:t>
      </w:r>
      <w:r w:rsidR="00F81221">
        <w:rPr>
          <w:kern w:val="0"/>
        </w:rPr>
        <w:t xml:space="preserve"> and </w:t>
      </w:r>
      <w:r>
        <w:rPr>
          <w:kern w:val="0"/>
        </w:rPr>
        <w:t>the NHS Improvement Plan. The quality criteria used to select papers incorporated a longitudinal study design filter to provide evidence of the causal direction of relationships between HRM</w:t>
      </w:r>
      <w:r w:rsidR="00F81221">
        <w:rPr>
          <w:kern w:val="0"/>
        </w:rPr>
        <w:t xml:space="preserve"> and </w:t>
      </w:r>
      <w:r>
        <w:rPr>
          <w:kern w:val="0"/>
        </w:rPr>
        <w:t>relevant outcomes. Single HRM practices were considered. Within the health-specific literature, focus was on the impact of HRM on patient outcomes. Information is presented on the reliability of measures in each of the intermediate outcome areas. Results: Work design practices that enhance employee autonomy</w:t>
      </w:r>
      <w:r w:rsidR="00F81221">
        <w:rPr>
          <w:kern w:val="0"/>
        </w:rPr>
        <w:t xml:space="preserve"> and </w:t>
      </w:r>
      <w:r>
        <w:rPr>
          <w:kern w:val="0"/>
        </w:rPr>
        <w:t>control influenced a number of outcomes</w:t>
      </w:r>
      <w:r w:rsidR="00F81221">
        <w:rPr>
          <w:kern w:val="0"/>
        </w:rPr>
        <w:t xml:space="preserve"> and </w:t>
      </w:r>
      <w:r>
        <w:rPr>
          <w:kern w:val="0"/>
        </w:rPr>
        <w:t>there was consistent evidence for the positive impact of increased job control on employee outcomes, such as job satisfaction, absence</w:t>
      </w:r>
      <w:r w:rsidR="00F81221">
        <w:rPr>
          <w:kern w:val="0"/>
        </w:rPr>
        <w:t xml:space="preserve"> and </w:t>
      </w:r>
      <w:r>
        <w:rPr>
          <w:kern w:val="0"/>
        </w:rPr>
        <w:t>health. For employee participation, the small number of studies reviewed supported the involvement of employees in design/implementation of changes that affect their work. In health literature in particular, employee involvement through quality improvement teams resulted in improved patient outcomes. Findings were positive for the impact of training on the intended outcomes of the initiatives. Support for the impact of performance management practices was apparent, in particular feedback on performance outcomes</w:t>
      </w:r>
      <w:r w:rsidR="00F81221">
        <w:rPr>
          <w:kern w:val="0"/>
        </w:rPr>
        <w:t xml:space="preserve"> and </w:t>
      </w:r>
      <w:r>
        <w:rPr>
          <w:kern w:val="0"/>
        </w:rPr>
        <w:t>the use of participative goal setting. Strong associations were found among all intermediate outcomes,</w:t>
      </w:r>
      <w:r w:rsidR="00F81221">
        <w:rPr>
          <w:kern w:val="0"/>
        </w:rPr>
        <w:t xml:space="preserve"> and </w:t>
      </w:r>
      <w:r>
        <w:rPr>
          <w:kern w:val="0"/>
        </w:rPr>
        <w:t>the relationship between most intermediate behaviours</w:t>
      </w:r>
      <w:r w:rsidR="00F81221">
        <w:rPr>
          <w:kern w:val="0"/>
        </w:rPr>
        <w:t xml:space="preserve"> and </w:t>
      </w:r>
      <w:r>
        <w:rPr>
          <w:kern w:val="0"/>
        </w:rPr>
        <w:t>outcomes were significant. Limitations: Limited evidence was available on the use of HRM</w:t>
      </w:r>
      <w:r w:rsidR="00F81221">
        <w:rPr>
          <w:kern w:val="0"/>
        </w:rPr>
        <w:t xml:space="preserve"> and </w:t>
      </w:r>
      <w:r>
        <w:rPr>
          <w:kern w:val="0"/>
        </w:rPr>
        <w:t>on the implementation of policy. Also, the specific practices studied within each HRM category differ so there was little evidence to show whether similar practices have the same effects in health</w:t>
      </w:r>
      <w:r w:rsidR="00F81221">
        <w:rPr>
          <w:kern w:val="0"/>
        </w:rPr>
        <w:t xml:space="preserve"> and </w:t>
      </w:r>
      <w:r>
        <w:rPr>
          <w:kern w:val="0"/>
        </w:rPr>
        <w:t>non-health settings. Conclusions: Some potentially effective practices for both health</w:t>
      </w:r>
      <w:r w:rsidR="00F81221">
        <w:rPr>
          <w:kern w:val="0"/>
        </w:rPr>
        <w:t xml:space="preserve"> and </w:t>
      </w:r>
      <w:r>
        <w:rPr>
          <w:kern w:val="0"/>
        </w:rPr>
        <w:t>non-health areas were identified,</w:t>
      </w:r>
      <w:r w:rsidR="00F81221">
        <w:rPr>
          <w:kern w:val="0"/>
        </w:rPr>
        <w:t xml:space="preserve"> and </w:t>
      </w:r>
      <w:r>
        <w:rPr>
          <w:kern w:val="0"/>
        </w:rPr>
        <w:t xml:space="preserve">HRM methods could be used to support change processes within the NHS; the </w:t>
      </w:r>
      <w:r>
        <w:rPr>
          <w:kern w:val="0"/>
        </w:rPr>
        <w:lastRenderedPageBreak/>
        <w:t>findings relating to work organisation are particularly promising with regard to changes in methods of service delivery. Using training to support the implementation of change is highlighted. However, future multilevel studies that embrace the individual, team</w:t>
      </w:r>
      <w:r w:rsidR="00F81221">
        <w:rPr>
          <w:kern w:val="0"/>
        </w:rPr>
        <w:t xml:space="preserve"> and </w:t>
      </w:r>
      <w:r>
        <w:rPr>
          <w:kern w:val="0"/>
        </w:rPr>
        <w:t>organisational level are needed. Studies should look into interventions aimed at improving HR outcomes</w:t>
      </w:r>
      <w:r w:rsidR="00F81221">
        <w:rPr>
          <w:kern w:val="0"/>
        </w:rPr>
        <w:t xml:space="preserve"> and </w:t>
      </w:r>
      <w:r>
        <w:rPr>
          <w:kern w:val="0"/>
        </w:rPr>
        <w:t>performance,</w:t>
      </w:r>
      <w:r w:rsidR="00F81221">
        <w:rPr>
          <w:kern w:val="0"/>
        </w:rPr>
        <w:t xml:space="preserve"> and </w:t>
      </w:r>
      <w:r>
        <w:rPr>
          <w:kern w:val="0"/>
        </w:rPr>
        <w:t>allow for pre-</w:t>
      </w:r>
      <w:r w:rsidR="00F81221">
        <w:rPr>
          <w:kern w:val="0"/>
        </w:rPr>
        <w:t xml:space="preserve"> and </w:t>
      </w:r>
      <w:r>
        <w:rPr>
          <w:kern w:val="0"/>
        </w:rPr>
        <w:t>post-intervention measurement of practices</w:t>
      </w:r>
      <w:r w:rsidR="00F81221">
        <w:rPr>
          <w:kern w:val="0"/>
        </w:rPr>
        <w:t xml:space="preserve"> and </w:t>
      </w:r>
      <w:r>
        <w:rPr>
          <w:kern w:val="0"/>
        </w:rPr>
        <w:t>outcomes.</w:t>
      </w:r>
    </w:p>
    <w:p w:rsidR="00DB45FC" w:rsidRDefault="00DB45FC" w:rsidP="00DB45FC">
      <w:pPr>
        <w:pStyle w:val="a0"/>
        <w:rPr>
          <w:kern w:val="0"/>
        </w:rPr>
      </w:pPr>
      <w:r>
        <w:rPr>
          <w:kern w:val="0"/>
        </w:rPr>
        <w:t>Keywords: Adolescent Substance-Abuse, Citation, Collaboration, Control, Database, Databases, Dual-Earner Couples, Embase, Evaluation, Impact, Intensive-Care-Unit, Literature, Longitudinal-Field Experiment, Management, Medline, Nursing, Organizational Citizenship Behavior, Patient, Performance, Processes, Psychosocial Work-Environment, Randomized Controlled-Trials, Realistic Job Previews, Research, Resistant Staphylococcus-Aureus, Review, SCI, Science, Science Citation Index, Sciences, Support, Systematic Review, UK, Ventilator-Associated Pneumonia</w:t>
      </w:r>
    </w:p>
    <w:p w:rsidR="00265F76" w:rsidRDefault="00265F76" w:rsidP="00265F76">
      <w:pPr>
        <w:pStyle w:val="a0"/>
        <w:rPr>
          <w:kern w:val="0"/>
        </w:rPr>
      </w:pPr>
      <w:r>
        <w:rPr>
          <w:rFonts w:hint="eastAsia"/>
          <w:kern w:val="0"/>
        </w:rPr>
        <w:t xml:space="preserve">? </w:t>
      </w:r>
      <w:r>
        <w:rPr>
          <w:kern w:val="0"/>
        </w:rPr>
        <w:t>Czoski-Murray, C., Karnon, J., Jones, R., Smith, K.</w:t>
      </w:r>
      <w:r w:rsidR="00F81221">
        <w:rPr>
          <w:kern w:val="0"/>
        </w:rPr>
        <w:t xml:space="preserve"> and </w:t>
      </w:r>
      <w:r>
        <w:rPr>
          <w:kern w:val="0"/>
        </w:rPr>
        <w:t>Kinghorn, G. (2010), Cost-effectiveness of screening high-risk HIV-positive men who have sex with men (MSM)</w:t>
      </w:r>
      <w:r w:rsidR="00F81221">
        <w:rPr>
          <w:kern w:val="0"/>
        </w:rPr>
        <w:t xml:space="preserve"> and </w:t>
      </w:r>
      <w:r>
        <w:rPr>
          <w:kern w:val="0"/>
        </w:rPr>
        <w:t xml:space="preserve">HIV-positive women for anal cancer. </w:t>
      </w:r>
      <w:r>
        <w:rPr>
          <w:i/>
          <w:iCs/>
          <w:kern w:val="0"/>
        </w:rPr>
        <w:t>Health Technology Assessment</w:t>
      </w:r>
      <w:r>
        <w:rPr>
          <w:kern w:val="0"/>
        </w:rPr>
        <w:t xml:space="preserve">, </w:t>
      </w:r>
      <w:r>
        <w:rPr>
          <w:b/>
          <w:bCs/>
          <w:kern w:val="0"/>
        </w:rPr>
        <w:t>14</w:t>
      </w:r>
      <w:r>
        <w:rPr>
          <w:kern w:val="0"/>
        </w:rPr>
        <w:t xml:space="preserve"> (53), 1-</w:t>
      </w:r>
      <w:r>
        <w:rPr>
          <w:rFonts w:hint="eastAsia"/>
          <w:kern w:val="0"/>
        </w:rPr>
        <w:t>131</w:t>
      </w:r>
      <w:r>
        <w:rPr>
          <w:kern w:val="0"/>
        </w:rPr>
        <w:t>.</w:t>
      </w:r>
    </w:p>
    <w:p w:rsidR="00265F76" w:rsidRDefault="00265F76" w:rsidP="00265F76">
      <w:pPr>
        <w:pStyle w:val="a0"/>
        <w:rPr>
          <w:kern w:val="0"/>
        </w:rPr>
      </w:pPr>
      <w:r>
        <w:rPr>
          <w:rFonts w:hint="eastAsia"/>
          <w:kern w:val="0"/>
        </w:rPr>
        <w:t xml:space="preserve">Full Text: </w:t>
      </w:r>
      <w:hyperlink r:id="rId605" w:history="1">
        <w:r w:rsidRPr="00265F76">
          <w:rPr>
            <w:rStyle w:val="a5"/>
            <w:kern w:val="0"/>
          </w:rPr>
          <w:t>2010\Hea Tec Ass14-53, 1.pdf</w:t>
        </w:r>
      </w:hyperlink>
    </w:p>
    <w:p w:rsidR="00265F76" w:rsidRDefault="00265F76" w:rsidP="00265F76">
      <w:pPr>
        <w:pStyle w:val="a0"/>
        <w:rPr>
          <w:kern w:val="0"/>
        </w:rPr>
      </w:pPr>
      <w:r>
        <w:rPr>
          <w:kern w:val="0"/>
        </w:rPr>
        <w:t>Abstract: Background Anal cancer is uncommon</w:t>
      </w:r>
      <w:r w:rsidR="00F81221">
        <w:rPr>
          <w:kern w:val="0"/>
        </w:rPr>
        <w:t xml:space="preserve"> and </w:t>
      </w:r>
      <w:r>
        <w:rPr>
          <w:kern w:val="0"/>
        </w:rPr>
        <w:t>predominantly a disease of the elderly The human papillomavirus (HPV) has been implicated as a causal agent,</w:t>
      </w:r>
      <w:r w:rsidR="00F81221">
        <w:rPr>
          <w:kern w:val="0"/>
        </w:rPr>
        <w:t xml:space="preserve"> and </w:t>
      </w:r>
      <w:r>
        <w:rPr>
          <w:kern w:val="0"/>
        </w:rPr>
        <w:t>HPV infection is usually transmitted sexually Individuals who are human immunodeficiency virus (HIV)-positive are particularly vulnerable to HPV infections,</w:t>
      </w:r>
      <w:r w:rsidR="00F81221">
        <w:rPr>
          <w:kern w:val="0"/>
        </w:rPr>
        <w:t xml:space="preserve"> and </w:t>
      </w:r>
      <w:r>
        <w:rPr>
          <w:kern w:val="0"/>
        </w:rPr>
        <w:t>increasing numbers from this population present with anal cancer Objective To estimate the cost-effectiveness of screening for anal cancer in the high-risk HIV-positive population [in particular, men who have sex with men (MSM), who have been identified as being at greater risk of the disease] by developing a model that incorporates the national screening guidelines criteria Data sources A comprehensive literature search was undertaken in January 2006 (updated in November 2006) The following electronic bibliographic databases were searched Applied Social Sciences Index</w:t>
      </w:r>
      <w:r w:rsidR="00F81221">
        <w:rPr>
          <w:kern w:val="0"/>
        </w:rPr>
        <w:t xml:space="preserve"> and </w:t>
      </w:r>
      <w:r>
        <w:rPr>
          <w:kern w:val="0"/>
        </w:rPr>
        <w:t>Abstracts (ASSIA), BIOSIS previews (Biological Abstracts), British Nursing Index (BNI), Cumulative Index to Nursing</w:t>
      </w:r>
      <w:r w:rsidR="00F81221">
        <w:rPr>
          <w:kern w:val="0"/>
        </w:rPr>
        <w:t xml:space="preserve"> and </w:t>
      </w:r>
      <w:r>
        <w:rPr>
          <w:kern w:val="0"/>
        </w:rPr>
        <w:t>Allied Health Literature (CINAHL), Cochrane Database of Systematic Reviews (CDSR), Cochrane Central Register of Controlled Trials (CENTRAL), EMBASE, MEDLINE, MEDLINE In-Process &amp; Other Non-Indexed Citations NHS Database of Abstracts of Reviews of Effects (DARE), NHS Health Technology Assessment (HTA) Database, PsycINFO, Science Citation Index (SCI)</w:t>
      </w:r>
      <w:r w:rsidR="00F81221">
        <w:rPr>
          <w:kern w:val="0"/>
        </w:rPr>
        <w:t xml:space="preserve"> and </w:t>
      </w:r>
      <w:r>
        <w:rPr>
          <w:kern w:val="0"/>
        </w:rPr>
        <w:t xml:space="preserve">Social Sciences Citation Index (SSCI) Study selection Published literature identified by the search strategy was assessed by four reviewers Papers that met the inclusion criteria contained the following data on population incidence, effectiveness of screening, health outcomes </w:t>
      </w:r>
      <w:r>
        <w:rPr>
          <w:kern w:val="0"/>
        </w:rPr>
        <w:lastRenderedPageBreak/>
        <w:t>or screening and/or treatment costs, defined suitable screening technologies, prospectively evaluated tests to detect anal cancer Foreign-language papers were excluded Searches identified 2102 potential papers, 1403 were rejected at title</w:t>
      </w:r>
      <w:r w:rsidR="00F81221">
        <w:rPr>
          <w:kern w:val="0"/>
        </w:rPr>
        <w:t xml:space="preserve"> and </w:t>
      </w:r>
      <w:r>
        <w:rPr>
          <w:kern w:val="0"/>
        </w:rPr>
        <w:t>a further 493 at abstract From 206 papers retrieved, 81 met the inclusion criteria A further treatment paper was added, giving a total of 82 papers included Data extraction Data from included studies were extracted into data extraction forms by the clinical effectiveness reviewer To analyse the cost-effectiveness of screening, two decision-analytical models were developed</w:t>
      </w:r>
      <w:r w:rsidR="00F81221">
        <w:rPr>
          <w:kern w:val="0"/>
        </w:rPr>
        <w:t xml:space="preserve"> and </w:t>
      </w:r>
      <w:r>
        <w:rPr>
          <w:kern w:val="0"/>
        </w:rPr>
        <w:t>populated Results The reference case cost-effectiveness model for MSM found that screening for anal cancer is very unlikely to be cost-effective The negative aspects of screening included utility decrements associated with false-positive results</w:t>
      </w:r>
      <w:r w:rsidR="00F81221">
        <w:rPr>
          <w:kern w:val="0"/>
        </w:rPr>
        <w:t xml:space="preserve"> and </w:t>
      </w:r>
      <w:r>
        <w:rPr>
          <w:kern w:val="0"/>
        </w:rPr>
        <w:t>with treatment for high-grade anal intraepithelial neoplasia (HG-AIN) Sensitivity analyses showed that removing these utility decrements improved the cost-effectiveness of screening However, combined with higher regression rates from low-grade anal intraepithelial neoplasia (LG-AIN), the lowest expected incremental cost-effectiveness ratio remained at over 44,000 pound per quality-adjusted life-year (QALY) gained Probabilistic sensitivity analysis showed that no screening retained over 50% probability of cost-effectiveness to a QALY value of 50,000 pound The screening model for HIV-positive women showed an even lower likelihood of cost-effectiveness, with the most favourable sensitivity analyses reporting an incremental cost per QALY of 88,000 pound Limitations Limited knowledge is available about the epidemiology</w:t>
      </w:r>
      <w:r w:rsidR="00F81221">
        <w:rPr>
          <w:kern w:val="0"/>
        </w:rPr>
        <w:t xml:space="preserve"> and </w:t>
      </w:r>
      <w:r>
        <w:rPr>
          <w:kern w:val="0"/>
        </w:rPr>
        <w:t>natural history of anal cancer, along with a paucity of good-quality evidence concerning the effectiveness of screening Conclusions Many of the criteria for assessing the need for a screening programme were not met</w:t>
      </w:r>
      <w:r w:rsidR="00F81221">
        <w:rPr>
          <w:kern w:val="0"/>
        </w:rPr>
        <w:t xml:space="preserve"> and </w:t>
      </w:r>
      <w:r>
        <w:rPr>
          <w:kern w:val="0"/>
        </w:rPr>
        <w:t>the cost-effectiveness analyses showed little likelihood that screening any of the identified high-risk groups would generate health improvements at a reasonable cost Further studies could assess whether the screening model has underestimated the impact of anal cancer, the results of which may justify an evaluative study of the effects of treatment for HG-AIN.</w:t>
      </w:r>
    </w:p>
    <w:p w:rsidR="00265F76" w:rsidRDefault="00265F76" w:rsidP="00265F76">
      <w:pPr>
        <w:pStyle w:val="a0"/>
        <w:rPr>
          <w:kern w:val="0"/>
        </w:rPr>
      </w:pPr>
      <w:r>
        <w:rPr>
          <w:kern w:val="0"/>
        </w:rPr>
        <w:t xml:space="preserve">Keywords: Active Antiretroviral Therapy, Anal, Anal Cancer, Analyses, Analysis, Assessing, Bibliographic Databases, Bisexual Men, Cancer, Cell Carcinoma, Cervical-Cancer, Clinical, Cost, Cost Effectiveness, Cost-Effective, Cost-Effectiveness, Costs, Criteria, Data, Databases, Developing, Disease, Effectiveness, Elderly, Epidemiology, Evidence, Extraction, False Positive, Forms, Guidelines, Health, Health Outcomes, High Prevalence, History, HPV, Human, Human Immunodeficiency Virus, Human Papillomavirus, Human-Immunodeficiency, Human-Papillomavirus Infection, Impact, Incidence, Infection, Infections, Knowledge, Literature, Medline, Men, Model, Models, Natural, Natural-History, Negative Homosexual-Men, NOV, Outcomes, Papers, </w:t>
      </w:r>
      <w:r>
        <w:rPr>
          <w:kern w:val="0"/>
        </w:rPr>
        <w:lastRenderedPageBreak/>
        <w:t>Papillomavirus, Population, Potential, Psycinfo, Qaly, Quality-Adjusted Life-Year, Rates, Reference, Regression, Reporting, Risk, SCI, Science Citation Index, Screening, Search Strategy, Sensitivity, Sensitivity Analysis, Sex, Sources, Squamous Intraepithelial Lesions, SSCI, Strategy, Technologies, Technology Assessment, The Elderly, Treatment, Treatment Costs, Utility, Value, Women</w:t>
      </w:r>
    </w:p>
    <w:p w:rsidR="00C369CF" w:rsidRDefault="00C369CF" w:rsidP="00C369CF">
      <w:pPr>
        <w:pStyle w:val="a0"/>
        <w:rPr>
          <w:kern w:val="0"/>
        </w:rPr>
      </w:pPr>
      <w:r>
        <w:rPr>
          <w:rFonts w:hint="eastAsia"/>
          <w:kern w:val="0"/>
        </w:rPr>
        <w:t xml:space="preserve">? </w:t>
      </w:r>
      <w:r>
        <w:rPr>
          <w:kern w:val="0"/>
        </w:rPr>
        <w:t>Ashfaq, K., Yahaya, I., Hyde, C., Andronis, L., Barton, P., Bayliss, S.</w:t>
      </w:r>
      <w:r w:rsidR="00F81221">
        <w:rPr>
          <w:kern w:val="0"/>
        </w:rPr>
        <w:t xml:space="preserve"> and </w:t>
      </w:r>
      <w:r>
        <w:rPr>
          <w:kern w:val="0"/>
        </w:rPr>
        <w:t>Chen, Y.F. (2010), Clinical effectiveness</w:t>
      </w:r>
      <w:r w:rsidR="00F81221">
        <w:rPr>
          <w:kern w:val="0"/>
        </w:rPr>
        <w:t xml:space="preserve"> and </w:t>
      </w:r>
      <w:r>
        <w:rPr>
          <w:kern w:val="0"/>
        </w:rPr>
        <w:t xml:space="preserve">cost-effectiveness of stem cell transplantation in the management of acute leukaemia: A systematic review. </w:t>
      </w:r>
      <w:r>
        <w:rPr>
          <w:i/>
          <w:iCs/>
          <w:kern w:val="0"/>
        </w:rPr>
        <w:t>Health Technology Assessment</w:t>
      </w:r>
      <w:r>
        <w:rPr>
          <w:kern w:val="0"/>
        </w:rPr>
        <w:t xml:space="preserve">, </w:t>
      </w:r>
      <w:r>
        <w:rPr>
          <w:b/>
          <w:bCs/>
          <w:kern w:val="0"/>
        </w:rPr>
        <w:t>14</w:t>
      </w:r>
      <w:r>
        <w:rPr>
          <w:kern w:val="0"/>
        </w:rPr>
        <w:t xml:space="preserve"> (54), 1-</w:t>
      </w:r>
      <w:r w:rsidR="004A46B8">
        <w:rPr>
          <w:rFonts w:hint="eastAsia"/>
          <w:kern w:val="0"/>
        </w:rPr>
        <w:t>172</w:t>
      </w:r>
      <w:r>
        <w:rPr>
          <w:kern w:val="0"/>
        </w:rPr>
        <w:t>.</w:t>
      </w:r>
    </w:p>
    <w:p w:rsidR="00C369CF" w:rsidRDefault="00C369CF" w:rsidP="00C369CF">
      <w:pPr>
        <w:pStyle w:val="a0"/>
        <w:rPr>
          <w:kern w:val="0"/>
        </w:rPr>
      </w:pPr>
      <w:r>
        <w:rPr>
          <w:rFonts w:hint="eastAsia"/>
          <w:kern w:val="0"/>
        </w:rPr>
        <w:t xml:space="preserve">Full Text: </w:t>
      </w:r>
      <w:hyperlink r:id="rId606" w:history="1">
        <w:r w:rsidR="004A46B8" w:rsidRPr="004A46B8">
          <w:rPr>
            <w:rStyle w:val="a5"/>
            <w:kern w:val="0"/>
          </w:rPr>
          <w:t>2010\Hea Tec Ass14-54, 1.pdf</w:t>
        </w:r>
      </w:hyperlink>
    </w:p>
    <w:p w:rsidR="00C369CF" w:rsidRDefault="00C369CF" w:rsidP="00C369CF">
      <w:pPr>
        <w:pStyle w:val="a0"/>
        <w:rPr>
          <w:kern w:val="0"/>
        </w:rPr>
      </w:pPr>
      <w:r>
        <w:rPr>
          <w:kern w:val="0"/>
        </w:rPr>
        <w:t>Abstract: Background: Acute leukaemia is a group of rapidly progressing cancers of bone marrow</w:t>
      </w:r>
      <w:r w:rsidR="00F81221">
        <w:rPr>
          <w:kern w:val="0"/>
        </w:rPr>
        <w:t xml:space="preserve"> and </w:t>
      </w:r>
      <w:r>
        <w:rPr>
          <w:kern w:val="0"/>
        </w:rPr>
        <w:t>blood classified as either acute myeloid leukaemia (AML) or acute lymphoblastic leukaemia (ALL). Haemopoietic stem cell transplantation (SCT) has developed as an adjunct to or replacement for conventional chemotherapy with the aim of improving survival</w:t>
      </w:r>
      <w:r w:rsidR="00F81221">
        <w:rPr>
          <w:kern w:val="0"/>
        </w:rPr>
        <w:t xml:space="preserve"> and </w:t>
      </w:r>
      <w:r>
        <w:rPr>
          <w:kern w:val="0"/>
        </w:rPr>
        <w:t>quality of life. Objectives: A systematic overview of the best available evidence on the clinical effectiveness</w:t>
      </w:r>
      <w:r w:rsidR="00F81221">
        <w:rPr>
          <w:kern w:val="0"/>
        </w:rPr>
        <w:t xml:space="preserve"> and </w:t>
      </w:r>
      <w:r>
        <w:rPr>
          <w:kern w:val="0"/>
        </w:rPr>
        <w:t>cost-effectiveness of SCT in the treatment of acute leukaemia. Data sources: Clinical effectiveness: electronic databases, including MEDLINE, EMBASE</w:t>
      </w:r>
      <w:r w:rsidR="00F81221">
        <w:rPr>
          <w:kern w:val="0"/>
        </w:rPr>
        <w:t xml:space="preserve"> and </w:t>
      </w:r>
      <w:r>
        <w:rPr>
          <w:kern w:val="0"/>
        </w:rPr>
        <w:t>the Cochrane Library, were searched from inception to December 2008 to identify published systematic reviews</w:t>
      </w:r>
      <w:r w:rsidR="00F81221">
        <w:rPr>
          <w:kern w:val="0"/>
        </w:rPr>
        <w:t xml:space="preserve"> and </w:t>
      </w:r>
      <w:r>
        <w:rPr>
          <w:kern w:val="0"/>
        </w:rPr>
        <w:t>meta-analyses. Cochrane CENTRAL, MEDLINE, EMBASE</w:t>
      </w:r>
      <w:r w:rsidR="00F81221">
        <w:rPr>
          <w:kern w:val="0"/>
        </w:rPr>
        <w:t xml:space="preserve"> and </w:t>
      </w:r>
      <w:r>
        <w:rPr>
          <w:kern w:val="0"/>
        </w:rPr>
        <w:t>Science Citation Index (SCI) were searched from 1997 to March 2009 to identify primary studies. Cost-effectiveness: MEDLINE, EM BASE, Database of Abstracts of Reviews of Effects (DARE)</w:t>
      </w:r>
      <w:r w:rsidR="00F81221">
        <w:rPr>
          <w:kern w:val="0"/>
        </w:rPr>
        <w:t xml:space="preserve"> and </w:t>
      </w:r>
      <w:r>
        <w:rPr>
          <w:kern w:val="0"/>
        </w:rPr>
        <w:t>NHS Economic Evaluation Database (NHS EED) were searched from inception to January 2009. Study selection: Potentially relevant papers were retrieved</w:t>
      </w:r>
      <w:r w:rsidR="00F81221">
        <w:rPr>
          <w:kern w:val="0"/>
        </w:rPr>
        <w:t xml:space="preserve"> and </w:t>
      </w:r>
      <w:r>
        <w:rPr>
          <w:kern w:val="0"/>
        </w:rPr>
        <w:t>independently checked against predefined criteria by two reviewers (one in the case of the cost-effectiveness review). Study appraisal: Included reviews</w:t>
      </w:r>
      <w:r w:rsidR="00F81221">
        <w:rPr>
          <w:kern w:val="0"/>
        </w:rPr>
        <w:t xml:space="preserve"> and </w:t>
      </w:r>
      <w:r>
        <w:rPr>
          <w:kern w:val="0"/>
        </w:rPr>
        <w:t>meta-analyses were critically appraised</w:t>
      </w:r>
      <w:r w:rsidR="00F81221">
        <w:rPr>
          <w:kern w:val="0"/>
        </w:rPr>
        <w:t xml:space="preserve"> and </w:t>
      </w:r>
      <w:r>
        <w:rPr>
          <w:kern w:val="0"/>
        </w:rPr>
        <w:t>data extracted</w:t>
      </w:r>
      <w:r w:rsidR="00F81221">
        <w:rPr>
          <w:kern w:val="0"/>
        </w:rPr>
        <w:t xml:space="preserve"> and </w:t>
      </w:r>
      <w:r>
        <w:rPr>
          <w:kern w:val="0"/>
        </w:rPr>
        <w:t>narratively presented. Included randomised controlled trials (RCTs)</w:t>
      </w:r>
      <w:r w:rsidR="00F81221">
        <w:rPr>
          <w:kern w:val="0"/>
        </w:rPr>
        <w:t xml:space="preserve"> and </w:t>
      </w:r>
      <w:r>
        <w:rPr>
          <w:kern w:val="0"/>
        </w:rPr>
        <w:t>donor versus no donor (DvND) studies were mapped to the evidence covered in existing systematic reviews</w:t>
      </w:r>
      <w:r w:rsidR="00F81221">
        <w:rPr>
          <w:kern w:val="0"/>
        </w:rPr>
        <w:t xml:space="preserve"> and </w:t>
      </w:r>
      <w:r>
        <w:rPr>
          <w:kern w:val="0"/>
        </w:rPr>
        <w:t>meta-analyses according to a framework of 12 decision problems (DPs): DPI related to SCT in adults with AML in first complete remission (CR1); DP2 to adults with AML in second or subsequent remission or with refractory disease (CR2+); DP3 to children with AML in CRI; DP4 to children with AML in CR2+; DP5 to adults with ALL in CR1; DP6 to adults with ALL in CR2+; DP7 to children with ALL in CR1; DP8 to children with ALL in CR2+; DP9 to comparison of different sources of stem cells in transplantation; DP10 to different conditioning regimens; DP11 to the use of purging in autologous SCT;</w:t>
      </w:r>
      <w:r w:rsidR="00F81221">
        <w:rPr>
          <w:kern w:val="0"/>
        </w:rPr>
        <w:t xml:space="preserve"> and </w:t>
      </w:r>
      <w:r>
        <w:rPr>
          <w:kern w:val="0"/>
        </w:rPr>
        <w:t xml:space="preserve">DP12 to the use of T-cell depletion in allogeneic SCT. Results: Fifteen systematic reviews/meta-analyses met the inclusion criteria for the review of clinical </w:t>
      </w:r>
      <w:r>
        <w:rPr>
          <w:kern w:val="0"/>
        </w:rPr>
        <w:lastRenderedPageBreak/>
        <w:t>effectiveness, thirteen of which were published from 2004 onwards. Taking into account the timing of their publications, most reviews appeared to have omitted an appreciable proportion of potentially available evidence. The best available evidence for effectiveness of allogeneic SCT using stem cells from matched sibling donors came from DyND studies: there was sufficient evidence to support the use of allogeneic SCT in DPI (except in good-risk patients), DP3 (role of risk stratification unclear)</w:t>
      </w:r>
      <w:r w:rsidR="00F81221">
        <w:rPr>
          <w:kern w:val="0"/>
        </w:rPr>
        <w:t xml:space="preserve"> and </w:t>
      </w:r>
      <w:r>
        <w:rPr>
          <w:kern w:val="0"/>
        </w:rPr>
        <w:t>DP5 (role of risk stratification unclear). There was conflicting evidence in DP7</w:t>
      </w:r>
      <w:r w:rsidR="00F81221">
        <w:rPr>
          <w:kern w:val="0"/>
        </w:rPr>
        <w:t xml:space="preserve"> and </w:t>
      </w:r>
      <w:r>
        <w:rPr>
          <w:kern w:val="0"/>
        </w:rPr>
        <w:t>a paucity of evidence from DyND studies for all decision problems concerning patient groups in CR2+. The best available evidence for effectiveness of autologous SCT came from RCTs: overall, evidence suggested that autologous SCT was either similar to or less effective than chemotherapy. There was a paucity of evidence from published reviews of RCTs for DPs 9-12. Nineteen studies met the inclusion criteria in the cost-effectiveness review, most reporting only cost information</w:t>
      </w:r>
      <w:r w:rsidR="00F81221">
        <w:rPr>
          <w:kern w:val="0"/>
        </w:rPr>
        <w:t xml:space="preserve"> and </w:t>
      </w:r>
      <w:r>
        <w:rPr>
          <w:kern w:val="0"/>
        </w:rPr>
        <w:t>only one incorporating an economic model. Although there is a wealth of information on costs</w:t>
      </w:r>
      <w:r w:rsidR="00F81221">
        <w:rPr>
          <w:kern w:val="0"/>
        </w:rPr>
        <w:t xml:space="preserve"> and </w:t>
      </w:r>
      <w:r>
        <w:rPr>
          <w:kern w:val="0"/>
        </w:rPr>
        <w:t>some information on cost-effectiveness of allogeneic SCT in adults with AML (DPs 1</w:t>
      </w:r>
      <w:r w:rsidR="00F81221">
        <w:rPr>
          <w:kern w:val="0"/>
        </w:rPr>
        <w:t xml:space="preserve"> and </w:t>
      </w:r>
      <w:r>
        <w:rPr>
          <w:kern w:val="0"/>
        </w:rPr>
        <w:t>2), there is very limited evidence on relative costs</w:t>
      </w:r>
      <w:r w:rsidR="00F81221">
        <w:rPr>
          <w:kern w:val="0"/>
        </w:rPr>
        <w:t xml:space="preserve"> and </w:t>
      </w:r>
      <w:r>
        <w:rPr>
          <w:kern w:val="0"/>
        </w:rPr>
        <w:t>cost-effectiveness for other DPs. Limitations: Time</w:t>
      </w:r>
      <w:r w:rsidR="00F81221">
        <w:rPr>
          <w:kern w:val="0"/>
        </w:rPr>
        <w:t xml:space="preserve"> and </w:t>
      </w:r>
      <w:r>
        <w:rPr>
          <w:kern w:val="0"/>
        </w:rPr>
        <w:t>resources did not permit critical appraisal of the primary studies on which the reviews/meta-analyses reviewed were based; there were substantial differences in methodologies,</w:t>
      </w:r>
      <w:r w:rsidR="00F81221">
        <w:rPr>
          <w:kern w:val="0"/>
        </w:rPr>
        <w:t xml:space="preserve"> and </w:t>
      </w:r>
      <w:r>
        <w:rPr>
          <w:kern w:val="0"/>
        </w:rPr>
        <w:t>consequently quantitative synthesis of data was neither planned in the protocol nor carried out; some of the studies were quite old</w:t>
      </w:r>
      <w:r w:rsidR="00F81221">
        <w:rPr>
          <w:kern w:val="0"/>
        </w:rPr>
        <w:t xml:space="preserve"> and </w:t>
      </w:r>
      <w:r>
        <w:rPr>
          <w:kern w:val="0"/>
        </w:rPr>
        <w:t>might not reflect current practice;</w:t>
      </w:r>
      <w:r w:rsidR="00F81221">
        <w:rPr>
          <w:kern w:val="0"/>
        </w:rPr>
        <w:t xml:space="preserve"> and </w:t>
      </w:r>
      <w:r>
        <w:rPr>
          <w:kern w:val="0"/>
        </w:rPr>
        <w:t>a number of the studies might not be applicable to the UK. Conclusions: Bearing in mind the limitations, existing evidence suggests that sibling donor allogeneic SCT may be more effective than chemotherapy in adult AML (except in good-risk patients) in CR1, childhood AML in CR1</w:t>
      </w:r>
      <w:r w:rsidR="00F81221">
        <w:rPr>
          <w:kern w:val="0"/>
        </w:rPr>
        <w:t xml:space="preserve"> and </w:t>
      </w:r>
      <w:r>
        <w:rPr>
          <w:kern w:val="0"/>
        </w:rPr>
        <w:t>adult ALL in CR1,</w:t>
      </w:r>
      <w:r w:rsidR="00F81221">
        <w:rPr>
          <w:kern w:val="0"/>
        </w:rPr>
        <w:t xml:space="preserve"> and </w:t>
      </w:r>
      <w:r>
        <w:rPr>
          <w:kern w:val="0"/>
        </w:rPr>
        <w:t>that autologous SCT is equal to or less effective than chemotherapy. No firm conclusions could be drawn regarding the cost-effectiveness of SCT in the UK NHS owing to the limitations given above. Future research should include the impact of the treatments on patients</w:t>
      </w:r>
      <w:r w:rsidR="000352E7">
        <w:rPr>
          <w:kern w:val="0"/>
        </w:rPr>
        <w:t>’</w:t>
      </w:r>
      <w:r>
        <w:rPr>
          <w:kern w:val="0"/>
        </w:rPr>
        <w:t xml:space="preserve"> quality of life as well as information on health service use</w:t>
      </w:r>
      <w:r w:rsidR="00F81221">
        <w:rPr>
          <w:kern w:val="0"/>
        </w:rPr>
        <w:t xml:space="preserve"> and </w:t>
      </w:r>
      <w:r>
        <w:rPr>
          <w:kern w:val="0"/>
        </w:rPr>
        <w:t>costs associated with SCT from the perspective of the UK NHS.</w:t>
      </w:r>
    </w:p>
    <w:p w:rsidR="00C369CF" w:rsidRDefault="00C369CF" w:rsidP="00C369CF">
      <w:pPr>
        <w:pStyle w:val="a0"/>
        <w:rPr>
          <w:kern w:val="0"/>
        </w:rPr>
      </w:pPr>
      <w:r>
        <w:rPr>
          <w:kern w:val="0"/>
        </w:rPr>
        <w:t xml:space="preserve">Keywords: 1st Complete Remission, Acute Lymphoblastic-Leukemia, Acute Myeloblastic-Leukemia, Acute Myelogenous Leukemia, Acute Myeloid-Leukemia, Acute Nonlymphocytic Leukemia, Adult, Allogeneic, Base, Blood, Bone, Bone Marrow, Bone-Marrow-Transplantation, Cell Transplantation, Chemotherapy, Childhood, Children, Childrens Cancer Group, Citation, Clinical, Comparison, Conditioning, Conventional, Cost, Cost Effectiveness, Cost-Effectiveness, Costs, Criteria, Data, Databases, Decision, Disease, Economic, Economic Model, Effectiveness, Evaluation, Evidence, First, Framework, Health, High-Dose Cytarabine, Impact, Information, Leukaemia, Life, Management, Medline, </w:t>
      </w:r>
      <w:r>
        <w:rPr>
          <w:kern w:val="0"/>
        </w:rPr>
        <w:lastRenderedPageBreak/>
        <w:t>Methodologies, Model, Papers, Patients, Practice, Primary, Publications, Quality, Quality of, Quality of Life, Randomised, Randomised Controlled Trials, Reporting, Research, Resources, Review, Reviews, Risk, Role, SCI, Science, Science Citation Index, Service, Sources, Stem Cell, Stem Cell Transplantation, Stem Cells, Stratification, Support, Survival, Synthesis, Systematic Review, Systematic Reviews, Timing, Total-Body Irradiation, Transplantation, Treatment, UK, Wealth</w:t>
      </w:r>
    </w:p>
    <w:p w:rsidR="00B223B9" w:rsidRDefault="00B223B9" w:rsidP="00B223B9">
      <w:pPr>
        <w:pStyle w:val="a0"/>
        <w:rPr>
          <w:kern w:val="0"/>
        </w:rPr>
      </w:pPr>
      <w:r>
        <w:rPr>
          <w:rFonts w:hint="eastAsia"/>
          <w:kern w:val="0"/>
        </w:rPr>
        <w:t xml:space="preserve">? </w:t>
      </w:r>
      <w:r>
        <w:rPr>
          <w:kern w:val="0"/>
        </w:rPr>
        <w:t>Thomas, R.E., Jefferson, T.</w:t>
      </w:r>
      <w:r w:rsidR="00F81221">
        <w:rPr>
          <w:kern w:val="0"/>
        </w:rPr>
        <w:t xml:space="preserve"> and </w:t>
      </w:r>
      <w:r>
        <w:rPr>
          <w:kern w:val="0"/>
        </w:rPr>
        <w:t xml:space="preserve">Lasserson, T.J. (2010), Influenza vaccination for healthcare workers who work with the elderly: A </w:t>
      </w:r>
      <w:r w:rsidR="00D26A29">
        <w:rPr>
          <w:kern w:val="0"/>
        </w:rPr>
        <w:t xml:space="preserve">cochrane </w:t>
      </w:r>
      <w:r>
        <w:rPr>
          <w:kern w:val="0"/>
        </w:rPr>
        <w:t xml:space="preserve">review. </w:t>
      </w:r>
      <w:r>
        <w:rPr>
          <w:i/>
          <w:iCs/>
          <w:kern w:val="0"/>
        </w:rPr>
        <w:t>Health Technology Assessment</w:t>
      </w:r>
      <w:r>
        <w:rPr>
          <w:kern w:val="0"/>
        </w:rPr>
        <w:t xml:space="preserve">, </w:t>
      </w:r>
      <w:r>
        <w:rPr>
          <w:b/>
          <w:bCs/>
          <w:kern w:val="0"/>
        </w:rPr>
        <w:t>14</w:t>
      </w:r>
      <w:r>
        <w:rPr>
          <w:kern w:val="0"/>
        </w:rPr>
        <w:t xml:space="preserve"> (55), 493-</w:t>
      </w:r>
      <w:r w:rsidR="004A46B8">
        <w:rPr>
          <w:rFonts w:hint="eastAsia"/>
          <w:kern w:val="0"/>
        </w:rPr>
        <w:t>588</w:t>
      </w:r>
      <w:r>
        <w:rPr>
          <w:kern w:val="0"/>
        </w:rPr>
        <w:t>.</w:t>
      </w:r>
    </w:p>
    <w:p w:rsidR="00B223B9" w:rsidRDefault="00B223B9" w:rsidP="00B223B9">
      <w:pPr>
        <w:pStyle w:val="a0"/>
        <w:rPr>
          <w:kern w:val="0"/>
        </w:rPr>
      </w:pPr>
      <w:r>
        <w:rPr>
          <w:rFonts w:hint="eastAsia"/>
          <w:kern w:val="0"/>
        </w:rPr>
        <w:t xml:space="preserve">Full Text: </w:t>
      </w:r>
      <w:hyperlink r:id="rId607" w:history="1">
        <w:r w:rsidR="004A46B8" w:rsidRPr="004A46B8">
          <w:rPr>
            <w:rStyle w:val="a5"/>
            <w:kern w:val="0"/>
          </w:rPr>
          <w:t>2010\Hea Tec Ass14-55, 493.pdf</w:t>
        </w:r>
      </w:hyperlink>
    </w:p>
    <w:p w:rsidR="00B223B9" w:rsidRDefault="00B223B9" w:rsidP="00B223B9">
      <w:pPr>
        <w:pStyle w:val="a0"/>
        <w:rPr>
          <w:kern w:val="0"/>
        </w:rPr>
      </w:pPr>
      <w:r>
        <w:rPr>
          <w:kern w:val="0"/>
        </w:rPr>
        <w:t>Abstract: Background: Healthcare workers</w:t>
      </w:r>
      <w:r w:rsidR="000352E7">
        <w:rPr>
          <w:kern w:val="0"/>
        </w:rPr>
        <w:t>’</w:t>
      </w:r>
      <w:r>
        <w:rPr>
          <w:kern w:val="0"/>
        </w:rPr>
        <w:t xml:space="preserve"> (HCWs) influenza rates are unknown, but may be similar to the general public</w:t>
      </w:r>
      <w:r w:rsidR="00F81221">
        <w:rPr>
          <w:kern w:val="0"/>
        </w:rPr>
        <w:t xml:space="preserve"> and </w:t>
      </w:r>
      <w:r>
        <w:rPr>
          <w:kern w:val="0"/>
        </w:rPr>
        <w:t>they may transmit influenza to patients. Objectives: To identify studies of vaccinating HCWs</w:t>
      </w:r>
      <w:r w:rsidR="00F81221">
        <w:rPr>
          <w:kern w:val="0"/>
        </w:rPr>
        <w:t xml:space="preserve"> and </w:t>
      </w:r>
      <w:r>
        <w:rPr>
          <w:kern w:val="0"/>
        </w:rPr>
        <w:t>the incidence of influenza, its complications</w:t>
      </w:r>
      <w:r w:rsidR="00F81221">
        <w:rPr>
          <w:kern w:val="0"/>
        </w:rPr>
        <w:t xml:space="preserve"> and </w:t>
      </w:r>
      <w:r>
        <w:rPr>
          <w:kern w:val="0"/>
        </w:rPr>
        <w:t>influenza-like illness (ILI) in individuals &gt;= 60 in long-term care facilities (LTCFs). Search strategy: We searched CENTRAL (The Cochrane Library 2009, issue 3), which contains the Cochrane Acute Respiratory Infections Group</w:t>
      </w:r>
      <w:r w:rsidR="000352E7">
        <w:rPr>
          <w:kern w:val="0"/>
        </w:rPr>
        <w:t>’</w:t>
      </w:r>
      <w:r>
        <w:rPr>
          <w:kern w:val="0"/>
        </w:rPr>
        <w:t>s Specialised Register, MEDLINE (1966 to 2009), EM BASE (1974 to 2009)</w:t>
      </w:r>
      <w:r w:rsidR="00F81221">
        <w:rPr>
          <w:kern w:val="0"/>
        </w:rPr>
        <w:t xml:space="preserve"> and </w:t>
      </w:r>
      <w:r>
        <w:rPr>
          <w:kern w:val="0"/>
        </w:rPr>
        <w:t>Biological Abstracts</w:t>
      </w:r>
      <w:r w:rsidR="00F81221">
        <w:rPr>
          <w:kern w:val="0"/>
        </w:rPr>
        <w:t xml:space="preserve"> and </w:t>
      </w:r>
      <w:r>
        <w:rPr>
          <w:kern w:val="0"/>
        </w:rPr>
        <w:t>Science Citation Index-Expanded. Selection criteria: Randomised controlled trials (RCTs)</w:t>
      </w:r>
      <w:r w:rsidR="00F81221">
        <w:rPr>
          <w:kern w:val="0"/>
        </w:rPr>
        <w:t xml:space="preserve"> and </w:t>
      </w:r>
      <w:r>
        <w:rPr>
          <w:kern w:val="0"/>
        </w:rPr>
        <w:t>non-RCTs of influenza vaccination of HCWs caring for individuals &gt;= 60 in LTCFs</w:t>
      </w:r>
      <w:r w:rsidR="00F81221">
        <w:rPr>
          <w:kern w:val="0"/>
        </w:rPr>
        <w:t xml:space="preserve"> and </w:t>
      </w:r>
      <w:r>
        <w:rPr>
          <w:kern w:val="0"/>
        </w:rPr>
        <w:t>the incidence of laboratory-proven influenza, its complications or ILI. Data collection</w:t>
      </w:r>
      <w:r w:rsidR="00F81221">
        <w:rPr>
          <w:kern w:val="0"/>
        </w:rPr>
        <w:t xml:space="preserve"> and </w:t>
      </w:r>
      <w:r>
        <w:rPr>
          <w:kern w:val="0"/>
        </w:rPr>
        <w:t>analysis: Two authors independently extracted data</w:t>
      </w:r>
      <w:r w:rsidR="00F81221">
        <w:rPr>
          <w:kern w:val="0"/>
        </w:rPr>
        <w:t xml:space="preserve"> and </w:t>
      </w:r>
      <w:r>
        <w:rPr>
          <w:kern w:val="0"/>
        </w:rPr>
        <w:t>assessed risk of bias. Main results: We identified four cluster-RCTs (C-RCTs) (n = 7558)</w:t>
      </w:r>
      <w:r w:rsidR="00F81221">
        <w:rPr>
          <w:kern w:val="0"/>
        </w:rPr>
        <w:t xml:space="preserve"> and </w:t>
      </w:r>
      <w:r>
        <w:rPr>
          <w:kern w:val="0"/>
        </w:rPr>
        <w:t>one cohort (n = 12742) of influenza vaccination for HCWs caring for individuals &gt;= 60 in LTCFs. Pooled data from three C-RCTs showed no effect on specific outcomes: laboratory-proven influenza, pneumonia or deaths from pneumonia. For non-specific outcomes pooled data from three C-RCTs showed HCW vaccination reduced ILI; data from one C-RCT that HCW vaccination reduced GP consultations for ILI;</w:t>
      </w:r>
      <w:r w:rsidR="00F81221">
        <w:rPr>
          <w:kern w:val="0"/>
        </w:rPr>
        <w:t xml:space="preserve"> and </w:t>
      </w:r>
      <w:r>
        <w:rPr>
          <w:kern w:val="0"/>
        </w:rPr>
        <w:t>pooled data from three C-RCTs showed reduced all-cause mortality in individuals &gt;= 60. Authors</w:t>
      </w:r>
      <w:r w:rsidR="000352E7">
        <w:rPr>
          <w:kern w:val="0"/>
        </w:rPr>
        <w:t>’</w:t>
      </w:r>
      <w:r>
        <w:rPr>
          <w:kern w:val="0"/>
        </w:rPr>
        <w:t xml:space="preserve"> conclusions: No effect was shown for specific outcomes: laboratory-proven influenza, pneumonia</w:t>
      </w:r>
      <w:r w:rsidR="00F81221">
        <w:rPr>
          <w:kern w:val="0"/>
        </w:rPr>
        <w:t xml:space="preserve"> and </w:t>
      </w:r>
      <w:r>
        <w:rPr>
          <w:kern w:val="0"/>
        </w:rPr>
        <w:t>death from pneumonia. An effect was shown for the non-specific outcomes of ILI, GP consultations for ILI</w:t>
      </w:r>
      <w:r w:rsidR="00F81221">
        <w:rPr>
          <w:kern w:val="0"/>
        </w:rPr>
        <w:t xml:space="preserve"> and </w:t>
      </w:r>
      <w:r>
        <w:rPr>
          <w:kern w:val="0"/>
        </w:rPr>
        <w:t>all-cause mortality in individuals &gt;= 60. These non-specific outcomes are difficult to interpret because ILI includes many pathogens,</w:t>
      </w:r>
      <w:r w:rsidR="00F81221">
        <w:rPr>
          <w:kern w:val="0"/>
        </w:rPr>
        <w:t xml:space="preserve"> and </w:t>
      </w:r>
      <w:r>
        <w:rPr>
          <w:kern w:val="0"/>
        </w:rPr>
        <w:t>winter influenza contributes &lt; 10% to all-cause mortality in individuals &gt;= 60. The key interest is preventing laboratory-proven influenza in individuals &gt;= 60, pneumonia</w:t>
      </w:r>
      <w:r w:rsidR="00F81221">
        <w:rPr>
          <w:kern w:val="0"/>
        </w:rPr>
        <w:t xml:space="preserve"> and </w:t>
      </w:r>
      <w:r>
        <w:rPr>
          <w:kern w:val="0"/>
        </w:rPr>
        <w:t>deaths from pneumonia,</w:t>
      </w:r>
      <w:r w:rsidR="00F81221">
        <w:rPr>
          <w:kern w:val="0"/>
        </w:rPr>
        <w:t xml:space="preserve"> and </w:t>
      </w:r>
      <w:r>
        <w:rPr>
          <w:kern w:val="0"/>
        </w:rPr>
        <w:t>we cannot draw such conclusions. The identified studies are at high risk of bias. Some HCWs remain unvaccinated because they do not perceive risk, doubt vaccine efficacy</w:t>
      </w:r>
      <w:r w:rsidR="00F81221">
        <w:rPr>
          <w:kern w:val="0"/>
        </w:rPr>
        <w:t xml:space="preserve"> and </w:t>
      </w:r>
      <w:r>
        <w:rPr>
          <w:kern w:val="0"/>
        </w:rPr>
        <w:t xml:space="preserve">are concerned about side effects. This review did not find information on </w:t>
      </w:r>
      <w:r>
        <w:rPr>
          <w:kern w:val="0"/>
        </w:rPr>
        <w:lastRenderedPageBreak/>
        <w:t>co-interventions with HCW vaccination: hand washing, face masks, early detection of laboratory-proven influenza, quarantine, avoiding admissions, anti-virals,</w:t>
      </w:r>
      <w:r w:rsidR="00F81221">
        <w:rPr>
          <w:kern w:val="0"/>
        </w:rPr>
        <w:t xml:space="preserve"> and </w:t>
      </w:r>
      <w:r>
        <w:rPr>
          <w:kern w:val="0"/>
        </w:rPr>
        <w:t>asking HCWs with ILI not to work. We conclude there is no evidence that vaccinating HCWs prevents influenza in elderly residents in LTCFs. High quality RCTs are required to avoid risks of bias in methodology</w:t>
      </w:r>
      <w:r w:rsidR="00F81221">
        <w:rPr>
          <w:kern w:val="0"/>
        </w:rPr>
        <w:t xml:space="preserve"> and </w:t>
      </w:r>
      <w:r>
        <w:rPr>
          <w:kern w:val="0"/>
        </w:rPr>
        <w:t>conduct,</w:t>
      </w:r>
      <w:r w:rsidR="00F81221">
        <w:rPr>
          <w:kern w:val="0"/>
        </w:rPr>
        <w:t xml:space="preserve"> and </w:t>
      </w:r>
      <w:r>
        <w:rPr>
          <w:kern w:val="0"/>
        </w:rPr>
        <w:t>to test these interventions in combination.</w:t>
      </w:r>
    </w:p>
    <w:p w:rsidR="00B223B9" w:rsidRDefault="00B223B9" w:rsidP="00B223B9">
      <w:pPr>
        <w:pStyle w:val="a0"/>
        <w:rPr>
          <w:kern w:val="0"/>
        </w:rPr>
      </w:pPr>
      <w:r>
        <w:rPr>
          <w:kern w:val="0"/>
        </w:rPr>
        <w:t>Keywords: A H3n2, Analysis, Authors, Base, Bias, Care, Caring, Citation, Cohort, Collection, Complications, Criteria, Data, Death, Effects, Efficacy, Elderly, Evidence, Facilities, General, Incidence, Infections, Influenza, Information, Interventions, Long Term, Long-Term, Long-Term-Care, Medline, Methodology, Mortality, Nursing-Home Residents, Outcomes, Pathogens, Patients, People, Personnel, Pneumonia, Prevention, Public, Quality, Quarantine, Randomized Controlled-Trial, Rates, Review, Risk, Risks, Science, Science Citation Index Expanded, Search, SI, Side Effects, Strategy, The Elderly, Unvaccinated, Vaccination, Vaccine, Work</w:t>
      </w:r>
    </w:p>
    <w:p w:rsidR="00B223B9" w:rsidRDefault="00B223B9" w:rsidP="00B223B9">
      <w:pPr>
        <w:pStyle w:val="a0"/>
        <w:rPr>
          <w:kern w:val="0"/>
        </w:rPr>
      </w:pPr>
      <w:r>
        <w:rPr>
          <w:rFonts w:hint="eastAsia"/>
          <w:kern w:val="0"/>
        </w:rPr>
        <w:t xml:space="preserve">? </w:t>
      </w:r>
      <w:r>
        <w:rPr>
          <w:kern w:val="0"/>
        </w:rPr>
        <w:t>Rodgers, M., Epstein, D., Bojke, L., Yang, H., Craig, D., Fonseca, T., Myers, L., Bruce, I., Chalmers, R., Bujkiewicz, S., Lai, M., Cooper, N., Abrams, K., Spiegelhalter, D., Sutton, A., Sculpher, M.</w:t>
      </w:r>
      <w:r w:rsidR="00F81221">
        <w:rPr>
          <w:kern w:val="0"/>
        </w:rPr>
        <w:t xml:space="preserve"> and </w:t>
      </w:r>
      <w:r>
        <w:rPr>
          <w:kern w:val="0"/>
        </w:rPr>
        <w:t>Woolacott, N. (2011), Etanercept, infliximab</w:t>
      </w:r>
      <w:r w:rsidR="00F81221">
        <w:rPr>
          <w:kern w:val="0"/>
        </w:rPr>
        <w:t xml:space="preserve"> and </w:t>
      </w:r>
      <w:r>
        <w:rPr>
          <w:kern w:val="0"/>
        </w:rPr>
        <w:t xml:space="preserve">adalimumab for the treatment of psoriatic arthritis: </w:t>
      </w:r>
      <w:r w:rsidR="00D26A29">
        <w:rPr>
          <w:kern w:val="0"/>
        </w:rPr>
        <w:t xml:space="preserve">A </w:t>
      </w:r>
      <w:r>
        <w:rPr>
          <w:kern w:val="0"/>
        </w:rPr>
        <w:t>systematic review</w:t>
      </w:r>
      <w:r w:rsidR="00F81221">
        <w:rPr>
          <w:kern w:val="0"/>
        </w:rPr>
        <w:t xml:space="preserve"> and </w:t>
      </w:r>
      <w:r>
        <w:rPr>
          <w:kern w:val="0"/>
        </w:rPr>
        <w:t xml:space="preserve">economic evaluation. </w:t>
      </w:r>
      <w:r>
        <w:rPr>
          <w:i/>
          <w:iCs/>
          <w:kern w:val="0"/>
        </w:rPr>
        <w:t>Health Technology Assessment</w:t>
      </w:r>
      <w:r>
        <w:rPr>
          <w:kern w:val="0"/>
        </w:rPr>
        <w:t xml:space="preserve">, </w:t>
      </w:r>
      <w:r>
        <w:rPr>
          <w:b/>
          <w:bCs/>
          <w:kern w:val="0"/>
        </w:rPr>
        <w:t>15</w:t>
      </w:r>
      <w:r>
        <w:rPr>
          <w:kern w:val="0"/>
        </w:rPr>
        <w:t xml:space="preserve"> (10), 1-</w:t>
      </w:r>
      <w:r w:rsidR="00D26A29">
        <w:rPr>
          <w:rFonts w:hint="eastAsia"/>
          <w:kern w:val="0"/>
        </w:rPr>
        <w:t>134</w:t>
      </w:r>
      <w:r>
        <w:rPr>
          <w:kern w:val="0"/>
        </w:rPr>
        <w:t>.</w:t>
      </w:r>
    </w:p>
    <w:p w:rsidR="00B223B9" w:rsidRDefault="00B223B9" w:rsidP="00B223B9">
      <w:pPr>
        <w:pStyle w:val="a0"/>
        <w:rPr>
          <w:kern w:val="0"/>
        </w:rPr>
      </w:pPr>
      <w:r>
        <w:rPr>
          <w:rFonts w:hint="eastAsia"/>
          <w:kern w:val="0"/>
        </w:rPr>
        <w:t xml:space="preserve">Full Text: </w:t>
      </w:r>
      <w:hyperlink r:id="rId608" w:history="1">
        <w:r w:rsidR="00D26A29" w:rsidRPr="00D26A29">
          <w:rPr>
            <w:rStyle w:val="a5"/>
            <w:kern w:val="0"/>
          </w:rPr>
          <w:t>2011\Hea Tec Ass15-10, 1.pdf</w:t>
        </w:r>
      </w:hyperlink>
    </w:p>
    <w:p w:rsidR="00B223B9" w:rsidRDefault="00B223B9" w:rsidP="00B223B9">
      <w:pPr>
        <w:pStyle w:val="a0"/>
        <w:rPr>
          <w:kern w:val="0"/>
        </w:rPr>
      </w:pPr>
      <w:r>
        <w:rPr>
          <w:kern w:val="0"/>
        </w:rPr>
        <w:t>Abstract: Background: Etanercept, infliximab</w:t>
      </w:r>
      <w:r w:rsidR="00F81221">
        <w:rPr>
          <w:kern w:val="0"/>
        </w:rPr>
        <w:t xml:space="preserve"> and </w:t>
      </w:r>
      <w:r>
        <w:rPr>
          <w:kern w:val="0"/>
        </w:rPr>
        <w:t>adalimumab are licensed in the UK for the treatment of active</w:t>
      </w:r>
      <w:r w:rsidR="00F81221">
        <w:rPr>
          <w:kern w:val="0"/>
        </w:rPr>
        <w:t xml:space="preserve"> and </w:t>
      </w:r>
      <w:r>
        <w:rPr>
          <w:kern w:val="0"/>
        </w:rPr>
        <w:t>progressive psoriatic arthritis (PsA) in adults who have an inadequate response to standard treatment. Objective: To determine the clinical effectiveness, safety</w:t>
      </w:r>
      <w:r w:rsidR="00F81221">
        <w:rPr>
          <w:kern w:val="0"/>
        </w:rPr>
        <w:t xml:space="preserve"> and </w:t>
      </w:r>
      <w:r>
        <w:rPr>
          <w:kern w:val="0"/>
        </w:rPr>
        <w:t>cost-effectiveness of these biologic agents in the treatment of active</w:t>
      </w:r>
      <w:r w:rsidR="00F81221">
        <w:rPr>
          <w:kern w:val="0"/>
        </w:rPr>
        <w:t xml:space="preserve"> and </w:t>
      </w:r>
      <w:r>
        <w:rPr>
          <w:kern w:val="0"/>
        </w:rPr>
        <w:t>progressive PsA. Data sources: Systematic reviews were performed, with data sought from 10 electronic databases (MEDLINE, EMBASE, Cochrane Central Register of Controlled Trials, Science Citation Index, Conference Proceedings Citation Index Science, ClinicalTrials.gov, metaRegister of Current Controlled Trials, NHS Economic Evaluation Database, Health Economic Evaluations Database</w:t>
      </w:r>
      <w:r w:rsidR="00F81221">
        <w:rPr>
          <w:kern w:val="0"/>
        </w:rPr>
        <w:t xml:space="preserve"> and </w:t>
      </w:r>
      <w:r>
        <w:rPr>
          <w:kern w:val="0"/>
        </w:rPr>
        <w:t>EconLit) up to June 2009. Review methods: Full paper manuscripts of titles/abstracts considered relevant were obtained</w:t>
      </w:r>
      <w:r w:rsidR="00F81221">
        <w:rPr>
          <w:kern w:val="0"/>
        </w:rPr>
        <w:t xml:space="preserve"> and </w:t>
      </w:r>
      <w:r>
        <w:rPr>
          <w:kern w:val="0"/>
        </w:rPr>
        <w:t>assessed for inclusion by two reviewers according to criteria on study design, interventions, participants</w:t>
      </w:r>
      <w:r w:rsidR="00F81221">
        <w:rPr>
          <w:kern w:val="0"/>
        </w:rPr>
        <w:t xml:space="preserve"> and </w:t>
      </w:r>
      <w:r>
        <w:rPr>
          <w:kern w:val="0"/>
        </w:rPr>
        <w:t>outcomes. Data on study</w:t>
      </w:r>
      <w:r w:rsidR="00F81221">
        <w:rPr>
          <w:kern w:val="0"/>
        </w:rPr>
        <w:t xml:space="preserve"> and </w:t>
      </w:r>
      <w:r>
        <w:rPr>
          <w:kern w:val="0"/>
        </w:rPr>
        <w:t>participant characteristics, efficacy outcomes, adverse effects, costs to the health service</w:t>
      </w:r>
      <w:r w:rsidR="00F81221">
        <w:rPr>
          <w:kern w:val="0"/>
        </w:rPr>
        <w:t xml:space="preserve"> and </w:t>
      </w:r>
      <w:r>
        <w:rPr>
          <w:kern w:val="0"/>
        </w:rPr>
        <w:t>cost-effectiveness were extracted, along with baseline data where reported. The primary efficacy outcomes were measures of anti-inflammatory response, skin lesion response</w:t>
      </w:r>
      <w:r w:rsidR="00F81221">
        <w:rPr>
          <w:kern w:val="0"/>
        </w:rPr>
        <w:t xml:space="preserve"> and </w:t>
      </w:r>
      <w:r>
        <w:rPr>
          <w:kern w:val="0"/>
        </w:rPr>
        <w:t>functional status,</w:t>
      </w:r>
      <w:r w:rsidR="00F81221">
        <w:rPr>
          <w:kern w:val="0"/>
        </w:rPr>
        <w:t xml:space="preserve"> and </w:t>
      </w:r>
      <w:r>
        <w:rPr>
          <w:kern w:val="0"/>
        </w:rPr>
        <w:t xml:space="preserve">the safety outcome was the incidence of serious adverse events. The primary measure of cost-effectiveness was incremental cost per additional quality-adjusted life-year (QALY). Standard meta-analytic techniques were applied </w:t>
      </w:r>
      <w:r>
        <w:rPr>
          <w:kern w:val="0"/>
        </w:rPr>
        <w:lastRenderedPageBreak/>
        <w:t>to efficacy data. Published cost-effectiveness studies</w:t>
      </w:r>
      <w:r w:rsidR="00F81221">
        <w:rPr>
          <w:kern w:val="0"/>
        </w:rPr>
        <w:t xml:space="preserve"> and </w:t>
      </w:r>
      <w:r>
        <w:rPr>
          <w:kern w:val="0"/>
        </w:rPr>
        <w:t>the economic analyses submitted to the. National Institute for Health</w:t>
      </w:r>
      <w:r w:rsidR="00F81221">
        <w:rPr>
          <w:kern w:val="0"/>
        </w:rPr>
        <w:t xml:space="preserve"> and </w:t>
      </w:r>
      <w:r>
        <w:rPr>
          <w:kern w:val="0"/>
        </w:rPr>
        <w:t>Clinical Excellence (NICE) by the biologic manufacturers were reviewed. An economic model was developed by updating the model produced by the York Assessment Group for the previous NICE appraisal of biologics in PsA. Results: Pooled estimates of effect demonstrated a significant improvement in patients with PsA for all joint disease</w:t>
      </w:r>
      <w:r w:rsidR="00F81221">
        <w:rPr>
          <w:kern w:val="0"/>
        </w:rPr>
        <w:t xml:space="preserve"> and </w:t>
      </w:r>
      <w:r>
        <w:rPr>
          <w:kern w:val="0"/>
        </w:rPr>
        <w:t>functional status outcomes at 12-14 weeks</w:t>
      </w:r>
      <w:r w:rsidR="000352E7">
        <w:rPr>
          <w:kern w:val="0"/>
        </w:rPr>
        <w:t>’</w:t>
      </w:r>
      <w:r>
        <w:rPr>
          <w:kern w:val="0"/>
        </w:rPr>
        <w:t xml:space="preserve"> follow-up. The biologic treatment significantly reduced joint symptoms for etanercept [relative risk (RR) 2.60, 95% confidence interval (CI) 1.96 to 3.45], infliximab (RR 3.44, 95% CI 2.53 to 4.69)</w:t>
      </w:r>
      <w:r w:rsidR="00F81221">
        <w:rPr>
          <w:kern w:val="0"/>
        </w:rPr>
        <w:t xml:space="preserve"> and </w:t>
      </w:r>
      <w:r>
        <w:rPr>
          <w:kern w:val="0"/>
        </w:rPr>
        <w:t>adalimumab (RR 2.24, 95% CI 1.74 to 2.88), with 24-week data demonstrating maintained treatment effects. Trial data demonstrated a significant effect of all three biologics on skin disease at 12 or 24 weeks. Evidence synthesis found that infliximab appeared to be most effective across all outcomes of joint</w:t>
      </w:r>
      <w:r w:rsidR="00F81221">
        <w:rPr>
          <w:kern w:val="0"/>
        </w:rPr>
        <w:t xml:space="preserve"> and </w:t>
      </w:r>
      <w:r>
        <w:rPr>
          <w:kern w:val="0"/>
        </w:rPr>
        <w:t>skin disease. The response in joint disease was greater with etanercept than with adalimumab, whereas the response in skin disease was greater with adalimumab than with etanercept, although these differences are not statistically significant. Under base-case assumptions, etanercept was the most likely cost-effective strategy for patients with PsA</w:t>
      </w:r>
      <w:r w:rsidR="00F81221">
        <w:rPr>
          <w:kern w:val="0"/>
        </w:rPr>
        <w:t xml:space="preserve"> and </w:t>
      </w:r>
      <w:r>
        <w:rPr>
          <w:kern w:val="0"/>
        </w:rPr>
        <w:t>mild-to-moderate psoriasis if the threshold for cost-effectiveness was 20,000 pound or 30,000 pound per QALY. All biologics had a similar probability of being cost-effective for patients with PsA</w:t>
      </w:r>
      <w:r w:rsidR="00F81221">
        <w:rPr>
          <w:kern w:val="0"/>
        </w:rPr>
        <w:t xml:space="preserve"> and </w:t>
      </w:r>
      <w:r>
        <w:rPr>
          <w:kern w:val="0"/>
        </w:rPr>
        <w:t>moderate-to-severe psoriasis at a threshold of 20,000 pound per QALY. Limitations: Limited available efficacy data</w:t>
      </w:r>
      <w:r w:rsidR="00F81221">
        <w:rPr>
          <w:kern w:val="0"/>
        </w:rPr>
        <w:t xml:space="preserve"> and </w:t>
      </w:r>
      <w:r>
        <w:rPr>
          <w:kern w:val="0"/>
        </w:rPr>
        <w:t>difficulty in assessing PsA activity</w:t>
      </w:r>
      <w:r w:rsidR="00F81221">
        <w:rPr>
          <w:kern w:val="0"/>
        </w:rPr>
        <w:t xml:space="preserve"> and </w:t>
      </w:r>
      <w:r>
        <w:rPr>
          <w:kern w:val="0"/>
        </w:rPr>
        <w:t>its response to biologic therapy. Conclusions: The data indicated that etanercept, infliximab</w:t>
      </w:r>
      <w:r w:rsidR="00F81221">
        <w:rPr>
          <w:kern w:val="0"/>
        </w:rPr>
        <w:t xml:space="preserve"> and </w:t>
      </w:r>
      <w:r>
        <w:rPr>
          <w:kern w:val="0"/>
        </w:rPr>
        <w:t>adalimumab were efficacious in the treatment of PsA compared with placebo, with beneficial effects on joint symptoms, functional status</w:t>
      </w:r>
      <w:r w:rsidR="00F81221">
        <w:rPr>
          <w:kern w:val="0"/>
        </w:rPr>
        <w:t xml:space="preserve"> and </w:t>
      </w:r>
      <w:r>
        <w:rPr>
          <w:kern w:val="0"/>
        </w:rPr>
        <w:t>skin. Short-term data suggested that these biologic agents can delay joint disease progression</w:t>
      </w:r>
      <w:r w:rsidR="00F81221">
        <w:rPr>
          <w:kern w:val="0"/>
        </w:rPr>
        <w:t xml:space="preserve"> and </w:t>
      </w:r>
      <w:r>
        <w:rPr>
          <w:kern w:val="0"/>
        </w:rPr>
        <w:t>evidence to support their use in the treatment of PsA is convincing. Future research would benefit from long-term observational studies with large sample sizes of patients with PsA to demonstrate that beneficial effects are maintained, along with further monitoring of the safety profiles of the biologic agents.</w:t>
      </w:r>
    </w:p>
    <w:p w:rsidR="00B223B9" w:rsidRDefault="00B223B9" w:rsidP="00B223B9">
      <w:pPr>
        <w:pStyle w:val="a0"/>
        <w:rPr>
          <w:kern w:val="0"/>
        </w:rPr>
      </w:pPr>
      <w:r>
        <w:rPr>
          <w:kern w:val="0"/>
        </w:rPr>
        <w:t xml:space="preserve">Keywords: Active Rheumatoid-Arthritis, Adverse Effects, Analyses, Arthritis, Assessing, Assumptions, Baseline Data, Biologics, Characteristics, Citation, Clinical, Conference, Confidence, Controlled-Trial Impact, Cost, Cost Effectiveness, Cost-Effective, Cost-Effectiveness, Costs, Criteria, Data, Databases, Design, Disease, Economic, Economic Evaluation, Economic Model, Effectiveness, Effects, Efficacy, Estimates, Evaluation, Events, Evidence, Follow-Up, Functional Status, Health, Health-Assessment Questionnaire, Improvement, Incidence, Interval, Interventions, Long Term, Long-Term, Major Clinical-Response, Measure, Medline, Methods, Mixed Treatment Comparisons, Model, Modifying Antirheumatic Drugs, Monitoring, </w:t>
      </w:r>
      <w:r>
        <w:rPr>
          <w:kern w:val="0"/>
        </w:rPr>
        <w:lastRenderedPageBreak/>
        <w:t>Observational, Observational Studies, Outcome, Outcomes, Patient-Reported Outcomes, Patients, Placebo, Primary, Profiles, Psoriasis, Qaly, Quality-Adjusted Life-Year, Quality-Of-Life, Randomized Controlled-Trials, Research, Review, Reviews, Risk, Safety, Science, Science Citation Index, Service, Skin, Skin Lesion, Sources, Standard, Strategy, Study Design, Support, Symptoms, Synthesis, Systematic Review, Techniques, Therapy, Threshold, Tnf-Alpha Therapy, Treatment, UK</w:t>
      </w:r>
    </w:p>
    <w:p w:rsidR="00B223B9" w:rsidRDefault="00B223B9" w:rsidP="00B223B9">
      <w:pPr>
        <w:pStyle w:val="a0"/>
        <w:rPr>
          <w:kern w:val="0"/>
        </w:rPr>
      </w:pPr>
      <w:r>
        <w:rPr>
          <w:rFonts w:hint="eastAsia"/>
          <w:kern w:val="0"/>
        </w:rPr>
        <w:t xml:space="preserve">? </w:t>
      </w:r>
      <w:r>
        <w:rPr>
          <w:kern w:val="0"/>
        </w:rPr>
        <w:t>Craig, D., Fayter, D., Stirk, L.</w:t>
      </w:r>
      <w:r w:rsidR="00F81221">
        <w:rPr>
          <w:kern w:val="0"/>
        </w:rPr>
        <w:t xml:space="preserve"> and </w:t>
      </w:r>
      <w:r>
        <w:rPr>
          <w:kern w:val="0"/>
        </w:rPr>
        <w:t>Crott, R. (2011), Growth monitoring for short stature: Update of a systematic review</w:t>
      </w:r>
      <w:r w:rsidR="00F81221">
        <w:rPr>
          <w:kern w:val="0"/>
        </w:rPr>
        <w:t xml:space="preserve"> and </w:t>
      </w:r>
      <w:r>
        <w:rPr>
          <w:kern w:val="0"/>
        </w:rPr>
        <w:t xml:space="preserve">economic model. </w:t>
      </w:r>
      <w:r>
        <w:rPr>
          <w:i/>
          <w:iCs/>
          <w:kern w:val="0"/>
        </w:rPr>
        <w:t>Health Technology Assessment</w:t>
      </w:r>
      <w:r>
        <w:rPr>
          <w:kern w:val="0"/>
        </w:rPr>
        <w:t xml:space="preserve">, </w:t>
      </w:r>
      <w:r>
        <w:rPr>
          <w:b/>
          <w:bCs/>
          <w:kern w:val="0"/>
        </w:rPr>
        <w:t>15</w:t>
      </w:r>
      <w:r>
        <w:rPr>
          <w:kern w:val="0"/>
        </w:rPr>
        <w:t xml:space="preserve"> (11), 1-</w:t>
      </w:r>
      <w:r w:rsidR="00D26A29">
        <w:rPr>
          <w:rFonts w:hint="eastAsia"/>
          <w:kern w:val="0"/>
        </w:rPr>
        <w:t>64</w:t>
      </w:r>
      <w:r>
        <w:rPr>
          <w:kern w:val="0"/>
        </w:rPr>
        <w:t>.</w:t>
      </w:r>
    </w:p>
    <w:p w:rsidR="00B223B9" w:rsidRDefault="00B223B9" w:rsidP="00B223B9">
      <w:pPr>
        <w:pStyle w:val="a0"/>
        <w:rPr>
          <w:kern w:val="0"/>
        </w:rPr>
      </w:pPr>
      <w:r>
        <w:rPr>
          <w:rFonts w:hint="eastAsia"/>
          <w:kern w:val="0"/>
        </w:rPr>
        <w:t xml:space="preserve">Full Text: </w:t>
      </w:r>
      <w:hyperlink r:id="rId609" w:history="1">
        <w:r w:rsidR="00D26A29" w:rsidRPr="00D26A29">
          <w:rPr>
            <w:rStyle w:val="a5"/>
            <w:kern w:val="0"/>
          </w:rPr>
          <w:t>2011\Hea Tec Ass15-11, 1.pdf</w:t>
        </w:r>
      </w:hyperlink>
    </w:p>
    <w:p w:rsidR="00B223B9" w:rsidRDefault="00B223B9" w:rsidP="00B223B9">
      <w:pPr>
        <w:pStyle w:val="a0"/>
        <w:rPr>
          <w:kern w:val="0"/>
        </w:rPr>
      </w:pPr>
      <w:r>
        <w:rPr>
          <w:kern w:val="0"/>
        </w:rPr>
        <w:t>Abstract: Objectives: The aim of the project was to compare different screening rules and/or referral cut-offs for the identification of children with disorders of short stature. We undertook an update of a previous systematic review</w:t>
      </w:r>
      <w:r w:rsidR="00F81221">
        <w:rPr>
          <w:kern w:val="0"/>
        </w:rPr>
        <w:t xml:space="preserve"> and </w:t>
      </w:r>
      <w:r>
        <w:rPr>
          <w:kern w:val="0"/>
        </w:rPr>
        <w:t>economic model that addressed the same question. Data sources: Sources searched included MEDLINE, EMBASE, Science Citation Index, Social Science Citation Index, Conference Proceedings Citation Index - Science/Social Science &amp; Humanities, Cochrane Library 2009 Issue 4, Office of Health Economics Health Economic Evaluations Database,</w:t>
      </w:r>
      <w:r w:rsidR="00F81221">
        <w:rPr>
          <w:kern w:val="0"/>
        </w:rPr>
        <w:t xml:space="preserve"> and </w:t>
      </w:r>
      <w:r>
        <w:rPr>
          <w:kern w:val="0"/>
        </w:rPr>
        <w:t>the NHS Economic Evaluation Database. Review methods: The review was conducted as an update to our previous assessment in 2007. Searching covered January 2005 to November 2009 with no language or publication restrictions. Two reviewers examined full papers for relevance. Data extraction was conducted by one reviewer</w:t>
      </w:r>
      <w:r w:rsidR="00F81221">
        <w:rPr>
          <w:kern w:val="0"/>
        </w:rPr>
        <w:t xml:space="preserve"> and </w:t>
      </w:r>
      <w:r>
        <w:rPr>
          <w:kern w:val="0"/>
        </w:rPr>
        <w:t>independently checked by a second. In addition, searches were conducted to identify quality of life or utility papers to inform the economic evaluation. We developed a probabilistic decision analytic model to estimate the costs</w:t>
      </w:r>
      <w:r w:rsidR="00F81221">
        <w:rPr>
          <w:kern w:val="0"/>
        </w:rPr>
        <w:t xml:space="preserve"> and </w:t>
      </w:r>
      <w:r>
        <w:rPr>
          <w:kern w:val="0"/>
        </w:rPr>
        <w:t>quality-adjusted life-year (QALY) gains from the perspective of the UK NHS</w:t>
      </w:r>
      <w:r w:rsidR="00F81221">
        <w:rPr>
          <w:kern w:val="0"/>
        </w:rPr>
        <w:t xml:space="preserve"> and </w:t>
      </w:r>
      <w:r>
        <w:rPr>
          <w:kern w:val="0"/>
        </w:rPr>
        <w:t>personal social services. The model was a cohort model, assuming a homogeneous population of 5-year-olds at baseline. Results: One study was included in the systematic review. The study was not UK based, but had been identified in the brief as relevant to the UK setting. The study</w:t>
      </w:r>
      <w:r w:rsidR="000352E7">
        <w:rPr>
          <w:kern w:val="0"/>
        </w:rPr>
        <w:t>’</w:t>
      </w:r>
      <w:r>
        <w:rPr>
          <w:kern w:val="0"/>
        </w:rPr>
        <w:t>s authors examined the performance of a number of rules to determine sensitivity</w:t>
      </w:r>
      <w:r w:rsidR="00F81221">
        <w:rPr>
          <w:kern w:val="0"/>
        </w:rPr>
        <w:t xml:space="preserve"> and </w:t>
      </w:r>
      <w:r>
        <w:rPr>
          <w:kern w:val="0"/>
        </w:rPr>
        <w:t>specificity of referral for short stature in four patient groups</w:t>
      </w:r>
      <w:r w:rsidR="00F81221">
        <w:rPr>
          <w:kern w:val="0"/>
        </w:rPr>
        <w:t xml:space="preserve"> and </w:t>
      </w:r>
      <w:r>
        <w:rPr>
          <w:kern w:val="0"/>
        </w:rPr>
        <w:t>three reference groups in the Netherlands. They derived an algorithm for referral based on the optimal rules. No new studies were located that provided appropriate quality of life or utilities data for the economic model. The model was based on the previous assessment which was updated to better reflect current UK clinical practice. We compared two alternative monitoring strategies, one of which was based on the study identified in our systematic review (Grote strategy); the other was based on UK consensus (UK strategy). We identified that the UK strategy was the least effective</w:t>
      </w:r>
      <w:r w:rsidR="00F81221">
        <w:rPr>
          <w:kern w:val="0"/>
        </w:rPr>
        <w:t xml:space="preserve"> and </w:t>
      </w:r>
      <w:r>
        <w:rPr>
          <w:kern w:val="0"/>
        </w:rPr>
        <w:t xml:space="preserve">least costly, </w:t>
      </w:r>
      <w:r>
        <w:rPr>
          <w:kern w:val="0"/>
        </w:rPr>
        <w:lastRenderedPageBreak/>
        <w:t>with a mean gain of 0.001 QALYs at a mean cost of 21. The Grote strategy was both more expensive</w:t>
      </w:r>
      <w:r w:rsidR="00F81221">
        <w:rPr>
          <w:kern w:val="0"/>
        </w:rPr>
        <w:t xml:space="preserve"> and </w:t>
      </w:r>
      <w:r>
        <w:rPr>
          <w:kern w:val="0"/>
        </w:rPr>
        <w:t>more effective, with a mean cost of 68</w:t>
      </w:r>
      <w:r w:rsidR="00F81221">
        <w:rPr>
          <w:kern w:val="0"/>
        </w:rPr>
        <w:t xml:space="preserve"> and </w:t>
      </w:r>
      <w:r>
        <w:rPr>
          <w:kern w:val="0"/>
        </w:rPr>
        <w:t>a mean QALY gain of 0.042. The incremental cost-effectiveness ratio was 1144 per QALY gained. Conclusions: This assessment contributes further knowledge, but does not provide definitive answers on how to deliver growth monitoring. In particular, we were unable to ascertain current practice in the UK for growth screening. Further, we were unable to evaluate through the use of identified studies</w:t>
      </w:r>
      <w:r w:rsidR="00F81221">
        <w:rPr>
          <w:kern w:val="0"/>
        </w:rPr>
        <w:t xml:space="preserve"> and </w:t>
      </w:r>
      <w:r>
        <w:rPr>
          <w:kern w:val="0"/>
        </w:rPr>
        <w:t>modelling an optimal referral cut-off</w:t>
      </w:r>
      <w:r w:rsidR="00F81221">
        <w:rPr>
          <w:kern w:val="0"/>
        </w:rPr>
        <w:t xml:space="preserve"> and </w:t>
      </w:r>
      <w:r>
        <w:rPr>
          <w:kern w:val="0"/>
        </w:rPr>
        <w:t>age at which to screen. We identified a number of research questions that would further inform referral strategies, which in summary would involve further primary</w:t>
      </w:r>
      <w:r w:rsidR="00F81221">
        <w:rPr>
          <w:kern w:val="0"/>
        </w:rPr>
        <w:t xml:space="preserve"> and </w:t>
      </w:r>
      <w:r>
        <w:rPr>
          <w:kern w:val="0"/>
        </w:rPr>
        <w:t>secondary data collection.</w:t>
      </w:r>
    </w:p>
    <w:p w:rsidR="00B223B9" w:rsidRDefault="00B223B9" w:rsidP="00B223B9">
      <w:pPr>
        <w:pStyle w:val="a0"/>
        <w:rPr>
          <w:kern w:val="0"/>
        </w:rPr>
      </w:pPr>
      <w:r>
        <w:rPr>
          <w:kern w:val="0"/>
        </w:rPr>
        <w:t>Keywords: Age, Algorithm, Alternative, Assessment, Authors, Body-Mass Index, Catch-Up Growth, Celiac-Disease, Children, Citation, Clinical, Clinical Practice, Cohort, Collection, Conference, Consensus, Cost, Cost Effectiveness, Cost-Effectiveness, Costs, Data, Data Collection, Decision, Economic, Economic Evaluation, Economic Model, Evaluation, Extraction, For-Gestational-Age, Growth, Hormone-Treatment, Humanities, Identification, Idiopathic-Short-Stature, Knowledge, Life, Medline, Methods, Model, Modelling, Monitoring, Papers, Performance, Population, Population-Based Cohort, Practice, Primary, Publication, Qaly, Quality, Quality of, Quality of Life, Quality-Adjusted Life-Year, Quality-of-Life, Reference, Reference Values, Relevance, Research, Restrictions, Review, Science, Science Citation Index, Screening, Sensitivity, Services, Short Stature, Social, Social Science Citation Index, Sources, Specificity, Strategy, Systematic Review, The Netherlands, Turner-Syndrome, UK, Utility</w:t>
      </w:r>
    </w:p>
    <w:p w:rsidR="00B33580" w:rsidRDefault="00B33580" w:rsidP="00B33580">
      <w:pPr>
        <w:pStyle w:val="a0"/>
        <w:rPr>
          <w:kern w:val="0"/>
        </w:rPr>
      </w:pPr>
      <w:r>
        <w:rPr>
          <w:rFonts w:hint="eastAsia"/>
          <w:kern w:val="0"/>
        </w:rPr>
        <w:t xml:space="preserve">? </w:t>
      </w:r>
      <w:r>
        <w:rPr>
          <w:kern w:val="0"/>
        </w:rPr>
        <w:t>Hislop, J., Quayyum, Z., Elders, A., Fraser, C., Jenkinson, D., Mowatt, G., Sharma, P., Vale, L.</w:t>
      </w:r>
      <w:r w:rsidR="00F81221">
        <w:rPr>
          <w:kern w:val="0"/>
        </w:rPr>
        <w:t xml:space="preserve"> and </w:t>
      </w:r>
      <w:r>
        <w:rPr>
          <w:kern w:val="0"/>
        </w:rPr>
        <w:t>Petty, R. (2011), Clinical effectiveness</w:t>
      </w:r>
      <w:r w:rsidR="00F81221">
        <w:rPr>
          <w:kern w:val="0"/>
        </w:rPr>
        <w:t xml:space="preserve"> and </w:t>
      </w:r>
      <w:r>
        <w:rPr>
          <w:kern w:val="0"/>
        </w:rPr>
        <w:t>cost-effectiveness of imatinib dose escalation for the treatment of unresectable and/or metastatic gastrointestinal stromal tumours that have progressed on treatment at a dose of 400 mg/day: A systematic review</w:t>
      </w:r>
      <w:r w:rsidR="00F81221">
        <w:rPr>
          <w:kern w:val="0"/>
        </w:rPr>
        <w:t xml:space="preserve"> and </w:t>
      </w:r>
      <w:r>
        <w:rPr>
          <w:kern w:val="0"/>
        </w:rPr>
        <w:t xml:space="preserve">economic evaluation. </w:t>
      </w:r>
      <w:r>
        <w:rPr>
          <w:i/>
          <w:iCs/>
          <w:kern w:val="0"/>
        </w:rPr>
        <w:t>Health Technology Assessment</w:t>
      </w:r>
      <w:r>
        <w:rPr>
          <w:kern w:val="0"/>
        </w:rPr>
        <w:t xml:space="preserve">, </w:t>
      </w:r>
      <w:r>
        <w:rPr>
          <w:b/>
          <w:bCs/>
          <w:kern w:val="0"/>
        </w:rPr>
        <w:t>15</w:t>
      </w:r>
      <w:r>
        <w:rPr>
          <w:kern w:val="0"/>
        </w:rPr>
        <w:t xml:space="preserve"> (25), 1-</w:t>
      </w:r>
      <w:r>
        <w:rPr>
          <w:rFonts w:hint="eastAsia"/>
          <w:kern w:val="0"/>
        </w:rPr>
        <w:t>178</w:t>
      </w:r>
      <w:r>
        <w:rPr>
          <w:kern w:val="0"/>
        </w:rPr>
        <w:t>.</w:t>
      </w:r>
    </w:p>
    <w:p w:rsidR="00B33580" w:rsidRDefault="00B33580" w:rsidP="00B33580">
      <w:pPr>
        <w:pStyle w:val="a0"/>
        <w:rPr>
          <w:kern w:val="0"/>
        </w:rPr>
      </w:pPr>
      <w:r>
        <w:rPr>
          <w:rFonts w:hint="eastAsia"/>
          <w:kern w:val="0"/>
        </w:rPr>
        <w:t xml:space="preserve">Full Text: </w:t>
      </w:r>
      <w:hyperlink r:id="rId610" w:history="1">
        <w:r w:rsidRPr="00B26DAD">
          <w:rPr>
            <w:rStyle w:val="a5"/>
            <w:kern w:val="0"/>
          </w:rPr>
          <w:t>2011\Hea Tec Ass15-25, 1.pdf</w:t>
        </w:r>
      </w:hyperlink>
    </w:p>
    <w:p w:rsidR="00B33580" w:rsidRDefault="00B33580" w:rsidP="00B33580">
      <w:pPr>
        <w:pStyle w:val="a0"/>
        <w:rPr>
          <w:kern w:val="0"/>
        </w:rPr>
      </w:pPr>
      <w:r>
        <w:rPr>
          <w:kern w:val="0"/>
        </w:rPr>
        <w:t>Abstract: Background: Imatinib dose escalation is advocated for gastrointestinal stromal tumour (GIST) treatment, but its effectiveness compared with sunitinib</w:t>
      </w:r>
      <w:r w:rsidR="00F81221">
        <w:rPr>
          <w:kern w:val="0"/>
        </w:rPr>
        <w:t xml:space="preserve"> and </w:t>
      </w:r>
      <w:r>
        <w:rPr>
          <w:kern w:val="0"/>
        </w:rPr>
        <w:t>best supportive care (BSC) after failure at the 400 mg/day dose is unknown. Objectives: To assess the effectiveness</w:t>
      </w:r>
      <w:r w:rsidR="00F81221">
        <w:rPr>
          <w:kern w:val="0"/>
        </w:rPr>
        <w:t xml:space="preserve"> and </w:t>
      </w:r>
      <w:r>
        <w:rPr>
          <w:kern w:val="0"/>
        </w:rPr>
        <w:t>cost-effectiveness of imatinib at escalated doses of 600 or 800 mg/day for patients with unresectable and/or metastatic GISTs whose disease had progressed on 400 mg/day. Data sources: Electronic databases, including MEDLINE, MEDLINE In-Process, EMBASE, BIOSIS, Science Citation Index, Health Management Information Consortium</w:t>
      </w:r>
      <w:r w:rsidR="00F81221">
        <w:rPr>
          <w:kern w:val="0"/>
        </w:rPr>
        <w:t xml:space="preserve"> and </w:t>
      </w:r>
      <w:r>
        <w:rPr>
          <w:kern w:val="0"/>
        </w:rPr>
        <w:t xml:space="preserve">the Cochrane Controlled Trials Register, were searched until September 2009. Review methods: A systematic </w:t>
      </w:r>
      <w:r>
        <w:rPr>
          <w:kern w:val="0"/>
        </w:rPr>
        <w:lastRenderedPageBreak/>
        <w:t>review of the literature was carried out according to standard methods. An economic model was constructed to assess the cost-effectiveness of seven alternative pathways for treating patients with unresectable and/or metastatic GISTs. Results: Five primary studies involving 669 people were included for clinical effectiveness; four reported imatinib</w:t>
      </w:r>
      <w:r w:rsidR="00F81221">
        <w:rPr>
          <w:kern w:val="0"/>
        </w:rPr>
        <w:t xml:space="preserve"> and </w:t>
      </w:r>
      <w:r>
        <w:rPr>
          <w:kern w:val="0"/>
        </w:rPr>
        <w:t>one reported sunitinib. The data were essentially observational as none of the studies was designed to specifically assess treatment of patients whose disease had progressed on 400 mg/day imatinib. For 600 mg/day imatinib, between 26%</w:t>
      </w:r>
      <w:r w:rsidR="00F81221">
        <w:rPr>
          <w:kern w:val="0"/>
        </w:rPr>
        <w:t xml:space="preserve"> and </w:t>
      </w:r>
      <w:r>
        <w:rPr>
          <w:kern w:val="0"/>
        </w:rPr>
        <w:t>42% of patients showed either a partial response (PR) or stable disease (SD). Median time to progression was 1.7 months (range 0.7-24.9 months). For 800 mg/day imatinib, between 29%</w:t>
      </w:r>
      <w:r w:rsidR="00F81221">
        <w:rPr>
          <w:kern w:val="0"/>
        </w:rPr>
        <w:t xml:space="preserve"> and </w:t>
      </w:r>
      <w:r>
        <w:rPr>
          <w:kern w:val="0"/>
        </w:rPr>
        <w:t>33% of patients showed either a PR or SD. Median overall survival (OS) was 19 months [95% confidence interval (Cl) 13 to 23 months]. Progression-free survival ranged from 81 days to 5 months (95% Cl 2 to 10 months). Median duration of response was 153 days (range 37-574 days). Treatment progression led to 88% discontinuations but between 16%</w:t>
      </w:r>
      <w:r w:rsidR="00F81221">
        <w:rPr>
          <w:kern w:val="0"/>
        </w:rPr>
        <w:t xml:space="preserve"> and </w:t>
      </w:r>
      <w:r>
        <w:rPr>
          <w:kern w:val="0"/>
        </w:rPr>
        <w:t>31% of patients required a dose reduction,</w:t>
      </w:r>
      <w:r w:rsidR="00F81221">
        <w:rPr>
          <w:kern w:val="0"/>
        </w:rPr>
        <w:t xml:space="preserve"> and </w:t>
      </w:r>
      <w:r>
        <w:rPr>
          <w:kern w:val="0"/>
        </w:rPr>
        <w:t>23% required a dose delay. There was a statistically significant increase in the severity of fatigue (p &lt; 0.001)</w:t>
      </w:r>
      <w:r w:rsidR="00F81221">
        <w:rPr>
          <w:kern w:val="0"/>
        </w:rPr>
        <w:t xml:space="preserve"> and </w:t>
      </w:r>
      <w:r>
        <w:rPr>
          <w:kern w:val="0"/>
        </w:rPr>
        <w:t>anaemia (p = 0.015) following dose escalation. For sunitinib, median OS was 90 weeks (95% Cl 73 to 106 weeks). For the cost-effectiveness review, only one full-text study</w:t>
      </w:r>
      <w:r w:rsidR="00F81221">
        <w:rPr>
          <w:kern w:val="0"/>
        </w:rPr>
        <w:t xml:space="preserve"> and </w:t>
      </w:r>
      <w:r>
        <w:rPr>
          <w:kern w:val="0"/>
        </w:rPr>
        <w:t>one abstract were identified, comparing imatinib at an escalated dose, sunitinib</w:t>
      </w:r>
      <w:r w:rsidR="00F81221">
        <w:rPr>
          <w:kern w:val="0"/>
        </w:rPr>
        <w:t xml:space="preserve"> and </w:t>
      </w:r>
      <w:r>
        <w:rPr>
          <w:kern w:val="0"/>
        </w:rPr>
        <w:t>BSC, although neither was based on a UK context. The definition of BSC was not consistent across the studies,</w:t>
      </w:r>
      <w:r w:rsidR="00F81221">
        <w:rPr>
          <w:kern w:val="0"/>
        </w:rPr>
        <w:t xml:space="preserve"> and </w:t>
      </w:r>
      <w:r>
        <w:rPr>
          <w:kern w:val="0"/>
        </w:rPr>
        <w:t>the pattern of resources (including drugs for treatment)</w:t>
      </w:r>
      <w:r w:rsidR="00F81221">
        <w:rPr>
          <w:kern w:val="0"/>
        </w:rPr>
        <w:t xml:space="preserve"> and </w:t>
      </w:r>
      <w:r>
        <w:rPr>
          <w:kern w:val="0"/>
        </w:rPr>
        <w:t>measures of effectiveness also varied. Within the model, BSC (assumed to include continuing medication to prevent tumour flare) was the least costly</w:t>
      </w:r>
      <w:r w:rsidR="00F81221">
        <w:rPr>
          <w:kern w:val="0"/>
        </w:rPr>
        <w:t xml:space="preserve"> and </w:t>
      </w:r>
      <w:r>
        <w:rPr>
          <w:kern w:val="0"/>
        </w:rPr>
        <w:t>least effective. It would be the care pathway most likely to be cost-effective when the cost per quality-adjusted life-year threshold was &lt;25,000 pound. Imatinib at 600 mg/day was most likely to be cost-effective at a threshold between 25,000 pound</w:t>
      </w:r>
      <w:r w:rsidR="00F81221">
        <w:rPr>
          <w:kern w:val="0"/>
        </w:rPr>
        <w:t xml:space="preserve"> and </w:t>
      </w:r>
      <w:r>
        <w:rPr>
          <w:kern w:val="0"/>
        </w:rPr>
        <w:t>45,000 pound. Imatinib at 600 mg/day followed by further escalation followed by sunitinib was most likely to be cost-effective at a threshold &gt;45,000 pound. Limitations: The evidence base was sparse, data were non-randomised</w:t>
      </w:r>
      <w:r w:rsidR="00F81221">
        <w:rPr>
          <w:kern w:val="0"/>
        </w:rPr>
        <w:t xml:space="preserve"> and </w:t>
      </w:r>
      <w:r>
        <w:rPr>
          <w:kern w:val="0"/>
        </w:rPr>
        <w:t>potentially biased. The economic model results are surrounded by a considerable degree of uncertainty</w:t>
      </w:r>
      <w:r w:rsidR="00F81221">
        <w:rPr>
          <w:kern w:val="0"/>
        </w:rPr>
        <w:t xml:space="preserve"> and </w:t>
      </w:r>
      <w:r>
        <w:rPr>
          <w:kern w:val="0"/>
        </w:rPr>
        <w:t>open to biases of unknown magnitude</w:t>
      </w:r>
      <w:r w:rsidR="00F81221">
        <w:rPr>
          <w:kern w:val="0"/>
        </w:rPr>
        <w:t xml:space="preserve"> and </w:t>
      </w:r>
      <w:r>
        <w:rPr>
          <w:kern w:val="0"/>
        </w:rPr>
        <w:t>direction. Conclusions: Around one-third of patients with unresectable and/or metastatic GIST, who fail on 400 mg/day of imatinib, may show response or SD with escalated doses. Between a threshold of 25,000 pound</w:t>
      </w:r>
      <w:r w:rsidR="00F81221">
        <w:rPr>
          <w:kern w:val="0"/>
        </w:rPr>
        <w:t xml:space="preserve"> and </w:t>
      </w:r>
      <w:r>
        <w:rPr>
          <w:kern w:val="0"/>
        </w:rPr>
        <w:t>45,000 pound, provision of an escalated dose of imatinib would be most likely to be cost-effective. However, these results should be interpreted with caution owing to the limited evidence available on outcomes following imatinib dose escalation or sunitinib for this group of patients.</w:t>
      </w:r>
    </w:p>
    <w:p w:rsidR="00B33580" w:rsidRDefault="00B33580" w:rsidP="00B33580">
      <w:pPr>
        <w:pStyle w:val="a0"/>
        <w:rPr>
          <w:kern w:val="0"/>
        </w:rPr>
      </w:pPr>
      <w:r>
        <w:rPr>
          <w:kern w:val="0"/>
        </w:rPr>
        <w:t xml:space="preserve">Keywords: Anaemia, Best Supportive Care, BSC, C-Kit, Citation, Clinical </w:t>
      </w:r>
      <w:r>
        <w:rPr>
          <w:kern w:val="0"/>
        </w:rPr>
        <w:lastRenderedPageBreak/>
        <w:t>Effectiveness, Cochrane, Computed-Tomography, Cost-Effectiveness, Databases, Differential-Diagnosis, Disease, Drugs, Effectiveness, EMBASE, Evaluation, Fatigue, Gastrointestinal, Health, Literature, Management, Medication, Medline, Model, Observational, Of-Function Mutations, Outcomes, Patients, Phase-II Trial, Positron-Emission-Tomography, Primary, Progression, Response Evaluation, Review, Science, Science Citation Index, Survival, Systematic, Systematic Review, Treatment, Treatment-Use Trial, Tumours, Tyrosine Kinase Inhibitor, UK, Worldwide Treatment-Use</w:t>
      </w:r>
    </w:p>
    <w:p w:rsidR="00E86D35" w:rsidRDefault="00E86D35" w:rsidP="00E86D35">
      <w:pPr>
        <w:pStyle w:val="a0"/>
        <w:rPr>
          <w:kern w:val="0"/>
        </w:rPr>
      </w:pPr>
      <w:r>
        <w:rPr>
          <w:rFonts w:hint="eastAsia"/>
          <w:kern w:val="0"/>
        </w:rPr>
        <w:t xml:space="preserve">? </w:t>
      </w:r>
      <w:r>
        <w:rPr>
          <w:kern w:val="0"/>
        </w:rPr>
        <w:t xml:space="preserve">Greenhalgh, J., Bagust, A., Boland, A., Saborido, C.M., Oyee, J., Blundell, M., Dundar, Y., Dickson, R., Proudlove, C. and Fisher, M. (2011), Clopidogrel and modified-release dipyridamole for the prevention of occlusive vascular events (review of Technology Appraisal No. 90): A systematic review and economic analysis. </w:t>
      </w:r>
      <w:r>
        <w:rPr>
          <w:i/>
          <w:iCs/>
          <w:kern w:val="0"/>
        </w:rPr>
        <w:t>Health Technology Assessment</w:t>
      </w:r>
      <w:r>
        <w:rPr>
          <w:kern w:val="0"/>
        </w:rPr>
        <w:t xml:space="preserve">, </w:t>
      </w:r>
      <w:r>
        <w:rPr>
          <w:b/>
          <w:bCs/>
          <w:kern w:val="0"/>
        </w:rPr>
        <w:t>15</w:t>
      </w:r>
      <w:r>
        <w:rPr>
          <w:kern w:val="0"/>
        </w:rPr>
        <w:t xml:space="preserve"> (31), 1-</w:t>
      </w:r>
      <w:r>
        <w:rPr>
          <w:rFonts w:hint="eastAsia"/>
          <w:kern w:val="0"/>
        </w:rPr>
        <w:t>178</w:t>
      </w:r>
      <w:r>
        <w:rPr>
          <w:kern w:val="0"/>
        </w:rPr>
        <w:t>.</w:t>
      </w:r>
    </w:p>
    <w:p w:rsidR="00E86D35" w:rsidRDefault="00E86D35" w:rsidP="00E86D35">
      <w:pPr>
        <w:pStyle w:val="a0"/>
        <w:rPr>
          <w:kern w:val="0"/>
        </w:rPr>
      </w:pPr>
      <w:r>
        <w:rPr>
          <w:rFonts w:hint="eastAsia"/>
          <w:kern w:val="0"/>
        </w:rPr>
        <w:t xml:space="preserve">Full Text: </w:t>
      </w:r>
      <w:hyperlink r:id="rId611" w:history="1">
        <w:r w:rsidRPr="00B975F2">
          <w:rPr>
            <w:rStyle w:val="a5"/>
            <w:kern w:val="0"/>
          </w:rPr>
          <w:t>2011\Hea Tec Ass15-31, 1.pdf</w:t>
        </w:r>
      </w:hyperlink>
    </w:p>
    <w:p w:rsidR="00E86D35" w:rsidRDefault="00E86D35" w:rsidP="00E86D35">
      <w:pPr>
        <w:pStyle w:val="a0"/>
        <w:rPr>
          <w:kern w:val="0"/>
        </w:rPr>
      </w:pPr>
      <w:r>
        <w:rPr>
          <w:kern w:val="0"/>
        </w:rPr>
        <w:t xml:space="preserve">Abstract: Background: Occlusive vascular events such as myocardial infarction (MI), ischaemic stroke and transient ischaemic attack (TIA) are the result of a reduction in blood flow associated with an artery becoming narrow or blocked through atherosclerosis and atherothrombosis. Peripheral arterial disease is the result of narrowing of the arteries that supply blood to the muscles and other tissues, usually in the lower extremities. The primary objective in the treatment of all patients with a history of occlusive vascular events and peripheral arterial disease is to prevent the occurrence of new occlusive vascular events. Objectives: To assess the clinical effectiveness and cost-effectiveness of clopidogrel and modified-release dipyridamole (MRD) alone or with aspirin (ASA) compared with ASA (and each other where appropriate) in the prevention of occlusive vascular events in patients with a history of MI, ischaemic stroke/TIA or established peripheral arterial disease. To consider the clinical effectiveness and cost-effectiveness of clopidogrel in patients with multivascular disease. This review is an update of the evidence base for the National Institute for Health and Clinical Excellence (NICE) guidance Technology Appraisal No. 90 (TA90) entitled Clopidogrel and modified-release dipyridamole for the prevention of occlusive vascular events (2005). Data sources: Four electronic databases (EMBASE, MEDLINE, Web of Science and The Cochrane Library) were searched for randomised controlled trials (RCTs) and economic evaluations. Submissions to NICE by the manufacturers of the interventions were also considered. Review methods: A systematic review of clinical effectiveness and cost-effectiveness was conducted. To manage heterogeneity between trials, indirect analysis (using a mixed-treatment methodology) was performed on selected clinical outcomes. A new economic model was developed to assess incremental costs per life-year gained [quality-adjusted life-years (QALYs)]. Results: For evidence of </w:t>
      </w:r>
      <w:r>
        <w:rPr>
          <w:kern w:val="0"/>
        </w:rPr>
        <w:lastRenderedPageBreak/>
        <w:t>clinical effectiveness, four RCTs were identified: CAPRIE (Clopidogrel versus Aspirin in Patients at Risk of Ischaemic Events), ESPRIT (European/Australasian Stroke Prevention in Reversible Ischaemia Trial), PRoFESS (Prevention Regimen For Effectively avoiding Second Strokes) and ESPS-2 (Second European Stroke Prevention Study). In CAPRIE (patients with MI, ischaemic stroke or peripheral arterial disease), statistically significant outcomes in favour of clopidogrel were noted for the primary outcome (first occurrence of ischaemic stroke, MI or vascular death) compared with ASA [relative risk reduction 8.7%; 95% confidence interval (Cl) 0.3% to 16.5%; p=0.043]. In ESPRIT (patients with ischaemic stroke/TA) for the primary outcome (first occurrence of death from all vascular causes, non-fatal stroke, non-fatal MI or major bleeding complication), the risk of event occurrence was statistically significantly lower in the MRD+ASA arm than in the ASA arm [hazard ratio (HR) 0.80; 95% Cl 0.66 to 0.98], with no statistically significant difference in bleeding events between the two arms. In PRoFESS (patients with ischaemic stroke) the rate of recurrent stroke of any type (primary outcome) was similar in the MRD+ASA and clopidogrel groups, and the null hypothesis (that MRD+ASA was inferior to clopidogrel) could not be rejected. In ESPS-2 (patients with ischaemic stroke/TIA), on the primary outcome of stroke, statistically significant differences in favour of MRD+ASA were observed compared with ASA and MRD alone (relative risk 0.76; 95% Cl 0.63 to 0.93). The outcomes addressed in the mixed-treatment comparisons (limited by the available data) for the ischaemic strokeTTIA population confirmed the results of the direct comparisons. The 11 economic evaluations included in the review of cost-effectiveness indicated that for patients with previous peripheral arterial disease, ischaemic stroke or MI, clopidogrel is cost-effective compared with ASA, and for patients with previous ischaemic strokeTTIA, treatment with MRD+ASA is cost-effective compared with any other treatment in patients in the secondary prevention of occlusive vascular events. The relevance of the review was limited as the economic evaluations were not based on the most current clinical data. Cost-effectiveness results generated from the Assessment Group</w:t>
      </w:r>
      <w:r w:rsidR="000352E7">
        <w:rPr>
          <w:kern w:val="0"/>
        </w:rPr>
        <w:t>’</w:t>
      </w:r>
      <w:r>
        <w:rPr>
          <w:kern w:val="0"/>
        </w:rPr>
        <w:t xml:space="preserve">s de novo economic model suggested that the most cost-effective approach for patients with ischaemic stroke/TIA is clopidogrel followed by MRD + ASA then ASA. For patients with MI, the most cost-effective approach is ASA followed by clopidogrel. For patients with established peripheral arterial disease, the most cost-effective approach is clopidogrel followed by ASA. For patients with multivascular disease, clopidogrel followed by ASA is the most cost-effective approach. Incremental cost-effectiveness ratios (ICERs) were also calculated for patients who are intolerant to ASA. Assuming that the branded price for clopidogrel is used and TA90 guidance is not applied, all of the ICERs range between 2189 and 13,558 per QALY gained. Probabilistic sensitivity analyses were fully consistent </w:t>
      </w:r>
      <w:r>
        <w:rPr>
          <w:kern w:val="0"/>
        </w:rPr>
        <w:lastRenderedPageBreak/>
        <w:t>with these findings. Conclusions: The evidence suggests that the most cost-effective treatment for patients with ischaemic stroke/TIA is clopidogrel followed by MRD + ASA followed by ASA; for patients with MI, ASA followed by clopidogrel; and for patients with established peripheral arterial disease or multivascular disease, clopidogrel followed by ASA.</w:t>
      </w:r>
    </w:p>
    <w:p w:rsidR="00E86D35" w:rsidRDefault="00E86D35" w:rsidP="00E86D35">
      <w:pPr>
        <w:pStyle w:val="a0"/>
        <w:rPr>
          <w:kern w:val="0"/>
        </w:rPr>
      </w:pPr>
      <w:r>
        <w:rPr>
          <w:kern w:val="0"/>
        </w:rPr>
        <w:t>Keywords: Acute Coronary Syndromes, Analysis, Arteries, Aspirin, Aspirin Plus Dipyridamole, Assessment, Blood, Blood Flow, Clinical Effectiveness, Clopidogrel, Cochrane, Community-Stroke-Project, Composite End-Points, Cost-Effectiveness, Cost-Effectiveness Analysis, Costs, Databases, Differences, Disease, Effectiveness, Embase, Excellence, Health, High-Risk Patients, History, Interventions, Medline, Methodology, Model, Myocardial Infarction, Outcome, Outcomes, Patients, Peripheral Arterial-Disease, Placebo-Controlled Trial, Prevention, Primary, Ratio, Reduction, Relative Risk, Review, Risk, Risk Reduction, Science, Secondary Prevention, Sensitivity, Stroke, Systematic, Systematic Review, Transient Ischemic Attack, Treatment, Web of Science</w:t>
      </w:r>
    </w:p>
    <w:p w:rsidR="0023444C" w:rsidRDefault="0023444C" w:rsidP="0023444C">
      <w:pPr>
        <w:pStyle w:val="a0"/>
        <w:rPr>
          <w:kern w:val="0"/>
        </w:rPr>
      </w:pPr>
      <w:r>
        <w:rPr>
          <w:rFonts w:hint="eastAsia"/>
          <w:kern w:val="0"/>
        </w:rPr>
        <w:t xml:space="preserve">? </w:t>
      </w:r>
      <w:r>
        <w:rPr>
          <w:kern w:val="0"/>
        </w:rPr>
        <w:t xml:space="preserve">Carroll, C., Stevenson, M., Scope, A., Evans, P. and Buckley, S. (2011), Hemiarthroplasty and total hip arthroplasty for treating primary intracapsular fracture of the hip: A systematic review and costeffectiveness analysis. </w:t>
      </w:r>
      <w:r>
        <w:rPr>
          <w:i/>
          <w:iCs/>
          <w:kern w:val="0"/>
        </w:rPr>
        <w:t>Health Technology Assessment</w:t>
      </w:r>
      <w:r>
        <w:rPr>
          <w:kern w:val="0"/>
        </w:rPr>
        <w:t xml:space="preserve">, </w:t>
      </w:r>
      <w:r>
        <w:rPr>
          <w:b/>
          <w:bCs/>
          <w:kern w:val="0"/>
        </w:rPr>
        <w:t>15</w:t>
      </w:r>
      <w:r>
        <w:rPr>
          <w:kern w:val="0"/>
        </w:rPr>
        <w:t xml:space="preserve"> (36), </w:t>
      </w:r>
      <w:r>
        <w:rPr>
          <w:rFonts w:hint="eastAsia"/>
          <w:kern w:val="0"/>
        </w:rPr>
        <w:t>1-74</w:t>
      </w:r>
      <w:r>
        <w:rPr>
          <w:kern w:val="0"/>
        </w:rPr>
        <w:t>.</w:t>
      </w:r>
    </w:p>
    <w:p w:rsidR="0023444C" w:rsidRDefault="0023444C" w:rsidP="0023444C">
      <w:pPr>
        <w:pStyle w:val="a0"/>
        <w:rPr>
          <w:kern w:val="0"/>
        </w:rPr>
      </w:pPr>
      <w:r>
        <w:rPr>
          <w:rFonts w:hint="eastAsia"/>
          <w:kern w:val="0"/>
        </w:rPr>
        <w:t xml:space="preserve">Full Text: </w:t>
      </w:r>
      <w:hyperlink r:id="rId612" w:history="1">
        <w:r w:rsidRPr="0023444C">
          <w:rPr>
            <w:rStyle w:val="a5"/>
            <w:kern w:val="0"/>
          </w:rPr>
          <w:t>2011\Hea Tec Ass15-36, 1.pdf</w:t>
        </w:r>
      </w:hyperlink>
    </w:p>
    <w:p w:rsidR="0023444C" w:rsidRDefault="0023444C" w:rsidP="0023444C">
      <w:pPr>
        <w:pStyle w:val="a0"/>
        <w:rPr>
          <w:kern w:val="0"/>
        </w:rPr>
      </w:pPr>
      <w:r>
        <w:rPr>
          <w:kern w:val="0"/>
        </w:rPr>
        <w:t xml:space="preserve">Abstract: Background: Hip fracture is a common problem in people aged &gt; 60 years. The treatment options for individuals with high pre-fracture mobility, function and independence are hemiarthroplasty (HA) and total hip arthroplasty (THA). Objective: The aim of this report is to assess the clinical effectiveness and cost-effectiveness evidence of THA compared with HA in patients with displaced intracapsular fracture who are cognitively intact with high pre-fracture mobility or function. Data sources: A systematic search was made of 11 databases of published and unpublished literature from their inception to December 2010: MEDLINE, EMBASE, Cumulative Index to Nursing and Allied Health Literature, The Cochrane Library, Biological Science Citation Index, Social Science Citation Index, Conference Proceedings Citation Index - Science, UK Clinical Trials Research Network and the National Research Register archive, Current Controlled Trials and ClinicalTrials.gov. Review methods: A systematic review of randomised controlled trials (RCTs) to assess the effectiveness of THA compared with HA in terms of dislocations, revisions, pain and function, and quality of life. Meta-analysis, independent subgroup analyses and exploratory cost-effectiveness modelling were performed. Results: The literature search identified 532 unique citations, of which eight RCTs with almost 1000 participants satisfied the criteria for the effectiveness review. Meta-analysis found a statistically significant increased risk of dislocation for patients treated with THA </w:t>
      </w:r>
      <w:r>
        <w:rPr>
          <w:kern w:val="0"/>
        </w:rPr>
        <w:lastRenderedPageBreak/>
        <w:t>compared with HA (p=0.01), but a reduced risk of revision (p=0.0003). There were no differences in terms of mortality. In all trials, individuals treated with THA reported better function and mobility and less pain than those treated with HA. Four trials reporting utility data found similar trends. Sensitivity analyses indicated that there were no statistically significant differences in outcomes based on follow-up, study quality, surgical approach taken, type of head or the use of cement. Four papers reported a cost-utility analysis or the cost-effectiveness of THA compared with HA. Exploratory modelling was undertaken that showed that THA is likely to be cost-effective compared with HA even when the limitations of the data and methodology are considered. Limitations: The costs and disutilities associated with revisions and dislocations were not included in the economic evaluation. Conclusions: THA appears to be more cost-effective than HA. It is likely that THA will be associated with increased costs in the initial 2-year period, but lower longer-term costs, owing to potentially lower revision rates. However, these longer-term costs have not been modelled. The capacity and experience of surgeons to perform THA have not been explored and these would need to be addressed at local level were THA to become recommended for active, elderly patients in whom THA is not contraindicated. Further studies examining the impact of surgeon experience on performing the two procedures may offer more robust evidence on outcomes.</w:t>
      </w:r>
    </w:p>
    <w:p w:rsidR="0023444C" w:rsidRDefault="0023444C" w:rsidP="0023444C">
      <w:pPr>
        <w:pStyle w:val="a0"/>
        <w:rPr>
          <w:kern w:val="0"/>
        </w:rPr>
      </w:pPr>
      <w:r>
        <w:rPr>
          <w:kern w:val="0"/>
        </w:rPr>
        <w:t>Keywords: Aged, Analysis, Arthroplasty, Bipolar Hemiarthroplasty, Capacity, Citation, Citations, Clinical Effectiveness, Cochrane, Conference, Cost-Effectiveness, Cost-Utility Analysis, Costs, Databases, Differences, Displaced Subcapital Fractures, Effectiveness, Elderly, Embase, Evaluation, Expected Value, Femoral-Neck Fractures, Follow-up, Fracture, Health, Impact, Internal-Fixation, Literature, Medline, Meta Analysis, Meta-Analysis, Methodology, Modelling, Mortality, Network, Nursing, Older Patients, Outcomes, Pain, Papers, Patients, Primary, Quality, Quality of Life, Randomized Controlled-Trial, Replacement, Research, Review, Risk, Science, Science Citation Index, Social Science, Surgical, Systematic, Systematic Review, Treatment, Trends, Trial Comparing Hemiarthroplasty, UK</w:t>
      </w:r>
    </w:p>
    <w:p w:rsidR="008E58C7" w:rsidRPr="00217FB1" w:rsidRDefault="008E58C7" w:rsidP="008E58C7">
      <w:pPr>
        <w:pStyle w:val="1"/>
      </w:pPr>
      <w:r w:rsidRPr="00217FB1">
        <w:br w:type="page"/>
      </w:r>
      <w:bookmarkStart w:id="525" w:name="_Toc238862973"/>
      <w:bookmarkStart w:id="526" w:name="_Toc317161003"/>
      <w:r w:rsidRPr="00217FB1">
        <w:lastRenderedPageBreak/>
        <w:t xml:space="preserve">Title: </w:t>
      </w:r>
      <w:r w:rsidRPr="00157DF7">
        <w:t>Healthcare Quarterly</w:t>
      </w:r>
      <w:bookmarkEnd w:id="525"/>
      <w:bookmarkEnd w:id="526"/>
    </w:p>
    <w:p w:rsidR="008E58C7" w:rsidRPr="00F82F1B" w:rsidRDefault="008E58C7" w:rsidP="00B72EF9">
      <w:pPr>
        <w:pStyle w:val="12"/>
      </w:pPr>
      <w:r w:rsidRPr="00F82F1B">
        <w:t xml:space="preserve">Full Journal Title: </w:t>
      </w:r>
      <w:r w:rsidRPr="00157DF7">
        <w:t>Healthcare Quarterly</w:t>
      </w:r>
    </w:p>
    <w:p w:rsidR="008E58C7" w:rsidRPr="00F82F1B" w:rsidRDefault="008E58C7" w:rsidP="00B72EF9">
      <w:pPr>
        <w:pStyle w:val="12"/>
      </w:pPr>
      <w:r w:rsidRPr="00F82F1B">
        <w:t xml:space="preserve">ISO Abbreviated Title: </w:t>
      </w:r>
    </w:p>
    <w:p w:rsidR="008E58C7" w:rsidRPr="00F82F1B" w:rsidRDefault="008E58C7" w:rsidP="00B72EF9">
      <w:pPr>
        <w:pStyle w:val="12"/>
      </w:pPr>
      <w:r w:rsidRPr="00F82F1B">
        <w:t>JCR Abbreviated Title</w:t>
      </w:r>
      <w:r>
        <w:t>:</w:t>
      </w:r>
      <w:r w:rsidRPr="00F82F1B">
        <w:t xml:space="preserve"> </w:t>
      </w:r>
      <w:r w:rsidRPr="00A55B4C">
        <w:t>Healthc Q</w:t>
      </w:r>
    </w:p>
    <w:p w:rsidR="008E58C7" w:rsidRPr="00F82F1B" w:rsidRDefault="008E58C7" w:rsidP="00B72EF9">
      <w:pPr>
        <w:pStyle w:val="12"/>
      </w:pPr>
      <w:r w:rsidRPr="00F82F1B">
        <w:t xml:space="preserve">ISSN: </w:t>
      </w:r>
      <w:r w:rsidRPr="00AA10B4">
        <w:t>1710-2774</w:t>
      </w:r>
    </w:p>
    <w:p w:rsidR="008E58C7" w:rsidRPr="00F82F1B" w:rsidRDefault="008E58C7" w:rsidP="00B72EF9">
      <w:pPr>
        <w:pStyle w:val="12"/>
      </w:pPr>
      <w:r w:rsidRPr="00F82F1B">
        <w:t xml:space="preserve">Issues/Year: </w:t>
      </w:r>
    </w:p>
    <w:p w:rsidR="008E58C7" w:rsidRPr="00F82F1B" w:rsidRDefault="00FB5623" w:rsidP="00B72EF9">
      <w:pPr>
        <w:pStyle w:val="12"/>
      </w:pPr>
      <w:r>
        <w:t>Journal Country/Territory:</w:t>
      </w:r>
      <w:r w:rsidR="008E58C7">
        <w:t xml:space="preserve"> </w:t>
      </w:r>
    </w:p>
    <w:p w:rsidR="008E58C7" w:rsidRPr="00F82F1B" w:rsidRDefault="008E58C7" w:rsidP="00B72EF9">
      <w:pPr>
        <w:pStyle w:val="12"/>
      </w:pPr>
      <w:r w:rsidRPr="00F82F1B">
        <w:t xml:space="preserve">Language: </w:t>
      </w:r>
    </w:p>
    <w:p w:rsidR="008E58C7" w:rsidRPr="00F82F1B" w:rsidRDefault="008E58C7" w:rsidP="00B72EF9">
      <w:pPr>
        <w:pStyle w:val="12"/>
      </w:pPr>
      <w:r w:rsidRPr="00F82F1B">
        <w:t xml:space="preserve">Publisher: </w:t>
      </w:r>
    </w:p>
    <w:p w:rsidR="008E58C7" w:rsidRPr="00F82F1B" w:rsidRDefault="008E58C7" w:rsidP="00B72EF9">
      <w:pPr>
        <w:pStyle w:val="12"/>
      </w:pPr>
      <w:r w:rsidRPr="00F82F1B">
        <w:t xml:space="preserve">Publisher Address: </w:t>
      </w:r>
    </w:p>
    <w:p w:rsidR="008E58C7" w:rsidRPr="00F82F1B" w:rsidRDefault="008E58C7" w:rsidP="00B72EF9">
      <w:pPr>
        <w:pStyle w:val="12"/>
      </w:pPr>
      <w:r w:rsidRPr="00F82F1B">
        <w:t>Subject Categories:</w:t>
      </w:r>
    </w:p>
    <w:p w:rsidR="008E58C7" w:rsidRPr="00F82F1B" w:rsidRDefault="008E58C7" w:rsidP="00B72EF9">
      <w:pPr>
        <w:pStyle w:val="12"/>
      </w:pPr>
      <w:r w:rsidRPr="00F82F1B">
        <w:t xml:space="preserve">: Impact Factor </w:t>
      </w:r>
    </w:p>
    <w:p w:rsidR="008E58C7" w:rsidRPr="003862C4" w:rsidRDefault="008E58C7" w:rsidP="008E58C7">
      <w:pPr>
        <w:pStyle w:val="a0"/>
      </w:pPr>
      <w:r w:rsidRPr="008B2BB0">
        <w:t xml:space="preserve">? Ungar, W.J. (2007), Paediatric health economic evaluations: A world view. </w:t>
      </w:r>
      <w:r w:rsidRPr="00157DF7">
        <w:rPr>
          <w:i/>
        </w:rPr>
        <w:t>Healthcare Quarterly</w:t>
      </w:r>
      <w:r w:rsidRPr="008B2BB0">
        <w:t xml:space="preserve">, </w:t>
      </w:r>
      <w:r w:rsidRPr="00551655">
        <w:rPr>
          <w:b/>
          <w:bCs/>
        </w:rPr>
        <w:t>10</w:t>
      </w:r>
      <w:r w:rsidRPr="003862C4">
        <w:t xml:space="preserve"> (1), 134-1</w:t>
      </w:r>
      <w:r w:rsidRPr="003862C4">
        <w:rPr>
          <w:rFonts w:hint="eastAsia"/>
        </w:rPr>
        <w:t>40</w:t>
      </w:r>
      <w:r w:rsidRPr="003862C4">
        <w:t>.</w:t>
      </w:r>
    </w:p>
    <w:p w:rsidR="008E58C7" w:rsidRPr="003862C4" w:rsidRDefault="008E58C7" w:rsidP="008E58C7">
      <w:pPr>
        <w:pStyle w:val="a0"/>
      </w:pPr>
      <w:r w:rsidRPr="003862C4">
        <w:t>Abstract: OBJECTIVES: As economic evaluation methods evolve, their applicability to special populations, such as children, has received increased scrutiny. The objective was to review paediatric health economic evaluations published over the last quarter century, comment on trends, discuss gaps between developed</w:t>
      </w:r>
      <w:r w:rsidR="00F81221">
        <w:t xml:space="preserve"> and </w:t>
      </w:r>
      <w:r w:rsidRPr="003862C4">
        <w:t>developing nations,</w:t>
      </w:r>
      <w:r w:rsidR="00F81221">
        <w:t xml:space="preserve"> and </w:t>
      </w:r>
      <w:r w:rsidRPr="003862C4">
        <w:t>point to future directions for research. METHODS: Data compiled for the Paediatric Economic Database Evaluation (PEDE) project to 2003 were used to describe temporal</w:t>
      </w:r>
      <w:r w:rsidR="00F81221">
        <w:t xml:space="preserve"> and </w:t>
      </w:r>
      <w:r w:rsidRPr="003862C4">
        <w:t>geographic trends</w:t>
      </w:r>
      <w:r w:rsidR="00F81221">
        <w:t xml:space="preserve"> and </w:t>
      </w:r>
      <w:r w:rsidRPr="003862C4">
        <w:t>evaluate the frequency of intervention categories</w:t>
      </w:r>
      <w:r w:rsidR="00F81221">
        <w:t xml:space="preserve"> and </w:t>
      </w:r>
      <w:r w:rsidRPr="003862C4">
        <w:t>conditions studied. RESULTS: The volume of paediatric health economic evaluations rose rapidly since 1980. Studies of infective/parasitic diseases, congenital anomalies</w:t>
      </w:r>
      <w:r w:rsidR="00F81221">
        <w:t xml:space="preserve"> and </w:t>
      </w:r>
      <w:r w:rsidRPr="003862C4">
        <w:t>complications of pregnancy accounted for the majority. Prevention rather than treatment was emphasized. Most evaluations performed since 1998 (78%) were cost-effectiveness analyses. Cost-utility analyses were rare. The US produced half of all publications, with the U.K. contributing 12%. Economic evaluations from developing countries were uncommon, despite an urgent need for evidence-based decision-making in these regions. The interventions studied reflected local health priorities; HIV</w:t>
      </w:r>
      <w:r w:rsidR="00F81221">
        <w:t xml:space="preserve"> and </w:t>
      </w:r>
      <w:r w:rsidRPr="003862C4">
        <w:t>malaria prevention were more commonly studied in developing nations, whereas treatments for asthma</w:t>
      </w:r>
      <w:r w:rsidR="00F81221">
        <w:t xml:space="preserve"> and </w:t>
      </w:r>
      <w:r w:rsidRPr="003862C4">
        <w:t>birth malformations were more often evaluated in developed nations. CONCLUSIONS: Despite global initiatives to combat disease, developing nations rely on foreign research to inform implementation of local health programs. There is a need for better methods for data transfer</w:t>
      </w:r>
      <w:r w:rsidR="00F81221">
        <w:t xml:space="preserve"> and </w:t>
      </w:r>
      <w:r w:rsidRPr="003862C4">
        <w:t>extrapolation. Future research must focus on paediatric models of costs</w:t>
      </w:r>
      <w:r w:rsidR="00F81221">
        <w:t xml:space="preserve"> and </w:t>
      </w:r>
      <w:r w:rsidRPr="003862C4">
        <w:t>consequences</w:t>
      </w:r>
      <w:r w:rsidR="00F81221">
        <w:t xml:space="preserve"> and </w:t>
      </w:r>
      <w:r w:rsidRPr="003862C4">
        <w:t>the development of tools to measure long-term effects.</w:t>
      </w:r>
    </w:p>
    <w:p w:rsidR="008E58C7" w:rsidRPr="003862C4" w:rsidRDefault="008E58C7" w:rsidP="008E58C7">
      <w:pPr>
        <w:pStyle w:val="a0"/>
      </w:pPr>
      <w:r w:rsidRPr="003862C4">
        <w:t xml:space="preserve">Keywords: Analyses, Asthma, Birth, Children, Complications, Complications of </w:t>
      </w:r>
      <w:r w:rsidRPr="003862C4">
        <w:lastRenderedPageBreak/>
        <w:t>Pregnancy, Congenital, Congenital Anomalies, Cost Effectiveness, Cost-Effectiveness, Costs, Data, Decision Making, Decision-Making, Developing, Developing Countries, Development, Diseases, Economic, Economic Evaluation, Evaluation, Evaluation Methods, Evidence Based, Evidence-Based, Evidence-Based Decision-Making, Extrapolation, Health, HIV, Implementation, Intervention, Interventions, Local, Long Term, Long-Term, Malaria, Malformations, Methods, Models, Nations, Objectives, Populations, Pregnancy, Prevention, Publications, Research, Review, Temporal, Treatment, Trends, US, Volume, World</w:t>
      </w:r>
    </w:p>
    <w:p w:rsidR="00B95188" w:rsidRPr="00A428C3" w:rsidRDefault="00B95188" w:rsidP="00B95188">
      <w:pPr>
        <w:pStyle w:val="1"/>
      </w:pPr>
      <w:r w:rsidRPr="00A428C3">
        <w:br w:type="page"/>
      </w:r>
      <w:bookmarkStart w:id="527" w:name="_Toc489709740"/>
      <w:bookmarkStart w:id="528" w:name="_Toc490688005"/>
      <w:bookmarkStart w:id="529" w:name="_Toc492807666"/>
      <w:bookmarkStart w:id="530" w:name="_Toc186647763"/>
      <w:bookmarkStart w:id="531" w:name="_Toc317161004"/>
      <w:r w:rsidRPr="00A428C3">
        <w:lastRenderedPageBreak/>
        <w:t>Title: Heart</w:t>
      </w:r>
      <w:bookmarkEnd w:id="527"/>
      <w:bookmarkEnd w:id="528"/>
      <w:bookmarkEnd w:id="529"/>
      <w:bookmarkEnd w:id="530"/>
      <w:bookmarkEnd w:id="531"/>
    </w:p>
    <w:p w:rsidR="00B95188" w:rsidRPr="008E58C7" w:rsidRDefault="00B95188" w:rsidP="00B72EF9">
      <w:pPr>
        <w:pStyle w:val="12"/>
      </w:pPr>
      <w:r w:rsidRPr="008E58C7">
        <w:t>Full Journal Title: Heart</w:t>
      </w:r>
    </w:p>
    <w:p w:rsidR="00B95188" w:rsidRPr="008E58C7" w:rsidRDefault="00B95188" w:rsidP="00B72EF9">
      <w:pPr>
        <w:pStyle w:val="12"/>
      </w:pPr>
      <w:r w:rsidRPr="008E58C7">
        <w:t>ISO Abbreviated Title: Heart</w:t>
      </w:r>
    </w:p>
    <w:p w:rsidR="00B95188" w:rsidRPr="008E58C7" w:rsidRDefault="00B95188" w:rsidP="00B72EF9">
      <w:pPr>
        <w:pStyle w:val="12"/>
      </w:pPr>
      <w:r w:rsidRPr="008E58C7">
        <w:t>JCR Abbreviated Title: Heart</w:t>
      </w:r>
    </w:p>
    <w:p w:rsidR="00B95188" w:rsidRPr="008E58C7" w:rsidRDefault="00B95188" w:rsidP="00B72EF9">
      <w:pPr>
        <w:pStyle w:val="12"/>
      </w:pPr>
      <w:r w:rsidRPr="008E58C7">
        <w:t>ISSN: 1355-6037</w:t>
      </w:r>
    </w:p>
    <w:p w:rsidR="00B95188" w:rsidRPr="008E58C7" w:rsidRDefault="00B95188" w:rsidP="00B72EF9">
      <w:pPr>
        <w:pStyle w:val="12"/>
      </w:pPr>
      <w:r w:rsidRPr="008E58C7">
        <w:t>Issues/Year: 12</w:t>
      </w:r>
    </w:p>
    <w:p w:rsidR="00B95188" w:rsidRPr="008E58C7" w:rsidRDefault="00B95188" w:rsidP="00B72EF9">
      <w:pPr>
        <w:pStyle w:val="12"/>
      </w:pPr>
      <w:r w:rsidRPr="008E58C7">
        <w:t>Journal Country/Territory: England</w:t>
      </w:r>
    </w:p>
    <w:p w:rsidR="00B95188" w:rsidRPr="008E58C7" w:rsidRDefault="00B95188" w:rsidP="00B72EF9">
      <w:pPr>
        <w:pStyle w:val="12"/>
      </w:pPr>
      <w:r w:rsidRPr="008E58C7">
        <w:t>Language: English</w:t>
      </w:r>
    </w:p>
    <w:p w:rsidR="00B95188" w:rsidRPr="008E58C7" w:rsidRDefault="00B95188" w:rsidP="00B72EF9">
      <w:pPr>
        <w:pStyle w:val="12"/>
      </w:pPr>
      <w:r w:rsidRPr="008E58C7">
        <w:t>Publisher: British Med Journal Publ Group</w:t>
      </w:r>
    </w:p>
    <w:p w:rsidR="00B95188" w:rsidRPr="008E58C7" w:rsidRDefault="00B95188" w:rsidP="00B72EF9">
      <w:pPr>
        <w:pStyle w:val="12"/>
      </w:pPr>
      <w:r w:rsidRPr="008E58C7">
        <w:t>Publisher Address: British Med Assoc House, Tavistock Square, London WC1H 9JR, England</w:t>
      </w:r>
    </w:p>
    <w:p w:rsidR="00B95188" w:rsidRPr="008E58C7" w:rsidRDefault="00B95188" w:rsidP="00B72EF9">
      <w:pPr>
        <w:pStyle w:val="12"/>
      </w:pPr>
      <w:r w:rsidRPr="008E58C7">
        <w:t>Subject Categories:</w:t>
      </w:r>
    </w:p>
    <w:p w:rsidR="00B95188" w:rsidRPr="008E58C7" w:rsidRDefault="00B95188" w:rsidP="00B72EF9">
      <w:pPr>
        <w:pStyle w:val="12"/>
      </w:pPr>
      <w:r w:rsidRPr="008E58C7">
        <w:t>Cardiac &amp; Cardiovascular Systems: Impact Factor</w:t>
      </w:r>
    </w:p>
    <w:p w:rsidR="00B95188" w:rsidRPr="00A428C3" w:rsidRDefault="00B95188" w:rsidP="00B95188">
      <w:pPr>
        <w:pStyle w:val="a0"/>
      </w:pPr>
      <w:r w:rsidRPr="00A428C3">
        <w:t>Maheswaran, R., Morris, S., Falconer, S., Grossinho, A., Perry, I., Wakefield, J.</w:t>
      </w:r>
      <w:r w:rsidR="00F81221">
        <w:t xml:space="preserve"> and </w:t>
      </w:r>
      <w:r w:rsidRPr="00A428C3">
        <w:t>Elliott, P. (1999), Magnesium in drinking water supplies</w:t>
      </w:r>
      <w:r w:rsidR="00F81221">
        <w:t xml:space="preserve"> and </w:t>
      </w:r>
      <w:r w:rsidRPr="00A428C3">
        <w:t xml:space="preserve">mortality from acute myocardial infarction in north west England. </w:t>
      </w:r>
      <w:r w:rsidRPr="00A428C3">
        <w:rPr>
          <w:i/>
        </w:rPr>
        <w:t>Heart</w:t>
      </w:r>
      <w:r w:rsidRPr="00A428C3">
        <w:t xml:space="preserve">, </w:t>
      </w:r>
      <w:r w:rsidRPr="00A428C3">
        <w:rPr>
          <w:b/>
        </w:rPr>
        <w:t>82</w:t>
      </w:r>
      <w:r w:rsidRPr="00A428C3">
        <w:t xml:space="preserve"> (4), 455-460.</w:t>
      </w:r>
    </w:p>
    <w:p w:rsidR="0051348E" w:rsidRDefault="0051348E" w:rsidP="0051348E">
      <w:pPr>
        <w:pStyle w:val="a0"/>
        <w:rPr>
          <w:kern w:val="0"/>
        </w:rPr>
      </w:pPr>
      <w:r>
        <w:rPr>
          <w:rFonts w:hint="eastAsia"/>
          <w:kern w:val="0"/>
        </w:rPr>
        <w:t xml:space="preserve">Full Text: </w:t>
      </w:r>
      <w:hyperlink r:id="rId613" w:history="1">
        <w:r w:rsidRPr="0051348E">
          <w:rPr>
            <w:rStyle w:val="a5"/>
            <w:kern w:val="0"/>
          </w:rPr>
          <w:t>1999\Heart82, 455.pdf</w:t>
        </w:r>
      </w:hyperlink>
    </w:p>
    <w:p w:rsidR="00B95188" w:rsidRPr="00A428C3" w:rsidRDefault="00B95188" w:rsidP="00B95188">
      <w:pPr>
        <w:pStyle w:val="a0"/>
      </w:pPr>
      <w:r w:rsidRPr="00A428C3">
        <w:t>Abstract: OBJECTIVES: To examine whether higher concentrations of magnesium in drinking water supplies are associated with lower mortality from acute myocardial infarction at a small area geographical level; to examine if the association is modified by age, sex,</w:t>
      </w:r>
      <w:r w:rsidR="00F81221">
        <w:t xml:space="preserve"> and </w:t>
      </w:r>
      <w:r w:rsidRPr="00A428C3">
        <w:t>socioeconomic deprivation.</w:t>
      </w:r>
    </w:p>
    <w:p w:rsidR="00B95188" w:rsidRPr="00A428C3" w:rsidRDefault="00B95188" w:rsidP="00B95188">
      <w:pPr>
        <w:pStyle w:val="a0"/>
      </w:pPr>
      <w:r w:rsidRPr="00A428C3">
        <w:t>DESIGN: Small area geographical study using 13, 794 census enumeration districts. Water constituent concentrations (magnesium, calcium, fluoride, lead) measured at water supply zone</w:t>
      </w:r>
      <w:r w:rsidR="00F81221">
        <w:t xml:space="preserve"> and </w:t>
      </w:r>
      <w:r w:rsidRPr="00A428C3">
        <w:t>assigned to enumeration districts.</w:t>
      </w:r>
    </w:p>
    <w:p w:rsidR="00B95188" w:rsidRPr="00A428C3" w:rsidRDefault="00B95188" w:rsidP="00B95188">
      <w:pPr>
        <w:pStyle w:val="a0"/>
      </w:pPr>
      <w:r w:rsidRPr="00A428C3">
        <w:t xml:space="preserve">SETTING: 305 water supply zones in </w:t>
      </w:r>
      <w:smartTag w:uri="urn:schemas-microsoft-com:office:smarttags" w:element="State">
        <w:r w:rsidRPr="00A428C3">
          <w:t>north west</w:t>
        </w:r>
      </w:smartTag>
      <w:r w:rsidRPr="00A428C3">
        <w:t xml:space="preserve"> </w:t>
      </w:r>
      <w:smartTag w:uri="urn:schemas-microsoft-com:office:smarttags" w:element="place">
        <w:smartTag w:uri="urn:schemas-microsoft-com:office:smarttags" w:element="country-region">
          <w:r w:rsidRPr="00A428C3">
            <w:t>England</w:t>
          </w:r>
        </w:smartTag>
      </w:smartTag>
      <w:r w:rsidRPr="00A428C3">
        <w:t>.</w:t>
      </w:r>
    </w:p>
    <w:p w:rsidR="00B95188" w:rsidRPr="00A428C3" w:rsidRDefault="00B95188" w:rsidP="00B95188">
      <w:pPr>
        <w:pStyle w:val="a0"/>
      </w:pPr>
      <w:r w:rsidRPr="00A428C3">
        <w:t>SUBJECTS: Resident population of 1, 124, 623 men</w:t>
      </w:r>
      <w:r w:rsidR="00F81221">
        <w:t xml:space="preserve"> and </w:t>
      </w:r>
      <w:r w:rsidRPr="00A428C3">
        <w:t>1, 372, 036 women (1991 census) aged 45 years or more.</w:t>
      </w:r>
    </w:p>
    <w:p w:rsidR="00B95188" w:rsidRPr="00A428C3" w:rsidRDefault="00B95188" w:rsidP="00B95188">
      <w:pPr>
        <w:pStyle w:val="a0"/>
      </w:pPr>
      <w:r w:rsidRPr="00A428C3">
        <w:t>MAIN OUTCOME MEASURE: Mortality from acute myocardial infarction, International Classification of Diseases, ninth revision (ICD-9) 410. Subsidiary analysis examined deaths from ischaemic heart disease, ICD 410-414.</w:t>
      </w:r>
    </w:p>
    <w:p w:rsidR="00B95188" w:rsidRPr="00A428C3" w:rsidRDefault="00B95188" w:rsidP="00B95188">
      <w:pPr>
        <w:pStyle w:val="a0"/>
      </w:pPr>
      <w:r w:rsidRPr="00A428C3">
        <w:t>RESULTS: There were 21, 339 male</w:t>
      </w:r>
      <w:r w:rsidR="00F81221">
        <w:t xml:space="preserve"> and </w:t>
      </w:r>
      <w:r w:rsidRPr="00A428C3">
        <w:t>17, 883 female deaths from acute myocardial infarction in 1990-92. Drinking water magnesium concentrations in water zones ranged from 2 mg/l to 111 mg/l (mean (SD) 19 (20) mg/l, median 12 mg/l); 24% of variation in magnesium concentrations was within zone</w:t>
      </w:r>
      <w:r w:rsidR="00F81221">
        <w:t xml:space="preserve"> and </w:t>
      </w:r>
      <w:r w:rsidRPr="00A428C3">
        <w:t>76% was between zone. The relative risk of mortality from acute myocardial infarction (standardised for age, sex,</w:t>
      </w:r>
      <w:r w:rsidR="00F81221">
        <w:t xml:space="preserve"> and </w:t>
      </w:r>
      <w:r w:rsidRPr="00A428C3">
        <w:t xml:space="preserve">Carstairs deprivation quintile) for a quadrupling of magnesium concentrations in drinking water (for example, 20 mg/l v 5 mg/l) was 1.01 (95% </w:t>
      </w:r>
      <w:r w:rsidRPr="00A428C3">
        <w:lastRenderedPageBreak/>
        <w:t>confidence interval (CI) 0.99 to 1.03). When adjusted for north-south</w:t>
      </w:r>
      <w:r w:rsidR="00F81221">
        <w:t xml:space="preserve"> and </w:t>
      </w:r>
      <w:r w:rsidRPr="00A428C3">
        <w:t>east-west trends in mortality from acute myocardial infarction</w:t>
      </w:r>
      <w:r w:rsidR="00F81221">
        <w:t xml:space="preserve"> and </w:t>
      </w:r>
      <w:r w:rsidRPr="00A428C3">
        <w:t>for drinking water calcium, fluoride,</w:t>
      </w:r>
      <w:r w:rsidR="00F81221">
        <w:t xml:space="preserve"> and </w:t>
      </w:r>
      <w:r w:rsidRPr="00A428C3">
        <w:t>lead concentrations, this relative risk was 1.01 (95% CI 0.96 to 1.06). There was no evidence of a protective effect for acute myocardial infarction even among age, sex,</w:t>
      </w:r>
      <w:r w:rsidR="00F81221">
        <w:t xml:space="preserve"> and </w:t>
      </w:r>
      <w:r w:rsidRPr="00A428C3">
        <w:t>deprivation groups that were likely to be relatively magnesium deficient. For ischaemic heart disease mortality there was an apparent protective effect of magnesium</w:t>
      </w:r>
      <w:r w:rsidR="00F81221">
        <w:t xml:space="preserve"> and </w:t>
      </w:r>
      <w:r w:rsidRPr="00A428C3">
        <w:t>calcium (with calcium predominating in the joint model), but these were no longer significant when the geographical trends were incorporated.</w:t>
      </w:r>
    </w:p>
    <w:p w:rsidR="00B95188" w:rsidRPr="00A428C3" w:rsidRDefault="00B95188" w:rsidP="00B95188">
      <w:pPr>
        <w:pStyle w:val="a0"/>
      </w:pPr>
      <w:r w:rsidRPr="00A428C3">
        <w:t>CONCLUSIONS: No evidence was found of an association between magnesium concentrations in drinking water supplies</w:t>
      </w:r>
      <w:r w:rsidR="00F81221">
        <w:t xml:space="preserve"> and </w:t>
      </w:r>
      <w:r w:rsidRPr="00A428C3">
        <w:t>mortality from acute myocardial infarction. These results do not support the hypothesis that magnesium is the key water factor in relation to mortality from heart disease.</w:t>
      </w:r>
    </w:p>
    <w:p w:rsidR="00C81E06" w:rsidRDefault="00C81E06" w:rsidP="00C81E06">
      <w:pPr>
        <w:pStyle w:val="a0"/>
        <w:rPr>
          <w:kern w:val="0"/>
        </w:rPr>
      </w:pPr>
      <w:r>
        <w:rPr>
          <w:rFonts w:hint="eastAsia"/>
          <w:kern w:val="0"/>
        </w:rPr>
        <w:t xml:space="preserve">? </w:t>
      </w:r>
      <w:r>
        <w:rPr>
          <w:kern w:val="0"/>
        </w:rPr>
        <w:t>Hackam, D.G.</w:t>
      </w:r>
      <w:r w:rsidR="00F81221">
        <w:rPr>
          <w:kern w:val="0"/>
        </w:rPr>
        <w:t xml:space="preserve"> and </w:t>
      </w:r>
      <w:r>
        <w:rPr>
          <w:kern w:val="0"/>
        </w:rPr>
        <w:t xml:space="preserve">Eikelboom, J.W. (2007), Antithrombotic treatment for peripheral arterial disease. </w:t>
      </w:r>
      <w:r>
        <w:rPr>
          <w:i/>
          <w:iCs/>
          <w:kern w:val="0"/>
        </w:rPr>
        <w:t>Heart</w:t>
      </w:r>
      <w:r>
        <w:rPr>
          <w:kern w:val="0"/>
        </w:rPr>
        <w:t xml:space="preserve">, </w:t>
      </w:r>
      <w:r>
        <w:rPr>
          <w:b/>
          <w:bCs/>
          <w:kern w:val="0"/>
        </w:rPr>
        <w:t>93</w:t>
      </w:r>
      <w:r>
        <w:rPr>
          <w:kern w:val="0"/>
        </w:rPr>
        <w:t xml:space="preserve"> (3), 303-308.</w:t>
      </w:r>
    </w:p>
    <w:p w:rsidR="0051348E" w:rsidRDefault="0051348E" w:rsidP="0051348E">
      <w:pPr>
        <w:pStyle w:val="a0"/>
        <w:rPr>
          <w:kern w:val="0"/>
        </w:rPr>
      </w:pPr>
      <w:r>
        <w:rPr>
          <w:rFonts w:hint="eastAsia"/>
          <w:kern w:val="0"/>
        </w:rPr>
        <w:t xml:space="preserve">Full Text: </w:t>
      </w:r>
      <w:hyperlink r:id="rId614" w:history="1">
        <w:r w:rsidRPr="0051348E">
          <w:rPr>
            <w:rStyle w:val="a5"/>
            <w:kern w:val="0"/>
          </w:rPr>
          <w:t>2007\Heart93, 303.pdf</w:t>
        </w:r>
      </w:hyperlink>
    </w:p>
    <w:p w:rsidR="00C81E06" w:rsidRDefault="00C81E06" w:rsidP="00C81E06">
      <w:pPr>
        <w:pStyle w:val="a0"/>
        <w:rPr>
          <w:kern w:val="0"/>
        </w:rPr>
      </w:pPr>
      <w:r>
        <w:rPr>
          <w:kern w:val="0"/>
        </w:rPr>
        <w:t>Abstract: Context: Patients with peripheral arterial disease (PAD) bear a substantial risk for vascular events in the coronary, cerebral</w:t>
      </w:r>
      <w:r w:rsidR="00F81221">
        <w:rPr>
          <w:kern w:val="0"/>
        </w:rPr>
        <w:t xml:space="preserve"> and </w:t>
      </w:r>
      <w:r>
        <w:rPr>
          <w:kern w:val="0"/>
        </w:rPr>
        <w:t>peripheral circulations. In addition, this disorder is associated with a systemic milieu characterised by ongoing platelet activation</w:t>
      </w:r>
      <w:r w:rsidR="00F81221">
        <w:rPr>
          <w:kern w:val="0"/>
        </w:rPr>
        <w:t xml:space="preserve"> and </w:t>
      </w:r>
      <w:r>
        <w:rPr>
          <w:kern w:val="0"/>
        </w:rPr>
        <w:t>heightened thrombogenesis. Objective: To determine the optimal antithrombotic prophylaxis for patients with PAD. Data sources: Using terms related to PAD</w:t>
      </w:r>
      <w:r w:rsidR="00F81221">
        <w:rPr>
          <w:kern w:val="0"/>
        </w:rPr>
        <w:t xml:space="preserve"> and </w:t>
      </w:r>
      <w:r>
        <w:rPr>
          <w:kern w:val="0"/>
        </w:rPr>
        <w:t>antithrombotic agents, we searched the following databases for relevant articles: MEDLINE, EMBASE, the Cochrane Central Register of Controlled Trials, the Cochrane Database of Systematic Reviews, the National Institutes of Health Clinical Trials Database, Web of Science,</w:t>
      </w:r>
      <w:r w:rsidR="00F81221">
        <w:rPr>
          <w:kern w:val="0"/>
        </w:rPr>
        <w:t xml:space="preserve"> and </w:t>
      </w:r>
      <w:r>
        <w:rPr>
          <w:kern w:val="0"/>
        </w:rPr>
        <w:t>the International Pharmaceutical Abstracts Database (search dates: 1 January 1990 to 1 January 2007). Additional articles were identified from cardiovascular</w:t>
      </w:r>
      <w:r w:rsidR="00F81221">
        <w:rPr>
          <w:kern w:val="0"/>
        </w:rPr>
        <w:t xml:space="preserve"> and </w:t>
      </w:r>
      <w:r>
        <w:rPr>
          <w:kern w:val="0"/>
        </w:rPr>
        <w:t>vascular surgery conference proceedings, bibliographies of review articles,</w:t>
      </w:r>
      <w:r w:rsidR="00F81221">
        <w:rPr>
          <w:kern w:val="0"/>
        </w:rPr>
        <w:t xml:space="preserve"> and </w:t>
      </w:r>
      <w:r>
        <w:rPr>
          <w:kern w:val="0"/>
        </w:rPr>
        <w:t>personal files. Study selection: We focused on randomised trials, systematic reviews</w:t>
      </w:r>
      <w:r w:rsidR="00F81221">
        <w:rPr>
          <w:kern w:val="0"/>
        </w:rPr>
        <w:t xml:space="preserve"> and </w:t>
      </w:r>
      <w:r>
        <w:rPr>
          <w:kern w:val="0"/>
        </w:rPr>
        <w:t>consensus guidelines of antithrombotic therapies for PAD. Data extraction: Detailed study information was abstracted by each author working independently. Results: Multiple studies show that patients with PAD manifest platelet hyperaggregability, increased levels of soluble platelet activation markers, enhanced thrombin generation</w:t>
      </w:r>
      <w:r w:rsidR="00F81221">
        <w:rPr>
          <w:kern w:val="0"/>
        </w:rPr>
        <w:t xml:space="preserve"> and </w:t>
      </w:r>
      <w:r>
        <w:rPr>
          <w:kern w:val="0"/>
        </w:rPr>
        <w:t>altered fibrinolytic potential. Many of these markers predict subsequent cardiovascular events. Available randomised trials</w:t>
      </w:r>
      <w:r w:rsidR="00F81221">
        <w:rPr>
          <w:kern w:val="0"/>
        </w:rPr>
        <w:t xml:space="preserve"> and </w:t>
      </w:r>
      <w:r>
        <w:rPr>
          <w:kern w:val="0"/>
        </w:rPr>
        <w:t>meta-analyses show that most available antithrombotic agents prevent major cardiovascular events</w:t>
      </w:r>
      <w:r w:rsidR="00F81221">
        <w:rPr>
          <w:kern w:val="0"/>
        </w:rPr>
        <w:t xml:space="preserve"> and </w:t>
      </w:r>
      <w:r>
        <w:rPr>
          <w:kern w:val="0"/>
        </w:rPr>
        <w:t>death in patients with PAD, including aspirin, aspirin/dipyridamole, clopidogrel, ticlopidine, picotamide</w:t>
      </w:r>
      <w:r w:rsidR="00F81221">
        <w:rPr>
          <w:kern w:val="0"/>
        </w:rPr>
        <w:t xml:space="preserve"> and </w:t>
      </w:r>
      <w:r>
        <w:rPr>
          <w:kern w:val="0"/>
        </w:rPr>
        <w:t>oral anticoagulants. Conclusions: Although the most favourable risk-benefit profile, cost-effectiveness</w:t>
      </w:r>
      <w:r w:rsidR="00F81221">
        <w:rPr>
          <w:kern w:val="0"/>
        </w:rPr>
        <w:t xml:space="preserve"> and </w:t>
      </w:r>
      <w:r>
        <w:rPr>
          <w:kern w:val="0"/>
        </w:rPr>
        <w:t>overall evidence base supports aspirin in this setting, we provide scenarios in which alternatives to aspirin should be considered.</w:t>
      </w:r>
    </w:p>
    <w:p w:rsidR="00C81E06" w:rsidRDefault="00C81E06" w:rsidP="00C81E06">
      <w:pPr>
        <w:pStyle w:val="a0"/>
        <w:rPr>
          <w:kern w:val="0"/>
        </w:rPr>
      </w:pPr>
      <w:r>
        <w:rPr>
          <w:kern w:val="0"/>
        </w:rPr>
        <w:lastRenderedPageBreak/>
        <w:t>Keywords: Anticoagulants, Antiplatelet Therapy, Author, Cardiovascular, Cochrane, Cost-Effectiveness, Databases, Disease, Disorder, Embase, Guidelines, Health, High-Risk Patients, Information, Intermittent Claudication, Medline, Occlusive Disease, P-Selectin Expression, Placebo-Controlled Trial, Platelet Activation, Profile, Quality-of-Life, Randomized Controlled-Trial, Review, Risk, Science, Surgery, Systematic, Systematic Reviews, Treatment, Vascular-Disease, Web of Science</w:t>
      </w:r>
    </w:p>
    <w:p w:rsidR="00BE3923" w:rsidRDefault="00BE3923" w:rsidP="00BE3923">
      <w:pPr>
        <w:pStyle w:val="a0"/>
        <w:rPr>
          <w:kern w:val="0"/>
        </w:rPr>
      </w:pPr>
      <w:r>
        <w:rPr>
          <w:rFonts w:hint="eastAsia"/>
          <w:kern w:val="0"/>
        </w:rPr>
        <w:t xml:space="preserve">? </w:t>
      </w:r>
      <w:r>
        <w:rPr>
          <w:kern w:val="0"/>
        </w:rPr>
        <w:t>Spruit, M.A., Eterman, R.M.A., Hellwig, V.A.C.V., Janssen, P.P., Wouters, E.F.M.</w:t>
      </w:r>
      <w:r w:rsidR="00F81221">
        <w:rPr>
          <w:kern w:val="0"/>
        </w:rPr>
        <w:t xml:space="preserve"> and </w:t>
      </w:r>
      <w:r>
        <w:rPr>
          <w:kern w:val="0"/>
        </w:rPr>
        <w:t xml:space="preserve">Uszko-Lencer, N.H.M.K. (2009), Effects of moderate-to-high intensity resistance training in patients with chronic heart failure. </w:t>
      </w:r>
      <w:r>
        <w:rPr>
          <w:i/>
          <w:iCs/>
          <w:kern w:val="0"/>
        </w:rPr>
        <w:t>Heart</w:t>
      </w:r>
      <w:r>
        <w:rPr>
          <w:kern w:val="0"/>
        </w:rPr>
        <w:t xml:space="preserve">, </w:t>
      </w:r>
      <w:r>
        <w:rPr>
          <w:b/>
          <w:bCs/>
          <w:kern w:val="0"/>
        </w:rPr>
        <w:t>95</w:t>
      </w:r>
      <w:r>
        <w:rPr>
          <w:kern w:val="0"/>
        </w:rPr>
        <w:t xml:space="preserve"> (17), 1399-1408.</w:t>
      </w:r>
    </w:p>
    <w:p w:rsidR="0051348E" w:rsidRDefault="0051348E" w:rsidP="0051348E">
      <w:pPr>
        <w:pStyle w:val="a0"/>
        <w:rPr>
          <w:kern w:val="0"/>
        </w:rPr>
      </w:pPr>
      <w:r>
        <w:rPr>
          <w:rFonts w:hint="eastAsia"/>
          <w:kern w:val="0"/>
        </w:rPr>
        <w:t xml:space="preserve">Full Text: </w:t>
      </w:r>
      <w:hyperlink r:id="rId615" w:history="1">
        <w:r w:rsidRPr="0051348E">
          <w:rPr>
            <w:rStyle w:val="a5"/>
            <w:kern w:val="0"/>
          </w:rPr>
          <w:t>2009\Heart95, 1399.pdf</w:t>
        </w:r>
      </w:hyperlink>
    </w:p>
    <w:p w:rsidR="00BE3923" w:rsidRDefault="00BE3923" w:rsidP="00BE3923">
      <w:pPr>
        <w:pStyle w:val="a0"/>
        <w:rPr>
          <w:kern w:val="0"/>
        </w:rPr>
      </w:pPr>
      <w:r>
        <w:rPr>
          <w:kern w:val="0"/>
        </w:rPr>
        <w:t>Abstract: Context: Resistance training may be beneficial for patients with chronic heart failure (CHF). Objective: To systematically review the methodological quality of,</w:t>
      </w:r>
      <w:r w:rsidR="00F81221">
        <w:rPr>
          <w:kern w:val="0"/>
        </w:rPr>
        <w:t xml:space="preserve"> and </w:t>
      </w:r>
      <w:r>
        <w:rPr>
          <w:kern w:val="0"/>
        </w:rPr>
        <w:t>summarise the effects of, moderate-to-high intensity resistance training in CHF. Data sources: Medline/PubMed, Science Citation Index Expanded, SSCI</w:t>
      </w:r>
      <w:r w:rsidR="00F81221">
        <w:rPr>
          <w:kern w:val="0"/>
        </w:rPr>
        <w:t xml:space="preserve"> and </w:t>
      </w:r>
      <w:r>
        <w:rPr>
          <w:kern w:val="0"/>
        </w:rPr>
        <w:t>A&amp;HCI. Study selection: English language (non-)randomised controlled trials. Data extraction: A predesigned data extraction form was used to obtain data on trial design</w:t>
      </w:r>
      <w:r w:rsidR="00F81221">
        <w:rPr>
          <w:kern w:val="0"/>
        </w:rPr>
        <w:t xml:space="preserve"> and </w:t>
      </w:r>
      <w:r>
        <w:rPr>
          <w:kern w:val="0"/>
        </w:rPr>
        <w:t>relevant results. Methodological quality of the identified trials were scored using the Delphi list. Results: Most of the 10 trials identified had moderate-to-severe methodological limitations. Effects of resistance training (alone or in combination with endurance training) are inconclusive for outcomes like exercise capacity</w:t>
      </w:r>
      <w:r w:rsidR="00F81221">
        <w:rPr>
          <w:kern w:val="0"/>
        </w:rPr>
        <w:t xml:space="preserve"> and </w:t>
      </w:r>
      <w:r>
        <w:rPr>
          <w:kern w:val="0"/>
        </w:rPr>
        <w:t>disease-specific quality of life. Conclusions: Even though moderate-to-high intensity resistance training does not seem be harmful for patients with CHF, the current peer-reviewed evidence seems inadequate to generally recommend incorporation of resistance training into exercise-based rehabilitation programmes for patients with CHF.</w:t>
      </w:r>
    </w:p>
    <w:p w:rsidR="00BE3923" w:rsidRDefault="00BE3923" w:rsidP="00BE3923">
      <w:pPr>
        <w:pStyle w:val="a0"/>
        <w:rPr>
          <w:kern w:val="0"/>
        </w:rPr>
      </w:pPr>
      <w:r>
        <w:rPr>
          <w:kern w:val="0"/>
        </w:rPr>
        <w:t>Keywords: Citation, Dilated Cardiomyopathy, Exercise, Exercise Prescription, Hemodynamic-Responses, Insulin Sensitivity, Neurohormonal Activation, NT-Probnp Levels, Outcomes, Physical-Activity, Quality, Quality-of-Life, Randomized-Trials, Science, Skeletal-Muscle Function</w:t>
      </w:r>
    </w:p>
    <w:p w:rsidR="00C81E06" w:rsidRDefault="00C81E06" w:rsidP="00C81E06">
      <w:pPr>
        <w:pStyle w:val="a0"/>
        <w:rPr>
          <w:kern w:val="0"/>
        </w:rPr>
      </w:pPr>
      <w:r>
        <w:rPr>
          <w:rFonts w:hint="eastAsia"/>
          <w:kern w:val="0"/>
        </w:rPr>
        <w:t xml:space="preserve">? </w:t>
      </w:r>
      <w:r>
        <w:rPr>
          <w:kern w:val="0"/>
        </w:rPr>
        <w:t>Siller-Matula, J.M., Huber, K., Christ, G., Schr</w:t>
      </w:r>
      <w:r w:rsidR="0051348E">
        <w:rPr>
          <w:rFonts w:hint="eastAsia"/>
          <w:kern w:val="0"/>
        </w:rPr>
        <w:t>\</w:t>
      </w:r>
      <w:r w:rsidR="0051348E">
        <w:rPr>
          <w:kern w:val="0"/>
        </w:rPr>
        <w:t>ö</w:t>
      </w:r>
      <w:r>
        <w:rPr>
          <w:kern w:val="0"/>
        </w:rPr>
        <w:t>r, K., Kubica, J., Herkner, H.</w:t>
      </w:r>
      <w:r w:rsidR="00F81221">
        <w:rPr>
          <w:kern w:val="0"/>
        </w:rPr>
        <w:t xml:space="preserve"> and </w:t>
      </w:r>
      <w:r>
        <w:rPr>
          <w:kern w:val="0"/>
        </w:rPr>
        <w:t>Jilma, B. (2011), Impact of clopidogrel loading dose on clinical outcome in patients undergoing percutaneous coronary intervention: A systematic review</w:t>
      </w:r>
      <w:r w:rsidR="00F81221">
        <w:rPr>
          <w:kern w:val="0"/>
        </w:rPr>
        <w:t xml:space="preserve"> and </w:t>
      </w:r>
      <w:r>
        <w:rPr>
          <w:kern w:val="0"/>
        </w:rPr>
        <w:t xml:space="preserve">meta-analysis. </w:t>
      </w:r>
      <w:r>
        <w:rPr>
          <w:i/>
          <w:iCs/>
          <w:kern w:val="0"/>
        </w:rPr>
        <w:t>Heart</w:t>
      </w:r>
      <w:r>
        <w:rPr>
          <w:kern w:val="0"/>
        </w:rPr>
        <w:t xml:space="preserve">, </w:t>
      </w:r>
      <w:r>
        <w:rPr>
          <w:b/>
          <w:bCs/>
          <w:kern w:val="0"/>
        </w:rPr>
        <w:t>97</w:t>
      </w:r>
      <w:r>
        <w:rPr>
          <w:kern w:val="0"/>
        </w:rPr>
        <w:t xml:space="preserve"> (2), 98-105.</w:t>
      </w:r>
    </w:p>
    <w:p w:rsidR="0051348E" w:rsidRDefault="0051348E" w:rsidP="0051348E">
      <w:pPr>
        <w:pStyle w:val="a0"/>
        <w:rPr>
          <w:kern w:val="0"/>
        </w:rPr>
      </w:pPr>
      <w:r>
        <w:rPr>
          <w:rFonts w:hint="eastAsia"/>
          <w:kern w:val="0"/>
        </w:rPr>
        <w:t xml:space="preserve">Full Text: </w:t>
      </w:r>
      <w:hyperlink r:id="rId616" w:history="1">
        <w:r w:rsidRPr="0051348E">
          <w:rPr>
            <w:rStyle w:val="a5"/>
            <w:kern w:val="0"/>
          </w:rPr>
          <w:t>2011\Heart97, 98.pdf</w:t>
        </w:r>
      </w:hyperlink>
    </w:p>
    <w:p w:rsidR="00C81E06" w:rsidRDefault="00C81E06" w:rsidP="00C81E06">
      <w:pPr>
        <w:pStyle w:val="a0"/>
        <w:rPr>
          <w:kern w:val="0"/>
        </w:rPr>
      </w:pPr>
      <w:r>
        <w:rPr>
          <w:kern w:val="0"/>
        </w:rPr>
        <w:t>Abstract: Context Enhanced platelet inhibition by clopidogrel decreases the risk of ischemic events but carries a risk for a concomitant increase in bleeding. Objectives To compare the efficacy</w:t>
      </w:r>
      <w:r w:rsidR="00F81221">
        <w:rPr>
          <w:kern w:val="0"/>
        </w:rPr>
        <w:t xml:space="preserve"> and </w:t>
      </w:r>
      <w:r>
        <w:rPr>
          <w:kern w:val="0"/>
        </w:rPr>
        <w:t xml:space="preserve">safety of two clopidogrel loading regimens (300mg vs. 600mg) in patients undergoing percutaneous coronary intervention (PCI) at one month after start of therapy. Data sources A systematic literature search of </w:t>
      </w:r>
      <w:r>
        <w:rPr>
          <w:kern w:val="0"/>
        </w:rPr>
        <w:lastRenderedPageBreak/>
        <w:t>MEDLINE, EMBASE, CENTRAL,</w:t>
      </w:r>
      <w:r w:rsidR="00F81221">
        <w:rPr>
          <w:kern w:val="0"/>
        </w:rPr>
        <w:t xml:space="preserve"> and </w:t>
      </w:r>
      <w:r>
        <w:rPr>
          <w:kern w:val="0"/>
        </w:rPr>
        <w:t>Web of Science databases using predefined search terms for relevant articles in any language. Study selection</w:t>
      </w:r>
      <w:r w:rsidR="00F81221">
        <w:rPr>
          <w:kern w:val="0"/>
        </w:rPr>
        <w:t xml:space="preserve"> and </w:t>
      </w:r>
      <w:r>
        <w:rPr>
          <w:kern w:val="0"/>
        </w:rPr>
        <w:t>data extraction Randomised controlled trials</w:t>
      </w:r>
      <w:r w:rsidR="00F81221">
        <w:rPr>
          <w:kern w:val="0"/>
        </w:rPr>
        <w:t xml:space="preserve"> and </w:t>
      </w:r>
      <w:r>
        <w:rPr>
          <w:kern w:val="0"/>
        </w:rPr>
        <w:t>non-randomised studies reporting adjusted effect estimates were included. Summary estimates of the risks ratios (RRs) with therapy were calculated using a random-effect model. Outcomes evaluated were combined major adverse cardiovascular events (MACE)</w:t>
      </w:r>
      <w:r w:rsidR="00F81221">
        <w:rPr>
          <w:kern w:val="0"/>
        </w:rPr>
        <w:t xml:space="preserve"> and </w:t>
      </w:r>
      <w:r>
        <w:rPr>
          <w:kern w:val="0"/>
        </w:rPr>
        <w:t>major bleedings. Results Seven studies met the inclusion criteria</w:t>
      </w:r>
      <w:r w:rsidR="00F81221">
        <w:rPr>
          <w:kern w:val="0"/>
        </w:rPr>
        <w:t xml:space="preserve"> and </w:t>
      </w:r>
      <w:r>
        <w:rPr>
          <w:kern w:val="0"/>
        </w:rPr>
        <w:t>included 25,383 patients. A 600mg clopidogrel loading was associated with a 34% relative risk reduction of MACE (RR-0.66; 95% confidence intervals CI=0.52-0.84; p&lt; 0.001). Sub-analysis revealed a 47% risk reduction of MACE in randomised trials (RR=0.53; 95% CI=0.32-0.88; p=0.01)</w:t>
      </w:r>
      <w:r w:rsidR="00F81221">
        <w:rPr>
          <w:kern w:val="0"/>
        </w:rPr>
        <w:t xml:space="preserve"> and </w:t>
      </w:r>
      <w:r>
        <w:rPr>
          <w:kern w:val="0"/>
        </w:rPr>
        <w:t>a 31% relative risk reduction in non-randomised trials (RR=0.69; 95% CI=0.54-0.90; p=0.005) in patients receiving 600mg loading with clopidogrel. In patients suffering from acute coronary syndrome, 600mg clopidogrel loading was associated with a 24% relative risk reduction in MACE (RR=0.76; 95% CI 0.60-0.95; p=0.02). Importantly, the 600mg clopidogrel loading dose was not associated with an increased risk of major bleedings (RR=0.91; 95% CI=0.73-1.15; p=0.44). Conclusions This meta-analysis demonstrates that intensified clopidogrel loading with 600mg reduces the rate of major cardiovascular events without increase in major bleeding compared to 300mg in patients undergoing PCI during one month follow-up.</w:t>
      </w:r>
    </w:p>
    <w:p w:rsidR="00C81E06" w:rsidRDefault="00C81E06" w:rsidP="00C81E06">
      <w:pPr>
        <w:pStyle w:val="a0"/>
        <w:rPr>
          <w:kern w:val="0"/>
        </w:rPr>
      </w:pPr>
      <w:r>
        <w:rPr>
          <w:kern w:val="0"/>
        </w:rPr>
        <w:t>Keywords: Acute Coronary Syndrome, Acute Myocardial-Infarction, American-College, Antiplatelet Therapy, Association Task-Force, Cardiovascular, Confidence Intervals, Databases, Efficacy, Embase, Follow-Up, Healthy-Subjects, Impact, Intervention, Literature, Medline, Meta-Analysis, Model, Outcome, Outcomes, Pci, Percutaneous Coronary Intervention, Phosphoprotein Phosphorylation Assay, Platelet Reactivity, Prasugrel, Relative Risk, Review, Risk, Risk Reduction, Safety, Science, St-Segment Elevation, Systematic, Systematic Review, Therapy, Vasp-Phosphorylation, Web of Science</w:t>
      </w:r>
    </w:p>
    <w:p w:rsidR="00C81E06" w:rsidRDefault="00C81E06" w:rsidP="00C81E06">
      <w:pPr>
        <w:pStyle w:val="a0"/>
        <w:rPr>
          <w:kern w:val="0"/>
        </w:rPr>
      </w:pPr>
      <w:r>
        <w:rPr>
          <w:rFonts w:hint="eastAsia"/>
          <w:kern w:val="0"/>
        </w:rPr>
        <w:t xml:space="preserve">? </w:t>
      </w:r>
      <w:r>
        <w:rPr>
          <w:kern w:val="0"/>
        </w:rPr>
        <w:t>Liu, T., Korantzopoulos, P., Shehata, M., Li, G.P., Wang, X.Z.</w:t>
      </w:r>
      <w:r w:rsidR="00F81221">
        <w:rPr>
          <w:kern w:val="0"/>
        </w:rPr>
        <w:t xml:space="preserve"> and </w:t>
      </w:r>
      <w:r>
        <w:rPr>
          <w:kern w:val="0"/>
        </w:rPr>
        <w:t xml:space="preserve">Kaul, S. (2011), Prevention of atrial fibrillation with omega-3 fatty acids: A meta-analysis of randomised clinical trials. </w:t>
      </w:r>
      <w:r>
        <w:rPr>
          <w:i/>
          <w:iCs/>
          <w:kern w:val="0"/>
        </w:rPr>
        <w:t>Heart</w:t>
      </w:r>
      <w:r>
        <w:rPr>
          <w:kern w:val="0"/>
        </w:rPr>
        <w:t xml:space="preserve">, </w:t>
      </w:r>
      <w:r>
        <w:rPr>
          <w:b/>
          <w:bCs/>
          <w:kern w:val="0"/>
        </w:rPr>
        <w:t>97</w:t>
      </w:r>
      <w:r>
        <w:rPr>
          <w:kern w:val="0"/>
        </w:rPr>
        <w:t xml:space="preserve"> (13), 1034-1040.</w:t>
      </w:r>
    </w:p>
    <w:p w:rsidR="0051348E" w:rsidRDefault="0051348E" w:rsidP="0051348E">
      <w:pPr>
        <w:pStyle w:val="a0"/>
        <w:rPr>
          <w:kern w:val="0"/>
        </w:rPr>
      </w:pPr>
      <w:r>
        <w:rPr>
          <w:rFonts w:hint="eastAsia"/>
          <w:kern w:val="0"/>
        </w:rPr>
        <w:t xml:space="preserve">Full Text: </w:t>
      </w:r>
      <w:hyperlink r:id="rId617" w:history="1">
        <w:r w:rsidRPr="0051348E">
          <w:rPr>
            <w:rStyle w:val="a5"/>
            <w:kern w:val="0"/>
          </w:rPr>
          <w:t>2011\Heart97, 1034.pdf</w:t>
        </w:r>
      </w:hyperlink>
    </w:p>
    <w:p w:rsidR="00C81E06" w:rsidRDefault="00C81E06" w:rsidP="00C81E06">
      <w:pPr>
        <w:pStyle w:val="a0"/>
        <w:rPr>
          <w:kern w:val="0"/>
        </w:rPr>
      </w:pPr>
      <w:r>
        <w:rPr>
          <w:kern w:val="0"/>
        </w:rPr>
        <w:t>Abstract: Context Previous randomised controlled trials (RCT) regarding n-3 PUFA supplementation for atrial fibrillation (AF) prevention have yielded conflicting results. Objective A systematic review</w:t>
      </w:r>
      <w:r w:rsidR="00F81221">
        <w:rPr>
          <w:kern w:val="0"/>
        </w:rPr>
        <w:t xml:space="preserve"> and </w:t>
      </w:r>
      <w:r>
        <w:rPr>
          <w:kern w:val="0"/>
        </w:rPr>
        <w:t>meta-analysis of RCT was conducted to examine the role of n-3 PUFA in AF prevention. Data Sources MEDLINE, Web of Science</w:t>
      </w:r>
      <w:r w:rsidR="00F81221">
        <w:rPr>
          <w:kern w:val="0"/>
        </w:rPr>
        <w:t xml:space="preserve"> and </w:t>
      </w:r>
      <w:r>
        <w:rPr>
          <w:kern w:val="0"/>
        </w:rPr>
        <w:t xml:space="preserve">Cochrane clinical trials database were searched until November 2010. Study Selection of 127 initially identified studies, 10 RCT with 1955 patients were finally analysed. Data Extraction Two blinded reviewers extracted data </w:t>
      </w:r>
      <w:r>
        <w:rPr>
          <w:kern w:val="0"/>
        </w:rPr>
        <w:lastRenderedPageBreak/>
        <w:t>independently to a predefined form. Disagreements were resolved through discussion</w:t>
      </w:r>
      <w:r w:rsidR="00F81221">
        <w:rPr>
          <w:kern w:val="0"/>
        </w:rPr>
        <w:t xml:space="preserve"> and </w:t>
      </w:r>
      <w:r>
        <w:rPr>
          <w:kern w:val="0"/>
        </w:rPr>
        <w:t>consensus. Results n-3 PUFA had no significant effect on the prevention of AF (OR 0.81, 95% CI 0.57 to 1.15; p = 0.24). There was significant heterogeneity among the studies (p = 0.002, I(2) = 65.0%). Subgroup analysis showed no significant beneficial effect of fish oils in any subset of population. Conclusions No significant effects of n-3 PUFA supplementation on AF prevention were observed in this meta-analysis. A large-scale trial with higher doses</w:t>
      </w:r>
      <w:r w:rsidR="00F81221">
        <w:rPr>
          <w:kern w:val="0"/>
        </w:rPr>
        <w:t xml:space="preserve"> and </w:t>
      </w:r>
      <w:r>
        <w:rPr>
          <w:kern w:val="0"/>
        </w:rPr>
        <w:t>longer follow-up might be required to rule out the possibility of any treatment benefit.</w:t>
      </w:r>
    </w:p>
    <w:p w:rsidR="00C81E06" w:rsidRDefault="00C81E06" w:rsidP="00C81E06">
      <w:pPr>
        <w:pStyle w:val="a0"/>
        <w:rPr>
          <w:kern w:val="0"/>
        </w:rPr>
      </w:pPr>
      <w:r>
        <w:rPr>
          <w:kern w:val="0"/>
        </w:rPr>
        <w:t>Keywords: Analysis, Artery-Bypass Surgery, Clinical Trials, Cochrane, Decrease, Double-Blind, Efficacy, Extraction, Fish, Follow-up, Medline, Meta-Analysis, Myocardial-Infarction, Placebo-Controlled Trial, Polyunsaturated Fatty-Acids, Prevention, Review, Risk, Science, Sources, Supplementation, Systematic, Systematic Review, Treatment, Web of Science</w:t>
      </w:r>
    </w:p>
    <w:p w:rsidR="0051348E" w:rsidRDefault="0051348E" w:rsidP="0051348E">
      <w:pPr>
        <w:pStyle w:val="a0"/>
        <w:rPr>
          <w:kern w:val="0"/>
        </w:rPr>
      </w:pPr>
      <w:r>
        <w:rPr>
          <w:rFonts w:hint="eastAsia"/>
          <w:kern w:val="0"/>
        </w:rPr>
        <w:t xml:space="preserve">? </w:t>
      </w:r>
      <w:r>
        <w:rPr>
          <w:kern w:val="0"/>
        </w:rPr>
        <w:t xml:space="preserve">Hernández, A.V., Pasupuleti, V., Deshpande, A., Bernabé-Ortiz, A. and Miranda, J.J. (2012), Effect of rural-to-urban within-country migration on cardiovascular risk factors in low- and middle-income countries: A systematic review. </w:t>
      </w:r>
      <w:r>
        <w:rPr>
          <w:i/>
          <w:iCs/>
          <w:kern w:val="0"/>
        </w:rPr>
        <w:t>Heart</w:t>
      </w:r>
      <w:r>
        <w:rPr>
          <w:kern w:val="0"/>
        </w:rPr>
        <w:t xml:space="preserve">, </w:t>
      </w:r>
      <w:r>
        <w:rPr>
          <w:b/>
          <w:bCs/>
          <w:kern w:val="0"/>
        </w:rPr>
        <w:t>98</w:t>
      </w:r>
      <w:r>
        <w:rPr>
          <w:kern w:val="0"/>
        </w:rPr>
        <w:t xml:space="preserve"> (3), 185-194.</w:t>
      </w:r>
    </w:p>
    <w:p w:rsidR="0051348E" w:rsidRDefault="0051348E" w:rsidP="0051348E">
      <w:pPr>
        <w:pStyle w:val="a0"/>
        <w:rPr>
          <w:kern w:val="0"/>
        </w:rPr>
      </w:pPr>
      <w:r>
        <w:rPr>
          <w:rFonts w:hint="eastAsia"/>
          <w:kern w:val="0"/>
        </w:rPr>
        <w:t xml:space="preserve">Full Text: </w:t>
      </w:r>
      <w:hyperlink r:id="rId618" w:history="1">
        <w:r w:rsidRPr="0051348E">
          <w:rPr>
            <w:rStyle w:val="a5"/>
            <w:kern w:val="0"/>
          </w:rPr>
          <w:t>2012\Heart98, 185.pdf</w:t>
        </w:r>
      </w:hyperlink>
    </w:p>
    <w:p w:rsidR="0051348E" w:rsidRDefault="0051348E" w:rsidP="0051348E">
      <w:pPr>
        <w:pStyle w:val="a0"/>
        <w:rPr>
          <w:kern w:val="0"/>
        </w:rPr>
      </w:pPr>
      <w:r>
        <w:rPr>
          <w:kern w:val="0"/>
        </w:rPr>
        <w:t xml:space="preserve">Abstract: Context Limited information is available of effects of rural-to-urban within-country migration on cardiovascular (CV) risk factors in low-and middle-income countries (LMIC). Objective A systematic review of studies evaluating these effects was performed with rural and/or urban control groups. Study selection Two teams of investigators searched observational studies in Medline, Web of Science and Scopus until May 2011. Studies evaluating international migration were excluded. Data extraction Three investigators extracted the information stratified by gender. Information on 17 known CV risk factors was obtained. Results Eighteen studies (n=58 536) were included. Studies were highly heterogeneous with respect to study design, migrant sampling frame, migrant urban exposure and reported CV risk factors. In migrants, commonly reported CV risk factorsdsystolic and diastolic blood pressure, body mass index, obesity, total cholesterol and low-density lipoprotein-were usually higher or more common than in the rural group and usually lower or less common than in the urban group. This gradient was usually present in both genders. Anthropometric (waist-to-hip ratio, hip/waist circumference, triceps skinfolds) and metabolic (fasting glucose/insulin, insulin resistance) risk factors usually followed the same gradient, but conclusions were weak as information was insufficient. Hypertension, high-density lipoprotein, fibrinogen and C-reactive protein did not follow any pattern. Conclusions In LMIC, most but not all, CV risk factors are higher or more common in migrants than in rural groups but lower or less common than in urban groups. Such gradients may or may not be </w:t>
      </w:r>
      <w:r>
        <w:rPr>
          <w:kern w:val="0"/>
        </w:rPr>
        <w:lastRenderedPageBreak/>
        <w:t>associated with differential CV events and long-term evaluations are necessary.</w:t>
      </w:r>
    </w:p>
    <w:p w:rsidR="0051348E" w:rsidRDefault="0051348E" w:rsidP="0051348E">
      <w:pPr>
        <w:pStyle w:val="a0"/>
        <w:rPr>
          <w:kern w:val="0"/>
        </w:rPr>
      </w:pPr>
      <w:r>
        <w:rPr>
          <w:kern w:val="0"/>
        </w:rPr>
        <w:t>Keywords: And Middle-Income Countries, Blood, Blood Pressure, Blood-Pressure, Body Mass Index, Cardiovascular, Cardiovascular Risk, Cholesterol, Control, Control Groups, Design, Epidemiology, Exposure, Extraction, Fasting, Gender, Hypertension, Information, Insulin, Lipoprotein, Low, Low- And Middle-Income Countries, Medline, Metaanalysis, Migrants, Migration, Obesity, Observational, Observational Studies, Pressure, Ratio, Resistance, Review, Risk, Risk Factors, Science, Scopus, Systematic, Systematic Review, Tanzania, Total Cholesterol, Urban, Web of Science</w:t>
      </w:r>
    </w:p>
    <w:p w:rsidR="008E58C7" w:rsidRPr="00217FB1" w:rsidRDefault="008E58C7" w:rsidP="008E58C7">
      <w:pPr>
        <w:pStyle w:val="1"/>
      </w:pPr>
      <w:r w:rsidRPr="00217FB1">
        <w:br w:type="page"/>
      </w:r>
      <w:bookmarkStart w:id="532" w:name="_Toc238862974"/>
      <w:bookmarkStart w:id="533" w:name="_Toc317161005"/>
      <w:r w:rsidRPr="00217FB1">
        <w:lastRenderedPageBreak/>
        <w:t xml:space="preserve">Title: </w:t>
      </w:r>
      <w:r w:rsidRPr="005861C0">
        <w:t>Heart Lung</w:t>
      </w:r>
      <w:r w:rsidR="00F81221">
        <w:t xml:space="preserve"> and </w:t>
      </w:r>
      <w:r w:rsidRPr="005861C0">
        <w:t>Circulation</w:t>
      </w:r>
      <w:bookmarkEnd w:id="532"/>
      <w:bookmarkEnd w:id="533"/>
    </w:p>
    <w:p w:rsidR="008E58C7" w:rsidRPr="00F82F1B" w:rsidRDefault="008E58C7" w:rsidP="00B72EF9">
      <w:pPr>
        <w:pStyle w:val="12"/>
      </w:pPr>
      <w:r w:rsidRPr="00F82F1B">
        <w:t xml:space="preserve">Full Journal Title: </w:t>
      </w:r>
      <w:hyperlink r:id="rId619" w:history="1">
        <w:r w:rsidRPr="002712CD">
          <w:rPr>
            <w:rStyle w:val="a5"/>
            <w:iCs/>
          </w:rPr>
          <w:t>Heart Lung</w:t>
        </w:r>
        <w:r w:rsidR="00F81221">
          <w:rPr>
            <w:rStyle w:val="a5"/>
            <w:iCs/>
          </w:rPr>
          <w:t xml:space="preserve"> and </w:t>
        </w:r>
        <w:r w:rsidRPr="002712CD">
          <w:rPr>
            <w:rStyle w:val="a5"/>
            <w:iCs/>
          </w:rPr>
          <w:t>Circulation</w:t>
        </w:r>
      </w:hyperlink>
    </w:p>
    <w:p w:rsidR="008E58C7" w:rsidRPr="00F82F1B" w:rsidRDefault="008E58C7" w:rsidP="00B72EF9">
      <w:pPr>
        <w:pStyle w:val="12"/>
      </w:pPr>
      <w:r w:rsidRPr="00F82F1B">
        <w:t xml:space="preserve">ISO Abbreviated Title: </w:t>
      </w:r>
    </w:p>
    <w:p w:rsidR="008E58C7" w:rsidRPr="00F82F1B" w:rsidRDefault="008E58C7" w:rsidP="00B72EF9">
      <w:pPr>
        <w:pStyle w:val="12"/>
      </w:pPr>
      <w:r w:rsidRPr="00F82F1B">
        <w:t>JCR Abbreviated Title</w:t>
      </w:r>
      <w:r>
        <w:t>:</w:t>
      </w:r>
      <w:r w:rsidRPr="00F82F1B">
        <w:t xml:space="preserve"> </w:t>
      </w:r>
    </w:p>
    <w:p w:rsidR="008E58C7" w:rsidRPr="00F82F1B" w:rsidRDefault="008E58C7" w:rsidP="00B72EF9">
      <w:pPr>
        <w:pStyle w:val="12"/>
      </w:pPr>
      <w:r w:rsidRPr="00F82F1B">
        <w:t xml:space="preserve">ISSN: </w:t>
      </w:r>
    </w:p>
    <w:p w:rsidR="008E58C7" w:rsidRPr="00F82F1B" w:rsidRDefault="008E58C7" w:rsidP="00B72EF9">
      <w:pPr>
        <w:pStyle w:val="12"/>
      </w:pPr>
      <w:r w:rsidRPr="00F82F1B">
        <w:t xml:space="preserve">Issues/Year: </w:t>
      </w:r>
    </w:p>
    <w:p w:rsidR="008E58C7" w:rsidRPr="00F82F1B" w:rsidRDefault="00FB5623" w:rsidP="00B72EF9">
      <w:pPr>
        <w:pStyle w:val="12"/>
      </w:pPr>
      <w:r>
        <w:t>Journal Country/Territory:</w:t>
      </w:r>
      <w:r w:rsidR="008E58C7">
        <w:t xml:space="preserve"> </w:t>
      </w:r>
    </w:p>
    <w:p w:rsidR="008E58C7" w:rsidRPr="00F82F1B" w:rsidRDefault="008E58C7" w:rsidP="00B72EF9">
      <w:pPr>
        <w:pStyle w:val="12"/>
      </w:pPr>
      <w:r w:rsidRPr="00F82F1B">
        <w:t xml:space="preserve">Language: </w:t>
      </w:r>
    </w:p>
    <w:p w:rsidR="008E58C7" w:rsidRPr="00F82F1B" w:rsidRDefault="008E58C7" w:rsidP="00B72EF9">
      <w:pPr>
        <w:pStyle w:val="12"/>
      </w:pPr>
      <w:r w:rsidRPr="00F82F1B">
        <w:t xml:space="preserve">Publisher: </w:t>
      </w:r>
    </w:p>
    <w:p w:rsidR="008E58C7" w:rsidRPr="00F82F1B" w:rsidRDefault="008E58C7" w:rsidP="00B72EF9">
      <w:pPr>
        <w:pStyle w:val="12"/>
      </w:pPr>
      <w:r w:rsidRPr="00F82F1B">
        <w:t xml:space="preserve">Publisher Address: </w:t>
      </w:r>
    </w:p>
    <w:p w:rsidR="008E58C7" w:rsidRPr="00F82F1B" w:rsidRDefault="008E58C7" w:rsidP="00B72EF9">
      <w:pPr>
        <w:pStyle w:val="12"/>
      </w:pPr>
      <w:r w:rsidRPr="00F82F1B">
        <w:t>Subject Categories:</w:t>
      </w:r>
    </w:p>
    <w:p w:rsidR="008E58C7" w:rsidRPr="00F82F1B" w:rsidRDefault="008E58C7" w:rsidP="00B72EF9">
      <w:pPr>
        <w:pStyle w:val="12"/>
      </w:pPr>
      <w:r w:rsidRPr="00F82F1B">
        <w:t xml:space="preserve">: Impact Factor </w:t>
      </w:r>
    </w:p>
    <w:p w:rsidR="008E58C7" w:rsidRDefault="008E58C7" w:rsidP="008E58C7">
      <w:pPr>
        <w:pStyle w:val="a0"/>
      </w:pPr>
      <w:r w:rsidRPr="00FB57D5">
        <w:rPr>
          <w:rFonts w:hint="eastAsia"/>
        </w:rPr>
        <w:t xml:space="preserve">? </w:t>
      </w:r>
      <w:r w:rsidRPr="00FB57D5">
        <w:t>Chand, V., Rosenfeldt, F.L.</w:t>
      </w:r>
      <w:r w:rsidR="00F81221">
        <w:t xml:space="preserve"> and </w:t>
      </w:r>
      <w:r w:rsidRPr="00FB57D5">
        <w:t>Pepe, S. (2008), The publication rate</w:t>
      </w:r>
      <w:r w:rsidR="00F81221">
        <w:t xml:space="preserve"> and </w:t>
      </w:r>
      <w:r w:rsidRPr="00FB57D5">
        <w:t>impact of abstracts presented at the Cardiac Society of Australia</w:t>
      </w:r>
      <w:r w:rsidR="00F81221">
        <w:t xml:space="preserve"> and </w:t>
      </w:r>
      <w:r w:rsidRPr="00FB57D5">
        <w:t xml:space="preserve">New Zealand (1999-2005). </w:t>
      </w:r>
      <w:r w:rsidRPr="00FB57D5">
        <w:rPr>
          <w:i/>
          <w:iCs/>
        </w:rPr>
        <w:t>Heart Lung</w:t>
      </w:r>
      <w:r w:rsidR="00F81221">
        <w:rPr>
          <w:i/>
          <w:iCs/>
        </w:rPr>
        <w:t xml:space="preserve"> and </w:t>
      </w:r>
      <w:r w:rsidRPr="00FB57D5">
        <w:rPr>
          <w:i/>
          <w:iCs/>
        </w:rPr>
        <w:t>Circulation</w:t>
      </w:r>
      <w:r w:rsidRPr="00FB57D5">
        <w:t xml:space="preserve">, </w:t>
      </w:r>
      <w:r w:rsidRPr="00FB57D5">
        <w:rPr>
          <w:b/>
          <w:bCs/>
        </w:rPr>
        <w:t>17</w:t>
      </w:r>
      <w:r w:rsidRPr="00FB57D5">
        <w:t xml:space="preserve"> (5), 375-379.</w:t>
      </w:r>
    </w:p>
    <w:p w:rsidR="008E58C7" w:rsidRPr="00FB57D5" w:rsidRDefault="008E58C7" w:rsidP="008E58C7">
      <w:pPr>
        <w:pStyle w:val="a0"/>
      </w:pPr>
      <w:r>
        <w:rPr>
          <w:rFonts w:hint="eastAsia"/>
        </w:rPr>
        <w:t xml:space="preserve">Full Text: </w:t>
      </w:r>
      <w:hyperlink r:id="rId620" w:history="1">
        <w:r w:rsidRPr="00C37136">
          <w:rPr>
            <w:rStyle w:val="a5"/>
          </w:rPr>
          <w:t>2008\Hea Lun Cir17, 375.pdf</w:t>
        </w:r>
      </w:hyperlink>
    </w:p>
    <w:p w:rsidR="008E58C7" w:rsidRPr="00FB57D5" w:rsidRDefault="008E58C7" w:rsidP="008E58C7">
      <w:pPr>
        <w:pStyle w:val="a0"/>
      </w:pPr>
      <w:r w:rsidRPr="00FB57D5">
        <w:t>Abstract: Aims: As there is no current information regarding the fate of abstracts presented at annual scientific meetings of the Cardiac Society of Australia</w:t>
      </w:r>
      <w:r w:rsidR="00F81221">
        <w:t xml:space="preserve"> and </w:t>
      </w:r>
      <w:r w:rsidRPr="00FB57D5">
        <w:t>New Zealand (CSANZ), we examined the publication rate</w:t>
      </w:r>
      <w:r w:rsidR="00F81221">
        <w:t xml:space="preserve"> and </w:t>
      </w:r>
      <w:r w:rsidRPr="00FB57D5">
        <w:t>indexed impact of original articles arising from these abstracts. Methods: Conference abstracts from 1999 to 2005 were evaluated as these were accessible in electronic file form. Searches were conducted for abstract authors</w:t>
      </w:r>
      <w:r w:rsidR="00F81221">
        <w:t xml:space="preserve"> and </w:t>
      </w:r>
      <w:r w:rsidRPr="00FB57D5">
        <w:t>keywords were searched for in journal publication citations (to November 30, 2007) in the National Library of Medicine (NIH, USA) PubMed database. A match of abstract to retrieve full article was identified on the basis of authorship, similarities in titles</w:t>
      </w:r>
      <w:r w:rsidR="00F81221">
        <w:t xml:space="preserve"> and </w:t>
      </w:r>
      <w:r w:rsidRPr="00FB57D5">
        <w:t>study design. The ISI Web of Knowledge(SM) citation database (Philadelphia, USA) was accessed for journal Citation Reports (R) impact factors (IF). Results: A total of 2172 abstract presentations resulted in 648 original publications (30%, mean IF = 4.4). Most publications were published within 1 (61%) or 2 years (84%), with a mean lag of 1.5 years. The proportions of abstract presentations represented by Clinical, Basic Science</w:t>
      </w:r>
      <w:r w:rsidR="00F81221">
        <w:t xml:space="preserve"> and </w:t>
      </w:r>
      <w:r w:rsidRPr="00FB57D5">
        <w:t>Surgical categories were 70.6%, 26.9%,</w:t>
      </w:r>
      <w:r w:rsidR="00F81221">
        <w:t xml:space="preserve"> and </w:t>
      </w:r>
      <w:r w:rsidRPr="00FB57D5">
        <w:t>2.5%, respectively. Subsequent publication rates (and IF) arising from within these categories were 25.8% (IF = 4.8),</w:t>
      </w:r>
      <w:r w:rsidRPr="00FB57D5">
        <w:rPr>
          <w:rFonts w:hint="eastAsia"/>
        </w:rPr>
        <w:t xml:space="preserve"> </w:t>
      </w:r>
      <w:r w:rsidRPr="00FB57D5">
        <w:t>34.4% (IF = 5.1)</w:t>
      </w:r>
      <w:r w:rsidR="00F81221">
        <w:t xml:space="preserve"> and </w:t>
      </w:r>
      <w:r w:rsidRPr="00FB57D5">
        <w:t>97.9% (IF= 3.1), respectively. Conclusions: (1) Almost a third of CSANZ abstract presentations result in publication of an original article. (2) Most are published within 1-2 years. (3) The average IF is mid-range, with 32% of publications having an IF above 4.4. Despite the limitations to publication faced by CSANZ members, a high quality</w:t>
      </w:r>
      <w:r w:rsidR="00F81221">
        <w:t xml:space="preserve"> and </w:t>
      </w:r>
      <w:r w:rsidRPr="00FB57D5">
        <w:t xml:space="preserve">timely publication rate </w:t>
      </w:r>
      <w:r w:rsidRPr="00FB57D5">
        <w:lastRenderedPageBreak/>
        <w:t>is nonetheless evident.</w:t>
      </w:r>
    </w:p>
    <w:p w:rsidR="008E58C7" w:rsidRPr="00FB57D5" w:rsidRDefault="008E58C7" w:rsidP="008E58C7">
      <w:pPr>
        <w:pStyle w:val="a0"/>
      </w:pPr>
      <w:r w:rsidRPr="00FB57D5">
        <w:t>Keywords: Annual Scientific Meetings, Australia, Authors, Authorship, Cardiology, Citation, Citations, Database, Design, Fate, Fate of Abstracts, Impact, Impact Factors, Information, ISI, Journal, Journals, New Zealand, NIH, Publication, Publication Rate, Publications, Pubmed, Quality, Rates, Study Design, USA</w:t>
      </w:r>
    </w:p>
    <w:p w:rsidR="00C81E06" w:rsidRPr="00217FB1" w:rsidRDefault="00C81E06" w:rsidP="00C81E06">
      <w:pPr>
        <w:pStyle w:val="1"/>
      </w:pPr>
      <w:r w:rsidRPr="00217FB1">
        <w:br w:type="page"/>
      </w:r>
      <w:bookmarkStart w:id="534" w:name="_Toc317161006"/>
      <w:r w:rsidRPr="00217FB1">
        <w:lastRenderedPageBreak/>
        <w:t xml:space="preserve">Title: </w:t>
      </w:r>
      <w:r w:rsidRPr="00C81E06">
        <w:rPr>
          <w:iCs/>
        </w:rPr>
        <w:t>Heart Rhythm</w:t>
      </w:r>
      <w:bookmarkEnd w:id="534"/>
    </w:p>
    <w:p w:rsidR="00C81E06" w:rsidRPr="00F82F1B" w:rsidRDefault="00C81E06" w:rsidP="00C81E06">
      <w:pPr>
        <w:pStyle w:val="12"/>
      </w:pPr>
      <w:r w:rsidRPr="00F82F1B">
        <w:t xml:space="preserve">Full Journal Title: </w:t>
      </w:r>
      <w:r w:rsidRPr="00C81E06">
        <w:rPr>
          <w:iCs/>
        </w:rPr>
        <w:t>Heart Rhythm</w:t>
      </w:r>
    </w:p>
    <w:p w:rsidR="00C81E06" w:rsidRPr="00F82F1B" w:rsidRDefault="00C81E06" w:rsidP="00C81E06">
      <w:pPr>
        <w:pStyle w:val="12"/>
      </w:pPr>
      <w:r w:rsidRPr="00F82F1B">
        <w:t xml:space="preserve">ISO Abbreviated Title: </w:t>
      </w:r>
    </w:p>
    <w:p w:rsidR="00C81E06" w:rsidRPr="00F82F1B" w:rsidRDefault="00C81E06" w:rsidP="00C81E06">
      <w:pPr>
        <w:pStyle w:val="12"/>
      </w:pPr>
      <w:r w:rsidRPr="00F82F1B">
        <w:t>JCR Abbreviated Title</w:t>
      </w:r>
      <w:r>
        <w:t>:</w:t>
      </w:r>
      <w:r w:rsidRPr="00F82F1B">
        <w:t xml:space="preserve"> </w:t>
      </w:r>
    </w:p>
    <w:p w:rsidR="00C81E06" w:rsidRPr="00F82F1B" w:rsidRDefault="00C81E06" w:rsidP="00C81E06">
      <w:pPr>
        <w:pStyle w:val="12"/>
      </w:pPr>
      <w:r w:rsidRPr="00F82F1B">
        <w:t xml:space="preserve">ISSN: </w:t>
      </w:r>
    </w:p>
    <w:p w:rsidR="00C81E06" w:rsidRPr="00F82F1B" w:rsidRDefault="00C81E06" w:rsidP="00C81E06">
      <w:pPr>
        <w:pStyle w:val="12"/>
      </w:pPr>
      <w:r w:rsidRPr="00F82F1B">
        <w:t xml:space="preserve">Issues/Year: </w:t>
      </w:r>
    </w:p>
    <w:p w:rsidR="00C81E06" w:rsidRPr="00F82F1B" w:rsidRDefault="00C81E06" w:rsidP="00C81E06">
      <w:pPr>
        <w:pStyle w:val="12"/>
      </w:pPr>
      <w:r>
        <w:t xml:space="preserve">Journal Country/Territory: </w:t>
      </w:r>
    </w:p>
    <w:p w:rsidR="00C81E06" w:rsidRPr="00F82F1B" w:rsidRDefault="00C81E06" w:rsidP="00C81E06">
      <w:pPr>
        <w:pStyle w:val="12"/>
      </w:pPr>
      <w:r w:rsidRPr="00F82F1B">
        <w:t xml:space="preserve">Language: </w:t>
      </w:r>
    </w:p>
    <w:p w:rsidR="00C81E06" w:rsidRPr="00F82F1B" w:rsidRDefault="00C81E06" w:rsidP="00C81E06">
      <w:pPr>
        <w:pStyle w:val="12"/>
      </w:pPr>
      <w:r w:rsidRPr="00F82F1B">
        <w:t xml:space="preserve">Publisher: </w:t>
      </w:r>
    </w:p>
    <w:p w:rsidR="00C81E06" w:rsidRPr="00F82F1B" w:rsidRDefault="00C81E06" w:rsidP="00C81E06">
      <w:pPr>
        <w:pStyle w:val="12"/>
      </w:pPr>
      <w:r w:rsidRPr="00F82F1B">
        <w:t xml:space="preserve">Publisher Address: </w:t>
      </w:r>
    </w:p>
    <w:p w:rsidR="00C81E06" w:rsidRPr="00F82F1B" w:rsidRDefault="00C81E06" w:rsidP="00C81E06">
      <w:pPr>
        <w:pStyle w:val="12"/>
      </w:pPr>
      <w:r w:rsidRPr="00F82F1B">
        <w:t>Subject Categories:</w:t>
      </w:r>
    </w:p>
    <w:p w:rsidR="00C81E06" w:rsidRPr="00F82F1B" w:rsidRDefault="00C81E06" w:rsidP="00C81E06">
      <w:pPr>
        <w:pStyle w:val="12"/>
      </w:pPr>
      <w:r w:rsidRPr="00F82F1B">
        <w:t xml:space="preserve">: Impact Factor </w:t>
      </w:r>
    </w:p>
    <w:p w:rsidR="00C81E06" w:rsidRDefault="00C81E06" w:rsidP="00C81E06">
      <w:pPr>
        <w:pStyle w:val="a0"/>
        <w:rPr>
          <w:kern w:val="0"/>
        </w:rPr>
      </w:pPr>
      <w:r>
        <w:rPr>
          <w:rFonts w:hint="eastAsia"/>
          <w:kern w:val="0"/>
        </w:rPr>
        <w:t xml:space="preserve">? </w:t>
      </w:r>
      <w:r>
        <w:rPr>
          <w:kern w:val="0"/>
        </w:rPr>
        <w:t>Baker, W.L., White, C.M., Kluger, J., Denowitz, A., Konecny, C.P.</w:t>
      </w:r>
      <w:r w:rsidR="00F81221">
        <w:rPr>
          <w:kern w:val="0"/>
        </w:rPr>
        <w:t xml:space="preserve"> and </w:t>
      </w:r>
      <w:r>
        <w:rPr>
          <w:kern w:val="0"/>
        </w:rPr>
        <w:t>Coleman, C.I. (2007), Effect of perioperative corticosteroid use on the incidence of postcardiothoracic surgery atrial fibrillation</w:t>
      </w:r>
      <w:r w:rsidR="00F81221">
        <w:rPr>
          <w:kern w:val="0"/>
        </w:rPr>
        <w:t xml:space="preserve"> and </w:t>
      </w:r>
      <w:r>
        <w:rPr>
          <w:kern w:val="0"/>
        </w:rPr>
        <w:t xml:space="preserve">length of stay. </w:t>
      </w:r>
      <w:r w:rsidRPr="00C81E06">
        <w:rPr>
          <w:i/>
          <w:iCs/>
          <w:kern w:val="0"/>
        </w:rPr>
        <w:t>Heart Rhythm</w:t>
      </w:r>
      <w:r>
        <w:rPr>
          <w:kern w:val="0"/>
        </w:rPr>
        <w:t xml:space="preserve">, </w:t>
      </w:r>
      <w:r>
        <w:rPr>
          <w:b/>
          <w:bCs/>
          <w:kern w:val="0"/>
        </w:rPr>
        <w:t>4</w:t>
      </w:r>
      <w:r>
        <w:rPr>
          <w:kern w:val="0"/>
        </w:rPr>
        <w:t xml:space="preserve"> (4), 461-468.</w:t>
      </w:r>
    </w:p>
    <w:p w:rsidR="00C81E06" w:rsidRDefault="00C81E06" w:rsidP="00C81E06">
      <w:pPr>
        <w:pStyle w:val="a0"/>
        <w:rPr>
          <w:kern w:val="0"/>
        </w:rPr>
      </w:pPr>
      <w:r>
        <w:rPr>
          <w:kern w:val="0"/>
        </w:rPr>
        <w:t>Abstract: BACKGROUND While the mechanism underlying the development of post-cardiothoracic surgery atrial fibrillation has not been fully elucidated, it has been suggested that inflammation may play a causative role. Corticosteroids have been traditionally used to reduce inflammation,</w:t>
      </w:r>
      <w:r w:rsidR="00F81221">
        <w:rPr>
          <w:kern w:val="0"/>
        </w:rPr>
        <w:t xml:space="preserve"> and </w:t>
      </w:r>
      <w:r>
        <w:rPr>
          <w:kern w:val="0"/>
        </w:rPr>
        <w:t>when administered perioperatively, they may decrease the incidence of atrial fibrillation. OBJECTIVE The purpose of this study was to investigate the effects of corticosteroid administration on the incidence of post-cardiothoracic surgery atrial fibrillation</w:t>
      </w:r>
      <w:r w:rsidR="00F81221">
        <w:rPr>
          <w:kern w:val="0"/>
        </w:rPr>
        <w:t xml:space="preserve"> and </w:t>
      </w:r>
      <w:r>
        <w:rPr>
          <w:kern w:val="0"/>
        </w:rPr>
        <w:t>resultant hospital length of stay. METHODS A systematic literature search of MEDLINE, EMBASE, Web of Science,</w:t>
      </w:r>
      <w:r w:rsidR="00F81221">
        <w:rPr>
          <w:kern w:val="0"/>
        </w:rPr>
        <w:t xml:space="preserve"> and </w:t>
      </w:r>
      <w:r>
        <w:rPr>
          <w:kern w:val="0"/>
        </w:rPr>
        <w:t>the Cochrane Database of Systematic Reviews through July 2006 was conducted using specific search terms. A review of cardiology abstracts</w:t>
      </w:r>
      <w:r w:rsidR="00F81221">
        <w:rPr>
          <w:kern w:val="0"/>
        </w:rPr>
        <w:t xml:space="preserve"> and </w:t>
      </w:r>
      <w:r>
        <w:rPr>
          <w:kern w:val="0"/>
        </w:rPr>
        <w:t>a manual review of references were also performed. Studies that met the following criteria were included: randomized, controlled trials comparing patients receiving perioperative corticosteroids or placebo</w:t>
      </w:r>
      <w:r w:rsidR="00F81221">
        <w:rPr>
          <w:kern w:val="0"/>
        </w:rPr>
        <w:t xml:space="preserve"> and </w:t>
      </w:r>
      <w:r>
        <w:rPr>
          <w:kern w:val="0"/>
        </w:rPr>
        <w:t>reporting data on post-cardiothoracic surgery atrial fibrillation. A random-effects model was used. RESULTS Nine of the 1396 citations initially identified, representing 990 patients, met the inclusion criteria. Upon meta-analysis, corticosteroids significantly lowered patients</w:t>
      </w:r>
      <w:r w:rsidR="000352E7">
        <w:rPr>
          <w:kern w:val="0"/>
        </w:rPr>
        <w:t>’</w:t>
      </w:r>
      <w:r>
        <w:rPr>
          <w:kern w:val="0"/>
        </w:rPr>
        <w:t xml:space="preserve"> odds of developing post-cardiothoracic surgery atrial fibrillation by 45% (odds ratio [OR] 0.55; 95% confidence interval [CI] 0.39-0.78)</w:t>
      </w:r>
      <w:r w:rsidR="00F81221">
        <w:rPr>
          <w:kern w:val="0"/>
        </w:rPr>
        <w:t xml:space="preserve"> and </w:t>
      </w:r>
      <w:r>
        <w:rPr>
          <w:kern w:val="0"/>
        </w:rPr>
        <w:t xml:space="preserve">reduced hospital Length of stay by approximately 1.6 days (weighted mean difference -1.59; 95% CI -2.96 to -0.21). Reductions in the incidence of post-cardiothoracic surgery atrial fibrillation appeared greatest in patients receiving intermediate doses of </w:t>
      </w:r>
      <w:r>
        <w:rPr>
          <w:kern w:val="0"/>
        </w:rPr>
        <w:lastRenderedPageBreak/>
        <w:t>corticosteroid (50-210 mg dexamethasone equivalent), while both lower (up to 8 mg)</w:t>
      </w:r>
      <w:r w:rsidR="00F81221">
        <w:rPr>
          <w:kern w:val="0"/>
        </w:rPr>
        <w:t xml:space="preserve"> and </w:t>
      </w:r>
      <w:r>
        <w:rPr>
          <w:kern w:val="0"/>
        </w:rPr>
        <w:t>higher (236-2850 mg) dosing resulted in blunted effects. CONCLUSION Corticosteroids appear to reduce the incidence of post-cardiothoracic surgery atrial fibrillation</w:t>
      </w:r>
      <w:r w:rsidR="00F81221">
        <w:rPr>
          <w:kern w:val="0"/>
        </w:rPr>
        <w:t xml:space="preserve"> and </w:t>
      </w:r>
      <w:r>
        <w:rPr>
          <w:kern w:val="0"/>
        </w:rPr>
        <w:t>shorten hospital length of stay in randomized controlled trials.</w:t>
      </w:r>
    </w:p>
    <w:p w:rsidR="00C81E06" w:rsidRDefault="00C81E06" w:rsidP="00C81E06">
      <w:pPr>
        <w:pStyle w:val="a0"/>
        <w:rPr>
          <w:kern w:val="0"/>
        </w:rPr>
      </w:pPr>
      <w:r>
        <w:rPr>
          <w:kern w:val="0"/>
        </w:rPr>
        <w:t>Keywords: C-Reactive Protein, Cardiac-Surgery, Cardiopulmonary Bypass, Citations, Cochrane, Corticosteroid, Development, Embase, Glucocorticoids, Hospital, Inflammation, Interleukin-6 Levels, Length of Stay, Literature, Mechanism, Medline, Meta-Analysis, Methylprednisolone, Model, Randomized Controlled Trials, Randomized-Trial, Ratio, Review, Risk, Science, Surgery, Systematic, Therapy, Web of Science</w:t>
      </w:r>
    </w:p>
    <w:p w:rsidR="00C81E06" w:rsidRDefault="00C81E06" w:rsidP="00C81E06">
      <w:pPr>
        <w:pStyle w:val="a0"/>
        <w:rPr>
          <w:kern w:val="0"/>
        </w:rPr>
      </w:pPr>
      <w:r>
        <w:rPr>
          <w:rFonts w:hint="eastAsia"/>
          <w:kern w:val="0"/>
        </w:rPr>
        <w:t xml:space="preserve">? </w:t>
      </w:r>
      <w:r>
        <w:rPr>
          <w:kern w:val="0"/>
        </w:rPr>
        <w:t>Mallidi, J., Nadkarni, G.N., Berger, R.D., Calkins, H.</w:t>
      </w:r>
      <w:r w:rsidR="00F81221">
        <w:rPr>
          <w:kern w:val="0"/>
        </w:rPr>
        <w:t xml:space="preserve"> and </w:t>
      </w:r>
      <w:r>
        <w:rPr>
          <w:kern w:val="0"/>
        </w:rPr>
        <w:t xml:space="preserve">Nazarian, S. (2011), Meta-analysis of catheter ablation as an adjunct to medical therapy for treatment of ventricular tachycardia in patients with structural heart disease. </w:t>
      </w:r>
      <w:r>
        <w:rPr>
          <w:i/>
          <w:iCs/>
          <w:kern w:val="0"/>
        </w:rPr>
        <w:t>Heart Rhythm</w:t>
      </w:r>
      <w:r>
        <w:rPr>
          <w:kern w:val="0"/>
        </w:rPr>
        <w:t xml:space="preserve">, </w:t>
      </w:r>
      <w:r>
        <w:rPr>
          <w:b/>
          <w:bCs/>
          <w:kern w:val="0"/>
        </w:rPr>
        <w:t>8</w:t>
      </w:r>
      <w:r>
        <w:rPr>
          <w:kern w:val="0"/>
        </w:rPr>
        <w:t xml:space="preserve"> (4), 503-510.</w:t>
      </w:r>
    </w:p>
    <w:p w:rsidR="00C81E06" w:rsidRDefault="00C81E06" w:rsidP="00C81E06">
      <w:pPr>
        <w:pStyle w:val="a0"/>
        <w:rPr>
          <w:kern w:val="0"/>
        </w:rPr>
      </w:pPr>
      <w:r>
        <w:rPr>
          <w:kern w:val="0"/>
        </w:rPr>
        <w:t>Abstract: BACKGROUND Most studies of catheter ablation for the treatment of ventricular tachycardia (VT) are relatively small observational trials. OBJECTIVE The purpose of this study was to define the relative risk of VT recurrence in patients undergoing catheter ablation as an adjunct to medical therapy versus medical therapy alone in a pooled analysis of controlled studies. METHODS Randomized</w:t>
      </w:r>
      <w:r w:rsidR="00F81221">
        <w:rPr>
          <w:kern w:val="0"/>
        </w:rPr>
        <w:t xml:space="preserve"> and </w:t>
      </w:r>
      <w:r>
        <w:rPr>
          <w:kern w:val="0"/>
        </w:rPr>
        <w:t>nonrandomized controlled trials of patients who underwent adjunctive catheter ablation of VT versus medical therapy alone were sought. MEDLINE, EMBASE, the Cochrane central register of controlled trials (CENTRAL),</w:t>
      </w:r>
      <w:r w:rsidR="00F81221">
        <w:rPr>
          <w:kern w:val="0"/>
        </w:rPr>
        <w:t xml:space="preserve"> and </w:t>
      </w:r>
      <w:r>
        <w:rPr>
          <w:kern w:val="0"/>
        </w:rPr>
        <w:t>Web of Science were searched from 1965 to July 2010. Supplemental searches included Internet resources, reference lists,</w:t>
      </w:r>
      <w:r w:rsidR="00F81221">
        <w:rPr>
          <w:kern w:val="0"/>
        </w:rPr>
        <w:t xml:space="preserve"> and </w:t>
      </w:r>
      <w:r>
        <w:rPr>
          <w:kern w:val="0"/>
        </w:rPr>
        <w:t>reports of arrhythmia experts. Three authors independently reviewed</w:t>
      </w:r>
      <w:r w:rsidR="00F81221">
        <w:rPr>
          <w:kern w:val="0"/>
        </w:rPr>
        <w:t xml:space="preserve"> and </w:t>
      </w:r>
      <w:r>
        <w:rPr>
          <w:kern w:val="0"/>
        </w:rPr>
        <w:t>extracted the data regarding baseline characteristics, ablation methodology, medical therapy, complications, VT recurrences, mortality,</w:t>
      </w:r>
      <w:r w:rsidR="00F81221">
        <w:rPr>
          <w:kern w:val="0"/>
        </w:rPr>
        <w:t xml:space="preserve"> and </w:t>
      </w:r>
      <w:r>
        <w:rPr>
          <w:kern w:val="0"/>
        </w:rPr>
        <w:t>study quality. RESULTS Five studies were included totaling 457 participants with structural heart disease. Adjunctive catheter ablation was performed in 58% of participants, whereas 42% received medical therapy alone for VT. Complications of catheter ablation included death (1%), stroke (1%), cardiac perforation (1%),</w:t>
      </w:r>
      <w:r w:rsidR="00F81221">
        <w:rPr>
          <w:kern w:val="0"/>
        </w:rPr>
        <w:t xml:space="preserve"> and </w:t>
      </w:r>
      <w:r>
        <w:rPr>
          <w:kern w:val="0"/>
        </w:rPr>
        <w:t>complete heart block (1.6%). Using a random- effects model, a statistically significant 35% reduction in the number of patients with VT recurrence was noted with adjunctive catheter ablation (P &lt; .001). There was no statistically significant difference in mortality. CONCLUSIONS Catheter ablation as an adjunct to medical therapy reduces VT recurrences in patients with structural heart disease</w:t>
      </w:r>
      <w:r w:rsidR="00F81221">
        <w:rPr>
          <w:kern w:val="0"/>
        </w:rPr>
        <w:t xml:space="preserve"> and </w:t>
      </w:r>
      <w:r>
        <w:rPr>
          <w:kern w:val="0"/>
        </w:rPr>
        <w:t>has no impact on mortality.</w:t>
      </w:r>
    </w:p>
    <w:p w:rsidR="00C81E06" w:rsidRDefault="00C81E06" w:rsidP="00C81E06">
      <w:pPr>
        <w:pStyle w:val="a0"/>
        <w:rPr>
          <w:kern w:val="0"/>
        </w:rPr>
      </w:pPr>
      <w:r>
        <w:rPr>
          <w:kern w:val="0"/>
        </w:rPr>
        <w:t xml:space="preserve">Keywords: Amiodarone, Analysis, Arrhythmia, Arrhythmias, Authors, Catheter Ablation, Cochrane, Complications, Controlled Studies, Disease, Embase, Failure, Impact, Implantable Cardioverter-Defibrillator, Internet, Medical, Medical Therapy, </w:t>
      </w:r>
      <w:r>
        <w:rPr>
          <w:kern w:val="0"/>
        </w:rPr>
        <w:lastRenderedPageBreak/>
        <w:t>Medline, Meta Analysis, Meta-Analysis, Methodology, Model, Mortality, Multicenter, Myocardial-Infarction, Pooled Analysis, Prophylactic Implantation, Randomized Controlled-Trial, Recurrence, Relative Risk, Risk, Science, Shocks, Single-Center, Stroke, Therapy, Treatment, Ventricular Tachycardia, Web of Science</w:t>
      </w:r>
    </w:p>
    <w:p w:rsidR="00B95188" w:rsidRPr="00A428C3" w:rsidRDefault="00B95188" w:rsidP="00B95188">
      <w:pPr>
        <w:pStyle w:val="1"/>
      </w:pPr>
      <w:r w:rsidRPr="00A428C3">
        <w:br w:type="page"/>
      </w:r>
      <w:bookmarkStart w:id="535" w:name="_Toc455569460"/>
      <w:bookmarkStart w:id="536" w:name="_Toc487190692"/>
      <w:bookmarkStart w:id="537" w:name="_Toc487882196"/>
      <w:bookmarkStart w:id="538" w:name="_Toc490688006"/>
      <w:bookmarkStart w:id="539" w:name="_Toc492807667"/>
      <w:bookmarkStart w:id="540" w:name="_Toc186647764"/>
      <w:bookmarkStart w:id="541" w:name="_Toc317161007"/>
      <w:r w:rsidRPr="00A428C3">
        <w:lastRenderedPageBreak/>
        <w:t>Title: Heavy Metals in the Aquatic Environment an International Conference</w:t>
      </w:r>
      <w:bookmarkEnd w:id="535"/>
      <w:bookmarkEnd w:id="536"/>
      <w:bookmarkEnd w:id="537"/>
      <w:bookmarkEnd w:id="538"/>
      <w:bookmarkEnd w:id="539"/>
      <w:bookmarkEnd w:id="540"/>
      <w:bookmarkEnd w:id="541"/>
    </w:p>
    <w:p w:rsidR="00B95188" w:rsidRPr="00A428C3" w:rsidRDefault="00B95188" w:rsidP="00B95188">
      <w:pPr>
        <w:pStyle w:val="a0"/>
      </w:pPr>
      <w:r w:rsidRPr="00A428C3">
        <w:t xml:space="preserve">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w:t>
      </w:r>
    </w:p>
    <w:p w:rsidR="00B95188" w:rsidRPr="00A428C3" w:rsidRDefault="00B95188" w:rsidP="00B95188">
      <w:pPr>
        <w:pStyle w:val="a0"/>
      </w:pPr>
      <w:r w:rsidRPr="00A428C3">
        <w:t>Reimers, R.S., Krenkel, P.A., Eagle, M.</w:t>
      </w:r>
      <w:r w:rsidR="00F81221">
        <w:t xml:space="preserve"> and </w:t>
      </w:r>
      <w:r w:rsidRPr="00A428C3">
        <w:t xml:space="preserve">Tragitt, G. (1975), Sorption phenomenon in the organics of bottom sediments.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117-129.</w:t>
      </w:r>
    </w:p>
    <w:p w:rsidR="00B95188" w:rsidRPr="00A428C3" w:rsidRDefault="00B95188" w:rsidP="00B95188">
      <w:pPr>
        <w:pStyle w:val="a0"/>
      </w:pPr>
      <w:bookmarkStart w:id="542" w:name="Miettinen"/>
      <w:r w:rsidRPr="00A428C3">
        <w:t>Miettinen</w:t>
      </w:r>
      <w:bookmarkEnd w:id="542"/>
      <w:r w:rsidRPr="00A428C3">
        <w:t xml:space="preserve">, J.K. (1975), The </w:t>
      </w:r>
      <w:bookmarkStart w:id="543" w:name="accumulation"/>
      <w:r w:rsidRPr="00A428C3">
        <w:t>accumulation</w:t>
      </w:r>
      <w:bookmarkEnd w:id="543"/>
      <w:r w:rsidR="00F81221">
        <w:t xml:space="preserve"> and </w:t>
      </w:r>
      <w:bookmarkStart w:id="544" w:name="excretion"/>
      <w:r w:rsidRPr="00A428C3">
        <w:t>excretion</w:t>
      </w:r>
      <w:bookmarkEnd w:id="544"/>
      <w:r w:rsidRPr="00A428C3">
        <w:t xml:space="preserve"> of heavy metals in </w:t>
      </w:r>
      <w:bookmarkStart w:id="545" w:name="organisms"/>
      <w:r w:rsidRPr="00A428C3">
        <w:t>organisms</w:t>
      </w:r>
      <w:bookmarkEnd w:id="545"/>
      <w:r w:rsidRPr="00A428C3">
        <w:t xml:space="preserve">. in </w:t>
      </w:r>
      <w:r w:rsidRPr="00A428C3">
        <w:rPr>
          <w:i/>
        </w:rPr>
        <w:t>Heavy Metals in the Aquatic Environment</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155-162.</w:t>
      </w:r>
    </w:p>
    <w:p w:rsidR="00B95188" w:rsidRPr="00A428C3" w:rsidRDefault="00B95188" w:rsidP="00B95188">
      <w:pPr>
        <w:pStyle w:val="a0"/>
      </w:pPr>
      <w:bookmarkStart w:id="546" w:name="Rolfe"/>
      <w:r w:rsidRPr="00A428C3">
        <w:t>Rolfe</w:t>
      </w:r>
      <w:bookmarkEnd w:id="546"/>
      <w:r w:rsidRPr="00A428C3">
        <w:t>, G.L.</w:t>
      </w:r>
      <w:r w:rsidR="00F81221">
        <w:t xml:space="preserve"> and </w:t>
      </w:r>
      <w:bookmarkStart w:id="547" w:name="Jennett"/>
      <w:r w:rsidRPr="00A428C3">
        <w:t>Jennett</w:t>
      </w:r>
      <w:bookmarkEnd w:id="547"/>
      <w:r w:rsidRPr="00A428C3">
        <w:t xml:space="preserve">, J.C. (1975), Environmental lead distribution in relation to </w:t>
      </w:r>
      <w:bookmarkStart w:id="548" w:name="automobile"/>
      <w:r w:rsidRPr="00A428C3">
        <w:t>automobile</w:t>
      </w:r>
      <w:bookmarkEnd w:id="548"/>
      <w:r w:rsidR="00F81221">
        <w:t xml:space="preserve"> and </w:t>
      </w:r>
      <w:bookmarkStart w:id="549" w:name="mine"/>
      <w:r w:rsidRPr="00A428C3">
        <w:t>mine</w:t>
      </w:r>
      <w:bookmarkEnd w:id="549"/>
      <w:r w:rsidR="00F81221">
        <w:t xml:space="preserve"> and </w:t>
      </w:r>
      <w:r w:rsidRPr="00A428C3">
        <w:t xml:space="preserve">smelter </w:t>
      </w:r>
      <w:bookmarkStart w:id="550" w:name="Sources"/>
      <w:r w:rsidRPr="00A428C3">
        <w:t>sources</w:t>
      </w:r>
      <w:bookmarkEnd w:id="550"/>
      <w:r w:rsidRPr="00A428C3">
        <w:t xml:space="preserve">.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231-241.</w:t>
      </w:r>
    </w:p>
    <w:p w:rsidR="00B95188" w:rsidRPr="00A428C3" w:rsidRDefault="00B95188" w:rsidP="00B95188">
      <w:pPr>
        <w:pStyle w:val="a0"/>
      </w:pPr>
      <w:bookmarkStart w:id="551" w:name="Koirtyohann"/>
      <w:r w:rsidRPr="00A428C3">
        <w:t>Koirtyohann</w:t>
      </w:r>
      <w:bookmarkEnd w:id="551"/>
      <w:r w:rsidRPr="00A428C3">
        <w:t xml:space="preserve">, S.P., </w:t>
      </w:r>
      <w:bookmarkStart w:id="552" w:name="Wixson"/>
      <w:r w:rsidRPr="00A428C3">
        <w:t>Wixson</w:t>
      </w:r>
      <w:bookmarkEnd w:id="552"/>
      <w:r w:rsidRPr="00A428C3">
        <w:t>, B.G.</w:t>
      </w:r>
      <w:r w:rsidR="00F81221">
        <w:t xml:space="preserve"> and </w:t>
      </w:r>
      <w:bookmarkStart w:id="553" w:name="Edwards"/>
      <w:r w:rsidRPr="00A428C3">
        <w:t>Edwards</w:t>
      </w:r>
      <w:bookmarkEnd w:id="553"/>
      <w:r w:rsidRPr="00A428C3">
        <w:t>, H.W. (1975), Environmental lead distribution in relation to automobile</w:t>
      </w:r>
      <w:r w:rsidR="00F81221">
        <w:t xml:space="preserve"> and </w:t>
      </w:r>
      <w:r w:rsidRPr="00A428C3">
        <w:t>mine</w:t>
      </w:r>
      <w:r w:rsidR="00F81221">
        <w:t xml:space="preserve"> and </w:t>
      </w:r>
      <w:r w:rsidRPr="00A428C3">
        <w:t>smelter sources (G.L. Rolfe</w:t>
      </w:r>
      <w:r w:rsidR="00F81221">
        <w:t xml:space="preserve"> and </w:t>
      </w:r>
      <w:r w:rsidRPr="00A428C3">
        <w:t xml:space="preserve">J.C. Jennett).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243-246.</w:t>
      </w:r>
    </w:p>
    <w:p w:rsidR="00B95188" w:rsidRPr="00A428C3" w:rsidRDefault="00B95188" w:rsidP="00B95188">
      <w:pPr>
        <w:pStyle w:val="a0"/>
      </w:pPr>
      <w:r w:rsidRPr="00A428C3">
        <w:t>Patterson, J.W.</w:t>
      </w:r>
      <w:r w:rsidR="00F81221">
        <w:t xml:space="preserve"> and </w:t>
      </w:r>
      <w:bookmarkStart w:id="554" w:name="Minear"/>
      <w:r w:rsidRPr="00A428C3">
        <w:t>Minear</w:t>
      </w:r>
      <w:bookmarkEnd w:id="554"/>
      <w:r w:rsidRPr="00A428C3">
        <w:t xml:space="preserve">, R.A. (1975), Physical-chemical methods of heavy metals removal.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261-272.</w:t>
      </w:r>
    </w:p>
    <w:p w:rsidR="00B95188" w:rsidRPr="00A428C3" w:rsidRDefault="00B95188" w:rsidP="00B95188">
      <w:pPr>
        <w:pStyle w:val="a0"/>
      </w:pPr>
      <w:r w:rsidRPr="00A428C3">
        <w:t>Weeks, J.D. (1975), Physical-chemical methods of heavy metals removal (Patterson, J.W.</w:t>
      </w:r>
      <w:r w:rsidR="00F81221">
        <w:t xml:space="preserve"> and </w:t>
      </w:r>
      <w:r w:rsidRPr="00A428C3">
        <w:t xml:space="preserve">Minear, R.A.).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273-276.</w:t>
      </w:r>
    </w:p>
    <w:p w:rsidR="00B95188" w:rsidRPr="00A428C3" w:rsidRDefault="00B95188" w:rsidP="00B95188">
      <w:pPr>
        <w:pStyle w:val="a0"/>
      </w:pPr>
      <w:bookmarkStart w:id="555" w:name="Adams"/>
      <w:smartTag w:uri="urn:schemas-microsoft-com:office:smarttags" w:element="place">
        <w:r w:rsidRPr="00A428C3">
          <w:t>Adams</w:t>
        </w:r>
      </w:smartTag>
      <w:bookmarkEnd w:id="555"/>
      <w:r w:rsidRPr="00A428C3">
        <w:t xml:space="preserve">, Jr., C.E., </w:t>
      </w:r>
      <w:bookmarkStart w:id="556" w:name="Eckenfelder"/>
      <w:r w:rsidRPr="00A428C3">
        <w:t>Eckenfelder</w:t>
      </w:r>
      <w:bookmarkEnd w:id="556"/>
      <w:r w:rsidRPr="00A428C3">
        <w:t>, Jr., W.W.</w:t>
      </w:r>
      <w:r w:rsidR="00F81221">
        <w:t xml:space="preserve"> and </w:t>
      </w:r>
      <w:bookmarkStart w:id="557" w:name="Goodman"/>
      <w:r w:rsidRPr="00A428C3">
        <w:t>Goodman</w:t>
      </w:r>
      <w:bookmarkEnd w:id="557"/>
      <w:r w:rsidRPr="00A428C3">
        <w:t xml:space="preserve">, B.L. (1975), The </w:t>
      </w:r>
      <w:bookmarkStart w:id="558" w:name="effects"/>
      <w:r w:rsidRPr="00A428C3">
        <w:t>effects</w:t>
      </w:r>
      <w:bookmarkEnd w:id="558"/>
      <w:r w:rsidR="00F81221">
        <w:t xml:space="preserve"> and </w:t>
      </w:r>
      <w:r w:rsidRPr="00A428C3">
        <w:t xml:space="preserve">removal of heavy metals in </w:t>
      </w:r>
      <w:bookmarkStart w:id="559" w:name="biologycal"/>
      <w:r w:rsidRPr="00A428C3">
        <w:t>biologycal</w:t>
      </w:r>
      <w:bookmarkEnd w:id="559"/>
      <w:r w:rsidRPr="00A428C3">
        <w:t xml:space="preserve"> treatment.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277-292.</w:t>
      </w:r>
    </w:p>
    <w:p w:rsidR="00B95188" w:rsidRPr="00A428C3" w:rsidRDefault="00B95188" w:rsidP="00B95188">
      <w:pPr>
        <w:pStyle w:val="a0"/>
      </w:pPr>
      <w:r w:rsidRPr="00A428C3">
        <w:t xml:space="preserve">Barth, E.F. (1975), The effects removal of heavy metals in biological treatment (Adams, C. </w:t>
      </w:r>
      <w:r w:rsidRPr="00A428C3">
        <w:rPr>
          <w:i/>
        </w:rPr>
        <w:t>et al.</w:t>
      </w:r>
      <w:r w:rsidRPr="00A428C3">
        <w:t xml:space="preserve">). in </w:t>
      </w:r>
      <w:r w:rsidRPr="00A428C3">
        <w:rPr>
          <w:i/>
        </w:rPr>
        <w:t>Heavy Metals in the Aquatic Environment an International Conference</w:t>
      </w:r>
      <w:r w:rsidRPr="00A428C3">
        <w:t xml:space="preserve">, (Edited by Krenkel, P.A.), Pergamon Press, </w:t>
      </w:r>
      <w:smartTag w:uri="urn:schemas-microsoft-com:office:smarttags" w:element="City">
        <w:r w:rsidRPr="00A428C3">
          <w:t>Oxford</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City">
        <w:r w:rsidRPr="00A428C3">
          <w:t>Toronto</w:t>
        </w:r>
      </w:smartTag>
      <w:r w:rsidRPr="00A428C3">
        <w:t>, Sydney</w:t>
      </w:r>
      <w:r w:rsidR="00F81221">
        <w:t xml:space="preserve"> and </w:t>
      </w:r>
      <w:r w:rsidRPr="00A428C3">
        <w:t>Braunschweig, 293-297.</w:t>
      </w:r>
    </w:p>
    <w:p w:rsidR="00117C1C" w:rsidRPr="00A428C3" w:rsidRDefault="00117C1C" w:rsidP="00117C1C">
      <w:pPr>
        <w:pStyle w:val="1"/>
      </w:pPr>
      <w:r w:rsidRPr="00A428C3">
        <w:br w:type="page"/>
      </w:r>
      <w:bookmarkStart w:id="560" w:name="_Toc317161008"/>
      <w:r w:rsidRPr="00A428C3">
        <w:lastRenderedPageBreak/>
        <w:t xml:space="preserve">Title: </w:t>
      </w:r>
      <w:r w:rsidRPr="00117C1C">
        <w:rPr>
          <w:iCs/>
        </w:rPr>
        <w:t>Heavy Metals in the Environment</w:t>
      </w:r>
      <w:bookmarkEnd w:id="560"/>
    </w:p>
    <w:p w:rsidR="00117C1C" w:rsidRDefault="0058734C" w:rsidP="00117C1C">
      <w:pPr>
        <w:pStyle w:val="a0"/>
      </w:pPr>
      <w:hyperlink r:id="rId621" w:anchor="v=onepage&amp;q=yuh-shan%20ho&amp;f=false" w:history="1">
        <w:r w:rsidR="00117C1C" w:rsidRPr="00117C1C">
          <w:rPr>
            <w:rStyle w:val="a5"/>
            <w:iCs/>
          </w:rPr>
          <w:t>Heavy Metals in the Environment</w:t>
        </w:r>
      </w:hyperlink>
    </w:p>
    <w:p w:rsidR="00005AE7" w:rsidRDefault="0058734C" w:rsidP="00117C1C">
      <w:pPr>
        <w:pStyle w:val="a0"/>
      </w:pPr>
      <w:hyperlink r:id="rId622" w:history="1">
        <w:r w:rsidR="00005AE7" w:rsidRPr="00005AE7">
          <w:rPr>
            <w:rStyle w:val="a5"/>
          </w:rPr>
          <w:t>2009\Heavy Metals in the Environment Index.pdf</w:t>
        </w:r>
      </w:hyperlink>
    </w:p>
    <w:p w:rsidR="00117C1C" w:rsidRPr="00A428C3" w:rsidRDefault="00117C1C" w:rsidP="00117C1C">
      <w:pPr>
        <w:pStyle w:val="a0"/>
        <w:rPr>
          <w:lang w:val="de-DE"/>
        </w:rPr>
      </w:pPr>
      <w:r>
        <w:t>Taylor</w:t>
      </w:r>
      <w:r w:rsidR="00F81221">
        <w:t xml:space="preserve"> and </w:t>
      </w:r>
      <w:r>
        <w:t>Francis &amp; CRC Press, New York</w:t>
      </w:r>
    </w:p>
    <w:p w:rsidR="00117C1C" w:rsidRDefault="00117C1C" w:rsidP="00117C1C">
      <w:pPr>
        <w:pStyle w:val="a0"/>
      </w:pPr>
      <w:r>
        <w:rPr>
          <w:rFonts w:hint="eastAsia"/>
        </w:rPr>
        <w:t xml:space="preserve">? </w:t>
      </w:r>
      <w:r w:rsidRPr="00117C1C">
        <w:t>Ho, Y.S.</w:t>
      </w:r>
      <w:r w:rsidR="00F81221">
        <w:t xml:space="preserve"> and </w:t>
      </w:r>
      <w:r>
        <w:t xml:space="preserve">El-Khaiary, M.I. (2009), </w:t>
      </w:r>
      <w:r w:rsidRPr="00117C1C">
        <w:t>Metal research trends in environmental field</w:t>
      </w:r>
      <w:r>
        <w:t xml:space="preserve">. in </w:t>
      </w:r>
      <w:r w:rsidRPr="00117C1C">
        <w:rPr>
          <w:i/>
          <w:iCs/>
        </w:rPr>
        <w:t>Heavy Metals in the Environment</w:t>
      </w:r>
      <w:r>
        <w:t>, (Edited by Wang, L.K., Chen, J.P., Hung, Y.T.</w:t>
      </w:r>
      <w:r w:rsidR="00F81221">
        <w:t xml:space="preserve"> and </w:t>
      </w:r>
      <w:r>
        <w:t>Shammas, N.K.), Taylor</w:t>
      </w:r>
      <w:r w:rsidR="00F81221">
        <w:t xml:space="preserve"> and </w:t>
      </w:r>
      <w:r>
        <w:t>Francis &amp; CRC Press, New York, 1-12.</w:t>
      </w:r>
    </w:p>
    <w:p w:rsidR="00700B62" w:rsidRPr="00A428C3" w:rsidRDefault="00700B62" w:rsidP="00117C1C">
      <w:pPr>
        <w:pStyle w:val="a0"/>
      </w:pPr>
      <w:r>
        <w:rPr>
          <w:rFonts w:hint="eastAsia"/>
        </w:rPr>
        <w:t xml:space="preserve">Full Text: </w:t>
      </w:r>
      <w:hyperlink r:id="rId623" w:history="1">
        <w:r w:rsidR="00994145" w:rsidRPr="00994145">
          <w:rPr>
            <w:rStyle w:val="a5"/>
          </w:rPr>
          <w:t>2009\Hea Met Env, Ho.pdf</w:t>
        </w:r>
      </w:hyperlink>
    </w:p>
    <w:p w:rsidR="00B95188" w:rsidRPr="00A428C3" w:rsidRDefault="00B95188" w:rsidP="00B95188">
      <w:pPr>
        <w:pStyle w:val="1"/>
      </w:pPr>
      <w:r w:rsidRPr="00A428C3">
        <w:br w:type="page"/>
      </w:r>
      <w:bookmarkStart w:id="561" w:name="_Toc455569461"/>
      <w:bookmarkStart w:id="562" w:name="_Toc487190693"/>
      <w:bookmarkStart w:id="563" w:name="_Toc487882197"/>
      <w:bookmarkStart w:id="564" w:name="_Toc490688007"/>
      <w:bookmarkStart w:id="565" w:name="_Toc492807668"/>
      <w:bookmarkStart w:id="566" w:name="_Toc186647765"/>
      <w:bookmarkStart w:id="567" w:name="_Toc317161009"/>
      <w:r w:rsidRPr="00A428C3">
        <w:lastRenderedPageBreak/>
        <w:t>Title: Heavy Metals in Natural Waters Applied Monitoring</w:t>
      </w:r>
      <w:r w:rsidR="00F81221">
        <w:t xml:space="preserve"> and </w:t>
      </w:r>
      <w:r w:rsidRPr="00A428C3">
        <w:t>Impact Assessment</w:t>
      </w:r>
      <w:bookmarkEnd w:id="561"/>
      <w:bookmarkEnd w:id="562"/>
      <w:bookmarkEnd w:id="563"/>
      <w:bookmarkEnd w:id="564"/>
      <w:bookmarkEnd w:id="565"/>
      <w:bookmarkEnd w:id="566"/>
      <w:bookmarkEnd w:id="567"/>
    </w:p>
    <w:p w:rsidR="00B95188" w:rsidRPr="00A428C3" w:rsidRDefault="00B95188" w:rsidP="00B95188">
      <w:pPr>
        <w:pStyle w:val="a0"/>
        <w:rPr>
          <w:lang w:val="de-DE"/>
        </w:rPr>
      </w:pPr>
      <w:r w:rsidRPr="00A428C3">
        <w:rPr>
          <w:lang w:val="de-DE"/>
        </w:rPr>
        <w:t>Springer-Verlag, New York, Berlin, Heidelberg, Tokyo</w:t>
      </w:r>
    </w:p>
    <w:p w:rsidR="00B95188" w:rsidRPr="00A428C3" w:rsidRDefault="00B95188" w:rsidP="00B95188">
      <w:pPr>
        <w:pStyle w:val="a0"/>
      </w:pPr>
      <w:smartTag w:uri="urn:schemas-microsoft-com:office:smarttags" w:element="City">
        <w:r w:rsidRPr="00A428C3">
          <w:t>Moore</w:t>
        </w:r>
      </w:smartTag>
      <w:r w:rsidRPr="00A428C3">
        <w:t>, J.W.</w:t>
      </w:r>
      <w:r w:rsidR="00F81221">
        <w:t xml:space="preserve"> and </w:t>
      </w:r>
      <w:r w:rsidRPr="00A428C3">
        <w:t xml:space="preserve">Ramamoorthy, S. (1984), </w:t>
      </w:r>
      <w:r w:rsidRPr="00A428C3">
        <w:rPr>
          <w:i/>
        </w:rPr>
        <w:t>Heavy Metals in Natural Waters Applied Monitoring</w:t>
      </w:r>
      <w:r w:rsidR="00F81221">
        <w:rPr>
          <w:i/>
        </w:rPr>
        <w:t xml:space="preserve"> and </w:t>
      </w:r>
      <w:r w:rsidRPr="00A428C3">
        <w:rPr>
          <w:i/>
        </w:rPr>
        <w:t>Impact Assessment</w:t>
      </w:r>
      <w:r w:rsidRPr="00A428C3">
        <w:t xml:space="preserve">, </w:t>
      </w:r>
      <w:smartTag w:uri="urn:schemas-microsoft-com:office:smarttags" w:element="City">
        <w:r w:rsidRPr="00A428C3">
          <w:t>Springer-Verlag</w:t>
        </w:r>
      </w:smartTag>
      <w:r w:rsidRPr="00A428C3">
        <w:t xml:space="preserve">, </w:t>
      </w:r>
      <w:smartTag w:uri="urn:schemas-microsoft-com:office:smarttags" w:element="State">
        <w:r w:rsidRPr="00A428C3">
          <w:t>New York</w:t>
        </w:r>
      </w:smartTag>
      <w:r w:rsidRPr="00A428C3">
        <w:t xml:space="preserve">, </w:t>
      </w:r>
      <w:smartTag w:uri="urn:schemas-microsoft-com:office:smarttags" w:element="State">
        <w:r w:rsidRPr="00A428C3">
          <w:t>Berlin</w:t>
        </w:r>
      </w:smartTag>
      <w:r w:rsidRPr="00A428C3">
        <w:t xml:space="preserve">, </w:t>
      </w:r>
      <w:smartTag w:uri="urn:schemas-microsoft-com:office:smarttags" w:element="City">
        <w:r w:rsidRPr="00A428C3">
          <w:t>Heidelberg</w:t>
        </w:r>
      </w:smartTag>
      <w:r w:rsidRPr="00A428C3">
        <w:t xml:space="preserve">, </w:t>
      </w:r>
      <w:smartTag w:uri="urn:schemas-microsoft-com:office:smarttags" w:element="place">
        <w:smartTag w:uri="urn:schemas-microsoft-com:office:smarttags" w:element="City">
          <w:r w:rsidRPr="00A428C3">
            <w:t>Tokyo</w:t>
          </w:r>
        </w:smartTag>
      </w:smartTag>
      <w:r w:rsidRPr="00A428C3">
        <w:t>.</w:t>
      </w:r>
    </w:p>
    <w:p w:rsidR="00E01018" w:rsidRPr="00A428C3" w:rsidRDefault="00E01018" w:rsidP="00E01018">
      <w:pPr>
        <w:pStyle w:val="1"/>
      </w:pPr>
      <w:r w:rsidRPr="00A428C3">
        <w:br w:type="page"/>
      </w:r>
      <w:bookmarkStart w:id="568" w:name="_Toc317161010"/>
      <w:r w:rsidRPr="00A428C3">
        <w:lastRenderedPageBreak/>
        <w:t xml:space="preserve">Title: </w:t>
      </w:r>
      <w:r w:rsidRPr="00E01018">
        <w:rPr>
          <w:iCs/>
        </w:rPr>
        <w:t>Helgoland Marine Research</w:t>
      </w:r>
      <w:bookmarkEnd w:id="568"/>
    </w:p>
    <w:p w:rsidR="00E01018" w:rsidRPr="00A428C3" w:rsidRDefault="00E01018" w:rsidP="00B72EF9">
      <w:pPr>
        <w:pStyle w:val="12"/>
      </w:pPr>
      <w:r w:rsidRPr="00A428C3">
        <w:t xml:space="preserve">Full Journal Title: </w:t>
      </w:r>
      <w:hyperlink r:id="rId624" w:history="1">
        <w:r w:rsidRPr="00E01018">
          <w:rPr>
            <w:rStyle w:val="a5"/>
            <w:iCs/>
          </w:rPr>
          <w:t>Helgoland Marine Research</w:t>
        </w:r>
      </w:hyperlink>
    </w:p>
    <w:p w:rsidR="00E01018" w:rsidRPr="00A428C3" w:rsidRDefault="00E01018" w:rsidP="00B72EF9">
      <w:pPr>
        <w:pStyle w:val="12"/>
      </w:pPr>
      <w:r w:rsidRPr="00A428C3">
        <w:t xml:space="preserve">ISO Abbreviated Title: </w:t>
      </w:r>
    </w:p>
    <w:p w:rsidR="00E01018" w:rsidRPr="00A428C3" w:rsidRDefault="00E01018" w:rsidP="00B72EF9">
      <w:pPr>
        <w:pStyle w:val="12"/>
      </w:pPr>
      <w:r w:rsidRPr="00A428C3">
        <w:t xml:space="preserve">JCR Abbreviated Title: </w:t>
      </w:r>
    </w:p>
    <w:p w:rsidR="00E01018" w:rsidRPr="00A428C3" w:rsidRDefault="00E01018" w:rsidP="00B72EF9">
      <w:pPr>
        <w:pStyle w:val="12"/>
      </w:pPr>
      <w:r w:rsidRPr="00A428C3">
        <w:t xml:space="preserve">ISSN: </w:t>
      </w:r>
    </w:p>
    <w:p w:rsidR="00E01018" w:rsidRPr="00A428C3" w:rsidRDefault="00E01018" w:rsidP="00B72EF9">
      <w:pPr>
        <w:pStyle w:val="12"/>
      </w:pPr>
      <w:r w:rsidRPr="00A428C3">
        <w:t xml:space="preserve">Issues/Year: </w:t>
      </w:r>
    </w:p>
    <w:p w:rsidR="00E01018" w:rsidRPr="00A428C3" w:rsidRDefault="00E01018" w:rsidP="00B72EF9">
      <w:pPr>
        <w:pStyle w:val="12"/>
      </w:pPr>
      <w:r w:rsidRPr="00A428C3">
        <w:t xml:space="preserve">Journal Country/Territory: </w:t>
      </w:r>
    </w:p>
    <w:p w:rsidR="00E01018" w:rsidRPr="00A428C3" w:rsidRDefault="00E01018" w:rsidP="00B72EF9">
      <w:pPr>
        <w:pStyle w:val="12"/>
      </w:pPr>
      <w:r w:rsidRPr="00A428C3">
        <w:t xml:space="preserve">Language: </w:t>
      </w:r>
    </w:p>
    <w:p w:rsidR="00E01018" w:rsidRPr="00A428C3" w:rsidRDefault="00E01018" w:rsidP="00B72EF9">
      <w:pPr>
        <w:pStyle w:val="12"/>
      </w:pPr>
      <w:r w:rsidRPr="00A428C3">
        <w:t xml:space="preserve">Publisher: </w:t>
      </w:r>
    </w:p>
    <w:p w:rsidR="00E01018" w:rsidRPr="00A428C3" w:rsidRDefault="00E01018" w:rsidP="00B72EF9">
      <w:pPr>
        <w:pStyle w:val="12"/>
      </w:pPr>
      <w:r w:rsidRPr="00A428C3">
        <w:t xml:space="preserve">Publisher Address: </w:t>
      </w:r>
    </w:p>
    <w:p w:rsidR="00E01018" w:rsidRPr="00A428C3" w:rsidRDefault="00E01018" w:rsidP="00B72EF9">
      <w:pPr>
        <w:pStyle w:val="12"/>
      </w:pPr>
      <w:r w:rsidRPr="00A428C3">
        <w:t>Subject Categories:</w:t>
      </w:r>
    </w:p>
    <w:p w:rsidR="00E01018" w:rsidRPr="00A428C3" w:rsidRDefault="00E01018" w:rsidP="00B72EF9">
      <w:pPr>
        <w:pStyle w:val="12"/>
      </w:pPr>
      <w:r w:rsidRPr="00A428C3">
        <w:t xml:space="preserve">: Impact Factor </w:t>
      </w:r>
    </w:p>
    <w:p w:rsidR="00E01018" w:rsidRDefault="00E01018" w:rsidP="00E01018">
      <w:pPr>
        <w:pStyle w:val="a0"/>
        <w:rPr>
          <w:kern w:val="0"/>
        </w:rPr>
      </w:pPr>
      <w:r>
        <w:rPr>
          <w:rFonts w:hint="eastAsia"/>
          <w:kern w:val="0"/>
        </w:rPr>
        <w:t xml:space="preserve">? </w:t>
      </w:r>
      <w:r>
        <w:rPr>
          <w:kern w:val="0"/>
        </w:rPr>
        <w:t xml:space="preserve">Spivak, E.D. (2010), The crab </w:t>
      </w:r>
      <w:r w:rsidRPr="00E01018">
        <w:rPr>
          <w:i/>
          <w:kern w:val="0"/>
        </w:rPr>
        <w:t>Neohelice</w:t>
      </w:r>
      <w:r>
        <w:rPr>
          <w:kern w:val="0"/>
        </w:rPr>
        <w:t xml:space="preserve"> (=</w:t>
      </w:r>
      <w:r w:rsidRPr="00E01018">
        <w:rPr>
          <w:i/>
          <w:kern w:val="0"/>
        </w:rPr>
        <w:t>Chasmagnathus</w:t>
      </w:r>
      <w:r>
        <w:rPr>
          <w:kern w:val="0"/>
        </w:rPr>
        <w:t xml:space="preserve">) </w:t>
      </w:r>
      <w:r w:rsidRPr="00E01018">
        <w:rPr>
          <w:i/>
          <w:kern w:val="0"/>
        </w:rPr>
        <w:t>granulata</w:t>
      </w:r>
      <w:r>
        <w:rPr>
          <w:kern w:val="0"/>
        </w:rPr>
        <w:t xml:space="preserve">: An emergent animal model from emergent countries. </w:t>
      </w:r>
      <w:r w:rsidRPr="00E01018">
        <w:rPr>
          <w:i/>
          <w:iCs/>
          <w:kern w:val="0"/>
        </w:rPr>
        <w:t>Helgoland Marine Research</w:t>
      </w:r>
      <w:r>
        <w:rPr>
          <w:kern w:val="0"/>
        </w:rPr>
        <w:t xml:space="preserve">, </w:t>
      </w:r>
      <w:r>
        <w:rPr>
          <w:b/>
          <w:bCs/>
          <w:kern w:val="0"/>
        </w:rPr>
        <w:t>64</w:t>
      </w:r>
      <w:r>
        <w:rPr>
          <w:kern w:val="0"/>
        </w:rPr>
        <w:t xml:space="preserve"> (3), 149-154.</w:t>
      </w:r>
    </w:p>
    <w:p w:rsidR="00E01018" w:rsidRDefault="00E01018" w:rsidP="00E01018">
      <w:pPr>
        <w:pStyle w:val="a0"/>
        <w:rPr>
          <w:kern w:val="0"/>
        </w:rPr>
      </w:pPr>
      <w:r>
        <w:rPr>
          <w:rFonts w:hint="eastAsia"/>
          <w:kern w:val="0"/>
        </w:rPr>
        <w:t xml:space="preserve">Full Text: </w:t>
      </w:r>
      <w:hyperlink r:id="rId625" w:history="1">
        <w:r w:rsidRPr="00E01018">
          <w:rPr>
            <w:rStyle w:val="a5"/>
            <w:kern w:val="0"/>
          </w:rPr>
          <w:t>2010\Hel Mar Res64, 149.pdf</w:t>
        </w:r>
      </w:hyperlink>
    </w:p>
    <w:p w:rsidR="00E01018" w:rsidRDefault="00E01018" w:rsidP="00E01018">
      <w:pPr>
        <w:pStyle w:val="a0"/>
        <w:rPr>
          <w:kern w:val="0"/>
        </w:rPr>
      </w:pPr>
      <w:r>
        <w:rPr>
          <w:kern w:val="0"/>
        </w:rPr>
        <w:t>Abstract: Neohelice granulata (previously known as Chasmagnathus granulata</w:t>
      </w:r>
      <w:r w:rsidR="00F81221">
        <w:rPr>
          <w:kern w:val="0"/>
        </w:rPr>
        <w:t xml:space="preserve"> and </w:t>
      </w:r>
      <w:r>
        <w:rPr>
          <w:kern w:val="0"/>
        </w:rPr>
        <w:t>C. granulatus) is a burrowing semiterrestrial crab found in the intertidal zone of estuaries, salt marshes</w:t>
      </w:r>
      <w:r w:rsidR="00F81221">
        <w:rPr>
          <w:kern w:val="0"/>
        </w:rPr>
        <w:t xml:space="preserve"> and </w:t>
      </w:r>
      <w:r>
        <w:rPr>
          <w:kern w:val="0"/>
        </w:rPr>
        <w:t>mangroves of the South-western Atlantic Ocean. Beginning in the late 1989s, an explosion of publications appeared in international journals dealing with its ecology, physiology, toxicology</w:t>
      </w:r>
      <w:r w:rsidR="00F81221">
        <w:rPr>
          <w:kern w:val="0"/>
        </w:rPr>
        <w:t xml:space="preserve"> and </w:t>
      </w:r>
      <w:r>
        <w:rPr>
          <w:kern w:val="0"/>
        </w:rPr>
        <w:t>behavior. A bibliometric analysis using the Scopus database allowed detecting 309 papers that deal with this species during the period 1986-2009. The number of papers per year increased continuously, reaching a mean annual value of 22.6 during the last 5 years; a great majority of them were authored by researchers from Argentina</w:t>
      </w:r>
      <w:r w:rsidR="00F81221">
        <w:rPr>
          <w:kern w:val="0"/>
        </w:rPr>
        <w:t xml:space="preserve"> and </w:t>
      </w:r>
      <w:r>
        <w:rPr>
          <w:kern w:val="0"/>
        </w:rPr>
        <w:t>Brazil. Neohelice granulata has become now one of the most studied crab species, after Carcinus maenas, Callinectes sapidus, Scylla serrata</w:t>
      </w:r>
      <w:r w:rsidR="00F81221">
        <w:rPr>
          <w:kern w:val="0"/>
        </w:rPr>
        <w:t xml:space="preserve"> and </w:t>
      </w:r>
      <w:r>
        <w:rPr>
          <w:kern w:val="0"/>
        </w:rPr>
        <w:t>Cancer pagurus</w:t>
      </w:r>
      <w:r w:rsidR="00F81221">
        <w:rPr>
          <w:kern w:val="0"/>
        </w:rPr>
        <w:t xml:space="preserve"> and </w:t>
      </w:r>
      <w:r>
        <w:rPr>
          <w:kern w:val="0"/>
        </w:rPr>
        <w:t>C. magister,</w:t>
      </w:r>
      <w:r w:rsidR="00F81221">
        <w:rPr>
          <w:kern w:val="0"/>
        </w:rPr>
        <w:t xml:space="preserve"> and </w:t>
      </w:r>
      <w:r>
        <w:rPr>
          <w:kern w:val="0"/>
        </w:rPr>
        <w:t>it can be considered as an emergent animal model for biochemical, physiological</w:t>
      </w:r>
      <w:r w:rsidR="00F81221">
        <w:rPr>
          <w:kern w:val="0"/>
        </w:rPr>
        <w:t xml:space="preserve"> and </w:t>
      </w:r>
      <w:r>
        <w:rPr>
          <w:kern w:val="0"/>
        </w:rPr>
        <w:t>ecological research.</w:t>
      </w:r>
    </w:p>
    <w:p w:rsidR="00E01018" w:rsidRDefault="00E01018" w:rsidP="00E01018">
      <w:pPr>
        <w:pStyle w:val="a0"/>
        <w:rPr>
          <w:kern w:val="0"/>
        </w:rPr>
      </w:pPr>
      <w:r>
        <w:rPr>
          <w:kern w:val="0"/>
        </w:rPr>
        <w:t>Keywords: America, Argentina, Bibliometric, Bibliometric Analysis, Brasil, Coastal, Complex, Crab, Crustacea, Dispersion, Ecology, Emergent Animal Model, Larval, Marshes, Research, Southwest Atlantic, Waters</w:t>
      </w:r>
    </w:p>
    <w:p w:rsidR="00B95188" w:rsidRPr="00A428C3" w:rsidRDefault="00B95188" w:rsidP="00B95188">
      <w:pPr>
        <w:pStyle w:val="1"/>
      </w:pPr>
      <w:r w:rsidRPr="00A428C3">
        <w:br w:type="page"/>
      </w:r>
      <w:bookmarkStart w:id="569" w:name="_Toc186647766"/>
      <w:bookmarkStart w:id="570" w:name="_Toc317161011"/>
      <w:r w:rsidRPr="00A428C3">
        <w:lastRenderedPageBreak/>
        <w:t>Title: Helicobacter</w:t>
      </w:r>
      <w:bookmarkEnd w:id="569"/>
      <w:bookmarkEnd w:id="570"/>
    </w:p>
    <w:p w:rsidR="00B95188" w:rsidRPr="00A428C3" w:rsidRDefault="00B95188" w:rsidP="00B72EF9">
      <w:pPr>
        <w:pStyle w:val="12"/>
      </w:pPr>
      <w:r w:rsidRPr="00A428C3">
        <w:t xml:space="preserve">Full Journal Title: </w:t>
      </w:r>
      <w:hyperlink r:id="rId626" w:history="1">
        <w:r w:rsidRPr="00A428C3">
          <w:rPr>
            <w:rStyle w:val="a5"/>
          </w:rPr>
          <w:t>Helicobacter</w:t>
        </w:r>
      </w:hyperlink>
      <w:r w:rsidR="007D51BF">
        <w:rPr>
          <w:rFonts w:hint="eastAsia"/>
        </w:rPr>
        <w:t xml:space="preserve">, </w:t>
      </w:r>
      <w:hyperlink r:id="rId627" w:history="1">
        <w:r w:rsidR="007D51BF" w:rsidRPr="007D51BF">
          <w:rPr>
            <w:rStyle w:val="a5"/>
          </w:rPr>
          <w:t>Helicobacter</w:t>
        </w:r>
      </w:hyperlink>
    </w:p>
    <w:p w:rsidR="00B95188" w:rsidRPr="00A428C3" w:rsidRDefault="00B95188" w:rsidP="00B72EF9">
      <w:pPr>
        <w:pStyle w:val="12"/>
      </w:pPr>
      <w:r w:rsidRPr="00A428C3">
        <w:t xml:space="preserve">ISO Abbreviated Title: </w:t>
      </w:r>
      <w:r w:rsidR="00C81E06" w:rsidRPr="001A3D2B">
        <w:t>Helicobacter</w:t>
      </w:r>
    </w:p>
    <w:p w:rsidR="00B95188" w:rsidRPr="00A428C3" w:rsidRDefault="00B95188" w:rsidP="00B72EF9">
      <w:pPr>
        <w:pStyle w:val="12"/>
      </w:pPr>
      <w:r w:rsidRPr="00A428C3">
        <w:t xml:space="preserve">JCR Abbreviated Title: </w:t>
      </w:r>
      <w:r w:rsidR="00C81E06" w:rsidRPr="001A3D2B">
        <w:t>Helicobacter</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rPr>
          <w:color w:val="000000"/>
          <w:szCs w:val="18"/>
        </w:rPr>
        <w:t>Hveem, K.</w:t>
      </w:r>
      <w:r w:rsidR="00F81221">
        <w:rPr>
          <w:color w:val="000000"/>
          <w:szCs w:val="18"/>
        </w:rPr>
        <w:t xml:space="preserve"> and </w:t>
      </w:r>
      <w:r w:rsidRPr="00A428C3">
        <w:rPr>
          <w:color w:val="000000"/>
          <w:szCs w:val="18"/>
        </w:rPr>
        <w:t>Krüger, Ø.</w:t>
      </w:r>
      <w:r w:rsidRPr="00A428C3">
        <w:t xml:space="preserve"> (2003), Epidemiology &amp; transmission. </w:t>
      </w:r>
      <w:r w:rsidRPr="00A428C3">
        <w:rPr>
          <w:i/>
          <w:iCs/>
        </w:rPr>
        <w:t>Helicobacter</w:t>
      </w:r>
      <w:r w:rsidRPr="00A428C3">
        <w:t xml:space="preserve">, </w:t>
      </w:r>
      <w:r w:rsidRPr="00A428C3">
        <w:rPr>
          <w:b/>
        </w:rPr>
        <w:t>8</w:t>
      </w:r>
      <w:r w:rsidRPr="00A428C3">
        <w:t xml:space="preserve"> (4), 385-397.</w:t>
      </w:r>
    </w:p>
    <w:p w:rsidR="00C81E06" w:rsidRPr="001A3D2B" w:rsidRDefault="00C81E06" w:rsidP="00C81E06">
      <w:pPr>
        <w:pStyle w:val="a0"/>
      </w:pPr>
      <w:r w:rsidRPr="001A3D2B">
        <w:t xml:space="preserve">Full Text: </w:t>
      </w:r>
      <w:hyperlink r:id="rId628" w:history="1">
        <w:r w:rsidRPr="001A3D2B">
          <w:rPr>
            <w:rStyle w:val="a5"/>
          </w:rPr>
          <w:t>2003\Helicobacter8, 385.pdf</w:t>
        </w:r>
      </w:hyperlink>
    </w:p>
    <w:p w:rsidR="00B95188" w:rsidRPr="00A428C3" w:rsidRDefault="00B95188" w:rsidP="00B95188">
      <w:pPr>
        <w:pStyle w:val="a0"/>
      </w:pPr>
      <w:r w:rsidRPr="00A428C3">
        <w:t xml:space="preserve">Abstract: Background. This study is part of a large Norwegian health survey (HUNT) conducted during 1995-97 where 66, 433 persons aged 20+ years residing in the county attended. The prevalence of </w:t>
      </w:r>
      <w:r w:rsidRPr="00A428C3">
        <w:rPr>
          <w:i/>
          <w:iCs/>
        </w:rPr>
        <w:t>Helicobacter pylori</w:t>
      </w:r>
      <w:r w:rsidRPr="00A428C3">
        <w:t xml:space="preserve"> (</w:t>
      </w:r>
      <w:r w:rsidRPr="00A428C3">
        <w:rPr>
          <w:i/>
          <w:iCs/>
        </w:rPr>
        <w:t>H. pylori</w:t>
      </w:r>
      <w:r w:rsidRPr="00A428C3">
        <w:t>) infection</w:t>
      </w:r>
      <w:r w:rsidR="00F81221">
        <w:t xml:space="preserve"> and </w:t>
      </w:r>
      <w:r w:rsidRPr="00A428C3">
        <w:t>transmission were investigated.</w:t>
      </w:r>
    </w:p>
    <w:p w:rsidR="00B95188" w:rsidRPr="00A428C3" w:rsidRDefault="00B95188" w:rsidP="00B95188">
      <w:pPr>
        <w:pStyle w:val="a0"/>
      </w:pPr>
      <w:r w:rsidRPr="00A428C3">
        <w:t xml:space="preserve">Methods. </w:t>
      </w:r>
      <w:r w:rsidRPr="00A428C3">
        <w:rPr>
          <w:i/>
          <w:iCs/>
        </w:rPr>
        <w:t>H. pylori</w:t>
      </w:r>
      <w:r w:rsidRPr="00A428C3">
        <w:t>-antibody titre was measured in 10,029 subjects (M 4609, F 5420). Transmission was evaluated in 732 families.</w:t>
      </w:r>
    </w:p>
    <w:p w:rsidR="00B95188" w:rsidRPr="00A428C3" w:rsidRDefault="00B95188" w:rsidP="00B95188">
      <w:pPr>
        <w:pStyle w:val="a0"/>
      </w:pPr>
      <w:r w:rsidRPr="00A428C3">
        <w:t>Results. The prevalence of H. pylori was 32.5% in men</w:t>
      </w:r>
      <w:r w:rsidR="00F81221">
        <w:t xml:space="preserve"> and </w:t>
      </w:r>
      <w:r w:rsidRPr="00A428C3">
        <w:t>29.5% in women (p = 0.01) increasing with age (&lt; 10% below 30 years, 60% above 70 years). Within the 732 couples, 44.6% males</w:t>
      </w:r>
      <w:r w:rsidR="00F81221">
        <w:t xml:space="preserve"> and </w:t>
      </w:r>
      <w:r w:rsidRPr="00A428C3">
        <w:t>38% females were H. pylori+, respectively. The prevalence of H. pylori in offspring is presented in the tables below.</w:t>
      </w:r>
    </w:p>
    <w:p w:rsidR="00B95188" w:rsidRDefault="00B95188" w:rsidP="00B95188">
      <w:pPr>
        <w:pStyle w:val="a0"/>
      </w:pPr>
      <w:r w:rsidRPr="00A428C3">
        <w:t>Conclusions. H. pylori infections increases with age</w:t>
      </w:r>
      <w:r w:rsidR="00F81221">
        <w:t xml:space="preserve"> and </w:t>
      </w:r>
      <w:r w:rsidRPr="00A428C3">
        <w:t>are more prevalent in males. The prevalence of H. pylori in offspring is dependent on the H. pylori status of the parents, whether the child is a single child or a sibling</w:t>
      </w:r>
      <w:r w:rsidR="00F81221">
        <w:t xml:space="preserve"> and </w:t>
      </w:r>
      <w:r w:rsidRPr="00A428C3">
        <w:t>on the H. pylori status of the other siblings.</w:t>
      </w:r>
    </w:p>
    <w:p w:rsidR="007D51BF" w:rsidRDefault="007D51BF" w:rsidP="00B95188">
      <w:pPr>
        <w:pStyle w:val="a0"/>
      </w:pPr>
      <w:r>
        <w:rPr>
          <w:rFonts w:hint="eastAsia"/>
        </w:rPr>
        <w:t>Notes: highly cited</w:t>
      </w:r>
    </w:p>
    <w:p w:rsidR="007D51BF" w:rsidRDefault="007D51BF" w:rsidP="007D51BF">
      <w:pPr>
        <w:pStyle w:val="a0"/>
        <w:rPr>
          <w:kern w:val="0"/>
        </w:rPr>
      </w:pPr>
      <w:r>
        <w:rPr>
          <w:rFonts w:hint="eastAsia"/>
          <w:kern w:val="0"/>
        </w:rPr>
        <w:t xml:space="preserve">? </w:t>
      </w:r>
      <w:r>
        <w:rPr>
          <w:kern w:val="0"/>
        </w:rPr>
        <w:t xml:space="preserve">Megraud, F. (2007), Evolution of </w:t>
      </w:r>
      <w:r w:rsidRPr="002768AF">
        <w:rPr>
          <w:i/>
          <w:kern w:val="0"/>
        </w:rPr>
        <w:t>Helicobacter pylori</w:t>
      </w:r>
      <w:r>
        <w:rPr>
          <w:kern w:val="0"/>
        </w:rPr>
        <w:t xml:space="preserve"> research as observed through the workshops of the European helicobacter study group. </w:t>
      </w:r>
      <w:r>
        <w:rPr>
          <w:i/>
          <w:iCs/>
          <w:kern w:val="0"/>
        </w:rPr>
        <w:t>Helicobacter</w:t>
      </w:r>
      <w:r>
        <w:rPr>
          <w:kern w:val="0"/>
        </w:rPr>
        <w:t xml:space="preserve">, </w:t>
      </w:r>
      <w:r>
        <w:rPr>
          <w:b/>
          <w:bCs/>
          <w:kern w:val="0"/>
        </w:rPr>
        <w:t>12</w:t>
      </w:r>
      <w:r>
        <w:rPr>
          <w:kern w:val="0"/>
        </w:rPr>
        <w:t>, 1-5.</w:t>
      </w:r>
    </w:p>
    <w:p w:rsidR="007D51BF" w:rsidRPr="00A428C3" w:rsidRDefault="007D51BF" w:rsidP="007D51BF">
      <w:pPr>
        <w:pStyle w:val="a0"/>
        <w:rPr>
          <w:rFonts w:eastAsia="新細明體"/>
        </w:rPr>
      </w:pPr>
      <w:r w:rsidRPr="00A428C3">
        <w:t xml:space="preserve">Full Text: </w:t>
      </w:r>
      <w:hyperlink r:id="rId629" w:history="1">
        <w:r w:rsidRPr="007D51BF">
          <w:rPr>
            <w:rStyle w:val="a5"/>
          </w:rPr>
          <w:t>2007\Helicobacter12, 1.pdf</w:t>
        </w:r>
      </w:hyperlink>
    </w:p>
    <w:p w:rsidR="007D51BF" w:rsidRDefault="007D51BF" w:rsidP="007D51BF">
      <w:pPr>
        <w:pStyle w:val="a0"/>
        <w:rPr>
          <w:kern w:val="0"/>
        </w:rPr>
      </w:pPr>
      <w:r>
        <w:rPr>
          <w:kern w:val="0"/>
        </w:rPr>
        <w:t xml:space="preserve">Abstract: The European Helicobacter Study Group established a yearly workshop that has been held from 1988 to 2007. The analysis of the data from these workshops shows that 7246 abstracts were presented originating from 76 different countries. The distribution according to specific years follows a Gauss-type curve with a peak </w:t>
      </w:r>
      <w:r>
        <w:rPr>
          <w:kern w:val="0"/>
        </w:rPr>
        <w:lastRenderedPageBreak/>
        <w:t>in the mid-1990s. The presenters were mainly from Europe, but an increasing number coming from non-European countries was observed throughout the years. The evolution of the topics selected also evolved but was relatively stable these last 10 years. Some landmarks have been highlighted. These data constitute an important source of information with regard to the evolution of Helicobacter pylori research over these 20 years.</w:t>
      </w:r>
    </w:p>
    <w:p w:rsidR="007D51BF" w:rsidRDefault="007D51BF" w:rsidP="007D51BF">
      <w:pPr>
        <w:pStyle w:val="a0"/>
        <w:rPr>
          <w:kern w:val="0"/>
        </w:rPr>
      </w:pPr>
      <w:r>
        <w:rPr>
          <w:kern w:val="0"/>
        </w:rPr>
        <w:t>Keywords: Abstract, Landmark, Research, Topic</w:t>
      </w:r>
    </w:p>
    <w:p w:rsidR="00C81E06" w:rsidRDefault="00C81E06" w:rsidP="00C81E06">
      <w:pPr>
        <w:pStyle w:val="a0"/>
        <w:rPr>
          <w:kern w:val="0"/>
        </w:rPr>
      </w:pPr>
      <w:r>
        <w:rPr>
          <w:rFonts w:hint="eastAsia"/>
          <w:kern w:val="0"/>
        </w:rPr>
        <w:t xml:space="preserve">? </w:t>
      </w:r>
      <w:r>
        <w:rPr>
          <w:kern w:val="0"/>
        </w:rPr>
        <w:t>Zhao, F.J., Wang, J., Yang, Y.M., Wang, X.Y., Shi, R.H., Xu, Z.K., Huang, Z.H.</w:t>
      </w:r>
      <w:r w:rsidR="00F81221">
        <w:rPr>
          <w:kern w:val="0"/>
        </w:rPr>
        <w:t xml:space="preserve"> and </w:t>
      </w:r>
      <w:r>
        <w:rPr>
          <w:kern w:val="0"/>
        </w:rPr>
        <w:t xml:space="preserve">Zhang, G.X. (2008), Effect of CYP2C19 genetic polymorphisms on the efficacy of proton pump inhibitor-based triple therapy for helicobacter pylori eradication: A meta-analysis. </w:t>
      </w:r>
      <w:r>
        <w:rPr>
          <w:i/>
          <w:iCs/>
          <w:kern w:val="0"/>
        </w:rPr>
        <w:t>Helicobacter</w:t>
      </w:r>
      <w:r>
        <w:rPr>
          <w:kern w:val="0"/>
        </w:rPr>
        <w:t xml:space="preserve">, </w:t>
      </w:r>
      <w:r>
        <w:rPr>
          <w:b/>
          <w:bCs/>
          <w:kern w:val="0"/>
        </w:rPr>
        <w:t>13</w:t>
      </w:r>
      <w:r>
        <w:rPr>
          <w:kern w:val="0"/>
        </w:rPr>
        <w:t xml:space="preserve"> (6), 532-541.</w:t>
      </w:r>
    </w:p>
    <w:p w:rsidR="00C81E06" w:rsidRPr="001A3D2B" w:rsidRDefault="00C81E06" w:rsidP="00C81E06">
      <w:pPr>
        <w:pStyle w:val="a0"/>
      </w:pPr>
      <w:r w:rsidRPr="001A3D2B">
        <w:t xml:space="preserve">Full Text: </w:t>
      </w:r>
      <w:r>
        <w:t>200</w:t>
      </w:r>
      <w:r>
        <w:rPr>
          <w:rFonts w:hint="eastAsia"/>
        </w:rPr>
        <w:t>8</w:t>
      </w:r>
      <w:r>
        <w:t>\Helicobacter</w:t>
      </w:r>
      <w:r>
        <w:rPr>
          <w:rFonts w:hint="eastAsia"/>
        </w:rPr>
        <w:t>13</w:t>
      </w:r>
      <w:r>
        <w:t xml:space="preserve">, </w:t>
      </w:r>
      <w:r>
        <w:rPr>
          <w:rFonts w:hint="eastAsia"/>
        </w:rPr>
        <w:t>532</w:t>
      </w:r>
      <w:r w:rsidRPr="00224EB2">
        <w:t>.pdf</w:t>
      </w:r>
    </w:p>
    <w:p w:rsidR="00C81E06" w:rsidRDefault="00C81E06" w:rsidP="00C81E06">
      <w:pPr>
        <w:pStyle w:val="a0"/>
        <w:rPr>
          <w:kern w:val="0"/>
        </w:rPr>
      </w:pPr>
      <w:r>
        <w:rPr>
          <w:kern w:val="0"/>
        </w:rPr>
        <w:t>Abstract: CYP2C19 polymorphisms have been inconsistently reported to associate with the efficacy of proton pump inhibitor (PPI)-based triple therapies for eradicating Helicobacter pylori infection. The aim of this meta-analysis was to determine whether CYP2C19 polymorphism affect H. pylori eradication rates obtained with first-line PPI-based triple therapies. A systematic literature search was conducted up to July 2007 using MEDLINE, PUBMED, EMBASE, Cochrane Central Register of Controlled Trials (CENTRAL), ISI Web of Science, CNKI (Chinese),</w:t>
      </w:r>
      <w:r w:rsidR="00F81221">
        <w:rPr>
          <w:kern w:val="0"/>
        </w:rPr>
        <w:t xml:space="preserve"> and </w:t>
      </w:r>
      <w:r>
        <w:rPr>
          <w:kern w:val="0"/>
        </w:rPr>
        <w:t>Wanfang (Chinese) digital database. MeSH terms</w:t>
      </w:r>
      <w:r w:rsidR="00F81221">
        <w:rPr>
          <w:kern w:val="0"/>
        </w:rPr>
        <w:t xml:space="preserve"> and </w:t>
      </w:r>
      <w:r>
        <w:rPr>
          <w:kern w:val="0"/>
        </w:rPr>
        <w:t>keywords included proton pump inhibitor, omeprazole, lansoprazole, rabeprazole, pantoprazole, or esomeprazole, cytochromeP4502C19 or CYP2C19,</w:t>
      </w:r>
      <w:r w:rsidR="00F81221">
        <w:rPr>
          <w:kern w:val="0"/>
        </w:rPr>
        <w:t xml:space="preserve"> and </w:t>
      </w:r>
      <w:r>
        <w:rPr>
          <w:kern w:val="0"/>
        </w:rPr>
        <w:t>Helicobacter pylori or H. pylori. Twenty articles met the inclusion criteria,</w:t>
      </w:r>
      <w:r w:rsidR="00F81221">
        <w:rPr>
          <w:kern w:val="0"/>
        </w:rPr>
        <w:t xml:space="preserve"> and </w:t>
      </w:r>
      <w:r>
        <w:rPr>
          <w:kern w:val="0"/>
        </w:rPr>
        <w:t>were included in the meta-analysis by using Review Manager 4.2.8. Eradication rates were significantly different between poor metabolizers (PM)</w:t>
      </w:r>
      <w:r w:rsidR="00F81221">
        <w:rPr>
          <w:kern w:val="0"/>
        </w:rPr>
        <w:t xml:space="preserve"> and </w:t>
      </w:r>
      <w:r>
        <w:rPr>
          <w:kern w:val="0"/>
        </w:rPr>
        <w:t>heterozygous extensive metabolizers (HetEM) (odds ratio (OR) = 1.73, p = .002)</w:t>
      </w:r>
      <w:r w:rsidR="00F81221">
        <w:rPr>
          <w:kern w:val="0"/>
        </w:rPr>
        <w:t xml:space="preserve"> and </w:t>
      </w:r>
      <w:r>
        <w:rPr>
          <w:kern w:val="0"/>
        </w:rPr>
        <w:t>between PM</w:t>
      </w:r>
      <w:r w:rsidR="00F81221">
        <w:rPr>
          <w:kern w:val="0"/>
        </w:rPr>
        <w:t xml:space="preserve"> and </w:t>
      </w:r>
      <w:r>
        <w:rPr>
          <w:kern w:val="0"/>
        </w:rPr>
        <w:t>homozygous extensive metabolizers (HomEM) (OR = 2.79, p &lt; .0001). Moreover, eradication rates were also significant difference between HetEM</w:t>
      </w:r>
      <w:r w:rsidR="00F81221">
        <w:rPr>
          <w:kern w:val="0"/>
        </w:rPr>
        <w:t xml:space="preserve"> and </w:t>
      </w:r>
      <w:r>
        <w:rPr>
          <w:kern w:val="0"/>
        </w:rPr>
        <w:t>HomEM (OR = 2.00, p &lt; .0001). Triple omeprazole</w:t>
      </w:r>
      <w:r w:rsidR="00F81221">
        <w:rPr>
          <w:kern w:val="0"/>
        </w:rPr>
        <w:t xml:space="preserve"> and </w:t>
      </w:r>
      <w:r>
        <w:rPr>
          <w:kern w:val="0"/>
        </w:rPr>
        <w:t>lansoprazole therapies achieved higher H. pylori eradication rates in PM than in HomEM (OR = 4.28, p = .0005 for omeprazole</w:t>
      </w:r>
      <w:r w:rsidR="00F81221">
        <w:rPr>
          <w:kern w:val="0"/>
        </w:rPr>
        <w:t xml:space="preserve"> and </w:t>
      </w:r>
      <w:r>
        <w:rPr>
          <w:kern w:val="0"/>
        </w:rPr>
        <w:t>OR = 3.06, p = .001 for lansoprazole),</w:t>
      </w:r>
      <w:r w:rsidR="00F81221">
        <w:rPr>
          <w:kern w:val="0"/>
        </w:rPr>
        <w:t xml:space="preserve"> and </w:t>
      </w:r>
      <w:r>
        <w:rPr>
          <w:kern w:val="0"/>
        </w:rPr>
        <w:t>higher in HetEM than those in HomEM (OR = 3.22, p &lt; .0001 for omeprazole</w:t>
      </w:r>
      <w:r w:rsidR="00F81221">
        <w:rPr>
          <w:kern w:val="0"/>
        </w:rPr>
        <w:t xml:space="preserve"> and </w:t>
      </w:r>
      <w:r>
        <w:rPr>
          <w:kern w:val="0"/>
        </w:rPr>
        <w:t>OR = 1.95, p = .040 for lansoprazole). Rabeprazole therapies had no significant effect on H. pylori eradication rates (between PM</w:t>
      </w:r>
      <w:r w:rsidR="00F81221">
        <w:rPr>
          <w:kern w:val="0"/>
        </w:rPr>
        <w:t xml:space="preserve"> and </w:t>
      </w:r>
      <w:r>
        <w:rPr>
          <w:kern w:val="0"/>
        </w:rPr>
        <w:t>HomEM, OR = 1.35, p = .610</w:t>
      </w:r>
      <w:r w:rsidR="00F81221">
        <w:rPr>
          <w:kern w:val="0"/>
        </w:rPr>
        <w:t xml:space="preserve"> and </w:t>
      </w:r>
      <w:r>
        <w:rPr>
          <w:kern w:val="0"/>
        </w:rPr>
        <w:t>between HetEM</w:t>
      </w:r>
      <w:r w:rsidR="00F81221">
        <w:rPr>
          <w:kern w:val="0"/>
        </w:rPr>
        <w:t xml:space="preserve"> and </w:t>
      </w:r>
      <w:r>
        <w:rPr>
          <w:kern w:val="0"/>
        </w:rPr>
        <w:t>HomEM, OR = 1.57, p = .190). No significant difference in H. pylori eradication rates between PM</w:t>
      </w:r>
      <w:r w:rsidR="00F81221">
        <w:rPr>
          <w:kern w:val="0"/>
        </w:rPr>
        <w:t xml:space="preserve"> and </w:t>
      </w:r>
      <w:r>
        <w:rPr>
          <w:kern w:val="0"/>
        </w:rPr>
        <w:t>HetEM was observed in the three individual PPI therapies. The efficacy of omeprazole-</w:t>
      </w:r>
      <w:r w:rsidR="00F81221">
        <w:rPr>
          <w:kern w:val="0"/>
        </w:rPr>
        <w:t xml:space="preserve"> and </w:t>
      </w:r>
      <w:r>
        <w:rPr>
          <w:kern w:val="0"/>
        </w:rPr>
        <w:t>lansoprazole-based first-line triple therapies at the standard doses is dependent on CYP2C19 genotype status, which appears not to affect the efficacy of the regimens including rabeprazole.</w:t>
      </w:r>
    </w:p>
    <w:p w:rsidR="00C81E06" w:rsidRDefault="00C81E06" w:rsidP="00C81E06">
      <w:pPr>
        <w:pStyle w:val="a0"/>
        <w:rPr>
          <w:kern w:val="0"/>
        </w:rPr>
      </w:pPr>
      <w:r>
        <w:rPr>
          <w:kern w:val="0"/>
        </w:rPr>
        <w:lastRenderedPageBreak/>
        <w:t>Keywords: Amoxicillin, Clarithromycin Resistance, Cochrane, Cure Rates, CYP2C19, Efficacy, Eradication Rate, Gene Polymorphism, Genotype, Helicobacter Pylori, Impact, Infection, ISI, Literature, Meta-Analysis, Omeprazole Metabolism, Peptic-Ulcer, Polymorphism, Polymorphisms, Proton-Pump Inhibitor, Pubmed, Rabeprazole, Ratio, Regimen, Review, Science, Systematic, Web of Science</w:t>
      </w:r>
    </w:p>
    <w:p w:rsidR="00C81E06" w:rsidRDefault="00C81E06" w:rsidP="00C81E06">
      <w:pPr>
        <w:pStyle w:val="a0"/>
        <w:rPr>
          <w:kern w:val="0"/>
        </w:rPr>
      </w:pPr>
      <w:r>
        <w:rPr>
          <w:rFonts w:hint="eastAsia"/>
          <w:kern w:val="0"/>
        </w:rPr>
        <w:t xml:space="preserve">? </w:t>
      </w:r>
      <w:r>
        <w:rPr>
          <w:kern w:val="0"/>
        </w:rPr>
        <w:t>Wu, C., Chen, X.A., Liu, J., Li, M.Y., Zhang, Z.Q.</w:t>
      </w:r>
      <w:r w:rsidR="00F81221">
        <w:rPr>
          <w:kern w:val="0"/>
        </w:rPr>
        <w:t xml:space="preserve"> and </w:t>
      </w:r>
      <w:r>
        <w:rPr>
          <w:kern w:val="0"/>
        </w:rPr>
        <w:t xml:space="preserve">Wang, Z.Q. (2011), Moxifloxacin-containing triple therapy versus bismuth-containing quadruple therapy for second-line treatment of helicobacter pylori infection: A meta-analysis. </w:t>
      </w:r>
      <w:r>
        <w:rPr>
          <w:i/>
          <w:iCs/>
          <w:kern w:val="0"/>
        </w:rPr>
        <w:t>Helicobacter</w:t>
      </w:r>
      <w:r>
        <w:rPr>
          <w:kern w:val="0"/>
        </w:rPr>
        <w:t xml:space="preserve">, </w:t>
      </w:r>
      <w:r>
        <w:rPr>
          <w:b/>
          <w:bCs/>
          <w:kern w:val="0"/>
        </w:rPr>
        <w:t>16</w:t>
      </w:r>
      <w:r>
        <w:rPr>
          <w:kern w:val="0"/>
        </w:rPr>
        <w:t xml:space="preserve"> (2), 131-138.</w:t>
      </w:r>
    </w:p>
    <w:p w:rsidR="00C81E06" w:rsidRPr="001A3D2B" w:rsidRDefault="00C81E06" w:rsidP="00C81E06">
      <w:pPr>
        <w:pStyle w:val="a0"/>
      </w:pPr>
      <w:r w:rsidRPr="001A3D2B">
        <w:t xml:space="preserve">Full Text: </w:t>
      </w:r>
      <w:r>
        <w:t>20</w:t>
      </w:r>
      <w:r>
        <w:rPr>
          <w:rFonts w:hint="eastAsia"/>
        </w:rPr>
        <w:t>11</w:t>
      </w:r>
      <w:r>
        <w:t>\Helicobacter</w:t>
      </w:r>
      <w:r>
        <w:rPr>
          <w:rFonts w:hint="eastAsia"/>
        </w:rPr>
        <w:t>16</w:t>
      </w:r>
      <w:r>
        <w:t xml:space="preserve">, </w:t>
      </w:r>
      <w:r>
        <w:rPr>
          <w:rFonts w:hint="eastAsia"/>
        </w:rPr>
        <w:t>131</w:t>
      </w:r>
      <w:r w:rsidRPr="00224EB2">
        <w:t>.pdf</w:t>
      </w:r>
    </w:p>
    <w:p w:rsidR="00C81E06" w:rsidRDefault="00C81E06" w:rsidP="00C81E06">
      <w:pPr>
        <w:pStyle w:val="a0"/>
        <w:rPr>
          <w:kern w:val="0"/>
        </w:rPr>
      </w:pPr>
      <w:r>
        <w:rPr>
          <w:kern w:val="0"/>
        </w:rPr>
        <w:t>Abstract: Background: Moxifloxacin-containing triple therapy has been suggested as an alternative second-line therapy for Helicobacter pylori infection. Aims: To systematically review the efficacy</w:t>
      </w:r>
      <w:r w:rsidR="00F81221">
        <w:rPr>
          <w:kern w:val="0"/>
        </w:rPr>
        <w:t xml:space="preserve"> and </w:t>
      </w:r>
      <w:r>
        <w:rPr>
          <w:kern w:val="0"/>
        </w:rPr>
        <w:t>tolerance of moxifloxacin-containing triple therapy in second-line H. pylori eradication,</w:t>
      </w:r>
      <w:r w:rsidR="00F81221">
        <w:rPr>
          <w:kern w:val="0"/>
        </w:rPr>
        <w:t xml:space="preserve"> and </w:t>
      </w:r>
      <w:r>
        <w:rPr>
          <w:kern w:val="0"/>
        </w:rPr>
        <w:t>to conduct a meta-analysis of studies comparing this regimen with bismuth-containing quadruple therapy. Materials</w:t>
      </w:r>
      <w:r w:rsidR="00F81221">
        <w:rPr>
          <w:kern w:val="0"/>
        </w:rPr>
        <w:t xml:space="preserve"> and </w:t>
      </w:r>
      <w:r>
        <w:rPr>
          <w:kern w:val="0"/>
        </w:rPr>
        <w:t>Methods: Electronic databases including MEDLINE, EMBASE, Cochrane controlled trials register, Web of Science, PUBMED, Chinese Biomedical Literature Database (updated to December 2010),</w:t>
      </w:r>
      <w:r w:rsidR="00F81221">
        <w:rPr>
          <w:kern w:val="0"/>
        </w:rPr>
        <w:t xml:space="preserve"> and </w:t>
      </w:r>
      <w:r>
        <w:rPr>
          <w:kern w:val="0"/>
        </w:rPr>
        <w:t>manual searches were conducted. A meta-analysis of all randomized controlled trials (RCTs) comparing moxifloxacin-containing triple therapy to bismuth-containing quadruple therapy in the second-line treatment of H. pylori infection was performed. Results: Seven RCTs including 787 patients were assessed. The meta-analysis showed that the eradication rate in the moxifloxacin group was significantly higher than that in the quadruple therapy group (74.9 vs 61.4%, OR 1.89, 95% CI: 1.38-2.58, p &lt; .0001); besides, the rates of side effects</w:t>
      </w:r>
      <w:r w:rsidR="00F81221">
        <w:rPr>
          <w:kern w:val="0"/>
        </w:rPr>
        <w:t xml:space="preserve"> and </w:t>
      </w:r>
      <w:r>
        <w:rPr>
          <w:kern w:val="0"/>
        </w:rPr>
        <w:t>discontinuing therapy because of side effects in the moxifloxacin group were significantly lower than those in the quadruple therapy group (side effects: 10.1 vs 27.8%, OR 0.27, 95% CI: 0.18-0.41, p &lt; .00001; discontinuing therapy because of side effects: 1.4 vs 8.2%, OR 0.18, 95% CI: 0.08-0.40, p &lt; .0001). These results were constant in the sensitivity analyses. Conclusion: Moxifloxacin-containing triple regimen is more effective</w:t>
      </w:r>
      <w:r w:rsidR="00F81221">
        <w:rPr>
          <w:kern w:val="0"/>
        </w:rPr>
        <w:t xml:space="preserve"> and </w:t>
      </w:r>
      <w:r>
        <w:rPr>
          <w:kern w:val="0"/>
        </w:rPr>
        <w:t>better tolerated than the bismuth-containing quadruple therapy in the second-line treatment of H. pylori infection.</w:t>
      </w:r>
    </w:p>
    <w:p w:rsidR="00C81E06" w:rsidRDefault="00C81E06" w:rsidP="00C81E06">
      <w:pPr>
        <w:pStyle w:val="a0"/>
        <w:rPr>
          <w:kern w:val="0"/>
        </w:rPr>
      </w:pPr>
      <w:r>
        <w:rPr>
          <w:kern w:val="0"/>
        </w:rPr>
        <w:t>Keywords: Antibiotic-Resistance, Cochrane, Databases, Developing-Country, Efficacy, Eradication, Eradication Rate, Helicobacter Pylori, Infection, Lansoprazole, Management, Meta-Analysis, Methods, Moxifloxacin, Pubmed, Randomized Controlled Trials, Regimens, Review, Science, Therapy, Treatment, Web of Science</w:t>
      </w:r>
    </w:p>
    <w:p w:rsidR="00B95188" w:rsidRPr="00A428C3" w:rsidRDefault="00B95188" w:rsidP="00B95188">
      <w:pPr>
        <w:pStyle w:val="1"/>
      </w:pPr>
      <w:r w:rsidRPr="00A428C3">
        <w:br w:type="page"/>
      </w:r>
      <w:bookmarkStart w:id="571" w:name="_Toc186647767"/>
      <w:bookmarkStart w:id="572" w:name="_Toc317161012"/>
      <w:r w:rsidRPr="00A428C3">
        <w:lastRenderedPageBreak/>
        <w:t>Title: Helvetica Chimica Acta</w:t>
      </w:r>
      <w:bookmarkEnd w:id="571"/>
      <w:bookmarkEnd w:id="572"/>
    </w:p>
    <w:p w:rsidR="00B95188" w:rsidRPr="00A428C3" w:rsidRDefault="00B95188" w:rsidP="00B72EF9">
      <w:pPr>
        <w:pStyle w:val="12"/>
      </w:pPr>
      <w:r w:rsidRPr="00A428C3">
        <w:t>Full Journal Title: Helvetica Chimica Acta</w:t>
      </w:r>
    </w:p>
    <w:p w:rsidR="00B95188" w:rsidRPr="00A428C3" w:rsidRDefault="00B95188" w:rsidP="00B72EF9">
      <w:pPr>
        <w:pStyle w:val="12"/>
      </w:pPr>
      <w:r w:rsidRPr="00A428C3">
        <w:t>ISO Abbreviated Title: Helv. Chim. Acta</w:t>
      </w:r>
    </w:p>
    <w:p w:rsidR="00B95188" w:rsidRPr="00A428C3" w:rsidRDefault="00B95188" w:rsidP="00B72EF9">
      <w:pPr>
        <w:pStyle w:val="12"/>
      </w:pPr>
      <w:r w:rsidRPr="00A428C3">
        <w:t>JCR Abbreviated Title: Helv Chim Acta</w:t>
      </w:r>
    </w:p>
    <w:p w:rsidR="00B95188" w:rsidRPr="00A428C3" w:rsidRDefault="00B95188" w:rsidP="00B72EF9">
      <w:pPr>
        <w:pStyle w:val="12"/>
      </w:pPr>
      <w:r w:rsidRPr="00A428C3">
        <w:t>ISSN: 0018-019X</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rPr>
          <w:lang w:val="de-DE"/>
        </w:rPr>
      </w:pPr>
      <w:r w:rsidRPr="00A428C3">
        <w:rPr>
          <w:lang w:val="de-DE"/>
        </w:rPr>
        <w:t>: Impact Factor</w:t>
      </w:r>
    </w:p>
    <w:p w:rsidR="00B95188" w:rsidRPr="00A428C3" w:rsidRDefault="00B95188" w:rsidP="00B95188">
      <w:pPr>
        <w:pStyle w:val="a0"/>
        <w:rPr>
          <w:lang w:val="de-DE"/>
        </w:rPr>
      </w:pPr>
      <w:r w:rsidRPr="00A428C3">
        <w:rPr>
          <w:lang w:val="de-DE"/>
        </w:rPr>
        <w:t>? Milicevi, B.</w:t>
      </w:r>
      <w:r w:rsidR="00F81221">
        <w:rPr>
          <w:lang w:val="de-DE"/>
        </w:rPr>
        <w:t xml:space="preserve"> and </w:t>
      </w:r>
      <w:r w:rsidRPr="00A428C3">
        <w:rPr>
          <w:lang w:val="de-DE"/>
        </w:rPr>
        <w:t xml:space="preserve">McGregor, R. (1966), Zur thermodynamisch-phanomenologischen beschreibung der farbevorgange. I. Diskontinuierliches modellsystem. </w:t>
      </w:r>
      <w:r w:rsidRPr="00A428C3">
        <w:rPr>
          <w:i/>
          <w:iCs/>
          <w:lang w:val="de-DE"/>
        </w:rPr>
        <w:t>Helvetica Chimica Acta</w:t>
      </w:r>
      <w:r w:rsidRPr="00A428C3">
        <w:rPr>
          <w:lang w:val="de-DE"/>
        </w:rPr>
        <w:t xml:space="preserve">, </w:t>
      </w:r>
      <w:r w:rsidRPr="00A428C3">
        <w:rPr>
          <w:b/>
          <w:lang w:val="de-DE"/>
        </w:rPr>
        <w:t>49</w:t>
      </w:r>
      <w:r w:rsidRPr="00A428C3">
        <w:rPr>
          <w:lang w:val="de-DE"/>
        </w:rPr>
        <w:t xml:space="preserve"> (4), 1302-??.</w:t>
      </w:r>
    </w:p>
    <w:p w:rsidR="00B95188" w:rsidRPr="00A428C3" w:rsidRDefault="00B95188" w:rsidP="00B95188">
      <w:pPr>
        <w:pStyle w:val="a0"/>
        <w:rPr>
          <w:lang w:val="de-DE"/>
        </w:rPr>
      </w:pPr>
      <w:r w:rsidRPr="00A428C3">
        <w:rPr>
          <w:lang w:val="de-DE"/>
        </w:rPr>
        <w:t>? McGregor, R.</w:t>
      </w:r>
      <w:r w:rsidR="00F81221">
        <w:rPr>
          <w:lang w:val="de-DE"/>
        </w:rPr>
        <w:t xml:space="preserve"> and </w:t>
      </w:r>
      <w:r w:rsidRPr="00A428C3">
        <w:rPr>
          <w:lang w:val="de-DE"/>
        </w:rPr>
        <w:t xml:space="preserve">Milicevi, B. (1966), Zur thermodynamisch-phanomenologischen beschreibung der farbevorgange. 2. Kontinuierliches modellsystem. </w:t>
      </w:r>
      <w:r w:rsidRPr="00A428C3">
        <w:rPr>
          <w:i/>
          <w:iCs/>
          <w:lang w:val="de-DE"/>
        </w:rPr>
        <w:t>Helvetica Chimica Acta</w:t>
      </w:r>
      <w:r w:rsidRPr="00A428C3">
        <w:rPr>
          <w:lang w:val="de-DE"/>
        </w:rPr>
        <w:t xml:space="preserve">, </w:t>
      </w:r>
      <w:r w:rsidRPr="00A428C3">
        <w:rPr>
          <w:b/>
          <w:lang w:val="de-DE"/>
        </w:rPr>
        <w:t>49</w:t>
      </w:r>
      <w:r w:rsidRPr="00A428C3">
        <w:rPr>
          <w:lang w:val="de-DE"/>
        </w:rPr>
        <w:t xml:space="preserve"> (4),1319-??.</w:t>
      </w:r>
    </w:p>
    <w:p w:rsidR="00B95188" w:rsidRPr="00A428C3" w:rsidRDefault="00B95188" w:rsidP="00B95188">
      <w:pPr>
        <w:pStyle w:val="a0"/>
        <w:rPr>
          <w:lang w:val="de-DE"/>
        </w:rPr>
      </w:pPr>
      <w:r w:rsidRPr="00A428C3">
        <w:rPr>
          <w:lang w:val="de-DE"/>
        </w:rPr>
        <w:t>? Milicevi, B.</w:t>
      </w:r>
      <w:r w:rsidR="00F81221">
        <w:rPr>
          <w:lang w:val="de-DE"/>
        </w:rPr>
        <w:t xml:space="preserve"> and </w:t>
      </w:r>
      <w:r w:rsidRPr="00A428C3">
        <w:rPr>
          <w:lang w:val="de-DE"/>
        </w:rPr>
        <w:t xml:space="preserve">McGregor, R. (1966), Zur thermodynamisch-phanomenologischen beschreibung der farbevorgange. 3. Dimensionsanalyse der hydrodynamischen effekte. </w:t>
      </w:r>
      <w:r w:rsidRPr="00A428C3">
        <w:rPr>
          <w:i/>
          <w:iCs/>
          <w:lang w:val="de-DE"/>
        </w:rPr>
        <w:t>Helvetica Chimica Acta</w:t>
      </w:r>
      <w:r w:rsidRPr="00A428C3">
        <w:rPr>
          <w:lang w:val="de-DE"/>
        </w:rPr>
        <w:t xml:space="preserve">, </w:t>
      </w:r>
      <w:r w:rsidRPr="00A428C3">
        <w:rPr>
          <w:b/>
          <w:lang w:val="de-DE"/>
        </w:rPr>
        <w:t>49</w:t>
      </w:r>
      <w:r w:rsidRPr="00A428C3">
        <w:rPr>
          <w:lang w:val="de-DE"/>
        </w:rPr>
        <w:t xml:space="preserve"> (7), 2098-??.</w:t>
      </w:r>
    </w:p>
    <w:p w:rsidR="00B95188" w:rsidRPr="00A428C3" w:rsidRDefault="00B95188" w:rsidP="00B95188">
      <w:pPr>
        <w:pStyle w:val="a0"/>
        <w:rPr>
          <w:lang w:val="de-DE"/>
        </w:rPr>
      </w:pPr>
      <w:r w:rsidRPr="00A428C3">
        <w:rPr>
          <w:lang w:val="de-DE"/>
        </w:rPr>
        <w:t>? Schmidt, E.</w:t>
      </w:r>
      <w:r w:rsidR="00F81221">
        <w:rPr>
          <w:lang w:val="de-DE"/>
        </w:rPr>
        <w:t xml:space="preserve"> and </w:t>
      </w:r>
      <w:r w:rsidRPr="00A428C3">
        <w:rPr>
          <w:lang w:val="de-DE"/>
        </w:rPr>
        <w:t xml:space="preserve">Siegenth, H. (1970), Diffusion kinetics in adsorption by 2 electrode method. </w:t>
      </w:r>
      <w:r w:rsidRPr="00A428C3">
        <w:rPr>
          <w:i/>
          <w:iCs/>
          <w:lang w:val="de-DE"/>
        </w:rPr>
        <w:t>Helvetica Chimica Acta</w:t>
      </w:r>
      <w:r w:rsidRPr="00A428C3">
        <w:rPr>
          <w:lang w:val="de-DE"/>
        </w:rPr>
        <w:t xml:space="preserve">, </w:t>
      </w:r>
      <w:r w:rsidRPr="00A428C3">
        <w:rPr>
          <w:b/>
          <w:lang w:val="de-DE"/>
        </w:rPr>
        <w:t>53</w:t>
      </w:r>
      <w:r w:rsidRPr="00A428C3">
        <w:rPr>
          <w:lang w:val="de-DE"/>
        </w:rPr>
        <w:t xml:space="preserve"> (2), 321-??.</w:t>
      </w:r>
    </w:p>
    <w:p w:rsidR="00B95188" w:rsidRPr="00A428C3" w:rsidRDefault="00B95188" w:rsidP="00B95188">
      <w:pPr>
        <w:pStyle w:val="1"/>
      </w:pPr>
      <w:r w:rsidRPr="00A428C3">
        <w:br w:type="page"/>
      </w:r>
      <w:bookmarkStart w:id="573" w:name="_Toc317161013"/>
      <w:r w:rsidRPr="00A428C3">
        <w:lastRenderedPageBreak/>
        <w:t xml:space="preserve">Title: </w:t>
      </w:r>
      <w:r w:rsidRPr="007A159A">
        <w:rPr>
          <w:iCs/>
        </w:rPr>
        <w:t>Hemijska Industrija</w:t>
      </w:r>
      <w:bookmarkEnd w:id="573"/>
    </w:p>
    <w:p w:rsidR="00B95188" w:rsidRPr="00A428C3" w:rsidRDefault="00B95188" w:rsidP="00B72EF9">
      <w:pPr>
        <w:pStyle w:val="12"/>
      </w:pPr>
      <w:r w:rsidRPr="00A428C3">
        <w:t xml:space="preserve">Full Journal Title: </w:t>
      </w:r>
      <w:r w:rsidRPr="007A159A">
        <w:rPr>
          <w:iCs/>
        </w:rPr>
        <w:t>Hemijska Industrija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rPr>
          <w:lang w:val="de-DE"/>
        </w:rPr>
      </w:pPr>
      <w:r w:rsidRPr="00A428C3">
        <w:rPr>
          <w:lang w:val="de-DE"/>
        </w:rPr>
        <w:t>: Impact Factor</w:t>
      </w:r>
    </w:p>
    <w:p w:rsidR="00B95188" w:rsidRPr="00586CD8" w:rsidRDefault="00B95188" w:rsidP="00B95188">
      <w:pPr>
        <w:pStyle w:val="a0"/>
        <w:rPr>
          <w:kern w:val="2"/>
        </w:rPr>
      </w:pPr>
      <w:r w:rsidRPr="00586CD8">
        <w:rPr>
          <w:rFonts w:hint="eastAsia"/>
          <w:kern w:val="2"/>
        </w:rPr>
        <w:t xml:space="preserve">? </w:t>
      </w:r>
      <w:r w:rsidRPr="00586CD8">
        <w:rPr>
          <w:kern w:val="2"/>
        </w:rPr>
        <w:t>Savi</w:t>
      </w:r>
      <w:r w:rsidR="00120ACC">
        <w:rPr>
          <w:kern w:val="2"/>
        </w:rPr>
        <w:t>ć</w:t>
      </w:r>
      <w:r w:rsidRPr="00586CD8">
        <w:rPr>
          <w:kern w:val="2"/>
        </w:rPr>
        <w:t>, J., Vasi</w:t>
      </w:r>
      <w:r w:rsidR="00120ACC">
        <w:rPr>
          <w:kern w:val="2"/>
        </w:rPr>
        <w:t>ć</w:t>
      </w:r>
      <w:r w:rsidRPr="00586CD8">
        <w:rPr>
          <w:kern w:val="2"/>
        </w:rPr>
        <w:t>, V.</w:t>
      </w:r>
      <w:r w:rsidR="00F81221">
        <w:rPr>
          <w:kern w:val="2"/>
        </w:rPr>
        <w:t xml:space="preserve"> and </w:t>
      </w:r>
      <w:r w:rsidRPr="00586CD8">
        <w:rPr>
          <w:kern w:val="2"/>
        </w:rPr>
        <w:t>Adna</w:t>
      </w:r>
      <w:r w:rsidR="00120ACC">
        <w:rPr>
          <w:kern w:val="2"/>
        </w:rPr>
        <w:t>đ</w:t>
      </w:r>
      <w:r w:rsidRPr="00586CD8">
        <w:rPr>
          <w:kern w:val="2"/>
        </w:rPr>
        <w:t>evi</w:t>
      </w:r>
      <w:r w:rsidR="00120ACC">
        <w:rPr>
          <w:kern w:val="2"/>
        </w:rPr>
        <w:t>ć</w:t>
      </w:r>
      <w:r w:rsidRPr="00586CD8">
        <w:rPr>
          <w:kern w:val="2"/>
        </w:rPr>
        <w:t xml:space="preserve">, B. (2007), Kinetic investigation of the immobilization of chromotropic acid derivatives onto anion exchange resin. </w:t>
      </w:r>
      <w:r w:rsidRPr="007A159A">
        <w:rPr>
          <w:i/>
          <w:iCs/>
          <w:kern w:val="0"/>
        </w:rPr>
        <w:t>Hemijska Industrija</w:t>
      </w:r>
      <w:r w:rsidRPr="00586CD8">
        <w:rPr>
          <w:kern w:val="2"/>
        </w:rPr>
        <w:t xml:space="preserve">, </w:t>
      </w:r>
      <w:r>
        <w:rPr>
          <w:b/>
          <w:bCs/>
          <w:kern w:val="0"/>
        </w:rPr>
        <w:t>61</w:t>
      </w:r>
      <w:r w:rsidRPr="00586CD8">
        <w:rPr>
          <w:kern w:val="2"/>
        </w:rPr>
        <w:t xml:space="preserve"> (1), 13-17.</w:t>
      </w:r>
    </w:p>
    <w:p w:rsidR="00120ACC" w:rsidRPr="00F03D2F" w:rsidRDefault="00120ACC" w:rsidP="00120ACC">
      <w:pPr>
        <w:pStyle w:val="a0"/>
        <w:rPr>
          <w:kern w:val="0"/>
        </w:rPr>
      </w:pPr>
      <w:r w:rsidRPr="00F03D2F">
        <w:rPr>
          <w:kern w:val="0"/>
        </w:rPr>
        <w:t>Full Text:</w:t>
      </w:r>
      <w:r w:rsidRPr="00D7601C">
        <w:t xml:space="preserve"> </w:t>
      </w:r>
      <w:hyperlink r:id="rId630" w:history="1">
        <w:r w:rsidRPr="00120ACC">
          <w:rPr>
            <w:rStyle w:val="a5"/>
          </w:rPr>
          <w:t>2007\Hem Ind61, 13.pdf</w:t>
        </w:r>
      </w:hyperlink>
    </w:p>
    <w:p w:rsidR="00B95188" w:rsidRPr="00586CD8" w:rsidRDefault="00B95188" w:rsidP="00B95188">
      <w:pPr>
        <w:pStyle w:val="a0"/>
        <w:rPr>
          <w:kern w:val="2"/>
        </w:rPr>
      </w:pPr>
      <w:r w:rsidRPr="00586CD8">
        <w:rPr>
          <w:kern w:val="2"/>
        </w:rPr>
        <w:t>Abstract: The adsorption kinetics of pyrazol- (PACA)</w:t>
      </w:r>
      <w:r w:rsidR="00F81221">
        <w:rPr>
          <w:kern w:val="2"/>
        </w:rPr>
        <w:t xml:space="preserve"> and </w:t>
      </w:r>
      <w:r w:rsidRPr="00586CD8">
        <w:rPr>
          <w:kern w:val="2"/>
        </w:rPr>
        <w:t>imidazol-azo-chromo-tropic acid (IACA) onto Dowex 1-X8 resin, as a function of the dye concentration</w:t>
      </w:r>
      <w:r w:rsidR="00F81221">
        <w:rPr>
          <w:kern w:val="2"/>
        </w:rPr>
        <w:t xml:space="preserve"> and </w:t>
      </w:r>
      <w:r w:rsidRPr="00586CD8">
        <w:rPr>
          <w:kern w:val="2"/>
        </w:rPr>
        <w:t>temperature were investigated at pH 4.5. The pseudo-first-</w:t>
      </w:r>
      <w:r w:rsidR="00F81221">
        <w:rPr>
          <w:kern w:val="2"/>
        </w:rPr>
        <w:t xml:space="preserve"> and </w:t>
      </w:r>
      <w:r w:rsidRPr="00586CD8">
        <w:rPr>
          <w:kern w:val="2"/>
        </w:rPr>
        <w:t>second-order kinetic models</w:t>
      </w:r>
      <w:r w:rsidR="00F81221">
        <w:rPr>
          <w:kern w:val="2"/>
        </w:rPr>
        <w:t xml:space="preserve"> and </w:t>
      </w:r>
      <w:r w:rsidRPr="00586CD8">
        <w:rPr>
          <w:kern w:val="2"/>
        </w:rPr>
        <w:t>intraparticle diffusion model were used to describe the obtained kinetic data. The adsorption rate constants were found to be in the order of magnitude 10</w:t>
      </w:r>
      <w:r>
        <w:rPr>
          <w:rFonts w:hint="eastAsia"/>
          <w:kern w:val="0"/>
          <w:vertAlign w:val="superscript"/>
        </w:rPr>
        <w:t>-2</w:t>
      </w:r>
      <w:r w:rsidRPr="00586CD8">
        <w:rPr>
          <w:kern w:val="2"/>
        </w:rPr>
        <w:t xml:space="preserve"> min</w:t>
      </w:r>
      <w:r>
        <w:rPr>
          <w:rFonts w:hint="eastAsia"/>
          <w:kern w:val="0"/>
          <w:vertAlign w:val="superscript"/>
        </w:rPr>
        <w:t>-1</w:t>
      </w:r>
      <w:r w:rsidRPr="00586CD8">
        <w:rPr>
          <w:kern w:val="2"/>
        </w:rPr>
        <w:t xml:space="preserve"> for all of the used kinetics models. The adsorption capacity increases with increasing initial dye concentration. The study of adsorption kinetics at different temperatures (in the range from 5 to 25</w:t>
      </w:r>
      <w:r w:rsidR="008A7E71">
        <w:t>°</w:t>
      </w:r>
      <w:r w:rsidRPr="00586CD8">
        <w:rPr>
          <w:kern w:val="2"/>
        </w:rPr>
        <w:t>C) reveals an increase in the rate of adsorption</w:t>
      </w:r>
      <w:r w:rsidR="00F81221">
        <w:rPr>
          <w:kern w:val="2"/>
        </w:rPr>
        <w:t xml:space="preserve"> and </w:t>
      </w:r>
      <w:r w:rsidRPr="00586CD8">
        <w:rPr>
          <w:kern w:val="2"/>
        </w:rPr>
        <w:t>adsorption capacity with increasing temperature. The activation energy (in the case of PACA 16.6 kJ/mol,</w:t>
      </w:r>
      <w:r w:rsidR="00F81221">
        <w:rPr>
          <w:kern w:val="2"/>
        </w:rPr>
        <w:t xml:space="preserve"> and </w:t>
      </w:r>
      <w:r w:rsidRPr="00586CD8">
        <w:rPr>
          <w:kern w:val="2"/>
        </w:rPr>
        <w:t>for IACA 11.3 kJ/mol) was determined using the Arrhenius dependence. Electrostatic interactions between the dye</w:t>
      </w:r>
      <w:r w:rsidR="00F81221">
        <w:rPr>
          <w:kern w:val="2"/>
        </w:rPr>
        <w:t xml:space="preserve"> and </w:t>
      </w:r>
      <w:r w:rsidRPr="00586CD8">
        <w:rPr>
          <w:kern w:val="2"/>
        </w:rPr>
        <w:t>resin beads were shown to be the adsorption mechanism.</w:t>
      </w:r>
    </w:p>
    <w:p w:rsidR="00B95188" w:rsidRPr="00586CD8" w:rsidRDefault="00B95188" w:rsidP="00B95188">
      <w:pPr>
        <w:pStyle w:val="a0"/>
        <w:rPr>
          <w:kern w:val="2"/>
        </w:rPr>
      </w:pPr>
      <w:r w:rsidRPr="00586CD8">
        <w:rPr>
          <w:kern w:val="2"/>
        </w:rPr>
        <w:t xml:space="preserve">Keywords: Activated Carbon, Activation, Activation Energy, Adsorption, Adsorption Kinetics, Adsorption-Kinetics, Aqueous-Solutions, Azo-Dyes, Behavior, Capacity, Chromium, Diffusion, Dye, Equilibrium, Function, Immobilization, Intraparticle Diffusion, Intraparticle Diffusion Model, Investigation, Ion-Exchange Resin, Kinetic, Kinetic Models, Kinetics, Linked Chitosan Beads, Mechanism, Model, Models, </w:t>
      </w:r>
      <w:r w:rsidRPr="00586CD8">
        <w:rPr>
          <w:rFonts w:hint="eastAsia"/>
          <w:kern w:val="2"/>
        </w:rPr>
        <w:t>p</w:t>
      </w:r>
      <w:r w:rsidRPr="00586CD8">
        <w:rPr>
          <w:kern w:val="2"/>
        </w:rPr>
        <w:t>H, Reactive Dye, Spectrophotometric Detection, Temperature</w:t>
      </w:r>
    </w:p>
    <w:p w:rsidR="003C68CC" w:rsidRDefault="003C68CC" w:rsidP="003C68CC">
      <w:pPr>
        <w:pStyle w:val="a0"/>
        <w:rPr>
          <w:kern w:val="0"/>
        </w:rPr>
      </w:pPr>
      <w:r>
        <w:rPr>
          <w:rFonts w:hint="eastAsia"/>
          <w:kern w:val="0"/>
        </w:rPr>
        <w:t xml:space="preserve">? </w:t>
      </w:r>
      <w:r>
        <w:rPr>
          <w:kern w:val="0"/>
        </w:rPr>
        <w:t>Alagumuthu, G.</w:t>
      </w:r>
      <w:r w:rsidR="00F81221">
        <w:rPr>
          <w:kern w:val="0"/>
        </w:rPr>
        <w:t xml:space="preserve"> and </w:t>
      </w:r>
      <w:r>
        <w:rPr>
          <w:kern w:val="0"/>
        </w:rPr>
        <w:t>Rajan, M. (2010), Kinetic</w:t>
      </w:r>
      <w:r w:rsidR="00F81221">
        <w:rPr>
          <w:kern w:val="0"/>
        </w:rPr>
        <w:t xml:space="preserve"> and </w:t>
      </w:r>
      <w:r>
        <w:rPr>
          <w:kern w:val="0"/>
        </w:rPr>
        <w:t xml:space="preserve">equilibrium studies on fluoride removal by Zirconium (IV)-impregnated groundnut shell carbon. </w:t>
      </w:r>
      <w:r>
        <w:rPr>
          <w:i/>
          <w:iCs/>
          <w:kern w:val="0"/>
        </w:rPr>
        <w:t>Hemijska Industrija</w:t>
      </w:r>
      <w:r>
        <w:rPr>
          <w:kern w:val="0"/>
        </w:rPr>
        <w:t xml:space="preserve">, </w:t>
      </w:r>
      <w:r>
        <w:rPr>
          <w:b/>
          <w:bCs/>
          <w:kern w:val="0"/>
        </w:rPr>
        <w:t>64</w:t>
      </w:r>
      <w:r>
        <w:rPr>
          <w:kern w:val="0"/>
        </w:rPr>
        <w:t xml:space="preserve"> (4), 295-304.</w:t>
      </w:r>
    </w:p>
    <w:p w:rsidR="003C68CC" w:rsidRPr="00F03D2F" w:rsidRDefault="003C68CC" w:rsidP="003C68CC">
      <w:pPr>
        <w:pStyle w:val="a0"/>
        <w:rPr>
          <w:kern w:val="0"/>
        </w:rPr>
      </w:pPr>
      <w:r w:rsidRPr="00F03D2F">
        <w:rPr>
          <w:kern w:val="0"/>
        </w:rPr>
        <w:lastRenderedPageBreak/>
        <w:t>Full Text:</w:t>
      </w:r>
      <w:r w:rsidRPr="00D7601C">
        <w:t xml:space="preserve"> </w:t>
      </w:r>
      <w:hyperlink r:id="rId631" w:history="1">
        <w:r w:rsidRPr="00F150DA">
          <w:rPr>
            <w:rStyle w:val="a5"/>
          </w:rPr>
          <w:t>2010\Hem Ind64, 295.pdf</w:t>
        </w:r>
      </w:hyperlink>
    </w:p>
    <w:p w:rsidR="003C68CC" w:rsidRDefault="003C68CC" w:rsidP="003C68CC">
      <w:pPr>
        <w:pStyle w:val="a0"/>
        <w:rPr>
          <w:kern w:val="0"/>
        </w:rPr>
      </w:pPr>
      <w:r>
        <w:rPr>
          <w:kern w:val="0"/>
        </w:rPr>
        <w:t>Abstract: The carbonized ground nut shell (GNSC) was impregnated with zirconium oxychloride,</w:t>
      </w:r>
      <w:r w:rsidR="00F81221">
        <w:rPr>
          <w:kern w:val="0"/>
        </w:rPr>
        <w:t xml:space="preserve"> and </w:t>
      </w:r>
      <w:r>
        <w:rPr>
          <w:kern w:val="0"/>
        </w:rPr>
        <w:t>tested to determine its capacity</w:t>
      </w:r>
      <w:r w:rsidR="00F81221">
        <w:rPr>
          <w:kern w:val="0"/>
        </w:rPr>
        <w:t xml:space="preserve"> and </w:t>
      </w:r>
      <w:r>
        <w:rPr>
          <w:kern w:val="0"/>
        </w:rPr>
        <w:t>kinetics for fluoride adsorption from aqueous solutions. The analysis of the isotherm equilibrium data using the Langmuir, Freundlich</w:t>
      </w:r>
      <w:r w:rsidR="00F81221">
        <w:rPr>
          <w:kern w:val="0"/>
        </w:rPr>
        <w:t xml:space="preserve"> and </w:t>
      </w:r>
      <w:r>
        <w:rPr>
          <w:kern w:val="0"/>
        </w:rPr>
        <w:t>Redlich-Peterson equations by linear methods showed that the data fitted better with Freundlich model than the other two. Thermodynamic studies revealed that the spontaneous nature of fluoride adsorption with increase of entropy</w:t>
      </w:r>
      <w:r w:rsidR="00F81221">
        <w:rPr>
          <w:kern w:val="0"/>
        </w:rPr>
        <w:t xml:space="preserve"> and </w:t>
      </w:r>
      <w:r>
        <w:rPr>
          <w:kern w:val="0"/>
        </w:rPr>
        <w:t>an endothermic process. The kinetic data obtained for fluoride adsorption on zirconium impregnated ground nut shell carbon (ZIGNSC) obeyed the pseudo-second order equation. X-ray diffraction (XRD) studies confirmed the deposition of fluoride on material</w:t>
      </w:r>
      <w:r w:rsidR="00F81221">
        <w:rPr>
          <w:kern w:val="0"/>
        </w:rPr>
        <w:t xml:space="preserve"> and </w:t>
      </w:r>
      <w:r>
        <w:rPr>
          <w:kern w:val="0"/>
        </w:rPr>
        <w:t>Fourier transform infrared (FTIR) studies also showed the involvement of adsorbate on the adsorbent surface in the adsorption interaction. The ZIGNSC provides a cost effective material to the defluoridation problem in the developing countries by its great potential application in the fluoride removal from water.</w:t>
      </w:r>
    </w:p>
    <w:p w:rsidR="003C68CC" w:rsidRDefault="003C68CC" w:rsidP="003C68CC">
      <w:pPr>
        <w:pStyle w:val="a0"/>
        <w:rPr>
          <w:kern w:val="0"/>
        </w:rPr>
      </w:pPr>
      <w:r>
        <w:rPr>
          <w:kern w:val="0"/>
        </w:rPr>
        <w:t>Keywords: Adsorbent, Adsorption, Adsorption, Analysis, Application, Aqueous Solutions, Aqueous-Solution, Arachis Hypogia, Capacity, Carbon, Cost, Cost-Effective, Data, Defluoridation, Defluoridation, Deposition, Developing, Developing Countries, Drinking-Water, Endothermic, Entropy, Equilibrium, Fluoride, Fluoride Adsorption, Fluoride Removal, Fluorosis, Freundlich, Freundlich Model, FTIR, Interaction, Ions, Isotherm, Kinetic, Kinetics, Langmuir, Methods, Model, Montmorillonite, Potential, Pseudo Second Order, Pseudo-Second Order, Pseudo-Second-Order, Redlich-Peterson, Removal, Solutions, Sorption, Surface, Thermodynamic, Waste-Water, Water, X-Ray, X-Ray Diffraction, XRD, Zirconium, Zirconium Oxychloride</w:t>
      </w:r>
    </w:p>
    <w:p w:rsidR="00E72DC0" w:rsidRDefault="00E72DC0" w:rsidP="00E72DC0">
      <w:pPr>
        <w:pStyle w:val="a0"/>
        <w:rPr>
          <w:kern w:val="0"/>
        </w:rPr>
      </w:pPr>
      <w:r>
        <w:rPr>
          <w:rFonts w:hint="eastAsia"/>
          <w:kern w:val="0"/>
        </w:rPr>
        <w:t xml:space="preserve">? </w:t>
      </w:r>
      <w:r>
        <w:rPr>
          <w:kern w:val="0"/>
        </w:rPr>
        <w:t>Alagumuthu, G., Veeraputhiran, V.</w:t>
      </w:r>
      <w:r w:rsidR="00F81221">
        <w:rPr>
          <w:kern w:val="0"/>
        </w:rPr>
        <w:t xml:space="preserve"> and </w:t>
      </w:r>
      <w:r>
        <w:rPr>
          <w:kern w:val="0"/>
        </w:rPr>
        <w:t xml:space="preserve">Venkataraman, R. (2011), Fluoride sorption using </w:t>
      </w:r>
      <w:r w:rsidRPr="00F76B4B">
        <w:rPr>
          <w:i/>
          <w:kern w:val="0"/>
        </w:rPr>
        <w:t>Cynodon dactylon</w:t>
      </w:r>
      <w:r>
        <w:rPr>
          <w:kern w:val="0"/>
        </w:rPr>
        <w:t xml:space="preserve">-based activated carbon. </w:t>
      </w:r>
      <w:r>
        <w:rPr>
          <w:i/>
          <w:iCs/>
          <w:kern w:val="0"/>
        </w:rPr>
        <w:t>Hemijska Industrija</w:t>
      </w:r>
      <w:r>
        <w:rPr>
          <w:kern w:val="0"/>
        </w:rPr>
        <w:t xml:space="preserve">, </w:t>
      </w:r>
      <w:r>
        <w:rPr>
          <w:b/>
          <w:bCs/>
          <w:kern w:val="0"/>
        </w:rPr>
        <w:t>65</w:t>
      </w:r>
      <w:r>
        <w:rPr>
          <w:kern w:val="0"/>
        </w:rPr>
        <w:t xml:space="preserve"> (1), 23-35.</w:t>
      </w:r>
    </w:p>
    <w:p w:rsidR="00E72DC0" w:rsidRPr="007D79E8" w:rsidRDefault="00E72DC0" w:rsidP="00E72DC0">
      <w:pPr>
        <w:pStyle w:val="a0"/>
        <w:rPr>
          <w:kern w:val="0"/>
        </w:rPr>
      </w:pPr>
      <w:r w:rsidRPr="007D79E8">
        <w:rPr>
          <w:kern w:val="0"/>
        </w:rPr>
        <w:t xml:space="preserve">Full Text: </w:t>
      </w:r>
      <w:hyperlink r:id="rId632" w:history="1">
        <w:r w:rsidRPr="00F76B4B">
          <w:rPr>
            <w:rStyle w:val="a5"/>
            <w:kern w:val="0"/>
          </w:rPr>
          <w:t>2011\Hem Ind65, 23.pdf</w:t>
        </w:r>
      </w:hyperlink>
    </w:p>
    <w:p w:rsidR="00E72DC0" w:rsidRDefault="00E72DC0" w:rsidP="00E72DC0">
      <w:pPr>
        <w:pStyle w:val="a0"/>
        <w:rPr>
          <w:kern w:val="0"/>
        </w:rPr>
      </w:pPr>
      <w:r>
        <w:rPr>
          <w:kern w:val="0"/>
        </w:rPr>
        <w:t>Abstract: This study deals with the application of Cynodon dactylon-based thermally activated carbon for fluoride toxicity. The batch adsorption technique was followed at neutral pH as a function of contact tune, adsorbent dose, adsorbate concentration, temperature</w:t>
      </w:r>
      <w:r w:rsidR="00F81221">
        <w:rPr>
          <w:kern w:val="0"/>
        </w:rPr>
        <w:t xml:space="preserve"> and </w:t>
      </w:r>
      <w:r>
        <w:rPr>
          <w:kern w:val="0"/>
        </w:rPr>
        <w:t>the effect of co-anions. The data indicate that the prepared adsorbent surface sites are heterogeneous in nature</w:t>
      </w:r>
      <w:r w:rsidR="00F81221">
        <w:rPr>
          <w:kern w:val="0"/>
        </w:rPr>
        <w:t xml:space="preserve"> and </w:t>
      </w:r>
      <w:r>
        <w:rPr>
          <w:kern w:val="0"/>
        </w:rPr>
        <w:t>that fits into a heterogeneous site-binding model. The present system followed the Redlich-Peterson isotherm as well as the Langmuir adsorption isotherm model. Lagergren pseudo-first-order, pseudo-second-order, infra particle diffusion</w:t>
      </w:r>
      <w:r w:rsidR="00F81221">
        <w:rPr>
          <w:kern w:val="0"/>
        </w:rPr>
        <w:t xml:space="preserve"> and </w:t>
      </w:r>
      <w:r>
        <w:rPr>
          <w:kern w:val="0"/>
        </w:rPr>
        <w:t>Elovich kinetics were modeled to describe the adsorption rate of fluoride,</w:t>
      </w:r>
      <w:r w:rsidR="00F81221">
        <w:rPr>
          <w:kern w:val="0"/>
        </w:rPr>
        <w:t xml:space="preserve"> and </w:t>
      </w:r>
      <w:r>
        <w:rPr>
          <w:kern w:val="0"/>
        </w:rPr>
        <w:t>determined as this scheme followed pseudo-second-order kinetics. The calculated enthalpy change, ΔHº,</w:t>
      </w:r>
      <w:r w:rsidR="00F81221">
        <w:rPr>
          <w:kern w:val="0"/>
        </w:rPr>
        <w:t xml:space="preserve"> and </w:t>
      </w:r>
      <w:r>
        <w:rPr>
          <w:kern w:val="0"/>
        </w:rPr>
        <w:t>entropy change, ΔSº, for the adsorption process were 8.725 kJ/mol</w:t>
      </w:r>
      <w:r w:rsidR="00F81221">
        <w:rPr>
          <w:kern w:val="0"/>
        </w:rPr>
        <w:t xml:space="preserve"> and </w:t>
      </w:r>
      <w:r>
        <w:rPr>
          <w:kern w:val="0"/>
        </w:rPr>
        <w:t xml:space="preserve">0.033 J/mol K, </w:t>
      </w:r>
      <w:r>
        <w:rPr>
          <w:kern w:val="0"/>
        </w:rPr>
        <w:lastRenderedPageBreak/>
        <w:t>respectively,</w:t>
      </w:r>
      <w:r w:rsidR="00F81221">
        <w:rPr>
          <w:kern w:val="0"/>
        </w:rPr>
        <w:t xml:space="preserve"> and </w:t>
      </w:r>
      <w:r>
        <w:rPr>
          <w:kern w:val="0"/>
        </w:rPr>
        <w:t>showed endothermic experience. Instrumental analysts of XRD, FTIR</w:t>
      </w:r>
      <w:r w:rsidR="00F81221">
        <w:rPr>
          <w:kern w:val="0"/>
        </w:rPr>
        <w:t xml:space="preserve"> and </w:t>
      </w:r>
      <w:r>
        <w:rPr>
          <w:kern w:val="0"/>
        </w:rPr>
        <w:t>SEM gives an idea about the fluoride binding ability of adsorbent.</w:t>
      </w:r>
    </w:p>
    <w:p w:rsidR="00E72DC0" w:rsidRDefault="00E72DC0" w:rsidP="00E72DC0">
      <w:pPr>
        <w:pStyle w:val="a0"/>
        <w:rPr>
          <w:kern w:val="0"/>
        </w:rPr>
      </w:pPr>
      <w:r>
        <w:rPr>
          <w:kern w:val="0"/>
        </w:rPr>
        <w:t>Keywords: Activated Carbon, Adsorption, Adsorption, Adsorption Isotherm, Aqueous-Solution, Carbon, Cynodon Dactylon, Equilibrium, Fluoride, Fluorides, FTIR, Isotherm, Isotherms, Kinetic Models, Kinetics, Langmuir, Nanotubes, pH, Red Mud, Removal, Shell Carbon, Solids, Sorption, Toxicity, Water</w:t>
      </w:r>
    </w:p>
    <w:p w:rsidR="00F71716" w:rsidRDefault="00F71716" w:rsidP="00F71716">
      <w:pPr>
        <w:pStyle w:val="a0"/>
        <w:rPr>
          <w:kern w:val="0"/>
        </w:rPr>
      </w:pPr>
      <w:r>
        <w:rPr>
          <w:rFonts w:hint="eastAsia"/>
          <w:kern w:val="0"/>
        </w:rPr>
        <w:t xml:space="preserve">? </w:t>
      </w:r>
      <w:r>
        <w:rPr>
          <w:kern w:val="0"/>
        </w:rPr>
        <w:t>Momčilović, M.Z., Purenović, M.M., Miljković, M.N., Bojić, A.L.</w:t>
      </w:r>
      <w:r w:rsidR="00F81221">
        <w:rPr>
          <w:kern w:val="0"/>
        </w:rPr>
        <w:t xml:space="preserve"> and </w:t>
      </w:r>
      <w:r>
        <w:rPr>
          <w:kern w:val="0"/>
        </w:rPr>
        <w:t>Ran</w:t>
      </w:r>
      <w:r w:rsidRPr="00195D67">
        <w:rPr>
          <w:kern w:val="0"/>
        </w:rPr>
        <w:t>đ</w:t>
      </w:r>
      <w:r>
        <w:rPr>
          <w:kern w:val="0"/>
        </w:rPr>
        <w:t xml:space="preserve">elović, M.S. (2011), Adsorption of cationic dye Methylene blue onto activated carbon obtained from horse chestnut kernel. </w:t>
      </w:r>
      <w:r>
        <w:rPr>
          <w:i/>
          <w:iCs/>
          <w:kern w:val="0"/>
        </w:rPr>
        <w:t>Hemijska Industrija</w:t>
      </w:r>
      <w:r>
        <w:rPr>
          <w:kern w:val="0"/>
        </w:rPr>
        <w:t xml:space="preserve">, </w:t>
      </w:r>
      <w:r>
        <w:rPr>
          <w:b/>
          <w:bCs/>
          <w:kern w:val="0"/>
        </w:rPr>
        <w:t>65</w:t>
      </w:r>
      <w:r>
        <w:rPr>
          <w:kern w:val="0"/>
        </w:rPr>
        <w:t xml:space="preserve"> (2), 123-129.</w:t>
      </w:r>
    </w:p>
    <w:p w:rsidR="00F71716" w:rsidRPr="007D79E8" w:rsidRDefault="00F71716" w:rsidP="00F71716">
      <w:pPr>
        <w:pStyle w:val="a0"/>
        <w:rPr>
          <w:kern w:val="0"/>
        </w:rPr>
      </w:pPr>
      <w:r w:rsidRPr="007D79E8">
        <w:rPr>
          <w:kern w:val="0"/>
        </w:rPr>
        <w:t>Full Text:</w:t>
      </w:r>
      <w:r>
        <w:rPr>
          <w:rFonts w:hint="eastAsia"/>
          <w:kern w:val="0"/>
        </w:rPr>
        <w:t xml:space="preserve"> </w:t>
      </w:r>
      <w:hyperlink r:id="rId633" w:history="1">
        <w:r w:rsidRPr="00195D67">
          <w:rPr>
            <w:rStyle w:val="a5"/>
            <w:kern w:val="0"/>
          </w:rPr>
          <w:t>2011\Hem Ind65, 123.pdf</w:t>
        </w:r>
      </w:hyperlink>
    </w:p>
    <w:p w:rsidR="00F71716" w:rsidRDefault="00F71716" w:rsidP="00F71716">
      <w:pPr>
        <w:pStyle w:val="a0"/>
        <w:rPr>
          <w:kern w:val="0"/>
        </w:rPr>
      </w:pPr>
      <w:r>
        <w:rPr>
          <w:kern w:val="0"/>
        </w:rPr>
        <w:t>Abstract: Horse chestnut kernel was used as the precursor for the preparation of powdered activated carbon using phosphoric acid as the activating agent. Batch adsorption experiments for the adsorption of cationic dye methylene blue from aqueous solutions were carried out using the obtained carbon as adsorbent. Equilibrium</w:t>
      </w:r>
      <w:r w:rsidR="00F81221">
        <w:rPr>
          <w:kern w:val="0"/>
        </w:rPr>
        <w:t xml:space="preserve"> and </w:t>
      </w:r>
      <w:r>
        <w:rPr>
          <w:kern w:val="0"/>
        </w:rPr>
        <w:t>kinetic experiments were conducted. The equilibrium data were fitted with the Langmuir, Freundlich</w:t>
      </w:r>
      <w:r w:rsidR="00F81221">
        <w:rPr>
          <w:kern w:val="0"/>
        </w:rPr>
        <w:t xml:space="preserve"> and </w:t>
      </w:r>
      <w:r>
        <w:rPr>
          <w:kern w:val="0"/>
        </w:rPr>
        <w:t>Temkin theoretical isotherm models. The best results was obtained in the case of the Langmuir model, which indicates that monolayer adsorption occurs on finite number of the active adsorption sites on the carbon surface. The kinetic data were fitted with pseudo-first, pseudo-second, Elovich</w:t>
      </w:r>
      <w:r w:rsidR="00F81221">
        <w:rPr>
          <w:kern w:val="0"/>
        </w:rPr>
        <w:t xml:space="preserve"> and </w:t>
      </w:r>
      <w:r>
        <w:rPr>
          <w:kern w:val="0"/>
        </w:rPr>
        <w:t>interparticle diffusion models. The pseudo-second order model</w:t>
      </w:r>
      <w:r w:rsidR="00F81221">
        <w:rPr>
          <w:kern w:val="0"/>
        </w:rPr>
        <w:t xml:space="preserve"> and </w:t>
      </w:r>
      <w:r>
        <w:rPr>
          <w:kern w:val="0"/>
        </w:rPr>
        <w:t>Elovich model showed the best agreement with the kinetic data. The increasing of the solution pH led to a higher uptake of methylene blue due to the fact that competitive adsorption of methylene blue cation</w:t>
      </w:r>
      <w:r w:rsidR="00F81221">
        <w:rPr>
          <w:kern w:val="0"/>
        </w:rPr>
        <w:t xml:space="preserve"> and </w:t>
      </w:r>
      <w:r>
        <w:rPr>
          <w:kern w:val="0"/>
        </w:rPr>
        <w:t>proton exists in acidic solutions. The adsorption capacity for methylene blue in equilibrium study was significant (168.93 mg g</w:t>
      </w:r>
      <w:r>
        <w:rPr>
          <w:rFonts w:hint="eastAsia"/>
          <w:kern w:val="0"/>
          <w:vertAlign w:val="superscript"/>
        </w:rPr>
        <w:t>-1</w:t>
      </w:r>
      <w:r>
        <w:rPr>
          <w:kern w:val="0"/>
        </w:rPr>
        <w:t>). Comparison of the adsorption capacities of methylene blue onto activated carbons derived from various alternative precursors proves chestnut kernel to be efficient</w:t>
      </w:r>
      <w:r w:rsidR="00F81221">
        <w:rPr>
          <w:kern w:val="0"/>
        </w:rPr>
        <w:t xml:space="preserve"> and </w:t>
      </w:r>
      <w:r>
        <w:rPr>
          <w:kern w:val="0"/>
        </w:rPr>
        <w:t>low-cost material which could be substantially deployed in the future.</w:t>
      </w:r>
    </w:p>
    <w:p w:rsidR="00F71716" w:rsidRDefault="00F71716" w:rsidP="00F71716">
      <w:pPr>
        <w:pStyle w:val="a0"/>
        <w:rPr>
          <w:kern w:val="0"/>
        </w:rPr>
      </w:pPr>
      <w:r>
        <w:rPr>
          <w:kern w:val="0"/>
        </w:rPr>
        <w:t>Keywords: Activated Carbon, Active, Adsorbent, Adsorption, Batch, Batch Adsorption, Carbon, Chemical Activation, Chestnut Kernel, Diffusion, Dye, Equilibrium, Equilibrium Study, Freundlich, H</w:t>
      </w:r>
      <w:r w:rsidRPr="00195D67">
        <w:rPr>
          <w:kern w:val="0"/>
          <w:vertAlign w:val="subscript"/>
        </w:rPr>
        <w:t>3</w:t>
      </w:r>
      <w:r>
        <w:rPr>
          <w:kern w:val="0"/>
        </w:rPr>
        <w:t>PO</w:t>
      </w:r>
      <w:r w:rsidRPr="00195D67">
        <w:rPr>
          <w:kern w:val="0"/>
          <w:vertAlign w:val="subscript"/>
        </w:rPr>
        <w:t>4</w:t>
      </w:r>
      <w:r>
        <w:rPr>
          <w:kern w:val="0"/>
        </w:rPr>
        <w:t>, Isotherm, Kinetic, Kinetics, Langmuir, Methylene Blue, pH, Phosphoric Acid, Phosphoric-Acid, Powdered Activated Carbon, Removal, Stones, Surface, Uptake, Waste</w:t>
      </w:r>
    </w:p>
    <w:p w:rsidR="00C81E06" w:rsidRPr="001A3D2B" w:rsidRDefault="00C81E06" w:rsidP="00C81E06">
      <w:pPr>
        <w:pStyle w:val="1"/>
      </w:pPr>
      <w:r w:rsidRPr="001A3D2B">
        <w:br w:type="page"/>
      </w:r>
      <w:bookmarkStart w:id="574" w:name="_Toc317161014"/>
      <w:r w:rsidRPr="001A3D2B">
        <w:lastRenderedPageBreak/>
        <w:t xml:space="preserve">Title: </w:t>
      </w:r>
      <w:r w:rsidRPr="003E367E">
        <w:rPr>
          <w:iCs/>
        </w:rPr>
        <w:t>Hepatobiliary &amp; Pancreatic Diseases International</w:t>
      </w:r>
      <w:bookmarkEnd w:id="574"/>
    </w:p>
    <w:p w:rsidR="00C81E06" w:rsidRPr="00A428C3" w:rsidRDefault="00C81E06" w:rsidP="00C81E06">
      <w:pPr>
        <w:pStyle w:val="12"/>
      </w:pPr>
      <w:r w:rsidRPr="00A428C3">
        <w:t xml:space="preserve">Full Journal Title: </w:t>
      </w:r>
      <w:r w:rsidRPr="003E367E">
        <w:rPr>
          <w:iCs/>
        </w:rPr>
        <w:t>Hepatobiliary &amp; Pancreatic Diseases International</w:t>
      </w:r>
    </w:p>
    <w:p w:rsidR="00C81E06" w:rsidRPr="001A3D2B" w:rsidRDefault="00C81E06" w:rsidP="00C81E06">
      <w:pPr>
        <w:pStyle w:val="12"/>
      </w:pPr>
      <w:r w:rsidRPr="001A3D2B">
        <w:t xml:space="preserve">ISO Abbreviated Title: </w:t>
      </w:r>
    </w:p>
    <w:p w:rsidR="00C81E06" w:rsidRPr="001A3D2B" w:rsidRDefault="00C81E06" w:rsidP="00C81E06">
      <w:pPr>
        <w:pStyle w:val="12"/>
      </w:pPr>
      <w:r w:rsidRPr="001A3D2B">
        <w:t xml:space="preserve">JCR Abbreviated Title: </w:t>
      </w:r>
    </w:p>
    <w:p w:rsidR="00C81E06" w:rsidRPr="001A3D2B" w:rsidRDefault="00C81E06" w:rsidP="00C81E06">
      <w:pPr>
        <w:pStyle w:val="12"/>
      </w:pPr>
      <w:r w:rsidRPr="001A3D2B">
        <w:t xml:space="preserve">ISSN: </w:t>
      </w:r>
    </w:p>
    <w:p w:rsidR="00C81E06" w:rsidRPr="001A3D2B" w:rsidRDefault="00C81E06" w:rsidP="00C81E06">
      <w:pPr>
        <w:pStyle w:val="12"/>
      </w:pPr>
      <w:r w:rsidRPr="001A3D2B">
        <w:t xml:space="preserve">Issues/Year: </w:t>
      </w:r>
    </w:p>
    <w:p w:rsidR="00C81E06" w:rsidRPr="001A3D2B" w:rsidRDefault="00C81E06" w:rsidP="00C81E06">
      <w:pPr>
        <w:pStyle w:val="12"/>
      </w:pPr>
      <w:r w:rsidRPr="001A3D2B">
        <w:t xml:space="preserve">Journal Country/Territory: </w:t>
      </w:r>
    </w:p>
    <w:p w:rsidR="00C81E06" w:rsidRPr="001A3D2B" w:rsidRDefault="00C81E06" w:rsidP="00C81E06">
      <w:pPr>
        <w:pStyle w:val="12"/>
      </w:pPr>
      <w:r w:rsidRPr="001A3D2B">
        <w:t xml:space="preserve">Language: </w:t>
      </w:r>
    </w:p>
    <w:p w:rsidR="00C81E06" w:rsidRPr="001A3D2B" w:rsidRDefault="00C81E06" w:rsidP="00C81E06">
      <w:pPr>
        <w:pStyle w:val="12"/>
      </w:pPr>
      <w:r w:rsidRPr="001A3D2B">
        <w:t xml:space="preserve">Publisher: </w:t>
      </w:r>
    </w:p>
    <w:p w:rsidR="00C81E06" w:rsidRPr="001A3D2B" w:rsidRDefault="00C81E06" w:rsidP="00C81E06">
      <w:pPr>
        <w:pStyle w:val="12"/>
      </w:pPr>
      <w:r w:rsidRPr="001A3D2B">
        <w:t xml:space="preserve">Publisher Address: </w:t>
      </w:r>
    </w:p>
    <w:p w:rsidR="00C81E06" w:rsidRPr="001A3D2B" w:rsidRDefault="00C81E06" w:rsidP="00C81E06">
      <w:pPr>
        <w:pStyle w:val="12"/>
      </w:pPr>
      <w:r w:rsidRPr="001A3D2B">
        <w:t>Subject Categories:</w:t>
      </w:r>
    </w:p>
    <w:p w:rsidR="00C81E06" w:rsidRPr="001A3D2B" w:rsidRDefault="00C81E06" w:rsidP="00C81E06">
      <w:pPr>
        <w:pStyle w:val="12"/>
      </w:pPr>
      <w:r w:rsidRPr="001A3D2B">
        <w:t xml:space="preserve">: Impact Factor </w:t>
      </w:r>
    </w:p>
    <w:p w:rsidR="00C81E06" w:rsidRDefault="00C81E06" w:rsidP="00C81E06">
      <w:pPr>
        <w:pStyle w:val="a0"/>
        <w:rPr>
          <w:kern w:val="0"/>
        </w:rPr>
      </w:pPr>
      <w:r>
        <w:rPr>
          <w:rFonts w:hint="eastAsia"/>
          <w:kern w:val="0"/>
        </w:rPr>
        <w:t xml:space="preserve">? </w:t>
      </w:r>
      <w:r>
        <w:rPr>
          <w:kern w:val="0"/>
        </w:rPr>
        <w:t>Chen, H., Zhang, Y., Zhou, L., Xie, H.Y.</w:t>
      </w:r>
      <w:r w:rsidR="00F81221">
        <w:rPr>
          <w:kern w:val="0"/>
        </w:rPr>
        <w:t xml:space="preserve"> and </w:t>
      </w:r>
      <w:r>
        <w:rPr>
          <w:kern w:val="0"/>
        </w:rPr>
        <w:t xml:space="preserve">Zheng, S.S. (2008), Role of basic studies in expanding the donor pool for liver transplantation. </w:t>
      </w:r>
      <w:r w:rsidRPr="003E367E">
        <w:rPr>
          <w:i/>
          <w:iCs/>
          <w:kern w:val="0"/>
        </w:rPr>
        <w:t>Hepatobiliary &amp; Pancreatic Diseases International</w:t>
      </w:r>
      <w:r>
        <w:rPr>
          <w:kern w:val="0"/>
        </w:rPr>
        <w:t xml:space="preserve">, </w:t>
      </w:r>
      <w:r>
        <w:rPr>
          <w:b/>
          <w:bCs/>
          <w:kern w:val="0"/>
        </w:rPr>
        <w:t>7</w:t>
      </w:r>
      <w:r>
        <w:rPr>
          <w:kern w:val="0"/>
        </w:rPr>
        <w:t xml:space="preserve"> (6), 571-580.</w:t>
      </w:r>
    </w:p>
    <w:p w:rsidR="00C81E06" w:rsidRDefault="00C81E06" w:rsidP="00C81E06">
      <w:pPr>
        <w:pStyle w:val="a0"/>
        <w:rPr>
          <w:kern w:val="0"/>
        </w:rPr>
      </w:pPr>
      <w:r>
        <w:rPr>
          <w:kern w:val="0"/>
        </w:rPr>
        <w:t>Abstract: BACKGROUND: Liver transplantation is an effective treatment for end-stage liver disease, but a huge gap remains between the number of people who need a liver transplant</w:t>
      </w:r>
      <w:r w:rsidR="00F81221">
        <w:rPr>
          <w:kern w:val="0"/>
        </w:rPr>
        <w:t xml:space="preserve"> and </w:t>
      </w:r>
      <w:r>
        <w:rPr>
          <w:kern w:val="0"/>
        </w:rPr>
        <w:t>the number of organs available. In order to maximize donor organ access for adult</w:t>
      </w:r>
      <w:r w:rsidR="00F81221">
        <w:rPr>
          <w:kern w:val="0"/>
        </w:rPr>
        <w:t xml:space="preserve"> and </w:t>
      </w:r>
      <w:r>
        <w:rPr>
          <w:kern w:val="0"/>
        </w:rPr>
        <w:t>pediatric recipients, novel surgical</w:t>
      </w:r>
      <w:r w:rsidR="00F81221">
        <w:rPr>
          <w:kern w:val="0"/>
        </w:rPr>
        <w:t xml:space="preserve"> and </w:t>
      </w:r>
      <w:r>
        <w:rPr>
          <w:kern w:val="0"/>
        </w:rPr>
        <w:t>liver replacement procedures have evolved. Newer surgical techniques include split cadaveric liver transplantation</w:t>
      </w:r>
      <w:r w:rsidR="00F81221">
        <w:rPr>
          <w:kern w:val="0"/>
        </w:rPr>
        <w:t xml:space="preserve"> and </w:t>
      </w:r>
      <w:r>
        <w:rPr>
          <w:kern w:val="0"/>
        </w:rPr>
        <w:t>living donor liver transplantation (LDLT). With marginal</w:t>
      </w:r>
      <w:r w:rsidR="00F81221">
        <w:rPr>
          <w:kern w:val="0"/>
        </w:rPr>
        <w:t xml:space="preserve"> and </w:t>
      </w:r>
      <w:r>
        <w:rPr>
          <w:kern w:val="0"/>
        </w:rPr>
        <w:t>abnormal donor livers, despite tremendous advances in surgical technology, individual surgical procedure can not be completely brought into play unless effective measurements</w:t>
      </w:r>
      <w:r w:rsidR="00F81221">
        <w:rPr>
          <w:kern w:val="0"/>
        </w:rPr>
        <w:t xml:space="preserve"> and </w:t>
      </w:r>
      <w:r>
        <w:rPr>
          <w:kern w:val="0"/>
        </w:rPr>
        <w:t>basal studies are undertaken. DATA SOURCES: A literature search of MEDLINE</w:t>
      </w:r>
      <w:r w:rsidR="00F81221">
        <w:rPr>
          <w:kern w:val="0"/>
        </w:rPr>
        <w:t xml:space="preserve"> and </w:t>
      </w:r>
      <w:r>
        <w:rPr>
          <w:kern w:val="0"/>
        </w:rPr>
        <w:t xml:space="preserve">the Web of Science database using </w:t>
      </w:r>
      <w:r w:rsidR="000352E7">
        <w:rPr>
          <w:kern w:val="0"/>
        </w:rPr>
        <w:t>“</w:t>
      </w:r>
      <w:r>
        <w:rPr>
          <w:kern w:val="0"/>
        </w:rPr>
        <w:t>liver transplantation</w:t>
      </w:r>
      <w:r w:rsidR="000352E7">
        <w:rPr>
          <w:kern w:val="0"/>
        </w:rPr>
        <w:t>”</w:t>
      </w:r>
      <w:r w:rsidR="00F81221">
        <w:rPr>
          <w:kern w:val="0"/>
        </w:rPr>
        <w:t xml:space="preserve"> and </w:t>
      </w:r>
      <w:r w:rsidR="000352E7">
        <w:rPr>
          <w:kern w:val="0"/>
        </w:rPr>
        <w:t>“</w:t>
      </w:r>
      <w:r>
        <w:rPr>
          <w:kern w:val="0"/>
        </w:rPr>
        <w:t>expanding donor pool</w:t>
      </w:r>
      <w:r w:rsidR="000352E7">
        <w:rPr>
          <w:kern w:val="0"/>
        </w:rPr>
        <w:t>”</w:t>
      </w:r>
      <w:r>
        <w:rPr>
          <w:kern w:val="0"/>
        </w:rPr>
        <w:t xml:space="preserve"> was conducted</w:t>
      </w:r>
      <w:r w:rsidR="00F81221">
        <w:rPr>
          <w:kern w:val="0"/>
        </w:rPr>
        <w:t xml:space="preserve"> and </w:t>
      </w:r>
      <w:r>
        <w:rPr>
          <w:kern w:val="0"/>
        </w:rPr>
        <w:t>research articles were reviewed. RESULTS: Therapies directed toward scavenging O(2-), inhibiting nicotinamide adenine dinucleotide phosphate oxidase, and/or immuno-neutralizing tumor necrosis factor-alpha may prove useful in limiting the liver injury induced by surgical procedures such as split liver transplantation or LDLT. Improved donor organ perfusion</w:t>
      </w:r>
      <w:r w:rsidR="00F81221">
        <w:rPr>
          <w:kern w:val="0"/>
        </w:rPr>
        <w:t xml:space="preserve"> and </w:t>
      </w:r>
      <w:r>
        <w:rPr>
          <w:kern w:val="0"/>
        </w:rPr>
        <w:t>preservation methods, modulation of inflammatory cytokines, energy status enhancement, microcirculation amelioration,</w:t>
      </w:r>
      <w:r w:rsidR="00F81221">
        <w:rPr>
          <w:kern w:val="0"/>
        </w:rPr>
        <w:t xml:space="preserve"> and </w:t>
      </w:r>
      <w:r>
        <w:rPr>
          <w:kern w:val="0"/>
        </w:rPr>
        <w:t>antioxidant usage can improve non-heart beating donor liver transplantation. Effective measures have been taken to improve the local conditions of donor cells with steatosis, including usage of fat-derived hormone</w:t>
      </w:r>
      <w:r w:rsidR="00F81221">
        <w:rPr>
          <w:kern w:val="0"/>
        </w:rPr>
        <w:t xml:space="preserve"> and </w:t>
      </w:r>
      <w:r>
        <w:rPr>
          <w:kern w:val="0"/>
        </w:rPr>
        <w:t>inflammatory mediators, ischemic preconditioning, depletion of Kupffer cells,</w:t>
      </w:r>
      <w:r w:rsidR="00F81221">
        <w:rPr>
          <w:kern w:val="0"/>
        </w:rPr>
        <w:t xml:space="preserve"> and </w:t>
      </w:r>
      <w:r>
        <w:rPr>
          <w:kern w:val="0"/>
        </w:rPr>
        <w:t>cytokine antibody</w:t>
      </w:r>
      <w:r w:rsidR="00F81221">
        <w:rPr>
          <w:kern w:val="0"/>
        </w:rPr>
        <w:t xml:space="preserve"> and </w:t>
      </w:r>
      <w:r>
        <w:rPr>
          <w:kern w:val="0"/>
        </w:rPr>
        <w:t>gene therapy. Double-filtration plasmapheresis can effectively reduce HCV viremia</w:t>
      </w:r>
      <w:r w:rsidR="00F81221">
        <w:rPr>
          <w:kern w:val="0"/>
        </w:rPr>
        <w:t xml:space="preserve"> and </w:t>
      </w:r>
      <w:r>
        <w:rPr>
          <w:kern w:val="0"/>
        </w:rPr>
        <w:t xml:space="preserve">prevent HCV recurrence in </w:t>
      </w:r>
      <w:r>
        <w:rPr>
          <w:kern w:val="0"/>
        </w:rPr>
        <w:lastRenderedPageBreak/>
        <w:t>patient with high HCV RNA levels after LDLT. CONCLUSIONS: Shortage of grafts</w:t>
      </w:r>
      <w:r w:rsidR="00F81221">
        <w:rPr>
          <w:kern w:val="0"/>
        </w:rPr>
        <w:t xml:space="preserve"> and </w:t>
      </w:r>
      <w:r>
        <w:rPr>
          <w:kern w:val="0"/>
        </w:rPr>
        <w:t>poor function of marginal</w:t>
      </w:r>
      <w:r w:rsidR="00F81221">
        <w:rPr>
          <w:kern w:val="0"/>
        </w:rPr>
        <w:t xml:space="preserve"> and </w:t>
      </w:r>
      <w:r>
        <w:rPr>
          <w:kern w:val="0"/>
        </w:rPr>
        <w:t>abnormal donor grafts put many patients at risk of death in waiting for liver transplantation. Advances in surgical technology, combined with improvement</w:t>
      </w:r>
      <w:r w:rsidR="00F81221">
        <w:rPr>
          <w:kern w:val="0"/>
        </w:rPr>
        <w:t xml:space="preserve"> and </w:t>
      </w:r>
      <w:r>
        <w:rPr>
          <w:kern w:val="0"/>
        </w:rPr>
        <w:t>breakthroughs in basic studies hold a promise in expanding the liver donor pool.</w:t>
      </w:r>
    </w:p>
    <w:p w:rsidR="00C81E06" w:rsidRDefault="00C81E06" w:rsidP="00C81E06">
      <w:pPr>
        <w:pStyle w:val="a0"/>
        <w:rPr>
          <w:kern w:val="0"/>
        </w:rPr>
      </w:pPr>
      <w:r>
        <w:rPr>
          <w:kern w:val="0"/>
        </w:rPr>
        <w:t>Keywords: Adult, Cold Preservation, Disease, Expanding Donor Pool, Extracorporeal Membrane-Oxygenation, Fatty Livers, Graft Injury, HCV, Heart-Beating Donors, Hepatitis-C, Induced, Injury, Ischemia-Reperfusion Injury, Ischemic Preconditioning, Literature, Liver Transplantation, Living Donor Liver Transplantation, Machine Perfusion, Medline, Non-Heart Beating Donor, Pediatric, Perfusion, Rat Livers, Recurrence, Research, Risk, Rna, Science, Split Liver Transplantation, Surgical, Therapy, Treatment, Warm Ischemia, Web of Science</w:t>
      </w:r>
    </w:p>
    <w:p w:rsidR="00C81E06" w:rsidRDefault="00C81E06" w:rsidP="00C81E06">
      <w:pPr>
        <w:pStyle w:val="a0"/>
        <w:rPr>
          <w:kern w:val="0"/>
        </w:rPr>
      </w:pPr>
      <w:r>
        <w:rPr>
          <w:rFonts w:hint="eastAsia"/>
          <w:kern w:val="0"/>
        </w:rPr>
        <w:t xml:space="preserve">? </w:t>
      </w:r>
      <w:r>
        <w:rPr>
          <w:kern w:val="0"/>
        </w:rPr>
        <w:t>Wang, G.J., Li, Y.A., Zhou, Z.G., Wang, C.</w:t>
      </w:r>
      <w:r w:rsidR="00F81221">
        <w:rPr>
          <w:kern w:val="0"/>
        </w:rPr>
        <w:t xml:space="preserve"> and </w:t>
      </w:r>
      <w:r>
        <w:rPr>
          <w:kern w:val="0"/>
        </w:rPr>
        <w:t xml:space="preserve">Meng, W.J. (2010), Integrity of the pancreatic duct-acinar system in the pathogenesis of acute pancreatitis. </w:t>
      </w:r>
      <w:r>
        <w:rPr>
          <w:i/>
          <w:iCs/>
          <w:kern w:val="0"/>
        </w:rPr>
        <w:t>Hepatobiliary &amp; Pancreatic Diseases International</w:t>
      </w:r>
      <w:r>
        <w:rPr>
          <w:kern w:val="0"/>
        </w:rPr>
        <w:t xml:space="preserve">, </w:t>
      </w:r>
      <w:r>
        <w:rPr>
          <w:b/>
          <w:bCs/>
          <w:kern w:val="0"/>
        </w:rPr>
        <w:t>9</w:t>
      </w:r>
      <w:r>
        <w:rPr>
          <w:kern w:val="0"/>
        </w:rPr>
        <w:t xml:space="preserve"> (3), 242-247.</w:t>
      </w:r>
    </w:p>
    <w:p w:rsidR="00C81E06" w:rsidRDefault="00C81E06" w:rsidP="00C81E06">
      <w:pPr>
        <w:pStyle w:val="a0"/>
        <w:rPr>
          <w:kern w:val="0"/>
        </w:rPr>
      </w:pPr>
      <w:r>
        <w:rPr>
          <w:kern w:val="0"/>
        </w:rPr>
        <w:t>Abstract: BACKGROUND: Acute pancreatitis is an acute inflammatory process of the pancreas that frequently involves peripancreatic tissues</w:t>
      </w:r>
      <w:r w:rsidR="00F81221">
        <w:rPr>
          <w:kern w:val="0"/>
        </w:rPr>
        <w:t xml:space="preserve"> and </w:t>
      </w:r>
      <w:r>
        <w:rPr>
          <w:kern w:val="0"/>
        </w:rPr>
        <w:t>at times remote organ systems. For a long time, the etiology</w:t>
      </w:r>
      <w:r w:rsidR="00F81221">
        <w:rPr>
          <w:kern w:val="0"/>
        </w:rPr>
        <w:t xml:space="preserve"> and </w:t>
      </w:r>
      <w:r>
        <w:rPr>
          <w:kern w:val="0"/>
        </w:rPr>
        <w:t>pathogenesis of acute pancreatitis has been intensively investigated worldwide, but the pathogenetic theories are controversial. The integrity of the pancreatic duct-acinar system might play an important role in the pathogenesis of this disease. DATA SOURCES: Web of Science</w:t>
      </w:r>
      <w:r w:rsidR="00F81221">
        <w:rPr>
          <w:kern w:val="0"/>
        </w:rPr>
        <w:t xml:space="preserve"> and </w:t>
      </w:r>
      <w:r>
        <w:rPr>
          <w:kern w:val="0"/>
        </w:rPr>
        <w:t>PUBMED databases were searched for published studies (between January 1966</w:t>
      </w:r>
      <w:r w:rsidR="00F81221">
        <w:rPr>
          <w:kern w:val="0"/>
        </w:rPr>
        <w:t xml:space="preserve"> and </w:t>
      </w:r>
      <w:r>
        <w:rPr>
          <w:kern w:val="0"/>
        </w:rPr>
        <w:t xml:space="preserve">June 2009) to identify relevant articles using the keywords </w:t>
      </w:r>
      <w:r w:rsidR="000352E7">
        <w:rPr>
          <w:kern w:val="0"/>
        </w:rPr>
        <w:t>“</w:t>
      </w:r>
      <w:r>
        <w:rPr>
          <w:kern w:val="0"/>
        </w:rPr>
        <w:t>acinar hyperstimulation</w:t>
      </w:r>
      <w:r w:rsidR="000352E7">
        <w:rPr>
          <w:kern w:val="0"/>
        </w:rPr>
        <w:t>”</w:t>
      </w:r>
      <w:r>
        <w:rPr>
          <w:kern w:val="0"/>
        </w:rPr>
        <w:t xml:space="preserve">, </w:t>
      </w:r>
      <w:r w:rsidR="000352E7">
        <w:rPr>
          <w:kern w:val="0"/>
        </w:rPr>
        <w:t>“</w:t>
      </w:r>
      <w:r>
        <w:rPr>
          <w:kern w:val="0"/>
        </w:rPr>
        <w:t>pathogenesis</w:t>
      </w:r>
      <w:r w:rsidR="000352E7">
        <w:rPr>
          <w:kern w:val="0"/>
        </w:rPr>
        <w:t>”</w:t>
      </w:r>
      <w:r>
        <w:rPr>
          <w:kern w:val="0"/>
        </w:rPr>
        <w:t xml:space="preserve">, </w:t>
      </w:r>
      <w:r w:rsidR="000352E7">
        <w:rPr>
          <w:kern w:val="0"/>
        </w:rPr>
        <w:t>“</w:t>
      </w:r>
      <w:r>
        <w:rPr>
          <w:kern w:val="0"/>
        </w:rPr>
        <w:t>acute pancreatitis</w:t>
      </w:r>
      <w:r w:rsidR="000352E7">
        <w:rPr>
          <w:kern w:val="0"/>
        </w:rPr>
        <w:t>”</w:t>
      </w:r>
      <w:r>
        <w:rPr>
          <w:kern w:val="0"/>
        </w:rPr>
        <w:t xml:space="preserve">, </w:t>
      </w:r>
      <w:r w:rsidR="000352E7">
        <w:rPr>
          <w:kern w:val="0"/>
        </w:rPr>
        <w:t>“</w:t>
      </w:r>
      <w:r>
        <w:rPr>
          <w:kern w:val="0"/>
        </w:rPr>
        <w:t>pancreatic duct-acinar system</w:t>
      </w:r>
      <w:r w:rsidR="000352E7">
        <w:rPr>
          <w:kern w:val="0"/>
        </w:rPr>
        <w:t>”</w:t>
      </w:r>
      <w:r>
        <w:rPr>
          <w:kern w:val="0"/>
        </w:rPr>
        <w:t>,</w:t>
      </w:r>
      <w:r w:rsidR="00F81221">
        <w:rPr>
          <w:kern w:val="0"/>
        </w:rPr>
        <w:t xml:space="preserve"> and </w:t>
      </w:r>
      <w:r w:rsidR="000352E7">
        <w:rPr>
          <w:kern w:val="0"/>
        </w:rPr>
        <w:t>“</w:t>
      </w:r>
      <w:r>
        <w:rPr>
          <w:kern w:val="0"/>
        </w:rPr>
        <w:t>pancreatic duct pressure</w:t>
      </w:r>
      <w:r w:rsidR="000352E7">
        <w:rPr>
          <w:kern w:val="0"/>
        </w:rPr>
        <w:t>”</w:t>
      </w:r>
      <w:r>
        <w:rPr>
          <w:kern w:val="0"/>
        </w:rPr>
        <w:t>. Most of the relevant articles were reviewed. RESULTS: From critical reading of the relevant articles, we found that the underlying mechanisms involved in the pathogenesis of acute pancreatitis are still under debate</w:t>
      </w:r>
      <w:r w:rsidR="00F81221">
        <w:rPr>
          <w:kern w:val="0"/>
        </w:rPr>
        <w:t xml:space="preserve"> and </w:t>
      </w:r>
      <w:r>
        <w:rPr>
          <w:kern w:val="0"/>
        </w:rPr>
        <w:t>ill-understood. On the basis of the relevant studies, we propose a hypothesis for the pathogenesis of acute pancreatitis, in which the integrity of the pancreatic duct-acinar system plays an essential role in the onset</w:t>
      </w:r>
      <w:r w:rsidR="00F81221">
        <w:rPr>
          <w:kern w:val="0"/>
        </w:rPr>
        <w:t xml:space="preserve"> and </w:t>
      </w:r>
      <w:r>
        <w:rPr>
          <w:kern w:val="0"/>
        </w:rPr>
        <w:t>progression of various forms of the disease. CONCLUSIONS: In our hypothesis, pancreatic duct obstruction</w:t>
      </w:r>
      <w:r w:rsidR="00F81221">
        <w:rPr>
          <w:kern w:val="0"/>
        </w:rPr>
        <w:t xml:space="preserve"> and </w:t>
      </w:r>
      <w:r>
        <w:rPr>
          <w:kern w:val="0"/>
        </w:rPr>
        <w:t>hyperstimulation of the exocrine pancreas are preconditions for the onset of acute pancreatitis; under the common conditions of pancreatic duct obstruction</w:t>
      </w:r>
      <w:r w:rsidR="00F81221">
        <w:rPr>
          <w:kern w:val="0"/>
        </w:rPr>
        <w:t xml:space="preserve"> and </w:t>
      </w:r>
      <w:r>
        <w:rPr>
          <w:kern w:val="0"/>
        </w:rPr>
        <w:t>acinar hyperstimulation, acute pancreatitis arises</w:t>
      </w:r>
      <w:r w:rsidR="00F81221">
        <w:rPr>
          <w:kern w:val="0"/>
        </w:rPr>
        <w:t xml:space="preserve"> and </w:t>
      </w:r>
      <w:r>
        <w:rPr>
          <w:kern w:val="0"/>
        </w:rPr>
        <w:t>develops. This may be an important common pathophysiological mechanism causing various forms of acute pancreatitis. (Hepntobiliary Pancreat Dis Int 2010; 9: 242-247).</w:t>
      </w:r>
    </w:p>
    <w:p w:rsidR="00C81E06" w:rsidRDefault="00C81E06" w:rsidP="00C81E06">
      <w:pPr>
        <w:pStyle w:val="a0"/>
        <w:rPr>
          <w:kern w:val="0"/>
        </w:rPr>
      </w:pPr>
      <w:r>
        <w:rPr>
          <w:kern w:val="0"/>
        </w:rPr>
        <w:t xml:space="preserve">Keywords: Acinar Hyperstimulation, Acute Pancreatitis, Alcoholic Pancreatitis, Animal-Model, Cerulein, Critical Reading, Databases, Disease, Etiology, Experimental-Model, Gallstone Pancreatitis, L-Arginine, Mechanism, Mouse Model, </w:t>
      </w:r>
      <w:r>
        <w:rPr>
          <w:kern w:val="0"/>
        </w:rPr>
        <w:lastRenderedPageBreak/>
        <w:t>Obstruction, Pancreatic Duct Pressure, Pancreatic Duct-Acinar System, Pathogenesis, Post-ERCP Pancreatitis, Pubmed, Rat, Science, Theories, Web of Science</w:t>
      </w:r>
    </w:p>
    <w:p w:rsidR="00C81E06" w:rsidRDefault="00C81E06" w:rsidP="00C81E06">
      <w:pPr>
        <w:pStyle w:val="a0"/>
        <w:rPr>
          <w:kern w:val="0"/>
        </w:rPr>
      </w:pPr>
      <w:r>
        <w:rPr>
          <w:rFonts w:hint="eastAsia"/>
          <w:kern w:val="0"/>
        </w:rPr>
        <w:t xml:space="preserve">? </w:t>
      </w:r>
      <w:r>
        <w:rPr>
          <w:kern w:val="0"/>
        </w:rPr>
        <w:t>Yan, S., Jin, L.M., Liu, Y.X., Zhou, L., Xie, H.Y.</w:t>
      </w:r>
      <w:r w:rsidR="00F81221">
        <w:rPr>
          <w:kern w:val="0"/>
        </w:rPr>
        <w:t xml:space="preserve"> and </w:t>
      </w:r>
      <w:r>
        <w:rPr>
          <w:kern w:val="0"/>
        </w:rPr>
        <w:t>Zheng, S.S. (2010), Outcomes</w:t>
      </w:r>
      <w:r w:rsidR="00F81221">
        <w:rPr>
          <w:kern w:val="0"/>
        </w:rPr>
        <w:t xml:space="preserve"> and </w:t>
      </w:r>
      <w:r>
        <w:rPr>
          <w:kern w:val="0"/>
        </w:rPr>
        <w:t xml:space="preserve">mechanisms of ischemic preconditioning in liver transplantation. </w:t>
      </w:r>
      <w:r>
        <w:rPr>
          <w:i/>
          <w:iCs/>
          <w:kern w:val="0"/>
        </w:rPr>
        <w:t>Hepatobiliary &amp; Pancreatic Diseases International</w:t>
      </w:r>
      <w:r>
        <w:rPr>
          <w:kern w:val="0"/>
        </w:rPr>
        <w:t xml:space="preserve">, </w:t>
      </w:r>
      <w:r>
        <w:rPr>
          <w:b/>
          <w:bCs/>
          <w:kern w:val="0"/>
        </w:rPr>
        <w:t>9</w:t>
      </w:r>
      <w:r>
        <w:rPr>
          <w:kern w:val="0"/>
        </w:rPr>
        <w:t xml:space="preserve"> (4), 346-354.</w:t>
      </w:r>
    </w:p>
    <w:p w:rsidR="00C81E06" w:rsidRDefault="00C81E06" w:rsidP="00C81E06">
      <w:pPr>
        <w:pStyle w:val="a0"/>
        <w:rPr>
          <w:kern w:val="0"/>
        </w:rPr>
      </w:pPr>
      <w:r>
        <w:rPr>
          <w:kern w:val="0"/>
        </w:rPr>
        <w:t>Abstract: BACKGROUND: Liver transplantation is so far the most effective therapeutic modality for end-stage liver diseases, but ischemia/reperfusion (I/R) injury represents a critical barrier to liver transplantation. Primary graft dysfunction</w:t>
      </w:r>
      <w:r w:rsidR="00F81221">
        <w:rPr>
          <w:kern w:val="0"/>
        </w:rPr>
        <w:t xml:space="preserve"> and </w:t>
      </w:r>
      <w:r>
        <w:rPr>
          <w:kern w:val="0"/>
        </w:rPr>
        <w:t>small-for-size syndrome are closely associated with I/R injury. Ischemic preconditioning (IPC) is defined as a brief period of liver ischemia followed by reperfusion,</w:t>
      </w:r>
      <w:r w:rsidR="00F81221">
        <w:rPr>
          <w:kern w:val="0"/>
        </w:rPr>
        <w:t xml:space="preserve"> and </w:t>
      </w:r>
      <w:r>
        <w:rPr>
          <w:kern w:val="0"/>
        </w:rPr>
        <w:t>has demonstrated protections against a prolonged I/R injury</w:t>
      </w:r>
      <w:r w:rsidR="00F81221">
        <w:rPr>
          <w:kern w:val="0"/>
        </w:rPr>
        <w:t xml:space="preserve"> and </w:t>
      </w:r>
      <w:r>
        <w:rPr>
          <w:kern w:val="0"/>
        </w:rPr>
        <w:t>improved the capacity of regeneration. The article aimed to review IPC literatures for the understanding of the effects of IPC on I/R injury involving in the procurement of donor liver</w:t>
      </w:r>
      <w:r w:rsidR="00F81221">
        <w:rPr>
          <w:kern w:val="0"/>
        </w:rPr>
        <w:t xml:space="preserve"> and </w:t>
      </w:r>
      <w:r>
        <w:rPr>
          <w:kern w:val="0"/>
        </w:rPr>
        <w:t>protective mechanisms. DATA SOURCES: A literature search of MEDLINE</w:t>
      </w:r>
      <w:r w:rsidR="00F81221">
        <w:rPr>
          <w:kern w:val="0"/>
        </w:rPr>
        <w:t xml:space="preserve"> and </w:t>
      </w:r>
      <w:r>
        <w:rPr>
          <w:kern w:val="0"/>
        </w:rPr>
        <w:t xml:space="preserve">Web of Science databases using </w:t>
      </w:r>
      <w:r w:rsidR="000352E7">
        <w:rPr>
          <w:kern w:val="0"/>
        </w:rPr>
        <w:t>“</w:t>
      </w:r>
      <w:r>
        <w:rPr>
          <w:kern w:val="0"/>
        </w:rPr>
        <w:t>liver transplantation</w:t>
      </w:r>
      <w:r w:rsidR="000352E7">
        <w:rPr>
          <w:kern w:val="0"/>
        </w:rPr>
        <w:t>”</w:t>
      </w:r>
      <w:r>
        <w:rPr>
          <w:kern w:val="0"/>
        </w:rPr>
        <w:t xml:space="preserve">, </w:t>
      </w:r>
      <w:r w:rsidR="000352E7">
        <w:rPr>
          <w:kern w:val="0"/>
        </w:rPr>
        <w:t>“</w:t>
      </w:r>
      <w:r>
        <w:rPr>
          <w:kern w:val="0"/>
        </w:rPr>
        <w:t>liver regeneration</w:t>
      </w:r>
      <w:r w:rsidR="000352E7">
        <w:rPr>
          <w:kern w:val="0"/>
        </w:rPr>
        <w:t>”</w:t>
      </w:r>
      <w:r>
        <w:rPr>
          <w:kern w:val="0"/>
        </w:rPr>
        <w:t xml:space="preserve">, </w:t>
      </w:r>
      <w:r w:rsidR="000352E7">
        <w:rPr>
          <w:kern w:val="0"/>
        </w:rPr>
        <w:t>“</w:t>
      </w:r>
      <w:r>
        <w:rPr>
          <w:kern w:val="0"/>
        </w:rPr>
        <w:t>hepatectomy</w:t>
      </w:r>
      <w:r w:rsidR="000352E7">
        <w:rPr>
          <w:kern w:val="0"/>
        </w:rPr>
        <w:t>”</w:t>
      </w:r>
      <w:r>
        <w:rPr>
          <w:kern w:val="0"/>
        </w:rPr>
        <w:t xml:space="preserve">, </w:t>
      </w:r>
      <w:r w:rsidR="000352E7">
        <w:rPr>
          <w:kern w:val="0"/>
        </w:rPr>
        <w:t>“</w:t>
      </w:r>
      <w:r>
        <w:rPr>
          <w:kern w:val="0"/>
        </w:rPr>
        <w:t>ischemia/reperfusion</w:t>
      </w:r>
      <w:r w:rsidR="000352E7">
        <w:rPr>
          <w:kern w:val="0"/>
        </w:rPr>
        <w:t>”</w:t>
      </w:r>
      <w:r w:rsidR="00F81221">
        <w:rPr>
          <w:kern w:val="0"/>
        </w:rPr>
        <w:t xml:space="preserve"> and </w:t>
      </w:r>
      <w:r w:rsidR="000352E7">
        <w:rPr>
          <w:kern w:val="0"/>
        </w:rPr>
        <w:t>“</w:t>
      </w:r>
      <w:r>
        <w:rPr>
          <w:kern w:val="0"/>
        </w:rPr>
        <w:t>ischemic preconditioning</w:t>
      </w:r>
      <w:r w:rsidR="000352E7">
        <w:rPr>
          <w:kern w:val="0"/>
        </w:rPr>
        <w:t>”</w:t>
      </w:r>
      <w:r>
        <w:rPr>
          <w:kern w:val="0"/>
        </w:rPr>
        <w:t xml:space="preserve"> was performed,</w:t>
      </w:r>
      <w:r w:rsidR="00F81221">
        <w:rPr>
          <w:kern w:val="0"/>
        </w:rPr>
        <w:t xml:space="preserve"> and </w:t>
      </w:r>
      <w:r>
        <w:rPr>
          <w:kern w:val="0"/>
        </w:rPr>
        <w:t>then a large amount of related data was collected. RESULTS: The literature search provided a huge amount of evidence for the protective effects of IPC on I/R injury in liver transplantation, including reduction of blood loss in hepatectomy, intraoperative hemodynamic stability</w:t>
      </w:r>
      <w:r w:rsidR="00F81221">
        <w:rPr>
          <w:kern w:val="0"/>
        </w:rPr>
        <w:t xml:space="preserve"> and </w:t>
      </w:r>
      <w:r>
        <w:rPr>
          <w:kern w:val="0"/>
        </w:rPr>
        <w:t>its significant role in liver regeneration. The mechanism involves in balancing inflammatory cytokines, enhancing energy status</w:t>
      </w:r>
      <w:r w:rsidR="00F81221">
        <w:rPr>
          <w:kern w:val="0"/>
        </w:rPr>
        <w:t xml:space="preserve"> and </w:t>
      </w:r>
      <w:r>
        <w:rPr>
          <w:kern w:val="0"/>
        </w:rPr>
        <w:t>mitigating microcirculatory disturbance. CONCLUSION: IPC plays an essential role in hepatectomy before</w:t>
      </w:r>
      <w:r w:rsidR="00F81221">
        <w:rPr>
          <w:kern w:val="0"/>
        </w:rPr>
        <w:t xml:space="preserve"> and </w:t>
      </w:r>
      <w:r>
        <w:rPr>
          <w:kern w:val="0"/>
        </w:rPr>
        <w:t>after harvest of living donor liver</w:t>
      </w:r>
      <w:r w:rsidR="00F81221">
        <w:rPr>
          <w:kern w:val="0"/>
        </w:rPr>
        <w:t xml:space="preserve"> and </w:t>
      </w:r>
      <w:r>
        <w:rPr>
          <w:kern w:val="0"/>
        </w:rPr>
        <w:t>implantation of liver graft.</w:t>
      </w:r>
    </w:p>
    <w:p w:rsidR="00C81E06" w:rsidRDefault="00C81E06" w:rsidP="00C81E06">
      <w:pPr>
        <w:pStyle w:val="a0"/>
        <w:rPr>
          <w:kern w:val="0"/>
        </w:rPr>
      </w:pPr>
      <w:r>
        <w:rPr>
          <w:kern w:val="0"/>
        </w:rPr>
        <w:t>Keywords: Blood, Damaged Rat Livers, Databases, Donor Liver, Enhances Regenerative Capacity, For-Size Syndrome, Hepatectomy, Hepatic Ischemia, Reperfusion Injury, Injury, Ischemia, Ischemia, Reperfusion Injury, Ischemic Preconditioning, Literature, Liver Regeneration, Liver Transplantation, Mechanism, Medline, Nf-Kappa-B, Nitric-Oxide, Outcomes, Primary, Randomized Clinical-Trial, Reperfusion Injury, Review, Right-Lobe Grafts, Science, Web of Science</w:t>
      </w:r>
    </w:p>
    <w:p w:rsidR="00C83368" w:rsidRDefault="00C83368" w:rsidP="00C83368">
      <w:pPr>
        <w:pStyle w:val="a0"/>
        <w:rPr>
          <w:kern w:val="0"/>
        </w:rPr>
      </w:pPr>
      <w:r>
        <w:rPr>
          <w:rFonts w:hint="eastAsia"/>
          <w:kern w:val="0"/>
        </w:rPr>
        <w:t xml:space="preserve">? </w:t>
      </w:r>
      <w:r>
        <w:rPr>
          <w:kern w:val="0"/>
        </w:rPr>
        <w:t xml:space="preserve">Deng, Y.L., Cheng, N.S., Lin, Y.X., Zhou, R.X., Yang, C., Jin, Y.W. and Xiong, X.Z. (2011), Relationship between pancreaticobiliary maljunction and gallbladder carcinoma: A meta-analysis. </w:t>
      </w:r>
      <w:r>
        <w:rPr>
          <w:i/>
          <w:iCs/>
          <w:kern w:val="0"/>
        </w:rPr>
        <w:t>Hepatobiliary &amp; Pancreatic Diseases International</w:t>
      </w:r>
      <w:r>
        <w:rPr>
          <w:kern w:val="0"/>
        </w:rPr>
        <w:t xml:space="preserve">, </w:t>
      </w:r>
      <w:r>
        <w:rPr>
          <w:b/>
          <w:bCs/>
          <w:kern w:val="0"/>
        </w:rPr>
        <w:t>10</w:t>
      </w:r>
      <w:r>
        <w:rPr>
          <w:kern w:val="0"/>
        </w:rPr>
        <w:t xml:space="preserve"> (6), 570-580.</w:t>
      </w:r>
    </w:p>
    <w:p w:rsidR="00C83368" w:rsidRDefault="00C83368" w:rsidP="00C83368">
      <w:pPr>
        <w:pStyle w:val="a0"/>
        <w:rPr>
          <w:kern w:val="0"/>
        </w:rPr>
      </w:pPr>
      <w:r>
        <w:rPr>
          <w:rFonts w:hint="eastAsia"/>
          <w:kern w:val="0"/>
        </w:rPr>
        <w:t>Full Text: 2011\</w:t>
      </w:r>
      <w:r>
        <w:rPr>
          <w:iCs/>
          <w:kern w:val="0"/>
        </w:rPr>
        <w:t>Hep</w:t>
      </w:r>
      <w:r w:rsidRPr="00EE3F6F">
        <w:rPr>
          <w:iCs/>
          <w:kern w:val="0"/>
        </w:rPr>
        <w:t xml:space="preserve"> P</w:t>
      </w:r>
      <w:r>
        <w:rPr>
          <w:iCs/>
          <w:kern w:val="0"/>
        </w:rPr>
        <w:t>an Dis Int</w:t>
      </w:r>
      <w:r w:rsidRPr="00EE3F6F">
        <w:rPr>
          <w:bCs/>
          <w:kern w:val="0"/>
        </w:rPr>
        <w:t>10</w:t>
      </w:r>
      <w:r>
        <w:rPr>
          <w:kern w:val="0"/>
        </w:rPr>
        <w:t>, 570</w:t>
      </w:r>
      <w:r>
        <w:rPr>
          <w:rFonts w:hint="eastAsia"/>
          <w:kern w:val="0"/>
        </w:rPr>
        <w:t>.pdf</w:t>
      </w:r>
    </w:p>
    <w:p w:rsidR="00C83368" w:rsidRDefault="00C83368" w:rsidP="00C83368">
      <w:pPr>
        <w:pStyle w:val="a0"/>
        <w:rPr>
          <w:kern w:val="0"/>
        </w:rPr>
      </w:pPr>
      <w:r>
        <w:rPr>
          <w:kern w:val="0"/>
        </w:rPr>
        <w:t xml:space="preserve">Abstract: BACKGROUND: Reports on the relationship between pancreaticobiliary maljunction (PBM) and gallbladder carcinoma (GBC) are conflicting. The frequency of PBM in GBC patients and the clinical features of GBC patients with PBM vary in different studies. DATA SOURCES: English-language articles describing the </w:t>
      </w:r>
      <w:r>
        <w:rPr>
          <w:kern w:val="0"/>
        </w:rPr>
        <w:lastRenderedPageBreak/>
        <w:t>association between PBM and GBC were searched in the PubMed and Web of Science databases. Nine case-control studies fulfilled the inclusion criteria and addressed the relevant clinical questions of this analysis. Data were extracted independently by two reviewers using a predefined spreadsheet. RESULTS: The incidence of PBM was higher in GBC patients than in controls (10.60% vs 1.76%, OR: 7.41, 95% CI: 5.03 to 10.87, P &lt; 0.00001). The proportion of female patients with PBM was 1.96-fold higher than in GBC patients without PBM (80.5% vs 62.9%, OR: 1.96, 95% CI: 1.09 to 3.52, P=0.12). GBC patients with PBM were 10 years younger than those without PBM (SMD: -9.90, 95% CI: -11.70 to -8.10, P &lt; 0.00001). And a difference in the incidence of associated gallstone was found between GBC patients with and without PBM (10.8% vs 54.3%, OR: 0.09, 95% CI: 0.05 to 0.17, P &lt; 0.00001). Among the GBC patients with PBM, associated congenital dilatation of the common bile duct was present with a higher incidence ranging from 52.2% to 85.7%, and 70.0%-85.7% of them belonged to the P-C type of PBM (the main pancreatic duct enters the common bile duct). No substantial heterogeneity was found and no evidence of publication bias was observed. CONCLUSIONS: PBM is a high-risk factor for developing GBC, especially the P-C type of PBM without congenital dilatation of the common bile duct. To prevent GBC, laparoscopic cholecystectomy is highly recommended for PBM patients without congenital dilatation of the common bile duct, especially relatively young female patients without gallstones.</w:t>
      </w:r>
    </w:p>
    <w:p w:rsidR="00C83368" w:rsidRDefault="00C83368" w:rsidP="00C83368">
      <w:pPr>
        <w:pStyle w:val="a0"/>
        <w:rPr>
          <w:kern w:val="0"/>
        </w:rPr>
      </w:pPr>
      <w:r>
        <w:rPr>
          <w:kern w:val="0"/>
        </w:rPr>
        <w:t>Keywords: Analysis, Anomalous Arrangement, Association, Bias, Bile-Duct Dilatation, Biliary-Tract, Cancer, Carcinogenesis, Carcinoma, Case-Control, Case-Control Studies, Congenital Choledochal Cyst, Congenital Dilatation Of The Common Bile Duct, Databases, Frequency, Gallbladder Carcinoma, Incidence, Junction, K-Ras, Meta Analysis, Meta-Analysis, Pancreaticobiliary Maljunction, Patients, Publication, Publication Bias, Pubmed, Reports, Science, Union, Web of Science</w:t>
      </w:r>
    </w:p>
    <w:p w:rsidR="00B95188" w:rsidRPr="00A428C3" w:rsidRDefault="00B95188" w:rsidP="00B95188">
      <w:pPr>
        <w:pStyle w:val="1"/>
      </w:pPr>
      <w:r w:rsidRPr="00A428C3">
        <w:br w:type="page"/>
      </w:r>
      <w:bookmarkStart w:id="575" w:name="_Toc492807669"/>
      <w:bookmarkStart w:id="576" w:name="_Toc186647768"/>
      <w:bookmarkStart w:id="577" w:name="_Toc317161015"/>
      <w:r w:rsidRPr="00A428C3">
        <w:lastRenderedPageBreak/>
        <w:t>Title: Hepato-Gastroenterol</w:t>
      </w:r>
      <w:bookmarkEnd w:id="575"/>
      <w:r w:rsidRPr="00A428C3">
        <w:t>ogy</w:t>
      </w:r>
      <w:bookmarkEnd w:id="576"/>
      <w:bookmarkEnd w:id="577"/>
    </w:p>
    <w:p w:rsidR="00B95188" w:rsidRPr="00A428C3" w:rsidRDefault="00B95188" w:rsidP="00B72EF9">
      <w:pPr>
        <w:pStyle w:val="12"/>
      </w:pPr>
      <w:r w:rsidRPr="00A428C3">
        <w:t>Full Journal Title: Hepato-Gastroenterology</w:t>
      </w:r>
    </w:p>
    <w:p w:rsidR="00B95188" w:rsidRPr="00A428C3" w:rsidRDefault="00B95188" w:rsidP="00B72EF9">
      <w:pPr>
        <w:pStyle w:val="12"/>
      </w:pPr>
      <w:r w:rsidRPr="00A428C3">
        <w:t>ISO Abbreviated Title: Hepato-Gastroenterol.</w:t>
      </w:r>
    </w:p>
    <w:p w:rsidR="00B95188" w:rsidRPr="00A428C3" w:rsidRDefault="00B95188" w:rsidP="00B72EF9">
      <w:pPr>
        <w:pStyle w:val="12"/>
      </w:pPr>
      <w:r w:rsidRPr="00A428C3">
        <w:t>JCR Abbreviated Title: Hepato-Gastroenterol</w:t>
      </w:r>
    </w:p>
    <w:p w:rsidR="00B95188" w:rsidRPr="00A428C3" w:rsidRDefault="00B95188" w:rsidP="00B72EF9">
      <w:pPr>
        <w:pStyle w:val="12"/>
      </w:pPr>
      <w:r w:rsidRPr="00A428C3">
        <w:t>ISSN: 0172-6390</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H G E Update Medical Publ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 17160</w:t>
          </w:r>
        </w:smartTag>
        <w:r w:rsidRPr="00A428C3">
          <w:t xml:space="preserve">, </w:t>
        </w:r>
        <w:smartTag w:uri="urn:schemas-microsoft-com:office:smarttags" w:element="City">
          <w:r w:rsidRPr="00A428C3">
            <w:t>Athens</w:t>
          </w:r>
        </w:smartTag>
      </w:smartTag>
      <w:r w:rsidRPr="00A428C3">
        <w:t xml:space="preserve"> GR-10024, </w:t>
      </w:r>
      <w:smartTag w:uri="urn:schemas-microsoft-com:office:smarttags" w:element="place">
        <w:smartTag w:uri="urn:schemas-microsoft-com:office:smarttags" w:element="country-region">
          <w:r w:rsidRPr="00A428C3">
            <w:t>Greece</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Gastroenterology &amp; Hepatology Surgery</w:t>
      </w:r>
    </w:p>
    <w:p w:rsidR="00B95188" w:rsidRPr="00A428C3" w:rsidRDefault="00B95188" w:rsidP="00B95188">
      <w:pPr>
        <w:pStyle w:val="a0"/>
      </w:pPr>
      <w:r w:rsidRPr="00A428C3">
        <w:t>? Conio, M., Caroli-Bosc, F., Demarquay, J.F., Sorbi, D., Maes, B., Delmont, J.</w:t>
      </w:r>
      <w:r w:rsidR="00F81221">
        <w:t xml:space="preserve"> and </w:t>
      </w:r>
      <w:r w:rsidRPr="00A428C3">
        <w:t xml:space="preserve">Dumas, R. (1999), Self-expanding metal stents in the palliation of neoplasms of the cervical esophagus. </w:t>
      </w:r>
      <w:r w:rsidRPr="00A428C3">
        <w:rPr>
          <w:i/>
        </w:rPr>
        <w:t>Hepato-Gastroenterology</w:t>
      </w:r>
      <w:r w:rsidRPr="00A428C3">
        <w:t xml:space="preserve">, </w:t>
      </w:r>
      <w:r w:rsidRPr="00A428C3">
        <w:rPr>
          <w:b/>
        </w:rPr>
        <w:t>46</w:t>
      </w:r>
      <w:r w:rsidRPr="00A428C3">
        <w:t xml:space="preserve"> (25), 272-277.</w:t>
      </w:r>
    </w:p>
    <w:p w:rsidR="00B409CD" w:rsidRDefault="00B409CD" w:rsidP="00B409CD">
      <w:pPr>
        <w:pStyle w:val="a0"/>
        <w:rPr>
          <w:kern w:val="0"/>
        </w:rPr>
      </w:pPr>
      <w:r>
        <w:rPr>
          <w:rFonts w:hint="eastAsia"/>
          <w:kern w:val="0"/>
        </w:rPr>
        <w:t>Full Text: 1999\</w:t>
      </w:r>
      <w:r>
        <w:rPr>
          <w:iCs/>
          <w:kern w:val="0"/>
        </w:rPr>
        <w:t>Hep-Gas</w:t>
      </w:r>
      <w:r>
        <w:rPr>
          <w:rFonts w:hint="eastAsia"/>
          <w:bCs/>
          <w:kern w:val="0"/>
        </w:rPr>
        <w:t>46</w:t>
      </w:r>
      <w:r>
        <w:rPr>
          <w:kern w:val="0"/>
        </w:rPr>
        <w:t xml:space="preserve">, </w:t>
      </w:r>
      <w:r>
        <w:rPr>
          <w:rFonts w:hint="eastAsia"/>
          <w:kern w:val="0"/>
        </w:rPr>
        <w:t>272.pdf</w:t>
      </w:r>
    </w:p>
    <w:p w:rsidR="00B95188" w:rsidRPr="00A428C3" w:rsidRDefault="00B95188" w:rsidP="00B95188">
      <w:pPr>
        <w:pStyle w:val="a0"/>
      </w:pPr>
      <w:r w:rsidRPr="00A428C3">
        <w:t>Abstract: BACKGROUND/AIMS: Self-expanding metal stents (SEMS) represent a major advancement in the palliative treatment of dysphagia caused by neoplasms of the esophagus. Malignant cervical stenoses are a challenge for palliative techniques, due to their close relationship with the cricopharynx.</w:t>
      </w:r>
    </w:p>
    <w:p w:rsidR="00B95188" w:rsidRPr="00A428C3" w:rsidRDefault="00B95188" w:rsidP="00B95188">
      <w:pPr>
        <w:pStyle w:val="a0"/>
      </w:pPr>
      <w:r w:rsidRPr="00A428C3">
        <w:t xml:space="preserve">METHODOLOGY: Six patients with a malignant stricture of the upper esophagus, within </w:t>
      </w:r>
      <w:smartTag w:uri="urn:schemas-microsoft-com:office:smarttags" w:element="chmetcnv">
        <w:smartTagPr>
          <w:attr w:name="TCSC" w:val="0"/>
          <w:attr w:name="NumberType" w:val="1"/>
          <w:attr w:name="Negative" w:val="False"/>
          <w:attr w:name="HasSpace" w:val="False"/>
          <w:attr w:name="SourceValue" w:val="2"/>
          <w:attr w:name="UnitName" w:val="cm"/>
        </w:smartTagPr>
        <w:r w:rsidRPr="00A428C3">
          <w:t>2cm</w:t>
        </w:r>
      </w:smartTag>
      <w:r w:rsidRPr="00A428C3">
        <w:t xml:space="preserve"> of the cricopharyngeal muscle, were treated with a self-expanding metal stent. Al patients had a circumferential squamous cell carcinoma histologically proven. Patients were intubated under general anesthesia,</w:t>
      </w:r>
      <w:r w:rsidR="00F81221">
        <w:t xml:space="preserve"> and </w:t>
      </w:r>
      <w:r w:rsidRPr="00A428C3">
        <w:t>the procedure was carried out under simultaneous endoscopic</w:t>
      </w:r>
      <w:r w:rsidR="00F81221">
        <w:t xml:space="preserve"> and </w:t>
      </w:r>
      <w:r w:rsidRPr="00A428C3">
        <w:t>fluoroscopic control.</w:t>
      </w:r>
    </w:p>
    <w:p w:rsidR="00B95188" w:rsidRPr="00A428C3" w:rsidRDefault="00B95188" w:rsidP="00B95188">
      <w:pPr>
        <w:pStyle w:val="a0"/>
      </w:pPr>
      <w:r w:rsidRPr="00A428C3">
        <w:t>RESULTS: All patients had a remarkable improvement of dysphagia</w:t>
      </w:r>
      <w:r w:rsidR="00F81221">
        <w:t xml:space="preserve"> and </w:t>
      </w:r>
      <w:r w:rsidRPr="00A428C3">
        <w:t>none of them reported a foreign body sensation. In 3 patients, an insufficient expansion of the stent, detected 24 hours later, required a balloon dilation in two of them, whereas, for the third patient, it was necessary to introduce a second stent. Neoplastic in-and overgrowth occurred in 4 (67%) patients after 1, 2, 4</w:t>
      </w:r>
      <w:r w:rsidR="00F81221">
        <w:t xml:space="preserve"> and </w:t>
      </w:r>
      <w:r w:rsidRPr="00A428C3">
        <w:t>8 months, respectively. These complications were managed by placing a second stent in 3 patients; in the fourth patient, a neoplastic involvement of the cricopharynx did not allow for an endoscopic examination. Improvement of dysphagia was observed only in the patient who received a covered Cook-Z stent. In the other 2 patients, a percutaneous endoscopic gastrostomy was performed. The only major complication occurred in the patient who received three metal stents, as he complained of severe cervical pain.</w:t>
      </w:r>
    </w:p>
    <w:p w:rsidR="00B95188" w:rsidRPr="00A428C3" w:rsidRDefault="00B95188" w:rsidP="00B95188">
      <w:pPr>
        <w:pStyle w:val="a0"/>
      </w:pPr>
      <w:r w:rsidRPr="00A428C3">
        <w:t xml:space="preserve">CONCLUSIONS: Our experience shows that uncovered self-expanding metal stents </w:t>
      </w:r>
      <w:r w:rsidRPr="00A428C3">
        <w:lastRenderedPageBreak/>
        <w:t>provide a good palliation in this subgroup of patients. Tumour ingrowth, overgrowth,</w:t>
      </w:r>
      <w:r w:rsidR="00F81221">
        <w:t xml:space="preserve"> and </w:t>
      </w:r>
      <w:r w:rsidRPr="00A428C3">
        <w:t>the progressive impairment of the swallowing mechanism due to a proximal submucosal infiltration remain complications difficult to solve.</w:t>
      </w:r>
    </w:p>
    <w:p w:rsidR="00B95188" w:rsidRPr="00A428C3" w:rsidRDefault="00B95188" w:rsidP="00B95188">
      <w:pPr>
        <w:pStyle w:val="a0"/>
      </w:pPr>
      <w:r w:rsidRPr="00A428C3">
        <w:t>Keywords: Esophageal Cancer, Metal Stents, Palliation, Photodynamic Therapy, Yag Laser, Obstruction, Carcinoma, Cancer, Strictures, Stenosis, Trial</w:t>
      </w:r>
    </w:p>
    <w:p w:rsidR="00B409CD" w:rsidRDefault="00B409CD" w:rsidP="00B409CD">
      <w:pPr>
        <w:pStyle w:val="a0"/>
        <w:rPr>
          <w:kern w:val="0"/>
        </w:rPr>
      </w:pPr>
      <w:r>
        <w:rPr>
          <w:rFonts w:hint="eastAsia"/>
          <w:kern w:val="0"/>
        </w:rPr>
        <w:t xml:space="preserve">? </w:t>
      </w:r>
      <w:r>
        <w:rPr>
          <w:kern w:val="0"/>
        </w:rPr>
        <w:t>Tang, D., Zhang, J.Q.</w:t>
      </w:r>
      <w:r w:rsidR="00F81221">
        <w:rPr>
          <w:kern w:val="0"/>
        </w:rPr>
        <w:t xml:space="preserve"> and </w:t>
      </w:r>
      <w:r>
        <w:rPr>
          <w:kern w:val="0"/>
        </w:rPr>
        <w:t xml:space="preserve">Wang, D.R. (2011), Long term results of pancreatectomy with portal-superior mesenteric vein resection for pancreatic carcinoma: A systematic review. </w:t>
      </w:r>
      <w:r>
        <w:rPr>
          <w:i/>
          <w:iCs/>
          <w:kern w:val="0"/>
        </w:rPr>
        <w:t>Hepato-Gastroenterology</w:t>
      </w:r>
      <w:r>
        <w:rPr>
          <w:kern w:val="0"/>
        </w:rPr>
        <w:t xml:space="preserve">, </w:t>
      </w:r>
      <w:r>
        <w:rPr>
          <w:b/>
          <w:bCs/>
          <w:kern w:val="0"/>
        </w:rPr>
        <w:t>58</w:t>
      </w:r>
      <w:r>
        <w:rPr>
          <w:kern w:val="0"/>
        </w:rPr>
        <w:t xml:space="preserve"> (106), 623-631.</w:t>
      </w:r>
    </w:p>
    <w:p w:rsidR="00B409CD" w:rsidRDefault="00B409CD" w:rsidP="00B409CD">
      <w:pPr>
        <w:pStyle w:val="a0"/>
        <w:rPr>
          <w:kern w:val="0"/>
        </w:rPr>
      </w:pPr>
      <w:r>
        <w:rPr>
          <w:rFonts w:hint="eastAsia"/>
          <w:kern w:val="0"/>
        </w:rPr>
        <w:t>Full Text: 2011\</w:t>
      </w:r>
      <w:r>
        <w:rPr>
          <w:iCs/>
          <w:kern w:val="0"/>
        </w:rPr>
        <w:t>Hep-Gas</w:t>
      </w:r>
      <w:r w:rsidRPr="00106797">
        <w:rPr>
          <w:bCs/>
          <w:kern w:val="0"/>
        </w:rPr>
        <w:t>58</w:t>
      </w:r>
      <w:r>
        <w:rPr>
          <w:kern w:val="0"/>
        </w:rPr>
        <w:t>, 623</w:t>
      </w:r>
      <w:r>
        <w:rPr>
          <w:rFonts w:hint="eastAsia"/>
          <w:kern w:val="0"/>
        </w:rPr>
        <w:t>.pdf</w:t>
      </w:r>
    </w:p>
    <w:p w:rsidR="00B409CD" w:rsidRDefault="00B409CD" w:rsidP="00B409CD">
      <w:pPr>
        <w:pStyle w:val="a0"/>
        <w:rPr>
          <w:kern w:val="0"/>
        </w:rPr>
      </w:pPr>
      <w:r>
        <w:rPr>
          <w:kern w:val="0"/>
        </w:rPr>
        <w:t>Abstract: Background/Aims: Clinical benefit from pancreatectomy combined with portal vein/superior mesenteric resection in the pancreatic carcinoma with local venous invasion still remains controversial. The aim of this study was to review the overall outcome of the pancreatectomy combined with portal vein/superior mesenteric resection for pancreatic carcinoma with local venous invasion. Methodology: A systematic literature search (Medline, Embase, Cochrane Library, Biosis, Science Citation Index, Ovid Journals) was performed to identify all eligible articles from January 2000 to December 2009. The methodological quality of included studies on portal vein/superior mesenteric resection during pancreatectomy for pancreatic carcinoma was evaluated independently by 2 authors</w:t>
      </w:r>
      <w:r w:rsidR="00F81221">
        <w:rPr>
          <w:kern w:val="0"/>
        </w:rPr>
        <w:t xml:space="preserve"> and </w:t>
      </w:r>
      <w:r>
        <w:rPr>
          <w:kern w:val="0"/>
        </w:rPr>
        <w:t>47 non-duplicated studies providing relevant data was found. Quantitative data on operation, perioperative results (blood loss, operative time,</w:t>
      </w:r>
      <w:r w:rsidR="00F81221">
        <w:rPr>
          <w:kern w:val="0"/>
        </w:rPr>
        <w:t xml:space="preserve"> and </w:t>
      </w:r>
      <w:r>
        <w:rPr>
          <w:kern w:val="0"/>
        </w:rPr>
        <w:t>length of hospital stay), mortality, morbidity, histopathology of resected specimens, adjuvant therapies,</w:t>
      </w:r>
      <w:r w:rsidR="00F81221">
        <w:rPr>
          <w:kern w:val="0"/>
        </w:rPr>
        <w:t xml:space="preserve"> and </w:t>
      </w:r>
      <w:r>
        <w:rPr>
          <w:kern w:val="0"/>
        </w:rPr>
        <w:t>overall outcome were extracted from included studies for systematic analysis. Results: The median operating time was 480 (140-1340) min, blood loss 1420 (50-14280) ml</w:t>
      </w:r>
      <w:r w:rsidR="00F81221">
        <w:rPr>
          <w:kern w:val="0"/>
        </w:rPr>
        <w:t xml:space="preserve"> and </w:t>
      </w:r>
      <w:r>
        <w:rPr>
          <w:kern w:val="0"/>
        </w:rPr>
        <w:t>the length of hospital stay 16 (4-123) days. Operative mortality</w:t>
      </w:r>
      <w:r w:rsidR="00F81221">
        <w:rPr>
          <w:kern w:val="0"/>
        </w:rPr>
        <w:t xml:space="preserve"> and </w:t>
      </w:r>
      <w:r>
        <w:rPr>
          <w:kern w:val="0"/>
        </w:rPr>
        <w:t>postoperative morbidity rates ranged from 0 to 14.3 %</w:t>
      </w:r>
      <w:r w:rsidR="00F81221">
        <w:rPr>
          <w:kern w:val="0"/>
        </w:rPr>
        <w:t xml:space="preserve"> and </w:t>
      </w:r>
      <w:r>
        <w:rPr>
          <w:kern w:val="0"/>
        </w:rPr>
        <w:t>6 % to 67 % with a median of 3.5 %</w:t>
      </w:r>
      <w:r w:rsidR="00F81221">
        <w:rPr>
          <w:kern w:val="0"/>
        </w:rPr>
        <w:t xml:space="preserve"> and </w:t>
      </w:r>
      <w:r>
        <w:rPr>
          <w:kern w:val="0"/>
        </w:rPr>
        <w:t>33 %, respectively. Median survival was 15 months</w:t>
      </w:r>
      <w:r w:rsidR="00F81221">
        <w:rPr>
          <w:kern w:val="0"/>
        </w:rPr>
        <w:t xml:space="preserve"> and </w:t>
      </w:r>
      <w:r>
        <w:rPr>
          <w:kern w:val="0"/>
        </w:rPr>
        <w:t>ranged from 1.6 to 250 months,</w:t>
      </w:r>
      <w:r w:rsidR="00F81221">
        <w:rPr>
          <w:kern w:val="0"/>
        </w:rPr>
        <w:t xml:space="preserve"> and </w:t>
      </w:r>
      <w:r>
        <w:rPr>
          <w:kern w:val="0"/>
        </w:rPr>
        <w:t>1-, 2-, 3-</w:t>
      </w:r>
      <w:r w:rsidR="00F81221">
        <w:rPr>
          <w:kern w:val="0"/>
        </w:rPr>
        <w:t xml:space="preserve"> and </w:t>
      </w:r>
      <w:r>
        <w:rPr>
          <w:kern w:val="0"/>
        </w:rPr>
        <w:t>5-year survival rates ranged from 28.5 to 92, 6.7 to 81.1, 0 to 60.3</w:t>
      </w:r>
      <w:r w:rsidR="00F81221">
        <w:rPr>
          <w:kern w:val="0"/>
        </w:rPr>
        <w:t xml:space="preserve"> and </w:t>
      </w:r>
      <w:r>
        <w:rPr>
          <w:kern w:val="0"/>
        </w:rPr>
        <w:t>0 to 24 % with a media of 56.6, 31.5, 17</w:t>
      </w:r>
      <w:r w:rsidR="00F81221">
        <w:rPr>
          <w:kern w:val="0"/>
        </w:rPr>
        <w:t xml:space="preserve"> and </w:t>
      </w:r>
      <w:r>
        <w:rPr>
          <w:kern w:val="0"/>
        </w:rPr>
        <w:t>12 %, respectively. Specimen histopathology confirmed venous invasion, perineural invasion</w:t>
      </w:r>
      <w:r w:rsidR="00F81221">
        <w:rPr>
          <w:kern w:val="0"/>
        </w:rPr>
        <w:t xml:space="preserve"> and </w:t>
      </w:r>
      <w:r>
        <w:rPr>
          <w:kern w:val="0"/>
        </w:rPr>
        <w:t>lymphnodal involvement in 66.6,53</w:t>
      </w:r>
      <w:r w:rsidR="00F81221">
        <w:rPr>
          <w:kern w:val="0"/>
        </w:rPr>
        <w:t xml:space="preserve"> and </w:t>
      </w:r>
      <w:r>
        <w:rPr>
          <w:kern w:val="0"/>
        </w:rPr>
        <w:t>73 %, respectively. Conclusions: In properly selected patients, pancreatectomy combined with portal vein/superior mesenteric resection is a feasible surgical procedure with a survival benefit for pancreatic carcinoma,</w:t>
      </w:r>
      <w:r w:rsidR="00F81221">
        <w:rPr>
          <w:kern w:val="0"/>
        </w:rPr>
        <w:t xml:space="preserve"> and </w:t>
      </w:r>
      <w:r>
        <w:rPr>
          <w:kern w:val="0"/>
        </w:rPr>
        <w:t>the systemic chemotherapy is indispensable as the common events of perineural invasion</w:t>
      </w:r>
      <w:r w:rsidR="00F81221">
        <w:rPr>
          <w:kern w:val="0"/>
        </w:rPr>
        <w:t xml:space="preserve"> and </w:t>
      </w:r>
      <w:r>
        <w:rPr>
          <w:kern w:val="0"/>
        </w:rPr>
        <w:t>lymphnodal involvement of the pancreatic carcinoma with local venous invasion.</w:t>
      </w:r>
    </w:p>
    <w:p w:rsidR="00B409CD" w:rsidRDefault="00B409CD" w:rsidP="00B409CD">
      <w:pPr>
        <w:pStyle w:val="a0"/>
        <w:rPr>
          <w:kern w:val="0"/>
        </w:rPr>
      </w:pPr>
      <w:r>
        <w:rPr>
          <w:kern w:val="0"/>
        </w:rPr>
        <w:t xml:space="preserve">Keywords: Adenocarcinoma, Authors, Cancer Surgery, Citation, Head Carcinoma, Involvement, Literature, Methodology, Pancreatectomy, Pancreatic Carcinoma, Pancreaticoduodenectomy, Portal Vein, Superior Mesenteric Vein, Reconstruction, </w:t>
      </w:r>
      <w:r>
        <w:rPr>
          <w:kern w:val="0"/>
        </w:rPr>
        <w:lastRenderedPageBreak/>
        <w:t>Review, Science Citation Index, Surgical Resection, Survival, Vascular Resection, Venous Resection, Venous Resection</w:t>
      </w:r>
    </w:p>
    <w:p w:rsidR="00C81E06" w:rsidRPr="001A3D2B" w:rsidRDefault="00C81E06" w:rsidP="00C81E06">
      <w:pPr>
        <w:pStyle w:val="1"/>
      </w:pPr>
      <w:r w:rsidRPr="001A3D2B">
        <w:br w:type="page"/>
      </w:r>
      <w:bookmarkStart w:id="578" w:name="_Toc317161016"/>
      <w:r w:rsidRPr="001A3D2B">
        <w:lastRenderedPageBreak/>
        <w:t xml:space="preserve">Title: </w:t>
      </w:r>
      <w:r w:rsidRPr="003E367E">
        <w:rPr>
          <w:iCs/>
        </w:rPr>
        <w:t>Hepatology Research</w:t>
      </w:r>
      <w:bookmarkEnd w:id="578"/>
    </w:p>
    <w:p w:rsidR="00C81E06" w:rsidRDefault="00C81E06" w:rsidP="00C81E06">
      <w:pPr>
        <w:pStyle w:val="12"/>
      </w:pPr>
      <w:r w:rsidRPr="001A3D2B">
        <w:t xml:space="preserve">Full Journal Title: </w:t>
      </w:r>
      <w:r w:rsidRPr="003E367E">
        <w:rPr>
          <w:iCs/>
        </w:rPr>
        <w:t>Hepatology Research</w:t>
      </w:r>
    </w:p>
    <w:p w:rsidR="00C81E06" w:rsidRPr="001A3D2B" w:rsidRDefault="00C81E06" w:rsidP="00C81E06">
      <w:pPr>
        <w:pStyle w:val="12"/>
      </w:pPr>
      <w:r w:rsidRPr="001A3D2B">
        <w:t xml:space="preserve">ISO Abbreviated Title: </w:t>
      </w:r>
    </w:p>
    <w:p w:rsidR="00C81E06" w:rsidRPr="001A3D2B" w:rsidRDefault="00C81E06" w:rsidP="00C81E06">
      <w:pPr>
        <w:pStyle w:val="12"/>
      </w:pPr>
      <w:r w:rsidRPr="001A3D2B">
        <w:t xml:space="preserve">JCR Abbreviated Title: </w:t>
      </w:r>
    </w:p>
    <w:p w:rsidR="00C81E06" w:rsidRPr="001A3D2B" w:rsidRDefault="00C81E06" w:rsidP="00C81E06">
      <w:pPr>
        <w:pStyle w:val="12"/>
      </w:pPr>
      <w:r>
        <w:t xml:space="preserve">ISSN: </w:t>
      </w:r>
    </w:p>
    <w:p w:rsidR="00C81E06" w:rsidRPr="001A3D2B" w:rsidRDefault="00C81E06" w:rsidP="00C81E06">
      <w:pPr>
        <w:pStyle w:val="12"/>
      </w:pPr>
      <w:r w:rsidRPr="001A3D2B">
        <w:t xml:space="preserve">Issues/Year: </w:t>
      </w:r>
    </w:p>
    <w:p w:rsidR="00C81E06" w:rsidRPr="001A3D2B" w:rsidRDefault="00C81E06" w:rsidP="00C81E06">
      <w:pPr>
        <w:pStyle w:val="12"/>
      </w:pPr>
      <w:r w:rsidRPr="001A3D2B">
        <w:t xml:space="preserve">Journal Country/Territory: </w:t>
      </w:r>
    </w:p>
    <w:p w:rsidR="00C81E06" w:rsidRPr="001A3D2B" w:rsidRDefault="00C81E06" w:rsidP="00C81E06">
      <w:pPr>
        <w:pStyle w:val="12"/>
      </w:pPr>
      <w:r w:rsidRPr="001A3D2B">
        <w:t xml:space="preserve">Language: </w:t>
      </w:r>
    </w:p>
    <w:p w:rsidR="00C81E06" w:rsidRPr="001A3D2B" w:rsidRDefault="00C81E06" w:rsidP="00C81E06">
      <w:pPr>
        <w:pStyle w:val="12"/>
      </w:pPr>
      <w:r w:rsidRPr="001A3D2B">
        <w:t xml:space="preserve">Publisher: </w:t>
      </w:r>
    </w:p>
    <w:p w:rsidR="00C81E06" w:rsidRPr="001A3D2B" w:rsidRDefault="00C81E06" w:rsidP="00C81E06">
      <w:pPr>
        <w:pStyle w:val="12"/>
      </w:pPr>
      <w:r w:rsidRPr="001A3D2B">
        <w:t xml:space="preserve">Publisher Address: </w:t>
      </w:r>
    </w:p>
    <w:p w:rsidR="00C81E06" w:rsidRPr="001A3D2B" w:rsidRDefault="00C81E06" w:rsidP="00C81E06">
      <w:pPr>
        <w:pStyle w:val="12"/>
      </w:pPr>
      <w:r w:rsidRPr="001A3D2B">
        <w:t>Subject Categories:</w:t>
      </w:r>
    </w:p>
    <w:p w:rsidR="00C81E06" w:rsidRPr="001A3D2B" w:rsidRDefault="00C81E06" w:rsidP="00C81E06">
      <w:pPr>
        <w:pStyle w:val="12"/>
      </w:pPr>
      <w:r w:rsidRPr="001A3D2B">
        <w:t>: Impact Factor</w:t>
      </w:r>
    </w:p>
    <w:p w:rsidR="00C81E06" w:rsidRDefault="00C81E06" w:rsidP="00C81E06">
      <w:pPr>
        <w:pStyle w:val="a0"/>
        <w:rPr>
          <w:kern w:val="0"/>
        </w:rPr>
      </w:pPr>
      <w:r>
        <w:rPr>
          <w:rFonts w:hint="eastAsia"/>
          <w:kern w:val="0"/>
        </w:rPr>
        <w:t xml:space="preserve">? </w:t>
      </w:r>
      <w:r>
        <w:rPr>
          <w:kern w:val="0"/>
        </w:rPr>
        <w:t>Dahl, E., Rumessen, J.</w:t>
      </w:r>
      <w:r w:rsidR="00F81221">
        <w:rPr>
          <w:kern w:val="0"/>
        </w:rPr>
        <w:t xml:space="preserve"> and </w:t>
      </w:r>
      <w:r>
        <w:rPr>
          <w:kern w:val="0"/>
        </w:rPr>
        <w:t>Gluud, L.L. (2011), Systematic review with meta-analyses of studies on the association between cirrhosis</w:t>
      </w:r>
      <w:r w:rsidR="00F81221">
        <w:rPr>
          <w:kern w:val="0"/>
        </w:rPr>
        <w:t xml:space="preserve"> and </w:t>
      </w:r>
      <w:r>
        <w:rPr>
          <w:kern w:val="0"/>
        </w:rPr>
        <w:t xml:space="preserve">liver metastases. </w:t>
      </w:r>
      <w:r w:rsidRPr="003E367E">
        <w:rPr>
          <w:i/>
          <w:iCs/>
          <w:kern w:val="0"/>
        </w:rPr>
        <w:t>Hepatology Research</w:t>
      </w:r>
      <w:r>
        <w:rPr>
          <w:kern w:val="0"/>
        </w:rPr>
        <w:t xml:space="preserve">, </w:t>
      </w:r>
      <w:r>
        <w:rPr>
          <w:b/>
          <w:bCs/>
          <w:kern w:val="0"/>
        </w:rPr>
        <w:t>41</w:t>
      </w:r>
      <w:r>
        <w:rPr>
          <w:kern w:val="0"/>
        </w:rPr>
        <w:t xml:space="preserve"> (7), 618-625.</w:t>
      </w:r>
    </w:p>
    <w:p w:rsidR="00C81E06" w:rsidRDefault="00C81E06" w:rsidP="00C81E06">
      <w:pPr>
        <w:pStyle w:val="a0"/>
        <w:rPr>
          <w:kern w:val="0"/>
        </w:rPr>
      </w:pPr>
      <w:r>
        <w:rPr>
          <w:kern w:val="0"/>
        </w:rPr>
        <w:t>Abstract: The hemodynamic, cellular</w:t>
      </w:r>
      <w:r w:rsidR="00F81221">
        <w:rPr>
          <w:kern w:val="0"/>
        </w:rPr>
        <w:t xml:space="preserve"> and </w:t>
      </w:r>
      <w:r>
        <w:rPr>
          <w:kern w:val="0"/>
        </w:rPr>
        <w:t>metabolic changes seen in patients with cirrhosis may reduce the risk of liver metastases. The aim of this case-control is to compare the risk of liver metastases from extrahepatic malignant diseases among patients with or without cirrhosis. Electronic searches (MEDLINE, EMBASE,</w:t>
      </w:r>
      <w:r w:rsidR="00F81221">
        <w:rPr>
          <w:kern w:val="0"/>
        </w:rPr>
        <w:t xml:space="preserve"> and </w:t>
      </w:r>
      <w:r>
        <w:rPr>
          <w:kern w:val="0"/>
        </w:rPr>
        <w:t>Web of Science)</w:t>
      </w:r>
      <w:r w:rsidR="00F81221">
        <w:rPr>
          <w:kern w:val="0"/>
        </w:rPr>
        <w:t xml:space="preserve"> and </w:t>
      </w:r>
      <w:r>
        <w:rPr>
          <w:kern w:val="0"/>
        </w:rPr>
        <w:t>manual searches were combined (October 2010) to identify observational studies on patients with malignant disease reporting the risk of liver metastases among cases (with cirrhosis)</w:t>
      </w:r>
      <w:r w:rsidR="00F81221">
        <w:rPr>
          <w:kern w:val="0"/>
        </w:rPr>
        <w:t xml:space="preserve"> and </w:t>
      </w:r>
      <w:r>
        <w:rPr>
          <w:kern w:val="0"/>
        </w:rPr>
        <w:t>controls (without liver disease). Meta-analysis was performed using random effects models due to an expected clinical heterogeneity. Sixteen studies were included. Evidence of liver metastases was diagnosed in 22% of cases</w:t>
      </w:r>
      <w:r w:rsidR="00F81221">
        <w:rPr>
          <w:kern w:val="0"/>
        </w:rPr>
        <w:t xml:space="preserve"> and </w:t>
      </w:r>
      <w:r>
        <w:rPr>
          <w:kern w:val="0"/>
        </w:rPr>
        <w:t>38% of controls based on autopsies (n = 14 studies) or laparoscopy (n = 2 studies). Random effects meta-analysis suggested that patients with cirrhosis had a lower risk of liver metastases (relative risk = 0.53; 95% confidence interval = 0.42-0.66). The conclusions were confirmed in sensitivity</w:t>
      </w:r>
      <w:r w:rsidR="00F81221">
        <w:rPr>
          <w:kern w:val="0"/>
        </w:rPr>
        <w:t xml:space="preserve"> and </w:t>
      </w:r>
      <w:r>
        <w:rPr>
          <w:kern w:val="0"/>
        </w:rPr>
        <w:t>subgroup analyses accounting for the year of publication, matching for age, sex</w:t>
      </w:r>
      <w:r w:rsidR="00F81221">
        <w:rPr>
          <w:kern w:val="0"/>
        </w:rPr>
        <w:t xml:space="preserve"> and </w:t>
      </w:r>
      <w:r>
        <w:rPr>
          <w:kern w:val="0"/>
        </w:rPr>
        <w:t>location of tumors (within the portal vein). No statistical evidence of bias was identified</w:t>
      </w:r>
      <w:r w:rsidR="00F81221">
        <w:rPr>
          <w:kern w:val="0"/>
        </w:rPr>
        <w:t xml:space="preserve"> and </w:t>
      </w:r>
      <w:r>
        <w:rPr>
          <w:kern w:val="0"/>
        </w:rPr>
        <w:t>the analyses were confirmed when adjusting for multiple testing. The present review suggests that cirrhosis reduces the risk of liver metastases. However, additional evidence from prospective studies adjusting for confounding factors is still needed.</w:t>
      </w:r>
    </w:p>
    <w:p w:rsidR="00C81E06" w:rsidRDefault="00C81E06" w:rsidP="00C81E06">
      <w:pPr>
        <w:pStyle w:val="a0"/>
        <w:rPr>
          <w:kern w:val="0"/>
        </w:rPr>
      </w:pPr>
      <w:r>
        <w:rPr>
          <w:kern w:val="0"/>
        </w:rPr>
        <w:t xml:space="preserve">Keywords: Autopsy, Bias, Cancer, Carcinoma, Cirrhosis, Colorectal-Cancer Metastasis, Confounding, Disease, Hepatic Metastases, Laparoscopy, Liver Metastases, Meta Analysis, Meta-Analysis, Multiple Testing, Observational Studies, Prospective </w:t>
      </w:r>
      <w:r>
        <w:rPr>
          <w:kern w:val="0"/>
        </w:rPr>
        <w:lastRenderedPageBreak/>
        <w:t>Studies, Publication, Rarity, Relative Risk, Review, Risk, Science, Statistical, Systematic, Systematic Review, Web of Science</w:t>
      </w:r>
    </w:p>
    <w:p w:rsidR="00B95188" w:rsidRPr="00A428C3" w:rsidRDefault="00B95188" w:rsidP="00B95188">
      <w:pPr>
        <w:pStyle w:val="1"/>
      </w:pPr>
      <w:r w:rsidRPr="00A428C3">
        <w:br w:type="page"/>
      </w:r>
      <w:bookmarkStart w:id="579" w:name="_Toc186647769"/>
      <w:bookmarkStart w:id="580" w:name="_Toc317161017"/>
      <w:r w:rsidRPr="00A428C3">
        <w:lastRenderedPageBreak/>
        <w:t xml:space="preserve">Title: </w:t>
      </w:r>
      <w:r w:rsidRPr="00A428C3">
        <w:rPr>
          <w:iCs/>
        </w:rPr>
        <w:t xml:space="preserve">Herald of the </w:t>
      </w:r>
      <w:smartTag w:uri="urn:schemas-microsoft-com:office:smarttags" w:element="place">
        <w:smartTag w:uri="urn:schemas-microsoft-com:office:smarttags" w:element="PlaceName">
          <w:r w:rsidRPr="00A428C3">
            <w:rPr>
              <w:iCs/>
            </w:rPr>
            <w:t>Russian</w:t>
          </w:r>
        </w:smartTag>
        <w:r w:rsidRPr="00A428C3">
          <w:rPr>
            <w:iCs/>
          </w:rPr>
          <w:t xml:space="preserve"> </w:t>
        </w:r>
        <w:smartTag w:uri="urn:schemas-microsoft-com:office:smarttags" w:element="PlaceType">
          <w:r w:rsidRPr="00A428C3">
            <w:rPr>
              <w:iCs/>
            </w:rPr>
            <w:t>Academy</w:t>
          </w:r>
        </w:smartTag>
      </w:smartTag>
      <w:r w:rsidRPr="00A428C3">
        <w:rPr>
          <w:iCs/>
        </w:rPr>
        <w:t xml:space="preserve"> of Sciences</w:t>
      </w:r>
      <w:bookmarkEnd w:id="579"/>
      <w:bookmarkEnd w:id="580"/>
    </w:p>
    <w:p w:rsidR="00B95188" w:rsidRPr="00A428C3" w:rsidRDefault="00B95188" w:rsidP="00B72EF9">
      <w:pPr>
        <w:pStyle w:val="12"/>
      </w:pPr>
      <w:r w:rsidRPr="00A428C3">
        <w:t xml:space="preserve">Full Journal Title: </w:t>
      </w:r>
      <w:hyperlink r:id="rId634" w:history="1">
        <w:r w:rsidRPr="00A428C3">
          <w:rPr>
            <w:rStyle w:val="a5"/>
          </w:rPr>
          <w:t>Herald of the Russian Academy of Sc</w:t>
        </w:r>
        <w:r w:rsidR="00967290">
          <w:rPr>
            <w:rStyle w:val="a5"/>
            <w:rFonts w:hint="eastAsia"/>
          </w:rPr>
          <w:t>zz</w:t>
        </w:r>
        <w:r w:rsidRPr="00A428C3">
          <w:rPr>
            <w:rStyle w:val="a5"/>
          </w:rPr>
          <w:t>iences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1019-3316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Sverdlov, E.D. (2006), Citation mirages - Bibliometric evaluation of the significance of individual authors</w:t>
      </w:r>
      <w:r w:rsidR="000352E7">
        <w:t>’</w:t>
      </w:r>
      <w:r w:rsidRPr="00A428C3">
        <w:t xml:space="preserve"> publications. </w:t>
      </w:r>
      <w:r w:rsidRPr="00A428C3">
        <w:rPr>
          <w:i/>
          <w:iCs/>
        </w:rPr>
        <w:t xml:space="preserve">Herald of the </w:t>
      </w:r>
      <w:smartTag w:uri="urn:schemas-microsoft-com:office:smarttags" w:element="place">
        <w:smartTag w:uri="urn:schemas-microsoft-com:office:smarttags" w:element="PlaceName">
          <w:r w:rsidRPr="00A428C3">
            <w:rPr>
              <w:i/>
              <w:iCs/>
            </w:rPr>
            <w:t>Russian</w:t>
          </w:r>
        </w:smartTag>
        <w:r w:rsidRPr="00A428C3">
          <w:rPr>
            <w:i/>
            <w:iCs/>
          </w:rPr>
          <w:t xml:space="preserve"> </w:t>
        </w:r>
        <w:smartTag w:uri="urn:schemas-microsoft-com:office:smarttags" w:element="PlaceType">
          <w:r w:rsidRPr="00A428C3">
            <w:rPr>
              <w:i/>
              <w:iCs/>
            </w:rPr>
            <w:t>Academy</w:t>
          </w:r>
        </w:smartTag>
      </w:smartTag>
      <w:r w:rsidRPr="00A428C3">
        <w:rPr>
          <w:i/>
          <w:iCs/>
        </w:rPr>
        <w:t xml:space="preserve"> of Sciences</w:t>
      </w:r>
      <w:r w:rsidRPr="00A428C3">
        <w:t xml:space="preserve">, </w:t>
      </w:r>
      <w:r w:rsidRPr="00A428C3">
        <w:rPr>
          <w:b/>
        </w:rPr>
        <w:t>76</w:t>
      </w:r>
      <w:r w:rsidRPr="00A428C3">
        <w:t xml:space="preserve"> (6), 530-535.</w:t>
      </w:r>
    </w:p>
    <w:p w:rsidR="00703A7C" w:rsidRPr="001A3D2B" w:rsidRDefault="00703A7C" w:rsidP="00703A7C">
      <w:pPr>
        <w:pStyle w:val="a0"/>
      </w:pPr>
      <w:r w:rsidRPr="001A3D2B">
        <w:t xml:space="preserve">Full Text: </w:t>
      </w:r>
      <w:hyperlink r:id="rId635" w:history="1">
        <w:r w:rsidRPr="00942C78">
          <w:rPr>
            <w:rStyle w:val="a5"/>
          </w:rPr>
          <w:t>2006\Her Rus Aca Sci76, 530.pdf</w:t>
        </w:r>
      </w:hyperlink>
    </w:p>
    <w:p w:rsidR="00B95188" w:rsidRPr="00A428C3" w:rsidRDefault="00B95188" w:rsidP="00B95188">
      <w:pPr>
        <w:pStyle w:val="a0"/>
      </w:pPr>
      <w:r w:rsidRPr="00A428C3">
        <w:t>Abstract: An opinion is advanced in the article below that any bibliometric data, including individual article citations, as an independent measure of the scientific significance of a scientist</w:t>
      </w:r>
      <w:r w:rsidR="000352E7">
        <w:t>’</w:t>
      </w:r>
      <w:r w:rsidRPr="00A428C3">
        <w:t>s works, cannot serve as a criterion of the efficiency of these studies or the value of these publications. Scientists across the world have long been questioning the relevancy of using these data. The majority of prominent scientists either express well-founded doubts that it is authentic to use them as an independent criterion or reject them altogether. Although bibliometric data are undoubtedly valuable as an auxiliary evaluation means, they cannot substitute peer reviews based on the analysis of article contents, its contribution to the field in question,</w:t>
      </w:r>
      <w:r w:rsidR="00F81221">
        <w:t xml:space="preserve"> and </w:t>
      </w:r>
      <w:r w:rsidRPr="00A428C3">
        <w:t>the contribution of the author under review to the subject matter presented in this publication. The author is of opinion that bibliometric data should be an obligatory but not decisive component in the complex system of assessing the creative potential of scientists</w:t>
      </w:r>
      <w:r w:rsidR="00F81221">
        <w:t xml:space="preserve"> and </w:t>
      </w:r>
      <w:r w:rsidRPr="00A428C3">
        <w:t>the significance of their works.</w:t>
      </w:r>
    </w:p>
    <w:p w:rsidR="00B95188" w:rsidRPr="00A428C3" w:rsidRDefault="00B95188" w:rsidP="00B95188">
      <w:pPr>
        <w:pStyle w:val="a0"/>
      </w:pPr>
      <w:r w:rsidRPr="00A428C3">
        <w:t>Keywords: Analysis, Bibliometric, Citations, Complex, Efficiency, Evaluation, Matter, Publication, Publications, Review, Reviews</w:t>
      </w:r>
    </w:p>
    <w:p w:rsidR="00874A02" w:rsidRPr="00781016" w:rsidRDefault="00874A02" w:rsidP="00874A02">
      <w:pPr>
        <w:pStyle w:val="a0"/>
      </w:pPr>
      <w:r w:rsidRPr="00781016">
        <w:rPr>
          <w:rFonts w:hint="eastAsia"/>
        </w:rPr>
        <w:t xml:space="preserve">? </w:t>
      </w:r>
      <w:r w:rsidRPr="00781016">
        <w:t>Zibareva, I.V., Pislyakov, V.V., Teplova, T.N.</w:t>
      </w:r>
      <w:r w:rsidR="00F81221">
        <w:t xml:space="preserve"> and </w:t>
      </w:r>
      <w:r w:rsidRPr="00781016">
        <w:t xml:space="preserve">Nefedov, O.M. (2008), Bibliometric analysis of the journal </w:t>
      </w:r>
      <w:r w:rsidRPr="00703A7C">
        <w:rPr>
          <w:i/>
        </w:rPr>
        <w:t>Uspekhi Khimii</w:t>
      </w:r>
      <w:r w:rsidRPr="00781016">
        <w:t xml:space="preserve"> (</w:t>
      </w:r>
      <w:r w:rsidRPr="00703A7C">
        <w:rPr>
          <w:i/>
        </w:rPr>
        <w:t>Russian Chemical Reviews</w:t>
      </w:r>
      <w:r w:rsidRPr="00781016">
        <w:t xml:space="preserve">). </w:t>
      </w:r>
      <w:r w:rsidRPr="00781016">
        <w:rPr>
          <w:i/>
          <w:iCs/>
        </w:rPr>
        <w:t>Herald of the Russian Academy of Sciences</w:t>
      </w:r>
      <w:r w:rsidRPr="00781016">
        <w:t xml:space="preserve">, </w:t>
      </w:r>
      <w:r w:rsidRPr="00781016">
        <w:rPr>
          <w:b/>
          <w:bCs/>
        </w:rPr>
        <w:t>78</w:t>
      </w:r>
      <w:r w:rsidRPr="00781016">
        <w:t xml:space="preserve"> (3), 247-256.</w:t>
      </w:r>
    </w:p>
    <w:p w:rsidR="00874A02" w:rsidRPr="00A428C3" w:rsidRDefault="00874A02" w:rsidP="00874A02">
      <w:pPr>
        <w:pStyle w:val="a0"/>
      </w:pPr>
      <w:r w:rsidRPr="00A428C3">
        <w:t xml:space="preserve">Full Text: </w:t>
      </w:r>
      <w:hyperlink r:id="rId636" w:history="1">
        <w:r w:rsidR="00703A7C" w:rsidRPr="00703A7C">
          <w:rPr>
            <w:rStyle w:val="a5"/>
          </w:rPr>
          <w:t>2008\Her Rus Aca Sci78, 247.pdf</w:t>
        </w:r>
      </w:hyperlink>
    </w:p>
    <w:p w:rsidR="00874A02" w:rsidRPr="00781016" w:rsidRDefault="00874A02" w:rsidP="00874A02">
      <w:pPr>
        <w:pStyle w:val="a0"/>
      </w:pPr>
      <w:r w:rsidRPr="00781016">
        <w:t xml:space="preserve">Abstract: Over the past few decades, quantitative methods of evaluating scientific work, including the citation index of research publications, have been finding expanding </w:t>
      </w:r>
      <w:r w:rsidRPr="00781016">
        <w:lastRenderedPageBreak/>
        <w:t>applications. The citation index underlies not only the evaluation of the efficiency of individual scientists but also the rating of scientific editions. The authors share their experience in bibliometric research based on the data of the science</w:t>
      </w:r>
      <w:r w:rsidR="00F81221">
        <w:t xml:space="preserve"> and </w:t>
      </w:r>
      <w:r w:rsidRPr="00781016">
        <w:t>technology network STN International.</w:t>
      </w:r>
    </w:p>
    <w:p w:rsidR="00874A02" w:rsidRPr="00781016" w:rsidRDefault="00874A02" w:rsidP="00874A02">
      <w:pPr>
        <w:pStyle w:val="a0"/>
      </w:pPr>
      <w:r w:rsidRPr="00781016">
        <w:t>Keywords: Analysis, Angewandte-Chemie, Authors, Bibliometric, Bibliometric Analysis, Bibliometric Research, Bradfords Law, Citation, Citation Data, Data, Efficiency, Evaluation, Experience, Impact, Index, Journal, Jun, Methods, Network, Publications, Quantitative Methods, Rating, Research, Research Publications, Russian, Science, Science</w:t>
      </w:r>
      <w:r w:rsidR="00F81221">
        <w:t xml:space="preserve"> and </w:t>
      </w:r>
      <w:r w:rsidRPr="00781016">
        <w:t>Technology, Technology, Work</w:t>
      </w:r>
    </w:p>
    <w:p w:rsidR="00BE3923" w:rsidRDefault="00BE3923" w:rsidP="00BE3923">
      <w:pPr>
        <w:pStyle w:val="a0"/>
        <w:rPr>
          <w:kern w:val="0"/>
        </w:rPr>
      </w:pPr>
      <w:r>
        <w:rPr>
          <w:rFonts w:hint="eastAsia"/>
          <w:kern w:val="0"/>
        </w:rPr>
        <w:t xml:space="preserve">? </w:t>
      </w:r>
      <w:r>
        <w:rPr>
          <w:kern w:val="0"/>
        </w:rPr>
        <w:t>Markusova, V.A., Ivanov, V.V.</w:t>
      </w:r>
      <w:r w:rsidR="00F81221">
        <w:rPr>
          <w:kern w:val="0"/>
        </w:rPr>
        <w:t xml:space="preserve"> and </w:t>
      </w:r>
      <w:r>
        <w:rPr>
          <w:kern w:val="0"/>
        </w:rPr>
        <w:t>Varshavskii, A.E. (2009), Bibliometric indicators of Russian science</w:t>
      </w:r>
      <w:r w:rsidR="00F81221">
        <w:rPr>
          <w:kern w:val="0"/>
        </w:rPr>
        <w:t xml:space="preserve"> and </w:t>
      </w:r>
      <w:r>
        <w:rPr>
          <w:kern w:val="0"/>
        </w:rPr>
        <w:t xml:space="preserve">of the </w:t>
      </w:r>
      <w:r w:rsidRPr="00DD48A6">
        <w:rPr>
          <w:i/>
          <w:kern w:val="0"/>
        </w:rPr>
        <w:t>Russian Academy of Sciences</w:t>
      </w:r>
      <w:r>
        <w:rPr>
          <w:kern w:val="0"/>
        </w:rPr>
        <w:t xml:space="preserve"> (1997-2007). </w:t>
      </w:r>
      <w:r>
        <w:rPr>
          <w:i/>
          <w:iCs/>
          <w:kern w:val="0"/>
        </w:rPr>
        <w:t>Herald of the Russian Academy of Sciences</w:t>
      </w:r>
      <w:r>
        <w:rPr>
          <w:kern w:val="0"/>
        </w:rPr>
        <w:t xml:space="preserve">, </w:t>
      </w:r>
      <w:r>
        <w:rPr>
          <w:b/>
          <w:bCs/>
          <w:kern w:val="0"/>
        </w:rPr>
        <w:t>79</w:t>
      </w:r>
      <w:r>
        <w:rPr>
          <w:kern w:val="0"/>
        </w:rPr>
        <w:t xml:space="preserve"> (3), 197-204.</w:t>
      </w:r>
    </w:p>
    <w:p w:rsidR="00703A7C" w:rsidRPr="001A3D2B" w:rsidRDefault="00703A7C" w:rsidP="00703A7C">
      <w:pPr>
        <w:pStyle w:val="a0"/>
      </w:pPr>
      <w:r w:rsidRPr="001A3D2B">
        <w:t xml:space="preserve">Full Text: </w:t>
      </w:r>
      <w:hyperlink r:id="rId637" w:history="1">
        <w:r w:rsidRPr="00942C78">
          <w:rPr>
            <w:rStyle w:val="a5"/>
          </w:rPr>
          <w:t>2009\Her Rus Aca Sci79, 197.pdf</w:t>
        </w:r>
      </w:hyperlink>
    </w:p>
    <w:p w:rsidR="00BE3923" w:rsidRDefault="00BE3923" w:rsidP="00BE3923">
      <w:pPr>
        <w:pStyle w:val="a0"/>
        <w:rPr>
          <w:kern w:val="0"/>
        </w:rPr>
      </w:pPr>
      <w:r>
        <w:rPr>
          <w:kern w:val="0"/>
        </w:rPr>
        <w:t>Abstract: The authors of the article below regularly inform our readers about the dynamics of bibliometric indicators of Russian researchers</w:t>
      </w:r>
      <w:r w:rsidR="000352E7">
        <w:rPr>
          <w:kern w:val="0"/>
        </w:rPr>
        <w:t>’</w:t>
      </w:r>
      <w:r>
        <w:rPr>
          <w:kern w:val="0"/>
        </w:rPr>
        <w:t xml:space="preserve"> scientific productivity, compared to that of their foreign colleagues. Statistical data are presented, the unbiasedness of different foreign databases is considered,</w:t>
      </w:r>
      <w:r w:rsidR="00F81221">
        <w:rPr>
          <w:kern w:val="0"/>
        </w:rPr>
        <w:t xml:space="preserve"> and </w:t>
      </w:r>
      <w:r>
        <w:rPr>
          <w:kern w:val="0"/>
        </w:rPr>
        <w:t>reasons why the contribution of Russian science to world science is understated are explained; the conclusion is made that it is necessary to develop our own database of scientific publications</w:t>
      </w:r>
      <w:r w:rsidR="00F81221">
        <w:rPr>
          <w:kern w:val="0"/>
        </w:rPr>
        <w:t xml:space="preserve"> and </w:t>
      </w:r>
      <w:r>
        <w:rPr>
          <w:kern w:val="0"/>
        </w:rPr>
        <w:t>their citation.</w:t>
      </w:r>
    </w:p>
    <w:p w:rsidR="00BE3923" w:rsidRDefault="00BE3923" w:rsidP="00BE3923">
      <w:pPr>
        <w:pStyle w:val="a0"/>
        <w:rPr>
          <w:kern w:val="0"/>
        </w:rPr>
      </w:pPr>
      <w:r>
        <w:rPr>
          <w:kern w:val="0"/>
        </w:rPr>
        <w:t>Keywords: Bibliometric Indicators, Indicators, Publications, Science, Sciences</w:t>
      </w:r>
    </w:p>
    <w:p w:rsidR="00703A7C" w:rsidRDefault="00703A7C" w:rsidP="00703A7C">
      <w:pPr>
        <w:pStyle w:val="a0"/>
        <w:rPr>
          <w:kern w:val="0"/>
        </w:rPr>
      </w:pPr>
      <w:r>
        <w:rPr>
          <w:rFonts w:hint="eastAsia"/>
          <w:kern w:val="0"/>
        </w:rPr>
        <w:t xml:space="preserve">? </w:t>
      </w:r>
      <w:r>
        <w:t>Terekhov</w:t>
      </w:r>
      <w:r>
        <w:rPr>
          <w:rFonts w:hint="eastAsia"/>
        </w:rPr>
        <w:t>,</w:t>
      </w:r>
      <w:r>
        <w:t xml:space="preserve"> A</w:t>
      </w:r>
      <w:r>
        <w:rPr>
          <w:rFonts w:hint="eastAsia"/>
        </w:rPr>
        <w:t>.</w:t>
      </w:r>
      <w:r>
        <w:t>I</w:t>
      </w:r>
      <w:r>
        <w:rPr>
          <w:rFonts w:hint="eastAsia"/>
        </w:rPr>
        <w:t>.</w:t>
      </w:r>
      <w:r>
        <w:rPr>
          <w:kern w:val="0"/>
        </w:rPr>
        <w:t xml:space="preserve"> (2009), </w:t>
      </w:r>
      <w:r>
        <w:t>Nanotechnologies</w:t>
      </w:r>
      <w:r w:rsidR="00F81221">
        <w:t xml:space="preserve"> and </w:t>
      </w:r>
      <w:r>
        <w:t>nanomaterials in the modern world</w:t>
      </w:r>
      <w:r>
        <w:rPr>
          <w:kern w:val="0"/>
        </w:rPr>
        <w:t xml:space="preserve">. </w:t>
      </w:r>
      <w:r>
        <w:rPr>
          <w:i/>
          <w:iCs/>
          <w:kern w:val="0"/>
        </w:rPr>
        <w:t>Herald of the Russian Academy of Sciences</w:t>
      </w:r>
      <w:r>
        <w:rPr>
          <w:kern w:val="0"/>
        </w:rPr>
        <w:t xml:space="preserve">, </w:t>
      </w:r>
      <w:r>
        <w:rPr>
          <w:b/>
          <w:bCs/>
          <w:kern w:val="0"/>
        </w:rPr>
        <w:t>79</w:t>
      </w:r>
      <w:r>
        <w:rPr>
          <w:kern w:val="0"/>
        </w:rPr>
        <w:t xml:space="preserve"> (</w:t>
      </w:r>
      <w:r>
        <w:rPr>
          <w:rFonts w:hint="eastAsia"/>
          <w:kern w:val="0"/>
        </w:rPr>
        <w:t>5</w:t>
      </w:r>
      <w:r>
        <w:rPr>
          <w:kern w:val="0"/>
        </w:rPr>
        <w:t xml:space="preserve">), </w:t>
      </w:r>
      <w:r>
        <w:t>412-419</w:t>
      </w:r>
      <w:r>
        <w:rPr>
          <w:kern w:val="0"/>
        </w:rPr>
        <w:t>.</w:t>
      </w:r>
    </w:p>
    <w:p w:rsidR="00703A7C" w:rsidRDefault="00703A7C" w:rsidP="00703A7C">
      <w:pPr>
        <w:pStyle w:val="a0"/>
      </w:pPr>
      <w:r w:rsidRPr="00A428C3">
        <w:t xml:space="preserve">Full Text: </w:t>
      </w:r>
      <w:hyperlink r:id="rId638" w:history="1">
        <w:r w:rsidRPr="00703A7C">
          <w:rPr>
            <w:rStyle w:val="a5"/>
          </w:rPr>
          <w:t>2009\Her Rus Aca Sci79, 412.pdf</w:t>
        </w:r>
      </w:hyperlink>
    </w:p>
    <w:p w:rsidR="00703A7C" w:rsidRDefault="00703A7C" w:rsidP="00703A7C">
      <w:pPr>
        <w:pStyle w:val="a0"/>
      </w:pPr>
      <w:r>
        <w:t>Abstract: Quantitative, including bibliometric, indicators are widely used today in scientific</w:t>
      </w:r>
      <w:r w:rsidR="00F81221">
        <w:t xml:space="preserve"> and </w:t>
      </w:r>
      <w:r>
        <w:t>technological decision making to monitor topical research areas. The geographic structure of nanoscience, cooperation patterns, research dynamics,</w:t>
      </w:r>
      <w:r w:rsidR="00F81221">
        <w:t xml:space="preserve"> and </w:t>
      </w:r>
      <w:r>
        <w:t>potential areas of commercialization of technological innovations, as well as the positions of Russian scientists in these processes, are analyzed on the basis of bibliometric</w:t>
      </w:r>
      <w:r w:rsidR="00F81221">
        <w:t xml:space="preserve"> and </w:t>
      </w:r>
      <w:r>
        <w:t>patent indicators.</w:t>
      </w:r>
    </w:p>
    <w:p w:rsidR="00703A7C" w:rsidRPr="00703A7C" w:rsidRDefault="00703A7C" w:rsidP="00703A7C">
      <w:pPr>
        <w:pStyle w:val="a0"/>
      </w:pPr>
      <w:r>
        <w:t>Keywords: Carbon Nanotubes</w:t>
      </w:r>
    </w:p>
    <w:p w:rsidR="00967290" w:rsidRDefault="00967290" w:rsidP="00967290">
      <w:pPr>
        <w:pStyle w:val="a0"/>
        <w:rPr>
          <w:kern w:val="0"/>
        </w:rPr>
      </w:pPr>
      <w:r>
        <w:rPr>
          <w:rFonts w:hint="eastAsia"/>
          <w:kern w:val="0"/>
        </w:rPr>
        <w:t xml:space="preserve">? </w:t>
      </w:r>
      <w:r>
        <w:rPr>
          <w:kern w:val="0"/>
        </w:rPr>
        <w:t>Shaikevich, I.V.M. (2010), Scientific Collaboration between Russia</w:t>
      </w:r>
      <w:r w:rsidR="00F81221">
        <w:rPr>
          <w:kern w:val="0"/>
        </w:rPr>
        <w:t xml:space="preserve"> and </w:t>
      </w:r>
      <w:r>
        <w:rPr>
          <w:kern w:val="0"/>
        </w:rPr>
        <w:t xml:space="preserve">the EU countries: A bibliometric analysis. </w:t>
      </w:r>
      <w:r>
        <w:rPr>
          <w:i/>
          <w:iCs/>
          <w:kern w:val="0"/>
        </w:rPr>
        <w:t>Herald of the Russian Academy of Sciences</w:t>
      </w:r>
      <w:r>
        <w:rPr>
          <w:kern w:val="0"/>
        </w:rPr>
        <w:t xml:space="preserve">, </w:t>
      </w:r>
      <w:r>
        <w:rPr>
          <w:b/>
          <w:bCs/>
          <w:kern w:val="0"/>
        </w:rPr>
        <w:t>80</w:t>
      </w:r>
      <w:r>
        <w:rPr>
          <w:kern w:val="0"/>
        </w:rPr>
        <w:t xml:space="preserve"> (1), 57-62</w:t>
      </w:r>
    </w:p>
    <w:p w:rsidR="00967290" w:rsidRPr="001A3D2B" w:rsidRDefault="00967290" w:rsidP="00967290">
      <w:pPr>
        <w:pStyle w:val="a0"/>
      </w:pPr>
      <w:r w:rsidRPr="001A3D2B">
        <w:t xml:space="preserve">Full Text: </w:t>
      </w:r>
      <w:hyperlink r:id="rId639" w:history="1">
        <w:r w:rsidRPr="00967290">
          <w:rPr>
            <w:rStyle w:val="a5"/>
          </w:rPr>
          <w:t>2010\Her Rus Aca Sci80, 57.pdf</w:t>
        </w:r>
      </w:hyperlink>
    </w:p>
    <w:p w:rsidR="00967290" w:rsidRDefault="00967290" w:rsidP="00967290">
      <w:pPr>
        <w:pStyle w:val="a0"/>
        <w:rPr>
          <w:kern w:val="0"/>
        </w:rPr>
      </w:pPr>
      <w:r>
        <w:rPr>
          <w:kern w:val="0"/>
        </w:rPr>
        <w:t>Keywords: Bibliometric, Bibliometric Analysis, Collaboration, EU</w:t>
      </w:r>
    </w:p>
    <w:p w:rsidR="00484D22" w:rsidRDefault="00484D22" w:rsidP="00484D22">
      <w:pPr>
        <w:pStyle w:val="a0"/>
        <w:rPr>
          <w:kern w:val="0"/>
        </w:rPr>
      </w:pPr>
      <w:r>
        <w:rPr>
          <w:rFonts w:hint="eastAsia"/>
          <w:kern w:val="0"/>
        </w:rPr>
        <w:t xml:space="preserve">? </w:t>
      </w:r>
      <w:r>
        <w:rPr>
          <w:kern w:val="0"/>
        </w:rPr>
        <w:t xml:space="preserve">Motroshilova, N.V. (2011), Faulty segments of scientometrics. </w:t>
      </w:r>
      <w:r>
        <w:rPr>
          <w:i/>
          <w:iCs/>
          <w:kern w:val="0"/>
        </w:rPr>
        <w:t>Herald of the Russian Academy of Sciences</w:t>
      </w:r>
      <w:r>
        <w:rPr>
          <w:kern w:val="0"/>
        </w:rPr>
        <w:t xml:space="preserve">, </w:t>
      </w:r>
      <w:r>
        <w:rPr>
          <w:b/>
          <w:bCs/>
          <w:kern w:val="0"/>
        </w:rPr>
        <w:t>81</w:t>
      </w:r>
      <w:r>
        <w:rPr>
          <w:kern w:val="0"/>
        </w:rPr>
        <w:t xml:space="preserve"> (1), 51-61.</w:t>
      </w:r>
    </w:p>
    <w:p w:rsidR="00484D22" w:rsidRPr="001A3D2B" w:rsidRDefault="00484D22" w:rsidP="00484D22">
      <w:pPr>
        <w:pStyle w:val="a0"/>
      </w:pPr>
      <w:r w:rsidRPr="001A3D2B">
        <w:t xml:space="preserve">Full Text: </w:t>
      </w:r>
      <w:hyperlink r:id="rId640" w:history="1">
        <w:r w:rsidR="00703A7C" w:rsidRPr="00703A7C">
          <w:rPr>
            <w:rStyle w:val="a5"/>
          </w:rPr>
          <w:t>2011\Her Rus Aca Sci81, 51.pdf</w:t>
        </w:r>
      </w:hyperlink>
    </w:p>
    <w:p w:rsidR="00484D22" w:rsidRDefault="00484D22" w:rsidP="00484D22">
      <w:pPr>
        <w:pStyle w:val="a0"/>
        <w:rPr>
          <w:kern w:val="0"/>
        </w:rPr>
      </w:pPr>
      <w:r>
        <w:rPr>
          <w:kern w:val="0"/>
        </w:rPr>
        <w:lastRenderedPageBreak/>
        <w:t>Abstract: Just like any professional community, scientists are interested in an unbiased and, as far as possible, accurate assessment of their activity. Scientometric methods, which underlie the attempts to make qualitative conclusions about the achievements of individual scientists, research teams,</w:t>
      </w:r>
      <w:r w:rsidR="00F81221">
        <w:rPr>
          <w:kern w:val="0"/>
        </w:rPr>
        <w:t xml:space="preserve"> and </w:t>
      </w:r>
      <w:r>
        <w:rPr>
          <w:kern w:val="0"/>
        </w:rPr>
        <w:t>countries, have been becoming increasingly popular over the last several decades. The question whether results based on quantitative assessments are objective has been debated heatedly for a long time, including on the pages of our journal. The readers may familiarize themselves with another interested opinion</w:t>
      </w:r>
      <w:r w:rsidR="00F81221">
        <w:rPr>
          <w:kern w:val="0"/>
        </w:rPr>
        <w:t xml:space="preserve"> and </w:t>
      </w:r>
      <w:r>
        <w:rPr>
          <w:kern w:val="0"/>
        </w:rPr>
        <w:t>join the discussion.</w:t>
      </w:r>
    </w:p>
    <w:p w:rsidR="00484D22" w:rsidRDefault="00484D22" w:rsidP="00484D22">
      <w:pPr>
        <w:pStyle w:val="a0"/>
        <w:rPr>
          <w:kern w:val="0"/>
        </w:rPr>
      </w:pPr>
      <w:r>
        <w:rPr>
          <w:kern w:val="0"/>
        </w:rPr>
        <w:t>Keywords: Assessment, Assessments, Community, Journal, Methods, Qualitative, Research, Scientometric, Scientometrics</w:t>
      </w:r>
    </w:p>
    <w:p w:rsidR="00F10CE2" w:rsidRDefault="00F10CE2" w:rsidP="00F10CE2">
      <w:pPr>
        <w:pStyle w:val="a0"/>
        <w:rPr>
          <w:kern w:val="0"/>
        </w:rPr>
      </w:pPr>
      <w:r>
        <w:rPr>
          <w:rFonts w:hint="eastAsia"/>
          <w:kern w:val="0"/>
        </w:rPr>
        <w:t xml:space="preserve">? </w:t>
      </w:r>
      <w:r>
        <w:rPr>
          <w:kern w:val="0"/>
        </w:rPr>
        <w:t xml:space="preserve">Yurevich, A.V. (2011), </w:t>
      </w:r>
      <w:r w:rsidRPr="00F10CE2">
        <w:rPr>
          <w:kern w:val="0"/>
        </w:rPr>
        <w:t>On the problem of assessing the contribution</w:t>
      </w:r>
      <w:r>
        <w:rPr>
          <w:rFonts w:hint="eastAsia"/>
          <w:kern w:val="0"/>
        </w:rPr>
        <w:t xml:space="preserve"> </w:t>
      </w:r>
      <w:r w:rsidRPr="00F10CE2">
        <w:rPr>
          <w:kern w:val="0"/>
        </w:rPr>
        <w:t>of Russian Social Sciences</w:t>
      </w:r>
      <w:r w:rsidR="00F81221">
        <w:rPr>
          <w:kern w:val="0"/>
        </w:rPr>
        <w:t xml:space="preserve"> and </w:t>
      </w:r>
      <w:r w:rsidRPr="00F10CE2">
        <w:rPr>
          <w:kern w:val="0"/>
        </w:rPr>
        <w:t>Humanities</w:t>
      </w:r>
      <w:r>
        <w:rPr>
          <w:rFonts w:hint="eastAsia"/>
          <w:kern w:val="0"/>
        </w:rPr>
        <w:t xml:space="preserve"> </w:t>
      </w:r>
      <w:r w:rsidRPr="00F10CE2">
        <w:rPr>
          <w:kern w:val="0"/>
        </w:rPr>
        <w:t>to World Science</w:t>
      </w:r>
      <w:r>
        <w:rPr>
          <w:kern w:val="0"/>
        </w:rPr>
        <w:t xml:space="preserve">. </w:t>
      </w:r>
      <w:r>
        <w:rPr>
          <w:i/>
          <w:iCs/>
          <w:kern w:val="0"/>
        </w:rPr>
        <w:t>Herald of the Russian Academy of Sciences</w:t>
      </w:r>
      <w:r>
        <w:rPr>
          <w:kern w:val="0"/>
        </w:rPr>
        <w:t xml:space="preserve">, </w:t>
      </w:r>
      <w:r>
        <w:rPr>
          <w:b/>
          <w:bCs/>
          <w:kern w:val="0"/>
        </w:rPr>
        <w:t>81</w:t>
      </w:r>
      <w:r>
        <w:rPr>
          <w:kern w:val="0"/>
        </w:rPr>
        <w:t xml:space="preserve"> (4), 406-414.</w:t>
      </w:r>
    </w:p>
    <w:p w:rsidR="00F10CE2" w:rsidRPr="001A3D2B" w:rsidRDefault="00F10CE2" w:rsidP="00F10CE2">
      <w:pPr>
        <w:pStyle w:val="a0"/>
      </w:pPr>
      <w:r w:rsidRPr="001A3D2B">
        <w:t xml:space="preserve">Full Text: </w:t>
      </w:r>
      <w:hyperlink r:id="rId641" w:history="1">
        <w:r w:rsidRPr="00F10CE2">
          <w:rPr>
            <w:rStyle w:val="a5"/>
          </w:rPr>
          <w:t>2011\Her Rus Aca Sci81, 406.pdf</w:t>
        </w:r>
      </w:hyperlink>
    </w:p>
    <w:p w:rsidR="00F10CE2" w:rsidRDefault="00F10CE2" w:rsidP="00F10CE2">
      <w:pPr>
        <w:pStyle w:val="a0"/>
        <w:rPr>
          <w:kern w:val="0"/>
        </w:rPr>
      </w:pPr>
      <w:r>
        <w:rPr>
          <w:kern w:val="0"/>
        </w:rPr>
        <w:t>Abstract: The problem of an unbiased assessment of scientific contribution</w:t>
      </w:r>
      <w:r w:rsidR="00F81221">
        <w:rPr>
          <w:kern w:val="0"/>
        </w:rPr>
        <w:t xml:space="preserve"> and </w:t>
      </w:r>
      <w:r>
        <w:rPr>
          <w:kern w:val="0"/>
        </w:rPr>
        <w:t>research results has been discussed more than once on the pages of our journal. Some authors continue to analyze thoroughly statistical figures from the Web of Science databases, while others (whose number is increasing) question not only the validity of conclusions based on these data but also the adequacy of the current approach to quantitative assessments of scientific productivity. In particular, the necessity to account not only for direct but also for indirect contribution of a country</w:t>
      </w:r>
      <w:r w:rsidR="000352E7">
        <w:rPr>
          <w:kern w:val="0"/>
        </w:rPr>
        <w:t>’</w:t>
      </w:r>
      <w:r>
        <w:rPr>
          <w:kern w:val="0"/>
        </w:rPr>
        <w:t>s science to world science is discussed,</w:t>
      </w:r>
      <w:r w:rsidR="00F81221">
        <w:rPr>
          <w:kern w:val="0"/>
        </w:rPr>
        <w:t xml:space="preserve"> and </w:t>
      </w:r>
      <w:r>
        <w:rPr>
          <w:kern w:val="0"/>
        </w:rPr>
        <w:t>the fact that the welfare of a country is related to the skill to use scientific achievements rather than to achievements as such is stated in the article below.</w:t>
      </w:r>
    </w:p>
    <w:p w:rsidR="00F10CE2" w:rsidRDefault="00F10CE2" w:rsidP="00F10CE2">
      <w:pPr>
        <w:pStyle w:val="a0"/>
        <w:rPr>
          <w:kern w:val="0"/>
        </w:rPr>
      </w:pPr>
      <w:r>
        <w:rPr>
          <w:kern w:val="0"/>
        </w:rPr>
        <w:t>Keywords: Assessment, Authors, Contribution, Databases, Journal, Productivity, Quantitative, Research, Science, Sciences, Scientific Productivity, Social, Social Sciences, Statistical, Validity, Web of Science</w:t>
      </w:r>
    </w:p>
    <w:p w:rsidR="00AA7734" w:rsidRDefault="00AA7734" w:rsidP="00AA7734">
      <w:pPr>
        <w:pStyle w:val="a0"/>
        <w:rPr>
          <w:kern w:val="0"/>
        </w:rPr>
      </w:pPr>
      <w:r>
        <w:rPr>
          <w:rFonts w:hint="eastAsia"/>
          <w:kern w:val="0"/>
        </w:rPr>
        <w:t xml:space="preserve">? </w:t>
      </w:r>
      <w:r>
        <w:rPr>
          <w:kern w:val="0"/>
        </w:rPr>
        <w:t xml:space="preserve">Mokhnacheva, Y.V. and Kharybina, T.N. (2011), Research performance of RAS institutions and Russian universities: A comparative bibliometric analysis. </w:t>
      </w:r>
      <w:r>
        <w:rPr>
          <w:i/>
          <w:iCs/>
          <w:kern w:val="0"/>
        </w:rPr>
        <w:t>Herald of the Russian Academy of Sciences</w:t>
      </w:r>
      <w:r>
        <w:rPr>
          <w:kern w:val="0"/>
        </w:rPr>
        <w:t xml:space="preserve">, </w:t>
      </w:r>
      <w:r>
        <w:rPr>
          <w:b/>
          <w:bCs/>
          <w:kern w:val="0"/>
        </w:rPr>
        <w:t>81</w:t>
      </w:r>
      <w:r>
        <w:rPr>
          <w:kern w:val="0"/>
        </w:rPr>
        <w:t xml:space="preserve"> (6), 569-574.</w:t>
      </w:r>
    </w:p>
    <w:p w:rsidR="00AA7734" w:rsidRDefault="00AA7734" w:rsidP="00AA7734">
      <w:pPr>
        <w:pStyle w:val="a0"/>
      </w:pPr>
      <w:r>
        <w:t xml:space="preserve">Full Text: </w:t>
      </w:r>
      <w:hyperlink r:id="rId642" w:history="1">
        <w:r w:rsidRPr="00AA7734">
          <w:rPr>
            <w:rStyle w:val="a5"/>
          </w:rPr>
          <w:t>2011\Her Rus Aca Sci81, 569.pdf</w:t>
        </w:r>
      </w:hyperlink>
    </w:p>
    <w:p w:rsidR="00AA7734" w:rsidRDefault="00AA7734" w:rsidP="00AA7734">
      <w:pPr>
        <w:pStyle w:val="a0"/>
        <w:rPr>
          <w:kern w:val="0"/>
        </w:rPr>
      </w:pPr>
      <w:r>
        <w:rPr>
          <w:kern w:val="0"/>
        </w:rPr>
        <w:t>Abstract: Recent years have witnessed an ongoing debate in periodicals and on the Web about the quality and productivity of research carried out by different Russian organizations. Much criticism has been aimed at academic science, which is increasingly often opposed to university science. This article attempts to evaluate the contribution of the Russian Academy of Sciences (RAS) and Russian universities on the basis of a bibliometric analysis of the 2000-2009 publications included into the Thomson Reuters Web of Science and Essential Science Indicators.</w:t>
      </w:r>
    </w:p>
    <w:p w:rsidR="00AA7734" w:rsidRDefault="00AA7734" w:rsidP="00AA7734">
      <w:pPr>
        <w:pStyle w:val="a0"/>
        <w:rPr>
          <w:kern w:val="0"/>
        </w:rPr>
      </w:pPr>
      <w:r>
        <w:rPr>
          <w:kern w:val="0"/>
        </w:rPr>
        <w:t xml:space="preserve">Keywords: Analysis, Bibliometric, Bibliometric Analysis, Contribution, Essential </w:t>
      </w:r>
      <w:r>
        <w:rPr>
          <w:kern w:val="0"/>
        </w:rPr>
        <w:lastRenderedPageBreak/>
        <w:t>Science Indicators, Indicators, Periodicals, Productivity, Publications, Quality, Research, Research Performance, Science, Sciences, Thomson Reuters, Universities, University, Web of Science</w:t>
      </w:r>
    </w:p>
    <w:p w:rsidR="00C83368" w:rsidRPr="001A3D2B" w:rsidRDefault="00C83368" w:rsidP="00C83368">
      <w:pPr>
        <w:pStyle w:val="1"/>
      </w:pPr>
      <w:r w:rsidRPr="001A3D2B">
        <w:br w:type="page"/>
      </w:r>
      <w:bookmarkStart w:id="581" w:name="_Toc317161018"/>
      <w:r w:rsidRPr="001A3D2B">
        <w:lastRenderedPageBreak/>
        <w:t xml:space="preserve">Title: </w:t>
      </w:r>
      <w:r w:rsidRPr="00B80DC5">
        <w:rPr>
          <w:iCs/>
        </w:rPr>
        <w:t>Hernia</w:t>
      </w:r>
      <w:bookmarkEnd w:id="581"/>
    </w:p>
    <w:p w:rsidR="00C83368" w:rsidRPr="001A3D2B" w:rsidRDefault="00C83368" w:rsidP="00C83368">
      <w:pPr>
        <w:pStyle w:val="12"/>
      </w:pPr>
      <w:r w:rsidRPr="001A3D2B">
        <w:t xml:space="preserve">Full Journal Title: </w:t>
      </w:r>
      <w:r w:rsidRPr="00B80DC5">
        <w:rPr>
          <w:iCs/>
        </w:rPr>
        <w:t>Hernia</w:t>
      </w:r>
    </w:p>
    <w:p w:rsidR="00C83368" w:rsidRPr="001A3D2B" w:rsidRDefault="00C83368" w:rsidP="00C83368">
      <w:pPr>
        <w:pStyle w:val="12"/>
      </w:pPr>
      <w:r w:rsidRPr="001A3D2B">
        <w:t xml:space="preserve">ISO Abbreviated Title: </w:t>
      </w:r>
      <w:r w:rsidRPr="00B80DC5">
        <w:rPr>
          <w:iCs/>
        </w:rPr>
        <w:t>Hernia</w:t>
      </w:r>
    </w:p>
    <w:p w:rsidR="00C83368" w:rsidRPr="001A3D2B" w:rsidRDefault="00C83368" w:rsidP="00C83368">
      <w:pPr>
        <w:pStyle w:val="12"/>
      </w:pPr>
      <w:r w:rsidRPr="001A3D2B">
        <w:t xml:space="preserve">JCR Abbreviated Title: </w:t>
      </w:r>
      <w:r w:rsidRPr="00B80DC5">
        <w:rPr>
          <w:iCs/>
        </w:rPr>
        <w:t>Hernia</w:t>
      </w:r>
    </w:p>
    <w:p w:rsidR="00C83368" w:rsidRPr="001A3D2B" w:rsidRDefault="00C83368" w:rsidP="00C83368">
      <w:pPr>
        <w:pStyle w:val="12"/>
      </w:pPr>
      <w:r w:rsidRPr="001A3D2B">
        <w:t xml:space="preserve">ISSN: </w:t>
      </w:r>
    </w:p>
    <w:p w:rsidR="00C83368" w:rsidRPr="001A3D2B" w:rsidRDefault="00C83368" w:rsidP="00C83368">
      <w:pPr>
        <w:pStyle w:val="12"/>
      </w:pPr>
      <w:r w:rsidRPr="001A3D2B">
        <w:t xml:space="preserve">Issues/Year: </w:t>
      </w:r>
    </w:p>
    <w:p w:rsidR="00C83368" w:rsidRPr="001A3D2B" w:rsidRDefault="00C83368" w:rsidP="00C83368">
      <w:pPr>
        <w:pStyle w:val="12"/>
      </w:pPr>
      <w:r w:rsidRPr="001A3D2B">
        <w:t xml:space="preserve">Journal Country/Territory: </w:t>
      </w:r>
    </w:p>
    <w:p w:rsidR="00C83368" w:rsidRPr="001A3D2B" w:rsidRDefault="00C83368" w:rsidP="00C83368">
      <w:pPr>
        <w:pStyle w:val="12"/>
      </w:pPr>
      <w:r w:rsidRPr="001A3D2B">
        <w:t xml:space="preserve">Language: </w:t>
      </w:r>
    </w:p>
    <w:p w:rsidR="00C83368" w:rsidRPr="001A3D2B" w:rsidRDefault="00C83368" w:rsidP="00C83368">
      <w:pPr>
        <w:pStyle w:val="12"/>
      </w:pPr>
      <w:r w:rsidRPr="001A3D2B">
        <w:t xml:space="preserve">Publisher: </w:t>
      </w:r>
    </w:p>
    <w:p w:rsidR="00C83368" w:rsidRPr="001A3D2B" w:rsidRDefault="00C83368" w:rsidP="00C83368">
      <w:pPr>
        <w:pStyle w:val="12"/>
      </w:pPr>
      <w:r w:rsidRPr="001A3D2B">
        <w:t xml:space="preserve">Publisher Address: </w:t>
      </w:r>
    </w:p>
    <w:p w:rsidR="00C83368" w:rsidRPr="001A3D2B" w:rsidRDefault="00C83368" w:rsidP="00C83368">
      <w:pPr>
        <w:pStyle w:val="12"/>
      </w:pPr>
      <w:r w:rsidRPr="001A3D2B">
        <w:t>Subject Categories:</w:t>
      </w:r>
    </w:p>
    <w:p w:rsidR="00C83368" w:rsidRPr="001A3D2B" w:rsidRDefault="00C83368" w:rsidP="00C83368">
      <w:pPr>
        <w:pStyle w:val="12"/>
      </w:pPr>
      <w:r w:rsidRPr="001A3D2B">
        <w:t>: Impact Factor</w:t>
      </w:r>
    </w:p>
    <w:p w:rsidR="00C83368" w:rsidRDefault="00C83368" w:rsidP="00C83368">
      <w:pPr>
        <w:pStyle w:val="a0"/>
        <w:rPr>
          <w:kern w:val="0"/>
        </w:rPr>
      </w:pPr>
      <w:r>
        <w:rPr>
          <w:rFonts w:hint="eastAsia"/>
          <w:kern w:val="0"/>
        </w:rPr>
        <w:t xml:space="preserve">? </w:t>
      </w:r>
      <w:r>
        <w:rPr>
          <w:kern w:val="0"/>
        </w:rPr>
        <w:t xml:space="preserve">Kulacoglu, H. and Oztuna, D. (2011), Growth and trends in publications about abdominal wall hernias and the impact of a specific journal on herniology: A bibliometric analysis. </w:t>
      </w:r>
      <w:r w:rsidRPr="00B80DC5">
        <w:rPr>
          <w:i/>
          <w:iCs/>
          <w:kern w:val="0"/>
        </w:rPr>
        <w:t>Hernia</w:t>
      </w:r>
      <w:r>
        <w:rPr>
          <w:kern w:val="0"/>
        </w:rPr>
        <w:t xml:space="preserve">, </w:t>
      </w:r>
      <w:r>
        <w:rPr>
          <w:b/>
          <w:bCs/>
          <w:kern w:val="0"/>
        </w:rPr>
        <w:t>15</w:t>
      </w:r>
      <w:r>
        <w:rPr>
          <w:kern w:val="0"/>
        </w:rPr>
        <w:t xml:space="preserve"> (6), 615-628.</w:t>
      </w:r>
    </w:p>
    <w:p w:rsidR="00C83368" w:rsidRDefault="00C83368" w:rsidP="00C83368">
      <w:pPr>
        <w:pStyle w:val="a0"/>
        <w:rPr>
          <w:kern w:val="0"/>
        </w:rPr>
      </w:pPr>
      <w:r>
        <w:rPr>
          <w:rFonts w:hint="eastAsia"/>
          <w:kern w:val="0"/>
        </w:rPr>
        <w:t xml:space="preserve">Full Text: </w:t>
      </w:r>
      <w:hyperlink r:id="rId643" w:history="1">
        <w:r w:rsidRPr="00B80DC5">
          <w:rPr>
            <w:rStyle w:val="a5"/>
            <w:kern w:val="0"/>
          </w:rPr>
          <w:t>2011\Hernia15, 615.pdf</w:t>
        </w:r>
      </w:hyperlink>
    </w:p>
    <w:p w:rsidR="00C83368" w:rsidRDefault="00C83368" w:rsidP="00C83368">
      <w:pPr>
        <w:pStyle w:val="a0"/>
        <w:rPr>
          <w:kern w:val="0"/>
        </w:rPr>
      </w:pPr>
      <w:r>
        <w:rPr>
          <w:kern w:val="0"/>
        </w:rPr>
        <w:t xml:space="preserve">Abstract: The aim of this systematic review was to determine the exact volume and growth pattern of articles on abdominal wall hernias, in particular the effect of the journal Hernia on publications about hernias. A PubMed search was performed for every year between 1965 and 2010, using the title words </w:t>
      </w:r>
      <w:r w:rsidR="000352E7">
        <w:rPr>
          <w:kern w:val="0"/>
        </w:rPr>
        <w:t>“</w:t>
      </w:r>
      <w:r>
        <w:rPr>
          <w:kern w:val="0"/>
        </w:rPr>
        <w:t>inguinal hernia,</w:t>
      </w:r>
      <w:r w:rsidR="000352E7">
        <w:rPr>
          <w:kern w:val="0"/>
        </w:rPr>
        <w:t>”</w:t>
      </w:r>
      <w:r>
        <w:rPr>
          <w:kern w:val="0"/>
        </w:rPr>
        <w:t xml:space="preserve"> </w:t>
      </w:r>
      <w:r w:rsidR="000352E7">
        <w:rPr>
          <w:kern w:val="0"/>
        </w:rPr>
        <w:t>“</w:t>
      </w:r>
      <w:r>
        <w:rPr>
          <w:kern w:val="0"/>
        </w:rPr>
        <w:t>incisional hernia,</w:t>
      </w:r>
      <w:r w:rsidR="000352E7">
        <w:rPr>
          <w:kern w:val="0"/>
        </w:rPr>
        <w:t>”</w:t>
      </w:r>
      <w:r>
        <w:rPr>
          <w:kern w:val="0"/>
        </w:rPr>
        <w:t xml:space="preserve"> and </w:t>
      </w:r>
      <w:r w:rsidR="000352E7">
        <w:rPr>
          <w:kern w:val="0"/>
        </w:rPr>
        <w:t>“</w:t>
      </w:r>
      <w:r>
        <w:rPr>
          <w:kern w:val="0"/>
        </w:rPr>
        <w:t>umbilical hernia.</w:t>
      </w:r>
      <w:r w:rsidR="000352E7">
        <w:rPr>
          <w:kern w:val="0"/>
        </w:rPr>
        <w:t>”</w:t>
      </w:r>
      <w:r>
        <w:rPr>
          <w:kern w:val="0"/>
        </w:rPr>
        <w:t xml:space="preserve"> Then, two consecutive 10-year periods were chosen for a systematic PubMed search, before and after 2001-the year in which Hernia began to be indexed in PubMed. The main keywords used were as follows: </w:t>
      </w:r>
      <w:r w:rsidR="000352E7">
        <w:rPr>
          <w:kern w:val="0"/>
        </w:rPr>
        <w:t>“</w:t>
      </w:r>
      <w:r>
        <w:rPr>
          <w:kern w:val="0"/>
        </w:rPr>
        <w:t>inguinal hernia</w:t>
      </w:r>
      <w:r w:rsidR="000352E7">
        <w:rPr>
          <w:kern w:val="0"/>
        </w:rPr>
        <w:t>”</w:t>
      </w:r>
      <w:r>
        <w:rPr>
          <w:kern w:val="0"/>
        </w:rPr>
        <w:t xml:space="preserve"> </w:t>
      </w:r>
      <w:r w:rsidR="000352E7">
        <w:rPr>
          <w:kern w:val="0"/>
        </w:rPr>
        <w:t>“</w:t>
      </w:r>
      <w:r>
        <w:rPr>
          <w:kern w:val="0"/>
        </w:rPr>
        <w:t>incisional hernia</w:t>
      </w:r>
      <w:r w:rsidR="000352E7">
        <w:rPr>
          <w:kern w:val="0"/>
        </w:rPr>
        <w:t>”</w:t>
      </w:r>
      <w:r>
        <w:rPr>
          <w:kern w:val="0"/>
        </w:rPr>
        <w:t xml:space="preserve"> </w:t>
      </w:r>
      <w:r w:rsidR="000352E7">
        <w:rPr>
          <w:kern w:val="0"/>
        </w:rPr>
        <w:t>“</w:t>
      </w:r>
      <w:r>
        <w:rPr>
          <w:kern w:val="0"/>
        </w:rPr>
        <w:t>umbilical hernia</w:t>
      </w:r>
      <w:r w:rsidR="000352E7">
        <w:rPr>
          <w:kern w:val="0"/>
        </w:rPr>
        <w:t>”</w:t>
      </w:r>
      <w:r>
        <w:rPr>
          <w:kern w:val="0"/>
        </w:rPr>
        <w:t xml:space="preserve"> </w:t>
      </w:r>
      <w:r w:rsidR="000352E7">
        <w:rPr>
          <w:kern w:val="0"/>
        </w:rPr>
        <w:t>“</w:t>
      </w:r>
      <w:r>
        <w:rPr>
          <w:kern w:val="0"/>
        </w:rPr>
        <w:t>mesh</w:t>
      </w:r>
      <w:r w:rsidR="000352E7">
        <w:rPr>
          <w:kern w:val="0"/>
        </w:rPr>
        <w:t>”</w:t>
      </w:r>
      <w:r>
        <w:rPr>
          <w:kern w:val="0"/>
        </w:rPr>
        <w:t xml:space="preserve"> </w:t>
      </w:r>
      <w:r w:rsidR="000352E7">
        <w:rPr>
          <w:kern w:val="0"/>
        </w:rPr>
        <w:t>“</w:t>
      </w:r>
      <w:r>
        <w:rPr>
          <w:kern w:val="0"/>
        </w:rPr>
        <w:t>laparoscopic</w:t>
      </w:r>
      <w:r w:rsidR="000352E7">
        <w:rPr>
          <w:kern w:val="0"/>
        </w:rPr>
        <w:t>”</w:t>
      </w:r>
      <w:r>
        <w:rPr>
          <w:kern w:val="0"/>
        </w:rPr>
        <w:t xml:space="preserve"> and </w:t>
      </w:r>
      <w:r w:rsidR="000352E7">
        <w:rPr>
          <w:kern w:val="0"/>
        </w:rPr>
        <w:t>“</w:t>
      </w:r>
      <w:r>
        <w:rPr>
          <w:kern w:val="0"/>
        </w:rPr>
        <w:t>experimental.</w:t>
      </w:r>
      <w:r w:rsidR="000352E7">
        <w:rPr>
          <w:kern w:val="0"/>
        </w:rPr>
        <w:t>”</w:t>
      </w:r>
      <w:r>
        <w:rPr>
          <w:kern w:val="0"/>
        </w:rPr>
        <w:t xml:space="preserve"> The number of all articles indexed in PubMed increased 1.6-fold between the periods 1991-2000 and 2001-2010. The number of articles with the title word </w:t>
      </w:r>
      <w:r w:rsidR="000352E7">
        <w:rPr>
          <w:kern w:val="0"/>
        </w:rPr>
        <w:t>“</w:t>
      </w:r>
      <w:r>
        <w:rPr>
          <w:kern w:val="0"/>
        </w:rPr>
        <w:t>inguinal hernia</w:t>
      </w:r>
      <w:r w:rsidR="000352E7">
        <w:rPr>
          <w:kern w:val="0"/>
        </w:rPr>
        <w:t>”</w:t>
      </w:r>
      <w:r>
        <w:rPr>
          <w:kern w:val="0"/>
        </w:rPr>
        <w:t xml:space="preserve"> increased 1.7-fold, whereas the rises for incisional and umbilical hernias were more prominent: 3.9- and 2.6-fold. Article titles with the combined keywords </w:t>
      </w:r>
      <w:r w:rsidR="000352E7">
        <w:rPr>
          <w:kern w:val="0"/>
        </w:rPr>
        <w:t>“</w:t>
      </w:r>
      <w:r>
        <w:rPr>
          <w:kern w:val="0"/>
        </w:rPr>
        <w:t>hernia and mesh</w:t>
      </w:r>
      <w:r w:rsidR="000352E7">
        <w:rPr>
          <w:kern w:val="0"/>
        </w:rPr>
        <w:t>”</w:t>
      </w:r>
      <w:r>
        <w:rPr>
          <w:kern w:val="0"/>
        </w:rPr>
        <w:t xml:space="preserve"> and </w:t>
      </w:r>
      <w:r w:rsidR="000352E7">
        <w:rPr>
          <w:kern w:val="0"/>
        </w:rPr>
        <w:t>“</w:t>
      </w:r>
      <w:r>
        <w:rPr>
          <w:kern w:val="0"/>
        </w:rPr>
        <w:t>hernia and laparoscopic</w:t>
      </w:r>
      <w:r w:rsidR="000352E7">
        <w:rPr>
          <w:kern w:val="0"/>
        </w:rPr>
        <w:t>”</w:t>
      </w:r>
      <w:r>
        <w:rPr>
          <w:kern w:val="0"/>
        </w:rPr>
        <w:t xml:space="preserve"> increased 2.8- and 2.4-fold. The most striking combined search was for </w:t>
      </w:r>
      <w:r w:rsidR="000352E7">
        <w:rPr>
          <w:kern w:val="0"/>
        </w:rPr>
        <w:t>“</w:t>
      </w:r>
      <w:r>
        <w:rPr>
          <w:kern w:val="0"/>
        </w:rPr>
        <w:t>umbilical hernia and mesh</w:t>
      </w:r>
      <w:r w:rsidR="000352E7">
        <w:rPr>
          <w:kern w:val="0"/>
        </w:rPr>
        <w:t>”</w:t>
      </w:r>
      <w:r>
        <w:rPr>
          <w:kern w:val="0"/>
        </w:rPr>
        <w:t xml:space="preserve"> with a 20.5-fold rise. The percentage of articles published in the journal Hernia among all articles in all 25 selected journals, including Hernia was 30% on average. Hernia, Surgical Endoscopy and the British Journal of Surgery were the leading journals for publications for inguinal hernia in the last decade. Growth in hernia papers is greater than the overall growth in PubMed. Articles on incisional hernia increased faster than did those on inguinal and umbilical hernias. The establishment and indexing of Hernia decreased the proportion of hernia publications </w:t>
      </w:r>
      <w:r>
        <w:rPr>
          <w:kern w:val="0"/>
        </w:rPr>
        <w:lastRenderedPageBreak/>
        <w:t>in other journals. The core journals for herniology are Hernia, Surgical Endoscopy, and the British Journal of Surgery.</w:t>
      </w:r>
    </w:p>
    <w:p w:rsidR="00C83368" w:rsidRDefault="00C83368" w:rsidP="00C83368">
      <w:pPr>
        <w:pStyle w:val="a0"/>
        <w:rPr>
          <w:kern w:val="0"/>
        </w:rPr>
      </w:pPr>
      <w:r>
        <w:rPr>
          <w:kern w:val="0"/>
        </w:rPr>
        <w:t>Keywords: Analysis, Article Titles, Articles, Bibliometric, Bibliometric Analysis, Cancer, General-Surgery, Growth, Growth Pattern, Hernia, Impact, Indexing, Journal, Journals, Medicine, Medline, Papers, Productivity, Publication, Publications, Pubmed, Randomized Controlled-Trials, Repair, Review, Sub-Specialization, Surgery, Surgical Subspecialization, Systematic, Systematic Review, Trends, United-States</w:t>
      </w:r>
    </w:p>
    <w:p w:rsidR="00B95188" w:rsidRPr="00A428C3" w:rsidRDefault="00B95188" w:rsidP="00B95188">
      <w:pPr>
        <w:pStyle w:val="1"/>
      </w:pPr>
      <w:r w:rsidRPr="00A428C3">
        <w:br w:type="page"/>
      </w:r>
      <w:bookmarkStart w:id="582" w:name="_Toc487190694"/>
      <w:bookmarkStart w:id="583" w:name="_Toc487882198"/>
      <w:bookmarkStart w:id="584" w:name="_Toc490688008"/>
      <w:bookmarkStart w:id="585" w:name="_Toc492807670"/>
      <w:bookmarkStart w:id="586" w:name="_Toc186647770"/>
      <w:bookmarkStart w:id="587" w:name="_Toc317161019"/>
      <w:r w:rsidRPr="00A428C3">
        <w:lastRenderedPageBreak/>
        <w:t>Title: High Level Radioactive Waste Managemnet-Proceeding Annual International Coference</w:t>
      </w:r>
      <w:bookmarkEnd w:id="582"/>
      <w:bookmarkEnd w:id="583"/>
      <w:bookmarkEnd w:id="584"/>
      <w:bookmarkEnd w:id="585"/>
      <w:bookmarkEnd w:id="586"/>
      <w:bookmarkEnd w:id="587"/>
    </w:p>
    <w:p w:rsidR="00B95188" w:rsidRPr="00A428C3" w:rsidRDefault="00B95188" w:rsidP="00B95188">
      <w:pPr>
        <w:pStyle w:val="a0"/>
      </w:pPr>
      <w:r w:rsidRPr="00A428C3">
        <w:t>? Laul, J.C., Rupert, M.C., Harris, M.J.</w:t>
      </w:r>
      <w:r w:rsidR="00F81221">
        <w:t xml:space="preserve"> and </w:t>
      </w:r>
      <w:r w:rsidRPr="00A428C3">
        <w:t xml:space="preserve">Duran, A. (1995), Adsorption study for uranium in rocky flats groundwater. </w:t>
      </w:r>
      <w:r w:rsidRPr="00A428C3">
        <w:rPr>
          <w:i/>
        </w:rPr>
        <w:t>High Level Radioactive Waste Managemnet-Proceeding Annual International Coference</w:t>
      </w:r>
      <w:r w:rsidRPr="00A428C3">
        <w:t xml:space="preserve">, </w:t>
      </w:r>
      <w:r w:rsidRPr="00A428C3">
        <w:rPr>
          <w:b/>
        </w:rPr>
        <w:t>6th</w:t>
      </w:r>
      <w:r w:rsidRPr="00A428C3">
        <w:t>, 231-233.</w:t>
      </w:r>
    </w:p>
    <w:p w:rsidR="0094335E" w:rsidRPr="00217FB1" w:rsidRDefault="0094335E" w:rsidP="0094335E">
      <w:pPr>
        <w:pStyle w:val="1"/>
      </w:pPr>
      <w:r>
        <w:br w:type="page"/>
      </w:r>
      <w:bookmarkStart w:id="588" w:name="_Toc234327075"/>
      <w:bookmarkStart w:id="589" w:name="_Toc317161020"/>
      <w:r>
        <w:lastRenderedPageBreak/>
        <w:t>Title: Higher Education</w:t>
      </w:r>
      <w:bookmarkEnd w:id="588"/>
      <w:bookmarkEnd w:id="589"/>
    </w:p>
    <w:p w:rsidR="0094335E" w:rsidRPr="00F82F1B" w:rsidRDefault="0094335E" w:rsidP="00B72EF9">
      <w:pPr>
        <w:pStyle w:val="12"/>
      </w:pPr>
      <w:r w:rsidRPr="00F82F1B">
        <w:t>Full Jou</w:t>
      </w:r>
      <w:r>
        <w:t xml:space="preserve">rnal Title: </w:t>
      </w:r>
      <w:hyperlink r:id="rId644" w:history="1">
        <w:r w:rsidRPr="006A112C">
          <w:rPr>
            <w:rStyle w:val="a5"/>
          </w:rPr>
          <w:t>Higher Education</w:t>
        </w:r>
      </w:hyperlink>
    </w:p>
    <w:p w:rsidR="0094335E" w:rsidRPr="00F82F1B" w:rsidRDefault="0094335E" w:rsidP="00B72EF9">
      <w:pPr>
        <w:pStyle w:val="12"/>
      </w:pPr>
      <w:r w:rsidRPr="00F82F1B">
        <w:t xml:space="preserve">ISO Abbreviated Title: </w:t>
      </w:r>
    </w:p>
    <w:p w:rsidR="0094335E" w:rsidRPr="00F82F1B" w:rsidRDefault="0094335E" w:rsidP="00B72EF9">
      <w:pPr>
        <w:pStyle w:val="12"/>
      </w:pPr>
      <w:r w:rsidRPr="00F82F1B">
        <w:t>JCR Abbreviated Title</w:t>
      </w:r>
      <w:r>
        <w:t>:</w:t>
      </w:r>
      <w:r w:rsidRPr="00F82F1B">
        <w:t xml:space="preserve"> </w:t>
      </w:r>
    </w:p>
    <w:p w:rsidR="0094335E" w:rsidRPr="00F82F1B" w:rsidRDefault="0094335E" w:rsidP="00B72EF9">
      <w:pPr>
        <w:pStyle w:val="12"/>
      </w:pPr>
      <w:r w:rsidRPr="00F82F1B">
        <w:t xml:space="preserve">ISSN: </w:t>
      </w:r>
    </w:p>
    <w:p w:rsidR="0094335E" w:rsidRPr="00F82F1B" w:rsidRDefault="0094335E" w:rsidP="00B72EF9">
      <w:pPr>
        <w:pStyle w:val="12"/>
      </w:pPr>
      <w:r w:rsidRPr="00F82F1B">
        <w:t xml:space="preserve">Issues/Year: </w:t>
      </w:r>
    </w:p>
    <w:p w:rsidR="0094335E" w:rsidRPr="00F82F1B" w:rsidRDefault="00FB5623" w:rsidP="00B72EF9">
      <w:pPr>
        <w:pStyle w:val="12"/>
      </w:pPr>
      <w:r>
        <w:t>Journal Country/Territory:</w:t>
      </w:r>
      <w:r w:rsidR="0094335E">
        <w:t xml:space="preserve"> </w:t>
      </w:r>
    </w:p>
    <w:p w:rsidR="0094335E" w:rsidRPr="00F82F1B" w:rsidRDefault="0094335E" w:rsidP="00B72EF9">
      <w:pPr>
        <w:pStyle w:val="12"/>
      </w:pPr>
      <w:r w:rsidRPr="00F82F1B">
        <w:t xml:space="preserve">Language: </w:t>
      </w:r>
    </w:p>
    <w:p w:rsidR="0094335E" w:rsidRPr="00F82F1B" w:rsidRDefault="0094335E" w:rsidP="00B72EF9">
      <w:pPr>
        <w:pStyle w:val="12"/>
      </w:pPr>
      <w:r w:rsidRPr="00F82F1B">
        <w:t xml:space="preserve">Publisher: </w:t>
      </w:r>
    </w:p>
    <w:p w:rsidR="0094335E" w:rsidRPr="00F82F1B" w:rsidRDefault="0094335E" w:rsidP="00B72EF9">
      <w:pPr>
        <w:pStyle w:val="12"/>
      </w:pPr>
      <w:r w:rsidRPr="00F82F1B">
        <w:t xml:space="preserve">Publisher Address: </w:t>
      </w:r>
    </w:p>
    <w:p w:rsidR="0094335E" w:rsidRPr="00F82F1B" w:rsidRDefault="0094335E" w:rsidP="00B72EF9">
      <w:pPr>
        <w:pStyle w:val="12"/>
      </w:pPr>
      <w:r w:rsidRPr="00F82F1B">
        <w:t>Subject Categories:</w:t>
      </w:r>
    </w:p>
    <w:p w:rsidR="0094335E" w:rsidRPr="00F82F1B" w:rsidRDefault="0094335E" w:rsidP="00B72EF9">
      <w:pPr>
        <w:pStyle w:val="12"/>
      </w:pPr>
      <w:r w:rsidRPr="00F82F1B">
        <w:t>: Impact Factor</w:t>
      </w:r>
    </w:p>
    <w:p w:rsidR="00AC11CA" w:rsidRDefault="00AC11CA" w:rsidP="00AC11CA">
      <w:pPr>
        <w:pStyle w:val="a0"/>
        <w:rPr>
          <w:kern w:val="0"/>
        </w:rPr>
      </w:pPr>
      <w:r>
        <w:rPr>
          <w:rFonts w:hint="eastAsia"/>
          <w:kern w:val="0"/>
        </w:rPr>
        <w:t xml:space="preserve">? </w:t>
      </w:r>
      <w:r>
        <w:rPr>
          <w:kern w:val="0"/>
        </w:rPr>
        <w:t xml:space="preserve">Pouris, A. (2007), The international performance of the South African academic institutions: A citation assessment. </w:t>
      </w:r>
      <w:r>
        <w:rPr>
          <w:i/>
          <w:iCs/>
          <w:kern w:val="0"/>
        </w:rPr>
        <w:t>Higher Education</w:t>
      </w:r>
      <w:r>
        <w:rPr>
          <w:kern w:val="0"/>
        </w:rPr>
        <w:t xml:space="preserve">, </w:t>
      </w:r>
      <w:r>
        <w:rPr>
          <w:b/>
          <w:bCs/>
          <w:kern w:val="0"/>
        </w:rPr>
        <w:t>54</w:t>
      </w:r>
      <w:r>
        <w:rPr>
          <w:kern w:val="0"/>
        </w:rPr>
        <w:t xml:space="preserve"> (4), 501-509.</w:t>
      </w:r>
    </w:p>
    <w:p w:rsidR="00AC11CA" w:rsidRDefault="00AC11CA" w:rsidP="00AC11CA">
      <w:pPr>
        <w:pStyle w:val="a0"/>
        <w:rPr>
          <w:kern w:val="0"/>
          <w:szCs w:val="24"/>
        </w:rPr>
      </w:pPr>
      <w:r>
        <w:rPr>
          <w:rFonts w:hint="eastAsia"/>
          <w:kern w:val="0"/>
          <w:szCs w:val="24"/>
        </w:rPr>
        <w:t xml:space="preserve">Full Text: </w:t>
      </w:r>
      <w:hyperlink r:id="rId645" w:history="1">
        <w:r w:rsidR="00E319CB" w:rsidRPr="00E319CB">
          <w:rPr>
            <w:rStyle w:val="a5"/>
            <w:kern w:val="0"/>
            <w:szCs w:val="24"/>
          </w:rPr>
          <w:t>2007\Hig Edu54, 501.pdf</w:t>
        </w:r>
      </w:hyperlink>
    </w:p>
    <w:p w:rsidR="00AC11CA" w:rsidRDefault="00AC11CA" w:rsidP="00AC11CA">
      <w:pPr>
        <w:pStyle w:val="a0"/>
        <w:rPr>
          <w:kern w:val="0"/>
        </w:rPr>
      </w:pPr>
      <w:r>
        <w:rPr>
          <w:kern w:val="0"/>
        </w:rPr>
        <w:t>Abstract: This article reports the results of an investigation to identify the disciplinary strengths</w:t>
      </w:r>
      <w:r w:rsidR="00F81221">
        <w:rPr>
          <w:kern w:val="0"/>
        </w:rPr>
        <w:t xml:space="preserve"> and </w:t>
      </w:r>
      <w:r>
        <w:rPr>
          <w:kern w:val="0"/>
        </w:rPr>
        <w:t>the international standing of the higher education institutions in South Africa. Even though comparative assessments provide valuable information for research administrations, researchers</w:t>
      </w:r>
      <w:r w:rsidR="00F81221">
        <w:rPr>
          <w:kern w:val="0"/>
        </w:rPr>
        <w:t xml:space="preserve"> and </w:t>
      </w:r>
      <w:r>
        <w:rPr>
          <w:kern w:val="0"/>
        </w:rPr>
        <w:t>students such information is not available in South Africa currently. The Essential Science Indicators database of the Institute for Scientific Information is utilized for the investigation</w:t>
      </w:r>
      <w:r w:rsidR="00F81221">
        <w:rPr>
          <w:kern w:val="0"/>
        </w:rPr>
        <w:t xml:space="preserve"> and </w:t>
      </w:r>
      <w:r>
        <w:rPr>
          <w:kern w:val="0"/>
        </w:rPr>
        <w:t>six South African universities are identified to be included in the top 1% of the world</w:t>
      </w:r>
      <w:r w:rsidR="000352E7">
        <w:rPr>
          <w:kern w:val="0"/>
        </w:rPr>
        <w:t>’</w:t>
      </w:r>
      <w:r>
        <w:rPr>
          <w:kern w:val="0"/>
        </w:rPr>
        <w:t>s institutions cited in the international scientific literature. The identified institutions are University of Cape Town, University of Pretoria, Orange Free State University, University of Witwatersrand, University of Natal</w:t>
      </w:r>
      <w:r w:rsidR="00F81221">
        <w:rPr>
          <w:kern w:val="0"/>
        </w:rPr>
        <w:t xml:space="preserve"> and </w:t>
      </w:r>
      <w:r>
        <w:rPr>
          <w:kern w:val="0"/>
        </w:rPr>
        <w:t>University of Stellenbosch. Analysis of the scientific disciplines in which the South African institutions meet the threshold requirements for inclusion in the database shows that the country has citation footprints in only nine of the 22 broad scientific disciplines. The article identifies the international standing of the South African universities in the various scientific disciplines,</w:t>
      </w:r>
      <w:r w:rsidR="00F81221">
        <w:rPr>
          <w:kern w:val="0"/>
        </w:rPr>
        <w:t xml:space="preserve"> and </w:t>
      </w:r>
      <w:r>
        <w:rPr>
          <w:kern w:val="0"/>
        </w:rPr>
        <w:t>elaborates on the consequences relevant to higher education</w:t>
      </w:r>
      <w:r w:rsidR="00F81221">
        <w:rPr>
          <w:kern w:val="0"/>
        </w:rPr>
        <w:t xml:space="preserve"> and </w:t>
      </w:r>
      <w:r>
        <w:rPr>
          <w:kern w:val="0"/>
        </w:rPr>
        <w:t>science</w:t>
      </w:r>
      <w:r w:rsidR="00F81221">
        <w:rPr>
          <w:kern w:val="0"/>
        </w:rPr>
        <w:t xml:space="preserve"> and </w:t>
      </w:r>
      <w:r>
        <w:rPr>
          <w:kern w:val="0"/>
        </w:rPr>
        <w:t>technology policy.</w:t>
      </w:r>
    </w:p>
    <w:p w:rsidR="00AC11CA" w:rsidRDefault="00AC11CA" w:rsidP="00AC11CA">
      <w:pPr>
        <w:pStyle w:val="a0"/>
        <w:rPr>
          <w:kern w:val="0"/>
        </w:rPr>
      </w:pPr>
      <w:r>
        <w:rPr>
          <w:kern w:val="0"/>
        </w:rPr>
        <w:t>Keywords: Assessment, Citation, Citations, Evaluation, Higher Education, Rankings, Research, South Africa, Universities</w:t>
      </w:r>
    </w:p>
    <w:p w:rsidR="0094335E" w:rsidRDefault="0094335E" w:rsidP="0094335E">
      <w:pPr>
        <w:pStyle w:val="a0"/>
        <w:rPr>
          <w:kern w:val="0"/>
          <w:szCs w:val="24"/>
        </w:rPr>
      </w:pPr>
      <w:r>
        <w:rPr>
          <w:rFonts w:hint="eastAsia"/>
          <w:kern w:val="0"/>
          <w:szCs w:val="24"/>
        </w:rPr>
        <w:t xml:space="preserve">? </w:t>
      </w:r>
      <w:r>
        <w:rPr>
          <w:kern w:val="0"/>
          <w:szCs w:val="24"/>
        </w:rPr>
        <w:t>Abramo, G., D</w:t>
      </w:r>
      <w:r w:rsidR="000352E7">
        <w:rPr>
          <w:kern w:val="0"/>
          <w:szCs w:val="24"/>
        </w:rPr>
        <w:t>’</w:t>
      </w:r>
      <w:r>
        <w:rPr>
          <w:kern w:val="0"/>
          <w:szCs w:val="24"/>
        </w:rPr>
        <w:t>Angelo, C.A.</w:t>
      </w:r>
      <w:r w:rsidR="00F81221">
        <w:rPr>
          <w:kern w:val="0"/>
          <w:szCs w:val="24"/>
        </w:rPr>
        <w:t xml:space="preserve"> and </w:t>
      </w:r>
      <w:r>
        <w:rPr>
          <w:kern w:val="0"/>
          <w:szCs w:val="24"/>
        </w:rPr>
        <w:t>Di Costa, F. (2009), Research collaboration</w:t>
      </w:r>
      <w:r w:rsidR="00F81221">
        <w:rPr>
          <w:kern w:val="0"/>
          <w:szCs w:val="24"/>
        </w:rPr>
        <w:t xml:space="preserve"> and </w:t>
      </w:r>
      <w:r>
        <w:rPr>
          <w:kern w:val="0"/>
          <w:szCs w:val="24"/>
        </w:rPr>
        <w:t xml:space="preserve">productivity: Is there correlation? </w:t>
      </w:r>
      <w:r w:rsidRPr="007F0A70">
        <w:rPr>
          <w:i/>
          <w:iCs/>
          <w:kern w:val="0"/>
          <w:szCs w:val="24"/>
        </w:rPr>
        <w:t>Higher Education</w:t>
      </w:r>
      <w:r>
        <w:rPr>
          <w:kern w:val="0"/>
          <w:szCs w:val="24"/>
        </w:rPr>
        <w:t xml:space="preserve">, </w:t>
      </w:r>
      <w:r>
        <w:rPr>
          <w:b/>
          <w:bCs/>
          <w:kern w:val="0"/>
          <w:szCs w:val="24"/>
        </w:rPr>
        <w:t>57</w:t>
      </w:r>
      <w:r>
        <w:rPr>
          <w:kern w:val="0"/>
          <w:szCs w:val="24"/>
        </w:rPr>
        <w:t xml:space="preserve"> (2), 155-171.</w:t>
      </w:r>
    </w:p>
    <w:p w:rsidR="0094335E" w:rsidRDefault="0094335E" w:rsidP="0094335E">
      <w:pPr>
        <w:pStyle w:val="a0"/>
        <w:rPr>
          <w:kern w:val="0"/>
          <w:szCs w:val="24"/>
        </w:rPr>
      </w:pPr>
      <w:r>
        <w:rPr>
          <w:rFonts w:hint="eastAsia"/>
          <w:kern w:val="0"/>
          <w:szCs w:val="24"/>
        </w:rPr>
        <w:t xml:space="preserve">Full Text: </w:t>
      </w:r>
      <w:hyperlink r:id="rId646" w:history="1">
        <w:r w:rsidRPr="00405CA8">
          <w:rPr>
            <w:rStyle w:val="a5"/>
            <w:kern w:val="0"/>
            <w:szCs w:val="24"/>
          </w:rPr>
          <w:t>2009\Hig Edu57, 155.pdf</w:t>
        </w:r>
      </w:hyperlink>
    </w:p>
    <w:p w:rsidR="0094335E" w:rsidRDefault="0094335E" w:rsidP="0094335E">
      <w:pPr>
        <w:pStyle w:val="a0"/>
        <w:rPr>
          <w:kern w:val="0"/>
          <w:szCs w:val="24"/>
        </w:rPr>
      </w:pPr>
      <w:r>
        <w:rPr>
          <w:kern w:val="0"/>
          <w:szCs w:val="24"/>
        </w:rPr>
        <w:t xml:space="preserve">Abstract: The incidence of extramural collaboration in academic research activities is </w:t>
      </w:r>
      <w:r>
        <w:rPr>
          <w:kern w:val="0"/>
          <w:szCs w:val="24"/>
        </w:rPr>
        <w:lastRenderedPageBreak/>
        <w:t>increasing as a result of various factors. These factors include policy measures aimed at fostering partnership</w:t>
      </w:r>
      <w:r w:rsidR="00F81221">
        <w:rPr>
          <w:kern w:val="0"/>
          <w:szCs w:val="24"/>
        </w:rPr>
        <w:t xml:space="preserve"> and </w:t>
      </w:r>
      <w:r>
        <w:rPr>
          <w:kern w:val="0"/>
          <w:szCs w:val="24"/>
        </w:rPr>
        <w:t>networking among the various components of the research system, policies which are in turn justified by the idea that knowledge sharing could increase the effectiveness of the system. Over the last two decades, the scientific community has also stepped up activities to assess the actual impact of collaboration intensity on the performance of research systems. This study draws on a number of empirical analyses, with the intention of measuring the effects of extramural collaboration on research performance and, indirectly, verifying the legitimacy of policies that support this type of collaboration. The analysis focuses on the Italian academic research system. The aim of the work is to assess the level of correlation, at institutional level, between scientific productivity</w:t>
      </w:r>
      <w:r w:rsidR="00F81221">
        <w:rPr>
          <w:kern w:val="0"/>
          <w:szCs w:val="24"/>
        </w:rPr>
        <w:t xml:space="preserve"> and </w:t>
      </w:r>
      <w:r>
        <w:rPr>
          <w:kern w:val="0"/>
          <w:szCs w:val="24"/>
        </w:rPr>
        <w:t>collaboration intensity as a whole, both internationally</w:t>
      </w:r>
      <w:r w:rsidR="00F81221">
        <w:rPr>
          <w:kern w:val="0"/>
          <w:szCs w:val="24"/>
        </w:rPr>
        <w:t xml:space="preserve"> and </w:t>
      </w:r>
      <w:r>
        <w:rPr>
          <w:kern w:val="0"/>
          <w:szCs w:val="24"/>
        </w:rPr>
        <w:t>with private organizations. This will be carried out using a bibliometric type of approach, which equates collaboration with the co-authorship of scientific publications.</w:t>
      </w:r>
    </w:p>
    <w:p w:rsidR="0094335E" w:rsidRDefault="0094335E" w:rsidP="0094335E">
      <w:pPr>
        <w:pStyle w:val="a0"/>
        <w:rPr>
          <w:kern w:val="0"/>
          <w:szCs w:val="24"/>
        </w:rPr>
      </w:pPr>
      <w:r>
        <w:rPr>
          <w:kern w:val="0"/>
          <w:szCs w:val="24"/>
        </w:rPr>
        <w:t>Keywords: Academic, Analyses, Analysis, Approach, Bibliometric, Bibliometrics, Co-Authorship, Coauthorship, Collaboration, Community, Correlation, Effectiveness, Effects, Empirical, Factors, Impact, Incidence, Institutional, Intention, Knowledge, Knowledge Sharing, Legitimacy, Networking, Organizations, Partnership, Performance, Policies, Policy, Policy Measures, Productivity, Publication Productivity, Publications, Research, Research Collaboration, Research Performance, Scientific Productivity, Scientific Publications, Scientists, Support, Systems, Universities, Universities, Work</w:t>
      </w:r>
    </w:p>
    <w:p w:rsidR="0094335E" w:rsidRDefault="0094335E" w:rsidP="0094335E">
      <w:pPr>
        <w:pStyle w:val="a0"/>
        <w:rPr>
          <w:kern w:val="0"/>
          <w:szCs w:val="24"/>
        </w:rPr>
      </w:pPr>
      <w:r>
        <w:rPr>
          <w:rFonts w:hint="eastAsia"/>
          <w:kern w:val="0"/>
          <w:szCs w:val="24"/>
        </w:rPr>
        <w:t xml:space="preserve">? </w:t>
      </w:r>
      <w:r>
        <w:rPr>
          <w:kern w:val="0"/>
          <w:szCs w:val="24"/>
        </w:rPr>
        <w:t xml:space="preserve">Hicks, D. (2009), Evolving regimes of multi-university research evaluation. </w:t>
      </w:r>
      <w:r>
        <w:rPr>
          <w:i/>
          <w:iCs/>
          <w:kern w:val="0"/>
          <w:szCs w:val="24"/>
        </w:rPr>
        <w:t>Higher Education</w:t>
      </w:r>
      <w:r>
        <w:rPr>
          <w:kern w:val="0"/>
          <w:szCs w:val="24"/>
        </w:rPr>
        <w:t xml:space="preserve">, </w:t>
      </w:r>
      <w:r>
        <w:rPr>
          <w:b/>
          <w:bCs/>
          <w:kern w:val="0"/>
          <w:szCs w:val="24"/>
        </w:rPr>
        <w:t>57</w:t>
      </w:r>
      <w:r>
        <w:rPr>
          <w:kern w:val="0"/>
          <w:szCs w:val="24"/>
        </w:rPr>
        <w:t xml:space="preserve"> (4), 393-404.</w:t>
      </w:r>
    </w:p>
    <w:p w:rsidR="0094335E" w:rsidRDefault="0094335E" w:rsidP="0094335E">
      <w:pPr>
        <w:pStyle w:val="a0"/>
        <w:rPr>
          <w:kern w:val="0"/>
          <w:szCs w:val="24"/>
        </w:rPr>
      </w:pPr>
      <w:r>
        <w:rPr>
          <w:rFonts w:hint="eastAsia"/>
          <w:kern w:val="0"/>
          <w:szCs w:val="24"/>
        </w:rPr>
        <w:t xml:space="preserve">Full Text: </w:t>
      </w:r>
      <w:hyperlink r:id="rId647" w:history="1">
        <w:r w:rsidRPr="002D6DB2">
          <w:rPr>
            <w:rStyle w:val="a5"/>
            <w:kern w:val="0"/>
            <w:szCs w:val="24"/>
          </w:rPr>
          <w:t>2009\Hig Edu57, 393.pdf</w:t>
        </w:r>
      </w:hyperlink>
    </w:p>
    <w:p w:rsidR="0094335E" w:rsidRDefault="0094335E" w:rsidP="0094335E">
      <w:pPr>
        <w:pStyle w:val="a0"/>
        <w:rPr>
          <w:kern w:val="0"/>
          <w:szCs w:val="24"/>
        </w:rPr>
      </w:pPr>
      <w:r>
        <w:rPr>
          <w:kern w:val="0"/>
          <w:szCs w:val="24"/>
        </w:rPr>
        <w:t>Abstract: Since 1980, national university departmental ranking exercises have developed in several countries. This paper reviews exercises in the U.S., U.K.</w:t>
      </w:r>
      <w:r w:rsidR="00F81221">
        <w:rPr>
          <w:kern w:val="0"/>
          <w:szCs w:val="24"/>
        </w:rPr>
        <w:t xml:space="preserve"> and </w:t>
      </w:r>
      <w:r>
        <w:rPr>
          <w:kern w:val="0"/>
          <w:szCs w:val="24"/>
        </w:rPr>
        <w:t>Australia to assess the state-of-the-art</w:t>
      </w:r>
      <w:r w:rsidR="00F81221">
        <w:rPr>
          <w:kern w:val="0"/>
          <w:szCs w:val="24"/>
        </w:rPr>
        <w:t xml:space="preserve"> and </w:t>
      </w:r>
      <w:r>
        <w:rPr>
          <w:kern w:val="0"/>
          <w:szCs w:val="24"/>
        </w:rPr>
        <w:t>to identify common themes</w:t>
      </w:r>
      <w:r w:rsidR="00F81221">
        <w:rPr>
          <w:kern w:val="0"/>
          <w:szCs w:val="24"/>
        </w:rPr>
        <w:t xml:space="preserve"> and </w:t>
      </w:r>
      <w:r>
        <w:rPr>
          <w:kern w:val="0"/>
          <w:szCs w:val="24"/>
        </w:rPr>
        <w:t>trends. The findings are that the exercises are becoming more elaborate, even unwieldy,</w:t>
      </w:r>
      <w:r w:rsidR="00F81221">
        <w:rPr>
          <w:kern w:val="0"/>
          <w:szCs w:val="24"/>
        </w:rPr>
        <w:t xml:space="preserve"> and </w:t>
      </w:r>
      <w:r>
        <w:rPr>
          <w:kern w:val="0"/>
          <w:szCs w:val="24"/>
        </w:rPr>
        <w:t>that there is some retreat from complexity. There seems to be a movement towards bibliometric measures. The exercises also seem to be effective in enhancing university focus on research strategy.</w:t>
      </w:r>
    </w:p>
    <w:p w:rsidR="0094335E" w:rsidRDefault="0094335E" w:rsidP="0094335E">
      <w:pPr>
        <w:pStyle w:val="a0"/>
        <w:rPr>
          <w:kern w:val="0"/>
          <w:szCs w:val="24"/>
        </w:rPr>
      </w:pPr>
      <w:r>
        <w:rPr>
          <w:kern w:val="0"/>
          <w:szCs w:val="24"/>
        </w:rPr>
        <w:t xml:space="preserve">Keywords: Australia, Bibliometric, Complexity, Composite Index, Developed, ERA, Evaluation, Exercises, Movement, National, </w:t>
      </w:r>
      <w:r w:rsidR="00BE3923">
        <w:rPr>
          <w:kern w:val="0"/>
          <w:szCs w:val="24"/>
        </w:rPr>
        <w:t xml:space="preserve">NRC </w:t>
      </w:r>
      <w:r>
        <w:rPr>
          <w:kern w:val="0"/>
          <w:szCs w:val="24"/>
        </w:rPr>
        <w:t>Ranking, Rae, Ranking, Rankings, Research, Research Evaluation, Reviews, RQF, Strategy, Trends, University</w:t>
      </w:r>
    </w:p>
    <w:p w:rsidR="007E368E" w:rsidRPr="001A3D2B" w:rsidRDefault="007E368E" w:rsidP="007E368E">
      <w:pPr>
        <w:pStyle w:val="a0"/>
        <w:rPr>
          <w:kern w:val="0"/>
          <w:szCs w:val="24"/>
        </w:rPr>
      </w:pPr>
      <w:r w:rsidRPr="001A3D2B">
        <w:rPr>
          <w:kern w:val="0"/>
          <w:szCs w:val="24"/>
        </w:rPr>
        <w:t xml:space="preserve">? </w:t>
      </w:r>
      <w:r w:rsidRPr="00662251">
        <w:rPr>
          <w:kern w:val="0"/>
          <w:szCs w:val="24"/>
        </w:rPr>
        <w:t>Horta</w:t>
      </w:r>
      <w:r w:rsidRPr="001A3D2B">
        <w:rPr>
          <w:kern w:val="0"/>
          <w:szCs w:val="24"/>
        </w:rPr>
        <w:t xml:space="preserve">, </w:t>
      </w:r>
      <w:r>
        <w:rPr>
          <w:rFonts w:hint="eastAsia"/>
          <w:kern w:val="0"/>
          <w:szCs w:val="24"/>
        </w:rPr>
        <w:t>H</w:t>
      </w:r>
      <w:r w:rsidRPr="001A3D2B">
        <w:rPr>
          <w:kern w:val="0"/>
          <w:szCs w:val="24"/>
        </w:rPr>
        <w:t xml:space="preserve">. (2009), </w:t>
      </w:r>
      <w:r w:rsidRPr="00662251">
        <w:rPr>
          <w:kern w:val="0"/>
          <w:szCs w:val="24"/>
        </w:rPr>
        <w:t>Holding a post-doctoral position before becoming a faculty member: Does it bring benefits for the scholarly enterprise?</w:t>
      </w:r>
      <w:r w:rsidRPr="001A3D2B">
        <w:rPr>
          <w:kern w:val="0"/>
          <w:szCs w:val="24"/>
        </w:rPr>
        <w:t xml:space="preserve"> </w:t>
      </w:r>
      <w:r w:rsidRPr="001A3D2B">
        <w:rPr>
          <w:i/>
          <w:iCs/>
          <w:kern w:val="0"/>
          <w:szCs w:val="24"/>
        </w:rPr>
        <w:t>Higher Education</w:t>
      </w:r>
      <w:r w:rsidRPr="001A3D2B">
        <w:rPr>
          <w:kern w:val="0"/>
          <w:szCs w:val="24"/>
        </w:rPr>
        <w:t xml:space="preserve">, </w:t>
      </w:r>
      <w:r w:rsidRPr="001A3D2B">
        <w:rPr>
          <w:b/>
          <w:bCs/>
          <w:kern w:val="0"/>
          <w:szCs w:val="24"/>
        </w:rPr>
        <w:t>5</w:t>
      </w:r>
      <w:r>
        <w:rPr>
          <w:rFonts w:hint="eastAsia"/>
          <w:b/>
          <w:bCs/>
          <w:kern w:val="0"/>
          <w:szCs w:val="24"/>
        </w:rPr>
        <w:t>8</w:t>
      </w:r>
      <w:r w:rsidRPr="001A3D2B">
        <w:rPr>
          <w:kern w:val="0"/>
          <w:szCs w:val="24"/>
        </w:rPr>
        <w:t xml:space="preserve"> (</w:t>
      </w:r>
      <w:r>
        <w:rPr>
          <w:rFonts w:hint="eastAsia"/>
          <w:kern w:val="0"/>
          <w:szCs w:val="24"/>
        </w:rPr>
        <w:t>5</w:t>
      </w:r>
      <w:r w:rsidRPr="001A3D2B">
        <w:rPr>
          <w:kern w:val="0"/>
          <w:szCs w:val="24"/>
        </w:rPr>
        <w:t xml:space="preserve">), </w:t>
      </w:r>
      <w:r>
        <w:rPr>
          <w:rFonts w:hint="eastAsia"/>
          <w:kern w:val="0"/>
          <w:szCs w:val="24"/>
        </w:rPr>
        <w:t>689</w:t>
      </w:r>
      <w:r w:rsidRPr="001A3D2B">
        <w:rPr>
          <w:kern w:val="0"/>
          <w:szCs w:val="24"/>
        </w:rPr>
        <w:t>-</w:t>
      </w:r>
      <w:r>
        <w:rPr>
          <w:rFonts w:hint="eastAsia"/>
          <w:kern w:val="0"/>
          <w:szCs w:val="24"/>
        </w:rPr>
        <w:t>721</w:t>
      </w:r>
      <w:r w:rsidRPr="001A3D2B">
        <w:rPr>
          <w:kern w:val="0"/>
          <w:szCs w:val="24"/>
        </w:rPr>
        <w:t>.</w:t>
      </w:r>
    </w:p>
    <w:p w:rsidR="007E368E" w:rsidRDefault="007E368E" w:rsidP="007E368E">
      <w:pPr>
        <w:pStyle w:val="a0"/>
        <w:rPr>
          <w:kern w:val="0"/>
          <w:szCs w:val="24"/>
        </w:rPr>
      </w:pPr>
      <w:r w:rsidRPr="001A3D2B">
        <w:rPr>
          <w:kern w:val="0"/>
          <w:szCs w:val="24"/>
        </w:rPr>
        <w:t xml:space="preserve">Full Text: </w:t>
      </w:r>
      <w:hyperlink r:id="rId648" w:history="1">
        <w:r w:rsidRPr="00D513BA">
          <w:rPr>
            <w:rStyle w:val="a5"/>
            <w:kern w:val="0"/>
            <w:szCs w:val="24"/>
          </w:rPr>
          <w:t>2009\Hig Edu58, 689.pdf</w:t>
        </w:r>
      </w:hyperlink>
    </w:p>
    <w:p w:rsidR="007E368E" w:rsidRPr="00662251" w:rsidRDefault="007E368E" w:rsidP="007E368E">
      <w:pPr>
        <w:pStyle w:val="a0"/>
        <w:rPr>
          <w:kern w:val="0"/>
          <w:szCs w:val="24"/>
        </w:rPr>
      </w:pPr>
      <w:r>
        <w:rPr>
          <w:kern w:val="0"/>
          <w:szCs w:val="24"/>
        </w:rPr>
        <w:lastRenderedPageBreak/>
        <w:t>Abstract</w:t>
      </w:r>
      <w:r>
        <w:rPr>
          <w:rFonts w:hint="eastAsia"/>
          <w:kern w:val="0"/>
          <w:szCs w:val="24"/>
        </w:rPr>
        <w:t>:</w:t>
      </w:r>
      <w:r w:rsidRPr="00662251">
        <w:rPr>
          <w:kern w:val="0"/>
          <w:szCs w:val="24"/>
        </w:rPr>
        <w:t xml:space="preserve"> This article examines the effects that performing a post-doc early in the academic career have for the current scholarly practices of faculty members. Results show that performing a post-doc early in the academic career impacts positively the recent research output of academics, although not affecting the other faculty member</w:t>
      </w:r>
      <w:r w:rsidR="000352E7">
        <w:rPr>
          <w:kern w:val="0"/>
          <w:szCs w:val="24"/>
        </w:rPr>
        <w:t>’</w:t>
      </w:r>
      <w:r w:rsidRPr="00662251">
        <w:rPr>
          <w:kern w:val="0"/>
          <w:szCs w:val="24"/>
        </w:rPr>
        <w:t>s scholarly activities, namely teaching. The results also show that academics that did a post-doc engage in more regular information exchange dynamics with international peers than their colleagues that did not. This is particularly evident for the younger generations of scholars</w:t>
      </w:r>
      <w:r w:rsidR="00F81221">
        <w:rPr>
          <w:kern w:val="0"/>
          <w:szCs w:val="24"/>
        </w:rPr>
        <w:t xml:space="preserve"> and </w:t>
      </w:r>
      <w:r w:rsidRPr="00662251">
        <w:rPr>
          <w:kern w:val="0"/>
          <w:szCs w:val="24"/>
        </w:rPr>
        <w:t>for those who spent the post-doctoral period abroad. It is concluded that the post-doctoral period not only fosters a greater production of scientific outputs later in the academic career, but also leads to a greater integration into international scholarly communities. These benefits potentiate former post-docs to become key players in any scienti</w:t>
      </w:r>
      <w:r>
        <w:rPr>
          <w:kern w:val="0"/>
          <w:szCs w:val="24"/>
        </w:rPr>
        <w:t>fic or higher education system.</w:t>
      </w:r>
    </w:p>
    <w:p w:rsidR="007E368E" w:rsidRPr="001A3D2B" w:rsidRDefault="007E368E" w:rsidP="007E368E">
      <w:pPr>
        <w:pStyle w:val="a0"/>
        <w:rPr>
          <w:kern w:val="0"/>
          <w:szCs w:val="24"/>
        </w:rPr>
      </w:pPr>
      <w:r w:rsidRPr="00662251">
        <w:rPr>
          <w:kern w:val="0"/>
          <w:szCs w:val="24"/>
        </w:rPr>
        <w:t>Keywords</w:t>
      </w:r>
      <w:r>
        <w:rPr>
          <w:kern w:val="0"/>
          <w:szCs w:val="24"/>
        </w:rPr>
        <w:t xml:space="preserve">: </w:t>
      </w:r>
      <w:r w:rsidRPr="00662251">
        <w:rPr>
          <w:kern w:val="0"/>
          <w:szCs w:val="24"/>
        </w:rPr>
        <w:t>Post-Doctoral Period</w:t>
      </w:r>
      <w:r>
        <w:rPr>
          <w:kern w:val="0"/>
          <w:szCs w:val="24"/>
        </w:rPr>
        <w:t>,</w:t>
      </w:r>
      <w:r w:rsidRPr="00662251">
        <w:rPr>
          <w:kern w:val="0"/>
          <w:szCs w:val="24"/>
        </w:rPr>
        <w:t xml:space="preserve"> Scholarly Production</w:t>
      </w:r>
      <w:r>
        <w:rPr>
          <w:kern w:val="0"/>
          <w:szCs w:val="24"/>
        </w:rPr>
        <w:t>,</w:t>
      </w:r>
      <w:r w:rsidRPr="00662251">
        <w:rPr>
          <w:kern w:val="0"/>
          <w:szCs w:val="24"/>
        </w:rPr>
        <w:t xml:space="preserve"> Information Exchange</w:t>
      </w:r>
      <w:r>
        <w:rPr>
          <w:kern w:val="0"/>
          <w:szCs w:val="24"/>
        </w:rPr>
        <w:t>,</w:t>
      </w:r>
      <w:r w:rsidRPr="00662251">
        <w:rPr>
          <w:kern w:val="0"/>
          <w:szCs w:val="24"/>
        </w:rPr>
        <w:t xml:space="preserve"> Internationalization of Academic Activities</w:t>
      </w:r>
      <w:r>
        <w:rPr>
          <w:kern w:val="0"/>
          <w:szCs w:val="24"/>
        </w:rPr>
        <w:t xml:space="preserve">, </w:t>
      </w:r>
      <w:r w:rsidRPr="00662251">
        <w:rPr>
          <w:kern w:val="0"/>
          <w:szCs w:val="24"/>
        </w:rPr>
        <w:t>Locality</w:t>
      </w:r>
    </w:p>
    <w:p w:rsidR="00982590" w:rsidRDefault="00982590" w:rsidP="00982590">
      <w:pPr>
        <w:pStyle w:val="a0"/>
        <w:rPr>
          <w:kern w:val="0"/>
          <w:szCs w:val="24"/>
        </w:rPr>
      </w:pPr>
      <w:r>
        <w:rPr>
          <w:kern w:val="0"/>
          <w:szCs w:val="24"/>
        </w:rPr>
        <w:t>? East, J. (2010), Judging plagiarism: A problem of morality</w:t>
      </w:r>
      <w:r w:rsidR="00F81221">
        <w:rPr>
          <w:kern w:val="0"/>
          <w:szCs w:val="24"/>
        </w:rPr>
        <w:t xml:space="preserve"> and </w:t>
      </w:r>
      <w:r>
        <w:rPr>
          <w:kern w:val="0"/>
          <w:szCs w:val="24"/>
        </w:rPr>
        <w:t xml:space="preserve">convention. </w:t>
      </w:r>
      <w:r>
        <w:rPr>
          <w:i/>
          <w:iCs/>
          <w:kern w:val="0"/>
          <w:szCs w:val="24"/>
        </w:rPr>
        <w:t>Higher Education</w:t>
      </w:r>
      <w:r>
        <w:rPr>
          <w:kern w:val="0"/>
          <w:szCs w:val="24"/>
        </w:rPr>
        <w:t xml:space="preserve">, </w:t>
      </w:r>
      <w:r>
        <w:rPr>
          <w:b/>
          <w:bCs/>
          <w:kern w:val="0"/>
          <w:szCs w:val="24"/>
        </w:rPr>
        <w:t>59</w:t>
      </w:r>
      <w:r>
        <w:rPr>
          <w:kern w:val="0"/>
          <w:szCs w:val="24"/>
        </w:rPr>
        <w:t xml:space="preserve"> (1), 69-83.</w:t>
      </w:r>
    </w:p>
    <w:p w:rsidR="00982590" w:rsidRDefault="00982590" w:rsidP="00982590">
      <w:pPr>
        <w:pStyle w:val="a0"/>
        <w:rPr>
          <w:kern w:val="0"/>
          <w:szCs w:val="24"/>
        </w:rPr>
      </w:pPr>
      <w:r w:rsidRPr="001A3D2B">
        <w:rPr>
          <w:kern w:val="0"/>
          <w:szCs w:val="24"/>
        </w:rPr>
        <w:t xml:space="preserve">Full Text: </w:t>
      </w:r>
      <w:hyperlink r:id="rId649" w:history="1">
        <w:r w:rsidR="00750E66" w:rsidRPr="00750E66">
          <w:rPr>
            <w:rStyle w:val="a5"/>
            <w:kern w:val="0"/>
            <w:szCs w:val="24"/>
          </w:rPr>
          <w:t>2010\Hig Edu59, 69.pdf</w:t>
        </w:r>
      </w:hyperlink>
    </w:p>
    <w:p w:rsidR="00982590" w:rsidRDefault="00982590" w:rsidP="00982590">
      <w:pPr>
        <w:pStyle w:val="a0"/>
        <w:rPr>
          <w:kern w:val="0"/>
          <w:szCs w:val="24"/>
        </w:rPr>
      </w:pPr>
      <w:r>
        <w:rPr>
          <w:kern w:val="0"/>
          <w:szCs w:val="24"/>
        </w:rPr>
        <w:t>Abstract: This paper considers the problem of plagiarism as an issue of morality. Outrage about student plagiarism in universities positions it as dishonesty</w:t>
      </w:r>
      <w:r w:rsidR="00F81221">
        <w:rPr>
          <w:kern w:val="0"/>
          <w:szCs w:val="24"/>
        </w:rPr>
        <w:t xml:space="preserve"> and </w:t>
      </w:r>
      <w:r>
        <w:rPr>
          <w:kern w:val="0"/>
          <w:szCs w:val="24"/>
        </w:rPr>
        <w:t>a transgression of standards. Despite this, there has been little work analysing the implications of positioning plagiarism as a moral matter in the making of judgments about plagiarism</w:t>
      </w:r>
      <w:r w:rsidR="00F81221">
        <w:rPr>
          <w:kern w:val="0"/>
          <w:szCs w:val="24"/>
        </w:rPr>
        <w:t xml:space="preserve"> and </w:t>
      </w:r>
      <w:r>
        <w:rPr>
          <w:kern w:val="0"/>
          <w:szCs w:val="24"/>
        </w:rPr>
        <w:t>academic dishonesty. This paper sets the scene by reviewing research about the characteristics of students who cheat</w:t>
      </w:r>
      <w:r w:rsidR="00F81221">
        <w:rPr>
          <w:kern w:val="0"/>
          <w:szCs w:val="24"/>
        </w:rPr>
        <w:t xml:space="preserve"> and </w:t>
      </w:r>
      <w:r>
        <w:rPr>
          <w:kern w:val="0"/>
          <w:szCs w:val="24"/>
        </w:rPr>
        <w:t>analysing student</w:t>
      </w:r>
      <w:r w:rsidR="00F81221">
        <w:rPr>
          <w:kern w:val="0"/>
          <w:szCs w:val="24"/>
        </w:rPr>
        <w:t xml:space="preserve"> and </w:t>
      </w:r>
      <w:r>
        <w:rPr>
          <w:kern w:val="0"/>
          <w:szCs w:val="24"/>
        </w:rPr>
        <w:t>lecturer differences. It then discusses perspectives from moral behaviour, moral philosophy</w:t>
      </w:r>
      <w:r w:rsidR="00F81221">
        <w:rPr>
          <w:kern w:val="0"/>
          <w:szCs w:val="24"/>
        </w:rPr>
        <w:t xml:space="preserve"> and </w:t>
      </w:r>
      <w:r>
        <w:rPr>
          <w:kern w:val="0"/>
          <w:szCs w:val="24"/>
        </w:rPr>
        <w:t>moral reasoning. The paper concludes that emotion</w:t>
      </w:r>
      <w:r w:rsidR="00F81221">
        <w:rPr>
          <w:kern w:val="0"/>
          <w:szCs w:val="24"/>
        </w:rPr>
        <w:t xml:space="preserve"> and </w:t>
      </w:r>
      <w:r>
        <w:rPr>
          <w:kern w:val="0"/>
          <w:szCs w:val="24"/>
        </w:rPr>
        <w:t>reason are brought to moral judgments,</w:t>
      </w:r>
      <w:r w:rsidR="00F81221">
        <w:rPr>
          <w:kern w:val="0"/>
          <w:szCs w:val="24"/>
        </w:rPr>
        <w:t xml:space="preserve"> and </w:t>
      </w:r>
      <w:r>
        <w:rPr>
          <w:kern w:val="0"/>
          <w:szCs w:val="24"/>
        </w:rPr>
        <w:t>so makes a case for those who are making judgments about plagiarism to reflect on whether they are faced with a matter of morality or convention. Greater awareness of the domains of convention</w:t>
      </w:r>
      <w:r w:rsidR="00F81221">
        <w:rPr>
          <w:kern w:val="0"/>
          <w:szCs w:val="24"/>
        </w:rPr>
        <w:t xml:space="preserve"> and </w:t>
      </w:r>
      <w:r>
        <w:rPr>
          <w:kern w:val="0"/>
          <w:szCs w:val="24"/>
        </w:rPr>
        <w:t>morality, the issues of justice</w:t>
      </w:r>
      <w:r w:rsidR="00F81221">
        <w:rPr>
          <w:kern w:val="0"/>
          <w:szCs w:val="24"/>
        </w:rPr>
        <w:t xml:space="preserve"> and </w:t>
      </w:r>
      <w:r>
        <w:rPr>
          <w:kern w:val="0"/>
          <w:szCs w:val="24"/>
        </w:rPr>
        <w:t>care, the roles of emotion</w:t>
      </w:r>
      <w:r w:rsidR="00F81221">
        <w:rPr>
          <w:kern w:val="0"/>
          <w:szCs w:val="24"/>
        </w:rPr>
        <w:t xml:space="preserve"> and </w:t>
      </w:r>
      <w:r>
        <w:rPr>
          <w:kern w:val="0"/>
          <w:szCs w:val="24"/>
        </w:rPr>
        <w:t>reason</w:t>
      </w:r>
      <w:r w:rsidR="00F81221">
        <w:rPr>
          <w:kern w:val="0"/>
          <w:szCs w:val="24"/>
        </w:rPr>
        <w:t xml:space="preserve"> and </w:t>
      </w:r>
      <w:r>
        <w:rPr>
          <w:kern w:val="0"/>
          <w:szCs w:val="24"/>
        </w:rPr>
        <w:t>what is involved in making judgments, will open ways of understanding reactions to plagiarism so that better ways to deal with accusations</w:t>
      </w:r>
      <w:r w:rsidR="00F81221">
        <w:rPr>
          <w:kern w:val="0"/>
          <w:szCs w:val="24"/>
        </w:rPr>
        <w:t xml:space="preserve"> and </w:t>
      </w:r>
      <w:r>
        <w:rPr>
          <w:kern w:val="0"/>
          <w:szCs w:val="24"/>
        </w:rPr>
        <w:t>make judgments can be developed.</w:t>
      </w:r>
    </w:p>
    <w:p w:rsidR="00982590" w:rsidRDefault="00982590" w:rsidP="00982590">
      <w:pPr>
        <w:pStyle w:val="a0"/>
        <w:rPr>
          <w:kern w:val="0"/>
          <w:szCs w:val="24"/>
        </w:rPr>
      </w:pPr>
      <w:r>
        <w:rPr>
          <w:kern w:val="0"/>
          <w:szCs w:val="24"/>
        </w:rPr>
        <w:t>Keywords: Academic Dishonesty, Convention</w:t>
      </w:r>
      <w:r w:rsidR="00F81221">
        <w:rPr>
          <w:kern w:val="0"/>
          <w:szCs w:val="24"/>
        </w:rPr>
        <w:t xml:space="preserve"> and </w:t>
      </w:r>
      <w:r>
        <w:rPr>
          <w:kern w:val="0"/>
          <w:szCs w:val="24"/>
        </w:rPr>
        <w:t>Morality, Decision-Making, Judgment, Justice</w:t>
      </w:r>
      <w:r w:rsidR="00F81221">
        <w:rPr>
          <w:kern w:val="0"/>
          <w:szCs w:val="24"/>
        </w:rPr>
        <w:t xml:space="preserve"> and </w:t>
      </w:r>
      <w:r>
        <w:rPr>
          <w:kern w:val="0"/>
          <w:szCs w:val="24"/>
        </w:rPr>
        <w:t>Care, Lecturer Interests, Moral Judgments, Plagiarism, Research, Standards, Students</w:t>
      </w:r>
    </w:p>
    <w:p w:rsidR="002F5241" w:rsidRDefault="002F5241" w:rsidP="002F5241">
      <w:pPr>
        <w:pStyle w:val="a0"/>
        <w:rPr>
          <w:kern w:val="0"/>
        </w:rPr>
      </w:pPr>
      <w:r>
        <w:rPr>
          <w:rFonts w:hint="eastAsia"/>
          <w:kern w:val="0"/>
        </w:rPr>
        <w:t xml:space="preserve">? </w:t>
      </w:r>
      <w:r>
        <w:rPr>
          <w:kern w:val="0"/>
        </w:rPr>
        <w:t xml:space="preserve">Grcar, J.F. (2011), Mathematics turned inside out: The intensive faculty versus the extensive faculty. </w:t>
      </w:r>
      <w:r>
        <w:rPr>
          <w:i/>
          <w:iCs/>
          <w:kern w:val="0"/>
        </w:rPr>
        <w:t>Higher Education</w:t>
      </w:r>
      <w:r>
        <w:rPr>
          <w:kern w:val="0"/>
        </w:rPr>
        <w:t xml:space="preserve">, </w:t>
      </w:r>
      <w:r>
        <w:rPr>
          <w:b/>
          <w:bCs/>
          <w:kern w:val="0"/>
        </w:rPr>
        <w:t>61</w:t>
      </w:r>
      <w:r>
        <w:rPr>
          <w:kern w:val="0"/>
        </w:rPr>
        <w:t xml:space="preserve"> (6), 693-720.</w:t>
      </w:r>
    </w:p>
    <w:p w:rsidR="002F5241" w:rsidRDefault="002F5241" w:rsidP="002F5241">
      <w:pPr>
        <w:pStyle w:val="a0"/>
        <w:rPr>
          <w:kern w:val="0"/>
          <w:szCs w:val="24"/>
        </w:rPr>
      </w:pPr>
      <w:r w:rsidRPr="001A3D2B">
        <w:rPr>
          <w:kern w:val="0"/>
          <w:szCs w:val="24"/>
        </w:rPr>
        <w:t xml:space="preserve">Full Text: </w:t>
      </w:r>
      <w:hyperlink r:id="rId650" w:history="1">
        <w:r w:rsidR="00750E66" w:rsidRPr="00750E66">
          <w:rPr>
            <w:rStyle w:val="a5"/>
            <w:kern w:val="0"/>
            <w:szCs w:val="24"/>
          </w:rPr>
          <w:t>2011\Hig Edu61, 693.pdf</w:t>
        </w:r>
      </w:hyperlink>
    </w:p>
    <w:p w:rsidR="002F5241" w:rsidRDefault="002F5241" w:rsidP="002F5241">
      <w:pPr>
        <w:pStyle w:val="a0"/>
        <w:rPr>
          <w:kern w:val="0"/>
        </w:rPr>
      </w:pPr>
      <w:r>
        <w:rPr>
          <w:kern w:val="0"/>
        </w:rPr>
        <w:lastRenderedPageBreak/>
        <w:t xml:space="preserve">Abstract: Research universities in the United States have larger mathematics faculties outside their mathematics departments than inside. Members of this </w:t>
      </w:r>
      <w:r w:rsidR="000352E7">
        <w:rPr>
          <w:kern w:val="0"/>
        </w:rPr>
        <w:t>“</w:t>
      </w:r>
      <w:r>
        <w:rPr>
          <w:kern w:val="0"/>
        </w:rPr>
        <w:t>extensive</w:t>
      </w:r>
      <w:r w:rsidR="000352E7">
        <w:rPr>
          <w:kern w:val="0"/>
        </w:rPr>
        <w:t>”</w:t>
      </w:r>
      <w:r>
        <w:rPr>
          <w:kern w:val="0"/>
        </w:rPr>
        <w:t xml:space="preserve"> faculty conduct most mathematics research, their interests are the most heavily published areas of mathematics,</w:t>
      </w:r>
      <w:r w:rsidR="00F81221">
        <w:rPr>
          <w:kern w:val="0"/>
        </w:rPr>
        <w:t xml:space="preserve"> and </w:t>
      </w:r>
      <w:r>
        <w:rPr>
          <w:kern w:val="0"/>
        </w:rPr>
        <w:t>they teach this mathematics in upper division courses independent of mathematics departments. The existence of this de facto faculty challenges the pertinence of institutional</w:t>
      </w:r>
      <w:r w:rsidR="00F81221">
        <w:rPr>
          <w:kern w:val="0"/>
        </w:rPr>
        <w:t xml:space="preserve"> and </w:t>
      </w:r>
      <w:r>
        <w:rPr>
          <w:kern w:val="0"/>
        </w:rPr>
        <w:t>national policies for higher education in mathematics,</w:t>
      </w:r>
      <w:r w:rsidR="00F81221">
        <w:rPr>
          <w:kern w:val="0"/>
        </w:rPr>
        <w:t xml:space="preserve"> and </w:t>
      </w:r>
      <w:r>
        <w:rPr>
          <w:kern w:val="0"/>
        </w:rPr>
        <w:t>of philosophical</w:t>
      </w:r>
      <w:r w:rsidR="00F81221">
        <w:rPr>
          <w:kern w:val="0"/>
        </w:rPr>
        <w:t xml:space="preserve"> and </w:t>
      </w:r>
      <w:r>
        <w:rPr>
          <w:kern w:val="0"/>
        </w:rPr>
        <w:t>sociological studies of mathematics that are limited to mathematics departments alone.</w:t>
      </w:r>
    </w:p>
    <w:p w:rsidR="002F5241" w:rsidRDefault="002F5241" w:rsidP="002F5241">
      <w:pPr>
        <w:pStyle w:val="a0"/>
        <w:rPr>
          <w:kern w:val="0"/>
        </w:rPr>
      </w:pPr>
      <w:r>
        <w:rPr>
          <w:kern w:val="0"/>
        </w:rPr>
        <w:t>Keywords: Bibliometrics, Education, Emergence, Higher Education, Mathematics, Policies, Research, Research University, Science, Sociology of Science, Statistics</w:t>
      </w:r>
    </w:p>
    <w:p w:rsidR="004517EB" w:rsidRDefault="004517EB" w:rsidP="004517EB">
      <w:pPr>
        <w:pStyle w:val="a0"/>
        <w:rPr>
          <w:kern w:val="0"/>
        </w:rPr>
      </w:pPr>
      <w:r>
        <w:rPr>
          <w:rFonts w:hint="eastAsia"/>
          <w:kern w:val="0"/>
        </w:rPr>
        <w:t xml:space="preserve">? </w:t>
      </w:r>
      <w:r>
        <w:rPr>
          <w:kern w:val="0"/>
        </w:rPr>
        <w:t>Abramo, G., D</w:t>
      </w:r>
      <w:r w:rsidR="000352E7">
        <w:rPr>
          <w:kern w:val="0"/>
        </w:rPr>
        <w:t>’</w:t>
      </w:r>
      <w:r>
        <w:rPr>
          <w:kern w:val="0"/>
        </w:rPr>
        <w:t>Angelo, C.A.</w:t>
      </w:r>
      <w:r w:rsidR="00F81221">
        <w:rPr>
          <w:kern w:val="0"/>
        </w:rPr>
        <w:t xml:space="preserve"> and </w:t>
      </w:r>
      <w:r>
        <w:rPr>
          <w:kern w:val="0"/>
        </w:rPr>
        <w:t xml:space="preserve">Di Costa, F. (2011), University-industry research collaboration: A model to assess university capability. </w:t>
      </w:r>
      <w:r>
        <w:rPr>
          <w:i/>
          <w:iCs/>
          <w:kern w:val="0"/>
        </w:rPr>
        <w:t>Higher Education</w:t>
      </w:r>
      <w:r>
        <w:rPr>
          <w:kern w:val="0"/>
        </w:rPr>
        <w:t xml:space="preserve">, </w:t>
      </w:r>
      <w:r>
        <w:rPr>
          <w:b/>
          <w:bCs/>
          <w:kern w:val="0"/>
        </w:rPr>
        <w:t>62</w:t>
      </w:r>
      <w:r>
        <w:rPr>
          <w:kern w:val="0"/>
        </w:rPr>
        <w:t xml:space="preserve"> (2), 163-181.</w:t>
      </w:r>
    </w:p>
    <w:p w:rsidR="004517EB" w:rsidRDefault="004517EB" w:rsidP="004517EB">
      <w:pPr>
        <w:pStyle w:val="a0"/>
        <w:rPr>
          <w:kern w:val="0"/>
          <w:szCs w:val="24"/>
        </w:rPr>
      </w:pPr>
      <w:r w:rsidRPr="001A3D2B">
        <w:rPr>
          <w:kern w:val="0"/>
          <w:szCs w:val="24"/>
        </w:rPr>
        <w:t xml:space="preserve">Full Text: </w:t>
      </w:r>
      <w:hyperlink r:id="rId651" w:history="1">
        <w:r w:rsidRPr="00B50CF6">
          <w:rPr>
            <w:rStyle w:val="a5"/>
            <w:kern w:val="0"/>
            <w:szCs w:val="24"/>
          </w:rPr>
          <w:t>2011\Hig Edu62, 163.pdf</w:t>
        </w:r>
      </w:hyperlink>
    </w:p>
    <w:p w:rsidR="004517EB" w:rsidRDefault="004517EB" w:rsidP="004517EB">
      <w:pPr>
        <w:pStyle w:val="a0"/>
        <w:rPr>
          <w:kern w:val="0"/>
        </w:rPr>
      </w:pPr>
      <w:r>
        <w:rPr>
          <w:kern w:val="0"/>
        </w:rPr>
        <w:t>Abstract: Scholars</w:t>
      </w:r>
      <w:r w:rsidR="00F81221">
        <w:rPr>
          <w:kern w:val="0"/>
        </w:rPr>
        <w:t xml:space="preserve"> and </w:t>
      </w:r>
      <w:r>
        <w:rPr>
          <w:kern w:val="0"/>
        </w:rPr>
        <w:t>policy makers recognize that collaboration between industry</w:t>
      </w:r>
      <w:r w:rsidR="00F81221">
        <w:rPr>
          <w:kern w:val="0"/>
        </w:rPr>
        <w:t xml:space="preserve"> and </w:t>
      </w:r>
      <w:r>
        <w:rPr>
          <w:kern w:val="0"/>
        </w:rPr>
        <w:t>the public research institutions is a necessity for innovation</w:t>
      </w:r>
      <w:r w:rsidR="00F81221">
        <w:rPr>
          <w:kern w:val="0"/>
        </w:rPr>
        <w:t xml:space="preserve"> and </w:t>
      </w:r>
      <w:r>
        <w:rPr>
          <w:kern w:val="0"/>
        </w:rPr>
        <w:t>national economic development. This work presents an econometric model which expresses the university capability for collaboration with industry as a function of size, location</w:t>
      </w:r>
      <w:r w:rsidR="00F81221">
        <w:rPr>
          <w:kern w:val="0"/>
        </w:rPr>
        <w:t xml:space="preserve"> and </w:t>
      </w:r>
      <w:r>
        <w:rPr>
          <w:kern w:val="0"/>
        </w:rPr>
        <w:t>research quality. The field of observation is made of the census of 2001-2003 scientific articles in the hard sciences, co-authored by universities</w:t>
      </w:r>
      <w:r w:rsidR="00F81221">
        <w:rPr>
          <w:kern w:val="0"/>
        </w:rPr>
        <w:t xml:space="preserve"> and </w:t>
      </w:r>
      <w:r>
        <w:rPr>
          <w:kern w:val="0"/>
        </w:rPr>
        <w:t>private enterprises located in Italy. The analysis shows that research quality of universities has an impact higher than geographic distance on the capability for collaborating with industry. The model proposed</w:t>
      </w:r>
      <w:r w:rsidR="00F81221">
        <w:rPr>
          <w:kern w:val="0"/>
        </w:rPr>
        <w:t xml:space="preserve"> and </w:t>
      </w:r>
      <w:r>
        <w:rPr>
          <w:kern w:val="0"/>
        </w:rPr>
        <w:t xml:space="preserve">the measures that descend from it are suited for use at various levels of administration, to assist in realizing the </w:t>
      </w:r>
      <w:r w:rsidR="000352E7">
        <w:rPr>
          <w:kern w:val="0"/>
        </w:rPr>
        <w:t>“</w:t>
      </w:r>
      <w:r>
        <w:rPr>
          <w:kern w:val="0"/>
        </w:rPr>
        <w:t>third role</w:t>
      </w:r>
      <w:r w:rsidR="000352E7">
        <w:rPr>
          <w:kern w:val="0"/>
        </w:rPr>
        <w:t>”</w:t>
      </w:r>
      <w:r>
        <w:rPr>
          <w:kern w:val="0"/>
        </w:rPr>
        <w:t xml:space="preserve"> of universities: the contribution to socio-economic development through public to private technology transfer.</w:t>
      </w:r>
    </w:p>
    <w:p w:rsidR="004517EB" w:rsidRDefault="004517EB" w:rsidP="004517EB">
      <w:pPr>
        <w:pStyle w:val="a0"/>
        <w:rPr>
          <w:kern w:val="0"/>
        </w:rPr>
      </w:pPr>
      <w:r>
        <w:rPr>
          <w:kern w:val="0"/>
        </w:rPr>
        <w:t>Keywords: Analysis, Bibliometrics, Co-Authorship, Co-Authorships, Collaboration, Contribution, Development, Geographical Proximity, Impact, Industry, Innovation, Italy, Knowledge, Model, Observation, Policy, Projects, Proximity, Public Research, Research, Research Collaboration, Research Institutions, Sciences, Spillovers, Star Scientist, University, University-Industry Collaboration</w:t>
      </w:r>
    </w:p>
    <w:p w:rsidR="004517EB" w:rsidRDefault="004517EB" w:rsidP="004517EB">
      <w:pPr>
        <w:pStyle w:val="a0"/>
        <w:rPr>
          <w:kern w:val="0"/>
        </w:rPr>
      </w:pPr>
      <w:r>
        <w:rPr>
          <w:rFonts w:hint="eastAsia"/>
          <w:kern w:val="0"/>
        </w:rPr>
        <w:t xml:space="preserve">? </w:t>
      </w:r>
      <w:r>
        <w:rPr>
          <w:kern w:val="0"/>
        </w:rPr>
        <w:t>Gu, J.B., Lin, Y., Vogel, D.</w:t>
      </w:r>
      <w:r w:rsidR="00F81221">
        <w:rPr>
          <w:kern w:val="0"/>
        </w:rPr>
        <w:t xml:space="preserve"> and </w:t>
      </w:r>
      <w:r>
        <w:rPr>
          <w:kern w:val="0"/>
        </w:rPr>
        <w:t xml:space="preserve">Tian, W. (2011), What are the major impact factors on research performance of young doctorate holders in science in China: A USTC survey. </w:t>
      </w:r>
      <w:r>
        <w:rPr>
          <w:i/>
          <w:iCs/>
          <w:kern w:val="0"/>
        </w:rPr>
        <w:t>Higher Education</w:t>
      </w:r>
      <w:r>
        <w:rPr>
          <w:kern w:val="0"/>
        </w:rPr>
        <w:t xml:space="preserve">, </w:t>
      </w:r>
      <w:r>
        <w:rPr>
          <w:b/>
          <w:bCs/>
          <w:kern w:val="0"/>
        </w:rPr>
        <w:t>62</w:t>
      </w:r>
      <w:r>
        <w:rPr>
          <w:kern w:val="0"/>
        </w:rPr>
        <w:t xml:space="preserve"> (4), 483-502.</w:t>
      </w:r>
    </w:p>
    <w:p w:rsidR="004517EB" w:rsidRDefault="004517EB" w:rsidP="004517EB">
      <w:pPr>
        <w:pStyle w:val="a0"/>
        <w:rPr>
          <w:kern w:val="0"/>
          <w:szCs w:val="24"/>
        </w:rPr>
      </w:pPr>
      <w:r w:rsidRPr="001A3D2B">
        <w:rPr>
          <w:kern w:val="0"/>
          <w:szCs w:val="24"/>
        </w:rPr>
        <w:t xml:space="preserve">Full Text: </w:t>
      </w:r>
      <w:hyperlink r:id="rId652" w:history="1">
        <w:r w:rsidRPr="00B50CF6">
          <w:rPr>
            <w:rStyle w:val="a5"/>
            <w:kern w:val="0"/>
            <w:szCs w:val="24"/>
          </w:rPr>
          <w:t>2011\Hig Edu62, 483.pdf</w:t>
        </w:r>
      </w:hyperlink>
    </w:p>
    <w:p w:rsidR="004517EB" w:rsidRDefault="004517EB" w:rsidP="004517EB">
      <w:pPr>
        <w:pStyle w:val="a0"/>
        <w:rPr>
          <w:kern w:val="0"/>
        </w:rPr>
      </w:pPr>
      <w:r>
        <w:rPr>
          <w:kern w:val="0"/>
        </w:rPr>
        <w:t>Abstract: Doctoral graduate research performance (DRP) is recognized as one of the most critical indices for evaluation of the success of doctoral education. Doctoral graduates with high research performance directly reflect a higher ability in academic research</w:t>
      </w:r>
      <w:r w:rsidR="00F81221">
        <w:rPr>
          <w:kern w:val="0"/>
        </w:rPr>
        <w:t xml:space="preserve"> and </w:t>
      </w:r>
      <w:r>
        <w:rPr>
          <w:kern w:val="0"/>
        </w:rPr>
        <w:t xml:space="preserve">academic achievement. Consequently, identifying which factors </w:t>
      </w:r>
      <w:r>
        <w:rPr>
          <w:kern w:val="0"/>
        </w:rPr>
        <w:lastRenderedPageBreak/>
        <w:t>influence DRP is potentially of great value. This topic is also challenging because of difficulties in identifying the impact factors on research performance</w:t>
      </w:r>
      <w:r w:rsidR="00F81221">
        <w:rPr>
          <w:kern w:val="0"/>
        </w:rPr>
        <w:t xml:space="preserve"> and </w:t>
      </w:r>
      <w:r>
        <w:rPr>
          <w:kern w:val="0"/>
        </w:rPr>
        <w:t>the feasibility of the relative data collection. This paper first examines the relationships between the indicators</w:t>
      </w:r>
      <w:r w:rsidR="00F81221">
        <w:rPr>
          <w:kern w:val="0"/>
        </w:rPr>
        <w:t xml:space="preserve"> and </w:t>
      </w:r>
      <w:r>
        <w:rPr>
          <w:kern w:val="0"/>
        </w:rPr>
        <w:t>DRP. After a review of previous literature, the focus is on the doctoral graduates</w:t>
      </w:r>
      <w:r w:rsidR="000352E7">
        <w:rPr>
          <w:kern w:val="0"/>
        </w:rPr>
        <w:t>’</w:t>
      </w:r>
      <w:r>
        <w:rPr>
          <w:kern w:val="0"/>
        </w:rPr>
        <w:t xml:space="preserve"> individual factors, advisor factors</w:t>
      </w:r>
      <w:r w:rsidR="00F81221">
        <w:rPr>
          <w:kern w:val="0"/>
        </w:rPr>
        <w:t xml:space="preserve"> and </w:t>
      </w:r>
      <w:r>
        <w:rPr>
          <w:kern w:val="0"/>
        </w:rPr>
        <w:t>learning performance. Data is collected from graduated doctors from the Science Schools of University of Science</w:t>
      </w:r>
      <w:r w:rsidR="00F81221">
        <w:rPr>
          <w:kern w:val="0"/>
        </w:rPr>
        <w:t xml:space="preserve"> and </w:t>
      </w:r>
      <w:r>
        <w:rPr>
          <w:kern w:val="0"/>
        </w:rPr>
        <w:t>Technology of China (USTC). Contrary to expectations, our findings indicate that, based on the Chinese context, learning performance does not appear to be strongly associated with research performance. Individual factors (status of academic origin) do have significant effect on DRP. The advisor factors (including academic status, academic experience</w:t>
      </w:r>
      <w:r w:rsidR="00F81221">
        <w:rPr>
          <w:kern w:val="0"/>
        </w:rPr>
        <w:t xml:space="preserve"> and </w:t>
      </w:r>
      <w:r>
        <w:rPr>
          <w:kern w:val="0"/>
        </w:rPr>
        <w:t>allocation of energy) show a relatively strong association with DRP, in terms of both the number of publications</w:t>
      </w:r>
      <w:r w:rsidR="00F81221">
        <w:rPr>
          <w:kern w:val="0"/>
        </w:rPr>
        <w:t xml:space="preserve"> and </w:t>
      </w:r>
      <w:r>
        <w:rPr>
          <w:kern w:val="0"/>
        </w:rPr>
        <w:t>the impact factor of Science Citation Index (SCI) cited journals.</w:t>
      </w:r>
    </w:p>
    <w:p w:rsidR="004517EB" w:rsidRDefault="004517EB" w:rsidP="004517EB">
      <w:pPr>
        <w:pStyle w:val="a0"/>
        <w:rPr>
          <w:kern w:val="0"/>
        </w:rPr>
      </w:pPr>
      <w:r>
        <w:rPr>
          <w:kern w:val="0"/>
        </w:rPr>
        <w:t>Keywords: Academic Scientists, Achievement, Advisor, China, Citation, Data Collection, Departments, Doctoral Graduate, Education, Energy, Evaluation, Feasibility, Higher-Education, Impact, Impact Factor, Impact Factors, Individual Factor, Journals, Learning, Learning Performance, Literature, Origin, Publication Productivity, Publications, Quality, Research, Research Performance, Research Productivity, Review, SCI, Science, Science Citation Index, Success, Survey, University</w:t>
      </w:r>
    </w:p>
    <w:p w:rsidR="00B95188" w:rsidRPr="00A428C3" w:rsidRDefault="0094335E" w:rsidP="0094335E">
      <w:pPr>
        <w:pStyle w:val="1"/>
      </w:pPr>
      <w:r w:rsidRPr="00217FB1">
        <w:br w:type="page"/>
      </w:r>
      <w:bookmarkStart w:id="590" w:name="_Toc186647771"/>
      <w:bookmarkStart w:id="591" w:name="_Toc317161021"/>
      <w:r w:rsidR="00B95188" w:rsidRPr="00A428C3">
        <w:lastRenderedPageBreak/>
        <w:t>Title: Higher Education in Europe</w:t>
      </w:r>
      <w:bookmarkEnd w:id="590"/>
      <w:bookmarkEnd w:id="591"/>
    </w:p>
    <w:p w:rsidR="00B95188" w:rsidRPr="00A428C3" w:rsidRDefault="00B95188" w:rsidP="00B72EF9">
      <w:pPr>
        <w:pStyle w:val="12"/>
      </w:pPr>
      <w:r w:rsidRPr="00A428C3">
        <w:t xml:space="preserve">Full Journal Title: </w:t>
      </w:r>
      <w:hyperlink r:id="rId653" w:history="1">
        <w:r w:rsidRPr="00A428C3">
          <w:rPr>
            <w:rStyle w:val="a5"/>
          </w:rPr>
          <w:t>Higher Education in Europe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Brouns, M. (2000), The gendered nature of assessment procedures in scientific research funding: the dutch case. </w:t>
      </w:r>
      <w:r w:rsidRPr="00A428C3">
        <w:rPr>
          <w:i/>
          <w:iCs/>
        </w:rPr>
        <w:t xml:space="preserve">Higher Education in </w:t>
      </w:r>
      <w:smartTag w:uri="urn:schemas-microsoft-com:office:smarttags" w:element="place">
        <w:r w:rsidRPr="00A428C3">
          <w:rPr>
            <w:i/>
            <w:iCs/>
          </w:rPr>
          <w:t>Europe</w:t>
        </w:r>
      </w:smartTag>
      <w:r w:rsidRPr="00A428C3">
        <w:t xml:space="preserve">, </w:t>
      </w:r>
      <w:r w:rsidRPr="00A428C3">
        <w:rPr>
          <w:b/>
        </w:rPr>
        <w:t>25</w:t>
      </w:r>
      <w:r w:rsidRPr="00A428C3">
        <w:t xml:space="preserve"> (2), 193-199.</w:t>
      </w:r>
    </w:p>
    <w:p w:rsidR="00B95188" w:rsidRPr="00A428C3" w:rsidRDefault="00B95188" w:rsidP="00B95188">
      <w:pPr>
        <w:pStyle w:val="a0"/>
      </w:pPr>
      <w:r w:rsidRPr="00A428C3">
        <w:t xml:space="preserve">Full Text: </w:t>
      </w:r>
      <w:hyperlink r:id="rId654" w:history="1">
        <w:r w:rsidRPr="00A428C3">
          <w:rPr>
            <w:rStyle w:val="a5"/>
          </w:rPr>
          <w:t>2000\Hig Edu Eur25, 193.pdf</w:t>
        </w:r>
      </w:hyperlink>
    </w:p>
    <w:p w:rsidR="00B95188" w:rsidRPr="00A428C3" w:rsidRDefault="00B95188" w:rsidP="00B95188">
      <w:pPr>
        <w:pStyle w:val="a0"/>
      </w:pPr>
      <w:r w:rsidRPr="00A428C3">
        <w:t>Abstract: This article discusses the results of a study on gender bias in assessment procedures in the two major institutions for scientific grants in The Netherlands: the Dutch Organization for Scientific Research (NOW)</w:t>
      </w:r>
      <w:r w:rsidR="00F81221">
        <w:t xml:space="preserve"> and </w:t>
      </w:r>
      <w:r w:rsidRPr="00A428C3">
        <w:t xml:space="preserve">the </w:t>
      </w:r>
      <w:smartTag w:uri="urn:schemas-microsoft-com:office:smarttags" w:element="place">
        <w:smartTag w:uri="urn:schemas-microsoft-com:office:smarttags" w:element="PlaceName">
          <w:r w:rsidRPr="00A428C3">
            <w:t>Royal</w:t>
          </w:r>
        </w:smartTag>
        <w:r w:rsidRPr="00A428C3">
          <w:t xml:space="preserve"> </w:t>
        </w:r>
        <w:smartTag w:uri="urn:schemas-microsoft-com:office:smarttags" w:element="PlaceName">
          <w:r w:rsidRPr="00A428C3">
            <w:t>Dutch</w:t>
          </w:r>
        </w:smartTag>
        <w:r w:rsidRPr="00A428C3">
          <w:t xml:space="preserve"> </w:t>
        </w:r>
        <w:smartTag w:uri="urn:schemas-microsoft-com:office:smarttags" w:element="PlaceType">
          <w:r w:rsidRPr="00A428C3">
            <w:t>Academy</w:t>
          </w:r>
        </w:smartTag>
      </w:smartTag>
      <w:r w:rsidRPr="00A428C3">
        <w:t xml:space="preserve"> for the Sciences (KNAW). The study concentrated on a qualitative sample of one of the prestigious grants. A total of 128 files were analyzed on the basis of a correlation of characteristics of the applicant (sex, age,</w:t>
      </w:r>
      <w:r w:rsidR="00F81221">
        <w:t xml:space="preserve"> and </w:t>
      </w:r>
      <w:r w:rsidRPr="00A428C3">
        <w:t>scientific productivity), assessments by the external advisors (peer review),</w:t>
      </w:r>
      <w:r w:rsidR="00F81221">
        <w:t xml:space="preserve"> and </w:t>
      </w:r>
      <w:r w:rsidRPr="00A428C3">
        <w:t>the decision of NOW. The analysis indicated that women applicants were evaluated differently from male applicants. However, women were not discriminated against in all disciplines. On the contrary, in some disciplines they received a bonus. One of the major conclusions is that gender matters, but in different ways within the different disciplines.</w:t>
      </w:r>
    </w:p>
    <w:p w:rsidR="00B95188" w:rsidRPr="00A428C3" w:rsidRDefault="00B95188" w:rsidP="00B95188">
      <w:pPr>
        <w:pStyle w:val="a0"/>
      </w:pPr>
      <w:r w:rsidRPr="00A428C3">
        <w:t xml:space="preserve">? Federkeil, G. (2002), Some aspects of ranking methodology: The CHE-ranking of German universities. </w:t>
      </w:r>
      <w:r w:rsidRPr="00A428C3">
        <w:rPr>
          <w:i/>
          <w:iCs/>
        </w:rPr>
        <w:t xml:space="preserve">Higher Education in </w:t>
      </w:r>
      <w:smartTag w:uri="urn:schemas-microsoft-com:office:smarttags" w:element="place">
        <w:r w:rsidRPr="00A428C3">
          <w:rPr>
            <w:i/>
            <w:iCs/>
          </w:rPr>
          <w:t>Europe</w:t>
        </w:r>
      </w:smartTag>
      <w:r w:rsidRPr="00A428C3">
        <w:t xml:space="preserve">, </w:t>
      </w:r>
      <w:r w:rsidRPr="00A428C3">
        <w:rPr>
          <w:b/>
        </w:rPr>
        <w:t>27</w:t>
      </w:r>
      <w:r w:rsidRPr="00A428C3">
        <w:t xml:space="preserve"> (4), 389-397.</w:t>
      </w:r>
    </w:p>
    <w:p w:rsidR="00B95188" w:rsidRPr="00A428C3" w:rsidRDefault="00B95188" w:rsidP="00B95188">
      <w:pPr>
        <w:pStyle w:val="a0"/>
      </w:pPr>
      <w:r w:rsidRPr="00A428C3">
        <w:t xml:space="preserve">Full Text: </w:t>
      </w:r>
      <w:hyperlink r:id="rId655" w:history="1">
        <w:r w:rsidRPr="00A428C3">
          <w:rPr>
            <w:rStyle w:val="a5"/>
          </w:rPr>
          <w:t>2002\Hig Edu Eur27, 389.pdf</w:t>
        </w:r>
      </w:hyperlink>
    </w:p>
    <w:p w:rsidR="00B95188" w:rsidRPr="00A428C3" w:rsidRDefault="00B95188" w:rsidP="00B95188">
      <w:pPr>
        <w:pStyle w:val="a0"/>
      </w:pPr>
      <w:r w:rsidRPr="00A428C3">
        <w:t>Abstract: Rankings must follow certain methodological standards in order to fulfill their function as a means of promoting transparency with regard to higher education. The approach of the CHE-ranking of German universities is presented</w:t>
      </w:r>
      <w:r w:rsidR="00F81221">
        <w:t xml:space="preserve"> and </w:t>
      </w:r>
      <w:r w:rsidRPr="00A428C3">
        <w:t>discussed.</w:t>
      </w:r>
    </w:p>
    <w:p w:rsidR="00B95188" w:rsidRPr="00A428C3" w:rsidRDefault="00B95188" w:rsidP="00B95188">
      <w:pPr>
        <w:pStyle w:val="1"/>
      </w:pPr>
      <w:r w:rsidRPr="00A428C3">
        <w:br w:type="page"/>
      </w:r>
      <w:bookmarkStart w:id="592" w:name="_Toc186647772"/>
      <w:bookmarkStart w:id="593" w:name="_Toc317161022"/>
      <w:r w:rsidRPr="00A428C3">
        <w:lastRenderedPageBreak/>
        <w:t>Title: Higher Education Policy</w:t>
      </w:r>
      <w:bookmarkEnd w:id="592"/>
      <w:bookmarkEnd w:id="593"/>
    </w:p>
    <w:p w:rsidR="00B95188" w:rsidRPr="00A428C3" w:rsidRDefault="00B95188" w:rsidP="00B72EF9">
      <w:pPr>
        <w:pStyle w:val="12"/>
      </w:pPr>
      <w:r w:rsidRPr="00A428C3">
        <w:t xml:space="preserve">Full Journal Title: </w:t>
      </w:r>
      <w:hyperlink r:id="rId656" w:history="1">
        <w:r w:rsidRPr="00A428C3">
          <w:rPr>
            <w:rStyle w:val="a5"/>
          </w:rPr>
          <w:t>Higher Education Policy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Johnson, S.B.</w:t>
      </w:r>
      <w:r w:rsidR="00F81221">
        <w:t xml:space="preserve"> and </w:t>
      </w:r>
      <w:r w:rsidRPr="00A428C3">
        <w:t>Osborne, R.D. (1997), Citation analysis</w:t>
      </w:r>
      <w:r w:rsidR="00F81221">
        <w:t xml:space="preserve"> and </w:t>
      </w:r>
      <w:r w:rsidRPr="00A428C3">
        <w:t xml:space="preserve">Northern Ireland: A quality measure? </w:t>
      </w:r>
      <w:r w:rsidRPr="00A428C3">
        <w:rPr>
          <w:i/>
          <w:iCs/>
        </w:rPr>
        <w:t>Higher Education Policy</w:t>
      </w:r>
      <w:r w:rsidRPr="00A428C3">
        <w:t xml:space="preserve">, </w:t>
      </w:r>
      <w:r w:rsidRPr="00A428C3">
        <w:rPr>
          <w:b/>
        </w:rPr>
        <w:t>10</w:t>
      </w:r>
      <w:r w:rsidRPr="00A428C3">
        <w:t xml:space="preserve"> (3-4), 297-313.</w:t>
      </w:r>
    </w:p>
    <w:p w:rsidR="00B95188" w:rsidRPr="00A428C3" w:rsidRDefault="00B95188" w:rsidP="00B95188">
      <w:pPr>
        <w:pStyle w:val="a0"/>
      </w:pPr>
      <w:r w:rsidRPr="00A428C3">
        <w:t xml:space="preserve">Full Text: </w:t>
      </w:r>
      <w:hyperlink r:id="rId657" w:history="1">
        <w:r w:rsidRPr="00A428C3">
          <w:rPr>
            <w:rStyle w:val="a5"/>
          </w:rPr>
          <w:t>H\Hig Edu Pol10, 297.pdf</w:t>
        </w:r>
      </w:hyperlink>
    </w:p>
    <w:p w:rsidR="00B95188" w:rsidRPr="00A428C3" w:rsidRDefault="00B95188" w:rsidP="00B95188">
      <w:pPr>
        <w:pStyle w:val="a0"/>
      </w:pPr>
      <w:r w:rsidRPr="00A428C3">
        <w:t xml:space="preserve">Abstract: Research evaluation is used to identify </w:t>
      </w:r>
      <w:r w:rsidR="000352E7">
        <w:t>“</w:t>
      </w:r>
      <w:r w:rsidRPr="00A428C3">
        <w:t>success</w:t>
      </w:r>
      <w:r w:rsidR="000352E7">
        <w:t>”</w:t>
      </w:r>
      <w:r w:rsidR="00F81221">
        <w:t xml:space="preserve"> and </w:t>
      </w:r>
      <w:r w:rsidRPr="00A428C3">
        <w:t xml:space="preserve">relate this to funding. Citation analysis is one of many performance indicators but has been largely set aside in the </w:t>
      </w:r>
      <w:smartTag w:uri="urn:schemas-microsoft-com:office:smarttags" w:element="place">
        <w:smartTag w:uri="urn:schemas-microsoft-com:office:smarttags" w:element="country-region">
          <w:r w:rsidRPr="00A428C3">
            <w:t>U.K.</w:t>
          </w:r>
        </w:smartTag>
      </w:smartTag>
      <w:r w:rsidRPr="00A428C3">
        <w:t xml:space="preserve"> This paper describes the use of bibliometric data</w:t>
      </w:r>
      <w:r w:rsidR="00F81221">
        <w:t xml:space="preserve"> and </w:t>
      </w:r>
      <w:r w:rsidRPr="00A428C3">
        <w:t xml:space="preserve">examines the </w:t>
      </w:r>
      <w:r w:rsidR="000352E7">
        <w:t>“</w:t>
      </w:r>
      <w:r w:rsidRPr="00A428C3">
        <w:t>parochialism</w:t>
      </w:r>
      <w:r w:rsidR="000352E7">
        <w:t>”</w:t>
      </w:r>
      <w:r w:rsidRPr="00A428C3">
        <w:t xml:space="preserve"> of Northern Irish research. Papers produced in </w:t>
      </w:r>
      <w:smartTag w:uri="urn:schemas-microsoft-com:office:smarttags" w:element="place">
        <w:smartTag w:uri="urn:schemas-microsoft-com:office:smarttags" w:element="country-region">
          <w:r w:rsidRPr="00A428C3">
            <w:t>Northern Ireland</w:t>
          </w:r>
        </w:smartTag>
      </w:smartTag>
      <w:r w:rsidRPr="00A428C3">
        <w:t xml:space="preserve"> between the years 1981 to 1994</w:t>
      </w:r>
      <w:r w:rsidR="00F81221">
        <w:t xml:space="preserve"> and </w:t>
      </w:r>
      <w:r w:rsidRPr="00A428C3">
        <w:t>listed with the ISI are used to exemplify the issues. The analysis indicates that some fields are underrepresented in the ISI database. Small research systems can also be significantly influenced by one or two individuals. Publication in a highly visible, Anglo-American, internationally refereed journal will enhance the citation rate. Northern Irish research has a relative lack of international impact, seemingly a function of topics</w:t>
      </w:r>
      <w:r w:rsidR="00F81221">
        <w:t xml:space="preserve"> and </w:t>
      </w:r>
      <w:r w:rsidRPr="00A428C3">
        <w:t xml:space="preserve">the journals used. While there is an increasing amount of joint authorship, particularly with the rest of the </w:t>
      </w:r>
      <w:smartTag w:uri="urn:schemas-microsoft-com:office:smarttags" w:element="country-region">
        <w:r w:rsidRPr="00A428C3">
          <w:t>U.K.</w:t>
        </w:r>
      </w:smartTag>
      <w:r w:rsidRPr="00A428C3">
        <w:t xml:space="preserve">, relatively little collaboration has taken place with colleagues in the rest of </w:t>
      </w:r>
      <w:smartTag w:uri="urn:schemas-microsoft-com:office:smarttags" w:element="place">
        <w:r w:rsidRPr="00A428C3">
          <w:t>Europe</w:t>
        </w:r>
      </w:smartTag>
      <w:r w:rsidRPr="00A428C3">
        <w:t>. Citation analysis is an important initial indicator of research impact, useful to establish questions</w:t>
      </w:r>
      <w:r w:rsidR="00F81221">
        <w:t xml:space="preserve"> and </w:t>
      </w:r>
      <w:r w:rsidRPr="00A428C3">
        <w:t>narrow an overall field of inquiry.</w:t>
      </w:r>
    </w:p>
    <w:p w:rsidR="00B95188" w:rsidRPr="00A428C3" w:rsidRDefault="00B95188" w:rsidP="00B95188">
      <w:pPr>
        <w:pStyle w:val="1"/>
      </w:pPr>
      <w:r w:rsidRPr="00A428C3">
        <w:br w:type="page"/>
      </w:r>
      <w:bookmarkStart w:id="594" w:name="_Toc186647773"/>
      <w:bookmarkStart w:id="595" w:name="_Toc317161023"/>
      <w:r w:rsidRPr="00A428C3">
        <w:lastRenderedPageBreak/>
        <w:t>Title: Higher Education Research</w:t>
      </w:r>
      <w:r w:rsidR="00F81221">
        <w:t xml:space="preserve"> and </w:t>
      </w:r>
      <w:r w:rsidRPr="00A428C3">
        <w:t>Development</w:t>
      </w:r>
      <w:bookmarkEnd w:id="594"/>
      <w:bookmarkEnd w:id="595"/>
    </w:p>
    <w:p w:rsidR="00B95188" w:rsidRPr="00A428C3" w:rsidRDefault="00B95188" w:rsidP="00B72EF9">
      <w:pPr>
        <w:pStyle w:val="12"/>
      </w:pPr>
      <w:r w:rsidRPr="00A428C3">
        <w:t xml:space="preserve">Full Journal Title: </w:t>
      </w:r>
      <w:hyperlink r:id="rId658" w:history="1">
        <w:r w:rsidRPr="00A428C3">
          <w:rPr>
            <w:rStyle w:val="a5"/>
          </w:rPr>
          <w:t>Higher Education Research</w:t>
        </w:r>
        <w:r w:rsidR="00F81221">
          <w:rPr>
            <w:rStyle w:val="a5"/>
          </w:rPr>
          <w:t xml:space="preserve"> and </w:t>
        </w:r>
        <w:r w:rsidRPr="00A428C3">
          <w:rPr>
            <w:rStyle w:val="a5"/>
          </w:rPr>
          <w:t>Development</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Morrison, P.S., Dobbie, G.</w:t>
      </w:r>
      <w:r w:rsidR="00F81221">
        <w:t xml:space="preserve"> and </w:t>
      </w:r>
      <w:r w:rsidRPr="00A428C3">
        <w:t xml:space="preserve">McDonald, F.J. (2003), Research collaboration among university scientists. </w:t>
      </w:r>
      <w:r w:rsidRPr="00A428C3">
        <w:rPr>
          <w:i/>
          <w:iCs/>
        </w:rPr>
        <w:t>Higher Education Research</w:t>
      </w:r>
      <w:r w:rsidR="00F81221">
        <w:rPr>
          <w:i/>
          <w:iCs/>
        </w:rPr>
        <w:t xml:space="preserve"> and </w:t>
      </w:r>
      <w:r w:rsidRPr="00A428C3">
        <w:rPr>
          <w:i/>
          <w:iCs/>
        </w:rPr>
        <w:t>Development</w:t>
      </w:r>
      <w:r w:rsidRPr="00A428C3">
        <w:t xml:space="preserve">, </w:t>
      </w:r>
      <w:r w:rsidRPr="00A428C3">
        <w:rPr>
          <w:b/>
        </w:rPr>
        <w:t>22</w:t>
      </w:r>
      <w:r w:rsidRPr="00A428C3">
        <w:t xml:space="preserve"> (3), 275-296.</w:t>
      </w:r>
    </w:p>
    <w:p w:rsidR="00B95188" w:rsidRPr="00A428C3" w:rsidRDefault="00B95188" w:rsidP="00B95188">
      <w:pPr>
        <w:pStyle w:val="a0"/>
      </w:pPr>
      <w:r w:rsidRPr="00A428C3">
        <w:t xml:space="preserve">Full Text: </w:t>
      </w:r>
      <w:hyperlink r:id="rId659" w:history="1">
        <w:r w:rsidRPr="00A428C3">
          <w:t>2003\Hig Edu Res Dev22, 27.pdf</w:t>
        </w:r>
      </w:hyperlink>
    </w:p>
    <w:p w:rsidR="00B95188" w:rsidRPr="00A428C3" w:rsidRDefault="00B95188" w:rsidP="00B95188">
      <w:pPr>
        <w:pStyle w:val="a0"/>
      </w:pPr>
      <w:r w:rsidRPr="00A428C3">
        <w:t xml:space="preserve">Abstract: Despite the growing importance of collaboration in research there have been very few investigations of the practice of research collaboration itself. The study we report investigated this practice by analysing 444 collaborative projects undertaken by staff in the Science Faculty of a </w:t>
      </w:r>
      <w:smartTag w:uri="urn:schemas-microsoft-com:office:smarttags" w:element="place">
        <w:smartTag w:uri="urn:schemas-microsoft-com:office:smarttags" w:element="country-region">
          <w:r w:rsidRPr="00A428C3">
            <w:t>New Zealand</w:t>
          </w:r>
        </w:smartTag>
      </w:smartTag>
      <w:r w:rsidRPr="00A428C3">
        <w:t xml:space="preserve"> university. While the results support the sociology of science model of vertical collaboration up</w:t>
      </w:r>
      <w:r w:rsidR="00F81221">
        <w:t xml:space="preserve"> and </w:t>
      </w:r>
      <w:r w:rsidRPr="00A428C3">
        <w:t>down the academic hierarchy, we also show that significant collaboration now takes place across levels in the hierarchy, that is among peers, in what we call horizontal collaboration. This shift from vertical to horizontal collaboration has not been readily apparent in bibliographic studies of co-authored papers in top journals. One of the questions this study raises is the often assumed positive association between collaboration, research output</w:t>
      </w:r>
      <w:r w:rsidR="00F81221">
        <w:t xml:space="preserve"> and </w:t>
      </w:r>
      <w:r w:rsidRPr="00A428C3">
        <w:t>research quality,</w:t>
      </w:r>
      <w:r w:rsidR="00F81221">
        <w:t xml:space="preserve"> and </w:t>
      </w:r>
      <w:r w:rsidRPr="00A428C3">
        <w:t>the implications such assumptions have on the institutionalisation of research within the university. We end by suggesting that the shift that is occurring in the location of research from conventional departments to research centres within the university may signal an attempt to resurrect the practice of vertical collaboration.</w:t>
      </w:r>
    </w:p>
    <w:p w:rsidR="00982590" w:rsidRPr="00A428C3" w:rsidRDefault="00982590" w:rsidP="00982590">
      <w:pPr>
        <w:pStyle w:val="1"/>
      </w:pPr>
      <w:r w:rsidRPr="00A428C3">
        <w:br w:type="page"/>
      </w:r>
      <w:bookmarkStart w:id="596" w:name="_Toc317161024"/>
      <w:r w:rsidRPr="00A428C3">
        <w:lastRenderedPageBreak/>
        <w:t xml:space="preserve">Title: </w:t>
      </w:r>
      <w:r w:rsidRPr="00982590">
        <w:rPr>
          <w:iCs/>
          <w:szCs w:val="24"/>
        </w:rPr>
        <w:t>Hippokratia</w:t>
      </w:r>
      <w:bookmarkEnd w:id="596"/>
    </w:p>
    <w:p w:rsidR="00982590" w:rsidRPr="00A428C3" w:rsidRDefault="00982590" w:rsidP="00982590">
      <w:pPr>
        <w:pStyle w:val="12"/>
      </w:pPr>
      <w:r w:rsidRPr="00A428C3">
        <w:t xml:space="preserve">Full Journal Title: </w:t>
      </w:r>
      <w:r w:rsidRPr="00982590">
        <w:rPr>
          <w:iCs/>
        </w:rPr>
        <w:t>Hippokratia</w:t>
      </w:r>
    </w:p>
    <w:p w:rsidR="00982590" w:rsidRPr="00A428C3" w:rsidRDefault="00982590" w:rsidP="00982590">
      <w:pPr>
        <w:pStyle w:val="12"/>
      </w:pPr>
      <w:r w:rsidRPr="00A428C3">
        <w:t xml:space="preserve">ISO Abbreviated Title: </w:t>
      </w:r>
    </w:p>
    <w:p w:rsidR="00982590" w:rsidRPr="00A428C3" w:rsidRDefault="00982590" w:rsidP="00982590">
      <w:pPr>
        <w:pStyle w:val="12"/>
      </w:pPr>
      <w:r w:rsidRPr="00A428C3">
        <w:t xml:space="preserve">JCR Abbreviated Title: </w:t>
      </w:r>
    </w:p>
    <w:p w:rsidR="00982590" w:rsidRPr="00A428C3" w:rsidRDefault="00982590" w:rsidP="00982590">
      <w:pPr>
        <w:pStyle w:val="12"/>
      </w:pPr>
      <w:r w:rsidRPr="00A428C3">
        <w:t xml:space="preserve">ISSN: </w:t>
      </w:r>
    </w:p>
    <w:p w:rsidR="00982590" w:rsidRPr="00A428C3" w:rsidRDefault="00982590" w:rsidP="00982590">
      <w:pPr>
        <w:pStyle w:val="12"/>
      </w:pPr>
      <w:r w:rsidRPr="00A428C3">
        <w:t xml:space="preserve">Issues/Year: </w:t>
      </w:r>
    </w:p>
    <w:p w:rsidR="00982590" w:rsidRPr="00A428C3" w:rsidRDefault="00982590" w:rsidP="00982590">
      <w:pPr>
        <w:pStyle w:val="12"/>
      </w:pPr>
      <w:r>
        <w:t xml:space="preserve">Journal Country/Territory: </w:t>
      </w:r>
    </w:p>
    <w:p w:rsidR="00982590" w:rsidRPr="00A428C3" w:rsidRDefault="00982590" w:rsidP="00982590">
      <w:pPr>
        <w:pStyle w:val="12"/>
      </w:pPr>
      <w:r w:rsidRPr="00A428C3">
        <w:t xml:space="preserve">Language: </w:t>
      </w:r>
    </w:p>
    <w:p w:rsidR="00982590" w:rsidRPr="00A428C3" w:rsidRDefault="00982590" w:rsidP="00982590">
      <w:pPr>
        <w:pStyle w:val="12"/>
      </w:pPr>
      <w:r w:rsidRPr="00A428C3">
        <w:t xml:space="preserve">Publisher: </w:t>
      </w:r>
    </w:p>
    <w:p w:rsidR="00982590" w:rsidRPr="00A428C3" w:rsidRDefault="00982590" w:rsidP="00982590">
      <w:pPr>
        <w:pStyle w:val="12"/>
      </w:pPr>
      <w:r w:rsidRPr="00A428C3">
        <w:t xml:space="preserve">Publisher Address: </w:t>
      </w:r>
    </w:p>
    <w:p w:rsidR="00982590" w:rsidRPr="00A428C3" w:rsidRDefault="00982590" w:rsidP="00982590">
      <w:pPr>
        <w:pStyle w:val="12"/>
      </w:pPr>
      <w:r w:rsidRPr="00A428C3">
        <w:t>Subject Categories:</w:t>
      </w:r>
    </w:p>
    <w:p w:rsidR="00982590" w:rsidRPr="00A428C3" w:rsidRDefault="00982590" w:rsidP="00982590">
      <w:pPr>
        <w:pStyle w:val="12"/>
      </w:pPr>
      <w:r w:rsidRPr="00A428C3">
        <w:t>: Impact Factor</w:t>
      </w:r>
    </w:p>
    <w:p w:rsidR="00982590" w:rsidRDefault="00982590" w:rsidP="00982590">
      <w:pPr>
        <w:pStyle w:val="a0"/>
        <w:rPr>
          <w:kern w:val="0"/>
          <w:szCs w:val="24"/>
        </w:rPr>
      </w:pPr>
      <w:r>
        <w:rPr>
          <w:kern w:val="0"/>
          <w:szCs w:val="24"/>
        </w:rPr>
        <w:t>? Bamidis, P., Lithari, C.</w:t>
      </w:r>
      <w:r w:rsidR="00F81221">
        <w:rPr>
          <w:kern w:val="0"/>
          <w:szCs w:val="24"/>
        </w:rPr>
        <w:t xml:space="preserve"> and </w:t>
      </w:r>
      <w:r>
        <w:rPr>
          <w:kern w:val="0"/>
          <w:szCs w:val="24"/>
        </w:rPr>
        <w:t>Konstantinidis, S. (2010), Revisiting Information Technology tools serving authorship</w:t>
      </w:r>
      <w:r w:rsidR="00F81221">
        <w:rPr>
          <w:kern w:val="0"/>
          <w:szCs w:val="24"/>
        </w:rPr>
        <w:t xml:space="preserve"> and </w:t>
      </w:r>
      <w:r>
        <w:rPr>
          <w:kern w:val="0"/>
          <w:szCs w:val="24"/>
        </w:rPr>
        <w:t>editorship: A case-guided tutorial to statistical analysis</w:t>
      </w:r>
      <w:r w:rsidR="00F81221">
        <w:rPr>
          <w:kern w:val="0"/>
          <w:szCs w:val="24"/>
        </w:rPr>
        <w:t xml:space="preserve"> and </w:t>
      </w:r>
      <w:r>
        <w:rPr>
          <w:kern w:val="0"/>
          <w:szCs w:val="24"/>
        </w:rPr>
        <w:t xml:space="preserve">plagiarism detection. </w:t>
      </w:r>
      <w:r>
        <w:rPr>
          <w:i/>
          <w:iCs/>
          <w:kern w:val="0"/>
          <w:szCs w:val="24"/>
        </w:rPr>
        <w:t>Hippokratia</w:t>
      </w:r>
      <w:r>
        <w:rPr>
          <w:kern w:val="0"/>
          <w:szCs w:val="24"/>
        </w:rPr>
        <w:t xml:space="preserve">, </w:t>
      </w:r>
      <w:r>
        <w:rPr>
          <w:b/>
          <w:bCs/>
          <w:kern w:val="0"/>
          <w:szCs w:val="24"/>
        </w:rPr>
        <w:t>14</w:t>
      </w:r>
      <w:r>
        <w:rPr>
          <w:kern w:val="0"/>
          <w:szCs w:val="24"/>
        </w:rPr>
        <w:t xml:space="preserve"> (1), 38-48.</w:t>
      </w:r>
    </w:p>
    <w:p w:rsidR="00982590" w:rsidRDefault="00982590" w:rsidP="00982590">
      <w:pPr>
        <w:pStyle w:val="a0"/>
        <w:rPr>
          <w:kern w:val="0"/>
          <w:szCs w:val="24"/>
        </w:rPr>
      </w:pPr>
      <w:r>
        <w:rPr>
          <w:kern w:val="0"/>
          <w:szCs w:val="24"/>
        </w:rPr>
        <w:t>Abstract: With the number of scientific papers published in journals, conference proceedings,</w:t>
      </w:r>
      <w:r w:rsidR="00F81221">
        <w:rPr>
          <w:kern w:val="0"/>
          <w:szCs w:val="24"/>
        </w:rPr>
        <w:t xml:space="preserve"> and </w:t>
      </w:r>
      <w:r>
        <w:rPr>
          <w:kern w:val="0"/>
          <w:szCs w:val="24"/>
        </w:rPr>
        <w:t>international literature ever increasing, authors</w:t>
      </w:r>
      <w:r w:rsidR="00F81221">
        <w:rPr>
          <w:kern w:val="0"/>
          <w:szCs w:val="24"/>
        </w:rPr>
        <w:t xml:space="preserve"> and </w:t>
      </w:r>
      <w:r>
        <w:rPr>
          <w:kern w:val="0"/>
          <w:szCs w:val="24"/>
        </w:rPr>
        <w:t>reviewers are not only facilitated with an abundance of information, but unfortunately continuously confronted with risks associated with the erroneous copy of another</w:t>
      </w:r>
      <w:r w:rsidR="000352E7">
        <w:rPr>
          <w:kern w:val="0"/>
          <w:szCs w:val="24"/>
        </w:rPr>
        <w:t>’</w:t>
      </w:r>
      <w:r>
        <w:rPr>
          <w:kern w:val="0"/>
          <w:szCs w:val="24"/>
        </w:rPr>
        <w:t>s material. In parallel, Information Communication Technology (ICT) tools provide to researchers novel</w:t>
      </w:r>
      <w:r w:rsidR="00F81221">
        <w:rPr>
          <w:kern w:val="0"/>
          <w:szCs w:val="24"/>
        </w:rPr>
        <w:t xml:space="preserve"> and </w:t>
      </w:r>
      <w:r>
        <w:rPr>
          <w:kern w:val="0"/>
          <w:szCs w:val="24"/>
        </w:rPr>
        <w:t>continuously more effective ways to analyze</w:t>
      </w:r>
      <w:r w:rsidR="00F81221">
        <w:rPr>
          <w:kern w:val="0"/>
          <w:szCs w:val="24"/>
        </w:rPr>
        <w:t xml:space="preserve"> and </w:t>
      </w:r>
      <w:r>
        <w:rPr>
          <w:kern w:val="0"/>
          <w:szCs w:val="24"/>
        </w:rPr>
        <w:t>present their work. Software tools regarding statistical analysis offer scientists the chance to validate their work</w:t>
      </w:r>
      <w:r w:rsidR="00F81221">
        <w:rPr>
          <w:kern w:val="0"/>
          <w:szCs w:val="24"/>
        </w:rPr>
        <w:t xml:space="preserve"> and </w:t>
      </w:r>
      <w:r>
        <w:rPr>
          <w:kern w:val="0"/>
          <w:szCs w:val="24"/>
        </w:rPr>
        <w:t>enhance the quality of published papers. Moreover, from the reviewers</w:t>
      </w:r>
      <w:r w:rsidR="00F81221">
        <w:rPr>
          <w:kern w:val="0"/>
          <w:szCs w:val="24"/>
        </w:rPr>
        <w:t xml:space="preserve"> and </w:t>
      </w:r>
      <w:r>
        <w:rPr>
          <w:kern w:val="0"/>
          <w:szCs w:val="24"/>
        </w:rPr>
        <w:t>the editor</w:t>
      </w:r>
      <w:r w:rsidR="000352E7">
        <w:rPr>
          <w:kern w:val="0"/>
          <w:szCs w:val="24"/>
        </w:rPr>
        <w:t>’</w:t>
      </w:r>
      <w:r>
        <w:rPr>
          <w:kern w:val="0"/>
          <w:szCs w:val="24"/>
        </w:rPr>
        <w:t>s perspective, it is now possible to ensure the (text-content) originality of a scientific article with automated software tools for plagiarism detection. In this paper, we provide a step-by-step demonstration of two categories of tools, namely, statistical analysis</w:t>
      </w:r>
      <w:r w:rsidR="00F81221">
        <w:rPr>
          <w:kern w:val="0"/>
          <w:szCs w:val="24"/>
        </w:rPr>
        <w:t xml:space="preserve"> and </w:t>
      </w:r>
      <w:r>
        <w:rPr>
          <w:kern w:val="0"/>
          <w:szCs w:val="24"/>
        </w:rPr>
        <w:t>plagiarism detection. The aim is not to come up with a specific tool recommendation, but rather to provide useful guidelines on the proper use</w:t>
      </w:r>
      <w:r w:rsidR="00F81221">
        <w:rPr>
          <w:kern w:val="0"/>
          <w:szCs w:val="24"/>
        </w:rPr>
        <w:t xml:space="preserve"> and </w:t>
      </w:r>
      <w:r>
        <w:rPr>
          <w:kern w:val="0"/>
          <w:szCs w:val="24"/>
        </w:rPr>
        <w:t>efficiency of either category of tools. In the context of this special issue, this paper offers a useful tutorial to specific problems concerned with scientific writing</w:t>
      </w:r>
      <w:r w:rsidR="00F81221">
        <w:rPr>
          <w:kern w:val="0"/>
          <w:szCs w:val="24"/>
        </w:rPr>
        <w:t xml:space="preserve"> and </w:t>
      </w:r>
      <w:r>
        <w:rPr>
          <w:kern w:val="0"/>
          <w:szCs w:val="24"/>
        </w:rPr>
        <w:t>review discourse. A specific neuroscience experimental case example is utilized to illustrate the young researcher</w:t>
      </w:r>
      <w:r w:rsidR="000352E7">
        <w:rPr>
          <w:kern w:val="0"/>
          <w:szCs w:val="24"/>
        </w:rPr>
        <w:t>’</w:t>
      </w:r>
      <w:r>
        <w:rPr>
          <w:kern w:val="0"/>
          <w:szCs w:val="24"/>
        </w:rPr>
        <w:t>s statistical analysis burden, while a test scenario is purpose-built using open access journal articles to exemplify the use</w:t>
      </w:r>
      <w:r w:rsidR="00F81221">
        <w:rPr>
          <w:kern w:val="0"/>
          <w:szCs w:val="24"/>
        </w:rPr>
        <w:t xml:space="preserve"> and </w:t>
      </w:r>
      <w:r>
        <w:rPr>
          <w:kern w:val="0"/>
          <w:szCs w:val="24"/>
        </w:rPr>
        <w:t>comparative outputs of seven plagiarism detection software pieces. Hippokratia 2010; 14 (Suppl 1): 38-48.</w:t>
      </w:r>
    </w:p>
    <w:p w:rsidR="00982590" w:rsidRDefault="00982590" w:rsidP="00982590">
      <w:pPr>
        <w:pStyle w:val="a0"/>
        <w:rPr>
          <w:kern w:val="0"/>
          <w:szCs w:val="24"/>
        </w:rPr>
      </w:pPr>
      <w:r>
        <w:rPr>
          <w:kern w:val="0"/>
          <w:szCs w:val="24"/>
        </w:rPr>
        <w:t xml:space="preserve">Keywords: Arousal, Authors, Authorship, Database, Emotion Protocol, Emotion Statistical Analysis, Guidelines of Academic Writing, Health, Journal, Journals, </w:t>
      </w:r>
      <w:r>
        <w:rPr>
          <w:kern w:val="0"/>
          <w:szCs w:val="24"/>
        </w:rPr>
        <w:lastRenderedPageBreak/>
        <w:t>Literature, Neuroscience Case Example, Open Access, Originality, Papers, Plagiarism, Plagiarism Detection, Review, Reviewers, Statistical, Statistical Analysis Tools, Tutorial, Writing</w:t>
      </w:r>
    </w:p>
    <w:p w:rsidR="00250403" w:rsidRPr="00A428C3" w:rsidRDefault="00250403" w:rsidP="00250403">
      <w:pPr>
        <w:pStyle w:val="1"/>
      </w:pPr>
      <w:r w:rsidRPr="00A428C3">
        <w:br w:type="page"/>
      </w:r>
      <w:bookmarkStart w:id="597" w:name="_Toc234327079"/>
      <w:bookmarkStart w:id="598" w:name="_Toc317161025"/>
      <w:r w:rsidRPr="00A428C3">
        <w:lastRenderedPageBreak/>
        <w:t xml:space="preserve">Title: </w:t>
      </w:r>
      <w:r w:rsidRPr="00654E91">
        <w:rPr>
          <w:iCs/>
        </w:rPr>
        <w:t>Hispania-Revista Espanola de Historia</w:t>
      </w:r>
      <w:bookmarkEnd w:id="597"/>
      <w:bookmarkEnd w:id="598"/>
    </w:p>
    <w:p w:rsidR="00250403" w:rsidRPr="00A428C3" w:rsidRDefault="00250403" w:rsidP="00B72EF9">
      <w:pPr>
        <w:pStyle w:val="12"/>
      </w:pPr>
      <w:r w:rsidRPr="00A428C3">
        <w:t xml:space="preserve">Full Journal Title: </w:t>
      </w:r>
      <w:r w:rsidRPr="00430811">
        <w:t>Hispania-Revista Espanola de Historia</w:t>
      </w:r>
    </w:p>
    <w:p w:rsidR="00250403" w:rsidRPr="00A428C3" w:rsidRDefault="00250403" w:rsidP="00B72EF9">
      <w:pPr>
        <w:pStyle w:val="12"/>
      </w:pPr>
      <w:r w:rsidRPr="00A428C3">
        <w:t xml:space="preserve">ISO Abbreviated Title: </w:t>
      </w:r>
    </w:p>
    <w:p w:rsidR="00250403" w:rsidRPr="00A428C3" w:rsidRDefault="00250403" w:rsidP="00B72EF9">
      <w:pPr>
        <w:pStyle w:val="12"/>
      </w:pPr>
      <w:r w:rsidRPr="00A428C3">
        <w:t xml:space="preserve">JCR Abbreviated Title: </w:t>
      </w:r>
    </w:p>
    <w:p w:rsidR="00250403" w:rsidRPr="00A428C3" w:rsidRDefault="00250403" w:rsidP="00B72EF9">
      <w:pPr>
        <w:pStyle w:val="12"/>
      </w:pPr>
      <w:r w:rsidRPr="00A428C3">
        <w:t xml:space="preserve">ISSN: </w:t>
      </w:r>
      <w:r w:rsidRPr="00654E91">
        <w:t>0018-2141</w:t>
      </w:r>
    </w:p>
    <w:p w:rsidR="00250403" w:rsidRPr="00A428C3" w:rsidRDefault="00250403" w:rsidP="00B72EF9">
      <w:pPr>
        <w:pStyle w:val="12"/>
      </w:pPr>
      <w:r w:rsidRPr="00A428C3">
        <w:t xml:space="preserve">Issues/Year: </w:t>
      </w:r>
    </w:p>
    <w:p w:rsidR="00250403" w:rsidRPr="00A428C3" w:rsidRDefault="00FB5623" w:rsidP="00B72EF9">
      <w:pPr>
        <w:pStyle w:val="12"/>
      </w:pPr>
      <w:r>
        <w:t>Journal Country/Territory:</w:t>
      </w:r>
      <w:r w:rsidR="00250403">
        <w:t xml:space="preserve"> </w:t>
      </w:r>
    </w:p>
    <w:p w:rsidR="00250403" w:rsidRPr="00A428C3" w:rsidRDefault="00250403" w:rsidP="00B72EF9">
      <w:pPr>
        <w:pStyle w:val="12"/>
      </w:pPr>
      <w:r w:rsidRPr="00A428C3">
        <w:t xml:space="preserve">Language: </w:t>
      </w:r>
    </w:p>
    <w:p w:rsidR="00250403" w:rsidRPr="00A428C3" w:rsidRDefault="00250403" w:rsidP="00B72EF9">
      <w:pPr>
        <w:pStyle w:val="12"/>
      </w:pPr>
      <w:r w:rsidRPr="00A428C3">
        <w:t xml:space="preserve">Publisher: </w:t>
      </w:r>
    </w:p>
    <w:p w:rsidR="00250403" w:rsidRPr="00A428C3" w:rsidRDefault="00250403" w:rsidP="00B72EF9">
      <w:pPr>
        <w:pStyle w:val="12"/>
      </w:pPr>
      <w:r w:rsidRPr="00A428C3">
        <w:t xml:space="preserve">Publisher Address: </w:t>
      </w:r>
    </w:p>
    <w:p w:rsidR="00250403" w:rsidRPr="00A428C3" w:rsidRDefault="00250403" w:rsidP="00B72EF9">
      <w:pPr>
        <w:pStyle w:val="12"/>
      </w:pPr>
      <w:r w:rsidRPr="00A428C3">
        <w:t>Subject Categories:</w:t>
      </w:r>
    </w:p>
    <w:p w:rsidR="00250403" w:rsidRPr="00A428C3" w:rsidRDefault="00250403" w:rsidP="00B72EF9">
      <w:pPr>
        <w:pStyle w:val="12"/>
      </w:pPr>
      <w:r w:rsidRPr="00A428C3">
        <w:t>: Impact Factor</w:t>
      </w:r>
    </w:p>
    <w:p w:rsidR="00250403" w:rsidRPr="00430811" w:rsidRDefault="00250403" w:rsidP="00250403">
      <w:pPr>
        <w:pStyle w:val="a0"/>
      </w:pPr>
      <w:r w:rsidRPr="00430811">
        <w:rPr>
          <w:rFonts w:hint="eastAsia"/>
        </w:rPr>
        <w:t xml:space="preserve">? </w:t>
      </w:r>
      <w:r w:rsidRPr="00430811">
        <w:t>Rubiolinares, M.C.</w:t>
      </w:r>
      <w:r w:rsidR="00F81221">
        <w:t xml:space="preserve"> and </w:t>
      </w:r>
      <w:r w:rsidRPr="00430811">
        <w:t xml:space="preserve">Ruizfranco, M.D.R. (1994), Historical research on franquismo - </w:t>
      </w:r>
      <w:r w:rsidRPr="00430811">
        <w:rPr>
          <w:rFonts w:hint="eastAsia"/>
        </w:rPr>
        <w:t>A</w:t>
      </w:r>
      <w:r w:rsidRPr="00430811">
        <w:t xml:space="preserve"> bibliometric analysis of Spanish journals (1976-1992). </w:t>
      </w:r>
      <w:r w:rsidRPr="00430811">
        <w:rPr>
          <w:i/>
          <w:iCs/>
        </w:rPr>
        <w:t>Hispania-Revista Espanola de Historia</w:t>
      </w:r>
      <w:r w:rsidRPr="00430811">
        <w:t>, (187), 661-676</w:t>
      </w:r>
    </w:p>
    <w:p w:rsidR="00250403" w:rsidRPr="00610775" w:rsidRDefault="00250403" w:rsidP="00250403">
      <w:pPr>
        <w:pStyle w:val="a0"/>
        <w:rPr>
          <w:rFonts w:asciiTheme="majorBidi" w:hAnsiTheme="majorBidi" w:cstheme="majorBidi"/>
          <w:kern w:val="0"/>
          <w:szCs w:val="24"/>
        </w:rPr>
      </w:pPr>
      <w:r w:rsidRPr="00610775">
        <w:rPr>
          <w:rFonts w:asciiTheme="majorBidi" w:hAnsiTheme="majorBidi" w:cstheme="majorBidi"/>
          <w:kern w:val="0"/>
          <w:szCs w:val="24"/>
        </w:rPr>
        <w:t>Keywords: 20th-Century</w:t>
      </w:r>
      <w:r>
        <w:rPr>
          <w:rFonts w:asciiTheme="majorBidi" w:hAnsiTheme="majorBidi" w:cstheme="majorBidi"/>
          <w:kern w:val="0"/>
          <w:szCs w:val="24"/>
        </w:rPr>
        <w:t xml:space="preserve">, </w:t>
      </w:r>
      <w:r w:rsidRPr="00610775">
        <w:rPr>
          <w:rFonts w:asciiTheme="majorBidi" w:hAnsiTheme="majorBidi" w:cstheme="majorBidi"/>
          <w:kern w:val="0"/>
          <w:szCs w:val="24"/>
        </w:rPr>
        <w:t>Bibliometric</w:t>
      </w:r>
      <w:r>
        <w:rPr>
          <w:rFonts w:asciiTheme="majorBidi" w:hAnsiTheme="majorBidi" w:cstheme="majorBidi"/>
          <w:kern w:val="0"/>
          <w:szCs w:val="24"/>
        </w:rPr>
        <w:t xml:space="preserve">, </w:t>
      </w:r>
      <w:r w:rsidRPr="00610775">
        <w:rPr>
          <w:rFonts w:asciiTheme="majorBidi" w:hAnsiTheme="majorBidi" w:cstheme="majorBidi"/>
          <w:kern w:val="0"/>
          <w:szCs w:val="24"/>
        </w:rPr>
        <w:t>Bibliometric Analysis</w:t>
      </w:r>
      <w:r>
        <w:rPr>
          <w:rFonts w:asciiTheme="majorBidi" w:hAnsiTheme="majorBidi" w:cstheme="majorBidi"/>
          <w:kern w:val="0"/>
          <w:szCs w:val="24"/>
        </w:rPr>
        <w:t xml:space="preserve">, </w:t>
      </w:r>
      <w:r w:rsidRPr="00610775">
        <w:rPr>
          <w:rFonts w:asciiTheme="majorBidi" w:hAnsiTheme="majorBidi" w:cstheme="majorBidi"/>
          <w:kern w:val="0"/>
          <w:szCs w:val="24"/>
        </w:rPr>
        <w:t>Contemporary Age</w:t>
      </w:r>
      <w:r>
        <w:rPr>
          <w:rFonts w:asciiTheme="majorBidi" w:hAnsiTheme="majorBidi" w:cstheme="majorBidi"/>
          <w:kern w:val="0"/>
          <w:szCs w:val="24"/>
        </w:rPr>
        <w:t xml:space="preserve">, </w:t>
      </w:r>
      <w:r w:rsidRPr="00610775">
        <w:rPr>
          <w:rFonts w:asciiTheme="majorBidi" w:hAnsiTheme="majorBidi" w:cstheme="majorBidi"/>
          <w:kern w:val="0"/>
          <w:szCs w:val="24"/>
        </w:rPr>
        <w:t>Franquismo</w:t>
      </w:r>
      <w:r>
        <w:rPr>
          <w:rFonts w:asciiTheme="majorBidi" w:hAnsiTheme="majorBidi" w:cstheme="majorBidi"/>
          <w:kern w:val="0"/>
          <w:szCs w:val="24"/>
        </w:rPr>
        <w:t xml:space="preserve">, </w:t>
      </w:r>
      <w:r w:rsidRPr="00610775">
        <w:rPr>
          <w:rFonts w:asciiTheme="majorBidi" w:hAnsiTheme="majorBidi" w:cstheme="majorBidi"/>
          <w:kern w:val="0"/>
          <w:szCs w:val="24"/>
        </w:rPr>
        <w:t>Journals</w:t>
      </w:r>
      <w:r>
        <w:rPr>
          <w:rFonts w:asciiTheme="majorBidi" w:hAnsiTheme="majorBidi" w:cstheme="majorBidi"/>
          <w:kern w:val="0"/>
          <w:szCs w:val="24"/>
        </w:rPr>
        <w:t xml:space="preserve">, </w:t>
      </w:r>
      <w:r w:rsidRPr="00610775">
        <w:rPr>
          <w:rFonts w:asciiTheme="majorBidi" w:hAnsiTheme="majorBidi" w:cstheme="majorBidi"/>
          <w:kern w:val="0"/>
          <w:szCs w:val="24"/>
        </w:rPr>
        <w:t>Spain</w:t>
      </w:r>
      <w:r>
        <w:rPr>
          <w:rFonts w:asciiTheme="majorBidi" w:hAnsiTheme="majorBidi" w:cstheme="majorBidi"/>
          <w:kern w:val="0"/>
          <w:szCs w:val="24"/>
        </w:rPr>
        <w:t xml:space="preserve">, </w:t>
      </w:r>
      <w:r w:rsidRPr="00610775">
        <w:rPr>
          <w:rFonts w:asciiTheme="majorBidi" w:hAnsiTheme="majorBidi" w:cstheme="majorBidi"/>
          <w:kern w:val="0"/>
          <w:szCs w:val="24"/>
        </w:rPr>
        <w:t>Spanish</w:t>
      </w:r>
    </w:p>
    <w:p w:rsidR="00967299" w:rsidRDefault="00967299" w:rsidP="00967299">
      <w:pPr>
        <w:pStyle w:val="a0"/>
        <w:rPr>
          <w:kern w:val="0"/>
        </w:rPr>
      </w:pPr>
      <w:r>
        <w:rPr>
          <w:rFonts w:hint="eastAsia"/>
          <w:kern w:val="0"/>
        </w:rPr>
        <w:t xml:space="preserve">? </w:t>
      </w:r>
      <w:r>
        <w:rPr>
          <w:kern w:val="0"/>
        </w:rPr>
        <w:t xml:space="preserve">Tosete Herranz, F. (2002), Measuring modern history: The impact of the journal Hispania with respect to Spanish university publications on modern history. </w:t>
      </w:r>
      <w:r>
        <w:rPr>
          <w:i/>
          <w:iCs/>
          <w:kern w:val="0"/>
        </w:rPr>
        <w:t>Hispania-Revista Espanola de Historia</w:t>
      </w:r>
      <w:r>
        <w:rPr>
          <w:kern w:val="0"/>
        </w:rPr>
        <w:t>, (210), 41-64.</w:t>
      </w:r>
    </w:p>
    <w:p w:rsidR="00967299" w:rsidRDefault="00967299" w:rsidP="00967299">
      <w:pPr>
        <w:pStyle w:val="a0"/>
        <w:rPr>
          <w:kern w:val="0"/>
        </w:rPr>
      </w:pPr>
      <w:r>
        <w:rPr>
          <w:kern w:val="0"/>
        </w:rPr>
        <w:t>Abstract: The present article addresses the use</w:t>
      </w:r>
      <w:r w:rsidR="00F81221">
        <w:rPr>
          <w:kern w:val="0"/>
        </w:rPr>
        <w:t xml:space="preserve"> and </w:t>
      </w:r>
      <w:r>
        <w:rPr>
          <w:kern w:val="0"/>
        </w:rPr>
        <w:t>impact of the journal Hispania in the principal Spanish scholarly journals dedicated to modern history. The aim is to discover what use modernist have made of Hispania,</w:t>
      </w:r>
      <w:r w:rsidR="00F81221">
        <w:rPr>
          <w:kern w:val="0"/>
        </w:rPr>
        <w:t xml:space="preserve"> and </w:t>
      </w:r>
      <w:r>
        <w:rPr>
          <w:kern w:val="0"/>
        </w:rPr>
        <w:t>to determine whether its visibility has been affected by the appearances of other specialized journals over the last thirty years. To this end, those issues of the scholarly journals published 1989</w:t>
      </w:r>
      <w:r w:rsidR="00F81221">
        <w:rPr>
          <w:kern w:val="0"/>
        </w:rPr>
        <w:t xml:space="preserve"> and </w:t>
      </w:r>
      <w:r>
        <w:rPr>
          <w:kern w:val="0"/>
        </w:rPr>
        <w:t>1998 have been studied. This article will establish the number of texts in modern history from Hispania that have been cited or not cited, the provenance</w:t>
      </w:r>
      <w:r w:rsidR="00F81221">
        <w:rPr>
          <w:kern w:val="0"/>
        </w:rPr>
        <w:t xml:space="preserve"> and </w:t>
      </w:r>
      <w:r>
        <w:rPr>
          <w:kern w:val="0"/>
        </w:rPr>
        <w:t>distribution of citations, self-citation by authors, the number of authors cited, those authors</w:t>
      </w:r>
      <w:r w:rsidR="00F81221">
        <w:rPr>
          <w:kern w:val="0"/>
        </w:rPr>
        <w:t xml:space="preserve"> and </w:t>
      </w:r>
      <w:r>
        <w:rPr>
          <w:kern w:val="0"/>
        </w:rPr>
        <w:t>texts most cited,</w:t>
      </w:r>
      <w:r w:rsidR="00F81221">
        <w:rPr>
          <w:kern w:val="0"/>
        </w:rPr>
        <w:t xml:space="preserve"> and </w:t>
      </w:r>
      <w:r>
        <w:rPr>
          <w:kern w:val="0"/>
        </w:rPr>
        <w:t>the age of the articles cited.</w:t>
      </w:r>
    </w:p>
    <w:p w:rsidR="00967299" w:rsidRDefault="00967299" w:rsidP="00967299">
      <w:pPr>
        <w:pStyle w:val="a0"/>
        <w:rPr>
          <w:kern w:val="0"/>
        </w:rPr>
      </w:pPr>
      <w:r>
        <w:rPr>
          <w:kern w:val="0"/>
        </w:rPr>
        <w:t>Keywords: Citations, Hispania, Journals, Modern History, Publications, Self-Citation, Spanish Historiography, Spanish Journals</w:t>
      </w:r>
    </w:p>
    <w:p w:rsidR="00B95188" w:rsidRPr="00A428C3" w:rsidRDefault="00250403" w:rsidP="00250403">
      <w:pPr>
        <w:pStyle w:val="1"/>
      </w:pPr>
      <w:r w:rsidRPr="00217FB1">
        <w:br w:type="page"/>
      </w:r>
      <w:bookmarkStart w:id="599" w:name="_Toc490688009"/>
      <w:bookmarkStart w:id="600" w:name="_Toc492807671"/>
      <w:bookmarkStart w:id="601" w:name="_Toc186647774"/>
      <w:bookmarkStart w:id="602" w:name="_Toc489709741"/>
      <w:bookmarkStart w:id="603" w:name="_Toc317161026"/>
      <w:r w:rsidR="00B95188" w:rsidRPr="00A428C3">
        <w:lastRenderedPageBreak/>
        <w:t>Title: Histopathology</w:t>
      </w:r>
      <w:bookmarkEnd w:id="599"/>
      <w:bookmarkEnd w:id="600"/>
      <w:bookmarkEnd w:id="601"/>
      <w:bookmarkEnd w:id="603"/>
    </w:p>
    <w:p w:rsidR="00B95188" w:rsidRPr="00A428C3" w:rsidRDefault="00B95188" w:rsidP="00B72EF9">
      <w:pPr>
        <w:pStyle w:val="12"/>
      </w:pPr>
      <w:r w:rsidRPr="00A428C3">
        <w:t>Full Journal Title: Histopathology</w:t>
      </w:r>
    </w:p>
    <w:p w:rsidR="00B95188" w:rsidRPr="00A428C3" w:rsidRDefault="00B95188" w:rsidP="00B72EF9">
      <w:pPr>
        <w:pStyle w:val="12"/>
      </w:pPr>
      <w:r w:rsidRPr="00A428C3">
        <w:t>ISO Abbreviated Title: Histopathology</w:t>
      </w:r>
    </w:p>
    <w:p w:rsidR="00B95188" w:rsidRPr="00A428C3" w:rsidRDefault="00B95188" w:rsidP="00B72EF9">
      <w:pPr>
        <w:pStyle w:val="12"/>
      </w:pPr>
      <w:r w:rsidRPr="00A428C3">
        <w:t>JCR Abbreviated Title: Histopathology</w:t>
      </w:r>
    </w:p>
    <w:p w:rsidR="00B95188" w:rsidRPr="00A428C3" w:rsidRDefault="00B95188" w:rsidP="00B72EF9">
      <w:pPr>
        <w:pStyle w:val="12"/>
      </w:pPr>
      <w:r w:rsidRPr="00A428C3">
        <w:t>ISSN: 0309-0167</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Blackwell Science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88</w:t>
        </w:r>
      </w:smartTag>
      <w:r w:rsidRPr="00A428C3">
        <w:t xml:space="preserve">, Osney Mead, </w:t>
      </w:r>
      <w:smartTag w:uri="urn:schemas-microsoft-com:office:smarttags" w:element="City">
        <w:r w:rsidRPr="00A428C3">
          <w:t>Oxford</w:t>
        </w:r>
      </w:smartTag>
      <w:r w:rsidRPr="00A428C3">
        <w:t xml:space="preserve"> OX2 0NE,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Cell Biology Pathology:</w:t>
      </w:r>
    </w:p>
    <w:p w:rsidR="00B95188" w:rsidRPr="00A428C3" w:rsidRDefault="00B95188" w:rsidP="00B95188">
      <w:pPr>
        <w:pStyle w:val="a0"/>
      </w:pPr>
      <w:r w:rsidRPr="00A428C3">
        <w:t>? Tome, Y., Hirohashi, S., Noguchi, M.</w:t>
      </w:r>
      <w:r w:rsidR="00F81221">
        <w:t xml:space="preserve"> and </w:t>
      </w:r>
      <w:r w:rsidRPr="00A428C3">
        <w:t>Shimosato, Y. (1990), Preservation of cluster-1 small-cell lung-cancer antigen in zinc-formalin fixative</w:t>
      </w:r>
      <w:r w:rsidR="00F81221">
        <w:t xml:space="preserve"> and </w:t>
      </w:r>
      <w:r w:rsidRPr="00A428C3">
        <w:t xml:space="preserve">its application to immunohistological diagnosis. </w:t>
      </w:r>
      <w:r w:rsidRPr="00A428C3">
        <w:rPr>
          <w:i/>
        </w:rPr>
        <w:t>Histopathology</w:t>
      </w:r>
      <w:r w:rsidRPr="00A428C3">
        <w:t xml:space="preserve">, </w:t>
      </w:r>
      <w:r w:rsidRPr="00A428C3">
        <w:rPr>
          <w:b/>
        </w:rPr>
        <w:t>16</w:t>
      </w:r>
      <w:r w:rsidRPr="00A428C3">
        <w:t xml:space="preserve"> (5), 469-474.</w:t>
      </w:r>
    </w:p>
    <w:p w:rsidR="00B95188" w:rsidRPr="00A428C3" w:rsidRDefault="00B95188" w:rsidP="00B95188">
      <w:pPr>
        <w:pStyle w:val="a0"/>
      </w:pPr>
      <w:r w:rsidRPr="00A428C3">
        <w:t xml:space="preserve">? Oka, S., Ogino, K., Houbara, T., Yoshimura, S., </w:t>
      </w:r>
      <w:smartTag w:uri="urn:schemas-microsoft-com:office:smarttags" w:element="place">
        <w:smartTag w:uri="urn:schemas-microsoft-com:office:smarttags" w:element="City">
          <w:r w:rsidRPr="00A428C3">
            <w:t>Okazaki</w:t>
          </w:r>
        </w:smartTag>
      </w:smartTag>
      <w:r w:rsidRPr="00A428C3">
        <w:t>, Y., Takemoto, T., Kato, N., Iida, Y.</w:t>
      </w:r>
      <w:r w:rsidR="00F81221">
        <w:t xml:space="preserve"> and </w:t>
      </w:r>
      <w:r w:rsidRPr="00A428C3">
        <w:t>Uda, T. (1990), An immunohistochemical study of copper, zinc-containing superoxide-dismutase detected by a monoclonal-antibody in gastric-mucosa</w:t>
      </w:r>
      <w:r w:rsidR="00F81221">
        <w:t xml:space="preserve"> and </w:t>
      </w:r>
      <w:r w:rsidRPr="00A428C3">
        <w:t xml:space="preserve">gastric-cancer. </w:t>
      </w:r>
      <w:r w:rsidRPr="00A428C3">
        <w:rPr>
          <w:i/>
        </w:rPr>
        <w:t>Histopathology</w:t>
      </w:r>
      <w:r w:rsidRPr="00A428C3">
        <w:t xml:space="preserve">, </w:t>
      </w:r>
      <w:r w:rsidRPr="00A428C3">
        <w:rPr>
          <w:b/>
        </w:rPr>
        <w:t>17</w:t>
      </w:r>
      <w:r w:rsidRPr="00A428C3">
        <w:t xml:space="preserve"> (3), 231-236.</w:t>
      </w:r>
    </w:p>
    <w:p w:rsidR="00B95188" w:rsidRPr="00A428C3" w:rsidRDefault="00B95188" w:rsidP="00B95188">
      <w:pPr>
        <w:pStyle w:val="1"/>
      </w:pPr>
      <w:r w:rsidRPr="00A428C3">
        <w:br w:type="page"/>
      </w:r>
      <w:bookmarkStart w:id="604" w:name="_Toc186647775"/>
      <w:bookmarkStart w:id="605" w:name="_Toc317161027"/>
      <w:r w:rsidRPr="00A428C3">
        <w:lastRenderedPageBreak/>
        <w:t>Title: Historia Mathematica</w:t>
      </w:r>
      <w:bookmarkEnd w:id="604"/>
      <w:bookmarkEnd w:id="605"/>
    </w:p>
    <w:p w:rsidR="00B95188" w:rsidRPr="00D4498E" w:rsidRDefault="00B95188" w:rsidP="00B72EF9">
      <w:pPr>
        <w:pStyle w:val="12"/>
      </w:pPr>
      <w:r w:rsidRPr="00D4498E">
        <w:t xml:space="preserve">Full Journal Title: </w:t>
      </w:r>
      <w:hyperlink r:id="rId660" w:history="1">
        <w:r w:rsidRPr="00D4498E">
          <w:rPr>
            <w:rStyle w:val="a5"/>
            <w:u w:val="none"/>
          </w:rPr>
          <w:t>Historia Mathematica</w:t>
        </w:r>
      </w:hyperlink>
    </w:p>
    <w:p w:rsidR="00B95188" w:rsidRPr="00D4498E" w:rsidRDefault="00B95188" w:rsidP="00B72EF9">
      <w:pPr>
        <w:pStyle w:val="12"/>
      </w:pPr>
      <w:r w:rsidRPr="00D4498E">
        <w:t>ISO Abbreviated Title: Hist. Math.</w:t>
      </w:r>
    </w:p>
    <w:p w:rsidR="00B95188" w:rsidRPr="00D4498E" w:rsidRDefault="00B95188" w:rsidP="00B72EF9">
      <w:pPr>
        <w:pStyle w:val="12"/>
      </w:pPr>
      <w:r w:rsidRPr="00D4498E">
        <w:t>JCR Abbreviated Title: Hist Math</w:t>
      </w:r>
    </w:p>
    <w:p w:rsidR="00B95188" w:rsidRPr="00D4498E" w:rsidRDefault="00B95188" w:rsidP="00B72EF9">
      <w:pPr>
        <w:pStyle w:val="12"/>
      </w:pPr>
      <w:r w:rsidRPr="00D4498E">
        <w:t>ISSN: 0315-0860</w:t>
      </w:r>
    </w:p>
    <w:p w:rsidR="00B95188" w:rsidRPr="00D4498E" w:rsidRDefault="00B95188" w:rsidP="00B72EF9">
      <w:pPr>
        <w:pStyle w:val="12"/>
      </w:pPr>
      <w:r w:rsidRPr="00D4498E">
        <w:t>Issues/Year: 4</w:t>
      </w:r>
    </w:p>
    <w:p w:rsidR="00B95188" w:rsidRPr="00D4498E" w:rsidRDefault="00B95188" w:rsidP="00B72EF9">
      <w:pPr>
        <w:pStyle w:val="12"/>
      </w:pPr>
      <w:r w:rsidRPr="00D4498E">
        <w:t>Journal Country/Territory: United States</w:t>
      </w:r>
    </w:p>
    <w:p w:rsidR="00B95188" w:rsidRPr="00D4498E" w:rsidRDefault="00B95188" w:rsidP="00B72EF9">
      <w:pPr>
        <w:pStyle w:val="12"/>
      </w:pPr>
      <w:r w:rsidRPr="00D4498E">
        <w:t>Language: Multi-Language</w:t>
      </w:r>
    </w:p>
    <w:p w:rsidR="00B95188" w:rsidRPr="00D4498E" w:rsidRDefault="00B95188" w:rsidP="00B72EF9">
      <w:pPr>
        <w:pStyle w:val="12"/>
      </w:pPr>
      <w:r w:rsidRPr="00D4498E">
        <w:t>Publisher: Academic Press Inc</w:t>
      </w:r>
    </w:p>
    <w:p w:rsidR="00B95188" w:rsidRPr="00D4498E" w:rsidRDefault="00B95188" w:rsidP="00B72EF9">
      <w:pPr>
        <w:pStyle w:val="12"/>
      </w:pPr>
      <w:r w:rsidRPr="00D4498E">
        <w:t>Publisher Address: 525 B St, Ste 1900, San Diego, CA 92101-4495</w:t>
      </w:r>
    </w:p>
    <w:p w:rsidR="00B95188" w:rsidRPr="00D4498E" w:rsidRDefault="00B95188" w:rsidP="00B72EF9">
      <w:pPr>
        <w:pStyle w:val="12"/>
      </w:pPr>
      <w:r w:rsidRPr="00D4498E">
        <w:t>Subject Categories:</w:t>
      </w:r>
    </w:p>
    <w:p w:rsidR="00B95188" w:rsidRPr="00D4498E" w:rsidRDefault="00B95188" w:rsidP="00B72EF9">
      <w:pPr>
        <w:pStyle w:val="12"/>
      </w:pPr>
      <w:r w:rsidRPr="00D4498E">
        <w:t>History &amp; Philosophy of Science Mathematics: Impact Factor 0.259, / (2001)</w:t>
      </w:r>
    </w:p>
    <w:p w:rsidR="00B95188" w:rsidRPr="00A428C3" w:rsidRDefault="00B95188" w:rsidP="00B95188">
      <w:pPr>
        <w:pStyle w:val="a0"/>
      </w:pPr>
      <w:r w:rsidRPr="00A428C3">
        <w:t xml:space="preserve">Tankard, Jr., J.W. (1979), The H.G. Wells quote on statistics: A question of accuracy. </w:t>
      </w:r>
      <w:r w:rsidRPr="00A428C3">
        <w:rPr>
          <w:i/>
          <w:iCs/>
        </w:rPr>
        <w:t>Historia Mathematica</w:t>
      </w:r>
      <w:r w:rsidRPr="00A428C3">
        <w:t xml:space="preserve">, </w:t>
      </w:r>
      <w:r w:rsidRPr="00A428C3">
        <w:rPr>
          <w:b/>
        </w:rPr>
        <w:t>6</w:t>
      </w:r>
      <w:r w:rsidRPr="00A428C3">
        <w:t xml:space="preserve"> (1), 30-33.</w:t>
      </w:r>
    </w:p>
    <w:p w:rsidR="00B95188" w:rsidRPr="00A428C3" w:rsidRDefault="00B95188" w:rsidP="00B95188">
      <w:pPr>
        <w:pStyle w:val="a0"/>
      </w:pPr>
      <w:r w:rsidRPr="00A428C3">
        <w:t xml:space="preserve">Full Text: </w:t>
      </w:r>
      <w:hyperlink r:id="rId661" w:history="1">
        <w:r w:rsidR="00D4498E" w:rsidRPr="00D4498E">
          <w:rPr>
            <w:rStyle w:val="a5"/>
          </w:rPr>
          <w:t>1960-80\His Mat23, 30.pdf</w:t>
        </w:r>
      </w:hyperlink>
    </w:p>
    <w:p w:rsidR="00B95188" w:rsidRPr="00A428C3" w:rsidRDefault="00B95188" w:rsidP="00B95188">
      <w:pPr>
        <w:pStyle w:val="a0"/>
      </w:pPr>
      <w:r w:rsidRPr="00A428C3">
        <w:t>Abstract: A widely disseminated quotation by H.G. Wells on the importance of statistics is shown to have been misrepresented.</w:t>
      </w:r>
    </w:p>
    <w:p w:rsidR="00B95188" w:rsidRPr="00A428C3" w:rsidRDefault="00B95188" w:rsidP="00B95188">
      <w:pPr>
        <w:pStyle w:val="a0"/>
      </w:pPr>
      <w:r w:rsidRPr="00A428C3">
        <w:t>Wagner-Döbler, R.</w:t>
      </w:r>
      <w:r w:rsidR="00F81221">
        <w:t xml:space="preserve"> and </w:t>
      </w:r>
      <w:r w:rsidRPr="00A428C3">
        <w:t xml:space="preserve">Berg, J. (1996), Nineteenth-century mathematics in the mirror of its literature: A quantitative approach, historia mathematica. </w:t>
      </w:r>
      <w:r w:rsidRPr="00A428C3">
        <w:rPr>
          <w:i/>
          <w:iCs/>
        </w:rPr>
        <w:t>Historia Mathematica</w:t>
      </w:r>
      <w:r w:rsidRPr="00A428C3">
        <w:t xml:space="preserve">, </w:t>
      </w:r>
      <w:r w:rsidRPr="00A428C3">
        <w:rPr>
          <w:b/>
        </w:rPr>
        <w:t>23</w:t>
      </w:r>
      <w:r w:rsidRPr="00A428C3">
        <w:t xml:space="preserve"> (3), 288-318.</w:t>
      </w:r>
    </w:p>
    <w:p w:rsidR="00D4498E" w:rsidRPr="001A3D2B" w:rsidRDefault="00D4498E" w:rsidP="00D4498E">
      <w:pPr>
        <w:pStyle w:val="a0"/>
      </w:pPr>
      <w:r w:rsidRPr="001A3D2B">
        <w:t xml:space="preserve">Full Text: </w:t>
      </w:r>
      <w:hyperlink r:id="rId662" w:history="1">
        <w:r w:rsidRPr="001A3D2B">
          <w:rPr>
            <w:rStyle w:val="a5"/>
          </w:rPr>
          <w:t>1996\His Mat23, 288.pdf</w:t>
        </w:r>
      </w:hyperlink>
    </w:p>
    <w:p w:rsidR="00B95188" w:rsidRPr="00A428C3" w:rsidRDefault="00B95188" w:rsidP="00B95188">
      <w:pPr>
        <w:pStyle w:val="a0"/>
      </w:pPr>
      <w:r w:rsidRPr="00A428C3">
        <w:t>Abstract: The point of departure of this paper is the idea that the development of mathematics is reflected in its publications. Hence, the existence of a nearly complete database renders possible general statistical accounts of the development of mathematical activities. To this end, the authors utilize the mathematical index of the</w:t>
      </w:r>
      <w:r w:rsidRPr="00A428C3">
        <w:rPr>
          <w:i/>
          <w:iCs/>
        </w:rPr>
        <w:t>Catalogue of Scientific Papers</w:t>
      </w:r>
      <w:r w:rsidRPr="00A428C3">
        <w:t>of the Royal Society of London dealing with the mathematical journal literature of the 19th century. The relation between the journal</w:t>
      </w:r>
      <w:r w:rsidR="00F81221">
        <w:t xml:space="preserve"> and </w:t>
      </w:r>
      <w:r w:rsidRPr="00A428C3">
        <w:t>book literature of that century is discussed, with the result that the size of the journal literature is presumably a valid indicator of the intensity of mathematical activities in particular areas. On the basis of this</w:t>
      </w:r>
      <w:r w:rsidRPr="00A428C3">
        <w:rPr>
          <w:i/>
          <w:iCs/>
        </w:rPr>
        <w:t>Catalogue</w:t>
      </w:r>
      <w:r w:rsidRPr="00A428C3">
        <w:t>, graphs of the publication activity of all of 19th-century mathematics</w:t>
      </w:r>
      <w:r w:rsidR="00F81221">
        <w:t xml:space="preserve"> and </w:t>
      </w:r>
      <w:r w:rsidRPr="00A428C3">
        <w:t>of 34 of its most important subareas are displayed; both the number of active contributors in each area</w:t>
      </w:r>
      <w:r w:rsidR="00F81221">
        <w:t xml:space="preserve"> and </w:t>
      </w:r>
      <w:r w:rsidRPr="00A428C3">
        <w:t>its share of 19th-century mathematics publications are exhibited. Furthermore, the share of mathematics of the total scientific journal literature of the 19th-century is estimated. Frequency distributions of publication activity</w:t>
      </w:r>
      <w:r w:rsidR="00F81221">
        <w:t xml:space="preserve"> and </w:t>
      </w:r>
      <w:r w:rsidRPr="00A428C3">
        <w:t>the specialization of 19th-century mathematicians conform to patterns well known in modern scientometrics.</w:t>
      </w:r>
    </w:p>
    <w:p w:rsidR="00B95188" w:rsidRPr="00A428C3" w:rsidRDefault="00B95188" w:rsidP="00B95188">
      <w:pPr>
        <w:pStyle w:val="a0"/>
        <w:rPr>
          <w:lang w:val="de-DE"/>
        </w:rPr>
      </w:pPr>
      <w:r w:rsidRPr="00A428C3">
        <w:rPr>
          <w:lang w:val="de-DE"/>
        </w:rPr>
        <w:t xml:space="preserve">In dieser Arbeit wird davon ausgegangen, daß sich die Entwicklung der Mathematik in </w:t>
      </w:r>
      <w:r w:rsidRPr="00A428C3">
        <w:rPr>
          <w:lang w:val="de-DE"/>
        </w:rPr>
        <w:lastRenderedPageBreak/>
        <w:t>ihren Publikationen widerspiegelt. Eine annähernd vollständige bibliographische Datengrundlage gestattet daher globale statistische Beschreibungen der Entwicklung mathematischer Aktivitäten. Die Autoren werteten zu diesem Zweck den mathematischen Index des</w:t>
      </w:r>
      <w:r w:rsidRPr="00A428C3">
        <w:rPr>
          <w:i/>
          <w:iCs/>
          <w:lang w:val="de-DE"/>
        </w:rPr>
        <w:t>Catalogue of Scientific Papers</w:t>
      </w:r>
      <w:r w:rsidRPr="00A428C3">
        <w:rPr>
          <w:lang w:val="de-DE"/>
        </w:rPr>
        <w:t>der Royal Society of London aus, der die mathematische Zeitschriftenliteratur des 19. Jahrhunderts berücksichtigt. Sie diskutieren das Verhältnis von Zeitschriften- zu Buchliteratur in diesem Jahrhundert mit dem Ergebnis, daß der Umfang der Zeitschriftenliteratur vermutlich als Indikator der Intensität mathematischer Aktivitäten auf einzelnen Gebieten gelten kann. Auf der Grundlage des Catalogue werden zur gesamten Mathematik sowie zu 34 der wichtigsten Teilgebiete Verlaufskurven der Publikationsaktivitäten gezeigt, zum einen als Publikationsanteile am Gesamtgebiet, zum anderen als absolute Zahl der auf einem Teilgebiet überhaupt aktiven Mathematiker. Ferner wird der Anteil der Mathematik an der gesamten naturwissenschaftlichen Zeitschriftenliteratur des 19. Jahrhunderts geschätzt. Häufigkeitsverteilungen der Publikationsaktivität und der Spezialisierung der mathematischen Autoren des 19. Jahrhunderts ergaben in der zeitgenössischen Szientometrie bekannte Verteilungsmuster.</w:t>
      </w:r>
    </w:p>
    <w:p w:rsidR="00B95188" w:rsidRPr="00A428C3" w:rsidRDefault="00B95188" w:rsidP="00B95188">
      <w:pPr>
        <w:pStyle w:val="a0"/>
        <w:rPr>
          <w:lang w:val="de-DE"/>
        </w:rPr>
      </w:pPr>
      <w:r w:rsidRPr="00A428C3">
        <w:rPr>
          <w:lang w:val="de-DE"/>
        </w:rPr>
        <w:t xml:space="preserve">Utgångspunkten för denna artikel är föreställningen, att matematikens utveckling återspeglas i dess publikationer. Existensen av en så gott som fullständig databas möjliggör därför allmänna statistiska beskrivningar av utvecklingen av matematiska aktiviteter. </w:t>
      </w:r>
      <w:r w:rsidRPr="00A428C3">
        <w:t>För detta ändamål utnyttjade författarna det matematiska indexet till den</w:t>
      </w:r>
      <w:r w:rsidRPr="00A428C3">
        <w:rPr>
          <w:i/>
          <w:iCs/>
        </w:rPr>
        <w:t>Catalogue of Scientific Papers</w:t>
      </w:r>
      <w:r w:rsidRPr="00A428C3">
        <w:t xml:space="preserve">, som utgivits av Royal Society of London och som behandler 1800-talets matematiska tidskriftslitteratur. Förhållandet mellan det åhundradets tidskrifts- och boklitteratur diskuteras med resultatet, att tidskriftslitteraturens omfång förmodligen gör, att den </w:t>
      </w:r>
      <w:smartTag w:uri="urn:schemas-microsoft-com:office:smarttags" w:element="place">
        <w:smartTag w:uri="urn:schemas-microsoft-com:office:smarttags" w:element="State">
          <w:r w:rsidRPr="00A428C3">
            <w:t>kan</w:t>
          </w:r>
        </w:smartTag>
      </w:smartTag>
      <w:r w:rsidRPr="00A428C3">
        <w:t xml:space="preserve"> gälla som indikator på itensiteten hos matematiska aktiviteter på ensklida områden. Utgående från denna</w:t>
      </w:r>
      <w:r w:rsidRPr="00A428C3">
        <w:rPr>
          <w:i/>
          <w:iCs/>
        </w:rPr>
        <w:t>Catalogue</w:t>
      </w:r>
      <w:r w:rsidRPr="00A428C3">
        <w:t xml:space="preserve">visas kurvor på 34 av dess viktigaste delområden; i det senare fallet anges dels varje delområdes andel i publikationer av hela mathematiken, dels antalet aktiva matematiker på området. </w:t>
      </w:r>
      <w:r w:rsidRPr="00A428C3">
        <w:rPr>
          <w:lang w:val="de-DE"/>
        </w:rPr>
        <w:t>Vidare uppskattas matematikens andel av hela den naturvetenskapliga tidskriftslitteraturen under 1800-talet. Frekvensfördelningar av publikationsaktiviteten och specialiseringen hos 1800-talets matematiker följer mönster, som är bekanta i den moderna scientometrin.</w:t>
      </w:r>
    </w:p>
    <w:p w:rsidR="00B95188" w:rsidRPr="00A428C3" w:rsidRDefault="00B95188" w:rsidP="00B95188">
      <w:pPr>
        <w:pStyle w:val="a0"/>
      </w:pPr>
      <w:r w:rsidRPr="00A428C3">
        <w:t xml:space="preserve">Keywords: Mathematics, 19th Century, History, Bibliography, </w:t>
      </w:r>
      <w:r w:rsidRPr="00A428C3">
        <w:rPr>
          <w:i/>
          <w:iCs/>
        </w:rPr>
        <w:t>Catalogue of Scientific Papers</w:t>
      </w:r>
      <w:r w:rsidRPr="00A428C3">
        <w:t>, Bibliometrics, Scientometrics</w:t>
      </w:r>
    </w:p>
    <w:p w:rsidR="00D76E97" w:rsidRPr="001A3D2B" w:rsidRDefault="00D76E97" w:rsidP="00D76E97">
      <w:pPr>
        <w:pStyle w:val="1"/>
      </w:pPr>
      <w:r w:rsidRPr="001A3D2B">
        <w:br w:type="page"/>
      </w:r>
      <w:bookmarkStart w:id="606" w:name="_Toc317161028"/>
      <w:r w:rsidRPr="001A3D2B">
        <w:lastRenderedPageBreak/>
        <w:t xml:space="preserve">Title: </w:t>
      </w:r>
      <w:r w:rsidRPr="001A3D2B">
        <w:rPr>
          <w:szCs w:val="24"/>
        </w:rPr>
        <w:t>History</w:t>
      </w:r>
      <w:r>
        <w:rPr>
          <w:szCs w:val="24"/>
        </w:rPr>
        <w:t xml:space="preserve"> and </w:t>
      </w:r>
      <w:r w:rsidRPr="001A3D2B">
        <w:rPr>
          <w:szCs w:val="24"/>
        </w:rPr>
        <w:t>Philosophy</w:t>
      </w:r>
      <w:r>
        <w:rPr>
          <w:szCs w:val="24"/>
        </w:rPr>
        <w:t xml:space="preserve"> of </w:t>
      </w:r>
      <w:r w:rsidRPr="001A3D2B">
        <w:rPr>
          <w:szCs w:val="24"/>
        </w:rPr>
        <w:t>Logic</w:t>
      </w:r>
      <w:bookmarkEnd w:id="606"/>
    </w:p>
    <w:p w:rsidR="00D76E97" w:rsidRPr="001A3D2B" w:rsidRDefault="00D76E97" w:rsidP="00D76E97">
      <w:pPr>
        <w:pStyle w:val="12"/>
      </w:pPr>
      <w:r w:rsidRPr="001A3D2B">
        <w:t>Full Journal Title: History</w:t>
      </w:r>
      <w:r>
        <w:t xml:space="preserve"> and </w:t>
      </w:r>
      <w:r w:rsidRPr="001A3D2B">
        <w:t>Philosophy</w:t>
      </w:r>
      <w:r>
        <w:t xml:space="preserve"> of </w:t>
      </w:r>
      <w:r w:rsidRPr="001A3D2B">
        <w:t>Logic</w:t>
      </w:r>
    </w:p>
    <w:p w:rsidR="00D76E97" w:rsidRPr="001A3D2B" w:rsidRDefault="00D76E97" w:rsidP="00D76E97">
      <w:pPr>
        <w:pStyle w:val="12"/>
      </w:pPr>
      <w:r w:rsidRPr="001A3D2B">
        <w:t xml:space="preserve">ISO Abbreviated Title: </w:t>
      </w:r>
    </w:p>
    <w:p w:rsidR="00D76E97" w:rsidRPr="001A3D2B" w:rsidRDefault="00D76E97" w:rsidP="00D76E97">
      <w:pPr>
        <w:pStyle w:val="12"/>
      </w:pPr>
      <w:r w:rsidRPr="001A3D2B">
        <w:t xml:space="preserve">JCR Abbreviated Title: </w:t>
      </w:r>
    </w:p>
    <w:p w:rsidR="00D76E97" w:rsidRPr="001A3D2B" w:rsidRDefault="00D76E97" w:rsidP="00D76E97">
      <w:pPr>
        <w:pStyle w:val="12"/>
      </w:pPr>
      <w:r w:rsidRPr="001A3D2B">
        <w:t xml:space="preserve">ISSN: </w:t>
      </w:r>
    </w:p>
    <w:p w:rsidR="00D76E97" w:rsidRPr="001A3D2B" w:rsidRDefault="00D76E97" w:rsidP="00D76E97">
      <w:pPr>
        <w:pStyle w:val="12"/>
      </w:pPr>
      <w:r w:rsidRPr="001A3D2B">
        <w:t xml:space="preserve">Issues/Year: </w:t>
      </w:r>
    </w:p>
    <w:p w:rsidR="00D76E97" w:rsidRPr="001A3D2B" w:rsidRDefault="00D76E97" w:rsidP="00D76E97">
      <w:pPr>
        <w:pStyle w:val="12"/>
      </w:pPr>
      <w:r w:rsidRPr="001A3D2B">
        <w:t xml:space="preserve">Journal Country/Territory: </w:t>
      </w:r>
    </w:p>
    <w:p w:rsidR="00D76E97" w:rsidRPr="001A3D2B" w:rsidRDefault="00D76E97" w:rsidP="00D76E97">
      <w:pPr>
        <w:pStyle w:val="12"/>
      </w:pPr>
      <w:r w:rsidRPr="001A3D2B">
        <w:t xml:space="preserve">Language: </w:t>
      </w:r>
    </w:p>
    <w:p w:rsidR="00D76E97" w:rsidRPr="001A3D2B" w:rsidRDefault="00D76E97" w:rsidP="00D76E97">
      <w:pPr>
        <w:pStyle w:val="12"/>
      </w:pPr>
      <w:r w:rsidRPr="001A3D2B">
        <w:t xml:space="preserve">Publisher: </w:t>
      </w:r>
    </w:p>
    <w:p w:rsidR="00D76E97" w:rsidRPr="001A3D2B" w:rsidRDefault="00D76E97" w:rsidP="00D76E97">
      <w:pPr>
        <w:pStyle w:val="12"/>
      </w:pPr>
      <w:r w:rsidRPr="001A3D2B">
        <w:t xml:space="preserve">Publisher Address: </w:t>
      </w:r>
    </w:p>
    <w:p w:rsidR="00D76E97" w:rsidRPr="001A3D2B" w:rsidRDefault="00D76E97" w:rsidP="00D76E97">
      <w:pPr>
        <w:pStyle w:val="12"/>
      </w:pPr>
      <w:r w:rsidRPr="001A3D2B">
        <w:t>Subject Categories:</w:t>
      </w:r>
    </w:p>
    <w:p w:rsidR="00D76E97" w:rsidRPr="001A3D2B" w:rsidRDefault="00D76E97" w:rsidP="00D76E97">
      <w:pPr>
        <w:pStyle w:val="12"/>
      </w:pPr>
      <w:r w:rsidRPr="001A3D2B">
        <w:t>: Impact Factor</w:t>
      </w:r>
    </w:p>
    <w:p w:rsidR="00D76E97" w:rsidRDefault="00D76E97" w:rsidP="00D76E97">
      <w:pPr>
        <w:pStyle w:val="a0"/>
        <w:rPr>
          <w:kern w:val="0"/>
          <w:szCs w:val="24"/>
        </w:rPr>
      </w:pPr>
      <w:r>
        <w:rPr>
          <w:rFonts w:hint="eastAsia"/>
          <w:kern w:val="0"/>
          <w:szCs w:val="24"/>
        </w:rPr>
        <w:t xml:space="preserve">? Middleton, R. (2011), Brittan on Britain: </w:t>
      </w:r>
      <w:r w:rsidR="000352E7">
        <w:rPr>
          <w:kern w:val="0"/>
          <w:szCs w:val="24"/>
        </w:rPr>
        <w:t>‘</w:t>
      </w:r>
      <w:r>
        <w:rPr>
          <w:rFonts w:hint="eastAsia"/>
          <w:kern w:val="0"/>
          <w:szCs w:val="24"/>
        </w:rPr>
        <w:t>the Economic Contradictions of Democracy</w:t>
      </w:r>
      <w:r w:rsidR="000352E7">
        <w:rPr>
          <w:kern w:val="0"/>
          <w:szCs w:val="24"/>
        </w:rPr>
        <w:t>’</w:t>
      </w:r>
      <w:r>
        <w:rPr>
          <w:rFonts w:hint="eastAsia"/>
          <w:kern w:val="0"/>
          <w:szCs w:val="24"/>
        </w:rPr>
        <w:t xml:space="preserve"> Redux. </w:t>
      </w:r>
      <w:r>
        <w:rPr>
          <w:rFonts w:hint="eastAsia"/>
          <w:i/>
          <w:iCs/>
          <w:kern w:val="0"/>
          <w:szCs w:val="24"/>
        </w:rPr>
        <w:t>Historical Journal</w:t>
      </w:r>
      <w:r>
        <w:rPr>
          <w:rFonts w:hint="eastAsia"/>
          <w:kern w:val="0"/>
          <w:szCs w:val="24"/>
        </w:rPr>
        <w:t xml:space="preserve">, </w:t>
      </w:r>
      <w:r>
        <w:rPr>
          <w:rFonts w:hint="eastAsia"/>
          <w:b/>
          <w:bCs/>
          <w:kern w:val="0"/>
          <w:szCs w:val="24"/>
        </w:rPr>
        <w:t>54</w:t>
      </w:r>
      <w:r>
        <w:rPr>
          <w:rFonts w:hint="eastAsia"/>
          <w:kern w:val="0"/>
          <w:szCs w:val="24"/>
        </w:rPr>
        <w:t xml:space="preserve"> (4), 1141-1168.</w:t>
      </w:r>
    </w:p>
    <w:p w:rsidR="00D76E97" w:rsidRDefault="00D76E97" w:rsidP="00D76E97">
      <w:pPr>
        <w:pStyle w:val="a0"/>
        <w:rPr>
          <w:kern w:val="0"/>
          <w:szCs w:val="24"/>
        </w:rPr>
      </w:pPr>
      <w:r>
        <w:rPr>
          <w:rFonts w:hint="eastAsia"/>
          <w:kern w:val="0"/>
          <w:szCs w:val="24"/>
        </w:rPr>
        <w:t xml:space="preserve">Full Text: </w:t>
      </w:r>
      <w:hyperlink r:id="rId663" w:history="1">
        <w:r w:rsidRPr="00793B99">
          <w:rPr>
            <w:rStyle w:val="a5"/>
            <w:kern w:val="0"/>
            <w:szCs w:val="24"/>
          </w:rPr>
          <w:t>2011\His J54, 1141.pdf</w:t>
        </w:r>
      </w:hyperlink>
    </w:p>
    <w:p w:rsidR="00D76E97" w:rsidRDefault="00D76E97" w:rsidP="00D76E97">
      <w:pPr>
        <w:pStyle w:val="a0"/>
        <w:rPr>
          <w:kern w:val="0"/>
          <w:szCs w:val="24"/>
        </w:rPr>
      </w:pPr>
      <w:r>
        <w:rPr>
          <w:rFonts w:hint="eastAsia"/>
          <w:kern w:val="0"/>
          <w:szCs w:val="24"/>
        </w:rPr>
        <w:t>Abstract: This review furthers our understanding of the history of neo-liberalism in Britain, and more particularly of the economics and politics of the 1970s and 1980s, through an examination of the writings of the economic journalist, Samuel Brittan, widely regarded as a central figure in undermining the intellectual basis for the Keynesian consensus about big government. This review provides a close study of Brittan</w:t>
      </w:r>
      <w:r w:rsidR="000352E7">
        <w:rPr>
          <w:kern w:val="0"/>
          <w:szCs w:val="24"/>
        </w:rPr>
        <w:t>’</w:t>
      </w:r>
      <w:r>
        <w:rPr>
          <w:rFonts w:hint="eastAsia"/>
          <w:kern w:val="0"/>
          <w:szCs w:val="24"/>
        </w:rPr>
        <w:t xml:space="preserve">s </w:t>
      </w:r>
      <w:r w:rsidR="000352E7">
        <w:rPr>
          <w:kern w:val="0"/>
          <w:szCs w:val="24"/>
        </w:rPr>
        <w:t>‘</w:t>
      </w:r>
      <w:r>
        <w:rPr>
          <w:rFonts w:hint="eastAsia"/>
          <w:kern w:val="0"/>
          <w:szCs w:val="24"/>
        </w:rPr>
        <w:t>The economic contradictions of democracy</w:t>
      </w:r>
      <w:r w:rsidR="000352E7">
        <w:rPr>
          <w:kern w:val="0"/>
          <w:szCs w:val="24"/>
        </w:rPr>
        <w:t>’</w:t>
      </w:r>
      <w:r>
        <w:rPr>
          <w:rFonts w:hint="eastAsia"/>
          <w:kern w:val="0"/>
          <w:szCs w:val="24"/>
        </w:rPr>
        <w:t xml:space="preserve"> (1975, hereafter ECD) - one of the most cited contributions to the declinist literature of the decade - in which Brittan warned that, without remedial action, liberal democracy </w:t>
      </w:r>
      <w:r w:rsidR="000352E7">
        <w:rPr>
          <w:kern w:val="0"/>
          <w:szCs w:val="24"/>
        </w:rPr>
        <w:t>‘</w:t>
      </w:r>
      <w:r>
        <w:rPr>
          <w:rFonts w:hint="eastAsia"/>
          <w:kern w:val="0"/>
          <w:szCs w:val="24"/>
        </w:rPr>
        <w:t>is likely to pass away within the lifetime of people now adult</w:t>
      </w:r>
      <w:r w:rsidR="000352E7">
        <w:rPr>
          <w:kern w:val="0"/>
          <w:szCs w:val="24"/>
        </w:rPr>
        <w:t>’</w:t>
      </w:r>
      <w:r>
        <w:rPr>
          <w:rFonts w:hint="eastAsia"/>
          <w:kern w:val="0"/>
          <w:szCs w:val="24"/>
        </w:rPr>
        <w:t>. In this reappraisal of Brittan</w:t>
      </w:r>
      <w:r w:rsidR="000352E7">
        <w:rPr>
          <w:kern w:val="0"/>
          <w:szCs w:val="24"/>
        </w:rPr>
        <w:t>’</w:t>
      </w:r>
      <w:r>
        <w:rPr>
          <w:rFonts w:hint="eastAsia"/>
          <w:kern w:val="0"/>
          <w:szCs w:val="24"/>
        </w:rPr>
        <w:t xml:space="preserve">s ECD, it is argued that this paper is much more than just eloquent, scholarly declinism, and in the process, the generic problem facing all contemporary historians of thought and policy is confronted: what is the influence of any one individual and/or work? The reappraisal relates directly to central themes of the 1970s </w:t>
      </w:r>
      <w:r w:rsidR="000352E7">
        <w:rPr>
          <w:kern w:val="0"/>
          <w:szCs w:val="24"/>
        </w:rPr>
        <w:t>‘</w:t>
      </w:r>
      <w:r>
        <w:rPr>
          <w:rFonts w:hint="eastAsia"/>
          <w:kern w:val="0"/>
          <w:szCs w:val="24"/>
        </w:rPr>
        <w:t>crisis</w:t>
      </w:r>
      <w:r w:rsidR="000352E7">
        <w:rPr>
          <w:kern w:val="0"/>
          <w:szCs w:val="24"/>
        </w:rPr>
        <w:t>’</w:t>
      </w:r>
      <w:r>
        <w:rPr>
          <w:rFonts w:hint="eastAsia"/>
          <w:kern w:val="0"/>
          <w:szCs w:val="24"/>
        </w:rPr>
        <w:t xml:space="preserve">, especially </w:t>
      </w:r>
      <w:r w:rsidR="000352E7">
        <w:rPr>
          <w:kern w:val="0"/>
          <w:szCs w:val="24"/>
        </w:rPr>
        <w:t>‘</w:t>
      </w:r>
      <w:r>
        <w:rPr>
          <w:rFonts w:hint="eastAsia"/>
          <w:kern w:val="0"/>
          <w:szCs w:val="24"/>
        </w:rPr>
        <w:t>overload</w:t>
      </w:r>
      <w:r w:rsidR="000352E7">
        <w:rPr>
          <w:kern w:val="0"/>
          <w:szCs w:val="24"/>
        </w:rPr>
        <w:t>’</w:t>
      </w:r>
      <w:r>
        <w:rPr>
          <w:rFonts w:hint="eastAsia"/>
          <w:kern w:val="0"/>
          <w:szCs w:val="24"/>
        </w:rPr>
        <w:t xml:space="preserve"> and </w:t>
      </w:r>
      <w:r w:rsidR="000352E7">
        <w:rPr>
          <w:kern w:val="0"/>
          <w:szCs w:val="24"/>
        </w:rPr>
        <w:t>‘</w:t>
      </w:r>
      <w:r>
        <w:rPr>
          <w:rFonts w:hint="eastAsia"/>
          <w:kern w:val="0"/>
          <w:szCs w:val="24"/>
        </w:rPr>
        <w:t>ungovernability</w:t>
      </w:r>
      <w:r w:rsidR="000352E7">
        <w:rPr>
          <w:kern w:val="0"/>
          <w:szCs w:val="24"/>
        </w:rPr>
        <w:t>’</w:t>
      </w:r>
      <w:r>
        <w:rPr>
          <w:rFonts w:hint="eastAsia"/>
          <w:kern w:val="0"/>
          <w:szCs w:val="24"/>
        </w:rPr>
        <w:t>; it examines the competitive nature of the market for declinist prognostications (notably the Jay-Brittan nexus), with one objective being to provide a counterbalance to much recent scholarship which has over-focused on think-tanks at the expense of elite journalists who were very far from being academics manques; and, finally, it reviews Brittan</w:t>
      </w:r>
      <w:r w:rsidR="000352E7">
        <w:rPr>
          <w:kern w:val="0"/>
          <w:szCs w:val="24"/>
        </w:rPr>
        <w:t>’</w:t>
      </w:r>
      <w:r>
        <w:rPr>
          <w:rFonts w:hint="eastAsia"/>
          <w:kern w:val="0"/>
          <w:szCs w:val="24"/>
        </w:rPr>
        <w:t>s role in the so-called Thatcher revolution, where much has been claimed but little documented.</w:t>
      </w:r>
    </w:p>
    <w:p w:rsidR="00D76E97" w:rsidRDefault="00D76E97" w:rsidP="00D76E97">
      <w:pPr>
        <w:pStyle w:val="a0"/>
        <w:rPr>
          <w:kern w:val="0"/>
          <w:szCs w:val="24"/>
        </w:rPr>
      </w:pPr>
      <w:r>
        <w:rPr>
          <w:rFonts w:hint="eastAsia"/>
          <w:kern w:val="0"/>
          <w:szCs w:val="24"/>
        </w:rPr>
        <w:t>Keywords: Academics, Adult, British, Communities, Crisis, Democracy, Economics, History, Lifetime, Literature, Overload, People, Policy, Political-Science, Politics, Process, Reputation, Review, Scholarship, State</w:t>
      </w:r>
    </w:p>
    <w:p w:rsidR="00250403" w:rsidRPr="00A428C3" w:rsidRDefault="00250403" w:rsidP="00250403">
      <w:pPr>
        <w:pStyle w:val="1"/>
      </w:pPr>
      <w:r w:rsidRPr="00A428C3">
        <w:br w:type="page"/>
      </w:r>
      <w:bookmarkStart w:id="607" w:name="_Toc234327081"/>
      <w:bookmarkStart w:id="608" w:name="_Toc317161029"/>
      <w:r w:rsidRPr="00A428C3">
        <w:lastRenderedPageBreak/>
        <w:t xml:space="preserve">Title: </w:t>
      </w:r>
      <w:r w:rsidRPr="00896408">
        <w:rPr>
          <w:rFonts w:asciiTheme="majorBidi" w:hAnsiTheme="majorBidi" w:cstheme="majorBidi"/>
          <w:szCs w:val="24"/>
        </w:rPr>
        <w:t>History</w:t>
      </w:r>
      <w:r w:rsidR="00F81221">
        <w:rPr>
          <w:rFonts w:asciiTheme="majorBidi" w:hAnsiTheme="majorBidi" w:cstheme="majorBidi"/>
          <w:szCs w:val="24"/>
        </w:rPr>
        <w:t xml:space="preserve"> and </w:t>
      </w:r>
      <w:r w:rsidRPr="00896408">
        <w:rPr>
          <w:rFonts w:asciiTheme="majorBidi" w:hAnsiTheme="majorBidi" w:cstheme="majorBidi"/>
          <w:szCs w:val="24"/>
        </w:rPr>
        <w:t>Philosophy of Logic</w:t>
      </w:r>
      <w:bookmarkEnd w:id="607"/>
      <w:bookmarkEnd w:id="608"/>
    </w:p>
    <w:p w:rsidR="00250403" w:rsidRPr="00A428C3" w:rsidRDefault="00250403" w:rsidP="00B72EF9">
      <w:pPr>
        <w:pStyle w:val="12"/>
      </w:pPr>
      <w:r w:rsidRPr="00A428C3">
        <w:t xml:space="preserve">Full Journal Title: </w:t>
      </w:r>
      <w:r w:rsidRPr="00896408">
        <w:t>History</w:t>
      </w:r>
      <w:r w:rsidR="00F81221">
        <w:t xml:space="preserve"> and </w:t>
      </w:r>
      <w:r w:rsidRPr="00896408">
        <w:t>Philosophy of Logic</w:t>
      </w:r>
    </w:p>
    <w:p w:rsidR="00250403" w:rsidRPr="00A428C3" w:rsidRDefault="00250403" w:rsidP="00B72EF9">
      <w:pPr>
        <w:pStyle w:val="12"/>
      </w:pPr>
      <w:r w:rsidRPr="00A428C3">
        <w:t xml:space="preserve">ISO Abbreviated Title: </w:t>
      </w:r>
    </w:p>
    <w:p w:rsidR="00250403" w:rsidRPr="00A428C3" w:rsidRDefault="00250403" w:rsidP="00B72EF9">
      <w:pPr>
        <w:pStyle w:val="12"/>
      </w:pPr>
      <w:r w:rsidRPr="00A428C3">
        <w:t xml:space="preserve">JCR Abbreviated Title: </w:t>
      </w:r>
    </w:p>
    <w:p w:rsidR="00250403" w:rsidRPr="00A428C3" w:rsidRDefault="00250403" w:rsidP="00B72EF9">
      <w:pPr>
        <w:pStyle w:val="12"/>
      </w:pPr>
      <w:r w:rsidRPr="00A428C3">
        <w:t xml:space="preserve">ISSN: </w:t>
      </w:r>
    </w:p>
    <w:p w:rsidR="00250403" w:rsidRPr="00A428C3" w:rsidRDefault="00250403" w:rsidP="00B72EF9">
      <w:pPr>
        <w:pStyle w:val="12"/>
      </w:pPr>
      <w:r w:rsidRPr="00A428C3">
        <w:t xml:space="preserve">Issues/Year: </w:t>
      </w:r>
    </w:p>
    <w:p w:rsidR="00250403" w:rsidRPr="00A428C3" w:rsidRDefault="00FB5623" w:rsidP="00B72EF9">
      <w:pPr>
        <w:pStyle w:val="12"/>
      </w:pPr>
      <w:r>
        <w:t>Journal Country/Territory:</w:t>
      </w:r>
      <w:r w:rsidR="00250403">
        <w:t xml:space="preserve"> </w:t>
      </w:r>
    </w:p>
    <w:p w:rsidR="00250403" w:rsidRPr="00A428C3" w:rsidRDefault="00250403" w:rsidP="00B72EF9">
      <w:pPr>
        <w:pStyle w:val="12"/>
      </w:pPr>
      <w:r w:rsidRPr="00A428C3">
        <w:t xml:space="preserve">Language: </w:t>
      </w:r>
    </w:p>
    <w:p w:rsidR="00250403" w:rsidRPr="00A428C3" w:rsidRDefault="00250403" w:rsidP="00B72EF9">
      <w:pPr>
        <w:pStyle w:val="12"/>
      </w:pPr>
      <w:r w:rsidRPr="00A428C3">
        <w:t xml:space="preserve">Publisher: </w:t>
      </w:r>
    </w:p>
    <w:p w:rsidR="00250403" w:rsidRPr="00A428C3" w:rsidRDefault="00250403" w:rsidP="00B72EF9">
      <w:pPr>
        <w:pStyle w:val="12"/>
      </w:pPr>
      <w:r w:rsidRPr="00A428C3">
        <w:t xml:space="preserve">Publisher Address: </w:t>
      </w:r>
    </w:p>
    <w:p w:rsidR="00250403" w:rsidRPr="00A428C3" w:rsidRDefault="00250403" w:rsidP="00B72EF9">
      <w:pPr>
        <w:pStyle w:val="12"/>
      </w:pPr>
      <w:r w:rsidRPr="00A428C3">
        <w:t>Subject Categories:</w:t>
      </w:r>
    </w:p>
    <w:p w:rsidR="00250403" w:rsidRPr="00A428C3" w:rsidRDefault="00250403" w:rsidP="00B72EF9">
      <w:pPr>
        <w:pStyle w:val="12"/>
      </w:pPr>
      <w:r w:rsidRPr="00A428C3">
        <w:t>: Impact Factor</w:t>
      </w:r>
    </w:p>
    <w:p w:rsidR="00250403" w:rsidRPr="00610775" w:rsidRDefault="00250403" w:rsidP="00250403">
      <w:pPr>
        <w:pStyle w:val="a0"/>
        <w:rPr>
          <w:rFonts w:asciiTheme="majorBidi" w:hAnsiTheme="majorBidi" w:cstheme="majorBidi"/>
          <w:kern w:val="0"/>
          <w:szCs w:val="24"/>
        </w:rPr>
      </w:pPr>
      <w:r>
        <w:rPr>
          <w:rFonts w:asciiTheme="majorBidi" w:hAnsiTheme="majorBidi" w:cstheme="majorBidi" w:hint="eastAsia"/>
          <w:kern w:val="0"/>
          <w:szCs w:val="24"/>
        </w:rPr>
        <w:t xml:space="preserve">? </w:t>
      </w:r>
      <w:r w:rsidRPr="00610775">
        <w:rPr>
          <w:rFonts w:asciiTheme="majorBidi" w:hAnsiTheme="majorBidi" w:cstheme="majorBidi"/>
          <w:kern w:val="0"/>
          <w:szCs w:val="24"/>
        </w:rPr>
        <w:t xml:space="preserve">Lewis, A.C. (1995), Mathematical logic from 1847 to the Present - A bibliometric investigation - German - Wagnerdobler, R, Berg, J. </w:t>
      </w:r>
      <w:r w:rsidRPr="00896408">
        <w:rPr>
          <w:rFonts w:asciiTheme="majorBidi" w:hAnsiTheme="majorBidi" w:cstheme="majorBidi"/>
          <w:i/>
          <w:iCs/>
          <w:kern w:val="0"/>
          <w:szCs w:val="24"/>
        </w:rPr>
        <w:t>History</w:t>
      </w:r>
      <w:r w:rsidR="00F81221">
        <w:rPr>
          <w:rFonts w:asciiTheme="majorBidi" w:hAnsiTheme="majorBidi" w:cstheme="majorBidi"/>
          <w:i/>
          <w:iCs/>
          <w:kern w:val="0"/>
          <w:szCs w:val="24"/>
        </w:rPr>
        <w:t xml:space="preserve"> and </w:t>
      </w:r>
      <w:r w:rsidRPr="00896408">
        <w:rPr>
          <w:rFonts w:asciiTheme="majorBidi" w:hAnsiTheme="majorBidi" w:cstheme="majorBidi"/>
          <w:i/>
          <w:iCs/>
          <w:kern w:val="0"/>
          <w:szCs w:val="24"/>
        </w:rPr>
        <w:t>Philosophy of Logic</w:t>
      </w:r>
      <w:r w:rsidRPr="00610775">
        <w:rPr>
          <w:rFonts w:asciiTheme="majorBidi" w:hAnsiTheme="majorBidi" w:cstheme="majorBidi"/>
          <w:kern w:val="0"/>
          <w:szCs w:val="24"/>
        </w:rPr>
        <w:t xml:space="preserve">, </w:t>
      </w:r>
      <w:r w:rsidRPr="00610775">
        <w:rPr>
          <w:rFonts w:asciiTheme="majorBidi" w:hAnsiTheme="majorBidi" w:cstheme="majorBidi"/>
          <w:b/>
          <w:bCs/>
          <w:kern w:val="0"/>
          <w:szCs w:val="24"/>
        </w:rPr>
        <w:t>16</w:t>
      </w:r>
      <w:r w:rsidRPr="00610775">
        <w:rPr>
          <w:rFonts w:asciiTheme="majorBidi" w:hAnsiTheme="majorBidi" w:cstheme="majorBidi"/>
          <w:kern w:val="0"/>
          <w:szCs w:val="24"/>
        </w:rPr>
        <w:t xml:space="preserve"> (1), 136-137</w:t>
      </w:r>
      <w:r>
        <w:rPr>
          <w:rFonts w:asciiTheme="majorBidi" w:hAnsiTheme="majorBidi" w:cstheme="majorBidi" w:hint="eastAsia"/>
          <w:kern w:val="0"/>
          <w:szCs w:val="24"/>
        </w:rPr>
        <w:t>.</w:t>
      </w:r>
    </w:p>
    <w:p w:rsidR="00250403" w:rsidRPr="00610775" w:rsidRDefault="00250403" w:rsidP="00250403">
      <w:pPr>
        <w:pStyle w:val="a0"/>
        <w:rPr>
          <w:rFonts w:asciiTheme="majorBidi" w:hAnsiTheme="majorBidi" w:cstheme="majorBidi"/>
          <w:kern w:val="0"/>
          <w:szCs w:val="24"/>
        </w:rPr>
      </w:pPr>
      <w:r w:rsidRPr="00610775">
        <w:rPr>
          <w:rFonts w:asciiTheme="majorBidi" w:hAnsiTheme="majorBidi" w:cstheme="majorBidi"/>
          <w:kern w:val="0"/>
          <w:szCs w:val="24"/>
        </w:rPr>
        <w:t>Keywords: Bibliometric</w:t>
      </w:r>
    </w:p>
    <w:p w:rsidR="00B95188" w:rsidRPr="00A428C3" w:rsidRDefault="00250403" w:rsidP="00250403">
      <w:pPr>
        <w:pStyle w:val="1"/>
      </w:pPr>
      <w:r w:rsidRPr="00F7056F">
        <w:br w:type="page"/>
      </w:r>
      <w:bookmarkStart w:id="609" w:name="_Toc186647776"/>
      <w:bookmarkStart w:id="610" w:name="_Toc317161030"/>
      <w:r w:rsidR="00B95188" w:rsidRPr="00A428C3">
        <w:lastRenderedPageBreak/>
        <w:t>Title: History of Psychology</w:t>
      </w:r>
      <w:bookmarkEnd w:id="609"/>
      <w:bookmarkEnd w:id="610"/>
    </w:p>
    <w:p w:rsidR="00B95188" w:rsidRPr="00A428C3" w:rsidRDefault="00B95188" w:rsidP="00B72EF9">
      <w:pPr>
        <w:pStyle w:val="12"/>
      </w:pPr>
      <w:r w:rsidRPr="00A428C3">
        <w:t xml:space="preserve">Full Journal Title: </w:t>
      </w:r>
      <w:hyperlink r:id="rId664" w:history="1">
        <w:r w:rsidRPr="00A428C3">
          <w:rPr>
            <w:rStyle w:val="a5"/>
          </w:rPr>
          <w:t>History of Psychology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F07064" w:rsidRPr="001A3D2B" w:rsidRDefault="00F07064" w:rsidP="00F07064">
      <w:pPr>
        <w:pStyle w:val="a0"/>
      </w:pPr>
      <w:r w:rsidRPr="001A3D2B">
        <w:t xml:space="preserve">? Lange, L.L. (2005), Sleeping beauties in psychology: Comparisons of </w:t>
      </w:r>
      <w:r w:rsidR="000352E7">
        <w:t>‘</w:t>
      </w:r>
      <w:r w:rsidRPr="001A3D2B">
        <w:t>Hits</w:t>
      </w:r>
      <w:r w:rsidR="000352E7">
        <w:t>’</w:t>
      </w:r>
      <w:r w:rsidR="00F81221">
        <w:t xml:space="preserve"> and </w:t>
      </w:r>
      <w:r w:rsidR="000352E7">
        <w:t>‘</w:t>
      </w:r>
      <w:r w:rsidRPr="001A3D2B">
        <w:t>Missed Signals</w:t>
      </w:r>
      <w:r w:rsidR="000352E7">
        <w:t>’</w:t>
      </w:r>
      <w:r w:rsidRPr="001A3D2B">
        <w:t xml:space="preserve"> in Psychological Journals. </w:t>
      </w:r>
      <w:r w:rsidRPr="001A3D2B">
        <w:rPr>
          <w:i/>
        </w:rPr>
        <w:t>History of Psychology</w:t>
      </w:r>
      <w:r w:rsidRPr="001A3D2B">
        <w:t xml:space="preserve">, </w:t>
      </w:r>
      <w:r w:rsidRPr="001A3D2B">
        <w:rPr>
          <w:b/>
          <w:bCs/>
        </w:rPr>
        <w:t>8</w:t>
      </w:r>
      <w:r w:rsidRPr="001A3D2B">
        <w:t xml:space="preserve"> (2), 194-217.</w:t>
      </w:r>
    </w:p>
    <w:p w:rsidR="00BB508D" w:rsidRPr="001A3D2B" w:rsidRDefault="00BB508D" w:rsidP="00BB508D">
      <w:pPr>
        <w:pStyle w:val="a0"/>
      </w:pPr>
      <w:r w:rsidRPr="001A3D2B">
        <w:t xml:space="preserve">Full Text: </w:t>
      </w:r>
      <w:hyperlink r:id="rId665" w:history="1">
        <w:r w:rsidRPr="00BD31CA">
          <w:rPr>
            <w:rStyle w:val="a5"/>
          </w:rPr>
          <w:t>2005\His Psy8, 194.pdf</w:t>
        </w:r>
      </w:hyperlink>
    </w:p>
    <w:p w:rsidR="00F07064" w:rsidRPr="001A3D2B" w:rsidRDefault="00F07064" w:rsidP="00F07064">
      <w:pPr>
        <w:pStyle w:val="a0"/>
      </w:pPr>
      <w:r w:rsidRPr="001A3D2B">
        <w:t>Abstract: Scientific publications tend to be forgotten quickly. A few works, however, are still cited 100 years</w:t>
      </w:r>
      <w:r w:rsidR="00F81221">
        <w:t xml:space="preserve"> and </w:t>
      </w:r>
      <w:r w:rsidRPr="001A3D2B">
        <w:t xml:space="preserve">more after their publication. The author used </w:t>
      </w:r>
      <w:bookmarkStart w:id="611" w:name="hit1"/>
      <w:bookmarkEnd w:id="611"/>
      <w:r w:rsidRPr="001A3D2B">
        <w:t xml:space="preserve">bibliometric methods to compare </w:t>
      </w:r>
      <w:r w:rsidR="000352E7">
        <w:t>‘</w:t>
      </w:r>
      <w:r w:rsidRPr="001A3D2B">
        <w:t>hits</w:t>
      </w:r>
      <w:r w:rsidR="000352E7">
        <w:t>’</w:t>
      </w:r>
      <w:r w:rsidRPr="001A3D2B">
        <w:t xml:space="preserve"> (works noticed by the scientific community soon after their publication) with </w:t>
      </w:r>
      <w:r w:rsidR="000352E7">
        <w:t>‘</w:t>
      </w:r>
      <w:r w:rsidRPr="001A3D2B">
        <w:t>missed signals</w:t>
      </w:r>
      <w:r w:rsidR="000352E7">
        <w:t>’</w:t>
      </w:r>
      <w:r w:rsidRPr="001A3D2B">
        <w:t xml:space="preserve"> (works that went unnoticed until much later) by investigating 2 psychological journals founded in the 1890s: Zeitschrift für Psychologie</w:t>
      </w:r>
      <w:r w:rsidR="00F81221">
        <w:t xml:space="preserve"> and </w:t>
      </w:r>
      <w:r w:rsidRPr="001A3D2B">
        <w:t>Psychological Review. All articles that were published in either of these journals up to 1920</w:t>
      </w:r>
      <w:r w:rsidR="00F81221">
        <w:t xml:space="preserve"> and </w:t>
      </w:r>
      <w:r w:rsidRPr="001A3D2B">
        <w:t>cited more than 25 times in the Web of Science up to the year 2000 were considered for inclusion in the analysis. It emerged that hits corresponded more closely to the focus of scientific attention at the time of publication than missed signals.</w:t>
      </w:r>
    </w:p>
    <w:p w:rsidR="00BB508D" w:rsidRDefault="00BB508D" w:rsidP="00BB508D">
      <w:pPr>
        <w:pStyle w:val="a0"/>
        <w:rPr>
          <w:kern w:val="0"/>
        </w:rPr>
      </w:pPr>
      <w:r>
        <w:rPr>
          <w:rFonts w:hint="eastAsia"/>
          <w:kern w:val="0"/>
        </w:rPr>
        <w:t xml:space="preserve">? </w:t>
      </w:r>
      <w:r>
        <w:rPr>
          <w:kern w:val="0"/>
        </w:rPr>
        <w:t xml:space="preserve">Sensales, G., Areni, A. and Dal Secco, A. (2011), Building the boundaries of a science: First representations of Italian social psychology between 1875 and 1954. </w:t>
      </w:r>
      <w:r>
        <w:rPr>
          <w:i/>
          <w:iCs/>
          <w:kern w:val="0"/>
        </w:rPr>
        <w:t>History of Psychology</w:t>
      </w:r>
      <w:r>
        <w:rPr>
          <w:kern w:val="0"/>
        </w:rPr>
        <w:t xml:space="preserve">, </w:t>
      </w:r>
      <w:r>
        <w:rPr>
          <w:b/>
          <w:bCs/>
          <w:kern w:val="0"/>
        </w:rPr>
        <w:t>14</w:t>
      </w:r>
      <w:r>
        <w:rPr>
          <w:kern w:val="0"/>
        </w:rPr>
        <w:t xml:space="preserve"> (4), 383-404.</w:t>
      </w:r>
    </w:p>
    <w:p w:rsidR="00BB508D" w:rsidRPr="001A3D2B" w:rsidRDefault="00BB508D" w:rsidP="00BB508D">
      <w:pPr>
        <w:pStyle w:val="a0"/>
      </w:pPr>
      <w:r w:rsidRPr="001A3D2B">
        <w:t xml:space="preserve">Full Text: </w:t>
      </w:r>
      <w:hyperlink r:id="rId666" w:history="1">
        <w:r w:rsidRPr="00FD2F16">
          <w:rPr>
            <w:rStyle w:val="a5"/>
          </w:rPr>
          <w:t>2011\His Psy14, 383.pdf</w:t>
        </w:r>
      </w:hyperlink>
    </w:p>
    <w:p w:rsidR="00BB508D" w:rsidRDefault="00BB508D" w:rsidP="00BB508D">
      <w:pPr>
        <w:pStyle w:val="a0"/>
        <w:rPr>
          <w:kern w:val="0"/>
        </w:rPr>
      </w:pPr>
      <w:r>
        <w:rPr>
          <w:kern w:val="0"/>
        </w:rPr>
        <w:t xml:space="preserve">Abstract: The present study embraces the critical traditions of </w:t>
      </w:r>
      <w:r w:rsidR="000352E7">
        <w:rPr>
          <w:kern w:val="0"/>
        </w:rPr>
        <w:t>“</w:t>
      </w:r>
      <w:r>
        <w:rPr>
          <w:kern w:val="0"/>
        </w:rPr>
        <w:t>New History</w:t>
      </w:r>
      <w:r w:rsidR="000352E7">
        <w:rPr>
          <w:kern w:val="0"/>
        </w:rPr>
        <w:t>”</w:t>
      </w:r>
      <w:r>
        <w:rPr>
          <w:kern w:val="0"/>
        </w:rPr>
        <w:t xml:space="preserve"> and of social representations theory articulated with the mainstream historiographical tradition of a bibliometric approach. The historical analysis deals with the early representations of Italian social psychology articulated and disseminated by some of the main Italian scientific-cultural and philosophical journals. We examined seven journals published between 1875 and 1954, and gathered 2,030 texts dealing with the various forms of social and collective psychology. We have applied a grid of content analysis whose data have been transcribed to a numerical file. At the same time, we </w:t>
      </w:r>
      <w:r>
        <w:rPr>
          <w:kern w:val="0"/>
        </w:rPr>
        <w:lastRenderedPageBreak/>
        <w:t>have created a textual file containing the titles of the contributions as well as the names of the authors and scholars reviewed. The two files have been processed by SPAD-T for a correspondence analysis in which both lexical data and category variables have been considered as active variables. Through the scree-test, two factors that explain 18.90% of the variance have been singled out. Their combination has produced a factorial plan able to highlight three distinct areas differently characterized from journals and years. The results are also discussed with regard to the contextual historical frame.</w:t>
      </w:r>
    </w:p>
    <w:p w:rsidR="00BB508D" w:rsidRDefault="00BB508D" w:rsidP="00BB508D">
      <w:pPr>
        <w:pStyle w:val="a0"/>
        <w:rPr>
          <w:kern w:val="0"/>
        </w:rPr>
      </w:pPr>
      <w:r>
        <w:rPr>
          <w:kern w:val="0"/>
        </w:rPr>
        <w:t xml:space="preserve">Keywords: </w:t>
      </w:r>
      <w:r w:rsidR="000352E7">
        <w:rPr>
          <w:kern w:val="0"/>
        </w:rPr>
        <w:t>“</w:t>
      </w:r>
      <w:r>
        <w:rPr>
          <w:kern w:val="0"/>
        </w:rPr>
        <w:t>New History</w:t>
      </w:r>
      <w:r w:rsidR="000352E7">
        <w:rPr>
          <w:kern w:val="0"/>
        </w:rPr>
        <w:t>”</w:t>
      </w:r>
      <w:r>
        <w:rPr>
          <w:kern w:val="0"/>
        </w:rPr>
        <w:t>, Analysis, Authors, Bibliometric, Content Analysis, Correspondence, Future, Historical Analysis, History, History of Italian Social Psychology, Journals, Lexicographical and Content Analysis, Psychology, Science, Social, Social Psychology, Social Representations, Theory</w:t>
      </w:r>
    </w:p>
    <w:p w:rsidR="00250403" w:rsidRPr="00F7056F" w:rsidRDefault="00250403" w:rsidP="00250403">
      <w:pPr>
        <w:pStyle w:val="1"/>
      </w:pPr>
      <w:r w:rsidRPr="00F7056F">
        <w:br w:type="page"/>
      </w:r>
      <w:bookmarkStart w:id="612" w:name="_Toc317161031"/>
      <w:r w:rsidRPr="00F7056F">
        <w:lastRenderedPageBreak/>
        <w:t xml:space="preserve">Title: </w:t>
      </w:r>
      <w:r w:rsidRPr="004A289E">
        <w:t>Hitotsubashi Journal of Economics</w:t>
      </w:r>
      <w:bookmarkEnd w:id="612"/>
    </w:p>
    <w:p w:rsidR="00250403" w:rsidRPr="00F7056F" w:rsidRDefault="00250403" w:rsidP="00B72EF9">
      <w:pPr>
        <w:pStyle w:val="12"/>
      </w:pPr>
      <w:r w:rsidRPr="00F7056F">
        <w:t xml:space="preserve">Full Journal Title: </w:t>
      </w:r>
      <w:r w:rsidRPr="004A289E">
        <w:t>Hitotsubashi Journal of Economics</w:t>
      </w:r>
    </w:p>
    <w:p w:rsidR="00250403" w:rsidRPr="00F7056F" w:rsidRDefault="00250403" w:rsidP="00B72EF9">
      <w:pPr>
        <w:pStyle w:val="12"/>
      </w:pPr>
      <w:r w:rsidRPr="00F7056F">
        <w:t xml:space="preserve">ISO Abbreviated Title: </w:t>
      </w:r>
    </w:p>
    <w:p w:rsidR="00250403" w:rsidRPr="00217FB1" w:rsidRDefault="00250403" w:rsidP="00B72EF9">
      <w:pPr>
        <w:pStyle w:val="12"/>
      </w:pPr>
      <w:r w:rsidRPr="00217FB1">
        <w:t>JCR Abbreviated Title</w:t>
      </w:r>
      <w:r>
        <w:t>:</w:t>
      </w:r>
      <w:r w:rsidRPr="00217FB1">
        <w:t xml:space="preserve"> </w:t>
      </w:r>
    </w:p>
    <w:p w:rsidR="00250403" w:rsidRPr="00217FB1" w:rsidRDefault="00250403" w:rsidP="00B72EF9">
      <w:pPr>
        <w:pStyle w:val="12"/>
      </w:pPr>
      <w:r w:rsidRPr="00217FB1">
        <w:t xml:space="preserve">ISSN: </w:t>
      </w:r>
    </w:p>
    <w:p w:rsidR="00250403" w:rsidRPr="00217FB1" w:rsidRDefault="00250403" w:rsidP="00B72EF9">
      <w:pPr>
        <w:pStyle w:val="12"/>
      </w:pPr>
      <w:r w:rsidRPr="00217FB1">
        <w:t xml:space="preserve">Issues/Year: </w:t>
      </w:r>
    </w:p>
    <w:p w:rsidR="00250403" w:rsidRPr="00217FB1" w:rsidRDefault="00FB5623" w:rsidP="00B72EF9">
      <w:pPr>
        <w:pStyle w:val="12"/>
      </w:pPr>
      <w:r>
        <w:t>Journal Country/Territory:</w:t>
      </w:r>
      <w:r w:rsidR="00250403">
        <w:t xml:space="preserve"> </w:t>
      </w:r>
    </w:p>
    <w:p w:rsidR="00250403" w:rsidRPr="00217FB1" w:rsidRDefault="00250403" w:rsidP="00B72EF9">
      <w:pPr>
        <w:pStyle w:val="12"/>
      </w:pPr>
      <w:r w:rsidRPr="00217FB1">
        <w:t xml:space="preserve">Language: </w:t>
      </w:r>
    </w:p>
    <w:p w:rsidR="00250403" w:rsidRPr="00217FB1" w:rsidRDefault="00250403" w:rsidP="00B72EF9">
      <w:pPr>
        <w:pStyle w:val="12"/>
      </w:pPr>
      <w:r w:rsidRPr="00217FB1">
        <w:t xml:space="preserve">Publisher: </w:t>
      </w:r>
    </w:p>
    <w:p w:rsidR="00250403" w:rsidRPr="00217FB1" w:rsidRDefault="00250403" w:rsidP="00B72EF9">
      <w:pPr>
        <w:pStyle w:val="12"/>
      </w:pPr>
      <w:r w:rsidRPr="00217FB1">
        <w:t xml:space="preserve">Publisher Address: </w:t>
      </w:r>
    </w:p>
    <w:p w:rsidR="00250403" w:rsidRPr="00217FB1" w:rsidRDefault="00250403" w:rsidP="00B72EF9">
      <w:pPr>
        <w:pStyle w:val="12"/>
      </w:pPr>
      <w:r w:rsidRPr="00217FB1">
        <w:t>Subject Categories:</w:t>
      </w:r>
    </w:p>
    <w:p w:rsidR="00250403" w:rsidRPr="00217FB1" w:rsidRDefault="00250403" w:rsidP="00B72EF9">
      <w:pPr>
        <w:pStyle w:val="12"/>
      </w:pPr>
      <w:r w:rsidRPr="00217FB1">
        <w:t>: Impact Factor</w:t>
      </w:r>
    </w:p>
    <w:p w:rsidR="00250403" w:rsidRDefault="00250403" w:rsidP="00250403">
      <w:pPr>
        <w:pStyle w:val="a0"/>
        <w:rPr>
          <w:kern w:val="0"/>
          <w:szCs w:val="24"/>
        </w:rPr>
      </w:pPr>
      <w:r>
        <w:t>?</w:t>
      </w:r>
      <w:r w:rsidRPr="00217FB1">
        <w:t xml:space="preserve"> </w:t>
      </w:r>
      <w:r>
        <w:rPr>
          <w:kern w:val="0"/>
          <w:szCs w:val="24"/>
        </w:rPr>
        <w:t>Matsui, S., Asano, C.</w:t>
      </w:r>
      <w:r w:rsidR="00F81221">
        <w:rPr>
          <w:kern w:val="0"/>
          <w:szCs w:val="24"/>
        </w:rPr>
        <w:t xml:space="preserve"> and </w:t>
      </w:r>
      <w:r>
        <w:rPr>
          <w:kern w:val="0"/>
          <w:szCs w:val="24"/>
        </w:rPr>
        <w:t>Matsuda, Y. (1989), A System for generating publication statistics based on bibliographic information</w:t>
      </w:r>
      <w:r>
        <w:rPr>
          <w:rFonts w:hint="eastAsia"/>
          <w:kern w:val="0"/>
          <w:szCs w:val="24"/>
        </w:rPr>
        <w:t>:</w:t>
      </w:r>
      <w:r>
        <w:rPr>
          <w:kern w:val="0"/>
          <w:szCs w:val="24"/>
        </w:rPr>
        <w:t xml:space="preserve"> Bibliometric analysis for the development of economic</w:t>
      </w:r>
      <w:r w:rsidR="00F81221">
        <w:rPr>
          <w:kern w:val="0"/>
          <w:szCs w:val="24"/>
        </w:rPr>
        <w:t xml:space="preserve"> and </w:t>
      </w:r>
      <w:r>
        <w:rPr>
          <w:kern w:val="0"/>
          <w:szCs w:val="24"/>
        </w:rPr>
        <w:t xml:space="preserve">social thought. </w:t>
      </w:r>
      <w:r>
        <w:rPr>
          <w:i/>
          <w:iCs/>
          <w:kern w:val="0"/>
          <w:szCs w:val="24"/>
        </w:rPr>
        <w:t>Hitotsubashi Journal of Economics</w:t>
      </w:r>
      <w:r>
        <w:rPr>
          <w:kern w:val="0"/>
          <w:szCs w:val="24"/>
        </w:rPr>
        <w:t xml:space="preserve">, </w:t>
      </w:r>
      <w:r>
        <w:rPr>
          <w:b/>
          <w:bCs/>
          <w:kern w:val="0"/>
          <w:szCs w:val="24"/>
        </w:rPr>
        <w:t>30</w:t>
      </w:r>
      <w:r>
        <w:rPr>
          <w:kern w:val="0"/>
          <w:szCs w:val="24"/>
        </w:rPr>
        <w:t xml:space="preserve"> (2), 121-156</w:t>
      </w:r>
    </w:p>
    <w:p w:rsidR="00250403" w:rsidRPr="004A289E" w:rsidRDefault="00250403" w:rsidP="00250403">
      <w:pPr>
        <w:pStyle w:val="a0"/>
        <w:rPr>
          <w:kern w:val="0"/>
          <w:szCs w:val="24"/>
        </w:rPr>
      </w:pPr>
      <w:r>
        <w:rPr>
          <w:kern w:val="0"/>
          <w:szCs w:val="24"/>
        </w:rPr>
        <w:t>Keywords: Bibliometric, Bibliometric Analysis, Publication</w:t>
      </w:r>
    </w:p>
    <w:p w:rsidR="00E74AD4" w:rsidRPr="00F7056F" w:rsidRDefault="00E74AD4" w:rsidP="00E74AD4">
      <w:pPr>
        <w:pStyle w:val="1"/>
      </w:pPr>
      <w:r w:rsidRPr="00F7056F">
        <w:br w:type="page"/>
      </w:r>
      <w:bookmarkStart w:id="613" w:name="_Toc317161032"/>
      <w:r w:rsidRPr="00F7056F">
        <w:lastRenderedPageBreak/>
        <w:t xml:space="preserve">Title: </w:t>
      </w:r>
      <w:r w:rsidRPr="00030508">
        <w:rPr>
          <w:iCs/>
          <w:szCs w:val="24"/>
        </w:rPr>
        <w:t>HIV Medicine</w:t>
      </w:r>
      <w:bookmarkEnd w:id="613"/>
    </w:p>
    <w:p w:rsidR="00E74AD4" w:rsidRPr="00F7056F" w:rsidRDefault="00E74AD4" w:rsidP="00E74AD4">
      <w:pPr>
        <w:pStyle w:val="12"/>
      </w:pPr>
      <w:r w:rsidRPr="00F7056F">
        <w:t xml:space="preserve">Full Journal Title: </w:t>
      </w:r>
      <w:r w:rsidRPr="00030508">
        <w:rPr>
          <w:iCs/>
        </w:rPr>
        <w:t>HIV Medicine</w:t>
      </w:r>
    </w:p>
    <w:p w:rsidR="00E74AD4" w:rsidRPr="00F7056F" w:rsidRDefault="00E74AD4" w:rsidP="00E74AD4">
      <w:pPr>
        <w:pStyle w:val="12"/>
      </w:pPr>
      <w:r w:rsidRPr="00F7056F">
        <w:t xml:space="preserve">ISO Abbreviated Title: </w:t>
      </w:r>
    </w:p>
    <w:p w:rsidR="00E74AD4" w:rsidRPr="00217FB1" w:rsidRDefault="00E74AD4" w:rsidP="00E74AD4">
      <w:pPr>
        <w:pStyle w:val="12"/>
      </w:pPr>
      <w:r w:rsidRPr="00217FB1">
        <w:t>JCR Abbreviated Title</w:t>
      </w:r>
      <w:r>
        <w:t>:</w:t>
      </w:r>
      <w:r w:rsidRPr="00217FB1">
        <w:t xml:space="preserve"> </w:t>
      </w:r>
    </w:p>
    <w:p w:rsidR="00E74AD4" w:rsidRPr="00217FB1" w:rsidRDefault="00E74AD4" w:rsidP="00E74AD4">
      <w:pPr>
        <w:pStyle w:val="12"/>
      </w:pPr>
      <w:r w:rsidRPr="00217FB1">
        <w:t xml:space="preserve">ISSN: </w:t>
      </w:r>
    </w:p>
    <w:p w:rsidR="00E74AD4" w:rsidRPr="00217FB1" w:rsidRDefault="00E74AD4" w:rsidP="00E74AD4">
      <w:pPr>
        <w:pStyle w:val="12"/>
      </w:pPr>
      <w:r w:rsidRPr="00217FB1">
        <w:t xml:space="preserve">Issues/Year: </w:t>
      </w:r>
    </w:p>
    <w:p w:rsidR="00E74AD4" w:rsidRPr="00217FB1" w:rsidRDefault="00E74AD4" w:rsidP="00E74AD4">
      <w:pPr>
        <w:pStyle w:val="12"/>
      </w:pPr>
      <w:r>
        <w:t xml:space="preserve">Journal Country/Territory: </w:t>
      </w:r>
    </w:p>
    <w:p w:rsidR="00E74AD4" w:rsidRPr="00217FB1" w:rsidRDefault="00E74AD4" w:rsidP="00E74AD4">
      <w:pPr>
        <w:pStyle w:val="12"/>
      </w:pPr>
      <w:r w:rsidRPr="00217FB1">
        <w:t xml:space="preserve">Language: </w:t>
      </w:r>
    </w:p>
    <w:p w:rsidR="00E74AD4" w:rsidRPr="00217FB1" w:rsidRDefault="00E74AD4" w:rsidP="00E74AD4">
      <w:pPr>
        <w:pStyle w:val="12"/>
      </w:pPr>
      <w:r w:rsidRPr="00217FB1">
        <w:t xml:space="preserve">Publisher: </w:t>
      </w:r>
    </w:p>
    <w:p w:rsidR="00E74AD4" w:rsidRPr="00217FB1" w:rsidRDefault="00E74AD4" w:rsidP="00E74AD4">
      <w:pPr>
        <w:pStyle w:val="12"/>
      </w:pPr>
      <w:r w:rsidRPr="00217FB1">
        <w:t xml:space="preserve">Publisher Address: </w:t>
      </w:r>
    </w:p>
    <w:p w:rsidR="00E74AD4" w:rsidRPr="00217FB1" w:rsidRDefault="00E74AD4" w:rsidP="00E74AD4">
      <w:pPr>
        <w:pStyle w:val="12"/>
      </w:pPr>
      <w:r w:rsidRPr="00217FB1">
        <w:t>Subject Categories:</w:t>
      </w:r>
    </w:p>
    <w:p w:rsidR="00E74AD4" w:rsidRPr="00217FB1" w:rsidRDefault="00E74AD4" w:rsidP="00E74AD4">
      <w:pPr>
        <w:pStyle w:val="12"/>
      </w:pPr>
      <w:r w:rsidRPr="00217FB1">
        <w:t>: Impact Factor</w:t>
      </w:r>
    </w:p>
    <w:p w:rsidR="00E74AD4" w:rsidRDefault="00E74AD4" w:rsidP="00E74AD4">
      <w:pPr>
        <w:pStyle w:val="a0"/>
        <w:rPr>
          <w:kern w:val="0"/>
          <w:szCs w:val="24"/>
        </w:rPr>
      </w:pPr>
      <w:r>
        <w:rPr>
          <w:rFonts w:hint="eastAsia"/>
          <w:kern w:val="0"/>
          <w:szCs w:val="24"/>
        </w:rPr>
        <w:t xml:space="preserve">? </w:t>
      </w:r>
      <w:r>
        <w:rPr>
          <w:kern w:val="0"/>
          <w:szCs w:val="24"/>
        </w:rPr>
        <w:t>Sivakumar, T., Mechanic, O.J., Fehmie, D.A.</w:t>
      </w:r>
      <w:r w:rsidR="00F81221">
        <w:rPr>
          <w:kern w:val="0"/>
          <w:szCs w:val="24"/>
        </w:rPr>
        <w:t xml:space="preserve"> and </w:t>
      </w:r>
      <w:r>
        <w:rPr>
          <w:kern w:val="0"/>
          <w:szCs w:val="24"/>
        </w:rPr>
        <w:t xml:space="preserve">Paul, B.T. (2011), Growth hormone axis treatments for HIV-associated lipodystrophy: </w:t>
      </w:r>
      <w:r>
        <w:rPr>
          <w:rFonts w:hint="eastAsia"/>
          <w:kern w:val="0"/>
          <w:szCs w:val="24"/>
        </w:rPr>
        <w:t>A</w:t>
      </w:r>
      <w:r>
        <w:rPr>
          <w:kern w:val="0"/>
          <w:szCs w:val="24"/>
        </w:rPr>
        <w:t xml:space="preserve"> systematic review of placebo-controlled trials. </w:t>
      </w:r>
      <w:r w:rsidRPr="00030508">
        <w:rPr>
          <w:i/>
          <w:iCs/>
          <w:kern w:val="0"/>
          <w:szCs w:val="24"/>
        </w:rPr>
        <w:t>HIV Medicine</w:t>
      </w:r>
      <w:r>
        <w:rPr>
          <w:kern w:val="0"/>
          <w:szCs w:val="24"/>
        </w:rPr>
        <w:t xml:space="preserve">, </w:t>
      </w:r>
      <w:r>
        <w:rPr>
          <w:b/>
          <w:bCs/>
          <w:kern w:val="0"/>
          <w:szCs w:val="24"/>
        </w:rPr>
        <w:t>12</w:t>
      </w:r>
      <w:r>
        <w:rPr>
          <w:kern w:val="0"/>
          <w:szCs w:val="24"/>
        </w:rPr>
        <w:t xml:space="preserve"> (8), 453-462.</w:t>
      </w:r>
    </w:p>
    <w:p w:rsidR="00E74AD4" w:rsidRDefault="00E74AD4" w:rsidP="00E74AD4">
      <w:pPr>
        <w:pStyle w:val="a0"/>
        <w:rPr>
          <w:kern w:val="0"/>
          <w:szCs w:val="24"/>
        </w:rPr>
      </w:pPr>
      <w:r>
        <w:rPr>
          <w:rFonts w:hint="eastAsia"/>
          <w:kern w:val="0"/>
          <w:szCs w:val="24"/>
        </w:rPr>
        <w:t xml:space="preserve">Full Text: </w:t>
      </w:r>
      <w:hyperlink r:id="rId667" w:history="1">
        <w:r w:rsidRPr="009C1746">
          <w:rPr>
            <w:rStyle w:val="a5"/>
            <w:kern w:val="0"/>
            <w:szCs w:val="24"/>
          </w:rPr>
          <w:t>2011\HIV Med12, 453.pdf</w:t>
        </w:r>
      </w:hyperlink>
    </w:p>
    <w:p w:rsidR="00E74AD4" w:rsidRDefault="00E74AD4" w:rsidP="00E74AD4">
      <w:pPr>
        <w:pStyle w:val="a0"/>
        <w:rPr>
          <w:kern w:val="0"/>
          <w:szCs w:val="24"/>
        </w:rPr>
      </w:pPr>
      <w:r>
        <w:rPr>
          <w:kern w:val="0"/>
          <w:szCs w:val="24"/>
        </w:rPr>
        <w:t>Abstract: Background HIV-associated lipodystrophy is a disorder of fat metabolism that occurs in patients with HIV infection. It can cause metabolic derangements</w:t>
      </w:r>
      <w:r w:rsidR="00F81221">
        <w:rPr>
          <w:kern w:val="0"/>
          <w:szCs w:val="24"/>
        </w:rPr>
        <w:t xml:space="preserve"> and </w:t>
      </w:r>
      <w:r>
        <w:rPr>
          <w:kern w:val="0"/>
          <w:szCs w:val="24"/>
        </w:rPr>
        <w:t>negative self-perceptions of body image,</w:t>
      </w:r>
      <w:r w:rsidR="00F81221">
        <w:rPr>
          <w:kern w:val="0"/>
          <w:szCs w:val="24"/>
        </w:rPr>
        <w:t xml:space="preserve"> and </w:t>
      </w:r>
      <w:r>
        <w:rPr>
          <w:kern w:val="0"/>
          <w:szCs w:val="24"/>
        </w:rPr>
        <w:t>result in noncompliance with highly active antiretroviral therapy (HAART). Growth hormone (GH) axis drugs have been evaluated for treatment of this disorder, but no systematic review has been conducted previously. Objectives The aim of the review was to compare the effects of GH axis drugs vs. placebo in changing visceral adipose tissue (VAT), subcutaneous adipose tissue (SAT)</w:t>
      </w:r>
      <w:r w:rsidR="00F81221">
        <w:rPr>
          <w:kern w:val="0"/>
          <w:szCs w:val="24"/>
        </w:rPr>
        <w:t xml:space="preserve"> and </w:t>
      </w:r>
      <w:r>
        <w:rPr>
          <w:kern w:val="0"/>
          <w:szCs w:val="24"/>
        </w:rPr>
        <w:t>lean body mass (LBM) in patients with HIV-associated lipodystrophy. Search methods We searched MEDLINE (1996-2009), CENTRAL (Issue 4, 2009), Web of Science, Summons, Google Scholar, the Food</w:t>
      </w:r>
      <w:r w:rsidR="00F81221">
        <w:rPr>
          <w:kern w:val="0"/>
          <w:szCs w:val="24"/>
        </w:rPr>
        <w:t xml:space="preserve"> and </w:t>
      </w:r>
      <w:r>
        <w:rPr>
          <w:kern w:val="0"/>
          <w:szCs w:val="24"/>
        </w:rPr>
        <w:t>Drug Administration (FDA) website,</w:t>
      </w:r>
      <w:r w:rsidR="00F81221">
        <w:rPr>
          <w:kern w:val="0"/>
          <w:szCs w:val="24"/>
        </w:rPr>
        <w:t xml:space="preserve"> and </w:t>
      </w:r>
      <w:r>
        <w:rPr>
          <w:kern w:val="0"/>
          <w:szCs w:val="24"/>
        </w:rPr>
        <w:t>Clinicaltrials.gov from 13 October 2009 to 7 June 2010. We excluded newspaper articles</w:t>
      </w:r>
      <w:r w:rsidR="00F81221">
        <w:rPr>
          <w:kern w:val="0"/>
          <w:szCs w:val="24"/>
        </w:rPr>
        <w:t xml:space="preserve"> and </w:t>
      </w:r>
      <w:r>
        <w:rPr>
          <w:kern w:val="0"/>
          <w:szCs w:val="24"/>
        </w:rPr>
        <w:t>book reviews from the Summons search; this was the only search limitation applied. We also manually reviewed references of included articles. Selection criteria Inclusion criteria were as follows: randomized placebo-controlled trial (RCT); study participants with HIV-associated lipodystrophy; intervention consisting of GH, growth hormone releasing hormone (GHRH), tesamorelin or insulin-like growth factor-1 (IGF-1); study including at least one primary outcome of interest: change in VAT, SAT or LBM. Data collection</w:t>
      </w:r>
      <w:r w:rsidR="00F81221">
        <w:rPr>
          <w:kern w:val="0"/>
          <w:szCs w:val="24"/>
        </w:rPr>
        <w:t xml:space="preserve"> and </w:t>
      </w:r>
      <w:r>
        <w:rPr>
          <w:kern w:val="0"/>
          <w:szCs w:val="24"/>
        </w:rPr>
        <w:t>analysis Two independent reviewers extracted data</w:t>
      </w:r>
      <w:r w:rsidR="00F81221">
        <w:rPr>
          <w:kern w:val="0"/>
          <w:szCs w:val="24"/>
        </w:rPr>
        <w:t xml:space="preserve"> and </w:t>
      </w:r>
      <w:r>
        <w:rPr>
          <w:kern w:val="0"/>
          <w:szCs w:val="24"/>
        </w:rPr>
        <w:t xml:space="preserve">assessed study quality using a standardized form. The authors of one study were contacted for missing information. The main effect was calculated as a summary of the mean differences in </w:t>
      </w:r>
      <w:r>
        <w:rPr>
          <w:kern w:val="0"/>
          <w:szCs w:val="24"/>
        </w:rPr>
        <w:lastRenderedPageBreak/>
        <w:t>VAT, SAT</w:t>
      </w:r>
      <w:r w:rsidR="00F81221">
        <w:rPr>
          <w:kern w:val="0"/>
          <w:szCs w:val="24"/>
        </w:rPr>
        <w:t xml:space="preserve"> and </w:t>
      </w:r>
      <w:r>
        <w:rPr>
          <w:kern w:val="0"/>
          <w:szCs w:val="24"/>
        </w:rPr>
        <w:t>LBM between the intervention</w:t>
      </w:r>
      <w:r w:rsidR="00F81221">
        <w:rPr>
          <w:kern w:val="0"/>
          <w:szCs w:val="24"/>
        </w:rPr>
        <w:t xml:space="preserve"> and </w:t>
      </w:r>
      <w:r>
        <w:rPr>
          <w:kern w:val="0"/>
          <w:szCs w:val="24"/>
        </w:rPr>
        <w:t>placebo groups in the included studies. Subgroup analyses were performed to assess different GH axis drug classes. Results Ten RCTs including 1511 patients were included in the review. All had a low risk of bias</w:t>
      </w:r>
      <w:r w:rsidR="00F81221">
        <w:rPr>
          <w:kern w:val="0"/>
          <w:szCs w:val="24"/>
        </w:rPr>
        <w:t xml:space="preserve"> and </w:t>
      </w:r>
      <w:r>
        <w:rPr>
          <w:kern w:val="0"/>
          <w:szCs w:val="24"/>
        </w:rPr>
        <w:t>passed the test of heterogeneity for each primary outcome. Compared with placebo, GH axis treatments decreased VAT [weighted mean difference (WMD) -25.20 cm(2); 95% confidence interval (CI) -32.18 to -18.22 cm(2); P&lt;0.001]</w:t>
      </w:r>
      <w:r w:rsidR="00F81221">
        <w:rPr>
          <w:kern w:val="0"/>
          <w:szCs w:val="24"/>
        </w:rPr>
        <w:t xml:space="preserve"> and </w:t>
      </w:r>
      <w:r>
        <w:rPr>
          <w:kern w:val="0"/>
          <w:szCs w:val="24"/>
        </w:rPr>
        <w:t>increased LBM (WMD 1.31 kg; 95% CI 1.00 to 1.61 kg; P&lt;0.001], but had no significant effect on SAT mass (WMD -3.94 cm(2); 95% CI -10.88 to 3.00 cm(2); P=0.27]. Subgroup analyses showed that GH had the most significant effects on VAT</w:t>
      </w:r>
      <w:r w:rsidR="00F81221">
        <w:rPr>
          <w:kern w:val="0"/>
          <w:szCs w:val="24"/>
        </w:rPr>
        <w:t xml:space="preserve"> and </w:t>
      </w:r>
      <w:r>
        <w:rPr>
          <w:kern w:val="0"/>
          <w:szCs w:val="24"/>
        </w:rPr>
        <w:t>SAT, but none on LBM. The drugs were well tolerated but statistically significant side effects included arthralgias</w:t>
      </w:r>
      <w:r w:rsidR="00F81221">
        <w:rPr>
          <w:kern w:val="0"/>
          <w:szCs w:val="24"/>
        </w:rPr>
        <w:t xml:space="preserve"> and </w:t>
      </w:r>
      <w:r>
        <w:rPr>
          <w:kern w:val="0"/>
          <w:szCs w:val="24"/>
        </w:rPr>
        <w:t>oedema. Conclusions Our review indicates that, based on the findings of the 10 included studies, GH axis treatments are effective in reducing VAT</w:t>
      </w:r>
      <w:r w:rsidR="00F81221">
        <w:rPr>
          <w:kern w:val="0"/>
          <w:szCs w:val="24"/>
        </w:rPr>
        <w:t xml:space="preserve"> and </w:t>
      </w:r>
      <w:r>
        <w:rPr>
          <w:kern w:val="0"/>
          <w:szCs w:val="24"/>
        </w:rPr>
        <w:t>increasing LBM in patients with HIV-associated lipodystrophy. However, clinicians must decide whether the attributed benefits are clinically significant, considering the costs</w:t>
      </w:r>
      <w:r w:rsidR="00F81221">
        <w:rPr>
          <w:kern w:val="0"/>
          <w:szCs w:val="24"/>
        </w:rPr>
        <w:t xml:space="preserve"> and </w:t>
      </w:r>
      <w:r>
        <w:rPr>
          <w:kern w:val="0"/>
          <w:szCs w:val="24"/>
        </w:rPr>
        <w:t>potential risks of GH axis treatments. A limitation of this study is the small number of studies available of each GH axis drug class.</w:t>
      </w:r>
    </w:p>
    <w:p w:rsidR="00E74AD4" w:rsidRDefault="00E74AD4" w:rsidP="00E74AD4">
      <w:pPr>
        <w:pStyle w:val="a0"/>
        <w:rPr>
          <w:kern w:val="0"/>
          <w:szCs w:val="24"/>
        </w:rPr>
      </w:pPr>
      <w:r>
        <w:rPr>
          <w:kern w:val="0"/>
          <w:szCs w:val="24"/>
        </w:rPr>
        <w:t xml:space="preserve">Keywords: Abdominal Fat Accumulation, Adipose, Administration, Aids, Analysis, Antiretroviral, Antiretroviral Therapy, Authors, Bias, Complications, Costs, Diagnosis, Disorder, Double-Blind, Drug, Drugs, Fat, Google Scholar, Growth, Growth Hormone, HAART, HIV, Hormone, Infected Patients, Infection, Information, Interest, Intervention, Lipoatrophy, Lipodystrophy, Lipohypertrophy, Medline, Outcome, Patients, Primary, Randomized Controlled-Trial, Review, Risk, Safety, Science, Side Effects, Systematic, Systematic Review, Tesamorelin, Therapy, Treatment, Web </w:t>
      </w:r>
      <w:r>
        <w:rPr>
          <w:rFonts w:hint="eastAsia"/>
          <w:kern w:val="0"/>
          <w:szCs w:val="24"/>
        </w:rPr>
        <w:t>o</w:t>
      </w:r>
      <w:r>
        <w:rPr>
          <w:kern w:val="0"/>
          <w:szCs w:val="24"/>
        </w:rPr>
        <w:t>f Science</w:t>
      </w:r>
    </w:p>
    <w:p w:rsidR="00B95188" w:rsidRPr="00A428C3" w:rsidRDefault="00B95188" w:rsidP="00B95188">
      <w:pPr>
        <w:pStyle w:val="1"/>
        <w:rPr>
          <w:lang w:val="de-DE"/>
        </w:rPr>
      </w:pPr>
      <w:r w:rsidRPr="00A428C3">
        <w:rPr>
          <w:lang w:val="de-DE"/>
        </w:rPr>
        <w:br w:type="page"/>
      </w:r>
      <w:bookmarkStart w:id="614" w:name="_Toc186647777"/>
      <w:bookmarkStart w:id="615" w:name="_Toc317161033"/>
      <w:r w:rsidRPr="00A428C3">
        <w:rPr>
          <w:lang w:val="de-DE"/>
        </w:rPr>
        <w:lastRenderedPageBreak/>
        <w:t>Title: Holz Als Roh-und Werkstoff</w:t>
      </w:r>
      <w:bookmarkEnd w:id="614"/>
      <w:bookmarkEnd w:id="615"/>
    </w:p>
    <w:p w:rsidR="00B95188" w:rsidRPr="00F07064" w:rsidRDefault="00B95188" w:rsidP="00B72EF9">
      <w:pPr>
        <w:pStyle w:val="12"/>
      </w:pPr>
      <w:r w:rsidRPr="00F07064">
        <w:t xml:space="preserve">Full Journal Title: </w:t>
      </w:r>
      <w:hyperlink r:id="rId668" w:history="1">
        <w:r w:rsidRPr="00F07064">
          <w:rPr>
            <w:rStyle w:val="a5"/>
            <w:u w:val="none"/>
          </w:rPr>
          <w:t>Holz Als Roh-und Werkstoff</w:t>
        </w:r>
      </w:hyperlink>
      <w:r w:rsidRPr="00F07064">
        <w:t xml:space="preserve">; </w:t>
      </w:r>
      <w:hyperlink r:id="rId669" w:history="1">
        <w:r w:rsidRPr="00F07064">
          <w:rPr>
            <w:rStyle w:val="a5"/>
            <w:u w:val="none"/>
          </w:rPr>
          <w:t>Holz Als Roh-und Werkstoff</w:t>
        </w:r>
      </w:hyperlink>
    </w:p>
    <w:p w:rsidR="00B95188" w:rsidRPr="00F07064" w:rsidRDefault="00B95188" w:rsidP="00B72EF9">
      <w:pPr>
        <w:pStyle w:val="12"/>
      </w:pPr>
      <w:r w:rsidRPr="00F07064">
        <w:t>ISO Abbreviated Title: Holz Als Roh-und Werkst.</w:t>
      </w:r>
    </w:p>
    <w:p w:rsidR="00B95188" w:rsidRPr="00F07064" w:rsidRDefault="00B95188" w:rsidP="00B72EF9">
      <w:pPr>
        <w:pStyle w:val="12"/>
      </w:pPr>
      <w:r w:rsidRPr="00F07064">
        <w:t>JCR Abbreviated Title: Holz Roh Werkst</w:t>
      </w:r>
    </w:p>
    <w:p w:rsidR="00B95188" w:rsidRPr="00F07064" w:rsidRDefault="00B95188" w:rsidP="00B72EF9">
      <w:pPr>
        <w:pStyle w:val="12"/>
      </w:pPr>
      <w:r w:rsidRPr="00F07064">
        <w:t>ISSN: 0018-3768</w:t>
      </w:r>
    </w:p>
    <w:p w:rsidR="00B95188" w:rsidRPr="00F07064" w:rsidRDefault="00B95188" w:rsidP="00B72EF9">
      <w:pPr>
        <w:pStyle w:val="12"/>
      </w:pPr>
      <w:r w:rsidRPr="00F07064">
        <w:t>Issues/Year: 6</w:t>
      </w:r>
    </w:p>
    <w:p w:rsidR="00B95188" w:rsidRPr="00F07064" w:rsidRDefault="00B95188" w:rsidP="00B72EF9">
      <w:pPr>
        <w:pStyle w:val="12"/>
      </w:pPr>
      <w:r w:rsidRPr="00F07064">
        <w:t>Journal Country/Territory: Germany</w:t>
      </w:r>
    </w:p>
    <w:p w:rsidR="00B95188" w:rsidRPr="00F07064" w:rsidRDefault="00B95188" w:rsidP="00B72EF9">
      <w:pPr>
        <w:pStyle w:val="12"/>
      </w:pPr>
      <w:r w:rsidRPr="00F07064">
        <w:t>Language: Multi-Language</w:t>
      </w:r>
    </w:p>
    <w:p w:rsidR="00B95188" w:rsidRPr="00F07064" w:rsidRDefault="00B95188" w:rsidP="00B72EF9">
      <w:pPr>
        <w:pStyle w:val="12"/>
      </w:pPr>
      <w:r w:rsidRPr="00F07064">
        <w:t>Publisher: Springer-Verlag</w:t>
      </w:r>
    </w:p>
    <w:p w:rsidR="00B95188" w:rsidRPr="00F07064" w:rsidRDefault="00B95188" w:rsidP="00B72EF9">
      <w:pPr>
        <w:pStyle w:val="12"/>
      </w:pPr>
      <w:r w:rsidRPr="00F07064">
        <w:t>Publisher Address: 175 Fifth Ave, New York, Ny 10010</w:t>
      </w:r>
    </w:p>
    <w:p w:rsidR="00B95188" w:rsidRPr="00F07064" w:rsidRDefault="00B95188" w:rsidP="00B72EF9">
      <w:pPr>
        <w:pStyle w:val="12"/>
      </w:pPr>
      <w:r w:rsidRPr="00F07064">
        <w:t>Subject Categories:</w:t>
      </w:r>
    </w:p>
    <w:p w:rsidR="00B95188" w:rsidRPr="00F07064" w:rsidRDefault="00B95188" w:rsidP="00B72EF9">
      <w:pPr>
        <w:pStyle w:val="12"/>
      </w:pPr>
      <w:r w:rsidRPr="00F07064">
        <w:t>Materials Science, Paper &amp; Wood: Impact Factor 0.242 (2002)</w:t>
      </w:r>
    </w:p>
    <w:p w:rsidR="00B95188" w:rsidRPr="00A428C3" w:rsidRDefault="00B95188" w:rsidP="00B95188">
      <w:pPr>
        <w:pStyle w:val="a0"/>
        <w:rPr>
          <w:lang w:val="de-DE"/>
        </w:rPr>
      </w:pPr>
      <w:r w:rsidRPr="00A428C3">
        <w:t>Kartal, S.N.</w:t>
      </w:r>
      <w:r w:rsidR="00F81221">
        <w:t xml:space="preserve"> and </w:t>
      </w:r>
      <w:r w:rsidRPr="00A428C3">
        <w:t xml:space="preserve">Kose, C. (2003), Remediation of CCA-C treated wood using chelating agents. </w:t>
      </w:r>
      <w:r w:rsidRPr="00A428C3">
        <w:rPr>
          <w:i/>
          <w:iCs/>
          <w:lang w:val="de-DE"/>
        </w:rPr>
        <w:t>Holz Als Roh-und Werkstoff</w:t>
      </w:r>
      <w:r w:rsidRPr="00A428C3">
        <w:rPr>
          <w:lang w:val="de-DE"/>
        </w:rPr>
        <w:t xml:space="preserve">, </w:t>
      </w:r>
      <w:r w:rsidRPr="00A428C3">
        <w:rPr>
          <w:b/>
          <w:lang w:val="de-DE"/>
        </w:rPr>
        <w:t>61</w:t>
      </w:r>
      <w:r w:rsidRPr="00A428C3">
        <w:rPr>
          <w:lang w:val="de-DE"/>
        </w:rPr>
        <w:t xml:space="preserve"> (5), 382-387.</w:t>
      </w:r>
    </w:p>
    <w:p w:rsidR="00B95188" w:rsidRPr="00A428C3" w:rsidRDefault="00B95188" w:rsidP="00B95188">
      <w:pPr>
        <w:pStyle w:val="a0"/>
        <w:rPr>
          <w:lang w:val="de-DE"/>
        </w:rPr>
      </w:pPr>
      <w:r w:rsidRPr="00A428C3">
        <w:rPr>
          <w:lang w:val="de-DE"/>
        </w:rPr>
        <w:t xml:space="preserve">Full Text: </w:t>
      </w:r>
      <w:hyperlink r:id="rId670" w:history="1">
        <w:r w:rsidRPr="00A428C3">
          <w:rPr>
            <w:rStyle w:val="a5"/>
            <w:lang w:val="de-DE"/>
          </w:rPr>
          <w:t>H\Hol Als Roh Wer61, 382.pdf</w:t>
        </w:r>
      </w:hyperlink>
    </w:p>
    <w:p w:rsidR="00B95188" w:rsidRPr="00A428C3" w:rsidRDefault="00B95188" w:rsidP="00B95188">
      <w:pPr>
        <w:pStyle w:val="a0"/>
      </w:pPr>
      <w:r w:rsidRPr="00A428C3">
        <w:t>Abstract: This study evaluates the effects of the common chelating agents, ethylenediaminetetracetic acid (EDTA), nitrilotriacetic acid (NTA),</w:t>
      </w:r>
      <w:r w:rsidR="00F81221">
        <w:t xml:space="preserve"> and </w:t>
      </w:r>
      <w:r w:rsidRPr="00A428C3">
        <w:t>oxalic acid (OA) on the removal of copper, chromium,</w:t>
      </w:r>
      <w:r w:rsidR="00F81221">
        <w:t xml:space="preserve"> and </w:t>
      </w:r>
      <w:r w:rsidRPr="00A428C3">
        <w:t>arsenic from CCA-C treated wood. In the study, the removal of the metal oxides from treated chips</w:t>
      </w:r>
      <w:r w:rsidR="00F81221">
        <w:t xml:space="preserve"> and </w:t>
      </w:r>
      <w:r w:rsidRPr="00A428C3">
        <w:t>sawdust by EDTA</w:t>
      </w:r>
      <w:r w:rsidR="00F81221">
        <w:t xml:space="preserve"> and </w:t>
      </w:r>
      <w:r w:rsidRPr="00A428C3">
        <w:t>NTA in conjunction with OA in dual extraction processes was investigated using batch-leaching experiments. Exposing CCA-C treated chips</w:t>
      </w:r>
      <w:r w:rsidR="00F81221">
        <w:t xml:space="preserve"> and </w:t>
      </w:r>
      <w:r w:rsidRPr="00A428C3">
        <w:t>sawdust to chelat extraction enhanced the removal of CCA-C components compared to extraction by deionized water. Grinding CCA-C treated wood chips into 40- mesh sawdust provided greater access to</w:t>
      </w:r>
      <w:r w:rsidR="00F81221">
        <w:t xml:space="preserve"> and </w:t>
      </w:r>
      <w:r w:rsidRPr="00A428C3">
        <w:t>removal of CCA-C components. Extraction with EDTA, OA</w:t>
      </w:r>
      <w:r w:rsidR="00F81221">
        <w:t xml:space="preserve"> and </w:t>
      </w:r>
      <w:r w:rsidRPr="00A428C3">
        <w:t>NTA, OA in dual extraction processes removed about 100% copper</w:t>
      </w:r>
      <w:r w:rsidR="00F81221">
        <w:t xml:space="preserve"> and </w:t>
      </w:r>
      <w:r w:rsidRPr="00A428C3">
        <w:t>arsenic</w:t>
      </w:r>
      <w:r w:rsidR="00F81221">
        <w:t xml:space="preserve"> and </w:t>
      </w:r>
      <w:r w:rsidRPr="00A428C3">
        <w:t>90% chromium from CCA-C treated sawdust. However dual extraction of CCA-C treated chips resulted in about 80% copper</w:t>
      </w:r>
      <w:r w:rsidR="00F81221">
        <w:t xml:space="preserve"> and </w:t>
      </w:r>
      <w:r w:rsidRPr="00A428C3">
        <w:t>arsenic,</w:t>
      </w:r>
      <w:r w:rsidR="00F81221">
        <w:t xml:space="preserve"> and </w:t>
      </w:r>
      <w:r w:rsidRPr="00A428C3">
        <w:t>70% chromium removal. In single extraction processes, EDTA</w:t>
      </w:r>
      <w:r w:rsidR="00F81221">
        <w:t xml:space="preserve"> and </w:t>
      </w:r>
      <w:r w:rsidRPr="00A428C3">
        <w:t>NTA removed significant amounts of copper from CCA-C treated chips</w:t>
      </w:r>
      <w:r w:rsidR="00F81221">
        <w:t xml:space="preserve"> and </w:t>
      </w:r>
      <w:r w:rsidRPr="00A428C3">
        <w:t>sawdust compared to other components.</w:t>
      </w:r>
    </w:p>
    <w:p w:rsidR="00B95188" w:rsidRPr="00A428C3" w:rsidRDefault="00B95188" w:rsidP="00B95188">
      <w:pPr>
        <w:pStyle w:val="a0"/>
      </w:pPr>
      <w:r w:rsidRPr="00A428C3">
        <w:t>Keywords: Brown-Rot Decay, Chemistry, Chromium Interactions, Contaminated Soils, Edta Extraction, Heavy-Metals, Kinetic-Behavior, Oxalic-Acid, Preservatives, Removal</w:t>
      </w:r>
    </w:p>
    <w:p w:rsidR="00B95188" w:rsidRPr="00A428C3" w:rsidRDefault="00B95188" w:rsidP="00B95188">
      <w:pPr>
        <w:pStyle w:val="a0"/>
        <w:rPr>
          <w:lang w:val="de-DE"/>
        </w:rPr>
      </w:pPr>
      <w:r w:rsidRPr="00A428C3">
        <w:t>Chauhan, S.S.</w:t>
      </w:r>
      <w:r w:rsidR="00F81221">
        <w:t xml:space="preserve"> and </w:t>
      </w:r>
      <w:r w:rsidRPr="00A428C3">
        <w:t xml:space="preserve">Aggarwal, P. (2004), Effect of moisture sorption state on transverse dimensional changes in wood. </w:t>
      </w:r>
      <w:r w:rsidRPr="00A428C3">
        <w:rPr>
          <w:i/>
          <w:iCs/>
          <w:lang w:val="de-DE"/>
        </w:rPr>
        <w:t>Holz Als Roh-und Werkstoff</w:t>
      </w:r>
      <w:r w:rsidRPr="00A428C3">
        <w:rPr>
          <w:lang w:val="de-DE"/>
        </w:rPr>
        <w:t xml:space="preserve">, </w:t>
      </w:r>
      <w:r w:rsidRPr="00A428C3">
        <w:rPr>
          <w:b/>
          <w:lang w:val="de-DE"/>
        </w:rPr>
        <w:t>62</w:t>
      </w:r>
      <w:r w:rsidRPr="00A428C3">
        <w:rPr>
          <w:lang w:val="de-DE"/>
        </w:rPr>
        <w:t xml:space="preserve"> (1), 50-55.</w:t>
      </w:r>
    </w:p>
    <w:p w:rsidR="00B95188" w:rsidRPr="00A428C3" w:rsidRDefault="00B95188" w:rsidP="00B95188">
      <w:pPr>
        <w:pStyle w:val="a0"/>
        <w:rPr>
          <w:lang w:val="de-DE"/>
        </w:rPr>
      </w:pPr>
      <w:r w:rsidRPr="00A428C3">
        <w:rPr>
          <w:lang w:val="de-DE"/>
        </w:rPr>
        <w:t xml:space="preserve">Full Text: </w:t>
      </w:r>
      <w:hyperlink r:id="rId671" w:history="1">
        <w:r w:rsidRPr="00A428C3">
          <w:rPr>
            <w:rStyle w:val="a5"/>
            <w:lang w:val="de-DE"/>
          </w:rPr>
          <w:t>H\Hol Als Roh Wer62, 50.pdf</w:t>
        </w:r>
      </w:hyperlink>
    </w:p>
    <w:p w:rsidR="00B95188" w:rsidRPr="00A428C3" w:rsidRDefault="00B95188" w:rsidP="00B95188">
      <w:pPr>
        <w:pStyle w:val="a0"/>
      </w:pPr>
      <w:r w:rsidRPr="00A428C3">
        <w:t xml:space="preserve">Abstract: The purpose of the study was to understand the transverse dimensional </w:t>
      </w:r>
      <w:r w:rsidRPr="00A428C3">
        <w:lastRenderedPageBreak/>
        <w:t>changes</w:t>
      </w:r>
      <w:r w:rsidR="00F81221">
        <w:t xml:space="preserve"> and </w:t>
      </w:r>
      <w:r w:rsidRPr="00A428C3">
        <w:t>corresponding anisotropicity in wood during different states of moisture sorption. Oven dried samples of Erythrina variegata, Lannea coromandelica, Gmelina arborea</w:t>
      </w:r>
      <w:r w:rsidR="00F81221">
        <w:t xml:space="preserve"> and </w:t>
      </w:r>
      <w:r w:rsidRPr="00A428C3">
        <w:t>Albizia chinensis were adsorbed</w:t>
      </w:r>
      <w:r w:rsidR="00F81221">
        <w:t xml:space="preserve"> and </w:t>
      </w:r>
      <w:r w:rsidRPr="00A428C3">
        <w:t>subsequently desorbed at constant temperature (35</w:t>
      </w:r>
      <w:r w:rsidR="008A7E71">
        <w:t>°</w:t>
      </w:r>
      <w:r w:rsidRPr="00A428C3">
        <w:t>C). Tangential</w:t>
      </w:r>
      <w:r w:rsidR="00F81221">
        <w:t xml:space="preserve"> and </w:t>
      </w:r>
      <w:r w:rsidRPr="00A428C3">
        <w:t>radial dimensional changes (swelling) were analysed with respect to relative humidity</w:t>
      </w:r>
      <w:r w:rsidR="00F81221">
        <w:t xml:space="preserve"> and </w:t>
      </w:r>
      <w:r w:rsidRPr="00A428C3">
        <w:t>moisture content during both the states of sorption. Dimensions in tangential direction were found to change at a relatively greater rate than in radial direction at high humidities. It was observed that transverse dimensions were more during desorption compared to adsorption at a given equilibrium moisture content. This confirms presence a second order effect of moisture sorption on dimensional movement. This effect was found to be more prominent in tangential direction compared to radial direction resulting in higher coefficient of anisotropy (alpha(T)/alpha(R) ratio) during desorption. The magnitude of this phenomenon was found to vary from species to species.</w:t>
      </w:r>
    </w:p>
    <w:p w:rsidR="00B95188" w:rsidRPr="00A428C3" w:rsidRDefault="00B95188" w:rsidP="00B95188">
      <w:pPr>
        <w:pStyle w:val="a0"/>
      </w:pPr>
      <w:r w:rsidRPr="00A428C3">
        <w:t>Keywords: Sugar Maple Wood, Hardwoods</w:t>
      </w:r>
    </w:p>
    <w:p w:rsidR="00B95188" w:rsidRPr="00A428C3" w:rsidRDefault="00B95188" w:rsidP="00B95188">
      <w:pPr>
        <w:pStyle w:val="a0"/>
        <w:rPr>
          <w:lang w:val="de-DE"/>
        </w:rPr>
      </w:pPr>
      <w:r w:rsidRPr="00A428C3">
        <w:rPr>
          <w:szCs w:val="18"/>
        </w:rPr>
        <w:t>Šciban</w:t>
      </w:r>
      <w:r w:rsidRPr="00A428C3">
        <w:t>, M.</w:t>
      </w:r>
      <w:r w:rsidR="00F81221">
        <w:t xml:space="preserve"> and </w:t>
      </w:r>
      <w:r w:rsidRPr="00A428C3">
        <w:rPr>
          <w:szCs w:val="18"/>
        </w:rPr>
        <w:t>Klašnja</w:t>
      </w:r>
      <w:r w:rsidRPr="00A428C3">
        <w:t>, M. (2004), Wood sawdust</w:t>
      </w:r>
      <w:r w:rsidR="00F81221">
        <w:t xml:space="preserve"> and </w:t>
      </w:r>
      <w:r w:rsidRPr="00A428C3">
        <w:t xml:space="preserve">wood originate materials as adsorbents for heavy metal ions. </w:t>
      </w:r>
      <w:r w:rsidRPr="00A428C3">
        <w:rPr>
          <w:i/>
          <w:iCs/>
          <w:lang w:val="de-DE"/>
        </w:rPr>
        <w:t>Holz Als Roh-und Werkstoff</w:t>
      </w:r>
      <w:r w:rsidRPr="00A428C3">
        <w:rPr>
          <w:lang w:val="de-DE"/>
        </w:rPr>
        <w:t xml:space="preserve">, </w:t>
      </w:r>
      <w:r w:rsidRPr="00A428C3">
        <w:rPr>
          <w:b/>
          <w:lang w:val="de-DE"/>
        </w:rPr>
        <w:t>62</w:t>
      </w:r>
      <w:r w:rsidRPr="00A428C3">
        <w:rPr>
          <w:lang w:val="de-DE"/>
        </w:rPr>
        <w:t xml:space="preserve"> (1), 69-73.</w:t>
      </w:r>
    </w:p>
    <w:p w:rsidR="00B95188" w:rsidRPr="00A428C3" w:rsidRDefault="00B95188" w:rsidP="00B95188">
      <w:pPr>
        <w:pStyle w:val="a0"/>
        <w:rPr>
          <w:lang w:val="de-DE"/>
        </w:rPr>
      </w:pPr>
      <w:r w:rsidRPr="00A428C3">
        <w:rPr>
          <w:lang w:val="de-DE"/>
        </w:rPr>
        <w:t xml:space="preserve">Full Text: </w:t>
      </w:r>
      <w:hyperlink r:id="rId672" w:history="1">
        <w:r w:rsidRPr="00A428C3">
          <w:rPr>
            <w:rStyle w:val="a5"/>
            <w:lang w:val="de-DE"/>
          </w:rPr>
          <w:t>H\Hol Als Roh Wer62, 69.pdf</w:t>
        </w:r>
      </w:hyperlink>
    </w:p>
    <w:p w:rsidR="00B95188" w:rsidRPr="00A428C3" w:rsidRDefault="00B95188" w:rsidP="00B95188">
      <w:pPr>
        <w:pStyle w:val="a0"/>
      </w:pPr>
      <w:r w:rsidRPr="00A428C3">
        <w:t>Abstract: The abilities of different types of wood sawdust</w:t>
      </w:r>
      <w:r w:rsidR="00F81221">
        <w:t xml:space="preserve"> and </w:t>
      </w:r>
      <w:r w:rsidRPr="00A428C3">
        <w:t>wood originate materials for removing some toxic heavy metal ions from water were investigated. Sawdust of poplar, willow, fir, oak</w:t>
      </w:r>
      <w:r w:rsidR="00F81221">
        <w:t xml:space="preserve"> and </w:t>
      </w:r>
      <w:r w:rsidRPr="00A428C3">
        <w:t>black locust wood, pulp</w:t>
      </w:r>
      <w:r w:rsidR="00F81221">
        <w:t xml:space="preserve"> and </w:t>
      </w:r>
      <w:r w:rsidRPr="00A428C3">
        <w:t>Kraft lignin were used as adsorbents. The effects of contact time, pH, metal concentration</w:t>
      </w:r>
      <w:r w:rsidR="00F81221">
        <w:t xml:space="preserve"> and </w:t>
      </w:r>
      <w:r w:rsidRPr="00A428C3">
        <w:t>sawdust particle size on the removal of Cu(II) ions by poplar sawdust have been studied. Leaching from these adsorbents into water during adsorption was also investigated.</w:t>
      </w:r>
    </w:p>
    <w:p w:rsidR="00B95188" w:rsidRPr="00A428C3" w:rsidRDefault="00B95188" w:rsidP="00B95188">
      <w:pPr>
        <w:pStyle w:val="a0"/>
      </w:pPr>
      <w:r w:rsidRPr="00A428C3">
        <w:t>Keywords: Adsorption, Bark, Heavy Metal, Heavy Metal Ions, Heavy-Metal, Removal, Sorption, Wastes, Wood</w:t>
      </w:r>
    </w:p>
    <w:p w:rsidR="00B95188" w:rsidRPr="00A428C3" w:rsidRDefault="00B95188" w:rsidP="00B95188">
      <w:pPr>
        <w:pStyle w:val="a0"/>
        <w:rPr>
          <w:lang w:val="de-DE"/>
        </w:rPr>
      </w:pPr>
      <w:r w:rsidRPr="00A428C3">
        <w:t>Namasivayam, C.</w:t>
      </w:r>
      <w:r w:rsidR="00F81221">
        <w:t xml:space="preserve"> and </w:t>
      </w:r>
      <w:r w:rsidRPr="00A428C3">
        <w:t>Höll, W.H. (2004), Chromium(III) removal in tannery waste waters using Chinese Reed (</w:t>
      </w:r>
      <w:r w:rsidRPr="00A428C3">
        <w:rPr>
          <w:i/>
          <w:iCs/>
        </w:rPr>
        <w:t>Miscanthus Sinensis</w:t>
      </w:r>
      <w:r w:rsidRPr="00A428C3">
        <w:t xml:space="preserve">), a fast growing plant. </w:t>
      </w:r>
      <w:r w:rsidRPr="00A428C3">
        <w:rPr>
          <w:i/>
          <w:iCs/>
          <w:lang w:val="de-DE"/>
        </w:rPr>
        <w:t>Holz Als Roh-und Werkstoff</w:t>
      </w:r>
      <w:r w:rsidRPr="00A428C3">
        <w:rPr>
          <w:lang w:val="de-DE"/>
        </w:rPr>
        <w:t xml:space="preserve">, </w:t>
      </w:r>
      <w:r w:rsidRPr="00A428C3">
        <w:rPr>
          <w:b/>
          <w:lang w:val="de-DE"/>
        </w:rPr>
        <w:t>62</w:t>
      </w:r>
      <w:r w:rsidRPr="00A428C3">
        <w:rPr>
          <w:lang w:val="de-DE"/>
        </w:rPr>
        <w:t xml:space="preserve"> (1), 74-80.</w:t>
      </w:r>
    </w:p>
    <w:p w:rsidR="00B95188" w:rsidRPr="00A428C3" w:rsidRDefault="00B95188" w:rsidP="00B95188">
      <w:pPr>
        <w:pStyle w:val="a0"/>
        <w:rPr>
          <w:lang w:val="de-DE"/>
        </w:rPr>
      </w:pPr>
      <w:r w:rsidRPr="00A428C3">
        <w:rPr>
          <w:lang w:val="de-DE"/>
        </w:rPr>
        <w:t xml:space="preserve">Full Text: </w:t>
      </w:r>
      <w:hyperlink r:id="rId673" w:history="1">
        <w:r w:rsidRPr="00A428C3">
          <w:rPr>
            <w:rStyle w:val="a5"/>
            <w:lang w:val="de-DE"/>
          </w:rPr>
          <w:t>H\Hol Als Roh Wer62, 74.pdf</w:t>
        </w:r>
      </w:hyperlink>
    </w:p>
    <w:p w:rsidR="00B95188" w:rsidRPr="00A428C3" w:rsidRDefault="00B95188" w:rsidP="00B95188">
      <w:pPr>
        <w:pStyle w:val="a0"/>
      </w:pPr>
      <w:r w:rsidRPr="00A428C3">
        <w:t>Abstract: Dried Chinese Reed (</w:t>
      </w:r>
      <w:r w:rsidRPr="00A428C3">
        <w:rPr>
          <w:i/>
          <w:iCs/>
        </w:rPr>
        <w:t>Miscanthus sinensis</w:t>
      </w:r>
      <w:r w:rsidRPr="00A428C3">
        <w:t>) was investigated as adsorbent for the removal of Cr(III) from tannery wastewater. Batch mode adsorption studies were conducted using aqueous solutions of Cr(III). Parameters studied include Cr(III) concentration, agitation time, adsorbent dose</w:t>
      </w:r>
      <w:r w:rsidR="00F81221">
        <w:t xml:space="preserve"> and </w:t>
      </w:r>
      <w:r w:rsidRPr="00A428C3">
        <w:t>pH. Adsorption followed pseudo-second order kinetic model. Equilibrium adsorption data obeyed both Langmuir</w:t>
      </w:r>
      <w:r w:rsidR="00F81221">
        <w:t xml:space="preserve"> and </w:t>
      </w:r>
      <w:r w:rsidRPr="00A428C3">
        <w:t>Freundlich isotherms. Langmuir adsorption capacity was found to be 1.85 mg/g. Effects of pH on adsorption</w:t>
      </w:r>
      <w:r w:rsidR="00F81221">
        <w:t xml:space="preserve"> and </w:t>
      </w:r>
      <w:r w:rsidRPr="00A428C3">
        <w:t>desorption show that both ion exchange</w:t>
      </w:r>
      <w:r w:rsidR="00F81221">
        <w:t xml:space="preserve"> and </w:t>
      </w:r>
      <w:r w:rsidRPr="00A428C3">
        <w:t>chemisorption are involved in the adsorption process.</w:t>
      </w:r>
    </w:p>
    <w:p w:rsidR="00B95188" w:rsidRPr="00A428C3" w:rsidRDefault="00B95188" w:rsidP="00B95188">
      <w:pPr>
        <w:pStyle w:val="a0"/>
      </w:pPr>
      <w:r w:rsidRPr="00A428C3">
        <w:t>Keywords: Aqueous-Solution, Adsorption, Equilibrium, Wastewaters, Biosorption, Xanthate, System, Dyes</w:t>
      </w:r>
    </w:p>
    <w:p w:rsidR="00B95188" w:rsidRPr="00A428C3" w:rsidRDefault="00B95188" w:rsidP="00B95188">
      <w:pPr>
        <w:pStyle w:val="1"/>
        <w:rPr>
          <w:lang w:val="de-DE"/>
        </w:rPr>
      </w:pPr>
      <w:r w:rsidRPr="00A428C3">
        <w:rPr>
          <w:lang w:val="de-DE"/>
        </w:rPr>
        <w:lastRenderedPageBreak/>
        <w:br w:type="page"/>
      </w:r>
      <w:bookmarkStart w:id="616" w:name="_Toc186647778"/>
      <w:bookmarkStart w:id="617" w:name="_Toc317161034"/>
      <w:r w:rsidRPr="00A428C3">
        <w:rPr>
          <w:lang w:val="de-DE"/>
        </w:rPr>
        <w:lastRenderedPageBreak/>
        <w:t>Title: Holzforschung</w:t>
      </w:r>
      <w:bookmarkEnd w:id="616"/>
      <w:bookmarkEnd w:id="617"/>
    </w:p>
    <w:p w:rsidR="00B95188" w:rsidRPr="00A428C3" w:rsidRDefault="00B95188" w:rsidP="00B72EF9">
      <w:pPr>
        <w:pStyle w:val="12"/>
        <w:rPr>
          <w:lang w:val="de-DE"/>
        </w:rPr>
      </w:pPr>
      <w:r w:rsidRPr="00A428C3">
        <w:rPr>
          <w:lang w:val="de-DE"/>
        </w:rPr>
        <w:t xml:space="preserve">Full Journal Title: </w:t>
      </w:r>
      <w:hyperlink r:id="rId674" w:history="1">
        <w:r w:rsidRPr="00A428C3">
          <w:rPr>
            <w:rStyle w:val="a5"/>
            <w:lang w:val="de-DE"/>
          </w:rPr>
          <w:t>Holzforschung</w:t>
        </w:r>
      </w:hyperlink>
    </w:p>
    <w:p w:rsidR="00B95188" w:rsidRPr="00A428C3" w:rsidRDefault="00B95188" w:rsidP="00B72EF9">
      <w:pPr>
        <w:pStyle w:val="12"/>
      </w:pPr>
      <w:r w:rsidRPr="00A428C3">
        <w:t>ISO Abbreviated Title: Holzforschung</w:t>
      </w:r>
    </w:p>
    <w:p w:rsidR="00B95188" w:rsidRPr="00A428C3" w:rsidRDefault="00B95188" w:rsidP="00B72EF9">
      <w:pPr>
        <w:pStyle w:val="12"/>
      </w:pPr>
      <w:r w:rsidRPr="00A428C3">
        <w:t>JCR Abbreviated Title: Holzforschung</w:t>
      </w:r>
    </w:p>
    <w:p w:rsidR="00B95188" w:rsidRPr="00A428C3" w:rsidRDefault="00B95188" w:rsidP="00B72EF9">
      <w:pPr>
        <w:pStyle w:val="12"/>
      </w:pPr>
      <w:r w:rsidRPr="00A428C3">
        <w:t>ISSN: 0018-3830</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Walter de Gruyter &amp; Co</w:t>
      </w:r>
    </w:p>
    <w:p w:rsidR="00B95188" w:rsidRPr="00A428C3" w:rsidRDefault="00B95188" w:rsidP="00B72EF9">
      <w:pPr>
        <w:pStyle w:val="12"/>
      </w:pPr>
      <w:r w:rsidRPr="00A428C3">
        <w:t xml:space="preserve">Publisher Address: Genthiner Strasse 13, D-10785 </w:t>
      </w:r>
      <w:smartTag w:uri="urn:schemas-microsoft-com:office:smarttags" w:element="place">
        <w:smartTag w:uri="urn:schemas-microsoft-com:office:smarttags" w:element="City">
          <w:r w:rsidRPr="00A428C3">
            <w:t>Berlin</w:t>
          </w:r>
        </w:smartTag>
        <w:r w:rsidRPr="00A428C3">
          <w:t xml:space="preserve">, </w:t>
        </w:r>
        <w:smartTag w:uri="urn:schemas-microsoft-com:office:smarttags" w:element="country-region">
          <w:r w:rsidRPr="00A428C3">
            <w:t>Germany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Forestry: Impact Factor 0.816 / (2002)</w:t>
      </w:r>
    </w:p>
    <w:p w:rsidR="00B95188" w:rsidRPr="00A428C3" w:rsidRDefault="00B95188" w:rsidP="00B72EF9">
      <w:pPr>
        <w:pStyle w:val="12"/>
      </w:pPr>
      <w:r w:rsidRPr="00A428C3">
        <w:t xml:space="preserve">Materials Science, Paper &amp; Wood: </w:t>
      </w:r>
      <w:r w:rsidRPr="00A428C3">
        <w:rPr>
          <w:color w:val="008000"/>
        </w:rPr>
        <w:t>Impact Factor 0.816 / (2002)</w:t>
      </w:r>
    </w:p>
    <w:p w:rsidR="00B95188" w:rsidRPr="00A428C3" w:rsidRDefault="00B95188" w:rsidP="00B95188">
      <w:pPr>
        <w:pStyle w:val="a0"/>
      </w:pPr>
      <w:r w:rsidRPr="00A428C3">
        <w:t>? Loubinoux, B.</w:t>
      </w:r>
      <w:r w:rsidR="00F81221">
        <w:t xml:space="preserve"> and </w:t>
      </w:r>
      <w:r w:rsidRPr="00A428C3">
        <w:t>Malek, H. (1992), Interactions of quaternary ammonium-salts with wood. 1. Fixation of Benzalkonium bromide</w:t>
      </w:r>
      <w:r w:rsidR="00F81221">
        <w:t xml:space="preserve"> and </w:t>
      </w:r>
      <w:r w:rsidRPr="00A428C3">
        <w:t xml:space="preserve">chloride. </w:t>
      </w:r>
      <w:r w:rsidRPr="00A428C3">
        <w:rPr>
          <w:i/>
          <w:iCs/>
        </w:rPr>
        <w:t>Holzforschung</w:t>
      </w:r>
      <w:r w:rsidRPr="00A428C3">
        <w:t xml:space="preserve">, </w:t>
      </w:r>
      <w:r w:rsidRPr="00A428C3">
        <w:rPr>
          <w:b/>
        </w:rPr>
        <w:t>46</w:t>
      </w:r>
      <w:r w:rsidRPr="00A428C3">
        <w:t xml:space="preserve"> (6), 537-539.</w:t>
      </w:r>
    </w:p>
    <w:p w:rsidR="00B95188" w:rsidRPr="00A428C3" w:rsidRDefault="00B95188" w:rsidP="00B95188">
      <w:pPr>
        <w:pStyle w:val="a0"/>
      </w:pPr>
      <w:r w:rsidRPr="00A428C3">
        <w:t>Abstract: The adsorption of benzalkonium halides onto beech, oak,</w:t>
      </w:r>
      <w:r w:rsidR="00F81221">
        <w:t xml:space="preserve"> and </w:t>
      </w:r>
      <w:r w:rsidRPr="00A428C3">
        <w:t>spruce sawdust is studied. After 48 hours the maximum adsorption is reached. For oak, the extractible substances play an important role regarding the quantity of product adsorbed. Equilibrium adsorption isotherms of these alkylammonium compounds do not show maxima similar to that found with didecyldimethylammonium chloride</w:t>
      </w:r>
      <w:r w:rsidR="00F81221">
        <w:t xml:space="preserve"> and </w:t>
      </w:r>
      <w:r w:rsidRPr="00A428C3">
        <w:t>bromide. A high proportion of ammonium cation binds to the wood without the halide itself being bound</w:t>
      </w:r>
    </w:p>
    <w:p w:rsidR="00B95188" w:rsidRPr="00A428C3" w:rsidRDefault="00B95188" w:rsidP="00B95188">
      <w:pPr>
        <w:pStyle w:val="a0"/>
      </w:pPr>
      <w:r w:rsidRPr="00A428C3">
        <w:t>Keywords: Adsorption, Adsorption Isotherms, Ammonium, Beech, Benzalkonium Halides, Isotherms, Oak, Sawdust, Spruce, Spruce Sawdust, Wood</w:t>
      </w:r>
    </w:p>
    <w:p w:rsidR="00B95188" w:rsidRPr="00A428C3" w:rsidRDefault="00B95188" w:rsidP="00B95188">
      <w:pPr>
        <w:pStyle w:val="a0"/>
      </w:pPr>
      <w:r w:rsidRPr="00A428C3">
        <w:t>? Aoyama, M., Seki, K.</w:t>
      </w:r>
      <w:r w:rsidR="00F81221">
        <w:t xml:space="preserve"> and </w:t>
      </w:r>
      <w:r w:rsidRPr="00A428C3">
        <w:t xml:space="preserve">Saito, N. (1995), Solubilization of bamboo grass xylan by steaming treatment. </w:t>
      </w:r>
      <w:r w:rsidRPr="00A428C3">
        <w:rPr>
          <w:i/>
          <w:iCs/>
        </w:rPr>
        <w:t>Holzforschung</w:t>
      </w:r>
      <w:r w:rsidRPr="00A428C3">
        <w:t xml:space="preserve">, </w:t>
      </w:r>
      <w:r w:rsidRPr="00A428C3">
        <w:rPr>
          <w:b/>
        </w:rPr>
        <w:t>49</w:t>
      </w:r>
      <w:r w:rsidRPr="00A428C3">
        <w:t xml:space="preserve"> (3), 193-196.</w:t>
      </w:r>
    </w:p>
    <w:p w:rsidR="00B95188" w:rsidRPr="00A428C3" w:rsidRDefault="00B95188" w:rsidP="00B95188">
      <w:pPr>
        <w:pStyle w:val="a0"/>
      </w:pPr>
      <w:r w:rsidRPr="00A428C3">
        <w:t>Abstract: Chopped culms of bamboo grass were treated with saturated steam over a range of temperatures</w:t>
      </w:r>
      <w:r w:rsidR="00F81221">
        <w:t xml:space="preserve"> and </w:t>
      </w:r>
      <w:r w:rsidRPr="00A428C3">
        <w:t>residence times. The effect of various parameters in the steaming treatment on the recovery yield</w:t>
      </w:r>
      <w:r w:rsidR="00F81221">
        <w:t xml:space="preserve"> and </w:t>
      </w:r>
      <w:r w:rsidRPr="00A428C3">
        <w:t>solubilization of xylan was investigated. The parameters included steaming temperature, residence time, initial moisture content of the substrate</w:t>
      </w:r>
      <w:r w:rsidR="00F81221">
        <w:t xml:space="preserve"> and </w:t>
      </w:r>
      <w:r w:rsidRPr="00A428C3">
        <w:t>solvent pre-extraction prior to steaming. Although the major factor in the steaming treatment was the temperature</w:t>
      </w:r>
      <w:r w:rsidR="00F81221">
        <w:t xml:space="preserve"> and </w:t>
      </w:r>
      <w:r w:rsidRPr="00A428C3">
        <w:t xml:space="preserve">residence time, solvent pre-extraction as well as initial moisture content of the substrate also significantly affected the solubilization of xylan. When the substrate was pre-extracted with water prior to steaming, a significant increase in the recovery yield of solubilized xylan was observed. The result is possibly explained by the </w:t>
      </w:r>
      <w:r w:rsidRPr="00A428C3">
        <w:lastRenderedPageBreak/>
        <w:t>removal of basic salts present in the original raw material.</w:t>
      </w:r>
    </w:p>
    <w:p w:rsidR="00B95188" w:rsidRPr="00A428C3" w:rsidRDefault="00B95188" w:rsidP="00B95188">
      <w:pPr>
        <w:pStyle w:val="a0"/>
      </w:pPr>
      <w:r w:rsidRPr="00A428C3">
        <w:t>Keywords: Bamboo, Bamboo Grass, Basic Salts, Enzymatic-Hydrolysis, Explosion, Feed, Hardwoods, Pre-Extraction, Pretreatment, Sasa Senanensis, Solubilization of Xylan, Steaming Treatment, Wood</w:t>
      </w:r>
    </w:p>
    <w:p w:rsidR="00B95188" w:rsidRPr="00A428C3" w:rsidRDefault="00B95188" w:rsidP="00B95188">
      <w:pPr>
        <w:pStyle w:val="a0"/>
      </w:pPr>
      <w:r w:rsidRPr="00A428C3">
        <w:t>? Degroot, B., Vandam, J.E.G.</w:t>
      </w:r>
      <w:r w:rsidR="00F81221">
        <w:t xml:space="preserve"> and </w:t>
      </w:r>
      <w:r w:rsidRPr="00A428C3">
        <w:t>Vantriet, K. (1995), Alkaline Pulping of Hemp Woody Core - Kinetic Modeling of Lignin, Xylan</w:t>
      </w:r>
      <w:r w:rsidR="00F81221">
        <w:t xml:space="preserve"> and </w:t>
      </w:r>
      <w:r w:rsidRPr="00A428C3">
        <w:t>Cellulose Extraction</w:t>
      </w:r>
      <w:r w:rsidR="00F81221">
        <w:t xml:space="preserve"> and </w:t>
      </w:r>
      <w:r w:rsidRPr="00A428C3">
        <w:t xml:space="preserve">Degradation. </w:t>
      </w:r>
      <w:r w:rsidRPr="00A428C3">
        <w:rPr>
          <w:i/>
          <w:iCs/>
        </w:rPr>
        <w:t>Holzforschung</w:t>
      </w:r>
      <w:r w:rsidRPr="00A428C3">
        <w:t xml:space="preserve">, </w:t>
      </w:r>
      <w:r w:rsidRPr="00A428C3">
        <w:rPr>
          <w:b/>
        </w:rPr>
        <w:t>49</w:t>
      </w:r>
      <w:r w:rsidRPr="00A428C3">
        <w:t xml:space="preserve"> (4), 332-342.</w:t>
      </w:r>
    </w:p>
    <w:p w:rsidR="00B95188" w:rsidRPr="00A428C3" w:rsidRDefault="00B95188" w:rsidP="00B95188">
      <w:pPr>
        <w:pStyle w:val="a0"/>
      </w:pPr>
      <w:r w:rsidRPr="00A428C3">
        <w:t>Abstract: The kinetics of alkaline degradation of lignin, xylan</w:t>
      </w:r>
      <w:r w:rsidR="00F81221">
        <w:t xml:space="preserve"> and </w:t>
      </w:r>
      <w:r w:rsidRPr="00A428C3">
        <w:t>cellulose in relation to pulp yield were studied for hemp woody core to support development</w:t>
      </w:r>
      <w:r w:rsidR="00F81221">
        <w:t xml:space="preserve"> and </w:t>
      </w:r>
      <w:r w:rsidRPr="00A428C3">
        <w:t>optimization of a non-polluting alkaline pulping process. Shavings of hemp woody core were impregnated at room temperature with various sodium hydroxide concentration (0.25</w:t>
      </w:r>
      <w:smartTag w:uri="urn:schemas-microsoft-com:office:smarttags" w:element="chmetcnv">
        <w:smartTagPr>
          <w:attr w:name="TCSC" w:val="0"/>
          <w:attr w:name="NumberType" w:val="1"/>
          <w:attr w:name="Negative" w:val="True"/>
          <w:attr w:name="HasSpace" w:val="True"/>
          <w:attr w:name="SourceValue" w:val="2"/>
          <w:attr w:name="UnitName" w:val="m"/>
        </w:smartTagPr>
        <w:r w:rsidRPr="00A428C3">
          <w:t>-2 M</w:t>
        </w:r>
      </w:smartTag>
      <w:r w:rsidRPr="00A428C3">
        <w:t xml:space="preserve"> NaOH)</w:t>
      </w:r>
      <w:r w:rsidR="00F81221">
        <w:t xml:space="preserve"> and </w:t>
      </w:r>
      <w:r w:rsidRPr="00A428C3">
        <w:t>delignified isothermally at various reaction te</w:t>
      </w:r>
      <w:r w:rsidR="008A7E71">
        <w:t>mperatures (150-180°</w:t>
      </w:r>
      <w:r w:rsidRPr="00A428C3">
        <w:t>C) in a flow- through reactor. Extraction</w:t>
      </w:r>
      <w:r w:rsidR="00F81221">
        <w:t xml:space="preserve"> and </w:t>
      </w:r>
      <w:r w:rsidRPr="00A428C3">
        <w:t>degradation of xylan from hemp woody core was strongly depending on the NaOH concentration used. Consequently, to attain a certain lignin content, lower NaOH concentrations result in higher pulp yields. Extended pulping diminished the differences in pulp yields, due to further xylan degradation. The kinetics of lignin, xylan</w:t>
      </w:r>
      <w:r w:rsidR="00F81221">
        <w:t xml:space="preserve"> and </w:t>
      </w:r>
      <w:r w:rsidRPr="00A428C3">
        <w:t>cellulose degradation were modelled as a function of reaction time, temperature</w:t>
      </w:r>
      <w:r w:rsidR="00F81221">
        <w:t xml:space="preserve"> and </w:t>
      </w:r>
      <w:r w:rsidRPr="00A428C3">
        <w:t>NaOH concentration. The combined models resulted in a pulp yield model for hemp woody core, suitable for process optimization purposes. Degradation kinetics of perennial wood can be modelled similarly, which was illustrated using literature data on spruce</w:t>
      </w:r>
      <w:r w:rsidR="00F81221">
        <w:t xml:space="preserve"> and </w:t>
      </w:r>
      <w:r w:rsidRPr="00A428C3">
        <w:t>poplar.</w:t>
      </w:r>
    </w:p>
    <w:p w:rsidR="00B95188" w:rsidRPr="00A428C3" w:rsidRDefault="00B95188" w:rsidP="00B95188">
      <w:pPr>
        <w:pStyle w:val="a0"/>
      </w:pPr>
      <w:r w:rsidRPr="00A428C3">
        <w:t>Keywords: Alkaline Delignification, Annual Fiber Crops, Cellulose, Cellulose Degradation, Delignification, Flow- Through Reactor, Hemp, Kinetics, Lignin, Models, Poplar, Pulp Yield, Spruce, Wood, Woody Core, Xylan, Xylan Degradation, Xylan Extraction</w:t>
      </w:r>
    </w:p>
    <w:p w:rsidR="00B95188" w:rsidRPr="00A428C3" w:rsidRDefault="00B95188" w:rsidP="00B95188">
      <w:pPr>
        <w:pStyle w:val="a0"/>
      </w:pPr>
      <w:r w:rsidRPr="00A428C3">
        <w:t>? Peralta, P.N., Bangi, A.P.</w:t>
      </w:r>
      <w:r w:rsidR="00F81221">
        <w:t xml:space="preserve"> and </w:t>
      </w:r>
      <w:r w:rsidRPr="00A428C3">
        <w:t xml:space="preserve">Lee, A.W.C. (1997), Thermodynamics of moisture sorption by the giant-timber bamboo. </w:t>
      </w:r>
      <w:r w:rsidRPr="00A428C3">
        <w:rPr>
          <w:i/>
          <w:iCs/>
        </w:rPr>
        <w:t>Holzforschung</w:t>
      </w:r>
      <w:r w:rsidRPr="00A428C3">
        <w:t xml:space="preserve">, </w:t>
      </w:r>
      <w:r w:rsidRPr="00A428C3">
        <w:rPr>
          <w:b/>
        </w:rPr>
        <w:t>51</w:t>
      </w:r>
      <w:r w:rsidRPr="00A428C3">
        <w:t xml:space="preserve"> (2), 177-182.</w:t>
      </w:r>
    </w:p>
    <w:p w:rsidR="00B95188" w:rsidRPr="00A428C3" w:rsidRDefault="00B95188" w:rsidP="00B95188">
      <w:pPr>
        <w:pStyle w:val="a0"/>
      </w:pPr>
      <w:r w:rsidRPr="00A428C3">
        <w:t>Abstract: The thermodynamic interaction of water with giant-limber bamboo (Phyllostachys bambusoides Sieb. &amp; Zucc.) was investigated. Thermodynamic properties were evaluated based on isosteric calculations from sorption isotherms at 20, 30, 40</w:t>
      </w:r>
      <w:r w:rsidR="00F81221">
        <w:t xml:space="preserve"> and </w:t>
      </w:r>
      <w:r w:rsidRPr="00A428C3">
        <w:t>50</w:t>
      </w:r>
      <w:r w:rsidR="008A7E71">
        <w:t>°</w:t>
      </w:r>
      <w:r w:rsidRPr="00A428C3">
        <w:t>C. The results show that, compared to wood, giant-timber bamboo exhibits less hygroscopicity</w:t>
      </w:r>
      <w:r w:rsidR="00F81221">
        <w:t xml:space="preserve"> and </w:t>
      </w:r>
      <w:r w:rsidRPr="00A428C3">
        <w:t>greater hysteresis. The differential heat of sorption, Q(5), was found to be an exponential function of fractional moisture content, m,</w:t>
      </w:r>
      <w:r w:rsidR="00F81221">
        <w:t xml:space="preserve"> and </w:t>
      </w:r>
      <w:r w:rsidRPr="00A428C3">
        <w:t>decreased somewhat with increasing temperature. The relation Q(s) = (Q(s))(0) exp(-B(1)m) was considered to be reasonably adequate, but a better fit was provided by the equation Q(s) = A(2) + B(2)m + C-2 exp (-D(2)m) so that it was used in the calculation of the heat of wetting, W,</w:t>
      </w:r>
      <w:r w:rsidR="00F81221">
        <w:t xml:space="preserve"> and </w:t>
      </w:r>
      <w:r w:rsidRPr="00A428C3">
        <w:t xml:space="preserve">the integral heat of sorption, (W-0 - W). The differential heat of sorption at ovendry condition fell within the range observed </w:t>
      </w:r>
      <w:r w:rsidRPr="00A428C3">
        <w:lastRenderedPageBreak/>
        <w:t>for wood</w:t>
      </w:r>
      <w:r w:rsidR="00F81221">
        <w:t xml:space="preserve"> and </w:t>
      </w:r>
      <w:r w:rsidRPr="00A428C3">
        <w:t>other lignocellulosic materials. The free energy, G(s),</w:t>
      </w:r>
      <w:r w:rsidR="00F81221">
        <w:t xml:space="preserve"> and </w:t>
      </w:r>
      <w:r w:rsidRPr="00A428C3">
        <w:t>the entropy, S-s, of sorbed water were in close agreement with those observed for wood, reconfirming the theory that definite enthalpy, free energy,</w:t>
      </w:r>
      <w:r w:rsidR="00F81221">
        <w:t xml:space="preserve"> and </w:t>
      </w:r>
      <w:r w:rsidRPr="00A428C3">
        <w:t>entropy changes accompany the sorption of water by lignocellulosic materials.</w:t>
      </w:r>
    </w:p>
    <w:p w:rsidR="00B95188" w:rsidRPr="00A428C3" w:rsidRDefault="00B95188" w:rsidP="00B95188">
      <w:pPr>
        <w:pStyle w:val="a0"/>
      </w:pPr>
      <w:r w:rsidRPr="00A428C3">
        <w:t>Keywords: A/D Ratio, Adsorption, Bamboo, Desorption, Differential Heat of Sorption, Giant-Timber Bamboo, Heat of Wetting, Hysteresis, Integral Heat of Sorption, Phyllostachys Bambusoides, Wood</w:t>
      </w:r>
    </w:p>
    <w:p w:rsidR="00B95188" w:rsidRPr="00A428C3" w:rsidRDefault="00B95188" w:rsidP="00B95188">
      <w:pPr>
        <w:pStyle w:val="a0"/>
      </w:pPr>
      <w:r w:rsidRPr="00A428C3">
        <w:t>? Balakskin, M., Chen, C.L., Gratzl, J.S., Kirkman, A.G.</w:t>
      </w:r>
      <w:r w:rsidR="00F81221">
        <w:t xml:space="preserve"> and </w:t>
      </w:r>
      <w:r w:rsidRPr="00A428C3">
        <w:t xml:space="preserve">Jakob, H. (2000), Biobleaching of pulp with dioxygen in the laccase-mediator system. Part 1. Kinetics of delignification. </w:t>
      </w:r>
      <w:r w:rsidRPr="00A428C3">
        <w:rPr>
          <w:i/>
          <w:iCs/>
        </w:rPr>
        <w:t>Holzforschung</w:t>
      </w:r>
      <w:r w:rsidRPr="00A428C3">
        <w:t xml:space="preserve">, </w:t>
      </w:r>
      <w:r w:rsidRPr="00A428C3">
        <w:rPr>
          <w:b/>
        </w:rPr>
        <w:t>54</w:t>
      </w:r>
      <w:r w:rsidRPr="00A428C3">
        <w:t xml:space="preserve"> (4), 390-396.</w:t>
      </w:r>
    </w:p>
    <w:p w:rsidR="00B95188" w:rsidRPr="00A428C3" w:rsidRDefault="00B95188" w:rsidP="00B95188">
      <w:pPr>
        <w:pStyle w:val="a0"/>
      </w:pPr>
      <w:r w:rsidRPr="00A428C3">
        <w:t>Abstract: Kinetics of pine kraft-AQ pulp delignification with the laccase-mediator system (LMS)</w:t>
      </w:r>
      <w:r w:rsidR="00F81221">
        <w:t xml:space="preserve"> and </w:t>
      </w:r>
      <w:r w:rsidRPr="00A428C3">
        <w:t>the effects of variable factors on the delignification were studied. The delignification was conducted in acetate buff</w:t>
      </w:r>
      <w:r w:rsidR="008A7E71">
        <w:t>er solution at pH 4.5</w:t>
      </w:r>
      <w:r w:rsidR="00F81221">
        <w:t xml:space="preserve"> and </w:t>
      </w:r>
      <w:r w:rsidR="008A7E71">
        <w:t>at 40°</w:t>
      </w:r>
      <w:r w:rsidRPr="00A428C3">
        <w:t>C under atmospheric pressure. Only a part of the residual lignin could be removed in one-stage processes. Kinetics of kappa number reduction follows a pseudo-second order rate law with pulp consistency of 10 %, mediator charge of 0.1 mmole HOBT/g pulp</w:t>
      </w:r>
      <w:r w:rsidR="00F81221">
        <w:t xml:space="preserve"> and </w:t>
      </w:r>
      <w:r w:rsidRPr="00A428C3">
        <w:t>laccase charage of 10 U Coriolus Iaccase/g pulp. Kinetics of dioxygen uptake follows a pseudo-first order rate law up to first 8 hours of the reaction</w:t>
      </w:r>
      <w:r w:rsidR="00F81221">
        <w:t xml:space="preserve"> and </w:t>
      </w:r>
      <w:r w:rsidRPr="00A428C3">
        <w:t>a pseudo-zero order rate law at the reaction time of 8-24 hours. The amounts of dioxygen consumed per removal of one C-9-unit equivalent of residual lignin is rather high, 1.5-2.5 mole,</w:t>
      </w:r>
      <w:r w:rsidR="00F81221">
        <w:t xml:space="preserve"> and </w:t>
      </w:r>
      <w:r w:rsidRPr="00A428C3">
        <w:t>increases with increasing reaction time. Experimental data show that side reactions between the Laccase-Mediator System</w:t>
      </w:r>
      <w:r w:rsidR="00F81221">
        <w:t xml:space="preserve"> and </w:t>
      </w:r>
      <w:r w:rsidRPr="00A428C3">
        <w:t>products of oxidative degradation of lignin strongly inhibit the delignification either by chemical or physical means or both. Removal of the degraded lignin fragments by alkaline extraction effectively restores the delignification of pulp with LMS. A four-stage process consisting of consecutive treatment of pulp with dioxygen-laccase-HOBT (LMS) followed by alkaline extraction (E), (LMS-E)(4), decreased kappa number of a pine kraft-AQ pulp from 21.8 to less than 5. On the basis of the kinetic data. the mechanism of the pulp delignification with LMS is discussed.</w:t>
      </w:r>
    </w:p>
    <w:p w:rsidR="00B95188" w:rsidRPr="00A428C3" w:rsidRDefault="00B95188" w:rsidP="00B95188">
      <w:pPr>
        <w:pStyle w:val="a0"/>
      </w:pPr>
      <w:r w:rsidRPr="00A428C3">
        <w:t>Keywords: Biobleaching, Totally Chlorine Free Bleaching, Laccase-Mediator System (LMS), Kinetics, Delignification, Oxidation, Dioxygen Uptake, Multi-Lms Bleaching Process, Kraft Pulp</w:t>
      </w:r>
    </w:p>
    <w:p w:rsidR="00B95188" w:rsidRPr="00A428C3" w:rsidRDefault="00B95188" w:rsidP="00B95188">
      <w:pPr>
        <w:pStyle w:val="a0"/>
      </w:pPr>
      <w:r w:rsidRPr="00A428C3">
        <w:t>? Stevanovic-Janezic, T., Cooper, P.A.</w:t>
      </w:r>
      <w:r w:rsidR="00F81221">
        <w:t xml:space="preserve"> and </w:t>
      </w:r>
      <w:r w:rsidRPr="00A428C3">
        <w:t xml:space="preserve">Ung, Y.T. (2000), Chromated copper arsenate preservative treatment of North American hardwoods - Part 1. CCA fixation performance. </w:t>
      </w:r>
      <w:r w:rsidRPr="00A428C3">
        <w:rPr>
          <w:i/>
          <w:iCs/>
        </w:rPr>
        <w:t>Holzforschung</w:t>
      </w:r>
      <w:r w:rsidRPr="00A428C3">
        <w:t xml:space="preserve">, </w:t>
      </w:r>
      <w:r w:rsidRPr="00A428C3">
        <w:rPr>
          <w:b/>
          <w:lang w:val="en-GB"/>
        </w:rPr>
        <w:t>54</w:t>
      </w:r>
      <w:r w:rsidRPr="00A428C3">
        <w:rPr>
          <w:lang w:val="en-GB"/>
        </w:rPr>
        <w:t xml:space="preserve"> (6), </w:t>
      </w:r>
      <w:r w:rsidRPr="00A428C3">
        <w:t>577-584.</w:t>
      </w:r>
    </w:p>
    <w:p w:rsidR="00B95188" w:rsidRPr="00A428C3" w:rsidRDefault="00B95188" w:rsidP="00B95188">
      <w:pPr>
        <w:pStyle w:val="a0"/>
      </w:pPr>
      <w:r w:rsidRPr="00A428C3">
        <w:t xml:space="preserve">Abstract: We have examined chromated copper arsenate (CCA) wood preservative fixation at two selected temperatures in seven common North American hardwood species: red maple (Acer rubrum L.), white birch (Betula papyrifera Marsh.), yellow </w:t>
      </w:r>
      <w:r w:rsidRPr="00A428C3">
        <w:lastRenderedPageBreak/>
        <w:t>poplar (Liriodendron tulipifera L.), trembling aspen (Populua tremuloides Michx.), red oak; (Quercus rubra L.), basswood (Tilia americana L.)</w:t>
      </w:r>
      <w:r w:rsidR="00F81221">
        <w:t xml:space="preserve"> and </w:t>
      </w:r>
      <w:r w:rsidRPr="00A428C3">
        <w:t>American beech (Fagus granifolia Ehrh). The softwood red pine (Pinus resinosa Ait.) was included for comparison. CCA component fixation was monitored by t</w:t>
      </w:r>
      <w:r w:rsidR="008A7E71">
        <w:t>he expressate method at both 21°</w:t>
      </w:r>
      <w:r w:rsidRPr="00A428C3">
        <w:t>C</w:t>
      </w:r>
      <w:r w:rsidR="00F81221">
        <w:t xml:space="preserve"> and </w:t>
      </w:r>
      <w:r w:rsidRPr="00A428C3">
        <w:t>50</w:t>
      </w:r>
      <w:r w:rsidR="008A7E71">
        <w:t>°</w:t>
      </w:r>
      <w:r w:rsidRPr="00A428C3">
        <w:t>C under non-drying conditions. Hexavalent chromium (CrVI)</w:t>
      </w:r>
      <w:r w:rsidR="00F81221">
        <w:t xml:space="preserve"> and </w:t>
      </w:r>
      <w:r w:rsidRPr="00A428C3">
        <w:t>total Cr, Cu</w:t>
      </w:r>
      <w:r w:rsidR="00F81221">
        <w:t xml:space="preserve"> and </w:t>
      </w:r>
      <w:r w:rsidRPr="00A428C3">
        <w:t>As contents of the expressate were determined at different times during fixation. Based on CCA fixation results it was possible to divide the examined hardwoods into a fast fixing group (beech, red oak acid red maple), intermediate group (white birch</w:t>
      </w:r>
      <w:r w:rsidR="00F81221">
        <w:t xml:space="preserve"> and </w:t>
      </w:r>
      <w:r w:rsidRPr="00A428C3">
        <w:t>red pine)</w:t>
      </w:r>
      <w:r w:rsidR="00F81221">
        <w:t xml:space="preserve"> and </w:t>
      </w:r>
      <w:r w:rsidRPr="00A428C3">
        <w:t>slow fixing group (aspen, yellow poplar</w:t>
      </w:r>
      <w:r w:rsidR="00F81221">
        <w:t xml:space="preserve"> and </w:t>
      </w:r>
      <w:r w:rsidRPr="00A428C3">
        <w:t>basswood). The variable fixation rates for the different species could not be directly related to different anatomical</w:t>
      </w:r>
      <w:r w:rsidR="00F81221">
        <w:t xml:space="preserve"> and </w:t>
      </w:r>
      <w:r w:rsidRPr="00A428C3">
        <w:t>chemical attributes of the studied hardwoods, although there was an apparent relationship with density with more dense species fixing faster than low density species. However, the species differences appeared to be mainly influenced by types</w:t>
      </w:r>
      <w:r w:rsidR="00F81221">
        <w:t xml:space="preserve"> and </w:t>
      </w:r>
      <w:r w:rsidRPr="00A428C3">
        <w:t>amounts of extractives in the woods. In red maple, extraction resulted in a slowing of the fixation late, while the opposite effect was seen in red oak.</w:t>
      </w:r>
    </w:p>
    <w:p w:rsidR="00B95188" w:rsidRPr="00A428C3" w:rsidRDefault="00B95188" w:rsidP="00B95188">
      <w:pPr>
        <w:pStyle w:val="a0"/>
      </w:pPr>
      <w:r w:rsidRPr="00A428C3">
        <w:t>Keywords: CCA, Fixation Rate, North American Hardwoods, Anatomy, Chemical Constituents, Acer Rubrum, Betula Papyrifera, Liriodendron Tulipifera, Populus Tremuloides, Quercus Rubra, Tilia Americana, Fagus Grandifolia, Pinus Resinosa, Wood Preservatives, Chromium Interactions</w:t>
      </w:r>
    </w:p>
    <w:p w:rsidR="008E58C7" w:rsidRPr="00217FB1" w:rsidRDefault="008E58C7" w:rsidP="008E58C7">
      <w:pPr>
        <w:pStyle w:val="1"/>
      </w:pPr>
      <w:r w:rsidRPr="00217FB1">
        <w:br w:type="page"/>
      </w:r>
      <w:bookmarkStart w:id="618" w:name="_Toc238862985"/>
      <w:bookmarkStart w:id="619" w:name="_Toc317161035"/>
      <w:r w:rsidRPr="00217FB1">
        <w:lastRenderedPageBreak/>
        <w:t xml:space="preserve">Title: </w:t>
      </w:r>
      <w:r w:rsidRPr="007F0B27">
        <w:t>Home Health Care Services Quarterly</w:t>
      </w:r>
      <w:bookmarkEnd w:id="618"/>
      <w:bookmarkEnd w:id="619"/>
    </w:p>
    <w:p w:rsidR="008E58C7" w:rsidRPr="00217FB1" w:rsidRDefault="008E58C7" w:rsidP="00B72EF9">
      <w:pPr>
        <w:pStyle w:val="12"/>
      </w:pPr>
      <w:r w:rsidRPr="00217FB1">
        <w:t xml:space="preserve">Full Journal Title: </w:t>
      </w:r>
      <w:r w:rsidRPr="00834D5F">
        <w:t>Home Health Care Services Quarterly</w:t>
      </w:r>
    </w:p>
    <w:p w:rsidR="008E58C7" w:rsidRPr="00217FB1" w:rsidRDefault="008E58C7" w:rsidP="00B72EF9">
      <w:pPr>
        <w:pStyle w:val="12"/>
      </w:pPr>
      <w:r w:rsidRPr="00217FB1">
        <w:t xml:space="preserve">ISO Abbreviated Title: </w:t>
      </w:r>
    </w:p>
    <w:p w:rsidR="008E58C7" w:rsidRPr="00217FB1" w:rsidRDefault="008E58C7" w:rsidP="00B72EF9">
      <w:pPr>
        <w:pStyle w:val="12"/>
      </w:pPr>
      <w:r w:rsidRPr="00217FB1">
        <w:t>JCR Abbreviated Title</w:t>
      </w:r>
      <w:r>
        <w:t>:</w:t>
      </w:r>
      <w:r w:rsidRPr="00217FB1">
        <w:t xml:space="preserve"> </w:t>
      </w:r>
      <w:r w:rsidRPr="00834D5F">
        <w:t>Evid Based Dent</w:t>
      </w:r>
    </w:p>
    <w:p w:rsidR="008E58C7" w:rsidRPr="00217FB1" w:rsidRDefault="008E58C7" w:rsidP="00B72EF9">
      <w:pPr>
        <w:pStyle w:val="12"/>
      </w:pPr>
      <w:r w:rsidRPr="00217FB1">
        <w:t xml:space="preserve">ISSN: </w:t>
      </w:r>
      <w:r>
        <w:t>0162-1424 (Print)</w:t>
      </w:r>
      <w:r>
        <w:rPr>
          <w:rFonts w:hint="eastAsia"/>
        </w:rPr>
        <w:t xml:space="preserve">, </w:t>
      </w:r>
      <w:r>
        <w:t>1545-0856 (Electronic)</w:t>
      </w:r>
    </w:p>
    <w:p w:rsidR="008E58C7" w:rsidRPr="00217FB1" w:rsidRDefault="008E58C7" w:rsidP="00B72EF9">
      <w:pPr>
        <w:pStyle w:val="12"/>
      </w:pPr>
      <w:r w:rsidRPr="00217FB1">
        <w:t xml:space="preserve">Issues/Year: </w:t>
      </w:r>
    </w:p>
    <w:p w:rsidR="008E58C7" w:rsidRPr="00217FB1" w:rsidRDefault="00FB5623" w:rsidP="00B72EF9">
      <w:pPr>
        <w:pStyle w:val="12"/>
      </w:pPr>
      <w:r>
        <w:t>Journal Country/Territory:</w:t>
      </w:r>
      <w:r w:rsidR="008E58C7">
        <w:t xml:space="preserve"> </w:t>
      </w:r>
    </w:p>
    <w:p w:rsidR="008E58C7" w:rsidRPr="00217FB1" w:rsidRDefault="008E58C7" w:rsidP="00B72EF9">
      <w:pPr>
        <w:pStyle w:val="12"/>
      </w:pPr>
      <w:r w:rsidRPr="00217FB1">
        <w:t xml:space="preserve">Language: </w:t>
      </w:r>
    </w:p>
    <w:p w:rsidR="008E58C7" w:rsidRPr="00217FB1" w:rsidRDefault="008E58C7" w:rsidP="00B72EF9">
      <w:pPr>
        <w:pStyle w:val="12"/>
      </w:pPr>
      <w:r w:rsidRPr="00217FB1">
        <w:t xml:space="preserve">Publisher: </w:t>
      </w:r>
    </w:p>
    <w:p w:rsidR="008E58C7" w:rsidRPr="00217FB1" w:rsidRDefault="008E58C7" w:rsidP="00B72EF9">
      <w:pPr>
        <w:pStyle w:val="12"/>
      </w:pPr>
      <w:r w:rsidRPr="00217FB1">
        <w:t xml:space="preserve">Publisher Address: </w:t>
      </w:r>
    </w:p>
    <w:p w:rsidR="008E58C7" w:rsidRPr="00217FB1" w:rsidRDefault="008E58C7" w:rsidP="00B72EF9">
      <w:pPr>
        <w:pStyle w:val="12"/>
      </w:pPr>
      <w:r w:rsidRPr="00217FB1">
        <w:t>Subject Categories:</w:t>
      </w:r>
    </w:p>
    <w:p w:rsidR="008E58C7" w:rsidRPr="00217FB1" w:rsidRDefault="008E58C7" w:rsidP="00B72EF9">
      <w:pPr>
        <w:pStyle w:val="12"/>
      </w:pPr>
      <w:r w:rsidRPr="00217FB1">
        <w:t>: Impact Factor</w:t>
      </w:r>
    </w:p>
    <w:p w:rsidR="008E58C7" w:rsidRPr="00834D5F" w:rsidRDefault="008E58C7" w:rsidP="008E58C7">
      <w:pPr>
        <w:pStyle w:val="a0"/>
      </w:pPr>
      <w:r w:rsidRPr="00834D5F">
        <w:t>? Rosenau, P.V.</w:t>
      </w:r>
      <w:r w:rsidR="00F81221">
        <w:t xml:space="preserve"> and </w:t>
      </w:r>
      <w:r w:rsidRPr="00834D5F">
        <w:t>Linder, S.H. (2001), The comparative performance of for-profit</w:t>
      </w:r>
      <w:r w:rsidR="00F81221">
        <w:t xml:space="preserve"> and </w:t>
      </w:r>
      <w:r w:rsidRPr="00834D5F">
        <w:t xml:space="preserve">nonprofit home health care services in the US. </w:t>
      </w:r>
      <w:r w:rsidRPr="00834D5F">
        <w:rPr>
          <w:i/>
          <w:iCs/>
        </w:rPr>
        <w:t>Home Health Care Services Quarterly</w:t>
      </w:r>
      <w:r w:rsidRPr="00834D5F">
        <w:t xml:space="preserve">, </w:t>
      </w:r>
      <w:r w:rsidRPr="00834D5F">
        <w:rPr>
          <w:b/>
          <w:bCs/>
        </w:rPr>
        <w:t>20</w:t>
      </w:r>
      <w:r w:rsidRPr="00834D5F">
        <w:t xml:space="preserve"> (2), 47-59.</w:t>
      </w:r>
    </w:p>
    <w:p w:rsidR="008E58C7" w:rsidRPr="00834D5F" w:rsidRDefault="008E58C7" w:rsidP="008E58C7">
      <w:pPr>
        <w:pStyle w:val="a0"/>
      </w:pPr>
      <w:r w:rsidRPr="00834D5F">
        <w:rPr>
          <w:rFonts w:hint="eastAsia"/>
        </w:rPr>
        <w:t xml:space="preserve">Full Text: </w:t>
      </w:r>
      <w:r w:rsidRPr="00834D5F">
        <w:t>Hom Hea Car Ser Qua20, 47</w:t>
      </w:r>
      <w:r w:rsidRPr="00834D5F">
        <w:rPr>
          <w:rFonts w:hint="eastAsia"/>
        </w:rPr>
        <w:t>.pdf</w:t>
      </w:r>
    </w:p>
    <w:p w:rsidR="008E58C7" w:rsidRPr="00834D5F" w:rsidRDefault="008E58C7" w:rsidP="008E58C7">
      <w:pPr>
        <w:pStyle w:val="a0"/>
      </w:pPr>
      <w:r w:rsidRPr="00834D5F">
        <w:t>Abstract: OBJECTIVE: To determine, by way of an exhaustive, systematic,</w:t>
      </w:r>
      <w:r w:rsidR="00F81221">
        <w:t xml:space="preserve"> and </w:t>
      </w:r>
      <w:r w:rsidRPr="00834D5F">
        <w:t>comprehensive review</w:t>
      </w:r>
      <w:r w:rsidR="00F81221">
        <w:t xml:space="preserve"> and </w:t>
      </w:r>
      <w:r w:rsidRPr="00834D5F">
        <w:t>summary of all scientific published studies, whether or not there are any performance differences between private for-profit</w:t>
      </w:r>
      <w:r w:rsidR="00F81221">
        <w:t xml:space="preserve"> and </w:t>
      </w:r>
      <w:r w:rsidRPr="00834D5F">
        <w:t>private nonprofit home health care providers. The second objective is to discover the proportion of all research on this topic that is devoted to home health care services compared to all other health services providers. DATA SOURCES: Computerized bibliographic searches of relevant databases</w:t>
      </w:r>
      <w:r w:rsidR="00F81221">
        <w:t xml:space="preserve"> and </w:t>
      </w:r>
      <w:r w:rsidRPr="00834D5F">
        <w:t>published indexes</w:t>
      </w:r>
      <w:r w:rsidR="00F81221">
        <w:t xml:space="preserve"> and </w:t>
      </w:r>
      <w:r w:rsidRPr="00834D5F">
        <w:t xml:space="preserve">abstracts were undertaken. They included </w:t>
      </w:r>
      <w:r>
        <w:t>MEDLINE</w:t>
      </w:r>
      <w:r w:rsidRPr="00834D5F">
        <w:t xml:space="preserve"> (Ovid</w:t>
      </w:r>
      <w:r w:rsidR="00F81221">
        <w:t xml:space="preserve"> and </w:t>
      </w:r>
      <w:r w:rsidRPr="00834D5F">
        <w:t xml:space="preserve">Pubmed versions), </w:t>
      </w:r>
      <w:r>
        <w:t>Web of Science</w:t>
      </w:r>
      <w:r w:rsidRPr="00834D5F">
        <w:t xml:space="preserve"> (Social Sciences Citation Index</w:t>
      </w:r>
      <w:r w:rsidR="00F81221">
        <w:t xml:space="preserve"> and </w:t>
      </w:r>
      <w:r w:rsidRPr="00834D5F">
        <w:t>Science Citation Index), ABI/Inform,</w:t>
      </w:r>
      <w:r w:rsidR="00F81221">
        <w:t xml:space="preserve"> and </w:t>
      </w:r>
      <w:r w:rsidRPr="00834D5F">
        <w:t>Sociological Abstracts. Follow-up searches of reference lists in each article obtained from the computerized search were then completed. STUDY DESIGN: This systematic review retained for analysis all published studies that compared the performance of for-profit</w:t>
      </w:r>
      <w:r w:rsidR="00F81221">
        <w:t xml:space="preserve"> and </w:t>
      </w:r>
      <w:r w:rsidRPr="00834D5F">
        <w:t>nonprofit health care providers on access, quality, cost/efficiency, and/or amount of charity care, based on data collected after 1980. As a quality control measure only studies published in peer reviewed journals were included. Studies were coded according to the article</w:t>
      </w:r>
      <w:r w:rsidR="000352E7">
        <w:t>’</w:t>
      </w:r>
      <w:r w:rsidRPr="00834D5F">
        <w:t>s stated conclusions: for-profit superiority, nonprofit superiority, or no difference/mixed results. PRINCIPAL FINDINGS: The comparative performance of for-profit</w:t>
      </w:r>
      <w:r w:rsidR="00F81221">
        <w:t xml:space="preserve"> and </w:t>
      </w:r>
      <w:r w:rsidRPr="00834D5F">
        <w:t>nonprofit home health service organizations is one of the most understudied areas of health care provider services in the US today. Only 6 of the over 1030 comparisons of the two concerned home health care. No data on this topic have been collected since 1991,</w:t>
      </w:r>
      <w:r w:rsidR="00F81221">
        <w:t xml:space="preserve"> and </w:t>
      </w:r>
      <w:r w:rsidRPr="00834D5F">
        <w:t xml:space="preserve">no </w:t>
      </w:r>
      <w:r w:rsidRPr="00834D5F">
        <w:lastRenderedPageBreak/>
        <w:t>articles about it have been published in a peer-reviewed journal since 1995. CONCLUSION: Research on the relative performance of for-profit</w:t>
      </w:r>
      <w:r w:rsidR="00F81221">
        <w:t xml:space="preserve"> and </w:t>
      </w:r>
      <w:r w:rsidRPr="00834D5F">
        <w:t>nonprofit home health care services is a research priority urgently in need of attention.</w:t>
      </w:r>
    </w:p>
    <w:p w:rsidR="008E58C7" w:rsidRPr="00834D5F" w:rsidRDefault="008E58C7" w:rsidP="008E58C7">
      <w:pPr>
        <w:pStyle w:val="a0"/>
      </w:pPr>
      <w:r w:rsidRPr="00834D5F">
        <w:t xml:space="preserve">Keywords: Access, Analysis, Care, Control, Data, Databases, Design, Health, Health Care, Health Care Services, Health Services, Journal, Journals, Measure, Peer Reviewed Journals, Peer-Reviewed, Performance, Providers, Quality, Quality Control, Research, Review, Science Citation Index, Service, Services, Systematic Review, US, </w:t>
      </w:r>
      <w:r>
        <w:t>Web of Science</w:t>
      </w:r>
    </w:p>
    <w:p w:rsidR="00B95188" w:rsidRPr="00A428C3" w:rsidRDefault="00B95188" w:rsidP="00B95188">
      <w:pPr>
        <w:pStyle w:val="1"/>
      </w:pPr>
      <w:r w:rsidRPr="00A428C3">
        <w:br w:type="page"/>
      </w:r>
      <w:bookmarkStart w:id="620" w:name="_Toc186647779"/>
      <w:bookmarkStart w:id="621" w:name="_Toc317161036"/>
      <w:r w:rsidRPr="00A428C3">
        <w:lastRenderedPageBreak/>
        <w:t>Title: Homeopathy</w:t>
      </w:r>
      <w:bookmarkEnd w:id="620"/>
      <w:bookmarkEnd w:id="621"/>
    </w:p>
    <w:p w:rsidR="00B95188" w:rsidRPr="00A428C3" w:rsidRDefault="00B95188" w:rsidP="00B72EF9">
      <w:pPr>
        <w:pStyle w:val="12"/>
      </w:pPr>
      <w:r w:rsidRPr="00A428C3">
        <w:t xml:space="preserve">Full Journal Title: </w:t>
      </w:r>
      <w:hyperlink r:id="rId675" w:history="1">
        <w:r w:rsidRPr="00A428C3">
          <w:rPr>
            <w:rStyle w:val="a5"/>
            <w:szCs w:val="36"/>
          </w:rPr>
          <w:t>Homeopathy</w:t>
        </w:r>
      </w:hyperlink>
    </w:p>
    <w:p w:rsidR="00B95188" w:rsidRPr="00A428C3" w:rsidRDefault="00B95188" w:rsidP="00B72EF9">
      <w:pPr>
        <w:pStyle w:val="12"/>
      </w:pPr>
      <w:r w:rsidRPr="00A428C3">
        <w:t xml:space="preserve">ISO Abbreviated Title: </w:t>
      </w:r>
      <w:r w:rsidR="00960295" w:rsidRPr="00A428C3">
        <w:t>Homeopathy</w:t>
      </w:r>
    </w:p>
    <w:p w:rsidR="00B95188" w:rsidRPr="00A428C3" w:rsidRDefault="00B95188" w:rsidP="00B72EF9">
      <w:pPr>
        <w:pStyle w:val="12"/>
      </w:pPr>
      <w:r w:rsidRPr="00A428C3">
        <w:t xml:space="preserve">JCR Abbreviated Title: </w:t>
      </w:r>
      <w:r w:rsidR="00960295" w:rsidRPr="00A428C3">
        <w:t>Homeopathy</w:t>
      </w:r>
    </w:p>
    <w:p w:rsidR="00B95188" w:rsidRPr="00A428C3" w:rsidRDefault="00B95188" w:rsidP="00B72EF9">
      <w:pPr>
        <w:pStyle w:val="12"/>
      </w:pPr>
      <w:r w:rsidRPr="00A428C3">
        <w:t>ISSN: 1475-4916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37022A" w:rsidRDefault="0037022A" w:rsidP="0037022A">
      <w:pPr>
        <w:pStyle w:val="a0"/>
        <w:rPr>
          <w:kern w:val="0"/>
        </w:rPr>
      </w:pPr>
      <w:r>
        <w:rPr>
          <w:rFonts w:hint="eastAsia"/>
          <w:kern w:val="0"/>
        </w:rPr>
        <w:t xml:space="preserve">? </w:t>
      </w:r>
      <w:r>
        <w:rPr>
          <w:kern w:val="0"/>
        </w:rPr>
        <w:t>Endler, P.C., Thieves, K., Reich, C., Matthiessen, P., Bonamin, L., Scherr, C.</w:t>
      </w:r>
      <w:r w:rsidR="00F81221">
        <w:rPr>
          <w:kern w:val="0"/>
        </w:rPr>
        <w:t xml:space="preserve"> and </w:t>
      </w:r>
      <w:r>
        <w:rPr>
          <w:kern w:val="0"/>
        </w:rPr>
        <w:t>Baumgartner, S. (2010), Repetitions of fundamental research models for homeopathically prepared dilutions beyond 10</w:t>
      </w:r>
      <w:r>
        <w:rPr>
          <w:rFonts w:hint="eastAsia"/>
          <w:kern w:val="0"/>
          <w:vertAlign w:val="superscript"/>
        </w:rPr>
        <w:t>-23</w:t>
      </w:r>
      <w:r>
        <w:rPr>
          <w:kern w:val="0"/>
        </w:rPr>
        <w:t xml:space="preserve">: </w:t>
      </w:r>
      <w:r>
        <w:rPr>
          <w:rFonts w:hint="eastAsia"/>
          <w:kern w:val="0"/>
        </w:rPr>
        <w:t>A</w:t>
      </w:r>
      <w:r>
        <w:rPr>
          <w:kern w:val="0"/>
        </w:rPr>
        <w:t xml:space="preserve"> bibliometric study. </w:t>
      </w:r>
      <w:r>
        <w:rPr>
          <w:i/>
          <w:iCs/>
          <w:kern w:val="0"/>
        </w:rPr>
        <w:t>Homeopathy</w:t>
      </w:r>
      <w:r>
        <w:rPr>
          <w:kern w:val="0"/>
        </w:rPr>
        <w:t xml:space="preserve">, </w:t>
      </w:r>
      <w:r>
        <w:rPr>
          <w:b/>
          <w:bCs/>
          <w:kern w:val="0"/>
        </w:rPr>
        <w:t>99</w:t>
      </w:r>
      <w:r>
        <w:rPr>
          <w:kern w:val="0"/>
        </w:rPr>
        <w:t xml:space="preserve"> (1), 25-36.</w:t>
      </w:r>
    </w:p>
    <w:p w:rsidR="0037022A" w:rsidRDefault="0037022A" w:rsidP="0037022A">
      <w:pPr>
        <w:pStyle w:val="a0"/>
        <w:rPr>
          <w:kern w:val="0"/>
        </w:rPr>
      </w:pPr>
      <w:r>
        <w:rPr>
          <w:rFonts w:hint="eastAsia"/>
          <w:kern w:val="0"/>
        </w:rPr>
        <w:t xml:space="preserve">Full Text: </w:t>
      </w:r>
      <w:hyperlink r:id="rId676" w:history="1">
        <w:r w:rsidRPr="0037022A">
          <w:rPr>
            <w:rStyle w:val="a5"/>
            <w:kern w:val="0"/>
          </w:rPr>
          <w:t>2010\Homeopathy99, 25.pdf</w:t>
        </w:r>
      </w:hyperlink>
    </w:p>
    <w:p w:rsidR="0037022A" w:rsidRDefault="0037022A" w:rsidP="0037022A">
      <w:pPr>
        <w:pStyle w:val="a0"/>
        <w:rPr>
          <w:kern w:val="0"/>
        </w:rPr>
      </w:pPr>
      <w:r>
        <w:rPr>
          <w:kern w:val="0"/>
        </w:rPr>
        <w:t>Abstract: Introduction: Repeatability of experiments is an important criterion of modern research</w:t>
      </w:r>
      <w:r w:rsidR="00F81221">
        <w:rPr>
          <w:kern w:val="0"/>
        </w:rPr>
        <w:t xml:space="preserve"> and </w:t>
      </w:r>
      <w:r>
        <w:rPr>
          <w:kern w:val="0"/>
        </w:rPr>
        <w:t>a major challenge for homeopathic basic research. There is no recent overview about basic research studies in high homeopathic potencies that have been subjected to laboratory-internal, multicenter or independent repetition trials. Methods: We considered biochemical, immunological, botanical, cell biological</w:t>
      </w:r>
      <w:r w:rsidR="00F81221">
        <w:rPr>
          <w:kern w:val="0"/>
        </w:rPr>
        <w:t xml:space="preserve"> and </w:t>
      </w:r>
      <w:r>
        <w:rPr>
          <w:kern w:val="0"/>
        </w:rPr>
        <w:t>zoological studies on high potencies, i.e. beyond a dilution of 10(-23). Main sources of information were reviews, personal contact with members of the homeopathic basic research community,</w:t>
      </w:r>
      <w:r w:rsidR="00F81221">
        <w:rPr>
          <w:kern w:val="0"/>
        </w:rPr>
        <w:t xml:space="preserve"> and </w:t>
      </w:r>
      <w:r>
        <w:rPr>
          <w:kern w:val="0"/>
        </w:rPr>
        <w:t>the MEDLINE</w:t>
      </w:r>
      <w:r w:rsidR="00F81221">
        <w:rPr>
          <w:kern w:val="0"/>
        </w:rPr>
        <w:t xml:space="preserve"> and </w:t>
      </w:r>
      <w:r>
        <w:rPr>
          <w:kern w:val="0"/>
        </w:rPr>
        <w:t>HOMBREX databases. Studies were extracted from the publications</w:t>
      </w:r>
      <w:r w:rsidR="00F81221">
        <w:rPr>
          <w:kern w:val="0"/>
        </w:rPr>
        <w:t xml:space="preserve"> and </w:t>
      </w:r>
      <w:r>
        <w:rPr>
          <w:kern w:val="0"/>
        </w:rPr>
        <w:t>grouped into models. Studies were further sorted according to repetition type (laboratory-internal, multicenter, or independent)</w:t>
      </w:r>
      <w:r w:rsidR="00F81221">
        <w:rPr>
          <w:kern w:val="0"/>
        </w:rPr>
        <w:t xml:space="preserve"> and </w:t>
      </w:r>
      <w:r>
        <w:rPr>
          <w:kern w:val="0"/>
        </w:rPr>
        <w:t>results achieved. Results: A total of 107 studies were found. Of these, 30 were initial studies. In the attempt to reproduce one of these initial studies, 53 follow-up studies yielded comparable effects (35 laboratory-internal, 8 multicenter, 10 independent repetitions), eight studies showed a consistent, yet different result from the initial study (2 laboratory-internal, 2 multicenter, 4 independent repetitions),</w:t>
      </w:r>
      <w:r w:rsidR="00F81221">
        <w:rPr>
          <w:kern w:val="0"/>
        </w:rPr>
        <w:t xml:space="preserve"> and </w:t>
      </w:r>
      <w:r>
        <w:rPr>
          <w:kern w:val="0"/>
        </w:rPr>
        <w:t>16 studies yielded no effects (5 laboratory-internal, 2 multicenter, 9 independent repetitions). When all repetitive studies are considered, 69% reported effects comparable to that of the initial study, 10% different effects,</w:t>
      </w:r>
      <w:r w:rsidR="00F81221">
        <w:rPr>
          <w:kern w:val="0"/>
        </w:rPr>
        <w:t xml:space="preserve"> and </w:t>
      </w:r>
      <w:r>
        <w:rPr>
          <w:kern w:val="0"/>
        </w:rPr>
        <w:t>21% no effects. Independently performed repetition studies reported 44% comparable effects, 17% different effects,</w:t>
      </w:r>
      <w:r w:rsidR="00F81221">
        <w:rPr>
          <w:kern w:val="0"/>
        </w:rPr>
        <w:t xml:space="preserve"> and </w:t>
      </w:r>
      <w:r>
        <w:rPr>
          <w:kern w:val="0"/>
        </w:rPr>
        <w:t xml:space="preserve">39% no effects. Conclusions: We identified 24 experimental models in basic </w:t>
      </w:r>
      <w:r>
        <w:rPr>
          <w:kern w:val="0"/>
        </w:rPr>
        <w:lastRenderedPageBreak/>
        <w:t>research on high homeopathic potencies, which were repeatedly investigated. 22 models were reproduced with comparable results, 6 models with different results,</w:t>
      </w:r>
      <w:r w:rsidR="00F81221">
        <w:rPr>
          <w:kern w:val="0"/>
        </w:rPr>
        <w:t xml:space="preserve"> and </w:t>
      </w:r>
      <w:r>
        <w:rPr>
          <w:kern w:val="0"/>
        </w:rPr>
        <w:t>repetition showed no results for 15 models. Independent reproductions with either comparable or different results were found for seven models. We encourage further repetition trials of published studies, in order to learn more about the model systems used</w:t>
      </w:r>
      <w:r w:rsidR="00F81221">
        <w:rPr>
          <w:kern w:val="0"/>
        </w:rPr>
        <w:t xml:space="preserve"> and </w:t>
      </w:r>
      <w:r>
        <w:rPr>
          <w:kern w:val="0"/>
        </w:rPr>
        <w:t>in order to test their repeatability. Homeopathy (2010) 99, 25-36.</w:t>
      </w:r>
    </w:p>
    <w:p w:rsidR="0037022A" w:rsidRDefault="0037022A" w:rsidP="0037022A">
      <w:pPr>
        <w:pStyle w:val="a0"/>
        <w:rPr>
          <w:kern w:val="0"/>
        </w:rPr>
      </w:pPr>
      <w:r>
        <w:rPr>
          <w:kern w:val="0"/>
        </w:rPr>
        <w:t>Keywords: Acetyl Salicylic-Acid, Activation, Arsenic Trioxide, Basic Research, Bibliometric, Bibliometric Study, De-Granulation, Drug Arsenicum-Album-30, Histamine Dilutions, Homeopathy, Human Basophil Degranulation, In-Vitro, Medline, Mice, Potentisation, Publications, Research, Review, Ultra High Dilutions, Wheat Seedling Growth</w:t>
      </w:r>
    </w:p>
    <w:p w:rsidR="00B95188" w:rsidRPr="00A428C3" w:rsidRDefault="00B95188" w:rsidP="00B95188">
      <w:pPr>
        <w:pStyle w:val="1"/>
      </w:pPr>
      <w:r w:rsidRPr="00A428C3">
        <w:br w:type="page"/>
      </w:r>
      <w:bookmarkStart w:id="622" w:name="_Toc186647780"/>
      <w:bookmarkStart w:id="623" w:name="_Toc317161037"/>
      <w:r w:rsidRPr="00A428C3">
        <w:lastRenderedPageBreak/>
        <w:t>Title: Homo</w:t>
      </w:r>
      <w:bookmarkEnd w:id="622"/>
      <w:bookmarkEnd w:id="623"/>
    </w:p>
    <w:p w:rsidR="00B95188" w:rsidRPr="00A428C3" w:rsidRDefault="00B95188" w:rsidP="00B72EF9">
      <w:pPr>
        <w:pStyle w:val="12"/>
      </w:pPr>
      <w:r w:rsidRPr="00A428C3">
        <w:t>Full Journal Title: Homo</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0018-442X</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rPr>
          <w:lang w:val="de-DE"/>
        </w:rPr>
      </w:pPr>
      <w:r w:rsidRPr="00A428C3">
        <w:t>Spiegel-Rösing, I.</w:t>
      </w:r>
      <w:r w:rsidR="00F81221">
        <w:t xml:space="preserve"> and </w:t>
      </w:r>
      <w:r w:rsidRPr="00A428C3">
        <w:t xml:space="preserve">Schwidetzky, </w:t>
      </w:r>
      <w:smartTag w:uri="urn:schemas-microsoft-com:office:smarttags" w:element="place">
        <w:r w:rsidRPr="00A428C3">
          <w:t>I.</w:t>
        </w:r>
      </w:smartTag>
      <w:r w:rsidRPr="00A428C3">
        <w:t xml:space="preserve"> (1976), Comparative bibliometric profiles of physical anthropology</w:t>
      </w:r>
      <w:r w:rsidR="00F81221">
        <w:t xml:space="preserve"> and </w:t>
      </w:r>
      <w:r w:rsidRPr="00A428C3">
        <w:t xml:space="preserve">human genetics. </w:t>
      </w:r>
      <w:r w:rsidRPr="00A428C3">
        <w:rPr>
          <w:i/>
          <w:iCs/>
          <w:lang w:val="de-DE"/>
        </w:rPr>
        <w:t>Homo</w:t>
      </w:r>
      <w:r w:rsidRPr="00A428C3">
        <w:rPr>
          <w:lang w:val="de-DE"/>
        </w:rPr>
        <w:t xml:space="preserve">, </w:t>
      </w:r>
      <w:r w:rsidRPr="00A428C3">
        <w:rPr>
          <w:b/>
          <w:lang w:val="de-DE"/>
        </w:rPr>
        <w:t>27</w:t>
      </w:r>
      <w:r w:rsidRPr="00A428C3">
        <w:rPr>
          <w:lang w:val="de-DE"/>
        </w:rPr>
        <w:t xml:space="preserve"> (1), 31-45.</w:t>
      </w:r>
    </w:p>
    <w:p w:rsidR="00B95188" w:rsidRPr="00A428C3" w:rsidRDefault="00B95188" w:rsidP="00B95188">
      <w:pPr>
        <w:pStyle w:val="1"/>
        <w:rPr>
          <w:lang w:val="de-DE"/>
        </w:rPr>
      </w:pPr>
      <w:r w:rsidRPr="00A428C3">
        <w:rPr>
          <w:lang w:val="de-DE"/>
        </w:rPr>
        <w:br w:type="page"/>
      </w:r>
      <w:bookmarkStart w:id="624" w:name="_Toc186647781"/>
      <w:bookmarkStart w:id="625" w:name="_Toc317161038"/>
      <w:r w:rsidRPr="00A428C3">
        <w:rPr>
          <w:lang w:val="de-DE"/>
        </w:rPr>
        <w:lastRenderedPageBreak/>
        <w:t>Title: Hoppe-Seylers Zeitschrift Fur Physiologische Chemie</w:t>
      </w:r>
      <w:bookmarkEnd w:id="624"/>
      <w:bookmarkEnd w:id="625"/>
    </w:p>
    <w:p w:rsidR="00B95188" w:rsidRPr="00A428C3" w:rsidRDefault="00B95188" w:rsidP="00B72EF9">
      <w:pPr>
        <w:pStyle w:val="12"/>
        <w:rPr>
          <w:lang w:val="de-DE"/>
        </w:rPr>
      </w:pPr>
      <w:r w:rsidRPr="00A428C3">
        <w:rPr>
          <w:lang w:val="de-DE"/>
        </w:rPr>
        <w:t>Full Journal Title: Hoppe-Seylers Zeitschrift Fur Physiologische Chemie</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 Hoppe-Seylers Z Physiol Chem</w:t>
      </w:r>
    </w:p>
    <w:p w:rsidR="00B95188" w:rsidRPr="00A428C3" w:rsidRDefault="00B95188" w:rsidP="00B72EF9">
      <w:pPr>
        <w:pStyle w:val="12"/>
      </w:pPr>
      <w:r w:rsidRPr="00A428C3">
        <w:t>ISSN: 1475-4916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Jennissen, H.P. (1980), Mechanism of protein adsorption on hydrophobic agaroses - adsorption-kinetics of phosphorylase-B. </w:t>
      </w:r>
      <w:r w:rsidRPr="00A428C3">
        <w:rPr>
          <w:i/>
          <w:iCs/>
        </w:rPr>
        <w:t>Hoppe-Seylers Zeitschrift Fur Physiologische Chemie</w:t>
      </w:r>
      <w:r w:rsidRPr="00A428C3">
        <w:t xml:space="preserve">, </w:t>
      </w:r>
      <w:r w:rsidRPr="00A428C3">
        <w:rPr>
          <w:b/>
        </w:rPr>
        <w:t>361</w:t>
      </w:r>
      <w:r w:rsidRPr="00A428C3">
        <w:t xml:space="preserve"> (3), 275-275.</w:t>
      </w:r>
    </w:p>
    <w:p w:rsidR="003605E1" w:rsidRPr="00A428C3" w:rsidRDefault="003605E1" w:rsidP="003605E1">
      <w:pPr>
        <w:pStyle w:val="1"/>
        <w:rPr>
          <w:lang w:val="de-DE"/>
        </w:rPr>
      </w:pPr>
      <w:r w:rsidRPr="00A428C3">
        <w:rPr>
          <w:lang w:val="de-DE"/>
        </w:rPr>
        <w:br w:type="page"/>
      </w:r>
      <w:bookmarkStart w:id="626" w:name="_Toc317161039"/>
      <w:r w:rsidRPr="00A428C3">
        <w:rPr>
          <w:lang w:val="de-DE"/>
        </w:rPr>
        <w:lastRenderedPageBreak/>
        <w:t xml:space="preserve">Title: </w:t>
      </w:r>
      <w:r w:rsidRPr="003605E1">
        <w:rPr>
          <w:iCs/>
        </w:rPr>
        <w:t>Hormone and Metabolic Research</w:t>
      </w:r>
      <w:bookmarkEnd w:id="626"/>
    </w:p>
    <w:p w:rsidR="003605E1" w:rsidRPr="00A428C3" w:rsidRDefault="003605E1" w:rsidP="003605E1">
      <w:pPr>
        <w:pStyle w:val="12"/>
        <w:rPr>
          <w:lang w:val="de-DE"/>
        </w:rPr>
      </w:pPr>
      <w:r w:rsidRPr="00A428C3">
        <w:rPr>
          <w:lang w:val="de-DE"/>
        </w:rPr>
        <w:t xml:space="preserve">Full Journal Title: </w:t>
      </w:r>
      <w:r w:rsidRPr="003605E1">
        <w:rPr>
          <w:iCs/>
        </w:rPr>
        <w:t>Hormone and Metabolic Research</w:t>
      </w:r>
    </w:p>
    <w:p w:rsidR="003605E1" w:rsidRPr="00A428C3" w:rsidRDefault="003605E1" w:rsidP="003605E1">
      <w:pPr>
        <w:pStyle w:val="12"/>
      </w:pPr>
      <w:r w:rsidRPr="00A428C3">
        <w:t xml:space="preserve">ISO Abbreviated Title: </w:t>
      </w:r>
    </w:p>
    <w:p w:rsidR="003605E1" w:rsidRPr="00A428C3" w:rsidRDefault="003605E1" w:rsidP="003605E1">
      <w:pPr>
        <w:pStyle w:val="12"/>
      </w:pPr>
      <w:r w:rsidRPr="00A428C3">
        <w:t xml:space="preserve">JCR Abbreviated Title: </w:t>
      </w:r>
    </w:p>
    <w:p w:rsidR="003605E1" w:rsidRPr="00A428C3" w:rsidRDefault="003605E1" w:rsidP="003605E1">
      <w:pPr>
        <w:pStyle w:val="12"/>
      </w:pPr>
      <w:r>
        <w:t xml:space="preserve">ISSN: </w:t>
      </w:r>
    </w:p>
    <w:p w:rsidR="003605E1" w:rsidRPr="00A428C3" w:rsidRDefault="003605E1" w:rsidP="003605E1">
      <w:pPr>
        <w:pStyle w:val="12"/>
      </w:pPr>
      <w:r w:rsidRPr="00A428C3">
        <w:t xml:space="preserve">Issues/Year: </w:t>
      </w:r>
    </w:p>
    <w:p w:rsidR="003605E1" w:rsidRPr="00A428C3" w:rsidRDefault="003605E1" w:rsidP="003605E1">
      <w:pPr>
        <w:pStyle w:val="12"/>
      </w:pPr>
      <w:r w:rsidRPr="00A428C3">
        <w:t xml:space="preserve">Journal Country/Territory: </w:t>
      </w:r>
    </w:p>
    <w:p w:rsidR="003605E1" w:rsidRPr="00A428C3" w:rsidRDefault="003605E1" w:rsidP="003605E1">
      <w:pPr>
        <w:pStyle w:val="12"/>
      </w:pPr>
      <w:r w:rsidRPr="00A428C3">
        <w:t xml:space="preserve">Language: </w:t>
      </w:r>
    </w:p>
    <w:p w:rsidR="003605E1" w:rsidRPr="00A428C3" w:rsidRDefault="003605E1" w:rsidP="003605E1">
      <w:pPr>
        <w:pStyle w:val="12"/>
      </w:pPr>
      <w:r w:rsidRPr="00A428C3">
        <w:t xml:space="preserve">Publisher: </w:t>
      </w:r>
    </w:p>
    <w:p w:rsidR="003605E1" w:rsidRPr="00A428C3" w:rsidRDefault="003605E1" w:rsidP="003605E1">
      <w:pPr>
        <w:pStyle w:val="12"/>
      </w:pPr>
      <w:r w:rsidRPr="00A428C3">
        <w:t xml:space="preserve">Publisher Address: </w:t>
      </w:r>
    </w:p>
    <w:p w:rsidR="003605E1" w:rsidRPr="00A428C3" w:rsidRDefault="003605E1" w:rsidP="003605E1">
      <w:pPr>
        <w:pStyle w:val="12"/>
      </w:pPr>
      <w:r w:rsidRPr="00A428C3">
        <w:t>Subject Categories:</w:t>
      </w:r>
    </w:p>
    <w:p w:rsidR="003605E1" w:rsidRPr="00A428C3" w:rsidRDefault="003605E1" w:rsidP="003605E1">
      <w:pPr>
        <w:pStyle w:val="12"/>
      </w:pPr>
      <w:r w:rsidRPr="00A428C3">
        <w:t>: Impact Factor</w:t>
      </w:r>
    </w:p>
    <w:p w:rsidR="003605E1" w:rsidRDefault="003605E1" w:rsidP="003605E1">
      <w:pPr>
        <w:pStyle w:val="a0"/>
        <w:rPr>
          <w:kern w:val="0"/>
        </w:rPr>
      </w:pPr>
      <w:r>
        <w:rPr>
          <w:rFonts w:hint="eastAsia"/>
          <w:kern w:val="0"/>
        </w:rPr>
        <w:t xml:space="preserve">? </w:t>
      </w:r>
      <w:r>
        <w:rPr>
          <w:kern w:val="0"/>
        </w:rPr>
        <w:t xml:space="preserve">Auvinen, H.E., Romijn, J.A., Biermasz, N.R., Havekes, L.M., Smit, J.W.A., Rensen, P.C.N. and Pereira, A.M. (2011), Effects of high fat diet on the basal activity of the hypothalamus-pituitary-adrenal axis in mice: A systematic review. </w:t>
      </w:r>
      <w:r w:rsidRPr="003605E1">
        <w:rPr>
          <w:i/>
          <w:iCs/>
          <w:kern w:val="0"/>
        </w:rPr>
        <w:t>Hormone and Metabolic Research</w:t>
      </w:r>
      <w:r>
        <w:rPr>
          <w:kern w:val="0"/>
        </w:rPr>
        <w:t xml:space="preserve">, </w:t>
      </w:r>
      <w:r>
        <w:rPr>
          <w:b/>
          <w:bCs/>
          <w:kern w:val="0"/>
        </w:rPr>
        <w:t>43</w:t>
      </w:r>
      <w:r>
        <w:rPr>
          <w:kern w:val="0"/>
        </w:rPr>
        <w:t xml:space="preserve"> (13), 899-906.</w:t>
      </w:r>
    </w:p>
    <w:p w:rsidR="0049526E" w:rsidRDefault="0049526E" w:rsidP="0049526E">
      <w:pPr>
        <w:pStyle w:val="a0"/>
        <w:rPr>
          <w:kern w:val="0"/>
        </w:rPr>
      </w:pPr>
      <w:r>
        <w:rPr>
          <w:rFonts w:hint="eastAsia"/>
          <w:kern w:val="0"/>
        </w:rPr>
        <w:t xml:space="preserve">Full Text: </w:t>
      </w:r>
      <w:hyperlink r:id="rId677" w:history="1">
        <w:r w:rsidRPr="00B36FA6">
          <w:rPr>
            <w:rStyle w:val="a5"/>
            <w:kern w:val="0"/>
          </w:rPr>
          <w:t>2011\Hor Met Res43, 899.pdf</w:t>
        </w:r>
      </w:hyperlink>
    </w:p>
    <w:p w:rsidR="003605E1" w:rsidRDefault="003605E1" w:rsidP="003605E1">
      <w:pPr>
        <w:pStyle w:val="a0"/>
        <w:rPr>
          <w:kern w:val="0"/>
        </w:rPr>
      </w:pPr>
      <w:r>
        <w:rPr>
          <w:kern w:val="0"/>
        </w:rPr>
        <w:t xml:space="preserve">Abstract: Hypothalamus-pituitary-adrenal-axis activity is suggested to be involved in the pathophysiology of the metabolic syndrome. In diet-induced obesity mouse models, features of the metabolic syndrome are induced by feeding high fat diet. However, the models reveal conflicting results with respect to the hypothalamus-pituitary-adrenal-axis activation. The aim of this review was to assess the effects of high fat feeding on the activity of the hypothalamus-pituitary-adrenal-axis in mice. PubMed, EMBASE, Web of Science, the Cochrane database, and Science Direct were electronically searched and reviewed by 2 individual researchers. We included only original mouse studies reporting parameters of the hypothalamus-pituitary-adrenal-axis after high fat feeding, and at least 1 basal corticosterone level with a proper control group. Studies with adrenalectomized mice, transgenic animals only, high fat diet for less than 2 weeks, or other interventions besides high fat diet, were excluded. 20 studies were included. The hypothalamus-pituitary-adrenal-axis evaluation was the primary research question in only 5 studies. Plasma corticosterone levels were unchanged in 40%, elevated in 30%, and decreased in 20% of the studies. The effects in the peripheral tissues and the central nervous system were also inconsistent. However, major differences were found between mouse strains, experimental conditions, and the content and duration of the diets. This systematic review demonstrates that the effects of high fat feeding on the basal activity of the </w:t>
      </w:r>
      <w:r>
        <w:rPr>
          <w:kern w:val="0"/>
        </w:rPr>
        <w:lastRenderedPageBreak/>
        <w:t>hypothalamus-pituitary-adrenal-axis in mice are limited and inconclusive. Differences in experimental conditions hamper comparisons and accentuate the need for standardized evaluations to discern the effects of diet-induced obesity on the hypothalamus-pituitary-adrenal-axis.</w:t>
      </w:r>
    </w:p>
    <w:p w:rsidR="003605E1" w:rsidRDefault="003605E1" w:rsidP="003605E1">
      <w:pPr>
        <w:pStyle w:val="a0"/>
        <w:rPr>
          <w:kern w:val="0"/>
        </w:rPr>
      </w:pPr>
      <w:r>
        <w:rPr>
          <w:kern w:val="0"/>
        </w:rPr>
        <w:t>Keywords: 11-Beta-Hydroxysteroid Dehydrogenase Type-1, Activation, Adipose-Tissue, Cochrane, Control, Corticosterone, Diet, Diet-Induced Obesity, Differences, Disease, Embase, Evaluation, Experimental, Expression, Fat, Feeding, Glucocorticoid-Receptor, Induced, Inhibition, Insulin-Resistance, Interventions, Metabolic Syndrome, Metabolic Syndrome, Mouse, Obesity, Primary, Pubmed, Research, Researchers, Review, Science, Stress, Systematic, Systematic Review, Visceral Obesity, Web of Science, Web-of-Science</w:t>
      </w:r>
    </w:p>
    <w:p w:rsidR="00B95188" w:rsidRPr="00A428C3" w:rsidRDefault="00B95188" w:rsidP="00B95188">
      <w:pPr>
        <w:pStyle w:val="1"/>
      </w:pPr>
      <w:r w:rsidRPr="00A428C3">
        <w:br w:type="page"/>
      </w:r>
      <w:bookmarkStart w:id="627" w:name="_Toc488467657"/>
      <w:bookmarkStart w:id="628" w:name="_Toc489709742"/>
      <w:bookmarkStart w:id="629" w:name="_Toc490688011"/>
      <w:bookmarkStart w:id="630" w:name="_Toc492807672"/>
      <w:bookmarkStart w:id="631" w:name="_Toc186647782"/>
      <w:bookmarkStart w:id="632" w:name="_Toc317161040"/>
      <w:r w:rsidRPr="00A428C3">
        <w:lastRenderedPageBreak/>
        <w:t>Title: Hormone Research</w:t>
      </w:r>
      <w:bookmarkEnd w:id="627"/>
      <w:bookmarkEnd w:id="628"/>
      <w:bookmarkEnd w:id="629"/>
      <w:bookmarkEnd w:id="630"/>
      <w:bookmarkEnd w:id="631"/>
      <w:bookmarkEnd w:id="632"/>
    </w:p>
    <w:p w:rsidR="00B95188" w:rsidRPr="00A428C3" w:rsidRDefault="00B95188" w:rsidP="00B72EF9">
      <w:pPr>
        <w:pStyle w:val="12"/>
      </w:pPr>
      <w:r w:rsidRPr="00A428C3">
        <w:t>Full Journal Title: Hormone Research</w:t>
      </w:r>
    </w:p>
    <w:p w:rsidR="00B95188" w:rsidRPr="00A428C3" w:rsidRDefault="00B95188" w:rsidP="00B72EF9">
      <w:pPr>
        <w:pStyle w:val="12"/>
      </w:pPr>
      <w:r w:rsidRPr="00A428C3">
        <w:t>ISO Abbreviated Title: Horm. Res.</w:t>
      </w:r>
    </w:p>
    <w:p w:rsidR="00B95188" w:rsidRPr="00A428C3" w:rsidRDefault="00B95188" w:rsidP="00B72EF9">
      <w:pPr>
        <w:pStyle w:val="12"/>
      </w:pPr>
      <w:r w:rsidRPr="00A428C3">
        <w:t>JCR Abbreviated Title: Horm Res</w:t>
      </w:r>
    </w:p>
    <w:p w:rsidR="00B95188" w:rsidRPr="00A428C3" w:rsidRDefault="00B95188" w:rsidP="00B72EF9">
      <w:pPr>
        <w:pStyle w:val="12"/>
      </w:pPr>
      <w:r w:rsidRPr="00A428C3">
        <w:t>ISSN: 0301-0163</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Switzerland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Karger</w:t>
      </w:r>
    </w:p>
    <w:p w:rsidR="00B95188" w:rsidRPr="00A428C3" w:rsidRDefault="00B95188" w:rsidP="00B72EF9">
      <w:pPr>
        <w:pStyle w:val="12"/>
      </w:pPr>
      <w:r w:rsidRPr="00A428C3">
        <w:t xml:space="preserve">Publisher Address: Allschwilerstrasse 10, CH-4009 </w:t>
      </w:r>
      <w:smartTag w:uri="urn:schemas-microsoft-com:office:smarttags" w:element="place">
        <w:smartTag w:uri="urn:schemas-microsoft-com:office:smarttags" w:element="City">
          <w:r w:rsidRPr="00A428C3">
            <w:t>Basel</w:t>
          </w:r>
        </w:smartTag>
        <w:r w:rsidRPr="00A428C3">
          <w:t xml:space="preserve">, </w:t>
        </w:r>
        <w:smartTag w:uri="urn:schemas-microsoft-com:office:smarttags" w:element="country-region">
          <w:r w:rsidRPr="00A428C3">
            <w:t>Switzerland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Endocrinology &amp; Metabolism: </w:t>
      </w:r>
      <w:r w:rsidRPr="00A428C3">
        <w:rPr>
          <w:color w:val="008000"/>
        </w:rPr>
        <w:t>Impact Factor</w:t>
      </w:r>
    </w:p>
    <w:p w:rsidR="00B95188" w:rsidRPr="00A428C3" w:rsidRDefault="00B95188" w:rsidP="00B95188">
      <w:pPr>
        <w:pStyle w:val="a0"/>
      </w:pPr>
      <w:r w:rsidRPr="00A428C3">
        <w:t xml:space="preserve">? Stabler, B., Clopper, R.R., Siegel, P.T., Nicholas, L.M., Silva, S.G., </w:t>
      </w:r>
      <w:smartTag w:uri="urn:schemas-microsoft-com:office:smarttags" w:element="City">
        <w:r w:rsidRPr="00A428C3">
          <w:t>Tancer</w:t>
        </w:r>
      </w:smartTag>
      <w:r w:rsidRPr="00A428C3">
        <w:t>, M.E.</w:t>
      </w:r>
      <w:r w:rsidR="00F81221">
        <w:t xml:space="preserve"> and </w:t>
      </w:r>
      <w:r w:rsidRPr="00A428C3">
        <w:t>Underwood, L.E. (1996), Links between growth hormone deficiency, adaptation</w:t>
      </w:r>
      <w:r w:rsidR="00F81221">
        <w:t xml:space="preserve"> and </w:t>
      </w:r>
      <w:r w:rsidRPr="00A428C3">
        <w:t xml:space="preserve">social phobia. </w:t>
      </w:r>
      <w:r w:rsidRPr="00A428C3">
        <w:rPr>
          <w:i/>
        </w:rPr>
        <w:t>Hormone Research</w:t>
      </w:r>
      <w:r w:rsidRPr="00A428C3">
        <w:t xml:space="preserve">, </w:t>
      </w:r>
      <w:r w:rsidRPr="00A428C3">
        <w:rPr>
          <w:b/>
        </w:rPr>
        <w:t>45</w:t>
      </w:r>
      <w:r w:rsidRPr="00A428C3">
        <w:t xml:space="preserve"> (1-2), 30-33.</w:t>
      </w:r>
    </w:p>
    <w:p w:rsidR="00B95188" w:rsidRPr="00A428C3" w:rsidRDefault="00B95188" w:rsidP="00B95188">
      <w:pPr>
        <w:pStyle w:val="a0"/>
      </w:pPr>
      <w:r w:rsidRPr="00A428C3">
        <w:t>Abstract: Children referred for growth hormone (GH) treatment have increased school achievement problems, lack appropriate social skills</w:t>
      </w:r>
      <w:r w:rsidR="00F81221">
        <w:t xml:space="preserve"> and </w:t>
      </w:r>
      <w:r w:rsidRPr="00A428C3">
        <w:t>show several forms of behavior problems, A multicenter study in the United States has revealed that many GH-impaired children exhibit a cluster of behavioral symptoms involving disorders of mood</w:t>
      </w:r>
      <w:r w:rsidR="00F81221">
        <w:t xml:space="preserve"> and </w:t>
      </w:r>
      <w:r w:rsidRPr="00A428C3">
        <w:t>attention, Anxiety, depression, somatic complaints</w:t>
      </w:r>
      <w:r w:rsidR="00F81221">
        <w:t xml:space="preserve"> and </w:t>
      </w:r>
      <w:r w:rsidRPr="00A428C3">
        <w:t>attention deficits have been identified. These symptoms decline in frequency over a period of 3 years, beginning shortly after GH replacement therapy is started. Many of the patients who have received GH</w:t>
      </w:r>
      <w:r w:rsidR="00F81221">
        <w:t xml:space="preserve"> and </w:t>
      </w:r>
      <w:r w:rsidRPr="00A428C3">
        <w:t>had good growth responses show lower than average quality of life in young adulthood after treatment is completed. GH-deficient adults placed on GH therapy report improvement in psychological well-being</w:t>
      </w:r>
      <w:r w:rsidR="00F81221">
        <w:t xml:space="preserve"> and </w:t>
      </w:r>
      <w:r w:rsidRPr="00A428C3">
        <w:t>health status, suggesting that GH might have a central neuroendocrine action, Among a group of adults who were GH deficient as children, we find a high incidence of social phobia, a psychiatric disorder linked to GH secretion</w:t>
      </w:r>
      <w:r w:rsidR="00F81221">
        <w:t xml:space="preserve"> and </w:t>
      </w:r>
      <w:r w:rsidRPr="00A428C3">
        <w:t>usually accompanied by poor life quality. An ongoing study of non-GH-deficient short individuals suggests that short stature is not the cause of this outcome, We conclude that the origins of psychiatric comorbidities, such as social phobia</w:t>
      </w:r>
      <w:r w:rsidR="00F81221">
        <w:t xml:space="preserve"> and </w:t>
      </w:r>
      <w:r w:rsidRPr="00A428C3">
        <w:t>depression, in GH deficient adults are likely to be neuroendocrine as well as psychosocial.</w:t>
      </w:r>
    </w:p>
    <w:p w:rsidR="00B95188" w:rsidRPr="00A428C3" w:rsidRDefault="00B95188" w:rsidP="00B95188">
      <w:pPr>
        <w:pStyle w:val="a0"/>
      </w:pPr>
      <w:r w:rsidRPr="00A428C3">
        <w:t>Keywords: Adults, Performance, Growth Hormone, Stature, Adaptation, Psychiatric Symptoms, Social Phobia</w:t>
      </w:r>
    </w:p>
    <w:p w:rsidR="00B95188" w:rsidRPr="00A428C3" w:rsidRDefault="00B95188" w:rsidP="00B95188">
      <w:pPr>
        <w:pStyle w:val="1"/>
      </w:pPr>
      <w:r w:rsidRPr="00A428C3">
        <w:br w:type="page"/>
      </w:r>
      <w:bookmarkStart w:id="633" w:name="_Toc46166709"/>
      <w:bookmarkStart w:id="634" w:name="_Toc186647783"/>
      <w:bookmarkStart w:id="635" w:name="_Toc317161041"/>
      <w:r w:rsidRPr="00A428C3">
        <w:lastRenderedPageBreak/>
        <w:t xml:space="preserve">Title: </w:t>
      </w:r>
      <w:bookmarkEnd w:id="633"/>
      <w:r w:rsidRPr="00A428C3">
        <w:t>Hormones</w:t>
      </w:r>
      <w:r w:rsidR="00F81221">
        <w:t xml:space="preserve"> and </w:t>
      </w:r>
      <w:r w:rsidRPr="00A428C3">
        <w:t>Behavior</w:t>
      </w:r>
      <w:bookmarkEnd w:id="634"/>
      <w:bookmarkEnd w:id="635"/>
    </w:p>
    <w:p w:rsidR="00B95188" w:rsidRPr="00A428C3" w:rsidRDefault="00B95188" w:rsidP="00B72EF9">
      <w:pPr>
        <w:pStyle w:val="12"/>
      </w:pPr>
      <w:r w:rsidRPr="00A428C3">
        <w:t>Full Journal Title: Hormones</w:t>
      </w:r>
      <w:r w:rsidR="00F81221">
        <w:t xml:space="preserve"> and </w:t>
      </w:r>
      <w:r w:rsidRPr="00A428C3">
        <w:t>Behavior</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smartTag w:uri="urn:schemas-microsoft-com:office:smarttags" w:element="place">
        <w:smartTag w:uri="urn:schemas-microsoft-com:office:smarttags" w:element="City">
          <w:r w:rsidRPr="00A428C3">
            <w:t>Salvador</w:t>
          </w:r>
        </w:smartTag>
      </w:smartTag>
      <w:r w:rsidRPr="00A428C3">
        <w:t>, A., Serrano, M.A.</w:t>
      </w:r>
      <w:r w:rsidR="00F81221">
        <w:t xml:space="preserve"> and </w:t>
      </w:r>
      <w:r w:rsidRPr="00A428C3">
        <w:t xml:space="preserve">González-Bono, E. (2003), Research trends in the journal </w:t>
      </w:r>
      <w:r w:rsidRPr="00A428C3">
        <w:rPr>
          <w:i/>
          <w:iCs/>
        </w:rPr>
        <w:t>Hormones</w:t>
      </w:r>
      <w:r w:rsidR="00F81221">
        <w:rPr>
          <w:i/>
          <w:iCs/>
        </w:rPr>
        <w:t xml:space="preserve"> and </w:t>
      </w:r>
      <w:r w:rsidRPr="00A428C3">
        <w:rPr>
          <w:i/>
          <w:iCs/>
        </w:rPr>
        <w:t>Behavior</w:t>
      </w:r>
      <w:r w:rsidRPr="00A428C3">
        <w:t xml:space="preserve"> (1987–2000). </w:t>
      </w:r>
      <w:r w:rsidRPr="00A428C3">
        <w:rPr>
          <w:i/>
          <w:iCs/>
        </w:rPr>
        <w:t>Hormones</w:t>
      </w:r>
      <w:r w:rsidR="00F81221">
        <w:rPr>
          <w:i/>
          <w:iCs/>
        </w:rPr>
        <w:t xml:space="preserve"> and </w:t>
      </w:r>
      <w:r w:rsidRPr="00A428C3">
        <w:rPr>
          <w:i/>
          <w:iCs/>
        </w:rPr>
        <w:t>Behavior</w:t>
      </w:r>
      <w:r w:rsidRPr="00A428C3">
        <w:t xml:space="preserve">, </w:t>
      </w:r>
      <w:r w:rsidRPr="00A428C3">
        <w:rPr>
          <w:b/>
        </w:rPr>
        <w:t>43</w:t>
      </w:r>
      <w:r w:rsidRPr="00A428C3">
        <w:t xml:space="preserve"> (3), 375-380.</w:t>
      </w:r>
    </w:p>
    <w:p w:rsidR="00B95188" w:rsidRPr="00A428C3" w:rsidRDefault="00B95188" w:rsidP="00B95188">
      <w:pPr>
        <w:pStyle w:val="a0"/>
      </w:pPr>
      <w:r w:rsidRPr="00A428C3">
        <w:t xml:space="preserve">Full Text: </w:t>
      </w:r>
      <w:hyperlink r:id="rId678" w:history="1">
        <w:r w:rsidRPr="00A428C3">
          <w:rPr>
            <w:rStyle w:val="a5"/>
          </w:rPr>
          <w:t>H\Hor Beh43, 375.pdf</w:t>
        </w:r>
      </w:hyperlink>
    </w:p>
    <w:p w:rsidR="00B95188" w:rsidRPr="00A428C3" w:rsidRDefault="00B95188" w:rsidP="00B95188">
      <w:pPr>
        <w:pStyle w:val="a0"/>
      </w:pPr>
      <w:r w:rsidRPr="00A428C3">
        <w:t>Abstract: As a continuation of the study carried out by Svare more than 15 years ago (Horm. Behav. 22 (1988), 139)</w:t>
      </w:r>
      <w:r w:rsidR="00F81221">
        <w:t xml:space="preserve"> and </w:t>
      </w:r>
      <w:r w:rsidRPr="00A428C3">
        <w:t xml:space="preserve">to determine the tendencies of the evolution of behavioral endocrinology since then, our aim was to extend his work until 2000, assuming that the journal </w:t>
      </w:r>
      <w:r w:rsidRPr="00A428C3">
        <w:rPr>
          <w:i/>
          <w:iCs/>
        </w:rPr>
        <w:t>Hormones</w:t>
      </w:r>
      <w:r w:rsidR="00F81221">
        <w:rPr>
          <w:i/>
          <w:iCs/>
        </w:rPr>
        <w:t xml:space="preserve"> and </w:t>
      </w:r>
      <w:r w:rsidRPr="00A428C3">
        <w:rPr>
          <w:i/>
          <w:iCs/>
        </w:rPr>
        <w:t>Behavior</w:t>
      </w:r>
      <w:r w:rsidRPr="00A428C3">
        <w:t xml:space="preserve"> would be representative of the field at large. To study this 14-year period</w:t>
      </w:r>
      <w:r w:rsidR="00F81221">
        <w:t xml:space="preserve"> and </w:t>
      </w:r>
      <w:r w:rsidRPr="00A428C3">
        <w:t>compare it with Svare</w:t>
      </w:r>
      <w:r w:rsidR="000352E7">
        <w:t>’</w:t>
      </w:r>
      <w:r w:rsidRPr="00A428C3">
        <w:t>s data, we kept the same criteria</w:t>
      </w:r>
      <w:r w:rsidR="00F81221">
        <w:t xml:space="preserve"> and </w:t>
      </w:r>
      <w:r w:rsidRPr="00A428C3">
        <w:t>categories, behavioral patterns,</w:t>
      </w:r>
      <w:r w:rsidR="00F81221">
        <w:t xml:space="preserve"> and </w:t>
      </w:r>
      <w:r w:rsidRPr="00A428C3">
        <w:t xml:space="preserve">species. Our results show that </w:t>
      </w:r>
      <w:r w:rsidR="000352E7">
        <w:t>“</w:t>
      </w:r>
      <w:r w:rsidRPr="00A428C3">
        <w:t>sexual behavior</w:t>
      </w:r>
      <w:r w:rsidR="000352E7">
        <w:t>”</w:t>
      </w:r>
      <w:r w:rsidRPr="00A428C3">
        <w:t xml:space="preserve"> in </w:t>
      </w:r>
      <w:r w:rsidR="000352E7">
        <w:t>“</w:t>
      </w:r>
      <w:r w:rsidRPr="00A428C3">
        <w:t>rodents</w:t>
      </w:r>
      <w:r w:rsidR="000352E7">
        <w:t>”</w:t>
      </w:r>
      <w:r w:rsidRPr="00A428C3">
        <w:t xml:space="preserve"> is still the most extensive field studied by behavioral endocrinologists, although frequency of other topics is increasing, above all </w:t>
      </w:r>
      <w:r w:rsidR="000352E7">
        <w:t>“</w:t>
      </w:r>
      <w:r w:rsidRPr="00A428C3">
        <w:t>aggressive</w:t>
      </w:r>
      <w:r w:rsidR="00F81221">
        <w:t xml:space="preserve"> and </w:t>
      </w:r>
      <w:r w:rsidRPr="00A428C3">
        <w:t xml:space="preserve">emotional responses, </w:t>
      </w:r>
      <w:r w:rsidR="000352E7">
        <w:t>“</w:t>
      </w:r>
      <w:r w:rsidR="00F81221">
        <w:t xml:space="preserve"> and </w:t>
      </w:r>
      <w:r w:rsidRPr="00A428C3">
        <w:t xml:space="preserve">especially the interrelationships between them. Interestingly, studies dedicated to humans are slowly becoming more common. In addition to these analyses, we obtained the several citations received by a randomly selected sample of articles during the period that was divided by the number of years when the articles can be potentially cited. These ratios revealed that research on </w:t>
      </w:r>
      <w:r w:rsidR="000352E7">
        <w:t>“</w:t>
      </w:r>
      <w:r w:rsidRPr="00A428C3">
        <w:t xml:space="preserve">humans, </w:t>
      </w:r>
      <w:r w:rsidR="000352E7">
        <w:t>“</w:t>
      </w:r>
      <w:r w:rsidRPr="00A428C3">
        <w:t xml:space="preserve"> within the category of species,</w:t>
      </w:r>
      <w:r w:rsidR="00F81221">
        <w:t xml:space="preserve"> and </w:t>
      </w:r>
      <w:r w:rsidRPr="00A428C3">
        <w:t xml:space="preserve">on </w:t>
      </w:r>
      <w:r w:rsidR="000352E7">
        <w:t>“</w:t>
      </w:r>
      <w:r w:rsidRPr="00A428C3">
        <w:t>memory, learning,</w:t>
      </w:r>
      <w:r w:rsidR="00F81221">
        <w:t xml:space="preserve"> and </w:t>
      </w:r>
      <w:r w:rsidRPr="00A428C3">
        <w:t>conditioning</w:t>
      </w:r>
      <w:r w:rsidR="000352E7">
        <w:t>”</w:t>
      </w:r>
      <w:r w:rsidR="00F81221">
        <w:t xml:space="preserve"> and </w:t>
      </w:r>
      <w:r w:rsidR="000352E7">
        <w:t>“</w:t>
      </w:r>
      <w:r w:rsidRPr="00A428C3">
        <w:t>aggressive</w:t>
      </w:r>
      <w:r w:rsidR="00F81221">
        <w:t xml:space="preserve"> and </w:t>
      </w:r>
      <w:r w:rsidRPr="00A428C3">
        <w:t xml:space="preserve">emotional responses, </w:t>
      </w:r>
      <w:r w:rsidR="000352E7">
        <w:t>“</w:t>
      </w:r>
      <w:r w:rsidRPr="00A428C3">
        <w:t xml:space="preserve"> within the behavioral categories, present the highest visibility in the literature. Furthermore, this analysis was complemented with information about the main receptor journals of the papers published in </w:t>
      </w:r>
      <w:r w:rsidRPr="00A428C3">
        <w:rPr>
          <w:i/>
          <w:iCs/>
        </w:rPr>
        <w:t>Hormones</w:t>
      </w:r>
      <w:r w:rsidR="00F81221">
        <w:rPr>
          <w:i/>
          <w:iCs/>
        </w:rPr>
        <w:t xml:space="preserve"> and </w:t>
      </w:r>
      <w:r w:rsidRPr="00A428C3">
        <w:rPr>
          <w:i/>
          <w:iCs/>
        </w:rPr>
        <w:t>Behavior</w:t>
      </w:r>
      <w:r w:rsidRPr="00A428C3">
        <w:t xml:space="preserve">, classified by the same categories. All these data, although limited by the analysis of only one journal, permitted us to reflect on whether the evolution tendencies formulated by Beach (Horm. Behav. 15 (1981), 325) for this discipline were applicable to the period studied, thus confirming its status as </w:t>
      </w:r>
      <w:r w:rsidRPr="00A428C3">
        <w:lastRenderedPageBreak/>
        <w:t>a mature discipline for the last quarter of the 20th century.</w:t>
      </w:r>
    </w:p>
    <w:p w:rsidR="00B95188" w:rsidRPr="00A428C3" w:rsidRDefault="00B95188" w:rsidP="00B95188">
      <w:pPr>
        <w:pStyle w:val="a0"/>
      </w:pPr>
      <w:r w:rsidRPr="00A428C3">
        <w:t>Keywords: Behavioral Endocrinology, Historical Analysis, Bibliometry, Species, Behavioral Patterns, Research Trends, Citations</w:t>
      </w:r>
    </w:p>
    <w:p w:rsidR="00B95188" w:rsidRPr="00A428C3" w:rsidRDefault="00B95188" w:rsidP="00B95188">
      <w:pPr>
        <w:pStyle w:val="1"/>
      </w:pPr>
      <w:r w:rsidRPr="00A428C3">
        <w:br w:type="page"/>
      </w:r>
      <w:bookmarkStart w:id="636" w:name="_Toc186647784"/>
      <w:bookmarkStart w:id="637" w:name="_Toc317161042"/>
      <w:r w:rsidRPr="00A428C3">
        <w:lastRenderedPageBreak/>
        <w:t>Title: Hortscience</w:t>
      </w:r>
      <w:bookmarkEnd w:id="636"/>
      <w:bookmarkEnd w:id="637"/>
    </w:p>
    <w:p w:rsidR="00B95188" w:rsidRPr="00A428C3" w:rsidRDefault="00B95188" w:rsidP="00B72EF9">
      <w:pPr>
        <w:pStyle w:val="12"/>
      </w:pPr>
      <w:r w:rsidRPr="00A428C3">
        <w:t>Full Journal Title: Hortscience</w:t>
      </w:r>
    </w:p>
    <w:p w:rsidR="00B95188" w:rsidRPr="00A428C3" w:rsidRDefault="00B95188" w:rsidP="00B72EF9">
      <w:pPr>
        <w:pStyle w:val="12"/>
      </w:pPr>
      <w:r w:rsidRPr="00A428C3">
        <w:t>ISO Abbreviated Title: Hortscience</w:t>
      </w:r>
    </w:p>
    <w:p w:rsidR="00B95188" w:rsidRPr="00A428C3" w:rsidRDefault="00B95188" w:rsidP="00B72EF9">
      <w:pPr>
        <w:pStyle w:val="12"/>
      </w:pPr>
      <w:r w:rsidRPr="00A428C3">
        <w:t>JCR Abbreviated Title: Hortscience</w:t>
      </w:r>
    </w:p>
    <w:p w:rsidR="00B95188" w:rsidRPr="00A428C3" w:rsidRDefault="00B95188" w:rsidP="00B72EF9">
      <w:pPr>
        <w:pStyle w:val="12"/>
      </w:pPr>
      <w:r w:rsidRPr="00A428C3">
        <w:t>ISSN: 0018-5345</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Amer Soc Horticultural Science</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113 S West St, Ste 200</w:t>
          </w:r>
        </w:smartTag>
        <w:r w:rsidRPr="00A428C3">
          <w:t xml:space="preserve">, </w:t>
        </w:r>
        <w:smartTag w:uri="urn:schemas-microsoft-com:office:smarttags" w:element="City">
          <w:r w:rsidRPr="00A428C3">
            <w:t>Alexandria</w:t>
          </w:r>
        </w:smartTag>
        <w:r w:rsidRPr="00A428C3">
          <w:t xml:space="preserve">, </w:t>
        </w:r>
        <w:smartTag w:uri="urn:schemas-microsoft-com:office:smarttags" w:element="State">
          <w:r w:rsidRPr="00A428C3">
            <w:t>VA</w:t>
          </w:r>
        </w:smartTag>
        <w:r w:rsidRPr="00A428C3">
          <w:t xml:space="preserve"> </w:t>
        </w:r>
        <w:smartTag w:uri="urn:schemas-microsoft-com:office:smarttags" w:element="PostalCode">
          <w:r w:rsidRPr="00A428C3">
            <w:t>22314-2851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Horticulture: Impact Factor 0.542, / (2001)</w:t>
      </w:r>
    </w:p>
    <w:p w:rsidR="00B95188" w:rsidRPr="00A428C3" w:rsidRDefault="00B95188" w:rsidP="00B95188">
      <w:pPr>
        <w:pStyle w:val="a0"/>
      </w:pPr>
      <w:r w:rsidRPr="00A428C3">
        <w:t>? Foster, W.J.</w:t>
      </w:r>
      <w:r w:rsidR="00F81221">
        <w:t xml:space="preserve"> and </w:t>
      </w:r>
      <w:r w:rsidRPr="00A428C3">
        <w:t xml:space="preserve">Wright, R.D. (1981), Ammonium adsorption in pine bark. </w:t>
      </w:r>
      <w:r w:rsidRPr="00A428C3">
        <w:rPr>
          <w:i/>
          <w:iCs/>
        </w:rPr>
        <w:t>Hortscience</w:t>
      </w:r>
      <w:r w:rsidRPr="00A428C3">
        <w:t xml:space="preserve">, </w:t>
      </w:r>
      <w:r w:rsidRPr="00A428C3">
        <w:rPr>
          <w:b/>
        </w:rPr>
        <w:t>16</w:t>
      </w:r>
      <w:r w:rsidRPr="00A428C3">
        <w:t xml:space="preserve"> (3), 293.</w:t>
      </w:r>
    </w:p>
    <w:p w:rsidR="00B95188" w:rsidRPr="00A428C3" w:rsidRDefault="00B95188" w:rsidP="00B95188">
      <w:pPr>
        <w:pStyle w:val="a0"/>
      </w:pPr>
      <w:r w:rsidRPr="00A428C3">
        <w:t>? Foster, W.</w:t>
      </w:r>
      <w:r w:rsidR="00F81221">
        <w:t xml:space="preserve"> and </w:t>
      </w:r>
      <w:r w:rsidRPr="00A428C3">
        <w:t>Wright, R. (1981), N</w:t>
      </w:r>
      <w:r w:rsidR="00A55D2F">
        <w:rPr>
          <w:rFonts w:hint="eastAsia"/>
        </w:rPr>
        <w:t>H</w:t>
      </w:r>
      <w:r w:rsidRPr="00A428C3">
        <w:rPr>
          <w:vertAlign w:val="superscript"/>
        </w:rPr>
        <w:t>4+</w:t>
      </w:r>
      <w:r w:rsidRPr="00A428C3">
        <w:t xml:space="preserve"> adsorption to a pine bark growing medium. </w:t>
      </w:r>
      <w:r w:rsidRPr="00A428C3">
        <w:rPr>
          <w:i/>
          <w:iCs/>
        </w:rPr>
        <w:t>Hortscience</w:t>
      </w:r>
      <w:r w:rsidRPr="00A428C3">
        <w:t xml:space="preserve">, </w:t>
      </w:r>
      <w:r w:rsidRPr="00A428C3">
        <w:rPr>
          <w:b/>
        </w:rPr>
        <w:t>16</w:t>
      </w:r>
      <w:r w:rsidRPr="00A428C3">
        <w:t xml:space="preserve"> (3), 463.</w:t>
      </w:r>
    </w:p>
    <w:p w:rsidR="00A55D2F" w:rsidRDefault="00A55D2F" w:rsidP="00A55D2F">
      <w:pPr>
        <w:pStyle w:val="a0"/>
        <w:rPr>
          <w:kern w:val="0"/>
        </w:rPr>
      </w:pPr>
      <w:r>
        <w:rPr>
          <w:rFonts w:hint="eastAsia"/>
          <w:kern w:val="0"/>
        </w:rPr>
        <w:t xml:space="preserve">? </w:t>
      </w:r>
      <w:r>
        <w:rPr>
          <w:kern w:val="0"/>
        </w:rPr>
        <w:t xml:space="preserve">Jones, J.B. (1981), Most-cited plant scientists. </w:t>
      </w:r>
      <w:r>
        <w:rPr>
          <w:i/>
          <w:iCs/>
          <w:kern w:val="0"/>
        </w:rPr>
        <w:t>Hortscience</w:t>
      </w:r>
      <w:r>
        <w:rPr>
          <w:kern w:val="0"/>
        </w:rPr>
        <w:t xml:space="preserve">, </w:t>
      </w:r>
      <w:r>
        <w:rPr>
          <w:b/>
          <w:bCs/>
          <w:kern w:val="0"/>
        </w:rPr>
        <w:t>16</w:t>
      </w:r>
      <w:r>
        <w:rPr>
          <w:kern w:val="0"/>
        </w:rPr>
        <w:t xml:space="preserve"> (6), 739-740</w:t>
      </w:r>
      <w:r>
        <w:rPr>
          <w:rFonts w:hint="eastAsia"/>
          <w:kern w:val="0"/>
        </w:rPr>
        <w:t>.</w:t>
      </w:r>
    </w:p>
    <w:p w:rsidR="00A55D2F" w:rsidRDefault="00A55D2F" w:rsidP="00A55D2F">
      <w:pPr>
        <w:pStyle w:val="a0"/>
        <w:rPr>
          <w:kern w:val="0"/>
        </w:rPr>
      </w:pPr>
      <w:r>
        <w:rPr>
          <w:kern w:val="0"/>
        </w:rPr>
        <w:t>Keywords: Scientists</w:t>
      </w:r>
    </w:p>
    <w:p w:rsidR="00B95188" w:rsidRPr="00A428C3" w:rsidRDefault="00B95188" w:rsidP="00B95188">
      <w:pPr>
        <w:pStyle w:val="a0"/>
      </w:pPr>
      <w:r w:rsidRPr="00A428C3">
        <w:t>? Finnie, J.F.</w:t>
      </w:r>
      <w:r w:rsidR="00F81221">
        <w:t xml:space="preserve"> and </w:t>
      </w:r>
      <w:r w:rsidRPr="00A428C3">
        <w:t xml:space="preserve">Vanstaden, J. (1987), Multiplication of the tree fern Cyathea-Dregei. </w:t>
      </w:r>
      <w:r w:rsidRPr="00A428C3">
        <w:rPr>
          <w:i/>
          <w:iCs/>
        </w:rPr>
        <w:t>Hortscience</w:t>
      </w:r>
      <w:r w:rsidRPr="00A428C3">
        <w:t xml:space="preserve">, </w:t>
      </w:r>
      <w:r w:rsidRPr="00A428C3">
        <w:rPr>
          <w:b/>
        </w:rPr>
        <w:t>22</w:t>
      </w:r>
      <w:r w:rsidRPr="00A428C3">
        <w:t xml:space="preserve"> (4), 665-665.</w:t>
      </w:r>
    </w:p>
    <w:p w:rsidR="00B95188" w:rsidRPr="00A428C3" w:rsidRDefault="00B95188" w:rsidP="00B95188">
      <w:pPr>
        <w:pStyle w:val="1"/>
      </w:pPr>
      <w:r w:rsidRPr="00A428C3">
        <w:br w:type="page"/>
      </w:r>
      <w:bookmarkStart w:id="638" w:name="_Toc490688010"/>
      <w:bookmarkStart w:id="639" w:name="_Toc492807673"/>
      <w:bookmarkStart w:id="640" w:name="_Toc186647785"/>
      <w:bookmarkStart w:id="641" w:name="_Toc317161043"/>
      <w:r w:rsidRPr="00A428C3">
        <w:lastRenderedPageBreak/>
        <w:t xml:space="preserve">Title: </w:t>
      </w:r>
      <w:bookmarkEnd w:id="602"/>
      <w:r w:rsidRPr="00A428C3">
        <w:t>Hospital Medicine</w:t>
      </w:r>
      <w:bookmarkEnd w:id="638"/>
      <w:bookmarkEnd w:id="639"/>
      <w:bookmarkEnd w:id="640"/>
      <w:bookmarkEnd w:id="641"/>
    </w:p>
    <w:p w:rsidR="00B95188" w:rsidRPr="00A428C3" w:rsidRDefault="00B95188" w:rsidP="00B72EF9">
      <w:pPr>
        <w:pStyle w:val="12"/>
      </w:pPr>
      <w:r w:rsidRPr="00A428C3">
        <w:t>Full Journal Title: Hospital Medicine</w:t>
      </w:r>
    </w:p>
    <w:p w:rsidR="00B95188" w:rsidRPr="00A428C3" w:rsidRDefault="00B95188" w:rsidP="00B72EF9">
      <w:pPr>
        <w:pStyle w:val="12"/>
      </w:pPr>
      <w:r w:rsidRPr="00A428C3">
        <w:t>ISO Abbreviated Title: Hosp. Med</w:t>
      </w:r>
    </w:p>
    <w:p w:rsidR="00B95188" w:rsidRPr="00A428C3" w:rsidRDefault="00B95188" w:rsidP="00B72EF9">
      <w:pPr>
        <w:pStyle w:val="12"/>
      </w:pPr>
      <w:r w:rsidRPr="00A428C3">
        <w:t>JCR Abbreviated Title: Hosp Med</w:t>
      </w:r>
    </w:p>
    <w:p w:rsidR="00B95188" w:rsidRPr="00A428C3" w:rsidRDefault="00B95188" w:rsidP="00B72EF9">
      <w:pPr>
        <w:pStyle w:val="12"/>
      </w:pPr>
      <w:r w:rsidRPr="00A428C3">
        <w:t>ISSN: 1462-3935</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Mark Allen Publishing Ltd</w:t>
      </w:r>
    </w:p>
    <w:p w:rsidR="00B95188" w:rsidRPr="00A428C3" w:rsidRDefault="00B95188" w:rsidP="00B72EF9">
      <w:pPr>
        <w:pStyle w:val="12"/>
      </w:pPr>
      <w:r w:rsidRPr="00A428C3">
        <w:t xml:space="preserve">Publisher Address: Croxted Mews, </w:t>
      </w:r>
      <w:smartTag w:uri="urn:schemas-microsoft-com:office:smarttags" w:element="chmetcnv">
        <w:smartTagPr>
          <w:attr w:name="TCSC" w:val="0"/>
          <w:attr w:name="NumberType" w:val="1"/>
          <w:attr w:name="Negative" w:val="False"/>
          <w:attr w:name="HasSpace" w:val="False"/>
          <w:attr w:name="SourceValue" w:val="286"/>
          <w:attr w:name="UnitName" w:val="a"/>
        </w:smartTagPr>
        <w:r w:rsidRPr="00A428C3">
          <w:t>286a</w:t>
        </w:r>
      </w:smartTag>
      <w:r w:rsidRPr="00A428C3">
        <w:t xml:space="preserve">-288 </w:t>
      </w:r>
      <w:smartTag w:uri="urn:schemas-microsoft-com:office:smarttags" w:element="address">
        <w:smartTag w:uri="urn:schemas-microsoft-com:office:smarttags" w:element="Street">
          <w:r w:rsidRPr="00A428C3">
            <w:t>Croxted Road</w:t>
          </w:r>
        </w:smartTag>
        <w:r w:rsidRPr="00A428C3">
          <w:t xml:space="preserve">, </w:t>
        </w:r>
        <w:smartTag w:uri="urn:schemas-microsoft-com:office:smarttags" w:element="City">
          <w:r w:rsidRPr="00A428C3">
            <w:t>London</w:t>
          </w:r>
        </w:smartTag>
        <w:r w:rsidRPr="00A428C3">
          <w:t xml:space="preserve"> </w:t>
        </w:r>
        <w:smartTag w:uri="urn:schemas-microsoft-com:office:smarttags" w:element="PostalCode">
          <w:r w:rsidRPr="00A428C3">
            <w:t>SE24 9BY</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Medicine, General &amp; Internal: </w:t>
      </w:r>
      <w:r w:rsidRPr="00A428C3">
        <w:rPr>
          <w:color w:val="008000"/>
        </w:rPr>
        <w:t>Impact Factor</w:t>
      </w:r>
    </w:p>
    <w:p w:rsidR="00B95188" w:rsidRPr="00A428C3" w:rsidRDefault="00B95188" w:rsidP="00B95188">
      <w:pPr>
        <w:pStyle w:val="a0"/>
      </w:pPr>
      <w:r w:rsidRPr="00A428C3">
        <w:t>? Scally, G.</w:t>
      </w:r>
      <w:r w:rsidR="00F81221">
        <w:t xml:space="preserve"> and </w:t>
      </w:r>
      <w:r w:rsidRPr="00A428C3">
        <w:t>Perkins, C. (1998), Environment</w:t>
      </w:r>
      <w:r w:rsidR="00F81221">
        <w:t xml:space="preserve"> and </w:t>
      </w:r>
      <w:r w:rsidRPr="00A428C3">
        <w:t xml:space="preserve">health. </w:t>
      </w:r>
      <w:r w:rsidRPr="00A428C3">
        <w:rPr>
          <w:i/>
        </w:rPr>
        <w:t>Hospital Medicine</w:t>
      </w:r>
      <w:r w:rsidRPr="00A428C3">
        <w:t xml:space="preserve">, </w:t>
      </w:r>
      <w:r w:rsidRPr="00A428C3">
        <w:rPr>
          <w:b/>
        </w:rPr>
        <w:t>59</w:t>
      </w:r>
      <w:r w:rsidRPr="00A428C3">
        <w:t xml:space="preserve"> (11), 872-876.</w:t>
      </w:r>
    </w:p>
    <w:p w:rsidR="00B95188" w:rsidRPr="00A428C3" w:rsidRDefault="00B95188" w:rsidP="00B95188">
      <w:pPr>
        <w:pStyle w:val="a0"/>
      </w:pPr>
      <w:r w:rsidRPr="00A428C3">
        <w:t>Abstract: There is a clear connection between environment</w:t>
      </w:r>
      <w:r w:rsidR="00F81221">
        <w:t xml:space="preserve"> and </w:t>
      </w:r>
      <w:r w:rsidRPr="00A428C3">
        <w:t>health. This article outlines the importance of the quality of the environment</w:t>
      </w:r>
      <w:r w:rsidR="00F81221">
        <w:t xml:space="preserve"> and </w:t>
      </w:r>
      <w:r w:rsidRPr="00A428C3">
        <w:t>the role of the public health function in working across the NHS</w:t>
      </w:r>
      <w:r w:rsidR="00F81221">
        <w:t xml:space="preserve"> and </w:t>
      </w:r>
      <w:r w:rsidRPr="00A428C3">
        <w:t>local government to improve population health.</w:t>
      </w:r>
    </w:p>
    <w:p w:rsidR="00B95188" w:rsidRPr="00A428C3" w:rsidRDefault="00B95188" w:rsidP="00B95188">
      <w:pPr>
        <w:pStyle w:val="1"/>
        <w:rPr>
          <w:lang w:val="fr-FR"/>
        </w:rPr>
      </w:pPr>
      <w:bookmarkStart w:id="642" w:name="_Toc487192718"/>
      <w:r w:rsidRPr="00A428C3">
        <w:rPr>
          <w:lang w:val="fr-FR"/>
        </w:rPr>
        <w:br w:type="page"/>
      </w:r>
      <w:bookmarkStart w:id="643" w:name="_Toc489709743"/>
      <w:bookmarkStart w:id="644" w:name="_Toc490688012"/>
      <w:bookmarkStart w:id="645" w:name="_Toc492807674"/>
      <w:bookmarkStart w:id="646" w:name="_Toc186647786"/>
      <w:bookmarkStart w:id="647" w:name="_Toc317161044"/>
      <w:r w:rsidRPr="00A428C3">
        <w:rPr>
          <w:lang w:val="fr-FR"/>
        </w:rPr>
        <w:lastRenderedPageBreak/>
        <w:t>Title: Houille Blanche-Revue Internationale de L Eau</w:t>
      </w:r>
      <w:bookmarkEnd w:id="642"/>
      <w:bookmarkEnd w:id="643"/>
      <w:bookmarkEnd w:id="644"/>
      <w:bookmarkEnd w:id="645"/>
      <w:bookmarkEnd w:id="646"/>
      <w:bookmarkEnd w:id="647"/>
    </w:p>
    <w:p w:rsidR="00B95188" w:rsidRPr="00A428C3" w:rsidRDefault="00B95188" w:rsidP="00B72EF9">
      <w:pPr>
        <w:pStyle w:val="12"/>
        <w:rPr>
          <w:lang w:val="fr-FR"/>
        </w:rPr>
      </w:pPr>
      <w:r w:rsidRPr="00A428C3">
        <w:rPr>
          <w:lang w:val="fr-FR"/>
        </w:rPr>
        <w:t>Full Journal Title: Houille Blanche-Revue Internationale de L Eau</w:t>
      </w:r>
    </w:p>
    <w:p w:rsidR="00B95188" w:rsidRPr="00A428C3" w:rsidRDefault="00B95188" w:rsidP="00B72EF9">
      <w:pPr>
        <w:pStyle w:val="12"/>
      </w:pPr>
      <w:r w:rsidRPr="00A428C3">
        <w:t>ISO Abbreviated Title: Houille Blanche-Rev. Int.</w:t>
      </w:r>
    </w:p>
    <w:p w:rsidR="00B95188" w:rsidRPr="00A428C3" w:rsidRDefault="00B95188" w:rsidP="00B72EF9">
      <w:pPr>
        <w:pStyle w:val="12"/>
      </w:pPr>
      <w:r w:rsidRPr="00A428C3">
        <w:t>JCR Abbreviated Title: Houille Blanche</w:t>
      </w:r>
    </w:p>
    <w:p w:rsidR="00B95188" w:rsidRPr="00A428C3" w:rsidRDefault="00B95188" w:rsidP="00B72EF9">
      <w:pPr>
        <w:pStyle w:val="12"/>
      </w:pPr>
      <w:r w:rsidRPr="00A428C3">
        <w:t>ISSN: 0018-6368</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France</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Revue Generale Electricite S A</w:t>
      </w:r>
    </w:p>
    <w:p w:rsidR="00B95188" w:rsidRPr="00A428C3" w:rsidRDefault="00B95188" w:rsidP="00B72EF9">
      <w:pPr>
        <w:pStyle w:val="12"/>
        <w:rPr>
          <w:lang w:val="fr-FR"/>
        </w:rPr>
      </w:pPr>
      <w:r w:rsidRPr="00A428C3">
        <w:rPr>
          <w:lang w:val="fr-FR"/>
        </w:rPr>
        <w:t>Publisher Address: 48, Rue De La Procession, 75724 Paris Cedex 15, France</w:t>
      </w:r>
    </w:p>
    <w:p w:rsidR="00B95188" w:rsidRPr="00A428C3" w:rsidRDefault="00B95188" w:rsidP="00B72EF9">
      <w:pPr>
        <w:pStyle w:val="12"/>
      </w:pPr>
      <w:r w:rsidRPr="00A428C3">
        <w:t>Subject Categories:</w:t>
      </w:r>
    </w:p>
    <w:p w:rsidR="00B95188" w:rsidRPr="00A428C3" w:rsidRDefault="00B95188" w:rsidP="00B72EF9">
      <w:pPr>
        <w:pStyle w:val="12"/>
      </w:pPr>
      <w:r w:rsidRPr="00A428C3">
        <w:t>Water Resources:</w:t>
      </w:r>
      <w:r w:rsidRPr="00A428C3">
        <w:rPr>
          <w:color w:val="008000"/>
        </w:rPr>
        <w:t xml:space="preserve"> Impact Factor</w:t>
      </w:r>
    </w:p>
    <w:p w:rsidR="00B95188" w:rsidRPr="00A428C3" w:rsidRDefault="00B95188" w:rsidP="00B95188">
      <w:pPr>
        <w:pStyle w:val="a0"/>
      </w:pPr>
      <w:r w:rsidRPr="00A428C3">
        <w:t xml:space="preserve">? Bediot, G. (1998), Indicator schedule making: Preliminary reflection about the efficiency assessment of the French water agencies financial action. </w:t>
      </w:r>
      <w:r w:rsidRPr="00A428C3">
        <w:rPr>
          <w:i/>
        </w:rPr>
        <w:t>Houille Blanche-Revue Internationale de L Eau</w:t>
      </w:r>
      <w:r w:rsidRPr="00A428C3">
        <w:t xml:space="preserve">, </w:t>
      </w:r>
      <w:r w:rsidRPr="00A428C3">
        <w:rPr>
          <w:b/>
        </w:rPr>
        <w:t>53</w:t>
      </w:r>
      <w:r w:rsidRPr="00A428C3">
        <w:t xml:space="preserve"> (1), 33-43.</w:t>
      </w:r>
    </w:p>
    <w:p w:rsidR="00B95188" w:rsidRPr="00A428C3" w:rsidRDefault="00B95188" w:rsidP="00B95188">
      <w:pPr>
        <w:pStyle w:val="a0"/>
      </w:pPr>
      <w:r w:rsidRPr="00A428C3">
        <w:t>Abstract: The efficiency assessment of the french water agencies financial action on water environment</w:t>
      </w:r>
      <w:r w:rsidR="00F81221">
        <w:t xml:space="preserve"> and </w:t>
      </w:r>
      <w:r w:rsidRPr="00A428C3">
        <w:t xml:space="preserve">public health is only a simple technical problem as </w:t>
      </w:r>
      <w:r w:rsidR="000352E7">
        <w:t>“</w:t>
      </w:r>
      <w:r w:rsidRPr="00A428C3">
        <w:t>how to convert elementary data into indicator?</w:t>
      </w:r>
      <w:r w:rsidR="000352E7">
        <w:t>”</w:t>
      </w:r>
      <w:r w:rsidRPr="00A428C3">
        <w:t xml:space="preserve">. Actually this question is quickly supplanted by the organisational one </w:t>
      </w:r>
      <w:r w:rsidR="000352E7">
        <w:t>“</w:t>
      </w:r>
      <w:r w:rsidRPr="00A428C3">
        <w:t>who are the participants involved</w:t>
      </w:r>
      <w:r w:rsidR="00F81221">
        <w:t xml:space="preserve"> and </w:t>
      </w:r>
      <w:r w:rsidRPr="00A428C3">
        <w:t>on which agreement are they ready to come?</w:t>
      </w:r>
      <w:r w:rsidR="000352E7">
        <w:t>”</w:t>
      </w:r>
      <w:r w:rsidRPr="00A428C3">
        <w:t>. But the policy management will define each organisation</w:t>
      </w:r>
      <w:r w:rsidR="000352E7">
        <w:t>’</w:t>
      </w:r>
      <w:r w:rsidRPr="00A428C3">
        <w:t>s way of working, which is guided by its own interest. The complete innocent thinks the general interest should federate the action at every level: that</w:t>
      </w:r>
      <w:r w:rsidR="000352E7">
        <w:t>’</w:t>
      </w:r>
      <w:r w:rsidRPr="00A428C3">
        <w:t>s not the case because the final objectives are often contradictory. A few examples will show that a single indictor schedule is not relevant</w:t>
      </w:r>
      <w:r w:rsidR="00F81221">
        <w:t xml:space="preserve"> and </w:t>
      </w:r>
      <w:r w:rsidRPr="00A428C3">
        <w:t>that the lack of scientific knowledge is the cause of difficulties.</w:t>
      </w:r>
    </w:p>
    <w:p w:rsidR="00B95188" w:rsidRPr="00A428C3" w:rsidRDefault="00B95188" w:rsidP="00B95188">
      <w:pPr>
        <w:pStyle w:val="1"/>
      </w:pPr>
      <w:r w:rsidRPr="00A428C3">
        <w:br w:type="page"/>
      </w:r>
      <w:bookmarkStart w:id="648" w:name="_Toc186647787"/>
      <w:bookmarkStart w:id="649" w:name="_Toc317161045"/>
      <w:r w:rsidRPr="00A428C3">
        <w:lastRenderedPageBreak/>
        <w:t>Title: How to Write</w:t>
      </w:r>
      <w:r w:rsidR="00F81221">
        <w:t xml:space="preserve"> and </w:t>
      </w:r>
      <w:r w:rsidRPr="00A428C3">
        <w:t>Publish a Scientific Paper</w:t>
      </w:r>
      <w:bookmarkEnd w:id="648"/>
      <w:bookmarkEnd w:id="649"/>
    </w:p>
    <w:p w:rsidR="00B95188" w:rsidRPr="00A428C3" w:rsidRDefault="00B95188" w:rsidP="00B95188">
      <w:pPr>
        <w:pStyle w:val="a0"/>
      </w:pPr>
      <w:r w:rsidRPr="00A428C3">
        <w:t xml:space="preserve">? Day, R.A. (1979), </w:t>
      </w:r>
      <w:r w:rsidRPr="00A428C3">
        <w:rPr>
          <w:i/>
          <w:iCs/>
        </w:rPr>
        <w:t>How to write</w:t>
      </w:r>
      <w:r w:rsidR="00F81221">
        <w:rPr>
          <w:i/>
          <w:iCs/>
        </w:rPr>
        <w:t xml:space="preserve"> and </w:t>
      </w:r>
      <w:r w:rsidRPr="00A428C3">
        <w:rPr>
          <w:i/>
          <w:iCs/>
        </w:rPr>
        <w:t>publish a scientific paper</w:t>
      </w:r>
      <w:r w:rsidRPr="00A428C3">
        <w:t xml:space="preserve">, ISI Press, </w:t>
      </w:r>
      <w:smartTag w:uri="urn:schemas-microsoft-com:office:smarttags" w:element="place">
        <w:smartTag w:uri="urn:schemas-microsoft-com:office:smarttags" w:element="City">
          <w:r w:rsidRPr="00A428C3">
            <w:t>Philadelphia</w:t>
          </w:r>
        </w:smartTag>
      </w:smartTag>
      <w:r w:rsidRPr="00A428C3">
        <w:t>.</w:t>
      </w:r>
    </w:p>
    <w:p w:rsidR="002C2252" w:rsidRPr="001A3D2B" w:rsidRDefault="002C2252" w:rsidP="002C2252">
      <w:pPr>
        <w:pStyle w:val="1"/>
      </w:pPr>
      <w:r w:rsidRPr="001A3D2B">
        <w:br w:type="page"/>
      </w:r>
      <w:bookmarkStart w:id="650" w:name="_Toc317161046"/>
      <w:r w:rsidRPr="001A3D2B">
        <w:lastRenderedPageBreak/>
        <w:t xml:space="preserve">Title: </w:t>
      </w:r>
      <w:r w:rsidRPr="001C017A">
        <w:rPr>
          <w:iCs/>
        </w:rPr>
        <w:t>HPB</w:t>
      </w:r>
      <w:bookmarkEnd w:id="650"/>
    </w:p>
    <w:p w:rsidR="002C2252" w:rsidRPr="001A3D2B" w:rsidRDefault="002C2252" w:rsidP="002C2252">
      <w:pPr>
        <w:pStyle w:val="12"/>
      </w:pPr>
      <w:r w:rsidRPr="001A3D2B">
        <w:t xml:space="preserve">Full Journal Title: </w:t>
      </w:r>
      <w:r w:rsidRPr="001C017A">
        <w:rPr>
          <w:iCs/>
        </w:rPr>
        <w:t>HPB</w:t>
      </w:r>
    </w:p>
    <w:p w:rsidR="002C2252" w:rsidRPr="001A3D2B" w:rsidRDefault="002C2252" w:rsidP="002C2252">
      <w:pPr>
        <w:pStyle w:val="12"/>
      </w:pPr>
      <w:r w:rsidRPr="001A3D2B">
        <w:t xml:space="preserve">ISO Abbreviated Title: </w:t>
      </w:r>
    </w:p>
    <w:p w:rsidR="002C2252" w:rsidRPr="001A3D2B" w:rsidRDefault="002C2252" w:rsidP="002C2252">
      <w:pPr>
        <w:pStyle w:val="12"/>
      </w:pPr>
      <w:r w:rsidRPr="001A3D2B">
        <w:t xml:space="preserve">JCR Abbreviated Title: </w:t>
      </w:r>
    </w:p>
    <w:p w:rsidR="002C2252" w:rsidRPr="001A3D2B" w:rsidRDefault="002C2252" w:rsidP="002C2252">
      <w:pPr>
        <w:pStyle w:val="12"/>
      </w:pPr>
      <w:r>
        <w:t xml:space="preserve">ISSN: </w:t>
      </w:r>
      <w:r w:rsidRPr="002C2252">
        <w:t>1365-182X</w:t>
      </w:r>
    </w:p>
    <w:p w:rsidR="002C2252" w:rsidRPr="001A3D2B" w:rsidRDefault="002C2252" w:rsidP="002C2252">
      <w:pPr>
        <w:pStyle w:val="12"/>
      </w:pPr>
      <w:r w:rsidRPr="001A3D2B">
        <w:t xml:space="preserve">Issues/Year: </w:t>
      </w:r>
    </w:p>
    <w:p w:rsidR="002C2252" w:rsidRPr="001A3D2B" w:rsidRDefault="002C2252" w:rsidP="002C2252">
      <w:pPr>
        <w:pStyle w:val="12"/>
      </w:pPr>
      <w:r w:rsidRPr="001A3D2B">
        <w:t xml:space="preserve">Journal Country/Territory: </w:t>
      </w:r>
    </w:p>
    <w:p w:rsidR="002C2252" w:rsidRPr="001A3D2B" w:rsidRDefault="002C2252" w:rsidP="002C2252">
      <w:pPr>
        <w:pStyle w:val="12"/>
      </w:pPr>
      <w:r w:rsidRPr="001A3D2B">
        <w:t xml:space="preserve">Language: </w:t>
      </w:r>
    </w:p>
    <w:p w:rsidR="002C2252" w:rsidRPr="001A3D2B" w:rsidRDefault="002C2252" w:rsidP="002C2252">
      <w:pPr>
        <w:pStyle w:val="12"/>
      </w:pPr>
      <w:r w:rsidRPr="001A3D2B">
        <w:t xml:space="preserve">Publisher: </w:t>
      </w:r>
    </w:p>
    <w:p w:rsidR="002C2252" w:rsidRPr="001A3D2B" w:rsidRDefault="002C2252" w:rsidP="002C2252">
      <w:pPr>
        <w:pStyle w:val="12"/>
      </w:pPr>
      <w:r w:rsidRPr="001A3D2B">
        <w:t xml:space="preserve">Publisher Address: </w:t>
      </w:r>
    </w:p>
    <w:p w:rsidR="002C2252" w:rsidRPr="001A3D2B" w:rsidRDefault="002C2252" w:rsidP="002C2252">
      <w:pPr>
        <w:pStyle w:val="12"/>
      </w:pPr>
      <w:r w:rsidRPr="001A3D2B">
        <w:t>Subject Categories:</w:t>
      </w:r>
    </w:p>
    <w:p w:rsidR="002C2252" w:rsidRPr="001A3D2B" w:rsidRDefault="002C2252" w:rsidP="002C2252">
      <w:pPr>
        <w:pStyle w:val="12"/>
      </w:pPr>
      <w:r w:rsidRPr="001A3D2B">
        <w:t xml:space="preserve">: Impact Factor </w:t>
      </w:r>
    </w:p>
    <w:p w:rsidR="002C2252" w:rsidRDefault="002C2252" w:rsidP="002C2252">
      <w:pPr>
        <w:pStyle w:val="a0"/>
        <w:rPr>
          <w:kern w:val="0"/>
        </w:rPr>
      </w:pPr>
      <w:r>
        <w:rPr>
          <w:rFonts w:hint="eastAsia"/>
          <w:kern w:val="0"/>
        </w:rPr>
        <w:t xml:space="preserve">? </w:t>
      </w:r>
      <w:r>
        <w:rPr>
          <w:kern w:val="0"/>
        </w:rPr>
        <w:t>Koti, R.S., Gurusamy, K.S., Fusai, G.</w:t>
      </w:r>
      <w:r w:rsidR="00F81221">
        <w:rPr>
          <w:kern w:val="0"/>
        </w:rPr>
        <w:t xml:space="preserve"> and </w:t>
      </w:r>
      <w:r>
        <w:rPr>
          <w:kern w:val="0"/>
        </w:rPr>
        <w:t xml:space="preserve">Davidson, B.R. (2010), Meta-analysis of randomized controlled trials on the effectiveness of somatostatin analogues for pancreatic surgery: A Cochrane review. </w:t>
      </w:r>
      <w:r w:rsidRPr="001C017A">
        <w:rPr>
          <w:i/>
          <w:iCs/>
          <w:kern w:val="0"/>
        </w:rPr>
        <w:t>HPB</w:t>
      </w:r>
      <w:r>
        <w:rPr>
          <w:kern w:val="0"/>
        </w:rPr>
        <w:t xml:space="preserve">, </w:t>
      </w:r>
      <w:r>
        <w:rPr>
          <w:b/>
          <w:bCs/>
          <w:kern w:val="0"/>
        </w:rPr>
        <w:t>12</w:t>
      </w:r>
      <w:r>
        <w:rPr>
          <w:kern w:val="0"/>
        </w:rPr>
        <w:t xml:space="preserve"> (3), 155-165.</w:t>
      </w:r>
    </w:p>
    <w:p w:rsidR="002C2252" w:rsidRDefault="002C2252" w:rsidP="002C2252">
      <w:pPr>
        <w:pStyle w:val="a0"/>
        <w:rPr>
          <w:kern w:val="0"/>
        </w:rPr>
      </w:pPr>
      <w:r>
        <w:rPr>
          <w:rFonts w:hint="eastAsia"/>
          <w:kern w:val="0"/>
        </w:rPr>
        <w:t xml:space="preserve">Full Text: </w:t>
      </w:r>
      <w:hyperlink r:id="rId679" w:history="1">
        <w:r w:rsidRPr="002C2252">
          <w:rPr>
            <w:rStyle w:val="a5"/>
            <w:kern w:val="0"/>
          </w:rPr>
          <w:t>2010\HPB12, 155.pdf</w:t>
        </w:r>
      </w:hyperlink>
    </w:p>
    <w:p w:rsidR="002C2252" w:rsidRDefault="002C2252" w:rsidP="002C2252">
      <w:pPr>
        <w:pStyle w:val="a0"/>
        <w:rPr>
          <w:kern w:val="0"/>
        </w:rPr>
      </w:pPr>
      <w:r>
        <w:rPr>
          <w:kern w:val="0"/>
        </w:rPr>
        <w:t>Abstract: Background: The use of synthetic analogues of somatostatin following pancreatic surgery is controversial. The aim of this meta-analysis is to determine whether prophylactic somatostatin analogues (SAs) should be used routinely in pancreatic surgery. Methods: Randomized controlled trials were identified from the Cochrane Library Trials Register, MEDLINE, EMBASE, Science Citation Index Expanded</w:t>
      </w:r>
      <w:r w:rsidR="00F81221">
        <w:rPr>
          <w:kern w:val="0"/>
        </w:rPr>
        <w:t xml:space="preserve"> and </w:t>
      </w:r>
      <w:r>
        <w:rPr>
          <w:kern w:val="0"/>
        </w:rPr>
        <w:t>reference lists. Data were extracted from these trials by two independent reviewers. The risk ratio (RR), mean difference (MD)</w:t>
      </w:r>
      <w:r w:rsidR="00F81221">
        <w:rPr>
          <w:kern w:val="0"/>
        </w:rPr>
        <w:t xml:space="preserve"> and </w:t>
      </w:r>
      <w:r>
        <w:rPr>
          <w:kern w:val="0"/>
        </w:rPr>
        <w:t xml:space="preserve">standardized mean difference (SMD) were calculated with 95% confidence intervals (95% CIs) based on intention-to-treat or available case analysis. Results: Seventeen trials involving 2143 patients were identified. The overall number of patients with postoperative complications was lower in the SA group (RR 0.71, 95% CI 0.62-0.82), but there was no difference between the groups in perioperative mortality (RR 1.04, 95% CI 0.68-1.59), re-operation rate (RR 1.15, 95% CI 0.56-2.36) or hospital stay (MD -1.04 days, 95% CI -2.54 to 0.46). The incidence of pancreatic fistula was lower in the SA group (RR 0.64, 95% CI 0.53-0.78). The proportion of these fistulas that were clinically significant is not clear. Analysis of results of trials that clearly distinguished clinically significant fistulas revealed no difference between the two groups (RR 0.69, 95% CI 0.34-1.41). Subgroup analysis revealed a shorter hospital stay in the SA group than among controls for patients with malignant aetiology (MD -7.57 days, 95% CI -11.29 to -3.84). Conclusions: Somatostatin analogues reduce perioperative complications but do not reduce perioperative mortality. However, they </w:t>
      </w:r>
      <w:r>
        <w:rPr>
          <w:kern w:val="0"/>
        </w:rPr>
        <w:lastRenderedPageBreak/>
        <w:t>do shorten hospital stay in patients undergoing pancreatic surgery for malignancy. Further adequately powered trials of low risk of bias are necessary.</w:t>
      </w:r>
    </w:p>
    <w:p w:rsidR="002C2252" w:rsidRDefault="002C2252" w:rsidP="002C2252">
      <w:pPr>
        <w:pStyle w:val="a0"/>
        <w:rPr>
          <w:kern w:val="0"/>
        </w:rPr>
      </w:pPr>
      <w:r>
        <w:rPr>
          <w:kern w:val="0"/>
        </w:rPr>
        <w:t>Keywords: Aetiology, Analysis, Bias, Case Analysis, Clinical-Trials, Complications, Confidence, Confidence Intervals, Controlled Multicenter, Effectiveness, Efficacy, Empirical-Evidence, Fistula, Hospital, Hospital Stay, Incidence, Intervals, Low Risk, Malignancy, Medline, Meta-Analysis, Metaanalysis, Mortality, Octreotide, Pancreatic Fistula, Pancreatic Resection, Pancreaticoduodenectomy, Patients, Perioperative Complications, Placebo-Controlled Trial, Postoperative, Postoperative Complications, Prevention, Prophylactic, Prophylactic Octreotide, Randomized, Randomized Controlled Trials, Reference, Reference Lists, Reoperation, Review, Risk, Science Citation Index, Somatostatin, Surgery, Systematic Review</w:t>
      </w:r>
    </w:p>
    <w:p w:rsidR="00B95188" w:rsidRPr="00A428C3" w:rsidRDefault="00B95188" w:rsidP="00B95188">
      <w:pPr>
        <w:pStyle w:val="1"/>
      </w:pPr>
      <w:r w:rsidRPr="00A428C3">
        <w:br w:type="page"/>
      </w:r>
      <w:bookmarkStart w:id="651" w:name="_Toc186647788"/>
      <w:bookmarkStart w:id="652" w:name="_Toc317161047"/>
      <w:r w:rsidRPr="00A428C3">
        <w:lastRenderedPageBreak/>
        <w:t xml:space="preserve">Title: </w:t>
      </w:r>
      <w:r w:rsidRPr="00A428C3">
        <w:rPr>
          <w:iCs/>
        </w:rPr>
        <w:t>Huagong Xuebao/Journal of Chemical Industry</w:t>
      </w:r>
      <w:r w:rsidR="00F81221">
        <w:rPr>
          <w:iCs/>
        </w:rPr>
        <w:t xml:space="preserve"> and </w:t>
      </w:r>
      <w:r w:rsidRPr="00A428C3">
        <w:rPr>
          <w:iCs/>
        </w:rPr>
        <w:t>Engineering (</w:t>
      </w:r>
      <w:smartTag w:uri="urn:schemas-microsoft-com:office:smarttags" w:element="place">
        <w:smartTag w:uri="urn:schemas-microsoft-com:office:smarttags" w:element="country-region">
          <w:r w:rsidRPr="00A428C3">
            <w:rPr>
              <w:iCs/>
            </w:rPr>
            <w:t>China</w:t>
          </w:r>
        </w:smartTag>
      </w:smartTag>
      <w:r w:rsidRPr="00A428C3">
        <w:rPr>
          <w:iCs/>
        </w:rPr>
        <w:t>)</w:t>
      </w:r>
      <w:bookmarkEnd w:id="651"/>
      <w:bookmarkEnd w:id="652"/>
    </w:p>
    <w:p w:rsidR="00B95188" w:rsidRPr="00A428C3" w:rsidRDefault="00B95188" w:rsidP="00B72EF9">
      <w:pPr>
        <w:pStyle w:val="12"/>
      </w:pPr>
      <w:r w:rsidRPr="00A428C3">
        <w:t xml:space="preserve">Full Journal Title: </w:t>
      </w:r>
      <w:hyperlink r:id="rId680" w:history="1">
        <w:r w:rsidRPr="00A428C3">
          <w:rPr>
            <w:rStyle w:val="a5"/>
            <w:iCs/>
          </w:rPr>
          <w:t>Huagong Xuebao/Journal of Chemical Industry</w:t>
        </w:r>
        <w:r w:rsidR="00F81221">
          <w:rPr>
            <w:rStyle w:val="a5"/>
            <w:iCs/>
          </w:rPr>
          <w:t xml:space="preserve"> and </w:t>
        </w:r>
        <w:r w:rsidRPr="00A428C3">
          <w:rPr>
            <w:rStyle w:val="a5"/>
            <w:iCs/>
          </w:rPr>
          <w:t>Engineering (China)</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Liao, X., Zhang, M., Wang, R.</w:t>
      </w:r>
      <w:r w:rsidR="00F81221">
        <w:t xml:space="preserve"> and </w:t>
      </w:r>
      <w:r w:rsidRPr="00A428C3">
        <w:t xml:space="preserve">Shi, B. (2004), Adsorption behavior of solid waste of leather manufacture. </w:t>
      </w:r>
      <w:r w:rsidRPr="00A428C3">
        <w:rPr>
          <w:i/>
        </w:rPr>
        <w:t>Huagong Xuebao/Journal of Chemical Industry</w:t>
      </w:r>
      <w:r w:rsidR="00F81221">
        <w:rPr>
          <w:i/>
        </w:rPr>
        <w:t xml:space="preserve"> and </w:t>
      </w:r>
      <w:r w:rsidRPr="00A428C3">
        <w:rPr>
          <w:i/>
        </w:rPr>
        <w:t>Engineering (</w:t>
      </w:r>
      <w:smartTag w:uri="urn:schemas-microsoft-com:office:smarttags" w:element="place">
        <w:smartTag w:uri="urn:schemas-microsoft-com:office:smarttags" w:element="country-region">
          <w:r w:rsidRPr="00A428C3">
            <w:rPr>
              <w:i/>
            </w:rPr>
            <w:t>China</w:t>
          </w:r>
        </w:smartTag>
      </w:smartTag>
      <w:r w:rsidRPr="00A428C3">
        <w:rPr>
          <w:i/>
        </w:rPr>
        <w:t>)</w:t>
      </w:r>
      <w:r w:rsidRPr="00A428C3">
        <w:t xml:space="preserve">, </w:t>
      </w:r>
      <w:r w:rsidRPr="00A428C3">
        <w:rPr>
          <w:b/>
        </w:rPr>
        <w:t>55</w:t>
      </w:r>
      <w:r w:rsidRPr="00A428C3">
        <w:t xml:space="preserve"> (12), 2051-2059.</w:t>
      </w:r>
    </w:p>
    <w:p w:rsidR="00B95188" w:rsidRPr="00A428C3" w:rsidRDefault="00B95188" w:rsidP="00B95188">
      <w:pPr>
        <w:pStyle w:val="a0"/>
      </w:pPr>
      <w:r w:rsidRPr="00A428C3">
        <w:t>Abstract: The adsorption behavior of chrome-containing</w:t>
      </w:r>
      <w:r w:rsidR="00F81221">
        <w:t xml:space="preserve"> and </w:t>
      </w:r>
      <w:r w:rsidRPr="00A428C3">
        <w:t>tannins-containing solid waste originated from leather manufacture was investigated. The experimental results indicated that the chrome-containing leather waste could substantially adsorb acid dyes</w:t>
      </w:r>
      <w:r w:rsidR="00F81221">
        <w:t xml:space="preserve"> and </w:t>
      </w:r>
      <w:r w:rsidRPr="00A428C3">
        <w:t>direct dyes. However it was ineffective for the adsorption of alkali dyes. The adsorption equilibrium of chrome-containing leather waste to acid dyes</w:t>
      </w:r>
      <w:r w:rsidR="00F81221">
        <w:t xml:space="preserve"> and </w:t>
      </w:r>
      <w:r w:rsidRPr="00A428C3">
        <w:t>direct dyes could be described by the Langmuir equation</w:t>
      </w:r>
      <w:r w:rsidR="00F81221">
        <w:t xml:space="preserve"> and </w:t>
      </w:r>
      <w:r w:rsidRPr="00A428C3">
        <w:t>the pseudo-second-order rate model gave perfect fitting to the adsorption kinetics. The tannins-containing leather waste exhibited high adsorption capacities to Au</w:t>
      </w:r>
      <w:r w:rsidRPr="00A428C3">
        <w:rPr>
          <w:vertAlign w:val="superscript"/>
        </w:rPr>
        <w:t>3+</w:t>
      </w:r>
      <w:r w:rsidRPr="00A428C3">
        <w:t>, U</w:t>
      </w:r>
      <w:r w:rsidRPr="00A428C3">
        <w:rPr>
          <w:vertAlign w:val="superscript"/>
        </w:rPr>
        <w:t>6+</w:t>
      </w:r>
      <w:r w:rsidRPr="00A428C3">
        <w:t>, Th</w:t>
      </w:r>
      <w:r w:rsidRPr="00A428C3">
        <w:rPr>
          <w:vertAlign w:val="superscript"/>
        </w:rPr>
        <w:t>4+</w:t>
      </w:r>
      <w:r w:rsidR="00F81221">
        <w:t xml:space="preserve"> and </w:t>
      </w:r>
      <w:r w:rsidRPr="00A428C3">
        <w:t>Hg</w:t>
      </w:r>
      <w:r w:rsidRPr="00A428C3">
        <w:rPr>
          <w:vertAlign w:val="superscript"/>
        </w:rPr>
        <w:t>2+</w:t>
      </w:r>
      <w:r w:rsidRPr="00A428C3">
        <w:t>. However the adsorption equilibrium of metal ions on the tannins-containing leather waste could not be described by single equation. The adsorption equilibrium of Cu</w:t>
      </w:r>
      <w:r w:rsidRPr="00A428C3">
        <w:rPr>
          <w:vertAlign w:val="superscript"/>
        </w:rPr>
        <w:t>2+</w:t>
      </w:r>
      <w:r w:rsidRPr="00A428C3">
        <w:t>, U</w:t>
      </w:r>
      <w:r w:rsidRPr="00A428C3">
        <w:rPr>
          <w:vertAlign w:val="superscript"/>
        </w:rPr>
        <w:t>6+</w:t>
      </w:r>
      <w:r w:rsidRPr="00A428C3">
        <w:t>, Pb</w:t>
      </w:r>
      <w:r w:rsidRPr="00A428C3">
        <w:rPr>
          <w:vertAlign w:val="superscript"/>
        </w:rPr>
        <w:t>2+</w:t>
      </w:r>
      <w:r w:rsidR="00F81221">
        <w:t xml:space="preserve"> and </w:t>
      </w:r>
      <w:r w:rsidRPr="00A428C3">
        <w:t>Hg</w:t>
      </w:r>
      <w:r w:rsidRPr="00A428C3">
        <w:rPr>
          <w:vertAlign w:val="superscript"/>
        </w:rPr>
        <w:t>2+</w:t>
      </w:r>
      <w:r w:rsidRPr="00A428C3">
        <w:t xml:space="preserve"> could be described by the Freundlich equation, while that of Au</w:t>
      </w:r>
      <w:r w:rsidRPr="00A428C3">
        <w:rPr>
          <w:vertAlign w:val="superscript"/>
        </w:rPr>
        <w:t>3+</w:t>
      </w:r>
      <w:r w:rsidR="00F81221">
        <w:t xml:space="preserve"> and </w:t>
      </w:r>
      <w:r w:rsidRPr="00A428C3">
        <w:t>Th</w:t>
      </w:r>
      <w:r w:rsidRPr="00A428C3">
        <w:rPr>
          <w:vertAlign w:val="superscript"/>
        </w:rPr>
        <w:t>4+</w:t>
      </w:r>
      <w:r w:rsidRPr="00A428C3">
        <w:t xml:space="preserve"> could be described by the Langmuir equation. These facts implied that the different adsorption mechanisms might be involved in the adsorption processes of metal ions on the tannins-containing leather waste. The pseudo-second-order rate model also gave perfect fitting to the adsorption rate data of metal ions on the tannins-containing leather waste. The adsorption column of chrome-containing leather waste could be easily regenerated after adsorption of dyes. Similarly, the adsorption column of tannins-containing leather waste could be also easily regenerated after adsorption of metal ions except Au</w:t>
      </w:r>
      <w:r w:rsidRPr="00A428C3">
        <w:rPr>
          <w:vertAlign w:val="superscript"/>
        </w:rPr>
        <w:t>3+</w:t>
      </w:r>
      <w:r w:rsidRPr="00A428C3">
        <w:t xml:space="preserve">. The change of adsorption behavior of the regenerated columns was not considerable, </w:t>
      </w:r>
      <w:r w:rsidRPr="00A428C3">
        <w:lastRenderedPageBreak/>
        <w:t>which indicated the potential value of a using solid waste of leather processing in environmental protection.</w:t>
      </w:r>
    </w:p>
    <w:p w:rsidR="00B95188" w:rsidRPr="00A428C3" w:rsidRDefault="00B95188" w:rsidP="00B95188">
      <w:pPr>
        <w:pStyle w:val="a0"/>
      </w:pPr>
      <w:r w:rsidRPr="00A428C3">
        <w:t>Keywords: Adsorption, Chrome-Containing Leather Waste, Dyes, Metal Ions, Tannins-Containing Leather Waste</w:t>
      </w:r>
    </w:p>
    <w:p w:rsidR="00B95188" w:rsidRPr="00A428C3" w:rsidRDefault="00B95188" w:rsidP="00B95188">
      <w:pPr>
        <w:pStyle w:val="a0"/>
      </w:pPr>
      <w:r w:rsidRPr="00A428C3">
        <w:t>? Ma, H., Liao, X., Wang, R.</w:t>
      </w:r>
      <w:r w:rsidR="00F81221">
        <w:t xml:space="preserve"> and </w:t>
      </w:r>
      <w:r w:rsidRPr="00A428C3">
        <w:t>Shi, B. (2005), Immobilization of tannin on collagen fiber membrane</w:t>
      </w:r>
      <w:r w:rsidR="00F81221">
        <w:t xml:space="preserve"> and </w:t>
      </w:r>
      <w:r w:rsidRPr="00A428C3">
        <w:t>its adsorption to Pb(II)</w:t>
      </w:r>
      <w:r w:rsidR="00F81221">
        <w:t xml:space="preserve"> and </w:t>
      </w:r>
      <w:r w:rsidRPr="00A428C3">
        <w:t xml:space="preserve">Hg(II) in aqueous solution. </w:t>
      </w:r>
      <w:r w:rsidRPr="00A428C3">
        <w:rPr>
          <w:i/>
          <w:iCs/>
        </w:rPr>
        <w:t>Huagong Xuebao/Journal of Chemical Industry</w:t>
      </w:r>
      <w:r w:rsidR="00F81221">
        <w:rPr>
          <w:i/>
          <w:iCs/>
        </w:rPr>
        <w:t xml:space="preserve"> and </w:t>
      </w:r>
      <w:r w:rsidRPr="00A428C3">
        <w:rPr>
          <w:i/>
          <w:iCs/>
        </w:rPr>
        <w:t>Engineering (</w:t>
      </w:r>
      <w:smartTag w:uri="urn:schemas-microsoft-com:office:smarttags" w:element="place">
        <w:smartTag w:uri="urn:schemas-microsoft-com:office:smarttags" w:element="country-region">
          <w:r w:rsidRPr="00A428C3">
            <w:rPr>
              <w:i/>
              <w:iCs/>
            </w:rPr>
            <w:t>China</w:t>
          </w:r>
        </w:smartTag>
      </w:smartTag>
      <w:r w:rsidRPr="00A428C3">
        <w:rPr>
          <w:i/>
          <w:iCs/>
        </w:rPr>
        <w:t>)</w:t>
      </w:r>
      <w:r w:rsidRPr="00A428C3">
        <w:t xml:space="preserve">, </w:t>
      </w:r>
      <w:r w:rsidRPr="00A428C3">
        <w:rPr>
          <w:b/>
        </w:rPr>
        <w:t>56</w:t>
      </w:r>
      <w:r w:rsidRPr="00A428C3">
        <w:t xml:space="preserve"> (10), 1907-1911.</w:t>
      </w:r>
    </w:p>
    <w:p w:rsidR="00B95188" w:rsidRPr="00A428C3" w:rsidRDefault="00B95188" w:rsidP="00B95188">
      <w:pPr>
        <w:pStyle w:val="a0"/>
      </w:pPr>
      <w:r w:rsidRPr="00A428C3">
        <w:t>Abstract: A novel adsorption membrane with excellent physical properties was prepared by immobilizing bayberry tannin onto hide collagen fiber membrane. The equilibrium adsorption capacities of the membrane to Pb(II)</w:t>
      </w:r>
      <w:r w:rsidR="00F81221">
        <w:t xml:space="preserve"> and </w:t>
      </w:r>
      <w:r w:rsidRPr="00A428C3">
        <w:t>Hg(II) were 39.9 mg·g</w:t>
      </w:r>
      <w:r w:rsidRPr="00A428C3">
        <w:rPr>
          <w:vertAlign w:val="superscript"/>
        </w:rPr>
        <w:t>-1</w:t>
      </w:r>
      <w:r w:rsidR="00F81221">
        <w:t xml:space="preserve"> and </w:t>
      </w:r>
      <w:r w:rsidRPr="00A428C3">
        <w:t>75.2 mg·g</w:t>
      </w:r>
      <w:r w:rsidRPr="00A428C3">
        <w:rPr>
          <w:vertAlign w:val="superscript"/>
        </w:rPr>
        <w:t>-1</w:t>
      </w:r>
      <w:r w:rsidRPr="00A428C3">
        <w:t xml:space="preserve"> respectively at 303 K when the equilibrium concentrations of Pb(II)</w:t>
      </w:r>
      <w:r w:rsidR="00F81221">
        <w:t xml:space="preserve"> and </w:t>
      </w:r>
      <w:r w:rsidRPr="00A428C3">
        <w:t>Hg(II) were 192.1 mg·L</w:t>
      </w:r>
      <w:r w:rsidRPr="00A428C3">
        <w:rPr>
          <w:vertAlign w:val="superscript"/>
        </w:rPr>
        <w:t>-1</w:t>
      </w:r>
      <w:r w:rsidR="00F81221">
        <w:t xml:space="preserve"> and </w:t>
      </w:r>
      <w:r w:rsidRPr="00A428C3">
        <w:t>23.5 mg·L</w:t>
      </w:r>
      <w:r w:rsidRPr="00A428C3">
        <w:rPr>
          <w:vertAlign w:val="superscript"/>
        </w:rPr>
        <w:t>-1</w:t>
      </w:r>
      <w:r w:rsidRPr="00A428C3">
        <w:t xml:space="preserve">. Higher temperature led to higher adsorption capacity. The adsorption isotherm of Pb(II) on the tannin immobilized membrane could be described by the Langmuir model, however, the isotherms of Hg(II) tended to be fitted by the Freundlich model. The data of adsorption rate could be well described by the </w:t>
      </w:r>
      <w:r w:rsidRPr="00A428C3">
        <w:rPr>
          <w:b/>
          <w:color w:val="FF0000"/>
        </w:rPr>
        <w:t>pseudo-second-order</w:t>
      </w:r>
      <w:r w:rsidRPr="00A428C3">
        <w:t xml:space="preserve"> rate model. Continuous adsorption experiments indicated that multi-layer membranes were efficient for the removal of Pb(II)</w:t>
      </w:r>
      <w:r w:rsidR="00F81221">
        <w:t xml:space="preserve"> and </w:t>
      </w:r>
      <w:r w:rsidRPr="00A428C3">
        <w:t>Hg(II) from water. The membrane was easy to be regenerated by 0.1 mol·L</w:t>
      </w:r>
      <w:r w:rsidRPr="00A428C3">
        <w:rPr>
          <w:vertAlign w:val="superscript"/>
        </w:rPr>
        <w:t>-1</w:t>
      </w:r>
      <w:r w:rsidRPr="00A428C3">
        <w:t xml:space="preserve"> HNO</w:t>
      </w:r>
      <w:r w:rsidRPr="00A428C3">
        <w:rPr>
          <w:vertAlign w:val="subscript"/>
        </w:rPr>
        <w:t>3</w:t>
      </w:r>
      <w:r w:rsidRPr="00A428C3">
        <w:t xml:space="preserve"> after continuous adsorption</w:t>
      </w:r>
      <w:r w:rsidR="00F81221">
        <w:t xml:space="preserve"> and </w:t>
      </w:r>
      <w:r w:rsidRPr="00A428C3">
        <w:t>no considerable change of its adsorption property was observed after adsorption</w:t>
      </w:r>
      <w:r w:rsidR="00F81221">
        <w:t xml:space="preserve"> and </w:t>
      </w:r>
      <w:r w:rsidRPr="00A428C3">
        <w:t>desorption cycles.</w:t>
      </w:r>
    </w:p>
    <w:p w:rsidR="00B95188" w:rsidRPr="00A428C3" w:rsidRDefault="00B95188" w:rsidP="00B95188">
      <w:pPr>
        <w:pStyle w:val="a0"/>
      </w:pPr>
      <w:r w:rsidRPr="00A428C3">
        <w:rPr>
          <w:color w:val="000000"/>
        </w:rPr>
        <w:t>Keywords</w:t>
      </w:r>
      <w:r w:rsidRPr="00A428C3">
        <w:t>: Adsorption, Collagen Fiber Membrane, Hg(II), Immobilization, Pb(II), Tannin</w:t>
      </w:r>
    </w:p>
    <w:p w:rsidR="00B95188" w:rsidRPr="00A428C3" w:rsidRDefault="00B95188" w:rsidP="00B95188">
      <w:pPr>
        <w:pStyle w:val="1"/>
      </w:pPr>
      <w:r w:rsidRPr="00A428C3">
        <w:br w:type="page"/>
      </w:r>
      <w:bookmarkStart w:id="653" w:name="_Toc186647789"/>
      <w:bookmarkStart w:id="654" w:name="_Toc317161048"/>
      <w:r w:rsidRPr="00A428C3">
        <w:lastRenderedPageBreak/>
        <w:t>Title: Huanjing Kexue</w:t>
      </w:r>
      <w:bookmarkEnd w:id="653"/>
      <w:bookmarkEnd w:id="654"/>
    </w:p>
    <w:p w:rsidR="00B95188" w:rsidRPr="00A428C3" w:rsidRDefault="00B95188" w:rsidP="00B72EF9">
      <w:pPr>
        <w:pStyle w:val="12"/>
      </w:pPr>
      <w:r w:rsidRPr="00A428C3">
        <w:t>Full Journal Title: Huanjing Kexue</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0250-3301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Liu, R.X., Wang, Y.X.</w:t>
      </w:r>
      <w:r w:rsidR="00F81221">
        <w:t xml:space="preserve"> and </w:t>
      </w:r>
      <w:r w:rsidRPr="00A428C3">
        <w:t xml:space="preserve">Tang, H.X. (2002), Removal of arsenate by a new type of ion exchange fiber. </w:t>
      </w:r>
      <w:r w:rsidRPr="00A428C3">
        <w:rPr>
          <w:i/>
        </w:rPr>
        <w:t>Huanjing Kexue</w:t>
      </w:r>
      <w:r w:rsidRPr="00A428C3">
        <w:t xml:space="preserve">, </w:t>
      </w:r>
      <w:r w:rsidRPr="00A428C3">
        <w:rPr>
          <w:b/>
        </w:rPr>
        <w:t>23</w:t>
      </w:r>
      <w:r w:rsidRPr="00A428C3">
        <w:t xml:space="preserve"> (5), 88-91.</w:t>
      </w:r>
    </w:p>
    <w:p w:rsidR="00B95188" w:rsidRPr="00A428C3" w:rsidRDefault="00B95188" w:rsidP="00B95188">
      <w:pPr>
        <w:pStyle w:val="a0"/>
      </w:pPr>
      <w:r w:rsidRPr="00A428C3">
        <w:t>Abstract: A new type of ion exchange fiber was prepared for the removal of arsenate from water. A batch sorption experiments showed that the fibrous sorbent had high sorption capacity</w:t>
      </w:r>
      <w:r w:rsidR="00F81221">
        <w:t xml:space="preserve"> and </w:t>
      </w:r>
      <w:r w:rsidRPr="00A428C3">
        <w:t>good kinetic property for arsenate ion. The sorption kinetic data can be described by the Lagergren pseudo-second order rate equation very well. Freundlich model can simulate the adsorption equilibrium data of arsenate ion in the studied concentration range. The removal of arsenate by the fiber reached a maximum in pH value range of 3.5 to 7.0. The column performance was carried to assess the applicability of the ion exchange fiber for the removal of arsenate ion with satisfactory result. The diluted NaOH solution is an efficient eluant for the desorption of arsenate on from the fiber column,</w:t>
      </w:r>
      <w:r w:rsidR="00F81221">
        <w:t xml:space="preserve"> and </w:t>
      </w:r>
      <w:r w:rsidRPr="00A428C3">
        <w:t>30 mL of 0.5 mol/L NaOH can quantitatively recover arsenate from water.</w:t>
      </w:r>
    </w:p>
    <w:p w:rsidR="001F3D18" w:rsidRPr="00A428C3" w:rsidRDefault="001F3D18" w:rsidP="001F3D18">
      <w:pPr>
        <w:pStyle w:val="1"/>
      </w:pPr>
      <w:r w:rsidRPr="00A428C3">
        <w:br w:type="page"/>
      </w:r>
      <w:bookmarkStart w:id="655" w:name="_Toc317161049"/>
      <w:r w:rsidRPr="00A428C3">
        <w:lastRenderedPageBreak/>
        <w:t>Title: Human Communication Research</w:t>
      </w:r>
      <w:bookmarkEnd w:id="655"/>
    </w:p>
    <w:p w:rsidR="001F3D18" w:rsidRPr="00A428C3" w:rsidRDefault="001F3D18" w:rsidP="001F3D18">
      <w:pPr>
        <w:pStyle w:val="12"/>
      </w:pPr>
      <w:r w:rsidRPr="00A428C3">
        <w:t>Full Journal Title: Human Communication Research</w:t>
      </w:r>
    </w:p>
    <w:p w:rsidR="001F3D18" w:rsidRPr="00A428C3" w:rsidRDefault="001F3D18" w:rsidP="001F3D18">
      <w:pPr>
        <w:pStyle w:val="12"/>
      </w:pPr>
      <w:r w:rsidRPr="00A428C3">
        <w:t xml:space="preserve">ISO Abbreviated Title: </w:t>
      </w:r>
    </w:p>
    <w:p w:rsidR="001F3D18" w:rsidRPr="00A428C3" w:rsidRDefault="001F3D18" w:rsidP="001F3D18">
      <w:pPr>
        <w:pStyle w:val="12"/>
      </w:pPr>
      <w:r w:rsidRPr="00A428C3">
        <w:t xml:space="preserve">JCR Abbreviated Title: </w:t>
      </w:r>
    </w:p>
    <w:p w:rsidR="001F3D18" w:rsidRPr="00A428C3" w:rsidRDefault="001F3D18" w:rsidP="001F3D18">
      <w:pPr>
        <w:pStyle w:val="12"/>
      </w:pPr>
      <w:r w:rsidRPr="00A428C3">
        <w:t>ISSN: 0360-3989</w:t>
      </w:r>
    </w:p>
    <w:p w:rsidR="001F3D18" w:rsidRPr="00A428C3" w:rsidRDefault="001F3D18" w:rsidP="001F3D18">
      <w:pPr>
        <w:pStyle w:val="12"/>
      </w:pPr>
      <w:r w:rsidRPr="00A428C3">
        <w:t xml:space="preserve">Issues/Year: </w:t>
      </w:r>
    </w:p>
    <w:p w:rsidR="001F3D18" w:rsidRPr="00A428C3" w:rsidRDefault="001F3D18" w:rsidP="001F3D18">
      <w:pPr>
        <w:pStyle w:val="12"/>
      </w:pPr>
      <w:r w:rsidRPr="00A428C3">
        <w:t>Journal Country/Territory:</w:t>
      </w:r>
    </w:p>
    <w:p w:rsidR="001F3D18" w:rsidRPr="00A428C3" w:rsidRDefault="001F3D18" w:rsidP="001F3D18">
      <w:pPr>
        <w:pStyle w:val="12"/>
      </w:pPr>
      <w:r w:rsidRPr="00A428C3">
        <w:t xml:space="preserve">Language: </w:t>
      </w:r>
    </w:p>
    <w:p w:rsidR="001F3D18" w:rsidRPr="00A428C3" w:rsidRDefault="001F3D18" w:rsidP="001F3D18">
      <w:pPr>
        <w:pStyle w:val="12"/>
      </w:pPr>
      <w:r w:rsidRPr="00A428C3">
        <w:t xml:space="preserve">Publisher: </w:t>
      </w:r>
    </w:p>
    <w:p w:rsidR="001F3D18" w:rsidRPr="00A428C3" w:rsidRDefault="001F3D18" w:rsidP="001F3D18">
      <w:pPr>
        <w:pStyle w:val="12"/>
      </w:pPr>
      <w:r w:rsidRPr="00A428C3">
        <w:t xml:space="preserve">Publisher Address: </w:t>
      </w:r>
    </w:p>
    <w:p w:rsidR="001F3D18" w:rsidRPr="00A428C3" w:rsidRDefault="001F3D18" w:rsidP="001F3D18">
      <w:pPr>
        <w:pStyle w:val="12"/>
      </w:pPr>
      <w:r w:rsidRPr="00A428C3">
        <w:t>Subject Categories:</w:t>
      </w:r>
    </w:p>
    <w:p w:rsidR="001F3D18" w:rsidRPr="00A428C3" w:rsidRDefault="001F3D18" w:rsidP="001F3D18">
      <w:pPr>
        <w:pStyle w:val="12"/>
      </w:pPr>
      <w:r w:rsidRPr="00A428C3">
        <w:t xml:space="preserve">: Impact Factor </w:t>
      </w:r>
    </w:p>
    <w:p w:rsidR="001F3D18" w:rsidRDefault="001F3D18" w:rsidP="001F3D18">
      <w:pPr>
        <w:pStyle w:val="a0"/>
        <w:rPr>
          <w:kern w:val="0"/>
        </w:rPr>
      </w:pPr>
      <w:r>
        <w:rPr>
          <w:rFonts w:hint="eastAsia"/>
          <w:kern w:val="0"/>
        </w:rPr>
        <w:t>Notes: highly cited</w:t>
      </w:r>
    </w:p>
    <w:p w:rsidR="001F3D18" w:rsidRDefault="001F3D18" w:rsidP="001F3D18">
      <w:pPr>
        <w:pStyle w:val="a0"/>
        <w:rPr>
          <w:kern w:val="0"/>
        </w:rPr>
      </w:pPr>
      <w:r>
        <w:rPr>
          <w:rFonts w:hint="eastAsia"/>
          <w:kern w:val="0"/>
        </w:rPr>
        <w:t xml:space="preserve">? </w:t>
      </w:r>
      <w:r>
        <w:rPr>
          <w:kern w:val="0"/>
        </w:rPr>
        <w:t>Ashburner, J.</w:t>
      </w:r>
      <w:r w:rsidR="00F81221">
        <w:rPr>
          <w:kern w:val="0"/>
        </w:rPr>
        <w:t xml:space="preserve"> and </w:t>
      </w:r>
      <w:r>
        <w:rPr>
          <w:kern w:val="0"/>
        </w:rPr>
        <w:t xml:space="preserve">Friston, K.J. (1999), Nonlinear spatial normalization using basis functions. </w:t>
      </w:r>
      <w:r>
        <w:rPr>
          <w:i/>
          <w:iCs/>
          <w:kern w:val="0"/>
        </w:rPr>
        <w:t>Human Brain Mapping</w:t>
      </w:r>
      <w:r>
        <w:rPr>
          <w:kern w:val="0"/>
        </w:rPr>
        <w:t xml:space="preserve">, </w:t>
      </w:r>
      <w:r>
        <w:rPr>
          <w:b/>
          <w:bCs/>
          <w:kern w:val="0"/>
        </w:rPr>
        <w:t>7</w:t>
      </w:r>
      <w:r>
        <w:rPr>
          <w:kern w:val="0"/>
        </w:rPr>
        <w:t xml:space="preserve"> (4), 254-266.</w:t>
      </w:r>
    </w:p>
    <w:p w:rsidR="001F3D18" w:rsidRDefault="001F3D18" w:rsidP="001F3D18">
      <w:pPr>
        <w:pStyle w:val="a0"/>
        <w:rPr>
          <w:kern w:val="0"/>
        </w:rPr>
      </w:pPr>
      <w:r>
        <w:rPr>
          <w:rFonts w:hint="eastAsia"/>
          <w:kern w:val="0"/>
        </w:rPr>
        <w:t xml:space="preserve">Full Text: </w:t>
      </w:r>
      <w:hyperlink r:id="rId681" w:history="1">
        <w:r w:rsidR="000F628F" w:rsidRPr="000F628F">
          <w:rPr>
            <w:rStyle w:val="a5"/>
            <w:kern w:val="0"/>
          </w:rPr>
          <w:t>1999\Hum Bra Map7, 254.pdf</w:t>
        </w:r>
      </w:hyperlink>
    </w:p>
    <w:p w:rsidR="001F3D18" w:rsidRDefault="001F3D18" w:rsidP="001F3D18">
      <w:pPr>
        <w:pStyle w:val="a0"/>
        <w:rPr>
          <w:kern w:val="0"/>
        </w:rPr>
      </w:pPr>
      <w:r>
        <w:rPr>
          <w:kern w:val="0"/>
        </w:rPr>
        <w:t>Abstract: We describe a comprehensive framework for performing rapid</w:t>
      </w:r>
      <w:r w:rsidR="00F81221">
        <w:rPr>
          <w:kern w:val="0"/>
        </w:rPr>
        <w:t xml:space="preserve"> and </w:t>
      </w:r>
      <w:r>
        <w:rPr>
          <w:kern w:val="0"/>
        </w:rPr>
        <w:t>automatic nonlabel-based nonlinear spatial normalizations. The approach adopted minimizes the residual squared difference between an image</w:t>
      </w:r>
      <w:r w:rsidR="00F81221">
        <w:rPr>
          <w:kern w:val="0"/>
        </w:rPr>
        <w:t xml:space="preserve"> and </w:t>
      </w:r>
      <w:r>
        <w:rPr>
          <w:kern w:val="0"/>
        </w:rPr>
        <w:t>a template of the same modality. In order to reduce the number of parameters to be fitted, the nonlinear warps are described by a linear combination of low spatial frequency basis functions. The objective is to determine the optimum coefficients fur each of the bases by minimizing the sum of squared differences between the image</w:t>
      </w:r>
      <w:r w:rsidR="00F81221">
        <w:rPr>
          <w:kern w:val="0"/>
        </w:rPr>
        <w:t xml:space="preserve"> and </w:t>
      </w:r>
      <w:r>
        <w:rPr>
          <w:kern w:val="0"/>
        </w:rPr>
        <w:t>template, while simultaneously maximizing the smoothness of the transformation using a maximum a posteriori (MAP) approach. Most MAT approaches assume that the variance associated with each voxel is already known</w:t>
      </w:r>
      <w:r w:rsidR="00F81221">
        <w:rPr>
          <w:kern w:val="0"/>
        </w:rPr>
        <w:t xml:space="preserve"> and </w:t>
      </w:r>
      <w:r>
        <w:rPr>
          <w:kern w:val="0"/>
        </w:rPr>
        <w:t>that there is no covariance between neighboring voxels. The approach described here attempts to estimate this variance from the data,</w:t>
      </w:r>
      <w:r w:rsidR="00F81221">
        <w:rPr>
          <w:kern w:val="0"/>
        </w:rPr>
        <w:t xml:space="preserve"> and </w:t>
      </w:r>
      <w:r>
        <w:rPr>
          <w:kern w:val="0"/>
        </w:rPr>
        <w:t>also corrects fur the correlations between neighboring voxels. This makes the same approach suitable for the spatial normalization of both high-quality magnetic resonance images,</w:t>
      </w:r>
      <w:r w:rsidR="00F81221">
        <w:rPr>
          <w:kern w:val="0"/>
        </w:rPr>
        <w:t xml:space="preserve"> and </w:t>
      </w:r>
      <w:r>
        <w:rPr>
          <w:kern w:val="0"/>
        </w:rPr>
        <w:t>low-resolution noisy positron emission tomography images. A fast algorithm has been developed that utilizes Taylor</w:t>
      </w:r>
      <w:r w:rsidR="000352E7">
        <w:rPr>
          <w:kern w:val="0"/>
        </w:rPr>
        <w:t>’</w:t>
      </w:r>
      <w:r>
        <w:rPr>
          <w:kern w:val="0"/>
        </w:rPr>
        <w:t>s theorem</w:t>
      </w:r>
      <w:r w:rsidR="00F81221">
        <w:rPr>
          <w:kern w:val="0"/>
        </w:rPr>
        <w:t xml:space="preserve"> and </w:t>
      </w:r>
      <w:r>
        <w:rPr>
          <w:kern w:val="0"/>
        </w:rPr>
        <w:t>the separable nature of the basis functions, meaning that most of the nonlinear spatial variability between images can be automatically corrected within a few minutes. Hum. Brain Mapping 7:254-266, 1999. (C) 1999 Wiley-Liss, Inc.</w:t>
      </w:r>
    </w:p>
    <w:p w:rsidR="001F3D18" w:rsidRDefault="001F3D18" w:rsidP="001F3D18">
      <w:pPr>
        <w:pStyle w:val="a0"/>
        <w:rPr>
          <w:kern w:val="0"/>
        </w:rPr>
      </w:pPr>
      <w:r>
        <w:rPr>
          <w:kern w:val="0"/>
        </w:rPr>
        <w:t>Keywords: Anatomy, Basis Functions, Brain, Deformable Templates, England, Functional Mapping, Imaging, MRI, PET, Registration, Registration, Spatial Normalization, Stereotaxy</w:t>
      </w:r>
    </w:p>
    <w:p w:rsidR="00333A4C" w:rsidRDefault="00333A4C" w:rsidP="00333A4C">
      <w:pPr>
        <w:pStyle w:val="a0"/>
        <w:rPr>
          <w:kern w:val="0"/>
        </w:rPr>
      </w:pPr>
      <w:r>
        <w:rPr>
          <w:rFonts w:hint="eastAsia"/>
          <w:kern w:val="0"/>
        </w:rPr>
        <w:lastRenderedPageBreak/>
        <w:t xml:space="preserve">? </w:t>
      </w:r>
      <w:r>
        <w:rPr>
          <w:kern w:val="0"/>
        </w:rPr>
        <w:t xml:space="preserve">Smith, S.M. (2002), Fast robust automated brain extraction. </w:t>
      </w:r>
      <w:r>
        <w:rPr>
          <w:i/>
          <w:iCs/>
          <w:kern w:val="0"/>
        </w:rPr>
        <w:t>Human Brain Mapping</w:t>
      </w:r>
      <w:r>
        <w:rPr>
          <w:kern w:val="0"/>
        </w:rPr>
        <w:t xml:space="preserve">, </w:t>
      </w:r>
      <w:r>
        <w:rPr>
          <w:b/>
          <w:bCs/>
          <w:kern w:val="0"/>
        </w:rPr>
        <w:t>17</w:t>
      </w:r>
      <w:r>
        <w:rPr>
          <w:kern w:val="0"/>
        </w:rPr>
        <w:t xml:space="preserve"> (3), 143-155.</w:t>
      </w:r>
    </w:p>
    <w:p w:rsidR="00333A4C" w:rsidRDefault="00333A4C" w:rsidP="00333A4C">
      <w:pPr>
        <w:pStyle w:val="a0"/>
        <w:rPr>
          <w:kern w:val="0"/>
        </w:rPr>
      </w:pPr>
      <w:r>
        <w:rPr>
          <w:rFonts w:hint="eastAsia"/>
          <w:kern w:val="0"/>
        </w:rPr>
        <w:t xml:space="preserve">Full Text: </w:t>
      </w:r>
      <w:hyperlink r:id="rId682" w:history="1">
        <w:r w:rsidRPr="00333A4C">
          <w:rPr>
            <w:rStyle w:val="a5"/>
            <w:kern w:val="0"/>
          </w:rPr>
          <w:t>2002\Hum Bra Map17, 143.pdf</w:t>
        </w:r>
      </w:hyperlink>
    </w:p>
    <w:p w:rsidR="00333A4C" w:rsidRDefault="00333A4C" w:rsidP="00333A4C">
      <w:pPr>
        <w:pStyle w:val="a0"/>
        <w:rPr>
          <w:kern w:val="0"/>
        </w:rPr>
      </w:pPr>
      <w:r>
        <w:rPr>
          <w:kern w:val="0"/>
        </w:rPr>
        <w:t>Abstract: An automated method for segmenting magnetic resonance head images into brain</w:t>
      </w:r>
      <w:r w:rsidR="00F81221">
        <w:rPr>
          <w:kern w:val="0"/>
        </w:rPr>
        <w:t xml:space="preserve"> and </w:t>
      </w:r>
      <w:r>
        <w:rPr>
          <w:kern w:val="0"/>
        </w:rPr>
        <w:t>nonbrain has been developed. It is very robust</w:t>
      </w:r>
      <w:r w:rsidR="00F81221">
        <w:rPr>
          <w:kern w:val="0"/>
        </w:rPr>
        <w:t xml:space="preserve"> and </w:t>
      </w:r>
      <w:r>
        <w:rPr>
          <w:kern w:val="0"/>
        </w:rPr>
        <w:t>accurate</w:t>
      </w:r>
      <w:r w:rsidR="00F81221">
        <w:rPr>
          <w:kern w:val="0"/>
        </w:rPr>
        <w:t xml:space="preserve"> and </w:t>
      </w:r>
      <w:r>
        <w:rPr>
          <w:kern w:val="0"/>
        </w:rPr>
        <w:t>has been tested on thousands of data sets from a wide variety of scanners</w:t>
      </w:r>
      <w:r w:rsidR="00F81221">
        <w:rPr>
          <w:kern w:val="0"/>
        </w:rPr>
        <w:t xml:space="preserve"> and </w:t>
      </w:r>
      <w:r>
        <w:rPr>
          <w:kern w:val="0"/>
        </w:rPr>
        <w:t>taken with a wide variety of MR sequences. The method, Brain Extraction Tool (BET), uses a deformable model that evolves to fit the brain</w:t>
      </w:r>
      <w:r w:rsidR="000352E7">
        <w:rPr>
          <w:kern w:val="0"/>
        </w:rPr>
        <w:t>’</w:t>
      </w:r>
      <w:r>
        <w:rPr>
          <w:kern w:val="0"/>
        </w:rPr>
        <w:t>s surface by the application of a set of locally adaptive model forces. The method is very fast</w:t>
      </w:r>
      <w:r w:rsidR="00F81221">
        <w:rPr>
          <w:kern w:val="0"/>
        </w:rPr>
        <w:t xml:space="preserve"> and </w:t>
      </w:r>
      <w:r>
        <w:rPr>
          <w:kern w:val="0"/>
        </w:rPr>
        <w:t>requires no preregistration or other pre-processing before being applied. We describe the new method</w:t>
      </w:r>
      <w:r w:rsidR="00F81221">
        <w:rPr>
          <w:kern w:val="0"/>
        </w:rPr>
        <w:t xml:space="preserve"> and </w:t>
      </w:r>
      <w:r>
        <w:rPr>
          <w:kern w:val="0"/>
        </w:rPr>
        <w:t>give examples of results</w:t>
      </w:r>
      <w:r w:rsidR="00F81221">
        <w:rPr>
          <w:kern w:val="0"/>
        </w:rPr>
        <w:t xml:space="preserve"> and </w:t>
      </w:r>
      <w:r>
        <w:rPr>
          <w:kern w:val="0"/>
        </w:rPr>
        <w:t xml:space="preserve">the results of extensive quantitative testing against </w:t>
      </w:r>
      <w:r w:rsidR="000352E7">
        <w:rPr>
          <w:kern w:val="0"/>
        </w:rPr>
        <w:t>“</w:t>
      </w:r>
      <w:r>
        <w:rPr>
          <w:kern w:val="0"/>
        </w:rPr>
        <w:t>gold-standard</w:t>
      </w:r>
      <w:r w:rsidR="000352E7">
        <w:rPr>
          <w:kern w:val="0"/>
        </w:rPr>
        <w:t>”</w:t>
      </w:r>
      <w:r>
        <w:rPr>
          <w:kern w:val="0"/>
        </w:rPr>
        <w:t xml:space="preserve"> hand segmentations,</w:t>
      </w:r>
      <w:r w:rsidR="00F81221">
        <w:rPr>
          <w:kern w:val="0"/>
        </w:rPr>
        <w:t xml:space="preserve"> and </w:t>
      </w:r>
      <w:r>
        <w:rPr>
          <w:kern w:val="0"/>
        </w:rPr>
        <w:t>two other popular automated methods. (C) 2002 Wiley-Liss, Inc.</w:t>
      </w:r>
    </w:p>
    <w:p w:rsidR="00333A4C" w:rsidRDefault="00333A4C" w:rsidP="00333A4C">
      <w:pPr>
        <w:pStyle w:val="a0"/>
        <w:rPr>
          <w:kern w:val="0"/>
        </w:rPr>
      </w:pPr>
      <w:r>
        <w:rPr>
          <w:kern w:val="0"/>
        </w:rPr>
        <w:t>Keywords: Accurate, Brain, Brain Segmentation, Cortical Surface Modeling, Data Sets, England, Model, Mr-Images, Segmentation</w:t>
      </w:r>
    </w:p>
    <w:p w:rsidR="00B95188" w:rsidRPr="00A428C3" w:rsidRDefault="00B95188" w:rsidP="00B95188">
      <w:pPr>
        <w:pStyle w:val="1"/>
      </w:pPr>
      <w:r w:rsidRPr="00A428C3">
        <w:br w:type="page"/>
      </w:r>
      <w:bookmarkStart w:id="656" w:name="_Toc186647790"/>
      <w:bookmarkStart w:id="657" w:name="_Toc317161050"/>
      <w:r w:rsidRPr="00A428C3">
        <w:lastRenderedPageBreak/>
        <w:t>Title: Human Communication Research</w:t>
      </w:r>
      <w:bookmarkEnd w:id="656"/>
      <w:bookmarkEnd w:id="657"/>
    </w:p>
    <w:p w:rsidR="00B95188" w:rsidRPr="00A428C3" w:rsidRDefault="00B95188" w:rsidP="00B72EF9">
      <w:pPr>
        <w:pStyle w:val="12"/>
      </w:pPr>
      <w:r w:rsidRPr="00A428C3">
        <w:t>Full Journal Title: Human Communication Research</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0360-3989</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Reeves, B.</w:t>
      </w:r>
      <w:r w:rsidR="00F81221">
        <w:t xml:space="preserve"> and </w:t>
      </w:r>
      <w:r w:rsidRPr="00A428C3">
        <w:t xml:space="preserve">Borgman, C.L. (1983), A bibliometric evaluation of core journals in communication-research. </w:t>
      </w:r>
      <w:r w:rsidRPr="00A428C3">
        <w:rPr>
          <w:i/>
          <w:iCs/>
        </w:rPr>
        <w:t>Human Communication Research</w:t>
      </w:r>
      <w:r w:rsidRPr="00A428C3">
        <w:t xml:space="preserve">, </w:t>
      </w:r>
      <w:r w:rsidRPr="00A428C3">
        <w:rPr>
          <w:b/>
        </w:rPr>
        <w:t>10</w:t>
      </w:r>
      <w:r w:rsidRPr="00A428C3">
        <w:t xml:space="preserve"> (1), 119-136.</w:t>
      </w:r>
    </w:p>
    <w:p w:rsidR="0095338A" w:rsidRDefault="0095338A" w:rsidP="0095338A">
      <w:pPr>
        <w:pStyle w:val="a0"/>
      </w:pPr>
      <w:r w:rsidRPr="004F7E4F">
        <w:rPr>
          <w:rFonts w:hint="eastAsia"/>
        </w:rPr>
        <w:t xml:space="preserve">Full Text: </w:t>
      </w:r>
      <w:r w:rsidRPr="00C93EB1">
        <w:t>Hum Com Res</w:t>
      </w:r>
      <w:r>
        <w:rPr>
          <w:rFonts w:hint="eastAsia"/>
        </w:rPr>
        <w:t>10</w:t>
      </w:r>
      <w:r w:rsidRPr="00C93EB1">
        <w:t xml:space="preserve">, </w:t>
      </w:r>
      <w:r w:rsidRPr="00217FB1">
        <w:t>119</w:t>
      </w:r>
      <w:r w:rsidRPr="00C93EB1">
        <w:t>.pdf</w:t>
      </w:r>
    </w:p>
    <w:p w:rsidR="0095338A" w:rsidRPr="00780580" w:rsidRDefault="0095338A" w:rsidP="0095338A">
      <w:pPr>
        <w:pStyle w:val="a0"/>
      </w:pPr>
      <w:r w:rsidRPr="00780580">
        <w:rPr>
          <w:rFonts w:hint="eastAsia"/>
        </w:rPr>
        <w:t xml:space="preserve">Abstract: </w:t>
      </w:r>
      <w:r w:rsidRPr="00780580">
        <w:t>Bibliometrics is a method of assessing scientific activity based on the citation links between journal articles. Nine core journals in the field of communication were studied to evaluate their influence on each other</w:t>
      </w:r>
      <w:r w:rsidR="00F81221">
        <w:t xml:space="preserve"> and </w:t>
      </w:r>
      <w:r w:rsidRPr="00780580">
        <w:t>on journals outside the field. Most of the data were drawn from the Social Sciences Citation Index Journal Citation Reports, 1977–1979 issues. It was found that communication journals make only about 13% of their cites to other communication journals,</w:t>
      </w:r>
      <w:r w:rsidR="00F81221">
        <w:t xml:space="preserve"> and </w:t>
      </w:r>
      <w:r w:rsidRPr="00780580">
        <w:t>44% of these are self-citations. With the exception of Public Opinion Quarterly, communication journals make five citations for every one they receive. A network analysis showed that the nine journals clustered into two groups: speech-communication journals</w:t>
      </w:r>
      <w:r w:rsidR="00F81221">
        <w:t xml:space="preserve"> and </w:t>
      </w:r>
      <w:r w:rsidRPr="00780580">
        <w:t>mass communication journals. Human Communication Research has the most influence within the communication discipline,</w:t>
      </w:r>
      <w:r w:rsidR="00F81221">
        <w:t xml:space="preserve"> and </w:t>
      </w:r>
      <w:r w:rsidRPr="00780580">
        <w:t>Public Opinion Quarterly has the most influence outside the discipline. Communication remains a field with separate subliteratures</w:t>
      </w:r>
      <w:r w:rsidR="00F81221">
        <w:t xml:space="preserve"> and </w:t>
      </w:r>
      <w:r w:rsidRPr="00780580">
        <w:t>is very dependent on journals outside communication research.</w:t>
      </w:r>
    </w:p>
    <w:p w:rsidR="00250403" w:rsidRDefault="00250403" w:rsidP="00250403">
      <w:pPr>
        <w:pStyle w:val="a0"/>
        <w:rPr>
          <w:kern w:val="0"/>
          <w:szCs w:val="24"/>
        </w:rPr>
      </w:pPr>
      <w:r>
        <w:rPr>
          <w:rFonts w:hint="eastAsia"/>
          <w:kern w:val="0"/>
          <w:szCs w:val="24"/>
        </w:rPr>
        <w:t xml:space="preserve">? </w:t>
      </w:r>
      <w:r>
        <w:rPr>
          <w:kern w:val="0"/>
          <w:szCs w:val="24"/>
        </w:rPr>
        <w:t>Barnett, G.A.</w:t>
      </w:r>
      <w:r w:rsidR="00F81221">
        <w:rPr>
          <w:kern w:val="0"/>
          <w:szCs w:val="24"/>
        </w:rPr>
        <w:t xml:space="preserve"> and </w:t>
      </w:r>
      <w:r>
        <w:rPr>
          <w:kern w:val="0"/>
          <w:szCs w:val="24"/>
        </w:rPr>
        <w:t>Danowski, J.A. (1992), The</w:t>
      </w:r>
      <w:r w:rsidR="0095338A">
        <w:rPr>
          <w:kern w:val="0"/>
          <w:szCs w:val="24"/>
        </w:rPr>
        <w:t xml:space="preserve"> structure of c</w:t>
      </w:r>
      <w:r>
        <w:rPr>
          <w:kern w:val="0"/>
          <w:szCs w:val="24"/>
        </w:rPr>
        <w:t xml:space="preserve">ommunication - A </w:t>
      </w:r>
      <w:r w:rsidR="0095338A">
        <w:rPr>
          <w:kern w:val="0"/>
          <w:szCs w:val="24"/>
        </w:rPr>
        <w:t>network analysis of the international communication associat</w:t>
      </w:r>
      <w:r>
        <w:rPr>
          <w:kern w:val="0"/>
          <w:szCs w:val="24"/>
        </w:rPr>
        <w:t xml:space="preserve">ion. </w:t>
      </w:r>
      <w:r>
        <w:rPr>
          <w:i/>
          <w:iCs/>
          <w:kern w:val="0"/>
          <w:szCs w:val="24"/>
        </w:rPr>
        <w:t>Human Communication Research</w:t>
      </w:r>
      <w:r>
        <w:rPr>
          <w:kern w:val="0"/>
          <w:szCs w:val="24"/>
        </w:rPr>
        <w:t xml:space="preserve">, </w:t>
      </w:r>
      <w:r>
        <w:rPr>
          <w:b/>
          <w:bCs/>
          <w:kern w:val="0"/>
          <w:szCs w:val="24"/>
        </w:rPr>
        <w:t>19</w:t>
      </w:r>
      <w:r>
        <w:rPr>
          <w:kern w:val="0"/>
          <w:szCs w:val="24"/>
        </w:rPr>
        <w:t xml:space="preserve"> (2), 264-285.</w:t>
      </w:r>
    </w:p>
    <w:p w:rsidR="0095338A" w:rsidRDefault="0095338A" w:rsidP="0095338A">
      <w:pPr>
        <w:pStyle w:val="a0"/>
      </w:pPr>
      <w:r w:rsidRPr="004F7E4F">
        <w:rPr>
          <w:rFonts w:hint="eastAsia"/>
        </w:rPr>
        <w:t xml:space="preserve">Full Text: </w:t>
      </w:r>
      <w:r w:rsidRPr="00C93EB1">
        <w:t>Hum Com Res</w:t>
      </w:r>
      <w:r>
        <w:rPr>
          <w:rFonts w:hint="eastAsia"/>
        </w:rPr>
        <w:t>19</w:t>
      </w:r>
      <w:r w:rsidRPr="00C93EB1">
        <w:t xml:space="preserve">, </w:t>
      </w:r>
      <w:r>
        <w:rPr>
          <w:rFonts w:hint="eastAsia"/>
        </w:rPr>
        <w:t>264</w:t>
      </w:r>
      <w:r w:rsidRPr="00C93EB1">
        <w:t>.pdf</w:t>
      </w:r>
    </w:p>
    <w:p w:rsidR="00250403" w:rsidRDefault="00250403" w:rsidP="00250403">
      <w:pPr>
        <w:pStyle w:val="a0"/>
        <w:rPr>
          <w:kern w:val="0"/>
          <w:szCs w:val="24"/>
        </w:rPr>
      </w:pPr>
      <w:r>
        <w:rPr>
          <w:kern w:val="0"/>
          <w:szCs w:val="24"/>
        </w:rPr>
        <w:t>Abstract: The structure of the discipline of Communication is examined using the frequency of joint memberships in the International Communication Association</w:t>
      </w:r>
      <w:r w:rsidR="000352E7">
        <w:rPr>
          <w:kern w:val="0"/>
          <w:szCs w:val="24"/>
        </w:rPr>
        <w:t>’</w:t>
      </w:r>
      <w:r>
        <w:rPr>
          <w:kern w:val="0"/>
          <w:szCs w:val="24"/>
        </w:rPr>
        <w:t>s divisions</w:t>
      </w:r>
      <w:r w:rsidR="00F81221">
        <w:rPr>
          <w:kern w:val="0"/>
          <w:szCs w:val="24"/>
        </w:rPr>
        <w:t xml:space="preserve"> and </w:t>
      </w:r>
      <w:r>
        <w:rPr>
          <w:kern w:val="0"/>
          <w:szCs w:val="24"/>
        </w:rPr>
        <w:t xml:space="preserve">interest groups. The results suggest that the structure is more complex than previously suggested by bibliometric research. There are at least two dimensions that differentiate the divisions/interest groups. As reported in the </w:t>
      </w:r>
      <w:r>
        <w:rPr>
          <w:kern w:val="0"/>
          <w:szCs w:val="24"/>
        </w:rPr>
        <w:lastRenderedPageBreak/>
        <w:t>bibliometric literature, one is a dimension that separates the mass media</w:t>
      </w:r>
      <w:r w:rsidR="00F81221">
        <w:rPr>
          <w:kern w:val="0"/>
          <w:szCs w:val="24"/>
        </w:rPr>
        <w:t xml:space="preserve"> and </w:t>
      </w:r>
      <w:r>
        <w:rPr>
          <w:kern w:val="0"/>
          <w:szCs w:val="24"/>
        </w:rPr>
        <w:t>the interpersonally oriented divisions. The second differentiates the humanistic from the scientific. One method found a third dimension: theoretical to applied. Cluster analysis based on the actual number of joint memberships found three clusters: humanistic, mediated,</w:t>
      </w:r>
      <w:r w:rsidR="00F81221">
        <w:rPr>
          <w:kern w:val="0"/>
          <w:szCs w:val="24"/>
        </w:rPr>
        <w:t xml:space="preserve"> and </w:t>
      </w:r>
      <w:r>
        <w:rPr>
          <w:kern w:val="0"/>
          <w:szCs w:val="24"/>
        </w:rPr>
        <w:t>interpersonal. A cluster analysis that controlled for the size of the divisions/interest groups found only two: humanistic</w:t>
      </w:r>
      <w:r w:rsidR="00F81221">
        <w:rPr>
          <w:kern w:val="0"/>
          <w:szCs w:val="24"/>
        </w:rPr>
        <w:t xml:space="preserve"> and </w:t>
      </w:r>
      <w:r>
        <w:rPr>
          <w:kern w:val="0"/>
          <w:szCs w:val="24"/>
        </w:rPr>
        <w:t>scientific. Blockmodeling of the joint memberships identified four: humanistic, mediated, interpersonal,</w:t>
      </w:r>
      <w:r w:rsidR="00F81221">
        <w:rPr>
          <w:kern w:val="0"/>
          <w:szCs w:val="24"/>
        </w:rPr>
        <w:t xml:space="preserve"> and </w:t>
      </w:r>
      <w:r>
        <w:rPr>
          <w:kern w:val="0"/>
          <w:szCs w:val="24"/>
        </w:rPr>
        <w:t>information technology.</w:t>
      </w:r>
    </w:p>
    <w:p w:rsidR="00250403" w:rsidRDefault="00250403" w:rsidP="00250403">
      <w:pPr>
        <w:pStyle w:val="a0"/>
        <w:rPr>
          <w:kern w:val="0"/>
          <w:szCs w:val="24"/>
        </w:rPr>
      </w:pPr>
      <w:r>
        <w:rPr>
          <w:kern w:val="0"/>
          <w:szCs w:val="24"/>
        </w:rPr>
        <w:t>Keywords: Bibliometric, Cluster Analysis, Information Technology, Journals, Literature, Mass Media, Positions, Research, Social-Structure, Technology</w:t>
      </w:r>
    </w:p>
    <w:p w:rsidR="00B95188" w:rsidRPr="00A428C3" w:rsidRDefault="00B95188" w:rsidP="00B95188">
      <w:pPr>
        <w:pStyle w:val="a0"/>
      </w:pPr>
      <w:r w:rsidRPr="00A428C3">
        <w:t xml:space="preserve">? Funkhouser, E.T. (1996), The evaluative use of citation analysis for communication journals. </w:t>
      </w:r>
      <w:r w:rsidRPr="00A428C3">
        <w:rPr>
          <w:i/>
          <w:iCs/>
        </w:rPr>
        <w:t>Human Communication Research</w:t>
      </w:r>
      <w:r w:rsidRPr="00A428C3">
        <w:t xml:space="preserve">, </w:t>
      </w:r>
      <w:r w:rsidRPr="00A428C3">
        <w:rPr>
          <w:b/>
        </w:rPr>
        <w:t>22</w:t>
      </w:r>
      <w:r w:rsidRPr="00A428C3">
        <w:t xml:space="preserve"> (4), 563-574.</w:t>
      </w:r>
    </w:p>
    <w:p w:rsidR="0095338A" w:rsidRPr="004F7E4F" w:rsidRDefault="0095338A" w:rsidP="0095338A">
      <w:pPr>
        <w:pStyle w:val="a0"/>
      </w:pPr>
      <w:r w:rsidRPr="004F7E4F">
        <w:rPr>
          <w:rFonts w:hint="eastAsia"/>
        </w:rPr>
        <w:t xml:space="preserve">Full Text: </w:t>
      </w:r>
      <w:hyperlink r:id="rId683" w:history="1">
        <w:r w:rsidRPr="00C93EB1">
          <w:rPr>
            <w:rStyle w:val="a5"/>
          </w:rPr>
          <w:t>1996\Hum Com Res22, 563.pdf</w:t>
        </w:r>
      </w:hyperlink>
    </w:p>
    <w:p w:rsidR="00B95188" w:rsidRPr="00A428C3" w:rsidRDefault="00B95188" w:rsidP="00B95188">
      <w:pPr>
        <w:pStyle w:val="a0"/>
      </w:pPr>
      <w:r w:rsidRPr="00A428C3">
        <w:t>Abstract: This study investigated the impact of the omission of scholarly communication journals from Social Sciences Citation Index (SSCI)</w:t>
      </w:r>
      <w:r w:rsidR="00F81221">
        <w:t xml:space="preserve"> and </w:t>
      </w:r>
      <w:r w:rsidRPr="00A428C3">
        <w:t>Arts</w:t>
      </w:r>
      <w:r w:rsidR="00F81221">
        <w:t xml:space="preserve"> and </w:t>
      </w:r>
      <w:r w:rsidRPr="00A428C3">
        <w:t>Humanities Citation Index (AHCI) on citation-based appraisals of communication literature. Citation data were collected from reference lists in articles appearing in 27 communication journals published during 1990, including 14 not indexed by SSCI or AHCI. The 14 journals not included in SSCI or AHCI contributed 1,953, or 26%, of the 7,640 citations to authors during 1990,</w:t>
      </w:r>
      <w:r w:rsidR="00F81221">
        <w:t xml:space="preserve"> and </w:t>
      </w:r>
      <w:r w:rsidRPr="00A428C3">
        <w:t>1,156, or 25%, of the 4,587 citations to journals in 1990. Twenty-seven of the 50 most frequently cited authors received 25% or more of their citations from journals omitted try SSCI</w:t>
      </w:r>
      <w:r w:rsidR="00F81221">
        <w:t xml:space="preserve"> and </w:t>
      </w:r>
      <w:r w:rsidRPr="00A428C3">
        <w:t>AHCI. This study found that an accurate evaluation of a scholar</w:t>
      </w:r>
      <w:r w:rsidR="000352E7">
        <w:t>’</w:t>
      </w:r>
      <w:r w:rsidRPr="00A428C3">
        <w:t>s articles based on citations received will not be possible until SSCI and/or AHCI choose to include the omitted journals,</w:t>
      </w:r>
      <w:r w:rsidR="00F81221">
        <w:t xml:space="preserve"> and </w:t>
      </w:r>
      <w:r w:rsidRPr="00A428C3">
        <w:t>that computer applications could be used to provide a convenient</w:t>
      </w:r>
      <w:r w:rsidR="00F81221">
        <w:t xml:space="preserve"> and </w:t>
      </w:r>
      <w:r w:rsidRPr="00A428C3">
        <w:t>inexpensive on-line citation index for communication literature. The Journal Impact Rating, a measure for use in comparing journals</w:t>
      </w:r>
      <w:r w:rsidR="000352E7">
        <w:t>’</w:t>
      </w:r>
      <w:r w:rsidRPr="00A428C3">
        <w:t xml:space="preserve"> impact on the basis of citations received, was introduced.</w:t>
      </w:r>
    </w:p>
    <w:p w:rsidR="00B95188" w:rsidRPr="00A428C3" w:rsidRDefault="00B95188" w:rsidP="00B95188">
      <w:pPr>
        <w:pStyle w:val="a0"/>
      </w:pPr>
      <w:r w:rsidRPr="00A428C3">
        <w:t>Keywords: Scholarly Communication, Bibliometrics</w:t>
      </w:r>
    </w:p>
    <w:p w:rsidR="00250403" w:rsidRPr="003862C4" w:rsidRDefault="00250403" w:rsidP="00250403">
      <w:pPr>
        <w:pStyle w:val="a0"/>
      </w:pPr>
      <w:r w:rsidRPr="00D55BF2">
        <w:rPr>
          <w:rFonts w:hint="eastAsia"/>
        </w:rPr>
        <w:t xml:space="preserve">? </w:t>
      </w:r>
      <w:r w:rsidRPr="00D55BF2">
        <w:t xml:space="preserve">Feeley, T.H. (2008), A bibliometric analysis of communication journals from 2002 to 2005. </w:t>
      </w:r>
      <w:r w:rsidRPr="00CE7517">
        <w:rPr>
          <w:i/>
          <w:iCs/>
        </w:rPr>
        <w:t>Human Communication Research</w:t>
      </w:r>
      <w:r w:rsidRPr="00D55BF2">
        <w:t xml:space="preserve">, </w:t>
      </w:r>
      <w:r w:rsidRPr="00551655">
        <w:rPr>
          <w:b/>
          <w:bCs/>
        </w:rPr>
        <w:t>34</w:t>
      </w:r>
      <w:r w:rsidRPr="003862C4">
        <w:t xml:space="preserve"> (3), 505-520.</w:t>
      </w:r>
    </w:p>
    <w:p w:rsidR="00250403" w:rsidRPr="003862C4" w:rsidRDefault="00250403" w:rsidP="00250403">
      <w:pPr>
        <w:pStyle w:val="a0"/>
      </w:pPr>
      <w:r w:rsidRPr="003862C4">
        <w:rPr>
          <w:rFonts w:hint="eastAsia"/>
        </w:rPr>
        <w:t xml:space="preserve">Full Text: </w:t>
      </w:r>
      <w:hyperlink r:id="rId684" w:history="1">
        <w:r w:rsidRPr="00D6579F">
          <w:rPr>
            <w:rStyle w:val="a5"/>
          </w:rPr>
          <w:t>2008\Hum Com Res34, 505.pdf</w:t>
        </w:r>
      </w:hyperlink>
    </w:p>
    <w:p w:rsidR="00250403" w:rsidRPr="003862C4" w:rsidRDefault="00250403" w:rsidP="00250403">
      <w:pPr>
        <w:pStyle w:val="a0"/>
      </w:pPr>
      <w:r w:rsidRPr="003862C4">
        <w:t>Abstract: Journal impact ratings are often used by authors, promotion/hiring committees,</w:t>
      </w:r>
      <w:r w:rsidR="00F81221">
        <w:t xml:space="preserve"> and </w:t>
      </w:r>
      <w:r w:rsidRPr="003862C4">
        <w:t>grant review teams as a proxy for scholarship quality. Journal citation data (2002</w:t>
      </w:r>
      <w:r w:rsidRPr="003862C4">
        <w:rPr>
          <w:rFonts w:hint="eastAsia"/>
        </w:rPr>
        <w:t>-</w:t>
      </w:r>
      <w:r w:rsidRPr="003862C4">
        <w:t>2005) from Social Sciences Citation Index were used to rank journals in the field Of communication. A journal relatedness algorithm was applied to ascertain the 19 semantically related journals in communication. The mean journal impact index was 0.77 (SD = 0.28). Human Communication Research (HCR), Personal Relationships, journal of Communication (JOC),</w:t>
      </w:r>
      <w:r w:rsidR="00F81221">
        <w:t xml:space="preserve"> and </w:t>
      </w:r>
      <w:r w:rsidRPr="003862C4">
        <w:t xml:space="preserve">Communication Research (CR) </w:t>
      </w:r>
      <w:r w:rsidRPr="003862C4">
        <w:lastRenderedPageBreak/>
        <w:t>were ranked the top four journals for the study years examined. Network analysis was conducted on in-degree (i.e., citations to journals)</w:t>
      </w:r>
      <w:r w:rsidR="00F81221">
        <w:t xml:space="preserve"> and </w:t>
      </w:r>
      <w:r w:rsidRPr="003862C4">
        <w:t>out-degree (i.e., citations from journals) data for the 19 communication journals for 2003-2005. The purpose of the network analysis was to study the citation patterns among journals in the field of communication. Data using degree centrality indicate that Communication Monographs, CR, HCR,</w:t>
      </w:r>
      <w:r w:rsidR="00F81221">
        <w:t xml:space="preserve"> and </w:t>
      </w:r>
      <w:r w:rsidRPr="003862C4">
        <w:t>JOC (in alphabetical order) are the four most central journals in the field.</w:t>
      </w:r>
    </w:p>
    <w:p w:rsidR="00250403" w:rsidRPr="0007314E" w:rsidRDefault="00250403" w:rsidP="00250403">
      <w:pPr>
        <w:pStyle w:val="a0"/>
      </w:pPr>
      <w:r w:rsidRPr="0007314E">
        <w:t>Keywords: Algorithm, Analysis, Bibliometric, Bibliometric Analysis, Citation, Citation Patterns, Citations, Communication, CR, Data, Field, Impact, Impact Index, Index, Journal, Journal Impact, Journals, Network, Network Analysis, Purpose, Quality, Rank, Review, Scholarship</w:t>
      </w:r>
    </w:p>
    <w:p w:rsidR="00B95188" w:rsidRPr="00A428C3" w:rsidRDefault="00B95188" w:rsidP="00B95188">
      <w:pPr>
        <w:pStyle w:val="1"/>
      </w:pPr>
      <w:r w:rsidRPr="00A428C3">
        <w:br w:type="page"/>
      </w:r>
      <w:bookmarkStart w:id="658" w:name="_Toc518194956"/>
      <w:bookmarkStart w:id="659" w:name="_Toc186647791"/>
      <w:bookmarkStart w:id="660" w:name="_Toc317161051"/>
      <w:r w:rsidRPr="00A428C3">
        <w:lastRenderedPageBreak/>
        <w:t>Title: Human</w:t>
      </w:r>
      <w:r w:rsidR="00F81221">
        <w:t xml:space="preserve"> and </w:t>
      </w:r>
      <w:r w:rsidRPr="00A428C3">
        <w:t>Ecological Risk Assessment</w:t>
      </w:r>
      <w:bookmarkEnd w:id="658"/>
      <w:bookmarkEnd w:id="659"/>
      <w:bookmarkEnd w:id="660"/>
    </w:p>
    <w:p w:rsidR="00B95188" w:rsidRPr="00A428C3" w:rsidRDefault="00B95188" w:rsidP="00B72EF9">
      <w:pPr>
        <w:pStyle w:val="12"/>
      </w:pPr>
      <w:r w:rsidRPr="00A428C3">
        <w:t xml:space="preserve">Full Journal Title: </w:t>
      </w:r>
      <w:hyperlink r:id="rId685" w:history="1">
        <w:r w:rsidRPr="00BC0454">
          <w:rPr>
            <w:rStyle w:val="a5"/>
          </w:rPr>
          <w:t>Human</w:t>
        </w:r>
        <w:r w:rsidR="00F81221">
          <w:rPr>
            <w:rStyle w:val="a5"/>
          </w:rPr>
          <w:t xml:space="preserve"> and </w:t>
        </w:r>
        <w:r w:rsidRPr="00BC0454">
          <w:rPr>
            <w:rStyle w:val="a5"/>
          </w:rPr>
          <w:t>Ecological Risk Assessment</w:t>
        </w:r>
      </w:hyperlink>
    </w:p>
    <w:p w:rsidR="00B95188" w:rsidRPr="00A428C3" w:rsidRDefault="00B95188" w:rsidP="00B72EF9">
      <w:pPr>
        <w:pStyle w:val="12"/>
      </w:pPr>
      <w:r w:rsidRPr="00A428C3">
        <w:t>ISO Abbreviated Title: Hum. Ecol. Risk Assess.</w:t>
      </w:r>
    </w:p>
    <w:p w:rsidR="00B95188" w:rsidRPr="00A428C3" w:rsidRDefault="00B95188" w:rsidP="00B72EF9">
      <w:pPr>
        <w:pStyle w:val="12"/>
      </w:pPr>
      <w:r w:rsidRPr="00A428C3">
        <w:t>JCR Abbreviated Title: Hum Ecol Risk Assess</w:t>
      </w:r>
    </w:p>
    <w:p w:rsidR="00B95188" w:rsidRPr="00A428C3" w:rsidRDefault="00B95188" w:rsidP="00B72EF9">
      <w:pPr>
        <w:pStyle w:val="12"/>
      </w:pPr>
      <w:r w:rsidRPr="00A428C3">
        <w:t>ISSN: 1080-7039</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CRC Press LLC</w:t>
      </w:r>
    </w:p>
    <w:p w:rsidR="00B95188" w:rsidRPr="00A428C3" w:rsidRDefault="00B95188" w:rsidP="00B72EF9">
      <w:pPr>
        <w:pStyle w:val="12"/>
      </w:pPr>
      <w:r w:rsidRPr="00A428C3">
        <w:t xml:space="preserve">Publisher Address: 2000 Corporate Blvd NW, Journals Customer Service, </w:t>
      </w:r>
      <w:smartTag w:uri="urn:schemas-microsoft-com:office:smarttags" w:element="place">
        <w:smartTag w:uri="urn:schemas-microsoft-com:office:smarttags" w:element="City">
          <w:r w:rsidRPr="00A428C3">
            <w:t>Boca Raton</w:t>
          </w:r>
        </w:smartTag>
        <w:r w:rsidRPr="00A428C3">
          <w:t xml:space="preserve">, </w:t>
        </w:r>
        <w:smartTag w:uri="urn:schemas-microsoft-com:office:smarttags" w:element="State">
          <w:r w:rsidRPr="00A428C3">
            <w:t>FL</w:t>
          </w:r>
        </w:smartTag>
        <w:r w:rsidRPr="00A428C3">
          <w:t xml:space="preserve"> </w:t>
        </w:r>
        <w:smartTag w:uri="urn:schemas-microsoft-com:office:smarttags" w:element="PostalCode">
          <w:r w:rsidRPr="00A428C3">
            <w:t>33431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Environmental Sciences: Impact Factor 0.884, / (2001)</w:t>
      </w:r>
      <w:r w:rsidR="00BA057B">
        <w:rPr>
          <w:rFonts w:hint="eastAsia"/>
        </w:rPr>
        <w:t xml:space="preserve">; </w:t>
      </w:r>
      <w:r w:rsidR="00BA057B">
        <w:t xml:space="preserve">Impact Factor </w:t>
      </w:r>
      <w:r w:rsidR="00BA057B">
        <w:rPr>
          <w:rFonts w:hint="eastAsia"/>
        </w:rPr>
        <w:t>1.290</w:t>
      </w:r>
      <w:r w:rsidR="00BA057B">
        <w:t xml:space="preserve">, </w:t>
      </w:r>
      <w:r w:rsidR="00BA057B">
        <w:rPr>
          <w:rFonts w:hint="eastAsia"/>
        </w:rPr>
        <w:t>92</w:t>
      </w:r>
      <w:r w:rsidR="00BA057B">
        <w:t>/</w:t>
      </w:r>
      <w:r w:rsidR="00BA057B">
        <w:rPr>
          <w:rFonts w:hint="eastAsia"/>
        </w:rPr>
        <w:t>163</w:t>
      </w:r>
      <w:r w:rsidR="00BA057B">
        <w:t xml:space="preserve"> (200</w:t>
      </w:r>
      <w:r w:rsidR="00BA057B">
        <w:rPr>
          <w:rFonts w:hint="eastAsia"/>
        </w:rPr>
        <w:t>8</w:t>
      </w:r>
      <w:r w:rsidR="00BA057B" w:rsidRPr="00A428C3">
        <w:t>)</w:t>
      </w:r>
      <w:r w:rsidR="00F62B6D">
        <w:rPr>
          <w:rFonts w:hint="eastAsia"/>
        </w:rPr>
        <w:t xml:space="preserve">; </w:t>
      </w:r>
      <w:r w:rsidR="00F62B6D">
        <w:t xml:space="preserve">Impact Factor </w:t>
      </w:r>
      <w:r w:rsidR="00F62B6D" w:rsidRPr="00F62B6D">
        <w:t>1.528</w:t>
      </w:r>
      <w:r w:rsidR="00F62B6D">
        <w:t xml:space="preserve">, </w:t>
      </w:r>
      <w:r w:rsidR="00F62B6D">
        <w:rPr>
          <w:rFonts w:hint="eastAsia"/>
        </w:rPr>
        <w:t>87</w:t>
      </w:r>
      <w:r w:rsidR="00F62B6D">
        <w:t>/</w:t>
      </w:r>
      <w:r w:rsidR="00F62B6D">
        <w:rPr>
          <w:rFonts w:hint="eastAsia"/>
        </w:rPr>
        <w:t>180</w:t>
      </w:r>
      <w:r w:rsidR="00F62B6D">
        <w:t xml:space="preserve"> (200</w:t>
      </w:r>
      <w:r w:rsidR="00F62B6D">
        <w:rPr>
          <w:rFonts w:hint="eastAsia"/>
        </w:rPr>
        <w:t>9</w:t>
      </w:r>
      <w:r w:rsidR="00F62B6D" w:rsidRPr="00A428C3">
        <w:t>)</w:t>
      </w:r>
    </w:p>
    <w:p w:rsidR="00B95188" w:rsidRPr="00A428C3" w:rsidRDefault="00B95188" w:rsidP="00B95188">
      <w:pPr>
        <w:pStyle w:val="a0"/>
      </w:pPr>
      <w:r w:rsidRPr="00A428C3">
        <w:t>? Brown, K.G., Guo, H.R.</w:t>
      </w:r>
      <w:r w:rsidR="00F81221">
        <w:t xml:space="preserve"> and </w:t>
      </w:r>
      <w:r w:rsidRPr="00A428C3">
        <w:t xml:space="preserve">Greene, H.L. (1997), Uncertainty in cancer risk at low doses of inorganic arsenic. </w:t>
      </w:r>
      <w:r w:rsidRPr="00A428C3">
        <w:rPr>
          <w:i/>
          <w:iCs/>
        </w:rPr>
        <w:t>Human</w:t>
      </w:r>
      <w:r w:rsidR="00F81221">
        <w:rPr>
          <w:i/>
          <w:iCs/>
        </w:rPr>
        <w:t xml:space="preserve"> and </w:t>
      </w:r>
      <w:r w:rsidRPr="00A428C3">
        <w:rPr>
          <w:i/>
          <w:iCs/>
        </w:rPr>
        <w:t>Ecological Risk Assessment</w:t>
      </w:r>
      <w:r w:rsidRPr="00A428C3">
        <w:t xml:space="preserve">, </w:t>
      </w:r>
      <w:r w:rsidRPr="00A428C3">
        <w:rPr>
          <w:b/>
        </w:rPr>
        <w:t>3</w:t>
      </w:r>
      <w:r w:rsidRPr="00A428C3">
        <w:t xml:space="preserve"> (3), 351-362.</w:t>
      </w:r>
    </w:p>
    <w:p w:rsidR="00B95188" w:rsidRPr="00A428C3" w:rsidRDefault="00B95188" w:rsidP="00B95188">
      <w:pPr>
        <w:pStyle w:val="a0"/>
      </w:pPr>
      <w:r w:rsidRPr="00A428C3">
        <w:t xml:space="preserve">Abstract: It is unknown whether inorganic arsenic in drinking water concentrations at the current maximum contaminant level of 50 µg/l poses a cancer risk in the </w:t>
      </w:r>
      <w:smartTag w:uri="urn:schemas-microsoft-com:office:smarttags" w:element="place">
        <w:smartTag w:uri="urn:schemas-microsoft-com:office:smarttags" w:element="country-region">
          <w:r w:rsidRPr="00A428C3">
            <w:t>United States</w:t>
          </w:r>
        </w:smartTag>
      </w:smartTag>
      <w:r w:rsidRPr="00A428C3">
        <w:t>. Data from two large epidemiological studies of cancer</w:t>
      </w:r>
      <w:r w:rsidR="00F81221">
        <w:t xml:space="preserve"> and </w:t>
      </w:r>
      <w:r w:rsidRPr="00A428C3">
        <w:t xml:space="preserve">arsenic in drinking water in </w:t>
      </w:r>
      <w:smartTag w:uri="urn:schemas-microsoft-com:office:smarttags" w:element="place">
        <w:smartTag w:uri="urn:schemas-microsoft-com:office:smarttags" w:element="country-region">
          <w:r w:rsidRPr="00A428C3">
            <w:t>Taiwan</w:t>
          </w:r>
        </w:smartTag>
      </w:smartTag>
      <w:r w:rsidRPr="00A428C3">
        <w:t xml:space="preserve"> indicate a dose-response relationship, but the magnitude of risk at low concentrations is highly uncertain. Four sources of uncertainty are described: model choice, data aggregation, intra-village variability of arsenic in well water, arsenic intake from food. New data from an appropriately designed epidemiological study are needed to improve dose-response assessment.</w:t>
      </w:r>
    </w:p>
    <w:p w:rsidR="00B95188" w:rsidRPr="00A428C3" w:rsidRDefault="00B95188" w:rsidP="00B95188">
      <w:pPr>
        <w:pStyle w:val="a0"/>
      </w:pPr>
      <w:r w:rsidRPr="00A428C3">
        <w:t xml:space="preserve">Keywords: Arsenic, Skin Cancer, </w:t>
      </w:r>
      <w:smartTag w:uri="urn:schemas-microsoft-com:office:smarttags" w:element="City">
        <w:r w:rsidRPr="00A428C3">
          <w:t>Drinking Water</w:t>
        </w:r>
      </w:smartTag>
      <w:r w:rsidRPr="00A428C3">
        <w:t xml:space="preserve">, </w:t>
      </w:r>
      <w:smartTag w:uri="urn:schemas-microsoft-com:office:smarttags" w:element="country-region">
        <w:r w:rsidRPr="00A428C3">
          <w:t>Taiwan</w:t>
        </w:r>
      </w:smartTag>
      <w:r w:rsidRPr="00A428C3">
        <w:t xml:space="preserve">, Well Water, Blackfoot </w:t>
      </w:r>
      <w:smartTag w:uri="urn:schemas-microsoft-com:office:smarttags" w:element="place">
        <w:smartTag w:uri="urn:schemas-microsoft-com:office:smarttags" w:element="City">
          <w:r w:rsidRPr="00A428C3">
            <w:t>Disease</w:t>
          </w:r>
        </w:smartTag>
        <w:r w:rsidRPr="00A428C3">
          <w:t xml:space="preserve">, </w:t>
        </w:r>
        <w:smartTag w:uri="urn:schemas-microsoft-com:office:smarttags" w:element="country-region">
          <w:r w:rsidRPr="00A428C3">
            <w:t>Taiwan</w:t>
          </w:r>
        </w:smartTag>
      </w:smartTag>
    </w:p>
    <w:p w:rsidR="00B95188" w:rsidRPr="00A428C3" w:rsidRDefault="00B95188" w:rsidP="00B95188">
      <w:pPr>
        <w:pStyle w:val="a0"/>
      </w:pPr>
      <w:r w:rsidRPr="00A428C3">
        <w:t xml:space="preserve">? North, D.W. (1998), Risk assessment using the </w:t>
      </w:r>
      <w:smartTag w:uri="urn:schemas-microsoft-com:office:smarttags" w:element="place">
        <w:smartTag w:uri="urn:schemas-microsoft-com:office:smarttags" w:element="country-region">
          <w:r w:rsidRPr="00A428C3">
            <w:t>Taiwan</w:t>
          </w:r>
        </w:smartTag>
      </w:smartTag>
      <w:r w:rsidRPr="00A428C3">
        <w:t xml:space="preserve"> data base: The need for further research. </w:t>
      </w:r>
      <w:r w:rsidRPr="00A428C3">
        <w:rPr>
          <w:i/>
          <w:iCs/>
        </w:rPr>
        <w:t>Human</w:t>
      </w:r>
      <w:r w:rsidR="00F81221">
        <w:rPr>
          <w:i/>
          <w:iCs/>
        </w:rPr>
        <w:t xml:space="preserve"> and </w:t>
      </w:r>
      <w:r w:rsidRPr="00A428C3">
        <w:rPr>
          <w:i/>
          <w:iCs/>
        </w:rPr>
        <w:t>Ecological Risk Assessment</w:t>
      </w:r>
      <w:r w:rsidRPr="00A428C3">
        <w:t xml:space="preserve">, </w:t>
      </w:r>
      <w:r w:rsidRPr="00A428C3">
        <w:rPr>
          <w:b/>
        </w:rPr>
        <w:t>4</w:t>
      </w:r>
      <w:r w:rsidRPr="00A428C3">
        <w:t xml:space="preserve"> (5), 1051-1060.</w:t>
      </w:r>
    </w:p>
    <w:p w:rsidR="00B95188" w:rsidRPr="00A428C3" w:rsidRDefault="00B95188" w:rsidP="00B95188">
      <w:pPr>
        <w:pStyle w:val="a0"/>
      </w:pPr>
      <w:r w:rsidRPr="00A428C3">
        <w:t>Keywords: Drinking-Water, Cancer</w:t>
      </w:r>
    </w:p>
    <w:p w:rsidR="00B95188" w:rsidRPr="00A428C3" w:rsidRDefault="00B95188" w:rsidP="00B95188">
      <w:pPr>
        <w:pStyle w:val="a0"/>
      </w:pPr>
      <w:r w:rsidRPr="00A428C3">
        <w:t>? Brown, K.G., Kuo, T.L., Guo, H.R., Ryan, L.M.</w:t>
      </w:r>
      <w:r w:rsidR="00F81221">
        <w:t xml:space="preserve"> and </w:t>
      </w:r>
      <w:r w:rsidRPr="00A428C3">
        <w:t>Abernathy, C.O. (2000), Sensitivity analysis of US EPA</w:t>
      </w:r>
      <w:r w:rsidR="000352E7">
        <w:t>’</w:t>
      </w:r>
      <w:r w:rsidRPr="00A428C3">
        <w:t xml:space="preserve">s estimates of skin cancer risk from inorganic arsenic in drinking water. </w:t>
      </w:r>
      <w:r w:rsidRPr="00A428C3">
        <w:rPr>
          <w:i/>
          <w:iCs/>
        </w:rPr>
        <w:t>Human</w:t>
      </w:r>
      <w:r w:rsidR="00F81221">
        <w:rPr>
          <w:i/>
          <w:iCs/>
        </w:rPr>
        <w:t xml:space="preserve"> and </w:t>
      </w:r>
      <w:r w:rsidRPr="00A428C3">
        <w:rPr>
          <w:i/>
          <w:iCs/>
        </w:rPr>
        <w:t>Ecological Risk Assessment</w:t>
      </w:r>
      <w:r w:rsidRPr="00A428C3">
        <w:t xml:space="preserve">, </w:t>
      </w:r>
      <w:r w:rsidRPr="00A428C3">
        <w:rPr>
          <w:b/>
        </w:rPr>
        <w:t>6</w:t>
      </w:r>
      <w:r w:rsidRPr="00A428C3">
        <w:t xml:space="preserve"> (6), 1055-1074.</w:t>
      </w:r>
    </w:p>
    <w:p w:rsidR="00B95188" w:rsidRPr="00A428C3" w:rsidRDefault="00B95188" w:rsidP="00B95188">
      <w:pPr>
        <w:pStyle w:val="a0"/>
      </w:pPr>
      <w:r w:rsidRPr="00A428C3">
        <w:t>Abstract: The current U.S. Environmental Protection Agency</w:t>
      </w:r>
      <w:r w:rsidR="000352E7">
        <w:t>’</w:t>
      </w:r>
      <w:r w:rsidRPr="00A428C3">
        <w:t>s (USEPA</w:t>
      </w:r>
      <w:r w:rsidR="000352E7">
        <w:t>’</w:t>
      </w:r>
      <w:r w:rsidRPr="00A428C3">
        <w:t xml:space="preserve">s) risk analysis on the Integrated Risk Information System (IRIS) for arsenic in drinking water is based on an epidemiological study of skill cancer in </w:t>
      </w:r>
      <w:smartTag w:uri="urn:schemas-microsoft-com:office:smarttags" w:element="place">
        <w:smartTag w:uri="urn:schemas-microsoft-com:office:smarttags" w:element="country-region">
          <w:r w:rsidRPr="00A428C3">
            <w:t>Taiwan</w:t>
          </w:r>
        </w:smartTag>
      </w:smartTag>
      <w:r w:rsidRPr="00A428C3">
        <w:t xml:space="preserve">. Assumptions used in the USEPA application of the multistage-Weibull model for risk estimation were varied to assess the effect on predicted risk of skin cancer to die </w:t>
      </w:r>
      <w:smartTag w:uri="urn:schemas-microsoft-com:office:smarttags" w:element="place">
        <w:smartTag w:uri="urn:schemas-microsoft-com:office:smarttags" w:element="country-region">
          <w:r w:rsidRPr="00A428C3">
            <w:t>U.S.</w:t>
          </w:r>
        </w:smartTag>
      </w:smartTag>
      <w:r w:rsidRPr="00A428C3">
        <w:t xml:space="preserve"> population at </w:t>
      </w:r>
      <w:r w:rsidRPr="00A428C3">
        <w:lastRenderedPageBreak/>
        <w:t>arsenic concentrations of 1 to 50 µg/L in drinking water. Among the assumptions tested, die only notable change in risk estimates was a reduction when the arsenic concentration used as representative for Taiwan villages in the low range (&lt;300 µg/L) was increased to the 75th percentile (245 µg/L) in place of the mean used in the USEPA analysis (170 µg/L), but the representative value for Taiwan villages in the high range (greater than or equal to 600 µg/L) was not increased simultaneously to the 75th percentile. Additionally, a simulation study was conducted using records of arsenic measurements in wells from the same period</w:t>
      </w:r>
      <w:r w:rsidR="00F81221">
        <w:t xml:space="preserve"> and </w:t>
      </w:r>
      <w:r w:rsidRPr="00A428C3">
        <w:t xml:space="preserve">region of </w:t>
      </w:r>
      <w:smartTag w:uri="urn:schemas-microsoft-com:office:smarttags" w:element="place">
        <w:smartTag w:uri="urn:schemas-microsoft-com:office:smarttags" w:element="country-region">
          <w:r w:rsidRPr="00A428C3">
            <w:t>Taiwan</w:t>
          </w:r>
        </w:smartTag>
      </w:smartTag>
      <w:r w:rsidRPr="00A428C3">
        <w:t xml:space="preserve"> as the original study. The exposure-response curve estimated from 60 villages (60 data points) differed only marginally from the outcome when data were summarized into four data points (as in the USEPA skin cancer analysis). Briefly discussed are differences between the study area of Taiwan</w:t>
      </w:r>
      <w:r w:rsidR="00F81221">
        <w:t xml:space="preserve"> and </w:t>
      </w:r>
      <w:r w:rsidRPr="00A428C3">
        <w:t>the U.S, in nutritional status</w:t>
      </w:r>
      <w:r w:rsidR="00F81221">
        <w:t xml:space="preserve"> and </w:t>
      </w:r>
      <w:r w:rsidRPr="00A428C3">
        <w:t xml:space="preserve">consumption of inorganic arsenic in food that might bias predicted </w:t>
      </w:r>
      <w:smartTag w:uri="urn:schemas-microsoft-com:office:smarttags" w:element="place">
        <w:smartTag w:uri="urn:schemas-microsoft-com:office:smarttags" w:element="country-region">
          <w:r w:rsidRPr="00A428C3">
            <w:t>U.S.</w:t>
          </w:r>
        </w:smartTag>
      </w:smartTag>
      <w:r w:rsidRPr="00A428C3">
        <w:t xml:space="preserve"> skin cancer risks.</w:t>
      </w:r>
    </w:p>
    <w:p w:rsidR="00B95188" w:rsidRPr="00A428C3" w:rsidRDefault="00B95188" w:rsidP="00B95188">
      <w:pPr>
        <w:pStyle w:val="a0"/>
      </w:pPr>
      <w:r w:rsidRPr="00A428C3">
        <w:t xml:space="preserve">Keywords: Arsenic, Skin Cancer, </w:t>
      </w:r>
      <w:smartTag w:uri="urn:schemas-microsoft-com:office:smarttags" w:element="place">
        <w:smartTag w:uri="urn:schemas-microsoft-com:office:smarttags" w:element="City">
          <w:r w:rsidRPr="00A428C3">
            <w:t>Drinking Water</w:t>
          </w:r>
        </w:smartTag>
        <w:r w:rsidRPr="00A428C3">
          <w:t xml:space="preserve">, </w:t>
        </w:r>
        <w:smartTag w:uri="urn:schemas-microsoft-com:office:smarttags" w:element="country-region">
          <w:r w:rsidRPr="00A428C3">
            <w:t>Taiwan</w:t>
          </w:r>
        </w:smartTag>
      </w:smartTag>
      <w:r w:rsidRPr="00A428C3">
        <w:t>, Districts</w:t>
      </w:r>
    </w:p>
    <w:p w:rsidR="00B95188" w:rsidRPr="00A428C3" w:rsidRDefault="00B95188" w:rsidP="00B95188">
      <w:pPr>
        <w:pStyle w:val="a0"/>
      </w:pPr>
      <w:r w:rsidRPr="00A428C3">
        <w:t>? Breton, R.L., Teed, R.S.</w:t>
      </w:r>
      <w:r w:rsidR="00F81221">
        <w:t xml:space="preserve"> and </w:t>
      </w:r>
      <w:r w:rsidRPr="00A428C3">
        <w:t xml:space="preserve">Moore, D.R.J. (2003), An ecological risk assessment of phenol in the aquatic environment. </w:t>
      </w:r>
      <w:r w:rsidRPr="00A428C3">
        <w:rPr>
          <w:i/>
          <w:iCs/>
        </w:rPr>
        <w:t>Human</w:t>
      </w:r>
      <w:r w:rsidR="00F81221">
        <w:rPr>
          <w:i/>
          <w:iCs/>
        </w:rPr>
        <w:t xml:space="preserve"> and </w:t>
      </w:r>
      <w:r w:rsidRPr="00A428C3">
        <w:rPr>
          <w:i/>
          <w:iCs/>
        </w:rPr>
        <w:t>Ecological Risk Assessment</w:t>
      </w:r>
      <w:r w:rsidRPr="00A428C3">
        <w:t xml:space="preserve">, </w:t>
      </w:r>
      <w:r w:rsidRPr="00A428C3">
        <w:rPr>
          <w:b/>
        </w:rPr>
        <w:t>9</w:t>
      </w:r>
      <w:r w:rsidRPr="00A428C3">
        <w:t xml:space="preserve"> (2), 549-568.</w:t>
      </w:r>
    </w:p>
    <w:p w:rsidR="00D56FF5" w:rsidRPr="00A428C3" w:rsidRDefault="00D56FF5" w:rsidP="00D56FF5">
      <w:pPr>
        <w:pStyle w:val="a0"/>
      </w:pPr>
      <w:r>
        <w:rPr>
          <w:rFonts w:hint="eastAsia"/>
        </w:rPr>
        <w:t xml:space="preserve">Full Text: </w:t>
      </w:r>
      <w:r w:rsidRPr="00D56FF5">
        <w:t>20</w:t>
      </w:r>
      <w:r>
        <w:rPr>
          <w:rFonts w:hint="eastAsia"/>
        </w:rPr>
        <w:t>03</w:t>
      </w:r>
      <w:r w:rsidRPr="00D56FF5">
        <w:t>\Hum Eco Ris Ass</w:t>
      </w:r>
      <w:r>
        <w:rPr>
          <w:rFonts w:hint="eastAsia"/>
        </w:rPr>
        <w:t>9,</w:t>
      </w:r>
      <w:r w:rsidRPr="00D56FF5">
        <w:t xml:space="preserve"> </w:t>
      </w:r>
      <w:r>
        <w:rPr>
          <w:rFonts w:hint="eastAsia"/>
        </w:rPr>
        <w:t>549</w:t>
      </w:r>
      <w:r w:rsidRPr="00D56FF5">
        <w:t>.pdf</w:t>
      </w:r>
    </w:p>
    <w:p w:rsidR="00B95188" w:rsidRPr="00A428C3" w:rsidRDefault="00B95188" w:rsidP="00525C54">
      <w:pPr>
        <w:pStyle w:val="a0"/>
      </w:pPr>
      <w:r w:rsidRPr="00A13428">
        <w:t>Abstract:</w:t>
      </w:r>
      <w:r w:rsidRPr="00A428C3">
        <w:t xml:space="preserve"> A probabilistic ecological risk assessment of phenol was undertaken to determine the risks posed to biota as a result of phenol release to the Canadian environment. A three-tiered approach was used to estimate risks, with progressively more realistic assumptions being applied at each tier. In </w:t>
      </w:r>
      <w:smartTag w:uri="urn:schemas-microsoft-com:office:smarttags" w:element="place">
        <w:smartTag w:uri="urn:schemas-microsoft-com:office:smarttags" w:element="country-region">
          <w:r w:rsidRPr="00A428C3">
            <w:t>Canada</w:t>
          </w:r>
        </w:smartTag>
      </w:smartTag>
      <w:r w:rsidRPr="00A428C3">
        <w:t>, the major sources of phenol are municipal wastewater treatment plants, pulp, paper</w:t>
      </w:r>
      <w:r w:rsidR="00F81221">
        <w:t xml:space="preserve"> and </w:t>
      </w:r>
      <w:r w:rsidRPr="00A428C3">
        <w:t>wood products mills, steel</w:t>
      </w:r>
      <w:r w:rsidR="00F81221">
        <w:t xml:space="preserve"> and </w:t>
      </w:r>
      <w:r w:rsidRPr="00A428C3">
        <w:t>metal products facilities</w:t>
      </w:r>
      <w:r w:rsidR="00F81221">
        <w:t xml:space="preserve"> and </w:t>
      </w:r>
      <w:r w:rsidRPr="00A428C3">
        <w:t>refineries. Thus, the highest exposures will occur in receiving waters near these point sources, primarily due to the short half-life of phenol in the aquatic environment. Sensitive aquatic organisms include salmonids (e.g., rainbow trout Oncorhynchus mykiss)</w:t>
      </w:r>
      <w:r w:rsidR="00F81221">
        <w:t xml:space="preserve"> and </w:t>
      </w:r>
      <w:r w:rsidRPr="00A428C3">
        <w:t>amphibians (e.g., leopard frog Rana pipiens). The results of the risk assessment indicate that species are exposed to elevated levels of phenol near point sources, but these levels represent only a minor risk to aquatic biota.</w:t>
      </w:r>
    </w:p>
    <w:p w:rsidR="00B95188" w:rsidRPr="00A428C3" w:rsidRDefault="00B95188" w:rsidP="00B95188">
      <w:pPr>
        <w:pStyle w:val="a0"/>
      </w:pPr>
      <w:r w:rsidRPr="00A13428">
        <w:t>Keywords:</w:t>
      </w:r>
      <w:r w:rsidRPr="00A428C3">
        <w:t xml:space="preserve"> Phenol, Probabilistic Ecological Risk Assessment, Aquatic Biota, Tiered Approach, Effluents</w:t>
      </w:r>
      <w:r w:rsidRPr="00A13428">
        <w:t xml:space="preserve">, </w:t>
      </w:r>
      <w:r w:rsidRPr="00A428C3">
        <w:t>Acute Toxicity, Chlorophenols, Temperature, Chemicals, Organisms, Accumulation, Sensitivity, Components, Exposure, Growth</w:t>
      </w:r>
    </w:p>
    <w:p w:rsidR="00525C54" w:rsidRDefault="00525C54" w:rsidP="00525C54">
      <w:pPr>
        <w:pStyle w:val="a0"/>
        <w:rPr>
          <w:kern w:val="0"/>
        </w:rPr>
      </w:pPr>
      <w:r>
        <w:rPr>
          <w:rFonts w:hint="eastAsia"/>
          <w:kern w:val="0"/>
        </w:rPr>
        <w:t xml:space="preserve">? </w:t>
      </w:r>
      <w:r>
        <w:rPr>
          <w:kern w:val="0"/>
        </w:rPr>
        <w:t>Mao, N., Wang, M.H.</w:t>
      </w:r>
      <w:r w:rsidR="00F81221">
        <w:rPr>
          <w:kern w:val="0"/>
        </w:rPr>
        <w:t xml:space="preserve"> and </w:t>
      </w:r>
      <w:r>
        <w:rPr>
          <w:kern w:val="0"/>
        </w:rPr>
        <w:t xml:space="preserve">Ho, Y.S. (2010), A bibliometric study of the trend in articles related to risk assessment published in Science Citation Index. </w:t>
      </w:r>
      <w:r>
        <w:rPr>
          <w:i/>
          <w:iCs/>
          <w:kern w:val="0"/>
        </w:rPr>
        <w:t>Human</w:t>
      </w:r>
      <w:r w:rsidR="00F81221">
        <w:rPr>
          <w:i/>
          <w:iCs/>
          <w:kern w:val="0"/>
        </w:rPr>
        <w:t xml:space="preserve"> and </w:t>
      </w:r>
      <w:r>
        <w:rPr>
          <w:i/>
          <w:iCs/>
          <w:kern w:val="0"/>
        </w:rPr>
        <w:t>Ecological Risk Assessment</w:t>
      </w:r>
      <w:r>
        <w:rPr>
          <w:kern w:val="0"/>
        </w:rPr>
        <w:t xml:space="preserve">, </w:t>
      </w:r>
      <w:r>
        <w:rPr>
          <w:b/>
          <w:bCs/>
          <w:kern w:val="0"/>
        </w:rPr>
        <w:t>16</w:t>
      </w:r>
      <w:r>
        <w:rPr>
          <w:kern w:val="0"/>
        </w:rPr>
        <w:t xml:space="preserve"> (4), 801-824.</w:t>
      </w:r>
    </w:p>
    <w:p w:rsidR="00525C54" w:rsidRPr="00A428C3" w:rsidRDefault="00525C54" w:rsidP="00525C54">
      <w:pPr>
        <w:pStyle w:val="a0"/>
      </w:pPr>
      <w:r>
        <w:rPr>
          <w:rFonts w:hint="eastAsia"/>
        </w:rPr>
        <w:t xml:space="preserve">Full Text: </w:t>
      </w:r>
      <w:hyperlink r:id="rId686" w:history="1">
        <w:r w:rsidRPr="00102D38">
          <w:rPr>
            <w:rStyle w:val="a5"/>
          </w:rPr>
          <w:t>2010\Hum Eco Ris Ass16, 801.pdf</w:t>
        </w:r>
      </w:hyperlink>
      <w:r>
        <w:rPr>
          <w:rFonts w:hint="eastAsia"/>
        </w:rPr>
        <w:t xml:space="preserve">; </w:t>
      </w:r>
      <w:hyperlink r:id="rId687" w:history="1">
        <w:r w:rsidRPr="00E913A6">
          <w:rPr>
            <w:rStyle w:val="a5"/>
            <w:iCs/>
          </w:rPr>
          <w:t>2010\Hum Eco Ris Ass-Mao.pdf</w:t>
        </w:r>
      </w:hyperlink>
    </w:p>
    <w:p w:rsidR="00525C54" w:rsidRDefault="00525C54" w:rsidP="00525C54">
      <w:pPr>
        <w:pStyle w:val="a0"/>
        <w:rPr>
          <w:kern w:val="0"/>
        </w:rPr>
      </w:pPr>
      <w:r>
        <w:rPr>
          <w:kern w:val="0"/>
        </w:rPr>
        <w:t xml:space="preserve">Abstract: In this study, a bibliometric method was used to evaluate the global scientific </w:t>
      </w:r>
      <w:r>
        <w:rPr>
          <w:kern w:val="0"/>
        </w:rPr>
        <w:lastRenderedPageBreak/>
        <w:t>production of risk assessment research for the last 16 years</w:t>
      </w:r>
      <w:r w:rsidR="00F81221">
        <w:rPr>
          <w:kern w:val="0"/>
        </w:rPr>
        <w:t xml:space="preserve"> and </w:t>
      </w:r>
      <w:r>
        <w:rPr>
          <w:kern w:val="0"/>
        </w:rPr>
        <w:t>provide insights into the characteristics of the risk assessment research activities</w:t>
      </w:r>
      <w:r w:rsidR="00F81221">
        <w:rPr>
          <w:kern w:val="0"/>
        </w:rPr>
        <w:t xml:space="preserve"> and </w:t>
      </w:r>
      <w:r>
        <w:rPr>
          <w:kern w:val="0"/>
        </w:rPr>
        <w:t>tendencies that may exist in the papers. Data were obtained on the online version of SCI, Web of Science from 1992 to 2007. Two important respects of the paper characteristics were analyzed: (i) performance of publication</w:t>
      </w:r>
      <w:r w:rsidR="00F81221">
        <w:rPr>
          <w:kern w:val="0"/>
        </w:rPr>
        <w:t xml:space="preserve"> and </w:t>
      </w:r>
      <w:r>
        <w:rPr>
          <w:kern w:val="0"/>
        </w:rPr>
        <w:t>(ii) research tendency</w:t>
      </w:r>
      <w:r w:rsidR="00F81221">
        <w:rPr>
          <w:kern w:val="0"/>
        </w:rPr>
        <w:t xml:space="preserve"> and </w:t>
      </w:r>
      <w:r>
        <w:rPr>
          <w:kern w:val="0"/>
        </w:rPr>
        <w:t>hotspots. The main results were as follows: English-language articles took the majority of all the publications. Number of articles in this field increased from 1 in 1968 to 1037 in 2007. Human</w:t>
      </w:r>
      <w:r w:rsidR="00F81221">
        <w:rPr>
          <w:kern w:val="0"/>
        </w:rPr>
        <w:t xml:space="preserve"> and </w:t>
      </w:r>
      <w:r>
        <w:rPr>
          <w:kern w:val="0"/>
        </w:rPr>
        <w:t>Ecological Risk Assessment published the most papers in this field, taking 3% of all. Research tendency was investigated by statistically analyzing the distribution of paper title, author keyword,</w:t>
      </w:r>
      <w:r w:rsidR="00F81221">
        <w:rPr>
          <w:kern w:val="0"/>
        </w:rPr>
        <w:t xml:space="preserve"> and </w:t>
      </w:r>
      <w:r>
        <w:rPr>
          <w:kern w:val="0"/>
        </w:rPr>
        <w:t>keyword plus. Furthermore, a new method named oword cluster analysiso was successfully applied to find the research hotspots of this field. Research hotspots of risk assessment mainly focused on three subject categories: environmental science, ecology,</w:t>
      </w:r>
      <w:r w:rsidR="00F81221">
        <w:rPr>
          <w:kern w:val="0"/>
        </w:rPr>
        <w:t xml:space="preserve"> and </w:t>
      </w:r>
      <w:r>
        <w:rPr>
          <w:kern w:val="0"/>
        </w:rPr>
        <w:t>epidemiology. This new bibliometric method can help relevant researchers realize the panorama of global risk assessment research,</w:t>
      </w:r>
      <w:r w:rsidR="00F81221">
        <w:rPr>
          <w:kern w:val="0"/>
        </w:rPr>
        <w:t xml:space="preserve"> and </w:t>
      </w:r>
      <w:r>
        <w:rPr>
          <w:kern w:val="0"/>
        </w:rPr>
        <w:t>establish the further research direction.</w:t>
      </w:r>
    </w:p>
    <w:p w:rsidR="00525C54" w:rsidRDefault="00525C54" w:rsidP="00525C54">
      <w:pPr>
        <w:pStyle w:val="a0"/>
        <w:rPr>
          <w:kern w:val="0"/>
        </w:rPr>
      </w:pPr>
      <w:r>
        <w:rPr>
          <w:kern w:val="0"/>
        </w:rPr>
        <w:t>Keywords: Assessment, Bibliometric, Cancer, Carcinogenesis, Citation, Diskette, Ecology, Environment, Exposure, h-Index, Plus, Publication, Publications, Red Book, Research, Research Hotspots, Risk Assessment, SCI, Scientometrics, Sediments, Toxicity, Trend, Word Cluster Analysis</w:t>
      </w:r>
    </w:p>
    <w:p w:rsidR="00B95188" w:rsidRPr="00A428C3" w:rsidRDefault="00B95188" w:rsidP="00B95188">
      <w:pPr>
        <w:pStyle w:val="1"/>
      </w:pPr>
      <w:r w:rsidRPr="00A428C3">
        <w:br w:type="page"/>
      </w:r>
      <w:bookmarkStart w:id="661" w:name="_Toc186647792"/>
      <w:bookmarkStart w:id="662" w:name="_Toc317161052"/>
      <w:r w:rsidRPr="00A428C3">
        <w:lastRenderedPageBreak/>
        <w:t xml:space="preserve">Title: </w:t>
      </w:r>
      <w:r w:rsidRPr="00A428C3">
        <w:rPr>
          <w:iCs/>
        </w:rPr>
        <w:t>Human Factors</w:t>
      </w:r>
      <w:bookmarkEnd w:id="661"/>
      <w:bookmarkEnd w:id="662"/>
    </w:p>
    <w:p w:rsidR="00B95188" w:rsidRPr="00A428C3" w:rsidRDefault="00B95188" w:rsidP="00B72EF9">
      <w:pPr>
        <w:pStyle w:val="12"/>
      </w:pPr>
      <w:r w:rsidRPr="00A428C3">
        <w:t xml:space="preserve">Full Journal Title: </w:t>
      </w:r>
      <w:r w:rsidRPr="00A428C3">
        <w:rPr>
          <w:iCs/>
        </w:rPr>
        <w:t>Human Factors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Lee, J.D., Cassano-Pinche, A.</w:t>
      </w:r>
      <w:r w:rsidR="00F81221">
        <w:t xml:space="preserve"> and </w:t>
      </w:r>
      <w:r w:rsidRPr="00A428C3">
        <w:t xml:space="preserve">Vicente, K.J. (2005), Bibliometric analysis of Human Factors (1970-2000): A quantitative description of scientific impact. </w:t>
      </w:r>
      <w:r w:rsidRPr="00A428C3">
        <w:rPr>
          <w:i/>
          <w:iCs/>
        </w:rPr>
        <w:t>Human Factors</w:t>
      </w:r>
      <w:r w:rsidRPr="00A428C3">
        <w:t xml:space="preserve">, </w:t>
      </w:r>
      <w:r w:rsidRPr="00A428C3">
        <w:rPr>
          <w:b/>
        </w:rPr>
        <w:t>47</w:t>
      </w:r>
      <w:r w:rsidRPr="00A428C3">
        <w:t xml:space="preserve"> (4), 753-766.</w:t>
      </w:r>
    </w:p>
    <w:p w:rsidR="00B95188" w:rsidRPr="00A428C3" w:rsidRDefault="00B95188" w:rsidP="00B95188">
      <w:pPr>
        <w:pStyle w:val="a0"/>
      </w:pPr>
      <w:r w:rsidRPr="00A428C3">
        <w:t>Abstract: Bibliometric analyses use the citation history of scientific articles as data to measure scientific impact. This paper describes a bibliometric analysis of the 1682 papers</w:t>
      </w:r>
      <w:r w:rsidR="00F81221">
        <w:t xml:space="preserve"> and </w:t>
      </w:r>
      <w:r w:rsidRPr="00A428C3">
        <w:t>2413 authors published in Human Factors from 1970 to 2000. The results show that Human Factors has substantial relative scientific influence, as measured by impact, immediacy,</w:t>
      </w:r>
      <w:r w:rsidR="00F81221">
        <w:t xml:space="preserve"> and </w:t>
      </w:r>
      <w:r w:rsidRPr="00A428C3">
        <w:t>half-life, exceeding the influence of comparable journals. Like other scientific disciplines, human factors research is a highly stratified activity. Most authors have published only one paper,</w:t>
      </w:r>
      <w:r w:rsidR="00F81221">
        <w:t xml:space="preserve"> and </w:t>
      </w:r>
      <w:r w:rsidRPr="00A428C3">
        <w:t>many papers are cited infrequently, if ever. A small number of authors account for a disproportionately large number of the papers published</w:t>
      </w:r>
      <w:r w:rsidR="00F81221">
        <w:t xml:space="preserve"> and </w:t>
      </w:r>
      <w:r w:rsidRPr="00A428C3">
        <w:t>citations received. However, the degree of stratification is not as extreme as in many other disciplines, possibly reflecting the diversity of the human factors discipline. A consistent trend of more authors per paper parallels a similar trend in other fields</w:t>
      </w:r>
      <w:r w:rsidR="00F81221">
        <w:t xml:space="preserve"> and </w:t>
      </w:r>
      <w:r w:rsidRPr="00A428C3">
        <w:t>may reflect the increasingly interdisciplinary nature of human factors research</w:t>
      </w:r>
      <w:r w:rsidR="00F81221">
        <w:t xml:space="preserve"> and </w:t>
      </w:r>
      <w:r w:rsidRPr="00A428C3">
        <w:t>a trend toward addressing human-technology interaction in more complex systems. Ten of the most influential papers from each of the last 3 decades illustrate trends in human factors research. Actual or potential applications of this research include considerations for the publication</w:t>
      </w:r>
      <w:r w:rsidR="00F81221">
        <w:t xml:space="preserve"> and </w:t>
      </w:r>
      <w:r w:rsidRPr="00A428C3">
        <w:t>distribution policy of Human Factors.</w:t>
      </w:r>
    </w:p>
    <w:p w:rsidR="00B95188" w:rsidRPr="00A428C3" w:rsidRDefault="00B95188" w:rsidP="00B95188">
      <w:pPr>
        <w:pStyle w:val="a0"/>
      </w:pPr>
      <w:r w:rsidRPr="00A428C3">
        <w:t xml:space="preserve">Keywords: Activity, Analysis, Applications, Attention, Bibliometric, Bibliometric Analysis, Citation Analysis, Citations, Compatibility, Complex, Creative Productivity, Distribution, Diversity, Dynamic-Systems, Half-Life, History, Human, Human Factors, Impact, Interaction, Interdisciplinary, Mental Workload, Model, Paper, Policy, Publication, Research, Situation Awareness, Skills, Stratification, </w:t>
      </w:r>
      <w:r w:rsidRPr="00A428C3">
        <w:lastRenderedPageBreak/>
        <w:t>Task-Performance, Trend, Trends</w:t>
      </w:r>
    </w:p>
    <w:p w:rsidR="003D1525" w:rsidRPr="001A3D2B" w:rsidRDefault="003D1525" w:rsidP="003D1525">
      <w:pPr>
        <w:pStyle w:val="1"/>
      </w:pPr>
      <w:r w:rsidRPr="001A3D2B">
        <w:br w:type="page"/>
      </w:r>
      <w:bookmarkStart w:id="663" w:name="_Toc317161053"/>
      <w:r w:rsidRPr="001A3D2B">
        <w:lastRenderedPageBreak/>
        <w:t xml:space="preserve">Title: </w:t>
      </w:r>
      <w:r w:rsidRPr="00495DCE">
        <w:rPr>
          <w:iCs/>
        </w:rPr>
        <w:t>Human Factors</w:t>
      </w:r>
      <w:r w:rsidR="00F81221">
        <w:rPr>
          <w:iCs/>
        </w:rPr>
        <w:t xml:space="preserve"> and </w:t>
      </w:r>
      <w:r w:rsidRPr="00495DCE">
        <w:rPr>
          <w:iCs/>
        </w:rPr>
        <w:t>Ergonomics in Manufacturing &amp; Service Industries</w:t>
      </w:r>
      <w:bookmarkEnd w:id="663"/>
    </w:p>
    <w:p w:rsidR="003D1525" w:rsidRPr="001A3D2B" w:rsidRDefault="003D1525" w:rsidP="00B72EF9">
      <w:pPr>
        <w:pStyle w:val="12"/>
      </w:pPr>
      <w:r w:rsidRPr="001A3D2B">
        <w:t xml:space="preserve">Full Journal Title: </w:t>
      </w:r>
      <w:r w:rsidRPr="00495DCE">
        <w:t>Human Factors</w:t>
      </w:r>
      <w:r w:rsidR="00F81221">
        <w:t xml:space="preserve"> and </w:t>
      </w:r>
      <w:r w:rsidRPr="00495DCE">
        <w:t>Ergonomics in Manufacturing &amp; Service Industries</w:t>
      </w:r>
    </w:p>
    <w:p w:rsidR="003D1525" w:rsidRPr="001A3D2B" w:rsidRDefault="003D1525" w:rsidP="00B72EF9">
      <w:pPr>
        <w:pStyle w:val="12"/>
      </w:pPr>
      <w:r w:rsidRPr="001A3D2B">
        <w:t xml:space="preserve">ISO Abbreviated Title: </w:t>
      </w:r>
    </w:p>
    <w:p w:rsidR="003D1525" w:rsidRPr="001A3D2B" w:rsidRDefault="003D1525" w:rsidP="00B72EF9">
      <w:pPr>
        <w:pStyle w:val="12"/>
      </w:pPr>
      <w:r w:rsidRPr="001A3D2B">
        <w:t xml:space="preserve">JCR Abbreviated Title: </w:t>
      </w:r>
    </w:p>
    <w:p w:rsidR="003D1525" w:rsidRPr="001A3D2B" w:rsidRDefault="003D1525" w:rsidP="00B72EF9">
      <w:pPr>
        <w:pStyle w:val="12"/>
      </w:pPr>
      <w:r w:rsidRPr="001A3D2B">
        <w:t xml:space="preserve">ISSN: </w:t>
      </w:r>
    </w:p>
    <w:p w:rsidR="003D1525" w:rsidRPr="001A3D2B" w:rsidRDefault="003D1525" w:rsidP="00B72EF9">
      <w:pPr>
        <w:pStyle w:val="12"/>
      </w:pPr>
      <w:r w:rsidRPr="001A3D2B">
        <w:t xml:space="preserve">Issues/Year: </w:t>
      </w:r>
    </w:p>
    <w:p w:rsidR="003D1525" w:rsidRPr="001A3D2B" w:rsidRDefault="003D1525" w:rsidP="00B72EF9">
      <w:pPr>
        <w:pStyle w:val="12"/>
      </w:pPr>
      <w:r w:rsidRPr="001A3D2B">
        <w:t xml:space="preserve">Journal Country/Territory: </w:t>
      </w:r>
    </w:p>
    <w:p w:rsidR="003D1525" w:rsidRPr="001A3D2B" w:rsidRDefault="003D1525" w:rsidP="00B72EF9">
      <w:pPr>
        <w:pStyle w:val="12"/>
      </w:pPr>
      <w:r w:rsidRPr="001A3D2B">
        <w:t xml:space="preserve">Language: </w:t>
      </w:r>
    </w:p>
    <w:p w:rsidR="003D1525" w:rsidRPr="001A3D2B" w:rsidRDefault="003D1525" w:rsidP="00B72EF9">
      <w:pPr>
        <w:pStyle w:val="12"/>
      </w:pPr>
      <w:r w:rsidRPr="001A3D2B">
        <w:t xml:space="preserve">Publisher: </w:t>
      </w:r>
    </w:p>
    <w:p w:rsidR="003D1525" w:rsidRPr="001A3D2B" w:rsidRDefault="003D1525" w:rsidP="00B72EF9">
      <w:pPr>
        <w:pStyle w:val="12"/>
      </w:pPr>
      <w:r w:rsidRPr="001A3D2B">
        <w:t xml:space="preserve">Publisher Address: </w:t>
      </w:r>
    </w:p>
    <w:p w:rsidR="003D1525" w:rsidRPr="001A3D2B" w:rsidRDefault="003D1525" w:rsidP="00B72EF9">
      <w:pPr>
        <w:pStyle w:val="12"/>
      </w:pPr>
      <w:r w:rsidRPr="001A3D2B">
        <w:t>Subject Categories:</w:t>
      </w:r>
    </w:p>
    <w:p w:rsidR="003D1525" w:rsidRPr="001A3D2B" w:rsidRDefault="003D1525" w:rsidP="00B72EF9">
      <w:pPr>
        <w:pStyle w:val="12"/>
      </w:pPr>
      <w:r w:rsidRPr="001A3D2B">
        <w:t xml:space="preserve">: Impact Factor </w:t>
      </w:r>
    </w:p>
    <w:p w:rsidR="003D1525" w:rsidRPr="00A5601E" w:rsidRDefault="003D1525" w:rsidP="003D1525">
      <w:pPr>
        <w:pStyle w:val="a0"/>
        <w:rPr>
          <w:kern w:val="0"/>
        </w:rPr>
      </w:pPr>
      <w:r>
        <w:rPr>
          <w:rFonts w:hint="eastAsia"/>
          <w:kern w:val="0"/>
        </w:rPr>
        <w:t xml:space="preserve">? </w:t>
      </w:r>
      <w:r w:rsidRPr="00A5601E">
        <w:rPr>
          <w:kern w:val="0"/>
        </w:rPr>
        <w:t>Smith, D.R. (2010), Citation analysis</w:t>
      </w:r>
      <w:r w:rsidR="00F81221">
        <w:rPr>
          <w:kern w:val="0"/>
        </w:rPr>
        <w:t xml:space="preserve"> and </w:t>
      </w:r>
      <w:r w:rsidRPr="00A5601E">
        <w:rPr>
          <w:kern w:val="0"/>
        </w:rPr>
        <w:t xml:space="preserve">bibliometric research in the field of ergonomics. </w:t>
      </w:r>
      <w:r w:rsidRPr="00495DCE">
        <w:rPr>
          <w:i/>
          <w:iCs/>
          <w:kern w:val="0"/>
        </w:rPr>
        <w:t>Human Factors</w:t>
      </w:r>
      <w:r w:rsidR="00F81221">
        <w:rPr>
          <w:i/>
          <w:iCs/>
          <w:kern w:val="0"/>
        </w:rPr>
        <w:t xml:space="preserve"> and </w:t>
      </w:r>
      <w:r w:rsidRPr="00495DCE">
        <w:rPr>
          <w:i/>
          <w:iCs/>
          <w:kern w:val="0"/>
        </w:rPr>
        <w:t>Ergonomics in Manufacturing &amp; Service Industries</w:t>
      </w:r>
      <w:r w:rsidRPr="00A5601E">
        <w:rPr>
          <w:kern w:val="0"/>
        </w:rPr>
        <w:t xml:space="preserve">, </w:t>
      </w:r>
      <w:r w:rsidRPr="00A5601E">
        <w:rPr>
          <w:b/>
          <w:bCs/>
          <w:kern w:val="0"/>
        </w:rPr>
        <w:t>20</w:t>
      </w:r>
      <w:r w:rsidRPr="00A5601E">
        <w:rPr>
          <w:kern w:val="0"/>
        </w:rPr>
        <w:t xml:space="preserve"> (3), 202-210.</w:t>
      </w:r>
    </w:p>
    <w:p w:rsidR="003D1525" w:rsidRPr="00A5601E" w:rsidRDefault="003D1525" w:rsidP="003D1525">
      <w:pPr>
        <w:pStyle w:val="a0"/>
        <w:rPr>
          <w:kern w:val="0"/>
        </w:rPr>
      </w:pPr>
      <w:r w:rsidRPr="00A5601E">
        <w:rPr>
          <w:kern w:val="0"/>
        </w:rPr>
        <w:t xml:space="preserve">Abstract: Given that journal impact factors now represent such a </w:t>
      </w:r>
      <w:r w:rsidR="000352E7">
        <w:rPr>
          <w:kern w:val="0"/>
        </w:rPr>
        <w:t>“</w:t>
      </w:r>
      <w:r w:rsidRPr="00A5601E">
        <w:rPr>
          <w:kern w:val="0"/>
        </w:rPr>
        <w:t>hot</w:t>
      </w:r>
      <w:r w:rsidR="000352E7">
        <w:rPr>
          <w:kern w:val="0"/>
        </w:rPr>
        <w:t>”</w:t>
      </w:r>
      <w:r w:rsidRPr="00A5601E">
        <w:rPr>
          <w:kern w:val="0"/>
        </w:rPr>
        <w:t xml:space="preserve"> topic in the modern scientific world, it is essential that ergonomists remain fully cognizant of the citation-based research that has been conducted in our field. This article reviews</w:t>
      </w:r>
      <w:r w:rsidR="00F81221">
        <w:rPr>
          <w:kern w:val="0"/>
        </w:rPr>
        <w:t xml:space="preserve"> and </w:t>
      </w:r>
      <w:r w:rsidRPr="00A5601E">
        <w:rPr>
          <w:kern w:val="0"/>
        </w:rPr>
        <w:t>examines bibliometric research in the ergonomics profession, ranging from seminal work on content analysis</w:t>
      </w:r>
      <w:r w:rsidR="00F81221">
        <w:rPr>
          <w:kern w:val="0"/>
        </w:rPr>
        <w:t xml:space="preserve"> and </w:t>
      </w:r>
      <w:r w:rsidRPr="00A5601E">
        <w:rPr>
          <w:kern w:val="0"/>
        </w:rPr>
        <w:t>citation indexing, to some of the latest research describing ergonomics journal lists</w:t>
      </w:r>
      <w:r w:rsidR="00F81221">
        <w:rPr>
          <w:kern w:val="0"/>
        </w:rPr>
        <w:t xml:space="preserve"> and </w:t>
      </w:r>
      <w:r w:rsidRPr="00A5601E">
        <w:rPr>
          <w:kern w:val="0"/>
        </w:rPr>
        <w:t>longitudinal impact factor trends. Overall, history has shown how citation-based studies have become increasingly common in the ergonomics field during the past few decades, and, as we move through the 21st century, ergonomics journals continue to mature as a result. (C) 2010 Wiley Periodicals, Inc.</w:t>
      </w:r>
    </w:p>
    <w:p w:rsidR="003D1525" w:rsidRPr="00A5601E" w:rsidRDefault="003D1525" w:rsidP="003D1525">
      <w:pPr>
        <w:pStyle w:val="a0"/>
        <w:rPr>
          <w:kern w:val="0"/>
        </w:rPr>
      </w:pPr>
      <w:r w:rsidRPr="00A5601E">
        <w:rPr>
          <w:kern w:val="0"/>
        </w:rPr>
        <w:t>Keywords: Bibliometric</w:t>
      </w:r>
      <w:r>
        <w:rPr>
          <w:kern w:val="0"/>
        </w:rPr>
        <w:t xml:space="preserve">, </w:t>
      </w:r>
      <w:r w:rsidRPr="00A5601E">
        <w:rPr>
          <w:kern w:val="0"/>
        </w:rPr>
        <w:t>Bibliometric Research</w:t>
      </w:r>
      <w:r>
        <w:rPr>
          <w:kern w:val="0"/>
        </w:rPr>
        <w:t xml:space="preserve">, </w:t>
      </w:r>
      <w:r w:rsidRPr="00A5601E">
        <w:rPr>
          <w:kern w:val="0"/>
        </w:rPr>
        <w:t>Bibliometrics</w:t>
      </w:r>
      <w:r>
        <w:rPr>
          <w:kern w:val="0"/>
        </w:rPr>
        <w:t xml:space="preserve">, </w:t>
      </w:r>
      <w:r w:rsidRPr="00A5601E">
        <w:rPr>
          <w:kern w:val="0"/>
        </w:rPr>
        <w:t>Citation</w:t>
      </w:r>
      <w:r>
        <w:rPr>
          <w:kern w:val="0"/>
        </w:rPr>
        <w:t xml:space="preserve">, </w:t>
      </w:r>
      <w:r w:rsidRPr="00A5601E">
        <w:rPr>
          <w:kern w:val="0"/>
        </w:rPr>
        <w:t>Citation Analysis</w:t>
      </w:r>
      <w:r>
        <w:rPr>
          <w:kern w:val="0"/>
        </w:rPr>
        <w:t xml:space="preserve">, </w:t>
      </w:r>
      <w:r w:rsidRPr="00A5601E">
        <w:rPr>
          <w:kern w:val="0"/>
        </w:rPr>
        <w:t>Content Analysis</w:t>
      </w:r>
      <w:r>
        <w:rPr>
          <w:kern w:val="0"/>
        </w:rPr>
        <w:t xml:space="preserve">, </w:t>
      </w:r>
      <w:r w:rsidRPr="00A5601E">
        <w:rPr>
          <w:kern w:val="0"/>
        </w:rPr>
        <w:t>Ergonomics</w:t>
      </w:r>
      <w:r>
        <w:rPr>
          <w:kern w:val="0"/>
        </w:rPr>
        <w:t xml:space="preserve">, </w:t>
      </w:r>
      <w:r w:rsidRPr="00A5601E">
        <w:rPr>
          <w:kern w:val="0"/>
        </w:rPr>
        <w:t>Factor Trends</w:t>
      </w:r>
      <w:r>
        <w:rPr>
          <w:kern w:val="0"/>
        </w:rPr>
        <w:t xml:space="preserve">, </w:t>
      </w:r>
      <w:r w:rsidRPr="00A5601E">
        <w:rPr>
          <w:kern w:val="0"/>
        </w:rPr>
        <w:t>Field</w:t>
      </w:r>
      <w:r>
        <w:rPr>
          <w:kern w:val="0"/>
        </w:rPr>
        <w:t xml:space="preserve">, </w:t>
      </w:r>
      <w:r w:rsidRPr="00A5601E">
        <w:rPr>
          <w:kern w:val="0"/>
        </w:rPr>
        <w:t>Health</w:t>
      </w:r>
      <w:r>
        <w:rPr>
          <w:kern w:val="0"/>
        </w:rPr>
        <w:t xml:space="preserve">, </w:t>
      </w:r>
      <w:r w:rsidRPr="00A5601E">
        <w:rPr>
          <w:kern w:val="0"/>
        </w:rPr>
        <w:t>History</w:t>
      </w:r>
      <w:r>
        <w:rPr>
          <w:kern w:val="0"/>
        </w:rPr>
        <w:t xml:space="preserve">, </w:t>
      </w:r>
      <w:r w:rsidRPr="00A5601E">
        <w:rPr>
          <w:kern w:val="0"/>
        </w:rPr>
        <w:t>Human Factors</w:t>
      </w:r>
      <w:r>
        <w:rPr>
          <w:kern w:val="0"/>
        </w:rPr>
        <w:t xml:space="preserve">, </w:t>
      </w:r>
      <w:r w:rsidRPr="00A5601E">
        <w:rPr>
          <w:kern w:val="0"/>
        </w:rPr>
        <w:t>Impact</w:t>
      </w:r>
      <w:r>
        <w:rPr>
          <w:kern w:val="0"/>
        </w:rPr>
        <w:t xml:space="preserve">, </w:t>
      </w:r>
      <w:r w:rsidRPr="00A5601E">
        <w:rPr>
          <w:kern w:val="0"/>
        </w:rPr>
        <w:t>Impact Factor</w:t>
      </w:r>
      <w:r>
        <w:rPr>
          <w:kern w:val="0"/>
        </w:rPr>
        <w:t xml:space="preserve">, </w:t>
      </w:r>
      <w:r w:rsidRPr="00A5601E">
        <w:rPr>
          <w:kern w:val="0"/>
        </w:rPr>
        <w:t>Impact Factors</w:t>
      </w:r>
      <w:r>
        <w:rPr>
          <w:kern w:val="0"/>
        </w:rPr>
        <w:t xml:space="preserve">, </w:t>
      </w:r>
      <w:r w:rsidRPr="00A5601E">
        <w:rPr>
          <w:kern w:val="0"/>
        </w:rPr>
        <w:t>Journal</w:t>
      </w:r>
      <w:r>
        <w:rPr>
          <w:kern w:val="0"/>
        </w:rPr>
        <w:t xml:space="preserve">, </w:t>
      </w:r>
      <w:r w:rsidRPr="00A5601E">
        <w:rPr>
          <w:kern w:val="0"/>
        </w:rPr>
        <w:t>Journal Impact</w:t>
      </w:r>
      <w:r>
        <w:rPr>
          <w:kern w:val="0"/>
        </w:rPr>
        <w:t xml:space="preserve">, </w:t>
      </w:r>
      <w:r w:rsidRPr="00A5601E">
        <w:rPr>
          <w:kern w:val="0"/>
        </w:rPr>
        <w:t>Journal Impact Factor</w:t>
      </w:r>
      <w:r>
        <w:rPr>
          <w:kern w:val="0"/>
        </w:rPr>
        <w:t xml:space="preserve">, </w:t>
      </w:r>
      <w:r w:rsidRPr="00A5601E">
        <w:rPr>
          <w:kern w:val="0"/>
        </w:rPr>
        <w:t>Journals</w:t>
      </w:r>
      <w:r>
        <w:rPr>
          <w:kern w:val="0"/>
        </w:rPr>
        <w:t xml:space="preserve">, </w:t>
      </w:r>
      <w:r w:rsidRPr="00A5601E">
        <w:rPr>
          <w:kern w:val="0"/>
        </w:rPr>
        <w:t>Medical Journals</w:t>
      </w:r>
      <w:r>
        <w:rPr>
          <w:kern w:val="0"/>
        </w:rPr>
        <w:t xml:space="preserve">, </w:t>
      </w:r>
      <w:r w:rsidRPr="00A5601E">
        <w:rPr>
          <w:kern w:val="0"/>
        </w:rPr>
        <w:t>Occupational-Medicine</w:t>
      </w:r>
      <w:r>
        <w:rPr>
          <w:kern w:val="0"/>
        </w:rPr>
        <w:t xml:space="preserve">, </w:t>
      </w:r>
      <w:r w:rsidRPr="00A5601E">
        <w:rPr>
          <w:kern w:val="0"/>
        </w:rPr>
        <w:t>Publishing</w:t>
      </w:r>
      <w:r>
        <w:rPr>
          <w:kern w:val="0"/>
        </w:rPr>
        <w:t xml:space="preserve">, </w:t>
      </w:r>
      <w:r w:rsidRPr="00A5601E">
        <w:rPr>
          <w:kern w:val="0"/>
        </w:rPr>
        <w:t>Reflections</w:t>
      </w:r>
      <w:r>
        <w:rPr>
          <w:kern w:val="0"/>
        </w:rPr>
        <w:t xml:space="preserve">, </w:t>
      </w:r>
      <w:r w:rsidRPr="00A5601E">
        <w:rPr>
          <w:kern w:val="0"/>
        </w:rPr>
        <w:t>Research</w:t>
      </w:r>
      <w:r>
        <w:rPr>
          <w:kern w:val="0"/>
        </w:rPr>
        <w:t xml:space="preserve">, </w:t>
      </w:r>
      <w:r w:rsidRPr="00A5601E">
        <w:rPr>
          <w:kern w:val="0"/>
        </w:rPr>
        <w:t>Science</w:t>
      </w:r>
      <w:r>
        <w:rPr>
          <w:kern w:val="0"/>
        </w:rPr>
        <w:t xml:space="preserve">, </w:t>
      </w:r>
      <w:r w:rsidRPr="00A5601E">
        <w:rPr>
          <w:kern w:val="0"/>
        </w:rPr>
        <w:t>Scientific Journals</w:t>
      </w:r>
      <w:r>
        <w:rPr>
          <w:kern w:val="0"/>
        </w:rPr>
        <w:t xml:space="preserve">, </w:t>
      </w:r>
      <w:r w:rsidRPr="00A5601E">
        <w:rPr>
          <w:kern w:val="0"/>
        </w:rPr>
        <w:t>Society</w:t>
      </w:r>
      <w:r>
        <w:rPr>
          <w:kern w:val="0"/>
        </w:rPr>
        <w:t xml:space="preserve">, </w:t>
      </w:r>
      <w:r w:rsidRPr="00A5601E">
        <w:rPr>
          <w:kern w:val="0"/>
        </w:rPr>
        <w:t>Topic</w:t>
      </w:r>
      <w:r>
        <w:rPr>
          <w:kern w:val="0"/>
        </w:rPr>
        <w:t xml:space="preserve">, </w:t>
      </w:r>
      <w:r w:rsidRPr="00A5601E">
        <w:rPr>
          <w:kern w:val="0"/>
        </w:rPr>
        <w:t>Trends</w:t>
      </w:r>
    </w:p>
    <w:p w:rsidR="00982590" w:rsidRPr="001A3D2B" w:rsidRDefault="00982590" w:rsidP="00982590">
      <w:pPr>
        <w:pStyle w:val="1"/>
      </w:pPr>
      <w:r w:rsidRPr="001A3D2B">
        <w:br w:type="page"/>
      </w:r>
      <w:bookmarkStart w:id="664" w:name="_Toc317161054"/>
      <w:r w:rsidRPr="001A3D2B">
        <w:lastRenderedPageBreak/>
        <w:t xml:space="preserve">Title: </w:t>
      </w:r>
      <w:r w:rsidRPr="00437B60">
        <w:rPr>
          <w:iCs/>
          <w:szCs w:val="24"/>
        </w:rPr>
        <w:t>Human Organization</w:t>
      </w:r>
      <w:bookmarkEnd w:id="664"/>
    </w:p>
    <w:p w:rsidR="00982590" w:rsidRPr="001A3D2B" w:rsidRDefault="00982590" w:rsidP="00982590">
      <w:pPr>
        <w:pStyle w:val="12"/>
      </w:pPr>
      <w:r w:rsidRPr="001A3D2B">
        <w:t xml:space="preserve">Full Journal Title: </w:t>
      </w:r>
      <w:r w:rsidRPr="00437B60">
        <w:rPr>
          <w:iCs/>
        </w:rPr>
        <w:t>Human Organization</w:t>
      </w:r>
    </w:p>
    <w:p w:rsidR="00982590" w:rsidRPr="001A3D2B" w:rsidRDefault="00982590" w:rsidP="00982590">
      <w:pPr>
        <w:pStyle w:val="12"/>
      </w:pPr>
      <w:r w:rsidRPr="001A3D2B">
        <w:t xml:space="preserve">ISO Abbreviated Title: </w:t>
      </w:r>
    </w:p>
    <w:p w:rsidR="00982590" w:rsidRPr="001A3D2B" w:rsidRDefault="00982590" w:rsidP="00982590">
      <w:pPr>
        <w:pStyle w:val="12"/>
      </w:pPr>
      <w:r w:rsidRPr="001A3D2B">
        <w:t xml:space="preserve">JCR Abbreviated Title: </w:t>
      </w:r>
    </w:p>
    <w:p w:rsidR="00982590" w:rsidRPr="001A3D2B" w:rsidRDefault="00982590" w:rsidP="00982590">
      <w:pPr>
        <w:pStyle w:val="12"/>
      </w:pPr>
      <w:r w:rsidRPr="001A3D2B">
        <w:t xml:space="preserve">ISSN: </w:t>
      </w:r>
    </w:p>
    <w:p w:rsidR="00982590" w:rsidRPr="001A3D2B" w:rsidRDefault="00982590" w:rsidP="00982590">
      <w:pPr>
        <w:pStyle w:val="12"/>
      </w:pPr>
      <w:r w:rsidRPr="001A3D2B">
        <w:t xml:space="preserve">Issues/Year: </w:t>
      </w:r>
    </w:p>
    <w:p w:rsidR="00982590" w:rsidRPr="001A3D2B" w:rsidRDefault="00982590" w:rsidP="00982590">
      <w:pPr>
        <w:pStyle w:val="12"/>
      </w:pPr>
      <w:r w:rsidRPr="001A3D2B">
        <w:t xml:space="preserve">Journal Country/Territory: </w:t>
      </w:r>
    </w:p>
    <w:p w:rsidR="00982590" w:rsidRPr="001A3D2B" w:rsidRDefault="00982590" w:rsidP="00982590">
      <w:pPr>
        <w:pStyle w:val="12"/>
      </w:pPr>
      <w:r w:rsidRPr="001A3D2B">
        <w:t xml:space="preserve">Language: </w:t>
      </w:r>
    </w:p>
    <w:p w:rsidR="00982590" w:rsidRPr="001A3D2B" w:rsidRDefault="00982590" w:rsidP="00982590">
      <w:pPr>
        <w:pStyle w:val="12"/>
      </w:pPr>
      <w:r w:rsidRPr="001A3D2B">
        <w:t xml:space="preserve">Publisher: </w:t>
      </w:r>
    </w:p>
    <w:p w:rsidR="00982590" w:rsidRPr="001A3D2B" w:rsidRDefault="00982590" w:rsidP="00982590">
      <w:pPr>
        <w:pStyle w:val="12"/>
      </w:pPr>
      <w:r w:rsidRPr="001A3D2B">
        <w:t xml:space="preserve">Publisher Address: </w:t>
      </w:r>
    </w:p>
    <w:p w:rsidR="00982590" w:rsidRPr="001A3D2B" w:rsidRDefault="00982590" w:rsidP="00982590">
      <w:pPr>
        <w:pStyle w:val="12"/>
      </w:pPr>
      <w:r w:rsidRPr="001A3D2B">
        <w:t>Subject Categories:</w:t>
      </w:r>
    </w:p>
    <w:p w:rsidR="00982590" w:rsidRPr="001A3D2B" w:rsidRDefault="00982590" w:rsidP="00982590">
      <w:pPr>
        <w:pStyle w:val="12"/>
      </w:pPr>
      <w:r w:rsidRPr="001A3D2B">
        <w:t xml:space="preserve">: Impact Factor </w:t>
      </w:r>
    </w:p>
    <w:p w:rsidR="00982590" w:rsidRDefault="00982590" w:rsidP="00982590">
      <w:pPr>
        <w:pStyle w:val="a0"/>
        <w:rPr>
          <w:kern w:val="0"/>
          <w:szCs w:val="24"/>
        </w:rPr>
      </w:pPr>
      <w:r>
        <w:rPr>
          <w:kern w:val="0"/>
          <w:szCs w:val="24"/>
        </w:rPr>
        <w:t>? Martin, D.E., Rao, A.</w:t>
      </w:r>
      <w:r w:rsidR="00F81221">
        <w:rPr>
          <w:kern w:val="0"/>
          <w:szCs w:val="24"/>
        </w:rPr>
        <w:t xml:space="preserve"> and </w:t>
      </w:r>
      <w:r>
        <w:rPr>
          <w:kern w:val="0"/>
          <w:szCs w:val="24"/>
        </w:rPr>
        <w:t>Sloan, L.R. (2011), Ethnicity, acculturation,</w:t>
      </w:r>
      <w:r w:rsidR="00F81221">
        <w:rPr>
          <w:kern w:val="0"/>
          <w:szCs w:val="24"/>
        </w:rPr>
        <w:t xml:space="preserve"> and </w:t>
      </w:r>
      <w:r>
        <w:rPr>
          <w:kern w:val="0"/>
          <w:szCs w:val="24"/>
        </w:rPr>
        <w:t xml:space="preserve">plagiarism: A criterion study of unethical academic conduct. </w:t>
      </w:r>
      <w:r w:rsidRPr="00437B60">
        <w:rPr>
          <w:i/>
          <w:iCs/>
          <w:kern w:val="0"/>
          <w:szCs w:val="24"/>
        </w:rPr>
        <w:t>Human Organization</w:t>
      </w:r>
      <w:r>
        <w:rPr>
          <w:kern w:val="0"/>
          <w:szCs w:val="24"/>
        </w:rPr>
        <w:t xml:space="preserve">, </w:t>
      </w:r>
      <w:r>
        <w:rPr>
          <w:b/>
          <w:bCs/>
          <w:kern w:val="0"/>
          <w:szCs w:val="24"/>
        </w:rPr>
        <w:t>70</w:t>
      </w:r>
      <w:r>
        <w:rPr>
          <w:kern w:val="0"/>
          <w:szCs w:val="24"/>
        </w:rPr>
        <w:t xml:space="preserve"> (1), 88-96.</w:t>
      </w:r>
    </w:p>
    <w:p w:rsidR="00982590" w:rsidRDefault="00982590" w:rsidP="00982590">
      <w:pPr>
        <w:pStyle w:val="a0"/>
        <w:rPr>
          <w:kern w:val="0"/>
          <w:szCs w:val="24"/>
        </w:rPr>
      </w:pPr>
      <w:r>
        <w:rPr>
          <w:kern w:val="0"/>
          <w:szCs w:val="24"/>
        </w:rPr>
        <w:t>Abstract: Ethics have received increased attention from the media</w:t>
      </w:r>
      <w:r w:rsidR="00F81221">
        <w:rPr>
          <w:kern w:val="0"/>
          <w:szCs w:val="24"/>
        </w:rPr>
        <w:t xml:space="preserve"> and </w:t>
      </w:r>
      <w:r>
        <w:rPr>
          <w:kern w:val="0"/>
          <w:szCs w:val="24"/>
        </w:rPr>
        <w:t>academia in recent years. Most reports suggest that one form of unethical conduct-plagiarism-is on the rise in the business schools. Stereotypes of Asian students as being more prone to plagiarize are frequently found in the literature, though not concretely substantiated. This study used a behavioral criterion to examine the relationships among ethnicity, acculturation,</w:t>
      </w:r>
      <w:r w:rsidR="00F81221">
        <w:rPr>
          <w:kern w:val="0"/>
          <w:szCs w:val="24"/>
        </w:rPr>
        <w:t xml:space="preserve"> and </w:t>
      </w:r>
      <w:r>
        <w:rPr>
          <w:kern w:val="0"/>
          <w:szCs w:val="24"/>
        </w:rPr>
        <w:t>plagiarism in a sample of 158 undergraduate</w:t>
      </w:r>
      <w:r w:rsidR="00F81221">
        <w:rPr>
          <w:kern w:val="0"/>
          <w:szCs w:val="24"/>
        </w:rPr>
        <w:t xml:space="preserve"> and </w:t>
      </w:r>
      <w:r>
        <w:rPr>
          <w:kern w:val="0"/>
          <w:szCs w:val="24"/>
        </w:rPr>
        <w:t>graduate students. Significant differences in plagiarism behavior were found based on level of student acculturation, but not ethnicity. Considerations</w:t>
      </w:r>
      <w:r w:rsidR="00F81221">
        <w:rPr>
          <w:kern w:val="0"/>
          <w:szCs w:val="24"/>
        </w:rPr>
        <w:t xml:space="preserve"> and </w:t>
      </w:r>
      <w:r>
        <w:rPr>
          <w:kern w:val="0"/>
          <w:szCs w:val="24"/>
        </w:rPr>
        <w:t>implications for training</w:t>
      </w:r>
      <w:r w:rsidR="00F81221">
        <w:rPr>
          <w:kern w:val="0"/>
          <w:szCs w:val="24"/>
        </w:rPr>
        <w:t xml:space="preserve"> and </w:t>
      </w:r>
      <w:r>
        <w:rPr>
          <w:kern w:val="0"/>
          <w:szCs w:val="24"/>
        </w:rPr>
        <w:t>managing international students</w:t>
      </w:r>
      <w:r w:rsidR="00F81221">
        <w:rPr>
          <w:kern w:val="0"/>
          <w:szCs w:val="24"/>
        </w:rPr>
        <w:t xml:space="preserve"> and </w:t>
      </w:r>
      <w:r>
        <w:rPr>
          <w:kern w:val="0"/>
          <w:szCs w:val="24"/>
        </w:rPr>
        <w:t>workers are discussed.</w:t>
      </w:r>
    </w:p>
    <w:p w:rsidR="00982590" w:rsidRDefault="00982590" w:rsidP="00982590">
      <w:pPr>
        <w:pStyle w:val="a0"/>
        <w:rPr>
          <w:kern w:val="0"/>
          <w:szCs w:val="24"/>
        </w:rPr>
      </w:pPr>
      <w:r>
        <w:rPr>
          <w:kern w:val="0"/>
          <w:szCs w:val="24"/>
        </w:rPr>
        <w:t>Keywords: Acculturation, Attitudes, Criterion Study, Cultural-Values, Ethics, Ethnicity, Literature, Plagiarism, Students</w:t>
      </w:r>
    </w:p>
    <w:p w:rsidR="004E5B58" w:rsidRPr="001A3D2B" w:rsidRDefault="004E5B58" w:rsidP="004E5B58">
      <w:pPr>
        <w:pStyle w:val="1"/>
      </w:pPr>
      <w:r w:rsidRPr="001A3D2B">
        <w:br w:type="page"/>
      </w:r>
      <w:bookmarkStart w:id="665" w:name="_Toc317161055"/>
      <w:r w:rsidRPr="001A3D2B">
        <w:lastRenderedPageBreak/>
        <w:t xml:space="preserve">Title: </w:t>
      </w:r>
      <w:r w:rsidRPr="002323E8">
        <w:rPr>
          <w:iCs/>
        </w:rPr>
        <w:t>Human Psychopharmacology-Clinical</w:t>
      </w:r>
      <w:r w:rsidR="00F81221">
        <w:rPr>
          <w:iCs/>
        </w:rPr>
        <w:t xml:space="preserve"> and </w:t>
      </w:r>
      <w:r w:rsidRPr="002323E8">
        <w:rPr>
          <w:iCs/>
        </w:rPr>
        <w:t>Experimental</w:t>
      </w:r>
      <w:bookmarkEnd w:id="665"/>
    </w:p>
    <w:p w:rsidR="004E5B58" w:rsidRPr="001A3D2B" w:rsidRDefault="004E5B58" w:rsidP="004E5B58">
      <w:pPr>
        <w:pStyle w:val="12"/>
      </w:pPr>
      <w:r w:rsidRPr="001A3D2B">
        <w:t xml:space="preserve">Full Journal Title: </w:t>
      </w:r>
      <w:r w:rsidRPr="002323E8">
        <w:rPr>
          <w:iCs/>
        </w:rPr>
        <w:t>Human Psychopharmacology-Clinical</w:t>
      </w:r>
      <w:r w:rsidR="00F81221">
        <w:rPr>
          <w:iCs/>
        </w:rPr>
        <w:t xml:space="preserve"> and </w:t>
      </w:r>
      <w:r w:rsidRPr="002323E8">
        <w:rPr>
          <w:iCs/>
        </w:rPr>
        <w:t>Experimental</w:t>
      </w:r>
    </w:p>
    <w:p w:rsidR="004E5B58" w:rsidRPr="001A3D2B" w:rsidRDefault="004E5B58" w:rsidP="004E5B58">
      <w:pPr>
        <w:pStyle w:val="12"/>
      </w:pPr>
      <w:r w:rsidRPr="001A3D2B">
        <w:t xml:space="preserve">ISO Abbreviated Title: </w:t>
      </w:r>
    </w:p>
    <w:p w:rsidR="004E5B58" w:rsidRPr="001A3D2B" w:rsidRDefault="004E5B58" w:rsidP="004E5B58">
      <w:pPr>
        <w:pStyle w:val="12"/>
      </w:pPr>
      <w:r w:rsidRPr="001A3D2B">
        <w:t xml:space="preserve">JCR Abbreviated Title: </w:t>
      </w:r>
    </w:p>
    <w:p w:rsidR="004E5B58" w:rsidRPr="001A3D2B" w:rsidRDefault="004E5B58" w:rsidP="004E5B58">
      <w:pPr>
        <w:pStyle w:val="12"/>
      </w:pPr>
      <w:r w:rsidRPr="001A3D2B">
        <w:t xml:space="preserve">ISSN: </w:t>
      </w:r>
    </w:p>
    <w:p w:rsidR="004E5B58" w:rsidRPr="001A3D2B" w:rsidRDefault="004E5B58" w:rsidP="004E5B58">
      <w:pPr>
        <w:pStyle w:val="12"/>
      </w:pPr>
      <w:r w:rsidRPr="001A3D2B">
        <w:t xml:space="preserve">Issues/Year: </w:t>
      </w:r>
    </w:p>
    <w:p w:rsidR="004E5B58" w:rsidRPr="001A3D2B" w:rsidRDefault="004E5B58" w:rsidP="004E5B58">
      <w:pPr>
        <w:pStyle w:val="12"/>
      </w:pPr>
      <w:r w:rsidRPr="001A3D2B">
        <w:t xml:space="preserve">Journal Country/Territory: </w:t>
      </w:r>
    </w:p>
    <w:p w:rsidR="004E5B58" w:rsidRPr="001A3D2B" w:rsidRDefault="004E5B58" w:rsidP="004E5B58">
      <w:pPr>
        <w:pStyle w:val="12"/>
      </w:pPr>
      <w:r w:rsidRPr="001A3D2B">
        <w:t xml:space="preserve">Language: </w:t>
      </w:r>
    </w:p>
    <w:p w:rsidR="004E5B58" w:rsidRPr="001A3D2B" w:rsidRDefault="004E5B58" w:rsidP="004E5B58">
      <w:pPr>
        <w:pStyle w:val="12"/>
      </w:pPr>
      <w:r w:rsidRPr="001A3D2B">
        <w:t xml:space="preserve">Publisher: </w:t>
      </w:r>
    </w:p>
    <w:p w:rsidR="004E5B58" w:rsidRPr="001A3D2B" w:rsidRDefault="004E5B58" w:rsidP="004E5B58">
      <w:pPr>
        <w:pStyle w:val="12"/>
      </w:pPr>
      <w:r w:rsidRPr="001A3D2B">
        <w:t xml:space="preserve">Publisher Address: </w:t>
      </w:r>
    </w:p>
    <w:p w:rsidR="004E5B58" w:rsidRPr="001A3D2B" w:rsidRDefault="004E5B58" w:rsidP="004E5B58">
      <w:pPr>
        <w:pStyle w:val="12"/>
      </w:pPr>
      <w:r w:rsidRPr="001A3D2B">
        <w:t>Subject Categories:</w:t>
      </w:r>
    </w:p>
    <w:p w:rsidR="004E5B58" w:rsidRPr="001A3D2B" w:rsidRDefault="004E5B58" w:rsidP="004E5B58">
      <w:pPr>
        <w:pStyle w:val="12"/>
      </w:pPr>
      <w:r w:rsidRPr="001A3D2B">
        <w:t xml:space="preserve">: Impact Factor </w:t>
      </w:r>
    </w:p>
    <w:p w:rsidR="004E5B58" w:rsidRDefault="004E5B58" w:rsidP="004E5B58">
      <w:pPr>
        <w:pStyle w:val="a0"/>
        <w:rPr>
          <w:kern w:val="0"/>
        </w:rPr>
      </w:pPr>
      <w:r>
        <w:rPr>
          <w:rFonts w:hint="eastAsia"/>
          <w:kern w:val="0"/>
        </w:rPr>
        <w:t xml:space="preserve">? </w:t>
      </w:r>
      <w:r>
        <w:rPr>
          <w:kern w:val="0"/>
        </w:rPr>
        <w:t>Dundar, Y., Dodd, S., Strobl, J., Boland, A., Dickson, R.</w:t>
      </w:r>
      <w:r w:rsidR="00F81221">
        <w:rPr>
          <w:kern w:val="0"/>
        </w:rPr>
        <w:t xml:space="preserve"> and </w:t>
      </w:r>
      <w:r>
        <w:rPr>
          <w:kern w:val="0"/>
        </w:rPr>
        <w:t>Walley, T. (2004), Comparative efficacy of newer hypnotic drugs for the short-term management of insomnia: A systematic review</w:t>
      </w:r>
      <w:r w:rsidR="00F81221">
        <w:rPr>
          <w:kern w:val="0"/>
        </w:rPr>
        <w:t xml:space="preserve"> and </w:t>
      </w:r>
      <w:r>
        <w:rPr>
          <w:kern w:val="0"/>
        </w:rPr>
        <w:t xml:space="preserve">meta-analysis. </w:t>
      </w:r>
      <w:r w:rsidRPr="002323E8">
        <w:rPr>
          <w:i/>
          <w:iCs/>
          <w:kern w:val="0"/>
        </w:rPr>
        <w:t>Human Psychopharmacology-Clinical</w:t>
      </w:r>
      <w:r w:rsidR="00F81221">
        <w:rPr>
          <w:i/>
          <w:iCs/>
          <w:kern w:val="0"/>
        </w:rPr>
        <w:t xml:space="preserve"> and </w:t>
      </w:r>
      <w:r w:rsidRPr="002323E8">
        <w:rPr>
          <w:i/>
          <w:iCs/>
          <w:kern w:val="0"/>
        </w:rPr>
        <w:t>Experimental</w:t>
      </w:r>
      <w:r>
        <w:rPr>
          <w:kern w:val="0"/>
        </w:rPr>
        <w:t xml:space="preserve">, </w:t>
      </w:r>
      <w:r>
        <w:rPr>
          <w:b/>
          <w:bCs/>
          <w:kern w:val="0"/>
        </w:rPr>
        <w:t>19</w:t>
      </w:r>
      <w:r>
        <w:rPr>
          <w:kern w:val="0"/>
        </w:rPr>
        <w:t xml:space="preserve"> (5), 305-322.</w:t>
      </w:r>
    </w:p>
    <w:p w:rsidR="004E5B58" w:rsidRDefault="004E5B58" w:rsidP="004E5B58">
      <w:pPr>
        <w:pStyle w:val="a0"/>
        <w:rPr>
          <w:kern w:val="0"/>
        </w:rPr>
      </w:pPr>
      <w:r>
        <w:rPr>
          <w:kern w:val="0"/>
        </w:rPr>
        <w:t>Abstract: Objectives To compare the clinical effectiveness of zaleplon, zolpidem or zopiclone (Z-drugs) with either benzodiazepines licensed</w:t>
      </w:r>
      <w:r w:rsidR="00F81221">
        <w:rPr>
          <w:kern w:val="0"/>
        </w:rPr>
        <w:t xml:space="preserve"> and </w:t>
      </w:r>
      <w:r>
        <w:rPr>
          <w:kern w:val="0"/>
        </w:rPr>
        <w:t>approved for use in the UK for the short-term management of insomnia (diazepam, loprazolam, lorazepam, lormetazepam, nitrazepam, temazepam) or with each other. Methods MEDLINE, EMBASE, PsycINFO, Science Citation Index/Web of Science were searched from 1966 to March 2003</w:t>
      </w:r>
      <w:r w:rsidR="00F81221">
        <w:rPr>
          <w:kern w:val="0"/>
        </w:rPr>
        <w:t xml:space="preserve"> and </w:t>
      </w:r>
      <w:r>
        <w:rPr>
          <w:kern w:val="0"/>
        </w:rPr>
        <w:t>The Cochrane Library, reference lists of included studies</w:t>
      </w:r>
      <w:r w:rsidR="00F81221">
        <w:rPr>
          <w:kern w:val="0"/>
        </w:rPr>
        <w:t xml:space="preserve"> and </w:t>
      </w:r>
      <w:r>
        <w:rPr>
          <w:kern w:val="0"/>
        </w:rPr>
        <w:t>a number of psychopharmacology journals. Randomized controlled trials comparing either benzodiazepines with the Z-drugs or any two of the Z-drugs in patients with insomnia were included. Outcome measures included: sleep onset latency, total sleep duration, number of awakenings, quality of sleep, adverse events, tolerance, rebound insomnia</w:t>
      </w:r>
      <w:r w:rsidR="00F81221">
        <w:rPr>
          <w:kern w:val="0"/>
        </w:rPr>
        <w:t xml:space="preserve"> and </w:t>
      </w:r>
      <w:r>
        <w:rPr>
          <w:kern w:val="0"/>
        </w:rPr>
        <w:t>daytime alertness. Results</w:t>
      </w:r>
      <w:r w:rsidR="00F81221">
        <w:rPr>
          <w:kern w:val="0"/>
        </w:rPr>
        <w:t xml:space="preserve"> and </w:t>
      </w:r>
      <w:r>
        <w:rPr>
          <w:kern w:val="0"/>
        </w:rPr>
        <w:t>conclusions Twenty four eligible studies were identified with a total study population of 3909 (17 studies comparing a Z-drug with a benzodiazepine</w:t>
      </w:r>
      <w:r w:rsidR="00F81221">
        <w:rPr>
          <w:kern w:val="0"/>
        </w:rPr>
        <w:t xml:space="preserve"> and </w:t>
      </w:r>
      <w:r>
        <w:rPr>
          <w:kern w:val="0"/>
        </w:rPr>
        <w:t>7 comparing a Z-drug). Insufficient or inappropriately reported data meant that meta-analysis was possible only for a small number of outcomes. There are few clear, consistent differences between the drugs. Some evidence suggests that zaleplon gives shorter sleep latency but shorter duration of sleep than zolpidem, reflecting the pharmacological profiles of the drugs. Copyright (C) 2004 John Wiley Sons, Ltd.</w:t>
      </w:r>
    </w:p>
    <w:p w:rsidR="004E5B58" w:rsidRDefault="004E5B58" w:rsidP="004E5B58">
      <w:pPr>
        <w:pStyle w:val="a0"/>
        <w:rPr>
          <w:kern w:val="0"/>
        </w:rPr>
      </w:pPr>
      <w:r>
        <w:rPr>
          <w:kern w:val="0"/>
        </w:rPr>
        <w:t xml:space="preserve">Keywords: Behavior, Citation, Clinical Effectiveness, Cochrane, Copyright, Double-Blind, Effectiveness, Efficacy, Elderly-Patients, Embase, Health Technology </w:t>
      </w:r>
      <w:r>
        <w:rPr>
          <w:kern w:val="0"/>
        </w:rPr>
        <w:lastRenderedPageBreak/>
        <w:t>Assessment, Insomnia, Journals, Management, Medline, Meta-Analysis, Methods, Nitrazepam, Outcomes, Randomized Controlled Trials, Review, Science, Sleep, Sleep Disorders, Systematic, Systematic Review, Temazepam, Tolerance, UK, Zaleplon, Zolpidem, Zopiclone</w:t>
      </w:r>
    </w:p>
    <w:p w:rsidR="004E5B58" w:rsidRDefault="004E5B58" w:rsidP="004E5B58">
      <w:pPr>
        <w:pStyle w:val="a0"/>
        <w:rPr>
          <w:kern w:val="0"/>
        </w:rPr>
      </w:pPr>
      <w:r>
        <w:rPr>
          <w:rFonts w:hint="eastAsia"/>
          <w:kern w:val="0"/>
        </w:rPr>
        <w:t xml:space="preserve">? </w:t>
      </w:r>
      <w:r>
        <w:rPr>
          <w:kern w:val="0"/>
        </w:rPr>
        <w:t>LaPorte, E., Sarris, J., Stough, C.</w:t>
      </w:r>
      <w:r w:rsidR="00F81221">
        <w:rPr>
          <w:kern w:val="0"/>
        </w:rPr>
        <w:t xml:space="preserve"> and </w:t>
      </w:r>
      <w:r>
        <w:rPr>
          <w:kern w:val="0"/>
        </w:rPr>
        <w:t xml:space="preserve">Scholey, A. (2011), Neurocognitive effects of kava (Piper methysticum): A systematic review. </w:t>
      </w:r>
      <w:r>
        <w:rPr>
          <w:i/>
          <w:iCs/>
          <w:kern w:val="0"/>
        </w:rPr>
        <w:t>Human Psychopharmacology-Clinical</w:t>
      </w:r>
      <w:r w:rsidR="00F81221">
        <w:rPr>
          <w:i/>
          <w:iCs/>
          <w:kern w:val="0"/>
        </w:rPr>
        <w:t xml:space="preserve"> and </w:t>
      </w:r>
      <w:r>
        <w:rPr>
          <w:i/>
          <w:iCs/>
          <w:kern w:val="0"/>
        </w:rPr>
        <w:t>Experimental</w:t>
      </w:r>
      <w:r>
        <w:rPr>
          <w:kern w:val="0"/>
        </w:rPr>
        <w:t xml:space="preserve">, </w:t>
      </w:r>
      <w:r>
        <w:rPr>
          <w:b/>
          <w:bCs/>
          <w:kern w:val="0"/>
        </w:rPr>
        <w:t>26</w:t>
      </w:r>
      <w:r>
        <w:rPr>
          <w:kern w:val="0"/>
        </w:rPr>
        <w:t xml:space="preserve"> (2), 102-111.</w:t>
      </w:r>
    </w:p>
    <w:p w:rsidR="004E5B58" w:rsidRDefault="004E5B58" w:rsidP="004E5B58">
      <w:pPr>
        <w:pStyle w:val="a0"/>
        <w:rPr>
          <w:kern w:val="0"/>
        </w:rPr>
      </w:pPr>
      <w:r>
        <w:rPr>
          <w:kern w:val="0"/>
        </w:rPr>
        <w:t>Abstract: Rationale Kava (Piper methysticum) elicits dose-dependent psychotropic effects</w:t>
      </w:r>
      <w:r w:rsidR="00F81221">
        <w:rPr>
          <w:kern w:val="0"/>
        </w:rPr>
        <w:t xml:space="preserve"> and </w:t>
      </w:r>
      <w:r>
        <w:rPr>
          <w:kern w:val="0"/>
        </w:rPr>
        <w:t>thus may potentially deleteriously affect cognitive performance. Clinical trials have assessed the effects of kava on cognition, however, to our knowledge no systematic review has been conducted in this area. Objective To systematically review the effects of kava on cognition, providing an analysis of the individual study</w:t>
      </w:r>
      <w:r w:rsidR="000352E7">
        <w:rPr>
          <w:kern w:val="0"/>
        </w:rPr>
        <w:t>’</w:t>
      </w:r>
      <w:r>
        <w:rPr>
          <w:kern w:val="0"/>
        </w:rPr>
        <w:t>s methodological quality, results</w:t>
      </w:r>
      <w:r w:rsidR="00F81221">
        <w:rPr>
          <w:kern w:val="0"/>
        </w:rPr>
        <w:t xml:space="preserve"> and </w:t>
      </w:r>
      <w:r>
        <w:rPr>
          <w:kern w:val="0"/>
        </w:rPr>
        <w:t>effect sizes. Methods A systematic review was conducted of publications up to June 15th 2010, using the electronic databases MEDLINE, PsychINFO, CINAHL, Web of Science</w:t>
      </w:r>
      <w:r w:rsidR="00F81221">
        <w:rPr>
          <w:kern w:val="0"/>
        </w:rPr>
        <w:t xml:space="preserve"> and </w:t>
      </w:r>
      <w:r>
        <w:rPr>
          <w:kern w:val="0"/>
        </w:rPr>
        <w:t>The Cochrane Library. The search criteria involved kava</w:t>
      </w:r>
      <w:r w:rsidR="00F81221">
        <w:rPr>
          <w:kern w:val="0"/>
        </w:rPr>
        <w:t xml:space="preserve"> and </w:t>
      </w:r>
      <w:r>
        <w:rPr>
          <w:kern w:val="0"/>
        </w:rPr>
        <w:t>cognition related terms, e.g. memory</w:t>
      </w:r>
      <w:r w:rsidR="00F81221">
        <w:rPr>
          <w:kern w:val="0"/>
        </w:rPr>
        <w:t xml:space="preserve"> and </w:t>
      </w:r>
      <w:r>
        <w:rPr>
          <w:kern w:val="0"/>
        </w:rPr>
        <w:t>attention. Results Ten human clinical trials met inclusion criteria (acute n = 7, chronic n = 3). One acute study found that kava significantly improved visual attention</w:t>
      </w:r>
      <w:r w:rsidR="00F81221">
        <w:rPr>
          <w:kern w:val="0"/>
        </w:rPr>
        <w:t xml:space="preserve"> and </w:t>
      </w:r>
      <w:r>
        <w:rPr>
          <w:kern w:val="0"/>
        </w:rPr>
        <w:t>working memory processes while another found that kava increased body sway. One chronic study found that kava significantly impaired visual attention during high-cognitive demand. Potential enhanced cognition may be attributed to the ability of kava to inhibit re-uptake of noradrenaline in the pre-frontal cortex, while increased body sway may be due to GABA pathway modulation. Conclusions The majority of evidence suggests that kava has no replicated significant negative effects on cognition. Copyright (C) 2011 John Wiley &amp; Sons, Ltd.</w:t>
      </w:r>
    </w:p>
    <w:p w:rsidR="004E5B58" w:rsidRDefault="004E5B58" w:rsidP="004E5B58">
      <w:pPr>
        <w:pStyle w:val="a0"/>
        <w:rPr>
          <w:kern w:val="0"/>
        </w:rPr>
      </w:pPr>
      <w:r>
        <w:rPr>
          <w:kern w:val="0"/>
        </w:rPr>
        <w:t>Keywords: Adverse Effects, Analysis, Anxiety, Anxiety Disorders, Attention, Clinical Trials, Cochrane, Cognition, Cognitive Performance, Copyright, Databases, Driving, Event-Related Potentials, Extract, Human, Impairment, Inhibition, Intoxication, Kava, Kavalactones, Kavalactones, Knowledge, Medline, Memory, Methods, Noradrenaline, Oxazepam, Piper Methysticum, Prefrontal Cortex, Publications, Review, Science, Systematic, Systematic Review, Toxicity, Web of Science</w:t>
      </w:r>
    </w:p>
    <w:p w:rsidR="00435BD4" w:rsidRPr="001A3D2B" w:rsidRDefault="00435BD4" w:rsidP="00435BD4">
      <w:pPr>
        <w:pStyle w:val="1"/>
      </w:pPr>
      <w:r w:rsidRPr="001A3D2B">
        <w:br w:type="page"/>
      </w:r>
      <w:bookmarkStart w:id="666" w:name="_Toc317161056"/>
      <w:r w:rsidRPr="001A3D2B">
        <w:lastRenderedPageBreak/>
        <w:t xml:space="preserve">Title: </w:t>
      </w:r>
      <w:r w:rsidRPr="00FF466E">
        <w:t>Human Resources for Health</w:t>
      </w:r>
      <w:bookmarkEnd w:id="666"/>
    </w:p>
    <w:p w:rsidR="00435BD4" w:rsidRPr="001A3D2B" w:rsidRDefault="00435BD4" w:rsidP="00435BD4">
      <w:pPr>
        <w:pStyle w:val="12"/>
      </w:pPr>
      <w:r w:rsidRPr="001A3D2B">
        <w:t xml:space="preserve">Full Journal Title: </w:t>
      </w:r>
      <w:hyperlink r:id="rId688" w:history="1">
        <w:r w:rsidRPr="00FF466E">
          <w:rPr>
            <w:rStyle w:val="a5"/>
            <w:iCs/>
          </w:rPr>
          <w:t>Human Resources for Health</w:t>
        </w:r>
      </w:hyperlink>
    </w:p>
    <w:p w:rsidR="00435BD4" w:rsidRPr="001A3D2B" w:rsidRDefault="00435BD4" w:rsidP="00435BD4">
      <w:pPr>
        <w:pStyle w:val="12"/>
      </w:pPr>
      <w:r w:rsidRPr="001A3D2B">
        <w:t xml:space="preserve">ISO Abbreviated Title: </w:t>
      </w:r>
    </w:p>
    <w:p w:rsidR="00435BD4" w:rsidRPr="001A3D2B" w:rsidRDefault="00435BD4" w:rsidP="00435BD4">
      <w:pPr>
        <w:pStyle w:val="12"/>
      </w:pPr>
      <w:r w:rsidRPr="001A3D2B">
        <w:t xml:space="preserve">JCR Abbreviated Title: </w:t>
      </w:r>
    </w:p>
    <w:p w:rsidR="00435BD4" w:rsidRPr="001A3D2B" w:rsidRDefault="00435BD4" w:rsidP="00435BD4">
      <w:pPr>
        <w:pStyle w:val="12"/>
      </w:pPr>
      <w:r w:rsidRPr="001A3D2B">
        <w:t xml:space="preserve">ISSN: </w:t>
      </w:r>
    </w:p>
    <w:p w:rsidR="00435BD4" w:rsidRPr="001A3D2B" w:rsidRDefault="00435BD4" w:rsidP="00435BD4">
      <w:pPr>
        <w:pStyle w:val="12"/>
      </w:pPr>
      <w:r w:rsidRPr="001A3D2B">
        <w:t xml:space="preserve">Issues/Year: </w:t>
      </w:r>
    </w:p>
    <w:p w:rsidR="00435BD4" w:rsidRPr="001A3D2B" w:rsidRDefault="00435BD4" w:rsidP="00435BD4">
      <w:pPr>
        <w:pStyle w:val="12"/>
      </w:pPr>
      <w:r w:rsidRPr="001A3D2B">
        <w:t xml:space="preserve">Journal Country/Territory: </w:t>
      </w:r>
    </w:p>
    <w:p w:rsidR="00435BD4" w:rsidRPr="001A3D2B" w:rsidRDefault="00435BD4" w:rsidP="00435BD4">
      <w:pPr>
        <w:pStyle w:val="12"/>
      </w:pPr>
      <w:r w:rsidRPr="001A3D2B">
        <w:t xml:space="preserve">Language: </w:t>
      </w:r>
    </w:p>
    <w:p w:rsidR="00435BD4" w:rsidRPr="001A3D2B" w:rsidRDefault="00435BD4" w:rsidP="00435BD4">
      <w:pPr>
        <w:pStyle w:val="12"/>
      </w:pPr>
      <w:r w:rsidRPr="001A3D2B">
        <w:t xml:space="preserve">Publisher: </w:t>
      </w:r>
    </w:p>
    <w:p w:rsidR="00435BD4" w:rsidRPr="001A3D2B" w:rsidRDefault="00435BD4" w:rsidP="00435BD4">
      <w:pPr>
        <w:pStyle w:val="12"/>
      </w:pPr>
      <w:r w:rsidRPr="001A3D2B">
        <w:t xml:space="preserve">Publisher Address: </w:t>
      </w:r>
    </w:p>
    <w:p w:rsidR="00435BD4" w:rsidRPr="001A3D2B" w:rsidRDefault="00435BD4" w:rsidP="00435BD4">
      <w:pPr>
        <w:pStyle w:val="12"/>
      </w:pPr>
      <w:r w:rsidRPr="001A3D2B">
        <w:t>Subject Categories:</w:t>
      </w:r>
    </w:p>
    <w:p w:rsidR="00435BD4" w:rsidRPr="001A3D2B" w:rsidRDefault="00435BD4" w:rsidP="00435BD4">
      <w:pPr>
        <w:pStyle w:val="12"/>
      </w:pPr>
      <w:r w:rsidRPr="001A3D2B">
        <w:t xml:space="preserve">: Impact Factor </w:t>
      </w:r>
    </w:p>
    <w:p w:rsidR="00435BD4" w:rsidRDefault="00435BD4" w:rsidP="00435BD4">
      <w:pPr>
        <w:pStyle w:val="a0"/>
        <w:rPr>
          <w:kern w:val="0"/>
        </w:rPr>
      </w:pPr>
      <w:r>
        <w:rPr>
          <w:rFonts w:hint="eastAsia"/>
          <w:kern w:val="0"/>
        </w:rPr>
        <w:t xml:space="preserve">? </w:t>
      </w:r>
      <w:r>
        <w:rPr>
          <w:kern w:val="0"/>
        </w:rPr>
        <w:t xml:space="preserve">Evers, J.L.H. (2000), Publication bias in reproductive research. </w:t>
      </w:r>
      <w:r>
        <w:rPr>
          <w:i/>
          <w:iCs/>
          <w:kern w:val="0"/>
        </w:rPr>
        <w:t>Human Reproduction</w:t>
      </w:r>
      <w:r>
        <w:rPr>
          <w:kern w:val="0"/>
        </w:rPr>
        <w:t xml:space="preserve">, </w:t>
      </w:r>
      <w:r>
        <w:rPr>
          <w:b/>
          <w:bCs/>
          <w:kern w:val="0"/>
        </w:rPr>
        <w:t>15</w:t>
      </w:r>
      <w:r>
        <w:rPr>
          <w:kern w:val="0"/>
        </w:rPr>
        <w:t xml:space="preserve"> (10), 2063-2066.</w:t>
      </w:r>
    </w:p>
    <w:p w:rsidR="00435BD4" w:rsidRDefault="00435BD4" w:rsidP="00435BD4">
      <w:pPr>
        <w:pStyle w:val="a0"/>
        <w:rPr>
          <w:kern w:val="0"/>
        </w:rPr>
      </w:pPr>
      <w:r>
        <w:rPr>
          <w:rFonts w:hint="eastAsia"/>
        </w:rPr>
        <w:t xml:space="preserve">Full Text: </w:t>
      </w:r>
      <w:hyperlink r:id="rId689" w:history="1">
        <w:r w:rsidRPr="00B47DB8">
          <w:rPr>
            <w:rStyle w:val="a5"/>
          </w:rPr>
          <w:t>2000\Hum Rep15, 2063.pdf</w:t>
        </w:r>
      </w:hyperlink>
    </w:p>
    <w:p w:rsidR="00435BD4" w:rsidRDefault="00435BD4" w:rsidP="00435BD4">
      <w:pPr>
        <w:pStyle w:val="a0"/>
        <w:rPr>
          <w:kern w:val="0"/>
        </w:rPr>
      </w:pPr>
      <w:r>
        <w:rPr>
          <w:kern w:val="0"/>
        </w:rPr>
        <w:t>Abstract: Publication bias is defined as any tendency on the part of investigators or editors to fail to publish study results on the basis of the direction or strength of the findings. This may lead to overestimation of treatment effects in published work. Inappropriate decisions about patient management may result. We investigated what proportion of abstracts at the European Society of Human Reproduction</w:t>
      </w:r>
      <w:r w:rsidR="00F81221">
        <w:rPr>
          <w:kern w:val="0"/>
        </w:rPr>
        <w:t xml:space="preserve"> and </w:t>
      </w:r>
      <w:r>
        <w:rPr>
          <w:kern w:val="0"/>
        </w:rPr>
        <w:t>Embryology (ESHRE) annual meeting eventually reached full publication, what was the time to publication,</w:t>
      </w:r>
      <w:r w:rsidR="00F81221">
        <w:rPr>
          <w:kern w:val="0"/>
        </w:rPr>
        <w:t xml:space="preserve"> and </w:t>
      </w:r>
      <w:r>
        <w:rPr>
          <w:kern w:val="0"/>
        </w:rPr>
        <w:t>which factors might have affected publication. Among the 2691 abstracts of six ESHRE annual meetings, 151 (5.6%) reporting randomized controlled trials (RCT) were identified. Comprehensive searches of electronic databases</w:t>
      </w:r>
      <w:r w:rsidR="00F81221">
        <w:rPr>
          <w:kern w:val="0"/>
        </w:rPr>
        <w:t xml:space="preserve"> and </w:t>
      </w:r>
      <w:r>
        <w:rPr>
          <w:kern w:val="0"/>
        </w:rPr>
        <w:t>handsearching of the two major journals in the field yielded 79 full publications pertaining to these abstracts. Kaplan-Meier analysis estimated 56% of RCT abstracts to be eventually published in full, the median time to publication being 32.5 months. Positive outcome (i,e, significant results) did not affect the publication rate,</w:t>
      </w:r>
      <w:r w:rsidR="00F81221">
        <w:rPr>
          <w:kern w:val="0"/>
        </w:rPr>
        <w:t xml:space="preserve"> and </w:t>
      </w:r>
      <w:r>
        <w:rPr>
          <w:kern w:val="0"/>
        </w:rPr>
        <w:t>neither did sample size, the subject category, or the native language (English/non-English) of the country of origin. Oral presentations resulted in eventual full publication significantly more frequently (69%) than posters (42%), It is concluded that a considerable publication deficit, but not a publication bias, exists for RCT in reproductive research.</w:t>
      </w:r>
    </w:p>
    <w:p w:rsidR="00435BD4" w:rsidRDefault="00435BD4" w:rsidP="00435BD4">
      <w:pPr>
        <w:pStyle w:val="a0"/>
        <w:rPr>
          <w:kern w:val="0"/>
        </w:rPr>
      </w:pPr>
      <w:r>
        <w:rPr>
          <w:kern w:val="0"/>
        </w:rPr>
        <w:t>Keywords: Abstract Follow-Up, Abstract Publication, Abstracts, Author, Bias, Databases, Eshre Annual Meeting, Human, Journals, Publication, Publication Bias, Publication Deficit, Publications, Randomized Controlled Trials, Research, Subject Category, Trials</w:t>
      </w:r>
    </w:p>
    <w:p w:rsidR="004E5B58" w:rsidRDefault="004E5B58" w:rsidP="004E5B58">
      <w:pPr>
        <w:pStyle w:val="a0"/>
        <w:rPr>
          <w:kern w:val="0"/>
        </w:rPr>
      </w:pPr>
      <w:r>
        <w:rPr>
          <w:rFonts w:hint="eastAsia"/>
          <w:kern w:val="0"/>
        </w:rPr>
        <w:lastRenderedPageBreak/>
        <w:t xml:space="preserve">? </w:t>
      </w:r>
      <w:r>
        <w:rPr>
          <w:kern w:val="0"/>
        </w:rPr>
        <w:t>Bedaiwy, M.A., El-Nashar, S.A., El Saman, A.M., Evers, J.L.H., Sandadi, S., Desai, N.</w:t>
      </w:r>
      <w:r w:rsidR="00F81221">
        <w:rPr>
          <w:kern w:val="0"/>
        </w:rPr>
        <w:t xml:space="preserve"> and </w:t>
      </w:r>
      <w:r>
        <w:rPr>
          <w:kern w:val="0"/>
        </w:rPr>
        <w:t xml:space="preserve">Falcone, T. (2008), Reproductive outcome after transplantation of ovarian tissue: A systematic review. </w:t>
      </w:r>
      <w:r>
        <w:rPr>
          <w:i/>
          <w:iCs/>
          <w:kern w:val="0"/>
        </w:rPr>
        <w:t>Human Reproduction</w:t>
      </w:r>
      <w:r>
        <w:rPr>
          <w:kern w:val="0"/>
        </w:rPr>
        <w:t xml:space="preserve">, </w:t>
      </w:r>
      <w:r>
        <w:rPr>
          <w:b/>
          <w:bCs/>
          <w:kern w:val="0"/>
        </w:rPr>
        <w:t>23</w:t>
      </w:r>
      <w:r>
        <w:rPr>
          <w:kern w:val="0"/>
        </w:rPr>
        <w:t xml:space="preserve"> (12), 2709-2717.</w:t>
      </w:r>
    </w:p>
    <w:p w:rsidR="004E5B58" w:rsidRDefault="004E5B58" w:rsidP="004E5B58">
      <w:pPr>
        <w:pStyle w:val="a0"/>
        <w:rPr>
          <w:kern w:val="0"/>
        </w:rPr>
      </w:pPr>
      <w:r>
        <w:rPr>
          <w:rFonts w:hint="eastAsia"/>
        </w:rPr>
        <w:t xml:space="preserve">Full Text: </w:t>
      </w:r>
      <w:r>
        <w:t>200</w:t>
      </w:r>
      <w:r>
        <w:rPr>
          <w:rFonts w:hint="eastAsia"/>
        </w:rPr>
        <w:t>8</w:t>
      </w:r>
      <w:r>
        <w:t>\Hum Rep</w:t>
      </w:r>
      <w:r>
        <w:rPr>
          <w:rFonts w:hint="eastAsia"/>
        </w:rPr>
        <w:t>23</w:t>
      </w:r>
      <w:r>
        <w:t xml:space="preserve">, </w:t>
      </w:r>
      <w:r>
        <w:rPr>
          <w:rFonts w:hint="eastAsia"/>
        </w:rPr>
        <w:t>2709</w:t>
      </w:r>
      <w:r w:rsidRPr="004C6EFE">
        <w:t>.pdf</w:t>
      </w:r>
    </w:p>
    <w:p w:rsidR="004E5B58" w:rsidRDefault="004E5B58" w:rsidP="004E5B58">
      <w:pPr>
        <w:pStyle w:val="a0"/>
        <w:rPr>
          <w:kern w:val="0"/>
        </w:rPr>
      </w:pPr>
      <w:r>
        <w:rPr>
          <w:kern w:val="0"/>
        </w:rPr>
        <w:t>Abstract: Despite interest in ovarian tissue transplantation (OTT) as a promising procedure for fertility preservation, to date, no precise data are available about its effectiveness. We systematically reviewed reproductive function after OTT for fertility preservation in women at high risk of premature ovarian failure (POF). We searched the MEDLINE, EMBASE, Cochrane Systematic Reviews, CENTRAL, Web of Science</w:t>
      </w:r>
      <w:r w:rsidR="00F81221">
        <w:rPr>
          <w:kern w:val="0"/>
        </w:rPr>
        <w:t xml:space="preserve"> and </w:t>
      </w:r>
      <w:r>
        <w:rPr>
          <w:kern w:val="0"/>
        </w:rPr>
        <w:t>Scopus databases for studies on the reproductive outcomes after OTT in humans up to June 2007. Women with follicle-stimulating hormone (FSH) &gt; 30 IU/l at the time of OTT were included in a meta-analysis of individual-patient data to evaluate the time to re-establishment of ovarian function (ROF). Secondary outcomes included short-term (&lt; 12 months)</w:t>
      </w:r>
      <w:r w:rsidR="00F81221">
        <w:rPr>
          <w:kern w:val="0"/>
        </w:rPr>
        <w:t xml:space="preserve"> and </w:t>
      </w:r>
      <w:r>
        <w:rPr>
          <w:kern w:val="0"/>
        </w:rPr>
        <w:t>long-term (&gt; 12 months) ovarian function (OVF)</w:t>
      </w:r>
      <w:r w:rsidR="00F81221">
        <w:rPr>
          <w:kern w:val="0"/>
        </w:rPr>
        <w:t xml:space="preserve"> and </w:t>
      </w:r>
      <w:r>
        <w:rPr>
          <w:kern w:val="0"/>
        </w:rPr>
        <w:t>pregnancy after OTT. We identified 25 reports including 46 unique cases. OTT was performed to treat POF in 27 women, to prevent POF in 15, to treat infertility in 2</w:t>
      </w:r>
      <w:r w:rsidR="00F81221">
        <w:rPr>
          <w:kern w:val="0"/>
        </w:rPr>
        <w:t xml:space="preserve"> and </w:t>
      </w:r>
      <w:r>
        <w:rPr>
          <w:kern w:val="0"/>
        </w:rPr>
        <w:t>accidentally in 1. In 23 women with FSH &gt; 30 at the time of OTT, OVF was re-established with a median time to ROF of 120 days (range 60-244). Within 6 months after ROF, four women had recurrent ovarian failure. There are insufficient data to evaluate the long-term OVF (&gt; 12 months). Fresh grafts had an increased likelihood of return of OVF</w:t>
      </w:r>
      <w:r w:rsidR="00F81221">
        <w:rPr>
          <w:kern w:val="0"/>
        </w:rPr>
        <w:t xml:space="preserve"> and </w:t>
      </w:r>
      <w:r>
        <w:rPr>
          <w:kern w:val="0"/>
        </w:rPr>
        <w:t>a decreased likelihood for recurrent ovarian failure compared with cryopreserved grafts [HR of 2.44 (95% CI 0.92, 6.49)</w:t>
      </w:r>
      <w:r w:rsidR="00F81221">
        <w:rPr>
          <w:kern w:val="0"/>
        </w:rPr>
        <w:t xml:space="preserve"> and </w:t>
      </w:r>
      <w:r>
        <w:rPr>
          <w:kern w:val="0"/>
        </w:rPr>
        <w:t>0.47 (95% CI 0.18, 1.12), respectively]. In 25 women who sought pregnancy, eight women had nine pregnancies at 12 months, giving a cumulative pregnancy rate of 37% (95% CI 19, 60). Transplantation of ovarian tissue can re-establish OVF after POF; however, the efficacy of OTT using cryopreserved tissues is not yet equivalent to that of fresh grafts. A controlled multicenter trial with sufficient follow-up would provide valid evidence of the potential benefit of this procedure.</w:t>
      </w:r>
    </w:p>
    <w:p w:rsidR="004E5B58" w:rsidRDefault="004E5B58" w:rsidP="004E5B58">
      <w:pPr>
        <w:pStyle w:val="a0"/>
        <w:rPr>
          <w:kern w:val="0"/>
        </w:rPr>
      </w:pPr>
      <w:r>
        <w:rPr>
          <w:kern w:val="0"/>
        </w:rPr>
        <w:t>Keywords: Autologous Transplantation, Bone-Marrow-Transplantation, Cancer, Cochrane, Cortical Strips, Cryopreservation, Databases, Effectiveness, Efficacy, Embase, Follow-Up, Heterotopic Autotransplantation, Humans, Intact Human Ovary, Interest, Medline, Meta-Analysis, Monozygotic Twins Discordant, Oocyte Retrieval, Outcome, Outcomes, Pregnancy, Review, Risk, Science, Scopus, Systematic, Systematic Review, Vascular Pedicle, Web of Science, Women</w:t>
      </w:r>
    </w:p>
    <w:p w:rsidR="004E5B58" w:rsidRDefault="004E5B58" w:rsidP="004E5B58">
      <w:pPr>
        <w:pStyle w:val="a0"/>
        <w:rPr>
          <w:kern w:val="0"/>
        </w:rPr>
      </w:pPr>
      <w:r>
        <w:rPr>
          <w:rFonts w:hint="eastAsia"/>
          <w:kern w:val="0"/>
        </w:rPr>
        <w:t xml:space="preserve">? </w:t>
      </w:r>
      <w:r>
        <w:rPr>
          <w:kern w:val="0"/>
        </w:rPr>
        <w:t>Sunkara, S.K., Khairy, M., El-Toukhy, T., Khalaf, Y.</w:t>
      </w:r>
      <w:r w:rsidR="00F81221">
        <w:rPr>
          <w:kern w:val="0"/>
        </w:rPr>
        <w:t xml:space="preserve"> and </w:t>
      </w:r>
      <w:r>
        <w:rPr>
          <w:kern w:val="0"/>
        </w:rPr>
        <w:t>Coomarasamy, A. (2010), The effect of intramural fibroids without uterine cavity involvement on the outcome of IVF treatment: A systematic review</w:t>
      </w:r>
      <w:r w:rsidR="00F81221">
        <w:rPr>
          <w:kern w:val="0"/>
        </w:rPr>
        <w:t xml:space="preserve"> and </w:t>
      </w:r>
      <w:r>
        <w:rPr>
          <w:kern w:val="0"/>
        </w:rPr>
        <w:t xml:space="preserve">meta-analysis. </w:t>
      </w:r>
      <w:r>
        <w:rPr>
          <w:i/>
          <w:iCs/>
          <w:kern w:val="0"/>
        </w:rPr>
        <w:t>Human Reproduction</w:t>
      </w:r>
      <w:r>
        <w:rPr>
          <w:kern w:val="0"/>
        </w:rPr>
        <w:t xml:space="preserve">, </w:t>
      </w:r>
      <w:r>
        <w:rPr>
          <w:b/>
          <w:bCs/>
          <w:kern w:val="0"/>
        </w:rPr>
        <w:t>25</w:t>
      </w:r>
      <w:r>
        <w:rPr>
          <w:kern w:val="0"/>
        </w:rPr>
        <w:t xml:space="preserve"> (2), 418-429.</w:t>
      </w:r>
    </w:p>
    <w:p w:rsidR="004E5B58" w:rsidRDefault="004E5B58" w:rsidP="004E5B58">
      <w:pPr>
        <w:pStyle w:val="a0"/>
        <w:rPr>
          <w:kern w:val="0"/>
        </w:rPr>
      </w:pPr>
      <w:r>
        <w:rPr>
          <w:rFonts w:hint="eastAsia"/>
        </w:rPr>
        <w:t xml:space="preserve">Full Text: </w:t>
      </w:r>
      <w:r>
        <w:t>200</w:t>
      </w:r>
      <w:r>
        <w:rPr>
          <w:rFonts w:hint="eastAsia"/>
        </w:rPr>
        <w:t>8</w:t>
      </w:r>
      <w:r>
        <w:t>\Hum Rep</w:t>
      </w:r>
      <w:r>
        <w:rPr>
          <w:rFonts w:hint="eastAsia"/>
        </w:rPr>
        <w:t>25</w:t>
      </w:r>
      <w:r>
        <w:t xml:space="preserve">, </w:t>
      </w:r>
      <w:r>
        <w:rPr>
          <w:rFonts w:hint="eastAsia"/>
        </w:rPr>
        <w:t>418</w:t>
      </w:r>
      <w:r w:rsidRPr="004C6EFE">
        <w:t>.pdf</w:t>
      </w:r>
    </w:p>
    <w:p w:rsidR="004E5B58" w:rsidRDefault="004E5B58" w:rsidP="004E5B58">
      <w:pPr>
        <w:pStyle w:val="a0"/>
        <w:rPr>
          <w:kern w:val="0"/>
        </w:rPr>
      </w:pPr>
      <w:r>
        <w:rPr>
          <w:kern w:val="0"/>
        </w:rPr>
        <w:lastRenderedPageBreak/>
        <w:t>Abstract: The influence of fibroids on fertility is poorly understood. Submucosal</w:t>
      </w:r>
      <w:r w:rsidR="00F81221">
        <w:rPr>
          <w:kern w:val="0"/>
        </w:rPr>
        <w:t xml:space="preserve"> and </w:t>
      </w:r>
      <w:r>
        <w:rPr>
          <w:kern w:val="0"/>
        </w:rPr>
        <w:t>intramural fibroids that distort the endometrial cavity have been associated with decreased pregnancy rates (PRs) following IVF treatment. However, there is uncertainty about the effect of intramural fibroids that do not distort the endometrial cavity on IVF outcomes. We conducted a systematic review</w:t>
      </w:r>
      <w:r w:rsidR="00F81221">
        <w:rPr>
          <w:kern w:val="0"/>
        </w:rPr>
        <w:t xml:space="preserve"> and </w:t>
      </w:r>
      <w:r>
        <w:rPr>
          <w:kern w:val="0"/>
        </w:rPr>
        <w:t>meta-analysis of studies to evaluate the association between non-cavity-distorting intramural fibroids</w:t>
      </w:r>
      <w:r w:rsidR="00F81221">
        <w:rPr>
          <w:kern w:val="0"/>
        </w:rPr>
        <w:t xml:space="preserve"> and </w:t>
      </w:r>
      <w:r>
        <w:rPr>
          <w:kern w:val="0"/>
        </w:rPr>
        <w:t>IVF outcome. Searches were conducted on MEDLINE, EMBASE, Cochrane Library</w:t>
      </w:r>
      <w:r w:rsidR="00F81221">
        <w:rPr>
          <w:kern w:val="0"/>
        </w:rPr>
        <w:t xml:space="preserve"> and </w:t>
      </w:r>
      <w:r>
        <w:rPr>
          <w:kern w:val="0"/>
        </w:rPr>
        <w:t>Web of Science. Study selection</w:t>
      </w:r>
      <w:r w:rsidR="00F81221">
        <w:rPr>
          <w:kern w:val="0"/>
        </w:rPr>
        <w:t xml:space="preserve"> and </w:t>
      </w:r>
      <w:r>
        <w:rPr>
          <w:kern w:val="0"/>
        </w:rPr>
        <w:t>data extraction were conducted independently by two reviewers. The Newcastle-Ottawa Quality Assessment Scales were used for quality assessment. Meta-analysis was performed if appropriate. We identified 19 observational studies comprising 6087 IVF cycles. Meta-analysis of these studies showed a significant decrease in the live birth (RR = 0.79, 95% CI: 0.70-0.88, P &lt; 0.0001)</w:t>
      </w:r>
      <w:r w:rsidR="00F81221">
        <w:rPr>
          <w:kern w:val="0"/>
        </w:rPr>
        <w:t xml:space="preserve"> and </w:t>
      </w:r>
      <w:r>
        <w:rPr>
          <w:kern w:val="0"/>
        </w:rPr>
        <w:t>clinical PRs (RR = 0.85, 95% CI: 0.77-0.94, P = 0.002) in women with non-cavity-distorting intramural fibroids compared with those without fibroids, following IVF treatment. The presence of non-cavity-distorting intramural fibroids is associated with adverse pregnancy outcomes in women undergoing IVF treatment.</w:t>
      </w:r>
    </w:p>
    <w:p w:rsidR="004E5B58" w:rsidRDefault="004E5B58" w:rsidP="004E5B58">
      <w:pPr>
        <w:pStyle w:val="a0"/>
        <w:rPr>
          <w:kern w:val="0"/>
        </w:rPr>
      </w:pPr>
      <w:r>
        <w:rPr>
          <w:kern w:val="0"/>
        </w:rPr>
        <w:t>Keywords: Assessment, Assisted Conception, Cochrane, Embase, Endometrial Cavity, Fertility, Hysteroscopic Myomectomy, Impact, In-Vitro Fertilization, Intramural Fibroids, Involvement, Ivf, Leiomyomas, Medline, Meta Analysis, Meta-Analysis, Myomas, Observational Studies, Outcome, Outcomes, Pregnancy, Quality, Reproduction, Review, Science, Subserosal, Systematic, Systematic Review, Treatment, Web of Science, Women</w:t>
      </w:r>
    </w:p>
    <w:p w:rsidR="004E5B58" w:rsidRDefault="004E5B58" w:rsidP="004E5B58">
      <w:pPr>
        <w:pStyle w:val="a0"/>
        <w:rPr>
          <w:kern w:val="0"/>
        </w:rPr>
      </w:pPr>
      <w:r>
        <w:rPr>
          <w:rFonts w:hint="eastAsia"/>
          <w:kern w:val="0"/>
        </w:rPr>
        <w:t xml:space="preserve">? </w:t>
      </w:r>
      <w:r>
        <w:rPr>
          <w:kern w:val="0"/>
        </w:rPr>
        <w:t>Sunkara, S.K., Siozos, A., Bolton, V.N., Khalaf, Y., Braude, P.R.</w:t>
      </w:r>
      <w:r w:rsidR="00F81221">
        <w:rPr>
          <w:kern w:val="0"/>
        </w:rPr>
        <w:t xml:space="preserve"> and </w:t>
      </w:r>
      <w:r>
        <w:rPr>
          <w:kern w:val="0"/>
        </w:rPr>
        <w:t>El-Toukhy, T. (2010), The influence of delayed blastocyst formation on the outcome of frozen-thawed blastocyst transfer: A systematic review</w:t>
      </w:r>
      <w:r w:rsidR="00F81221">
        <w:rPr>
          <w:kern w:val="0"/>
        </w:rPr>
        <w:t xml:space="preserve"> and </w:t>
      </w:r>
      <w:r>
        <w:rPr>
          <w:kern w:val="0"/>
        </w:rPr>
        <w:t xml:space="preserve">meta-analysis. </w:t>
      </w:r>
      <w:r>
        <w:rPr>
          <w:i/>
          <w:iCs/>
          <w:kern w:val="0"/>
        </w:rPr>
        <w:t>Human Reproduction</w:t>
      </w:r>
      <w:r>
        <w:rPr>
          <w:kern w:val="0"/>
        </w:rPr>
        <w:t xml:space="preserve">, </w:t>
      </w:r>
      <w:r>
        <w:rPr>
          <w:b/>
          <w:bCs/>
          <w:kern w:val="0"/>
        </w:rPr>
        <w:t>25</w:t>
      </w:r>
      <w:r>
        <w:rPr>
          <w:kern w:val="0"/>
        </w:rPr>
        <w:t xml:space="preserve"> (8), 1906-1915.</w:t>
      </w:r>
    </w:p>
    <w:p w:rsidR="004E5B58" w:rsidRDefault="004E5B58" w:rsidP="004E5B58">
      <w:pPr>
        <w:pStyle w:val="a0"/>
        <w:rPr>
          <w:kern w:val="0"/>
        </w:rPr>
      </w:pPr>
      <w:r>
        <w:rPr>
          <w:rFonts w:hint="eastAsia"/>
        </w:rPr>
        <w:t xml:space="preserve">Full Text: </w:t>
      </w:r>
      <w:r>
        <w:t>20</w:t>
      </w:r>
      <w:r>
        <w:rPr>
          <w:rFonts w:hint="eastAsia"/>
        </w:rPr>
        <w:t>10</w:t>
      </w:r>
      <w:r>
        <w:t>\Hum Rep</w:t>
      </w:r>
      <w:r>
        <w:rPr>
          <w:rFonts w:hint="eastAsia"/>
        </w:rPr>
        <w:t>25</w:t>
      </w:r>
      <w:r>
        <w:t xml:space="preserve">, </w:t>
      </w:r>
      <w:r>
        <w:rPr>
          <w:rFonts w:hint="eastAsia"/>
        </w:rPr>
        <w:t>1906</w:t>
      </w:r>
      <w:r w:rsidRPr="004C6EFE">
        <w:t>.pdf</w:t>
      </w:r>
    </w:p>
    <w:p w:rsidR="004E5B58" w:rsidRDefault="004E5B58" w:rsidP="004E5B58">
      <w:pPr>
        <w:pStyle w:val="a0"/>
        <w:rPr>
          <w:kern w:val="0"/>
        </w:rPr>
      </w:pPr>
      <w:r>
        <w:rPr>
          <w:kern w:val="0"/>
        </w:rPr>
        <w:t>Abstract: There are conflicting results on whether the rate of blastocyst development before freezing influences the outcome of frozen-thawed blastocyst transfers. We conducted a systematic review</w:t>
      </w:r>
      <w:r w:rsidR="00F81221">
        <w:rPr>
          <w:kern w:val="0"/>
        </w:rPr>
        <w:t xml:space="preserve"> and </w:t>
      </w:r>
      <w:r>
        <w:rPr>
          <w:kern w:val="0"/>
        </w:rPr>
        <w:t>meta-analysis of controlled studies to compare pregnancy outcomes following transfer of thawed blastocysts that were frozen either on Day 5 or Day 6 following fertilization in vitro. Searches were conducted on MEDLINE, EMBASE, Cochrane Library</w:t>
      </w:r>
      <w:r w:rsidR="00F81221">
        <w:rPr>
          <w:kern w:val="0"/>
        </w:rPr>
        <w:t xml:space="preserve"> and </w:t>
      </w:r>
      <w:r>
        <w:rPr>
          <w:kern w:val="0"/>
        </w:rPr>
        <w:t>Web of Science. Study selection</w:t>
      </w:r>
      <w:r w:rsidR="00F81221">
        <w:rPr>
          <w:kern w:val="0"/>
        </w:rPr>
        <w:t xml:space="preserve"> and </w:t>
      </w:r>
      <w:r>
        <w:rPr>
          <w:kern w:val="0"/>
        </w:rPr>
        <w:t xml:space="preserve">data extraction were conducted independently by two reviewers. The Newcastle-Ottawa Quality Assessment Scale was used for quality assessment. We identified 15 controlled studies comprising 2502 frozen-thawed transfers involving blastocysts that were either frozen on Day 5 or Day 6. Meta-analysis of these studies showed significantly higher clinical pregnancy rate [relative risk (RR) = 1.14, 95% </w:t>
      </w:r>
      <w:r>
        <w:rPr>
          <w:kern w:val="0"/>
        </w:rPr>
        <w:lastRenderedPageBreak/>
        <w:t>confidence interval (CI): 1.03-1.26, P = 0.01]</w:t>
      </w:r>
      <w:r w:rsidR="00F81221">
        <w:rPr>
          <w:kern w:val="0"/>
        </w:rPr>
        <w:t xml:space="preserve"> and </w:t>
      </w:r>
      <w:r>
        <w:rPr>
          <w:kern w:val="0"/>
        </w:rPr>
        <w:t>ongoing pregnancy/live birth rate (RR = 1.15, 95% CI: 1.01-1.30, P = 0.03) with Day 5 compared with Day 6 frozen-thawed blastocyst transfers. Sensitivity analysis of those studies where blastocysts frozen on Day 5 or Day 6 were at the same stage of development showed no significant difference in the clinical pregnancy rate (RR = 1.07, 95% CI: 0.87-1.33, P = 0.51)</w:t>
      </w:r>
      <w:r w:rsidR="00F81221">
        <w:rPr>
          <w:kern w:val="0"/>
        </w:rPr>
        <w:t xml:space="preserve"> and </w:t>
      </w:r>
      <w:r>
        <w:rPr>
          <w:kern w:val="0"/>
        </w:rPr>
        <w:t>ongoing pregnancy/live birth rate (RR = 1.08, 95% CI: 0.92-1.27, P = 0.36). Slower developing blastocysts cryopreserved on Day 6 but at the same stage of development as those developing to the blastocyst stage on Day 5 have similar clinical pregnancy</w:t>
      </w:r>
      <w:r w:rsidR="00F81221">
        <w:rPr>
          <w:kern w:val="0"/>
        </w:rPr>
        <w:t xml:space="preserve"> and </w:t>
      </w:r>
      <w:r>
        <w:rPr>
          <w:kern w:val="0"/>
        </w:rPr>
        <w:t>ongoing pregnancy/live birth rates following frozen-thawed blastocyst transfers.</w:t>
      </w:r>
    </w:p>
    <w:p w:rsidR="004E5B58" w:rsidRDefault="004E5B58" w:rsidP="004E5B58">
      <w:pPr>
        <w:pStyle w:val="a0"/>
        <w:rPr>
          <w:kern w:val="0"/>
        </w:rPr>
      </w:pPr>
      <w:r>
        <w:rPr>
          <w:kern w:val="0"/>
        </w:rPr>
        <w:t>Keywords: Analysis, Assessment, Blastocysts, Cochrane, Controlled Studies, Cryopreservation, Cryopreservation, Cycles, Day-6 Blastocysts, Development, Embase, Embryo Transfers, Frozen-Thawed Blastocyst Transfer, In-Vitro Fertilization, Medline, Meta Analysis, Meta-Analysis, Outcome, Outcomes, Pregnancy, Pregnancy Rates, Quality, Review, Risk, Scale, Science, Systematic, Systematic Review, Trials, Vitrification, Web of Science</w:t>
      </w:r>
    </w:p>
    <w:p w:rsidR="004E5B58" w:rsidRPr="001A3D2B" w:rsidRDefault="004E5B58" w:rsidP="004E5B58">
      <w:pPr>
        <w:pStyle w:val="1"/>
      </w:pPr>
      <w:r w:rsidRPr="001A3D2B">
        <w:br w:type="page"/>
      </w:r>
      <w:bookmarkStart w:id="667" w:name="_Toc317161057"/>
      <w:r w:rsidRPr="001A3D2B">
        <w:lastRenderedPageBreak/>
        <w:t xml:space="preserve">Title: </w:t>
      </w:r>
      <w:r w:rsidRPr="004E5B58">
        <w:rPr>
          <w:iCs/>
        </w:rPr>
        <w:t>Human Reproduction Update</w:t>
      </w:r>
      <w:bookmarkEnd w:id="667"/>
    </w:p>
    <w:p w:rsidR="004E5B58" w:rsidRPr="001A3D2B" w:rsidRDefault="004E5B58" w:rsidP="004E5B58">
      <w:pPr>
        <w:pStyle w:val="12"/>
      </w:pPr>
      <w:r w:rsidRPr="001A3D2B">
        <w:t xml:space="preserve">Full Journal Title: </w:t>
      </w:r>
      <w:r w:rsidRPr="004E5B58">
        <w:rPr>
          <w:iCs/>
        </w:rPr>
        <w:t>Human Reproduction Update</w:t>
      </w:r>
    </w:p>
    <w:p w:rsidR="004E5B58" w:rsidRPr="001A3D2B" w:rsidRDefault="004E5B58" w:rsidP="004E5B58">
      <w:pPr>
        <w:pStyle w:val="12"/>
      </w:pPr>
      <w:r w:rsidRPr="001A3D2B">
        <w:t xml:space="preserve">ISO Abbreviated Title: </w:t>
      </w:r>
    </w:p>
    <w:p w:rsidR="004E5B58" w:rsidRPr="001A3D2B" w:rsidRDefault="004E5B58" w:rsidP="004E5B58">
      <w:pPr>
        <w:pStyle w:val="12"/>
      </w:pPr>
      <w:r w:rsidRPr="001A3D2B">
        <w:t xml:space="preserve">JCR Abbreviated Title: </w:t>
      </w:r>
    </w:p>
    <w:p w:rsidR="004E5B58" w:rsidRPr="001A3D2B" w:rsidRDefault="004E5B58" w:rsidP="004E5B58">
      <w:pPr>
        <w:pStyle w:val="12"/>
      </w:pPr>
      <w:r w:rsidRPr="001A3D2B">
        <w:t xml:space="preserve">ISSN: </w:t>
      </w:r>
    </w:p>
    <w:p w:rsidR="004E5B58" w:rsidRPr="001A3D2B" w:rsidRDefault="004E5B58" w:rsidP="004E5B58">
      <w:pPr>
        <w:pStyle w:val="12"/>
      </w:pPr>
      <w:r w:rsidRPr="001A3D2B">
        <w:t xml:space="preserve">Issues/Year: </w:t>
      </w:r>
    </w:p>
    <w:p w:rsidR="004E5B58" w:rsidRPr="001A3D2B" w:rsidRDefault="004E5B58" w:rsidP="004E5B58">
      <w:pPr>
        <w:pStyle w:val="12"/>
      </w:pPr>
      <w:r w:rsidRPr="001A3D2B">
        <w:t xml:space="preserve">Journal Country/Territory: </w:t>
      </w:r>
    </w:p>
    <w:p w:rsidR="004E5B58" w:rsidRPr="001A3D2B" w:rsidRDefault="004E5B58" w:rsidP="004E5B58">
      <w:pPr>
        <w:pStyle w:val="12"/>
      </w:pPr>
      <w:r w:rsidRPr="001A3D2B">
        <w:t xml:space="preserve">Language: </w:t>
      </w:r>
    </w:p>
    <w:p w:rsidR="004E5B58" w:rsidRPr="001A3D2B" w:rsidRDefault="004E5B58" w:rsidP="004E5B58">
      <w:pPr>
        <w:pStyle w:val="12"/>
      </w:pPr>
      <w:r w:rsidRPr="001A3D2B">
        <w:t xml:space="preserve">Publisher: </w:t>
      </w:r>
    </w:p>
    <w:p w:rsidR="004E5B58" w:rsidRPr="001A3D2B" w:rsidRDefault="004E5B58" w:rsidP="004E5B58">
      <w:pPr>
        <w:pStyle w:val="12"/>
      </w:pPr>
      <w:r w:rsidRPr="001A3D2B">
        <w:t xml:space="preserve">Publisher Address: </w:t>
      </w:r>
    </w:p>
    <w:p w:rsidR="004E5B58" w:rsidRPr="001A3D2B" w:rsidRDefault="004E5B58" w:rsidP="004E5B58">
      <w:pPr>
        <w:pStyle w:val="12"/>
      </w:pPr>
      <w:r w:rsidRPr="001A3D2B">
        <w:t>Subject Categories:</w:t>
      </w:r>
    </w:p>
    <w:p w:rsidR="004E5B58" w:rsidRPr="001A3D2B" w:rsidRDefault="004E5B58" w:rsidP="004E5B58">
      <w:pPr>
        <w:pStyle w:val="12"/>
      </w:pPr>
      <w:r w:rsidRPr="001A3D2B">
        <w:t xml:space="preserve">: Impact Factor </w:t>
      </w:r>
    </w:p>
    <w:p w:rsidR="004E5B58" w:rsidRDefault="004E5B58" w:rsidP="004E5B58">
      <w:pPr>
        <w:pStyle w:val="a0"/>
        <w:rPr>
          <w:kern w:val="0"/>
        </w:rPr>
      </w:pPr>
      <w:r>
        <w:rPr>
          <w:rFonts w:hint="eastAsia"/>
          <w:kern w:val="0"/>
        </w:rPr>
        <w:t xml:space="preserve">? </w:t>
      </w:r>
      <w:r>
        <w:rPr>
          <w:kern w:val="0"/>
        </w:rPr>
        <w:t>AbdelHafez, F., Bedaiwy, M., El-Nashar, S.A., Sabanegh, E.</w:t>
      </w:r>
      <w:r w:rsidR="00F81221">
        <w:rPr>
          <w:kern w:val="0"/>
        </w:rPr>
        <w:t xml:space="preserve"> and </w:t>
      </w:r>
      <w:r>
        <w:rPr>
          <w:kern w:val="0"/>
        </w:rPr>
        <w:t xml:space="preserve">Desai, N. (2009), Techniques for cryopreservation of individual or small numbers of human spermatozoa: A systematic review. </w:t>
      </w:r>
      <w:r w:rsidRPr="004E5B58">
        <w:rPr>
          <w:i/>
          <w:iCs/>
          <w:kern w:val="0"/>
        </w:rPr>
        <w:t>Human Reproduction Update</w:t>
      </w:r>
      <w:r>
        <w:rPr>
          <w:kern w:val="0"/>
        </w:rPr>
        <w:t xml:space="preserve">, </w:t>
      </w:r>
      <w:r>
        <w:rPr>
          <w:b/>
          <w:bCs/>
          <w:kern w:val="0"/>
        </w:rPr>
        <w:t>15</w:t>
      </w:r>
      <w:r>
        <w:rPr>
          <w:kern w:val="0"/>
        </w:rPr>
        <w:t xml:space="preserve"> (2), 153-164.</w:t>
      </w:r>
    </w:p>
    <w:p w:rsidR="0046357D" w:rsidRDefault="0046357D" w:rsidP="0046357D">
      <w:pPr>
        <w:pStyle w:val="a0"/>
        <w:rPr>
          <w:kern w:val="0"/>
        </w:rPr>
      </w:pPr>
      <w:r>
        <w:rPr>
          <w:rFonts w:hint="eastAsia"/>
          <w:kern w:val="0"/>
        </w:rPr>
        <w:t xml:space="preserve">Full Text: </w:t>
      </w:r>
      <w:hyperlink r:id="rId690" w:history="1">
        <w:r w:rsidRPr="005028EE">
          <w:rPr>
            <w:rStyle w:val="a5"/>
            <w:kern w:val="0"/>
          </w:rPr>
          <w:t>2009\Hum Rep Upd15, 153.pdf</w:t>
        </w:r>
      </w:hyperlink>
    </w:p>
    <w:p w:rsidR="004E5B58" w:rsidRDefault="004E5B58" w:rsidP="004E5B58">
      <w:pPr>
        <w:pStyle w:val="a0"/>
        <w:rPr>
          <w:kern w:val="0"/>
        </w:rPr>
      </w:pPr>
      <w:r>
        <w:rPr>
          <w:kern w:val="0"/>
        </w:rPr>
        <w:t>Abstract: Despite interest in cryopreservation of individual or small number of human spermatozoa, to date, little data is available as regards its effectiveness. We systematically reviewed the outcome after cryopreservation of individual or small numbers of human spermatozoa in patients with severe male factor of infertility. We searched the MEDLINE, EMBASE, Cochrane Systematic Reviews, CENTRAL, Web of Science, Scopus databases for relevant studies up to June of 2008. The search used terms referring to cryopreservation of small amount of sperm. Included studies were limited to human studies with no language restrictions. We identified 30 reports including 9 carriers used for cryopreservation of small quantities/numbers of human spermatozoa (7 non-biological</w:t>
      </w:r>
      <w:r w:rsidR="00F81221">
        <w:rPr>
          <w:kern w:val="0"/>
        </w:rPr>
        <w:t xml:space="preserve"> and </w:t>
      </w:r>
      <w:r>
        <w:rPr>
          <w:kern w:val="0"/>
        </w:rPr>
        <w:t>2 biological carriers). A wide variety of cryopreservation vehicles were reported. The recovery rate of spermatozoa cryopreserved in a known small number varied widely from 59 to 100%. Fertilization rates were in the range of 18-67%. Frozen-thawed spermatozoa, using this method, were subsequently used for intracytoplasmic sperm injection in only five studies, with few pregnancies reported so far. To date, there remains no consensus as to the ideal carrier for cryopreservation of small number of spermatozoa for clinical purposes. Cryopreservation of individual or small numbers of human spermatozoa may replace the need for repeated surgical sperm retrieval. A controlled multicenter trial with sufficient follow-up would provide valid evidence of the potential benefit of this approach.</w:t>
      </w:r>
    </w:p>
    <w:p w:rsidR="004E5B58" w:rsidRDefault="004E5B58" w:rsidP="004E5B58">
      <w:pPr>
        <w:pStyle w:val="a0"/>
        <w:rPr>
          <w:kern w:val="0"/>
        </w:rPr>
      </w:pPr>
      <w:r>
        <w:rPr>
          <w:kern w:val="0"/>
        </w:rPr>
        <w:t xml:space="preserve">Keywords: Aspiration, Cochrane, Cryoloop, Cryopreservation, Cryoprotectant-Free </w:t>
      </w:r>
      <w:r>
        <w:rPr>
          <w:kern w:val="0"/>
        </w:rPr>
        <w:lastRenderedPageBreak/>
        <w:t>Vitrification, Databases, Dna Integrity, Effectiveness, Embase, Empty Zona-Pellucida, Epidydimal Sperm, Fertilization, Follow-Up, Human, Human Testicular Spermatozoa, Interest, Intracytoplasmic Sperm Injection, Medline, Nonobstructive Azoospermia, Obstructive Azoospermia, Outcome, Review, Science, Scopus, Single Human Spermatozoa, Single-Sperm Cryopreservation, Surgical, Systematic, Systematic Review, Testicular Sperm, Web of Science, Zona Carrier</w:t>
      </w:r>
    </w:p>
    <w:p w:rsidR="004E5B58" w:rsidRDefault="004E5B58" w:rsidP="004E5B58">
      <w:pPr>
        <w:pStyle w:val="a0"/>
        <w:rPr>
          <w:kern w:val="0"/>
        </w:rPr>
      </w:pPr>
      <w:r>
        <w:rPr>
          <w:rFonts w:hint="eastAsia"/>
          <w:kern w:val="0"/>
        </w:rPr>
        <w:t xml:space="preserve">? </w:t>
      </w:r>
      <w:r>
        <w:rPr>
          <w:kern w:val="0"/>
        </w:rPr>
        <w:t>Karasu, T., Marczylo, T.H., Maccarrone, M.</w:t>
      </w:r>
      <w:r w:rsidR="00F81221">
        <w:rPr>
          <w:kern w:val="0"/>
        </w:rPr>
        <w:t xml:space="preserve"> and </w:t>
      </w:r>
      <w:r>
        <w:rPr>
          <w:kern w:val="0"/>
        </w:rPr>
        <w:t>Konje, J.C. (2011), The role of sex steroid hormones, cytokines</w:t>
      </w:r>
      <w:r w:rsidR="00F81221">
        <w:rPr>
          <w:kern w:val="0"/>
        </w:rPr>
        <w:t xml:space="preserve"> and </w:t>
      </w:r>
      <w:r>
        <w:rPr>
          <w:kern w:val="0"/>
        </w:rPr>
        <w:t xml:space="preserve">the endocannabinoid system in female fertility. </w:t>
      </w:r>
      <w:r>
        <w:rPr>
          <w:i/>
          <w:iCs/>
          <w:kern w:val="0"/>
        </w:rPr>
        <w:t>Human Reproduction Update</w:t>
      </w:r>
      <w:r>
        <w:rPr>
          <w:kern w:val="0"/>
        </w:rPr>
        <w:t xml:space="preserve">, </w:t>
      </w:r>
      <w:r>
        <w:rPr>
          <w:b/>
          <w:bCs/>
          <w:kern w:val="0"/>
        </w:rPr>
        <w:t>17</w:t>
      </w:r>
      <w:r>
        <w:rPr>
          <w:kern w:val="0"/>
        </w:rPr>
        <w:t xml:space="preserve"> (3), 347-361.</w:t>
      </w:r>
    </w:p>
    <w:p w:rsidR="0046357D" w:rsidRDefault="0046357D" w:rsidP="0046357D">
      <w:pPr>
        <w:pStyle w:val="a0"/>
        <w:rPr>
          <w:kern w:val="0"/>
        </w:rPr>
      </w:pPr>
      <w:r>
        <w:rPr>
          <w:rFonts w:hint="eastAsia"/>
          <w:kern w:val="0"/>
        </w:rPr>
        <w:t xml:space="preserve">Full Text: </w:t>
      </w:r>
      <w:hyperlink r:id="rId691" w:history="1">
        <w:r w:rsidRPr="0046357D">
          <w:rPr>
            <w:rStyle w:val="a5"/>
            <w:kern w:val="0"/>
          </w:rPr>
          <w:t>2011\Hum Rep Upd17, 347.pdf</w:t>
        </w:r>
      </w:hyperlink>
    </w:p>
    <w:p w:rsidR="004E5B58" w:rsidRDefault="004E5B58" w:rsidP="004E5B58">
      <w:pPr>
        <w:pStyle w:val="a0"/>
        <w:rPr>
          <w:kern w:val="0"/>
        </w:rPr>
      </w:pPr>
      <w:r>
        <w:rPr>
          <w:kern w:val="0"/>
        </w:rPr>
        <w:t>Abstract: BACKGROUND: Marijuana, the most used recreational drug, has been shown to have adverse effects on human reproduction. Endogenous cannabinoids (also called endocannabinoids) bind to the same receptors as those of Delta(9)-tetrahydrocannabinol (THC), the psychoactive component of Cannabis sativa. The most extensively studied endocannabinoids are anandamide (N-arachidonoylethanolamine, AEA)</w:t>
      </w:r>
      <w:r w:rsidR="00F81221">
        <w:rPr>
          <w:kern w:val="0"/>
        </w:rPr>
        <w:t xml:space="preserve"> and </w:t>
      </w:r>
      <w:r>
        <w:rPr>
          <w:kern w:val="0"/>
        </w:rPr>
        <w:t>2-arachidonoylglycerol. The endocannabinoids, their congeners</w:t>
      </w:r>
      <w:r w:rsidR="00F81221">
        <w:rPr>
          <w:kern w:val="0"/>
        </w:rPr>
        <w:t xml:space="preserve"> and </w:t>
      </w:r>
      <w:r>
        <w:rPr>
          <w:kern w:val="0"/>
        </w:rPr>
        <w:t>the cannabinoid receptors, together with the metabolic enzymes</w:t>
      </w:r>
      <w:r w:rsidR="00F81221">
        <w:rPr>
          <w:kern w:val="0"/>
        </w:rPr>
        <w:t xml:space="preserve"> and </w:t>
      </w:r>
      <w:r>
        <w:rPr>
          <w:kern w:val="0"/>
        </w:rPr>
        <w:t>putative transporters form the endocannabinoid system (ECS). In this review, we summarize current knowledge about the relationships of ECS, sex steroid hormones</w:t>
      </w:r>
      <w:r w:rsidR="00F81221">
        <w:rPr>
          <w:kern w:val="0"/>
        </w:rPr>
        <w:t xml:space="preserve"> and </w:t>
      </w:r>
      <w:r>
        <w:rPr>
          <w:kern w:val="0"/>
        </w:rPr>
        <w:t>cytokines in female fertility,</w:t>
      </w:r>
      <w:r w:rsidR="00F81221">
        <w:rPr>
          <w:kern w:val="0"/>
        </w:rPr>
        <w:t xml:space="preserve"> and </w:t>
      </w:r>
      <w:r>
        <w:rPr>
          <w:kern w:val="0"/>
        </w:rPr>
        <w:t>underline the importance of this endocannabinoid-hormone-cytokine network. METHODS: PUBMED</w:t>
      </w:r>
      <w:r w:rsidR="00F81221">
        <w:rPr>
          <w:kern w:val="0"/>
        </w:rPr>
        <w:t xml:space="preserve"> and </w:t>
      </w:r>
      <w:r>
        <w:rPr>
          <w:kern w:val="0"/>
        </w:rPr>
        <w:t>the Web of Science databases were searched for studies published since 1985, looking into the ECS, sex hormones, type-1/2 T-helper (Th1/Th2) cytokines, leukaemia inhibitory factor, leptin</w:t>
      </w:r>
      <w:r w:rsidR="00F81221">
        <w:rPr>
          <w:kern w:val="0"/>
        </w:rPr>
        <w:t xml:space="preserve"> and </w:t>
      </w:r>
      <w:r>
        <w:rPr>
          <w:kern w:val="0"/>
        </w:rPr>
        <w:t>reproduction. RESULTS: The ECS plays a pivotal role in human reproduction. The enzymes involved in the synthesis</w:t>
      </w:r>
      <w:r w:rsidR="00F81221">
        <w:rPr>
          <w:kern w:val="0"/>
        </w:rPr>
        <w:t xml:space="preserve"> and </w:t>
      </w:r>
      <w:r>
        <w:rPr>
          <w:kern w:val="0"/>
        </w:rPr>
        <w:t>degradation of endocannabinoids normalize levels of AEA for successful implantation. The AEA degrading enzyme (fatty acid amide hydrolase) activity as well as AEA content in blood may potentially be used for the monitoring of early pregnancies. Progesterone</w:t>
      </w:r>
      <w:r w:rsidR="00F81221">
        <w:rPr>
          <w:kern w:val="0"/>
        </w:rPr>
        <w:t xml:space="preserve"> and </w:t>
      </w:r>
      <w:r>
        <w:rPr>
          <w:kern w:val="0"/>
        </w:rPr>
        <w:t>oestrogen are involved in the maintenance of endocannabinoid levels. The ECS plays an important role in the immune regulation of human fertility. CONCLUSIONS: The available studies suggest that tight control of the endocannabinoid-hormone-cytokine network is required for successful implantation</w:t>
      </w:r>
      <w:r w:rsidR="00F81221">
        <w:rPr>
          <w:kern w:val="0"/>
        </w:rPr>
        <w:t xml:space="preserve"> and </w:t>
      </w:r>
      <w:r>
        <w:rPr>
          <w:kern w:val="0"/>
        </w:rPr>
        <w:t>early pregnancy maintenance. This hormone-cytokine network is a key element at the maternal-foetal interface,</w:t>
      </w:r>
      <w:r w:rsidR="00F81221">
        <w:rPr>
          <w:kern w:val="0"/>
        </w:rPr>
        <w:t xml:space="preserve"> and </w:t>
      </w:r>
      <w:r>
        <w:rPr>
          <w:kern w:val="0"/>
        </w:rPr>
        <w:t>any defect in such a network may result in foetal loss.</w:t>
      </w:r>
    </w:p>
    <w:p w:rsidR="004E5B58" w:rsidRDefault="004E5B58" w:rsidP="004E5B58">
      <w:pPr>
        <w:pStyle w:val="a0"/>
        <w:rPr>
          <w:kern w:val="0"/>
        </w:rPr>
      </w:pPr>
      <w:r>
        <w:rPr>
          <w:kern w:val="0"/>
        </w:rPr>
        <w:t xml:space="preserve">Keywords: Acid Amide Hydrolase, Adverse Effects, Assisted Reproduction Treatment, Blood, Cannabinoid-Receptor Ligands, Cannabis, Central-Nervous-System, Control, Databases, Drug, Endocannabinoids, Female Fertility, Human, Human Fallopian-Tube, Knowledge, Leptin, Leukaemia Inhibitory Factor, </w:t>
      </w:r>
      <w:r>
        <w:rPr>
          <w:kern w:val="0"/>
        </w:rPr>
        <w:lastRenderedPageBreak/>
        <w:t>Leukemia-Inhibitory Factor, Monitoring, N-Arachidonoylethanolamine Anandamide, Oestrogen, Pregnancy, Preimplantation Mouse Embryo, Protein-Coupled Receptor, Reproduction, Review, Science, Sex Hormones, Sperm-Oviduct Interaction, Web of Science</w:t>
      </w:r>
    </w:p>
    <w:p w:rsidR="003960A6" w:rsidRDefault="003960A6" w:rsidP="003960A6">
      <w:pPr>
        <w:pStyle w:val="a0"/>
        <w:rPr>
          <w:kern w:val="0"/>
        </w:rPr>
      </w:pPr>
      <w:r>
        <w:rPr>
          <w:rFonts w:hint="eastAsia"/>
          <w:kern w:val="0"/>
        </w:rPr>
        <w:t xml:space="preserve">? </w:t>
      </w:r>
      <w:r>
        <w:rPr>
          <w:kern w:val="0"/>
        </w:rPr>
        <w:t>Teerds, K.J., de Rooij, D.G.</w:t>
      </w:r>
      <w:r w:rsidR="00F81221">
        <w:rPr>
          <w:kern w:val="0"/>
        </w:rPr>
        <w:t xml:space="preserve"> and </w:t>
      </w:r>
      <w:r>
        <w:rPr>
          <w:kern w:val="0"/>
        </w:rPr>
        <w:t>Keijer, J. (2011), Functional relationship between obesity</w:t>
      </w:r>
      <w:r w:rsidR="00F81221">
        <w:rPr>
          <w:kern w:val="0"/>
        </w:rPr>
        <w:t xml:space="preserve"> and </w:t>
      </w:r>
      <w:r>
        <w:rPr>
          <w:kern w:val="0"/>
        </w:rPr>
        <w:t xml:space="preserve">male reproduction: From humans to animal models. </w:t>
      </w:r>
      <w:r>
        <w:rPr>
          <w:i/>
          <w:iCs/>
          <w:kern w:val="0"/>
        </w:rPr>
        <w:t>Human Reproduction Update</w:t>
      </w:r>
      <w:r>
        <w:rPr>
          <w:kern w:val="0"/>
        </w:rPr>
        <w:t xml:space="preserve">, </w:t>
      </w:r>
      <w:r>
        <w:rPr>
          <w:b/>
          <w:bCs/>
          <w:kern w:val="0"/>
        </w:rPr>
        <w:t>17</w:t>
      </w:r>
      <w:r>
        <w:rPr>
          <w:kern w:val="0"/>
        </w:rPr>
        <w:t xml:space="preserve"> (5), 667-683.</w:t>
      </w:r>
    </w:p>
    <w:p w:rsidR="00815A99" w:rsidRDefault="00815A99" w:rsidP="00815A99">
      <w:pPr>
        <w:pStyle w:val="a0"/>
        <w:rPr>
          <w:kern w:val="0"/>
        </w:rPr>
      </w:pPr>
      <w:r>
        <w:rPr>
          <w:rFonts w:hint="eastAsia"/>
          <w:kern w:val="0"/>
        </w:rPr>
        <w:t xml:space="preserve">Full Text: </w:t>
      </w:r>
      <w:hyperlink r:id="rId692" w:history="1">
        <w:r w:rsidRPr="00F277FE">
          <w:rPr>
            <w:rStyle w:val="a5"/>
            <w:kern w:val="0"/>
          </w:rPr>
          <w:t>2011\Hum Rep Upd17, 667.pdf</w:t>
        </w:r>
      </w:hyperlink>
    </w:p>
    <w:p w:rsidR="003960A6" w:rsidRDefault="003960A6" w:rsidP="003960A6">
      <w:pPr>
        <w:pStyle w:val="a0"/>
        <w:rPr>
          <w:kern w:val="0"/>
        </w:rPr>
      </w:pPr>
      <w:r>
        <w:rPr>
          <w:kern w:val="0"/>
        </w:rPr>
        <w:t>Abstract: BACKGROUND: The increase in the incidence of obesity has a substantial societal health impact. Contrasting reports have been published on whether overweight</w:t>
      </w:r>
      <w:r w:rsidR="00F81221">
        <w:rPr>
          <w:kern w:val="0"/>
        </w:rPr>
        <w:t xml:space="preserve"> and </w:t>
      </w:r>
      <w:r>
        <w:rPr>
          <w:kern w:val="0"/>
        </w:rPr>
        <w:t>obesity affect male fertility. To clarify this, we have reviewed published data on the relation between overweight/obesity, semen parameters, endocrine status</w:t>
      </w:r>
      <w:r w:rsidR="00F81221">
        <w:rPr>
          <w:kern w:val="0"/>
        </w:rPr>
        <w:t xml:space="preserve"> and </w:t>
      </w:r>
      <w:r>
        <w:rPr>
          <w:kern w:val="0"/>
        </w:rPr>
        <w:t>human male fertility. Subsequently, we have used results obtained in animal models of obesity to explain the human data. METHODS: Pubmed, Scopus, Web of Science</w:t>
      </w:r>
      <w:r w:rsidR="00F81221">
        <w:rPr>
          <w:kern w:val="0"/>
        </w:rPr>
        <w:t xml:space="preserve"> and </w:t>
      </w:r>
      <w:r>
        <w:rPr>
          <w:kern w:val="0"/>
        </w:rPr>
        <w:t>Google Scholar databases were searched between September 2009</w:t>
      </w:r>
      <w:r w:rsidR="00F81221">
        <w:rPr>
          <w:kern w:val="0"/>
        </w:rPr>
        <w:t xml:space="preserve"> and </w:t>
      </w:r>
      <w:r>
        <w:rPr>
          <w:kern w:val="0"/>
        </w:rPr>
        <w:t>October 2010 for a comprehensive publication record. Available studies on adult human males were examined. The included animal studies examined obesity</w:t>
      </w:r>
      <w:r w:rsidR="00F81221">
        <w:rPr>
          <w:kern w:val="0"/>
        </w:rPr>
        <w:t xml:space="preserve"> and </w:t>
      </w:r>
      <w:r>
        <w:rPr>
          <w:kern w:val="0"/>
        </w:rPr>
        <w:t>fertility,</w:t>
      </w:r>
      <w:r w:rsidR="00F81221">
        <w:rPr>
          <w:kern w:val="0"/>
        </w:rPr>
        <w:t xml:space="preserve"> and </w:t>
      </w:r>
      <w:r>
        <w:rPr>
          <w:kern w:val="0"/>
        </w:rPr>
        <w:t>focused on leptin, leptin receptor signaling, kisspeptins and/or NPY. RESULTS: Most overweight/obese men do not experience significant fertility problems, despite the presence of reduced testosterone alongside normal gonadotrophin levels. Only a subgroup of subjects suffers from hypogonadotropic hypogonadism. Animal models offer several explanations</w:t>
      </w:r>
      <w:r w:rsidR="00F81221">
        <w:rPr>
          <w:kern w:val="0"/>
        </w:rPr>
        <w:t xml:space="preserve"> and </w:t>
      </w:r>
      <w:r>
        <w:rPr>
          <w:kern w:val="0"/>
        </w:rPr>
        <w:t>show that reduced leptin signaling leads to reduced GnRH neuronal activity. This may be due to decreased hypothalamic Kissl expression, a potent regulator of GnRH/LH/FSH release. As the Kissl neurons express leptin receptors, the Kissl system may participate in transmitting metabolic information to the GnRH neurons, thus providing a bridge between metabolic regulation</w:t>
      </w:r>
      <w:r w:rsidR="00F81221">
        <w:rPr>
          <w:kern w:val="0"/>
        </w:rPr>
        <w:t xml:space="preserve"> and </w:t>
      </w:r>
      <w:r>
        <w:rPr>
          <w:kern w:val="0"/>
        </w:rPr>
        <w:t>fertility. CONCLUSIONS: Infertility in overweight/obese males may be explained by leptin insensitivity. This implies a possible role for the KISSl system in human obesity-related male infertility. If substantiated, it will pave the way for methods to restore fertility in these subjects.</w:t>
      </w:r>
    </w:p>
    <w:p w:rsidR="003960A6" w:rsidRDefault="003960A6" w:rsidP="003960A6">
      <w:pPr>
        <w:pStyle w:val="a0"/>
        <w:rPr>
          <w:kern w:val="0"/>
        </w:rPr>
      </w:pPr>
      <w:r>
        <w:rPr>
          <w:kern w:val="0"/>
        </w:rPr>
        <w:t>Keywords: Adult, Animal, Animal Models, Body-Mass Index, Congenital Leptin Deficiency, Databases, Early-Onset Obesity, Endocrine Status, Google Scholar, Health Impact, Hormone-Binding-Globulin, Human, Human Male Fertility, Humans, Hypothalamic Neuropeptide-Y, Impact, Incidence, Infertile Male-Patients, Information, Inhibin-B Levels, Kiss-1 Messenger-RNA, Leptin, Male, Men, Normal, NPY, Obesity, Overweight, Pituitary-Testicular Axis, Publication, Reproduction, Science, Scopus, Semen Parameters, Semen Quality, Testosterone, Web of Science</w:t>
      </w:r>
    </w:p>
    <w:p w:rsidR="0046357D" w:rsidRDefault="0046357D" w:rsidP="0046357D">
      <w:pPr>
        <w:pStyle w:val="a0"/>
        <w:rPr>
          <w:kern w:val="0"/>
        </w:rPr>
      </w:pPr>
      <w:r>
        <w:rPr>
          <w:rFonts w:hint="eastAsia"/>
          <w:kern w:val="0"/>
        </w:rPr>
        <w:t xml:space="preserve">? </w:t>
      </w:r>
      <w:r>
        <w:rPr>
          <w:kern w:val="0"/>
        </w:rPr>
        <w:t xml:space="preserve">Chan, Y.Y., Jayaprakasan, K., Zamora, J., Thornton, J.G., Raine-Fenning, N. and Coomarasamy, A. (2011), The prevalence of congenital uterine anomalies in </w:t>
      </w:r>
      <w:r>
        <w:rPr>
          <w:kern w:val="0"/>
        </w:rPr>
        <w:lastRenderedPageBreak/>
        <w:t xml:space="preserve">unselected and high-risk populations: A systematic review. </w:t>
      </w:r>
      <w:r>
        <w:rPr>
          <w:i/>
          <w:iCs/>
          <w:kern w:val="0"/>
        </w:rPr>
        <w:t>Human Reproduction Update</w:t>
      </w:r>
      <w:r>
        <w:rPr>
          <w:kern w:val="0"/>
        </w:rPr>
        <w:t xml:space="preserve">, </w:t>
      </w:r>
      <w:r>
        <w:rPr>
          <w:b/>
          <w:bCs/>
          <w:kern w:val="0"/>
        </w:rPr>
        <w:t>17</w:t>
      </w:r>
      <w:r>
        <w:rPr>
          <w:kern w:val="0"/>
        </w:rPr>
        <w:t xml:space="preserve"> (6), 761-771.</w:t>
      </w:r>
    </w:p>
    <w:p w:rsidR="0046357D" w:rsidRDefault="0046357D" w:rsidP="0046357D">
      <w:pPr>
        <w:pStyle w:val="a0"/>
        <w:rPr>
          <w:kern w:val="0"/>
        </w:rPr>
      </w:pPr>
      <w:r>
        <w:rPr>
          <w:rFonts w:hint="eastAsia"/>
          <w:kern w:val="0"/>
        </w:rPr>
        <w:t xml:space="preserve">Full Text: </w:t>
      </w:r>
      <w:hyperlink r:id="rId693" w:history="1">
        <w:r w:rsidRPr="005028EE">
          <w:rPr>
            <w:rStyle w:val="a5"/>
            <w:kern w:val="0"/>
          </w:rPr>
          <w:t>2011\Hum Rep Upd17, 761.pdf</w:t>
        </w:r>
      </w:hyperlink>
    </w:p>
    <w:p w:rsidR="0046357D" w:rsidRDefault="0046357D" w:rsidP="0046357D">
      <w:pPr>
        <w:pStyle w:val="a0"/>
        <w:rPr>
          <w:kern w:val="0"/>
        </w:rPr>
      </w:pPr>
      <w:r>
        <w:rPr>
          <w:kern w:val="0"/>
        </w:rPr>
        <w:t xml:space="preserve">Abstract: BACKGROUND: The prevalence of congenital uterine anomalies in high-risk women is unclear, as several different diagnostic approaches have been applied to different groups of patients. This review aims to evaluate the prevalence of such anomalies in unselected populations and in women with infertility, including those undergoing IVF treatment, women with a history of miscarriage, women with infertility and recurrent miscarriage combined, and women with a history of preterm delivery. METHODS: Searches of MEDLINE, EMBASE, Web of Science and the Cochrane register were performed. Study selection and data extraction were conducted independently by two reviewers. Studies were grouped into those that used </w:t>
      </w:r>
      <w:r w:rsidR="000352E7">
        <w:rPr>
          <w:kern w:val="0"/>
        </w:rPr>
        <w:t>‘</w:t>
      </w:r>
      <w:r>
        <w:rPr>
          <w:kern w:val="0"/>
        </w:rPr>
        <w:t>optimal</w:t>
      </w:r>
      <w:r w:rsidR="000352E7">
        <w:rPr>
          <w:kern w:val="0"/>
        </w:rPr>
        <w:t>’</w:t>
      </w:r>
      <w:r>
        <w:rPr>
          <w:kern w:val="0"/>
        </w:rPr>
        <w:t xml:space="preserve"> and </w:t>
      </w:r>
      <w:r w:rsidR="000352E7">
        <w:rPr>
          <w:kern w:val="0"/>
        </w:rPr>
        <w:t>‘</w:t>
      </w:r>
      <w:r>
        <w:rPr>
          <w:kern w:val="0"/>
        </w:rPr>
        <w:t>suboptimal</w:t>
      </w:r>
      <w:r w:rsidR="000352E7">
        <w:rPr>
          <w:kern w:val="0"/>
        </w:rPr>
        <w:t>’</w:t>
      </w:r>
      <w:r>
        <w:rPr>
          <w:kern w:val="0"/>
        </w:rPr>
        <w:t xml:space="preserve"> tests for uterine anomalies. Meta-analyses were performed to establish the prevalence of uterine anomalies and their subtypes within the various populations. RESULTS: We identified 94 observational studies comprising 89 861 women. The prevalence of uterine anomalies diagnosed by optimal tests was 5.5% [95% confidence interval (CI), 3.5-8.5] in the unselected population, 8.0% (95% CI, 5.3-12) in infertile women, 13.3% (95% CI, 8.9-20.0) in those with a history of miscarriage and 24.5% (95% CI, 18.3-32.8) in those with miscarriage and infertility. Arcuate uterus is most common in the unselected population (3.9%; 95% CI, 2.1-7.1), and its prevalence is not increased in high-risk groups. In contrast, septate uterus is the most common anomaly in high-risk populations. CONCLUSIONS: Women with a history of miscarriage or miscarriage and infertility have higher prevalence of congenital uterine anomalies compared with the unselected population.</w:t>
      </w:r>
    </w:p>
    <w:p w:rsidR="0046357D" w:rsidRDefault="0046357D" w:rsidP="0046357D">
      <w:pPr>
        <w:pStyle w:val="a0"/>
        <w:rPr>
          <w:kern w:val="0"/>
        </w:rPr>
      </w:pPr>
      <w:r>
        <w:rPr>
          <w:kern w:val="0"/>
        </w:rPr>
        <w:t>Keywords: 3-Dimensional Ultrasound, Artery Blood-Flow, Cochrane, Congenital Uterine Anomalies, Embase, Fertilization-Embryo Transfer, High-Risk Groups, History, Hysterosalpingo-Contrast-Sonography, In-Vitro Fertilization, Infertile Women, Infertility, IVF, Medline, Miscarriage, Mullerian Duct Anomalies, Observational, Observational Studies, Patients, Preterm, Prevalence, Recurrent Spontaneous-Abortion, Reproductive-Performance, Review, Science, Septate Uterus, Systematic, Systematic Review, Treatment, Uterus, Web of Science, Women</w:t>
      </w:r>
    </w:p>
    <w:p w:rsidR="00FF466E" w:rsidRPr="001A3D2B" w:rsidRDefault="00FF466E" w:rsidP="00FF466E">
      <w:pPr>
        <w:pStyle w:val="1"/>
      </w:pPr>
      <w:r w:rsidRPr="001A3D2B">
        <w:br w:type="page"/>
      </w:r>
      <w:bookmarkStart w:id="668" w:name="_Toc317161058"/>
      <w:r w:rsidRPr="001A3D2B">
        <w:lastRenderedPageBreak/>
        <w:t xml:space="preserve">Title: </w:t>
      </w:r>
      <w:r w:rsidRPr="00FF466E">
        <w:rPr>
          <w:iCs/>
        </w:rPr>
        <w:t>Human Resources for Health</w:t>
      </w:r>
      <w:bookmarkEnd w:id="668"/>
    </w:p>
    <w:p w:rsidR="00FF466E" w:rsidRPr="001A3D2B" w:rsidRDefault="00FF466E" w:rsidP="00B72EF9">
      <w:pPr>
        <w:pStyle w:val="12"/>
      </w:pPr>
      <w:r w:rsidRPr="001A3D2B">
        <w:t xml:space="preserve">Full Journal Title: </w:t>
      </w:r>
      <w:hyperlink r:id="rId694" w:history="1">
        <w:r w:rsidRPr="00FF466E">
          <w:rPr>
            <w:rStyle w:val="a5"/>
            <w:iCs/>
          </w:rPr>
          <w:t>Human Resources for Health</w:t>
        </w:r>
      </w:hyperlink>
    </w:p>
    <w:p w:rsidR="00FF466E" w:rsidRPr="001A3D2B" w:rsidRDefault="00FF466E" w:rsidP="00B72EF9">
      <w:pPr>
        <w:pStyle w:val="12"/>
      </w:pPr>
      <w:r w:rsidRPr="001A3D2B">
        <w:t xml:space="preserve">ISO Abbreviated Title: </w:t>
      </w:r>
    </w:p>
    <w:p w:rsidR="00FF466E" w:rsidRPr="001A3D2B" w:rsidRDefault="00FF466E" w:rsidP="00B72EF9">
      <w:pPr>
        <w:pStyle w:val="12"/>
      </w:pPr>
      <w:r w:rsidRPr="001A3D2B">
        <w:t xml:space="preserve">JCR Abbreviated Title: </w:t>
      </w:r>
    </w:p>
    <w:p w:rsidR="00FF466E" w:rsidRPr="001A3D2B" w:rsidRDefault="00FF466E" w:rsidP="00B72EF9">
      <w:pPr>
        <w:pStyle w:val="12"/>
      </w:pPr>
      <w:r w:rsidRPr="001A3D2B">
        <w:t xml:space="preserve">ISSN: </w:t>
      </w:r>
    </w:p>
    <w:p w:rsidR="00FF466E" w:rsidRPr="001A3D2B" w:rsidRDefault="00FF466E" w:rsidP="00B72EF9">
      <w:pPr>
        <w:pStyle w:val="12"/>
      </w:pPr>
      <w:r w:rsidRPr="001A3D2B">
        <w:t xml:space="preserve">Issues/Year: </w:t>
      </w:r>
    </w:p>
    <w:p w:rsidR="00FF466E" w:rsidRPr="001A3D2B" w:rsidRDefault="00FF466E" w:rsidP="00B72EF9">
      <w:pPr>
        <w:pStyle w:val="12"/>
      </w:pPr>
      <w:r w:rsidRPr="001A3D2B">
        <w:t xml:space="preserve">Journal Country/Territory: </w:t>
      </w:r>
    </w:p>
    <w:p w:rsidR="00FF466E" w:rsidRPr="001A3D2B" w:rsidRDefault="00FF466E" w:rsidP="00B72EF9">
      <w:pPr>
        <w:pStyle w:val="12"/>
      </w:pPr>
      <w:r w:rsidRPr="001A3D2B">
        <w:t xml:space="preserve">Language: </w:t>
      </w:r>
    </w:p>
    <w:p w:rsidR="00FF466E" w:rsidRPr="001A3D2B" w:rsidRDefault="00FF466E" w:rsidP="00B72EF9">
      <w:pPr>
        <w:pStyle w:val="12"/>
      </w:pPr>
      <w:r w:rsidRPr="001A3D2B">
        <w:t xml:space="preserve">Publisher: </w:t>
      </w:r>
    </w:p>
    <w:p w:rsidR="00FF466E" w:rsidRPr="001A3D2B" w:rsidRDefault="00FF466E" w:rsidP="00B72EF9">
      <w:pPr>
        <w:pStyle w:val="12"/>
      </w:pPr>
      <w:r w:rsidRPr="001A3D2B">
        <w:t xml:space="preserve">Publisher Address: </w:t>
      </w:r>
    </w:p>
    <w:p w:rsidR="00FF466E" w:rsidRPr="001A3D2B" w:rsidRDefault="00FF466E" w:rsidP="00B72EF9">
      <w:pPr>
        <w:pStyle w:val="12"/>
      </w:pPr>
      <w:r w:rsidRPr="001A3D2B">
        <w:t>Subject Categories:</w:t>
      </w:r>
    </w:p>
    <w:p w:rsidR="00FF466E" w:rsidRPr="001A3D2B" w:rsidRDefault="00FF466E" w:rsidP="00B72EF9">
      <w:pPr>
        <w:pStyle w:val="12"/>
      </w:pPr>
      <w:r w:rsidRPr="001A3D2B">
        <w:t xml:space="preserve">: Impact Factor </w:t>
      </w:r>
    </w:p>
    <w:p w:rsidR="004E5B58" w:rsidRDefault="004E5B58" w:rsidP="004E5B58">
      <w:pPr>
        <w:pStyle w:val="a0"/>
        <w:rPr>
          <w:kern w:val="0"/>
        </w:rPr>
      </w:pPr>
      <w:r>
        <w:rPr>
          <w:rFonts w:hint="eastAsia"/>
          <w:kern w:val="0"/>
        </w:rPr>
        <w:t xml:space="preserve">? </w:t>
      </w:r>
      <w:r>
        <w:rPr>
          <w:kern w:val="0"/>
        </w:rPr>
        <w:t>Dogba, M.</w:t>
      </w:r>
      <w:r w:rsidR="00F81221">
        <w:rPr>
          <w:kern w:val="0"/>
        </w:rPr>
        <w:t xml:space="preserve"> and </w:t>
      </w:r>
      <w:r>
        <w:rPr>
          <w:kern w:val="0"/>
        </w:rPr>
        <w:t>Fournier, P. (2009), Human resources</w:t>
      </w:r>
      <w:r w:rsidR="00F81221">
        <w:rPr>
          <w:kern w:val="0"/>
        </w:rPr>
        <w:t xml:space="preserve"> and </w:t>
      </w:r>
      <w:r>
        <w:rPr>
          <w:kern w:val="0"/>
        </w:rPr>
        <w:t xml:space="preserve">the quality of emergency obstetric care in developing countries: </w:t>
      </w:r>
      <w:r>
        <w:rPr>
          <w:rFonts w:hint="eastAsia"/>
          <w:kern w:val="0"/>
        </w:rPr>
        <w:t>A</w:t>
      </w:r>
      <w:r>
        <w:rPr>
          <w:kern w:val="0"/>
        </w:rPr>
        <w:t xml:space="preserve"> systematic review of the literature. </w:t>
      </w:r>
      <w:r>
        <w:rPr>
          <w:i/>
          <w:iCs/>
          <w:kern w:val="0"/>
        </w:rPr>
        <w:t>Human Resources for Health</w:t>
      </w:r>
      <w:r>
        <w:rPr>
          <w:kern w:val="0"/>
        </w:rPr>
        <w:t xml:space="preserve">, </w:t>
      </w:r>
      <w:r>
        <w:rPr>
          <w:b/>
          <w:bCs/>
          <w:kern w:val="0"/>
        </w:rPr>
        <w:t>7</w:t>
      </w:r>
      <w:r w:rsidRPr="00E22309">
        <w:rPr>
          <w:rFonts w:hint="eastAsia"/>
          <w:bCs/>
          <w:kern w:val="0"/>
        </w:rPr>
        <w:t xml:space="preserve">, </w:t>
      </w:r>
      <w:r>
        <w:t>Article Number: 7</w:t>
      </w:r>
      <w:r>
        <w:rPr>
          <w:kern w:val="0"/>
        </w:rPr>
        <w:t>.</w:t>
      </w:r>
    </w:p>
    <w:p w:rsidR="004E5B58" w:rsidRDefault="004E5B58" w:rsidP="004E5B58">
      <w:pPr>
        <w:pStyle w:val="a0"/>
        <w:rPr>
          <w:kern w:val="0"/>
        </w:rPr>
      </w:pPr>
      <w:r>
        <w:rPr>
          <w:rFonts w:hint="eastAsia"/>
        </w:rPr>
        <w:t xml:space="preserve">Full Text: </w:t>
      </w:r>
      <w:r>
        <w:t>20</w:t>
      </w:r>
      <w:r>
        <w:rPr>
          <w:rFonts w:hint="eastAsia"/>
        </w:rPr>
        <w:t>09</w:t>
      </w:r>
      <w:r>
        <w:t>\Hum Res Hea</w:t>
      </w:r>
      <w:r>
        <w:rPr>
          <w:rFonts w:hint="eastAsia"/>
        </w:rPr>
        <w:t>7</w:t>
      </w:r>
      <w:r>
        <w:t xml:space="preserve">, </w:t>
      </w:r>
      <w:r>
        <w:rPr>
          <w:rFonts w:hint="eastAsia"/>
        </w:rPr>
        <w:t>7</w:t>
      </w:r>
      <w:r w:rsidRPr="00E22309">
        <w:t>.pdf</w:t>
      </w:r>
    </w:p>
    <w:p w:rsidR="004E5B58" w:rsidRDefault="004E5B58" w:rsidP="004E5B58">
      <w:pPr>
        <w:pStyle w:val="a0"/>
        <w:rPr>
          <w:kern w:val="0"/>
        </w:rPr>
      </w:pPr>
      <w:r>
        <w:rPr>
          <w:kern w:val="0"/>
        </w:rPr>
        <w:t>Abstract: Background: This paper reports on a systematic literature review exploring the importance of human resources in the quality of emergency obstetric care</w:t>
      </w:r>
      <w:r w:rsidR="00F81221">
        <w:rPr>
          <w:kern w:val="0"/>
        </w:rPr>
        <w:t xml:space="preserve"> and </w:t>
      </w:r>
      <w:r>
        <w:rPr>
          <w:kern w:val="0"/>
        </w:rPr>
        <w:t>thus in the reduction of maternal deaths. Methods: A systematic search of two electronic databases (ISI Web of Science</w:t>
      </w:r>
      <w:r w:rsidR="00F81221">
        <w:rPr>
          <w:kern w:val="0"/>
        </w:rPr>
        <w:t xml:space="preserve"> and </w:t>
      </w:r>
      <w:r>
        <w:rPr>
          <w:kern w:val="0"/>
        </w:rPr>
        <w:t xml:space="preserve">MEDLINE) was conducted, based on the following key words </w:t>
      </w:r>
      <w:r w:rsidR="000352E7">
        <w:rPr>
          <w:kern w:val="0"/>
        </w:rPr>
        <w:t>“</w:t>
      </w:r>
      <w:r>
        <w:rPr>
          <w:kern w:val="0"/>
        </w:rPr>
        <w:t>quality obstetric* care</w:t>
      </w:r>
      <w:r w:rsidR="000352E7">
        <w:rPr>
          <w:kern w:val="0"/>
        </w:rPr>
        <w:t>”</w:t>
      </w:r>
      <w:r>
        <w:rPr>
          <w:kern w:val="0"/>
        </w:rPr>
        <w:t xml:space="preserve"> OR </w:t>
      </w:r>
      <w:r w:rsidR="000352E7">
        <w:rPr>
          <w:kern w:val="0"/>
        </w:rPr>
        <w:t>“</w:t>
      </w:r>
      <w:r>
        <w:rPr>
          <w:kern w:val="0"/>
        </w:rPr>
        <w:t>pregnancy complications OR emergency obstetric* care OR maternal mortality</w:t>
      </w:r>
      <w:r w:rsidR="000352E7">
        <w:rPr>
          <w:kern w:val="0"/>
        </w:rPr>
        <w:t>”</w:t>
      </w:r>
      <w:r w:rsidR="00F81221">
        <w:rPr>
          <w:kern w:val="0"/>
        </w:rPr>
        <w:t xml:space="preserve"> and </w:t>
      </w:r>
      <w:r w:rsidR="000352E7">
        <w:rPr>
          <w:kern w:val="0"/>
        </w:rPr>
        <w:t>“</w:t>
      </w:r>
      <w:r>
        <w:rPr>
          <w:kern w:val="0"/>
        </w:rPr>
        <w:t>quality health care OR quality care</w:t>
      </w:r>
      <w:r w:rsidR="000352E7">
        <w:rPr>
          <w:kern w:val="0"/>
        </w:rPr>
        <w:t>”</w:t>
      </w:r>
      <w:r w:rsidR="00F81221">
        <w:rPr>
          <w:kern w:val="0"/>
        </w:rPr>
        <w:t xml:space="preserve"> and </w:t>
      </w:r>
      <w:r w:rsidR="000352E7">
        <w:rPr>
          <w:kern w:val="0"/>
        </w:rPr>
        <w:t>“</w:t>
      </w:r>
      <w:r>
        <w:rPr>
          <w:kern w:val="0"/>
        </w:rPr>
        <w:t>developing countries. Relevant papers were analysed according to three customary components of emergency obstetric care: structure, process</w:t>
      </w:r>
      <w:r w:rsidR="00F81221">
        <w:rPr>
          <w:kern w:val="0"/>
        </w:rPr>
        <w:t xml:space="preserve"> and </w:t>
      </w:r>
      <w:r>
        <w:rPr>
          <w:kern w:val="0"/>
        </w:rPr>
        <w:t>results. Results: This review leads to three main conclusions: (1) staff shortages are a major obstacle to providing good quality EmOC; (2) women are often dissatisfied with the care they receive during childbirth;</w:t>
      </w:r>
      <w:r w:rsidR="00F81221">
        <w:rPr>
          <w:kern w:val="0"/>
        </w:rPr>
        <w:t xml:space="preserve"> and </w:t>
      </w:r>
      <w:r>
        <w:rPr>
          <w:kern w:val="0"/>
        </w:rPr>
        <w:t>(3) the technical quality of EmOC has not been adequately studied. The first two conclusions provide lessons to consider when formulating EmOC policies, while the third point is an area where more knowledge is needed.</w:t>
      </w:r>
    </w:p>
    <w:p w:rsidR="004E5B58" w:rsidRDefault="004E5B58" w:rsidP="004E5B58">
      <w:pPr>
        <w:pStyle w:val="a0"/>
        <w:rPr>
          <w:kern w:val="0"/>
        </w:rPr>
      </w:pPr>
      <w:r>
        <w:rPr>
          <w:kern w:val="0"/>
        </w:rPr>
        <w:t>Keywords: Assess Needs, Availability, Bangladesh, Databases, Developing Countries, Health Care, Health Systems, Hospitals, Human, ISI, Knowledge, Literature, Literature Review, Medline, Methods, Nigeria, Papers, Policies, Program Note, Reducing Maternal Mortality, Review, Science, Services, Systematic, Systematic Literature Review, Systematic Review, Un Process Indicators, Web of Science, Women</w:t>
      </w:r>
    </w:p>
    <w:p w:rsidR="00FF466E" w:rsidRDefault="00FF466E" w:rsidP="00FF466E">
      <w:pPr>
        <w:pStyle w:val="a0"/>
      </w:pPr>
      <w:r>
        <w:rPr>
          <w:rFonts w:hint="eastAsia"/>
          <w:kern w:val="0"/>
        </w:rPr>
        <w:t xml:space="preserve">? </w:t>
      </w:r>
      <w:r>
        <w:rPr>
          <w:kern w:val="0"/>
        </w:rPr>
        <w:t>Callaghan, M., Ford, N.</w:t>
      </w:r>
      <w:r w:rsidR="00F81221">
        <w:rPr>
          <w:kern w:val="0"/>
        </w:rPr>
        <w:t xml:space="preserve"> and </w:t>
      </w:r>
      <w:r>
        <w:rPr>
          <w:kern w:val="0"/>
        </w:rPr>
        <w:t xml:space="preserve">Schneider, H. (2010), A systematic review of task- </w:t>
      </w:r>
      <w:r>
        <w:rPr>
          <w:kern w:val="0"/>
        </w:rPr>
        <w:lastRenderedPageBreak/>
        <w:t>shifting for HIV treatment</w:t>
      </w:r>
      <w:r w:rsidR="00F81221">
        <w:rPr>
          <w:kern w:val="0"/>
        </w:rPr>
        <w:t xml:space="preserve"> and </w:t>
      </w:r>
      <w:r>
        <w:rPr>
          <w:kern w:val="0"/>
        </w:rPr>
        <w:t xml:space="preserve">care in Africa. </w:t>
      </w:r>
      <w:r w:rsidRPr="00FF466E">
        <w:rPr>
          <w:i/>
          <w:iCs/>
          <w:kern w:val="0"/>
        </w:rPr>
        <w:t>Human Resources for Health</w:t>
      </w:r>
      <w:r>
        <w:rPr>
          <w:kern w:val="0"/>
        </w:rPr>
        <w:t xml:space="preserve">, </w:t>
      </w:r>
      <w:r>
        <w:rPr>
          <w:b/>
          <w:bCs/>
          <w:kern w:val="0"/>
        </w:rPr>
        <w:t>8</w:t>
      </w:r>
      <w:r>
        <w:rPr>
          <w:rFonts w:hint="eastAsia"/>
          <w:kern w:val="0"/>
        </w:rPr>
        <w:t xml:space="preserve">, </w:t>
      </w:r>
      <w:r w:rsidRPr="000401E9">
        <w:t>Article Number: 8</w:t>
      </w:r>
      <w:r w:rsidRPr="000401E9">
        <w:rPr>
          <w:rFonts w:hint="eastAsia"/>
        </w:rPr>
        <w:t>.</w:t>
      </w:r>
    </w:p>
    <w:p w:rsidR="00FF466E" w:rsidRDefault="00FF466E" w:rsidP="00FF466E">
      <w:pPr>
        <w:pStyle w:val="a0"/>
        <w:rPr>
          <w:kern w:val="0"/>
        </w:rPr>
      </w:pPr>
      <w:r>
        <w:rPr>
          <w:rFonts w:hint="eastAsia"/>
        </w:rPr>
        <w:t xml:space="preserve">Full Text: </w:t>
      </w:r>
      <w:hyperlink r:id="rId695" w:history="1">
        <w:r w:rsidRPr="00FF466E">
          <w:rPr>
            <w:rStyle w:val="a5"/>
          </w:rPr>
          <w:t>2010\Hum Res Hea8, 8.pdf</w:t>
        </w:r>
      </w:hyperlink>
    </w:p>
    <w:p w:rsidR="00FF466E" w:rsidRDefault="00FF466E" w:rsidP="00FF466E">
      <w:pPr>
        <w:pStyle w:val="a0"/>
        <w:rPr>
          <w:kern w:val="0"/>
        </w:rPr>
      </w:pPr>
      <w:r>
        <w:rPr>
          <w:kern w:val="0"/>
        </w:rPr>
        <w:t>Abstract: Background: Shortages of human resources for health (HRH) have severely hampered the rollout of antiretroviral therapy (ART) in sub-Saharan Africa. Current rollout models are hospital-and physician-intensive. Task shifting, or delegating tasks performed by physicians to staff with lower-level qualifications, is considered a means of expanding rollout in resource-poor or HRH-limited settings. Methods: We conducted a systematic literature review. Medline, the Cochrane library, the Social Science Citation Index,</w:t>
      </w:r>
      <w:r w:rsidR="00F81221">
        <w:rPr>
          <w:kern w:val="0"/>
        </w:rPr>
        <w:t xml:space="preserve"> and </w:t>
      </w:r>
      <w:r>
        <w:rPr>
          <w:kern w:val="0"/>
        </w:rPr>
        <w:t>the South African National Health Research Database were searched with the following terms: task shift*, balance of care, non-physician clinicians, substitute health care worker, community care givers, primary healthcare teams, cadres,</w:t>
      </w:r>
      <w:r w:rsidR="00F81221">
        <w:rPr>
          <w:kern w:val="0"/>
        </w:rPr>
        <w:t xml:space="preserve"> and </w:t>
      </w:r>
      <w:r>
        <w:rPr>
          <w:kern w:val="0"/>
        </w:rPr>
        <w:t>nurs* HIV. We mined bibliographies</w:t>
      </w:r>
      <w:r w:rsidR="00F81221">
        <w:rPr>
          <w:kern w:val="0"/>
        </w:rPr>
        <w:t xml:space="preserve"> and </w:t>
      </w:r>
      <w:r>
        <w:rPr>
          <w:kern w:val="0"/>
        </w:rPr>
        <w:t>corresponded with authors for further results. Grey literature was searched online,</w:t>
      </w:r>
      <w:r w:rsidR="00F81221">
        <w:rPr>
          <w:kern w:val="0"/>
        </w:rPr>
        <w:t xml:space="preserve"> and </w:t>
      </w:r>
      <w:r>
        <w:rPr>
          <w:kern w:val="0"/>
        </w:rPr>
        <w:t>conference proceedings searched for abstracts. Results: We found 2960 articles, of which 84 were included in the core review. 51 reported outcomes, including research from 10 countries in sub-Saharan Africa. The most common intervention studied was the delegation of tasks (especially initiating</w:t>
      </w:r>
      <w:r w:rsidR="00F81221">
        <w:rPr>
          <w:kern w:val="0"/>
        </w:rPr>
        <w:t xml:space="preserve"> and </w:t>
      </w:r>
      <w:r>
        <w:rPr>
          <w:kern w:val="0"/>
        </w:rPr>
        <w:t>monitoring HAART) from doctors to nurses</w:t>
      </w:r>
      <w:r w:rsidR="00F81221">
        <w:rPr>
          <w:kern w:val="0"/>
        </w:rPr>
        <w:t xml:space="preserve"> and </w:t>
      </w:r>
      <w:r>
        <w:rPr>
          <w:kern w:val="0"/>
        </w:rPr>
        <w:t>other non-physician clinicians. Five studies showed increased access to HAART through expanded clinical capacity; two concluded task shifting is cost effective; 9 showed staff equal or better quality of care; studies on non-physician clinician agreement with physician decisions was mixed, with the majority showing good agreement. Conclusions: Task shifting is an effective strategy for addressing shortages of HRH in HIV treatment</w:t>
      </w:r>
      <w:r w:rsidR="00F81221">
        <w:rPr>
          <w:kern w:val="0"/>
        </w:rPr>
        <w:t xml:space="preserve"> and </w:t>
      </w:r>
      <w:r>
        <w:rPr>
          <w:kern w:val="0"/>
        </w:rPr>
        <w:t>care. Task shifting offers high-quality, cost-effective care to more patients than a physician-centered model. The main challenges to implementation include adequate</w:t>
      </w:r>
      <w:r w:rsidR="00F81221">
        <w:rPr>
          <w:kern w:val="0"/>
        </w:rPr>
        <w:t xml:space="preserve"> and </w:t>
      </w:r>
      <w:r>
        <w:rPr>
          <w:kern w:val="0"/>
        </w:rPr>
        <w:t>sustainable training, support</w:t>
      </w:r>
      <w:r w:rsidR="00F81221">
        <w:rPr>
          <w:kern w:val="0"/>
        </w:rPr>
        <w:t xml:space="preserve"> and </w:t>
      </w:r>
      <w:r>
        <w:rPr>
          <w:kern w:val="0"/>
        </w:rPr>
        <w:t>pay for staff in new roles, the integration of new members into healthcare teams,</w:t>
      </w:r>
      <w:r w:rsidR="00F81221">
        <w:rPr>
          <w:kern w:val="0"/>
        </w:rPr>
        <w:t xml:space="preserve"> and </w:t>
      </w:r>
      <w:r>
        <w:rPr>
          <w:kern w:val="0"/>
        </w:rPr>
        <w:t>the compliance of regulatory bodies. Task shifting should be considered for careful implementation where HRH shortages threaten rollout programmes.</w:t>
      </w:r>
    </w:p>
    <w:p w:rsidR="00FF466E" w:rsidRDefault="00FF466E" w:rsidP="00FF466E">
      <w:pPr>
        <w:pStyle w:val="a0"/>
        <w:rPr>
          <w:kern w:val="0"/>
        </w:rPr>
      </w:pPr>
      <w:r>
        <w:rPr>
          <w:kern w:val="0"/>
        </w:rPr>
        <w:t>Keywords: Africa, Antiretroviral Treatment, Articles, Bibliographies, Capacity, Citation, Community-Health Workers, Core, Database, Grey Literature, Health, Health Care, HIV, Human, Integration, Intervention, Literature, Literature Review, Medline, Model, Models, Monitoring, Nonphysician Clinician, Outcomes, Physician, Primary, Prospective Cohort, Research, Review, Scaling-up, Science, Science Citation Index, Social Science Citation Index, South-Africa, Sub-Saharan Africa, Support, Systematic Review, Task, Therapy, Training, Treatment, Uganda, Zambia</w:t>
      </w:r>
    </w:p>
    <w:p w:rsidR="00C54B72" w:rsidRPr="001A3D2B" w:rsidRDefault="00C54B72" w:rsidP="00C54B72">
      <w:pPr>
        <w:pStyle w:val="1"/>
      </w:pPr>
      <w:r w:rsidRPr="001A3D2B">
        <w:br w:type="page"/>
      </w:r>
      <w:bookmarkStart w:id="669" w:name="_Toc317161059"/>
      <w:r w:rsidRPr="001A3D2B">
        <w:lastRenderedPageBreak/>
        <w:t xml:space="preserve">Title: </w:t>
      </w:r>
      <w:r w:rsidRPr="007B019B">
        <w:rPr>
          <w:iCs/>
        </w:rPr>
        <w:t>Human Resources Management in the Knowledge Economy Era</w:t>
      </w:r>
      <w:bookmarkEnd w:id="669"/>
    </w:p>
    <w:p w:rsidR="00C54B72" w:rsidRPr="001A3D2B" w:rsidRDefault="00C54B72" w:rsidP="00B72EF9">
      <w:pPr>
        <w:pStyle w:val="12"/>
      </w:pPr>
      <w:r w:rsidRPr="001A3D2B">
        <w:t xml:space="preserve">Full Journal Title: </w:t>
      </w:r>
      <w:r w:rsidRPr="007B019B">
        <w:t>Human Resources Management in the Knowledge Economy Era</w:t>
      </w:r>
    </w:p>
    <w:p w:rsidR="00C54B72" w:rsidRPr="001A3D2B" w:rsidRDefault="00C54B72" w:rsidP="00B72EF9">
      <w:pPr>
        <w:pStyle w:val="12"/>
      </w:pPr>
      <w:r w:rsidRPr="001A3D2B">
        <w:t xml:space="preserve">ISO Abbreviated Title: </w:t>
      </w:r>
    </w:p>
    <w:p w:rsidR="00C54B72" w:rsidRPr="001A3D2B" w:rsidRDefault="00C54B72" w:rsidP="00B72EF9">
      <w:pPr>
        <w:pStyle w:val="12"/>
      </w:pPr>
      <w:r w:rsidRPr="001A3D2B">
        <w:t xml:space="preserve">JCR Abbreviated Title: </w:t>
      </w:r>
    </w:p>
    <w:p w:rsidR="00C54B72" w:rsidRPr="001A3D2B" w:rsidRDefault="00C54B72" w:rsidP="00B72EF9">
      <w:pPr>
        <w:pStyle w:val="12"/>
      </w:pPr>
      <w:r w:rsidRPr="001A3D2B">
        <w:t xml:space="preserve">ISSN: </w:t>
      </w:r>
    </w:p>
    <w:p w:rsidR="00C54B72" w:rsidRPr="001A3D2B" w:rsidRDefault="00C54B72" w:rsidP="00B72EF9">
      <w:pPr>
        <w:pStyle w:val="12"/>
      </w:pPr>
      <w:r w:rsidRPr="001A3D2B">
        <w:t xml:space="preserve">Issues/Year: </w:t>
      </w:r>
    </w:p>
    <w:p w:rsidR="00C54B72" w:rsidRPr="001A3D2B" w:rsidRDefault="00C54B72" w:rsidP="00B72EF9">
      <w:pPr>
        <w:pStyle w:val="12"/>
      </w:pPr>
      <w:r w:rsidRPr="001A3D2B">
        <w:t xml:space="preserve">Journal Country/Territory: </w:t>
      </w:r>
    </w:p>
    <w:p w:rsidR="00C54B72" w:rsidRPr="001A3D2B" w:rsidRDefault="00C54B72" w:rsidP="00B72EF9">
      <w:pPr>
        <w:pStyle w:val="12"/>
      </w:pPr>
      <w:r w:rsidRPr="001A3D2B">
        <w:t xml:space="preserve">Language: </w:t>
      </w:r>
    </w:p>
    <w:p w:rsidR="00C54B72" w:rsidRPr="001A3D2B" w:rsidRDefault="00C54B72" w:rsidP="00B72EF9">
      <w:pPr>
        <w:pStyle w:val="12"/>
      </w:pPr>
      <w:r w:rsidRPr="001A3D2B">
        <w:t xml:space="preserve">Publisher: </w:t>
      </w:r>
    </w:p>
    <w:p w:rsidR="00C54B72" w:rsidRPr="001A3D2B" w:rsidRDefault="00C54B72" w:rsidP="00B72EF9">
      <w:pPr>
        <w:pStyle w:val="12"/>
      </w:pPr>
      <w:r w:rsidRPr="001A3D2B">
        <w:t xml:space="preserve">Publisher Address: </w:t>
      </w:r>
    </w:p>
    <w:p w:rsidR="00C54B72" w:rsidRPr="001A3D2B" w:rsidRDefault="00C54B72" w:rsidP="00B72EF9">
      <w:pPr>
        <w:pStyle w:val="12"/>
      </w:pPr>
      <w:r w:rsidRPr="001A3D2B">
        <w:t>Subject Categories:</w:t>
      </w:r>
    </w:p>
    <w:p w:rsidR="00C54B72" w:rsidRPr="001A3D2B" w:rsidRDefault="00C54B72" w:rsidP="00B72EF9">
      <w:pPr>
        <w:pStyle w:val="12"/>
      </w:pPr>
      <w:r w:rsidRPr="001A3D2B">
        <w:t xml:space="preserve">: Impact Factor </w:t>
      </w:r>
    </w:p>
    <w:p w:rsidR="00C54B72" w:rsidRDefault="00C54B72" w:rsidP="00C54B72">
      <w:pPr>
        <w:pStyle w:val="a0"/>
        <w:rPr>
          <w:kern w:val="0"/>
        </w:rPr>
      </w:pPr>
      <w:r>
        <w:rPr>
          <w:rFonts w:hint="eastAsia"/>
          <w:kern w:val="0"/>
        </w:rPr>
        <w:t xml:space="preserve">? </w:t>
      </w:r>
      <w:r>
        <w:rPr>
          <w:kern w:val="0"/>
        </w:rPr>
        <w:t>Sun, M.</w:t>
      </w:r>
      <w:r w:rsidR="00F81221">
        <w:rPr>
          <w:kern w:val="0"/>
        </w:rPr>
        <w:t xml:space="preserve"> and </w:t>
      </w:r>
      <w:r>
        <w:rPr>
          <w:kern w:val="0"/>
        </w:rPr>
        <w:t xml:space="preserve">Bao, Y.Z. (2009), Bibliometric study on dissemination of management fashions in China. </w:t>
      </w:r>
      <w:r w:rsidRPr="007B019B">
        <w:rPr>
          <w:i/>
          <w:iCs/>
          <w:kern w:val="0"/>
        </w:rPr>
        <w:t>Human Resources Management in the Knowledge Economy Era</w:t>
      </w:r>
      <w:r>
        <w:rPr>
          <w:i/>
          <w:iCs/>
          <w:kern w:val="0"/>
        </w:rPr>
        <w:t xml:space="preserve">, </w:t>
      </w:r>
      <w:r>
        <w:rPr>
          <w:rFonts w:hint="eastAsia"/>
          <w:b/>
          <w:iCs/>
          <w:kern w:val="0"/>
        </w:rPr>
        <w:t>1-2</w:t>
      </w:r>
      <w:r>
        <w:rPr>
          <w:kern w:val="0"/>
        </w:rPr>
        <w:t>, 124-130.</w:t>
      </w:r>
    </w:p>
    <w:p w:rsidR="00C54B72" w:rsidRDefault="00C54B72" w:rsidP="00C54B72">
      <w:pPr>
        <w:pStyle w:val="a0"/>
        <w:rPr>
          <w:kern w:val="0"/>
        </w:rPr>
      </w:pPr>
      <w:r>
        <w:rPr>
          <w:kern w:val="0"/>
        </w:rPr>
        <w:t>Abstract: This paper conducts a bibliometric research on dissemination of management fashions in China. The study develops</w:t>
      </w:r>
      <w:r w:rsidR="00F81221">
        <w:rPr>
          <w:kern w:val="0"/>
        </w:rPr>
        <w:t xml:space="preserve"> and </w:t>
      </w:r>
      <w:r>
        <w:rPr>
          <w:kern w:val="0"/>
        </w:rPr>
        <w:t>tests three hypotheses in terms of structure of management fashions</w:t>
      </w:r>
      <w:r w:rsidR="000352E7">
        <w:rPr>
          <w:kern w:val="0"/>
        </w:rPr>
        <w:t>’</w:t>
      </w:r>
      <w:r>
        <w:rPr>
          <w:kern w:val="0"/>
        </w:rPr>
        <w:t xml:space="preserve"> consumers</w:t>
      </w:r>
      <w:r w:rsidR="00F81221">
        <w:rPr>
          <w:kern w:val="0"/>
        </w:rPr>
        <w:t xml:space="preserve"> and </w:t>
      </w:r>
      <w:r>
        <w:rPr>
          <w:kern w:val="0"/>
        </w:rPr>
        <w:t>the dissemination, motive of management fashions</w:t>
      </w:r>
      <w:r w:rsidR="000352E7">
        <w:rPr>
          <w:kern w:val="0"/>
        </w:rPr>
        <w:t>’</w:t>
      </w:r>
      <w:r>
        <w:rPr>
          <w:kern w:val="0"/>
        </w:rPr>
        <w:t xml:space="preserve"> demands</w:t>
      </w:r>
      <w:r w:rsidR="00F81221">
        <w:rPr>
          <w:kern w:val="0"/>
        </w:rPr>
        <w:t xml:space="preserve"> and </w:t>
      </w:r>
      <w:r>
        <w:rPr>
          <w:kern w:val="0"/>
        </w:rPr>
        <w:t>the dissemination</w:t>
      </w:r>
      <w:r w:rsidR="00F81221">
        <w:rPr>
          <w:kern w:val="0"/>
        </w:rPr>
        <w:t xml:space="preserve"> and </w:t>
      </w:r>
      <w:r>
        <w:rPr>
          <w:kern w:val="0"/>
        </w:rPr>
        <w:t>characteristics of the dissemination process. The analysis shows that management fashion</w:t>
      </w:r>
      <w:r w:rsidR="000352E7">
        <w:rPr>
          <w:kern w:val="0"/>
        </w:rPr>
        <w:t>’</w:t>
      </w:r>
      <w:r>
        <w:rPr>
          <w:kern w:val="0"/>
        </w:rPr>
        <w:t>s consumer structures are correlated with its dissemination curve,</w:t>
      </w:r>
      <w:r w:rsidR="00F81221">
        <w:rPr>
          <w:kern w:val="0"/>
        </w:rPr>
        <w:t xml:space="preserve"> and </w:t>
      </w:r>
      <w:r>
        <w:rPr>
          <w:kern w:val="0"/>
        </w:rPr>
        <w:t>the recent popular curve in China is closely bell shaped. Generally, Chinese scholars introduced management techniques into china as triggers</w:t>
      </w:r>
      <w:r w:rsidR="00F81221">
        <w:rPr>
          <w:kern w:val="0"/>
        </w:rPr>
        <w:t xml:space="preserve"> and </w:t>
      </w:r>
      <w:r>
        <w:rPr>
          <w:kern w:val="0"/>
        </w:rPr>
        <w:t>turned them into management fashions, which are characterized by high rationality in the early course of dissemination. The prevalent management fashions in China declined earlier</w:t>
      </w:r>
      <w:r w:rsidR="00F81221">
        <w:rPr>
          <w:kern w:val="0"/>
        </w:rPr>
        <w:t xml:space="preserve"> and </w:t>
      </w:r>
      <w:r>
        <w:rPr>
          <w:kern w:val="0"/>
        </w:rPr>
        <w:t>more rapidly in contrast to western countries. Finally, we come to the conclusions that the above phenomena result from Chinese scholars</w:t>
      </w:r>
      <w:r w:rsidR="000352E7">
        <w:rPr>
          <w:kern w:val="0"/>
        </w:rPr>
        <w:t>’</w:t>
      </w:r>
      <w:r>
        <w:rPr>
          <w:kern w:val="0"/>
        </w:rPr>
        <w:t xml:space="preserve"> lack of intensive studies on management fashions</w:t>
      </w:r>
      <w:r w:rsidR="000352E7">
        <w:rPr>
          <w:kern w:val="0"/>
        </w:rPr>
        <w:t>’</w:t>
      </w:r>
      <w:r>
        <w:rPr>
          <w:kern w:val="0"/>
        </w:rPr>
        <w:t xml:space="preserve"> applicability in China,</w:t>
      </w:r>
      <w:r w:rsidR="00F81221">
        <w:rPr>
          <w:kern w:val="0"/>
        </w:rPr>
        <w:t xml:space="preserve"> and </w:t>
      </w:r>
      <w:r>
        <w:rPr>
          <w:kern w:val="0"/>
        </w:rPr>
        <w:t>though management fashions in western countries would become fashionable in China promptly, scholars must avoid blind introduction to promote the development of Chinese management knowledge.</w:t>
      </w:r>
    </w:p>
    <w:p w:rsidR="00C54B72" w:rsidRDefault="00C54B72" w:rsidP="00C54B72">
      <w:pPr>
        <w:pStyle w:val="a0"/>
        <w:rPr>
          <w:kern w:val="0"/>
        </w:rPr>
      </w:pPr>
      <w:r>
        <w:rPr>
          <w:kern w:val="0"/>
        </w:rPr>
        <w:t>Keywords: Bibliometric, Bibliometric Research, Characteristics, China, Dissemination, Fads, Knowledge, Management Fashion, Management Technique, Research, Techniques</w:t>
      </w:r>
    </w:p>
    <w:p w:rsidR="00B95188" w:rsidRPr="00A428C3" w:rsidRDefault="00B95188" w:rsidP="00B95188">
      <w:pPr>
        <w:pStyle w:val="1"/>
      </w:pPr>
      <w:r w:rsidRPr="00A428C3">
        <w:br w:type="page"/>
      </w:r>
      <w:bookmarkStart w:id="670" w:name="_Toc186647793"/>
      <w:bookmarkStart w:id="671" w:name="_Toc317161060"/>
      <w:r w:rsidRPr="00A428C3">
        <w:lastRenderedPageBreak/>
        <w:t>Title: Human Toxicology</w:t>
      </w:r>
      <w:bookmarkEnd w:id="670"/>
      <w:bookmarkEnd w:id="671"/>
    </w:p>
    <w:p w:rsidR="00B95188" w:rsidRPr="00A428C3" w:rsidRDefault="00B95188" w:rsidP="00B95188">
      <w:pPr>
        <w:pStyle w:val="a0"/>
      </w:pPr>
      <w:r w:rsidRPr="00A428C3">
        <w:t>Pallapies, D., Klees, J., Conner, P.R.</w:t>
      </w:r>
      <w:r w:rsidR="00F81221">
        <w:t xml:space="preserve"> and </w:t>
      </w:r>
      <w:r w:rsidRPr="00A428C3">
        <w:t xml:space="preserve">Zober, A. (1996), Chemical emergency medical guidelines: Example of responsible care in an international chemical company. </w:t>
      </w:r>
      <w:r w:rsidRPr="00A428C3">
        <w:rPr>
          <w:i/>
          <w:iCs/>
        </w:rPr>
        <w:t>Human Toxicology</w:t>
      </w:r>
      <w:r w:rsidRPr="00A428C3">
        <w:t xml:space="preserve">, Poster Session </w:t>
      </w:r>
      <w:smartTag w:uri="urn:schemas-microsoft-com:office:smarttags" w:element="chmetcnv">
        <w:smartTagPr>
          <w:attr w:name="TCSC" w:val="0"/>
          <w:attr w:name="NumberType" w:val="1"/>
          <w:attr w:name="Negative" w:val="False"/>
          <w:attr w:name="HasSpace" w:val="False"/>
          <w:attr w:name="SourceValue" w:val="1"/>
          <w:attr w:name="UnitName" w:val="F"/>
        </w:smartTagPr>
        <w:r w:rsidRPr="00A428C3">
          <w:t>1F</w:t>
        </w:r>
      </w:smartTag>
      <w:r w:rsidRPr="00A428C3">
        <w:t>, 72-73.</w:t>
      </w:r>
    </w:p>
    <w:p w:rsidR="00B95188" w:rsidRPr="00A428C3" w:rsidRDefault="00B95188" w:rsidP="00B95188">
      <w:pPr>
        <w:pStyle w:val="1"/>
      </w:pPr>
      <w:r w:rsidRPr="00A428C3">
        <w:br w:type="page"/>
      </w:r>
      <w:bookmarkStart w:id="672" w:name="_Toc186647794"/>
      <w:bookmarkStart w:id="673" w:name="_Toc317161061"/>
      <w:r w:rsidRPr="00A428C3">
        <w:lastRenderedPageBreak/>
        <w:t>Title: Human &amp; Experimental Toxicology</w:t>
      </w:r>
      <w:bookmarkEnd w:id="672"/>
      <w:bookmarkEnd w:id="673"/>
    </w:p>
    <w:p w:rsidR="00B95188" w:rsidRPr="00A428C3" w:rsidRDefault="00B95188" w:rsidP="00B72EF9">
      <w:pPr>
        <w:pStyle w:val="12"/>
      </w:pPr>
      <w:r w:rsidRPr="00A428C3">
        <w:t>Full Journal Title: Human &amp; Experimental Toxicology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0144-5952</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Amer Chemical </w:t>
      </w:r>
      <w:smartTag w:uri="urn:schemas-microsoft-com:office:smarttags" w:element="place">
        <w:smartTag w:uri="urn:schemas-microsoft-com:office:smarttags" w:element="City">
          <w:r w:rsidRPr="00A428C3">
            <w:t>Soc</w:t>
          </w:r>
        </w:smartTag>
        <w:r w:rsidRPr="00A428C3">
          <w:t xml:space="preserve">, </w:t>
        </w:r>
        <w:smartTag w:uri="urn:schemas-microsoft-com:office:smarttags" w:element="State">
          <w:r w:rsidRPr="00A428C3">
            <w:t>Washington</w:t>
          </w:r>
        </w:smartTag>
      </w:smartTag>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Calabrese, E.J.</w:t>
      </w:r>
      <w:r w:rsidR="00F81221">
        <w:t xml:space="preserve"> and </w:t>
      </w:r>
      <w:r w:rsidRPr="00A428C3">
        <w:t xml:space="preserve">Baldwin, </w:t>
      </w:r>
      <w:smartTag w:uri="urn:schemas-microsoft-com:office:smarttags" w:element="place">
        <w:smartTag w:uri="urn:schemas-microsoft-com:office:smarttags" w:element="City">
          <w:r w:rsidRPr="00A428C3">
            <w:t>L.A.</w:t>
          </w:r>
        </w:smartTag>
      </w:smartTag>
      <w:r w:rsidRPr="00A428C3">
        <w:t xml:space="preserve"> (2000), The marginalization of hormesis. </w:t>
      </w:r>
      <w:r w:rsidRPr="00A428C3">
        <w:rPr>
          <w:i/>
          <w:iCs/>
        </w:rPr>
        <w:t>Human &amp; Experimental Toxicology</w:t>
      </w:r>
      <w:r w:rsidRPr="00A428C3">
        <w:t xml:space="preserve">, </w:t>
      </w:r>
      <w:r w:rsidRPr="00A428C3">
        <w:rPr>
          <w:b/>
        </w:rPr>
        <w:t>19</w:t>
      </w:r>
      <w:r w:rsidRPr="00A428C3">
        <w:t xml:space="preserve"> (1), 32-40.</w:t>
      </w:r>
    </w:p>
    <w:p w:rsidR="00B95188" w:rsidRPr="00A428C3" w:rsidRDefault="00B95188" w:rsidP="00B95188">
      <w:pPr>
        <w:pStyle w:val="a0"/>
      </w:pPr>
      <w:r w:rsidRPr="00A428C3">
        <w:t>Abstract: Despite the substantial development</w:t>
      </w:r>
      <w:r w:rsidR="00F81221">
        <w:t xml:space="preserve"> and </w:t>
      </w:r>
      <w:r w:rsidRPr="00A428C3">
        <w:t>publication of highly reproducible toxicological data, the concept of hormetic dose-response relationships was never integrated into the mainstream of toxicological thought. Review of the historical foundations of the interpretation of the bioassay</w:t>
      </w:r>
      <w:r w:rsidR="00F81221">
        <w:t xml:space="preserve"> and </w:t>
      </w:r>
      <w:r w:rsidRPr="00A428C3">
        <w:t>assessment of competitive theories of dose-response relationships lead to the conclusion that multiple factors contributed to the marginalization of hormesis during the middle</w:t>
      </w:r>
      <w:r w:rsidR="00F81221">
        <w:t xml:space="preserve"> and </w:t>
      </w:r>
      <w:r w:rsidRPr="00A428C3">
        <w:t>subsequent decades of the 20th century. These factors include: (a) the close-association of hormesis with homeopathy lead to the hostility of modern medicine toward homeopathy thereby creating a guilt by association framework,</w:t>
      </w:r>
      <w:r w:rsidR="00F81221">
        <w:t xml:space="preserve"> and </w:t>
      </w:r>
      <w:r w:rsidRPr="00A428C3">
        <w:t>the carry-over influence of that hostility in the judgements of medically-based pharmacologists/toxicologists toward hormesis; (b) the emphasis of high dose effects linked with a lack of appreciation of the significance of the implications of low dose stimulatory effects; (c) the lack of an evolutionary-based mechanism(s) to account for hermetic effects;</w:t>
      </w:r>
      <w:r w:rsidR="00F81221">
        <w:t xml:space="preserve"> and </w:t>
      </w:r>
      <w:r w:rsidRPr="00A428C3">
        <w:t>(d) the lack of appropriate scientific advocates to counter aggressive</w:t>
      </w:r>
      <w:r w:rsidR="00F81221">
        <w:t xml:space="preserve"> and </w:t>
      </w:r>
      <w:r w:rsidRPr="00A428C3">
        <w:t>intellectually powerful critics of the hermetic perspective.</w:t>
      </w:r>
    </w:p>
    <w:p w:rsidR="00B95188" w:rsidRPr="00A428C3" w:rsidRDefault="00B95188" w:rsidP="00B95188">
      <w:pPr>
        <w:pStyle w:val="a0"/>
      </w:pPr>
      <w:r w:rsidRPr="00A428C3">
        <w:t>Keywords: Hormesis, Low Dose, Stimulation, Beta-Curve, Chemical Hormesis</w:t>
      </w:r>
    </w:p>
    <w:p w:rsidR="00B95188" w:rsidRPr="00A428C3" w:rsidRDefault="00B95188" w:rsidP="00B95188">
      <w:pPr>
        <w:pStyle w:val="1"/>
      </w:pPr>
      <w:r w:rsidRPr="00A428C3">
        <w:br w:type="page"/>
      </w:r>
      <w:bookmarkStart w:id="674" w:name="_Toc186647795"/>
      <w:bookmarkStart w:id="675" w:name="_Toc317161062"/>
      <w:r w:rsidRPr="00A428C3">
        <w:lastRenderedPageBreak/>
        <w:t>Title: Humic</w:t>
      </w:r>
      <w:r w:rsidR="00F81221">
        <w:t xml:space="preserve"> and </w:t>
      </w:r>
      <w:r w:rsidRPr="00A428C3">
        <w:t>Fulvic Acids ACS Symposium Series</w:t>
      </w:r>
      <w:bookmarkEnd w:id="674"/>
      <w:bookmarkEnd w:id="675"/>
    </w:p>
    <w:p w:rsidR="00B95188" w:rsidRPr="00A428C3" w:rsidRDefault="00B95188" w:rsidP="00B95188">
      <w:pPr>
        <w:pStyle w:val="a0"/>
      </w:pPr>
      <w:r w:rsidRPr="00A428C3">
        <w:t>ACS Symposium Series 651</w:t>
      </w:r>
    </w:p>
    <w:p w:rsidR="00B95188" w:rsidRPr="00A428C3" w:rsidRDefault="00B95188" w:rsidP="00B72EF9">
      <w:pPr>
        <w:pStyle w:val="12"/>
      </w:pPr>
      <w:r w:rsidRPr="00A428C3">
        <w:t>Full Journal Title: Humic</w:t>
      </w:r>
      <w:r w:rsidR="00F81221">
        <w:t xml:space="preserve"> and </w:t>
      </w:r>
      <w:r w:rsidRPr="00A428C3">
        <w:t>Fulvic Acids ACS Symposium Series</w:t>
      </w:r>
    </w:p>
    <w:p w:rsidR="00B95188" w:rsidRPr="00A428C3" w:rsidRDefault="00B95188" w:rsidP="00B72EF9">
      <w:pPr>
        <w:pStyle w:val="12"/>
      </w:pPr>
      <w:r w:rsidRPr="00A428C3">
        <w:t>ISO Abbreviated Title: Acs. Sym. Ser.</w:t>
      </w:r>
    </w:p>
    <w:p w:rsidR="00B95188" w:rsidRPr="00A428C3" w:rsidRDefault="00B95188" w:rsidP="00B72EF9">
      <w:pPr>
        <w:pStyle w:val="12"/>
      </w:pPr>
      <w:r w:rsidRPr="00A428C3">
        <w:t>JCR Abbreviated Title: Acs Sym Ser</w:t>
      </w:r>
    </w:p>
    <w:p w:rsidR="00B95188" w:rsidRPr="00A428C3" w:rsidRDefault="00B95188" w:rsidP="00B72EF9">
      <w:pPr>
        <w:pStyle w:val="12"/>
      </w:pPr>
      <w:r w:rsidRPr="00A428C3">
        <w:t>ISSN: 0097-6156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Amer Chemical </w:t>
      </w:r>
      <w:smartTag w:uri="urn:schemas-microsoft-com:office:smarttags" w:element="place">
        <w:smartTag w:uri="urn:schemas-microsoft-com:office:smarttags" w:element="City">
          <w:r w:rsidRPr="00A428C3">
            <w:t>Soc</w:t>
          </w:r>
        </w:smartTag>
        <w:r w:rsidRPr="00A428C3">
          <w:t xml:space="preserve">, </w:t>
        </w:r>
        <w:smartTag w:uri="urn:schemas-microsoft-com:office:smarttags" w:element="State">
          <w:r w:rsidRPr="00A428C3">
            <w:t>Washington</w:t>
          </w:r>
        </w:smartTag>
      </w:smartTag>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Gaffney, J.S., Marley, N.A.</w:t>
      </w:r>
      <w:r w:rsidR="00F81221">
        <w:t xml:space="preserve"> and </w:t>
      </w:r>
      <w:r w:rsidRPr="00A428C3">
        <w:t>Clark, S.B. (1996), Humic</w:t>
      </w:r>
      <w:r w:rsidR="00F81221">
        <w:t xml:space="preserve"> and </w:t>
      </w:r>
      <w:r w:rsidRPr="00A428C3">
        <w:t>fulvic acids</w:t>
      </w:r>
      <w:r w:rsidR="00F81221">
        <w:t xml:space="preserve"> and </w:t>
      </w:r>
      <w:r w:rsidRPr="00A428C3">
        <w:t xml:space="preserve">organic colloidal materials in the environment. </w:t>
      </w:r>
      <w:r w:rsidRPr="00A428C3">
        <w:rPr>
          <w:i/>
          <w:iCs/>
        </w:rPr>
        <w:t>Humic</w:t>
      </w:r>
      <w:r w:rsidR="00F81221">
        <w:rPr>
          <w:i/>
          <w:iCs/>
        </w:rPr>
        <w:t xml:space="preserve"> and </w:t>
      </w:r>
      <w:r w:rsidRPr="00A428C3">
        <w:rPr>
          <w:i/>
          <w:iCs/>
        </w:rPr>
        <w:t>Fulvic Acids ACS Symposium Series</w:t>
      </w:r>
      <w:r w:rsidRPr="00A428C3">
        <w:t xml:space="preserve">, </w:t>
      </w:r>
      <w:r w:rsidRPr="00A428C3">
        <w:rPr>
          <w:b/>
        </w:rPr>
        <w:t>651</w:t>
      </w:r>
      <w:r w:rsidRPr="00A428C3">
        <w:t>, 2-16.</w:t>
      </w:r>
    </w:p>
    <w:p w:rsidR="00B95188" w:rsidRPr="00A428C3" w:rsidRDefault="00B95188" w:rsidP="00B95188">
      <w:pPr>
        <w:pStyle w:val="a0"/>
      </w:pPr>
      <w:r w:rsidRPr="00A428C3">
        <w:t>Keywords: Dissociation, Substances, Reduction, Kinetics, Binding</w:t>
      </w:r>
    </w:p>
    <w:p w:rsidR="00B95188" w:rsidRPr="00A428C3" w:rsidRDefault="00B95188" w:rsidP="00B95188">
      <w:pPr>
        <w:pStyle w:val="a0"/>
      </w:pPr>
      <w:r w:rsidRPr="00A428C3">
        <w:t>? Gaffney, J.S., Marley, N.A.</w:t>
      </w:r>
      <w:r w:rsidR="00F81221">
        <w:t xml:space="preserve"> and </w:t>
      </w:r>
      <w:r w:rsidRPr="00A428C3">
        <w:t>Orlandini, K.A. (1996), The use of hollow-fiber ultrafilters for the isolation of natural humic</w:t>
      </w:r>
      <w:r w:rsidR="00F81221">
        <w:t xml:space="preserve"> and </w:t>
      </w:r>
      <w:r w:rsidRPr="00A428C3">
        <w:t xml:space="preserve">fulvic acids. </w:t>
      </w:r>
      <w:r w:rsidRPr="00A428C3">
        <w:rPr>
          <w:i/>
          <w:iCs/>
        </w:rPr>
        <w:t>Humic</w:t>
      </w:r>
      <w:r w:rsidR="00F81221">
        <w:rPr>
          <w:i/>
          <w:iCs/>
        </w:rPr>
        <w:t xml:space="preserve"> and </w:t>
      </w:r>
      <w:r w:rsidRPr="00A428C3">
        <w:rPr>
          <w:i/>
          <w:iCs/>
        </w:rPr>
        <w:t>Fulvic Acids ACS Symposium Series</w:t>
      </w:r>
      <w:r w:rsidRPr="00A428C3">
        <w:t xml:space="preserve">, </w:t>
      </w:r>
      <w:r w:rsidRPr="00A428C3">
        <w:rPr>
          <w:b/>
        </w:rPr>
        <w:t>651</w:t>
      </w:r>
      <w:r w:rsidRPr="00A428C3">
        <w:t>, 26-40.</w:t>
      </w:r>
    </w:p>
    <w:p w:rsidR="00B95188" w:rsidRPr="00A428C3" w:rsidRDefault="00B95188" w:rsidP="00B95188">
      <w:pPr>
        <w:pStyle w:val="a0"/>
      </w:pPr>
      <w:r w:rsidRPr="00A428C3">
        <w:t>Abstract: Hollow-fiber ultrafiltration can be used to isolate natural humic</w:t>
      </w:r>
      <w:r w:rsidR="00F81221">
        <w:t xml:space="preserve"> and </w:t>
      </w:r>
      <w:r w:rsidRPr="00A428C3">
        <w:t>fulvic acids from surface</w:t>
      </w:r>
      <w:r w:rsidR="00F81221">
        <w:t xml:space="preserve"> and </w:t>
      </w:r>
      <w:r w:rsidRPr="00A428C3">
        <w:t>groundwaters for further chemical</w:t>
      </w:r>
      <w:r w:rsidR="00F81221">
        <w:t xml:space="preserve"> and </w:t>
      </w:r>
      <w:r w:rsidRPr="00A428C3">
        <w:t>physical characterization. Ultrafilters are particularly useful in the approximate sizing of colloidal humic</w:t>
      </w:r>
      <w:r w:rsidR="00F81221">
        <w:t xml:space="preserve"> and </w:t>
      </w:r>
      <w:r w:rsidRPr="00A428C3">
        <w:t>fulvic acids with effective diameters below 0.45 µm. By first using hollow-fiber filters</w:t>
      </w:r>
      <w:r w:rsidR="00F81221">
        <w:t xml:space="preserve"> and </w:t>
      </w:r>
      <w:r w:rsidRPr="00A428C3">
        <w:t>then stirred-cell flat ultrafiltration techniques, these naturally occurring organics can be separated into size fractions down to approximately 500 molecular weight. Sufficient material can be obtained by using these size-sampling methods to apply a number of chemical</w:t>
      </w:r>
      <w:r w:rsidR="00F81221">
        <w:t xml:space="preserve"> and </w:t>
      </w:r>
      <w:r w:rsidRPr="00A428C3">
        <w:t>physical characterization techniques. Examples are presented of size-specific data obtained for fulvic</w:t>
      </w:r>
      <w:r w:rsidR="00F81221">
        <w:t xml:space="preserve"> and </w:t>
      </w:r>
      <w:r w:rsidRPr="00A428C3">
        <w:t>humic acids with a variety of spectroscopic techniques (e.g., infrared, ultraviolet-visible, C-13 nuclear magnetic resonance,</w:t>
      </w:r>
      <w:r w:rsidR="00F81221">
        <w:t xml:space="preserve"> and </w:t>
      </w:r>
      <w:r w:rsidRPr="00A428C3">
        <w:t>mass spectroscopy)</w:t>
      </w:r>
      <w:r w:rsidR="00F81221">
        <w:t xml:space="preserve"> and </w:t>
      </w:r>
      <w:r w:rsidRPr="00A428C3">
        <w:t>pyrolysis gas chromatography. Inorganic trace element analysis</w:t>
      </w:r>
      <w:r w:rsidR="00F81221">
        <w:t xml:space="preserve"> and </w:t>
      </w:r>
      <w:r w:rsidRPr="00A428C3">
        <w:t>radiochemical characterization of the materials bound to the humic</w:t>
      </w:r>
      <w:r w:rsidR="00F81221">
        <w:t xml:space="preserve"> and </w:t>
      </w:r>
      <w:r w:rsidRPr="00A428C3">
        <w:t>fulvic size fractions can yield information on the geochemical importance of these natural organics in the migration of low-level wastes.</w:t>
      </w:r>
    </w:p>
    <w:p w:rsidR="00B95188" w:rsidRPr="00A428C3" w:rsidRDefault="00B95188" w:rsidP="00B95188">
      <w:pPr>
        <w:pStyle w:val="a0"/>
      </w:pPr>
      <w:r w:rsidRPr="00A428C3">
        <w:t>Keywords: Complexation, Substances, Transport, Mobility, Shallow, Aquifer, Matter, Waters, Soils</w:t>
      </w:r>
    </w:p>
    <w:p w:rsidR="00B95188" w:rsidRPr="00A428C3" w:rsidRDefault="00B95188" w:rsidP="00B95188">
      <w:pPr>
        <w:pStyle w:val="a0"/>
      </w:pPr>
      <w:r w:rsidRPr="00A428C3">
        <w:lastRenderedPageBreak/>
        <w:t>? Marley, N.A., Gaffney, J.S.</w:t>
      </w:r>
      <w:r w:rsidR="00F81221">
        <w:t xml:space="preserve"> and </w:t>
      </w:r>
      <w:r w:rsidRPr="00A428C3">
        <w:t>Orlandini, K.A. (1996), Characterization of aquatic humic</w:t>
      </w:r>
      <w:r w:rsidR="00F81221">
        <w:t xml:space="preserve"> and </w:t>
      </w:r>
      <w:r w:rsidRPr="00A428C3">
        <w:t xml:space="preserve">fulvic materials by cylindrical internal reflectance infrared spectroscopy. </w:t>
      </w:r>
      <w:r w:rsidRPr="00A428C3">
        <w:rPr>
          <w:i/>
          <w:iCs/>
        </w:rPr>
        <w:t>Humic</w:t>
      </w:r>
      <w:r w:rsidR="00F81221">
        <w:rPr>
          <w:i/>
          <w:iCs/>
        </w:rPr>
        <w:t xml:space="preserve"> and </w:t>
      </w:r>
      <w:r w:rsidRPr="00A428C3">
        <w:rPr>
          <w:i/>
          <w:iCs/>
        </w:rPr>
        <w:t>Fulvic Acids ACS Symposium Series</w:t>
      </w:r>
      <w:r w:rsidRPr="00A428C3">
        <w:t xml:space="preserve">, </w:t>
      </w:r>
      <w:r w:rsidRPr="00A428C3">
        <w:rPr>
          <w:b/>
        </w:rPr>
        <w:t>651</w:t>
      </w:r>
      <w:r w:rsidRPr="00A428C3">
        <w:t>, 96-107.</w:t>
      </w:r>
    </w:p>
    <w:p w:rsidR="00B95188" w:rsidRPr="00A428C3" w:rsidRDefault="00B95188" w:rsidP="00B95188">
      <w:pPr>
        <w:pStyle w:val="a0"/>
      </w:pPr>
      <w:r w:rsidRPr="00A428C3">
        <w:t>Abstract: Cylindrical internal reflectance (CIR) techniques have been applied to humic</w:t>
      </w:r>
      <w:r w:rsidR="00F81221">
        <w:t xml:space="preserve"> and </w:t>
      </w:r>
      <w:r w:rsidRPr="00A428C3">
        <w:t>fulvic acids that were size fractionated by using hollow-fiber ultrafiltration methods with cutoffs of 0.1 µm</w:t>
      </w:r>
      <w:r w:rsidR="00F81221">
        <w:t xml:space="preserve"> and </w:t>
      </w:r>
      <w:r w:rsidRPr="00A428C3">
        <w:t>100,000, 30,000, 10,000, 3,000,</w:t>
      </w:r>
      <w:r w:rsidR="00F81221">
        <w:t xml:space="preserve"> and </w:t>
      </w:r>
      <w:r w:rsidRPr="00A428C3">
        <w:t>500 molecular weight. The dissolved organic carbon</w:t>
      </w:r>
      <w:r w:rsidR="00F81221">
        <w:t xml:space="preserve"> and </w:t>
      </w:r>
      <w:r w:rsidRPr="00A428C3">
        <w:t>major cation contents were compared with the CIR spectra to estimate the active carboxylate units in each size fraction. Comparison of infrared spectra at various pH values for aquatic humics</w:t>
      </w:r>
      <w:r w:rsidR="00F81221">
        <w:t xml:space="preserve"> and </w:t>
      </w:r>
      <w:r w:rsidRPr="00A428C3">
        <w:t>for model polycarboxylate compounds (polymaleic acid</w:t>
      </w:r>
      <w:r w:rsidR="00F81221">
        <w:t xml:space="preserve"> and </w:t>
      </w:r>
      <w:r w:rsidRPr="00A428C3">
        <w:t>polyacrylic acid) indicated that the principal metal binding functionalities are carboxylate groups.</w:t>
      </w:r>
    </w:p>
    <w:p w:rsidR="00B95188" w:rsidRPr="00A428C3" w:rsidRDefault="00B95188" w:rsidP="00B95188">
      <w:pPr>
        <w:pStyle w:val="a0"/>
      </w:pPr>
      <w:r w:rsidRPr="00A428C3">
        <w:t>Keywords: Diffuse Reflectance, Raman-Spectroscopy, Natural-Waters, Acids, Substances, FT</w:t>
      </w:r>
    </w:p>
    <w:p w:rsidR="00B95188" w:rsidRPr="00A428C3" w:rsidRDefault="00B95188" w:rsidP="00B95188">
      <w:pPr>
        <w:pStyle w:val="a0"/>
      </w:pPr>
      <w:smartTag w:uri="urn:schemas-microsoft-com:office:smarttags" w:element="place">
        <w:smartTag w:uri="urn:schemas-microsoft-com:office:smarttags" w:element="City">
          <w:r w:rsidRPr="00A428C3">
            <w:t>Butler</w:t>
          </w:r>
        </w:smartTag>
      </w:smartTag>
      <w:r w:rsidRPr="00A428C3">
        <w:t>, G.C.</w:t>
      </w:r>
      <w:r w:rsidR="00F81221">
        <w:t xml:space="preserve"> and </w:t>
      </w:r>
      <w:r w:rsidRPr="00A428C3">
        <w:t>Ryan, D.K. (1996), Investigation of fulvic acid-Cu</w:t>
      </w:r>
      <w:r w:rsidRPr="00A428C3">
        <w:rPr>
          <w:vertAlign w:val="superscript"/>
        </w:rPr>
        <w:t>2+</w:t>
      </w:r>
      <w:r w:rsidRPr="00A428C3">
        <w:t xml:space="preserve"> complexation by ion-pair reversed-phase high-performance liquid chromatography with post-column fluorescence quenching titration. </w:t>
      </w:r>
      <w:r w:rsidRPr="00A428C3">
        <w:rPr>
          <w:i/>
          <w:iCs/>
        </w:rPr>
        <w:t>Humic</w:t>
      </w:r>
      <w:r w:rsidR="00F81221">
        <w:rPr>
          <w:i/>
          <w:iCs/>
        </w:rPr>
        <w:t xml:space="preserve"> and </w:t>
      </w:r>
      <w:r w:rsidRPr="00A428C3">
        <w:rPr>
          <w:i/>
          <w:iCs/>
        </w:rPr>
        <w:t>Fulvic Acids ACS Symposium Series</w:t>
      </w:r>
      <w:r w:rsidRPr="00A428C3">
        <w:t xml:space="preserve">, </w:t>
      </w:r>
      <w:r w:rsidRPr="00A428C3">
        <w:rPr>
          <w:b/>
        </w:rPr>
        <w:t>651</w:t>
      </w:r>
      <w:r w:rsidRPr="00A428C3">
        <w:t>, 140-150.</w:t>
      </w:r>
    </w:p>
    <w:p w:rsidR="00B95188" w:rsidRPr="00A428C3" w:rsidRDefault="00B95188" w:rsidP="00B95188">
      <w:pPr>
        <w:pStyle w:val="a0"/>
      </w:pPr>
      <w:r w:rsidRPr="00A428C3">
        <w:t>Abstract: An ion-pair reversed-phase high performance liquid chromatography (IP-RP-HPLC) separation with post-column addition of Cu</w:t>
      </w:r>
      <w:r w:rsidRPr="00A428C3">
        <w:rPr>
          <w:vertAlign w:val="superscript"/>
        </w:rPr>
        <w:t>2+</w:t>
      </w:r>
      <w:r w:rsidR="00F81221">
        <w:t xml:space="preserve"> and </w:t>
      </w:r>
      <w:r w:rsidRPr="00A428C3">
        <w:t>simultaneous UV</w:t>
      </w:r>
      <w:r w:rsidR="00F81221">
        <w:t xml:space="preserve"> and </w:t>
      </w:r>
      <w:r w:rsidRPr="00A428C3">
        <w:t>fluorescence detection is used to investigate the interactions between Cu</w:t>
      </w:r>
      <w:r w:rsidRPr="00A428C3">
        <w:rPr>
          <w:vertAlign w:val="superscript"/>
        </w:rPr>
        <w:t>2+</w:t>
      </w:r>
      <w:r w:rsidR="00F81221">
        <w:t xml:space="preserve"> and </w:t>
      </w:r>
      <w:r w:rsidRPr="00A428C3">
        <w:t>separated fractions of soil</w:t>
      </w:r>
      <w:r w:rsidR="00F81221">
        <w:t xml:space="preserve"> and </w:t>
      </w:r>
      <w:r w:rsidRPr="00A428C3">
        <w:t xml:space="preserve">water fulvic acids. In previous steady-state fluorescence experiments, binding characteristics for humic materials have been determined based on fluorescence quenching data from titrating the sample with paramagnetic metal ions. In the present study, the humic material fractions from the IP-RP-HPLC separation are </w:t>
      </w:r>
      <w:r w:rsidR="000352E7">
        <w:t>“</w:t>
      </w:r>
      <w:r w:rsidRPr="00A428C3">
        <w:t>titrated on-line</w:t>
      </w:r>
      <w:r w:rsidR="000352E7">
        <w:t>”</w:t>
      </w:r>
      <w:r w:rsidRPr="00A428C3">
        <w:t xml:space="preserve"> with incrementally increasing concentrations of Cu</w:t>
      </w:r>
      <w:r w:rsidRPr="00A428C3">
        <w:rPr>
          <w:vertAlign w:val="superscript"/>
        </w:rPr>
        <w:t>2+</w:t>
      </w:r>
      <w:r w:rsidR="00F81221">
        <w:t xml:space="preserve"> and </w:t>
      </w:r>
      <w:r w:rsidRPr="00A428C3">
        <w:t>the extent of quenching of the fluorescence peaks is measured. A titration curve of percent fluorescence vs. metal concentration is plotted for each fraction</w:t>
      </w:r>
      <w:r w:rsidR="00F81221">
        <w:t xml:space="preserve"> and </w:t>
      </w:r>
      <w:r w:rsidRPr="00A428C3">
        <w:t>the ligand concentrations (C-L)</w:t>
      </w:r>
      <w:r w:rsidR="00F81221">
        <w:t xml:space="preserve"> and </w:t>
      </w:r>
      <w:r w:rsidRPr="00A428C3">
        <w:t>conditional stability constants (K) are calculated from nonlinear regression of a one-site model applied to the data.</w:t>
      </w:r>
    </w:p>
    <w:p w:rsidR="00B95188" w:rsidRPr="00A428C3" w:rsidRDefault="00B95188" w:rsidP="00B95188">
      <w:pPr>
        <w:pStyle w:val="a0"/>
      </w:pPr>
      <w:r w:rsidRPr="00A428C3">
        <w:t>Keywords: Dissolved Organic-Matter, Humic-Acid, HPLC, Parameters, Stability, Waters</w:t>
      </w:r>
    </w:p>
    <w:p w:rsidR="00B95188" w:rsidRPr="00A428C3" w:rsidRDefault="00B95188" w:rsidP="00B95188">
      <w:pPr>
        <w:pStyle w:val="a0"/>
      </w:pPr>
      <w:r w:rsidRPr="00A428C3">
        <w:t xml:space="preserve">Zhang, Y.J., </w:t>
      </w:r>
      <w:smartTag w:uri="urn:schemas-microsoft-com:office:smarttags" w:element="place">
        <w:smartTag w:uri="urn:schemas-microsoft-com:office:smarttags" w:element="City">
          <w:r w:rsidRPr="00A428C3">
            <w:t>Bryan</w:t>
          </w:r>
        </w:smartTag>
        <w:r w:rsidRPr="00A428C3">
          <w:t xml:space="preserve">, </w:t>
        </w:r>
        <w:smartTag w:uri="urn:schemas-microsoft-com:office:smarttags" w:element="State">
          <w:r w:rsidRPr="00A428C3">
            <w:t>N.D.</w:t>
          </w:r>
        </w:smartTag>
      </w:smartTag>
      <w:r w:rsidRPr="00A428C3">
        <w:t>, Livens, F.R.</w:t>
      </w:r>
      <w:r w:rsidR="00F81221">
        <w:t xml:space="preserve"> and </w:t>
      </w:r>
      <w:r w:rsidRPr="00A428C3">
        <w:t xml:space="preserve">Jones, M.N. (1996), Complexing of metal ions by humic substances. </w:t>
      </w:r>
      <w:r w:rsidRPr="00A428C3">
        <w:rPr>
          <w:i/>
          <w:iCs/>
        </w:rPr>
        <w:t>Humic</w:t>
      </w:r>
      <w:r w:rsidR="00F81221">
        <w:rPr>
          <w:i/>
          <w:iCs/>
        </w:rPr>
        <w:t xml:space="preserve"> and </w:t>
      </w:r>
      <w:r w:rsidRPr="00A428C3">
        <w:rPr>
          <w:i/>
          <w:iCs/>
        </w:rPr>
        <w:t>Fulvic Acids ACS Symposium Series</w:t>
      </w:r>
      <w:r w:rsidRPr="00A428C3">
        <w:t xml:space="preserve">, </w:t>
      </w:r>
      <w:r w:rsidRPr="00A428C3">
        <w:rPr>
          <w:b/>
        </w:rPr>
        <w:t>651</w:t>
      </w:r>
      <w:r w:rsidRPr="00A428C3">
        <w:t>, 194-206.</w:t>
      </w:r>
    </w:p>
    <w:p w:rsidR="00B95188" w:rsidRPr="00A428C3" w:rsidRDefault="00B95188" w:rsidP="00B95188">
      <w:pPr>
        <w:pStyle w:val="a0"/>
      </w:pPr>
      <w:r w:rsidRPr="00A428C3">
        <w:t>Abstract: The interaction of metal ions with humic substances is being studied using two different techniques. UV-scanning ultracentrifugation is being used to determine molecular weights</w:t>
      </w:r>
      <w:r w:rsidR="00F81221">
        <w:t xml:space="preserve"> and </w:t>
      </w:r>
      <w:r w:rsidRPr="00A428C3">
        <w:t>to investigate changes in aggregation brought about by metal ion complexation. The relationship between cation charge</w:t>
      </w:r>
      <w:r w:rsidR="00F81221">
        <w:t xml:space="preserve"> and </w:t>
      </w:r>
      <w:r w:rsidRPr="00A428C3">
        <w:t xml:space="preserve">conformation of the </w:t>
      </w:r>
      <w:r w:rsidRPr="00A428C3">
        <w:lastRenderedPageBreak/>
        <w:t>humic ligands is being investigated.</w:t>
      </w:r>
    </w:p>
    <w:p w:rsidR="00B95188" w:rsidRPr="00A428C3" w:rsidRDefault="00B95188" w:rsidP="00B95188">
      <w:pPr>
        <w:pStyle w:val="a0"/>
      </w:pPr>
      <w:r w:rsidRPr="00A428C3">
        <w:t>The complexation of U by humic substances from soils contaminated by natural processes is also being studied. Gel permeation chromatography has been used to show that different fractions of humic substances vary greatly in their effectiveness as ligands. These studies have also shown that uranium desorption is redistributed slowly between different fractions of humic substances following its initial adsorption.</w:t>
      </w:r>
    </w:p>
    <w:p w:rsidR="00B95188" w:rsidRPr="00A428C3" w:rsidRDefault="00B95188" w:rsidP="00B95188">
      <w:pPr>
        <w:pStyle w:val="a0"/>
      </w:pPr>
      <w:r w:rsidRPr="00A428C3">
        <w:t>Keywords: Gel-Permeation Chromatography, Molecular-Weight Distribution, Aquatic Fulvic-Acid, Organic-Matter, Natural-Waters, Copper-Binding, Soil, Complexation, Aggregation, Filtration</w:t>
      </w:r>
    </w:p>
    <w:p w:rsidR="00B95188" w:rsidRPr="00A428C3" w:rsidRDefault="00B95188" w:rsidP="00B95188">
      <w:pPr>
        <w:pStyle w:val="1"/>
      </w:pPr>
      <w:r w:rsidRPr="00A428C3">
        <w:br w:type="page"/>
      </w:r>
      <w:bookmarkStart w:id="676" w:name="_Toc487190697"/>
      <w:bookmarkStart w:id="677" w:name="_Toc487882201"/>
      <w:bookmarkStart w:id="678" w:name="_Toc490688015"/>
      <w:bookmarkStart w:id="679" w:name="_Toc492807676"/>
      <w:bookmarkStart w:id="680" w:name="_Toc186647796"/>
      <w:bookmarkStart w:id="681" w:name="_Toc317161063"/>
      <w:r w:rsidRPr="00A428C3">
        <w:lastRenderedPageBreak/>
        <w:t>Title: Humic Substances in the Environment</w:t>
      </w:r>
      <w:bookmarkEnd w:id="676"/>
      <w:bookmarkEnd w:id="677"/>
      <w:bookmarkEnd w:id="678"/>
      <w:bookmarkEnd w:id="679"/>
      <w:bookmarkEnd w:id="680"/>
      <w:bookmarkEnd w:id="681"/>
    </w:p>
    <w:p w:rsidR="00B95188" w:rsidRPr="00A428C3" w:rsidRDefault="00B95188" w:rsidP="00B95188">
      <w:pPr>
        <w:pStyle w:val="a0"/>
      </w:pPr>
      <w:r w:rsidRPr="00A428C3">
        <w:t xml:space="preserve">Marcel </w:t>
      </w:r>
      <w:smartTag w:uri="urn:schemas-microsoft-com:office:smarttags" w:element="place">
        <w:smartTag w:uri="urn:schemas-microsoft-com:office:smarttags" w:element="City">
          <w:r w:rsidRPr="00A428C3">
            <w:t>Dekker</w:t>
          </w:r>
        </w:smartTag>
        <w:r w:rsidRPr="00A428C3">
          <w:t xml:space="preserve">, </w:t>
        </w:r>
        <w:smartTag w:uri="urn:schemas-microsoft-com:office:smarttags" w:element="State">
          <w:r w:rsidRPr="00A428C3">
            <w:t>New York</w:t>
          </w:r>
        </w:smartTag>
      </w:smartTag>
    </w:p>
    <w:p w:rsidR="00B95188" w:rsidRPr="00A428C3" w:rsidRDefault="00B95188" w:rsidP="00B95188">
      <w:pPr>
        <w:pStyle w:val="a0"/>
      </w:pPr>
      <w:r w:rsidRPr="00A428C3">
        <w:t>? Schnitzer, M.</w:t>
      </w:r>
      <w:r w:rsidR="00F81221">
        <w:t xml:space="preserve"> and </w:t>
      </w:r>
      <w:r w:rsidRPr="00A428C3">
        <w:t xml:space="preserve">Khan, S.U. (1972), </w:t>
      </w:r>
      <w:r w:rsidRPr="00A428C3">
        <w:rPr>
          <w:i/>
        </w:rPr>
        <w:t>Humic Substances in the Environment</w:t>
      </w:r>
      <w:r w:rsidRPr="00A428C3">
        <w:t xml:space="preserve">. Marcel </w:t>
      </w:r>
      <w:smartTag w:uri="urn:schemas-microsoft-com:office:smarttags" w:element="place">
        <w:smartTag w:uri="urn:schemas-microsoft-com:office:smarttags" w:element="City">
          <w:r w:rsidRPr="00A428C3">
            <w:t>Dekker</w:t>
          </w:r>
        </w:smartTag>
        <w:r w:rsidRPr="00A428C3">
          <w:t xml:space="preserve">, </w:t>
        </w:r>
        <w:smartTag w:uri="urn:schemas-microsoft-com:office:smarttags" w:element="State">
          <w:r w:rsidRPr="00A428C3">
            <w:t>New York</w:t>
          </w:r>
        </w:smartTag>
      </w:smartTag>
      <w:r w:rsidRPr="00A428C3">
        <w:t>.</w:t>
      </w:r>
    </w:p>
    <w:p w:rsidR="00B95188" w:rsidRPr="00A428C3" w:rsidRDefault="00B95188" w:rsidP="00B95188">
      <w:pPr>
        <w:pStyle w:val="1"/>
      </w:pPr>
      <w:r w:rsidRPr="00A428C3">
        <w:br w:type="page"/>
      </w:r>
      <w:bookmarkStart w:id="682" w:name="_Toc487190698"/>
      <w:bookmarkStart w:id="683" w:name="_Toc487882202"/>
      <w:bookmarkStart w:id="684" w:name="_Toc490688016"/>
      <w:bookmarkStart w:id="685" w:name="_Toc492807677"/>
      <w:bookmarkStart w:id="686" w:name="_Toc186647797"/>
      <w:bookmarkStart w:id="687" w:name="_Toc317161064"/>
      <w:r w:rsidRPr="00A428C3">
        <w:lastRenderedPageBreak/>
        <w:t xml:space="preserve">Title: Humic Substances in the </w:t>
      </w:r>
      <w:smartTag w:uri="urn:schemas-microsoft-com:office:smarttags" w:element="PlaceName">
        <w:r w:rsidRPr="00A428C3">
          <w:t>Suwanne</w:t>
        </w:r>
      </w:smartTag>
      <w:r w:rsidRPr="00A428C3">
        <w:t xml:space="preserve"> </w:t>
      </w:r>
      <w:smartTag w:uri="urn:schemas-microsoft-com:office:smarttags" w:element="PlaceType">
        <w:r w:rsidRPr="00A428C3">
          <w:t>River</w:t>
        </w:r>
      </w:smartTag>
      <w:r w:rsidRPr="00A428C3">
        <w:t xml:space="preserve">, </w:t>
      </w:r>
      <w:smartTag w:uri="urn:schemas-microsoft-com:office:smarttags" w:element="place">
        <w:smartTag w:uri="urn:schemas-microsoft-com:office:smarttags" w:element="country-region">
          <w:r w:rsidRPr="00A428C3">
            <w:t>Georgia</w:t>
          </w:r>
        </w:smartTag>
      </w:smartTag>
      <w:r w:rsidRPr="00A428C3">
        <w:t>: Interactions, Properties</w:t>
      </w:r>
      <w:r w:rsidR="00F81221">
        <w:t xml:space="preserve"> and </w:t>
      </w:r>
      <w:r w:rsidRPr="00A428C3">
        <w:t>Proposed Structure</w:t>
      </w:r>
      <w:bookmarkEnd w:id="682"/>
      <w:bookmarkEnd w:id="683"/>
      <w:bookmarkEnd w:id="684"/>
      <w:bookmarkEnd w:id="685"/>
      <w:bookmarkEnd w:id="686"/>
      <w:bookmarkEnd w:id="687"/>
    </w:p>
    <w:p w:rsidR="00B95188" w:rsidRPr="00A428C3" w:rsidRDefault="00B95188" w:rsidP="00B95188">
      <w:pPr>
        <w:pStyle w:val="a0"/>
      </w:pPr>
      <w:smartTag w:uri="urn:schemas-microsoft-com:office:smarttags" w:element="country-region">
        <w:r w:rsidRPr="00A428C3">
          <w:t>US</w:t>
        </w:r>
      </w:smartTag>
      <w:r w:rsidRPr="00A428C3">
        <w:t xml:space="preserve"> Government Printing Office, </w:t>
      </w:r>
      <w:smartTag w:uri="urn:schemas-microsoft-com:office:smarttags" w:element="place">
        <w:smartTag w:uri="urn:schemas-microsoft-com:office:smarttags" w:element="City">
          <w:r w:rsidRPr="00A428C3">
            <w:t>Washington</w:t>
          </w:r>
        </w:smartTag>
        <w:r w:rsidRPr="00A428C3">
          <w:t xml:space="preserve"> </w:t>
        </w:r>
        <w:smartTag w:uri="urn:schemas-microsoft-com:office:smarttags" w:element="State">
          <w:r w:rsidRPr="00A428C3">
            <w:t>DC</w:t>
          </w:r>
        </w:smartTag>
      </w:smartTag>
    </w:p>
    <w:p w:rsidR="00B95188" w:rsidRPr="00A428C3" w:rsidRDefault="00B95188" w:rsidP="00B95188">
      <w:pPr>
        <w:pStyle w:val="a0"/>
      </w:pPr>
      <w:r w:rsidRPr="00A428C3">
        <w:t>? Averett, R.C., Leenheer, J.A., McKnight, D.M.</w:t>
      </w:r>
      <w:r w:rsidR="00F81221">
        <w:t xml:space="preserve"> and </w:t>
      </w:r>
      <w:r w:rsidRPr="00A428C3">
        <w:t xml:space="preserve">Thorm, K.A. (1994), </w:t>
      </w:r>
      <w:r w:rsidRPr="00A428C3">
        <w:rPr>
          <w:i/>
        </w:rPr>
        <w:t xml:space="preserve">Humic Substances in the Suwanne </w:t>
      </w:r>
      <w:smartTag w:uri="urn:schemas-microsoft-com:office:smarttags" w:element="place">
        <w:smartTag w:uri="urn:schemas-microsoft-com:office:smarttags" w:element="City">
          <w:r w:rsidRPr="00A428C3">
            <w:rPr>
              <w:i/>
            </w:rPr>
            <w:t>River</w:t>
          </w:r>
        </w:smartTag>
        <w:r w:rsidRPr="00A428C3">
          <w:rPr>
            <w:iCs/>
          </w:rPr>
          <w:t xml:space="preserve">, </w:t>
        </w:r>
        <w:smartTag w:uri="urn:schemas-microsoft-com:office:smarttags" w:element="country-region">
          <w:r w:rsidRPr="00A428C3">
            <w:rPr>
              <w:i/>
            </w:rPr>
            <w:t>Georgia</w:t>
          </w:r>
        </w:smartTag>
      </w:smartTag>
      <w:r w:rsidRPr="00A428C3">
        <w:rPr>
          <w:i/>
        </w:rPr>
        <w:t>: Interactions</w:t>
      </w:r>
      <w:r w:rsidRPr="00A428C3">
        <w:rPr>
          <w:iCs/>
        </w:rPr>
        <w:t xml:space="preserve">, </w:t>
      </w:r>
      <w:r w:rsidRPr="00A428C3">
        <w:rPr>
          <w:i/>
        </w:rPr>
        <w:t>Properties</w:t>
      </w:r>
      <w:r w:rsidR="00F81221">
        <w:rPr>
          <w:i/>
        </w:rPr>
        <w:t xml:space="preserve"> and </w:t>
      </w:r>
      <w:r w:rsidRPr="00A428C3">
        <w:rPr>
          <w:i/>
        </w:rPr>
        <w:t>Proposed Structure</w:t>
      </w:r>
      <w:r w:rsidRPr="00A428C3">
        <w:t xml:space="preserve">. </w:t>
      </w:r>
      <w:smartTag w:uri="urn:schemas-microsoft-com:office:smarttags" w:element="country-region">
        <w:r w:rsidRPr="00A428C3">
          <w:t>US</w:t>
        </w:r>
      </w:smartTag>
      <w:r w:rsidRPr="00A428C3">
        <w:t xml:space="preserve"> Government Printing Office, </w:t>
      </w:r>
      <w:smartTag w:uri="urn:schemas-microsoft-com:office:smarttags" w:element="place">
        <w:smartTag w:uri="urn:schemas-microsoft-com:office:smarttags" w:element="City">
          <w:r w:rsidRPr="00A428C3">
            <w:t>Washington</w:t>
          </w:r>
        </w:smartTag>
        <w:r w:rsidRPr="00A428C3">
          <w:t xml:space="preserve"> </w:t>
        </w:r>
        <w:smartTag w:uri="urn:schemas-microsoft-com:office:smarttags" w:element="State">
          <w:r w:rsidRPr="00A428C3">
            <w:t>DC</w:t>
          </w:r>
        </w:smartTag>
      </w:smartTag>
      <w:r w:rsidRPr="00A428C3">
        <w:t>, 224-233.</w:t>
      </w:r>
    </w:p>
    <w:p w:rsidR="00B95188" w:rsidRPr="00A428C3" w:rsidRDefault="00B95188" w:rsidP="00B95188">
      <w:pPr>
        <w:pStyle w:val="1"/>
      </w:pPr>
      <w:r w:rsidRPr="00A428C3">
        <w:br w:type="page"/>
      </w:r>
      <w:bookmarkStart w:id="688" w:name="_Toc487882203"/>
      <w:bookmarkStart w:id="689" w:name="_Toc490688017"/>
      <w:bookmarkStart w:id="690" w:name="_Toc492807678"/>
      <w:bookmarkStart w:id="691" w:name="_Toc186647798"/>
      <w:bookmarkStart w:id="692" w:name="_Toc317161065"/>
      <w:r w:rsidRPr="00A428C3">
        <w:lastRenderedPageBreak/>
        <w:t>Title: Hungarian Journal of Industrial Chemistry</w:t>
      </w:r>
      <w:bookmarkEnd w:id="688"/>
      <w:bookmarkEnd w:id="689"/>
      <w:bookmarkEnd w:id="690"/>
      <w:bookmarkEnd w:id="691"/>
      <w:bookmarkEnd w:id="692"/>
    </w:p>
    <w:p w:rsidR="00B95188" w:rsidRPr="00A428C3" w:rsidRDefault="00B95188" w:rsidP="00B72EF9">
      <w:pPr>
        <w:pStyle w:val="12"/>
      </w:pPr>
      <w:r w:rsidRPr="00A428C3">
        <w:t>Full Journal Title: Hungarian Journal of Industrial Chemistry</w:t>
      </w:r>
    </w:p>
    <w:p w:rsidR="00B95188" w:rsidRPr="00A428C3" w:rsidRDefault="00B95188" w:rsidP="00B72EF9">
      <w:pPr>
        <w:pStyle w:val="12"/>
      </w:pPr>
      <w:r w:rsidRPr="00A428C3">
        <w:t>ISO Abbreviated Title: Hung. J. Ind. Chem.</w:t>
      </w:r>
    </w:p>
    <w:p w:rsidR="00B95188" w:rsidRPr="00A428C3" w:rsidRDefault="00B95188" w:rsidP="00B72EF9">
      <w:pPr>
        <w:pStyle w:val="12"/>
      </w:pPr>
      <w:r w:rsidRPr="00A428C3">
        <w:t>JCR Abbreviated Title: Hung J Ind Chem</w:t>
      </w:r>
    </w:p>
    <w:p w:rsidR="00B95188" w:rsidRPr="00A428C3" w:rsidRDefault="00B95188" w:rsidP="00B72EF9">
      <w:pPr>
        <w:pStyle w:val="12"/>
      </w:pPr>
      <w:r w:rsidRPr="00A428C3">
        <w:t>ISSN: 0133-0276</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Hungary</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Research Inst Technical Chemistry of Hungarian Acad Sciences</w:t>
      </w:r>
    </w:p>
    <w:p w:rsidR="00B95188" w:rsidRPr="00A428C3" w:rsidRDefault="00B95188" w:rsidP="00B72EF9">
      <w:pPr>
        <w:pStyle w:val="12"/>
      </w:pPr>
      <w:r w:rsidRPr="00A428C3">
        <w:t xml:space="preserve">Publisher Address: Editorial Buro Hung J Ind Chem </w:t>
      </w:r>
      <w:smartTag w:uri="urn:schemas-microsoft-com:office:smarttags" w:element="address">
        <w:smartTag w:uri="urn:schemas-microsoft-com:office:smarttags" w:element="Street">
          <w:r w:rsidRPr="00A428C3">
            <w:t>PO Box</w:t>
          </w:r>
        </w:smartTag>
        <w:r w:rsidRPr="00A428C3">
          <w:t xml:space="preserve"> 125</w:t>
        </w:r>
      </w:smartTag>
      <w:r w:rsidRPr="00A428C3">
        <w:t xml:space="preserve">, H-8201 </w:t>
      </w:r>
      <w:smartTag w:uri="urn:schemas-microsoft-com:office:smarttags" w:element="place">
        <w:smartTag w:uri="urn:schemas-microsoft-com:office:smarttags" w:element="City">
          <w:r w:rsidRPr="00A428C3">
            <w:t>Veszprem</w:t>
          </w:r>
        </w:smartTag>
        <w:r w:rsidRPr="00A428C3">
          <w:t xml:space="preserve">, </w:t>
        </w:r>
        <w:smartTag w:uri="urn:schemas-microsoft-com:office:smarttags" w:element="country-region">
          <w:r w:rsidRPr="00A428C3">
            <w:t>Hungary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Applied Chemistry: Impact Factor</w:t>
      </w:r>
    </w:p>
    <w:p w:rsidR="00B95188" w:rsidRPr="00A428C3" w:rsidRDefault="00B95188" w:rsidP="00B72EF9">
      <w:pPr>
        <w:pStyle w:val="12"/>
      </w:pPr>
      <w:r w:rsidRPr="00A428C3">
        <w:t>Engineering, Chemical: Impact Factor 0.294, 75/110 (1999)</w:t>
      </w:r>
    </w:p>
    <w:p w:rsidR="00B95188" w:rsidRPr="00A428C3" w:rsidRDefault="00B95188" w:rsidP="00B95188">
      <w:pPr>
        <w:pStyle w:val="a0"/>
      </w:pPr>
      <w:r w:rsidRPr="00A428C3">
        <w:t>? Sarbak, Z.</w:t>
      </w:r>
      <w:r w:rsidR="00F81221">
        <w:t xml:space="preserve"> and </w:t>
      </w:r>
      <w:r w:rsidRPr="00A428C3">
        <w:t>Kramer-Wachowiak, M. (1998), Structural, thermal</w:t>
      </w:r>
      <w:r w:rsidR="00F81221">
        <w:t xml:space="preserve"> and </w:t>
      </w:r>
      <w:r w:rsidRPr="00A428C3">
        <w:t xml:space="preserve">adsorption properties of chemically modified fly ash. </w:t>
      </w:r>
      <w:r w:rsidRPr="00A428C3">
        <w:rPr>
          <w:i/>
          <w:iCs/>
        </w:rPr>
        <w:t>Hungarian Journal of Industrial Chemistry</w:t>
      </w:r>
      <w:r w:rsidRPr="00A428C3">
        <w:t xml:space="preserve">, </w:t>
      </w:r>
      <w:r w:rsidRPr="00A428C3">
        <w:rPr>
          <w:b/>
        </w:rPr>
        <w:t>26</w:t>
      </w:r>
      <w:r w:rsidRPr="00A428C3">
        <w:t xml:space="preserve"> (2), 101-104.</w:t>
      </w:r>
    </w:p>
    <w:p w:rsidR="00B95188" w:rsidRPr="00A428C3" w:rsidRDefault="00B95188" w:rsidP="00B95188">
      <w:pPr>
        <w:pStyle w:val="a0"/>
      </w:pPr>
      <w:r w:rsidRPr="00A428C3">
        <w:t>Abstract: Fly ash from the Poznan-Garbary Power Plant was modified with NaOH, NH4HCO3/NaOH, EDTA</w:t>
      </w:r>
      <w:r w:rsidR="00F81221">
        <w:t xml:space="preserve"> and </w:t>
      </w:r>
      <w:r w:rsidRPr="00A428C3">
        <w:t>HCl solutions. On the basis of X-ray diffraction, infrared spectroscopy</w:t>
      </w:r>
      <w:r w:rsidR="00F81221">
        <w:t xml:space="preserve"> and </w:t>
      </w:r>
      <w:r w:rsidRPr="00A428C3">
        <w:t>thermal analysis, it was found that chemically modified fly ashes showed crystalline structures similar to that of zeolites. The samples obtained were examined in adsorptive removal of n-butylamine as a model air odorizing compound. Fly ash modified with NaOH</w:t>
      </w:r>
      <w:r w:rsidR="00F81221">
        <w:t xml:space="preserve"> and </w:t>
      </w:r>
      <w:r w:rsidRPr="00A428C3">
        <w:t>NH4HCO3/NaOH solutions showed the highest adsorption properties.</w:t>
      </w:r>
    </w:p>
    <w:p w:rsidR="00B95188" w:rsidRPr="00A428C3" w:rsidRDefault="00B95188" w:rsidP="00B95188">
      <w:pPr>
        <w:pStyle w:val="a0"/>
      </w:pPr>
      <w:r w:rsidRPr="00A428C3">
        <w:t>Keywords: Adsorption, Adsorption Properties, Air, Analysis, Ash, Ashes, Crystalline Structures, EDTA, Fly Ash, HCl, Infrared Spectroscopy, Model, Modified, Properties, Spectroscopy, Thermal Analysis, X-Ray Diffraction</w:t>
      </w:r>
    </w:p>
    <w:p w:rsidR="00B95188" w:rsidRPr="00A428C3" w:rsidRDefault="00B95188" w:rsidP="00B95188">
      <w:pPr>
        <w:pStyle w:val="a0"/>
      </w:pPr>
      <w:r w:rsidRPr="00A428C3">
        <w:t>? Ranganathan, K.</w:t>
      </w:r>
      <w:r w:rsidR="00F81221">
        <w:t xml:space="preserve"> and </w:t>
      </w:r>
      <w:r w:rsidRPr="00A428C3">
        <w:t>Namasivayam, C. (1998), Utilisation of waste Fe(III)/Cr(III) hydroxide for removal of Cr(VI)</w:t>
      </w:r>
      <w:r w:rsidR="00F81221">
        <w:t xml:space="preserve"> and </w:t>
      </w:r>
      <w:r w:rsidRPr="00A428C3">
        <w:t xml:space="preserve">Fe(II) by fixed bed system. </w:t>
      </w:r>
      <w:r w:rsidRPr="00A428C3">
        <w:rPr>
          <w:i/>
        </w:rPr>
        <w:t>Hungarian Journal of Industrial Chemistry</w:t>
      </w:r>
      <w:r w:rsidRPr="00A428C3">
        <w:t xml:space="preserve">, </w:t>
      </w:r>
      <w:r w:rsidRPr="00A428C3">
        <w:rPr>
          <w:b/>
        </w:rPr>
        <w:t>26</w:t>
      </w:r>
      <w:r w:rsidRPr="00A428C3">
        <w:t xml:space="preserve"> (3), 169-172.</w:t>
      </w:r>
    </w:p>
    <w:p w:rsidR="00B95188" w:rsidRPr="00A428C3" w:rsidRDefault="00B95188" w:rsidP="00B95188">
      <w:pPr>
        <w:pStyle w:val="a0"/>
      </w:pPr>
      <w:r w:rsidRPr="00A428C3">
        <w:t>Abstract: Fe(III)/Cr(III) hydroxide, a waste sludge from fertiliser industry has been used for adsorption of Cr(VI)</w:t>
      </w:r>
      <w:r w:rsidR="00F81221">
        <w:t xml:space="preserve"> and </w:t>
      </w:r>
      <w:r w:rsidRPr="00A428C3">
        <w:t>Fe(II) from aqueous solution in fixed bed method. Effects of parameters such as initial metal ion concentration</w:t>
      </w:r>
      <w:r w:rsidR="00F81221">
        <w:t xml:space="preserve"> and </w:t>
      </w:r>
      <w:r w:rsidRPr="00A428C3">
        <w:t>pH were studied at a flow rate of 10 ml/min of the water solution. The breakthrough curves are typical sigmoidal type ones</w:t>
      </w:r>
      <w:r w:rsidR="00F81221">
        <w:t xml:space="preserve"> and </w:t>
      </w:r>
      <w:r w:rsidRPr="00A428C3">
        <w:t>the results show that increase in metal ion concentration decreases the breakthrough volume. The breakthrough volume is higher at pH 5.0 (500 ml/</w:t>
      </w:r>
      <w:smartTag w:uri="urn:schemas-microsoft-com:office:smarttags" w:element="chmetcnv">
        <w:smartTagPr>
          <w:attr w:name="TCSC" w:val="0"/>
          <w:attr w:name="NumberType" w:val="1"/>
          <w:attr w:name="Negative" w:val="False"/>
          <w:attr w:name="HasSpace" w:val="False"/>
          <w:attr w:name="SourceValue" w:val="5"/>
          <w:attr w:name="UnitName" w:val="g"/>
        </w:smartTagPr>
        <w:r w:rsidRPr="00A428C3">
          <w:t>5g</w:t>
        </w:r>
      </w:smartTag>
      <w:r w:rsidRPr="00A428C3">
        <w:t>) than at pH 5.7 (100 ml/</w:t>
      </w:r>
      <w:smartTag w:uri="urn:schemas-microsoft-com:office:smarttags" w:element="chmetcnv">
        <w:smartTagPr>
          <w:attr w:name="TCSC" w:val="0"/>
          <w:attr w:name="NumberType" w:val="1"/>
          <w:attr w:name="Negative" w:val="False"/>
          <w:attr w:name="HasSpace" w:val="False"/>
          <w:attr w:name="SourceValue" w:val="5"/>
          <w:attr w:name="UnitName" w:val="g"/>
        </w:smartTagPr>
        <w:r w:rsidRPr="00A428C3">
          <w:t>5g</w:t>
        </w:r>
      </w:smartTag>
      <w:r w:rsidRPr="00A428C3">
        <w:t xml:space="preserve">) for Cr(VI) adsorption. The adsorption obeys </w:t>
      </w:r>
      <w:r w:rsidRPr="00A428C3">
        <w:lastRenderedPageBreak/>
        <w:t>the Bed Depth Service Time (BDST) model</w:t>
      </w:r>
      <w:r w:rsidR="00F81221">
        <w:t xml:space="preserve"> and </w:t>
      </w:r>
      <w:r w:rsidRPr="00A428C3">
        <w:t>the adsorption capacity values are presented.</w:t>
      </w:r>
    </w:p>
    <w:p w:rsidR="00B95188" w:rsidRPr="00A428C3" w:rsidRDefault="00B95188" w:rsidP="00B95188">
      <w:pPr>
        <w:pStyle w:val="a0"/>
      </w:pPr>
      <w:r w:rsidRPr="00A428C3">
        <w:t>Keywords: Aqueous-Solution, Water, Waste Utilisation, Metal Ions, Adsorption, Fixed Bed System</w:t>
      </w:r>
    </w:p>
    <w:p w:rsidR="00B95188" w:rsidRPr="00A428C3" w:rsidRDefault="00B95188" w:rsidP="00B95188">
      <w:pPr>
        <w:pStyle w:val="1"/>
      </w:pPr>
      <w:r w:rsidRPr="00A428C3">
        <w:br w:type="page"/>
      </w:r>
      <w:bookmarkStart w:id="693" w:name="_Toc455569462"/>
      <w:bookmarkStart w:id="694" w:name="_Toc487190699"/>
      <w:bookmarkStart w:id="695" w:name="_Toc487882204"/>
      <w:bookmarkStart w:id="696" w:name="_Toc490688018"/>
      <w:bookmarkStart w:id="697" w:name="_Toc492807679"/>
      <w:bookmarkStart w:id="698" w:name="_Toc186647799"/>
      <w:bookmarkStart w:id="699" w:name="_Toc317161066"/>
      <w:r w:rsidRPr="00A428C3">
        <w:lastRenderedPageBreak/>
        <w:t>Title: Hydrobiologia</w:t>
      </w:r>
      <w:bookmarkEnd w:id="693"/>
      <w:bookmarkEnd w:id="694"/>
      <w:bookmarkEnd w:id="695"/>
      <w:bookmarkEnd w:id="696"/>
      <w:bookmarkEnd w:id="697"/>
      <w:bookmarkEnd w:id="698"/>
      <w:bookmarkEnd w:id="699"/>
    </w:p>
    <w:p w:rsidR="00B46A78" w:rsidRPr="00A428C3" w:rsidRDefault="00B46A78" w:rsidP="00B72EF9">
      <w:pPr>
        <w:pStyle w:val="12"/>
      </w:pPr>
      <w:bookmarkStart w:id="700" w:name="Salánki"/>
      <w:r w:rsidRPr="00A428C3">
        <w:t xml:space="preserve">Full Journal Title: </w:t>
      </w:r>
      <w:hyperlink r:id="rId696" w:history="1">
        <w:r w:rsidRPr="00A428C3">
          <w:rPr>
            <w:rStyle w:val="a5"/>
          </w:rPr>
          <w:t>Hydrobiologia</w:t>
        </w:r>
      </w:hyperlink>
      <w:r>
        <w:rPr>
          <w:rFonts w:hint="eastAsia"/>
        </w:rPr>
        <w:t xml:space="preserve">; </w:t>
      </w:r>
      <w:hyperlink r:id="rId697" w:history="1">
        <w:r w:rsidRPr="00BA604F">
          <w:rPr>
            <w:rStyle w:val="a5"/>
          </w:rPr>
          <w:t>Hydrobiologia</w:t>
        </w:r>
      </w:hyperlink>
    </w:p>
    <w:p w:rsidR="00B95188" w:rsidRPr="00A428C3" w:rsidRDefault="00B95188" w:rsidP="00B72EF9">
      <w:pPr>
        <w:pStyle w:val="12"/>
      </w:pPr>
      <w:r w:rsidRPr="00A428C3">
        <w:t>ISO Abbreviated Title: Hydrobiologia</w:t>
      </w:r>
    </w:p>
    <w:p w:rsidR="00B95188" w:rsidRPr="00A428C3" w:rsidRDefault="00B95188" w:rsidP="00B72EF9">
      <w:pPr>
        <w:pStyle w:val="12"/>
      </w:pPr>
      <w:r w:rsidRPr="00A428C3">
        <w:t>JCR Abbreviated Title: Hydrobiologia</w:t>
      </w:r>
    </w:p>
    <w:p w:rsidR="00B95188" w:rsidRPr="00A428C3" w:rsidRDefault="00B95188" w:rsidP="00B72EF9">
      <w:pPr>
        <w:pStyle w:val="12"/>
      </w:pPr>
      <w:r w:rsidRPr="00A428C3">
        <w:t>ISSN: 0018-8158</w:t>
      </w:r>
    </w:p>
    <w:p w:rsidR="00B95188" w:rsidRPr="00A428C3" w:rsidRDefault="00B95188" w:rsidP="00B72EF9">
      <w:pPr>
        <w:pStyle w:val="12"/>
      </w:pPr>
      <w:r w:rsidRPr="00A428C3">
        <w:t>Issues/Year: 25</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Kluwer Academic Publ</w:t>
      </w:r>
    </w:p>
    <w:p w:rsidR="00B95188" w:rsidRPr="00A428C3" w:rsidRDefault="00B95188" w:rsidP="00B72EF9">
      <w:pPr>
        <w:pStyle w:val="12"/>
      </w:pPr>
      <w:r w:rsidRPr="00A428C3">
        <w:t xml:space="preserve">Publisher Address: Spuiboulevard 50, </w:t>
      </w:r>
      <w:smartTag w:uri="urn:schemas-microsoft-com:office:smarttags" w:element="address">
        <w:smartTag w:uri="urn:schemas-microsoft-com:office:smarttags" w:element="Street">
          <w:r w:rsidRPr="00A428C3">
            <w:t>PO Box</w:t>
          </w:r>
        </w:smartTag>
        <w:r w:rsidRPr="00A428C3">
          <w:t xml:space="preserve"> 17</w:t>
        </w:r>
      </w:smartTag>
      <w:r w:rsidRPr="00A428C3">
        <w:t xml:space="preserve">, 3300 AA </w:t>
      </w:r>
      <w:smartTag w:uri="urn:schemas-microsoft-com:office:smarttags" w:element="place">
        <w:smartTag w:uri="urn:schemas-microsoft-com:office:smarttags" w:element="City">
          <w:r w:rsidRPr="00A428C3">
            <w:t>Dordrecht</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Marine &amp; Freshwater Biology: </w:t>
      </w:r>
    </w:p>
    <w:p w:rsidR="00B95188" w:rsidRPr="00A428C3" w:rsidRDefault="00B95188" w:rsidP="00B95188">
      <w:pPr>
        <w:pStyle w:val="a0"/>
      </w:pPr>
      <w:r w:rsidRPr="00A428C3">
        <w:t>Salánki</w:t>
      </w:r>
      <w:bookmarkEnd w:id="700"/>
      <w:r w:rsidRPr="00A428C3">
        <w:t>, J.</w:t>
      </w:r>
      <w:r w:rsidR="00F81221">
        <w:t xml:space="preserve"> and </w:t>
      </w:r>
      <w:r w:rsidRPr="00A428C3">
        <w:t>V.-</w:t>
      </w:r>
      <w:bookmarkStart w:id="701" w:name="Balogh"/>
      <w:r w:rsidRPr="00A428C3">
        <w:t>Balogh</w:t>
      </w:r>
      <w:bookmarkEnd w:id="701"/>
      <w:r w:rsidRPr="00A428C3">
        <w:t>, K. (1989), Physiological background for using freshwater mussels in monitoring copper</w:t>
      </w:r>
      <w:r w:rsidR="00F81221">
        <w:t xml:space="preserve"> and </w:t>
      </w:r>
      <w:r w:rsidRPr="00A428C3">
        <w:t xml:space="preserve">lead pollution. </w:t>
      </w:r>
      <w:r w:rsidRPr="00A428C3">
        <w:rPr>
          <w:i/>
        </w:rPr>
        <w:t>Hdrobiologia</w:t>
      </w:r>
      <w:r w:rsidRPr="00A428C3">
        <w:t xml:space="preserve">, </w:t>
      </w:r>
      <w:r w:rsidRPr="00A428C3">
        <w:rPr>
          <w:b/>
        </w:rPr>
        <w:t>188</w:t>
      </w:r>
      <w:r w:rsidRPr="00A428C3">
        <w:t>, 445-453.</w:t>
      </w:r>
    </w:p>
    <w:p w:rsidR="00B46A78" w:rsidRDefault="00B46A78" w:rsidP="00B46A78">
      <w:pPr>
        <w:pStyle w:val="a0"/>
        <w:rPr>
          <w:kern w:val="0"/>
        </w:rPr>
      </w:pPr>
      <w:r>
        <w:rPr>
          <w:rFonts w:hint="eastAsia"/>
          <w:kern w:val="0"/>
        </w:rPr>
        <w:t xml:space="preserve">Full Text: </w:t>
      </w:r>
      <w:hyperlink r:id="rId698" w:history="1">
        <w:r w:rsidRPr="00B46A78">
          <w:rPr>
            <w:rStyle w:val="a5"/>
            <w:kern w:val="0"/>
          </w:rPr>
          <w:t>1989\Hydrobiologia188, 445.pdf</w:t>
        </w:r>
      </w:hyperlink>
    </w:p>
    <w:p w:rsidR="00B46A78" w:rsidRDefault="00B46A78" w:rsidP="00B46A78">
      <w:pPr>
        <w:pStyle w:val="a0"/>
        <w:rPr>
          <w:kern w:val="0"/>
        </w:rPr>
      </w:pPr>
      <w:r w:rsidRPr="00B46A78">
        <w:rPr>
          <w:kern w:val="0"/>
        </w:rPr>
        <w:t>Abstract</w:t>
      </w:r>
      <w:r>
        <w:rPr>
          <w:rFonts w:hint="eastAsia"/>
          <w:kern w:val="0"/>
        </w:rPr>
        <w:t xml:space="preserve">: </w:t>
      </w:r>
      <w:r w:rsidRPr="00B46A78">
        <w:rPr>
          <w:kern w:val="0"/>
        </w:rPr>
        <w:t>In studying the effect of copper (10</w:t>
      </w:r>
      <w:r>
        <w:rPr>
          <w:kern w:val="0"/>
        </w:rPr>
        <w:t>±</w:t>
      </w:r>
      <w:r w:rsidRPr="00B46A78">
        <w:rPr>
          <w:kern w:val="0"/>
        </w:rPr>
        <w:t xml:space="preserve">0.57 </w:t>
      </w:r>
      <w:r>
        <w:rPr>
          <w:kern w:val="0"/>
        </w:rPr>
        <w:sym w:font="Symbol" w:char="F06D"/>
      </w:r>
      <w:r w:rsidRPr="00B46A78">
        <w:rPr>
          <w:kern w:val="0"/>
        </w:rPr>
        <w:t xml:space="preserve">g Cu </w:t>
      </w:r>
      <w:r>
        <w:rPr>
          <w:rFonts w:hint="eastAsia"/>
          <w:kern w:val="0"/>
        </w:rPr>
        <w:t>l</w:t>
      </w:r>
      <w:r>
        <w:rPr>
          <w:rFonts w:hint="eastAsia"/>
          <w:kern w:val="0"/>
          <w:vertAlign w:val="superscript"/>
        </w:rPr>
        <w:t>-1</w:t>
      </w:r>
      <w:r w:rsidR="00F81221">
        <w:rPr>
          <w:kern w:val="0"/>
        </w:rPr>
        <w:t xml:space="preserve"> and </w:t>
      </w:r>
      <w:r w:rsidRPr="00B46A78">
        <w:rPr>
          <w:kern w:val="0"/>
        </w:rPr>
        <w:t>100</w:t>
      </w:r>
      <w:r>
        <w:rPr>
          <w:kern w:val="0"/>
        </w:rPr>
        <w:t>±</w:t>
      </w:r>
      <w:r w:rsidRPr="00B46A78">
        <w:rPr>
          <w:kern w:val="0"/>
        </w:rPr>
        <w:t xml:space="preserve">3.01 </w:t>
      </w:r>
      <w:r>
        <w:rPr>
          <w:kern w:val="0"/>
        </w:rPr>
        <w:sym w:font="Symbol" w:char="F06D"/>
      </w:r>
      <w:r w:rsidRPr="00B46A78">
        <w:rPr>
          <w:kern w:val="0"/>
        </w:rPr>
        <w:t xml:space="preserve">g Cu </w:t>
      </w:r>
      <w:r>
        <w:rPr>
          <w:rFonts w:hint="eastAsia"/>
          <w:kern w:val="0"/>
        </w:rPr>
        <w:t>l</w:t>
      </w:r>
      <w:r>
        <w:rPr>
          <w:rFonts w:hint="eastAsia"/>
          <w:kern w:val="0"/>
          <w:vertAlign w:val="superscript"/>
        </w:rPr>
        <w:t>-1</w:t>
      </w:r>
      <w:r w:rsidRPr="00B46A78">
        <w:rPr>
          <w:kern w:val="0"/>
        </w:rPr>
        <w:t>)</w:t>
      </w:r>
      <w:r w:rsidR="00F81221">
        <w:rPr>
          <w:kern w:val="0"/>
        </w:rPr>
        <w:t xml:space="preserve"> and </w:t>
      </w:r>
      <w:r w:rsidRPr="00B46A78">
        <w:rPr>
          <w:kern w:val="0"/>
        </w:rPr>
        <w:t>lead (50</w:t>
      </w:r>
      <w:r w:rsidR="001B6258">
        <w:rPr>
          <w:kern w:val="0"/>
        </w:rPr>
        <w:t>±</w:t>
      </w:r>
      <w:r w:rsidRPr="00B46A78">
        <w:rPr>
          <w:kern w:val="0"/>
        </w:rPr>
        <w:t xml:space="preserve">1.12 </w:t>
      </w:r>
      <w:r>
        <w:rPr>
          <w:kern w:val="0"/>
        </w:rPr>
        <w:sym w:font="Symbol" w:char="F06D"/>
      </w:r>
      <w:r w:rsidRPr="00B46A78">
        <w:rPr>
          <w:kern w:val="0"/>
        </w:rPr>
        <w:t>g</w:t>
      </w:r>
      <w:r>
        <w:rPr>
          <w:rFonts w:hint="eastAsia"/>
          <w:kern w:val="0"/>
        </w:rPr>
        <w:t xml:space="preserve"> </w:t>
      </w:r>
      <w:r w:rsidRPr="00B46A78">
        <w:rPr>
          <w:kern w:val="0"/>
        </w:rPr>
        <w:t xml:space="preserve">Pb </w:t>
      </w:r>
      <w:r>
        <w:rPr>
          <w:rFonts w:hint="eastAsia"/>
          <w:kern w:val="0"/>
        </w:rPr>
        <w:t>l</w:t>
      </w:r>
      <w:r>
        <w:rPr>
          <w:rFonts w:hint="eastAsia"/>
          <w:kern w:val="0"/>
          <w:vertAlign w:val="superscript"/>
        </w:rPr>
        <w:t>-1</w:t>
      </w:r>
      <w:r w:rsidR="00F81221">
        <w:rPr>
          <w:kern w:val="0"/>
        </w:rPr>
        <w:t xml:space="preserve"> and </w:t>
      </w:r>
      <w:r w:rsidRPr="00B46A78">
        <w:rPr>
          <w:kern w:val="0"/>
        </w:rPr>
        <w:t>500</w:t>
      </w:r>
      <w:r>
        <w:rPr>
          <w:kern w:val="0"/>
        </w:rPr>
        <w:t>±</w:t>
      </w:r>
      <w:r w:rsidRPr="00B46A78">
        <w:rPr>
          <w:kern w:val="0"/>
        </w:rPr>
        <w:t xml:space="preserve">12.5 </w:t>
      </w:r>
      <w:r>
        <w:rPr>
          <w:kern w:val="0"/>
        </w:rPr>
        <w:sym w:font="Symbol" w:char="F06D"/>
      </w:r>
      <w:r w:rsidRPr="00B46A78">
        <w:rPr>
          <w:kern w:val="0"/>
        </w:rPr>
        <w:t xml:space="preserve">g Pb </w:t>
      </w:r>
      <w:r>
        <w:rPr>
          <w:rFonts w:hint="eastAsia"/>
          <w:kern w:val="0"/>
        </w:rPr>
        <w:t>l</w:t>
      </w:r>
      <w:r>
        <w:rPr>
          <w:rFonts w:hint="eastAsia"/>
          <w:kern w:val="0"/>
          <w:vertAlign w:val="superscript"/>
        </w:rPr>
        <w:t>-1</w:t>
      </w:r>
      <w:r w:rsidRPr="00B46A78">
        <w:rPr>
          <w:kern w:val="0"/>
        </w:rPr>
        <w:t>) on the filtration activity of Anodonta cygnea L. it was found that both</w:t>
      </w:r>
      <w:r>
        <w:rPr>
          <w:rFonts w:hint="eastAsia"/>
          <w:kern w:val="0"/>
        </w:rPr>
        <w:t xml:space="preserve"> </w:t>
      </w:r>
      <w:r w:rsidRPr="00B46A78">
        <w:rPr>
          <w:kern w:val="0"/>
        </w:rPr>
        <w:t>heavy metals resulted in significant shortening of the active periods, but little change occurred in the length</w:t>
      </w:r>
      <w:r>
        <w:rPr>
          <w:rFonts w:hint="eastAsia"/>
          <w:kern w:val="0"/>
        </w:rPr>
        <w:t xml:space="preserve"> </w:t>
      </w:r>
      <w:r w:rsidRPr="00B46A78">
        <w:rPr>
          <w:kern w:val="0"/>
        </w:rPr>
        <w:t>of the rest periods. The concentrations of copper</w:t>
      </w:r>
      <w:r w:rsidR="00F81221">
        <w:rPr>
          <w:kern w:val="0"/>
        </w:rPr>
        <w:t xml:space="preserve"> and </w:t>
      </w:r>
      <w:r w:rsidRPr="00B46A78">
        <w:rPr>
          <w:kern w:val="0"/>
        </w:rPr>
        <w:t>lead were measured in the gill, foot, mantle, adductor</w:t>
      </w:r>
      <w:r>
        <w:rPr>
          <w:rFonts w:hint="eastAsia"/>
          <w:kern w:val="0"/>
        </w:rPr>
        <w:t xml:space="preserve"> </w:t>
      </w:r>
      <w:r w:rsidRPr="00B46A78">
        <w:rPr>
          <w:kern w:val="0"/>
        </w:rPr>
        <w:t>muscle</w:t>
      </w:r>
      <w:r w:rsidR="00F81221">
        <w:rPr>
          <w:kern w:val="0"/>
        </w:rPr>
        <w:t xml:space="preserve"> and </w:t>
      </w:r>
      <w:r w:rsidRPr="00B46A78">
        <w:rPr>
          <w:kern w:val="0"/>
        </w:rPr>
        <w:t>kidney for 840 hours of exposure to 10.9</w:t>
      </w:r>
      <w:r w:rsidR="001B6258">
        <w:rPr>
          <w:kern w:val="0"/>
        </w:rPr>
        <w:t>±</w:t>
      </w:r>
      <w:r w:rsidRPr="00B46A78">
        <w:rPr>
          <w:kern w:val="0"/>
        </w:rPr>
        <w:t xml:space="preserve">5 </w:t>
      </w:r>
      <w:r>
        <w:rPr>
          <w:kern w:val="0"/>
        </w:rPr>
        <w:sym w:font="Symbol" w:char="F06D"/>
      </w:r>
      <w:r w:rsidRPr="00B46A78">
        <w:rPr>
          <w:kern w:val="0"/>
        </w:rPr>
        <w:t xml:space="preserve">g Cu </w:t>
      </w:r>
      <w:r>
        <w:rPr>
          <w:rFonts w:hint="eastAsia"/>
          <w:kern w:val="0"/>
        </w:rPr>
        <w:t>l</w:t>
      </w:r>
      <w:r>
        <w:rPr>
          <w:rFonts w:hint="eastAsia"/>
          <w:kern w:val="0"/>
          <w:vertAlign w:val="superscript"/>
        </w:rPr>
        <w:t>-1</w:t>
      </w:r>
      <w:r w:rsidR="00F81221">
        <w:rPr>
          <w:kern w:val="0"/>
        </w:rPr>
        <w:t xml:space="preserve"> and </w:t>
      </w:r>
      <w:r w:rsidRPr="00B46A78">
        <w:rPr>
          <w:kern w:val="0"/>
        </w:rPr>
        <w:t>57.0</w:t>
      </w:r>
      <w:r w:rsidR="001B6258">
        <w:rPr>
          <w:kern w:val="0"/>
        </w:rPr>
        <w:t>±</w:t>
      </w:r>
      <w:r w:rsidRPr="00B46A78">
        <w:rPr>
          <w:kern w:val="0"/>
        </w:rPr>
        <w:t xml:space="preserve">19 </w:t>
      </w:r>
      <w:r>
        <w:rPr>
          <w:kern w:val="0"/>
        </w:rPr>
        <w:sym w:font="Symbol" w:char="F06D"/>
      </w:r>
      <w:r w:rsidRPr="00B46A78">
        <w:rPr>
          <w:kern w:val="0"/>
        </w:rPr>
        <w:t xml:space="preserve">g Pb </w:t>
      </w:r>
      <w:r>
        <w:rPr>
          <w:rFonts w:hint="eastAsia"/>
          <w:kern w:val="0"/>
        </w:rPr>
        <w:t>l</w:t>
      </w:r>
      <w:r>
        <w:rPr>
          <w:rFonts w:hint="eastAsia"/>
          <w:kern w:val="0"/>
          <w:vertAlign w:val="superscript"/>
        </w:rPr>
        <w:t>-1</w:t>
      </w:r>
      <w:r w:rsidRPr="00B46A78">
        <w:rPr>
          <w:kern w:val="0"/>
        </w:rPr>
        <w:t xml:space="preserve"> as well as</w:t>
      </w:r>
      <w:r>
        <w:rPr>
          <w:rFonts w:hint="eastAsia"/>
          <w:kern w:val="0"/>
        </w:rPr>
        <w:t xml:space="preserve"> </w:t>
      </w:r>
      <w:r w:rsidRPr="00B46A78">
        <w:rPr>
          <w:kern w:val="0"/>
        </w:rPr>
        <w:t>during subsequent depuration. Uptake was observed after 72 hours of exposure. The highest copper</w:t>
      </w:r>
      <w:r>
        <w:rPr>
          <w:rFonts w:hint="eastAsia"/>
          <w:kern w:val="0"/>
        </w:rPr>
        <w:t xml:space="preserve"> </w:t>
      </w:r>
      <w:r w:rsidRPr="00B46A78">
        <w:rPr>
          <w:kern w:val="0"/>
        </w:rPr>
        <w:t>concentration (59.1</w:t>
      </w:r>
      <w:r w:rsidR="001B6258">
        <w:rPr>
          <w:kern w:val="0"/>
        </w:rPr>
        <w:t>±</w:t>
      </w:r>
      <w:r w:rsidRPr="00B46A78">
        <w:rPr>
          <w:kern w:val="0"/>
        </w:rPr>
        <w:t xml:space="preserve">16.2 </w:t>
      </w:r>
      <w:r>
        <w:rPr>
          <w:kern w:val="0"/>
        </w:rPr>
        <w:sym w:font="Symbol" w:char="F06D"/>
      </w:r>
      <w:r w:rsidRPr="00B46A78">
        <w:rPr>
          <w:kern w:val="0"/>
        </w:rPr>
        <w:t xml:space="preserve">g Cu </w:t>
      </w:r>
      <w:r>
        <w:rPr>
          <w:rFonts w:hint="eastAsia"/>
          <w:kern w:val="0"/>
        </w:rPr>
        <w:t>l</w:t>
      </w:r>
      <w:r>
        <w:rPr>
          <w:rFonts w:hint="eastAsia"/>
          <w:kern w:val="0"/>
          <w:vertAlign w:val="superscript"/>
        </w:rPr>
        <w:t>-1</w:t>
      </w:r>
      <w:r w:rsidRPr="00B46A78">
        <w:rPr>
          <w:kern w:val="0"/>
        </w:rPr>
        <w:t>) was measured at 672 h in the mantle,</w:t>
      </w:r>
      <w:r w:rsidR="00F81221">
        <w:rPr>
          <w:kern w:val="0"/>
        </w:rPr>
        <w:t xml:space="preserve"> and </w:t>
      </w:r>
      <w:r w:rsidRPr="00B46A78">
        <w:rPr>
          <w:kern w:val="0"/>
        </w:rPr>
        <w:t>the highest lead value</w:t>
      </w:r>
      <w:r>
        <w:rPr>
          <w:rFonts w:hint="eastAsia"/>
          <w:kern w:val="0"/>
        </w:rPr>
        <w:t xml:space="preserve"> </w:t>
      </w:r>
      <w:r w:rsidRPr="00B46A78">
        <w:rPr>
          <w:kern w:val="0"/>
        </w:rPr>
        <w:t>(143</w:t>
      </w:r>
      <w:r w:rsidR="001B6258">
        <w:rPr>
          <w:kern w:val="0"/>
        </w:rPr>
        <w:t>±</w:t>
      </w:r>
      <w:r w:rsidRPr="00B46A78">
        <w:rPr>
          <w:kern w:val="0"/>
        </w:rPr>
        <w:t xml:space="preserve">26.1 </w:t>
      </w:r>
      <w:r>
        <w:rPr>
          <w:kern w:val="0"/>
        </w:rPr>
        <w:sym w:font="Symbol" w:char="F06D"/>
      </w:r>
      <w:r w:rsidRPr="00B46A78">
        <w:rPr>
          <w:kern w:val="0"/>
        </w:rPr>
        <w:t>g Pb</w:t>
      </w:r>
      <w:r>
        <w:rPr>
          <w:rFonts w:hint="eastAsia"/>
          <w:kern w:val="0"/>
        </w:rPr>
        <w:t xml:space="preserve"> l</w:t>
      </w:r>
      <w:r>
        <w:rPr>
          <w:rFonts w:hint="eastAsia"/>
          <w:kern w:val="0"/>
          <w:vertAlign w:val="superscript"/>
        </w:rPr>
        <w:t>-1</w:t>
      </w:r>
      <w:r w:rsidRPr="00B46A78">
        <w:rPr>
          <w:kern w:val="0"/>
        </w:rPr>
        <w:t>) was obtained in the kidney. Depuration of copper was fastest from the foot,</w:t>
      </w:r>
      <w:r w:rsidR="00F81221">
        <w:rPr>
          <w:kern w:val="0"/>
        </w:rPr>
        <w:t xml:space="preserve"> and </w:t>
      </w:r>
      <w:r w:rsidRPr="00B46A78">
        <w:rPr>
          <w:kern w:val="0"/>
        </w:rPr>
        <w:t>from the adductor muscle for lead. The gill had the longest half-depuration time (&gt; 840 h for copper</w:t>
      </w:r>
      <w:r w:rsidR="00F81221">
        <w:rPr>
          <w:kern w:val="0"/>
        </w:rPr>
        <w:t xml:space="preserve"> and </w:t>
      </w:r>
      <w:r w:rsidRPr="00B46A78">
        <w:rPr>
          <w:kern w:val="0"/>
        </w:rPr>
        <w:t>&gt; 672 h for lead).</w:t>
      </w:r>
    </w:p>
    <w:p w:rsidR="00B46A78" w:rsidRPr="00B46A78" w:rsidRDefault="00B46A78" w:rsidP="00B46A78">
      <w:pPr>
        <w:pStyle w:val="a0"/>
        <w:rPr>
          <w:kern w:val="0"/>
        </w:rPr>
      </w:pPr>
      <w:r w:rsidRPr="00B46A78">
        <w:rPr>
          <w:kern w:val="0"/>
        </w:rPr>
        <w:t>Keywords: Anodonta Cygnea L., Filtration Activity, Heavy Metal Accumulation, Depuration, Copper, Lead</w:t>
      </w:r>
    </w:p>
    <w:p w:rsidR="00381E35" w:rsidRDefault="00381E35" w:rsidP="00381E35">
      <w:pPr>
        <w:pStyle w:val="a0"/>
        <w:rPr>
          <w:kern w:val="0"/>
        </w:rPr>
      </w:pPr>
      <w:r>
        <w:rPr>
          <w:rFonts w:hint="eastAsia"/>
          <w:kern w:val="0"/>
        </w:rPr>
        <w:t xml:space="preserve">? </w:t>
      </w:r>
      <w:r>
        <w:rPr>
          <w:kern w:val="0"/>
        </w:rPr>
        <w:t>Portielje, R.</w:t>
      </w:r>
      <w:r w:rsidR="00F81221">
        <w:rPr>
          <w:kern w:val="0"/>
        </w:rPr>
        <w:t xml:space="preserve"> and </w:t>
      </w:r>
      <w:r>
        <w:rPr>
          <w:kern w:val="0"/>
        </w:rPr>
        <w:t xml:space="preserve">Lijklema, L. (1993), Sorption of phosphate by sediments as a result of enhanced external loading. </w:t>
      </w:r>
      <w:r>
        <w:rPr>
          <w:i/>
          <w:iCs/>
          <w:kern w:val="0"/>
        </w:rPr>
        <w:t>Hydrobiologia</w:t>
      </w:r>
      <w:r>
        <w:rPr>
          <w:kern w:val="0"/>
        </w:rPr>
        <w:t xml:space="preserve">, </w:t>
      </w:r>
      <w:r>
        <w:rPr>
          <w:b/>
          <w:bCs/>
          <w:kern w:val="0"/>
        </w:rPr>
        <w:t>253</w:t>
      </w:r>
      <w:r>
        <w:rPr>
          <w:kern w:val="0"/>
        </w:rPr>
        <w:t xml:space="preserve"> (1-3), 249-261.</w:t>
      </w:r>
    </w:p>
    <w:p w:rsidR="00381E35" w:rsidRDefault="00381E35" w:rsidP="00381E35">
      <w:pPr>
        <w:pStyle w:val="a0"/>
        <w:rPr>
          <w:kern w:val="0"/>
        </w:rPr>
      </w:pPr>
      <w:r>
        <w:rPr>
          <w:rFonts w:hint="eastAsia"/>
          <w:kern w:val="0"/>
        </w:rPr>
        <w:t xml:space="preserve">Full Text: </w:t>
      </w:r>
      <w:hyperlink r:id="rId699" w:history="1">
        <w:r w:rsidR="009E15EA" w:rsidRPr="009E15EA">
          <w:rPr>
            <w:rStyle w:val="a5"/>
            <w:kern w:val="0"/>
          </w:rPr>
          <w:t>1993\Hydrobiologia253, 249.pdf</w:t>
        </w:r>
      </w:hyperlink>
    </w:p>
    <w:p w:rsidR="00381E35" w:rsidRDefault="00381E35" w:rsidP="00381E35">
      <w:pPr>
        <w:pStyle w:val="a0"/>
        <w:rPr>
          <w:kern w:val="0"/>
        </w:rPr>
      </w:pPr>
      <w:r>
        <w:rPr>
          <w:kern w:val="0"/>
        </w:rPr>
        <w:t>Abstract: In artificial test ditches, originally poor in nutrients, the effects of enhanced external loading with phosphorus were studied. An important term in the mass balance of phosphorus is retention by sediment. Parameters concerning the uptake of phosphorus by the sandy sediment of a ditch have been measured or were obtained from curve-fitting</w:t>
      </w:r>
      <w:r w:rsidR="00F81221">
        <w:rPr>
          <w:kern w:val="0"/>
        </w:rPr>
        <w:t xml:space="preserve"> and </w:t>
      </w:r>
      <w:r>
        <w:rPr>
          <w:kern w:val="0"/>
        </w:rPr>
        <w:t xml:space="preserve">were used in a mathematical model to describe diffusion into </w:t>
      </w:r>
      <w:r>
        <w:rPr>
          <w:kern w:val="0"/>
        </w:rPr>
        <w:lastRenderedPageBreak/>
        <w:t>the sediment</w:t>
      </w:r>
      <w:r w:rsidR="00F81221">
        <w:rPr>
          <w:kern w:val="0"/>
        </w:rPr>
        <w:t xml:space="preserve"> and </w:t>
      </w:r>
      <w:r>
        <w:rPr>
          <w:kern w:val="0"/>
        </w:rPr>
        <w:t>subsequent sorption by soil particles. On a time scale of hours uptake of phosphorus from the overlying water by intact sediment cores could be simulated well with a simple diffusion-adsorption model. Mixing of the overlying water resulted in an enhanced uptake rate caused by an increased effective diffusion coefficient in the top layer of the sediment. Laboratory experiments revealed that after a fast initial adsorption, a slow uptake process followed that continued for a period of at least several months. This slow sorption can immobilize a substantial part of the phosphorus added. It may physically be described as an intraparticular diffusion process, in which the adsorbed phosphate penetrates into metaloxides, probably present as sand grain coating,</w:t>
      </w:r>
      <w:r w:rsidR="00F81221">
        <w:rPr>
          <w:kern w:val="0"/>
        </w:rPr>
        <w:t xml:space="preserve"> and </w:t>
      </w:r>
      <w:r>
        <w:rPr>
          <w:kern w:val="0"/>
        </w:rPr>
        <w:t>thereby reaches sorption sites not immediately accessible otherwise. The total sorption capacity of the soil particles is ca. 3.3 times the maximum instantaneous surficial adsorption capacity.</w:t>
      </w:r>
    </w:p>
    <w:p w:rsidR="00381E35" w:rsidRDefault="00381E35" w:rsidP="00381E35">
      <w:pPr>
        <w:pStyle w:val="a0"/>
        <w:rPr>
          <w:kern w:val="0"/>
        </w:rPr>
      </w:pPr>
      <w:r>
        <w:rPr>
          <w:kern w:val="0"/>
        </w:rPr>
        <w:t>Keywords: Adsorption, Adsorption Capacity, Al-Hydroxide, Aluminum Hydroxides, Balance, Capacity, Coating, Diffusion, Diffusion Coefficient, Diffusion-Coefficients, Dispersion, Intraparticular Diffusion, Iron, Marine-Sediments, Mathematical Model, Model, Phosphate, Phosphorus, Retention, Sediment, Sediments, Soil, Solid-Phase Diffusion, Sorption, Time, Uptake, Water</w:t>
      </w:r>
    </w:p>
    <w:p w:rsidR="00B95188" w:rsidRPr="00A428C3" w:rsidRDefault="00B95188" w:rsidP="00B95188">
      <w:pPr>
        <w:pStyle w:val="a0"/>
      </w:pPr>
      <w:r w:rsidRPr="00A428C3">
        <w:t>? Faye, M.S.</w:t>
      </w:r>
      <w:r w:rsidR="00F81221">
        <w:t xml:space="preserve"> and </w:t>
      </w:r>
      <w:r w:rsidRPr="00A428C3">
        <w:t xml:space="preserve">Diamond, M.L. (1996), The role of phytoplankton in the removal of arsenic by sedimentation from surface waters. </w:t>
      </w:r>
      <w:r w:rsidRPr="00A428C3">
        <w:rPr>
          <w:i/>
        </w:rPr>
        <w:t>Hydrobiologia</w:t>
      </w:r>
      <w:r w:rsidRPr="00A428C3">
        <w:t xml:space="preserve">, </w:t>
      </w:r>
      <w:r w:rsidRPr="00A428C3">
        <w:rPr>
          <w:b/>
        </w:rPr>
        <w:t>324</w:t>
      </w:r>
      <w:r w:rsidRPr="00A428C3">
        <w:t xml:space="preserve"> (2), 117-123.</w:t>
      </w:r>
    </w:p>
    <w:p w:rsidR="00B46A78" w:rsidRDefault="00B46A78" w:rsidP="00B46A78">
      <w:pPr>
        <w:pStyle w:val="a0"/>
        <w:rPr>
          <w:kern w:val="0"/>
        </w:rPr>
      </w:pPr>
      <w:r>
        <w:rPr>
          <w:rFonts w:hint="eastAsia"/>
          <w:kern w:val="0"/>
        </w:rPr>
        <w:t xml:space="preserve">Full Text: </w:t>
      </w:r>
      <w:hyperlink r:id="rId700" w:history="1">
        <w:r w:rsidRPr="00B46A78">
          <w:rPr>
            <w:rStyle w:val="a5"/>
            <w:kern w:val="0"/>
          </w:rPr>
          <w:t>1996\Hydrobiologia324, 117.pdf</w:t>
        </w:r>
      </w:hyperlink>
    </w:p>
    <w:p w:rsidR="00B95188" w:rsidRPr="00A428C3" w:rsidRDefault="00B95188" w:rsidP="00B95188">
      <w:pPr>
        <w:pStyle w:val="a0"/>
      </w:pPr>
      <w:r w:rsidRPr="00A428C3">
        <w:t>Abstract: The role of phytoplankton in the removal of arsenic (As) by particle adsorption</w:t>
      </w:r>
      <w:r w:rsidR="00F81221">
        <w:t xml:space="preserve"> and </w:t>
      </w:r>
      <w:r w:rsidRPr="00A428C3">
        <w:t xml:space="preserve">sedimentation was investigated in </w:t>
      </w:r>
      <w:smartTag w:uri="urn:schemas-microsoft-com:office:smarttags" w:element="place">
        <w:smartTag w:uri="urn:schemas-microsoft-com:office:smarttags" w:element="City">
          <w:r w:rsidRPr="00A428C3">
            <w:t>Moira Lake</w:t>
          </w:r>
        </w:smartTag>
        <w:r w:rsidRPr="00A428C3">
          <w:t xml:space="preserve">, </w:t>
        </w:r>
        <w:smartTag w:uri="urn:schemas-microsoft-com:office:smarttags" w:element="country-region">
          <w:r w:rsidRPr="00A428C3">
            <w:t>Canada</w:t>
          </w:r>
        </w:smartTag>
      </w:smartTag>
      <w:r w:rsidRPr="00A428C3">
        <w:t>. Sampling water</w:t>
      </w:r>
      <w:r w:rsidR="00F81221">
        <w:t xml:space="preserve"> and </w:t>
      </w:r>
      <w:r w:rsidRPr="00A428C3">
        <w:t>suspended particles over one year illustrated significant variation in As partitioning between particulate</w:t>
      </w:r>
      <w:r w:rsidR="00F81221">
        <w:t xml:space="preserve"> and </w:t>
      </w:r>
      <w:r w:rsidRPr="00A428C3">
        <w:t>aqueous phases, but failed to establish a correlation between the partition coefficient, Kd,</w:t>
      </w:r>
      <w:r w:rsidR="00F81221">
        <w:t xml:space="preserve"> and </w:t>
      </w:r>
      <w:r w:rsidRPr="00A428C3">
        <w:t>indicators of phytoplankton biomass. A highly significant inverse logarithmic relationship was noted between K</w:t>
      </w:r>
      <w:r w:rsidRPr="00A428C3">
        <w:rPr>
          <w:vertAlign w:val="subscript"/>
        </w:rPr>
        <w:t>d</w:t>
      </w:r>
      <w:r w:rsidR="00F81221">
        <w:t xml:space="preserve"> and </w:t>
      </w:r>
      <w:r w:rsidRPr="00A428C3">
        <w:t>the concentration of suspended particles (log K</w:t>
      </w:r>
      <w:r w:rsidRPr="00A428C3">
        <w:rPr>
          <w:vertAlign w:val="subscript"/>
        </w:rPr>
        <w:t>d</w:t>
      </w:r>
      <w:r w:rsidRPr="00A428C3">
        <w:t xml:space="preserve"> = 5.1-1.4 log SS; p = 0.0001) in an apparent demonstration of the particle concentration effect (O</w:t>
      </w:r>
      <w:r w:rsidR="000352E7">
        <w:t>’</w:t>
      </w:r>
      <w:r w:rsidRPr="00A428C3">
        <w:t>Connor &amp; Connolly, 1980). Particle deposition, measured by means of sediment traps, appeared to include a substantial component of resuspended surficial sediment making sediment trap results unreliable for quantifying the removal of substances from the water column. The As concentration of particles from deep traps deployed during late summer</w:t>
      </w:r>
      <w:r w:rsidR="00F81221">
        <w:t xml:space="preserve"> and </w:t>
      </w:r>
      <w:r w:rsidRPr="00A428C3">
        <w:t>early fall exceeded the As concentrations of suspended particles</w:t>
      </w:r>
      <w:r w:rsidR="00F81221">
        <w:t xml:space="preserve"> and </w:t>
      </w:r>
      <w:r w:rsidRPr="00A428C3">
        <w:t>surficial sediment,</w:t>
      </w:r>
      <w:r w:rsidR="00F81221">
        <w:t xml:space="preserve"> and </w:t>
      </w:r>
      <w:r w:rsidRPr="00A428C3">
        <w:t>may indicate that a highly contaminated nepheloid layer acts as a temporary sink for As.</w:t>
      </w:r>
    </w:p>
    <w:p w:rsidR="00B95188" w:rsidRPr="00A428C3" w:rsidRDefault="00B95188" w:rsidP="00B95188">
      <w:pPr>
        <w:pStyle w:val="a0"/>
      </w:pPr>
      <w:r w:rsidRPr="00A428C3">
        <w:t xml:space="preserve">Keywords: Arsenic, Sedimentation, Phytoplankton, Partition Coefficient, Particle Concentration Effect, Lake-Ontario, Nepheloid Layer, Organic-Carbon, Resuspension, Bacteria, </w:t>
      </w:r>
      <w:smartTag w:uri="urn:schemas-microsoft-com:office:smarttags" w:element="place">
        <w:smartTag w:uri="urn:schemas-microsoft-com:office:smarttags" w:element="City">
          <w:r w:rsidRPr="00A428C3">
            <w:t>Superior</w:t>
          </w:r>
        </w:smartTag>
      </w:smartTag>
      <w:r w:rsidRPr="00A428C3">
        <w:t>, Model</w:t>
      </w:r>
    </w:p>
    <w:p w:rsidR="00B95188" w:rsidRPr="00A428C3" w:rsidRDefault="00B95188" w:rsidP="00B95188">
      <w:pPr>
        <w:pStyle w:val="a0"/>
      </w:pPr>
      <w:r w:rsidRPr="00A428C3">
        <w:t xml:space="preserve">? Przybylski, M. (1996), Variation in fish growth characteristics along a river course. </w:t>
      </w:r>
      <w:r w:rsidRPr="00A428C3">
        <w:rPr>
          <w:i/>
        </w:rPr>
        <w:lastRenderedPageBreak/>
        <w:t>Hydrobiologia</w:t>
      </w:r>
      <w:r w:rsidRPr="00A428C3">
        <w:t xml:space="preserve">, </w:t>
      </w:r>
      <w:r w:rsidRPr="00A428C3">
        <w:rPr>
          <w:b/>
        </w:rPr>
        <w:t>325</w:t>
      </w:r>
      <w:r w:rsidR="00B46A78">
        <w:rPr>
          <w:rFonts w:hint="eastAsia"/>
        </w:rPr>
        <w:t xml:space="preserve"> (1),</w:t>
      </w:r>
      <w:r w:rsidRPr="00A428C3">
        <w:t xml:space="preserve"> 39-46.</w:t>
      </w:r>
    </w:p>
    <w:p w:rsidR="00B46A78" w:rsidRDefault="00B46A78" w:rsidP="00B46A78">
      <w:pPr>
        <w:pStyle w:val="a0"/>
        <w:rPr>
          <w:kern w:val="0"/>
        </w:rPr>
      </w:pPr>
      <w:r>
        <w:rPr>
          <w:rFonts w:hint="eastAsia"/>
          <w:kern w:val="0"/>
        </w:rPr>
        <w:t xml:space="preserve">Full Text: </w:t>
      </w:r>
      <w:hyperlink r:id="rId701" w:history="1">
        <w:r w:rsidRPr="00B46A78">
          <w:rPr>
            <w:rStyle w:val="a5"/>
            <w:kern w:val="0"/>
          </w:rPr>
          <w:t>1996\Hydrobiologia325, 39.pdf</w:t>
        </w:r>
      </w:hyperlink>
    </w:p>
    <w:p w:rsidR="00B95188" w:rsidRPr="00A428C3" w:rsidRDefault="00B95188" w:rsidP="00B95188">
      <w:pPr>
        <w:pStyle w:val="a0"/>
      </w:pPr>
      <w:r w:rsidRPr="00A428C3">
        <w:t>Abstract: Variation in the growth patterns of roach, Rutilus rutilus (L.), pike, Esox lucius L.</w:t>
      </w:r>
      <w:r w:rsidR="00F81221">
        <w:t xml:space="preserve"> and </w:t>
      </w:r>
      <w:r w:rsidRPr="00A428C3">
        <w:t>chub, Leuciscus cephalus (L.) was examined along the upper Warta River, where human impact (mostly pollution) has influenced the longitudinal zonation on the fish assemblage. Significant differences were found in the exponent of weight-length relationships for roach</w:t>
      </w:r>
      <w:r w:rsidR="00F81221">
        <w:t xml:space="preserve"> and </w:t>
      </w:r>
      <w:r w:rsidRPr="00A428C3">
        <w:t>chub populations occupying different zones of the river, but no such variation was observed in pike. Moreover, pike growth was isometric, whereas roach</w:t>
      </w:r>
      <w:r w:rsidR="00F81221">
        <w:t xml:space="preserve"> and </w:t>
      </w:r>
      <w:r w:rsidRPr="00A428C3">
        <w:t>chub grew allometrically, with regression coefficients (slope) above 3. Although the length-at-age data were similar for each zone, the von Bertalanffy parameters (L</w:t>
      </w:r>
      <w:r w:rsidRPr="00A428C3">
        <w:rPr>
          <w:vertAlign w:val="subscript"/>
        </w:rPr>
        <w:t>inf</w:t>
      </w:r>
      <w:r w:rsidRPr="00A428C3">
        <w:t>, K</w:t>
      </w:r>
      <w:r w:rsidR="00F81221">
        <w:t xml:space="preserve"> and </w:t>
      </w:r>
      <w:r w:rsidRPr="00A428C3">
        <w:t>t</w:t>
      </w:r>
      <w:r w:rsidRPr="00A428C3">
        <w:rPr>
          <w:vertAlign w:val="subscript"/>
        </w:rPr>
        <w:t>0</w:t>
      </w:r>
      <w:r w:rsidRPr="00A428C3">
        <w:t xml:space="preserve">) suggest that there may exist some inter-zone variation in the overall growth patterns of these species. All the species grew better in the zone where the index of relative abundance (relating dominance of a particular species to its maximum abundance in river system) achieved its highest value. The results suggest that a relative abundance index expressed in this way can be a good index of </w:t>
      </w:r>
      <w:r w:rsidR="000352E7">
        <w:t>‘</w:t>
      </w:r>
      <w:r w:rsidRPr="00A428C3">
        <w:t>habitat quality</w:t>
      </w:r>
      <w:r w:rsidR="000352E7">
        <w:t>’</w:t>
      </w:r>
      <w:r w:rsidRPr="00A428C3">
        <w:t>.</w:t>
      </w:r>
    </w:p>
    <w:p w:rsidR="00B95188" w:rsidRPr="00A428C3" w:rsidRDefault="00B95188" w:rsidP="00B95188">
      <w:pPr>
        <w:pStyle w:val="a0"/>
      </w:pPr>
      <w:r w:rsidRPr="00A428C3">
        <w:t>? Friedlander, M., Levy, D.</w:t>
      </w:r>
      <w:r w:rsidR="00F81221">
        <w:t xml:space="preserve"> and </w:t>
      </w:r>
      <w:r w:rsidRPr="00A428C3">
        <w:t xml:space="preserve">Hornung, H. (1996), The effect of cooling seawater effluents of a power plant on growth rate of cultured </w:t>
      </w:r>
      <w:r w:rsidR="00B46A78" w:rsidRPr="00B46A78">
        <w:rPr>
          <w:i/>
        </w:rPr>
        <w:t xml:space="preserve">Gracilaria </w:t>
      </w:r>
      <w:r w:rsidRPr="00B46A78">
        <w:rPr>
          <w:i/>
        </w:rPr>
        <w:t>conferta</w:t>
      </w:r>
      <w:r w:rsidRPr="00A428C3">
        <w:t xml:space="preserve"> (Rhodophyta). </w:t>
      </w:r>
      <w:r w:rsidRPr="00A428C3">
        <w:rPr>
          <w:i/>
        </w:rPr>
        <w:t>Hydrobiologia</w:t>
      </w:r>
      <w:r w:rsidRPr="00A428C3">
        <w:t xml:space="preserve">, </w:t>
      </w:r>
      <w:r w:rsidRPr="00A428C3">
        <w:rPr>
          <w:b/>
        </w:rPr>
        <w:t>332</w:t>
      </w:r>
      <w:r w:rsidR="00B46A78">
        <w:rPr>
          <w:rFonts w:hint="eastAsia"/>
        </w:rPr>
        <w:t xml:space="preserve"> (3),</w:t>
      </w:r>
      <w:r w:rsidRPr="00A428C3">
        <w:t xml:space="preserve"> 167-174.</w:t>
      </w:r>
    </w:p>
    <w:p w:rsidR="00B46A78" w:rsidRDefault="00B46A78" w:rsidP="00B46A78">
      <w:pPr>
        <w:pStyle w:val="a0"/>
        <w:rPr>
          <w:kern w:val="0"/>
        </w:rPr>
      </w:pPr>
      <w:r>
        <w:rPr>
          <w:rFonts w:hint="eastAsia"/>
          <w:kern w:val="0"/>
        </w:rPr>
        <w:t xml:space="preserve">Full Text: </w:t>
      </w:r>
      <w:hyperlink r:id="rId702" w:history="1">
        <w:r w:rsidRPr="00B46A78">
          <w:rPr>
            <w:rStyle w:val="a5"/>
            <w:kern w:val="0"/>
          </w:rPr>
          <w:t>1996\Hydrobiologia332, 167.pdf</w:t>
        </w:r>
      </w:hyperlink>
    </w:p>
    <w:p w:rsidR="00B95188" w:rsidRPr="00A428C3" w:rsidRDefault="00B95188" w:rsidP="00B95188">
      <w:pPr>
        <w:pStyle w:val="a0"/>
      </w:pPr>
      <w:r w:rsidRPr="00A428C3">
        <w:t>Abstract: The effect of cooling seawater effluents of a power plant on the growth rate of Gracilaria conferta in tanks has been studied, as a possible solution for the decrease in the winter growth rate in ambient seawater tanks. The Gracilaria cultures did not survive more than 2-8 weeks in the power plant effluents during the one-year-long repeated experiments. The major reason was the high accumulation of copper, iron, lead</w:t>
      </w:r>
      <w:r w:rsidR="00F81221">
        <w:t xml:space="preserve"> and </w:t>
      </w:r>
      <w:r w:rsidRPr="00A428C3">
        <w:t>chromium from the power plant effluents as compared to concentrations in Gracilaria cultured in ambient seawater. The survival increased</w:t>
      </w:r>
      <w:r w:rsidR="00F81221">
        <w:t xml:space="preserve"> and </w:t>
      </w:r>
      <w:r w:rsidRPr="00A428C3">
        <w:t>the copper accumulation decreased significantly when the effluents were passed through an Ulva biofilter.</w:t>
      </w:r>
    </w:p>
    <w:p w:rsidR="00B46A78" w:rsidRDefault="00B46A78" w:rsidP="00B46A78">
      <w:pPr>
        <w:pStyle w:val="a0"/>
        <w:rPr>
          <w:kern w:val="0"/>
        </w:rPr>
      </w:pPr>
      <w:r>
        <w:rPr>
          <w:rFonts w:hint="eastAsia"/>
          <w:kern w:val="0"/>
        </w:rPr>
        <w:t xml:space="preserve">? </w:t>
      </w:r>
      <w:r>
        <w:rPr>
          <w:kern w:val="0"/>
        </w:rPr>
        <w:t>Thomaz, S.M., Michelan, T.S., Carvalho, P.</w:t>
      </w:r>
      <w:r w:rsidR="00F81221">
        <w:rPr>
          <w:kern w:val="0"/>
        </w:rPr>
        <w:t xml:space="preserve"> and </w:t>
      </w:r>
      <w:r>
        <w:rPr>
          <w:kern w:val="0"/>
        </w:rPr>
        <w:t xml:space="preserve">Bini, L.M. (2010), The influence of </w:t>
      </w:r>
      <w:r w:rsidR="000352E7">
        <w:rPr>
          <w:kern w:val="0"/>
        </w:rPr>
        <w:t>“</w:t>
      </w:r>
      <w:r>
        <w:rPr>
          <w:kern w:val="0"/>
        </w:rPr>
        <w:t>Homage to Santa Rosalia</w:t>
      </w:r>
      <w:r w:rsidR="000352E7">
        <w:rPr>
          <w:kern w:val="0"/>
        </w:rPr>
        <w:t>”</w:t>
      </w:r>
      <w:r>
        <w:rPr>
          <w:kern w:val="0"/>
        </w:rPr>
        <w:t xml:space="preserve"> on aquatic ecology: A scientometric approach. </w:t>
      </w:r>
      <w:r>
        <w:rPr>
          <w:i/>
          <w:iCs/>
          <w:kern w:val="0"/>
        </w:rPr>
        <w:t>Hydrobiologia</w:t>
      </w:r>
      <w:r>
        <w:rPr>
          <w:kern w:val="0"/>
        </w:rPr>
        <w:t xml:space="preserve">, </w:t>
      </w:r>
      <w:r>
        <w:rPr>
          <w:b/>
          <w:bCs/>
          <w:kern w:val="0"/>
        </w:rPr>
        <w:t>653</w:t>
      </w:r>
      <w:r>
        <w:rPr>
          <w:kern w:val="0"/>
        </w:rPr>
        <w:t xml:space="preserve"> (1), 7-13.</w:t>
      </w:r>
    </w:p>
    <w:p w:rsidR="00B46A78" w:rsidRDefault="00B46A78" w:rsidP="00B46A78">
      <w:pPr>
        <w:pStyle w:val="a0"/>
        <w:rPr>
          <w:kern w:val="0"/>
        </w:rPr>
      </w:pPr>
      <w:r>
        <w:rPr>
          <w:rFonts w:hint="eastAsia"/>
          <w:kern w:val="0"/>
        </w:rPr>
        <w:t xml:space="preserve">Full Text: </w:t>
      </w:r>
      <w:hyperlink r:id="rId703" w:history="1">
        <w:r w:rsidRPr="00BA604F">
          <w:rPr>
            <w:rStyle w:val="a5"/>
            <w:kern w:val="0"/>
          </w:rPr>
          <w:t>2010\Hydrobiologia653, 7.pdf</w:t>
        </w:r>
      </w:hyperlink>
    </w:p>
    <w:p w:rsidR="00B46A78" w:rsidRDefault="00B46A78" w:rsidP="00B46A78">
      <w:pPr>
        <w:pStyle w:val="a0"/>
        <w:rPr>
          <w:kern w:val="0"/>
        </w:rPr>
      </w:pPr>
      <w:r>
        <w:rPr>
          <w:kern w:val="0"/>
        </w:rPr>
        <w:t xml:space="preserve">Abstract: In 1959, G.E. Hutchinson provided a general explanation for the diversity of species in his paper </w:t>
      </w:r>
      <w:r w:rsidR="000352E7">
        <w:rPr>
          <w:kern w:val="0"/>
        </w:rPr>
        <w:t>“</w:t>
      </w:r>
      <w:r>
        <w:rPr>
          <w:kern w:val="0"/>
        </w:rPr>
        <w:t>Homage to Santa Rosalia or why are there so many kinds of animals?</w:t>
      </w:r>
      <w:r w:rsidR="000352E7">
        <w:rPr>
          <w:kern w:val="0"/>
        </w:rPr>
        <w:t>”</w:t>
      </w:r>
      <w:r>
        <w:rPr>
          <w:kern w:val="0"/>
        </w:rPr>
        <w:t xml:space="preserve"> To assess the contribution of the ideas Hutchinson introduced in </w:t>
      </w:r>
      <w:r w:rsidR="000352E7">
        <w:rPr>
          <w:kern w:val="0"/>
        </w:rPr>
        <w:t>“</w:t>
      </w:r>
      <w:r>
        <w:rPr>
          <w:kern w:val="0"/>
        </w:rPr>
        <w:t>The Homage</w:t>
      </w:r>
      <w:r w:rsidR="000352E7">
        <w:rPr>
          <w:kern w:val="0"/>
        </w:rPr>
        <w:t>”</w:t>
      </w:r>
      <w:r>
        <w:rPr>
          <w:kern w:val="0"/>
        </w:rPr>
        <w:t xml:space="preserve"> to aquatic ecology research, we performed a bibliometric evaluation of all the articles that cited this paper between 1960</w:t>
      </w:r>
      <w:r w:rsidR="00F81221">
        <w:rPr>
          <w:kern w:val="0"/>
        </w:rPr>
        <w:t xml:space="preserve"> and </w:t>
      </w:r>
      <w:r>
        <w:rPr>
          <w:kern w:val="0"/>
        </w:rPr>
        <w:t xml:space="preserve">2009. The articles were retrieved using the database from Thomson Reuters (ISI Web of Knowledge) in March 2009. </w:t>
      </w:r>
      <w:r>
        <w:rPr>
          <w:kern w:val="0"/>
        </w:rPr>
        <w:lastRenderedPageBreak/>
        <w:t>For each paper, we first identified the studied environment (terrestrial, marine or freshwater)</w:t>
      </w:r>
      <w:r w:rsidR="00F81221">
        <w:rPr>
          <w:kern w:val="0"/>
        </w:rPr>
        <w:t xml:space="preserve"> and </w:t>
      </w:r>
      <w:r>
        <w:rPr>
          <w:kern w:val="0"/>
        </w:rPr>
        <w:t>whether the study was theoretical or empirical. For marine</w:t>
      </w:r>
      <w:r w:rsidR="00F81221">
        <w:rPr>
          <w:kern w:val="0"/>
        </w:rPr>
        <w:t xml:space="preserve"> and </w:t>
      </w:r>
      <w:r>
        <w:rPr>
          <w:kern w:val="0"/>
        </w:rPr>
        <w:t>freshwater studies, we recorded the journal where the article was published, the year of publication, the number of citations, the taxonomic group (e.g. fish, phytoplankton, zooplankton, macroinvertebrates or macrophytes), the habitat (e.g. wetlands, lakes, rivers, streams or ocean)</w:t>
      </w:r>
      <w:r w:rsidR="00F81221">
        <w:rPr>
          <w:kern w:val="0"/>
        </w:rPr>
        <w:t xml:space="preserve"> and </w:t>
      </w:r>
      <w:r>
        <w:rPr>
          <w:kern w:val="0"/>
        </w:rPr>
        <w:t xml:space="preserve">the main ideas addressed. A total of 1345 articles cited </w:t>
      </w:r>
      <w:r w:rsidR="000352E7">
        <w:rPr>
          <w:kern w:val="0"/>
        </w:rPr>
        <w:t>“</w:t>
      </w:r>
      <w:r>
        <w:rPr>
          <w:kern w:val="0"/>
        </w:rPr>
        <w:t>The Homage</w:t>
      </w:r>
      <w:r w:rsidR="000352E7">
        <w:rPr>
          <w:kern w:val="0"/>
        </w:rPr>
        <w:t>”</w:t>
      </w:r>
      <w:r>
        <w:rPr>
          <w:kern w:val="0"/>
        </w:rPr>
        <w:t>,</w:t>
      </w:r>
      <w:r w:rsidR="00F81221">
        <w:rPr>
          <w:kern w:val="0"/>
        </w:rPr>
        <w:t xml:space="preserve"> and </w:t>
      </w:r>
      <w:r>
        <w:rPr>
          <w:kern w:val="0"/>
        </w:rPr>
        <w:t xml:space="preserve">the number of citations increased significantly with time. Most of the articles that cited </w:t>
      </w:r>
      <w:r w:rsidR="000352E7">
        <w:rPr>
          <w:kern w:val="0"/>
        </w:rPr>
        <w:t>“</w:t>
      </w:r>
      <w:r>
        <w:rPr>
          <w:kern w:val="0"/>
        </w:rPr>
        <w:t>The Homage</w:t>
      </w:r>
      <w:r w:rsidR="000352E7">
        <w:rPr>
          <w:kern w:val="0"/>
        </w:rPr>
        <w:t>”</w:t>
      </w:r>
      <w:r>
        <w:rPr>
          <w:kern w:val="0"/>
        </w:rPr>
        <w:t xml:space="preserve"> described research carried out in a terrestrial environment or were theoretical,</w:t>
      </w:r>
      <w:r w:rsidR="00F81221">
        <w:rPr>
          <w:kern w:val="0"/>
        </w:rPr>
        <w:t xml:space="preserve"> and </w:t>
      </w:r>
      <w:r>
        <w:rPr>
          <w:kern w:val="0"/>
        </w:rPr>
        <w:t>a lesser number of citations came from freshwater</w:t>
      </w:r>
      <w:r w:rsidR="00F81221">
        <w:rPr>
          <w:kern w:val="0"/>
        </w:rPr>
        <w:t xml:space="preserve"> and </w:t>
      </w:r>
      <w:r>
        <w:rPr>
          <w:kern w:val="0"/>
        </w:rPr>
        <w:t>marine papers, which used mainly fish</w:t>
      </w:r>
      <w:r w:rsidR="00F81221">
        <w:rPr>
          <w:kern w:val="0"/>
        </w:rPr>
        <w:t xml:space="preserve"> and </w:t>
      </w:r>
      <w:r>
        <w:rPr>
          <w:kern w:val="0"/>
        </w:rPr>
        <w:t>invertebrates as model organisms. In the aquatic sciences, most of the papers discussed the influences of competition</w:t>
      </w:r>
      <w:r w:rsidR="00F81221">
        <w:rPr>
          <w:kern w:val="0"/>
        </w:rPr>
        <w:t xml:space="preserve"> and </w:t>
      </w:r>
      <w:r>
        <w:rPr>
          <w:kern w:val="0"/>
        </w:rPr>
        <w:t xml:space="preserve">energy (productivity) on diversity. Our results indicate that </w:t>
      </w:r>
      <w:r w:rsidR="000352E7">
        <w:rPr>
          <w:kern w:val="0"/>
        </w:rPr>
        <w:t>“</w:t>
      </w:r>
      <w:r>
        <w:rPr>
          <w:kern w:val="0"/>
        </w:rPr>
        <w:t>The Homage</w:t>
      </w:r>
      <w:r w:rsidR="000352E7">
        <w:rPr>
          <w:kern w:val="0"/>
        </w:rPr>
        <w:t>”</w:t>
      </w:r>
      <w:r>
        <w:rPr>
          <w:kern w:val="0"/>
        </w:rPr>
        <w:t xml:space="preserve"> can still be considered a </w:t>
      </w:r>
      <w:r w:rsidR="000352E7">
        <w:rPr>
          <w:kern w:val="0"/>
        </w:rPr>
        <w:t>“</w:t>
      </w:r>
      <w:r>
        <w:rPr>
          <w:kern w:val="0"/>
        </w:rPr>
        <w:t>citation classic</w:t>
      </w:r>
      <w:r w:rsidR="000352E7">
        <w:rPr>
          <w:kern w:val="0"/>
        </w:rPr>
        <w:t>”</w:t>
      </w:r>
      <w:r w:rsidR="00F81221">
        <w:rPr>
          <w:kern w:val="0"/>
        </w:rPr>
        <w:t xml:space="preserve"> and </w:t>
      </w:r>
      <w:r>
        <w:rPr>
          <w:kern w:val="0"/>
        </w:rPr>
        <w:t>a breakthrough contribution,</w:t>
      </w:r>
      <w:r w:rsidR="00F81221">
        <w:rPr>
          <w:kern w:val="0"/>
        </w:rPr>
        <w:t xml:space="preserve"> and </w:t>
      </w:r>
      <w:r>
        <w:rPr>
          <w:kern w:val="0"/>
        </w:rPr>
        <w:t>that it is still having a great impact on different fields of ecology, including limnology</w:t>
      </w:r>
      <w:r w:rsidR="00F81221">
        <w:rPr>
          <w:kern w:val="0"/>
        </w:rPr>
        <w:t xml:space="preserve"> and </w:t>
      </w:r>
      <w:r>
        <w:rPr>
          <w:kern w:val="0"/>
        </w:rPr>
        <w:t>marine ecology.</w:t>
      </w:r>
    </w:p>
    <w:p w:rsidR="00B46A78" w:rsidRDefault="00B46A78" w:rsidP="00B46A78">
      <w:pPr>
        <w:pStyle w:val="a0"/>
        <w:rPr>
          <w:kern w:val="0"/>
        </w:rPr>
      </w:pPr>
      <w:r>
        <w:rPr>
          <w:kern w:val="0"/>
        </w:rPr>
        <w:t>Keywords: Biodiversity, Coexistence, Competition, Diversity, Eutrophication, Hutchinson, Impact, Publication, Research, Species-Diversity, Stability, Web</w:t>
      </w:r>
    </w:p>
    <w:p w:rsidR="00B95188" w:rsidRPr="00A428C3" w:rsidRDefault="00B95188" w:rsidP="00B95188">
      <w:pPr>
        <w:pStyle w:val="1"/>
      </w:pPr>
      <w:r w:rsidRPr="00A428C3">
        <w:br w:type="page"/>
      </w:r>
      <w:bookmarkStart w:id="702" w:name="_Toc455569463"/>
      <w:bookmarkStart w:id="703" w:name="_Toc487190700"/>
      <w:bookmarkStart w:id="704" w:name="_Toc487882205"/>
      <w:bookmarkStart w:id="705" w:name="_Toc490688019"/>
      <w:bookmarkStart w:id="706" w:name="_Toc492807680"/>
      <w:bookmarkStart w:id="707" w:name="_Toc186647800"/>
      <w:bookmarkStart w:id="708" w:name="_Toc317161067"/>
      <w:r w:rsidRPr="00A428C3">
        <w:lastRenderedPageBreak/>
        <w:t>Title: Hydrocarbon Processing</w:t>
      </w:r>
      <w:bookmarkEnd w:id="702"/>
      <w:bookmarkEnd w:id="703"/>
      <w:bookmarkEnd w:id="704"/>
      <w:bookmarkEnd w:id="705"/>
      <w:bookmarkEnd w:id="706"/>
      <w:bookmarkEnd w:id="707"/>
      <w:bookmarkEnd w:id="708"/>
    </w:p>
    <w:p w:rsidR="00B95188" w:rsidRPr="00A428C3" w:rsidRDefault="00B95188" w:rsidP="00B72EF9">
      <w:pPr>
        <w:pStyle w:val="12"/>
      </w:pPr>
      <w:r w:rsidRPr="00A428C3">
        <w:t>Full Journal Title: Hydrocarbon Processing</w:t>
      </w:r>
    </w:p>
    <w:p w:rsidR="00B95188" w:rsidRPr="00A428C3" w:rsidRDefault="00B95188" w:rsidP="00B72EF9">
      <w:pPr>
        <w:pStyle w:val="12"/>
      </w:pPr>
      <w:r w:rsidRPr="00A428C3">
        <w:t>ISO Abbreviated Title: Hydrocarb. Process.</w:t>
      </w:r>
    </w:p>
    <w:p w:rsidR="00B95188" w:rsidRPr="00A428C3" w:rsidRDefault="00B95188" w:rsidP="00B72EF9">
      <w:pPr>
        <w:pStyle w:val="12"/>
      </w:pPr>
      <w:r w:rsidRPr="00A428C3">
        <w:t>JCR Abbreviated Title: Hydrocarb Process</w:t>
      </w:r>
    </w:p>
    <w:p w:rsidR="00B95188" w:rsidRPr="00A428C3" w:rsidRDefault="00B95188" w:rsidP="00B72EF9">
      <w:pPr>
        <w:pStyle w:val="12"/>
      </w:pPr>
      <w:r w:rsidRPr="00A428C3">
        <w:t>ISSN: 0018-8190</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Gulf Publ Co</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Box 2608</w:t>
          </w:r>
        </w:smartTag>
        <w:r w:rsidRPr="00A428C3">
          <w:t xml:space="preserve">, </w:t>
        </w:r>
        <w:smartTag w:uri="urn:schemas-microsoft-com:office:smarttags" w:element="City">
          <w:r w:rsidRPr="00A428C3">
            <w:t>Houston</w:t>
          </w:r>
        </w:smartTag>
        <w:r w:rsidRPr="00A428C3">
          <w:t xml:space="preserve">, </w:t>
        </w:r>
        <w:smartTag w:uri="urn:schemas-microsoft-com:office:smarttags" w:element="State">
          <w:r w:rsidRPr="00A428C3">
            <w:t>TX</w:t>
          </w:r>
        </w:smartTag>
        <w:r w:rsidRPr="00A428C3">
          <w:t xml:space="preserve"> </w:t>
        </w:r>
        <w:smartTag w:uri="urn:schemas-microsoft-com:office:smarttags" w:element="PostalCode">
          <w:r w:rsidRPr="00A428C3">
            <w:t>77252-2608</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Energy &amp; Fuels:</w:t>
      </w:r>
      <w:r w:rsidRPr="00A428C3">
        <w:rPr>
          <w:color w:val="008000"/>
        </w:rPr>
        <w:t xml:space="preserve"> Impact Factor</w:t>
      </w:r>
    </w:p>
    <w:p w:rsidR="00B95188" w:rsidRPr="00A428C3" w:rsidRDefault="00B95188" w:rsidP="00B72EF9">
      <w:pPr>
        <w:pStyle w:val="12"/>
      </w:pPr>
      <w:r w:rsidRPr="00A428C3">
        <w:t>Engineering, Chemical: Impact Factor 0.150, 92/110</w:t>
      </w:r>
    </w:p>
    <w:p w:rsidR="00B95188" w:rsidRPr="00A428C3" w:rsidRDefault="00B95188" w:rsidP="00B72EF9">
      <w:pPr>
        <w:pStyle w:val="12"/>
      </w:pPr>
      <w:r w:rsidRPr="00A428C3">
        <w:t>Engineering, Petroleum:</w:t>
      </w:r>
      <w:r w:rsidRPr="00A428C3">
        <w:rPr>
          <w:color w:val="008000"/>
        </w:rPr>
        <w:t xml:space="preserve"> Impact Factor</w:t>
      </w:r>
    </w:p>
    <w:p w:rsidR="00B95188" w:rsidRPr="00A428C3" w:rsidRDefault="00B95188" w:rsidP="00B95188">
      <w:pPr>
        <w:pStyle w:val="a0"/>
      </w:pPr>
      <w:r w:rsidRPr="00A428C3">
        <w:t xml:space="preserve">Radigan, M.J. (1994), How to select a continuous emission monitoring system. </w:t>
      </w:r>
      <w:r w:rsidRPr="00A428C3">
        <w:rPr>
          <w:i/>
        </w:rPr>
        <w:t>Hydrocarbon Processing</w:t>
      </w:r>
      <w:r w:rsidRPr="00A428C3">
        <w:t xml:space="preserve">, </w:t>
      </w:r>
      <w:r w:rsidRPr="00A428C3">
        <w:rPr>
          <w:b/>
        </w:rPr>
        <w:t>73</w:t>
      </w:r>
      <w:r w:rsidRPr="00A428C3">
        <w:t xml:space="preserve"> (2), 73-75.</w:t>
      </w:r>
    </w:p>
    <w:p w:rsidR="00B95188" w:rsidRPr="00A428C3" w:rsidRDefault="00B95188" w:rsidP="00B95188">
      <w:pPr>
        <w:pStyle w:val="a0"/>
      </w:pPr>
      <w:r w:rsidRPr="00A428C3">
        <w:t xml:space="preserve">? Vervalin, C.H. (1994), Responsible care is working. </w:t>
      </w:r>
      <w:r w:rsidRPr="00A428C3">
        <w:rPr>
          <w:i/>
        </w:rPr>
        <w:t>Hydrocarbon Processing</w:t>
      </w:r>
      <w:r w:rsidRPr="00A428C3">
        <w:t xml:space="preserve">, </w:t>
      </w:r>
      <w:r w:rsidRPr="00A428C3">
        <w:rPr>
          <w:b/>
        </w:rPr>
        <w:t>73</w:t>
      </w:r>
      <w:r w:rsidRPr="00A428C3">
        <w:t xml:space="preserve"> (7), 13.</w:t>
      </w:r>
    </w:p>
    <w:p w:rsidR="00B95188" w:rsidRPr="00A428C3" w:rsidRDefault="00B95188" w:rsidP="00B95188">
      <w:pPr>
        <w:pStyle w:val="1"/>
      </w:pPr>
      <w:r w:rsidRPr="00A428C3">
        <w:br w:type="page"/>
      </w:r>
      <w:bookmarkStart w:id="709" w:name="_Toc186647801"/>
      <w:bookmarkStart w:id="710" w:name="_Toc317161068"/>
      <w:r w:rsidRPr="00A428C3">
        <w:lastRenderedPageBreak/>
        <w:t>Title: Hydrogeology Journal</w:t>
      </w:r>
      <w:bookmarkEnd w:id="709"/>
      <w:bookmarkEnd w:id="710"/>
    </w:p>
    <w:p w:rsidR="00B95188" w:rsidRPr="00A428C3" w:rsidRDefault="00B95188" w:rsidP="00B72EF9">
      <w:pPr>
        <w:pStyle w:val="12"/>
      </w:pPr>
      <w:r w:rsidRPr="00A428C3">
        <w:t>Full Journal Title: Hydrogeology Journal</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1431-2174</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Schwartz, F.W., Fang, Y.C.</w:t>
      </w:r>
      <w:r w:rsidR="00F81221">
        <w:t xml:space="preserve"> and </w:t>
      </w:r>
      <w:r w:rsidRPr="00A428C3">
        <w:t xml:space="preserve">Parthasarathy, S. (2005), Patterns of evolution of research strands in the hydrologic sciences. </w:t>
      </w:r>
      <w:r w:rsidRPr="00A428C3">
        <w:rPr>
          <w:i/>
        </w:rPr>
        <w:t>Hydrogeology Journal</w:t>
      </w:r>
      <w:r w:rsidRPr="00A428C3">
        <w:t xml:space="preserve">, </w:t>
      </w:r>
      <w:r w:rsidRPr="00A428C3">
        <w:rPr>
          <w:b/>
        </w:rPr>
        <w:t>13</w:t>
      </w:r>
      <w:r w:rsidRPr="00A428C3">
        <w:t xml:space="preserve"> (1), 25-36.</w:t>
      </w:r>
    </w:p>
    <w:p w:rsidR="004E5B58" w:rsidRPr="001A3D2B" w:rsidRDefault="004E5B58" w:rsidP="004E5B58">
      <w:pPr>
        <w:pStyle w:val="a0"/>
      </w:pPr>
      <w:r w:rsidRPr="001A3D2B">
        <w:t xml:space="preserve">Full Text: </w:t>
      </w:r>
      <w:hyperlink r:id="rId704" w:history="1">
        <w:r w:rsidRPr="001A3D2B">
          <w:rPr>
            <w:rStyle w:val="a5"/>
          </w:rPr>
          <w:t>2005\Hyd J13, 25.pdf</w:t>
        </w:r>
      </w:hyperlink>
    </w:p>
    <w:p w:rsidR="00B95188" w:rsidRPr="00A428C3" w:rsidRDefault="00B95188" w:rsidP="00B95188">
      <w:pPr>
        <w:pStyle w:val="a0"/>
      </w:pPr>
      <w:r w:rsidRPr="00A428C3">
        <w:t>Abstract: This paper examines issues of impact</w:t>
      </w:r>
      <w:r w:rsidR="00F81221">
        <w:t xml:space="preserve"> and </w:t>
      </w:r>
      <w:r w:rsidRPr="00A428C3">
        <w:t>innovation in groundwater research by using bibliometric data</w:t>
      </w:r>
      <w:r w:rsidR="00F81221">
        <w:t xml:space="preserve"> and </w:t>
      </w:r>
      <w:r w:rsidRPr="00A428C3">
        <w:t>citation analysis. The analysis is based on 3120 papers from the journal Water Resources Research with full contents</w:t>
      </w:r>
      <w:r w:rsidR="00F81221">
        <w:t xml:space="preserve"> and </w:t>
      </w:r>
      <w:r w:rsidRPr="00A428C3">
        <w:t>their citation data from the ISI Web of Science. The research is designed to develop a better understanding of the way citation numbers can be interpreted by scientists. Not surprisingly, the most highly cited papers appear to be pioneers in the field with papers departing significantly from what has come before</w:t>
      </w:r>
      <w:r w:rsidR="00F81221">
        <w:t xml:space="preserve"> and </w:t>
      </w:r>
      <w:r w:rsidRPr="00A428C3">
        <w:t>to be effective in creating similar, follow-on papers. Papers that are early contributions to a new research strand that is highly influential will be on average highly cited. However, the importance of a research strand as measured by citations seems to fall with time. The citation patterns of some classic papers show that the activity in the topical area</w:t>
      </w:r>
      <w:r w:rsidR="00F81221">
        <w:t xml:space="preserve"> and </w:t>
      </w:r>
      <w:r w:rsidRPr="00A428C3">
        <w:t>impact of follow-on papers gradually decline with time, which has similarities with Kuhn</w:t>
      </w:r>
      <w:r w:rsidR="000352E7">
        <w:t>’</w:t>
      </w:r>
      <w:r w:rsidRPr="00A428C3">
        <w:t>s ideas of revolutionary</w:t>
      </w:r>
      <w:r w:rsidR="00F81221">
        <w:t xml:space="preserve"> and </w:t>
      </w:r>
      <w:r w:rsidRPr="00A428C3">
        <w:t>normal science. The results of this study reinforce the importance of being a pioneer in a research strand, strategically shifting research strands, adopting strategies that can facilitate really major research breakthroughs.</w:t>
      </w:r>
    </w:p>
    <w:p w:rsidR="00B95188" w:rsidRPr="00A428C3" w:rsidRDefault="00B95188" w:rsidP="00B95188">
      <w:pPr>
        <w:pStyle w:val="a0"/>
      </w:pPr>
      <w:r w:rsidRPr="00A428C3">
        <w:t xml:space="preserve">Keywords: Alberta, Bibliometric, Canada Sedimentary Basin, Citation, Citation Analysis, Citations, Fluid-Flow, Genesis, Innovation, </w:t>
      </w:r>
      <w:r w:rsidR="004E5B58" w:rsidRPr="00A428C3">
        <w:t>ISI</w:t>
      </w:r>
      <w:r w:rsidRPr="00A428C3">
        <w:t>, Journal, Model, Regional Groundwater-Flow, Research, Sciences, Small Drainage Basins, Stratabound Ore-Deposits, Theoretical-Analysis, Web of Science</w:t>
      </w:r>
    </w:p>
    <w:p w:rsidR="00B95188" w:rsidRPr="00A428C3" w:rsidRDefault="00B95188" w:rsidP="00B95188">
      <w:pPr>
        <w:pStyle w:val="1"/>
      </w:pPr>
      <w:r w:rsidRPr="00A428C3">
        <w:br w:type="page"/>
      </w:r>
      <w:bookmarkStart w:id="711" w:name="_Toc487192719"/>
      <w:bookmarkStart w:id="712" w:name="_Toc489709744"/>
      <w:bookmarkStart w:id="713" w:name="_Toc490688020"/>
      <w:bookmarkStart w:id="714" w:name="_Toc492807681"/>
      <w:bookmarkStart w:id="715" w:name="_Toc186647802"/>
      <w:bookmarkStart w:id="716" w:name="_Toc317161069"/>
      <w:r w:rsidRPr="00A428C3">
        <w:lastRenderedPageBreak/>
        <w:t>Title: Hydrological Processes</w:t>
      </w:r>
      <w:bookmarkEnd w:id="711"/>
      <w:bookmarkEnd w:id="712"/>
      <w:bookmarkEnd w:id="713"/>
      <w:bookmarkEnd w:id="714"/>
      <w:bookmarkEnd w:id="715"/>
      <w:bookmarkEnd w:id="716"/>
    </w:p>
    <w:p w:rsidR="00B95188" w:rsidRPr="00A428C3" w:rsidRDefault="00B95188" w:rsidP="00B72EF9">
      <w:pPr>
        <w:pStyle w:val="12"/>
      </w:pPr>
      <w:r w:rsidRPr="00A428C3">
        <w:t xml:space="preserve">Full Journal Title: </w:t>
      </w:r>
      <w:hyperlink r:id="rId705" w:history="1">
        <w:r w:rsidRPr="00A428C3">
          <w:rPr>
            <w:rStyle w:val="a5"/>
          </w:rPr>
          <w:t>Hydrological Processes</w:t>
        </w:r>
      </w:hyperlink>
    </w:p>
    <w:p w:rsidR="00B95188" w:rsidRPr="00A428C3" w:rsidRDefault="00B95188" w:rsidP="00B72EF9">
      <w:pPr>
        <w:pStyle w:val="12"/>
      </w:pPr>
      <w:r w:rsidRPr="00A428C3">
        <w:t>ISO Abbreviated Title: Hydrol. Process.</w:t>
      </w:r>
    </w:p>
    <w:p w:rsidR="00B95188" w:rsidRPr="00A428C3" w:rsidRDefault="00B95188" w:rsidP="00B72EF9">
      <w:pPr>
        <w:pStyle w:val="12"/>
      </w:pPr>
      <w:r w:rsidRPr="00A428C3">
        <w:t>JCR Abbreviated Title: Hydrol Process</w:t>
      </w:r>
    </w:p>
    <w:p w:rsidR="00B95188" w:rsidRPr="00A428C3" w:rsidRDefault="00B95188" w:rsidP="00B72EF9">
      <w:pPr>
        <w:pStyle w:val="12"/>
      </w:pPr>
      <w:r w:rsidRPr="00A428C3">
        <w:t>ISSN: 0885-6087</w:t>
      </w:r>
    </w:p>
    <w:p w:rsidR="00B95188" w:rsidRPr="00A428C3" w:rsidRDefault="00B95188" w:rsidP="00B72EF9">
      <w:pPr>
        <w:pStyle w:val="12"/>
      </w:pPr>
      <w:r w:rsidRPr="00A428C3">
        <w:t>Issues/Year: 15</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John Wiley &amp; Sons Ltd</w:t>
      </w:r>
    </w:p>
    <w:p w:rsidR="00B95188" w:rsidRPr="00A428C3" w:rsidRDefault="00B95188" w:rsidP="00B72EF9">
      <w:pPr>
        <w:pStyle w:val="12"/>
      </w:pPr>
      <w:r w:rsidRPr="00A428C3">
        <w:t xml:space="preserve">Publisher Address: </w:t>
      </w:r>
      <w:smartTag w:uri="urn:schemas-microsoft-com:office:smarttags" w:element="Street">
        <w:smartTag w:uri="urn:schemas-microsoft-com:office:smarttags" w:element="address">
          <w:r w:rsidRPr="00A428C3">
            <w:t>Baffins Lane</w:t>
          </w:r>
        </w:smartTag>
      </w:smartTag>
      <w:r w:rsidRPr="00A428C3">
        <w:t xml:space="preserve"> Chichester, W Sussex PO19 1UD,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Water Resources: Impact Factor 1.006, 11/47 (2000)</w:t>
      </w:r>
    </w:p>
    <w:p w:rsidR="005B329E" w:rsidRDefault="005B329E" w:rsidP="005B329E">
      <w:pPr>
        <w:pStyle w:val="a0"/>
      </w:pPr>
      <w:r>
        <w:rPr>
          <w:rFonts w:hint="eastAsia"/>
        </w:rPr>
        <w:t>Notes: highly cited</w:t>
      </w:r>
    </w:p>
    <w:p w:rsidR="005B329E" w:rsidRDefault="005B329E" w:rsidP="005B329E">
      <w:pPr>
        <w:pStyle w:val="a0"/>
      </w:pPr>
      <w:r w:rsidRPr="00A428C3">
        <w:t xml:space="preserve">? </w:t>
      </w:r>
      <w:r>
        <w:t>Quinn, P</w:t>
      </w:r>
      <w:r>
        <w:rPr>
          <w:rFonts w:hint="eastAsia"/>
        </w:rPr>
        <w:t>.,</w:t>
      </w:r>
      <w:r>
        <w:t xml:space="preserve"> Beven, K</w:t>
      </w:r>
      <w:r>
        <w:rPr>
          <w:rFonts w:hint="eastAsia"/>
        </w:rPr>
        <w:t>.,</w:t>
      </w:r>
      <w:r>
        <w:t xml:space="preserve"> Chevallier, P</w:t>
      </w:r>
      <w:r>
        <w:rPr>
          <w:rFonts w:hint="eastAsia"/>
        </w:rPr>
        <w:t>. and</w:t>
      </w:r>
      <w:r>
        <w:t xml:space="preserve"> Planchon, O</w:t>
      </w:r>
      <w:r>
        <w:rPr>
          <w:rFonts w:hint="eastAsia"/>
        </w:rPr>
        <w:t>.</w:t>
      </w:r>
      <w:r w:rsidRPr="00A428C3">
        <w:t xml:space="preserve"> (199</w:t>
      </w:r>
      <w:r>
        <w:rPr>
          <w:rFonts w:hint="eastAsia"/>
        </w:rPr>
        <w:t>1</w:t>
      </w:r>
      <w:r w:rsidRPr="00A428C3">
        <w:t xml:space="preserve">), </w:t>
      </w:r>
      <w:r>
        <w:t>The prediction of hillslope flow paths for distributed hydrological modeling using digital terrain models</w:t>
      </w:r>
      <w:r w:rsidRPr="00A428C3">
        <w:t xml:space="preserve">. </w:t>
      </w:r>
      <w:r w:rsidRPr="00A428C3">
        <w:rPr>
          <w:i/>
        </w:rPr>
        <w:t>Hydrological Processes</w:t>
      </w:r>
      <w:r w:rsidRPr="00A428C3">
        <w:t xml:space="preserve">, </w:t>
      </w:r>
      <w:r>
        <w:rPr>
          <w:rFonts w:hint="eastAsia"/>
          <w:b/>
        </w:rPr>
        <w:t>5</w:t>
      </w:r>
      <w:r w:rsidRPr="00A428C3">
        <w:t xml:space="preserve"> (</w:t>
      </w:r>
      <w:r>
        <w:rPr>
          <w:rFonts w:hint="eastAsia"/>
        </w:rPr>
        <w:t>1</w:t>
      </w:r>
      <w:r w:rsidRPr="00A428C3">
        <w:t xml:space="preserve">), </w:t>
      </w:r>
      <w:r>
        <w:t>59-79</w:t>
      </w:r>
      <w:r w:rsidRPr="00A428C3">
        <w:t>.</w:t>
      </w:r>
    </w:p>
    <w:p w:rsidR="005B329E" w:rsidRDefault="005B329E" w:rsidP="005B329E">
      <w:pPr>
        <w:pStyle w:val="a0"/>
      </w:pPr>
      <w:r>
        <w:rPr>
          <w:rFonts w:hint="eastAsia"/>
        </w:rPr>
        <w:t>Full Text: 1991\</w:t>
      </w:r>
      <w:r>
        <w:t>Hyd Pro</w:t>
      </w:r>
      <w:r w:rsidR="008E2A05">
        <w:rPr>
          <w:rFonts w:hint="eastAsia"/>
        </w:rPr>
        <w:t>5</w:t>
      </w:r>
      <w:r w:rsidRPr="00A428C3">
        <w:t xml:space="preserve">, </w:t>
      </w:r>
      <w:r>
        <w:t>59</w:t>
      </w:r>
      <w:r>
        <w:rPr>
          <w:rFonts w:hint="eastAsia"/>
        </w:rPr>
        <w:t>.pdf</w:t>
      </w:r>
    </w:p>
    <w:p w:rsidR="005B329E" w:rsidRDefault="005B329E" w:rsidP="005B329E">
      <w:pPr>
        <w:pStyle w:val="a0"/>
      </w:pPr>
      <w:r>
        <w:t>Abstract: The accuracy of the predictions of distributed hydrological models must depend in part on the proper specification of flow pathways. This paper examines some of the problems of deriving flow pathways from raster digital terrain data in the context of hydrological predictions using TOPMODEL. Distributed moisture status is predicted in TOPMODEL on the basis of spatial indices that depend on flow path definition. The sensitivity of this index to flow path algorithm and grid size is examined for the case where the surface topography is a good indicator of local hydraulic gradients. A strategy for the case where downslope subsurface flow pathways may deviate from those indicated by the surface topography is described with an example application.</w:t>
      </w:r>
    </w:p>
    <w:p w:rsidR="005B329E" w:rsidRDefault="005B329E" w:rsidP="005B329E">
      <w:pPr>
        <w:pStyle w:val="a0"/>
      </w:pPr>
      <w:r>
        <w:t>Keywords: Digital Terrain Data, Flow Pathways, Distributed Hydrological Models</w:t>
      </w:r>
    </w:p>
    <w:p w:rsidR="005B329E" w:rsidRDefault="005B329E" w:rsidP="005B329E">
      <w:pPr>
        <w:pStyle w:val="a0"/>
      </w:pPr>
      <w:r>
        <w:rPr>
          <w:rFonts w:hint="eastAsia"/>
        </w:rPr>
        <w:t>Notes: highly cited</w:t>
      </w:r>
    </w:p>
    <w:p w:rsidR="005B329E" w:rsidRDefault="005B329E" w:rsidP="005B329E">
      <w:pPr>
        <w:pStyle w:val="a0"/>
      </w:pPr>
      <w:r w:rsidRPr="00A428C3">
        <w:t xml:space="preserve">? </w:t>
      </w:r>
      <w:r>
        <w:t>Beven, K</w:t>
      </w:r>
      <w:r>
        <w:rPr>
          <w:rFonts w:hint="eastAsia"/>
        </w:rPr>
        <w:t>. and</w:t>
      </w:r>
      <w:r>
        <w:t xml:space="preserve"> Binley, A</w:t>
      </w:r>
      <w:r>
        <w:rPr>
          <w:rFonts w:hint="eastAsia"/>
        </w:rPr>
        <w:t>.</w:t>
      </w:r>
      <w:r w:rsidRPr="00A428C3">
        <w:t xml:space="preserve"> (199</w:t>
      </w:r>
      <w:r>
        <w:rPr>
          <w:rFonts w:hint="eastAsia"/>
        </w:rPr>
        <w:t>2</w:t>
      </w:r>
      <w:r w:rsidRPr="00A428C3">
        <w:t xml:space="preserve">), </w:t>
      </w:r>
      <w:r>
        <w:t>The future of distributed models - model calibration and uncertainty prediction</w:t>
      </w:r>
      <w:r w:rsidRPr="00A428C3">
        <w:t xml:space="preserve">. </w:t>
      </w:r>
      <w:r w:rsidRPr="00A428C3">
        <w:rPr>
          <w:i/>
        </w:rPr>
        <w:t>Hydrological Processes</w:t>
      </w:r>
      <w:r w:rsidRPr="00A428C3">
        <w:t xml:space="preserve">, </w:t>
      </w:r>
      <w:r>
        <w:rPr>
          <w:rFonts w:hint="eastAsia"/>
          <w:b/>
        </w:rPr>
        <w:t>6</w:t>
      </w:r>
      <w:r w:rsidRPr="00A428C3">
        <w:t xml:space="preserve"> (</w:t>
      </w:r>
      <w:r>
        <w:rPr>
          <w:rFonts w:hint="eastAsia"/>
        </w:rPr>
        <w:t>3</w:t>
      </w:r>
      <w:r w:rsidRPr="00A428C3">
        <w:t xml:space="preserve">), </w:t>
      </w:r>
      <w:r>
        <w:t>279-298</w:t>
      </w:r>
      <w:r w:rsidRPr="00A428C3">
        <w:t>.</w:t>
      </w:r>
    </w:p>
    <w:p w:rsidR="005B329E" w:rsidRDefault="005B329E" w:rsidP="005B329E">
      <w:pPr>
        <w:pStyle w:val="a0"/>
      </w:pPr>
      <w:r>
        <w:rPr>
          <w:rFonts w:hint="eastAsia"/>
        </w:rPr>
        <w:t>Full Text: 1992\</w:t>
      </w:r>
      <w:r>
        <w:t>Hyd Pro</w:t>
      </w:r>
      <w:r>
        <w:rPr>
          <w:rFonts w:hint="eastAsia"/>
          <w:b/>
        </w:rPr>
        <w:t>6</w:t>
      </w:r>
      <w:r w:rsidRPr="00A428C3">
        <w:t xml:space="preserve">, </w:t>
      </w:r>
      <w:r>
        <w:t>279</w:t>
      </w:r>
      <w:r>
        <w:rPr>
          <w:rFonts w:hint="eastAsia"/>
        </w:rPr>
        <w:t>.pdf</w:t>
      </w:r>
    </w:p>
    <w:p w:rsidR="0063324B" w:rsidRDefault="0063324B" w:rsidP="0063324B">
      <w:pPr>
        <w:pStyle w:val="a0"/>
      </w:pPr>
      <w:r>
        <w:t xml:space="preserve">Abstract: This paper describes a methodology for calibration and uncertainty estimation of distributed models based on generalized likelihood measures. The GLUE procedure works with multiple sets of parameter values and allows that, within the limitations of a given model structure and errors in boundary conditions and field observations, different sets of values may be equally likely as simulators of a </w:t>
      </w:r>
      <w:r>
        <w:lastRenderedPageBreak/>
        <w:t>catchment. Procedures for incorporating different types of observations into the calibration; Bayesian updating of likelihood values and evaluating the value of additional observations to the calibration process are described. The procedure is computationally intensive but has been implemented on a local parallel processing computer. The methodology is illustrated by an application of the Institute of Hydrology Distributed Model to data from the Gwy experimental catchment at Plynlimon, mid-Wales.</w:t>
      </w:r>
    </w:p>
    <w:p w:rsidR="0063324B" w:rsidRPr="00A428C3" w:rsidRDefault="0063324B" w:rsidP="0063324B">
      <w:pPr>
        <w:pStyle w:val="a0"/>
      </w:pPr>
      <w:r>
        <w:t>Keywords: Distributed Models, Calibration Uncertainty, Likelihood</w:t>
      </w:r>
    </w:p>
    <w:p w:rsidR="0063324B" w:rsidRPr="00A428C3" w:rsidRDefault="0063324B" w:rsidP="0063324B">
      <w:pPr>
        <w:pStyle w:val="a0"/>
      </w:pPr>
      <w:r w:rsidRPr="00A428C3">
        <w:t xml:space="preserve">? Geldreich, E.E. (1996), Pathogenic agents in freshwater resources. </w:t>
      </w:r>
      <w:r w:rsidRPr="00A428C3">
        <w:rPr>
          <w:i/>
        </w:rPr>
        <w:t>Hydrological Processes</w:t>
      </w:r>
      <w:r w:rsidRPr="00A428C3">
        <w:t xml:space="preserve">, </w:t>
      </w:r>
      <w:r w:rsidRPr="00A428C3">
        <w:rPr>
          <w:b/>
        </w:rPr>
        <w:t>10</w:t>
      </w:r>
      <w:r w:rsidRPr="00A428C3">
        <w:t xml:space="preserve"> (2), 315-333.</w:t>
      </w:r>
    </w:p>
    <w:p w:rsidR="00136B61" w:rsidRDefault="00136B61" w:rsidP="00136B61">
      <w:pPr>
        <w:pStyle w:val="a0"/>
      </w:pPr>
      <w:r>
        <w:rPr>
          <w:rFonts w:hint="eastAsia"/>
        </w:rPr>
        <w:t xml:space="preserve">Full Text: </w:t>
      </w:r>
      <w:hyperlink r:id="rId706" w:history="1">
        <w:r w:rsidRPr="00136B61">
          <w:rPr>
            <w:rStyle w:val="a5"/>
          </w:rPr>
          <w:t>1996\Hyd Pro10, 315.pdf</w:t>
        </w:r>
      </w:hyperlink>
    </w:p>
    <w:p w:rsidR="00B95188" w:rsidRPr="00A428C3" w:rsidRDefault="00B95188" w:rsidP="00B95188">
      <w:pPr>
        <w:pStyle w:val="a0"/>
      </w:pPr>
      <w:r w:rsidRPr="00A428C3">
        <w:t>Abstract: Numerous pathogenic agents have been found in freshwaters used as sources for water supplies, recreational bathing</w:t>
      </w:r>
      <w:r w:rsidR="00F81221">
        <w:t xml:space="preserve"> and </w:t>
      </w:r>
      <w:r w:rsidRPr="00A428C3">
        <w:t>irrigation. These agents include bacterial pathogens, enteric viruses, several protozoans</w:t>
      </w:r>
      <w:r w:rsidR="00F81221">
        <w:t xml:space="preserve"> and </w:t>
      </w:r>
      <w:r w:rsidRPr="00A428C3">
        <w:t>parasitic worms more common to tropical waters. Although infected humans are a major source of pathogens, farm animals (cattle, sheep, pigs), animal pets (dogs, cats)</w:t>
      </w:r>
      <w:r w:rsidR="00F81221">
        <w:t xml:space="preserve"> and </w:t>
      </w:r>
      <w:r w:rsidRPr="00A428C3">
        <w:t>wildlife serve as significant reservoirs</w:t>
      </w:r>
      <w:r w:rsidR="00F81221">
        <w:t xml:space="preserve"> and </w:t>
      </w:r>
      <w:r w:rsidRPr="00A428C3">
        <w:t>should not be ignored. The range of infected individuals within a given warm-blooded animal group (humans included) may range from 1 to 25%. Survival times for pathogens in the water environment may range from a few days to as much as a year (Ascaris, Taenia eggs), with infective dose levels varying from one viable cell for several primary pathogenic agents to many thousands of cells for a given opportunistic pathogen. As pathogen detection in water is complex</w:t>
      </w:r>
      <w:r w:rsidR="00F81221">
        <w:t xml:space="preserve"> and </w:t>
      </w:r>
      <w:r w:rsidRPr="00A428C3">
        <w:t>not readily incorporated into routine monitoring, a surrogate is necessary. In general, indicators of faecal contamination provide a positive correlation with intestinal pathogen occurrences only when appropriate sample volumes are examined by sensitive methodology. Pathways by which pathogens reach susceptible water users include ingestion of contaminated water, body contact with polluted recreational waters</w:t>
      </w:r>
      <w:r w:rsidR="00F81221">
        <w:t xml:space="preserve"> and </w:t>
      </w:r>
      <w:r w:rsidRPr="00A428C3">
        <w:t>consumption of salad crops irrigated by polluted freshwaters. Major contributors to the spread of various water-borne pathogens are sewage, polluted surface waters</w:t>
      </w:r>
      <w:r w:rsidR="00F81221">
        <w:t xml:space="preserve"> and </w:t>
      </w:r>
      <w:r w:rsidRPr="00A428C3">
        <w:t>stormwater runoff. All of these contributions are intensified during periods of major floods. Several water-borne case histories are cited as examples of breakdowns in public health protection related to water supply, recreational waters</w:t>
      </w:r>
      <w:r w:rsidR="00F81221">
        <w:t xml:space="preserve"> and </w:t>
      </w:r>
      <w:r w:rsidRPr="00A428C3">
        <w:t>the consumption of contaminated salad crops. In the long term, water resource management must focus on pollution prevention from point sources of waste discharges</w:t>
      </w:r>
      <w:r w:rsidR="00F81221">
        <w:t xml:space="preserve"> and </w:t>
      </w:r>
      <w:r w:rsidRPr="00A428C3">
        <w:t>the spread of pathogens in watershed stormwater runoff.</w:t>
      </w:r>
    </w:p>
    <w:p w:rsidR="00136B61" w:rsidRDefault="00136B61" w:rsidP="00136B61">
      <w:pPr>
        <w:pStyle w:val="a0"/>
        <w:rPr>
          <w:kern w:val="0"/>
        </w:rPr>
      </w:pPr>
      <w:r>
        <w:rPr>
          <w:rFonts w:hint="eastAsia"/>
          <w:kern w:val="0"/>
        </w:rPr>
        <w:t>Notes: highly cited</w:t>
      </w:r>
    </w:p>
    <w:p w:rsidR="00136B61" w:rsidRDefault="00136B61" w:rsidP="00136B61">
      <w:pPr>
        <w:pStyle w:val="a0"/>
      </w:pPr>
      <w:r w:rsidRPr="00A428C3">
        <w:t xml:space="preserve">? </w:t>
      </w:r>
      <w:r>
        <w:t>Tockner, K</w:t>
      </w:r>
      <w:r>
        <w:rPr>
          <w:rFonts w:hint="eastAsia"/>
        </w:rPr>
        <w:t>.,</w:t>
      </w:r>
      <w:r>
        <w:t xml:space="preserve"> Malard, F</w:t>
      </w:r>
      <w:r>
        <w:rPr>
          <w:rFonts w:hint="eastAsia"/>
        </w:rPr>
        <w:t>. and</w:t>
      </w:r>
      <w:r>
        <w:t xml:space="preserve"> Ward, J</w:t>
      </w:r>
      <w:r>
        <w:rPr>
          <w:rFonts w:hint="eastAsia"/>
        </w:rPr>
        <w:t>.</w:t>
      </w:r>
      <w:r>
        <w:t>V</w:t>
      </w:r>
      <w:r>
        <w:rPr>
          <w:rFonts w:hint="eastAsia"/>
        </w:rPr>
        <w:t>.</w:t>
      </w:r>
      <w:r w:rsidRPr="00A428C3">
        <w:t xml:space="preserve"> (</w:t>
      </w:r>
      <w:r>
        <w:rPr>
          <w:rFonts w:hint="eastAsia"/>
        </w:rPr>
        <w:t>2000</w:t>
      </w:r>
      <w:r w:rsidRPr="00A428C3">
        <w:t xml:space="preserve">), </w:t>
      </w:r>
      <w:r>
        <w:t>An extension of the flood pulse concept</w:t>
      </w:r>
      <w:r w:rsidRPr="00A428C3">
        <w:t xml:space="preserve">. </w:t>
      </w:r>
      <w:r w:rsidRPr="00A428C3">
        <w:rPr>
          <w:i/>
        </w:rPr>
        <w:t>Hydrological Processes</w:t>
      </w:r>
      <w:r w:rsidRPr="00A428C3">
        <w:t xml:space="preserve">, </w:t>
      </w:r>
      <w:r w:rsidRPr="00A428C3">
        <w:rPr>
          <w:b/>
        </w:rPr>
        <w:t>1</w:t>
      </w:r>
      <w:r>
        <w:rPr>
          <w:rFonts w:hint="eastAsia"/>
          <w:b/>
        </w:rPr>
        <w:t>4</w:t>
      </w:r>
      <w:r w:rsidRPr="00A428C3">
        <w:t xml:space="preserve"> (</w:t>
      </w:r>
      <w:r>
        <w:t>16-17</w:t>
      </w:r>
      <w:r w:rsidRPr="00A428C3">
        <w:t xml:space="preserve">), </w:t>
      </w:r>
      <w:r>
        <w:t>2861-2883</w:t>
      </w:r>
      <w:r w:rsidRPr="00A428C3">
        <w:t>.</w:t>
      </w:r>
    </w:p>
    <w:p w:rsidR="00136B61" w:rsidRDefault="00136B61" w:rsidP="00136B61">
      <w:pPr>
        <w:pStyle w:val="a0"/>
      </w:pPr>
      <w:r>
        <w:rPr>
          <w:rFonts w:hint="eastAsia"/>
        </w:rPr>
        <w:lastRenderedPageBreak/>
        <w:t xml:space="preserve">Full Text: </w:t>
      </w:r>
      <w:hyperlink r:id="rId707" w:history="1">
        <w:r w:rsidRPr="00136B61">
          <w:rPr>
            <w:rStyle w:val="a5"/>
          </w:rPr>
          <w:t>2000\Hyd Pro14, 2861.pdf</w:t>
        </w:r>
      </w:hyperlink>
    </w:p>
    <w:p w:rsidR="00136B61" w:rsidRDefault="00136B61" w:rsidP="00136B61">
      <w:pPr>
        <w:pStyle w:val="a0"/>
      </w:pPr>
      <w:r>
        <w:t>Abstract: The flood pulse concept of Junk, Bayley and Sparks is a major contribution to our understanding of river-floodplain interactions and has become an important paradigm in lotic ecology. The concept is based mainly on large tropical lowland rivers. Floodplains may, however, develop in all geographical areas and at different locations along a river corridor. We extend this concept to temperate areas by including information derived from near-natural proglacial, headwater and lowland floodplains. Specific attention is directed to the role of temperature as a major determinant of floodplain ecology. Further attention is directed to the importance of expansion-contraction cycles occurring well below bankfull (</w:t>
      </w:r>
      <w:r w:rsidR="000352E7">
        <w:t>‘</w:t>
      </w:r>
      <w:r>
        <w:t>flow pulse</w:t>
      </w:r>
      <w:r w:rsidR="000352E7">
        <w:t>’</w:t>
      </w:r>
      <w:r>
        <w:t xml:space="preserve"> versus </w:t>
      </w:r>
      <w:r w:rsidR="000352E7">
        <w:t>‘</w:t>
      </w:r>
      <w:r>
        <w:t>flood pulse</w:t>
      </w:r>
      <w:r w:rsidR="000352E7">
        <w:t>’</w:t>
      </w:r>
      <w:r>
        <w:t>). Selected examples are presented that highlight the complexity of expansion-contraction events and their consequences on habitat heterogeneity and functional processes. Habitat heterogeneity is mainly a product of shifting water sources, different how paths and the relative importance of autogenic processes. In different floodplain systems, expansion may enhance habitat heterogeneity (e.g. glacial floodplain) or create homogeneity (e.g. Danubian floodplain). Further, the ecological consequences of episodic flow and flood pulses are discussed. Finally, a landscape approach is suggested in order to document expansion and contraction processes and to elucidate how these processes influence landscape heterogeneity and biodiversity patterns. Such a landscape-based ecosystem model can be applied to rigorously assess the ecological integrity of river-floodplain systems. Copyright (C) 2000 John Wiley &amp; Sons, Ltd.</w:t>
      </w:r>
    </w:p>
    <w:p w:rsidR="00136B61" w:rsidRPr="00A428C3" w:rsidRDefault="00136B61" w:rsidP="00136B61">
      <w:pPr>
        <w:pStyle w:val="a0"/>
      </w:pPr>
      <w:r>
        <w:t>Keywords: River, Floodplain, Flow Pulse, Temperature, Ecosystem Process, Expansion, Contraction, Biodiversity, Conservation, Landscape, Danube Restoration Project, River-Floodplain, Hydrological Connectivity, Regulated Rivers, Organic-Matter, Missouri River, Orinoco River, New-Zealand, System, Ecosystems</w:t>
      </w:r>
    </w:p>
    <w:p w:rsidR="00B95188" w:rsidRPr="00A428C3" w:rsidRDefault="00B95188" w:rsidP="00B95188">
      <w:pPr>
        <w:pStyle w:val="1"/>
        <w:rPr>
          <w:lang w:val="fr-FR"/>
        </w:rPr>
      </w:pPr>
      <w:r w:rsidRPr="00A428C3">
        <w:rPr>
          <w:lang w:val="fr-FR"/>
        </w:rPr>
        <w:br w:type="page"/>
      </w:r>
      <w:bookmarkStart w:id="717" w:name="_Toc186647803"/>
      <w:bookmarkStart w:id="718" w:name="_Toc317161070"/>
      <w:r w:rsidRPr="00A428C3">
        <w:rPr>
          <w:lang w:val="fr-FR"/>
        </w:rPr>
        <w:lastRenderedPageBreak/>
        <w:t>Title: Hydrological Sciences Journal-Journal des Sciences Hydrologiques</w:t>
      </w:r>
      <w:bookmarkEnd w:id="717"/>
      <w:bookmarkEnd w:id="718"/>
    </w:p>
    <w:p w:rsidR="00B95188" w:rsidRPr="00A428C3" w:rsidRDefault="00B95188" w:rsidP="00B72EF9">
      <w:pPr>
        <w:pStyle w:val="12"/>
        <w:rPr>
          <w:lang w:val="fr-FR"/>
        </w:rPr>
      </w:pPr>
      <w:r w:rsidRPr="00A428C3">
        <w:rPr>
          <w:lang w:val="fr-FR"/>
        </w:rPr>
        <w:t>Full Journal Title: Hydrological Sciences Journal-Journal des Sciences Hydrologiques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0262-6667</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rPr>
          <w:lang w:val="fr-FR"/>
        </w:rPr>
      </w:pPr>
      <w:r w:rsidRPr="00A428C3">
        <w:t>Jain, C.K. (2001), Adsorption of zinc onto bed sediments of the River Ganga: Adsorption models</w:t>
      </w:r>
      <w:r w:rsidR="00F81221">
        <w:t xml:space="preserve"> and </w:t>
      </w:r>
      <w:r w:rsidRPr="00A428C3">
        <w:t xml:space="preserve">kinetics. </w:t>
      </w:r>
      <w:r w:rsidRPr="00A428C3">
        <w:rPr>
          <w:i/>
          <w:iCs/>
          <w:lang w:val="fr-FR"/>
        </w:rPr>
        <w:t>Hydrological Sciences Journal-Journal des Sciences Hydrologiques</w:t>
      </w:r>
      <w:r w:rsidRPr="00A428C3">
        <w:rPr>
          <w:lang w:val="fr-FR"/>
        </w:rPr>
        <w:t xml:space="preserve">, </w:t>
      </w:r>
      <w:r w:rsidRPr="00A428C3">
        <w:rPr>
          <w:b/>
          <w:lang w:val="fr-FR"/>
        </w:rPr>
        <w:t>46</w:t>
      </w:r>
      <w:r w:rsidRPr="00A428C3">
        <w:rPr>
          <w:lang w:val="fr-FR"/>
        </w:rPr>
        <w:t xml:space="preserve"> (3), 419-434.</w:t>
      </w:r>
    </w:p>
    <w:p w:rsidR="00B95188" w:rsidRPr="00A428C3" w:rsidRDefault="00B95188" w:rsidP="00B95188">
      <w:pPr>
        <w:pStyle w:val="a0"/>
        <w:rPr>
          <w:lang w:val="fr-FR"/>
        </w:rPr>
      </w:pPr>
      <w:r w:rsidRPr="00A428C3">
        <w:rPr>
          <w:lang w:val="fr-FR"/>
        </w:rPr>
        <w:t xml:space="preserve">Full Text: </w:t>
      </w:r>
      <w:hyperlink r:id="rId708" w:history="1">
        <w:r w:rsidRPr="00A428C3">
          <w:rPr>
            <w:rStyle w:val="a5"/>
            <w:lang w:val="fr-FR"/>
          </w:rPr>
          <w:t>H\Hyd Sci J-J Sci Hyd46, 419.pdf</w:t>
        </w:r>
      </w:hyperlink>
    </w:p>
    <w:p w:rsidR="00B95188" w:rsidRPr="00A428C3" w:rsidRDefault="00B95188" w:rsidP="00B95188">
      <w:pPr>
        <w:pStyle w:val="a0"/>
      </w:pPr>
      <w:r w:rsidRPr="00A428C3">
        <w:t>Abstract: A laboratory study was performed to study the effects of various operating factors, viz. initial metal ion concentration, solution pH, amount of sediment, contact time, particle size</w:t>
      </w:r>
      <w:r w:rsidR="00F81221">
        <w:t xml:space="preserve"> and </w:t>
      </w:r>
      <w:r w:rsidRPr="00A428C3">
        <w:t>temperature on the adsorption of zinc ions onto the bed sediments of the River Ganga (</w:t>
      </w:r>
      <w:smartTag w:uri="urn:schemas-microsoft-com:office:smarttags" w:element="place">
        <w:smartTag w:uri="urn:schemas-microsoft-com:office:smarttags" w:element="country-region">
          <w:r w:rsidRPr="00A428C3">
            <w:t>India</w:t>
          </w:r>
        </w:smartTag>
      </w:smartTag>
      <w:r w:rsidRPr="00A428C3">
        <w:t>). The equilibrium time was found to be of the order of 60 min. The adsorption curves are smooth</w:t>
      </w:r>
      <w:r w:rsidR="00F81221">
        <w:t xml:space="preserve"> and </w:t>
      </w:r>
      <w:r w:rsidRPr="00A428C3">
        <w:t>continuous leading to saturation, suggesting the possible monolayer coverage of zinc ions on the surface of the adsorbent. The extent of adsorption increases with an increase of pH. Furthermore the adsorption of zinc increases with increasing amount of adsorbent</w:t>
      </w:r>
      <w:r w:rsidR="00F81221">
        <w:t xml:space="preserve"> and </w:t>
      </w:r>
      <w:r w:rsidRPr="00A428C3">
        <w:t>decreases with adsorbent particle size. The important geochemical phases, iron</w:t>
      </w:r>
      <w:r w:rsidR="00F81221">
        <w:t xml:space="preserve"> and </w:t>
      </w:r>
      <w:r w:rsidRPr="00A428C3">
        <w:t>manganese oxide act as the active support material for the adsorption of zinc ions. The adsorption data have been analysed with the help of Langmuir</w:t>
      </w:r>
      <w:r w:rsidR="00F81221">
        <w:t xml:space="preserve"> and </w:t>
      </w:r>
      <w:r w:rsidRPr="00A428C3">
        <w:t>Freundlich adsorption models to determine the mechanistic parameters associated with the adsorption process. An attempt has also been made to determine thermodynamic parameters of the process, viz. free energy change, enthalpy change</w:t>
      </w:r>
      <w:r w:rsidR="00F81221">
        <w:t xml:space="preserve"> and </w:t>
      </w:r>
      <w:r w:rsidRPr="00A428C3">
        <w:t>entropy change. The negative values of free energy change (</w:t>
      </w:r>
      <w:r w:rsidR="008A7E71">
        <w:sym w:font="Symbol" w:char="F044"/>
      </w:r>
      <w:r w:rsidRPr="00A428C3">
        <w:t>G</w:t>
      </w:r>
      <w:r w:rsidR="008A7E71">
        <w:t>°</w:t>
      </w:r>
      <w:r w:rsidRPr="00A428C3">
        <w:t>) indicated the spontaneous nature of the adsorption of zinc onto the bed sediments</w:t>
      </w:r>
      <w:r w:rsidR="00F81221">
        <w:t xml:space="preserve"> and </w:t>
      </w:r>
      <w:r w:rsidRPr="00A428C3">
        <w:t>positive values of enthalpy change (</w:t>
      </w:r>
      <w:r w:rsidR="008A7E71">
        <w:sym w:font="Symbol" w:char="F044"/>
      </w:r>
      <w:r w:rsidRPr="00A428C3">
        <w:t>H</w:t>
      </w:r>
      <w:r w:rsidR="008A7E71">
        <w:t>°</w:t>
      </w:r>
      <w:r w:rsidRPr="00A428C3">
        <w:t>) suggest the endothermic nature of the adsorption process. The intraparticle diffusion of zinc in the adsorbent was found to be the main rate-limiting step.</w:t>
      </w:r>
    </w:p>
    <w:p w:rsidR="00B95188" w:rsidRDefault="00B95188" w:rsidP="00B95188">
      <w:pPr>
        <w:pStyle w:val="a0"/>
      </w:pPr>
      <w:r w:rsidRPr="00A428C3">
        <w:t xml:space="preserve">Keywords: River Ganga, Adsorption, Langmuir Model, Freundlich Model, Kinetics </w:t>
      </w:r>
      <w:r w:rsidRPr="00A428C3">
        <w:lastRenderedPageBreak/>
        <w:t xml:space="preserve">Thermodynamic Parameters, Heavy-Metals, Cadmium, Removal, Sorption, Water, </w:t>
      </w:r>
      <w:r w:rsidR="008A7E71" w:rsidRPr="00A428C3">
        <w:t>Lead</w:t>
      </w:r>
    </w:p>
    <w:p w:rsidR="00FE261D" w:rsidRDefault="00FE261D" w:rsidP="00B95188">
      <w:pPr>
        <w:pStyle w:val="a0"/>
      </w:pPr>
      <w:r>
        <w:rPr>
          <w:rFonts w:hint="eastAsia"/>
        </w:rPr>
        <w:t>Notes: highly cited</w:t>
      </w:r>
    </w:p>
    <w:p w:rsidR="00FE261D" w:rsidRPr="00A428C3" w:rsidRDefault="00FE261D" w:rsidP="00FE261D">
      <w:pPr>
        <w:pStyle w:val="a0"/>
        <w:rPr>
          <w:lang w:val="fr-FR"/>
        </w:rPr>
      </w:pPr>
      <w:r>
        <w:rPr>
          <w:rFonts w:hint="eastAsia"/>
        </w:rPr>
        <w:t>?</w:t>
      </w:r>
      <w:r w:rsidRPr="00FE261D">
        <w:rPr>
          <w:lang w:val="fr-FR"/>
        </w:rPr>
        <w:t xml:space="preserve"> Sivapalan, M</w:t>
      </w:r>
      <w:r>
        <w:rPr>
          <w:rFonts w:hint="eastAsia"/>
          <w:lang w:val="fr-FR"/>
        </w:rPr>
        <w:t>.,</w:t>
      </w:r>
      <w:r w:rsidRPr="00FE261D">
        <w:rPr>
          <w:lang w:val="fr-FR"/>
        </w:rPr>
        <w:t xml:space="preserve"> Takeuchi, K</w:t>
      </w:r>
      <w:r>
        <w:rPr>
          <w:rFonts w:hint="eastAsia"/>
          <w:lang w:val="fr-FR"/>
        </w:rPr>
        <w:t>.,</w:t>
      </w:r>
      <w:r w:rsidRPr="00FE261D">
        <w:rPr>
          <w:lang w:val="fr-FR"/>
        </w:rPr>
        <w:t xml:space="preserve"> Franks, S</w:t>
      </w:r>
      <w:r>
        <w:rPr>
          <w:rFonts w:hint="eastAsia"/>
          <w:lang w:val="fr-FR"/>
        </w:rPr>
        <w:t>.</w:t>
      </w:r>
      <w:r w:rsidRPr="00FE261D">
        <w:rPr>
          <w:lang w:val="fr-FR"/>
        </w:rPr>
        <w:t>W</w:t>
      </w:r>
      <w:r>
        <w:rPr>
          <w:rFonts w:hint="eastAsia"/>
          <w:lang w:val="fr-FR"/>
        </w:rPr>
        <w:t>.,</w:t>
      </w:r>
      <w:r w:rsidRPr="00FE261D">
        <w:rPr>
          <w:lang w:val="fr-FR"/>
        </w:rPr>
        <w:t xml:space="preserve"> Gupta, V</w:t>
      </w:r>
      <w:r>
        <w:rPr>
          <w:rFonts w:hint="eastAsia"/>
          <w:lang w:val="fr-FR"/>
        </w:rPr>
        <w:t>.</w:t>
      </w:r>
      <w:r w:rsidRPr="00FE261D">
        <w:rPr>
          <w:lang w:val="fr-FR"/>
        </w:rPr>
        <w:t>K</w:t>
      </w:r>
      <w:r>
        <w:rPr>
          <w:rFonts w:hint="eastAsia"/>
          <w:lang w:val="fr-FR"/>
        </w:rPr>
        <w:t>.,</w:t>
      </w:r>
      <w:r w:rsidRPr="00FE261D">
        <w:rPr>
          <w:lang w:val="fr-FR"/>
        </w:rPr>
        <w:t xml:space="preserve"> Karambiri, H</w:t>
      </w:r>
      <w:r>
        <w:rPr>
          <w:rFonts w:hint="eastAsia"/>
          <w:lang w:val="fr-FR"/>
        </w:rPr>
        <w:t>.,</w:t>
      </w:r>
      <w:r w:rsidRPr="00FE261D">
        <w:rPr>
          <w:lang w:val="fr-FR"/>
        </w:rPr>
        <w:t xml:space="preserve"> Lakshmi, V</w:t>
      </w:r>
      <w:r>
        <w:rPr>
          <w:rFonts w:hint="eastAsia"/>
          <w:lang w:val="fr-FR"/>
        </w:rPr>
        <w:t>.,</w:t>
      </w:r>
      <w:r w:rsidRPr="00FE261D">
        <w:rPr>
          <w:lang w:val="fr-FR"/>
        </w:rPr>
        <w:t xml:space="preserve"> Liang, X</w:t>
      </w:r>
      <w:r>
        <w:rPr>
          <w:rFonts w:hint="eastAsia"/>
          <w:lang w:val="fr-FR"/>
        </w:rPr>
        <w:t>.,</w:t>
      </w:r>
      <w:r w:rsidRPr="00FE261D">
        <w:rPr>
          <w:lang w:val="fr-FR"/>
        </w:rPr>
        <w:t xml:space="preserve"> McDonnell, J</w:t>
      </w:r>
      <w:r>
        <w:rPr>
          <w:rFonts w:hint="eastAsia"/>
          <w:lang w:val="fr-FR"/>
        </w:rPr>
        <w:t>.</w:t>
      </w:r>
      <w:r w:rsidRPr="00FE261D">
        <w:rPr>
          <w:lang w:val="fr-FR"/>
        </w:rPr>
        <w:t>J</w:t>
      </w:r>
      <w:r>
        <w:rPr>
          <w:rFonts w:hint="eastAsia"/>
          <w:lang w:val="fr-FR"/>
        </w:rPr>
        <w:t>.,</w:t>
      </w:r>
      <w:r w:rsidRPr="00FE261D">
        <w:rPr>
          <w:lang w:val="fr-FR"/>
        </w:rPr>
        <w:t xml:space="preserve"> Mendiondo, E</w:t>
      </w:r>
      <w:r>
        <w:rPr>
          <w:rFonts w:hint="eastAsia"/>
          <w:lang w:val="fr-FR"/>
        </w:rPr>
        <w:t>.</w:t>
      </w:r>
      <w:r w:rsidRPr="00FE261D">
        <w:rPr>
          <w:lang w:val="fr-FR"/>
        </w:rPr>
        <w:t>M</w:t>
      </w:r>
      <w:r>
        <w:rPr>
          <w:rFonts w:hint="eastAsia"/>
          <w:lang w:val="fr-FR"/>
        </w:rPr>
        <w:t>.,</w:t>
      </w:r>
      <w:r w:rsidRPr="00FE261D">
        <w:rPr>
          <w:lang w:val="fr-FR"/>
        </w:rPr>
        <w:t xml:space="preserve"> O</w:t>
      </w:r>
      <w:r w:rsidR="000352E7">
        <w:rPr>
          <w:lang w:val="fr-FR"/>
        </w:rPr>
        <w:t>’</w:t>
      </w:r>
      <w:r w:rsidRPr="00FE261D">
        <w:rPr>
          <w:lang w:val="fr-FR"/>
        </w:rPr>
        <w:t>Connell, P</w:t>
      </w:r>
      <w:r>
        <w:rPr>
          <w:rFonts w:hint="eastAsia"/>
          <w:lang w:val="fr-FR"/>
        </w:rPr>
        <w:t>.</w:t>
      </w:r>
      <w:r w:rsidRPr="00FE261D">
        <w:rPr>
          <w:lang w:val="fr-FR"/>
        </w:rPr>
        <w:t>E</w:t>
      </w:r>
      <w:r>
        <w:rPr>
          <w:rFonts w:hint="eastAsia"/>
          <w:lang w:val="fr-FR"/>
        </w:rPr>
        <w:t>.,</w:t>
      </w:r>
      <w:r w:rsidRPr="00FE261D">
        <w:rPr>
          <w:lang w:val="fr-FR"/>
        </w:rPr>
        <w:t xml:space="preserve"> Oki, T</w:t>
      </w:r>
      <w:r>
        <w:rPr>
          <w:rFonts w:hint="eastAsia"/>
          <w:lang w:val="fr-FR"/>
        </w:rPr>
        <w:t>.,</w:t>
      </w:r>
      <w:r w:rsidRPr="00FE261D">
        <w:rPr>
          <w:lang w:val="fr-FR"/>
        </w:rPr>
        <w:t xml:space="preserve"> Pomeroy, J</w:t>
      </w:r>
      <w:r>
        <w:rPr>
          <w:rFonts w:hint="eastAsia"/>
          <w:lang w:val="fr-FR"/>
        </w:rPr>
        <w:t>.</w:t>
      </w:r>
      <w:r w:rsidRPr="00FE261D">
        <w:rPr>
          <w:lang w:val="fr-FR"/>
        </w:rPr>
        <w:t>W</w:t>
      </w:r>
      <w:r>
        <w:rPr>
          <w:rFonts w:hint="eastAsia"/>
          <w:lang w:val="fr-FR"/>
        </w:rPr>
        <w:t>.,</w:t>
      </w:r>
      <w:r w:rsidRPr="00FE261D">
        <w:rPr>
          <w:lang w:val="fr-FR"/>
        </w:rPr>
        <w:t xml:space="preserve"> Schertzer, D</w:t>
      </w:r>
      <w:r>
        <w:rPr>
          <w:rFonts w:hint="eastAsia"/>
          <w:lang w:val="fr-FR"/>
        </w:rPr>
        <w:t>.,</w:t>
      </w:r>
      <w:r w:rsidRPr="00FE261D">
        <w:rPr>
          <w:lang w:val="fr-FR"/>
        </w:rPr>
        <w:t xml:space="preserve"> Uhlenbrook, S</w:t>
      </w:r>
      <w:r>
        <w:rPr>
          <w:rFonts w:hint="eastAsia"/>
          <w:lang w:val="fr-FR"/>
        </w:rPr>
        <w:t>. and</w:t>
      </w:r>
      <w:r w:rsidRPr="00FE261D">
        <w:rPr>
          <w:lang w:val="fr-FR"/>
        </w:rPr>
        <w:t xml:space="preserve"> Zehe, E</w:t>
      </w:r>
      <w:r>
        <w:rPr>
          <w:rFonts w:hint="eastAsia"/>
          <w:lang w:val="fr-FR"/>
        </w:rPr>
        <w:t>.</w:t>
      </w:r>
      <w:r w:rsidRPr="00A428C3">
        <w:t xml:space="preserve"> (200</w:t>
      </w:r>
      <w:r>
        <w:rPr>
          <w:rFonts w:hint="eastAsia"/>
        </w:rPr>
        <w:t>3</w:t>
      </w:r>
      <w:r w:rsidRPr="00A428C3">
        <w:t xml:space="preserve">), </w:t>
      </w:r>
      <w:r w:rsidRPr="00FE261D">
        <w:rPr>
          <w:lang w:val="fr-FR"/>
        </w:rPr>
        <w:t>IAHS decade on Predictions in Ungauged Basins (PUB), 2003-2012: Shaping an exciting future for the hydrological sciences</w:t>
      </w:r>
      <w:r w:rsidRPr="00A428C3">
        <w:t xml:space="preserve">. </w:t>
      </w:r>
      <w:r w:rsidRPr="00A428C3">
        <w:rPr>
          <w:i/>
          <w:iCs/>
          <w:lang w:val="fr-FR"/>
        </w:rPr>
        <w:t>Hydrological Sciences Journal-Journal des Sciences Hydrologiques</w:t>
      </w:r>
      <w:r w:rsidRPr="00A428C3">
        <w:rPr>
          <w:lang w:val="fr-FR"/>
        </w:rPr>
        <w:t xml:space="preserve">, </w:t>
      </w:r>
      <w:r w:rsidRPr="00A428C3">
        <w:rPr>
          <w:b/>
          <w:lang w:val="fr-FR"/>
        </w:rPr>
        <w:t>4</w:t>
      </w:r>
      <w:r>
        <w:rPr>
          <w:rFonts w:hint="eastAsia"/>
          <w:b/>
          <w:lang w:val="fr-FR"/>
        </w:rPr>
        <w:t>8</w:t>
      </w:r>
      <w:r w:rsidRPr="00A428C3">
        <w:rPr>
          <w:lang w:val="fr-FR"/>
        </w:rPr>
        <w:t xml:space="preserve"> (</w:t>
      </w:r>
      <w:r>
        <w:rPr>
          <w:rFonts w:hint="eastAsia"/>
          <w:lang w:val="fr-FR"/>
        </w:rPr>
        <w:t>6</w:t>
      </w:r>
      <w:r w:rsidRPr="00A428C3">
        <w:rPr>
          <w:lang w:val="fr-FR"/>
        </w:rPr>
        <w:t xml:space="preserve">), </w:t>
      </w:r>
      <w:r w:rsidRPr="00FE261D">
        <w:rPr>
          <w:lang w:val="fr-FR"/>
        </w:rPr>
        <w:t>857-880</w:t>
      </w:r>
      <w:r w:rsidRPr="00A428C3">
        <w:rPr>
          <w:lang w:val="fr-FR"/>
        </w:rPr>
        <w:t>.</w:t>
      </w:r>
    </w:p>
    <w:p w:rsidR="00FE261D" w:rsidRPr="00A428C3" w:rsidRDefault="00FE261D" w:rsidP="00FE261D">
      <w:pPr>
        <w:pStyle w:val="a0"/>
        <w:rPr>
          <w:lang w:val="fr-FR"/>
        </w:rPr>
      </w:pPr>
      <w:r w:rsidRPr="00A428C3">
        <w:rPr>
          <w:lang w:val="fr-FR"/>
        </w:rPr>
        <w:t xml:space="preserve">Full Text: </w:t>
      </w:r>
      <w:hyperlink r:id="rId709" w:history="1">
        <w:r w:rsidRPr="00FE261D">
          <w:rPr>
            <w:rStyle w:val="a5"/>
            <w:lang w:val="fr-FR"/>
          </w:rPr>
          <w:t>2003\Hyd Sci J-J Sci Hyd46, 419.pdf</w:t>
        </w:r>
      </w:hyperlink>
    </w:p>
    <w:p w:rsidR="00FE261D" w:rsidRPr="00FE261D" w:rsidRDefault="00FE261D" w:rsidP="00FE261D">
      <w:pPr>
        <w:pStyle w:val="a0"/>
        <w:rPr>
          <w:lang w:val="fr-FR"/>
        </w:rPr>
      </w:pPr>
      <w:r w:rsidRPr="00FE261D">
        <w:rPr>
          <w:lang w:val="fr-FR"/>
        </w:rPr>
        <w:t xml:space="preserve">Abstract: Drainage basins in many parts of the world are ungauged or poorly gauged, and in some cases existing measurement networks are declining. The problem is compounded by the impacts of human-induced changes to the land surface and climate, occur-ring at the local, regional and global scales. Predictions of ungauged or poorly gauged basins under these conditions are highly uncertain. The IAHS Decade on Predictions in Ungauged Basins, or PUB, is a new initiative launched by the International Association of Hydrological Sciences (IAHS), aimed at formulating and implementing appropriate science programmes to engage and energize the scientific community, in a coordinated manner, towards achieving major advances in the capacity to make predictions in ungauged basins. The PUB scientific programme focuses on the estimation of predictive uncertainty, and its subsequent reduction, as its central theme. A general hydrological prediction system contains three components: (a) a model that describes the key processes of interest, (b) a set of parameters that represent those landscape properties that govern critical processes, and (c) appropriate meteorological inputs (where needed) that drive the basin response. Each of these three components of the prediction system, is either not known at all, or at best known imperfectly, due to the inherent multi-scale space-time heterogeneity of the hydrological system, especially in ungauged basins. PUB will therefore include a set of targeted scientific programmes that attempt to make inferences about climatic inputs, parameters and model structures from available but inadequate data and process knowledge, at the basin of interest and/or from other similar basins, with robust measures of the uncertainties involved, and their impacts on predictive uncertainty. Through generation of improved understanding, and methods for the efficient quantification of the underlying multi-scale heterogeneity of the basin and its response, PUB will inexorably lead to new, innovative methods for hydrological predictions in ungauged basins in different parts of the world, combined with significant reductions of predictive uncertainty. In this way, PUB will demonstrate the value of data, as well as provide the information needed to make predictions in ungauged basins, and assist in capacity building in the use of new </w:t>
      </w:r>
      <w:r w:rsidRPr="00FE261D">
        <w:rPr>
          <w:lang w:val="fr-FR"/>
        </w:rPr>
        <w:lastRenderedPageBreak/>
        <w:t>technologies. This paper presents a summary of the science and implementation plan of PUB, with a call to the hydrological community to participate actively in t</w:t>
      </w:r>
      <w:r>
        <w:rPr>
          <w:lang w:val="fr-FR"/>
        </w:rPr>
        <w:t>he realization of these goals.</w:t>
      </w:r>
    </w:p>
    <w:p w:rsidR="00FE261D" w:rsidRPr="00FE261D" w:rsidRDefault="00FE261D" w:rsidP="00FE261D">
      <w:pPr>
        <w:pStyle w:val="a0"/>
        <w:rPr>
          <w:lang w:val="fr-FR"/>
        </w:rPr>
      </w:pPr>
      <w:r w:rsidRPr="00FE261D">
        <w:rPr>
          <w:lang w:val="fr-FR"/>
        </w:rPr>
        <w:t>Keywords: Drainage Basins</w:t>
      </w:r>
      <w:r>
        <w:rPr>
          <w:lang w:val="fr-FR"/>
        </w:rPr>
        <w:t>,</w:t>
      </w:r>
      <w:r w:rsidRPr="00FE261D">
        <w:rPr>
          <w:lang w:val="fr-FR"/>
        </w:rPr>
        <w:t xml:space="preserve"> Predictions</w:t>
      </w:r>
      <w:r>
        <w:rPr>
          <w:lang w:val="fr-FR"/>
        </w:rPr>
        <w:t>,</w:t>
      </w:r>
      <w:r w:rsidRPr="00FE261D">
        <w:rPr>
          <w:lang w:val="fr-FR"/>
        </w:rPr>
        <w:t xml:space="preserve"> Uncertainty</w:t>
      </w:r>
      <w:r>
        <w:rPr>
          <w:lang w:val="fr-FR"/>
        </w:rPr>
        <w:t>,</w:t>
      </w:r>
      <w:r w:rsidRPr="00FE261D">
        <w:rPr>
          <w:lang w:val="fr-FR"/>
        </w:rPr>
        <w:t xml:space="preserve"> Heterogeneity</w:t>
      </w:r>
      <w:r>
        <w:rPr>
          <w:lang w:val="fr-FR"/>
        </w:rPr>
        <w:t>,</w:t>
      </w:r>
      <w:r w:rsidRPr="00FE261D">
        <w:rPr>
          <w:lang w:val="fr-FR"/>
        </w:rPr>
        <w:t xml:space="preserve"> Gauging</w:t>
      </w:r>
      <w:r>
        <w:rPr>
          <w:lang w:val="fr-FR"/>
        </w:rPr>
        <w:t>,</w:t>
      </w:r>
      <w:r w:rsidRPr="00FE261D">
        <w:rPr>
          <w:lang w:val="fr-FR"/>
        </w:rPr>
        <w:t xml:space="preserve"> Hydrological Models</w:t>
      </w:r>
      <w:r>
        <w:rPr>
          <w:lang w:val="fr-FR"/>
        </w:rPr>
        <w:t>,</w:t>
      </w:r>
      <w:r w:rsidRPr="00FE261D">
        <w:rPr>
          <w:lang w:val="fr-FR"/>
        </w:rPr>
        <w:t xml:space="preserve"> Hydrological Theory</w:t>
      </w:r>
      <w:r>
        <w:rPr>
          <w:lang w:val="fr-FR"/>
        </w:rPr>
        <w:t>, Field Experiments</w:t>
      </w:r>
    </w:p>
    <w:p w:rsidR="00B95188" w:rsidRPr="00A428C3" w:rsidRDefault="00B95188" w:rsidP="00B95188">
      <w:pPr>
        <w:pStyle w:val="1"/>
      </w:pPr>
      <w:r w:rsidRPr="00A428C3">
        <w:br w:type="page"/>
      </w:r>
      <w:bookmarkStart w:id="719" w:name="_Toc487190701"/>
      <w:bookmarkStart w:id="720" w:name="_Toc487882206"/>
      <w:bookmarkStart w:id="721" w:name="_Toc490688021"/>
      <w:bookmarkStart w:id="722" w:name="_Toc492807682"/>
      <w:bookmarkStart w:id="723" w:name="_Toc186647804"/>
      <w:bookmarkStart w:id="724" w:name="_Toc317161071"/>
      <w:r w:rsidRPr="00A428C3">
        <w:lastRenderedPageBreak/>
        <w:t>Title: Hydrologiques</w:t>
      </w:r>
      <w:bookmarkEnd w:id="719"/>
      <w:bookmarkEnd w:id="720"/>
      <w:bookmarkEnd w:id="721"/>
      <w:bookmarkEnd w:id="722"/>
      <w:bookmarkEnd w:id="723"/>
      <w:bookmarkEnd w:id="724"/>
    </w:p>
    <w:p w:rsidR="00FE261D" w:rsidRPr="00A428C3" w:rsidRDefault="00FE261D" w:rsidP="00FE261D">
      <w:pPr>
        <w:pStyle w:val="12"/>
        <w:rPr>
          <w:lang w:val="fr-FR"/>
        </w:rPr>
      </w:pPr>
      <w:r w:rsidRPr="00A428C3">
        <w:rPr>
          <w:lang w:val="fr-FR"/>
        </w:rPr>
        <w:t xml:space="preserve">Full Journal Title: </w:t>
      </w:r>
      <w:r w:rsidRPr="00A428C3">
        <w:t>Hydrologiques</w:t>
      </w:r>
    </w:p>
    <w:p w:rsidR="00FE261D" w:rsidRPr="00A428C3" w:rsidRDefault="00FE261D" w:rsidP="00FE261D">
      <w:pPr>
        <w:pStyle w:val="12"/>
      </w:pPr>
      <w:r w:rsidRPr="00A428C3">
        <w:t>ISO Abbreviated Title: Hydrologiques</w:t>
      </w:r>
    </w:p>
    <w:p w:rsidR="00FE261D" w:rsidRPr="00A428C3" w:rsidRDefault="00FE261D" w:rsidP="00FE261D">
      <w:pPr>
        <w:pStyle w:val="12"/>
      </w:pPr>
      <w:r w:rsidRPr="00A428C3">
        <w:t>JCR Abbreviated Title: Hydrologiques</w:t>
      </w:r>
    </w:p>
    <w:p w:rsidR="00FE261D" w:rsidRPr="00A428C3" w:rsidRDefault="00FE261D" w:rsidP="00FE261D">
      <w:pPr>
        <w:pStyle w:val="12"/>
      </w:pPr>
      <w:r w:rsidRPr="00A428C3">
        <w:t xml:space="preserve">ISSN: </w:t>
      </w:r>
    </w:p>
    <w:p w:rsidR="00FE261D" w:rsidRPr="00A428C3" w:rsidRDefault="00FE261D" w:rsidP="00FE261D">
      <w:pPr>
        <w:pStyle w:val="12"/>
      </w:pPr>
      <w:r w:rsidRPr="00A428C3">
        <w:t xml:space="preserve">Issues/Year: </w:t>
      </w:r>
    </w:p>
    <w:p w:rsidR="00FE261D" w:rsidRPr="00A428C3" w:rsidRDefault="00FE261D" w:rsidP="00FE261D">
      <w:pPr>
        <w:pStyle w:val="12"/>
      </w:pPr>
      <w:r w:rsidRPr="00A428C3">
        <w:t xml:space="preserve">Journal Country/Territory: </w:t>
      </w:r>
    </w:p>
    <w:p w:rsidR="00FE261D" w:rsidRPr="00A428C3" w:rsidRDefault="00FE261D" w:rsidP="00FE261D">
      <w:pPr>
        <w:pStyle w:val="12"/>
      </w:pPr>
      <w:r w:rsidRPr="00A428C3">
        <w:t xml:space="preserve">Language: </w:t>
      </w:r>
    </w:p>
    <w:p w:rsidR="00FE261D" w:rsidRPr="00A428C3" w:rsidRDefault="00FE261D" w:rsidP="00FE261D">
      <w:pPr>
        <w:pStyle w:val="12"/>
      </w:pPr>
      <w:r w:rsidRPr="00A428C3">
        <w:t xml:space="preserve">Publisher: </w:t>
      </w:r>
    </w:p>
    <w:p w:rsidR="00FE261D" w:rsidRPr="00A428C3" w:rsidRDefault="00FE261D" w:rsidP="00FE261D">
      <w:pPr>
        <w:pStyle w:val="12"/>
      </w:pPr>
      <w:r w:rsidRPr="00A428C3">
        <w:t xml:space="preserve">Publisher Address: </w:t>
      </w:r>
    </w:p>
    <w:p w:rsidR="00FE261D" w:rsidRPr="00A428C3" w:rsidRDefault="00FE261D" w:rsidP="00FE261D">
      <w:pPr>
        <w:pStyle w:val="12"/>
      </w:pPr>
      <w:r w:rsidRPr="00A428C3">
        <w:t>Subject Categories:</w:t>
      </w:r>
    </w:p>
    <w:p w:rsidR="00FE261D" w:rsidRPr="00A428C3" w:rsidRDefault="00FE261D" w:rsidP="00FE261D">
      <w:pPr>
        <w:pStyle w:val="12"/>
      </w:pPr>
      <w:r w:rsidRPr="00A428C3">
        <w:t xml:space="preserve">: Impact Factor </w:t>
      </w:r>
    </w:p>
    <w:p w:rsidR="00B95188" w:rsidRPr="00A428C3" w:rsidRDefault="00B95188" w:rsidP="00B95188">
      <w:pPr>
        <w:pStyle w:val="a0"/>
      </w:pPr>
      <w:r w:rsidRPr="00A428C3">
        <w:t>? Jain, C.K.</w:t>
      </w:r>
      <w:r w:rsidR="00F81221">
        <w:t xml:space="preserve"> and </w:t>
      </w:r>
      <w:r w:rsidRPr="00A428C3">
        <w:t xml:space="preserve">Ram, D. (1997), Adsorption of metal ions on bed sediments. </w:t>
      </w:r>
      <w:r w:rsidRPr="00A428C3">
        <w:rPr>
          <w:i/>
        </w:rPr>
        <w:t>Hydrologiques</w:t>
      </w:r>
      <w:r w:rsidRPr="00A428C3">
        <w:t xml:space="preserve">, </w:t>
      </w:r>
      <w:r w:rsidRPr="00A428C3">
        <w:rPr>
          <w:b/>
        </w:rPr>
        <w:t>42</w:t>
      </w:r>
      <w:r w:rsidRPr="00A428C3">
        <w:t xml:space="preserve"> (5), 713-723.</w:t>
      </w:r>
    </w:p>
    <w:p w:rsidR="00B95188" w:rsidRPr="00A428C3" w:rsidRDefault="00B95188" w:rsidP="00B95188">
      <w:pPr>
        <w:pStyle w:val="a0"/>
      </w:pPr>
      <w:r w:rsidRPr="00A428C3">
        <w:t>Abstract: The adsorption of lead</w:t>
      </w:r>
      <w:r w:rsidR="00F81221">
        <w:t xml:space="preserve"> and </w:t>
      </w:r>
      <w:r w:rsidRPr="00A428C3">
        <w:t xml:space="preserve">zinc ions on bed sediments of the River Kali in western </w:t>
      </w:r>
      <w:smartTag w:uri="urn:schemas-microsoft-com:office:smarttags" w:element="place">
        <w:smartTag w:uri="urn:schemas-microsoft-com:office:smarttags" w:element="City">
          <w:r w:rsidRPr="00A428C3">
            <w:t>Uttar Pradesh</w:t>
          </w:r>
        </w:smartTag>
        <w:r w:rsidRPr="00A428C3">
          <w:t xml:space="preserve">, </w:t>
        </w:r>
        <w:smartTag w:uri="urn:schemas-microsoft-com:office:smarttags" w:element="country-region">
          <w:r w:rsidRPr="00A428C3">
            <w:t>India</w:t>
          </w:r>
        </w:smartTag>
      </w:smartTag>
      <w:r w:rsidRPr="00A428C3">
        <w:t>, has been studied. The role of the coarser sediment fraction (210-250 µm) in controlling metal pollution has been elucidated</w:t>
      </w:r>
      <w:r w:rsidR="00F81221">
        <w:t xml:space="preserve"> and </w:t>
      </w:r>
      <w:r w:rsidRPr="00A428C3">
        <w:t>compared to those of the clay</w:t>
      </w:r>
      <w:r w:rsidR="00F81221">
        <w:t xml:space="preserve"> and </w:t>
      </w:r>
      <w:r w:rsidRPr="00A428C3">
        <w:t>silt fractions. The parameters controlling metal uptake, viz., solution pH, sediment dose, contact time,</w:t>
      </w:r>
      <w:r w:rsidR="00F81221">
        <w:t xml:space="preserve"> and </w:t>
      </w:r>
      <w:r w:rsidRPr="00A428C3">
        <w:t>particle size have been evaluated. The optimum contact time needed to reach equilibrium is of the order of 45 min for both the metal ions. The extent of adsorption increases with an increase of pH. Furthermore, the adsorption of the metal ions increases with increasing adsorbent doses</w:t>
      </w:r>
      <w:r w:rsidR="00F81221">
        <w:t xml:space="preserve"> and </w:t>
      </w:r>
      <w:r w:rsidRPr="00A428C3">
        <w:t>decreases with adsorbent particle size. The two geochemical phases of iron</w:t>
      </w:r>
      <w:r w:rsidR="00F81221">
        <w:t xml:space="preserve"> and </w:t>
      </w:r>
      <w:r w:rsidRPr="00A428C3">
        <w:t>manganese oxide act as the active support material for the adsorption of the metal ions.</w:t>
      </w:r>
    </w:p>
    <w:p w:rsidR="003C574E" w:rsidRPr="00217FB1" w:rsidRDefault="003C574E" w:rsidP="003C574E">
      <w:pPr>
        <w:pStyle w:val="1"/>
      </w:pPr>
      <w:r w:rsidRPr="00217FB1">
        <w:br w:type="page"/>
      </w:r>
      <w:bookmarkStart w:id="725" w:name="_Toc317161072"/>
      <w:r w:rsidRPr="00217FB1">
        <w:lastRenderedPageBreak/>
        <w:t xml:space="preserve">Title: </w:t>
      </w:r>
      <w:r w:rsidRPr="00C847BD">
        <w:rPr>
          <w:iCs/>
        </w:rPr>
        <w:t>Hydrology</w:t>
      </w:r>
      <w:r w:rsidR="00F81221">
        <w:rPr>
          <w:iCs/>
        </w:rPr>
        <w:t xml:space="preserve"> and </w:t>
      </w:r>
      <w:r w:rsidRPr="00C847BD">
        <w:rPr>
          <w:iCs/>
        </w:rPr>
        <w:t>Earth System Sciences</w:t>
      </w:r>
      <w:bookmarkEnd w:id="725"/>
    </w:p>
    <w:p w:rsidR="003C574E" w:rsidRPr="00217FB1" w:rsidRDefault="003C574E" w:rsidP="00B72EF9">
      <w:pPr>
        <w:pStyle w:val="12"/>
      </w:pPr>
      <w:r w:rsidRPr="00217FB1">
        <w:t xml:space="preserve">Full Journal Title: </w:t>
      </w:r>
      <w:r w:rsidRPr="00C847BD">
        <w:t>Hydrology</w:t>
      </w:r>
      <w:r w:rsidR="00F81221">
        <w:t xml:space="preserve"> and </w:t>
      </w:r>
      <w:r w:rsidRPr="00C847BD">
        <w:t>Earth System Sciences</w:t>
      </w:r>
    </w:p>
    <w:p w:rsidR="003C574E" w:rsidRPr="00217FB1" w:rsidRDefault="003C574E" w:rsidP="00B72EF9">
      <w:pPr>
        <w:pStyle w:val="12"/>
      </w:pPr>
      <w:r w:rsidRPr="00217FB1">
        <w:t xml:space="preserve">ISO Abbreviated Title: </w:t>
      </w:r>
    </w:p>
    <w:p w:rsidR="003C574E" w:rsidRPr="00217FB1" w:rsidRDefault="003C574E" w:rsidP="00B72EF9">
      <w:pPr>
        <w:pStyle w:val="12"/>
      </w:pPr>
      <w:r w:rsidRPr="00217FB1">
        <w:t>JCR Abbreviated Title</w:t>
      </w:r>
      <w:r>
        <w:t>:</w:t>
      </w:r>
      <w:r w:rsidRPr="00217FB1">
        <w:t xml:space="preserve"> </w:t>
      </w:r>
    </w:p>
    <w:p w:rsidR="003C574E" w:rsidRPr="00217FB1" w:rsidRDefault="003C574E" w:rsidP="00B72EF9">
      <w:pPr>
        <w:pStyle w:val="12"/>
      </w:pPr>
      <w:r w:rsidRPr="00217FB1">
        <w:t xml:space="preserve">ISSN: </w:t>
      </w:r>
    </w:p>
    <w:p w:rsidR="003C574E" w:rsidRPr="00217FB1" w:rsidRDefault="003C574E" w:rsidP="00B72EF9">
      <w:pPr>
        <w:pStyle w:val="12"/>
      </w:pPr>
      <w:r w:rsidRPr="00217FB1">
        <w:t xml:space="preserve">Issues/Year: </w:t>
      </w:r>
    </w:p>
    <w:p w:rsidR="003C574E" w:rsidRPr="00217FB1" w:rsidRDefault="003C574E" w:rsidP="00B72EF9">
      <w:pPr>
        <w:pStyle w:val="12"/>
      </w:pPr>
      <w:r>
        <w:t xml:space="preserve">Journal Country/Territory: </w:t>
      </w:r>
    </w:p>
    <w:p w:rsidR="003C574E" w:rsidRPr="00217FB1" w:rsidRDefault="003C574E" w:rsidP="00B72EF9">
      <w:pPr>
        <w:pStyle w:val="12"/>
      </w:pPr>
      <w:r w:rsidRPr="00217FB1">
        <w:t xml:space="preserve">Language: </w:t>
      </w:r>
    </w:p>
    <w:p w:rsidR="003C574E" w:rsidRPr="00217FB1" w:rsidRDefault="003C574E" w:rsidP="00B72EF9">
      <w:pPr>
        <w:pStyle w:val="12"/>
      </w:pPr>
      <w:r w:rsidRPr="00217FB1">
        <w:t xml:space="preserve">Publisher: </w:t>
      </w:r>
    </w:p>
    <w:p w:rsidR="003C574E" w:rsidRPr="00217FB1" w:rsidRDefault="003C574E" w:rsidP="00B72EF9">
      <w:pPr>
        <w:pStyle w:val="12"/>
      </w:pPr>
      <w:r w:rsidRPr="00217FB1">
        <w:t xml:space="preserve">Publisher Address: </w:t>
      </w:r>
    </w:p>
    <w:p w:rsidR="003C574E" w:rsidRPr="00217FB1" w:rsidRDefault="003C574E" w:rsidP="00B72EF9">
      <w:pPr>
        <w:pStyle w:val="12"/>
      </w:pPr>
      <w:r w:rsidRPr="00217FB1">
        <w:t>Subject Categories:</w:t>
      </w:r>
    </w:p>
    <w:p w:rsidR="003C574E" w:rsidRPr="00217FB1" w:rsidRDefault="003C574E" w:rsidP="00B72EF9">
      <w:pPr>
        <w:pStyle w:val="12"/>
      </w:pPr>
      <w:r w:rsidRPr="00217FB1">
        <w:t xml:space="preserve">: Impact Factor </w:t>
      </w:r>
    </w:p>
    <w:p w:rsidR="00A055EF" w:rsidRDefault="00A055EF" w:rsidP="00A055EF">
      <w:pPr>
        <w:pStyle w:val="a0"/>
        <w:rPr>
          <w:kern w:val="0"/>
        </w:rPr>
      </w:pPr>
      <w:r>
        <w:rPr>
          <w:rFonts w:hint="eastAsia"/>
          <w:kern w:val="0"/>
        </w:rPr>
        <w:t>Notes: highly cited</w:t>
      </w:r>
    </w:p>
    <w:p w:rsidR="00A055EF" w:rsidRDefault="00A055EF" w:rsidP="00A055EF">
      <w:pPr>
        <w:pStyle w:val="a0"/>
        <w:rPr>
          <w:kern w:val="0"/>
        </w:rPr>
      </w:pPr>
      <w:r>
        <w:rPr>
          <w:rFonts w:hint="eastAsia"/>
          <w:kern w:val="0"/>
        </w:rPr>
        <w:t xml:space="preserve">? </w:t>
      </w:r>
      <w:r w:rsidRPr="00A055EF">
        <w:rPr>
          <w:kern w:val="0"/>
        </w:rPr>
        <w:t>Su, Z</w:t>
      </w:r>
      <w:r>
        <w:rPr>
          <w:rFonts w:hint="eastAsia"/>
          <w:kern w:val="0"/>
        </w:rPr>
        <w:t>.</w:t>
      </w:r>
      <w:r>
        <w:rPr>
          <w:kern w:val="0"/>
        </w:rPr>
        <w:t xml:space="preserve"> (200</w:t>
      </w:r>
      <w:r>
        <w:rPr>
          <w:rFonts w:hint="eastAsia"/>
          <w:kern w:val="0"/>
        </w:rPr>
        <w:t>2</w:t>
      </w:r>
      <w:r>
        <w:rPr>
          <w:kern w:val="0"/>
        </w:rPr>
        <w:t xml:space="preserve">), </w:t>
      </w:r>
      <w:r w:rsidRPr="00A055EF">
        <w:rPr>
          <w:kern w:val="0"/>
        </w:rPr>
        <w:t>The Surface Energy Balance System (SEBS) for estimation of turbulent heat fluxes</w:t>
      </w:r>
      <w:r>
        <w:rPr>
          <w:kern w:val="0"/>
        </w:rPr>
        <w:t xml:space="preserve">. </w:t>
      </w:r>
      <w:r w:rsidRPr="00C847BD">
        <w:rPr>
          <w:i/>
          <w:iCs/>
          <w:kern w:val="0"/>
        </w:rPr>
        <w:t>Hydrology</w:t>
      </w:r>
      <w:r>
        <w:rPr>
          <w:i/>
          <w:iCs/>
          <w:kern w:val="0"/>
        </w:rPr>
        <w:t xml:space="preserve"> and </w:t>
      </w:r>
      <w:r w:rsidRPr="00C847BD">
        <w:rPr>
          <w:i/>
          <w:iCs/>
          <w:kern w:val="0"/>
        </w:rPr>
        <w:t>Earth System Sciences</w:t>
      </w:r>
      <w:r>
        <w:rPr>
          <w:kern w:val="0"/>
        </w:rPr>
        <w:t xml:space="preserve">, </w:t>
      </w:r>
      <w:r>
        <w:rPr>
          <w:rFonts w:hint="eastAsia"/>
          <w:b/>
          <w:bCs/>
          <w:kern w:val="0"/>
        </w:rPr>
        <w:t>6</w:t>
      </w:r>
      <w:r>
        <w:rPr>
          <w:kern w:val="0"/>
        </w:rPr>
        <w:t xml:space="preserve"> (</w:t>
      </w:r>
      <w:r>
        <w:rPr>
          <w:rFonts w:hint="eastAsia"/>
          <w:kern w:val="0"/>
        </w:rPr>
        <w:t>1</w:t>
      </w:r>
      <w:r>
        <w:rPr>
          <w:kern w:val="0"/>
        </w:rPr>
        <w:t xml:space="preserve">), </w:t>
      </w:r>
      <w:r w:rsidRPr="00A055EF">
        <w:rPr>
          <w:kern w:val="0"/>
        </w:rPr>
        <w:t>85-99</w:t>
      </w:r>
      <w:r>
        <w:rPr>
          <w:kern w:val="0"/>
        </w:rPr>
        <w:t>.</w:t>
      </w:r>
    </w:p>
    <w:p w:rsidR="00A055EF" w:rsidRDefault="00A055EF" w:rsidP="00A055EF">
      <w:pPr>
        <w:pStyle w:val="a0"/>
        <w:rPr>
          <w:kern w:val="0"/>
        </w:rPr>
      </w:pPr>
      <w:r>
        <w:rPr>
          <w:rFonts w:hint="eastAsia"/>
          <w:kern w:val="0"/>
        </w:rPr>
        <w:t xml:space="preserve">Full Text: </w:t>
      </w:r>
      <w:hyperlink r:id="rId710" w:history="1">
        <w:r w:rsidRPr="00A055EF">
          <w:rPr>
            <w:rStyle w:val="a5"/>
            <w:kern w:val="0"/>
          </w:rPr>
          <w:t>2002\Hyd Ear Sys Sci6, 85.pdf</w:t>
        </w:r>
      </w:hyperlink>
    </w:p>
    <w:p w:rsidR="00A055EF" w:rsidRPr="00A055EF" w:rsidRDefault="00A055EF" w:rsidP="00A055EF">
      <w:pPr>
        <w:pStyle w:val="a0"/>
        <w:rPr>
          <w:kern w:val="0"/>
        </w:rPr>
      </w:pPr>
      <w:r w:rsidRPr="00A055EF">
        <w:rPr>
          <w:kern w:val="0"/>
        </w:rPr>
        <w:t>Abstract: A Surface Energy Balance System (SEBS) is proposed for the estimation of atmospheric turbulent fluxes and evaporative fraction using satellite earth observation data, in combination with meteorological information at proper scales. SEBS consists of: a set of tools for the determination of the land surface physical parameters, such as albedo, emissivity, temperature, vegetation coverage etc., from spectral reflectance and radiance measurements, a model for the determination of the roughness length for heat transfer and anew formulation, for the determination of the evaporative fraction on the basis of energy balance at limiting cases. Four experimental data sets are used to assess the reliabilities of SEBS. Based on these case studies, SEBS has proven to be capable to estimate turbulent heat fluxes and evaporative fraction at various scales with acceptable accuracy. The uncertainties in the estimated heat fluxes are comparable to in-s</w:t>
      </w:r>
      <w:r>
        <w:rPr>
          <w:kern w:val="0"/>
        </w:rPr>
        <w:t>itu measurement uncertainties.</w:t>
      </w:r>
    </w:p>
    <w:p w:rsidR="00A055EF" w:rsidRDefault="00A055EF" w:rsidP="00A055EF">
      <w:pPr>
        <w:pStyle w:val="a0"/>
        <w:rPr>
          <w:kern w:val="0"/>
        </w:rPr>
      </w:pPr>
      <w:r w:rsidRPr="00A055EF">
        <w:rPr>
          <w:kern w:val="0"/>
        </w:rPr>
        <w:t>Keywords: Surface Energy Balance</w:t>
      </w:r>
      <w:r>
        <w:rPr>
          <w:kern w:val="0"/>
        </w:rPr>
        <w:t>,</w:t>
      </w:r>
      <w:r w:rsidRPr="00A055EF">
        <w:rPr>
          <w:kern w:val="0"/>
        </w:rPr>
        <w:t xml:space="preserve"> Turbulent Heat Flux</w:t>
      </w:r>
      <w:r>
        <w:rPr>
          <w:kern w:val="0"/>
        </w:rPr>
        <w:t>,</w:t>
      </w:r>
      <w:r w:rsidRPr="00A055EF">
        <w:rPr>
          <w:kern w:val="0"/>
        </w:rPr>
        <w:t xml:space="preserve"> Evaporation</w:t>
      </w:r>
      <w:r>
        <w:rPr>
          <w:kern w:val="0"/>
        </w:rPr>
        <w:t>,</w:t>
      </w:r>
      <w:r w:rsidRPr="00A055EF">
        <w:rPr>
          <w:kern w:val="0"/>
        </w:rPr>
        <w:t xml:space="preserve"> Remote Sensing</w:t>
      </w:r>
      <w:r>
        <w:rPr>
          <w:kern w:val="0"/>
        </w:rPr>
        <w:t>,</w:t>
      </w:r>
      <w:r w:rsidRPr="00A055EF">
        <w:rPr>
          <w:kern w:val="0"/>
        </w:rPr>
        <w:t xml:space="preserve"> Partial Canopy Cover</w:t>
      </w:r>
      <w:r>
        <w:rPr>
          <w:kern w:val="0"/>
        </w:rPr>
        <w:t>,</w:t>
      </w:r>
      <w:r w:rsidRPr="00A055EF">
        <w:rPr>
          <w:kern w:val="0"/>
        </w:rPr>
        <w:t xml:space="preserve"> Land Surfaces</w:t>
      </w:r>
      <w:r>
        <w:rPr>
          <w:kern w:val="0"/>
        </w:rPr>
        <w:t>,</w:t>
      </w:r>
      <w:r w:rsidRPr="00A055EF">
        <w:rPr>
          <w:kern w:val="0"/>
        </w:rPr>
        <w:t xml:space="preserve"> Roughness Parameters</w:t>
      </w:r>
      <w:r>
        <w:rPr>
          <w:kern w:val="0"/>
        </w:rPr>
        <w:t>,</w:t>
      </w:r>
      <w:r w:rsidRPr="00A055EF">
        <w:rPr>
          <w:kern w:val="0"/>
        </w:rPr>
        <w:t xml:space="preserve"> Semiarid Rangelands</w:t>
      </w:r>
      <w:r>
        <w:rPr>
          <w:kern w:val="0"/>
        </w:rPr>
        <w:t>,</w:t>
      </w:r>
      <w:r w:rsidRPr="00A055EF">
        <w:rPr>
          <w:kern w:val="0"/>
        </w:rPr>
        <w:t xml:space="preserve"> Vegetated Surfaces</w:t>
      </w:r>
      <w:r>
        <w:rPr>
          <w:kern w:val="0"/>
        </w:rPr>
        <w:t>,</w:t>
      </w:r>
      <w:r w:rsidRPr="00A055EF">
        <w:rPr>
          <w:kern w:val="0"/>
        </w:rPr>
        <w:t xml:space="preserve"> One-Layer</w:t>
      </w:r>
      <w:r>
        <w:rPr>
          <w:kern w:val="0"/>
        </w:rPr>
        <w:t>,</w:t>
      </w:r>
      <w:r w:rsidRPr="00A055EF">
        <w:rPr>
          <w:kern w:val="0"/>
        </w:rPr>
        <w:t xml:space="preserve"> Model</w:t>
      </w:r>
      <w:r>
        <w:rPr>
          <w:kern w:val="0"/>
        </w:rPr>
        <w:t>,</w:t>
      </w:r>
      <w:r w:rsidRPr="00A055EF">
        <w:rPr>
          <w:kern w:val="0"/>
        </w:rPr>
        <w:t xml:space="preserve"> Temperat</w:t>
      </w:r>
      <w:r>
        <w:rPr>
          <w:kern w:val="0"/>
        </w:rPr>
        <w:t>ure, Water, Evapotranspiration</w:t>
      </w:r>
    </w:p>
    <w:p w:rsidR="00A055EF" w:rsidRDefault="00A055EF" w:rsidP="00A055EF">
      <w:pPr>
        <w:pStyle w:val="a0"/>
        <w:rPr>
          <w:kern w:val="0"/>
        </w:rPr>
      </w:pPr>
      <w:r>
        <w:rPr>
          <w:rFonts w:hint="eastAsia"/>
          <w:kern w:val="0"/>
        </w:rPr>
        <w:t>Notes: highly cited</w:t>
      </w:r>
    </w:p>
    <w:p w:rsidR="00A055EF" w:rsidRDefault="00A055EF" w:rsidP="00A055EF">
      <w:pPr>
        <w:pStyle w:val="a0"/>
        <w:rPr>
          <w:kern w:val="0"/>
        </w:rPr>
      </w:pPr>
      <w:r>
        <w:rPr>
          <w:rFonts w:hint="eastAsia"/>
          <w:kern w:val="0"/>
        </w:rPr>
        <w:t xml:space="preserve">? </w:t>
      </w:r>
      <w:r w:rsidRPr="001D6AC9">
        <w:rPr>
          <w:kern w:val="0"/>
        </w:rPr>
        <w:t>Peel, M</w:t>
      </w:r>
      <w:r>
        <w:rPr>
          <w:rFonts w:hint="eastAsia"/>
          <w:kern w:val="0"/>
        </w:rPr>
        <w:t>.</w:t>
      </w:r>
      <w:r w:rsidRPr="001D6AC9">
        <w:rPr>
          <w:kern w:val="0"/>
        </w:rPr>
        <w:t>C</w:t>
      </w:r>
      <w:r>
        <w:rPr>
          <w:rFonts w:hint="eastAsia"/>
          <w:kern w:val="0"/>
        </w:rPr>
        <w:t>.,</w:t>
      </w:r>
      <w:r w:rsidRPr="001D6AC9">
        <w:rPr>
          <w:kern w:val="0"/>
        </w:rPr>
        <w:t xml:space="preserve"> Finlayson, B</w:t>
      </w:r>
      <w:r>
        <w:rPr>
          <w:rFonts w:hint="eastAsia"/>
          <w:kern w:val="0"/>
        </w:rPr>
        <w:t>.</w:t>
      </w:r>
      <w:r w:rsidRPr="001D6AC9">
        <w:rPr>
          <w:kern w:val="0"/>
        </w:rPr>
        <w:t>L</w:t>
      </w:r>
      <w:r>
        <w:rPr>
          <w:rFonts w:hint="eastAsia"/>
          <w:kern w:val="0"/>
        </w:rPr>
        <w:t>. and</w:t>
      </w:r>
      <w:r w:rsidRPr="001D6AC9">
        <w:rPr>
          <w:kern w:val="0"/>
        </w:rPr>
        <w:t xml:space="preserve"> McMahon, T</w:t>
      </w:r>
      <w:r>
        <w:rPr>
          <w:rFonts w:hint="eastAsia"/>
          <w:kern w:val="0"/>
        </w:rPr>
        <w:t>.</w:t>
      </w:r>
      <w:r w:rsidRPr="001D6AC9">
        <w:rPr>
          <w:kern w:val="0"/>
        </w:rPr>
        <w:t>A</w:t>
      </w:r>
      <w:r>
        <w:rPr>
          <w:rFonts w:hint="eastAsia"/>
          <w:kern w:val="0"/>
        </w:rPr>
        <w:t>.</w:t>
      </w:r>
      <w:r>
        <w:rPr>
          <w:kern w:val="0"/>
        </w:rPr>
        <w:t xml:space="preserve"> (200</w:t>
      </w:r>
      <w:r>
        <w:rPr>
          <w:rFonts w:hint="eastAsia"/>
          <w:kern w:val="0"/>
        </w:rPr>
        <w:t>7</w:t>
      </w:r>
      <w:r>
        <w:rPr>
          <w:kern w:val="0"/>
        </w:rPr>
        <w:t>), Updated world map of the Kö</w:t>
      </w:r>
      <w:r w:rsidRPr="001D6AC9">
        <w:rPr>
          <w:kern w:val="0"/>
        </w:rPr>
        <w:t>ppen-Geiger climate classification</w:t>
      </w:r>
      <w:r>
        <w:rPr>
          <w:kern w:val="0"/>
        </w:rPr>
        <w:t xml:space="preserve">. </w:t>
      </w:r>
      <w:r w:rsidRPr="00C847BD">
        <w:rPr>
          <w:i/>
          <w:iCs/>
          <w:kern w:val="0"/>
        </w:rPr>
        <w:t>Hydrology</w:t>
      </w:r>
      <w:r>
        <w:rPr>
          <w:i/>
          <w:iCs/>
          <w:kern w:val="0"/>
        </w:rPr>
        <w:t xml:space="preserve"> and </w:t>
      </w:r>
      <w:r w:rsidRPr="00C847BD">
        <w:rPr>
          <w:i/>
          <w:iCs/>
          <w:kern w:val="0"/>
        </w:rPr>
        <w:t>Earth System Sciences</w:t>
      </w:r>
      <w:r>
        <w:rPr>
          <w:kern w:val="0"/>
        </w:rPr>
        <w:t xml:space="preserve">, </w:t>
      </w:r>
      <w:r>
        <w:rPr>
          <w:b/>
          <w:bCs/>
          <w:kern w:val="0"/>
        </w:rPr>
        <w:t>1</w:t>
      </w:r>
      <w:r>
        <w:rPr>
          <w:rFonts w:hint="eastAsia"/>
          <w:b/>
          <w:bCs/>
          <w:kern w:val="0"/>
        </w:rPr>
        <w:t>1</w:t>
      </w:r>
      <w:r>
        <w:rPr>
          <w:kern w:val="0"/>
        </w:rPr>
        <w:t xml:space="preserve"> (</w:t>
      </w:r>
      <w:r>
        <w:rPr>
          <w:rFonts w:hint="eastAsia"/>
          <w:kern w:val="0"/>
        </w:rPr>
        <w:t>5</w:t>
      </w:r>
      <w:r>
        <w:rPr>
          <w:kern w:val="0"/>
        </w:rPr>
        <w:t xml:space="preserve">), </w:t>
      </w:r>
      <w:r w:rsidRPr="001D6AC9">
        <w:rPr>
          <w:kern w:val="0"/>
        </w:rPr>
        <w:t>1633-1644</w:t>
      </w:r>
      <w:r>
        <w:rPr>
          <w:kern w:val="0"/>
        </w:rPr>
        <w:t>.</w:t>
      </w:r>
    </w:p>
    <w:p w:rsidR="00A055EF" w:rsidRDefault="00A055EF" w:rsidP="00A055EF">
      <w:pPr>
        <w:pStyle w:val="a0"/>
        <w:rPr>
          <w:kern w:val="0"/>
        </w:rPr>
      </w:pPr>
      <w:r>
        <w:rPr>
          <w:rFonts w:hint="eastAsia"/>
          <w:kern w:val="0"/>
        </w:rPr>
        <w:t xml:space="preserve">Full Text: </w:t>
      </w:r>
      <w:hyperlink r:id="rId711" w:history="1">
        <w:r w:rsidRPr="003C1273">
          <w:rPr>
            <w:rStyle w:val="a5"/>
            <w:kern w:val="0"/>
          </w:rPr>
          <w:t>2007\Hyd Ear Sys Sci11, 1633.pdf</w:t>
        </w:r>
      </w:hyperlink>
    </w:p>
    <w:p w:rsidR="001D6AC9" w:rsidRPr="001D6AC9" w:rsidRDefault="001D6AC9" w:rsidP="001D6AC9">
      <w:pPr>
        <w:pStyle w:val="a0"/>
        <w:rPr>
          <w:kern w:val="0"/>
        </w:rPr>
      </w:pPr>
      <w:r w:rsidRPr="001D6AC9">
        <w:rPr>
          <w:kern w:val="0"/>
        </w:rPr>
        <w:t xml:space="preserve">Abstract: Although now over 100 years old, the classification of climate originally </w:t>
      </w:r>
      <w:r w:rsidRPr="001D6AC9">
        <w:rPr>
          <w:kern w:val="0"/>
        </w:rPr>
        <w:lastRenderedPageBreak/>
        <w:t>formulated by Wladimir Koppen and modified by his collaborators and successors, is still in widespread use. It is widely used in teaching school and undergraduate courses on climate. It is also still in regular use by researchers across a range of disciplines as a basis for climatic regionalisation of variables and for assessing the output of global climate models. Here we have produced a new global map of climate using the Koppen-Geiger system based on a large global data set of long-term monthly precipitation and temperature station time series. Climatic variables used in the Koppen-Geiger system were calculated at each station and interpolated between stations using a two-dimensional (latitude and longitude) thin-plate spline with tension onto a 0.1 degrees x 0.1 degrees. V grid for each continent. We discuss some problems in dealing with sites that are not uniquely classified into one climate type by the Koppen-Geiger system and assess the outcomes on a continent by continent basis. Globally the most common climate type by land area is BWh (14.2%, Hot desert) followed by Aw (11.5%, Tropical savannah). The updated world Koppen-Geiger climate map is freely available electronically in the Supplementary Material Section (http:/</w:t>
      </w:r>
      <w:r>
        <w:rPr>
          <w:kern w:val="0"/>
        </w:rPr>
        <w:t>/www.hydrol-earth-syst-sci.net/</w:t>
      </w:r>
      <w:r w:rsidRPr="001D6AC9">
        <w:rPr>
          <w:kern w:val="0"/>
        </w:rPr>
        <w:t>11/1633/2007/hess</w:t>
      </w:r>
      <w:r>
        <w:rPr>
          <w:kern w:val="0"/>
        </w:rPr>
        <w:t>-11-1633-2007-supplement.zip).</w:t>
      </w:r>
    </w:p>
    <w:p w:rsidR="001D6AC9" w:rsidRDefault="001D6AC9" w:rsidP="001D6AC9">
      <w:pPr>
        <w:pStyle w:val="a0"/>
        <w:rPr>
          <w:kern w:val="0"/>
        </w:rPr>
      </w:pPr>
      <w:r>
        <w:rPr>
          <w:kern w:val="0"/>
        </w:rPr>
        <w:t>Keywords: System</w:t>
      </w:r>
    </w:p>
    <w:p w:rsidR="001D6AC9" w:rsidRDefault="001D6AC9" w:rsidP="001D6AC9">
      <w:pPr>
        <w:pStyle w:val="a0"/>
        <w:rPr>
          <w:kern w:val="0"/>
        </w:rPr>
      </w:pPr>
      <w:r>
        <w:rPr>
          <w:rFonts w:hint="eastAsia"/>
          <w:kern w:val="0"/>
        </w:rPr>
        <w:t xml:space="preserve">? </w:t>
      </w:r>
      <w:r>
        <w:rPr>
          <w:kern w:val="0"/>
        </w:rPr>
        <w:t xml:space="preserve">van der Zaag, P., Gupta, J. and Darvis, L.P. (2009), </w:t>
      </w:r>
      <w:r w:rsidRPr="00C847BD">
        <w:rPr>
          <w:kern w:val="0"/>
        </w:rPr>
        <w:t>Urgent water challenges are not sufficiently researched</w:t>
      </w:r>
      <w:r>
        <w:rPr>
          <w:kern w:val="0"/>
        </w:rPr>
        <w:t xml:space="preserve">. </w:t>
      </w:r>
      <w:r w:rsidRPr="00C847BD">
        <w:rPr>
          <w:i/>
          <w:iCs/>
          <w:kern w:val="0"/>
        </w:rPr>
        <w:t>Hydrology</w:t>
      </w:r>
      <w:r>
        <w:rPr>
          <w:i/>
          <w:iCs/>
          <w:kern w:val="0"/>
        </w:rPr>
        <w:t xml:space="preserve"> and </w:t>
      </w:r>
      <w:r w:rsidRPr="00C847BD">
        <w:rPr>
          <w:i/>
          <w:iCs/>
          <w:kern w:val="0"/>
        </w:rPr>
        <w:t>Earth System Sciences</w:t>
      </w:r>
      <w:r>
        <w:rPr>
          <w:kern w:val="0"/>
        </w:rPr>
        <w:t xml:space="preserve">, </w:t>
      </w:r>
      <w:r>
        <w:rPr>
          <w:b/>
          <w:bCs/>
          <w:kern w:val="0"/>
        </w:rPr>
        <w:t>13</w:t>
      </w:r>
      <w:r>
        <w:rPr>
          <w:kern w:val="0"/>
        </w:rPr>
        <w:t xml:space="preserve"> (6), 905-912.</w:t>
      </w:r>
    </w:p>
    <w:p w:rsidR="003C574E" w:rsidRPr="00C847BD" w:rsidRDefault="003C574E" w:rsidP="003C574E">
      <w:pPr>
        <w:pStyle w:val="a0"/>
        <w:rPr>
          <w:kern w:val="0"/>
        </w:rPr>
      </w:pPr>
      <w:r w:rsidRPr="00C847BD">
        <w:rPr>
          <w:kern w:val="0"/>
        </w:rPr>
        <w:t>Abstract: In this opinion paper we submit that water experts conduct comparatively little research on the more urgent challenges facing the global community. Five specific biases are identified. First, research in the field of water</w:t>
      </w:r>
      <w:r w:rsidR="00F81221">
        <w:rPr>
          <w:kern w:val="0"/>
        </w:rPr>
        <w:t xml:space="preserve"> and </w:t>
      </w:r>
      <w:r w:rsidRPr="00C847BD">
        <w:rPr>
          <w:kern w:val="0"/>
        </w:rPr>
        <w:t>sanitation is heavily biased against sanitation. Second, research on food security is biased in favour of conventional irrigation</w:t>
      </w:r>
      <w:r w:rsidR="00F81221">
        <w:rPr>
          <w:kern w:val="0"/>
        </w:rPr>
        <w:t xml:space="preserve"> and </w:t>
      </w:r>
      <w:r w:rsidRPr="00C847BD">
        <w:rPr>
          <w:kern w:val="0"/>
        </w:rPr>
        <w:t>fails to address the problems</w:t>
      </w:r>
      <w:r w:rsidR="00F81221">
        <w:rPr>
          <w:kern w:val="0"/>
        </w:rPr>
        <w:t xml:space="preserve"> and </w:t>
      </w:r>
      <w:r w:rsidRPr="00C847BD">
        <w:rPr>
          <w:kern w:val="0"/>
        </w:rPr>
        <w:t>opportunities of rainfed agriculture. Third, insufficient water research is dedicated to developmental compared to environmental issues. Fourth, too little research is conducted on adaptation to climate change by developing countries.</w:t>
      </w:r>
      <w:r w:rsidR="00F81221">
        <w:rPr>
          <w:kern w:val="0"/>
        </w:rPr>
        <w:t xml:space="preserve"> and </w:t>
      </w:r>
      <w:r w:rsidRPr="00C847BD">
        <w:rPr>
          <w:kern w:val="0"/>
        </w:rPr>
        <w:t>finally, research on water governance has a fascination for conflict but too little eye for cooperation</w:t>
      </w:r>
      <w:r w:rsidR="00F81221">
        <w:rPr>
          <w:kern w:val="0"/>
        </w:rPr>
        <w:t xml:space="preserve"> and </w:t>
      </w:r>
      <w:r w:rsidRPr="00C847BD">
        <w:rPr>
          <w:kern w:val="0"/>
        </w:rPr>
        <w:t>meeting basic needs. This paper illustrates these biases with bibliometric indicators extracted from the ISI Web of Science. There is a stark mismatch between the global demand for knowledge</w:t>
      </w:r>
      <w:r w:rsidR="00F81221">
        <w:rPr>
          <w:kern w:val="0"/>
        </w:rPr>
        <w:t xml:space="preserve"> and </w:t>
      </w:r>
      <w:r w:rsidRPr="00C847BD">
        <w:rPr>
          <w:kern w:val="0"/>
        </w:rPr>
        <w:t>the supply of it. This mismatch is identified here as a problem that we water scientists must confront</w:t>
      </w:r>
      <w:r w:rsidR="00F81221">
        <w:rPr>
          <w:kern w:val="0"/>
        </w:rPr>
        <w:t xml:space="preserve"> and </w:t>
      </w:r>
      <w:r w:rsidRPr="00C847BD">
        <w:rPr>
          <w:kern w:val="0"/>
        </w:rPr>
        <w:t>resolve. We still lack a full understanding why this divergence between demand</w:t>
      </w:r>
      <w:r w:rsidR="00F81221">
        <w:rPr>
          <w:kern w:val="0"/>
        </w:rPr>
        <w:t xml:space="preserve"> and </w:t>
      </w:r>
      <w:r w:rsidRPr="00C847BD">
        <w:rPr>
          <w:kern w:val="0"/>
        </w:rPr>
        <w:t>supply occurs</w:t>
      </w:r>
      <w:r w:rsidR="00F81221">
        <w:rPr>
          <w:kern w:val="0"/>
        </w:rPr>
        <w:t xml:space="preserve"> and </w:t>
      </w:r>
      <w:r w:rsidRPr="00C847BD">
        <w:rPr>
          <w:kern w:val="0"/>
        </w:rPr>
        <w:t>persists; an understanding that is required to guide us towards aligning our research priorities to societal demands. The paper, however, makes some inferences. On the one hand, we should promote the global South to create its own research biases</w:t>
      </w:r>
      <w:r w:rsidR="00F81221">
        <w:rPr>
          <w:kern w:val="0"/>
        </w:rPr>
        <w:t xml:space="preserve"> and </w:t>
      </w:r>
      <w:r w:rsidRPr="00C847BD">
        <w:rPr>
          <w:kern w:val="0"/>
        </w:rPr>
        <w:t xml:space="preserve">allow it to develop alternative solutions. Simultaneously we </w:t>
      </w:r>
      <w:r w:rsidRPr="00C847BD">
        <w:rPr>
          <w:kern w:val="0"/>
        </w:rPr>
        <w:lastRenderedPageBreak/>
        <w:t>would benefit from critical examination of our own research practice. Although this paper addresses a critical challenge it does not aim to be exhaustive or definitive. We merely identify the persistence of intransigent water problems as a valid research object in itself.</w:t>
      </w:r>
    </w:p>
    <w:p w:rsidR="003C574E" w:rsidRDefault="003C574E" w:rsidP="003C574E">
      <w:pPr>
        <w:pStyle w:val="a0"/>
        <w:rPr>
          <w:kern w:val="0"/>
        </w:rPr>
      </w:pPr>
      <w:r>
        <w:rPr>
          <w:rFonts w:hint="eastAsia"/>
          <w:kern w:val="0"/>
        </w:rPr>
        <w:t xml:space="preserve">? </w:t>
      </w:r>
      <w:r>
        <w:rPr>
          <w:kern w:val="0"/>
        </w:rPr>
        <w:t>van der Zaag, P., Gupta, J.</w:t>
      </w:r>
      <w:r w:rsidR="00F81221">
        <w:rPr>
          <w:kern w:val="0"/>
        </w:rPr>
        <w:t xml:space="preserve"> and </w:t>
      </w:r>
      <w:r>
        <w:rPr>
          <w:kern w:val="0"/>
        </w:rPr>
        <w:t xml:space="preserve">Darvis, L.P. (2009), HESS Opinions </w:t>
      </w:r>
      <w:r w:rsidR="000352E7">
        <w:rPr>
          <w:kern w:val="0"/>
        </w:rPr>
        <w:t>“</w:t>
      </w:r>
      <w:r>
        <w:rPr>
          <w:kern w:val="0"/>
        </w:rPr>
        <w:t>Urgent water challenges are not sufficiently researched</w:t>
      </w:r>
      <w:r w:rsidR="000352E7">
        <w:rPr>
          <w:kern w:val="0"/>
        </w:rPr>
        <w:t>”</w:t>
      </w:r>
      <w:r>
        <w:rPr>
          <w:kern w:val="0"/>
        </w:rPr>
        <w:t xml:space="preserve">. </w:t>
      </w:r>
      <w:r w:rsidRPr="00C847BD">
        <w:rPr>
          <w:i/>
          <w:iCs/>
          <w:kern w:val="0"/>
        </w:rPr>
        <w:t>Hydrology</w:t>
      </w:r>
      <w:r w:rsidR="00F81221">
        <w:rPr>
          <w:i/>
          <w:iCs/>
          <w:kern w:val="0"/>
        </w:rPr>
        <w:t xml:space="preserve"> and </w:t>
      </w:r>
      <w:r w:rsidRPr="00C847BD">
        <w:rPr>
          <w:i/>
          <w:iCs/>
          <w:kern w:val="0"/>
        </w:rPr>
        <w:t>Earth System Sciences</w:t>
      </w:r>
      <w:r>
        <w:rPr>
          <w:kern w:val="0"/>
        </w:rPr>
        <w:t xml:space="preserve">, </w:t>
      </w:r>
      <w:r>
        <w:rPr>
          <w:b/>
          <w:bCs/>
          <w:kern w:val="0"/>
        </w:rPr>
        <w:t>13</w:t>
      </w:r>
      <w:r>
        <w:rPr>
          <w:kern w:val="0"/>
        </w:rPr>
        <w:t xml:space="preserve"> (6), 905-912.</w:t>
      </w:r>
    </w:p>
    <w:p w:rsidR="003C574E" w:rsidRDefault="003C574E" w:rsidP="003C574E">
      <w:pPr>
        <w:pStyle w:val="a0"/>
        <w:rPr>
          <w:kern w:val="0"/>
        </w:rPr>
      </w:pPr>
      <w:r>
        <w:rPr>
          <w:kern w:val="0"/>
        </w:rPr>
        <w:t>Abstract: In this opinion paper we submit that water experts conduct comparatively little research on the more urgent challenges facing the global community. Five specific biases are identified. First, research in the field of water</w:t>
      </w:r>
      <w:r w:rsidR="00F81221">
        <w:rPr>
          <w:kern w:val="0"/>
        </w:rPr>
        <w:t xml:space="preserve"> and </w:t>
      </w:r>
      <w:r>
        <w:rPr>
          <w:kern w:val="0"/>
        </w:rPr>
        <w:t>sanitation is heavily biased against sanitation. Second, research on food security is biased in favour of conventional irrigation</w:t>
      </w:r>
      <w:r w:rsidR="00F81221">
        <w:rPr>
          <w:kern w:val="0"/>
        </w:rPr>
        <w:t xml:space="preserve"> and </w:t>
      </w:r>
      <w:r>
        <w:rPr>
          <w:kern w:val="0"/>
        </w:rPr>
        <w:t>fails to address the problems</w:t>
      </w:r>
      <w:r w:rsidR="00F81221">
        <w:rPr>
          <w:kern w:val="0"/>
        </w:rPr>
        <w:t xml:space="preserve"> and </w:t>
      </w:r>
      <w:r>
        <w:rPr>
          <w:kern w:val="0"/>
        </w:rPr>
        <w:t>opportunities of rainfed agriculture. Third, insufficient water research is dedicated to developmental compared to environmental issues. Fourth, too little research is conducted on adaptation to climate change by developing countries.</w:t>
      </w:r>
      <w:r w:rsidR="00F81221">
        <w:rPr>
          <w:kern w:val="0"/>
        </w:rPr>
        <w:t xml:space="preserve"> and </w:t>
      </w:r>
      <w:r>
        <w:rPr>
          <w:kern w:val="0"/>
        </w:rPr>
        <w:t>finally, research on water governance has a fascination for conflict but too little eye for cooperation</w:t>
      </w:r>
      <w:r w:rsidR="00F81221">
        <w:rPr>
          <w:kern w:val="0"/>
        </w:rPr>
        <w:t xml:space="preserve"> and </w:t>
      </w:r>
      <w:r>
        <w:rPr>
          <w:kern w:val="0"/>
        </w:rPr>
        <w:t>meeting basic needs. This paper illustrates these biases with bibliometric indicators extracted from the ISI Web of Science. There is a stark mismatch between the global demand for knowledge</w:t>
      </w:r>
      <w:r w:rsidR="00F81221">
        <w:rPr>
          <w:kern w:val="0"/>
        </w:rPr>
        <w:t xml:space="preserve"> and </w:t>
      </w:r>
      <w:r>
        <w:rPr>
          <w:kern w:val="0"/>
        </w:rPr>
        <w:t>the supply of it. This mismatch is identified here as a problem that we water scientists must confront</w:t>
      </w:r>
      <w:r w:rsidR="00F81221">
        <w:rPr>
          <w:kern w:val="0"/>
        </w:rPr>
        <w:t xml:space="preserve"> and </w:t>
      </w:r>
      <w:r>
        <w:rPr>
          <w:kern w:val="0"/>
        </w:rPr>
        <w:t>resolve. We still lack a full understanding why this divergence between demand</w:t>
      </w:r>
      <w:r w:rsidR="00F81221">
        <w:rPr>
          <w:kern w:val="0"/>
        </w:rPr>
        <w:t xml:space="preserve"> and </w:t>
      </w:r>
      <w:r>
        <w:rPr>
          <w:kern w:val="0"/>
        </w:rPr>
        <w:t>supply occurs</w:t>
      </w:r>
      <w:r w:rsidR="00F81221">
        <w:rPr>
          <w:kern w:val="0"/>
        </w:rPr>
        <w:t xml:space="preserve"> and </w:t>
      </w:r>
      <w:r>
        <w:rPr>
          <w:kern w:val="0"/>
        </w:rPr>
        <w:t>persists; an understanding that is required to guide us towards aligning our research priorities to societal demands. The paper, however, makes some inferences. On the one hand, we should promote the global South to create its own research biases</w:t>
      </w:r>
      <w:r w:rsidR="00F81221">
        <w:rPr>
          <w:kern w:val="0"/>
        </w:rPr>
        <w:t xml:space="preserve"> and </w:t>
      </w:r>
      <w:r>
        <w:rPr>
          <w:kern w:val="0"/>
        </w:rPr>
        <w:t>allow it to develop alternative solutions. Simultaneously we would benefit from critical examination of our own research practice. Although this paper addresses a critical challenge it does not aim to be exhaustive or definitive. We merely identify the persistence of intransigent water problems as a valid research object in itself.</w:t>
      </w:r>
    </w:p>
    <w:p w:rsidR="003C574E" w:rsidRDefault="003C574E" w:rsidP="003C574E">
      <w:pPr>
        <w:pStyle w:val="a0"/>
        <w:rPr>
          <w:kern w:val="0"/>
        </w:rPr>
      </w:pPr>
      <w:r>
        <w:rPr>
          <w:kern w:val="0"/>
        </w:rPr>
        <w:t>Keywords: Bibliometric Indicators, Biofuel, Indicators, Knowledge, Research, Science, Web of Science</w:t>
      </w:r>
    </w:p>
    <w:p w:rsidR="00B95188" w:rsidRPr="00A428C3" w:rsidRDefault="00B95188" w:rsidP="00B95188">
      <w:pPr>
        <w:pStyle w:val="1"/>
      </w:pPr>
      <w:r w:rsidRPr="00A428C3">
        <w:br w:type="page"/>
      </w:r>
      <w:bookmarkStart w:id="726" w:name="_Toc455569464"/>
      <w:bookmarkStart w:id="727" w:name="_Toc487190702"/>
      <w:bookmarkStart w:id="728" w:name="_Toc487882207"/>
      <w:bookmarkStart w:id="729" w:name="_Toc490688022"/>
      <w:bookmarkStart w:id="730" w:name="_Toc492807683"/>
      <w:bookmarkStart w:id="731" w:name="_Toc186647805"/>
      <w:bookmarkStart w:id="732" w:name="_Toc317161073"/>
      <w:r w:rsidRPr="00A428C3">
        <w:lastRenderedPageBreak/>
        <w:t>Title: Hydrometallurgy</w:t>
      </w:r>
      <w:bookmarkEnd w:id="726"/>
      <w:bookmarkEnd w:id="727"/>
      <w:bookmarkEnd w:id="728"/>
      <w:bookmarkEnd w:id="729"/>
      <w:bookmarkEnd w:id="730"/>
      <w:bookmarkEnd w:id="731"/>
      <w:bookmarkEnd w:id="732"/>
    </w:p>
    <w:p w:rsidR="00B95188" w:rsidRPr="00A428C3" w:rsidRDefault="00B95188" w:rsidP="00B72EF9">
      <w:pPr>
        <w:pStyle w:val="12"/>
      </w:pPr>
      <w:r w:rsidRPr="00A428C3">
        <w:t xml:space="preserve">Full Journal Title: </w:t>
      </w:r>
      <w:hyperlink r:id="rId712" w:history="1">
        <w:r w:rsidRPr="00A428C3">
          <w:rPr>
            <w:rStyle w:val="a5"/>
          </w:rPr>
          <w:t>Hydrometallurgy</w:t>
        </w:r>
      </w:hyperlink>
    </w:p>
    <w:p w:rsidR="00B95188" w:rsidRPr="00A428C3" w:rsidRDefault="00B95188" w:rsidP="00B72EF9">
      <w:pPr>
        <w:pStyle w:val="12"/>
      </w:pPr>
      <w:r w:rsidRPr="00A428C3">
        <w:t>ISO Abbreviated Title: Hydrometallurgy</w:t>
      </w:r>
    </w:p>
    <w:p w:rsidR="00B95188" w:rsidRPr="00A428C3" w:rsidRDefault="00B95188" w:rsidP="00B72EF9">
      <w:pPr>
        <w:pStyle w:val="12"/>
      </w:pPr>
      <w:r w:rsidRPr="00A428C3">
        <w:t>JCR Abbreviated Title: Hydrometallurgy</w:t>
      </w:r>
    </w:p>
    <w:p w:rsidR="00B95188" w:rsidRPr="00A428C3" w:rsidRDefault="00B95188" w:rsidP="00B72EF9">
      <w:pPr>
        <w:pStyle w:val="12"/>
      </w:pPr>
      <w:r w:rsidRPr="00A428C3">
        <w:t>ISSN: 0304-386X</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Metallurgy &amp; Metallurgical Engineering: Impact Factor 0.846, 10/65 (2000); Impact Factor 0.654, 19/67 (2001); Impact Factor 1.087, 11/69 (2002); Impact Factor 1.14, 10/72 (2003); Impact Factor 1.088, 12/71 (2004); Impact Factor 1.163, 12/67 (2005); Impact Factor 1.227, 9/65 (2006)</w:t>
      </w:r>
    </w:p>
    <w:p w:rsidR="00B95188" w:rsidRPr="00A428C3" w:rsidRDefault="00B95188" w:rsidP="00B95188">
      <w:pPr>
        <w:pStyle w:val="a0"/>
      </w:pPr>
      <w:r w:rsidRPr="00A428C3">
        <w:t>Saha, A.K., Shahani, M.J.</w:t>
      </w:r>
      <w:r w:rsidR="00F81221">
        <w:t xml:space="preserve"> and </w:t>
      </w:r>
      <w:r w:rsidRPr="00A428C3">
        <w:t xml:space="preserve">Altekar, V.A. (1977), Adsorption of cobalt by lignite. </w:t>
      </w:r>
      <w:r w:rsidRPr="00A428C3">
        <w:rPr>
          <w:i/>
          <w:iCs/>
        </w:rPr>
        <w:t>Hydrometallurgy</w:t>
      </w:r>
      <w:r w:rsidRPr="00A428C3">
        <w:t xml:space="preserve">, </w:t>
      </w:r>
      <w:r w:rsidRPr="00A428C3">
        <w:rPr>
          <w:b/>
        </w:rPr>
        <w:t>2</w:t>
      </w:r>
      <w:r w:rsidRPr="00A428C3">
        <w:t xml:space="preserve"> (3), 285-292.</w:t>
      </w:r>
    </w:p>
    <w:p w:rsidR="00B95188" w:rsidRPr="00A428C3" w:rsidRDefault="00B95188" w:rsidP="00B95188">
      <w:pPr>
        <w:pStyle w:val="a0"/>
      </w:pPr>
      <w:r w:rsidRPr="00A428C3">
        <w:t xml:space="preserve">Full Text: </w:t>
      </w:r>
      <w:hyperlink r:id="rId713" w:history="1">
        <w:r w:rsidRPr="00A428C3">
          <w:rPr>
            <w:rStyle w:val="a5"/>
          </w:rPr>
          <w:t>H\Hydrometallurgy2, 285.pdf</w:t>
        </w:r>
      </w:hyperlink>
    </w:p>
    <w:p w:rsidR="00B95188" w:rsidRPr="00A428C3" w:rsidRDefault="00B95188" w:rsidP="00B95188">
      <w:pPr>
        <w:pStyle w:val="a0"/>
      </w:pPr>
      <w:r w:rsidRPr="00A428C3">
        <w:t>Abstract: Studies similar to earlier ones which had established the feasibility of extracting nickel by the lignite adsorption route were conducted on the adsorption extraction of cobalt on lignite,</w:t>
      </w:r>
      <w:r w:rsidR="00F81221">
        <w:t xml:space="preserve"> and </w:t>
      </w:r>
      <w:r w:rsidRPr="00A428C3">
        <w:t>with equal success.</w:t>
      </w:r>
    </w:p>
    <w:p w:rsidR="00B95188" w:rsidRPr="00A428C3" w:rsidRDefault="00B95188" w:rsidP="00B95188">
      <w:pPr>
        <w:pStyle w:val="a0"/>
      </w:pPr>
      <w:r w:rsidRPr="00A428C3">
        <w:t>Optimal values of variables such as pH, sorbent/sorbate ratio, adsorbent particle size, contact time, temperature,</w:t>
      </w:r>
      <w:r w:rsidR="00F81221">
        <w:t xml:space="preserve"> and </w:t>
      </w:r>
      <w:r w:rsidRPr="00A428C3">
        <w:t>the effect of excess ammonium carbonate were evaluated.</w:t>
      </w:r>
    </w:p>
    <w:p w:rsidR="00B95188" w:rsidRPr="00A428C3" w:rsidRDefault="00B95188" w:rsidP="00B95188">
      <w:pPr>
        <w:pStyle w:val="a0"/>
      </w:pPr>
      <w:r w:rsidRPr="00A428C3">
        <w:t>The rate of adsorption of cobalt was found to be slower than that for nickel. However, the recovery of over 99% cobalt from ammoniacal carbonate solutions, at optimal conditions, was comparable to that for nickel.</w:t>
      </w:r>
    </w:p>
    <w:p w:rsidR="00B95188" w:rsidRPr="00A428C3" w:rsidRDefault="00B95188" w:rsidP="00B95188">
      <w:pPr>
        <w:pStyle w:val="a0"/>
      </w:pPr>
      <w:r w:rsidRPr="00A428C3">
        <w:t>The cobalt was recoverable as metal, by ignition of the loaded lignite, or in solution, by elution with sulfuric acid in single or multiple stages.</w:t>
      </w:r>
    </w:p>
    <w:p w:rsidR="00B95188" w:rsidRPr="00A428C3" w:rsidRDefault="00B95188" w:rsidP="00B95188">
      <w:pPr>
        <w:pStyle w:val="a0"/>
      </w:pPr>
      <w:r w:rsidRPr="00A428C3">
        <w:t>Barker, N.W.</w:t>
      </w:r>
      <w:r w:rsidR="00F81221">
        <w:t xml:space="preserve"> and </w:t>
      </w:r>
      <w:r w:rsidRPr="00A428C3">
        <w:t xml:space="preserve">Linge, H.G. (1981), Methylene-Blue dye adsorption on sulfide minerals: Relevance to surface-area measurement. </w:t>
      </w:r>
      <w:r w:rsidRPr="00A428C3">
        <w:rPr>
          <w:i/>
          <w:iCs/>
        </w:rPr>
        <w:t>Hydrometallurgy</w:t>
      </w:r>
      <w:r w:rsidRPr="00A428C3">
        <w:t xml:space="preserve">, </w:t>
      </w:r>
      <w:r w:rsidRPr="00A428C3">
        <w:rPr>
          <w:b/>
        </w:rPr>
        <w:t>6</w:t>
      </w:r>
      <w:r w:rsidRPr="00A428C3">
        <w:t xml:space="preserve"> (3-4), 311-326.</w:t>
      </w:r>
    </w:p>
    <w:p w:rsidR="00B95188" w:rsidRPr="00A428C3" w:rsidRDefault="00B95188" w:rsidP="00B95188">
      <w:pPr>
        <w:pStyle w:val="a0"/>
      </w:pPr>
      <w:r w:rsidRPr="00A428C3">
        <w:t xml:space="preserve">Full Text: </w:t>
      </w:r>
      <w:hyperlink r:id="rId714" w:history="1">
        <w:r w:rsidRPr="00A428C3">
          <w:rPr>
            <w:rStyle w:val="a5"/>
          </w:rPr>
          <w:t>H\Hydrometallurgy6, 311.pdf</w:t>
        </w:r>
      </w:hyperlink>
    </w:p>
    <w:p w:rsidR="00B95188" w:rsidRPr="00A428C3" w:rsidRDefault="00B95188" w:rsidP="00B95188">
      <w:pPr>
        <w:pStyle w:val="a0"/>
      </w:pPr>
      <w:r w:rsidRPr="00A428C3">
        <w:t>Abstract: Methylene blue dye adsorbs on chalcopyrite (CuFeS</w:t>
      </w:r>
      <w:r w:rsidRPr="00A428C3">
        <w:rPr>
          <w:vertAlign w:val="subscript"/>
        </w:rPr>
        <w:t>2</w:t>
      </w:r>
      <w:r w:rsidRPr="00A428C3">
        <w:t>) powder slurried in aqueous solution. The rate of adsorption is quite low,</w:t>
      </w:r>
      <w:r w:rsidR="00F81221">
        <w:t xml:space="preserve"> and </w:t>
      </w:r>
      <w:r w:rsidRPr="00A428C3">
        <w:t>at least two days of contact is required to reach a steady state. Adsorption isotherms rise sharply for dye equilibrium concentrations less than 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m"/>
        </w:smartTagPr>
        <w:r w:rsidRPr="00A428C3">
          <w:rPr>
            <w:vertAlign w:val="superscript"/>
          </w:rPr>
          <w:t>5</w:t>
        </w:r>
        <w:r w:rsidRPr="00A428C3">
          <w:t xml:space="preserve"> </w:t>
        </w:r>
        <w:r w:rsidRPr="00A428C3">
          <w:rPr>
            <w:i/>
            <w:iCs/>
          </w:rPr>
          <w:t>M</w:t>
        </w:r>
      </w:smartTag>
      <w:r w:rsidRPr="00A428C3">
        <w:t xml:space="preserve"> but an adsorption plateau is reached at </w:t>
      </w:r>
      <w:r w:rsidRPr="00A428C3">
        <w:lastRenderedPageBreak/>
        <w:t>higher solution concentrations (measured to 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4"/>
          <w:attr w:name="UnitName" w:val="m"/>
        </w:smartTagPr>
        <w:r w:rsidRPr="00A428C3">
          <w:rPr>
            <w:vertAlign w:val="superscript"/>
          </w:rPr>
          <w:t>4</w:t>
        </w:r>
        <w:r w:rsidRPr="00A428C3">
          <w:t xml:space="preserve"> </w:t>
        </w:r>
        <w:r w:rsidRPr="00A428C3">
          <w:rPr>
            <w:i/>
            <w:iCs/>
          </w:rPr>
          <w:t>M</w:t>
        </w:r>
      </w:smartTag>
      <w:r w:rsidRPr="00A428C3">
        <w:t xml:space="preserve">). These data can be fitted to a Langmuir isotherm. The saturation adsorption of the chalcopyrite samples is proportional to their BET surface area, with 2.18 ± 0.07 </w:t>
      </w:r>
      <w:r w:rsidRPr="00A428C3">
        <w:sym w:font="Symbol" w:char="F06D"/>
      </w:r>
      <w:r w:rsidRPr="00A428C3">
        <w:t>mol of dye being adsorbed per m</w:t>
      </w:r>
      <w:r w:rsidRPr="00A428C3">
        <w:rPr>
          <w:vertAlign w:val="superscript"/>
        </w:rPr>
        <w:t>2</w:t>
      </w:r>
      <w:r w:rsidRPr="00A428C3">
        <w:t xml:space="preserve"> of surface. This value is compatible with </w:t>
      </w:r>
      <w:r w:rsidR="000352E7">
        <w:t>“</w:t>
      </w:r>
      <w:r w:rsidRPr="00A428C3">
        <w:t>flat</w:t>
      </w:r>
      <w:r w:rsidR="000352E7">
        <w:t>”</w:t>
      </w:r>
      <w:r w:rsidRPr="00A428C3">
        <w:t xml:space="preserve"> physical adsorption of Methylene blue cations associated as dimers,</w:t>
      </w:r>
      <w:r w:rsidR="00F81221">
        <w:t xml:space="preserve"> and </w:t>
      </w:r>
      <w:r w:rsidRPr="00A428C3">
        <w:t>also gives good agreement with the surface area calculated from the average particle radius for several closely-sized chalcopyrite samples, using reasonable values for the surface roughness.</w:t>
      </w:r>
    </w:p>
    <w:p w:rsidR="00B95188" w:rsidRPr="00A428C3" w:rsidRDefault="00B95188" w:rsidP="00B95188">
      <w:pPr>
        <w:pStyle w:val="a0"/>
      </w:pPr>
      <w:r w:rsidRPr="00A428C3">
        <w:t xml:space="preserve">The same model applies to Methylene blue adsorption on chalcopyrites </w:t>
      </w:r>
      <w:r w:rsidRPr="00A428C3">
        <w:rPr>
          <w:i/>
          <w:iCs/>
        </w:rPr>
        <w:t>concentrates</w:t>
      </w:r>
      <w:r w:rsidR="00F81221">
        <w:t xml:space="preserve"> and </w:t>
      </w:r>
      <w:r w:rsidRPr="00A428C3">
        <w:t>on pure pyrite (FeS</w:t>
      </w:r>
      <w:r w:rsidRPr="00A428C3">
        <w:rPr>
          <w:vertAlign w:val="subscript"/>
        </w:rPr>
        <w:t>2</w:t>
      </w:r>
      <w:r w:rsidRPr="00A428C3">
        <w:t>) surfaces, but not to more reactive sulphide minerals such as galena (PbS)</w:t>
      </w:r>
      <w:r w:rsidR="00F81221">
        <w:t xml:space="preserve"> and </w:t>
      </w:r>
      <w:r w:rsidRPr="00A428C3">
        <w:t>bismuthinite (Bl</w:t>
      </w:r>
      <w:r w:rsidRPr="00A428C3">
        <w:rPr>
          <w:vertAlign w:val="subscript"/>
        </w:rPr>
        <w:t>2</w:t>
      </w:r>
      <w:r w:rsidRPr="00A428C3">
        <w:t>S</w:t>
      </w:r>
      <w:r w:rsidRPr="00A428C3">
        <w:rPr>
          <w:vertAlign w:val="subscript"/>
        </w:rPr>
        <w:t>3</w:t>
      </w:r>
      <w:r w:rsidRPr="00A428C3">
        <w:t>). For the latter sulphides, the dye surface coverage is lower than for chalcopyrite, unless chalcopyrite is also present in the sample, e.g. as in chalcopyrite concentrates. This difference has been interpreted using a galvanic mechanism.</w:t>
      </w:r>
    </w:p>
    <w:p w:rsidR="00B95188" w:rsidRPr="00A428C3" w:rsidRDefault="00B95188" w:rsidP="00B95188">
      <w:pPr>
        <w:pStyle w:val="a0"/>
      </w:pPr>
      <w:r w:rsidRPr="00A428C3">
        <w:t>Sato, T., Nakamura, T.</w:t>
      </w:r>
      <w:r w:rsidR="00F81221">
        <w:t xml:space="preserve"> and </w:t>
      </w:r>
      <w:r w:rsidRPr="00A428C3">
        <w:t xml:space="preserve">Ikeno, M. (1985), The extraction of iron(III) from aqueous acid-solutions by di(2-ethylhexyl)phosphoric acid. </w:t>
      </w:r>
      <w:r w:rsidRPr="00A428C3">
        <w:rPr>
          <w:i/>
        </w:rPr>
        <w:t>Hydrometallurgy</w:t>
      </w:r>
      <w:r w:rsidRPr="00A428C3">
        <w:t xml:space="preserve">, </w:t>
      </w:r>
      <w:r w:rsidRPr="00A428C3">
        <w:rPr>
          <w:b/>
        </w:rPr>
        <w:t>15</w:t>
      </w:r>
      <w:r w:rsidRPr="00A428C3">
        <w:t xml:space="preserve"> (2), 209-217.</w:t>
      </w:r>
    </w:p>
    <w:p w:rsidR="00B95188" w:rsidRPr="00A428C3" w:rsidRDefault="00B95188" w:rsidP="00B95188">
      <w:pPr>
        <w:pStyle w:val="a0"/>
      </w:pPr>
      <w:r w:rsidRPr="00A428C3">
        <w:t xml:space="preserve">Full Text: </w:t>
      </w:r>
      <w:hyperlink r:id="rId715" w:history="1">
        <w:r w:rsidRPr="00A428C3">
          <w:rPr>
            <w:rStyle w:val="a5"/>
          </w:rPr>
          <w:t>H\Hydrometallurgy15, 209.pdf</w:t>
        </w:r>
      </w:hyperlink>
    </w:p>
    <w:p w:rsidR="00B95188" w:rsidRPr="00A428C3" w:rsidRDefault="00B95188" w:rsidP="00B95188">
      <w:pPr>
        <w:pStyle w:val="a0"/>
      </w:pPr>
      <w:r w:rsidRPr="00A428C3">
        <w:t>Abstract: The extraction of iron(III) from aqueous solutions containing sulphuric, hydrochloric</w:t>
      </w:r>
      <w:r w:rsidR="00F81221">
        <w:t xml:space="preserve"> and </w:t>
      </w:r>
      <w:r w:rsidRPr="00A428C3">
        <w:t>nitric acids by di(2-ethylhexyl)phosphoric acid (DEHPA) in kerosene has been investigated under different conditions. As a result, it is found that although extraction is dominated by an ion-exchange reaction, the rate of iron(III) extraction from sulphuric acid solutions to reach equilibrium is relatively slow in comparison with that from hydrochloric or nitric acid solutions. In the extraction from aqueous solutions containing hydrochloric or nitric acid, however, the DEHPA combines with iron(III) according to the solvating reaction at higher aqueous acidity. From studies on the rate of the extraction from sulphuric acid solutions, examined under non-equilibrium, it is confirmed that dependencies of extraction rate on hydrogen ion</w:t>
      </w:r>
      <w:r w:rsidR="00F81221">
        <w:t xml:space="preserve"> and </w:t>
      </w:r>
      <w:r w:rsidRPr="00A428C3">
        <w:t>DEHPA concentrations are in the first</w:t>
      </w:r>
      <w:r w:rsidR="00F81221">
        <w:t xml:space="preserve"> and </w:t>
      </w:r>
      <w:r w:rsidRPr="00A428C3">
        <w:t>inverse first orders, respectively. The hydrolyzed species is considered to interpret the extraction mechanism in this system.</w:t>
      </w:r>
    </w:p>
    <w:p w:rsidR="00B95188" w:rsidRPr="00A428C3" w:rsidRDefault="00B95188" w:rsidP="00B95188">
      <w:pPr>
        <w:pStyle w:val="a0"/>
      </w:pPr>
      <w:r w:rsidRPr="00A428C3">
        <w:t>Li, Z., Fürst, W.</w:t>
      </w:r>
      <w:r w:rsidR="00F81221">
        <w:t xml:space="preserve"> and </w:t>
      </w:r>
      <w:r w:rsidRPr="00A428C3">
        <w:t xml:space="preserve">Renon, H. (1988), Chloride effect on the extraction rate of Cu with 2-hydroxy-5-nonylbenzophenone oxime. </w:t>
      </w:r>
      <w:r w:rsidRPr="00A428C3">
        <w:rPr>
          <w:i/>
        </w:rPr>
        <w:t>Hydrometallurgy</w:t>
      </w:r>
      <w:r w:rsidRPr="00A428C3">
        <w:t xml:space="preserve">, </w:t>
      </w:r>
      <w:r w:rsidRPr="00A428C3">
        <w:rPr>
          <w:b/>
        </w:rPr>
        <w:t>21</w:t>
      </w:r>
      <w:r w:rsidRPr="00A428C3">
        <w:t xml:space="preserve"> (2), 213-221.</w:t>
      </w:r>
    </w:p>
    <w:p w:rsidR="00B95188" w:rsidRPr="00A428C3" w:rsidRDefault="00B95188" w:rsidP="00B95188">
      <w:pPr>
        <w:pStyle w:val="a0"/>
      </w:pPr>
      <w:r w:rsidRPr="00A428C3">
        <w:t xml:space="preserve">Full Text: </w:t>
      </w:r>
      <w:hyperlink r:id="rId716" w:history="1">
        <w:r w:rsidRPr="00A428C3">
          <w:rPr>
            <w:rStyle w:val="a5"/>
          </w:rPr>
          <w:t>H\Hydrometallurgy21, 213.pdf</w:t>
        </w:r>
      </w:hyperlink>
    </w:p>
    <w:p w:rsidR="00B95188" w:rsidRPr="00A428C3" w:rsidRDefault="00B95188" w:rsidP="00B95188">
      <w:pPr>
        <w:pStyle w:val="a0"/>
      </w:pPr>
      <w:r w:rsidRPr="00A428C3">
        <w:t>Abstract: The influence of chloride concentration o</w:t>
      </w:r>
      <w:r>
        <w:t>n the extraction rate of copper</w:t>
      </w:r>
      <w:r w:rsidRPr="00A428C3">
        <w:t>(II) by LIX 65N HS diluted with ESCAID 100 has been determined experimentally. The extraction rate is maximum at an intermediate chloride concentration. Adopting an interfacial mechanism in which the formation of the complex CuR</w:t>
      </w:r>
      <w:r w:rsidRPr="00A428C3">
        <w:rPr>
          <w:vertAlign w:val="subscript"/>
        </w:rPr>
        <w:t>2</w:t>
      </w:r>
      <w:r w:rsidRPr="00A428C3">
        <w:t xml:space="preserve"> is the rate controlling step, this phenomenon may be explained assuming that both CuCl</w:t>
      </w:r>
      <w:r w:rsidRPr="00A428C3">
        <w:rPr>
          <w:vertAlign w:val="superscript"/>
        </w:rPr>
        <w:t>+</w:t>
      </w:r>
      <w:r w:rsidR="00F81221">
        <w:t xml:space="preserve"> and </w:t>
      </w:r>
      <w:r w:rsidRPr="00A428C3">
        <w:t>Cu</w:t>
      </w:r>
      <w:r w:rsidRPr="00A428C3">
        <w:rPr>
          <w:vertAlign w:val="superscript"/>
        </w:rPr>
        <w:t>2+</w:t>
      </w:r>
      <w:r w:rsidRPr="00A428C3">
        <w:t xml:space="preserve"> cupric ions are engaged in the extraction process. The thermodynamic model, </w:t>
      </w:r>
      <w:r w:rsidRPr="00A428C3">
        <w:lastRenderedPageBreak/>
        <w:t>the parameters of which were obtained independently from various equilibrium data, is applied to the evaluation of the concentrations of cupric chlorocomplexes</w:t>
      </w:r>
      <w:r w:rsidR="00F81221">
        <w:t xml:space="preserve"> and </w:t>
      </w:r>
      <w:r w:rsidRPr="00A428C3">
        <w:t>of their activity coefficients in the aqueous phase which are useful in obtaining kinetics in terms of activities.</w:t>
      </w:r>
    </w:p>
    <w:p w:rsidR="00B95188" w:rsidRPr="00A428C3" w:rsidRDefault="00B95188" w:rsidP="00B95188">
      <w:pPr>
        <w:pStyle w:val="a0"/>
      </w:pPr>
      <w:r w:rsidRPr="00A428C3">
        <w:t>Scharer, J.M.</w:t>
      </w:r>
      <w:r w:rsidR="00F81221">
        <w:t xml:space="preserve"> and </w:t>
      </w:r>
      <w:r w:rsidRPr="00A428C3">
        <w:t xml:space="preserve">Byerley, J.J. (1989), Aspects of uranium adsorption by microorganisms. </w:t>
      </w:r>
      <w:r w:rsidRPr="00A428C3">
        <w:rPr>
          <w:i/>
        </w:rPr>
        <w:t>Hydrometallurgy</w:t>
      </w:r>
      <w:r w:rsidRPr="00A428C3">
        <w:t xml:space="preserve">, </w:t>
      </w:r>
      <w:r w:rsidRPr="00A428C3">
        <w:rPr>
          <w:b/>
        </w:rPr>
        <w:t>21</w:t>
      </w:r>
      <w:r w:rsidRPr="00A428C3">
        <w:t xml:space="preserve"> (3), 319-329.</w:t>
      </w:r>
    </w:p>
    <w:p w:rsidR="00B95188" w:rsidRPr="00A428C3" w:rsidRDefault="00B95188" w:rsidP="00B95188">
      <w:pPr>
        <w:pStyle w:val="a0"/>
      </w:pPr>
      <w:r w:rsidRPr="00A428C3">
        <w:t xml:space="preserve">Full Text: </w:t>
      </w:r>
      <w:hyperlink r:id="rId717" w:history="1">
        <w:r w:rsidRPr="00A428C3">
          <w:rPr>
            <w:rStyle w:val="a5"/>
          </w:rPr>
          <w:t>H\Hydrometallurgy21, 319.pdf</w:t>
        </w:r>
      </w:hyperlink>
    </w:p>
    <w:p w:rsidR="00B95188" w:rsidRPr="00A428C3" w:rsidRDefault="00B95188" w:rsidP="00B95188">
      <w:pPr>
        <w:pStyle w:val="a0"/>
      </w:pPr>
      <w:r w:rsidRPr="00A428C3">
        <w:t>Abstract: The biosorption of uranium (VI) from process</w:t>
      </w:r>
      <w:r w:rsidR="00F81221">
        <w:t xml:space="preserve"> and </w:t>
      </w:r>
      <w:r w:rsidRPr="00A428C3">
        <w:t>synthetic solutions was investigated. Adsorption capacities in process solutions were substantially less than in synthetic solutions of similar uranium</w:t>
      </w:r>
      <w:r w:rsidR="00F81221">
        <w:t xml:space="preserve"> and </w:t>
      </w:r>
      <w:r w:rsidRPr="00A428C3">
        <w:t>sulphate content. Biosorption was particularly poor in solutions of low pH. The reduction of the biosorption capacity was attributed to the competition of the ferric ion for the adsorption sites. Only cationic species of iron competed successfully, while anionic s</w:t>
      </w:r>
      <w:r>
        <w:t>pecies such as hexacyanoferrate</w:t>
      </w:r>
      <w:r w:rsidRPr="00A428C3">
        <w:t>(III) were poorly adsorbed. Capsular polysaccharides extracted from plasmid transformed bacteria</w:t>
      </w:r>
      <w:r w:rsidR="00F81221">
        <w:t xml:space="preserve"> and </w:t>
      </w:r>
      <w:r w:rsidRPr="00A428C3">
        <w:t>algal alginate were observed to possess higher uranium sorption capacity than whole cells. The uranyl ion was believed to bind to the carboxylic residues of these biopolymers. Neither the biomass nor the polysaccharides displayed significant selectivity for uranium.</w:t>
      </w:r>
    </w:p>
    <w:p w:rsidR="00B95188" w:rsidRPr="00A428C3" w:rsidRDefault="00B95188" w:rsidP="00B95188">
      <w:pPr>
        <w:pStyle w:val="a0"/>
      </w:pPr>
      <w:r w:rsidRPr="00A428C3">
        <w:t>Yoshizuka, K., Sakomoto, Y., Baba, Y.</w:t>
      </w:r>
      <w:r w:rsidR="00F81221">
        <w:t xml:space="preserve"> and </w:t>
      </w:r>
      <w:r w:rsidRPr="00A428C3">
        <w:t>Inoue, K. (1996), Distribution equilibria in the adsorption of cobalt(II)</w:t>
      </w:r>
      <w:r w:rsidR="00F81221">
        <w:t xml:space="preserve"> and </w:t>
      </w:r>
      <w:r w:rsidRPr="00A428C3">
        <w:t>nickel(II) on Levextrel resin containing Cyanex 272</w:t>
      </w:r>
      <w:hyperlink r:id="rId718" w:history="1">
        <w:r w:rsidRPr="00A428C3">
          <w:rPr>
            <w:rStyle w:val="a5"/>
          </w:rPr>
          <w:t>H\Hydrometallurgy23, 309.pdf</w:t>
        </w:r>
      </w:hyperlink>
      <w:r w:rsidRPr="00A428C3">
        <w:t xml:space="preserve">. </w:t>
      </w:r>
      <w:r w:rsidRPr="00A428C3">
        <w:rPr>
          <w:i/>
        </w:rPr>
        <w:t>Hydrometallurgy</w:t>
      </w:r>
      <w:r w:rsidRPr="00A428C3">
        <w:t xml:space="preserve">, </w:t>
      </w:r>
      <w:r w:rsidRPr="00A428C3">
        <w:rPr>
          <w:b/>
        </w:rPr>
        <w:t>23</w:t>
      </w:r>
      <w:r w:rsidRPr="00A428C3">
        <w:t xml:space="preserve"> (2-3), 309-318.</w:t>
      </w:r>
    </w:p>
    <w:p w:rsidR="00B95188" w:rsidRPr="00A428C3" w:rsidRDefault="00B95188" w:rsidP="00B95188">
      <w:pPr>
        <w:pStyle w:val="a0"/>
      </w:pPr>
      <w:r w:rsidRPr="00A428C3">
        <w:t xml:space="preserve">Full Text: </w:t>
      </w:r>
    </w:p>
    <w:p w:rsidR="00B95188" w:rsidRPr="00A428C3" w:rsidRDefault="00B95188" w:rsidP="00B95188">
      <w:pPr>
        <w:pStyle w:val="a0"/>
      </w:pPr>
      <w:r w:rsidRPr="00A428C3">
        <w:t>Abstract: Equilibrium distributions of cobalt(II)</w:t>
      </w:r>
      <w:r w:rsidR="00F81221">
        <w:t xml:space="preserve"> and </w:t>
      </w:r>
      <w:r w:rsidRPr="00A428C3">
        <w:t>nickel(II) were measured in the adsorption on Levextrel resin containing Cyanex 272 as extractant from aqueous ammonium nitrate</w:t>
      </w:r>
      <w:r w:rsidR="00F81221">
        <w:t xml:space="preserve"> and </w:t>
      </w:r>
      <w:r w:rsidRPr="00A428C3">
        <w:t>sulfate solutions. It was inferred that the extractant in the resin behaves in the same manner as in the solvent extraction. The distribution data were analyzed quantitatively by taking account of the extraction reaction described below to evaluate the apparent equilibrium constants of the extraction reactions for each metal</w:t>
      </w:r>
      <w:r w:rsidR="00F81221">
        <w:t xml:space="preserve"> and </w:t>
      </w:r>
      <w:r w:rsidRPr="00A428C3">
        <w:t>each aqueous medium as well as the apparent stability constants of cobalt(II)-</w:t>
      </w:r>
      <w:r w:rsidR="00F81221">
        <w:t xml:space="preserve"> and </w:t>
      </w:r>
      <w:r w:rsidRPr="00A428C3">
        <w:t>nickel(II)-amine complexes.</w:t>
      </w:r>
    </w:p>
    <w:p w:rsidR="00B95188" w:rsidRPr="00A428C3" w:rsidRDefault="00B95188" w:rsidP="00B95188">
      <w:pPr>
        <w:pStyle w:val="a0"/>
      </w:pPr>
      <w:r>
        <w:rPr>
          <w:noProof/>
          <w:position w:val="-10"/>
        </w:rPr>
        <w:drawing>
          <wp:inline distT="0" distB="0" distL="0" distR="0">
            <wp:extent cx="2929255" cy="243205"/>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9" cstate="print"/>
                    <a:srcRect/>
                    <a:stretch>
                      <a:fillRect/>
                    </a:stretch>
                  </pic:blipFill>
                  <pic:spPr bwMode="auto">
                    <a:xfrm>
                      <a:off x="0" y="0"/>
                      <a:ext cx="2929255" cy="243205"/>
                    </a:xfrm>
                    <a:prstGeom prst="rect">
                      <a:avLst/>
                    </a:prstGeom>
                    <a:noFill/>
                    <a:ln w="9525">
                      <a:noFill/>
                      <a:miter lim="800000"/>
                      <a:headEnd/>
                      <a:tailEnd/>
                    </a:ln>
                  </pic:spPr>
                </pic:pic>
              </a:graphicData>
            </a:graphic>
          </wp:inline>
        </w:drawing>
      </w:r>
    </w:p>
    <w:p w:rsidR="00B95188" w:rsidRPr="00A428C3" w:rsidRDefault="00B95188" w:rsidP="00B95188">
      <w:pPr>
        <w:pStyle w:val="a0"/>
      </w:pPr>
      <w:r w:rsidRPr="00A428C3">
        <w:t xml:space="preserve">where </w:t>
      </w:r>
      <w:r w:rsidRPr="00A428C3">
        <w:rPr>
          <w:i/>
          <w:iCs/>
        </w:rPr>
        <w:t>x</w:t>
      </w:r>
      <w:r w:rsidRPr="00A428C3">
        <w:t>=0 for cobalt(II)</w:t>
      </w:r>
      <w:r w:rsidR="00F81221">
        <w:t xml:space="preserve"> and </w:t>
      </w:r>
      <w:r w:rsidRPr="00A428C3">
        <w:rPr>
          <w:i/>
          <w:iCs/>
        </w:rPr>
        <w:t>x</w:t>
      </w:r>
      <w:r w:rsidRPr="00A428C3">
        <w:t>=1 for nickel(II).</w:t>
      </w:r>
    </w:p>
    <w:p w:rsidR="00B95188" w:rsidRPr="00A428C3" w:rsidRDefault="00B95188" w:rsidP="00B95188">
      <w:pPr>
        <w:pStyle w:val="a0"/>
      </w:pPr>
      <w:r w:rsidRPr="00A428C3">
        <w:t>Cobalt(II) is more selectively adsorbed over nickel(II) from sulfate media than from nitrate media though the adsorption itself is suppressed by sulfate anion owing to the formation of metal-sulfato complexes.</w:t>
      </w:r>
    </w:p>
    <w:p w:rsidR="00B95188" w:rsidRPr="00A428C3" w:rsidRDefault="00B95188" w:rsidP="00B95188">
      <w:pPr>
        <w:pStyle w:val="a0"/>
      </w:pPr>
      <w:r w:rsidRPr="00A428C3">
        <w:t>Awadalla, F.T.</w:t>
      </w:r>
      <w:r w:rsidR="00F81221">
        <w:t xml:space="preserve"> and </w:t>
      </w:r>
      <w:r w:rsidRPr="00A428C3">
        <w:t>Pesic, B. (1992), Biosorption of cobalt with the AMT</w:t>
      </w:r>
      <w:r w:rsidRPr="00A428C3">
        <w:rPr>
          <w:vertAlign w:val="superscript"/>
        </w:rPr>
        <w:t>TM</w:t>
      </w:r>
      <w:r w:rsidRPr="00A428C3">
        <w:t xml:space="preserve"> metal removing agent. </w:t>
      </w:r>
      <w:r w:rsidRPr="00A428C3">
        <w:rPr>
          <w:i/>
        </w:rPr>
        <w:t>Hydrometallurgy</w:t>
      </w:r>
      <w:r w:rsidRPr="00A428C3">
        <w:t xml:space="preserve">, </w:t>
      </w:r>
      <w:r w:rsidRPr="00A428C3">
        <w:rPr>
          <w:b/>
        </w:rPr>
        <w:t>28</w:t>
      </w:r>
      <w:r w:rsidRPr="00A428C3">
        <w:t xml:space="preserve"> (1), 65-80.</w:t>
      </w:r>
    </w:p>
    <w:p w:rsidR="00B95188" w:rsidRPr="00A428C3" w:rsidRDefault="00B95188" w:rsidP="00B95188">
      <w:pPr>
        <w:pStyle w:val="a0"/>
      </w:pPr>
      <w:r w:rsidRPr="00A428C3">
        <w:t xml:space="preserve">Full Text: </w:t>
      </w:r>
      <w:hyperlink r:id="rId720" w:history="1">
        <w:r w:rsidRPr="00A428C3">
          <w:rPr>
            <w:rStyle w:val="a5"/>
          </w:rPr>
          <w:t>H\Hydrometallurgy28, 65.pdf</w:t>
        </w:r>
      </w:hyperlink>
    </w:p>
    <w:p w:rsidR="00B95188" w:rsidRPr="00A428C3" w:rsidRDefault="00B95188" w:rsidP="00B95188">
      <w:pPr>
        <w:pStyle w:val="a0"/>
      </w:pPr>
      <w:r w:rsidRPr="00A428C3">
        <w:lastRenderedPageBreak/>
        <w:t>Abstract: The biosorption of cobalt from aqueous solutions was studied by using the novel metal removing agent (MRA) produced by Advanced Minerals Technologies. The parameters studied were the loading capacity of MRA as affected by the initial pH, cobalt concentration</w:t>
      </w:r>
      <w:r w:rsidR="00F81221">
        <w:t xml:space="preserve"> and </w:t>
      </w:r>
      <w:r w:rsidRPr="00A428C3">
        <w:t>the presence of certain cations</w:t>
      </w:r>
      <w:r w:rsidR="00F81221">
        <w:t xml:space="preserve"> and </w:t>
      </w:r>
      <w:r w:rsidRPr="00A428C3">
        <w:t>anions. The effect of temperature was also examined. With the particular batch of the MRA, it was found that the loading capacity for cobalt was about 35 mg/g. The cobalt uptake was a function of pH,</w:t>
      </w:r>
      <w:r w:rsidR="00F81221">
        <w:t xml:space="preserve"> and </w:t>
      </w:r>
      <w:r w:rsidRPr="00A428C3">
        <w:t>it was lower at lower pH values. Sorption kinetics showed that the sequestering of cobalt by this material was quite fast under ambient conditions. Desorption of cobalt from loaded MRA could be performed by dilute acids e.g. 0.1 N HCl in a very short period of time. The desorbed MRA could be recycled only after regeneration with alkali, for example, 0.5 N NaOH. A detailed mechanism of cobalt biosorption is also proposed.</w:t>
      </w:r>
    </w:p>
    <w:p w:rsidR="00B95188" w:rsidRPr="00A428C3" w:rsidRDefault="00B95188" w:rsidP="00B95188">
      <w:pPr>
        <w:pStyle w:val="a0"/>
      </w:pPr>
      <w:r w:rsidRPr="00A428C3">
        <w:t>Adams, M.D., Friedl, J.</w:t>
      </w:r>
      <w:r w:rsidR="00F81221">
        <w:t xml:space="preserve"> and </w:t>
      </w:r>
      <w:r w:rsidRPr="00A428C3">
        <w:t xml:space="preserve">Wagner, F.E. (1995), The mechanism of adsorption of aurocyanide on to activated carbon, 2. Thermal stability of the adsorbed species. </w:t>
      </w:r>
      <w:r w:rsidRPr="00A428C3">
        <w:rPr>
          <w:i/>
        </w:rPr>
        <w:t>Hydrometallurgy</w:t>
      </w:r>
      <w:r w:rsidRPr="00A428C3">
        <w:t xml:space="preserve">, </w:t>
      </w:r>
      <w:r w:rsidRPr="00A428C3">
        <w:rPr>
          <w:b/>
        </w:rPr>
        <w:t>37</w:t>
      </w:r>
      <w:r w:rsidRPr="00A428C3">
        <w:t xml:space="preserve"> (1), 33-45.</w:t>
      </w:r>
    </w:p>
    <w:p w:rsidR="00B95188" w:rsidRPr="00A428C3" w:rsidRDefault="00B95188" w:rsidP="00B95188">
      <w:pPr>
        <w:pStyle w:val="a0"/>
      </w:pPr>
      <w:r w:rsidRPr="00A428C3">
        <w:t xml:space="preserve">Full Text: </w:t>
      </w:r>
      <w:hyperlink r:id="rId721" w:history="1">
        <w:r w:rsidRPr="00A428C3">
          <w:rPr>
            <w:rStyle w:val="a5"/>
          </w:rPr>
          <w:t>H\Hydrometallurgy37, 33.pdf</w:t>
        </w:r>
      </w:hyperlink>
    </w:p>
    <w:p w:rsidR="00B95188" w:rsidRPr="00A428C3" w:rsidRDefault="00B95188" w:rsidP="00B95188">
      <w:pPr>
        <w:pStyle w:val="a0"/>
      </w:pPr>
      <w:r w:rsidRPr="00A428C3">
        <w:t>Abstract: Aurocyanide adsorbed on to activated carbon from neutral</w:t>
      </w:r>
      <w:r w:rsidR="00F81221">
        <w:t xml:space="preserve"> and </w:t>
      </w:r>
      <w:r w:rsidRPr="00A428C3">
        <w:t xml:space="preserve">alkaline solutions is found to remain relatively stable at temperatures up to about </w:t>
      </w:r>
      <w:smartTag w:uri="urn:schemas-microsoft-com:office:smarttags" w:element="chmetcnv">
        <w:smartTagPr>
          <w:attr w:name="TCSC" w:val="0"/>
          <w:attr w:name="NumberType" w:val="1"/>
          <w:attr w:name="Negative" w:val="False"/>
          <w:attr w:name="HasSpace" w:val="False"/>
          <w:attr w:name="SourceValue" w:val="240"/>
          <w:attr w:name="UnitName" w:val="ﾰC"/>
        </w:smartTagPr>
        <w:r w:rsidRPr="00A428C3">
          <w:t>240°C</w:t>
        </w:r>
      </w:smartTag>
      <w:r w:rsidRPr="00A428C3">
        <w:t>, as concluded from the results of elemental analyses, scanning electron microscopy, X-ray diffractometry</w:t>
      </w:r>
      <w:r w:rsidR="00F81221">
        <w:t xml:space="preserve"> and </w:t>
      </w:r>
      <w:r w:rsidRPr="00A428C3">
        <w:t>Mössbauer spectroscopic measurements. At higher temperatures the aurocyanide is reduced to the metal, with evolution of gaseous HCN. Aurocyanide loaded under acidic conditions decomposes at lower temperatures. The formation of AuCN-type species, presumably short Au</w:t>
      </w:r>
      <w:r w:rsidRPr="00A428C3">
        <w:rPr>
          <w:i/>
          <w:iCs/>
          <w:vertAlign w:val="subscript"/>
        </w:rPr>
        <w:t>x</w:t>
      </w:r>
      <w:r w:rsidRPr="00A428C3">
        <w:t>(CN)</w:t>
      </w:r>
      <w:r w:rsidRPr="00A428C3">
        <w:rPr>
          <w:i/>
          <w:iCs/>
          <w:vertAlign w:val="subscript"/>
        </w:rPr>
        <w:t>x</w:t>
      </w:r>
      <w:r w:rsidRPr="00A428C3">
        <w:rPr>
          <w:vertAlign w:val="subscript"/>
        </w:rPr>
        <w:t xml:space="preserve"> + 1</w:t>
      </w:r>
      <w:r w:rsidRPr="00A428C3">
        <w:rPr>
          <w:vertAlign w:val="superscript"/>
        </w:rPr>
        <w:t>−</w:t>
      </w:r>
      <w:r w:rsidRPr="00A428C3">
        <w:t xml:space="preserve"> oligomers, has been observed on samples loaded from neutral solutions</w:t>
      </w:r>
      <w:r w:rsidR="00F81221">
        <w:t xml:space="preserve"> and </w:t>
      </w:r>
      <w:r w:rsidRPr="00A428C3">
        <w:t xml:space="preserve">then heated to </w:t>
      </w:r>
      <w:smartTag w:uri="urn:schemas-microsoft-com:office:smarttags" w:element="chmetcnv">
        <w:smartTagPr>
          <w:attr w:name="TCSC" w:val="0"/>
          <w:attr w:name="NumberType" w:val="1"/>
          <w:attr w:name="Negative" w:val="False"/>
          <w:attr w:name="HasSpace" w:val="False"/>
          <w:attr w:name="SourceValue" w:val="240"/>
          <w:attr w:name="UnitName" w:val="ﾰC"/>
        </w:smartTagPr>
        <w:r w:rsidRPr="00A428C3">
          <w:t>240°C</w:t>
        </w:r>
      </w:smartTag>
      <w:r w:rsidRPr="00A428C3">
        <w:t xml:space="preserve"> or higher.</w:t>
      </w:r>
    </w:p>
    <w:p w:rsidR="00B95188" w:rsidRPr="00A428C3" w:rsidRDefault="00B95188" w:rsidP="00B95188">
      <w:pPr>
        <w:pStyle w:val="a0"/>
      </w:pPr>
      <w:r w:rsidRPr="00A428C3">
        <w:t>Mishra, S.P.</w:t>
      </w:r>
      <w:r w:rsidR="00F81221">
        <w:t xml:space="preserve"> and </w:t>
      </w:r>
      <w:r w:rsidRPr="00A428C3">
        <w:t>Chaudhury, G.R. (1996), Kinetics of Zn</w:t>
      </w:r>
      <w:r w:rsidRPr="00A428C3">
        <w:rPr>
          <w:vertAlign w:val="superscript"/>
        </w:rPr>
        <w:t>2+</w:t>
      </w:r>
      <w:r w:rsidRPr="00A428C3">
        <w:t xml:space="preserve"> adsorption by </w:t>
      </w:r>
      <w:r w:rsidRPr="00A428C3">
        <w:rPr>
          <w:i/>
        </w:rPr>
        <w:t>Penicillium</w:t>
      </w:r>
      <w:r w:rsidRPr="00A428C3">
        <w:t xml:space="preserve"> Sp. </w:t>
      </w:r>
      <w:r w:rsidRPr="00A428C3">
        <w:rPr>
          <w:i/>
        </w:rPr>
        <w:t>Hydrometallurgy</w:t>
      </w:r>
      <w:r w:rsidRPr="00A428C3">
        <w:t xml:space="preserve">, </w:t>
      </w:r>
      <w:r w:rsidRPr="00A428C3">
        <w:rPr>
          <w:b/>
        </w:rPr>
        <w:t>40</w:t>
      </w:r>
      <w:r w:rsidRPr="00A428C3">
        <w:t xml:space="preserve"> (1-2), 11-23.</w:t>
      </w:r>
    </w:p>
    <w:p w:rsidR="00B95188" w:rsidRPr="00A428C3" w:rsidRDefault="00B95188" w:rsidP="00B95188">
      <w:pPr>
        <w:pStyle w:val="a0"/>
      </w:pPr>
      <w:r w:rsidRPr="00A428C3">
        <w:t xml:space="preserve">Full Text: </w:t>
      </w:r>
      <w:hyperlink r:id="rId722" w:history="1">
        <w:r w:rsidRPr="00A428C3">
          <w:rPr>
            <w:rStyle w:val="a5"/>
          </w:rPr>
          <w:t>H\Hydrometallurgy40, 11.pdf</w:t>
        </w:r>
      </w:hyperlink>
    </w:p>
    <w:p w:rsidR="00B95188" w:rsidRPr="00A428C3" w:rsidRDefault="00B95188" w:rsidP="00B95188">
      <w:pPr>
        <w:pStyle w:val="a0"/>
      </w:pPr>
      <w:r w:rsidRPr="00A428C3">
        <w:t>Abstract: Zn</w:t>
      </w:r>
      <w:r w:rsidRPr="00A428C3">
        <w:rPr>
          <w:vertAlign w:val="superscript"/>
        </w:rPr>
        <w:t>2+</w:t>
      </w:r>
      <w:r w:rsidRPr="00A428C3">
        <w:t xml:space="preserve"> ion adsorption studies were carried out using a biomass of </w:t>
      </w:r>
      <w:r w:rsidRPr="00A428C3">
        <w:rPr>
          <w:i/>
        </w:rPr>
        <w:t>Penicillium</w:t>
      </w:r>
      <w:r w:rsidRPr="00A428C3">
        <w:t xml:space="preserve"> sp. The percentage adsorption increased with increasing pH</w:t>
      </w:r>
      <w:r w:rsidR="00F81221">
        <w:t xml:space="preserve"> and </w:t>
      </w:r>
      <w:r w:rsidRPr="00A428C3">
        <w:t>the amount of biomass</w:t>
      </w:r>
      <w:r w:rsidR="00F81221">
        <w:t xml:space="preserve"> and </w:t>
      </w:r>
      <w:r w:rsidRPr="00A428C3">
        <w:t>showed a reverse trend with temperature</w:t>
      </w:r>
      <w:r w:rsidR="00F81221">
        <w:t xml:space="preserve"> and </w:t>
      </w:r>
      <w:r w:rsidRPr="00A428C3">
        <w:t>initial Zn</w:t>
      </w:r>
      <w:r w:rsidRPr="00A428C3">
        <w:rPr>
          <w:vertAlign w:val="superscript"/>
        </w:rPr>
        <w:t>2+</w:t>
      </w:r>
      <w:r w:rsidRPr="00A428C3">
        <w:t xml:space="preserve"> concentration. The adsorption kinetics were initially fast then slow. The initial faster rate corresponds to around 70% of the total adsorption. The activation energy was found to be 8.4 kJ/mol, which corresponds to a diffusion-controlled mechanism.</w:t>
      </w:r>
    </w:p>
    <w:p w:rsidR="00B95188" w:rsidRPr="00A428C3" w:rsidRDefault="00B95188" w:rsidP="00B95188">
      <w:pPr>
        <w:pStyle w:val="a0"/>
      </w:pPr>
      <w:r w:rsidRPr="00A428C3">
        <w:t>Ubaldini, S., Piga, L., Fornari, P.</w:t>
      </w:r>
      <w:r w:rsidR="00F81221">
        <w:t xml:space="preserve"> and </w:t>
      </w:r>
      <w:r w:rsidRPr="00A428C3">
        <w:t xml:space="preserve">Massidda, R. (1996), Removal of iron from quartz sands: A study by column leaching using a complete factorial design. </w:t>
      </w:r>
      <w:r w:rsidRPr="00A428C3">
        <w:rPr>
          <w:i/>
          <w:iCs/>
        </w:rPr>
        <w:t>Hydrometallurgy</w:t>
      </w:r>
      <w:r w:rsidRPr="00A428C3">
        <w:t xml:space="preserve">, </w:t>
      </w:r>
      <w:r w:rsidRPr="00A428C3">
        <w:rPr>
          <w:b/>
        </w:rPr>
        <w:t>40</w:t>
      </w:r>
      <w:r w:rsidRPr="00A428C3">
        <w:t xml:space="preserve"> (3), 369-379.</w:t>
      </w:r>
    </w:p>
    <w:p w:rsidR="00B95188" w:rsidRPr="00A428C3" w:rsidRDefault="00B95188" w:rsidP="00B95188">
      <w:pPr>
        <w:pStyle w:val="a0"/>
      </w:pPr>
      <w:r w:rsidRPr="00A428C3">
        <w:t xml:space="preserve">Full Text: </w:t>
      </w:r>
      <w:hyperlink r:id="rId723" w:history="1">
        <w:r w:rsidRPr="00A428C3">
          <w:rPr>
            <w:rStyle w:val="a5"/>
          </w:rPr>
          <w:t>H\Hydrometallurgy40, 369.pdf</w:t>
        </w:r>
      </w:hyperlink>
    </w:p>
    <w:p w:rsidR="00B95188" w:rsidRPr="00A428C3" w:rsidRDefault="00B95188" w:rsidP="00B95188">
      <w:pPr>
        <w:pStyle w:val="a0"/>
      </w:pPr>
      <w:r w:rsidRPr="00A428C3">
        <w:t xml:space="preserve">Abstract: The aim of the work was to decrease the iron content of ferrous quartz sands </w:t>
      </w:r>
      <w:r w:rsidRPr="00A428C3">
        <w:lastRenderedPageBreak/>
        <w:t>by fixed-bed column leaching with recycling of the leaching solutions in order to attain a product suitable for industrial use. Dissolution of iron was achieved by treating the sands in an acid medium with a reducing agent (oxalic acid) to convert Fe-III into Fe-II. The factors assumed to affect dissolution of iron, Such as temperature, oxalic acid concentration, pH</w:t>
      </w:r>
      <w:r w:rsidR="00F81221">
        <w:t xml:space="preserve"> and </w:t>
      </w:r>
      <w:r w:rsidRPr="00A428C3">
        <w:t>flow-rate, were studied with a 2(4) full factorial design in order to assess the main effects</w:t>
      </w:r>
      <w:r w:rsidR="00F81221">
        <w:t xml:space="preserve"> and </w:t>
      </w:r>
      <w:r w:rsidRPr="00A428C3">
        <w:t>the interactions among the factors. Removal of 46.1% iron gives a product containing 0.0163% Fe2O3 which is fit for industrial applications.</w:t>
      </w:r>
    </w:p>
    <w:p w:rsidR="00B95188" w:rsidRPr="00A428C3" w:rsidRDefault="00B95188" w:rsidP="00B95188">
      <w:pPr>
        <w:pStyle w:val="a0"/>
      </w:pPr>
      <w:r w:rsidRPr="00A428C3">
        <w:t>Keywords: Acids, Column, Factorial Design, Fixed Bed, Fixed Bed Column, Fixed-Bed, Fixed-Bed Column, Flow Rate, Magnetite, Oxides, Reductive Dissolution</w:t>
      </w:r>
    </w:p>
    <w:p w:rsidR="00B95188" w:rsidRPr="00A428C3" w:rsidRDefault="00B95188" w:rsidP="00B95188">
      <w:pPr>
        <w:pStyle w:val="a0"/>
      </w:pPr>
      <w:r w:rsidRPr="00A428C3">
        <w:t>Gudorf, M., Lazarova, Z.</w:t>
      </w:r>
      <w:r w:rsidR="00F81221">
        <w:t xml:space="preserve"> and </w:t>
      </w:r>
      <w:r w:rsidRPr="00A428C3">
        <w:t xml:space="preserve">Schügerl, K. (1996), Removal of tin from metal-containing industrial dusts. </w:t>
      </w:r>
      <w:r w:rsidRPr="00A428C3">
        <w:rPr>
          <w:i/>
        </w:rPr>
        <w:t>Hydrometallurgy</w:t>
      </w:r>
      <w:r w:rsidRPr="00A428C3">
        <w:t xml:space="preserve">, </w:t>
      </w:r>
      <w:r w:rsidRPr="00A428C3">
        <w:rPr>
          <w:b/>
        </w:rPr>
        <w:t>42</w:t>
      </w:r>
      <w:r w:rsidRPr="00A428C3">
        <w:t xml:space="preserve"> (1), 125-130.</w:t>
      </w:r>
    </w:p>
    <w:p w:rsidR="00B95188" w:rsidRPr="00A428C3" w:rsidRDefault="00B95188" w:rsidP="00B95188">
      <w:pPr>
        <w:pStyle w:val="a0"/>
      </w:pPr>
      <w:r w:rsidRPr="00A428C3">
        <w:t xml:space="preserve">Full Text: </w:t>
      </w:r>
      <w:hyperlink r:id="rId724" w:history="1">
        <w:r w:rsidRPr="00A428C3">
          <w:rPr>
            <w:rStyle w:val="a5"/>
          </w:rPr>
          <w:t>H\Hydrometallurgy42, 125.pdf</w:t>
        </w:r>
      </w:hyperlink>
    </w:p>
    <w:p w:rsidR="00B95188" w:rsidRPr="00A428C3" w:rsidRDefault="00B95188" w:rsidP="00B95188">
      <w:pPr>
        <w:pStyle w:val="a0"/>
        <w:rPr>
          <w:rFonts w:eastAsia="Arial Unicode MS"/>
        </w:rPr>
      </w:pPr>
      <w:r w:rsidRPr="00A428C3">
        <w:t>Abstract: The separation of tin</w:t>
      </w:r>
      <w:r w:rsidR="00F81221">
        <w:t xml:space="preserve"> and </w:t>
      </w:r>
      <w:r w:rsidRPr="00A428C3">
        <w:t>other base metals from low-grade metal-containing industrial dusts was investigated using hydrometallurgical operations. Selective leaching of tin could be obtained with oxalic acid solution. Recovery of Sn, Zn, Cu, Pb</w:t>
      </w:r>
      <w:r w:rsidR="00F81221">
        <w:t xml:space="preserve"> and </w:t>
      </w:r>
      <w:r w:rsidRPr="00A428C3">
        <w:t>Fe from the leach liquor was investigated by solvent extraction with several commercial reagents. (C) 1996 Elsevier Science B.V. All rights reserved.</w:t>
      </w:r>
    </w:p>
    <w:p w:rsidR="00B95188" w:rsidRPr="00A428C3" w:rsidRDefault="00B95188" w:rsidP="00B95188">
      <w:pPr>
        <w:pStyle w:val="a0"/>
      </w:pPr>
      <w:r w:rsidRPr="00A428C3">
        <w:t>Alguacil, F.J.</w:t>
      </w:r>
      <w:r w:rsidR="00F81221">
        <w:t xml:space="preserve"> and </w:t>
      </w:r>
      <w:r w:rsidRPr="00A428C3">
        <w:t xml:space="preserve">López, F.A. (1996), The extraction of mineral acids by the phosphine oxide cyanex-923. </w:t>
      </w:r>
      <w:r w:rsidRPr="00A428C3">
        <w:rPr>
          <w:i/>
        </w:rPr>
        <w:t>Hydrometallurgy</w:t>
      </w:r>
      <w:r w:rsidRPr="00A428C3">
        <w:t xml:space="preserve">, </w:t>
      </w:r>
      <w:r w:rsidRPr="00A428C3">
        <w:rPr>
          <w:b/>
        </w:rPr>
        <w:t>42</w:t>
      </w:r>
      <w:r w:rsidRPr="00A428C3">
        <w:t xml:space="preserve"> (2), 245-255.</w:t>
      </w:r>
    </w:p>
    <w:p w:rsidR="00B95188" w:rsidRPr="00A428C3" w:rsidRDefault="00B95188" w:rsidP="00B95188">
      <w:pPr>
        <w:pStyle w:val="a0"/>
      </w:pPr>
      <w:r w:rsidRPr="00A428C3">
        <w:t xml:space="preserve">Full Text: </w:t>
      </w:r>
      <w:hyperlink r:id="rId725" w:history="1">
        <w:r w:rsidRPr="00A428C3">
          <w:rPr>
            <w:rStyle w:val="a5"/>
          </w:rPr>
          <w:t>H\Hydrometallurgy42, 245.pdf</w:t>
        </w:r>
      </w:hyperlink>
    </w:p>
    <w:p w:rsidR="00B95188" w:rsidRPr="00A428C3" w:rsidRDefault="00B95188" w:rsidP="00B95188">
      <w:pPr>
        <w:pStyle w:val="a0"/>
      </w:pPr>
      <w:r w:rsidRPr="00A428C3">
        <w:t>Abstract: The distribution equilibria of mineral acids: H</w:t>
      </w:r>
      <w:r w:rsidRPr="00A428C3">
        <w:rPr>
          <w:vertAlign w:val="subscript"/>
        </w:rPr>
        <w:t>2</w:t>
      </w:r>
      <w:r w:rsidRPr="00A428C3">
        <w:t>SO</w:t>
      </w:r>
      <w:r w:rsidRPr="00A428C3">
        <w:rPr>
          <w:vertAlign w:val="subscript"/>
        </w:rPr>
        <w:t>4</w:t>
      </w:r>
      <w:r w:rsidRPr="00A428C3">
        <w:t>, H</w:t>
      </w:r>
      <w:r w:rsidRPr="00A428C3">
        <w:rPr>
          <w:vertAlign w:val="subscript"/>
        </w:rPr>
        <w:t>3</w:t>
      </w:r>
      <w:r w:rsidRPr="00A428C3">
        <w:t>PO</w:t>
      </w:r>
      <w:r w:rsidRPr="00A428C3">
        <w:rPr>
          <w:vertAlign w:val="subscript"/>
        </w:rPr>
        <w:t>4</w:t>
      </w:r>
      <w:r w:rsidRPr="00A428C3">
        <w:t>, HCl, HClO</w:t>
      </w:r>
      <w:r w:rsidRPr="00A428C3">
        <w:rPr>
          <w:vertAlign w:val="subscript"/>
        </w:rPr>
        <w:t>4</w:t>
      </w:r>
      <w:r w:rsidR="00F81221">
        <w:t xml:space="preserve"> and </w:t>
      </w:r>
      <w:r w:rsidRPr="00A428C3">
        <w:t>HNO</w:t>
      </w:r>
      <w:r w:rsidRPr="00A428C3">
        <w:rPr>
          <w:vertAlign w:val="subscript"/>
        </w:rPr>
        <w:t>3</w:t>
      </w:r>
      <w:r w:rsidRPr="00A428C3">
        <w:t xml:space="preserve"> between aqueous solutions</w:t>
      </w:r>
      <w:r w:rsidR="00F81221">
        <w:t xml:space="preserve"> and </w:t>
      </w:r>
      <w:r w:rsidRPr="00A428C3">
        <w:t xml:space="preserve">organic solutions of the phosphine oxide Cyanex </w:t>
      </w:r>
      <w:smartTag w:uri="urn:schemas-microsoft-com:office:smarttags" w:element="chmetcnv">
        <w:smartTagPr>
          <w:attr w:name="TCSC" w:val="0"/>
          <w:attr w:name="NumberType" w:val="1"/>
          <w:attr w:name="Negative" w:val="False"/>
          <w:attr w:name="HasSpace" w:val="True"/>
          <w:attr w:name="SourceValue" w:val="923"/>
          <w:attr w:name="UnitName" w:val="in"/>
        </w:smartTagPr>
        <w:r w:rsidRPr="00A428C3">
          <w:t>923 in</w:t>
        </w:r>
      </w:smartTag>
      <w:r w:rsidRPr="00A428C3">
        <w:t xml:space="preserve"> toluene or decane are described. Partition studies have shown that the organic diluent only slightly influences the acid extraction. The extraction mechanism can be related to the solvation of the acid</w:t>
      </w:r>
      <w:r w:rsidR="00F81221">
        <w:t xml:space="preserve"> and </w:t>
      </w:r>
      <w:r w:rsidRPr="00A428C3">
        <w:t>formation of the L. H</w:t>
      </w:r>
      <w:r w:rsidRPr="00A428C3">
        <w:rPr>
          <w:vertAlign w:val="subscript"/>
        </w:rPr>
        <w:t>m</w:t>
      </w:r>
      <w:r w:rsidRPr="00A428C3">
        <w:rPr>
          <w:vertAlign w:val="superscript"/>
        </w:rPr>
        <w:t>+</w:t>
      </w:r>
      <w:r w:rsidRPr="00A428C3">
        <w:t>X</w:t>
      </w:r>
      <w:r w:rsidRPr="00A428C3">
        <w:rPr>
          <w:vertAlign w:val="superscript"/>
        </w:rPr>
        <w:t>m-</w:t>
      </w:r>
      <w:r w:rsidRPr="00A428C3">
        <w:t>(m = 1, 2, or 3) species in the organic phase, where L is the extractant: only in the case of initial high HNO</w:t>
      </w:r>
      <w:r w:rsidRPr="00A428C3">
        <w:rPr>
          <w:vertAlign w:val="subscript"/>
        </w:rPr>
        <w:t>3</w:t>
      </w:r>
      <w:r w:rsidRPr="00A428C3">
        <w:t xml:space="preserve"> concentrations is the formation of the L. (HNO</w:t>
      </w:r>
      <w:r w:rsidRPr="00A428C3">
        <w:rPr>
          <w:vertAlign w:val="subscript"/>
        </w:rPr>
        <w:t>3</w:t>
      </w:r>
      <w:r w:rsidRPr="00A428C3">
        <w:t>)</w:t>
      </w:r>
      <w:r w:rsidRPr="00A428C3">
        <w:rPr>
          <w:vertAlign w:val="subscript"/>
        </w:rPr>
        <w:t>2</w:t>
      </w:r>
      <w:r w:rsidRPr="00A428C3">
        <w:t xml:space="preserve"> species apparent in this phase. The effect of temperature on the acid extraction is also evaluated.</w:t>
      </w:r>
    </w:p>
    <w:p w:rsidR="00B95188" w:rsidRPr="00A428C3" w:rsidRDefault="00B95188" w:rsidP="00B95188">
      <w:pPr>
        <w:pStyle w:val="a0"/>
      </w:pPr>
      <w:r w:rsidRPr="00A428C3">
        <w:t>Altundoğan, H.S.</w:t>
      </w:r>
      <w:r w:rsidR="00F81221">
        <w:t xml:space="preserve"> and </w:t>
      </w:r>
      <w:r w:rsidRPr="00A428C3">
        <w:t xml:space="preserve">Tümen, F. (1997), Metal recovery from copper converter slag by roasting with ferric sulphate. </w:t>
      </w:r>
      <w:r w:rsidRPr="00A428C3">
        <w:rPr>
          <w:i/>
        </w:rPr>
        <w:t>Hydrometallurgy</w:t>
      </w:r>
      <w:r w:rsidRPr="00A428C3">
        <w:t xml:space="preserve">, </w:t>
      </w:r>
      <w:r w:rsidRPr="00A428C3">
        <w:rPr>
          <w:b/>
        </w:rPr>
        <w:t>44</w:t>
      </w:r>
      <w:r w:rsidRPr="00A428C3">
        <w:t xml:space="preserve"> (1-2), 261-267.</w:t>
      </w:r>
    </w:p>
    <w:p w:rsidR="00B95188" w:rsidRPr="00A428C3" w:rsidRDefault="00B95188" w:rsidP="00B95188">
      <w:pPr>
        <w:pStyle w:val="a0"/>
      </w:pPr>
      <w:r w:rsidRPr="00A428C3">
        <w:t xml:space="preserve">Full Text: </w:t>
      </w:r>
      <w:hyperlink r:id="rId726" w:history="1">
        <w:r w:rsidRPr="00A428C3">
          <w:rPr>
            <w:rStyle w:val="a5"/>
          </w:rPr>
          <w:t>H\Hydrometallurgy44, 261.pdf</w:t>
        </w:r>
      </w:hyperlink>
    </w:p>
    <w:p w:rsidR="00B95188" w:rsidRPr="00A428C3" w:rsidRDefault="00B95188" w:rsidP="00B95188">
      <w:pPr>
        <w:pStyle w:val="a0"/>
      </w:pPr>
      <w:r w:rsidRPr="00A428C3">
        <w:t>Abstract: A study of the recovery of copper, cobalt, nickel</w:t>
      </w:r>
      <w:r w:rsidR="00F81221">
        <w:t xml:space="preserve"> and </w:t>
      </w:r>
      <w:r w:rsidRPr="00A428C3">
        <w:t>zinc from copper converter slag by roasting with ferric sulphate is reported. Roasting of converter slag with ferric sulphate, followed by leaching with water, was carried out in order to bring the metal values into solution. For 500</w:t>
      </w:r>
      <w:r w:rsidR="008A7E71">
        <w:t>°</w:t>
      </w:r>
      <w:r w:rsidRPr="00A428C3">
        <w:t>C roasting temperature, 120 min roasting time</w:t>
      </w:r>
      <w:r w:rsidR="00F81221">
        <w:t xml:space="preserve"> and </w:t>
      </w:r>
      <w:r w:rsidRPr="00A428C3">
        <w:t>Fe</w:t>
      </w:r>
      <w:r w:rsidRPr="00A428C3">
        <w:rPr>
          <w:vertAlign w:val="subscript"/>
        </w:rPr>
        <w:t>2</w:t>
      </w:r>
      <w:r w:rsidRPr="00A428C3">
        <w:t>(SO</w:t>
      </w:r>
      <w:r w:rsidRPr="00A428C3">
        <w:rPr>
          <w:vertAlign w:val="subscript"/>
        </w:rPr>
        <w:t>4</w:t>
      </w:r>
      <w:r w:rsidRPr="00A428C3">
        <w:t>)</w:t>
      </w:r>
      <w:r w:rsidRPr="00A428C3">
        <w:rPr>
          <w:vertAlign w:val="subscript"/>
        </w:rPr>
        <w:t>3</w:t>
      </w:r>
      <w:r w:rsidRPr="00A428C3">
        <w:t xml:space="preserve"> . xH</w:t>
      </w:r>
      <w:r w:rsidRPr="00A428C3">
        <w:rPr>
          <w:vertAlign w:val="subscript"/>
        </w:rPr>
        <w:t>2</w:t>
      </w:r>
      <w:r w:rsidRPr="00A428C3">
        <w:t>O/slag = 1 ratio, recoveries of copper, cobalt, nickel</w:t>
      </w:r>
      <w:r w:rsidR="00F81221">
        <w:t xml:space="preserve"> and </w:t>
      </w:r>
      <w:r w:rsidRPr="00A428C3">
        <w:t>zinc were about 93%; 38%; 13%</w:t>
      </w:r>
      <w:r w:rsidR="00F81221">
        <w:t xml:space="preserve"> and </w:t>
      </w:r>
      <w:r w:rsidRPr="00A428C3">
        <w:t xml:space="preserve">59%, respectively. Higher extraction </w:t>
      </w:r>
      <w:r w:rsidRPr="00A428C3">
        <w:lastRenderedPageBreak/>
        <w:t>yields could be achieved with a higher ratio of Fe</w:t>
      </w:r>
      <w:r w:rsidRPr="00A428C3">
        <w:rPr>
          <w:vertAlign w:val="subscript"/>
        </w:rPr>
        <w:t>2</w:t>
      </w:r>
      <w:r w:rsidRPr="00A428C3">
        <w:t>(SO</w:t>
      </w:r>
      <w:r w:rsidRPr="00A428C3">
        <w:rPr>
          <w:vertAlign w:val="subscript"/>
        </w:rPr>
        <w:t>4</w:t>
      </w:r>
      <w:r w:rsidRPr="00A428C3">
        <w:t>)</w:t>
      </w:r>
      <w:r w:rsidRPr="00A428C3">
        <w:rPr>
          <w:vertAlign w:val="subscript"/>
        </w:rPr>
        <w:t>3</w:t>
      </w:r>
      <w:r w:rsidRPr="00A428C3">
        <w:t xml:space="preserve"> . xH</w:t>
      </w:r>
      <w:r w:rsidRPr="00A428C3">
        <w:rPr>
          <w:vertAlign w:val="subscript"/>
        </w:rPr>
        <w:t>2</w:t>
      </w:r>
      <w:r w:rsidRPr="00A428C3">
        <w:t>O/slag for copper</w:t>
      </w:r>
      <w:r w:rsidR="00F81221">
        <w:t xml:space="preserve"> and </w:t>
      </w:r>
      <w:r w:rsidRPr="00A428C3">
        <w:t>zinc, whereas cobalt</w:t>
      </w:r>
      <w:r w:rsidR="00F81221">
        <w:t xml:space="preserve"> and </w:t>
      </w:r>
      <w:r w:rsidRPr="00A428C3">
        <w:t>nickel could not be extracted in acceptable yields. Using H</w:t>
      </w:r>
      <w:r w:rsidRPr="00A428C3">
        <w:rPr>
          <w:vertAlign w:val="subscript"/>
        </w:rPr>
        <w:t>2</w:t>
      </w:r>
      <w:r w:rsidRPr="00A428C3">
        <w:t>SO</w:t>
      </w:r>
      <w:smartTag w:uri="urn:schemas-microsoft-com:office:smarttags" w:element="chmetcnv">
        <w:smartTagPr>
          <w:attr w:name="TCSC" w:val="0"/>
          <w:attr w:name="NumberType" w:val="1"/>
          <w:attr w:name="Negative" w:val="False"/>
          <w:attr w:name="HasSpace" w:val="True"/>
          <w:attr w:name="SourceValue" w:val="4"/>
          <w:attr w:name="UnitName" w:val="in"/>
        </w:smartTagPr>
        <w:r w:rsidRPr="00A428C3">
          <w:rPr>
            <w:vertAlign w:val="subscript"/>
          </w:rPr>
          <w:t>4</w:t>
        </w:r>
        <w:r w:rsidRPr="00A428C3">
          <w:t xml:space="preserve"> in</w:t>
        </w:r>
      </w:smartTag>
      <w:r w:rsidRPr="00A428C3">
        <w:t xml:space="preserve"> the leaching process markedly improves the metal recoveries.</w:t>
      </w:r>
    </w:p>
    <w:p w:rsidR="00B95188" w:rsidRPr="00A428C3" w:rsidRDefault="00B95188" w:rsidP="00B95188">
      <w:pPr>
        <w:pStyle w:val="a0"/>
      </w:pPr>
      <w:r w:rsidRPr="00A428C3">
        <w:t>Keywords: Smelter Slags, Sulfuric-Acid, Values, Cobalt, Nickel</w:t>
      </w:r>
    </w:p>
    <w:p w:rsidR="00B95188" w:rsidRPr="00A428C3" w:rsidRDefault="00B95188" w:rsidP="00B95188">
      <w:pPr>
        <w:pStyle w:val="a0"/>
      </w:pPr>
      <w:r w:rsidRPr="00A428C3">
        <w:t>Vegliò, F.</w:t>
      </w:r>
      <w:r w:rsidR="00F81221">
        <w:t xml:space="preserve"> and </w:t>
      </w:r>
      <w:r w:rsidRPr="00A428C3">
        <w:t xml:space="preserve">Beolchini, F. (1997), Removal of metals by biosorption: A review. </w:t>
      </w:r>
      <w:r w:rsidRPr="00A428C3">
        <w:rPr>
          <w:i/>
        </w:rPr>
        <w:t>Hydrometallurgy</w:t>
      </w:r>
      <w:r w:rsidRPr="00A428C3">
        <w:t xml:space="preserve">, </w:t>
      </w:r>
      <w:r w:rsidRPr="00A428C3">
        <w:rPr>
          <w:b/>
        </w:rPr>
        <w:t>44</w:t>
      </w:r>
      <w:r w:rsidRPr="00A428C3">
        <w:t xml:space="preserve"> (3), 301-316.</w:t>
      </w:r>
    </w:p>
    <w:p w:rsidR="00B95188" w:rsidRPr="00A428C3" w:rsidRDefault="00B95188" w:rsidP="00B95188">
      <w:pPr>
        <w:pStyle w:val="a0"/>
      </w:pPr>
      <w:r w:rsidRPr="00A428C3">
        <w:t xml:space="preserve">Full Text: </w:t>
      </w:r>
      <w:hyperlink r:id="rId727" w:history="1">
        <w:r w:rsidRPr="00A428C3">
          <w:rPr>
            <w:rStyle w:val="a5"/>
          </w:rPr>
          <w:t>H\Hydrometallurgy44, 301.pdf</w:t>
        </w:r>
      </w:hyperlink>
    </w:p>
    <w:p w:rsidR="00B95188" w:rsidRPr="00A428C3" w:rsidRDefault="00B95188" w:rsidP="00B95188">
      <w:pPr>
        <w:pStyle w:val="a0"/>
        <w:rPr>
          <w:rFonts w:eastAsia="Arial Unicode MS"/>
        </w:rPr>
      </w:pPr>
      <w:r w:rsidRPr="00A428C3">
        <w:t>Abstract: Biosorption is considered a potential instrument for the removal of metals from waste solutions</w:t>
      </w:r>
      <w:r w:rsidR="00F81221">
        <w:t xml:space="preserve"> and </w:t>
      </w:r>
      <w:r w:rsidRPr="00A428C3">
        <w:t>for precious metals recovery, an alternative to the conventional processes, such as those based on ion exchange, or adsorption on activated carbon. In this work the state of the art of biosorption investigation is presented</w:t>
      </w:r>
      <w:r w:rsidR="00F81221">
        <w:t xml:space="preserve"> and </w:t>
      </w:r>
      <w:r w:rsidRPr="00A428C3">
        <w:t>results found in literature are compared. (C) 1997 Elsevier Science B.V. All rights reserved.</w:t>
      </w:r>
    </w:p>
    <w:p w:rsidR="00B95188" w:rsidRPr="00A428C3" w:rsidRDefault="00B95188" w:rsidP="00B95188">
      <w:pPr>
        <w:pStyle w:val="a0"/>
      </w:pPr>
      <w:r w:rsidRPr="00A428C3">
        <w:t>Vegliò, F., Beolchini, F., Gasbarro, A., Lora, S., Corain, B.</w:t>
      </w:r>
      <w:r w:rsidR="00F81221">
        <w:t xml:space="preserve"> and </w:t>
      </w:r>
      <w:r w:rsidRPr="00A428C3">
        <w:t xml:space="preserve">Toro, L. (1997), Polyhydroxoethylmethacrylate (polyHEMA)-trimethylolpropanetrimethacrylate (TMPTM) as a support for metal biosorption with </w:t>
      </w:r>
      <w:r w:rsidRPr="00A428C3">
        <w:rPr>
          <w:i/>
          <w:iCs/>
        </w:rPr>
        <w:t>Arthrobacter</w:t>
      </w:r>
      <w:r w:rsidRPr="00A428C3">
        <w:t xml:space="preserve"> sp. </w:t>
      </w:r>
      <w:r w:rsidRPr="00A428C3">
        <w:rPr>
          <w:i/>
        </w:rPr>
        <w:t>Hydrometallurgy</w:t>
      </w:r>
      <w:r w:rsidRPr="00A428C3">
        <w:t xml:space="preserve">, </w:t>
      </w:r>
      <w:r w:rsidRPr="00A428C3">
        <w:rPr>
          <w:b/>
        </w:rPr>
        <w:t>44</w:t>
      </w:r>
      <w:r w:rsidRPr="00A428C3">
        <w:t xml:space="preserve"> (3), 317-320.</w:t>
      </w:r>
    </w:p>
    <w:p w:rsidR="00B95188" w:rsidRPr="00A428C3" w:rsidRDefault="00B95188" w:rsidP="00B95188">
      <w:pPr>
        <w:pStyle w:val="a0"/>
      </w:pPr>
      <w:r w:rsidRPr="00A428C3">
        <w:t xml:space="preserve">Full Text: </w:t>
      </w:r>
      <w:hyperlink r:id="rId728" w:history="1">
        <w:r w:rsidRPr="00A428C3">
          <w:rPr>
            <w:rStyle w:val="a5"/>
          </w:rPr>
          <w:t>H\Hydrometallurgy44, 317.pdf</w:t>
        </w:r>
      </w:hyperlink>
    </w:p>
    <w:p w:rsidR="00B95188" w:rsidRPr="00A428C3" w:rsidRDefault="00B95188" w:rsidP="00B95188">
      <w:pPr>
        <w:pStyle w:val="a0"/>
        <w:rPr>
          <w:rFonts w:eastAsia="Arial Unicode MS"/>
        </w:rPr>
      </w:pPr>
      <w:r w:rsidRPr="00A428C3">
        <w:t xml:space="preserve">Abstract: Hydroxoethylmethacrylate-based macroporous resins are found to be promising new supports for </w:t>
      </w:r>
      <w:r w:rsidRPr="00A428C3">
        <w:rPr>
          <w:i/>
          <w:iCs/>
        </w:rPr>
        <w:t>Arthrobacter</w:t>
      </w:r>
      <w:r w:rsidRPr="00A428C3">
        <w:t xml:space="preserve"> sp., a metal biosorbing bacterium. The relevant support-biomass complex biosorbs Cu(II) from aqueous solutions</w:t>
      </w:r>
      <w:r w:rsidR="00F81221">
        <w:t xml:space="preserve"> and </w:t>
      </w:r>
      <w:r w:rsidRPr="00A428C3">
        <w:t>appears to be suitable for partial regeneration. (C) 1997 Elsevier Science B.V. All rights reserved.</w:t>
      </w:r>
    </w:p>
    <w:p w:rsidR="00B95188" w:rsidRPr="00A428C3" w:rsidRDefault="00B95188" w:rsidP="00B95188">
      <w:pPr>
        <w:pStyle w:val="a0"/>
      </w:pPr>
      <w:r w:rsidRPr="00A428C3">
        <w:t>Chmielewski, A.G., Urbański, T.S.</w:t>
      </w:r>
      <w:r w:rsidR="00F81221">
        <w:t xml:space="preserve"> and </w:t>
      </w:r>
      <w:r w:rsidRPr="00A428C3">
        <w:t xml:space="preserve">Migdał, W. (1997), Separation technologies for metals recovery from industrial wastes. </w:t>
      </w:r>
      <w:r w:rsidRPr="00A428C3">
        <w:rPr>
          <w:i/>
        </w:rPr>
        <w:t>Hydrometallurgy</w:t>
      </w:r>
      <w:r w:rsidRPr="00A428C3">
        <w:t xml:space="preserve">, </w:t>
      </w:r>
      <w:r w:rsidRPr="00A428C3">
        <w:rPr>
          <w:b/>
        </w:rPr>
        <w:t>45</w:t>
      </w:r>
      <w:r w:rsidRPr="00A428C3">
        <w:t xml:space="preserve"> (3), 333-344.</w:t>
      </w:r>
    </w:p>
    <w:p w:rsidR="00B95188" w:rsidRPr="00A428C3" w:rsidRDefault="00B95188" w:rsidP="00B95188">
      <w:pPr>
        <w:pStyle w:val="a0"/>
      </w:pPr>
      <w:r w:rsidRPr="00A428C3">
        <w:t xml:space="preserve">Full Text: </w:t>
      </w:r>
      <w:hyperlink r:id="rId729" w:history="1">
        <w:r w:rsidRPr="00A428C3">
          <w:rPr>
            <w:rStyle w:val="a5"/>
          </w:rPr>
          <w:t>H\Hydrometallurgy45, 333.pdf</w:t>
        </w:r>
      </w:hyperlink>
    </w:p>
    <w:p w:rsidR="00B95188" w:rsidRPr="00A428C3" w:rsidRDefault="00B95188" w:rsidP="00B95188">
      <w:pPr>
        <w:pStyle w:val="a0"/>
      </w:pPr>
      <w:r w:rsidRPr="00A428C3">
        <w:t>Abstract: Three hydrometallurgical processes for industrial wastes treatment are presented. The main separation techniques are: solvent extraction, leaching-precipitation, electro-oxidation,</w:t>
      </w:r>
      <w:r w:rsidR="00F81221">
        <w:t xml:space="preserve"> and </w:t>
      </w:r>
      <w:r w:rsidRPr="00A428C3">
        <w:t>ion exchange. Recovery of gold from solid wastes generated in the electronic</w:t>
      </w:r>
      <w:r w:rsidR="00F81221">
        <w:t xml:space="preserve"> and </w:t>
      </w:r>
      <w:r w:rsidRPr="00A428C3">
        <w:t>jewellery industries consists of thermal degradation, two-stage leaching with nitric acid solution to remove silver</w:t>
      </w:r>
      <w:r w:rsidR="00F81221">
        <w:t xml:space="preserve"> and </w:t>
      </w:r>
      <w:r w:rsidRPr="00A428C3">
        <w:t>other metals</w:t>
      </w:r>
      <w:r w:rsidR="00F81221">
        <w:t xml:space="preserve"> and </w:t>
      </w:r>
      <w:r w:rsidRPr="00A428C3">
        <w:t>then with aqua regia to dissolve gold, selective solvent extraction of gold with diethyl malonate,</w:t>
      </w:r>
      <w:r w:rsidR="00F81221">
        <w:t xml:space="preserve"> and </w:t>
      </w:r>
      <w:r w:rsidRPr="00A428C3">
        <w:t>reduction of gold from the organic phase.</w:t>
      </w:r>
    </w:p>
    <w:p w:rsidR="00B95188" w:rsidRPr="00A428C3" w:rsidRDefault="00B95188" w:rsidP="00B95188">
      <w:pPr>
        <w:pStyle w:val="a0"/>
      </w:pPr>
      <w:r w:rsidRPr="00A428C3">
        <w:t>Vanadium recovery from residue ashes after burning heavy oil fractions consists of alkaline leaching of vanadium, filtration, neutralization of sodium vanadate solution, precipitation of ammonium metavanadate, drying of the precipitate,</w:t>
      </w:r>
      <w:r w:rsidR="00F81221">
        <w:t xml:space="preserve"> and </w:t>
      </w:r>
      <w:r w:rsidRPr="00A428C3">
        <w:t>adsorption of the remaining vanadium from the filtrate on an anionite. From the remaining ashes nickel is recovered using acidic leaching, filtration, precipitation of ammonium-nickelous sulphate, filtration,</w:t>
      </w:r>
      <w:r w:rsidR="00F81221">
        <w:t xml:space="preserve"> and </w:t>
      </w:r>
      <w:r w:rsidRPr="00A428C3">
        <w:t xml:space="preserve">drying. </w:t>
      </w:r>
    </w:p>
    <w:p w:rsidR="00B95188" w:rsidRPr="00A428C3" w:rsidRDefault="00B95188" w:rsidP="00B95188">
      <w:pPr>
        <w:pStyle w:val="a0"/>
      </w:pPr>
      <w:r w:rsidRPr="00A428C3">
        <w:lastRenderedPageBreak/>
        <w:t>The third process concerns processing of electroplating sludges</w:t>
      </w:r>
      <w:r w:rsidR="00F81221">
        <w:t xml:space="preserve"> and </w:t>
      </w:r>
      <w:r w:rsidRPr="00A428C3">
        <w:t>waste waters containing chromium</w:t>
      </w:r>
      <w:r w:rsidR="00F81221">
        <w:t xml:space="preserve"> and </w:t>
      </w:r>
      <w:r w:rsidRPr="00A428C3">
        <w:t>copper. The waste waters are electro-oxidized to transform Cr(III) into chromate. Then metal cations are separated on a cationite. The purified electroplating baths are recycled directly to electroplating; other solutions are first concentrated using anionite, followed by sodium chromate eluate conversion into concentrated chromic acid solution. The sludges accumulated from waste water processing by hydroxide precipitation are re-dissolved in chromic acid solution generated progressively by circulation between the dissolving</w:t>
      </w:r>
      <w:r w:rsidR="00F81221">
        <w:t xml:space="preserve"> and </w:t>
      </w:r>
      <w:r w:rsidRPr="00A428C3">
        <w:t>electro-oxidation steps. The concentrated chromic acid solution obtained is purified on the cationite</w:t>
      </w:r>
      <w:r w:rsidR="00F81221">
        <w:t xml:space="preserve"> and </w:t>
      </w:r>
      <w:r w:rsidRPr="00A428C3">
        <w:t>recycled.</w:t>
      </w:r>
    </w:p>
    <w:p w:rsidR="00B95188" w:rsidRPr="00A428C3" w:rsidRDefault="00B95188" w:rsidP="00B95188">
      <w:pPr>
        <w:pStyle w:val="a0"/>
      </w:pPr>
      <w:r w:rsidRPr="00A428C3">
        <w:t>Deorkar, N.V.</w:t>
      </w:r>
      <w:r w:rsidR="00F81221">
        <w:t xml:space="preserve"> and </w:t>
      </w:r>
      <w:r w:rsidRPr="00A428C3">
        <w:t>Tavlarides, L.L. (1997), A chemically bonded adsorbent for separation of antimony, copper</w:t>
      </w:r>
      <w:r w:rsidR="00F81221">
        <w:t xml:space="preserve"> and </w:t>
      </w:r>
      <w:r w:rsidRPr="00A428C3">
        <w:t xml:space="preserve">lead. </w:t>
      </w:r>
      <w:r w:rsidRPr="00A428C3">
        <w:rPr>
          <w:i/>
        </w:rPr>
        <w:t>Hydrometallurgy</w:t>
      </w:r>
      <w:r w:rsidRPr="00A428C3">
        <w:t xml:space="preserve">, </w:t>
      </w:r>
      <w:r w:rsidRPr="00A428C3">
        <w:rPr>
          <w:b/>
        </w:rPr>
        <w:t>46</w:t>
      </w:r>
      <w:r w:rsidRPr="00A428C3">
        <w:t xml:space="preserve"> (1-2), 121-135.</w:t>
      </w:r>
    </w:p>
    <w:p w:rsidR="00B95188" w:rsidRPr="00A428C3" w:rsidRDefault="00B95188" w:rsidP="00B95188">
      <w:pPr>
        <w:pStyle w:val="a0"/>
      </w:pPr>
      <w:r w:rsidRPr="00A428C3">
        <w:t xml:space="preserve">Full Text: </w:t>
      </w:r>
      <w:hyperlink r:id="rId730" w:history="1">
        <w:r w:rsidRPr="00A428C3">
          <w:rPr>
            <w:rStyle w:val="a5"/>
          </w:rPr>
          <w:t>H\Hydrometallurgy46, 121.pdf</w:t>
        </w:r>
      </w:hyperlink>
    </w:p>
    <w:p w:rsidR="00B95188" w:rsidRPr="00A428C3" w:rsidRDefault="00B95188" w:rsidP="00B95188">
      <w:pPr>
        <w:pStyle w:val="a0"/>
      </w:pPr>
      <w:r w:rsidRPr="00A428C3">
        <w:t>Abstract: The new chemically bonded adsorbent designated as ICAA-PPG was synthesized by covalent attachment of pyrogallol to a silica gel ceramic support. The feasibility of this absorbent to separate antimony(III), copper</w:t>
      </w:r>
      <w:r w:rsidR="00F81221">
        <w:t xml:space="preserve"> and </w:t>
      </w:r>
      <w:r w:rsidRPr="00A428C3">
        <w:t>lead from aqueous solutions has been examined. Results of absorbent syntheses, absorbent characterization, breakthrough curve, regeneration</w:t>
      </w:r>
      <w:r w:rsidR="00F81221">
        <w:t xml:space="preserve"> and </w:t>
      </w:r>
      <w:r w:rsidRPr="00A428C3">
        <w:t xml:space="preserve">metal ion separation studies are presented here. The silica surface was functionalized with aromatic amine groups, which were further diazotized to attach the pyrogallol moiety. A pyrogallol surface coverage density of 0.255 mmol/g of functionalized support was achieved. ICAA-PPG showed high antimony(III) removal efficiency over a pH range of 1–10. ICAA-PPG was regenerated by desorbing antimony(III) with </w:t>
      </w:r>
      <w:smartTag w:uri="urn:schemas-microsoft-com:office:smarttags" w:element="chmetcnv">
        <w:smartTagPr>
          <w:attr w:name="TCSC" w:val="0"/>
          <w:attr w:name="NumberType" w:val="1"/>
          <w:attr w:name="Negative" w:val="False"/>
          <w:attr w:name="HasSpace" w:val="True"/>
          <w:attr w:name="SourceValue" w:val="4"/>
          <w:attr w:name="UnitName" w:val="m"/>
        </w:smartTagPr>
        <w:r w:rsidRPr="00A428C3">
          <w:t>4 M</w:t>
        </w:r>
      </w:smartTag>
      <w:r w:rsidRPr="00A428C3">
        <w:t xml:space="preserve"> hydrochloric acid</w:t>
      </w:r>
      <w:r w:rsidR="00F81221">
        <w:t xml:space="preserve"> and </w:t>
      </w:r>
      <w:smartTag w:uri="urn:schemas-microsoft-com:office:smarttags" w:element="chmetcnv">
        <w:smartTagPr>
          <w:attr w:name="TCSC" w:val="0"/>
          <w:attr w:name="NumberType" w:val="1"/>
          <w:attr w:name="Negative" w:val="False"/>
          <w:attr w:name="HasSpace" w:val="True"/>
          <w:attr w:name="SourceValue" w:val="0.05"/>
          <w:attr w:name="UnitName" w:val="m"/>
        </w:smartTagPr>
        <w:r w:rsidRPr="00A428C3">
          <w:t>0.05 M</w:t>
        </w:r>
      </w:smartTag>
      <w:r w:rsidRPr="00A428C3">
        <w:t xml:space="preserve"> potassium hydrogen tartrate. Stripping solutions with low acidity</w:t>
      </w:r>
      <w:r w:rsidR="00F81221">
        <w:t xml:space="preserve"> and </w:t>
      </w:r>
      <w:r w:rsidRPr="00A428C3">
        <w:t>high chloride concentration showed high regeneration efficiency. The desorbed antimony can easily be recovered from stripping solutions by precipitation as antimony hydroxide</w:t>
      </w:r>
      <w:r w:rsidR="00F81221">
        <w:t xml:space="preserve"> and </w:t>
      </w:r>
      <w:r w:rsidRPr="00A428C3">
        <w:t>the stripping solution can be recycled. Concentration factors of 25–30 were achieved. The initial capacity of 21.6 mg/g was achieved at breakthrough volume</w:t>
      </w:r>
      <w:r w:rsidR="00F81221">
        <w:t xml:space="preserve"> and </w:t>
      </w:r>
      <w:r w:rsidRPr="00A428C3">
        <w:t>the capacity of 19.6 mg/g after 10 adsorption /stripping cycles shows that ICAA-PPG is stable. Antimony(III), copper</w:t>
      </w:r>
      <w:r w:rsidR="00F81221">
        <w:t xml:space="preserve"> and </w:t>
      </w:r>
      <w:r w:rsidRPr="00A428C3">
        <w:t>lead were separated by selective stripping from the bed saturated with these metal ions. These results indicate that ICAA-PPG has the potential for removal</w:t>
      </w:r>
      <w:r w:rsidR="00F81221">
        <w:t xml:space="preserve"> and </w:t>
      </w:r>
      <w:r w:rsidRPr="00A428C3">
        <w:t>separation of antimony from dilute aqueous solutions. An ICAA-PPG adsorption process can be employed for the removal of antimony impurity from copper</w:t>
      </w:r>
      <w:r w:rsidR="00F81221">
        <w:t xml:space="preserve"> and </w:t>
      </w:r>
      <w:r w:rsidRPr="00A428C3">
        <w:t>zinc electrolytes.</w:t>
      </w:r>
    </w:p>
    <w:p w:rsidR="00B95188" w:rsidRPr="00A428C3" w:rsidRDefault="00B95188" w:rsidP="00B95188">
      <w:pPr>
        <w:pStyle w:val="a0"/>
      </w:pPr>
      <w:r w:rsidRPr="00A428C3">
        <w:t>Kononova, O.N., Kholmogorov, A.G.</w:t>
      </w:r>
      <w:r w:rsidR="00F81221">
        <w:t xml:space="preserve"> and </w:t>
      </w:r>
      <w:r w:rsidRPr="00A428C3">
        <w:t xml:space="preserve">Mikhlina, E.V. (1998), Palladium sorption on vinylpyridine ion exchangers from chloride solutions obtained from spent catalysts. </w:t>
      </w:r>
      <w:r w:rsidRPr="00A428C3">
        <w:rPr>
          <w:i/>
        </w:rPr>
        <w:t>Hydrometallurgy</w:t>
      </w:r>
      <w:r w:rsidRPr="00A428C3">
        <w:t xml:space="preserve">, </w:t>
      </w:r>
      <w:r w:rsidRPr="00A428C3">
        <w:rPr>
          <w:b/>
        </w:rPr>
        <w:t>48</w:t>
      </w:r>
      <w:r w:rsidRPr="00A428C3">
        <w:t xml:space="preserve"> (1), 65-72.</w:t>
      </w:r>
    </w:p>
    <w:p w:rsidR="00B95188" w:rsidRPr="00A428C3" w:rsidRDefault="00B95188" w:rsidP="00B95188">
      <w:pPr>
        <w:pStyle w:val="a0"/>
      </w:pPr>
      <w:r w:rsidRPr="00A428C3">
        <w:t xml:space="preserve">Full Text: </w:t>
      </w:r>
      <w:hyperlink r:id="rId731" w:history="1">
        <w:r w:rsidRPr="00A428C3">
          <w:rPr>
            <w:rStyle w:val="a5"/>
          </w:rPr>
          <w:t>H\Hydrometallurgy48, 65.pdf</w:t>
        </w:r>
      </w:hyperlink>
    </w:p>
    <w:p w:rsidR="00B95188" w:rsidRPr="00A428C3" w:rsidRDefault="00B95188" w:rsidP="00B95188">
      <w:pPr>
        <w:pStyle w:val="a0"/>
        <w:rPr>
          <w:rFonts w:eastAsia="Arial Unicode MS"/>
        </w:rPr>
      </w:pPr>
      <w:r w:rsidRPr="00A428C3">
        <w:t xml:space="preserve">Abstract: The recovery of palladium from spent catalysts has been investigated. </w:t>
      </w:r>
      <w:r w:rsidRPr="00A428C3">
        <w:lastRenderedPageBreak/>
        <w:t>Palladium dissolution was effected using acidic sodium chloride. The initial concentrations in these solutions were (mol/l): Pd, 0.0005–0.05; NaCl, 2.0–2.3</w:t>
      </w:r>
      <w:r w:rsidR="00F81221">
        <w:t xml:space="preserve"> and </w:t>
      </w:r>
      <w:r w:rsidRPr="00A428C3">
        <w:t>HCl, 0.5–2.0 (or 0.02–0.05). The palladium sorption from these solutions was studied under batch experiment conditions on vinylpyridine ion exchangers AN</w:t>
      </w:r>
      <w:smartTag w:uri="urn:schemas-microsoft-com:office:smarttags" w:element="chmetcnv">
        <w:smartTagPr>
          <w:attr w:name="TCSC" w:val="0"/>
          <w:attr w:name="NumberType" w:val="1"/>
          <w:attr w:name="Negative" w:val="True"/>
          <w:attr w:name="HasSpace" w:val="False"/>
          <w:attr w:name="SourceValue" w:val="251"/>
          <w:attr w:name="UnitName" w:val="m"/>
        </w:smartTagPr>
        <w:r w:rsidRPr="00A428C3">
          <w:t>-251M</w:t>
        </w:r>
      </w:smartTag>
      <w:r w:rsidRPr="00A428C3">
        <w:t>, ANKF-5</w:t>
      </w:r>
      <w:r w:rsidR="00F81221">
        <w:t xml:space="preserve"> and </w:t>
      </w:r>
      <w:r w:rsidRPr="00A428C3">
        <w:t>VP-14K. (C) 1998 Elsevier Science B.V. All rights reserved.</w:t>
      </w:r>
    </w:p>
    <w:p w:rsidR="00B95188" w:rsidRPr="00A428C3" w:rsidRDefault="00B95188" w:rsidP="00B95188">
      <w:pPr>
        <w:pStyle w:val="a0"/>
      </w:pPr>
      <w:r w:rsidRPr="00A428C3">
        <w:t>Jääskeläinen, E., Paatero, E.</w:t>
      </w:r>
      <w:r w:rsidR="00F81221">
        <w:t xml:space="preserve"> and </w:t>
      </w:r>
      <w:r w:rsidRPr="00A428C3">
        <w:t>Nyman, B. (1998), Adsorption of hydroxyoxime-based extractants on silica</w:t>
      </w:r>
      <w:r w:rsidR="00F81221">
        <w:t xml:space="preserve"> and </w:t>
      </w:r>
      <w:r w:rsidRPr="00A428C3">
        <w:t xml:space="preserve">mica particles in copper extraction processes. </w:t>
      </w:r>
      <w:r w:rsidRPr="00A428C3">
        <w:rPr>
          <w:i/>
        </w:rPr>
        <w:t>Hydrometallurgy</w:t>
      </w:r>
      <w:r w:rsidRPr="00A428C3">
        <w:t xml:space="preserve">, </w:t>
      </w:r>
      <w:r w:rsidRPr="00A428C3">
        <w:rPr>
          <w:b/>
        </w:rPr>
        <w:t>49</w:t>
      </w:r>
      <w:r w:rsidRPr="00A428C3">
        <w:t xml:space="preserve"> (1-2), 151-166.</w:t>
      </w:r>
    </w:p>
    <w:p w:rsidR="00B95188" w:rsidRPr="00A428C3" w:rsidRDefault="00B95188" w:rsidP="00B95188">
      <w:pPr>
        <w:pStyle w:val="a0"/>
      </w:pPr>
      <w:r w:rsidRPr="00A428C3">
        <w:t xml:space="preserve">Full Text: </w:t>
      </w:r>
      <w:hyperlink r:id="rId732" w:history="1">
        <w:r w:rsidRPr="00A428C3">
          <w:rPr>
            <w:rStyle w:val="a5"/>
          </w:rPr>
          <w:t>H\Hydrometallurgy49, 151.pdf</w:t>
        </w:r>
      </w:hyperlink>
    </w:p>
    <w:p w:rsidR="00B95188" w:rsidRPr="00A428C3" w:rsidRDefault="00B95188" w:rsidP="00B95188">
      <w:pPr>
        <w:pStyle w:val="a0"/>
        <w:rPr>
          <w:rFonts w:eastAsia="Arial Unicode MS"/>
        </w:rPr>
      </w:pPr>
      <w:r w:rsidRPr="00A428C3">
        <w:t>Abstract: Adsorption of the commercial copper extraction reagent LIX860 was studied using silica</w:t>
      </w:r>
      <w:r w:rsidR="00F81221">
        <w:t xml:space="preserve"> and </w:t>
      </w:r>
      <w:r w:rsidRPr="00A428C3">
        <w:t>phlogopite mica as model adsorbents</w:t>
      </w:r>
      <w:r w:rsidR="00F81221">
        <w:t xml:space="preserve"> and </w:t>
      </w:r>
      <w:r w:rsidRPr="00A428C3">
        <w:t>isooctane</w:t>
      </w:r>
      <w:r w:rsidR="00F81221">
        <w:t xml:space="preserve"> and </w:t>
      </w:r>
      <w:r w:rsidRPr="00A428C3">
        <w:t>isooctane/toluene mixture as model diluents to investigate the reasons which may contribute to the accumulation of solid fine particles at the interface between the aqueous</w:t>
      </w:r>
      <w:r w:rsidR="00F81221">
        <w:t xml:space="preserve"> and </w:t>
      </w:r>
      <w:r w:rsidRPr="00A428C3">
        <w:t>organic phases in metal extraction processes. The adsorption of pure 5-dodecylsalicylaldoxime (the active compound in LIX 860) from isooctane follows Langmuir type adsorption behaviour on silica giving a surface area of 0.61 nm</w:t>
      </w:r>
      <w:r w:rsidRPr="00A428C3">
        <w:rPr>
          <w:vertAlign w:val="superscript"/>
        </w:rPr>
        <w:t>2</w:t>
      </w:r>
      <w:r w:rsidRPr="00A428C3">
        <w:t>/molecule for the monolayer which compares favourably with the value estimated from molecular models when the aromatic ring is assumed parallel to the surface. On phlogopite, the observed adsorption density continuously increases with reagent concentration. At highest, the adsorption density on mica is about 3–4 times higher than on silica. This is explained by a perpendicular orientation of the aromatic ring on mica. Adsorption of the oxime as a copper complex is weaker than that of the free oxime. Increase in diluent aromacity</w:t>
      </w:r>
      <w:r w:rsidR="00F81221">
        <w:t xml:space="preserve"> and </w:t>
      </w:r>
      <w:r w:rsidRPr="00A428C3">
        <w:t>the addition of an aqueous phase were observed to decrease adsorption of the reagent on silica. (C) 1998 Elsevier Science B.V. All rights reserved.</w:t>
      </w:r>
    </w:p>
    <w:p w:rsidR="00B95188" w:rsidRPr="00A428C3" w:rsidRDefault="00B95188" w:rsidP="00B95188">
      <w:pPr>
        <w:pStyle w:val="a0"/>
      </w:pPr>
      <w:r w:rsidRPr="00A428C3">
        <w:t>Alam, M.S., Inoue, K.</w:t>
      </w:r>
      <w:r w:rsidR="00F81221">
        <w:t xml:space="preserve"> and </w:t>
      </w:r>
      <w:r w:rsidRPr="00A428C3">
        <w:t xml:space="preserve">Yoshizuka, K. (1998), Ion exchange/adsorption of rhodium(III) from chloride media on some anion exchangers. </w:t>
      </w:r>
      <w:r w:rsidRPr="00A428C3">
        <w:rPr>
          <w:i/>
        </w:rPr>
        <w:t>Hydrometallurgy</w:t>
      </w:r>
      <w:r w:rsidRPr="00A428C3">
        <w:t xml:space="preserve">, </w:t>
      </w:r>
      <w:r w:rsidRPr="00A428C3">
        <w:rPr>
          <w:b/>
        </w:rPr>
        <w:t>49</w:t>
      </w:r>
      <w:r w:rsidRPr="00A428C3">
        <w:t xml:space="preserve"> (3), 213-227.</w:t>
      </w:r>
    </w:p>
    <w:p w:rsidR="00B95188" w:rsidRPr="00A428C3" w:rsidRDefault="00B95188" w:rsidP="00B95188">
      <w:pPr>
        <w:pStyle w:val="a0"/>
      </w:pPr>
      <w:r w:rsidRPr="00A428C3">
        <w:t xml:space="preserve">Full Text: </w:t>
      </w:r>
      <w:hyperlink r:id="rId733" w:history="1">
        <w:r w:rsidRPr="00A428C3">
          <w:rPr>
            <w:rStyle w:val="a5"/>
          </w:rPr>
          <w:t>H\Hydrometallurgy49, 213.pdf</w:t>
        </w:r>
      </w:hyperlink>
    </w:p>
    <w:p w:rsidR="00B95188" w:rsidRPr="00A428C3" w:rsidRDefault="00B95188" w:rsidP="00B95188">
      <w:pPr>
        <w:pStyle w:val="a0"/>
        <w:rPr>
          <w:rFonts w:eastAsia="Arial Unicode MS"/>
        </w:rPr>
      </w:pPr>
      <w:r w:rsidRPr="00A428C3">
        <w:t>Abstract: Ion exchange/adsorption of rhodium(III) from chloride media was investigated with some commercial anion exchange resins like Sumichelate MC-10 resin,</w:t>
      </w:r>
      <w:r w:rsidR="00F81221">
        <w:t xml:space="preserve"> and </w:t>
      </w:r>
      <w:r w:rsidRPr="00A428C3">
        <w:t>Diaion WA10, WA21, SA</w:t>
      </w:r>
      <w:smartTag w:uri="urn:schemas-microsoft-com:office:smarttags" w:element="chmetcnv">
        <w:smartTagPr>
          <w:attr w:name="TCSC" w:val="0"/>
          <w:attr w:name="NumberType" w:val="1"/>
          <w:attr w:name="Negative" w:val="False"/>
          <w:attr w:name="HasSpace" w:val="False"/>
          <w:attr w:name="SourceValue" w:val="20"/>
          <w:attr w:name="UnitName" w:val="a"/>
        </w:smartTagPr>
        <w:r w:rsidRPr="00A428C3">
          <w:t>20A</w:t>
        </w:r>
      </w:smartTag>
      <w:r w:rsidR="00F81221">
        <w:t xml:space="preserve"> and </w:t>
      </w:r>
      <w:r w:rsidRPr="00A428C3">
        <w:t>SA</w:t>
      </w:r>
      <w:smartTag w:uri="urn:schemas-microsoft-com:office:smarttags" w:element="chmetcnv">
        <w:smartTagPr>
          <w:attr w:name="TCSC" w:val="0"/>
          <w:attr w:name="NumberType" w:val="1"/>
          <w:attr w:name="Negative" w:val="False"/>
          <w:attr w:name="HasSpace" w:val="False"/>
          <w:attr w:name="SourceValue" w:val="21"/>
          <w:attr w:name="UnitName" w:val="a"/>
        </w:smartTagPr>
        <w:r w:rsidRPr="00A428C3">
          <w:t>21A</w:t>
        </w:r>
      </w:smartTag>
      <w:r w:rsidRPr="00A428C3">
        <w:t xml:space="preserve"> resins as well as crosslinked Cu(II)-templated chitosan</w:t>
      </w:r>
      <w:r w:rsidR="00F81221">
        <w:t xml:space="preserve"> and </w:t>
      </w:r>
      <w:r w:rsidRPr="00A428C3">
        <w:t>compared with Fe(III)-templated oxine type of chemically modified chitosan (Fe-oxine-chitosan) studied in previous work. A significant amount of rhodium is adsorbed from low acidic solution</w:t>
      </w:r>
      <w:r w:rsidR="00F81221">
        <w:t xml:space="preserve"> and </w:t>
      </w:r>
      <w:r w:rsidRPr="00A428C3">
        <w:t xml:space="preserve">better distribution ratios of rhodium adsorption on these commercial resins were found in all cases when tin is present in the solution. However, some amount of Rh(III) is also adsorbed in all cases except for Diaion WA10 even in the absence of tin. Rhodium is </w:t>
      </w:r>
      <w:r w:rsidRPr="00A428C3">
        <w:lastRenderedPageBreak/>
        <w:t>hardly adsorbed on crosslinked Cu(II)-templated chitosan (Cu-chitosan) when tin is absent in the feed solution. However, in the presence of tin, an appreciable amount of rhodium is adsorbed at low acidity while the distribution ratio decreases with the increase in hydrochloric acid concentration. When tin is present in the solution, the order of adsorption ability of the resins was found to be: WA21&gt;SA</w:t>
      </w:r>
      <w:smartTag w:uri="urn:schemas-microsoft-com:office:smarttags" w:element="chmetcnv">
        <w:smartTagPr>
          <w:attr w:name="TCSC" w:val="0"/>
          <w:attr w:name="NumberType" w:val="1"/>
          <w:attr w:name="Negative" w:val="False"/>
          <w:attr w:name="HasSpace" w:val="False"/>
          <w:attr w:name="SourceValue" w:val="21"/>
          <w:attr w:name="UnitName" w:val="a"/>
        </w:smartTagPr>
        <w:r w:rsidRPr="00A428C3">
          <w:t>21A</w:t>
        </w:r>
      </w:smartTag>
      <w:r w:rsidRPr="00A428C3">
        <w:t>&gt;MC-10&gt;Fe-oxine-chitosan&gt;WA10&gt;SA</w:t>
      </w:r>
      <w:smartTag w:uri="urn:schemas-microsoft-com:office:smarttags" w:element="chmetcnv">
        <w:smartTagPr>
          <w:attr w:name="TCSC" w:val="0"/>
          <w:attr w:name="NumberType" w:val="1"/>
          <w:attr w:name="Negative" w:val="False"/>
          <w:attr w:name="HasSpace" w:val="False"/>
          <w:attr w:name="SourceValue" w:val="20"/>
          <w:attr w:name="UnitName" w:val="a"/>
        </w:smartTagPr>
        <w:r w:rsidRPr="00A428C3">
          <w:t>20A</w:t>
        </w:r>
      </w:smartTag>
      <w:r w:rsidRPr="00A428C3">
        <w:t xml:space="preserve"> ≈ Cu-chitosan at low acidity (about 3 mol/dm</w:t>
      </w:r>
      <w:r w:rsidRPr="00A428C3">
        <w:rPr>
          <w:vertAlign w:val="superscript"/>
        </w:rPr>
        <w:t>3</w:t>
      </w:r>
      <w:r w:rsidRPr="00A428C3">
        <w:t xml:space="preserve"> HCl),</w:t>
      </w:r>
      <w:r w:rsidR="00F81221">
        <w:t xml:space="preserve"> and </w:t>
      </w:r>
      <w:r w:rsidRPr="00A428C3">
        <w:t>MC-10&gt;WA21&gt;SA</w:t>
      </w:r>
      <w:smartTag w:uri="urn:schemas-microsoft-com:office:smarttags" w:element="chmetcnv">
        <w:smartTagPr>
          <w:attr w:name="TCSC" w:val="0"/>
          <w:attr w:name="NumberType" w:val="1"/>
          <w:attr w:name="Negative" w:val="False"/>
          <w:attr w:name="HasSpace" w:val="False"/>
          <w:attr w:name="SourceValue" w:val="21"/>
          <w:attr w:name="UnitName" w:val="a"/>
        </w:smartTagPr>
        <w:r w:rsidRPr="00A428C3">
          <w:t>21A</w:t>
        </w:r>
      </w:smartTag>
      <w:r w:rsidRPr="00A428C3">
        <w:t>&gt;SA</w:t>
      </w:r>
      <w:smartTag w:uri="urn:schemas-microsoft-com:office:smarttags" w:element="chmetcnv">
        <w:smartTagPr>
          <w:attr w:name="TCSC" w:val="0"/>
          <w:attr w:name="NumberType" w:val="1"/>
          <w:attr w:name="Negative" w:val="False"/>
          <w:attr w:name="HasSpace" w:val="False"/>
          <w:attr w:name="SourceValue" w:val="20"/>
          <w:attr w:name="UnitName" w:val="a"/>
        </w:smartTagPr>
        <w:r w:rsidRPr="00A428C3">
          <w:t>20A</w:t>
        </w:r>
      </w:smartTag>
      <w:r w:rsidRPr="00A428C3">
        <w:t>&gt;Fe-oxine-chitosan&gt;WA10&gt;Cu-chitosan at high acidity (about 9 mol/dm</w:t>
      </w:r>
      <w:r w:rsidRPr="00A428C3">
        <w:rPr>
          <w:vertAlign w:val="superscript"/>
        </w:rPr>
        <w:t>3</w:t>
      </w:r>
      <w:r w:rsidRPr="00A428C3">
        <w:t xml:space="preserve"> HCl). On the other hand, when tin is absent, the order of adsorption ability was found to be: MC-10&gt;WA21&gt;SA</w:t>
      </w:r>
      <w:smartTag w:uri="urn:schemas-microsoft-com:office:smarttags" w:element="chmetcnv">
        <w:smartTagPr>
          <w:attr w:name="TCSC" w:val="0"/>
          <w:attr w:name="NumberType" w:val="1"/>
          <w:attr w:name="Negative" w:val="False"/>
          <w:attr w:name="HasSpace" w:val="False"/>
          <w:attr w:name="SourceValue" w:val="20"/>
          <w:attr w:name="UnitName" w:val="a"/>
        </w:smartTagPr>
        <w:r w:rsidRPr="00A428C3">
          <w:t>20A</w:t>
        </w:r>
      </w:smartTag>
      <w:r w:rsidRPr="00A428C3">
        <w:t>&gt;SA</w:t>
      </w:r>
      <w:smartTag w:uri="urn:schemas-microsoft-com:office:smarttags" w:element="chmetcnv">
        <w:smartTagPr>
          <w:attr w:name="TCSC" w:val="0"/>
          <w:attr w:name="NumberType" w:val="1"/>
          <w:attr w:name="Negative" w:val="False"/>
          <w:attr w:name="HasSpace" w:val="False"/>
          <w:attr w:name="SourceValue" w:val="21"/>
          <w:attr w:name="UnitName" w:val="a"/>
        </w:smartTagPr>
        <w:r w:rsidRPr="00A428C3">
          <w:t>21A</w:t>
        </w:r>
      </w:smartTag>
      <w:r w:rsidRPr="00A428C3">
        <w:t>&gt;WA10&gt;Fe-oxine-chitosan&gt;Cu-chitosan. It is obvious that MC-10 resin possesses the highest adsorption ability where 66.0% rhodium was adsorbed at 3 mol/dm</w:t>
      </w:r>
      <w:r w:rsidRPr="00A428C3">
        <w:rPr>
          <w:vertAlign w:val="superscript"/>
        </w:rPr>
        <w:t>3</w:t>
      </w:r>
      <w:r w:rsidRPr="00A428C3">
        <w:t xml:space="preserve"> HCl even when tin is absent in the feed solution. The maximum rhodium adsorption capacity of Diaion WA21 was evaluated to be 0.59</w:t>
      </w:r>
      <w:r w:rsidR="00F81221">
        <w:t xml:space="preserve"> and </w:t>
      </w:r>
      <w:r w:rsidRPr="00A428C3">
        <w:t>0.9 mol/kg dry adsorbent when tin is absent</w:t>
      </w:r>
      <w:r w:rsidR="00F81221">
        <w:t xml:space="preserve"> and </w:t>
      </w:r>
      <w:r w:rsidRPr="00A428C3">
        <w:t>present in the solution, respectively, while the maximum rhodium adsorption capacity of MC-10 resin was evaluated to be 1.4 mol/kg dry adsorbent in both cases whether tin is absent or present in the solution. The adsorption mechanism, in which resin is first protonated on contact with hydrochloric acid</w:t>
      </w:r>
      <w:r w:rsidR="00F81221">
        <w:t xml:space="preserve"> and </w:t>
      </w:r>
      <w:r w:rsidRPr="00A428C3">
        <w:t>subsequently adsorbs rhodium as an ion-pair complex is proposed. Stripping of rhodium from loaded adsorbents was carried out using some mineral acids accompanied by some oxidizing agents like H</w:t>
      </w:r>
      <w:r w:rsidRPr="00A428C3">
        <w:rPr>
          <w:vertAlign w:val="subscript"/>
        </w:rPr>
        <w:t>2</w:t>
      </w:r>
      <w:r w:rsidRPr="00A428C3">
        <w:t>O</w:t>
      </w:r>
      <w:r w:rsidRPr="00A428C3">
        <w:rPr>
          <w:vertAlign w:val="subscript"/>
        </w:rPr>
        <w:t>2</w:t>
      </w:r>
      <w:r w:rsidRPr="00A428C3">
        <w:t>, HNO</w:t>
      </w:r>
      <w:r w:rsidRPr="00A428C3">
        <w:rPr>
          <w:vertAlign w:val="subscript"/>
        </w:rPr>
        <w:t>3</w:t>
      </w:r>
      <w:r w:rsidRPr="00A428C3">
        <w:t>, NaClO</w:t>
      </w:r>
      <w:r w:rsidRPr="00A428C3">
        <w:rPr>
          <w:vertAlign w:val="subscript"/>
        </w:rPr>
        <w:t>3</w:t>
      </w:r>
      <w:r w:rsidR="00F81221">
        <w:t xml:space="preserve"> and </w:t>
      </w:r>
      <w:r w:rsidRPr="00A428C3">
        <w:t>NaClO. A significant amount of rhodium was stripped by a single contact with these stripping agents. However, the best stripping was accomplished with hydrochloric acid containing sodium chlorate. (C) 1998 Elsevier Science B.V. All rights reserved.</w:t>
      </w:r>
    </w:p>
    <w:p w:rsidR="00B95188" w:rsidRPr="00A428C3" w:rsidRDefault="00B95188" w:rsidP="00B95188">
      <w:pPr>
        <w:pStyle w:val="a0"/>
      </w:pPr>
      <w:r w:rsidRPr="00A428C3">
        <w:t>Keywords: Anion Exchangers, Rhodium(III), Chloride Media</w:t>
      </w:r>
    </w:p>
    <w:p w:rsidR="00B95188" w:rsidRPr="00A428C3" w:rsidRDefault="00B95188" w:rsidP="00B95188">
      <w:pPr>
        <w:pStyle w:val="a0"/>
      </w:pPr>
      <w:r w:rsidRPr="00A428C3">
        <w:t>Sağ, Y., Kaya, A.</w:t>
      </w:r>
      <w:r w:rsidR="00F81221">
        <w:t xml:space="preserve"> and </w:t>
      </w:r>
      <w:r w:rsidRPr="00A428C3">
        <w:t>Kutsal, T. (1998), The simultaneous biosorption of Cu(II)</w:t>
      </w:r>
      <w:r w:rsidR="00F81221">
        <w:t xml:space="preserve"> and </w:t>
      </w:r>
      <w:r w:rsidRPr="00A428C3">
        <w:t xml:space="preserve">Zn on </w:t>
      </w:r>
      <w:r w:rsidRPr="00A428C3">
        <w:rPr>
          <w:i/>
          <w:iCs/>
        </w:rPr>
        <w:t>Rhizopus arrhizus</w:t>
      </w:r>
      <w:r w:rsidRPr="00A428C3">
        <w:t xml:space="preserve">: Application of the adsorption models. </w:t>
      </w:r>
      <w:r w:rsidRPr="00A428C3">
        <w:rPr>
          <w:i/>
        </w:rPr>
        <w:t>Hydrometallurgy</w:t>
      </w:r>
      <w:r w:rsidRPr="00A428C3">
        <w:t xml:space="preserve">, </w:t>
      </w:r>
      <w:r w:rsidRPr="00A428C3">
        <w:rPr>
          <w:b/>
        </w:rPr>
        <w:t>50</w:t>
      </w:r>
      <w:r w:rsidRPr="00A428C3">
        <w:t xml:space="preserve"> (3), 297-314.</w:t>
      </w:r>
    </w:p>
    <w:p w:rsidR="00B95188" w:rsidRPr="00A428C3" w:rsidRDefault="00B95188" w:rsidP="00B95188">
      <w:pPr>
        <w:pStyle w:val="a0"/>
      </w:pPr>
      <w:r w:rsidRPr="00A428C3">
        <w:t xml:space="preserve">Full Text: </w:t>
      </w:r>
      <w:hyperlink r:id="rId734" w:history="1">
        <w:r w:rsidRPr="00A428C3">
          <w:rPr>
            <w:rStyle w:val="a5"/>
          </w:rPr>
          <w:t>H\Hydrometallurgy50, 297.pdf</w:t>
        </w:r>
      </w:hyperlink>
    </w:p>
    <w:p w:rsidR="00B95188" w:rsidRPr="00A428C3" w:rsidRDefault="00B95188" w:rsidP="00B95188">
      <w:pPr>
        <w:pStyle w:val="a0"/>
      </w:pPr>
      <w:r w:rsidRPr="00A428C3">
        <w:t>Abstract: The biosorption of two divalent metal ions-copper(II)</w:t>
      </w:r>
      <w:r w:rsidR="00F81221">
        <w:t xml:space="preserve"> and </w:t>
      </w:r>
      <w:r w:rsidRPr="00A428C3">
        <w:t>zinc-in single component</w:t>
      </w:r>
      <w:r w:rsidR="00F81221">
        <w:t xml:space="preserve"> and </w:t>
      </w:r>
      <w:r w:rsidRPr="00A428C3">
        <w:t xml:space="preserve">binary systems has been studied using </w:t>
      </w:r>
      <w:r w:rsidRPr="00A428C3">
        <w:rPr>
          <w:i/>
          <w:iCs/>
        </w:rPr>
        <w:t>Rhizopus arrhizus</w:t>
      </w:r>
      <w:r w:rsidRPr="00A428C3">
        <w:t>. The monocomponent equilibrium data have been analysed using the Langmuir, the Freundlich</w:t>
      </w:r>
      <w:r w:rsidR="00F81221">
        <w:t xml:space="preserve"> and </w:t>
      </w:r>
      <w:r w:rsidRPr="00A428C3">
        <w:t>the three parameter Redlich-Peterson isotherms. The non-competitive Freundlich isotherms have been found to have the highest regression correlation coefficients</w:t>
      </w:r>
      <w:r w:rsidR="00F81221">
        <w:t xml:space="preserve"> and </w:t>
      </w:r>
      <w:r w:rsidRPr="00A428C3">
        <w:t>the minimum average percentage errors between the predicted</w:t>
      </w:r>
      <w:r w:rsidR="00F81221">
        <w:t xml:space="preserve"> and </w:t>
      </w:r>
      <w:r w:rsidRPr="00A428C3">
        <w:t>the experimental values. The effects of the presence of Cu(II)</w:t>
      </w:r>
      <w:r w:rsidR="00F81221">
        <w:t xml:space="preserve"> and </w:t>
      </w:r>
      <w:r w:rsidRPr="00A428C3">
        <w:t>Zn ions together on the biosorption of Cu(II)</w:t>
      </w:r>
      <w:r w:rsidR="00F81221">
        <w:t xml:space="preserve"> and </w:t>
      </w:r>
      <w:r w:rsidRPr="00A428C3">
        <w:t>Zn ions have been investigated in terms of initial rates of biosorption</w:t>
      </w:r>
      <w:r w:rsidR="00F81221">
        <w:t xml:space="preserve"> and </w:t>
      </w:r>
      <w:r w:rsidRPr="00A428C3">
        <w:t xml:space="preserve">equilibrium isotherms. The competitive Freundlich model </w:t>
      </w:r>
      <w:r w:rsidRPr="00A428C3">
        <w:lastRenderedPageBreak/>
        <w:t xml:space="preserve">has also been demonstrated to provide the best correlation for the biosorption of the two metal ions on </w:t>
      </w:r>
      <w:r w:rsidRPr="00A428C3">
        <w:rPr>
          <w:i/>
          <w:iCs/>
        </w:rPr>
        <w:t>R. arrhizus</w:t>
      </w:r>
      <w:r w:rsidRPr="00A428C3">
        <w:t>. (C) 1998 Published by Elsevier Science B.V. All rights reserved.</w:t>
      </w:r>
    </w:p>
    <w:p w:rsidR="00B95188" w:rsidRPr="00A428C3" w:rsidRDefault="00B95188" w:rsidP="00B95188">
      <w:pPr>
        <w:pStyle w:val="a0"/>
      </w:pPr>
      <w:r w:rsidRPr="00A428C3">
        <w:t xml:space="preserve">Keywords: Dilute Aqueous-Solutions, </w:t>
      </w:r>
      <w:r w:rsidRPr="00A428C3">
        <w:rPr>
          <w:i/>
          <w:iCs/>
        </w:rPr>
        <w:t>Chlorella-Vulgaris</w:t>
      </w:r>
      <w:r w:rsidRPr="00A428C3">
        <w:t>, Metals, Removal, Cadmium, Equilibrium, Sorption, Biomass, Zinc, Ions, Biosorption, Freundlich Model, Langmuir</w:t>
      </w:r>
    </w:p>
    <w:p w:rsidR="00B95188" w:rsidRPr="00A428C3" w:rsidRDefault="00B95188" w:rsidP="00B95188">
      <w:pPr>
        <w:pStyle w:val="a0"/>
      </w:pPr>
      <w:r w:rsidRPr="00A428C3">
        <w:t>Puranik, P.R., Modak, J.M.</w:t>
      </w:r>
      <w:r w:rsidR="00F81221">
        <w:t xml:space="preserve"> and </w:t>
      </w:r>
      <w:r w:rsidRPr="00A428C3">
        <w:t xml:space="preserve">Paknikar, K.M. (1999), A comparative study of the mass transfer kinetics of metal biosorption by microbial biomass. </w:t>
      </w:r>
      <w:r w:rsidRPr="00A428C3">
        <w:rPr>
          <w:i/>
        </w:rPr>
        <w:t>Hydrometallurgy</w:t>
      </w:r>
      <w:r w:rsidRPr="00A428C3">
        <w:t xml:space="preserve">, </w:t>
      </w:r>
      <w:r w:rsidRPr="00A428C3">
        <w:rPr>
          <w:b/>
        </w:rPr>
        <w:t>52</w:t>
      </w:r>
      <w:r w:rsidRPr="00A428C3">
        <w:t xml:space="preserve"> (2), 189-197.</w:t>
      </w:r>
    </w:p>
    <w:p w:rsidR="00B95188" w:rsidRPr="00A428C3" w:rsidRDefault="00B95188" w:rsidP="00B95188">
      <w:pPr>
        <w:pStyle w:val="a0"/>
      </w:pPr>
      <w:r w:rsidRPr="00A428C3">
        <w:t xml:space="preserve">Full Text: </w:t>
      </w:r>
      <w:hyperlink r:id="rId735" w:history="1">
        <w:r w:rsidRPr="00A428C3">
          <w:rPr>
            <w:rStyle w:val="a5"/>
          </w:rPr>
          <w:t>H\Hydrometallurgy52, 189.pdf</w:t>
        </w:r>
      </w:hyperlink>
    </w:p>
    <w:p w:rsidR="00B95188" w:rsidRPr="00A428C3" w:rsidRDefault="00B95188" w:rsidP="00B95188">
      <w:pPr>
        <w:pStyle w:val="a0"/>
        <w:rPr>
          <w:rFonts w:eastAsia="Arial Unicode MS"/>
        </w:rPr>
      </w:pPr>
      <w:r w:rsidRPr="00A428C3">
        <w:t>Abstract: A comparative study of the kinetics of lead</w:t>
      </w:r>
      <w:r w:rsidR="00F81221">
        <w:t xml:space="preserve"> and </w:t>
      </w:r>
      <w:r w:rsidRPr="00A428C3">
        <w:t xml:space="preserve">zinc biosorption was carried out using the biomass of </w:t>
      </w:r>
      <w:r w:rsidRPr="00A428C3">
        <w:rPr>
          <w:i/>
          <w:iCs/>
        </w:rPr>
        <w:t>Streptoverticillium cinnamoneum</w:t>
      </w:r>
      <w:r w:rsidRPr="00A428C3">
        <w:t xml:space="preserve">, </w:t>
      </w:r>
      <w:r w:rsidRPr="00A428C3">
        <w:rPr>
          <w:i/>
          <w:iCs/>
        </w:rPr>
        <w:t>Penicillium Chrysogenum</w:t>
      </w:r>
      <w:r w:rsidR="00F81221">
        <w:t xml:space="preserve"> and </w:t>
      </w:r>
      <w:r w:rsidRPr="00A428C3">
        <w:rPr>
          <w:i/>
          <w:iCs/>
        </w:rPr>
        <w:t>Citrobacter</w:t>
      </w:r>
      <w:r w:rsidRPr="00A428C3">
        <w:t xml:space="preserve"> sp. The uptake of metals in all cases was found to be rapid in the first 10 min, reaching an equilibrium within 30 min of contact. The rate of metal uptake was independent of initial metal concentration. The metal concentration profiles could be well predicted using a batch kinetic model. (C) 1999 Elsevier Science B.V. All rights reserved.</w:t>
      </w:r>
    </w:p>
    <w:p w:rsidR="00B95188" w:rsidRPr="00A428C3" w:rsidRDefault="00B95188" w:rsidP="00B95188">
      <w:pPr>
        <w:pStyle w:val="a0"/>
      </w:pPr>
      <w:r w:rsidRPr="00A428C3">
        <w:t>Keywords: Mass Transfer Kinetics, Metal Biosorption, Microbial Biomass</w:t>
      </w:r>
    </w:p>
    <w:p w:rsidR="00B95188" w:rsidRPr="00A428C3" w:rsidRDefault="00B95188" w:rsidP="00B95188">
      <w:pPr>
        <w:pStyle w:val="a0"/>
      </w:pPr>
      <w:r w:rsidRPr="00A428C3">
        <w:t>Sağ, Y., Ataçoğlu, I.</w:t>
      </w:r>
      <w:r w:rsidR="00F81221">
        <w:t xml:space="preserve"> and </w:t>
      </w:r>
      <w:r w:rsidRPr="00A428C3">
        <w:t>Kutsal, T. (2000), Equilibrium parameters for the single-</w:t>
      </w:r>
      <w:r w:rsidR="00F81221">
        <w:t xml:space="preserve"> and </w:t>
      </w:r>
      <w:r w:rsidRPr="00A428C3">
        <w:t>multicomponent biosorption of Cr(VI)</w:t>
      </w:r>
      <w:r w:rsidR="00F81221">
        <w:t xml:space="preserve"> and </w:t>
      </w:r>
      <w:r w:rsidRPr="00A428C3">
        <w:t xml:space="preserve">Fe(III) ions on </w:t>
      </w:r>
      <w:r w:rsidRPr="00A428C3">
        <w:rPr>
          <w:i/>
        </w:rPr>
        <w:t>R. arrhizus</w:t>
      </w:r>
      <w:r w:rsidRPr="00A428C3">
        <w:t xml:space="preserve"> in a packed column. </w:t>
      </w:r>
      <w:r w:rsidRPr="00A428C3">
        <w:rPr>
          <w:i/>
        </w:rPr>
        <w:t>Hydrometallurgy</w:t>
      </w:r>
      <w:r w:rsidRPr="00A428C3">
        <w:t xml:space="preserve">, </w:t>
      </w:r>
      <w:r w:rsidRPr="00A428C3">
        <w:rPr>
          <w:b/>
        </w:rPr>
        <w:t>55</w:t>
      </w:r>
      <w:r w:rsidRPr="00A428C3">
        <w:t xml:space="preserve"> (2), 165-179.</w:t>
      </w:r>
    </w:p>
    <w:p w:rsidR="00B95188" w:rsidRPr="00A428C3" w:rsidRDefault="00B95188" w:rsidP="00B95188">
      <w:pPr>
        <w:pStyle w:val="a0"/>
      </w:pPr>
      <w:r w:rsidRPr="00A428C3">
        <w:t xml:space="preserve">Full Text: </w:t>
      </w:r>
      <w:hyperlink r:id="rId736" w:history="1">
        <w:r w:rsidRPr="00A428C3">
          <w:rPr>
            <w:rStyle w:val="a5"/>
          </w:rPr>
          <w:t>H\Hydrometallurgy55, 165.pdf</w:t>
        </w:r>
      </w:hyperlink>
    </w:p>
    <w:p w:rsidR="00B95188" w:rsidRPr="00A428C3" w:rsidRDefault="00B95188" w:rsidP="00735710">
      <w:pPr>
        <w:pStyle w:val="a0"/>
      </w:pPr>
      <w:r w:rsidRPr="00A428C3">
        <w:t>Abstract: In this study, simultaneous biosorption of Cr(VI)</w:t>
      </w:r>
      <w:r w:rsidR="00F81221">
        <w:t xml:space="preserve"> and </w:t>
      </w:r>
      <w:r w:rsidRPr="00A428C3">
        <w:t xml:space="preserve">Fe(III) on free </w:t>
      </w:r>
      <w:r w:rsidRPr="00A428C3">
        <w:rPr>
          <w:i/>
          <w:iCs/>
        </w:rPr>
        <w:t>Rhizopus arrhizus</w:t>
      </w:r>
      <w:r w:rsidRPr="00A428C3">
        <w:t xml:space="preserve"> in a packed column operated in a continuous mode was investigated</w:t>
      </w:r>
      <w:r w:rsidR="00F81221">
        <w:t xml:space="preserve"> and </w:t>
      </w:r>
      <w:r w:rsidRPr="00A428C3">
        <w:t>compared to the single metal ion situation. The breakthrough curves were measured as a function of feed flow rate</w:t>
      </w:r>
      <w:r w:rsidR="00F81221">
        <w:t xml:space="preserve"> and </w:t>
      </w:r>
      <w:r w:rsidRPr="00A428C3">
        <w:t xml:space="preserve">different combinations of metal ion concentrations in the feed solutions. Column competitive biosorption data were evaluated in terms of the maximum (equilibrium) capacity of the column, the amount of metal loading on the </w:t>
      </w:r>
      <w:r w:rsidRPr="00A428C3">
        <w:rPr>
          <w:i/>
        </w:rPr>
        <w:t>R. arrhizus</w:t>
      </w:r>
      <w:r w:rsidRPr="00A428C3">
        <w:t xml:space="preserve"> surface, the adsorption yield,</w:t>
      </w:r>
      <w:r w:rsidR="00F81221">
        <w:t xml:space="preserve"> and </w:t>
      </w:r>
      <w:r w:rsidRPr="00A428C3">
        <w:t>the total adsorption yield. Since the maximum column capacity</w:t>
      </w:r>
      <w:r w:rsidR="00F81221">
        <w:t xml:space="preserve"> and </w:t>
      </w:r>
      <w:r w:rsidRPr="00A428C3">
        <w:t>the adsorption yield decreased with increasing concentrations of the other metal ion, the combined action of Cr(VI)</w:t>
      </w:r>
      <w:r w:rsidR="00F81221">
        <w:t xml:space="preserve"> and </w:t>
      </w:r>
      <w:r w:rsidRPr="00A428C3">
        <w:t>Fe(III) on R, arrhizus was generally found to be antagonistic. In the single-ion situation, the adsorption isotherms were developed for optimum conditions</w:t>
      </w:r>
      <w:r w:rsidR="00F81221">
        <w:t xml:space="preserve"> and </w:t>
      </w:r>
      <w:r w:rsidRPr="00A428C3">
        <w:t>it was seen that the adsorption equilibrium data fit the non-competitive Freundlich model. For the multicomponent adsorption equilibrium, the competitive adsorption isotherms were also developed. The empirical Freundlich model for binary metal mixtures represented satisfactorily most of the column adsorption equilibrium data of Cr(VI)</w:t>
      </w:r>
      <w:r w:rsidR="00F81221">
        <w:t xml:space="preserve"> and </w:t>
      </w:r>
      <w:r w:rsidRPr="00A428C3">
        <w:t xml:space="preserve">Fe(III) on </w:t>
      </w:r>
      <w:r w:rsidRPr="00A428C3">
        <w:rPr>
          <w:i/>
        </w:rPr>
        <w:t>R. arrhizus</w:t>
      </w:r>
      <w:r w:rsidRPr="00A428C3">
        <w:t>.</w:t>
      </w:r>
    </w:p>
    <w:p w:rsidR="00B95188" w:rsidRPr="00A428C3" w:rsidRDefault="00B95188" w:rsidP="00735710">
      <w:pPr>
        <w:pStyle w:val="a0"/>
      </w:pPr>
      <w:r w:rsidRPr="00A428C3">
        <w:t xml:space="preserve">Keywords: Dilute Aqueous-Solutions, Heavy-Metals, Adsorption-Isotherms, </w:t>
      </w:r>
      <w:r w:rsidRPr="00A428C3">
        <w:lastRenderedPageBreak/>
        <w:t xml:space="preserve">Simultaneous Multielement, </w:t>
      </w:r>
      <w:r w:rsidRPr="00A428C3">
        <w:rPr>
          <w:i/>
          <w:iCs/>
        </w:rPr>
        <w:t>Saccharomyces-Cerevisiae</w:t>
      </w:r>
      <w:r w:rsidRPr="00A428C3">
        <w:t xml:space="preserve">, </w:t>
      </w:r>
      <w:r w:rsidRPr="00A428C3">
        <w:rPr>
          <w:i/>
          <w:iCs/>
        </w:rPr>
        <w:t>Chlorella-Vulgaris</w:t>
      </w:r>
      <w:r w:rsidRPr="00A428C3">
        <w:t xml:space="preserve">, Algal Biomass, Ca-Alginate, </w:t>
      </w:r>
      <w:r w:rsidRPr="00A428C3">
        <w:rPr>
          <w:i/>
        </w:rPr>
        <w:t>Z-Ramigera</w:t>
      </w:r>
      <w:r w:rsidRPr="00A428C3">
        <w:t>, Removal, Waste Water, Heavy Metal, Free Microorganism, Simultaneous Biosorption, Packed Column, Freundlich Model</w:t>
      </w:r>
    </w:p>
    <w:p w:rsidR="00B95188" w:rsidRPr="00A428C3" w:rsidRDefault="00B95188" w:rsidP="00B95188">
      <w:pPr>
        <w:pStyle w:val="a0"/>
      </w:pPr>
      <w:r w:rsidRPr="00A428C3">
        <w:t>Feng, D., Aldrich, C.</w:t>
      </w:r>
      <w:r w:rsidR="00F81221">
        <w:t xml:space="preserve"> and </w:t>
      </w:r>
      <w:r w:rsidRPr="00A428C3">
        <w:t xml:space="preserve">Tan, H. (2000), Removal of heavy metal ions by carrier magnetic separation of adsorptive particulates. </w:t>
      </w:r>
      <w:r w:rsidRPr="00A428C3">
        <w:rPr>
          <w:i/>
        </w:rPr>
        <w:t>Hydrometallurgy</w:t>
      </w:r>
      <w:r w:rsidRPr="00A428C3">
        <w:t xml:space="preserve">, </w:t>
      </w:r>
      <w:r w:rsidRPr="00A428C3">
        <w:rPr>
          <w:b/>
        </w:rPr>
        <w:t>56</w:t>
      </w:r>
      <w:r w:rsidRPr="00A428C3">
        <w:t xml:space="preserve"> (3), 359-368.</w:t>
      </w:r>
    </w:p>
    <w:p w:rsidR="00B95188" w:rsidRPr="00A428C3" w:rsidRDefault="00B95188" w:rsidP="00B95188">
      <w:pPr>
        <w:pStyle w:val="a0"/>
      </w:pPr>
      <w:r w:rsidRPr="00A428C3">
        <w:t xml:space="preserve">Full Text: </w:t>
      </w:r>
      <w:hyperlink r:id="rId737" w:history="1">
        <w:r w:rsidRPr="00A428C3">
          <w:rPr>
            <w:rStyle w:val="a5"/>
          </w:rPr>
          <w:t>H\Hydrometallurgy56, 359.pdf</w:t>
        </w:r>
      </w:hyperlink>
    </w:p>
    <w:p w:rsidR="00B95188" w:rsidRPr="00A428C3" w:rsidRDefault="00B95188" w:rsidP="00B95188">
      <w:pPr>
        <w:pStyle w:val="a0"/>
        <w:rPr>
          <w:rFonts w:eastAsia="Arial Unicode MS"/>
        </w:rPr>
      </w:pPr>
      <w:r w:rsidRPr="00A428C3">
        <w:t>Abstract: The removal of Pb, Cu,</w:t>
      </w:r>
      <w:r w:rsidR="00F81221">
        <w:t xml:space="preserve"> and </w:t>
      </w:r>
      <w:r w:rsidRPr="00A428C3">
        <w:t>Cd ions from diluted solutions by sorption onto clinoptilolite, together with magnetite–Fe(OH)</w:t>
      </w:r>
      <w:r w:rsidRPr="00A428C3">
        <w:rPr>
          <w:vertAlign w:val="subscript"/>
        </w:rPr>
        <w:t>3</w:t>
      </w:r>
      <w:r w:rsidRPr="00A428C3">
        <w:t xml:space="preserve"> coprecipitation</w:t>
      </w:r>
      <w:r w:rsidR="00F81221">
        <w:t xml:space="preserve"> and </w:t>
      </w:r>
      <w:r w:rsidRPr="00A428C3">
        <w:t>magnetic filtration, was studied at laboratory scale. Low concentrations of clinoptilolite fines were used as heavy metal ion sorbent, while low dosages of magnetite fines were used as magnetic carrier materials. In addition, hydrolyzed Fe</w:t>
      </w:r>
      <w:r w:rsidRPr="00A428C3">
        <w:rPr>
          <w:vertAlign w:val="superscript"/>
        </w:rPr>
        <w:t>3+</w:t>
      </w:r>
      <w:r w:rsidRPr="00A428C3">
        <w:t xml:space="preserve"> was used as coagulant. The magnetic clinoptilolite–magnetite–Fe(OH)</w:t>
      </w:r>
      <w:r w:rsidRPr="00A428C3">
        <w:rPr>
          <w:vertAlign w:val="subscript"/>
        </w:rPr>
        <w:t>3</w:t>
      </w:r>
      <w:r w:rsidRPr="00A428C3">
        <w:t xml:space="preserve"> aggregates were removed by magnetic filtration. Experimental results showed that the process was very rapid</w:t>
      </w:r>
      <w:r w:rsidR="00F81221">
        <w:t xml:space="preserve"> and </w:t>
      </w:r>
      <w:r w:rsidRPr="00A428C3">
        <w:t>effective</w:t>
      </w:r>
      <w:r w:rsidR="00F81221">
        <w:t xml:space="preserve"> and </w:t>
      </w:r>
      <w:r w:rsidRPr="00A428C3">
        <w:t>yielded clear solutions with low residual concentrations of heavy metals. (C) 2000 Elsevier Science B.V. All rights reserved.</w:t>
      </w:r>
    </w:p>
    <w:p w:rsidR="00B95188" w:rsidRPr="00A428C3" w:rsidRDefault="00B95188" w:rsidP="00B95188">
      <w:pPr>
        <w:pStyle w:val="a0"/>
      </w:pPr>
      <w:r w:rsidRPr="00A428C3">
        <w:t>Keywords: Clinoptilolite, Ion Exchange, Heavy Metal Ions, Magnetite, Flocculation, Carrier Magnetic Separation</w:t>
      </w:r>
    </w:p>
    <w:p w:rsidR="00B95188" w:rsidRPr="00A428C3" w:rsidRDefault="00B95188" w:rsidP="00B95188">
      <w:pPr>
        <w:pStyle w:val="a0"/>
      </w:pPr>
      <w:r w:rsidRPr="00A428C3">
        <w:t>Sağ, Y., Yalcuk, A.</w:t>
      </w:r>
      <w:r w:rsidR="00F81221">
        <w:t xml:space="preserve"> and </w:t>
      </w:r>
      <w:r w:rsidRPr="00A428C3">
        <w:t>Kutsal, T. (2001), Use of a mathematical model for prediction of the performance of the simultaneous biosorption of Cr(VI)</w:t>
      </w:r>
      <w:r w:rsidR="00F81221">
        <w:t xml:space="preserve"> and </w:t>
      </w:r>
      <w:r w:rsidRPr="00A428C3">
        <w:t xml:space="preserve">Fe(III) on </w:t>
      </w:r>
      <w:r w:rsidRPr="00A428C3">
        <w:rPr>
          <w:i/>
          <w:iCs/>
        </w:rPr>
        <w:t>Rhizopus arrhizus</w:t>
      </w:r>
      <w:r w:rsidRPr="00A428C3">
        <w:t xml:space="preserve"> in a semi-batch reactor. </w:t>
      </w:r>
      <w:r w:rsidRPr="00A428C3">
        <w:rPr>
          <w:i/>
        </w:rPr>
        <w:t>Hydrometallurgy</w:t>
      </w:r>
      <w:r w:rsidRPr="00A428C3">
        <w:t xml:space="preserve">, </w:t>
      </w:r>
      <w:r w:rsidRPr="00A428C3">
        <w:rPr>
          <w:b/>
        </w:rPr>
        <w:t>59</w:t>
      </w:r>
      <w:r w:rsidRPr="00A428C3">
        <w:t xml:space="preserve"> (1), 77-87.</w:t>
      </w:r>
    </w:p>
    <w:p w:rsidR="00B95188" w:rsidRPr="00A428C3" w:rsidRDefault="00B95188" w:rsidP="00B95188">
      <w:pPr>
        <w:pStyle w:val="a0"/>
      </w:pPr>
      <w:r w:rsidRPr="00A428C3">
        <w:t xml:space="preserve">Full Text: </w:t>
      </w:r>
      <w:hyperlink r:id="rId738" w:history="1">
        <w:r w:rsidRPr="00A428C3">
          <w:rPr>
            <w:rStyle w:val="a5"/>
          </w:rPr>
          <w:t>H\Hydrometallurgy59, 77.pdf</w:t>
        </w:r>
      </w:hyperlink>
    </w:p>
    <w:p w:rsidR="00B95188" w:rsidRPr="00A428C3" w:rsidRDefault="00B95188" w:rsidP="00B95188">
      <w:pPr>
        <w:pStyle w:val="a0"/>
      </w:pPr>
      <w:r w:rsidRPr="00A428C3">
        <w:t>Abstract: The simultaneous biosorption of Cr(VI)</w:t>
      </w:r>
      <w:r w:rsidR="00F81221">
        <w:t xml:space="preserve"> and </w:t>
      </w:r>
      <w:r w:rsidRPr="00A428C3">
        <w:t>Fe(III) ions in single component</w:t>
      </w:r>
      <w:r w:rsidR="00F81221">
        <w:t xml:space="preserve"> and </w:t>
      </w:r>
      <w:r w:rsidRPr="00A428C3">
        <w:t xml:space="preserve">binary systems has been studied using </w:t>
      </w:r>
      <w:r w:rsidRPr="00A428C3">
        <w:rPr>
          <w:i/>
          <w:iCs/>
        </w:rPr>
        <w:t>Rhizopus arrhizus</w:t>
      </w:r>
      <w:r w:rsidRPr="00A428C3">
        <w:t>, a filamentous fungus, in a semi-batch reactor. The mono-component equilibrium data have been analysed using the Langmuir model. For the prediction of the performance of the reactor for mono-and bicomponent biosorption of Cr(VI)</w:t>
      </w:r>
      <w:r w:rsidR="00F81221">
        <w:t xml:space="preserve"> and </w:t>
      </w:r>
      <w:r w:rsidRPr="00A428C3">
        <w:t>Fe(III) ions, a mathematical model based on mass balances for liquid</w:t>
      </w:r>
      <w:r w:rsidR="00F81221">
        <w:t xml:space="preserve"> and </w:t>
      </w:r>
      <w:r w:rsidRPr="00A428C3">
        <w:t>solid phases has been used. The forward</w:t>
      </w:r>
      <w:r w:rsidR="00F81221">
        <w:t xml:space="preserve"> and </w:t>
      </w:r>
      <w:r w:rsidRPr="00A428C3">
        <w:t>backward rate constants, K</w:t>
      </w:r>
      <w:r w:rsidRPr="00A428C3">
        <w:rPr>
          <w:vertAlign w:val="subscript"/>
        </w:rPr>
        <w:t>1</w:t>
      </w:r>
      <w:r w:rsidR="00F81221">
        <w:t xml:space="preserve"> and </w:t>
      </w:r>
      <w:r w:rsidRPr="00A428C3">
        <w:t>K</w:t>
      </w:r>
      <w:r w:rsidRPr="00A428C3">
        <w:rPr>
          <w:vertAlign w:val="subscript"/>
        </w:rPr>
        <w:t>2</w:t>
      </w:r>
      <w:r w:rsidRPr="00A428C3">
        <w:t>, have been calculated in the case of single metal biosorption</w:t>
      </w:r>
      <w:r w:rsidR="00F81221">
        <w:t xml:space="preserve"> and </w:t>
      </w:r>
      <w:r w:rsidRPr="00A428C3">
        <w:t>then used for modelling of the multi-component biosorption in the semi-batch reactor. The proposed model was shown to correlate well with single</w:t>
      </w:r>
      <w:r w:rsidR="00F81221">
        <w:t xml:space="preserve"> and </w:t>
      </w:r>
      <w:r w:rsidRPr="00A428C3">
        <w:t>bicomponent adsorption data. The capacity of Cr(VI) in the binary systems is greater than that of Fe(III), in agreement with the single component data. (C) 2001 Elsevier Science B.V. All rights reserved.</w:t>
      </w:r>
    </w:p>
    <w:p w:rsidR="00B95188" w:rsidRPr="00A428C3" w:rsidRDefault="00B95188" w:rsidP="00B95188">
      <w:pPr>
        <w:pStyle w:val="a0"/>
      </w:pPr>
      <w:r w:rsidRPr="00A428C3">
        <w:t xml:space="preserve">Keywords: Waste-Water, Biosorption, Cr(VI)-Fe(III), </w:t>
      </w:r>
      <w:r w:rsidRPr="00A428C3">
        <w:rPr>
          <w:i/>
          <w:iCs/>
        </w:rPr>
        <w:t>Rhizopus arrhizus</w:t>
      </w:r>
      <w:r w:rsidRPr="00A428C3">
        <w:t xml:space="preserve">, Multi-Component, Semi-Batch Reactor, Dilute Aqueous-Solutions, Alga </w:t>
      </w:r>
      <w:r w:rsidRPr="00A428C3">
        <w:rPr>
          <w:i/>
          <w:iCs/>
        </w:rPr>
        <w:t>Chlorella-Vulgaris</w:t>
      </w:r>
      <w:r w:rsidRPr="00A428C3">
        <w:t xml:space="preserve">, Heavy-Metals, Liquid-Chromatography, </w:t>
      </w:r>
      <w:r w:rsidRPr="00A428C3">
        <w:rPr>
          <w:i/>
          <w:iCs/>
        </w:rPr>
        <w:t>Zoogloea-Ramigera</w:t>
      </w:r>
      <w:r w:rsidRPr="00A428C3">
        <w:t>, Removal, Cadmium, Recovery, Biomass, Uranium</w:t>
      </w:r>
    </w:p>
    <w:p w:rsidR="00B95188" w:rsidRPr="00A428C3" w:rsidRDefault="00B95188" w:rsidP="00B95188">
      <w:pPr>
        <w:pStyle w:val="a0"/>
      </w:pPr>
      <w:r w:rsidRPr="00A428C3">
        <w:t>Barba, D., Beolchini, F.</w:t>
      </w:r>
      <w:r w:rsidR="00F81221">
        <w:t xml:space="preserve"> and </w:t>
      </w:r>
      <w:r w:rsidRPr="00A428C3">
        <w:t xml:space="preserve">Vegliò, F. (2001), A simulation study on biosorption of heavy metals by confined biomass in UF/MF membrane reactors. </w:t>
      </w:r>
      <w:r w:rsidRPr="00A428C3">
        <w:rPr>
          <w:i/>
        </w:rPr>
        <w:t>Hydrometallurgy</w:t>
      </w:r>
      <w:r w:rsidRPr="00A428C3">
        <w:t xml:space="preserve">, </w:t>
      </w:r>
      <w:r w:rsidRPr="00A428C3">
        <w:rPr>
          <w:b/>
        </w:rPr>
        <w:lastRenderedPageBreak/>
        <w:t>59</w:t>
      </w:r>
      <w:r w:rsidRPr="00A428C3">
        <w:t xml:space="preserve"> (1), 89-99.</w:t>
      </w:r>
    </w:p>
    <w:p w:rsidR="00B95188" w:rsidRPr="00A428C3" w:rsidRDefault="00B95188" w:rsidP="00B95188">
      <w:pPr>
        <w:pStyle w:val="a0"/>
      </w:pPr>
      <w:r w:rsidRPr="00A428C3">
        <w:t xml:space="preserve">Full Text: </w:t>
      </w:r>
      <w:hyperlink r:id="rId739" w:history="1">
        <w:r w:rsidRPr="00A428C3">
          <w:rPr>
            <w:rStyle w:val="a5"/>
          </w:rPr>
          <w:t>H\Hydrometallurgy59, 89.pdf</w:t>
        </w:r>
      </w:hyperlink>
    </w:p>
    <w:p w:rsidR="00B95188" w:rsidRPr="00A428C3" w:rsidRDefault="00B95188" w:rsidP="00B95188">
      <w:pPr>
        <w:pStyle w:val="a0"/>
        <w:rPr>
          <w:rFonts w:eastAsia="Arial Unicode MS"/>
        </w:rPr>
      </w:pPr>
      <w:r w:rsidRPr="00A428C3">
        <w:t>Abstract: A study on the biosorption of heavy metals is reported in this work. A biosorption process realised by confining the biomass in a membrane reactor has been considered. A kinetic model for the process has been developed by combining equilibrium data</w:t>
      </w:r>
      <w:r w:rsidR="00F81221">
        <w:t xml:space="preserve"> and </w:t>
      </w:r>
      <w:r w:rsidRPr="00A428C3">
        <w:t>material balances. Simulations have been performed to determine the effect of main operating conditions on the process. In particular, the metal profiles in the outlet stream</w:t>
      </w:r>
      <w:r w:rsidR="00F81221">
        <w:t xml:space="preserve"> and </w:t>
      </w:r>
      <w:r w:rsidRPr="00A428C3">
        <w:t>the cumulative metal removal have been determined both in a single-stage reactor</w:t>
      </w:r>
      <w:r w:rsidR="00F81221">
        <w:t xml:space="preserve"> and </w:t>
      </w:r>
      <w:r w:rsidRPr="00A428C3">
        <w:t xml:space="preserve">in a series of two-membrane modules. Furthermore, a range of variation for the metal concentration in the permeate has been determined, in order to predict experimental data with 95% probability. A first validation of the model has been obtained for a single-stage ultrafiltration/microfiltration (UF/MF) system, in the case of copper biosorption by </w:t>
      </w:r>
      <w:r w:rsidRPr="00A428C3">
        <w:rPr>
          <w:i/>
          <w:iCs/>
        </w:rPr>
        <w:t>Arthrobacter</w:t>
      </w:r>
      <w:r w:rsidRPr="00A428C3">
        <w:t xml:space="preserve"> sp., under the following operating conditions: inlet copper concentration, 10 mg/L; inlet flow rate, 3.5 mL/min; biomass concentration, </w:t>
      </w:r>
      <w:smartTag w:uri="urn:schemas-microsoft-com:office:smarttags" w:element="chmetcnv">
        <w:smartTagPr>
          <w:attr w:name="TCSC" w:val="0"/>
          <w:attr w:name="NumberType" w:val="1"/>
          <w:attr w:name="Negative" w:val="False"/>
          <w:attr w:name="HasSpace" w:val="True"/>
          <w:attr w:name="SourceValue" w:val="1"/>
          <w:attr w:name="UnitName" w:val="g"/>
        </w:smartTagPr>
        <w:r w:rsidRPr="00A428C3">
          <w:t>1 g</w:t>
        </w:r>
      </w:smartTag>
      <w:r w:rsidRPr="00A428C3">
        <w:t>/L; reaction volume, 500 mL. The simulation showed the technical feasibility of this biosorption process where biomass is confined inside the reactor by an appropriate membrane. (C) 2001 Elsevier Science B.V. All rights reserved.</w:t>
      </w:r>
    </w:p>
    <w:p w:rsidR="00B95188" w:rsidRPr="00A428C3" w:rsidRDefault="00B95188" w:rsidP="00B95188">
      <w:pPr>
        <w:pStyle w:val="a0"/>
      </w:pPr>
      <w:r w:rsidRPr="00A428C3">
        <w:t>Keywords: Biosorption, Confined Biomass, Membrane Reactor</w:t>
      </w:r>
    </w:p>
    <w:p w:rsidR="00B95188" w:rsidRPr="00A428C3" w:rsidRDefault="00B95188" w:rsidP="00B95188">
      <w:pPr>
        <w:pStyle w:val="a0"/>
      </w:pPr>
      <w:r w:rsidRPr="00A428C3">
        <w:t>Lukey, G.C., Van Deventer, J.S.J.</w:t>
      </w:r>
      <w:r w:rsidR="00F81221">
        <w:t xml:space="preserve"> and </w:t>
      </w:r>
      <w:r w:rsidRPr="00A428C3">
        <w:t xml:space="preserve">Shallcross, </w:t>
      </w:r>
      <w:smartTag w:uri="urn:schemas-microsoft-com:office:smarttags" w:element="State">
        <w:r w:rsidRPr="00A428C3">
          <w:t>D.C.</w:t>
        </w:r>
      </w:smartTag>
      <w:r w:rsidRPr="00A428C3">
        <w:t xml:space="preserve"> (2001), Equilibrium model for the sorption of gold cyanide</w:t>
      </w:r>
      <w:r w:rsidR="00F81221">
        <w:t xml:space="preserve"> and </w:t>
      </w:r>
      <w:r w:rsidRPr="00A428C3">
        <w:t xml:space="preserve">copper cyanide on trimethylamine ion exchange resin in saline solutions. </w:t>
      </w:r>
      <w:r w:rsidRPr="00A428C3">
        <w:rPr>
          <w:i/>
        </w:rPr>
        <w:t>Hydrometallurgy</w:t>
      </w:r>
      <w:r w:rsidRPr="00A428C3">
        <w:t xml:space="preserve">, </w:t>
      </w:r>
      <w:r w:rsidRPr="00A428C3">
        <w:rPr>
          <w:b/>
        </w:rPr>
        <w:t>59</w:t>
      </w:r>
      <w:r w:rsidRPr="00A428C3">
        <w:t xml:space="preserve"> (1), 101-113.</w:t>
      </w:r>
    </w:p>
    <w:p w:rsidR="00B95188" w:rsidRPr="00A428C3" w:rsidRDefault="00B95188" w:rsidP="00B95188">
      <w:pPr>
        <w:pStyle w:val="a0"/>
      </w:pPr>
      <w:r w:rsidRPr="00A428C3">
        <w:t xml:space="preserve">Full Text: </w:t>
      </w:r>
      <w:hyperlink r:id="rId740" w:history="1">
        <w:r w:rsidRPr="00A428C3">
          <w:rPr>
            <w:rStyle w:val="a5"/>
          </w:rPr>
          <w:t>H\Hydrometallurgy59, 101.pdf</w:t>
        </w:r>
      </w:hyperlink>
    </w:p>
    <w:p w:rsidR="00B95188" w:rsidRPr="00A428C3" w:rsidRDefault="00B95188" w:rsidP="00B95188">
      <w:pPr>
        <w:pStyle w:val="a0"/>
        <w:rPr>
          <w:rFonts w:eastAsia="Arial Unicode MS"/>
        </w:rPr>
      </w:pPr>
      <w:r w:rsidRPr="00A428C3">
        <w:t>Abstract: The majority of models proposed previously for the prediction of ion exchange sorption equilibria are suitable for well-defined</w:t>
      </w:r>
      <w:r w:rsidR="00F81221">
        <w:t xml:space="preserve"> and </w:t>
      </w:r>
      <w:r w:rsidRPr="00A428C3">
        <w:t>ideal systems. These models commonly use the isotherm equations proposed by Langmuir, Freundlich or Fritz</w:t>
      </w:r>
      <w:r w:rsidR="00F81221">
        <w:t xml:space="preserve"> and </w:t>
      </w:r>
      <w:r w:rsidRPr="00A428C3">
        <w:t>Schluender. However, these equations have very little theoretical justification</w:t>
      </w:r>
      <w:r w:rsidR="00F81221">
        <w:t xml:space="preserve"> and </w:t>
      </w:r>
      <w:r w:rsidRPr="00A428C3">
        <w:t>the behaviour of these models in non-ideal systems, such as those commonly encountered in the hydrometallurgical industry, is uncertain. The present study formulates a mathematical model based on the principles of statistical thermodynamics as well as the use of the Metropolis Monte Carlo (MMC) numerical method. The model is able to successfully describe the multi-component equilibrium sorption of gold cyanide</w:t>
      </w:r>
      <w:r w:rsidR="00F81221">
        <w:t xml:space="preserve"> and </w:t>
      </w:r>
      <w:r w:rsidRPr="00A428C3">
        <w:t xml:space="preserve">copper cyanide onto an ion exchange resin containing trimethylammonium functional groups in non-saline, as well as saline solutions, such as those found in </w:t>
      </w:r>
      <w:smartTag w:uri="urn:schemas-microsoft-com:office:smarttags" w:element="place">
        <w:smartTag w:uri="urn:schemas-microsoft-com:office:smarttags" w:element="State">
          <w:r w:rsidRPr="00A428C3">
            <w:t>Western Australia</w:t>
          </w:r>
        </w:smartTag>
      </w:smartTag>
      <w:r w:rsidRPr="00A428C3">
        <w:t>. An important aspect of this modelling approach is that it does not use any solely empirical parameters. All the parameters have some physical meaning</w:t>
      </w:r>
      <w:r w:rsidR="00F81221">
        <w:t xml:space="preserve"> and </w:t>
      </w:r>
      <w:r w:rsidRPr="00A428C3">
        <w:t xml:space="preserve">describe only a single characteristic of the sorption system. It is therefore possible to include fundamental information of the system in order to facilitate easier parameter estimation. The model explicitly describes, in a </w:t>
      </w:r>
      <w:r w:rsidRPr="00A428C3">
        <w:lastRenderedPageBreak/>
        <w:t>mathematical form, classical non-ideal sorption phenomena such as selectivity, irreversibility,</w:t>
      </w:r>
      <w:r w:rsidR="00F81221">
        <w:t xml:space="preserve"> and </w:t>
      </w:r>
      <w:r w:rsidRPr="00A428C3">
        <w:t>interaction between sorbed species, which previously have been understood only from a chemical viewpoint. Consequently, by varying the surface properties</w:t>
      </w:r>
      <w:r w:rsidR="00F81221">
        <w:t xml:space="preserve"> and </w:t>
      </w:r>
      <w:r w:rsidRPr="00A428C3">
        <w:t>comparing the model predictions with experimental data, further insight has been gained into the sorption properties of ion exchange resins for gold cyanide</w:t>
      </w:r>
      <w:r w:rsidR="00F81221">
        <w:t xml:space="preserve"> and </w:t>
      </w:r>
      <w:r w:rsidRPr="00A428C3">
        <w:t>copper cyanide in non-saline as well as highly saline solutions. (C) 2001 Elsevier Science B.V. All rights reserved.</w:t>
      </w:r>
    </w:p>
    <w:p w:rsidR="00B95188" w:rsidRPr="00A428C3" w:rsidRDefault="00B95188" w:rsidP="00B95188">
      <w:pPr>
        <w:pStyle w:val="a0"/>
      </w:pPr>
      <w:r w:rsidRPr="00A428C3">
        <w:t>Keywords: Gold Cyanide, Ion Exchange, Modelling</w:t>
      </w:r>
    </w:p>
    <w:p w:rsidR="00B95188" w:rsidRPr="00A428C3" w:rsidRDefault="00B95188" w:rsidP="00B95188">
      <w:pPr>
        <w:pStyle w:val="a0"/>
      </w:pPr>
      <w:r w:rsidRPr="00A428C3">
        <w:t>Kononova, O.N., Kholmogorov, A.G., Kononov, Y.S., Pashkov, G.L., Kachin, S.V.</w:t>
      </w:r>
      <w:r w:rsidR="00F81221">
        <w:t xml:space="preserve"> and </w:t>
      </w:r>
      <w:r w:rsidRPr="00A428C3">
        <w:t xml:space="preserve">Zotova, S.V. (2001), Sorption recovery of gold from thiosulphate solutions after leaching of products of chemical preparation of hard concentrates. </w:t>
      </w:r>
      <w:r w:rsidRPr="00A428C3">
        <w:rPr>
          <w:i/>
        </w:rPr>
        <w:t>Hydrometallurgy</w:t>
      </w:r>
      <w:r w:rsidRPr="00A428C3">
        <w:t xml:space="preserve">, </w:t>
      </w:r>
      <w:r w:rsidRPr="00A428C3">
        <w:rPr>
          <w:b/>
        </w:rPr>
        <w:t>59</w:t>
      </w:r>
      <w:r w:rsidRPr="00A428C3">
        <w:t xml:space="preserve"> (1), 115-123.</w:t>
      </w:r>
    </w:p>
    <w:p w:rsidR="00B95188" w:rsidRPr="00A428C3" w:rsidRDefault="00B95188" w:rsidP="00B95188">
      <w:pPr>
        <w:pStyle w:val="a0"/>
      </w:pPr>
      <w:r w:rsidRPr="00A428C3">
        <w:t xml:space="preserve">Full Text: </w:t>
      </w:r>
      <w:hyperlink r:id="rId741" w:history="1">
        <w:r w:rsidRPr="00A428C3">
          <w:rPr>
            <w:rStyle w:val="a5"/>
          </w:rPr>
          <w:t>H\Hydrometallurgy59, 115.pdf</w:t>
        </w:r>
      </w:hyperlink>
    </w:p>
    <w:p w:rsidR="00B95188" w:rsidRPr="00A428C3" w:rsidRDefault="00B95188" w:rsidP="00B95188">
      <w:pPr>
        <w:pStyle w:val="a0"/>
        <w:rPr>
          <w:rFonts w:eastAsia="Arial Unicode MS"/>
        </w:rPr>
      </w:pPr>
      <w:r w:rsidRPr="00A428C3">
        <w:t>Abstract: Gold recovery from arsenopyrite coaly hard concentrates obtained by ore flotation concentration has been studied. The thiosulphate leaching of the products obtained after the chemical preparation of the concentrates was carried out in the system Na</w:t>
      </w:r>
      <w:r w:rsidRPr="00A428C3">
        <w:rPr>
          <w:vertAlign w:val="subscript"/>
        </w:rPr>
        <w:t>2</w:t>
      </w:r>
      <w:r w:rsidRPr="00A428C3">
        <w:t>S</w:t>
      </w:r>
      <w:r w:rsidRPr="00A428C3">
        <w:rPr>
          <w:vertAlign w:val="subscript"/>
        </w:rPr>
        <w:t>2</w:t>
      </w:r>
      <w:r w:rsidRPr="00A428C3">
        <w:t>O</w:t>
      </w:r>
      <w:r w:rsidRPr="00A428C3">
        <w:rPr>
          <w:vertAlign w:val="subscript"/>
        </w:rPr>
        <w:t>3</w:t>
      </w:r>
      <w:r w:rsidRPr="00A428C3">
        <w:t>–NH</w:t>
      </w:r>
      <w:r w:rsidRPr="00A428C3">
        <w:rPr>
          <w:vertAlign w:val="subscript"/>
        </w:rPr>
        <w:t>3</w:t>
      </w:r>
      <w:r w:rsidRPr="00A428C3">
        <w:t>–H</w:t>
      </w:r>
      <w:r w:rsidRPr="00A428C3">
        <w:rPr>
          <w:vertAlign w:val="subscript"/>
        </w:rPr>
        <w:t>2</w:t>
      </w:r>
      <w:r w:rsidRPr="00A428C3">
        <w:t>O at 20–</w:t>
      </w:r>
      <w:smartTag w:uri="urn:schemas-microsoft-com:office:smarttags" w:element="chmetcnv">
        <w:smartTagPr>
          <w:attr w:name="TCSC" w:val="0"/>
          <w:attr w:name="NumberType" w:val="1"/>
          <w:attr w:name="Negative" w:val="False"/>
          <w:attr w:name="HasSpace" w:val="False"/>
          <w:attr w:name="SourceValue" w:val="22"/>
          <w:attr w:name="UnitName" w:val="ﾰC"/>
        </w:smartTagPr>
        <w:r w:rsidRPr="00A428C3">
          <w:t>22°C</w:t>
        </w:r>
      </w:smartTag>
      <w:r w:rsidRPr="00A428C3">
        <w:t>. The gold recovery on ion exchangers</w:t>
      </w:r>
      <w:r w:rsidR="00F81221">
        <w:t xml:space="preserve"> and </w:t>
      </w:r>
      <w:r w:rsidRPr="00A428C3">
        <w:t>carbon adsorbents from the thiosulphate solutions was investigated. It was found that the use of strong basic or polyfunctional anion exchangers of macroporous or porous structure is the most applicable for hydrometallurgical technology. (C) 2001 Elsevier Science B.V. All rights reserved.</w:t>
      </w:r>
    </w:p>
    <w:p w:rsidR="00B95188" w:rsidRPr="00A428C3" w:rsidRDefault="00B95188" w:rsidP="00B95188">
      <w:pPr>
        <w:pStyle w:val="a0"/>
      </w:pPr>
      <w:r w:rsidRPr="00A428C3">
        <w:t>Keywords: Gold, Arsenopyrite Coaly Hard Concentrates, Thiosulphate Leaching, Sorption Recovery</w:t>
      </w:r>
    </w:p>
    <w:p w:rsidR="00B95188" w:rsidRPr="00A428C3" w:rsidRDefault="00B95188" w:rsidP="00B95188">
      <w:pPr>
        <w:pStyle w:val="a0"/>
      </w:pPr>
      <w:r w:rsidRPr="00A428C3">
        <w:t xml:space="preserve">Volesky, B. (2001), Detoxification of metal-bearing effluents: Biosorption for the next century. </w:t>
      </w:r>
      <w:r w:rsidRPr="00A428C3">
        <w:rPr>
          <w:i/>
        </w:rPr>
        <w:t>Hydrometallurgy</w:t>
      </w:r>
      <w:r w:rsidRPr="00A428C3">
        <w:t xml:space="preserve">, </w:t>
      </w:r>
      <w:r w:rsidRPr="00A428C3">
        <w:rPr>
          <w:b/>
        </w:rPr>
        <w:t>59</w:t>
      </w:r>
      <w:r w:rsidRPr="00A428C3">
        <w:t xml:space="preserve"> (2-3), 203-216.</w:t>
      </w:r>
    </w:p>
    <w:p w:rsidR="00B95188" w:rsidRPr="00A428C3" w:rsidRDefault="00B95188" w:rsidP="00B95188">
      <w:pPr>
        <w:pStyle w:val="a0"/>
      </w:pPr>
      <w:r w:rsidRPr="00A428C3">
        <w:t xml:space="preserve">Full Text: </w:t>
      </w:r>
      <w:hyperlink r:id="rId742" w:history="1">
        <w:r w:rsidRPr="00A428C3">
          <w:rPr>
            <w:rStyle w:val="a5"/>
          </w:rPr>
          <w:t>H\Hydrometallurgy59, 203.pdf</w:t>
        </w:r>
      </w:hyperlink>
    </w:p>
    <w:p w:rsidR="00B95188" w:rsidRPr="00A428C3" w:rsidRDefault="00B95188" w:rsidP="00B95188">
      <w:pPr>
        <w:pStyle w:val="a0"/>
        <w:rPr>
          <w:rFonts w:eastAsia="Arial Unicode MS"/>
        </w:rPr>
      </w:pPr>
      <w:r w:rsidRPr="00A428C3">
        <w:t>Abstract: Metals can be removed</w:t>
      </w:r>
      <w:r w:rsidR="00F81221">
        <w:t xml:space="preserve"> and </w:t>
      </w:r>
      <w:r w:rsidRPr="00A428C3">
        <w:t xml:space="preserve">concentrated from solutions by using biomass material. Conservative estimates give new biosorbents the potential share amounting to US$27 million/year of the currently existing environmental market in </w:t>
      </w:r>
      <w:smartTag w:uri="urn:schemas-microsoft-com:office:smarttags" w:element="place">
        <w:r w:rsidRPr="00A428C3">
          <w:t>North America</w:t>
        </w:r>
      </w:smartTag>
      <w:r w:rsidRPr="00A428C3">
        <w:t xml:space="preserve"> alone. Very high cost-effectiveness of biosorption technology would tend to open new opportunities currently untapped. Biosorbents can be regenerated for multiple reuse, offering the metal recovery possibility from concentrated wash solutions. Relatively simple metal biosorption processes can meet the progressively stricter environmental discharge criteria. As with any up-stare technology, the continuing R&amp;D is crucial. The interdisciplinary nature on both sides, application as well as R&amp;D, poses quite a challenge. While there are numerous potential industrial clients, a successful biosorption enterprise will have to have courage, multidisciplinary skills</w:t>
      </w:r>
      <w:r w:rsidR="00F81221">
        <w:t xml:space="preserve"> and </w:t>
      </w:r>
      <w:r w:rsidRPr="00A428C3">
        <w:t>adequate financing. (C) 2001 Elsevier Science B.V. All rights reserved.</w:t>
      </w:r>
    </w:p>
    <w:p w:rsidR="00B95188" w:rsidRPr="00A428C3" w:rsidRDefault="00B95188" w:rsidP="00B95188">
      <w:pPr>
        <w:pStyle w:val="a0"/>
      </w:pPr>
      <w:r w:rsidRPr="00A428C3">
        <w:lastRenderedPageBreak/>
        <w:t>Keywords: Metal, Effluent, Biosorption, Heavy-Metals, Artificial Cells, Calcium Alginate, Ion-Exchange, Waste-Water, Biosorbent, Biomass, Cu, Biotechnology, Cadmium</w:t>
      </w:r>
    </w:p>
    <w:p w:rsidR="00B95188" w:rsidRPr="00A428C3" w:rsidRDefault="00B95188" w:rsidP="00B95188">
      <w:pPr>
        <w:pStyle w:val="a0"/>
      </w:pPr>
      <w:r w:rsidRPr="00A428C3">
        <w:t>Tsezos, M. (2001), Biosorption of metals. The experience accumulated</w:t>
      </w:r>
      <w:r w:rsidR="00F81221">
        <w:t xml:space="preserve"> and </w:t>
      </w:r>
      <w:r w:rsidRPr="00A428C3">
        <w:t xml:space="preserve">the outlook for technology development. </w:t>
      </w:r>
      <w:r w:rsidRPr="00A428C3">
        <w:rPr>
          <w:i/>
        </w:rPr>
        <w:t>Hydrometallurgy</w:t>
      </w:r>
      <w:r w:rsidRPr="00A428C3">
        <w:t xml:space="preserve">, </w:t>
      </w:r>
      <w:r w:rsidRPr="00A428C3">
        <w:rPr>
          <w:b/>
        </w:rPr>
        <w:t>59</w:t>
      </w:r>
      <w:r w:rsidRPr="00A428C3">
        <w:t xml:space="preserve"> (2-3), 241-243.</w:t>
      </w:r>
    </w:p>
    <w:p w:rsidR="00B95188" w:rsidRPr="00A428C3" w:rsidRDefault="00B95188" w:rsidP="00B95188">
      <w:pPr>
        <w:pStyle w:val="a0"/>
      </w:pPr>
      <w:r w:rsidRPr="00A428C3">
        <w:t xml:space="preserve">Full Text: </w:t>
      </w:r>
      <w:hyperlink r:id="rId743" w:history="1">
        <w:r w:rsidRPr="00A428C3">
          <w:rPr>
            <w:rStyle w:val="a5"/>
          </w:rPr>
          <w:t>H\Hydrometallurgy59, 241.pdf</w:t>
        </w:r>
      </w:hyperlink>
    </w:p>
    <w:p w:rsidR="00B95188" w:rsidRPr="00A428C3" w:rsidRDefault="00B95188" w:rsidP="00B95188">
      <w:pPr>
        <w:pStyle w:val="a0"/>
      </w:pPr>
      <w:r w:rsidRPr="00A428C3">
        <w:t>Keywords: Biosorption, Metals, Technology, Uranium</w:t>
      </w:r>
    </w:p>
    <w:p w:rsidR="00B95188" w:rsidRPr="00A428C3" w:rsidRDefault="00B95188" w:rsidP="00B95188">
      <w:pPr>
        <w:pStyle w:val="a0"/>
      </w:pPr>
      <w:r w:rsidRPr="00A428C3">
        <w:t>Hatzikioseyian, A., Tsezos, M.</w:t>
      </w:r>
      <w:r w:rsidR="00F81221">
        <w:t xml:space="preserve"> and </w:t>
      </w:r>
      <w:r w:rsidRPr="00A428C3">
        <w:t xml:space="preserve">Mavituna, F. (2001), Application of simplified rapid equilibrium models in simulating experimental breakthrough curves from fixed bed biosorption reactors. </w:t>
      </w:r>
      <w:r w:rsidRPr="00A428C3">
        <w:rPr>
          <w:i/>
        </w:rPr>
        <w:t>Hydrometallurgy</w:t>
      </w:r>
      <w:r w:rsidRPr="00A428C3">
        <w:t xml:space="preserve">, </w:t>
      </w:r>
      <w:r w:rsidRPr="00A428C3">
        <w:rPr>
          <w:b/>
        </w:rPr>
        <w:t>59</w:t>
      </w:r>
      <w:r w:rsidRPr="00A428C3">
        <w:t xml:space="preserve"> (2-3), 395-406.</w:t>
      </w:r>
    </w:p>
    <w:p w:rsidR="00B95188" w:rsidRPr="00A428C3" w:rsidRDefault="00B95188" w:rsidP="00B95188">
      <w:pPr>
        <w:pStyle w:val="a0"/>
      </w:pPr>
      <w:r w:rsidRPr="00A428C3">
        <w:t xml:space="preserve">Full Text: </w:t>
      </w:r>
      <w:hyperlink r:id="rId744" w:history="1">
        <w:r w:rsidRPr="00A428C3">
          <w:rPr>
            <w:rStyle w:val="a5"/>
          </w:rPr>
          <w:t>H\Hydrometallurgy59, 395.pdf</w:t>
        </w:r>
      </w:hyperlink>
    </w:p>
    <w:p w:rsidR="00B95188" w:rsidRPr="00A428C3" w:rsidRDefault="00B95188" w:rsidP="00B95188">
      <w:pPr>
        <w:pStyle w:val="a0"/>
        <w:rPr>
          <w:rFonts w:eastAsia="Arial Unicode MS"/>
        </w:rPr>
      </w:pPr>
      <w:r w:rsidRPr="00A428C3">
        <w:t>Abstract: A modelling approach for a fixed bed biosorption column is presented. The Advection–Dispersion–Reaction (ADR) equation has been applied as the basic modelling equation for the special case of Local Equilibrium (LE). The model implements the minimum parameters for describing a fixed bed biosorption column, employing the geometrical dimensions of the bed, the packing arrangement, the operating conditions of the system,</w:t>
      </w:r>
      <w:r w:rsidR="00F81221">
        <w:t xml:space="preserve"> and </w:t>
      </w:r>
      <w:r w:rsidRPr="00A428C3">
        <w:t>the sorptive characteristics of the biosorbent material. An apparent axial dispersion coefficient has been used as a key parameter of the model. The authors compare model predictions to selected examples of experimental biosorption breakthrough curves reported from pilot scale work. Although the main assumption of the model is that biosorption equilibrium is rapid, the use of an apparent overall dispersion coefficient makes the model applicable for the cases where mass transfer resistances are present in the liquid</w:t>
      </w:r>
      <w:r w:rsidR="00F81221">
        <w:t xml:space="preserve"> and </w:t>
      </w:r>
      <w:r w:rsidRPr="00A428C3">
        <w:t>solid phases. (C) 2001 Elsevier Science B.V. All rights reserved.</w:t>
      </w:r>
    </w:p>
    <w:p w:rsidR="00B95188" w:rsidRPr="00A428C3" w:rsidRDefault="00B95188" w:rsidP="00B95188">
      <w:pPr>
        <w:pStyle w:val="a0"/>
      </w:pPr>
      <w:r w:rsidRPr="00A428C3">
        <w:t>Keywords: Modelling, Biosorption, Fixed Bed, Breakthrough Curves</w:t>
      </w:r>
    </w:p>
    <w:p w:rsidR="00B95188" w:rsidRPr="00A428C3" w:rsidRDefault="00B95188" w:rsidP="00B95188">
      <w:pPr>
        <w:pStyle w:val="a0"/>
      </w:pPr>
      <w:r w:rsidRPr="00A428C3">
        <w:t>de Carvalho, R.P., Guedes, K.J., Pinheiro, M.V.B.</w:t>
      </w:r>
      <w:r w:rsidR="00F81221">
        <w:t xml:space="preserve"> and </w:t>
      </w:r>
      <w:r w:rsidRPr="00A428C3">
        <w:t>Krambrock, K. (2001), Biosorption of copper by dried plant leaves studied by electron paramagnetic resonance</w:t>
      </w:r>
      <w:r w:rsidR="00F81221">
        <w:t xml:space="preserve"> and </w:t>
      </w:r>
      <w:r w:rsidRPr="00A428C3">
        <w:t xml:space="preserve">infrared spectroscopy. </w:t>
      </w:r>
      <w:r w:rsidRPr="00A428C3">
        <w:rPr>
          <w:i/>
        </w:rPr>
        <w:t>Hydrometallurgy</w:t>
      </w:r>
      <w:r w:rsidRPr="00A428C3">
        <w:t xml:space="preserve">, </w:t>
      </w:r>
      <w:r w:rsidRPr="00A428C3">
        <w:rPr>
          <w:b/>
        </w:rPr>
        <w:t>59</w:t>
      </w:r>
      <w:r w:rsidRPr="00A428C3">
        <w:t xml:space="preserve"> (2-3), 407-412.</w:t>
      </w:r>
    </w:p>
    <w:p w:rsidR="00B95188" w:rsidRPr="00A428C3" w:rsidRDefault="00B95188" w:rsidP="00B95188">
      <w:pPr>
        <w:pStyle w:val="a0"/>
      </w:pPr>
      <w:r w:rsidRPr="00A428C3">
        <w:t xml:space="preserve">Full Text: </w:t>
      </w:r>
      <w:hyperlink r:id="rId745" w:history="1">
        <w:r w:rsidRPr="00A428C3">
          <w:rPr>
            <w:rStyle w:val="a5"/>
          </w:rPr>
          <w:t>H\Hydrometallurgy59, 407.pdf</w:t>
        </w:r>
      </w:hyperlink>
    </w:p>
    <w:p w:rsidR="00B95188" w:rsidRPr="00A428C3" w:rsidRDefault="00B95188" w:rsidP="00B95188">
      <w:pPr>
        <w:pStyle w:val="a0"/>
        <w:rPr>
          <w:rFonts w:eastAsia="Arial Unicode MS"/>
        </w:rPr>
      </w:pPr>
      <w:r w:rsidRPr="00A428C3">
        <w:t>Abstract: We report on the biosorption of copper ions by dried leaves from the Brazilian flora. By Electron Paramagnetic Resonance (EPR), it is shown that the copper ions are incorporated in the leaves in a strongly axial site. Washing with a basic solution does not remove the copper from the leaves, however, it modifies the axial site symmetry. Infrared absorption seems to be compatible with a site that is located near to a simple or a double carbon–oxygen bond. Dried leaves are a good</w:t>
      </w:r>
      <w:r w:rsidR="00F81221">
        <w:t xml:space="preserve"> and </w:t>
      </w:r>
      <w:r w:rsidRPr="00A428C3">
        <w:t>commercially interesting alternative for sorption of metal ions compared to other biomasses. (C) 2001 Elsevier Science B.V. All rights reserved.</w:t>
      </w:r>
    </w:p>
    <w:p w:rsidR="00B95188" w:rsidRPr="00A428C3" w:rsidRDefault="00B95188" w:rsidP="00B95188">
      <w:pPr>
        <w:pStyle w:val="a0"/>
      </w:pPr>
      <w:r w:rsidRPr="00A428C3">
        <w:t>Keywords: Biosorption, Plant Biomass, EPR, FTIR, AAS, Cu</w:t>
      </w:r>
    </w:p>
    <w:p w:rsidR="00B95188" w:rsidRPr="00A428C3" w:rsidRDefault="00B95188" w:rsidP="00B95188">
      <w:pPr>
        <w:pStyle w:val="a0"/>
      </w:pPr>
      <w:r w:rsidRPr="00A428C3">
        <w:t>Dreher, T.M., Nelson, A., Demopoulos, G.P.</w:t>
      </w:r>
      <w:r w:rsidR="00F81221">
        <w:t xml:space="preserve"> and </w:t>
      </w:r>
      <w:r w:rsidRPr="00A428C3">
        <w:t xml:space="preserve">Filippou, D. (2001), The kinetics of </w:t>
      </w:r>
      <w:r w:rsidRPr="00A428C3">
        <w:lastRenderedPageBreak/>
        <w:t>cobalt removal by cementation from an industrial zinc electrolyte in the presence of Cu, Cd, Pb, Sb</w:t>
      </w:r>
      <w:r w:rsidR="00F81221">
        <w:t xml:space="preserve"> and </w:t>
      </w:r>
      <w:r w:rsidRPr="00A428C3">
        <w:t xml:space="preserve">Sn additives. </w:t>
      </w:r>
      <w:r w:rsidRPr="00A428C3">
        <w:rPr>
          <w:i/>
        </w:rPr>
        <w:t>Hydrometallurgy</w:t>
      </w:r>
      <w:r w:rsidRPr="00A428C3">
        <w:t xml:space="preserve">, </w:t>
      </w:r>
      <w:r w:rsidRPr="00A428C3">
        <w:rPr>
          <w:b/>
        </w:rPr>
        <w:t>60</w:t>
      </w:r>
      <w:r w:rsidRPr="00A428C3">
        <w:t xml:space="preserve"> (2), 105-116.</w:t>
      </w:r>
    </w:p>
    <w:p w:rsidR="00B95188" w:rsidRPr="00A428C3" w:rsidRDefault="00B95188" w:rsidP="00B95188">
      <w:pPr>
        <w:pStyle w:val="a0"/>
      </w:pPr>
      <w:r w:rsidRPr="00A428C3">
        <w:t xml:space="preserve">Full Text: </w:t>
      </w:r>
      <w:hyperlink r:id="rId746" w:history="1">
        <w:r w:rsidRPr="00A428C3">
          <w:rPr>
            <w:rStyle w:val="a5"/>
          </w:rPr>
          <w:t>H\Hydrometallurgy60, 105.pdf</w:t>
        </w:r>
      </w:hyperlink>
    </w:p>
    <w:p w:rsidR="00B95188" w:rsidRPr="00A428C3" w:rsidRDefault="00B95188" w:rsidP="00B95188">
      <w:pPr>
        <w:pStyle w:val="a0"/>
      </w:pPr>
      <w:r w:rsidRPr="00A428C3">
        <w:t>Abstract: The effect of the addition of various additives on the kinetics of cobalt removal</w:t>
      </w:r>
      <w:r w:rsidR="00F81221">
        <w:t xml:space="preserve"> and </w:t>
      </w:r>
      <w:r w:rsidRPr="00A428C3">
        <w:t xml:space="preserve">zinc-dust dissolution in an industrial zinc electrolyte solution during cementation was investigated. Optimum cobalt removal with minimal zinc-dust dissolution occurs at </w:t>
      </w:r>
      <w:smartTag w:uri="urn:schemas-microsoft-com:office:smarttags" w:element="chmetcnv">
        <w:smartTagPr>
          <w:attr w:name="TCSC" w:val="0"/>
          <w:attr w:name="NumberType" w:val="1"/>
          <w:attr w:name="Negative" w:val="False"/>
          <w:attr w:name="HasSpace" w:val="False"/>
          <w:attr w:name="SourceValue" w:val="85"/>
          <w:attr w:name="UnitName" w:val="ﾰC"/>
        </w:smartTagPr>
        <w:r w:rsidRPr="00A428C3">
          <w:t>85°C</w:t>
        </w:r>
      </w:smartTag>
      <w:r w:rsidRPr="00A428C3">
        <w:t xml:space="preserve"> with the addition of 15 mg/L copper, 10 mg/L cadmium</w:t>
      </w:r>
      <w:r w:rsidR="00F81221">
        <w:t xml:space="preserve"> and </w:t>
      </w:r>
      <w:r w:rsidRPr="00A428C3">
        <w:t xml:space="preserve">2 mg/L antimony, using </w:t>
      </w:r>
      <w:smartTag w:uri="urn:schemas-microsoft-com:office:smarttags" w:element="chmetcnv">
        <w:smartTagPr>
          <w:attr w:name="TCSC" w:val="0"/>
          <w:attr w:name="NumberType" w:val="1"/>
          <w:attr w:name="Negative" w:val="False"/>
          <w:attr w:name="HasSpace" w:val="True"/>
          <w:attr w:name="SourceValue" w:val="3.5"/>
          <w:attr w:name="UnitName" w:val="g"/>
        </w:smartTagPr>
        <w:r w:rsidRPr="00A428C3">
          <w:t>3.5 g</w:t>
        </w:r>
      </w:smartTag>
      <w:r w:rsidRPr="00A428C3">
        <w:t>/L zinc dust. It was determined that tin could substitute antimony, but a substantially greater concentration of tin is required for adequate cobalt removal. At temperatures 85–</w:t>
      </w:r>
      <w:smartTag w:uri="urn:schemas-microsoft-com:office:smarttags" w:element="chmetcnv">
        <w:smartTagPr>
          <w:attr w:name="TCSC" w:val="0"/>
          <w:attr w:name="NumberType" w:val="1"/>
          <w:attr w:name="Negative" w:val="False"/>
          <w:attr w:name="HasSpace" w:val="False"/>
          <w:attr w:name="SourceValue" w:val="90"/>
          <w:attr w:name="UnitName" w:val="ﾰC"/>
        </w:smartTagPr>
        <w:r w:rsidRPr="00A428C3">
          <w:t>90°C</w:t>
        </w:r>
      </w:smartTag>
      <w:r w:rsidRPr="00A428C3">
        <w:t xml:space="preserve">, the amount of dissolved zinc dust was always less than 10% of the initially-added zinc dust, but increased up to 80% at </w:t>
      </w:r>
      <w:smartTag w:uri="urn:schemas-microsoft-com:office:smarttags" w:element="chmetcnv">
        <w:smartTagPr>
          <w:attr w:name="TCSC" w:val="0"/>
          <w:attr w:name="NumberType" w:val="1"/>
          <w:attr w:name="Negative" w:val="False"/>
          <w:attr w:name="HasSpace" w:val="False"/>
          <w:attr w:name="SourceValue" w:val="95"/>
          <w:attr w:name="UnitName" w:val="ﾰC"/>
        </w:smartTagPr>
        <w:r w:rsidRPr="00A428C3">
          <w:t>95°C</w:t>
        </w:r>
      </w:smartTag>
      <w:r w:rsidRPr="00A428C3">
        <w:t>. For different additive combinations, there was no effect on zinc-dust dissolution.</w:t>
      </w:r>
    </w:p>
    <w:p w:rsidR="00B95188" w:rsidRPr="00A428C3" w:rsidRDefault="00B95188" w:rsidP="00B95188">
      <w:pPr>
        <w:pStyle w:val="a0"/>
        <w:rPr>
          <w:rFonts w:eastAsia="Arial Unicode MS"/>
        </w:rPr>
      </w:pPr>
      <w:r w:rsidRPr="00A428C3">
        <w:t>The initial rate of cobalt removal was satisfactorily fitted to a first-order rate equation. The apparent rate constant was determined to be 1.6±0.2×10</w:t>
      </w:r>
      <w:r w:rsidRPr="00A428C3">
        <w:rPr>
          <w:vertAlign w:val="superscript"/>
        </w:rPr>
        <w:t>−3</w:t>
      </w:r>
      <w:r w:rsidRPr="00A428C3">
        <w:t xml:space="preserve"> s</w:t>
      </w:r>
      <w:r w:rsidRPr="00A428C3">
        <w:rPr>
          <w:vertAlign w:val="superscript"/>
        </w:rPr>
        <w:t>−1</w:t>
      </w:r>
      <w:r w:rsidRPr="00A428C3">
        <w:t xml:space="preserve"> at </w:t>
      </w:r>
      <w:smartTag w:uri="urn:schemas-microsoft-com:office:smarttags" w:element="chmetcnv">
        <w:smartTagPr>
          <w:attr w:name="TCSC" w:val="0"/>
          <w:attr w:name="NumberType" w:val="1"/>
          <w:attr w:name="Negative" w:val="False"/>
          <w:attr w:name="HasSpace" w:val="False"/>
          <w:attr w:name="SourceValue" w:val="85"/>
          <w:attr w:name="UnitName" w:val="ﾰC"/>
        </w:smartTagPr>
        <w:r w:rsidRPr="00A428C3">
          <w:t>85°C</w:t>
        </w:r>
      </w:smartTag>
      <w:r w:rsidR="00F81221">
        <w:t xml:space="preserve"> and </w:t>
      </w:r>
      <w:r w:rsidRPr="00A428C3">
        <w:t>initial conditions of [Cu]=[Cd]=30 mg/L, [Sb]=2 mg/L, [Co]=8–30 mg/L</w:t>
      </w:r>
      <w:r w:rsidR="00F81221">
        <w:t xml:space="preserve"> and </w:t>
      </w:r>
      <w:r w:rsidRPr="00A428C3">
        <w:t>Zn dust=</w:t>
      </w:r>
      <w:smartTag w:uri="urn:schemas-microsoft-com:office:smarttags" w:element="chmetcnv">
        <w:smartTagPr>
          <w:attr w:name="TCSC" w:val="0"/>
          <w:attr w:name="NumberType" w:val="1"/>
          <w:attr w:name="Negative" w:val="False"/>
          <w:attr w:name="HasSpace" w:val="True"/>
          <w:attr w:name="SourceValue" w:val="3.5"/>
          <w:attr w:name="UnitName" w:val="g"/>
        </w:smartTagPr>
        <w:r w:rsidRPr="00A428C3">
          <w:t>3.5 g</w:t>
        </w:r>
      </w:smartTag>
      <w:r w:rsidRPr="00A428C3">
        <w:t xml:space="preserve">/L. Under similar initial conditions, it was found that the initial rate constant was dependent on the surface area of zinc dust available, up to approximately </w:t>
      </w:r>
      <w:smartTag w:uri="urn:schemas-microsoft-com:office:smarttags" w:element="chmetcnv">
        <w:smartTagPr>
          <w:attr w:name="TCSC" w:val="0"/>
          <w:attr w:name="NumberType" w:val="1"/>
          <w:attr w:name="Negative" w:val="False"/>
          <w:attr w:name="HasSpace" w:val="True"/>
          <w:attr w:name="SourceValue" w:val="6"/>
          <w:attr w:name="UnitName" w:val="m2"/>
        </w:smartTagPr>
        <w:r w:rsidRPr="00A428C3">
          <w:t>6 m</w:t>
        </w:r>
        <w:r w:rsidRPr="00A428C3">
          <w:rPr>
            <w:vertAlign w:val="superscript"/>
          </w:rPr>
          <w:t>2</w:t>
        </w:r>
      </w:smartTag>
      <w:r w:rsidRPr="00A428C3">
        <w:t>/L (</w:t>
      </w:r>
      <w:smartTag w:uri="urn:schemas-microsoft-com:office:smarttags" w:element="chmetcnv">
        <w:smartTagPr>
          <w:attr w:name="TCSC" w:val="0"/>
          <w:attr w:name="NumberType" w:val="1"/>
          <w:attr w:name="Negative" w:val="False"/>
          <w:attr w:name="HasSpace" w:val="True"/>
          <w:attr w:name="SourceValue" w:val="3.5"/>
          <w:attr w:name="UnitName" w:val="g"/>
        </w:smartTagPr>
        <w:r w:rsidRPr="00A428C3">
          <w:t>3.5 g</w:t>
        </w:r>
      </w:smartTag>
      <w:r w:rsidRPr="00A428C3">
        <w:t>/L zinc dust), after which a plateau was observed. The apparent activation energy for the process was estimated equal to 51 kJ/mol. This high value suggests that the cobalt removal process is controlled by a surface chemical reaction. (C) 2001 Elsevier Science B.V. All rights reserved.</w:t>
      </w:r>
    </w:p>
    <w:p w:rsidR="00B95188" w:rsidRPr="00A428C3" w:rsidRDefault="00B95188" w:rsidP="00B95188">
      <w:pPr>
        <w:pStyle w:val="a0"/>
      </w:pPr>
      <w:r w:rsidRPr="00A428C3">
        <w:t xml:space="preserve">Esposito, A., Pagnanelli, F., </w:t>
      </w:r>
      <w:smartTag w:uri="urn:schemas-microsoft-com:office:smarttags" w:element="place">
        <w:smartTag w:uri="urn:schemas-microsoft-com:office:smarttags" w:element="City">
          <w:r w:rsidRPr="00A428C3">
            <w:t>Lodi</w:t>
          </w:r>
        </w:smartTag>
      </w:smartTag>
      <w:r w:rsidRPr="00A428C3">
        <w:t>, A., Solisio, C.</w:t>
      </w:r>
      <w:r w:rsidR="00F81221">
        <w:t xml:space="preserve"> and </w:t>
      </w:r>
      <w:r w:rsidRPr="00A428C3">
        <w:t xml:space="preserve">Vegliò, F. (2001), Biosorption of heavy metals by </w:t>
      </w:r>
      <w:r w:rsidRPr="00A428C3">
        <w:rPr>
          <w:i/>
          <w:iCs/>
        </w:rPr>
        <w:t>Sphaerotilus natans</w:t>
      </w:r>
      <w:r w:rsidRPr="00A428C3">
        <w:t>: An equilibrium study at different pH</w:t>
      </w:r>
      <w:r w:rsidR="00F81221">
        <w:t xml:space="preserve"> and </w:t>
      </w:r>
      <w:r w:rsidRPr="00A428C3">
        <w:t xml:space="preserve">biomass concentrations. </w:t>
      </w:r>
      <w:r w:rsidRPr="00A428C3">
        <w:rPr>
          <w:i/>
        </w:rPr>
        <w:t>Hydrometallurgy</w:t>
      </w:r>
      <w:r w:rsidRPr="00A428C3">
        <w:t xml:space="preserve">, </w:t>
      </w:r>
      <w:r w:rsidRPr="00A428C3">
        <w:rPr>
          <w:b/>
        </w:rPr>
        <w:t>60</w:t>
      </w:r>
      <w:r w:rsidRPr="00A428C3">
        <w:t xml:space="preserve"> (2), 129-141.</w:t>
      </w:r>
    </w:p>
    <w:p w:rsidR="00B95188" w:rsidRPr="00A428C3" w:rsidRDefault="00B95188" w:rsidP="00B95188">
      <w:pPr>
        <w:pStyle w:val="a0"/>
      </w:pPr>
      <w:r w:rsidRPr="00A428C3">
        <w:t xml:space="preserve">Full Text: </w:t>
      </w:r>
      <w:hyperlink r:id="rId747" w:history="1">
        <w:r w:rsidRPr="00A428C3">
          <w:rPr>
            <w:rStyle w:val="a5"/>
          </w:rPr>
          <w:t>H\Hydrometallurgy60, 129.pdf</w:t>
        </w:r>
      </w:hyperlink>
    </w:p>
    <w:p w:rsidR="00B95188" w:rsidRPr="00A428C3" w:rsidRDefault="00B95188" w:rsidP="00B95188">
      <w:pPr>
        <w:pStyle w:val="a0"/>
        <w:rPr>
          <w:rFonts w:eastAsia="Arial Unicode MS"/>
        </w:rPr>
      </w:pPr>
      <w:r w:rsidRPr="00A428C3">
        <w:t xml:space="preserve">Abstract: Ln the present work a lyophilised cell suspension of </w:t>
      </w:r>
      <w:r w:rsidRPr="00A428C3">
        <w:rPr>
          <w:i/>
          <w:iCs/>
        </w:rPr>
        <w:t>Spherotilus natans</w:t>
      </w:r>
      <w:r w:rsidRPr="00A428C3">
        <w:t xml:space="preserve"> was studied as biosorbent material for cadmium</w:t>
      </w:r>
      <w:r w:rsidR="00F81221">
        <w:t xml:space="preserve"> and </w:t>
      </w:r>
      <w:r w:rsidRPr="00A428C3">
        <w:t>copper removal from aqueous solutions. The biomass was firstly characterised by potentiometric titration</w:t>
      </w:r>
      <w:r w:rsidR="00F81221">
        <w:t xml:space="preserve"> and </w:t>
      </w:r>
      <w:r w:rsidRPr="00A428C3">
        <w:t>evaluation of the major ionic content. The experimental data highlight that the biomass cell wall contains two main acidic groups with a total amount of 5 meq/g. Equilibrium biosorption trials of cadmium</w:t>
      </w:r>
      <w:r w:rsidR="00F81221">
        <w:t xml:space="preserve"> and </w:t>
      </w:r>
      <w:r w:rsidRPr="00A428C3">
        <w:t>copper were carried out to investigate the effects of two important experimental factors, pH</w:t>
      </w:r>
      <w:r w:rsidR="00F81221">
        <w:t xml:space="preserve"> and </w:t>
      </w:r>
      <w:r w:rsidRPr="00A428C3">
        <w:t>biomass concentration. As expected, both cadmium</w:t>
      </w:r>
      <w:r w:rsidR="00F81221">
        <w:t xml:space="preserve"> and </w:t>
      </w:r>
      <w:r w:rsidRPr="00A428C3">
        <w:t>copper biosorption extent was repressed by pH decrease. The effect of the biomass concentration changes both with the equilibrium pH value</w:t>
      </w:r>
      <w:r w:rsidR="00F81221">
        <w:t xml:space="preserve"> and </w:t>
      </w:r>
      <w:r w:rsidRPr="00A428C3">
        <w:t xml:space="preserve">the kind of metal adsorbed. In the case of copper biosorption at pH &gt; 5, the increase of biomass concentration causes a diminution of the maximum specific metal uptake due probably to cell aggregation phenomena; whereas at acidic pH values the previous trend is inverted perhaps because of the effect of partial </w:t>
      </w:r>
      <w:r w:rsidRPr="00A428C3">
        <w:lastRenderedPageBreak/>
        <w:t>hydrolysis of the bacterial cell wall constituents. A different behaviour was observed for cadmium biosorption in relation to the microbial cell concentration: the effect of biomass concentration is less evident</w:t>
      </w:r>
      <w:r w:rsidR="00F81221">
        <w:t xml:space="preserve"> and </w:t>
      </w:r>
      <w:r w:rsidRPr="00A428C3">
        <w:t>opposite with respect to copper at pH 6</w:t>
      </w:r>
      <w:r w:rsidR="00F81221">
        <w:t xml:space="preserve"> and </w:t>
      </w:r>
      <w:r w:rsidRPr="00A428C3">
        <w:t>3</w:t>
      </w:r>
      <w:r w:rsidR="00F81221">
        <w:t xml:space="preserve"> and </w:t>
      </w:r>
      <w:r w:rsidRPr="00A428C3">
        <w:t>no definitive explanation was found for this case. Equilibrium modelling was performed for both metals by using the most used equations reported in the literature. A comparison of the biosorption characteristic of S, natans has been also performed with respect to some results reported by other researchers. (C) 2001 Elsevier Science B.V. All rights reserved.</w:t>
      </w:r>
    </w:p>
    <w:p w:rsidR="00B95188" w:rsidRPr="00A428C3" w:rsidRDefault="00B95188" w:rsidP="00B95188">
      <w:pPr>
        <w:pStyle w:val="a0"/>
      </w:pPr>
      <w:r w:rsidRPr="00A428C3">
        <w:t xml:space="preserve">Keywords: Biosorption, Heavy Metals, </w:t>
      </w:r>
      <w:r w:rsidRPr="00A428C3">
        <w:rPr>
          <w:i/>
          <w:iCs/>
        </w:rPr>
        <w:t>Sphaerotilus Natans</w:t>
      </w:r>
      <w:r w:rsidRPr="00A428C3">
        <w:t xml:space="preserve">, Waste-Water, Adsorption-Isotherms, </w:t>
      </w:r>
      <w:r w:rsidRPr="00A428C3">
        <w:rPr>
          <w:i/>
          <w:iCs/>
        </w:rPr>
        <w:t>Zoogloea-Ramigera</w:t>
      </w:r>
      <w:r w:rsidRPr="00A428C3">
        <w:t>, Arthrobacter sp, Removal, Cadmium, Copper, Ions, Sorption, Models</w:t>
      </w:r>
    </w:p>
    <w:p w:rsidR="00B95188" w:rsidRPr="00A428C3" w:rsidRDefault="00B95188" w:rsidP="00B95188">
      <w:pPr>
        <w:pStyle w:val="a0"/>
      </w:pPr>
      <w:r w:rsidRPr="00A428C3">
        <w:t>Leão, V.A., Lukey, G.C., van Deventer, J.S.J.</w:t>
      </w:r>
      <w:r w:rsidR="00F81221">
        <w:t xml:space="preserve"> and </w:t>
      </w:r>
      <w:r w:rsidRPr="00A428C3">
        <w:t>Ciminelli, V.S.T. (2001), The dependence of sorbed copper</w:t>
      </w:r>
      <w:r w:rsidR="00F81221">
        <w:t xml:space="preserve"> and </w:t>
      </w:r>
      <w:r w:rsidRPr="00A428C3">
        <w:t xml:space="preserve">nickel cyanide speciation on ion exchange resin type. </w:t>
      </w:r>
      <w:r w:rsidRPr="00A428C3">
        <w:rPr>
          <w:i/>
        </w:rPr>
        <w:t>Hydrometallurgy</w:t>
      </w:r>
      <w:r w:rsidRPr="00A428C3">
        <w:t xml:space="preserve">, </w:t>
      </w:r>
      <w:r w:rsidRPr="00A428C3">
        <w:rPr>
          <w:b/>
        </w:rPr>
        <w:t>61</w:t>
      </w:r>
      <w:r w:rsidRPr="00A428C3">
        <w:t xml:space="preserve"> (2), 105-119.</w:t>
      </w:r>
    </w:p>
    <w:p w:rsidR="00B95188" w:rsidRPr="00A428C3" w:rsidRDefault="00B95188" w:rsidP="00B95188">
      <w:pPr>
        <w:pStyle w:val="a0"/>
      </w:pPr>
      <w:r w:rsidRPr="00A428C3">
        <w:t xml:space="preserve">Full Text: </w:t>
      </w:r>
      <w:hyperlink r:id="rId748" w:history="1">
        <w:r w:rsidRPr="00A428C3">
          <w:rPr>
            <w:rStyle w:val="a5"/>
          </w:rPr>
          <w:t>H\Hydrometallurgy61, 105.pdf</w:t>
        </w:r>
      </w:hyperlink>
    </w:p>
    <w:p w:rsidR="00B95188" w:rsidRPr="00A428C3" w:rsidRDefault="00B95188" w:rsidP="00B95188">
      <w:pPr>
        <w:pStyle w:val="a0"/>
        <w:rPr>
          <w:rFonts w:eastAsia="Arial Unicode MS"/>
        </w:rPr>
      </w:pPr>
      <w:r w:rsidRPr="00A428C3">
        <w:t>Abstract: The present study investigates the influence of functional group structure</w:t>
      </w:r>
      <w:r w:rsidR="00F81221">
        <w:t xml:space="preserve"> and </w:t>
      </w:r>
      <w:r w:rsidRPr="00A428C3">
        <w:t>resin matrix on the speciation of copper</w:t>
      </w:r>
      <w:r w:rsidR="00F81221">
        <w:t xml:space="preserve"> and </w:t>
      </w:r>
      <w:r w:rsidRPr="00A428C3">
        <w:t>nickel cyanides sorbed onto two commercially available ion exchange resins. Batch experiments were performed using synthetic copper</w:t>
      </w:r>
      <w:r w:rsidR="00F81221">
        <w:t xml:space="preserve"> and </w:t>
      </w:r>
      <w:r w:rsidRPr="00A428C3">
        <w:t>nickel solutions containing 50</w:t>
      </w:r>
      <w:r w:rsidR="00F81221">
        <w:t xml:space="preserve"> and </w:t>
      </w:r>
      <w:r w:rsidRPr="00A428C3">
        <w:t>200 mg/L free cyanide, respectively. Despite the presence of Cu(CN)</w:t>
      </w:r>
      <w:r w:rsidRPr="00A428C3">
        <w:rPr>
          <w:vertAlign w:val="subscript"/>
        </w:rPr>
        <w:t>3</w:t>
      </w:r>
      <w:r w:rsidRPr="00A428C3">
        <w:rPr>
          <w:vertAlign w:val="superscript"/>
        </w:rPr>
        <w:t>2−</w:t>
      </w:r>
      <w:r w:rsidR="00F81221">
        <w:t xml:space="preserve"> and </w:t>
      </w:r>
      <w:r w:rsidRPr="00A428C3">
        <w:t>Cu(CN)</w:t>
      </w:r>
      <w:r w:rsidRPr="00A428C3">
        <w:rPr>
          <w:vertAlign w:val="subscript"/>
        </w:rPr>
        <w:t>4</w:t>
      </w:r>
      <w:r w:rsidRPr="00A428C3">
        <w:rPr>
          <w:vertAlign w:val="superscript"/>
        </w:rPr>
        <w:t>3−</w:t>
      </w:r>
      <w:r w:rsidRPr="00A428C3">
        <w:t xml:space="preserve"> in solution, it has been found using Raman spectroscopy that the Imac HP555s resin, which has a polystyrene–divinylbenzene matrix, loads predominantly the Cu(CN)</w:t>
      </w:r>
      <w:r w:rsidRPr="00A428C3">
        <w:rPr>
          <w:vertAlign w:val="subscript"/>
        </w:rPr>
        <w:t>3</w:t>
      </w:r>
      <w:r w:rsidRPr="00A428C3">
        <w:rPr>
          <w:vertAlign w:val="superscript"/>
        </w:rPr>
        <w:t>2−</w:t>
      </w:r>
      <w:r w:rsidRPr="00A428C3">
        <w:t xml:space="preserve"> complex. In contrast, the polyacrylic resin, Amberlite IRA958, sorbed significant amounts of both Cu(CN)</w:t>
      </w:r>
      <w:r w:rsidRPr="00A428C3">
        <w:rPr>
          <w:vertAlign w:val="subscript"/>
        </w:rPr>
        <w:t>3</w:t>
      </w:r>
      <w:r w:rsidRPr="00A428C3">
        <w:rPr>
          <w:vertAlign w:val="superscript"/>
        </w:rPr>
        <w:t>2−</w:t>
      </w:r>
      <w:r w:rsidR="00F81221">
        <w:t xml:space="preserve"> and </w:t>
      </w:r>
      <w:r w:rsidRPr="00A428C3">
        <w:t>Cu(CN)</w:t>
      </w:r>
      <w:r w:rsidRPr="00A428C3">
        <w:rPr>
          <w:vertAlign w:val="subscript"/>
        </w:rPr>
        <w:t>4</w:t>
      </w:r>
      <w:r w:rsidRPr="00A428C3">
        <w:rPr>
          <w:vertAlign w:val="superscript"/>
        </w:rPr>
        <w:t>3−</w:t>
      </w:r>
      <w:r w:rsidRPr="00A428C3">
        <w:t>. It has been found that the speciation of nickel cyanide sorbed onto each resin was the same. A recently developed mathematical model based on statistical thermodynamic principles has been used as a tool to understand further the equilibrium sorption of copper</w:t>
      </w:r>
      <w:r w:rsidR="00F81221">
        <w:t xml:space="preserve"> and </w:t>
      </w:r>
      <w:r w:rsidRPr="00A428C3">
        <w:t>nickel cyanide complexes onto each resin studied. A higher sorption energy for nickel compared to copper has been observed for the sorption onto Imac HP555s. In contrast, the sorption energy for copper was found to be higher than for nickel for the polyacrylic resin, Amberlite IRA958. The values of the model parameters obtained were correlated with the chemical features of each complex in solution as well as sorbed onto the resins. (C) 2001 Elsevier Science B.V. All rights reserved.</w:t>
      </w:r>
    </w:p>
    <w:p w:rsidR="00B95188" w:rsidRPr="00A428C3" w:rsidRDefault="00B95188" w:rsidP="00B95188">
      <w:pPr>
        <w:pStyle w:val="a0"/>
      </w:pPr>
      <w:r w:rsidRPr="00A428C3">
        <w:t>Keywords: Copper Cyanide Complexes, Speciation, Raman Spectroscopy, Ion Exchange</w:t>
      </w:r>
    </w:p>
    <w:p w:rsidR="00B95188" w:rsidRPr="00A428C3" w:rsidRDefault="00B95188" w:rsidP="00B95188">
      <w:pPr>
        <w:pStyle w:val="a0"/>
      </w:pPr>
      <w:r w:rsidRPr="00A428C3">
        <w:t>Schmitz, P.A., Duyvesteyn, S., Johnson, W.P., Enloe, L.</w:t>
      </w:r>
      <w:r w:rsidR="00F81221">
        <w:t xml:space="preserve"> and </w:t>
      </w:r>
      <w:r w:rsidRPr="00A428C3">
        <w:t xml:space="preserve">McMullen, J. (2001), Adsorption of aurocyanide complexes onto carbonaceous matter from preg-robbing Goldstrike ore. </w:t>
      </w:r>
      <w:r w:rsidRPr="00A428C3">
        <w:rPr>
          <w:i/>
        </w:rPr>
        <w:t>Hydrometallurgy</w:t>
      </w:r>
      <w:r w:rsidRPr="00A428C3">
        <w:t xml:space="preserve">, </w:t>
      </w:r>
      <w:r w:rsidRPr="00A428C3">
        <w:rPr>
          <w:b/>
        </w:rPr>
        <w:t>61</w:t>
      </w:r>
      <w:r w:rsidRPr="00A428C3">
        <w:t xml:space="preserve"> (2), 121-135.</w:t>
      </w:r>
    </w:p>
    <w:p w:rsidR="00B95188" w:rsidRPr="00A428C3" w:rsidRDefault="00B95188" w:rsidP="00B95188">
      <w:pPr>
        <w:pStyle w:val="a0"/>
      </w:pPr>
      <w:r w:rsidRPr="00A428C3">
        <w:t xml:space="preserve">Full Text: </w:t>
      </w:r>
      <w:hyperlink r:id="rId749" w:history="1">
        <w:r w:rsidRPr="00A428C3">
          <w:rPr>
            <w:rStyle w:val="a5"/>
          </w:rPr>
          <w:t>H\Hydrometallurgy61, 121.pdf</w:t>
        </w:r>
      </w:hyperlink>
    </w:p>
    <w:p w:rsidR="00B95188" w:rsidRPr="00A428C3" w:rsidRDefault="00B95188" w:rsidP="00B95188">
      <w:pPr>
        <w:pStyle w:val="a0"/>
        <w:rPr>
          <w:rFonts w:eastAsia="Arial Unicode MS"/>
        </w:rPr>
      </w:pPr>
      <w:r w:rsidRPr="00A428C3">
        <w:lastRenderedPageBreak/>
        <w:t xml:space="preserve">Abstract: Aurocyanide complex adsorption by naturally occurring carbon in Goldstrike ore has been implicated in a form of gold refractoriness known as </w:t>
      </w:r>
      <w:r w:rsidR="000352E7">
        <w:t>“</w:t>
      </w:r>
      <w:r w:rsidRPr="00A428C3">
        <w:t>preg-robbing</w:t>
      </w:r>
      <w:r w:rsidR="000352E7">
        <w:t>”</w:t>
      </w:r>
      <w:r w:rsidRPr="00A428C3">
        <w:t>. The aim of this work was to establish a relationship between the aurocyanide uptake capacity of Goldstrike ore carbonaceous matter</w:t>
      </w:r>
      <w:r w:rsidR="00F81221">
        <w:t xml:space="preserve"> and </w:t>
      </w:r>
      <w:r w:rsidRPr="00A428C3">
        <w:t>the preg-robbing behavior of the parent ore. The effect of varying contact time between the aqueous gold–cyanide</w:t>
      </w:r>
      <w:r w:rsidR="00F81221">
        <w:t xml:space="preserve"> and </w:t>
      </w:r>
      <w:r w:rsidRPr="00A428C3">
        <w:t>the carbonaceous matter on the uptake of aurocyanide complexes was also investigated. In column adsorption experiments, the adsorbed gold concentration from 100 mL of a gold–cyanide solution depended on the flow rate of the solution. The concentration of adsorbed gold increased with solution flow rate, reaching a maximum concentration at a flow rate of approximately 0.05 mL/min. As solution flow rate increased to more than 0.05 mL/min, the concentration of gold adsorbed on the carbon decreased. Desorption of adsorbed gold into 75-mL sodium cyanide solution also depended on solution flow rate. Maximum desorption of gold occurred at a flow rate of approximately 0.14 mL/min. The gold adsorbed at the lowest</w:t>
      </w:r>
      <w:r w:rsidR="00F81221">
        <w:t xml:space="preserve"> and </w:t>
      </w:r>
      <w:r w:rsidRPr="00A428C3">
        <w:t>highest flow rates was more slowly desorbed than the additional gold adsorbed at the intermediate flow rates. The concentration of gold remaining on the carbon after desorption at 0.14 mL/min correlated to the amount of gold adsorbed at the highest</w:t>
      </w:r>
      <w:r w:rsidR="00F81221">
        <w:t xml:space="preserve"> and </w:t>
      </w:r>
      <w:r w:rsidRPr="00A428C3">
        <w:t>lowest flow rates in the adsorption experiments. This amount of slowly desorbed gold correlated to the preg-robbing behavior of the ore, whereas the amount of additional adsorbed gold (i.e., gold adsorbed at intermediate flow rates) was similar for all of the ores. For all of the carbonaceous matters studied, the concentration of gold sorbed in both batch</w:t>
      </w:r>
      <w:r w:rsidR="00F81221">
        <w:t xml:space="preserve"> and </w:t>
      </w:r>
      <w:r w:rsidRPr="00A428C3">
        <w:t>column experiments increased after autoclaving. (C) 2001 Elsevier Science B.V. All rights reserved.</w:t>
      </w:r>
    </w:p>
    <w:p w:rsidR="00B95188" w:rsidRPr="00A428C3" w:rsidRDefault="00B95188" w:rsidP="00B95188">
      <w:pPr>
        <w:pStyle w:val="a0"/>
      </w:pPr>
      <w:r w:rsidRPr="00A428C3">
        <w:t xml:space="preserve">Erosa, M.S.D., </w:t>
      </w:r>
      <w:smartTag w:uri="urn:schemas-microsoft-com:office:smarttags" w:element="City">
        <w:r w:rsidRPr="00A428C3">
          <w:t>Medina</w:t>
        </w:r>
      </w:smartTag>
      <w:r w:rsidRPr="00A428C3">
        <w:t xml:space="preserve">, T.I.S., </w:t>
      </w:r>
      <w:smartTag w:uri="urn:schemas-microsoft-com:office:smarttags" w:element="place">
        <w:smartTag w:uri="urn:schemas-microsoft-com:office:smarttags" w:element="City">
          <w:r w:rsidRPr="00A428C3">
            <w:t>Mendoza</w:t>
          </w:r>
        </w:smartTag>
      </w:smartTag>
      <w:r w:rsidRPr="00A428C3">
        <w:t>, R.N., Rodriguez, M.A.</w:t>
      </w:r>
      <w:r w:rsidR="00F81221">
        <w:t xml:space="preserve"> and </w:t>
      </w:r>
      <w:r w:rsidRPr="00A428C3">
        <w:t>Guibal, E. (2001), Cadmium sorption on chitosan sorbents: Kinetic</w:t>
      </w:r>
      <w:r w:rsidR="00F81221">
        <w:t xml:space="preserve"> and </w:t>
      </w:r>
      <w:r w:rsidRPr="00A428C3">
        <w:t xml:space="preserve">equilibrium studies. </w:t>
      </w:r>
      <w:r w:rsidRPr="00A428C3">
        <w:rPr>
          <w:i/>
        </w:rPr>
        <w:t>Hydrometallurgy</w:t>
      </w:r>
      <w:r w:rsidRPr="00A428C3">
        <w:t xml:space="preserve">, </w:t>
      </w:r>
      <w:r w:rsidRPr="00A428C3">
        <w:rPr>
          <w:b/>
        </w:rPr>
        <w:t>61</w:t>
      </w:r>
      <w:r w:rsidRPr="00A428C3">
        <w:t xml:space="preserve"> (3), 157-167.</w:t>
      </w:r>
    </w:p>
    <w:p w:rsidR="00B95188" w:rsidRPr="00A428C3" w:rsidRDefault="00B95188" w:rsidP="00B95188">
      <w:pPr>
        <w:pStyle w:val="a0"/>
      </w:pPr>
      <w:r w:rsidRPr="00A428C3">
        <w:t xml:space="preserve">Full Text: </w:t>
      </w:r>
      <w:hyperlink r:id="rId750" w:history="1">
        <w:r w:rsidRPr="00A428C3">
          <w:rPr>
            <w:rStyle w:val="a5"/>
          </w:rPr>
          <w:t>H\Hydrometallurgy61, 157.pdf</w:t>
        </w:r>
      </w:hyperlink>
    </w:p>
    <w:p w:rsidR="00B95188" w:rsidRPr="00A428C3" w:rsidRDefault="00B95188" w:rsidP="00B95188">
      <w:pPr>
        <w:pStyle w:val="a0"/>
        <w:rPr>
          <w:rFonts w:eastAsia="Arial Unicode MS"/>
        </w:rPr>
      </w:pPr>
      <w:r w:rsidRPr="00A428C3">
        <w:t>Abstract: Chitosan is very efficient at removing cadmium through chelation mechanisms involving amine groups of chitosan. The optimum pH is 7,</w:t>
      </w:r>
      <w:r w:rsidR="00F81221">
        <w:t xml:space="preserve"> and </w:t>
      </w:r>
      <w:r w:rsidRPr="00A428C3">
        <w:t>in acidic solutions, the protonation of the biopolymer reduces the binding of cadmium on amine groups due to electrostatic repulsion. The influence of particle size, temperature</w:t>
      </w:r>
      <w:r w:rsidR="00F81221">
        <w:t xml:space="preserve"> and </w:t>
      </w:r>
      <w:r w:rsidRPr="00A428C3">
        <w:t>agitation speed on metal sorption is investigated using chitosan flakes</w:t>
      </w:r>
      <w:r w:rsidR="00F81221">
        <w:t xml:space="preserve"> and </w:t>
      </w:r>
      <w:r w:rsidRPr="00A428C3">
        <w:t>chitosan gel beads. Temperature</w:t>
      </w:r>
      <w:r w:rsidR="00F81221">
        <w:t xml:space="preserve"> and </w:t>
      </w:r>
      <w:r w:rsidRPr="00A428C3">
        <w:t>agitation speed hardly influence equilibria</w:t>
      </w:r>
      <w:r w:rsidR="00F81221">
        <w:t xml:space="preserve"> and </w:t>
      </w:r>
      <w:r w:rsidRPr="00A428C3">
        <w:t>kinetics in the selected experimental conditions corresponding to a large sorbent dosage. The major effect on sorption performance is due to sorbent particle size, especially for chitosan flakes. Though intraparticle diffusion represents an important step in the kinetic control, the contribution of external diffusion may not be neglected. (C) 2001 Elsevier Science B.V. All rights reserved.</w:t>
      </w:r>
    </w:p>
    <w:p w:rsidR="00D07FD3" w:rsidRDefault="00D07FD3" w:rsidP="00D07FD3">
      <w:pPr>
        <w:pStyle w:val="a0"/>
        <w:rPr>
          <w:kern w:val="0"/>
        </w:rPr>
      </w:pPr>
      <w:r>
        <w:rPr>
          <w:kern w:val="0"/>
        </w:rPr>
        <w:t xml:space="preserve">Keywords: Adsorption, Agitation Speed, Beads, Cadmium, Chitin, Chitosan, </w:t>
      </w:r>
      <w:r>
        <w:rPr>
          <w:kern w:val="0"/>
        </w:rPr>
        <w:lastRenderedPageBreak/>
        <w:t xml:space="preserve">Contribution, Cross-Linking, Derivatives, Diffusion, Elsevier, Equilibrium, External Diffusion, Glutaraldehyde Crosslinking, Groups, Intraparticle Diffusion, Isotherms, Kinetic, Kinetics, Mechanisms, Metal, Metal-Ions, Particle Size, </w:t>
      </w:r>
      <w:r>
        <w:rPr>
          <w:rFonts w:hint="eastAsia"/>
          <w:kern w:val="0"/>
        </w:rPr>
        <w:t>p</w:t>
      </w:r>
      <w:r>
        <w:rPr>
          <w:kern w:val="0"/>
        </w:rPr>
        <w:t>H, Physicochemical Parameters, Removal, Science, Solutions, Sorption, Temperature, Uranyl Ions</w:t>
      </w:r>
    </w:p>
    <w:p w:rsidR="00B95188" w:rsidRPr="00A428C3" w:rsidRDefault="00B95188" w:rsidP="00B95188">
      <w:pPr>
        <w:pStyle w:val="a0"/>
      </w:pPr>
      <w:r w:rsidRPr="00A428C3">
        <w:t>Hubicka, H.</w:t>
      </w:r>
      <w:r w:rsidR="00F81221">
        <w:t xml:space="preserve"> and </w:t>
      </w:r>
      <w:r w:rsidRPr="00A428C3">
        <w:t>Kołodyńska, D. (2001), Studies on application of polyacrylate anion-exchangers in sorption</w:t>
      </w:r>
      <w:r w:rsidR="00F81221">
        <w:t xml:space="preserve"> and </w:t>
      </w:r>
      <w:r w:rsidRPr="00A428C3">
        <w:t xml:space="preserve">separation of iminodiacetate rare earth element(III) complexes. </w:t>
      </w:r>
      <w:r w:rsidRPr="00A428C3">
        <w:rPr>
          <w:i/>
        </w:rPr>
        <w:t>Hydrometallurgy</w:t>
      </w:r>
      <w:r w:rsidRPr="00A428C3">
        <w:t xml:space="preserve">, </w:t>
      </w:r>
      <w:r w:rsidRPr="00A428C3">
        <w:rPr>
          <w:b/>
        </w:rPr>
        <w:t>62</w:t>
      </w:r>
      <w:r w:rsidRPr="00A428C3">
        <w:t xml:space="preserve"> (2), 107-113.</w:t>
      </w:r>
    </w:p>
    <w:p w:rsidR="00B95188" w:rsidRPr="00A428C3" w:rsidRDefault="00B95188" w:rsidP="00B95188">
      <w:pPr>
        <w:pStyle w:val="a0"/>
      </w:pPr>
      <w:r w:rsidRPr="00A428C3">
        <w:t xml:space="preserve">Full Text: </w:t>
      </w:r>
      <w:hyperlink r:id="rId751" w:history="1">
        <w:r w:rsidRPr="00A428C3">
          <w:rPr>
            <w:rStyle w:val="a5"/>
          </w:rPr>
          <w:t>H\Hydrometallurgy62, 107.pdf</w:t>
        </w:r>
      </w:hyperlink>
    </w:p>
    <w:p w:rsidR="00B95188" w:rsidRPr="00A428C3" w:rsidRDefault="00B95188" w:rsidP="00B95188">
      <w:pPr>
        <w:pStyle w:val="a0"/>
      </w:pPr>
      <w:r w:rsidRPr="00A428C3">
        <w:t>Abstract: Polyacrylate anion-exchanger resins are considered economically useful for selective isolation, concentration</w:t>
      </w:r>
      <w:r w:rsidR="00F81221">
        <w:t xml:space="preserve"> and </w:t>
      </w:r>
      <w:r w:rsidRPr="00A428C3">
        <w:t>recovery of nickel, iron, copper</w:t>
      </w:r>
      <w:r w:rsidR="00F81221">
        <w:t xml:space="preserve"> and </w:t>
      </w:r>
      <w:r w:rsidRPr="00A428C3">
        <w:t>cobalt cyanide complexes. They also find wide application in food processing, pharmaceutical industry, sugar refining, etc. This kind of polyacrylate anion-exchangers has been applied by us to separate rare earth element complexes with IMDA. Strongly basic gel</w:t>
      </w:r>
      <w:r w:rsidR="00F81221">
        <w:t xml:space="preserve"> and </w:t>
      </w:r>
      <w:r w:rsidRPr="00A428C3">
        <w:t>macroporous polyacrylate anion-exchangers Amberlite IRA 458</w:t>
      </w:r>
      <w:r w:rsidR="00F81221">
        <w:t xml:space="preserve"> and </w:t>
      </w:r>
      <w:r w:rsidRPr="00A428C3">
        <w:t xml:space="preserve">Amberlite IRA 958 were used. The following pairs of iminodiacetate rare earth element complexes were selected for separation: Sm(III)–Ho(III), </w:t>
      </w:r>
      <w:smartTag w:uri="urn:schemas-microsoft-com:office:smarttags" w:element="PersonName">
        <w:smartTagPr>
          <w:attr w:name="ProductID" w:val="La(III"/>
        </w:smartTagPr>
        <w:r w:rsidRPr="00A428C3">
          <w:t>La(III</w:t>
        </w:r>
      </w:smartTag>
      <w:r w:rsidRPr="00A428C3">
        <w:t xml:space="preserve">)–Nd(III), </w:t>
      </w:r>
      <w:smartTag w:uri="urn:schemas-microsoft-com:office:smarttags" w:element="PersonName">
        <w:smartTagPr>
          <w:attr w:name="ProductID" w:val="La(III"/>
        </w:smartTagPr>
        <w:r w:rsidRPr="00A428C3">
          <w:t>La(III</w:t>
        </w:r>
      </w:smartTag>
      <w:r w:rsidRPr="00A428C3">
        <w:t>)–Pr(III) based on the affinity of these elements for strongly basic anion-exchangers.</w:t>
      </w:r>
    </w:p>
    <w:p w:rsidR="00B95188" w:rsidRPr="00A428C3" w:rsidRDefault="00B95188" w:rsidP="00B95188">
      <w:pPr>
        <w:pStyle w:val="a0"/>
        <w:rPr>
          <w:rFonts w:eastAsia="Arial Unicode MS"/>
        </w:rPr>
      </w:pPr>
      <w:r w:rsidRPr="00A428C3">
        <w:t>The results obtained indicate the possibility of application of anion-exchangers of this type for separation of individual lanthanide pairs in macro–micro systems. High yield of the obtained preparations is the evidence for the practical application of this method. (C) 2001 Elsevier Science B.V. All rights reserved.</w:t>
      </w:r>
    </w:p>
    <w:p w:rsidR="00B95188" w:rsidRPr="00A428C3" w:rsidRDefault="00B95188" w:rsidP="00B95188">
      <w:pPr>
        <w:pStyle w:val="a0"/>
      </w:pPr>
      <w:r w:rsidRPr="00A428C3">
        <w:t>Keywords: Polyacrylate Anion-Exchangers, Rare Earth Complexes, Iminodiacetic Acid</w:t>
      </w:r>
    </w:p>
    <w:p w:rsidR="00B95188" w:rsidRPr="00A428C3" w:rsidRDefault="00B95188" w:rsidP="00B95188">
      <w:pPr>
        <w:pStyle w:val="a0"/>
      </w:pPr>
      <w:r w:rsidRPr="00A428C3">
        <w:t xml:space="preserve">Sahoo, R.N., </w:t>
      </w:r>
      <w:smartTag w:uri="urn:schemas-microsoft-com:office:smarttags" w:element="place">
        <w:smartTag w:uri="urn:schemas-microsoft-com:office:smarttags" w:element="City">
          <w:r w:rsidRPr="00A428C3">
            <w:t>Das</w:t>
          </w:r>
        </w:smartTag>
        <w:r w:rsidRPr="00A428C3">
          <w:t xml:space="preserve">, </w:t>
        </w:r>
        <w:smartTag w:uri="urn:schemas-microsoft-com:office:smarttags" w:element="State">
          <w:r w:rsidRPr="00A428C3">
            <w:t>S.C.</w:t>
          </w:r>
        </w:smartTag>
      </w:smartTag>
      <w:r w:rsidRPr="00A428C3">
        <w:t>, Reddy, B.R., Rath, P.C.</w:t>
      </w:r>
      <w:r w:rsidR="00F81221">
        <w:t xml:space="preserve"> and </w:t>
      </w:r>
      <w:r w:rsidRPr="00A428C3">
        <w:t>Das, R.P. (2001), Adsorption of copper on manganese nodule residue obtained from NH</w:t>
      </w:r>
      <w:r w:rsidRPr="00A428C3">
        <w:rPr>
          <w:vertAlign w:val="subscript"/>
        </w:rPr>
        <w:t>3</w:t>
      </w:r>
      <w:r w:rsidRPr="00A428C3">
        <w:t>–SO</w:t>
      </w:r>
      <w:r w:rsidRPr="00A428C3">
        <w:rPr>
          <w:vertAlign w:val="subscript"/>
        </w:rPr>
        <w:t>2</w:t>
      </w:r>
      <w:r w:rsidRPr="00A428C3">
        <w:t xml:space="preserve"> leaching. </w:t>
      </w:r>
      <w:r w:rsidRPr="00A428C3">
        <w:rPr>
          <w:i/>
        </w:rPr>
        <w:t>Hydrometallurgy</w:t>
      </w:r>
      <w:r w:rsidRPr="00A428C3">
        <w:t xml:space="preserve">, </w:t>
      </w:r>
      <w:r w:rsidRPr="00A428C3">
        <w:rPr>
          <w:b/>
        </w:rPr>
        <w:t>62</w:t>
      </w:r>
      <w:r w:rsidRPr="00A428C3">
        <w:t xml:space="preserve"> (3), 185-192.</w:t>
      </w:r>
    </w:p>
    <w:p w:rsidR="00B95188" w:rsidRPr="00A428C3" w:rsidRDefault="00B95188" w:rsidP="00B95188">
      <w:pPr>
        <w:pStyle w:val="a0"/>
      </w:pPr>
      <w:r w:rsidRPr="00A428C3">
        <w:t xml:space="preserve">Full Text: </w:t>
      </w:r>
      <w:hyperlink r:id="rId752" w:history="1">
        <w:r w:rsidRPr="00A428C3">
          <w:rPr>
            <w:rStyle w:val="a5"/>
          </w:rPr>
          <w:t>H\Hydrometallurgy62, 185.pdf</w:t>
        </w:r>
      </w:hyperlink>
    </w:p>
    <w:p w:rsidR="00B95188" w:rsidRPr="00A428C3" w:rsidRDefault="00B95188" w:rsidP="00B95188">
      <w:pPr>
        <w:pStyle w:val="a0"/>
        <w:rPr>
          <w:rFonts w:eastAsia="Arial Unicode MS"/>
        </w:rPr>
      </w:pPr>
      <w:r w:rsidRPr="00A428C3">
        <w:t>Abstract: Manganese nodules occurring in beds of many of the world</w:t>
      </w:r>
      <w:r w:rsidR="000352E7">
        <w:t>’</w:t>
      </w:r>
      <w:r w:rsidRPr="00A428C3">
        <w:t>s oceans contain valuable metals such as Cu, Co, Ni, Mn, Zn, etc. in the form of oxides/oxy-hydroxides. Many processes have been developed worldwide to extract metal values from manganese nodules. A process based on NH</w:t>
      </w:r>
      <w:r w:rsidRPr="00A428C3">
        <w:rPr>
          <w:vertAlign w:val="subscript"/>
        </w:rPr>
        <w:t>3</w:t>
      </w:r>
      <w:r w:rsidRPr="00A428C3">
        <w:t>–SO</w:t>
      </w:r>
      <w:r w:rsidRPr="00A428C3">
        <w:rPr>
          <w:vertAlign w:val="subscript"/>
        </w:rPr>
        <w:t>2</w:t>
      </w:r>
      <w:r w:rsidRPr="00A428C3">
        <w:t xml:space="preserve"> leaching has been developed at RRL, </w:t>
      </w:r>
      <w:smartTag w:uri="urn:schemas-microsoft-com:office:smarttags" w:element="place">
        <w:smartTag w:uri="urn:schemas-microsoft-com:office:smarttags" w:element="City">
          <w:r w:rsidRPr="00A428C3">
            <w:t>Bhubaneswar</w:t>
          </w:r>
        </w:smartTag>
      </w:smartTag>
      <w:r w:rsidRPr="00A428C3">
        <w:t xml:space="preserve"> to recover Cu, Ni, Co</w:t>
      </w:r>
      <w:r w:rsidR="00F81221">
        <w:t xml:space="preserve"> and </w:t>
      </w:r>
      <w:r w:rsidRPr="00A428C3">
        <w:t>Zn. The process generates a large amount of residue. Studies were undertaken to examine the possibility of adsorption of heavy metal ions on this residue. Adsorption of copper on polymetallic nodule (PMN) leach residue was examined using synthetic copper sulfate solution. Adsorption was pH dependent</w:t>
      </w:r>
      <w:r w:rsidR="00F81221">
        <w:t xml:space="preserve"> and </w:t>
      </w:r>
      <w:r w:rsidRPr="00A428C3">
        <w:t>was maximum at pH between 4.0</w:t>
      </w:r>
      <w:r w:rsidR="00F81221">
        <w:t xml:space="preserve"> and </w:t>
      </w:r>
      <w:r w:rsidRPr="00A428C3">
        <w:t>5.0. The material was found to be a good adsorbent</w:t>
      </w:r>
      <w:r w:rsidR="00F81221">
        <w:t xml:space="preserve"> and </w:t>
      </w:r>
      <w:r w:rsidRPr="00A428C3">
        <w:t>its loading capacity was higher than activated charcoal. (C) 2001 Elsevier Science B.V. All rights reserved.</w:t>
      </w:r>
    </w:p>
    <w:p w:rsidR="00B95188" w:rsidRPr="00A428C3" w:rsidRDefault="00B95188" w:rsidP="00B95188">
      <w:pPr>
        <w:pStyle w:val="a0"/>
      </w:pPr>
      <w:r w:rsidRPr="00A428C3">
        <w:lastRenderedPageBreak/>
        <w:t>Keywords: Manganese Nodule, Leach Residue, Adsorption of Copper Ions, Activated Charcoal</w:t>
      </w:r>
    </w:p>
    <w:p w:rsidR="00B95188" w:rsidRPr="00A428C3" w:rsidRDefault="00B95188" w:rsidP="00B95188">
      <w:pPr>
        <w:pStyle w:val="a0"/>
      </w:pPr>
      <w:r w:rsidRPr="00A428C3">
        <w:t xml:space="preserve">Yalçınkaya, Y., Soysal, L., Denizli, A., </w:t>
      </w:r>
      <w:smartTag w:uri="urn:schemas-microsoft-com:office:smarttags" w:element="place">
        <w:smartTag w:uri="urn:schemas-microsoft-com:office:smarttags" w:element="City">
          <w:r w:rsidRPr="00A428C3">
            <w:t>Arıca</w:t>
          </w:r>
        </w:smartTag>
      </w:smartTag>
      <w:r w:rsidRPr="00A428C3">
        <w:t>, M.Y., Bektaş, S.</w:t>
      </w:r>
      <w:r w:rsidR="00F81221">
        <w:t xml:space="preserve"> and </w:t>
      </w:r>
      <w:r w:rsidRPr="00A428C3">
        <w:t>Genç, Ö. (2002), Biosorption of cadmium from aquatic systems by carboxymethylcellulose</w:t>
      </w:r>
      <w:r w:rsidR="00F81221">
        <w:t xml:space="preserve"> and </w:t>
      </w:r>
      <w:r w:rsidRPr="00A428C3">
        <w:t xml:space="preserve">immobilized </w:t>
      </w:r>
      <w:r w:rsidRPr="00A428C3">
        <w:rPr>
          <w:i/>
          <w:iCs/>
        </w:rPr>
        <w:t>Trametes versicolor</w:t>
      </w:r>
      <w:r w:rsidRPr="00A428C3">
        <w:t xml:space="preserve">. </w:t>
      </w:r>
      <w:r w:rsidRPr="00A428C3">
        <w:rPr>
          <w:i/>
        </w:rPr>
        <w:t>Hydrometallurgy</w:t>
      </w:r>
      <w:r w:rsidRPr="00A428C3">
        <w:t xml:space="preserve">, </w:t>
      </w:r>
      <w:r w:rsidRPr="00A428C3">
        <w:rPr>
          <w:b/>
        </w:rPr>
        <w:t>63</w:t>
      </w:r>
      <w:r w:rsidRPr="00A428C3">
        <w:t xml:space="preserve"> (1), 31-40.</w:t>
      </w:r>
    </w:p>
    <w:p w:rsidR="00B95188" w:rsidRPr="00A428C3" w:rsidRDefault="00B95188" w:rsidP="00B95188">
      <w:pPr>
        <w:pStyle w:val="a0"/>
      </w:pPr>
      <w:r w:rsidRPr="00A428C3">
        <w:t xml:space="preserve">Full Text: </w:t>
      </w:r>
      <w:hyperlink r:id="rId753" w:history="1">
        <w:r w:rsidRPr="00A428C3">
          <w:rPr>
            <w:rStyle w:val="a5"/>
          </w:rPr>
          <w:t>H\Hydrometallurgy63, 31.pdf</w:t>
        </w:r>
      </w:hyperlink>
    </w:p>
    <w:p w:rsidR="00B95188" w:rsidRPr="00A428C3" w:rsidRDefault="00B95188" w:rsidP="00B95188">
      <w:pPr>
        <w:pStyle w:val="a0"/>
        <w:rPr>
          <w:rFonts w:eastAsia="Arial Unicode MS"/>
        </w:rPr>
      </w:pPr>
      <w:r w:rsidRPr="00A428C3">
        <w:t xml:space="preserve">Abstract: </w:t>
      </w:r>
      <w:r w:rsidRPr="00A428C3">
        <w:rPr>
          <w:i/>
          <w:iCs/>
        </w:rPr>
        <w:t>Trametes versicolor</w:t>
      </w:r>
      <w:r w:rsidRPr="00A428C3">
        <w:t xml:space="preserve"> basidio spores immobilized onto carboxymethylcellulose were used for the removal of cadmium ions from aqueous solutions. The biosorption of Cd(II) ions on carboxymethylcellulose</w:t>
      </w:r>
      <w:r w:rsidR="00F81221">
        <w:t xml:space="preserve"> and </w:t>
      </w:r>
      <w:r w:rsidRPr="00A428C3">
        <w:t>both immobilized live</w:t>
      </w:r>
      <w:r w:rsidR="00F81221">
        <w:t xml:space="preserve"> and </w:t>
      </w:r>
      <w:r w:rsidRPr="00A428C3">
        <w:t xml:space="preserve">heat-killed fungal mycelia of </w:t>
      </w:r>
      <w:r w:rsidRPr="00A428C3">
        <w:rPr>
          <w:i/>
          <w:iCs/>
        </w:rPr>
        <w:t>T. versicolor</w:t>
      </w:r>
      <w:r w:rsidRPr="00A428C3">
        <w:t xml:space="preserve"> was studied from aqueous solutions in the concentration range of 30–700 mg/L. The biosorption of Cd(II) ions by the carboxymethylcellulose</w:t>
      </w:r>
      <w:r w:rsidR="00F81221">
        <w:t xml:space="preserve"> and </w:t>
      </w:r>
      <w:r w:rsidRPr="00A428C3">
        <w:t>both immobilized live</w:t>
      </w:r>
      <w:r w:rsidR="00F81221">
        <w:t xml:space="preserve"> and </w:t>
      </w:r>
      <w:r w:rsidRPr="00A428C3">
        <w:t>heat-inactivated immobilized preparations increased as the initial concentration of cadmium ions increased in the medium. Maximum biosorption capacity for immobilized live</w:t>
      </w:r>
      <w:r w:rsidR="00F81221">
        <w:t xml:space="preserve"> and </w:t>
      </w:r>
      <w:r w:rsidRPr="00A428C3">
        <w:t xml:space="preserve">heat-inactivated fungal mycelia of </w:t>
      </w:r>
      <w:r w:rsidRPr="00A428C3">
        <w:rPr>
          <w:i/>
          <w:iCs/>
        </w:rPr>
        <w:t>T. versicolor</w:t>
      </w:r>
      <w:r w:rsidRPr="00A428C3">
        <w:t xml:space="preserve"> was found as 124</w:t>
      </w:r>
      <w:r w:rsidR="00F81221">
        <w:t xml:space="preserve"> and </w:t>
      </w:r>
      <w:r w:rsidRPr="00A428C3">
        <w:t>153 mg Cd(II)/g, respectively whereas the amount of Cd(II) ions adsorbed on the plain carboxymethylcellulose beads was 43 mg/g. Biosorption equilibria were established in about 1 h</w:t>
      </w:r>
      <w:r w:rsidR="00F81221">
        <w:t xml:space="preserve"> and </w:t>
      </w:r>
      <w:r w:rsidRPr="00A428C3">
        <w:t>the correlation regression coefficients show that the adsorption process can be well defined by Langmuir equation. The temperature change between 15</w:t>
      </w:r>
      <w:r w:rsidR="00F81221">
        <w:t xml:space="preserve"> and </w:t>
      </w:r>
      <w:smartTag w:uri="urn:schemas-microsoft-com:office:smarttags" w:element="chmetcnv">
        <w:smartTagPr>
          <w:attr w:name="TCSC" w:val="0"/>
          <w:attr w:name="NumberType" w:val="1"/>
          <w:attr w:name="Negative" w:val="False"/>
          <w:attr w:name="HasSpace" w:val="True"/>
          <w:attr w:name="SourceValue" w:val="45"/>
          <w:attr w:name="UnitName" w:val="ﾰC"/>
        </w:smartTagPr>
        <w:r w:rsidRPr="00A428C3">
          <w:t>45 °C</w:t>
        </w:r>
      </w:smartTag>
      <w:r w:rsidRPr="00A428C3">
        <w:t xml:space="preserve"> did not affect the biosorption capacity. The effect of pH was also investigated</w:t>
      </w:r>
      <w:r w:rsidR="00F81221">
        <w:t xml:space="preserve"> and </w:t>
      </w:r>
      <w:r w:rsidRPr="00A428C3">
        <w:t>the maximum adsorption of Cd(II) ions on the carboxymethylcellulose</w:t>
      </w:r>
      <w:r w:rsidR="00F81221">
        <w:t xml:space="preserve"> and </w:t>
      </w:r>
      <w:r w:rsidRPr="00A428C3">
        <w:t>both live</w:t>
      </w:r>
      <w:r w:rsidR="00F81221">
        <w:t xml:space="preserve"> and </w:t>
      </w:r>
      <w:r w:rsidRPr="00A428C3">
        <w:t xml:space="preserve">heat-inactivated immobilized fungal mycelia were observed at pH 6.0. The carboxymethylcellulose-fungus beads could be regenerated using </w:t>
      </w:r>
      <w:smartTag w:uri="urn:schemas-microsoft-com:office:smarttags" w:element="chmetcnv">
        <w:smartTagPr>
          <w:attr w:name="TCSC" w:val="0"/>
          <w:attr w:name="NumberType" w:val="1"/>
          <w:attr w:name="Negative" w:val="False"/>
          <w:attr w:name="HasSpace" w:val="True"/>
          <w:attr w:name="SourceValue" w:val="10"/>
          <w:attr w:name="UnitName" w:val="mm"/>
        </w:smartTagPr>
        <w:r w:rsidRPr="00A428C3">
          <w:t>10 mM</w:t>
        </w:r>
      </w:smartTag>
      <w:r w:rsidRPr="00A428C3">
        <w:t xml:space="preserve"> HCl, with up to 98% recovery. The biosorbents were used in five biosorption–desorption cycles</w:t>
      </w:r>
      <w:r w:rsidR="00F81221">
        <w:t xml:space="preserve"> and </w:t>
      </w:r>
      <w:r w:rsidRPr="00A428C3">
        <w:t>no notable loss in the biosorption capacity was observed. 84%</w:t>
      </w:r>
      <w:r w:rsidR="00F81221">
        <w:t xml:space="preserve"> and </w:t>
      </w:r>
      <w:r w:rsidRPr="00A428C3">
        <w:t>68% of cadmium ions were removed from synthetic waste water samples for 100</w:t>
      </w:r>
      <w:r w:rsidR="00F81221">
        <w:t xml:space="preserve"> and </w:t>
      </w:r>
      <w:r w:rsidRPr="00A428C3">
        <w:t>200 mg/L initial concentrations, respectively. (C) 2002 Elsevier Science B.V. All rights reserved.</w:t>
      </w:r>
    </w:p>
    <w:p w:rsidR="00B95188" w:rsidRPr="00A428C3" w:rsidRDefault="00B95188" w:rsidP="00B95188">
      <w:pPr>
        <w:pStyle w:val="a0"/>
      </w:pPr>
      <w:r w:rsidRPr="00A428C3">
        <w:t>Keywords: Cd(II), Carboxymethylcellulose, Biosorption, Trametes Versicolor</w:t>
      </w:r>
    </w:p>
    <w:p w:rsidR="00B95188" w:rsidRPr="00A428C3" w:rsidRDefault="00B95188" w:rsidP="00B95188">
      <w:pPr>
        <w:pStyle w:val="a0"/>
      </w:pPr>
      <w:r w:rsidRPr="00A428C3">
        <w:t>Abisheva, Z.S.</w:t>
      </w:r>
      <w:r w:rsidR="00F81221">
        <w:t xml:space="preserve"> and </w:t>
      </w:r>
      <w:r w:rsidRPr="00A428C3">
        <w:t xml:space="preserve">Zagorodnyaya, A.N. (2002), Hydrometallurgy in rare metal production technology in </w:t>
      </w:r>
      <w:smartTag w:uri="urn:schemas-microsoft-com:office:smarttags" w:element="place">
        <w:smartTag w:uri="urn:schemas-microsoft-com:office:smarttags" w:element="country-region">
          <w:r w:rsidRPr="00A428C3">
            <w:t>Kazakhstan</w:t>
          </w:r>
        </w:smartTag>
      </w:smartTag>
      <w:r w:rsidRPr="00A428C3">
        <w:t xml:space="preserve">. </w:t>
      </w:r>
      <w:r w:rsidRPr="00A428C3">
        <w:rPr>
          <w:i/>
        </w:rPr>
        <w:t>Hydrometallurgy</w:t>
      </w:r>
      <w:r w:rsidRPr="00A428C3">
        <w:t xml:space="preserve">, </w:t>
      </w:r>
      <w:r w:rsidRPr="00A428C3">
        <w:rPr>
          <w:b/>
        </w:rPr>
        <w:t>63</w:t>
      </w:r>
      <w:r w:rsidRPr="00A428C3">
        <w:t xml:space="preserve"> (1), 55-63.</w:t>
      </w:r>
    </w:p>
    <w:p w:rsidR="00B95188" w:rsidRPr="00A428C3" w:rsidRDefault="00B95188" w:rsidP="00B95188">
      <w:pPr>
        <w:pStyle w:val="a0"/>
      </w:pPr>
      <w:r w:rsidRPr="00A428C3">
        <w:t xml:space="preserve">Full Text: </w:t>
      </w:r>
      <w:hyperlink r:id="rId754" w:history="1">
        <w:r w:rsidRPr="00A428C3">
          <w:rPr>
            <w:rStyle w:val="a5"/>
          </w:rPr>
          <w:t>H\Hydrometallurgy63, 55.pdf</w:t>
        </w:r>
      </w:hyperlink>
    </w:p>
    <w:p w:rsidR="00B95188" w:rsidRPr="00A428C3" w:rsidRDefault="00B95188" w:rsidP="00B95188">
      <w:pPr>
        <w:pStyle w:val="a0"/>
      </w:pPr>
      <w:r w:rsidRPr="00A428C3">
        <w:t xml:space="preserve">Abstract: This paper is an overview of the application of hydrometallurgy in the processing of minerals in </w:t>
      </w:r>
      <w:smartTag w:uri="urn:schemas-microsoft-com:office:smarttags" w:element="place">
        <w:smartTag w:uri="urn:schemas-microsoft-com:office:smarttags" w:element="country-region">
          <w:r w:rsidRPr="00A428C3">
            <w:t>Kazakhstan</w:t>
          </w:r>
        </w:smartTag>
      </w:smartTag>
      <w:r w:rsidRPr="00A428C3">
        <w:t>. Hydrometallurgical processes are generally used for the recovery of rare metals.</w:t>
      </w:r>
    </w:p>
    <w:p w:rsidR="00B95188" w:rsidRPr="00A428C3" w:rsidRDefault="00B95188" w:rsidP="00B95188">
      <w:pPr>
        <w:pStyle w:val="a0"/>
      </w:pPr>
      <w:r w:rsidRPr="00A428C3">
        <w:t>Keywords: Hydrometallurgy, Rare metals, Extraction, Sorption</w:t>
      </w:r>
    </w:p>
    <w:p w:rsidR="00B95188" w:rsidRPr="00A428C3" w:rsidRDefault="00B95188" w:rsidP="00B95188">
      <w:pPr>
        <w:pStyle w:val="a0"/>
      </w:pPr>
      <w:r w:rsidRPr="00A428C3">
        <w:t>Vegliò, F., Esposito, A.</w:t>
      </w:r>
      <w:r w:rsidR="00F81221">
        <w:t xml:space="preserve"> and </w:t>
      </w:r>
      <w:r w:rsidRPr="00A428C3">
        <w:t xml:space="preserve">Reverberi, A.P. (2002), Copper adsorption on calcium alginate beads: Equilibrium pH-related models. </w:t>
      </w:r>
      <w:r w:rsidRPr="00A428C3">
        <w:rPr>
          <w:i/>
        </w:rPr>
        <w:t>Hydrometallurgy</w:t>
      </w:r>
      <w:r w:rsidRPr="00A428C3">
        <w:t xml:space="preserve">, </w:t>
      </w:r>
      <w:r w:rsidRPr="00A428C3">
        <w:rPr>
          <w:b/>
        </w:rPr>
        <w:t>65</w:t>
      </w:r>
      <w:r w:rsidRPr="00A428C3">
        <w:t xml:space="preserve"> (1), 43-57.</w:t>
      </w:r>
    </w:p>
    <w:p w:rsidR="00B95188" w:rsidRPr="00A428C3" w:rsidRDefault="00B95188" w:rsidP="00B95188">
      <w:pPr>
        <w:pStyle w:val="a0"/>
        <w:rPr>
          <w:iCs/>
        </w:rPr>
      </w:pPr>
      <w:r w:rsidRPr="00A428C3">
        <w:t xml:space="preserve">Full Text: </w:t>
      </w:r>
      <w:hyperlink r:id="rId755" w:history="1">
        <w:r w:rsidRPr="00A428C3">
          <w:rPr>
            <w:rStyle w:val="a5"/>
          </w:rPr>
          <w:t>H\Hydrometallurgy65, 43.pdf</w:t>
        </w:r>
      </w:hyperlink>
    </w:p>
    <w:p w:rsidR="00B95188" w:rsidRPr="00A428C3" w:rsidRDefault="00B95188" w:rsidP="00B95188">
      <w:pPr>
        <w:pStyle w:val="a0"/>
      </w:pPr>
      <w:r w:rsidRPr="00A428C3">
        <w:rPr>
          <w:iCs/>
        </w:rPr>
        <w:lastRenderedPageBreak/>
        <w:t xml:space="preserve">Abstract: </w:t>
      </w:r>
      <w:r w:rsidRPr="00A428C3">
        <w:t>In the present work, a study of adsorption of copper(II) ions onto calcium alginate beads has been carried out. In spite of many works reported in the literature on this subject (here reviewed), this work was mainly aimed at developing a methodological approach to study adsorption</w:t>
      </w:r>
      <w:r w:rsidR="00F81221">
        <w:t xml:space="preserve"> and </w:t>
      </w:r>
      <w:r w:rsidRPr="00A428C3">
        <w:t>biosorption of heavy metals considering a mathematical modelling including pH. Generally, in the adsorption isotherms, this parameter must be maintained constant to use the usual equilibrium models, such as Langmuir, Frendlich</w:t>
      </w:r>
      <w:r w:rsidR="00F81221">
        <w:t xml:space="preserve"> and </w:t>
      </w:r>
      <w:r w:rsidRPr="00A428C3">
        <w:t>Redlich-Peterson equations.</w:t>
      </w:r>
    </w:p>
    <w:p w:rsidR="00B95188" w:rsidRPr="00A428C3" w:rsidRDefault="00B95188" w:rsidP="00B95188">
      <w:pPr>
        <w:pStyle w:val="a0"/>
      </w:pPr>
      <w:r w:rsidRPr="00A428C3">
        <w:t>pH-edge tests are been proposed</w:t>
      </w:r>
      <w:r w:rsidR="00F81221">
        <w:t xml:space="preserve"> and </w:t>
      </w:r>
      <w:r w:rsidRPr="00A428C3">
        <w:t>carried out to study the equilibrium</w:t>
      </w:r>
      <w:r w:rsidR="00F81221">
        <w:t xml:space="preserve"> and </w:t>
      </w:r>
      <w:r w:rsidRPr="00A428C3">
        <w:t>several empirical</w:t>
      </w:r>
      <w:r w:rsidR="00F81221">
        <w:t xml:space="preserve"> and </w:t>
      </w:r>
      <w:r w:rsidRPr="00A428C3">
        <w:t>semiempirical models are proposed to describe</w:t>
      </w:r>
      <w:r w:rsidR="00F81221">
        <w:t xml:space="preserve"> and </w:t>
      </w:r>
      <w:r w:rsidRPr="00A428C3">
        <w:t>to fit all the experimental data, including pH as independent variable. pH</w:t>
      </w:r>
      <w:r w:rsidR="00F81221">
        <w:t xml:space="preserve"> and </w:t>
      </w:r>
      <w:r w:rsidRPr="00A428C3">
        <w:t>equilibrium concentration can be considered at the same time in the mathematical modelling of biosorption equilibrium. A statistical</w:t>
      </w:r>
      <w:r w:rsidR="00F81221">
        <w:t xml:space="preserve"> and </w:t>
      </w:r>
      <w:r w:rsidRPr="00A428C3">
        <w:t>physical discrimination among rival models has also been performed to select the best model.</w:t>
      </w:r>
    </w:p>
    <w:p w:rsidR="00B95188" w:rsidRPr="00A428C3" w:rsidRDefault="00B95188" w:rsidP="00B95188">
      <w:pPr>
        <w:pStyle w:val="a0"/>
      </w:pPr>
      <w:r w:rsidRPr="00A428C3">
        <w:t>The results show that pH-edge tests can be used to describe the equilibrium data</w:t>
      </w:r>
      <w:r w:rsidR="00F81221">
        <w:t xml:space="preserve"> and </w:t>
      </w:r>
      <w:r w:rsidRPr="00A428C3">
        <w:t>that the proposed models are able to fit the experimental results using a mathematical model with just three adjustable parameters. The behaviour of calcium alginate with respect to copper biosorption is characterised over a wide range of pH conditions</w:t>
      </w:r>
      <w:r w:rsidR="00F81221">
        <w:t xml:space="preserve"> and </w:t>
      </w:r>
      <w:r w:rsidRPr="00A428C3">
        <w:t>this approach can be extended to other biosorbent materials using other heavy metals.</w:t>
      </w:r>
    </w:p>
    <w:p w:rsidR="00B95188" w:rsidRPr="00A428C3" w:rsidRDefault="00B95188" w:rsidP="00B95188">
      <w:pPr>
        <w:pStyle w:val="a0"/>
      </w:pPr>
      <w:r w:rsidRPr="00A428C3">
        <w:t>Keywords: Copper Adsorption, Calcium Alginate, Equilibrium, Mathematical Modelling</w:t>
      </w:r>
    </w:p>
    <w:p w:rsidR="00B95188" w:rsidRPr="00A428C3" w:rsidRDefault="00B95188" w:rsidP="00B95188">
      <w:pPr>
        <w:pStyle w:val="a0"/>
      </w:pPr>
      <w:r w:rsidRPr="00A428C3">
        <w:t>Navarro, P.</w:t>
      </w:r>
      <w:r w:rsidR="00F81221">
        <w:t xml:space="preserve"> and </w:t>
      </w:r>
      <w:r w:rsidRPr="00A428C3">
        <w:t>Alguacil, F.J. (2002), Adsorption of antimony</w:t>
      </w:r>
      <w:r w:rsidR="00F81221">
        <w:t xml:space="preserve"> and </w:t>
      </w:r>
      <w:r w:rsidRPr="00A428C3">
        <w:t xml:space="preserve">arsenic from a copper electrorefining solution onto activated carbon. </w:t>
      </w:r>
      <w:r w:rsidRPr="00A428C3">
        <w:rPr>
          <w:i/>
        </w:rPr>
        <w:t>Hydrometallurgy</w:t>
      </w:r>
      <w:r w:rsidRPr="00A428C3">
        <w:t xml:space="preserve">, </w:t>
      </w:r>
      <w:r w:rsidRPr="00A428C3">
        <w:rPr>
          <w:b/>
        </w:rPr>
        <w:t>66</w:t>
      </w:r>
      <w:r w:rsidRPr="00A428C3">
        <w:t xml:space="preserve"> (1-3), 101-105.</w:t>
      </w:r>
    </w:p>
    <w:p w:rsidR="00B95188" w:rsidRPr="00A428C3" w:rsidRDefault="00B95188" w:rsidP="00B95188">
      <w:pPr>
        <w:pStyle w:val="a0"/>
        <w:rPr>
          <w:iCs/>
        </w:rPr>
      </w:pPr>
      <w:r w:rsidRPr="00A428C3">
        <w:t xml:space="preserve">Full Text: </w:t>
      </w:r>
      <w:hyperlink r:id="rId756" w:history="1">
        <w:r w:rsidRPr="00A428C3">
          <w:rPr>
            <w:rStyle w:val="a5"/>
          </w:rPr>
          <w:t>H\Hydrometallurgy66, 101.pdf</w:t>
        </w:r>
      </w:hyperlink>
    </w:p>
    <w:p w:rsidR="00B95188" w:rsidRPr="00A428C3" w:rsidRDefault="00B95188" w:rsidP="00B95188">
      <w:pPr>
        <w:pStyle w:val="a0"/>
      </w:pPr>
      <w:r w:rsidRPr="00A428C3">
        <w:t>Abstract: Removal of arsenic, antimony</w:t>
      </w:r>
      <w:r w:rsidR="00F81221">
        <w:t xml:space="preserve"> and </w:t>
      </w:r>
      <w:r w:rsidRPr="00A428C3">
        <w:t>bismuth impurities from copper electrolytes is a primary target in copper electrorefineries. The present work investigates the possibilities of carbon adsorption technology in the removal of arsenic</w:t>
      </w:r>
      <w:r w:rsidR="00F81221">
        <w:t xml:space="preserve"> and </w:t>
      </w:r>
      <w:r w:rsidRPr="00A428C3">
        <w:t>antimony from a real Chilean electrolyte. Various variables which affect the metal adsorption/desorption operations are studied.</w:t>
      </w:r>
    </w:p>
    <w:p w:rsidR="00B95188" w:rsidRPr="00A428C3" w:rsidRDefault="00B95188" w:rsidP="00B95188">
      <w:pPr>
        <w:pStyle w:val="a0"/>
      </w:pPr>
      <w:r w:rsidRPr="00A428C3">
        <w:t>Keywords: Copper Electrolytes, Antimony, Arsenic, Purification, Activated Carbon</w:t>
      </w:r>
    </w:p>
    <w:p w:rsidR="00B95188" w:rsidRPr="00A428C3" w:rsidRDefault="00B95188" w:rsidP="00B95188">
      <w:pPr>
        <w:pStyle w:val="a0"/>
      </w:pPr>
      <w:r w:rsidRPr="00A428C3">
        <w:t>Vegliò, F., Di Biase, A., Beolchini, F.</w:t>
      </w:r>
      <w:r w:rsidR="00F81221">
        <w:t xml:space="preserve"> and </w:t>
      </w:r>
      <w:r w:rsidRPr="00A428C3">
        <w:t>Pagnanelli, F. (2002), Heavy metal biosorption in binary systems: simulation in single-</w:t>
      </w:r>
      <w:r w:rsidR="00F81221">
        <w:t xml:space="preserve"> and </w:t>
      </w:r>
      <w:r w:rsidRPr="00A428C3">
        <w:t xml:space="preserve">two-stage UF/MF membrane reactors. </w:t>
      </w:r>
      <w:r w:rsidRPr="00A428C3">
        <w:rPr>
          <w:i/>
        </w:rPr>
        <w:t>Hydrometallurgy</w:t>
      </w:r>
      <w:r w:rsidRPr="00A428C3">
        <w:t xml:space="preserve">, </w:t>
      </w:r>
      <w:r w:rsidRPr="00A428C3">
        <w:rPr>
          <w:b/>
        </w:rPr>
        <w:t>66</w:t>
      </w:r>
      <w:r w:rsidRPr="00A428C3">
        <w:t xml:space="preserve"> (1-3), 107-115.</w:t>
      </w:r>
    </w:p>
    <w:p w:rsidR="00B95188" w:rsidRPr="00A428C3" w:rsidRDefault="00B95188" w:rsidP="00B95188">
      <w:pPr>
        <w:pStyle w:val="a0"/>
      </w:pPr>
      <w:r w:rsidRPr="00A428C3">
        <w:t xml:space="preserve">Full Text: </w:t>
      </w:r>
      <w:hyperlink r:id="rId757" w:history="1">
        <w:r w:rsidRPr="00A428C3">
          <w:rPr>
            <w:rStyle w:val="a5"/>
          </w:rPr>
          <w:t>H\Hydrometallurgy66, 107.pdf</w:t>
        </w:r>
      </w:hyperlink>
    </w:p>
    <w:p w:rsidR="00B95188" w:rsidRPr="00A428C3" w:rsidRDefault="00B95188" w:rsidP="00B95188">
      <w:pPr>
        <w:pStyle w:val="a0"/>
      </w:pPr>
      <w:r w:rsidRPr="00A428C3">
        <w:t>Abstract: in this paper, the continuous biosorption of binary metal systems onto Sphaerotilus natans cells confined in a membrane reactor was studied. The simulation of the dynamic response of the system to step perturbations was performed developing a model based on the metal mass balances</w:t>
      </w:r>
      <w:r w:rsidR="00F81221">
        <w:t xml:space="preserve"> and </w:t>
      </w:r>
      <w:r w:rsidRPr="00A428C3">
        <w:t xml:space="preserve">the Langmuir competitive isotherm. Simulation profiles predict the effect of the different affinity of </w:t>
      </w:r>
      <w:r w:rsidRPr="00A428C3">
        <w:lastRenderedPageBreak/>
        <w:t>the metals determined in previous batch tests: in particular considering binary systems</w:t>
      </w:r>
      <w:r w:rsidR="00F81221">
        <w:t xml:space="preserve"> and </w:t>
      </w:r>
      <w:r w:rsidRPr="00A428C3">
        <w:t>assuming a reversible adsorption phenomenon the metal with the lower affinity constant is replaced by the other (overshoot). A dimensionless formulation of the dynamic model was developed to describe the effect of operative (feed composition)</w:t>
      </w:r>
      <w:r w:rsidR="00F81221">
        <w:t xml:space="preserve"> and </w:t>
      </w:r>
      <w:r w:rsidRPr="00A428C3">
        <w:t>equilibrium parameters (maximal adsorbent capacity</w:t>
      </w:r>
      <w:r w:rsidR="00F81221">
        <w:t xml:space="preserve"> and </w:t>
      </w:r>
      <w:r w:rsidRPr="00A428C3">
        <w:t>relative metal affinity). Single-</w:t>
      </w:r>
      <w:r w:rsidR="00F81221">
        <w:t xml:space="preserve"> and </w:t>
      </w:r>
      <w:r w:rsidRPr="00A428C3">
        <w:t>two-stage reactor configurations were compared outlining the possibility of concentrating the metals in different stages according to their affinity for the adsorbent sites. (C) 2002 Published by Elsevier Science B.V.</w:t>
      </w:r>
    </w:p>
    <w:p w:rsidR="00B95188" w:rsidRPr="00A428C3" w:rsidRDefault="00B95188" w:rsidP="00B95188">
      <w:pPr>
        <w:pStyle w:val="a0"/>
      </w:pPr>
      <w:r w:rsidRPr="00A428C3">
        <w:t>Keywords: Biosorption, Heavy Metals, Membrane Reactor, Dynamic Simulation, Multimetal System, Copper(II)</w:t>
      </w:r>
    </w:p>
    <w:p w:rsidR="00B95188" w:rsidRPr="00A428C3" w:rsidRDefault="00B95188" w:rsidP="00B95188">
      <w:pPr>
        <w:pStyle w:val="a0"/>
      </w:pPr>
      <w:r w:rsidRPr="00A428C3">
        <w:t>Meunier, N., Blais, J.F.</w:t>
      </w:r>
      <w:r w:rsidR="00F81221">
        <w:t xml:space="preserve"> and </w:t>
      </w:r>
      <w:r w:rsidRPr="00A428C3">
        <w:t xml:space="preserve">Tyagi, R.D. (2002), Selection of a natural sorbent to remove toxic metals from acidic leachate produced during soil decontamination. </w:t>
      </w:r>
      <w:r w:rsidRPr="00A428C3">
        <w:rPr>
          <w:i/>
        </w:rPr>
        <w:t>Hydrometallurgy</w:t>
      </w:r>
      <w:r w:rsidRPr="00A428C3">
        <w:t xml:space="preserve">, </w:t>
      </w:r>
      <w:r w:rsidRPr="00A428C3">
        <w:rPr>
          <w:b/>
        </w:rPr>
        <w:t>67</w:t>
      </w:r>
      <w:r w:rsidRPr="00A428C3">
        <w:t xml:space="preserve"> (1-3), 19-30.</w:t>
      </w:r>
    </w:p>
    <w:p w:rsidR="00B95188" w:rsidRPr="00A428C3" w:rsidRDefault="00B95188" w:rsidP="00B95188">
      <w:pPr>
        <w:pStyle w:val="a0"/>
      </w:pPr>
      <w:r w:rsidRPr="00A428C3">
        <w:t xml:space="preserve">Full Text: </w:t>
      </w:r>
      <w:hyperlink r:id="rId758" w:history="1">
        <w:r w:rsidRPr="00A428C3">
          <w:rPr>
            <w:rStyle w:val="a5"/>
          </w:rPr>
          <w:t>H\Hydrometallurgy67, 19.pdf</w:t>
        </w:r>
      </w:hyperlink>
    </w:p>
    <w:p w:rsidR="00B95188" w:rsidRPr="00A428C3" w:rsidRDefault="00B95188" w:rsidP="00B95188">
      <w:pPr>
        <w:pStyle w:val="a0"/>
      </w:pPr>
      <w:r w:rsidRPr="00A428C3">
        <w:t>Abstract: The purpose of this study was to examine the efficiency with which some natural adsorbents remove heavy metals, especially lead, from very acidic leachate produced during soil decontamination by a chemical leaching process using hydrochloric acid. Sorption assays were done in shaken flasks in the presence of cocoa shells, cedar bark, pine bark, spruce bark, vermiculite</w:t>
      </w:r>
      <w:r w:rsidR="00F81221">
        <w:t xml:space="preserve"> and </w:t>
      </w:r>
      <w:r w:rsidRPr="00A428C3">
        <w:t>volcanic rocks. Cocoa shells were the most efficient sorbent with a maximal capacity of fixation (q</w:t>
      </w:r>
      <w:r w:rsidRPr="00A428C3">
        <w:rPr>
          <w:vertAlign w:val="subscript"/>
        </w:rPr>
        <w:t>max</w:t>
      </w:r>
      <w:r w:rsidRPr="00A428C3">
        <w:t>) Of 2.60 mg Pb/g measured during assays conducted with an acidic soil leachate (initial pH = 1.59</w:t>
      </w:r>
      <w:r w:rsidR="00F81221">
        <w:t xml:space="preserve"> and </w:t>
      </w:r>
      <w:r w:rsidRPr="00A428C3">
        <w:t>[Pb](i) = 45.4 mg/L). Cedar bark can also be used for metal removal in very acidic solutions but are less efficient than cocoa shells. This study also demonstrated that the presence of various metals</w:t>
      </w:r>
      <w:r w:rsidR="00F81221">
        <w:t xml:space="preserve"> and </w:t>
      </w:r>
      <w:r w:rsidRPr="00A428C3">
        <w:t>cations in the acidic leachate of soil induced a slight reduction in lead uptake by cocoa shells</w:t>
      </w:r>
      <w:r w:rsidR="00F81221">
        <w:t xml:space="preserve"> and </w:t>
      </w:r>
      <w:r w:rsidRPr="00A428C3">
        <w:t>cedar bark. Thus, a q(max) value of 3.35 mg Pb/g was measured during assays conducted with a synthetic lead solution (initial pH = 1.73</w:t>
      </w:r>
      <w:r w:rsidR="00F81221">
        <w:t xml:space="preserve"> and </w:t>
      </w:r>
      <w:r w:rsidRPr="00A428C3">
        <w:t>[Pb](i) = 42.3 mg/L). Kinetic measurements of lead removal by cocoa shells have revealed that sorption equilibrium was obtained after approximately 4 h of contact. Sorption experiments done with various granulometric fractions of cocoa shells have shown that this material does not need to be crushed to be efficient. Further research is necessary in order to develop a suitable method for soil decontamination by acidic leaching</w:t>
      </w:r>
      <w:r w:rsidR="00F81221">
        <w:t xml:space="preserve"> and </w:t>
      </w:r>
      <w:r w:rsidRPr="00A428C3">
        <w:t>metal recovery by sorption on cocoa shells. (C) 2002 Elsevier Science B.V. All rights reserved.</w:t>
      </w:r>
    </w:p>
    <w:p w:rsidR="00B95188" w:rsidRPr="00A428C3" w:rsidRDefault="00B95188" w:rsidP="00B95188">
      <w:pPr>
        <w:pStyle w:val="a0"/>
      </w:pPr>
      <w:r w:rsidRPr="00A428C3">
        <w:t>Keywords: Acid, Adsorbents, Adsorption, Adsorption, Bark, Biosorption, Cedar Bark, Cocoa Shells, Contaminated Soil, Decontamination, Extraction, Heavy Metals, Heavy-Metals, Industrial-Wastes, Leaching, Lead, Low-Cost Adsorbents, Metal, Metals, Modified Barks, Recovery, Removal, Soil, Sorption, Synthetic Solutions</w:t>
      </w:r>
    </w:p>
    <w:p w:rsidR="00B95188" w:rsidRPr="00A428C3" w:rsidRDefault="00B95188" w:rsidP="00B95188">
      <w:pPr>
        <w:pStyle w:val="a0"/>
      </w:pPr>
      <w:r w:rsidRPr="00A428C3">
        <w:t>Palmieri, M.C., Volesky, B.</w:t>
      </w:r>
      <w:r w:rsidR="00F81221">
        <w:t xml:space="preserve"> and </w:t>
      </w:r>
      <w:r w:rsidRPr="00A428C3">
        <w:t xml:space="preserve">Garcia, Jr., O. (2002), </w:t>
      </w:r>
      <w:r w:rsidRPr="00A428C3">
        <w:rPr>
          <w:szCs w:val="36"/>
        </w:rPr>
        <w:t xml:space="preserve">Biosorption of lanthanum using </w:t>
      </w:r>
      <w:r w:rsidRPr="00A428C3">
        <w:rPr>
          <w:i/>
          <w:iCs/>
          <w:szCs w:val="36"/>
        </w:rPr>
        <w:lastRenderedPageBreak/>
        <w:t>Sargassum fluitans</w:t>
      </w:r>
      <w:r w:rsidRPr="00A428C3">
        <w:rPr>
          <w:szCs w:val="36"/>
        </w:rPr>
        <w:t xml:space="preserve"> in batch system</w:t>
      </w:r>
      <w:r w:rsidRPr="00A428C3">
        <w:t xml:space="preserve">. </w:t>
      </w:r>
      <w:r w:rsidRPr="00A428C3">
        <w:rPr>
          <w:i/>
        </w:rPr>
        <w:t>Hydrometallurgy</w:t>
      </w:r>
      <w:r w:rsidRPr="00A428C3">
        <w:t xml:space="preserve">, </w:t>
      </w:r>
      <w:r w:rsidRPr="00A428C3">
        <w:rPr>
          <w:b/>
        </w:rPr>
        <w:t>67</w:t>
      </w:r>
      <w:r w:rsidRPr="00A428C3">
        <w:t xml:space="preserve"> (1-3), 31-36.</w:t>
      </w:r>
    </w:p>
    <w:p w:rsidR="00B95188" w:rsidRPr="00A428C3" w:rsidRDefault="00B95188" w:rsidP="00B95188">
      <w:pPr>
        <w:pStyle w:val="a0"/>
      </w:pPr>
      <w:r w:rsidRPr="00A428C3">
        <w:t xml:space="preserve">Full Text: </w:t>
      </w:r>
      <w:hyperlink r:id="rId759" w:history="1">
        <w:r w:rsidRPr="00A428C3">
          <w:rPr>
            <w:rStyle w:val="a5"/>
          </w:rPr>
          <w:t>H\Hydrometallurgy67, 31.pdf</w:t>
        </w:r>
      </w:hyperlink>
    </w:p>
    <w:p w:rsidR="00B95188" w:rsidRPr="00A428C3" w:rsidRDefault="00B95188" w:rsidP="00B95188">
      <w:pPr>
        <w:pStyle w:val="a0"/>
      </w:pPr>
      <w:r w:rsidRPr="00A428C3">
        <w:t>Abstract: Separation</w:t>
      </w:r>
      <w:r w:rsidR="00F81221">
        <w:t xml:space="preserve"> and </w:t>
      </w:r>
      <w:r w:rsidRPr="00A428C3">
        <w:t>purification of lanthanum from other rare-earth (RE) elements are highly complex processes comprising several steps of extraction using organic solvents or ion-exchange resins at high costs. In order to study the biosorption process as an alternative for conventional lanthanum recovery, this work investigated some basic aspects of lanthanum–</w:t>
      </w:r>
      <w:r w:rsidRPr="00A428C3">
        <w:rPr>
          <w:i/>
          <w:iCs/>
        </w:rPr>
        <w:t>Sargassum</w:t>
      </w:r>
      <w:r w:rsidRPr="00A428C3">
        <w:t xml:space="preserve"> biomass interactions in batch equilibrium contact. The dynamics of biosorption, influence of pH,</w:t>
      </w:r>
      <w:r w:rsidR="00F81221">
        <w:t xml:space="preserve"> and </w:t>
      </w:r>
      <w:r w:rsidRPr="00A428C3">
        <w:t>the desorption of this RE were investigated. Maximum biosorption coefficient (</w:t>
      </w:r>
      <w:r w:rsidRPr="00A428C3">
        <w:rPr>
          <w:i/>
          <w:iCs/>
        </w:rPr>
        <w:t>q</w:t>
      </w:r>
      <w:r w:rsidRPr="00A428C3">
        <w:rPr>
          <w:vertAlign w:val="subscript"/>
        </w:rPr>
        <w:t>max</w:t>
      </w:r>
      <w:r w:rsidRPr="00A428C3">
        <w:t>) increased from 0.05 at pH 2 to 0.53 mmol g</w:t>
      </w:r>
      <w:r w:rsidRPr="00A428C3">
        <w:rPr>
          <w:vertAlign w:val="superscript"/>
        </w:rPr>
        <w:t>-1</w:t>
      </w:r>
      <w:r w:rsidRPr="00A428C3">
        <w:t xml:space="preserve"> at pH 5 for lanthanum sulfate. When lanthanum chloride was used, a higher </w:t>
      </w:r>
      <w:r w:rsidRPr="00A428C3">
        <w:rPr>
          <w:i/>
          <w:iCs/>
        </w:rPr>
        <w:t>q</w:t>
      </w:r>
      <w:r w:rsidRPr="00A428C3">
        <w:rPr>
          <w:vertAlign w:val="subscript"/>
        </w:rPr>
        <w:t>max</w:t>
      </w:r>
      <w:r w:rsidRPr="00A428C3">
        <w:t xml:space="preserve"> at pH 5 (0.73 mmol g</w:t>
      </w:r>
      <w:r w:rsidRPr="00A428C3">
        <w:rPr>
          <w:vertAlign w:val="superscript"/>
        </w:rPr>
        <w:t>-1</w:t>
      </w:r>
      <w:r w:rsidRPr="00A428C3">
        <w:t>) was observed as compared to the sulfate salt (</w:t>
      </w:r>
      <w:r w:rsidRPr="00A428C3">
        <w:rPr>
          <w:i/>
          <w:iCs/>
        </w:rPr>
        <w:t>q</w:t>
      </w:r>
      <w:r w:rsidRPr="00A428C3">
        <w:rPr>
          <w:vertAlign w:val="subscript"/>
        </w:rPr>
        <w:t>max</w:t>
      </w:r>
      <w:r w:rsidRPr="00A428C3">
        <w:t xml:space="preserve"> = 0.53 mmol g</w:t>
      </w:r>
      <w:r w:rsidRPr="00A428C3">
        <w:rPr>
          <w:vertAlign w:val="superscript"/>
        </w:rPr>
        <w:t>-1</w:t>
      </w:r>
      <w:r w:rsidRPr="00A428C3">
        <w:t>) at the same pH. Adsorption</w:t>
      </w:r>
      <w:r w:rsidR="00F81221">
        <w:t xml:space="preserve"> and </w:t>
      </w:r>
      <w:r w:rsidRPr="00A428C3">
        <w:t xml:space="preserve">desorption curves pointed out a complete recovery of metal adsorbed in the </w:t>
      </w:r>
      <w:r w:rsidRPr="00A428C3">
        <w:rPr>
          <w:i/>
          <w:iCs/>
        </w:rPr>
        <w:t>Sargassum fluitans</w:t>
      </w:r>
      <w:r w:rsidRPr="00A428C3">
        <w:t xml:space="preserve"> biomass, showing a reversibility of this process</w:t>
      </w:r>
      <w:r w:rsidR="00F81221">
        <w:t xml:space="preserve"> and </w:t>
      </w:r>
      <w:r w:rsidRPr="00A428C3">
        <w:t>indicating the potential of biosorption for lanthanum removal</w:t>
      </w:r>
      <w:r w:rsidR="00F81221">
        <w:t xml:space="preserve"> and </w:t>
      </w:r>
      <w:r w:rsidRPr="00A428C3">
        <w:t>recovery.</w:t>
      </w:r>
    </w:p>
    <w:p w:rsidR="00B95188" w:rsidRPr="00A428C3" w:rsidRDefault="00B95188" w:rsidP="00B95188">
      <w:pPr>
        <w:pStyle w:val="a0"/>
        <w:rPr>
          <w:iCs/>
        </w:rPr>
      </w:pPr>
      <w:r w:rsidRPr="00A428C3">
        <w:t xml:space="preserve">Keywords: Biosorption, </w:t>
      </w:r>
      <w:r w:rsidRPr="00A428C3">
        <w:rPr>
          <w:i/>
          <w:iCs/>
        </w:rPr>
        <w:t>Sargassum Fluitans</w:t>
      </w:r>
      <w:r w:rsidRPr="00A428C3">
        <w:t>, Bioaccumulation, Rare-Earths, Lanthanum</w:t>
      </w:r>
    </w:p>
    <w:p w:rsidR="00B95188" w:rsidRPr="00A428C3" w:rsidRDefault="00B95188" w:rsidP="00B95188">
      <w:pPr>
        <w:pStyle w:val="a0"/>
      </w:pPr>
      <w:r w:rsidRPr="00A428C3">
        <w:t xml:space="preserve">Genç, Ö., Arpa, Ç., Bayramoğlu, G., </w:t>
      </w:r>
      <w:smartTag w:uri="urn:schemas-microsoft-com:office:smarttags" w:element="place">
        <w:smartTag w:uri="urn:schemas-microsoft-com:office:smarttags" w:element="City">
          <w:r w:rsidRPr="00A428C3">
            <w:t>Arıca</w:t>
          </w:r>
        </w:smartTag>
      </w:smartTag>
      <w:r w:rsidRPr="00A428C3">
        <w:t>, M.Y.</w:t>
      </w:r>
      <w:r w:rsidR="00F81221">
        <w:t xml:space="preserve"> and </w:t>
      </w:r>
      <w:r w:rsidRPr="00A428C3">
        <w:t xml:space="preserve">Bektaş, S. (2002), Selective recovery of mercury by Procion Brown MX 5BR immobilized poly(hydroxyethylmethacrylate/chitosan) composite membranes. </w:t>
      </w:r>
      <w:r w:rsidRPr="00A428C3">
        <w:rPr>
          <w:i/>
        </w:rPr>
        <w:t>Hydrometallurgy</w:t>
      </w:r>
      <w:r w:rsidRPr="00A428C3">
        <w:t xml:space="preserve">, </w:t>
      </w:r>
      <w:r w:rsidRPr="00A428C3">
        <w:rPr>
          <w:b/>
        </w:rPr>
        <w:t>67</w:t>
      </w:r>
      <w:r w:rsidRPr="00A428C3">
        <w:t xml:space="preserve"> (1-3), 53-62.</w:t>
      </w:r>
    </w:p>
    <w:p w:rsidR="00B95188" w:rsidRPr="00A428C3" w:rsidRDefault="00B95188" w:rsidP="00B95188">
      <w:pPr>
        <w:pStyle w:val="a0"/>
      </w:pPr>
      <w:r w:rsidRPr="00A428C3">
        <w:t xml:space="preserve">Full Text: </w:t>
      </w:r>
      <w:hyperlink r:id="rId760" w:history="1">
        <w:r w:rsidRPr="00A428C3">
          <w:rPr>
            <w:rStyle w:val="a5"/>
          </w:rPr>
          <w:t>H\Hydrometallurgy67, 53.pdf</w:t>
        </w:r>
      </w:hyperlink>
    </w:p>
    <w:p w:rsidR="00B95188" w:rsidRPr="00A428C3" w:rsidRDefault="00B95188" w:rsidP="00B95188">
      <w:pPr>
        <w:pStyle w:val="a0"/>
      </w:pPr>
      <w:r w:rsidRPr="00A428C3">
        <w:t>Abstract: Metal chelating membranes have advantages as adsorbents in comparison to conventional microspheres or beads because they are not compressible</w:t>
      </w:r>
      <w:r w:rsidR="00F81221">
        <w:t xml:space="preserve"> and </w:t>
      </w:r>
      <w:r w:rsidRPr="00A428C3">
        <w:t>they considerably eliminate internal diffusion limitations. The aim of this communication was to explore in detail the performance of Procion Brown MX 5BR immobilized poly(hydroxyethylmethacrylate/chitosan) composite membranes, (also called interpenetrating network, IPN, membranes) for removal of three toxic heavy metal ions, namely, Cd(II), Pb(II)</w:t>
      </w:r>
      <w:r w:rsidR="00F81221">
        <w:t xml:space="preserve"> and </w:t>
      </w:r>
      <w:r w:rsidRPr="00A428C3">
        <w:t>Hg(II) from aquatic systems. The composite membranes were characterized by elemental analysis, scanning electron microscopy</w:t>
      </w:r>
      <w:r w:rsidR="00F81221">
        <w:t xml:space="preserve"> and </w:t>
      </w:r>
      <w:r w:rsidRPr="00A428C3">
        <w:t xml:space="preserve">Fourier Transform Infrared (FTIR) spectroscopy. The incorporated amount of the Procion Brown MX 5BR was calculated as 0.036 </w:t>
      </w:r>
      <w:r w:rsidRPr="00A428C3">
        <w:sym w:font="Symbol" w:char="F06D"/>
      </w:r>
      <w:r w:rsidRPr="00A428C3">
        <w:t>mol/cm</w:t>
      </w:r>
      <w:r w:rsidRPr="00A428C3">
        <w:rPr>
          <w:vertAlign w:val="superscript"/>
        </w:rPr>
        <w:t>2</w:t>
      </w:r>
      <w:r w:rsidRPr="00A428C3">
        <w:t xml:space="preserve"> from the nitrogen</w:t>
      </w:r>
      <w:r w:rsidR="00F81221">
        <w:t xml:space="preserve"> and </w:t>
      </w:r>
      <w:r w:rsidRPr="00A428C3">
        <w:t>sulphur stoichiometry. The adsorption capacity for selected heavy metal ions from aqueous media containing different amounts of these ions (30–400 mg/L)</w:t>
      </w:r>
      <w:r w:rsidR="00F81221">
        <w:t xml:space="preserve"> and </w:t>
      </w:r>
      <w:r w:rsidRPr="00A428C3">
        <w:t>at different pH values (2.0–6.0) was investigated. Adsorption capacity of the membranes increased with time during the first 45 min</w:t>
      </w:r>
      <w:r w:rsidR="00F81221">
        <w:t xml:space="preserve"> and </w:t>
      </w:r>
      <w:r w:rsidRPr="00A428C3">
        <w:t>then levelled off toward the equilibrium adsorption. The maximum amounts of heavy metal ions adsorbed were found as 18.5, 22.7</w:t>
      </w:r>
      <w:r w:rsidR="00F81221">
        <w:t xml:space="preserve"> and </w:t>
      </w:r>
      <w:r w:rsidRPr="00A428C3">
        <w:t>68.8 mg/g for Cd(II), Pb(II)</w:t>
      </w:r>
      <w:r w:rsidR="00F81221">
        <w:t xml:space="preserve"> and </w:t>
      </w:r>
      <w:r w:rsidRPr="00A428C3">
        <w:t xml:space="preserve">Hg(II), respectively. Competitive adsorption of the metal ions was also studied. When the metal ions </w:t>
      </w:r>
      <w:r w:rsidRPr="00A428C3">
        <w:lastRenderedPageBreak/>
        <w:t>competed, the adsorbed amounts were found as 1.8 mg Cd(II)/g, 2.2 mg Pb(II)/g</w:t>
      </w:r>
      <w:r w:rsidR="00F81221">
        <w:t xml:space="preserve"> and </w:t>
      </w:r>
      <w:r w:rsidRPr="00A428C3">
        <w:t>52.6 mg Hg(II)/g. Under competitive conditions, the system showed a very high selectivity for Hg(II) ions. The membrane can be regenerated by washing with a solution of nitric acid (</w:t>
      </w:r>
      <w:smartTag w:uri="urn:schemas-microsoft-com:office:smarttags" w:element="chmetcnv">
        <w:smartTagPr>
          <w:attr w:name="TCSC" w:val="0"/>
          <w:attr w:name="NumberType" w:val="1"/>
          <w:attr w:name="Negative" w:val="False"/>
          <w:attr w:name="HasSpace" w:val="True"/>
          <w:attr w:name="SourceValue" w:val="0.01"/>
          <w:attr w:name="UnitName" w:val="m"/>
        </w:smartTagPr>
        <w:r w:rsidRPr="00A428C3">
          <w:t>0.01 M</w:t>
        </w:r>
      </w:smartTag>
      <w:r w:rsidRPr="00A428C3">
        <w:t>). The desorption ratio achieved was as high as 95%. These membranes are suitable for repeated use for more than five adsorption/desorption cycles without any considerable loss in adsorption capacity.</w:t>
      </w:r>
    </w:p>
    <w:p w:rsidR="00B95188" w:rsidRPr="00A428C3" w:rsidRDefault="00B95188" w:rsidP="00B95188">
      <w:pPr>
        <w:pStyle w:val="a0"/>
      </w:pPr>
      <w:r w:rsidRPr="00A428C3">
        <w:t>Keywords: p(HEMA/chitosan) Composite Membranes, Procion Brown MX 5BR, Heavy Metal Removal, Pb(II), Cd(II), Hg(II)</w:t>
      </w:r>
    </w:p>
    <w:p w:rsidR="00B95188" w:rsidRPr="00A428C3" w:rsidRDefault="00B95188" w:rsidP="00B95188">
      <w:pPr>
        <w:pStyle w:val="a0"/>
      </w:pPr>
      <w:r w:rsidRPr="00A428C3">
        <w:t>Hammaini, A., Ballester, A., Blázquez, M.L., González, F.</w:t>
      </w:r>
      <w:r w:rsidR="00F81221">
        <w:t xml:space="preserve"> and </w:t>
      </w:r>
      <w:r w:rsidRPr="00A428C3">
        <w:t>Muñoz, J. (2002), Effect of the presence of lead on the biosorption of copper, cadmium</w:t>
      </w:r>
      <w:r w:rsidR="00F81221">
        <w:t xml:space="preserve"> and </w:t>
      </w:r>
      <w:r w:rsidRPr="00A428C3">
        <w:t xml:space="preserve">zinc by activated sludge. </w:t>
      </w:r>
      <w:r w:rsidRPr="00A428C3">
        <w:rPr>
          <w:i/>
        </w:rPr>
        <w:t>Hydrometallurgy</w:t>
      </w:r>
      <w:r w:rsidRPr="00A428C3">
        <w:t xml:space="preserve">, </w:t>
      </w:r>
      <w:r w:rsidRPr="00A428C3">
        <w:rPr>
          <w:b/>
        </w:rPr>
        <w:t>67</w:t>
      </w:r>
      <w:r w:rsidRPr="00A428C3">
        <w:t xml:space="preserve"> (1-3), 109-116.</w:t>
      </w:r>
    </w:p>
    <w:p w:rsidR="00B95188" w:rsidRPr="00A428C3" w:rsidRDefault="00B95188" w:rsidP="00B95188">
      <w:pPr>
        <w:pStyle w:val="a0"/>
        <w:rPr>
          <w:iCs/>
        </w:rPr>
      </w:pPr>
      <w:r w:rsidRPr="00A428C3">
        <w:t xml:space="preserve">Full Text: </w:t>
      </w:r>
      <w:hyperlink r:id="rId761" w:history="1">
        <w:r w:rsidRPr="00A428C3">
          <w:rPr>
            <w:rStyle w:val="a5"/>
          </w:rPr>
          <w:t>H\Hydrometallurgy67, 109.pdf</w:t>
        </w:r>
      </w:hyperlink>
    </w:p>
    <w:p w:rsidR="00B95188" w:rsidRPr="00A428C3" w:rsidRDefault="00B95188" w:rsidP="00B95188">
      <w:pPr>
        <w:pStyle w:val="a0"/>
      </w:pPr>
      <w:r w:rsidRPr="00A428C3">
        <w:t>Abstract: The effect of the presence of Pb on the biosorption efficiency of Cu, Cd</w:t>
      </w:r>
      <w:r w:rsidR="00F81221">
        <w:t xml:space="preserve"> and </w:t>
      </w:r>
      <w:r w:rsidRPr="00A428C3">
        <w:t>Zn by activated sludge was investigated. To evaluate the two-metal sorption system efficiency, simple isotherm curves had to be replaced by three-dimensional sorption isotherm surfaces. In order to describe the isotherm surfaces mathematically, three Langmuir-type models were evaluated. The isotherms indicated a competitive uptake of the different metals with Pb that was preferentially adsorbed. (C) 2002 Elsevier Science B.V. All rights reserved.</w:t>
      </w:r>
    </w:p>
    <w:p w:rsidR="00B95188" w:rsidRPr="00A428C3" w:rsidRDefault="00B95188" w:rsidP="00B95188">
      <w:pPr>
        <w:pStyle w:val="a0"/>
      </w:pPr>
      <w:r w:rsidRPr="00A428C3">
        <w:t xml:space="preserve">Keywords: Biosorption, Activated Sludge, Lead, Copper, Cadmium, Zinc, Wastewater Treatment, Biomass, </w:t>
      </w:r>
      <w:r w:rsidRPr="00A428C3">
        <w:rPr>
          <w:i/>
          <w:iCs/>
        </w:rPr>
        <w:t>Rhizopus-arrhizus</w:t>
      </w:r>
      <w:r w:rsidRPr="00A428C3">
        <w:t xml:space="preserve"> Biomass, Metal, Equilibria, Removal, Adsorption, Peat</w:t>
      </w:r>
    </w:p>
    <w:p w:rsidR="00B95188" w:rsidRPr="00A428C3" w:rsidRDefault="00B95188" w:rsidP="00B95188">
      <w:pPr>
        <w:pStyle w:val="a0"/>
      </w:pPr>
      <w:r w:rsidRPr="00A428C3">
        <w:t>Beolchini, F., Pagnanelli, F., Toro, L.</w:t>
      </w:r>
      <w:r w:rsidR="00F81221">
        <w:t xml:space="preserve"> and </w:t>
      </w:r>
      <w:r w:rsidRPr="00A428C3">
        <w:t xml:space="preserve">Vegliò, F. (2003), Biosorption of copper by </w:t>
      </w:r>
      <w:r w:rsidRPr="00A428C3">
        <w:rPr>
          <w:i/>
          <w:iCs/>
        </w:rPr>
        <w:t>Sphaerotilus natans</w:t>
      </w:r>
      <w:r w:rsidRPr="00A428C3">
        <w:t xml:space="preserve"> immobilised in polysulfone matrix: Equilibrium</w:t>
      </w:r>
      <w:r w:rsidR="00F81221">
        <w:t xml:space="preserve"> and </w:t>
      </w:r>
      <w:r w:rsidRPr="00A428C3">
        <w:t xml:space="preserve">kinetic analysis. </w:t>
      </w:r>
      <w:r w:rsidRPr="00A428C3">
        <w:rPr>
          <w:i/>
        </w:rPr>
        <w:t>Hydrometallurgy</w:t>
      </w:r>
      <w:r w:rsidRPr="00A428C3">
        <w:t xml:space="preserve">, </w:t>
      </w:r>
      <w:r w:rsidRPr="00A428C3">
        <w:rPr>
          <w:b/>
        </w:rPr>
        <w:t>70</w:t>
      </w:r>
      <w:r w:rsidRPr="00A428C3">
        <w:t xml:space="preserve"> (1-3), 101-112.</w:t>
      </w:r>
    </w:p>
    <w:p w:rsidR="00B95188" w:rsidRPr="00A428C3" w:rsidRDefault="00B95188" w:rsidP="00B95188">
      <w:pPr>
        <w:pStyle w:val="a0"/>
      </w:pPr>
      <w:r w:rsidRPr="00A428C3">
        <w:t xml:space="preserve">Full Text: </w:t>
      </w:r>
      <w:hyperlink r:id="rId762" w:history="1">
        <w:r w:rsidRPr="00A428C3">
          <w:rPr>
            <w:rStyle w:val="a5"/>
          </w:rPr>
          <w:t>H\Hydrometallurgy70, 101.pdf</w:t>
        </w:r>
      </w:hyperlink>
    </w:p>
    <w:p w:rsidR="00B95188" w:rsidRPr="00A428C3" w:rsidRDefault="00B95188" w:rsidP="00B95188">
      <w:pPr>
        <w:pStyle w:val="a0"/>
      </w:pPr>
      <w:r w:rsidRPr="00A428C3">
        <w:t xml:space="preserve">Abstract: Copper biosorption by </w:t>
      </w:r>
      <w:r w:rsidRPr="00A428C3">
        <w:rPr>
          <w:i/>
          <w:iCs/>
        </w:rPr>
        <w:t>Sphaerotilus natans</w:t>
      </w:r>
      <w:r w:rsidRPr="00A428C3">
        <w:t xml:space="preserve"> immobilised in polysulfone matrices has been studied. Firstly, a rough characterisation of biosorbent beads has been performed,</w:t>
      </w:r>
      <w:r w:rsidR="00F81221">
        <w:t xml:space="preserve"> and </w:t>
      </w:r>
      <w:r w:rsidRPr="00A428C3">
        <w:t>operating conditions for beads preparation aimed at biosorption have been optimised. Then, the equilibrium of the process was studied in order to determine the effect of pH</w:t>
      </w:r>
      <w:r w:rsidR="00F81221">
        <w:t xml:space="preserve"> and </w:t>
      </w:r>
      <w:r w:rsidRPr="00A428C3">
        <w:t>biomass concentration inside beads; experimental data were successfully fitted by the Langmuir equation,</w:t>
      </w:r>
      <w:r w:rsidR="00F81221">
        <w:t xml:space="preserve"> and </w:t>
      </w:r>
      <w:r w:rsidRPr="00A428C3">
        <w:t>the highest value for loading was 5.4 mg/g estimated at pH 5.5</w:t>
      </w:r>
      <w:r w:rsidR="00F81221">
        <w:t xml:space="preserve"> and </w:t>
      </w:r>
      <w:smartTag w:uri="urn:schemas-microsoft-com:office:smarttags" w:element="chmetcnv">
        <w:smartTagPr>
          <w:attr w:name="TCSC" w:val="0"/>
          <w:attr w:name="NumberType" w:val="1"/>
          <w:attr w:name="Negative" w:val="False"/>
          <w:attr w:name="HasSpace" w:val="True"/>
          <w:attr w:name="SourceValue" w:val="0.18"/>
          <w:attr w:name="UnitName" w:val="g"/>
        </w:smartTagPr>
        <w:r w:rsidRPr="00A428C3">
          <w:t>0.18 g</w:t>
        </w:r>
      </w:smartTag>
      <w:r w:rsidRPr="00A428C3">
        <w:t xml:space="preserve"> of lyophilised biomass per gram of beads. Biosorption kinetics has also been studied,</w:t>
      </w:r>
      <w:r w:rsidR="00F81221">
        <w:t xml:space="preserve"> and </w:t>
      </w:r>
      <w:r w:rsidRPr="00A428C3">
        <w:t>an original kinetic model was developed which is able to correlate experimental data. This model was developed from the Shrinking Core Model, considering a variable copper diffusion coefficient dependent on the process conversion. The estimated values for copper diffusion coefficient were obviously lower than copper diffusivity in water,</w:t>
      </w:r>
      <w:r w:rsidR="00F81221">
        <w:t xml:space="preserve"> and </w:t>
      </w:r>
      <w:r w:rsidRPr="00A428C3">
        <w:t xml:space="preserve">they depend on biomass concentration inside beads. Beads regeneration was studied using </w:t>
      </w:r>
      <w:r w:rsidRPr="00A428C3">
        <w:lastRenderedPageBreak/>
        <w:t>EDTA, HCl</w:t>
      </w:r>
      <w:r w:rsidR="00F81221">
        <w:t xml:space="preserve"> and </w:t>
      </w:r>
      <w:r w:rsidRPr="00A428C3">
        <w:t>CaCl</w:t>
      </w:r>
      <w:r w:rsidRPr="00A428C3">
        <w:rPr>
          <w:vertAlign w:val="subscript"/>
        </w:rPr>
        <w:t>2</w:t>
      </w:r>
      <w:r w:rsidRPr="00A428C3">
        <w:t>. Satisfactory biosorption performances were observed also after 10 sorption/desorption cycles, with CaCl</w:t>
      </w:r>
      <w:r w:rsidRPr="00A428C3">
        <w:rPr>
          <w:vertAlign w:val="subscript"/>
        </w:rPr>
        <w:t>2</w:t>
      </w:r>
      <w:r w:rsidRPr="00A428C3">
        <w:t xml:space="preserve"> as regeneration solution. All the results confirmed the technical feasibility of the biosorption process by a polysulfone-entrapped biomass even though biosorption efficiency should be improved.</w:t>
      </w:r>
    </w:p>
    <w:p w:rsidR="00B95188" w:rsidRPr="00A428C3" w:rsidRDefault="00B95188" w:rsidP="00B95188">
      <w:pPr>
        <w:pStyle w:val="a0"/>
        <w:rPr>
          <w:iCs/>
        </w:rPr>
      </w:pPr>
      <w:r w:rsidRPr="00A428C3">
        <w:t xml:space="preserve">Keywords: Copper, Biosorption, </w:t>
      </w:r>
      <w:r w:rsidRPr="00A428C3">
        <w:rPr>
          <w:i/>
          <w:iCs/>
        </w:rPr>
        <w:t>Sphaerotilus</w:t>
      </w:r>
      <w:r w:rsidRPr="00A428C3">
        <w:t>, Polysulfone, Kinetic Modeling, Immobilised Biomass</w:t>
      </w:r>
    </w:p>
    <w:p w:rsidR="00B95188" w:rsidRPr="00A428C3" w:rsidRDefault="00B95188" w:rsidP="00B95188">
      <w:pPr>
        <w:pStyle w:val="a0"/>
      </w:pPr>
      <w:r w:rsidRPr="00A428C3">
        <w:t xml:space="preserve">Volesky, B. (2003), Biosorption process simulation tools. </w:t>
      </w:r>
      <w:r w:rsidRPr="00A428C3">
        <w:rPr>
          <w:i/>
        </w:rPr>
        <w:t>Hydrometallurgy</w:t>
      </w:r>
      <w:r w:rsidRPr="00A428C3">
        <w:t xml:space="preserve">, </w:t>
      </w:r>
      <w:r w:rsidRPr="00A428C3">
        <w:rPr>
          <w:b/>
        </w:rPr>
        <w:t>71</w:t>
      </w:r>
      <w:r w:rsidRPr="00A428C3">
        <w:t xml:space="preserve"> (1-2), 179-190.</w:t>
      </w:r>
    </w:p>
    <w:p w:rsidR="00B95188" w:rsidRPr="00A428C3" w:rsidRDefault="00B95188" w:rsidP="00B95188">
      <w:pPr>
        <w:pStyle w:val="a0"/>
      </w:pPr>
      <w:r w:rsidRPr="00A428C3">
        <w:t xml:space="preserve">Full Text: </w:t>
      </w:r>
      <w:hyperlink r:id="rId763" w:history="1">
        <w:r w:rsidRPr="00A428C3">
          <w:rPr>
            <w:rStyle w:val="a5"/>
          </w:rPr>
          <w:t>H\Hydrometallurgy71, 179.pdf</w:t>
        </w:r>
      </w:hyperlink>
    </w:p>
    <w:p w:rsidR="00B95188" w:rsidRPr="00A428C3" w:rsidRDefault="00B95188" w:rsidP="00B95188">
      <w:pPr>
        <w:pStyle w:val="a0"/>
      </w:pPr>
      <w:r w:rsidRPr="00A428C3">
        <w:t>Abstract: Recent research on metal biosorption has been elucidating its mechanisms</w:t>
      </w:r>
      <w:r w:rsidR="00F81221">
        <w:t xml:space="preserve"> and </w:t>
      </w:r>
      <w:r w:rsidRPr="00A428C3">
        <w:t>principles. For effective metal removal/recovery the process design has to be optimized for every type of application. That is most effectively done based on computer simulations utilizing mathematical models of the process. The methodology is summarized here involving both the equilibrium</w:t>
      </w:r>
      <w:r w:rsidR="00F81221">
        <w:t xml:space="preserve"> and </w:t>
      </w:r>
      <w:r w:rsidRPr="00A428C3">
        <w:t>dynamic aspects of the sorption process. Often used sorption equilibrium isotherm relationships are listed for modeling one-metal</w:t>
      </w:r>
      <w:r w:rsidR="00F81221">
        <w:t xml:space="preserve"> and </w:t>
      </w:r>
      <w:r w:rsidRPr="00A428C3">
        <w:t>multimetal systems. Performance modeling of dynamic sorption column systems requires simultaneous consideration of sorption equilibria, sorbate solution chemistry, biosorption mechanism, mass transfer</w:t>
      </w:r>
      <w:r w:rsidR="00F81221">
        <w:t xml:space="preserve"> and </w:t>
      </w:r>
      <w:r w:rsidRPr="00A428C3">
        <w:t>fluid-flow which all determine the overall sorption performance</w:t>
      </w:r>
      <w:r w:rsidR="00F81221">
        <w:t xml:space="preserve"> and </w:t>
      </w:r>
      <w:r w:rsidRPr="00A428C3">
        <w:t>the shape of the column breakthrough curve. Computer simulation of a model continuous-flow uranium biosorption process serves as a brief illustration of a more sophisticated approach to describing</w:t>
      </w:r>
      <w:r w:rsidR="00F81221">
        <w:t xml:space="preserve"> and </w:t>
      </w:r>
      <w:r w:rsidRPr="00A428C3">
        <w:t>predicting performance of dynamic sorption systems.</w:t>
      </w:r>
    </w:p>
    <w:p w:rsidR="00B95188" w:rsidRPr="00A428C3" w:rsidRDefault="00B95188" w:rsidP="00B95188">
      <w:pPr>
        <w:pStyle w:val="a0"/>
      </w:pPr>
      <w:r w:rsidRPr="00A428C3">
        <w:t>Keywords: Biosorption, Mathematical Modeling, Process Simulation, Sorption Dynamics, Sorption Performance, Biosorption Review</w:t>
      </w:r>
    </w:p>
    <w:p w:rsidR="00B95188" w:rsidRPr="00A428C3" w:rsidRDefault="00B95188" w:rsidP="00B95188">
      <w:pPr>
        <w:pStyle w:val="a0"/>
      </w:pPr>
      <w:r w:rsidRPr="00A428C3">
        <w:t>Arrascue, M.L., Garcia, H.M., Horna, O.</w:t>
      </w:r>
      <w:r w:rsidR="00F81221">
        <w:t xml:space="preserve"> and </w:t>
      </w:r>
      <w:r w:rsidRPr="00A428C3">
        <w:t xml:space="preserve">Guibal, E. (2003), Gold sorption on chitosan derivatives. </w:t>
      </w:r>
      <w:r w:rsidRPr="00A428C3">
        <w:rPr>
          <w:i/>
        </w:rPr>
        <w:t>Hydrometallurgy</w:t>
      </w:r>
      <w:r w:rsidRPr="00A428C3">
        <w:t xml:space="preserve">, </w:t>
      </w:r>
      <w:r w:rsidRPr="00A428C3">
        <w:rPr>
          <w:b/>
        </w:rPr>
        <w:t>71</w:t>
      </w:r>
      <w:r w:rsidRPr="00A428C3">
        <w:t xml:space="preserve"> (1-2), 191-200.</w:t>
      </w:r>
    </w:p>
    <w:p w:rsidR="00B95188" w:rsidRPr="00A428C3" w:rsidRDefault="00B95188" w:rsidP="00B95188">
      <w:pPr>
        <w:pStyle w:val="a0"/>
      </w:pPr>
      <w:r w:rsidRPr="00A428C3">
        <w:t xml:space="preserve">Full Text: </w:t>
      </w:r>
      <w:hyperlink r:id="rId764" w:history="1">
        <w:r w:rsidRPr="00A428C3">
          <w:rPr>
            <w:rStyle w:val="a5"/>
          </w:rPr>
          <w:t>H\Hydrometallurgy71, 191.pdf</w:t>
        </w:r>
      </w:hyperlink>
    </w:p>
    <w:p w:rsidR="00B95188" w:rsidRPr="00A428C3" w:rsidRDefault="00B95188" w:rsidP="00B95188">
      <w:pPr>
        <w:pStyle w:val="a0"/>
      </w:pPr>
      <w:r w:rsidRPr="00A428C3">
        <w:t>Abstract: Four derivatives of chitosan have been prepared by cross-linking</w:t>
      </w:r>
      <w:r w:rsidR="00F81221">
        <w:t xml:space="preserve"> and </w:t>
      </w:r>
      <w:r w:rsidRPr="00A428C3">
        <w:t>by grafting of sulfur compounds. Sorption isotherms were performed at different pHs in order to optimize the pH conditions at fixed chloride concentration. Sorption isotherms were correlated with gold speciation in solution. Sulfur grafting decreases the influence of the pH on sorption isotherms. Introducing sulfur chelating moieties gives a dual structure to the polymer: chelating</w:t>
      </w:r>
      <w:r w:rsidR="00F81221">
        <w:t xml:space="preserve"> and </w:t>
      </w:r>
      <w:r w:rsidRPr="00A428C3">
        <w:t>ion exchange capability. Sorption kinetics was influenced by the sorbent dosage</w:t>
      </w:r>
      <w:r w:rsidR="00F81221">
        <w:t xml:space="preserve"> and </w:t>
      </w:r>
      <w:r w:rsidRPr="00A428C3">
        <w:t>the type of sorbent used.</w:t>
      </w:r>
    </w:p>
    <w:p w:rsidR="00B95188" w:rsidRPr="00A428C3" w:rsidRDefault="00B95188" w:rsidP="00B95188">
      <w:pPr>
        <w:pStyle w:val="a0"/>
      </w:pPr>
      <w:r w:rsidRPr="00A428C3">
        <w:t>Keywords: Gold, Chitosan, Sulfur Derivatives, Sorption, Isotherms</w:t>
      </w:r>
    </w:p>
    <w:p w:rsidR="00B95188" w:rsidRPr="00A428C3" w:rsidRDefault="00B95188" w:rsidP="00B95188">
      <w:pPr>
        <w:pStyle w:val="a0"/>
      </w:pPr>
      <w:r w:rsidRPr="00A428C3">
        <w:t>Pagnanelli, F., Beolchini, F., Esposito, A., Toro, L.</w:t>
      </w:r>
      <w:r w:rsidR="00F81221">
        <w:t xml:space="preserve"> and </w:t>
      </w:r>
      <w:r w:rsidRPr="00A428C3">
        <w:t>Vegliò, F. (2003), Mechanistic modeling of heavy metal biosorption in batch</w:t>
      </w:r>
      <w:r w:rsidR="00F81221">
        <w:t xml:space="preserve"> and </w:t>
      </w:r>
      <w:r w:rsidRPr="00A428C3">
        <w:t xml:space="preserve">membrane reactor systems. </w:t>
      </w:r>
      <w:r w:rsidRPr="00A428C3">
        <w:rPr>
          <w:i/>
        </w:rPr>
        <w:lastRenderedPageBreak/>
        <w:t>Hydrometallurgy</w:t>
      </w:r>
      <w:r w:rsidRPr="00A428C3">
        <w:t xml:space="preserve">, </w:t>
      </w:r>
      <w:r w:rsidRPr="00A428C3">
        <w:rPr>
          <w:b/>
        </w:rPr>
        <w:t>71</w:t>
      </w:r>
      <w:r w:rsidRPr="00A428C3">
        <w:t xml:space="preserve"> (1-2), 201-208.</w:t>
      </w:r>
    </w:p>
    <w:p w:rsidR="00B95188" w:rsidRPr="00A428C3" w:rsidRDefault="00B95188" w:rsidP="00B95188">
      <w:pPr>
        <w:pStyle w:val="a0"/>
      </w:pPr>
      <w:r w:rsidRPr="00A428C3">
        <w:t xml:space="preserve">Full Text: </w:t>
      </w:r>
      <w:hyperlink r:id="rId765" w:history="1">
        <w:r w:rsidRPr="00A428C3">
          <w:rPr>
            <w:rStyle w:val="a5"/>
          </w:rPr>
          <w:t>H\Hydrometallurgy71, 201.pdf</w:t>
        </w:r>
      </w:hyperlink>
    </w:p>
    <w:p w:rsidR="00B95188" w:rsidRPr="00A428C3" w:rsidRDefault="00B95188" w:rsidP="00B95188">
      <w:pPr>
        <w:pStyle w:val="a0"/>
      </w:pPr>
      <w:r w:rsidRPr="00A428C3">
        <w:t xml:space="preserve">Abstract: In this study, a microbial culture of </w:t>
      </w:r>
      <w:r w:rsidRPr="00A428C3">
        <w:rPr>
          <w:i/>
          <w:iCs/>
        </w:rPr>
        <w:t>Arthrobacter</w:t>
      </w:r>
      <w:r w:rsidRPr="00A428C3">
        <w:t xml:space="preserve"> sp. was characterized</w:t>
      </w:r>
      <w:r w:rsidR="00F81221">
        <w:t xml:space="preserve"> and </w:t>
      </w:r>
      <w:r w:rsidRPr="00A428C3">
        <w:t>tested as heavy metal biosorbent in different experimental conditions (pH</w:t>
      </w:r>
      <w:r w:rsidR="00F81221">
        <w:t xml:space="preserve"> and </w:t>
      </w:r>
      <w:r w:rsidRPr="00A428C3">
        <w:t>biomass concentrations)</w:t>
      </w:r>
      <w:r w:rsidR="00F81221">
        <w:t xml:space="preserve"> and </w:t>
      </w:r>
      <w:r w:rsidRPr="00A428C3">
        <w:t>operative configurations (free cell in batch system</w:t>
      </w:r>
      <w:r w:rsidR="00F81221">
        <w:t xml:space="preserve"> and </w:t>
      </w:r>
      <w:r w:rsidRPr="00A428C3">
        <w:t>membrane reactor).</w:t>
      </w:r>
    </w:p>
    <w:p w:rsidR="00B95188" w:rsidRPr="00A428C3" w:rsidRDefault="00B95188" w:rsidP="00B95188">
      <w:pPr>
        <w:pStyle w:val="a0"/>
      </w:pPr>
      <w:r w:rsidRPr="00A428C3">
        <w:t xml:space="preserve">Biosorption batch trials with free cells were carried out using an original procedure defined as </w:t>
      </w:r>
      <w:r w:rsidR="000352E7">
        <w:t>“</w:t>
      </w:r>
      <w:r w:rsidRPr="00A428C3">
        <w:t>subsequent additions method</w:t>
      </w:r>
      <w:r w:rsidR="000352E7">
        <w:t>”</w:t>
      </w:r>
      <w:r w:rsidRPr="00A428C3">
        <w:t xml:space="preserve"> (SAM), consisting of successive additions of heavy metal concentrated solution to a cellular suspension at constant pH.</w:t>
      </w:r>
    </w:p>
    <w:p w:rsidR="00B95188" w:rsidRPr="00A428C3" w:rsidRDefault="00B95188" w:rsidP="00B95188">
      <w:pPr>
        <w:pStyle w:val="a0"/>
      </w:pPr>
      <w:r w:rsidRPr="00A428C3">
        <w:t>Mechanistic models for copper</w:t>
      </w:r>
      <w:r w:rsidR="00F81221">
        <w:t xml:space="preserve"> and </w:t>
      </w:r>
      <w:r w:rsidRPr="00A428C3">
        <w:t>cadmium biosorption have been developed taking into account the acidic properties of the cell wall constituents derived from biomass characterization. These models reveal the complexity of the metal biosorption phenomenon</w:t>
      </w:r>
      <w:r w:rsidR="00F81221">
        <w:t xml:space="preserve"> and </w:t>
      </w:r>
      <w:r w:rsidRPr="00A428C3">
        <w:t>the need to consider different chemico-physical mechanisms operating simultaneously.</w:t>
      </w:r>
    </w:p>
    <w:p w:rsidR="00B95188" w:rsidRPr="00A428C3" w:rsidRDefault="00B95188" w:rsidP="00B95188">
      <w:pPr>
        <w:pStyle w:val="a0"/>
      </w:pPr>
      <w:r w:rsidRPr="00A428C3">
        <w:t>A membrane reactor system is proposed as a means for confining biomass cells, thus permitting a semicontinuous operation</w:t>
      </w:r>
      <w:r w:rsidR="00F81221">
        <w:t xml:space="preserve"> and </w:t>
      </w:r>
      <w:r w:rsidRPr="00A428C3">
        <w:t>avoiding immobilization procedures. A mathematical model based on metal mass balance considering the effect of pH on equilibrium adsorption fitted well the experimental data at low pH values</w:t>
      </w:r>
      <w:r w:rsidR="00F81221">
        <w:t xml:space="preserve"> and </w:t>
      </w:r>
      <w:r w:rsidRPr="00A428C3">
        <w:t>biomass concentrations. In contrast, a mathematical model, considering partial cell disruption during the biosorption trial, was necessary to understand</w:t>
      </w:r>
      <w:r w:rsidR="00F81221">
        <w:t xml:space="preserve"> and </w:t>
      </w:r>
      <w:r w:rsidRPr="00A428C3">
        <w:t>analyze the system behavior at high biomass concentrations.</w:t>
      </w:r>
    </w:p>
    <w:p w:rsidR="00B95188" w:rsidRPr="00A428C3" w:rsidRDefault="00B95188" w:rsidP="00B95188">
      <w:pPr>
        <w:pStyle w:val="a0"/>
      </w:pPr>
      <w:r w:rsidRPr="00A428C3">
        <w:t>Keywords: Heavy Metal, Biosorption, Membrane</w:t>
      </w:r>
    </w:p>
    <w:p w:rsidR="00B95188" w:rsidRPr="00A428C3" w:rsidRDefault="00B95188" w:rsidP="00B95188">
      <w:pPr>
        <w:pStyle w:val="a0"/>
      </w:pPr>
      <w:r w:rsidRPr="00A428C3">
        <w:t>Niu, H.</w:t>
      </w:r>
      <w:r w:rsidR="00F81221">
        <w:t xml:space="preserve"> and </w:t>
      </w:r>
      <w:r w:rsidRPr="00A428C3">
        <w:t xml:space="preserve">Volesky, B. (2003), Characteristics of anionic metal species biosorption with waste crab shells. </w:t>
      </w:r>
      <w:r w:rsidRPr="00A428C3">
        <w:rPr>
          <w:i/>
        </w:rPr>
        <w:t>Hydrometallurgy</w:t>
      </w:r>
      <w:r w:rsidRPr="00A428C3">
        <w:t xml:space="preserve">, </w:t>
      </w:r>
      <w:r w:rsidRPr="00A428C3">
        <w:rPr>
          <w:b/>
        </w:rPr>
        <w:t>71</w:t>
      </w:r>
      <w:r w:rsidRPr="00A428C3">
        <w:t xml:space="preserve"> (1-2), 209-215.</w:t>
      </w:r>
    </w:p>
    <w:p w:rsidR="00B95188" w:rsidRPr="00A428C3" w:rsidRDefault="00B95188" w:rsidP="00B95188">
      <w:pPr>
        <w:pStyle w:val="a0"/>
      </w:pPr>
      <w:r w:rsidRPr="00A428C3">
        <w:t xml:space="preserve">Full Text: </w:t>
      </w:r>
      <w:hyperlink r:id="rId766" w:history="1">
        <w:r w:rsidRPr="00A428C3">
          <w:rPr>
            <w:rStyle w:val="a5"/>
          </w:rPr>
          <w:t>H\Hydrometallurgy71, 209.pdf</w:t>
        </w:r>
      </w:hyperlink>
    </w:p>
    <w:p w:rsidR="00B95188" w:rsidRPr="00A428C3" w:rsidRDefault="00B95188" w:rsidP="00B95188">
      <w:pPr>
        <w:pStyle w:val="a0"/>
      </w:pPr>
      <w:r w:rsidRPr="00A428C3">
        <w:t xml:space="preserve">Abstract: Anionic metal complexes are very effectively bound by biomass types containing an abundance of amine groups. Readily available chitinous materials such as acid-washed </w:t>
      </w:r>
      <w:r w:rsidRPr="00A428C3">
        <w:rPr>
          <w:i/>
          <w:iCs/>
        </w:rPr>
        <w:t>Ucides</w:t>
      </w:r>
      <w:r w:rsidRPr="00A428C3">
        <w:t xml:space="preserve"> shells (AWUS) sorbed well anionic gold-cyanide (Au(CN)</w:t>
      </w:r>
      <w:r w:rsidRPr="00A428C3">
        <w:rPr>
          <w:vertAlign w:val="subscript"/>
        </w:rPr>
        <w:t>2</w:t>
      </w:r>
      <w:r w:rsidRPr="00A428C3">
        <w:rPr>
          <w:vertAlign w:val="superscript"/>
        </w:rPr>
        <w:t>-</w:t>
      </w:r>
      <w:r w:rsidRPr="00A428C3">
        <w:t>), selenate (SeO</w:t>
      </w:r>
      <w:r w:rsidRPr="00A428C3">
        <w:rPr>
          <w:vertAlign w:val="subscript"/>
        </w:rPr>
        <w:t>4</w:t>
      </w:r>
      <w:r w:rsidRPr="00A428C3">
        <w:rPr>
          <w:vertAlign w:val="superscript"/>
        </w:rPr>
        <w:t>2-</w:t>
      </w:r>
      <w:r w:rsidRPr="00A428C3">
        <w:t>), chromate (CrO</w:t>
      </w:r>
      <w:r w:rsidRPr="00A428C3">
        <w:rPr>
          <w:vertAlign w:val="subscript"/>
        </w:rPr>
        <w:t>4</w:t>
      </w:r>
      <w:r w:rsidRPr="00A428C3">
        <w:rPr>
          <w:vertAlign w:val="superscript"/>
        </w:rPr>
        <w:t>2-</w:t>
      </w:r>
      <w:r w:rsidRPr="00A428C3">
        <w:t>)</w:t>
      </w:r>
      <w:r w:rsidR="00F81221">
        <w:t xml:space="preserve"> and </w:t>
      </w:r>
      <w:r w:rsidRPr="00A428C3">
        <w:t>vanadate (VO</w:t>
      </w:r>
      <w:r w:rsidRPr="00A428C3">
        <w:rPr>
          <w:vertAlign w:val="subscript"/>
        </w:rPr>
        <w:t>4</w:t>
      </w:r>
      <w:r w:rsidRPr="00A428C3">
        <w:rPr>
          <w:vertAlign w:val="superscript"/>
        </w:rPr>
        <w:t>3-</w:t>
      </w:r>
      <w:r w:rsidRPr="00A428C3">
        <w:t>) at low pH. Equilibrium biosorption uptakes by AWUS were up to 0.17 mmol Au/g AWUS (pH 3.4), 0.15 mmol Se/g (pH 3.0), 0.54 mmol Cr/g (pH 2.0)</w:t>
      </w:r>
      <w:r w:rsidR="00F81221">
        <w:t xml:space="preserve"> and </w:t>
      </w:r>
      <w:r w:rsidRPr="00A428C3">
        <w:t>0.79 mmol V/g (pH 2.5). An increased ionic strength (IS) suppressed the primary anion uptake as chloride ions competed for biosorbent protonated sites</w:t>
      </w:r>
      <w:r w:rsidR="00F81221">
        <w:t xml:space="preserve"> and </w:t>
      </w:r>
      <w:r w:rsidRPr="00A428C3">
        <w:t>higher IS reduced the activity of ions in solution. The biosorption mechanism was suspected to involve electrostatic attraction.</w:t>
      </w:r>
    </w:p>
    <w:p w:rsidR="00B95188" w:rsidRPr="00A428C3" w:rsidRDefault="00B95188" w:rsidP="00B95188">
      <w:pPr>
        <w:pStyle w:val="a0"/>
      </w:pPr>
      <w:r w:rsidRPr="00A428C3">
        <w:t>Keywords: Biosorption, Anionic Metal Complexes, Crab Shells, Chitin-Containing Materials, Chemical Speciation</w:t>
      </w:r>
    </w:p>
    <w:p w:rsidR="00B95188" w:rsidRPr="00A428C3" w:rsidRDefault="00B95188" w:rsidP="00B95188">
      <w:pPr>
        <w:pStyle w:val="a0"/>
      </w:pPr>
      <w:r w:rsidRPr="00A428C3">
        <w:t>de Carvalho, R.P., Freitas, J.R., de Sousa, A.M.G., Moreira, R.L., Pinheiro, M.V.B.</w:t>
      </w:r>
      <w:r w:rsidR="00F81221">
        <w:t xml:space="preserve"> and </w:t>
      </w:r>
      <w:r w:rsidRPr="00A428C3">
        <w:t>Krambrock, K. (2003), Biosorption of copper ions by dried leaves: Chemical bonds</w:t>
      </w:r>
      <w:r w:rsidR="00F81221">
        <w:t xml:space="preserve"> </w:t>
      </w:r>
      <w:r w:rsidR="00F81221">
        <w:lastRenderedPageBreak/>
        <w:t xml:space="preserve">and </w:t>
      </w:r>
      <w:r w:rsidRPr="00A428C3">
        <w:t xml:space="preserve">site symmetry. </w:t>
      </w:r>
      <w:r w:rsidRPr="00A428C3">
        <w:rPr>
          <w:i/>
        </w:rPr>
        <w:t>Hydrometallurgy</w:t>
      </w:r>
      <w:r w:rsidRPr="00A428C3">
        <w:t xml:space="preserve">, </w:t>
      </w:r>
      <w:r w:rsidRPr="00A428C3">
        <w:rPr>
          <w:b/>
        </w:rPr>
        <w:t>71</w:t>
      </w:r>
      <w:r w:rsidRPr="00A428C3">
        <w:t xml:space="preserve"> (1-2), 277-283.</w:t>
      </w:r>
    </w:p>
    <w:p w:rsidR="00B95188" w:rsidRPr="00A428C3" w:rsidRDefault="00B95188" w:rsidP="00B95188">
      <w:pPr>
        <w:pStyle w:val="a0"/>
      </w:pPr>
      <w:r w:rsidRPr="00A428C3">
        <w:t xml:space="preserve">Full Text: </w:t>
      </w:r>
      <w:hyperlink r:id="rId767" w:history="1">
        <w:r w:rsidRPr="00A428C3">
          <w:rPr>
            <w:rStyle w:val="a5"/>
          </w:rPr>
          <w:t>H\Hydrometallurgy71, 277.pdf</w:t>
        </w:r>
      </w:hyperlink>
    </w:p>
    <w:p w:rsidR="00B95188" w:rsidRPr="00A428C3" w:rsidRDefault="00B95188" w:rsidP="00B95188">
      <w:pPr>
        <w:pStyle w:val="a0"/>
      </w:pPr>
      <w:r w:rsidRPr="00A428C3">
        <w:t>Abstract: The biosorption of copper by dried leaves was studied by Fourier transform infrared spectroscopy (FTIR)</w:t>
      </w:r>
      <w:r w:rsidR="00F81221">
        <w:t xml:space="preserve"> and </w:t>
      </w:r>
      <w:r w:rsidRPr="00A428C3">
        <w:t>electron paramagnetic resonance (EPR). From FTIR measurements, we conclude that the presence of copper ions in the biomass affects the bands corresponding to C=C vibrations of carbon rings of the biomass. In the EPR spectra, the Cu</w:t>
      </w:r>
      <w:r w:rsidRPr="00A428C3">
        <w:rPr>
          <w:vertAlign w:val="superscript"/>
        </w:rPr>
        <w:t>2+</w:t>
      </w:r>
      <w:r w:rsidRPr="00A428C3">
        <w:t xml:space="preserve"> ion is seen to be incorporated into the biomass in a site with an axial symmetry. We propose a model for the sorption site where the copper ions are located between two adjacent carbon rings in an interstitial site in the fibers of the biomass.</w:t>
      </w:r>
    </w:p>
    <w:p w:rsidR="00B95188" w:rsidRPr="00A428C3" w:rsidRDefault="00B95188" w:rsidP="00B95188">
      <w:pPr>
        <w:pStyle w:val="a0"/>
      </w:pPr>
      <w:r w:rsidRPr="00A428C3">
        <w:t>Keywords: Biosorption, Sorption, Copper, Dried Leaves, FTIR, EPR</w:t>
      </w:r>
    </w:p>
    <w:p w:rsidR="00B95188" w:rsidRPr="00A428C3" w:rsidRDefault="00B95188" w:rsidP="00B95188">
      <w:pPr>
        <w:pStyle w:val="a0"/>
      </w:pPr>
      <w:r w:rsidRPr="00A428C3">
        <w:t>Jeon, C.</w:t>
      </w:r>
      <w:r w:rsidR="00F81221">
        <w:t xml:space="preserve"> and </w:t>
      </w:r>
      <w:r w:rsidRPr="00A428C3">
        <w:t xml:space="preserve">Höll, W.H. (2003), Application of the surface complexation model to heavy metal sorption equilibria onto aminated chitosan. </w:t>
      </w:r>
      <w:r w:rsidRPr="00A428C3">
        <w:rPr>
          <w:i/>
        </w:rPr>
        <w:t>Hydrometallurgy</w:t>
      </w:r>
      <w:r w:rsidRPr="00A428C3">
        <w:t xml:space="preserve">, </w:t>
      </w:r>
      <w:r w:rsidRPr="00A428C3">
        <w:rPr>
          <w:b/>
        </w:rPr>
        <w:t>71</w:t>
      </w:r>
      <w:r w:rsidRPr="00A428C3">
        <w:t xml:space="preserve"> (3-4), 421-428.</w:t>
      </w:r>
    </w:p>
    <w:p w:rsidR="00B95188" w:rsidRPr="00A428C3" w:rsidRDefault="00B95188" w:rsidP="00B95188">
      <w:pPr>
        <w:pStyle w:val="a0"/>
      </w:pPr>
      <w:r w:rsidRPr="00A428C3">
        <w:t xml:space="preserve">Full Text: </w:t>
      </w:r>
      <w:hyperlink r:id="rId768" w:history="1">
        <w:r w:rsidRPr="00A428C3">
          <w:rPr>
            <w:rStyle w:val="a5"/>
          </w:rPr>
          <w:t>H\Hydrometallurgy71, 421.pdf</w:t>
        </w:r>
      </w:hyperlink>
    </w:p>
    <w:p w:rsidR="00B95188" w:rsidRPr="00A428C3" w:rsidRDefault="00B95188" w:rsidP="00B95188">
      <w:pPr>
        <w:pStyle w:val="a0"/>
      </w:pPr>
      <w:r w:rsidRPr="00A428C3">
        <w:t>Abstract: The surface complexation model as previously applied to the sorption of ions onto charge-bearing surfaces has been applied to the simultaneous sorption of heavy metal salts</w:t>
      </w:r>
      <w:r w:rsidR="00F81221">
        <w:t xml:space="preserve"> and </w:t>
      </w:r>
      <w:r w:rsidRPr="00A428C3">
        <w:t>strong acids onto sorbents prepared from aminated chitosan. From the uptake of metals</w:t>
      </w:r>
      <w:r w:rsidR="00F81221">
        <w:t xml:space="preserve"> and </w:t>
      </w:r>
      <w:r w:rsidRPr="00A428C3">
        <w:t>acids in simple systems generalized separation factors can be calculated from describing the sorption of anions</w:t>
      </w:r>
      <w:r w:rsidR="00F81221">
        <w:t xml:space="preserve"> and </w:t>
      </w:r>
      <w:r w:rsidRPr="00A428C3">
        <w:t>cations. Plotting these separation factors vs. the dimensionless loadings of the solid phase with metal salts</w:t>
      </w:r>
      <w:r w:rsidR="00F81221">
        <w:t xml:space="preserve"> and </w:t>
      </w:r>
      <w:r w:rsidRPr="00A428C3">
        <w:t>with strong acid yields two sets of equilibrium constants describing the sorption. The important feature of the theoretical approach is that these constants remain unchanged in multicomponent systems. Therefore, the prediction of multicomponent equilibria is possible. The method has been demonstrated for systems with copper, nickel,</w:t>
      </w:r>
      <w:r w:rsidR="00F81221">
        <w:t xml:space="preserve"> and </w:t>
      </w:r>
      <w:r w:rsidRPr="00A428C3">
        <w:t>nitric acid as an example. Evaluation of results reveals a satisfactory agreement between experimental data</w:t>
      </w:r>
      <w:r w:rsidR="00F81221">
        <w:t xml:space="preserve"> and </w:t>
      </w:r>
      <w:r w:rsidRPr="00A428C3">
        <w:t>predicted equilibria of the ternary system.</w:t>
      </w:r>
    </w:p>
    <w:p w:rsidR="00B95188" w:rsidRPr="00A428C3" w:rsidRDefault="00B95188" w:rsidP="00B95188">
      <w:pPr>
        <w:pStyle w:val="a0"/>
      </w:pPr>
      <w:r w:rsidRPr="00A428C3">
        <w:t>Keywords: Chitosan, Surface Complexation, Heavy Metal, Biosorption, Sorption Equilibrium</w:t>
      </w:r>
    </w:p>
    <w:p w:rsidR="00B95188" w:rsidRPr="00A428C3" w:rsidRDefault="00B95188" w:rsidP="00B95188">
      <w:pPr>
        <w:pStyle w:val="a0"/>
      </w:pPr>
      <w:r w:rsidRPr="00A428C3">
        <w:t>Beolchini, F., Pagnanelli, F., Toro, L.</w:t>
      </w:r>
      <w:r w:rsidR="00F81221">
        <w:t xml:space="preserve"> and </w:t>
      </w:r>
      <w:r w:rsidRPr="00A428C3">
        <w:t xml:space="preserve">Vegliò, F. (2003), Copper biosorption by </w:t>
      </w:r>
      <w:r w:rsidRPr="00A428C3">
        <w:rPr>
          <w:i/>
          <w:iCs/>
        </w:rPr>
        <w:t>Sphaerotilus natans</w:t>
      </w:r>
      <w:r w:rsidRPr="00A428C3">
        <w:t xml:space="preserve"> confined in UF membrane module: Experimental study</w:t>
      </w:r>
      <w:r w:rsidR="00F81221">
        <w:t xml:space="preserve"> and </w:t>
      </w:r>
      <w:r w:rsidRPr="00A428C3">
        <w:t xml:space="preserve">kinetic modeling. </w:t>
      </w:r>
      <w:r w:rsidRPr="00A428C3">
        <w:rPr>
          <w:i/>
        </w:rPr>
        <w:t>Hydrometallurgy</w:t>
      </w:r>
      <w:r w:rsidRPr="00A428C3">
        <w:t xml:space="preserve">, </w:t>
      </w:r>
      <w:r w:rsidRPr="00A428C3">
        <w:rPr>
          <w:b/>
        </w:rPr>
        <w:t>72</w:t>
      </w:r>
      <w:r w:rsidRPr="00A428C3">
        <w:t xml:space="preserve"> (1-2), 21-30.</w:t>
      </w:r>
    </w:p>
    <w:p w:rsidR="00B95188" w:rsidRPr="00A428C3" w:rsidRDefault="00B95188" w:rsidP="00B95188">
      <w:pPr>
        <w:pStyle w:val="a0"/>
      </w:pPr>
      <w:r w:rsidRPr="00A428C3">
        <w:t xml:space="preserve">Full Text: </w:t>
      </w:r>
      <w:hyperlink r:id="rId769" w:history="1">
        <w:r w:rsidRPr="00A428C3">
          <w:rPr>
            <w:rStyle w:val="a5"/>
          </w:rPr>
          <w:t>H\Hydrometallurgy72, 21.pdf</w:t>
        </w:r>
      </w:hyperlink>
    </w:p>
    <w:p w:rsidR="00B95188" w:rsidRPr="00A428C3" w:rsidRDefault="00B95188" w:rsidP="00B95188">
      <w:pPr>
        <w:pStyle w:val="a0"/>
      </w:pPr>
      <w:r w:rsidRPr="00A428C3">
        <w:t xml:space="preserve">Abstract: Copper biosorption by </w:t>
      </w:r>
      <w:r w:rsidRPr="00A428C3">
        <w:rPr>
          <w:i/>
          <w:iCs/>
        </w:rPr>
        <w:t>Sphaerotilus natans</w:t>
      </w:r>
      <w:r w:rsidRPr="00A428C3">
        <w:t xml:space="preserve"> is presented in this work. The process was realized in an ultrafiltration membrane reactor in order to confine cells. Experimental tests were performed under different conditions of pH, cell concentration</w:t>
      </w:r>
      <w:r w:rsidR="00F81221">
        <w:t xml:space="preserve"> and </w:t>
      </w:r>
      <w:r w:rsidRPr="00A428C3">
        <w:t xml:space="preserve">copper concentration in the stream to be treated. Copper concentration in the permeate was monitored during time in order to determine the process performance. Experimental data evidenced the very high sorption abilities of </w:t>
      </w:r>
      <w:r w:rsidRPr="00A428C3">
        <w:lastRenderedPageBreak/>
        <w:t>the employed microorganism. Kinetic modeling of the process was also performed</w:t>
      </w:r>
      <w:r w:rsidR="00F81221">
        <w:t xml:space="preserve"> and </w:t>
      </w:r>
      <w:r w:rsidRPr="00A428C3">
        <w:t>a mathematical model was developed, which takes into account a variation vs. time of copper retention coefficient coupled with biomass concentration. The model was able to successfully match experimental data.</w:t>
      </w:r>
    </w:p>
    <w:p w:rsidR="00B95188" w:rsidRPr="00A428C3" w:rsidRDefault="00B95188" w:rsidP="00B95188">
      <w:pPr>
        <w:pStyle w:val="a0"/>
      </w:pPr>
      <w:r w:rsidRPr="00A428C3">
        <w:t xml:space="preserve">Keywords: </w:t>
      </w:r>
      <w:r w:rsidRPr="00A428C3">
        <w:rPr>
          <w:i/>
          <w:iCs/>
        </w:rPr>
        <w:t>Sphaerotilus Natans</w:t>
      </w:r>
      <w:r w:rsidRPr="00A428C3">
        <w:t>, Membrane Process, Biosorption, Copper, Kinetic Modeling</w:t>
      </w:r>
    </w:p>
    <w:p w:rsidR="00B95188" w:rsidRPr="00A428C3" w:rsidRDefault="00B95188" w:rsidP="00B95188">
      <w:pPr>
        <w:pStyle w:val="a0"/>
      </w:pPr>
      <w:r w:rsidRPr="00A428C3">
        <w:t>Zhang, H.G., Ritchie, I.M.</w:t>
      </w:r>
      <w:r w:rsidR="00F81221">
        <w:t xml:space="preserve"> and </w:t>
      </w:r>
      <w:r w:rsidRPr="00A428C3">
        <w:t xml:space="preserve">La Brooy, S.R. (2004), The adsorption of gold thiourea complex onto activated carbon. </w:t>
      </w:r>
      <w:r w:rsidRPr="00A428C3">
        <w:rPr>
          <w:i/>
        </w:rPr>
        <w:t>Hydrometallurgy</w:t>
      </w:r>
      <w:r w:rsidRPr="00A428C3">
        <w:t xml:space="preserve">, </w:t>
      </w:r>
      <w:r w:rsidRPr="00A428C3">
        <w:rPr>
          <w:b/>
        </w:rPr>
        <w:t>72</w:t>
      </w:r>
      <w:r w:rsidRPr="00A428C3">
        <w:t xml:space="preserve"> (3-4), 291-301.</w:t>
      </w:r>
    </w:p>
    <w:p w:rsidR="00B95188" w:rsidRPr="00A428C3" w:rsidRDefault="00B95188" w:rsidP="00B95188">
      <w:pPr>
        <w:pStyle w:val="a0"/>
      </w:pPr>
      <w:r w:rsidRPr="00A428C3">
        <w:t xml:space="preserve">Full Text: </w:t>
      </w:r>
      <w:hyperlink r:id="rId770" w:history="1">
        <w:r w:rsidRPr="00A428C3">
          <w:rPr>
            <w:rStyle w:val="a5"/>
          </w:rPr>
          <w:t>H\Hydrometallurgy72, 291.pdf</w:t>
        </w:r>
      </w:hyperlink>
    </w:p>
    <w:p w:rsidR="00B95188" w:rsidRPr="00A428C3" w:rsidRDefault="00B95188" w:rsidP="00B95188">
      <w:pPr>
        <w:pStyle w:val="a0"/>
      </w:pPr>
      <w:r w:rsidRPr="00A428C3">
        <w:t>Abstract: The equilibrium</w:t>
      </w:r>
      <w:r w:rsidR="00F81221">
        <w:t xml:space="preserve"> and </w:t>
      </w:r>
      <w:r w:rsidRPr="00A428C3">
        <w:t>kinetics for the adsorption of gold onto activated carbon from acidic thiourea solutions have been studied. The equilibrium gold loading decreases with increasing thiourea concentration, pH</w:t>
      </w:r>
      <w:r w:rsidR="00F81221">
        <w:t xml:space="preserve"> and </w:t>
      </w:r>
      <w:r w:rsidRPr="00A428C3">
        <w:t>temperature. The gold loading is not affected by small amounts of Fe</w:t>
      </w:r>
      <w:r w:rsidRPr="00A428C3">
        <w:rPr>
          <w:vertAlign w:val="superscript"/>
        </w:rPr>
        <w:t>2+</w:t>
      </w:r>
      <w:r w:rsidRPr="00A428C3">
        <w:t xml:space="preserve"> or Fe</w:t>
      </w:r>
      <w:r w:rsidRPr="00A428C3">
        <w:rPr>
          <w:vertAlign w:val="superscript"/>
        </w:rPr>
        <w:t>3+</w:t>
      </w:r>
      <w:r w:rsidRPr="00A428C3">
        <w:t>, but is greatly lowered by Cu</w:t>
      </w:r>
      <w:r w:rsidRPr="00A428C3">
        <w:rPr>
          <w:vertAlign w:val="superscript"/>
        </w:rPr>
        <w:t>2+</w:t>
      </w:r>
      <w:r w:rsidRPr="00A428C3">
        <w:t xml:space="preserve"> presumably through competitive adsorption. The rate of gold adsorption at the initial stage, in terms of the decrease of gold concentration in solution, can well be described with first-order kinetics. The rate increases with increased initial gold concentration, agitation</w:t>
      </w:r>
      <w:r w:rsidR="00F81221">
        <w:t xml:space="preserve"> and </w:t>
      </w:r>
      <w:r w:rsidRPr="00A428C3">
        <w:t>temperature, but is not greatly affected by thiourea concentration or the presence of Fe</w:t>
      </w:r>
      <w:r w:rsidRPr="00A428C3">
        <w:rPr>
          <w:vertAlign w:val="superscript"/>
        </w:rPr>
        <w:t>2+</w:t>
      </w:r>
      <w:r w:rsidRPr="00A428C3">
        <w:t>. Ag</w:t>
      </w:r>
      <w:r w:rsidRPr="00A428C3">
        <w:rPr>
          <w:vertAlign w:val="superscript"/>
        </w:rPr>
        <w:t>+</w:t>
      </w:r>
      <w:r w:rsidR="00F81221">
        <w:t xml:space="preserve"> and </w:t>
      </w:r>
      <w:r w:rsidRPr="00A428C3">
        <w:t>Cu</w:t>
      </w:r>
      <w:r w:rsidRPr="00A428C3">
        <w:rPr>
          <w:vertAlign w:val="superscript"/>
        </w:rPr>
        <w:t>2+</w:t>
      </w:r>
      <w:r w:rsidRPr="00A428C3">
        <w:t xml:space="preserve"> ions significantly reduce the rate since they strongly compete for the surface sites. A high concentration of Fe</w:t>
      </w:r>
      <w:r w:rsidRPr="00A428C3">
        <w:rPr>
          <w:vertAlign w:val="superscript"/>
        </w:rPr>
        <w:t>3+</w:t>
      </w:r>
      <w:r w:rsidRPr="00A428C3">
        <w:t xml:space="preserve"> (</w:t>
      </w:r>
      <w:smartTag w:uri="urn:schemas-microsoft-com:office:smarttags" w:element="chmetcnv">
        <w:smartTagPr>
          <w:attr w:name="TCSC" w:val="0"/>
          <w:attr w:name="NumberType" w:val="1"/>
          <w:attr w:name="Negative" w:val="False"/>
          <w:attr w:name="HasSpace" w:val="True"/>
          <w:attr w:name="SourceValue" w:val="5"/>
          <w:attr w:name="UnitName" w:val="g"/>
        </w:smartTagPr>
        <w:r w:rsidRPr="00A428C3">
          <w:t>5 g</w:t>
        </w:r>
      </w:smartTag>
      <w:r w:rsidRPr="00A428C3">
        <w:t>/L) also substantially reduces the rate, probably due to a change in solution chemistry. Gold is normally adsorbed on activated carbon as the gold thiourea complex. However, partial decomposition of the complex to metallic gold has been observed under certain conditions. The surface of the activated carbon loaded with gold has been studied using SEM, EDS</w:t>
      </w:r>
      <w:r w:rsidR="00F81221">
        <w:t xml:space="preserve"> and </w:t>
      </w:r>
      <w:r w:rsidRPr="00A428C3">
        <w:t>XPS techniques.</w:t>
      </w:r>
    </w:p>
    <w:p w:rsidR="00B95188" w:rsidRPr="00A428C3" w:rsidRDefault="00B95188" w:rsidP="00B95188">
      <w:pPr>
        <w:pStyle w:val="a0"/>
      </w:pPr>
      <w:r w:rsidRPr="00A428C3">
        <w:t>Keywords: Gold, Thiourea, Activated Carbon, Adsorption</w:t>
      </w:r>
    </w:p>
    <w:p w:rsidR="00B95188" w:rsidRPr="00A428C3" w:rsidRDefault="00B95188" w:rsidP="00B95188">
      <w:pPr>
        <w:pStyle w:val="a0"/>
      </w:pPr>
      <w:r w:rsidRPr="00A428C3">
        <w:t>Feng, D.</w:t>
      </w:r>
      <w:r w:rsidR="00F81221">
        <w:t xml:space="preserve"> and </w:t>
      </w:r>
      <w:r w:rsidRPr="00A428C3">
        <w:t xml:space="preserve">Aldrich, C. (2004), Recovery of chromite fines from wastewater streams by column flotation. </w:t>
      </w:r>
      <w:r w:rsidRPr="00A428C3">
        <w:rPr>
          <w:i/>
        </w:rPr>
        <w:t>Hydrometallurgy</w:t>
      </w:r>
      <w:r w:rsidRPr="00A428C3">
        <w:t xml:space="preserve">, </w:t>
      </w:r>
      <w:r w:rsidRPr="00A428C3">
        <w:rPr>
          <w:b/>
        </w:rPr>
        <w:t>72</w:t>
      </w:r>
      <w:r w:rsidRPr="00A428C3">
        <w:t xml:space="preserve"> (3-4), 319-325.</w:t>
      </w:r>
    </w:p>
    <w:p w:rsidR="00B95188" w:rsidRPr="00A428C3" w:rsidRDefault="00B95188" w:rsidP="00B95188">
      <w:pPr>
        <w:pStyle w:val="a0"/>
      </w:pPr>
      <w:r w:rsidRPr="00A428C3">
        <w:t xml:space="preserve">Full Text: </w:t>
      </w:r>
      <w:hyperlink r:id="rId771" w:history="1">
        <w:r w:rsidRPr="00A428C3">
          <w:rPr>
            <w:rStyle w:val="a5"/>
          </w:rPr>
          <w:t>H\Hydrometallurgy72, 319.pdf</w:t>
        </w:r>
      </w:hyperlink>
    </w:p>
    <w:p w:rsidR="00B95188" w:rsidRPr="00A428C3" w:rsidRDefault="00B95188" w:rsidP="00B95188">
      <w:pPr>
        <w:pStyle w:val="a0"/>
      </w:pPr>
      <w:r w:rsidRPr="00A428C3">
        <w:t xml:space="preserve">Abstract: In the Western Chrome Mine in </w:t>
      </w:r>
      <w:smartTag w:uri="urn:schemas-microsoft-com:office:smarttags" w:element="place">
        <w:smartTag w:uri="urn:schemas-microsoft-com:office:smarttags" w:element="country-region">
          <w:r w:rsidRPr="00A428C3">
            <w:t>South Africa</w:t>
          </w:r>
        </w:smartTag>
      </w:smartTag>
      <w:r w:rsidRPr="00A428C3">
        <w:t>, the process water stream contains approximately 3% chromite fines (&lt;</w:t>
      </w:r>
      <w:smartTag w:uri="urn:schemas-microsoft-com:office:smarttags" w:element="chmetcnv">
        <w:smartTagPr>
          <w:attr w:name="TCSC" w:val="0"/>
          <w:attr w:name="NumberType" w:val="1"/>
          <w:attr w:name="Negative" w:val="False"/>
          <w:attr w:name="HasSpace" w:val="False"/>
          <w:attr w:name="SourceValue" w:val="100"/>
          <w:attr w:name="UnitName" w:val="m"/>
        </w:smartTagPr>
        <w:r w:rsidRPr="00A428C3">
          <w:t xml:space="preserve">100 </w:t>
        </w:r>
      </w:smartTag>
      <w:r w:rsidRPr="00A428C3">
        <w:sym w:font="Symbol" w:char="F06D"/>
      </w:r>
      <w:r w:rsidRPr="00A428C3">
        <w:t>m), which report to the tailings dam. This results in resource loss</w:t>
      </w:r>
      <w:r w:rsidR="00F81221">
        <w:t xml:space="preserve"> and </w:t>
      </w:r>
      <w:r w:rsidRPr="00A428C3">
        <w:t>water contamination. Consequently, in this paper, the effects of pH, as well as the influence of anionic</w:t>
      </w:r>
      <w:r w:rsidR="00F81221">
        <w:t xml:space="preserve"> and </w:t>
      </w:r>
      <w:r w:rsidRPr="00A428C3">
        <w:t>cationic collectors on the floatability of chromite fines in columns, were investigated. Electrokinetic studies were used to elucidate the mechanism of collector adsorption</w:t>
      </w:r>
      <w:r w:rsidR="00F81221">
        <w:t xml:space="preserve"> and </w:t>
      </w:r>
      <w:r w:rsidRPr="00A428C3">
        <w:t>the findings were correlated with the optimal flotation conditions. The presence of the aqueous metal species Al</w:t>
      </w:r>
      <w:r w:rsidRPr="00A428C3">
        <w:rPr>
          <w:vertAlign w:val="superscript"/>
        </w:rPr>
        <w:t>3+</w:t>
      </w:r>
      <w:r w:rsidRPr="00A428C3">
        <w:t>, Cr</w:t>
      </w:r>
      <w:r w:rsidRPr="00A428C3">
        <w:rPr>
          <w:vertAlign w:val="superscript"/>
        </w:rPr>
        <w:t>3+</w:t>
      </w:r>
      <w:r w:rsidRPr="00A428C3">
        <w:t>, Fe</w:t>
      </w:r>
      <w:r w:rsidRPr="00A428C3">
        <w:rPr>
          <w:vertAlign w:val="superscript"/>
        </w:rPr>
        <w:t>2+</w:t>
      </w:r>
      <w:r w:rsidR="00F81221">
        <w:t xml:space="preserve"> and </w:t>
      </w:r>
      <w:r w:rsidRPr="00A428C3">
        <w:t>Mg</w:t>
      </w:r>
      <w:r w:rsidRPr="00A428C3">
        <w:rPr>
          <w:vertAlign w:val="superscript"/>
        </w:rPr>
        <w:t>2+</w:t>
      </w:r>
      <w:r w:rsidRPr="00A428C3">
        <w:t xml:space="preserve"> resulting from the dissolution of chromite appeared to have a significant influence on the flotation of chromite fines. These species were found to adsorb on chromite surfaces</w:t>
      </w:r>
      <w:r w:rsidR="00F81221">
        <w:t xml:space="preserve"> and </w:t>
      </w:r>
      <w:r w:rsidRPr="00A428C3">
        <w:t xml:space="preserve">shift the point of zero charge (PZC) of the chromite. The optimal recovery of chromite fines was observed at a pH </w:t>
      </w:r>
      <w:r w:rsidRPr="00A428C3">
        <w:lastRenderedPageBreak/>
        <w:t>of approximately 4 for anionic flotation</w:t>
      </w:r>
      <w:r w:rsidR="00F81221">
        <w:t xml:space="preserve"> and </w:t>
      </w:r>
      <w:r w:rsidRPr="00A428C3">
        <w:t>11 for cationic flotation. In column flotation tests for the fresh wastewater stream containing 3% chromite fines, a recovery</w:t>
      </w:r>
      <w:r w:rsidR="00F81221">
        <w:t xml:space="preserve"> and </w:t>
      </w:r>
      <w:r w:rsidRPr="00A428C3">
        <w:t>grade of approximately 40%</w:t>
      </w:r>
      <w:r w:rsidR="00F81221">
        <w:t xml:space="preserve"> and </w:t>
      </w:r>
      <w:r w:rsidRPr="00A428C3">
        <w:t>43.5%, respectively were obtained with sodium dodecyl sulphate (SDS) flotation. A recovery</w:t>
      </w:r>
      <w:r w:rsidR="00F81221">
        <w:t xml:space="preserve"> and </w:t>
      </w:r>
      <w:r w:rsidRPr="00A428C3">
        <w:t>grade of approximately 32%</w:t>
      </w:r>
      <w:r w:rsidR="00F81221">
        <w:t xml:space="preserve"> and </w:t>
      </w:r>
      <w:r w:rsidRPr="00A428C3">
        <w:t>45%, respectively were obtained with cetyl trimethyl ammonium bromide (CTMAB) flotation. Both cationic</w:t>
      </w:r>
      <w:r w:rsidR="00F81221">
        <w:t xml:space="preserve"> and </w:t>
      </w:r>
      <w:r w:rsidRPr="00A428C3">
        <w:t xml:space="preserve">anionic flotation deteriorated with an increase in aging of the chromite. </w:t>
      </w:r>
    </w:p>
    <w:p w:rsidR="00B95188" w:rsidRPr="00A428C3" w:rsidRDefault="00B95188" w:rsidP="00B95188">
      <w:pPr>
        <w:pStyle w:val="a0"/>
      </w:pPr>
      <w:r w:rsidRPr="00A428C3">
        <w:t>Keywords: Chromite fines, Wastewater streams, Column flotation</w:t>
      </w:r>
    </w:p>
    <w:p w:rsidR="00B95188" w:rsidRPr="00A428C3" w:rsidRDefault="00B95188" w:rsidP="00B95188">
      <w:pPr>
        <w:pStyle w:val="a0"/>
      </w:pPr>
      <w:r w:rsidRPr="00A428C3">
        <w:t>Ibáñez, J.P.</w:t>
      </w:r>
      <w:r w:rsidR="00F81221">
        <w:t xml:space="preserve"> and </w:t>
      </w:r>
      <w:r w:rsidRPr="00A428C3">
        <w:t xml:space="preserve">Umetsu, Y. (2004), Uptake of trivalent chromium from aqueous solutions using protonated dry alginate beads. </w:t>
      </w:r>
      <w:r w:rsidRPr="00A428C3">
        <w:rPr>
          <w:i/>
        </w:rPr>
        <w:t>Hydrometallurgy</w:t>
      </w:r>
      <w:r w:rsidRPr="00A428C3">
        <w:t xml:space="preserve">, </w:t>
      </w:r>
      <w:r w:rsidRPr="00A428C3">
        <w:rPr>
          <w:b/>
        </w:rPr>
        <w:t>72</w:t>
      </w:r>
      <w:r w:rsidRPr="00A428C3">
        <w:t xml:space="preserve"> (3-4), 327-334.</w:t>
      </w:r>
    </w:p>
    <w:p w:rsidR="00B95188" w:rsidRPr="00A428C3" w:rsidRDefault="00B95188" w:rsidP="00B95188">
      <w:pPr>
        <w:pStyle w:val="a0"/>
      </w:pPr>
      <w:r w:rsidRPr="00A428C3">
        <w:t xml:space="preserve">Full Text: </w:t>
      </w:r>
      <w:hyperlink r:id="rId772" w:history="1">
        <w:r w:rsidRPr="00A428C3">
          <w:rPr>
            <w:rStyle w:val="a5"/>
          </w:rPr>
          <w:t>H\Hydrometallurgy72, 327.pdf</w:t>
        </w:r>
      </w:hyperlink>
    </w:p>
    <w:p w:rsidR="00B95188" w:rsidRPr="00A428C3" w:rsidRDefault="00B95188" w:rsidP="00B95188">
      <w:pPr>
        <w:pStyle w:val="a0"/>
      </w:pPr>
      <w:r w:rsidRPr="00A428C3">
        <w:t xml:space="preserve">Abstract: The uptake of trivalent chromium by protonated dry alginate beads from aqueous solutions was investigated at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A428C3">
          <w:t>25 °C</w:t>
        </w:r>
      </w:smartTag>
      <w:r w:rsidRPr="00A428C3">
        <w:t xml:space="preserve"> in batch-type experiments. The differences between the mechanisms associated with formation of alginate beads</w:t>
      </w:r>
      <w:r w:rsidR="00F81221">
        <w:t xml:space="preserve"> and </w:t>
      </w:r>
      <w:r w:rsidRPr="00A428C3">
        <w:t>with metal uptake were demonstrated. Uptake was coupled with a release of protons; this ion exchange was found to be the mechanism of the uptake.</w:t>
      </w:r>
    </w:p>
    <w:p w:rsidR="00B95188" w:rsidRPr="00A428C3" w:rsidRDefault="00B95188" w:rsidP="00B95188">
      <w:pPr>
        <w:pStyle w:val="a0"/>
      </w:pPr>
      <w:r w:rsidRPr="00A428C3">
        <w:t>The uptake was strongly dependent on the Cr-bearing solution pH up to a value of around 4.5. Uptake reaches a value as high as 112 mg of chromium per g of alginate beads (dry wt.) at pH 4.5; this uptake is higher than that reported for several biosorbents. The experimental data fitted the Langmuir adsorption model; however, the maximum uptake computed from it was 32% lower than the value measured. SEM analysis of the cross section of beads after uptake experiments showed no evidence of precipitation of chromium within the alginate beads at the pH ranges tested.</w:t>
      </w:r>
    </w:p>
    <w:p w:rsidR="00B95188" w:rsidRPr="00A428C3" w:rsidRDefault="00B95188" w:rsidP="00B95188">
      <w:pPr>
        <w:pStyle w:val="a0"/>
      </w:pPr>
      <w:r w:rsidRPr="00A428C3">
        <w:t>A residual concentration around 0.3 mg/L of chromium, which allows safe discharge of solutions having Cr(III), was reached when alginate beads were challenged with a solution initially having as low as 10 mg/L of the metal.</w:t>
      </w:r>
    </w:p>
    <w:p w:rsidR="00B95188" w:rsidRPr="00A428C3" w:rsidRDefault="00B95188" w:rsidP="00B95188">
      <w:pPr>
        <w:pStyle w:val="a0"/>
      </w:pPr>
      <w:r w:rsidRPr="00A428C3">
        <w:t>EPMA-EDX analysis of Cr-loaded beads showed a uniform distribution of chromic species throughout the structure of alginate beads, regardless of the solution pH.</w:t>
      </w:r>
    </w:p>
    <w:p w:rsidR="00B95188" w:rsidRPr="00A428C3" w:rsidRDefault="00B95188" w:rsidP="00B95188">
      <w:pPr>
        <w:pStyle w:val="a0"/>
      </w:pPr>
      <w:r w:rsidRPr="00A428C3">
        <w:t>Keywords: Trivalent Chromium, Aqueous Solutions, Protonated Dry Alginate Beads</w:t>
      </w:r>
    </w:p>
    <w:p w:rsidR="00B95188" w:rsidRPr="00A428C3" w:rsidRDefault="00B95188" w:rsidP="00B95188">
      <w:pPr>
        <w:pStyle w:val="a0"/>
      </w:pPr>
      <w:r w:rsidRPr="00A428C3">
        <w:t>Feng, D.</w:t>
      </w:r>
      <w:r w:rsidR="00F81221">
        <w:t xml:space="preserve"> and </w:t>
      </w:r>
      <w:r w:rsidRPr="00A428C3">
        <w:t xml:space="preserve">Aldrich, C. (2004), Adsorption of heavy metals by biomaterials derived from the marine alga </w:t>
      </w:r>
      <w:r w:rsidRPr="00A428C3">
        <w:rPr>
          <w:i/>
          <w:iCs/>
        </w:rPr>
        <w:t>Ecklonia maxima</w:t>
      </w:r>
      <w:r w:rsidRPr="00A428C3">
        <w:t xml:space="preserve">. </w:t>
      </w:r>
      <w:r w:rsidRPr="00A428C3">
        <w:rPr>
          <w:i/>
        </w:rPr>
        <w:t>Hydrometallurgy</w:t>
      </w:r>
      <w:r w:rsidRPr="00A428C3">
        <w:t xml:space="preserve">, </w:t>
      </w:r>
      <w:r w:rsidRPr="00A428C3">
        <w:rPr>
          <w:b/>
        </w:rPr>
        <w:t>73</w:t>
      </w:r>
      <w:r w:rsidRPr="00A428C3">
        <w:t xml:space="preserve"> (1-2), 1-10.</w:t>
      </w:r>
    </w:p>
    <w:p w:rsidR="00B95188" w:rsidRPr="00A428C3" w:rsidRDefault="00B95188" w:rsidP="00B95188">
      <w:pPr>
        <w:pStyle w:val="a0"/>
      </w:pPr>
      <w:r w:rsidRPr="00A428C3">
        <w:t xml:space="preserve">Full Text: </w:t>
      </w:r>
      <w:hyperlink r:id="rId773" w:history="1">
        <w:r w:rsidRPr="00A428C3">
          <w:rPr>
            <w:rStyle w:val="a5"/>
          </w:rPr>
          <w:t>H\Hydrometallurgy73, 1.pdf</w:t>
        </w:r>
      </w:hyperlink>
    </w:p>
    <w:p w:rsidR="00B95188" w:rsidRPr="00A428C3" w:rsidRDefault="00B95188" w:rsidP="00B95188">
      <w:pPr>
        <w:pStyle w:val="a0"/>
      </w:pPr>
      <w:r w:rsidRPr="00A428C3">
        <w:t xml:space="preserve">Abstract: The adsorption of heavy metals onto biomaterial derived from the marine alga </w:t>
      </w:r>
      <w:r w:rsidRPr="00A428C3">
        <w:rPr>
          <w:i/>
          <w:iCs/>
        </w:rPr>
        <w:t>Ecklonia maxima</w:t>
      </w:r>
      <w:r w:rsidRPr="00A428C3">
        <w:t xml:space="preserve"> was investigated via batch experiments. The adsorption equilibria of Cu, Pb</w:t>
      </w:r>
      <w:r w:rsidR="00F81221">
        <w:t xml:space="preserve"> and </w:t>
      </w:r>
      <w:r w:rsidRPr="00A428C3">
        <w:t>Cd could be represented by Langmuir isotherms</w:t>
      </w:r>
      <w:r w:rsidR="00F81221">
        <w:t xml:space="preserve"> and </w:t>
      </w:r>
      <w:r w:rsidRPr="00A428C3">
        <w:t>the capacity of fresh alga for Cu, Pb</w:t>
      </w:r>
      <w:r w:rsidR="00F81221">
        <w:t xml:space="preserve"> and </w:t>
      </w:r>
      <w:r w:rsidRPr="00A428C3">
        <w:t>Cd was approximately 85–94, 227–243</w:t>
      </w:r>
      <w:r w:rsidR="00F81221">
        <w:t xml:space="preserve"> and </w:t>
      </w:r>
      <w:r w:rsidRPr="00A428C3">
        <w:t xml:space="preserve">83.5 mg/g dry alga, respectively. The rate of adsorption onto the marine alga was high. The alga particle size played an important role in the adsorption behaviour. The coarse alga </w:t>
      </w:r>
      <w:r w:rsidRPr="00A428C3">
        <w:lastRenderedPageBreak/>
        <w:t>particles had a higher adsorption capacity</w:t>
      </w:r>
      <w:r w:rsidR="00F81221">
        <w:t xml:space="preserve"> and </w:t>
      </w:r>
      <w:r w:rsidRPr="00A428C3">
        <w:t>slower adsorption kinetics</w:t>
      </w:r>
      <w:r w:rsidR="00F81221">
        <w:t xml:space="preserve"> and </w:t>
      </w:r>
      <w:r w:rsidRPr="00A428C3">
        <w:t>could be regenerated without significant loss of capacity. In contrast, the fine alga particles had a lower adsorption capacity</w:t>
      </w:r>
      <w:r w:rsidR="00F81221">
        <w:t xml:space="preserve"> and </w:t>
      </w:r>
      <w:r w:rsidRPr="00A428C3">
        <w:t>faster adsorption kinetics</w:t>
      </w:r>
      <w:r w:rsidR="00F81221">
        <w:t xml:space="preserve"> and </w:t>
      </w:r>
      <w:r w:rsidRPr="00A428C3">
        <w:t xml:space="preserve">could not be regenerated without significant loss of capacity. Comparison with a commercial resin indicated that the activated biomass derived from </w:t>
      </w:r>
      <w:r w:rsidRPr="00A428C3">
        <w:rPr>
          <w:i/>
          <w:iCs/>
        </w:rPr>
        <w:t>E. maxima</w:t>
      </w:r>
      <w:r w:rsidRPr="00A428C3">
        <w:t xml:space="preserve"> could be used as an efficient biosorbent for the treatment of waste waters containing heavy metals.</w:t>
      </w:r>
    </w:p>
    <w:p w:rsidR="00B95188" w:rsidRPr="00A428C3" w:rsidRDefault="00B95188" w:rsidP="00B95188">
      <w:pPr>
        <w:pStyle w:val="a0"/>
      </w:pPr>
      <w:r w:rsidRPr="00A428C3">
        <w:t xml:space="preserve">Keywords: Biosorption, </w:t>
      </w:r>
      <w:r w:rsidRPr="00A428C3">
        <w:rPr>
          <w:i/>
          <w:iCs/>
        </w:rPr>
        <w:t>Ecklonia Maxima</w:t>
      </w:r>
      <w:r w:rsidRPr="00A428C3">
        <w:t>, Heavy Metal, Removal, Particle Size, Regeneration</w:t>
      </w:r>
    </w:p>
    <w:p w:rsidR="00B95188" w:rsidRPr="00A428C3" w:rsidRDefault="00B95188" w:rsidP="00B95188">
      <w:pPr>
        <w:pStyle w:val="a0"/>
      </w:pPr>
      <w:r w:rsidRPr="00A428C3">
        <w:t>Ho, Y.S., Chiu, W.T., Hsu, C.S.</w:t>
      </w:r>
      <w:r w:rsidR="00F81221">
        <w:t xml:space="preserve"> and </w:t>
      </w:r>
      <w:r w:rsidRPr="00A428C3">
        <w:t xml:space="preserve">Huang, C.T. (2004), Sorption of lead ions from aqueous solution using tree fern as a sorbent. </w:t>
      </w:r>
      <w:r w:rsidRPr="00A428C3">
        <w:rPr>
          <w:i/>
        </w:rPr>
        <w:t>Hydrometallurgy</w:t>
      </w:r>
      <w:r w:rsidRPr="00A428C3">
        <w:t xml:space="preserve">, </w:t>
      </w:r>
      <w:r w:rsidRPr="00A428C3">
        <w:rPr>
          <w:b/>
        </w:rPr>
        <w:t>73</w:t>
      </w:r>
      <w:r w:rsidRPr="00A428C3">
        <w:t xml:space="preserve"> (1-2), 55-61.</w:t>
      </w:r>
    </w:p>
    <w:p w:rsidR="00B95188" w:rsidRPr="00A428C3" w:rsidRDefault="00B95188" w:rsidP="00B95188">
      <w:pPr>
        <w:pStyle w:val="a0"/>
      </w:pPr>
      <w:r w:rsidRPr="00A428C3">
        <w:t xml:space="preserve">Full Text: </w:t>
      </w:r>
      <w:hyperlink r:id="rId774" w:history="1">
        <w:r w:rsidRPr="00A428C3">
          <w:rPr>
            <w:rStyle w:val="a5"/>
          </w:rPr>
          <w:t>H\Hydrometallurgy73, 55.pdf</w:t>
        </w:r>
      </w:hyperlink>
      <w:r w:rsidRPr="00A428C3">
        <w:t xml:space="preserve"> </w:t>
      </w:r>
      <w:hyperlink r:id="rId775" w:history="1">
        <w:r w:rsidRPr="00A428C3">
          <w:rPr>
            <w:rStyle w:val="a5"/>
          </w:rPr>
          <w:t>H\Hydrometallurgy-Ho.pdf</w:t>
        </w:r>
      </w:hyperlink>
    </w:p>
    <w:p w:rsidR="00B95188" w:rsidRPr="00A428C3" w:rsidRDefault="00B95188" w:rsidP="00B95188">
      <w:pPr>
        <w:pStyle w:val="a0"/>
      </w:pPr>
      <w:r w:rsidRPr="00A428C3">
        <w:t>Abstract: This study is on sorption of lead ions on an agricultural by-product, tree fern. Equilibrium isotherms have been measured</w:t>
      </w:r>
      <w:r w:rsidR="00F81221">
        <w:t xml:space="preserve"> and </w:t>
      </w:r>
      <w:r w:rsidRPr="00A428C3">
        <w:t>modeled. The equilibrium sorption capacity of lead(II) was determined from the Langmuir isotherm</w:t>
      </w:r>
      <w:r w:rsidR="00F81221">
        <w:t xml:space="preserve"> and </w:t>
      </w:r>
      <w:r w:rsidRPr="00A428C3">
        <w:t>found to be 40.0 mg/g. Based on the assumption of the pseudo-second order mechanism, a batch sorption model was developed to predict the rate constant of sorption, the equilibrium sorption capacity</w:t>
      </w:r>
      <w:r w:rsidR="00F81221">
        <w:t xml:space="preserve"> and </w:t>
      </w:r>
      <w:r w:rsidRPr="00A428C3">
        <w:t>the initial sorption rate with the effect of initial lead(II) concentration</w:t>
      </w:r>
      <w:r w:rsidR="00F81221">
        <w:t xml:space="preserve"> and </w:t>
      </w:r>
      <w:r w:rsidRPr="00A428C3">
        <w:t>temperature. The sorption rate was found to increase with temperature,</w:t>
      </w:r>
      <w:r w:rsidR="00F81221">
        <w:t xml:space="preserve"> and </w:t>
      </w:r>
      <w:r w:rsidRPr="00A428C3">
        <w:t>an activation energy of approximately 87 kJ/mol was determined from the pseudo-second order rate constants. The findings of this investigation suggest that chemical sorption plays a role in controlling the sorption rate. (C) 2004 Elsevier B.V. All rights reserved.</w:t>
      </w:r>
    </w:p>
    <w:p w:rsidR="00B95188" w:rsidRPr="00A428C3" w:rsidRDefault="00B95188" w:rsidP="00B95188">
      <w:pPr>
        <w:pStyle w:val="a0"/>
        <w:rPr>
          <w:rFonts w:eastAsia="AdvP4C4E59"/>
          <w:sz w:val="18"/>
          <w:szCs w:val="18"/>
        </w:rPr>
      </w:pPr>
      <w:r w:rsidRPr="00A428C3">
        <w:t>Keywords: Isotherm, Kinetics, Pseudo-Second Order Mechanism, Lead, Tree Fern, Sphagnum Moss Peat, Adsorption, Cadmium</w:t>
      </w:r>
    </w:p>
    <w:p w:rsidR="00B95188" w:rsidRPr="00A428C3" w:rsidRDefault="00B95188" w:rsidP="00B95188">
      <w:pPr>
        <w:pStyle w:val="a0"/>
      </w:pPr>
      <w:r w:rsidRPr="00A428C3">
        <w:t xml:space="preserve">Näsi, J. (2004), Statistical analysis of cobalt removal from zinc electrolyte using the arsenic-activated process. </w:t>
      </w:r>
      <w:r w:rsidRPr="00A428C3">
        <w:rPr>
          <w:i/>
        </w:rPr>
        <w:t>Hydrometallurgy</w:t>
      </w:r>
      <w:r w:rsidRPr="00A428C3">
        <w:t xml:space="preserve">, </w:t>
      </w:r>
      <w:r w:rsidRPr="00A428C3">
        <w:rPr>
          <w:b/>
        </w:rPr>
        <w:t>73</w:t>
      </w:r>
      <w:r w:rsidRPr="00A428C3">
        <w:t xml:space="preserve"> (1-2), 123-132.</w:t>
      </w:r>
    </w:p>
    <w:p w:rsidR="00B95188" w:rsidRPr="00A428C3" w:rsidRDefault="00B95188" w:rsidP="00B95188">
      <w:pPr>
        <w:pStyle w:val="a0"/>
      </w:pPr>
      <w:r w:rsidRPr="00A428C3">
        <w:t xml:space="preserve">Full Text: </w:t>
      </w:r>
      <w:hyperlink r:id="rId776" w:history="1">
        <w:r w:rsidRPr="00A428C3">
          <w:rPr>
            <w:rStyle w:val="a5"/>
          </w:rPr>
          <w:t>H\Hydrometallurgy73, 123.pdf</w:t>
        </w:r>
      </w:hyperlink>
    </w:p>
    <w:p w:rsidR="00B95188" w:rsidRPr="00A428C3" w:rsidRDefault="00B95188" w:rsidP="00B95188">
      <w:pPr>
        <w:pStyle w:val="a0"/>
      </w:pPr>
      <w:r w:rsidRPr="00A428C3">
        <w:t>Abstract: This paper presents the results from a statistical study of a continuous solution purification procedure. The purpose of the work was to study the role of various reagents acting simultaneously</w:t>
      </w:r>
      <w:r w:rsidR="00F81221">
        <w:t xml:space="preserve"> and </w:t>
      </w:r>
      <w:r w:rsidRPr="00A428C3">
        <w:t>their correlations with the calculated deposition efficiencies of impurities.</w:t>
      </w:r>
    </w:p>
    <w:p w:rsidR="00B95188" w:rsidRPr="00A428C3" w:rsidRDefault="00B95188" w:rsidP="00B95188">
      <w:pPr>
        <w:pStyle w:val="a0"/>
      </w:pPr>
      <w:r w:rsidRPr="00A428C3">
        <w:t xml:space="preserve">Cobalt cementation is the second part of the electrolyte purification section at Outokumpu Kokkola Zinc, </w:t>
      </w:r>
      <w:smartTag w:uri="urn:schemas-microsoft-com:office:smarttags" w:element="place">
        <w:smartTag w:uri="urn:schemas-microsoft-com:office:smarttags" w:element="country-region">
          <w:r w:rsidRPr="00A428C3">
            <w:t>Finland</w:t>
          </w:r>
        </w:smartTag>
      </w:smartTag>
      <w:r w:rsidRPr="00A428C3">
        <w:t>. At Kokkola, zinc is produced by an aqueous electrowinning process. The zinc sulphate solution is processed in a three-part electrolyte purification process where impurities more noble than zinc are removed. In the second part of the purification, arsenic solution</w:t>
      </w:r>
      <w:r w:rsidR="00F81221">
        <w:t xml:space="preserve"> and </w:t>
      </w:r>
      <w:r w:rsidRPr="00A428C3">
        <w:t xml:space="preserve">zinc powder are added to create conditions where aqueous impurities are reduced to solid metals/arsenides. The deposition process is, in principle, simple, but purification results show that there are large variations in the calculated deposition efficiencies. The deposition </w:t>
      </w:r>
      <w:r w:rsidRPr="00A428C3">
        <w:lastRenderedPageBreak/>
        <w:t>efficiencies depend on several accelerating</w:t>
      </w:r>
      <w:r w:rsidR="00F81221">
        <w:t xml:space="preserve"> and </w:t>
      </w:r>
      <w:r w:rsidRPr="00A428C3">
        <w:t>decelerating components, of which copper is the best known</w:t>
      </w:r>
      <w:r w:rsidR="00F81221">
        <w:t xml:space="preserve"> and </w:t>
      </w:r>
      <w:r w:rsidRPr="00A428C3">
        <w:t>documented.</w:t>
      </w:r>
    </w:p>
    <w:p w:rsidR="00B95188" w:rsidRPr="00A428C3" w:rsidRDefault="00B95188" w:rsidP="00B95188">
      <w:pPr>
        <w:pStyle w:val="a0"/>
      </w:pPr>
      <w:r w:rsidRPr="00A428C3">
        <w:t>The data is collected from a pilot scale continuous purification process. The significance of the composition of the incoming solution, the deposition components, together with zinc</w:t>
      </w:r>
      <w:r w:rsidR="00F81221">
        <w:t xml:space="preserve"> and </w:t>
      </w:r>
      <w:r w:rsidRPr="00A428C3">
        <w:t>arsenic feeds are evaluated by using a feed solution consisting of variable amounts of the impurities under study. Process data is evaluated by calculating correlations to the impurity deposition efficiencies. Results reveal that the success of purification is a combination of several components</w:t>
      </w:r>
      <w:r w:rsidR="00F81221">
        <w:t xml:space="preserve"> and </w:t>
      </w:r>
      <w:r w:rsidRPr="00A428C3">
        <w:t>that all of these components have a fairly low correlation to deposition efficiencies by themselves. In the purification process, deposition efficiencies tend to decline more slowly than components affecting them in the feed solution. Positively affecting components are a high copper content in the feed solution, combined with a high zinc powder feed</w:t>
      </w:r>
      <w:r w:rsidR="00F81221">
        <w:t xml:space="preserve"> and </w:t>
      </w:r>
      <w:r w:rsidRPr="00A428C3">
        <w:t>low arsenic feed. Weaker positive effects are formed by high aluminium with low calcium</w:t>
      </w:r>
      <w:r w:rsidR="00F81221">
        <w:t xml:space="preserve"> and </w:t>
      </w:r>
      <w:r w:rsidRPr="00A428C3">
        <w:t>silicon contents in the feed solution.</w:t>
      </w:r>
    </w:p>
    <w:p w:rsidR="00B95188" w:rsidRPr="00A428C3" w:rsidRDefault="00B95188" w:rsidP="00B95188">
      <w:pPr>
        <w:pStyle w:val="a0"/>
      </w:pPr>
      <w:r w:rsidRPr="00A428C3">
        <w:t>Keywords: Statistical Analysis, Solution Purification, Cobalt Removal, Deposition Efficiency</w:t>
      </w:r>
    </w:p>
    <w:p w:rsidR="00B95188" w:rsidRPr="00A428C3" w:rsidRDefault="00B95188" w:rsidP="00B95188">
      <w:pPr>
        <w:pStyle w:val="a0"/>
      </w:pPr>
      <w:r w:rsidRPr="00A428C3">
        <w:t>Chojnacka, K., Chojnacki, A.</w:t>
      </w:r>
      <w:r w:rsidR="00F81221">
        <w:t xml:space="preserve"> and </w:t>
      </w:r>
      <w:r w:rsidRPr="00A428C3">
        <w:t xml:space="preserve">Górecka, H. (2004), Trace element removal by </w:t>
      </w:r>
      <w:r w:rsidRPr="00A428C3">
        <w:rPr>
          <w:i/>
          <w:iCs/>
        </w:rPr>
        <w:t>Spirulina</w:t>
      </w:r>
      <w:r w:rsidRPr="00A428C3">
        <w:t xml:space="preserve"> sp. from copper smelter</w:t>
      </w:r>
      <w:r w:rsidR="00F81221">
        <w:t xml:space="preserve"> and </w:t>
      </w:r>
      <w:r w:rsidRPr="00A428C3">
        <w:t xml:space="preserve">refinery effluents. </w:t>
      </w:r>
      <w:r w:rsidRPr="00A428C3">
        <w:rPr>
          <w:i/>
        </w:rPr>
        <w:t>Hydrometallurgy</w:t>
      </w:r>
      <w:r w:rsidRPr="00A428C3">
        <w:t xml:space="preserve">, </w:t>
      </w:r>
      <w:r w:rsidRPr="00A428C3">
        <w:rPr>
          <w:b/>
        </w:rPr>
        <w:t>73</w:t>
      </w:r>
      <w:r w:rsidRPr="00A428C3">
        <w:t xml:space="preserve"> (1-2), 147-153.</w:t>
      </w:r>
    </w:p>
    <w:p w:rsidR="00B95188" w:rsidRPr="00586CD8" w:rsidRDefault="00B95188" w:rsidP="00735710">
      <w:pPr>
        <w:pStyle w:val="a0"/>
      </w:pPr>
      <w:r w:rsidRPr="00A428C3">
        <w:t xml:space="preserve">Full Text: </w:t>
      </w:r>
      <w:hyperlink r:id="rId777" w:history="1">
        <w:r w:rsidRPr="00A428C3">
          <w:rPr>
            <w:rStyle w:val="a5"/>
          </w:rPr>
          <w:t>H\Hydrometallurgy73, 147.pdf</w:t>
        </w:r>
      </w:hyperlink>
    </w:p>
    <w:p w:rsidR="00B95188" w:rsidRPr="00A428C3" w:rsidRDefault="00B95188" w:rsidP="00B95188">
      <w:pPr>
        <w:pStyle w:val="a0"/>
      </w:pPr>
      <w:r w:rsidRPr="00A428C3">
        <w:t xml:space="preserve">Abstract: The paper presents the studies carried out on the applicability of microalga </w:t>
      </w:r>
      <w:r w:rsidRPr="00A428C3">
        <w:rPr>
          <w:i/>
          <w:iCs/>
        </w:rPr>
        <w:t>Spirulina</w:t>
      </w:r>
      <w:r w:rsidRPr="00A428C3">
        <w:t xml:space="preserve"> sp. for trace elements removal from the conditioned (large volume, low contaminants concentration) industrial effluent, from copper smelter</w:t>
      </w:r>
      <w:r w:rsidR="00F81221">
        <w:t xml:space="preserve"> and </w:t>
      </w:r>
      <w:r w:rsidRPr="00A428C3">
        <w:t>refinery, containing a variety of trace elements, particularly mercury, cadmium, ammonia–nitrogen in concentrations exceeding Polish permissible limits for effluents discharged into water</w:t>
      </w:r>
      <w:r w:rsidR="00F81221">
        <w:t xml:space="preserve"> and </w:t>
      </w:r>
      <w:r w:rsidRPr="00A428C3">
        <w:t xml:space="preserve">soil. Trace elements removal is the problem still unresolved due to very low concentration of contaminants (on the level of </w:t>
      </w:r>
      <w:r w:rsidRPr="00A428C3">
        <w:sym w:font="Symbol" w:char="F06D"/>
      </w:r>
      <w:r w:rsidRPr="00A428C3">
        <w:t xml:space="preserve">g/kg). In the current work, low-cost treatment of this effluent with the use of bioaccumulation method with mixotrophic cyanobacteria </w:t>
      </w:r>
      <w:r w:rsidRPr="00A428C3">
        <w:rPr>
          <w:i/>
          <w:iCs/>
        </w:rPr>
        <w:t>Spirulina</w:t>
      </w:r>
      <w:r w:rsidRPr="00A428C3">
        <w:t xml:space="preserve"> sp. is proposed, in which the real effluent is contacted with cells lyophilizate (in proportions </w:t>
      </w:r>
      <w:smartTag w:uri="urn:schemas-microsoft-com:office:smarttags" w:element="chmetcnv">
        <w:smartTagPr>
          <w:attr w:name="TCSC" w:val="0"/>
          <w:attr w:name="NumberType" w:val="1"/>
          <w:attr w:name="Negative" w:val="False"/>
          <w:attr w:name="HasSpace" w:val="True"/>
          <w:attr w:name="SourceValue" w:val="0.25"/>
          <w:attr w:name="UnitName" w:val="g"/>
        </w:smartTagPr>
        <w:r w:rsidRPr="00A428C3">
          <w:t>0.25 g</w:t>
        </w:r>
      </w:smartTag>
      <w:r w:rsidRPr="00A428C3">
        <w:t xml:space="preserve"> cells/</w:t>
      </w:r>
      <w:smartTag w:uri="urn:schemas-microsoft-com:office:smarttags" w:element="chmetcnv">
        <w:smartTagPr>
          <w:attr w:name="TCSC" w:val="0"/>
          <w:attr w:name="NumberType" w:val="1"/>
          <w:attr w:name="Negative" w:val="False"/>
          <w:attr w:name="HasSpace" w:val="True"/>
          <w:attr w:name="SourceValue" w:val="1"/>
          <w:attr w:name="UnitName" w:val="l"/>
        </w:smartTagPr>
        <w:r w:rsidRPr="00A428C3">
          <w:t>1 L</w:t>
        </w:r>
      </w:smartTag>
      <w:r w:rsidRPr="00A428C3">
        <w:t xml:space="preserve"> effluent). Neither additional nutrients nor lighting were provided.</w:t>
      </w:r>
    </w:p>
    <w:p w:rsidR="00B95188" w:rsidRPr="00A428C3" w:rsidRDefault="00B95188" w:rsidP="00B95188">
      <w:pPr>
        <w:pStyle w:val="a0"/>
      </w:pPr>
      <w:r w:rsidRPr="00A428C3">
        <w:t xml:space="preserve">Keywords: Industrial Wastewater Treatment, Heavy Metals, Bioaccumulation, </w:t>
      </w:r>
      <w:r w:rsidRPr="00A428C3">
        <w:rPr>
          <w:i/>
          <w:iCs/>
        </w:rPr>
        <w:t>Spirulina</w:t>
      </w:r>
      <w:r w:rsidRPr="00A428C3">
        <w:t xml:space="preserve"> sp.</w:t>
      </w:r>
    </w:p>
    <w:p w:rsidR="00B95188" w:rsidRPr="00A428C3" w:rsidRDefault="00B95188" w:rsidP="00B95188">
      <w:pPr>
        <w:pStyle w:val="a0"/>
      </w:pPr>
      <w:r w:rsidRPr="00A428C3">
        <w:t>Meunier, N., Blais, J.F.</w:t>
      </w:r>
      <w:r w:rsidR="00F81221">
        <w:t xml:space="preserve"> and </w:t>
      </w:r>
      <w:r w:rsidRPr="00A428C3">
        <w:t xml:space="preserve">Tyagi, R.D. (2004), Removal of heavy metals from acid soil leachate using cocoa shells in a batch counter-current sorption process. </w:t>
      </w:r>
      <w:r w:rsidRPr="00A428C3">
        <w:rPr>
          <w:i/>
        </w:rPr>
        <w:t>Hydrometallurgy</w:t>
      </w:r>
      <w:r w:rsidRPr="00A428C3">
        <w:t xml:space="preserve">, </w:t>
      </w:r>
      <w:r w:rsidRPr="00A428C3">
        <w:rPr>
          <w:b/>
        </w:rPr>
        <w:t>73</w:t>
      </w:r>
      <w:r w:rsidRPr="00A428C3">
        <w:t xml:space="preserve"> (3-4), 225-235.</w:t>
      </w:r>
    </w:p>
    <w:p w:rsidR="00B95188" w:rsidRPr="00A428C3" w:rsidRDefault="00B95188" w:rsidP="00735710">
      <w:pPr>
        <w:pStyle w:val="a0"/>
        <w:rPr>
          <w:lang w:val="en-GB"/>
        </w:rPr>
      </w:pPr>
      <w:r w:rsidRPr="00A428C3">
        <w:t xml:space="preserve">Full Text: </w:t>
      </w:r>
      <w:hyperlink r:id="rId778" w:history="1">
        <w:r w:rsidRPr="00A428C3">
          <w:rPr>
            <w:rStyle w:val="a5"/>
          </w:rPr>
          <w:t>H\Hydrometallurgy73, 225.pdf</w:t>
        </w:r>
      </w:hyperlink>
    </w:p>
    <w:p w:rsidR="00B95188" w:rsidRPr="00A428C3" w:rsidRDefault="00B95188" w:rsidP="00B95188">
      <w:pPr>
        <w:pStyle w:val="a0"/>
      </w:pPr>
      <w:r w:rsidRPr="00A428C3">
        <w:t xml:space="preserve">Abstract: Soil washing is a widely used approach for metal-polluted sites decontamination. Metals solubilized during soil washing have to be extracted from </w:t>
      </w:r>
      <w:r w:rsidRPr="00A428C3">
        <w:lastRenderedPageBreak/>
        <w:t>the resulting soil leachates. Cocoa shells (CS) have been identified as a very efficient natural sorbent to remove Pb</w:t>
      </w:r>
      <w:r w:rsidR="00F81221">
        <w:t xml:space="preserve"> and </w:t>
      </w:r>
      <w:r w:rsidRPr="00A428C3">
        <w:t>other metals from acid soil leachates (ASL). A counter-current sorption process (CCSP) has been defined to reduce the CS requirement for ASL treatment. The aim of this study was to evaluate the batch process efficiency at laboratory scale. The ASL (pH</w:t>
      </w:r>
      <w:r w:rsidRPr="00A428C3">
        <w:rPr>
          <w:vertAlign w:val="subscript"/>
        </w:rPr>
        <w:t>i</w:t>
      </w:r>
      <w:r w:rsidRPr="00A428C3">
        <w:t>=2.0) used in this study was initially contaminated by Pb (27.1±2.9 mg/L), Cu (2.93±0.27 mg/L)</w:t>
      </w:r>
      <w:r w:rsidR="00F81221">
        <w:t xml:space="preserve"> and </w:t>
      </w:r>
      <w:r w:rsidRPr="00A428C3">
        <w:t xml:space="preserve">Zn (17.1±0.9 mg/L). Three to five short time sorption steps (contact TIME=1 h) using </w:t>
      </w:r>
      <w:smartTag w:uri="urn:schemas-microsoft-com:office:smarttags" w:element="chmetcnv">
        <w:smartTagPr>
          <w:attr w:name="TCSC" w:val="0"/>
          <w:attr w:name="NumberType" w:val="1"/>
          <w:attr w:name="Negative" w:val="False"/>
          <w:attr w:name="HasSpace" w:val="True"/>
          <w:attr w:name="SourceValue" w:val="10"/>
          <w:attr w:name="UnitName" w:val="g"/>
        </w:smartTagPr>
        <w:r w:rsidRPr="00A428C3">
          <w:t>10 g</w:t>
        </w:r>
      </w:smartTag>
      <w:r w:rsidRPr="00A428C3">
        <w:t xml:space="preserve"> CS per liter of ASL allowed a reduction of the cocoa shells quantity required for the ASL treatment by a factor of 2 to 4, in comparison to a conventional single adsorption step process. In addition, the results show that the CCSP increases the Pb measured concentration sorbed from 1060 mg/kg for a one-step process to an average value of 2730±220 mg/kg for a five-step process. This CCSP can probably be efficiently used with other natural sorbents for the treatment of different types of metal-contaminated effluents.</w:t>
      </w:r>
    </w:p>
    <w:p w:rsidR="00B95188" w:rsidRPr="00A428C3" w:rsidRDefault="00B95188" w:rsidP="00B95188">
      <w:pPr>
        <w:pStyle w:val="a0"/>
      </w:pPr>
      <w:r w:rsidRPr="00A428C3">
        <w:t xml:space="preserve">Keywords: Sorption, </w:t>
      </w:r>
      <w:smartTag w:uri="urn:schemas-microsoft-com:office:smarttags" w:element="place">
        <w:smartTag w:uri="urn:schemas-microsoft-com:office:smarttags" w:element="City">
          <w:r w:rsidRPr="00A428C3">
            <w:t>Cocoa</w:t>
          </w:r>
        </w:smartTag>
      </w:smartTag>
      <w:r w:rsidRPr="00A428C3">
        <w:t xml:space="preserve"> shells, Heavy metal, Lead, Soil, Acidic, Effluent, Removal</w:t>
      </w:r>
    </w:p>
    <w:p w:rsidR="00B95188" w:rsidRPr="00A428C3" w:rsidRDefault="00B95188" w:rsidP="00B95188">
      <w:pPr>
        <w:pStyle w:val="a0"/>
      </w:pPr>
      <w:r w:rsidRPr="00A428C3">
        <w:t>Selatnia, A., Bakhti, M.Z., Madani, A., Kertous, L.</w:t>
      </w:r>
      <w:r w:rsidR="00F81221">
        <w:t xml:space="preserve"> and </w:t>
      </w:r>
      <w:r w:rsidRPr="00A428C3">
        <w:t>Mansouri, Y. (2004), Biosorption of Cd</w:t>
      </w:r>
      <w:r w:rsidRPr="00A428C3">
        <w:rPr>
          <w:vertAlign w:val="superscript"/>
        </w:rPr>
        <w:t>2+</w:t>
      </w:r>
      <w:r w:rsidRPr="00A428C3">
        <w:t xml:space="preserve"> from aqueous solution by a NaOH-treated bacterial dead </w:t>
      </w:r>
      <w:r w:rsidRPr="00A428C3">
        <w:rPr>
          <w:i/>
          <w:iCs/>
        </w:rPr>
        <w:t>Streptomyces rimosus</w:t>
      </w:r>
      <w:r w:rsidRPr="00A428C3">
        <w:t xml:space="preserve"> biomass. </w:t>
      </w:r>
      <w:r w:rsidRPr="00A428C3">
        <w:rPr>
          <w:i/>
        </w:rPr>
        <w:t>Hydrometallurgy</w:t>
      </w:r>
      <w:r w:rsidRPr="00A428C3">
        <w:t xml:space="preserve">, </w:t>
      </w:r>
      <w:r w:rsidRPr="00A428C3">
        <w:rPr>
          <w:b/>
        </w:rPr>
        <w:t>75</w:t>
      </w:r>
      <w:r w:rsidRPr="00A428C3">
        <w:t xml:space="preserve"> (1-4), 11-24.</w:t>
      </w:r>
    </w:p>
    <w:p w:rsidR="00B95188" w:rsidRPr="00A428C3" w:rsidRDefault="00B95188" w:rsidP="00735710">
      <w:pPr>
        <w:pStyle w:val="a0"/>
      </w:pPr>
      <w:r w:rsidRPr="00A428C3">
        <w:t xml:space="preserve">Full Text: </w:t>
      </w:r>
      <w:hyperlink r:id="rId779" w:history="1">
        <w:r w:rsidRPr="00A428C3">
          <w:rPr>
            <w:rStyle w:val="a5"/>
          </w:rPr>
          <w:t>H\Hydrometallurgy75, 11.pdf</w:t>
        </w:r>
      </w:hyperlink>
    </w:p>
    <w:p w:rsidR="00B95188" w:rsidRPr="00A428C3" w:rsidRDefault="00B95188" w:rsidP="00B95188">
      <w:pPr>
        <w:pStyle w:val="a0"/>
      </w:pPr>
      <w:r w:rsidRPr="00A428C3">
        <w:t xml:space="preserve">Abstract: The cadmium biosorption capacity of a </w:t>
      </w:r>
      <w:r w:rsidRPr="00A428C3">
        <w:rPr>
          <w:i/>
          <w:iCs/>
        </w:rPr>
        <w:t>Streptomyces rimosus</w:t>
      </w:r>
      <w:r w:rsidRPr="00A428C3">
        <w:t xml:space="preserve"> biomass treated with NaOH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was studied in the batch mode. After pretreatment of biomass at the ambient temperature, optimum conditions of biosorption were found to be: a biomass particle size between 50</w:t>
      </w:r>
      <w:r w:rsidR="00F81221">
        <w:t xml:space="preserve"> and </w:t>
      </w:r>
      <w:r w:rsidRPr="00A428C3">
        <w:t>160 μm, an average saturation contact time of 1 h, a biomass concentration</w:t>
      </w:r>
      <w:r w:rsidR="00F81221">
        <w:t xml:space="preserve"> and </w:t>
      </w:r>
      <w:r w:rsidRPr="00A428C3">
        <w:t>a stirring speed in the range of 2.5–</w:t>
      </w:r>
      <w:smartTag w:uri="urn:schemas-microsoft-com:office:smarttags" w:element="chmetcnv">
        <w:smartTagPr>
          <w:attr w:name="TCSC" w:val="0"/>
          <w:attr w:name="NumberType" w:val="1"/>
          <w:attr w:name="Negative" w:val="False"/>
          <w:attr w:name="HasSpace" w:val="True"/>
          <w:attr w:name="SourceValue" w:val="3"/>
          <w:attr w:name="UnitName" w:val="g"/>
        </w:smartTagPr>
        <w:r w:rsidRPr="00A428C3">
          <w:t>3 g</w:t>
        </w:r>
      </w:smartTag>
      <w:r w:rsidRPr="00A428C3">
        <w:t xml:space="preserve"> L</w:t>
      </w:r>
      <w:r w:rsidRPr="00A428C3">
        <w:rPr>
          <w:vertAlign w:val="superscript"/>
        </w:rPr>
        <w:t>−1</w:t>
      </w:r>
      <w:r w:rsidR="00F81221">
        <w:t xml:space="preserve"> and </w:t>
      </w:r>
      <w:r w:rsidRPr="00A428C3">
        <w:t>200–250 rpm, respectively. The external mass transfer was found to be the controlling step in the overall sorption process. The equilibrium data could be fitted by Langmuir isotherm equation. Under these optimal conditions, a biosorption capacity of 63.3 mg Cd</w:t>
      </w:r>
      <w:r w:rsidRPr="00A428C3">
        <w:rPr>
          <w:vertAlign w:val="superscript"/>
        </w:rPr>
        <w:t>2+</w:t>
      </w:r>
      <w:r w:rsidRPr="00A428C3">
        <w:t>/g biomass was obtained.</w:t>
      </w:r>
    </w:p>
    <w:p w:rsidR="00B95188" w:rsidRPr="00A428C3" w:rsidRDefault="00B95188" w:rsidP="00B95188">
      <w:pPr>
        <w:pStyle w:val="a0"/>
      </w:pPr>
      <w:r w:rsidRPr="00A428C3">
        <w:t xml:space="preserve">Keywords: Cadmium, </w:t>
      </w:r>
      <w:r w:rsidRPr="00A428C3">
        <w:rPr>
          <w:i/>
          <w:iCs/>
        </w:rPr>
        <w:t>Streptomyces Rimosus</w:t>
      </w:r>
      <w:r w:rsidRPr="00A428C3">
        <w:t>, Biosorption, Waste-Water Treatment, Batch Processing</w:t>
      </w:r>
    </w:p>
    <w:p w:rsidR="00B95188" w:rsidRPr="00A428C3" w:rsidRDefault="00B95188" w:rsidP="00B95188">
      <w:pPr>
        <w:pStyle w:val="a0"/>
      </w:pPr>
      <w:r w:rsidRPr="00A428C3">
        <w:t>Senanayake, G. (2004), Analysis of reaction kinetics, speciation</w:t>
      </w:r>
      <w:r w:rsidR="00F81221">
        <w:t xml:space="preserve"> and </w:t>
      </w:r>
      <w:r w:rsidRPr="00A428C3">
        <w:t>mechanism of gold leaching</w:t>
      </w:r>
      <w:r w:rsidR="00F81221">
        <w:t xml:space="preserve"> and </w:t>
      </w:r>
      <w:r w:rsidRPr="00A428C3">
        <w:t xml:space="preserve">thiosulfate oxidation by ammoniacal copper(II) solutions. </w:t>
      </w:r>
      <w:r w:rsidRPr="00A428C3">
        <w:rPr>
          <w:i/>
        </w:rPr>
        <w:t>Hydrometallurgy</w:t>
      </w:r>
      <w:r w:rsidRPr="00A428C3">
        <w:t xml:space="preserve">, </w:t>
      </w:r>
      <w:r w:rsidRPr="00A428C3">
        <w:rPr>
          <w:b/>
        </w:rPr>
        <w:t>75</w:t>
      </w:r>
      <w:r w:rsidRPr="00A428C3">
        <w:t xml:space="preserve"> (1-4), 55-75.</w:t>
      </w:r>
    </w:p>
    <w:p w:rsidR="00B95188" w:rsidRPr="00A428C3" w:rsidRDefault="00B95188" w:rsidP="00735710">
      <w:pPr>
        <w:pStyle w:val="a0"/>
      </w:pPr>
      <w:r w:rsidRPr="00A428C3">
        <w:t xml:space="preserve">Full Text: </w:t>
      </w:r>
      <w:hyperlink r:id="rId780" w:history="1">
        <w:r w:rsidRPr="00A428C3">
          <w:rPr>
            <w:rStyle w:val="a5"/>
          </w:rPr>
          <w:t>H\Hydrometallurgy75, 55.pdf</w:t>
        </w:r>
      </w:hyperlink>
    </w:p>
    <w:p w:rsidR="00B95188" w:rsidRPr="00A428C3" w:rsidRDefault="00B95188" w:rsidP="00B95188">
      <w:pPr>
        <w:pStyle w:val="a0"/>
      </w:pPr>
      <w:r w:rsidRPr="00A428C3">
        <w:t>Abstract: Previous researchers have rationalized the thiosulfate oxidation by ammoniacal copper(II) on the basis of the rate equation −d[Cu(II)]/d</w:t>
      </w:r>
      <w:r w:rsidRPr="00A428C3">
        <w:rPr>
          <w:i/>
          <w:iCs/>
        </w:rPr>
        <w:t>t</w:t>
      </w:r>
      <w:r w:rsidRPr="00A428C3">
        <w:t xml:space="preserve"> = </w:t>
      </w:r>
      <w:r w:rsidRPr="00A428C3">
        <w:rPr>
          <w:i/>
          <w:iCs/>
        </w:rPr>
        <w:t>k</w:t>
      </w:r>
      <w:r w:rsidRPr="00A428C3">
        <w:t>[Cu(II)][S</w:t>
      </w:r>
      <w:r w:rsidRPr="00A428C3">
        <w:rPr>
          <w:vertAlign w:val="subscript"/>
        </w:rPr>
        <w:t>2</w:t>
      </w:r>
      <w:r w:rsidRPr="00A428C3">
        <w:t>O</w:t>
      </w:r>
      <w:r w:rsidRPr="00A428C3">
        <w:rPr>
          <w:vertAlign w:val="subscript"/>
        </w:rPr>
        <w:t>3</w:t>
      </w:r>
      <w:r w:rsidRPr="00A428C3">
        <w:rPr>
          <w:vertAlign w:val="superscript"/>
        </w:rPr>
        <w:t>2−</w:t>
      </w:r>
      <w:r w:rsidRPr="00A428C3">
        <w:t>]/[NH</w:t>
      </w:r>
      <w:r w:rsidRPr="00A428C3">
        <w:rPr>
          <w:vertAlign w:val="subscript"/>
        </w:rPr>
        <w:t>3</w:t>
      </w:r>
      <w:r w:rsidRPr="00A428C3">
        <w:t>] for the decomposition of the reaction intermediate Cu(NH</w:t>
      </w:r>
      <w:r w:rsidRPr="00A428C3">
        <w:rPr>
          <w:vertAlign w:val="subscript"/>
        </w:rPr>
        <w:t>3</w:t>
      </w:r>
      <w:r w:rsidRPr="00A428C3">
        <w:t>)</w:t>
      </w:r>
      <w:r w:rsidRPr="00A428C3">
        <w:rPr>
          <w:vertAlign w:val="subscript"/>
        </w:rPr>
        <w:t>3</w:t>
      </w:r>
      <w:r w:rsidRPr="00A428C3">
        <w:t>(S</w:t>
      </w:r>
      <w:r w:rsidRPr="00A428C3">
        <w:rPr>
          <w:vertAlign w:val="subscript"/>
        </w:rPr>
        <w:t>2</w:t>
      </w:r>
      <w:r w:rsidRPr="00A428C3">
        <w:t>O</w:t>
      </w:r>
      <w:r w:rsidRPr="00A428C3">
        <w:rPr>
          <w:vertAlign w:val="subscript"/>
        </w:rPr>
        <w:t>3</w:t>
      </w:r>
      <w:r w:rsidRPr="00A428C3">
        <w:t>)</w:t>
      </w:r>
      <w:r w:rsidRPr="00A428C3">
        <w:rPr>
          <w:vertAlign w:val="superscript"/>
        </w:rPr>
        <w:t>0</w:t>
      </w:r>
      <w:r w:rsidRPr="00A428C3">
        <w:t xml:space="preserve">, but no such detailed analysis has been made in the case of gold. This work revisits literature data to show that the oxidation of thiosulfate takes place </w:t>
      </w:r>
      <w:r w:rsidRPr="00A428C3">
        <w:lastRenderedPageBreak/>
        <w:t>via mixed complexes Cu(NH</w:t>
      </w:r>
      <w:r w:rsidRPr="00A428C3">
        <w:rPr>
          <w:vertAlign w:val="subscript"/>
        </w:rPr>
        <w:t>3</w:t>
      </w:r>
      <w:r w:rsidRPr="00A428C3">
        <w:t>)</w:t>
      </w:r>
      <w:r w:rsidRPr="00A428C3">
        <w:rPr>
          <w:vertAlign w:val="subscript"/>
        </w:rPr>
        <w:t>2</w:t>
      </w:r>
      <w:r w:rsidRPr="00A428C3">
        <w:t>(S</w:t>
      </w:r>
      <w:r w:rsidRPr="00A428C3">
        <w:rPr>
          <w:vertAlign w:val="subscript"/>
        </w:rPr>
        <w:t>2</w:t>
      </w:r>
      <w:r w:rsidRPr="00A428C3">
        <w:t>O</w:t>
      </w:r>
      <w:r w:rsidRPr="00A428C3">
        <w:rPr>
          <w:vertAlign w:val="subscript"/>
        </w:rPr>
        <w:t>3</w:t>
      </w:r>
      <w:r w:rsidRPr="00A428C3">
        <w:t>)</w:t>
      </w:r>
      <w:r w:rsidRPr="00A428C3">
        <w:rPr>
          <w:i/>
          <w:iCs/>
          <w:vertAlign w:val="subscript"/>
        </w:rPr>
        <w:t>n</w:t>
      </w:r>
      <w:r w:rsidRPr="00A428C3">
        <w:rPr>
          <w:vertAlign w:val="superscript"/>
        </w:rPr>
        <w:t>−(2</w:t>
      </w:r>
      <w:r w:rsidRPr="00A428C3">
        <w:rPr>
          <w:i/>
          <w:iCs/>
          <w:vertAlign w:val="superscript"/>
        </w:rPr>
        <w:t>n</w:t>
      </w:r>
      <w:r w:rsidRPr="00A428C3">
        <w:rPr>
          <w:vertAlign w:val="superscript"/>
        </w:rPr>
        <w:t>−2)</w:t>
      </w:r>
      <w:r w:rsidRPr="00A428C3">
        <w:t xml:space="preserve"> (</w:t>
      </w:r>
      <w:r w:rsidRPr="00A428C3">
        <w:rPr>
          <w:i/>
          <w:iCs/>
        </w:rPr>
        <w:t>n</w:t>
      </w:r>
      <w:r w:rsidRPr="00A428C3">
        <w:t xml:space="preserve"> = 1 or 2). The oxidation can be considered as a first-order decomposition of these complexes, with a rate constant </w:t>
      </w:r>
      <w:r w:rsidRPr="00A428C3">
        <w:rPr>
          <w:i/>
          <w:iCs/>
        </w:rPr>
        <w:t>k</w:t>
      </w:r>
      <w:r w:rsidRPr="00A428C3">
        <w:rPr>
          <w:vertAlign w:val="subscript"/>
        </w:rPr>
        <w:t>Cu(1)</w:t>
      </w:r>
      <w:r w:rsidRPr="00A428C3">
        <w:t xml:space="preserve"> = 4×10</w:t>
      </w:r>
      <w:r w:rsidRPr="00A428C3">
        <w:rPr>
          <w:vertAlign w:val="superscript"/>
        </w:rPr>
        <w:t>−4</w:t>
      </w:r>
      <w:r w:rsidRPr="00A428C3">
        <w:t xml:space="preserve"> s</w:t>
      </w:r>
      <w:r w:rsidRPr="00A428C3">
        <w:rPr>
          <w:vertAlign w:val="superscript"/>
        </w:rPr>
        <w:t>−1</w:t>
      </w:r>
      <w:r w:rsidRPr="00A428C3">
        <w:t>, to produce S</w:t>
      </w:r>
      <w:r w:rsidRPr="00A428C3">
        <w:rPr>
          <w:vertAlign w:val="subscript"/>
        </w:rPr>
        <w:t>2</w:t>
      </w:r>
      <w:r w:rsidRPr="00A428C3">
        <w:t>O</w:t>
      </w:r>
      <w:r w:rsidRPr="00A428C3">
        <w:rPr>
          <w:vertAlign w:val="subscript"/>
        </w:rPr>
        <w:t>3</w:t>
      </w:r>
      <w:r w:rsidRPr="00A428C3">
        <w:rPr>
          <w:vertAlign w:val="superscript"/>
        </w:rPr>
        <w:t>−</w:t>
      </w:r>
      <w:r w:rsidRPr="00A428C3">
        <w:t xml:space="preserve"> which undergoes dimerization to S</w:t>
      </w:r>
      <w:r w:rsidRPr="00A428C3">
        <w:rPr>
          <w:vertAlign w:val="subscript"/>
        </w:rPr>
        <w:t>4</w:t>
      </w:r>
      <w:r w:rsidRPr="00A428C3">
        <w:t>O</w:t>
      </w:r>
      <w:r w:rsidRPr="00A428C3">
        <w:rPr>
          <w:vertAlign w:val="subscript"/>
        </w:rPr>
        <w:t>6</w:t>
      </w:r>
      <w:r w:rsidRPr="00A428C3">
        <w:rPr>
          <w:vertAlign w:val="superscript"/>
        </w:rPr>
        <w:t>2−</w:t>
      </w:r>
      <w:r w:rsidRPr="00A428C3">
        <w:t>. It can also be treated as a second-order decomposition of Cu(NH</w:t>
      </w:r>
      <w:r w:rsidRPr="00A428C3">
        <w:rPr>
          <w:vertAlign w:val="subscript"/>
        </w:rPr>
        <w:t>3</w:t>
      </w:r>
      <w:r w:rsidRPr="00A428C3">
        <w:t>)</w:t>
      </w:r>
      <w:r w:rsidRPr="00A428C3">
        <w:rPr>
          <w:vertAlign w:val="subscript"/>
        </w:rPr>
        <w:t>3</w:t>
      </w:r>
      <w:r w:rsidRPr="00A428C3">
        <w:t>(S</w:t>
      </w:r>
      <w:r w:rsidRPr="00A428C3">
        <w:rPr>
          <w:vertAlign w:val="subscript"/>
        </w:rPr>
        <w:t>2</w:t>
      </w:r>
      <w:r w:rsidRPr="00A428C3">
        <w:t>O</w:t>
      </w:r>
      <w:r w:rsidRPr="00A428C3">
        <w:rPr>
          <w:vertAlign w:val="subscript"/>
        </w:rPr>
        <w:t>3</w:t>
      </w:r>
      <w:r w:rsidRPr="00A428C3">
        <w:t>)</w:t>
      </w:r>
      <w:r w:rsidRPr="00A428C3">
        <w:rPr>
          <w:vertAlign w:val="superscript"/>
        </w:rPr>
        <w:t>0</w:t>
      </w:r>
      <w:r w:rsidRPr="00A428C3">
        <w:t xml:space="preserve"> or Cu(NH</w:t>
      </w:r>
      <w:r w:rsidRPr="00A428C3">
        <w:rPr>
          <w:vertAlign w:val="subscript"/>
        </w:rPr>
        <w:t>3</w:t>
      </w:r>
      <w:r w:rsidRPr="00A428C3">
        <w:t>)</w:t>
      </w:r>
      <w:r w:rsidRPr="00A428C3">
        <w:rPr>
          <w:vertAlign w:val="subscript"/>
        </w:rPr>
        <w:t>2</w:t>
      </w:r>
      <w:r w:rsidRPr="00A428C3">
        <w:t>(S</w:t>
      </w:r>
      <w:r w:rsidRPr="00A428C3">
        <w:rPr>
          <w:vertAlign w:val="subscript"/>
        </w:rPr>
        <w:t>2</w:t>
      </w:r>
      <w:r w:rsidRPr="00A428C3">
        <w:t>O</w:t>
      </w:r>
      <w:r w:rsidRPr="00A428C3">
        <w:rPr>
          <w:vertAlign w:val="subscript"/>
        </w:rPr>
        <w:t>3</w:t>
      </w:r>
      <w:r w:rsidRPr="00A428C3">
        <w:t>)</w:t>
      </w:r>
      <w:r w:rsidRPr="00A428C3">
        <w:rPr>
          <w:vertAlign w:val="superscript"/>
        </w:rPr>
        <w:t>0</w:t>
      </w:r>
      <w:r w:rsidRPr="00A428C3">
        <w:t xml:space="preserve"> with rate constants </w:t>
      </w:r>
      <w:r w:rsidRPr="00A428C3">
        <w:rPr>
          <w:i/>
          <w:iCs/>
        </w:rPr>
        <w:t>k</w:t>
      </w:r>
      <w:r w:rsidRPr="00A428C3">
        <w:rPr>
          <w:vertAlign w:val="subscript"/>
        </w:rPr>
        <w:t>Cu(2)</w:t>
      </w:r>
      <w:r w:rsidRPr="00A428C3">
        <w:t xml:space="preserve"> = 0.2</w:t>
      </w:r>
      <w:r w:rsidR="00F81221">
        <w:t xml:space="preserve"> and </w:t>
      </w:r>
      <w:smartTag w:uri="urn:schemas-microsoft-com:office:smarttags" w:element="chmetcnv">
        <w:smartTagPr>
          <w:attr w:name="TCSC" w:val="0"/>
          <w:attr w:name="NumberType" w:val="1"/>
          <w:attr w:name="Negative" w:val="False"/>
          <w:attr w:name="HasSpace" w:val="True"/>
          <w:attr w:name="SourceValue" w:val="0.1"/>
          <w:attr w:name="UnitName" w:val="l"/>
        </w:smartTagPr>
        <w:r w:rsidRPr="00A428C3">
          <w:t>0.1 L</w:t>
        </w:r>
      </w:smartTag>
      <w:r w:rsidRPr="00A428C3">
        <w:t xml:space="preserve"> mol</w:t>
      </w:r>
      <w:r w:rsidRPr="00A428C3">
        <w:rPr>
          <w:vertAlign w:val="superscript"/>
        </w:rPr>
        <w:t>−1</w:t>
      </w:r>
      <w:r w:rsidRPr="00A428C3">
        <w:t xml:space="preserve"> s</w:t>
      </w:r>
      <w:r w:rsidRPr="00A428C3">
        <w:rPr>
          <w:vertAlign w:val="superscript"/>
        </w:rPr>
        <w:t>−1</w:t>
      </w:r>
      <w:r w:rsidRPr="00A428C3">
        <w:t>, respectively, which produce S</w:t>
      </w:r>
      <w:r w:rsidRPr="00A428C3">
        <w:rPr>
          <w:vertAlign w:val="subscript"/>
        </w:rPr>
        <w:t>4</w:t>
      </w:r>
      <w:r w:rsidRPr="00A428C3">
        <w:t>O</w:t>
      </w:r>
      <w:r w:rsidRPr="00A428C3">
        <w:rPr>
          <w:vertAlign w:val="subscript"/>
        </w:rPr>
        <w:t>6</w:t>
      </w:r>
      <w:r w:rsidRPr="00A428C3">
        <w:rPr>
          <w:vertAlign w:val="superscript"/>
        </w:rPr>
        <w:t>2−</w:t>
      </w:r>
      <w:r w:rsidRPr="00A428C3">
        <w:t xml:space="preserve"> in one step.</w:t>
      </w:r>
    </w:p>
    <w:p w:rsidR="00B95188" w:rsidRPr="00A428C3" w:rsidRDefault="00B95188" w:rsidP="00B95188">
      <w:pPr>
        <w:pStyle w:val="a0"/>
      </w:pPr>
      <w:r w:rsidRPr="00A428C3">
        <w:t>The literature data reported for gold dissolution in the copper(II)–ammonia–thiosulfate system show first-order dependence with respect to copper(II)</w:t>
      </w:r>
      <w:r w:rsidR="00F81221">
        <w:t xml:space="preserve"> and </w:t>
      </w:r>
      <w:r w:rsidRPr="00A428C3">
        <w:t>thiosulfate concentration, but it is relatively less affected by ammonia</w:t>
      </w:r>
      <w:r w:rsidR="00F81221">
        <w:t xml:space="preserve"> and </w:t>
      </w:r>
      <w:r w:rsidRPr="00A428C3">
        <w:t>hydroxide concentrations. At higher concentrations of copper(II)</w:t>
      </w:r>
      <w:r w:rsidR="00F81221">
        <w:t xml:space="preserve"> and </w:t>
      </w:r>
      <w:r w:rsidRPr="00A428C3">
        <w:t>thiosulfate, the rate becomes zero order with respect to these reagents. The leaching data obey a shrinking core model for both gold powder</w:t>
      </w:r>
      <w:r w:rsidR="00F81221">
        <w:t xml:space="preserve"> and </w:t>
      </w:r>
      <w:r w:rsidRPr="00A428C3">
        <w:t xml:space="preserve">carbonaceous or roasted ore with an apparent rate constant </w:t>
      </w:r>
      <w:r w:rsidRPr="00A428C3">
        <w:rPr>
          <w:i/>
          <w:iCs/>
        </w:rPr>
        <w:t>k</w:t>
      </w:r>
      <w:r w:rsidRPr="00A428C3">
        <w:rPr>
          <w:vertAlign w:val="subscript"/>
        </w:rPr>
        <w:t>sc</w:t>
      </w:r>
      <w:r w:rsidRPr="00A428C3">
        <w:t>≈10</w:t>
      </w:r>
      <w:r w:rsidRPr="00A428C3">
        <w:rPr>
          <w:vertAlign w:val="superscript"/>
        </w:rPr>
        <w:t>−5</w:t>
      </w:r>
      <w:r w:rsidRPr="00A428C3">
        <w:t xml:space="preserve"> s</w:t>
      </w:r>
      <w:r w:rsidRPr="00A428C3">
        <w:rPr>
          <w:vertAlign w:val="superscript"/>
        </w:rPr>
        <w:t>−1</w:t>
      </w:r>
      <w:r w:rsidRPr="00A428C3">
        <w:t xml:space="preserve">, but the </w:t>
      </w:r>
      <w:r w:rsidRPr="00A428C3">
        <w:rPr>
          <w:i/>
          <w:iCs/>
        </w:rPr>
        <w:t>k</w:t>
      </w:r>
      <w:r w:rsidRPr="00A428C3">
        <w:rPr>
          <w:vertAlign w:val="subscript"/>
        </w:rPr>
        <w:t>sc</w:t>
      </w:r>
      <w:r w:rsidRPr="00A428C3">
        <w:t xml:space="preserve"> also shows a first-order dependence with respect to the measured copper(II) concentration in solution. The copper(II) sepeciation analysis shows Cu(NH</w:t>
      </w:r>
      <w:r w:rsidRPr="00A428C3">
        <w:rPr>
          <w:vertAlign w:val="subscript"/>
        </w:rPr>
        <w:t>3</w:t>
      </w:r>
      <w:r w:rsidRPr="00A428C3">
        <w:t>)</w:t>
      </w:r>
      <w:r w:rsidRPr="00A428C3">
        <w:rPr>
          <w:vertAlign w:val="subscript"/>
        </w:rPr>
        <w:t>2</w:t>
      </w:r>
      <w:r w:rsidRPr="00A428C3">
        <w:t>(S</w:t>
      </w:r>
      <w:r w:rsidRPr="00A428C3">
        <w:rPr>
          <w:vertAlign w:val="subscript"/>
        </w:rPr>
        <w:t>2</w:t>
      </w:r>
      <w:r w:rsidRPr="00A428C3">
        <w:t>O</w:t>
      </w:r>
      <w:r w:rsidRPr="00A428C3">
        <w:rPr>
          <w:vertAlign w:val="subscript"/>
        </w:rPr>
        <w:t>3</w:t>
      </w:r>
      <w:r w:rsidRPr="00A428C3">
        <w:t>)</w:t>
      </w:r>
      <w:r w:rsidRPr="00A428C3">
        <w:rPr>
          <w:vertAlign w:val="subscript"/>
        </w:rPr>
        <w:t>2</w:t>
      </w:r>
      <w:r w:rsidRPr="00A428C3">
        <w:rPr>
          <w:vertAlign w:val="superscript"/>
        </w:rPr>
        <w:t>2−</w:t>
      </w:r>
      <w:r w:rsidRPr="00A428C3">
        <w:t>, Cu(NH</w:t>
      </w:r>
      <w:r w:rsidRPr="00A428C3">
        <w:rPr>
          <w:vertAlign w:val="subscript"/>
        </w:rPr>
        <w:t>3</w:t>
      </w:r>
      <w:r w:rsidRPr="00A428C3">
        <w:t>)</w:t>
      </w:r>
      <w:r w:rsidRPr="00A428C3">
        <w:rPr>
          <w:vertAlign w:val="subscript"/>
        </w:rPr>
        <w:t>2</w:t>
      </w:r>
      <w:r w:rsidRPr="00A428C3">
        <w:t>(S</w:t>
      </w:r>
      <w:r w:rsidRPr="00A428C3">
        <w:rPr>
          <w:vertAlign w:val="subscript"/>
        </w:rPr>
        <w:t>2</w:t>
      </w:r>
      <w:r w:rsidRPr="00A428C3">
        <w:t>O</w:t>
      </w:r>
      <w:r w:rsidRPr="00A428C3">
        <w:rPr>
          <w:vertAlign w:val="subscript"/>
        </w:rPr>
        <w:t>3</w:t>
      </w:r>
      <w:r w:rsidRPr="00A428C3">
        <w:t>)</w:t>
      </w:r>
      <w:r w:rsidRPr="00A428C3">
        <w:rPr>
          <w:vertAlign w:val="superscript"/>
        </w:rPr>
        <w:t>0</w:t>
      </w:r>
      <w:r w:rsidR="00F81221">
        <w:t xml:space="preserve"> and </w:t>
      </w:r>
      <w:r w:rsidRPr="00A428C3">
        <w:t>Cu(NH</w:t>
      </w:r>
      <w:r w:rsidRPr="00A428C3">
        <w:rPr>
          <w:vertAlign w:val="subscript"/>
        </w:rPr>
        <w:t>3</w:t>
      </w:r>
      <w:r w:rsidRPr="00A428C3">
        <w:t>)</w:t>
      </w:r>
      <w:r w:rsidRPr="00A428C3">
        <w:rPr>
          <w:vertAlign w:val="subscript"/>
        </w:rPr>
        <w:t>3</w:t>
      </w:r>
      <w:r w:rsidRPr="00A428C3">
        <w:t>(S</w:t>
      </w:r>
      <w:r w:rsidRPr="00A428C3">
        <w:rPr>
          <w:vertAlign w:val="subscript"/>
        </w:rPr>
        <w:t>2</w:t>
      </w:r>
      <w:r w:rsidRPr="00A428C3">
        <w:t>O</w:t>
      </w:r>
      <w:r w:rsidRPr="00A428C3">
        <w:rPr>
          <w:vertAlign w:val="subscript"/>
        </w:rPr>
        <w:t>3</w:t>
      </w:r>
      <w:r w:rsidRPr="00A428C3">
        <w:t>)</w:t>
      </w:r>
      <w:r w:rsidRPr="00A428C3">
        <w:rPr>
          <w:vertAlign w:val="superscript"/>
        </w:rPr>
        <w:t>0</w:t>
      </w:r>
      <w:r w:rsidRPr="00A428C3">
        <w:t xml:space="preserve"> as the predominant species in ammoniacal copper(II)–thiosulfate solutions. Thus, gold oxidation can be represented by a sequence of equations representing adsorption</w:t>
      </w:r>
      <w:r w:rsidR="00F81221">
        <w:t xml:space="preserve"> and </w:t>
      </w:r>
      <w:r w:rsidRPr="00A428C3">
        <w:t>redox reactions.</w:t>
      </w:r>
    </w:p>
    <w:p w:rsidR="00B95188" w:rsidRPr="00A428C3" w:rsidRDefault="00B95188" w:rsidP="00B95188">
      <w:pPr>
        <w:pStyle w:val="a0"/>
      </w:pPr>
      <w:r w:rsidRPr="00A428C3">
        <w:t>Keywords: Gold Leaching, Ammoniacal Copper(II), Thiosulfate, Kinetic Models, Reaction Mechanism</w:t>
      </w:r>
    </w:p>
    <w:p w:rsidR="00B95188" w:rsidRPr="00A428C3" w:rsidRDefault="00B95188" w:rsidP="00B95188">
      <w:pPr>
        <w:pStyle w:val="a0"/>
      </w:pPr>
      <w:r w:rsidRPr="00A428C3">
        <w:t>Beolchini, F., Pagnanelli, F., Toro, L.</w:t>
      </w:r>
      <w:r w:rsidR="00F81221">
        <w:t xml:space="preserve"> and </w:t>
      </w:r>
      <w:r w:rsidRPr="00A428C3">
        <w:t>Vegliò, F. (2004), Continuous biosorption of copper</w:t>
      </w:r>
      <w:r w:rsidR="00F81221">
        <w:t xml:space="preserve"> and </w:t>
      </w:r>
      <w:r w:rsidRPr="00A428C3">
        <w:t>lead in single</w:t>
      </w:r>
      <w:r w:rsidR="00F81221">
        <w:t xml:space="preserve"> and </w:t>
      </w:r>
      <w:r w:rsidRPr="00A428C3">
        <w:t xml:space="preserve">binary systems using </w:t>
      </w:r>
      <w:r w:rsidRPr="00A428C3">
        <w:rPr>
          <w:i/>
          <w:iCs/>
        </w:rPr>
        <w:t>Sphaerotilus natans</w:t>
      </w:r>
      <w:r w:rsidRPr="00A428C3">
        <w:t xml:space="preserve"> cells confined by a membrane: Experimental validation of dynamic models. </w:t>
      </w:r>
      <w:r w:rsidRPr="00A428C3">
        <w:rPr>
          <w:i/>
        </w:rPr>
        <w:t>Hydrometallurgy</w:t>
      </w:r>
      <w:r w:rsidRPr="00A428C3">
        <w:t xml:space="preserve">, </w:t>
      </w:r>
      <w:r w:rsidRPr="00A428C3">
        <w:rPr>
          <w:b/>
        </w:rPr>
        <w:t>76</w:t>
      </w:r>
      <w:r w:rsidRPr="00A428C3">
        <w:t xml:space="preserve"> (1-2), 73-85.</w:t>
      </w:r>
    </w:p>
    <w:p w:rsidR="00B95188" w:rsidRPr="00A428C3" w:rsidRDefault="00B95188" w:rsidP="00735710">
      <w:pPr>
        <w:pStyle w:val="a0"/>
      </w:pPr>
      <w:r w:rsidRPr="00A428C3">
        <w:t xml:space="preserve">Full Text: </w:t>
      </w:r>
      <w:hyperlink r:id="rId781" w:history="1">
        <w:r w:rsidRPr="00A428C3">
          <w:rPr>
            <w:rStyle w:val="a5"/>
          </w:rPr>
          <w:t>H\Hydrometallurgy76, 73.pdf</w:t>
        </w:r>
      </w:hyperlink>
    </w:p>
    <w:p w:rsidR="00B95188" w:rsidRPr="00A428C3" w:rsidRDefault="00B95188" w:rsidP="00B95188">
      <w:pPr>
        <w:pStyle w:val="a0"/>
      </w:pPr>
      <w:r w:rsidRPr="00A428C3">
        <w:t>Abstract: Biosorption of heavy metals using membrane reactors as confining devise for free cells is an alternative process to remove these metallic pollutants from aqueous solution. In this paper, experimental data</w:t>
      </w:r>
      <w:r w:rsidR="00F81221">
        <w:t xml:space="preserve"> and </w:t>
      </w:r>
      <w:r w:rsidRPr="00A428C3">
        <w:t xml:space="preserve">modelling of heavy metal biosorption onto </w:t>
      </w:r>
      <w:r w:rsidRPr="00A428C3">
        <w:rPr>
          <w:i/>
          <w:iCs/>
        </w:rPr>
        <w:t>Sphaerotilus natans</w:t>
      </w:r>
      <w:r w:rsidRPr="00A428C3">
        <w:t xml:space="preserve"> cells confined by a ultrafiltration/microfiltration (UF/MF) membrane reactor are reported. Biosorption tests using single</w:t>
      </w:r>
      <w:r w:rsidR="00F81221">
        <w:t xml:space="preserve"> and </w:t>
      </w:r>
      <w:r w:rsidRPr="00A428C3">
        <w:t>binary metallic solutions (Cu, Pb</w:t>
      </w:r>
      <w:r w:rsidR="00F81221">
        <w:t xml:space="preserve"> and </w:t>
      </w:r>
      <w:r w:rsidRPr="00A428C3">
        <w:t>Cu–Pb) denoted the biomass affinity (Pb&gt;Cu), the competition among metals simultaneously present in the system, the filtrate flux decline</w:t>
      </w:r>
      <w:r w:rsidR="00F81221">
        <w:t xml:space="preserve"> and </w:t>
      </w:r>
      <w:r w:rsidRPr="00A428C3">
        <w:t>the change of metal retention coefficient on the membrane for pore plugging by cell fragments. Dynamic modelling is developed considering the unsteady mass balances of the metal in the system</w:t>
      </w:r>
      <w:r w:rsidR="00F81221">
        <w:t xml:space="preserve"> and </w:t>
      </w:r>
      <w:r w:rsidRPr="00A428C3">
        <w:t>the equilibrium parameters obtained by biosorption batch tests using Langmuir models. Experimental validation of the dynamic models denoted the importance of partial degradation of cells, which is specifically considered in modelling by introducing a time-depending profile for the biomass concentration.</w:t>
      </w:r>
    </w:p>
    <w:p w:rsidR="00B95188" w:rsidRPr="00A428C3" w:rsidRDefault="00B95188" w:rsidP="00B95188">
      <w:pPr>
        <w:pStyle w:val="a0"/>
      </w:pPr>
      <w:r w:rsidRPr="00A428C3">
        <w:lastRenderedPageBreak/>
        <w:t>Keywords: Heavy Metals, Biosorption, Membrane Reactor, Multimetal System, Dynamic Modelling</w:t>
      </w:r>
    </w:p>
    <w:p w:rsidR="00691DFC" w:rsidRPr="00A428C3" w:rsidRDefault="00691DFC" w:rsidP="00691DFC">
      <w:pPr>
        <w:pStyle w:val="a0"/>
      </w:pPr>
      <w:r w:rsidRPr="00A428C3">
        <w:t xml:space="preserve">? </w:t>
      </w:r>
      <w:r>
        <w:t>Cox</w:t>
      </w:r>
      <w:r>
        <w:rPr>
          <w:rFonts w:hint="eastAsia"/>
        </w:rPr>
        <w:t>,</w:t>
      </w:r>
      <w:r>
        <w:t xml:space="preserve"> M</w:t>
      </w:r>
      <w:r>
        <w:rPr>
          <w:rFonts w:hint="eastAsia"/>
        </w:rPr>
        <w:t>.</w:t>
      </w:r>
      <w:r>
        <w:t>, Pichugin</w:t>
      </w:r>
      <w:r>
        <w:rPr>
          <w:rFonts w:hint="eastAsia"/>
        </w:rPr>
        <w:t>,</w:t>
      </w:r>
      <w:r>
        <w:t xml:space="preserve"> A</w:t>
      </w:r>
      <w:r>
        <w:rPr>
          <w:rFonts w:hint="eastAsia"/>
        </w:rPr>
        <w:t>.</w:t>
      </w:r>
      <w:r>
        <w:t>A</w:t>
      </w:r>
      <w:r>
        <w:rPr>
          <w:rFonts w:hint="eastAsia"/>
        </w:rPr>
        <w:t>.</w:t>
      </w:r>
      <w:r>
        <w:t>, El-Shafey</w:t>
      </w:r>
      <w:r>
        <w:rPr>
          <w:rFonts w:hint="eastAsia"/>
        </w:rPr>
        <w:t>,</w:t>
      </w:r>
      <w:r>
        <w:t xml:space="preserve"> E</w:t>
      </w:r>
      <w:r>
        <w:rPr>
          <w:rFonts w:hint="eastAsia"/>
        </w:rPr>
        <w:t>.</w:t>
      </w:r>
      <w:r>
        <w:t>I</w:t>
      </w:r>
      <w:r>
        <w:rPr>
          <w:rFonts w:hint="eastAsia"/>
        </w:rPr>
        <w:t>.</w:t>
      </w:r>
      <w:r w:rsidR="00F81221">
        <w:rPr>
          <w:rFonts w:hint="eastAsia"/>
        </w:rPr>
        <w:t xml:space="preserve"> and </w:t>
      </w:r>
      <w:r>
        <w:t>Appleton</w:t>
      </w:r>
      <w:r>
        <w:rPr>
          <w:rFonts w:hint="eastAsia"/>
        </w:rPr>
        <w:t>,</w:t>
      </w:r>
      <w:r>
        <w:t xml:space="preserve"> Q</w:t>
      </w:r>
      <w:r>
        <w:rPr>
          <w:rFonts w:hint="eastAsia"/>
        </w:rPr>
        <w:t>.</w:t>
      </w:r>
      <w:r w:rsidRPr="00A428C3">
        <w:t xml:space="preserve"> (</w:t>
      </w:r>
      <w:r w:rsidRPr="00A428C3">
        <w:rPr>
          <w:iCs/>
        </w:rPr>
        <w:t>2005</w:t>
      </w:r>
      <w:r w:rsidRPr="00A428C3">
        <w:t xml:space="preserve">), </w:t>
      </w:r>
      <w:r>
        <w:t>Sorption of precious metals onto chemically prepared carbon from flax shive</w:t>
      </w:r>
      <w:r w:rsidRPr="00A428C3">
        <w:t xml:space="preserve">. </w:t>
      </w:r>
      <w:r w:rsidRPr="00A428C3">
        <w:rPr>
          <w:i/>
        </w:rPr>
        <w:t>Hydrometallurgy</w:t>
      </w:r>
      <w:r w:rsidRPr="00A428C3">
        <w:t xml:space="preserve">, </w:t>
      </w:r>
      <w:r w:rsidRPr="00A428C3">
        <w:rPr>
          <w:b/>
        </w:rPr>
        <w:t>7</w:t>
      </w:r>
      <w:r>
        <w:rPr>
          <w:rFonts w:hint="eastAsia"/>
          <w:b/>
        </w:rPr>
        <w:t>8</w:t>
      </w:r>
      <w:r w:rsidRPr="00A428C3">
        <w:t xml:space="preserve"> (</w:t>
      </w:r>
      <w:r>
        <w:rPr>
          <w:rFonts w:hint="eastAsia"/>
        </w:rPr>
        <w:t>1-2</w:t>
      </w:r>
      <w:r w:rsidRPr="00A428C3">
        <w:t xml:space="preserve">), </w:t>
      </w:r>
      <w:r>
        <w:rPr>
          <w:rFonts w:hint="eastAsia"/>
          <w:iCs/>
        </w:rPr>
        <w:t>137-144</w:t>
      </w:r>
      <w:r w:rsidRPr="00A428C3">
        <w:t>.</w:t>
      </w:r>
    </w:p>
    <w:p w:rsidR="00691DFC" w:rsidRDefault="00691DFC" w:rsidP="00691DFC">
      <w:pPr>
        <w:pStyle w:val="a0"/>
      </w:pPr>
      <w:r w:rsidRPr="00A428C3">
        <w:t xml:space="preserve">Full Text: </w:t>
      </w:r>
      <w:hyperlink r:id="rId782" w:history="1">
        <w:r w:rsidRPr="00691DFC">
          <w:rPr>
            <w:rStyle w:val="a5"/>
          </w:rPr>
          <w:t>2005\Hydrometallurgy78, 137.pdf</w:t>
        </w:r>
      </w:hyperlink>
    </w:p>
    <w:p w:rsidR="00691DFC" w:rsidRDefault="00691DFC" w:rsidP="00691DFC">
      <w:pPr>
        <w:pStyle w:val="a0"/>
      </w:pPr>
      <w:r>
        <w:t>Abstract: The sorption of gold, silver, palladium</w:t>
      </w:r>
      <w:r w:rsidR="00F81221">
        <w:t xml:space="preserve"> and </w:t>
      </w:r>
      <w:r>
        <w:t>platinum chlorides onto a carbonaceous sorbent prepared from flax shive by treatment with hot sulfuric acid is described. The results showed that the rate of sorption followed a first-order relationship with the initial rate described largely by pore diffusion. The sorption of the metal ions followed the Langmuir equation with the calculated monolayer capacities following the order: Au(III) &gt; Pd(II) &gt; Ag(I) &gt; Pt(II) approximate to Pt(IV). The sorption process was shown to occur by ion exchange reactions with functional groups on the sorbent. Once the metal ions had been loaded onto the sorbent, they were, except for platinum(IV), reduced by the sorbent to the metal with oxidation of the sorbent generating further ion exchange sites for sorption of the metal ions. This allowed the possibility of recycling the sorbent until significant amounts of the precious metal had been accumulated, thus simplifying the recovery of the metal by combustion of the residual sorbent. (c) 2005 Elsevier B.V. All rights reserved.</w:t>
      </w:r>
    </w:p>
    <w:p w:rsidR="00691DFC" w:rsidRPr="00A428C3" w:rsidRDefault="00691DFC" w:rsidP="00691DFC">
      <w:pPr>
        <w:pStyle w:val="a0"/>
      </w:pPr>
      <w:r>
        <w:t>Keywords: Adsorption, Carbonaceous Sorbent, Precious Metals, Flax, Kinetics, Redox, Activated Carbon, Adsorption, Reduction, Chloride, Removal, Gold, Adsorbent, Property, Kinetics, Fiber</w:t>
      </w:r>
    </w:p>
    <w:p w:rsidR="00691DFC" w:rsidRPr="00A428C3" w:rsidRDefault="00691DFC" w:rsidP="00691DFC">
      <w:pPr>
        <w:pStyle w:val="a0"/>
      </w:pPr>
      <w:r w:rsidRPr="00A428C3">
        <w:t>? Laatikainen, M.</w:t>
      </w:r>
      <w:r w:rsidR="00F81221">
        <w:t xml:space="preserve"> and </w:t>
      </w:r>
      <w:r w:rsidRPr="00A428C3">
        <w:t>Paatero, E. (</w:t>
      </w:r>
      <w:r w:rsidRPr="00A428C3">
        <w:rPr>
          <w:iCs/>
        </w:rPr>
        <w:t>2005</w:t>
      </w:r>
      <w:r w:rsidRPr="00A428C3">
        <w:t>), Gold recovery from chloride solutions with XAD-7: Competitive adsorption of Fe(III)</w:t>
      </w:r>
      <w:r w:rsidR="00F81221">
        <w:t xml:space="preserve"> and </w:t>
      </w:r>
      <w:r w:rsidRPr="00A428C3">
        <w:t xml:space="preserve">Te(IV). </w:t>
      </w:r>
      <w:r w:rsidRPr="00A428C3">
        <w:rPr>
          <w:i/>
        </w:rPr>
        <w:t>Hydrometallurgy</w:t>
      </w:r>
      <w:r w:rsidRPr="00A428C3">
        <w:t xml:space="preserve">, </w:t>
      </w:r>
      <w:r w:rsidRPr="00A428C3">
        <w:rPr>
          <w:b/>
        </w:rPr>
        <w:t>79</w:t>
      </w:r>
      <w:r w:rsidRPr="00A428C3">
        <w:t xml:space="preserve"> (3-4), </w:t>
      </w:r>
      <w:r w:rsidRPr="00A428C3">
        <w:rPr>
          <w:iCs/>
        </w:rPr>
        <w:t>154-171</w:t>
      </w:r>
      <w:r w:rsidRPr="00A428C3">
        <w:t>.</w:t>
      </w:r>
    </w:p>
    <w:p w:rsidR="00691DFC" w:rsidRPr="00A428C3" w:rsidRDefault="00691DFC" w:rsidP="00691DFC">
      <w:pPr>
        <w:pStyle w:val="a0"/>
      </w:pPr>
      <w:r w:rsidRPr="00A428C3">
        <w:t xml:space="preserve">Full Text: </w:t>
      </w:r>
      <w:hyperlink r:id="rId783" w:history="1">
        <w:r w:rsidRPr="00A428C3">
          <w:rPr>
            <w:rStyle w:val="a5"/>
          </w:rPr>
          <w:t>2005\Hydrometallurgy79, 154.pdf</w:t>
        </w:r>
      </w:hyperlink>
    </w:p>
    <w:p w:rsidR="00B95188" w:rsidRPr="00A428C3" w:rsidRDefault="00B95188" w:rsidP="00B95188">
      <w:pPr>
        <w:pStyle w:val="a0"/>
      </w:pPr>
      <w:r w:rsidRPr="00A428C3">
        <w:t>Abstract: In this study, competitive adsorption of metal chloro complexes on the polymer adsorbent XAD-7 has been investigated. Au(III), Fe(III)</w:t>
      </w:r>
      <w:r w:rsidR="00F81221">
        <w:t xml:space="preserve"> and </w:t>
      </w:r>
      <w:r w:rsidRPr="00A428C3">
        <w:t>Te(IV) dissolved in HCl</w:t>
      </w:r>
      <w:r w:rsidR="00F81221">
        <w:t xml:space="preserve"> and </w:t>
      </w:r>
      <w:r w:rsidRPr="00A428C3">
        <w:t>alkali metal chloride solutions were used as the model compounds. Adsorption equilibria were measured for individual elements as well as for binary pairs</w:t>
      </w:r>
      <w:r w:rsidR="00F81221">
        <w:t xml:space="preserve"> and </w:t>
      </w:r>
      <w:r w:rsidRPr="00A428C3">
        <w:t>the data were correlated in terms of activities of the adsorbable complexes. Finally, the equilibrium model together with the experimentally determined apparent diffusion coefficients was utilized in simulation of break-through curves of multicomponent mixtures.</w:t>
      </w:r>
    </w:p>
    <w:p w:rsidR="00B95188" w:rsidRPr="00A428C3" w:rsidRDefault="00B95188" w:rsidP="00B95188">
      <w:pPr>
        <w:pStyle w:val="a0"/>
      </w:pPr>
      <w:r w:rsidRPr="00A428C3">
        <w:t>Adsorption of gold</w:t>
      </w:r>
      <w:r w:rsidR="00F81221">
        <w:t xml:space="preserve"> and </w:t>
      </w:r>
      <w:r w:rsidRPr="00A428C3">
        <w:t>iron can be explained satisfactorily by taking into account the formation equilibria of the tetrachloro complexes</w:t>
      </w:r>
      <w:r w:rsidR="00F81221">
        <w:t xml:space="preserve"> and </w:t>
      </w:r>
      <w:r w:rsidRPr="00A428C3">
        <w:t>the difference in their acid strengths. The uptake of the weakly acidic HAuCl</w:t>
      </w:r>
      <w:r w:rsidRPr="00A428C3">
        <w:rPr>
          <w:vertAlign w:val="subscript"/>
        </w:rPr>
        <w:t>4</w:t>
      </w:r>
      <w:r w:rsidRPr="00A428C3">
        <w:t xml:space="preserve"> depends only slightly on the HCl concentration</w:t>
      </w:r>
      <w:r w:rsidR="00F81221">
        <w:t xml:space="preserve"> and </w:t>
      </w:r>
      <w:r w:rsidRPr="00A428C3">
        <w:t xml:space="preserve">adsorption was substantially stronger in NaCl solutions. The </w:t>
      </w:r>
      <w:r w:rsidRPr="00A428C3">
        <w:lastRenderedPageBreak/>
        <w:t>opposite trends observed for iron were due to the lower stability</w:t>
      </w:r>
      <w:r w:rsidR="00F81221">
        <w:t xml:space="preserve"> and </w:t>
      </w:r>
      <w:r w:rsidRPr="00A428C3">
        <w:t>higher degree of dissociation of HFeCl</w:t>
      </w:r>
      <w:r w:rsidRPr="00A428C3">
        <w:rPr>
          <w:vertAlign w:val="subscript"/>
        </w:rPr>
        <w:t>4</w:t>
      </w:r>
      <w:r w:rsidRPr="00A428C3">
        <w:t>. The adsorbable complex of Te(IV), HTe(OH)Cl</w:t>
      </w:r>
      <w:r w:rsidRPr="00A428C3">
        <w:rPr>
          <w:vertAlign w:val="subscript"/>
        </w:rPr>
        <w:t>4</w:t>
      </w:r>
      <w:r w:rsidRPr="00A428C3">
        <w:t>, has lower affinity for the adsorbent, but at high concentrations it can reduce substantially the adsorption capacity for Au(III)</w:t>
      </w:r>
      <w:r w:rsidR="00F81221">
        <w:t xml:space="preserve"> and </w:t>
      </w:r>
      <w:r w:rsidRPr="00A428C3">
        <w:t>Fe(III). This effect was confirmed with the adsorption column runs,</w:t>
      </w:r>
      <w:r w:rsidR="00F81221">
        <w:t xml:space="preserve"> and </w:t>
      </w:r>
      <w:r w:rsidRPr="00A428C3">
        <w:t>the change in the break-through behavior of Au(III)</w:t>
      </w:r>
      <w:r w:rsidR="00F81221">
        <w:t xml:space="preserve"> and </w:t>
      </w:r>
      <w:r w:rsidRPr="00A428C3">
        <w:t>Fe(III) can be explained quantitatively by the simulation model.</w:t>
      </w:r>
    </w:p>
    <w:p w:rsidR="00B95188" w:rsidRPr="00A428C3" w:rsidRDefault="00B95188" w:rsidP="00B95188">
      <w:pPr>
        <w:pStyle w:val="a0"/>
      </w:pPr>
      <w:r w:rsidRPr="00A428C3">
        <w:t>Keywords: Adsorption, Gold, Iron, Tellurium, Chloride complex</w:t>
      </w:r>
    </w:p>
    <w:p w:rsidR="00B95188" w:rsidRPr="00A428C3" w:rsidRDefault="00B95188" w:rsidP="00B95188">
      <w:pPr>
        <w:pStyle w:val="a0"/>
      </w:pPr>
      <w:r w:rsidRPr="00A428C3">
        <w:t>? Dhakal, R.P., Ghimire, K.N.</w:t>
      </w:r>
      <w:r w:rsidR="00F81221">
        <w:t xml:space="preserve"> and </w:t>
      </w:r>
      <w:r w:rsidRPr="00A428C3">
        <w:t>Inoue, K. (</w:t>
      </w:r>
      <w:r w:rsidRPr="00A428C3">
        <w:rPr>
          <w:iCs/>
        </w:rPr>
        <w:t>2005</w:t>
      </w:r>
      <w:r w:rsidRPr="00A428C3">
        <w:t xml:space="preserve">), Adsorptive separation of heavy metals from an aquatic environment using orange waste. </w:t>
      </w:r>
      <w:r w:rsidRPr="00A428C3">
        <w:rPr>
          <w:i/>
        </w:rPr>
        <w:t>Hydrometallurgy</w:t>
      </w:r>
      <w:r w:rsidRPr="00A428C3">
        <w:t xml:space="preserve">, </w:t>
      </w:r>
      <w:r w:rsidRPr="00A428C3">
        <w:rPr>
          <w:b/>
        </w:rPr>
        <w:t>79</w:t>
      </w:r>
      <w:r w:rsidRPr="00A428C3">
        <w:t xml:space="preserve"> (3-4), </w:t>
      </w:r>
      <w:r w:rsidRPr="00A428C3">
        <w:rPr>
          <w:iCs/>
        </w:rPr>
        <w:t>182-190</w:t>
      </w:r>
      <w:r w:rsidRPr="00A428C3">
        <w:t>.</w:t>
      </w:r>
    </w:p>
    <w:p w:rsidR="00B95188" w:rsidRPr="00A428C3" w:rsidRDefault="00B95188" w:rsidP="00735710">
      <w:pPr>
        <w:pStyle w:val="a0"/>
      </w:pPr>
      <w:r w:rsidRPr="00A428C3">
        <w:t xml:space="preserve">Full Text: </w:t>
      </w:r>
      <w:hyperlink r:id="rId784" w:history="1">
        <w:r w:rsidRPr="00A428C3">
          <w:rPr>
            <w:rStyle w:val="a5"/>
          </w:rPr>
          <w:t>2005\Hydrometallurgy79, 182.pdf</w:t>
        </w:r>
      </w:hyperlink>
    </w:p>
    <w:p w:rsidR="00B95188" w:rsidRPr="00A428C3" w:rsidRDefault="00B95188" w:rsidP="00B95188">
      <w:pPr>
        <w:pStyle w:val="a0"/>
      </w:pPr>
      <w:r w:rsidRPr="00A428C3">
        <w:t>Abstract: Preparation of adsorption gel for metal ions from orange wastes by simple chemical modification was investigated. Two types of adsorption gels, Ca</w:t>
      </w:r>
      <w:r w:rsidRPr="00A428C3">
        <w:rPr>
          <w:vertAlign w:val="superscript"/>
        </w:rPr>
        <w:t>2+</w:t>
      </w:r>
      <w:r w:rsidRPr="00A428C3">
        <w:t>-form</w:t>
      </w:r>
      <w:r w:rsidR="00F81221">
        <w:t xml:space="preserve"> and </w:t>
      </w:r>
      <w:r w:rsidRPr="00A428C3">
        <w:t>H</w:t>
      </w:r>
      <w:r w:rsidRPr="00A428C3">
        <w:rPr>
          <w:vertAlign w:val="superscript"/>
        </w:rPr>
        <w:t>+</w:t>
      </w:r>
      <w:r w:rsidRPr="00A428C3">
        <w:t>-form gels, were prepared by saponifying orange juice residues with calcium hydroxide</w:t>
      </w:r>
      <w:r w:rsidR="00F81221">
        <w:t xml:space="preserve"> and </w:t>
      </w:r>
      <w:r w:rsidRPr="00A428C3">
        <w:t>its subsequent acid treatment, respectively. Both gels were adequately stable against dissolution in aquatic environment. The Ca</w:t>
      </w:r>
      <w:r w:rsidRPr="00A428C3">
        <w:rPr>
          <w:vertAlign w:val="superscript"/>
        </w:rPr>
        <w:t>2+</w:t>
      </w:r>
      <w:r w:rsidRPr="00A428C3">
        <w:t>-form gel was effective for the complete</w:t>
      </w:r>
      <w:r w:rsidR="00F81221">
        <w:t xml:space="preserve"> and </w:t>
      </w:r>
      <w:r w:rsidRPr="00A428C3">
        <w:t>selective removal of Pb(II), Cu(II)</w:t>
      </w:r>
      <w:r w:rsidR="00F81221">
        <w:t xml:space="preserve"> and </w:t>
      </w:r>
      <w:r w:rsidRPr="00A428C3">
        <w:t>Fe(III) compared with other divalent metal ions. The selectivity order for metal ion uptake by the gel is Pb(II) &gt; Fe(III) &gt; Cu(II) &gt; Cd(II) ≈</w:t>
      </w:r>
      <w:r w:rsidRPr="00A428C3">
        <w:rPr>
          <w:rFonts w:eastAsia="新細明體"/>
        </w:rPr>
        <w:t xml:space="preserve"> Zn(II) &gt; Mn(II). Among these metal ions, the max</w:t>
      </w:r>
      <w:r w:rsidRPr="00A428C3">
        <w:t>imum loading capacities for divalent metal ions such as Pb(II), Cd(II)</w:t>
      </w:r>
      <w:r w:rsidR="00F81221">
        <w:t xml:space="preserve"> and </w:t>
      </w:r>
      <w:r w:rsidRPr="00A428C3">
        <w:t>Zn(II) were evaluated as 1.1 mol/kg-dry gel while that for Fe(III) was 1.55 mol/kg-dry gel. The H</w:t>
      </w:r>
      <w:r w:rsidRPr="00A428C3">
        <w:rPr>
          <w:vertAlign w:val="superscript"/>
        </w:rPr>
        <w:t>+</w:t>
      </w:r>
      <w:r w:rsidRPr="00A428C3">
        <w:t>-form gel showed a different adsorption profile for Fe(III) compared to the Ca</w:t>
      </w:r>
      <w:r w:rsidRPr="00A428C3">
        <w:rPr>
          <w:vertAlign w:val="superscript"/>
        </w:rPr>
        <w:t>2+</w:t>
      </w:r>
      <w:r w:rsidRPr="00A428C3">
        <w:t>-form gel. The experimental results clearly suggest that both gels are quite effective for removing heavy metal ions in acidic pH ranges.</w:t>
      </w:r>
    </w:p>
    <w:p w:rsidR="00B95188" w:rsidRPr="00A428C3" w:rsidRDefault="00B95188" w:rsidP="00B95188">
      <w:pPr>
        <w:pStyle w:val="a0"/>
      </w:pPr>
      <w:r w:rsidRPr="00A428C3">
        <w:t xml:space="preserve">Keywords: Adsorption Gel, </w:t>
      </w:r>
      <w:smartTag w:uri="urn:schemas-microsoft-com:office:smarttags" w:element="place">
        <w:r w:rsidRPr="00A428C3">
          <w:t>Orange</w:t>
        </w:r>
      </w:smartTag>
      <w:r w:rsidRPr="00A428C3">
        <w:t xml:space="preserve"> Waste, Heavy Metals, Cation Exchange, Environmentally Benign Separation</w:t>
      </w:r>
    </w:p>
    <w:p w:rsidR="00B95188" w:rsidRPr="00A428C3" w:rsidRDefault="00B95188" w:rsidP="00B95188">
      <w:pPr>
        <w:pStyle w:val="a0"/>
      </w:pPr>
      <w:r w:rsidRPr="00A428C3">
        <w:t>? Laatikainen, M.</w:t>
      </w:r>
      <w:r w:rsidR="00F81221">
        <w:t xml:space="preserve"> and </w:t>
      </w:r>
      <w:r w:rsidRPr="00A428C3">
        <w:t>Paatero, E. (</w:t>
      </w:r>
      <w:r w:rsidRPr="00A428C3">
        <w:rPr>
          <w:iCs/>
        </w:rPr>
        <w:t>2005</w:t>
      </w:r>
      <w:r w:rsidRPr="00A428C3">
        <w:t>), Studies on the interaction of mercury(II)</w:t>
      </w:r>
      <w:r w:rsidR="00F81221">
        <w:t xml:space="preserve"> and </w:t>
      </w:r>
      <w:r w:rsidRPr="00A428C3">
        <w:t xml:space="preserve">uranyl(II) with modified chitosan resins. </w:t>
      </w:r>
      <w:r w:rsidRPr="00A428C3">
        <w:rPr>
          <w:i/>
        </w:rPr>
        <w:t>Hydrometallurgy</w:t>
      </w:r>
      <w:r w:rsidRPr="00A428C3">
        <w:t xml:space="preserve">, </w:t>
      </w:r>
      <w:r w:rsidRPr="00A428C3">
        <w:rPr>
          <w:b/>
        </w:rPr>
        <w:t>80</w:t>
      </w:r>
      <w:r w:rsidRPr="00A428C3">
        <w:t xml:space="preserve"> (1-2), </w:t>
      </w:r>
      <w:r w:rsidRPr="00A428C3">
        <w:rPr>
          <w:iCs/>
        </w:rPr>
        <w:t>13-22</w:t>
      </w:r>
      <w:r w:rsidRPr="00A428C3">
        <w:t>.</w:t>
      </w:r>
    </w:p>
    <w:p w:rsidR="00B95188" w:rsidRPr="00A428C3" w:rsidRDefault="00B95188" w:rsidP="00735710">
      <w:pPr>
        <w:pStyle w:val="a0"/>
      </w:pPr>
      <w:r w:rsidRPr="00A428C3">
        <w:t xml:space="preserve">Full Text: </w:t>
      </w:r>
      <w:hyperlink r:id="rId785" w:history="1">
        <w:r w:rsidRPr="00A428C3">
          <w:rPr>
            <w:rStyle w:val="a5"/>
          </w:rPr>
          <w:t>2005\Hydrometallurgy80, 13.pdf</w:t>
        </w:r>
      </w:hyperlink>
    </w:p>
    <w:p w:rsidR="00B95188" w:rsidRPr="00A428C3" w:rsidRDefault="00B95188" w:rsidP="00B95188">
      <w:pPr>
        <w:pStyle w:val="a0"/>
      </w:pPr>
      <w:r w:rsidRPr="00A428C3">
        <w:t>Abstract: Chitosan polymer was cross-linked using glutardialdehyde. The resin obtained was chemically modified through the reaction with ethylenediamine</w:t>
      </w:r>
      <w:r w:rsidR="00F81221">
        <w:t xml:space="preserve"> and </w:t>
      </w:r>
      <w:r w:rsidRPr="00A428C3">
        <w:t>(3-amino-1,2,4-triazole-5-thiol) to produce chitosan/amine</w:t>
      </w:r>
      <w:r w:rsidR="00F81221">
        <w:t xml:space="preserve"> and </w:t>
      </w:r>
      <w:r w:rsidRPr="00A428C3">
        <w:t>chitosan/azole resins, respectively. The resins obtained were tested for the uptake of Hg</w:t>
      </w:r>
      <w:r w:rsidRPr="00A428C3">
        <w:rPr>
          <w:vertAlign w:val="superscript"/>
        </w:rPr>
        <w:t>2+</w:t>
      </w:r>
      <w:r w:rsidR="00F81221">
        <w:t xml:space="preserve"> and </w:t>
      </w:r>
      <w:r w:rsidRPr="00A428C3">
        <w:t>UO</w:t>
      </w:r>
      <w:r w:rsidRPr="00A428C3">
        <w:rPr>
          <w:vertAlign w:val="subscript"/>
        </w:rPr>
        <w:t>2</w:t>
      </w:r>
      <w:r w:rsidRPr="00A428C3">
        <w:rPr>
          <w:vertAlign w:val="superscript"/>
        </w:rPr>
        <w:t>2+</w:t>
      </w:r>
      <w:r w:rsidRPr="00A428C3">
        <w:t xml:space="preserve"> from their aqueous solutions. The chitosan/amine resin showed higher uptake towards Hg</w:t>
      </w:r>
      <w:r w:rsidRPr="00A428C3">
        <w:rPr>
          <w:vertAlign w:val="superscript"/>
        </w:rPr>
        <w:t>2+</w:t>
      </w:r>
      <w:r w:rsidR="00F81221">
        <w:t xml:space="preserve"> and </w:t>
      </w:r>
      <w:r w:rsidRPr="00A428C3">
        <w:t>UO</w:t>
      </w:r>
      <w:r w:rsidRPr="00A428C3">
        <w:rPr>
          <w:vertAlign w:val="subscript"/>
        </w:rPr>
        <w:t>2</w:t>
      </w:r>
      <w:r w:rsidRPr="00A428C3">
        <w:rPr>
          <w:vertAlign w:val="superscript"/>
        </w:rPr>
        <w:t>2+</w:t>
      </w:r>
      <w:r w:rsidRPr="00A428C3">
        <w:t xml:space="preserve"> compared to chitosan/azole. This was attributed to the fact that the azole moiety does not furnish efficient attachment to the metal ions compared to the amine active sites which are more compact. Selective separation of Hg</w:t>
      </w:r>
      <w:r w:rsidRPr="00A428C3">
        <w:rPr>
          <w:vertAlign w:val="superscript"/>
        </w:rPr>
        <w:t>2+</w:t>
      </w:r>
      <w:r w:rsidRPr="00A428C3">
        <w:t xml:space="preserve"> from UO</w:t>
      </w:r>
      <w:r w:rsidRPr="00A428C3">
        <w:rPr>
          <w:vertAlign w:val="subscript"/>
        </w:rPr>
        <w:t>2</w:t>
      </w:r>
      <w:r w:rsidRPr="00A428C3">
        <w:rPr>
          <w:vertAlign w:val="superscript"/>
        </w:rPr>
        <w:t>2+</w:t>
      </w:r>
      <w:r w:rsidRPr="00A428C3">
        <w:t xml:space="preserve"> was achieved at pH &lt; 2. This was explained by the ability of Hg</w:t>
      </w:r>
      <w:r w:rsidRPr="00A428C3">
        <w:rPr>
          <w:vertAlign w:val="superscript"/>
        </w:rPr>
        <w:t>2+</w:t>
      </w:r>
      <w:r w:rsidRPr="00A428C3">
        <w:t xml:space="preserve"> to adsorb on chitosan resin through ion-exchange in the acidic media while UO</w:t>
      </w:r>
      <w:r w:rsidRPr="00A428C3">
        <w:rPr>
          <w:vertAlign w:val="subscript"/>
        </w:rPr>
        <w:t>2</w:t>
      </w:r>
      <w:r w:rsidRPr="00A428C3">
        <w:rPr>
          <w:vertAlign w:val="superscript"/>
        </w:rPr>
        <w:t>2+</w:t>
      </w:r>
      <w:r w:rsidRPr="00A428C3">
        <w:t xml:space="preserve"> would not. </w:t>
      </w:r>
      <w:r w:rsidRPr="00A428C3">
        <w:lastRenderedPageBreak/>
        <w:t>Uptake values up to 2.0</w:t>
      </w:r>
      <w:r w:rsidR="00F81221">
        <w:t xml:space="preserve"> and </w:t>
      </w:r>
      <w:r w:rsidRPr="00A428C3">
        <w:t>1.7 mmol/g were reported for Hg</w:t>
      </w:r>
      <w:r w:rsidRPr="00A428C3">
        <w:rPr>
          <w:vertAlign w:val="superscript"/>
        </w:rPr>
        <w:t>2+</w:t>
      </w:r>
      <w:r w:rsidR="00F81221">
        <w:t xml:space="preserve"> and </w:t>
      </w:r>
      <w:r w:rsidRPr="00A428C3">
        <w:t>UO</w:t>
      </w:r>
      <w:r w:rsidRPr="00A428C3">
        <w:rPr>
          <w:vertAlign w:val="subscript"/>
        </w:rPr>
        <w:t>2</w:t>
      </w:r>
      <w:r w:rsidRPr="00A428C3">
        <w:rPr>
          <w:vertAlign w:val="superscript"/>
        </w:rPr>
        <w:t>2+</w:t>
      </w:r>
      <w:r w:rsidRPr="00A428C3">
        <w:t>, respectively, on chitosan/amine. Application of the Langmuir model to the adsorption data indicated a higher binding of Hg</w:t>
      </w:r>
      <w:r w:rsidRPr="00A428C3">
        <w:rPr>
          <w:vertAlign w:val="superscript"/>
        </w:rPr>
        <w:t>2+</w:t>
      </w:r>
      <w:r w:rsidRPr="00A428C3">
        <w:t xml:space="preserve"> to the resin compared to UO</w:t>
      </w:r>
      <w:r w:rsidRPr="00A428C3">
        <w:rPr>
          <w:vertAlign w:val="subscript"/>
        </w:rPr>
        <w:t>2</w:t>
      </w:r>
      <w:r w:rsidRPr="00A428C3">
        <w:rPr>
          <w:vertAlign w:val="superscript"/>
        </w:rPr>
        <w:t>2+</w:t>
      </w:r>
      <w:r w:rsidRPr="00A428C3">
        <w:t>. The adsorbed Hg</w:t>
      </w:r>
      <w:r w:rsidRPr="00A428C3">
        <w:rPr>
          <w:vertAlign w:val="superscript"/>
        </w:rPr>
        <w:t>2+</w:t>
      </w:r>
      <w:r w:rsidRPr="00A428C3">
        <w:t xml:space="preserve"> or UO</w:t>
      </w:r>
      <w:r w:rsidRPr="00A428C3">
        <w:rPr>
          <w:vertAlign w:val="subscript"/>
        </w:rPr>
        <w:t>2</w:t>
      </w:r>
      <w:r w:rsidRPr="00A428C3">
        <w:rPr>
          <w:vertAlign w:val="superscript"/>
        </w:rPr>
        <w:t>2+</w:t>
      </w:r>
      <w:r w:rsidRPr="00A428C3">
        <w:t xml:space="preserve"> on the studied resins was eluted using H</w:t>
      </w:r>
      <w:r w:rsidRPr="00A428C3">
        <w:rPr>
          <w:vertAlign w:val="subscript"/>
        </w:rPr>
        <w:t>2</w:t>
      </w:r>
      <w:r w:rsidRPr="00A428C3">
        <w:t>SO</w:t>
      </w:r>
      <w:r w:rsidRPr="00A428C3">
        <w:rPr>
          <w:vertAlign w:val="subscript"/>
        </w:rPr>
        <w:t>4</w:t>
      </w:r>
      <w:r w:rsidR="00F81221">
        <w:t xml:space="preserve"> and </w:t>
      </w:r>
      <w:r w:rsidRPr="00A428C3">
        <w:t>HCl, respectively.</w:t>
      </w:r>
    </w:p>
    <w:p w:rsidR="00B95188" w:rsidRPr="00A428C3" w:rsidRDefault="00B95188" w:rsidP="00735710">
      <w:pPr>
        <w:pStyle w:val="a0"/>
      </w:pPr>
      <w:r w:rsidRPr="00A428C3">
        <w:t>Keywords: Chitosan, Mercury,Uranium, Resin, Chelating</w:t>
      </w:r>
    </w:p>
    <w:p w:rsidR="00B95188" w:rsidRPr="00A428C3" w:rsidRDefault="00B95188" w:rsidP="00B95188">
      <w:pPr>
        <w:pStyle w:val="a0"/>
      </w:pPr>
      <w:r w:rsidRPr="00A428C3">
        <w:t>? Atia, A.A. (</w:t>
      </w:r>
      <w:r w:rsidRPr="00A428C3">
        <w:rPr>
          <w:iCs/>
        </w:rPr>
        <w:t>2005</w:t>
      </w:r>
      <w:r w:rsidRPr="00A428C3">
        <w:t>), Adsorption of silver(I)</w:t>
      </w:r>
      <w:r w:rsidR="00F81221">
        <w:t xml:space="preserve"> and </w:t>
      </w:r>
      <w:r w:rsidRPr="00A428C3">
        <w:t>gold(III) on resins derived from bisthiourea</w:t>
      </w:r>
      <w:r w:rsidR="00F81221">
        <w:t xml:space="preserve"> and </w:t>
      </w:r>
      <w:r w:rsidRPr="00A428C3">
        <w:t xml:space="preserve">application to retrieval of silver ions from processed photo films. </w:t>
      </w:r>
      <w:r w:rsidRPr="00A428C3">
        <w:rPr>
          <w:i/>
        </w:rPr>
        <w:t>Hydrometallurgy</w:t>
      </w:r>
      <w:r w:rsidRPr="00A428C3">
        <w:t xml:space="preserve">, </w:t>
      </w:r>
      <w:r w:rsidRPr="00A428C3">
        <w:rPr>
          <w:b/>
        </w:rPr>
        <w:t>80</w:t>
      </w:r>
      <w:r w:rsidRPr="00A428C3">
        <w:t xml:space="preserve"> (1-2), </w:t>
      </w:r>
      <w:r w:rsidRPr="00A428C3">
        <w:rPr>
          <w:iCs/>
        </w:rPr>
        <w:t>98-106</w:t>
      </w:r>
      <w:r w:rsidRPr="00A428C3">
        <w:t>.</w:t>
      </w:r>
    </w:p>
    <w:p w:rsidR="00B95188" w:rsidRPr="00A428C3" w:rsidRDefault="00B95188" w:rsidP="00735710">
      <w:pPr>
        <w:pStyle w:val="a0"/>
      </w:pPr>
      <w:r w:rsidRPr="00A428C3">
        <w:t xml:space="preserve">Full Text: </w:t>
      </w:r>
      <w:hyperlink r:id="rId786" w:history="1">
        <w:r w:rsidRPr="00A428C3">
          <w:rPr>
            <w:rStyle w:val="a5"/>
          </w:rPr>
          <w:t>2005\Hydrometallurgy80, 98.pdf</w:t>
        </w:r>
      </w:hyperlink>
    </w:p>
    <w:p w:rsidR="00B95188" w:rsidRPr="00A428C3" w:rsidRDefault="00B95188" w:rsidP="00B95188">
      <w:pPr>
        <w:pStyle w:val="a0"/>
      </w:pPr>
      <w:r w:rsidRPr="00A428C3">
        <w:t>Abstract: Various resins were synthesized through polymerization of bisthiourea (BS) with formaldehyde at different molar ratios. The uptake behaviour of the resins towards Ag(I)</w:t>
      </w:r>
      <w:r w:rsidR="00F81221">
        <w:t xml:space="preserve"> and </w:t>
      </w:r>
      <w:r w:rsidRPr="00A428C3">
        <w:t>Au(III) from their aqueous solutions was studied. The results showed that the total uptake of both Ag(I)</w:t>
      </w:r>
      <w:r w:rsidR="00F81221">
        <w:t xml:space="preserve"> and </w:t>
      </w:r>
      <w:r w:rsidRPr="00A428C3">
        <w:t>Au(III) increases as the content of bisthiourea in the matrix increases. The resin synthesized from a 2:1 mixture of bisthiourea</w:t>
      </w:r>
      <w:r w:rsidR="00F81221">
        <w:t xml:space="preserve"> and </w:t>
      </w:r>
      <w:r w:rsidRPr="00A428C3">
        <w:t>formaldehyde showed maximum uptake capacity of 8.25</w:t>
      </w:r>
      <w:r w:rsidR="00F81221">
        <w:t xml:space="preserve"> and </w:t>
      </w:r>
      <w:r w:rsidRPr="00A428C3">
        <w:t>3.63 mmol/g for Ag(I)</w:t>
      </w:r>
      <w:r w:rsidR="00F81221">
        <w:t xml:space="preserve"> and </w:t>
      </w:r>
      <w:r w:rsidRPr="00A428C3">
        <w:t>Au(III), respectively. The adsorption data were interpreted based on the metal ion species formed at different pHs</w:t>
      </w:r>
      <w:r w:rsidR="00F81221">
        <w:t xml:space="preserve"> and </w:t>
      </w:r>
      <w:r w:rsidRPr="00A428C3">
        <w:t>from the data on surface charge of the resin obtained from zeta potential measurements. The adsorption of Ag(I)</w:t>
      </w:r>
      <w:r w:rsidR="00F81221">
        <w:t xml:space="preserve"> and </w:t>
      </w:r>
      <w:r w:rsidRPr="00A428C3">
        <w:t>Au(III) on the resin followed the Langmuir model</w:t>
      </w:r>
      <w:r w:rsidR="00F81221">
        <w:t xml:space="preserve"> and </w:t>
      </w:r>
      <w:r w:rsidRPr="00A428C3">
        <w:t>the adsorption parameters were calculated. The resin showed noticeably higher efficiency compared with commercial resins towards the recovery of silver from processed photo films.</w:t>
      </w:r>
    </w:p>
    <w:p w:rsidR="00B95188" w:rsidRPr="00A428C3" w:rsidRDefault="00B95188" w:rsidP="00B95188">
      <w:pPr>
        <w:pStyle w:val="a0"/>
      </w:pPr>
      <w:r w:rsidRPr="00A428C3">
        <w:t>Keywords: Silver, Gold, Resin, Bisthiourea, Recovery, Photo Films</w:t>
      </w:r>
    </w:p>
    <w:p w:rsidR="00B95188" w:rsidRPr="00A428C3" w:rsidRDefault="00B95188" w:rsidP="00B95188">
      <w:pPr>
        <w:pStyle w:val="a0"/>
      </w:pPr>
      <w:r w:rsidRPr="00A428C3">
        <w:t>? Pagnanelli, F., Mainelli, S.</w:t>
      </w:r>
      <w:r w:rsidR="00F81221">
        <w:t xml:space="preserve"> and </w:t>
      </w:r>
      <w:r w:rsidRPr="00A428C3">
        <w:t>Toro, L. (</w:t>
      </w:r>
      <w:r w:rsidRPr="00A428C3">
        <w:rPr>
          <w:iCs/>
        </w:rPr>
        <w:t>2005</w:t>
      </w:r>
      <w:r w:rsidRPr="00A428C3">
        <w:t>), Optimisation</w:t>
      </w:r>
      <w:r w:rsidR="00F81221">
        <w:t xml:space="preserve"> and </w:t>
      </w:r>
      <w:r w:rsidRPr="00A428C3">
        <w:t xml:space="preserve">validation of mechanistic models for heavy metal bio-sorption onto a natural biomass. </w:t>
      </w:r>
      <w:r w:rsidRPr="00A428C3">
        <w:rPr>
          <w:i/>
        </w:rPr>
        <w:t>Hydrometallurgy</w:t>
      </w:r>
      <w:r w:rsidRPr="00A428C3">
        <w:t xml:space="preserve">, </w:t>
      </w:r>
      <w:r w:rsidRPr="00A428C3">
        <w:rPr>
          <w:b/>
        </w:rPr>
        <w:t>80</w:t>
      </w:r>
      <w:r w:rsidRPr="00A428C3">
        <w:t xml:space="preserve"> (1-2), </w:t>
      </w:r>
      <w:r w:rsidRPr="00A428C3">
        <w:rPr>
          <w:iCs/>
        </w:rPr>
        <w:t>107-125</w:t>
      </w:r>
      <w:r w:rsidRPr="00A428C3">
        <w:t>.</w:t>
      </w:r>
    </w:p>
    <w:p w:rsidR="00B95188" w:rsidRPr="00A428C3" w:rsidRDefault="00B95188" w:rsidP="00735710">
      <w:pPr>
        <w:pStyle w:val="a0"/>
      </w:pPr>
      <w:r w:rsidRPr="00A428C3">
        <w:t xml:space="preserve">Full Text: </w:t>
      </w:r>
      <w:hyperlink r:id="rId787" w:history="1">
        <w:r w:rsidRPr="00A428C3">
          <w:rPr>
            <w:rStyle w:val="a5"/>
          </w:rPr>
          <w:t>2005\Hydrometallurgy80, 107.pdf</w:t>
        </w:r>
      </w:hyperlink>
    </w:p>
    <w:p w:rsidR="00B95188" w:rsidRPr="00A428C3" w:rsidRDefault="00B95188" w:rsidP="00B95188">
      <w:pPr>
        <w:pStyle w:val="a0"/>
      </w:pPr>
      <w:r w:rsidRPr="00A428C3">
        <w:t>Abstract: A methodological approach for validation, optimization</w:t>
      </w:r>
      <w:r w:rsidR="00F81221">
        <w:t xml:space="preserve"> and </w:t>
      </w:r>
      <w:r w:rsidRPr="00A428C3">
        <w:t>lumping of mechanistic models for heavy metal sorption onto composite natural matrices is proposed. It follows a previously developed mechanistic model for biosorption onto olive pomace, based on potentiometric titrations</w:t>
      </w:r>
      <w:r w:rsidR="00F81221">
        <w:t xml:space="preserve"> and </w:t>
      </w:r>
      <w:r w:rsidRPr="00A428C3">
        <w:t>Cu, Pb</w:t>
      </w:r>
      <w:r w:rsidR="00F81221">
        <w:t xml:space="preserve"> and </w:t>
      </w:r>
      <w:r w:rsidRPr="00A428C3">
        <w:t>Cd sorption tests at different pH. This model assumes two main kinds of active sites (carboxylic</w:t>
      </w:r>
      <w:r w:rsidR="00F81221">
        <w:t xml:space="preserve"> and </w:t>
      </w:r>
      <w:r w:rsidRPr="00A428C3">
        <w:t>phenolic groups)</w:t>
      </w:r>
      <w:r w:rsidR="00F81221">
        <w:t xml:space="preserve"> and </w:t>
      </w:r>
      <w:r w:rsidRPr="00A428C3">
        <w:t>three surface complexation reactions among these sites</w:t>
      </w:r>
      <w:r w:rsidR="00F81221">
        <w:t xml:space="preserve"> and </w:t>
      </w:r>
      <w:r w:rsidRPr="00A428C3">
        <w:t>metallic species in solution. It is able to represent the biosorption of Cu, Cd</w:t>
      </w:r>
      <w:r w:rsidR="00F81221">
        <w:t xml:space="preserve"> and </w:t>
      </w:r>
      <w:r w:rsidRPr="00A428C3">
        <w:t>Pb according to a general-validity reaction scheme in both acid</w:t>
      </w:r>
      <w:r w:rsidR="00F81221">
        <w:t xml:space="preserve"> and </w:t>
      </w:r>
      <w:r w:rsidRPr="00A428C3">
        <w:t>basic pH ranges. The identification of the most significant contributions of surface complexes by model simulations, along with sensitivity analysis oriented towards a lumped model, assumes one kind of active site (carboxylic)</w:t>
      </w:r>
      <w:r w:rsidR="00F81221">
        <w:t xml:space="preserve"> and </w:t>
      </w:r>
      <w:r w:rsidRPr="00A428C3">
        <w:t xml:space="preserve">two complexation reactions occurring in the pH 3-5 range. Simultaneous regression of titration data, first </w:t>
      </w:r>
      <w:r w:rsidRPr="00A428C3">
        <w:lastRenderedPageBreak/>
        <w:t>derivative plot of titration,</w:t>
      </w:r>
      <w:r w:rsidR="00F81221">
        <w:t xml:space="preserve"> and </w:t>
      </w:r>
      <w:r w:rsidRPr="00A428C3">
        <w:t>sorption data according to this lumped model, allow an improvement of experimental data representation by using a reduced number of parameters (i.e. model discrimination by statistical analysis). Contributions of surface complexes</w:t>
      </w:r>
      <w:r w:rsidR="00F81221">
        <w:t xml:space="preserve"> and </w:t>
      </w:r>
      <w:r w:rsidRPr="00A428C3">
        <w:t>sensitivity analysis show that all the assumed reactions of this lumped model are significant</w:t>
      </w:r>
      <w:r w:rsidR="00F81221">
        <w:t xml:space="preserve"> and </w:t>
      </w:r>
      <w:r w:rsidRPr="00A428C3">
        <w:t>necessary to represent biosorption of Cu, Cd</w:t>
      </w:r>
      <w:r w:rsidR="00F81221">
        <w:t xml:space="preserve"> and </w:t>
      </w:r>
      <w:r w:rsidRPr="00A428C3">
        <w:t>Pb in pH range 3-5. (c) 2005 Elsevier B.V. All rights reserved.</w:t>
      </w:r>
    </w:p>
    <w:p w:rsidR="00B95188" w:rsidRPr="00A428C3" w:rsidRDefault="00B95188" w:rsidP="00B95188">
      <w:pPr>
        <w:pStyle w:val="a0"/>
      </w:pPr>
      <w:r w:rsidRPr="00A428C3">
        <w:t>Keywords: Biosorption, Heavy Metals, Copper, Cadmium, Lead, Mechanistic Models, Olive Pomace, Ion-Binding, Adsorption Models, Olive Pomace, Competitive Adsorption, Heterogeneous Surfaces, Sphaerotilus-Natans, Aqueous-Solutions, Humic Substances, Organic-Matter, Solid Residues</w:t>
      </w:r>
    </w:p>
    <w:p w:rsidR="00B95188" w:rsidRPr="00A428C3" w:rsidRDefault="00B95188" w:rsidP="00B95188">
      <w:pPr>
        <w:pStyle w:val="a0"/>
      </w:pPr>
      <w:r w:rsidRPr="00A428C3">
        <w:t>? Hammy, F., Mercier, G.</w:t>
      </w:r>
      <w:r w:rsidR="00F81221">
        <w:t xml:space="preserve"> and </w:t>
      </w:r>
      <w:r w:rsidRPr="00A428C3">
        <w:t>Blais, J.F. (</w:t>
      </w:r>
      <w:r w:rsidRPr="00A428C3">
        <w:rPr>
          <w:iCs/>
        </w:rPr>
        <w:t>2005</w:t>
      </w:r>
      <w:r w:rsidRPr="00A428C3">
        <w:t xml:space="preserve">), Removal of lead in APCR leachates from municipal solid waste incinerator using peat moss in a batch counter-current sorption process. </w:t>
      </w:r>
      <w:r w:rsidRPr="00A428C3">
        <w:rPr>
          <w:i/>
        </w:rPr>
        <w:t>Hydrometallurgy</w:t>
      </w:r>
      <w:r w:rsidRPr="00A428C3">
        <w:t xml:space="preserve">, </w:t>
      </w:r>
      <w:r w:rsidRPr="00A428C3">
        <w:rPr>
          <w:b/>
        </w:rPr>
        <w:t>80</w:t>
      </w:r>
      <w:r w:rsidRPr="00A428C3">
        <w:t xml:space="preserve"> (4), </w:t>
      </w:r>
      <w:r w:rsidRPr="00A428C3">
        <w:rPr>
          <w:iCs/>
        </w:rPr>
        <w:t>232-240</w:t>
      </w:r>
      <w:r w:rsidRPr="00A428C3">
        <w:t>.</w:t>
      </w:r>
    </w:p>
    <w:p w:rsidR="00B95188" w:rsidRPr="00A428C3" w:rsidRDefault="00B95188" w:rsidP="00735710">
      <w:pPr>
        <w:pStyle w:val="a0"/>
      </w:pPr>
      <w:r w:rsidRPr="00A428C3">
        <w:t xml:space="preserve">Full Text: </w:t>
      </w:r>
      <w:hyperlink r:id="rId788" w:history="1">
        <w:r w:rsidRPr="00A428C3">
          <w:rPr>
            <w:rStyle w:val="a5"/>
          </w:rPr>
          <w:t>2005\Hydrometallurgy80, 232.pdf</w:t>
        </w:r>
      </w:hyperlink>
    </w:p>
    <w:p w:rsidR="00B95188" w:rsidRPr="00A428C3" w:rsidRDefault="00B95188" w:rsidP="00B95188">
      <w:pPr>
        <w:pStyle w:val="a0"/>
      </w:pPr>
      <w:r w:rsidRPr="00A428C3">
        <w:t>Abstract: Air pollution control residues (APCR) resulting from municipal solid wastes (MSW) are most often classified as hazardous waste. A treatment process employing aqueous</w:t>
      </w:r>
      <w:r w:rsidR="00F81221">
        <w:t xml:space="preserve"> and </w:t>
      </w:r>
      <w:r w:rsidRPr="00A428C3">
        <w:t>alkaline leaching was developed to extract Pb, the principal contaminant found in these residues. This treatment process generates highly alkaline (pH between 11.3</w:t>
      </w:r>
      <w:r w:rsidR="00F81221">
        <w:t xml:space="preserve"> and </w:t>
      </w:r>
      <w:r w:rsidRPr="00A428C3">
        <w:t>12.5)</w:t>
      </w:r>
      <w:r w:rsidR="00F81221">
        <w:t xml:space="preserve"> and </w:t>
      </w:r>
      <w:r w:rsidRPr="00A428C3">
        <w:t>Pb-loaded effluent. The objective of this study was to evaluate the potential of a counter-current sorption process (CCSP) for Pb using peat moss (PM) in order to treat leachates emanating from diverse types of APCR (used lime, electrofilter ash</w:t>
      </w:r>
      <w:r w:rsidR="00F81221">
        <w:t xml:space="preserve"> and </w:t>
      </w:r>
      <w:r w:rsidRPr="00A428C3">
        <w:t xml:space="preserve">boiler ash). Results have shown that the CCSP process diminishes the quantity of PM required to treat these effluents by a factor of 4. Thus, a concentration of </w:t>
      </w:r>
      <w:smartTag w:uri="urn:schemas-microsoft-com:office:smarttags" w:element="chmetcnv">
        <w:smartTagPr>
          <w:attr w:name="TCSC" w:val="0"/>
          <w:attr w:name="NumberType" w:val="1"/>
          <w:attr w:name="Negative" w:val="False"/>
          <w:attr w:name="HasSpace" w:val="True"/>
          <w:attr w:name="SourceValue" w:val="4"/>
          <w:attr w:name="UnitName" w:val="g"/>
        </w:smartTagPr>
        <w:r w:rsidRPr="00A428C3">
          <w:t>4 g</w:t>
        </w:r>
      </w:smartTag>
      <w:r w:rsidRPr="00A428C3">
        <w:t xml:space="preserve"> PM/L is sufficient to lower the initial Pb concentration in used lime leachate from approximately 150 mg/L to less than 0.5 mg/L. By reusing treated effluent for additional leaching</w:t>
      </w:r>
      <w:r w:rsidR="00F81221">
        <w:t xml:space="preserve"> and </w:t>
      </w:r>
      <w:r w:rsidRPr="00A428C3">
        <w:t>sorption cycles, our research has also shown that the quantity of water consumed during the treatment process can be reduced by 50%. Lastly, considering both the low cost of acquiring PM</w:t>
      </w:r>
      <w:r w:rsidR="00F81221">
        <w:t xml:space="preserve"> and </w:t>
      </w:r>
      <w:r w:rsidRPr="00A428C3">
        <w:t>managing saturated adsorbents, in addition to the efficient recuperation of Pb, the CCSP process has great potential for full-scale use.</w:t>
      </w:r>
    </w:p>
    <w:p w:rsidR="00B95188" w:rsidRPr="00A428C3" w:rsidRDefault="00B95188" w:rsidP="00B95188">
      <w:pPr>
        <w:pStyle w:val="a0"/>
      </w:pPr>
      <w:r w:rsidRPr="00A428C3">
        <w:t>Keywords: Sorption, Peat Moss, Heavy Metals, Lead, Ash, APCR, Effluent, Remo</w:t>
      </w:r>
    </w:p>
    <w:p w:rsidR="00B95188" w:rsidRPr="00A428C3" w:rsidRDefault="00B95188" w:rsidP="00B95188">
      <w:pPr>
        <w:pStyle w:val="a0"/>
      </w:pPr>
      <w:r w:rsidRPr="00A428C3">
        <w:t>? Rane, M.V., Sadanandam, R., Bhattacharya, K., Tangri, S.K.</w:t>
      </w:r>
      <w:r w:rsidR="00F81221">
        <w:t xml:space="preserve"> and </w:t>
      </w:r>
      <w:r w:rsidRPr="00A428C3">
        <w:t>Suri, A.K. (</w:t>
      </w:r>
      <w:r w:rsidRPr="00A428C3">
        <w:rPr>
          <w:iCs/>
        </w:rPr>
        <w:t>2006</w:t>
      </w:r>
      <w:r w:rsidRPr="00A428C3">
        <w:t>), Use of mixed-metals isotherm</w:t>
      </w:r>
      <w:r w:rsidR="00F81221">
        <w:t xml:space="preserve"> and </w:t>
      </w:r>
      <w:r w:rsidRPr="00A428C3">
        <w:t>log–log McCabe Thiele</w:t>
      </w:r>
      <w:r w:rsidR="000352E7">
        <w:t>’</w:t>
      </w:r>
      <w:r w:rsidRPr="00A428C3">
        <w:t xml:space="preserve">s diagram in solvent extraction—A case study. </w:t>
      </w:r>
      <w:r w:rsidRPr="00A428C3">
        <w:rPr>
          <w:i/>
        </w:rPr>
        <w:t>Hydrometallurgy</w:t>
      </w:r>
      <w:r w:rsidRPr="00A428C3">
        <w:t xml:space="preserve">, </w:t>
      </w:r>
      <w:r w:rsidRPr="00A428C3">
        <w:rPr>
          <w:b/>
        </w:rPr>
        <w:t>81</w:t>
      </w:r>
      <w:r w:rsidRPr="00A428C3">
        <w:t xml:space="preserve"> (1), 1-8.</w:t>
      </w:r>
    </w:p>
    <w:p w:rsidR="00B95188" w:rsidRPr="00A428C3" w:rsidRDefault="00B95188" w:rsidP="00735710">
      <w:pPr>
        <w:pStyle w:val="a0"/>
      </w:pPr>
      <w:r w:rsidRPr="00A428C3">
        <w:t xml:space="preserve">Full Text: </w:t>
      </w:r>
      <w:hyperlink r:id="rId789" w:history="1">
        <w:r w:rsidRPr="00A428C3">
          <w:rPr>
            <w:rStyle w:val="a5"/>
          </w:rPr>
          <w:t>2006\Hydrometallurgy80, 1.pdf</w:t>
        </w:r>
      </w:hyperlink>
    </w:p>
    <w:p w:rsidR="00B95188" w:rsidRPr="00A428C3" w:rsidRDefault="00B95188" w:rsidP="00B95188">
      <w:pPr>
        <w:pStyle w:val="a0"/>
      </w:pPr>
      <w:r w:rsidRPr="00A428C3">
        <w:t>Abstract: Nickel</w:t>
      </w:r>
      <w:r w:rsidR="00F81221">
        <w:t xml:space="preserve"> and </w:t>
      </w:r>
      <w:r w:rsidRPr="00A428C3">
        <w:t xml:space="preserve">cobalt are invariably associated with other transition element impurities like copper, zinc, iron, etc. It is essential to remove these impurities in order to attain the high standards of purity required for specific applications. Solvent extraction is a well-tested route for this purpose. The present paper describes the </w:t>
      </w:r>
      <w:r w:rsidRPr="00A428C3">
        <w:lastRenderedPageBreak/>
        <w:t>application of two novel concepts, viz. mixed-metals isotherm</w:t>
      </w:r>
      <w:r w:rsidR="00F81221">
        <w:t xml:space="preserve"> and </w:t>
      </w:r>
      <w:r w:rsidRPr="00A428C3">
        <w:t>log–log McCabe Thiele</w:t>
      </w:r>
      <w:r w:rsidR="000352E7">
        <w:t>’</w:t>
      </w:r>
      <w:r w:rsidRPr="00A428C3">
        <w:t xml:space="preserve">s (MT) diagram in solvent extraction. Mixed-metals isotherms can be applied to a system in which two metal ions compete for a single extractant. If these two metal ions are required to be extracted as a group, mixed-metals isotherms can precisely predict their behavior. </w:t>
      </w:r>
      <w:smartTag w:uri="urn:schemas-microsoft-com:office:smarttags" w:element="place">
        <w:smartTag w:uri="urn:schemas-microsoft-com:office:smarttags" w:element="City">
          <w:r w:rsidRPr="00A428C3">
            <w:t>Log–log</w:t>
          </w:r>
        </w:smartTag>
        <w:r w:rsidRPr="00A428C3">
          <w:t xml:space="preserve"> </w:t>
        </w:r>
        <w:smartTag w:uri="urn:schemas-microsoft-com:office:smarttags" w:element="State">
          <w:r w:rsidRPr="00A428C3">
            <w:t>MT</w:t>
          </w:r>
        </w:smartTag>
      </w:smartTag>
      <w:r w:rsidRPr="00A428C3">
        <w:t xml:space="preserve"> diagrams are useful in determining the requirement of the number of stages in counter current extraction, especially when the feed</w:t>
      </w:r>
      <w:r w:rsidR="00F81221">
        <w:t xml:space="preserve"> and </w:t>
      </w:r>
      <w:r w:rsidRPr="00A428C3">
        <w:t>raffinate concentrations differ by several orders of magnitude. The two concepts have been successfully applied to develop a process for the separation of high purity cobalt</w:t>
      </w:r>
      <w:r w:rsidR="00F81221">
        <w:t xml:space="preserve"> and </w:t>
      </w:r>
      <w:r w:rsidRPr="00A428C3">
        <w:t>nickel from ocean nodules leach liquor.</w:t>
      </w:r>
    </w:p>
    <w:p w:rsidR="00B95188" w:rsidRPr="00A428C3" w:rsidRDefault="00B95188" w:rsidP="00B95188">
      <w:pPr>
        <w:pStyle w:val="a0"/>
      </w:pPr>
      <w:r w:rsidRPr="00A428C3">
        <w:t>Keywords: Mixed-Metals Isotherm, Log–Log McCabe Thiele</w:t>
      </w:r>
      <w:r w:rsidR="000352E7">
        <w:t>’</w:t>
      </w:r>
      <w:r w:rsidRPr="00A428C3">
        <w:t>s Diagram, Ocean Nodules, Copper, Zinc, Cobalt, Nickel, DEHPA, PC</w:t>
      </w:r>
      <w:smartTag w:uri="urn:schemas-microsoft-com:office:smarttags" w:element="chmetcnv">
        <w:smartTagPr>
          <w:attr w:name="TCSC" w:val="0"/>
          <w:attr w:name="NumberType" w:val="1"/>
          <w:attr w:name="Negative" w:val="True"/>
          <w:attr w:name="HasSpace" w:val="False"/>
          <w:attr w:name="SourceValue" w:val="88"/>
          <w:attr w:name="UnitName" w:val="a"/>
        </w:smartTagPr>
        <w:r w:rsidRPr="00A428C3">
          <w:t>-88A</w:t>
        </w:r>
      </w:smartTag>
      <w:r w:rsidRPr="00A428C3">
        <w:t>, Solvent Extraction</w:t>
      </w:r>
    </w:p>
    <w:p w:rsidR="00B95188" w:rsidRPr="00A428C3" w:rsidRDefault="00B95188" w:rsidP="00B95188">
      <w:pPr>
        <w:pStyle w:val="a0"/>
      </w:pPr>
      <w:r w:rsidRPr="00A428C3">
        <w:t>? Ubaldini, S., Massidda, R., Vegliò, F.</w:t>
      </w:r>
      <w:r w:rsidR="00F81221">
        <w:t xml:space="preserve"> and </w:t>
      </w:r>
      <w:r w:rsidRPr="00A428C3">
        <w:t>Beolchini, F. (</w:t>
      </w:r>
      <w:r w:rsidRPr="00A428C3">
        <w:rPr>
          <w:iCs/>
        </w:rPr>
        <w:t>2006</w:t>
      </w:r>
      <w:r w:rsidRPr="00A428C3">
        <w:t>), Gold stripping by hydro-alcoholic solutions from activated carbon: Experimental results</w:t>
      </w:r>
      <w:r w:rsidR="00F81221">
        <w:t xml:space="preserve"> and </w:t>
      </w:r>
      <w:r w:rsidRPr="00A428C3">
        <w:t xml:space="preserve">data analysis by a semi-empirical model. </w:t>
      </w:r>
      <w:r w:rsidRPr="00A428C3">
        <w:rPr>
          <w:i/>
        </w:rPr>
        <w:t>Hydrometallurgy</w:t>
      </w:r>
      <w:r w:rsidRPr="00A428C3">
        <w:t xml:space="preserve">, </w:t>
      </w:r>
      <w:r w:rsidRPr="00A428C3">
        <w:rPr>
          <w:b/>
        </w:rPr>
        <w:t>81</w:t>
      </w:r>
      <w:r w:rsidRPr="00A428C3">
        <w:t xml:space="preserve"> (1), 40-44.</w:t>
      </w:r>
    </w:p>
    <w:p w:rsidR="00B95188" w:rsidRPr="00A428C3" w:rsidRDefault="00B95188" w:rsidP="00735710">
      <w:pPr>
        <w:pStyle w:val="a0"/>
      </w:pPr>
      <w:r w:rsidRPr="00A428C3">
        <w:t xml:space="preserve">Full Text: </w:t>
      </w:r>
      <w:hyperlink r:id="rId790" w:history="1">
        <w:r w:rsidRPr="00A428C3">
          <w:rPr>
            <w:rStyle w:val="a5"/>
          </w:rPr>
          <w:t>2006\Hydrometallurgy80, 40.pdf</w:t>
        </w:r>
      </w:hyperlink>
    </w:p>
    <w:p w:rsidR="00B95188" w:rsidRPr="00A428C3" w:rsidRDefault="00B95188" w:rsidP="00B95188">
      <w:pPr>
        <w:pStyle w:val="a0"/>
      </w:pPr>
      <w:r w:rsidRPr="00A13428">
        <w:t>Abstract:</w:t>
      </w:r>
      <w:r w:rsidRPr="00A428C3">
        <w:t xml:space="preserve"> The aim of this work was to study gold stripping from activated carbon using a range of different alcohols (isopropanol, ethanol</w:t>
      </w:r>
      <w:r w:rsidR="00F81221">
        <w:t xml:space="preserve"> and </w:t>
      </w:r>
      <w:r w:rsidRPr="00A428C3">
        <w:t>ethylene glycol). The experimental work was carried out on a laboratory scale, using activa</w:t>
      </w:r>
      <w:r w:rsidR="008A7E71">
        <w:t>ted coconut carbon, at 40 to 80°</w:t>
      </w:r>
      <w:r w:rsidRPr="00A428C3">
        <w:t>C</w:t>
      </w:r>
      <w:r w:rsidR="00F81221">
        <w:t xml:space="preserve"> and </w:t>
      </w:r>
      <w:r w:rsidRPr="00A428C3">
        <w:t>up to 8 h extraction time. Isopropanol was the most rapid eluent with &gt; 98% Au eluted after 1 h at 80</w:t>
      </w:r>
      <w:r w:rsidR="008A7E71">
        <w:t>°</w:t>
      </w:r>
      <w:r w:rsidRPr="00A428C3">
        <w:t>C, ethylene glycol had a similar extraction after 2 h, ethanol was the least effective with 5 h required for &gt; 95% extraction. Interestingly, 77% Au extraction was obtained at 40</w:t>
      </w:r>
      <w:r w:rsidR="008A7E71">
        <w:t>°</w:t>
      </w:r>
      <w:r w:rsidRPr="00A428C3">
        <w:t>C using ethylene glycol.</w:t>
      </w:r>
    </w:p>
    <w:p w:rsidR="00B95188" w:rsidRPr="00A428C3" w:rsidRDefault="00B95188" w:rsidP="00B95188">
      <w:pPr>
        <w:pStyle w:val="a0"/>
      </w:pPr>
      <w:r w:rsidRPr="00A428C3">
        <w:t>A second order semi-empirical model was used to successfully describe the stripping. The activation energies were &gt; 57kJ/mol, indicating that desorption was rate determining. The following order of the estimated kinetic constants has been observed at any investigated temperature: K-isopropanol &gt; K-ethylene (glycol) &gt; K-ethanol indicating that isopropanol was the best organic compound for the gold stripping process among the selected compounds investigated in this work. From a practical viewpoint, the non-flammability of ethylene glycol makes it the most attractive. (c) 2005 Elsevier B.V. All rights reserved.</w:t>
      </w:r>
    </w:p>
    <w:p w:rsidR="00B95188" w:rsidRPr="00A428C3" w:rsidRDefault="00B95188" w:rsidP="00B95188">
      <w:pPr>
        <w:pStyle w:val="a0"/>
      </w:pPr>
      <w:r w:rsidRPr="00A13428">
        <w:t>Keywords:</w:t>
      </w:r>
      <w:r w:rsidRPr="00A428C3">
        <w:t xml:space="preserve"> Gold, Extraction, Activated Carbon, Hydro-Alcoholic Solutions, Isopropanol, Ethanol, Ethylene Glycol, Mathematical Model, Stripping Kinetics</w:t>
      </w:r>
      <w:r w:rsidRPr="00A13428">
        <w:t xml:space="preserve">, </w:t>
      </w:r>
      <w:r w:rsidRPr="00A428C3">
        <w:t>Aurocyanide Ion-Pairs, Adsorption, Elution, Extraction, Oxygen</w:t>
      </w:r>
    </w:p>
    <w:p w:rsidR="00B95188" w:rsidRPr="00A428C3" w:rsidRDefault="00B95188" w:rsidP="00B95188">
      <w:pPr>
        <w:pStyle w:val="a0"/>
      </w:pPr>
      <w:r w:rsidRPr="00A428C3">
        <w:t>? Mouflih, M., Aklil, A., Jahroud, N., Gourai, M.</w:t>
      </w:r>
      <w:r w:rsidR="00F81221">
        <w:t xml:space="preserve"> and </w:t>
      </w:r>
      <w:r w:rsidRPr="00A428C3">
        <w:t>Sebti, S. (</w:t>
      </w:r>
      <w:r w:rsidRPr="00A428C3">
        <w:rPr>
          <w:iCs/>
        </w:rPr>
        <w:t>2006</w:t>
      </w:r>
      <w:r w:rsidRPr="00A428C3">
        <w:t xml:space="preserve">), Removal of lead from aqueous solutions by natural phosphate. </w:t>
      </w:r>
      <w:r w:rsidRPr="00A428C3">
        <w:rPr>
          <w:i/>
        </w:rPr>
        <w:t>Hydrometallurgy</w:t>
      </w:r>
      <w:r w:rsidRPr="00A428C3">
        <w:t xml:space="preserve">, </w:t>
      </w:r>
      <w:r w:rsidRPr="00A428C3">
        <w:rPr>
          <w:b/>
        </w:rPr>
        <w:t>81</w:t>
      </w:r>
      <w:r w:rsidRPr="00A428C3">
        <w:t xml:space="preserve"> (3-4), </w:t>
      </w:r>
      <w:r w:rsidRPr="00A428C3">
        <w:rPr>
          <w:iCs/>
        </w:rPr>
        <w:t>219-225</w:t>
      </w:r>
      <w:r w:rsidRPr="00A428C3">
        <w:t>.</w:t>
      </w:r>
    </w:p>
    <w:p w:rsidR="00B95188" w:rsidRPr="00A428C3" w:rsidRDefault="00B95188" w:rsidP="00735710">
      <w:pPr>
        <w:pStyle w:val="a0"/>
      </w:pPr>
      <w:r w:rsidRPr="00A428C3">
        <w:t xml:space="preserve">Full Text: </w:t>
      </w:r>
      <w:hyperlink r:id="rId791" w:history="1">
        <w:r w:rsidRPr="00A428C3">
          <w:rPr>
            <w:rStyle w:val="a5"/>
          </w:rPr>
          <w:t>2006\Hydrometallurgy80, 219.pdf</w:t>
        </w:r>
      </w:hyperlink>
    </w:p>
    <w:p w:rsidR="00B95188" w:rsidRPr="00A428C3" w:rsidRDefault="00B95188" w:rsidP="00B95188">
      <w:pPr>
        <w:pStyle w:val="a0"/>
      </w:pPr>
      <w:r w:rsidRPr="00A428C3">
        <w:t>Abstract: The removal of lead ions from aqueous solution was studied in batch experiments using natural phosphate (NP). The effects of initial concentration of lead</w:t>
      </w:r>
      <w:r w:rsidR="00F81221">
        <w:t xml:space="preserve"> </w:t>
      </w:r>
      <w:r w:rsidR="00F81221">
        <w:lastRenderedPageBreak/>
        <w:t xml:space="preserve">and </w:t>
      </w:r>
      <w:r w:rsidRPr="00A428C3">
        <w:t>initial pH of solution were investigated</w:t>
      </w:r>
      <w:r w:rsidR="00F81221">
        <w:t xml:space="preserve"> and </w:t>
      </w:r>
      <w:r w:rsidRPr="00A428C3">
        <w:t>the mechanism for removal of lead has been suggested. The data obtained from sorption isotherms at different temperatures conformed to the linear form of the Langmuir adsorption equation. The influence of NO</w:t>
      </w:r>
      <w:r w:rsidRPr="00A428C3">
        <w:rPr>
          <w:vertAlign w:val="subscript"/>
        </w:rPr>
        <w:t>3</w:t>
      </w:r>
      <w:r w:rsidRPr="00A428C3">
        <w:rPr>
          <w:vertAlign w:val="superscript"/>
        </w:rPr>
        <w:t>−</w:t>
      </w:r>
      <w:r w:rsidR="00F81221">
        <w:t xml:space="preserve"> and </w:t>
      </w:r>
      <w:r w:rsidRPr="00A428C3">
        <w:t>Cl</w:t>
      </w:r>
      <w:r w:rsidRPr="00A428C3">
        <w:rPr>
          <w:vertAlign w:val="superscript"/>
        </w:rPr>
        <w:t>−</w:t>
      </w:r>
      <w:r w:rsidRPr="00A428C3">
        <w:t xml:space="preserve"> anions has been evaluated. The effect of varying levels of Cl</w:t>
      </w:r>
      <w:r w:rsidRPr="00A428C3">
        <w:rPr>
          <w:vertAlign w:val="superscript"/>
        </w:rPr>
        <w:t>−</w:t>
      </w:r>
      <w:r w:rsidRPr="00A428C3">
        <w:t xml:space="preserve"> has significant influence on the sorption capacity of Pb</w:t>
      </w:r>
      <w:r w:rsidRPr="00A428C3">
        <w:rPr>
          <w:vertAlign w:val="superscript"/>
        </w:rPr>
        <w:t>2+</w:t>
      </w:r>
      <w:r w:rsidRPr="00A428C3">
        <w:t>, while NO</w:t>
      </w:r>
      <w:r w:rsidRPr="00A428C3">
        <w:rPr>
          <w:vertAlign w:val="subscript"/>
        </w:rPr>
        <w:t>3</w:t>
      </w:r>
      <w:r w:rsidRPr="00A428C3">
        <w:rPr>
          <w:vertAlign w:val="superscript"/>
        </w:rPr>
        <w:t>−</w:t>
      </w:r>
      <w:r w:rsidRPr="00A428C3">
        <w:t xml:space="preserve"> did not. The abundance of natural phosphate, its low price</w:t>
      </w:r>
      <w:r w:rsidR="00F81221">
        <w:t xml:space="preserve"> and </w:t>
      </w:r>
      <w:r w:rsidRPr="00A428C3">
        <w:t>non-aggressive nature towards the environment are advantages for its utilization in point of view of wastewater</w:t>
      </w:r>
      <w:r w:rsidR="00F81221">
        <w:t xml:space="preserve"> and </w:t>
      </w:r>
      <w:r w:rsidRPr="00A428C3">
        <w:t>wastes clean up.</w:t>
      </w:r>
    </w:p>
    <w:p w:rsidR="00B95188" w:rsidRPr="00A428C3" w:rsidRDefault="00B95188" w:rsidP="00B95188">
      <w:pPr>
        <w:pStyle w:val="a0"/>
      </w:pPr>
      <w:r w:rsidRPr="00A428C3">
        <w:t>Keywords: Natural Phosphate, Lead Removal, Sorption Isotherms</w:t>
      </w:r>
    </w:p>
    <w:p w:rsidR="00B95188" w:rsidRPr="00A428C3" w:rsidRDefault="00B95188" w:rsidP="00B95188">
      <w:pPr>
        <w:pStyle w:val="a0"/>
      </w:pPr>
      <w:r w:rsidRPr="00A428C3">
        <w:t>? Luna, A.S., da Costa, A.C.A., Henriques, C.A.</w:t>
      </w:r>
      <w:r w:rsidR="00F81221">
        <w:t xml:space="preserve"> and </w:t>
      </w:r>
      <w:r w:rsidRPr="00A428C3">
        <w:t>Herbst, M.H. (2007), Electron paramagnetic resonance</w:t>
      </w:r>
      <w:r w:rsidR="00F81221">
        <w:t xml:space="preserve"> and </w:t>
      </w:r>
      <w:r w:rsidRPr="00A428C3">
        <w:t xml:space="preserve">atomic absorption spectrometry as tools for the investigation of Cu(II) biosorption by </w:t>
      </w:r>
      <w:r w:rsidRPr="00A428C3">
        <w:rPr>
          <w:i/>
        </w:rPr>
        <w:t>Sargassum filipendula</w:t>
      </w:r>
      <w:r w:rsidRPr="00A428C3">
        <w:t xml:space="preserve">. </w:t>
      </w:r>
      <w:r w:rsidRPr="00A428C3">
        <w:rPr>
          <w:i/>
          <w:iCs/>
        </w:rPr>
        <w:t>Hydrometallurgy</w:t>
      </w:r>
      <w:r w:rsidRPr="00A428C3">
        <w:t xml:space="preserve">, </w:t>
      </w:r>
      <w:r w:rsidRPr="00A428C3">
        <w:rPr>
          <w:b/>
        </w:rPr>
        <w:t>86</w:t>
      </w:r>
      <w:r w:rsidRPr="00A428C3">
        <w:t xml:space="preserve"> (1-2), 105-113.</w:t>
      </w:r>
    </w:p>
    <w:p w:rsidR="00B95188" w:rsidRPr="00A428C3" w:rsidRDefault="00B95188" w:rsidP="00735710">
      <w:pPr>
        <w:pStyle w:val="a0"/>
      </w:pPr>
      <w:r w:rsidRPr="00A428C3">
        <w:t xml:space="preserve">Full Text: </w:t>
      </w:r>
      <w:hyperlink r:id="rId792" w:history="1">
        <w:r w:rsidRPr="00A428C3">
          <w:rPr>
            <w:rStyle w:val="a5"/>
          </w:rPr>
          <w:t>2007\Hydrometallurgy86, 105.pdf</w:t>
        </w:r>
      </w:hyperlink>
    </w:p>
    <w:p w:rsidR="00B95188" w:rsidRPr="00A428C3" w:rsidRDefault="00B95188" w:rsidP="00B95188">
      <w:pPr>
        <w:pStyle w:val="a0"/>
      </w:pPr>
      <w:r w:rsidRPr="00A428C3">
        <w:t xml:space="preserve">Abstract: A basic investigation into the removal of copper ions from aqueous solutions by </w:t>
      </w:r>
      <w:r w:rsidRPr="00A428C3">
        <w:rPr>
          <w:i/>
        </w:rPr>
        <w:t>Sargassum filipendula</w:t>
      </w:r>
      <w:r w:rsidRPr="00A428C3">
        <w:t xml:space="preserve"> was conducted in batch conditions. The influence of different experimental parameters such as initial pH, sorption time, equilibrium conditions,</w:t>
      </w:r>
      <w:r w:rsidR="00F81221">
        <w:t xml:space="preserve"> and </w:t>
      </w:r>
      <w:r w:rsidRPr="00A428C3">
        <w:t>initial concentrations of copper ions on copper uptake was evaluated. Results indicated that copper uptake capacity increased from pH 2.0 to 3.0, being constant at pH values 4.0</w:t>
      </w:r>
      <w:r w:rsidR="00F81221">
        <w:t xml:space="preserve"> and </w:t>
      </w:r>
      <w:r w:rsidRPr="00A428C3">
        <w:t>5.0. Electron Paramagnetic Resonance proved to be a useful tool for studying the mechanism involved in copper biosorption by S. filipendula. For initial copper concentrations smaller than 250 mu g mL</w:t>
      </w:r>
      <w:r w:rsidRPr="00A428C3">
        <w:rPr>
          <w:vertAlign w:val="superscript"/>
        </w:rPr>
        <w:t>-1</w:t>
      </w:r>
      <w:r w:rsidRPr="00A428C3">
        <w:t xml:space="preserve"> axial type spectra were obtained, typical of isolated immobilized copper ions,</w:t>
      </w:r>
      <w:r w:rsidR="00F81221">
        <w:t xml:space="preserve"> and </w:t>
      </w:r>
      <w:r w:rsidRPr="00A428C3">
        <w:t>a hyperfine structure was observed (A(parallel to) = 150(2)G, g(parallel to) =2.31 (1)). For initial copper concentrations greater than 250 mu g mL</w:t>
      </w:r>
      <w:r w:rsidRPr="00A428C3">
        <w:rPr>
          <w:vertAlign w:val="superscript"/>
        </w:rPr>
        <w:t>-1</w:t>
      </w:r>
      <w:r w:rsidRPr="00A428C3">
        <w:t>, (q(e)= 53.3 mg g</w:t>
      </w:r>
      <w:r w:rsidRPr="00A428C3">
        <w:rPr>
          <w:vertAlign w:val="superscript"/>
        </w:rPr>
        <w:t>-1</w:t>
      </w:r>
      <w:r w:rsidRPr="00A428C3">
        <w:t>), a distorted line, typical of aggregates, was observed, due to dipole-dipole magnetic interactions. The Langmuir model better represented the sorption process, as compared to the model of Freundlich. The process followed a second-order kinetics,</w:t>
      </w:r>
      <w:r w:rsidR="00F81221">
        <w:t xml:space="preserve"> and </w:t>
      </w:r>
      <w:r w:rsidRPr="00A428C3">
        <w:t>equilibrium was reached after 10 min of contact between the biomass</w:t>
      </w:r>
      <w:r w:rsidR="00F81221">
        <w:t xml:space="preserve"> and </w:t>
      </w:r>
      <w:r w:rsidRPr="00A428C3">
        <w:t>the metal solution. Due to its outstanding copper uptake capacity (1.30 mmol g</w:t>
      </w:r>
      <w:r w:rsidRPr="00A428C3">
        <w:rPr>
          <w:vertAlign w:val="superscript"/>
        </w:rPr>
        <w:t>-1</w:t>
      </w:r>
      <w:r w:rsidRPr="00A428C3">
        <w:t xml:space="preserve"> biomass), S. filipendula proved to be an excellent biomaterial for accumulating</w:t>
      </w:r>
      <w:r w:rsidR="00F81221">
        <w:t xml:space="preserve"> and </w:t>
      </w:r>
      <w:r w:rsidRPr="00A428C3">
        <w:t>recovering copper from industrial solutions. The results show that the biomass has sorption capacities comparable to other biomasses</w:t>
      </w:r>
      <w:r w:rsidR="00F81221">
        <w:t xml:space="preserve"> and </w:t>
      </w:r>
      <w:r w:rsidRPr="00A428C3">
        <w:t>conventional ion-exchange materials. (C) 2006 Elsevier B.V. All rights reserved.</w:t>
      </w:r>
    </w:p>
    <w:p w:rsidR="00B95188" w:rsidRPr="00A428C3" w:rsidRDefault="00B95188" w:rsidP="00B95188">
      <w:pPr>
        <w:pStyle w:val="a0"/>
      </w:pPr>
      <w:r w:rsidRPr="00A428C3">
        <w:t>Keywords: Absorption, Adsorption, Aggregates, Aqueous-Solutions, Biomass, Biosorption, Cadmium(II), Capacity, Concentrations, Copper, Copper Biosorption, Electron Paramagnetic Resonance, Equilibrium, Equilibrium, Freundlich, Industrial, Interactions, Ion Exchange, Ions, Kinetics, Langmuir, Magnetic, Materials, Mechanism, Metal, Model, Parameters</w:t>
      </w:r>
      <w:r>
        <w:t>, pH,</w:t>
      </w:r>
      <w:r w:rsidRPr="00A428C3">
        <w:t xml:space="preserve"> </w:t>
      </w:r>
      <w:r w:rsidR="007E6D06">
        <w:rPr>
          <w:rFonts w:hint="eastAsia"/>
        </w:rPr>
        <w:t>p</w:t>
      </w:r>
      <w:r w:rsidR="007E6D06" w:rsidRPr="00A428C3">
        <w:t xml:space="preserve">H </w:t>
      </w:r>
      <w:r w:rsidRPr="00A428C3">
        <w:t xml:space="preserve">Values, Pretreated Biomass, </w:t>
      </w:r>
      <w:r w:rsidRPr="00A428C3">
        <w:lastRenderedPageBreak/>
        <w:t xml:space="preserve">Removal, </w:t>
      </w:r>
      <w:r w:rsidRPr="00A428C3">
        <w:rPr>
          <w:i/>
        </w:rPr>
        <w:t>Rhizopus-Arrhizus</w:t>
      </w:r>
      <w:r w:rsidRPr="00A428C3">
        <w:t xml:space="preserve">, Sargassum, </w:t>
      </w:r>
      <w:r w:rsidRPr="00A428C3">
        <w:rPr>
          <w:i/>
        </w:rPr>
        <w:t>Sargassum filipendula</w:t>
      </w:r>
      <w:r w:rsidRPr="00A428C3">
        <w:t>, Second-Order Kinetics, Sorption, Spectrometry, Structure, Temperature, Tools, Uptake</w:t>
      </w:r>
    </w:p>
    <w:p w:rsidR="007E6D06" w:rsidRPr="00A428C3" w:rsidRDefault="007E6D06" w:rsidP="007E6D06">
      <w:pPr>
        <w:pStyle w:val="a0"/>
      </w:pPr>
      <w:r w:rsidRPr="00A428C3">
        <w:t xml:space="preserve">? </w:t>
      </w:r>
      <w:r>
        <w:t>Parajuli</w:t>
      </w:r>
      <w:r>
        <w:rPr>
          <w:rFonts w:hint="eastAsia"/>
        </w:rPr>
        <w:t>,</w:t>
      </w:r>
      <w:r>
        <w:t xml:space="preserve"> D</w:t>
      </w:r>
      <w:r>
        <w:rPr>
          <w:rFonts w:hint="eastAsia"/>
        </w:rPr>
        <w:t>.,</w:t>
      </w:r>
      <w:r>
        <w:t xml:space="preserve"> Kawakita</w:t>
      </w:r>
      <w:r>
        <w:rPr>
          <w:rFonts w:hint="eastAsia"/>
        </w:rPr>
        <w:t>,</w:t>
      </w:r>
      <w:r>
        <w:t xml:space="preserve"> H</w:t>
      </w:r>
      <w:r>
        <w:rPr>
          <w:rFonts w:hint="eastAsia"/>
        </w:rPr>
        <w:t>.,</w:t>
      </w:r>
      <w:r>
        <w:t xml:space="preserve"> Inoue</w:t>
      </w:r>
      <w:r>
        <w:rPr>
          <w:rFonts w:hint="eastAsia"/>
        </w:rPr>
        <w:t>,</w:t>
      </w:r>
      <w:r>
        <w:t xml:space="preserve"> K</w:t>
      </w:r>
      <w:r>
        <w:rPr>
          <w:rFonts w:hint="eastAsia"/>
        </w:rPr>
        <w:t>.,</w:t>
      </w:r>
      <w:r>
        <w:t xml:space="preserve"> Ohto</w:t>
      </w:r>
      <w:r>
        <w:rPr>
          <w:rFonts w:hint="eastAsia"/>
        </w:rPr>
        <w:t>,</w:t>
      </w:r>
      <w:r>
        <w:t xml:space="preserve"> K</w:t>
      </w:r>
      <w:r>
        <w:rPr>
          <w:rFonts w:hint="eastAsia"/>
        </w:rPr>
        <w:t>.</w:t>
      </w:r>
      <w:r w:rsidR="00F81221">
        <w:rPr>
          <w:rFonts w:hint="eastAsia"/>
        </w:rPr>
        <w:t xml:space="preserve"> and </w:t>
      </w:r>
      <w:r>
        <w:t>Kajiyama</w:t>
      </w:r>
      <w:r>
        <w:rPr>
          <w:rFonts w:hint="eastAsia"/>
        </w:rPr>
        <w:t>,</w:t>
      </w:r>
      <w:r>
        <w:t xml:space="preserve"> K</w:t>
      </w:r>
      <w:r>
        <w:rPr>
          <w:rFonts w:hint="eastAsia"/>
        </w:rPr>
        <w:t>.</w:t>
      </w:r>
      <w:r w:rsidRPr="00A428C3">
        <w:t xml:space="preserve"> (2007), </w:t>
      </w:r>
      <w:r>
        <w:t>Persimmon peel gel for the selective recovery of gold</w:t>
      </w:r>
      <w:r w:rsidRPr="00A428C3">
        <w:t xml:space="preserve">. </w:t>
      </w:r>
      <w:r w:rsidRPr="00A428C3">
        <w:rPr>
          <w:i/>
          <w:iCs/>
        </w:rPr>
        <w:t>Hydrometallurgy</w:t>
      </w:r>
      <w:r w:rsidRPr="00A428C3">
        <w:t xml:space="preserve">, </w:t>
      </w:r>
      <w:r w:rsidRPr="00A428C3">
        <w:rPr>
          <w:b/>
        </w:rPr>
        <w:t>8</w:t>
      </w:r>
      <w:r>
        <w:rPr>
          <w:rFonts w:hint="eastAsia"/>
          <w:b/>
        </w:rPr>
        <w:t>7</w:t>
      </w:r>
      <w:r w:rsidRPr="00A428C3">
        <w:t xml:space="preserve"> (</w:t>
      </w:r>
      <w:r>
        <w:rPr>
          <w:rFonts w:hint="eastAsia"/>
        </w:rPr>
        <w:t>3-4</w:t>
      </w:r>
      <w:r w:rsidRPr="00A428C3">
        <w:t xml:space="preserve">), </w:t>
      </w:r>
      <w:r>
        <w:t>133-139</w:t>
      </w:r>
      <w:r w:rsidRPr="00A428C3">
        <w:t>.</w:t>
      </w:r>
    </w:p>
    <w:p w:rsidR="007E6D06" w:rsidRDefault="007E6D06" w:rsidP="007E6D06">
      <w:pPr>
        <w:pStyle w:val="a0"/>
      </w:pPr>
      <w:r w:rsidRPr="00A428C3">
        <w:t xml:space="preserve">Full Text: </w:t>
      </w:r>
      <w:hyperlink r:id="rId793" w:history="1">
        <w:r w:rsidRPr="007E6D06">
          <w:rPr>
            <w:rStyle w:val="a5"/>
          </w:rPr>
          <w:t>2007\Hydrometallurgy87, 133.pdf</w:t>
        </w:r>
      </w:hyperlink>
    </w:p>
    <w:p w:rsidR="007E6D06" w:rsidRDefault="007E6D06" w:rsidP="007E6D06">
      <w:pPr>
        <w:pStyle w:val="a0"/>
      </w:pPr>
      <w:r>
        <w:t>Abstract: The use of persimmon peel gel for the recovery of Au(III) from aqueous chloride medium was investigated. By comparing with the adsorption of some other metal ions, the gel was found to be selective only for Au(III). The XRD analysis</w:t>
      </w:r>
      <w:r w:rsidR="00F81221">
        <w:t xml:space="preserve"> and </w:t>
      </w:r>
      <w:r>
        <w:t>the digital micrograph of the get taken after adsorption supported the formation of gold particles during adsorption process. High selectivity</w:t>
      </w:r>
      <w:r w:rsidR="00F81221">
        <w:t xml:space="preserve"> and </w:t>
      </w:r>
      <w:r>
        <w:t>capacity of the gel for Au(III) is associated with the reduction of Au(III) to elemental form. Comparative study of reduction of Au(III) by typical tannin rich materials, green tea</w:t>
      </w:r>
      <w:r w:rsidR="00F81221">
        <w:t xml:space="preserve"> and </w:t>
      </w:r>
      <w:r>
        <w:t>oolong tea,</w:t>
      </w:r>
      <w:r w:rsidR="00F81221">
        <w:t xml:space="preserve"> and </w:t>
      </w:r>
      <w:r>
        <w:t>by various organic acids clarified the involvement of polyphenolic groups in the reduction of Au(III) during adsorption. Innovative use of this novel adsorption gel can fulfill the need of cost effective</w:t>
      </w:r>
      <w:r w:rsidR="00F81221">
        <w:t xml:space="preserve"> and </w:t>
      </w:r>
      <w:r>
        <w:t>environment friendly mean for the recovery of valuable metals. (c) 2007 Elsevier B.V. All rights reserved.</w:t>
      </w:r>
    </w:p>
    <w:p w:rsidR="007E6D06" w:rsidRPr="00A428C3" w:rsidRDefault="007E6D06" w:rsidP="007E6D06">
      <w:pPr>
        <w:pStyle w:val="a0"/>
      </w:pPr>
      <w:r>
        <w:t>Keywords: PP Gel; Polyphenolics; Gold(III), Tannin Gel; Hexavalent Chromium; Condensed-Tannin; Adsorption; Mechanism</w:t>
      </w:r>
    </w:p>
    <w:p w:rsidR="00B95188" w:rsidRPr="00A428C3" w:rsidRDefault="00B95188" w:rsidP="00B95188">
      <w:pPr>
        <w:pStyle w:val="a0"/>
      </w:pPr>
      <w:r w:rsidRPr="00A428C3">
        <w:t>? Donia, A.M.</w:t>
      </w:r>
      <w:r w:rsidRPr="00A428C3">
        <w:rPr>
          <w:szCs w:val="19"/>
        </w:rPr>
        <w:t xml:space="preserve">, </w:t>
      </w:r>
      <w:r w:rsidRPr="00A428C3">
        <w:t>Atia, A.A.</w:t>
      </w:r>
      <w:r w:rsidR="00F81221">
        <w:t xml:space="preserve"> and </w:t>
      </w:r>
      <w:r w:rsidRPr="00A428C3">
        <w:t xml:space="preserve">Elwakeel, K.Z. (2007), </w:t>
      </w:r>
      <w:r w:rsidRPr="00A428C3">
        <w:rPr>
          <w:szCs w:val="19"/>
        </w:rPr>
        <w:t>Recovery of gold(III)</w:t>
      </w:r>
      <w:r w:rsidR="00F81221">
        <w:rPr>
          <w:szCs w:val="19"/>
        </w:rPr>
        <w:t xml:space="preserve"> and </w:t>
      </w:r>
      <w:r w:rsidRPr="00A428C3">
        <w:rPr>
          <w:szCs w:val="19"/>
        </w:rPr>
        <w:t>silver(I) on a chemically modified chitosan with magnetic properties</w:t>
      </w:r>
      <w:r w:rsidRPr="00A428C3">
        <w:t xml:space="preserve">. </w:t>
      </w:r>
      <w:r w:rsidRPr="00A428C3">
        <w:rPr>
          <w:i/>
          <w:iCs/>
        </w:rPr>
        <w:t>Hydrometallurgy</w:t>
      </w:r>
      <w:r w:rsidRPr="00A428C3">
        <w:t xml:space="preserve">, </w:t>
      </w:r>
      <w:r w:rsidRPr="00A428C3">
        <w:rPr>
          <w:b/>
        </w:rPr>
        <w:t>87</w:t>
      </w:r>
      <w:r w:rsidRPr="00A428C3">
        <w:t xml:space="preserve"> (3-4), </w:t>
      </w:r>
      <w:r w:rsidRPr="00A428C3">
        <w:rPr>
          <w:szCs w:val="19"/>
        </w:rPr>
        <w:t>197-206</w:t>
      </w:r>
      <w:r w:rsidRPr="00A428C3">
        <w:t>.</w:t>
      </w:r>
    </w:p>
    <w:p w:rsidR="00B95188" w:rsidRPr="00A428C3" w:rsidRDefault="00B95188" w:rsidP="00735710">
      <w:pPr>
        <w:pStyle w:val="a0"/>
      </w:pPr>
      <w:r w:rsidRPr="00A428C3">
        <w:t xml:space="preserve">Full Text: </w:t>
      </w:r>
      <w:hyperlink r:id="rId794" w:history="1">
        <w:r w:rsidRPr="00A428C3">
          <w:rPr>
            <w:rStyle w:val="a5"/>
          </w:rPr>
          <w:t>2007\Hydrometallurgy87, 197.pdf</w:t>
        </w:r>
      </w:hyperlink>
    </w:p>
    <w:p w:rsidR="00B95188" w:rsidRPr="00A428C3" w:rsidRDefault="00B95188" w:rsidP="00B95188">
      <w:pPr>
        <w:pStyle w:val="a0"/>
      </w:pPr>
      <w:r w:rsidRPr="00A428C3">
        <w:t>Abstract: Chemically modified chitosan resin with magnetic properties has been prepared</w:t>
      </w:r>
      <w:r w:rsidR="00F81221">
        <w:t xml:space="preserve"> and </w:t>
      </w:r>
      <w:r w:rsidRPr="00A428C3">
        <w:t>investigated. The modification process took place through the reaction between chitosan</w:t>
      </w:r>
      <w:r w:rsidR="00F81221">
        <w:t xml:space="preserve"> and </w:t>
      </w:r>
      <w:r w:rsidRPr="00A428C3">
        <w:t>polymeric Schiff</w:t>
      </w:r>
      <w:r w:rsidR="000352E7">
        <w:t>’</w:t>
      </w:r>
      <w:r w:rsidRPr="00A428C3">
        <w:t>s base of thiourea/glutaraldehyde in the presence of magnetite. The resin obtained was tested for the recovery of Au(III)</w:t>
      </w:r>
      <w:r w:rsidR="00F81221">
        <w:t xml:space="preserve"> and </w:t>
      </w:r>
      <w:r w:rsidRPr="00A428C3">
        <w:t>Ag(I) from their aqueous solutions using batch</w:t>
      </w:r>
      <w:r w:rsidR="00F81221">
        <w:t xml:space="preserve"> and </w:t>
      </w:r>
      <w:r w:rsidRPr="00A428C3">
        <w:t>column methods. Uptake values of 3.6</w:t>
      </w:r>
      <w:r w:rsidR="00F81221">
        <w:t xml:space="preserve"> and </w:t>
      </w:r>
      <w:r w:rsidRPr="00A428C3">
        <w:t>2.1 mmol/g were reported for Au(III)</w:t>
      </w:r>
      <w:r w:rsidR="00F81221">
        <w:t xml:space="preserve"> and </w:t>
      </w:r>
      <w:r w:rsidRPr="00A428C3">
        <w:t>Ag(I), respectively. Both kinetics</w:t>
      </w:r>
      <w:r w:rsidR="00F81221">
        <w:t xml:space="preserve"> and </w:t>
      </w:r>
      <w:r w:rsidRPr="00A428C3">
        <w:t>thermodynamic parameters of the adsorption process were obtained. The data indicated that adsorption process is exothermic spontaneous reaction</w:t>
      </w:r>
      <w:r w:rsidR="00F81221">
        <w:t xml:space="preserve"> and </w:t>
      </w:r>
      <w:r w:rsidRPr="00A428C3">
        <w:t>kinetically proceeds according to pseudo second order model. The interaction mechanism between metal ion</w:t>
      </w:r>
      <w:r w:rsidR="00F81221">
        <w:t xml:space="preserve"> and </w:t>
      </w:r>
      <w:r w:rsidRPr="00A428C3">
        <w:t>active sites has been interpreted as ion pair for gold(III)</w:t>
      </w:r>
      <w:r w:rsidR="00F81221">
        <w:t xml:space="preserve"> and </w:t>
      </w:r>
      <w:r w:rsidRPr="00A428C3">
        <w:t>chelation for silver(I). Breakthrough time, critical bed height</w:t>
      </w:r>
      <w:r w:rsidR="00F81221">
        <w:t xml:space="preserve"> and </w:t>
      </w:r>
      <w:r w:rsidRPr="00A428C3">
        <w:t>durability of resin were estimated from column studies. These parameters indicated that the resin has a good efficiency towards Au(III)</w:t>
      </w:r>
      <w:r w:rsidR="00F81221">
        <w:t xml:space="preserve"> and </w:t>
      </w:r>
      <w:r w:rsidRPr="00A428C3">
        <w:t>Ag(I). (c) 2007 Elsevier B.V. All rights reserved.</w:t>
      </w:r>
    </w:p>
    <w:p w:rsidR="00B95188" w:rsidRPr="00A428C3" w:rsidRDefault="00B95188" w:rsidP="00B95188">
      <w:pPr>
        <w:pStyle w:val="a0"/>
      </w:pPr>
      <w:r w:rsidRPr="00A428C3">
        <w:t>Keywords: Chitosan, Magnetic Resins, Gold, Silver, Chelating Resins, Recovery, Alkaline Cyanide Solution, Ion-Exchange-Resins, Piperazine Functionality, Chelating Resins, Gold, Adsorption, Extraction, Particles, Behavior</w:t>
      </w:r>
    </w:p>
    <w:p w:rsidR="00A75FBE" w:rsidRPr="00586CD8" w:rsidRDefault="00A75FBE" w:rsidP="00A75FBE">
      <w:pPr>
        <w:pStyle w:val="a0"/>
        <w:rPr>
          <w:kern w:val="2"/>
        </w:rPr>
      </w:pPr>
      <w:r w:rsidRPr="00586CD8">
        <w:rPr>
          <w:kern w:val="2"/>
        </w:rPr>
        <w:lastRenderedPageBreak/>
        <w:t xml:space="preserve">? </w:t>
      </w:r>
      <w:r>
        <w:t>Souza</w:t>
      </w:r>
      <w:r>
        <w:rPr>
          <w:rFonts w:hint="eastAsia"/>
        </w:rPr>
        <w:t>,</w:t>
      </w:r>
      <w:r>
        <w:t xml:space="preserve"> A</w:t>
      </w:r>
      <w:r>
        <w:rPr>
          <w:rFonts w:hint="eastAsia"/>
        </w:rPr>
        <w:t>.</w:t>
      </w:r>
      <w:r>
        <w:t>D</w:t>
      </w:r>
      <w:r>
        <w:rPr>
          <w:rFonts w:hint="eastAsia"/>
        </w:rPr>
        <w:t>.,</w:t>
      </w:r>
      <w:r>
        <w:t xml:space="preserve"> Pina</w:t>
      </w:r>
      <w:r>
        <w:rPr>
          <w:rFonts w:hint="eastAsia"/>
        </w:rPr>
        <w:t>,</w:t>
      </w:r>
      <w:r>
        <w:t xml:space="preserve"> P</w:t>
      </w:r>
      <w:r>
        <w:rPr>
          <w:rFonts w:hint="eastAsia"/>
        </w:rPr>
        <w:t>.</w:t>
      </w:r>
      <w:r>
        <w:t>S</w:t>
      </w:r>
      <w:r>
        <w:rPr>
          <w:rFonts w:hint="eastAsia"/>
        </w:rPr>
        <w:t>.,</w:t>
      </w:r>
      <w:r>
        <w:t xml:space="preserve"> Leão</w:t>
      </w:r>
      <w:r>
        <w:rPr>
          <w:rFonts w:hint="eastAsia"/>
        </w:rPr>
        <w:t>,</w:t>
      </w:r>
      <w:r>
        <w:t xml:space="preserve"> V</w:t>
      </w:r>
      <w:r>
        <w:rPr>
          <w:rFonts w:hint="eastAsia"/>
        </w:rPr>
        <w:t>.</w:t>
      </w:r>
      <w:r>
        <w:t>A</w:t>
      </w:r>
      <w:r>
        <w:rPr>
          <w:rFonts w:hint="eastAsia"/>
        </w:rPr>
        <w:t>.,</w:t>
      </w:r>
      <w:r>
        <w:t xml:space="preserve"> Silva</w:t>
      </w:r>
      <w:r>
        <w:rPr>
          <w:rFonts w:hint="eastAsia"/>
        </w:rPr>
        <w:t>.</w:t>
      </w:r>
      <w:r>
        <w:t xml:space="preserve"> C</w:t>
      </w:r>
      <w:r>
        <w:rPr>
          <w:rFonts w:hint="eastAsia"/>
        </w:rPr>
        <w:t>.</w:t>
      </w:r>
      <w:r>
        <w:t>A</w:t>
      </w:r>
      <w:r>
        <w:rPr>
          <w:rFonts w:hint="eastAsia"/>
        </w:rPr>
        <w:t>.</w:t>
      </w:r>
      <w:r w:rsidR="00F81221">
        <w:rPr>
          <w:rFonts w:hint="eastAsia"/>
        </w:rPr>
        <w:t xml:space="preserve"> and </w:t>
      </w:r>
      <w:r>
        <w:t>Siqueira</w:t>
      </w:r>
      <w:r>
        <w:rPr>
          <w:rFonts w:hint="eastAsia"/>
        </w:rPr>
        <w:t>,</w:t>
      </w:r>
      <w:r>
        <w:t xml:space="preserve"> P</w:t>
      </w:r>
      <w:r>
        <w:rPr>
          <w:rFonts w:hint="eastAsia"/>
        </w:rPr>
        <w:t>.</w:t>
      </w:r>
      <w:r>
        <w:t>F</w:t>
      </w:r>
      <w:r>
        <w:rPr>
          <w:rFonts w:hint="eastAsia"/>
        </w:rPr>
        <w:t>.</w:t>
      </w:r>
      <w:r w:rsidRPr="00586CD8">
        <w:rPr>
          <w:kern w:val="2"/>
        </w:rPr>
        <w:t xml:space="preserve"> (200</w:t>
      </w:r>
      <w:r>
        <w:rPr>
          <w:rFonts w:hint="eastAsia"/>
          <w:kern w:val="2"/>
        </w:rPr>
        <w:t>7</w:t>
      </w:r>
      <w:r w:rsidRPr="00586CD8">
        <w:rPr>
          <w:kern w:val="2"/>
        </w:rPr>
        <w:t xml:space="preserve">), </w:t>
      </w:r>
      <w:r>
        <w:t>The leaching kinetics of a zinc sulphide concentrate in acid ferric sulphate</w:t>
      </w:r>
      <w:r w:rsidRPr="00586CD8">
        <w:rPr>
          <w:kern w:val="2"/>
        </w:rPr>
        <w:t xml:space="preserve">. </w:t>
      </w:r>
      <w:r>
        <w:rPr>
          <w:i/>
          <w:iCs/>
          <w:kern w:val="0"/>
        </w:rPr>
        <w:t>Hydrometallurgy</w:t>
      </w:r>
      <w:r w:rsidRPr="00586CD8">
        <w:rPr>
          <w:kern w:val="2"/>
        </w:rPr>
        <w:t xml:space="preserve">, </w:t>
      </w:r>
      <w:r>
        <w:rPr>
          <w:rFonts w:hint="eastAsia"/>
          <w:b/>
          <w:bCs/>
          <w:kern w:val="0"/>
        </w:rPr>
        <w:t>89</w:t>
      </w:r>
      <w:r w:rsidRPr="00586CD8">
        <w:rPr>
          <w:kern w:val="2"/>
        </w:rPr>
        <w:t xml:space="preserve"> (1-</w:t>
      </w:r>
      <w:r>
        <w:rPr>
          <w:rFonts w:hint="eastAsia"/>
          <w:kern w:val="2"/>
        </w:rPr>
        <w:t>2</w:t>
      </w:r>
      <w:r w:rsidRPr="00586CD8">
        <w:rPr>
          <w:kern w:val="2"/>
        </w:rPr>
        <w:t xml:space="preserve">), </w:t>
      </w:r>
      <w:r>
        <w:t>72-81</w:t>
      </w:r>
      <w:r w:rsidRPr="00586CD8">
        <w:rPr>
          <w:kern w:val="2"/>
        </w:rPr>
        <w:t>.</w:t>
      </w:r>
    </w:p>
    <w:p w:rsidR="00A75FBE" w:rsidRDefault="00A75FBE" w:rsidP="00A75FBE">
      <w:pPr>
        <w:pStyle w:val="a0"/>
      </w:pPr>
      <w:r w:rsidRPr="002D0E04">
        <w:t xml:space="preserve">Full Text: </w:t>
      </w:r>
      <w:hyperlink r:id="rId795" w:history="1">
        <w:r w:rsidRPr="00A75FBE">
          <w:rPr>
            <w:rStyle w:val="a5"/>
          </w:rPr>
          <w:t>2007\Hydrometallurgy89, 72.pdf</w:t>
        </w:r>
      </w:hyperlink>
    </w:p>
    <w:p w:rsidR="00A75FBE" w:rsidRDefault="00A75FBE" w:rsidP="00A75FBE">
      <w:pPr>
        <w:pStyle w:val="a0"/>
      </w:pPr>
      <w:r>
        <w:t>Abstract: This work examines the dissolution kinetics of an iron-rich zinc sulphide concentrate in acid ferric sulphate medium. The effects of temperature, ferric ion</w:t>
      </w:r>
      <w:r w:rsidR="00F81221">
        <w:t xml:space="preserve"> and </w:t>
      </w:r>
      <w:r>
        <w:t>sulphuric acid concentrations, agitation speed</w:t>
      </w:r>
      <w:r w:rsidR="00F81221">
        <w:t xml:space="preserve"> and </w:t>
      </w:r>
      <w:r>
        <w:t>particle size on the leaching kinetics were investigated. The leaching process could be separated into two stages. Initially, the dissolution kinetics was controlled by the chemical reaction at the surface of the zinc sulphide particles followed by a second step where the reaction was controlled by diffusion of the reagents or products through the elemental sulphur (ash) layer. The activation energy of the chemical controlled step was 27.5 kJ/mol</w:t>
      </w:r>
      <w:r w:rsidR="00F81221">
        <w:t xml:space="preserve"> and </w:t>
      </w:r>
      <w:r>
        <w:t>the value determined for the diffusion controlled step was 19.6 kJ/mol. The reaction order with respect to ferric ion</w:t>
      </w:r>
      <w:r w:rsidR="00F81221">
        <w:t xml:space="preserve"> and </w:t>
      </w:r>
      <w:r>
        <w:t>sulphuric acid concentrations were approximately 0.50</w:t>
      </w:r>
      <w:r w:rsidR="00F81221">
        <w:t xml:space="preserve"> and </w:t>
      </w:r>
      <w:r>
        <w:t>1.00, respectively. Analysis of the unreacted</w:t>
      </w:r>
      <w:r w:rsidR="00F81221">
        <w:t xml:space="preserve"> and </w:t>
      </w:r>
      <w:r>
        <w:t>reacted sulphide particles by SEM-EDS showed a progressive increase of the thickness of the elemental sulphur layer on the solid surface. The development of this sulphur layer is further evidence of the change on the rate-control ling step as the reaction progress. (c) 2007 Elsevier B.V. All rights reserved.</w:t>
      </w:r>
    </w:p>
    <w:p w:rsidR="00A75FBE" w:rsidRDefault="00A75FBE" w:rsidP="00A75FBE">
      <w:pPr>
        <w:pStyle w:val="a0"/>
      </w:pPr>
      <w:r>
        <w:t>Keywords: Sphalerite, Chemical Leaching, Ferric Sulphate, Kinetics, Mechanism, Chloride Media, Sphalerite, Dissolution, Iron, Mechanisms, Minerals</w:t>
      </w:r>
    </w:p>
    <w:p w:rsidR="00A75FBE" w:rsidRPr="00586CD8" w:rsidRDefault="00A75FBE" w:rsidP="00A75FBE">
      <w:pPr>
        <w:pStyle w:val="a0"/>
        <w:rPr>
          <w:kern w:val="2"/>
        </w:rPr>
      </w:pPr>
      <w:r w:rsidRPr="00586CD8">
        <w:rPr>
          <w:kern w:val="2"/>
        </w:rPr>
        <w:t>? Shao, W.J., Li, X.M., Cao, Q.L., Luo, F., Li, J.M.</w:t>
      </w:r>
      <w:r w:rsidR="00F81221">
        <w:rPr>
          <w:kern w:val="2"/>
        </w:rPr>
        <w:t xml:space="preserve"> and </w:t>
      </w:r>
      <w:r w:rsidRPr="00586CD8">
        <w:rPr>
          <w:kern w:val="2"/>
        </w:rPr>
        <w:t>Du, Y.Y. (2008), Adsorption of arsenate</w:t>
      </w:r>
      <w:r w:rsidR="00F81221">
        <w:rPr>
          <w:kern w:val="2"/>
        </w:rPr>
        <w:t xml:space="preserve"> and </w:t>
      </w:r>
      <w:r w:rsidRPr="00586CD8">
        <w:rPr>
          <w:kern w:val="2"/>
        </w:rPr>
        <w:t xml:space="preserve">arsenite anions from aqueous medium by using metal(III)-loaded amberlite resins. </w:t>
      </w:r>
      <w:r>
        <w:rPr>
          <w:i/>
          <w:iCs/>
          <w:kern w:val="0"/>
        </w:rPr>
        <w:t>Hydrometallurgy</w:t>
      </w:r>
      <w:r w:rsidRPr="00586CD8">
        <w:rPr>
          <w:kern w:val="2"/>
        </w:rPr>
        <w:t xml:space="preserve">, </w:t>
      </w:r>
      <w:r>
        <w:rPr>
          <w:b/>
          <w:bCs/>
          <w:kern w:val="0"/>
        </w:rPr>
        <w:t>91</w:t>
      </w:r>
      <w:r w:rsidRPr="00586CD8">
        <w:rPr>
          <w:kern w:val="2"/>
        </w:rPr>
        <w:t xml:space="preserve"> (1-4), 138-143.</w:t>
      </w:r>
    </w:p>
    <w:p w:rsidR="00A75FBE" w:rsidRDefault="00A75FBE" w:rsidP="00A75FBE">
      <w:pPr>
        <w:pStyle w:val="a0"/>
      </w:pPr>
      <w:r w:rsidRPr="002D0E04">
        <w:t xml:space="preserve">Full Text: </w:t>
      </w:r>
      <w:hyperlink r:id="rId796" w:history="1">
        <w:r w:rsidRPr="008B4F96">
          <w:rPr>
            <w:rStyle w:val="a5"/>
          </w:rPr>
          <w:t>2008\Hydrometallurgy91, 138.pdf</w:t>
        </w:r>
      </w:hyperlink>
    </w:p>
    <w:p w:rsidR="00B95188" w:rsidRPr="00586CD8" w:rsidRDefault="00B95188" w:rsidP="00B95188">
      <w:pPr>
        <w:pStyle w:val="a0"/>
        <w:rPr>
          <w:kern w:val="2"/>
        </w:rPr>
      </w:pPr>
      <w:r w:rsidRPr="00586CD8">
        <w:rPr>
          <w:kern w:val="2"/>
        </w:rPr>
        <w:t>Abstract: In this paper, we studied the feasibility of using La(III)-, Ce(III)-, Y(III)-, Fe(III)-</w:t>
      </w:r>
      <w:r w:rsidR="00F81221">
        <w:rPr>
          <w:kern w:val="2"/>
        </w:rPr>
        <w:t xml:space="preserve"> and </w:t>
      </w:r>
      <w:r w:rsidRPr="00586CD8">
        <w:rPr>
          <w:kern w:val="2"/>
        </w:rPr>
        <w:t>AI(III)-loaded 200CT resin as adsorbents for the removal of As(III</w:t>
      </w:r>
      <w:r w:rsidR="00F81221">
        <w:rPr>
          <w:kern w:val="2"/>
        </w:rPr>
        <w:t xml:space="preserve"> and </w:t>
      </w:r>
      <w:r w:rsidRPr="00586CD8">
        <w:rPr>
          <w:kern w:val="2"/>
        </w:rPr>
        <w:t>V) from aqueous solution. The effects of the contact time, pH of solution</w:t>
      </w:r>
      <w:r w:rsidR="00F81221">
        <w:rPr>
          <w:kern w:val="2"/>
        </w:rPr>
        <w:t xml:space="preserve"> and </w:t>
      </w:r>
      <w:r w:rsidRPr="00586CD8">
        <w:rPr>
          <w:kern w:val="2"/>
        </w:rPr>
        <w:t>initial concentration of solution on the removal of As(III</w:t>
      </w:r>
      <w:r w:rsidR="00F81221">
        <w:rPr>
          <w:kern w:val="2"/>
        </w:rPr>
        <w:t xml:space="preserve"> and </w:t>
      </w:r>
      <w:r w:rsidRPr="00586CD8">
        <w:rPr>
          <w:kern w:val="2"/>
        </w:rPr>
        <w:t>V) were investigated in a batch system in order to explain the adsorption mechanism. The removal of As(III</w:t>
      </w:r>
      <w:r w:rsidR="00F81221">
        <w:rPr>
          <w:kern w:val="2"/>
        </w:rPr>
        <w:t xml:space="preserve"> and </w:t>
      </w:r>
      <w:r w:rsidRPr="00586CD8">
        <w:rPr>
          <w:kern w:val="2"/>
        </w:rPr>
        <w:t>V)</w:t>
      </w:r>
      <w:r w:rsidRPr="00586CD8">
        <w:rPr>
          <w:rFonts w:hint="eastAsia"/>
          <w:kern w:val="2"/>
        </w:rPr>
        <w:t xml:space="preserve"> </w:t>
      </w:r>
      <w:r w:rsidRPr="00586CD8">
        <w:rPr>
          <w:kern w:val="2"/>
        </w:rPr>
        <w:t>by using metal(III)-loaded 200CT resins are strictly pH-dependent. The reaction mechanism was discussed</w:t>
      </w:r>
      <w:r w:rsidR="00F81221">
        <w:rPr>
          <w:kern w:val="2"/>
        </w:rPr>
        <w:t xml:space="preserve"> and </w:t>
      </w:r>
      <w:r w:rsidRPr="00586CD8">
        <w:rPr>
          <w:kern w:val="2"/>
        </w:rPr>
        <w:t>followed an ion exchange adsorption mechanism. The kinetics of As(III) adsorption with Y(III)-200CT</w:t>
      </w:r>
      <w:r w:rsidR="00F81221">
        <w:rPr>
          <w:kern w:val="2"/>
        </w:rPr>
        <w:t xml:space="preserve"> and </w:t>
      </w:r>
      <w:r w:rsidRPr="00586CD8">
        <w:rPr>
          <w:kern w:val="2"/>
        </w:rPr>
        <w:t>As(V) adsorption with Fe(III)-200CT can be described well by the pseudo-first-order</w:t>
      </w:r>
      <w:r w:rsidR="00F81221">
        <w:rPr>
          <w:kern w:val="2"/>
        </w:rPr>
        <w:t xml:space="preserve"> and </w:t>
      </w:r>
      <w:r w:rsidRPr="00586CD8">
        <w:rPr>
          <w:kern w:val="2"/>
        </w:rPr>
        <w:t>second-order models. The equilibrium adsorption data were fitted by four isotherm models. The fitting results suggested that the Y(III)-</w:t>
      </w:r>
      <w:r w:rsidR="00F81221">
        <w:rPr>
          <w:kern w:val="2"/>
        </w:rPr>
        <w:t xml:space="preserve"> and </w:t>
      </w:r>
      <w:r w:rsidRPr="00586CD8">
        <w:rPr>
          <w:kern w:val="2"/>
        </w:rPr>
        <w:t>Ce(III)-200CT resins are better adsorbents for the As(III) adsorption</w:t>
      </w:r>
      <w:r w:rsidR="00F81221">
        <w:rPr>
          <w:kern w:val="2"/>
        </w:rPr>
        <w:t xml:space="preserve"> and </w:t>
      </w:r>
      <w:r w:rsidRPr="00586CD8">
        <w:rPr>
          <w:kern w:val="2"/>
        </w:rPr>
        <w:t>the maximum uptakes are 0.4835</w:t>
      </w:r>
      <w:r w:rsidR="00F81221">
        <w:rPr>
          <w:kern w:val="2"/>
        </w:rPr>
        <w:t xml:space="preserve"> and </w:t>
      </w:r>
      <w:r w:rsidRPr="00586CD8">
        <w:rPr>
          <w:kern w:val="2"/>
        </w:rPr>
        <w:t>0.4592 mol/kg, respectively.</w:t>
      </w:r>
      <w:r w:rsidR="00F81221">
        <w:rPr>
          <w:kern w:val="2"/>
        </w:rPr>
        <w:t xml:space="preserve"> and </w:t>
      </w:r>
      <w:r w:rsidRPr="00586CD8">
        <w:rPr>
          <w:kern w:val="2"/>
        </w:rPr>
        <w:t>Fe(III)-200CT resin is the best of PO</w:t>
      </w:r>
      <w:r w:rsidRPr="007A0839">
        <w:rPr>
          <w:kern w:val="0"/>
          <w:vertAlign w:val="subscript"/>
        </w:rPr>
        <w:t>4</w:t>
      </w:r>
      <w:r w:rsidRPr="007A0839">
        <w:rPr>
          <w:kern w:val="0"/>
          <w:vertAlign w:val="superscript"/>
        </w:rPr>
        <w:t>3-</w:t>
      </w:r>
      <w:r w:rsidRPr="00586CD8">
        <w:rPr>
          <w:kern w:val="2"/>
        </w:rPr>
        <w:t xml:space="preserve"> adsorbent for the removal of As(V) with the maximum capacity of 1.450 mol/kg. The </w:t>
      </w:r>
      <w:r w:rsidRPr="00586CD8">
        <w:rPr>
          <w:kern w:val="2"/>
        </w:rPr>
        <w:lastRenderedPageBreak/>
        <w:t>coexisting ion influence PO</w:t>
      </w:r>
      <w:r w:rsidRPr="007A0839">
        <w:rPr>
          <w:kern w:val="0"/>
          <w:vertAlign w:val="subscript"/>
        </w:rPr>
        <w:t>4</w:t>
      </w:r>
      <w:r w:rsidRPr="007A0839">
        <w:rPr>
          <w:kern w:val="0"/>
          <w:vertAlign w:val="superscript"/>
        </w:rPr>
        <w:t>3-</w:t>
      </w:r>
      <w:r w:rsidRPr="00586CD8">
        <w:rPr>
          <w:kern w:val="2"/>
        </w:rPr>
        <w:t xml:space="preserve"> was bigger than SO</w:t>
      </w:r>
      <w:r w:rsidRPr="007A0839">
        <w:rPr>
          <w:kern w:val="0"/>
          <w:vertAlign w:val="subscript"/>
        </w:rPr>
        <w:t>4</w:t>
      </w:r>
      <w:r w:rsidRPr="007A0839">
        <w:rPr>
          <w:kern w:val="0"/>
          <w:vertAlign w:val="superscript"/>
        </w:rPr>
        <w:t>2-</w:t>
      </w:r>
      <w:r w:rsidRPr="00586CD8">
        <w:rPr>
          <w:kern w:val="2"/>
        </w:rPr>
        <w:t xml:space="preserve"> on the removal of As(III</w:t>
      </w:r>
      <w:r w:rsidR="00F81221">
        <w:rPr>
          <w:kern w:val="2"/>
        </w:rPr>
        <w:t xml:space="preserve"> and </w:t>
      </w:r>
      <w:r w:rsidRPr="00586CD8">
        <w:rPr>
          <w:kern w:val="2"/>
        </w:rPr>
        <w:t>V). 0 2008 Elsevier B.V. All fights reserved.</w:t>
      </w:r>
    </w:p>
    <w:p w:rsidR="00B95188" w:rsidRPr="00586CD8" w:rsidRDefault="00B95188" w:rsidP="00B95188">
      <w:pPr>
        <w:pStyle w:val="a0"/>
        <w:rPr>
          <w:kern w:val="2"/>
        </w:rPr>
      </w:pPr>
      <w:r w:rsidRPr="00586CD8">
        <w:rPr>
          <w:kern w:val="2"/>
        </w:rPr>
        <w:t>Keywords: Acid Chelating Resin, Adsorbent, Adsorbents, Adsorption, Amberlite 200ct, Aqueous Solution, Arsenic, Arsenic(III), As(V) Adsorption, Biosorption, Capacity, Equilibrium, Fe(III), Ion Exchange, Ion-Exchange, Ions, Isotherm, Kinetics, Mechanism, Models, Oxide, pH, pH-Dependent, Removal, Resins, Solution, Trivalent Metal Ions Loaded Resins, Water</w:t>
      </w:r>
    </w:p>
    <w:p w:rsidR="00B95188" w:rsidRPr="00586CD8" w:rsidRDefault="00B95188" w:rsidP="00B95188">
      <w:pPr>
        <w:pStyle w:val="a0"/>
        <w:rPr>
          <w:kern w:val="2"/>
        </w:rPr>
      </w:pPr>
      <w:r w:rsidRPr="00586CD8">
        <w:rPr>
          <w:kern w:val="2"/>
        </w:rPr>
        <w:t xml:space="preserve">? </w:t>
      </w:r>
      <w:r>
        <w:t>Parodi</w:t>
      </w:r>
      <w:r>
        <w:rPr>
          <w:rFonts w:hint="eastAsia"/>
        </w:rPr>
        <w:t>,</w:t>
      </w:r>
      <w:r>
        <w:t xml:space="preserve"> A</w:t>
      </w:r>
      <w:r>
        <w:rPr>
          <w:rFonts w:hint="eastAsia"/>
        </w:rPr>
        <w:t>.,</w:t>
      </w:r>
      <w:r>
        <w:t xml:space="preserve"> Vincent</w:t>
      </w:r>
      <w:r>
        <w:rPr>
          <w:rFonts w:hint="eastAsia"/>
        </w:rPr>
        <w:t>,</w:t>
      </w:r>
      <w:r>
        <w:t xml:space="preserve"> T</w:t>
      </w:r>
      <w:r>
        <w:rPr>
          <w:rFonts w:hint="eastAsia"/>
        </w:rPr>
        <w:t>.,</w:t>
      </w:r>
      <w:r>
        <w:t xml:space="preserve"> Pilsniak</w:t>
      </w:r>
      <w:r>
        <w:rPr>
          <w:rFonts w:hint="eastAsia"/>
        </w:rPr>
        <w:t>,</w:t>
      </w:r>
      <w:r>
        <w:t xml:space="preserve"> M</w:t>
      </w:r>
      <w:r>
        <w:rPr>
          <w:rFonts w:hint="eastAsia"/>
        </w:rPr>
        <w:t>.,</w:t>
      </w:r>
      <w:r>
        <w:t xml:space="preserve"> Trochimczuk</w:t>
      </w:r>
      <w:r>
        <w:rPr>
          <w:rFonts w:hint="eastAsia"/>
        </w:rPr>
        <w:t>,</w:t>
      </w:r>
      <w:r>
        <w:t xml:space="preserve"> A</w:t>
      </w:r>
      <w:r>
        <w:rPr>
          <w:rFonts w:hint="eastAsia"/>
        </w:rPr>
        <w:t>.</w:t>
      </w:r>
      <w:r>
        <w:t>W</w:t>
      </w:r>
      <w:r>
        <w:rPr>
          <w:rFonts w:hint="eastAsia"/>
        </w:rPr>
        <w:t>.</w:t>
      </w:r>
      <w:r w:rsidR="00F81221">
        <w:rPr>
          <w:rFonts w:hint="eastAsia"/>
        </w:rPr>
        <w:t xml:space="preserve"> and </w:t>
      </w:r>
      <w:r>
        <w:t>Guibal</w:t>
      </w:r>
      <w:r>
        <w:rPr>
          <w:rFonts w:hint="eastAsia"/>
        </w:rPr>
        <w:t>,</w:t>
      </w:r>
      <w:r>
        <w:t xml:space="preserve"> E</w:t>
      </w:r>
      <w:r>
        <w:rPr>
          <w:rFonts w:hint="eastAsia"/>
        </w:rPr>
        <w:t>.</w:t>
      </w:r>
      <w:r w:rsidRPr="00586CD8">
        <w:rPr>
          <w:kern w:val="2"/>
        </w:rPr>
        <w:t xml:space="preserve"> (2008), </w:t>
      </w:r>
      <w:r>
        <w:t>Palladium</w:t>
      </w:r>
      <w:r w:rsidR="00F81221">
        <w:t xml:space="preserve"> and </w:t>
      </w:r>
      <w:r>
        <w:t>platinum binding on an imidazol containing resin</w:t>
      </w:r>
      <w:r w:rsidRPr="00586CD8">
        <w:rPr>
          <w:kern w:val="2"/>
        </w:rPr>
        <w:t xml:space="preserve">. </w:t>
      </w:r>
      <w:r>
        <w:rPr>
          <w:i/>
          <w:iCs/>
          <w:kern w:val="0"/>
        </w:rPr>
        <w:t>Hydrometallurgy</w:t>
      </w:r>
      <w:r w:rsidRPr="00586CD8">
        <w:rPr>
          <w:kern w:val="2"/>
        </w:rPr>
        <w:t xml:space="preserve">, </w:t>
      </w:r>
      <w:r>
        <w:rPr>
          <w:b/>
          <w:bCs/>
          <w:kern w:val="0"/>
        </w:rPr>
        <w:t>9</w:t>
      </w:r>
      <w:r>
        <w:rPr>
          <w:rFonts w:hint="eastAsia"/>
          <w:b/>
          <w:bCs/>
          <w:kern w:val="0"/>
        </w:rPr>
        <w:t>2</w:t>
      </w:r>
      <w:r w:rsidRPr="00586CD8">
        <w:rPr>
          <w:kern w:val="2"/>
        </w:rPr>
        <w:t xml:space="preserve"> (1-</w:t>
      </w:r>
      <w:r w:rsidRPr="00586CD8">
        <w:rPr>
          <w:rFonts w:hint="eastAsia"/>
          <w:kern w:val="2"/>
        </w:rPr>
        <w:t>2</w:t>
      </w:r>
      <w:r w:rsidRPr="00586CD8">
        <w:rPr>
          <w:kern w:val="2"/>
        </w:rPr>
        <w:t xml:space="preserve">), </w:t>
      </w:r>
      <w:r>
        <w:t>1-10</w:t>
      </w:r>
      <w:r w:rsidRPr="00586CD8">
        <w:rPr>
          <w:kern w:val="2"/>
        </w:rPr>
        <w:t>.</w:t>
      </w:r>
    </w:p>
    <w:p w:rsidR="00B95188" w:rsidRDefault="00B95188" w:rsidP="00B95188">
      <w:pPr>
        <w:pStyle w:val="a0"/>
      </w:pPr>
      <w:r w:rsidRPr="002D0E04">
        <w:t xml:space="preserve">Full Text: </w:t>
      </w:r>
      <w:hyperlink r:id="rId797" w:history="1">
        <w:r w:rsidRPr="00324F41">
          <w:rPr>
            <w:rStyle w:val="a5"/>
          </w:rPr>
          <w:t>2008\Hydrometallurgy92, 1.pdf</w:t>
        </w:r>
      </w:hyperlink>
    </w:p>
    <w:p w:rsidR="00B95188" w:rsidRDefault="00B95188" w:rsidP="00B95188">
      <w:pPr>
        <w:pStyle w:val="a0"/>
      </w:pPr>
      <w:r>
        <w:t>Abstract: Platinum</w:t>
      </w:r>
      <w:r w:rsidR="00F81221">
        <w:t xml:space="preserve"> and </w:t>
      </w:r>
      <w:r>
        <w:t>palladium were efficiently recovered from HCl solutions (at concentrations as high as 1-2 M) using a vinylbenzyl chloride-divinylbenzene resin reacted with the sodium salt of diethylmalonate followed by reaction with 3-aminopropyl imidazol. Both palladium</w:t>
      </w:r>
      <w:r w:rsidR="00F81221">
        <w:t xml:space="preserve"> and </w:t>
      </w:r>
      <w:r>
        <w:t>platinum exhibit sorption capacities as high as 1 mmol metal g</w:t>
      </w:r>
      <w:r>
        <w:rPr>
          <w:rFonts w:hint="eastAsia"/>
          <w:vertAlign w:val="superscript"/>
        </w:rPr>
        <w:t>-1</w:t>
      </w:r>
      <w:r>
        <w:t xml:space="preserve"> in, 2 M HCl solutions (1.4-1.5 mmol metal g</w:t>
      </w:r>
      <w:r>
        <w:rPr>
          <w:rFonts w:hint="eastAsia"/>
          <w:vertAlign w:val="superscript"/>
        </w:rPr>
        <w:t>-1</w:t>
      </w:r>
      <w:r>
        <w:t xml:space="preserve"> in 1 M HCl</w:t>
      </w:r>
      <w:r w:rsidR="00F81221">
        <w:t xml:space="preserve"> and </w:t>
      </w:r>
      <w:r>
        <w:t>1.6-1.7 mmol metal g</w:t>
      </w:r>
      <w:r>
        <w:rPr>
          <w:rFonts w:hint="eastAsia"/>
          <w:vertAlign w:val="superscript"/>
        </w:rPr>
        <w:t>-1</w:t>
      </w:r>
      <w:r>
        <w:t xml:space="preserve"> in 0.1 M HCl). The sorbent has a greater affinity for Pd at low HCl concentration, while Pt is preferred at higher HCl concentration, as shown by sorption performances in binary solutions. The sorption capacity is influenced by chloride concentration, while the presence of competitor ions (such as base metals) has little influence on binding performances: zinc shows the highest inhibiting effect (compared to copper</w:t>
      </w:r>
      <w:r w:rsidR="00F81221">
        <w:t xml:space="preserve"> and </w:t>
      </w:r>
      <w:r>
        <w:t xml:space="preserve">nickel). The sorption kinetics show that the agitation speed has a limited impact on sorption rate, while the kinetic rate decreases linearly with increasing metal concentration. Metals loaded on the resin can be recovered using 0.1 M thiourea solution as the eluent, with desorption efficiency exceeding 95% under selected experimental conditions. The recycling of the resin was effective for at least five sorption/desorption cycles. (c) 2008 Elsevier B.V. All rights reserved. </w:t>
      </w:r>
    </w:p>
    <w:p w:rsidR="00B95188" w:rsidRDefault="00B95188" w:rsidP="00B95188">
      <w:pPr>
        <w:pStyle w:val="a0"/>
      </w:pPr>
      <w:r>
        <w:t xml:space="preserve">Keywords: Imidazol Resin, Palladium, Platinum, Sorption Isotherms, Uptake Kinetics, Selectivity, </w:t>
      </w:r>
      <w:r>
        <w:rPr>
          <w:rFonts w:hint="eastAsia"/>
        </w:rPr>
        <w:t>p</w:t>
      </w:r>
      <w:r>
        <w:t>H Effect, Chloride Effect, Desorption, Hydrochloric-Acid Solutions, Solvent-Impregnated Resins, Liquid-Liquid-Extraction, Cross-Linked Chitosan, Chelating Resins, Guanidyl Groups, Ion-Exchange, Metal-Ions, Dicyanoaurate Anions, Selective Adsorption</w:t>
      </w:r>
    </w:p>
    <w:p w:rsidR="00B95188" w:rsidRPr="00586CD8" w:rsidRDefault="00B95188" w:rsidP="00B95188">
      <w:pPr>
        <w:pStyle w:val="a0"/>
        <w:rPr>
          <w:kern w:val="2"/>
        </w:rPr>
      </w:pPr>
      <w:r w:rsidRPr="00586CD8">
        <w:rPr>
          <w:kern w:val="2"/>
        </w:rPr>
        <w:t xml:space="preserve">? </w:t>
      </w:r>
      <w:r>
        <w:t>Unuabonah</w:t>
      </w:r>
      <w:r>
        <w:rPr>
          <w:rFonts w:hint="eastAsia"/>
        </w:rPr>
        <w:t>,</w:t>
      </w:r>
      <w:r>
        <w:t xml:space="preserve"> E</w:t>
      </w:r>
      <w:r>
        <w:rPr>
          <w:rFonts w:hint="eastAsia"/>
        </w:rPr>
        <w:t>.</w:t>
      </w:r>
      <w:r>
        <w:t>I</w:t>
      </w:r>
      <w:r>
        <w:rPr>
          <w:rFonts w:hint="eastAsia"/>
        </w:rPr>
        <w:t>.</w:t>
      </w:r>
      <w:r>
        <w:t>, Adebowale</w:t>
      </w:r>
      <w:r>
        <w:rPr>
          <w:rFonts w:hint="eastAsia"/>
        </w:rPr>
        <w:t>,</w:t>
      </w:r>
      <w:r>
        <w:t xml:space="preserve"> K</w:t>
      </w:r>
      <w:r>
        <w:rPr>
          <w:rFonts w:hint="eastAsia"/>
        </w:rPr>
        <w:t>.</w:t>
      </w:r>
      <w:r>
        <w:t>O</w:t>
      </w:r>
      <w:r>
        <w:rPr>
          <w:rFonts w:hint="eastAsia"/>
        </w:rPr>
        <w:t>.</w:t>
      </w:r>
      <w:r>
        <w:t>, Olu-Owolabi</w:t>
      </w:r>
      <w:r>
        <w:rPr>
          <w:rFonts w:hint="eastAsia"/>
        </w:rPr>
        <w:t>,</w:t>
      </w:r>
      <w:r>
        <w:t xml:space="preserve"> B</w:t>
      </w:r>
      <w:r>
        <w:rPr>
          <w:rFonts w:hint="eastAsia"/>
        </w:rPr>
        <w:t>.</w:t>
      </w:r>
      <w:r>
        <w:t>I</w:t>
      </w:r>
      <w:r>
        <w:rPr>
          <w:rFonts w:hint="eastAsia"/>
        </w:rPr>
        <w:t>.</w:t>
      </w:r>
      <w:r>
        <w:t>, Yang</w:t>
      </w:r>
      <w:r>
        <w:rPr>
          <w:rFonts w:hint="eastAsia"/>
        </w:rPr>
        <w:t>,</w:t>
      </w:r>
      <w:r>
        <w:t xml:space="preserve"> L</w:t>
      </w:r>
      <w:r>
        <w:rPr>
          <w:rFonts w:hint="eastAsia"/>
        </w:rPr>
        <w:t>.</w:t>
      </w:r>
      <w:r>
        <w:t>Z</w:t>
      </w:r>
      <w:r>
        <w:rPr>
          <w:rFonts w:hint="eastAsia"/>
        </w:rPr>
        <w:t>.</w:t>
      </w:r>
      <w:r w:rsidR="00F81221">
        <w:rPr>
          <w:rFonts w:hint="eastAsia"/>
        </w:rPr>
        <w:t xml:space="preserve"> and </w:t>
      </w:r>
      <w:r>
        <w:t>Kong</w:t>
      </w:r>
      <w:r>
        <w:rPr>
          <w:rFonts w:hint="eastAsia"/>
        </w:rPr>
        <w:t>,</w:t>
      </w:r>
      <w:r>
        <w:t xml:space="preserve"> L</w:t>
      </w:r>
      <w:r>
        <w:rPr>
          <w:rFonts w:hint="eastAsia"/>
        </w:rPr>
        <w:t>.</w:t>
      </w:r>
      <w:r>
        <w:t>X</w:t>
      </w:r>
      <w:r>
        <w:rPr>
          <w:rFonts w:hint="eastAsia"/>
        </w:rPr>
        <w:t>.</w:t>
      </w:r>
      <w:r w:rsidRPr="00586CD8">
        <w:rPr>
          <w:kern w:val="2"/>
        </w:rPr>
        <w:t xml:space="preserve"> (2008), </w:t>
      </w:r>
      <w:r>
        <w:t>Adsorption of Pb(II)</w:t>
      </w:r>
      <w:r w:rsidR="00F81221">
        <w:t xml:space="preserve"> and </w:t>
      </w:r>
      <w:r>
        <w:t>Cd(II) from aqueous solutions onto sodium tetraborate-modified Kaolinite clay: Equilibrium</w:t>
      </w:r>
      <w:r w:rsidR="00F81221">
        <w:t xml:space="preserve"> and </w:t>
      </w:r>
      <w:r>
        <w:t>thermodynamic studies</w:t>
      </w:r>
      <w:r w:rsidRPr="00586CD8">
        <w:rPr>
          <w:kern w:val="2"/>
        </w:rPr>
        <w:t xml:space="preserve">. </w:t>
      </w:r>
      <w:r>
        <w:rPr>
          <w:i/>
          <w:iCs/>
          <w:kern w:val="0"/>
        </w:rPr>
        <w:t>Hydrometallurgy</w:t>
      </w:r>
      <w:r w:rsidRPr="00586CD8">
        <w:rPr>
          <w:kern w:val="2"/>
        </w:rPr>
        <w:t xml:space="preserve">, </w:t>
      </w:r>
      <w:r>
        <w:rPr>
          <w:b/>
          <w:bCs/>
          <w:kern w:val="0"/>
        </w:rPr>
        <w:t>9</w:t>
      </w:r>
      <w:r>
        <w:rPr>
          <w:rFonts w:hint="eastAsia"/>
          <w:b/>
          <w:bCs/>
          <w:kern w:val="0"/>
        </w:rPr>
        <w:t>3</w:t>
      </w:r>
      <w:r w:rsidRPr="00586CD8">
        <w:rPr>
          <w:kern w:val="2"/>
        </w:rPr>
        <w:t xml:space="preserve"> (1-</w:t>
      </w:r>
      <w:r w:rsidRPr="00586CD8">
        <w:rPr>
          <w:rFonts w:hint="eastAsia"/>
          <w:kern w:val="2"/>
        </w:rPr>
        <w:t>2</w:t>
      </w:r>
      <w:r w:rsidRPr="00586CD8">
        <w:rPr>
          <w:kern w:val="2"/>
        </w:rPr>
        <w:t xml:space="preserve">), </w:t>
      </w:r>
      <w:r>
        <w:t>1-</w:t>
      </w:r>
      <w:r>
        <w:rPr>
          <w:rFonts w:hint="eastAsia"/>
        </w:rPr>
        <w:t>9</w:t>
      </w:r>
      <w:r w:rsidRPr="00586CD8">
        <w:rPr>
          <w:kern w:val="2"/>
        </w:rPr>
        <w:t>.</w:t>
      </w:r>
    </w:p>
    <w:p w:rsidR="00B95188" w:rsidRDefault="00B95188" w:rsidP="00B95188">
      <w:pPr>
        <w:pStyle w:val="a0"/>
      </w:pPr>
      <w:r w:rsidRPr="002D0E04">
        <w:t xml:space="preserve">Full Text: </w:t>
      </w:r>
      <w:hyperlink r:id="rId798" w:history="1">
        <w:r w:rsidRPr="004C6153">
          <w:rPr>
            <w:rStyle w:val="a5"/>
          </w:rPr>
          <w:t>2008\Hydrometallurgy93, 1.pdf</w:t>
        </w:r>
      </w:hyperlink>
    </w:p>
    <w:p w:rsidR="00B95188" w:rsidRDefault="00B95188" w:rsidP="007F22FE">
      <w:pPr>
        <w:pStyle w:val="a0"/>
      </w:pPr>
      <w:r>
        <w:t xml:space="preserve">Abstract: Kaolinite clay sample obtained from Ubulu-Ukwu in Delta State of Nigeria was modified with sodium tetraborate to obtain NTB-modified kaolinite clay. XRD </w:t>
      </w:r>
      <w:r>
        <w:lastRenderedPageBreak/>
        <w:t>measurements of NTB-modified kaolinite adsorbent showed no observable change in the d-spacing of its crystal lattice. Also, the data of XRD confirmed that this kaolinite clay sample is a mixture of kaolinite</w:t>
      </w:r>
      <w:r w:rsidR="00F81221">
        <w:t xml:space="preserve"> and </w:t>
      </w:r>
      <w:r>
        <w:t>Illite clay minerals. The SEM of modified</w:t>
      </w:r>
      <w:r w:rsidR="00F81221">
        <w:t xml:space="preserve"> and </w:t>
      </w:r>
      <w:r>
        <w:t>unmodified samples showed irregular crystal structures. FTIR results proved the surface modification of the kaolinite at -Al-O</w:t>
      </w:r>
      <w:r w:rsidR="00F81221">
        <w:t xml:space="preserve"> and </w:t>
      </w:r>
      <w:r>
        <w:t>-Si-O centers. The NTB-modified adsorbent presented with broader peaks of inner -OH. Modification of kaolinite clay sample with sodium tetraborate decreased its PZC from pH 4.40 to 3.70 while its Specific Surface Area (SSA) was increased from 10.56 m</w:t>
      </w:r>
      <w:r w:rsidR="007F22FE">
        <w:rPr>
          <w:rFonts w:hint="eastAsia"/>
          <w:vertAlign w:val="superscript"/>
        </w:rPr>
        <w:t>2</w:t>
      </w:r>
      <w:r>
        <w:t xml:space="preserve"> g</w:t>
      </w:r>
      <w:r w:rsidR="007F22FE">
        <w:rPr>
          <w:rFonts w:hint="eastAsia"/>
          <w:kern w:val="0"/>
          <w:vertAlign w:val="superscript"/>
        </w:rPr>
        <w:t>-1</w:t>
      </w:r>
      <w:r>
        <w:t xml:space="preserve"> to 15.84 m</w:t>
      </w:r>
      <w:r w:rsidR="007F22FE">
        <w:rPr>
          <w:rFonts w:hint="eastAsia"/>
          <w:vertAlign w:val="superscript"/>
        </w:rPr>
        <w:t>2</w:t>
      </w:r>
      <w:r>
        <w:t xml:space="preserve"> g</w:t>
      </w:r>
      <w:r w:rsidR="007F22FE">
        <w:rPr>
          <w:rFonts w:hint="eastAsia"/>
          <w:kern w:val="0"/>
          <w:vertAlign w:val="superscript"/>
        </w:rPr>
        <w:t>-1</w:t>
      </w:r>
      <w:r>
        <w:t>.</w:t>
      </w:r>
    </w:p>
    <w:p w:rsidR="00B95188" w:rsidRDefault="00B95188" w:rsidP="007F22FE">
      <w:pPr>
        <w:pStyle w:val="a0"/>
      </w:pPr>
      <w:r>
        <w:t xml:space="preserve">Modification with sodium tetraborate reagent increased the adsorption capacity of kaolinite clay from </w:t>
      </w:r>
      <w:r w:rsidR="007F22FE">
        <w:t>16.16 mg/g to 42.92 mg/g for P</w:t>
      </w:r>
      <w:r w:rsidR="007F22FE">
        <w:rPr>
          <w:rFonts w:hint="eastAsia"/>
        </w:rPr>
        <w:t>b</w:t>
      </w:r>
      <w:r>
        <w:t>(II)</w:t>
      </w:r>
      <w:r w:rsidR="00F81221">
        <w:t xml:space="preserve"> and </w:t>
      </w:r>
      <w:r w:rsidR="007F22FE">
        <w:t>10.75 mg/g to 44.05 mg/g for Cd</w:t>
      </w:r>
      <w:r>
        <w:t xml:space="preserve">(II) at 298 K. Increasing temperature was found to increase the adsorption of both metals onto both adsorbents suggesting an endothermic adsorption reaction. The simultaneous presence of electrolyte in </w:t>
      </w:r>
      <w:r w:rsidR="007F22FE">
        <w:t>aqueous solution with Pb</w:t>
      </w:r>
      <w:r w:rsidR="00F81221">
        <w:t xml:space="preserve"> and </w:t>
      </w:r>
      <w:r w:rsidR="007F22FE">
        <w:t>Cd</w:t>
      </w:r>
      <w:r>
        <w:t>(II) was found to decrease the adsorption capacity of NTB-m</w:t>
      </w:r>
      <w:r w:rsidR="007F22FE">
        <w:t>odified adsorbent for Pb</w:t>
      </w:r>
      <w:r w:rsidR="00F81221">
        <w:t xml:space="preserve"> and </w:t>
      </w:r>
      <w:r w:rsidR="007F22FE">
        <w:t>Cd</w:t>
      </w:r>
      <w:r>
        <w:t>(II). Using the Pearson</w:t>
      </w:r>
      <w:r w:rsidR="000352E7">
        <w:t>’</w:t>
      </w:r>
      <w:r>
        <w:t>s Hard</w:t>
      </w:r>
      <w:r w:rsidR="00F81221">
        <w:t xml:space="preserve"> and </w:t>
      </w:r>
      <w:r>
        <w:t>Soft Lewis Acid</w:t>
      </w:r>
      <w:r w:rsidR="00F81221">
        <w:t xml:space="preserve"> and </w:t>
      </w:r>
      <w:r>
        <w:t>Base (HSAB) theory the higher selectivity of unmodified kaolinite clay adsorbent for Ph</w:t>
      </w:r>
      <w:r w:rsidR="00F81221">
        <w:t xml:space="preserve"> and </w:t>
      </w:r>
      <w:r>
        <w:t>NTB</w:t>
      </w:r>
      <w:r w:rsidR="007F22FE">
        <w:t>-modifled kaolinite clay for Cd</w:t>
      </w:r>
      <w:r>
        <w:t>(</w:t>
      </w:r>
      <w:r w:rsidR="007F22FE">
        <w:rPr>
          <w:rFonts w:hint="eastAsia"/>
        </w:rPr>
        <w:t>II</w:t>
      </w:r>
      <w:r>
        <w:t>) was justified.</w:t>
      </w:r>
    </w:p>
    <w:p w:rsidR="00B95188" w:rsidRDefault="00B95188" w:rsidP="007F22FE">
      <w:pPr>
        <w:pStyle w:val="a0"/>
      </w:pPr>
      <w:r>
        <w:t>The thermodynamic calculations for the modified kaolinite clay sample indicated an endothermic nature of adsorption (AH(mean) +435 kJ mol</w:t>
      </w:r>
      <w:r w:rsidR="007F22FE">
        <w:rPr>
          <w:rFonts w:hint="eastAsia"/>
          <w:kern w:val="0"/>
          <w:vertAlign w:val="superscript"/>
        </w:rPr>
        <w:t>-1</w:t>
      </w:r>
      <w:r>
        <w:t xml:space="preserve"> for Pb(</w:t>
      </w:r>
      <w:r w:rsidR="007F22FE">
        <w:t>II)</w:t>
      </w:r>
      <w:r w:rsidR="00F81221">
        <w:t xml:space="preserve"> and </w:t>
      </w:r>
      <w:r w:rsidR="007F22FE">
        <w:t>+3.79 kJ mol</w:t>
      </w:r>
      <w:r w:rsidR="007F22FE">
        <w:rPr>
          <w:rFonts w:hint="eastAsia"/>
          <w:kern w:val="0"/>
          <w:vertAlign w:val="superscript"/>
        </w:rPr>
        <w:t>-1</w:t>
      </w:r>
      <w:r w:rsidR="007F22FE">
        <w:t xml:space="preserve"> for Cd</w:t>
      </w:r>
      <w:r>
        <w:t>(II))</w:t>
      </w:r>
      <w:r w:rsidR="00F81221">
        <w:t xml:space="preserve"> and </w:t>
      </w:r>
      <w:r>
        <w:t xml:space="preserve">an increase in entropy as a result of adsorption of </w:t>
      </w:r>
      <w:r w:rsidR="006D21C1">
        <w:t>Pb(II)</w:t>
      </w:r>
      <w:r>
        <w:t>and Cd(II)(Delta S-mean-21.73J mol</w:t>
      </w:r>
      <w:r w:rsidR="007F22FE">
        <w:rPr>
          <w:rFonts w:hint="eastAsia"/>
          <w:kern w:val="0"/>
          <w:vertAlign w:val="superscript"/>
        </w:rPr>
        <w:t>-1</w:t>
      </w:r>
      <w:r>
        <w:t xml:space="preserve"> K for Pb(II)</w:t>
      </w:r>
      <w:r w:rsidR="00F81221">
        <w:t xml:space="preserve"> and </w:t>
      </w:r>
      <w:r>
        <w:t>-18.30J mol</w:t>
      </w:r>
      <w:r w:rsidR="007F22FE">
        <w:rPr>
          <w:rFonts w:hint="eastAsia"/>
          <w:kern w:val="0"/>
          <w:vertAlign w:val="superscript"/>
        </w:rPr>
        <w:t>-1</w:t>
      </w:r>
      <w:r>
        <w:t xml:space="preserve"> K for Cd (II)). The small positive values of free energy change (</w:t>
      </w:r>
      <w:r w:rsidR="007F22FE">
        <w:sym w:font="Symbol" w:char="F044"/>
      </w:r>
      <w:r>
        <w:t xml:space="preserve">G(mean)) indicated that the adsorption of </w:t>
      </w:r>
      <w:r w:rsidR="006D21C1">
        <w:t>Pb(II)</w:t>
      </w:r>
      <w:r w:rsidR="00F81221">
        <w:t xml:space="preserve"> and </w:t>
      </w:r>
      <w:r w:rsidR="007F22FE">
        <w:t>Cd</w:t>
      </w:r>
      <w:r>
        <w:t>(II) onto the modified adsorbent may require some small amount of energy to make it more feasible.</w:t>
      </w:r>
    </w:p>
    <w:p w:rsidR="00B95188" w:rsidRDefault="00B95188" w:rsidP="00B95188">
      <w:pPr>
        <w:pStyle w:val="a0"/>
      </w:pPr>
      <w:r>
        <w:t>Modeling equilibrium adsorption data obtained suggested that NTB-modified adsorbent sample has homogeneous adsorption sites</w:t>
      </w:r>
      <w:r w:rsidR="00F81221">
        <w:t xml:space="preserve"> and </w:t>
      </w:r>
      <w:r>
        <w:t>fit very well with Langmuir adsorption model.</w:t>
      </w:r>
    </w:p>
    <w:p w:rsidR="00B95188" w:rsidRDefault="00B95188" w:rsidP="00B95188">
      <w:pPr>
        <w:pStyle w:val="a0"/>
      </w:pPr>
      <w:r>
        <w:t xml:space="preserve">Regeneration studies suggest that approximate to 85% of the metals were desorbed from both adsorbents. On reuse of the adsorbents only approximate to 80% of metals were adsorbed. NTB-modified kaolinite clay sample show some very good potentials as a low-cost adsorbent for the adsorption. of </w:t>
      </w:r>
      <w:r w:rsidR="006D21C1">
        <w:t>Pb(II)</w:t>
      </w:r>
      <w:r w:rsidR="00F81221">
        <w:t xml:space="preserve"> and </w:t>
      </w:r>
      <w:r>
        <w:t>Cd (II) from aqueous solutions. (C) 2008 Elsevier B.V. All rights reserved.</w:t>
      </w:r>
    </w:p>
    <w:p w:rsidR="00B95188" w:rsidRDefault="00B95188" w:rsidP="00B95188">
      <w:pPr>
        <w:pStyle w:val="a0"/>
      </w:pPr>
      <w:r>
        <w:t>Keywords: Adsorption, Desorption, Thermodynamics, Kaolinite-Illite, Selectivity, Wastewater Treatment, Palm Kernel Fiber, Ordered Kaolinite, Cadmium Ions, Soft Acids, Sorption, Lead, Water, Kinetics, Removal, Nickel</w:t>
      </w:r>
    </w:p>
    <w:p w:rsidR="00263229" w:rsidRDefault="00263229" w:rsidP="00263229">
      <w:pPr>
        <w:pStyle w:val="a0"/>
        <w:rPr>
          <w:kern w:val="0"/>
          <w:szCs w:val="24"/>
        </w:rPr>
      </w:pPr>
      <w:r>
        <w:rPr>
          <w:rFonts w:hint="eastAsia"/>
          <w:kern w:val="0"/>
          <w:szCs w:val="24"/>
        </w:rPr>
        <w:t xml:space="preserve">? </w:t>
      </w:r>
      <w:r>
        <w:rPr>
          <w:kern w:val="0"/>
          <w:szCs w:val="24"/>
        </w:rPr>
        <w:t>Elwakeel, K.Z., Atia, A.A.</w:t>
      </w:r>
      <w:r w:rsidR="00F81221">
        <w:rPr>
          <w:kern w:val="0"/>
          <w:szCs w:val="24"/>
        </w:rPr>
        <w:t xml:space="preserve"> and </w:t>
      </w:r>
      <w:r>
        <w:rPr>
          <w:kern w:val="0"/>
          <w:szCs w:val="24"/>
        </w:rPr>
        <w:t xml:space="preserve">Donia, A.M. (2009), Removal of Mo(VI) as oxoanions from aqueous solutions using chemically modified magnetic chitosan resins. </w:t>
      </w:r>
      <w:r>
        <w:rPr>
          <w:i/>
          <w:iCs/>
          <w:kern w:val="0"/>
          <w:szCs w:val="24"/>
        </w:rPr>
        <w:t>Hydrometallurgy</w:t>
      </w:r>
      <w:r>
        <w:rPr>
          <w:kern w:val="0"/>
          <w:szCs w:val="24"/>
        </w:rPr>
        <w:t xml:space="preserve">, </w:t>
      </w:r>
      <w:r>
        <w:rPr>
          <w:b/>
          <w:bCs/>
          <w:kern w:val="0"/>
          <w:szCs w:val="24"/>
        </w:rPr>
        <w:t>97</w:t>
      </w:r>
      <w:r>
        <w:rPr>
          <w:kern w:val="0"/>
          <w:szCs w:val="24"/>
        </w:rPr>
        <w:t xml:space="preserve"> (1-2), 21-28.</w:t>
      </w:r>
    </w:p>
    <w:p w:rsidR="00263229" w:rsidRDefault="00263229" w:rsidP="00263229">
      <w:pPr>
        <w:pStyle w:val="a0"/>
        <w:rPr>
          <w:kern w:val="2"/>
        </w:rPr>
      </w:pPr>
      <w:r w:rsidRPr="00FC7835">
        <w:lastRenderedPageBreak/>
        <w:t xml:space="preserve">Full Text: </w:t>
      </w:r>
      <w:hyperlink r:id="rId799" w:history="1">
        <w:r w:rsidRPr="00DC0533">
          <w:rPr>
            <w:rStyle w:val="a5"/>
          </w:rPr>
          <w:t>2009\Hydrometallurgy97, 21.pdf</w:t>
        </w:r>
      </w:hyperlink>
    </w:p>
    <w:p w:rsidR="00263229" w:rsidRDefault="00263229" w:rsidP="00263229">
      <w:pPr>
        <w:pStyle w:val="a0"/>
        <w:rPr>
          <w:kern w:val="0"/>
          <w:szCs w:val="24"/>
        </w:rPr>
      </w:pPr>
      <w:r>
        <w:rPr>
          <w:kern w:val="0"/>
          <w:szCs w:val="24"/>
        </w:rPr>
        <w:t>Abstract: Chitosan was cross-linked using glutaraldehyde in the presence of magnetite. The resin obtained was chemically modified through the reaction with tetraethylenepentamine followed by glycidyl trimethylammonium chloride to produce chitosan bearing amine (R1)</w:t>
      </w:r>
      <w:r w:rsidR="00F81221">
        <w:rPr>
          <w:kern w:val="0"/>
          <w:szCs w:val="24"/>
        </w:rPr>
        <w:t xml:space="preserve"> and </w:t>
      </w:r>
      <w:r>
        <w:rPr>
          <w:kern w:val="0"/>
          <w:szCs w:val="24"/>
        </w:rPr>
        <w:t>chitosan bearing both amine</w:t>
      </w:r>
      <w:r w:rsidR="00F81221">
        <w:rPr>
          <w:kern w:val="0"/>
          <w:szCs w:val="24"/>
        </w:rPr>
        <w:t xml:space="preserve"> and </w:t>
      </w:r>
      <w:r>
        <w:rPr>
          <w:kern w:val="0"/>
          <w:szCs w:val="24"/>
        </w:rPr>
        <w:t>quaternary ammonium chloride moieties (R2), respectively. The removal of Mo(VI) as molybdate anions from aqueous solution was studied using batch</w:t>
      </w:r>
      <w:r w:rsidR="00F81221">
        <w:rPr>
          <w:kern w:val="0"/>
          <w:szCs w:val="24"/>
        </w:rPr>
        <w:t xml:space="preserve"> and </w:t>
      </w:r>
      <w:r>
        <w:rPr>
          <w:kern w:val="0"/>
          <w:szCs w:val="24"/>
        </w:rPr>
        <w:t>column methods. RI works efficiently towards the removal of molybdate in acidic medium. Whilst R2 works efficiently in all pH ranges (acidic/neutral/basic). The nature of interaction of the resins obtained with molybdate was clarified. The resins showed a higher affinity towards the uptake of Mo(VI). Kinetics</w:t>
      </w:r>
      <w:r w:rsidR="00F81221">
        <w:rPr>
          <w:kern w:val="0"/>
          <w:szCs w:val="24"/>
        </w:rPr>
        <w:t xml:space="preserve"> and </w:t>
      </w:r>
      <w:r>
        <w:rPr>
          <w:kern w:val="0"/>
          <w:szCs w:val="24"/>
        </w:rPr>
        <w:t>thermodynamic parameters of the uptake process were obtained. Breakthrough</w:t>
      </w:r>
      <w:r w:rsidR="00F81221">
        <w:rPr>
          <w:kern w:val="0"/>
          <w:szCs w:val="24"/>
        </w:rPr>
        <w:t xml:space="preserve"> and </w:t>
      </w:r>
      <w:r>
        <w:rPr>
          <w:kern w:val="0"/>
          <w:szCs w:val="24"/>
        </w:rPr>
        <w:t>regeneration curves for the removal of Mo(VI) were also studied. The adsorbed molybdate anions were found to be effectively eluted from the investigated resins. Published by Elsevier B.V.</w:t>
      </w:r>
    </w:p>
    <w:p w:rsidR="00263229" w:rsidRDefault="00263229" w:rsidP="00263229">
      <w:pPr>
        <w:pStyle w:val="a0"/>
        <w:rPr>
          <w:kern w:val="0"/>
          <w:szCs w:val="24"/>
        </w:rPr>
      </w:pPr>
      <w:r>
        <w:rPr>
          <w:kern w:val="0"/>
          <w:szCs w:val="24"/>
        </w:rPr>
        <w:t>Keywords: Chelating Resins, Chitosan, Competitive Adsorption, Copper(II), Ions, Kinetics, Magnetic, Model, Molybdate, Molybdate Oxoanions, Quaternary Amine, Selenate, Sulfate, Uptake Behavior, Waste-Water</w:t>
      </w:r>
    </w:p>
    <w:p w:rsidR="00263229" w:rsidRDefault="00263229" w:rsidP="00263229">
      <w:pPr>
        <w:pStyle w:val="a0"/>
        <w:rPr>
          <w:kern w:val="0"/>
        </w:rPr>
      </w:pPr>
      <w:r>
        <w:rPr>
          <w:rFonts w:hint="eastAsia"/>
          <w:kern w:val="0"/>
        </w:rPr>
        <w:t xml:space="preserve">? </w:t>
      </w:r>
      <w:r>
        <w:rPr>
          <w:kern w:val="0"/>
        </w:rPr>
        <w:t>Teutli-Sequeira, A., Solache-Ríos, M.</w:t>
      </w:r>
      <w:r w:rsidR="00F81221">
        <w:rPr>
          <w:kern w:val="0"/>
        </w:rPr>
        <w:t xml:space="preserve"> and </w:t>
      </w:r>
      <w:r>
        <w:rPr>
          <w:kern w:val="0"/>
        </w:rPr>
        <w:t>Olguín, M.T. (2009), Influence of Na</w:t>
      </w:r>
      <w:r w:rsidRPr="00D02395">
        <w:rPr>
          <w:kern w:val="0"/>
          <w:vertAlign w:val="superscript"/>
        </w:rPr>
        <w:t>+</w:t>
      </w:r>
      <w:r>
        <w:rPr>
          <w:kern w:val="0"/>
        </w:rPr>
        <w:t>, Ca</w:t>
      </w:r>
      <w:r w:rsidRPr="00304697">
        <w:rPr>
          <w:kern w:val="0"/>
          <w:vertAlign w:val="superscript"/>
        </w:rPr>
        <w:t>2+</w:t>
      </w:r>
      <w:r>
        <w:rPr>
          <w:kern w:val="0"/>
        </w:rPr>
        <w:t>, Mg</w:t>
      </w:r>
      <w:r w:rsidRPr="00304697">
        <w:rPr>
          <w:kern w:val="0"/>
          <w:vertAlign w:val="superscript"/>
        </w:rPr>
        <w:t>2+</w:t>
      </w:r>
      <w:r w:rsidR="00F81221">
        <w:rPr>
          <w:kern w:val="0"/>
        </w:rPr>
        <w:t xml:space="preserve"> and </w:t>
      </w:r>
      <w:r>
        <w:rPr>
          <w:kern w:val="0"/>
        </w:rPr>
        <w:t>NH</w:t>
      </w:r>
      <w:r w:rsidRPr="00D02395">
        <w:rPr>
          <w:kern w:val="0"/>
          <w:vertAlign w:val="subscript"/>
        </w:rPr>
        <w:t>4</w:t>
      </w:r>
      <w:r w:rsidRPr="00304697">
        <w:rPr>
          <w:kern w:val="0"/>
          <w:vertAlign w:val="superscript"/>
        </w:rPr>
        <w:t>+</w:t>
      </w:r>
      <w:r>
        <w:rPr>
          <w:kern w:val="0"/>
        </w:rPr>
        <w:t xml:space="preserve"> on the sorption behavior of Cd</w:t>
      </w:r>
      <w:r w:rsidRPr="00304697">
        <w:rPr>
          <w:kern w:val="0"/>
          <w:vertAlign w:val="superscript"/>
        </w:rPr>
        <w:t>2+</w:t>
      </w:r>
      <w:r>
        <w:rPr>
          <w:kern w:val="0"/>
        </w:rPr>
        <w:t xml:space="preserve"> from aqueous solutions by a Mexican zeolitic material. </w:t>
      </w:r>
      <w:r>
        <w:rPr>
          <w:i/>
          <w:iCs/>
          <w:kern w:val="0"/>
        </w:rPr>
        <w:t>Hydrometallurgy</w:t>
      </w:r>
      <w:r>
        <w:rPr>
          <w:kern w:val="0"/>
        </w:rPr>
        <w:t xml:space="preserve">, </w:t>
      </w:r>
      <w:r>
        <w:rPr>
          <w:b/>
          <w:bCs/>
          <w:kern w:val="0"/>
        </w:rPr>
        <w:t>97</w:t>
      </w:r>
      <w:r>
        <w:rPr>
          <w:kern w:val="0"/>
        </w:rPr>
        <w:t xml:space="preserve"> (1-2), 46-52.</w:t>
      </w:r>
    </w:p>
    <w:p w:rsidR="00263229" w:rsidRDefault="00263229" w:rsidP="00263229">
      <w:pPr>
        <w:pStyle w:val="a0"/>
        <w:rPr>
          <w:kern w:val="2"/>
        </w:rPr>
      </w:pPr>
      <w:r w:rsidRPr="00FC7835">
        <w:t xml:space="preserve">Full Text: </w:t>
      </w:r>
      <w:hyperlink r:id="rId800" w:history="1">
        <w:r w:rsidRPr="00D02395">
          <w:rPr>
            <w:rStyle w:val="a5"/>
          </w:rPr>
          <w:t>2009\Hydrometallurgy97, 46.pdf</w:t>
        </w:r>
      </w:hyperlink>
    </w:p>
    <w:p w:rsidR="00263229" w:rsidRDefault="00263229" w:rsidP="00263229">
      <w:pPr>
        <w:pStyle w:val="a0"/>
        <w:rPr>
          <w:kern w:val="0"/>
        </w:rPr>
      </w:pPr>
      <w:r>
        <w:rPr>
          <w:kern w:val="0"/>
        </w:rPr>
        <w:t>Abstract: The present study involves an investigation of a Mexican zeolitic material. for the removal of cadmium from aqueous solutions. The effects of pH</w:t>
      </w:r>
      <w:r w:rsidR="00F81221">
        <w:rPr>
          <w:kern w:val="0"/>
        </w:rPr>
        <w:t xml:space="preserve"> and </w:t>
      </w:r>
      <w:r>
        <w:rPr>
          <w:kern w:val="0"/>
        </w:rPr>
        <w:t>contact time on the adsorption process were examined, The adsorption was similar in the pH range from 4 to 6. Sorption equilibrium was reached in about 48 h</w:t>
      </w:r>
      <w:r w:rsidR="00F81221">
        <w:rPr>
          <w:kern w:val="0"/>
        </w:rPr>
        <w:t xml:space="preserve"> and </w:t>
      </w:r>
      <w:r>
        <w:rPr>
          <w:kern w:val="0"/>
        </w:rPr>
        <w:t>the rate of cadmium sorption by the zeolite was rapid in the first 5 h of the reaction time. Kinetic experiments were best described by the pseudo-second order model. batch adsorption experiments conducted at room temperature (25</w:t>
      </w:r>
      <w:r>
        <w:rPr>
          <w:rFonts w:ascii="標楷體" w:hAnsi="標楷體" w:hint="eastAsia"/>
          <w:kern w:val="0"/>
        </w:rPr>
        <w:t xml:space="preserve"> </w:t>
      </w:r>
      <w:r>
        <w:rPr>
          <w:kern w:val="0"/>
        </w:rPr>
        <w:t>C) showed that the adsorption pattern followed the Langmuir-Freundlich isotherm model, these results indicated chemisorption of cadmium on a heterogeneous material. Sodium, calcium, magnesium</w:t>
      </w:r>
      <w:r w:rsidR="00F81221">
        <w:rPr>
          <w:kern w:val="0"/>
        </w:rPr>
        <w:t xml:space="preserve"> and </w:t>
      </w:r>
      <w:r>
        <w:rPr>
          <w:kern w:val="0"/>
        </w:rPr>
        <w:t>ammonium interfere in the sorption of cadmium by the zeolitic material but calcium interferes most in this process. (C) 2009 Elsevier B.V. All rights reserved.</w:t>
      </w:r>
    </w:p>
    <w:p w:rsidR="00263229" w:rsidRDefault="00263229" w:rsidP="00263229">
      <w:pPr>
        <w:pStyle w:val="a0"/>
        <w:rPr>
          <w:kern w:val="0"/>
        </w:rPr>
      </w:pPr>
      <w:r>
        <w:rPr>
          <w:kern w:val="0"/>
        </w:rPr>
        <w:t>Keywords: Adsorption, Adsorption, Ammonium, Cadmium, Cadmium, Calcium, Clinoptilolite, Clinoptilolite, Cu</w:t>
      </w:r>
      <w:r w:rsidRPr="00304697">
        <w:rPr>
          <w:kern w:val="0"/>
          <w:vertAlign w:val="superscript"/>
        </w:rPr>
        <w:t>2+</w:t>
      </w:r>
      <w:r>
        <w:rPr>
          <w:kern w:val="0"/>
        </w:rPr>
        <w:t>, Heavy-Metals, Ion-Exchange Equilibria, Kinetics, Lead, Magnesium, Natural Zeolites, Removal, Sodium, Sorption</w:t>
      </w:r>
    </w:p>
    <w:p w:rsidR="00A52DAC" w:rsidRDefault="00A52DAC" w:rsidP="00A52DAC">
      <w:pPr>
        <w:pStyle w:val="a0"/>
        <w:rPr>
          <w:kern w:val="0"/>
          <w:szCs w:val="24"/>
        </w:rPr>
      </w:pPr>
      <w:r>
        <w:rPr>
          <w:rFonts w:hint="eastAsia"/>
          <w:kern w:val="0"/>
          <w:szCs w:val="24"/>
        </w:rPr>
        <w:t xml:space="preserve">? </w:t>
      </w:r>
      <w:r>
        <w:rPr>
          <w:kern w:val="0"/>
          <w:szCs w:val="24"/>
        </w:rPr>
        <w:t>Van Nguyen, N., Lee, J.C., Jha, M.K., Yoo, K.</w:t>
      </w:r>
      <w:r w:rsidR="00F81221">
        <w:rPr>
          <w:kern w:val="0"/>
          <w:szCs w:val="24"/>
        </w:rPr>
        <w:t xml:space="preserve"> and </w:t>
      </w:r>
      <w:r>
        <w:rPr>
          <w:kern w:val="0"/>
          <w:szCs w:val="24"/>
        </w:rPr>
        <w:t xml:space="preserve">Jeong, J. (2009), Copper recovery from low concentration waste solution using Dowex G-26 resin. </w:t>
      </w:r>
      <w:r>
        <w:rPr>
          <w:i/>
          <w:iCs/>
          <w:kern w:val="0"/>
          <w:szCs w:val="24"/>
        </w:rPr>
        <w:t>Hydrometallurgy</w:t>
      </w:r>
      <w:r>
        <w:rPr>
          <w:kern w:val="0"/>
          <w:szCs w:val="24"/>
        </w:rPr>
        <w:t xml:space="preserve">, </w:t>
      </w:r>
      <w:r>
        <w:rPr>
          <w:b/>
          <w:bCs/>
          <w:kern w:val="0"/>
          <w:szCs w:val="24"/>
        </w:rPr>
        <w:lastRenderedPageBreak/>
        <w:t>97</w:t>
      </w:r>
      <w:r>
        <w:rPr>
          <w:kern w:val="0"/>
          <w:szCs w:val="24"/>
        </w:rPr>
        <w:t xml:space="preserve"> (3-4), 237-242.</w:t>
      </w:r>
    </w:p>
    <w:p w:rsidR="00A52DAC" w:rsidRDefault="00A52DAC" w:rsidP="00A52DAC">
      <w:pPr>
        <w:pStyle w:val="a0"/>
        <w:rPr>
          <w:kern w:val="0"/>
          <w:szCs w:val="24"/>
        </w:rPr>
      </w:pPr>
      <w:r>
        <w:rPr>
          <w:rFonts w:hint="eastAsia"/>
          <w:kern w:val="0"/>
          <w:szCs w:val="24"/>
        </w:rPr>
        <w:t xml:space="preserve">Full Text: </w:t>
      </w:r>
      <w:hyperlink r:id="rId801" w:history="1">
        <w:r w:rsidRPr="00717562">
          <w:rPr>
            <w:rStyle w:val="a5"/>
            <w:kern w:val="0"/>
            <w:szCs w:val="24"/>
          </w:rPr>
          <w:t>2009\Hydrometallurgy97, 237.pdf</w:t>
        </w:r>
      </w:hyperlink>
    </w:p>
    <w:p w:rsidR="00A52DAC" w:rsidRDefault="00A52DAC" w:rsidP="00A52DAC">
      <w:pPr>
        <w:pStyle w:val="a0"/>
        <w:rPr>
          <w:kern w:val="0"/>
          <w:szCs w:val="24"/>
        </w:rPr>
      </w:pPr>
      <w:r>
        <w:rPr>
          <w:kern w:val="0"/>
          <w:szCs w:val="24"/>
        </w:rPr>
        <w:t>Abstract: Huge amounts of effluent of low copper content are generated in electrical</w:t>
      </w:r>
      <w:r w:rsidR="00F81221">
        <w:rPr>
          <w:kern w:val="0"/>
          <w:szCs w:val="24"/>
        </w:rPr>
        <w:t xml:space="preserve"> and </w:t>
      </w:r>
      <w:r>
        <w:rPr>
          <w:kern w:val="0"/>
          <w:szCs w:val="24"/>
        </w:rPr>
        <w:t>electronic parts manufacturing industries. Here we report an adsorption process using strongly acidic exchanger Dowex G-26 for copper recovery from dilute sulfate solution containing 0.5-0.7 g/L copper, which is similar to the chemical</w:t>
      </w:r>
      <w:r w:rsidR="00F81221">
        <w:rPr>
          <w:kern w:val="0"/>
          <w:szCs w:val="24"/>
        </w:rPr>
        <w:t xml:space="preserve"> and </w:t>
      </w:r>
      <w:r>
        <w:rPr>
          <w:kern w:val="0"/>
          <w:szCs w:val="24"/>
        </w:rPr>
        <w:t>mechanical polishing (CMP) waste generated in electronic industries. The structures of activated</w:t>
      </w:r>
      <w:r w:rsidR="00F81221">
        <w:rPr>
          <w:kern w:val="0"/>
          <w:szCs w:val="24"/>
        </w:rPr>
        <w:t xml:space="preserve"> and </w:t>
      </w:r>
      <w:r>
        <w:rPr>
          <w:kern w:val="0"/>
          <w:szCs w:val="24"/>
        </w:rPr>
        <w:t>copper-loaded resins were compared by FT-IR spectroscopic characterization to confirm the adsorption phenomena. Various process parameters viz. contact time, solution pH, resin dose were investigated for copper recovery from the waste effluent. Copper adsorption from the solution was complete within a contact time of 14 min for an aqueous/resin (A/R) ratio of 100 mL/g</w:t>
      </w:r>
      <w:r w:rsidR="00F81221">
        <w:rPr>
          <w:kern w:val="0"/>
          <w:szCs w:val="24"/>
        </w:rPr>
        <w:t xml:space="preserve"> and </w:t>
      </w:r>
      <w:r>
        <w:rPr>
          <w:kern w:val="0"/>
          <w:szCs w:val="24"/>
        </w:rPr>
        <w:t>equilibrium pH of 2.5. The mechanism for copper adsorption by Dowex G-26 resin was found to follow a Langmuir isotherm</w:t>
      </w:r>
      <w:r w:rsidR="00F81221">
        <w:rPr>
          <w:kern w:val="0"/>
          <w:szCs w:val="24"/>
        </w:rPr>
        <w:t xml:space="preserve"> and </w:t>
      </w:r>
      <w:r>
        <w:rPr>
          <w:kern w:val="0"/>
          <w:szCs w:val="24"/>
        </w:rPr>
        <w:t>second-order reaction rate. 99.7% of the copper was eluted effectively from the loaded resin by 10% sulfuric acid at an A/R ratio of 25 in a contact time of 20 min to produce a copper-enriched solution. After copper recovery, the raffinate generated could be disposed safely without affecting the environment. (C) 2009 Elsevier B.V. All rights reserved.</w:t>
      </w:r>
    </w:p>
    <w:p w:rsidR="00A52DAC" w:rsidRDefault="00A52DAC" w:rsidP="00A52DAC">
      <w:pPr>
        <w:pStyle w:val="a0"/>
        <w:rPr>
          <w:kern w:val="0"/>
          <w:szCs w:val="24"/>
        </w:rPr>
      </w:pPr>
      <w:r>
        <w:rPr>
          <w:kern w:val="0"/>
          <w:szCs w:val="24"/>
        </w:rPr>
        <w:t xml:space="preserve">Keywords: Adsorption, Adsorptive Removal, Aqueous-Solution, Characterization, Chemical, Concentration, Copper, Copper Adsorption, Cu(II), Dowex G-26, Electronic Polishing Waste Effluent, Environment, Equilibrium, FT-IR, FTIR, Ion Exchange, Ion-Exchange-Resins, Isotherm, Kinetics, Langmuir, Langmuir Isotherm, Loaded Resin, Manufacturing, Mechanism, </w:t>
      </w:r>
      <w:r>
        <w:rPr>
          <w:rFonts w:hint="eastAsia"/>
          <w:kern w:val="0"/>
          <w:szCs w:val="24"/>
        </w:rPr>
        <w:t>p</w:t>
      </w:r>
      <w:r>
        <w:rPr>
          <w:kern w:val="0"/>
          <w:szCs w:val="24"/>
        </w:rPr>
        <w:t>H, Polishing, Recovery, Resin, Resins, Rights, Second Order, Second-Order, Solution, Sulfate, Waste, Zn(II)</w:t>
      </w:r>
    </w:p>
    <w:p w:rsidR="003A2201" w:rsidRDefault="003A2201" w:rsidP="003A2201">
      <w:pPr>
        <w:pStyle w:val="a0"/>
        <w:rPr>
          <w:kern w:val="0"/>
        </w:rPr>
      </w:pPr>
      <w:r>
        <w:rPr>
          <w:rFonts w:hint="eastAsia"/>
          <w:kern w:val="0"/>
        </w:rPr>
        <w:t xml:space="preserve">? </w:t>
      </w:r>
      <w:r>
        <w:rPr>
          <w:kern w:val="0"/>
        </w:rPr>
        <w:t>Wołowicz, A.</w:t>
      </w:r>
      <w:r w:rsidR="00F81221">
        <w:rPr>
          <w:kern w:val="0"/>
        </w:rPr>
        <w:t xml:space="preserve"> and </w:t>
      </w:r>
      <w:r>
        <w:rPr>
          <w:kern w:val="0"/>
        </w:rPr>
        <w:t xml:space="preserve">Hubicki, Z. (2009), Palladium(II) complexes adsorption from the chloride solutions with macrocomponent addition using strongly basic anion exchange resins, type 1. </w:t>
      </w:r>
      <w:r>
        <w:rPr>
          <w:i/>
          <w:iCs/>
          <w:kern w:val="0"/>
        </w:rPr>
        <w:t>Hydrometallurgy</w:t>
      </w:r>
      <w:r>
        <w:rPr>
          <w:kern w:val="0"/>
        </w:rPr>
        <w:t xml:space="preserve">, </w:t>
      </w:r>
      <w:r>
        <w:rPr>
          <w:b/>
          <w:bCs/>
          <w:kern w:val="0"/>
        </w:rPr>
        <w:t>98</w:t>
      </w:r>
      <w:r>
        <w:rPr>
          <w:kern w:val="0"/>
        </w:rPr>
        <w:t xml:space="preserve"> (3-4), 206-212.</w:t>
      </w:r>
    </w:p>
    <w:p w:rsidR="003A2201" w:rsidRDefault="003A2201" w:rsidP="003A2201">
      <w:pPr>
        <w:pStyle w:val="a0"/>
        <w:rPr>
          <w:kern w:val="2"/>
        </w:rPr>
      </w:pPr>
      <w:r w:rsidRPr="00FC7835">
        <w:t xml:space="preserve">Full Text: </w:t>
      </w:r>
      <w:hyperlink r:id="rId802" w:history="1">
        <w:r w:rsidRPr="007227AA">
          <w:rPr>
            <w:rStyle w:val="a5"/>
          </w:rPr>
          <w:t>2009\Hydrometallurgy98, 206.pdf</w:t>
        </w:r>
      </w:hyperlink>
    </w:p>
    <w:p w:rsidR="003A2201" w:rsidRDefault="003A2201" w:rsidP="003A2201">
      <w:pPr>
        <w:pStyle w:val="a0"/>
        <w:rPr>
          <w:kern w:val="0"/>
        </w:rPr>
      </w:pPr>
      <w:r>
        <w:rPr>
          <w:kern w:val="0"/>
        </w:rPr>
        <w:t>Abstract: The use of the strongly basic anion exchange resins. type 1 such as Lewatit MP-500</w:t>
      </w:r>
      <w:r w:rsidR="00F81221">
        <w:rPr>
          <w:kern w:val="0"/>
        </w:rPr>
        <w:t xml:space="preserve"> and </w:t>
      </w:r>
      <w:r>
        <w:rPr>
          <w:kern w:val="0"/>
        </w:rPr>
        <w:t>Lewatit MP-500A for palladium(II) complexes adsorption has been investigated. The adsorption process was carried out from the chloride solutions with macrocomponent (sodium chloride) addition (x M HCl-1.0 M NaCl: x M HCl-2.0 M NaCl) where the concentration of hydrochloric acid was constant</w:t>
      </w:r>
      <w:r w:rsidR="00F81221">
        <w:rPr>
          <w:kern w:val="0"/>
        </w:rPr>
        <w:t xml:space="preserve"> and </w:t>
      </w:r>
      <w:r>
        <w:rPr>
          <w:kern w:val="0"/>
        </w:rPr>
        <w:t>equal to x = 0: 0.1: 0.5; 1.0;</w:t>
      </w:r>
      <w:r w:rsidR="00F81221">
        <w:rPr>
          <w:kern w:val="0"/>
        </w:rPr>
        <w:t xml:space="preserve"> and </w:t>
      </w:r>
      <w:r>
        <w:rPr>
          <w:kern w:val="0"/>
        </w:rPr>
        <w:t>2.0 M. respectively. The breakthrough curves of Pd(II) were determined</w:t>
      </w:r>
      <w:r w:rsidR="00F81221">
        <w:rPr>
          <w:kern w:val="0"/>
        </w:rPr>
        <w:t xml:space="preserve"> and </w:t>
      </w:r>
      <w:r>
        <w:rPr>
          <w:kern w:val="0"/>
        </w:rPr>
        <w:t>the sorption parameters (weight</w:t>
      </w:r>
      <w:r w:rsidR="00F81221">
        <w:rPr>
          <w:kern w:val="0"/>
        </w:rPr>
        <w:t xml:space="preserve"> and </w:t>
      </w:r>
      <w:r>
        <w:rPr>
          <w:kern w:val="0"/>
        </w:rPr>
        <w:t>bed distribution coefficients, working anion exchange capacity) were calculated. The pseudo-second kinetic order was applied in kinetic studies as well as to calculate the kinetic parameters. The values of the working anion exchange capacities (0.029 g/cm</w:t>
      </w:r>
      <w:r w:rsidRPr="00154E72">
        <w:rPr>
          <w:kern w:val="0"/>
          <w:vertAlign w:val="superscript"/>
        </w:rPr>
        <w:t>3</w:t>
      </w:r>
      <w:r>
        <w:rPr>
          <w:kern w:val="0"/>
        </w:rPr>
        <w:t>; 0.028 g/cm</w:t>
      </w:r>
      <w:r w:rsidRPr="00154E72">
        <w:rPr>
          <w:kern w:val="0"/>
          <w:vertAlign w:val="superscript"/>
        </w:rPr>
        <w:t>3</w:t>
      </w:r>
      <w:r>
        <w:rPr>
          <w:kern w:val="0"/>
        </w:rPr>
        <w:t>) for Lewatit MP-500</w:t>
      </w:r>
      <w:r w:rsidR="00F81221">
        <w:rPr>
          <w:kern w:val="0"/>
        </w:rPr>
        <w:t xml:space="preserve"> and </w:t>
      </w:r>
      <w:r>
        <w:rPr>
          <w:kern w:val="0"/>
        </w:rPr>
        <w:t>Lewatit MP-500A (0.028 g/cm</w:t>
      </w:r>
      <w:r w:rsidRPr="00154E72">
        <w:rPr>
          <w:kern w:val="0"/>
          <w:vertAlign w:val="superscript"/>
        </w:rPr>
        <w:t>3</w:t>
      </w:r>
      <w:r>
        <w:rPr>
          <w:kern w:val="0"/>
        </w:rPr>
        <w:t>; 0.027 g/cm</w:t>
      </w:r>
      <w:r w:rsidRPr="00154E72">
        <w:rPr>
          <w:kern w:val="0"/>
          <w:vertAlign w:val="superscript"/>
        </w:rPr>
        <w:t>3</w:t>
      </w:r>
      <w:r>
        <w:rPr>
          <w:kern w:val="0"/>
        </w:rPr>
        <w:t xml:space="preserve">) in the 1.0 M </w:t>
      </w:r>
      <w:r>
        <w:rPr>
          <w:kern w:val="0"/>
        </w:rPr>
        <w:lastRenderedPageBreak/>
        <w:t>NaCl</w:t>
      </w:r>
      <w:r w:rsidR="00F81221">
        <w:rPr>
          <w:kern w:val="0"/>
        </w:rPr>
        <w:t xml:space="preserve"> and </w:t>
      </w:r>
      <w:r>
        <w:rPr>
          <w:kern w:val="0"/>
        </w:rPr>
        <w:t>0.1 M HCl-1.0 M NaCl solutions, respectively are really close</w:t>
      </w:r>
      <w:r w:rsidR="00F81221">
        <w:rPr>
          <w:kern w:val="0"/>
        </w:rPr>
        <w:t xml:space="preserve"> and </w:t>
      </w:r>
      <w:r>
        <w:rPr>
          <w:kern w:val="0"/>
        </w:rPr>
        <w:t>in other solutions under discussion Lewatit MP-500 possess slightly higher values of capacities,</w:t>
      </w:r>
      <w:r w:rsidR="00F81221">
        <w:rPr>
          <w:kern w:val="0"/>
        </w:rPr>
        <w:t xml:space="preserve"> and </w:t>
      </w:r>
      <w:r>
        <w:rPr>
          <w:kern w:val="0"/>
        </w:rPr>
        <w:t>therefore is insignificantly more efficient in the adsorption process of palladium(II) ions than Lewatit MP-500A. The equilibrium adsorption capacities changed in the range 8.84-9.99</w:t>
      </w:r>
      <w:r w:rsidR="00F81221">
        <w:rPr>
          <w:kern w:val="0"/>
        </w:rPr>
        <w:t xml:space="preserve"> and </w:t>
      </w:r>
      <w:r>
        <w:rPr>
          <w:kern w:val="0"/>
        </w:rPr>
        <w:t>8.40-9.38 mg/g for Lewatit MP-500 as well as 8.12-9.57</w:t>
      </w:r>
      <w:r w:rsidR="00F81221">
        <w:rPr>
          <w:kern w:val="0"/>
        </w:rPr>
        <w:t xml:space="preserve"> and </w:t>
      </w:r>
      <w:r>
        <w:rPr>
          <w:kern w:val="0"/>
        </w:rPr>
        <w:t>7.26-8.85 mg/g for Lewatit MP-500A in the chloride x M HCl-1.0 M NaCl</w:t>
      </w:r>
      <w:r w:rsidR="00F81221">
        <w:rPr>
          <w:kern w:val="0"/>
        </w:rPr>
        <w:t xml:space="preserve"> and </w:t>
      </w:r>
      <w:r>
        <w:rPr>
          <w:kern w:val="0"/>
        </w:rPr>
        <w:t>x M HCl-2.0 M NaCl solutions. respectively. The adsorption process proceeds according to the pseudo-second kinetic order. (C) 2009 Elsevier B.V. All rights reserved.</w:t>
      </w:r>
    </w:p>
    <w:p w:rsidR="003A2201" w:rsidRDefault="003A2201" w:rsidP="003A2201">
      <w:pPr>
        <w:pStyle w:val="a0"/>
        <w:rPr>
          <w:kern w:val="0"/>
        </w:rPr>
      </w:pPr>
      <w:r>
        <w:rPr>
          <w:kern w:val="0"/>
        </w:rPr>
        <w:t>Keywords: Adsorption, Adsorption Capacities, Breakthrough, Breakthrough Curves, Capacity, Chloride, Chloride Solutions, Concentration, Distribution, Equilibrium, Intermediate, Ion-Exchange, Ions, Kinetic, Kinetic Parameters, Kinetic Studies, Kinetics, Kinetics, Models, NaCl, Palladium(II), Pd(II), Platinum-Group Metals, Preconcentration, Recovery, Resins, Rights, Selective Separation, Sodium, Sodium Chloride, Solutions, Sorption, Spectrophotometric Determination, Strongly Basic Anion Exchange Resin</w:t>
      </w:r>
    </w:p>
    <w:p w:rsidR="003A2201" w:rsidRDefault="003A2201" w:rsidP="003A2201">
      <w:pPr>
        <w:pStyle w:val="a0"/>
        <w:rPr>
          <w:kern w:val="0"/>
        </w:rPr>
      </w:pPr>
      <w:r>
        <w:rPr>
          <w:rFonts w:hint="eastAsia"/>
          <w:kern w:val="0"/>
        </w:rPr>
        <w:t xml:space="preserve">? </w:t>
      </w:r>
      <w:r>
        <w:rPr>
          <w:kern w:val="0"/>
        </w:rPr>
        <w:t>Navarro, R., Gallardo, V., Saucedo, I.</w:t>
      </w:r>
      <w:r w:rsidR="00F81221">
        <w:rPr>
          <w:kern w:val="0"/>
        </w:rPr>
        <w:t xml:space="preserve"> and </w:t>
      </w:r>
      <w:r>
        <w:rPr>
          <w:kern w:val="0"/>
        </w:rPr>
        <w:t xml:space="preserve">Guibal, E. (2009), Extraction of Fe(III) from hydrochloric acid solutions using Amberlite XAD-7 resin impregnated with trioctylphosphine oxide (Cyanex 921). </w:t>
      </w:r>
      <w:r>
        <w:rPr>
          <w:i/>
          <w:iCs/>
          <w:kern w:val="0"/>
        </w:rPr>
        <w:t>Hydrometallurgy</w:t>
      </w:r>
      <w:r>
        <w:rPr>
          <w:kern w:val="0"/>
        </w:rPr>
        <w:t xml:space="preserve">, </w:t>
      </w:r>
      <w:r>
        <w:rPr>
          <w:b/>
          <w:bCs/>
          <w:kern w:val="0"/>
        </w:rPr>
        <w:t>98</w:t>
      </w:r>
      <w:r>
        <w:rPr>
          <w:kern w:val="0"/>
        </w:rPr>
        <w:t xml:space="preserve"> (3-4), 257-266.</w:t>
      </w:r>
    </w:p>
    <w:p w:rsidR="003A2201" w:rsidRDefault="003A2201" w:rsidP="003A2201">
      <w:pPr>
        <w:pStyle w:val="a0"/>
        <w:rPr>
          <w:kern w:val="2"/>
        </w:rPr>
      </w:pPr>
      <w:r w:rsidRPr="00FC7835">
        <w:t xml:space="preserve">Full Text: </w:t>
      </w:r>
      <w:hyperlink r:id="rId803" w:history="1">
        <w:r w:rsidRPr="009D1449">
          <w:rPr>
            <w:rStyle w:val="a5"/>
          </w:rPr>
          <w:t>2009\Hydrometallurgy98, 257.pdf</w:t>
        </w:r>
      </w:hyperlink>
    </w:p>
    <w:p w:rsidR="003A2201" w:rsidRDefault="003A2201" w:rsidP="003A2201">
      <w:pPr>
        <w:pStyle w:val="a0"/>
        <w:rPr>
          <w:kern w:val="0"/>
        </w:rPr>
      </w:pPr>
      <w:r>
        <w:rPr>
          <w:kern w:val="0"/>
        </w:rPr>
        <w:t>Abstract: Ferric ions were efficiently removed from HCl solutions using Amberlite XAD-7 resin impregnated with trioctylphosphine oxide (Cyanex 921). Iron was removed under the form HFeCl</w:t>
      </w:r>
      <w:r w:rsidRPr="00905086">
        <w:rPr>
          <w:kern w:val="0"/>
          <w:vertAlign w:val="subscript"/>
        </w:rPr>
        <w:t>4</w:t>
      </w:r>
      <w:r>
        <w:rPr>
          <w:kern w:val="0"/>
        </w:rPr>
        <w:t xml:space="preserve"> through direct binding on the resin or by extraction with Cyanex 921 involving a solvation mechanism. High concentrations of HCl</w:t>
      </w:r>
      <w:r w:rsidR="00F81221">
        <w:rPr>
          <w:kern w:val="0"/>
        </w:rPr>
        <w:t xml:space="preserve"> and </w:t>
      </w:r>
      <w:r>
        <w:rPr>
          <w:kern w:val="0"/>
        </w:rPr>
        <w:t>intermediary extractant loadings were required for maximum sorption efficiency</w:t>
      </w:r>
      <w:r w:rsidR="00F81221">
        <w:rPr>
          <w:kern w:val="0"/>
        </w:rPr>
        <w:t xml:space="preserve"> and </w:t>
      </w:r>
      <w:r>
        <w:rPr>
          <w:kern w:val="0"/>
        </w:rPr>
        <w:t>rationale use of the extractant. At intermediary extractant loading (in the range 300-450 mg Cyanex 921 g</w:t>
      </w:r>
      <w:r>
        <w:rPr>
          <w:rFonts w:hint="eastAsia"/>
          <w:kern w:val="0"/>
          <w:vertAlign w:val="superscript"/>
        </w:rPr>
        <w:t>-1</w:t>
      </w:r>
      <w:r>
        <w:rPr>
          <w:kern w:val="0"/>
        </w:rPr>
        <w:t>) the maximum sorption capacity increased with extractant loading. Maximum sorption capacity slightly increased with temperature, the reaction is endothermic</w:t>
      </w:r>
      <w:r w:rsidR="00F81221">
        <w:rPr>
          <w:kern w:val="0"/>
        </w:rPr>
        <w:t xml:space="preserve"> and </w:t>
      </w:r>
      <w:r>
        <w:rPr>
          <w:kern w:val="0"/>
        </w:rPr>
        <w:t>the enthalpy change was found close to -30.8 kJ mol</w:t>
      </w:r>
      <w:r>
        <w:rPr>
          <w:rFonts w:hint="eastAsia"/>
          <w:kern w:val="0"/>
          <w:vertAlign w:val="superscript"/>
        </w:rPr>
        <w:t>-2</w:t>
      </w:r>
      <w:r>
        <w:rPr>
          <w:kern w:val="0"/>
        </w:rPr>
        <w:t>. Sorption isotherms were fitted with the Langmuir equation</w:t>
      </w:r>
      <w:r w:rsidR="00F81221">
        <w:rPr>
          <w:kern w:val="0"/>
        </w:rPr>
        <w:t xml:space="preserve"> and </w:t>
      </w:r>
      <w:r>
        <w:rPr>
          <w:kern w:val="0"/>
        </w:rPr>
        <w:t>maximum sorption capacity reached values as high as 20-22 mg Fe g</w:t>
      </w:r>
      <w:r>
        <w:rPr>
          <w:rFonts w:hint="eastAsia"/>
          <w:kern w:val="0"/>
          <w:vertAlign w:val="superscript"/>
        </w:rPr>
        <w:t>-1</w:t>
      </w:r>
      <w:r>
        <w:rPr>
          <w:kern w:val="0"/>
        </w:rPr>
        <w:t xml:space="preserve"> in 3 M HCl solutions. Despite the good fit of experimental data with the pseudo second-order rate equation, sorption kinetics was controlled by the resistance to intraparticle diffusion. The intraparticle diffusion coefficient (</w:t>
      </w:r>
      <w:r w:rsidR="008A4591">
        <w:rPr>
          <w:kern w:val="0"/>
        </w:rPr>
        <w:t>D-e) varying in the range 1.2</w:t>
      </w:r>
      <w:r w:rsidR="008A4591">
        <w:rPr>
          <w:kern w:val="0"/>
        </w:rPr>
        <w:sym w:font="Symbol" w:char="F0B4"/>
      </w:r>
      <w:r>
        <w:rPr>
          <w:kern w:val="0"/>
        </w:rPr>
        <w:t>10</w:t>
      </w:r>
      <w:r>
        <w:rPr>
          <w:rFonts w:hint="eastAsia"/>
          <w:kern w:val="0"/>
          <w:vertAlign w:val="superscript"/>
        </w:rPr>
        <w:t>-11</w:t>
      </w:r>
      <w:r w:rsidR="008A4591">
        <w:rPr>
          <w:kern w:val="0"/>
        </w:rPr>
        <w:t>-4.7</w:t>
      </w:r>
      <w:r w:rsidR="008A4591">
        <w:rPr>
          <w:kern w:val="0"/>
        </w:rPr>
        <w:sym w:font="Symbol" w:char="F0B4"/>
      </w:r>
      <w:r>
        <w:rPr>
          <w:kern w:val="0"/>
        </w:rPr>
        <w:t>10</w:t>
      </w:r>
      <w:r>
        <w:rPr>
          <w:rFonts w:hint="eastAsia"/>
          <w:kern w:val="0"/>
          <w:vertAlign w:val="superscript"/>
        </w:rPr>
        <w:t>-10</w:t>
      </w:r>
      <w:r>
        <w:rPr>
          <w:kern w:val="0"/>
        </w:rPr>
        <w:t xml:space="preserve"> m</w:t>
      </w:r>
      <w:r>
        <w:rPr>
          <w:rFonts w:hint="eastAsia"/>
          <w:kern w:val="0"/>
          <w:vertAlign w:val="superscript"/>
        </w:rPr>
        <w:t>2</w:t>
      </w:r>
      <w:r>
        <w:rPr>
          <w:kern w:val="0"/>
        </w:rPr>
        <w:t xml:space="preserve"> min</w:t>
      </w:r>
      <w:r>
        <w:rPr>
          <w:rFonts w:hint="eastAsia"/>
          <w:kern w:val="0"/>
          <w:vertAlign w:val="superscript"/>
        </w:rPr>
        <w:t>-1</w:t>
      </w:r>
      <w:r>
        <w:rPr>
          <w:kern w:val="0"/>
        </w:rPr>
        <w:t xml:space="preserve"> was found to increase with metal concentration</w:t>
      </w:r>
      <w:r w:rsidR="00F81221">
        <w:rPr>
          <w:kern w:val="0"/>
        </w:rPr>
        <w:t xml:space="preserve"> and </w:t>
      </w:r>
      <w:r>
        <w:rPr>
          <w:kern w:val="0"/>
        </w:rPr>
        <w:t>with temperature, while varying the extractant loading it reached a maximum at a loading close to 453 mg Cyanex 921 g</w:t>
      </w:r>
      <w:r>
        <w:rPr>
          <w:rFonts w:hint="eastAsia"/>
          <w:kern w:val="0"/>
          <w:vertAlign w:val="superscript"/>
        </w:rPr>
        <w:t>-1</w:t>
      </w:r>
      <w:r>
        <w:rPr>
          <w:kern w:val="0"/>
        </w:rPr>
        <w:t>. The desorption of Fe(III) can be achieved using 0.1 M solutions of nitric acid, sulfuric acid, sodium sulfate</w:t>
      </w:r>
      <w:r w:rsidR="00F81221">
        <w:rPr>
          <w:kern w:val="0"/>
        </w:rPr>
        <w:t xml:space="preserve"> and </w:t>
      </w:r>
      <w:r>
        <w:rPr>
          <w:kern w:val="0"/>
        </w:rPr>
        <w:t>even water, maintaining high efficiencies for sorption</w:t>
      </w:r>
      <w:r w:rsidR="00F81221">
        <w:rPr>
          <w:kern w:val="0"/>
        </w:rPr>
        <w:t xml:space="preserve"> and </w:t>
      </w:r>
      <w:r>
        <w:rPr>
          <w:kern w:val="0"/>
        </w:rPr>
        <w:t xml:space="preserve">desorption for at least 5 cycles. (C) 2009 Elsevier B.V. </w:t>
      </w:r>
      <w:r>
        <w:rPr>
          <w:kern w:val="0"/>
        </w:rPr>
        <w:lastRenderedPageBreak/>
        <w:t>All rights reserved.</w:t>
      </w:r>
    </w:p>
    <w:p w:rsidR="003A2201" w:rsidRDefault="003A2201" w:rsidP="003A2201">
      <w:pPr>
        <w:pStyle w:val="a0"/>
        <w:rPr>
          <w:kern w:val="0"/>
        </w:rPr>
      </w:pPr>
      <w:r>
        <w:rPr>
          <w:kern w:val="0"/>
        </w:rPr>
        <w:t>Keywords: Adsorption, Aqueous Chloride Solutions, Binding, Cadmium, Capacity, Concentration, Cyanex 921, Data, Desorption, Diffusion, Diffusion Coefficient, Efficiency, Endothermic, Enthalpy, Experimental, Extractant Impregnated Resin, Extraction, Fe(III), Intraparticle Diffusion, Ions, Iron, Isotherms, Kinetics, Langmuir, Langmuir Equation, Liquid-Liquid-Extraction, Loading, Loadings, Mechanism, Metal, Metal-Ions, Octyl Phosphine Oxide, Oxide, Pseudo Second Order, Pseudo Second-Order, Pseudo-Second-Order, Recovery, Resin, Resistance, Rights, Salvation Mechanism, Second Order, Second-Order, Separation, Sodium, Solutions, Solvent-Extraction, Sorption, Sorption Capacity, Sorption Isotherms, Sorption Kinetics, Sulfate, Temperature, The Good, Trioctylphosphine Oxide, Water, Zinc(II) Extraction</w:t>
      </w:r>
    </w:p>
    <w:p w:rsidR="008A4591" w:rsidRDefault="008A4591" w:rsidP="008A4591">
      <w:pPr>
        <w:pStyle w:val="a0"/>
        <w:rPr>
          <w:kern w:val="0"/>
        </w:rPr>
      </w:pPr>
      <w:r>
        <w:rPr>
          <w:rFonts w:hint="eastAsia"/>
          <w:kern w:val="0"/>
        </w:rPr>
        <w:t xml:space="preserve">? </w:t>
      </w:r>
      <w:r>
        <w:rPr>
          <w:kern w:val="0"/>
        </w:rPr>
        <w:t>Qu, R.J., Sun, C.M., Wang, M.H., Ji, C.N., Xu, Q., Zhang, Y., Wang, C.H., Chen, H.</w:t>
      </w:r>
      <w:r w:rsidR="00F81221">
        <w:rPr>
          <w:kern w:val="0"/>
        </w:rPr>
        <w:t xml:space="preserve"> and </w:t>
      </w:r>
      <w:r>
        <w:rPr>
          <w:kern w:val="0"/>
        </w:rPr>
        <w:t xml:space="preserve">Yin, P. (2009), Adsorption of Au(III) from aqueous solution using cotton fiber/chitosan composite adsorbents. </w:t>
      </w:r>
      <w:r>
        <w:rPr>
          <w:i/>
          <w:iCs/>
          <w:kern w:val="0"/>
        </w:rPr>
        <w:t>Hydrometallurgy</w:t>
      </w:r>
      <w:r>
        <w:rPr>
          <w:kern w:val="0"/>
        </w:rPr>
        <w:t xml:space="preserve">, </w:t>
      </w:r>
      <w:r>
        <w:rPr>
          <w:b/>
          <w:bCs/>
          <w:kern w:val="0"/>
        </w:rPr>
        <w:t>100</w:t>
      </w:r>
      <w:r>
        <w:rPr>
          <w:kern w:val="0"/>
        </w:rPr>
        <w:t xml:space="preserve"> (1-2), 65-71.</w:t>
      </w:r>
    </w:p>
    <w:p w:rsidR="008A4591" w:rsidRDefault="008A4591" w:rsidP="008A4591">
      <w:pPr>
        <w:pStyle w:val="a0"/>
        <w:rPr>
          <w:kern w:val="0"/>
        </w:rPr>
      </w:pPr>
      <w:r>
        <w:rPr>
          <w:kern w:val="0"/>
        </w:rPr>
        <w:t>Full Text:</w:t>
      </w:r>
      <w:r w:rsidRPr="00B025C1">
        <w:t xml:space="preserve"> </w:t>
      </w:r>
      <w:hyperlink r:id="rId804" w:history="1">
        <w:r w:rsidRPr="00A64A7F">
          <w:rPr>
            <w:rStyle w:val="a5"/>
          </w:rPr>
          <w:t>2009\Hydrometallurgy100, 65.pdf</w:t>
        </w:r>
      </w:hyperlink>
    </w:p>
    <w:p w:rsidR="008A4591" w:rsidRDefault="008A4591" w:rsidP="008A4591">
      <w:pPr>
        <w:pStyle w:val="a0"/>
        <w:rPr>
          <w:kern w:val="0"/>
        </w:rPr>
      </w:pPr>
      <w:r>
        <w:rPr>
          <w:kern w:val="0"/>
        </w:rPr>
        <w:t>Abstract: Two kinds of cotton fiber/chitosan composite adsorbents (SCCH</w:t>
      </w:r>
      <w:r w:rsidR="00F81221">
        <w:rPr>
          <w:kern w:val="0"/>
        </w:rPr>
        <w:t xml:space="preserve"> and </w:t>
      </w:r>
      <w:r>
        <w:rPr>
          <w:kern w:val="0"/>
        </w:rPr>
        <w:t>RCCH) were employed to adsorb Au(III) ions from aqueous solution. The adsorption kinetics</w:t>
      </w:r>
      <w:r w:rsidR="00F81221">
        <w:rPr>
          <w:kern w:val="0"/>
        </w:rPr>
        <w:t xml:space="preserve"> and </w:t>
      </w:r>
      <w:r>
        <w:rPr>
          <w:kern w:val="0"/>
        </w:rPr>
        <w:t>adsorption isotherms of the two fibers for Au(III) were investigated. The experimental results revealed that the adsorption kinetics of SCCH</w:t>
      </w:r>
      <w:r w:rsidR="00F81221">
        <w:rPr>
          <w:kern w:val="0"/>
        </w:rPr>
        <w:t xml:space="preserve"> and </w:t>
      </w:r>
      <w:r>
        <w:rPr>
          <w:kern w:val="0"/>
        </w:rPr>
        <w:t>RCCH fibers for Au(III) was described by the pseudo second-order reaction model. The adsorption isotherm data of Au(III) on the surface of SCCH</w:t>
      </w:r>
      <w:r w:rsidR="00F81221">
        <w:rPr>
          <w:kern w:val="0"/>
        </w:rPr>
        <w:t xml:space="preserve"> and </w:t>
      </w:r>
      <w:r>
        <w:rPr>
          <w:kern w:val="0"/>
        </w:rPr>
        <w:t>RCCH fibers were fitted by linear</w:t>
      </w:r>
      <w:r w:rsidR="00F81221">
        <w:rPr>
          <w:kern w:val="0"/>
        </w:rPr>
        <w:t xml:space="preserve"> and </w:t>
      </w:r>
      <w:r>
        <w:rPr>
          <w:kern w:val="0"/>
        </w:rPr>
        <w:t>non-linear methods of the Freundlich, Langmuir</w:t>
      </w:r>
      <w:r w:rsidR="00F81221">
        <w:rPr>
          <w:kern w:val="0"/>
        </w:rPr>
        <w:t xml:space="preserve"> and </w:t>
      </w:r>
      <w:r>
        <w:rPr>
          <w:kern w:val="0"/>
        </w:rPr>
        <w:t>Redlich-Peterson isotherms. The results confirmed that both linear</w:t>
      </w:r>
      <w:r w:rsidR="00F81221">
        <w:rPr>
          <w:kern w:val="0"/>
        </w:rPr>
        <w:t xml:space="preserve"> and </w:t>
      </w:r>
      <w:r>
        <w:rPr>
          <w:kern w:val="0"/>
        </w:rPr>
        <w:t>non-linear forms of the above-mentioned three models can be used to describe adsorption of Au(III) on the surface of the two fibers</w:t>
      </w:r>
      <w:r w:rsidR="00F81221">
        <w:rPr>
          <w:kern w:val="0"/>
        </w:rPr>
        <w:t xml:space="preserve"> and </w:t>
      </w:r>
      <w:r>
        <w:rPr>
          <w:kern w:val="0"/>
        </w:rPr>
        <w:t>to predict the isotherm parameters. The linear Langmuir</w:t>
      </w:r>
      <w:r w:rsidR="00F81221">
        <w:rPr>
          <w:kern w:val="0"/>
        </w:rPr>
        <w:t xml:space="preserve"> and </w:t>
      </w:r>
      <w:r>
        <w:rPr>
          <w:kern w:val="0"/>
        </w:rPr>
        <w:t>non-linear Langmuir</w:t>
      </w:r>
      <w:r w:rsidR="00F81221">
        <w:rPr>
          <w:kern w:val="0"/>
        </w:rPr>
        <w:t xml:space="preserve"> and </w:t>
      </w:r>
      <w:r>
        <w:rPr>
          <w:kern w:val="0"/>
        </w:rPr>
        <w:t>Redlich-Peterson models are best-fit isotherms for the experimental data. Redlich-Peterson is a special case of Langmuir when the Redlich-Peterson isotherm constant g is set equal to unity. The investigation of adsorption selectivity showed that the SCCH</w:t>
      </w:r>
      <w:r w:rsidR="00F81221">
        <w:rPr>
          <w:kern w:val="0"/>
        </w:rPr>
        <w:t xml:space="preserve"> and </w:t>
      </w:r>
      <w:r>
        <w:rPr>
          <w:kern w:val="0"/>
        </w:rPr>
        <w:t>RCCH fibers displayed strong affinity for gold in the solution</w:t>
      </w:r>
      <w:r w:rsidR="00F81221">
        <w:rPr>
          <w:kern w:val="0"/>
        </w:rPr>
        <w:t xml:space="preserve"> and </w:t>
      </w:r>
      <w:r>
        <w:rPr>
          <w:kern w:val="0"/>
        </w:rPr>
        <w:t>both exhibited 100% selectivity for the gold in the presence of Ni(II), Cd(II), Zn(II), Co(II),</w:t>
      </w:r>
      <w:r w:rsidR="00F81221">
        <w:rPr>
          <w:kern w:val="0"/>
        </w:rPr>
        <w:t xml:space="preserve"> and </w:t>
      </w:r>
      <w:r>
        <w:rPr>
          <w:kern w:val="0"/>
        </w:rPr>
        <w:t>Mn(II). (C) 2009 Elsevier B.V. All rights reserved.</w:t>
      </w:r>
    </w:p>
    <w:p w:rsidR="008A4591" w:rsidRDefault="008A4591" w:rsidP="008A4591">
      <w:pPr>
        <w:pStyle w:val="a0"/>
        <w:rPr>
          <w:kern w:val="0"/>
        </w:rPr>
      </w:pPr>
      <w:r>
        <w:rPr>
          <w:kern w:val="0"/>
        </w:rPr>
        <w:t xml:space="preserve">Keywords: Adsorbents, Adsorption, Adsorption Isotherm, Adsorption Isotherms, Adsorption Kinetics, Adsorption Selectivity, Aqueous Solution, Au(III), Cd(II), Co(II), Composite, Cotton Fiber, Chitosan Adsorbent, Cross-Linked Chitosan, Data, Equilibrium, Experimental, Fibers, Forms, Freundlich, Gold, Gold Recovery, Gold(III) Ions, Investigation, Ions, Isotherm, Isotherm Parameters, Isotherms, Kinetics, Langmuir, Metal-Ions, Methods, Model, Models, Ni(II), Nonporous </w:t>
      </w:r>
      <w:r>
        <w:rPr>
          <w:kern w:val="0"/>
        </w:rPr>
        <w:lastRenderedPageBreak/>
        <w:t>Glass-Beads, Pseudo Second Order, Pseudo Second-Order, Pseudo-Second-Order, Redlich-Peterson, Removal, Rights, Second Order, Second-Order, Selectivity, Solution, Solvent-Extraction, Surface, Tree Fern, Waste-Water, Zn(II)</w:t>
      </w:r>
    </w:p>
    <w:p w:rsidR="001C39AF" w:rsidRDefault="001C39AF" w:rsidP="001C39AF">
      <w:pPr>
        <w:pStyle w:val="a0"/>
        <w:rPr>
          <w:kern w:val="0"/>
        </w:rPr>
      </w:pPr>
      <w:r>
        <w:rPr>
          <w:rFonts w:hint="eastAsia"/>
          <w:kern w:val="0"/>
        </w:rPr>
        <w:t xml:space="preserve">? </w:t>
      </w:r>
      <w:r>
        <w:rPr>
          <w:kern w:val="0"/>
        </w:rPr>
        <w:t xml:space="preserve">Das, N. (2010), Recovery of precious metals through biosorption - A review. </w:t>
      </w:r>
      <w:r>
        <w:rPr>
          <w:i/>
          <w:iCs/>
          <w:kern w:val="0"/>
        </w:rPr>
        <w:t>Hydrometallurgy</w:t>
      </w:r>
      <w:r>
        <w:rPr>
          <w:kern w:val="0"/>
        </w:rPr>
        <w:t xml:space="preserve">, </w:t>
      </w:r>
      <w:r>
        <w:rPr>
          <w:b/>
          <w:bCs/>
          <w:kern w:val="0"/>
        </w:rPr>
        <w:t>103</w:t>
      </w:r>
      <w:r>
        <w:rPr>
          <w:kern w:val="0"/>
        </w:rPr>
        <w:t xml:space="preserve"> (1-4), 180-189.</w:t>
      </w:r>
    </w:p>
    <w:p w:rsidR="001C39AF" w:rsidRDefault="001C39AF" w:rsidP="001C39AF">
      <w:pPr>
        <w:pStyle w:val="a0"/>
        <w:rPr>
          <w:kern w:val="0"/>
        </w:rPr>
      </w:pPr>
      <w:r>
        <w:rPr>
          <w:kern w:val="0"/>
        </w:rPr>
        <w:t>Full Text:</w:t>
      </w:r>
      <w:r w:rsidRPr="00B025C1">
        <w:t xml:space="preserve"> </w:t>
      </w:r>
      <w:hyperlink r:id="rId805" w:history="1">
        <w:r w:rsidRPr="001C39AF">
          <w:rPr>
            <w:rStyle w:val="a5"/>
          </w:rPr>
          <w:t>2010\Hydrometallurgy103, 180.pdf</w:t>
        </w:r>
      </w:hyperlink>
    </w:p>
    <w:p w:rsidR="001C39AF" w:rsidRDefault="001C39AF" w:rsidP="001C39AF">
      <w:pPr>
        <w:pStyle w:val="a0"/>
        <w:rPr>
          <w:kern w:val="0"/>
        </w:rPr>
      </w:pPr>
      <w:r>
        <w:rPr>
          <w:kern w:val="0"/>
        </w:rPr>
        <w:t>Abstract: Recovery of precious metals like gold, silver, palladium platinum etc. is interesting due to its high market prices along with various industrial applications. Conventional technologies viz, ion exchange, chemical binding, surface precipitation etc. which been have been developed for the recovery of such metals are not economically attractive. Biosorption represents a biotechnological innovation as well as a cost effective excellent tool for recovery of precious metals from aqueous solutions. A variety of biomaterials are known to bind the precious metals including algae, fungi, bacteria actinomycetes, yeast etc. along with some biopolymers</w:t>
      </w:r>
      <w:r w:rsidR="00F81221">
        <w:rPr>
          <w:kern w:val="0"/>
        </w:rPr>
        <w:t xml:space="preserve"> and </w:t>
      </w:r>
      <w:r>
        <w:rPr>
          <w:kern w:val="0"/>
        </w:rPr>
        <w:t>biowaste materials. The metal binding mechanism, as well as the parameters influencing the uptake of precious metals</w:t>
      </w:r>
      <w:r w:rsidR="00F81221">
        <w:rPr>
          <w:kern w:val="0"/>
        </w:rPr>
        <w:t xml:space="preserve"> and </w:t>
      </w:r>
      <w:r>
        <w:rPr>
          <w:kern w:val="0"/>
        </w:rPr>
        <w:t>isotherm modeling are presented. This article provides an overview of past achievements</w:t>
      </w:r>
      <w:r w:rsidR="00F81221">
        <w:rPr>
          <w:kern w:val="0"/>
        </w:rPr>
        <w:t xml:space="preserve"> and </w:t>
      </w:r>
      <w:r>
        <w:rPr>
          <w:kern w:val="0"/>
        </w:rPr>
        <w:t>present scenario of biosorption studies carried out on the use of some promising biosorbents which could serve as an economical means for recovering precious metals. The present review also highlights the use of biosorbents in real situations</w:t>
      </w:r>
      <w:r w:rsidR="00F81221">
        <w:rPr>
          <w:kern w:val="0"/>
        </w:rPr>
        <w:t xml:space="preserve"> and </w:t>
      </w:r>
      <w:r>
        <w:rPr>
          <w:kern w:val="0"/>
        </w:rPr>
        <w:t>hopes to provide insights into this research frontier. (C) 2010 Elsevier B.V. All rights reserved.</w:t>
      </w:r>
    </w:p>
    <w:p w:rsidR="001C39AF" w:rsidRDefault="001C39AF" w:rsidP="001C39AF">
      <w:pPr>
        <w:pStyle w:val="a0"/>
        <w:rPr>
          <w:kern w:val="0"/>
        </w:rPr>
      </w:pPr>
      <w:r>
        <w:rPr>
          <w:kern w:val="0"/>
        </w:rPr>
        <w:t>Keywords: Alfalfa Biomass, Alkaline Cyanide Solution, Aqueous-Solution, Aspergillus-Niger, Biosorbent, Biosorption, Chlorella-Vulgaris, Cladosporium-Cladosporioides, Gold, Gold Recovery, Heavy-Metals, Isotherm, Linked Chitosan Resin, Mechanism, Palladium, Platinum, Precious Metal, Recovery, Research, Saccharomyces-Cerevisiae, Silver</w:t>
      </w:r>
    </w:p>
    <w:p w:rsidR="003B132D" w:rsidRDefault="003B132D" w:rsidP="003B132D">
      <w:pPr>
        <w:pStyle w:val="a0"/>
        <w:rPr>
          <w:kern w:val="0"/>
        </w:rPr>
      </w:pPr>
      <w:r>
        <w:rPr>
          <w:kern w:val="0"/>
        </w:rPr>
        <w:t>? Liu, Y.H., Cao, X.H., Hua, R., Wang, Y.Q., Liu, Y.T., Pang, C.</w:t>
      </w:r>
      <w:r w:rsidR="00F81221">
        <w:rPr>
          <w:kern w:val="0"/>
        </w:rPr>
        <w:t xml:space="preserve"> and </w:t>
      </w:r>
      <w:r>
        <w:rPr>
          <w:kern w:val="0"/>
        </w:rPr>
        <w:t xml:space="preserve">Wang, Y. (2010), Selective adsorption of uranyl ion on ion-imprinted chitosan/PVA cross-linked hydrogel. </w:t>
      </w:r>
      <w:r>
        <w:rPr>
          <w:i/>
          <w:iCs/>
          <w:kern w:val="0"/>
        </w:rPr>
        <w:t>Hydrometallurgy</w:t>
      </w:r>
      <w:r>
        <w:rPr>
          <w:kern w:val="0"/>
        </w:rPr>
        <w:t xml:space="preserve">, </w:t>
      </w:r>
      <w:r>
        <w:rPr>
          <w:b/>
          <w:bCs/>
          <w:kern w:val="0"/>
        </w:rPr>
        <w:t>104</w:t>
      </w:r>
      <w:r>
        <w:rPr>
          <w:kern w:val="0"/>
        </w:rPr>
        <w:t xml:space="preserve"> (2), 150-155.</w:t>
      </w:r>
    </w:p>
    <w:p w:rsidR="003B132D" w:rsidRPr="00F03D2F" w:rsidRDefault="003B132D" w:rsidP="003B132D">
      <w:pPr>
        <w:pStyle w:val="a0"/>
        <w:rPr>
          <w:kern w:val="0"/>
        </w:rPr>
      </w:pPr>
      <w:r w:rsidRPr="00F03D2F">
        <w:rPr>
          <w:kern w:val="0"/>
        </w:rPr>
        <w:t>Full Text:</w:t>
      </w:r>
      <w:r w:rsidRPr="00D7601C">
        <w:t xml:space="preserve"> </w:t>
      </w:r>
      <w:hyperlink r:id="rId806" w:history="1">
        <w:r w:rsidRPr="005D5739">
          <w:rPr>
            <w:rStyle w:val="a5"/>
          </w:rPr>
          <w:t>2010\Hydrometallurgy104, 150.pdf</w:t>
        </w:r>
      </w:hyperlink>
    </w:p>
    <w:p w:rsidR="003B132D" w:rsidRDefault="003B132D" w:rsidP="003B132D">
      <w:pPr>
        <w:pStyle w:val="a0"/>
        <w:rPr>
          <w:kern w:val="0"/>
        </w:rPr>
      </w:pPr>
      <w:r>
        <w:rPr>
          <w:kern w:val="0"/>
        </w:rPr>
        <w:t>Abstract: An interpenetration network (IPN) ion-imprinting hydrogel (IIH) was synthesized using uranyl ions as template for adsorption</w:t>
      </w:r>
      <w:r w:rsidR="00F81221">
        <w:rPr>
          <w:kern w:val="0"/>
        </w:rPr>
        <w:t xml:space="preserve"> and </w:t>
      </w:r>
      <w:r>
        <w:rPr>
          <w:kern w:val="0"/>
        </w:rPr>
        <w:t>removal of uranyl ions from aqueous solutions. The IIH was obtained via cross-linking of blended chitosan/polyvinyl alcohol (PVA) using ethylene glycol diglycidyl ether (EGDE). The ability of the IIH to adsorb</w:t>
      </w:r>
      <w:r w:rsidR="00F81221">
        <w:rPr>
          <w:kern w:val="0"/>
        </w:rPr>
        <w:t xml:space="preserve"> and </w:t>
      </w:r>
      <w:r>
        <w:rPr>
          <w:kern w:val="0"/>
        </w:rPr>
        <w:t>remove uranyl ions from aqueous solutions was assessed using a batch adsorption technique. The maximum adsorption capacity was observed in the pH range of 5.0-6.0. The adsorption process could be well described by both the Langmuir</w:t>
      </w:r>
      <w:r w:rsidR="00F81221">
        <w:rPr>
          <w:kern w:val="0"/>
        </w:rPr>
        <w:t xml:space="preserve"> and </w:t>
      </w:r>
      <w:r>
        <w:rPr>
          <w:kern w:val="0"/>
        </w:rPr>
        <w:t>Freundlich isotherms</w:t>
      </w:r>
      <w:r w:rsidR="00F81221">
        <w:rPr>
          <w:kern w:val="0"/>
        </w:rPr>
        <w:t xml:space="preserve"> and </w:t>
      </w:r>
      <w:r>
        <w:rPr>
          <w:kern w:val="0"/>
        </w:rPr>
        <w:t xml:space="preserve">the maximum adsorption capacity calculated from Langmuir equation was 156 mg/g. Equilibrium was </w:t>
      </w:r>
      <w:r>
        <w:rPr>
          <w:kern w:val="0"/>
        </w:rPr>
        <w:lastRenderedPageBreak/>
        <w:t>achieved within 2 h. The kinetic data, obtained at optimum pH 5.0 could be fitted with to a pseudo-second order equation. The selectivity coefficient of uranyl ion</w:t>
      </w:r>
      <w:r w:rsidR="00F81221">
        <w:rPr>
          <w:kern w:val="0"/>
        </w:rPr>
        <w:t xml:space="preserve"> and </w:t>
      </w:r>
      <w:r>
        <w:rPr>
          <w:kern w:val="0"/>
        </w:rPr>
        <w:t>other metal cations on IIH indicated an overall preference for uranyl ions which was much higher compared with the non-imprinted hydrogel. This suggests that the IIH is a promising sorbent material for the selective removal of uranyl ions from aqueous solutions. (C) 2010 Elsevier B.V. All rights reserved.</w:t>
      </w:r>
    </w:p>
    <w:p w:rsidR="003B132D" w:rsidRDefault="003B132D" w:rsidP="003B132D">
      <w:pPr>
        <w:pStyle w:val="a0"/>
        <w:rPr>
          <w:kern w:val="0"/>
        </w:rPr>
      </w:pPr>
      <w:r>
        <w:rPr>
          <w:kern w:val="0"/>
        </w:rPr>
        <w:t>Keywords: Adsorption, Adsorption Capacity, Adsorption Isotherms, Alcohol, Aqueous Solutions, Aqueous-Solutions, Batch, Batch Adsorption, Biosorption, Capacity, Chitosan, Chitosan, PVA, Cross-Linked, Crosslinking, Data, Equilibrium, Ether, Ethylene Glycol, Freundlich, Heavy-Metals, Hydrogel, Ion-Imprinted Hydrogel, Ions, Ipn, Isotherms, Kinetic, Langmuir, Langmuir</w:t>
      </w:r>
      <w:r w:rsidR="00F81221">
        <w:rPr>
          <w:kern w:val="0"/>
        </w:rPr>
        <w:t xml:space="preserve"> and </w:t>
      </w:r>
      <w:r>
        <w:rPr>
          <w:kern w:val="0"/>
        </w:rPr>
        <w:t xml:space="preserve">Freundlich Isotherms, Langmuir Equation, Metal, Network, </w:t>
      </w:r>
      <w:r>
        <w:rPr>
          <w:rFonts w:hint="eastAsia"/>
          <w:kern w:val="0"/>
        </w:rPr>
        <w:t>p</w:t>
      </w:r>
      <w:r>
        <w:rPr>
          <w:kern w:val="0"/>
        </w:rPr>
        <w:t>H, Polymer Material, Preconcentration, Preference, Pseudo Second Order, Pseudo-Second Order, Pseudo-Second-Order, Removal, Rights, Selective Adsorption, Selective Removal, Selectivity, Separation, Solid-Phase Extraction, Solutions, Sorbent, Sorption, Template, Uranium VI, Uranyl Ions</w:t>
      </w:r>
    </w:p>
    <w:p w:rsidR="008521C1" w:rsidRDefault="008521C1" w:rsidP="008521C1">
      <w:pPr>
        <w:pStyle w:val="a0"/>
        <w:rPr>
          <w:kern w:val="0"/>
        </w:rPr>
      </w:pPr>
      <w:r>
        <w:rPr>
          <w:rFonts w:hint="eastAsia"/>
          <w:kern w:val="0"/>
        </w:rPr>
        <w:t xml:space="preserve">? </w:t>
      </w:r>
      <w:r>
        <w:rPr>
          <w:kern w:val="0"/>
        </w:rPr>
        <w:t>El-Khaiary, M.I.</w:t>
      </w:r>
      <w:r w:rsidR="00F81221">
        <w:rPr>
          <w:kern w:val="0"/>
        </w:rPr>
        <w:t xml:space="preserve"> and </w:t>
      </w:r>
      <w:r>
        <w:rPr>
          <w:kern w:val="0"/>
        </w:rPr>
        <w:t xml:space="preserve">Malash, G.F. (2011), Common data analysis errors in batch adsorption studies. </w:t>
      </w:r>
      <w:r>
        <w:rPr>
          <w:i/>
          <w:iCs/>
          <w:kern w:val="0"/>
        </w:rPr>
        <w:t>Hydrometallurgy</w:t>
      </w:r>
      <w:r>
        <w:rPr>
          <w:kern w:val="0"/>
        </w:rPr>
        <w:t xml:space="preserve">, </w:t>
      </w:r>
      <w:r>
        <w:rPr>
          <w:b/>
          <w:bCs/>
          <w:kern w:val="0"/>
        </w:rPr>
        <w:t>105</w:t>
      </w:r>
      <w:r>
        <w:rPr>
          <w:kern w:val="0"/>
        </w:rPr>
        <w:t xml:space="preserve"> (3-4), 314-320.</w:t>
      </w:r>
    </w:p>
    <w:p w:rsidR="008521C1" w:rsidRPr="007D79E8" w:rsidRDefault="008521C1" w:rsidP="008521C1">
      <w:pPr>
        <w:pStyle w:val="a0"/>
        <w:rPr>
          <w:kern w:val="0"/>
        </w:rPr>
      </w:pPr>
      <w:r w:rsidRPr="007D79E8">
        <w:rPr>
          <w:kern w:val="0"/>
        </w:rPr>
        <w:t xml:space="preserve">Full Text: </w:t>
      </w:r>
      <w:hyperlink r:id="rId807" w:history="1">
        <w:r w:rsidRPr="00A52804">
          <w:rPr>
            <w:rStyle w:val="a5"/>
            <w:kern w:val="0"/>
          </w:rPr>
          <w:t>2011\Hydrometallurgy105, 314.pdf</w:t>
        </w:r>
      </w:hyperlink>
    </w:p>
    <w:p w:rsidR="008521C1" w:rsidRDefault="008521C1" w:rsidP="008521C1">
      <w:pPr>
        <w:pStyle w:val="a0"/>
        <w:rPr>
          <w:kern w:val="0"/>
        </w:rPr>
      </w:pPr>
      <w:r>
        <w:rPr>
          <w:kern w:val="0"/>
        </w:rPr>
        <w:t>Abstract: Many models exist for describing the experimental results of batch adsorption which are used in research to study equilibrium, kinetics,</w:t>
      </w:r>
      <w:r w:rsidR="00F81221">
        <w:rPr>
          <w:kern w:val="0"/>
        </w:rPr>
        <w:t xml:space="preserve"> and </w:t>
      </w:r>
      <w:r>
        <w:rPr>
          <w:kern w:val="0"/>
        </w:rPr>
        <w:t>mechanisms of adsorption. In the process of statistically analyzing the experimental data, the adsorption literature contains errors that render the results unreliable. These errors include incorrect application of theoretical models</w:t>
      </w:r>
      <w:r w:rsidR="00F81221">
        <w:rPr>
          <w:kern w:val="0"/>
        </w:rPr>
        <w:t xml:space="preserve"> and </w:t>
      </w:r>
      <w:r>
        <w:rPr>
          <w:kern w:val="0"/>
        </w:rPr>
        <w:t>also incorrect application of statistical analysis. Some errors are so abundant in the adsorption literature that they have actually gained credibility</w:t>
      </w:r>
      <w:r w:rsidR="00F81221">
        <w:rPr>
          <w:kern w:val="0"/>
        </w:rPr>
        <w:t xml:space="preserve"> and </w:t>
      </w:r>
      <w:r>
        <w:rPr>
          <w:kern w:val="0"/>
        </w:rPr>
        <w:t>mistakenly taken for granted that these are sound scientific practices. This article highlights some common errors in adsorption data analysis that are frequently found in the literature</w:t>
      </w:r>
      <w:r w:rsidR="00F81221">
        <w:rPr>
          <w:kern w:val="0"/>
        </w:rPr>
        <w:t xml:space="preserve"> and </w:t>
      </w:r>
      <w:r>
        <w:rPr>
          <w:kern w:val="0"/>
        </w:rPr>
        <w:t>provides suggestions for more sound practices. (C) 2010 Elsevier B.V. All rights reserved.</w:t>
      </w:r>
    </w:p>
    <w:p w:rsidR="008521C1" w:rsidRDefault="008521C1" w:rsidP="008521C1">
      <w:pPr>
        <w:pStyle w:val="a0"/>
        <w:rPr>
          <w:kern w:val="0"/>
        </w:rPr>
      </w:pPr>
      <w:r>
        <w:rPr>
          <w:kern w:val="0"/>
        </w:rPr>
        <w:t>Keywords: Activated Carbon, Adsorption, Analysis, Application, Aqueous-Solution, Basic-Dyes, Batch, Batch Adsorption, Brasiliensis Leaf Powder, Credibility, Data, Data Analysis, Equilibrium, Equilibrium Data, Errors, Exchange-Resins, Experimental, Intraparticle-Diffusion, Isotherm, Isotherm Models, Kinetics, Linearization, Literature, Mechanism, Mechanisms, Methylene-Blue, Models, Practices, Regression, Regression-Analysis, Research, Rights, Statistical Analysis, Theoretical Models</w:t>
      </w:r>
    </w:p>
    <w:p w:rsidR="00B95188" w:rsidRPr="00A428C3" w:rsidRDefault="00B95188" w:rsidP="00B95188">
      <w:pPr>
        <w:pStyle w:val="1"/>
      </w:pPr>
      <w:r w:rsidRPr="00A428C3">
        <w:br w:type="page"/>
      </w:r>
      <w:bookmarkStart w:id="733" w:name="_Toc186647806"/>
      <w:bookmarkStart w:id="734" w:name="_Toc317161074"/>
      <w:r w:rsidRPr="00A428C3">
        <w:lastRenderedPageBreak/>
        <w:t xml:space="preserve">Title: </w:t>
      </w:r>
      <w:r w:rsidRPr="00A428C3">
        <w:rPr>
          <w:iCs/>
        </w:rPr>
        <w:t>Hyperfine Interactions</w:t>
      </w:r>
      <w:bookmarkEnd w:id="733"/>
      <w:bookmarkEnd w:id="734"/>
    </w:p>
    <w:p w:rsidR="00B95188" w:rsidRPr="00A428C3" w:rsidRDefault="00B95188" w:rsidP="00B72EF9">
      <w:pPr>
        <w:pStyle w:val="12"/>
      </w:pPr>
      <w:r w:rsidRPr="00A428C3">
        <w:t xml:space="preserve">Full Journal Title: </w:t>
      </w:r>
      <w:hyperlink r:id="rId808" w:history="1">
        <w:r w:rsidRPr="00A428C3">
          <w:rPr>
            <w:rStyle w:val="a5"/>
            <w:iCs/>
          </w:rPr>
          <w:t>Hyperfine Interactions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0304-3843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Menzel, M., Mehner, H., Monnich, I.</w:t>
      </w:r>
      <w:r w:rsidR="00F81221">
        <w:t xml:space="preserve"> and </w:t>
      </w:r>
      <w:r w:rsidRPr="00A428C3">
        <w:t xml:space="preserve">Berndt, H. (2000), Investigation of PdSn-catalysts for nitrate removal in drinking water processing. </w:t>
      </w:r>
      <w:r w:rsidRPr="00A428C3">
        <w:rPr>
          <w:i/>
          <w:iCs/>
        </w:rPr>
        <w:t>Hyperfine Interactions</w:t>
      </w:r>
      <w:r w:rsidRPr="00A428C3">
        <w:t xml:space="preserve">, </w:t>
      </w:r>
      <w:r w:rsidRPr="00A428C3">
        <w:rPr>
          <w:b/>
        </w:rPr>
        <w:t>126</w:t>
      </w:r>
      <w:r w:rsidRPr="00A428C3">
        <w:t xml:space="preserve"> (1-4), 89-93.</w:t>
      </w:r>
    </w:p>
    <w:p w:rsidR="00B95188" w:rsidRPr="00A428C3" w:rsidRDefault="00B95188" w:rsidP="00B95188">
      <w:pPr>
        <w:pStyle w:val="a0"/>
      </w:pPr>
      <w:r w:rsidRPr="00A428C3">
        <w:t xml:space="preserve">Full Text: </w:t>
      </w:r>
      <w:hyperlink r:id="rId809" w:history="1">
        <w:r w:rsidRPr="00A428C3">
          <w:rPr>
            <w:rStyle w:val="a5"/>
          </w:rPr>
          <w:t>2000\Hyp Int126, 89.pdf</w:t>
        </w:r>
      </w:hyperlink>
    </w:p>
    <w:p w:rsidR="00B95188" w:rsidRPr="00A428C3" w:rsidRDefault="00B95188" w:rsidP="00B95188">
      <w:pPr>
        <w:pStyle w:val="a0"/>
      </w:pPr>
      <w:r w:rsidRPr="00A428C3">
        <w:t>Abstract: PdSn catalysts prepared by various methods</w:t>
      </w:r>
      <w:r w:rsidR="00F81221">
        <w:t xml:space="preserve"> and </w:t>
      </w:r>
      <w:r w:rsidRPr="00A428C3">
        <w:t>used for nitrate reduction were investigated by means of in situ Sn</w:t>
      </w:r>
      <w:smartTag w:uri="urn:schemas-microsoft-com:office:smarttags" w:element="chmetcnv">
        <w:smartTagPr>
          <w:attr w:name="TCSC" w:val="0"/>
          <w:attr w:name="NumberType" w:val="1"/>
          <w:attr w:name="Negative" w:val="True"/>
          <w:attr w:name="HasSpace" w:val="False"/>
          <w:attr w:name="SourceValue" w:val="119"/>
          <w:attr w:name="UnitName" w:val="m"/>
        </w:smartTagPr>
        <w:r w:rsidRPr="00A428C3">
          <w:t>-119m</w:t>
        </w:r>
      </w:smartTag>
      <w:r w:rsidRPr="00A428C3">
        <w:t xml:space="preserve"> Mossbauer spectroscopy. Characterization by Sn</w:t>
      </w:r>
      <w:smartTag w:uri="urn:schemas-microsoft-com:office:smarttags" w:element="chmetcnv">
        <w:smartTagPr>
          <w:attr w:name="TCSC" w:val="0"/>
          <w:attr w:name="NumberType" w:val="1"/>
          <w:attr w:name="Negative" w:val="True"/>
          <w:attr w:name="HasSpace" w:val="False"/>
          <w:attr w:name="SourceValue" w:val="119"/>
          <w:attr w:name="UnitName" w:val="m"/>
        </w:smartTagPr>
        <w:r w:rsidRPr="00A428C3">
          <w:t>-119m</w:t>
        </w:r>
      </w:smartTag>
      <w:r w:rsidRPr="00A428C3">
        <w:t xml:space="preserve"> Moss-bauer spectroscopy revealed significant differences concerning the modification of the palladium particles supported on alumina. The controlled surface reaction preparation method (CSR) leads to formation of PdSn alloys with different tin contents besides small amounts of Sn(II) species</w:t>
      </w:r>
      <w:r w:rsidR="00F81221">
        <w:t xml:space="preserve"> and </w:t>
      </w:r>
      <w:r w:rsidRPr="00A428C3">
        <w:t>unalloyed metallic Sn. On the other hand the impregnation method leads to a small amount of PdSn alloys</w:t>
      </w:r>
      <w:r w:rsidR="00F81221">
        <w:t xml:space="preserve"> and </w:t>
      </w:r>
      <w:r w:rsidRPr="00A428C3">
        <w:t>higher contents of Sn(II) species. Sn(IV) species were found in both kinds of catalysts. The CSR prepared PdSn catalysts showed an improved activity</w:t>
      </w:r>
      <w:r w:rsidR="00F81221">
        <w:t xml:space="preserve"> and </w:t>
      </w:r>
      <w:r w:rsidRPr="00A428C3">
        <w:t>selectivity compared to the catalysts obtained by the impregnation method.</w:t>
      </w:r>
    </w:p>
    <w:p w:rsidR="00B95188" w:rsidRPr="00A428C3" w:rsidRDefault="00B95188" w:rsidP="00B95188">
      <w:pPr>
        <w:pStyle w:val="a0"/>
      </w:pPr>
      <w:r w:rsidRPr="00A428C3">
        <w:t>Keywords: Drinking Water, Nitrate Removal</w:t>
      </w:r>
    </w:p>
    <w:p w:rsidR="00B95188" w:rsidRPr="00A428C3" w:rsidRDefault="00B95188" w:rsidP="00B95188">
      <w:pPr>
        <w:pStyle w:val="1"/>
      </w:pPr>
      <w:r w:rsidRPr="00A428C3">
        <w:br w:type="page"/>
      </w:r>
      <w:bookmarkStart w:id="735" w:name="_Toc489709745"/>
      <w:bookmarkStart w:id="736" w:name="_Toc490688023"/>
      <w:bookmarkStart w:id="737" w:name="_Toc492807684"/>
      <w:bookmarkStart w:id="738" w:name="_Toc186647807"/>
      <w:bookmarkStart w:id="739" w:name="_Toc317161075"/>
      <w:r w:rsidRPr="00A428C3">
        <w:lastRenderedPageBreak/>
        <w:t>Title: Hypertension</w:t>
      </w:r>
      <w:bookmarkEnd w:id="735"/>
      <w:bookmarkEnd w:id="736"/>
      <w:bookmarkEnd w:id="737"/>
      <w:bookmarkEnd w:id="738"/>
      <w:bookmarkEnd w:id="739"/>
    </w:p>
    <w:p w:rsidR="00B95188" w:rsidRPr="00A428C3" w:rsidRDefault="00B95188" w:rsidP="00B72EF9">
      <w:pPr>
        <w:pStyle w:val="12"/>
      </w:pPr>
      <w:r w:rsidRPr="00A428C3">
        <w:t xml:space="preserve">Full Journal Title: </w:t>
      </w:r>
      <w:hyperlink r:id="rId810" w:history="1">
        <w:r w:rsidRPr="00A428C3">
          <w:rPr>
            <w:rStyle w:val="a5"/>
          </w:rPr>
          <w:t>Hypertension</w:t>
        </w:r>
      </w:hyperlink>
    </w:p>
    <w:p w:rsidR="00B95188" w:rsidRPr="00A428C3" w:rsidRDefault="00B95188" w:rsidP="00B72EF9">
      <w:pPr>
        <w:pStyle w:val="12"/>
      </w:pPr>
      <w:r w:rsidRPr="00A428C3">
        <w:t>ISO Abbreviated Title: Hypertension</w:t>
      </w:r>
    </w:p>
    <w:p w:rsidR="00B95188" w:rsidRPr="00A428C3" w:rsidRDefault="00B95188" w:rsidP="00B72EF9">
      <w:pPr>
        <w:pStyle w:val="12"/>
      </w:pPr>
      <w:r w:rsidRPr="00A428C3">
        <w:t>JCR Abbreviated Title: Hypertension</w:t>
      </w:r>
    </w:p>
    <w:p w:rsidR="00B95188" w:rsidRPr="00A428C3" w:rsidRDefault="00B95188" w:rsidP="00B72EF9">
      <w:pPr>
        <w:pStyle w:val="12"/>
      </w:pPr>
      <w:r w:rsidRPr="00A428C3">
        <w:t>ISSN: 0194-911X</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Lippincott Williams &amp; Wilkins</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530 Walnut St</w:t>
          </w:r>
        </w:smartTag>
        <w:r w:rsidRPr="00A428C3">
          <w:t xml:space="preserve">, </w:t>
        </w:r>
        <w:smartTag w:uri="urn:schemas-microsoft-com:office:smarttags" w:element="City">
          <w:r w:rsidRPr="00A428C3">
            <w:t>Philadelphia</w:t>
          </w:r>
        </w:smartTag>
        <w:r w:rsidRPr="00A428C3">
          <w:t xml:space="preserve">, </w:t>
        </w:r>
        <w:smartTag w:uri="urn:schemas-microsoft-com:office:smarttags" w:element="State">
          <w:r w:rsidRPr="00A428C3">
            <w:t>PA</w:t>
          </w:r>
        </w:smartTag>
        <w:r w:rsidRPr="00A428C3">
          <w:t xml:space="preserve"> </w:t>
        </w:r>
        <w:smartTag w:uri="urn:schemas-microsoft-com:office:smarttags" w:element="PostalCode">
          <w:r w:rsidRPr="00A428C3">
            <w:t>19106-3621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Peripheral Vascular Disease: Impact Factor 6.331, 5/51 (2005)</w:t>
      </w:r>
    </w:p>
    <w:p w:rsidR="00B95188" w:rsidRPr="00A428C3" w:rsidRDefault="00B95188" w:rsidP="00B95188">
      <w:pPr>
        <w:pStyle w:val="a0"/>
      </w:pPr>
      <w:r w:rsidRPr="00A428C3">
        <w:t>Chen, C.J., Hsueh, Y.M., Lai, M.S., Shyu, M.P., Chen, S.Y., Wu, M.M., Kuo, T.L.</w:t>
      </w:r>
      <w:r w:rsidR="00F81221">
        <w:t xml:space="preserve"> and </w:t>
      </w:r>
      <w:r w:rsidRPr="00A428C3">
        <w:t>Tai, T.Y. (1995), Increased prevalence of hypertension</w:t>
      </w:r>
      <w:r w:rsidR="00F81221">
        <w:t xml:space="preserve"> and </w:t>
      </w:r>
      <w:r w:rsidRPr="00A428C3">
        <w:t xml:space="preserve">long-term arsenic exposure. </w:t>
      </w:r>
      <w:r w:rsidRPr="00A428C3">
        <w:rPr>
          <w:i/>
        </w:rPr>
        <w:t>Hypertension</w:t>
      </w:r>
      <w:r w:rsidRPr="00A428C3">
        <w:t xml:space="preserve">, </w:t>
      </w:r>
      <w:r w:rsidRPr="00A428C3">
        <w:rPr>
          <w:b/>
        </w:rPr>
        <w:t>25</w:t>
      </w:r>
      <w:r w:rsidRPr="00A428C3">
        <w:t xml:space="preserve"> (1), 53-60.</w:t>
      </w:r>
    </w:p>
    <w:p w:rsidR="00B95188" w:rsidRPr="00A428C3" w:rsidRDefault="00B95188" w:rsidP="00B95188">
      <w:pPr>
        <w:pStyle w:val="a0"/>
      </w:pPr>
      <w:r w:rsidRPr="00A428C3">
        <w:t xml:space="preserve">Full Text: </w:t>
      </w:r>
      <w:hyperlink r:id="rId811" w:history="1">
        <w:r w:rsidRPr="00A428C3">
          <w:rPr>
            <w:rStyle w:val="a5"/>
          </w:rPr>
          <w:t>H\Hypertension25, 53.pdf</w:t>
        </w:r>
      </w:hyperlink>
    </w:p>
    <w:p w:rsidR="00B95188" w:rsidRPr="00A428C3" w:rsidRDefault="00B95188" w:rsidP="00B95188">
      <w:pPr>
        <w:pStyle w:val="a0"/>
      </w:pPr>
      <w:r w:rsidRPr="00A428C3">
        <w:t>Abstract: To examine the association between long-term exposure to inorganic arsenic</w:t>
      </w:r>
      <w:r w:rsidR="00F81221">
        <w:t xml:space="preserve"> and </w:t>
      </w:r>
      <w:r w:rsidRPr="00A428C3">
        <w:t>the prevalence of hypertension, we studied a total of 382 men</w:t>
      </w:r>
      <w:r w:rsidR="00F81221">
        <w:t xml:space="preserve"> and </w:t>
      </w:r>
      <w:r w:rsidRPr="00A428C3">
        <w:t xml:space="preserve">516 women residing in villages where arseniasis was hyperendemic. Hypertension was defined as a systolic blood pressure of </w:t>
      </w:r>
      <w:smartTag w:uri="urn:schemas-microsoft-com:office:smarttags" w:element="chmetcnv">
        <w:smartTagPr>
          <w:attr w:name="TCSC" w:val="0"/>
          <w:attr w:name="NumberType" w:val="1"/>
          <w:attr w:name="Negative" w:val="False"/>
          <w:attr w:name="HasSpace" w:val="True"/>
          <w:attr w:name="SourceValue" w:val="160"/>
          <w:attr w:name="UnitName" w:val="mm"/>
        </w:smartTagPr>
        <w:r w:rsidRPr="00A428C3">
          <w:t>160 mm</w:t>
        </w:r>
      </w:smartTag>
      <w:r w:rsidRPr="00A428C3">
        <w:t xml:space="preserve"> Hg or greater, a diastolic blood pressure of </w:t>
      </w:r>
      <w:smartTag w:uri="urn:schemas-microsoft-com:office:smarttags" w:element="chmetcnv">
        <w:smartTagPr>
          <w:attr w:name="TCSC" w:val="0"/>
          <w:attr w:name="NumberType" w:val="1"/>
          <w:attr w:name="Negative" w:val="False"/>
          <w:attr w:name="HasSpace" w:val="True"/>
          <w:attr w:name="SourceValue" w:val="95"/>
          <w:attr w:name="UnitName" w:val="mm"/>
        </w:smartTagPr>
        <w:r w:rsidRPr="00A428C3">
          <w:t>95 mm</w:t>
        </w:r>
      </w:smartTag>
      <w:r w:rsidRPr="00A428C3">
        <w:t xml:space="preserve"> Hg or greater, or a history of hypertension treated regularly with antihypertensive drugs. The long-term arsenic exposure was calculated from the history of artesian well water consumption obtained through standardized interviews based on a structured questionnaire</w:t>
      </w:r>
      <w:r w:rsidR="00F81221">
        <w:t xml:space="preserve"> and </w:t>
      </w:r>
      <w:r w:rsidRPr="00A428C3">
        <w:t>the measured arsenic concentration in well water. Residents in villages where long-term arseniasis was hyperendemic had a 1.5-fold increase in age-and sex-adjusted prevalence of hypertension compared with residents in nonendemic areas. Duration of artesian well water consumption, average arsenic concentration in drinking water,</w:t>
      </w:r>
      <w:r w:rsidR="00F81221">
        <w:t xml:space="preserve"> and </w:t>
      </w:r>
      <w:r w:rsidRPr="00A428C3">
        <w:t>cumulative arsenic exposure were all significantly associated with hypertension prevalence. The higher the cumulative arsenic exposure, the higher the prevalence of hypertension. This dose-response relation remained significant after adjustment for age, sex, diabetes mellitus, proteinuria, body mass index,</w:t>
      </w:r>
      <w:r w:rsidR="00F81221">
        <w:t xml:space="preserve"> and </w:t>
      </w:r>
      <w:r w:rsidRPr="00A428C3">
        <w:t>serum triglyceride level. The results suggest that long-term arsenic exposure may induce hypertension in humans.</w:t>
      </w:r>
    </w:p>
    <w:p w:rsidR="00BD790B" w:rsidRDefault="00BD790B" w:rsidP="00BD790B">
      <w:pPr>
        <w:pStyle w:val="a0"/>
        <w:rPr>
          <w:kern w:val="0"/>
        </w:rPr>
      </w:pPr>
      <w:r>
        <w:rPr>
          <w:rFonts w:hint="eastAsia"/>
          <w:kern w:val="0"/>
        </w:rPr>
        <w:t xml:space="preserve">? </w:t>
      </w:r>
      <w:r>
        <w:rPr>
          <w:kern w:val="0"/>
        </w:rPr>
        <w:t>Chida, Y.</w:t>
      </w:r>
      <w:r w:rsidR="00F81221">
        <w:rPr>
          <w:kern w:val="0"/>
        </w:rPr>
        <w:t xml:space="preserve"> and </w:t>
      </w:r>
      <w:r>
        <w:rPr>
          <w:kern w:val="0"/>
        </w:rPr>
        <w:t xml:space="preserve">Steptoe, A. (2010), Greater cardiovascular responses to laboratory mental stress are associated with poor subsequent cardiovascular risk status a meta-analysis of prospective evidence. </w:t>
      </w:r>
      <w:r w:rsidRPr="002323E8">
        <w:rPr>
          <w:i/>
          <w:iCs/>
          <w:kern w:val="0"/>
        </w:rPr>
        <w:t>Hypertension</w:t>
      </w:r>
      <w:r>
        <w:rPr>
          <w:kern w:val="0"/>
        </w:rPr>
        <w:t xml:space="preserve">, </w:t>
      </w:r>
      <w:r>
        <w:rPr>
          <w:b/>
          <w:bCs/>
          <w:kern w:val="0"/>
        </w:rPr>
        <w:t>55</w:t>
      </w:r>
      <w:r>
        <w:rPr>
          <w:kern w:val="0"/>
        </w:rPr>
        <w:t xml:space="preserve"> (4), 1026-U368.</w:t>
      </w:r>
    </w:p>
    <w:p w:rsidR="00BD790B" w:rsidRDefault="00BD790B" w:rsidP="00BD790B">
      <w:pPr>
        <w:pStyle w:val="a0"/>
        <w:rPr>
          <w:kern w:val="0"/>
        </w:rPr>
      </w:pPr>
      <w:r>
        <w:rPr>
          <w:kern w:val="0"/>
        </w:rPr>
        <w:t xml:space="preserve">Abstract: An increasing number of studies has tested whether greater cardiovascular </w:t>
      </w:r>
      <w:r>
        <w:rPr>
          <w:kern w:val="0"/>
        </w:rPr>
        <w:lastRenderedPageBreak/>
        <w:t>responses to acute mental stress predict future cardiovascular disease, but results have been variable. This review aimed quantitatively to evaluate the association between cardiovascular responses to laboratory mental stress</w:t>
      </w:r>
      <w:r w:rsidR="00F81221">
        <w:rPr>
          <w:kern w:val="0"/>
        </w:rPr>
        <w:t xml:space="preserve"> and </w:t>
      </w:r>
      <w:r>
        <w:rPr>
          <w:kern w:val="0"/>
        </w:rPr>
        <w:t>subsequent cardiovascular risk status in prospective cohort studies. We searched general bibliographic databases, PsycINFO, Web of Science,</w:t>
      </w:r>
      <w:r w:rsidR="00F81221">
        <w:rPr>
          <w:kern w:val="0"/>
        </w:rPr>
        <w:t xml:space="preserve"> and </w:t>
      </w:r>
      <w:r>
        <w:rPr>
          <w:kern w:val="0"/>
        </w:rPr>
        <w:t>PUBMED, up to December 2009. Two reviewers independently extracted data on study characteristics, quality,</w:t>
      </w:r>
      <w:r w:rsidR="00F81221">
        <w:rPr>
          <w:kern w:val="0"/>
        </w:rPr>
        <w:t xml:space="preserve"> and </w:t>
      </w:r>
      <w:r>
        <w:rPr>
          <w:kern w:val="0"/>
        </w:rPr>
        <w:t>estimates of associations. There were 169 associations (36 articles) of stress reactivity</w:t>
      </w:r>
      <w:r w:rsidR="00F81221">
        <w:rPr>
          <w:kern w:val="0"/>
        </w:rPr>
        <w:t xml:space="preserve"> and </w:t>
      </w:r>
      <w:r>
        <w:rPr>
          <w:kern w:val="0"/>
        </w:rPr>
        <w:t>30 associations (5 articles) of poststress recovery in relation to future cardiovascular risk status, including elevated blood pressure, hypertension, left ventricular mass, subclinical atherosclerosis,</w:t>
      </w:r>
      <w:r w:rsidR="00F81221">
        <w:rPr>
          <w:kern w:val="0"/>
        </w:rPr>
        <w:t xml:space="preserve"> and </w:t>
      </w:r>
      <w:r>
        <w:rPr>
          <w:kern w:val="0"/>
        </w:rPr>
        <w:t>clinical cardiac events. The overall meta-analyses showed that greater reactivity to</w:t>
      </w:r>
      <w:r w:rsidR="00F81221">
        <w:rPr>
          <w:kern w:val="0"/>
        </w:rPr>
        <w:t xml:space="preserve"> and </w:t>
      </w:r>
      <w:r>
        <w:rPr>
          <w:kern w:val="0"/>
        </w:rPr>
        <w:t>poor recovery from stress were associated longitudinally with poor cardiovascular status (r = 0.091 [95% CI: 0.050 to 0.132], P&lt;0.001,</w:t>
      </w:r>
      <w:r w:rsidR="00F81221">
        <w:rPr>
          <w:kern w:val="0"/>
        </w:rPr>
        <w:t xml:space="preserve"> and </w:t>
      </w:r>
      <w:r>
        <w:rPr>
          <w:kern w:val="0"/>
        </w:rPr>
        <w:t>r=0.096 [95% CI: 0.058 to 0.134], P&lt;0.001, respectively). These findings were supported by more conservative analyses of aggregate effects</w:t>
      </w:r>
      <w:r w:rsidR="00F81221">
        <w:rPr>
          <w:kern w:val="0"/>
        </w:rPr>
        <w:t xml:space="preserve"> and </w:t>
      </w:r>
      <w:r>
        <w:rPr>
          <w:kern w:val="0"/>
        </w:rPr>
        <w:t>by subgroup analyses of the methodologically strong associations. Notably, incident hypertension</w:t>
      </w:r>
      <w:r w:rsidR="00F81221">
        <w:rPr>
          <w:kern w:val="0"/>
        </w:rPr>
        <w:t xml:space="preserve"> and </w:t>
      </w:r>
      <w:r>
        <w:rPr>
          <w:kern w:val="0"/>
        </w:rPr>
        <w:t>increased carotid intima-media thickness were more consistently predicted by greater stress reactivity</w:t>
      </w:r>
      <w:r w:rsidR="00F81221">
        <w:rPr>
          <w:kern w:val="0"/>
        </w:rPr>
        <w:t xml:space="preserve"> and </w:t>
      </w:r>
      <w:r>
        <w:rPr>
          <w:kern w:val="0"/>
        </w:rPr>
        <w:t>poor stress recovery, respectively, whereas both factors were associated with higher future systolic</w:t>
      </w:r>
      <w:r w:rsidR="00F81221">
        <w:rPr>
          <w:kern w:val="0"/>
        </w:rPr>
        <w:t xml:space="preserve"> and </w:t>
      </w:r>
      <w:r>
        <w:rPr>
          <w:kern w:val="0"/>
        </w:rPr>
        <w:t>diastolic blood pressures. In conclusion, the current meta-analysis suggests that greater responsivity to acute mental stress has an adverse effect on future cardiovascular risk status, supporting the use of methods of managing stress responsivity in the prevention</w:t>
      </w:r>
      <w:r w:rsidR="00F81221">
        <w:rPr>
          <w:kern w:val="0"/>
        </w:rPr>
        <w:t xml:space="preserve"> and </w:t>
      </w:r>
      <w:r>
        <w:rPr>
          <w:kern w:val="0"/>
        </w:rPr>
        <w:t>treatment of cardiovascular disease. (Hypertension. 2010;55:1026-1032.).</w:t>
      </w:r>
    </w:p>
    <w:p w:rsidR="00BD790B" w:rsidRDefault="00BD790B" w:rsidP="00BD790B">
      <w:pPr>
        <w:pStyle w:val="a0"/>
        <w:rPr>
          <w:kern w:val="0"/>
        </w:rPr>
      </w:pPr>
      <w:r>
        <w:rPr>
          <w:kern w:val="0"/>
        </w:rPr>
        <w:t>Keywords: 10-Year Follow-Up, Acute Stress Responsivity, Aged Finnish Men, Artery-Disease, Bibliographic, Bibliographic Databases, Blood, Blood Pressure, Cardiovascular, Cardiovascular Disease, Cardiovascular Risk, Cohort Studies, Coronary-Heart-Disease, Databases, Disease, Enhanced Carotid Atherosclerosis, Essential-Hypertension, Family Histories, Future Blood-Pressure, Hypertension, Left-Ventricular Mass, Meta-Analysis, Pressure, Prevention, Psychological Stress, Psychological Stress, Psychosomatic Medicine, Pubmed, Review, Risk, Science, Stress, Treatment, Web of Science</w:t>
      </w:r>
    </w:p>
    <w:p w:rsidR="00875058" w:rsidRPr="00A428C3" w:rsidRDefault="00875058" w:rsidP="00875058">
      <w:pPr>
        <w:pStyle w:val="1"/>
      </w:pPr>
      <w:r w:rsidRPr="00A428C3">
        <w:br w:type="page"/>
      </w:r>
      <w:bookmarkStart w:id="740" w:name="_Toc317161076"/>
      <w:r w:rsidRPr="00A428C3">
        <w:lastRenderedPageBreak/>
        <w:t xml:space="preserve">Title: </w:t>
      </w:r>
      <w:r w:rsidRPr="00875058">
        <w:t>IAENG Transactions on Engineering Technologies, Vol II</w:t>
      </w:r>
      <w:bookmarkEnd w:id="740"/>
    </w:p>
    <w:p w:rsidR="00875058" w:rsidRDefault="00875058" w:rsidP="00B72EF9">
      <w:pPr>
        <w:pStyle w:val="12"/>
      </w:pPr>
      <w:r w:rsidRPr="00A428C3">
        <w:t xml:space="preserve">Full Journal Title: </w:t>
      </w:r>
      <w:r w:rsidRPr="00875058">
        <w:t>IAENG Transactions on Engineering Technologies, Vol II</w:t>
      </w:r>
    </w:p>
    <w:p w:rsidR="00875058" w:rsidRPr="00A428C3" w:rsidRDefault="00875058" w:rsidP="00B72EF9">
      <w:pPr>
        <w:pStyle w:val="12"/>
      </w:pPr>
      <w:r w:rsidRPr="00A428C3">
        <w:t xml:space="preserve">ISO Abbreviated Title: </w:t>
      </w:r>
    </w:p>
    <w:p w:rsidR="00875058" w:rsidRPr="00A428C3" w:rsidRDefault="00875058" w:rsidP="00B72EF9">
      <w:pPr>
        <w:pStyle w:val="12"/>
      </w:pPr>
      <w:r w:rsidRPr="00A428C3">
        <w:t xml:space="preserve">JCR Abbreviated Title: </w:t>
      </w:r>
    </w:p>
    <w:p w:rsidR="00875058" w:rsidRPr="00A428C3" w:rsidRDefault="00875058" w:rsidP="00B72EF9">
      <w:pPr>
        <w:pStyle w:val="12"/>
      </w:pPr>
      <w:r w:rsidRPr="00A428C3">
        <w:t xml:space="preserve">ISSN: </w:t>
      </w:r>
    </w:p>
    <w:p w:rsidR="00875058" w:rsidRPr="00A428C3" w:rsidRDefault="00875058" w:rsidP="00B72EF9">
      <w:pPr>
        <w:pStyle w:val="12"/>
      </w:pPr>
      <w:r w:rsidRPr="00A428C3">
        <w:t xml:space="preserve">Issues/Year: </w:t>
      </w:r>
    </w:p>
    <w:p w:rsidR="00875058" w:rsidRPr="00A428C3" w:rsidRDefault="00875058" w:rsidP="00B72EF9">
      <w:pPr>
        <w:pStyle w:val="12"/>
      </w:pPr>
      <w:r w:rsidRPr="00A428C3">
        <w:t>Journal Country/Territory:</w:t>
      </w:r>
    </w:p>
    <w:p w:rsidR="00875058" w:rsidRPr="00A428C3" w:rsidRDefault="00875058" w:rsidP="00B72EF9">
      <w:pPr>
        <w:pStyle w:val="12"/>
      </w:pPr>
      <w:r w:rsidRPr="00A428C3">
        <w:t xml:space="preserve">Language: </w:t>
      </w:r>
    </w:p>
    <w:p w:rsidR="00875058" w:rsidRPr="00A428C3" w:rsidRDefault="00875058" w:rsidP="00B72EF9">
      <w:pPr>
        <w:pStyle w:val="12"/>
      </w:pPr>
      <w:r w:rsidRPr="00A428C3">
        <w:t xml:space="preserve">Publisher: </w:t>
      </w:r>
    </w:p>
    <w:p w:rsidR="00875058" w:rsidRPr="00A428C3" w:rsidRDefault="00875058" w:rsidP="00B72EF9">
      <w:pPr>
        <w:pStyle w:val="12"/>
      </w:pPr>
      <w:r w:rsidRPr="00A428C3">
        <w:t xml:space="preserve">Publisher Address: </w:t>
      </w:r>
    </w:p>
    <w:p w:rsidR="00875058" w:rsidRPr="00A428C3" w:rsidRDefault="00875058" w:rsidP="00B72EF9">
      <w:pPr>
        <w:pStyle w:val="12"/>
      </w:pPr>
      <w:r w:rsidRPr="00A428C3">
        <w:t>Subject Categories:</w:t>
      </w:r>
    </w:p>
    <w:p w:rsidR="00875058" w:rsidRPr="00A428C3" w:rsidRDefault="00875058" w:rsidP="00B72EF9">
      <w:pPr>
        <w:pStyle w:val="12"/>
      </w:pPr>
      <w:r w:rsidRPr="00A428C3">
        <w:t>: Impact Factor</w:t>
      </w:r>
    </w:p>
    <w:p w:rsidR="00875058" w:rsidRDefault="00875058" w:rsidP="00875058">
      <w:pPr>
        <w:pStyle w:val="a0"/>
        <w:rPr>
          <w:kern w:val="0"/>
        </w:rPr>
      </w:pPr>
      <w:r>
        <w:rPr>
          <w:rFonts w:hint="eastAsia"/>
          <w:kern w:val="0"/>
        </w:rPr>
        <w:t xml:space="preserve">? </w:t>
      </w:r>
      <w:r>
        <w:rPr>
          <w:kern w:val="0"/>
        </w:rPr>
        <w:t>Al-Meshragi, M., Ibrahim, H.G.</w:t>
      </w:r>
      <w:r w:rsidR="00F81221">
        <w:rPr>
          <w:kern w:val="0"/>
        </w:rPr>
        <w:t xml:space="preserve"> and </w:t>
      </w:r>
      <w:r>
        <w:rPr>
          <w:kern w:val="0"/>
        </w:rPr>
        <w:t xml:space="preserve">Okasha, A.Y. (2009), Removal of trivalent chromium from aquatic environment by cement kiln dust: Batch studies. </w:t>
      </w:r>
      <w:r w:rsidRPr="00875058">
        <w:rPr>
          <w:i/>
          <w:iCs/>
          <w:kern w:val="0"/>
        </w:rPr>
        <w:t>IAENG Transactions on Engineering Technologies</w:t>
      </w:r>
      <w:r w:rsidRPr="00875058">
        <w:rPr>
          <w:kern w:val="0"/>
        </w:rPr>
        <w:t xml:space="preserve">, </w:t>
      </w:r>
      <w:r w:rsidRPr="00875058">
        <w:rPr>
          <w:i/>
          <w:iCs/>
          <w:kern w:val="0"/>
        </w:rPr>
        <w:t>Vol II</w:t>
      </w:r>
      <w:r>
        <w:rPr>
          <w:kern w:val="0"/>
        </w:rPr>
        <w:t xml:space="preserve">, </w:t>
      </w:r>
      <w:r>
        <w:rPr>
          <w:b/>
          <w:bCs/>
          <w:kern w:val="0"/>
        </w:rPr>
        <w:t>1127</w:t>
      </w:r>
      <w:r>
        <w:rPr>
          <w:kern w:val="0"/>
        </w:rPr>
        <w:t>, 74-85.</w:t>
      </w:r>
    </w:p>
    <w:p w:rsidR="00875058" w:rsidRDefault="00875058" w:rsidP="00875058">
      <w:pPr>
        <w:pStyle w:val="a0"/>
        <w:rPr>
          <w:kern w:val="0"/>
        </w:rPr>
      </w:pPr>
      <w:r>
        <w:rPr>
          <w:kern w:val="0"/>
        </w:rPr>
        <w:t>Abstract: The adsorption of Chromium trivalent Cr(III) has been studied. Its equilibrium isotherm has been measured. The isotherm was determined by stirring 3 g of Cement Kiln Dust (CKD), with 250 ml of a chromium solution (from a tannery effluents wastewater) of initial concentrations 2336</w:t>
      </w:r>
      <w:r w:rsidR="00F81221">
        <w:rPr>
          <w:kern w:val="0"/>
        </w:rPr>
        <w:t xml:space="preserve"> and </w:t>
      </w:r>
      <w:r>
        <w:rPr>
          <w:kern w:val="0"/>
        </w:rPr>
        <w:t>4320 mg/l respectively. The stirring rate was used at constant rate of 1200 rpm</w:t>
      </w:r>
      <w:r w:rsidR="00F81221">
        <w:rPr>
          <w:kern w:val="0"/>
        </w:rPr>
        <w:t xml:space="preserve"> and </w:t>
      </w:r>
      <w:r>
        <w:rPr>
          <w:kern w:val="0"/>
        </w:rPr>
        <w:t>the temperature maintained at 25±2</w:t>
      </w:r>
      <w:r>
        <w:rPr>
          <w:kern w:val="0"/>
        </w:rPr>
        <w:sym w:font="Symbol" w:char="F0B0"/>
      </w:r>
      <w:r>
        <w:rPr>
          <w:kern w:val="0"/>
        </w:rPr>
        <w:t>C. A contact time of around 60 min was required to achieve equilibrium. The experimental isotherm results have been fitted using Langmuir, Freundlich, Temkin</w:t>
      </w:r>
      <w:r w:rsidR="00F81221">
        <w:rPr>
          <w:kern w:val="0"/>
        </w:rPr>
        <w:t xml:space="preserve"> and </w:t>
      </w:r>
      <w:r>
        <w:rPr>
          <w:kern w:val="0"/>
        </w:rPr>
        <w:t>Dubinin-Radushkevich equations. The monolayer adsorption capacity is 303 mg Cr(III) per g of Cement Kiln Dust. A comparison of kinetic models applied to the adsorption of Cr(III) ions on the adsorbent was evaluated for the pseudo first order, the pseudo second order, Elovich</w:t>
      </w:r>
      <w:r w:rsidR="00F81221">
        <w:rPr>
          <w:kern w:val="0"/>
        </w:rPr>
        <w:t xml:space="preserve"> and </w:t>
      </w:r>
      <w:r>
        <w:rPr>
          <w:kern w:val="0"/>
        </w:rPr>
        <w:t>intraparticle diffusion kinetic models, respectively. Kinetic parameters, rate constant, equilibrium sorption capacities</w:t>
      </w:r>
      <w:r w:rsidR="00F81221">
        <w:rPr>
          <w:kern w:val="0"/>
        </w:rPr>
        <w:t xml:space="preserve"> and </w:t>
      </w:r>
      <w:r>
        <w:rPr>
          <w:kern w:val="0"/>
        </w:rPr>
        <w:t>related correlation coefficients for each kinetic model were calculated</w:t>
      </w:r>
      <w:r w:rsidR="00F81221">
        <w:rPr>
          <w:kern w:val="0"/>
        </w:rPr>
        <w:t xml:space="preserve"> and </w:t>
      </w:r>
      <w:r>
        <w:rPr>
          <w:kern w:val="0"/>
        </w:rPr>
        <w:t>discussed. All the results show that the pseudo second order kinetic model was found to correlate the experimental data well</w:t>
      </w:r>
      <w:r w:rsidR="00F81221">
        <w:rPr>
          <w:kern w:val="0"/>
        </w:rPr>
        <w:t xml:space="preserve"> and </w:t>
      </w:r>
      <w:r>
        <w:rPr>
          <w:kern w:val="0"/>
        </w:rPr>
        <w:t>removal operation studied gave high removal efficiency. That</w:t>
      </w:r>
      <w:r w:rsidR="000352E7">
        <w:rPr>
          <w:kern w:val="0"/>
        </w:rPr>
        <w:t>’</w:t>
      </w:r>
      <w:r>
        <w:rPr>
          <w:kern w:val="0"/>
        </w:rPr>
        <w:t>s indicate to the high capacity of CKD to sorption of Cr(III) from wastewater effluents.</w:t>
      </w:r>
    </w:p>
    <w:p w:rsidR="00875058" w:rsidRDefault="00875058" w:rsidP="00875058">
      <w:pPr>
        <w:pStyle w:val="a0"/>
        <w:rPr>
          <w:kern w:val="0"/>
        </w:rPr>
      </w:pPr>
      <w:r>
        <w:rPr>
          <w:kern w:val="0"/>
        </w:rPr>
        <w:t xml:space="preserve">Keywords: Activated Carbon, Adsorbent, Adsorption, Adsorption, Adsorption Capacity, Aqueous-Solution, Capacity, Cement Kiln Dust, Chromium, Comparison, Correlation, Cr(III), Cr(III) Ions, Cr(VI), Data, Diffusion, Efficiency, Effluents, Elovich, Equilibrium, Equilibrium Isotherm, Experimental, First, First Order, </w:t>
      </w:r>
      <w:r>
        <w:rPr>
          <w:kern w:val="0"/>
        </w:rPr>
        <w:lastRenderedPageBreak/>
        <w:t>Freundlich, Intraparticle Diffusion, Ions, Isotherm, Kinetic, Kinetic Model, Kinetic Models, Kinetic Parameters, Kinetics, Kinetics, Langmuir, Leaves, Model, Models, Monolayer, Operation, Pseudo First Order, Pseudo Second Order, Pseudo-First-Order, Pseudo-Second-Order, Rate Constant, Removal, Removal Efficiency, Second Order, Second-Order, Solution, Sorption, Temperature, Trivalent Chromium, Wastewater, Water</w:t>
      </w:r>
    </w:p>
    <w:p w:rsidR="00B95188" w:rsidRPr="00A428C3" w:rsidRDefault="00B95188" w:rsidP="00B95188">
      <w:pPr>
        <w:pStyle w:val="1"/>
      </w:pPr>
      <w:r w:rsidRPr="00A428C3">
        <w:br w:type="page"/>
      </w:r>
      <w:bookmarkStart w:id="741" w:name="_Toc489709746"/>
      <w:bookmarkStart w:id="742" w:name="_Toc490688024"/>
      <w:bookmarkStart w:id="743" w:name="_Toc492812134"/>
      <w:bookmarkStart w:id="744" w:name="_Toc186647808"/>
      <w:bookmarkStart w:id="745" w:name="_Toc317161077"/>
      <w:r w:rsidRPr="00A428C3">
        <w:lastRenderedPageBreak/>
        <w:t xml:space="preserve">Title: </w:t>
      </w:r>
      <w:bookmarkEnd w:id="741"/>
      <w:bookmarkEnd w:id="742"/>
      <w:bookmarkEnd w:id="743"/>
      <w:r w:rsidRPr="00A428C3">
        <w:t>IARC Scientific Publications</w:t>
      </w:r>
      <w:bookmarkEnd w:id="744"/>
      <w:bookmarkEnd w:id="745"/>
    </w:p>
    <w:p w:rsidR="00B95188" w:rsidRPr="00A428C3" w:rsidRDefault="00B95188" w:rsidP="00B72EF9">
      <w:pPr>
        <w:pStyle w:val="12"/>
      </w:pPr>
      <w:r w:rsidRPr="00A428C3">
        <w:t>Full Journal Title: IARC Scientific Publications</w:t>
      </w:r>
    </w:p>
    <w:p w:rsidR="00B95188" w:rsidRPr="00A428C3" w:rsidRDefault="00B95188" w:rsidP="00B72EF9">
      <w:pPr>
        <w:pStyle w:val="12"/>
      </w:pPr>
      <w:r w:rsidRPr="00A428C3">
        <w:t>ISO Abbreviated Title: IARC Sci. Publ.</w:t>
      </w:r>
    </w:p>
    <w:p w:rsidR="00B95188" w:rsidRPr="00A428C3" w:rsidRDefault="00B95188" w:rsidP="00B72EF9">
      <w:pPr>
        <w:pStyle w:val="12"/>
      </w:pPr>
      <w:r w:rsidRPr="00A428C3">
        <w:t>JCR Abbreviated Title: IARC Sci Publ</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Tuomisto, J.</w:t>
      </w:r>
      <w:r w:rsidR="00F81221">
        <w:t xml:space="preserve"> and </w:t>
      </w:r>
      <w:r w:rsidRPr="00A428C3">
        <w:t xml:space="preserve">Vartiainen, T. (1990), Genotoxicity of drinking waters. </w:t>
      </w:r>
      <w:r w:rsidRPr="00A428C3">
        <w:rPr>
          <w:i/>
          <w:iCs/>
        </w:rPr>
        <w:t>IARC Scientific Publications</w:t>
      </w:r>
      <w:r w:rsidRPr="00A428C3">
        <w:t xml:space="preserve">, </w:t>
      </w:r>
      <w:r w:rsidRPr="00A428C3">
        <w:rPr>
          <w:b/>
        </w:rPr>
        <w:t>104</w:t>
      </w:r>
      <w:r w:rsidRPr="00A428C3">
        <w:t>, 307-313.</w:t>
      </w:r>
    </w:p>
    <w:p w:rsidR="00B95188" w:rsidRPr="00A428C3" w:rsidRDefault="00B95188" w:rsidP="00B95188">
      <w:pPr>
        <w:pStyle w:val="a0"/>
      </w:pPr>
      <w:r w:rsidRPr="00A428C3">
        <w:t>Abstract: Drinking waters in many countries have been shown to contain non-volatile polar mutagenic compounds as well as trihalomethanes. Their nature is uncertain, but one compound, a chlorinated furanone (3-chloro-4-(dichloro-methyl)-5-hydroxy-2 (5H)-furanone; MX) seems to be responsible for one third to over one half of the mutagenicity. Its concentration seems to correlate rather well also with the total bacterial mutagenicity. Animal toxicity studies are being used to evaluate the possible carcinogenicity risk of this compound as a first stage in complete risk assessment of the whole complex mixture. Epidemiological risk assessment is also possible, since mutagenicity values can be predicted on the basis of organic material in the raw water</w:t>
      </w:r>
      <w:r w:rsidR="00F81221">
        <w:t xml:space="preserve"> and </w:t>
      </w:r>
      <w:r w:rsidRPr="00A428C3">
        <w:t xml:space="preserve">the amount of chlorine used. This information has been collected in </w:t>
      </w:r>
      <w:smartTag w:uri="urn:schemas-microsoft-com:office:smarttags" w:element="place">
        <w:smartTag w:uri="urn:schemas-microsoft-com:office:smarttags" w:element="country-region">
          <w:r w:rsidRPr="00A428C3">
            <w:t>Finland</w:t>
          </w:r>
        </w:smartTag>
      </w:smartTag>
      <w:r w:rsidRPr="00A428C3">
        <w:t xml:space="preserve"> retrospectively from waterworks,</w:t>
      </w:r>
      <w:r w:rsidR="00F81221">
        <w:t xml:space="preserve"> and </w:t>
      </w:r>
      <w:r w:rsidRPr="00A428C3">
        <w:t>will be correlated with the Finnish Cancer Registry data.</w:t>
      </w:r>
    </w:p>
    <w:p w:rsidR="00B95188" w:rsidRPr="00A428C3" w:rsidRDefault="00B95188" w:rsidP="00B95188">
      <w:pPr>
        <w:pStyle w:val="a0"/>
      </w:pPr>
      <w:r w:rsidRPr="00A428C3">
        <w:t>? McConnell, E.E.</w:t>
      </w:r>
      <w:r w:rsidR="00F81221">
        <w:t xml:space="preserve"> and </w:t>
      </w:r>
      <w:r w:rsidRPr="00A428C3">
        <w:t>Swenberg, J.A. (1993), Styrene</w:t>
      </w:r>
      <w:r w:rsidR="00F81221">
        <w:t xml:space="preserve"> and </w:t>
      </w:r>
      <w:r w:rsidRPr="00A428C3">
        <w:t xml:space="preserve">styrene oxide: Results of studies on carcinogenicity in experimental animals. </w:t>
      </w:r>
      <w:r w:rsidRPr="00A428C3">
        <w:rPr>
          <w:i/>
          <w:iCs/>
        </w:rPr>
        <w:t>IARC Scientific Publications</w:t>
      </w:r>
      <w:r w:rsidRPr="00A428C3">
        <w:t xml:space="preserve">, </w:t>
      </w:r>
      <w:r w:rsidRPr="00A428C3">
        <w:rPr>
          <w:b/>
        </w:rPr>
        <w:t>127</w:t>
      </w:r>
      <w:r w:rsidRPr="00A428C3">
        <w:t>, 323-333.</w:t>
      </w:r>
    </w:p>
    <w:p w:rsidR="00B95188" w:rsidRPr="00A428C3" w:rsidRDefault="00B95188" w:rsidP="00B95188">
      <w:pPr>
        <w:pStyle w:val="a0"/>
      </w:pPr>
      <w:r w:rsidRPr="00A428C3">
        <w:t>Abstract: Fourteen long-term toxicity studies were reviewed in an effort to evaluate the potential carcinogenic activity of styrene</w:t>
      </w:r>
      <w:r w:rsidR="00F81221">
        <w:t xml:space="preserve"> and </w:t>
      </w:r>
      <w:r w:rsidRPr="00A428C3">
        <w:t>styrene oxide in animals. Each study was reviewed</w:t>
      </w:r>
      <w:r w:rsidR="00F81221">
        <w:t xml:space="preserve"> and </w:t>
      </w:r>
      <w:r w:rsidRPr="00A428C3">
        <w:t>evaluated for detail</w:t>
      </w:r>
      <w:r w:rsidR="00F81221">
        <w:t xml:space="preserve"> and </w:t>
      </w:r>
      <w:r w:rsidRPr="00A428C3">
        <w:t>adequacy of design, adequacy of reported data</w:t>
      </w:r>
      <w:r w:rsidR="00F81221">
        <w:t xml:space="preserve"> and </w:t>
      </w:r>
      <w:r w:rsidRPr="00A428C3">
        <w:t>interpretation. The results of the review are: 1. There is no convincing evidence for a carcinogenic action of styrene in animals, even though it has been studied in several species</w:t>
      </w:r>
      <w:r w:rsidR="00F81221">
        <w:t xml:space="preserve"> and </w:t>
      </w:r>
      <w:r w:rsidRPr="00A428C3">
        <w:t>by several routes of exposure: inhalation, gavage, in the drinking-water</w:t>
      </w:r>
      <w:r w:rsidR="00F81221">
        <w:t xml:space="preserve"> and </w:t>
      </w:r>
      <w:r w:rsidRPr="00A428C3">
        <w:t>by intraperitoneal</w:t>
      </w:r>
      <w:r w:rsidR="00F81221">
        <w:t xml:space="preserve"> and </w:t>
      </w:r>
      <w:r w:rsidRPr="00A428C3">
        <w:t xml:space="preserve">subcutaneous injection. Most of the studies of styrene, however, have deficiencies in design and/or conduct. 2. Styrene </w:t>
      </w:r>
      <w:r w:rsidRPr="00A428C3">
        <w:lastRenderedPageBreak/>
        <w:t>oxide was carcinogenic to the forestomach of rats</w:t>
      </w:r>
      <w:r w:rsidR="00F81221">
        <w:t xml:space="preserve"> and </w:t>
      </w:r>
      <w:r w:rsidRPr="00A428C3">
        <w:t>mice of each sex after exposure by gavage at all doses tested, including one as low as 50 mg/kg per day. An increase in the incidence of liver neoplasms was observed in male mice in one study. No carcinogenic activity was observed in mice exposed by skin painting. The relevance to humans of the studies in which exposure was by gavage is limited because: (i) the route is less than ideal for extrapolating to human risk from exposure by inhalation or dermally; (ii) xenobiotics often cause neoplasms at this site when given at high concentrations;</w:t>
      </w:r>
      <w:r w:rsidR="00F81221">
        <w:t xml:space="preserve"> and </w:t>
      </w:r>
      <w:r w:rsidRPr="00A428C3">
        <w:t>(iii) neoplasms at sites distant from the site of exposure were found in only one sex of one species. 3. None of the studies of styrene or styrene oxide reported here is well suited for extrapolating to potential carcinogenic activity in humans, because all have deficiencies in design, conduct and/or interpretation. An up-to-date chronic inhalation study would have to be conducted in order to evaluate this aspect of hazard assessment.</w:t>
      </w:r>
    </w:p>
    <w:p w:rsidR="00B95188" w:rsidRPr="00A428C3" w:rsidRDefault="00B95188" w:rsidP="00B95188">
      <w:pPr>
        <w:pStyle w:val="1"/>
      </w:pPr>
      <w:r w:rsidRPr="00A428C3">
        <w:br w:type="page"/>
      </w:r>
      <w:bookmarkStart w:id="746" w:name="_Toc186647809"/>
      <w:bookmarkStart w:id="747" w:name="_Toc317161078"/>
      <w:r w:rsidRPr="00A428C3">
        <w:lastRenderedPageBreak/>
        <w:t>Title: IASLIC Bulletin</w:t>
      </w:r>
      <w:bookmarkEnd w:id="746"/>
      <w:bookmarkEnd w:id="747"/>
    </w:p>
    <w:p w:rsidR="00B95188" w:rsidRPr="00A428C3" w:rsidRDefault="00B95188" w:rsidP="00B72EF9">
      <w:pPr>
        <w:pStyle w:val="12"/>
      </w:pPr>
      <w:r w:rsidRPr="00A428C3">
        <w:t>Full Journal Title: IASLIC Bulletin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Tiew, W.S. (1998), Journal of Natural Rubber Research 1987-1996: A ten-year bibliometric study. </w:t>
      </w:r>
      <w:r w:rsidRPr="00A428C3">
        <w:rPr>
          <w:i/>
          <w:iCs/>
        </w:rPr>
        <w:t>IASLIC Bulletin</w:t>
      </w:r>
      <w:r w:rsidRPr="00A428C3">
        <w:t xml:space="preserve">, </w:t>
      </w:r>
      <w:r w:rsidRPr="00A428C3">
        <w:rPr>
          <w:b/>
        </w:rPr>
        <w:t>43</w:t>
      </w:r>
      <w:r w:rsidRPr="00A428C3">
        <w:t xml:space="preserve"> (2), 49-57.</w:t>
      </w:r>
    </w:p>
    <w:p w:rsidR="00B95188" w:rsidRPr="00A428C3" w:rsidRDefault="00B95188" w:rsidP="00B95188">
      <w:pPr>
        <w:pStyle w:val="a0"/>
        <w:rPr>
          <w:rFonts w:eastAsia="新細明體"/>
        </w:rPr>
      </w:pPr>
      <w:r w:rsidRPr="00A428C3">
        <w:t xml:space="preserve">Full Text: </w:t>
      </w:r>
      <w:hyperlink r:id="rId812" w:history="1">
        <w:r w:rsidRPr="00A428C3">
          <w:rPr>
            <w:rStyle w:val="a5"/>
          </w:rPr>
          <w:t>I\IASLIC Bul43, 49.pdf</w:t>
        </w:r>
      </w:hyperlink>
    </w:p>
    <w:p w:rsidR="00B95188" w:rsidRPr="00A428C3" w:rsidRDefault="00B95188" w:rsidP="00B95188">
      <w:pPr>
        <w:pStyle w:val="a0"/>
      </w:pPr>
      <w:r w:rsidRPr="00A428C3">
        <w:t>Abstract: The Journal of Natural Rubber Research, published by the Rubber Research Institute of Malaysia since 1929, has played a key role in the dissemination of natural rubber information all over the world. This paper analyses the authorship pattern, the range</w:t>
      </w:r>
      <w:r w:rsidR="00F81221">
        <w:t xml:space="preserve"> and </w:t>
      </w:r>
      <w:r w:rsidRPr="00A428C3">
        <w:t>frequency of references cited, the extent of acknowledgement</w:t>
      </w:r>
      <w:r w:rsidR="00F81221">
        <w:t xml:space="preserve"> and </w:t>
      </w:r>
      <w:r w:rsidRPr="00A428C3">
        <w:t>appendix or appendices being included in research articles of natural rubber, the types of collaborative research in natural rubber</w:t>
      </w:r>
      <w:r w:rsidR="00F81221">
        <w:t xml:space="preserve"> and </w:t>
      </w:r>
      <w:r w:rsidRPr="00A428C3">
        <w:t>the international collaboration scenario as portrayed in the Journal. Results indicated that the trend is towards multi-authorship</w:t>
      </w:r>
      <w:r w:rsidR="00F81221">
        <w:t xml:space="preserve"> and </w:t>
      </w:r>
      <w:r w:rsidRPr="00A428C3">
        <w:t>a high degree of collaboration between natural rubber researchers.</w:t>
      </w:r>
    </w:p>
    <w:p w:rsidR="00B95188" w:rsidRPr="00A428C3" w:rsidRDefault="00B95188" w:rsidP="00B95188">
      <w:pPr>
        <w:pStyle w:val="a0"/>
      </w:pPr>
      <w:r w:rsidRPr="00A428C3">
        <w:t>Keywords: Natural Rubber, Periodicals, Journal Productivity, Journal of Natural Rubber Research</w:t>
      </w:r>
    </w:p>
    <w:p w:rsidR="00B95188" w:rsidRPr="00A428C3" w:rsidRDefault="00B95188" w:rsidP="00B95188">
      <w:pPr>
        <w:pStyle w:val="a0"/>
      </w:pPr>
      <w:r w:rsidRPr="00A428C3">
        <w:t>Hazarika, T.</w:t>
      </w:r>
      <w:r w:rsidR="00F81221">
        <w:t xml:space="preserve"> and </w:t>
      </w:r>
      <w:r w:rsidRPr="00A428C3">
        <w:t>Goswami, K.</w:t>
      </w:r>
      <w:r w:rsidR="00F81221">
        <w:t xml:space="preserve"> and </w:t>
      </w:r>
      <w:r w:rsidRPr="00A428C3">
        <w:t xml:space="preserve">Das, P. (2003), Bibliometric analysis of Indian Forester: 1991-2000. </w:t>
      </w:r>
      <w:r w:rsidRPr="00A428C3">
        <w:rPr>
          <w:i/>
          <w:iCs/>
        </w:rPr>
        <w:t>IASLIC Bulletin</w:t>
      </w:r>
      <w:r w:rsidRPr="00A428C3">
        <w:t xml:space="preserve">, </w:t>
      </w:r>
      <w:r w:rsidRPr="00A428C3">
        <w:rPr>
          <w:b/>
        </w:rPr>
        <w:t>48</w:t>
      </w:r>
      <w:r w:rsidRPr="00A428C3">
        <w:t xml:space="preserve"> (4), 213-223.</w:t>
      </w:r>
    </w:p>
    <w:p w:rsidR="00B95188" w:rsidRPr="00A428C3" w:rsidRDefault="00B95188" w:rsidP="00B95188">
      <w:pPr>
        <w:pStyle w:val="a0"/>
      </w:pPr>
      <w:r w:rsidRPr="00A428C3">
        <w:t xml:space="preserve">Full Text: </w:t>
      </w:r>
      <w:hyperlink r:id="rId813" w:history="1">
        <w:r w:rsidRPr="00A428C3">
          <w:rPr>
            <w:rStyle w:val="a5"/>
          </w:rPr>
          <w:t>I\IASLIC Bul48, 213.pdf</w:t>
        </w:r>
      </w:hyperlink>
    </w:p>
    <w:p w:rsidR="00B95188" w:rsidRPr="00A428C3" w:rsidRDefault="00B95188" w:rsidP="00B95188">
      <w:pPr>
        <w:pStyle w:val="a0"/>
      </w:pPr>
      <w:r w:rsidRPr="00A428C3">
        <w:t>Abstract: Bibliometric analysis of Indian Forester is done for 1991-2000. Different parameters of the journal viz. Year wise distribution of papers, distribution of papers among different types of organization, Institute wise distribution among the ICFRE (Indian Council of Forestry Research &amp; Education) institutes, state wise distribution of papers in Indian territory</w:t>
      </w:r>
      <w:r w:rsidR="00F81221">
        <w:t xml:space="preserve"> and </w:t>
      </w:r>
      <w:r w:rsidRPr="00A428C3">
        <w:t>the foreign contributions, authorship pattern, number of citation</w:t>
      </w:r>
      <w:r w:rsidR="00F81221">
        <w:t xml:space="preserve"> and </w:t>
      </w:r>
      <w:r w:rsidRPr="00A428C3">
        <w:t>the length of the articles are studied. Inferences</w:t>
      </w:r>
      <w:r w:rsidR="00F81221">
        <w:t xml:space="preserve"> and </w:t>
      </w:r>
      <w:r w:rsidRPr="00A428C3">
        <w:t>findings are shown with relevant data analysis.</w:t>
      </w:r>
    </w:p>
    <w:p w:rsidR="00B95188" w:rsidRPr="00A428C3" w:rsidRDefault="00B95188" w:rsidP="00B95188">
      <w:pPr>
        <w:pStyle w:val="a0"/>
      </w:pPr>
      <w:r w:rsidRPr="00A428C3">
        <w:t xml:space="preserve">Keywords: Bibliometric Analysis, Bibliometrics, Indian Forester, Analysis of Journal </w:t>
      </w:r>
      <w:r w:rsidRPr="00A428C3">
        <w:lastRenderedPageBreak/>
        <w:t>Characteristics, Year Wise Distribution of Papers, Distribution of Papers Among Different Types of Organization, Institute Wise Distribution Among the Icfre (Indian Council of Forestry Research &amp; Education) Institutes, State Wise Distribution of Papers, Authorship Pattern, Number of Citation, Length of the Articles</w:t>
      </w:r>
    </w:p>
    <w:p w:rsidR="00982590" w:rsidRPr="00A428C3" w:rsidRDefault="00982590" w:rsidP="00982590">
      <w:pPr>
        <w:pStyle w:val="1"/>
      </w:pPr>
      <w:r w:rsidRPr="00A428C3">
        <w:br w:type="page"/>
      </w:r>
      <w:bookmarkStart w:id="748" w:name="_Toc317161079"/>
      <w:r w:rsidRPr="00A428C3">
        <w:lastRenderedPageBreak/>
        <w:t xml:space="preserve">Title: </w:t>
      </w:r>
      <w:r w:rsidRPr="00982590">
        <w:rPr>
          <w:iCs/>
          <w:szCs w:val="24"/>
        </w:rPr>
        <w:t>Iberica</w:t>
      </w:r>
      <w:bookmarkEnd w:id="748"/>
    </w:p>
    <w:p w:rsidR="00982590" w:rsidRPr="00A428C3" w:rsidRDefault="00982590" w:rsidP="00982590">
      <w:pPr>
        <w:pStyle w:val="12"/>
      </w:pPr>
      <w:r w:rsidRPr="00A428C3">
        <w:t xml:space="preserve">Full Journal Title: </w:t>
      </w:r>
      <w:r w:rsidRPr="00982590">
        <w:rPr>
          <w:iCs/>
        </w:rPr>
        <w:t>Iberica</w:t>
      </w:r>
    </w:p>
    <w:p w:rsidR="00982590" w:rsidRPr="00A428C3" w:rsidRDefault="00982590" w:rsidP="00982590">
      <w:pPr>
        <w:pStyle w:val="12"/>
      </w:pPr>
      <w:r w:rsidRPr="00A428C3">
        <w:t xml:space="preserve">ISO Abbreviated Title: </w:t>
      </w:r>
      <w:r w:rsidRPr="00982590">
        <w:rPr>
          <w:iCs/>
        </w:rPr>
        <w:t>Iberica</w:t>
      </w:r>
    </w:p>
    <w:p w:rsidR="00982590" w:rsidRPr="00A428C3" w:rsidRDefault="00982590" w:rsidP="00982590">
      <w:pPr>
        <w:pStyle w:val="12"/>
      </w:pPr>
      <w:r w:rsidRPr="00A428C3">
        <w:t xml:space="preserve">JCR Abbreviated Title: </w:t>
      </w:r>
      <w:r w:rsidRPr="00982590">
        <w:rPr>
          <w:iCs/>
        </w:rPr>
        <w:t>Iberica</w:t>
      </w:r>
    </w:p>
    <w:p w:rsidR="00982590" w:rsidRPr="00A428C3" w:rsidRDefault="00982590" w:rsidP="00982590">
      <w:pPr>
        <w:pStyle w:val="12"/>
      </w:pPr>
      <w:r w:rsidRPr="00A428C3">
        <w:t xml:space="preserve">ISSN: </w:t>
      </w:r>
    </w:p>
    <w:p w:rsidR="00982590" w:rsidRPr="00A428C3" w:rsidRDefault="00982590" w:rsidP="00982590">
      <w:pPr>
        <w:pStyle w:val="12"/>
      </w:pPr>
      <w:r w:rsidRPr="00A428C3">
        <w:t xml:space="preserve">Issues/Year: </w:t>
      </w:r>
    </w:p>
    <w:p w:rsidR="00982590" w:rsidRPr="00A428C3" w:rsidRDefault="00982590" w:rsidP="00982590">
      <w:pPr>
        <w:pStyle w:val="12"/>
      </w:pPr>
      <w:r w:rsidRPr="00A428C3">
        <w:t xml:space="preserve">Journal Country/Territory: </w:t>
      </w:r>
    </w:p>
    <w:p w:rsidR="00982590" w:rsidRPr="00A428C3" w:rsidRDefault="00982590" w:rsidP="00982590">
      <w:pPr>
        <w:pStyle w:val="12"/>
      </w:pPr>
      <w:r w:rsidRPr="00A428C3">
        <w:t xml:space="preserve">Language: </w:t>
      </w:r>
    </w:p>
    <w:p w:rsidR="00982590" w:rsidRPr="00A428C3" w:rsidRDefault="00982590" w:rsidP="00982590">
      <w:pPr>
        <w:pStyle w:val="12"/>
      </w:pPr>
      <w:r w:rsidRPr="00A428C3">
        <w:t xml:space="preserve">Publisher: </w:t>
      </w:r>
    </w:p>
    <w:p w:rsidR="00982590" w:rsidRPr="00A428C3" w:rsidRDefault="00982590" w:rsidP="00982590">
      <w:pPr>
        <w:pStyle w:val="12"/>
      </w:pPr>
      <w:r w:rsidRPr="00A428C3">
        <w:t xml:space="preserve">Publisher Address: </w:t>
      </w:r>
    </w:p>
    <w:p w:rsidR="00982590" w:rsidRPr="00A428C3" w:rsidRDefault="00982590" w:rsidP="00982590">
      <w:pPr>
        <w:pStyle w:val="12"/>
      </w:pPr>
      <w:r w:rsidRPr="00A428C3">
        <w:t>Subject Categories:</w:t>
      </w:r>
    </w:p>
    <w:p w:rsidR="00982590" w:rsidRPr="00A428C3" w:rsidRDefault="00982590" w:rsidP="00982590">
      <w:pPr>
        <w:pStyle w:val="12"/>
      </w:pPr>
      <w:r w:rsidRPr="00A428C3">
        <w:t xml:space="preserve">: Impact Factor </w:t>
      </w:r>
    </w:p>
    <w:p w:rsidR="00982590" w:rsidRDefault="00982590" w:rsidP="00982590">
      <w:pPr>
        <w:pStyle w:val="a0"/>
        <w:rPr>
          <w:kern w:val="0"/>
          <w:szCs w:val="24"/>
        </w:rPr>
      </w:pPr>
      <w:r>
        <w:rPr>
          <w:kern w:val="0"/>
          <w:szCs w:val="24"/>
        </w:rPr>
        <w:t>? Koltay, T. (2010), Information literacy</w:t>
      </w:r>
      <w:r w:rsidR="00F81221">
        <w:rPr>
          <w:kern w:val="0"/>
          <w:szCs w:val="24"/>
        </w:rPr>
        <w:t xml:space="preserve"> and </w:t>
      </w:r>
      <w:r>
        <w:rPr>
          <w:kern w:val="0"/>
          <w:szCs w:val="24"/>
        </w:rPr>
        <w:t>abstracting: interdisciplinary issues for linguists</w:t>
      </w:r>
      <w:r w:rsidR="00F81221">
        <w:rPr>
          <w:kern w:val="0"/>
          <w:szCs w:val="24"/>
        </w:rPr>
        <w:t xml:space="preserve"> and </w:t>
      </w:r>
      <w:r>
        <w:rPr>
          <w:kern w:val="0"/>
          <w:szCs w:val="24"/>
        </w:rPr>
        <w:t xml:space="preserve">information professionals. </w:t>
      </w:r>
      <w:r w:rsidRPr="00982590">
        <w:rPr>
          <w:i/>
          <w:iCs/>
          <w:kern w:val="0"/>
          <w:szCs w:val="24"/>
        </w:rPr>
        <w:t>Iberica</w:t>
      </w:r>
      <w:r>
        <w:rPr>
          <w:kern w:val="0"/>
          <w:szCs w:val="24"/>
        </w:rPr>
        <w:t>, (19), 141-153.</w:t>
      </w:r>
    </w:p>
    <w:p w:rsidR="00982590" w:rsidRDefault="00982590" w:rsidP="00982590">
      <w:pPr>
        <w:pStyle w:val="a0"/>
        <w:rPr>
          <w:kern w:val="0"/>
          <w:szCs w:val="24"/>
        </w:rPr>
      </w:pPr>
      <w:r>
        <w:rPr>
          <w:kern w:val="0"/>
          <w:szCs w:val="24"/>
        </w:rPr>
        <w:t>Abstract: Information literacy is a complex phenomenon that requires a multifaceted interdisciplinary approach as it is related to verbal communication, literacy, functional literacy</w:t>
      </w:r>
      <w:r w:rsidR="00F81221">
        <w:rPr>
          <w:kern w:val="0"/>
          <w:szCs w:val="24"/>
        </w:rPr>
        <w:t xml:space="preserve"> and </w:t>
      </w:r>
      <w:r>
        <w:rPr>
          <w:kern w:val="0"/>
          <w:szCs w:val="24"/>
        </w:rPr>
        <w:t>academic literacy, including issues of plagiarism. It also includes text authoring in a full range of genres, among others abstracts. Abstracting is a well-known act of verbal communication,</w:t>
      </w:r>
      <w:r w:rsidR="00F81221">
        <w:rPr>
          <w:kern w:val="0"/>
          <w:szCs w:val="24"/>
        </w:rPr>
        <w:t xml:space="preserve"> and </w:t>
      </w:r>
      <w:r>
        <w:rPr>
          <w:kern w:val="0"/>
          <w:szCs w:val="24"/>
        </w:rPr>
        <w:t>abstracts are a genre of written communication. The essence of abstracting is summarizing information making use of critical reading. Abstracting thus can be regarded as one of the instances of exercising information literacy on a higher level. Both information literacy</w:t>
      </w:r>
      <w:r w:rsidR="00F81221">
        <w:rPr>
          <w:kern w:val="0"/>
          <w:szCs w:val="24"/>
        </w:rPr>
        <w:t xml:space="preserve"> and </w:t>
      </w:r>
      <w:r>
        <w:rPr>
          <w:kern w:val="0"/>
          <w:szCs w:val="24"/>
        </w:rPr>
        <w:t>abstracting are of prime professional interest for linguists (among others in the field of ESP)</w:t>
      </w:r>
      <w:r w:rsidR="00F81221">
        <w:rPr>
          <w:kern w:val="0"/>
          <w:szCs w:val="24"/>
        </w:rPr>
        <w:t xml:space="preserve"> and </w:t>
      </w:r>
      <w:r>
        <w:rPr>
          <w:kern w:val="0"/>
          <w:szCs w:val="24"/>
        </w:rPr>
        <w:t>information professionals.</w:t>
      </w:r>
    </w:p>
    <w:p w:rsidR="00982590" w:rsidRDefault="00982590" w:rsidP="00982590">
      <w:pPr>
        <w:pStyle w:val="a0"/>
        <w:rPr>
          <w:kern w:val="0"/>
          <w:szCs w:val="24"/>
        </w:rPr>
      </w:pPr>
      <w:r>
        <w:rPr>
          <w:kern w:val="0"/>
          <w:szCs w:val="24"/>
        </w:rPr>
        <w:t>Keywords: Abstracting, Academic Literacy, Critical Reading, Critical Writing, Information Literacy, Information Professionals, Libraries, Literacy, Plagiarism, Professional, Science</w:t>
      </w:r>
    </w:p>
    <w:p w:rsidR="00B95188" w:rsidRPr="00A428C3" w:rsidRDefault="00B95188" w:rsidP="00B95188">
      <w:pPr>
        <w:pStyle w:val="1"/>
      </w:pPr>
      <w:r w:rsidRPr="00A428C3">
        <w:br w:type="page"/>
      </w:r>
      <w:bookmarkStart w:id="749" w:name="_Toc186647810"/>
      <w:bookmarkStart w:id="750" w:name="_Toc317161080"/>
      <w:r w:rsidRPr="00A428C3">
        <w:lastRenderedPageBreak/>
        <w:t xml:space="preserve">Title: </w:t>
      </w:r>
      <w:r w:rsidRPr="00A428C3">
        <w:rPr>
          <w:szCs w:val="23"/>
        </w:rPr>
        <w:t>Ibid</w:t>
      </w:r>
      <w:bookmarkEnd w:id="749"/>
      <w:bookmarkEnd w:id="750"/>
    </w:p>
    <w:p w:rsidR="00B95188" w:rsidRPr="00A428C3" w:rsidRDefault="00B95188" w:rsidP="00B72EF9">
      <w:pPr>
        <w:pStyle w:val="12"/>
      </w:pPr>
      <w:r w:rsidRPr="00A428C3">
        <w:t xml:space="preserve">Full Journal Title: </w:t>
      </w:r>
      <w:r w:rsidRPr="00A428C3">
        <w:rPr>
          <w:szCs w:val="23"/>
        </w:rPr>
        <w:t>Ibid</w:t>
      </w:r>
    </w:p>
    <w:p w:rsidR="00B95188" w:rsidRPr="00A428C3" w:rsidRDefault="00B95188" w:rsidP="00B72EF9">
      <w:pPr>
        <w:pStyle w:val="12"/>
      </w:pPr>
      <w:r w:rsidRPr="00A428C3">
        <w:t xml:space="preserve">ISO Abbreviated Title: </w:t>
      </w:r>
      <w:r w:rsidR="001077FF" w:rsidRPr="00A428C3">
        <w:rPr>
          <w:szCs w:val="23"/>
        </w:rPr>
        <w:t>Ibid</w:t>
      </w:r>
    </w:p>
    <w:p w:rsidR="00B95188" w:rsidRPr="00A428C3" w:rsidRDefault="00B95188" w:rsidP="00B72EF9">
      <w:pPr>
        <w:pStyle w:val="12"/>
      </w:pPr>
      <w:r w:rsidRPr="00A428C3">
        <w:t xml:space="preserve">JCR Abbreviated Title: </w:t>
      </w:r>
      <w:r w:rsidR="001077FF" w:rsidRPr="00A428C3">
        <w:rPr>
          <w:szCs w:val="23"/>
        </w:rPr>
        <w:t>Ibid</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1077FF" w:rsidRPr="00A13428" w:rsidRDefault="001077FF" w:rsidP="001077FF">
      <w:pPr>
        <w:pStyle w:val="a0"/>
      </w:pPr>
      <w:r w:rsidRPr="00A13428">
        <w:rPr>
          <w:rFonts w:hint="eastAsia"/>
        </w:rPr>
        <w:t>?</w:t>
      </w:r>
      <w:r w:rsidRPr="00A13428">
        <w:t xml:space="preserve"> </w:t>
      </w:r>
      <w:r>
        <w:t>Gray, J.E.</w:t>
      </w:r>
      <w:r w:rsidRPr="001077FF">
        <w:rPr>
          <w:szCs w:val="13"/>
        </w:rPr>
        <w:t xml:space="preserve"> </w:t>
      </w:r>
      <w:r w:rsidRPr="00A13428">
        <w:rPr>
          <w:szCs w:val="13"/>
        </w:rPr>
        <w:t>(1</w:t>
      </w:r>
      <w:r>
        <w:rPr>
          <w:rFonts w:hint="eastAsia"/>
          <w:szCs w:val="13"/>
        </w:rPr>
        <w:t>868</w:t>
      </w:r>
      <w:r w:rsidRPr="00A13428">
        <w:rPr>
          <w:szCs w:val="13"/>
        </w:rPr>
        <w:t>)</w:t>
      </w:r>
      <w:r w:rsidRPr="00A13428">
        <w:t>,</w:t>
      </w:r>
      <w:r>
        <w:rPr>
          <w:rFonts w:hint="eastAsia"/>
        </w:rPr>
        <w:t xml:space="preserve"> </w:t>
      </w:r>
      <w:r>
        <w:t>Notice of a Badger from China (Meles chinensis) sent by Mr. Swinhoe, H. M. Consul at Amoy, and Dr. Hartland from Hong Kong</w:t>
      </w:r>
      <w:r>
        <w:rPr>
          <w:rFonts w:hint="eastAsia"/>
        </w:rPr>
        <w:t>.</w:t>
      </w:r>
      <w:r w:rsidRPr="00A13428">
        <w:t xml:space="preserve"> </w:t>
      </w:r>
      <w:r w:rsidRPr="00A428C3">
        <w:rPr>
          <w:i/>
          <w:iCs/>
        </w:rPr>
        <w:t>Ibid</w:t>
      </w:r>
      <w:r w:rsidRPr="00A13428">
        <w:t xml:space="preserve">, </w:t>
      </w:r>
      <w:r>
        <w:t>206-209</w:t>
      </w:r>
      <w:r w:rsidRPr="00A13428">
        <w:rPr>
          <w:szCs w:val="13"/>
        </w:rPr>
        <w:t>.</w:t>
      </w:r>
    </w:p>
    <w:p w:rsidR="001077FF" w:rsidRDefault="001077FF" w:rsidP="001077FF">
      <w:pPr>
        <w:pStyle w:val="a0"/>
      </w:pPr>
      <w:r>
        <w:t>Abstract: Dr. Gray has examined the badgers of the Palaearctic region, especially with regard to characters derived from the skull; he finds that they may be divided into two groups, the first of which would comprise M. taxus and M. anakuma.</w:t>
      </w:r>
    </w:p>
    <w:p w:rsidR="00B95188" w:rsidRPr="00A13428" w:rsidRDefault="00B95188" w:rsidP="00B95188">
      <w:pPr>
        <w:pStyle w:val="a0"/>
      </w:pPr>
      <w:r w:rsidRPr="00A13428">
        <w:rPr>
          <w:rFonts w:hint="eastAsia"/>
        </w:rPr>
        <w:t>?</w:t>
      </w:r>
      <w:r w:rsidRPr="00A13428">
        <w:t xml:space="preserve"> Frumkin</w:t>
      </w:r>
      <w:r>
        <w:rPr>
          <w:rFonts w:hint="eastAsia"/>
        </w:rPr>
        <w:t>, ??</w:t>
      </w:r>
      <w:r w:rsidR="00F81221">
        <w:t xml:space="preserve"> and </w:t>
      </w:r>
      <w:r w:rsidRPr="00A13428">
        <w:t>Slygin,</w:t>
      </w:r>
      <w:r>
        <w:rPr>
          <w:rFonts w:hint="eastAsia"/>
        </w:rPr>
        <w:t xml:space="preserve"> ??</w:t>
      </w:r>
      <w:r w:rsidRPr="00A13428">
        <w:rPr>
          <w:szCs w:val="13"/>
        </w:rPr>
        <w:t xml:space="preserve"> (1935)</w:t>
      </w:r>
      <w:r>
        <w:rPr>
          <w:rFonts w:hint="eastAsia"/>
          <w:szCs w:val="13"/>
        </w:rPr>
        <w:t>, ??.</w:t>
      </w:r>
      <w:r w:rsidRPr="00A13428">
        <w:t xml:space="preserve"> </w:t>
      </w:r>
      <w:r w:rsidRPr="00A428C3">
        <w:rPr>
          <w:i/>
          <w:iCs/>
        </w:rPr>
        <w:t>Ibid</w:t>
      </w:r>
      <w:r w:rsidRPr="00A13428">
        <w:t xml:space="preserve">, </w:t>
      </w:r>
      <w:r w:rsidRPr="00A13428">
        <w:rPr>
          <w:b/>
          <w:szCs w:val="13"/>
        </w:rPr>
        <w:t>8</w:t>
      </w:r>
      <w:r w:rsidRPr="00A13428">
        <w:rPr>
          <w:szCs w:val="13"/>
        </w:rPr>
        <w:t>, 791</w:t>
      </w:r>
      <w:r>
        <w:rPr>
          <w:rFonts w:hint="eastAsia"/>
          <w:szCs w:val="13"/>
        </w:rPr>
        <w:t>-??</w:t>
      </w:r>
      <w:r w:rsidRPr="00A13428">
        <w:rPr>
          <w:szCs w:val="13"/>
        </w:rPr>
        <w:t>.</w:t>
      </w:r>
    </w:p>
    <w:p w:rsidR="00B95188" w:rsidRPr="00A428C3" w:rsidRDefault="00B95188" w:rsidP="00B95188">
      <w:pPr>
        <w:pStyle w:val="a0"/>
      </w:pPr>
      <w:r w:rsidRPr="00A428C3">
        <w:t>? Roginskii, S.</w:t>
      </w:r>
      <w:r w:rsidR="00F81221">
        <w:t xml:space="preserve"> and </w:t>
      </w:r>
      <w:r w:rsidRPr="00A428C3">
        <w:t xml:space="preserve">Zeldovich, Ya. (1934), ??. </w:t>
      </w:r>
      <w:r w:rsidRPr="00A428C3">
        <w:rPr>
          <w:i/>
          <w:iCs/>
        </w:rPr>
        <w:t>Ibid</w:t>
      </w:r>
      <w:r w:rsidRPr="00A428C3">
        <w:t xml:space="preserve">, </w:t>
      </w:r>
      <w:r w:rsidRPr="00A428C3">
        <w:rPr>
          <w:b/>
        </w:rPr>
        <w:t>13</w:t>
      </w:r>
      <w:r w:rsidRPr="00A428C3">
        <w:t>, 554-595.</w:t>
      </w:r>
    </w:p>
    <w:p w:rsidR="00B95188" w:rsidRDefault="00B95188" w:rsidP="00B95188">
      <w:pPr>
        <w:pStyle w:val="a0"/>
      </w:pPr>
      <w:r w:rsidRPr="00A428C3">
        <w:t xml:space="preserve">? </w:t>
      </w:r>
      <w:r>
        <w:rPr>
          <w:rFonts w:hint="eastAsia"/>
        </w:rPr>
        <w:t>Frankenburg, W.G.</w:t>
      </w:r>
      <w:r w:rsidRPr="00A428C3">
        <w:t xml:space="preserve"> (19</w:t>
      </w:r>
      <w:r>
        <w:rPr>
          <w:rFonts w:hint="eastAsia"/>
        </w:rPr>
        <w:t>4</w:t>
      </w:r>
      <w:r w:rsidRPr="00A428C3">
        <w:t xml:space="preserve">4), ??. </w:t>
      </w:r>
      <w:r w:rsidRPr="00A428C3">
        <w:rPr>
          <w:i/>
          <w:iCs/>
        </w:rPr>
        <w:t>Ibid</w:t>
      </w:r>
      <w:r w:rsidRPr="00A428C3">
        <w:t xml:space="preserve">, </w:t>
      </w:r>
      <w:r>
        <w:rPr>
          <w:rFonts w:hint="eastAsia"/>
          <w:b/>
        </w:rPr>
        <w:t>66</w:t>
      </w:r>
      <w:r w:rsidRPr="00A428C3">
        <w:t xml:space="preserve">, </w:t>
      </w:r>
      <w:r>
        <w:rPr>
          <w:rFonts w:hint="eastAsia"/>
        </w:rPr>
        <w:t>1838-??</w:t>
      </w:r>
      <w:r w:rsidRPr="00A428C3">
        <w:t>.</w:t>
      </w:r>
    </w:p>
    <w:p w:rsidR="00EA29FA" w:rsidRPr="00A428C3" w:rsidRDefault="00EA29FA" w:rsidP="00EA29FA">
      <w:pPr>
        <w:pStyle w:val="1"/>
      </w:pPr>
      <w:r w:rsidRPr="00A428C3">
        <w:br w:type="page"/>
      </w:r>
      <w:bookmarkStart w:id="751" w:name="_Toc317161081"/>
      <w:r w:rsidRPr="00A428C3">
        <w:lastRenderedPageBreak/>
        <w:t xml:space="preserve">Title: </w:t>
      </w:r>
      <w:r w:rsidRPr="00EA29FA">
        <w:t>ICEM2007: Proceedings of the 11th International Conference on Environmental Remediation</w:t>
      </w:r>
      <w:r w:rsidR="00F81221">
        <w:t xml:space="preserve"> and </w:t>
      </w:r>
      <w:r w:rsidRPr="00EA29FA">
        <w:t>Radioactive Waste Management, Pts A</w:t>
      </w:r>
      <w:r w:rsidR="00F81221">
        <w:t xml:space="preserve"> and </w:t>
      </w:r>
      <w:r w:rsidRPr="00EA29FA">
        <w:t>B</w:t>
      </w:r>
      <w:bookmarkEnd w:id="751"/>
    </w:p>
    <w:p w:rsidR="00EA29FA" w:rsidRPr="00A428C3" w:rsidRDefault="00EA29FA" w:rsidP="00B72EF9">
      <w:pPr>
        <w:pStyle w:val="12"/>
      </w:pPr>
      <w:r w:rsidRPr="00A428C3">
        <w:t xml:space="preserve">Full Journal Title: </w:t>
      </w:r>
      <w:r w:rsidRPr="00EA29FA">
        <w:t>ICEM2007: Proceedings of the 11th International Conference on Environmental Remediation</w:t>
      </w:r>
      <w:r w:rsidR="00F81221">
        <w:t xml:space="preserve"> and </w:t>
      </w:r>
      <w:r w:rsidRPr="00EA29FA">
        <w:t>Radioactive Waste Management, Pts A</w:t>
      </w:r>
      <w:r w:rsidR="00F81221">
        <w:t xml:space="preserve"> and </w:t>
      </w:r>
      <w:r w:rsidRPr="00EA29FA">
        <w:t>B</w:t>
      </w:r>
    </w:p>
    <w:p w:rsidR="00EA29FA" w:rsidRPr="00A428C3" w:rsidRDefault="00EA29FA" w:rsidP="00B72EF9">
      <w:pPr>
        <w:pStyle w:val="12"/>
      </w:pPr>
      <w:r w:rsidRPr="00A428C3">
        <w:t xml:space="preserve">ISO Abbreviated Title: </w:t>
      </w:r>
    </w:p>
    <w:p w:rsidR="00EA29FA" w:rsidRPr="00A428C3" w:rsidRDefault="00EA29FA" w:rsidP="00B72EF9">
      <w:pPr>
        <w:pStyle w:val="12"/>
      </w:pPr>
      <w:r w:rsidRPr="00A428C3">
        <w:t>JCR Abbreviated Title</w:t>
      </w:r>
      <w:r>
        <w:t>:</w:t>
      </w:r>
      <w:r w:rsidRPr="00A428C3">
        <w:t xml:space="preserve"> </w:t>
      </w:r>
    </w:p>
    <w:p w:rsidR="00EA29FA" w:rsidRPr="00A428C3" w:rsidRDefault="00EA29FA" w:rsidP="00B72EF9">
      <w:pPr>
        <w:pStyle w:val="12"/>
      </w:pPr>
      <w:r w:rsidRPr="00A428C3">
        <w:t xml:space="preserve">ISSN: </w:t>
      </w:r>
    </w:p>
    <w:p w:rsidR="00EA29FA" w:rsidRPr="00A428C3" w:rsidRDefault="00EA29FA" w:rsidP="00B72EF9">
      <w:pPr>
        <w:pStyle w:val="12"/>
      </w:pPr>
      <w:r w:rsidRPr="00A428C3">
        <w:t xml:space="preserve">Issues/Year: </w:t>
      </w:r>
    </w:p>
    <w:p w:rsidR="00EA29FA" w:rsidRPr="00A428C3" w:rsidRDefault="00FB5623" w:rsidP="00B72EF9">
      <w:pPr>
        <w:pStyle w:val="12"/>
      </w:pPr>
      <w:r>
        <w:t>Journal Country/Territory:</w:t>
      </w:r>
      <w:r w:rsidR="00EA29FA">
        <w:t xml:space="preserve"> </w:t>
      </w:r>
    </w:p>
    <w:p w:rsidR="00EA29FA" w:rsidRPr="00A428C3" w:rsidRDefault="00EA29FA" w:rsidP="00B72EF9">
      <w:pPr>
        <w:pStyle w:val="12"/>
      </w:pPr>
      <w:r w:rsidRPr="00A428C3">
        <w:t xml:space="preserve">Language: </w:t>
      </w:r>
    </w:p>
    <w:p w:rsidR="00EA29FA" w:rsidRPr="00A428C3" w:rsidRDefault="00EA29FA" w:rsidP="00B72EF9">
      <w:pPr>
        <w:pStyle w:val="12"/>
      </w:pPr>
      <w:r w:rsidRPr="00A428C3">
        <w:t xml:space="preserve">Publisher: </w:t>
      </w:r>
    </w:p>
    <w:p w:rsidR="00EA29FA" w:rsidRPr="00A428C3" w:rsidRDefault="00EA29FA" w:rsidP="00B72EF9">
      <w:pPr>
        <w:pStyle w:val="12"/>
      </w:pPr>
      <w:r w:rsidRPr="00A428C3">
        <w:t xml:space="preserve">Publisher Address: </w:t>
      </w:r>
    </w:p>
    <w:p w:rsidR="00EA29FA" w:rsidRPr="00A428C3" w:rsidRDefault="00EA29FA" w:rsidP="00B72EF9">
      <w:pPr>
        <w:pStyle w:val="12"/>
      </w:pPr>
      <w:r w:rsidRPr="00A428C3">
        <w:t>Subject Categories:</w:t>
      </w:r>
    </w:p>
    <w:p w:rsidR="00EA29FA" w:rsidRPr="00A428C3" w:rsidRDefault="00EA29FA" w:rsidP="00B72EF9">
      <w:pPr>
        <w:pStyle w:val="12"/>
      </w:pPr>
      <w:r w:rsidRPr="00A428C3">
        <w:t xml:space="preserve">: Impact Factor </w:t>
      </w:r>
    </w:p>
    <w:p w:rsidR="00EA29FA" w:rsidRDefault="00EA29FA" w:rsidP="00EA29FA">
      <w:pPr>
        <w:pStyle w:val="a0"/>
        <w:rPr>
          <w:kern w:val="0"/>
        </w:rPr>
      </w:pPr>
      <w:r>
        <w:rPr>
          <w:rFonts w:hint="eastAsia"/>
          <w:kern w:val="0"/>
        </w:rPr>
        <w:t xml:space="preserve">? </w:t>
      </w:r>
      <w:r>
        <w:rPr>
          <w:kern w:val="0"/>
        </w:rPr>
        <w:t>Lopes, C.B., Otero, M., Lin, Z., Pereira, E., Silva, C.M., Rocha, J.</w:t>
      </w:r>
      <w:r w:rsidR="00F81221">
        <w:rPr>
          <w:kern w:val="0"/>
        </w:rPr>
        <w:t xml:space="preserve"> and </w:t>
      </w:r>
      <w:r>
        <w:rPr>
          <w:kern w:val="0"/>
        </w:rPr>
        <w:t>Duarte, A.C. (2009), Removal of mercury from aqueous solutions by ETS-4 microporous titanosilicate: Effect of contact time, titanosilicate mass</w:t>
      </w:r>
      <w:r w:rsidR="00F81221">
        <w:rPr>
          <w:kern w:val="0"/>
        </w:rPr>
        <w:t xml:space="preserve"> and </w:t>
      </w:r>
      <w:r>
        <w:rPr>
          <w:kern w:val="0"/>
        </w:rPr>
        <w:t xml:space="preserve">initial metal concentration. </w:t>
      </w:r>
      <w:r w:rsidRPr="00EA29FA">
        <w:rPr>
          <w:i/>
          <w:iCs/>
          <w:kern w:val="0"/>
        </w:rPr>
        <w:t>ICEM2007: Proceedings of the 11th International Conference on Environmental Remediation</w:t>
      </w:r>
      <w:r w:rsidR="00F81221">
        <w:rPr>
          <w:i/>
          <w:iCs/>
          <w:kern w:val="0"/>
        </w:rPr>
        <w:t xml:space="preserve"> and </w:t>
      </w:r>
      <w:r w:rsidRPr="00EA29FA">
        <w:rPr>
          <w:i/>
          <w:iCs/>
          <w:kern w:val="0"/>
        </w:rPr>
        <w:t>Radioactive Waste Management, Pts A</w:t>
      </w:r>
      <w:r w:rsidR="00F81221">
        <w:rPr>
          <w:i/>
          <w:iCs/>
          <w:kern w:val="0"/>
        </w:rPr>
        <w:t xml:space="preserve"> and </w:t>
      </w:r>
      <w:r w:rsidRPr="00EA29FA">
        <w:rPr>
          <w:i/>
          <w:iCs/>
          <w:kern w:val="0"/>
        </w:rPr>
        <w:t>B</w:t>
      </w:r>
      <w:r>
        <w:rPr>
          <w:kern w:val="0"/>
        </w:rPr>
        <w:t>, 1019-1023.</w:t>
      </w:r>
    </w:p>
    <w:p w:rsidR="00EA29FA" w:rsidRDefault="00EA29FA" w:rsidP="00EA29FA">
      <w:pPr>
        <w:pStyle w:val="a0"/>
        <w:rPr>
          <w:kern w:val="0"/>
        </w:rPr>
      </w:pPr>
      <w:r>
        <w:rPr>
          <w:kern w:val="0"/>
        </w:rPr>
        <w:t>Abstract: Mercury is one of the most toxic heavy metals present in the environment</w:t>
      </w:r>
      <w:r w:rsidR="00F81221">
        <w:rPr>
          <w:kern w:val="0"/>
        </w:rPr>
        <w:t xml:space="preserve"> and </w:t>
      </w:r>
      <w:r>
        <w:rPr>
          <w:kern w:val="0"/>
        </w:rPr>
        <w:t>therefore is extremely important develop new, simple</w:t>
      </w:r>
      <w:r w:rsidR="00F81221">
        <w:rPr>
          <w:kern w:val="0"/>
        </w:rPr>
        <w:t xml:space="preserve"> and </w:t>
      </w:r>
      <w:r>
        <w:rPr>
          <w:kern w:val="0"/>
        </w:rPr>
        <w:t>reliable techniques for its removal from aqueous solutions. A recent line of research within this context is the application of microporous materials. The use of these materials for removing heavy metals from solutions may become a potential clean-up technology in the field of wastewater treatment. In this work it is reported the application of microporous titanosilicate ETS-4 as ion exchanger to remove Hg</w:t>
      </w:r>
      <w:r w:rsidRPr="00FA296E">
        <w:rPr>
          <w:kern w:val="0"/>
          <w:vertAlign w:val="superscript"/>
        </w:rPr>
        <w:t>2+</w:t>
      </w:r>
      <w:r>
        <w:rPr>
          <w:kern w:val="0"/>
        </w:rPr>
        <w:t xml:space="preserve"> from aqueous solution. Under batch conditions, we studied the effect of contact time, titanosilicate mass</w:t>
      </w:r>
      <w:r w:rsidR="00F81221">
        <w:rPr>
          <w:kern w:val="0"/>
        </w:rPr>
        <w:t xml:space="preserve"> and </w:t>
      </w:r>
      <w:r>
        <w:rPr>
          <w:kern w:val="0"/>
        </w:rPr>
        <w:t>initial Hg</w:t>
      </w:r>
      <w:r w:rsidRPr="00FA296E">
        <w:rPr>
          <w:kern w:val="0"/>
          <w:vertAlign w:val="superscript"/>
        </w:rPr>
        <w:t>2+</w:t>
      </w:r>
      <w:r>
        <w:rPr>
          <w:kern w:val="0"/>
        </w:rPr>
        <w:t xml:space="preserve"> concentration. Only 5 mg of ETS-4 are required to purify 2 litres of water with 50 mu g L</w:t>
      </w:r>
      <w:r w:rsidRPr="00FA296E">
        <w:rPr>
          <w:kern w:val="0"/>
          <w:vertAlign w:val="superscript"/>
        </w:rPr>
        <w:t>-1</w:t>
      </w:r>
      <w:r>
        <w:rPr>
          <w:kern w:val="0"/>
        </w:rPr>
        <w:t xml:space="preserve"> of metal. Under the experimental conditions, the initial Hg</w:t>
      </w:r>
      <w:r w:rsidRPr="00FA296E">
        <w:rPr>
          <w:kern w:val="0"/>
          <w:vertAlign w:val="superscript"/>
        </w:rPr>
        <w:t>2+</w:t>
      </w:r>
      <w:r>
        <w:rPr>
          <w:kern w:val="0"/>
        </w:rPr>
        <w:t xml:space="preserve"> concentration</w:t>
      </w:r>
      <w:r w:rsidR="00F81221">
        <w:rPr>
          <w:kern w:val="0"/>
        </w:rPr>
        <w:t xml:space="preserve"> and </w:t>
      </w:r>
      <w:r>
        <w:rPr>
          <w:kern w:val="0"/>
        </w:rPr>
        <w:t>ETS-4 mass have strong influence on the sorption process,</w:t>
      </w:r>
      <w:r w:rsidR="00F81221">
        <w:rPr>
          <w:kern w:val="0"/>
        </w:rPr>
        <w:t xml:space="preserve"> and </w:t>
      </w:r>
      <w:r>
        <w:rPr>
          <w:kern w:val="0"/>
        </w:rPr>
        <w:t>it is proved that 24 h are almost always sufficient to attain ion exchange equilibrium. Langmuir</w:t>
      </w:r>
      <w:r w:rsidR="00F81221">
        <w:rPr>
          <w:kern w:val="0"/>
        </w:rPr>
        <w:t xml:space="preserve"> and </w:t>
      </w:r>
      <w:r>
        <w:rPr>
          <w:kern w:val="0"/>
        </w:rPr>
        <w:t>Freundlich isotherms were used to fit equilibrium experimental results. The kinetics of mercury removal was reliably described by a pseudo second-order model. On the whole, ETS-4 shows considerable potential to remove Hg</w:t>
      </w:r>
      <w:r w:rsidRPr="00FA296E">
        <w:rPr>
          <w:kern w:val="0"/>
          <w:vertAlign w:val="superscript"/>
        </w:rPr>
        <w:t>2+</w:t>
      </w:r>
      <w:r>
        <w:rPr>
          <w:kern w:val="0"/>
        </w:rPr>
        <w:t xml:space="preserve"> from wastewaters.</w:t>
      </w:r>
    </w:p>
    <w:p w:rsidR="00EA29FA" w:rsidRDefault="00EA29FA" w:rsidP="00EA29FA">
      <w:pPr>
        <w:pStyle w:val="a0"/>
        <w:rPr>
          <w:kern w:val="0"/>
        </w:rPr>
      </w:pPr>
      <w:r>
        <w:rPr>
          <w:kern w:val="0"/>
        </w:rPr>
        <w:lastRenderedPageBreak/>
        <w:t>Keywords: Adsorption, Application, Aqueous Solution, Aqueous Solutions, Batch, Concentration, Context, Environment, Equilibrium, Experimental, Field, Freundlich, Heavy Metals, Ion Exchange, Ion-Exchange, Ions, Isotherms, Kinetics, L1, Langmuir, Langmuir</w:t>
      </w:r>
      <w:r w:rsidR="00F81221">
        <w:rPr>
          <w:kern w:val="0"/>
        </w:rPr>
        <w:t xml:space="preserve"> and </w:t>
      </w:r>
      <w:r>
        <w:rPr>
          <w:kern w:val="0"/>
        </w:rPr>
        <w:t>Freundlich Isotherms, Mercury, Metal, Metals, Microporous Materials, Model, Potential, Pseudo Second Order, Pseudo Second-Order, Pseudo-Second-Order, Removal, Research, Second Order, Second-Order, Second-Order Model, Solution, Solutions, Sorption, Sorption Process, Techniques, Technology, Toxic, Treatment, Wastewater, Wastewater Treatment, Wastewaters, Water, Work</w:t>
      </w:r>
    </w:p>
    <w:p w:rsidR="00263E28" w:rsidRPr="00A428C3" w:rsidRDefault="00263E28" w:rsidP="00263E28">
      <w:pPr>
        <w:pStyle w:val="1"/>
      </w:pPr>
      <w:r w:rsidRPr="00A428C3">
        <w:br w:type="page"/>
      </w:r>
      <w:bookmarkStart w:id="752" w:name="_Toc317161082"/>
      <w:r w:rsidRPr="00A428C3">
        <w:lastRenderedPageBreak/>
        <w:t xml:space="preserve">Title: </w:t>
      </w:r>
      <w:r w:rsidRPr="00263E28">
        <w:rPr>
          <w:iCs/>
        </w:rPr>
        <w:t>2009 International Conference on Environmental Science</w:t>
      </w:r>
      <w:r w:rsidR="00F81221">
        <w:rPr>
          <w:iCs/>
        </w:rPr>
        <w:t xml:space="preserve"> and </w:t>
      </w:r>
      <w:r w:rsidRPr="00263E28">
        <w:rPr>
          <w:iCs/>
        </w:rPr>
        <w:t>Information Application Technology,</w:t>
      </w:r>
      <w:r w:rsidRPr="00263E28">
        <w:rPr>
          <w:rFonts w:hint="eastAsia"/>
          <w:iCs/>
        </w:rPr>
        <w:t xml:space="preserve"> </w:t>
      </w:r>
      <w:r w:rsidRPr="00263E28">
        <w:rPr>
          <w:iCs/>
        </w:rPr>
        <w:t>Proceedings</w:t>
      </w:r>
      <w:bookmarkEnd w:id="752"/>
    </w:p>
    <w:p w:rsidR="00263E28" w:rsidRPr="00A428C3" w:rsidRDefault="00263E28" w:rsidP="00B72EF9">
      <w:pPr>
        <w:pStyle w:val="12"/>
      </w:pPr>
      <w:r w:rsidRPr="00A428C3">
        <w:t xml:space="preserve">Full Journal Title: </w:t>
      </w:r>
      <w:r w:rsidRPr="00263E28">
        <w:t>2009 International Conference on Environmental Science</w:t>
      </w:r>
      <w:r w:rsidR="00F81221">
        <w:t xml:space="preserve"> and </w:t>
      </w:r>
      <w:r w:rsidRPr="00263E28">
        <w:t>Information Application Technology,</w:t>
      </w:r>
      <w:r w:rsidRPr="00263E28">
        <w:rPr>
          <w:rFonts w:hint="eastAsia"/>
        </w:rPr>
        <w:t xml:space="preserve"> </w:t>
      </w:r>
      <w:r w:rsidRPr="00263E28">
        <w:t>Proceedings</w:t>
      </w:r>
    </w:p>
    <w:p w:rsidR="00263E28" w:rsidRPr="00A428C3" w:rsidRDefault="00263E28" w:rsidP="00B72EF9">
      <w:pPr>
        <w:pStyle w:val="12"/>
      </w:pPr>
      <w:r w:rsidRPr="00A428C3">
        <w:t xml:space="preserve">ISO Abbreviated Title: </w:t>
      </w:r>
    </w:p>
    <w:p w:rsidR="00263E28" w:rsidRPr="00A428C3" w:rsidRDefault="00263E28" w:rsidP="00B72EF9">
      <w:pPr>
        <w:pStyle w:val="12"/>
      </w:pPr>
      <w:r w:rsidRPr="00A428C3">
        <w:t>JCR Abbreviated Title</w:t>
      </w:r>
      <w:r>
        <w:t>:</w:t>
      </w:r>
      <w:r w:rsidRPr="00A428C3">
        <w:t xml:space="preserve"> </w:t>
      </w:r>
    </w:p>
    <w:p w:rsidR="00263E28" w:rsidRPr="00A428C3" w:rsidRDefault="00263E28" w:rsidP="00B72EF9">
      <w:pPr>
        <w:pStyle w:val="12"/>
      </w:pPr>
      <w:r w:rsidRPr="00A428C3">
        <w:t xml:space="preserve">ISSN: </w:t>
      </w:r>
    </w:p>
    <w:p w:rsidR="00263E28" w:rsidRPr="00A428C3" w:rsidRDefault="00263E28" w:rsidP="00B72EF9">
      <w:pPr>
        <w:pStyle w:val="12"/>
      </w:pPr>
      <w:r w:rsidRPr="00A428C3">
        <w:t xml:space="preserve">Issues/Year: </w:t>
      </w:r>
    </w:p>
    <w:p w:rsidR="00263E28" w:rsidRPr="00A428C3" w:rsidRDefault="00263E28" w:rsidP="00B72EF9">
      <w:pPr>
        <w:pStyle w:val="12"/>
      </w:pPr>
      <w:r>
        <w:t xml:space="preserve">Journal Country/Territory: </w:t>
      </w:r>
    </w:p>
    <w:p w:rsidR="00263E28" w:rsidRPr="00A428C3" w:rsidRDefault="00263E28" w:rsidP="00B72EF9">
      <w:pPr>
        <w:pStyle w:val="12"/>
      </w:pPr>
      <w:r w:rsidRPr="00A428C3">
        <w:t xml:space="preserve">Language: </w:t>
      </w:r>
    </w:p>
    <w:p w:rsidR="00263E28" w:rsidRPr="00A428C3" w:rsidRDefault="00263E28" w:rsidP="00B72EF9">
      <w:pPr>
        <w:pStyle w:val="12"/>
      </w:pPr>
      <w:r w:rsidRPr="00A428C3">
        <w:t xml:space="preserve">Publisher: </w:t>
      </w:r>
    </w:p>
    <w:p w:rsidR="00263E28" w:rsidRPr="00A428C3" w:rsidRDefault="00263E28" w:rsidP="00B72EF9">
      <w:pPr>
        <w:pStyle w:val="12"/>
      </w:pPr>
      <w:r w:rsidRPr="00A428C3">
        <w:t xml:space="preserve">Publisher Address: </w:t>
      </w:r>
    </w:p>
    <w:p w:rsidR="00263E28" w:rsidRPr="00A428C3" w:rsidRDefault="00263E28" w:rsidP="00B72EF9">
      <w:pPr>
        <w:pStyle w:val="12"/>
      </w:pPr>
      <w:r w:rsidRPr="00A428C3">
        <w:t>Subject Categories:</w:t>
      </w:r>
    </w:p>
    <w:p w:rsidR="00263E28" w:rsidRPr="00A428C3" w:rsidRDefault="00263E28" w:rsidP="00B72EF9">
      <w:pPr>
        <w:pStyle w:val="12"/>
      </w:pPr>
      <w:r w:rsidRPr="00A428C3">
        <w:t xml:space="preserve">: Impact Factor </w:t>
      </w:r>
    </w:p>
    <w:p w:rsidR="00263E28" w:rsidRDefault="00263E28" w:rsidP="00263E28">
      <w:pPr>
        <w:pStyle w:val="a0"/>
        <w:rPr>
          <w:kern w:val="0"/>
        </w:rPr>
      </w:pPr>
      <w:r>
        <w:rPr>
          <w:rFonts w:hint="eastAsia"/>
          <w:kern w:val="0"/>
        </w:rPr>
        <w:t xml:space="preserve">? </w:t>
      </w:r>
      <w:r>
        <w:rPr>
          <w:kern w:val="0"/>
        </w:rPr>
        <w:t>Lu, J.B., Sun, L.P., Zhao, X.H., Lu, B., Li, Y.L.</w:t>
      </w:r>
      <w:r w:rsidR="00F81221">
        <w:rPr>
          <w:kern w:val="0"/>
        </w:rPr>
        <w:t xml:space="preserve"> and </w:t>
      </w:r>
      <w:r>
        <w:rPr>
          <w:kern w:val="0"/>
        </w:rPr>
        <w:t xml:space="preserve">Zhang, L. (2009), Removal of phosphate from aqueous solution using iron-oxide-coated sand filter media: Batch studies. </w:t>
      </w:r>
      <w:r w:rsidRPr="00263E28">
        <w:rPr>
          <w:i/>
          <w:iCs/>
          <w:kern w:val="0"/>
        </w:rPr>
        <w:t>2009 International Conference on Environmental Science</w:t>
      </w:r>
      <w:r w:rsidR="00F81221">
        <w:rPr>
          <w:i/>
          <w:iCs/>
          <w:kern w:val="0"/>
        </w:rPr>
        <w:t xml:space="preserve"> and </w:t>
      </w:r>
      <w:r w:rsidRPr="00263E28">
        <w:rPr>
          <w:i/>
          <w:iCs/>
          <w:kern w:val="0"/>
        </w:rPr>
        <w:t>Information Application Technology,</w:t>
      </w:r>
      <w:r w:rsidRPr="00263E28">
        <w:rPr>
          <w:rFonts w:hint="eastAsia"/>
          <w:i/>
          <w:iCs/>
          <w:kern w:val="0"/>
        </w:rPr>
        <w:t xml:space="preserve"> </w:t>
      </w:r>
      <w:r w:rsidRPr="00263E28">
        <w:rPr>
          <w:i/>
          <w:iCs/>
          <w:kern w:val="0"/>
        </w:rPr>
        <w:t>Proceedings</w:t>
      </w:r>
      <w:r>
        <w:rPr>
          <w:kern w:val="0"/>
        </w:rPr>
        <w:t>,</w:t>
      </w:r>
      <w:r>
        <w:rPr>
          <w:rFonts w:hint="eastAsia"/>
          <w:kern w:val="0"/>
        </w:rPr>
        <w:t xml:space="preserve"> </w:t>
      </w:r>
      <w:r w:rsidRPr="00263E28">
        <w:rPr>
          <w:rFonts w:hint="eastAsia"/>
          <w:b/>
          <w:kern w:val="0"/>
        </w:rPr>
        <w:t>1</w:t>
      </w:r>
      <w:r>
        <w:rPr>
          <w:rFonts w:hint="eastAsia"/>
          <w:kern w:val="0"/>
        </w:rPr>
        <w:t>,</w:t>
      </w:r>
      <w:r>
        <w:rPr>
          <w:kern w:val="0"/>
        </w:rPr>
        <w:t xml:space="preserve"> 639-644.</w:t>
      </w:r>
    </w:p>
    <w:p w:rsidR="00263E28" w:rsidRDefault="00263E28" w:rsidP="00263E28">
      <w:pPr>
        <w:pStyle w:val="a0"/>
        <w:rPr>
          <w:kern w:val="0"/>
        </w:rPr>
      </w:pPr>
      <w:r>
        <w:rPr>
          <w:kern w:val="0"/>
        </w:rPr>
        <w:t>Abstract: Iron-oxide-coated sand (IOCS) filter media was investigated to remove phosphate from aqueous solutions in batch experiments. Adsorbability of phosphate by IOCS-1</w:t>
      </w:r>
      <w:r w:rsidR="00F81221">
        <w:rPr>
          <w:kern w:val="0"/>
        </w:rPr>
        <w:t xml:space="preserve"> and </w:t>
      </w:r>
      <w:r>
        <w:rPr>
          <w:kern w:val="0"/>
        </w:rPr>
        <w:t>IOCS-2 (prepared by different coating process) was compared in order to gain an available coating process to prepare modified sand filter media for effective removal of phosphate. Scanning electron microscopy (SEM)</w:t>
      </w:r>
      <w:r w:rsidR="00F81221">
        <w:rPr>
          <w:kern w:val="0"/>
        </w:rPr>
        <w:t xml:space="preserve"> and </w:t>
      </w:r>
      <w:r>
        <w:rPr>
          <w:kern w:val="0"/>
        </w:rPr>
        <w:t>X-ray diffraction (XRD) analysis were used to investigate the surface properties of the coated layer. An energy dispersive X-ray (EDAX) analysis was also used for characterizing phosphate adsorption on IOCS surface. Effects of initial pH, contact time</w:t>
      </w:r>
      <w:r w:rsidR="00F81221">
        <w:rPr>
          <w:kern w:val="0"/>
        </w:rPr>
        <w:t xml:space="preserve"> and </w:t>
      </w:r>
      <w:r>
        <w:rPr>
          <w:kern w:val="0"/>
        </w:rPr>
        <w:t>dose of IOCS on the removal of phosphate were studied. The results showed that the removal efficiency of phosphate by IOCS-1 was greater than IOCS-2, thus, further experiments was carried out using IOCS-1. The adsorption of phosphate by IOCS-1 can be well described by Langmuir, Freundlich</w:t>
      </w:r>
      <w:r w:rsidR="00F81221">
        <w:rPr>
          <w:kern w:val="0"/>
        </w:rPr>
        <w:t xml:space="preserve"> and </w:t>
      </w:r>
      <w:r>
        <w:rPr>
          <w:kern w:val="0"/>
        </w:rPr>
        <w:t>Temkin isotherm at various temperatures. For IOCS-1, the adsorption followed the pseudo-second-order reaction kinetics model. Moreover, the phosphate adsorbed IOCS-1 could be regenerated by alkali solution. Results of this study can provide an effective technology based on adsorption/filtration using IOCS filter media for phosphate removal from water</w:t>
      </w:r>
      <w:r w:rsidR="00F81221">
        <w:rPr>
          <w:kern w:val="0"/>
        </w:rPr>
        <w:t xml:space="preserve"> and </w:t>
      </w:r>
      <w:r>
        <w:rPr>
          <w:kern w:val="0"/>
        </w:rPr>
        <w:t>wastewater.</w:t>
      </w:r>
    </w:p>
    <w:p w:rsidR="00263E28" w:rsidRDefault="00263E28" w:rsidP="00263E28">
      <w:pPr>
        <w:pStyle w:val="a0"/>
        <w:rPr>
          <w:kern w:val="0"/>
        </w:rPr>
      </w:pPr>
      <w:r>
        <w:rPr>
          <w:kern w:val="0"/>
        </w:rPr>
        <w:t xml:space="preserve">Keywords: Adsorption, Adsorption, Analysis, Aqueous Solutions, Batch, Batch </w:t>
      </w:r>
      <w:r>
        <w:rPr>
          <w:kern w:val="0"/>
        </w:rPr>
        <w:lastRenderedPageBreak/>
        <w:t xml:space="preserve">Experiments, Coated, Coating, Copper(II), Drinking-Water, EDAX, Efficiency, Electron Microscopy, Energy, Engineered Sorbents, Experiments, Filter Media, Fly-Ash, Freundlich, Ions, Iron-Oxide-Coated Sand, Isotherm, Kinetics, Kinetics Model, Langmuir, Lead(II), Media, Model, Modified, </w:t>
      </w:r>
      <w:r>
        <w:rPr>
          <w:rFonts w:hint="eastAsia"/>
          <w:kern w:val="0"/>
        </w:rPr>
        <w:t>p</w:t>
      </w:r>
      <w:r>
        <w:rPr>
          <w:kern w:val="0"/>
        </w:rPr>
        <w:t>H, Phosphate, Phosphate Adsorption, Phosphate Removal, Phosphorus Removal, Pseudo Second Order, Pseudo-Second-Order, Reaction Kinetics, Regeneration, Removal, Removal Efficiency, Removal of Phosphate, Sand, SEM, Solution, Solutions, Sorption, Surface, Surface Properties, Technology, Temkin Isotherm, Wastewater, Water, X-Ray, X-Ray Diffraction, XRD</w:t>
      </w:r>
    </w:p>
    <w:p w:rsidR="00263E28" w:rsidRDefault="00263E28" w:rsidP="00263E28">
      <w:pPr>
        <w:pStyle w:val="a0"/>
        <w:rPr>
          <w:kern w:val="0"/>
          <w:szCs w:val="24"/>
        </w:rPr>
      </w:pPr>
      <w:r>
        <w:rPr>
          <w:rFonts w:hint="eastAsia"/>
          <w:kern w:val="0"/>
          <w:szCs w:val="24"/>
        </w:rPr>
        <w:t xml:space="preserve">? </w:t>
      </w:r>
      <w:r>
        <w:rPr>
          <w:kern w:val="0"/>
          <w:szCs w:val="24"/>
        </w:rPr>
        <w:t>Li, N., Xiong, X.L.</w:t>
      </w:r>
      <w:r w:rsidR="00F81221">
        <w:rPr>
          <w:kern w:val="0"/>
          <w:szCs w:val="24"/>
        </w:rPr>
        <w:t xml:space="preserve"> and </w:t>
      </w:r>
      <w:r>
        <w:rPr>
          <w:kern w:val="0"/>
          <w:szCs w:val="24"/>
        </w:rPr>
        <w:t>Li, R.B. (2009), Adsorption</w:t>
      </w:r>
      <w:r w:rsidR="00F81221">
        <w:rPr>
          <w:kern w:val="0"/>
          <w:szCs w:val="24"/>
        </w:rPr>
        <w:t xml:space="preserve"> and </w:t>
      </w:r>
      <w:r>
        <w:rPr>
          <w:kern w:val="0"/>
          <w:szCs w:val="24"/>
        </w:rPr>
        <w:t xml:space="preserve">desorption behaviors of 4-cresol on beta-cyclodextrin polymer. </w:t>
      </w:r>
      <w:r w:rsidRPr="00263E28">
        <w:rPr>
          <w:i/>
          <w:iCs/>
          <w:kern w:val="0"/>
        </w:rPr>
        <w:t>2009 International Conference on Environmental Science</w:t>
      </w:r>
      <w:r w:rsidR="00F81221">
        <w:rPr>
          <w:i/>
          <w:iCs/>
          <w:kern w:val="0"/>
        </w:rPr>
        <w:t xml:space="preserve"> and </w:t>
      </w:r>
      <w:r w:rsidRPr="00263E28">
        <w:rPr>
          <w:i/>
          <w:iCs/>
          <w:kern w:val="0"/>
        </w:rPr>
        <w:t>Information Application Technology,</w:t>
      </w:r>
      <w:r w:rsidRPr="00263E28">
        <w:rPr>
          <w:rFonts w:hint="eastAsia"/>
          <w:i/>
          <w:iCs/>
          <w:kern w:val="0"/>
        </w:rPr>
        <w:t xml:space="preserve"> </w:t>
      </w:r>
      <w:r w:rsidRPr="00263E28">
        <w:rPr>
          <w:i/>
          <w:iCs/>
          <w:kern w:val="0"/>
        </w:rPr>
        <w:t>Proceedings</w:t>
      </w:r>
      <w:r>
        <w:rPr>
          <w:kern w:val="0"/>
        </w:rPr>
        <w:t>,</w:t>
      </w:r>
      <w:r>
        <w:rPr>
          <w:rFonts w:hint="eastAsia"/>
          <w:kern w:val="0"/>
        </w:rPr>
        <w:t xml:space="preserve"> </w:t>
      </w:r>
      <w:r w:rsidRPr="00263E28">
        <w:rPr>
          <w:rFonts w:hint="eastAsia"/>
          <w:b/>
          <w:kern w:val="0"/>
        </w:rPr>
        <w:t>1</w:t>
      </w:r>
      <w:r>
        <w:rPr>
          <w:rFonts w:hint="eastAsia"/>
          <w:kern w:val="0"/>
        </w:rPr>
        <w:t>,</w:t>
      </w:r>
      <w:r>
        <w:rPr>
          <w:kern w:val="0"/>
          <w:szCs w:val="24"/>
        </w:rPr>
        <w:t xml:space="preserve"> 701-704.</w:t>
      </w:r>
    </w:p>
    <w:p w:rsidR="00263E28" w:rsidRDefault="00263E28" w:rsidP="00263E28">
      <w:pPr>
        <w:pStyle w:val="a0"/>
        <w:rPr>
          <w:kern w:val="0"/>
          <w:szCs w:val="24"/>
        </w:rPr>
      </w:pPr>
      <w:r>
        <w:rPr>
          <w:kern w:val="0"/>
          <w:szCs w:val="24"/>
        </w:rPr>
        <w:t>Abstract: The adsorption</w:t>
      </w:r>
      <w:r w:rsidR="00F81221">
        <w:rPr>
          <w:kern w:val="0"/>
          <w:szCs w:val="24"/>
        </w:rPr>
        <w:t xml:space="preserve"> and </w:t>
      </w:r>
      <w:r>
        <w:rPr>
          <w:kern w:val="0"/>
          <w:szCs w:val="24"/>
        </w:rPr>
        <w:t>desorption properties of beta-cyclodextrin polymer (beta-CDP) for 4-cresol were investigated. Studies concerning the effects of pH, contact time</w:t>
      </w:r>
      <w:r w:rsidR="00F81221">
        <w:rPr>
          <w:kern w:val="0"/>
          <w:szCs w:val="24"/>
        </w:rPr>
        <w:t xml:space="preserve"> and </w:t>
      </w:r>
      <w:r>
        <w:rPr>
          <w:kern w:val="0"/>
          <w:szCs w:val="24"/>
        </w:rPr>
        <w:t>initial 4-cresol concentration were presented</w:t>
      </w:r>
      <w:r w:rsidR="00F81221">
        <w:rPr>
          <w:kern w:val="0"/>
          <w:szCs w:val="24"/>
        </w:rPr>
        <w:t xml:space="preserve"> and </w:t>
      </w:r>
      <w:r>
        <w:rPr>
          <w:kern w:val="0"/>
          <w:szCs w:val="24"/>
        </w:rPr>
        <w:t>discussed. Results of batch experiments showed that this adsorbent exhibited some sorption capacities toward 4-cresol. It was found that kinetics followed a Ho</w:t>
      </w:r>
      <w:r w:rsidR="00F81221">
        <w:rPr>
          <w:kern w:val="0"/>
          <w:szCs w:val="24"/>
        </w:rPr>
        <w:t xml:space="preserve"> and </w:t>
      </w:r>
      <w:r>
        <w:rPr>
          <w:kern w:val="0"/>
          <w:szCs w:val="24"/>
        </w:rPr>
        <w:t>McKay equation</w:t>
      </w:r>
      <w:r w:rsidR="00F81221">
        <w:rPr>
          <w:kern w:val="0"/>
          <w:szCs w:val="24"/>
        </w:rPr>
        <w:t xml:space="preserve"> and </w:t>
      </w:r>
      <w:r>
        <w:rPr>
          <w:kern w:val="0"/>
          <w:szCs w:val="24"/>
        </w:rPr>
        <w:t>isotherm fitted Freundlich model for the adsorption of 4-cresol on beta-CDP. The regeneration capacity of beta-CDP was so strong that it could be used as a kind of recyclable adsorbent.</w:t>
      </w:r>
    </w:p>
    <w:p w:rsidR="00263E28" w:rsidRDefault="00263E28" w:rsidP="00263E28">
      <w:pPr>
        <w:pStyle w:val="a0"/>
        <w:rPr>
          <w:kern w:val="0"/>
          <w:szCs w:val="24"/>
        </w:rPr>
      </w:pPr>
      <w:r>
        <w:rPr>
          <w:kern w:val="0"/>
          <w:szCs w:val="24"/>
        </w:rPr>
        <w:t xml:space="preserve">Keywords: 4-Cresol, Adsorbent, Adsorption, Aqueous-Solutions, Batch, Batch Experiments, Beta-Cyclodextrin, Capacity, Concentration, Cyclodextrin Polymer, Desorption, Dyes, Equilibrium, Experiments, Freundlich, Freundlich Model, Isotherm, Kinetics, Model, </w:t>
      </w:r>
      <w:r>
        <w:rPr>
          <w:rFonts w:hint="eastAsia"/>
          <w:kern w:val="0"/>
          <w:szCs w:val="24"/>
        </w:rPr>
        <w:t>p</w:t>
      </w:r>
      <w:r>
        <w:rPr>
          <w:kern w:val="0"/>
          <w:szCs w:val="24"/>
        </w:rPr>
        <w:t>H, Phenols, Polymer, Regeneration, Removal, Sorbents, Sorption</w:t>
      </w:r>
    </w:p>
    <w:p w:rsidR="00DA1AA0" w:rsidRPr="00A428C3" w:rsidRDefault="00DA1AA0" w:rsidP="00DA1AA0">
      <w:pPr>
        <w:pStyle w:val="1"/>
      </w:pPr>
      <w:r w:rsidRPr="00A428C3">
        <w:br w:type="page"/>
      </w:r>
      <w:bookmarkStart w:id="753" w:name="_Toc238862992"/>
      <w:bookmarkStart w:id="754" w:name="_Toc317161083"/>
      <w:r w:rsidRPr="00A428C3">
        <w:lastRenderedPageBreak/>
        <w:t xml:space="preserve">Title: </w:t>
      </w:r>
      <w:r w:rsidRPr="00E3272D">
        <w:t>2004 IEEE International Engineering Management Conference</w:t>
      </w:r>
      <w:bookmarkEnd w:id="753"/>
      <w:bookmarkEnd w:id="754"/>
    </w:p>
    <w:p w:rsidR="00DA1AA0" w:rsidRPr="00A428C3" w:rsidRDefault="00DA1AA0" w:rsidP="00B72EF9">
      <w:pPr>
        <w:pStyle w:val="12"/>
      </w:pPr>
      <w:r w:rsidRPr="00A428C3">
        <w:t xml:space="preserve">Full Journal Title: </w:t>
      </w:r>
      <w:r w:rsidRPr="003005A7">
        <w:t>2004 IEEE International Engineering Management Conference</w:t>
      </w:r>
    </w:p>
    <w:p w:rsidR="00DA1AA0" w:rsidRPr="00A428C3" w:rsidRDefault="00DA1AA0" w:rsidP="00B72EF9">
      <w:pPr>
        <w:pStyle w:val="12"/>
      </w:pPr>
      <w:r w:rsidRPr="00A428C3">
        <w:t xml:space="preserve">ISO Abbreviated Title: </w:t>
      </w:r>
    </w:p>
    <w:p w:rsidR="00DA1AA0" w:rsidRPr="00A428C3" w:rsidRDefault="00DA1AA0" w:rsidP="00B72EF9">
      <w:pPr>
        <w:pStyle w:val="12"/>
      </w:pPr>
      <w:r w:rsidRPr="00A428C3">
        <w:t>JCR Abbreviated Title</w:t>
      </w:r>
      <w:r>
        <w:t>:</w:t>
      </w:r>
      <w:r w:rsidRPr="00A428C3">
        <w:t xml:space="preserve"> </w:t>
      </w:r>
    </w:p>
    <w:p w:rsidR="00DA1AA0" w:rsidRPr="00A428C3" w:rsidRDefault="00DA1AA0" w:rsidP="00B72EF9">
      <w:pPr>
        <w:pStyle w:val="12"/>
      </w:pPr>
      <w:r w:rsidRPr="00A428C3">
        <w:t xml:space="preserve">ISSN: </w:t>
      </w:r>
    </w:p>
    <w:p w:rsidR="00DA1AA0" w:rsidRPr="00A428C3" w:rsidRDefault="00DA1AA0" w:rsidP="00B72EF9">
      <w:pPr>
        <w:pStyle w:val="12"/>
      </w:pPr>
      <w:r w:rsidRPr="00A428C3">
        <w:t xml:space="preserve">Issues/Year: </w:t>
      </w:r>
    </w:p>
    <w:p w:rsidR="00DA1AA0" w:rsidRPr="00A428C3" w:rsidRDefault="00FB5623" w:rsidP="00B72EF9">
      <w:pPr>
        <w:pStyle w:val="12"/>
      </w:pPr>
      <w:r>
        <w:t>Journal Country/Territory:</w:t>
      </w:r>
      <w:r w:rsidR="00DA1AA0">
        <w:t xml:space="preserve"> </w:t>
      </w:r>
    </w:p>
    <w:p w:rsidR="00DA1AA0" w:rsidRPr="00A428C3" w:rsidRDefault="00DA1AA0" w:rsidP="00B72EF9">
      <w:pPr>
        <w:pStyle w:val="12"/>
      </w:pPr>
      <w:r w:rsidRPr="00A428C3">
        <w:t xml:space="preserve">Language: </w:t>
      </w:r>
    </w:p>
    <w:p w:rsidR="00DA1AA0" w:rsidRPr="00A428C3" w:rsidRDefault="00DA1AA0" w:rsidP="00B72EF9">
      <w:pPr>
        <w:pStyle w:val="12"/>
      </w:pPr>
      <w:r w:rsidRPr="00A428C3">
        <w:t xml:space="preserve">Publisher: </w:t>
      </w:r>
    </w:p>
    <w:p w:rsidR="00DA1AA0" w:rsidRPr="00A428C3" w:rsidRDefault="00DA1AA0" w:rsidP="00B72EF9">
      <w:pPr>
        <w:pStyle w:val="12"/>
      </w:pPr>
      <w:r w:rsidRPr="00A428C3">
        <w:t xml:space="preserve">Publisher Address: </w:t>
      </w:r>
    </w:p>
    <w:p w:rsidR="00DA1AA0" w:rsidRPr="00A428C3" w:rsidRDefault="00DA1AA0" w:rsidP="00B72EF9">
      <w:pPr>
        <w:pStyle w:val="12"/>
      </w:pPr>
      <w:r w:rsidRPr="00A428C3">
        <w:t>Subject Categories:</w:t>
      </w:r>
    </w:p>
    <w:p w:rsidR="00DA1AA0" w:rsidRPr="00A428C3" w:rsidRDefault="00DA1AA0" w:rsidP="00B72EF9">
      <w:pPr>
        <w:pStyle w:val="12"/>
      </w:pPr>
      <w:r w:rsidRPr="00A428C3">
        <w:t xml:space="preserve">: Impact Factor </w:t>
      </w:r>
    </w:p>
    <w:p w:rsidR="00DA1AA0" w:rsidRPr="003005A7" w:rsidRDefault="00DA1AA0" w:rsidP="00DA1AA0">
      <w:pPr>
        <w:pStyle w:val="a0"/>
      </w:pPr>
      <w:r w:rsidRPr="003005A7">
        <w:rPr>
          <w:rFonts w:hint="eastAsia"/>
        </w:rPr>
        <w:t xml:space="preserve">? </w:t>
      </w:r>
      <w:r w:rsidRPr="003005A7">
        <w:t xml:space="preserve">Pilkington, A. (2004), Defining technology management: a citation/co-citation study. </w:t>
      </w:r>
      <w:r w:rsidRPr="003005A7">
        <w:rPr>
          <w:i/>
          <w:iCs/>
        </w:rPr>
        <w:t>2004 IEEE International Engineering Management Conference (IEEE Cat.</w:t>
      </w:r>
      <w:r w:rsidRPr="003005A7">
        <w:rPr>
          <w:rFonts w:hint="eastAsia"/>
          <w:i/>
          <w:iCs/>
        </w:rPr>
        <w:t xml:space="preserve"> </w:t>
      </w:r>
      <w:r w:rsidRPr="003005A7">
        <w:rPr>
          <w:i/>
          <w:iCs/>
        </w:rPr>
        <w:t>No.</w:t>
      </w:r>
      <w:r w:rsidRPr="003005A7">
        <w:rPr>
          <w:rFonts w:hint="eastAsia"/>
          <w:i/>
          <w:iCs/>
        </w:rPr>
        <w:t xml:space="preserve"> </w:t>
      </w:r>
      <w:r w:rsidRPr="003005A7">
        <w:rPr>
          <w:i/>
          <w:iCs/>
        </w:rPr>
        <w:t>04CH37574)</w:t>
      </w:r>
      <w:r w:rsidRPr="003005A7">
        <w:t>, 337-341.</w:t>
      </w:r>
    </w:p>
    <w:p w:rsidR="00DA1AA0" w:rsidRPr="003005A7" w:rsidRDefault="00DA1AA0" w:rsidP="00DA1AA0">
      <w:pPr>
        <w:pStyle w:val="a0"/>
      </w:pPr>
      <w:r w:rsidRPr="003005A7">
        <w:t>Abstract: In this paper bibliometric techniques (citation</w:t>
      </w:r>
      <w:r w:rsidR="00F81221">
        <w:t xml:space="preserve"> and </w:t>
      </w:r>
      <w:r w:rsidRPr="003005A7">
        <w:t>a factor analysis of co-citations) are used to investigate the intellectual pillars of the technology management literature. Similar techniques are also used to explore differences in the research agendas of UK, European, North American</w:t>
      </w:r>
      <w:r w:rsidR="00F81221">
        <w:t xml:space="preserve"> and </w:t>
      </w:r>
      <w:r w:rsidRPr="003005A7">
        <w:t>rest of the World scholars,</w:t>
      </w:r>
      <w:r w:rsidR="00F81221">
        <w:t xml:space="preserve"> and </w:t>
      </w:r>
      <w:r w:rsidRPr="003005A7">
        <w:t>it is argued that such differences may have exacerbated the delays experienced in developing technology management as a respected academic discipline.</w:t>
      </w:r>
    </w:p>
    <w:p w:rsidR="00DA1AA0" w:rsidRDefault="00DA1AA0" w:rsidP="00DA1AA0">
      <w:pPr>
        <w:pStyle w:val="a0"/>
      </w:pPr>
      <w:r>
        <w:rPr>
          <w:rFonts w:hint="eastAsia"/>
        </w:rPr>
        <w:t>Notes: UUniversity</w:t>
      </w:r>
    </w:p>
    <w:p w:rsidR="00DA1AA0" w:rsidRPr="003005A7" w:rsidRDefault="00DA1AA0" w:rsidP="00DA1AA0">
      <w:pPr>
        <w:pStyle w:val="a0"/>
      </w:pPr>
      <w:r w:rsidRPr="003005A7">
        <w:t>? Matsuura, K.</w:t>
      </w:r>
      <w:r w:rsidR="00F81221">
        <w:t xml:space="preserve"> and </w:t>
      </w:r>
      <w:r w:rsidRPr="003005A7">
        <w:t>Ebato, K. (2004), University-industry collaboration networks in the information security field in Japan: problems</w:t>
      </w:r>
      <w:r w:rsidR="00F81221">
        <w:t xml:space="preserve"> and </w:t>
      </w:r>
      <w:r w:rsidRPr="003005A7">
        <w:t xml:space="preserve">a particular success. </w:t>
      </w:r>
      <w:r w:rsidRPr="003005A7">
        <w:rPr>
          <w:i/>
          <w:iCs/>
        </w:rPr>
        <w:t>2004 IEEE International Engineering Management Conference (IEEE Cat.</w:t>
      </w:r>
      <w:r w:rsidRPr="003005A7">
        <w:rPr>
          <w:rFonts w:hint="eastAsia"/>
          <w:i/>
          <w:iCs/>
        </w:rPr>
        <w:t xml:space="preserve"> </w:t>
      </w:r>
      <w:r w:rsidRPr="003005A7">
        <w:rPr>
          <w:i/>
          <w:iCs/>
        </w:rPr>
        <w:t>No.</w:t>
      </w:r>
      <w:r w:rsidRPr="003005A7">
        <w:rPr>
          <w:rFonts w:hint="eastAsia"/>
          <w:i/>
          <w:iCs/>
        </w:rPr>
        <w:t xml:space="preserve"> </w:t>
      </w:r>
      <w:r w:rsidRPr="003005A7">
        <w:rPr>
          <w:i/>
          <w:iCs/>
        </w:rPr>
        <w:t>04CH37574)</w:t>
      </w:r>
      <w:r w:rsidRPr="003005A7">
        <w:t>, 839-844.</w:t>
      </w:r>
    </w:p>
    <w:p w:rsidR="00DA1AA0" w:rsidRPr="003005A7" w:rsidRDefault="00DA1AA0" w:rsidP="00DA1AA0">
      <w:pPr>
        <w:pStyle w:val="a0"/>
      </w:pPr>
      <w:r w:rsidRPr="003005A7">
        <w:t>Abstract: Promotion of university-industry interaction has become a key topic at many levels in Japan to reform the social infrastructure. On the other hand, information security is the key to develop IT social network. In this context, what is the state of university-industry research collaboration in the information-security field in Japan? Our preliminary bibliometric analysis reported in IEMC2003 embarked on answering this question</w:t>
      </w:r>
      <w:r w:rsidR="00F81221">
        <w:t xml:space="preserve"> and </w:t>
      </w:r>
      <w:r w:rsidRPr="003005A7">
        <w:t>gave a conclusion that inter-sector collaboration in the information-security field in Japan is underdeveloped. This article shows two more empirical supports for the conclusion; one uses a patent survey in this particular field in Japan,</w:t>
      </w:r>
      <w:r w:rsidR="00F81221">
        <w:t xml:space="preserve"> and </w:t>
      </w:r>
      <w:r w:rsidRPr="003005A7">
        <w:t>the other is a research-network analysis confined to the major players found in the bibliometric analysis. We hope that these series of reports</w:t>
      </w:r>
      <w:r w:rsidR="00F81221">
        <w:t xml:space="preserve"> and </w:t>
      </w:r>
      <w:r w:rsidRPr="003005A7">
        <w:lastRenderedPageBreak/>
        <w:t xml:space="preserve">methodologies used there will open the door to empirical analyses of collaboration </w:t>
      </w:r>
      <w:r w:rsidR="000352E7">
        <w:t>“</w:t>
      </w:r>
      <w:r w:rsidRPr="003005A7">
        <w:t>in a particular field in a particular country</w:t>
      </w:r>
      <w:r w:rsidR="000352E7">
        <w:t>”</w:t>
      </w:r>
      <w:r w:rsidRPr="003005A7">
        <w:t>.</w:t>
      </w:r>
    </w:p>
    <w:p w:rsidR="00DA1AA0" w:rsidRPr="003005A7" w:rsidRDefault="00DA1AA0" w:rsidP="00DA1AA0">
      <w:pPr>
        <w:pStyle w:val="a0"/>
      </w:pPr>
      <w:r w:rsidRPr="003005A7">
        <w:rPr>
          <w:rFonts w:hint="eastAsia"/>
        </w:rPr>
        <w:t xml:space="preserve">? </w:t>
      </w:r>
      <w:r w:rsidRPr="003005A7">
        <w:t>Kaban, A.</w:t>
      </w:r>
      <w:r w:rsidR="00F81221">
        <w:t xml:space="preserve"> and </w:t>
      </w:r>
      <w:r w:rsidRPr="003005A7">
        <w:t xml:space="preserve">Xin, W. (2004), Context based identification of user communities from Internet chat. </w:t>
      </w:r>
      <w:r w:rsidRPr="003005A7">
        <w:rPr>
          <w:i/>
          <w:iCs/>
        </w:rPr>
        <w:t>2004 IEEE International Joint Conference on Neural Networks (IEEE Cat.</w:t>
      </w:r>
      <w:r w:rsidRPr="003005A7">
        <w:rPr>
          <w:rFonts w:hint="eastAsia"/>
          <w:i/>
          <w:iCs/>
        </w:rPr>
        <w:t xml:space="preserve"> </w:t>
      </w:r>
      <w:r w:rsidRPr="003005A7">
        <w:rPr>
          <w:i/>
          <w:iCs/>
        </w:rPr>
        <w:t>No.</w:t>
      </w:r>
      <w:r w:rsidRPr="003005A7">
        <w:rPr>
          <w:rFonts w:hint="eastAsia"/>
          <w:i/>
          <w:iCs/>
        </w:rPr>
        <w:t xml:space="preserve"> </w:t>
      </w:r>
      <w:r w:rsidRPr="003005A7">
        <w:rPr>
          <w:i/>
          <w:iCs/>
        </w:rPr>
        <w:t>04CH37541)</w:t>
      </w:r>
      <w:r w:rsidRPr="003005A7">
        <w:t>, 3287-3292.</w:t>
      </w:r>
    </w:p>
    <w:p w:rsidR="00DA1AA0" w:rsidRPr="003005A7" w:rsidRDefault="00DA1AA0" w:rsidP="00DA1AA0">
      <w:pPr>
        <w:pStyle w:val="a0"/>
      </w:pPr>
      <w:r w:rsidRPr="003005A7">
        <w:t>Abstract: We study the temporal connectivity structure of single-channel Internet-based chat participation streams. Somewhat similar to bibliometric analysis,</w:t>
      </w:r>
      <w:r w:rsidR="00F81221">
        <w:t xml:space="preserve"> and </w:t>
      </w:r>
      <w:r w:rsidRPr="003005A7">
        <w:t>complementary to topic-analysis, we base our study solely on context information provided by the temporal order of participants</w:t>
      </w:r>
      <w:r w:rsidR="000352E7">
        <w:t>’</w:t>
      </w:r>
      <w:r w:rsidRPr="003005A7">
        <w:t xml:space="preserve"> contributions. Experimental results obtained by employing both network-analysis indicators</w:t>
      </w:r>
      <w:r w:rsidR="00F81221">
        <w:t xml:space="preserve"> and </w:t>
      </w:r>
      <w:r w:rsidRPr="003005A7">
        <w:t>an aggregate Markov modelling approach indicate the existence of distinguishable communities in the about one day worth real-world chat dynamics analysed.</w:t>
      </w:r>
    </w:p>
    <w:p w:rsidR="00DA1AA0" w:rsidRPr="00A428C3" w:rsidRDefault="00DA1AA0" w:rsidP="00DA1AA0">
      <w:pPr>
        <w:pStyle w:val="1"/>
      </w:pPr>
      <w:r w:rsidRPr="00A428C3">
        <w:br w:type="page"/>
      </w:r>
      <w:bookmarkStart w:id="755" w:name="_Toc238862993"/>
      <w:bookmarkStart w:id="756" w:name="_Toc317161084"/>
      <w:r w:rsidRPr="00A428C3">
        <w:lastRenderedPageBreak/>
        <w:t xml:space="preserve">Title: </w:t>
      </w:r>
      <w:r w:rsidRPr="00EE54D4">
        <w:rPr>
          <w:szCs w:val="24"/>
        </w:rPr>
        <w:t>2008 IEEE International Conference on Granular Computing</w:t>
      </w:r>
      <w:bookmarkEnd w:id="755"/>
      <w:bookmarkEnd w:id="756"/>
    </w:p>
    <w:p w:rsidR="00DA1AA0" w:rsidRPr="00A428C3" w:rsidRDefault="00DA1AA0" w:rsidP="00B72EF9">
      <w:pPr>
        <w:pStyle w:val="12"/>
      </w:pPr>
      <w:r w:rsidRPr="00A428C3">
        <w:t xml:space="preserve">Full Journal Title: </w:t>
      </w:r>
      <w:r w:rsidRPr="00EE54D4">
        <w:t>2008 IEEE International Conference on Granular Computing</w:t>
      </w:r>
    </w:p>
    <w:p w:rsidR="00DA1AA0" w:rsidRPr="00A428C3" w:rsidRDefault="00DA1AA0" w:rsidP="00B72EF9">
      <w:pPr>
        <w:pStyle w:val="12"/>
      </w:pPr>
      <w:r w:rsidRPr="00A428C3">
        <w:t xml:space="preserve">ISO Abbreviated Title: </w:t>
      </w:r>
    </w:p>
    <w:p w:rsidR="00DA1AA0" w:rsidRPr="00A428C3" w:rsidRDefault="00DA1AA0" w:rsidP="00B72EF9">
      <w:pPr>
        <w:pStyle w:val="12"/>
      </w:pPr>
      <w:r w:rsidRPr="00A428C3">
        <w:t xml:space="preserve">JCR Abbreviated Title: </w:t>
      </w:r>
    </w:p>
    <w:p w:rsidR="00DA1AA0" w:rsidRPr="00A428C3" w:rsidRDefault="00DA1AA0" w:rsidP="00B72EF9">
      <w:pPr>
        <w:pStyle w:val="12"/>
      </w:pPr>
      <w:r w:rsidRPr="00A428C3">
        <w:t xml:space="preserve">ISSN: </w:t>
      </w:r>
    </w:p>
    <w:p w:rsidR="00DA1AA0" w:rsidRPr="00A428C3" w:rsidRDefault="00DA1AA0" w:rsidP="00B72EF9">
      <w:pPr>
        <w:pStyle w:val="12"/>
      </w:pPr>
      <w:r w:rsidRPr="00A428C3">
        <w:t xml:space="preserve">Issues/Year: </w:t>
      </w:r>
    </w:p>
    <w:p w:rsidR="00DA1AA0" w:rsidRPr="00A428C3" w:rsidRDefault="00FB5623" w:rsidP="00B72EF9">
      <w:pPr>
        <w:pStyle w:val="12"/>
      </w:pPr>
      <w:r>
        <w:t>Journal Country/Territory:</w:t>
      </w:r>
      <w:r w:rsidR="00DA1AA0">
        <w:t xml:space="preserve"> </w:t>
      </w:r>
    </w:p>
    <w:p w:rsidR="00DA1AA0" w:rsidRPr="00A428C3" w:rsidRDefault="00DA1AA0" w:rsidP="00B72EF9">
      <w:pPr>
        <w:pStyle w:val="12"/>
      </w:pPr>
      <w:r w:rsidRPr="00A428C3">
        <w:t xml:space="preserve">Language: </w:t>
      </w:r>
    </w:p>
    <w:p w:rsidR="00DA1AA0" w:rsidRPr="00A428C3" w:rsidRDefault="00DA1AA0" w:rsidP="00B72EF9">
      <w:pPr>
        <w:pStyle w:val="12"/>
      </w:pPr>
      <w:r w:rsidRPr="00A428C3">
        <w:t xml:space="preserve">Publisher: </w:t>
      </w:r>
    </w:p>
    <w:p w:rsidR="00DA1AA0" w:rsidRPr="00A428C3" w:rsidRDefault="00DA1AA0" w:rsidP="00B72EF9">
      <w:pPr>
        <w:pStyle w:val="12"/>
      </w:pPr>
      <w:r w:rsidRPr="00A428C3">
        <w:t xml:space="preserve">Publisher Address: </w:t>
      </w:r>
    </w:p>
    <w:p w:rsidR="00DA1AA0" w:rsidRPr="00A428C3" w:rsidRDefault="00DA1AA0" w:rsidP="00B72EF9">
      <w:pPr>
        <w:pStyle w:val="12"/>
      </w:pPr>
      <w:r w:rsidRPr="00A428C3">
        <w:t>Subject Categories:</w:t>
      </w:r>
    </w:p>
    <w:p w:rsidR="00DA1AA0" w:rsidRPr="00A428C3" w:rsidRDefault="00DA1AA0" w:rsidP="00B72EF9">
      <w:pPr>
        <w:pStyle w:val="12"/>
      </w:pPr>
      <w:r w:rsidRPr="00A428C3">
        <w:t xml:space="preserve">: Impact Factor </w:t>
      </w:r>
    </w:p>
    <w:p w:rsidR="00DA1AA0" w:rsidRDefault="00DA1AA0" w:rsidP="00DA1AA0">
      <w:pPr>
        <w:pStyle w:val="a0"/>
        <w:rPr>
          <w:kern w:val="0"/>
          <w:szCs w:val="24"/>
        </w:rPr>
      </w:pPr>
      <w:r>
        <w:rPr>
          <w:rFonts w:hint="eastAsia"/>
          <w:kern w:val="0"/>
          <w:szCs w:val="24"/>
        </w:rPr>
        <w:t xml:space="preserve">? </w:t>
      </w:r>
      <w:r>
        <w:rPr>
          <w:kern w:val="0"/>
          <w:szCs w:val="24"/>
        </w:rPr>
        <w:t xml:space="preserve">Yao, J.T. (2008), Recent developments in granular computing: A bibliometrics study. </w:t>
      </w:r>
      <w:r w:rsidRPr="00EE54D4">
        <w:rPr>
          <w:i/>
          <w:iCs/>
          <w:kern w:val="0"/>
          <w:szCs w:val="24"/>
        </w:rPr>
        <w:t>2008 IEEE International Conference on Granular Computing</w:t>
      </w:r>
      <w:r>
        <w:rPr>
          <w:rFonts w:hint="eastAsia"/>
          <w:kern w:val="0"/>
          <w:szCs w:val="24"/>
        </w:rPr>
        <w:t xml:space="preserve">, </w:t>
      </w:r>
      <w:r>
        <w:rPr>
          <w:rFonts w:hint="eastAsia"/>
          <w:b/>
          <w:bCs/>
          <w:kern w:val="0"/>
          <w:szCs w:val="24"/>
        </w:rPr>
        <w:t>1-2</w:t>
      </w:r>
      <w:r>
        <w:rPr>
          <w:kern w:val="0"/>
          <w:szCs w:val="24"/>
        </w:rPr>
        <w:t>, 74-79.</w:t>
      </w:r>
    </w:p>
    <w:p w:rsidR="00DA1AA0" w:rsidRDefault="00DA1AA0" w:rsidP="00DA1AA0">
      <w:pPr>
        <w:pStyle w:val="a0"/>
        <w:rPr>
          <w:kern w:val="0"/>
          <w:szCs w:val="24"/>
        </w:rPr>
      </w:pPr>
      <w:r>
        <w:rPr>
          <w:kern w:val="0"/>
          <w:szCs w:val="24"/>
        </w:rPr>
        <w:t xml:space="preserve">Abstract: This is a follow-up of the paper </w:t>
      </w:r>
      <w:r w:rsidR="000352E7">
        <w:rPr>
          <w:kern w:val="0"/>
          <w:szCs w:val="24"/>
        </w:rPr>
        <w:t>“</w:t>
      </w:r>
      <w:r>
        <w:rPr>
          <w:kern w:val="0"/>
          <w:szCs w:val="24"/>
        </w:rPr>
        <w:t>A ten-year review of granular computing</w:t>
      </w:r>
      <w:r w:rsidR="000352E7">
        <w:rPr>
          <w:kern w:val="0"/>
          <w:szCs w:val="24"/>
        </w:rPr>
        <w:t>”</w:t>
      </w:r>
      <w:r>
        <w:rPr>
          <w:kern w:val="0"/>
          <w:szCs w:val="24"/>
        </w:rPr>
        <w:t xml:space="preserve"> published in 2007. We will continue to examine the most influential papers in granular computing. Based on the analysis of the impact papers, a list of key issues of granular computing research is given. We also summarize recent developments of research in granular computing.</w:t>
      </w:r>
    </w:p>
    <w:p w:rsidR="00DA1AA0" w:rsidRDefault="00DA1AA0" w:rsidP="00DA1AA0">
      <w:pPr>
        <w:pStyle w:val="a0"/>
        <w:rPr>
          <w:kern w:val="0"/>
          <w:szCs w:val="24"/>
        </w:rPr>
      </w:pPr>
      <w:r>
        <w:rPr>
          <w:kern w:val="0"/>
          <w:szCs w:val="24"/>
        </w:rPr>
        <w:t>Keywords: Analysis, Bibliometrics, Follow-Up, Fuzzy Information Granulation, Granular Computing, Impact, Ordinal Data, Papers, Research, Review, Rough Set Approach</w:t>
      </w:r>
    </w:p>
    <w:p w:rsidR="00DA1AA0" w:rsidRPr="00A428C3" w:rsidRDefault="00DA1AA0" w:rsidP="00DA1AA0">
      <w:pPr>
        <w:pStyle w:val="1"/>
      </w:pPr>
      <w:r w:rsidRPr="00A428C3">
        <w:br w:type="page"/>
      </w:r>
      <w:bookmarkStart w:id="757" w:name="_Toc238862994"/>
      <w:bookmarkStart w:id="758" w:name="_Toc317161085"/>
      <w:r w:rsidRPr="00A428C3">
        <w:lastRenderedPageBreak/>
        <w:t xml:space="preserve">Title: </w:t>
      </w:r>
      <w:r w:rsidRPr="00EE54D4">
        <w:rPr>
          <w:szCs w:val="24"/>
        </w:rPr>
        <w:t>2008 IEEE International Conference on Management of Innovation</w:t>
      </w:r>
      <w:r w:rsidR="00F81221">
        <w:rPr>
          <w:szCs w:val="24"/>
        </w:rPr>
        <w:t xml:space="preserve"> and </w:t>
      </w:r>
      <w:r w:rsidRPr="00EE54D4">
        <w:rPr>
          <w:szCs w:val="24"/>
        </w:rPr>
        <w:t>Technology</w:t>
      </w:r>
      <w:bookmarkEnd w:id="757"/>
      <w:bookmarkEnd w:id="758"/>
    </w:p>
    <w:p w:rsidR="00DA1AA0" w:rsidRPr="00A428C3" w:rsidRDefault="00DA1AA0" w:rsidP="00B72EF9">
      <w:pPr>
        <w:pStyle w:val="12"/>
      </w:pPr>
      <w:r w:rsidRPr="00A428C3">
        <w:t xml:space="preserve">Full Journal Title: </w:t>
      </w:r>
      <w:r w:rsidRPr="00EE54D4">
        <w:t>2008 IEEE International Conference on Management of Innovation</w:t>
      </w:r>
      <w:r w:rsidR="00F81221">
        <w:t xml:space="preserve"> and </w:t>
      </w:r>
      <w:r w:rsidRPr="00EE54D4">
        <w:t>Technology</w:t>
      </w:r>
    </w:p>
    <w:p w:rsidR="00DA1AA0" w:rsidRPr="00A428C3" w:rsidRDefault="00DA1AA0" w:rsidP="00B72EF9">
      <w:pPr>
        <w:pStyle w:val="12"/>
      </w:pPr>
      <w:r w:rsidRPr="00A428C3">
        <w:t xml:space="preserve">ISO Abbreviated Title: </w:t>
      </w:r>
    </w:p>
    <w:p w:rsidR="00DA1AA0" w:rsidRPr="00A428C3" w:rsidRDefault="00DA1AA0" w:rsidP="00B72EF9">
      <w:pPr>
        <w:pStyle w:val="12"/>
      </w:pPr>
      <w:r w:rsidRPr="00A428C3">
        <w:t xml:space="preserve">JCR Abbreviated Title: </w:t>
      </w:r>
    </w:p>
    <w:p w:rsidR="00DA1AA0" w:rsidRPr="00A428C3" w:rsidRDefault="00DA1AA0" w:rsidP="00B72EF9">
      <w:pPr>
        <w:pStyle w:val="12"/>
      </w:pPr>
      <w:r w:rsidRPr="00A428C3">
        <w:t xml:space="preserve">ISSN: </w:t>
      </w:r>
    </w:p>
    <w:p w:rsidR="00DA1AA0" w:rsidRPr="00A428C3" w:rsidRDefault="00DA1AA0" w:rsidP="00B72EF9">
      <w:pPr>
        <w:pStyle w:val="12"/>
      </w:pPr>
      <w:r w:rsidRPr="00A428C3">
        <w:t xml:space="preserve">Issues/Year: </w:t>
      </w:r>
    </w:p>
    <w:p w:rsidR="00DA1AA0" w:rsidRPr="00A428C3" w:rsidRDefault="00FB5623" w:rsidP="00B72EF9">
      <w:pPr>
        <w:pStyle w:val="12"/>
      </w:pPr>
      <w:r>
        <w:t>Journal Country/Territory:</w:t>
      </w:r>
      <w:r w:rsidR="00DA1AA0">
        <w:t xml:space="preserve"> </w:t>
      </w:r>
    </w:p>
    <w:p w:rsidR="00DA1AA0" w:rsidRPr="00A428C3" w:rsidRDefault="00DA1AA0" w:rsidP="00B72EF9">
      <w:pPr>
        <w:pStyle w:val="12"/>
      </w:pPr>
      <w:r w:rsidRPr="00A428C3">
        <w:t xml:space="preserve">Language: </w:t>
      </w:r>
    </w:p>
    <w:p w:rsidR="00DA1AA0" w:rsidRPr="00A428C3" w:rsidRDefault="00DA1AA0" w:rsidP="00B72EF9">
      <w:pPr>
        <w:pStyle w:val="12"/>
      </w:pPr>
      <w:r w:rsidRPr="00A428C3">
        <w:t xml:space="preserve">Publisher: </w:t>
      </w:r>
    </w:p>
    <w:p w:rsidR="00DA1AA0" w:rsidRPr="00A428C3" w:rsidRDefault="00DA1AA0" w:rsidP="00B72EF9">
      <w:pPr>
        <w:pStyle w:val="12"/>
      </w:pPr>
      <w:r w:rsidRPr="00A428C3">
        <w:t xml:space="preserve">Publisher Address: </w:t>
      </w:r>
    </w:p>
    <w:p w:rsidR="00DA1AA0" w:rsidRPr="00A428C3" w:rsidRDefault="00DA1AA0" w:rsidP="00B72EF9">
      <w:pPr>
        <w:pStyle w:val="12"/>
      </w:pPr>
      <w:r w:rsidRPr="00A428C3">
        <w:t>Subject Categories:</w:t>
      </w:r>
    </w:p>
    <w:p w:rsidR="00DA1AA0" w:rsidRPr="00A428C3" w:rsidRDefault="00DA1AA0" w:rsidP="00B72EF9">
      <w:pPr>
        <w:pStyle w:val="12"/>
      </w:pPr>
      <w:r w:rsidRPr="00A428C3">
        <w:t xml:space="preserve">: Impact Factor </w:t>
      </w:r>
    </w:p>
    <w:p w:rsidR="00DA1AA0" w:rsidRDefault="00DA1AA0" w:rsidP="00DA1AA0">
      <w:pPr>
        <w:pStyle w:val="a0"/>
        <w:rPr>
          <w:kern w:val="0"/>
          <w:szCs w:val="24"/>
        </w:rPr>
      </w:pPr>
      <w:r>
        <w:rPr>
          <w:rFonts w:hint="eastAsia"/>
          <w:kern w:val="0"/>
          <w:szCs w:val="24"/>
        </w:rPr>
        <w:t xml:space="preserve">? </w:t>
      </w:r>
      <w:r>
        <w:rPr>
          <w:kern w:val="0"/>
          <w:szCs w:val="24"/>
        </w:rPr>
        <w:t>erdsri, N.</w:t>
      </w:r>
      <w:r w:rsidR="00F81221">
        <w:rPr>
          <w:kern w:val="0"/>
          <w:szCs w:val="24"/>
        </w:rPr>
        <w:t xml:space="preserve"> and </w:t>
      </w:r>
      <w:r>
        <w:rPr>
          <w:kern w:val="0"/>
          <w:szCs w:val="24"/>
        </w:rPr>
        <w:t>Daim, T.U. (2008), Generating Intelligence on the Research</w:t>
      </w:r>
      <w:r w:rsidR="00F81221">
        <w:rPr>
          <w:kern w:val="0"/>
          <w:szCs w:val="24"/>
        </w:rPr>
        <w:t xml:space="preserve"> and </w:t>
      </w:r>
      <w:r>
        <w:rPr>
          <w:kern w:val="0"/>
          <w:szCs w:val="24"/>
        </w:rPr>
        <w:t>Development Progress of Emerging Technologies Using Patent</w:t>
      </w:r>
      <w:r w:rsidR="00F81221">
        <w:rPr>
          <w:kern w:val="0"/>
          <w:szCs w:val="24"/>
        </w:rPr>
        <w:t xml:space="preserve"> and </w:t>
      </w:r>
      <w:r>
        <w:rPr>
          <w:kern w:val="0"/>
          <w:szCs w:val="24"/>
        </w:rPr>
        <w:t xml:space="preserve">Publication Information. </w:t>
      </w:r>
      <w:r w:rsidRPr="00EE54D4">
        <w:rPr>
          <w:i/>
          <w:iCs/>
          <w:kern w:val="0"/>
          <w:szCs w:val="24"/>
        </w:rPr>
        <w:t>2008 IEEE International Conference on Management of Innovation</w:t>
      </w:r>
      <w:r w:rsidR="00F81221">
        <w:rPr>
          <w:i/>
          <w:iCs/>
          <w:kern w:val="0"/>
          <w:szCs w:val="24"/>
        </w:rPr>
        <w:t xml:space="preserve"> and </w:t>
      </w:r>
      <w:r w:rsidRPr="00EE54D4">
        <w:rPr>
          <w:i/>
          <w:iCs/>
          <w:kern w:val="0"/>
          <w:szCs w:val="24"/>
        </w:rPr>
        <w:t>Technology</w:t>
      </w:r>
      <w:r>
        <w:rPr>
          <w:rFonts w:hint="eastAsia"/>
          <w:kern w:val="0"/>
          <w:szCs w:val="24"/>
        </w:rPr>
        <w:t xml:space="preserve">, </w:t>
      </w:r>
      <w:r w:rsidRPr="009228E2">
        <w:rPr>
          <w:b/>
          <w:bCs/>
          <w:kern w:val="0"/>
          <w:szCs w:val="24"/>
        </w:rPr>
        <w:t>1-3</w:t>
      </w:r>
      <w:r>
        <w:rPr>
          <w:kern w:val="0"/>
          <w:szCs w:val="24"/>
        </w:rPr>
        <w:t>, 1-6.</w:t>
      </w:r>
    </w:p>
    <w:p w:rsidR="00DA1AA0" w:rsidRDefault="00DA1AA0" w:rsidP="00DA1AA0">
      <w:pPr>
        <w:pStyle w:val="a0"/>
        <w:rPr>
          <w:kern w:val="0"/>
          <w:szCs w:val="24"/>
        </w:rPr>
      </w:pPr>
      <w:r>
        <w:rPr>
          <w:kern w:val="0"/>
          <w:szCs w:val="24"/>
        </w:rPr>
        <w:t>Abstract: It is critical for technology-driven organizations to have access to intelligence on the progress of research</w:t>
      </w:r>
      <w:r w:rsidR="00F81221">
        <w:rPr>
          <w:kern w:val="0"/>
          <w:szCs w:val="24"/>
        </w:rPr>
        <w:t xml:space="preserve"> and </w:t>
      </w:r>
      <w:r>
        <w:rPr>
          <w:kern w:val="0"/>
          <w:szCs w:val="24"/>
        </w:rPr>
        <w:t>development (R&amp;D) in public or private laboratories. Technology forecasting methods can be useful in these cases if there is a history of performance. However the traditional forecasting methods can not be used effectively for predicting the prospects of emerging technologies as historical information for any particular emerging technology is limited due to the short time of its appearance. The bibliometric</w:t>
      </w:r>
      <w:r w:rsidR="00F81221">
        <w:rPr>
          <w:kern w:val="0"/>
          <w:szCs w:val="24"/>
        </w:rPr>
        <w:t xml:space="preserve"> and </w:t>
      </w:r>
      <w:r>
        <w:rPr>
          <w:kern w:val="0"/>
          <w:szCs w:val="24"/>
        </w:rPr>
        <w:t>patent analysis approach presented in this paper allows researchers to generate intelligence on emerging technologies supported by the wealth of today</w:t>
      </w:r>
      <w:r w:rsidR="000352E7">
        <w:rPr>
          <w:kern w:val="0"/>
          <w:szCs w:val="24"/>
        </w:rPr>
        <w:t>’</w:t>
      </w:r>
      <w:r>
        <w:rPr>
          <w:kern w:val="0"/>
          <w:szCs w:val="24"/>
        </w:rPr>
        <w:t>s public electronic information database. Furthermore, this paper also emphasizes the needs for technology managers to be aware of a time lag among different scientific indicators.</w:t>
      </w:r>
    </w:p>
    <w:p w:rsidR="00DA1AA0" w:rsidRDefault="00DA1AA0" w:rsidP="00DA1AA0">
      <w:pPr>
        <w:pStyle w:val="a0"/>
        <w:rPr>
          <w:kern w:val="0"/>
          <w:szCs w:val="24"/>
        </w:rPr>
      </w:pPr>
      <w:r>
        <w:rPr>
          <w:kern w:val="0"/>
          <w:szCs w:val="24"/>
        </w:rPr>
        <w:t>Keywords: Access, Analysis, Approach, Bibliometric, Bibliometric Analysis, Bibliometrics, Cases, Database, Database Tomography, Development, Emerging, Emerging Technologies, Forecasting, History, Impact, Indicators, Industry, Information, Innovation, Intelligence, Managers, Methods, Needs, Opportunities, Organizations, Patent, Patent Analysis, Performance, Progress, Public, Publication, R&amp;D, R&amp;D Management, Research, Research</w:t>
      </w:r>
      <w:r w:rsidR="00F81221">
        <w:rPr>
          <w:kern w:val="0"/>
          <w:szCs w:val="24"/>
        </w:rPr>
        <w:t xml:space="preserve"> and </w:t>
      </w:r>
      <w:r>
        <w:rPr>
          <w:kern w:val="0"/>
          <w:szCs w:val="24"/>
        </w:rPr>
        <w:t>Development, Science, Technological Intelligence, Technologies, Technology, Technology Forecasting, Time, US, Wealth</w:t>
      </w:r>
    </w:p>
    <w:p w:rsidR="00DA1AA0" w:rsidRDefault="00DA1AA0" w:rsidP="00DA1AA0">
      <w:pPr>
        <w:pStyle w:val="a0"/>
        <w:rPr>
          <w:kern w:val="0"/>
          <w:szCs w:val="24"/>
        </w:rPr>
      </w:pPr>
      <w:r>
        <w:rPr>
          <w:rFonts w:hint="eastAsia"/>
          <w:kern w:val="0"/>
          <w:szCs w:val="24"/>
        </w:rPr>
        <w:lastRenderedPageBreak/>
        <w:t xml:space="preserve">? </w:t>
      </w:r>
      <w:r>
        <w:rPr>
          <w:kern w:val="0"/>
          <w:szCs w:val="24"/>
        </w:rPr>
        <w:t>Pretorius, L., Benade, S.J.</w:t>
      </w:r>
      <w:r w:rsidR="00F81221">
        <w:rPr>
          <w:kern w:val="0"/>
          <w:szCs w:val="24"/>
        </w:rPr>
        <w:t xml:space="preserve"> and </w:t>
      </w:r>
      <w:r>
        <w:rPr>
          <w:kern w:val="0"/>
          <w:szCs w:val="24"/>
        </w:rPr>
        <w:t xml:space="preserve">Kruger, S. (2008), Technology forecasting: The case of computational fluid dynamics (CFD). </w:t>
      </w:r>
      <w:r>
        <w:rPr>
          <w:i/>
          <w:iCs/>
          <w:kern w:val="0"/>
          <w:szCs w:val="24"/>
        </w:rPr>
        <w:t>2008 IEEE International Conference on Management of Innovation</w:t>
      </w:r>
      <w:r w:rsidR="00F81221">
        <w:rPr>
          <w:i/>
          <w:iCs/>
          <w:kern w:val="0"/>
          <w:szCs w:val="24"/>
        </w:rPr>
        <w:t xml:space="preserve"> and </w:t>
      </w:r>
      <w:r>
        <w:rPr>
          <w:i/>
          <w:iCs/>
          <w:kern w:val="0"/>
          <w:szCs w:val="24"/>
        </w:rPr>
        <w:t>Technology</w:t>
      </w:r>
      <w:r>
        <w:rPr>
          <w:rFonts w:hint="eastAsia"/>
          <w:kern w:val="0"/>
          <w:szCs w:val="24"/>
        </w:rPr>
        <w:t xml:space="preserve">, </w:t>
      </w:r>
      <w:r w:rsidRPr="009228E2">
        <w:rPr>
          <w:b/>
          <w:bCs/>
          <w:kern w:val="0"/>
          <w:szCs w:val="24"/>
        </w:rPr>
        <w:t>1-3</w:t>
      </w:r>
      <w:r>
        <w:rPr>
          <w:kern w:val="0"/>
          <w:szCs w:val="24"/>
        </w:rPr>
        <w:t>, 7-11.</w:t>
      </w:r>
    </w:p>
    <w:p w:rsidR="00DA1AA0" w:rsidRDefault="00DA1AA0" w:rsidP="00DA1AA0">
      <w:pPr>
        <w:pStyle w:val="a0"/>
        <w:rPr>
          <w:kern w:val="0"/>
          <w:szCs w:val="24"/>
        </w:rPr>
      </w:pPr>
      <w:r>
        <w:rPr>
          <w:kern w:val="0"/>
          <w:szCs w:val="24"/>
        </w:rPr>
        <w:t>Abstract: Forecasting emerging technologies as well the rate of diffusion of resultant products are complex in the context of management of technology usually because of a lack of relevant data. Techniques such as bibliometric analysis</w:t>
      </w:r>
      <w:r w:rsidR="00F81221">
        <w:rPr>
          <w:kern w:val="0"/>
          <w:szCs w:val="24"/>
        </w:rPr>
        <w:t xml:space="preserve"> and </w:t>
      </w:r>
      <w:r>
        <w:rPr>
          <w:kern w:val="0"/>
          <w:szCs w:val="24"/>
        </w:rPr>
        <w:t>the Bass diffusion model are utilized in this paper to assess the growth rate</w:t>
      </w:r>
      <w:r w:rsidR="00F81221">
        <w:rPr>
          <w:kern w:val="0"/>
          <w:szCs w:val="24"/>
        </w:rPr>
        <w:t xml:space="preserve"> and </w:t>
      </w:r>
      <w:r>
        <w:rPr>
          <w:kern w:val="0"/>
          <w:szCs w:val="24"/>
        </w:rPr>
        <w:t>market penetration of Computational Fluid Dynamics (CFD) as a technology. The penetration</w:t>
      </w:r>
      <w:r w:rsidR="00F81221">
        <w:rPr>
          <w:kern w:val="0"/>
          <w:szCs w:val="24"/>
        </w:rPr>
        <w:t xml:space="preserve"> and </w:t>
      </w:r>
      <w:r>
        <w:rPr>
          <w:kern w:val="0"/>
          <w:szCs w:val="24"/>
        </w:rPr>
        <w:t>growth rate of user acceptance of two CFD codes (not identified) are simulated. Furthermore a technology forecasting model of research</w:t>
      </w:r>
      <w:r w:rsidR="00F81221">
        <w:rPr>
          <w:kern w:val="0"/>
          <w:szCs w:val="24"/>
        </w:rPr>
        <w:t xml:space="preserve"> and </w:t>
      </w:r>
      <w:r>
        <w:rPr>
          <w:kern w:val="0"/>
          <w:szCs w:val="24"/>
        </w:rPr>
        <w:t>innovation in the field of application of CFD in the assessment of greenhouses is presented.</w:t>
      </w:r>
    </w:p>
    <w:p w:rsidR="00DA1AA0" w:rsidRDefault="00DA1AA0" w:rsidP="00DA1AA0">
      <w:pPr>
        <w:pStyle w:val="a0"/>
        <w:rPr>
          <w:kern w:val="0"/>
          <w:szCs w:val="24"/>
        </w:rPr>
      </w:pPr>
      <w:r>
        <w:rPr>
          <w:kern w:val="0"/>
          <w:szCs w:val="24"/>
        </w:rPr>
        <w:t>Keywords: Acceptance, Analysis, Application, Assessment, Bass Diffusion Model, Bibliometric, Bibliometric Analysis, CFD, Codes, Context, Data, Diffusion, Diffusion Model, Dynamics, Emerging, Emerging Technologies, Field, Forecasting, Growth, Growth Rate, Innovation, Management, Management of Technology, Market, Model, Penetration, Research, Simulated, Technologies, Technology, Technology Forecasting</w:t>
      </w:r>
    </w:p>
    <w:p w:rsidR="00DA1AA0" w:rsidRDefault="00DA1AA0" w:rsidP="00DA1AA0">
      <w:pPr>
        <w:pStyle w:val="a0"/>
        <w:rPr>
          <w:kern w:val="0"/>
          <w:szCs w:val="24"/>
        </w:rPr>
      </w:pPr>
      <w:r>
        <w:rPr>
          <w:rFonts w:hint="eastAsia"/>
          <w:kern w:val="0"/>
          <w:szCs w:val="24"/>
        </w:rPr>
        <w:t xml:space="preserve">? </w:t>
      </w:r>
      <w:r>
        <w:rPr>
          <w:kern w:val="0"/>
          <w:szCs w:val="24"/>
        </w:rPr>
        <w:t xml:space="preserve">Huang, L.C. (2008), Study on prospect of emerging technology commercialization based on bibliometrics analysis. </w:t>
      </w:r>
      <w:r>
        <w:rPr>
          <w:i/>
          <w:iCs/>
          <w:kern w:val="0"/>
          <w:szCs w:val="24"/>
        </w:rPr>
        <w:t>2008 IEEE International Conference on Management of Innovation</w:t>
      </w:r>
      <w:r w:rsidR="00F81221">
        <w:rPr>
          <w:i/>
          <w:iCs/>
          <w:kern w:val="0"/>
          <w:szCs w:val="24"/>
        </w:rPr>
        <w:t xml:space="preserve"> and </w:t>
      </w:r>
      <w:r>
        <w:rPr>
          <w:i/>
          <w:iCs/>
          <w:kern w:val="0"/>
          <w:szCs w:val="24"/>
        </w:rPr>
        <w:t>Technology</w:t>
      </w:r>
      <w:r>
        <w:rPr>
          <w:rFonts w:hint="eastAsia"/>
          <w:kern w:val="0"/>
          <w:szCs w:val="24"/>
        </w:rPr>
        <w:t>,</w:t>
      </w:r>
      <w:r>
        <w:rPr>
          <w:i/>
          <w:iCs/>
          <w:kern w:val="0"/>
          <w:szCs w:val="24"/>
        </w:rPr>
        <w:t xml:space="preserve"> </w:t>
      </w:r>
      <w:r w:rsidRPr="009228E2">
        <w:rPr>
          <w:b/>
          <w:bCs/>
          <w:kern w:val="0"/>
          <w:szCs w:val="24"/>
        </w:rPr>
        <w:t>1-3</w:t>
      </w:r>
      <w:r>
        <w:rPr>
          <w:kern w:val="0"/>
          <w:szCs w:val="24"/>
        </w:rPr>
        <w:t>, 29-33.</w:t>
      </w:r>
    </w:p>
    <w:p w:rsidR="00DA1AA0" w:rsidRDefault="00DA1AA0" w:rsidP="00DA1AA0">
      <w:pPr>
        <w:pStyle w:val="a0"/>
        <w:rPr>
          <w:kern w:val="0"/>
          <w:szCs w:val="24"/>
        </w:rPr>
      </w:pPr>
      <w:r>
        <w:rPr>
          <w:kern w:val="0"/>
          <w:szCs w:val="24"/>
        </w:rPr>
        <w:t>Abstract: Due to the uncertainty of emerging technologies development</w:t>
      </w:r>
      <w:r w:rsidR="00F81221">
        <w:rPr>
          <w:kern w:val="0"/>
          <w:szCs w:val="24"/>
        </w:rPr>
        <w:t xml:space="preserve"> and </w:t>
      </w:r>
      <w:r>
        <w:rPr>
          <w:kern w:val="0"/>
          <w:szCs w:val="24"/>
        </w:rPr>
        <w:t>their commercial prospect, it has important significant for technology investment decision-making on how to judge the prospect of emerging technology commercialization. Through the introduction on the relationship of bibliometrics</w:t>
      </w:r>
      <w:r w:rsidR="00F81221">
        <w:rPr>
          <w:kern w:val="0"/>
          <w:szCs w:val="24"/>
        </w:rPr>
        <w:t xml:space="preserve"> and </w:t>
      </w:r>
      <w:r>
        <w:rPr>
          <w:kern w:val="0"/>
          <w:szCs w:val="24"/>
        </w:rPr>
        <w:t>industry development, at first, this paper illuminates that it is a good method to research the emerging technology commercial prospect by using bibliometrics analysis methodology; then, the degree of emerging technology approaching to commercialization is illustrated by judging the technology maturity, at last, the degree of emerging technology approaching to commercialization success is analysis by judging whether the environment has being ready based on bibliometrics analysis approach.</w:t>
      </w:r>
    </w:p>
    <w:p w:rsidR="00DA1AA0" w:rsidRDefault="00DA1AA0" w:rsidP="00DA1AA0">
      <w:pPr>
        <w:pStyle w:val="a0"/>
        <w:rPr>
          <w:kern w:val="0"/>
          <w:szCs w:val="24"/>
        </w:rPr>
      </w:pPr>
      <w:r>
        <w:rPr>
          <w:kern w:val="0"/>
          <w:szCs w:val="24"/>
        </w:rPr>
        <w:t>Keywords: Analysis, Approach, Bibliometrics, Bibliometrics Analysis, Commercial Environment Analysis, Commercial Prospect, Decision Making, Decision-Making, Development, Emerging, Emerging Technologies, Emerging Technology, Environment, First, Industry, Investment, Methodology, Relationship, Research, Success, Technologies, Technology, Technology Maturity, Uncertainty</w:t>
      </w:r>
    </w:p>
    <w:p w:rsidR="009723E5" w:rsidRPr="001A3D2B" w:rsidRDefault="009723E5" w:rsidP="009723E5">
      <w:pPr>
        <w:pStyle w:val="1"/>
      </w:pPr>
      <w:r w:rsidRPr="001A3D2B">
        <w:br w:type="page"/>
      </w:r>
      <w:bookmarkStart w:id="759" w:name="_Toc317161086"/>
      <w:r w:rsidRPr="001A3D2B">
        <w:lastRenderedPageBreak/>
        <w:t xml:space="preserve">Title: </w:t>
      </w:r>
      <w:r w:rsidRPr="00437B60">
        <w:rPr>
          <w:iCs/>
          <w:szCs w:val="24"/>
        </w:rPr>
        <w:t>IEEE Engineering in Medicine</w:t>
      </w:r>
      <w:r w:rsidR="00F81221">
        <w:rPr>
          <w:iCs/>
          <w:szCs w:val="24"/>
        </w:rPr>
        <w:t xml:space="preserve"> and </w:t>
      </w:r>
      <w:r w:rsidRPr="00437B60">
        <w:rPr>
          <w:iCs/>
          <w:szCs w:val="24"/>
        </w:rPr>
        <w:t>Biology Magazine</w:t>
      </w:r>
      <w:bookmarkEnd w:id="759"/>
    </w:p>
    <w:p w:rsidR="009723E5" w:rsidRPr="001A3D2B" w:rsidRDefault="009723E5" w:rsidP="009723E5">
      <w:pPr>
        <w:pStyle w:val="12"/>
      </w:pPr>
      <w:r w:rsidRPr="001A3D2B">
        <w:t xml:space="preserve">Full Journal Title: </w:t>
      </w:r>
      <w:r w:rsidRPr="00437B60">
        <w:rPr>
          <w:iCs/>
        </w:rPr>
        <w:t>IEEE Engineering in Medicine</w:t>
      </w:r>
      <w:r w:rsidR="00F81221">
        <w:rPr>
          <w:iCs/>
        </w:rPr>
        <w:t xml:space="preserve"> and </w:t>
      </w:r>
      <w:r w:rsidRPr="00437B60">
        <w:rPr>
          <w:iCs/>
        </w:rPr>
        <w:t>Biology Magazine</w:t>
      </w:r>
    </w:p>
    <w:p w:rsidR="009723E5" w:rsidRPr="001A3D2B" w:rsidRDefault="009723E5" w:rsidP="009723E5">
      <w:pPr>
        <w:pStyle w:val="12"/>
      </w:pPr>
      <w:r w:rsidRPr="001A3D2B">
        <w:t xml:space="preserve">ISO Abbreviated Title: </w:t>
      </w:r>
    </w:p>
    <w:p w:rsidR="009723E5" w:rsidRPr="001A3D2B" w:rsidRDefault="009723E5" w:rsidP="009723E5">
      <w:pPr>
        <w:pStyle w:val="12"/>
      </w:pPr>
      <w:r w:rsidRPr="001A3D2B">
        <w:t xml:space="preserve">JCR Abbreviated Title: </w:t>
      </w:r>
    </w:p>
    <w:p w:rsidR="009723E5" w:rsidRPr="001A3D2B" w:rsidRDefault="009723E5" w:rsidP="009723E5">
      <w:pPr>
        <w:pStyle w:val="12"/>
      </w:pPr>
      <w:r w:rsidRPr="001A3D2B">
        <w:t xml:space="preserve">ISSN: </w:t>
      </w:r>
    </w:p>
    <w:p w:rsidR="009723E5" w:rsidRPr="001A3D2B" w:rsidRDefault="009723E5" w:rsidP="009723E5">
      <w:pPr>
        <w:pStyle w:val="12"/>
      </w:pPr>
      <w:r w:rsidRPr="001A3D2B">
        <w:t xml:space="preserve">Issues/Year: </w:t>
      </w:r>
    </w:p>
    <w:p w:rsidR="009723E5" w:rsidRPr="001A3D2B" w:rsidRDefault="009723E5" w:rsidP="009723E5">
      <w:pPr>
        <w:pStyle w:val="12"/>
      </w:pPr>
      <w:r w:rsidRPr="001A3D2B">
        <w:t xml:space="preserve">Journal Country/Territory: </w:t>
      </w:r>
    </w:p>
    <w:p w:rsidR="009723E5" w:rsidRPr="001A3D2B" w:rsidRDefault="009723E5" w:rsidP="009723E5">
      <w:pPr>
        <w:pStyle w:val="12"/>
      </w:pPr>
      <w:r w:rsidRPr="001A3D2B">
        <w:t xml:space="preserve">Language: </w:t>
      </w:r>
    </w:p>
    <w:p w:rsidR="009723E5" w:rsidRPr="001A3D2B" w:rsidRDefault="009723E5" w:rsidP="009723E5">
      <w:pPr>
        <w:pStyle w:val="12"/>
      </w:pPr>
      <w:r w:rsidRPr="001A3D2B">
        <w:t xml:space="preserve">Publisher: </w:t>
      </w:r>
    </w:p>
    <w:p w:rsidR="009723E5" w:rsidRPr="001A3D2B" w:rsidRDefault="009723E5" w:rsidP="009723E5">
      <w:pPr>
        <w:pStyle w:val="12"/>
      </w:pPr>
      <w:r w:rsidRPr="001A3D2B">
        <w:t xml:space="preserve">Publisher Address: </w:t>
      </w:r>
    </w:p>
    <w:p w:rsidR="009723E5" w:rsidRPr="001A3D2B" w:rsidRDefault="009723E5" w:rsidP="009723E5">
      <w:pPr>
        <w:pStyle w:val="12"/>
      </w:pPr>
      <w:r w:rsidRPr="001A3D2B">
        <w:t>Subject Categories:</w:t>
      </w:r>
    </w:p>
    <w:p w:rsidR="009723E5" w:rsidRPr="001A3D2B" w:rsidRDefault="009723E5" w:rsidP="009723E5">
      <w:pPr>
        <w:pStyle w:val="12"/>
      </w:pPr>
      <w:r w:rsidRPr="001A3D2B">
        <w:t xml:space="preserve">: Impact Factor </w:t>
      </w:r>
    </w:p>
    <w:p w:rsidR="009723E5" w:rsidRDefault="009723E5" w:rsidP="009723E5">
      <w:pPr>
        <w:pStyle w:val="a0"/>
        <w:rPr>
          <w:kern w:val="0"/>
          <w:szCs w:val="24"/>
        </w:rPr>
      </w:pPr>
      <w:r>
        <w:rPr>
          <w:kern w:val="0"/>
          <w:szCs w:val="24"/>
        </w:rPr>
        <w:t xml:space="preserve">? Johnson, A.T. (2010), threshold for plagiarism. </w:t>
      </w:r>
      <w:r w:rsidRPr="00437B60">
        <w:rPr>
          <w:i/>
          <w:iCs/>
          <w:kern w:val="0"/>
          <w:szCs w:val="24"/>
        </w:rPr>
        <w:t>IEEE Engineering in Medicine</w:t>
      </w:r>
      <w:r w:rsidR="00F81221">
        <w:rPr>
          <w:i/>
          <w:iCs/>
          <w:kern w:val="0"/>
          <w:szCs w:val="24"/>
        </w:rPr>
        <w:t xml:space="preserve"> and </w:t>
      </w:r>
      <w:r w:rsidRPr="00437B60">
        <w:rPr>
          <w:i/>
          <w:iCs/>
          <w:kern w:val="0"/>
          <w:szCs w:val="24"/>
        </w:rPr>
        <w:t>Biology Magazine</w:t>
      </w:r>
      <w:r>
        <w:rPr>
          <w:kern w:val="0"/>
          <w:szCs w:val="24"/>
        </w:rPr>
        <w:t xml:space="preserve">, </w:t>
      </w:r>
      <w:r>
        <w:rPr>
          <w:b/>
          <w:bCs/>
          <w:kern w:val="0"/>
          <w:szCs w:val="24"/>
        </w:rPr>
        <w:t>29</w:t>
      </w:r>
      <w:r>
        <w:rPr>
          <w:kern w:val="0"/>
          <w:szCs w:val="24"/>
        </w:rPr>
        <w:t xml:space="preserve"> (2), 6.</w:t>
      </w:r>
    </w:p>
    <w:p w:rsidR="009723E5" w:rsidRDefault="009723E5" w:rsidP="009723E5">
      <w:pPr>
        <w:pStyle w:val="a0"/>
        <w:rPr>
          <w:kern w:val="0"/>
          <w:szCs w:val="24"/>
        </w:rPr>
      </w:pPr>
      <w:r>
        <w:rPr>
          <w:kern w:val="0"/>
          <w:szCs w:val="24"/>
        </w:rPr>
        <w:t>Keywords: Plagiarism</w:t>
      </w:r>
    </w:p>
    <w:p w:rsidR="00A55D2F" w:rsidRPr="00A428C3" w:rsidRDefault="00A55D2F" w:rsidP="00A55D2F">
      <w:pPr>
        <w:pStyle w:val="1"/>
      </w:pPr>
      <w:r w:rsidRPr="00A428C3">
        <w:br w:type="page"/>
      </w:r>
      <w:bookmarkStart w:id="760" w:name="_Toc317161087"/>
      <w:r w:rsidRPr="00A428C3">
        <w:lastRenderedPageBreak/>
        <w:t xml:space="preserve">Title: </w:t>
      </w:r>
      <w:r w:rsidRPr="00A55D2F">
        <w:rPr>
          <w:iCs/>
        </w:rPr>
        <w:t>IEEE Intelligent Systems</w:t>
      </w:r>
      <w:bookmarkEnd w:id="760"/>
    </w:p>
    <w:p w:rsidR="00A55D2F" w:rsidRPr="00A428C3" w:rsidRDefault="00A55D2F" w:rsidP="00A55D2F">
      <w:pPr>
        <w:pStyle w:val="12"/>
      </w:pPr>
      <w:r w:rsidRPr="00A428C3">
        <w:t xml:space="preserve">Full Journal Title: </w:t>
      </w:r>
      <w:r w:rsidRPr="00A55D2F">
        <w:rPr>
          <w:iCs/>
        </w:rPr>
        <w:t>IEEE Intelligent Systems</w:t>
      </w:r>
    </w:p>
    <w:p w:rsidR="00A55D2F" w:rsidRPr="00A428C3" w:rsidRDefault="00A55D2F" w:rsidP="00A55D2F">
      <w:pPr>
        <w:pStyle w:val="12"/>
      </w:pPr>
      <w:r w:rsidRPr="00A428C3">
        <w:t xml:space="preserve">ISO Abbreviated Title: </w:t>
      </w:r>
    </w:p>
    <w:p w:rsidR="00A55D2F" w:rsidRPr="00A428C3" w:rsidRDefault="00A55D2F" w:rsidP="00A55D2F">
      <w:pPr>
        <w:pStyle w:val="12"/>
      </w:pPr>
      <w:r w:rsidRPr="00A428C3">
        <w:t xml:space="preserve">JCR Abbreviated Title: </w:t>
      </w:r>
    </w:p>
    <w:p w:rsidR="00A55D2F" w:rsidRPr="00A428C3" w:rsidRDefault="00A55D2F" w:rsidP="00A55D2F">
      <w:pPr>
        <w:pStyle w:val="12"/>
      </w:pPr>
      <w:r w:rsidRPr="00A428C3">
        <w:t xml:space="preserve">ISSN: </w:t>
      </w:r>
    </w:p>
    <w:p w:rsidR="00A55D2F" w:rsidRPr="00A428C3" w:rsidRDefault="00A55D2F" w:rsidP="00A55D2F">
      <w:pPr>
        <w:pStyle w:val="12"/>
      </w:pPr>
      <w:r w:rsidRPr="00A428C3">
        <w:t xml:space="preserve">Issues/Year: </w:t>
      </w:r>
    </w:p>
    <w:p w:rsidR="00A55D2F" w:rsidRPr="00A428C3" w:rsidRDefault="00A55D2F" w:rsidP="00A55D2F">
      <w:pPr>
        <w:pStyle w:val="12"/>
      </w:pPr>
      <w:r w:rsidRPr="00A428C3">
        <w:t xml:space="preserve">Journal Country/Territory: </w:t>
      </w:r>
    </w:p>
    <w:p w:rsidR="00A55D2F" w:rsidRPr="00A428C3" w:rsidRDefault="00A55D2F" w:rsidP="00A55D2F">
      <w:pPr>
        <w:pStyle w:val="12"/>
      </w:pPr>
      <w:r w:rsidRPr="00A428C3">
        <w:t xml:space="preserve">Language: </w:t>
      </w:r>
    </w:p>
    <w:p w:rsidR="00A55D2F" w:rsidRPr="00A428C3" w:rsidRDefault="00A55D2F" w:rsidP="00A55D2F">
      <w:pPr>
        <w:pStyle w:val="12"/>
      </w:pPr>
      <w:r w:rsidRPr="00A428C3">
        <w:t xml:space="preserve">Publisher: </w:t>
      </w:r>
    </w:p>
    <w:p w:rsidR="00A55D2F" w:rsidRPr="00A428C3" w:rsidRDefault="00A55D2F" w:rsidP="00A55D2F">
      <w:pPr>
        <w:pStyle w:val="12"/>
      </w:pPr>
      <w:r w:rsidRPr="00A428C3">
        <w:t xml:space="preserve">Publisher Address: </w:t>
      </w:r>
    </w:p>
    <w:p w:rsidR="00A55D2F" w:rsidRPr="00A428C3" w:rsidRDefault="00A55D2F" w:rsidP="00A55D2F">
      <w:pPr>
        <w:pStyle w:val="12"/>
      </w:pPr>
      <w:r w:rsidRPr="00A428C3">
        <w:t>Subject Categories:</w:t>
      </w:r>
    </w:p>
    <w:p w:rsidR="00A55D2F" w:rsidRPr="00A428C3" w:rsidRDefault="00A55D2F" w:rsidP="00A55D2F">
      <w:pPr>
        <w:pStyle w:val="12"/>
      </w:pPr>
      <w:r w:rsidRPr="00A428C3">
        <w:t xml:space="preserve">: Impact Factor </w:t>
      </w:r>
    </w:p>
    <w:p w:rsidR="00A55D2F" w:rsidRDefault="00A55D2F" w:rsidP="00A55D2F">
      <w:pPr>
        <w:pStyle w:val="a0"/>
        <w:rPr>
          <w:kern w:val="0"/>
        </w:rPr>
      </w:pPr>
      <w:r>
        <w:rPr>
          <w:rFonts w:hint="eastAsia"/>
          <w:kern w:val="0"/>
        </w:rPr>
        <w:t xml:space="preserve">? </w:t>
      </w:r>
      <w:r>
        <w:rPr>
          <w:kern w:val="0"/>
        </w:rPr>
        <w:t>O</w:t>
      </w:r>
      <w:r w:rsidR="000352E7">
        <w:rPr>
          <w:kern w:val="0"/>
        </w:rPr>
        <w:t>’</w:t>
      </w:r>
      <w:r>
        <w:rPr>
          <w:kern w:val="0"/>
        </w:rPr>
        <w:t xml:space="preserve">Leary, D.E. (2008), The most cited intelligent systems articles. </w:t>
      </w:r>
      <w:r w:rsidRPr="00A55D2F">
        <w:rPr>
          <w:i/>
          <w:iCs/>
          <w:kern w:val="0"/>
        </w:rPr>
        <w:t>IEEE Intelligent Systems</w:t>
      </w:r>
      <w:r>
        <w:rPr>
          <w:kern w:val="0"/>
        </w:rPr>
        <w:t xml:space="preserve">, </w:t>
      </w:r>
      <w:r>
        <w:rPr>
          <w:b/>
          <w:bCs/>
          <w:kern w:val="0"/>
        </w:rPr>
        <w:t>23</w:t>
      </w:r>
      <w:r>
        <w:rPr>
          <w:kern w:val="0"/>
        </w:rPr>
        <w:t xml:space="preserve"> (4), 10-13</w:t>
      </w:r>
      <w:r>
        <w:rPr>
          <w:rFonts w:hint="eastAsia"/>
          <w:kern w:val="0"/>
        </w:rPr>
        <w:t>.</w:t>
      </w:r>
    </w:p>
    <w:p w:rsidR="00A55D2F" w:rsidRDefault="00A55D2F" w:rsidP="00A55D2F">
      <w:pPr>
        <w:pStyle w:val="a0"/>
        <w:rPr>
          <w:kern w:val="0"/>
        </w:rPr>
      </w:pPr>
      <w:r>
        <w:rPr>
          <w:rFonts w:hint="eastAsia"/>
          <w:kern w:val="0"/>
        </w:rPr>
        <w:t xml:space="preserve">Full Text: </w:t>
      </w:r>
      <w:hyperlink r:id="rId814" w:history="1">
        <w:r w:rsidRPr="00A55D2F">
          <w:rPr>
            <w:rStyle w:val="a5"/>
            <w:kern w:val="0"/>
          </w:rPr>
          <w:t>2008\IEE Int Sys23, 10.pdf</w:t>
        </w:r>
      </w:hyperlink>
    </w:p>
    <w:p w:rsidR="00B95188" w:rsidRPr="00A428C3" w:rsidRDefault="00B95188" w:rsidP="00B95188">
      <w:pPr>
        <w:pStyle w:val="1"/>
      </w:pPr>
      <w:r w:rsidRPr="00A428C3">
        <w:br w:type="page"/>
      </w:r>
      <w:bookmarkStart w:id="761" w:name="_Toc186647811"/>
      <w:bookmarkStart w:id="762" w:name="_Toc317161088"/>
      <w:r w:rsidRPr="00A428C3">
        <w:lastRenderedPageBreak/>
        <w:t>Title: IEEE International Symposium on Technology</w:t>
      </w:r>
      <w:r w:rsidR="00F81221">
        <w:t xml:space="preserve"> and </w:t>
      </w:r>
      <w:r w:rsidRPr="00A428C3">
        <w:t>Society</w:t>
      </w:r>
      <w:bookmarkEnd w:id="761"/>
      <w:bookmarkEnd w:id="762"/>
    </w:p>
    <w:p w:rsidR="00B95188" w:rsidRPr="00A428C3" w:rsidRDefault="00B95188" w:rsidP="00B72EF9">
      <w:pPr>
        <w:pStyle w:val="12"/>
      </w:pPr>
      <w:r w:rsidRPr="00A428C3">
        <w:t>Full Journal Title: IEEE International Symposium on Technology</w:t>
      </w:r>
      <w:r w:rsidR="00F81221">
        <w:t xml:space="preserve"> and </w:t>
      </w:r>
      <w:r w:rsidRPr="00A428C3">
        <w:t>Society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rPr>
          <w:szCs w:val="23"/>
        </w:rPr>
        <w:t>Dalpé, R., Bouchard, L.</w:t>
      </w:r>
      <w:r w:rsidR="00F81221">
        <w:rPr>
          <w:szCs w:val="23"/>
        </w:rPr>
        <w:t xml:space="preserve"> and </w:t>
      </w:r>
      <w:r w:rsidRPr="00A428C3">
        <w:rPr>
          <w:szCs w:val="23"/>
        </w:rPr>
        <w:t>Ducharme, D.</w:t>
      </w:r>
      <w:r w:rsidRPr="00A428C3">
        <w:t xml:space="preserve"> (2000), Scientific, medical</w:t>
      </w:r>
      <w:r w:rsidR="00F81221">
        <w:t xml:space="preserve"> and </w:t>
      </w:r>
      <w:r w:rsidRPr="00A428C3">
        <w:t>industrial issues in breast</w:t>
      </w:r>
      <w:r w:rsidR="00F81221">
        <w:t xml:space="preserve"> and </w:t>
      </w:r>
      <w:r w:rsidRPr="00A428C3">
        <w:t xml:space="preserve">ovarian cancer genes research. </w:t>
      </w:r>
      <w:r w:rsidRPr="00A428C3">
        <w:rPr>
          <w:i/>
          <w:iCs/>
          <w:szCs w:val="23"/>
        </w:rPr>
        <w:t>IEEE International Symposium on Technology</w:t>
      </w:r>
      <w:r w:rsidR="00F81221">
        <w:rPr>
          <w:i/>
          <w:iCs/>
          <w:szCs w:val="23"/>
        </w:rPr>
        <w:t xml:space="preserve"> and </w:t>
      </w:r>
      <w:r w:rsidRPr="00A428C3">
        <w:rPr>
          <w:i/>
          <w:iCs/>
          <w:szCs w:val="23"/>
        </w:rPr>
        <w:t>Society</w:t>
      </w:r>
      <w:r w:rsidRPr="00A428C3">
        <w:t>, 6-8 Sept., 91-99.</w:t>
      </w:r>
    </w:p>
    <w:p w:rsidR="00B95188" w:rsidRPr="00A428C3" w:rsidRDefault="00B95188" w:rsidP="00735710">
      <w:pPr>
        <w:pStyle w:val="a0"/>
        <w:rPr>
          <w:kern w:val="0"/>
        </w:rPr>
      </w:pPr>
      <w:r w:rsidRPr="00A428C3">
        <w:rPr>
          <w:kern w:val="0"/>
        </w:rPr>
        <w:t>Full Text:</w:t>
      </w:r>
      <w:r w:rsidRPr="00A428C3">
        <w:rPr>
          <w:kern w:val="0"/>
          <w:szCs w:val="23"/>
        </w:rPr>
        <w:t xml:space="preserve"> </w:t>
      </w:r>
      <w:hyperlink r:id="rId815" w:history="1">
        <w:r w:rsidRPr="00A428C3">
          <w:rPr>
            <w:rStyle w:val="a5"/>
          </w:rPr>
          <w:t>I\IEEE Int Sym Tec Soc, 91.pdf</w:t>
        </w:r>
      </w:hyperlink>
    </w:p>
    <w:p w:rsidR="00B95188" w:rsidRPr="00A428C3" w:rsidRDefault="00B95188" w:rsidP="00B95188">
      <w:pPr>
        <w:pStyle w:val="a0"/>
      </w:pPr>
      <w:r w:rsidRPr="00A428C3">
        <w:t>Abstract: This paper explores the strategies used by researchers in the study of breast</w:t>
      </w:r>
      <w:r w:rsidR="00F81221">
        <w:t xml:space="preserve"> and </w:t>
      </w:r>
      <w:r w:rsidRPr="00A428C3">
        <w:t>ovarian cancer genes. Researchers are confronted with a variety of important issues. First, they vie for financial support</w:t>
      </w:r>
      <w:r w:rsidR="00F81221">
        <w:t xml:space="preserve"> and </w:t>
      </w:r>
      <w:r w:rsidRPr="00A428C3">
        <w:t>recognition both inside</w:t>
      </w:r>
      <w:r w:rsidR="00F81221">
        <w:t xml:space="preserve"> and </w:t>
      </w:r>
      <w:r w:rsidRPr="00A428C3">
        <w:t>outside their scientific community. Second, they must deal with industry, whose interest lies in the development of potential tests</w:t>
      </w:r>
      <w:r w:rsidR="00F81221">
        <w:t xml:space="preserve"> and </w:t>
      </w:r>
      <w:r w:rsidRPr="00A428C3">
        <w:t>therapies. Third, they are challenged by important medical questions when fi nancial imperatives threaten to take precedence over health concerns. This study, based on in-depth interviews of three researchers, explores the organization</w:t>
      </w:r>
      <w:r w:rsidR="00F81221">
        <w:t xml:space="preserve"> and </w:t>
      </w:r>
      <w:r w:rsidRPr="00A428C3">
        <w:t>financing of research, the impact of this research on medicine,</w:t>
      </w:r>
      <w:r w:rsidR="00F81221">
        <w:t xml:space="preserve"> and </w:t>
      </w:r>
      <w:r w:rsidRPr="00A428C3">
        <w:t>interactions with industry.</w:t>
      </w:r>
    </w:p>
    <w:p w:rsidR="00967299" w:rsidRDefault="00967299" w:rsidP="00967299">
      <w:pPr>
        <w:pStyle w:val="1"/>
      </w:pPr>
      <w:r>
        <w:br w:type="page"/>
      </w:r>
      <w:bookmarkStart w:id="763" w:name="_Toc317161089"/>
      <w:r>
        <w:lastRenderedPageBreak/>
        <w:t xml:space="preserve">Title: </w:t>
      </w:r>
      <w:r w:rsidRPr="00967299">
        <w:rPr>
          <w:iCs/>
        </w:rPr>
        <w:t>IEEE Software</w:t>
      </w:r>
      <w:bookmarkEnd w:id="763"/>
    </w:p>
    <w:p w:rsidR="00967299" w:rsidRPr="000E2B90" w:rsidRDefault="00967299" w:rsidP="00B72EF9">
      <w:pPr>
        <w:pStyle w:val="12"/>
      </w:pPr>
      <w:r w:rsidRPr="00E46814">
        <w:t>Full Journal Titl</w:t>
      </w:r>
      <w:r w:rsidRPr="000E2B90">
        <w:t xml:space="preserve">e: </w:t>
      </w:r>
      <w:r w:rsidRPr="00967299">
        <w:rPr>
          <w:iCs/>
        </w:rPr>
        <w:t>IEEE Software</w:t>
      </w:r>
    </w:p>
    <w:p w:rsidR="00967299" w:rsidRPr="000E2B90" w:rsidRDefault="00967299" w:rsidP="00B72EF9">
      <w:pPr>
        <w:pStyle w:val="12"/>
      </w:pPr>
      <w:r w:rsidRPr="000E2B90">
        <w:t xml:space="preserve">ISO Abbreviated Title: </w:t>
      </w:r>
    </w:p>
    <w:p w:rsidR="00967299" w:rsidRPr="000E2B90" w:rsidRDefault="00967299" w:rsidP="00B72EF9">
      <w:pPr>
        <w:pStyle w:val="12"/>
      </w:pPr>
      <w:r w:rsidRPr="000E2B90">
        <w:t xml:space="preserve">JCR Abbreviated Title: </w:t>
      </w:r>
    </w:p>
    <w:p w:rsidR="00967299" w:rsidRPr="000E2B90" w:rsidRDefault="00967299" w:rsidP="00B72EF9">
      <w:pPr>
        <w:pStyle w:val="12"/>
      </w:pPr>
      <w:r w:rsidRPr="000E2B90">
        <w:t xml:space="preserve">ISSN: </w:t>
      </w:r>
    </w:p>
    <w:p w:rsidR="00967299" w:rsidRPr="00E46814" w:rsidRDefault="00967299" w:rsidP="00B72EF9">
      <w:pPr>
        <w:pStyle w:val="12"/>
      </w:pPr>
      <w:r w:rsidRPr="00E46814">
        <w:t xml:space="preserve">Issues/Year: </w:t>
      </w:r>
    </w:p>
    <w:p w:rsidR="00967299" w:rsidRPr="00E46814" w:rsidRDefault="00967299" w:rsidP="00B72EF9">
      <w:pPr>
        <w:pStyle w:val="12"/>
      </w:pPr>
      <w:r w:rsidRPr="00E46814">
        <w:t xml:space="preserve">Journal Country/Territory: </w:t>
      </w:r>
    </w:p>
    <w:p w:rsidR="00967299" w:rsidRPr="00E46814" w:rsidRDefault="00967299" w:rsidP="00B72EF9">
      <w:pPr>
        <w:pStyle w:val="12"/>
      </w:pPr>
      <w:r w:rsidRPr="00E46814">
        <w:t xml:space="preserve">Language: </w:t>
      </w:r>
    </w:p>
    <w:p w:rsidR="00967299" w:rsidRPr="00E46814" w:rsidRDefault="00967299" w:rsidP="00B72EF9">
      <w:pPr>
        <w:pStyle w:val="12"/>
      </w:pPr>
      <w:r w:rsidRPr="00E46814">
        <w:t xml:space="preserve">Publisher: </w:t>
      </w:r>
    </w:p>
    <w:p w:rsidR="00967299" w:rsidRPr="00E46814" w:rsidRDefault="00967299" w:rsidP="00B72EF9">
      <w:pPr>
        <w:pStyle w:val="12"/>
      </w:pPr>
      <w:r w:rsidRPr="00E46814">
        <w:t xml:space="preserve">Publisher Address: </w:t>
      </w:r>
    </w:p>
    <w:p w:rsidR="00967299" w:rsidRDefault="00967299" w:rsidP="00B72EF9">
      <w:pPr>
        <w:pStyle w:val="12"/>
      </w:pPr>
      <w:r w:rsidRPr="00E46814">
        <w:t xml:space="preserve">Subject Categories: </w:t>
      </w:r>
    </w:p>
    <w:p w:rsidR="00967299" w:rsidRDefault="00967299" w:rsidP="00B72EF9">
      <w:pPr>
        <w:pStyle w:val="12"/>
      </w:pPr>
      <w:r>
        <w:rPr>
          <w:rFonts w:hint="eastAsia"/>
        </w:rPr>
        <w:t xml:space="preserve">: </w:t>
      </w:r>
      <w:r>
        <w:t>Impact Factor</w:t>
      </w:r>
    </w:p>
    <w:p w:rsidR="00DF1966" w:rsidRDefault="00DF1966" w:rsidP="00DF1966">
      <w:pPr>
        <w:pStyle w:val="a0"/>
        <w:rPr>
          <w:kern w:val="0"/>
        </w:rPr>
      </w:pPr>
      <w:r>
        <w:rPr>
          <w:rFonts w:hint="eastAsia"/>
          <w:kern w:val="0"/>
        </w:rPr>
        <w:t xml:space="preserve">? </w:t>
      </w:r>
      <w:r>
        <w:rPr>
          <w:kern w:val="0"/>
        </w:rPr>
        <w:t xml:space="preserve">Gilbode, M. (2005), Originality versus self-plagiarism. </w:t>
      </w:r>
      <w:r>
        <w:rPr>
          <w:i/>
          <w:iCs/>
          <w:kern w:val="0"/>
        </w:rPr>
        <w:t>IEEE Software</w:t>
      </w:r>
      <w:r>
        <w:rPr>
          <w:kern w:val="0"/>
        </w:rPr>
        <w:t xml:space="preserve">, </w:t>
      </w:r>
      <w:r>
        <w:rPr>
          <w:b/>
          <w:bCs/>
          <w:kern w:val="0"/>
        </w:rPr>
        <w:t>22</w:t>
      </w:r>
      <w:r>
        <w:rPr>
          <w:kern w:val="0"/>
        </w:rPr>
        <w:t xml:space="preserve"> (3), 8.</w:t>
      </w:r>
    </w:p>
    <w:p w:rsidR="00DF1966" w:rsidRDefault="00DF1966" w:rsidP="00DF1966">
      <w:pPr>
        <w:pStyle w:val="a0"/>
        <w:rPr>
          <w:kern w:val="0"/>
        </w:rPr>
      </w:pPr>
      <w:r>
        <w:rPr>
          <w:rFonts w:hint="eastAsia"/>
          <w:kern w:val="0"/>
        </w:rPr>
        <w:t xml:space="preserve">Full Text: </w:t>
      </w:r>
      <w:hyperlink r:id="rId816" w:history="1">
        <w:r w:rsidRPr="00DF1966">
          <w:rPr>
            <w:rStyle w:val="a5"/>
            <w:kern w:val="0"/>
          </w:rPr>
          <w:t>2005\IEE Sof22, 8.pdf</w:t>
        </w:r>
      </w:hyperlink>
    </w:p>
    <w:p w:rsidR="00DF1966" w:rsidRDefault="00DF1966" w:rsidP="00DF1966">
      <w:pPr>
        <w:pStyle w:val="a0"/>
        <w:rPr>
          <w:kern w:val="0"/>
        </w:rPr>
      </w:pPr>
      <w:r>
        <w:rPr>
          <w:kern w:val="0"/>
        </w:rPr>
        <w:t>Keywords: Self-Plagiarism</w:t>
      </w:r>
    </w:p>
    <w:p w:rsidR="00DF1966" w:rsidRDefault="00DF1966" w:rsidP="00DF1966">
      <w:pPr>
        <w:pStyle w:val="a0"/>
        <w:rPr>
          <w:kern w:val="0"/>
        </w:rPr>
      </w:pPr>
      <w:r>
        <w:rPr>
          <w:rFonts w:hint="eastAsia"/>
          <w:kern w:val="0"/>
        </w:rPr>
        <w:t xml:space="preserve">? </w:t>
      </w:r>
      <w:r>
        <w:rPr>
          <w:kern w:val="0"/>
        </w:rPr>
        <w:t xml:space="preserve">Harrison, W. (2005), Originality versus self-plagiarism - Response. </w:t>
      </w:r>
      <w:r>
        <w:rPr>
          <w:i/>
          <w:iCs/>
          <w:kern w:val="0"/>
        </w:rPr>
        <w:t>IEEE Software</w:t>
      </w:r>
      <w:r>
        <w:rPr>
          <w:kern w:val="0"/>
        </w:rPr>
        <w:t xml:space="preserve">, </w:t>
      </w:r>
      <w:r>
        <w:rPr>
          <w:b/>
          <w:bCs/>
          <w:kern w:val="0"/>
        </w:rPr>
        <w:t>22</w:t>
      </w:r>
      <w:r>
        <w:rPr>
          <w:kern w:val="0"/>
        </w:rPr>
        <w:t xml:space="preserve"> (3), 8-9.</w:t>
      </w:r>
    </w:p>
    <w:p w:rsidR="00DF1966" w:rsidRDefault="00DF1966" w:rsidP="00DF1966">
      <w:pPr>
        <w:pStyle w:val="a0"/>
        <w:rPr>
          <w:kern w:val="0"/>
        </w:rPr>
      </w:pPr>
      <w:r>
        <w:rPr>
          <w:rFonts w:hint="eastAsia"/>
          <w:kern w:val="0"/>
        </w:rPr>
        <w:t xml:space="preserve">Full Text: </w:t>
      </w:r>
      <w:hyperlink r:id="rId817" w:history="1">
        <w:r w:rsidRPr="00DF1966">
          <w:rPr>
            <w:rStyle w:val="a5"/>
            <w:kern w:val="0"/>
          </w:rPr>
          <w:t>2005\IEE Sof22, 8.pdf</w:t>
        </w:r>
      </w:hyperlink>
    </w:p>
    <w:p w:rsidR="00DF1966" w:rsidRDefault="00DF1966" w:rsidP="00DF1966">
      <w:pPr>
        <w:pStyle w:val="a0"/>
        <w:rPr>
          <w:kern w:val="0"/>
        </w:rPr>
      </w:pPr>
      <w:r>
        <w:rPr>
          <w:kern w:val="0"/>
        </w:rPr>
        <w:t>Keywords: Self-Plagiarism</w:t>
      </w:r>
    </w:p>
    <w:p w:rsidR="00967299" w:rsidRDefault="00967299" w:rsidP="00967299">
      <w:pPr>
        <w:pStyle w:val="a0"/>
        <w:rPr>
          <w:kern w:val="0"/>
        </w:rPr>
      </w:pPr>
      <w:r>
        <w:rPr>
          <w:rFonts w:hint="eastAsia"/>
          <w:kern w:val="0"/>
        </w:rPr>
        <w:t xml:space="preserve">? </w:t>
      </w:r>
      <w:r>
        <w:rPr>
          <w:kern w:val="0"/>
        </w:rPr>
        <w:t>O</w:t>
      </w:r>
      <w:r w:rsidR="000352E7">
        <w:rPr>
          <w:kern w:val="0"/>
        </w:rPr>
        <w:t>’</w:t>
      </w:r>
      <w:r>
        <w:rPr>
          <w:kern w:val="0"/>
        </w:rPr>
        <w:t xml:space="preserve">Leary, D.E. (2009), The most cited </w:t>
      </w:r>
      <w:r w:rsidRPr="00D123BE">
        <w:rPr>
          <w:i/>
          <w:kern w:val="0"/>
        </w:rPr>
        <w:t>IEEE Software</w:t>
      </w:r>
      <w:r>
        <w:rPr>
          <w:kern w:val="0"/>
        </w:rPr>
        <w:t xml:space="preserve"> articles. </w:t>
      </w:r>
      <w:r w:rsidRPr="00967299">
        <w:rPr>
          <w:i/>
          <w:iCs/>
          <w:kern w:val="0"/>
        </w:rPr>
        <w:t>IEEE Software</w:t>
      </w:r>
      <w:r>
        <w:rPr>
          <w:kern w:val="0"/>
        </w:rPr>
        <w:t xml:space="preserve">, </w:t>
      </w:r>
      <w:r>
        <w:rPr>
          <w:b/>
          <w:bCs/>
          <w:kern w:val="0"/>
        </w:rPr>
        <w:t>26</w:t>
      </w:r>
      <w:r>
        <w:rPr>
          <w:kern w:val="0"/>
        </w:rPr>
        <w:t xml:space="preserve"> (1), 12-14</w:t>
      </w:r>
      <w:r>
        <w:rPr>
          <w:rFonts w:hint="eastAsia"/>
          <w:kern w:val="0"/>
        </w:rPr>
        <w:t>.</w:t>
      </w:r>
    </w:p>
    <w:p w:rsidR="00967299" w:rsidRDefault="00967299" w:rsidP="00967299">
      <w:pPr>
        <w:pStyle w:val="a0"/>
        <w:rPr>
          <w:kern w:val="0"/>
        </w:rPr>
      </w:pPr>
      <w:r>
        <w:rPr>
          <w:rFonts w:hint="eastAsia"/>
          <w:kern w:val="0"/>
        </w:rPr>
        <w:t xml:space="preserve">Full Text: </w:t>
      </w:r>
      <w:hyperlink r:id="rId818" w:history="1">
        <w:r w:rsidRPr="00967299">
          <w:rPr>
            <w:rStyle w:val="a5"/>
            <w:kern w:val="0"/>
          </w:rPr>
          <w:t>2009\IEE Sof26, 12.pdf</w:t>
        </w:r>
      </w:hyperlink>
    </w:p>
    <w:p w:rsidR="00967299" w:rsidRDefault="00967299" w:rsidP="00967299">
      <w:pPr>
        <w:pStyle w:val="a0"/>
        <w:rPr>
          <w:kern w:val="0"/>
        </w:rPr>
      </w:pPr>
      <w:r>
        <w:rPr>
          <w:kern w:val="0"/>
        </w:rPr>
        <w:t>Keywords: Design, Framework, Model, Programs, Quality, Requirements, Reusability, Reuse, Self-Citation, Systems</w:t>
      </w:r>
    </w:p>
    <w:p w:rsidR="009723E5" w:rsidRPr="001A3D2B" w:rsidRDefault="009723E5" w:rsidP="009723E5">
      <w:pPr>
        <w:pStyle w:val="1"/>
      </w:pPr>
      <w:r w:rsidRPr="001A3D2B">
        <w:br w:type="page"/>
      </w:r>
      <w:bookmarkStart w:id="764" w:name="_Toc317161090"/>
      <w:r w:rsidRPr="001A3D2B">
        <w:lastRenderedPageBreak/>
        <w:t xml:space="preserve">Title: </w:t>
      </w:r>
      <w:r w:rsidRPr="0093588D">
        <w:rPr>
          <w:iCs/>
          <w:szCs w:val="24"/>
        </w:rPr>
        <w:t>IEEE Technology</w:t>
      </w:r>
      <w:r w:rsidR="00F81221">
        <w:rPr>
          <w:iCs/>
          <w:szCs w:val="24"/>
        </w:rPr>
        <w:t xml:space="preserve"> and </w:t>
      </w:r>
      <w:r w:rsidRPr="0093588D">
        <w:rPr>
          <w:iCs/>
          <w:szCs w:val="24"/>
        </w:rPr>
        <w:t>Society Magazine</w:t>
      </w:r>
      <w:bookmarkEnd w:id="764"/>
    </w:p>
    <w:p w:rsidR="009723E5" w:rsidRPr="001A3D2B" w:rsidRDefault="009723E5" w:rsidP="009723E5">
      <w:pPr>
        <w:pStyle w:val="12"/>
      </w:pPr>
      <w:r w:rsidRPr="001A3D2B">
        <w:t xml:space="preserve">Full Journal Title: </w:t>
      </w:r>
      <w:r w:rsidRPr="0093588D">
        <w:rPr>
          <w:iCs/>
        </w:rPr>
        <w:t>IEEE Technology</w:t>
      </w:r>
      <w:r w:rsidR="00F81221">
        <w:rPr>
          <w:iCs/>
        </w:rPr>
        <w:t xml:space="preserve"> and </w:t>
      </w:r>
      <w:r w:rsidRPr="0093588D">
        <w:rPr>
          <w:iCs/>
        </w:rPr>
        <w:t>Society Magazine</w:t>
      </w:r>
    </w:p>
    <w:p w:rsidR="009723E5" w:rsidRPr="001A3D2B" w:rsidRDefault="009723E5" w:rsidP="009723E5">
      <w:pPr>
        <w:pStyle w:val="12"/>
      </w:pPr>
      <w:r w:rsidRPr="001A3D2B">
        <w:t xml:space="preserve">ISO Abbreviated Title: </w:t>
      </w:r>
    </w:p>
    <w:p w:rsidR="009723E5" w:rsidRPr="001A3D2B" w:rsidRDefault="009723E5" w:rsidP="009723E5">
      <w:pPr>
        <w:pStyle w:val="12"/>
      </w:pPr>
      <w:r w:rsidRPr="001A3D2B">
        <w:t xml:space="preserve">JCR Abbreviated Title: </w:t>
      </w:r>
    </w:p>
    <w:p w:rsidR="009723E5" w:rsidRPr="001A3D2B" w:rsidRDefault="009723E5" w:rsidP="009723E5">
      <w:pPr>
        <w:pStyle w:val="12"/>
      </w:pPr>
      <w:r w:rsidRPr="001A3D2B">
        <w:t xml:space="preserve">ISSN: </w:t>
      </w:r>
    </w:p>
    <w:p w:rsidR="009723E5" w:rsidRPr="001A3D2B" w:rsidRDefault="009723E5" w:rsidP="009723E5">
      <w:pPr>
        <w:pStyle w:val="12"/>
      </w:pPr>
      <w:r w:rsidRPr="001A3D2B">
        <w:t xml:space="preserve">Issues/Year: </w:t>
      </w:r>
    </w:p>
    <w:p w:rsidR="009723E5" w:rsidRPr="001A3D2B" w:rsidRDefault="009723E5" w:rsidP="009723E5">
      <w:pPr>
        <w:pStyle w:val="12"/>
      </w:pPr>
      <w:r w:rsidRPr="001A3D2B">
        <w:t xml:space="preserve">Journal Country/Territory: </w:t>
      </w:r>
    </w:p>
    <w:p w:rsidR="009723E5" w:rsidRPr="001A3D2B" w:rsidRDefault="009723E5" w:rsidP="009723E5">
      <w:pPr>
        <w:pStyle w:val="12"/>
      </w:pPr>
      <w:r w:rsidRPr="001A3D2B">
        <w:t xml:space="preserve">Language: </w:t>
      </w:r>
    </w:p>
    <w:p w:rsidR="009723E5" w:rsidRPr="001A3D2B" w:rsidRDefault="009723E5" w:rsidP="009723E5">
      <w:pPr>
        <w:pStyle w:val="12"/>
      </w:pPr>
      <w:r w:rsidRPr="001A3D2B">
        <w:t xml:space="preserve">Publisher: </w:t>
      </w:r>
    </w:p>
    <w:p w:rsidR="009723E5" w:rsidRPr="001A3D2B" w:rsidRDefault="009723E5" w:rsidP="009723E5">
      <w:pPr>
        <w:pStyle w:val="12"/>
      </w:pPr>
      <w:r w:rsidRPr="001A3D2B">
        <w:t xml:space="preserve">Publisher Address: </w:t>
      </w:r>
    </w:p>
    <w:p w:rsidR="009723E5" w:rsidRPr="001A3D2B" w:rsidRDefault="009723E5" w:rsidP="009723E5">
      <w:pPr>
        <w:pStyle w:val="12"/>
      </w:pPr>
      <w:r w:rsidRPr="001A3D2B">
        <w:t xml:space="preserve">Subject Categories: </w:t>
      </w:r>
    </w:p>
    <w:p w:rsidR="009723E5" w:rsidRPr="001A3D2B" w:rsidRDefault="009723E5" w:rsidP="009723E5">
      <w:pPr>
        <w:pStyle w:val="12"/>
      </w:pPr>
      <w:r w:rsidRPr="001A3D2B">
        <w:t>: Impact Factor</w:t>
      </w:r>
    </w:p>
    <w:p w:rsidR="009723E5" w:rsidRDefault="009723E5" w:rsidP="009723E5">
      <w:pPr>
        <w:pStyle w:val="a0"/>
        <w:rPr>
          <w:kern w:val="0"/>
          <w:szCs w:val="24"/>
        </w:rPr>
      </w:pPr>
      <w:r>
        <w:rPr>
          <w:kern w:val="0"/>
          <w:szCs w:val="24"/>
        </w:rPr>
        <w:t>? Fiedler, R.L.</w:t>
      </w:r>
      <w:r w:rsidR="00F81221">
        <w:rPr>
          <w:kern w:val="0"/>
          <w:szCs w:val="24"/>
        </w:rPr>
        <w:t xml:space="preserve"> and </w:t>
      </w:r>
      <w:r>
        <w:rPr>
          <w:kern w:val="0"/>
          <w:szCs w:val="24"/>
        </w:rPr>
        <w:t xml:space="preserve">Kaner, C. (2010), Plagiarism-detection services: How well do they actually perform? </w:t>
      </w:r>
      <w:r w:rsidRPr="0093588D">
        <w:rPr>
          <w:i/>
          <w:iCs/>
          <w:kern w:val="0"/>
          <w:szCs w:val="24"/>
        </w:rPr>
        <w:t>IEEE Technology</w:t>
      </w:r>
      <w:r w:rsidR="00F81221">
        <w:rPr>
          <w:i/>
          <w:iCs/>
          <w:kern w:val="0"/>
          <w:szCs w:val="24"/>
        </w:rPr>
        <w:t xml:space="preserve"> and </w:t>
      </w:r>
      <w:r w:rsidRPr="0093588D">
        <w:rPr>
          <w:i/>
          <w:iCs/>
          <w:kern w:val="0"/>
          <w:szCs w:val="24"/>
        </w:rPr>
        <w:t>Society Magazine</w:t>
      </w:r>
      <w:r>
        <w:rPr>
          <w:kern w:val="0"/>
          <w:szCs w:val="24"/>
        </w:rPr>
        <w:t xml:space="preserve">, </w:t>
      </w:r>
      <w:r>
        <w:rPr>
          <w:b/>
          <w:bCs/>
          <w:kern w:val="0"/>
          <w:szCs w:val="24"/>
        </w:rPr>
        <w:t>29</w:t>
      </w:r>
      <w:r>
        <w:rPr>
          <w:kern w:val="0"/>
          <w:szCs w:val="24"/>
        </w:rPr>
        <w:t xml:space="preserve"> (4), 37-43</w:t>
      </w:r>
    </w:p>
    <w:p w:rsidR="009723E5" w:rsidRDefault="009723E5" w:rsidP="009723E5">
      <w:pPr>
        <w:pStyle w:val="a0"/>
        <w:rPr>
          <w:kern w:val="0"/>
          <w:szCs w:val="24"/>
        </w:rPr>
      </w:pPr>
      <w:r>
        <w:rPr>
          <w:kern w:val="0"/>
          <w:szCs w:val="24"/>
        </w:rPr>
        <w:t>Keywords: Law, Norms, Property</w:t>
      </w:r>
    </w:p>
    <w:p w:rsidR="00704055" w:rsidRPr="001A3D2B" w:rsidRDefault="00704055" w:rsidP="00704055">
      <w:pPr>
        <w:pStyle w:val="1"/>
      </w:pPr>
      <w:r w:rsidRPr="001A3D2B">
        <w:br w:type="page"/>
      </w:r>
      <w:bookmarkStart w:id="765" w:name="_Toc317161091"/>
      <w:r w:rsidRPr="001A3D2B">
        <w:lastRenderedPageBreak/>
        <w:t xml:space="preserve">Title: </w:t>
      </w:r>
      <w:r w:rsidRPr="00DF1966">
        <w:rPr>
          <w:iCs/>
        </w:rPr>
        <w:t xml:space="preserve">IEEE Transactions on </w:t>
      </w:r>
      <w:r w:rsidRPr="00704055">
        <w:t>Automatic Control</w:t>
      </w:r>
      <w:bookmarkEnd w:id="765"/>
    </w:p>
    <w:p w:rsidR="00704055" w:rsidRPr="001A3D2B" w:rsidRDefault="00704055" w:rsidP="00704055">
      <w:pPr>
        <w:pStyle w:val="12"/>
      </w:pPr>
      <w:r w:rsidRPr="001A3D2B">
        <w:t xml:space="preserve">Full Journal Title: </w:t>
      </w:r>
      <w:r w:rsidRPr="00DF1966">
        <w:t xml:space="preserve">IEEE Transactions on </w:t>
      </w:r>
      <w:r w:rsidRPr="00704055">
        <w:t>Automatic Control</w:t>
      </w:r>
    </w:p>
    <w:p w:rsidR="00704055" w:rsidRPr="001A3D2B" w:rsidRDefault="00704055" w:rsidP="00704055">
      <w:pPr>
        <w:pStyle w:val="12"/>
      </w:pPr>
      <w:r w:rsidRPr="001A3D2B">
        <w:t xml:space="preserve">ISO Abbreviated Title: </w:t>
      </w:r>
    </w:p>
    <w:p w:rsidR="00704055" w:rsidRPr="001A3D2B" w:rsidRDefault="00704055" w:rsidP="00704055">
      <w:pPr>
        <w:pStyle w:val="12"/>
      </w:pPr>
      <w:r w:rsidRPr="001A3D2B">
        <w:t xml:space="preserve">JCR Abbreviated Title: </w:t>
      </w:r>
    </w:p>
    <w:p w:rsidR="00704055" w:rsidRPr="001A3D2B" w:rsidRDefault="00704055" w:rsidP="00704055">
      <w:pPr>
        <w:pStyle w:val="12"/>
      </w:pPr>
      <w:r w:rsidRPr="001A3D2B">
        <w:t xml:space="preserve">ISSN: </w:t>
      </w:r>
    </w:p>
    <w:p w:rsidR="00704055" w:rsidRPr="001A3D2B" w:rsidRDefault="00704055" w:rsidP="00704055">
      <w:pPr>
        <w:pStyle w:val="12"/>
      </w:pPr>
      <w:r w:rsidRPr="001A3D2B">
        <w:t xml:space="preserve">Issues/Year: </w:t>
      </w:r>
    </w:p>
    <w:p w:rsidR="00704055" w:rsidRPr="001A3D2B" w:rsidRDefault="00704055" w:rsidP="00704055">
      <w:pPr>
        <w:pStyle w:val="12"/>
      </w:pPr>
      <w:r w:rsidRPr="001A3D2B">
        <w:t xml:space="preserve">Journal Country/Territory: </w:t>
      </w:r>
    </w:p>
    <w:p w:rsidR="00704055" w:rsidRPr="001A3D2B" w:rsidRDefault="00704055" w:rsidP="00704055">
      <w:pPr>
        <w:pStyle w:val="12"/>
      </w:pPr>
      <w:r w:rsidRPr="001A3D2B">
        <w:t xml:space="preserve">Language: </w:t>
      </w:r>
    </w:p>
    <w:p w:rsidR="00704055" w:rsidRPr="001A3D2B" w:rsidRDefault="00704055" w:rsidP="00704055">
      <w:pPr>
        <w:pStyle w:val="12"/>
      </w:pPr>
      <w:r w:rsidRPr="001A3D2B">
        <w:t xml:space="preserve">Publisher: </w:t>
      </w:r>
    </w:p>
    <w:p w:rsidR="00704055" w:rsidRPr="001A3D2B" w:rsidRDefault="00704055" w:rsidP="00704055">
      <w:pPr>
        <w:pStyle w:val="12"/>
      </w:pPr>
      <w:r w:rsidRPr="001A3D2B">
        <w:t xml:space="preserve">Publisher Address: </w:t>
      </w:r>
    </w:p>
    <w:p w:rsidR="00704055" w:rsidRPr="001A3D2B" w:rsidRDefault="00704055" w:rsidP="00704055">
      <w:pPr>
        <w:pStyle w:val="12"/>
      </w:pPr>
      <w:r w:rsidRPr="001A3D2B">
        <w:t xml:space="preserve">Subject Categories: </w:t>
      </w:r>
    </w:p>
    <w:p w:rsidR="00704055" w:rsidRPr="001A3D2B" w:rsidRDefault="00704055" w:rsidP="00704055">
      <w:pPr>
        <w:pStyle w:val="12"/>
      </w:pPr>
      <w:r w:rsidRPr="001A3D2B">
        <w:t>: Impact Factor</w:t>
      </w:r>
    </w:p>
    <w:p w:rsidR="00704055" w:rsidRDefault="00704055" w:rsidP="00704055">
      <w:pPr>
        <w:pStyle w:val="a0"/>
        <w:rPr>
          <w:kern w:val="0"/>
        </w:rPr>
      </w:pPr>
      <w:r>
        <w:rPr>
          <w:rFonts w:hint="eastAsia"/>
          <w:kern w:val="0"/>
        </w:rPr>
        <w:t>Notes: highly cited</w:t>
      </w:r>
    </w:p>
    <w:p w:rsidR="00704055" w:rsidRDefault="00704055" w:rsidP="00704055">
      <w:pPr>
        <w:pStyle w:val="a0"/>
        <w:rPr>
          <w:kern w:val="0"/>
        </w:rPr>
      </w:pPr>
      <w:r>
        <w:rPr>
          <w:rFonts w:hint="eastAsia"/>
          <w:kern w:val="0"/>
        </w:rPr>
        <w:t xml:space="preserve">? </w:t>
      </w:r>
      <w:r w:rsidRPr="00704055">
        <w:rPr>
          <w:kern w:val="0"/>
        </w:rPr>
        <w:t>Akaike, H</w:t>
      </w:r>
      <w:r>
        <w:rPr>
          <w:kern w:val="0"/>
        </w:rPr>
        <w:t>. (</w:t>
      </w:r>
      <w:r>
        <w:rPr>
          <w:rFonts w:hint="eastAsia"/>
          <w:kern w:val="0"/>
        </w:rPr>
        <w:t>1974</w:t>
      </w:r>
      <w:r>
        <w:rPr>
          <w:kern w:val="0"/>
        </w:rPr>
        <w:t xml:space="preserve">), </w:t>
      </w:r>
      <w:r w:rsidRPr="00704055">
        <w:rPr>
          <w:kern w:val="0"/>
        </w:rPr>
        <w:t>New look at statistical</w:t>
      </w:r>
      <w:r>
        <w:rPr>
          <w:rFonts w:hint="eastAsia"/>
          <w:kern w:val="0"/>
        </w:rPr>
        <w:t xml:space="preserve"> </w:t>
      </w:r>
      <w:r w:rsidRPr="00704055">
        <w:rPr>
          <w:kern w:val="0"/>
        </w:rPr>
        <w:t>model identification</w:t>
      </w:r>
      <w:r>
        <w:rPr>
          <w:kern w:val="0"/>
        </w:rPr>
        <w:t xml:space="preserve">. </w:t>
      </w:r>
      <w:r w:rsidRPr="00DF1966">
        <w:rPr>
          <w:i/>
          <w:iCs/>
          <w:kern w:val="0"/>
        </w:rPr>
        <w:t xml:space="preserve">IEEE Transactions on </w:t>
      </w:r>
      <w:r w:rsidRPr="00704055">
        <w:rPr>
          <w:i/>
          <w:kern w:val="0"/>
        </w:rPr>
        <w:t>Automatic Control</w:t>
      </w:r>
      <w:r>
        <w:rPr>
          <w:kern w:val="0"/>
        </w:rPr>
        <w:t xml:space="preserve">, </w:t>
      </w:r>
      <w:r>
        <w:rPr>
          <w:rFonts w:hint="eastAsia"/>
          <w:b/>
          <w:bCs/>
          <w:kern w:val="0"/>
        </w:rPr>
        <w:t>6</w:t>
      </w:r>
      <w:r>
        <w:rPr>
          <w:kern w:val="0"/>
        </w:rPr>
        <w:t xml:space="preserve">, </w:t>
      </w:r>
      <w:r w:rsidRPr="00704055">
        <w:rPr>
          <w:kern w:val="0"/>
        </w:rPr>
        <w:t>716-723</w:t>
      </w:r>
      <w:r>
        <w:rPr>
          <w:kern w:val="0"/>
        </w:rPr>
        <w:t>.</w:t>
      </w:r>
    </w:p>
    <w:p w:rsidR="00704055" w:rsidRDefault="00704055" w:rsidP="00704055">
      <w:pPr>
        <w:pStyle w:val="a0"/>
        <w:rPr>
          <w:kern w:val="0"/>
        </w:rPr>
      </w:pPr>
      <w:r>
        <w:rPr>
          <w:rFonts w:hint="eastAsia"/>
          <w:kern w:val="0"/>
        </w:rPr>
        <w:t xml:space="preserve">Full Text: </w:t>
      </w:r>
      <w:hyperlink r:id="rId819" w:history="1">
        <w:r w:rsidRPr="00704055">
          <w:rPr>
            <w:rStyle w:val="a5"/>
            <w:kern w:val="0"/>
          </w:rPr>
          <w:t>-1959\IEE Tra Aut Con6, 716.pdf</w:t>
        </w:r>
      </w:hyperlink>
    </w:p>
    <w:p w:rsidR="00704055" w:rsidRPr="00704055" w:rsidRDefault="00704055" w:rsidP="00704055">
      <w:pPr>
        <w:pStyle w:val="a0"/>
        <w:rPr>
          <w:kern w:val="0"/>
        </w:rPr>
      </w:pPr>
      <w:r w:rsidRPr="00704055">
        <w:rPr>
          <w:kern w:val="0"/>
        </w:rPr>
        <w:t>Abstract</w:t>
      </w:r>
      <w:r>
        <w:rPr>
          <w:rFonts w:hint="eastAsia"/>
          <w:kern w:val="0"/>
        </w:rPr>
        <w:t xml:space="preserve">: </w:t>
      </w:r>
      <w:r w:rsidRPr="00704055">
        <w:rPr>
          <w:kern w:val="0"/>
        </w:rPr>
        <w:t>The history of the development of statistical hypothesis</w:t>
      </w:r>
      <w:r>
        <w:rPr>
          <w:rFonts w:hint="eastAsia"/>
          <w:kern w:val="0"/>
        </w:rPr>
        <w:t xml:space="preserve"> </w:t>
      </w:r>
      <w:r w:rsidRPr="00704055">
        <w:rPr>
          <w:kern w:val="0"/>
        </w:rPr>
        <w:t>testing in time series analysis is reviewed briefly and it is pointed</w:t>
      </w:r>
      <w:r>
        <w:rPr>
          <w:rFonts w:hint="eastAsia"/>
          <w:kern w:val="0"/>
        </w:rPr>
        <w:t xml:space="preserve"> </w:t>
      </w:r>
      <w:r w:rsidRPr="00704055">
        <w:rPr>
          <w:kern w:val="0"/>
        </w:rPr>
        <w:t>out that the hypothesis testing procedure is not adequately defined</w:t>
      </w:r>
      <w:r>
        <w:rPr>
          <w:rFonts w:hint="eastAsia"/>
          <w:kern w:val="0"/>
        </w:rPr>
        <w:t xml:space="preserve"> </w:t>
      </w:r>
      <w:r w:rsidRPr="00704055">
        <w:rPr>
          <w:kern w:val="0"/>
        </w:rPr>
        <w:t>as the procedure for statistical model identilication. The classical</w:t>
      </w:r>
      <w:r>
        <w:rPr>
          <w:rFonts w:hint="eastAsia"/>
          <w:kern w:val="0"/>
        </w:rPr>
        <w:t xml:space="preserve"> </w:t>
      </w:r>
      <w:r w:rsidRPr="00704055">
        <w:rPr>
          <w:kern w:val="0"/>
        </w:rPr>
        <w:t>maximum likelihood estimation procedure is reviewed and a new</w:t>
      </w:r>
      <w:r>
        <w:rPr>
          <w:rFonts w:hint="eastAsia"/>
          <w:kern w:val="0"/>
        </w:rPr>
        <w:t xml:space="preserve"> </w:t>
      </w:r>
      <w:r w:rsidRPr="00704055">
        <w:rPr>
          <w:kern w:val="0"/>
        </w:rPr>
        <w:t>estimate minimum information theoretical criterion (AIC) estimate</w:t>
      </w:r>
      <w:r>
        <w:rPr>
          <w:rFonts w:hint="eastAsia"/>
          <w:kern w:val="0"/>
        </w:rPr>
        <w:t xml:space="preserve"> </w:t>
      </w:r>
      <w:r w:rsidRPr="00704055">
        <w:rPr>
          <w:kern w:val="0"/>
        </w:rPr>
        <w:t>(MAICE) which is designed for the purpose of statistical identification</w:t>
      </w:r>
      <w:r>
        <w:rPr>
          <w:rFonts w:hint="eastAsia"/>
          <w:kern w:val="0"/>
        </w:rPr>
        <w:t xml:space="preserve"> </w:t>
      </w:r>
      <w:r w:rsidRPr="00704055">
        <w:rPr>
          <w:kern w:val="0"/>
        </w:rPr>
        <w:t>is introduced. When there are several competing models the</w:t>
      </w:r>
      <w:r>
        <w:rPr>
          <w:rFonts w:hint="eastAsia"/>
          <w:kern w:val="0"/>
        </w:rPr>
        <w:t xml:space="preserve"> </w:t>
      </w:r>
      <w:r w:rsidRPr="00704055">
        <w:rPr>
          <w:kern w:val="0"/>
        </w:rPr>
        <w:t>MAICE is defined by the model and the maximum likelihood estimates</w:t>
      </w:r>
      <w:r>
        <w:rPr>
          <w:rFonts w:hint="eastAsia"/>
          <w:kern w:val="0"/>
        </w:rPr>
        <w:t xml:space="preserve"> </w:t>
      </w:r>
      <w:r w:rsidRPr="00704055">
        <w:rPr>
          <w:kern w:val="0"/>
        </w:rPr>
        <w:t>of the parameters which give the minimum of AIC defined by</w:t>
      </w:r>
    </w:p>
    <w:p w:rsidR="00704055" w:rsidRPr="00704055" w:rsidRDefault="00704055" w:rsidP="00704055">
      <w:pPr>
        <w:pStyle w:val="a0"/>
        <w:rPr>
          <w:kern w:val="0"/>
        </w:rPr>
      </w:pPr>
      <w:r w:rsidRPr="00704055">
        <w:rPr>
          <w:kern w:val="0"/>
        </w:rPr>
        <w:t>AIC = (-2)log(maximum likelihood) + 2(number of</w:t>
      </w:r>
    </w:p>
    <w:p w:rsidR="00704055" w:rsidRPr="00704055" w:rsidRDefault="00704055" w:rsidP="00704055">
      <w:pPr>
        <w:pStyle w:val="a0"/>
        <w:rPr>
          <w:kern w:val="0"/>
        </w:rPr>
      </w:pPr>
      <w:r w:rsidRPr="00704055">
        <w:rPr>
          <w:kern w:val="0"/>
        </w:rPr>
        <w:t>independently adjusted parameters within the model).</w:t>
      </w:r>
    </w:p>
    <w:p w:rsidR="00704055" w:rsidRDefault="00704055" w:rsidP="00704055">
      <w:pPr>
        <w:pStyle w:val="a0"/>
        <w:rPr>
          <w:kern w:val="0"/>
        </w:rPr>
      </w:pPr>
      <w:r w:rsidRPr="00704055">
        <w:rPr>
          <w:kern w:val="0"/>
        </w:rPr>
        <w:t>MAICE provides a versatile procedure for statistical model identification</w:t>
      </w:r>
      <w:r>
        <w:rPr>
          <w:rFonts w:hint="eastAsia"/>
          <w:kern w:val="0"/>
        </w:rPr>
        <w:t xml:space="preserve"> </w:t>
      </w:r>
      <w:r w:rsidRPr="00704055">
        <w:rPr>
          <w:kern w:val="0"/>
        </w:rPr>
        <w:t>which isf ree from the ambiguities inherienn tth e application</w:t>
      </w:r>
      <w:r>
        <w:rPr>
          <w:rFonts w:hint="eastAsia"/>
          <w:kern w:val="0"/>
        </w:rPr>
        <w:t xml:space="preserve"> </w:t>
      </w:r>
      <w:r w:rsidRPr="00704055">
        <w:rPr>
          <w:kern w:val="0"/>
        </w:rPr>
        <w:t>of conventional hypothesis testing procedure. The practical utility of</w:t>
      </w:r>
      <w:r>
        <w:rPr>
          <w:rFonts w:hint="eastAsia"/>
          <w:kern w:val="0"/>
        </w:rPr>
        <w:t xml:space="preserve"> </w:t>
      </w:r>
      <w:r w:rsidRPr="00704055">
        <w:rPr>
          <w:kern w:val="0"/>
        </w:rPr>
        <w:t>MAICE in time series analysis is demonstratwedit h some numerical</w:t>
      </w:r>
      <w:r>
        <w:rPr>
          <w:rFonts w:hint="eastAsia"/>
          <w:kern w:val="0"/>
        </w:rPr>
        <w:t xml:space="preserve"> </w:t>
      </w:r>
      <w:r w:rsidRPr="00704055">
        <w:rPr>
          <w:kern w:val="0"/>
        </w:rPr>
        <w:t>examples.</w:t>
      </w:r>
    </w:p>
    <w:p w:rsidR="00DF1966" w:rsidRPr="001A3D2B" w:rsidRDefault="00DF1966" w:rsidP="00DF1966">
      <w:pPr>
        <w:pStyle w:val="1"/>
      </w:pPr>
      <w:r w:rsidRPr="001A3D2B">
        <w:br w:type="page"/>
      </w:r>
      <w:bookmarkStart w:id="766" w:name="_Toc317161092"/>
      <w:r w:rsidRPr="001A3D2B">
        <w:lastRenderedPageBreak/>
        <w:t xml:space="preserve">Title: </w:t>
      </w:r>
      <w:r w:rsidRPr="00DF1966">
        <w:rPr>
          <w:iCs/>
        </w:rPr>
        <w:t>IEEE Transactions on Education</w:t>
      </w:r>
      <w:bookmarkEnd w:id="766"/>
    </w:p>
    <w:p w:rsidR="00DF1966" w:rsidRPr="001A3D2B" w:rsidRDefault="00DF1966" w:rsidP="00B72EF9">
      <w:pPr>
        <w:pStyle w:val="12"/>
      </w:pPr>
      <w:r w:rsidRPr="001A3D2B">
        <w:t xml:space="preserve">Full Journal Title: </w:t>
      </w:r>
      <w:r w:rsidRPr="00DF1966">
        <w:t>IEEE Transactions on Education</w:t>
      </w:r>
    </w:p>
    <w:p w:rsidR="00DF1966" w:rsidRPr="001A3D2B" w:rsidRDefault="00DF1966" w:rsidP="00B72EF9">
      <w:pPr>
        <w:pStyle w:val="12"/>
      </w:pPr>
      <w:r w:rsidRPr="001A3D2B">
        <w:t xml:space="preserve">ISO Abbreviated Title: </w:t>
      </w:r>
    </w:p>
    <w:p w:rsidR="00DF1966" w:rsidRPr="001A3D2B" w:rsidRDefault="00DF1966" w:rsidP="00B72EF9">
      <w:pPr>
        <w:pStyle w:val="12"/>
      </w:pPr>
      <w:r w:rsidRPr="001A3D2B">
        <w:t xml:space="preserve">JCR Abbreviated Title: </w:t>
      </w:r>
    </w:p>
    <w:p w:rsidR="00DF1966" w:rsidRPr="001A3D2B" w:rsidRDefault="00DF1966" w:rsidP="00B72EF9">
      <w:pPr>
        <w:pStyle w:val="12"/>
      </w:pPr>
      <w:r w:rsidRPr="001A3D2B">
        <w:t xml:space="preserve">ISSN: </w:t>
      </w:r>
    </w:p>
    <w:p w:rsidR="00DF1966" w:rsidRPr="001A3D2B" w:rsidRDefault="00DF1966" w:rsidP="00B72EF9">
      <w:pPr>
        <w:pStyle w:val="12"/>
      </w:pPr>
      <w:r w:rsidRPr="001A3D2B">
        <w:t xml:space="preserve">Issues/Year: </w:t>
      </w:r>
    </w:p>
    <w:p w:rsidR="00DF1966" w:rsidRPr="001A3D2B" w:rsidRDefault="00DF1966" w:rsidP="00B72EF9">
      <w:pPr>
        <w:pStyle w:val="12"/>
      </w:pPr>
      <w:r w:rsidRPr="001A3D2B">
        <w:t xml:space="preserve">Journal Country/Territory: </w:t>
      </w:r>
    </w:p>
    <w:p w:rsidR="00DF1966" w:rsidRPr="001A3D2B" w:rsidRDefault="00DF1966" w:rsidP="00B72EF9">
      <w:pPr>
        <w:pStyle w:val="12"/>
      </w:pPr>
      <w:r w:rsidRPr="001A3D2B">
        <w:t xml:space="preserve">Language: </w:t>
      </w:r>
    </w:p>
    <w:p w:rsidR="00DF1966" w:rsidRPr="001A3D2B" w:rsidRDefault="00DF1966" w:rsidP="00B72EF9">
      <w:pPr>
        <w:pStyle w:val="12"/>
      </w:pPr>
      <w:r w:rsidRPr="001A3D2B">
        <w:t xml:space="preserve">Publisher: </w:t>
      </w:r>
    </w:p>
    <w:p w:rsidR="00DF1966" w:rsidRPr="001A3D2B" w:rsidRDefault="00DF1966" w:rsidP="00B72EF9">
      <w:pPr>
        <w:pStyle w:val="12"/>
      </w:pPr>
      <w:r w:rsidRPr="001A3D2B">
        <w:t xml:space="preserve">Publisher Address: </w:t>
      </w:r>
    </w:p>
    <w:p w:rsidR="00DF1966" w:rsidRPr="001A3D2B" w:rsidRDefault="00DF1966" w:rsidP="00B72EF9">
      <w:pPr>
        <w:pStyle w:val="12"/>
      </w:pPr>
      <w:r w:rsidRPr="001A3D2B">
        <w:t xml:space="preserve">Subject Categories: </w:t>
      </w:r>
    </w:p>
    <w:p w:rsidR="00DF1966" w:rsidRPr="001A3D2B" w:rsidRDefault="00DF1966" w:rsidP="00B72EF9">
      <w:pPr>
        <w:pStyle w:val="12"/>
      </w:pPr>
      <w:r w:rsidRPr="001A3D2B">
        <w:t>: Impact Factor</w:t>
      </w:r>
    </w:p>
    <w:p w:rsidR="00DF1966" w:rsidRDefault="00DF1966" w:rsidP="00DF1966">
      <w:pPr>
        <w:pStyle w:val="a0"/>
        <w:rPr>
          <w:kern w:val="0"/>
        </w:rPr>
      </w:pPr>
      <w:r>
        <w:rPr>
          <w:rFonts w:hint="eastAsia"/>
          <w:kern w:val="0"/>
        </w:rPr>
        <w:t xml:space="preserve">? </w:t>
      </w:r>
      <w:r>
        <w:rPr>
          <w:kern w:val="0"/>
        </w:rPr>
        <w:t>Mccuen, R.H. (2008), The plagiarism decision process: The role of pressure</w:t>
      </w:r>
      <w:r w:rsidR="00F81221">
        <w:rPr>
          <w:kern w:val="0"/>
        </w:rPr>
        <w:t xml:space="preserve"> and </w:t>
      </w:r>
      <w:r>
        <w:rPr>
          <w:kern w:val="0"/>
        </w:rPr>
        <w:t xml:space="preserve">rationalization. </w:t>
      </w:r>
      <w:r w:rsidRPr="00DF1966">
        <w:rPr>
          <w:i/>
          <w:iCs/>
          <w:kern w:val="0"/>
        </w:rPr>
        <w:t>IEEE Transactions on Education</w:t>
      </w:r>
      <w:r>
        <w:rPr>
          <w:kern w:val="0"/>
        </w:rPr>
        <w:t xml:space="preserve">, </w:t>
      </w:r>
      <w:r>
        <w:rPr>
          <w:b/>
          <w:bCs/>
          <w:kern w:val="0"/>
        </w:rPr>
        <w:t>51</w:t>
      </w:r>
      <w:r>
        <w:rPr>
          <w:kern w:val="0"/>
        </w:rPr>
        <w:t xml:space="preserve"> (2), 152-156.</w:t>
      </w:r>
    </w:p>
    <w:p w:rsidR="00DF1966" w:rsidRDefault="00DF1966" w:rsidP="00DF1966">
      <w:pPr>
        <w:pStyle w:val="a0"/>
        <w:rPr>
          <w:kern w:val="0"/>
        </w:rPr>
      </w:pPr>
      <w:r>
        <w:rPr>
          <w:rFonts w:hint="eastAsia"/>
          <w:kern w:val="0"/>
        </w:rPr>
        <w:t xml:space="preserve">Full Text: </w:t>
      </w:r>
      <w:hyperlink r:id="rId820" w:history="1">
        <w:r w:rsidRPr="00DF1966">
          <w:rPr>
            <w:rStyle w:val="a5"/>
            <w:kern w:val="0"/>
          </w:rPr>
          <w:t>2008\IEE Tra Edu51, 152.pdf</w:t>
        </w:r>
      </w:hyperlink>
    </w:p>
    <w:p w:rsidR="00DF1966" w:rsidRDefault="00DF1966" w:rsidP="00DF1966">
      <w:pPr>
        <w:pStyle w:val="a0"/>
        <w:rPr>
          <w:kern w:val="0"/>
        </w:rPr>
      </w:pPr>
      <w:r>
        <w:rPr>
          <w:kern w:val="0"/>
        </w:rPr>
        <w:t>Abstract: Plagiarism is more than just the failure to use quotation marks or to cite a paraphrased passage. Dual publishing, self-plagiarism,</w:t>
      </w:r>
      <w:r w:rsidR="00F81221">
        <w:rPr>
          <w:kern w:val="0"/>
        </w:rPr>
        <w:t xml:space="preserve"> and </w:t>
      </w:r>
      <w:r>
        <w:rPr>
          <w:kern w:val="0"/>
        </w:rPr>
        <w:t>ghost authorship are other forms of plagiarism. Plagiarism is generally viewed as an act when, in fact, it is a decision process. Five steps are used here to represent plagiarism as a decision process. Various forms of pressure act as stimuli to begin the process,</w:t>
      </w:r>
      <w:r w:rsidR="00F81221">
        <w:rPr>
          <w:kern w:val="0"/>
        </w:rPr>
        <w:t xml:space="preserve"> and </w:t>
      </w:r>
      <w:r>
        <w:rPr>
          <w:kern w:val="0"/>
        </w:rPr>
        <w:t>rationalization is used to justify the decision</w:t>
      </w:r>
      <w:r w:rsidR="00F81221">
        <w:rPr>
          <w:kern w:val="0"/>
        </w:rPr>
        <w:t xml:space="preserve"> and </w:t>
      </w:r>
      <w:r>
        <w:rPr>
          <w:kern w:val="0"/>
        </w:rPr>
        <w:t>to avoid feelings of regret. Education is necessary to decrease the likelihood that an individual will opt to plagiarize when faced with the opportunity. Considerations for education of graduate students</w:t>
      </w:r>
      <w:r w:rsidR="00F81221">
        <w:rPr>
          <w:kern w:val="0"/>
        </w:rPr>
        <w:t xml:space="preserve"> and </w:t>
      </w:r>
      <w:r>
        <w:rPr>
          <w:kern w:val="0"/>
        </w:rPr>
        <w:t>young faculty are discussed.</w:t>
      </w:r>
    </w:p>
    <w:p w:rsidR="00DF1966" w:rsidRDefault="00DF1966" w:rsidP="00DF1966">
      <w:pPr>
        <w:pStyle w:val="a0"/>
        <w:rPr>
          <w:kern w:val="0"/>
        </w:rPr>
      </w:pPr>
      <w:r>
        <w:rPr>
          <w:kern w:val="0"/>
        </w:rPr>
        <w:t>Keywords: Authorship, Decision Making, Dual Publishing, Education, Ethics, Faculty, Ghost Authorship, Plagiarism, Pressure, Rationalization, Self-Plagiarism</w:t>
      </w:r>
    </w:p>
    <w:p w:rsidR="00DF1966" w:rsidRDefault="00DF1966" w:rsidP="00DF1966">
      <w:pPr>
        <w:pStyle w:val="a0"/>
        <w:rPr>
          <w:kern w:val="0"/>
        </w:rPr>
      </w:pPr>
      <w:r>
        <w:rPr>
          <w:rFonts w:hint="eastAsia"/>
          <w:kern w:val="0"/>
        </w:rPr>
        <w:t xml:space="preserve">? </w:t>
      </w:r>
      <w:r>
        <w:rPr>
          <w:kern w:val="0"/>
        </w:rPr>
        <w:t>Cosma, G.</w:t>
      </w:r>
      <w:r w:rsidR="00F81221">
        <w:rPr>
          <w:kern w:val="0"/>
        </w:rPr>
        <w:t xml:space="preserve"> and </w:t>
      </w:r>
      <w:r>
        <w:rPr>
          <w:kern w:val="0"/>
        </w:rPr>
        <w:t xml:space="preserve">Joy, M. (2008), Towards a definition of source-code plagiarism. </w:t>
      </w:r>
      <w:r>
        <w:rPr>
          <w:i/>
          <w:iCs/>
          <w:kern w:val="0"/>
        </w:rPr>
        <w:t>IEEE Transactions on Education</w:t>
      </w:r>
      <w:r>
        <w:rPr>
          <w:kern w:val="0"/>
        </w:rPr>
        <w:t xml:space="preserve">, </w:t>
      </w:r>
      <w:r>
        <w:rPr>
          <w:b/>
          <w:bCs/>
          <w:kern w:val="0"/>
        </w:rPr>
        <w:t>51</w:t>
      </w:r>
      <w:r>
        <w:rPr>
          <w:kern w:val="0"/>
        </w:rPr>
        <w:t xml:space="preserve"> (2), 195-200.</w:t>
      </w:r>
    </w:p>
    <w:p w:rsidR="00DF1966" w:rsidRDefault="00DF1966" w:rsidP="00DF1966">
      <w:pPr>
        <w:pStyle w:val="a0"/>
        <w:rPr>
          <w:kern w:val="0"/>
        </w:rPr>
      </w:pPr>
      <w:r>
        <w:rPr>
          <w:rFonts w:hint="eastAsia"/>
          <w:kern w:val="0"/>
        </w:rPr>
        <w:t xml:space="preserve">Full Text: </w:t>
      </w:r>
      <w:hyperlink r:id="rId821" w:history="1">
        <w:r w:rsidRPr="00DF1966">
          <w:rPr>
            <w:rStyle w:val="a5"/>
            <w:kern w:val="0"/>
          </w:rPr>
          <w:t>2008\IEE Tra Edu51, 195.pdf</w:t>
        </w:r>
      </w:hyperlink>
    </w:p>
    <w:p w:rsidR="00DF1966" w:rsidRDefault="00DF1966" w:rsidP="00DF1966">
      <w:pPr>
        <w:pStyle w:val="a0"/>
        <w:rPr>
          <w:kern w:val="0"/>
        </w:rPr>
      </w:pPr>
      <w:r>
        <w:rPr>
          <w:kern w:val="0"/>
        </w:rPr>
        <w:t>Abstract: A survey using a scenario-based questionnaire format has provided insight into the perceptions of U.K academics who teach programming on computing courses. This survey across various higher education (HE) institutions investigates what academics feel constitutes source-code plagiarism in an undergraduate context. Academics</w:t>
      </w:r>
      <w:r w:rsidR="000352E7">
        <w:rPr>
          <w:kern w:val="0"/>
        </w:rPr>
        <w:t>’</w:t>
      </w:r>
      <w:r>
        <w:rPr>
          <w:kern w:val="0"/>
        </w:rPr>
        <w:t xml:space="preserve"> responses on issues surrounding source-code reuse</w:t>
      </w:r>
      <w:r w:rsidR="00F81221">
        <w:rPr>
          <w:kern w:val="0"/>
        </w:rPr>
        <w:t xml:space="preserve"> and </w:t>
      </w:r>
      <w:r>
        <w:rPr>
          <w:kern w:val="0"/>
        </w:rPr>
        <w:t xml:space="preserve">acknowledgement are discussed. A general consensus exists among academics that a </w:t>
      </w:r>
      <w:r w:rsidR="000352E7">
        <w:rPr>
          <w:kern w:val="0"/>
        </w:rPr>
        <w:t>“</w:t>
      </w:r>
      <w:r>
        <w:rPr>
          <w:kern w:val="0"/>
        </w:rPr>
        <w:t>zero tolerance</w:t>
      </w:r>
      <w:r w:rsidR="000352E7">
        <w:rPr>
          <w:kern w:val="0"/>
        </w:rPr>
        <w:t>”</w:t>
      </w:r>
      <w:r>
        <w:rPr>
          <w:kern w:val="0"/>
        </w:rPr>
        <w:t xml:space="preserve"> plagiarism policy is appropriate; however, some issues concerning source-code reuse</w:t>
      </w:r>
      <w:r w:rsidR="00F81221">
        <w:rPr>
          <w:kern w:val="0"/>
        </w:rPr>
        <w:t xml:space="preserve"> and </w:t>
      </w:r>
      <w:r>
        <w:rPr>
          <w:kern w:val="0"/>
        </w:rPr>
        <w:t xml:space="preserve">acknowledgement raised controversial responses. This paper </w:t>
      </w:r>
      <w:r>
        <w:rPr>
          <w:kern w:val="0"/>
        </w:rPr>
        <w:lastRenderedPageBreak/>
        <w:t>discusses the most important findings from the survey</w:t>
      </w:r>
      <w:r w:rsidR="00F81221">
        <w:rPr>
          <w:kern w:val="0"/>
        </w:rPr>
        <w:t xml:space="preserve"> and </w:t>
      </w:r>
      <w:r>
        <w:rPr>
          <w:kern w:val="0"/>
        </w:rPr>
        <w:t>proposes a definition of what can constitute source-code plagiarism from the perspective of U.K. academics who teach programming on computing courses.</w:t>
      </w:r>
    </w:p>
    <w:p w:rsidR="00DF1966" w:rsidRDefault="00DF1966" w:rsidP="00DF1966">
      <w:pPr>
        <w:pStyle w:val="a0"/>
        <w:rPr>
          <w:kern w:val="0"/>
        </w:rPr>
      </w:pPr>
      <w:r>
        <w:rPr>
          <w:kern w:val="0"/>
        </w:rPr>
        <w:t>Keywords: Education, Plagiarism, Reuse, Self-Plagiarism, Source-Code Plagiarism Definition, Survey</w:t>
      </w:r>
    </w:p>
    <w:p w:rsidR="009723E5" w:rsidRDefault="009723E5" w:rsidP="009723E5">
      <w:pPr>
        <w:pStyle w:val="a0"/>
        <w:rPr>
          <w:kern w:val="0"/>
          <w:szCs w:val="24"/>
        </w:rPr>
      </w:pPr>
      <w:r>
        <w:rPr>
          <w:kern w:val="0"/>
          <w:szCs w:val="24"/>
        </w:rPr>
        <w:t>? Joy, M., Cosma, G., Yau, J.Y.K.</w:t>
      </w:r>
      <w:r w:rsidR="00F81221">
        <w:rPr>
          <w:kern w:val="0"/>
          <w:szCs w:val="24"/>
        </w:rPr>
        <w:t xml:space="preserve"> and </w:t>
      </w:r>
      <w:r>
        <w:rPr>
          <w:kern w:val="0"/>
          <w:szCs w:val="24"/>
        </w:rPr>
        <w:t xml:space="preserve">Sinclair, J. (2011), Source code plagiarism-a student perspective. </w:t>
      </w:r>
      <w:r>
        <w:rPr>
          <w:i/>
          <w:iCs/>
          <w:kern w:val="0"/>
          <w:szCs w:val="24"/>
        </w:rPr>
        <w:t>IEEE Transactions on Education</w:t>
      </w:r>
      <w:r>
        <w:rPr>
          <w:kern w:val="0"/>
          <w:szCs w:val="24"/>
        </w:rPr>
        <w:t xml:space="preserve">, </w:t>
      </w:r>
      <w:r>
        <w:rPr>
          <w:b/>
          <w:bCs/>
          <w:kern w:val="0"/>
          <w:szCs w:val="24"/>
        </w:rPr>
        <w:t>54</w:t>
      </w:r>
      <w:r>
        <w:rPr>
          <w:kern w:val="0"/>
          <w:szCs w:val="24"/>
        </w:rPr>
        <w:t xml:space="preserve"> (1), 125-132.</w:t>
      </w:r>
    </w:p>
    <w:p w:rsidR="009723E5" w:rsidRDefault="009723E5" w:rsidP="009723E5">
      <w:pPr>
        <w:pStyle w:val="a0"/>
        <w:rPr>
          <w:kern w:val="0"/>
        </w:rPr>
      </w:pPr>
      <w:r>
        <w:rPr>
          <w:rFonts w:hint="eastAsia"/>
          <w:kern w:val="0"/>
        </w:rPr>
        <w:t xml:space="preserve">Full Text: </w:t>
      </w:r>
      <w:r>
        <w:rPr>
          <w:kern w:val="0"/>
        </w:rPr>
        <w:t>20</w:t>
      </w:r>
      <w:r>
        <w:rPr>
          <w:rFonts w:hint="eastAsia"/>
          <w:kern w:val="0"/>
        </w:rPr>
        <w:t>11</w:t>
      </w:r>
      <w:r>
        <w:rPr>
          <w:kern w:val="0"/>
        </w:rPr>
        <w:t>\IEE Tra Edu5</w:t>
      </w:r>
      <w:r>
        <w:rPr>
          <w:rFonts w:hint="eastAsia"/>
          <w:kern w:val="0"/>
        </w:rPr>
        <w:t>4</w:t>
      </w:r>
      <w:r>
        <w:rPr>
          <w:kern w:val="0"/>
        </w:rPr>
        <w:t>, 1</w:t>
      </w:r>
      <w:r>
        <w:rPr>
          <w:rFonts w:hint="eastAsia"/>
          <w:kern w:val="0"/>
        </w:rPr>
        <w:t>25</w:t>
      </w:r>
      <w:r w:rsidRPr="00627860">
        <w:rPr>
          <w:kern w:val="0"/>
        </w:rPr>
        <w:t>.pdf</w:t>
      </w:r>
    </w:p>
    <w:p w:rsidR="009723E5" w:rsidRDefault="009723E5" w:rsidP="009723E5">
      <w:pPr>
        <w:pStyle w:val="a0"/>
        <w:rPr>
          <w:kern w:val="0"/>
          <w:szCs w:val="24"/>
        </w:rPr>
      </w:pPr>
      <w:r>
        <w:rPr>
          <w:kern w:val="0"/>
          <w:szCs w:val="24"/>
        </w:rPr>
        <w:t>Abstract: This paper considers the problem of source code plagiarism by students within the computing disciplines</w:t>
      </w:r>
      <w:r w:rsidR="00F81221">
        <w:rPr>
          <w:kern w:val="0"/>
          <w:szCs w:val="24"/>
        </w:rPr>
        <w:t xml:space="preserve"> and </w:t>
      </w:r>
      <w:r>
        <w:rPr>
          <w:kern w:val="0"/>
          <w:szCs w:val="24"/>
        </w:rPr>
        <w:t>reports the results of a survey of students in Computing departments in 18 institutions in the U. K. This survey was designed to investigate how well students understand the concept of source code plagiarism</w:t>
      </w:r>
      <w:r w:rsidR="00F81221">
        <w:rPr>
          <w:kern w:val="0"/>
          <w:szCs w:val="24"/>
        </w:rPr>
        <w:t xml:space="preserve"> and </w:t>
      </w:r>
      <w:r>
        <w:rPr>
          <w:kern w:val="0"/>
          <w:szCs w:val="24"/>
        </w:rPr>
        <w:t>to discover what, if any, specific aspects might cause particular confusion. An analysis of the results was carried out to assess understanding by topic</w:t>
      </w:r>
      <w:r w:rsidR="00F81221">
        <w:rPr>
          <w:kern w:val="0"/>
          <w:szCs w:val="24"/>
        </w:rPr>
        <w:t xml:space="preserve"> and </w:t>
      </w:r>
      <w:r>
        <w:rPr>
          <w:kern w:val="0"/>
          <w:szCs w:val="24"/>
        </w:rPr>
        <w:t>to discover whether various demographic factors may have an influence on that understanding. Within the survey sample, it appeared that the demographic factors tested did not generally affect students</w:t>
      </w:r>
      <w:r w:rsidR="000352E7">
        <w:rPr>
          <w:kern w:val="0"/>
          <w:szCs w:val="24"/>
        </w:rPr>
        <w:t>’</w:t>
      </w:r>
      <w:r>
        <w:rPr>
          <w:kern w:val="0"/>
          <w:szCs w:val="24"/>
        </w:rPr>
        <w:t xml:space="preserve"> understanding of source code plagiarism. However, analysis of the data for specific topics revealed that there are several areas of activity where the boundary between acceptable</w:t>
      </w:r>
      <w:r w:rsidR="00F81221">
        <w:rPr>
          <w:kern w:val="0"/>
          <w:szCs w:val="24"/>
        </w:rPr>
        <w:t xml:space="preserve"> and </w:t>
      </w:r>
      <w:r>
        <w:rPr>
          <w:kern w:val="0"/>
          <w:szCs w:val="24"/>
        </w:rPr>
        <w:t>unacceptable behavior is not clearly understood. These findings have implications for plagiarism education programs.</w:t>
      </w:r>
    </w:p>
    <w:p w:rsidR="009723E5" w:rsidRDefault="009723E5" w:rsidP="009723E5">
      <w:pPr>
        <w:pStyle w:val="a0"/>
        <w:rPr>
          <w:kern w:val="0"/>
          <w:szCs w:val="24"/>
        </w:rPr>
      </w:pPr>
      <w:r>
        <w:rPr>
          <w:kern w:val="0"/>
          <w:szCs w:val="24"/>
        </w:rPr>
        <w:t>Keywords: Computing Disciplines, Education, Plagiarism, Source Code, Student Survey, Students, Survey, University Education</w:t>
      </w:r>
    </w:p>
    <w:p w:rsidR="00DF1966" w:rsidRPr="001A3D2B" w:rsidRDefault="00DF1966" w:rsidP="00DF1966">
      <w:pPr>
        <w:pStyle w:val="1"/>
      </w:pPr>
      <w:r w:rsidRPr="001A3D2B">
        <w:br w:type="page"/>
      </w:r>
      <w:bookmarkStart w:id="767" w:name="_Toc246165248"/>
      <w:bookmarkStart w:id="768" w:name="_Toc276913790"/>
      <w:bookmarkStart w:id="769" w:name="_Toc317161093"/>
      <w:r w:rsidRPr="001A3D2B">
        <w:lastRenderedPageBreak/>
        <w:t xml:space="preserve">Title: </w:t>
      </w:r>
      <w:r w:rsidRPr="001A3D2B">
        <w:rPr>
          <w:iCs/>
        </w:rPr>
        <w:t>IEEE Transactions on Engineering Management</w:t>
      </w:r>
      <w:bookmarkEnd w:id="767"/>
      <w:bookmarkEnd w:id="768"/>
      <w:bookmarkEnd w:id="769"/>
    </w:p>
    <w:p w:rsidR="00DF1966" w:rsidRPr="001A3D2B" w:rsidRDefault="00DF1966" w:rsidP="00B72EF9">
      <w:pPr>
        <w:pStyle w:val="12"/>
      </w:pPr>
      <w:r w:rsidRPr="001A3D2B">
        <w:t>Full Journal Title: IEEE Transactions on Engineering Management</w:t>
      </w:r>
    </w:p>
    <w:p w:rsidR="00DF1966" w:rsidRPr="001A3D2B" w:rsidRDefault="00DF1966" w:rsidP="00B72EF9">
      <w:pPr>
        <w:pStyle w:val="12"/>
      </w:pPr>
      <w:r w:rsidRPr="001A3D2B">
        <w:t xml:space="preserve">ISO Abbreviated Title: </w:t>
      </w:r>
    </w:p>
    <w:p w:rsidR="00DF1966" w:rsidRPr="001A3D2B" w:rsidRDefault="00DF1966" w:rsidP="00B72EF9">
      <w:pPr>
        <w:pStyle w:val="12"/>
      </w:pPr>
      <w:r w:rsidRPr="001A3D2B">
        <w:t xml:space="preserve">JCR Abbreviated Title: </w:t>
      </w:r>
    </w:p>
    <w:p w:rsidR="00DF1966" w:rsidRPr="001A3D2B" w:rsidRDefault="00DF1966" w:rsidP="00B72EF9">
      <w:pPr>
        <w:pStyle w:val="12"/>
      </w:pPr>
      <w:r w:rsidRPr="001A3D2B">
        <w:t xml:space="preserve">ISSN: </w:t>
      </w:r>
    </w:p>
    <w:p w:rsidR="00DF1966" w:rsidRPr="001A3D2B" w:rsidRDefault="00DF1966" w:rsidP="00B72EF9">
      <w:pPr>
        <w:pStyle w:val="12"/>
      </w:pPr>
      <w:r w:rsidRPr="001A3D2B">
        <w:t xml:space="preserve">Issues/Year: </w:t>
      </w:r>
    </w:p>
    <w:p w:rsidR="00DF1966" w:rsidRPr="001A3D2B" w:rsidRDefault="00DF1966" w:rsidP="00B72EF9">
      <w:pPr>
        <w:pStyle w:val="12"/>
      </w:pPr>
      <w:r w:rsidRPr="001A3D2B">
        <w:t xml:space="preserve">Journal Country/Territory: </w:t>
      </w:r>
    </w:p>
    <w:p w:rsidR="00DF1966" w:rsidRPr="001A3D2B" w:rsidRDefault="00DF1966" w:rsidP="00B72EF9">
      <w:pPr>
        <w:pStyle w:val="12"/>
      </w:pPr>
      <w:r w:rsidRPr="001A3D2B">
        <w:t xml:space="preserve">Language: </w:t>
      </w:r>
    </w:p>
    <w:p w:rsidR="00DF1966" w:rsidRPr="001A3D2B" w:rsidRDefault="00DF1966" w:rsidP="00B72EF9">
      <w:pPr>
        <w:pStyle w:val="12"/>
      </w:pPr>
      <w:r w:rsidRPr="001A3D2B">
        <w:t xml:space="preserve">Publisher: </w:t>
      </w:r>
    </w:p>
    <w:p w:rsidR="00DF1966" w:rsidRPr="001A3D2B" w:rsidRDefault="00DF1966" w:rsidP="00B72EF9">
      <w:pPr>
        <w:pStyle w:val="12"/>
      </w:pPr>
      <w:r w:rsidRPr="001A3D2B">
        <w:t xml:space="preserve">Publisher Address: </w:t>
      </w:r>
    </w:p>
    <w:p w:rsidR="00DF1966" w:rsidRPr="001A3D2B" w:rsidRDefault="00DF1966" w:rsidP="00B72EF9">
      <w:pPr>
        <w:pStyle w:val="12"/>
      </w:pPr>
      <w:r w:rsidRPr="001A3D2B">
        <w:t xml:space="preserve">Subject Categories: </w:t>
      </w:r>
    </w:p>
    <w:p w:rsidR="00DF1966" w:rsidRPr="001A3D2B" w:rsidRDefault="00DF1966" w:rsidP="00B72EF9">
      <w:pPr>
        <w:pStyle w:val="12"/>
      </w:pPr>
      <w:r w:rsidRPr="001A3D2B">
        <w:t>: Impact Factor</w:t>
      </w:r>
    </w:p>
    <w:p w:rsidR="00DF1966" w:rsidRPr="001A3D2B" w:rsidRDefault="00DF1966" w:rsidP="00DF1966">
      <w:pPr>
        <w:pStyle w:val="a0"/>
      </w:pPr>
      <w:r w:rsidRPr="001A3D2B">
        <w:t>? Kostoff, R.N.</w:t>
      </w:r>
      <w:r w:rsidR="00F81221">
        <w:t xml:space="preserve"> and </w:t>
      </w:r>
      <w:r w:rsidRPr="001A3D2B">
        <w:t>Scaller, R.R. (2001), Science</w:t>
      </w:r>
      <w:r w:rsidR="00F81221">
        <w:t xml:space="preserve"> and </w:t>
      </w:r>
      <w:r w:rsidRPr="001A3D2B">
        <w:t xml:space="preserve">technology roadmaps. </w:t>
      </w:r>
      <w:r w:rsidRPr="001A3D2B">
        <w:rPr>
          <w:i/>
          <w:iCs/>
        </w:rPr>
        <w:t>IEEE Transactions on Engineering Management</w:t>
      </w:r>
      <w:r w:rsidRPr="001A3D2B">
        <w:t xml:space="preserve">, </w:t>
      </w:r>
      <w:r w:rsidRPr="001A3D2B">
        <w:rPr>
          <w:b/>
          <w:bCs/>
        </w:rPr>
        <w:t>48</w:t>
      </w:r>
      <w:r w:rsidRPr="001A3D2B">
        <w:t xml:space="preserve"> (2), 132-143.</w:t>
      </w:r>
    </w:p>
    <w:p w:rsidR="00DF1966" w:rsidRPr="001A3D2B" w:rsidRDefault="00DF1966" w:rsidP="00DF1966">
      <w:pPr>
        <w:pStyle w:val="a0"/>
      </w:pPr>
      <w:r w:rsidRPr="001A3D2B">
        <w:t xml:space="preserve">Full Text: </w:t>
      </w:r>
      <w:hyperlink r:id="rId822" w:history="1">
        <w:r w:rsidRPr="001A3D2B">
          <w:rPr>
            <w:rStyle w:val="a5"/>
          </w:rPr>
          <w:t>2001\IEEE Tra Eng Man48, 132.pdf</w:t>
        </w:r>
      </w:hyperlink>
    </w:p>
    <w:p w:rsidR="00DF1966" w:rsidRPr="001A3D2B" w:rsidRDefault="00DF1966" w:rsidP="00DF1966">
      <w:pPr>
        <w:pStyle w:val="a0"/>
      </w:pPr>
      <w:r w:rsidRPr="001A3D2B">
        <w:t>Abstract: Science</w:t>
      </w:r>
      <w:r w:rsidR="00F81221">
        <w:t xml:space="preserve"> and </w:t>
      </w:r>
      <w:r w:rsidRPr="001A3D2B">
        <w:t>technology (S&amp;T) roadmaps are used in industry, government,</w:t>
      </w:r>
      <w:r w:rsidR="00F81221">
        <w:t xml:space="preserve"> and </w:t>
      </w:r>
      <w:r w:rsidRPr="001A3D2B">
        <w:t>academia to portray the structural relationships among science, technology</w:t>
      </w:r>
      <w:r w:rsidR="00F81221">
        <w:t xml:space="preserve"> and </w:t>
      </w:r>
      <w:r w:rsidRPr="001A3D2B">
        <w:t>applications. Roadmaps are employed as decision aids to improve coordination of activities</w:t>
      </w:r>
      <w:r w:rsidR="00F81221">
        <w:t xml:space="preserve"> and </w:t>
      </w:r>
      <w:r w:rsidRPr="001A3D2B">
        <w:t>resources in increasingly complex</w:t>
      </w:r>
      <w:r w:rsidR="00F81221">
        <w:t xml:space="preserve"> and </w:t>
      </w:r>
      <w:r w:rsidRPr="001A3D2B">
        <w:t>uncertain environments. Specific uses of roadmaps include: S&amp;T management including strategy, planning, executing, reviewing,</w:t>
      </w:r>
      <w:r w:rsidR="00F81221">
        <w:t xml:space="preserve"> and </w:t>
      </w:r>
      <w:r w:rsidRPr="001A3D2B">
        <w:t>transitioning; S&amp;T marketing; enhancing communications among researchers, technologists, product managers, suppliers, users,</w:t>
      </w:r>
      <w:r w:rsidR="00F81221">
        <w:t xml:space="preserve"> and </w:t>
      </w:r>
      <w:r w:rsidRPr="001A3D2B">
        <w:t>other stakeholders; identifying gaps</w:t>
      </w:r>
      <w:r w:rsidR="00F81221">
        <w:t xml:space="preserve"> and </w:t>
      </w:r>
      <w:r w:rsidRPr="001A3D2B">
        <w:t>opportunities in S&amp;T programs;</w:t>
      </w:r>
      <w:r w:rsidR="00F81221">
        <w:t xml:space="preserve"> and </w:t>
      </w:r>
      <w:r w:rsidRPr="001A3D2B">
        <w:t>identifying obstacles to rapid</w:t>
      </w:r>
      <w:r w:rsidR="00F81221">
        <w:t xml:space="preserve"> and </w:t>
      </w:r>
      <w:r w:rsidRPr="001A3D2B">
        <w:t>low-cost product development. S&amp;T managers also use roadmaps to help identify those S&amp;T areas that have high potential promise,</w:t>
      </w:r>
      <w:r w:rsidR="00F81221">
        <w:t xml:space="preserve"> and </w:t>
      </w:r>
      <w:r w:rsidRPr="001A3D2B">
        <w:t>to accelerate the transfer of the S&amp;T to eventual products, However, there has been little attention paid to the practice of roadmapping in the published literature. This paper is a first attempt to bring some common definition to roadmapping practices</w:t>
      </w:r>
      <w:r w:rsidR="00F81221">
        <w:t xml:space="preserve"> and </w:t>
      </w:r>
      <w:r w:rsidRPr="001A3D2B">
        <w:t>display the underlying unity of seemingly fragmented roadmap approaches. The paper begins with generic roadmap definitions, including a taxonomy of roadmaps that attempts to better classify</w:t>
      </w:r>
      <w:r w:rsidR="00F81221">
        <w:t xml:space="preserve"> and </w:t>
      </w:r>
      <w:r w:rsidRPr="001A3D2B">
        <w:t>unify the broad spectrum of roadmap objectives</w:t>
      </w:r>
      <w:r w:rsidR="00F81221">
        <w:t xml:space="preserve"> and </w:t>
      </w:r>
      <w:r w:rsidRPr="001A3D2B">
        <w:t>uses. Characteristics of retrospective</w:t>
      </w:r>
      <w:r w:rsidR="00F81221">
        <w:t xml:space="preserve"> and </w:t>
      </w:r>
      <w:r w:rsidRPr="001A3D2B">
        <w:t>prospective roadmaps are then identified</w:t>
      </w:r>
      <w:r w:rsidR="00F81221">
        <w:t xml:space="preserve"> and </w:t>
      </w:r>
      <w:r w:rsidRPr="001A3D2B">
        <w:t>analyzed, as well as summary characteristics of bibliometric-based S&amp;T mapping techniques. The roadmap construction process, including fundamental principles for constructing high-quality roadmaps, is presented in detail.</w:t>
      </w:r>
    </w:p>
    <w:p w:rsidR="00DF1966" w:rsidRPr="001A3D2B" w:rsidRDefault="00DF1966" w:rsidP="00DF1966">
      <w:pPr>
        <w:pStyle w:val="a0"/>
      </w:pPr>
      <w:r w:rsidRPr="001A3D2B">
        <w:t xml:space="preserve">Keywords: AIDS, Characteristics, Communications, Construction, Decision, Development, First, Literature, Management, Mapping, Marketing, Planning, </w:t>
      </w:r>
      <w:r w:rsidRPr="001A3D2B">
        <w:lastRenderedPageBreak/>
        <w:t>Potential, Practice, Practices, Principles, Prospective, Roadmaps, Science, Stakeholders, Taxonomy, Techniques, Technology</w:t>
      </w:r>
    </w:p>
    <w:p w:rsidR="00B95188" w:rsidRDefault="00B95188" w:rsidP="00B95188">
      <w:pPr>
        <w:pStyle w:val="1"/>
      </w:pPr>
      <w:r>
        <w:br w:type="page"/>
      </w:r>
      <w:bookmarkStart w:id="770" w:name="_Toc317161094"/>
      <w:r>
        <w:lastRenderedPageBreak/>
        <w:t xml:space="preserve">Title: </w:t>
      </w:r>
      <w:r w:rsidRPr="003A32BE">
        <w:t>IEEE Transactions on Fuzzy Systems</w:t>
      </w:r>
      <w:bookmarkEnd w:id="770"/>
    </w:p>
    <w:p w:rsidR="00B95188" w:rsidRPr="000E2B90" w:rsidRDefault="00B95188" w:rsidP="00B72EF9">
      <w:pPr>
        <w:pStyle w:val="12"/>
      </w:pPr>
      <w:r w:rsidRPr="00E46814">
        <w:t>Full Journal Titl</w:t>
      </w:r>
      <w:r w:rsidRPr="000E2B90">
        <w:t xml:space="preserve">e: </w:t>
      </w:r>
      <w:hyperlink r:id="rId823" w:history="1">
        <w:r w:rsidRPr="00F01A63">
          <w:rPr>
            <w:rStyle w:val="a5"/>
          </w:rPr>
          <w:t>IEEE Transactions on Fuzzy Systems</w:t>
        </w:r>
      </w:hyperlink>
    </w:p>
    <w:p w:rsidR="00B95188" w:rsidRPr="000E2B90" w:rsidRDefault="00B95188" w:rsidP="00B72EF9">
      <w:pPr>
        <w:pStyle w:val="12"/>
      </w:pPr>
      <w:r w:rsidRPr="000E2B90">
        <w:t xml:space="preserve">ISO Abbreviated Title: </w:t>
      </w:r>
    </w:p>
    <w:p w:rsidR="00B95188" w:rsidRPr="000E2B90" w:rsidRDefault="00B95188" w:rsidP="00B72EF9">
      <w:pPr>
        <w:pStyle w:val="12"/>
      </w:pPr>
      <w:r w:rsidRPr="000E2B90">
        <w:t xml:space="preserve">JCR Abbreviated Title: </w:t>
      </w:r>
    </w:p>
    <w:p w:rsidR="00B95188" w:rsidRPr="000E2B90" w:rsidRDefault="00B95188" w:rsidP="00B72EF9">
      <w:pPr>
        <w:pStyle w:val="12"/>
      </w:pPr>
      <w:r w:rsidRPr="000E2B90">
        <w:t xml:space="preserve">ISSN: </w:t>
      </w:r>
    </w:p>
    <w:p w:rsidR="00B95188" w:rsidRPr="00E46814" w:rsidRDefault="00B95188" w:rsidP="00B72EF9">
      <w:pPr>
        <w:pStyle w:val="12"/>
      </w:pPr>
      <w:r w:rsidRPr="00E46814">
        <w:t xml:space="preserve">Issues/Year: </w:t>
      </w:r>
    </w:p>
    <w:p w:rsidR="00B95188" w:rsidRPr="00E46814" w:rsidRDefault="00B95188" w:rsidP="00B72EF9">
      <w:pPr>
        <w:pStyle w:val="12"/>
      </w:pPr>
      <w:r w:rsidRPr="00E46814">
        <w:t xml:space="preserve">Journal Country/Territory: </w:t>
      </w:r>
    </w:p>
    <w:p w:rsidR="00B95188" w:rsidRPr="00E46814" w:rsidRDefault="00B95188" w:rsidP="00B72EF9">
      <w:pPr>
        <w:pStyle w:val="12"/>
      </w:pPr>
      <w:r w:rsidRPr="00E46814">
        <w:t xml:space="preserve">Language: </w:t>
      </w:r>
    </w:p>
    <w:p w:rsidR="00B95188" w:rsidRPr="00E46814" w:rsidRDefault="00B95188" w:rsidP="00B72EF9">
      <w:pPr>
        <w:pStyle w:val="12"/>
      </w:pPr>
      <w:r w:rsidRPr="00E46814">
        <w:t xml:space="preserve">Publisher: </w:t>
      </w:r>
    </w:p>
    <w:p w:rsidR="00B95188" w:rsidRPr="00E46814" w:rsidRDefault="00B95188" w:rsidP="00B72EF9">
      <w:pPr>
        <w:pStyle w:val="12"/>
      </w:pPr>
      <w:r w:rsidRPr="00E46814">
        <w:t xml:space="preserve">Publisher Address: </w:t>
      </w:r>
    </w:p>
    <w:p w:rsidR="00B95188" w:rsidRDefault="00B95188" w:rsidP="00B72EF9">
      <w:pPr>
        <w:pStyle w:val="12"/>
      </w:pPr>
      <w:r w:rsidRPr="00E46814">
        <w:t xml:space="preserve">Subject Categories: </w:t>
      </w:r>
    </w:p>
    <w:p w:rsidR="00B95188" w:rsidRDefault="00B95188" w:rsidP="00B72EF9">
      <w:pPr>
        <w:pStyle w:val="12"/>
      </w:pPr>
      <w:r>
        <w:rPr>
          <w:rFonts w:hint="eastAsia"/>
        </w:rPr>
        <w:t xml:space="preserve">: </w:t>
      </w:r>
      <w:r>
        <w:t>Impact Factor</w:t>
      </w:r>
    </w:p>
    <w:p w:rsidR="00B95188" w:rsidRDefault="00B95188" w:rsidP="00B95188">
      <w:pPr>
        <w:pStyle w:val="a0"/>
        <w:rPr>
          <w:kern w:val="0"/>
          <w:szCs w:val="24"/>
        </w:rPr>
      </w:pPr>
      <w:r w:rsidRPr="0035706D">
        <w:rPr>
          <w:kern w:val="0"/>
          <w:szCs w:val="24"/>
        </w:rPr>
        <w:t>Torra, V.</w:t>
      </w:r>
      <w:r w:rsidR="00F81221">
        <w:rPr>
          <w:kern w:val="0"/>
          <w:szCs w:val="24"/>
        </w:rPr>
        <w:t xml:space="preserve"> and </w:t>
      </w:r>
      <w:r w:rsidRPr="0035706D">
        <w:rPr>
          <w:kern w:val="0"/>
          <w:szCs w:val="24"/>
        </w:rPr>
        <w:t>Narukawa, Y. (2008), The h-index</w:t>
      </w:r>
      <w:r w:rsidR="00F81221">
        <w:rPr>
          <w:kern w:val="0"/>
          <w:szCs w:val="24"/>
        </w:rPr>
        <w:t xml:space="preserve"> and </w:t>
      </w:r>
      <w:r w:rsidRPr="0035706D">
        <w:rPr>
          <w:kern w:val="0"/>
          <w:szCs w:val="24"/>
        </w:rPr>
        <w:t xml:space="preserve">the number of citations: Two fuzzy integrals. </w:t>
      </w:r>
      <w:r w:rsidRPr="0035706D">
        <w:rPr>
          <w:i/>
          <w:iCs/>
          <w:kern w:val="0"/>
          <w:szCs w:val="24"/>
        </w:rPr>
        <w:t>IEEE Transactions on Fuzzy Systems</w:t>
      </w:r>
      <w:r w:rsidRPr="0035706D">
        <w:rPr>
          <w:kern w:val="0"/>
          <w:szCs w:val="24"/>
        </w:rPr>
        <w:t xml:space="preserve">, </w:t>
      </w:r>
      <w:r w:rsidRPr="0035706D">
        <w:rPr>
          <w:b/>
          <w:bCs/>
          <w:kern w:val="0"/>
          <w:szCs w:val="24"/>
        </w:rPr>
        <w:t>16</w:t>
      </w:r>
      <w:r w:rsidRPr="0035706D">
        <w:rPr>
          <w:kern w:val="0"/>
          <w:szCs w:val="24"/>
        </w:rPr>
        <w:t xml:space="preserve"> (3), 795-797.</w:t>
      </w:r>
    </w:p>
    <w:p w:rsidR="00B95188" w:rsidRPr="0035706D" w:rsidRDefault="00B95188" w:rsidP="00B95188">
      <w:pPr>
        <w:pStyle w:val="a0"/>
        <w:rPr>
          <w:kern w:val="0"/>
          <w:szCs w:val="24"/>
        </w:rPr>
      </w:pPr>
      <w:r>
        <w:rPr>
          <w:rFonts w:hint="eastAsia"/>
          <w:kern w:val="0"/>
          <w:szCs w:val="24"/>
        </w:rPr>
        <w:t xml:space="preserve">Full Text: </w:t>
      </w:r>
      <w:hyperlink r:id="rId824" w:history="1">
        <w:r w:rsidRPr="00F01A63">
          <w:rPr>
            <w:rStyle w:val="a5"/>
            <w:kern w:val="0"/>
            <w:szCs w:val="24"/>
          </w:rPr>
          <w:t>2008\IEEE Tra Fuz Sys16, 795.pdf</w:t>
        </w:r>
      </w:hyperlink>
    </w:p>
    <w:p w:rsidR="00B95188" w:rsidRPr="0035706D" w:rsidRDefault="00B95188" w:rsidP="00B95188">
      <w:pPr>
        <w:pStyle w:val="a0"/>
        <w:rPr>
          <w:kern w:val="0"/>
          <w:szCs w:val="24"/>
        </w:rPr>
      </w:pPr>
      <w:r w:rsidRPr="0035706D">
        <w:rPr>
          <w:kern w:val="0"/>
          <w:szCs w:val="24"/>
        </w:rPr>
        <w:t>Abstract: In this paper, we review two of the most well-known citation indexes</w:t>
      </w:r>
      <w:r w:rsidR="00F81221">
        <w:rPr>
          <w:kern w:val="0"/>
          <w:szCs w:val="24"/>
        </w:rPr>
        <w:t xml:space="preserve"> and </w:t>
      </w:r>
      <w:r w:rsidRPr="0035706D">
        <w:rPr>
          <w:kern w:val="0"/>
          <w:szCs w:val="24"/>
        </w:rPr>
        <w:t>establish their connections with the Choquet</w:t>
      </w:r>
      <w:r w:rsidR="00F81221">
        <w:rPr>
          <w:kern w:val="0"/>
          <w:szCs w:val="24"/>
        </w:rPr>
        <w:t xml:space="preserve"> and </w:t>
      </w:r>
      <w:r w:rsidRPr="0035706D">
        <w:rPr>
          <w:kern w:val="0"/>
          <w:szCs w:val="24"/>
        </w:rPr>
        <w:t>Sugeno integrals. In particular, we show that the recently established h-index is a particular case of the Sugeno integral,</w:t>
      </w:r>
      <w:r w:rsidR="00F81221">
        <w:rPr>
          <w:kern w:val="0"/>
          <w:szCs w:val="24"/>
        </w:rPr>
        <w:t xml:space="preserve"> and </w:t>
      </w:r>
      <w:r w:rsidRPr="0035706D">
        <w:rPr>
          <w:kern w:val="0"/>
          <w:szCs w:val="24"/>
        </w:rPr>
        <w:t>that the number of citations corresponds to the Choquet integral. In both cases, they use the same fuzzy measure. The results presented here permit one to envision new indexes defined in terms of fuzzy integrals using other types of fuzzy measures. A few considerations in this respect are also included in this paper. Indexes for taking into account recent research</w:t>
      </w:r>
      <w:r w:rsidR="00F81221">
        <w:rPr>
          <w:kern w:val="0"/>
          <w:szCs w:val="24"/>
        </w:rPr>
        <w:t xml:space="preserve"> and </w:t>
      </w:r>
      <w:r w:rsidRPr="0035706D">
        <w:rPr>
          <w:kern w:val="0"/>
          <w:szCs w:val="24"/>
        </w:rPr>
        <w:t>the publisher credibility are outlined.</w:t>
      </w:r>
    </w:p>
    <w:p w:rsidR="00B95188" w:rsidRPr="00E46814" w:rsidRDefault="00B95188" w:rsidP="00B95188">
      <w:pPr>
        <w:pStyle w:val="a0"/>
      </w:pPr>
      <w:r w:rsidRPr="0035706D">
        <w:rPr>
          <w:kern w:val="0"/>
        </w:rPr>
        <w:t>Keywords: Choquet Integral</w:t>
      </w:r>
      <w:r>
        <w:rPr>
          <w:kern w:val="0"/>
        </w:rPr>
        <w:t xml:space="preserve">, </w:t>
      </w:r>
      <w:r w:rsidRPr="0035706D">
        <w:rPr>
          <w:kern w:val="0"/>
        </w:rPr>
        <w:t>Citation</w:t>
      </w:r>
      <w:r>
        <w:rPr>
          <w:kern w:val="0"/>
        </w:rPr>
        <w:t xml:space="preserve">, </w:t>
      </w:r>
      <w:r w:rsidRPr="0035706D">
        <w:rPr>
          <w:kern w:val="0"/>
        </w:rPr>
        <w:t>Citation Indexes</w:t>
      </w:r>
      <w:r>
        <w:rPr>
          <w:kern w:val="0"/>
        </w:rPr>
        <w:t xml:space="preserve">, </w:t>
      </w:r>
      <w:r w:rsidRPr="0035706D">
        <w:rPr>
          <w:kern w:val="0"/>
        </w:rPr>
        <w:t>Citations</w:t>
      </w:r>
      <w:r>
        <w:rPr>
          <w:kern w:val="0"/>
        </w:rPr>
        <w:t xml:space="preserve">, </w:t>
      </w:r>
      <w:r w:rsidRPr="0035706D">
        <w:rPr>
          <w:kern w:val="0"/>
        </w:rPr>
        <w:t>Credibility</w:t>
      </w:r>
      <w:r>
        <w:rPr>
          <w:kern w:val="0"/>
        </w:rPr>
        <w:t xml:space="preserve">, </w:t>
      </w:r>
      <w:r w:rsidRPr="0035706D">
        <w:rPr>
          <w:kern w:val="0"/>
        </w:rPr>
        <w:t>Fuzzy Integrals</w:t>
      </w:r>
      <w:r>
        <w:rPr>
          <w:kern w:val="0"/>
        </w:rPr>
        <w:t xml:space="preserve">, </w:t>
      </w:r>
      <w:r w:rsidRPr="0035706D">
        <w:rPr>
          <w:kern w:val="0"/>
        </w:rPr>
        <w:t>H Index</w:t>
      </w:r>
      <w:r>
        <w:rPr>
          <w:kern w:val="0"/>
        </w:rPr>
        <w:t xml:space="preserve">, </w:t>
      </w:r>
      <w:r w:rsidRPr="0035706D">
        <w:rPr>
          <w:kern w:val="0"/>
        </w:rPr>
        <w:t>H-Index</w:t>
      </w:r>
      <w:r>
        <w:rPr>
          <w:kern w:val="0"/>
        </w:rPr>
        <w:t xml:space="preserve">, </w:t>
      </w:r>
      <w:r w:rsidRPr="0035706D">
        <w:rPr>
          <w:kern w:val="0"/>
        </w:rPr>
        <w:t>Research</w:t>
      </w:r>
      <w:r>
        <w:rPr>
          <w:kern w:val="0"/>
        </w:rPr>
        <w:t xml:space="preserve">, </w:t>
      </w:r>
      <w:r w:rsidRPr="0035706D">
        <w:rPr>
          <w:kern w:val="0"/>
        </w:rPr>
        <w:t>Review</w:t>
      </w:r>
      <w:r>
        <w:rPr>
          <w:kern w:val="0"/>
        </w:rPr>
        <w:t xml:space="preserve">, </w:t>
      </w:r>
      <w:r w:rsidRPr="0035706D">
        <w:rPr>
          <w:kern w:val="0"/>
        </w:rPr>
        <w:t>Sugeno Integral</w:t>
      </w:r>
    </w:p>
    <w:p w:rsidR="00B95188" w:rsidRPr="00A428C3" w:rsidRDefault="00B95188" w:rsidP="00B95188">
      <w:pPr>
        <w:pStyle w:val="1"/>
      </w:pPr>
      <w:r w:rsidRPr="00A428C3">
        <w:br w:type="page"/>
      </w:r>
      <w:bookmarkStart w:id="771" w:name="_Toc186647812"/>
      <w:bookmarkStart w:id="772" w:name="_Toc317161095"/>
      <w:r w:rsidRPr="00A428C3">
        <w:lastRenderedPageBreak/>
        <w:t xml:space="preserve">Title: </w:t>
      </w:r>
      <w:r w:rsidRPr="00A428C3">
        <w:rPr>
          <w:iCs/>
        </w:rPr>
        <w:t>IEEE Transactions on Information Technology in Biomedicine</w:t>
      </w:r>
      <w:bookmarkEnd w:id="771"/>
      <w:bookmarkEnd w:id="772"/>
    </w:p>
    <w:p w:rsidR="00B95188" w:rsidRPr="00A428C3" w:rsidRDefault="00B95188" w:rsidP="00B72EF9">
      <w:pPr>
        <w:pStyle w:val="12"/>
      </w:pPr>
      <w:r w:rsidRPr="00A428C3">
        <w:t xml:space="preserve">Full Journal Title: </w:t>
      </w:r>
      <w:hyperlink r:id="rId825" w:history="1">
        <w:r w:rsidRPr="00A428C3">
          <w:rPr>
            <w:rStyle w:val="a5"/>
            <w:iCs/>
          </w:rPr>
          <w:t>IEEE Transactions on Information Technology in Biomedicine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Bansard, J.Y., Rebholz-Schuhmann, D., Cameron, G., Clark, D., van Mulligen, E., Beltrame, F., Barbolla, E.D., Martin-Sanchez, F., Milanesi, L., Tollis, I., van der Lei, J.</w:t>
      </w:r>
      <w:r w:rsidR="00F81221">
        <w:t xml:space="preserve"> and </w:t>
      </w:r>
      <w:r w:rsidRPr="00A428C3">
        <w:t>Coatrieux, J.L. (2007), Medical informatics</w:t>
      </w:r>
      <w:r w:rsidR="00F81221">
        <w:t xml:space="preserve"> and </w:t>
      </w:r>
      <w:r w:rsidRPr="00A428C3">
        <w:t xml:space="preserve">bioinformatics: A bibliometric study. </w:t>
      </w:r>
      <w:r w:rsidRPr="00A428C3">
        <w:rPr>
          <w:i/>
          <w:iCs/>
        </w:rPr>
        <w:t>IEEE Transactions on Information Technology in Biomedicine</w:t>
      </w:r>
      <w:r w:rsidRPr="00A428C3">
        <w:t xml:space="preserve">, </w:t>
      </w:r>
      <w:r w:rsidRPr="00A428C3">
        <w:rPr>
          <w:b/>
        </w:rPr>
        <w:t>11</w:t>
      </w:r>
      <w:r w:rsidRPr="00A428C3">
        <w:t xml:space="preserve"> (3), 237-243.</w:t>
      </w:r>
    </w:p>
    <w:p w:rsidR="00B95188" w:rsidRPr="00A428C3" w:rsidRDefault="00B95188" w:rsidP="00B95188">
      <w:pPr>
        <w:pStyle w:val="a0"/>
      </w:pPr>
      <w:r w:rsidRPr="00A428C3">
        <w:t xml:space="preserve">Full Text: </w:t>
      </w:r>
      <w:hyperlink r:id="rId826" w:history="1">
        <w:r w:rsidRPr="00A428C3">
          <w:rPr>
            <w:rStyle w:val="a5"/>
          </w:rPr>
          <w:t>2007\IEE Tra Inf Tec Bio11, 237.pdf</w:t>
        </w:r>
      </w:hyperlink>
    </w:p>
    <w:p w:rsidR="00B95188" w:rsidRPr="00A428C3" w:rsidRDefault="00B95188" w:rsidP="00B95188">
      <w:pPr>
        <w:pStyle w:val="a0"/>
      </w:pPr>
      <w:r w:rsidRPr="00A428C3">
        <w:t>Abstract: This paper reports on an analysis of the bioinformatics</w:t>
      </w:r>
      <w:r w:rsidR="00F81221">
        <w:t xml:space="preserve"> and </w:t>
      </w:r>
      <w:r w:rsidRPr="00A428C3">
        <w:t>medical informatics literature with the objective to identify upcoming trends that are shared among both research fields to derive benefits from potential collaborative initiatives for their future. Our results present the main characteristics of the two fields</w:t>
      </w:r>
      <w:r w:rsidR="00F81221">
        <w:t xml:space="preserve"> and </w:t>
      </w:r>
      <w:r w:rsidRPr="00A428C3">
        <w:t>show that these domains are still relatively separated.</w:t>
      </w:r>
    </w:p>
    <w:p w:rsidR="00B95188" w:rsidRPr="00A428C3" w:rsidRDefault="00B95188" w:rsidP="00B95188">
      <w:pPr>
        <w:pStyle w:val="a0"/>
      </w:pPr>
      <w:r w:rsidRPr="00A428C3">
        <w:t>Keywords: Analysis, Bibliometric, Bibliometric Study, Bibliometrics, Bioinformatics (BI), Biology, Characteristics, Correspondence Analysis, Informatics, Medical, Medical Informatics, Medicine, Paper, Publications, Research, Trends</w:t>
      </w:r>
    </w:p>
    <w:p w:rsidR="00B95188" w:rsidRPr="00A428C3" w:rsidRDefault="00B95188" w:rsidP="00B95188">
      <w:pPr>
        <w:pStyle w:val="1"/>
      </w:pPr>
      <w:r w:rsidRPr="00A428C3">
        <w:br w:type="page"/>
      </w:r>
      <w:bookmarkStart w:id="773" w:name="_Toc186647813"/>
      <w:bookmarkStart w:id="774" w:name="_Toc317161096"/>
      <w:r w:rsidRPr="00A428C3">
        <w:lastRenderedPageBreak/>
        <w:t>Title: IEEE Transactions on Information Theory</w:t>
      </w:r>
      <w:bookmarkEnd w:id="773"/>
      <w:bookmarkEnd w:id="774"/>
    </w:p>
    <w:p w:rsidR="00B95188" w:rsidRPr="00A428C3" w:rsidRDefault="00B95188" w:rsidP="00B72EF9">
      <w:pPr>
        <w:pStyle w:val="12"/>
      </w:pPr>
      <w:r w:rsidRPr="00A428C3">
        <w:t xml:space="preserve">Full Journal Title: </w:t>
      </w:r>
      <w:hyperlink r:id="rId827" w:history="1">
        <w:r w:rsidRPr="00A428C3">
          <w:rPr>
            <w:rStyle w:val="a5"/>
          </w:rPr>
          <w:t>IEEE Transactions on Information Theory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0018-9448</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Li, W.T. (1992), Random texts exhibit Zipf-law-like word-frequency distribution. </w:t>
      </w:r>
      <w:r w:rsidRPr="00A428C3">
        <w:rPr>
          <w:i/>
        </w:rPr>
        <w:t>IEEE Transactions on Information Theory</w:t>
      </w:r>
      <w:r w:rsidRPr="00A428C3">
        <w:t xml:space="preserve">, </w:t>
      </w:r>
      <w:r w:rsidRPr="00A428C3">
        <w:rPr>
          <w:b/>
        </w:rPr>
        <w:t>38</w:t>
      </w:r>
      <w:r w:rsidRPr="00A428C3">
        <w:t xml:space="preserve"> (6), 1842-1845.</w:t>
      </w:r>
    </w:p>
    <w:p w:rsidR="00B95188" w:rsidRPr="00A428C3" w:rsidRDefault="00B95188" w:rsidP="00B95188">
      <w:pPr>
        <w:pStyle w:val="a0"/>
      </w:pPr>
      <w:r w:rsidRPr="00A428C3">
        <w:t xml:space="preserve">Full Text: </w:t>
      </w:r>
      <w:hyperlink r:id="rId828" w:history="1">
        <w:r w:rsidRPr="00A428C3">
          <w:rPr>
            <w:rStyle w:val="a5"/>
          </w:rPr>
          <w:t>1992\IEE Tra Inf The38, 1842.pdf</w:t>
        </w:r>
      </w:hyperlink>
    </w:p>
    <w:p w:rsidR="00B95188" w:rsidRPr="00A428C3" w:rsidRDefault="00B95188" w:rsidP="00B95188">
      <w:pPr>
        <w:pStyle w:val="a0"/>
      </w:pPr>
      <w:r w:rsidRPr="00A428C3">
        <w:t>Abstract: It is shown that the distribution of word frequencies for randomly generated texts is very similar to Zipf</w:t>
      </w:r>
      <w:r w:rsidR="000352E7">
        <w:t>’</w:t>
      </w:r>
      <w:r w:rsidRPr="00A428C3">
        <w:t>s law observed in natural languages such as English. The facts that the frequency of occurrence of a word is almost an inverse power law function of its rank</w:t>
      </w:r>
      <w:r w:rsidR="00F81221">
        <w:t xml:space="preserve"> and </w:t>
      </w:r>
      <w:r w:rsidRPr="00A428C3">
        <w:t>the exponent of this inverse power law is very close to 1 are largely due to the transformation from the word</w:t>
      </w:r>
      <w:r w:rsidR="000352E7">
        <w:t>’</w:t>
      </w:r>
      <w:r w:rsidRPr="00A428C3">
        <w:t>s length to its rank, which stretches an exponential function to a power law function.</w:t>
      </w:r>
    </w:p>
    <w:p w:rsidR="00B95188" w:rsidRPr="00A428C3" w:rsidRDefault="00B95188" w:rsidP="00B95188">
      <w:pPr>
        <w:pStyle w:val="a0"/>
      </w:pPr>
      <w:r w:rsidRPr="00A428C3">
        <w:t>Keywords: Statistical Linguistics, Zipf Law, Power-Law Distribution, Random Texts</w:t>
      </w:r>
    </w:p>
    <w:p w:rsidR="008341D2" w:rsidRPr="001A3D2B" w:rsidRDefault="008341D2" w:rsidP="008341D2">
      <w:pPr>
        <w:pStyle w:val="1"/>
      </w:pPr>
      <w:r w:rsidRPr="001A3D2B">
        <w:br w:type="page"/>
      </w:r>
      <w:bookmarkStart w:id="775" w:name="_Toc317161097"/>
      <w:r w:rsidRPr="001A3D2B">
        <w:lastRenderedPageBreak/>
        <w:t xml:space="preserve">Title: </w:t>
      </w:r>
      <w:r w:rsidRPr="00B06811">
        <w:rPr>
          <w:iCs/>
          <w:szCs w:val="24"/>
        </w:rPr>
        <w:t>IEEE Transactions on Knowledge</w:t>
      </w:r>
      <w:r w:rsidR="00F81221">
        <w:rPr>
          <w:iCs/>
          <w:szCs w:val="24"/>
        </w:rPr>
        <w:t xml:space="preserve"> and </w:t>
      </w:r>
      <w:r w:rsidRPr="00B06811">
        <w:rPr>
          <w:iCs/>
          <w:szCs w:val="24"/>
        </w:rPr>
        <w:t>Data Engineering</w:t>
      </w:r>
      <w:bookmarkEnd w:id="775"/>
    </w:p>
    <w:p w:rsidR="008341D2" w:rsidRPr="001A3D2B" w:rsidRDefault="008341D2" w:rsidP="008341D2">
      <w:pPr>
        <w:pStyle w:val="12"/>
      </w:pPr>
      <w:r w:rsidRPr="001A3D2B">
        <w:t xml:space="preserve">Full Journal Title: </w:t>
      </w:r>
      <w:r w:rsidRPr="00B06811">
        <w:rPr>
          <w:iCs/>
        </w:rPr>
        <w:t>IEEE Transactions on Knowledge</w:t>
      </w:r>
      <w:r w:rsidR="00F81221">
        <w:rPr>
          <w:iCs/>
        </w:rPr>
        <w:t xml:space="preserve"> and </w:t>
      </w:r>
      <w:r w:rsidRPr="00B06811">
        <w:rPr>
          <w:iCs/>
        </w:rPr>
        <w:t>Data Engineering</w:t>
      </w:r>
    </w:p>
    <w:p w:rsidR="008341D2" w:rsidRPr="001A3D2B" w:rsidRDefault="008341D2" w:rsidP="008341D2">
      <w:pPr>
        <w:pStyle w:val="12"/>
      </w:pPr>
      <w:r w:rsidRPr="001A3D2B">
        <w:t xml:space="preserve">ISO Abbreviated Title: </w:t>
      </w:r>
    </w:p>
    <w:p w:rsidR="008341D2" w:rsidRPr="001A3D2B" w:rsidRDefault="008341D2" w:rsidP="008341D2">
      <w:pPr>
        <w:pStyle w:val="12"/>
      </w:pPr>
      <w:r w:rsidRPr="001A3D2B">
        <w:t xml:space="preserve">JCR Abbreviated Title: </w:t>
      </w:r>
    </w:p>
    <w:p w:rsidR="008341D2" w:rsidRPr="001A3D2B" w:rsidRDefault="008341D2" w:rsidP="008341D2">
      <w:pPr>
        <w:pStyle w:val="12"/>
      </w:pPr>
      <w:r w:rsidRPr="001A3D2B">
        <w:t xml:space="preserve">ISSN: </w:t>
      </w:r>
    </w:p>
    <w:p w:rsidR="008341D2" w:rsidRPr="001A3D2B" w:rsidRDefault="008341D2" w:rsidP="008341D2">
      <w:pPr>
        <w:pStyle w:val="12"/>
      </w:pPr>
      <w:r w:rsidRPr="001A3D2B">
        <w:t xml:space="preserve">Issues/Year: </w:t>
      </w:r>
    </w:p>
    <w:p w:rsidR="008341D2" w:rsidRPr="001A3D2B" w:rsidRDefault="008341D2" w:rsidP="008341D2">
      <w:pPr>
        <w:pStyle w:val="12"/>
      </w:pPr>
      <w:r w:rsidRPr="001A3D2B">
        <w:t xml:space="preserve">Journal Country/Territory: </w:t>
      </w:r>
    </w:p>
    <w:p w:rsidR="008341D2" w:rsidRPr="001A3D2B" w:rsidRDefault="008341D2" w:rsidP="008341D2">
      <w:pPr>
        <w:pStyle w:val="12"/>
      </w:pPr>
      <w:r w:rsidRPr="001A3D2B">
        <w:t xml:space="preserve">Language: </w:t>
      </w:r>
    </w:p>
    <w:p w:rsidR="008341D2" w:rsidRPr="001A3D2B" w:rsidRDefault="008341D2" w:rsidP="008341D2">
      <w:pPr>
        <w:pStyle w:val="12"/>
      </w:pPr>
      <w:r w:rsidRPr="001A3D2B">
        <w:t xml:space="preserve">Publisher: </w:t>
      </w:r>
    </w:p>
    <w:p w:rsidR="008341D2" w:rsidRPr="001A3D2B" w:rsidRDefault="008341D2" w:rsidP="008341D2">
      <w:pPr>
        <w:pStyle w:val="12"/>
      </w:pPr>
      <w:r w:rsidRPr="001A3D2B">
        <w:t xml:space="preserve">Publisher Address: </w:t>
      </w:r>
    </w:p>
    <w:p w:rsidR="008341D2" w:rsidRPr="001A3D2B" w:rsidRDefault="008341D2" w:rsidP="008341D2">
      <w:pPr>
        <w:pStyle w:val="12"/>
      </w:pPr>
      <w:r w:rsidRPr="001A3D2B">
        <w:t xml:space="preserve">Subject Categories: </w:t>
      </w:r>
    </w:p>
    <w:p w:rsidR="008341D2" w:rsidRPr="001A3D2B" w:rsidRDefault="008341D2" w:rsidP="008341D2">
      <w:pPr>
        <w:pStyle w:val="12"/>
      </w:pPr>
      <w:r w:rsidRPr="001A3D2B">
        <w:t>: Impact Factor</w:t>
      </w:r>
    </w:p>
    <w:p w:rsidR="008341D2" w:rsidRDefault="008341D2" w:rsidP="008341D2">
      <w:pPr>
        <w:pStyle w:val="a0"/>
        <w:rPr>
          <w:kern w:val="0"/>
          <w:szCs w:val="24"/>
        </w:rPr>
      </w:pPr>
      <w:r>
        <w:rPr>
          <w:rFonts w:hint="eastAsia"/>
          <w:kern w:val="0"/>
          <w:szCs w:val="24"/>
        </w:rPr>
        <w:t xml:space="preserve">? </w:t>
      </w:r>
      <w:r>
        <w:rPr>
          <w:kern w:val="0"/>
          <w:szCs w:val="24"/>
        </w:rPr>
        <w:t>Bi, H.H., Wang, J.R.</w:t>
      </w:r>
      <w:r w:rsidR="00F81221">
        <w:rPr>
          <w:kern w:val="0"/>
          <w:szCs w:val="24"/>
        </w:rPr>
        <w:t xml:space="preserve"> and </w:t>
      </w:r>
      <w:r>
        <w:rPr>
          <w:kern w:val="0"/>
          <w:szCs w:val="24"/>
        </w:rPr>
        <w:t xml:space="preserve">Lin, D.K.J. (2011), Comprehensive citation index for research networks. </w:t>
      </w:r>
      <w:r w:rsidRPr="00B06811">
        <w:rPr>
          <w:i/>
          <w:iCs/>
          <w:kern w:val="0"/>
          <w:szCs w:val="24"/>
        </w:rPr>
        <w:t>IEEE Transactions on Knowledge</w:t>
      </w:r>
      <w:r w:rsidR="00F81221">
        <w:rPr>
          <w:i/>
          <w:iCs/>
          <w:kern w:val="0"/>
          <w:szCs w:val="24"/>
        </w:rPr>
        <w:t xml:space="preserve"> and </w:t>
      </w:r>
      <w:r w:rsidRPr="00B06811">
        <w:rPr>
          <w:i/>
          <w:iCs/>
          <w:kern w:val="0"/>
          <w:szCs w:val="24"/>
        </w:rPr>
        <w:t>Data Engineering</w:t>
      </w:r>
      <w:r>
        <w:rPr>
          <w:kern w:val="0"/>
          <w:szCs w:val="24"/>
        </w:rPr>
        <w:t xml:space="preserve">, </w:t>
      </w:r>
      <w:r>
        <w:rPr>
          <w:b/>
          <w:bCs/>
          <w:kern w:val="0"/>
          <w:szCs w:val="24"/>
        </w:rPr>
        <w:t>23</w:t>
      </w:r>
      <w:r>
        <w:rPr>
          <w:kern w:val="0"/>
          <w:szCs w:val="24"/>
        </w:rPr>
        <w:t xml:space="preserve"> (8), 1274-1278.</w:t>
      </w:r>
    </w:p>
    <w:p w:rsidR="008341D2" w:rsidRDefault="008341D2" w:rsidP="008341D2">
      <w:pPr>
        <w:pStyle w:val="a0"/>
        <w:rPr>
          <w:kern w:val="0"/>
          <w:szCs w:val="24"/>
        </w:rPr>
      </w:pPr>
      <w:r>
        <w:rPr>
          <w:rFonts w:hint="eastAsia"/>
          <w:kern w:val="0"/>
          <w:szCs w:val="24"/>
        </w:rPr>
        <w:t xml:space="preserve">Full Text: </w:t>
      </w:r>
      <w:hyperlink r:id="rId829" w:history="1">
        <w:r w:rsidRPr="008341D2">
          <w:rPr>
            <w:rStyle w:val="a5"/>
            <w:kern w:val="0"/>
            <w:szCs w:val="24"/>
          </w:rPr>
          <w:t>2011\IEE Tra Kno Dat Eng23, 1274.pdf</w:t>
        </w:r>
      </w:hyperlink>
    </w:p>
    <w:p w:rsidR="008341D2" w:rsidRDefault="008341D2" w:rsidP="008341D2">
      <w:pPr>
        <w:pStyle w:val="a0"/>
        <w:rPr>
          <w:kern w:val="0"/>
          <w:szCs w:val="24"/>
        </w:rPr>
      </w:pPr>
      <w:r>
        <w:rPr>
          <w:kern w:val="0"/>
          <w:szCs w:val="24"/>
        </w:rPr>
        <w:t>Abstract: The existing Science Citation Index only counts direct citations, whereas PageRank disregards the number of direct citations. We propose a new Comprehensive Citation Index (CCI) that evaluates both direct</w:t>
      </w:r>
      <w:r w:rsidR="00F81221">
        <w:rPr>
          <w:kern w:val="0"/>
          <w:szCs w:val="24"/>
        </w:rPr>
        <w:t xml:space="preserve"> and </w:t>
      </w:r>
      <w:r>
        <w:rPr>
          <w:kern w:val="0"/>
          <w:szCs w:val="24"/>
        </w:rPr>
        <w:t>indirect intellectual influence of research papers,</w:t>
      </w:r>
      <w:r w:rsidR="00F81221">
        <w:rPr>
          <w:kern w:val="0"/>
          <w:szCs w:val="24"/>
        </w:rPr>
        <w:t xml:space="preserve"> and </w:t>
      </w:r>
      <w:r>
        <w:rPr>
          <w:kern w:val="0"/>
          <w:szCs w:val="24"/>
        </w:rPr>
        <w:t>show that CCI is more reliable in discovering research papers with far-reaching influence.</w:t>
      </w:r>
    </w:p>
    <w:p w:rsidR="008341D2" w:rsidRDefault="008341D2" w:rsidP="008341D2">
      <w:pPr>
        <w:pStyle w:val="a0"/>
        <w:rPr>
          <w:kern w:val="0"/>
          <w:szCs w:val="24"/>
        </w:rPr>
      </w:pPr>
      <w:r>
        <w:rPr>
          <w:kern w:val="0"/>
          <w:szCs w:val="24"/>
        </w:rPr>
        <w:t>Keywords: Citation, Citation Analysis, Citation Networks, Citations, Comprehensive Citation Index, Impact, Information Systems, Pagerank, Papers, Research, Science, Science Citation Index</w:t>
      </w:r>
    </w:p>
    <w:p w:rsidR="00B95188" w:rsidRPr="00A428C3" w:rsidRDefault="00B95188" w:rsidP="00B95188">
      <w:pPr>
        <w:pStyle w:val="1"/>
      </w:pPr>
      <w:r w:rsidRPr="00A428C3">
        <w:br w:type="page"/>
      </w:r>
      <w:bookmarkStart w:id="776" w:name="_Toc186647814"/>
      <w:bookmarkStart w:id="777" w:name="_Toc317161098"/>
      <w:r w:rsidRPr="00A428C3">
        <w:lastRenderedPageBreak/>
        <w:t xml:space="preserve">Title: </w:t>
      </w:r>
      <w:r w:rsidRPr="00A428C3">
        <w:rPr>
          <w:iCs/>
        </w:rPr>
        <w:t>IEEE Transactions on Neural Systems</w:t>
      </w:r>
      <w:r w:rsidR="00F81221">
        <w:rPr>
          <w:iCs/>
        </w:rPr>
        <w:t xml:space="preserve"> and </w:t>
      </w:r>
      <w:r w:rsidRPr="00A428C3">
        <w:rPr>
          <w:iCs/>
        </w:rPr>
        <w:t>Rehabilitation Engineering</w:t>
      </w:r>
      <w:bookmarkEnd w:id="776"/>
      <w:bookmarkEnd w:id="777"/>
    </w:p>
    <w:p w:rsidR="00B95188" w:rsidRPr="00A428C3" w:rsidRDefault="00B95188" w:rsidP="00B72EF9">
      <w:pPr>
        <w:pStyle w:val="12"/>
      </w:pPr>
      <w:r w:rsidRPr="00A428C3">
        <w:t>Full Journal Title: IEEE Transactions on Neural Systems</w:t>
      </w:r>
      <w:r w:rsidR="00F81221">
        <w:t xml:space="preserve"> and </w:t>
      </w:r>
      <w:r w:rsidRPr="00A428C3">
        <w:t>Rehabilitation Engineering</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Ryan, C., Tewey, B., Newman, S., Turner, T.</w:t>
      </w:r>
      <w:r w:rsidR="00F81221">
        <w:t xml:space="preserve"> and </w:t>
      </w:r>
      <w:r w:rsidRPr="00A428C3">
        <w:t>Jaeger, R.J. (2004), Estimating research productivity</w:t>
      </w:r>
      <w:r w:rsidR="00F81221">
        <w:t xml:space="preserve"> and </w:t>
      </w:r>
      <w:r w:rsidRPr="00A428C3">
        <w:t xml:space="preserve">quality in assistive technology: A bibliometric analysis spanning four decades. </w:t>
      </w:r>
      <w:r w:rsidRPr="00A428C3">
        <w:rPr>
          <w:i/>
          <w:iCs/>
        </w:rPr>
        <w:t>IEEE Transactions on Neural Systems</w:t>
      </w:r>
      <w:r w:rsidR="00F81221">
        <w:rPr>
          <w:i/>
          <w:iCs/>
        </w:rPr>
        <w:t xml:space="preserve"> and </w:t>
      </w:r>
      <w:r w:rsidRPr="00A428C3">
        <w:rPr>
          <w:i/>
          <w:iCs/>
        </w:rPr>
        <w:t>Rehabilitation Engineering</w:t>
      </w:r>
      <w:r w:rsidRPr="00A428C3">
        <w:t xml:space="preserve">, </w:t>
      </w:r>
      <w:r w:rsidRPr="00A428C3">
        <w:rPr>
          <w:b/>
        </w:rPr>
        <w:t>12</w:t>
      </w:r>
      <w:r w:rsidRPr="00A428C3">
        <w:t xml:space="preserve"> (4), 422-429.</w:t>
      </w:r>
    </w:p>
    <w:p w:rsidR="00B95188" w:rsidRPr="00A428C3" w:rsidRDefault="00B95188" w:rsidP="00B95188">
      <w:pPr>
        <w:pStyle w:val="a0"/>
      </w:pPr>
      <w:r w:rsidRPr="00A428C3">
        <w:t>Abstract: Objective: Conduct a quantitative assessment of the number of papers contained in MEDLINE related to selected types of assistive technology (AT),</w:t>
      </w:r>
      <w:r w:rsidR="00F81221">
        <w:t xml:space="preserve"> and </w:t>
      </w:r>
      <w:r w:rsidRPr="00A428C3">
        <w:t>to identify journals publishing significant numbers of papers related to AT,</w:t>
      </w:r>
      <w:r w:rsidR="00F81221">
        <w:t xml:space="preserve"> and </w:t>
      </w:r>
      <w:r w:rsidRPr="00A428C3">
        <w:t>evaluate them with quantitative productivity</w:t>
      </w:r>
      <w:r w:rsidR="00F81221">
        <w:t xml:space="preserve"> and </w:t>
      </w:r>
      <w:r w:rsidRPr="00A428C3">
        <w:t>quality measures. Design: Consecutive sample of all papers in MEDLINE identified by standard medical subject headings for selected types of AT from 1963-2003. Main Outcome Measures: Number of journals carrying AT papers, papers per journal (both total number</w:t>
      </w:r>
      <w:r w:rsidR="00F81221">
        <w:t xml:space="preserve"> and </w:t>
      </w:r>
      <w:r w:rsidRPr="00A428C3">
        <w:t>those specific to AT), journal impact factor, circulation,</w:t>
      </w:r>
      <w:r w:rsidR="00F81221">
        <w:t xml:space="preserve"> and </w:t>
      </w:r>
      <w:r w:rsidRPr="00A428C3">
        <w:t>number of AT citations per year over time for each area of AT. Results: We present search terms, estimates of the numbers of AT citations in MEDLINE, the journals most likely to contain articles related to AT, journal impact factors,</w:t>
      </w:r>
      <w:r w:rsidR="00F81221">
        <w:t xml:space="preserve"> and </w:t>
      </w:r>
      <w:r w:rsidRPr="00A428C3">
        <w:t>journal circulations (when available). We also present the number of citations in various areas of AT over time from 1963-2003. Suggestions are presented for possible future modifications of the MEDLINE controlled vocabulary, based on terminology used in existing AT classifications schemes, such as ISO 9999. Conclusion: Research papers in the areas of AT examined showed publication across a wide variety of journals. There are a number of journals publishing articles in AT that have impact factors above the median. Some areas of AT have shown an increase in publications per year over time, while others have shown a more constant level of productivity.</w:t>
      </w:r>
    </w:p>
    <w:p w:rsidR="00B95188" w:rsidRPr="00A428C3" w:rsidRDefault="00B95188" w:rsidP="00B95188">
      <w:pPr>
        <w:pStyle w:val="a0"/>
      </w:pPr>
      <w:r w:rsidRPr="00A428C3">
        <w:lastRenderedPageBreak/>
        <w:t>Keywords: Bias, Bibliometric, Bibliometric Analysis, Citation, Citations, Databases, Impact, Impact Factor, Impact Factors, Indicators, Journal, Journal Impact, Journals, Libraries, Publication, Publications, Research, Research Productivity, Terminology</w:t>
      </w:r>
    </w:p>
    <w:p w:rsidR="003F129C" w:rsidRDefault="003F129C" w:rsidP="003F129C">
      <w:pPr>
        <w:pStyle w:val="1"/>
      </w:pPr>
      <w:r>
        <w:br w:type="page"/>
      </w:r>
      <w:bookmarkStart w:id="778" w:name="_Toc240862228"/>
      <w:bookmarkStart w:id="779" w:name="_Toc317161099"/>
      <w:r>
        <w:lastRenderedPageBreak/>
        <w:t xml:space="preserve">Title: </w:t>
      </w:r>
      <w:r w:rsidRPr="00124FC2">
        <w:t>IEEE Transactions on Nuclear Science</w:t>
      </w:r>
      <w:bookmarkEnd w:id="778"/>
      <w:bookmarkEnd w:id="779"/>
    </w:p>
    <w:p w:rsidR="003F129C" w:rsidRPr="00E46814" w:rsidRDefault="003F129C" w:rsidP="00B72EF9">
      <w:pPr>
        <w:pStyle w:val="12"/>
      </w:pPr>
      <w:r w:rsidRPr="00E46814">
        <w:t xml:space="preserve">Full Journal Title: </w:t>
      </w:r>
      <w:hyperlink r:id="rId830" w:history="1">
        <w:r w:rsidRPr="001367AD">
          <w:rPr>
            <w:rStyle w:val="a5"/>
          </w:rPr>
          <w:t>IEEE Transactions on Nuclear Science</w:t>
        </w:r>
      </w:hyperlink>
    </w:p>
    <w:p w:rsidR="003F129C" w:rsidRPr="00E46814" w:rsidRDefault="003F129C" w:rsidP="00B72EF9">
      <w:pPr>
        <w:pStyle w:val="12"/>
      </w:pPr>
      <w:r w:rsidRPr="00E46814">
        <w:t xml:space="preserve">ISO Abbreviated Title: </w:t>
      </w:r>
    </w:p>
    <w:p w:rsidR="003F129C" w:rsidRPr="00E46814" w:rsidRDefault="003F129C" w:rsidP="00B72EF9">
      <w:pPr>
        <w:pStyle w:val="12"/>
      </w:pPr>
      <w:r w:rsidRPr="00E46814">
        <w:t>JCR Abbreviated Title</w:t>
      </w:r>
      <w:r>
        <w:t>:</w:t>
      </w:r>
      <w:r w:rsidRPr="00E46814">
        <w:t xml:space="preserve"> </w:t>
      </w:r>
    </w:p>
    <w:p w:rsidR="003F129C" w:rsidRPr="00E46814" w:rsidRDefault="003F129C" w:rsidP="00B72EF9">
      <w:pPr>
        <w:pStyle w:val="12"/>
      </w:pPr>
      <w:r w:rsidRPr="00E46814">
        <w:t xml:space="preserve">ISSN: </w:t>
      </w:r>
    </w:p>
    <w:p w:rsidR="003F129C" w:rsidRPr="00E46814" w:rsidRDefault="003F129C" w:rsidP="00B72EF9">
      <w:pPr>
        <w:pStyle w:val="12"/>
      </w:pPr>
      <w:r w:rsidRPr="00E46814">
        <w:t xml:space="preserve">Issues/Year: </w:t>
      </w:r>
    </w:p>
    <w:p w:rsidR="003F129C" w:rsidRPr="00E46814" w:rsidRDefault="00FB5623" w:rsidP="00B72EF9">
      <w:pPr>
        <w:pStyle w:val="12"/>
      </w:pPr>
      <w:r>
        <w:t>Journal Country/Territory:</w:t>
      </w:r>
      <w:r w:rsidR="003F129C">
        <w:t xml:space="preserve"> </w:t>
      </w:r>
    </w:p>
    <w:p w:rsidR="003F129C" w:rsidRPr="00E46814" w:rsidRDefault="003F129C" w:rsidP="00B72EF9">
      <w:pPr>
        <w:pStyle w:val="12"/>
      </w:pPr>
      <w:r w:rsidRPr="00E46814">
        <w:t xml:space="preserve">Language: </w:t>
      </w:r>
    </w:p>
    <w:p w:rsidR="003F129C" w:rsidRPr="00E46814" w:rsidRDefault="003F129C" w:rsidP="00B72EF9">
      <w:pPr>
        <w:pStyle w:val="12"/>
      </w:pPr>
      <w:r w:rsidRPr="00E46814">
        <w:t xml:space="preserve">Publisher: </w:t>
      </w:r>
    </w:p>
    <w:p w:rsidR="003F129C" w:rsidRPr="00E46814" w:rsidRDefault="003F129C" w:rsidP="00B72EF9">
      <w:pPr>
        <w:pStyle w:val="12"/>
      </w:pPr>
      <w:r w:rsidRPr="00E46814">
        <w:t xml:space="preserve">Publisher Address: </w:t>
      </w:r>
    </w:p>
    <w:p w:rsidR="003F129C" w:rsidRDefault="003F129C" w:rsidP="00B72EF9">
      <w:pPr>
        <w:pStyle w:val="12"/>
      </w:pPr>
      <w:r w:rsidRPr="00E46814">
        <w:t xml:space="preserve">Subject Categories: </w:t>
      </w:r>
    </w:p>
    <w:p w:rsidR="003F129C" w:rsidRPr="00E46814" w:rsidRDefault="003F129C" w:rsidP="00B72EF9">
      <w:pPr>
        <w:pStyle w:val="12"/>
      </w:pPr>
      <w:r>
        <w:rPr>
          <w:rFonts w:hint="eastAsia"/>
        </w:rPr>
        <w:t xml:space="preserve">: </w:t>
      </w:r>
      <w:r>
        <w:t>Impact Factor</w:t>
      </w:r>
    </w:p>
    <w:p w:rsidR="003F129C" w:rsidRDefault="003F129C" w:rsidP="003F129C">
      <w:pPr>
        <w:pStyle w:val="a0"/>
        <w:rPr>
          <w:kern w:val="0"/>
        </w:rPr>
      </w:pPr>
      <w:r>
        <w:rPr>
          <w:rFonts w:hint="eastAsia"/>
          <w:kern w:val="0"/>
        </w:rPr>
        <w:t xml:space="preserve">? </w:t>
      </w:r>
      <w:r>
        <w:rPr>
          <w:kern w:val="0"/>
        </w:rPr>
        <w:t>Galloway, K.F. (2003), High-impact papers presented at the IEEE Nuclear</w:t>
      </w:r>
      <w:r w:rsidR="00F81221">
        <w:rPr>
          <w:kern w:val="0"/>
        </w:rPr>
        <w:t xml:space="preserve"> and </w:t>
      </w:r>
      <w:r>
        <w:rPr>
          <w:kern w:val="0"/>
        </w:rPr>
        <w:t xml:space="preserve">Space Radiation Effects Conference: The view in 2003. </w:t>
      </w:r>
      <w:r w:rsidRPr="00124FC2">
        <w:rPr>
          <w:i/>
          <w:iCs/>
          <w:kern w:val="0"/>
        </w:rPr>
        <w:t>IEEE Transactions on Nuclear Science</w:t>
      </w:r>
      <w:r>
        <w:rPr>
          <w:kern w:val="0"/>
        </w:rPr>
        <w:t xml:space="preserve">, </w:t>
      </w:r>
      <w:r>
        <w:rPr>
          <w:b/>
          <w:bCs/>
          <w:kern w:val="0"/>
        </w:rPr>
        <w:t>50</w:t>
      </w:r>
      <w:r>
        <w:rPr>
          <w:kern w:val="0"/>
        </w:rPr>
        <w:t xml:space="preserve"> (3), 457-465.</w:t>
      </w:r>
    </w:p>
    <w:p w:rsidR="003F129C" w:rsidRDefault="003F129C" w:rsidP="003F129C">
      <w:pPr>
        <w:pStyle w:val="a0"/>
        <w:rPr>
          <w:kern w:val="0"/>
        </w:rPr>
      </w:pPr>
      <w:r>
        <w:rPr>
          <w:rFonts w:hint="eastAsia"/>
          <w:kern w:val="0"/>
        </w:rPr>
        <w:t xml:space="preserve">Full Text: </w:t>
      </w:r>
      <w:hyperlink r:id="rId831" w:history="1">
        <w:r w:rsidRPr="001367AD">
          <w:rPr>
            <w:rStyle w:val="a5"/>
            <w:kern w:val="0"/>
          </w:rPr>
          <w:t>2003\IEEE Tra Nuc Sci50, 457.pdf</w:t>
        </w:r>
      </w:hyperlink>
    </w:p>
    <w:p w:rsidR="003F129C" w:rsidRDefault="003F129C" w:rsidP="003F129C">
      <w:pPr>
        <w:pStyle w:val="a0"/>
        <w:rPr>
          <w:kern w:val="0"/>
        </w:rPr>
      </w:pPr>
      <w:r>
        <w:rPr>
          <w:kern w:val="0"/>
        </w:rPr>
        <w:t>Abstract: This paper identifies a selection of papers presented at the NSREC</w:t>
      </w:r>
      <w:r w:rsidR="00F81221">
        <w:rPr>
          <w:kern w:val="0"/>
        </w:rPr>
        <w:t xml:space="preserve"> and </w:t>
      </w:r>
      <w:r>
        <w:rPr>
          <w:kern w:val="0"/>
        </w:rPr>
        <w:t>published in the IEEE TRANSACTIONS ON NUCLEAR SCIENCE that have had measurable impact on radiation effects research</w:t>
      </w:r>
      <w:r w:rsidR="00F81221">
        <w:rPr>
          <w:kern w:val="0"/>
        </w:rPr>
        <w:t xml:space="preserve"> and </w:t>
      </w:r>
      <w:r>
        <w:rPr>
          <w:kern w:val="0"/>
        </w:rPr>
        <w:t>the radiation effects community. Criteria include papers selected for the Outstanding Paper Award at the NSREC or papers from the NSREC that have been highly cited by authors of other journal publications. Additionally, several papers are identified that, even though they are not selected by the above criteria, have impacted the technical areas served by the NSREC. Some observations are made on the methodology used here for selecting high-impact papers.</w:t>
      </w:r>
    </w:p>
    <w:p w:rsidR="003F129C" w:rsidRDefault="003F129C" w:rsidP="003F129C">
      <w:pPr>
        <w:pStyle w:val="a0"/>
        <w:rPr>
          <w:kern w:val="0"/>
        </w:rPr>
      </w:pPr>
      <w:r>
        <w:rPr>
          <w:kern w:val="0"/>
        </w:rPr>
        <w:t>Keywords: Authors, Journal, NSREC, Outstanding Paper Award, Oxide-Semiconductor Transistors, Radiation Effects, Research, Science</w:t>
      </w:r>
    </w:p>
    <w:p w:rsidR="00B95188" w:rsidRPr="00A428C3" w:rsidRDefault="00B95188" w:rsidP="00B95188">
      <w:pPr>
        <w:pStyle w:val="1"/>
      </w:pPr>
      <w:r w:rsidRPr="00A428C3">
        <w:br w:type="page"/>
      </w:r>
      <w:bookmarkStart w:id="780" w:name="_Toc186647815"/>
      <w:bookmarkStart w:id="781" w:name="_Toc317161100"/>
      <w:r w:rsidRPr="00A428C3">
        <w:lastRenderedPageBreak/>
        <w:t xml:space="preserve">Title: </w:t>
      </w:r>
      <w:r w:rsidRPr="00A428C3">
        <w:rPr>
          <w:iCs/>
        </w:rPr>
        <w:t>IEEE Transactions on Professional Communication</w:t>
      </w:r>
      <w:bookmarkEnd w:id="780"/>
      <w:bookmarkEnd w:id="781"/>
    </w:p>
    <w:p w:rsidR="00B95188" w:rsidRPr="00A428C3" w:rsidRDefault="00B95188" w:rsidP="00B72EF9">
      <w:pPr>
        <w:pStyle w:val="12"/>
      </w:pPr>
      <w:r w:rsidRPr="00A428C3">
        <w:t>Full Journal Title: IEEE Transactions on Professional Communication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Garfield, E. (1973), What scientific journals can tell us about scientific journals. </w:t>
      </w:r>
      <w:r w:rsidRPr="00A428C3">
        <w:rPr>
          <w:i/>
          <w:iCs/>
        </w:rPr>
        <w:t>IEEE Transactions on Professional Communication</w:t>
      </w:r>
      <w:r w:rsidRPr="00A428C3">
        <w:t xml:space="preserve">, </w:t>
      </w:r>
      <w:r w:rsidRPr="00A428C3">
        <w:rPr>
          <w:b/>
        </w:rPr>
        <w:t>PC16</w:t>
      </w:r>
      <w:r w:rsidRPr="00A428C3">
        <w:t xml:space="preserve"> (4), 200-203.</w:t>
      </w:r>
    </w:p>
    <w:p w:rsidR="00B95188" w:rsidRPr="00A428C3" w:rsidRDefault="00B95188" w:rsidP="00B95188">
      <w:pPr>
        <w:pStyle w:val="a0"/>
      </w:pPr>
      <w:r w:rsidRPr="00A428C3">
        <w:t>? Subramanyam, K. (1979), Lotka</w:t>
      </w:r>
      <w:r w:rsidR="000352E7">
        <w:t>’</w:t>
      </w:r>
      <w:r w:rsidRPr="00A428C3">
        <w:t>s law</w:t>
      </w:r>
      <w:r w:rsidR="00F81221">
        <w:t xml:space="preserve"> and </w:t>
      </w:r>
      <w:r w:rsidRPr="00A428C3">
        <w:t xml:space="preserve">the literature of computer-science. </w:t>
      </w:r>
      <w:r w:rsidRPr="00A428C3">
        <w:rPr>
          <w:i/>
          <w:iCs/>
        </w:rPr>
        <w:t>IEEE Transactions on Professional Communication</w:t>
      </w:r>
      <w:r w:rsidRPr="00A428C3">
        <w:t xml:space="preserve">, </w:t>
      </w:r>
      <w:r w:rsidRPr="00A428C3">
        <w:rPr>
          <w:b/>
        </w:rPr>
        <w:t>22</w:t>
      </w:r>
      <w:r w:rsidRPr="00A428C3">
        <w:t xml:space="preserve"> (4), 187-189.</w:t>
      </w:r>
    </w:p>
    <w:p w:rsidR="00B95188" w:rsidRPr="00586CD8" w:rsidRDefault="00B95188" w:rsidP="00B95188">
      <w:pPr>
        <w:pStyle w:val="a0"/>
        <w:rPr>
          <w:kern w:val="2"/>
        </w:rPr>
      </w:pPr>
      <w:r w:rsidRPr="00586CD8">
        <w:rPr>
          <w:rFonts w:hint="eastAsia"/>
          <w:kern w:val="2"/>
        </w:rPr>
        <w:t xml:space="preserve">? </w:t>
      </w:r>
      <w:r w:rsidRPr="00586CD8">
        <w:rPr>
          <w:kern w:val="2"/>
        </w:rPr>
        <w:t>Lowry, P.B., Humpherys, S.L., Malwitz, J.</w:t>
      </w:r>
      <w:r w:rsidR="00F81221">
        <w:rPr>
          <w:kern w:val="2"/>
        </w:rPr>
        <w:t xml:space="preserve"> and </w:t>
      </w:r>
      <w:r w:rsidRPr="00586CD8">
        <w:rPr>
          <w:kern w:val="2"/>
        </w:rPr>
        <w:t>Nix, J. (2007), A scientometric study of the perceived quality of business</w:t>
      </w:r>
      <w:r w:rsidR="00F81221">
        <w:rPr>
          <w:kern w:val="2"/>
        </w:rPr>
        <w:t xml:space="preserve"> and </w:t>
      </w:r>
      <w:r w:rsidRPr="00586CD8">
        <w:rPr>
          <w:kern w:val="2"/>
        </w:rPr>
        <w:t xml:space="preserve">technical communication journals. </w:t>
      </w:r>
      <w:r>
        <w:rPr>
          <w:i/>
          <w:iCs/>
          <w:kern w:val="0"/>
        </w:rPr>
        <w:t>IEEE Transactions on Professional Communication</w:t>
      </w:r>
      <w:r w:rsidRPr="00586CD8">
        <w:rPr>
          <w:kern w:val="2"/>
        </w:rPr>
        <w:t xml:space="preserve">, </w:t>
      </w:r>
      <w:r>
        <w:rPr>
          <w:b/>
          <w:bCs/>
          <w:kern w:val="0"/>
        </w:rPr>
        <w:t>50</w:t>
      </w:r>
      <w:r w:rsidRPr="00586CD8">
        <w:rPr>
          <w:kern w:val="2"/>
        </w:rPr>
        <w:t xml:space="preserve"> (4), 352-378.</w:t>
      </w:r>
    </w:p>
    <w:p w:rsidR="006210EB" w:rsidRDefault="006210EB" w:rsidP="006210EB">
      <w:pPr>
        <w:pStyle w:val="a0"/>
        <w:rPr>
          <w:kern w:val="0"/>
        </w:rPr>
      </w:pPr>
      <w:r>
        <w:rPr>
          <w:rFonts w:hint="eastAsia"/>
          <w:kern w:val="0"/>
        </w:rPr>
        <w:t xml:space="preserve">Full Text: </w:t>
      </w:r>
      <w:hyperlink r:id="rId832" w:history="1">
        <w:r w:rsidR="001F6124" w:rsidRPr="001F6124">
          <w:rPr>
            <w:rStyle w:val="a5"/>
            <w:kern w:val="0"/>
          </w:rPr>
          <w:t>2007\IEE Tra Pro Com50, 352.pdf</w:t>
        </w:r>
      </w:hyperlink>
    </w:p>
    <w:p w:rsidR="00B95188" w:rsidRPr="00586CD8" w:rsidRDefault="00B95188" w:rsidP="00B95188">
      <w:pPr>
        <w:pStyle w:val="a0"/>
        <w:rPr>
          <w:kern w:val="2"/>
        </w:rPr>
      </w:pPr>
      <w:r w:rsidRPr="00586CD8">
        <w:rPr>
          <w:kern w:val="2"/>
        </w:rPr>
        <w:t>Abstract: In this paper we present, from an academic perspective, the perceived quality ratings of business</w:t>
      </w:r>
      <w:r w:rsidR="00F81221">
        <w:rPr>
          <w:kern w:val="2"/>
        </w:rPr>
        <w:t xml:space="preserve"> and </w:t>
      </w:r>
      <w:r w:rsidRPr="00586CD8">
        <w:rPr>
          <w:kern w:val="2"/>
        </w:rPr>
        <w:t>technical communication journals. Through a survey of academic experts, we asked respondents to rate the top overall journals, business communication journals, technical communication journals,</w:t>
      </w:r>
      <w:r w:rsidR="00F81221">
        <w:rPr>
          <w:kern w:val="2"/>
        </w:rPr>
        <w:t xml:space="preserve"> and </w:t>
      </w:r>
      <w:r w:rsidRPr="00586CD8">
        <w:rPr>
          <w:kern w:val="2"/>
        </w:rPr>
        <w:t>the top journals from a technology perspective. In addition, we asked respondents to list the journals that they read most frequently. We analyzed the results by breaking down the rankings into world regions</w:t>
      </w:r>
      <w:r w:rsidR="00F81221">
        <w:rPr>
          <w:kern w:val="2"/>
        </w:rPr>
        <w:t xml:space="preserve"> and </w:t>
      </w:r>
      <w:r w:rsidRPr="00586CD8">
        <w:rPr>
          <w:kern w:val="2"/>
        </w:rPr>
        <w:t>academic departments. The top-three overall journals for all regions are Journal of Business</w:t>
      </w:r>
      <w:r w:rsidR="00F81221">
        <w:rPr>
          <w:kern w:val="2"/>
        </w:rPr>
        <w:t xml:space="preserve"> and </w:t>
      </w:r>
      <w:r w:rsidRPr="00586CD8">
        <w:rPr>
          <w:kern w:val="2"/>
        </w:rPr>
        <w:t>Technical Communication, Journal of Business Communication,</w:t>
      </w:r>
      <w:r w:rsidR="00F81221">
        <w:rPr>
          <w:kern w:val="2"/>
        </w:rPr>
        <w:t xml:space="preserve"> and </w:t>
      </w:r>
      <w:r w:rsidRPr="00586CD8">
        <w:rPr>
          <w:kern w:val="2"/>
        </w:rPr>
        <w:t>IEEE TRANSACTIONS ON PROFESSIONAL COMMUNICATION. Importantly, differences by world region</w:t>
      </w:r>
      <w:r w:rsidR="00F81221">
        <w:rPr>
          <w:kern w:val="2"/>
        </w:rPr>
        <w:t xml:space="preserve"> and </w:t>
      </w:r>
      <w:r w:rsidRPr="00586CD8">
        <w:rPr>
          <w:kern w:val="2"/>
        </w:rPr>
        <w:t>academic department type were found in all these rankings. These results can support researchers worldwide by helping them tartlet their publishing efforts to journals that have the best fit with their business</w:t>
      </w:r>
      <w:r w:rsidR="00F81221">
        <w:rPr>
          <w:kern w:val="2"/>
        </w:rPr>
        <w:t xml:space="preserve"> and </w:t>
      </w:r>
      <w:r w:rsidRPr="00586CD8">
        <w:rPr>
          <w:kern w:val="2"/>
        </w:rPr>
        <w:t>technical communication discipline, world region,</w:t>
      </w:r>
      <w:r w:rsidR="00F81221">
        <w:rPr>
          <w:kern w:val="2"/>
        </w:rPr>
        <w:t xml:space="preserve"> and </w:t>
      </w:r>
      <w:r w:rsidRPr="00586CD8">
        <w:rPr>
          <w:kern w:val="2"/>
        </w:rPr>
        <w:t>academic home.</w:t>
      </w:r>
    </w:p>
    <w:p w:rsidR="00B95188" w:rsidRPr="00586CD8" w:rsidRDefault="00B95188" w:rsidP="00B95188">
      <w:pPr>
        <w:pStyle w:val="a0"/>
        <w:rPr>
          <w:kern w:val="2"/>
        </w:rPr>
      </w:pPr>
      <w:r w:rsidRPr="00586CD8">
        <w:rPr>
          <w:kern w:val="2"/>
        </w:rPr>
        <w:t xml:space="preserve">Keywords: Articles, Authors, Business Communication, Citation Analysis, Field, Global Perceptions, Impact Factors, Journal Influence, Journal Quality, Journal Rankings, Journal Survey, Perspective, Professional Communication, Quality, Rankings, </w:t>
      </w:r>
      <w:r w:rsidRPr="00586CD8">
        <w:rPr>
          <w:kern w:val="2"/>
        </w:rPr>
        <w:lastRenderedPageBreak/>
        <w:t>Science, Scientometrics, Technical Communication, Technology-Based Communication</w:t>
      </w:r>
    </w:p>
    <w:p w:rsidR="006210EB" w:rsidRDefault="006210EB" w:rsidP="006210EB">
      <w:pPr>
        <w:pStyle w:val="a0"/>
        <w:rPr>
          <w:kern w:val="0"/>
        </w:rPr>
      </w:pPr>
      <w:r>
        <w:rPr>
          <w:rFonts w:hint="eastAsia"/>
          <w:kern w:val="0"/>
        </w:rPr>
        <w:t xml:space="preserve">? </w:t>
      </w:r>
      <w:r>
        <w:rPr>
          <w:kern w:val="0"/>
        </w:rPr>
        <w:t>Smith, E.O. (2010), Documentation: A history</w:t>
      </w:r>
      <w:r w:rsidR="00F81221">
        <w:rPr>
          <w:kern w:val="0"/>
        </w:rPr>
        <w:t xml:space="preserve"> and </w:t>
      </w:r>
      <w:r>
        <w:rPr>
          <w:kern w:val="0"/>
        </w:rPr>
        <w:t>critique of attribution, commentary, glosses, marginalia, notes, bibliographies, works-cited lists,</w:t>
      </w:r>
      <w:r w:rsidR="00F81221">
        <w:rPr>
          <w:kern w:val="0"/>
        </w:rPr>
        <w:t xml:space="preserve"> and </w:t>
      </w:r>
      <w:r>
        <w:rPr>
          <w:kern w:val="0"/>
        </w:rPr>
        <w:t>citation indexing</w:t>
      </w:r>
      <w:r w:rsidR="00F81221">
        <w:rPr>
          <w:kern w:val="0"/>
        </w:rPr>
        <w:t xml:space="preserve"> and </w:t>
      </w:r>
      <w:r>
        <w:rPr>
          <w:kern w:val="0"/>
        </w:rPr>
        <w:t xml:space="preserve">analysis. </w:t>
      </w:r>
      <w:r>
        <w:rPr>
          <w:i/>
          <w:iCs/>
          <w:kern w:val="0"/>
        </w:rPr>
        <w:t>IEEE Transactions on Professional Communication</w:t>
      </w:r>
      <w:r>
        <w:rPr>
          <w:kern w:val="0"/>
        </w:rPr>
        <w:t xml:space="preserve">, </w:t>
      </w:r>
      <w:r>
        <w:rPr>
          <w:b/>
          <w:bCs/>
          <w:kern w:val="0"/>
        </w:rPr>
        <w:t>53</w:t>
      </w:r>
      <w:r>
        <w:rPr>
          <w:kern w:val="0"/>
        </w:rPr>
        <w:t xml:space="preserve"> (3), 317-319</w:t>
      </w:r>
      <w:r>
        <w:rPr>
          <w:rFonts w:hint="eastAsia"/>
          <w:kern w:val="0"/>
        </w:rPr>
        <w:t>.</w:t>
      </w:r>
    </w:p>
    <w:p w:rsidR="006210EB" w:rsidRDefault="006210EB" w:rsidP="006210EB">
      <w:pPr>
        <w:pStyle w:val="a0"/>
        <w:rPr>
          <w:kern w:val="0"/>
        </w:rPr>
      </w:pPr>
      <w:r>
        <w:rPr>
          <w:rFonts w:hint="eastAsia"/>
          <w:kern w:val="0"/>
        </w:rPr>
        <w:t xml:space="preserve">Full Text: </w:t>
      </w:r>
      <w:hyperlink r:id="rId833" w:history="1">
        <w:r w:rsidRPr="002046D1">
          <w:rPr>
            <w:rStyle w:val="a5"/>
            <w:kern w:val="0"/>
          </w:rPr>
          <w:t>2010\IEE Tra Pro Com53, 317.pdf</w:t>
        </w:r>
      </w:hyperlink>
    </w:p>
    <w:p w:rsidR="006210EB" w:rsidRDefault="006210EB" w:rsidP="006210EB">
      <w:pPr>
        <w:pStyle w:val="a0"/>
        <w:rPr>
          <w:kern w:val="0"/>
        </w:rPr>
      </w:pPr>
      <w:r>
        <w:rPr>
          <w:kern w:val="0"/>
        </w:rPr>
        <w:t>Keywords: Attribution, Bibliographies, Citation, Citations, Commentary, Documentation, Endnotes, Glosses, History, Marginalia</w:t>
      </w:r>
    </w:p>
    <w:p w:rsidR="00B95188" w:rsidRPr="00A428C3" w:rsidRDefault="00B95188" w:rsidP="00B95188">
      <w:pPr>
        <w:pStyle w:val="1"/>
      </w:pPr>
      <w:r w:rsidRPr="00A428C3">
        <w:br w:type="page"/>
      </w:r>
      <w:bookmarkStart w:id="782" w:name="_Toc487190703"/>
      <w:bookmarkStart w:id="783" w:name="_Toc487882208"/>
      <w:bookmarkStart w:id="784" w:name="_Toc490688025"/>
      <w:bookmarkStart w:id="785" w:name="_Toc492812135"/>
      <w:bookmarkStart w:id="786" w:name="_Toc186647816"/>
      <w:bookmarkStart w:id="787" w:name="_Toc455569465"/>
      <w:bookmarkStart w:id="788" w:name="_Toc317161101"/>
      <w:r w:rsidRPr="00A428C3">
        <w:lastRenderedPageBreak/>
        <w:t xml:space="preserve">Title: </w:t>
      </w:r>
      <w:bookmarkEnd w:id="782"/>
      <w:bookmarkEnd w:id="783"/>
      <w:bookmarkEnd w:id="784"/>
      <w:r w:rsidRPr="00A428C3">
        <w:t>IEEE Transactions on Power Delivery</w:t>
      </w:r>
      <w:bookmarkEnd w:id="785"/>
      <w:bookmarkEnd w:id="786"/>
      <w:bookmarkEnd w:id="788"/>
    </w:p>
    <w:bookmarkEnd w:id="787"/>
    <w:p w:rsidR="00B95188" w:rsidRPr="00A428C3" w:rsidRDefault="00B95188" w:rsidP="00B72EF9">
      <w:pPr>
        <w:pStyle w:val="12"/>
      </w:pPr>
      <w:r w:rsidRPr="00A428C3">
        <w:t>Title: IEEE Transactions on Power Delivery: A Publication of the Power Engineering Society</w:t>
      </w:r>
    </w:p>
    <w:p w:rsidR="00B95188" w:rsidRPr="00A428C3" w:rsidRDefault="00B95188" w:rsidP="00B72EF9">
      <w:pPr>
        <w:pStyle w:val="12"/>
      </w:pPr>
      <w:r w:rsidRPr="00A428C3">
        <w:t>Full Journal Title: IEEE Transactions on Power Delivery</w:t>
      </w:r>
    </w:p>
    <w:p w:rsidR="00B95188" w:rsidRPr="00A428C3" w:rsidRDefault="00B95188" w:rsidP="00B72EF9">
      <w:pPr>
        <w:pStyle w:val="12"/>
      </w:pPr>
      <w:r w:rsidRPr="00A428C3">
        <w:t>ISO Abbreviated Title: IEEE Trans. Power Deliv.</w:t>
      </w:r>
    </w:p>
    <w:p w:rsidR="00B95188" w:rsidRPr="00A428C3" w:rsidRDefault="00B95188" w:rsidP="00B72EF9">
      <w:pPr>
        <w:pStyle w:val="12"/>
      </w:pPr>
      <w:r w:rsidRPr="00A428C3">
        <w:t>JCR Abbreviated Title: IEEE T Power Deliver</w:t>
      </w:r>
    </w:p>
    <w:p w:rsidR="00B95188" w:rsidRPr="00A428C3" w:rsidRDefault="00B95188" w:rsidP="00B72EF9">
      <w:pPr>
        <w:pStyle w:val="12"/>
      </w:pPr>
      <w:r w:rsidRPr="00A428C3">
        <w:t>ISSN: 0885-8977</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IEEE-Inst Electrical Electronics Engineers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345 E 47th St</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10017-2394</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Engineering, Electrical &amp; Electronic:</w:t>
      </w:r>
      <w:r w:rsidRPr="00A428C3">
        <w:rPr>
          <w:color w:val="008000"/>
        </w:rPr>
        <w:t xml:space="preserve"> Impact Factor</w:t>
      </w:r>
    </w:p>
    <w:p w:rsidR="00B95188" w:rsidRPr="00A428C3" w:rsidRDefault="00B95188" w:rsidP="00B95188">
      <w:pPr>
        <w:pStyle w:val="a0"/>
      </w:pPr>
      <w:r w:rsidRPr="00A428C3">
        <w:t>Chen, J.Y.</w:t>
      </w:r>
      <w:r w:rsidR="00F81221">
        <w:t xml:space="preserve"> and </w:t>
      </w:r>
      <w:r w:rsidRPr="00A428C3">
        <w:t xml:space="preserve">Chang, R.J. (1996), Field experience with overhead distribution equipment under severe contamination. </w:t>
      </w:r>
      <w:r w:rsidRPr="00A428C3">
        <w:rPr>
          <w:i/>
        </w:rPr>
        <w:t>IEEE Transactions on Power Delivery</w:t>
      </w:r>
      <w:r w:rsidRPr="00A428C3">
        <w:t xml:space="preserve">, </w:t>
      </w:r>
      <w:r w:rsidRPr="00A428C3">
        <w:rPr>
          <w:b/>
        </w:rPr>
        <w:t>11</w:t>
      </w:r>
      <w:r w:rsidRPr="00A428C3">
        <w:t>, 1640-1645.</w:t>
      </w:r>
    </w:p>
    <w:p w:rsidR="00B95188" w:rsidRPr="00A428C3" w:rsidRDefault="00B95188" w:rsidP="00B95188">
      <w:pPr>
        <w:pStyle w:val="a0"/>
      </w:pPr>
      <w:r w:rsidRPr="00A428C3">
        <w:t>Abstract: A unique type of solid contamination on overhead distribution equipment was found in some regions of the Taiwan Power Company. The contamination was caused by the direct deposit of coastal sand dust during the winter season, An account of the field condition is given</w:t>
      </w:r>
      <w:r w:rsidR="00F81221">
        <w:t xml:space="preserve"> and </w:t>
      </w:r>
      <w:r w:rsidRPr="00A428C3">
        <w:t>the contaminants are characterized to provide better understanding of the pollution phenomenon. The sand contains high level of clay</w:t>
      </w:r>
      <w:r w:rsidR="00F81221">
        <w:t xml:space="preserve"> and </w:t>
      </w:r>
      <w:r w:rsidRPr="00A428C3">
        <w:t>salt that make it adhere to the overhead equipment</w:t>
      </w:r>
      <w:r w:rsidR="00F81221">
        <w:t xml:space="preserve"> and </w:t>
      </w:r>
      <w:r w:rsidRPr="00A428C3">
        <w:t>renders it highly conductive under moist conditions. High salt content not only caused accelerated metal corrosion but also high leakage current that led to pole fires. The burning of crossarms, due to high leakage current, is a failure mode that has not been adequately addressed in the literature. Most prior papers on pollution focused on contamination flashover. The leakage current measurements were carried out for overhead equipment using an artificial contamination test to quantify the effect of these unique phenomenon, Some effective counter measures are described.</w:t>
      </w:r>
    </w:p>
    <w:p w:rsidR="00B95188" w:rsidRPr="00A428C3" w:rsidRDefault="00B95188" w:rsidP="00B95188">
      <w:pPr>
        <w:pStyle w:val="1"/>
      </w:pPr>
      <w:r w:rsidRPr="00A428C3">
        <w:br w:type="page"/>
      </w:r>
      <w:bookmarkStart w:id="789" w:name="_Toc455569466"/>
      <w:bookmarkStart w:id="790" w:name="_Toc487190704"/>
      <w:bookmarkStart w:id="791" w:name="_Toc487882209"/>
      <w:bookmarkStart w:id="792" w:name="_Toc490688026"/>
      <w:bookmarkStart w:id="793" w:name="_Toc492812136"/>
      <w:bookmarkStart w:id="794" w:name="_Toc186647817"/>
      <w:bookmarkStart w:id="795" w:name="_Toc317161102"/>
      <w:r w:rsidRPr="00A428C3">
        <w:lastRenderedPageBreak/>
        <w:t>Title: (IE (I) Journal-EN)</w:t>
      </w:r>
      <w:bookmarkEnd w:id="789"/>
      <w:bookmarkEnd w:id="790"/>
      <w:bookmarkEnd w:id="791"/>
      <w:bookmarkEnd w:id="792"/>
      <w:bookmarkEnd w:id="793"/>
      <w:bookmarkEnd w:id="794"/>
      <w:bookmarkEnd w:id="795"/>
    </w:p>
    <w:p w:rsidR="00B95188" w:rsidRPr="00A428C3" w:rsidRDefault="00B95188" w:rsidP="00B95188">
      <w:pPr>
        <w:pStyle w:val="a0"/>
      </w:pPr>
      <w:r w:rsidRPr="00A428C3">
        <w:t>Deo, N.</w:t>
      </w:r>
      <w:r w:rsidR="00F81221">
        <w:t xml:space="preserve"> and </w:t>
      </w:r>
      <w:r w:rsidRPr="00A428C3">
        <w:t xml:space="preserve">Ali, M. (1996), Dye removal from aqueous solutions by adsorption on a low cost material. </w:t>
      </w:r>
      <w:r w:rsidRPr="00A428C3">
        <w:rPr>
          <w:i/>
        </w:rPr>
        <w:t>IE (I) Journal-EN</w:t>
      </w:r>
      <w:r w:rsidRPr="00A428C3">
        <w:t xml:space="preserve">, </w:t>
      </w:r>
      <w:r w:rsidRPr="00A428C3">
        <w:rPr>
          <w:b/>
        </w:rPr>
        <w:t>76</w:t>
      </w:r>
      <w:r w:rsidRPr="00A428C3">
        <w:t>, 48-53.</w:t>
      </w:r>
    </w:p>
    <w:p w:rsidR="00B95188" w:rsidRPr="00A428C3" w:rsidRDefault="00B95188" w:rsidP="00B95188">
      <w:pPr>
        <w:pStyle w:val="1"/>
      </w:pPr>
      <w:r w:rsidRPr="00A428C3">
        <w:br w:type="page"/>
      </w:r>
      <w:bookmarkStart w:id="796" w:name="_Toc186647818"/>
      <w:bookmarkStart w:id="797" w:name="_Toc317161103"/>
      <w:r w:rsidRPr="00A428C3">
        <w:lastRenderedPageBreak/>
        <w:t>Title: IFLA Council</w:t>
      </w:r>
      <w:r w:rsidR="00F81221">
        <w:t xml:space="preserve"> and </w:t>
      </w:r>
      <w:r w:rsidRPr="00A428C3">
        <w:t>General Conference</w:t>
      </w:r>
      <w:bookmarkEnd w:id="796"/>
      <w:bookmarkEnd w:id="797"/>
    </w:p>
    <w:p w:rsidR="00B95188" w:rsidRPr="00A428C3" w:rsidRDefault="00B95188" w:rsidP="00B72EF9">
      <w:pPr>
        <w:pStyle w:val="12"/>
      </w:pPr>
      <w:r w:rsidRPr="00A428C3">
        <w:t xml:space="preserve">Full Journal Title: </w:t>
      </w:r>
      <w:hyperlink r:id="rId834" w:history="1">
        <w:r w:rsidRPr="00A428C3">
          <w:rPr>
            <w:rStyle w:val="a5"/>
          </w:rPr>
          <w:t>IFLA Council</w:t>
        </w:r>
        <w:r w:rsidR="00F81221">
          <w:rPr>
            <w:rStyle w:val="a5"/>
          </w:rPr>
          <w:t xml:space="preserve"> and </w:t>
        </w:r>
        <w:r w:rsidRPr="00A428C3">
          <w:rPr>
            <w:rStyle w:val="a5"/>
          </w:rPr>
          <w:t>General Conference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von Ungern-Sternberg, S. (1995), Applications in teaching bibliometrics. </w:t>
      </w:r>
      <w:r w:rsidRPr="00A428C3">
        <w:rPr>
          <w:i/>
          <w:iCs/>
        </w:rPr>
        <w:t>61st IFLA General Conference - Conference Proceedings</w:t>
      </w:r>
      <w:r w:rsidRPr="00A428C3">
        <w:t xml:space="preserve">, </w:t>
      </w:r>
      <w:smartTag w:uri="urn:schemas-microsoft-com:office:smarttags" w:element="place">
        <w:smartTag w:uri="urn:schemas-microsoft-com:office:smarttags" w:element="City">
          <w:r w:rsidRPr="00A428C3">
            <w:t>Istanbul</w:t>
          </w:r>
        </w:smartTag>
        <w:r w:rsidRPr="00A428C3">
          <w:t xml:space="preserve">, </w:t>
        </w:r>
        <w:smartTag w:uri="urn:schemas-microsoft-com:office:smarttags" w:element="country-region">
          <w:r w:rsidRPr="00A428C3">
            <w:t>Turkey</w:t>
          </w:r>
        </w:smartTag>
      </w:smartTag>
      <w:r w:rsidRPr="00A428C3">
        <w:t>, 20-25 August.</w:t>
      </w:r>
    </w:p>
    <w:p w:rsidR="00B95188" w:rsidRPr="00A428C3" w:rsidRDefault="00B95188" w:rsidP="00B95188">
      <w:pPr>
        <w:pStyle w:val="a0"/>
      </w:pPr>
      <w:r w:rsidRPr="00A428C3">
        <w:t xml:space="preserve">Full Text: </w:t>
      </w:r>
      <w:hyperlink r:id="rId835" w:history="1">
        <w:r w:rsidRPr="00A428C3">
          <w:rPr>
            <w:rStyle w:val="a5"/>
          </w:rPr>
          <w:t>I\IFLA Gen Con-von Ungern-Sternberg.pdf</w:t>
        </w:r>
      </w:hyperlink>
    </w:p>
    <w:p w:rsidR="00B95188" w:rsidRPr="00A428C3" w:rsidRDefault="00B95188" w:rsidP="00B95188">
      <w:pPr>
        <w:pStyle w:val="a0"/>
      </w:pPr>
      <w:r w:rsidRPr="00A428C3">
        <w:t>Abstract: In recent discussions of library</w:t>
      </w:r>
      <w:r w:rsidR="00F81221">
        <w:t xml:space="preserve"> and </w:t>
      </w:r>
      <w:r w:rsidRPr="00A428C3">
        <w:t>information science (LIS) educators, reducing heterophily, the lack of similarity between two groups or individuals, among LIS researchers</w:t>
      </w:r>
      <w:r w:rsidR="00F81221">
        <w:t xml:space="preserve"> and </w:t>
      </w:r>
      <w:r w:rsidRPr="00A428C3">
        <w:t>practitioners has b een emphasized. Two researchers with different backgrounds, one in bibliometrics</w:t>
      </w:r>
      <w:r w:rsidR="00F81221">
        <w:t xml:space="preserve"> and </w:t>
      </w:r>
      <w:r w:rsidRPr="00A428C3">
        <w:t>the other in case study, have observed</w:t>
      </w:r>
      <w:r w:rsidR="00F81221">
        <w:t xml:space="preserve"> and </w:t>
      </w:r>
      <w:r w:rsidRPr="00A428C3">
        <w:t>discussed applications of bibliometrics</w:t>
      </w:r>
      <w:r w:rsidR="00F81221">
        <w:t xml:space="preserve"> and </w:t>
      </w:r>
      <w:r w:rsidRPr="00A428C3">
        <w:t>case study as used in teach ing research methods. The main thrust is in providing tools for teaching these research methods so that the gap between research</w:t>
      </w:r>
      <w:r w:rsidR="00F81221">
        <w:t xml:space="preserve"> and </w:t>
      </w:r>
      <w:r w:rsidRPr="00A428C3">
        <w:t>practical application could be narrowed. Dr. Leena Siitonen discusses in her paper applications in teaching case study research methods. Bibliometric methods are seldom used by librarians in practical work. Still these methods grow more important when planning information provision in research libraries. New subject fields develop</w:t>
      </w:r>
      <w:r w:rsidR="00F81221">
        <w:t xml:space="preserve"> and </w:t>
      </w:r>
      <w:r w:rsidRPr="00A428C3">
        <w:t>the number of interdisciplinary publications have during the last decades grown exponentially. It is, though, difficult to organise information in new fields, when the classification systems, used f or instance by journal services, have a discipline based structure. The need to organize this information</w:t>
      </w:r>
      <w:r w:rsidR="00F81221">
        <w:t xml:space="preserve"> and </w:t>
      </w:r>
      <w:r w:rsidRPr="00A428C3">
        <w:t>help the user to identify relevant documents grows more important,</w:t>
      </w:r>
      <w:r w:rsidR="00F81221">
        <w:t xml:space="preserve"> and </w:t>
      </w:r>
      <w:r w:rsidRPr="00A428C3">
        <w:t>at the same time t he huge amount of available documents give great possibilities to apply bibliometrics easily</w:t>
      </w:r>
      <w:r w:rsidR="00F81221">
        <w:t xml:space="preserve"> and </w:t>
      </w:r>
      <w:r w:rsidRPr="00A428C3">
        <w:t>in the frame of practical work. Bibliometrics provide a tool for getting the core for developing a loc al collection in a new field. Teaching bibliometric methods could be developed by 1. seminars, where the students learn the methods</w:t>
      </w:r>
      <w:r w:rsidR="00F81221">
        <w:t xml:space="preserve"> and </w:t>
      </w:r>
      <w:r w:rsidRPr="00A428C3">
        <w:t>also learn to interprete their results by comparing with other studies,</w:t>
      </w:r>
      <w:r w:rsidR="00F81221">
        <w:t xml:space="preserve"> and </w:t>
      </w:r>
      <w:r w:rsidRPr="00A428C3">
        <w:t>2. by use of online systems which give good bases for different bibliometric methods.</w:t>
      </w:r>
    </w:p>
    <w:p w:rsidR="00B95188" w:rsidRPr="00A428C3" w:rsidRDefault="00B95188" w:rsidP="00B95188">
      <w:pPr>
        <w:pStyle w:val="a0"/>
      </w:pPr>
      <w:r w:rsidRPr="00A428C3">
        <w:lastRenderedPageBreak/>
        <w:t>Keywords: Bibliometrics, Information Science, Library Science, Research Methods, Social Science Research</w:t>
      </w:r>
    </w:p>
    <w:p w:rsidR="00B95188" w:rsidRPr="00A428C3" w:rsidRDefault="00B95188" w:rsidP="00B95188">
      <w:pPr>
        <w:pStyle w:val="a0"/>
      </w:pPr>
      <w:r w:rsidRPr="00A428C3">
        <w:t>Ríos, D.R. (2000), The bibliometrics: Penetration level in the university teaching of library science</w:t>
      </w:r>
      <w:r w:rsidR="00F81221">
        <w:t xml:space="preserve"> and </w:t>
      </w:r>
      <w:r w:rsidRPr="00A428C3">
        <w:t xml:space="preserve">its application in the librarian field in the countries of Mercosur. </w:t>
      </w:r>
      <w:r w:rsidRPr="00A428C3">
        <w:rPr>
          <w:i/>
          <w:iCs/>
        </w:rPr>
        <w:t>IFLA Council</w:t>
      </w:r>
      <w:r w:rsidR="00F81221">
        <w:rPr>
          <w:i/>
          <w:iCs/>
        </w:rPr>
        <w:t xml:space="preserve"> and </w:t>
      </w:r>
      <w:r w:rsidRPr="00A428C3">
        <w:rPr>
          <w:i/>
          <w:iCs/>
        </w:rPr>
        <w:t>General Conference</w:t>
      </w:r>
      <w:r w:rsidRPr="00A428C3">
        <w:t>.</w:t>
      </w:r>
    </w:p>
    <w:p w:rsidR="00B95188" w:rsidRPr="00A428C3" w:rsidRDefault="00B95188" w:rsidP="00B95188">
      <w:pPr>
        <w:pStyle w:val="a0"/>
      </w:pPr>
      <w:r w:rsidRPr="00A428C3">
        <w:t xml:space="preserve">Full Text: </w:t>
      </w:r>
      <w:hyperlink r:id="rId836" w:history="1">
        <w:r w:rsidRPr="00A428C3">
          <w:rPr>
            <w:rStyle w:val="a5"/>
          </w:rPr>
          <w:t>I\IFLA Gen Con-Rios.pdf</w:t>
        </w:r>
      </w:hyperlink>
    </w:p>
    <w:p w:rsidR="00B95188" w:rsidRPr="00A428C3" w:rsidRDefault="00B95188" w:rsidP="00B95188">
      <w:pPr>
        <w:pStyle w:val="a0"/>
      </w:pPr>
      <w:r w:rsidRPr="00A428C3">
        <w:t>Abstract: The incipient presence of the bibliometics in the university teaching field in the careers of library science of the Mercosur (constituent countries: Argentine, Brazil, Paraguay</w:t>
      </w:r>
      <w:r w:rsidR="00F81221">
        <w:t xml:space="preserve"> and </w:t>
      </w:r>
      <w:r w:rsidRPr="00A428C3">
        <w:t>Uruguay- invited countries Bolivia</w:t>
      </w:r>
      <w:r w:rsidR="00F81221">
        <w:t xml:space="preserve"> and </w:t>
      </w:r>
      <w:r w:rsidRPr="00A428C3">
        <w:t>Chile) is here mentioned as well as the almost null participation as specific subject in the careers above mentioned. It is important to denote that the circulation of specific bibliography of local authors mentioned in the catalogues of universities</w:t>
      </w:r>
      <w:r w:rsidR="00F81221">
        <w:t xml:space="preserve"> and </w:t>
      </w:r>
      <w:r w:rsidRPr="00A428C3">
        <w:t>libraries is relatively new</w:t>
      </w:r>
      <w:r w:rsidR="00F81221">
        <w:t xml:space="preserve"> and </w:t>
      </w:r>
      <w:r w:rsidRPr="00A428C3">
        <w:t>with a reduced number of authors. Taking into account the available documentation it is shown that the scientific research that applies the methodology</w:t>
      </w:r>
      <w:r w:rsidR="00F81221">
        <w:t xml:space="preserve"> and </w:t>
      </w:r>
      <w:r w:rsidRPr="00A428C3">
        <w:t>techniques of the bibliometrics is found in the field of biomedical libraries</w:t>
      </w:r>
      <w:r w:rsidR="00F81221">
        <w:t xml:space="preserve"> and </w:t>
      </w:r>
      <w:r w:rsidRPr="00A428C3">
        <w:t>it is scarce in the humanity libraries. In our country, if the tendency of these last years continues, as the use of computers</w:t>
      </w:r>
      <w:r w:rsidR="00F81221">
        <w:t xml:space="preserve"> and </w:t>
      </w:r>
      <w:r w:rsidRPr="00A428C3">
        <w:t>of processing word</w:t>
      </w:r>
      <w:r w:rsidR="00F81221">
        <w:t xml:space="preserve"> and </w:t>
      </w:r>
      <w:r w:rsidRPr="00A428C3">
        <w:t>calculation programs, the constant training</w:t>
      </w:r>
      <w:r w:rsidR="00F81221">
        <w:t xml:space="preserve"> and </w:t>
      </w:r>
      <w:r w:rsidRPr="00A428C3">
        <w:t>the network among libraries, the quantitative treatment of the information</w:t>
      </w:r>
      <w:r w:rsidR="00F81221">
        <w:t xml:space="preserve"> and </w:t>
      </w:r>
      <w:r w:rsidRPr="00A428C3">
        <w:t>documentation will be easier</w:t>
      </w:r>
      <w:r w:rsidR="00F81221">
        <w:t xml:space="preserve"> and </w:t>
      </w:r>
      <w:r w:rsidRPr="00A428C3">
        <w:t>the bibliometrics will be a basic instrument - but not the only one - to improve the efficiency in taking decisions for the acquisition of collections, identifications of users, analysis of human resources</w:t>
      </w:r>
      <w:r w:rsidR="00F81221">
        <w:t xml:space="preserve"> and </w:t>
      </w:r>
      <w:r w:rsidRPr="00A428C3">
        <w:t>valorization of financial resources, among other aspects. It is here concluded that besides of the teaching</w:t>
      </w:r>
      <w:r w:rsidR="00F81221">
        <w:t xml:space="preserve"> and </w:t>
      </w:r>
      <w:r w:rsidRPr="00A428C3">
        <w:t>application of the bibliometrics, it is important to develop wide</w:t>
      </w:r>
      <w:r w:rsidR="00F81221">
        <w:t xml:space="preserve"> and </w:t>
      </w:r>
      <w:r w:rsidRPr="00A428C3">
        <w:t>comprehensive database, normalized</w:t>
      </w:r>
      <w:r w:rsidR="00F81221">
        <w:t xml:space="preserve"> and </w:t>
      </w:r>
      <w:r w:rsidRPr="00A428C3">
        <w:t>indexed in Spanish</w:t>
      </w:r>
      <w:r w:rsidR="00F81221">
        <w:t xml:space="preserve"> and </w:t>
      </w:r>
      <w:r w:rsidRPr="00A428C3">
        <w:t>of easy access through the new telematic technology. Otherwise, it is observed that the bibliometric investigations appear vitiated from their origin. Texto completo. http://www.ifla.org/IV/ifla66/papers/162-127e.htm</w:t>
      </w:r>
    </w:p>
    <w:p w:rsidR="00B95188" w:rsidRPr="00A428C3" w:rsidRDefault="00B95188" w:rsidP="00B95188">
      <w:pPr>
        <w:pStyle w:val="a0"/>
        <w:rPr>
          <w:lang w:val="fr-FR"/>
        </w:rPr>
      </w:pPr>
      <w:r w:rsidRPr="00A428C3">
        <w:rPr>
          <w:lang w:val="fr-FR"/>
        </w:rPr>
        <w:t>Keywords: Bibliometría, Latinoamérica, Documentación, Formación professional, Enseñanza</w:t>
      </w:r>
    </w:p>
    <w:p w:rsidR="006A799B" w:rsidRPr="001A3D2B" w:rsidRDefault="006A799B" w:rsidP="006A799B">
      <w:pPr>
        <w:pStyle w:val="1"/>
      </w:pPr>
      <w:r w:rsidRPr="001A3D2B">
        <w:br w:type="page"/>
      </w:r>
      <w:bookmarkStart w:id="798" w:name="_Toc317161104"/>
      <w:r w:rsidRPr="001A3D2B">
        <w:lastRenderedPageBreak/>
        <w:t xml:space="preserve">Title: </w:t>
      </w:r>
      <w:r w:rsidRPr="00B16587">
        <w:t>IFLA Journal</w:t>
      </w:r>
      <w:bookmarkEnd w:id="798"/>
    </w:p>
    <w:p w:rsidR="006A799B" w:rsidRPr="001A3D2B" w:rsidRDefault="006A799B" w:rsidP="00B72EF9">
      <w:pPr>
        <w:pStyle w:val="12"/>
      </w:pPr>
      <w:r w:rsidRPr="001A3D2B">
        <w:t xml:space="preserve">Full Journal Title: </w:t>
      </w:r>
      <w:hyperlink r:id="rId837" w:history="1">
        <w:r w:rsidRPr="00B16587">
          <w:rPr>
            <w:rStyle w:val="a5"/>
          </w:rPr>
          <w:t>IFLA Journal</w:t>
        </w:r>
      </w:hyperlink>
    </w:p>
    <w:p w:rsidR="006A799B" w:rsidRPr="001A3D2B" w:rsidRDefault="006A799B" w:rsidP="00B72EF9">
      <w:pPr>
        <w:pStyle w:val="12"/>
      </w:pPr>
      <w:r w:rsidRPr="001A3D2B">
        <w:t xml:space="preserve">ISO Abbreviated Title: </w:t>
      </w:r>
    </w:p>
    <w:p w:rsidR="006A799B" w:rsidRPr="001A3D2B" w:rsidRDefault="006A799B" w:rsidP="00B72EF9">
      <w:pPr>
        <w:pStyle w:val="12"/>
      </w:pPr>
      <w:r w:rsidRPr="001A3D2B">
        <w:t xml:space="preserve">JCR Abbreviated Title: </w:t>
      </w:r>
    </w:p>
    <w:p w:rsidR="006A799B" w:rsidRPr="001A3D2B" w:rsidRDefault="006A799B" w:rsidP="00B72EF9">
      <w:pPr>
        <w:pStyle w:val="12"/>
      </w:pPr>
      <w:r w:rsidRPr="001A3D2B">
        <w:t xml:space="preserve">ISSN: </w:t>
      </w:r>
    </w:p>
    <w:p w:rsidR="006A799B" w:rsidRPr="001A3D2B" w:rsidRDefault="006A799B" w:rsidP="00B72EF9">
      <w:pPr>
        <w:pStyle w:val="12"/>
      </w:pPr>
      <w:r w:rsidRPr="001A3D2B">
        <w:t xml:space="preserve">Issues/Year: </w:t>
      </w:r>
    </w:p>
    <w:p w:rsidR="006A799B" w:rsidRPr="001A3D2B" w:rsidRDefault="006A799B" w:rsidP="00B72EF9">
      <w:pPr>
        <w:pStyle w:val="12"/>
      </w:pPr>
      <w:r w:rsidRPr="001A3D2B">
        <w:t xml:space="preserve">Journal Country/Territory: </w:t>
      </w:r>
    </w:p>
    <w:p w:rsidR="006A799B" w:rsidRPr="001A3D2B" w:rsidRDefault="006A799B" w:rsidP="00B72EF9">
      <w:pPr>
        <w:pStyle w:val="12"/>
      </w:pPr>
      <w:r w:rsidRPr="001A3D2B">
        <w:t xml:space="preserve">Language: </w:t>
      </w:r>
    </w:p>
    <w:p w:rsidR="006A799B" w:rsidRPr="001A3D2B" w:rsidRDefault="006A799B" w:rsidP="00B72EF9">
      <w:pPr>
        <w:pStyle w:val="12"/>
      </w:pPr>
      <w:r w:rsidRPr="001A3D2B">
        <w:t xml:space="preserve">Publisher: </w:t>
      </w:r>
    </w:p>
    <w:p w:rsidR="006A799B" w:rsidRPr="001A3D2B" w:rsidRDefault="006A799B" w:rsidP="00B72EF9">
      <w:pPr>
        <w:pStyle w:val="12"/>
      </w:pPr>
      <w:r w:rsidRPr="001A3D2B">
        <w:t xml:space="preserve">Publisher Address: </w:t>
      </w:r>
    </w:p>
    <w:p w:rsidR="006A799B" w:rsidRPr="001A3D2B" w:rsidRDefault="006A799B" w:rsidP="00B72EF9">
      <w:pPr>
        <w:pStyle w:val="12"/>
      </w:pPr>
      <w:r w:rsidRPr="001A3D2B">
        <w:t>Subject Categories:</w:t>
      </w:r>
    </w:p>
    <w:p w:rsidR="006A799B" w:rsidRPr="001A3D2B" w:rsidRDefault="006A799B" w:rsidP="00B72EF9">
      <w:pPr>
        <w:pStyle w:val="12"/>
      </w:pPr>
      <w:r w:rsidRPr="001A3D2B">
        <w:t xml:space="preserve">: Impact Factor </w:t>
      </w:r>
    </w:p>
    <w:p w:rsidR="006A799B" w:rsidRDefault="006A799B" w:rsidP="006A799B">
      <w:pPr>
        <w:pStyle w:val="a0"/>
      </w:pPr>
      <w:r w:rsidRPr="001A3D2B">
        <w:t xml:space="preserve">? </w:t>
      </w:r>
      <w:r w:rsidRPr="00B16587">
        <w:t>Mukherjee</w:t>
      </w:r>
      <w:r w:rsidRPr="001A3D2B">
        <w:t xml:space="preserve">, </w:t>
      </w:r>
      <w:r>
        <w:rPr>
          <w:rFonts w:hint="eastAsia"/>
        </w:rPr>
        <w:t>B</w:t>
      </w:r>
      <w:r w:rsidRPr="001A3D2B">
        <w:t>. (</w:t>
      </w:r>
      <w:r>
        <w:rPr>
          <w:rFonts w:hint="eastAsia"/>
        </w:rPr>
        <w:t>2009</w:t>
      </w:r>
      <w:r w:rsidRPr="001A3D2B">
        <w:t xml:space="preserve">), </w:t>
      </w:r>
      <w:r w:rsidRPr="00B16587">
        <w:t>Journal of the American Society for Informati</w:t>
      </w:r>
      <w:r>
        <w:t>on Science</w:t>
      </w:r>
      <w:r w:rsidR="00F81221">
        <w:t xml:space="preserve"> and </w:t>
      </w:r>
      <w:r>
        <w:t>Technology (2000</w:t>
      </w:r>
      <w:r w:rsidRPr="00B16587">
        <w:t>-2007): A bibliometric</w:t>
      </w:r>
      <w:r>
        <w:rPr>
          <w:rFonts w:hint="eastAsia"/>
        </w:rPr>
        <w:t xml:space="preserve"> study</w:t>
      </w:r>
      <w:r w:rsidRPr="001A3D2B">
        <w:t xml:space="preserve">. </w:t>
      </w:r>
      <w:r w:rsidRPr="00B16587">
        <w:rPr>
          <w:i/>
        </w:rPr>
        <w:t>IFLA Journal</w:t>
      </w:r>
      <w:r w:rsidRPr="001A3D2B">
        <w:t xml:space="preserve">, </w:t>
      </w:r>
      <w:r>
        <w:rPr>
          <w:rFonts w:hint="eastAsia"/>
          <w:b/>
        </w:rPr>
        <w:t>35</w:t>
      </w:r>
      <w:r w:rsidRPr="001A3D2B">
        <w:t xml:space="preserve"> </w:t>
      </w:r>
      <w:r w:rsidRPr="00B16587">
        <w:t>(4)</w:t>
      </w:r>
      <w:r>
        <w:rPr>
          <w:rFonts w:hint="eastAsia"/>
        </w:rPr>
        <w:t>,</w:t>
      </w:r>
      <w:r w:rsidRPr="00B16587">
        <w:t xml:space="preserve"> 341</w:t>
      </w:r>
      <w:r>
        <w:rPr>
          <w:rFonts w:hint="eastAsia"/>
        </w:rPr>
        <w:t>-</w:t>
      </w:r>
      <w:r w:rsidRPr="00B16587">
        <w:t>358</w:t>
      </w:r>
      <w:r w:rsidRPr="001A3D2B">
        <w:t>.</w:t>
      </w:r>
    </w:p>
    <w:p w:rsidR="006A799B" w:rsidRDefault="006A799B" w:rsidP="006A799B">
      <w:pPr>
        <w:pStyle w:val="a0"/>
      </w:pPr>
      <w:r>
        <w:rPr>
          <w:rFonts w:hint="eastAsia"/>
        </w:rPr>
        <w:t xml:space="preserve">Full Text: </w:t>
      </w:r>
      <w:hyperlink r:id="rId838" w:history="1">
        <w:r w:rsidRPr="00B16587">
          <w:rPr>
            <w:rStyle w:val="a5"/>
          </w:rPr>
          <w:t>2009\IFLA J35, 341.pdf</w:t>
        </w:r>
      </w:hyperlink>
    </w:p>
    <w:p w:rsidR="006A799B" w:rsidRDefault="006A799B" w:rsidP="006A799B">
      <w:pPr>
        <w:pStyle w:val="a0"/>
      </w:pPr>
      <w:r>
        <w:t>Abstract</w:t>
      </w:r>
      <w:r>
        <w:rPr>
          <w:rFonts w:hint="eastAsia"/>
        </w:rPr>
        <w:t xml:space="preserve">: </w:t>
      </w:r>
      <w:r>
        <w:t>The Journal of the American Society for Information Science</w:t>
      </w:r>
      <w:r w:rsidR="00F81221">
        <w:t xml:space="preserve"> and </w:t>
      </w:r>
      <w:r>
        <w:t>Technology (JASIST) has been playing a vital role in the dissemination</w:t>
      </w:r>
      <w:r>
        <w:rPr>
          <w:rFonts w:hint="eastAsia"/>
        </w:rPr>
        <w:t xml:space="preserve"> </w:t>
      </w:r>
      <w:r>
        <w:t>of scholarly articles in library</w:t>
      </w:r>
      <w:r w:rsidR="00F81221">
        <w:t xml:space="preserve"> and </w:t>
      </w:r>
      <w:r>
        <w:t>information science since 1950. This</w:t>
      </w:r>
      <w:r>
        <w:rPr>
          <w:rFonts w:hint="eastAsia"/>
        </w:rPr>
        <w:t xml:space="preserve"> </w:t>
      </w:r>
      <w:r>
        <w:t>paper presents the results of a bibliometric study of articles published</w:t>
      </w:r>
      <w:r>
        <w:rPr>
          <w:rFonts w:hint="eastAsia"/>
        </w:rPr>
        <w:t xml:space="preserve"> </w:t>
      </w:r>
      <w:r>
        <w:t>in the JASIST from 2000 to 2007. It examines the distribution of papers</w:t>
      </w:r>
      <w:r>
        <w:rPr>
          <w:rFonts w:hint="eastAsia"/>
        </w:rPr>
        <w:t xml:space="preserve"> </w:t>
      </w:r>
      <w:r>
        <w:t>under various headings, including authorship pattern</w:t>
      </w:r>
      <w:r w:rsidR="00F81221">
        <w:t xml:space="preserve"> and </w:t>
      </w:r>
      <w:r>
        <w:t>nature of collaboration,</w:t>
      </w:r>
      <w:r>
        <w:rPr>
          <w:rFonts w:hint="eastAsia"/>
        </w:rPr>
        <w:t xml:space="preserve"> </w:t>
      </w:r>
      <w:r>
        <w:t>geographic distribution of articles, nature of cited</w:t>
      </w:r>
      <w:r w:rsidR="00F81221">
        <w:t xml:space="preserve"> and </w:t>
      </w:r>
      <w:r>
        <w:t>citing</w:t>
      </w:r>
      <w:r>
        <w:rPr>
          <w:rFonts w:hint="eastAsia"/>
        </w:rPr>
        <w:t xml:space="preserve"> </w:t>
      </w:r>
      <w:r>
        <w:t>references, prolifi c authors</w:t>
      </w:r>
      <w:r w:rsidR="00F81221">
        <w:t xml:space="preserve"> and </w:t>
      </w:r>
      <w:r>
        <w:t>highly cited authors. Data were collected</w:t>
      </w:r>
      <w:r>
        <w:rPr>
          <w:rFonts w:hint="eastAsia"/>
        </w:rPr>
        <w:t xml:space="preserve"> </w:t>
      </w:r>
      <w:r>
        <w:t>using the Web of Science</w:t>
      </w:r>
      <w:r w:rsidR="00F81221">
        <w:t xml:space="preserve"> and </w:t>
      </w:r>
      <w:r>
        <w:t>analyzed using Microsoft Excel. Results</w:t>
      </w:r>
      <w:r>
        <w:rPr>
          <w:rFonts w:hint="eastAsia"/>
        </w:rPr>
        <w:t xml:space="preserve"> </w:t>
      </w:r>
      <w:r>
        <w:t>indicate that during the sample period the rate of publication was uneven</w:t>
      </w:r>
      <w:r w:rsidR="00F81221">
        <w:rPr>
          <w:rFonts w:hint="eastAsia"/>
        </w:rPr>
        <w:t xml:space="preserve"> and </w:t>
      </w:r>
      <w:r>
        <w:t>the most prominent form of publication was articles. The trend of</w:t>
      </w:r>
      <w:r>
        <w:rPr>
          <w:rFonts w:hint="eastAsia"/>
        </w:rPr>
        <w:t xml:space="preserve"> </w:t>
      </w:r>
      <w:r>
        <w:t>authorship pattern of articles is towards collaboration</w:t>
      </w:r>
      <w:r w:rsidR="00F81221">
        <w:t xml:space="preserve"> and </w:t>
      </w:r>
      <w:r>
        <w:t>authors from</w:t>
      </w:r>
      <w:r>
        <w:rPr>
          <w:rFonts w:hint="eastAsia"/>
        </w:rPr>
        <w:t xml:space="preserve"> </w:t>
      </w:r>
      <w:r>
        <w:t>47 countries contributed articles. The country-wise distribution reveals</w:t>
      </w:r>
      <w:r>
        <w:rPr>
          <w:rFonts w:hint="eastAsia"/>
        </w:rPr>
        <w:t xml:space="preserve"> </w:t>
      </w:r>
      <w:r>
        <w:t>that the highest number of contributions was made by US authors followed</w:t>
      </w:r>
      <w:r>
        <w:rPr>
          <w:rFonts w:hint="eastAsia"/>
        </w:rPr>
        <w:t xml:space="preserve"> </w:t>
      </w:r>
      <w:r>
        <w:t>by the UK. The number of references cited per article increased</w:t>
      </w:r>
      <w:r>
        <w:rPr>
          <w:rFonts w:hint="eastAsia"/>
        </w:rPr>
        <w:t xml:space="preserve"> </w:t>
      </w:r>
      <w:r>
        <w:t>from 2000–2007 whereas articles received citations in decreasing numbers</w:t>
      </w:r>
      <w:r>
        <w:rPr>
          <w:rFonts w:hint="eastAsia"/>
        </w:rPr>
        <w:t xml:space="preserve"> </w:t>
      </w:r>
      <w:r>
        <w:t>during the same period. The results suggest that articles need to</w:t>
      </w:r>
      <w:r>
        <w:rPr>
          <w:rFonts w:hint="eastAsia"/>
        </w:rPr>
        <w:t xml:space="preserve"> </w:t>
      </w:r>
      <w:r>
        <w:t>have been published for more than 2 years before they receive adequate</w:t>
      </w:r>
      <w:r>
        <w:rPr>
          <w:rFonts w:hint="eastAsia"/>
        </w:rPr>
        <w:t xml:space="preserve"> </w:t>
      </w:r>
      <w:r>
        <w:t>numbers of citations.</w:t>
      </w:r>
    </w:p>
    <w:p w:rsidR="006A799B" w:rsidRPr="001A3D2B" w:rsidRDefault="006A799B" w:rsidP="006A799B">
      <w:pPr>
        <w:pStyle w:val="a0"/>
      </w:pPr>
      <w:r>
        <w:t>Keywords: Bibliometrics, Journal of the American Society for Information</w:t>
      </w:r>
      <w:r>
        <w:rPr>
          <w:rFonts w:hint="eastAsia"/>
        </w:rPr>
        <w:t xml:space="preserve"> </w:t>
      </w:r>
      <w:r>
        <w:t>Science</w:t>
      </w:r>
      <w:r w:rsidR="00F81221">
        <w:t xml:space="preserve"> and </w:t>
      </w:r>
      <w:r>
        <w:t>Technology, JASIST</w:t>
      </w:r>
    </w:p>
    <w:p w:rsidR="001925B7" w:rsidRPr="001A3D2B" w:rsidRDefault="001925B7" w:rsidP="001925B7">
      <w:pPr>
        <w:pStyle w:val="1"/>
      </w:pPr>
      <w:r w:rsidRPr="001A3D2B">
        <w:br w:type="page"/>
      </w:r>
      <w:bookmarkStart w:id="799" w:name="_Toc295482191"/>
      <w:bookmarkStart w:id="800" w:name="_Toc317161105"/>
      <w:r w:rsidRPr="001A3D2B">
        <w:lastRenderedPageBreak/>
        <w:t xml:space="preserve">Title: </w:t>
      </w:r>
      <w:bookmarkStart w:id="801" w:name="_Toc246165256"/>
      <w:bookmarkEnd w:id="799"/>
      <w:r w:rsidRPr="001925B7">
        <w:rPr>
          <w:iCs/>
        </w:rPr>
        <w:t>Iheringia Serie Zoologia</w:t>
      </w:r>
      <w:bookmarkEnd w:id="800"/>
    </w:p>
    <w:p w:rsidR="001925B7" w:rsidRPr="001A3D2B" w:rsidRDefault="001925B7" w:rsidP="001925B7">
      <w:pPr>
        <w:pStyle w:val="12"/>
      </w:pPr>
      <w:r w:rsidRPr="001A3D2B">
        <w:t xml:space="preserve">Full Journal Title: </w:t>
      </w:r>
      <w:bookmarkEnd w:id="801"/>
      <w:r w:rsidRPr="001925B7">
        <w:rPr>
          <w:iCs/>
        </w:rPr>
        <w:t>Iheringia Serie Zoologia</w:t>
      </w:r>
    </w:p>
    <w:p w:rsidR="001925B7" w:rsidRPr="001A3D2B" w:rsidRDefault="001925B7" w:rsidP="001925B7">
      <w:pPr>
        <w:pStyle w:val="12"/>
      </w:pPr>
      <w:r w:rsidRPr="001A3D2B">
        <w:t xml:space="preserve">ISO Abbreviated Title: </w:t>
      </w:r>
    </w:p>
    <w:p w:rsidR="001925B7" w:rsidRPr="001A3D2B" w:rsidRDefault="001925B7" w:rsidP="001925B7">
      <w:pPr>
        <w:pStyle w:val="12"/>
      </w:pPr>
      <w:r w:rsidRPr="001A3D2B">
        <w:t xml:space="preserve">JCR Abbreviated Title: </w:t>
      </w:r>
    </w:p>
    <w:p w:rsidR="001925B7" w:rsidRPr="001A3D2B" w:rsidRDefault="001925B7" w:rsidP="001925B7">
      <w:pPr>
        <w:pStyle w:val="12"/>
      </w:pPr>
      <w:r>
        <w:t xml:space="preserve">ISSN: </w:t>
      </w:r>
    </w:p>
    <w:p w:rsidR="001925B7" w:rsidRPr="001A3D2B" w:rsidRDefault="001925B7" w:rsidP="001925B7">
      <w:pPr>
        <w:pStyle w:val="12"/>
      </w:pPr>
      <w:r w:rsidRPr="001A3D2B">
        <w:t xml:space="preserve">Issues/Year: </w:t>
      </w:r>
    </w:p>
    <w:p w:rsidR="001925B7" w:rsidRPr="001A3D2B" w:rsidRDefault="001925B7" w:rsidP="001925B7">
      <w:pPr>
        <w:pStyle w:val="12"/>
      </w:pPr>
      <w:r w:rsidRPr="001A3D2B">
        <w:t xml:space="preserve">Journal Country/Territory: </w:t>
      </w:r>
    </w:p>
    <w:p w:rsidR="001925B7" w:rsidRPr="001A3D2B" w:rsidRDefault="001925B7" w:rsidP="001925B7">
      <w:pPr>
        <w:pStyle w:val="12"/>
      </w:pPr>
      <w:r w:rsidRPr="001A3D2B">
        <w:t xml:space="preserve">Language: </w:t>
      </w:r>
    </w:p>
    <w:p w:rsidR="001925B7" w:rsidRPr="001A3D2B" w:rsidRDefault="001925B7" w:rsidP="001925B7">
      <w:pPr>
        <w:pStyle w:val="12"/>
      </w:pPr>
      <w:r w:rsidRPr="001A3D2B">
        <w:t xml:space="preserve">Publisher: </w:t>
      </w:r>
    </w:p>
    <w:p w:rsidR="001925B7" w:rsidRPr="001A3D2B" w:rsidRDefault="001925B7" w:rsidP="001925B7">
      <w:pPr>
        <w:pStyle w:val="12"/>
      </w:pPr>
      <w:r w:rsidRPr="001A3D2B">
        <w:t xml:space="preserve">Publisher Address: </w:t>
      </w:r>
    </w:p>
    <w:p w:rsidR="001925B7" w:rsidRPr="001A3D2B" w:rsidRDefault="001925B7" w:rsidP="001925B7">
      <w:pPr>
        <w:pStyle w:val="12"/>
      </w:pPr>
      <w:r w:rsidRPr="001A3D2B">
        <w:t>Subject Categories:</w:t>
      </w:r>
    </w:p>
    <w:p w:rsidR="001925B7" w:rsidRPr="001A3D2B" w:rsidRDefault="001925B7" w:rsidP="001925B7">
      <w:pPr>
        <w:pStyle w:val="12"/>
      </w:pPr>
      <w:r w:rsidRPr="001A3D2B">
        <w:t>: Impact Factor</w:t>
      </w:r>
    </w:p>
    <w:p w:rsidR="001925B7" w:rsidRDefault="001925B7" w:rsidP="001925B7">
      <w:pPr>
        <w:pStyle w:val="a0"/>
        <w:rPr>
          <w:kern w:val="0"/>
        </w:rPr>
      </w:pPr>
      <w:r>
        <w:rPr>
          <w:rFonts w:hint="eastAsia"/>
          <w:kern w:val="0"/>
        </w:rPr>
        <w:t xml:space="preserve">? </w:t>
      </w:r>
      <w:r>
        <w:rPr>
          <w:kern w:val="0"/>
        </w:rPr>
        <w:t>Nabout, J.C., Bini, L.M.</w:t>
      </w:r>
      <w:r w:rsidR="00F81221">
        <w:rPr>
          <w:kern w:val="0"/>
        </w:rPr>
        <w:t xml:space="preserve"> and </w:t>
      </w:r>
      <w:r>
        <w:rPr>
          <w:kern w:val="0"/>
        </w:rPr>
        <w:t>Diniz, J.A.F. (2010), Global literature of fiddler crabs, genus UCA (Decapoda, Ocypodidae): Trends</w:t>
      </w:r>
      <w:r w:rsidR="00F81221">
        <w:rPr>
          <w:kern w:val="0"/>
        </w:rPr>
        <w:t xml:space="preserve"> and </w:t>
      </w:r>
      <w:r>
        <w:rPr>
          <w:kern w:val="0"/>
        </w:rPr>
        <w:t xml:space="preserve">future directions. </w:t>
      </w:r>
      <w:r w:rsidRPr="001925B7">
        <w:rPr>
          <w:i/>
          <w:iCs/>
          <w:kern w:val="0"/>
        </w:rPr>
        <w:t>Iheringia Serie Zoologia</w:t>
      </w:r>
      <w:r>
        <w:rPr>
          <w:kern w:val="0"/>
        </w:rPr>
        <w:t xml:space="preserve">, </w:t>
      </w:r>
      <w:r>
        <w:rPr>
          <w:b/>
          <w:bCs/>
          <w:kern w:val="0"/>
        </w:rPr>
        <w:t>100</w:t>
      </w:r>
      <w:r>
        <w:rPr>
          <w:kern w:val="0"/>
        </w:rPr>
        <w:t xml:space="preserve"> (4), 463-468.</w:t>
      </w:r>
    </w:p>
    <w:p w:rsidR="001925B7" w:rsidRDefault="001925B7" w:rsidP="001925B7">
      <w:pPr>
        <w:pStyle w:val="a0"/>
        <w:rPr>
          <w:kern w:val="0"/>
        </w:rPr>
      </w:pPr>
      <w:r>
        <w:rPr>
          <w:rFonts w:hint="eastAsia"/>
          <w:kern w:val="0"/>
        </w:rPr>
        <w:t>Full Text: 2010\</w:t>
      </w:r>
      <w:r>
        <w:rPr>
          <w:iCs/>
          <w:kern w:val="0"/>
        </w:rPr>
        <w:t>Ihe Ser Zoo</w:t>
      </w:r>
      <w:r w:rsidRPr="001925B7">
        <w:rPr>
          <w:bCs/>
          <w:kern w:val="0"/>
        </w:rPr>
        <w:t>100</w:t>
      </w:r>
      <w:r>
        <w:rPr>
          <w:kern w:val="0"/>
        </w:rPr>
        <w:t>, 463</w:t>
      </w:r>
      <w:r>
        <w:rPr>
          <w:rFonts w:hint="eastAsia"/>
          <w:kern w:val="0"/>
        </w:rPr>
        <w:t>.pdf</w:t>
      </w:r>
    </w:p>
    <w:p w:rsidR="001925B7" w:rsidRDefault="001925B7" w:rsidP="001925B7">
      <w:pPr>
        <w:pStyle w:val="a0"/>
        <w:rPr>
          <w:kern w:val="0"/>
        </w:rPr>
      </w:pPr>
      <w:r>
        <w:rPr>
          <w:kern w:val="0"/>
        </w:rPr>
        <w:t>Abstract: Crabs of the genus Uca Leach, 1814 are characterized by having strong sexual dimorphism</w:t>
      </w:r>
      <w:r w:rsidR="00F81221">
        <w:rPr>
          <w:kern w:val="0"/>
        </w:rPr>
        <w:t xml:space="preserve"> and </w:t>
      </w:r>
      <w:r>
        <w:rPr>
          <w:kern w:val="0"/>
        </w:rPr>
        <w:t>a global distribution. Currently, 97 species have been described</w:t>
      </w:r>
      <w:r w:rsidR="00F81221">
        <w:rPr>
          <w:kern w:val="0"/>
        </w:rPr>
        <w:t xml:space="preserve"> and </w:t>
      </w:r>
      <w:r>
        <w:rPr>
          <w:kern w:val="0"/>
        </w:rPr>
        <w:t>analyzed under several aspects, including population ecology, physiology</w:t>
      </w:r>
      <w:r w:rsidR="00F81221">
        <w:rPr>
          <w:kern w:val="0"/>
        </w:rPr>
        <w:t xml:space="preserve"> and </w:t>
      </w:r>
      <w:r>
        <w:rPr>
          <w:kern w:val="0"/>
        </w:rPr>
        <w:t xml:space="preserve">ethology. However, there is no general summary of the information from the various literatures. The aim of this study is to perform a scientometric analysis of fiddler crab studies. For this we searched papers available in the Thomson ISI database that contained the words </w:t>
      </w:r>
      <w:r w:rsidR="000352E7">
        <w:rPr>
          <w:kern w:val="0"/>
        </w:rPr>
        <w:t>“</w:t>
      </w:r>
      <w:r>
        <w:rPr>
          <w:kern w:val="0"/>
        </w:rPr>
        <w:t>Uca</w:t>
      </w:r>
      <w:r w:rsidR="000352E7">
        <w:rPr>
          <w:kern w:val="0"/>
        </w:rPr>
        <w:t>”</w:t>
      </w:r>
      <w:r>
        <w:rPr>
          <w:kern w:val="0"/>
        </w:rPr>
        <w:t xml:space="preserve"> OR </w:t>
      </w:r>
      <w:r w:rsidR="000352E7">
        <w:rPr>
          <w:kern w:val="0"/>
        </w:rPr>
        <w:t>“</w:t>
      </w:r>
      <w:r>
        <w:rPr>
          <w:kern w:val="0"/>
        </w:rPr>
        <w:t>fiddler* crab*</w:t>
      </w:r>
      <w:r w:rsidR="000352E7">
        <w:rPr>
          <w:kern w:val="0"/>
        </w:rPr>
        <w:t>”</w:t>
      </w:r>
      <w:r>
        <w:rPr>
          <w:kern w:val="0"/>
        </w:rPr>
        <w:t xml:space="preserve"> between the years 1991</w:t>
      </w:r>
      <w:r w:rsidR="00F81221">
        <w:rPr>
          <w:kern w:val="0"/>
        </w:rPr>
        <w:t xml:space="preserve"> and </w:t>
      </w:r>
      <w:r>
        <w:rPr>
          <w:kern w:val="0"/>
        </w:rPr>
        <w:t>2007. For each paper, we researched</w:t>
      </w:r>
      <w:r w:rsidR="00F81221">
        <w:rPr>
          <w:kern w:val="0"/>
        </w:rPr>
        <w:t xml:space="preserve"> and </w:t>
      </w:r>
      <w:r>
        <w:rPr>
          <w:kern w:val="0"/>
        </w:rPr>
        <w:t>recorded the following characteristics: publication year; journal of publication; the first author</w:t>
      </w:r>
      <w:r w:rsidR="000352E7">
        <w:rPr>
          <w:kern w:val="0"/>
        </w:rPr>
        <w:t>’</w:t>
      </w:r>
      <w:r>
        <w:rPr>
          <w:kern w:val="0"/>
        </w:rPr>
        <w:t>s nationality; the country where the study was conducted; study type; species studied;</w:t>
      </w:r>
      <w:r w:rsidR="00F81221">
        <w:rPr>
          <w:kern w:val="0"/>
        </w:rPr>
        <w:t xml:space="preserve"> and </w:t>
      </w:r>
      <w:r>
        <w:rPr>
          <w:kern w:val="0"/>
        </w:rPr>
        <w:t>the work area. Our results indicated that there was no increase in the number of articles through the years considered. The Journal of Experimental Marine Biology</w:t>
      </w:r>
      <w:r w:rsidR="00F81221">
        <w:rPr>
          <w:kern w:val="0"/>
        </w:rPr>
        <w:t xml:space="preserve"> and </w:t>
      </w:r>
      <w:r>
        <w:rPr>
          <w:kern w:val="0"/>
        </w:rPr>
        <w:t>Ecology published most of the articles on Uca, indicating the importance of this group as a model for testing ecological hypotheses using experimental approaches. Our results also showed that United States had the highest number of authors</w:t>
      </w:r>
      <w:r w:rsidR="00F81221">
        <w:rPr>
          <w:kern w:val="0"/>
        </w:rPr>
        <w:t xml:space="preserve"> and </w:t>
      </w:r>
      <w:r>
        <w:rPr>
          <w:kern w:val="0"/>
        </w:rPr>
        <w:t>published studies on Uca, following the overall trend in dominance on scientific research. Furthermore, using models with three variables (per capita income, number of species of Uca</w:t>
      </w:r>
      <w:r w:rsidR="00F81221">
        <w:rPr>
          <w:kern w:val="0"/>
        </w:rPr>
        <w:t xml:space="preserve"> and </w:t>
      </w:r>
      <w:r>
        <w:rPr>
          <w:kern w:val="0"/>
        </w:rPr>
        <w:t>extent of coastal countries) we observed that, according to the Akaike Information Criterion, the per capita income was the most important correlate for the number of articles per country (both the author</w:t>
      </w:r>
      <w:r w:rsidR="000352E7">
        <w:rPr>
          <w:kern w:val="0"/>
        </w:rPr>
        <w:t>’</w:t>
      </w:r>
      <w:r>
        <w:rPr>
          <w:kern w:val="0"/>
        </w:rPr>
        <w:t>s country</w:t>
      </w:r>
      <w:r w:rsidR="00F81221">
        <w:rPr>
          <w:kern w:val="0"/>
        </w:rPr>
        <w:t xml:space="preserve"> and </w:t>
      </w:r>
      <w:r>
        <w:rPr>
          <w:kern w:val="0"/>
        </w:rPr>
        <w:t xml:space="preserve">country of study). Additionally, our results show that the species U. pugilator (distributed on the East Coast of the North American </w:t>
      </w:r>
      <w:r>
        <w:rPr>
          <w:kern w:val="0"/>
        </w:rPr>
        <w:lastRenderedPageBreak/>
        <w:t>continent) was the species most singularly referenced in the papers considered. Moreover, our results indicate that most studies on Uca use a descriptive</w:t>
      </w:r>
      <w:r w:rsidR="00F81221">
        <w:rPr>
          <w:kern w:val="0"/>
        </w:rPr>
        <w:t xml:space="preserve"> and </w:t>
      </w:r>
      <w:r>
        <w:rPr>
          <w:kern w:val="0"/>
        </w:rPr>
        <w:t>local scale. The majority of papers in our literature search reflect studies in population biology, followed by behavioral</w:t>
      </w:r>
      <w:r w:rsidR="00F81221">
        <w:rPr>
          <w:kern w:val="0"/>
        </w:rPr>
        <w:t xml:space="preserve"> and </w:t>
      </w:r>
      <w:r>
        <w:rPr>
          <w:kern w:val="0"/>
        </w:rPr>
        <w:t>physiological characteristics.</w:t>
      </w:r>
    </w:p>
    <w:p w:rsidR="001925B7" w:rsidRDefault="001925B7" w:rsidP="001925B7">
      <w:pPr>
        <w:pStyle w:val="a0"/>
        <w:rPr>
          <w:kern w:val="0"/>
        </w:rPr>
      </w:pPr>
      <w:r>
        <w:rPr>
          <w:kern w:val="0"/>
        </w:rPr>
        <w:t>Keywords: Aic, Authors, Biology, Conservation, Ecology, Impact, Information, Journal, Journals, Limnology, Literature, Papers, Per Capita Income, Population Biology, Publication, Pugilator, Research, Residues, Scientific Research, Scientometric Analysis, Scientometrics, Systematics, Taxonomy, Trend, UCA Pugilator</w:t>
      </w:r>
    </w:p>
    <w:p w:rsidR="00DA1AA0" w:rsidRPr="00217FB1" w:rsidRDefault="00DA1AA0" w:rsidP="00DA1AA0">
      <w:pPr>
        <w:pStyle w:val="1"/>
      </w:pPr>
      <w:r w:rsidRPr="00AE115D">
        <w:br w:type="page"/>
      </w:r>
      <w:bookmarkStart w:id="802" w:name="_Toc238863003"/>
      <w:bookmarkStart w:id="803" w:name="_Toc317161106"/>
      <w:r w:rsidRPr="00217FB1">
        <w:lastRenderedPageBreak/>
        <w:t xml:space="preserve">Title: </w:t>
      </w:r>
      <w:r>
        <w:t>Image-the Journal of Nursing Scholarship</w:t>
      </w:r>
      <w:bookmarkEnd w:id="802"/>
      <w:bookmarkEnd w:id="803"/>
    </w:p>
    <w:p w:rsidR="00DA1AA0" w:rsidRPr="00F82F1B" w:rsidRDefault="00DA1AA0" w:rsidP="00B72EF9">
      <w:pPr>
        <w:pStyle w:val="12"/>
      </w:pPr>
      <w:r w:rsidRPr="00F82F1B">
        <w:t xml:space="preserve">Full Journal Title: </w:t>
      </w:r>
      <w:r>
        <w:t>Image-the Journal of Nursing Scholarship</w:t>
      </w:r>
    </w:p>
    <w:p w:rsidR="00DA1AA0" w:rsidRPr="00F82F1B" w:rsidRDefault="00DA1AA0" w:rsidP="00B72EF9">
      <w:pPr>
        <w:pStyle w:val="12"/>
      </w:pPr>
      <w:r w:rsidRPr="00F82F1B">
        <w:t xml:space="preserve">ISO Abbreviated Title: </w:t>
      </w:r>
      <w:r w:rsidRPr="00217FB1">
        <w:t>Image. J. Nurs. Sch.</w:t>
      </w:r>
    </w:p>
    <w:p w:rsidR="00DA1AA0" w:rsidRPr="00F82F1B" w:rsidRDefault="00DA1AA0" w:rsidP="00B72EF9">
      <w:pPr>
        <w:pStyle w:val="12"/>
      </w:pPr>
      <w:r w:rsidRPr="00F82F1B">
        <w:t>JCR Abbreviated Title</w:t>
      </w:r>
      <w:r>
        <w:t>:</w:t>
      </w:r>
      <w:r w:rsidRPr="00F82F1B">
        <w:t xml:space="preserve"> </w:t>
      </w:r>
    </w:p>
    <w:p w:rsidR="00DA1AA0" w:rsidRPr="00F82F1B" w:rsidRDefault="00DA1AA0" w:rsidP="00B72EF9">
      <w:pPr>
        <w:pStyle w:val="12"/>
      </w:pPr>
      <w:r w:rsidRPr="00F82F1B">
        <w:t xml:space="preserve">ISSN: </w:t>
      </w:r>
      <w:r>
        <w:t>0743-5150</w:t>
      </w:r>
    </w:p>
    <w:p w:rsidR="00DA1AA0" w:rsidRPr="00F82F1B" w:rsidRDefault="00DA1AA0" w:rsidP="00B72EF9">
      <w:pPr>
        <w:pStyle w:val="12"/>
      </w:pPr>
      <w:r w:rsidRPr="00F82F1B">
        <w:t xml:space="preserve">Issues/Year: </w:t>
      </w:r>
    </w:p>
    <w:p w:rsidR="00DA1AA0" w:rsidRPr="00F82F1B" w:rsidRDefault="00FB5623" w:rsidP="00B72EF9">
      <w:pPr>
        <w:pStyle w:val="12"/>
      </w:pPr>
      <w:r>
        <w:t>Journal Country/Territory:</w:t>
      </w:r>
      <w:r w:rsidR="00DA1AA0">
        <w:t xml:space="preserve"> </w:t>
      </w:r>
    </w:p>
    <w:p w:rsidR="00DA1AA0" w:rsidRPr="00F82F1B" w:rsidRDefault="00DA1AA0" w:rsidP="00B72EF9">
      <w:pPr>
        <w:pStyle w:val="12"/>
      </w:pPr>
      <w:r w:rsidRPr="00F82F1B">
        <w:t xml:space="preserve">Language: </w:t>
      </w:r>
    </w:p>
    <w:p w:rsidR="00DA1AA0" w:rsidRPr="00F82F1B" w:rsidRDefault="00DA1AA0" w:rsidP="00B72EF9">
      <w:pPr>
        <w:pStyle w:val="12"/>
      </w:pPr>
      <w:r w:rsidRPr="00F82F1B">
        <w:t xml:space="preserve">Publisher: </w:t>
      </w:r>
    </w:p>
    <w:p w:rsidR="00DA1AA0" w:rsidRPr="00F82F1B" w:rsidRDefault="00DA1AA0" w:rsidP="00B72EF9">
      <w:pPr>
        <w:pStyle w:val="12"/>
      </w:pPr>
      <w:r w:rsidRPr="00F82F1B">
        <w:t xml:space="preserve">Publisher Address: </w:t>
      </w:r>
    </w:p>
    <w:p w:rsidR="00DA1AA0" w:rsidRPr="00F82F1B" w:rsidRDefault="00DA1AA0" w:rsidP="00B72EF9">
      <w:pPr>
        <w:pStyle w:val="12"/>
      </w:pPr>
      <w:r w:rsidRPr="00F82F1B">
        <w:t>Subject Categories:</w:t>
      </w:r>
    </w:p>
    <w:p w:rsidR="00DA1AA0" w:rsidRPr="00F82F1B" w:rsidRDefault="00DA1AA0" w:rsidP="00B72EF9">
      <w:pPr>
        <w:pStyle w:val="12"/>
      </w:pPr>
      <w:r w:rsidRPr="00F82F1B">
        <w:t>: Impact Factor</w:t>
      </w:r>
    </w:p>
    <w:p w:rsidR="00DA1AA0" w:rsidRPr="00217FB1" w:rsidRDefault="00DA1AA0" w:rsidP="00DA1AA0">
      <w:pPr>
        <w:pStyle w:val="a0"/>
      </w:pPr>
      <w:r>
        <w:t>?</w:t>
      </w:r>
      <w:r w:rsidRPr="00217FB1">
        <w:t xml:space="preserve"> </w:t>
      </w:r>
      <w:r w:rsidRPr="00F621CE">
        <w:t>Schulmeister, L.</w:t>
      </w:r>
      <w:r w:rsidRPr="00217FB1">
        <w:t xml:space="preserve"> </w:t>
      </w:r>
      <w:r>
        <w:t>(</w:t>
      </w:r>
      <w:r w:rsidRPr="00F621CE">
        <w:t>1998</w:t>
      </w:r>
      <w:r w:rsidRPr="00217FB1">
        <w:t xml:space="preserve">), </w:t>
      </w:r>
      <w:r w:rsidRPr="00F621CE">
        <w:t>Quotation</w:t>
      </w:r>
      <w:r w:rsidR="00F81221">
        <w:t xml:space="preserve"> and </w:t>
      </w:r>
      <w:r w:rsidRPr="00F621CE">
        <w:t>reference accuracy of three nursing journals</w:t>
      </w:r>
      <w:r w:rsidRPr="00217FB1">
        <w:t xml:space="preserve">. </w:t>
      </w:r>
      <w:r w:rsidRPr="008F6611">
        <w:rPr>
          <w:i/>
        </w:rPr>
        <w:t>Image-the Journal of Nursing Scholarship</w:t>
      </w:r>
      <w:r w:rsidRPr="00217FB1">
        <w:t xml:space="preserve">, </w:t>
      </w:r>
      <w:r w:rsidRPr="00217FB1">
        <w:rPr>
          <w:b/>
        </w:rPr>
        <w:t>30</w:t>
      </w:r>
      <w:r w:rsidRPr="00217FB1">
        <w:t xml:space="preserve"> </w:t>
      </w:r>
      <w:r>
        <w:t>(</w:t>
      </w:r>
      <w:r>
        <w:rPr>
          <w:rFonts w:hint="eastAsia"/>
        </w:rPr>
        <w:t>2</w:t>
      </w:r>
      <w:r w:rsidRPr="00217FB1">
        <w:t>),</w:t>
      </w:r>
      <w:r>
        <w:rPr>
          <w:rFonts w:hint="eastAsia"/>
        </w:rPr>
        <w:t xml:space="preserve"> </w:t>
      </w:r>
      <w:r w:rsidRPr="00F621CE">
        <w:t>143</w:t>
      </w:r>
      <w:r w:rsidRPr="00217FB1">
        <w:t>-</w:t>
      </w:r>
      <w:r w:rsidRPr="00F621CE">
        <w:t>146</w:t>
      </w:r>
      <w:r w:rsidRPr="00217FB1">
        <w:t>.</w:t>
      </w:r>
    </w:p>
    <w:p w:rsidR="00B95188" w:rsidRPr="00A428C3" w:rsidRDefault="00B95188" w:rsidP="00B95188">
      <w:pPr>
        <w:pStyle w:val="1"/>
      </w:pPr>
      <w:r w:rsidRPr="00A428C3">
        <w:rPr>
          <w:lang w:val="en-GB"/>
        </w:rPr>
        <w:br w:type="page"/>
      </w:r>
      <w:bookmarkStart w:id="804" w:name="_Toc487192720"/>
      <w:bookmarkStart w:id="805" w:name="_Toc489709747"/>
      <w:bookmarkStart w:id="806" w:name="_Toc490688027"/>
      <w:bookmarkStart w:id="807" w:name="_Toc492812137"/>
      <w:bookmarkStart w:id="808" w:name="_Toc186647820"/>
      <w:bookmarkStart w:id="809" w:name="_Toc317161107"/>
      <w:r w:rsidRPr="00A428C3">
        <w:lastRenderedPageBreak/>
        <w:t>Title: Immunology</w:t>
      </w:r>
      <w:bookmarkEnd w:id="804"/>
      <w:bookmarkEnd w:id="805"/>
      <w:bookmarkEnd w:id="806"/>
      <w:bookmarkEnd w:id="807"/>
      <w:bookmarkEnd w:id="808"/>
      <w:bookmarkEnd w:id="809"/>
    </w:p>
    <w:p w:rsidR="00B95188" w:rsidRPr="00A428C3" w:rsidRDefault="00B95188" w:rsidP="00B72EF9">
      <w:pPr>
        <w:pStyle w:val="12"/>
      </w:pPr>
      <w:r w:rsidRPr="00A428C3">
        <w:t>Full Journal Title: Immunology</w:t>
      </w:r>
    </w:p>
    <w:p w:rsidR="00B95188" w:rsidRPr="00A428C3" w:rsidRDefault="00B95188" w:rsidP="00B72EF9">
      <w:pPr>
        <w:pStyle w:val="12"/>
      </w:pPr>
      <w:r w:rsidRPr="00A428C3">
        <w:t>ISO Abbreviated Title: Immunology</w:t>
      </w:r>
    </w:p>
    <w:p w:rsidR="00B95188" w:rsidRPr="00A428C3" w:rsidRDefault="00B95188" w:rsidP="00B72EF9">
      <w:pPr>
        <w:pStyle w:val="12"/>
      </w:pPr>
      <w:r w:rsidRPr="00A428C3">
        <w:t>JCR Abbreviated Title: Immunology</w:t>
      </w:r>
    </w:p>
    <w:p w:rsidR="00B95188" w:rsidRPr="00A428C3" w:rsidRDefault="00B95188" w:rsidP="00B72EF9">
      <w:pPr>
        <w:pStyle w:val="12"/>
      </w:pPr>
      <w:r w:rsidRPr="00A428C3">
        <w:t>ISSN: 0019-2805</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Blackwell Science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88</w:t>
        </w:r>
      </w:smartTag>
      <w:r w:rsidRPr="00A428C3">
        <w:t xml:space="preserve">, Osney Mead, </w:t>
      </w:r>
      <w:smartTag w:uri="urn:schemas-microsoft-com:office:smarttags" w:element="City">
        <w:r w:rsidRPr="00A428C3">
          <w:t>Oxford</w:t>
        </w:r>
      </w:smartTag>
      <w:r w:rsidRPr="00A428C3">
        <w:t xml:space="preserve"> OX2 0NE,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Immunology: Impact Factor</w:t>
      </w:r>
    </w:p>
    <w:p w:rsidR="00B95188" w:rsidRPr="00A428C3" w:rsidRDefault="00B95188" w:rsidP="00B95188">
      <w:pPr>
        <w:pStyle w:val="a0"/>
      </w:pPr>
      <w:r w:rsidRPr="00A428C3">
        <w:t>? Garssen, J., Nijkamp, F.P., Wagenaar, S.S., Zwart, A., Askenase, P.W.</w:t>
      </w:r>
      <w:r w:rsidR="00F81221">
        <w:t xml:space="preserve"> and </w:t>
      </w:r>
      <w:r w:rsidRPr="00A428C3">
        <w:t>van Loveren, H. (1989), Regulation of delayed-type hypersensitivity-like responses in the mouse lung, determined with histological procedures: Serotonin, T-cell suppressor-inducer factor</w:t>
      </w:r>
      <w:r w:rsidR="00F81221">
        <w:t xml:space="preserve"> and </w:t>
      </w:r>
      <w:r w:rsidRPr="00A428C3">
        <w:t xml:space="preserve">high antigen dose tolerance regulate the magnitude of T-cell dependent inflammatory reactions. </w:t>
      </w:r>
      <w:r w:rsidRPr="00A428C3">
        <w:rPr>
          <w:i/>
        </w:rPr>
        <w:t>Immunology</w:t>
      </w:r>
      <w:r w:rsidRPr="00A428C3">
        <w:t xml:space="preserve">, </w:t>
      </w:r>
      <w:r w:rsidRPr="00A428C3">
        <w:rPr>
          <w:b/>
        </w:rPr>
        <w:t>68</w:t>
      </w:r>
      <w:r w:rsidRPr="00A428C3">
        <w:t xml:space="preserve"> (1), 51-58.</w:t>
      </w:r>
    </w:p>
    <w:p w:rsidR="00B95188" w:rsidRPr="00A428C3" w:rsidRDefault="00B95188" w:rsidP="00B95188">
      <w:pPr>
        <w:pStyle w:val="a0"/>
      </w:pPr>
      <w:r w:rsidRPr="00A428C3">
        <w:t>Abstract: We have studied delayed-type hypersensitivity (DTH) responses to picryl chloride (PCl) in the lungs of mice. Intranasal challenge with 0.6% picryl sulphonic acid (PSA), a water soluble form of PCl, of BALB/c mice, sensitized with PCl epicutaneously 1 week earlier, induced an accumulation of mononuclear inflammatory cells around bronchioli</w:t>
      </w:r>
      <w:r w:rsidR="00F81221">
        <w:t xml:space="preserve"> and </w:t>
      </w:r>
      <w:r w:rsidRPr="00A428C3">
        <w:t>blood vessels. Maximal inflammatory responses were seen 48 hr after challenge. These responses were antigen-specific,</w:t>
      </w:r>
      <w:r w:rsidR="00F81221">
        <w:t xml:space="preserve"> and </w:t>
      </w:r>
      <w:r w:rsidRPr="00A428C3">
        <w:t>also T-cell dependent, since athymic nude mice failed to show this reaction. A role for mast cells in the responses was studied using two strains of mast cell-deficient mice. In one of these (W/Wv) lung DTH responses to PCl were reduced severely. In the other strain (S1/S1d) the responses around vessels were decreased slightly, whereas the responses in the interstitial tissue</w:t>
      </w:r>
      <w:r w:rsidR="00F81221">
        <w:t xml:space="preserve"> and </w:t>
      </w:r>
      <w:r w:rsidRPr="00A428C3">
        <w:t>around bronchioli were similar to those in +/+ littermate controls. Involvement of serotonin was investigated using two serotonin receptor antagonists, i.e. methysergide</w:t>
      </w:r>
      <w:r w:rsidR="00F81221">
        <w:t xml:space="preserve"> and </w:t>
      </w:r>
      <w:r w:rsidRPr="00A428C3">
        <w:t>ketanserin. Treatment of mice with either of the antagonists prevented occurrence of the DTH-like reaction in the lung after intranasal antigen challenge. In the lungs of sensitized mice, significantly increased permeability was established 2 hr after antigen challenge. It was concluded that release of serotonin in the lung may provide an environment that comprises local vascular permeability</w:t>
      </w:r>
      <w:r w:rsidR="00F81221">
        <w:t xml:space="preserve"> and </w:t>
      </w:r>
      <w:r w:rsidRPr="00A428C3">
        <w:t>that facilitates the local recruitment</w:t>
      </w:r>
      <w:r w:rsidR="00F81221">
        <w:t xml:space="preserve"> and </w:t>
      </w:r>
      <w:r w:rsidRPr="00A428C3">
        <w:t xml:space="preserve">possibly the activation of DTH effector T cells, leading to subsequent attraction of mononuclear leucocytes into the lung. Immunological </w:t>
      </w:r>
      <w:r w:rsidRPr="00A428C3">
        <w:lastRenderedPageBreak/>
        <w:t>regulation of the DTH-like reactions in the lung was similar to that of contact sensitivity in the skin, since intravenous injection of an antigen-specific T-cell suppressor inducer factor prior to sensitization or pretreatment with a high dose of picryl sulphonic acid intravenously both resulted in reduction of the DTH-like lung histological response to picryl sulphonic acid. From these findings it was concluded that DTH-like lung responses are similar to DTH responses in the skin.</w:t>
      </w:r>
    </w:p>
    <w:p w:rsidR="007D2E74" w:rsidRPr="00772E52" w:rsidRDefault="007D2E74" w:rsidP="007D2E74">
      <w:pPr>
        <w:pStyle w:val="1"/>
      </w:pPr>
      <w:r w:rsidRPr="00772E52">
        <w:br w:type="page"/>
      </w:r>
      <w:bookmarkStart w:id="810" w:name="_Toc234328477"/>
      <w:bookmarkStart w:id="811" w:name="_Toc317161108"/>
      <w:r w:rsidRPr="00772E52">
        <w:lastRenderedPageBreak/>
        <w:t>Title:</w:t>
      </w:r>
      <w:r>
        <w:t xml:space="preserve"> </w:t>
      </w:r>
      <w:r w:rsidRPr="00D86789">
        <w:rPr>
          <w:szCs w:val="24"/>
        </w:rPr>
        <w:t>Implementation Science</w:t>
      </w:r>
      <w:bookmarkEnd w:id="810"/>
      <w:bookmarkEnd w:id="811"/>
    </w:p>
    <w:p w:rsidR="007D2E74" w:rsidRPr="00772E52" w:rsidRDefault="007D2E74" w:rsidP="00B72EF9">
      <w:pPr>
        <w:pStyle w:val="12"/>
      </w:pPr>
      <w:r w:rsidRPr="00A72432">
        <w:t xml:space="preserve">Full Journal Title: </w:t>
      </w:r>
      <w:hyperlink r:id="rId839" w:history="1">
        <w:r w:rsidRPr="00D86789">
          <w:rPr>
            <w:rStyle w:val="a5"/>
          </w:rPr>
          <w:t>Implementation Science</w:t>
        </w:r>
      </w:hyperlink>
    </w:p>
    <w:p w:rsidR="007D2E74" w:rsidRPr="00772E52" w:rsidRDefault="007D2E74" w:rsidP="00B72EF9">
      <w:pPr>
        <w:pStyle w:val="12"/>
      </w:pPr>
      <w:r w:rsidRPr="00772E52">
        <w:t xml:space="preserve">ISO Abbreviated Title: </w:t>
      </w:r>
    </w:p>
    <w:p w:rsidR="007D2E74" w:rsidRPr="00772E52" w:rsidRDefault="007D2E74" w:rsidP="00B72EF9">
      <w:pPr>
        <w:pStyle w:val="12"/>
      </w:pPr>
      <w:r w:rsidRPr="00772E52">
        <w:t xml:space="preserve">JCR Abbreviated Title: </w:t>
      </w:r>
    </w:p>
    <w:p w:rsidR="007D2E74" w:rsidRPr="00772E52" w:rsidRDefault="007D2E74" w:rsidP="00B72EF9">
      <w:pPr>
        <w:pStyle w:val="12"/>
      </w:pPr>
      <w:r w:rsidRPr="00772E52">
        <w:t>ISSN:</w:t>
      </w:r>
    </w:p>
    <w:p w:rsidR="007D2E74" w:rsidRPr="00772E52" w:rsidRDefault="007D2E74" w:rsidP="00B72EF9">
      <w:pPr>
        <w:pStyle w:val="12"/>
      </w:pPr>
      <w:r w:rsidRPr="00772E52">
        <w:t xml:space="preserve">Issues/Year: </w:t>
      </w:r>
    </w:p>
    <w:p w:rsidR="007D2E74" w:rsidRPr="00772E52" w:rsidRDefault="00FB5623" w:rsidP="00B72EF9">
      <w:pPr>
        <w:pStyle w:val="12"/>
      </w:pPr>
      <w:r>
        <w:t>Journal Country/Territory:</w:t>
      </w:r>
      <w:r w:rsidR="007D2E74">
        <w:t xml:space="preserve"> </w:t>
      </w:r>
    </w:p>
    <w:p w:rsidR="007D2E74" w:rsidRPr="00772E52" w:rsidRDefault="007D2E74" w:rsidP="00B72EF9">
      <w:pPr>
        <w:pStyle w:val="12"/>
      </w:pPr>
      <w:r w:rsidRPr="00772E52">
        <w:t xml:space="preserve">Language: </w:t>
      </w:r>
    </w:p>
    <w:p w:rsidR="007D2E74" w:rsidRPr="00772E52" w:rsidRDefault="007D2E74" w:rsidP="00B72EF9">
      <w:pPr>
        <w:pStyle w:val="12"/>
      </w:pPr>
      <w:r>
        <w:t xml:space="preserve">Publisher: </w:t>
      </w:r>
    </w:p>
    <w:p w:rsidR="007D2E74" w:rsidRPr="00772E52" w:rsidRDefault="007D2E74" w:rsidP="00B72EF9">
      <w:pPr>
        <w:pStyle w:val="12"/>
      </w:pPr>
      <w:r w:rsidRPr="00772E52">
        <w:t xml:space="preserve">Publisher Address: </w:t>
      </w:r>
    </w:p>
    <w:p w:rsidR="007D2E74" w:rsidRPr="00772E52" w:rsidRDefault="007D2E74" w:rsidP="00B72EF9">
      <w:pPr>
        <w:pStyle w:val="12"/>
      </w:pPr>
      <w:r w:rsidRPr="00772E52">
        <w:t xml:space="preserve">Subject Categories: </w:t>
      </w:r>
    </w:p>
    <w:p w:rsidR="007D2E74" w:rsidRPr="00772E52" w:rsidRDefault="007D2E74" w:rsidP="00B72EF9">
      <w:pPr>
        <w:pStyle w:val="12"/>
      </w:pPr>
      <w:r w:rsidRPr="00772E52">
        <w:t xml:space="preserve">: </w:t>
      </w:r>
      <w:r w:rsidRPr="00A72432">
        <w:t>Impact Factor</w:t>
      </w:r>
    </w:p>
    <w:p w:rsidR="007D2E74" w:rsidRDefault="007D2E74" w:rsidP="007D2E74">
      <w:pPr>
        <w:pStyle w:val="a0"/>
        <w:rPr>
          <w:kern w:val="0"/>
          <w:szCs w:val="24"/>
        </w:rPr>
      </w:pPr>
      <w:r>
        <w:rPr>
          <w:kern w:val="0"/>
          <w:szCs w:val="24"/>
        </w:rPr>
        <w:t>? Estabrooks, C.A., Derksen, L., Winther, C., Lavis, J.N., Scott, S.D., Wallin, L.</w:t>
      </w:r>
      <w:r w:rsidR="00F81221">
        <w:rPr>
          <w:kern w:val="0"/>
          <w:szCs w:val="24"/>
        </w:rPr>
        <w:t xml:space="preserve"> and </w:t>
      </w:r>
      <w:r>
        <w:rPr>
          <w:kern w:val="0"/>
          <w:szCs w:val="24"/>
        </w:rPr>
        <w:t>Profetto-McGrath, J. (2008), The intellectual structure</w:t>
      </w:r>
      <w:r w:rsidR="00F81221">
        <w:rPr>
          <w:kern w:val="0"/>
          <w:szCs w:val="24"/>
        </w:rPr>
        <w:t xml:space="preserve"> and </w:t>
      </w:r>
      <w:r>
        <w:rPr>
          <w:kern w:val="0"/>
          <w:szCs w:val="24"/>
        </w:rPr>
        <w:t xml:space="preserve">substance of the knowledge utilization field: A longitudinal author co-citation analysis, 1945 to 2004. </w:t>
      </w:r>
      <w:r w:rsidRPr="00D86789">
        <w:rPr>
          <w:i/>
          <w:iCs/>
          <w:kern w:val="0"/>
          <w:szCs w:val="24"/>
        </w:rPr>
        <w:t>Implementation Science</w:t>
      </w:r>
      <w:r>
        <w:rPr>
          <w:kern w:val="0"/>
          <w:szCs w:val="24"/>
        </w:rPr>
        <w:t xml:space="preserve">, </w:t>
      </w:r>
      <w:r>
        <w:rPr>
          <w:b/>
          <w:bCs/>
          <w:kern w:val="0"/>
          <w:szCs w:val="24"/>
        </w:rPr>
        <w:t>3</w:t>
      </w:r>
      <w:r>
        <w:rPr>
          <w:rFonts w:hint="eastAsia"/>
          <w:kern w:val="0"/>
          <w:szCs w:val="24"/>
        </w:rPr>
        <w:t xml:space="preserve">, </w:t>
      </w:r>
      <w:r>
        <w:rPr>
          <w:kern w:val="0"/>
          <w:szCs w:val="24"/>
        </w:rPr>
        <w:t>Article Number: 49</w:t>
      </w:r>
      <w:r>
        <w:rPr>
          <w:rFonts w:hint="eastAsia"/>
          <w:kern w:val="0"/>
          <w:szCs w:val="24"/>
        </w:rPr>
        <w:t>.</w:t>
      </w:r>
    </w:p>
    <w:p w:rsidR="007D2E74" w:rsidRDefault="007D2E74" w:rsidP="007D2E74">
      <w:pPr>
        <w:pStyle w:val="a0"/>
        <w:rPr>
          <w:kern w:val="0"/>
          <w:szCs w:val="24"/>
        </w:rPr>
      </w:pPr>
      <w:r>
        <w:rPr>
          <w:rFonts w:hint="eastAsia"/>
          <w:kern w:val="0"/>
          <w:szCs w:val="24"/>
        </w:rPr>
        <w:t xml:space="preserve">Full Text: </w:t>
      </w:r>
      <w:hyperlink r:id="rId840" w:history="1">
        <w:r w:rsidRPr="00D86789">
          <w:rPr>
            <w:rStyle w:val="a5"/>
            <w:kern w:val="0"/>
            <w:szCs w:val="24"/>
          </w:rPr>
          <w:t>2008\Imp Sci3, 49.pdf</w:t>
        </w:r>
      </w:hyperlink>
    </w:p>
    <w:p w:rsidR="007D2E74" w:rsidRDefault="007D2E74" w:rsidP="007D2E74">
      <w:pPr>
        <w:pStyle w:val="a0"/>
        <w:rPr>
          <w:kern w:val="0"/>
          <w:szCs w:val="24"/>
        </w:rPr>
      </w:pPr>
      <w:r>
        <w:rPr>
          <w:kern w:val="0"/>
          <w:szCs w:val="24"/>
        </w:rPr>
        <w:t>Abstract: Background: It has been argued that science</w:t>
      </w:r>
      <w:r w:rsidR="00F81221">
        <w:rPr>
          <w:kern w:val="0"/>
          <w:szCs w:val="24"/>
        </w:rPr>
        <w:t xml:space="preserve"> and </w:t>
      </w:r>
      <w:r>
        <w:rPr>
          <w:kern w:val="0"/>
          <w:szCs w:val="24"/>
        </w:rPr>
        <w:t>society are in the midst of a far-reaching renegotiation of the social contract between science</w:t>
      </w:r>
      <w:r w:rsidR="00F81221">
        <w:rPr>
          <w:kern w:val="0"/>
          <w:szCs w:val="24"/>
        </w:rPr>
        <w:t xml:space="preserve"> and </w:t>
      </w:r>
      <w:r>
        <w:rPr>
          <w:kern w:val="0"/>
          <w:szCs w:val="24"/>
        </w:rPr>
        <w:t>society, with society becoming a far more active partner in the creation of knowledge. On the one hand, new forms of knowledge production are emerging,</w:t>
      </w:r>
      <w:r w:rsidR="00F81221">
        <w:rPr>
          <w:kern w:val="0"/>
          <w:szCs w:val="24"/>
        </w:rPr>
        <w:t xml:space="preserve"> and </w:t>
      </w:r>
      <w:r>
        <w:rPr>
          <w:kern w:val="0"/>
          <w:szCs w:val="24"/>
        </w:rPr>
        <w:t>on the other, both science</w:t>
      </w:r>
      <w:r w:rsidR="00F81221">
        <w:rPr>
          <w:kern w:val="0"/>
          <w:szCs w:val="24"/>
        </w:rPr>
        <w:t xml:space="preserve"> and </w:t>
      </w:r>
      <w:r>
        <w:rPr>
          <w:kern w:val="0"/>
          <w:szCs w:val="24"/>
        </w:rPr>
        <w:t>society are experiencing a rapid acceleration in new forms of knowledge utilization. Concomitantly since the Second World War, the science underpinning the knowledge utilization field has had exponential growth. Few in-depth examinations of this field exist,</w:t>
      </w:r>
      <w:r w:rsidR="00F81221">
        <w:rPr>
          <w:kern w:val="0"/>
          <w:szCs w:val="24"/>
        </w:rPr>
        <w:t xml:space="preserve"> and </w:t>
      </w:r>
      <w:r>
        <w:rPr>
          <w:kern w:val="0"/>
          <w:szCs w:val="24"/>
        </w:rPr>
        <w:t>no comprehensive analyses have used bibliometric methods. Methods: Using bibliometric analysis, specifically first author co-citation analysis, our group undertook a domain analysis of the knowledge utilization field, tracing its historical development between 1945</w:t>
      </w:r>
      <w:r w:rsidR="00F81221">
        <w:rPr>
          <w:kern w:val="0"/>
          <w:szCs w:val="24"/>
        </w:rPr>
        <w:t xml:space="preserve"> and </w:t>
      </w:r>
      <w:r>
        <w:rPr>
          <w:kern w:val="0"/>
          <w:szCs w:val="24"/>
        </w:rPr>
        <w:t>2004. Our purposes were to map the historical development of knowledge utilization as a field,</w:t>
      </w:r>
      <w:r w:rsidR="00F81221">
        <w:rPr>
          <w:kern w:val="0"/>
          <w:szCs w:val="24"/>
        </w:rPr>
        <w:t xml:space="preserve"> and </w:t>
      </w:r>
      <w:r>
        <w:rPr>
          <w:kern w:val="0"/>
          <w:szCs w:val="24"/>
        </w:rPr>
        <w:t>to identify the changing intellectual structure of its scientific domains. We analyzed more than 5,000 articles using citation data drawn from the Web of Science (R). Search terms were combinations of knowledge, research, evidence, guidelines, ideas, science, innovation, technology, information theory</w:t>
      </w:r>
      <w:r w:rsidR="00F81221">
        <w:rPr>
          <w:kern w:val="0"/>
          <w:szCs w:val="24"/>
        </w:rPr>
        <w:t xml:space="preserve"> and </w:t>
      </w:r>
      <w:r>
        <w:rPr>
          <w:kern w:val="0"/>
          <w:szCs w:val="24"/>
        </w:rPr>
        <w:t>use, utilization,</w:t>
      </w:r>
      <w:r w:rsidR="00F81221">
        <w:rPr>
          <w:kern w:val="0"/>
          <w:szCs w:val="24"/>
        </w:rPr>
        <w:t xml:space="preserve"> and </w:t>
      </w:r>
      <w:r>
        <w:rPr>
          <w:kern w:val="0"/>
          <w:szCs w:val="24"/>
        </w:rPr>
        <w:t>uptake. Results: We provide an overview of the intellectual structure</w:t>
      </w:r>
      <w:r w:rsidR="00F81221">
        <w:rPr>
          <w:kern w:val="0"/>
          <w:szCs w:val="24"/>
        </w:rPr>
        <w:t xml:space="preserve"> and </w:t>
      </w:r>
      <w:r>
        <w:rPr>
          <w:kern w:val="0"/>
          <w:szCs w:val="24"/>
        </w:rPr>
        <w:t xml:space="preserve">how it changed over six decades. The field does not become large enough to represent with a co-citation map until the mid-1960s. Our findings demonstrate vigorous growth from the mid-1960s through 2004, as well as the emergence of specialized domains reflecting distinct </w:t>
      </w:r>
      <w:r>
        <w:rPr>
          <w:kern w:val="0"/>
          <w:szCs w:val="24"/>
        </w:rPr>
        <w:lastRenderedPageBreak/>
        <w:t>collectives of intellectual activity</w:t>
      </w:r>
      <w:r w:rsidR="00F81221">
        <w:rPr>
          <w:kern w:val="0"/>
          <w:szCs w:val="24"/>
        </w:rPr>
        <w:t xml:space="preserve"> and </w:t>
      </w:r>
      <w:r>
        <w:rPr>
          <w:kern w:val="0"/>
          <w:szCs w:val="24"/>
        </w:rPr>
        <w:t>thought. Until the mid-1980s, the major domains were focused on innovation diffusion, technology transfer,</w:t>
      </w:r>
      <w:r w:rsidR="00F81221">
        <w:rPr>
          <w:kern w:val="0"/>
          <w:szCs w:val="24"/>
        </w:rPr>
        <w:t xml:space="preserve"> and </w:t>
      </w:r>
      <w:r>
        <w:rPr>
          <w:kern w:val="0"/>
          <w:szCs w:val="24"/>
        </w:rPr>
        <w:t>knowledge utilization. Beginning slowly in the mid-1980s</w:t>
      </w:r>
      <w:r w:rsidR="00F81221">
        <w:rPr>
          <w:kern w:val="0"/>
          <w:szCs w:val="24"/>
        </w:rPr>
        <w:t xml:space="preserve"> and </w:t>
      </w:r>
      <w:r>
        <w:rPr>
          <w:kern w:val="0"/>
          <w:szCs w:val="24"/>
        </w:rPr>
        <w:t>then growing rapidly, a fourth scientific domain, evidence-based medicine, emerged. The field is dominated in all decades by one individual, Everett Rogers,</w:t>
      </w:r>
      <w:r w:rsidR="00F81221">
        <w:rPr>
          <w:kern w:val="0"/>
          <w:szCs w:val="24"/>
        </w:rPr>
        <w:t xml:space="preserve"> and </w:t>
      </w:r>
      <w:r>
        <w:rPr>
          <w:kern w:val="0"/>
          <w:szCs w:val="24"/>
        </w:rPr>
        <w:t>by one paradigm, innovation diffusion. Conclusion: We conclude that the received view that social science disciplines are in a state where no accepted set of principles or theories guide research (i.e., that they are pre-paradigmatic) could not be supported for this field. Second, we document the emergence of a new domain within the knowledge utilization field, evidence-based medicine. Third, we conclude that Everett Rogers was the dominant figure in the field and, until the emergence of evidence-based medicine, his representation of the general diffusion model was the dominant paradigm in the field.</w:t>
      </w:r>
    </w:p>
    <w:p w:rsidR="00655D5A" w:rsidRDefault="00655D5A" w:rsidP="00655D5A">
      <w:pPr>
        <w:pStyle w:val="a0"/>
        <w:rPr>
          <w:kern w:val="0"/>
          <w:szCs w:val="24"/>
        </w:rPr>
      </w:pPr>
      <w:r>
        <w:rPr>
          <w:kern w:val="0"/>
          <w:szCs w:val="24"/>
        </w:rPr>
        <w:t>Keywords: Activity, Analyses, Analysis, Applied Social-Research, Author Cocitation Analysis, Bibliometric, Bibliometric Analysis, Bibliometric Methods, Citation, Citation Analysis, Co-Citation, Co-Citation Analysis, Cocitation, Contract, Data, Development, Diffusion, Diffusion Model, Disciplines, Domain Analysis, Emergence, Emerging, Evidence, Evidence Based, Evidence Based Medicine, Evidence-Based, Evidence-Based Medicine, Field, First, Forms, General, Group, Growth, Guidelines, Health-Care, Information, Innovation, Intellectual Structure, Invisible College, Knowledge, Knowledge Production, Longitudinal, Medicine, Methods, Model, NOV, Paradigm, Practice Gap, Principles, Production, Rapid, Renegotiation, Representation, Research, Science, Similarity Measures, Social, Social Contract, Social Science, Society, State, Structure, Substance, Technology, Technology Transfer, Technology-Transfer, Theory, Transfer, United-States, Uptake, Utilization, Web of Science</w:t>
      </w:r>
    </w:p>
    <w:p w:rsidR="00996864" w:rsidRPr="001A3D2B" w:rsidRDefault="00996864" w:rsidP="00996864">
      <w:pPr>
        <w:pStyle w:val="a0"/>
        <w:rPr>
          <w:kern w:val="0"/>
        </w:rPr>
      </w:pPr>
      <w:r>
        <w:rPr>
          <w:rFonts w:hint="eastAsia"/>
          <w:kern w:val="0"/>
        </w:rPr>
        <w:t xml:space="preserve">? </w:t>
      </w:r>
      <w:r>
        <w:rPr>
          <w:kern w:val="0"/>
        </w:rPr>
        <w:t>Vest, J.R.</w:t>
      </w:r>
      <w:r w:rsidR="00F81221">
        <w:rPr>
          <w:kern w:val="0"/>
        </w:rPr>
        <w:t xml:space="preserve"> and </w:t>
      </w:r>
      <w:r>
        <w:rPr>
          <w:kern w:val="0"/>
        </w:rPr>
        <w:t>Gamm, L.D. (2009), A critical review of the research literature on Six Sigma, Lean</w:t>
      </w:r>
      <w:r w:rsidR="00F81221">
        <w:rPr>
          <w:kern w:val="0"/>
        </w:rPr>
        <w:t xml:space="preserve"> and </w:t>
      </w:r>
      <w:r>
        <w:rPr>
          <w:kern w:val="0"/>
        </w:rPr>
        <w:t>StuderGroup</w:t>
      </w:r>
      <w:r w:rsidR="000352E7">
        <w:rPr>
          <w:kern w:val="0"/>
        </w:rPr>
        <w:t>’</w:t>
      </w:r>
      <w:r>
        <w:rPr>
          <w:kern w:val="0"/>
        </w:rPr>
        <w:t>s Hardwiring Excellence in the United States: the need to demonstrate</w:t>
      </w:r>
      <w:r w:rsidR="00F81221">
        <w:rPr>
          <w:kern w:val="0"/>
        </w:rPr>
        <w:t xml:space="preserve"> and </w:t>
      </w:r>
      <w:r>
        <w:rPr>
          <w:kern w:val="0"/>
        </w:rPr>
        <w:t xml:space="preserve">communicate the effectiveness of transformation strategies in healthcare. </w:t>
      </w:r>
      <w:r>
        <w:rPr>
          <w:i/>
          <w:iCs/>
          <w:kern w:val="0"/>
        </w:rPr>
        <w:t>Implementation Science</w:t>
      </w:r>
      <w:r>
        <w:rPr>
          <w:kern w:val="0"/>
        </w:rPr>
        <w:t xml:space="preserve">, </w:t>
      </w:r>
      <w:r w:rsidRPr="001A3D2B">
        <w:rPr>
          <w:b/>
          <w:bCs/>
          <w:kern w:val="0"/>
        </w:rPr>
        <w:t>4</w:t>
      </w:r>
      <w:r w:rsidRPr="001A3D2B">
        <w:rPr>
          <w:kern w:val="0"/>
        </w:rPr>
        <w:t xml:space="preserve">, </w:t>
      </w:r>
      <w:r w:rsidRPr="001A3D2B">
        <w:t>Article Number 3</w:t>
      </w:r>
      <w:r>
        <w:rPr>
          <w:rFonts w:hint="eastAsia"/>
        </w:rPr>
        <w:t>5</w:t>
      </w:r>
      <w:r w:rsidRPr="001A3D2B">
        <w:t>.</w:t>
      </w:r>
    </w:p>
    <w:p w:rsidR="00996864" w:rsidRPr="001A3D2B" w:rsidRDefault="00996864" w:rsidP="00996864">
      <w:pPr>
        <w:pStyle w:val="a0"/>
        <w:rPr>
          <w:kern w:val="0"/>
          <w:szCs w:val="24"/>
        </w:rPr>
      </w:pPr>
      <w:r w:rsidRPr="001A3D2B">
        <w:rPr>
          <w:kern w:val="0"/>
          <w:szCs w:val="24"/>
        </w:rPr>
        <w:t xml:space="preserve">Full Text: </w:t>
      </w:r>
      <w:hyperlink r:id="rId841" w:history="1">
        <w:r w:rsidRPr="00E72746">
          <w:rPr>
            <w:rStyle w:val="a5"/>
            <w:kern w:val="0"/>
            <w:szCs w:val="24"/>
          </w:rPr>
          <w:t>2009\Imp Sci4, 35.pdf</w:t>
        </w:r>
      </w:hyperlink>
    </w:p>
    <w:p w:rsidR="00996864" w:rsidRDefault="00996864" w:rsidP="00996864">
      <w:pPr>
        <w:pStyle w:val="a0"/>
        <w:rPr>
          <w:kern w:val="0"/>
        </w:rPr>
      </w:pPr>
      <w:r>
        <w:rPr>
          <w:kern w:val="0"/>
        </w:rPr>
        <w:t>Abstract: Background: U.S. healthcare organizations are confronted with numerous</w:t>
      </w:r>
      <w:r w:rsidR="00F81221">
        <w:rPr>
          <w:kern w:val="0"/>
        </w:rPr>
        <w:t xml:space="preserve"> and </w:t>
      </w:r>
      <w:r>
        <w:rPr>
          <w:kern w:val="0"/>
        </w:rPr>
        <w:t>varied transformational strategies promising improvements along all dimensions of quality</w:t>
      </w:r>
      <w:r w:rsidR="00F81221">
        <w:rPr>
          <w:kern w:val="0"/>
        </w:rPr>
        <w:t xml:space="preserve"> and </w:t>
      </w:r>
      <w:r>
        <w:rPr>
          <w:kern w:val="0"/>
        </w:rPr>
        <w:t>performance. This article examines the peer-reviewed literature from the U.S. for evidence of effectiveness among three current popular transformational strategies: Six Sigma, Lean/Toyota Production System,</w:t>
      </w:r>
      <w:r w:rsidR="00F81221">
        <w:rPr>
          <w:kern w:val="0"/>
        </w:rPr>
        <w:t xml:space="preserve"> and </w:t>
      </w:r>
      <w:r>
        <w:rPr>
          <w:kern w:val="0"/>
        </w:rPr>
        <w:t>Studer</w:t>
      </w:r>
      <w:r w:rsidR="000352E7">
        <w:rPr>
          <w:kern w:val="0"/>
        </w:rPr>
        <w:t>’</w:t>
      </w:r>
      <w:r>
        <w:rPr>
          <w:kern w:val="0"/>
        </w:rPr>
        <w:t>s Hardwiring Excellence. Methods: The English language health, healthcare management,</w:t>
      </w:r>
      <w:r w:rsidR="00F81221">
        <w:rPr>
          <w:kern w:val="0"/>
        </w:rPr>
        <w:t xml:space="preserve"> and </w:t>
      </w:r>
      <w:r>
        <w:rPr>
          <w:kern w:val="0"/>
        </w:rPr>
        <w:t>organizational science literature (up to December 2007) indexed in MEDLINE, Web of Science, ABI/Inform, Cochrane Library, CINAHL,</w:t>
      </w:r>
      <w:r w:rsidR="00F81221">
        <w:rPr>
          <w:kern w:val="0"/>
        </w:rPr>
        <w:t xml:space="preserve"> and </w:t>
      </w:r>
      <w:r>
        <w:rPr>
          <w:kern w:val="0"/>
        </w:rPr>
        <w:t xml:space="preserve">ERIC was reviewed for </w:t>
      </w:r>
      <w:r>
        <w:rPr>
          <w:kern w:val="0"/>
        </w:rPr>
        <w:lastRenderedPageBreak/>
        <w:t>studies on the aforementioned transformation strategies in healthcare settings. Articles were included if they: appeared in a peer-reviewed journal; described a specific intervention; were not classified as a pilot study; provided quantitative data;</w:t>
      </w:r>
      <w:r w:rsidR="00F81221">
        <w:rPr>
          <w:kern w:val="0"/>
        </w:rPr>
        <w:t xml:space="preserve"> and </w:t>
      </w:r>
      <w:r>
        <w:rPr>
          <w:kern w:val="0"/>
        </w:rPr>
        <w:t>were not review articles. Nine references on Six Sigma, nine on Lean/Toyota Production System,</w:t>
      </w:r>
      <w:r w:rsidR="00F81221">
        <w:rPr>
          <w:kern w:val="0"/>
        </w:rPr>
        <w:t xml:space="preserve"> and </w:t>
      </w:r>
      <w:r>
        <w:rPr>
          <w:kern w:val="0"/>
        </w:rPr>
        <w:t>one on StuderGroup meet the study</w:t>
      </w:r>
      <w:r w:rsidR="000352E7">
        <w:rPr>
          <w:kern w:val="0"/>
        </w:rPr>
        <w:t>’</w:t>
      </w:r>
      <w:r>
        <w:rPr>
          <w:kern w:val="0"/>
        </w:rPr>
        <w:t>s eligibility criteria. Results: The reviewed studies universally concluded the implementations of these transformation strategies were successful in improving a variety of healthcare related processes</w:t>
      </w:r>
      <w:r w:rsidR="00F81221">
        <w:rPr>
          <w:kern w:val="0"/>
        </w:rPr>
        <w:t xml:space="preserve"> and </w:t>
      </w:r>
      <w:r>
        <w:rPr>
          <w:kern w:val="0"/>
        </w:rPr>
        <w:t>outcomes. Additionally, the existing literature reflects a wide application of these transformation strategies in terms of both settings</w:t>
      </w:r>
      <w:r w:rsidR="00F81221">
        <w:rPr>
          <w:kern w:val="0"/>
        </w:rPr>
        <w:t xml:space="preserve"> and </w:t>
      </w:r>
      <w:r>
        <w:rPr>
          <w:kern w:val="0"/>
        </w:rPr>
        <w:t>problems. However, despite these positive features, the vast majority had methodological limitations that might undermine the validity of the results. Common features included: weak study designs, inappropriate analyses,</w:t>
      </w:r>
      <w:r w:rsidR="00F81221">
        <w:rPr>
          <w:kern w:val="0"/>
        </w:rPr>
        <w:t xml:space="preserve"> and </w:t>
      </w:r>
      <w:r>
        <w:rPr>
          <w:kern w:val="0"/>
        </w:rPr>
        <w:t>failures to rule out alternative hypotheses. Furthermore, frequently absent was any attention to changes in organizational culture or substantial evidence of lasting effects from these efforts. Conclusion: Despite the current popularity of these strategies, few studies meet the inclusion criteria for this review. Furthermore, each could have been improved substantially in order to ensure the validity of the conclusions, demonstrate sustainability, investigate changes in organizational culture, or even how one strategy interfaced with other concurrent</w:t>
      </w:r>
      <w:r w:rsidR="00F81221">
        <w:rPr>
          <w:kern w:val="0"/>
        </w:rPr>
        <w:t xml:space="preserve"> and </w:t>
      </w:r>
      <w:r>
        <w:rPr>
          <w:kern w:val="0"/>
        </w:rPr>
        <w:t>subsequent transformation efforts. While informative results can be gleaned from less rigorous studies, improved design</w:t>
      </w:r>
      <w:r w:rsidR="00F81221">
        <w:rPr>
          <w:kern w:val="0"/>
        </w:rPr>
        <w:t xml:space="preserve"> and </w:t>
      </w:r>
      <w:r>
        <w:rPr>
          <w:kern w:val="0"/>
        </w:rPr>
        <w:t>analysis can more effectively guide healthcare leaders who are motivated to transform their organizations</w:t>
      </w:r>
      <w:r w:rsidR="00F81221">
        <w:rPr>
          <w:kern w:val="0"/>
        </w:rPr>
        <w:t xml:space="preserve"> and </w:t>
      </w:r>
      <w:r>
        <w:rPr>
          <w:kern w:val="0"/>
        </w:rPr>
        <w:t>convince others of the need to employ such strategies. Demanding more exacting evaluation of projects consultants, or partnerships with health management researchers in academic settings, can support such efforts.</w:t>
      </w:r>
    </w:p>
    <w:p w:rsidR="00996864" w:rsidRDefault="00996864" w:rsidP="00996864">
      <w:pPr>
        <w:pStyle w:val="a0"/>
        <w:rPr>
          <w:kern w:val="0"/>
        </w:rPr>
      </w:pPr>
      <w:r>
        <w:rPr>
          <w:kern w:val="0"/>
        </w:rPr>
        <w:t>Keywords: Analysis, Articles, Attention, Cochrane, Culture, Effectiveness, Errors, Evaluation, Improvement, Intervention, Journal, Leaders, Literature, Management, Methods, Organizational Transformation, Outcomes, Partnerships, Principles, Quality, Quantitative, Reduction, Research, Researchers, Review, Science, Strategy, Surgery, Time, Toyota Production System, Validity, Waste, Web of Science</w:t>
      </w:r>
    </w:p>
    <w:p w:rsidR="00655D5A" w:rsidRDefault="00655D5A" w:rsidP="00655D5A">
      <w:pPr>
        <w:pStyle w:val="a0"/>
        <w:rPr>
          <w:kern w:val="0"/>
        </w:rPr>
      </w:pPr>
      <w:r>
        <w:rPr>
          <w:rFonts w:hint="eastAsia"/>
          <w:kern w:val="0"/>
        </w:rPr>
        <w:t xml:space="preserve">? </w:t>
      </w:r>
      <w:r>
        <w:rPr>
          <w:kern w:val="0"/>
        </w:rPr>
        <w:t>Hrisos, S., Eccles, M.P., Francis, J.J., Dickinson, H.O., Kaner, E.F.S., Beyer, F.</w:t>
      </w:r>
      <w:r w:rsidR="00F81221">
        <w:rPr>
          <w:kern w:val="0"/>
        </w:rPr>
        <w:t xml:space="preserve"> and </w:t>
      </w:r>
      <w:r>
        <w:rPr>
          <w:kern w:val="0"/>
        </w:rPr>
        <w:t xml:space="preserve">Johnston, M. (2009), Are there valid proxy measures of clinical behaviour? </w:t>
      </w:r>
      <w:r w:rsidR="005402E7">
        <w:rPr>
          <w:rFonts w:hint="eastAsia"/>
          <w:kern w:val="0"/>
        </w:rPr>
        <w:t>A</w:t>
      </w:r>
      <w:r>
        <w:rPr>
          <w:kern w:val="0"/>
        </w:rPr>
        <w:t xml:space="preserve"> systematic review. </w:t>
      </w:r>
      <w:r>
        <w:rPr>
          <w:i/>
          <w:iCs/>
          <w:kern w:val="0"/>
        </w:rPr>
        <w:t>Implementation Science</w:t>
      </w:r>
      <w:r>
        <w:rPr>
          <w:kern w:val="0"/>
        </w:rPr>
        <w:t xml:space="preserve">, </w:t>
      </w:r>
      <w:r>
        <w:rPr>
          <w:b/>
          <w:bCs/>
          <w:kern w:val="0"/>
        </w:rPr>
        <w:t>4</w:t>
      </w:r>
      <w:r>
        <w:rPr>
          <w:rFonts w:hint="eastAsia"/>
          <w:kern w:val="0"/>
        </w:rPr>
        <w:t xml:space="preserve">, </w:t>
      </w:r>
      <w:r w:rsidRPr="007E73BD">
        <w:t>Article Number</w:t>
      </w:r>
      <w:r w:rsidRPr="007E73BD">
        <w:rPr>
          <w:rFonts w:hint="eastAsia"/>
        </w:rPr>
        <w:t xml:space="preserve"> 37.</w:t>
      </w:r>
    </w:p>
    <w:p w:rsidR="00655D5A" w:rsidRDefault="00655D5A" w:rsidP="00655D5A">
      <w:pPr>
        <w:pStyle w:val="a0"/>
        <w:rPr>
          <w:kern w:val="0"/>
          <w:szCs w:val="24"/>
        </w:rPr>
      </w:pPr>
      <w:r>
        <w:rPr>
          <w:rFonts w:hint="eastAsia"/>
          <w:kern w:val="0"/>
          <w:szCs w:val="24"/>
        </w:rPr>
        <w:t xml:space="preserve">Full Text: </w:t>
      </w:r>
      <w:hyperlink r:id="rId842" w:history="1">
        <w:r w:rsidRPr="00C847BD">
          <w:rPr>
            <w:rStyle w:val="a5"/>
            <w:kern w:val="0"/>
            <w:szCs w:val="24"/>
          </w:rPr>
          <w:t>2009\Imp Sci4, 37.pdf</w:t>
        </w:r>
      </w:hyperlink>
    </w:p>
    <w:p w:rsidR="00655D5A" w:rsidRDefault="00655D5A" w:rsidP="00655D5A">
      <w:pPr>
        <w:pStyle w:val="a0"/>
        <w:rPr>
          <w:kern w:val="0"/>
        </w:rPr>
      </w:pPr>
      <w:r>
        <w:rPr>
          <w:kern w:val="0"/>
        </w:rPr>
        <w:t>Abstract: Background: Accurate measures of health professionals</w:t>
      </w:r>
      <w:r w:rsidR="000352E7">
        <w:rPr>
          <w:kern w:val="0"/>
        </w:rPr>
        <w:t>’</w:t>
      </w:r>
      <w:r>
        <w:rPr>
          <w:kern w:val="0"/>
        </w:rPr>
        <w:t xml:space="preserve"> clinical practice are critically important to guide health policy decisions, as well as for professional self-evaluation</w:t>
      </w:r>
      <w:r w:rsidR="00F81221">
        <w:rPr>
          <w:kern w:val="0"/>
        </w:rPr>
        <w:t xml:space="preserve"> and </w:t>
      </w:r>
      <w:r>
        <w:rPr>
          <w:kern w:val="0"/>
        </w:rPr>
        <w:t>for research-based investigation of clinical practice</w:t>
      </w:r>
      <w:r w:rsidR="00F81221">
        <w:rPr>
          <w:kern w:val="0"/>
        </w:rPr>
        <w:t xml:space="preserve"> and </w:t>
      </w:r>
      <w:r>
        <w:rPr>
          <w:kern w:val="0"/>
        </w:rPr>
        <w:t>process of care. It is often not feasible or ethical to measure behaviour through direct observation,</w:t>
      </w:r>
      <w:r w:rsidR="00F81221">
        <w:rPr>
          <w:kern w:val="0"/>
        </w:rPr>
        <w:t xml:space="preserve"> and </w:t>
      </w:r>
      <w:r>
        <w:rPr>
          <w:kern w:val="0"/>
        </w:rPr>
        <w:t>rigorous behavioural measures are difficult</w:t>
      </w:r>
      <w:r w:rsidR="00F81221">
        <w:rPr>
          <w:kern w:val="0"/>
        </w:rPr>
        <w:t xml:space="preserve"> and </w:t>
      </w:r>
      <w:r>
        <w:rPr>
          <w:kern w:val="0"/>
        </w:rPr>
        <w:t xml:space="preserve">costly to use. The </w:t>
      </w:r>
      <w:r>
        <w:rPr>
          <w:kern w:val="0"/>
        </w:rPr>
        <w:lastRenderedPageBreak/>
        <w:t>aim of this review was to identify the current evidence relating to the relationships between proxy measures</w:t>
      </w:r>
      <w:r w:rsidR="00F81221">
        <w:rPr>
          <w:kern w:val="0"/>
        </w:rPr>
        <w:t xml:space="preserve"> and </w:t>
      </w:r>
      <w:r>
        <w:rPr>
          <w:kern w:val="0"/>
        </w:rPr>
        <w:t>direct measures of clinical behaviour. In particular, the accuracy of medical record review, clinician self-reported</w:t>
      </w:r>
      <w:r w:rsidR="00F81221">
        <w:rPr>
          <w:kern w:val="0"/>
        </w:rPr>
        <w:t xml:space="preserve"> and </w:t>
      </w:r>
      <w:r>
        <w:rPr>
          <w:kern w:val="0"/>
        </w:rPr>
        <w:t>patient-reported behaviour was assessed relative to directly observed behaviour. Methods: We searched: PsycINFO; MEDLINE; EMBASE; CINAHL; Cochrane Central Register of Controlled Trials; science/social science citation index; Current contents (social &amp; behavioural med/clinical med); ISI conference proceedings;</w:t>
      </w:r>
      <w:r w:rsidR="00F81221">
        <w:rPr>
          <w:kern w:val="0"/>
        </w:rPr>
        <w:t xml:space="preserve"> and </w:t>
      </w:r>
      <w:r>
        <w:rPr>
          <w:kern w:val="0"/>
        </w:rPr>
        <w:t>Index to Theses. Inclusion criteria: empirical, quantitative studies;</w:t>
      </w:r>
      <w:r w:rsidR="00F81221">
        <w:rPr>
          <w:kern w:val="0"/>
        </w:rPr>
        <w:t xml:space="preserve"> and </w:t>
      </w:r>
      <w:r>
        <w:rPr>
          <w:kern w:val="0"/>
        </w:rPr>
        <w:t xml:space="preserve">examining clinical behaviours. An independent, direct measure of behaviour (by standardised patient, other trained observer or by video/audio recording) was considered the </w:t>
      </w:r>
      <w:r w:rsidR="000352E7">
        <w:rPr>
          <w:kern w:val="0"/>
        </w:rPr>
        <w:t>‘</w:t>
      </w:r>
      <w:r>
        <w:rPr>
          <w:kern w:val="0"/>
        </w:rPr>
        <w:t>gold standard</w:t>
      </w:r>
      <w:r w:rsidR="000352E7">
        <w:rPr>
          <w:kern w:val="0"/>
        </w:rPr>
        <w:t>’</w:t>
      </w:r>
      <w:r>
        <w:rPr>
          <w:kern w:val="0"/>
        </w:rPr>
        <w:t xml:space="preserve"> for comparison. Proxy measures of behaviour included: retrospective self-report; patient-report; or chart-review. All titles, abstracts,</w:t>
      </w:r>
      <w:r w:rsidR="00F81221">
        <w:rPr>
          <w:kern w:val="0"/>
        </w:rPr>
        <w:t xml:space="preserve"> and </w:t>
      </w:r>
      <w:r>
        <w:rPr>
          <w:kern w:val="0"/>
        </w:rPr>
        <w:t>full text articles retrieved by electronic searching were screened for inclusion</w:t>
      </w:r>
      <w:r w:rsidR="00F81221">
        <w:rPr>
          <w:kern w:val="0"/>
        </w:rPr>
        <w:t xml:space="preserve"> and </w:t>
      </w:r>
      <w:r>
        <w:rPr>
          <w:kern w:val="0"/>
        </w:rPr>
        <w:t>abstracted independently by two reviewers. Disagreements were resolved by discussion with a third reviewer where necessary. Results: Fifteen reports originating from 11 studies met the inclusion criteria. The method of direct measurement was by standardised patient in six reports, trained observer in three reports,</w:t>
      </w:r>
      <w:r w:rsidR="00F81221">
        <w:rPr>
          <w:kern w:val="0"/>
        </w:rPr>
        <w:t xml:space="preserve"> and </w:t>
      </w:r>
      <w:r>
        <w:rPr>
          <w:kern w:val="0"/>
        </w:rPr>
        <w:t>audio/video recording in six reports. Multiple proxy measures of behaviour were compared in five of 15 reports. Only four of 15 reports used appropriate statistical methods to compare measures. Some direct measures failed to meet our validity criteria. The accuracy of patient report</w:t>
      </w:r>
      <w:r w:rsidR="00F81221">
        <w:rPr>
          <w:kern w:val="0"/>
        </w:rPr>
        <w:t xml:space="preserve"> and </w:t>
      </w:r>
      <w:r>
        <w:rPr>
          <w:kern w:val="0"/>
        </w:rPr>
        <w:t>chart review as proxy measures varied considerably across a wide range of clinical actions. The evidence for clinician self-report was in conclusive. Conclusion: Valid measures of clinical behaviour are of fundamental importance to accurately identify gaps in care delivery, improve quality of care,</w:t>
      </w:r>
      <w:r w:rsidR="00F81221">
        <w:rPr>
          <w:kern w:val="0"/>
        </w:rPr>
        <w:t xml:space="preserve"> and </w:t>
      </w:r>
      <w:r>
        <w:rPr>
          <w:kern w:val="0"/>
        </w:rPr>
        <w:t>ultimately to improve patient care. However, the evidence base for three commonly used proxy measures of clinicians</w:t>
      </w:r>
      <w:r w:rsidR="000352E7">
        <w:rPr>
          <w:kern w:val="0"/>
        </w:rPr>
        <w:t>’</w:t>
      </w:r>
      <w:r>
        <w:rPr>
          <w:kern w:val="0"/>
        </w:rPr>
        <w:t xml:space="preserve"> behaviour is very limited. Further research is needed to better establish the methods of development, application,</w:t>
      </w:r>
      <w:r w:rsidR="00F81221">
        <w:rPr>
          <w:kern w:val="0"/>
        </w:rPr>
        <w:t xml:space="preserve"> and </w:t>
      </w:r>
      <w:r>
        <w:rPr>
          <w:kern w:val="0"/>
        </w:rPr>
        <w:t>analysis for a range of both direct</w:t>
      </w:r>
      <w:r w:rsidR="00F81221">
        <w:rPr>
          <w:kern w:val="0"/>
        </w:rPr>
        <w:t xml:space="preserve"> and </w:t>
      </w:r>
      <w:r>
        <w:rPr>
          <w:kern w:val="0"/>
        </w:rPr>
        <w:t>proxy measures of behaviour.</w:t>
      </w:r>
    </w:p>
    <w:p w:rsidR="00655D5A" w:rsidRDefault="00655D5A" w:rsidP="00655D5A">
      <w:pPr>
        <w:pStyle w:val="a0"/>
        <w:rPr>
          <w:kern w:val="0"/>
        </w:rPr>
      </w:pPr>
      <w:r>
        <w:rPr>
          <w:kern w:val="0"/>
        </w:rPr>
        <w:t>Keywords: Agreement, Chart Abstraction, General-Practice, Medical-Record, Medline, Patient, Performance, Policy, Quality, Research, Standardized Patients, Systematic Review, Tape, Vignettes</w:t>
      </w:r>
    </w:p>
    <w:p w:rsidR="00996864" w:rsidRPr="001A3D2B" w:rsidRDefault="00996864" w:rsidP="00996864">
      <w:pPr>
        <w:pStyle w:val="a0"/>
        <w:rPr>
          <w:kern w:val="0"/>
        </w:rPr>
      </w:pPr>
      <w:r>
        <w:rPr>
          <w:rFonts w:hint="eastAsia"/>
          <w:kern w:val="0"/>
        </w:rPr>
        <w:t xml:space="preserve">? </w:t>
      </w:r>
      <w:r>
        <w:rPr>
          <w:kern w:val="0"/>
        </w:rPr>
        <w:t>Squires, J.E., Hutchinson, A.M., Bostrom, A.M., O</w:t>
      </w:r>
      <w:r w:rsidR="000352E7">
        <w:rPr>
          <w:kern w:val="0"/>
        </w:rPr>
        <w:t>’</w:t>
      </w:r>
      <w:r>
        <w:rPr>
          <w:kern w:val="0"/>
        </w:rPr>
        <w:t>Rourke, H.M., Cobban, S.J.</w:t>
      </w:r>
      <w:r w:rsidR="00F81221">
        <w:rPr>
          <w:kern w:val="0"/>
        </w:rPr>
        <w:t xml:space="preserve"> and </w:t>
      </w:r>
      <w:r>
        <w:rPr>
          <w:kern w:val="0"/>
        </w:rPr>
        <w:t xml:space="preserve">Estabrooks, C.A. (2011), To what extent do nurses use research in clinical practice? A systematic review. </w:t>
      </w:r>
      <w:r>
        <w:rPr>
          <w:i/>
          <w:iCs/>
          <w:kern w:val="0"/>
        </w:rPr>
        <w:t>Implementation Science</w:t>
      </w:r>
      <w:r>
        <w:rPr>
          <w:kern w:val="0"/>
        </w:rPr>
        <w:t xml:space="preserve">, </w:t>
      </w:r>
      <w:r>
        <w:rPr>
          <w:b/>
          <w:bCs/>
          <w:kern w:val="0"/>
        </w:rPr>
        <w:t>6</w:t>
      </w:r>
      <w:r>
        <w:rPr>
          <w:rFonts w:hint="eastAsia"/>
        </w:rPr>
        <w:t xml:space="preserve">, </w:t>
      </w:r>
      <w:r w:rsidRPr="001A3D2B">
        <w:t xml:space="preserve">Article Number </w:t>
      </w:r>
      <w:r>
        <w:rPr>
          <w:rFonts w:hint="eastAsia"/>
        </w:rPr>
        <w:t>21</w:t>
      </w:r>
      <w:r w:rsidRPr="001A3D2B">
        <w:t>.</w:t>
      </w:r>
    </w:p>
    <w:p w:rsidR="00996864" w:rsidRPr="001A3D2B" w:rsidRDefault="00996864" w:rsidP="00996864">
      <w:pPr>
        <w:pStyle w:val="a0"/>
        <w:rPr>
          <w:kern w:val="0"/>
          <w:szCs w:val="24"/>
        </w:rPr>
      </w:pPr>
      <w:r w:rsidRPr="001A3D2B">
        <w:rPr>
          <w:kern w:val="0"/>
          <w:szCs w:val="24"/>
        </w:rPr>
        <w:t xml:space="preserve">Full Text: </w:t>
      </w:r>
      <w:hyperlink r:id="rId843" w:history="1">
        <w:r w:rsidRPr="00E72746">
          <w:rPr>
            <w:rStyle w:val="a5"/>
            <w:kern w:val="0"/>
            <w:szCs w:val="24"/>
          </w:rPr>
          <w:t>2011\Imp Sci6, 21.pdf</w:t>
        </w:r>
      </w:hyperlink>
    </w:p>
    <w:p w:rsidR="00996864" w:rsidRDefault="00996864" w:rsidP="00996864">
      <w:pPr>
        <w:pStyle w:val="a0"/>
        <w:rPr>
          <w:kern w:val="0"/>
        </w:rPr>
      </w:pPr>
      <w:r>
        <w:rPr>
          <w:kern w:val="0"/>
        </w:rPr>
        <w:t>Abstract: Background: In the past forty years, many gains have been made in our understanding of the concept of research utilization. While numerous studies exist on professional nurses</w:t>
      </w:r>
      <w:r w:rsidR="000352E7">
        <w:rPr>
          <w:kern w:val="0"/>
        </w:rPr>
        <w:t>’</w:t>
      </w:r>
      <w:r>
        <w:rPr>
          <w:kern w:val="0"/>
        </w:rPr>
        <w:t xml:space="preserve"> use of research in practice, no attempt has been made to systematically evaluate</w:t>
      </w:r>
      <w:r w:rsidR="00F81221">
        <w:rPr>
          <w:kern w:val="0"/>
        </w:rPr>
        <w:t xml:space="preserve"> and </w:t>
      </w:r>
      <w:r>
        <w:rPr>
          <w:kern w:val="0"/>
        </w:rPr>
        <w:t xml:space="preserve">synthesize this body of literature with respect to the </w:t>
      </w:r>
      <w:r>
        <w:rPr>
          <w:kern w:val="0"/>
        </w:rPr>
        <w:lastRenderedPageBreak/>
        <w:t>extent to which nurses use research in their clinical practice. The objective of this study was to systematically identify</w:t>
      </w:r>
      <w:r w:rsidR="00F81221">
        <w:rPr>
          <w:kern w:val="0"/>
        </w:rPr>
        <w:t xml:space="preserve"> and </w:t>
      </w:r>
      <w:r>
        <w:rPr>
          <w:kern w:val="0"/>
        </w:rPr>
        <w:t>analyze the available evidence related to the extent to which nurses use research findings in practice. Methods: This study was a systematic review of published</w:t>
      </w:r>
      <w:r w:rsidR="00F81221">
        <w:rPr>
          <w:kern w:val="0"/>
        </w:rPr>
        <w:t xml:space="preserve"> and </w:t>
      </w:r>
      <w:r>
        <w:rPr>
          <w:kern w:val="0"/>
        </w:rPr>
        <w:t>grey literature. The search strategy included 13 online bibliographic databases: Cochrane Database of Systematic Reviews, Cochrane Central Register of Controlled Trials, MEDLINE, CINAHL, EMBASE, HAPI, Web of Science, SCOPUS, OCLC Papers First, OCLC WorldCat, ABI Inform, Sociological Abstracts,</w:t>
      </w:r>
      <w:r w:rsidR="00F81221">
        <w:rPr>
          <w:kern w:val="0"/>
        </w:rPr>
        <w:t xml:space="preserve"> and </w:t>
      </w:r>
      <w:r>
        <w:rPr>
          <w:kern w:val="0"/>
        </w:rPr>
        <w:t>Dissertation Abstracts. The inclusion criteria consisted of primary research reports that assess professional nurses</w:t>
      </w:r>
      <w:r w:rsidR="000352E7">
        <w:rPr>
          <w:kern w:val="0"/>
        </w:rPr>
        <w:t>’</w:t>
      </w:r>
      <w:r>
        <w:rPr>
          <w:kern w:val="0"/>
        </w:rPr>
        <w:t xml:space="preserve"> use of research in practice, written in the English or Scandinavian languages. Extent of research use was determined by assigning research use scores reported in each article to one of four quartiles: low, moderate-low, moderate-high, or high. Results: Following removal of duplicate citations, a total of 12,418 titles were identified through database searches, of which 133 articles were retrieved. of the articles retrieved, 55 satisfied the inclusion criteria. The 55 final reports included cross-sectional/survey (n = 51)</w:t>
      </w:r>
      <w:r w:rsidR="00F81221">
        <w:rPr>
          <w:kern w:val="0"/>
        </w:rPr>
        <w:t xml:space="preserve"> and </w:t>
      </w:r>
      <w:r>
        <w:rPr>
          <w:kern w:val="0"/>
        </w:rPr>
        <w:t>quasi-experimental (n = 4) designs. A sensitivity analysis, comparing findings from all reports with those rated moderate (moderate-weak</w:t>
      </w:r>
      <w:r w:rsidR="00F81221">
        <w:rPr>
          <w:kern w:val="0"/>
        </w:rPr>
        <w:t xml:space="preserve"> and </w:t>
      </w:r>
      <w:r>
        <w:rPr>
          <w:kern w:val="0"/>
        </w:rPr>
        <w:t>moderate-strong)</w:t>
      </w:r>
      <w:r w:rsidR="00F81221">
        <w:rPr>
          <w:kern w:val="0"/>
        </w:rPr>
        <w:t xml:space="preserve"> and </w:t>
      </w:r>
      <w:r>
        <w:rPr>
          <w:kern w:val="0"/>
        </w:rPr>
        <w:t>strong quality, did not show significant differences. In a majority of the articles identified (n = 38, 69%), nurses reported moderate-high research use. Conclusions: According to this review, nurses</w:t>
      </w:r>
      <w:r w:rsidR="000352E7">
        <w:rPr>
          <w:kern w:val="0"/>
        </w:rPr>
        <w:t>’</w:t>
      </w:r>
      <w:r>
        <w:rPr>
          <w:kern w:val="0"/>
        </w:rPr>
        <w:t xml:space="preserve"> reported use of research is moderate-high</w:t>
      </w:r>
      <w:r w:rsidR="00F81221">
        <w:rPr>
          <w:kern w:val="0"/>
        </w:rPr>
        <w:t xml:space="preserve"> and </w:t>
      </w:r>
      <w:r>
        <w:rPr>
          <w:kern w:val="0"/>
        </w:rPr>
        <w:t>has remained relatively consistent over time until the early 2000</w:t>
      </w:r>
      <w:r w:rsidR="000352E7">
        <w:rPr>
          <w:kern w:val="0"/>
        </w:rPr>
        <w:t>’</w:t>
      </w:r>
      <w:r>
        <w:rPr>
          <w:kern w:val="0"/>
        </w:rPr>
        <w:t>s. This finding, however, may paint an overly optimistic picture of the extent to which nurses use research in their practice given the methodological problems inherent in the majority of studies. There is a clear need for the development of standard measures of research use</w:t>
      </w:r>
      <w:r w:rsidR="00F81221">
        <w:rPr>
          <w:kern w:val="0"/>
        </w:rPr>
        <w:t xml:space="preserve"> and </w:t>
      </w:r>
      <w:r>
        <w:rPr>
          <w:kern w:val="0"/>
        </w:rPr>
        <w:t>robust well-designed studies examining nurses</w:t>
      </w:r>
      <w:r w:rsidR="000352E7">
        <w:rPr>
          <w:kern w:val="0"/>
        </w:rPr>
        <w:t>’</w:t>
      </w:r>
      <w:r>
        <w:rPr>
          <w:kern w:val="0"/>
        </w:rPr>
        <w:t xml:space="preserve"> use of research</w:t>
      </w:r>
      <w:r w:rsidR="00F81221">
        <w:rPr>
          <w:kern w:val="0"/>
        </w:rPr>
        <w:t xml:space="preserve"> and </w:t>
      </w:r>
      <w:r>
        <w:rPr>
          <w:kern w:val="0"/>
        </w:rPr>
        <w:t>its impact on patient outcomes. The relatively unchanged self-reports of moderate-high research use by nurses is troubling given that over 40 years have elapsed since the first studies in this review were conducted</w:t>
      </w:r>
      <w:r w:rsidR="00F81221">
        <w:rPr>
          <w:kern w:val="0"/>
        </w:rPr>
        <w:t xml:space="preserve"> and </w:t>
      </w:r>
      <w:r>
        <w:rPr>
          <w:kern w:val="0"/>
        </w:rPr>
        <w:t>the increasing emphasis in the past 15 years on evidence-based practice. More troubling is the absence of studies in which attempts are made to assess the effects of varying levels of research use on patient outcomes.</w:t>
      </w:r>
    </w:p>
    <w:p w:rsidR="00996864" w:rsidRDefault="00996864" w:rsidP="00996864">
      <w:pPr>
        <w:pStyle w:val="a0"/>
        <w:rPr>
          <w:kern w:val="0"/>
        </w:rPr>
      </w:pPr>
      <w:r>
        <w:rPr>
          <w:kern w:val="0"/>
        </w:rPr>
        <w:t>Keywords: Analysis, Attitudes, Bibliographic, Bibliographic Databases, Citations, Cochrane, Databases, Development, Embase, Evidence-Based Practice, Guidelines, Health-Care Settings, Impact, Implementation, Individual Determinants, Interventions, Literature, Management, Medline, Methods, Northern-Ireland, Nurses, Nursing Practice, Outcomes, Patient Outcomes, Practice, Primary, Professional, Research, Review, Science, Scopus, Strategy, Systematic, Systematic Review, Utilization, Web of Science</w:t>
      </w:r>
    </w:p>
    <w:p w:rsidR="00537DDD" w:rsidRPr="00217FB1" w:rsidRDefault="00537DDD" w:rsidP="00537DDD">
      <w:pPr>
        <w:pStyle w:val="1"/>
      </w:pPr>
      <w:r w:rsidRPr="00217FB1">
        <w:br w:type="page"/>
      </w:r>
      <w:bookmarkStart w:id="812" w:name="_Toc238863005"/>
      <w:bookmarkStart w:id="813" w:name="_Toc317161109"/>
      <w:r w:rsidRPr="00217FB1">
        <w:lastRenderedPageBreak/>
        <w:t>Title:</w:t>
      </w:r>
      <w:r>
        <w:t xml:space="preserve"> </w:t>
      </w:r>
      <w:r w:rsidRPr="00C93EB1">
        <w:t>Indexer</w:t>
      </w:r>
      <w:bookmarkEnd w:id="812"/>
      <w:bookmarkEnd w:id="813"/>
    </w:p>
    <w:p w:rsidR="00537DDD" w:rsidRPr="00021F0C" w:rsidRDefault="00537DDD" w:rsidP="00B72EF9">
      <w:pPr>
        <w:pStyle w:val="12"/>
      </w:pPr>
      <w:r w:rsidRPr="00021F0C">
        <w:t>Full</w:t>
      </w:r>
      <w:r>
        <w:t xml:space="preserve"> </w:t>
      </w:r>
      <w:r w:rsidRPr="00021F0C">
        <w:t>Journal</w:t>
      </w:r>
      <w:r>
        <w:t xml:space="preserve"> </w:t>
      </w:r>
      <w:r w:rsidRPr="00021F0C">
        <w:t>Title:</w:t>
      </w:r>
      <w:r>
        <w:t xml:space="preserve"> </w:t>
      </w:r>
      <w:r w:rsidRPr="0007314E">
        <w:t>Indexer</w:t>
      </w:r>
    </w:p>
    <w:p w:rsidR="00537DDD" w:rsidRPr="00021F0C" w:rsidRDefault="00537DDD" w:rsidP="00B72EF9">
      <w:pPr>
        <w:pStyle w:val="12"/>
      </w:pPr>
      <w:r w:rsidRPr="00021F0C">
        <w:t>ISO</w:t>
      </w:r>
      <w:r>
        <w:t xml:space="preserve"> </w:t>
      </w:r>
      <w:r w:rsidRPr="00021F0C">
        <w:t>Abbreviated</w:t>
      </w:r>
      <w:r>
        <w:t xml:space="preserve"> </w:t>
      </w:r>
      <w:r w:rsidRPr="00021F0C">
        <w:t>Title:</w:t>
      </w:r>
      <w:r>
        <w:t xml:space="preserve"> </w:t>
      </w:r>
      <w:r w:rsidRPr="0007314E">
        <w:t>Indexer</w:t>
      </w:r>
    </w:p>
    <w:p w:rsidR="00537DDD" w:rsidRPr="00021F0C" w:rsidRDefault="00537DDD" w:rsidP="00B72EF9">
      <w:pPr>
        <w:pStyle w:val="12"/>
      </w:pPr>
      <w:r w:rsidRPr="00021F0C">
        <w:t>JCR</w:t>
      </w:r>
      <w:r>
        <w:t xml:space="preserve"> </w:t>
      </w:r>
      <w:r w:rsidRPr="00021F0C">
        <w:t>Abbreviated</w:t>
      </w:r>
      <w:r>
        <w:t xml:space="preserve"> </w:t>
      </w:r>
      <w:r w:rsidRPr="00021F0C">
        <w:t>Title</w:t>
      </w:r>
      <w:r>
        <w:t xml:space="preserve">: </w:t>
      </w:r>
      <w:r w:rsidRPr="0007314E">
        <w:t>Indexer</w:t>
      </w:r>
    </w:p>
    <w:p w:rsidR="00537DDD" w:rsidRPr="00021F0C" w:rsidRDefault="00537DDD" w:rsidP="00B72EF9">
      <w:pPr>
        <w:pStyle w:val="12"/>
      </w:pPr>
      <w:r w:rsidRPr="00021F0C">
        <w:t>ISSN:</w:t>
      </w:r>
      <w:r>
        <w:t xml:space="preserve"> 0019-4131 (print)</w:t>
      </w:r>
      <w:r>
        <w:rPr>
          <w:rFonts w:hint="eastAsia"/>
        </w:rPr>
        <w:t xml:space="preserve">, </w:t>
      </w:r>
      <w:r>
        <w:t>1756-0632 (online)</w:t>
      </w:r>
    </w:p>
    <w:p w:rsidR="00537DDD" w:rsidRPr="00021F0C" w:rsidRDefault="00537DDD" w:rsidP="00B72EF9">
      <w:pPr>
        <w:pStyle w:val="12"/>
      </w:pPr>
      <w:r w:rsidRPr="00021F0C">
        <w:t>Issues/Year:</w:t>
      </w:r>
      <w:r>
        <w:t xml:space="preserve"> </w:t>
      </w:r>
    </w:p>
    <w:p w:rsidR="00537DDD" w:rsidRPr="00021F0C" w:rsidRDefault="00FB5623" w:rsidP="00B72EF9">
      <w:pPr>
        <w:pStyle w:val="12"/>
      </w:pPr>
      <w:r>
        <w:t>Journal Country/Territory:</w:t>
      </w:r>
      <w:r w:rsidR="00537DDD">
        <w:t xml:space="preserve"> </w:t>
      </w:r>
    </w:p>
    <w:p w:rsidR="00537DDD" w:rsidRPr="00021F0C" w:rsidRDefault="00537DDD" w:rsidP="00B72EF9">
      <w:pPr>
        <w:pStyle w:val="12"/>
      </w:pPr>
      <w:r w:rsidRPr="00021F0C">
        <w:t>Language:</w:t>
      </w:r>
      <w:r>
        <w:t xml:space="preserve"> </w:t>
      </w:r>
    </w:p>
    <w:p w:rsidR="00537DDD" w:rsidRPr="00021F0C" w:rsidRDefault="00537DDD" w:rsidP="00B72EF9">
      <w:pPr>
        <w:pStyle w:val="12"/>
      </w:pPr>
      <w:r w:rsidRPr="00021F0C">
        <w:t>Publisher:</w:t>
      </w:r>
      <w:r>
        <w:t xml:space="preserve"> </w:t>
      </w:r>
    </w:p>
    <w:p w:rsidR="00537DDD" w:rsidRPr="00021F0C" w:rsidRDefault="00537DDD" w:rsidP="00B72EF9">
      <w:pPr>
        <w:pStyle w:val="12"/>
      </w:pPr>
      <w:r w:rsidRPr="00021F0C">
        <w:t>Publisher</w:t>
      </w:r>
      <w:r>
        <w:t xml:space="preserve"> </w:t>
      </w:r>
      <w:r w:rsidRPr="00021F0C">
        <w:t>Address:</w:t>
      </w:r>
      <w:r>
        <w:t xml:space="preserve"> </w:t>
      </w:r>
    </w:p>
    <w:p w:rsidR="00537DDD" w:rsidRPr="00021F0C" w:rsidRDefault="00537DDD" w:rsidP="00B72EF9">
      <w:pPr>
        <w:pStyle w:val="12"/>
      </w:pPr>
      <w:r w:rsidRPr="00021F0C">
        <w:t>Subject</w:t>
      </w:r>
      <w:r>
        <w:t xml:space="preserve"> </w:t>
      </w:r>
      <w:r w:rsidRPr="00021F0C">
        <w:t>Categories:</w:t>
      </w:r>
    </w:p>
    <w:p w:rsidR="00537DDD" w:rsidRPr="00021F0C" w:rsidRDefault="00537DDD" w:rsidP="00B72EF9">
      <w:pPr>
        <w:pStyle w:val="12"/>
      </w:pPr>
      <w:r w:rsidRPr="00021F0C">
        <w:t>:</w:t>
      </w:r>
      <w:r>
        <w:t xml:space="preserve"> </w:t>
      </w:r>
      <w:r w:rsidRPr="00021F0C">
        <w:t>Impact</w:t>
      </w:r>
      <w:r>
        <w:t xml:space="preserve"> </w:t>
      </w:r>
      <w:r w:rsidRPr="00021F0C">
        <w:t>Factor</w:t>
      </w:r>
      <w:r>
        <w:t xml:space="preserve"> </w:t>
      </w:r>
    </w:p>
    <w:p w:rsidR="00537DDD" w:rsidRPr="0007314E" w:rsidRDefault="00537DDD" w:rsidP="00537DDD">
      <w:pPr>
        <w:pStyle w:val="a0"/>
      </w:pPr>
      <w:r w:rsidRPr="0007314E">
        <w:t>? H</w:t>
      </w:r>
      <w:r w:rsidRPr="0007314E">
        <w:rPr>
          <w:rFonts w:hint="eastAsia"/>
        </w:rPr>
        <w:t>ua</w:t>
      </w:r>
      <w:r w:rsidRPr="0007314E">
        <w:t>, W</w:t>
      </w:r>
      <w:r w:rsidRPr="0007314E">
        <w:rPr>
          <w:rFonts w:hint="eastAsia"/>
        </w:rPr>
        <w:t>.</w:t>
      </w:r>
      <w:r w:rsidRPr="0007314E">
        <w:t xml:space="preserve">N. (2001), The development of the Chinese Social Sciences Citation Index. </w:t>
      </w:r>
      <w:r w:rsidRPr="00DB3BEE">
        <w:rPr>
          <w:i/>
          <w:iCs/>
        </w:rPr>
        <w:t>Indexer</w:t>
      </w:r>
      <w:r w:rsidRPr="0007314E">
        <w:t xml:space="preserve">, </w:t>
      </w:r>
      <w:r w:rsidRPr="00DB3BEE">
        <w:rPr>
          <w:b/>
          <w:bCs/>
        </w:rPr>
        <w:t>22</w:t>
      </w:r>
      <w:r w:rsidRPr="0007314E">
        <w:t xml:space="preserve"> (3), 128-129.</w:t>
      </w:r>
    </w:p>
    <w:p w:rsidR="00537DDD" w:rsidRPr="0007314E" w:rsidRDefault="00537DDD" w:rsidP="00537DDD">
      <w:pPr>
        <w:pStyle w:val="a0"/>
      </w:pPr>
      <w:r w:rsidRPr="0007314E">
        <w:t>Abstract: An account is given of the development</w:t>
      </w:r>
      <w:r w:rsidR="00F81221">
        <w:t xml:space="preserve"> and </w:t>
      </w:r>
      <w:r w:rsidRPr="0007314E">
        <w:t>use of the first Chinese social sciences citation index. It has helped to fill a gap in the field of Chinese social science research, becoming a useful database for information retrieval</w:t>
      </w:r>
      <w:r w:rsidR="00F81221">
        <w:t xml:space="preserve"> and </w:t>
      </w:r>
      <w:r w:rsidRPr="0007314E">
        <w:t>an important tool for evaluating research work</w:t>
      </w:r>
      <w:r w:rsidR="00F81221">
        <w:t xml:space="preserve"> and </w:t>
      </w:r>
      <w:r w:rsidRPr="0007314E">
        <w:t>social science journals.</w:t>
      </w:r>
    </w:p>
    <w:p w:rsidR="00537DDD" w:rsidRPr="0007314E" w:rsidRDefault="00537DDD" w:rsidP="00537DDD">
      <w:pPr>
        <w:pStyle w:val="a0"/>
      </w:pPr>
      <w:r w:rsidRPr="0007314E">
        <w:t>Keywords: Chinese, Citation, Database, Development, Field, First, Index, Information, Information Retrieval, Journals, Research, Research Work, Science, Science Journals, Science Research, Sciences, Social, Social Sciences, Work</w:t>
      </w:r>
    </w:p>
    <w:p w:rsidR="00B95188" w:rsidRPr="00A428C3" w:rsidRDefault="007D2E74" w:rsidP="007D2E74">
      <w:pPr>
        <w:pStyle w:val="1"/>
      </w:pPr>
      <w:r w:rsidRPr="00217FB1">
        <w:br w:type="page"/>
      </w:r>
      <w:bookmarkStart w:id="814" w:name="_Toc455569467"/>
      <w:bookmarkStart w:id="815" w:name="_Toc487190705"/>
      <w:bookmarkStart w:id="816" w:name="_Toc487882210"/>
      <w:bookmarkStart w:id="817" w:name="_Toc490688028"/>
      <w:bookmarkStart w:id="818" w:name="_Toc492812138"/>
      <w:bookmarkStart w:id="819" w:name="_Toc186647821"/>
      <w:bookmarkStart w:id="820" w:name="_Toc317161110"/>
      <w:r w:rsidR="00B95188" w:rsidRPr="00A428C3">
        <w:lastRenderedPageBreak/>
        <w:t>Title: Indian Chemical Engineer</w:t>
      </w:r>
      <w:bookmarkEnd w:id="814"/>
      <w:bookmarkEnd w:id="815"/>
      <w:bookmarkEnd w:id="816"/>
      <w:bookmarkEnd w:id="817"/>
      <w:bookmarkEnd w:id="818"/>
      <w:bookmarkEnd w:id="819"/>
      <w:bookmarkEnd w:id="820"/>
    </w:p>
    <w:p w:rsidR="00B95188" w:rsidRPr="00A428C3" w:rsidRDefault="00B95188" w:rsidP="00B95188">
      <w:pPr>
        <w:pStyle w:val="a0"/>
      </w:pPr>
      <w:r w:rsidRPr="00A428C3">
        <w:t>(Indian Chem. Engr.)</w:t>
      </w:r>
    </w:p>
    <w:p w:rsidR="00537DDD" w:rsidRPr="00A428C3" w:rsidRDefault="00537DDD" w:rsidP="00B72EF9">
      <w:pPr>
        <w:pStyle w:val="12"/>
      </w:pPr>
      <w:r w:rsidRPr="00A428C3">
        <w:t xml:space="preserve">Full Journal Title: </w:t>
      </w:r>
      <w:hyperlink r:id="rId844" w:history="1">
        <w:r w:rsidRPr="00346EA6">
          <w:rPr>
            <w:rStyle w:val="a5"/>
          </w:rPr>
          <w:t>Indian Chemical Engineer</w:t>
        </w:r>
      </w:hyperlink>
      <w:r w:rsidR="0038091A">
        <w:rPr>
          <w:rFonts w:hint="eastAsia"/>
        </w:rPr>
        <w:t xml:space="preserve">; </w:t>
      </w:r>
      <w:hyperlink r:id="rId845" w:history="1">
        <w:r w:rsidR="0038091A" w:rsidRPr="0038091A">
          <w:rPr>
            <w:rStyle w:val="a5"/>
          </w:rPr>
          <w:t>Indian Chemical Engineer</w:t>
        </w:r>
      </w:hyperlink>
    </w:p>
    <w:p w:rsidR="00537DDD" w:rsidRPr="00A428C3" w:rsidRDefault="00537DDD" w:rsidP="00B72EF9">
      <w:pPr>
        <w:pStyle w:val="12"/>
      </w:pPr>
      <w:r w:rsidRPr="00A428C3">
        <w:t xml:space="preserve">ISO Abbreviated Title: </w:t>
      </w:r>
    </w:p>
    <w:p w:rsidR="00537DDD" w:rsidRPr="00A428C3" w:rsidRDefault="00537DDD" w:rsidP="00B72EF9">
      <w:pPr>
        <w:pStyle w:val="12"/>
      </w:pPr>
      <w:r w:rsidRPr="00A428C3">
        <w:t xml:space="preserve">JCR Abbreviated Title: </w:t>
      </w:r>
    </w:p>
    <w:p w:rsidR="00537DDD" w:rsidRPr="00A428C3" w:rsidRDefault="00537DDD" w:rsidP="00B72EF9">
      <w:pPr>
        <w:pStyle w:val="12"/>
      </w:pPr>
      <w:r w:rsidRPr="00A428C3">
        <w:t xml:space="preserve">ISSN: </w:t>
      </w:r>
    </w:p>
    <w:p w:rsidR="00537DDD" w:rsidRPr="00A428C3" w:rsidRDefault="00537DDD" w:rsidP="00B72EF9">
      <w:pPr>
        <w:pStyle w:val="12"/>
      </w:pPr>
      <w:r w:rsidRPr="00A428C3">
        <w:t xml:space="preserve">Issues/Year: </w:t>
      </w:r>
    </w:p>
    <w:p w:rsidR="00537DDD" w:rsidRPr="00A428C3" w:rsidRDefault="00537DDD" w:rsidP="00B72EF9">
      <w:pPr>
        <w:pStyle w:val="12"/>
      </w:pPr>
      <w:r w:rsidRPr="00A428C3">
        <w:t xml:space="preserve">Journal Country/Territory: </w:t>
      </w:r>
    </w:p>
    <w:p w:rsidR="00537DDD" w:rsidRPr="00A428C3" w:rsidRDefault="00537DDD" w:rsidP="00B72EF9">
      <w:pPr>
        <w:pStyle w:val="12"/>
      </w:pPr>
      <w:r w:rsidRPr="00A428C3">
        <w:t xml:space="preserve">Language: </w:t>
      </w:r>
    </w:p>
    <w:p w:rsidR="00537DDD" w:rsidRPr="00A428C3" w:rsidRDefault="00537DDD" w:rsidP="00B72EF9">
      <w:pPr>
        <w:pStyle w:val="12"/>
      </w:pPr>
      <w:r w:rsidRPr="00A428C3">
        <w:t xml:space="preserve">Publisher: </w:t>
      </w:r>
    </w:p>
    <w:p w:rsidR="00537DDD" w:rsidRPr="00A428C3" w:rsidRDefault="00537DDD" w:rsidP="00B72EF9">
      <w:pPr>
        <w:pStyle w:val="12"/>
      </w:pPr>
      <w:r w:rsidRPr="00A428C3">
        <w:t xml:space="preserve">Publisher Address: </w:t>
      </w:r>
    </w:p>
    <w:p w:rsidR="00537DDD" w:rsidRPr="00A428C3" w:rsidRDefault="00537DDD" w:rsidP="00B72EF9">
      <w:pPr>
        <w:pStyle w:val="12"/>
      </w:pPr>
      <w:r w:rsidRPr="00A428C3">
        <w:t>Subject Categories:</w:t>
      </w:r>
    </w:p>
    <w:p w:rsidR="00537DDD" w:rsidRPr="00A428C3" w:rsidRDefault="00537DDD" w:rsidP="00B72EF9">
      <w:pPr>
        <w:pStyle w:val="12"/>
      </w:pPr>
      <w:r w:rsidRPr="00A428C3">
        <w:t>: Impact Factor</w:t>
      </w:r>
    </w:p>
    <w:p w:rsidR="00B95188" w:rsidRPr="00A428C3" w:rsidRDefault="00B95188" w:rsidP="00B95188">
      <w:pPr>
        <w:pStyle w:val="a0"/>
      </w:pPr>
      <w:r w:rsidRPr="00A428C3">
        <w:t>McConvey, I.F.</w:t>
      </w:r>
      <w:r w:rsidR="00F81221">
        <w:t xml:space="preserve"> and </w:t>
      </w:r>
      <w:r w:rsidRPr="00A428C3">
        <w:t xml:space="preserve">McKay, G. (1981), Dimensionless mass transfer correlations for colour removal from effluent using wood meal as adsorbent. </w:t>
      </w:r>
      <w:r w:rsidRPr="00A428C3">
        <w:rPr>
          <w:i/>
        </w:rPr>
        <w:t>Indian Chemical Engineer</w:t>
      </w:r>
      <w:r w:rsidRPr="00A428C3">
        <w:t xml:space="preserve">, </w:t>
      </w:r>
      <w:r w:rsidRPr="00A428C3">
        <w:rPr>
          <w:b/>
        </w:rPr>
        <w:t>23</w:t>
      </w:r>
      <w:r w:rsidRPr="00A428C3">
        <w:t>, 1-5.</w:t>
      </w:r>
    </w:p>
    <w:p w:rsidR="00B95188" w:rsidRPr="00A428C3" w:rsidRDefault="00B95188" w:rsidP="00B95188">
      <w:pPr>
        <w:pStyle w:val="a0"/>
      </w:pPr>
      <w:r w:rsidRPr="00A428C3">
        <w:t xml:space="preserve">McKay, G. (1984), Adsorption of dyestuffs from aqueous solutions using activated carbon. </w:t>
      </w:r>
      <w:r w:rsidRPr="00A428C3">
        <w:rPr>
          <w:i/>
        </w:rPr>
        <w:t>Indian Chemical Engineer</w:t>
      </w:r>
      <w:r w:rsidRPr="00A428C3">
        <w:t xml:space="preserve">, </w:t>
      </w:r>
      <w:r w:rsidRPr="00A428C3">
        <w:rPr>
          <w:b/>
        </w:rPr>
        <w:t>26</w:t>
      </w:r>
      <w:r w:rsidRPr="00A428C3">
        <w:t>, 23-31.</w:t>
      </w:r>
    </w:p>
    <w:p w:rsidR="00B95188" w:rsidRPr="00A428C3" w:rsidRDefault="00B95188" w:rsidP="00B95188">
      <w:pPr>
        <w:pStyle w:val="a0"/>
      </w:pPr>
      <w:r w:rsidRPr="00A428C3">
        <w:t>McKay, G.</w:t>
      </w:r>
      <w:r w:rsidR="00F81221">
        <w:t xml:space="preserve"> and </w:t>
      </w:r>
      <w:r w:rsidRPr="00A428C3">
        <w:t>Al-Duri, B. (1988), Energy: Management</w:t>
      </w:r>
      <w:r w:rsidR="00F81221">
        <w:t xml:space="preserve"> and </w:t>
      </w:r>
      <w:r w:rsidRPr="00A428C3">
        <w:t xml:space="preserve">conservation. Part I: Energy Management. Part II: Energy conservation. Part III: Waste heat recovery. </w:t>
      </w:r>
      <w:r w:rsidRPr="00A428C3">
        <w:rPr>
          <w:i/>
        </w:rPr>
        <w:t>Indian Chemical Engineer</w:t>
      </w:r>
      <w:r w:rsidRPr="00A428C3">
        <w:t xml:space="preserve">, </w:t>
      </w:r>
      <w:r w:rsidRPr="00A428C3">
        <w:rPr>
          <w:b/>
        </w:rPr>
        <w:t>30</w:t>
      </w:r>
      <w:r w:rsidRPr="00A428C3">
        <w:t>, 3-14.</w:t>
      </w:r>
    </w:p>
    <w:p w:rsidR="00D1650C" w:rsidRPr="00A428C3" w:rsidRDefault="00D1650C" w:rsidP="00D1650C">
      <w:pPr>
        <w:pStyle w:val="a0"/>
      </w:pPr>
      <w:r w:rsidRPr="00A428C3">
        <w:t>?</w:t>
      </w:r>
      <w:r>
        <w:rPr>
          <w:rFonts w:eastAsiaTheme="minorEastAsia" w:hint="eastAsia"/>
          <w:lang w:val="en-IN"/>
        </w:rPr>
        <w:t xml:space="preserve"> </w:t>
      </w:r>
      <w:r>
        <w:rPr>
          <w:rFonts w:eastAsia="TimesNewRomanPSMT"/>
          <w:lang w:val="en-IN" w:eastAsia="en-IN"/>
        </w:rPr>
        <w:t>Nassar</w:t>
      </w:r>
      <w:r>
        <w:rPr>
          <w:rFonts w:eastAsiaTheme="minorEastAsia" w:hint="eastAsia"/>
          <w:lang w:val="en-IN"/>
        </w:rPr>
        <w:t>,</w:t>
      </w:r>
      <w:r>
        <w:rPr>
          <w:rFonts w:eastAsia="TimesNewRomanPSMT"/>
          <w:lang w:val="en-IN" w:eastAsia="en-IN"/>
        </w:rPr>
        <w:t xml:space="preserve"> M.M.</w:t>
      </w:r>
      <w:r w:rsidR="00F81221">
        <w:rPr>
          <w:rFonts w:eastAsia="TimesNewRomanPSMT"/>
          <w:lang w:val="en-IN" w:eastAsia="en-IN"/>
        </w:rPr>
        <w:t xml:space="preserve"> and </w:t>
      </w:r>
      <w:r>
        <w:rPr>
          <w:rFonts w:eastAsia="TimesNewRomanPSMT"/>
          <w:lang w:val="en-IN" w:eastAsia="en-IN"/>
        </w:rPr>
        <w:t>Magdy</w:t>
      </w:r>
      <w:r>
        <w:rPr>
          <w:rFonts w:eastAsiaTheme="minorEastAsia" w:hint="eastAsia"/>
          <w:lang w:val="en-IN"/>
        </w:rPr>
        <w:t>,</w:t>
      </w:r>
      <w:r>
        <w:rPr>
          <w:rFonts w:eastAsia="TimesNewRomanPSMT"/>
          <w:lang w:val="en-IN" w:eastAsia="en-IN"/>
        </w:rPr>
        <w:t xml:space="preserve"> Y.H.</w:t>
      </w:r>
      <w:r w:rsidRPr="00A428C3">
        <w:t xml:space="preserve"> (</w:t>
      </w:r>
      <w:r>
        <w:rPr>
          <w:rFonts w:hint="eastAsia"/>
        </w:rPr>
        <w:t>1999</w:t>
      </w:r>
      <w:r w:rsidRPr="00A428C3">
        <w:t xml:space="preserve">), </w:t>
      </w:r>
      <w:r>
        <w:rPr>
          <w:rFonts w:eastAsia="TimesNewRomanPSMT"/>
          <w:lang w:val="en-IN" w:eastAsia="en-IN"/>
        </w:rPr>
        <w:t>Mass transfer during adsorption of basic dyes on clay in fixed bed</w:t>
      </w:r>
      <w:r w:rsidRPr="00A428C3">
        <w:t xml:space="preserve">. </w:t>
      </w:r>
      <w:r w:rsidRPr="00A428C3">
        <w:rPr>
          <w:i/>
        </w:rPr>
        <w:t>Indian Chemical Engineer</w:t>
      </w:r>
      <w:r w:rsidRPr="00A428C3">
        <w:t xml:space="preserve">, </w:t>
      </w:r>
      <w:r w:rsidRPr="00A428C3">
        <w:rPr>
          <w:b/>
        </w:rPr>
        <w:t>4</w:t>
      </w:r>
      <w:r>
        <w:rPr>
          <w:rFonts w:hint="eastAsia"/>
          <w:b/>
        </w:rPr>
        <w:t>0</w:t>
      </w:r>
      <w:r w:rsidRPr="00A428C3">
        <w:t xml:space="preserve"> (</w:t>
      </w:r>
      <w:r>
        <w:rPr>
          <w:rFonts w:hint="eastAsia"/>
        </w:rPr>
        <w:t>??</w:t>
      </w:r>
      <w:r w:rsidRPr="00A428C3">
        <w:t xml:space="preserve">), </w:t>
      </w:r>
      <w:r>
        <w:rPr>
          <w:rFonts w:hint="eastAsia"/>
        </w:rPr>
        <w:t>27-??</w:t>
      </w:r>
      <w:r w:rsidRPr="00A428C3">
        <w:t>.</w:t>
      </w:r>
    </w:p>
    <w:p w:rsidR="00D1650C" w:rsidRPr="00A428C3" w:rsidRDefault="00D1650C" w:rsidP="00D1650C">
      <w:pPr>
        <w:pStyle w:val="a0"/>
      </w:pPr>
      <w:r w:rsidRPr="00A428C3">
        <w:t xml:space="preserve">? </w:t>
      </w:r>
      <w:r w:rsidRPr="00A428C3">
        <w:rPr>
          <w:kern w:val="36"/>
        </w:rPr>
        <w:t xml:space="preserve">Abraham, B.T., </w:t>
      </w:r>
      <w:r w:rsidRPr="00A428C3">
        <w:t>Krishnan, K.A.</w:t>
      </w:r>
      <w:r w:rsidR="00F81221">
        <w:rPr>
          <w:kern w:val="36"/>
        </w:rPr>
        <w:t xml:space="preserve"> and </w:t>
      </w:r>
      <w:r w:rsidRPr="00A428C3">
        <w:rPr>
          <w:kern w:val="36"/>
        </w:rPr>
        <w:t>Anirudhan, T.S.</w:t>
      </w:r>
      <w:r w:rsidRPr="00A428C3">
        <w:t xml:space="preserve"> (2002), Characterization of the adsorption of mercury(II) from aqueous solution by humus-boehmite complex. </w:t>
      </w:r>
      <w:r w:rsidRPr="00A428C3">
        <w:rPr>
          <w:i/>
        </w:rPr>
        <w:t>Indian Chemical Engineer</w:t>
      </w:r>
      <w:r w:rsidRPr="00A428C3">
        <w:t xml:space="preserve">, </w:t>
      </w:r>
      <w:r w:rsidRPr="00A428C3">
        <w:rPr>
          <w:b/>
        </w:rPr>
        <w:t>44</w:t>
      </w:r>
      <w:r w:rsidRPr="00A428C3">
        <w:t xml:space="preserve"> (3), ??.</w:t>
      </w:r>
    </w:p>
    <w:p w:rsidR="00B95188" w:rsidRPr="00A428C3" w:rsidRDefault="00B95188" w:rsidP="00B95188">
      <w:pPr>
        <w:pStyle w:val="a0"/>
      </w:pPr>
      <w:r w:rsidRPr="00A428C3">
        <w:rPr>
          <w:kern w:val="36"/>
        </w:rPr>
        <w:t>Abstract: The mercury(II) adsorption capacity of humic acid treated boehmite (AlOOH) was studied in the batch mode. Experiments were carried out as a function of adsorbent dose, pH, agitation speed, temperature</w:t>
      </w:r>
      <w:r w:rsidR="00F81221">
        <w:rPr>
          <w:kern w:val="36"/>
        </w:rPr>
        <w:t xml:space="preserve"> and </w:t>
      </w:r>
      <w:r w:rsidRPr="00A428C3">
        <w:rPr>
          <w:kern w:val="36"/>
        </w:rPr>
        <w:t>initial concentration of metal ions. Maximum removal of Hg(II) (92.0 %) was found to occur in the pH range of 6.0-9.0. Kinetic parameters such as rate constants of pseudo-first-order</w:t>
      </w:r>
      <w:r w:rsidR="00F81221">
        <w:rPr>
          <w:kern w:val="36"/>
        </w:rPr>
        <w:t xml:space="preserve"> and </w:t>
      </w:r>
      <w:r w:rsidRPr="00A428C3">
        <w:rPr>
          <w:kern w:val="36"/>
        </w:rPr>
        <w:t>pseudo-second-order</w:t>
      </w:r>
      <w:r w:rsidR="00F81221">
        <w:rPr>
          <w:kern w:val="36"/>
        </w:rPr>
        <w:t xml:space="preserve"> and </w:t>
      </w:r>
      <w:r w:rsidRPr="00A428C3">
        <w:rPr>
          <w:kern w:val="36"/>
        </w:rPr>
        <w:t>diffusion coefficients as a function of agitation speed</w:t>
      </w:r>
      <w:r w:rsidR="00F81221">
        <w:rPr>
          <w:kern w:val="36"/>
        </w:rPr>
        <w:t xml:space="preserve"> and </w:t>
      </w:r>
      <w:r w:rsidRPr="00A428C3">
        <w:rPr>
          <w:kern w:val="36"/>
        </w:rPr>
        <w:t>temperature have been computed for predicting the nature of adsorption. Adsorption could be best described by pseudo-second-order kinetic model. The diffusion of Hg(II) through pores in the absorbent was shown to be the rate limiting step</w:t>
      </w:r>
      <w:r w:rsidR="00F81221">
        <w:rPr>
          <w:kern w:val="36"/>
        </w:rPr>
        <w:t xml:space="preserve"> and </w:t>
      </w:r>
      <w:r w:rsidRPr="00A428C3">
        <w:rPr>
          <w:kern w:val="36"/>
        </w:rPr>
        <w:t xml:space="preserve">is endothermic. The applicability of a modified Langmuir isotherm equation for two population sites for Hg(II) removal has been tested. Sheindrof-Rebhurn-Sheintuch </w:t>
      </w:r>
      <w:r w:rsidRPr="00A428C3">
        <w:rPr>
          <w:kern w:val="36"/>
        </w:rPr>
        <w:lastRenderedPageBreak/>
        <w:t>model was used to study the competitive effect on the uptake of Hg(II) in presence of Pb(II)</w:t>
      </w:r>
      <w:r w:rsidR="00F81221">
        <w:rPr>
          <w:kern w:val="36"/>
        </w:rPr>
        <w:t xml:space="preserve"> and </w:t>
      </w:r>
      <w:r w:rsidRPr="00A428C3">
        <w:rPr>
          <w:kern w:val="36"/>
        </w:rPr>
        <w:t>Cd(II). More than 95.0 % recovery has been achieved by controlling the pH of the solution at 2.0.</w:t>
      </w:r>
    </w:p>
    <w:p w:rsidR="00B95188" w:rsidRPr="00A428C3" w:rsidRDefault="00B95188" w:rsidP="00B95188">
      <w:pPr>
        <w:pStyle w:val="a0"/>
      </w:pPr>
      <w:r w:rsidRPr="00A428C3">
        <w:t>? Kumar, K.V.</w:t>
      </w:r>
      <w:r w:rsidR="00F81221">
        <w:t xml:space="preserve"> and </w:t>
      </w:r>
      <w:r w:rsidRPr="00A428C3">
        <w:t>Sivanesan, S. (2004), Removal of basic dye from its aqueous solution by adsorption process using rice husk adsorbent.</w:t>
      </w:r>
      <w:r w:rsidRPr="005A4C8C">
        <w:rPr>
          <w:iCs/>
        </w:rPr>
        <w:t xml:space="preserve"> </w:t>
      </w:r>
      <w:r w:rsidRPr="00A428C3">
        <w:rPr>
          <w:i/>
          <w:iCs/>
        </w:rPr>
        <w:t>Indian Chemical Engineer</w:t>
      </w:r>
      <w:r w:rsidRPr="00A428C3">
        <w:t xml:space="preserve">, </w:t>
      </w:r>
      <w:r w:rsidRPr="00A428C3">
        <w:rPr>
          <w:b/>
        </w:rPr>
        <w:t>46</w:t>
      </w:r>
      <w:r w:rsidRPr="00A428C3">
        <w:t xml:space="preserve"> (1), 60-62.</w:t>
      </w:r>
    </w:p>
    <w:p w:rsidR="00715940" w:rsidRPr="00A428C3" w:rsidRDefault="00715940" w:rsidP="00715940">
      <w:pPr>
        <w:pStyle w:val="a0"/>
      </w:pPr>
      <w:r w:rsidRPr="00A428C3">
        <w:t>? Kumar, K.V.</w:t>
      </w:r>
      <w:r w:rsidR="00F81221">
        <w:t xml:space="preserve"> and </w:t>
      </w:r>
      <w:r w:rsidRPr="00A428C3">
        <w:t>Sivanesan, S. (2004), Mass transfer during the sorption of basic dye onto cow dung ash.</w:t>
      </w:r>
      <w:r w:rsidRPr="005A4C8C">
        <w:rPr>
          <w:iCs/>
        </w:rPr>
        <w:t xml:space="preserve"> </w:t>
      </w:r>
      <w:r w:rsidRPr="00A428C3">
        <w:rPr>
          <w:i/>
          <w:iCs/>
        </w:rPr>
        <w:t>Indian Chemical Engineer</w:t>
      </w:r>
      <w:r w:rsidRPr="00A428C3">
        <w:t xml:space="preserve">, </w:t>
      </w:r>
      <w:r w:rsidRPr="00A428C3">
        <w:rPr>
          <w:b/>
        </w:rPr>
        <w:t>46</w:t>
      </w:r>
      <w:r w:rsidRPr="00A428C3">
        <w:t xml:space="preserve"> (4), 251.</w:t>
      </w:r>
    </w:p>
    <w:p w:rsidR="00715940" w:rsidRDefault="00715940" w:rsidP="00715940">
      <w:pPr>
        <w:pStyle w:val="a0"/>
      </w:pPr>
      <w:r w:rsidRPr="00A428C3">
        <w:t xml:space="preserve">? </w:t>
      </w:r>
      <w:r>
        <w:t>Oubagaranadin,</w:t>
      </w:r>
      <w:r>
        <w:rPr>
          <w:rFonts w:hint="eastAsia"/>
        </w:rPr>
        <w:t xml:space="preserve"> </w:t>
      </w:r>
      <w:r>
        <w:t>J</w:t>
      </w:r>
      <w:r>
        <w:rPr>
          <w:rFonts w:hint="eastAsia"/>
        </w:rPr>
        <w:t>.</w:t>
      </w:r>
      <w:r>
        <w:t>U.K</w:t>
      </w:r>
      <w:r>
        <w:rPr>
          <w:rFonts w:hint="eastAsia"/>
        </w:rPr>
        <w:t>.,</w:t>
      </w:r>
      <w:r>
        <w:t xml:space="preserve"> Murthy</w:t>
      </w:r>
      <w:r>
        <w:rPr>
          <w:rFonts w:hint="eastAsia"/>
        </w:rPr>
        <w:t>,</w:t>
      </w:r>
      <w:r w:rsidRPr="00715940">
        <w:t xml:space="preserve"> </w:t>
      </w:r>
      <w:r>
        <w:t>Z.V.P.</w:t>
      </w:r>
      <w:r w:rsidR="00F81221">
        <w:t xml:space="preserve"> and </w:t>
      </w:r>
      <w:r>
        <w:t>Rao</w:t>
      </w:r>
      <w:r>
        <w:rPr>
          <w:rFonts w:hint="eastAsia"/>
        </w:rPr>
        <w:t>,</w:t>
      </w:r>
      <w:r w:rsidRPr="00715940">
        <w:t xml:space="preserve"> </w:t>
      </w:r>
      <w:r>
        <w:t>P.S.</w:t>
      </w:r>
      <w:r w:rsidRPr="00A033D8">
        <w:t xml:space="preserve"> (2007)</w:t>
      </w:r>
      <w:r w:rsidRPr="00A428C3">
        <w:t xml:space="preserve">, </w:t>
      </w:r>
      <w:r>
        <w:t>Applicability of three-parameter isotherm models for the adsorption of mercury on fuller</w:t>
      </w:r>
      <w:r w:rsidR="000352E7">
        <w:t>’</w:t>
      </w:r>
      <w:r>
        <w:t>s earth</w:t>
      </w:r>
      <w:r w:rsidR="00F81221">
        <w:t xml:space="preserve"> and </w:t>
      </w:r>
      <w:r>
        <w:t>activated carbon</w:t>
      </w:r>
      <w:r w:rsidRPr="00A428C3">
        <w:t>.</w:t>
      </w:r>
      <w:r w:rsidRPr="00715940">
        <w:rPr>
          <w:iCs/>
        </w:rPr>
        <w:t xml:space="preserve"> </w:t>
      </w:r>
      <w:r w:rsidRPr="00A428C3">
        <w:rPr>
          <w:i/>
          <w:iCs/>
        </w:rPr>
        <w:t>Indian Chemical Engineer</w:t>
      </w:r>
      <w:r w:rsidRPr="00A428C3">
        <w:t xml:space="preserve">, </w:t>
      </w:r>
      <w:r w:rsidRPr="00A428C3">
        <w:rPr>
          <w:b/>
        </w:rPr>
        <w:t>4</w:t>
      </w:r>
      <w:r>
        <w:rPr>
          <w:rFonts w:hint="eastAsia"/>
          <w:b/>
        </w:rPr>
        <w:t>9</w:t>
      </w:r>
      <w:r w:rsidRPr="00A428C3">
        <w:t xml:space="preserve"> (</w:t>
      </w:r>
      <w:r>
        <w:rPr>
          <w:rFonts w:hint="eastAsia"/>
        </w:rPr>
        <w:t>3</w:t>
      </w:r>
      <w:r w:rsidRPr="00A428C3">
        <w:t xml:space="preserve">), </w:t>
      </w:r>
      <w:r>
        <w:t>196-204</w:t>
      </w:r>
      <w:r w:rsidRPr="00A428C3">
        <w:t>.</w:t>
      </w:r>
    </w:p>
    <w:p w:rsidR="00715940" w:rsidRDefault="00715940" w:rsidP="00715940">
      <w:pPr>
        <w:pStyle w:val="a0"/>
      </w:pPr>
      <w:r>
        <w:rPr>
          <w:rFonts w:hint="eastAsia"/>
        </w:rPr>
        <w:t xml:space="preserve">Full Text: </w:t>
      </w:r>
      <w:hyperlink r:id="rId846" w:history="1">
        <w:r w:rsidRPr="00715940">
          <w:rPr>
            <w:rStyle w:val="a5"/>
          </w:rPr>
          <w:t>2007\Ind Che Eng49, 196.pdf</w:t>
        </w:r>
      </w:hyperlink>
    </w:p>
    <w:p w:rsidR="00715940" w:rsidRDefault="00715940" w:rsidP="00715940">
      <w:pPr>
        <w:pStyle w:val="a0"/>
      </w:pPr>
      <w:r>
        <w:t>Abstract: In this work, various three-parameter adsorption isotherm models, viz., Redlich-Peterson, Sips, Radke-Prausnitz, Fritz-Schlüender</w:t>
      </w:r>
      <w:r w:rsidR="00F81221">
        <w:t xml:space="preserve"> and </w:t>
      </w:r>
      <w:r>
        <w:t>Extended Langmuir models are</w:t>
      </w:r>
      <w:r>
        <w:rPr>
          <w:rFonts w:hint="eastAsia"/>
        </w:rPr>
        <w:t xml:space="preserve"> </w:t>
      </w:r>
      <w:r>
        <w:t>tested for their applicability to the adsorption of mercury (Hg) on Fuller</w:t>
      </w:r>
      <w:r w:rsidR="000352E7">
        <w:t>’</w:t>
      </w:r>
      <w:r>
        <w:t>s earth (FE)</w:t>
      </w:r>
      <w:r w:rsidR="00F81221">
        <w:rPr>
          <w:rFonts w:hint="eastAsia"/>
        </w:rPr>
        <w:t xml:space="preserve"> and </w:t>
      </w:r>
      <w:r>
        <w:t>activated carbon (AC), apart from the extensively used two-parameter Freundlich,</w:t>
      </w:r>
      <w:r>
        <w:rPr>
          <w:rFonts w:hint="eastAsia"/>
        </w:rPr>
        <w:t xml:space="preserve"> </w:t>
      </w:r>
      <w:r>
        <w:t>Langmuir</w:t>
      </w:r>
      <w:r w:rsidR="00F81221">
        <w:t xml:space="preserve"> and </w:t>
      </w:r>
      <w:r>
        <w:t>Brunauer-Emmett-Teller (BET) models. Batch adsorption studies were</w:t>
      </w:r>
      <w:r>
        <w:rPr>
          <w:rFonts w:hint="eastAsia"/>
        </w:rPr>
        <w:t xml:space="preserve"> </w:t>
      </w:r>
      <w:r>
        <w:t>conducted at room temperature (30°C)</w:t>
      </w:r>
      <w:r w:rsidR="00F81221">
        <w:t xml:space="preserve"> and </w:t>
      </w:r>
      <w:r>
        <w:t>pH of 6.7±0.2. Non-linear curve fitting</w:t>
      </w:r>
      <w:r>
        <w:rPr>
          <w:rFonts w:hint="eastAsia"/>
        </w:rPr>
        <w:t xml:space="preserve"> </w:t>
      </w:r>
      <w:r>
        <w:t>procedure was adopted for fitting the equilibrium data in the isotherm models</w:t>
      </w:r>
      <w:r w:rsidR="00F81221">
        <w:t xml:space="preserve"> and </w:t>
      </w:r>
      <w:r>
        <w:t>for</w:t>
      </w:r>
      <w:r>
        <w:rPr>
          <w:rFonts w:hint="eastAsia"/>
        </w:rPr>
        <w:t xml:space="preserve"> </w:t>
      </w:r>
      <w:r>
        <w:t>the determination of isotherm parameters. Apart from the correlation coefficient, the</w:t>
      </w:r>
      <w:r>
        <w:rPr>
          <w:rFonts w:hint="eastAsia"/>
        </w:rPr>
        <w:t xml:space="preserve"> </w:t>
      </w:r>
      <w:r>
        <w:t>residual root mean square error (RMSE)</w:t>
      </w:r>
      <w:r w:rsidR="00F81221">
        <w:t xml:space="preserve"> and </w:t>
      </w:r>
      <w:r>
        <w:t>chi-square (χ</w:t>
      </w:r>
      <w:r w:rsidRPr="00715940">
        <w:rPr>
          <w:vertAlign w:val="superscript"/>
        </w:rPr>
        <w:t>2</w:t>
      </w:r>
      <w:r>
        <w:t>) test are used to measure the</w:t>
      </w:r>
      <w:r>
        <w:rPr>
          <w:rFonts w:hint="eastAsia"/>
        </w:rPr>
        <w:t xml:space="preserve"> </w:t>
      </w:r>
      <w:r>
        <w:t>goodness-of-fit. Among the two-parameter models, the Freundlich model produces the</w:t>
      </w:r>
      <w:r>
        <w:rPr>
          <w:rFonts w:hint="eastAsia"/>
        </w:rPr>
        <w:t xml:space="preserve"> </w:t>
      </w:r>
      <w:r>
        <w:t>best fit. Though all the three-parameter models provide a nearly good fit, the best fit is</w:t>
      </w:r>
      <w:r>
        <w:rPr>
          <w:rFonts w:hint="eastAsia"/>
        </w:rPr>
        <w:t xml:space="preserve"> </w:t>
      </w:r>
      <w:r>
        <w:t>produced by the Sips model for the adsorption of mercury on both AC</w:t>
      </w:r>
      <w:r w:rsidR="00F81221">
        <w:t xml:space="preserve"> and </w:t>
      </w:r>
      <w:r>
        <w:t>FE.</w:t>
      </w:r>
    </w:p>
    <w:p w:rsidR="00715940" w:rsidRPr="00715940" w:rsidRDefault="00715940" w:rsidP="00715940">
      <w:pPr>
        <w:pStyle w:val="a0"/>
      </w:pPr>
      <w:r w:rsidRPr="00715940">
        <w:t>Keywords: Adsorption, Error Analysis, Mercury, Isotherms</w:t>
      </w:r>
    </w:p>
    <w:p w:rsidR="00B95188" w:rsidRPr="00A428C3" w:rsidRDefault="00B95188" w:rsidP="00B95188">
      <w:pPr>
        <w:pStyle w:val="1"/>
      </w:pPr>
      <w:r w:rsidRPr="00A428C3">
        <w:br w:type="page"/>
      </w:r>
      <w:bookmarkStart w:id="821" w:name="_Toc186647822"/>
      <w:bookmarkStart w:id="822" w:name="_Toc317161111"/>
      <w:r w:rsidRPr="00A428C3">
        <w:lastRenderedPageBreak/>
        <w:t>Title: Indian Journal of Agricultural Sciences</w:t>
      </w:r>
      <w:bookmarkEnd w:id="821"/>
      <w:bookmarkEnd w:id="822"/>
    </w:p>
    <w:p w:rsidR="00B95188" w:rsidRPr="00A428C3" w:rsidRDefault="00B95188" w:rsidP="00B72EF9">
      <w:pPr>
        <w:pStyle w:val="12"/>
      </w:pPr>
      <w:r w:rsidRPr="00A428C3">
        <w:t>Full Journal Title: Indian Journal of Agricultural Sciences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Murthy, S.V.K.</w:t>
      </w:r>
      <w:r w:rsidR="00F81221">
        <w:t xml:space="preserve"> and </w:t>
      </w:r>
      <w:r w:rsidRPr="00A428C3">
        <w:t xml:space="preserve">Kotur, </w:t>
      </w:r>
      <w:smartTag w:uri="urn:schemas-microsoft-com:office:smarttags" w:element="State">
        <w:r w:rsidRPr="00A428C3">
          <w:t>S.C.</w:t>
        </w:r>
      </w:smartTag>
      <w:r w:rsidRPr="00A428C3">
        <w:t xml:space="preserve"> (2000), Phosphorous absorption kinetics in citrus (Citrus spp), grape (Vitis vinifera), mango (Mangifera indica)</w:t>
      </w:r>
      <w:r w:rsidR="00F81221">
        <w:t xml:space="preserve"> and </w:t>
      </w:r>
      <w:r w:rsidRPr="00A428C3">
        <w:t xml:space="preserve">banana (Musa paradisiaca). </w:t>
      </w:r>
      <w:r w:rsidRPr="00A428C3">
        <w:rPr>
          <w:i/>
          <w:iCs/>
        </w:rPr>
        <w:t>Indian Journal of Agricultural Sciences</w:t>
      </w:r>
      <w:r w:rsidRPr="00A428C3">
        <w:t xml:space="preserve">, </w:t>
      </w:r>
      <w:r w:rsidRPr="00A428C3">
        <w:rPr>
          <w:b/>
        </w:rPr>
        <w:t>70</w:t>
      </w:r>
      <w:r w:rsidRPr="00A428C3">
        <w:t xml:space="preserve"> (3), 186-188.</w:t>
      </w:r>
    </w:p>
    <w:p w:rsidR="00B95188" w:rsidRPr="00A428C3" w:rsidRDefault="00B95188" w:rsidP="00B95188">
      <w:pPr>
        <w:pStyle w:val="1"/>
      </w:pPr>
      <w:r w:rsidRPr="00A428C3">
        <w:br w:type="page"/>
      </w:r>
      <w:bookmarkStart w:id="823" w:name="_Toc186647823"/>
      <w:bookmarkStart w:id="824" w:name="_Toc317161112"/>
      <w:r w:rsidRPr="00A428C3">
        <w:lastRenderedPageBreak/>
        <w:t>Title: Indian Journal of Agronomy</w:t>
      </w:r>
      <w:bookmarkEnd w:id="823"/>
      <w:bookmarkEnd w:id="824"/>
    </w:p>
    <w:p w:rsidR="00B95188" w:rsidRPr="00A428C3" w:rsidRDefault="00B95188" w:rsidP="00B72EF9">
      <w:pPr>
        <w:pStyle w:val="12"/>
      </w:pPr>
      <w:r w:rsidRPr="00A428C3">
        <w:t>Full Journal Title: Indian Journal of Agronomy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0537-197X</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Maheswarapa, H.P., Nanjappa, H.V., Hegde, M.R.</w:t>
      </w:r>
      <w:r w:rsidR="00F81221">
        <w:t xml:space="preserve"> and </w:t>
      </w:r>
      <w:r w:rsidRPr="00A428C3">
        <w:t>Biddappa, C.C. (2000), Nutrient content</w:t>
      </w:r>
      <w:r w:rsidR="00F81221">
        <w:t xml:space="preserve"> and </w:t>
      </w:r>
      <w:r w:rsidRPr="00A428C3">
        <w:t xml:space="preserve">uptake by arrowroot (Maranta arundinacea) as influenced by agronomic practices when grown as intercrop in coconut (Cocos nucifera) garden. </w:t>
      </w:r>
      <w:r w:rsidRPr="00A428C3">
        <w:rPr>
          <w:i/>
          <w:iCs/>
        </w:rPr>
        <w:t>Indian Journal of Agronomy</w:t>
      </w:r>
      <w:r w:rsidRPr="00A428C3">
        <w:t xml:space="preserve">, </w:t>
      </w:r>
      <w:r w:rsidRPr="00A428C3">
        <w:rPr>
          <w:b/>
        </w:rPr>
        <w:t>45</w:t>
      </w:r>
      <w:r w:rsidRPr="00A428C3">
        <w:t xml:space="preserve"> (1), 86-91.</w:t>
      </w:r>
    </w:p>
    <w:p w:rsidR="00B95188" w:rsidRPr="00A428C3" w:rsidRDefault="00B95188" w:rsidP="00B95188">
      <w:pPr>
        <w:pStyle w:val="a0"/>
      </w:pPr>
      <w:r w:rsidRPr="00A428C3">
        <w:t>Abstract: A field experiment conducted during rainy season of 1995 to 1998 at CPCRI, Kasaragod revealed that sizes of planting material</w:t>
      </w:r>
      <w:r w:rsidR="00F81221">
        <w:t xml:space="preserve"> and </w:t>
      </w:r>
      <w:r w:rsidRPr="00A428C3">
        <w:t>plant-population levels did not influence the nutrient content of arrowroot (Maranta arundianacea L.). But organic manures like farmyard manure, vermicompost</w:t>
      </w:r>
      <w:r w:rsidR="00F81221">
        <w:t xml:space="preserve"> and </w:t>
      </w:r>
      <w:r w:rsidRPr="00A428C3">
        <w:t>combination of NM + NPK, NPK alone treatments had higher average N, P</w:t>
      </w:r>
      <w:r w:rsidR="00F81221">
        <w:t xml:space="preserve"> and </w:t>
      </w:r>
      <w:r w:rsidRPr="00A428C3">
        <w:t>K contents compared with composted coir-pith treatment. Nutrient uptake did not differ significantly due to sizes of planting material, whereas with 166,00 population the uptake was significantly higher. Under farmyard manure, vermicompost</w:t>
      </w:r>
      <w:r w:rsidR="00F81221">
        <w:t xml:space="preserve"> and </w:t>
      </w:r>
      <w:r w:rsidRPr="00A428C3">
        <w:t>combination of NM + NPK treatments, the N, P</w:t>
      </w:r>
      <w:r w:rsidR="00F81221">
        <w:t xml:space="preserve"> and </w:t>
      </w:r>
      <w:r w:rsidRPr="00A428C3">
        <w:t>K removal was higher. The fresh- rhizome yield did not differ significantly due to size of planting material</w:t>
      </w:r>
      <w:r w:rsidR="00F81221">
        <w:t xml:space="preserve"> and </w:t>
      </w:r>
      <w:r w:rsidRPr="00A428C3">
        <w:t>population level. FYM + NPK combination recorded significantly higher fresh-rhizome yield.</w:t>
      </w:r>
    </w:p>
    <w:p w:rsidR="00B95188" w:rsidRPr="00A428C3" w:rsidRDefault="00B95188" w:rsidP="00B95188">
      <w:pPr>
        <w:pStyle w:val="a0"/>
      </w:pPr>
      <w:r w:rsidRPr="00A428C3">
        <w:t>Keywords: Arrowroot (Maranta Arundinacea L.), Coconut (Cocos Nucifera L.), Coir Pith, Intercrop, Nutrient Content</w:t>
      </w:r>
      <w:r w:rsidR="00F81221">
        <w:t xml:space="preserve"> and </w:t>
      </w:r>
      <w:r w:rsidRPr="00A428C3">
        <w:t>Uptake, Organic Manures</w:t>
      </w:r>
    </w:p>
    <w:p w:rsidR="00B95188" w:rsidRPr="00A428C3" w:rsidRDefault="00B95188" w:rsidP="00B95188">
      <w:pPr>
        <w:pStyle w:val="1"/>
      </w:pPr>
      <w:r w:rsidRPr="00A428C3">
        <w:br w:type="page"/>
      </w:r>
      <w:bookmarkStart w:id="825" w:name="_Toc487192721"/>
      <w:bookmarkStart w:id="826" w:name="_Toc489709748"/>
      <w:bookmarkStart w:id="827" w:name="_Toc490688029"/>
      <w:bookmarkStart w:id="828" w:name="_Toc492812139"/>
      <w:bookmarkStart w:id="829" w:name="_Toc186647824"/>
      <w:bookmarkStart w:id="830" w:name="_Toc317161113"/>
      <w:r w:rsidRPr="00A428C3">
        <w:lastRenderedPageBreak/>
        <w:t>Title: Indian Journal of Animal Sciences</w:t>
      </w:r>
      <w:bookmarkEnd w:id="825"/>
      <w:bookmarkEnd w:id="826"/>
      <w:bookmarkEnd w:id="827"/>
      <w:bookmarkEnd w:id="828"/>
      <w:bookmarkEnd w:id="829"/>
      <w:bookmarkEnd w:id="830"/>
    </w:p>
    <w:p w:rsidR="00B95188" w:rsidRPr="00A428C3" w:rsidRDefault="00B95188" w:rsidP="00B72EF9">
      <w:pPr>
        <w:pStyle w:val="12"/>
      </w:pPr>
      <w:r w:rsidRPr="00A428C3">
        <w:t>Full Journal Title: Indian Journal of Animal Sciences</w:t>
      </w:r>
    </w:p>
    <w:p w:rsidR="00B95188" w:rsidRPr="00A428C3" w:rsidRDefault="00B95188" w:rsidP="00B72EF9">
      <w:pPr>
        <w:pStyle w:val="12"/>
      </w:pPr>
      <w:r w:rsidRPr="00A428C3">
        <w:t>ISO Abbreviated Title: Indian J. Anim. Sci.</w:t>
      </w:r>
    </w:p>
    <w:p w:rsidR="00B95188" w:rsidRPr="00A428C3" w:rsidRDefault="00B95188" w:rsidP="00B72EF9">
      <w:pPr>
        <w:pStyle w:val="12"/>
      </w:pPr>
      <w:r w:rsidRPr="00A428C3">
        <w:t>JCR Abbreviated Title: Indian J Anim Sci</w:t>
      </w:r>
    </w:p>
    <w:p w:rsidR="00B95188" w:rsidRPr="00A428C3" w:rsidRDefault="00B95188" w:rsidP="00B72EF9">
      <w:pPr>
        <w:pStyle w:val="12"/>
      </w:pPr>
      <w:r w:rsidRPr="00A428C3">
        <w:t>ISSN: 0367-8318</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Indian Counc Agricultural Res</w:t>
      </w:r>
    </w:p>
    <w:p w:rsidR="00B95188" w:rsidRPr="00A428C3" w:rsidRDefault="00B95188" w:rsidP="00B72EF9">
      <w:pPr>
        <w:pStyle w:val="12"/>
      </w:pPr>
      <w:r w:rsidRPr="00A428C3">
        <w:t xml:space="preserve">Publisher Address: Icar Bhawan Pusa, </w:t>
      </w:r>
      <w:smartTag w:uri="urn:schemas-microsoft-com:office:smarttags" w:element="City">
        <w:r w:rsidRPr="00A428C3">
          <w:t>New Delhi</w:t>
        </w:r>
      </w:smartTag>
      <w:r w:rsidRPr="00A428C3">
        <w:t xml:space="preserve"> 110 012,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Agriculture, Dairy &amp; Animal Science:</w:t>
      </w:r>
      <w:r w:rsidRPr="00A428C3">
        <w:rPr>
          <w:color w:val="008000"/>
        </w:rPr>
        <w:t xml:space="preserve"> Impact Factor</w:t>
      </w:r>
    </w:p>
    <w:p w:rsidR="00B95188" w:rsidRPr="00A428C3" w:rsidRDefault="00B95188" w:rsidP="00B95188">
      <w:pPr>
        <w:pStyle w:val="a0"/>
      </w:pPr>
      <w:r w:rsidRPr="00A428C3">
        <w:t xml:space="preserve">? Alam, M., </w:t>
      </w:r>
      <w:smartTag w:uri="urn:schemas-microsoft-com:office:smarttags" w:element="City">
        <w:r w:rsidRPr="00A428C3">
          <w:t>Banerjee</w:t>
        </w:r>
      </w:smartTag>
      <w:r w:rsidRPr="00A428C3">
        <w:t>, N.C.</w:t>
      </w:r>
      <w:r w:rsidR="00F81221">
        <w:t xml:space="preserve"> and </w:t>
      </w:r>
      <w:r w:rsidRPr="00A428C3">
        <w:t xml:space="preserve">Yadava, K.P. (1993), Disposition kinetics of ampicillin in white leghorn birds. </w:t>
      </w:r>
      <w:r w:rsidRPr="00A428C3">
        <w:rPr>
          <w:i/>
        </w:rPr>
        <w:t>Indian Journal of Animal Sciences</w:t>
      </w:r>
      <w:r w:rsidRPr="00A428C3">
        <w:t xml:space="preserve">, </w:t>
      </w:r>
      <w:r w:rsidRPr="00A428C3">
        <w:rPr>
          <w:b/>
        </w:rPr>
        <w:t>63</w:t>
      </w:r>
      <w:r w:rsidRPr="00A428C3">
        <w:t xml:space="preserve"> (11), 1156-1159.</w:t>
      </w:r>
    </w:p>
    <w:p w:rsidR="00B95188" w:rsidRPr="00A428C3" w:rsidRDefault="00B95188" w:rsidP="00B95188">
      <w:pPr>
        <w:pStyle w:val="a0"/>
      </w:pPr>
      <w:r w:rsidRPr="00A428C3">
        <w:t>Abstract: The pharmacokinetics</w:t>
      </w:r>
      <w:r w:rsidR="00F81221">
        <w:t xml:space="preserve"> and </w:t>
      </w:r>
      <w:r w:rsidRPr="00A428C3">
        <w:t>tissue disposition of ampicillin after single oral dose (50 mg/kg bw) was studied in 2 groups of White Leghorn (WLH) birds. The drug attained its peak plasma concentration (1.98±0.07 µg/ml) 4-6 hr post-drug administration. The Cp(ther) ranged from 0.12±0.004 to 1.98±0.07 µg/ml between 30 min to 24 hr. The values of pharmacokinetic parameters for t1/2 t1/2 B, Vd(area)</w:t>
      </w:r>
      <w:r w:rsidR="00F81221">
        <w:t xml:space="preserve"> and </w:t>
      </w:r>
      <w:r w:rsidRPr="00A428C3">
        <w:t>Cl(B) were 1.51±0.08 hr, 4.67±0.12 hr, 19.05±1.48 liters/kg</w:t>
      </w:r>
      <w:r w:rsidR="00F81221">
        <w:t xml:space="preserve"> and </w:t>
      </w:r>
      <w:r w:rsidRPr="00A428C3">
        <w:t>46.80±2.61 ml/kg/min respectively. The bioavailability (F) was also high. The mean value of K12, K21, Kel, K12/K21 was 0.08±0.01 hr-1, 0.29±0.01 hr</w:t>
      </w:r>
      <w:r w:rsidRPr="00A428C3">
        <w:rPr>
          <w:vertAlign w:val="superscript"/>
        </w:rPr>
        <w:t>-1</w:t>
      </w:r>
      <w:r w:rsidRPr="00A428C3">
        <w:t>, 0.23±0.006 hr</w:t>
      </w:r>
      <w:r w:rsidRPr="00A428C3">
        <w:rPr>
          <w:vertAlign w:val="superscript"/>
        </w:rPr>
        <w:t>-1</w:t>
      </w:r>
      <w:r w:rsidR="00F81221">
        <w:t xml:space="preserve"> and </w:t>
      </w:r>
      <w:r w:rsidRPr="00A428C3">
        <w:t>0.29±0.03 respectively. The level of drug in bile was 26.75±3.16</w:t>
      </w:r>
      <w:r w:rsidR="00F81221">
        <w:t xml:space="preserve"> and </w:t>
      </w:r>
      <w:r w:rsidRPr="00A428C3">
        <w:t>41.57±2.67 µg/ml at 4</w:t>
      </w:r>
      <w:r w:rsidR="00F81221">
        <w:t xml:space="preserve"> and </w:t>
      </w:r>
      <w:r w:rsidRPr="00A428C3">
        <w:t>24 hr post-drug administration respectively. Ampicillin residual level was determined in different organs</w:t>
      </w:r>
      <w:r w:rsidR="00F81221">
        <w:t xml:space="preserve"> and </w:t>
      </w:r>
      <w:r w:rsidRPr="00A428C3">
        <w:t>skeletal muscles at 4</w:t>
      </w:r>
      <w:r w:rsidR="00F81221">
        <w:t xml:space="preserve"> and </w:t>
      </w:r>
      <w:r w:rsidRPr="00A428C3">
        <w:t>24 hr post-drug administration. No drug residue was traced in heart</w:t>
      </w:r>
      <w:r w:rsidR="00F81221">
        <w:t xml:space="preserve"> and </w:t>
      </w:r>
      <w:r w:rsidRPr="00A428C3">
        <w:t>brain at 4 hr. The withdrawal period of consumption of eggs</w:t>
      </w:r>
      <w:r w:rsidR="00F81221">
        <w:t xml:space="preserve"> and </w:t>
      </w:r>
      <w:r w:rsidRPr="00A428C3">
        <w:t>edible meat collected from ampicillin-treated birds has been advised. Dosage regimen based on the kinetics of drug has been suggested for optimal clinical efficacy.</w:t>
      </w:r>
    </w:p>
    <w:p w:rsidR="00B95188" w:rsidRPr="00A428C3" w:rsidRDefault="00B95188" w:rsidP="00B95188">
      <w:pPr>
        <w:pStyle w:val="a0"/>
      </w:pPr>
      <w:r w:rsidRPr="00A428C3">
        <w:t xml:space="preserve">? Alam, M., </w:t>
      </w:r>
      <w:smartTag w:uri="urn:schemas-microsoft-com:office:smarttags" w:element="City">
        <w:r w:rsidRPr="00A428C3">
          <w:t>Banerjee</w:t>
        </w:r>
      </w:smartTag>
      <w:r w:rsidRPr="00A428C3">
        <w:t>, N.C.</w:t>
      </w:r>
      <w:r w:rsidR="00F81221">
        <w:t xml:space="preserve"> and </w:t>
      </w:r>
      <w:r w:rsidRPr="00A428C3">
        <w:t xml:space="preserve">Yadava, K.P. (1997), Isposition kinetics of ampicillin in white leghorn hens. </w:t>
      </w:r>
      <w:r w:rsidRPr="00A428C3">
        <w:rPr>
          <w:i/>
        </w:rPr>
        <w:t>Indian Journal of Animal Sciences</w:t>
      </w:r>
      <w:r w:rsidRPr="00A428C3">
        <w:t xml:space="preserve">, </w:t>
      </w:r>
      <w:r w:rsidRPr="00A428C3">
        <w:rPr>
          <w:b/>
        </w:rPr>
        <w:t>64</w:t>
      </w:r>
      <w:r w:rsidRPr="00A428C3">
        <w:t xml:space="preserve"> (10), 1022-1024.</w:t>
      </w:r>
    </w:p>
    <w:p w:rsidR="00B95188" w:rsidRPr="00A428C3" w:rsidRDefault="00B95188" w:rsidP="00B95188">
      <w:pPr>
        <w:pStyle w:val="a0"/>
      </w:pPr>
      <w:r w:rsidRPr="00A428C3">
        <w:t>Abstract: The pharmacokinetics</w:t>
      </w:r>
      <w:r w:rsidR="00F81221">
        <w:t xml:space="preserve"> and </w:t>
      </w:r>
      <w:r w:rsidRPr="00A428C3">
        <w:t>tissue disposition of ampicillin after single i.v. dose (50 mg/kg bw) was studied in 2 groups of White Leghorn (WLH) hens. The plasma concentration ranged from 0.14±0.008 to 18.95±1.63 µg/ml for 12 hr. The mean values of pharmacokinetic parameters for t1/2 alpha, t1/2 beta Vd(area), CL(B)</w:t>
      </w:r>
      <w:r w:rsidR="00F81221">
        <w:t xml:space="preserve"> and </w:t>
      </w:r>
      <w:r w:rsidRPr="00A428C3">
        <w:t>T/P ratio were 0.44±0.02 hr, 2.66±0.11 hr, 7.17±0.80 litre/kg, 30.50±2.38 ml/kg/min</w:t>
      </w:r>
      <w:r w:rsidR="00F81221">
        <w:t xml:space="preserve"> and </w:t>
      </w:r>
      <w:r w:rsidRPr="00A428C3">
        <w:t>2.67±0.19 respectively. The mean value of K12, K21, K10,</w:t>
      </w:r>
      <w:r w:rsidR="00F81221">
        <w:t xml:space="preserve"> and </w:t>
      </w:r>
      <w:r w:rsidRPr="00A428C3">
        <w:t xml:space="preserve">K12/K21 was </w:t>
      </w:r>
      <w:r w:rsidRPr="00A428C3">
        <w:lastRenderedPageBreak/>
        <w:t>0.43±0.04 hr-1, 0.43±0.03 hr-1, 0.95±0.03 hr</w:t>
      </w:r>
      <w:r w:rsidRPr="00A428C3">
        <w:rPr>
          <w:vertAlign w:val="superscript"/>
        </w:rPr>
        <w:t>-1</w:t>
      </w:r>
      <w:r w:rsidR="00F81221">
        <w:t xml:space="preserve"> and </w:t>
      </w:r>
      <w:r w:rsidRPr="00A428C3">
        <w:t>1.01±0.05 hr respectively.</w:t>
      </w:r>
    </w:p>
    <w:p w:rsidR="00B95188" w:rsidRPr="00A428C3" w:rsidRDefault="00B95188" w:rsidP="00B95188">
      <w:pPr>
        <w:pStyle w:val="a0"/>
      </w:pPr>
      <w:r w:rsidRPr="00A428C3">
        <w:t>The level of drug in bile was 35.99±1.81 µg/ml</w:t>
      </w:r>
      <w:r w:rsidR="00F81221">
        <w:t xml:space="preserve"> and </w:t>
      </w:r>
      <w:r w:rsidRPr="00A428C3">
        <w:t>37.17±2.34 µg/ml at 4</w:t>
      </w:r>
      <w:r w:rsidR="00F81221">
        <w:t xml:space="preserve"> and </w:t>
      </w:r>
      <w:r w:rsidRPr="00A428C3">
        <w:t>24 hr post-drug administration respectively. Ampicillin residual level was determined in different organs</w:t>
      </w:r>
      <w:r w:rsidR="00F81221">
        <w:t xml:space="preserve"> and </w:t>
      </w:r>
      <w:r w:rsidRPr="00A428C3">
        <w:t>skeletal muscles of the birds at 4</w:t>
      </w:r>
      <w:r w:rsidR="00F81221">
        <w:t xml:space="preserve"> and </w:t>
      </w:r>
      <w:r w:rsidRPr="00A428C3">
        <w:t>24 hr post-administration. Dosage regimen based on the kinetics of drug has been suggested for optimal clinical efficacy.</w:t>
      </w:r>
    </w:p>
    <w:p w:rsidR="00B95188" w:rsidRPr="00A428C3" w:rsidRDefault="00B95188" w:rsidP="00B95188">
      <w:pPr>
        <w:pStyle w:val="a0"/>
      </w:pPr>
      <w:r w:rsidRPr="00A428C3">
        <w:t xml:space="preserve">? Alam, M., </w:t>
      </w:r>
      <w:smartTag w:uri="urn:schemas-microsoft-com:office:smarttags" w:element="City">
        <w:r w:rsidRPr="00A428C3">
          <w:t>Banerjee</w:t>
        </w:r>
      </w:smartTag>
      <w:r w:rsidRPr="00A428C3">
        <w:t>, N.C.</w:t>
      </w:r>
      <w:r w:rsidR="00F81221">
        <w:t xml:space="preserve"> and </w:t>
      </w:r>
      <w:r w:rsidRPr="00A428C3">
        <w:t xml:space="preserve">Yadava, K.P. (1997), Disposition kinetics of ampicillin in Bubalus bubalis calves. </w:t>
      </w:r>
      <w:r w:rsidRPr="00A428C3">
        <w:rPr>
          <w:i/>
        </w:rPr>
        <w:t>Indian Journal of Animal Sciences</w:t>
      </w:r>
      <w:r w:rsidRPr="00A428C3">
        <w:t xml:space="preserve">, </w:t>
      </w:r>
      <w:r w:rsidRPr="00A428C3">
        <w:rPr>
          <w:b/>
        </w:rPr>
        <w:t>67</w:t>
      </w:r>
      <w:r w:rsidRPr="00A428C3">
        <w:t xml:space="preserve"> (12), 1048-1050.</w:t>
      </w:r>
    </w:p>
    <w:p w:rsidR="00B95188" w:rsidRPr="00A428C3" w:rsidRDefault="00B95188" w:rsidP="00B95188">
      <w:pPr>
        <w:pStyle w:val="a0"/>
      </w:pPr>
      <w:r w:rsidRPr="00A428C3">
        <w:t>Abstract: The pharmacokinetics of ampicillin after single i/v dose (10 mg/kg bw) was studied in a group of buffalo calves. The plasma drug concentration declined from 19.83±0.35 µg/ml to 0.22±0.01 up to 12 hr. The mean values of kinetic parameters for t1/2 alpha., vd(area), Cl-B</w:t>
      </w:r>
      <w:r w:rsidR="00F81221">
        <w:t xml:space="preserve"> and </w:t>
      </w:r>
      <w:r w:rsidRPr="00A428C3">
        <w:t>T/P ratio were 0.24±0.02 hr, 2.90±0.11 hr, 1.56±</w:t>
      </w:r>
      <w:smartTag w:uri="urn:schemas-microsoft-com:office:smarttags" w:element="chmetcnv">
        <w:smartTagPr>
          <w:attr w:name="TCSC" w:val="0"/>
          <w:attr w:name="NumberType" w:val="1"/>
          <w:attr w:name="Negative" w:val="False"/>
          <w:attr w:name="HasSpace" w:val="True"/>
          <w:attr w:name="SourceValue" w:val="0.08"/>
          <w:attr w:name="UnitName" w:val="l"/>
        </w:smartTagPr>
        <w:r w:rsidRPr="00A428C3">
          <w:t>0.08 L</w:t>
        </w:r>
      </w:smartTag>
      <w:r w:rsidRPr="00A428C3">
        <w:t>/kg. 6.22±0.21 ml/kg/min.</w:t>
      </w:r>
      <w:r w:rsidR="00F81221">
        <w:t xml:space="preserve"> and </w:t>
      </w:r>
      <w:r w:rsidRPr="00A428C3">
        <w:t>4.87±0.27 respectively. The mean values of K-12, K-21, K-2</w:t>
      </w:r>
      <w:r w:rsidR="00F81221">
        <w:t xml:space="preserve"> and </w:t>
      </w:r>
      <w:r w:rsidRPr="00A428C3">
        <w:t>K-12/K-21 were 1.17±0.13 hr</w:t>
      </w:r>
      <w:r w:rsidRPr="00A428C3">
        <w:rPr>
          <w:vertAlign w:val="superscript"/>
        </w:rPr>
        <w:t>-</w:t>
      </w:r>
      <w:smartTag w:uri="urn:schemas-microsoft-com:office:smarttags" w:element="chsdate">
        <w:smartTagPr>
          <w:attr w:name="IsROCDate" w:val="False"/>
          <w:attr w:name="IsLunarDate" w:val="False"/>
          <w:attr w:name="Day" w:val="30"/>
          <w:attr w:name="Month" w:val="12"/>
          <w:attr w:name="Year" w:val="1899"/>
        </w:smartTagPr>
        <w:r w:rsidRPr="00A428C3">
          <w:rPr>
            <w:vertAlign w:val="superscript"/>
          </w:rPr>
          <w:t>1</w:t>
        </w:r>
        <w:r w:rsidRPr="00A428C3">
          <w:t>.0.47</w:t>
        </w:r>
      </w:smartTag>
      <w:r w:rsidRPr="00A428C3">
        <w:t>±0.02 hr</w:t>
      </w:r>
      <w:r w:rsidRPr="00A428C3">
        <w:rPr>
          <w:vertAlign w:val="superscript"/>
        </w:rPr>
        <w:t>-1</w:t>
      </w:r>
      <w:r w:rsidRPr="00A428C3">
        <w:t>.1.40±0.06 hr</w:t>
      </w:r>
      <w:r w:rsidRPr="00A428C3">
        <w:rPr>
          <w:vertAlign w:val="superscript"/>
        </w:rPr>
        <w:t>-1</w:t>
      </w:r>
      <w:r w:rsidR="00F81221">
        <w:t xml:space="preserve"> and </w:t>
      </w:r>
      <w:r w:rsidRPr="00A428C3">
        <w:t>2.42±0.18 respectively. The per cent protein binding (in vitro) of ampicillin in the plasma of buffalo calves ranged from 19.25 to 28.09. Dosage regimen based on the kinetics of drug has been suggested for optimal clinical efficacy.</w:t>
      </w:r>
    </w:p>
    <w:p w:rsidR="00B95188" w:rsidRPr="00A428C3" w:rsidRDefault="00B95188" w:rsidP="00B95188">
      <w:pPr>
        <w:pStyle w:val="a0"/>
      </w:pPr>
      <w:r w:rsidRPr="00A428C3">
        <w:t>Keywords: Ampicillin, Kinetics of Ampicillin, Cows</w:t>
      </w:r>
    </w:p>
    <w:p w:rsidR="00B95188" w:rsidRPr="00A428C3" w:rsidRDefault="00B95188" w:rsidP="00B95188">
      <w:pPr>
        <w:pStyle w:val="a0"/>
      </w:pPr>
      <w:r w:rsidRPr="00A428C3">
        <w:t>? Swarup, D.</w:t>
      </w:r>
      <w:r w:rsidR="00F81221">
        <w:t xml:space="preserve"> and </w:t>
      </w:r>
      <w:r w:rsidRPr="00A428C3">
        <w:t xml:space="preserve">Dwivedi, S.K. (1998), Research on effects of pollution in livestock. </w:t>
      </w:r>
      <w:r w:rsidRPr="00A428C3">
        <w:rPr>
          <w:i/>
        </w:rPr>
        <w:t>Indian Journal of Animal Sciences</w:t>
      </w:r>
      <w:r w:rsidRPr="00A428C3">
        <w:t xml:space="preserve">, </w:t>
      </w:r>
      <w:r w:rsidRPr="00A428C3">
        <w:rPr>
          <w:b/>
        </w:rPr>
        <w:t>68</w:t>
      </w:r>
      <w:r w:rsidRPr="00A428C3">
        <w:t xml:space="preserve"> (8), 814-824.</w:t>
      </w:r>
    </w:p>
    <w:p w:rsidR="00B95188" w:rsidRPr="00A428C3" w:rsidRDefault="00B95188" w:rsidP="00B95188">
      <w:pPr>
        <w:pStyle w:val="a0"/>
      </w:pPr>
      <w:r w:rsidRPr="00A428C3">
        <w:t>Abstract: Livestock sharing man</w:t>
      </w:r>
      <w:r w:rsidR="000352E7">
        <w:t>’</w:t>
      </w:r>
      <w:r w:rsidRPr="00A428C3">
        <w:t>s environment are exposed to an array of toxic pollutants which may be hazardous to their health</w:t>
      </w:r>
      <w:r w:rsidR="00F81221">
        <w:t xml:space="preserve"> and </w:t>
      </w:r>
      <w:r w:rsidRPr="00A428C3">
        <w:t>production. The health effects of pollution in livestock vary from subtle or chronic intoxication to overt acute toxicities depending on source</w:t>
      </w:r>
      <w:r w:rsidR="00F81221">
        <w:t xml:space="preserve"> and </w:t>
      </w:r>
      <w:r w:rsidRPr="00A428C3">
        <w:t>kind of pollutant, extent</w:t>
      </w:r>
      <w:r w:rsidR="00F81221">
        <w:t xml:space="preserve"> and </w:t>
      </w:r>
      <w:r w:rsidRPr="00A428C3">
        <w:t>route of exposure extent</w:t>
      </w:r>
      <w:r w:rsidR="00F81221">
        <w:t xml:space="preserve"> and </w:t>
      </w:r>
      <w:r w:rsidRPr="00A428C3">
        <w:t>degree of other interacting agents,</w:t>
      </w:r>
      <w:r w:rsidR="00F81221">
        <w:t xml:space="preserve"> and </w:t>
      </w:r>
      <w:r w:rsidRPr="00A428C3">
        <w:t>species, age, physiology</w:t>
      </w:r>
      <w:r w:rsidR="00F81221">
        <w:t xml:space="preserve"> and </w:t>
      </w:r>
      <w:r w:rsidRPr="00A428C3">
        <w:t>nutrition of the exposed livestock population. Residue of pollutants in livestock products adversely effect their quality</w:t>
      </w:r>
      <w:r w:rsidR="00F81221">
        <w:t xml:space="preserve"> and </w:t>
      </w:r>
      <w:r w:rsidRPr="00A428C3">
        <w:t xml:space="preserve">cause potential threat to public health due to contamination of food chain. In </w:t>
      </w:r>
      <w:smartTag w:uri="urn:schemas-microsoft-com:office:smarttags" w:element="place">
        <w:smartTag w:uri="urn:schemas-microsoft-com:office:smarttags" w:element="country-region">
          <w:r w:rsidRPr="00A428C3">
            <w:t>India</w:t>
          </w:r>
        </w:smartTag>
      </w:smartTag>
      <w:r w:rsidRPr="00A428C3">
        <w:t>, problem of pollution is related to poorly planned developmental projects</w:t>
      </w:r>
      <w:r w:rsidR="00F81221">
        <w:t xml:space="preserve"> and </w:t>
      </w:r>
      <w:r w:rsidRPr="00A428C3">
        <w:t>overuse of natural resources by ever-increasing human population. Review of the work done during the 5 decades of post-independence indicated emerging trend of human</w:t>
      </w:r>
      <w:r w:rsidR="00F81221">
        <w:t xml:space="preserve"> and </w:t>
      </w:r>
      <w:r w:rsidRPr="00A428C3">
        <w:t>livestock health problems due to pollution in the country. Acute</w:t>
      </w:r>
      <w:r w:rsidR="00F81221">
        <w:t xml:space="preserve"> and </w:t>
      </w:r>
      <w:r w:rsidRPr="00A428C3">
        <w:t>chronic lead toxicosis, fluorosis</w:t>
      </w:r>
      <w:r w:rsidR="00F81221">
        <w:t xml:space="preserve"> and </w:t>
      </w:r>
      <w:r w:rsidRPr="00A428C3">
        <w:t>pesticide poisoning have been recognised as major health hazards of pollution in livestock with the increasing frequencies in recent past indicating growing threat of pollution to the livestock health. Scientific data also revealed residual effects of pollutants such as toxic heavy metals</w:t>
      </w:r>
      <w:r w:rsidR="00F81221">
        <w:t xml:space="preserve"> and </w:t>
      </w:r>
      <w:r w:rsidRPr="00A428C3">
        <w:t>pesticides in animal food products. However, as compared to medical data, fewer studies have been conducted to evaluate ill effects of pollution in livestock in the country. There is a need for intensive studies</w:t>
      </w:r>
      <w:r w:rsidR="00F81221">
        <w:t xml:space="preserve"> and </w:t>
      </w:r>
      <w:r w:rsidRPr="00A428C3">
        <w:t xml:space="preserve">also to make recommendations as to how best to limit ill effects </w:t>
      </w:r>
      <w:r w:rsidRPr="00A428C3">
        <w:lastRenderedPageBreak/>
        <w:t>of pollution in livestock.</w:t>
      </w:r>
    </w:p>
    <w:p w:rsidR="00B95188" w:rsidRPr="00A428C3" w:rsidRDefault="00B95188" w:rsidP="00B95188">
      <w:pPr>
        <w:pStyle w:val="a0"/>
      </w:pPr>
      <w:r w:rsidRPr="00A428C3">
        <w:t xml:space="preserve">? Alam, M., </w:t>
      </w:r>
      <w:smartTag w:uri="urn:schemas-microsoft-com:office:smarttags" w:element="City">
        <w:r w:rsidRPr="00A428C3">
          <w:t>Banerjee</w:t>
        </w:r>
      </w:smartTag>
      <w:r w:rsidRPr="00A428C3">
        <w:t>, N.C.</w:t>
      </w:r>
      <w:r w:rsidR="00F81221">
        <w:t xml:space="preserve"> and </w:t>
      </w:r>
      <w:r w:rsidRPr="00A428C3">
        <w:t xml:space="preserve">Yadava, K.P. (2000), Disposition kinetics of ampicillin in buffalo calves. </w:t>
      </w:r>
      <w:r w:rsidRPr="00A428C3">
        <w:rPr>
          <w:i/>
        </w:rPr>
        <w:t>Indian Journal of Animal Sciences</w:t>
      </w:r>
      <w:r w:rsidRPr="00A428C3">
        <w:t xml:space="preserve">, </w:t>
      </w:r>
      <w:r w:rsidRPr="00A428C3">
        <w:rPr>
          <w:b/>
        </w:rPr>
        <w:t>70</w:t>
      </w:r>
      <w:r w:rsidRPr="00A428C3">
        <w:t xml:space="preserve"> (2), 133-135.</w:t>
      </w:r>
    </w:p>
    <w:p w:rsidR="00B95188" w:rsidRPr="00A428C3" w:rsidRDefault="00B95188" w:rsidP="00B95188">
      <w:pPr>
        <w:pStyle w:val="a0"/>
      </w:pPr>
      <w:r w:rsidRPr="00A428C3">
        <w:t>Abstract: The pharmacokinetics of ampicillin after single oral dose (20 mg/kg b w) was studied in group of buffalo calves. The highest mean plasma concentration of drug (0.44±0.08 µg/ml) was recorded at 4 hr which declined gradually to 0.18±0.01 µg/ml at 24 hr of drug administration. The mean Cp ther ranged from 0.18±0.01 to 0.44±0.08 mg/ml between 30 min</w:t>
      </w:r>
      <w:r w:rsidR="00F81221">
        <w:t xml:space="preserve"> and </w:t>
      </w:r>
      <w:r w:rsidRPr="00A428C3">
        <w:t>24 hr. The mean values of kinetic parameters for t1/2 ka, t1/2 beta, Vd area, AUG, CLB, T/P ratio were 1.14±0.12 hr, 15.71±1.19 hr, 39.11±</w:t>
      </w:r>
      <w:smartTag w:uri="urn:schemas-microsoft-com:office:smarttags" w:element="chmetcnv">
        <w:smartTagPr>
          <w:attr w:name="TCSC" w:val="0"/>
          <w:attr w:name="NumberType" w:val="1"/>
          <w:attr w:name="Negative" w:val="False"/>
          <w:attr w:name="HasSpace" w:val="True"/>
          <w:attr w:name="SourceValue" w:val="1.64"/>
          <w:attr w:name="UnitName" w:val="l"/>
        </w:smartTagPr>
        <w:r w:rsidRPr="00A428C3">
          <w:t>1.64 L</w:t>
        </w:r>
      </w:smartTag>
      <w:r w:rsidRPr="00A428C3">
        <w:t>/kg, 11.53±0.61 mg/ml hr, 29.31±1.66 ml/kg/min</w:t>
      </w:r>
      <w:r w:rsidR="00F81221">
        <w:t xml:space="preserve"> and </w:t>
      </w:r>
      <w:r w:rsidRPr="00A428C3">
        <w:t>0.70±0.04 respectively. The mean values of K-12, K-21, Kel, K-12</w:t>
      </w:r>
      <w:r w:rsidR="00F81221">
        <w:t xml:space="preserve"> and </w:t>
      </w:r>
      <w:r w:rsidRPr="00A428C3">
        <w:t>K-21 were 0.23±0.03/hr, 0.37±0.03/hr, 0.07±0.007/hr</w:t>
      </w:r>
      <w:r w:rsidR="00F81221">
        <w:t xml:space="preserve"> and </w:t>
      </w:r>
      <w:r w:rsidRPr="00A428C3">
        <w:t>0.61±0.04 respectively. Dosage regimen based on the drug kinetics has been suggested for optimal clinical efficacy.</w:t>
      </w:r>
    </w:p>
    <w:p w:rsidR="00B95188" w:rsidRPr="00A428C3" w:rsidRDefault="00B95188" w:rsidP="00B95188">
      <w:pPr>
        <w:pStyle w:val="a0"/>
      </w:pPr>
      <w:r w:rsidRPr="00A428C3">
        <w:t xml:space="preserve">Keywords: Ampicillin, </w:t>
      </w:r>
      <w:smartTag w:uri="urn:schemas-microsoft-com:office:smarttags" w:element="place">
        <w:smartTag w:uri="urn:schemas-microsoft-com:office:smarttags" w:element="City">
          <w:r w:rsidRPr="00A428C3">
            <w:t>Buffalo</w:t>
          </w:r>
        </w:smartTag>
      </w:smartTag>
      <w:r w:rsidRPr="00A428C3">
        <w:t xml:space="preserve"> Calves, Kinetics, Microbiological Assay</w:t>
      </w:r>
    </w:p>
    <w:p w:rsidR="00B95188" w:rsidRPr="00A428C3" w:rsidRDefault="00B95188" w:rsidP="00B95188">
      <w:pPr>
        <w:pStyle w:val="1"/>
      </w:pPr>
      <w:r w:rsidRPr="00A428C3">
        <w:br w:type="page"/>
      </w:r>
      <w:bookmarkStart w:id="831" w:name="_Toc186647825"/>
      <w:bookmarkStart w:id="832" w:name="_Toc317161114"/>
      <w:r w:rsidRPr="00A428C3">
        <w:lastRenderedPageBreak/>
        <w:t>Title: Indian Journal of Biochemistry &amp; Biophysics</w:t>
      </w:r>
      <w:bookmarkEnd w:id="831"/>
      <w:bookmarkEnd w:id="832"/>
    </w:p>
    <w:p w:rsidR="00B95188" w:rsidRPr="00586CD8" w:rsidRDefault="00B95188" w:rsidP="00B72EF9">
      <w:pPr>
        <w:pStyle w:val="12"/>
      </w:pPr>
      <w:r w:rsidRPr="00586CD8">
        <w:t>Full Journal Title: Indian Journal of Biochemistry &amp; Biophysics</w:t>
      </w:r>
    </w:p>
    <w:p w:rsidR="00B95188" w:rsidRPr="00586CD8" w:rsidRDefault="00B95188" w:rsidP="00B72EF9">
      <w:pPr>
        <w:pStyle w:val="12"/>
      </w:pPr>
      <w:r w:rsidRPr="00586CD8">
        <w:t>ISO Abbreviated Title: Indian J. Biochem. Biophys.</w:t>
      </w:r>
    </w:p>
    <w:p w:rsidR="00B95188" w:rsidRPr="00586CD8" w:rsidRDefault="00B95188" w:rsidP="00B72EF9">
      <w:pPr>
        <w:pStyle w:val="12"/>
      </w:pPr>
      <w:r w:rsidRPr="00586CD8">
        <w:t>JCR Abbreviated Title: Indian J Biochem Bio</w:t>
      </w:r>
    </w:p>
    <w:p w:rsidR="00B95188" w:rsidRPr="00586CD8" w:rsidRDefault="00B95188" w:rsidP="00B72EF9">
      <w:pPr>
        <w:pStyle w:val="12"/>
      </w:pPr>
      <w:r w:rsidRPr="00586CD8">
        <w:t>ISSN: 0301-1208</w:t>
      </w:r>
    </w:p>
    <w:p w:rsidR="00B95188" w:rsidRPr="00586CD8" w:rsidRDefault="00B95188" w:rsidP="00B72EF9">
      <w:pPr>
        <w:pStyle w:val="12"/>
      </w:pPr>
      <w:r w:rsidRPr="00586CD8">
        <w:t>Issues/Year: 6</w:t>
      </w:r>
    </w:p>
    <w:p w:rsidR="00B95188" w:rsidRPr="00586CD8" w:rsidRDefault="00B95188" w:rsidP="00B72EF9">
      <w:pPr>
        <w:pStyle w:val="12"/>
      </w:pPr>
      <w:r w:rsidRPr="00586CD8">
        <w:t>Journal Country/Territory: India</w:t>
      </w:r>
    </w:p>
    <w:p w:rsidR="00B95188" w:rsidRPr="00586CD8" w:rsidRDefault="00B95188" w:rsidP="00B72EF9">
      <w:pPr>
        <w:pStyle w:val="12"/>
      </w:pPr>
      <w:r w:rsidRPr="00586CD8">
        <w:t>Language: English</w:t>
      </w:r>
    </w:p>
    <w:p w:rsidR="00B95188" w:rsidRPr="00586CD8" w:rsidRDefault="00B95188" w:rsidP="00B72EF9">
      <w:pPr>
        <w:pStyle w:val="12"/>
      </w:pPr>
      <w:r w:rsidRPr="00586CD8">
        <w:t>Publisher: Natl Inst Science Communication</w:t>
      </w:r>
    </w:p>
    <w:p w:rsidR="00B95188" w:rsidRPr="00586CD8" w:rsidRDefault="00B95188" w:rsidP="00B72EF9">
      <w:pPr>
        <w:pStyle w:val="12"/>
      </w:pPr>
      <w:r w:rsidRPr="00586CD8">
        <w:t>Publisher Address: Dr K S Krishnan Marg, New Delhi 110 012, India</w:t>
      </w:r>
    </w:p>
    <w:p w:rsidR="00B95188" w:rsidRPr="00586CD8" w:rsidRDefault="00B95188" w:rsidP="00B72EF9">
      <w:pPr>
        <w:pStyle w:val="12"/>
      </w:pPr>
      <w:r w:rsidRPr="00586CD8">
        <w:t>Subject Categories:</w:t>
      </w:r>
    </w:p>
    <w:p w:rsidR="00B95188" w:rsidRPr="00586CD8" w:rsidRDefault="00B95188" w:rsidP="00B72EF9">
      <w:pPr>
        <w:pStyle w:val="12"/>
      </w:pPr>
      <w:r w:rsidRPr="00586CD8">
        <w:t xml:space="preserve">Biochemistry &amp; Molecular Biology: Impact Factor 0.256, </w:t>
      </w:r>
    </w:p>
    <w:p w:rsidR="00B95188" w:rsidRPr="00586CD8" w:rsidRDefault="00B95188" w:rsidP="00B72EF9">
      <w:pPr>
        <w:pStyle w:val="12"/>
      </w:pPr>
      <w:r w:rsidRPr="00586CD8">
        <w:t xml:space="preserve">Biophysics: Impact Factor 0.256, </w:t>
      </w:r>
    </w:p>
    <w:p w:rsidR="00B95188" w:rsidRPr="00A428C3" w:rsidRDefault="00B95188" w:rsidP="00B95188">
      <w:pPr>
        <w:pStyle w:val="a0"/>
      </w:pPr>
      <w:r w:rsidRPr="00A428C3">
        <w:t>? Mitra, S.P.</w:t>
      </w:r>
      <w:r w:rsidR="00F81221">
        <w:t xml:space="preserve"> and </w:t>
      </w:r>
      <w:r w:rsidRPr="00A428C3">
        <w:t>Chattoraj, D.K. (1978), Some thermodynamic aspects of expanded</w:t>
      </w:r>
      <w:r w:rsidR="00F81221">
        <w:t xml:space="preserve"> and </w:t>
      </w:r>
      <w:r w:rsidRPr="00A428C3">
        <w:t xml:space="preserve">condensed films of bsa adsorbed at alumina-water interface. </w:t>
      </w:r>
      <w:r w:rsidRPr="00A428C3">
        <w:rPr>
          <w:i/>
          <w:iCs/>
        </w:rPr>
        <w:t>Indian Journal of Biochemistry &amp; Biophysics</w:t>
      </w:r>
      <w:r w:rsidRPr="00A428C3">
        <w:t xml:space="preserve">, </w:t>
      </w:r>
      <w:r w:rsidRPr="00A428C3">
        <w:rPr>
          <w:b/>
        </w:rPr>
        <w:t>15</w:t>
      </w:r>
      <w:r w:rsidRPr="00A428C3">
        <w:t xml:space="preserve"> (3), 147-152.</w:t>
      </w:r>
    </w:p>
    <w:p w:rsidR="00B95188" w:rsidRPr="00A428C3" w:rsidRDefault="00B95188" w:rsidP="00B95188">
      <w:pPr>
        <w:pStyle w:val="1"/>
      </w:pPr>
      <w:r w:rsidRPr="00A428C3">
        <w:br w:type="page"/>
      </w:r>
      <w:bookmarkStart w:id="833" w:name="_Toc317161115"/>
      <w:r w:rsidRPr="00A428C3">
        <w:lastRenderedPageBreak/>
        <w:t xml:space="preserve">Title: </w:t>
      </w:r>
      <w:r>
        <w:t>Indian Journal of Biotechnology</w:t>
      </w:r>
      <w:bookmarkEnd w:id="833"/>
    </w:p>
    <w:p w:rsidR="00B95188" w:rsidRPr="00A428C3" w:rsidRDefault="00B95188" w:rsidP="00B72EF9">
      <w:pPr>
        <w:pStyle w:val="12"/>
      </w:pPr>
      <w:r w:rsidRPr="00A428C3">
        <w:t xml:space="preserve">Full Journal Title: </w:t>
      </w:r>
      <w:r>
        <w:t>Indian Journal of Biotechnology</w:t>
      </w:r>
    </w:p>
    <w:p w:rsidR="00B95188" w:rsidRPr="00A428C3" w:rsidRDefault="00B95188" w:rsidP="00B72EF9">
      <w:pPr>
        <w:pStyle w:val="12"/>
      </w:pPr>
      <w:r>
        <w:t xml:space="preserve">ISO Abbreviated Title: </w:t>
      </w:r>
    </w:p>
    <w:p w:rsidR="00B95188" w:rsidRPr="00A428C3" w:rsidRDefault="00B95188" w:rsidP="00B72EF9">
      <w:pPr>
        <w:pStyle w:val="12"/>
      </w:pPr>
      <w:r w:rsidRPr="00A428C3">
        <w:t>JCR Abb</w:t>
      </w:r>
      <w:r>
        <w:t xml:space="preserve">reviated Title: </w:t>
      </w:r>
    </w:p>
    <w:p w:rsidR="00B95188" w:rsidRPr="00A428C3" w:rsidRDefault="00B95188" w:rsidP="00B72EF9">
      <w:pPr>
        <w:pStyle w:val="12"/>
      </w:pPr>
      <w:r>
        <w:t xml:space="preserve">ISSN: </w:t>
      </w:r>
    </w:p>
    <w:p w:rsidR="00B95188" w:rsidRPr="00A428C3" w:rsidRDefault="00B95188" w:rsidP="00B72EF9">
      <w:pPr>
        <w:pStyle w:val="12"/>
      </w:pPr>
      <w:r>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Default="00B95188" w:rsidP="00B95188">
      <w:pPr>
        <w:pStyle w:val="a0"/>
      </w:pPr>
      <w:r w:rsidRPr="00A428C3">
        <w:t xml:space="preserve">? </w:t>
      </w:r>
      <w:r>
        <w:t>Das</w:t>
      </w:r>
      <w:r>
        <w:rPr>
          <w:rFonts w:hint="eastAsia"/>
        </w:rPr>
        <w:t>,</w:t>
      </w:r>
      <w:r>
        <w:t xml:space="preserve"> N</w:t>
      </w:r>
      <w:r>
        <w:rPr>
          <w:rFonts w:hint="eastAsia"/>
        </w:rPr>
        <w:t>.,</w:t>
      </w:r>
      <w:r>
        <w:t xml:space="preserve"> Vimala</w:t>
      </w:r>
      <w:r>
        <w:rPr>
          <w:rFonts w:hint="eastAsia"/>
        </w:rPr>
        <w:t>,</w:t>
      </w:r>
      <w:r>
        <w:t xml:space="preserve"> R</w:t>
      </w:r>
      <w:r>
        <w:rPr>
          <w:rFonts w:hint="eastAsia"/>
        </w:rPr>
        <w:t>.</w:t>
      </w:r>
      <w:r w:rsidR="00F81221">
        <w:rPr>
          <w:rFonts w:hint="eastAsia"/>
        </w:rPr>
        <w:t xml:space="preserve"> and </w:t>
      </w:r>
      <w:r>
        <w:t>Karthika</w:t>
      </w:r>
      <w:r>
        <w:rPr>
          <w:rFonts w:hint="eastAsia"/>
        </w:rPr>
        <w:t>,</w:t>
      </w:r>
      <w:r>
        <w:t xml:space="preserve"> P</w:t>
      </w:r>
      <w:r>
        <w:rPr>
          <w:rFonts w:hint="eastAsia"/>
        </w:rPr>
        <w:t>.</w:t>
      </w:r>
      <w:r w:rsidRPr="00A428C3">
        <w:t xml:space="preserve"> (1994), </w:t>
      </w:r>
      <w:r>
        <w:t>Biosorption of heavy metals - An overview</w:t>
      </w:r>
      <w:r w:rsidRPr="00A428C3">
        <w:t xml:space="preserve">. </w:t>
      </w:r>
      <w:r w:rsidRPr="00C936F9">
        <w:rPr>
          <w:i/>
        </w:rPr>
        <w:t>Indian Journal of Biotechnology</w:t>
      </w:r>
      <w:r w:rsidRPr="00A428C3">
        <w:t xml:space="preserve">, </w:t>
      </w:r>
      <w:r>
        <w:rPr>
          <w:rFonts w:hint="eastAsia"/>
          <w:b/>
        </w:rPr>
        <w:t>7</w:t>
      </w:r>
      <w:r w:rsidRPr="00A428C3">
        <w:t xml:space="preserve"> (</w:t>
      </w:r>
      <w:r>
        <w:rPr>
          <w:rFonts w:hint="eastAsia"/>
        </w:rPr>
        <w:t>2</w:t>
      </w:r>
      <w:r w:rsidRPr="00A428C3">
        <w:t xml:space="preserve">), </w:t>
      </w:r>
      <w:r>
        <w:t>159-169</w:t>
      </w:r>
      <w:r w:rsidRPr="00A428C3">
        <w:t>.</w:t>
      </w:r>
    </w:p>
    <w:p w:rsidR="00B95188" w:rsidRDefault="00B95188" w:rsidP="00B95188">
      <w:pPr>
        <w:pStyle w:val="a0"/>
      </w:pPr>
      <w:r>
        <w:t>Abstract: During the last two decades, extensive attention has been paid on the management of environmental pollution causal by hazardous materials such as heavy metals. Decontamination of heavy metals in the soil</w:t>
      </w:r>
      <w:r w:rsidR="00F81221">
        <w:t xml:space="preserve"> and </w:t>
      </w:r>
      <w:r>
        <w:t>water around industrial plants has been a challenge for a long time. A number of methods have been developed for the removal of heavy metals from liquid wastes such as precipitation, evaporation, electroplating, ion exchange, membrane processes, etc. However, these methods have several disadvantages such as unpredictable metal ion removal, high reagent requirement, generation of toxic sludge, etc. Biosorption is a process, which represents a biotechnological innovation as well as a cost effective excellent tool for removing heavy metals from aqueous solutions. This article provides a selective overview of past achievements</w:t>
      </w:r>
      <w:r w:rsidR="00F81221">
        <w:t xml:space="preserve"> and </w:t>
      </w:r>
      <w:r>
        <w:t>present scenario of biosorption studies carried out on some promising natural biosorbents (algae, fungi, bacteria, yeast)</w:t>
      </w:r>
      <w:r w:rsidR="00F81221">
        <w:t xml:space="preserve"> and </w:t>
      </w:r>
      <w:r>
        <w:t>some waste materials which could serve as an economical means of treating effluents charged with toxic metallic ions.</w:t>
      </w:r>
    </w:p>
    <w:p w:rsidR="00B95188" w:rsidRPr="00C936F9" w:rsidRDefault="00B95188" w:rsidP="00B95188">
      <w:pPr>
        <w:pStyle w:val="a0"/>
      </w:pPr>
      <w:r>
        <w:t>Keywords: Algae, Fungi, Bacteria, Yeast, Biosorption, Heavy Metal, Biosorbent, Wastewater, Biomass, Bakers-Yeast Biomass, Packed-Bed Column, Saccharomyces-Cerevisiae, Aqueous-Solutions, Copper(II) Ions, Marine-Algae, Waste-Water, Pseudomonas-Aeruginosa, Zoogloea-Ramigera, Pb</w:t>
      </w:r>
      <w:r w:rsidRPr="00C936F9">
        <w:rPr>
          <w:vertAlign w:val="superscript"/>
        </w:rPr>
        <w:t>2+</w:t>
      </w:r>
      <w:r>
        <w:t xml:space="preserve"> Accumulation</w:t>
      </w:r>
    </w:p>
    <w:p w:rsidR="00B95188" w:rsidRPr="00A428C3" w:rsidRDefault="00B95188" w:rsidP="00B95188">
      <w:pPr>
        <w:pStyle w:val="1"/>
      </w:pPr>
      <w:r w:rsidRPr="00A428C3">
        <w:br w:type="page"/>
      </w:r>
      <w:bookmarkStart w:id="834" w:name="_Toc487190707"/>
      <w:bookmarkStart w:id="835" w:name="_Toc487882212"/>
      <w:bookmarkStart w:id="836" w:name="_Toc490688031"/>
      <w:bookmarkStart w:id="837" w:name="_Toc492812141"/>
      <w:bookmarkStart w:id="838" w:name="_Toc186647826"/>
      <w:bookmarkStart w:id="839" w:name="_Toc317161116"/>
      <w:r w:rsidRPr="00A428C3">
        <w:lastRenderedPageBreak/>
        <w:t>Title: Indian Journal of Chemical Technology</w:t>
      </w:r>
      <w:bookmarkEnd w:id="834"/>
      <w:bookmarkEnd w:id="835"/>
      <w:bookmarkEnd w:id="836"/>
      <w:bookmarkEnd w:id="837"/>
      <w:bookmarkEnd w:id="838"/>
      <w:bookmarkEnd w:id="839"/>
    </w:p>
    <w:p w:rsidR="00B95188" w:rsidRPr="00A428C3" w:rsidRDefault="00B95188" w:rsidP="00B72EF9">
      <w:pPr>
        <w:pStyle w:val="12"/>
      </w:pPr>
      <w:r w:rsidRPr="00A428C3">
        <w:t xml:space="preserve">Full Journal Title: </w:t>
      </w:r>
      <w:hyperlink r:id="rId847" w:history="1">
        <w:r w:rsidRPr="00BD155A">
          <w:rPr>
            <w:rStyle w:val="a5"/>
          </w:rPr>
          <w:t>Indian Journal of Chemical Technology</w:t>
        </w:r>
      </w:hyperlink>
    </w:p>
    <w:p w:rsidR="00B95188" w:rsidRPr="00A428C3" w:rsidRDefault="00B95188" w:rsidP="00B72EF9">
      <w:pPr>
        <w:pStyle w:val="12"/>
      </w:pPr>
      <w:r w:rsidRPr="00A428C3">
        <w:t>ISO Abbreviated Title: Indian J. Chem. Technol.</w:t>
      </w:r>
    </w:p>
    <w:p w:rsidR="00B95188" w:rsidRPr="00A428C3" w:rsidRDefault="00B95188" w:rsidP="00B72EF9">
      <w:pPr>
        <w:pStyle w:val="12"/>
      </w:pPr>
      <w:r w:rsidRPr="00A428C3">
        <w:t>JCR Abbreviated Title: Indian J Chem Technol</w:t>
      </w:r>
    </w:p>
    <w:p w:rsidR="00B95188" w:rsidRPr="00A428C3" w:rsidRDefault="00B95188" w:rsidP="00B72EF9">
      <w:pPr>
        <w:pStyle w:val="12"/>
      </w:pPr>
      <w:r w:rsidRPr="00A428C3">
        <w:t>ISSN: 0971-457X</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Natl Inst Science Communication</w:t>
      </w:r>
    </w:p>
    <w:p w:rsidR="00B95188" w:rsidRPr="00A428C3" w:rsidRDefault="00B95188" w:rsidP="00B72EF9">
      <w:pPr>
        <w:pStyle w:val="12"/>
      </w:pPr>
      <w:r w:rsidRPr="00A428C3">
        <w:t xml:space="preserve">Publisher Address: DR K S Krishnan Marg, </w:t>
      </w:r>
      <w:smartTag w:uri="urn:schemas-microsoft-com:office:smarttags" w:element="City">
        <w:r w:rsidRPr="00A428C3">
          <w:t>New Delhi</w:t>
        </w:r>
      </w:smartTag>
      <w:r w:rsidRPr="00A428C3">
        <w:t xml:space="preserve"> 110 012,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Applied: Impact Factor 0.296, 41/55 (2000)</w:t>
      </w:r>
    </w:p>
    <w:p w:rsidR="00B95188" w:rsidRPr="00A428C3" w:rsidRDefault="00B95188" w:rsidP="00B72EF9">
      <w:pPr>
        <w:pStyle w:val="12"/>
      </w:pPr>
      <w:r w:rsidRPr="00A428C3">
        <w:t>Engineering, Chemical: Impact Factor 0.317, 72/110 (1999)</w:t>
      </w:r>
    </w:p>
    <w:p w:rsidR="002955E2" w:rsidRDefault="002955E2" w:rsidP="002955E2">
      <w:pPr>
        <w:pStyle w:val="a0"/>
        <w:rPr>
          <w:kern w:val="0"/>
          <w:szCs w:val="24"/>
        </w:rPr>
      </w:pPr>
      <w:r>
        <w:rPr>
          <w:rFonts w:hint="eastAsia"/>
          <w:kern w:val="0"/>
          <w:szCs w:val="24"/>
        </w:rPr>
        <w:t xml:space="preserve">? </w:t>
      </w:r>
      <w:r>
        <w:rPr>
          <w:kern w:val="0"/>
          <w:szCs w:val="24"/>
        </w:rPr>
        <w:t>Rao, K.C.L.N., Krishnaiah, K.</w:t>
      </w:r>
      <w:r w:rsidR="00F81221">
        <w:rPr>
          <w:kern w:val="0"/>
          <w:szCs w:val="24"/>
        </w:rPr>
        <w:t xml:space="preserve"> and </w:t>
      </w:r>
      <w:r>
        <w:rPr>
          <w:kern w:val="0"/>
          <w:szCs w:val="24"/>
        </w:rPr>
        <w:t xml:space="preserve">Ashutosh. (1994), Color removal from a dyestuff industry effluent using activated carbon. </w:t>
      </w:r>
      <w:r>
        <w:rPr>
          <w:i/>
          <w:iCs/>
          <w:kern w:val="0"/>
          <w:szCs w:val="24"/>
        </w:rPr>
        <w:t>Indian Journal of Chemical Technology</w:t>
      </w:r>
      <w:r>
        <w:rPr>
          <w:kern w:val="0"/>
          <w:szCs w:val="24"/>
        </w:rPr>
        <w:t xml:space="preserve">, </w:t>
      </w:r>
      <w:r>
        <w:rPr>
          <w:b/>
          <w:bCs/>
          <w:kern w:val="0"/>
          <w:szCs w:val="24"/>
        </w:rPr>
        <w:t>1</w:t>
      </w:r>
      <w:r>
        <w:rPr>
          <w:kern w:val="0"/>
          <w:szCs w:val="24"/>
        </w:rPr>
        <w:t xml:space="preserve"> (1), 13-19.</w:t>
      </w:r>
    </w:p>
    <w:p w:rsidR="002955E2" w:rsidRDefault="002955E2" w:rsidP="002955E2">
      <w:pPr>
        <w:pStyle w:val="a0"/>
        <w:rPr>
          <w:kern w:val="0"/>
          <w:szCs w:val="24"/>
        </w:rPr>
      </w:pPr>
      <w:r>
        <w:rPr>
          <w:kern w:val="0"/>
          <w:szCs w:val="24"/>
        </w:rPr>
        <w:t>Abstract: The objective of the present study is to identify the best commercially available activated carbon adsorbents to remove the colour of dye of the effluent (waste) water from dye using</w:t>
      </w:r>
      <w:r w:rsidR="00F81221">
        <w:rPr>
          <w:kern w:val="0"/>
          <w:szCs w:val="24"/>
        </w:rPr>
        <w:t xml:space="preserve"> and </w:t>
      </w:r>
      <w:r>
        <w:rPr>
          <w:kern w:val="0"/>
          <w:szCs w:val="24"/>
        </w:rPr>
        <w:t>dye manufacturing industry. The effect of different types of dyes, particle diameter of the absorbent, intial dye concentration, carbon loading, pH of the effluent water</w:t>
      </w:r>
      <w:r w:rsidR="00F81221">
        <w:rPr>
          <w:kern w:val="0"/>
          <w:szCs w:val="24"/>
        </w:rPr>
        <w:t xml:space="preserve"> and </w:t>
      </w:r>
      <w:r>
        <w:rPr>
          <w:kern w:val="0"/>
          <w:szCs w:val="24"/>
        </w:rPr>
        <w:t>temperature on best available adsorbent is evaluated. Adsorption isotherms are developed for different dyes</w:t>
      </w:r>
      <w:r w:rsidR="00F81221">
        <w:rPr>
          <w:kern w:val="0"/>
          <w:szCs w:val="24"/>
        </w:rPr>
        <w:t xml:space="preserve"> and </w:t>
      </w:r>
      <w:r>
        <w:rPr>
          <w:kern w:val="0"/>
          <w:szCs w:val="24"/>
        </w:rPr>
        <w:t>represented by Freundlich isotherm which can be used for the design of waste water treatment plants.</w:t>
      </w:r>
    </w:p>
    <w:p w:rsidR="002955E2" w:rsidRDefault="002955E2" w:rsidP="002955E2">
      <w:pPr>
        <w:pStyle w:val="a0"/>
        <w:rPr>
          <w:kern w:val="0"/>
          <w:szCs w:val="24"/>
        </w:rPr>
      </w:pPr>
      <w:r>
        <w:rPr>
          <w:kern w:val="0"/>
          <w:szCs w:val="24"/>
        </w:rPr>
        <w:t xml:space="preserve">Keywords: Activated Carbon, Adsorbents, Adsorption, Adsorption Isotherms, Carbon, Dye, Dyes, Freundlich, Freundlich Isotherm, Industry, Isotherm, Isotherms, </w:t>
      </w:r>
      <w:r>
        <w:rPr>
          <w:rFonts w:hint="eastAsia"/>
          <w:kern w:val="0"/>
          <w:szCs w:val="24"/>
        </w:rPr>
        <w:t>p</w:t>
      </w:r>
      <w:r>
        <w:rPr>
          <w:kern w:val="0"/>
          <w:szCs w:val="24"/>
        </w:rPr>
        <w:t>H, Plants, Removal, Temperature, Treatment, Water, Water Treatment</w:t>
      </w:r>
    </w:p>
    <w:p w:rsidR="00B95188" w:rsidRDefault="00B95188" w:rsidP="00B95188">
      <w:pPr>
        <w:pStyle w:val="a0"/>
      </w:pPr>
      <w:r>
        <w:rPr>
          <w:rFonts w:hint="eastAsia"/>
        </w:rPr>
        <w:t>Notes: highly cited</w:t>
      </w:r>
    </w:p>
    <w:p w:rsidR="00B95188" w:rsidRPr="00A428C3" w:rsidRDefault="00B95188" w:rsidP="00B95188">
      <w:pPr>
        <w:pStyle w:val="a0"/>
      </w:pPr>
      <w:r w:rsidRPr="00A428C3">
        <w:t>? Singh, D.</w:t>
      </w:r>
      <w:r w:rsidR="00F81221">
        <w:t xml:space="preserve"> and </w:t>
      </w:r>
      <w:r w:rsidRPr="00A428C3">
        <w:t xml:space="preserve">Rawat, </w:t>
      </w:r>
      <w:smartTag w:uri="urn:schemas-microsoft-com:office:smarttags" w:element="State">
        <w:r w:rsidRPr="00A428C3">
          <w:t>N.S.</w:t>
        </w:r>
      </w:smartTag>
      <w:r w:rsidRPr="00A428C3">
        <w:t xml:space="preserve"> (1994), Bituminous coal for the treatment of Cd(II) rich water. </w:t>
      </w:r>
      <w:r w:rsidRPr="00A428C3">
        <w:rPr>
          <w:i/>
        </w:rPr>
        <w:t>Indian Journal of Chemical Technology</w:t>
      </w:r>
      <w:r w:rsidRPr="00A428C3">
        <w:t xml:space="preserve">, </w:t>
      </w:r>
      <w:r w:rsidRPr="00A428C3">
        <w:rPr>
          <w:b/>
        </w:rPr>
        <w:t>1</w:t>
      </w:r>
      <w:r w:rsidRPr="00A428C3">
        <w:t xml:space="preserve"> (5), 266-270.</w:t>
      </w:r>
    </w:p>
    <w:p w:rsidR="00B95188" w:rsidRPr="00A428C3" w:rsidRDefault="00B95188" w:rsidP="00B95188">
      <w:pPr>
        <w:pStyle w:val="a0"/>
      </w:pPr>
      <w:r w:rsidRPr="00A13428">
        <w:t>Abstract:</w:t>
      </w:r>
      <w:r w:rsidRPr="00A428C3">
        <w:rPr>
          <w:rStyle w:val="a4"/>
        </w:rPr>
        <w:t xml:space="preserve"> </w:t>
      </w:r>
      <w:r w:rsidRPr="00A428C3">
        <w:t>The sorption of Cd(II) on bituminous coal has been found to be dependent on contact time, concentration, temperature</w:t>
      </w:r>
      <w:r w:rsidR="00F81221">
        <w:t xml:space="preserve"> and </w:t>
      </w:r>
      <w:r w:rsidRPr="00A428C3">
        <w:t>pH. The process of removal follows first order kinetics. The temperature dependence indicates the endothermic nature of process. Alkaline aqueous medium favours the removal of Cd(II) by bituminous coal. The increase in sorption of Cd(II) with pH has been explained on the basis of interaction with organic as well as inorganic matters present in coal. Intraparticle diffusion has been found to be a rate limiting step.</w:t>
      </w:r>
    </w:p>
    <w:p w:rsidR="009C164B" w:rsidRDefault="009C164B" w:rsidP="009C164B">
      <w:pPr>
        <w:pStyle w:val="a0"/>
        <w:rPr>
          <w:kern w:val="0"/>
          <w:szCs w:val="24"/>
        </w:rPr>
      </w:pPr>
      <w:r>
        <w:rPr>
          <w:kern w:val="0"/>
          <w:szCs w:val="24"/>
        </w:rPr>
        <w:lastRenderedPageBreak/>
        <w:t>Keywords: Interaction, Kinetics, Sorption</w:t>
      </w:r>
    </w:p>
    <w:p w:rsidR="00B95188" w:rsidRPr="00A428C3" w:rsidRDefault="00B95188" w:rsidP="00B95188">
      <w:pPr>
        <w:pStyle w:val="a0"/>
      </w:pPr>
      <w:r w:rsidRPr="00A428C3">
        <w:t>Namasivayam, C.</w:t>
      </w:r>
      <w:r w:rsidR="00F81221">
        <w:t xml:space="preserve"> and </w:t>
      </w:r>
      <w:r w:rsidRPr="00A428C3">
        <w:t>Ranganathan, K. (1994), Removal of Fe(II) by waste Fe(III)/Cr(III) hydroxide from aqueous-solution</w:t>
      </w:r>
      <w:r w:rsidR="00F81221">
        <w:t xml:space="preserve"> and </w:t>
      </w:r>
      <w:r w:rsidRPr="00A428C3">
        <w:t xml:space="preserve">electroplating industry waste-water. </w:t>
      </w:r>
      <w:r w:rsidRPr="00A428C3">
        <w:rPr>
          <w:i/>
        </w:rPr>
        <w:t>Indian Journal of Chemical Technology</w:t>
      </w:r>
      <w:r w:rsidRPr="00A428C3">
        <w:t xml:space="preserve">, </w:t>
      </w:r>
      <w:r w:rsidRPr="00A428C3">
        <w:rPr>
          <w:b/>
        </w:rPr>
        <w:t>1</w:t>
      </w:r>
      <w:r w:rsidRPr="00A428C3">
        <w:t>, 351-355.</w:t>
      </w:r>
    </w:p>
    <w:p w:rsidR="00B95188" w:rsidRPr="00A428C3" w:rsidRDefault="00B95188" w:rsidP="00B95188">
      <w:pPr>
        <w:pStyle w:val="a0"/>
      </w:pPr>
      <w:r w:rsidRPr="00A428C3">
        <w:t>Abstract: The effects of Fe(II) concentration, contact time, adsorbent dosage, particle size, temperature</w:t>
      </w:r>
      <w:r w:rsidR="00F81221">
        <w:t xml:space="preserve"> and </w:t>
      </w:r>
      <w:r w:rsidRPr="00A428C3">
        <w:t>pH on adsorption of Fe(II) by waste Fe(III)/Cr(III) hydroxide have been studied. The per cent Fe(II) adsorbed increased with decrease in initial concentration of Fe(II), increase in adsorbent dosage</w:t>
      </w:r>
      <w:r w:rsidR="00F81221">
        <w:t xml:space="preserve"> and </w:t>
      </w:r>
      <w:r w:rsidRPr="00A428C3">
        <w:t>temperature. The equilibrium data fit well with the Langmuir</w:t>
      </w:r>
      <w:r w:rsidR="00F81221">
        <w:t xml:space="preserve"> and </w:t>
      </w:r>
      <w:r w:rsidRPr="00A428C3">
        <w:t>Freundlich isotherms. The adsorption rate constants</w:t>
      </w:r>
      <w:r w:rsidR="00F81221">
        <w:t xml:space="preserve"> and </w:t>
      </w:r>
      <w:r w:rsidRPr="00A428C3">
        <w:t>thermodynamical parameters are presented. Removal of Fe(II) by the adsorbent is also testified using electroplating industry wastewater.</w:t>
      </w:r>
    </w:p>
    <w:p w:rsidR="002955E2" w:rsidRDefault="002955E2" w:rsidP="002955E2">
      <w:pPr>
        <w:pStyle w:val="a0"/>
        <w:rPr>
          <w:kern w:val="0"/>
          <w:szCs w:val="24"/>
        </w:rPr>
      </w:pPr>
      <w:r>
        <w:rPr>
          <w:rFonts w:hint="eastAsia"/>
          <w:kern w:val="0"/>
          <w:szCs w:val="24"/>
        </w:rPr>
        <w:t xml:space="preserve">? </w:t>
      </w:r>
      <w:r>
        <w:rPr>
          <w:kern w:val="0"/>
          <w:szCs w:val="24"/>
        </w:rPr>
        <w:t>Singh, D.</w:t>
      </w:r>
      <w:r w:rsidR="00F81221">
        <w:rPr>
          <w:kern w:val="0"/>
          <w:szCs w:val="24"/>
        </w:rPr>
        <w:t xml:space="preserve"> and </w:t>
      </w:r>
      <w:r>
        <w:rPr>
          <w:kern w:val="0"/>
          <w:szCs w:val="24"/>
        </w:rPr>
        <w:t xml:space="preserve">Rawat, N.S. (1995), Sorption of Pb(II) by bituminous coal. </w:t>
      </w:r>
      <w:r>
        <w:rPr>
          <w:i/>
          <w:iCs/>
          <w:kern w:val="0"/>
          <w:szCs w:val="24"/>
        </w:rPr>
        <w:t>Indian Journal of Chemical Technology</w:t>
      </w:r>
      <w:r>
        <w:rPr>
          <w:kern w:val="0"/>
          <w:szCs w:val="24"/>
        </w:rPr>
        <w:t xml:space="preserve">, </w:t>
      </w:r>
      <w:r>
        <w:rPr>
          <w:b/>
          <w:bCs/>
          <w:kern w:val="0"/>
          <w:szCs w:val="24"/>
        </w:rPr>
        <w:t>2</w:t>
      </w:r>
      <w:r>
        <w:rPr>
          <w:kern w:val="0"/>
          <w:szCs w:val="24"/>
        </w:rPr>
        <w:t xml:space="preserve"> (1), 49-50.</w:t>
      </w:r>
    </w:p>
    <w:p w:rsidR="002955E2" w:rsidRDefault="002955E2" w:rsidP="002955E2">
      <w:pPr>
        <w:pStyle w:val="a0"/>
        <w:rPr>
          <w:kern w:val="0"/>
          <w:szCs w:val="24"/>
        </w:rPr>
      </w:pPr>
      <w:r>
        <w:rPr>
          <w:kern w:val="0"/>
          <w:szCs w:val="24"/>
        </w:rPr>
        <w:t>Abstract: Removal of Pb(II) on bituminous coal at different pH values has been investigated. Maximum sorption (92.52%) observed at pH 8</w:t>
      </w:r>
      <w:r w:rsidR="00F81221">
        <w:rPr>
          <w:kern w:val="0"/>
          <w:szCs w:val="24"/>
        </w:rPr>
        <w:t xml:space="preserve"> and </w:t>
      </w:r>
      <w:r>
        <w:rPr>
          <w:kern w:val="0"/>
          <w:szCs w:val="24"/>
        </w:rPr>
        <w:t>this pH value has been related with pK value. Langmuir model has been used to calculate sorption capacity of bituminous coal.</w:t>
      </w:r>
    </w:p>
    <w:p w:rsidR="002955E2" w:rsidRDefault="002955E2" w:rsidP="002955E2">
      <w:pPr>
        <w:pStyle w:val="a0"/>
        <w:rPr>
          <w:kern w:val="0"/>
          <w:szCs w:val="24"/>
        </w:rPr>
      </w:pPr>
      <w:r>
        <w:rPr>
          <w:kern w:val="0"/>
          <w:szCs w:val="24"/>
        </w:rPr>
        <w:t>Keywords: Capacity, Langmuir, Langmuir Model, Model, Pb(Ii), Ph, Removal, Sorption</w:t>
      </w:r>
    </w:p>
    <w:p w:rsidR="00B95188" w:rsidRPr="00A428C3" w:rsidRDefault="00B95188" w:rsidP="00B95188">
      <w:pPr>
        <w:pStyle w:val="a0"/>
      </w:pPr>
      <w:r w:rsidRPr="00A428C3">
        <w:t>? Mukherjee, S.</w:t>
      </w:r>
      <w:r w:rsidR="00F81221">
        <w:t xml:space="preserve"> and </w:t>
      </w:r>
      <w:r w:rsidRPr="00A428C3">
        <w:t xml:space="preserve">Mondal, G.C. (1995), Removal of lead by water hyacinth. </w:t>
      </w:r>
      <w:r w:rsidRPr="00A428C3">
        <w:rPr>
          <w:i/>
        </w:rPr>
        <w:t>Indian Journal of Chemical Technology</w:t>
      </w:r>
      <w:r w:rsidRPr="00A428C3">
        <w:t xml:space="preserve">, </w:t>
      </w:r>
      <w:r w:rsidRPr="00A428C3">
        <w:rPr>
          <w:b/>
        </w:rPr>
        <w:t>2</w:t>
      </w:r>
      <w:r w:rsidRPr="00A428C3">
        <w:t xml:space="preserve"> (2), 59-62.</w:t>
      </w:r>
    </w:p>
    <w:p w:rsidR="00B95188" w:rsidRPr="00A428C3" w:rsidRDefault="00B95188" w:rsidP="00B95188">
      <w:pPr>
        <w:pStyle w:val="a0"/>
      </w:pPr>
      <w:r w:rsidRPr="00A13428">
        <w:t>Abstract:</w:t>
      </w:r>
      <w:r w:rsidRPr="00A428C3">
        <w:t xml:space="preserve"> Lead removal from synthetic lead spiked water by water hyacinth (Eichhornia crassipes Mart) solms has been investigated to explore the performance of the aquatic plants as lead accumulator. The batch kinetics sorption studies have been described by a linearised Freundlich isotherm which indicate that 85-92% of lead removal is possible for a retention period of 10 days at pH 7.0-7.5 between initial lead concentration range 0.5-10 mg/L under specified environmental condition. It is observed that the sorption of lead is not much dependent on pH although the cessation of growth</w:t>
      </w:r>
      <w:r w:rsidR="00F81221">
        <w:t xml:space="preserve"> and </w:t>
      </w:r>
      <w:r w:rsidRPr="00A428C3">
        <w:t>wilting up of the plant occurred below pH 4.5.</w:t>
      </w:r>
    </w:p>
    <w:p w:rsidR="002955E2" w:rsidRDefault="002955E2" w:rsidP="002955E2">
      <w:pPr>
        <w:pStyle w:val="a0"/>
        <w:rPr>
          <w:kern w:val="0"/>
          <w:szCs w:val="24"/>
        </w:rPr>
      </w:pPr>
      <w:r>
        <w:rPr>
          <w:rFonts w:hint="eastAsia"/>
          <w:kern w:val="0"/>
          <w:szCs w:val="24"/>
        </w:rPr>
        <w:t xml:space="preserve">? </w:t>
      </w:r>
      <w:r>
        <w:rPr>
          <w:kern w:val="0"/>
          <w:szCs w:val="24"/>
        </w:rPr>
        <w:t>Tewari, B.B. (1995), Determination of specific surface-area of copper, zinc, stannous</w:t>
      </w:r>
      <w:r w:rsidR="00F81221">
        <w:rPr>
          <w:kern w:val="0"/>
          <w:szCs w:val="24"/>
        </w:rPr>
        <w:t xml:space="preserve"> and </w:t>
      </w:r>
      <w:r>
        <w:rPr>
          <w:kern w:val="0"/>
          <w:szCs w:val="24"/>
        </w:rPr>
        <w:t xml:space="preserve">molybdenum ferrocyanides by dye adsorption. </w:t>
      </w:r>
      <w:r>
        <w:rPr>
          <w:i/>
          <w:iCs/>
          <w:kern w:val="0"/>
          <w:szCs w:val="24"/>
        </w:rPr>
        <w:t>Indian Journal of Chemical Technology</w:t>
      </w:r>
      <w:r>
        <w:rPr>
          <w:kern w:val="0"/>
          <w:szCs w:val="24"/>
        </w:rPr>
        <w:t xml:space="preserve">, </w:t>
      </w:r>
      <w:r>
        <w:rPr>
          <w:b/>
          <w:bCs/>
          <w:kern w:val="0"/>
          <w:szCs w:val="24"/>
        </w:rPr>
        <w:t>2</w:t>
      </w:r>
      <w:r>
        <w:rPr>
          <w:kern w:val="0"/>
          <w:szCs w:val="24"/>
        </w:rPr>
        <w:t xml:space="preserve"> (2), 113-114.</w:t>
      </w:r>
    </w:p>
    <w:p w:rsidR="002955E2" w:rsidRDefault="002955E2" w:rsidP="002955E2">
      <w:pPr>
        <w:pStyle w:val="a0"/>
        <w:rPr>
          <w:kern w:val="0"/>
          <w:szCs w:val="24"/>
        </w:rPr>
      </w:pPr>
      <w:r>
        <w:rPr>
          <w:kern w:val="0"/>
          <w:szCs w:val="24"/>
        </w:rPr>
        <w:t>Abstract: The adsorption of methylene blue, a cationic organic dyestuff on copper, zinc, stannous</w:t>
      </w:r>
      <w:r w:rsidR="00F81221">
        <w:rPr>
          <w:kern w:val="0"/>
          <w:szCs w:val="24"/>
        </w:rPr>
        <w:t xml:space="preserve"> and </w:t>
      </w:r>
      <w:r>
        <w:rPr>
          <w:kern w:val="0"/>
          <w:szCs w:val="24"/>
        </w:rPr>
        <w:t>molybdenum ferrocyanides has been studied. High adsorption capacity has been observed for molybdenum ferrocyanide while it is minimum with stannous ferrocyanide. Methylene blue adsorption on these ferrocyanides follows Langmuir adsorption isotherm. Surface area of ferrocyanides has been calculated with the help of dye adsorption</w:t>
      </w:r>
      <w:r w:rsidR="00F81221">
        <w:rPr>
          <w:kern w:val="0"/>
          <w:szCs w:val="24"/>
        </w:rPr>
        <w:t xml:space="preserve"> and </w:t>
      </w:r>
      <w:r>
        <w:rPr>
          <w:kern w:val="0"/>
          <w:szCs w:val="24"/>
        </w:rPr>
        <w:t>the results indicate that molybdenum ferrocyanide is highly porous with specific surface area of 26.59 m2 g-1.</w:t>
      </w:r>
    </w:p>
    <w:p w:rsidR="002955E2" w:rsidRDefault="002955E2" w:rsidP="002955E2">
      <w:pPr>
        <w:pStyle w:val="a0"/>
        <w:rPr>
          <w:kern w:val="0"/>
          <w:szCs w:val="24"/>
        </w:rPr>
      </w:pPr>
      <w:r>
        <w:rPr>
          <w:kern w:val="0"/>
          <w:szCs w:val="24"/>
        </w:rPr>
        <w:lastRenderedPageBreak/>
        <w:t>Keywords: Adsorption, Adsorption Capacity, Adsorption Isotherm, Capacity, Copper, Determination, Dye, Dyestuff, Isotherm, Langmuir, Langmuir Adsorption Isotherm, Methylene Blue, Surface Area, Zinc</w:t>
      </w:r>
    </w:p>
    <w:p w:rsidR="00B95188" w:rsidRPr="00A428C3" w:rsidRDefault="00B95188" w:rsidP="00B95188">
      <w:pPr>
        <w:pStyle w:val="a0"/>
      </w:pPr>
      <w:r w:rsidRPr="00A428C3">
        <w:t>Sivanandan Achari, V.</w:t>
      </w:r>
      <w:r w:rsidR="00F81221">
        <w:t xml:space="preserve"> and </w:t>
      </w:r>
      <w:r w:rsidRPr="00A428C3">
        <w:t xml:space="preserve">Anirudhan, T.S. (1995), Phenol removal from aqueous systems by sorption on jackwood sawdust. </w:t>
      </w:r>
      <w:r w:rsidRPr="00A428C3">
        <w:rPr>
          <w:i/>
        </w:rPr>
        <w:t>Indian Journal of Chemical Technology</w:t>
      </w:r>
      <w:r w:rsidRPr="00A428C3">
        <w:t xml:space="preserve">, </w:t>
      </w:r>
      <w:r w:rsidRPr="00A428C3">
        <w:rPr>
          <w:b/>
        </w:rPr>
        <w:t>2</w:t>
      </w:r>
      <w:r w:rsidRPr="00A428C3">
        <w:t xml:space="preserve"> (3), 137-141.</w:t>
      </w:r>
    </w:p>
    <w:p w:rsidR="00B95188" w:rsidRPr="00A428C3" w:rsidRDefault="00B95188" w:rsidP="00B95188">
      <w:pPr>
        <w:pStyle w:val="a0"/>
      </w:pPr>
      <w:r w:rsidRPr="00A428C3">
        <w:t>Abstract: The adsorption technique using sawdust of jackwood timber has been applied for the removal of phenol from aqueous solutions. The extent of removal was dependant on concentration, pH</w:t>
      </w:r>
      <w:r w:rsidR="00F81221">
        <w:t xml:space="preserve"> and </w:t>
      </w:r>
      <w:r w:rsidRPr="00A428C3">
        <w:t>temperature of the solution. With an initial concentration of 25 mg/L at 30</w:t>
      </w:r>
      <w:r w:rsidR="008A7E71">
        <w:t>°</w:t>
      </w:r>
      <w:r w:rsidRPr="00A428C3">
        <w:t>C</w:t>
      </w:r>
      <w:r w:rsidR="00F81221">
        <w:t xml:space="preserve"> and </w:t>
      </w:r>
      <w:r w:rsidRPr="00A428C3">
        <w:t>pH 7, the removal was found to be 62.5% by using sawdust as adsorbent. The time to reach equilibrium was found to be 6 h. The higher uptake of 79.2% of the initial concentration of 25 mg/L occurs at pH 5.5 at 30</w:t>
      </w:r>
      <w:r w:rsidR="008A7E71">
        <w:t>°</w:t>
      </w:r>
      <w:r w:rsidRPr="00A428C3">
        <w:t>C. The applicability of Freundlich isotherm to the sawdust-phenol system was tested at 10, 20</w:t>
      </w:r>
      <w:r w:rsidR="00F81221">
        <w:t xml:space="preserve"> and </w:t>
      </w:r>
      <w:r w:rsidRPr="00A428C3">
        <w:t>30</w:t>
      </w:r>
      <w:r w:rsidR="008A7E71">
        <w:t>°</w:t>
      </w:r>
      <w:r w:rsidRPr="00A428C3">
        <w:t>C at pH 5.5, which can be used for the design of wastewater treatment plants. The spent adsorbent can be regenerated</w:t>
      </w:r>
      <w:r w:rsidR="00F81221">
        <w:t xml:space="preserve"> and </w:t>
      </w:r>
      <w:r w:rsidRPr="00A428C3">
        <w:t>reused by acid treatment.</w:t>
      </w:r>
    </w:p>
    <w:p w:rsidR="002955E2" w:rsidRDefault="002955E2" w:rsidP="002955E2">
      <w:pPr>
        <w:pStyle w:val="a0"/>
        <w:rPr>
          <w:kern w:val="0"/>
          <w:szCs w:val="24"/>
        </w:rPr>
      </w:pPr>
      <w:r>
        <w:rPr>
          <w:rFonts w:hint="eastAsia"/>
          <w:kern w:val="0"/>
          <w:szCs w:val="24"/>
        </w:rPr>
        <w:t xml:space="preserve">? </w:t>
      </w:r>
      <w:r>
        <w:rPr>
          <w:kern w:val="0"/>
          <w:szCs w:val="24"/>
        </w:rPr>
        <w:t>Barakat, Y., Elmergawy, S.A., Elzein, S.M.</w:t>
      </w:r>
      <w:r w:rsidR="00F81221">
        <w:rPr>
          <w:kern w:val="0"/>
          <w:szCs w:val="24"/>
        </w:rPr>
        <w:t xml:space="preserve"> and </w:t>
      </w:r>
      <w:r>
        <w:rPr>
          <w:kern w:val="0"/>
          <w:szCs w:val="24"/>
        </w:rPr>
        <w:t xml:space="preserve">Mead, A.I. (1995), Adsorption of alkylbenzene sulfonates onto mineral surfaces. </w:t>
      </w:r>
      <w:r>
        <w:rPr>
          <w:i/>
          <w:iCs/>
          <w:kern w:val="0"/>
          <w:szCs w:val="24"/>
        </w:rPr>
        <w:t>Indian Journal of Chemical Technology</w:t>
      </w:r>
      <w:r>
        <w:rPr>
          <w:kern w:val="0"/>
          <w:szCs w:val="24"/>
        </w:rPr>
        <w:t xml:space="preserve">, </w:t>
      </w:r>
      <w:r>
        <w:rPr>
          <w:b/>
          <w:bCs/>
          <w:kern w:val="0"/>
          <w:szCs w:val="24"/>
        </w:rPr>
        <w:t>2</w:t>
      </w:r>
      <w:r>
        <w:rPr>
          <w:kern w:val="0"/>
          <w:szCs w:val="24"/>
        </w:rPr>
        <w:t xml:space="preserve"> (3), 162-166.</w:t>
      </w:r>
    </w:p>
    <w:p w:rsidR="002955E2" w:rsidRDefault="002955E2" w:rsidP="002955E2">
      <w:pPr>
        <w:pStyle w:val="a0"/>
        <w:rPr>
          <w:kern w:val="0"/>
          <w:szCs w:val="24"/>
        </w:rPr>
      </w:pPr>
      <w:r>
        <w:rPr>
          <w:kern w:val="0"/>
          <w:szCs w:val="24"/>
        </w:rPr>
        <w:t>Abstract: Monoisomeric linear alkylbenzene sulphonates (LAB) are prepared</w:t>
      </w:r>
      <w:r w:rsidR="00F81221">
        <w:rPr>
          <w:kern w:val="0"/>
          <w:szCs w:val="24"/>
        </w:rPr>
        <w:t xml:space="preserve"> and </w:t>
      </w:r>
      <w:r>
        <w:rPr>
          <w:kern w:val="0"/>
          <w:szCs w:val="24"/>
        </w:rPr>
        <w:t>evaluated on a laboratory scale for enhanced oil recovery (EOR) applications. The effect of surfactant chain length has been studied using four compounds, 4 phi C-9, 4 phi C-10, 4 phi C-11</w:t>
      </w:r>
      <w:r w:rsidR="00F81221">
        <w:rPr>
          <w:kern w:val="0"/>
          <w:szCs w:val="24"/>
        </w:rPr>
        <w:t xml:space="preserve"> and </w:t>
      </w:r>
      <w:r>
        <w:rPr>
          <w:kern w:val="0"/>
          <w:szCs w:val="24"/>
        </w:rPr>
        <w:t>4 phi C-12 ABS,</w:t>
      </w:r>
      <w:r w:rsidR="00F81221">
        <w:rPr>
          <w:kern w:val="0"/>
          <w:szCs w:val="24"/>
        </w:rPr>
        <w:t xml:space="preserve"> and </w:t>
      </w:r>
      <w:r>
        <w:rPr>
          <w:kern w:val="0"/>
          <w:szCs w:val="24"/>
        </w:rPr>
        <w:t>it has been found that the plateau level increases linearly with increasing sulphonate chain length. Effect of the point of attachment of the benzene ring on the linear chain on adsorption has also been studied in two sets of experiments. In the first set, three phenylundecane isomers have been used</w:t>
      </w:r>
      <w:r w:rsidR="00F81221">
        <w:rPr>
          <w:kern w:val="0"/>
          <w:szCs w:val="24"/>
        </w:rPr>
        <w:t xml:space="preserve"> and </w:t>
      </w:r>
      <w:r>
        <w:rPr>
          <w:kern w:val="0"/>
          <w:szCs w:val="24"/>
        </w:rPr>
        <w:t>in the second set four phenyldodecane compounds isomers have been employed. Plateau adsorption levels for each of these compounds are determined through adsorption isotherms at the same experimental conditions. Linear increase in plateau adsorption level has been observed when the position of phenyl group is changed to the more central carbon atoms.</w:t>
      </w:r>
    </w:p>
    <w:p w:rsidR="002955E2" w:rsidRDefault="002955E2" w:rsidP="002955E2">
      <w:pPr>
        <w:pStyle w:val="a0"/>
        <w:rPr>
          <w:kern w:val="0"/>
          <w:szCs w:val="24"/>
        </w:rPr>
      </w:pPr>
      <w:r>
        <w:rPr>
          <w:kern w:val="0"/>
          <w:szCs w:val="24"/>
        </w:rPr>
        <w:t>Keywords: Adsorption, Adsorption Isotherms, Benzene, Carbon, Compounds, Isotherms, Linear, Linear Alkylbenzene, Mineral, Oil Recovery</w:t>
      </w:r>
    </w:p>
    <w:p w:rsidR="002955E2" w:rsidRDefault="002955E2" w:rsidP="002955E2">
      <w:pPr>
        <w:pStyle w:val="a0"/>
        <w:rPr>
          <w:kern w:val="0"/>
          <w:szCs w:val="24"/>
        </w:rPr>
      </w:pPr>
      <w:r>
        <w:rPr>
          <w:rFonts w:hint="eastAsia"/>
          <w:kern w:val="0"/>
          <w:szCs w:val="24"/>
        </w:rPr>
        <w:t xml:space="preserve">? </w:t>
      </w:r>
      <w:r>
        <w:rPr>
          <w:kern w:val="0"/>
          <w:szCs w:val="24"/>
        </w:rPr>
        <w:t>Reddy, K.A., Anand, P.S.</w:t>
      </w:r>
      <w:r w:rsidR="00F81221">
        <w:rPr>
          <w:kern w:val="0"/>
          <w:szCs w:val="24"/>
        </w:rPr>
        <w:t xml:space="preserve"> and </w:t>
      </w:r>
      <w:r>
        <w:rPr>
          <w:kern w:val="0"/>
          <w:szCs w:val="24"/>
        </w:rPr>
        <w:t xml:space="preserve">Dasare, B.D. (1995), Sorption of phenolic-compounds on porous strongly basic anion-exchangers based on styrene matrix. </w:t>
      </w:r>
      <w:r>
        <w:rPr>
          <w:i/>
          <w:iCs/>
          <w:kern w:val="0"/>
          <w:szCs w:val="24"/>
        </w:rPr>
        <w:t>Indian Journal of Chemical Technology</w:t>
      </w:r>
      <w:r>
        <w:rPr>
          <w:kern w:val="0"/>
          <w:szCs w:val="24"/>
        </w:rPr>
        <w:t xml:space="preserve">, </w:t>
      </w:r>
      <w:r>
        <w:rPr>
          <w:b/>
          <w:bCs/>
          <w:kern w:val="0"/>
          <w:szCs w:val="24"/>
        </w:rPr>
        <w:t>2</w:t>
      </w:r>
      <w:r>
        <w:rPr>
          <w:kern w:val="0"/>
          <w:szCs w:val="24"/>
        </w:rPr>
        <w:t xml:space="preserve"> (5), 276-280.</w:t>
      </w:r>
    </w:p>
    <w:p w:rsidR="002955E2" w:rsidRDefault="002955E2" w:rsidP="002955E2">
      <w:pPr>
        <w:pStyle w:val="a0"/>
        <w:rPr>
          <w:kern w:val="0"/>
          <w:szCs w:val="24"/>
        </w:rPr>
      </w:pPr>
      <w:r>
        <w:rPr>
          <w:kern w:val="0"/>
          <w:szCs w:val="24"/>
        </w:rPr>
        <w:t>Abstract: The sorption of phenolic compounds from aqueous solution has been studied by using porous strongly basic anion exchangers based on styrene matrix. The sorption performance is governed by sorbate, sorbent</w:t>
      </w:r>
      <w:r w:rsidR="00F81221">
        <w:rPr>
          <w:kern w:val="0"/>
          <w:szCs w:val="24"/>
        </w:rPr>
        <w:t xml:space="preserve"> and </w:t>
      </w:r>
      <w:r>
        <w:rPr>
          <w:kern w:val="0"/>
          <w:szCs w:val="24"/>
        </w:rPr>
        <w:t xml:space="preserve">solution characteristics. </w:t>
      </w:r>
      <w:r>
        <w:rPr>
          <w:kern w:val="0"/>
          <w:szCs w:val="24"/>
        </w:rPr>
        <w:lastRenderedPageBreak/>
        <w:t>The uptake is fast</w:t>
      </w:r>
      <w:r w:rsidR="00F81221">
        <w:rPr>
          <w:kern w:val="0"/>
          <w:szCs w:val="24"/>
        </w:rPr>
        <w:t xml:space="preserve"> and </w:t>
      </w:r>
      <w:r>
        <w:rPr>
          <w:kern w:val="0"/>
          <w:szCs w:val="24"/>
        </w:rPr>
        <w:t>reversible. However, the pH of aqueous solution of these compounds</w:t>
      </w:r>
      <w:r w:rsidR="00F81221">
        <w:rPr>
          <w:kern w:val="0"/>
          <w:szCs w:val="24"/>
        </w:rPr>
        <w:t xml:space="preserve"> and </w:t>
      </w:r>
      <w:r>
        <w:rPr>
          <w:kern w:val="0"/>
          <w:szCs w:val="24"/>
        </w:rPr>
        <w:t>the presence of electrolyte effects their sorption performance. The sorption of phenolic compounds by these porous strongly basic anion exchangers has been found to be reversible under dynamic conditions.</w:t>
      </w:r>
    </w:p>
    <w:p w:rsidR="002955E2" w:rsidRDefault="002955E2" w:rsidP="002955E2">
      <w:pPr>
        <w:pStyle w:val="a0"/>
        <w:rPr>
          <w:kern w:val="0"/>
          <w:szCs w:val="24"/>
        </w:rPr>
      </w:pPr>
      <w:r>
        <w:rPr>
          <w:kern w:val="0"/>
          <w:szCs w:val="24"/>
        </w:rPr>
        <w:t>Keywords: Compounds, pH, Porous, Sorbent, Sorption</w:t>
      </w:r>
    </w:p>
    <w:p w:rsidR="002955E2" w:rsidRDefault="002955E2" w:rsidP="002955E2">
      <w:pPr>
        <w:pStyle w:val="a0"/>
        <w:rPr>
          <w:kern w:val="0"/>
          <w:szCs w:val="24"/>
        </w:rPr>
      </w:pPr>
      <w:r>
        <w:rPr>
          <w:rFonts w:hint="eastAsia"/>
          <w:kern w:val="0"/>
          <w:szCs w:val="24"/>
        </w:rPr>
        <w:t xml:space="preserve">? </w:t>
      </w:r>
      <w:r>
        <w:rPr>
          <w:kern w:val="0"/>
          <w:szCs w:val="24"/>
        </w:rPr>
        <w:t>Gaid, A., Kaoua, F., Mederres, N.</w:t>
      </w:r>
      <w:r w:rsidR="00F81221">
        <w:rPr>
          <w:kern w:val="0"/>
          <w:szCs w:val="24"/>
        </w:rPr>
        <w:t xml:space="preserve"> and </w:t>
      </w:r>
      <w:r>
        <w:rPr>
          <w:kern w:val="0"/>
          <w:szCs w:val="24"/>
        </w:rPr>
        <w:t xml:space="preserve">Khodja, M. (1995), Surface mass-transfer processes using activated date pits as adsorbent. </w:t>
      </w:r>
      <w:r>
        <w:rPr>
          <w:i/>
          <w:iCs/>
          <w:kern w:val="0"/>
          <w:szCs w:val="24"/>
        </w:rPr>
        <w:t>Indian Journal of Chemical Technology</w:t>
      </w:r>
      <w:r>
        <w:rPr>
          <w:kern w:val="0"/>
          <w:szCs w:val="24"/>
        </w:rPr>
        <w:t xml:space="preserve">, </w:t>
      </w:r>
      <w:r>
        <w:rPr>
          <w:b/>
          <w:bCs/>
          <w:kern w:val="0"/>
          <w:szCs w:val="24"/>
        </w:rPr>
        <w:t>2</w:t>
      </w:r>
      <w:r>
        <w:rPr>
          <w:kern w:val="0"/>
          <w:szCs w:val="24"/>
        </w:rPr>
        <w:t xml:space="preserve"> (5), 291-294.</w:t>
      </w:r>
    </w:p>
    <w:p w:rsidR="002955E2" w:rsidRDefault="002955E2" w:rsidP="002955E2">
      <w:pPr>
        <w:pStyle w:val="a0"/>
        <w:rPr>
          <w:kern w:val="0"/>
          <w:szCs w:val="24"/>
        </w:rPr>
      </w:pPr>
      <w:r>
        <w:rPr>
          <w:kern w:val="0"/>
          <w:szCs w:val="24"/>
        </w:rPr>
        <w:t>Abstract: The ability of:activated date pits to adsorb various pollutants from aqueous solutions has been studied. The pollutants investigated are phenol, methylene blue, aniline, procion red</w:t>
      </w:r>
      <w:r w:rsidR="00F81221">
        <w:rPr>
          <w:kern w:val="0"/>
          <w:szCs w:val="24"/>
        </w:rPr>
        <w:t xml:space="preserve"> and </w:t>
      </w:r>
      <w:r>
        <w:rPr>
          <w:kern w:val="0"/>
          <w:szCs w:val="24"/>
        </w:rPr>
        <w:t>humic substances. The adsorption is presented in the form of the equilibrium isotherms. The Freundlich, Langmuir</w:t>
      </w:r>
      <w:r w:rsidR="00F81221">
        <w:rPr>
          <w:kern w:val="0"/>
          <w:szCs w:val="24"/>
        </w:rPr>
        <w:t xml:space="preserve"> and </w:t>
      </w:r>
      <w:r>
        <w:rPr>
          <w:kern w:val="0"/>
          <w:szCs w:val="24"/>
        </w:rPr>
        <w:t>Redlich-Peterson isotherm equations are fitted to the results</w:t>
      </w:r>
      <w:r w:rsidR="00F81221">
        <w:rPr>
          <w:kern w:val="0"/>
          <w:szCs w:val="24"/>
        </w:rPr>
        <w:t xml:space="preserve"> and </w:t>
      </w:r>
      <w:r>
        <w:rPr>
          <w:kern w:val="0"/>
          <w:szCs w:val="24"/>
        </w:rPr>
        <w:t>the isotherm constants obtained.</w:t>
      </w:r>
    </w:p>
    <w:p w:rsidR="002955E2" w:rsidRDefault="002955E2" w:rsidP="002955E2">
      <w:pPr>
        <w:pStyle w:val="a0"/>
        <w:rPr>
          <w:kern w:val="0"/>
          <w:szCs w:val="24"/>
        </w:rPr>
      </w:pPr>
      <w:r>
        <w:rPr>
          <w:kern w:val="0"/>
          <w:szCs w:val="24"/>
        </w:rPr>
        <w:t>Keywords: Adsorbent, Adsorption, Aqueous Solutions, Equilibrium, Freundlich, Humic Substances, Isotherm, Isotherms, Langmuir, Methylene Blue, Phenol</w:t>
      </w:r>
    </w:p>
    <w:p w:rsidR="00156F25" w:rsidRDefault="00156F25" w:rsidP="00156F25">
      <w:pPr>
        <w:pStyle w:val="a0"/>
        <w:rPr>
          <w:kern w:val="0"/>
          <w:szCs w:val="24"/>
        </w:rPr>
      </w:pPr>
      <w:r>
        <w:rPr>
          <w:rFonts w:hint="eastAsia"/>
          <w:kern w:val="0"/>
          <w:szCs w:val="24"/>
        </w:rPr>
        <w:t xml:space="preserve">? </w:t>
      </w:r>
      <w:r>
        <w:rPr>
          <w:kern w:val="0"/>
          <w:szCs w:val="24"/>
        </w:rPr>
        <w:t>Sekaran, G., Shanmugasundaram, K.A., Mariappan, M.</w:t>
      </w:r>
      <w:r w:rsidR="00F81221">
        <w:rPr>
          <w:kern w:val="0"/>
          <w:szCs w:val="24"/>
        </w:rPr>
        <w:t xml:space="preserve"> and </w:t>
      </w:r>
      <w:r>
        <w:rPr>
          <w:kern w:val="0"/>
          <w:szCs w:val="24"/>
        </w:rPr>
        <w:t xml:space="preserve">Raghavan, K.V. (1995), Utilization of a solid-waste generated in leather industry for removal of dye in aqueous-solution. </w:t>
      </w:r>
      <w:r>
        <w:rPr>
          <w:i/>
          <w:iCs/>
          <w:kern w:val="0"/>
          <w:szCs w:val="24"/>
        </w:rPr>
        <w:t>Indian Journal of Chemical Technology</w:t>
      </w:r>
      <w:r>
        <w:rPr>
          <w:kern w:val="0"/>
          <w:szCs w:val="24"/>
        </w:rPr>
        <w:t xml:space="preserve">, </w:t>
      </w:r>
      <w:r>
        <w:rPr>
          <w:b/>
          <w:bCs/>
          <w:kern w:val="0"/>
          <w:szCs w:val="24"/>
        </w:rPr>
        <w:t>2</w:t>
      </w:r>
      <w:r>
        <w:rPr>
          <w:kern w:val="0"/>
          <w:szCs w:val="24"/>
        </w:rPr>
        <w:t xml:space="preserve"> (6), 311-316.</w:t>
      </w:r>
    </w:p>
    <w:p w:rsidR="00156F25" w:rsidRDefault="00156F25" w:rsidP="00156F25">
      <w:pPr>
        <w:pStyle w:val="a0"/>
        <w:rPr>
          <w:kern w:val="0"/>
          <w:szCs w:val="24"/>
        </w:rPr>
      </w:pPr>
      <w:r>
        <w:rPr>
          <w:kern w:val="0"/>
          <w:szCs w:val="24"/>
        </w:rPr>
        <w:t>Abstract: Buffing dust generated from leather industry can be considered as a source for obtaining activated carbon for the removal of dyes from wastewater. The adsorption capacity of buffing dust based activated carbon was 6.24 mg/g at a pH 3.5, temperature 30 degrees C for dye concentration of 125 mg/L</w:t>
      </w:r>
      <w:r w:rsidR="00F81221">
        <w:rPr>
          <w:kern w:val="0"/>
          <w:szCs w:val="24"/>
        </w:rPr>
        <w:t xml:space="preserve"> and </w:t>
      </w:r>
      <w:r>
        <w:rPr>
          <w:kern w:val="0"/>
          <w:szCs w:val="24"/>
        </w:rPr>
        <w:t>carbonisation temperature 900 degrees C. Effect of initial dye concentration, pH, temperature</w:t>
      </w:r>
      <w:r w:rsidR="00F81221">
        <w:rPr>
          <w:kern w:val="0"/>
          <w:szCs w:val="24"/>
        </w:rPr>
        <w:t xml:space="preserve"> and </w:t>
      </w:r>
      <w:r>
        <w:rPr>
          <w:kern w:val="0"/>
          <w:szCs w:val="24"/>
        </w:rPr>
        <w:t>particle size on dye adsorption</w:t>
      </w:r>
      <w:r w:rsidR="00F81221">
        <w:rPr>
          <w:kern w:val="0"/>
          <w:szCs w:val="24"/>
        </w:rPr>
        <w:t xml:space="preserve"> and </w:t>
      </w:r>
      <w:r>
        <w:rPr>
          <w:kern w:val="0"/>
          <w:szCs w:val="24"/>
        </w:rPr>
        <w:t>pore diffusion were also determined. The enthalpy of adsorption was determined to be - 15.69 kJ/mol.</w:t>
      </w:r>
    </w:p>
    <w:p w:rsidR="00156F25" w:rsidRDefault="00156F25" w:rsidP="00156F25">
      <w:pPr>
        <w:pStyle w:val="a0"/>
        <w:rPr>
          <w:kern w:val="0"/>
          <w:szCs w:val="24"/>
        </w:rPr>
      </w:pPr>
      <w:r>
        <w:rPr>
          <w:kern w:val="0"/>
          <w:szCs w:val="24"/>
        </w:rPr>
        <w:t xml:space="preserve">Keywords: Activated Carbon, Adsorption, Adsorption Capacity, Capacity, Carbon, Diffusion, Dye, Dyes, Industry, </w:t>
      </w:r>
      <w:r>
        <w:rPr>
          <w:rFonts w:hint="eastAsia"/>
          <w:kern w:val="0"/>
          <w:szCs w:val="24"/>
        </w:rPr>
        <w:t>p</w:t>
      </w:r>
      <w:r>
        <w:rPr>
          <w:kern w:val="0"/>
          <w:szCs w:val="24"/>
        </w:rPr>
        <w:t>H, Pore, Removal, Temperature, Wastewater</w:t>
      </w:r>
    </w:p>
    <w:p w:rsidR="00156F25" w:rsidRDefault="00156F25" w:rsidP="00156F25">
      <w:pPr>
        <w:pStyle w:val="a0"/>
        <w:rPr>
          <w:kern w:val="0"/>
          <w:szCs w:val="24"/>
        </w:rPr>
      </w:pPr>
      <w:r>
        <w:rPr>
          <w:rFonts w:hint="eastAsia"/>
          <w:kern w:val="0"/>
          <w:szCs w:val="24"/>
        </w:rPr>
        <w:t xml:space="preserve">? </w:t>
      </w:r>
      <w:r>
        <w:rPr>
          <w:kern w:val="0"/>
          <w:szCs w:val="24"/>
        </w:rPr>
        <w:t>Srivastava, S.K., Gupta, V.K., Johri, N.</w:t>
      </w:r>
      <w:r w:rsidR="00F81221">
        <w:rPr>
          <w:kern w:val="0"/>
          <w:szCs w:val="24"/>
        </w:rPr>
        <w:t xml:space="preserve"> and </w:t>
      </w:r>
      <w:r>
        <w:rPr>
          <w:kern w:val="0"/>
          <w:szCs w:val="24"/>
        </w:rPr>
        <w:t xml:space="preserve">Mohan, D. (1995), Removal of 2,4,6-trinitrophenol using bagasse fly-ash - A sugar-industry waste material. </w:t>
      </w:r>
      <w:r>
        <w:rPr>
          <w:i/>
          <w:iCs/>
          <w:kern w:val="0"/>
          <w:szCs w:val="24"/>
        </w:rPr>
        <w:t>Indian Journal of Chemical Technology</w:t>
      </w:r>
      <w:r>
        <w:rPr>
          <w:kern w:val="0"/>
          <w:szCs w:val="24"/>
        </w:rPr>
        <w:t xml:space="preserve">, </w:t>
      </w:r>
      <w:r>
        <w:rPr>
          <w:b/>
          <w:bCs/>
          <w:kern w:val="0"/>
          <w:szCs w:val="24"/>
        </w:rPr>
        <w:t>2</w:t>
      </w:r>
      <w:r>
        <w:rPr>
          <w:kern w:val="0"/>
          <w:szCs w:val="24"/>
        </w:rPr>
        <w:t xml:space="preserve"> (6), 333-336.</w:t>
      </w:r>
    </w:p>
    <w:p w:rsidR="00156F25" w:rsidRDefault="00156F25" w:rsidP="00156F25">
      <w:pPr>
        <w:pStyle w:val="a0"/>
        <w:rPr>
          <w:kern w:val="0"/>
          <w:szCs w:val="24"/>
        </w:rPr>
      </w:pPr>
      <w:r>
        <w:rPr>
          <w:kern w:val="0"/>
          <w:szCs w:val="24"/>
        </w:rPr>
        <w:t>Abstract: Bagasse fly ash, a waste generated in sugar industries has been converted into low cost adsorbent material. Product so obtained has been characterised</w:t>
      </w:r>
      <w:r w:rsidR="00F81221">
        <w:rPr>
          <w:kern w:val="0"/>
          <w:szCs w:val="24"/>
        </w:rPr>
        <w:t xml:space="preserve"> and </w:t>
      </w:r>
      <w:r>
        <w:rPr>
          <w:kern w:val="0"/>
          <w:szCs w:val="24"/>
        </w:rPr>
        <w:t>utilized for the removal of 2,4,6-trinitrophenol. Investigations include the effect of pH, sorbent dosage, phenol concentration</w:t>
      </w:r>
      <w:r w:rsidR="00F81221">
        <w:rPr>
          <w:kern w:val="0"/>
          <w:szCs w:val="24"/>
        </w:rPr>
        <w:t xml:space="preserve"> and </w:t>
      </w:r>
      <w:r>
        <w:rPr>
          <w:kern w:val="0"/>
          <w:szCs w:val="24"/>
        </w:rPr>
        <w:t>the presence of surfactants on the low cost adsorbent. Bagasse fly ash exhibits good sorption capacity for TNP</w:t>
      </w:r>
      <w:r w:rsidR="00F81221">
        <w:rPr>
          <w:kern w:val="0"/>
          <w:szCs w:val="24"/>
        </w:rPr>
        <w:t xml:space="preserve"> and </w:t>
      </w:r>
      <w:r>
        <w:rPr>
          <w:kern w:val="0"/>
          <w:szCs w:val="24"/>
        </w:rPr>
        <w:t>the adsorption data follows both Langmuir</w:t>
      </w:r>
      <w:r w:rsidR="00F81221">
        <w:rPr>
          <w:kern w:val="0"/>
          <w:szCs w:val="24"/>
        </w:rPr>
        <w:t xml:space="preserve"> and </w:t>
      </w:r>
      <w:r>
        <w:rPr>
          <w:kern w:val="0"/>
          <w:szCs w:val="24"/>
        </w:rPr>
        <w:t>Freundlich models. Thermodynamic parameters indicate the feasibility of the process. The sorption efficiency of the material decreases in the presence of some cleaning agents.</w:t>
      </w:r>
    </w:p>
    <w:p w:rsidR="00156F25" w:rsidRDefault="00156F25" w:rsidP="00156F25">
      <w:pPr>
        <w:pStyle w:val="a0"/>
        <w:rPr>
          <w:kern w:val="0"/>
          <w:szCs w:val="24"/>
        </w:rPr>
      </w:pPr>
      <w:r>
        <w:rPr>
          <w:kern w:val="0"/>
          <w:szCs w:val="24"/>
        </w:rPr>
        <w:t xml:space="preserve">Keywords: Adsorption, Capacity, Cost, Fly Ash, Freundlich, Langmuir, Low Cost </w:t>
      </w:r>
      <w:r>
        <w:rPr>
          <w:kern w:val="0"/>
          <w:szCs w:val="24"/>
        </w:rPr>
        <w:lastRenderedPageBreak/>
        <w:t>Adsorbent, Models, pH, Phenol, Removal, Sorbent, Sorption, Thermodynamic, Thermodynamic Parameters</w:t>
      </w:r>
    </w:p>
    <w:p w:rsidR="00B95188" w:rsidRPr="00A428C3" w:rsidRDefault="00B95188" w:rsidP="00B95188">
      <w:pPr>
        <w:pStyle w:val="a0"/>
      </w:pPr>
      <w:r w:rsidRPr="00A428C3">
        <w:t>Raji, C.</w:t>
      </w:r>
      <w:r w:rsidR="00F81221">
        <w:t xml:space="preserve"> and </w:t>
      </w:r>
      <w:r w:rsidRPr="00A428C3">
        <w:t xml:space="preserve">Anirudhan, T.S. (1996), Removal of Hg(II) from aqueous solution by sorption on polymerised saw dust. </w:t>
      </w:r>
      <w:r w:rsidRPr="00A428C3">
        <w:rPr>
          <w:i/>
        </w:rPr>
        <w:t>Indian Journal of Chemical Technology</w:t>
      </w:r>
      <w:r w:rsidRPr="00A428C3">
        <w:t xml:space="preserve">, </w:t>
      </w:r>
      <w:r w:rsidRPr="00A428C3">
        <w:rPr>
          <w:b/>
        </w:rPr>
        <w:t>3</w:t>
      </w:r>
      <w:r w:rsidRPr="00A428C3">
        <w:t xml:space="preserve"> (1), 49-54.</w:t>
      </w:r>
    </w:p>
    <w:p w:rsidR="00B95188" w:rsidRPr="00A428C3" w:rsidRDefault="00B95188" w:rsidP="00B95188">
      <w:pPr>
        <w:pStyle w:val="a0"/>
      </w:pPr>
      <w:r w:rsidRPr="00A428C3">
        <w:t>Abstract: The ability of polymerised Saw dust to adsorb Hg(II) from water has, been carried out. The per cent Hg(II) adsorbed increased with decrease in initial concentration of Hg(II), increase in adsorbent dosage</w:t>
      </w:r>
      <w:r w:rsidR="00F81221">
        <w:t xml:space="preserve"> and </w:t>
      </w:r>
      <w:r w:rsidRPr="00A428C3">
        <w:t>temperature. Maximum accumulation was noted within 4 h</w:t>
      </w:r>
      <w:r w:rsidR="00F81221">
        <w:t xml:space="preserve"> and </w:t>
      </w:r>
      <w:r w:rsidRPr="00A428C3">
        <w:t>maximum removal (94%) was recorded below 10 mg/L of Hg(II), The process follows a first order rate kinetics with diffusion controlled nature</w:t>
      </w:r>
      <w:r w:rsidR="00F81221">
        <w:t xml:space="preserve"> and </w:t>
      </w:r>
      <w:r w:rsidRPr="00A428C3">
        <w:t>the data fits the Langmuir adsorption isotherm. Sorbent is effective for the quantitative removal of Hg(II) over the pH range 3.5-8.5. Adsorption rate constants,</w:t>
      </w:r>
      <w:r w:rsidR="00F81221">
        <w:t xml:space="preserve"> and </w:t>
      </w:r>
      <w:r w:rsidRPr="00A428C3">
        <w:t xml:space="preserve">thermodynamic parameters were also presented to predict the nature of adsorption. Extraction studies confirmed that most Hg(II) could be released by exposure to </w:t>
      </w:r>
      <w:smartTag w:uri="urn:schemas-microsoft-com:office:smarttags" w:element="chmetcnv">
        <w:smartTagPr>
          <w:attr w:name="TCSC" w:val="0"/>
          <w:attr w:name="NumberType" w:val="1"/>
          <w:attr w:name="Negative" w:val="False"/>
          <w:attr w:name="HasSpace" w:val="True"/>
          <w:attr w:name="SourceValue" w:val="1"/>
          <w:attr w:name="UnitName" w:val="m"/>
        </w:smartTagPr>
        <w:r w:rsidRPr="00A428C3">
          <w:t>1 M</w:t>
        </w:r>
      </w:smartTag>
      <w:r w:rsidRPr="00A428C3">
        <w:t xml:space="preserve"> HCl or chelating agent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EDTA).</w:t>
      </w:r>
    </w:p>
    <w:p w:rsidR="00B95188" w:rsidRPr="00A428C3" w:rsidRDefault="00B95188" w:rsidP="00B95188">
      <w:pPr>
        <w:pStyle w:val="a0"/>
      </w:pPr>
      <w:r w:rsidRPr="00A428C3">
        <w:t>Shubha, K.P.</w:t>
      </w:r>
      <w:r w:rsidR="00F81221">
        <w:t xml:space="preserve"> and </w:t>
      </w:r>
      <w:r w:rsidRPr="00A428C3">
        <w:t xml:space="preserve">Anirudhan, T.S. (1996), Adsorption of Pb(II) on polyacrylamide grafted tin(IV) oxide gel from aqueous solution. </w:t>
      </w:r>
      <w:r w:rsidRPr="00A428C3">
        <w:rPr>
          <w:i/>
        </w:rPr>
        <w:t>Indian Journal of Chemical Technology</w:t>
      </w:r>
      <w:r w:rsidRPr="00A428C3">
        <w:t xml:space="preserve">, </w:t>
      </w:r>
      <w:r w:rsidRPr="00A428C3">
        <w:rPr>
          <w:b/>
        </w:rPr>
        <w:t>3</w:t>
      </w:r>
      <w:r w:rsidRPr="00A428C3">
        <w:t xml:space="preserve"> (1), 55-57.</w:t>
      </w:r>
    </w:p>
    <w:p w:rsidR="00B95188" w:rsidRPr="00A428C3" w:rsidRDefault="00B95188" w:rsidP="00B95188">
      <w:pPr>
        <w:pStyle w:val="a0"/>
      </w:pPr>
      <w:r w:rsidRPr="00A428C3">
        <w:t>Abstract: Polyacrylamide grafted hydrous tin(IV) oxide gel has been studied as a sorbent for removal of Pb(II) from aqueous solutions. Effects of contact time, initial concentration, pH</w:t>
      </w:r>
      <w:r w:rsidR="00F81221">
        <w:t xml:space="preserve"> and </w:t>
      </w:r>
      <w:r w:rsidRPr="00A428C3">
        <w:t>temperature have been studied. The adsorption follows first order kinetics. The uptake is maximum around pH 5.5</w:t>
      </w:r>
      <w:r w:rsidR="00F81221">
        <w:t xml:space="preserve"> and </w:t>
      </w:r>
      <w:r w:rsidRPr="00A428C3">
        <w:t>it has been explained on the basis of the surface complexation involving H</w:t>
      </w:r>
      <w:r w:rsidRPr="00A428C3">
        <w:rPr>
          <w:vertAlign w:val="superscript"/>
        </w:rPr>
        <w:t>+</w:t>
      </w:r>
      <w:r w:rsidRPr="00A428C3">
        <w:t xml:space="preserve"> exchange. The adsorption isotherms of Pb(II) were found to follow the Langmuir adsorption model. The adsorption rate constants</w:t>
      </w:r>
      <w:r w:rsidR="00F81221">
        <w:t xml:space="preserve"> and </w:t>
      </w:r>
      <w:r w:rsidRPr="00A428C3">
        <w:t>thermodynamical parameters were also presented to predict the nature of adsorption. The spent adsorbent can be regenerated</w:t>
      </w:r>
      <w:r w:rsidR="00F81221">
        <w:t xml:space="preserve"> and </w:t>
      </w:r>
      <w:r w:rsidRPr="00A428C3">
        <w:t>reused by acid treatment.</w:t>
      </w:r>
    </w:p>
    <w:p w:rsidR="00156F25" w:rsidRDefault="00156F25" w:rsidP="00156F25">
      <w:pPr>
        <w:pStyle w:val="a0"/>
        <w:rPr>
          <w:kern w:val="0"/>
          <w:szCs w:val="24"/>
        </w:rPr>
      </w:pPr>
      <w:r>
        <w:rPr>
          <w:rFonts w:hint="eastAsia"/>
          <w:kern w:val="0"/>
          <w:szCs w:val="24"/>
        </w:rPr>
        <w:t xml:space="preserve">? </w:t>
      </w:r>
      <w:r>
        <w:rPr>
          <w:kern w:val="0"/>
          <w:szCs w:val="24"/>
        </w:rPr>
        <w:t>Aggarwal, P., Kapoor, J.C., Kapoor, S.K., Bhalla, A.K.</w:t>
      </w:r>
      <w:r w:rsidR="00F81221">
        <w:rPr>
          <w:kern w:val="0"/>
          <w:szCs w:val="24"/>
        </w:rPr>
        <w:t xml:space="preserve"> and </w:t>
      </w:r>
      <w:r>
        <w:rPr>
          <w:kern w:val="0"/>
          <w:szCs w:val="24"/>
        </w:rPr>
        <w:t xml:space="preserve">Bansal, R.C. (1996), Adsorption of nitrobenzene on activated carbon from dilute aqueous solutions. </w:t>
      </w:r>
      <w:r>
        <w:rPr>
          <w:i/>
          <w:iCs/>
          <w:kern w:val="0"/>
          <w:szCs w:val="24"/>
        </w:rPr>
        <w:t>Indian Journal of Chemical Technology</w:t>
      </w:r>
      <w:r>
        <w:rPr>
          <w:kern w:val="0"/>
          <w:szCs w:val="24"/>
        </w:rPr>
        <w:t xml:space="preserve">, </w:t>
      </w:r>
      <w:r>
        <w:rPr>
          <w:b/>
          <w:bCs/>
          <w:kern w:val="0"/>
          <w:szCs w:val="24"/>
        </w:rPr>
        <w:t>3</w:t>
      </w:r>
      <w:r>
        <w:rPr>
          <w:kern w:val="0"/>
          <w:szCs w:val="24"/>
        </w:rPr>
        <w:t xml:space="preserve"> (4), 187-190.</w:t>
      </w:r>
    </w:p>
    <w:p w:rsidR="00156F25" w:rsidRDefault="00156F25" w:rsidP="00156F25">
      <w:pPr>
        <w:pStyle w:val="a0"/>
        <w:rPr>
          <w:kern w:val="0"/>
          <w:szCs w:val="24"/>
        </w:rPr>
      </w:pPr>
      <w:r>
        <w:rPr>
          <w:kern w:val="0"/>
          <w:szCs w:val="24"/>
        </w:rPr>
        <w:t>Abstract: The adsorption isotherms of nitrobenzene from aqueous solutions in the concentration range 20-200 mg/L have been studied on five different commercially available activated carbons with surface areas varying between 650-1300 m(2)/g. The adsorption depends upon surface area but is not linearly related to it. The adsorption isotherms on oxidised</w:t>
      </w:r>
      <w:r w:rsidR="00F81221">
        <w:rPr>
          <w:kern w:val="0"/>
          <w:szCs w:val="24"/>
        </w:rPr>
        <w:t xml:space="preserve"> and </w:t>
      </w:r>
      <w:r>
        <w:rPr>
          <w:kern w:val="0"/>
          <w:szCs w:val="24"/>
        </w:rPr>
        <w:t>degassed samples of activated carbons indicate that the adsorption increases on degassing but decreases on oxidation.</w:t>
      </w:r>
    </w:p>
    <w:p w:rsidR="00156F25" w:rsidRDefault="00156F25" w:rsidP="00156F25">
      <w:pPr>
        <w:pStyle w:val="a0"/>
        <w:rPr>
          <w:kern w:val="0"/>
          <w:szCs w:val="24"/>
        </w:rPr>
      </w:pPr>
      <w:r>
        <w:rPr>
          <w:kern w:val="0"/>
          <w:szCs w:val="24"/>
        </w:rPr>
        <w:t>Keywords: Activated Carbon, Adsorption, Adsorption Isotherms, Aqueous Solutions, Behavior, Carbon, Isotherms, Oxidation, Oxygen, Polymer Carbons, Surface Characteristics</w:t>
      </w:r>
    </w:p>
    <w:p w:rsidR="00156F25" w:rsidRDefault="00156F25" w:rsidP="00156F25">
      <w:pPr>
        <w:pStyle w:val="a0"/>
        <w:rPr>
          <w:kern w:val="0"/>
          <w:szCs w:val="24"/>
        </w:rPr>
      </w:pPr>
      <w:r>
        <w:rPr>
          <w:rFonts w:hint="eastAsia"/>
          <w:kern w:val="0"/>
          <w:szCs w:val="24"/>
        </w:rPr>
        <w:lastRenderedPageBreak/>
        <w:t xml:space="preserve">? </w:t>
      </w:r>
      <w:r>
        <w:rPr>
          <w:kern w:val="0"/>
          <w:szCs w:val="24"/>
        </w:rPr>
        <w:t>Bajpai, A.K.</w:t>
      </w:r>
      <w:r w:rsidR="00F81221">
        <w:rPr>
          <w:kern w:val="0"/>
          <w:szCs w:val="24"/>
        </w:rPr>
        <w:t xml:space="preserve"> and </w:t>
      </w:r>
      <w:r>
        <w:rPr>
          <w:kern w:val="0"/>
          <w:szCs w:val="24"/>
        </w:rPr>
        <w:t xml:space="preserve">Bajpai, S.K. (1996), Kinetics of flocculation of iron oxide particles by polyacrylamide. </w:t>
      </w:r>
      <w:r>
        <w:rPr>
          <w:i/>
          <w:iCs/>
          <w:kern w:val="0"/>
          <w:szCs w:val="24"/>
        </w:rPr>
        <w:t>Indian Journal of Chemical Technology</w:t>
      </w:r>
      <w:r>
        <w:rPr>
          <w:kern w:val="0"/>
          <w:szCs w:val="24"/>
        </w:rPr>
        <w:t xml:space="preserve">, </w:t>
      </w:r>
      <w:r>
        <w:rPr>
          <w:b/>
          <w:bCs/>
          <w:kern w:val="0"/>
          <w:szCs w:val="24"/>
        </w:rPr>
        <w:t>3</w:t>
      </w:r>
      <w:r>
        <w:rPr>
          <w:kern w:val="0"/>
          <w:szCs w:val="24"/>
        </w:rPr>
        <w:t xml:space="preserve"> (4), 219-223.</w:t>
      </w:r>
    </w:p>
    <w:p w:rsidR="00156F25" w:rsidRDefault="00156F25" w:rsidP="00156F25">
      <w:pPr>
        <w:pStyle w:val="a0"/>
        <w:rPr>
          <w:kern w:val="0"/>
          <w:szCs w:val="24"/>
        </w:rPr>
      </w:pPr>
      <w:r>
        <w:rPr>
          <w:kern w:val="0"/>
          <w:szCs w:val="24"/>
        </w:rPr>
        <w:t>Abstract: The kinetics of the flocculation of iron oxide sol by polyacrylamide has been studied by turbidity measurements. Various kinetics parameters such as per cent flocculation, flocculation rate</w:t>
      </w:r>
      <w:r w:rsidR="00F81221">
        <w:rPr>
          <w:kern w:val="0"/>
          <w:szCs w:val="24"/>
        </w:rPr>
        <w:t xml:space="preserve"> and </w:t>
      </w:r>
      <w:r>
        <w:rPr>
          <w:kern w:val="0"/>
          <w:szCs w:val="24"/>
        </w:rPr>
        <w:t>rate constants for the flocculation</w:t>
      </w:r>
      <w:r w:rsidR="00F81221">
        <w:rPr>
          <w:kern w:val="0"/>
          <w:szCs w:val="24"/>
        </w:rPr>
        <w:t xml:space="preserve"> and </w:t>
      </w:r>
      <w:r>
        <w:rPr>
          <w:kern w:val="0"/>
          <w:szCs w:val="24"/>
        </w:rPr>
        <w:t>deflocculation have been evaluated. Both the qualitative</w:t>
      </w:r>
      <w:r w:rsidR="00F81221">
        <w:rPr>
          <w:kern w:val="0"/>
          <w:szCs w:val="24"/>
        </w:rPr>
        <w:t xml:space="preserve"> and </w:t>
      </w:r>
      <w:r>
        <w:rPr>
          <w:kern w:val="0"/>
          <w:szCs w:val="24"/>
        </w:rPr>
        <w:t>quantitative effects of various parameters such as polymer dosage, pH of the suspension, salt concentration</w:t>
      </w:r>
      <w:r w:rsidR="00F81221">
        <w:rPr>
          <w:kern w:val="0"/>
          <w:szCs w:val="24"/>
        </w:rPr>
        <w:t xml:space="preserve"> and </w:t>
      </w:r>
      <w:r>
        <w:rPr>
          <w:kern w:val="0"/>
          <w:szCs w:val="24"/>
        </w:rPr>
        <w:t>molecular weight of the polymeric flocculant on the kinetics of flocculation have also been investigated.</w:t>
      </w:r>
    </w:p>
    <w:p w:rsidR="00156F25" w:rsidRDefault="00156F25" w:rsidP="00156F25">
      <w:pPr>
        <w:pStyle w:val="a0"/>
        <w:rPr>
          <w:kern w:val="0"/>
          <w:szCs w:val="24"/>
        </w:rPr>
      </w:pPr>
      <w:r>
        <w:rPr>
          <w:kern w:val="0"/>
          <w:szCs w:val="24"/>
        </w:rPr>
        <w:t xml:space="preserve">Keywords: Hydrophobic Colloids, Iron, Kinetics, </w:t>
      </w:r>
      <w:r>
        <w:rPr>
          <w:rFonts w:hint="eastAsia"/>
          <w:kern w:val="0"/>
          <w:szCs w:val="24"/>
        </w:rPr>
        <w:t>p</w:t>
      </w:r>
      <w:r>
        <w:rPr>
          <w:kern w:val="0"/>
          <w:szCs w:val="24"/>
        </w:rPr>
        <w:t>H, Polymer Adsorption, Silver-Iodide, Stability, Weight</w:t>
      </w:r>
    </w:p>
    <w:p w:rsidR="00156F25" w:rsidRDefault="00156F25" w:rsidP="00156F25">
      <w:pPr>
        <w:pStyle w:val="a0"/>
        <w:rPr>
          <w:kern w:val="0"/>
          <w:szCs w:val="24"/>
        </w:rPr>
      </w:pPr>
      <w:r>
        <w:rPr>
          <w:rFonts w:hint="eastAsia"/>
          <w:kern w:val="0"/>
          <w:szCs w:val="24"/>
        </w:rPr>
        <w:t xml:space="preserve">? </w:t>
      </w:r>
      <w:r>
        <w:rPr>
          <w:kern w:val="0"/>
          <w:szCs w:val="24"/>
        </w:rPr>
        <w:t>Singh, G.</w:t>
      </w:r>
      <w:r w:rsidR="00F81221">
        <w:rPr>
          <w:kern w:val="0"/>
          <w:szCs w:val="24"/>
        </w:rPr>
        <w:t xml:space="preserve"> and </w:t>
      </w:r>
      <w:r>
        <w:rPr>
          <w:kern w:val="0"/>
          <w:szCs w:val="24"/>
        </w:rPr>
        <w:t xml:space="preserve">Rohira, B. (1996), Adsorption kinetics of dihydroxypyrimidine on mild steel in 1N phosphoric acid. </w:t>
      </w:r>
      <w:r>
        <w:rPr>
          <w:i/>
          <w:iCs/>
          <w:kern w:val="0"/>
          <w:szCs w:val="24"/>
        </w:rPr>
        <w:t>Indian Journal of Chemical Technology</w:t>
      </w:r>
      <w:r>
        <w:rPr>
          <w:kern w:val="0"/>
          <w:szCs w:val="24"/>
        </w:rPr>
        <w:t xml:space="preserve">, </w:t>
      </w:r>
      <w:r>
        <w:rPr>
          <w:b/>
          <w:bCs/>
          <w:kern w:val="0"/>
          <w:szCs w:val="24"/>
        </w:rPr>
        <w:t>3</w:t>
      </w:r>
      <w:r>
        <w:rPr>
          <w:kern w:val="0"/>
          <w:szCs w:val="24"/>
        </w:rPr>
        <w:t xml:space="preserve"> (5), 263-268.</w:t>
      </w:r>
    </w:p>
    <w:p w:rsidR="00156F25" w:rsidRDefault="00156F25" w:rsidP="00156F25">
      <w:pPr>
        <w:pStyle w:val="a0"/>
        <w:rPr>
          <w:kern w:val="0"/>
          <w:szCs w:val="24"/>
        </w:rPr>
      </w:pPr>
      <w:r>
        <w:rPr>
          <w:kern w:val="0"/>
          <w:szCs w:val="24"/>
        </w:rPr>
        <w:t>Abstract: The inhibitive effect of dihydroxypyrimidine on the corrosion of mild steel in 1N phosphoric acid at different temperatures has been investigated. Corrosion potential, corrosion currents, cathodic</w:t>
      </w:r>
      <w:r w:rsidR="00F81221">
        <w:rPr>
          <w:kern w:val="0"/>
          <w:szCs w:val="24"/>
        </w:rPr>
        <w:t xml:space="preserve"> and </w:t>
      </w:r>
      <w:r>
        <w:rPr>
          <w:kern w:val="0"/>
          <w:szCs w:val="24"/>
        </w:rPr>
        <w:t>anodic tafel slopes, heat of adsorption</w:t>
      </w:r>
      <w:r w:rsidR="00F81221">
        <w:rPr>
          <w:kern w:val="0"/>
          <w:szCs w:val="24"/>
        </w:rPr>
        <w:t xml:space="preserve"> and </w:t>
      </w:r>
      <w:r>
        <w:rPr>
          <w:kern w:val="0"/>
          <w:szCs w:val="24"/>
        </w:rPr>
        <w:t>effective activation energies have been calculated in the presence</w:t>
      </w:r>
      <w:r w:rsidR="00F81221">
        <w:rPr>
          <w:kern w:val="0"/>
          <w:szCs w:val="24"/>
        </w:rPr>
        <w:t xml:space="preserve"> and </w:t>
      </w:r>
      <w:r>
        <w:rPr>
          <w:kern w:val="0"/>
          <w:szCs w:val="24"/>
        </w:rPr>
        <w:t>absence of this inhibitor. Inhibition efficiency has been calculated for various concentrations at different temperatures to study the effectiveness of the additive. The nature of adsorption of dihydroxypyrimidine on the metal surface has also been examined. The surface analysis is in agreement with the electrochemical results.</w:t>
      </w:r>
    </w:p>
    <w:p w:rsidR="00156F25" w:rsidRDefault="00156F25" w:rsidP="00156F25">
      <w:pPr>
        <w:pStyle w:val="a0"/>
        <w:rPr>
          <w:kern w:val="0"/>
          <w:szCs w:val="24"/>
        </w:rPr>
      </w:pPr>
      <w:r>
        <w:rPr>
          <w:kern w:val="0"/>
          <w:szCs w:val="24"/>
        </w:rPr>
        <w:t>Keywords: Adsorption, Adsorption Kinetics, Analysis, Corrosion, Inhibition, Kinetics, Mild Steel, Steel</w:t>
      </w:r>
    </w:p>
    <w:p w:rsidR="00B95188" w:rsidRPr="00A428C3" w:rsidRDefault="00B95188" w:rsidP="00B95188">
      <w:pPr>
        <w:pStyle w:val="a0"/>
      </w:pPr>
      <w:r w:rsidRPr="00A428C3">
        <w:t>Raji, C.</w:t>
      </w:r>
      <w:r w:rsidR="00F81221">
        <w:t xml:space="preserve"> and </w:t>
      </w:r>
      <w:r w:rsidRPr="00A428C3">
        <w:t>Anirudhan, T.S. (1996), Preparation</w:t>
      </w:r>
      <w:r w:rsidR="00F81221">
        <w:t xml:space="preserve"> and </w:t>
      </w:r>
      <w:r w:rsidRPr="00A428C3">
        <w:t xml:space="preserve">metal-adsorption properties of the polyacrylamide-grafted sawdust having carboxylate functional group. </w:t>
      </w:r>
      <w:r w:rsidRPr="00A428C3">
        <w:rPr>
          <w:i/>
        </w:rPr>
        <w:t>Indian Journal of Chemical Technology</w:t>
      </w:r>
      <w:r w:rsidRPr="00A428C3">
        <w:t xml:space="preserve">, </w:t>
      </w:r>
      <w:r w:rsidRPr="00A428C3">
        <w:rPr>
          <w:b/>
        </w:rPr>
        <w:t>3</w:t>
      </w:r>
      <w:r w:rsidRPr="00A428C3">
        <w:t xml:space="preserve"> (6), 345-350.</w:t>
      </w:r>
    </w:p>
    <w:p w:rsidR="00B95188" w:rsidRPr="00A428C3" w:rsidRDefault="00B95188" w:rsidP="00B95188">
      <w:pPr>
        <w:pStyle w:val="a0"/>
      </w:pPr>
      <w:r w:rsidRPr="00A428C3">
        <w:t>Abstract: A new adsorbent media containing carboxylate group has been synthesised by the surface modification of a polyacrylamide grafted sawdust. The product exhibits a very high adsorption potential for Pb(II), Hg(II)</w:t>
      </w:r>
      <w:r w:rsidR="00F81221">
        <w:t xml:space="preserve"> and </w:t>
      </w:r>
      <w:r w:rsidRPr="00A428C3">
        <w:t>Cd(II). The adsorption of metal ions on sorbent have been found to be dependent on initial concentration, pH, temperature</w:t>
      </w:r>
      <w:r w:rsidR="00F81221">
        <w:t xml:space="preserve"> and </w:t>
      </w:r>
      <w:r w:rsidRPr="00A428C3">
        <w:t>shaking speed. The optimum pH range for the removal of Pb(II) is 5-9 whereas the maximum uptake for Hg(II)</w:t>
      </w:r>
      <w:r w:rsidR="00F81221">
        <w:t xml:space="preserve"> and </w:t>
      </w:r>
      <w:r w:rsidRPr="00A428C3">
        <w:t>Cd(II) is in the pH range 5-10. Kinetics of adsorption indicates the process to be diffusion controlled. The diffusion coefficients, energies of activation</w:t>
      </w:r>
      <w:r w:rsidR="00F81221">
        <w:t xml:space="preserve"> and </w:t>
      </w:r>
      <w:r w:rsidRPr="00A428C3">
        <w:t>entropies of activation were calculated</w:t>
      </w:r>
      <w:r w:rsidR="00F81221">
        <w:t xml:space="preserve"> and </w:t>
      </w:r>
      <w:r w:rsidRPr="00A428C3">
        <w:t>were used to determine the theoretical behaviour of sorption process. Acid regeneration has been tried for several cycles with a view to recover the adsorbed metal ions</w:t>
      </w:r>
      <w:r w:rsidR="00F81221">
        <w:t xml:space="preserve"> and </w:t>
      </w:r>
      <w:r w:rsidRPr="00A428C3">
        <w:t>also to restore the sorbent to its original state.</w:t>
      </w:r>
    </w:p>
    <w:p w:rsidR="00B95188" w:rsidRPr="00A428C3" w:rsidRDefault="00B95188" w:rsidP="00B95188">
      <w:pPr>
        <w:pStyle w:val="a0"/>
      </w:pPr>
      <w:r w:rsidRPr="00A428C3">
        <w:t>Singh, D.</w:t>
      </w:r>
      <w:r w:rsidR="00F81221">
        <w:t xml:space="preserve"> and </w:t>
      </w:r>
      <w:r w:rsidRPr="00A428C3">
        <w:t xml:space="preserve">Rawat, </w:t>
      </w:r>
      <w:smartTag w:uri="urn:schemas-microsoft-com:office:smarttags" w:element="State">
        <w:r w:rsidRPr="00A428C3">
          <w:t>N.S.</w:t>
        </w:r>
      </w:smartTag>
      <w:r w:rsidRPr="00A428C3">
        <w:t xml:space="preserve"> (1997), Adsorption of heavy metals on treated</w:t>
      </w:r>
      <w:r w:rsidR="00F81221">
        <w:t xml:space="preserve"> and </w:t>
      </w:r>
      <w:r w:rsidRPr="00A428C3">
        <w:t xml:space="preserve">untreated low grade bituminous coal. </w:t>
      </w:r>
      <w:r w:rsidRPr="00A428C3">
        <w:rPr>
          <w:i/>
        </w:rPr>
        <w:t>Indian Journal of Chemical Technology</w:t>
      </w:r>
      <w:r w:rsidRPr="00A428C3">
        <w:t xml:space="preserve">, </w:t>
      </w:r>
      <w:r w:rsidRPr="00A428C3">
        <w:rPr>
          <w:b/>
        </w:rPr>
        <w:t>4</w:t>
      </w:r>
      <w:r w:rsidRPr="00A428C3">
        <w:t xml:space="preserve"> (1), 39-41.</w:t>
      </w:r>
    </w:p>
    <w:p w:rsidR="00B95188" w:rsidRPr="00A428C3" w:rsidRDefault="00B95188" w:rsidP="00B95188">
      <w:pPr>
        <w:pStyle w:val="a0"/>
      </w:pPr>
      <w:r w:rsidRPr="00A428C3">
        <w:lastRenderedPageBreak/>
        <w:t>Abstract: Bituminous coal has been subjected to hydrothermal treatment to incorporate additional functional groups</w:t>
      </w:r>
      <w:r w:rsidR="00F81221">
        <w:t xml:space="preserve"> and </w:t>
      </w:r>
      <w:r w:rsidRPr="00A428C3">
        <w:t>to effect changes in the colloidal-chemical nature of the coal surface to enhance the adsorption of Cu(II), Ni(II), Zn(II)</w:t>
      </w:r>
      <w:r w:rsidR="00F81221">
        <w:t xml:space="preserve"> and </w:t>
      </w:r>
      <w:r w:rsidRPr="00A428C3">
        <w:t>Cr(VI) from aqueous system. The effectiveness of two such chemical pretreatments like hydrogen peroxide</w:t>
      </w:r>
      <w:r w:rsidR="00F81221">
        <w:t xml:space="preserve"> and </w:t>
      </w:r>
      <w:r w:rsidRPr="00A428C3">
        <w:t>manganese oxide impregnation has been investigated through adsorption of these metals, separately at the same condition of pH, temperature, adsorbent size</w:t>
      </w:r>
      <w:r w:rsidR="00F81221">
        <w:t xml:space="preserve"> and </w:t>
      </w:r>
      <w:r w:rsidRPr="00A428C3">
        <w:t>concentration. The rate of adsorption</w:t>
      </w:r>
      <w:r w:rsidR="00F81221">
        <w:t xml:space="preserve"> and </w:t>
      </w:r>
      <w:r w:rsidRPr="00A428C3">
        <w:t>capacity of bituminous coal is found to be enhanced significantly. Lagergren equation</w:t>
      </w:r>
      <w:r w:rsidR="00F81221">
        <w:t xml:space="preserve"> and </w:t>
      </w:r>
      <w:r w:rsidRPr="00A428C3">
        <w:t>Langmuir model have been used to determine rate constants of adsorption</w:t>
      </w:r>
      <w:r w:rsidR="00F81221">
        <w:t xml:space="preserve"> and </w:t>
      </w:r>
      <w:r w:rsidRPr="00A428C3">
        <w:t>capacity of treated</w:t>
      </w:r>
      <w:r w:rsidR="00F81221">
        <w:t xml:space="preserve"> and </w:t>
      </w:r>
      <w:r w:rsidRPr="00A428C3">
        <w:t>untreated bituminous coal.</w:t>
      </w:r>
    </w:p>
    <w:p w:rsidR="00B95188" w:rsidRPr="00A428C3" w:rsidRDefault="00B95188" w:rsidP="00B95188">
      <w:pPr>
        <w:pStyle w:val="a0"/>
      </w:pPr>
      <w:r w:rsidRPr="00A428C3">
        <w:t>Keywords: Impregnated Fly-Ash</w:t>
      </w:r>
    </w:p>
    <w:p w:rsidR="00156F25" w:rsidRDefault="00156F25" w:rsidP="00156F25">
      <w:pPr>
        <w:pStyle w:val="a0"/>
        <w:rPr>
          <w:kern w:val="0"/>
          <w:szCs w:val="24"/>
        </w:rPr>
      </w:pPr>
      <w:r>
        <w:rPr>
          <w:rFonts w:hint="eastAsia"/>
          <w:kern w:val="0"/>
          <w:szCs w:val="24"/>
        </w:rPr>
        <w:t xml:space="preserve">? </w:t>
      </w:r>
      <w:r>
        <w:rPr>
          <w:kern w:val="0"/>
          <w:szCs w:val="24"/>
        </w:rPr>
        <w:t>Aggarwal, P., Misra, K., Kapoor, S.K., Bhalla, A.K.</w:t>
      </w:r>
      <w:r w:rsidR="00F81221">
        <w:rPr>
          <w:kern w:val="0"/>
          <w:szCs w:val="24"/>
        </w:rPr>
        <w:t xml:space="preserve"> and </w:t>
      </w:r>
      <w:r>
        <w:rPr>
          <w:kern w:val="0"/>
          <w:szCs w:val="24"/>
        </w:rPr>
        <w:t xml:space="preserve">Bansal, R.C. (1997), Adsorption of styphnic acid on activated carbon. </w:t>
      </w:r>
      <w:r>
        <w:rPr>
          <w:i/>
          <w:iCs/>
          <w:kern w:val="0"/>
          <w:szCs w:val="24"/>
        </w:rPr>
        <w:t>Indian Journal of Chemical Technology</w:t>
      </w:r>
      <w:r>
        <w:rPr>
          <w:kern w:val="0"/>
          <w:szCs w:val="24"/>
        </w:rPr>
        <w:t xml:space="preserve">, </w:t>
      </w:r>
      <w:r>
        <w:rPr>
          <w:b/>
          <w:bCs/>
          <w:kern w:val="0"/>
          <w:szCs w:val="24"/>
        </w:rPr>
        <w:t>4</w:t>
      </w:r>
      <w:r>
        <w:rPr>
          <w:kern w:val="0"/>
          <w:szCs w:val="24"/>
        </w:rPr>
        <w:t xml:space="preserve"> (1), 42-44.</w:t>
      </w:r>
    </w:p>
    <w:p w:rsidR="00156F25" w:rsidRDefault="00156F25" w:rsidP="00156F25">
      <w:pPr>
        <w:pStyle w:val="a0"/>
        <w:rPr>
          <w:kern w:val="0"/>
          <w:szCs w:val="24"/>
        </w:rPr>
      </w:pPr>
      <w:r>
        <w:rPr>
          <w:kern w:val="0"/>
          <w:szCs w:val="24"/>
        </w:rPr>
        <w:t>Abstract: The adsorption isotherms of styphnic acid from aqueous solutions in the concentration range of 20-700 mg/L have been studied on five different commercially available coconut based activated carbons having surface area between 650-1300 m(2)/g. Adsorption of styphnic acid depends on the surface area of the activated carbon. However, the monolayer coverage per unit area increases up to a surface area of 1000 m(2)/g</w:t>
      </w:r>
      <w:r w:rsidR="00F81221">
        <w:rPr>
          <w:kern w:val="0"/>
          <w:szCs w:val="24"/>
        </w:rPr>
        <w:t xml:space="preserve"> and </w:t>
      </w:r>
      <w:r>
        <w:rPr>
          <w:kern w:val="0"/>
          <w:szCs w:val="24"/>
        </w:rPr>
        <w:t>exhibits a slight decrease thereafter. The effect of varying amounts of carbon-oxygen surface complexes created by oxidation</w:t>
      </w:r>
      <w:r w:rsidR="00F81221">
        <w:rPr>
          <w:kern w:val="0"/>
          <w:szCs w:val="24"/>
        </w:rPr>
        <w:t xml:space="preserve"> and </w:t>
      </w:r>
      <w:r>
        <w:rPr>
          <w:kern w:val="0"/>
          <w:szCs w:val="24"/>
        </w:rPr>
        <w:t>elimination by degassing treatments, on the adsorption of styphnic acid indicate that the increase in adsorption is linearly related to the amount of oxygen on the surface of activated carbons.</w:t>
      </w:r>
    </w:p>
    <w:p w:rsidR="00156F25" w:rsidRDefault="00156F25" w:rsidP="00156F25">
      <w:pPr>
        <w:pStyle w:val="a0"/>
        <w:rPr>
          <w:kern w:val="0"/>
          <w:szCs w:val="24"/>
        </w:rPr>
      </w:pPr>
      <w:r>
        <w:rPr>
          <w:kern w:val="0"/>
          <w:szCs w:val="24"/>
        </w:rPr>
        <w:t>Keywords: Activated Carbon, Adsorption, Adsorption Isotherms, Aqueous Solutions, Capacity, Carbon, Isotherms, Oxidation</w:t>
      </w:r>
    </w:p>
    <w:p w:rsidR="00156F25" w:rsidRDefault="00156F25" w:rsidP="00156F25">
      <w:pPr>
        <w:pStyle w:val="a0"/>
        <w:rPr>
          <w:kern w:val="0"/>
          <w:szCs w:val="24"/>
        </w:rPr>
      </w:pPr>
      <w:r>
        <w:rPr>
          <w:rFonts w:hint="eastAsia"/>
          <w:kern w:val="0"/>
          <w:szCs w:val="24"/>
        </w:rPr>
        <w:t xml:space="preserve">? </w:t>
      </w:r>
      <w:r>
        <w:rPr>
          <w:kern w:val="0"/>
          <w:szCs w:val="24"/>
        </w:rPr>
        <w:t>Sekaran, G., Mariappan, M.</w:t>
      </w:r>
      <w:r w:rsidR="00F81221">
        <w:rPr>
          <w:kern w:val="0"/>
          <w:szCs w:val="24"/>
        </w:rPr>
        <w:t xml:space="preserve"> and </w:t>
      </w:r>
      <w:r>
        <w:rPr>
          <w:kern w:val="0"/>
          <w:szCs w:val="24"/>
        </w:rPr>
        <w:t xml:space="preserve">Raghavan, K.V. (1997), Protein removal from salt-laden wastewater by activated carbon. </w:t>
      </w:r>
      <w:r>
        <w:rPr>
          <w:i/>
          <w:iCs/>
          <w:kern w:val="0"/>
          <w:szCs w:val="24"/>
        </w:rPr>
        <w:t>Indian Journal of Chemical Technology</w:t>
      </w:r>
      <w:r>
        <w:rPr>
          <w:kern w:val="0"/>
          <w:szCs w:val="24"/>
        </w:rPr>
        <w:t xml:space="preserve">, </w:t>
      </w:r>
      <w:r>
        <w:rPr>
          <w:b/>
          <w:bCs/>
          <w:kern w:val="0"/>
          <w:szCs w:val="24"/>
        </w:rPr>
        <w:t>4</w:t>
      </w:r>
      <w:r>
        <w:rPr>
          <w:kern w:val="0"/>
          <w:szCs w:val="24"/>
        </w:rPr>
        <w:t xml:space="preserve"> (2), 77-82.</w:t>
      </w:r>
    </w:p>
    <w:p w:rsidR="00156F25" w:rsidRDefault="00156F25" w:rsidP="00156F25">
      <w:pPr>
        <w:pStyle w:val="a0"/>
        <w:rPr>
          <w:kern w:val="0"/>
          <w:szCs w:val="24"/>
        </w:rPr>
      </w:pPr>
      <w:r>
        <w:rPr>
          <w:kern w:val="0"/>
          <w:szCs w:val="24"/>
        </w:rPr>
        <w:t>Abstract: One of the wastewaters from tanning industry (soak liquor) contains 0.4 g/L of dissolved protein. During coagulation</w:t>
      </w:r>
      <w:r w:rsidR="00F81221">
        <w:rPr>
          <w:kern w:val="0"/>
          <w:szCs w:val="24"/>
        </w:rPr>
        <w:t xml:space="preserve"> and </w:t>
      </w:r>
      <w:r>
        <w:rPr>
          <w:kern w:val="0"/>
          <w:szCs w:val="24"/>
        </w:rPr>
        <w:t xml:space="preserve">flocculation 41% of protein was removed. A suggestion has been made to remove the residual protein by adsorption technique. The optimum conditions for adsorption of Bovine Serum Albumin (BSA) on rice bran based activated carbon (RBAC) were arrived. Maximum adsorption of BSA took place at pH 7. Ionic strength influenced the adsorption behaviour. Adsorption capacity of BSA on to charcoal surface decreased with increase in temperature. Enthalpy of adsorption in all cases indicate exothermic nature of the process. Applicability of adsorption technique to the removal of dissolved protein from soak water has been studied. The maximum removal of protein occurred at pH </w:t>
      </w:r>
      <w:r>
        <w:rPr>
          <w:kern w:val="0"/>
          <w:szCs w:val="24"/>
        </w:rPr>
        <w:lastRenderedPageBreak/>
        <w:t>7</w:t>
      </w:r>
      <w:r w:rsidR="00F81221">
        <w:rPr>
          <w:kern w:val="0"/>
          <w:szCs w:val="24"/>
        </w:rPr>
        <w:t xml:space="preserve"> and </w:t>
      </w:r>
      <w:r>
        <w:rPr>
          <w:kern w:val="0"/>
          <w:szCs w:val="24"/>
        </w:rPr>
        <w:t>the, ratio of protein removed to weight of adsorbent was 3.22 x 10(-3).</w:t>
      </w:r>
    </w:p>
    <w:p w:rsidR="00156F25" w:rsidRDefault="00156F25" w:rsidP="00156F25">
      <w:pPr>
        <w:pStyle w:val="a0"/>
        <w:rPr>
          <w:kern w:val="0"/>
          <w:szCs w:val="24"/>
        </w:rPr>
      </w:pPr>
      <w:r>
        <w:rPr>
          <w:kern w:val="0"/>
          <w:szCs w:val="24"/>
        </w:rPr>
        <w:t xml:space="preserve">Keywords: Activated Carbon, Adsorption, Adsorption Capacity, Aqueous-Solutions, Capacity, Carbon, Charcoal, Coagulation, Enthalpy, Fly-Ash, Ionic Strength, </w:t>
      </w:r>
      <w:r>
        <w:rPr>
          <w:rFonts w:hint="eastAsia"/>
          <w:kern w:val="0"/>
          <w:szCs w:val="24"/>
        </w:rPr>
        <w:t>p</w:t>
      </w:r>
      <w:r>
        <w:rPr>
          <w:kern w:val="0"/>
          <w:szCs w:val="24"/>
        </w:rPr>
        <w:t>H, Protein, Removal, Rice, Surfaces, Temperature, Wastewater, Water, Weight</w:t>
      </w:r>
    </w:p>
    <w:p w:rsidR="00156F25" w:rsidRDefault="00156F25" w:rsidP="00156F25">
      <w:pPr>
        <w:pStyle w:val="a0"/>
        <w:rPr>
          <w:kern w:val="0"/>
          <w:szCs w:val="24"/>
        </w:rPr>
      </w:pPr>
      <w:r>
        <w:rPr>
          <w:rFonts w:hint="eastAsia"/>
          <w:kern w:val="0"/>
          <w:szCs w:val="24"/>
        </w:rPr>
        <w:t xml:space="preserve">? </w:t>
      </w:r>
      <w:r>
        <w:rPr>
          <w:kern w:val="0"/>
          <w:szCs w:val="24"/>
        </w:rPr>
        <w:t>Bajpai, A.K.</w:t>
      </w:r>
      <w:r w:rsidR="00F81221">
        <w:rPr>
          <w:kern w:val="0"/>
          <w:szCs w:val="24"/>
        </w:rPr>
        <w:t xml:space="preserve"> and </w:t>
      </w:r>
      <w:r>
        <w:rPr>
          <w:kern w:val="0"/>
          <w:szCs w:val="24"/>
        </w:rPr>
        <w:t xml:space="preserve">Dengre, R. (1997), Adsorption of casein at the silica-solution interface. </w:t>
      </w:r>
      <w:r>
        <w:rPr>
          <w:i/>
          <w:iCs/>
          <w:kern w:val="0"/>
          <w:szCs w:val="24"/>
        </w:rPr>
        <w:t>Indian Journal of Chemical Technology</w:t>
      </w:r>
      <w:r>
        <w:rPr>
          <w:kern w:val="0"/>
          <w:szCs w:val="24"/>
        </w:rPr>
        <w:t xml:space="preserve">, </w:t>
      </w:r>
      <w:r>
        <w:rPr>
          <w:b/>
          <w:bCs/>
          <w:kern w:val="0"/>
          <w:szCs w:val="24"/>
        </w:rPr>
        <w:t>4</w:t>
      </w:r>
      <w:r>
        <w:rPr>
          <w:kern w:val="0"/>
          <w:szCs w:val="24"/>
        </w:rPr>
        <w:t xml:space="preserve"> (2), 113-116.</w:t>
      </w:r>
    </w:p>
    <w:p w:rsidR="00156F25" w:rsidRDefault="00156F25" w:rsidP="00156F25">
      <w:pPr>
        <w:pStyle w:val="a0"/>
        <w:rPr>
          <w:kern w:val="0"/>
          <w:szCs w:val="24"/>
        </w:rPr>
      </w:pPr>
      <w:r>
        <w:rPr>
          <w:kern w:val="0"/>
          <w:szCs w:val="24"/>
        </w:rPr>
        <w:t>Abstract: The effects of various factors such as the concentration of casein, pH of the protein solution, presence of low molecular weight electrolytes</w:t>
      </w:r>
      <w:r w:rsidR="00F81221">
        <w:rPr>
          <w:kern w:val="0"/>
          <w:szCs w:val="24"/>
        </w:rPr>
        <w:t xml:space="preserve"> and </w:t>
      </w:r>
      <w:r>
        <w:rPr>
          <w:kern w:val="0"/>
          <w:szCs w:val="24"/>
        </w:rPr>
        <w:t>detergents</w:t>
      </w:r>
      <w:r w:rsidR="00F81221">
        <w:rPr>
          <w:kern w:val="0"/>
          <w:szCs w:val="24"/>
        </w:rPr>
        <w:t xml:space="preserve"> and </w:t>
      </w:r>
      <w:r>
        <w:rPr>
          <w:kern w:val="0"/>
          <w:szCs w:val="24"/>
        </w:rPr>
        <w:t>temperature of the adsorption medium have been studied on the adsorption of casein onto silica.</w:t>
      </w:r>
    </w:p>
    <w:p w:rsidR="00156F25" w:rsidRDefault="00156F25" w:rsidP="00156F25">
      <w:pPr>
        <w:pStyle w:val="a0"/>
        <w:rPr>
          <w:kern w:val="0"/>
          <w:szCs w:val="24"/>
        </w:rPr>
      </w:pPr>
      <w:r>
        <w:rPr>
          <w:kern w:val="0"/>
          <w:szCs w:val="24"/>
        </w:rPr>
        <w:t xml:space="preserve">Keywords: Adsorption, Kinetics, </w:t>
      </w:r>
      <w:r>
        <w:rPr>
          <w:rFonts w:hint="eastAsia"/>
          <w:kern w:val="0"/>
          <w:szCs w:val="24"/>
        </w:rPr>
        <w:t>p</w:t>
      </w:r>
      <w:r>
        <w:rPr>
          <w:kern w:val="0"/>
          <w:szCs w:val="24"/>
        </w:rPr>
        <w:t>H, Silica, Temperature, Weight</w:t>
      </w:r>
    </w:p>
    <w:p w:rsidR="00B95188" w:rsidRPr="00A428C3" w:rsidRDefault="00B95188" w:rsidP="00B95188">
      <w:pPr>
        <w:pStyle w:val="a0"/>
      </w:pPr>
      <w:r w:rsidRPr="00A428C3">
        <w:t>Raji, C.</w:t>
      </w:r>
      <w:r w:rsidR="00F81221">
        <w:t xml:space="preserve"> and </w:t>
      </w:r>
      <w:r w:rsidRPr="00A428C3">
        <w:t xml:space="preserve">Anirudhan, T.S. (1997), Kinetics of Pb(II) adsorption by polyacrylamide grafted sawdust. </w:t>
      </w:r>
      <w:r w:rsidRPr="00A428C3">
        <w:rPr>
          <w:i/>
        </w:rPr>
        <w:t>Indian Journal of Chemical Technology</w:t>
      </w:r>
      <w:r w:rsidRPr="00A428C3">
        <w:t xml:space="preserve">, </w:t>
      </w:r>
      <w:r w:rsidRPr="00A428C3">
        <w:rPr>
          <w:b/>
        </w:rPr>
        <w:t>4</w:t>
      </w:r>
      <w:r w:rsidRPr="00A428C3">
        <w:t xml:space="preserve"> (3), 157-162.</w:t>
      </w:r>
    </w:p>
    <w:p w:rsidR="00B95188" w:rsidRPr="00A428C3" w:rsidRDefault="00B95188" w:rsidP="00B95188">
      <w:pPr>
        <w:pStyle w:val="a0"/>
      </w:pPr>
      <w:r w:rsidRPr="00A428C3">
        <w:t xml:space="preserve">Full Text: </w:t>
      </w:r>
      <w:hyperlink r:id="rId848" w:history="1">
        <w:r w:rsidRPr="00A428C3">
          <w:rPr>
            <w:rStyle w:val="a5"/>
          </w:rPr>
          <w:t>I\Ind J Che Tec4, 157.pdf</w:t>
        </w:r>
      </w:hyperlink>
    </w:p>
    <w:p w:rsidR="00B95188" w:rsidRPr="00A428C3" w:rsidRDefault="00B95188" w:rsidP="00B95188">
      <w:pPr>
        <w:pStyle w:val="a0"/>
      </w:pPr>
      <w:r w:rsidRPr="00A428C3">
        <w:t>Abstract: Lead(II) removal efficiency of polyacrylamide grafted sawdust has been investigated through laboratory experiments. Kinetic measurements have been made as a function of solution concentration of Pb(II) ions, pH</w:t>
      </w:r>
      <w:r w:rsidR="00F81221">
        <w:t xml:space="preserve"> and </w:t>
      </w:r>
      <w:r w:rsidRPr="00A428C3">
        <w:t>temperature. The slow step governing the rate of exchange is diffusion of ions through the exchanger particles. The equilibrium data fit well with the Langmuir isotherms. Thermodynamic parameters were also presented to predict the nature of adsorption. Adsorbent can be regenerated with acid</w:t>
      </w:r>
      <w:r w:rsidR="00F81221">
        <w:t xml:space="preserve"> and </w:t>
      </w:r>
      <w:r w:rsidRPr="00A428C3">
        <w:t>can then be reused.</w:t>
      </w:r>
    </w:p>
    <w:p w:rsidR="00B95188" w:rsidRPr="00A428C3" w:rsidRDefault="00B95188" w:rsidP="00B95188">
      <w:pPr>
        <w:pStyle w:val="a0"/>
      </w:pPr>
      <w:r w:rsidRPr="00A428C3">
        <w:t>Keywords: Adsorption, Charge, Interface, Isotherms, Removal, Sawdust, Silica, Water</w:t>
      </w:r>
    </w:p>
    <w:p w:rsidR="00B95188" w:rsidRPr="00A428C3" w:rsidRDefault="00B95188" w:rsidP="00B95188">
      <w:pPr>
        <w:pStyle w:val="a0"/>
      </w:pPr>
      <w:r w:rsidRPr="00A428C3">
        <w:t>? Farouqui, F.I., Sheikh, M.R.K., Hossain, M.I.</w:t>
      </w:r>
      <w:r w:rsidR="00F81221">
        <w:t xml:space="preserve"> and </w:t>
      </w:r>
      <w:r w:rsidRPr="00A428C3">
        <w:t>Saha, S.K. (1997), Selection of optimum dyeing conditions in dyeing jute fibre with reactive dyes</w:t>
      </w:r>
      <w:r w:rsidR="00F81221">
        <w:t xml:space="preserve"> and </w:t>
      </w:r>
      <w:r w:rsidRPr="00A428C3">
        <w:t xml:space="preserve">their colour fastness properties. </w:t>
      </w:r>
      <w:r w:rsidRPr="00A428C3">
        <w:rPr>
          <w:i/>
        </w:rPr>
        <w:t>Indian Journal of Chemical Technology</w:t>
      </w:r>
      <w:r w:rsidRPr="00A428C3">
        <w:t xml:space="preserve">, </w:t>
      </w:r>
      <w:r w:rsidRPr="00A428C3">
        <w:rPr>
          <w:b/>
        </w:rPr>
        <w:t>4</w:t>
      </w:r>
      <w:r w:rsidRPr="00A428C3">
        <w:t xml:space="preserve"> (4), 185-190.</w:t>
      </w:r>
    </w:p>
    <w:p w:rsidR="00B95188" w:rsidRPr="00A428C3" w:rsidRDefault="00B95188" w:rsidP="00B95188">
      <w:pPr>
        <w:pStyle w:val="a0"/>
      </w:pPr>
      <w:r w:rsidRPr="00A428C3">
        <w:t>Abstract: Optimum dyeing conditions depending on dye concentration, electrolyte concentration, dyeing time</w:t>
      </w:r>
      <w:r w:rsidR="00F81221">
        <w:t xml:space="preserve"> and </w:t>
      </w:r>
      <w:r w:rsidRPr="00A428C3">
        <w:t>dyeing temperature have been selected when jute fibre is dyed with reactive dyes, such as, Remazol Brilliant Violet 5R, Reactive Brown 10, Reactive Red 120, Reactive Orange 14</w:t>
      </w:r>
      <w:r w:rsidR="00F81221">
        <w:t xml:space="preserve"> and </w:t>
      </w:r>
      <w:r w:rsidRPr="00A428C3">
        <w:t>Reactive Blue 5. Considering the effects of sunlight in air, washing with soap solution</w:t>
      </w:r>
      <w:r w:rsidR="00F81221">
        <w:t xml:space="preserve"> and </w:t>
      </w:r>
      <w:r w:rsidRPr="00A428C3">
        <w:t>spotting with acids</w:t>
      </w:r>
      <w:r w:rsidR="00F81221">
        <w:t xml:space="preserve"> and </w:t>
      </w:r>
      <w:r w:rsidRPr="00A428C3">
        <w:t>alkalies on dyed jute fibres Reactive Red 120 arid Reactive Orange 14 exhibit better colour fastness than the others. This is may be due to the presence of more</w:t>
      </w:r>
      <w:r w:rsidR="00F81221">
        <w:t xml:space="preserve"> and </w:t>
      </w:r>
      <w:r w:rsidRPr="00A428C3">
        <w:t>stronger covalent bonds between the triazinyl group of reactive dyes</w:t>
      </w:r>
      <w:r w:rsidR="00F81221">
        <w:t xml:space="preserve"> and </w:t>
      </w:r>
      <w:r w:rsidRPr="00A428C3">
        <w:t>the jute cellulose.</w:t>
      </w:r>
    </w:p>
    <w:p w:rsidR="00B95188" w:rsidRPr="00A428C3" w:rsidRDefault="00B95188" w:rsidP="00B95188">
      <w:pPr>
        <w:pStyle w:val="a0"/>
      </w:pPr>
      <w:r w:rsidRPr="00A428C3">
        <w:t>Keywords: Aqueous-Solutions, Activated Carbon, Adsorption, Dyestuffs</w:t>
      </w:r>
    </w:p>
    <w:p w:rsidR="00B95188" w:rsidRPr="00A428C3" w:rsidRDefault="00B95188" w:rsidP="00B95188">
      <w:pPr>
        <w:pStyle w:val="a0"/>
      </w:pPr>
      <w:r w:rsidRPr="00A428C3">
        <w:t>Annadurai, G.</w:t>
      </w:r>
      <w:r w:rsidR="00F81221">
        <w:t xml:space="preserve"> and </w:t>
      </w:r>
      <w:r w:rsidRPr="00A428C3">
        <w:t xml:space="preserve">Krishnan, M.R.V. (1997), Adsorption of acid dye from aqueous solution by chitin: Equilibrium studies. </w:t>
      </w:r>
      <w:r w:rsidRPr="00A428C3">
        <w:rPr>
          <w:i/>
        </w:rPr>
        <w:t>Indian Journal of Chemical Technology</w:t>
      </w:r>
      <w:r w:rsidRPr="00A428C3">
        <w:t xml:space="preserve">, </w:t>
      </w:r>
      <w:r w:rsidRPr="00A428C3">
        <w:rPr>
          <w:b/>
        </w:rPr>
        <w:t>4</w:t>
      </w:r>
      <w:r w:rsidRPr="00A428C3">
        <w:t xml:space="preserve"> (5), 217-222.</w:t>
      </w:r>
    </w:p>
    <w:p w:rsidR="00B95188" w:rsidRPr="00A428C3" w:rsidRDefault="00B95188" w:rsidP="00B95188">
      <w:pPr>
        <w:pStyle w:val="a0"/>
      </w:pPr>
      <w:r w:rsidRPr="00A428C3">
        <w:t xml:space="preserve">Full Text: </w:t>
      </w:r>
      <w:hyperlink r:id="rId849" w:history="1">
        <w:r w:rsidRPr="00A428C3">
          <w:rPr>
            <w:rStyle w:val="a5"/>
          </w:rPr>
          <w:t>I\Ind J Che Tec4, 217.pdf</w:t>
        </w:r>
      </w:hyperlink>
    </w:p>
    <w:p w:rsidR="00B95188" w:rsidRPr="00A428C3" w:rsidRDefault="00B95188" w:rsidP="00B95188">
      <w:pPr>
        <w:pStyle w:val="a0"/>
      </w:pPr>
      <w:r w:rsidRPr="00A428C3">
        <w:lastRenderedPageBreak/>
        <w:t>Abstract: Chitin has the ability to adsorb substantial quantities of dyestuff from aqueous solutions. The design procedures for batch kinetic study have been investigated for an acid dye, Lansaym brown grl. The effect of several factors governing the dye adsorption such as the adsorbent concentration, adsorbent size, temperature</w:t>
      </w:r>
      <w:r w:rsidR="00F81221">
        <w:t xml:space="preserve"> and </w:t>
      </w:r>
      <w:r w:rsidRPr="00A428C3">
        <w:t>pH of the dye solution have been investigated. Desorption of the dye at different temperatures</w:t>
      </w:r>
      <w:r w:rsidR="00F81221">
        <w:t xml:space="preserve"> and </w:t>
      </w:r>
      <w:r w:rsidRPr="00A428C3">
        <w:t>pH have also been investigated.</w:t>
      </w:r>
    </w:p>
    <w:p w:rsidR="00B95188" w:rsidRPr="00A428C3" w:rsidRDefault="00B95188" w:rsidP="00B95188">
      <w:pPr>
        <w:pStyle w:val="a0"/>
      </w:pPr>
      <w:r w:rsidRPr="00A428C3">
        <w:t>Mohammad, A., Ajmal, M., Yousuf, R.</w:t>
      </w:r>
      <w:r w:rsidR="00F81221">
        <w:t xml:space="preserve"> and </w:t>
      </w:r>
      <w:r w:rsidRPr="00A428C3">
        <w:t>Ahmed, A. (1997), Adsorption of Cu(II) from water on the seed</w:t>
      </w:r>
      <w:r w:rsidR="00F81221">
        <w:t xml:space="preserve"> and </w:t>
      </w:r>
      <w:r w:rsidRPr="00A428C3">
        <w:t xml:space="preserve">seed shell of Mangifera indica (Mango). </w:t>
      </w:r>
      <w:r w:rsidRPr="00A428C3">
        <w:rPr>
          <w:i/>
        </w:rPr>
        <w:t>Indian Journal of Chemical Technology</w:t>
      </w:r>
      <w:r w:rsidRPr="00A428C3">
        <w:t xml:space="preserve">, </w:t>
      </w:r>
      <w:r w:rsidRPr="00A428C3">
        <w:rPr>
          <w:b/>
        </w:rPr>
        <w:t>4</w:t>
      </w:r>
      <w:r w:rsidRPr="00A428C3">
        <w:t xml:space="preserve"> (5), 223-227.</w:t>
      </w:r>
    </w:p>
    <w:p w:rsidR="00B95188" w:rsidRPr="00A428C3" w:rsidRDefault="00B95188" w:rsidP="00B95188">
      <w:pPr>
        <w:pStyle w:val="a0"/>
      </w:pPr>
      <w:r w:rsidRPr="00A428C3">
        <w:t>Abstract: Mangifera indica (Mango) seed</w:t>
      </w:r>
      <w:r w:rsidR="00F81221">
        <w:t xml:space="preserve"> and </w:t>
      </w:r>
      <w:r w:rsidRPr="00A428C3">
        <w:t>seed shell powders were studied for their possible application in the removal of Cu(II) from water. The adsorption of copper(II) on the powder of Mango seed</w:t>
      </w:r>
      <w:r w:rsidR="00F81221">
        <w:t xml:space="preserve"> and </w:t>
      </w:r>
      <w:r w:rsidRPr="00A428C3">
        <w:t>seed shell is maximum at pH 6</w:t>
      </w:r>
      <w:r w:rsidR="00F81221">
        <w:t xml:space="preserve"> and </w:t>
      </w:r>
      <w:r w:rsidRPr="00A428C3">
        <w:t>follows the Freundlich type adsorption isotherm. The over all process of adsorption is spontaneous</w:t>
      </w:r>
      <w:r w:rsidR="00F81221">
        <w:t xml:space="preserve"> and </w:t>
      </w:r>
      <w:r w:rsidRPr="00A428C3">
        <w:t>exothermic in nature. The total adsorption on each adsorbent (mango seed</w:t>
      </w:r>
      <w:r w:rsidR="00F81221">
        <w:t xml:space="preserve"> and </w:t>
      </w:r>
      <w:r w:rsidRPr="00A428C3">
        <w:t>seed shell powder) increases with increase in temperature between 30-50</w:t>
      </w:r>
      <w:r w:rsidR="008A7E71">
        <w:t>°</w:t>
      </w:r>
      <w:r w:rsidRPr="00A428C3">
        <w:t>C</w:t>
      </w:r>
      <w:r w:rsidR="00F81221">
        <w:t xml:space="preserve"> and </w:t>
      </w:r>
      <w:r w:rsidRPr="00A428C3">
        <w:t>than decreases up to 60</w:t>
      </w:r>
      <w:r w:rsidR="008A7E71">
        <w:t>°</w:t>
      </w:r>
      <w:r w:rsidRPr="00A428C3">
        <w:t>C.</w:t>
      </w:r>
    </w:p>
    <w:p w:rsidR="00B95188" w:rsidRPr="00A428C3" w:rsidRDefault="00B95188" w:rsidP="00B95188">
      <w:pPr>
        <w:pStyle w:val="a0"/>
      </w:pPr>
      <w:r w:rsidRPr="00A428C3">
        <w:t>Raji, C.</w:t>
      </w:r>
      <w:r w:rsidR="00F81221">
        <w:t xml:space="preserve"> and </w:t>
      </w:r>
      <w:r w:rsidRPr="00A428C3">
        <w:t>Anirudhan, T.S. (1997), Chromium(VI) adsorption by sawdust carbon: Kinetics</w:t>
      </w:r>
      <w:r w:rsidR="00F81221">
        <w:t xml:space="preserve"> and </w:t>
      </w:r>
      <w:r w:rsidRPr="00A428C3">
        <w:t xml:space="preserve">equilibrium. </w:t>
      </w:r>
      <w:r w:rsidRPr="00A428C3">
        <w:rPr>
          <w:i/>
        </w:rPr>
        <w:t>Indian Journal of Chemical Technology</w:t>
      </w:r>
      <w:r w:rsidRPr="00A428C3">
        <w:t xml:space="preserve">, </w:t>
      </w:r>
      <w:r w:rsidRPr="00A428C3">
        <w:rPr>
          <w:b/>
        </w:rPr>
        <w:t>4</w:t>
      </w:r>
      <w:r w:rsidRPr="00A428C3">
        <w:t xml:space="preserve"> (5), 228-236.</w:t>
      </w:r>
    </w:p>
    <w:p w:rsidR="00B95188" w:rsidRPr="00A428C3" w:rsidRDefault="00B95188" w:rsidP="00B95188">
      <w:pPr>
        <w:pStyle w:val="a0"/>
      </w:pPr>
      <w:r w:rsidRPr="00A428C3">
        <w:t>Abstract: The ability of sawdust carbon to remove chromium from aqueous solution by adsorption was investigated according to equilibrium</w:t>
      </w:r>
      <w:r w:rsidR="00F81221">
        <w:t xml:space="preserve"> and </w:t>
      </w:r>
      <w:r w:rsidRPr="00A428C3">
        <w:t>kinetics. The extent of removal of Cr(VI) is dependent on concentration, pH</w:t>
      </w:r>
      <w:r w:rsidR="00F81221">
        <w:t xml:space="preserve"> and </w:t>
      </w:r>
      <w:r w:rsidRPr="00A428C3">
        <w:t>temperature of the solution. With an initial concentration of 100 mg/L</w:t>
      </w:r>
      <w:r w:rsidR="00F81221">
        <w:t xml:space="preserve"> and </w:t>
      </w:r>
      <w:r w:rsidRPr="00A428C3">
        <w:t>at 60</w:t>
      </w:r>
      <w:r w:rsidR="008A7E71">
        <w:t>°</w:t>
      </w:r>
      <w:r w:rsidRPr="00A428C3">
        <w:t>C</w:t>
      </w:r>
      <w:r w:rsidR="00F81221">
        <w:t xml:space="preserve"> and </w:t>
      </w:r>
      <w:r w:rsidRPr="00A428C3">
        <w:t>pH 2.5, the removal was found to be 49.8 mg/g. The intra-particle diffusion of Cr(VI) through pores in the adsorbent was shown to be the main rate limiting step. The higher uptake at pH 2.5 was attributed to chemical reduction of Cr(VI) to Cr(III) coupled with physico-chemical adsorption of Cr(VI) species. The Langmuir</w:t>
      </w:r>
      <w:r w:rsidR="00F81221">
        <w:t xml:space="preserve"> and </w:t>
      </w:r>
      <w:r w:rsidRPr="00A428C3">
        <w:t>Freundlich adsorption isotherms were used to represent the experimental data. The Langmuir</w:t>
      </w:r>
      <w:r w:rsidR="00F81221">
        <w:t xml:space="preserve"> and </w:t>
      </w:r>
      <w:r w:rsidRPr="00A428C3">
        <w:t>Freundlich constants were calculated at different temperatures</w:t>
      </w:r>
      <w:r w:rsidR="00F81221">
        <w:t xml:space="preserve"> and </w:t>
      </w:r>
      <w:r w:rsidRPr="00A428C3">
        <w:t xml:space="preserve">the adsorption capacity for Cr(VI) increases with temperature. The method was applied on synthetic wastewaters. Treatment of the exhausted carbon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NaOH removed only 87.2% of the adsorbed chromium, suggesting that the binding to the carbon involved strong chemisorption forces.</w:t>
      </w:r>
    </w:p>
    <w:p w:rsidR="00B95188" w:rsidRPr="00A428C3" w:rsidRDefault="00B95188" w:rsidP="00B95188">
      <w:pPr>
        <w:pStyle w:val="a0"/>
      </w:pPr>
      <w:r w:rsidRPr="00A428C3">
        <w:t>Keywords: Activated Carbon, Adsorbent, Adsorbents, Adsorption, Adsorption Isotherms, Chromium, Color, Cr(VI), Effluent, Isotherms, Kinetics, Removal, Sawdust, Sawdust Carbon, Soils, Sorption</w:t>
      </w:r>
    </w:p>
    <w:p w:rsidR="00B95188" w:rsidRPr="00A428C3" w:rsidRDefault="00B95188" w:rsidP="00B95188">
      <w:pPr>
        <w:pStyle w:val="a0"/>
      </w:pPr>
      <w:r w:rsidRPr="00A428C3">
        <w:t>? Bhattacharyya, K.G.</w:t>
      </w:r>
      <w:r w:rsidR="00F81221">
        <w:t xml:space="preserve"> and </w:t>
      </w:r>
      <w:r w:rsidRPr="00A428C3">
        <w:t>Sarma, N. (1997), Colour removal from pulp</w:t>
      </w:r>
      <w:r w:rsidR="00F81221">
        <w:t xml:space="preserve"> and </w:t>
      </w:r>
      <w:r w:rsidRPr="00A428C3">
        <w:t xml:space="preserve">paper mill effluent using waste products. </w:t>
      </w:r>
      <w:r w:rsidRPr="00A428C3">
        <w:rPr>
          <w:i/>
        </w:rPr>
        <w:t>Indian Journal of Chemical Technology</w:t>
      </w:r>
      <w:r w:rsidRPr="00A428C3">
        <w:t xml:space="preserve">, </w:t>
      </w:r>
      <w:r w:rsidRPr="00A428C3">
        <w:rPr>
          <w:b/>
        </w:rPr>
        <w:t>4</w:t>
      </w:r>
      <w:r w:rsidRPr="00A428C3">
        <w:t xml:space="preserve"> (5), 237-242.</w:t>
      </w:r>
    </w:p>
    <w:p w:rsidR="00B95188" w:rsidRPr="00A428C3" w:rsidRDefault="00B95188" w:rsidP="00B95188">
      <w:pPr>
        <w:pStyle w:val="a0"/>
      </w:pPr>
      <w:r w:rsidRPr="00A428C3">
        <w:t xml:space="preserve">Abstract: In this work, different streams of effluents of the Nagaon Paper mill, a unit of </w:t>
      </w:r>
      <w:r w:rsidRPr="00A428C3">
        <w:lastRenderedPageBreak/>
        <w:t>the HPC Limited, have been treated with in situ generated waste products to remove colour due to lignin</w:t>
      </w:r>
      <w:r w:rsidR="00F81221">
        <w:t xml:space="preserve"> and </w:t>
      </w:r>
      <w:r w:rsidRPr="00A428C3">
        <w:t>its derivatives. The waste products were hypo sludge (HS) from the hypo-generation unit, alum sludge (AS) from the alum unit</w:t>
      </w:r>
      <w:r w:rsidR="00F81221">
        <w:t xml:space="preserve"> and </w:t>
      </w:r>
      <w:r w:rsidRPr="00A428C3">
        <w:t>waste bamboo dust, which was converted to bamboo dust carbon (BDC). The HS in doses of 0.2</w:t>
      </w:r>
      <w:r w:rsidR="00F81221">
        <w:t xml:space="preserve"> and </w:t>
      </w:r>
      <w:smartTag w:uri="urn:schemas-microsoft-com:office:smarttags" w:element="chmetcnv">
        <w:smartTagPr>
          <w:attr w:name="TCSC" w:val="0"/>
          <w:attr w:name="NumberType" w:val="1"/>
          <w:attr w:name="Negative" w:val="False"/>
          <w:attr w:name="HasSpace" w:val="True"/>
          <w:attr w:name="SourceValue" w:val="0.4"/>
          <w:attr w:name="UnitName" w:val="g"/>
        </w:smartTagPr>
        <w:r w:rsidRPr="00A428C3">
          <w:t>0.4 g</w:t>
        </w:r>
      </w:smartTag>
      <w:r w:rsidRPr="00A428C3">
        <w:t>/L could reduce colour, BOD</w:t>
      </w:r>
      <w:r w:rsidR="00F81221">
        <w:t xml:space="preserve"> and </w:t>
      </w:r>
      <w:r w:rsidRPr="00A428C3">
        <w:t>COD to the extent of 82</w:t>
      </w:r>
      <w:r w:rsidR="00F81221">
        <w:t xml:space="preserve"> and </w:t>
      </w:r>
      <w:r w:rsidRPr="00A428C3">
        <w:t>94%, 46</w:t>
      </w:r>
      <w:r w:rsidR="00F81221">
        <w:t xml:space="preserve"> and </w:t>
      </w:r>
      <w:r w:rsidRPr="00A428C3">
        <w:t>91%, 36</w:t>
      </w:r>
      <w:r w:rsidR="00F81221">
        <w:t xml:space="preserve"> and </w:t>
      </w:r>
      <w:r w:rsidRPr="00A428C3">
        <w:t xml:space="preserve">67%, respectively, from the pulp mill effluent stream. The AS with a dose of </w:t>
      </w:r>
      <w:smartTag w:uri="urn:schemas-microsoft-com:office:smarttags" w:element="chmetcnv">
        <w:smartTagPr>
          <w:attr w:name="TCSC" w:val="0"/>
          <w:attr w:name="NumberType" w:val="1"/>
          <w:attr w:name="Negative" w:val="False"/>
          <w:attr w:name="HasSpace" w:val="True"/>
          <w:attr w:name="SourceValue" w:val="15"/>
          <w:attr w:name="UnitName" w:val="g"/>
        </w:smartTagPr>
        <w:r w:rsidRPr="00A428C3">
          <w:t>15 g</w:t>
        </w:r>
      </w:smartTag>
      <w:r w:rsidRPr="00A428C3">
        <w:t>/L was effective in reducing colour, BOD</w:t>
      </w:r>
      <w:r w:rsidR="00F81221">
        <w:t xml:space="preserve"> and </w:t>
      </w:r>
      <w:r w:rsidRPr="00A428C3">
        <w:t>COD from the extraction backwater stream by 96, 88</w:t>
      </w:r>
      <w:r w:rsidR="00F81221">
        <w:t xml:space="preserve"> and </w:t>
      </w:r>
      <w:r w:rsidRPr="00A428C3">
        <w:t>65%, respectively. The HS-treatment was found to have better impact on the combined effluent quality compared to the AS treatment. The BDC was also equally effective in colour removal from the combined effluent stream at acidic pH</w:t>
      </w:r>
      <w:r w:rsidR="00F81221">
        <w:t xml:space="preserve"> and </w:t>
      </w:r>
      <w:r w:rsidRPr="00A428C3">
        <w:t xml:space="preserve">a dose of </w:t>
      </w:r>
      <w:smartTag w:uri="urn:schemas-microsoft-com:office:smarttags" w:element="chmetcnv">
        <w:smartTagPr>
          <w:attr w:name="TCSC" w:val="0"/>
          <w:attr w:name="NumberType" w:val="1"/>
          <w:attr w:name="Negative" w:val="False"/>
          <w:attr w:name="HasSpace" w:val="True"/>
          <w:attr w:name="SourceValue" w:val="3.1"/>
          <w:attr w:name="UnitName" w:val="g"/>
        </w:smartTagPr>
        <w:r w:rsidRPr="00A428C3">
          <w:t>3.1 g</w:t>
        </w:r>
      </w:smartTag>
      <w:r w:rsidRPr="00A428C3">
        <w:t>/L could remove as much as 99% colour. The sorption characteristics have been worked out.</w:t>
      </w:r>
    </w:p>
    <w:p w:rsidR="00B95188" w:rsidRPr="00A428C3" w:rsidRDefault="00B95188" w:rsidP="00B95188">
      <w:pPr>
        <w:pStyle w:val="a0"/>
      </w:pPr>
      <w:r w:rsidRPr="00A428C3">
        <w:t>Keywords: Desorption, Water</w:t>
      </w:r>
    </w:p>
    <w:p w:rsidR="00B95188" w:rsidRPr="00A428C3" w:rsidRDefault="00B95188" w:rsidP="00B95188">
      <w:pPr>
        <w:pStyle w:val="a0"/>
      </w:pPr>
      <w:r w:rsidRPr="00A428C3">
        <w:t>Anirudhan, T.S.</w:t>
      </w:r>
      <w:r w:rsidR="00F81221">
        <w:t xml:space="preserve"> and </w:t>
      </w:r>
      <w:r w:rsidRPr="00A428C3">
        <w:t xml:space="preserve">Sreedhar, M.K. (1998), Adsorption thermodynamics of Co(II) on polysulphide treated sawdust. </w:t>
      </w:r>
      <w:r w:rsidRPr="00A428C3">
        <w:rPr>
          <w:i/>
        </w:rPr>
        <w:t>Indian Journal of Chemical Technology</w:t>
      </w:r>
      <w:r w:rsidRPr="00A428C3">
        <w:t xml:space="preserve">, </w:t>
      </w:r>
      <w:r w:rsidRPr="00A428C3">
        <w:rPr>
          <w:b/>
        </w:rPr>
        <w:t>5</w:t>
      </w:r>
      <w:r w:rsidRPr="00A428C3">
        <w:t xml:space="preserve"> (1), 41-47.</w:t>
      </w:r>
    </w:p>
    <w:p w:rsidR="00B95188" w:rsidRPr="00A428C3" w:rsidRDefault="00B95188" w:rsidP="00B95188">
      <w:pPr>
        <w:pStyle w:val="a0"/>
      </w:pPr>
      <w:r w:rsidRPr="00A428C3">
        <w:t>Abstract: Sawdust of rubber wood has been subjected to surface modification by treatment with sodium polysulphide. The product exhibits a good adsorption potential for Co(II). The percentage of Co(II) adsorption increases with increase in temperature</w:t>
      </w:r>
      <w:r w:rsidR="00F81221">
        <w:t xml:space="preserve"> and </w:t>
      </w:r>
      <w:r w:rsidRPr="00A428C3">
        <w:t>decrease in initial Co(II) concentration. Sorbent is effective for the quantitative removal of Co(II) over the pH range 4-10. The applicability of the Lagergren</w:t>
      </w:r>
      <w:r w:rsidR="00F81221">
        <w:t xml:space="preserve"> and </w:t>
      </w:r>
      <w:r w:rsidRPr="00A428C3">
        <w:t>Freundlich equations for metal removal has been tested at different temperatures</w:t>
      </w:r>
      <w:r w:rsidR="00F81221">
        <w:t xml:space="preserve"> and </w:t>
      </w:r>
      <w:r w:rsidRPr="00A428C3">
        <w:t>the adsorption has been found to be endothermic. Thermodynamic parameters have also been calculated to predict the nature of adsorption. The spent sorbent can be regenerated by acid</w:t>
      </w:r>
      <w:r w:rsidR="00F81221">
        <w:t xml:space="preserve"> and </w:t>
      </w:r>
      <w:r w:rsidRPr="00A428C3">
        <w:t>can be reused.</w:t>
      </w:r>
    </w:p>
    <w:p w:rsidR="00B95188" w:rsidRPr="00A428C3" w:rsidRDefault="00B95188" w:rsidP="00B95188">
      <w:pPr>
        <w:pStyle w:val="a0"/>
      </w:pPr>
      <w:r w:rsidRPr="00A428C3">
        <w:t>Keywords: Acid, Adsorption, Equations, Metal, Metal Removal, Modification, pH, Removal, Sawdust, Sorbent, Wood</w:t>
      </w:r>
    </w:p>
    <w:p w:rsidR="00156F25" w:rsidRDefault="00156F25" w:rsidP="00156F25">
      <w:pPr>
        <w:pStyle w:val="a0"/>
        <w:rPr>
          <w:kern w:val="0"/>
          <w:szCs w:val="24"/>
        </w:rPr>
      </w:pPr>
      <w:r>
        <w:rPr>
          <w:rFonts w:hint="eastAsia"/>
          <w:kern w:val="0"/>
          <w:szCs w:val="24"/>
        </w:rPr>
        <w:t xml:space="preserve">? </w:t>
      </w:r>
      <w:r>
        <w:rPr>
          <w:kern w:val="0"/>
          <w:szCs w:val="24"/>
        </w:rPr>
        <w:t xml:space="preserve">Vanjara, A.K. (1998), Colour removal from textile effluent using refuse derived fuel as an adsorbent. </w:t>
      </w:r>
      <w:r>
        <w:rPr>
          <w:i/>
          <w:iCs/>
          <w:kern w:val="0"/>
          <w:szCs w:val="24"/>
        </w:rPr>
        <w:t>Indian Journal of Chemical Technology</w:t>
      </w:r>
      <w:r>
        <w:rPr>
          <w:kern w:val="0"/>
          <w:szCs w:val="24"/>
        </w:rPr>
        <w:t xml:space="preserve">, </w:t>
      </w:r>
      <w:r>
        <w:rPr>
          <w:b/>
          <w:bCs/>
          <w:kern w:val="0"/>
          <w:szCs w:val="24"/>
        </w:rPr>
        <w:t>5</w:t>
      </w:r>
      <w:r>
        <w:rPr>
          <w:kern w:val="0"/>
          <w:szCs w:val="24"/>
        </w:rPr>
        <w:t xml:space="preserve"> (1), 53-55.</w:t>
      </w:r>
    </w:p>
    <w:p w:rsidR="00156F25" w:rsidRDefault="00156F25" w:rsidP="00156F25">
      <w:pPr>
        <w:pStyle w:val="a0"/>
        <w:rPr>
          <w:kern w:val="0"/>
          <w:szCs w:val="24"/>
        </w:rPr>
      </w:pPr>
      <w:r>
        <w:rPr>
          <w:kern w:val="0"/>
          <w:szCs w:val="24"/>
        </w:rPr>
        <w:t>Abstract: Adsorptive capacity of refuse derived fuel (RDF) has been tested for the decolourisation of waste water containing methylene blue. The effect of system variables such as concentration, temperature, pH, agitation speed</w:t>
      </w:r>
      <w:r w:rsidR="00F81221">
        <w:rPr>
          <w:kern w:val="0"/>
          <w:szCs w:val="24"/>
        </w:rPr>
        <w:t xml:space="preserve"> and </w:t>
      </w:r>
      <w:r>
        <w:rPr>
          <w:kern w:val="0"/>
          <w:szCs w:val="24"/>
        </w:rPr>
        <w:t>particle size have been studied to understand equilibrium</w:t>
      </w:r>
      <w:r w:rsidR="00F81221">
        <w:rPr>
          <w:kern w:val="0"/>
          <w:szCs w:val="24"/>
        </w:rPr>
        <w:t xml:space="preserve"> and </w:t>
      </w:r>
      <w:r>
        <w:rPr>
          <w:kern w:val="0"/>
          <w:szCs w:val="24"/>
        </w:rPr>
        <w:t>kinetics of adsorption process. The results show very good adsorptive capacity of RDF for methylene blue. The intraparticle diffusion is playing an important role in the adsorption process. The effect of temperature shows some chemical interactions between adsorbent/adsorbate system.</w:t>
      </w:r>
    </w:p>
    <w:p w:rsidR="00156F25" w:rsidRDefault="00156F25" w:rsidP="00156F25">
      <w:pPr>
        <w:pStyle w:val="a0"/>
        <w:rPr>
          <w:kern w:val="0"/>
          <w:szCs w:val="24"/>
        </w:rPr>
      </w:pPr>
      <w:r>
        <w:rPr>
          <w:kern w:val="0"/>
          <w:szCs w:val="24"/>
        </w:rPr>
        <w:t xml:space="preserve">Keywords: Adsorption, Capacity, Decolourisation, Diffusion, Dyes, Equilibrium, Kinetics, Methylene Blue, </w:t>
      </w:r>
      <w:r>
        <w:rPr>
          <w:rFonts w:hint="eastAsia"/>
          <w:kern w:val="0"/>
          <w:szCs w:val="24"/>
        </w:rPr>
        <w:t>p</w:t>
      </w:r>
      <w:r>
        <w:rPr>
          <w:kern w:val="0"/>
          <w:szCs w:val="24"/>
        </w:rPr>
        <w:t>H, Removal, System, Temperature, Textile Effluent, Water</w:t>
      </w:r>
    </w:p>
    <w:p w:rsidR="00156F25" w:rsidRDefault="00156F25" w:rsidP="00156F25">
      <w:pPr>
        <w:pStyle w:val="a0"/>
        <w:rPr>
          <w:kern w:val="0"/>
          <w:szCs w:val="24"/>
        </w:rPr>
      </w:pPr>
      <w:r>
        <w:rPr>
          <w:rFonts w:hint="eastAsia"/>
          <w:kern w:val="0"/>
          <w:szCs w:val="24"/>
        </w:rPr>
        <w:lastRenderedPageBreak/>
        <w:t xml:space="preserve">? </w:t>
      </w:r>
      <w:r>
        <w:rPr>
          <w:kern w:val="0"/>
          <w:szCs w:val="24"/>
        </w:rPr>
        <w:t>Misra, K., Aggarwal, P., Kapoor, S.K., Bhalla, A.K.</w:t>
      </w:r>
      <w:r w:rsidR="00F81221">
        <w:rPr>
          <w:kern w:val="0"/>
          <w:szCs w:val="24"/>
        </w:rPr>
        <w:t xml:space="preserve"> and </w:t>
      </w:r>
      <w:r>
        <w:rPr>
          <w:kern w:val="0"/>
          <w:szCs w:val="24"/>
        </w:rPr>
        <w:t xml:space="preserve">Bansal, R.C. (1998), Adsorption isotherm studies of trinitrotoluene on granular activated carbon from aqueous solution. </w:t>
      </w:r>
      <w:r>
        <w:rPr>
          <w:i/>
          <w:iCs/>
          <w:kern w:val="0"/>
          <w:szCs w:val="24"/>
        </w:rPr>
        <w:t>Indian Journal of Chemical Technology</w:t>
      </w:r>
      <w:r>
        <w:rPr>
          <w:kern w:val="0"/>
          <w:szCs w:val="24"/>
        </w:rPr>
        <w:t xml:space="preserve">, </w:t>
      </w:r>
      <w:r>
        <w:rPr>
          <w:b/>
          <w:bCs/>
          <w:kern w:val="0"/>
          <w:szCs w:val="24"/>
        </w:rPr>
        <w:t>5</w:t>
      </w:r>
      <w:r>
        <w:rPr>
          <w:kern w:val="0"/>
          <w:szCs w:val="24"/>
        </w:rPr>
        <w:t xml:space="preserve"> (2), 87-90.</w:t>
      </w:r>
    </w:p>
    <w:p w:rsidR="00156F25" w:rsidRDefault="00156F25" w:rsidP="00156F25">
      <w:pPr>
        <w:pStyle w:val="a0"/>
        <w:rPr>
          <w:kern w:val="0"/>
          <w:szCs w:val="24"/>
        </w:rPr>
      </w:pPr>
      <w:r>
        <w:rPr>
          <w:kern w:val="0"/>
          <w:szCs w:val="24"/>
        </w:rPr>
        <w:t>Abstract: This paper presents the adsorption isotherm studies on coconut based activated carbon (AC) of different grades (650-1300 m(2)/g) to asses its efficiency for the removal of trinitrotoluene (TNT) from aqueous solutions. Freundlich</w:t>
      </w:r>
      <w:r w:rsidR="00F81221">
        <w:rPr>
          <w:kern w:val="0"/>
          <w:szCs w:val="24"/>
        </w:rPr>
        <w:t xml:space="preserve"> and </w:t>
      </w:r>
      <w:r>
        <w:rPr>
          <w:kern w:val="0"/>
          <w:szCs w:val="24"/>
        </w:rPr>
        <w:t>Langmuir adsorption isotherms are plotted</w:t>
      </w:r>
      <w:r w:rsidR="00F81221">
        <w:rPr>
          <w:kern w:val="0"/>
          <w:szCs w:val="24"/>
        </w:rPr>
        <w:t xml:space="preserve"> and </w:t>
      </w:r>
      <w:r>
        <w:rPr>
          <w:kern w:val="0"/>
          <w:szCs w:val="24"/>
        </w:rPr>
        <w:t>equilibrium constant</w:t>
      </w:r>
      <w:r w:rsidR="00F81221">
        <w:rPr>
          <w:kern w:val="0"/>
          <w:szCs w:val="24"/>
        </w:rPr>
        <w:t xml:space="preserve"> and </w:t>
      </w:r>
      <w:r>
        <w:rPr>
          <w:kern w:val="0"/>
          <w:szCs w:val="24"/>
        </w:rPr>
        <w:t>maximum adsorption capacity for each carbon is computed from the isotherm data. A linear relationship has been obtained between amount adsorbed</w:t>
      </w:r>
      <w:r w:rsidR="00F81221">
        <w:rPr>
          <w:kern w:val="0"/>
          <w:szCs w:val="24"/>
        </w:rPr>
        <w:t xml:space="preserve"> and </w:t>
      </w:r>
      <w:r>
        <w:rPr>
          <w:kern w:val="0"/>
          <w:szCs w:val="24"/>
        </w:rPr>
        <w:t>the surface area of carbons. The effect of varying amounts of carbon oxygen complexes on carbon surface modified by oxidation</w:t>
      </w:r>
      <w:r w:rsidR="00F81221">
        <w:rPr>
          <w:kern w:val="0"/>
          <w:szCs w:val="24"/>
        </w:rPr>
        <w:t xml:space="preserve"> and </w:t>
      </w:r>
      <w:r>
        <w:rPr>
          <w:kern w:val="0"/>
          <w:szCs w:val="24"/>
        </w:rPr>
        <w:t>degassing treatments, on the adsorption of TNT has also been studied. The results indicate that the increasing amount of chemisorbed oxygen on carbon has favourably influenced the adsorption behaviour of TNT.</w:t>
      </w:r>
    </w:p>
    <w:p w:rsidR="00156F25" w:rsidRDefault="00156F25" w:rsidP="00156F25">
      <w:pPr>
        <w:pStyle w:val="a0"/>
        <w:rPr>
          <w:kern w:val="0"/>
          <w:szCs w:val="24"/>
        </w:rPr>
      </w:pPr>
      <w:r>
        <w:rPr>
          <w:kern w:val="0"/>
          <w:szCs w:val="24"/>
        </w:rPr>
        <w:t>Keywords: Activated Carbon, Adsorption, Adsorption Capacity, Adsorption Isotherm, Adsorption Isotherms, Aqueous Solutions, Capacity, Carbon, Equilibrium, Freundlich, Isotherm, Isotherm Studies, Isotherms, Langmuir, Oxidation, Removal, TNT</w:t>
      </w:r>
    </w:p>
    <w:p w:rsidR="00B95188" w:rsidRPr="00A428C3" w:rsidRDefault="00B95188" w:rsidP="00B95188">
      <w:pPr>
        <w:pStyle w:val="a0"/>
      </w:pPr>
      <w:r w:rsidRPr="00A428C3">
        <w:t>? Khattri, S.</w:t>
      </w:r>
      <w:r w:rsidR="00F81221">
        <w:t xml:space="preserve"> and </w:t>
      </w:r>
      <w:r w:rsidRPr="00A428C3">
        <w:t xml:space="preserve">Singh, M.K. (1998), Colour removal from aqueous solutions by adsorption. </w:t>
      </w:r>
      <w:r w:rsidRPr="00A428C3">
        <w:rPr>
          <w:i/>
        </w:rPr>
        <w:t>Indian Journal of Chemical Technology</w:t>
      </w:r>
      <w:r w:rsidRPr="00A428C3">
        <w:t xml:space="preserve">, </w:t>
      </w:r>
      <w:r w:rsidRPr="00A428C3">
        <w:rPr>
          <w:b/>
        </w:rPr>
        <w:t>5</w:t>
      </w:r>
      <w:r w:rsidRPr="00A428C3">
        <w:t xml:space="preserve"> (4), 230-234.</w:t>
      </w:r>
    </w:p>
    <w:p w:rsidR="00B95188" w:rsidRPr="00A428C3" w:rsidRDefault="00B95188" w:rsidP="00B95188">
      <w:pPr>
        <w:pStyle w:val="a0"/>
      </w:pPr>
      <w:r w:rsidRPr="00A428C3">
        <w:t>Abstract: Dyes are used in various sectors like textile, paper</w:t>
      </w:r>
      <w:r w:rsidR="00F81221">
        <w:t xml:space="preserve"> and </w:t>
      </w:r>
      <w:r w:rsidRPr="00A428C3">
        <w:t>dyeing industries which discharge hazardous coloured dye effluents. The ability of heterogeneous mixture of alumina</w:t>
      </w:r>
      <w:r w:rsidR="00F81221">
        <w:t xml:space="preserve"> and </w:t>
      </w:r>
      <w:r w:rsidRPr="00A428C3">
        <w:t>clay (1:2) to remove the colour of dyes has been investigated. It was found that low adsorbate concentration small particle size of adsorbent, temperature 25</w:t>
      </w:r>
      <w:r w:rsidR="008A7E71">
        <w:t>°</w:t>
      </w:r>
      <w:r w:rsidRPr="00A428C3">
        <w:t>C</w:t>
      </w:r>
      <w:r w:rsidR="00F81221">
        <w:t xml:space="preserve"> and </w:t>
      </w:r>
      <w:r w:rsidRPr="00A428C3">
        <w:t>pH 7.2 of the medium favour the removal of dye from aqueous solution. The dynamics of adsorbate transport from bulk to the solid phase has been studied at different temperatures. The applicability of Langmuir isotherm suggests the formation of monolayer coverage of dye molecules on the outer interface of the adsorbent. The thermodynamic studies of dye-alumina clay system indicates spontaneous</w:t>
      </w:r>
      <w:r w:rsidR="00F81221">
        <w:t xml:space="preserve"> and </w:t>
      </w:r>
      <w:r w:rsidRPr="00A428C3">
        <w:t>exothermic nature of the process.</w:t>
      </w:r>
    </w:p>
    <w:p w:rsidR="00B95188" w:rsidRPr="00A428C3" w:rsidRDefault="00B95188" w:rsidP="00B95188">
      <w:pPr>
        <w:pStyle w:val="a0"/>
      </w:pPr>
      <w:r w:rsidRPr="00A428C3">
        <w:t>Keywords: Fly-Ash, Effluent, Adsorbents, Acid, Dye</w:t>
      </w:r>
    </w:p>
    <w:p w:rsidR="00B95188" w:rsidRPr="00A428C3" w:rsidRDefault="00B95188" w:rsidP="00B95188">
      <w:pPr>
        <w:pStyle w:val="a0"/>
      </w:pPr>
      <w:r w:rsidRPr="00A428C3">
        <w:t>? Namasivayam, C.</w:t>
      </w:r>
      <w:r w:rsidR="00F81221">
        <w:t xml:space="preserve"> and </w:t>
      </w:r>
      <w:r w:rsidRPr="00A428C3">
        <w:t>Kadirvelu, K. (1998), Carbonised coirpith as an adsorbent for the removal of toxic ions, dyes</w:t>
      </w:r>
      <w:r w:rsidR="00F81221">
        <w:t xml:space="preserve"> and </w:t>
      </w:r>
      <w:r w:rsidRPr="00A428C3">
        <w:t xml:space="preserve">pesticides from wastewaters. </w:t>
      </w:r>
      <w:r w:rsidRPr="00A428C3">
        <w:rPr>
          <w:i/>
        </w:rPr>
        <w:t>Indian Journal of Chemical Technology</w:t>
      </w:r>
      <w:r w:rsidRPr="00A428C3">
        <w:t xml:space="preserve">, </w:t>
      </w:r>
      <w:r w:rsidRPr="00A428C3">
        <w:rPr>
          <w:b/>
        </w:rPr>
        <w:t>5</w:t>
      </w:r>
      <w:r w:rsidRPr="00A428C3">
        <w:t xml:space="preserve"> (5), 334-336.</w:t>
      </w:r>
    </w:p>
    <w:p w:rsidR="00B95188" w:rsidRPr="00A428C3" w:rsidRDefault="00B95188" w:rsidP="00B95188">
      <w:pPr>
        <w:pStyle w:val="a0"/>
      </w:pPr>
      <w:r w:rsidRPr="00A428C3">
        <w:t>Abstract: Carbonized coirpith was effective in the removal of toxic metal ions such as Hg(II), Pb(II), Cr(VI)</w:t>
      </w:r>
      <w:r w:rsidR="00F81221">
        <w:t xml:space="preserve"> and </w:t>
      </w:r>
      <w:r w:rsidRPr="00A428C3">
        <w:t>orthophosphate</w:t>
      </w:r>
      <w:r w:rsidR="00F81221">
        <w:t xml:space="preserve"> and </w:t>
      </w:r>
      <w:r w:rsidRPr="00A428C3">
        <w:t>dyes such as Rhodamine-B, acid violet, procion orange</w:t>
      </w:r>
      <w:r w:rsidR="00F81221">
        <w:t xml:space="preserve"> and </w:t>
      </w:r>
      <w:r w:rsidRPr="00A428C3">
        <w:t>congo red</w:t>
      </w:r>
      <w:r w:rsidR="00F81221">
        <w:t xml:space="preserve"> and </w:t>
      </w:r>
      <w:r w:rsidRPr="00A428C3">
        <w:t>paraquat in aqueous phase systems. Quantitative removal of dye</w:t>
      </w:r>
      <w:r w:rsidR="00F81221">
        <w:t xml:space="preserve"> and </w:t>
      </w:r>
      <w:r w:rsidRPr="00A428C3">
        <w:t>toxic metal ions</w:t>
      </w:r>
      <w:r w:rsidR="00F81221">
        <w:t xml:space="preserve"> and </w:t>
      </w:r>
      <w:r w:rsidRPr="00A428C3">
        <w:t>around 75% removal of phosphate</w:t>
      </w:r>
      <w:r w:rsidR="00F81221">
        <w:t xml:space="preserve"> and </w:t>
      </w:r>
      <w:r w:rsidRPr="00A428C3">
        <w:t>paraquat were observed.</w:t>
      </w:r>
    </w:p>
    <w:p w:rsidR="00B95188" w:rsidRPr="00A428C3" w:rsidRDefault="00B95188" w:rsidP="00B95188">
      <w:pPr>
        <w:pStyle w:val="a0"/>
      </w:pPr>
      <w:r w:rsidRPr="00A428C3">
        <w:t xml:space="preserve">Keywords: Peanut </w:t>
      </w:r>
      <w:smartTag w:uri="urn:schemas-microsoft-com:office:smarttags" w:element="place">
        <w:smartTag w:uri="urn:schemas-microsoft-com:office:smarttags" w:element="City">
          <w:r w:rsidRPr="00A428C3">
            <w:t>Hull</w:t>
          </w:r>
        </w:smartTag>
      </w:smartTag>
      <w:r w:rsidRPr="00A428C3">
        <w:t xml:space="preserve"> Carbon, Industry Waste-Water, Aqueous-Solution, Adsorption </w:t>
      </w:r>
      <w:r w:rsidRPr="00A428C3">
        <w:lastRenderedPageBreak/>
        <w:t>Rates, Mercury(II), Equilibrium</w:t>
      </w:r>
    </w:p>
    <w:p w:rsidR="00B95188" w:rsidRPr="00A428C3" w:rsidRDefault="00B95188" w:rsidP="00B95188">
      <w:pPr>
        <w:pStyle w:val="a0"/>
      </w:pPr>
      <w:r w:rsidRPr="00A428C3">
        <w:t>Namasivayam, C.</w:t>
      </w:r>
      <w:r w:rsidR="00F81221">
        <w:t xml:space="preserve"> and </w:t>
      </w:r>
      <w:r w:rsidRPr="00A428C3">
        <w:t>Ranganathan, K. (1998), Regeneration</w:t>
      </w:r>
      <w:r w:rsidR="00F81221">
        <w:t xml:space="preserve"> and </w:t>
      </w:r>
      <w:r w:rsidRPr="00A428C3">
        <w:t>recycling of waste Fe(III)/Cr(III) hydroxide for the continuous adsorption of Ni(II)</w:t>
      </w:r>
      <w:r w:rsidR="00F81221">
        <w:t xml:space="preserve"> and </w:t>
      </w:r>
      <w:r w:rsidRPr="00A428C3">
        <w:t xml:space="preserve">Cr(VI). </w:t>
      </w:r>
      <w:r w:rsidRPr="00A428C3">
        <w:rPr>
          <w:i/>
        </w:rPr>
        <w:t>Indian Journal of Chemical Technology</w:t>
      </w:r>
      <w:r w:rsidRPr="00A428C3">
        <w:t xml:space="preserve">, </w:t>
      </w:r>
      <w:r w:rsidRPr="00A428C3">
        <w:rPr>
          <w:b/>
        </w:rPr>
        <w:t>5</w:t>
      </w:r>
      <w:r w:rsidRPr="00A428C3">
        <w:t xml:space="preserve"> (5), 337-339.</w:t>
      </w:r>
    </w:p>
    <w:p w:rsidR="00B95188" w:rsidRPr="00A428C3" w:rsidRDefault="00B95188" w:rsidP="00B95188">
      <w:pPr>
        <w:pStyle w:val="a0"/>
      </w:pPr>
      <w:r w:rsidRPr="00A428C3">
        <w:t>Abstract: The waste Fe(III)/Cr(III) hydroxide is recycled after alternating adsorption</w:t>
      </w:r>
      <w:r w:rsidR="00F81221">
        <w:t xml:space="preserve"> and </w:t>
      </w:r>
      <w:r w:rsidRPr="00A428C3">
        <w:t>desorption of Ni(II)</w:t>
      </w:r>
      <w:r w:rsidR="00F81221">
        <w:t xml:space="preserve"> and </w:t>
      </w:r>
      <w:r w:rsidRPr="00A428C3">
        <w:t>Cr(VI). Six regeneration cycles have been observed without any significant loss in metal removal efficiency of the adsorbent.</w:t>
      </w:r>
    </w:p>
    <w:p w:rsidR="00B95188" w:rsidRPr="00A428C3" w:rsidRDefault="00B95188" w:rsidP="00B95188">
      <w:pPr>
        <w:pStyle w:val="a0"/>
      </w:pPr>
      <w:r w:rsidRPr="00A428C3">
        <w:t>Keywords: Aqueous-Solution, Removal, Water, Cd(II)</w:t>
      </w:r>
    </w:p>
    <w:p w:rsidR="00B95188" w:rsidRPr="00A428C3" w:rsidRDefault="00B95188" w:rsidP="00B95188">
      <w:pPr>
        <w:pStyle w:val="a0"/>
      </w:pPr>
      <w:r w:rsidRPr="00A428C3">
        <w:t>Rengaraj, S., Arabindoo, B.</w:t>
      </w:r>
      <w:r w:rsidR="00F81221">
        <w:t xml:space="preserve"> and </w:t>
      </w:r>
      <w:r w:rsidRPr="00A428C3">
        <w:t>Murugesan, V. (1999), Preparation</w:t>
      </w:r>
      <w:r w:rsidR="00F81221">
        <w:t xml:space="preserve"> and </w:t>
      </w:r>
      <w:r w:rsidRPr="00A428C3">
        <w:t xml:space="preserve">characterisation of activated carbon from agricultural wastes. </w:t>
      </w:r>
      <w:r w:rsidRPr="00A428C3">
        <w:rPr>
          <w:i/>
        </w:rPr>
        <w:t>Indian Journal of Chemical Technology</w:t>
      </w:r>
      <w:r w:rsidRPr="00A428C3">
        <w:t xml:space="preserve">, </w:t>
      </w:r>
      <w:r w:rsidRPr="00A428C3">
        <w:rPr>
          <w:b/>
        </w:rPr>
        <w:t>6</w:t>
      </w:r>
      <w:r w:rsidRPr="00A428C3">
        <w:t xml:space="preserve"> (1), 1-4.</w:t>
      </w:r>
    </w:p>
    <w:p w:rsidR="00B95188" w:rsidRPr="00A428C3" w:rsidRDefault="00B95188" w:rsidP="00B95188">
      <w:pPr>
        <w:pStyle w:val="a0"/>
      </w:pPr>
      <w:r w:rsidRPr="00A428C3">
        <w:t xml:space="preserve">Abstract: Solid waste disposal has become a major problem in </w:t>
      </w:r>
      <w:smartTag w:uri="urn:schemas-microsoft-com:office:smarttags" w:element="place">
        <w:smartTag w:uri="urn:schemas-microsoft-com:office:smarttags" w:element="country-region">
          <w:r w:rsidRPr="00A428C3">
            <w:t>India</w:t>
          </w:r>
        </w:smartTag>
      </w:smartTag>
      <w:r w:rsidRPr="00A428C3">
        <w:t>. Either it has to be disposed safely or used for the recovery of valuable materials. As agricultural wastes like myrobalan, rubber seed coat, cashewnut sheath, palm seed coat, palm tree flower</w:t>
      </w:r>
      <w:r w:rsidR="00F81221">
        <w:t xml:space="preserve"> and </w:t>
      </w:r>
      <w:r w:rsidRPr="00A428C3">
        <w:t>pongam seed coat comprise of cellulose</w:t>
      </w:r>
      <w:r w:rsidR="00F81221">
        <w:t xml:space="preserve"> and </w:t>
      </w:r>
      <w:r w:rsidRPr="00A428C3">
        <w:t>lignin, they may act as good adsorbents. Therefore these wastes have been exploited for the preparation of activated carbon employing various techniques. Their characterisation studies such as bulk density, moisture content, ash content, fixed carbon content, matter soluble in water, matter soluble in acid, pH, decolourising power, phenol number, ion exchange capacity, iron content</w:t>
      </w:r>
      <w:r w:rsidR="00F81221">
        <w:t xml:space="preserve"> and </w:t>
      </w:r>
      <w:r w:rsidRPr="00A428C3">
        <w:t>surface area have been carried out to assess the suitability of these carbons as adsorbents in the treatment of water</w:t>
      </w:r>
      <w:r w:rsidR="00F81221">
        <w:t xml:space="preserve"> and </w:t>
      </w:r>
      <w:r w:rsidRPr="00A428C3">
        <w:t>wastewater. The results obtained show them to be good adsorbents for both organics</w:t>
      </w:r>
      <w:r w:rsidR="00F81221">
        <w:t xml:space="preserve"> and </w:t>
      </w:r>
      <w:r w:rsidRPr="00A428C3">
        <w:t>inorganics. The present study reveals the recovery of valuable adsorbents from readily</w:t>
      </w:r>
      <w:r w:rsidR="00F81221">
        <w:t xml:space="preserve"> and </w:t>
      </w:r>
      <w:r w:rsidRPr="00A428C3">
        <w:t>cheaply available agricultural wastes.</w:t>
      </w:r>
    </w:p>
    <w:p w:rsidR="00B95188" w:rsidRPr="00A428C3" w:rsidRDefault="00B95188" w:rsidP="00B95188">
      <w:pPr>
        <w:pStyle w:val="a0"/>
      </w:pPr>
      <w:smartTag w:uri="urn:schemas-microsoft-com:office:smarttags" w:element="City">
        <w:r w:rsidRPr="00A428C3">
          <w:t>Khattri</w:t>
        </w:r>
      </w:smartTag>
      <w:r w:rsidRPr="00A428C3">
        <w:t>, S.D.</w:t>
      </w:r>
      <w:r w:rsidR="00F81221">
        <w:t xml:space="preserve"> and </w:t>
      </w:r>
      <w:r w:rsidRPr="00A428C3">
        <w:t xml:space="preserve">Singh, M.K. (1999), Adsorption of basic dyes from aqueous solution by natural adsorbent. </w:t>
      </w:r>
      <w:r w:rsidRPr="00A428C3">
        <w:rPr>
          <w:i/>
        </w:rPr>
        <w:t>Indian Journal of Chemical Technology</w:t>
      </w:r>
      <w:r w:rsidRPr="00A428C3">
        <w:t xml:space="preserve">, </w:t>
      </w:r>
      <w:r w:rsidRPr="00A428C3">
        <w:rPr>
          <w:b/>
        </w:rPr>
        <w:t>6</w:t>
      </w:r>
      <w:r w:rsidRPr="00A428C3">
        <w:t xml:space="preserve"> (2), 112-116.</w:t>
      </w:r>
    </w:p>
    <w:p w:rsidR="00B95188" w:rsidRPr="00A428C3" w:rsidRDefault="00B95188" w:rsidP="00B95188">
      <w:pPr>
        <w:pStyle w:val="a0"/>
      </w:pPr>
      <w:r w:rsidRPr="00A428C3">
        <w:t>Abstract: The capability of the Sagaun sawdust for removing basic dyes (crystal violet, Methylene Blue. Malachite Green</w:t>
      </w:r>
      <w:r w:rsidR="00F81221">
        <w:t xml:space="preserve"> and </w:t>
      </w:r>
      <w:r w:rsidRPr="00A428C3">
        <w:t>Rhodamine B) from aqueous solution</w:t>
      </w:r>
      <w:r w:rsidR="000352E7">
        <w:t>’</w:t>
      </w:r>
      <w:r w:rsidRPr="00A428C3">
        <w:t>s has been investigated. The effect of system variables such as concentration. temperature, pH</w:t>
      </w:r>
      <w:r w:rsidR="00F81221">
        <w:t xml:space="preserve"> and </w:t>
      </w:r>
      <w:r w:rsidRPr="00A428C3">
        <w:t>particle size have been studied to understand equilibrium</w:t>
      </w:r>
      <w:r w:rsidR="00F81221">
        <w:t xml:space="preserve"> and </w:t>
      </w:r>
      <w:r w:rsidRPr="00A428C3">
        <w:t>kinetics of adsorption process. The maximum removal was found to be 89% at concentration 6.0 mgL</w:t>
      </w:r>
      <w:r w:rsidRPr="00A428C3">
        <w:rPr>
          <w:vertAlign w:val="superscript"/>
        </w:rPr>
        <w:t>-1</w:t>
      </w:r>
      <w:r w:rsidR="008A7E71">
        <w:t>, temperature 30°</w:t>
      </w:r>
      <w:r w:rsidRPr="00A428C3">
        <w:t>C</w:t>
      </w:r>
      <w:r w:rsidR="00F81221">
        <w:t xml:space="preserve"> and </w:t>
      </w:r>
      <w:r w:rsidRPr="00A428C3">
        <w:t>pH 7.5. The amount of the dye (crystal violet</w:t>
      </w:r>
      <w:r w:rsidR="00F81221">
        <w:t xml:space="preserve"> and </w:t>
      </w:r>
      <w:r w:rsidRPr="00A428C3">
        <w:t>Methylene Blue) adsorbed, decreases from 2.773 mgg</w:t>
      </w:r>
      <w:r w:rsidRPr="00A428C3">
        <w:rPr>
          <w:vertAlign w:val="superscript"/>
        </w:rPr>
        <w:t>-1</w:t>
      </w:r>
      <w:r w:rsidRPr="00A428C3">
        <w:t xml:space="preserve"> (86.68%) to 2.310 mgg</w:t>
      </w:r>
      <w:r w:rsidRPr="00A428C3">
        <w:rPr>
          <w:vertAlign w:val="superscript"/>
        </w:rPr>
        <w:t>-1</w:t>
      </w:r>
      <w:r w:rsidRPr="00A428C3">
        <w:t xml:space="preserve"> (72.19%)</w:t>
      </w:r>
      <w:r w:rsidR="00F81221">
        <w:t xml:space="preserve"> and </w:t>
      </w:r>
      <w:r w:rsidRPr="00A428C3">
        <w:t>2.672 mgg</w:t>
      </w:r>
      <w:r w:rsidRPr="00A428C3">
        <w:rPr>
          <w:vertAlign w:val="superscript"/>
        </w:rPr>
        <w:t>-1</w:t>
      </w:r>
      <w:r w:rsidRPr="00A428C3">
        <w:t xml:space="preserve"> (83.52%) to 2.205 mgg</w:t>
      </w:r>
      <w:r w:rsidRPr="00A428C3">
        <w:rPr>
          <w:vertAlign w:val="superscript"/>
        </w:rPr>
        <w:t>-1</w:t>
      </w:r>
      <w:r w:rsidRPr="00A428C3">
        <w:t xml:space="preserve"> (68.93%) with the rise of temperature</w:t>
      </w:r>
      <w:r w:rsidR="008A7E71">
        <w:t xml:space="preserve"> of dye solutions from 25 to 45°</w:t>
      </w:r>
      <w:r w:rsidRPr="00A428C3">
        <w:t>C indicating the process to be exothermic. The value of k (ad) of crystal violet at 25, 35</w:t>
      </w:r>
      <w:r w:rsidR="00F81221">
        <w:t xml:space="preserve"> and </w:t>
      </w:r>
      <w:r w:rsidRPr="00A428C3">
        <w:t>45</w:t>
      </w:r>
      <w:r w:rsidR="008A7E71">
        <w:t>°</w:t>
      </w:r>
      <w:r w:rsidRPr="00A428C3">
        <w:t>C were found to be 9.72</w:t>
      </w:r>
      <w:r w:rsidRPr="00A428C3">
        <w:sym w:font="Symbol" w:char="F0B4"/>
      </w:r>
      <w:r w:rsidRPr="00A428C3">
        <w:t>10</w:t>
      </w:r>
      <w:r w:rsidRPr="00A428C3">
        <w:rPr>
          <w:vertAlign w:val="superscript"/>
        </w:rPr>
        <w:t>-2</w:t>
      </w:r>
      <w:r w:rsidRPr="00A428C3">
        <w:t>, 9.57</w:t>
      </w:r>
      <w:r w:rsidRPr="00A428C3">
        <w:sym w:font="Symbol" w:char="F0B4"/>
      </w:r>
      <w:r w:rsidRPr="00A428C3">
        <w:t>10</w:t>
      </w:r>
      <w:r w:rsidRPr="00A428C3">
        <w:rPr>
          <w:vertAlign w:val="superscript"/>
        </w:rPr>
        <w:t>-2</w:t>
      </w:r>
      <w:r w:rsidR="00F81221">
        <w:t xml:space="preserve"> and </w:t>
      </w:r>
      <w:r w:rsidRPr="00A428C3">
        <w:t>9.25</w:t>
      </w:r>
      <w:r w:rsidRPr="00A428C3">
        <w:sym w:font="Symbol" w:char="F0B4"/>
      </w:r>
      <w:r w:rsidRPr="00A428C3">
        <w:t>10</w:t>
      </w:r>
      <w:r w:rsidRPr="00A428C3">
        <w:rPr>
          <w:vertAlign w:val="superscript"/>
        </w:rPr>
        <w:t>-2</w:t>
      </w:r>
      <w:r w:rsidRPr="00A428C3">
        <w:t xml:space="preserve"> min</w:t>
      </w:r>
      <w:r w:rsidRPr="00A428C3">
        <w:rPr>
          <w:vertAlign w:val="superscript"/>
        </w:rPr>
        <w:t>-1</w:t>
      </w:r>
      <w:r w:rsidRPr="00A428C3">
        <w:t xml:space="preserve">, respectively. The adsorption capacity for dye-adsorbent system has been determined. The dye adsorption follows the Langmuir isotherm. On the basis of isotherm studies, various thermodynamic </w:t>
      </w:r>
      <w:r w:rsidRPr="00A428C3">
        <w:lastRenderedPageBreak/>
        <w:t xml:space="preserve">parameters such as </w:t>
      </w:r>
      <w:r w:rsidR="008A7E71">
        <w:sym w:font="Symbol" w:char="F044"/>
      </w:r>
      <w:r w:rsidRPr="00A428C3">
        <w:t>G</w:t>
      </w:r>
      <w:r w:rsidR="008A7E71">
        <w:t>°</w:t>
      </w:r>
      <w:r w:rsidRPr="00A428C3">
        <w:t xml:space="preserve">, </w:t>
      </w:r>
      <w:r w:rsidR="008A7E71">
        <w:sym w:font="Symbol" w:char="F044"/>
      </w:r>
      <w:r w:rsidRPr="00A428C3">
        <w:t>H</w:t>
      </w:r>
      <w:r w:rsidR="008A7E71">
        <w:t>°</w:t>
      </w:r>
      <w:r w:rsidR="00F81221">
        <w:t xml:space="preserve"> and </w:t>
      </w:r>
      <w:r w:rsidR="008A7E71">
        <w:sym w:font="Symbol" w:char="F044"/>
      </w:r>
      <w:r w:rsidRPr="00A428C3">
        <w:t>S</w:t>
      </w:r>
      <w:r w:rsidR="008A7E71">
        <w:t>°</w:t>
      </w:r>
      <w:r w:rsidRPr="00A428C3">
        <w:t xml:space="preserve"> have been calculated.</w:t>
      </w:r>
    </w:p>
    <w:p w:rsidR="00B95188" w:rsidRPr="00A428C3" w:rsidRDefault="00B95188" w:rsidP="00B95188">
      <w:pPr>
        <w:pStyle w:val="a0"/>
      </w:pPr>
      <w:r w:rsidRPr="00A428C3">
        <w:t>Keywords: Color Removal, Textile Effluents</w:t>
      </w:r>
    </w:p>
    <w:p w:rsidR="00B95188" w:rsidRPr="00A428C3" w:rsidRDefault="00B95188" w:rsidP="00B95188">
      <w:pPr>
        <w:pStyle w:val="a0"/>
      </w:pPr>
      <w:r w:rsidRPr="00A428C3">
        <w:t>Manju, G.N., Gigi, M.C.</w:t>
      </w:r>
      <w:r w:rsidR="00F81221">
        <w:t xml:space="preserve"> and </w:t>
      </w:r>
      <w:r w:rsidRPr="00A428C3">
        <w:t xml:space="preserve">Anirudhan, T.S. (1999), Hydrotalcite as adsorbent for the removal of chromium(VI) from aqueous media: Equilibrium studies. </w:t>
      </w:r>
      <w:r w:rsidRPr="00A428C3">
        <w:rPr>
          <w:i/>
        </w:rPr>
        <w:t>Indian Journal of Chemical Technology</w:t>
      </w:r>
      <w:r w:rsidRPr="00A428C3">
        <w:t xml:space="preserve">, </w:t>
      </w:r>
      <w:r w:rsidRPr="00A428C3">
        <w:rPr>
          <w:b/>
        </w:rPr>
        <w:t>6</w:t>
      </w:r>
      <w:r w:rsidRPr="00A428C3">
        <w:t xml:space="preserve"> (3), 134-141.</w:t>
      </w:r>
    </w:p>
    <w:p w:rsidR="00B95188" w:rsidRPr="00A428C3" w:rsidRDefault="00B95188" w:rsidP="00B95188">
      <w:pPr>
        <w:pStyle w:val="a0"/>
      </w:pPr>
      <w:r w:rsidRPr="00A428C3">
        <w:t>Abstract: The sorbent power of hydrotalcite compound [Mg</w:t>
      </w:r>
      <w:r w:rsidRPr="00A428C3">
        <w:rPr>
          <w:vertAlign w:val="subscript"/>
        </w:rPr>
        <w:t>3</w:t>
      </w:r>
      <w:r w:rsidRPr="00A428C3">
        <w:t>Al(OH)</w:t>
      </w:r>
      <w:r w:rsidRPr="00A428C3">
        <w:rPr>
          <w:vertAlign w:val="subscript"/>
        </w:rPr>
        <w:t>8</w:t>
      </w:r>
      <w:r w:rsidRPr="00A428C3">
        <w:t>]</w:t>
      </w:r>
      <w:r w:rsidRPr="00A428C3">
        <w:rPr>
          <w:vertAlign w:val="subscript"/>
        </w:rPr>
        <w:t>2</w:t>
      </w:r>
      <w:r w:rsidRPr="00A428C3">
        <w:t>CO</w:t>
      </w:r>
      <w:r w:rsidRPr="00A428C3">
        <w:rPr>
          <w:vertAlign w:val="subscript"/>
        </w:rPr>
        <w:t>3</w:t>
      </w:r>
      <w:r w:rsidRPr="00A428C3">
        <w:t>xH</w:t>
      </w:r>
      <w:r w:rsidRPr="00A428C3">
        <w:rPr>
          <w:vertAlign w:val="subscript"/>
        </w:rPr>
        <w:t>2</w:t>
      </w:r>
      <w:r w:rsidRPr="00A428C3">
        <w:t>O for Cr(VI) from water solution has been evaluated. The adsorption behaviour of Cr(VI) was investigated at different initial concentration of adsorbate, contact time, pH, temperature</w:t>
      </w:r>
      <w:r w:rsidR="00F81221">
        <w:t xml:space="preserve"> and </w:t>
      </w:r>
      <w:r w:rsidRPr="00A428C3">
        <w:t>adsorbent dose by batch equilibrium technique. The extent of adsorption decreased from 23.2 mg to 4.9 mg with increase in pH from 2.0 to 10.0. The adsorption of Cr(VI) proceeds predominantly by the anion-exchange mechanism. A reaction kinetic study was undertaken by considering adsorption of the Cr(VI) on the outer surface as well as diffusion within the pores of the adsorbent. The mass-transfer coefficients as a function of temperature were calculated to explain the results. The adsorption follows first-order kinetics. A Langmuir isotherm model fits the equilibrium data well. Thermodynamic parameters such as Delta G(0), Delta H-0</w:t>
      </w:r>
      <w:r w:rsidR="00F81221">
        <w:t xml:space="preserve"> and </w:t>
      </w:r>
      <w:r w:rsidRPr="00A428C3">
        <w:t xml:space="preserve">Delta S-0 were calculated to predict the nature of adsorption. Desorption studies showed that about 95.7% of Cr(VI) can be desorbed from the adsorbent at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NaOH. The efficiency of the adsorbent to remove Cr(VI) from synthetic wastewater has also been tested.</w:t>
      </w:r>
    </w:p>
    <w:p w:rsidR="00B95188" w:rsidRPr="00A428C3" w:rsidRDefault="00B95188" w:rsidP="00B95188">
      <w:pPr>
        <w:pStyle w:val="a0"/>
      </w:pPr>
      <w:r w:rsidRPr="00A428C3">
        <w:t>Keywords: Activated Carbon, Adsorption, Sawdust, Sorption, Kinetics, Charge, Clay</w:t>
      </w:r>
    </w:p>
    <w:p w:rsidR="00156F25" w:rsidRDefault="00156F25" w:rsidP="00156F25">
      <w:pPr>
        <w:pStyle w:val="a0"/>
        <w:rPr>
          <w:kern w:val="0"/>
          <w:szCs w:val="24"/>
        </w:rPr>
      </w:pPr>
      <w:r>
        <w:rPr>
          <w:rFonts w:hint="eastAsia"/>
          <w:kern w:val="0"/>
          <w:szCs w:val="24"/>
        </w:rPr>
        <w:t xml:space="preserve">? </w:t>
      </w:r>
      <w:r>
        <w:rPr>
          <w:kern w:val="0"/>
          <w:szCs w:val="24"/>
        </w:rPr>
        <w:t>Sreenivasulu, A., Sundaram, E.V.</w:t>
      </w:r>
      <w:r w:rsidR="00F81221">
        <w:rPr>
          <w:kern w:val="0"/>
          <w:szCs w:val="24"/>
        </w:rPr>
        <w:t xml:space="preserve"> and </w:t>
      </w:r>
      <w:r>
        <w:rPr>
          <w:kern w:val="0"/>
          <w:szCs w:val="24"/>
        </w:rPr>
        <w:t xml:space="preserve">Reddy, M.K. (1999), Phosphate adsorption studies using carbon prepared from stem bark of Eucalyptus teriticornis Smith. </w:t>
      </w:r>
      <w:r>
        <w:rPr>
          <w:i/>
          <w:iCs/>
          <w:kern w:val="0"/>
          <w:szCs w:val="24"/>
        </w:rPr>
        <w:t>Indian Journal of Chemical Technology</w:t>
      </w:r>
      <w:r>
        <w:rPr>
          <w:kern w:val="0"/>
          <w:szCs w:val="24"/>
        </w:rPr>
        <w:t xml:space="preserve">, </w:t>
      </w:r>
      <w:r>
        <w:rPr>
          <w:b/>
          <w:bCs/>
          <w:kern w:val="0"/>
          <w:szCs w:val="24"/>
        </w:rPr>
        <w:t>6</w:t>
      </w:r>
      <w:r>
        <w:rPr>
          <w:kern w:val="0"/>
          <w:szCs w:val="24"/>
        </w:rPr>
        <w:t xml:space="preserve"> (5), 256-262.</w:t>
      </w:r>
    </w:p>
    <w:p w:rsidR="00156F25" w:rsidRDefault="00156F25" w:rsidP="00156F25">
      <w:pPr>
        <w:pStyle w:val="a0"/>
        <w:rPr>
          <w:kern w:val="0"/>
          <w:szCs w:val="24"/>
        </w:rPr>
      </w:pPr>
      <w:r>
        <w:rPr>
          <w:kern w:val="0"/>
          <w:szCs w:val="24"/>
        </w:rPr>
        <w:t>Abstract: Removal of phosphate ions was studied using carbon prepared from stem bark of Eucalyptus teriticornis Smith (family Myrtaceae), from aqueous solution. Study was carried out in the batch technique: as a function of contact time, phosphate concentration, temperature</w:t>
      </w:r>
      <w:r w:rsidR="00F81221">
        <w:rPr>
          <w:kern w:val="0"/>
          <w:szCs w:val="24"/>
        </w:rPr>
        <w:t xml:space="preserve"> and </w:t>
      </w:r>
      <w:r>
        <w:rPr>
          <w:kern w:val="0"/>
          <w:szCs w:val="24"/>
        </w:rPr>
        <w:t>pH of the solution. Equilibrium time for studied concentrations was not same. The sorption process follows reversible first order kinetics</w:t>
      </w:r>
      <w:r w:rsidR="00F81221">
        <w:rPr>
          <w:kern w:val="0"/>
          <w:szCs w:val="24"/>
        </w:rPr>
        <w:t xml:space="preserve"> and </w:t>
      </w:r>
      <w:r>
        <w:rPr>
          <w:kern w:val="0"/>
          <w:szCs w:val="24"/>
        </w:rPr>
        <w:t>fits Langmuir sorption isotherm. The forward rate constants increased with decrease in concentration. Maximum sorption was observed at lower temperature</w:t>
      </w:r>
      <w:r w:rsidR="00F81221">
        <w:rPr>
          <w:kern w:val="0"/>
          <w:szCs w:val="24"/>
        </w:rPr>
        <w:t xml:space="preserve"> and </w:t>
      </w:r>
      <w:r>
        <w:rPr>
          <w:kern w:val="0"/>
          <w:szCs w:val="24"/>
        </w:rPr>
        <w:t>higher pH. Nature of sorption was exothermic</w:t>
      </w:r>
      <w:r w:rsidR="00F81221">
        <w:rPr>
          <w:kern w:val="0"/>
          <w:szCs w:val="24"/>
        </w:rPr>
        <w:t xml:space="preserve"> and </w:t>
      </w:r>
      <w:r>
        <w:rPr>
          <w:kern w:val="0"/>
          <w:szCs w:val="24"/>
        </w:rPr>
        <w:t>this was supported by K-d values. Desorption study</w:t>
      </w:r>
      <w:r w:rsidR="00F81221">
        <w:rPr>
          <w:kern w:val="0"/>
          <w:szCs w:val="24"/>
        </w:rPr>
        <w:t xml:space="preserve"> and </w:t>
      </w:r>
      <w:r>
        <w:rPr>
          <w:kern w:val="0"/>
          <w:szCs w:val="24"/>
        </w:rPr>
        <w:t>effect of other ions are also studied.</w:t>
      </w:r>
    </w:p>
    <w:p w:rsidR="00156F25" w:rsidRDefault="00156F25" w:rsidP="00156F25">
      <w:pPr>
        <w:pStyle w:val="a0"/>
        <w:rPr>
          <w:kern w:val="0"/>
          <w:szCs w:val="24"/>
        </w:rPr>
      </w:pPr>
      <w:r>
        <w:rPr>
          <w:kern w:val="0"/>
          <w:szCs w:val="24"/>
        </w:rPr>
        <w:t xml:space="preserve">Keywords: Adsorption, Batch, Carbon, Contact Time, Desorption, Equilibrium, First Order Kinetics, Isotherm, Kinetics, Langmuir, </w:t>
      </w:r>
      <w:r>
        <w:rPr>
          <w:rFonts w:hint="eastAsia"/>
          <w:kern w:val="0"/>
          <w:szCs w:val="24"/>
        </w:rPr>
        <w:t>p</w:t>
      </w:r>
      <w:r>
        <w:rPr>
          <w:kern w:val="0"/>
          <w:szCs w:val="24"/>
        </w:rPr>
        <w:t>H, Phosphate, Phosphorus Removal, Removal, Sorption, Temperature</w:t>
      </w:r>
    </w:p>
    <w:p w:rsidR="00B95188" w:rsidRPr="00A428C3" w:rsidRDefault="00B95188" w:rsidP="00B95188">
      <w:pPr>
        <w:pStyle w:val="a0"/>
      </w:pPr>
      <w:r w:rsidRPr="00A428C3">
        <w:t>? Thomas, R.</w:t>
      </w:r>
      <w:r w:rsidR="00F81221">
        <w:t xml:space="preserve"> and </w:t>
      </w:r>
      <w:r w:rsidRPr="00A428C3">
        <w:t>Anirudhan, T.S. (1999), Uptake of mercury(II) in batch system by stannic-titania mixed-oxide gel: Kinetics</w:t>
      </w:r>
      <w:r w:rsidR="00F81221">
        <w:t xml:space="preserve"> and </w:t>
      </w:r>
      <w:r w:rsidRPr="00A428C3">
        <w:t xml:space="preserve">thermodynamics. </w:t>
      </w:r>
      <w:r w:rsidRPr="00A428C3">
        <w:rPr>
          <w:i/>
        </w:rPr>
        <w:t>Indian Journal of Chemical Technology</w:t>
      </w:r>
      <w:r w:rsidRPr="00A428C3">
        <w:t xml:space="preserve">, </w:t>
      </w:r>
      <w:r w:rsidRPr="00A428C3">
        <w:rPr>
          <w:b/>
        </w:rPr>
        <w:t>6</w:t>
      </w:r>
      <w:r w:rsidRPr="00A428C3">
        <w:t xml:space="preserve"> (5), 268-275.</w:t>
      </w:r>
    </w:p>
    <w:p w:rsidR="00B95188" w:rsidRPr="00A428C3" w:rsidRDefault="00B95188" w:rsidP="00B95188">
      <w:pPr>
        <w:pStyle w:val="a0"/>
      </w:pPr>
      <w:r w:rsidRPr="00A428C3">
        <w:lastRenderedPageBreak/>
        <w:t>Abstract: Relatively limited information is available regarding the kinetics of sorption of metal ions from solutions onto mixed-oxide gel. For this reason, a detailed study of the kinetics of sorption of Hg(II) on stannic-titania mixed-oxide gel was conducted in a controlled batch system. The sorbent has the ability to adsorb substantial quantities of Hg(II) from aqueous solutions. The extent of removal was found to be dependent on adsorbent dose, initial concentration, pH</w:t>
      </w:r>
      <w:r w:rsidR="00F81221">
        <w:t xml:space="preserve"> and </w:t>
      </w:r>
      <w:r w:rsidRPr="00A428C3">
        <w:t>temperature. The process follows first-order reversible kinetics. The intraparticle diffusion of metal ions through pores in the adsorbent was shown to be the main rate limiting step. Adsorbent is effective for the quantitative removal of Hg(II) over the pH range 5-10. The applicability of Langmuir adsorption isotherm equation for Hg(II) removal has been tested. An examination of thermodynamic parameters shows that the adsorption of Hg(II) by adsorbent is an endothermic process</w:t>
      </w:r>
      <w:r w:rsidR="00F81221">
        <w:t xml:space="preserve"> and </w:t>
      </w:r>
      <w:r w:rsidRPr="00A428C3">
        <w:t>is spontaneous at the temperature investigated. The method was applied for synthetic wastewater. The spent gel can be regenerated</w:t>
      </w:r>
      <w:r w:rsidR="00F81221">
        <w:t xml:space="preserve"> and </w:t>
      </w:r>
      <w:r w:rsidRPr="00A428C3">
        <w:t>reused by HCl treatment.</w:t>
      </w:r>
    </w:p>
    <w:p w:rsidR="00B95188" w:rsidRPr="00A428C3" w:rsidRDefault="00B95188" w:rsidP="00B95188">
      <w:pPr>
        <w:pStyle w:val="a0"/>
      </w:pPr>
      <w:r w:rsidRPr="00A428C3">
        <w:t>Keywords: Aqueous-Solution, Ion-Exchanger, Sorption, Removal, Adsorption, Metals, Silica, Water</w:t>
      </w:r>
    </w:p>
    <w:p w:rsidR="00156F25" w:rsidRDefault="00156F25" w:rsidP="00156F25">
      <w:pPr>
        <w:pStyle w:val="a0"/>
        <w:rPr>
          <w:kern w:val="0"/>
          <w:szCs w:val="24"/>
        </w:rPr>
      </w:pPr>
      <w:r>
        <w:rPr>
          <w:rFonts w:hint="eastAsia"/>
          <w:kern w:val="0"/>
          <w:szCs w:val="24"/>
        </w:rPr>
        <w:t xml:space="preserve">? </w:t>
      </w:r>
      <w:r>
        <w:rPr>
          <w:kern w:val="0"/>
          <w:szCs w:val="24"/>
        </w:rPr>
        <w:t>Goyal, M., Rattan, V.K.</w:t>
      </w:r>
      <w:r w:rsidR="00F81221">
        <w:rPr>
          <w:kern w:val="0"/>
          <w:szCs w:val="24"/>
        </w:rPr>
        <w:t xml:space="preserve"> and </w:t>
      </w:r>
      <w:r>
        <w:rPr>
          <w:kern w:val="0"/>
          <w:szCs w:val="24"/>
        </w:rPr>
        <w:t xml:space="preserve">Bansal, R.C. (1999), Adsorption of nickel from aqueous solutions by activated carbons. </w:t>
      </w:r>
      <w:r>
        <w:rPr>
          <w:i/>
          <w:iCs/>
          <w:kern w:val="0"/>
          <w:szCs w:val="24"/>
        </w:rPr>
        <w:t>Indian Journal of Chemical Technology</w:t>
      </w:r>
      <w:r>
        <w:rPr>
          <w:kern w:val="0"/>
          <w:szCs w:val="24"/>
        </w:rPr>
        <w:t xml:space="preserve">, </w:t>
      </w:r>
      <w:r>
        <w:rPr>
          <w:b/>
          <w:bCs/>
          <w:kern w:val="0"/>
          <w:szCs w:val="24"/>
        </w:rPr>
        <w:t>6</w:t>
      </w:r>
      <w:r>
        <w:rPr>
          <w:kern w:val="0"/>
          <w:szCs w:val="24"/>
        </w:rPr>
        <w:t xml:space="preserve"> (6), 305-312.</w:t>
      </w:r>
    </w:p>
    <w:p w:rsidR="00156F25" w:rsidRDefault="00156F25" w:rsidP="00156F25">
      <w:pPr>
        <w:pStyle w:val="a0"/>
        <w:rPr>
          <w:kern w:val="0"/>
          <w:szCs w:val="24"/>
        </w:rPr>
      </w:pPr>
      <w:r>
        <w:rPr>
          <w:kern w:val="0"/>
          <w:szCs w:val="24"/>
        </w:rPr>
        <w:t>Abstract: Adsorption isotherms of Ni(II) ions from aqueous solutions of nickel nitrate in the concentration range 50-1000 mg/L on two samples of granulated</w:t>
      </w:r>
      <w:r w:rsidR="00F81221">
        <w:rPr>
          <w:kern w:val="0"/>
          <w:szCs w:val="24"/>
        </w:rPr>
        <w:t xml:space="preserve"> and </w:t>
      </w:r>
      <w:r>
        <w:rPr>
          <w:kern w:val="0"/>
          <w:szCs w:val="24"/>
        </w:rPr>
        <w:t>two samples of fibrous activated carbons associated with varying amounts of carbon-oxygen surface groups have been determined. The adsorption isotherms are Langmuir in shape showing an initial rapid adsorption tending to be constant at higher concentrations. The adsorption of Ni(II) ions increases on oxidation,</w:t>
      </w:r>
      <w:r w:rsidR="00F81221">
        <w:rPr>
          <w:kern w:val="0"/>
          <w:szCs w:val="24"/>
        </w:rPr>
        <w:t xml:space="preserve"> and </w:t>
      </w:r>
      <w:r>
        <w:rPr>
          <w:kern w:val="0"/>
          <w:szCs w:val="24"/>
        </w:rPr>
        <w:t>decreases on degassing of the carbons surface. The increase in adsorption on oxidation depends upon the nature of the oxidative treatment while the decrease on degassing depends upon the temperature of degassing. The adsorption is related directly to the amount of acidic surface oxygen groups present on the carbon surface.</w:t>
      </w:r>
    </w:p>
    <w:p w:rsidR="00156F25" w:rsidRDefault="00156F25" w:rsidP="00156F25">
      <w:pPr>
        <w:pStyle w:val="a0"/>
        <w:rPr>
          <w:kern w:val="0"/>
          <w:szCs w:val="24"/>
        </w:rPr>
      </w:pPr>
      <w:r>
        <w:rPr>
          <w:kern w:val="0"/>
          <w:szCs w:val="24"/>
        </w:rPr>
        <w:t>Keywords: Adsorption, Adsorption Isotherms, Aqueous Solutions, Behavior, Carbon, Isotherms, Langmuir, Ni(II) Ions, Nickel, Nitrate, Oxidation, Oxidative Treatment, Oxygen, Polymer Carbons, Surface Characteristics, Temperature, Treatment</w:t>
      </w:r>
    </w:p>
    <w:p w:rsidR="00B95188" w:rsidRPr="00A428C3" w:rsidRDefault="00B95188" w:rsidP="00B95188">
      <w:pPr>
        <w:pStyle w:val="a0"/>
      </w:pPr>
      <w:r w:rsidRPr="00A428C3">
        <w:t>Balaji, S., Ghosh, B., Das, M.C., Gangopadhyay, A.K., Singh, K., Lal, S., Das, A., Chatterjee, S.K.</w:t>
      </w:r>
      <w:r w:rsidR="00F81221">
        <w:t xml:space="preserve"> and </w:t>
      </w:r>
      <w:r w:rsidRPr="00A428C3">
        <w:t xml:space="preserve">Banerjee, N.N. (2000), Removal kinetics of arsenic from aqueous media on modified alumina. </w:t>
      </w:r>
      <w:r w:rsidRPr="00A428C3">
        <w:rPr>
          <w:i/>
        </w:rPr>
        <w:t>Indian Journal of Chemical Technology</w:t>
      </w:r>
      <w:r w:rsidRPr="00A428C3">
        <w:t xml:space="preserve">, </w:t>
      </w:r>
      <w:r w:rsidRPr="00A428C3">
        <w:rPr>
          <w:b/>
        </w:rPr>
        <w:t>7</w:t>
      </w:r>
      <w:r w:rsidRPr="00A428C3">
        <w:t xml:space="preserve"> (1), 30-34.</w:t>
      </w:r>
    </w:p>
    <w:p w:rsidR="00B95188" w:rsidRPr="00A428C3" w:rsidRDefault="00B95188" w:rsidP="00B95188">
      <w:pPr>
        <w:pStyle w:val="a0"/>
      </w:pPr>
      <w:r w:rsidRPr="00A428C3">
        <w:t xml:space="preserve">Abstract: This paper examines arsenic removal kinetics by applying modified alumina, so as to attain, maximum contamination level (MCL) at faster rate. Y-alumina has been widely used, as an adsorbent to polish off residual arsenic in water following </w:t>
      </w:r>
      <w:r w:rsidRPr="00A428C3">
        <w:lastRenderedPageBreak/>
        <w:t>coagulant (Fe</w:t>
      </w:r>
      <w:r w:rsidRPr="00A428C3">
        <w:rPr>
          <w:vertAlign w:val="superscript"/>
        </w:rPr>
        <w:t>3+</w:t>
      </w:r>
      <w:r w:rsidRPr="00A428C3">
        <w:t>) treatment. Ferric system mounted over porous Y-alumina shows better efficiency. Adsorption isotherm of the adsorbents, Y-alumina</w:t>
      </w:r>
      <w:r w:rsidR="00F81221">
        <w:t xml:space="preserve"> and </w:t>
      </w:r>
      <w:r w:rsidRPr="00A428C3">
        <w:t>its modified version indicate that adsorption obeys Freundlich equation. The intensity factor, n of the modified alumina being closer to unity than alumina alone, the rate of adsorption becomes distinctly faster. The adsorption capacity, k</w:t>
      </w:r>
      <w:r w:rsidRPr="00A428C3">
        <w:rPr>
          <w:vertAlign w:val="subscript"/>
        </w:rPr>
        <w:t>f</w:t>
      </w:r>
      <w:r w:rsidRPr="00A428C3">
        <w:t xml:space="preserve"> which is a measure of heat of adsorption, remains more or less the same, indicating marginal difference only. The superiority of this protocol is established further, as, there shall be no arsenic bearing sludge with its attending disposal problem.</w:t>
      </w:r>
    </w:p>
    <w:p w:rsidR="00B95188" w:rsidRPr="00A428C3" w:rsidRDefault="00B95188" w:rsidP="00B95188">
      <w:pPr>
        <w:pStyle w:val="a0"/>
      </w:pPr>
      <w:r w:rsidRPr="00A428C3">
        <w:t>Keywords: Groundwater</w:t>
      </w:r>
    </w:p>
    <w:p w:rsidR="00B95188" w:rsidRPr="00A428C3" w:rsidRDefault="00B95188" w:rsidP="00B95188">
      <w:pPr>
        <w:pStyle w:val="a0"/>
      </w:pPr>
      <w:r w:rsidRPr="00A428C3">
        <w:t>Rengaraj, S., Sivabalan, R., Arabindoo, B.</w:t>
      </w:r>
      <w:r w:rsidR="00F81221">
        <w:t xml:space="preserve"> and </w:t>
      </w:r>
      <w:r w:rsidRPr="00A428C3">
        <w:t xml:space="preserve">Murugesan, V. (2000), Adsorption kinetics of </w:t>
      </w:r>
      <w:r w:rsidRPr="00A428C3">
        <w:rPr>
          <w:i/>
          <w:iCs/>
        </w:rPr>
        <w:t>o</w:t>
      </w:r>
      <w:r w:rsidRPr="00A428C3">
        <w:t xml:space="preserve">-cresol on activated carbon from palm seed coat. </w:t>
      </w:r>
      <w:r w:rsidRPr="00A428C3">
        <w:rPr>
          <w:i/>
        </w:rPr>
        <w:t>Indian Journal of Chemical Technology</w:t>
      </w:r>
      <w:r w:rsidRPr="00A428C3">
        <w:t xml:space="preserve">, </w:t>
      </w:r>
      <w:r w:rsidRPr="00A428C3">
        <w:rPr>
          <w:b/>
        </w:rPr>
        <w:t>7</w:t>
      </w:r>
      <w:r w:rsidRPr="00A428C3">
        <w:t xml:space="preserve"> (3), 127-131.</w:t>
      </w:r>
    </w:p>
    <w:p w:rsidR="00B95188" w:rsidRPr="00A428C3" w:rsidRDefault="00B95188" w:rsidP="00B95188">
      <w:pPr>
        <w:pStyle w:val="a0"/>
      </w:pPr>
      <w:r w:rsidRPr="00A428C3">
        <w:t>Abstract: The activated carbon prepared from palm seed coat by dolomite process showed more than 95% removal of o-cresol from aqueous solution under optimum conditions. The adsorption capacity calculated by Freundlich adsorption isotherm gave 19.58 mg/g of o-cresol removal. The kinetic studies revealed the overall rate constant decrease with increasing concentration of o-cresol. The activated carbon showed reversible uptake of o-cresol</w:t>
      </w:r>
      <w:r w:rsidR="00F81221">
        <w:t xml:space="preserve"> and </w:t>
      </w:r>
      <w:r w:rsidRPr="00A428C3">
        <w:t>thus have a good application potential for the removal/recovery of o-cresol from aqueous solution. Film diffusion was found to be the rate limiting step. Recovery of used carbon was studied by in situ chemical regeneration technique</w:t>
      </w:r>
      <w:r w:rsidR="00F81221">
        <w:t xml:space="preserve"> and </w:t>
      </w:r>
      <w:r w:rsidRPr="00A428C3">
        <w:t>showed good result.</w:t>
      </w:r>
    </w:p>
    <w:p w:rsidR="00B95188" w:rsidRPr="00A428C3" w:rsidRDefault="00B95188" w:rsidP="00B95188">
      <w:pPr>
        <w:pStyle w:val="a0"/>
      </w:pPr>
      <w:r w:rsidRPr="00A428C3">
        <w:t>Keywords: Removal</w:t>
      </w:r>
    </w:p>
    <w:p w:rsidR="00156F25" w:rsidRDefault="00156F25" w:rsidP="00156F25">
      <w:pPr>
        <w:pStyle w:val="a0"/>
        <w:rPr>
          <w:kern w:val="0"/>
          <w:szCs w:val="24"/>
        </w:rPr>
      </w:pPr>
      <w:r>
        <w:rPr>
          <w:rFonts w:hint="eastAsia"/>
          <w:kern w:val="0"/>
          <w:szCs w:val="24"/>
        </w:rPr>
        <w:t xml:space="preserve">? </w:t>
      </w:r>
      <w:r>
        <w:rPr>
          <w:kern w:val="0"/>
          <w:szCs w:val="24"/>
        </w:rPr>
        <w:t>Sridhari, T.R.</w:t>
      </w:r>
      <w:r w:rsidR="00F81221">
        <w:rPr>
          <w:kern w:val="0"/>
          <w:szCs w:val="24"/>
        </w:rPr>
        <w:t xml:space="preserve"> and </w:t>
      </w:r>
      <w:r>
        <w:rPr>
          <w:kern w:val="0"/>
          <w:szCs w:val="24"/>
        </w:rPr>
        <w:t>Dutta, P.K. (2000), Synthesis</w:t>
      </w:r>
      <w:r w:rsidR="00F81221">
        <w:rPr>
          <w:kern w:val="0"/>
          <w:szCs w:val="24"/>
        </w:rPr>
        <w:t xml:space="preserve"> and </w:t>
      </w:r>
      <w:r>
        <w:rPr>
          <w:kern w:val="0"/>
          <w:szCs w:val="24"/>
        </w:rPr>
        <w:t xml:space="preserve">characterization of maleilated chitosan for dye house effluent. </w:t>
      </w:r>
      <w:r>
        <w:rPr>
          <w:i/>
          <w:iCs/>
          <w:kern w:val="0"/>
          <w:szCs w:val="24"/>
        </w:rPr>
        <w:t>Indian Journal of Chemical Technology</w:t>
      </w:r>
      <w:r>
        <w:rPr>
          <w:kern w:val="0"/>
          <w:szCs w:val="24"/>
        </w:rPr>
        <w:t xml:space="preserve">, </w:t>
      </w:r>
      <w:r>
        <w:rPr>
          <w:b/>
          <w:bCs/>
          <w:kern w:val="0"/>
          <w:szCs w:val="24"/>
        </w:rPr>
        <w:t>7</w:t>
      </w:r>
      <w:r>
        <w:rPr>
          <w:kern w:val="0"/>
          <w:szCs w:val="24"/>
        </w:rPr>
        <w:t xml:space="preserve"> (4), 198-201.</w:t>
      </w:r>
    </w:p>
    <w:p w:rsidR="00156F25" w:rsidRDefault="00156F25" w:rsidP="00156F25">
      <w:pPr>
        <w:pStyle w:val="a0"/>
        <w:rPr>
          <w:kern w:val="0"/>
          <w:szCs w:val="24"/>
        </w:rPr>
      </w:pPr>
      <w:r>
        <w:rPr>
          <w:kern w:val="0"/>
          <w:szCs w:val="24"/>
        </w:rPr>
        <w:t>Abstract: Efficient procedure for the preparation of maleilated chitosan derivative has been established on the basis of the chemical modifications. Selective</w:t>
      </w:r>
      <w:r w:rsidR="00F81221">
        <w:rPr>
          <w:kern w:val="0"/>
          <w:szCs w:val="24"/>
        </w:rPr>
        <w:t xml:space="preserve"> and </w:t>
      </w:r>
      <w:r>
        <w:rPr>
          <w:kern w:val="0"/>
          <w:szCs w:val="24"/>
        </w:rPr>
        <w:t>quantitative maleilation of chitosan proceeds smoothly by the reaction of chitosan with maleic anhydride in dimethyl acetamide at 120 degrees C for 4 h</w:t>
      </w:r>
      <w:r w:rsidR="00F81221">
        <w:rPr>
          <w:kern w:val="0"/>
          <w:szCs w:val="24"/>
        </w:rPr>
        <w:t xml:space="preserve"> and </w:t>
      </w:r>
      <w:r>
        <w:rPr>
          <w:kern w:val="0"/>
          <w:szCs w:val="24"/>
        </w:rPr>
        <w:t>resulted in the formation of amide product. Thereafter imidization by curing was done. The structure of the derivative is well confirmed by titration of carboxylic groups, elemental analysis</w:t>
      </w:r>
      <w:r w:rsidR="00F81221">
        <w:rPr>
          <w:kern w:val="0"/>
          <w:szCs w:val="24"/>
        </w:rPr>
        <w:t xml:space="preserve"> and </w:t>
      </w:r>
      <w:r>
        <w:rPr>
          <w:kern w:val="0"/>
          <w:szCs w:val="24"/>
        </w:rPr>
        <w:t>IR spectroscopy. The resulting maleilated chitosan exhibits much improved swelling in water. It is expected that multifunctional polar group in chitosan should have good dye adsorption capacity than pure chitosan.</w:t>
      </w:r>
    </w:p>
    <w:p w:rsidR="00156F25" w:rsidRDefault="00156F25" w:rsidP="00156F25">
      <w:pPr>
        <w:pStyle w:val="a0"/>
        <w:rPr>
          <w:kern w:val="0"/>
          <w:szCs w:val="24"/>
        </w:rPr>
      </w:pPr>
      <w:r>
        <w:rPr>
          <w:kern w:val="0"/>
          <w:szCs w:val="24"/>
        </w:rPr>
        <w:t>Keywords: Adsorption, Adsorption Capacity, Analysis, Capacity, Characterization, Chitosan, Dye, Titration, Water</w:t>
      </w:r>
    </w:p>
    <w:p w:rsidR="00156F25" w:rsidRDefault="00156F25" w:rsidP="00156F25">
      <w:pPr>
        <w:pStyle w:val="a0"/>
        <w:rPr>
          <w:kern w:val="0"/>
          <w:szCs w:val="24"/>
        </w:rPr>
      </w:pPr>
      <w:r>
        <w:rPr>
          <w:rFonts w:hint="eastAsia"/>
          <w:kern w:val="0"/>
          <w:szCs w:val="24"/>
        </w:rPr>
        <w:t xml:space="preserve">? </w:t>
      </w:r>
      <w:r>
        <w:rPr>
          <w:kern w:val="0"/>
          <w:szCs w:val="24"/>
        </w:rPr>
        <w:t>Mohammad, A.</w:t>
      </w:r>
      <w:r w:rsidR="00F81221">
        <w:rPr>
          <w:kern w:val="0"/>
          <w:szCs w:val="24"/>
        </w:rPr>
        <w:t xml:space="preserve"> and </w:t>
      </w:r>
      <w:r>
        <w:rPr>
          <w:kern w:val="0"/>
          <w:szCs w:val="24"/>
        </w:rPr>
        <w:t>Iraqi, E. (2000), Sorption behaviour of certain metal ions in normal-phase</w:t>
      </w:r>
      <w:r w:rsidR="00F81221">
        <w:rPr>
          <w:kern w:val="0"/>
          <w:szCs w:val="24"/>
        </w:rPr>
        <w:t xml:space="preserve"> and </w:t>
      </w:r>
      <w:r>
        <w:rPr>
          <w:kern w:val="0"/>
          <w:szCs w:val="24"/>
        </w:rPr>
        <w:t xml:space="preserve">reversed-phase TLC using layers of silica-zirconium tungstophosphate gels. </w:t>
      </w:r>
      <w:r>
        <w:rPr>
          <w:i/>
          <w:iCs/>
          <w:kern w:val="0"/>
          <w:szCs w:val="24"/>
        </w:rPr>
        <w:t>Indian Journal of Chemical Technology</w:t>
      </w:r>
      <w:r>
        <w:rPr>
          <w:kern w:val="0"/>
          <w:szCs w:val="24"/>
        </w:rPr>
        <w:t xml:space="preserve">, </w:t>
      </w:r>
      <w:r>
        <w:rPr>
          <w:b/>
          <w:bCs/>
          <w:kern w:val="0"/>
          <w:szCs w:val="24"/>
        </w:rPr>
        <w:t>7</w:t>
      </w:r>
      <w:r>
        <w:rPr>
          <w:kern w:val="0"/>
          <w:szCs w:val="24"/>
        </w:rPr>
        <w:t xml:space="preserve"> (5), 223-226.</w:t>
      </w:r>
    </w:p>
    <w:p w:rsidR="00156F25" w:rsidRDefault="00156F25" w:rsidP="00156F25">
      <w:pPr>
        <w:pStyle w:val="a0"/>
        <w:rPr>
          <w:kern w:val="0"/>
          <w:szCs w:val="24"/>
        </w:rPr>
      </w:pPr>
      <w:r>
        <w:rPr>
          <w:kern w:val="0"/>
          <w:szCs w:val="24"/>
        </w:rPr>
        <w:lastRenderedPageBreak/>
        <w:t>Abstract: Normal-phase</w:t>
      </w:r>
      <w:r w:rsidR="00F81221">
        <w:rPr>
          <w:kern w:val="0"/>
          <w:szCs w:val="24"/>
        </w:rPr>
        <w:t xml:space="preserve"> and </w:t>
      </w:r>
      <w:r>
        <w:rPr>
          <w:kern w:val="0"/>
          <w:szCs w:val="24"/>
        </w:rPr>
        <w:t>reversed-phase thin layer chromatographic techniques using mixed layers consisting of silica</w:t>
      </w:r>
      <w:r w:rsidR="00F81221">
        <w:rPr>
          <w:kern w:val="0"/>
          <w:szCs w:val="24"/>
        </w:rPr>
        <w:t xml:space="preserve"> and </w:t>
      </w:r>
      <w:r>
        <w:rPr>
          <w:kern w:val="0"/>
          <w:szCs w:val="24"/>
        </w:rPr>
        <w:t>zirconium tungstophosphate gels have been utilized to examine the sorption behaviour of some metal ions. Tri-n-butyl phosphate at concentration levels 0.1-2 M has been used to impregnate the layer material. Acidic solvent system containing formic acid were used as mobile phase. Several metal ions from their two-component mixtures have been clearly separated.</w:t>
      </w:r>
    </w:p>
    <w:p w:rsidR="00156F25" w:rsidRDefault="00156F25" w:rsidP="00156F25">
      <w:pPr>
        <w:pStyle w:val="a0"/>
        <w:rPr>
          <w:kern w:val="0"/>
          <w:szCs w:val="24"/>
        </w:rPr>
      </w:pPr>
      <w:r>
        <w:rPr>
          <w:kern w:val="0"/>
          <w:szCs w:val="24"/>
        </w:rPr>
        <w:t>Keywords: Formic Acid, Metal Ions, Silica, Sorption, System, TLC</w:t>
      </w:r>
    </w:p>
    <w:p w:rsidR="00156F25" w:rsidRDefault="00156F25" w:rsidP="00156F25">
      <w:pPr>
        <w:pStyle w:val="a0"/>
        <w:rPr>
          <w:kern w:val="0"/>
          <w:szCs w:val="24"/>
        </w:rPr>
      </w:pPr>
      <w:r>
        <w:rPr>
          <w:rFonts w:hint="eastAsia"/>
          <w:kern w:val="0"/>
          <w:szCs w:val="24"/>
        </w:rPr>
        <w:t xml:space="preserve">? </w:t>
      </w:r>
      <w:r>
        <w:rPr>
          <w:kern w:val="0"/>
          <w:szCs w:val="24"/>
        </w:rPr>
        <w:t>Alam, T., Gairola, P., Tarannum, H., Kamaluddin</w:t>
      </w:r>
      <w:r w:rsidR="00F81221">
        <w:rPr>
          <w:kern w:val="0"/>
          <w:szCs w:val="24"/>
        </w:rPr>
        <w:t xml:space="preserve"> and </w:t>
      </w:r>
      <w:r>
        <w:rPr>
          <w:kern w:val="0"/>
          <w:szCs w:val="24"/>
        </w:rPr>
        <w:t xml:space="preserve">Kumar, M.N.V.R. (2000), Conversion of anilines to their oligomers by copper hexacyanoferrate(II). </w:t>
      </w:r>
      <w:r>
        <w:rPr>
          <w:i/>
          <w:iCs/>
          <w:kern w:val="0"/>
          <w:szCs w:val="24"/>
        </w:rPr>
        <w:t>Indian Journal of Chemical Technology</w:t>
      </w:r>
      <w:r>
        <w:rPr>
          <w:kern w:val="0"/>
          <w:szCs w:val="24"/>
        </w:rPr>
        <w:t xml:space="preserve">, </w:t>
      </w:r>
      <w:r>
        <w:rPr>
          <w:b/>
          <w:bCs/>
          <w:kern w:val="0"/>
          <w:szCs w:val="24"/>
        </w:rPr>
        <w:t>7</w:t>
      </w:r>
      <w:r>
        <w:rPr>
          <w:kern w:val="0"/>
          <w:szCs w:val="24"/>
        </w:rPr>
        <w:t xml:space="preserve"> (5), 230-235.</w:t>
      </w:r>
    </w:p>
    <w:p w:rsidR="00156F25" w:rsidRDefault="00156F25" w:rsidP="00156F25">
      <w:pPr>
        <w:pStyle w:val="a0"/>
        <w:rPr>
          <w:kern w:val="0"/>
          <w:szCs w:val="24"/>
        </w:rPr>
      </w:pPr>
      <w:r>
        <w:rPr>
          <w:kern w:val="0"/>
          <w:szCs w:val="24"/>
        </w:rPr>
        <w:t>Abstract: Aniline, p-toluidine</w:t>
      </w:r>
      <w:r w:rsidR="00F81221">
        <w:rPr>
          <w:kern w:val="0"/>
          <w:szCs w:val="24"/>
        </w:rPr>
        <w:t xml:space="preserve"> and </w:t>
      </w:r>
      <w:r>
        <w:rPr>
          <w:kern w:val="0"/>
          <w:szCs w:val="24"/>
        </w:rPr>
        <w:t>p-chloroaniline have been oxidized by copper hexacyanoferrate(II). The reaction was appreciable in basic medium. The resultant oxidation products deposited on copper hexacyanoferrate (II) surface are reddish brown in colour. The oxidation products have been characterized by CC-MS</w:t>
      </w:r>
      <w:r w:rsidR="00F81221">
        <w:rPr>
          <w:kern w:val="0"/>
          <w:szCs w:val="24"/>
        </w:rPr>
        <w:t xml:space="preserve"> and </w:t>
      </w:r>
      <w:r>
        <w:rPr>
          <w:kern w:val="0"/>
          <w:szCs w:val="24"/>
        </w:rPr>
        <w:t>IR spectroscopy. From the spectral studies, the oxidation product of aniline has been identified as tetramer, while that of p-toluidine</w:t>
      </w:r>
      <w:r w:rsidR="00F81221">
        <w:rPr>
          <w:kern w:val="0"/>
          <w:szCs w:val="24"/>
        </w:rPr>
        <w:t xml:space="preserve"> and </w:t>
      </w:r>
      <w:r>
        <w:rPr>
          <w:kern w:val="0"/>
          <w:szCs w:val="24"/>
        </w:rPr>
        <w:t>p-chloroaniline are trimer</w:t>
      </w:r>
      <w:r w:rsidR="00F81221">
        <w:rPr>
          <w:kern w:val="0"/>
          <w:szCs w:val="24"/>
        </w:rPr>
        <w:t xml:space="preserve"> and </w:t>
      </w:r>
      <w:r>
        <w:rPr>
          <w:kern w:val="0"/>
          <w:szCs w:val="24"/>
        </w:rPr>
        <w:t>dimer, respectively.</w:t>
      </w:r>
    </w:p>
    <w:p w:rsidR="00156F25" w:rsidRDefault="00156F25" w:rsidP="00156F25">
      <w:pPr>
        <w:pStyle w:val="a0"/>
        <w:rPr>
          <w:kern w:val="0"/>
          <w:szCs w:val="24"/>
        </w:rPr>
      </w:pPr>
      <w:r>
        <w:rPr>
          <w:kern w:val="0"/>
          <w:szCs w:val="24"/>
        </w:rPr>
        <w:t>Keywords: Adsorption, Aniline, Benzidine, Copper, Montmorillonite, Oxidation</w:t>
      </w:r>
    </w:p>
    <w:p w:rsidR="00B95188" w:rsidRPr="00A428C3" w:rsidRDefault="00B95188" w:rsidP="00B95188">
      <w:pPr>
        <w:pStyle w:val="a0"/>
      </w:pPr>
      <w:r w:rsidRPr="00A428C3">
        <w:t>Das, C., Sudersanan, M.</w:t>
      </w:r>
      <w:r w:rsidR="00F81221">
        <w:t xml:space="preserve"> and </w:t>
      </w:r>
      <w:r w:rsidRPr="00A428C3">
        <w:t>Totlani, M.K. (2000), Corrosion inhibition of picolinic acid</w:t>
      </w:r>
      <w:r w:rsidR="00F81221">
        <w:t xml:space="preserve"> and </w:t>
      </w:r>
      <w:r w:rsidRPr="00A428C3">
        <w:t xml:space="preserve">ascorbic acid mixture by 5-hexyn-1-ol. </w:t>
      </w:r>
      <w:r w:rsidRPr="00A428C3">
        <w:rPr>
          <w:i/>
        </w:rPr>
        <w:t>Indian Journal of Chemical Technology</w:t>
      </w:r>
      <w:r w:rsidRPr="00A428C3">
        <w:t xml:space="preserve">, </w:t>
      </w:r>
      <w:r w:rsidRPr="00A428C3">
        <w:rPr>
          <w:b/>
        </w:rPr>
        <w:t>7</w:t>
      </w:r>
      <w:r w:rsidRPr="00A428C3">
        <w:t xml:space="preserve"> (6), 292-299.</w:t>
      </w:r>
    </w:p>
    <w:p w:rsidR="00B95188" w:rsidRPr="00A428C3" w:rsidRDefault="00B95188" w:rsidP="00B95188">
      <w:pPr>
        <w:pStyle w:val="a0"/>
      </w:pPr>
      <w:r w:rsidRPr="00A428C3">
        <w:t>Abstract: Inhibition of carbon steel corrosion in a deaerated solution containing a mixture of picolinic acid (3.5×10</w:t>
      </w:r>
      <w:smartTag w:uri="urn:schemas-microsoft-com:office:smarttags" w:element="chmetcnv">
        <w:smartTagPr>
          <w:attr w:name="TCSC" w:val="0"/>
          <w:attr w:name="NumberType" w:val="1"/>
          <w:attr w:name="Negative" w:val="True"/>
          <w:attr w:name="HasSpace" w:val="True"/>
          <w:attr w:name="SourceValue" w:val="2"/>
          <w:attr w:name="UnitName" w:val="m"/>
        </w:smartTagPr>
        <w:r w:rsidRPr="00A428C3">
          <w:rPr>
            <w:vertAlign w:val="superscript"/>
          </w:rPr>
          <w:t>-2</w:t>
        </w:r>
        <w:r w:rsidRPr="00A428C3">
          <w:t xml:space="preserve"> M</w:t>
        </w:r>
      </w:smartTag>
      <w:r w:rsidRPr="00A428C3">
        <w:t>)</w:t>
      </w:r>
      <w:r w:rsidR="00F81221">
        <w:t xml:space="preserve"> and </w:t>
      </w:r>
      <w:r w:rsidRPr="00A428C3">
        <w:t>ascorbic acid (1.0×10</w:t>
      </w:r>
      <w:smartTag w:uri="urn:schemas-microsoft-com:office:smarttags" w:element="chmetcnv">
        <w:smartTagPr>
          <w:attr w:name="TCSC" w:val="0"/>
          <w:attr w:name="NumberType" w:val="1"/>
          <w:attr w:name="Negative" w:val="True"/>
          <w:attr w:name="HasSpace" w:val="True"/>
          <w:attr w:name="SourceValue" w:val="2"/>
          <w:attr w:name="UnitName" w:val="m"/>
        </w:smartTagPr>
        <w:r w:rsidRPr="00A428C3">
          <w:rPr>
            <w:vertAlign w:val="superscript"/>
          </w:rPr>
          <w:t>-2</w:t>
        </w:r>
        <w:r w:rsidRPr="00A428C3">
          <w:t xml:space="preserve"> M</w:t>
        </w:r>
      </w:smartTag>
      <w:r w:rsidRPr="00A428C3">
        <w:t>), effective for magnetite film removal, by 5-hexyn-1-ol has been studied between 30 to 70</w:t>
      </w:r>
      <w:r w:rsidR="008A7E71">
        <w:t>°</w:t>
      </w:r>
      <w:r w:rsidRPr="00A428C3">
        <w:t>C by weight loss</w:t>
      </w:r>
      <w:r w:rsidR="00F81221">
        <w:t xml:space="preserve"> and </w:t>
      </w:r>
      <w:r w:rsidRPr="00A428C3">
        <w:t>electrochemical impedance techniques. The effect of inhibitor concentration</w:t>
      </w:r>
      <w:r w:rsidR="00F81221">
        <w:t xml:space="preserve"> and </w:t>
      </w:r>
      <w:r w:rsidRPr="00A428C3">
        <w:t>the reaction temperature on the performance of inhibitor has been evaluated. Activation energy for carbon steel corrosion decreased upon the addition of 5-hexyn-1-ol suggesting that the mode of operation is by chemisorption of the inhibitor on the metal surface. The inhibitor efficiency increased with temperature confirming to the chemical nature of adsorption process. The thermodynamic parameters such as free energy, heat</w:t>
      </w:r>
      <w:r w:rsidR="00F81221">
        <w:t xml:space="preserve"> and </w:t>
      </w:r>
      <w:r w:rsidRPr="00A428C3">
        <w:t>entropy of adsorption of the inhibitor on carbon steel surface have been determined. 5-hexyn-1-ol has been shown to follow Bockris-Swinkels isotherm leading to the replacement of four water molecules per inhibitor molecule adsorbed. Impedance measurements showed that the addition of inhibitor affects the charge transfer process on exposure for longer duration. While the charge transfer resistance increased in presence of 5-hexyn-1-ol, the double layer capacity showed reverse trend.</w:t>
      </w:r>
    </w:p>
    <w:p w:rsidR="00B95188" w:rsidRPr="00A428C3" w:rsidRDefault="00B95188" w:rsidP="00B95188">
      <w:pPr>
        <w:pStyle w:val="a0"/>
      </w:pPr>
      <w:r w:rsidRPr="00A428C3">
        <w:t>Keywords: Mild-Steel, Acetylenic Alcohols, Iron, Adsorption</w:t>
      </w:r>
    </w:p>
    <w:p w:rsidR="00B95188" w:rsidRPr="00A428C3" w:rsidRDefault="00B95188" w:rsidP="00B95188">
      <w:pPr>
        <w:pStyle w:val="a0"/>
      </w:pPr>
      <w:r w:rsidRPr="00A428C3">
        <w:t>Singh, D.K.</w:t>
      </w:r>
      <w:r w:rsidR="00F81221">
        <w:t xml:space="preserve"> and </w:t>
      </w:r>
      <w:r w:rsidRPr="00A428C3">
        <w:t xml:space="preserve">Srivastava, B. (2001), Basic dyes removal from wastewater by </w:t>
      </w:r>
      <w:r w:rsidRPr="00A428C3">
        <w:lastRenderedPageBreak/>
        <w:t xml:space="preserve">adsorption on rice husk carbon. </w:t>
      </w:r>
      <w:r w:rsidRPr="00A428C3">
        <w:rPr>
          <w:i/>
          <w:iCs/>
        </w:rPr>
        <w:t>Indian Journal of Chemical Technology</w:t>
      </w:r>
      <w:r w:rsidRPr="00A428C3">
        <w:t xml:space="preserve">, </w:t>
      </w:r>
      <w:r w:rsidRPr="00A428C3">
        <w:rPr>
          <w:b/>
        </w:rPr>
        <w:t>8</w:t>
      </w:r>
      <w:r w:rsidRPr="00A428C3">
        <w:t xml:space="preserve"> (2), 133-139.</w:t>
      </w:r>
    </w:p>
    <w:p w:rsidR="00B95188" w:rsidRPr="00A428C3" w:rsidRDefault="00B95188" w:rsidP="00B95188">
      <w:pPr>
        <w:pStyle w:val="a0"/>
      </w:pPr>
      <w:r w:rsidRPr="00A428C3">
        <w:t>Abstract: Rice husk carbon (RHC) has been prepared from rice husk impregnated with 50% H</w:t>
      </w:r>
      <w:r w:rsidRPr="00A428C3">
        <w:rPr>
          <w:vertAlign w:val="subscript"/>
        </w:rPr>
        <w:t>3</w:t>
      </w:r>
      <w:r w:rsidRPr="00A428C3">
        <w:t>PO</w:t>
      </w:r>
      <w:r w:rsidRPr="00A428C3">
        <w:rPr>
          <w:vertAlign w:val="subscript"/>
        </w:rPr>
        <w:t>4</w:t>
      </w:r>
      <w:r w:rsidR="00F81221">
        <w:t xml:space="preserve"> and </w:t>
      </w:r>
      <w:r w:rsidRPr="00A428C3">
        <w:t>carbonised at 300</w:t>
      </w:r>
      <w:r w:rsidR="008A7E71">
        <w:t>°</w:t>
      </w:r>
      <w:r w:rsidRPr="00A428C3">
        <w:t>C. Its adsorption capacity has been tested for the decolourization of wastewater containing safranine</w:t>
      </w:r>
      <w:r w:rsidR="00F81221">
        <w:t xml:space="preserve"> and </w:t>
      </w:r>
      <w:r w:rsidRPr="00A428C3">
        <w:t>Methylene Blue. The effect of system variables such as concentration, temperature, pH, contact time, adsorbent dosage</w:t>
      </w:r>
      <w:r w:rsidR="00F81221">
        <w:t xml:space="preserve"> and </w:t>
      </w:r>
      <w:r w:rsidRPr="00A428C3">
        <w:t>particle size are investigated. Removal of dye has been found to increase with increase in dye concentration</w:t>
      </w:r>
      <w:r w:rsidR="00F81221">
        <w:t xml:space="preserve"> and </w:t>
      </w:r>
      <w:r w:rsidRPr="00A428C3">
        <w:t>pH of the solution. Kinetics of removal has been found to follow the first order rate expression. The adsorption isotherm data fitted both Freundlich</w:t>
      </w:r>
      <w:r w:rsidR="00F81221">
        <w:t xml:space="preserve"> and </w:t>
      </w:r>
      <w:r w:rsidRPr="00A428C3">
        <w:t>Langmuir adsorption isotherms. Thermodynamic studies show the adsorption to be an exothermic</w:t>
      </w:r>
      <w:r w:rsidR="00F81221">
        <w:t xml:space="preserve"> and </w:t>
      </w:r>
      <w:r w:rsidRPr="00A428C3">
        <w:t>spontaneous.</w:t>
      </w:r>
    </w:p>
    <w:p w:rsidR="00B95188" w:rsidRPr="00A428C3" w:rsidRDefault="00B95188" w:rsidP="00B95188">
      <w:pPr>
        <w:pStyle w:val="a0"/>
      </w:pPr>
      <w:r w:rsidRPr="00A428C3">
        <w:t>Keywords: Fly-Ash, Color</w:t>
      </w:r>
    </w:p>
    <w:p w:rsidR="00B95188" w:rsidRPr="00A428C3" w:rsidRDefault="00B95188" w:rsidP="00B95188">
      <w:pPr>
        <w:pStyle w:val="a0"/>
      </w:pPr>
      <w:r w:rsidRPr="00A428C3">
        <w:t xml:space="preserve">? Sharma, Y.C. (2001), Adsorption of Cr(VI) onto wollastonite: Effect of pH. </w:t>
      </w:r>
      <w:r w:rsidRPr="00A428C3">
        <w:rPr>
          <w:i/>
          <w:iCs/>
        </w:rPr>
        <w:t>Indian Journal of Chemical Technology</w:t>
      </w:r>
      <w:r w:rsidRPr="00A428C3">
        <w:t xml:space="preserve">, </w:t>
      </w:r>
      <w:r w:rsidRPr="00A428C3">
        <w:rPr>
          <w:b/>
        </w:rPr>
        <w:t>8</w:t>
      </w:r>
      <w:r w:rsidRPr="00A428C3">
        <w:t xml:space="preserve"> (3), 186-190.</w:t>
      </w:r>
    </w:p>
    <w:p w:rsidR="00B95188" w:rsidRPr="00A428C3" w:rsidRDefault="00B95188" w:rsidP="00B95188">
      <w:pPr>
        <w:pStyle w:val="a0"/>
      </w:pPr>
      <w:r w:rsidRPr="00A428C3">
        <w:t>Abstract: Wollastonite, a clay mineral has been investigated for the adsorption of Cr(VI). Adsorption of chromium was studied as a function of pH</w:t>
      </w:r>
      <w:r w:rsidR="00F81221">
        <w:t xml:space="preserve"> and </w:t>
      </w:r>
      <w:r w:rsidRPr="00A428C3">
        <w:t>2.0,5.0,6.0</w:t>
      </w:r>
      <w:r w:rsidR="00F81221">
        <w:t xml:space="preserve"> and </w:t>
      </w:r>
      <w:r w:rsidRPr="00A428C3">
        <w:t>8.0 pH were selected for studies. Maximum adsorption was found (74.4%) at pH 2.0, temperature 30</w:t>
      </w:r>
      <w:r w:rsidR="008A7E71">
        <w:t>°</w:t>
      </w:r>
      <w:r w:rsidRPr="00A428C3">
        <w:t>C, 0.5</w:t>
      </w:r>
      <w:r w:rsidRPr="00A428C3">
        <w:sym w:font="Symbol" w:char="F0B4"/>
      </w:r>
      <w:r w:rsidRPr="00A428C3">
        <w:t>10</w:t>
      </w:r>
      <w:smartTag w:uri="urn:schemas-microsoft-com:office:smarttags" w:element="chmetcnv">
        <w:smartTagPr>
          <w:attr w:name="TCSC" w:val="0"/>
          <w:attr w:name="NumberType" w:val="1"/>
          <w:attr w:name="Negative" w:val="True"/>
          <w:attr w:name="HasSpace" w:val="False"/>
          <w:attr w:name="SourceValue" w:val="4"/>
          <w:attr w:name="UnitName" w:val="m"/>
        </w:smartTagPr>
        <w:r w:rsidRPr="00A428C3">
          <w:rPr>
            <w:vertAlign w:val="superscript"/>
          </w:rPr>
          <w:t>-4</w:t>
        </w:r>
        <w:r w:rsidRPr="00A428C3">
          <w:t>M</w:t>
        </w:r>
      </w:smartTag>
      <w:r w:rsidRPr="00A428C3">
        <w:t xml:space="preserve"> Cr(VI) concentration, </w:t>
      </w:r>
      <w:smartTag w:uri="urn:schemas-microsoft-com:office:smarttags" w:element="chmetcnv">
        <w:smartTagPr>
          <w:attr w:name="TCSC" w:val="0"/>
          <w:attr w:name="NumberType" w:val="1"/>
          <w:attr w:name="Negative" w:val="False"/>
          <w:attr w:name="HasSpace" w:val="True"/>
          <w:attr w:name="SourceValue" w:val="0.01"/>
          <w:attr w:name="UnitName" w:val="m"/>
        </w:smartTagPr>
        <w:r w:rsidRPr="00A428C3">
          <w:t>0.01 M</w:t>
        </w:r>
      </w:smartTag>
      <w:r w:rsidRPr="00A428C3">
        <w:t xml:space="preserve"> NaClO</w:t>
      </w:r>
      <w:r w:rsidRPr="00A428C3">
        <w:rPr>
          <w:vertAlign w:val="subscript"/>
        </w:rPr>
        <w:t>4</w:t>
      </w:r>
      <w:r w:rsidRPr="00A428C3">
        <w:t xml:space="preserve"> ionic strength</w:t>
      </w:r>
      <w:r w:rsidR="00F81221">
        <w:t xml:space="preserve"> and </w:t>
      </w:r>
      <w:r w:rsidRPr="00A428C3">
        <w:t>100 rpm of agitation speed. II was, however, minimum (12.3%), at pH 8.0. Equilibrium time of adsorption was independent of pH values. Different possible explanations have been discussed for removal or Cr(VI) for the present system. Kinetics of the removal of Cr(VI) at various DH values has been discussed</w:t>
      </w:r>
      <w:r w:rsidR="00F81221">
        <w:t xml:space="preserve"> and </w:t>
      </w:r>
      <w:r w:rsidRPr="00A428C3">
        <w:t>rate constant of the adsorption has been determined.</w:t>
      </w:r>
    </w:p>
    <w:p w:rsidR="00B95188" w:rsidRPr="00A428C3" w:rsidRDefault="00B95188" w:rsidP="00B95188">
      <w:pPr>
        <w:pStyle w:val="a0"/>
      </w:pPr>
      <w:r w:rsidRPr="00A428C3">
        <w:t>Keywords: Adsorption, Agitation, Aqueous-Solutions, Carbon, Chromium(VI), Cr(VI), Oxide, Removal</w:t>
      </w:r>
    </w:p>
    <w:p w:rsidR="00156F25" w:rsidRDefault="00156F25" w:rsidP="00156F25">
      <w:pPr>
        <w:pStyle w:val="a0"/>
        <w:rPr>
          <w:kern w:val="0"/>
          <w:szCs w:val="24"/>
        </w:rPr>
      </w:pPr>
      <w:r>
        <w:rPr>
          <w:rFonts w:hint="eastAsia"/>
          <w:kern w:val="0"/>
          <w:szCs w:val="24"/>
        </w:rPr>
        <w:t xml:space="preserve">? </w:t>
      </w:r>
      <w:r>
        <w:rPr>
          <w:kern w:val="0"/>
          <w:szCs w:val="24"/>
        </w:rPr>
        <w:t>Mohan, K.R., Ramesh, A.</w:t>
      </w:r>
      <w:r w:rsidR="00F81221">
        <w:rPr>
          <w:kern w:val="0"/>
          <w:szCs w:val="24"/>
        </w:rPr>
        <w:t xml:space="preserve"> and </w:t>
      </w:r>
      <w:r>
        <w:rPr>
          <w:kern w:val="0"/>
          <w:szCs w:val="24"/>
        </w:rPr>
        <w:t xml:space="preserve">Seshaiah, K. (2001), Studies on adsorption of selected organophosphorus pesticides by clays. </w:t>
      </w:r>
      <w:r>
        <w:rPr>
          <w:i/>
          <w:iCs/>
          <w:kern w:val="0"/>
          <w:szCs w:val="24"/>
        </w:rPr>
        <w:t>Indian Journal of Chemical Technology</w:t>
      </w:r>
      <w:r>
        <w:rPr>
          <w:kern w:val="0"/>
          <w:szCs w:val="24"/>
        </w:rPr>
        <w:t xml:space="preserve">, </w:t>
      </w:r>
      <w:r>
        <w:rPr>
          <w:b/>
          <w:bCs/>
          <w:kern w:val="0"/>
          <w:szCs w:val="24"/>
        </w:rPr>
        <w:t>8</w:t>
      </w:r>
      <w:r>
        <w:rPr>
          <w:kern w:val="0"/>
          <w:szCs w:val="24"/>
        </w:rPr>
        <w:t xml:space="preserve"> (4), 278-280.</w:t>
      </w:r>
    </w:p>
    <w:p w:rsidR="00156F25" w:rsidRDefault="00156F25" w:rsidP="00156F25">
      <w:pPr>
        <w:pStyle w:val="a0"/>
        <w:rPr>
          <w:kern w:val="0"/>
          <w:szCs w:val="24"/>
        </w:rPr>
      </w:pPr>
      <w:r>
        <w:rPr>
          <w:kern w:val="0"/>
          <w:szCs w:val="24"/>
        </w:rPr>
        <w:t>Abstract: Adsorption of the organophosphorus pesticides, malathion</w:t>
      </w:r>
      <w:r w:rsidR="00F81221">
        <w:rPr>
          <w:kern w:val="0"/>
          <w:szCs w:val="24"/>
        </w:rPr>
        <w:t xml:space="preserve"> and </w:t>
      </w:r>
      <w:r>
        <w:rPr>
          <w:kern w:val="0"/>
          <w:szCs w:val="24"/>
        </w:rPr>
        <w:t>dimethoate on clays (viz. montmorillonite</w:t>
      </w:r>
      <w:r w:rsidR="00F81221">
        <w:rPr>
          <w:kern w:val="0"/>
          <w:szCs w:val="24"/>
        </w:rPr>
        <w:t xml:space="preserve"> and </w:t>
      </w:r>
      <w:r>
        <w:rPr>
          <w:kern w:val="0"/>
          <w:szCs w:val="24"/>
        </w:rPr>
        <w:t>kaolinite) saturated with cations, from aqueous solution was studied. The extent of adsorption was more on montmorillonite saturated with Fe3+</w:t>
      </w:r>
      <w:r w:rsidR="00F81221">
        <w:rPr>
          <w:kern w:val="0"/>
          <w:szCs w:val="24"/>
        </w:rPr>
        <w:t xml:space="preserve"> and </w:t>
      </w:r>
      <w:r>
        <w:rPr>
          <w:kern w:val="0"/>
          <w:szCs w:val="24"/>
        </w:rPr>
        <w:t>Ca-2+ than the montmorillonite saturated with Na+</w:t>
      </w:r>
      <w:r w:rsidR="00F81221">
        <w:rPr>
          <w:kern w:val="0"/>
          <w:szCs w:val="24"/>
        </w:rPr>
        <w:t xml:space="preserve"> and </w:t>
      </w:r>
      <w:r>
        <w:rPr>
          <w:kern w:val="0"/>
          <w:szCs w:val="24"/>
        </w:rPr>
        <w:t>kaolinite saturated with the same cations for both the pesticides. The adsorption isotherms are fit into Freundlich adsorption equation.</w:t>
      </w:r>
    </w:p>
    <w:p w:rsidR="00156F25" w:rsidRDefault="00156F25" w:rsidP="00156F25">
      <w:pPr>
        <w:pStyle w:val="a0"/>
        <w:rPr>
          <w:kern w:val="0"/>
          <w:szCs w:val="24"/>
        </w:rPr>
      </w:pPr>
      <w:r>
        <w:rPr>
          <w:kern w:val="0"/>
          <w:szCs w:val="24"/>
        </w:rPr>
        <w:t>Keywords: Adsorption, Adsorption Isotherms, Freundlich, Isotherms, Kaolinite, Montmorillonite, Pesticides</w:t>
      </w:r>
    </w:p>
    <w:p w:rsidR="00B95188" w:rsidRPr="00A428C3" w:rsidRDefault="00B95188" w:rsidP="00B95188">
      <w:pPr>
        <w:pStyle w:val="a0"/>
      </w:pPr>
      <w:r w:rsidRPr="00A428C3">
        <w:t>Abraham, B.T.</w:t>
      </w:r>
      <w:r w:rsidR="00F81221">
        <w:t xml:space="preserve"> and </w:t>
      </w:r>
      <w:r w:rsidRPr="00A428C3">
        <w:t xml:space="preserve">Anirudhan, T.S. (2001), Sorption recovery of metal ions from aqueous solution using humus-boehmite complex. </w:t>
      </w:r>
      <w:r w:rsidRPr="00A428C3">
        <w:rPr>
          <w:i/>
          <w:iCs/>
        </w:rPr>
        <w:t>Indian Journal of Chemical Technology</w:t>
      </w:r>
      <w:r w:rsidRPr="00A428C3">
        <w:t xml:space="preserve">, </w:t>
      </w:r>
      <w:r w:rsidRPr="00A428C3">
        <w:rPr>
          <w:b/>
        </w:rPr>
        <w:t>8</w:t>
      </w:r>
      <w:r w:rsidRPr="00A428C3">
        <w:t xml:space="preserve"> (4), 286-292.</w:t>
      </w:r>
    </w:p>
    <w:p w:rsidR="00B95188" w:rsidRPr="00A428C3" w:rsidRDefault="00B95188" w:rsidP="00B95188">
      <w:pPr>
        <w:pStyle w:val="a0"/>
      </w:pPr>
      <w:r w:rsidRPr="00A428C3">
        <w:lastRenderedPageBreak/>
        <w:t>Abstract: aqueous solution was studied using the batch equilibrium method. Experiments were carried out as a function of pH</w:t>
      </w:r>
      <w:r w:rsidR="00F81221">
        <w:t xml:space="preserve"> and </w:t>
      </w:r>
      <w:r w:rsidRPr="00A428C3">
        <w:t>concentration of metal ions. It was shown that the maximum adsorption of 96.7% for Pb(II) occurred at an optimum pH of 5.5 whereas the maximum adsorption of 91.7% for Hg(II)</w:t>
      </w:r>
      <w:r w:rsidR="00F81221">
        <w:t xml:space="preserve"> and </w:t>
      </w:r>
      <w:r w:rsidRPr="00A428C3">
        <w:t>80.8% for Cd(II) was observed at pH 6.0. The adsorption of metal ion proceeds predominently by the cation-exchange mechanism. Adsorption isothermal data could be interpreted by the Langmuir</w:t>
      </w:r>
      <w:r w:rsidR="00F81221">
        <w:t xml:space="preserve"> and </w:t>
      </w:r>
      <w:r w:rsidRPr="00A428C3">
        <w:t>Freundlich isotherm equations. Langmuir</w:t>
      </w:r>
      <w:r w:rsidR="00F81221">
        <w:t xml:space="preserve"> and </w:t>
      </w:r>
      <w:r w:rsidRPr="00A428C3">
        <w:t>Freundlich constants have been determined. Adsorption experiments were carried out to investigate the competitive effect on the uptake of metal ions from binary mixtures. Sheindorf - Rebhun - Sheintuch (SRS) model was used to study the competitive interactions for the adsorption of Pb - Hg, Pb - Cd</w:t>
      </w:r>
      <w:r w:rsidR="00F81221">
        <w:t xml:space="preserve"> and </w:t>
      </w:r>
      <w:r w:rsidRPr="00A428C3">
        <w:t>Cd - Hg mixtures by the adsorbent.</w:t>
      </w:r>
    </w:p>
    <w:p w:rsidR="00B95188" w:rsidRPr="00A428C3" w:rsidRDefault="00B95188" w:rsidP="00B95188">
      <w:pPr>
        <w:pStyle w:val="a0"/>
      </w:pPr>
      <w:r w:rsidRPr="00A428C3">
        <w:t>Keywords: Adsorption, Removal, Water</w:t>
      </w:r>
    </w:p>
    <w:p w:rsidR="00156F25" w:rsidRDefault="00156F25" w:rsidP="00156F25">
      <w:pPr>
        <w:pStyle w:val="a0"/>
        <w:rPr>
          <w:kern w:val="0"/>
          <w:szCs w:val="24"/>
        </w:rPr>
      </w:pPr>
      <w:r>
        <w:rPr>
          <w:rFonts w:hint="eastAsia"/>
          <w:kern w:val="0"/>
          <w:szCs w:val="24"/>
        </w:rPr>
        <w:t xml:space="preserve">? </w:t>
      </w:r>
      <w:r>
        <w:rPr>
          <w:kern w:val="0"/>
          <w:szCs w:val="24"/>
        </w:rPr>
        <w:t>Prasad, H.H., Senger, A., Chauhan, K., Popat, K.M.</w:t>
      </w:r>
      <w:r w:rsidR="00F81221">
        <w:rPr>
          <w:kern w:val="0"/>
          <w:szCs w:val="24"/>
        </w:rPr>
        <w:t xml:space="preserve"> and </w:t>
      </w:r>
      <w:r>
        <w:rPr>
          <w:kern w:val="0"/>
          <w:szCs w:val="24"/>
        </w:rPr>
        <w:t>Anand, P.S. (2001), Synthesis of crosslinked methacrylic acid-co-N,N</w:t>
      </w:r>
      <w:r w:rsidR="000352E7">
        <w:rPr>
          <w:kern w:val="0"/>
          <w:szCs w:val="24"/>
        </w:rPr>
        <w:t>’</w:t>
      </w:r>
      <w:r>
        <w:rPr>
          <w:kern w:val="0"/>
          <w:szCs w:val="24"/>
        </w:rPr>
        <w:t xml:space="preserve">-methylene bis acrylamide sorbents for recovery of heavy metal ions from dilute solutions. </w:t>
      </w:r>
      <w:r>
        <w:rPr>
          <w:i/>
          <w:iCs/>
          <w:kern w:val="0"/>
          <w:szCs w:val="24"/>
        </w:rPr>
        <w:t xml:space="preserve"> Indian Journal of Chemical Technology</w:t>
      </w:r>
      <w:r>
        <w:rPr>
          <w:kern w:val="0"/>
          <w:szCs w:val="24"/>
        </w:rPr>
        <w:t xml:space="preserve">, </w:t>
      </w:r>
      <w:r>
        <w:rPr>
          <w:b/>
          <w:bCs/>
          <w:kern w:val="0"/>
          <w:szCs w:val="24"/>
        </w:rPr>
        <w:t>8</w:t>
      </w:r>
      <w:r>
        <w:rPr>
          <w:kern w:val="0"/>
          <w:szCs w:val="24"/>
        </w:rPr>
        <w:t xml:space="preserve"> (5), 371-377.</w:t>
      </w:r>
    </w:p>
    <w:p w:rsidR="00156F25" w:rsidRDefault="00156F25" w:rsidP="00156F25">
      <w:pPr>
        <w:pStyle w:val="a0"/>
        <w:rPr>
          <w:kern w:val="0"/>
          <w:szCs w:val="24"/>
        </w:rPr>
      </w:pPr>
      <w:r>
        <w:rPr>
          <w:kern w:val="0"/>
          <w:szCs w:val="24"/>
        </w:rPr>
        <w:t>Abstract: Several crosslinked porous copolymers of methacrylic acid-NX-methylene bis acrylamide were synthesized by suspension polymerisation using benzoylperoxide as the initiator. They were characterized for physico-chemical properties like, surface area, porosity</w:t>
      </w:r>
      <w:r w:rsidR="00F81221">
        <w:rPr>
          <w:kern w:val="0"/>
          <w:szCs w:val="24"/>
        </w:rPr>
        <w:t xml:space="preserve"> and </w:t>
      </w:r>
      <w:r>
        <w:rPr>
          <w:kern w:val="0"/>
          <w:szCs w:val="24"/>
        </w:rPr>
        <w:t>scientific weight capacity. The sorbents were further studied for adsorption of nickel</w:t>
      </w:r>
      <w:r w:rsidR="00F81221">
        <w:rPr>
          <w:kern w:val="0"/>
          <w:szCs w:val="24"/>
        </w:rPr>
        <w:t xml:space="preserve"> and </w:t>
      </w:r>
      <w:r>
        <w:rPr>
          <w:kern w:val="0"/>
          <w:szCs w:val="24"/>
        </w:rPr>
        <w:t>copper ions from spiked metal ion solutions in static</w:t>
      </w:r>
      <w:r w:rsidR="00F81221">
        <w:rPr>
          <w:kern w:val="0"/>
          <w:szCs w:val="24"/>
        </w:rPr>
        <w:t xml:space="preserve"> and </w:t>
      </w:r>
      <w:r>
        <w:rPr>
          <w:kern w:val="0"/>
          <w:szCs w:val="24"/>
        </w:rPr>
        <w:t>dynamic conditions. Concentration ratios of 1:60</w:t>
      </w:r>
      <w:r w:rsidR="00F81221">
        <w:rPr>
          <w:kern w:val="0"/>
          <w:szCs w:val="24"/>
        </w:rPr>
        <w:t xml:space="preserve"> and </w:t>
      </w:r>
      <w:r>
        <w:rPr>
          <w:kern w:val="0"/>
          <w:szCs w:val="24"/>
        </w:rPr>
        <w:t>1:30 have been achieved for nickel</w:t>
      </w:r>
      <w:r w:rsidR="00F81221">
        <w:rPr>
          <w:kern w:val="0"/>
          <w:szCs w:val="24"/>
        </w:rPr>
        <w:t xml:space="preserve"> and </w:t>
      </w:r>
      <w:r>
        <w:rPr>
          <w:kern w:val="0"/>
          <w:szCs w:val="24"/>
        </w:rPr>
        <w:t>copper ions respectively.</w:t>
      </w:r>
    </w:p>
    <w:p w:rsidR="00156F25" w:rsidRDefault="00156F25" w:rsidP="00156F25">
      <w:pPr>
        <w:pStyle w:val="a0"/>
        <w:rPr>
          <w:kern w:val="0"/>
          <w:szCs w:val="24"/>
        </w:rPr>
      </w:pPr>
      <w:r>
        <w:rPr>
          <w:kern w:val="0"/>
          <w:szCs w:val="24"/>
        </w:rPr>
        <w:t>Keywords: Adsorption, Aqueous-Solutions, Capacity, Copper, Heavy Metal, Heavy Metal Ions, Hg(II), Metal Ions, Microbeads, Nickel, Porosity, Removal, Resins, Weight, Wollastonite</w:t>
      </w:r>
    </w:p>
    <w:p w:rsidR="003D2018" w:rsidRDefault="003D2018" w:rsidP="003D2018">
      <w:pPr>
        <w:pStyle w:val="a0"/>
        <w:rPr>
          <w:kern w:val="0"/>
          <w:szCs w:val="24"/>
        </w:rPr>
      </w:pPr>
      <w:r>
        <w:rPr>
          <w:rFonts w:hint="eastAsia"/>
          <w:kern w:val="0"/>
          <w:szCs w:val="24"/>
        </w:rPr>
        <w:t xml:space="preserve">? </w:t>
      </w:r>
      <w:r>
        <w:rPr>
          <w:kern w:val="0"/>
          <w:szCs w:val="24"/>
        </w:rPr>
        <w:t>Krishnamurthy, A.S.R.</w:t>
      </w:r>
      <w:r w:rsidR="00F81221">
        <w:rPr>
          <w:kern w:val="0"/>
          <w:szCs w:val="24"/>
        </w:rPr>
        <w:t xml:space="preserve"> and </w:t>
      </w:r>
      <w:r>
        <w:rPr>
          <w:kern w:val="0"/>
          <w:szCs w:val="24"/>
        </w:rPr>
        <w:t>Narsimha, R. (2001), Retention behavior</w:t>
      </w:r>
      <w:r w:rsidR="00F81221">
        <w:rPr>
          <w:kern w:val="0"/>
          <w:szCs w:val="24"/>
        </w:rPr>
        <w:t xml:space="preserve"> and </w:t>
      </w:r>
      <w:r>
        <w:rPr>
          <w:kern w:val="0"/>
          <w:szCs w:val="24"/>
        </w:rPr>
        <w:t>mechanism of adsorption of some chloropyridine isomers in normal phase liquid chromatography on silica, cyano-silica</w:t>
      </w:r>
      <w:r w:rsidR="00F81221">
        <w:rPr>
          <w:kern w:val="0"/>
          <w:szCs w:val="24"/>
        </w:rPr>
        <w:t xml:space="preserve"> and </w:t>
      </w:r>
      <w:r>
        <w:rPr>
          <w:kern w:val="0"/>
          <w:szCs w:val="24"/>
        </w:rPr>
        <w:t xml:space="preserve">amino-silica columns. </w:t>
      </w:r>
      <w:r>
        <w:rPr>
          <w:i/>
          <w:iCs/>
          <w:kern w:val="0"/>
          <w:szCs w:val="24"/>
        </w:rPr>
        <w:t>Indian Journal of Chemical Technology</w:t>
      </w:r>
      <w:r>
        <w:rPr>
          <w:kern w:val="0"/>
          <w:szCs w:val="24"/>
        </w:rPr>
        <w:t xml:space="preserve">, </w:t>
      </w:r>
      <w:r>
        <w:rPr>
          <w:b/>
          <w:bCs/>
          <w:kern w:val="0"/>
          <w:szCs w:val="24"/>
        </w:rPr>
        <w:t>8</w:t>
      </w:r>
      <w:r>
        <w:rPr>
          <w:kern w:val="0"/>
          <w:szCs w:val="24"/>
        </w:rPr>
        <w:t xml:space="preserve"> (6), 458-462.</w:t>
      </w:r>
    </w:p>
    <w:p w:rsidR="003D2018" w:rsidRDefault="003D2018" w:rsidP="003D2018">
      <w:pPr>
        <w:pStyle w:val="a0"/>
        <w:rPr>
          <w:kern w:val="0"/>
          <w:szCs w:val="24"/>
        </w:rPr>
      </w:pPr>
      <w:r>
        <w:rPr>
          <w:kern w:val="0"/>
          <w:szCs w:val="24"/>
        </w:rPr>
        <w:t>Abstract: The retention behaviour of some chloropyridine isomers on silica, cyano-silica</w:t>
      </w:r>
      <w:r w:rsidR="00F81221">
        <w:rPr>
          <w:kern w:val="0"/>
          <w:szCs w:val="24"/>
        </w:rPr>
        <w:t xml:space="preserve"> and </w:t>
      </w:r>
      <w:r>
        <w:rPr>
          <w:kern w:val="0"/>
          <w:szCs w:val="24"/>
        </w:rPr>
        <w:t>amino-silica columns in normal phase liquid chromatography has been studied. Retention times on first two columns follow similar pattern while is different on amino-silica column. An equation for inter comparison of columns for selectivity purpose is developed</w:t>
      </w:r>
      <w:r w:rsidR="00F81221">
        <w:rPr>
          <w:kern w:val="0"/>
          <w:szCs w:val="24"/>
        </w:rPr>
        <w:t xml:space="preserve"> and </w:t>
      </w:r>
      <w:r>
        <w:rPr>
          <w:kern w:val="0"/>
          <w:szCs w:val="24"/>
        </w:rPr>
        <w:t>verified. Log, k</w:t>
      </w:r>
      <w:r w:rsidR="000352E7">
        <w:rPr>
          <w:kern w:val="0"/>
          <w:szCs w:val="24"/>
        </w:rPr>
        <w:t>’</w:t>
      </w:r>
      <w:r>
        <w:rPr>
          <w:kern w:val="0"/>
          <w:szCs w:val="24"/>
        </w:rPr>
        <w:t xml:space="preserve"> versus log X-B plots follow Snyder</w:t>
      </w:r>
      <w:r w:rsidR="00F81221">
        <w:rPr>
          <w:kern w:val="0"/>
          <w:szCs w:val="24"/>
        </w:rPr>
        <w:t xml:space="preserve"> and </w:t>
      </w:r>
      <w:r>
        <w:rPr>
          <w:kern w:val="0"/>
          <w:szCs w:val="24"/>
        </w:rPr>
        <w:t>Soczewinski model of adsorption. A mixed interaction of involving hydrogen bonding</w:t>
      </w:r>
      <w:r w:rsidR="00F81221">
        <w:rPr>
          <w:kern w:val="0"/>
          <w:szCs w:val="24"/>
        </w:rPr>
        <w:t xml:space="preserve"> and </w:t>
      </w:r>
      <w:r>
        <w:rPr>
          <w:kern w:val="0"/>
          <w:szCs w:val="24"/>
        </w:rPr>
        <w:t>dipolar interactions are responsible for the retention of solutes on silica</w:t>
      </w:r>
      <w:r w:rsidR="00F81221">
        <w:rPr>
          <w:kern w:val="0"/>
          <w:szCs w:val="24"/>
        </w:rPr>
        <w:t xml:space="preserve"> and </w:t>
      </w:r>
      <w:r>
        <w:rPr>
          <w:kern w:val="0"/>
          <w:szCs w:val="24"/>
        </w:rPr>
        <w:t>cyano-silica columns</w:t>
      </w:r>
      <w:r w:rsidR="00F81221">
        <w:rPr>
          <w:kern w:val="0"/>
          <w:szCs w:val="24"/>
        </w:rPr>
        <w:t xml:space="preserve"> and </w:t>
      </w:r>
      <w:r>
        <w:rPr>
          <w:kern w:val="0"/>
          <w:szCs w:val="24"/>
        </w:rPr>
        <w:t xml:space="preserve">weak hydrogen bonding interaction lead to separation on amino-silica column. Cyano-silica column is preferred for their separation </w:t>
      </w:r>
      <w:r>
        <w:rPr>
          <w:kern w:val="0"/>
          <w:szCs w:val="24"/>
        </w:rPr>
        <w:lastRenderedPageBreak/>
        <w:t>considering the retention times. However, best selectivity is seen for monoisomers</w:t>
      </w:r>
      <w:r w:rsidR="00F81221">
        <w:rPr>
          <w:kern w:val="0"/>
          <w:szCs w:val="24"/>
        </w:rPr>
        <w:t xml:space="preserve"> and </w:t>
      </w:r>
      <w:r>
        <w:rPr>
          <w:kern w:val="0"/>
          <w:szCs w:val="24"/>
        </w:rPr>
        <w:t>2,6-DCP on either silica or cyanosilica column</w:t>
      </w:r>
      <w:r w:rsidR="00F81221">
        <w:rPr>
          <w:kern w:val="0"/>
          <w:szCs w:val="24"/>
        </w:rPr>
        <w:t xml:space="preserve"> and </w:t>
      </w:r>
      <w:r>
        <w:rPr>
          <w:kern w:val="0"/>
          <w:szCs w:val="24"/>
        </w:rPr>
        <w:t>3,5-DCP</w:t>
      </w:r>
      <w:r w:rsidR="00F81221">
        <w:rPr>
          <w:kern w:val="0"/>
          <w:szCs w:val="24"/>
        </w:rPr>
        <w:t xml:space="preserve"> and </w:t>
      </w:r>
      <w:r>
        <w:rPr>
          <w:kern w:val="0"/>
          <w:szCs w:val="24"/>
        </w:rPr>
        <w:t>2,3,5-TCP on amino-silica column.</w:t>
      </w:r>
    </w:p>
    <w:p w:rsidR="003D2018" w:rsidRDefault="003D2018" w:rsidP="003D2018">
      <w:pPr>
        <w:pStyle w:val="a0"/>
        <w:rPr>
          <w:kern w:val="0"/>
          <w:szCs w:val="24"/>
        </w:rPr>
      </w:pPr>
      <w:r>
        <w:rPr>
          <w:kern w:val="0"/>
          <w:szCs w:val="24"/>
        </w:rPr>
        <w:t>Keywords: Adsorption, Comparison, Gel, Lead, Localization, Mixtures, Model, Multicomponent Mobile Phases, Retention, Separation, Silica, Solid Chromatography, Solute-Solvent Interactions, Strength, Surface</w:t>
      </w:r>
    </w:p>
    <w:p w:rsidR="003D2018" w:rsidRDefault="003D2018" w:rsidP="003D2018">
      <w:pPr>
        <w:pStyle w:val="a0"/>
        <w:rPr>
          <w:kern w:val="0"/>
          <w:szCs w:val="24"/>
        </w:rPr>
      </w:pPr>
      <w:r>
        <w:rPr>
          <w:rFonts w:hint="eastAsia"/>
          <w:kern w:val="0"/>
          <w:szCs w:val="24"/>
        </w:rPr>
        <w:t xml:space="preserve">? </w:t>
      </w:r>
      <w:r>
        <w:rPr>
          <w:kern w:val="0"/>
          <w:szCs w:val="24"/>
        </w:rPr>
        <w:t>Begum, S.S., Subramanian, R., Lakshminarayanan, V.</w:t>
      </w:r>
      <w:r w:rsidR="00F81221">
        <w:rPr>
          <w:kern w:val="0"/>
          <w:szCs w:val="24"/>
        </w:rPr>
        <w:t xml:space="preserve"> and </w:t>
      </w:r>
      <w:r>
        <w:rPr>
          <w:kern w:val="0"/>
          <w:szCs w:val="24"/>
        </w:rPr>
        <w:t>Mayanna, S.M. (2001), Corrosion inhibition of mild steel in sulphuric acid by n-octylamine</w:t>
      </w:r>
      <w:r w:rsidR="00F81221">
        <w:rPr>
          <w:kern w:val="0"/>
          <w:szCs w:val="24"/>
        </w:rPr>
        <w:t xml:space="preserve"> and </w:t>
      </w:r>
      <w:r>
        <w:rPr>
          <w:kern w:val="0"/>
          <w:szCs w:val="24"/>
        </w:rPr>
        <w:t xml:space="preserve">iodoacetic acid. </w:t>
      </w:r>
      <w:r>
        <w:rPr>
          <w:i/>
          <w:iCs/>
          <w:kern w:val="0"/>
          <w:szCs w:val="24"/>
        </w:rPr>
        <w:t>Indian Journal of Chemical Technology</w:t>
      </w:r>
      <w:r>
        <w:rPr>
          <w:kern w:val="0"/>
          <w:szCs w:val="24"/>
        </w:rPr>
        <w:t xml:space="preserve">, </w:t>
      </w:r>
      <w:r>
        <w:rPr>
          <w:b/>
          <w:bCs/>
          <w:kern w:val="0"/>
          <w:szCs w:val="24"/>
        </w:rPr>
        <w:t>8</w:t>
      </w:r>
      <w:r>
        <w:rPr>
          <w:kern w:val="0"/>
          <w:szCs w:val="24"/>
        </w:rPr>
        <w:t xml:space="preserve"> (6), 463-468.</w:t>
      </w:r>
    </w:p>
    <w:p w:rsidR="003D2018" w:rsidRDefault="003D2018" w:rsidP="003D2018">
      <w:pPr>
        <w:pStyle w:val="a0"/>
        <w:rPr>
          <w:kern w:val="0"/>
          <w:szCs w:val="24"/>
        </w:rPr>
      </w:pPr>
      <w:r>
        <w:rPr>
          <w:kern w:val="0"/>
          <w:szCs w:val="24"/>
        </w:rPr>
        <w:t>Abstract: The influence of iodoacetic acid (IAA) on the corrosion inhibition of mild steel in 0.5 M sulphuric acid (H2SO4) containing octylamine (OA) has been studied using weightloss, polarization</w:t>
      </w:r>
      <w:r w:rsidR="00F81221">
        <w:rPr>
          <w:kern w:val="0"/>
          <w:szCs w:val="24"/>
        </w:rPr>
        <w:t xml:space="preserve"> and </w:t>
      </w:r>
      <w:r>
        <w:rPr>
          <w:kern w:val="0"/>
          <w:szCs w:val="24"/>
        </w:rPr>
        <w:t>a.c. impedence techniques. Corrosion data obtained by different methods are consistent. IAA</w:t>
      </w:r>
      <w:r w:rsidR="00F81221">
        <w:rPr>
          <w:kern w:val="0"/>
          <w:szCs w:val="24"/>
        </w:rPr>
        <w:t xml:space="preserve"> and </w:t>
      </w:r>
      <w:r>
        <w:rPr>
          <w:kern w:val="0"/>
          <w:szCs w:val="24"/>
        </w:rPr>
        <w:t>OA individually retard the corrosion of mild steel in sulphuric acid. The addition of IAA enhances the inhibitor efficiency of OA considerably. Adsorption of inhibitors follows quasi-substitution process at the interfaces. OA cations are adsorbed by coulombic interaction on the metal surface, which is preoccupied by IAA molecules as dipoles. Adsorption model is suggested to account the synergistic action of IAA on the corrosion inhibition of mild steel in sulphuric acid solution by OA.</w:t>
      </w:r>
    </w:p>
    <w:p w:rsidR="003D2018" w:rsidRDefault="003D2018" w:rsidP="003D2018">
      <w:pPr>
        <w:pStyle w:val="a0"/>
        <w:rPr>
          <w:kern w:val="0"/>
          <w:szCs w:val="24"/>
        </w:rPr>
      </w:pPr>
      <w:r>
        <w:rPr>
          <w:kern w:val="0"/>
          <w:szCs w:val="24"/>
        </w:rPr>
        <w:t>Keywords: Adsorption, Adsorption Model, Corrosion, Corrosion Inhibition, Mild Steel, Model, Molecules, Polarization, Steel, Sulphuric Acid, Zinc</w:t>
      </w:r>
    </w:p>
    <w:p w:rsidR="003D2018" w:rsidRDefault="003D2018" w:rsidP="003D2018">
      <w:pPr>
        <w:pStyle w:val="a0"/>
        <w:rPr>
          <w:kern w:val="0"/>
          <w:szCs w:val="24"/>
        </w:rPr>
      </w:pPr>
      <w:r>
        <w:rPr>
          <w:rFonts w:hint="eastAsia"/>
          <w:kern w:val="0"/>
          <w:szCs w:val="24"/>
        </w:rPr>
        <w:t xml:space="preserve">? </w:t>
      </w:r>
      <w:r>
        <w:rPr>
          <w:kern w:val="0"/>
          <w:szCs w:val="24"/>
        </w:rPr>
        <w:t>Singh, I.B.</w:t>
      </w:r>
      <w:r w:rsidR="00F81221">
        <w:rPr>
          <w:kern w:val="0"/>
          <w:szCs w:val="24"/>
        </w:rPr>
        <w:t xml:space="preserve"> and </w:t>
      </w:r>
      <w:r>
        <w:rPr>
          <w:kern w:val="0"/>
          <w:szCs w:val="24"/>
        </w:rPr>
        <w:t xml:space="preserve">Singh, D.R. (2001), Hexavalent chromium removal using iron bearing industrial sludges. </w:t>
      </w:r>
      <w:r>
        <w:rPr>
          <w:i/>
          <w:iCs/>
          <w:kern w:val="0"/>
          <w:szCs w:val="24"/>
        </w:rPr>
        <w:t>Indian Journal of Chemical Technology</w:t>
      </w:r>
      <w:r>
        <w:rPr>
          <w:kern w:val="0"/>
          <w:szCs w:val="24"/>
        </w:rPr>
        <w:t xml:space="preserve">, </w:t>
      </w:r>
      <w:r>
        <w:rPr>
          <w:b/>
          <w:bCs/>
          <w:kern w:val="0"/>
          <w:szCs w:val="24"/>
        </w:rPr>
        <w:t>8</w:t>
      </w:r>
      <w:r>
        <w:rPr>
          <w:kern w:val="0"/>
          <w:szCs w:val="24"/>
        </w:rPr>
        <w:t xml:space="preserve"> (6), 487-495.</w:t>
      </w:r>
    </w:p>
    <w:p w:rsidR="003D2018" w:rsidRDefault="003D2018" w:rsidP="003D2018">
      <w:pPr>
        <w:pStyle w:val="a0"/>
        <w:rPr>
          <w:kern w:val="0"/>
          <w:szCs w:val="24"/>
        </w:rPr>
      </w:pPr>
      <w:r>
        <w:rPr>
          <w:kern w:val="0"/>
          <w:szCs w:val="24"/>
        </w:rPr>
        <w:t>Abstract: The use of iron bearing metallic</w:t>
      </w:r>
      <w:r w:rsidR="00F81221">
        <w:rPr>
          <w:kern w:val="0"/>
          <w:szCs w:val="24"/>
        </w:rPr>
        <w:t xml:space="preserve"> and </w:t>
      </w:r>
      <w:r>
        <w:rPr>
          <w:kern w:val="0"/>
          <w:szCs w:val="24"/>
        </w:rPr>
        <w:t>mineral materials for the treatment of highly toxic Cr(VI) containing industrial wastewater have received increased attention for the past decade. In conventional treatment, a large amount of chromium hydroxide generates as secondary solid waste which poses a serious problem of disposal. In the presence of iron bearing materials, Cr(VI) reduces to Cr(III)</w:t>
      </w:r>
      <w:r w:rsidR="00F81221">
        <w:rPr>
          <w:kern w:val="0"/>
          <w:szCs w:val="24"/>
        </w:rPr>
        <w:t xml:space="preserve"> and </w:t>
      </w:r>
      <w:r>
        <w:rPr>
          <w:kern w:val="0"/>
          <w:szCs w:val="24"/>
        </w:rPr>
        <w:t>Fe(II) oxidises to Fe(III) generating mixed complexes from which separation probability of individual element reduces. Based on this chemical principle it is expected that such industrial solid wastes containing iron as a major constituent have potential to reduce highly toxic Cr(VI) to less toxic Cr(III). In view of this, present investigation was aimed to utilise iron bearing industrial wastes like sludges of steel tube making industry</w:t>
      </w:r>
      <w:r w:rsidR="00F81221">
        <w:rPr>
          <w:kern w:val="0"/>
          <w:szCs w:val="24"/>
        </w:rPr>
        <w:t xml:space="preserve"> and </w:t>
      </w:r>
      <w:r>
        <w:rPr>
          <w:kern w:val="0"/>
          <w:szCs w:val="24"/>
        </w:rPr>
        <w:t>aluminium industry for removal of Cr(VI). Studies include identification of suitable pH for the Cr(VI) reduction, optimisation of dosage</w:t>
      </w:r>
      <w:r w:rsidR="00F81221">
        <w:rPr>
          <w:kern w:val="0"/>
          <w:szCs w:val="24"/>
        </w:rPr>
        <w:t xml:space="preserve"> and </w:t>
      </w:r>
      <w:r>
        <w:rPr>
          <w:kern w:val="0"/>
          <w:szCs w:val="24"/>
        </w:rPr>
        <w:t>contact time</w:t>
      </w:r>
      <w:r w:rsidR="00F81221">
        <w:rPr>
          <w:kern w:val="0"/>
          <w:szCs w:val="24"/>
        </w:rPr>
        <w:t xml:space="preserve"> and </w:t>
      </w:r>
      <w:r>
        <w:rPr>
          <w:kern w:val="0"/>
          <w:szCs w:val="24"/>
        </w:rPr>
        <w:t>determination of reaction kinetics. No Cr(VI) was detected from the reacted wastes</w:t>
      </w:r>
      <w:r w:rsidR="00F81221">
        <w:rPr>
          <w:kern w:val="0"/>
          <w:szCs w:val="24"/>
        </w:rPr>
        <w:t xml:space="preserve"> and </w:t>
      </w:r>
      <w:r>
        <w:rPr>
          <w:kern w:val="0"/>
          <w:szCs w:val="24"/>
        </w:rPr>
        <w:t xml:space="preserve">total chromium was measured as Cr(III). Toxicity characteristics leaching procedure(TCLP) has been employed to estimate the leachability of chromium, iron etc from the reacted wastes. TCLP results indicate a negligible </w:t>
      </w:r>
      <w:r>
        <w:rPr>
          <w:kern w:val="0"/>
          <w:szCs w:val="24"/>
        </w:rPr>
        <w:lastRenderedPageBreak/>
        <w:t>amount of chromium as Cr(III)</w:t>
      </w:r>
      <w:r w:rsidR="00F81221">
        <w:rPr>
          <w:kern w:val="0"/>
          <w:szCs w:val="24"/>
        </w:rPr>
        <w:t xml:space="preserve"> and </w:t>
      </w:r>
      <w:r>
        <w:rPr>
          <w:kern w:val="0"/>
          <w:szCs w:val="24"/>
        </w:rPr>
        <w:t>iron leachability from the reacted wastes.</w:t>
      </w:r>
    </w:p>
    <w:p w:rsidR="003D2018" w:rsidRDefault="003D2018" w:rsidP="003D2018">
      <w:pPr>
        <w:pStyle w:val="a0"/>
        <w:rPr>
          <w:kern w:val="0"/>
          <w:szCs w:val="24"/>
        </w:rPr>
      </w:pPr>
      <w:r>
        <w:rPr>
          <w:kern w:val="0"/>
          <w:szCs w:val="24"/>
        </w:rPr>
        <w:t xml:space="preserve">Keywords: 25°C, Aluminium, Biotite, Chromate Reduction, Chromium, Contact Time, Cr(III), Cr(VI), Cr(VI) Reduction, Hexavalent Chromium, Industrial Wastewater, Interface, Iron, Kinetics, Oxides, </w:t>
      </w:r>
      <w:r>
        <w:rPr>
          <w:rFonts w:hint="eastAsia"/>
          <w:kern w:val="0"/>
          <w:szCs w:val="24"/>
        </w:rPr>
        <w:t>p</w:t>
      </w:r>
      <w:r>
        <w:rPr>
          <w:kern w:val="0"/>
          <w:szCs w:val="24"/>
        </w:rPr>
        <w:t>H, Reduction, Removal, Sorption, Spectroscopy, Steel, TCLP, Toxicity, Treatment, Wastes, Wastewater</w:t>
      </w:r>
    </w:p>
    <w:p w:rsidR="00B95188" w:rsidRPr="00A428C3" w:rsidRDefault="00B95188" w:rsidP="00B95188">
      <w:pPr>
        <w:pStyle w:val="a0"/>
      </w:pPr>
      <w:r w:rsidRPr="00A428C3">
        <w:t>Krishnan, K.A.</w:t>
      </w:r>
      <w:r w:rsidR="00F81221">
        <w:t xml:space="preserve"> and </w:t>
      </w:r>
      <w:r w:rsidRPr="00A428C3">
        <w:t xml:space="preserve">Anirudhan, T.S. (2002), A preliminary examination of the adsorption characteristics of Pb(II) ions using sulphurised activated carbon prepared from bagasse pith. </w:t>
      </w:r>
      <w:r w:rsidRPr="00A428C3">
        <w:rPr>
          <w:i/>
          <w:iCs/>
        </w:rPr>
        <w:t>Indian Journal of Chemical Technology</w:t>
      </w:r>
      <w:r w:rsidRPr="00A428C3">
        <w:t xml:space="preserve">, </w:t>
      </w:r>
      <w:r w:rsidRPr="00A428C3">
        <w:rPr>
          <w:b/>
        </w:rPr>
        <w:t>9</w:t>
      </w:r>
      <w:r w:rsidRPr="00A428C3">
        <w:t xml:space="preserve"> (1), 32-40.</w:t>
      </w:r>
    </w:p>
    <w:p w:rsidR="00B95188" w:rsidRPr="00A428C3" w:rsidRDefault="00B95188" w:rsidP="00B95188">
      <w:pPr>
        <w:pStyle w:val="a0"/>
      </w:pPr>
      <w:r w:rsidRPr="00A428C3">
        <w:t>Abstract: Bagasse pith, a sugar industry waste, has been converted into sulphurised activated carbon by carbonisation at 200</w:t>
      </w:r>
      <w:r w:rsidR="008A7E71">
        <w:t>°</w:t>
      </w:r>
      <w:r w:rsidRPr="00A428C3">
        <w:t>C under N</w:t>
      </w:r>
      <w:r w:rsidRPr="00A428C3">
        <w:rPr>
          <w:vertAlign w:val="subscript"/>
        </w:rPr>
        <w:t>2</w:t>
      </w:r>
      <w:r w:rsidRPr="00A428C3">
        <w:t xml:space="preserve"> for 2h, followed by steam activation in presence of SO</w:t>
      </w:r>
      <w:r w:rsidRPr="00A428C3">
        <w:rPr>
          <w:vertAlign w:val="subscript"/>
        </w:rPr>
        <w:t>2</w:t>
      </w:r>
      <w:r w:rsidR="00F81221">
        <w:t xml:space="preserve"> and </w:t>
      </w:r>
      <w:r w:rsidRPr="00A428C3">
        <w:t>H</w:t>
      </w:r>
      <w:r w:rsidRPr="00A428C3">
        <w:rPr>
          <w:vertAlign w:val="subscript"/>
        </w:rPr>
        <w:t>2</w:t>
      </w:r>
      <w:r w:rsidRPr="00A428C3">
        <w:t>S at 400</w:t>
      </w:r>
      <w:r w:rsidR="008A7E71">
        <w:t>°</w:t>
      </w:r>
      <w:r w:rsidRPr="00A428C3">
        <w:t>C for 2h. The adsorption characteristics of Pb(II) ions on activated carbon have been examined from aqueous solutions using batch technique. The effect of agitation period, initial concentration of sorbate, pH, ionic strength, temperature</w:t>
      </w:r>
      <w:r w:rsidR="00F81221">
        <w:t xml:space="preserve"> and </w:t>
      </w:r>
      <w:r w:rsidRPr="00A428C3">
        <w:t>particle size of the adsorbent has been studied to optimise the conditions for maximum removal of Pb(II) ions, The maximum removal takes place in the pH range of 4.0-8.0. With an initial concentration of Pb(II) at 50 mg/L at 30</w:t>
      </w:r>
      <w:r w:rsidR="008A7E71">
        <w:t>°</w:t>
      </w:r>
      <w:r w:rsidRPr="00A428C3">
        <w:t>C</w:t>
      </w:r>
      <w:r w:rsidR="00F81221">
        <w:t xml:space="preserve"> and </w:t>
      </w:r>
      <w:r w:rsidRPr="00A428C3">
        <w:t>pH 6.0, its removal has been found to be 99.8 %. The process of uptake is governed by a pseudo-second-order kinetics. Kinetic parameters as a function of initial concentration</w:t>
      </w:r>
      <w:r w:rsidR="00F81221">
        <w:t xml:space="preserve"> and </w:t>
      </w:r>
      <w:r w:rsidRPr="00A428C3">
        <w:t>temperature have been calculated. Decrease in ionic strength</w:t>
      </w:r>
      <w:r w:rsidR="00F81221">
        <w:t xml:space="preserve"> and </w:t>
      </w:r>
      <w:r w:rsidRPr="00A428C3">
        <w:t>increase in temperature of the solution has been found to improve the uptake of Pb(II). Studies show that the adsorption decreases with an increase in particle size of the adsorbent. Sorption data of Pb(II) in the concentration range 50-1000 mg/L have been correlated with Langmuir isotherm model. Sulphurised activated carbon had adsorption capacities for Pb(II) from 200.08 mg/g at 30</w:t>
      </w:r>
      <w:r w:rsidR="008A7E71">
        <w:t>°</w:t>
      </w:r>
      <w:r w:rsidRPr="00A428C3">
        <w:t>C to 243.93 mg/g at 60</w:t>
      </w:r>
      <w:r w:rsidR="008A7E71">
        <w:t>°</w:t>
      </w:r>
      <w:r w:rsidRPr="00A428C3">
        <w:t xml:space="preserve">C, which is much higher than the values for the adsorbent materials reported in the literature. The adsorbent has been satisfactorily used for the removal of Pb(II) from synthetic wastewaters. The adsorbed Pb(II) ions are completely recovered with </w:t>
      </w:r>
      <w:smartTag w:uri="urn:schemas-microsoft-com:office:smarttags" w:element="chmetcnv">
        <w:smartTagPr>
          <w:attr w:name="TCSC" w:val="0"/>
          <w:attr w:name="NumberType" w:val="1"/>
          <w:attr w:name="Negative" w:val="False"/>
          <w:attr w:name="HasSpace" w:val="True"/>
          <w:attr w:name="SourceValue" w:val="0.2"/>
          <w:attr w:name="UnitName" w:val="m"/>
        </w:smartTagPr>
        <w:r w:rsidRPr="00A428C3">
          <w:t>0.2 M</w:t>
        </w:r>
      </w:smartTag>
      <w:r w:rsidRPr="00A428C3">
        <w:t xml:space="preserve"> HCl.</w:t>
      </w:r>
    </w:p>
    <w:p w:rsidR="00B95188" w:rsidRPr="00A428C3" w:rsidRDefault="00B95188" w:rsidP="00B95188">
      <w:pPr>
        <w:pStyle w:val="a0"/>
      </w:pPr>
      <w:r w:rsidRPr="00A428C3">
        <w:t>Keywords: Aqueous-Solutions, Coconut Husk, Waste-Water, Removal, Kinetics, Sawdust, Lead, Thermodynamics, Polysulfide, Mercury(II)</w:t>
      </w:r>
    </w:p>
    <w:p w:rsidR="003D2018" w:rsidRDefault="003D2018" w:rsidP="003D2018">
      <w:pPr>
        <w:pStyle w:val="a0"/>
        <w:rPr>
          <w:kern w:val="0"/>
          <w:szCs w:val="24"/>
        </w:rPr>
      </w:pPr>
      <w:r>
        <w:rPr>
          <w:rFonts w:hint="eastAsia"/>
          <w:kern w:val="0"/>
          <w:szCs w:val="24"/>
        </w:rPr>
        <w:t xml:space="preserve">? </w:t>
      </w:r>
      <w:r>
        <w:rPr>
          <w:kern w:val="0"/>
          <w:szCs w:val="24"/>
        </w:rPr>
        <w:t>Le, Z.P., Yu, X.J., Lin, J.X.</w:t>
      </w:r>
      <w:r w:rsidR="00F81221">
        <w:rPr>
          <w:kern w:val="0"/>
          <w:szCs w:val="24"/>
        </w:rPr>
        <w:t xml:space="preserve"> and </w:t>
      </w:r>
      <w:r>
        <w:rPr>
          <w:kern w:val="0"/>
          <w:szCs w:val="24"/>
        </w:rPr>
        <w:t xml:space="preserve">Wei, K.M. (2002), Non-promoted Ru/sepiolite catalyst for ammonia synthesis. </w:t>
      </w:r>
      <w:r>
        <w:rPr>
          <w:i/>
          <w:iCs/>
          <w:kern w:val="0"/>
          <w:szCs w:val="24"/>
        </w:rPr>
        <w:t>Indian Journal of Chemical Technology</w:t>
      </w:r>
      <w:r>
        <w:rPr>
          <w:kern w:val="0"/>
          <w:szCs w:val="24"/>
        </w:rPr>
        <w:t xml:space="preserve">, </w:t>
      </w:r>
      <w:r>
        <w:rPr>
          <w:b/>
          <w:bCs/>
          <w:kern w:val="0"/>
          <w:szCs w:val="24"/>
        </w:rPr>
        <w:t>9</w:t>
      </w:r>
      <w:r>
        <w:rPr>
          <w:kern w:val="0"/>
          <w:szCs w:val="24"/>
        </w:rPr>
        <w:t xml:space="preserve"> (2), 154-158.</w:t>
      </w:r>
    </w:p>
    <w:p w:rsidR="003D2018" w:rsidRDefault="003D2018" w:rsidP="003D2018">
      <w:pPr>
        <w:pStyle w:val="a0"/>
        <w:rPr>
          <w:kern w:val="0"/>
          <w:szCs w:val="24"/>
        </w:rPr>
      </w:pPr>
      <w:r>
        <w:rPr>
          <w:kern w:val="0"/>
          <w:szCs w:val="24"/>
        </w:rPr>
        <w:t>Abstract: Sepiolite was used as support for ruthenium catalyst. Non-promoted Ru/Sep is proved to be effective for ammonia synthesis. The catalyst was characterized by XRD, XPS</w:t>
      </w:r>
      <w:r w:rsidR="00F81221">
        <w:rPr>
          <w:kern w:val="0"/>
          <w:szCs w:val="24"/>
        </w:rPr>
        <w:t xml:space="preserve"> and </w:t>
      </w:r>
      <w:r>
        <w:rPr>
          <w:kern w:val="0"/>
          <w:szCs w:val="24"/>
        </w:rPr>
        <w:t>nitrogen adsorption isotherms. Ru is reduced completely</w:t>
      </w:r>
      <w:r w:rsidR="00F81221">
        <w:rPr>
          <w:kern w:val="0"/>
          <w:szCs w:val="24"/>
        </w:rPr>
        <w:t xml:space="preserve"> and </w:t>
      </w:r>
      <w:r>
        <w:rPr>
          <w:kern w:val="0"/>
          <w:szCs w:val="24"/>
        </w:rPr>
        <w:t xml:space="preserve">is present in few oxidation states on the support. Using non-aqueous solvent instead of water in the impregnation process on basic support, the Ru dispersion could be increased. Chlorine-free Ruthenium catalyst was prepared using RuCl3 by washing </w:t>
      </w:r>
      <w:r>
        <w:rPr>
          <w:kern w:val="0"/>
          <w:szCs w:val="24"/>
        </w:rPr>
        <w:lastRenderedPageBreak/>
        <w:t>with ammonia solution.</w:t>
      </w:r>
    </w:p>
    <w:p w:rsidR="003D2018" w:rsidRDefault="003D2018" w:rsidP="003D2018">
      <w:pPr>
        <w:pStyle w:val="a0"/>
        <w:rPr>
          <w:kern w:val="0"/>
          <w:szCs w:val="24"/>
        </w:rPr>
      </w:pPr>
      <w:r>
        <w:rPr>
          <w:kern w:val="0"/>
          <w:szCs w:val="24"/>
        </w:rPr>
        <w:t>Keywords: Adsorption, Adsorption Isotherms, Alumina, Ammonia, Catalyst, Dinitrogen, Isotherms, Nitrogen, Oxidation, Ru, Ruthenium, Sepiolite, Supported Ruthenium Catalysts, Synthesis, Water, XPS, XRD</w:t>
      </w:r>
    </w:p>
    <w:p w:rsidR="00B95188" w:rsidRPr="00A428C3" w:rsidRDefault="00B95188" w:rsidP="00B95188">
      <w:pPr>
        <w:pStyle w:val="a0"/>
      </w:pPr>
      <w:r w:rsidRPr="00A428C3">
        <w:t>Inbaraj, B.S.</w:t>
      </w:r>
      <w:r w:rsidR="00F81221">
        <w:t xml:space="preserve"> and </w:t>
      </w:r>
      <w:r w:rsidRPr="00A428C3">
        <w:t>Sulochana, N. (2002), Basic dye adsorption on a low cost carbonaceous sorbent: Kinetic</w:t>
      </w:r>
      <w:r w:rsidR="00F81221">
        <w:t xml:space="preserve"> and </w:t>
      </w:r>
      <w:r w:rsidRPr="00A428C3">
        <w:t xml:space="preserve">equilibrium studies. </w:t>
      </w:r>
      <w:r w:rsidRPr="00A428C3">
        <w:rPr>
          <w:i/>
          <w:iCs/>
        </w:rPr>
        <w:t>Indian Journal of Chemical Technology</w:t>
      </w:r>
      <w:r w:rsidRPr="00A428C3">
        <w:t xml:space="preserve">, </w:t>
      </w:r>
      <w:r w:rsidRPr="00A428C3">
        <w:rPr>
          <w:b/>
        </w:rPr>
        <w:t>9</w:t>
      </w:r>
      <w:r w:rsidRPr="00A428C3">
        <w:t xml:space="preserve"> (3), 201-208.</w:t>
      </w:r>
    </w:p>
    <w:p w:rsidR="00B95188" w:rsidRPr="00A428C3" w:rsidRDefault="00B95188" w:rsidP="00B95188">
      <w:pPr>
        <w:pStyle w:val="a0"/>
      </w:pPr>
      <w:r w:rsidRPr="00A428C3">
        <w:t>Abstract: A carbonaceous sorbent prepared from an indigenous agricultural waste, jack fruit peel, by acid treatment was tested for its efficiency in removing basic dyes. Malachite green, a common basic dyestuff of triphenyl methane series used for dyeing silk</w:t>
      </w:r>
      <w:r w:rsidR="00F81221">
        <w:t xml:space="preserve"> and </w:t>
      </w:r>
      <w:r w:rsidRPr="00A428C3">
        <w:t>wool directly</w:t>
      </w:r>
      <w:r w:rsidR="00F81221">
        <w:t xml:space="preserve"> and </w:t>
      </w:r>
      <w:r w:rsidRPr="00A428C3">
        <w:t>cotton mordanted with tannin to deep green, was chosen for investigation. The process parameters studied include agitation time, initial dye concentration, carbon dose, pH</w:t>
      </w:r>
      <w:r w:rsidR="00F81221">
        <w:t xml:space="preserve"> and </w:t>
      </w:r>
      <w:r w:rsidRPr="00A428C3">
        <w:t>temperature. The adsorption followed first order reaction equation</w:t>
      </w:r>
      <w:r w:rsidR="00F81221">
        <w:t xml:space="preserve"> and </w:t>
      </w:r>
      <w:r w:rsidRPr="00A428C3">
        <w:t>the rate is mainly controlled by intraparticle diffusion. Freundlich, Langmuir</w:t>
      </w:r>
      <w:r w:rsidR="00F81221">
        <w:t xml:space="preserve"> and </w:t>
      </w:r>
      <w:r w:rsidRPr="00A428C3">
        <w:t>Redlich-Peterson isotherm models were applied to the equilibrium data. The adsorption capacity (Q</w:t>
      </w:r>
      <w:r w:rsidRPr="00A428C3">
        <w:rPr>
          <w:vertAlign w:val="subscript"/>
        </w:rPr>
        <w:t>0</w:t>
      </w:r>
      <w:r w:rsidRPr="00A428C3">
        <w:t>) obtained from the Langmuir isotherm plot was 166.37 mg g</w:t>
      </w:r>
      <w:r w:rsidRPr="00A428C3">
        <w:rPr>
          <w:vertAlign w:val="superscript"/>
        </w:rPr>
        <w:t>-1</w:t>
      </w:r>
      <w:r w:rsidRPr="00A428C3">
        <w:t xml:space="preserve"> at an initial pH of 6.0</w:t>
      </w:r>
      <w:r w:rsidR="00F81221">
        <w:t xml:space="preserve"> and </w:t>
      </w:r>
      <w:r w:rsidRPr="00A428C3">
        <w:t>at 32±0.5</w:t>
      </w:r>
      <w:r w:rsidR="008A7E71">
        <w:t>°</w:t>
      </w:r>
      <w:r w:rsidRPr="00A428C3">
        <w:t>C. The influence of pH on dye removal was not significant</w:t>
      </w:r>
      <w:r w:rsidR="00F81221">
        <w:t xml:space="preserve"> and </w:t>
      </w:r>
      <w:r w:rsidRPr="00A428C3">
        <w:t>the adsorption capacity increased with increase in temperature. A portion of the dye was recovered from the spent carbon using 50% acetic acid (v/v).</w:t>
      </w:r>
    </w:p>
    <w:p w:rsidR="00B95188" w:rsidRPr="00A428C3" w:rsidRDefault="00B95188" w:rsidP="00B95188">
      <w:pPr>
        <w:pStyle w:val="a0"/>
      </w:pPr>
      <w:r w:rsidRPr="00A428C3">
        <w:t xml:space="preserve">Keywords: Activated Carbon, Adsorbent, Adsorption, Aqueous-Solutions, Blue, Dye, Dyes, Mass-Transfer, </w:t>
      </w:r>
      <w:smartTag w:uri="urn:schemas-microsoft-com:office:smarttags" w:element="place">
        <w:smartTag w:uri="urn:schemas-microsoft-com:office:smarttags" w:element="City">
          <w:r w:rsidRPr="00A428C3">
            <w:t>Orange</w:t>
          </w:r>
        </w:smartTag>
      </w:smartTag>
      <w:r w:rsidRPr="00A428C3">
        <w:t xml:space="preserve"> Peel, Peel, Removal, Solid-Waste</w:t>
      </w:r>
    </w:p>
    <w:p w:rsidR="00E23969" w:rsidRDefault="00E23969" w:rsidP="00E23969">
      <w:pPr>
        <w:pStyle w:val="a0"/>
        <w:rPr>
          <w:kern w:val="0"/>
          <w:szCs w:val="24"/>
        </w:rPr>
      </w:pPr>
      <w:r>
        <w:rPr>
          <w:rFonts w:hint="eastAsia"/>
          <w:kern w:val="0"/>
          <w:szCs w:val="24"/>
        </w:rPr>
        <w:t xml:space="preserve">? </w:t>
      </w:r>
      <w:r>
        <w:rPr>
          <w:kern w:val="0"/>
          <w:szCs w:val="24"/>
        </w:rPr>
        <w:t>Sarkar, M.</w:t>
      </w:r>
      <w:r w:rsidR="00F81221">
        <w:rPr>
          <w:kern w:val="0"/>
          <w:szCs w:val="24"/>
        </w:rPr>
        <w:t xml:space="preserve"> and </w:t>
      </w:r>
      <w:r>
        <w:rPr>
          <w:kern w:val="0"/>
          <w:szCs w:val="24"/>
        </w:rPr>
        <w:t>Datta, P.K. (2002), Sorption aided process for the removal</w:t>
      </w:r>
      <w:r w:rsidR="00F81221">
        <w:rPr>
          <w:kern w:val="0"/>
          <w:szCs w:val="24"/>
        </w:rPr>
        <w:t xml:space="preserve"> and </w:t>
      </w:r>
      <w:r>
        <w:rPr>
          <w:kern w:val="0"/>
          <w:szCs w:val="24"/>
        </w:rPr>
        <w:t xml:space="preserve">recovery of Zinc(II) using salicylaldoxime immobilised silica gel. </w:t>
      </w:r>
      <w:r>
        <w:rPr>
          <w:i/>
          <w:iCs/>
          <w:kern w:val="0"/>
          <w:szCs w:val="24"/>
        </w:rPr>
        <w:t>Indian Journal of Chemical Technology</w:t>
      </w:r>
      <w:r>
        <w:rPr>
          <w:kern w:val="0"/>
          <w:szCs w:val="24"/>
        </w:rPr>
        <w:t xml:space="preserve">, </w:t>
      </w:r>
      <w:r>
        <w:rPr>
          <w:b/>
          <w:bCs/>
          <w:kern w:val="0"/>
          <w:szCs w:val="24"/>
        </w:rPr>
        <w:t>9</w:t>
      </w:r>
      <w:r>
        <w:rPr>
          <w:kern w:val="0"/>
          <w:szCs w:val="24"/>
        </w:rPr>
        <w:t xml:space="preserve"> (3), 245-250.</w:t>
      </w:r>
    </w:p>
    <w:p w:rsidR="00E23969" w:rsidRDefault="00E23969" w:rsidP="00E23969">
      <w:pPr>
        <w:pStyle w:val="a0"/>
        <w:rPr>
          <w:kern w:val="0"/>
          <w:szCs w:val="24"/>
        </w:rPr>
      </w:pPr>
      <w:r>
        <w:rPr>
          <w:kern w:val="0"/>
          <w:szCs w:val="24"/>
        </w:rPr>
        <w:t>Abstract: Salicylaldoxime immobilised silica gel was used as an effective solid phase surface, for the preconcentration, removal or recovery of zinc ion from aqueous phase. The efficiency was tested by the equilibrium sorption study both in batch</w:t>
      </w:r>
      <w:r w:rsidR="00F81221">
        <w:rPr>
          <w:kern w:val="0"/>
          <w:szCs w:val="24"/>
        </w:rPr>
        <w:t xml:space="preserve"> and </w:t>
      </w:r>
      <w:r>
        <w:rPr>
          <w:kern w:val="0"/>
          <w:szCs w:val="24"/>
        </w:rPr>
        <w:t>column operations. The efficiency increases with the shaking period, agitation speed, adsorbent dose, temperature</w:t>
      </w:r>
      <w:r w:rsidR="00F81221">
        <w:rPr>
          <w:kern w:val="0"/>
          <w:szCs w:val="24"/>
        </w:rPr>
        <w:t xml:space="preserve"> and </w:t>
      </w:r>
      <w:r>
        <w:rPr>
          <w:kern w:val="0"/>
          <w:szCs w:val="24"/>
        </w:rPr>
        <w:t>flow rate but is independent on the volume of the solution. Maximum adsorption was found to occur at pH 5.5. Alkali metal, alkaline earth metal</w:t>
      </w:r>
      <w:r w:rsidR="00F81221">
        <w:rPr>
          <w:kern w:val="0"/>
          <w:szCs w:val="24"/>
        </w:rPr>
        <w:t xml:space="preserve"> and </w:t>
      </w:r>
      <w:r>
        <w:rPr>
          <w:kern w:val="0"/>
          <w:szCs w:val="24"/>
        </w:rPr>
        <w:t>ammonium salts do not influence the adsorption process. Heavy metal ions viz. Cu(II), Ni(II), Co(II)</w:t>
      </w:r>
      <w:r w:rsidR="00F81221">
        <w:rPr>
          <w:kern w:val="0"/>
          <w:szCs w:val="24"/>
        </w:rPr>
        <w:t xml:space="preserve"> and </w:t>
      </w:r>
      <w:r>
        <w:rPr>
          <w:kern w:val="0"/>
          <w:szCs w:val="24"/>
        </w:rPr>
        <w:t>Fe(III) get adsorbed by the said process but at much different pH values. Complexing ligands like EDTA</w:t>
      </w:r>
      <w:r w:rsidR="00F81221">
        <w:rPr>
          <w:kern w:val="0"/>
          <w:szCs w:val="24"/>
        </w:rPr>
        <w:t xml:space="preserve"> and </w:t>
      </w:r>
      <w:r>
        <w:rPr>
          <w:kern w:val="0"/>
          <w:szCs w:val="24"/>
        </w:rPr>
        <w:t>cyanide markedly decrease the adsorption of Zn(II) by the said procedure. The adsorption data fits well the Langmuir adsorption isotherm model. The negative free energy change indicates that the process is favourable as well as spontaneous. The merit of the process lies with its high preconcentration factor.</w:t>
      </w:r>
    </w:p>
    <w:p w:rsidR="00E23969" w:rsidRDefault="00E23969" w:rsidP="00E23969">
      <w:pPr>
        <w:pStyle w:val="a0"/>
        <w:rPr>
          <w:kern w:val="0"/>
          <w:szCs w:val="24"/>
        </w:rPr>
      </w:pPr>
      <w:r>
        <w:rPr>
          <w:kern w:val="0"/>
          <w:szCs w:val="24"/>
        </w:rPr>
        <w:t xml:space="preserve">Keywords: Adsorption, Adsorption Isotherm, Alkaline-Earth, Aqueous-Solution, </w:t>
      </w:r>
      <w:r>
        <w:rPr>
          <w:kern w:val="0"/>
          <w:szCs w:val="24"/>
        </w:rPr>
        <w:lastRenderedPageBreak/>
        <w:t xml:space="preserve">Atomic-Absorption Spectrometry, Batch, Co(II), Cu(II), EDTA, Equilibrium, Heavy Metal, Heavy Metal Ions, Ion-Exchange Separation, Isotherm, Langmuir, Langmuir Adsorption Isotherm, Metal Ions, Metal-Ions, Model, </w:t>
      </w:r>
      <w:r>
        <w:rPr>
          <w:rFonts w:hint="eastAsia"/>
          <w:kern w:val="0"/>
          <w:szCs w:val="24"/>
        </w:rPr>
        <w:t>p</w:t>
      </w:r>
      <w:r>
        <w:rPr>
          <w:kern w:val="0"/>
          <w:szCs w:val="24"/>
        </w:rPr>
        <w:t>H, Pre-Concentration, Preconcentration, Removal, Sea-Water, Silica, Sorption, Temperature, Trace-Metals, Waste-Water, Zinc, Zinc Ion, Zinc(II)</w:t>
      </w:r>
    </w:p>
    <w:p w:rsidR="00BD155A" w:rsidRDefault="00BD155A" w:rsidP="00BD155A">
      <w:pPr>
        <w:pStyle w:val="a0"/>
        <w:rPr>
          <w:kern w:val="0"/>
        </w:rPr>
      </w:pPr>
      <w:r>
        <w:rPr>
          <w:rFonts w:hint="eastAsia"/>
          <w:kern w:val="0"/>
        </w:rPr>
        <w:t xml:space="preserve">? </w:t>
      </w:r>
      <w:r>
        <w:rPr>
          <w:kern w:val="0"/>
        </w:rPr>
        <w:t>Khan, A.A., Niwas, R.</w:t>
      </w:r>
      <w:r w:rsidR="00F81221">
        <w:rPr>
          <w:kern w:val="0"/>
        </w:rPr>
        <w:t xml:space="preserve"> and </w:t>
      </w:r>
      <w:r>
        <w:rPr>
          <w:kern w:val="0"/>
        </w:rPr>
        <w:t xml:space="preserve">Alam, M.M. (2002), Ion-exchange kinetics on styrene supported zirconium(IV) tungstophosphate: An organic-inorganic type cation exchanger. </w:t>
      </w:r>
      <w:r>
        <w:rPr>
          <w:i/>
          <w:iCs/>
          <w:kern w:val="0"/>
        </w:rPr>
        <w:t>Indian Journal of Chemical Technology</w:t>
      </w:r>
      <w:r>
        <w:rPr>
          <w:kern w:val="0"/>
        </w:rPr>
        <w:t xml:space="preserve">, </w:t>
      </w:r>
      <w:r>
        <w:rPr>
          <w:b/>
          <w:bCs/>
          <w:kern w:val="0"/>
        </w:rPr>
        <w:t>9</w:t>
      </w:r>
      <w:r>
        <w:rPr>
          <w:kern w:val="0"/>
        </w:rPr>
        <w:t xml:space="preserve"> (3), 256-260.</w:t>
      </w:r>
    </w:p>
    <w:p w:rsidR="00BD155A" w:rsidRDefault="00BD155A" w:rsidP="00BD155A">
      <w:pPr>
        <w:pStyle w:val="a0"/>
        <w:rPr>
          <w:kern w:val="0"/>
        </w:rPr>
      </w:pPr>
      <w:r>
        <w:rPr>
          <w:kern w:val="0"/>
        </w:rPr>
        <w:t>Abstract: Kinetics of exchange reaction of Mg</w:t>
      </w:r>
      <w:r w:rsidRPr="00DB1475">
        <w:rPr>
          <w:kern w:val="0"/>
          <w:vertAlign w:val="superscript"/>
        </w:rPr>
        <w:t>2+</w:t>
      </w:r>
      <w:r>
        <w:rPr>
          <w:kern w:val="0"/>
        </w:rPr>
        <w:t>, Ca</w:t>
      </w:r>
      <w:r w:rsidRPr="00DB1475">
        <w:rPr>
          <w:kern w:val="0"/>
          <w:vertAlign w:val="superscript"/>
        </w:rPr>
        <w:t>2+</w:t>
      </w:r>
      <w:r>
        <w:rPr>
          <w:kern w:val="0"/>
        </w:rPr>
        <w:t>, Sr</w:t>
      </w:r>
      <w:r w:rsidRPr="00DB1475">
        <w:rPr>
          <w:kern w:val="0"/>
          <w:vertAlign w:val="superscript"/>
        </w:rPr>
        <w:t>2+</w:t>
      </w:r>
      <w:r>
        <w:rPr>
          <w:kern w:val="0"/>
        </w:rPr>
        <w:t>, Ba</w:t>
      </w:r>
      <w:r w:rsidRPr="00DB1475">
        <w:rPr>
          <w:kern w:val="0"/>
          <w:vertAlign w:val="superscript"/>
        </w:rPr>
        <w:t>2+</w:t>
      </w:r>
      <w:r>
        <w:rPr>
          <w:kern w:val="0"/>
        </w:rPr>
        <w:t>, Cu</w:t>
      </w:r>
      <w:r w:rsidRPr="00DB1475">
        <w:rPr>
          <w:kern w:val="0"/>
          <w:vertAlign w:val="superscript"/>
        </w:rPr>
        <w:t>2+</w:t>
      </w:r>
      <w:r>
        <w:rPr>
          <w:kern w:val="0"/>
        </w:rPr>
        <w:t>, Mn</w:t>
      </w:r>
      <w:r w:rsidRPr="00DB1475">
        <w:rPr>
          <w:kern w:val="0"/>
          <w:vertAlign w:val="superscript"/>
        </w:rPr>
        <w:t>2+</w:t>
      </w:r>
      <w:r>
        <w:rPr>
          <w:kern w:val="0"/>
        </w:rPr>
        <w:t>, Ni</w:t>
      </w:r>
      <w:r w:rsidRPr="00DB1475">
        <w:rPr>
          <w:kern w:val="0"/>
          <w:vertAlign w:val="superscript"/>
        </w:rPr>
        <w:t>2+</w:t>
      </w:r>
      <w:r w:rsidR="00F81221">
        <w:rPr>
          <w:kern w:val="0"/>
        </w:rPr>
        <w:t xml:space="preserve"> and </w:t>
      </w:r>
      <w:r>
        <w:rPr>
          <w:kern w:val="0"/>
        </w:rPr>
        <w:t>Zn</w:t>
      </w:r>
      <w:r w:rsidRPr="00DB1475">
        <w:rPr>
          <w:kern w:val="0"/>
          <w:vertAlign w:val="superscript"/>
        </w:rPr>
        <w:t>2+</w:t>
      </w:r>
      <w:r>
        <w:rPr>
          <w:kern w:val="0"/>
        </w:rPr>
        <w:t xml:space="preserve"> on styrene supported zirconium (IV) tungstophosphate cation exchanger has been studied at 25, 33, 50</w:t>
      </w:r>
      <w:r w:rsidR="00F81221">
        <w:rPr>
          <w:kern w:val="0"/>
        </w:rPr>
        <w:t xml:space="preserve"> and </w:t>
      </w:r>
      <w:r>
        <w:rPr>
          <w:kern w:val="0"/>
        </w:rPr>
        <w:t>65°C. The rate of exchange is found to be particle diffusion controlled at a metal ion concentration greater than or equal to0.02 M in aqueous medium. Various kinetic parameters such as-diffusion coefficient, D-0, energy of activation, E-a</w:t>
      </w:r>
      <w:r w:rsidR="00F81221">
        <w:rPr>
          <w:kern w:val="0"/>
        </w:rPr>
        <w:t xml:space="preserve"> and </w:t>
      </w:r>
      <w:r>
        <w:rPr>
          <w:kern w:val="0"/>
        </w:rPr>
        <w:t xml:space="preserve">entropy of activation, </w:t>
      </w:r>
      <w:r>
        <w:rPr>
          <w:kern w:val="0"/>
        </w:rPr>
        <w:sym w:font="Symbol" w:char="F044"/>
      </w:r>
      <w:r>
        <w:rPr>
          <w:kern w:val="0"/>
        </w:rPr>
        <w:t>S°, have been calculated.</w:t>
      </w:r>
    </w:p>
    <w:p w:rsidR="00BD155A" w:rsidRDefault="00BD155A" w:rsidP="00BD155A">
      <w:pPr>
        <w:pStyle w:val="a0"/>
        <w:rPr>
          <w:kern w:val="0"/>
        </w:rPr>
      </w:pPr>
      <w:r>
        <w:rPr>
          <w:kern w:val="0"/>
        </w:rPr>
        <w:t>Keywords: Cation-Exchanger, Diffusion, Exchange, Ion Exchange, Ion Exchange Kinetics, Kinetic, Kinetics, Metal-Ions, Ni</w:t>
      </w:r>
      <w:r w:rsidRPr="00DB1475">
        <w:rPr>
          <w:kern w:val="0"/>
          <w:vertAlign w:val="superscript"/>
        </w:rPr>
        <w:t>2+</w:t>
      </w:r>
    </w:p>
    <w:p w:rsidR="00E23969" w:rsidRDefault="00E23969" w:rsidP="00E23969">
      <w:pPr>
        <w:pStyle w:val="a0"/>
        <w:rPr>
          <w:kern w:val="0"/>
          <w:szCs w:val="24"/>
        </w:rPr>
      </w:pPr>
      <w:r>
        <w:rPr>
          <w:rFonts w:hint="eastAsia"/>
          <w:kern w:val="0"/>
          <w:szCs w:val="24"/>
        </w:rPr>
        <w:t xml:space="preserve">? </w:t>
      </w:r>
      <w:r>
        <w:rPr>
          <w:kern w:val="0"/>
          <w:szCs w:val="24"/>
        </w:rPr>
        <w:t>Singh, D.K., Srivastava, B.</w:t>
      </w:r>
      <w:r w:rsidR="00F81221">
        <w:rPr>
          <w:kern w:val="0"/>
          <w:szCs w:val="24"/>
        </w:rPr>
        <w:t xml:space="preserve"> and </w:t>
      </w:r>
      <w:r>
        <w:rPr>
          <w:kern w:val="0"/>
          <w:szCs w:val="24"/>
        </w:rPr>
        <w:t>Yadav, P. (2002), Iron oxide coated sand as an adsorbent for separation</w:t>
      </w:r>
      <w:r w:rsidR="00F81221">
        <w:rPr>
          <w:kern w:val="0"/>
          <w:szCs w:val="24"/>
        </w:rPr>
        <w:t xml:space="preserve"> and </w:t>
      </w:r>
      <w:r>
        <w:rPr>
          <w:kern w:val="0"/>
          <w:szCs w:val="24"/>
        </w:rPr>
        <w:t xml:space="preserve">removal of phenols. </w:t>
      </w:r>
      <w:r>
        <w:rPr>
          <w:i/>
          <w:iCs/>
          <w:kern w:val="0"/>
          <w:szCs w:val="24"/>
        </w:rPr>
        <w:t>Indian Journal of Chemical Technology</w:t>
      </w:r>
      <w:r>
        <w:rPr>
          <w:kern w:val="0"/>
          <w:szCs w:val="24"/>
        </w:rPr>
        <w:t xml:space="preserve">, </w:t>
      </w:r>
      <w:r>
        <w:rPr>
          <w:b/>
          <w:bCs/>
          <w:kern w:val="0"/>
          <w:szCs w:val="24"/>
        </w:rPr>
        <w:t>9</w:t>
      </w:r>
      <w:r>
        <w:rPr>
          <w:kern w:val="0"/>
          <w:szCs w:val="24"/>
        </w:rPr>
        <w:t xml:space="preserve"> (4), 285-289.</w:t>
      </w:r>
    </w:p>
    <w:p w:rsidR="00E23969" w:rsidRDefault="00E23969" w:rsidP="00E23969">
      <w:pPr>
        <w:pStyle w:val="a0"/>
        <w:rPr>
          <w:kern w:val="0"/>
          <w:szCs w:val="24"/>
        </w:rPr>
      </w:pPr>
      <w:r>
        <w:rPr>
          <w:kern w:val="0"/>
          <w:szCs w:val="24"/>
        </w:rPr>
        <w:t>Abstract: Iron oxides were coated onto the surface-of sand,, an phenolic compounds. These form. complexes on the surface of hydrous iron oxide. Probably, the coordination of ligands with the central metal ion occurs through the phenolic oxygen. Adsorption capacities, rate of adsorption</w:t>
      </w:r>
      <w:r w:rsidR="00F81221">
        <w:rPr>
          <w:kern w:val="0"/>
          <w:szCs w:val="24"/>
        </w:rPr>
        <w:t xml:space="preserve"> and </w:t>
      </w:r>
      <w:r>
        <w:rPr>
          <w:kern w:val="0"/>
          <w:szCs w:val="24"/>
        </w:rPr>
        <w:t>breakthrough curves were studied. The adsorption of phenols remains same in the pH range 3-6. Distribution coefficients (K-d) of 17 phenols were determined in water</w:t>
      </w:r>
      <w:r w:rsidR="00F81221">
        <w:rPr>
          <w:kern w:val="0"/>
          <w:szCs w:val="24"/>
        </w:rPr>
        <w:t xml:space="preserve"> and </w:t>
      </w:r>
      <w:r>
        <w:rPr>
          <w:kern w:val="0"/>
          <w:szCs w:val="24"/>
        </w:rPr>
        <w:t>sodium hydroxide solutions (0.1-0.5 M). On the basis of difference in K-d values some quantitative separation of phenols were achieved. The adsorbed phenols were desorbed quantitatively with 1 M NaOH</w:t>
      </w:r>
      <w:r w:rsidR="00F81221">
        <w:rPr>
          <w:kern w:val="0"/>
          <w:szCs w:val="24"/>
        </w:rPr>
        <w:t xml:space="preserve"> and </w:t>
      </w:r>
      <w:r>
        <w:rPr>
          <w:kern w:val="0"/>
          <w:szCs w:val="24"/>
        </w:rPr>
        <w:t>the same column could be used for 4-5 cycles consecutively. A small phenol removal unit was also studied for phenol removal from water.</w:t>
      </w:r>
    </w:p>
    <w:p w:rsidR="00E23969" w:rsidRDefault="00E23969" w:rsidP="00E23969">
      <w:pPr>
        <w:pStyle w:val="a0"/>
        <w:rPr>
          <w:kern w:val="0"/>
          <w:szCs w:val="24"/>
        </w:rPr>
      </w:pPr>
      <w:r>
        <w:rPr>
          <w:kern w:val="0"/>
          <w:szCs w:val="24"/>
        </w:rPr>
        <w:t xml:space="preserve">Keywords: Adsorption, Breakthrough, Compounds, Desorption, Distribution, Goethite Alpha-Feooh, Humic Substances, Hydrous Oxides, Iron, Iron Oxide, Mechanisms, Natural Organic-Matter, </w:t>
      </w:r>
      <w:r>
        <w:rPr>
          <w:rFonts w:hint="eastAsia"/>
          <w:kern w:val="0"/>
          <w:szCs w:val="24"/>
        </w:rPr>
        <w:t>p</w:t>
      </w:r>
      <w:r>
        <w:rPr>
          <w:kern w:val="0"/>
          <w:szCs w:val="24"/>
        </w:rPr>
        <w:t>H, Phenol, Phenols, Removal, Sand, Sorption, Surface, Water</w:t>
      </w:r>
    </w:p>
    <w:p w:rsidR="00E23969" w:rsidRDefault="00E23969" w:rsidP="00E23969">
      <w:pPr>
        <w:pStyle w:val="a0"/>
        <w:rPr>
          <w:kern w:val="0"/>
          <w:szCs w:val="24"/>
        </w:rPr>
      </w:pPr>
      <w:r>
        <w:rPr>
          <w:rFonts w:hint="eastAsia"/>
          <w:kern w:val="0"/>
          <w:szCs w:val="24"/>
        </w:rPr>
        <w:t xml:space="preserve">? </w:t>
      </w:r>
      <w:r>
        <w:rPr>
          <w:kern w:val="0"/>
          <w:szCs w:val="24"/>
        </w:rPr>
        <w:t>Bansal, R.C., Aggarwal, D., Goyal, M.</w:t>
      </w:r>
      <w:r w:rsidR="00F81221">
        <w:rPr>
          <w:kern w:val="0"/>
          <w:szCs w:val="24"/>
        </w:rPr>
        <w:t xml:space="preserve"> and </w:t>
      </w:r>
      <w:r>
        <w:rPr>
          <w:kern w:val="0"/>
          <w:szCs w:val="24"/>
        </w:rPr>
        <w:t xml:space="preserve">Kaistha, B.C. (2002), Influence of carbon-oxygen surface groups on the adsorption of phenol by activated carbons. </w:t>
      </w:r>
      <w:r>
        <w:rPr>
          <w:i/>
          <w:iCs/>
          <w:kern w:val="0"/>
          <w:szCs w:val="24"/>
        </w:rPr>
        <w:t>Indian Journal of Chemical Technology</w:t>
      </w:r>
      <w:r>
        <w:rPr>
          <w:kern w:val="0"/>
          <w:szCs w:val="24"/>
        </w:rPr>
        <w:t xml:space="preserve">, </w:t>
      </w:r>
      <w:r>
        <w:rPr>
          <w:b/>
          <w:bCs/>
          <w:kern w:val="0"/>
          <w:szCs w:val="24"/>
        </w:rPr>
        <w:t>9</w:t>
      </w:r>
      <w:r>
        <w:rPr>
          <w:kern w:val="0"/>
          <w:szCs w:val="24"/>
        </w:rPr>
        <w:t xml:space="preserve"> (4), 290-296.</w:t>
      </w:r>
    </w:p>
    <w:p w:rsidR="00E23969" w:rsidRDefault="00E23969" w:rsidP="00E23969">
      <w:pPr>
        <w:pStyle w:val="a0"/>
        <w:rPr>
          <w:kern w:val="0"/>
          <w:szCs w:val="24"/>
        </w:rPr>
      </w:pPr>
      <w:r>
        <w:rPr>
          <w:kern w:val="0"/>
          <w:szCs w:val="24"/>
        </w:rPr>
        <w:t>Abstract: Adsorption isotherms of phenol from its aqeous solutions on four samples of activated carbons having different surface areas</w:t>
      </w:r>
      <w:r w:rsidR="00F81221">
        <w:rPr>
          <w:kern w:val="0"/>
          <w:szCs w:val="24"/>
        </w:rPr>
        <w:t xml:space="preserve"> and </w:t>
      </w:r>
      <w:r>
        <w:rPr>
          <w:kern w:val="0"/>
          <w:szCs w:val="24"/>
        </w:rPr>
        <w:t xml:space="preserve">associated with varying amounts </w:t>
      </w:r>
      <w:r>
        <w:rPr>
          <w:kern w:val="0"/>
          <w:szCs w:val="24"/>
        </w:rPr>
        <w:lastRenderedPageBreak/>
        <w:t>of carbon-oxygen surface groups have been determined in the concentration range 20-100 mg/L. The adsorption of phenol does not depend upon surface area alone but is also influenced by the presence of carbon-oxygen surface groups. The amount of these surface groups was enhanced by oxidation with nitric acid, ammonium persulphate</w:t>
      </w:r>
      <w:r w:rsidR="00F81221">
        <w:rPr>
          <w:kern w:val="0"/>
          <w:szCs w:val="24"/>
        </w:rPr>
        <w:t xml:space="preserve"> and </w:t>
      </w:r>
      <w:r>
        <w:rPr>
          <w:kern w:val="0"/>
          <w:szCs w:val="24"/>
        </w:rPr>
        <w:t>hydrogen peroxide</w:t>
      </w:r>
      <w:r w:rsidR="00F81221">
        <w:rPr>
          <w:kern w:val="0"/>
          <w:szCs w:val="24"/>
        </w:rPr>
        <w:t xml:space="preserve"> and </w:t>
      </w:r>
      <w:r>
        <w:rPr>
          <w:kern w:val="0"/>
          <w:szCs w:val="24"/>
        </w:rPr>
        <w:t>was decreased by degassing the activated carbons at gradually increasing temperatures of 400degrees, 650degrees</w:t>
      </w:r>
      <w:r w:rsidR="00F81221">
        <w:rPr>
          <w:kern w:val="0"/>
          <w:szCs w:val="24"/>
        </w:rPr>
        <w:t xml:space="preserve"> and </w:t>
      </w:r>
      <w:r>
        <w:rPr>
          <w:kern w:val="0"/>
          <w:szCs w:val="24"/>
        </w:rPr>
        <w:t>950degrees. The oxidation of the carbons decreases the adsorption, the extent of decrease depending upon the nature of the oxidative treatment. The adsorption increases on degassing of the carbon samples, the increase depending upon the nature of carbon-oxygen surface groups being eliminated at that temperature on degassing. The results indicate that while the presence of acidic carbon-oxygen surface groups which are evolved as CO2 suppresses the adsorption of phenol, the presence of non-acidic surface groups which are evolved as CO tends to enhance the adsorption of phenol.</w:t>
      </w:r>
    </w:p>
    <w:p w:rsidR="00E23969" w:rsidRDefault="00E23969" w:rsidP="00E23969">
      <w:pPr>
        <w:pStyle w:val="a0"/>
        <w:rPr>
          <w:kern w:val="0"/>
          <w:szCs w:val="24"/>
        </w:rPr>
      </w:pPr>
      <w:r>
        <w:rPr>
          <w:kern w:val="0"/>
          <w:szCs w:val="24"/>
        </w:rPr>
        <w:t>Keywords: Adsorption, Adsorption Isotherms, Aqueous-Solutions, Behavior, Carbon, Co, CO</w:t>
      </w:r>
      <w:r w:rsidRPr="00AE0805">
        <w:rPr>
          <w:kern w:val="0"/>
          <w:szCs w:val="24"/>
          <w:vertAlign w:val="subscript"/>
        </w:rPr>
        <w:t>2</w:t>
      </w:r>
      <w:r>
        <w:rPr>
          <w:kern w:val="0"/>
          <w:szCs w:val="24"/>
        </w:rPr>
        <w:t>, Isotherms, Oxidation, Oxidative Treatment, Phenol, Polymer Carbons, Temperature, Treatment, Vapor, Water</w:t>
      </w:r>
    </w:p>
    <w:p w:rsidR="00B95188" w:rsidRPr="00A428C3" w:rsidRDefault="00B95188" w:rsidP="00B95188">
      <w:pPr>
        <w:pStyle w:val="a0"/>
      </w:pPr>
      <w:r w:rsidRPr="00A428C3">
        <w:t>? Prasad, H.H., Popat, K.M.</w:t>
      </w:r>
      <w:r w:rsidR="00F81221">
        <w:t xml:space="preserve"> and </w:t>
      </w:r>
      <w:r w:rsidRPr="00A428C3">
        <w:t>Anand, P.S. (2002), Synthesis of crosslinked methacrylic acid-co-ethyleneglycol dimethacrylate polymers for the removal of copper</w:t>
      </w:r>
      <w:r w:rsidR="00F81221">
        <w:t xml:space="preserve"> and </w:t>
      </w:r>
      <w:r w:rsidRPr="00A428C3">
        <w:t xml:space="preserve">nickel from water. </w:t>
      </w:r>
      <w:r w:rsidRPr="00A428C3">
        <w:rPr>
          <w:i/>
          <w:iCs/>
        </w:rPr>
        <w:t>Indian Journal of Chemical Technology</w:t>
      </w:r>
      <w:r w:rsidRPr="00A428C3">
        <w:t xml:space="preserve">, </w:t>
      </w:r>
      <w:r w:rsidRPr="00A428C3">
        <w:rPr>
          <w:b/>
        </w:rPr>
        <w:t>9</w:t>
      </w:r>
      <w:r w:rsidRPr="00A428C3">
        <w:t xml:space="preserve"> (5), 385-392.</w:t>
      </w:r>
    </w:p>
    <w:p w:rsidR="00B95188" w:rsidRPr="00A428C3" w:rsidRDefault="00B95188" w:rsidP="00B95188">
      <w:pPr>
        <w:pStyle w:val="a0"/>
      </w:pPr>
      <w:r w:rsidRPr="00A428C3">
        <w:t>Abstract: Crosslinked copolymers based on methacrylic acid</w:t>
      </w:r>
      <w:r w:rsidR="00F81221">
        <w:t xml:space="preserve"> and </w:t>
      </w:r>
      <w:r w:rsidRPr="00A428C3">
        <w:t>ethyleneglycol dimethacrylate were prepared by suspension polymerization</w:t>
      </w:r>
      <w:r w:rsidR="00F81221">
        <w:t xml:space="preserve"> and </w:t>
      </w:r>
      <w:r w:rsidRPr="00A428C3">
        <w:t>investigated for their ability to remove copper</w:t>
      </w:r>
      <w:r w:rsidR="00F81221">
        <w:t xml:space="preserve"> and </w:t>
      </w:r>
      <w:r w:rsidRPr="00A428C3">
        <w:t>nickel at trace level from heavy metal polluted water. The copolymers were characterized for physico-chemical properties like surface area, porosity</w:t>
      </w:r>
      <w:r w:rsidR="00F81221">
        <w:t xml:space="preserve"> and </w:t>
      </w:r>
      <w:r w:rsidRPr="00A428C3">
        <w:t>scientific weight capacity, The Langmuir</w:t>
      </w:r>
      <w:r w:rsidR="00F81221">
        <w:t xml:space="preserve"> and </w:t>
      </w:r>
      <w:r w:rsidRPr="00A428C3">
        <w:t>Freundlich adsorption isotherms were used to represent the experimental data. Saphn-Schlunder</w:t>
      </w:r>
      <w:r w:rsidR="00F81221">
        <w:t xml:space="preserve"> and </w:t>
      </w:r>
      <w:r w:rsidRPr="00A428C3">
        <w:t>Morris-Webber models applied to determine the external</w:t>
      </w:r>
      <w:r w:rsidR="00F81221">
        <w:t xml:space="preserve"> and </w:t>
      </w:r>
      <w:r w:rsidRPr="00A428C3">
        <w:t>intraparticle diffusion coefficients. The absorption process follows first order kinetics</w:t>
      </w:r>
      <w:r w:rsidR="00F81221">
        <w:t xml:space="preserve"> and </w:t>
      </w:r>
      <w:r w:rsidRPr="00A428C3">
        <w:t>the specific rate constant Kr was obtained by the application of Lagergan equation. Concentration ratios of 1:60</w:t>
      </w:r>
      <w:r w:rsidR="00F81221">
        <w:t xml:space="preserve"> and </w:t>
      </w:r>
      <w:r w:rsidRPr="00A428C3">
        <w:t>1:30 have been achieved for nickel</w:t>
      </w:r>
      <w:r w:rsidR="00F81221">
        <w:t xml:space="preserve"> and </w:t>
      </w:r>
      <w:r w:rsidRPr="00A428C3">
        <w:t>copper respectively under dynamic conditions.</w:t>
      </w:r>
    </w:p>
    <w:p w:rsidR="00B95188" w:rsidRPr="00A428C3" w:rsidRDefault="00B95188" w:rsidP="00B95188">
      <w:pPr>
        <w:pStyle w:val="a0"/>
      </w:pPr>
      <w:r w:rsidRPr="00A428C3">
        <w:t>Keywords: Heavy-Metal Ions, Aqueous-Solutions, Adsorption, Wollastonite, Resins, Carbon</w:t>
      </w:r>
    </w:p>
    <w:p w:rsidR="00E23969" w:rsidRDefault="00E23969" w:rsidP="00E23969">
      <w:pPr>
        <w:pStyle w:val="a0"/>
        <w:rPr>
          <w:kern w:val="0"/>
          <w:szCs w:val="24"/>
        </w:rPr>
      </w:pPr>
      <w:r>
        <w:rPr>
          <w:rFonts w:hint="eastAsia"/>
          <w:kern w:val="0"/>
          <w:szCs w:val="24"/>
        </w:rPr>
        <w:t xml:space="preserve">? </w:t>
      </w:r>
      <w:r>
        <w:rPr>
          <w:kern w:val="0"/>
          <w:szCs w:val="24"/>
        </w:rPr>
        <w:t>Prasad, H.H., Popat, K.M.</w:t>
      </w:r>
      <w:r w:rsidR="00F81221">
        <w:rPr>
          <w:kern w:val="0"/>
          <w:szCs w:val="24"/>
        </w:rPr>
        <w:t xml:space="preserve"> and </w:t>
      </w:r>
      <w:r>
        <w:rPr>
          <w:kern w:val="0"/>
          <w:szCs w:val="24"/>
        </w:rPr>
        <w:t>Anand, P.S. (2002), Synthesis of crosslinked methacrylic acid-co-ethyleneglycol dimethacrylate polymers for the removal of copper</w:t>
      </w:r>
      <w:r w:rsidR="00F81221">
        <w:rPr>
          <w:kern w:val="0"/>
          <w:szCs w:val="24"/>
        </w:rPr>
        <w:t xml:space="preserve"> and </w:t>
      </w:r>
      <w:r>
        <w:rPr>
          <w:kern w:val="0"/>
          <w:szCs w:val="24"/>
        </w:rPr>
        <w:t xml:space="preserve">nickel from water. </w:t>
      </w:r>
      <w:r>
        <w:rPr>
          <w:i/>
          <w:iCs/>
          <w:kern w:val="0"/>
          <w:szCs w:val="24"/>
        </w:rPr>
        <w:t>Indian Journal of Chemical Technology</w:t>
      </w:r>
      <w:r>
        <w:rPr>
          <w:kern w:val="0"/>
          <w:szCs w:val="24"/>
        </w:rPr>
        <w:t xml:space="preserve">, </w:t>
      </w:r>
      <w:r>
        <w:rPr>
          <w:b/>
          <w:bCs/>
          <w:kern w:val="0"/>
          <w:szCs w:val="24"/>
        </w:rPr>
        <w:t>9</w:t>
      </w:r>
      <w:r>
        <w:rPr>
          <w:kern w:val="0"/>
          <w:szCs w:val="24"/>
        </w:rPr>
        <w:t xml:space="preserve"> (5), 385-392.</w:t>
      </w:r>
    </w:p>
    <w:p w:rsidR="00E23969" w:rsidRDefault="00E23969" w:rsidP="00E23969">
      <w:pPr>
        <w:pStyle w:val="a0"/>
        <w:rPr>
          <w:kern w:val="0"/>
          <w:szCs w:val="24"/>
        </w:rPr>
      </w:pPr>
      <w:r>
        <w:rPr>
          <w:kern w:val="0"/>
          <w:szCs w:val="24"/>
        </w:rPr>
        <w:t>Abstract: dCrosslinked copolymers based on methacrylic acid</w:t>
      </w:r>
      <w:r w:rsidR="00F81221">
        <w:rPr>
          <w:kern w:val="0"/>
          <w:szCs w:val="24"/>
        </w:rPr>
        <w:t xml:space="preserve"> and </w:t>
      </w:r>
      <w:r>
        <w:rPr>
          <w:kern w:val="0"/>
          <w:szCs w:val="24"/>
        </w:rPr>
        <w:t xml:space="preserve">ethyleneglycol </w:t>
      </w:r>
      <w:r>
        <w:rPr>
          <w:kern w:val="0"/>
          <w:szCs w:val="24"/>
        </w:rPr>
        <w:lastRenderedPageBreak/>
        <w:t>dimethacrylate were prepared by suspension polymerization</w:t>
      </w:r>
      <w:r w:rsidR="00F81221">
        <w:rPr>
          <w:kern w:val="0"/>
          <w:szCs w:val="24"/>
        </w:rPr>
        <w:t xml:space="preserve"> and </w:t>
      </w:r>
      <w:r>
        <w:rPr>
          <w:kern w:val="0"/>
          <w:szCs w:val="24"/>
        </w:rPr>
        <w:t>investigated for their ability to remove copper</w:t>
      </w:r>
      <w:r w:rsidR="00F81221">
        <w:rPr>
          <w:kern w:val="0"/>
          <w:szCs w:val="24"/>
        </w:rPr>
        <w:t xml:space="preserve"> and </w:t>
      </w:r>
      <w:r>
        <w:rPr>
          <w:kern w:val="0"/>
          <w:szCs w:val="24"/>
        </w:rPr>
        <w:t>nickel at trace level from heavy metal polluted water. The copolymers were characterized for physico-chemical properties like surface area, porosity</w:t>
      </w:r>
      <w:r w:rsidR="00F81221">
        <w:rPr>
          <w:kern w:val="0"/>
          <w:szCs w:val="24"/>
        </w:rPr>
        <w:t xml:space="preserve"> and </w:t>
      </w:r>
      <w:r>
        <w:rPr>
          <w:kern w:val="0"/>
          <w:szCs w:val="24"/>
        </w:rPr>
        <w:t>scientific weight capacity, The Langmuir</w:t>
      </w:r>
      <w:r w:rsidR="00F81221">
        <w:rPr>
          <w:kern w:val="0"/>
          <w:szCs w:val="24"/>
        </w:rPr>
        <w:t xml:space="preserve"> and </w:t>
      </w:r>
      <w:r>
        <w:rPr>
          <w:kern w:val="0"/>
          <w:szCs w:val="24"/>
        </w:rPr>
        <w:t>Freundlich adsorption isotherms were used to represent the experimental data. Saphn-Schlunder</w:t>
      </w:r>
      <w:r w:rsidR="00F81221">
        <w:rPr>
          <w:kern w:val="0"/>
          <w:szCs w:val="24"/>
        </w:rPr>
        <w:t xml:space="preserve"> and </w:t>
      </w:r>
      <w:r>
        <w:rPr>
          <w:kern w:val="0"/>
          <w:szCs w:val="24"/>
        </w:rPr>
        <w:t>Morris-Webber models applied to determine the external</w:t>
      </w:r>
      <w:r w:rsidR="00F81221">
        <w:rPr>
          <w:kern w:val="0"/>
          <w:szCs w:val="24"/>
        </w:rPr>
        <w:t xml:space="preserve"> and </w:t>
      </w:r>
      <w:r>
        <w:rPr>
          <w:kern w:val="0"/>
          <w:szCs w:val="24"/>
        </w:rPr>
        <w:t>intraparticle diffusion coefficients. The absorption process follows first order kinetics</w:t>
      </w:r>
      <w:r w:rsidR="00F81221">
        <w:rPr>
          <w:kern w:val="0"/>
          <w:szCs w:val="24"/>
        </w:rPr>
        <w:t xml:space="preserve"> and </w:t>
      </w:r>
      <w:r>
        <w:rPr>
          <w:kern w:val="0"/>
          <w:szCs w:val="24"/>
        </w:rPr>
        <w:t>the specific rate constant Kr was obtained by the application of Lagergan equation. Concentration ratios of 1:60</w:t>
      </w:r>
      <w:r w:rsidR="00F81221">
        <w:rPr>
          <w:kern w:val="0"/>
          <w:szCs w:val="24"/>
        </w:rPr>
        <w:t xml:space="preserve"> and </w:t>
      </w:r>
      <w:r>
        <w:rPr>
          <w:kern w:val="0"/>
          <w:szCs w:val="24"/>
        </w:rPr>
        <w:t>1:30 have been achieved for nickel</w:t>
      </w:r>
      <w:r w:rsidR="00F81221">
        <w:rPr>
          <w:kern w:val="0"/>
          <w:szCs w:val="24"/>
        </w:rPr>
        <w:t xml:space="preserve"> and </w:t>
      </w:r>
      <w:r>
        <w:rPr>
          <w:kern w:val="0"/>
          <w:szCs w:val="24"/>
        </w:rPr>
        <w:t>copper respectively under dynamic conditions.</w:t>
      </w:r>
    </w:p>
    <w:p w:rsidR="00E23969" w:rsidRDefault="00E23969" w:rsidP="00E23969">
      <w:pPr>
        <w:pStyle w:val="a0"/>
        <w:rPr>
          <w:kern w:val="0"/>
          <w:szCs w:val="24"/>
        </w:rPr>
      </w:pPr>
      <w:r>
        <w:rPr>
          <w:kern w:val="0"/>
          <w:szCs w:val="24"/>
        </w:rPr>
        <w:t>Keywords: Absorption, Adsorption, Adsorption Isotherms, Aqueous-Solutions, Capacity, Carbon, Copper, Diffusion, First Order Kinetics, Freundlich, Freundlich Adsorption Isotherms, Heavy Metal, Heavy-Metal Ions, Isotherms, Kinetics, Lagergan Equation, Langmuir, Models, Nickel, Polymerization, Polymers, Porosity, Removal, Resins, Water, Weight, Wollastonite</w:t>
      </w:r>
    </w:p>
    <w:p w:rsidR="00B95188" w:rsidRPr="00A428C3" w:rsidRDefault="00B95188" w:rsidP="00B95188">
      <w:pPr>
        <w:pStyle w:val="a0"/>
      </w:pPr>
      <w:r w:rsidRPr="00A428C3">
        <w:t>? Kardhikeyan, G., Pius, A.</w:t>
      </w:r>
      <w:r w:rsidR="00F81221">
        <w:t xml:space="preserve"> and </w:t>
      </w:r>
      <w:r w:rsidRPr="00A428C3">
        <w:t>Alagumuthu, G. (2002), Kinetic</w:t>
      </w:r>
      <w:r w:rsidR="00F81221">
        <w:t xml:space="preserve"> and </w:t>
      </w:r>
      <w:r w:rsidRPr="00A428C3">
        <w:t xml:space="preserve">thermodynamic studies on adsorption of fluoride by dolomite. </w:t>
      </w:r>
      <w:r w:rsidRPr="00A428C3">
        <w:rPr>
          <w:i/>
          <w:iCs/>
        </w:rPr>
        <w:t>Indian Journal of Chemical Technology</w:t>
      </w:r>
      <w:r w:rsidRPr="00A428C3">
        <w:t xml:space="preserve">, </w:t>
      </w:r>
      <w:r w:rsidRPr="00A428C3">
        <w:rPr>
          <w:b/>
        </w:rPr>
        <w:t>9</w:t>
      </w:r>
      <w:r w:rsidRPr="00A428C3">
        <w:t xml:space="preserve"> (5), 397-401.</w:t>
      </w:r>
    </w:p>
    <w:p w:rsidR="00B95188" w:rsidRPr="00A428C3" w:rsidRDefault="00B95188" w:rsidP="00B95188">
      <w:pPr>
        <w:pStyle w:val="a0"/>
      </w:pPr>
      <w:r w:rsidRPr="00A428C3">
        <w:t>Abstract: Batch adsorption studies were carried out to determine the effect of adsorbent dose, initial adsorbent concentration</w:t>
      </w:r>
      <w:r w:rsidR="00F81221">
        <w:t xml:space="preserve"> and </w:t>
      </w:r>
      <w:r w:rsidRPr="00A428C3">
        <w:t>temperature oil the adsorption of fluoride by naturally occurring dolomite. The adsorption of fluoride was found to depend oil temperature</w:t>
      </w:r>
      <w:r w:rsidR="00F81221">
        <w:t xml:space="preserve"> and </w:t>
      </w:r>
      <w:r w:rsidRPr="00A428C3">
        <w:t>concentration. The adsorption process followed first-order kinetics. The mechanism of adsorption obeyed Langmuir adsorption isotherm indicating an unimolecular layer pattern. Dolomite possesses considerable defluoridation efficiency at neutral pH</w:t>
      </w:r>
      <w:r w:rsidR="00F81221">
        <w:t xml:space="preserve"> and </w:t>
      </w:r>
      <w:r w:rsidRPr="00A428C3">
        <w:t>hence can be an effective defluoridating material. Thermodynamic studies revealed that the adsorption of fluoride by dolomite is an endothermic process, showing increase in sorption at higher temperature. Also, negative values of DeltaG(o) indicate the spontaneity of the sorption process.</w:t>
      </w:r>
    </w:p>
    <w:p w:rsidR="00B95188" w:rsidRPr="00A428C3" w:rsidRDefault="00B95188" w:rsidP="00B95188">
      <w:pPr>
        <w:pStyle w:val="a0"/>
      </w:pPr>
      <w:r w:rsidRPr="00A428C3">
        <w:t>Keywords: Adsorption, Defluoridation, Fluoride, Kinetics, pH, Removal, Sorption, Water</w:t>
      </w:r>
    </w:p>
    <w:p w:rsidR="00E23969" w:rsidRDefault="00E23969" w:rsidP="00E23969">
      <w:pPr>
        <w:pStyle w:val="a0"/>
        <w:rPr>
          <w:kern w:val="0"/>
          <w:szCs w:val="24"/>
        </w:rPr>
      </w:pPr>
      <w:r>
        <w:rPr>
          <w:rFonts w:hint="eastAsia"/>
          <w:kern w:val="0"/>
          <w:szCs w:val="24"/>
        </w:rPr>
        <w:t xml:space="preserve">? </w:t>
      </w:r>
      <w:r>
        <w:rPr>
          <w:kern w:val="0"/>
          <w:szCs w:val="24"/>
        </w:rPr>
        <w:t>Kadirvelu, K., Sivasankari, C., Jambuligam, M.</w:t>
      </w:r>
      <w:r w:rsidR="00F81221">
        <w:rPr>
          <w:kern w:val="0"/>
          <w:szCs w:val="24"/>
        </w:rPr>
        <w:t xml:space="preserve"> and </w:t>
      </w:r>
      <w:r>
        <w:rPr>
          <w:kern w:val="0"/>
          <w:szCs w:val="24"/>
        </w:rPr>
        <w:t xml:space="preserve">Pattabhi, S. (2002), Activated carbon from parthenium as adsorbent: Adsorption of Hg(II) from aqueous solution. </w:t>
      </w:r>
      <w:r>
        <w:rPr>
          <w:i/>
          <w:iCs/>
          <w:kern w:val="0"/>
          <w:szCs w:val="24"/>
        </w:rPr>
        <w:t>Indian Journal of Chemical Technology</w:t>
      </w:r>
      <w:r>
        <w:rPr>
          <w:kern w:val="0"/>
          <w:szCs w:val="24"/>
        </w:rPr>
        <w:t xml:space="preserve">, </w:t>
      </w:r>
      <w:r>
        <w:rPr>
          <w:b/>
          <w:bCs/>
          <w:kern w:val="0"/>
          <w:szCs w:val="24"/>
        </w:rPr>
        <w:t>9</w:t>
      </w:r>
      <w:r>
        <w:rPr>
          <w:kern w:val="0"/>
          <w:szCs w:val="24"/>
        </w:rPr>
        <w:t xml:space="preserve"> (6), 499-503.</w:t>
      </w:r>
    </w:p>
    <w:p w:rsidR="00E23969" w:rsidRDefault="00E23969" w:rsidP="00E23969">
      <w:pPr>
        <w:pStyle w:val="a0"/>
        <w:rPr>
          <w:kern w:val="0"/>
          <w:szCs w:val="24"/>
        </w:rPr>
      </w:pPr>
      <w:r>
        <w:rPr>
          <w:kern w:val="0"/>
          <w:szCs w:val="24"/>
        </w:rPr>
        <w:t>Abstract: Activated carbon (AC) prepared from parthenium was used to remove Hg(II) from aqueous solution by adsorption technique under varying conditions of agitation time, metal ion concentration, adsorbent dose</w:t>
      </w:r>
      <w:r w:rsidR="00F81221">
        <w:rPr>
          <w:kern w:val="0"/>
          <w:szCs w:val="24"/>
        </w:rPr>
        <w:t xml:space="preserve"> and </w:t>
      </w:r>
      <w:r>
        <w:rPr>
          <w:kern w:val="0"/>
          <w:szCs w:val="24"/>
        </w:rPr>
        <w:t>PH. Adsorption equilibrium reached within 165 min for all concentrations studied (10 to 50 mg/L). Adsorption is dependents on solution PH, Hg(</w:t>
      </w:r>
      <w:r>
        <w:rPr>
          <w:rFonts w:hint="eastAsia"/>
          <w:kern w:val="0"/>
          <w:szCs w:val="24"/>
        </w:rPr>
        <w:t>II</w:t>
      </w:r>
      <w:r>
        <w:rPr>
          <w:kern w:val="0"/>
          <w:szCs w:val="24"/>
        </w:rPr>
        <w:t>) concentration, carbon concentration</w:t>
      </w:r>
      <w:r w:rsidR="00F81221">
        <w:rPr>
          <w:kern w:val="0"/>
          <w:szCs w:val="24"/>
        </w:rPr>
        <w:t xml:space="preserve"> and </w:t>
      </w:r>
      <w:r>
        <w:rPr>
          <w:kern w:val="0"/>
          <w:szCs w:val="24"/>
        </w:rPr>
        <w:t>contact time. Adsorption followed both Langmuir</w:t>
      </w:r>
      <w:r w:rsidR="00F81221">
        <w:rPr>
          <w:kern w:val="0"/>
          <w:szCs w:val="24"/>
        </w:rPr>
        <w:t xml:space="preserve"> and </w:t>
      </w:r>
      <w:r>
        <w:rPr>
          <w:kern w:val="0"/>
          <w:szCs w:val="24"/>
        </w:rPr>
        <w:t xml:space="preserve">Freundlich isotherm models. The </w:t>
      </w:r>
      <w:r>
        <w:rPr>
          <w:kern w:val="0"/>
          <w:szCs w:val="24"/>
        </w:rPr>
        <w:lastRenderedPageBreak/>
        <w:t>adsorption capacity was found to be 10 mg/g of AC at initial PH of 5.0 at 30+2degreesC for tile particle size of 125-250 mum. The percent removal increased with PH from 2 to 6</w:t>
      </w:r>
      <w:r w:rsidR="00F81221">
        <w:rPr>
          <w:kern w:val="0"/>
          <w:szCs w:val="24"/>
        </w:rPr>
        <w:t xml:space="preserve"> and </w:t>
      </w:r>
      <w:r>
        <w:rPr>
          <w:kern w:val="0"/>
          <w:szCs w:val="24"/>
        </w:rPr>
        <w:t>remained constant up to PH 10.0.</w:t>
      </w:r>
    </w:p>
    <w:p w:rsidR="00E23969" w:rsidRDefault="00E23969" w:rsidP="00E23969">
      <w:pPr>
        <w:pStyle w:val="a0"/>
        <w:rPr>
          <w:kern w:val="0"/>
          <w:szCs w:val="24"/>
        </w:rPr>
      </w:pPr>
      <w:r>
        <w:rPr>
          <w:kern w:val="0"/>
          <w:szCs w:val="24"/>
        </w:rPr>
        <w:t>Keywords: Activated Carbon, Adsorption, Adsorption Capacity, Adsorption Equilibrium, Capacity, Carbon, Coirpith, Contact Time, Equilibrium, Freundlich, Freundlich Isotherm, Heavy-Metals, Hg(II), Isotherm, Isotherm Models, Langmuir, Langmuir</w:t>
      </w:r>
      <w:r w:rsidR="00F81221">
        <w:rPr>
          <w:kern w:val="0"/>
          <w:szCs w:val="24"/>
        </w:rPr>
        <w:t xml:space="preserve"> and </w:t>
      </w:r>
      <w:r>
        <w:rPr>
          <w:kern w:val="0"/>
          <w:szCs w:val="24"/>
        </w:rPr>
        <w:t>Freundlich Isotherm, Mercury(II), Models, Ph, Removal, Waste-Water</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Parekh</w:t>
          </w:r>
        </w:smartTag>
        <w:r w:rsidRPr="00A428C3">
          <w:t xml:space="preserve">, </w:t>
        </w:r>
        <w:smartTag w:uri="urn:schemas-microsoft-com:office:smarttags" w:element="State">
          <w:r w:rsidRPr="00A428C3">
            <w:t>D.C.</w:t>
          </w:r>
        </w:smartTag>
      </w:smartTag>
      <w:r w:rsidRPr="00A428C3">
        <w:t>, Patel, J.B., Sudhakar, P.</w:t>
      </w:r>
      <w:r w:rsidR="00F81221">
        <w:t xml:space="preserve"> and </w:t>
      </w:r>
      <w:r w:rsidRPr="00A428C3">
        <w:t xml:space="preserve">Koshy, V.J. (2002), Removal of trace metals with mango seed powder. </w:t>
      </w:r>
      <w:r w:rsidRPr="00A428C3">
        <w:rPr>
          <w:i/>
          <w:iCs/>
        </w:rPr>
        <w:t>Indian Journal of Chemical Technology</w:t>
      </w:r>
      <w:r w:rsidRPr="00A428C3">
        <w:t xml:space="preserve">, </w:t>
      </w:r>
      <w:r w:rsidRPr="00A428C3">
        <w:rPr>
          <w:b/>
        </w:rPr>
        <w:t>9</w:t>
      </w:r>
      <w:r w:rsidRPr="00A428C3">
        <w:t xml:space="preserve"> (6), 540-542.</w:t>
      </w:r>
    </w:p>
    <w:p w:rsidR="00B95188" w:rsidRPr="00A428C3" w:rsidRDefault="00B95188" w:rsidP="00B95188">
      <w:pPr>
        <w:pStyle w:val="a0"/>
      </w:pPr>
      <w:r w:rsidRPr="00A428C3">
        <w:t>Abstract: Removal of heavy metals like Cu, Cd, Ph from aqueous solution was studied using mango seeds powder. Study was carried out in batch technique as a function of contact time, metal ion concentration</w:t>
      </w:r>
      <w:r w:rsidR="00F81221">
        <w:t xml:space="preserve"> and </w:t>
      </w:r>
      <w:r w:rsidRPr="00A428C3">
        <w:t>pH of the solution. The sorption process follows Freundlich sorption isotherm. Maximum sorption was observed at acidic pH itself. The method is applied to various synthetic solutions.</w:t>
      </w:r>
    </w:p>
    <w:p w:rsidR="00B95188" w:rsidRPr="00A428C3" w:rsidRDefault="00B95188" w:rsidP="00B95188">
      <w:pPr>
        <w:pStyle w:val="a0"/>
      </w:pPr>
      <w:r w:rsidRPr="00A428C3">
        <w:t xml:space="preserve">Keywords: Peanut </w:t>
      </w:r>
      <w:smartTag w:uri="urn:schemas-microsoft-com:office:smarttags" w:element="place">
        <w:smartTag w:uri="urn:schemas-microsoft-com:office:smarttags" w:element="City">
          <w:r w:rsidRPr="00A428C3">
            <w:t>Hull</w:t>
          </w:r>
        </w:smartTag>
      </w:smartTag>
      <w:r w:rsidRPr="00A428C3">
        <w:t xml:space="preserve"> Carbon, Industry Waste-Water, Aqueous-Solution, Adsorption, Mercury(II)</w:t>
      </w:r>
    </w:p>
    <w:p w:rsidR="00E23969" w:rsidRDefault="00E23969" w:rsidP="00E23969">
      <w:pPr>
        <w:pStyle w:val="a0"/>
        <w:rPr>
          <w:kern w:val="0"/>
          <w:szCs w:val="24"/>
        </w:rPr>
      </w:pPr>
      <w:r>
        <w:rPr>
          <w:rFonts w:hint="eastAsia"/>
          <w:kern w:val="0"/>
          <w:szCs w:val="24"/>
        </w:rPr>
        <w:t xml:space="preserve">? </w:t>
      </w:r>
      <w:r>
        <w:rPr>
          <w:kern w:val="0"/>
          <w:szCs w:val="24"/>
        </w:rPr>
        <w:t>Lagashetty, A., Mallikarjuna, N.N.</w:t>
      </w:r>
      <w:r w:rsidR="00F81221">
        <w:rPr>
          <w:kern w:val="0"/>
          <w:szCs w:val="24"/>
        </w:rPr>
        <w:t xml:space="preserve"> and </w:t>
      </w:r>
      <w:r>
        <w:rPr>
          <w:kern w:val="0"/>
          <w:szCs w:val="24"/>
        </w:rPr>
        <w:t>Venkataraman, A. (2003), Adsorption studies of lead ions on gamma-Fe</w:t>
      </w:r>
      <w:r w:rsidRPr="00AE0805">
        <w:rPr>
          <w:kern w:val="0"/>
          <w:szCs w:val="24"/>
          <w:vertAlign w:val="subscript"/>
        </w:rPr>
        <w:t>2</w:t>
      </w:r>
      <w:r>
        <w:rPr>
          <w:kern w:val="0"/>
          <w:szCs w:val="24"/>
        </w:rPr>
        <w:t>O</w:t>
      </w:r>
      <w:r w:rsidRPr="00AE0805">
        <w:rPr>
          <w:kern w:val="0"/>
          <w:szCs w:val="24"/>
          <w:vertAlign w:val="subscript"/>
        </w:rPr>
        <w:t>3</w:t>
      </w:r>
      <w:r>
        <w:rPr>
          <w:kern w:val="0"/>
          <w:szCs w:val="24"/>
        </w:rPr>
        <w:t xml:space="preserve">-thiourea complex composite. </w:t>
      </w:r>
      <w:r>
        <w:rPr>
          <w:i/>
          <w:iCs/>
          <w:kern w:val="0"/>
          <w:szCs w:val="24"/>
        </w:rPr>
        <w:t>Indian Journal of Chemical Technology</w:t>
      </w:r>
      <w:r>
        <w:rPr>
          <w:kern w:val="0"/>
          <w:szCs w:val="24"/>
        </w:rPr>
        <w:t xml:space="preserve">, </w:t>
      </w:r>
      <w:r>
        <w:rPr>
          <w:b/>
          <w:bCs/>
          <w:kern w:val="0"/>
          <w:szCs w:val="24"/>
        </w:rPr>
        <w:t>10</w:t>
      </w:r>
      <w:r>
        <w:rPr>
          <w:kern w:val="0"/>
          <w:szCs w:val="24"/>
        </w:rPr>
        <w:t xml:space="preserve"> (1), 63-66.</w:t>
      </w:r>
    </w:p>
    <w:p w:rsidR="00E23969" w:rsidRDefault="00E23969" w:rsidP="00E23969">
      <w:pPr>
        <w:pStyle w:val="a0"/>
        <w:rPr>
          <w:kern w:val="0"/>
          <w:szCs w:val="24"/>
        </w:rPr>
      </w:pPr>
      <w:r>
        <w:rPr>
          <w:kern w:val="0"/>
          <w:szCs w:val="24"/>
        </w:rPr>
        <w:t>Abstract: Adsorption of lead ions in aqueous solution on gamma-Fe2O3-thiourea complex composite is reported. The adsorbent was characterised by X-ray diffraction (XRD), infrared (IR)</w:t>
      </w:r>
      <w:r w:rsidR="00F81221">
        <w:rPr>
          <w:kern w:val="0"/>
          <w:szCs w:val="24"/>
        </w:rPr>
        <w:t xml:space="preserve"> and </w:t>
      </w:r>
      <w:r>
        <w:rPr>
          <w:kern w:val="0"/>
          <w:szCs w:val="24"/>
        </w:rPr>
        <w:t>scanning electron micrograph (SEM) studies. The eluent was subjected to atomic absorption spectroscopy to determine the percentage of the adsorbed lead ions onto the complex composite. IR studies of the complex composite showed that the formation of hydrogen bond from the amine group of the thiourea to the surface hydroxyl groups,</w:t>
      </w:r>
      <w:r w:rsidR="00F81221">
        <w:rPr>
          <w:kern w:val="0"/>
          <w:szCs w:val="24"/>
        </w:rPr>
        <w:t xml:space="preserve"> and </w:t>
      </w:r>
      <w:r>
        <w:rPr>
          <w:kern w:val="0"/>
          <w:szCs w:val="24"/>
        </w:rPr>
        <w:t>lead ions adsorbed on adsorbent shows shift in frequencies</w:t>
      </w:r>
      <w:r w:rsidR="00F81221">
        <w:rPr>
          <w:kern w:val="0"/>
          <w:szCs w:val="24"/>
        </w:rPr>
        <w:t xml:space="preserve"> and </w:t>
      </w:r>
      <w:r>
        <w:rPr>
          <w:kern w:val="0"/>
          <w:szCs w:val="24"/>
        </w:rPr>
        <w:t>with appearance of some new peaks. SEM studies for pure gamma-Fe2O3 show particles in the range of 100-200 nm with varying shape</w:t>
      </w:r>
      <w:r w:rsidR="00F81221">
        <w:rPr>
          <w:kern w:val="0"/>
          <w:szCs w:val="24"/>
        </w:rPr>
        <w:t xml:space="preserve"> and </w:t>
      </w:r>
      <w:r>
        <w:rPr>
          <w:kern w:val="0"/>
          <w:szCs w:val="24"/>
        </w:rPr>
        <w:t>size. The adsorbent shows foam net like structure on the surface of the complex composite. Atomic absorption studies showed the decrease of lead ions to 50% after adsorption with the complex composite. Solution conductivity of the eluent is increased to double that of pure lead solution after adsorption. The potential use of gamma-Fe2O3-thiourea complex composite in adsorption study is explained.</w:t>
      </w:r>
    </w:p>
    <w:p w:rsidR="00E23969" w:rsidRDefault="00E23969" w:rsidP="00E23969">
      <w:pPr>
        <w:pStyle w:val="a0"/>
        <w:rPr>
          <w:kern w:val="0"/>
          <w:szCs w:val="24"/>
        </w:rPr>
      </w:pPr>
      <w:r>
        <w:rPr>
          <w:kern w:val="0"/>
          <w:szCs w:val="24"/>
        </w:rPr>
        <w:t>Keywords: Absorption, Adsorption, Bond-Valence Determination, Complex, Infrared, Lead, Pb(II), SEM, Sorption Products, X-Ray, X-Ray Diffraction, XAFS, XRD</w:t>
      </w:r>
    </w:p>
    <w:p w:rsidR="00E23969" w:rsidRDefault="00E23969" w:rsidP="00E23969">
      <w:pPr>
        <w:pStyle w:val="a0"/>
        <w:rPr>
          <w:kern w:val="0"/>
          <w:szCs w:val="24"/>
        </w:rPr>
      </w:pPr>
      <w:r>
        <w:rPr>
          <w:rFonts w:hint="eastAsia"/>
          <w:kern w:val="0"/>
          <w:szCs w:val="24"/>
        </w:rPr>
        <w:t xml:space="preserve">? </w:t>
      </w:r>
      <w:r>
        <w:rPr>
          <w:kern w:val="0"/>
          <w:szCs w:val="24"/>
        </w:rPr>
        <w:t>Meena, A.</w:t>
      </w:r>
      <w:r w:rsidR="00F81221">
        <w:rPr>
          <w:kern w:val="0"/>
          <w:szCs w:val="24"/>
        </w:rPr>
        <w:t xml:space="preserve"> and </w:t>
      </w:r>
      <w:r>
        <w:rPr>
          <w:kern w:val="0"/>
          <w:szCs w:val="24"/>
        </w:rPr>
        <w:t xml:space="preserve">Rajagopal, C. (2003), Comparative studies on adsorptive removal of chromium from contaminated water using different adsorbents. </w:t>
      </w:r>
      <w:r>
        <w:rPr>
          <w:i/>
          <w:iCs/>
          <w:kern w:val="0"/>
          <w:szCs w:val="24"/>
        </w:rPr>
        <w:t>Indian Journal of Chemical Technology</w:t>
      </w:r>
      <w:r>
        <w:rPr>
          <w:kern w:val="0"/>
          <w:szCs w:val="24"/>
        </w:rPr>
        <w:t xml:space="preserve">, </w:t>
      </w:r>
      <w:r>
        <w:rPr>
          <w:b/>
          <w:bCs/>
          <w:kern w:val="0"/>
          <w:szCs w:val="24"/>
        </w:rPr>
        <w:t>10</w:t>
      </w:r>
      <w:r>
        <w:rPr>
          <w:kern w:val="0"/>
          <w:szCs w:val="24"/>
        </w:rPr>
        <w:t xml:space="preserve"> (1), 72-78.</w:t>
      </w:r>
    </w:p>
    <w:p w:rsidR="00E23969" w:rsidRDefault="00E23969" w:rsidP="00E23969">
      <w:pPr>
        <w:pStyle w:val="a0"/>
        <w:rPr>
          <w:kern w:val="0"/>
          <w:szCs w:val="24"/>
        </w:rPr>
      </w:pPr>
      <w:r>
        <w:rPr>
          <w:kern w:val="0"/>
          <w:szCs w:val="24"/>
        </w:rPr>
        <w:lastRenderedPageBreak/>
        <w:t>Abstract: Chromium, especially the hexavalent form, is toxic to humans. Industries like chrome plating, textile, electroplating discharge Cr(VI) in their effluents. Wastes containing chromium are environmentally persistent</w:t>
      </w:r>
      <w:r w:rsidR="00F81221">
        <w:rPr>
          <w:kern w:val="0"/>
          <w:szCs w:val="24"/>
        </w:rPr>
        <w:t xml:space="preserve"> and </w:t>
      </w:r>
      <w:r>
        <w:rPr>
          <w:kern w:val="0"/>
          <w:szCs w:val="24"/>
        </w:rPr>
        <w:t>toxic,</w:t>
      </w:r>
      <w:r w:rsidR="00F81221">
        <w:rPr>
          <w:kern w:val="0"/>
          <w:szCs w:val="24"/>
        </w:rPr>
        <w:t xml:space="preserve"> and </w:t>
      </w:r>
      <w:r>
        <w:rPr>
          <w:kern w:val="0"/>
          <w:szCs w:val="24"/>
        </w:rPr>
        <w:t>cannot be degraded or detoxified biologically. Various techniques developed for the removal of heavy metals include chemical precipitation, ion exchange</w:t>
      </w:r>
      <w:r w:rsidR="00F81221">
        <w:rPr>
          <w:kern w:val="0"/>
          <w:szCs w:val="24"/>
        </w:rPr>
        <w:t xml:space="preserve"> and </w:t>
      </w:r>
      <w:r>
        <w:rPr>
          <w:kern w:val="0"/>
          <w:szCs w:val="24"/>
        </w:rPr>
        <w:t>adsorption. Activated carbon adsorption systems though widely used are very expensive</w:t>
      </w:r>
      <w:r w:rsidR="00F81221">
        <w:rPr>
          <w:kern w:val="0"/>
          <w:szCs w:val="24"/>
        </w:rPr>
        <w:t xml:space="preserve"> and </w:t>
      </w:r>
      <w:r>
        <w:rPr>
          <w:kern w:val="0"/>
          <w:szCs w:val="24"/>
        </w:rPr>
        <w:t>the regeneration cost is also very high. Therefore, their use in wastewater treatment may not be economically feasible. There is, therefore, a need to identify</w:t>
      </w:r>
      <w:r w:rsidR="00F81221">
        <w:rPr>
          <w:kern w:val="0"/>
          <w:szCs w:val="24"/>
        </w:rPr>
        <w:t xml:space="preserve"> and </w:t>
      </w:r>
      <w:r>
        <w:rPr>
          <w:kern w:val="0"/>
          <w:szCs w:val="24"/>
        </w:rPr>
        <w:t>study adsorptive characteristics of low cost alternatives. The present investigation was, therefore, undertaken to select suit-able locally</w:t>
      </w:r>
      <w:r w:rsidR="00F81221">
        <w:rPr>
          <w:kern w:val="0"/>
          <w:szCs w:val="24"/>
        </w:rPr>
        <w:t xml:space="preserve"> and </w:t>
      </w:r>
      <w:r>
        <w:rPr>
          <w:kern w:val="0"/>
          <w:szCs w:val="24"/>
        </w:rPr>
        <w:t>commercially available adsorbents such as activated alumina, ion exchange resin, with special attention to low cost adsorbents like saw dust, treated saw dust</w:t>
      </w:r>
      <w:r w:rsidR="00F81221">
        <w:rPr>
          <w:kern w:val="0"/>
          <w:szCs w:val="24"/>
        </w:rPr>
        <w:t xml:space="preserve"> and </w:t>
      </w:r>
      <w:r>
        <w:rPr>
          <w:kern w:val="0"/>
          <w:szCs w:val="24"/>
        </w:rPr>
        <w:t>sand,</w:t>
      </w:r>
      <w:r w:rsidR="00F81221">
        <w:rPr>
          <w:kern w:val="0"/>
          <w:szCs w:val="24"/>
        </w:rPr>
        <w:t xml:space="preserve"> and </w:t>
      </w:r>
      <w:r>
        <w:rPr>
          <w:kern w:val="0"/>
          <w:szCs w:val="24"/>
        </w:rPr>
        <w:t>to carry out a comparative study of their applicability to heavy metal removal. The results of these studies are presented in this paper.</w:t>
      </w:r>
    </w:p>
    <w:p w:rsidR="00E23969" w:rsidRDefault="00E23969" w:rsidP="00E23969">
      <w:pPr>
        <w:pStyle w:val="a0"/>
        <w:rPr>
          <w:kern w:val="0"/>
          <w:szCs w:val="24"/>
        </w:rPr>
      </w:pPr>
      <w:r>
        <w:rPr>
          <w:kern w:val="0"/>
          <w:szCs w:val="24"/>
        </w:rPr>
        <w:t>Keywords: Activated Carbon, Activated Carbon Adsorption, Adsorbents, Adsorption, Carbon, Chromium, Cost, Cr(VI), Exchange, Heavy Metal, Heavy Metals, Ion Exchange, Metal Removal, Regeneration, Removal, Resin, Sand, Treatment, Wastewater, Wastewater Treatment, Water</w:t>
      </w:r>
    </w:p>
    <w:p w:rsidR="00E2711B" w:rsidRDefault="00E2711B" w:rsidP="00E2711B">
      <w:pPr>
        <w:pStyle w:val="a0"/>
        <w:rPr>
          <w:kern w:val="0"/>
          <w:szCs w:val="24"/>
        </w:rPr>
      </w:pPr>
      <w:r>
        <w:rPr>
          <w:rFonts w:hint="eastAsia"/>
          <w:kern w:val="0"/>
          <w:szCs w:val="24"/>
        </w:rPr>
        <w:t xml:space="preserve">? </w:t>
      </w:r>
      <w:r>
        <w:rPr>
          <w:kern w:val="0"/>
          <w:szCs w:val="24"/>
        </w:rPr>
        <w:t>Vinod, V.P., Varghese, S.</w:t>
      </w:r>
      <w:r w:rsidR="00F81221">
        <w:rPr>
          <w:kern w:val="0"/>
          <w:szCs w:val="24"/>
        </w:rPr>
        <w:t xml:space="preserve"> and </w:t>
      </w:r>
      <w:r>
        <w:rPr>
          <w:kern w:val="0"/>
          <w:szCs w:val="24"/>
        </w:rPr>
        <w:t xml:space="preserve">Anirudhan, T.S. (2003), Adsorption performance of Zr-pillared montmorillonite for the removal of organic pollutants from aqueous phase. </w:t>
      </w:r>
      <w:r>
        <w:rPr>
          <w:i/>
          <w:iCs/>
          <w:kern w:val="0"/>
          <w:szCs w:val="24"/>
        </w:rPr>
        <w:t>Indian Journal of Chemical Technology</w:t>
      </w:r>
      <w:r>
        <w:rPr>
          <w:kern w:val="0"/>
          <w:szCs w:val="24"/>
        </w:rPr>
        <w:t xml:space="preserve">, </w:t>
      </w:r>
      <w:r>
        <w:rPr>
          <w:b/>
          <w:bCs/>
          <w:kern w:val="0"/>
          <w:szCs w:val="24"/>
        </w:rPr>
        <w:t>10</w:t>
      </w:r>
      <w:r>
        <w:rPr>
          <w:kern w:val="0"/>
          <w:szCs w:val="24"/>
        </w:rPr>
        <w:t xml:space="preserve"> (2), 201-210.</w:t>
      </w:r>
    </w:p>
    <w:p w:rsidR="00E2711B" w:rsidRDefault="00E2711B" w:rsidP="00E2711B">
      <w:pPr>
        <w:pStyle w:val="a0"/>
        <w:rPr>
          <w:kern w:val="0"/>
          <w:szCs w:val="24"/>
        </w:rPr>
      </w:pPr>
      <w:r>
        <w:rPr>
          <w:kern w:val="0"/>
          <w:szCs w:val="24"/>
        </w:rPr>
        <w:t>Abstract: This study examined the effectiveness of Zr-pillared Na-rich montmorillonite (PILC) in removing humic acid (HA)</w:t>
      </w:r>
      <w:r w:rsidR="00F81221">
        <w:rPr>
          <w:kern w:val="0"/>
          <w:szCs w:val="24"/>
        </w:rPr>
        <w:t xml:space="preserve"> and </w:t>
      </w:r>
      <w:r>
        <w:rPr>
          <w:kern w:val="0"/>
          <w:szCs w:val="24"/>
        </w:rPr>
        <w:t>tannic acid (TA) from aqueous solutions by adsorption. Batch experiments were conducted to evaluate the pH effects, the kinetics, temperature effects</w:t>
      </w:r>
      <w:r w:rsidR="00F81221">
        <w:rPr>
          <w:kern w:val="0"/>
          <w:szCs w:val="24"/>
        </w:rPr>
        <w:t xml:space="preserve"> and </w:t>
      </w:r>
      <w:r>
        <w:rPr>
          <w:kern w:val="0"/>
          <w:szCs w:val="24"/>
        </w:rPr>
        <w:t>sorption isotherm on the HA</w:t>
      </w:r>
      <w:r w:rsidR="00F81221">
        <w:rPr>
          <w:kern w:val="0"/>
          <w:szCs w:val="24"/>
        </w:rPr>
        <w:t xml:space="preserve"> and </w:t>
      </w:r>
      <w:r>
        <w:rPr>
          <w:kern w:val="0"/>
          <w:szCs w:val="24"/>
        </w:rPr>
        <w:t>TA adsorption onto PILC. The research demonstrated that the PILC could sufficiently remove HA</w:t>
      </w:r>
      <w:r w:rsidR="00F81221">
        <w:rPr>
          <w:kern w:val="0"/>
          <w:szCs w:val="24"/>
        </w:rPr>
        <w:t xml:space="preserve"> and </w:t>
      </w:r>
      <w:r>
        <w:rPr>
          <w:kern w:val="0"/>
          <w:szCs w:val="24"/>
        </w:rPr>
        <w:t>TA from aqueous solutions. The most effective pH range was found to be 3.0 to 4.0 for both HA</w:t>
      </w:r>
      <w:r w:rsidR="00F81221">
        <w:rPr>
          <w:kern w:val="0"/>
          <w:szCs w:val="24"/>
        </w:rPr>
        <w:t xml:space="preserve"> and </w:t>
      </w:r>
      <w:r>
        <w:rPr>
          <w:kern w:val="0"/>
          <w:szCs w:val="24"/>
        </w:rPr>
        <w:t>TA. The kinetic studies showed that all equilibrium time of 6 h was needed for the adsorption or HA</w:t>
      </w:r>
      <w:r w:rsidR="00F81221">
        <w:rPr>
          <w:kern w:val="0"/>
          <w:szCs w:val="24"/>
        </w:rPr>
        <w:t xml:space="preserve"> and </w:t>
      </w:r>
      <w:r>
        <w:rPr>
          <w:kern w:val="0"/>
          <w:szCs w:val="24"/>
        </w:rPr>
        <w:t>TA oil PILC</w:t>
      </w:r>
      <w:r w:rsidR="00F81221">
        <w:rPr>
          <w:kern w:val="0"/>
          <w:szCs w:val="24"/>
        </w:rPr>
        <w:t xml:space="preserve"> and </w:t>
      </w:r>
      <w:r>
        <w:rPr>
          <w:kern w:val="0"/>
          <w:szCs w:val="24"/>
        </w:rPr>
        <w:t>adsorption rates could be described by a first-order Lagergren equation. The adsorption of HA</w:t>
      </w:r>
      <w:r w:rsidR="00F81221">
        <w:rPr>
          <w:kern w:val="0"/>
          <w:szCs w:val="24"/>
        </w:rPr>
        <w:t xml:space="preserve"> and </w:t>
      </w:r>
      <w:r>
        <w:rPr>
          <w:kern w:val="0"/>
          <w:szCs w:val="24"/>
        </w:rPr>
        <w:t>TA was found to increase with ionic strength due to the compression of diffuse double layer. The equilibrium isotherm data for both HA</w:t>
      </w:r>
      <w:r w:rsidR="00F81221">
        <w:rPr>
          <w:kern w:val="0"/>
          <w:szCs w:val="24"/>
        </w:rPr>
        <w:t xml:space="preserve"> and </w:t>
      </w:r>
      <w:r>
        <w:rPr>
          <w:kern w:val="0"/>
          <w:szCs w:val="24"/>
        </w:rPr>
        <w:t>TA fitted Langmuir isotherm model</w:t>
      </w:r>
      <w:r w:rsidR="00F81221">
        <w:rPr>
          <w:kern w:val="0"/>
          <w:szCs w:val="24"/>
        </w:rPr>
        <w:t xml:space="preserve"> and </w:t>
      </w:r>
      <w:r>
        <w:rPr>
          <w:kern w:val="0"/>
          <w:szCs w:val="24"/>
        </w:rPr>
        <w:t>based on Langmuir constants, the PILC had a greater adsorption capacity for HA than for TA. The isosteric heats of the adsorption process were determined at various surface coverages or the adsorbent. The thermodynamic parameters such as change in free energy (</w:t>
      </w:r>
      <w:r>
        <w:rPr>
          <w:kern w:val="0"/>
          <w:szCs w:val="24"/>
        </w:rPr>
        <w:sym w:font="Symbol" w:char="F044"/>
      </w:r>
      <w:r>
        <w:rPr>
          <w:kern w:val="0"/>
          <w:szCs w:val="24"/>
        </w:rPr>
        <w:t>G°), enthalpy (</w:t>
      </w:r>
      <w:r>
        <w:rPr>
          <w:kern w:val="0"/>
          <w:szCs w:val="24"/>
        </w:rPr>
        <w:sym w:font="Symbol" w:char="F044"/>
      </w:r>
      <w:r>
        <w:rPr>
          <w:rFonts w:hint="eastAsia"/>
          <w:kern w:val="0"/>
          <w:szCs w:val="24"/>
        </w:rPr>
        <w:t>H</w:t>
      </w:r>
      <w:r>
        <w:rPr>
          <w:kern w:val="0"/>
          <w:szCs w:val="24"/>
        </w:rPr>
        <w:t>°),</w:t>
      </w:r>
      <w:r w:rsidR="00F81221">
        <w:rPr>
          <w:kern w:val="0"/>
          <w:szCs w:val="24"/>
        </w:rPr>
        <w:t xml:space="preserve"> and </w:t>
      </w:r>
      <w:r>
        <w:rPr>
          <w:kern w:val="0"/>
          <w:szCs w:val="24"/>
        </w:rPr>
        <w:t>entropy (</w:t>
      </w:r>
      <w:r>
        <w:rPr>
          <w:kern w:val="0"/>
          <w:szCs w:val="24"/>
        </w:rPr>
        <w:sym w:font="Symbol" w:char="F044"/>
      </w:r>
      <w:r>
        <w:rPr>
          <w:kern w:val="0"/>
          <w:szCs w:val="24"/>
        </w:rPr>
        <w:t>S°) were derived to predict the nature of adsorption. Sheindrof-Rebhun-Sheintucth isotherm model was used to study the competition interaction for the adsorption of single component from mixture by PILC. About 91.4</w:t>
      </w:r>
      <w:r w:rsidR="00F81221">
        <w:rPr>
          <w:kern w:val="0"/>
          <w:szCs w:val="24"/>
        </w:rPr>
        <w:t xml:space="preserve"> and </w:t>
      </w:r>
      <w:r>
        <w:rPr>
          <w:kern w:val="0"/>
          <w:szCs w:val="24"/>
        </w:rPr>
        <w:t>94.8% or HA</w:t>
      </w:r>
      <w:r w:rsidR="00F81221">
        <w:rPr>
          <w:kern w:val="0"/>
          <w:szCs w:val="24"/>
        </w:rPr>
        <w:t xml:space="preserve"> and </w:t>
      </w:r>
      <w:r>
        <w:rPr>
          <w:kern w:val="0"/>
          <w:szCs w:val="24"/>
        </w:rPr>
        <w:t xml:space="preserve">TA call be recovered from the </w:t>
      </w:r>
      <w:r>
        <w:rPr>
          <w:kern w:val="0"/>
          <w:szCs w:val="24"/>
        </w:rPr>
        <w:lastRenderedPageBreak/>
        <w:t>spent adsorbent by controlling the pH at 11.0.</w:t>
      </w:r>
    </w:p>
    <w:p w:rsidR="00E2711B" w:rsidRDefault="00E2711B" w:rsidP="00E2711B">
      <w:pPr>
        <w:pStyle w:val="a0"/>
        <w:rPr>
          <w:kern w:val="0"/>
          <w:szCs w:val="24"/>
        </w:rPr>
      </w:pPr>
      <w:r>
        <w:rPr>
          <w:kern w:val="0"/>
          <w:szCs w:val="24"/>
        </w:rPr>
        <w:t xml:space="preserve">Keywords: Activated Carbon, Adsorption, Adsorption Capacity, Aqueous Solutions, Batch Experiments, Capacity, Clay, Equilibrium, HA, Humic Substances, Isotherm, Kinetic, Kinetics, Lagergren Equation, Langmuir, Langmuir Isotherm, Model, Montmorillonite, </w:t>
      </w:r>
      <w:r>
        <w:rPr>
          <w:rFonts w:hint="eastAsia"/>
          <w:kern w:val="0"/>
          <w:szCs w:val="24"/>
        </w:rPr>
        <w:t>p</w:t>
      </w:r>
      <w:r>
        <w:rPr>
          <w:kern w:val="0"/>
          <w:szCs w:val="24"/>
        </w:rPr>
        <w:t>H, Removal, Research, Sorption, Tannic-Acid, Temperature, Thermodynamic, Thermodynamic Parameters</w:t>
      </w:r>
    </w:p>
    <w:p w:rsidR="00B95188" w:rsidRPr="00A428C3" w:rsidRDefault="00B95188" w:rsidP="00B95188">
      <w:pPr>
        <w:pStyle w:val="a0"/>
      </w:pPr>
      <w:r w:rsidRPr="00A428C3">
        <w:t>? Singh, A.K.</w:t>
      </w:r>
      <w:r w:rsidR="00F81221">
        <w:t xml:space="preserve"> and </w:t>
      </w:r>
      <w:r w:rsidRPr="00A428C3">
        <w:t xml:space="preserve">Tiwari, P.N. (2003), Removal of basic dye from industrial wastewater by adsorption. </w:t>
      </w:r>
      <w:r w:rsidRPr="00A428C3">
        <w:rPr>
          <w:i/>
          <w:iCs/>
        </w:rPr>
        <w:t>Indian Journal of Chemical Technology</w:t>
      </w:r>
      <w:r w:rsidRPr="00A428C3">
        <w:t xml:space="preserve">, </w:t>
      </w:r>
      <w:r w:rsidRPr="00A428C3">
        <w:rPr>
          <w:b/>
        </w:rPr>
        <w:t>10</w:t>
      </w:r>
      <w:r w:rsidRPr="00A428C3">
        <w:t xml:space="preserve"> (2), 211-216.</w:t>
      </w:r>
    </w:p>
    <w:p w:rsidR="00B95188" w:rsidRPr="00A428C3" w:rsidRDefault="00B95188" w:rsidP="00B95188">
      <w:pPr>
        <w:pStyle w:val="a0"/>
      </w:pPr>
      <w:r w:rsidRPr="00A428C3">
        <w:t>Abstract: For proper understanding, the process of removal of solute dye by adsorption</w:t>
      </w:r>
      <w:r w:rsidR="00F81221">
        <w:t xml:space="preserve"> and </w:t>
      </w:r>
      <w:r w:rsidRPr="00A428C3">
        <w:t>to reveal the manner in which this adsorption process can be adopted for removal of the solute material from the solution, the study of isotherm, kinetics</w:t>
      </w:r>
      <w:r w:rsidR="00F81221">
        <w:t xml:space="preserve"> and </w:t>
      </w:r>
      <w:r w:rsidRPr="00A428C3">
        <w:t>thermodynamic parameters is of paramount importance. The growth or adsorption with time is function of the initial concentration, temperature</w:t>
      </w:r>
      <w:r w:rsidR="00F81221">
        <w:t xml:space="preserve"> and </w:t>
      </w:r>
      <w:r w:rsidRPr="00A428C3">
        <w:t xml:space="preserve">pH of the system. The kinetics of adsorption was found to be of first order with intra-particle diffusion at the rate-controlling step. The values of different thermodynamic properties such as </w:t>
      </w:r>
      <w:r w:rsidR="004970B8">
        <w:sym w:font="Symbol" w:char="F044"/>
      </w:r>
      <w:r w:rsidRPr="00A428C3">
        <w:t>G</w:t>
      </w:r>
      <w:r w:rsidR="004970B8">
        <w:t>°</w:t>
      </w:r>
      <w:r w:rsidRPr="00A428C3">
        <w:t xml:space="preserve">, </w:t>
      </w:r>
      <w:r w:rsidR="004970B8">
        <w:sym w:font="Symbol" w:char="F044"/>
      </w:r>
      <w:r w:rsidRPr="00A428C3">
        <w:t>H</w:t>
      </w:r>
      <w:r w:rsidR="004970B8">
        <w:t>°</w:t>
      </w:r>
      <w:r w:rsidR="00F81221">
        <w:t xml:space="preserve"> and </w:t>
      </w:r>
      <w:r w:rsidR="004970B8">
        <w:sym w:font="Symbol" w:char="F044"/>
      </w:r>
      <w:r w:rsidRPr="00A428C3">
        <w:t>S</w:t>
      </w:r>
      <w:r w:rsidR="004970B8">
        <w:t>°</w:t>
      </w:r>
      <w:r w:rsidRPr="00A428C3">
        <w:t xml:space="preserve"> indicate that the process is spontaneous, feasible</w:t>
      </w:r>
      <w:r w:rsidR="00F81221">
        <w:t xml:space="preserve"> and </w:t>
      </w:r>
      <w:r w:rsidRPr="00A428C3">
        <w:t>exothermic in nature. The adsorption process satisfies Langmuir isotherm.</w:t>
      </w:r>
    </w:p>
    <w:p w:rsidR="00B95188" w:rsidRPr="00A428C3" w:rsidRDefault="00B95188" w:rsidP="00B95188">
      <w:pPr>
        <w:pStyle w:val="a0"/>
      </w:pPr>
      <w:r w:rsidRPr="00A428C3">
        <w:t>Keywords: Aqueous-Solutions, Adsorbents, Silica, Color</w:t>
      </w:r>
    </w:p>
    <w:p w:rsidR="00B95188" w:rsidRPr="00A428C3" w:rsidRDefault="00B95188" w:rsidP="00B95188">
      <w:pPr>
        <w:pStyle w:val="a0"/>
      </w:pPr>
      <w:r w:rsidRPr="00A428C3">
        <w:t>? Sivabalan, R., Rengaraj, S., Arabindoo, B.</w:t>
      </w:r>
      <w:r w:rsidR="00F81221">
        <w:t xml:space="preserve"> and </w:t>
      </w:r>
      <w:r w:rsidRPr="00A428C3">
        <w:t xml:space="preserve">Murugesan, V. (2003), Cashewnut sheath carbon: A new sorbent for defluoridation of water. </w:t>
      </w:r>
      <w:r w:rsidRPr="00A428C3">
        <w:rPr>
          <w:i/>
          <w:iCs/>
        </w:rPr>
        <w:t>Indian Journal of Chemical Technology</w:t>
      </w:r>
      <w:r w:rsidRPr="00A428C3">
        <w:t xml:space="preserve">, </w:t>
      </w:r>
      <w:r w:rsidRPr="00A428C3">
        <w:rPr>
          <w:b/>
        </w:rPr>
        <w:t>10</w:t>
      </w:r>
      <w:r w:rsidRPr="00A428C3">
        <w:t xml:space="preserve"> (2), 217-222.</w:t>
      </w:r>
    </w:p>
    <w:p w:rsidR="00B95188" w:rsidRPr="00A428C3" w:rsidRDefault="00B95188" w:rsidP="00B95188">
      <w:pPr>
        <w:pStyle w:val="a0"/>
      </w:pPr>
      <w:r w:rsidRPr="00A428C3">
        <w:t xml:space="preserve">Abstract: Cashewnut sheath, an agricultural waste discarded largely in </w:t>
      </w:r>
      <w:smartTag w:uri="urn:schemas-microsoft-com:office:smarttags" w:element="place">
        <w:smartTag w:uri="urn:schemas-microsoft-com:office:smarttags" w:element="country-region">
          <w:r w:rsidRPr="00A428C3">
            <w:t>India</w:t>
          </w:r>
        </w:smartTag>
      </w:smartTag>
      <w:r w:rsidRPr="00A428C3">
        <w:t xml:space="preserve"> is identified for the preparation of an effective sorbent or fluoride removal. Experiments were conducted for the sorption of fluoride from aqueous solution using activated carbon from cashewnut sheath (CSC) in two phases, namely, batch studies</w:t>
      </w:r>
      <w:r w:rsidR="00F81221">
        <w:t xml:space="preserve"> and </w:t>
      </w:r>
      <w:r w:rsidRPr="00A428C3">
        <w:t>column studies. The influence of pH, adsorbent dose, particle size</w:t>
      </w:r>
      <w:r w:rsidR="00F81221">
        <w:t xml:space="preserve"> and </w:t>
      </w:r>
      <w:r w:rsidRPr="00A428C3">
        <w:t>contact time was investigated in batch studies. The adsorption process follows Freundlich adsorption isotherm. Continuous flow experiments in fixed bed columns packed with activated carbon were carried out in older to assess the feasibility of this for field applications, The carbon bed after exhaustion was regenerated with 0.1 N hydrochloric acid. The influence of initial concentration of fluoride ion, flow rate, particle size</w:t>
      </w:r>
      <w:r w:rsidR="00F81221">
        <w:t xml:space="preserve"> and </w:t>
      </w:r>
      <w:r w:rsidRPr="00A428C3">
        <w:t>concentration of the regenerant on the performance of the column was studied. Comparative study was conducted with commercially available carbon impregnated with 2% aluminium sulphate solution. The results revealed that CSC is found to be active</w:t>
      </w:r>
      <w:r w:rsidR="00F81221">
        <w:t xml:space="preserve"> and </w:t>
      </w:r>
      <w:r w:rsidRPr="00A428C3">
        <w:t>efficient for fluoride removal.</w:t>
      </w:r>
    </w:p>
    <w:p w:rsidR="00B95188" w:rsidRPr="00A428C3" w:rsidRDefault="00B95188" w:rsidP="00B95188">
      <w:pPr>
        <w:pStyle w:val="a0"/>
      </w:pPr>
      <w:r w:rsidRPr="00A428C3">
        <w:t>Keywords: Active Carbons, Adsorption, Shells</w:t>
      </w:r>
    </w:p>
    <w:p w:rsidR="004970B8" w:rsidRDefault="004970B8" w:rsidP="004970B8">
      <w:pPr>
        <w:pStyle w:val="a0"/>
        <w:rPr>
          <w:kern w:val="0"/>
          <w:szCs w:val="24"/>
        </w:rPr>
      </w:pPr>
      <w:r>
        <w:rPr>
          <w:rFonts w:hint="eastAsia"/>
          <w:kern w:val="0"/>
          <w:szCs w:val="24"/>
        </w:rPr>
        <w:t xml:space="preserve">? </w:t>
      </w:r>
      <w:r>
        <w:rPr>
          <w:kern w:val="0"/>
          <w:szCs w:val="24"/>
        </w:rPr>
        <w:t>Unnikrishnan, E.K., Basu, A.K., Chattopadhyay, N.</w:t>
      </w:r>
      <w:r w:rsidR="00F81221">
        <w:rPr>
          <w:kern w:val="0"/>
          <w:szCs w:val="24"/>
        </w:rPr>
        <w:t xml:space="preserve"> and </w:t>
      </w:r>
      <w:r>
        <w:rPr>
          <w:kern w:val="0"/>
          <w:szCs w:val="24"/>
        </w:rPr>
        <w:t xml:space="preserve">Maiti, B. (2003), Removal of arsenic from water by ferrous sulphide. </w:t>
      </w:r>
      <w:r>
        <w:rPr>
          <w:i/>
          <w:iCs/>
          <w:kern w:val="0"/>
          <w:szCs w:val="24"/>
        </w:rPr>
        <w:t>Indian Journal of Chemical Technology</w:t>
      </w:r>
      <w:r>
        <w:rPr>
          <w:kern w:val="0"/>
          <w:szCs w:val="24"/>
        </w:rPr>
        <w:t xml:space="preserve">, </w:t>
      </w:r>
      <w:r>
        <w:rPr>
          <w:b/>
          <w:bCs/>
          <w:kern w:val="0"/>
          <w:szCs w:val="24"/>
        </w:rPr>
        <w:t>10</w:t>
      </w:r>
      <w:r>
        <w:rPr>
          <w:kern w:val="0"/>
          <w:szCs w:val="24"/>
        </w:rPr>
        <w:t xml:space="preserve"> (3), 281-286.</w:t>
      </w:r>
    </w:p>
    <w:p w:rsidR="004970B8" w:rsidRDefault="004970B8" w:rsidP="004970B8">
      <w:pPr>
        <w:pStyle w:val="a0"/>
        <w:rPr>
          <w:kern w:val="0"/>
          <w:szCs w:val="24"/>
        </w:rPr>
      </w:pPr>
      <w:r>
        <w:rPr>
          <w:kern w:val="0"/>
          <w:szCs w:val="24"/>
        </w:rPr>
        <w:lastRenderedPageBreak/>
        <w:t>Abstract: A simple, rapid</w:t>
      </w:r>
      <w:r w:rsidR="00F81221">
        <w:rPr>
          <w:kern w:val="0"/>
          <w:szCs w:val="24"/>
        </w:rPr>
        <w:t xml:space="preserve"> and </w:t>
      </w:r>
      <w:r>
        <w:rPr>
          <w:kern w:val="0"/>
          <w:szCs w:val="24"/>
        </w:rPr>
        <w:t>cost-effective method for the removal of arsenic from water has been developed. Both As(III)</w:t>
      </w:r>
      <w:r w:rsidR="00F81221">
        <w:rPr>
          <w:kern w:val="0"/>
          <w:szCs w:val="24"/>
        </w:rPr>
        <w:t xml:space="preserve"> and </w:t>
      </w:r>
      <w:r>
        <w:rPr>
          <w:kern w:val="0"/>
          <w:szCs w:val="24"/>
        </w:rPr>
        <w:t>As(V) could be removed quantitatively by treating the polluted water with ferrous sulphide in granular form. Ferrous sulphide is cheap</w:t>
      </w:r>
      <w:r w:rsidR="00F81221">
        <w:rPr>
          <w:kern w:val="0"/>
          <w:szCs w:val="24"/>
        </w:rPr>
        <w:t xml:space="preserve"> and </w:t>
      </w:r>
      <w:r>
        <w:rPr>
          <w:kern w:val="0"/>
          <w:szCs w:val="24"/>
        </w:rPr>
        <w:t>easily available commercially</w:t>
      </w:r>
      <w:r w:rsidR="00F81221">
        <w:rPr>
          <w:kern w:val="0"/>
          <w:szCs w:val="24"/>
        </w:rPr>
        <w:t xml:space="preserve"> and </w:t>
      </w:r>
      <w:r>
        <w:rPr>
          <w:kern w:val="0"/>
          <w:szCs w:val="24"/>
        </w:rPr>
        <w:t>very effective for this purpose. Various factors influencing the treatment procedure have been studied</w:t>
      </w:r>
      <w:r w:rsidR="00F81221">
        <w:rPr>
          <w:kern w:val="0"/>
          <w:szCs w:val="24"/>
        </w:rPr>
        <w:t xml:space="preserve"> and </w:t>
      </w:r>
      <w:r>
        <w:rPr>
          <w:kern w:val="0"/>
          <w:szCs w:val="24"/>
        </w:rPr>
        <w:t>the mechanism of the removal process has been discussed. It has the additional advantage that the heavy metals like Pb, Hg, Cu, etc. that form insoluble sulphide are also removed along with arsenic. Analysis of arsenic content in the treated water by spectrophotometry</w:t>
      </w:r>
      <w:r w:rsidR="00F81221">
        <w:rPr>
          <w:kern w:val="0"/>
          <w:szCs w:val="24"/>
        </w:rPr>
        <w:t xml:space="preserve"> and </w:t>
      </w:r>
      <w:r>
        <w:rPr>
          <w:kern w:val="0"/>
          <w:szCs w:val="24"/>
        </w:rPr>
        <w:t>neutron activation analysis suggests that the method could successfully bringdown the concentration of arsenic below the permissible limit of 10 mug/L as recommended by WHO.</w:t>
      </w:r>
    </w:p>
    <w:p w:rsidR="004970B8" w:rsidRDefault="004970B8" w:rsidP="004970B8">
      <w:pPr>
        <w:pStyle w:val="a0"/>
        <w:rPr>
          <w:kern w:val="0"/>
          <w:szCs w:val="24"/>
        </w:rPr>
      </w:pPr>
      <w:r>
        <w:rPr>
          <w:kern w:val="0"/>
          <w:szCs w:val="24"/>
        </w:rPr>
        <w:t>Keywords: Adsorption, Amorphous Iron Hydroxide, Analysis, As(V), Ferrous, Heavy Metals, Removal, Treatment, Water</w:t>
      </w:r>
    </w:p>
    <w:p w:rsidR="004970B8" w:rsidRDefault="004970B8" w:rsidP="004970B8">
      <w:pPr>
        <w:pStyle w:val="a0"/>
        <w:rPr>
          <w:kern w:val="0"/>
          <w:szCs w:val="24"/>
        </w:rPr>
      </w:pPr>
      <w:r>
        <w:rPr>
          <w:rFonts w:hint="eastAsia"/>
          <w:kern w:val="0"/>
          <w:szCs w:val="24"/>
        </w:rPr>
        <w:t xml:space="preserve">? </w:t>
      </w:r>
      <w:r>
        <w:rPr>
          <w:kern w:val="0"/>
          <w:szCs w:val="24"/>
        </w:rPr>
        <w:t>KimTae, H., Vijayalakshmi, S., Jin, S.S.</w:t>
      </w:r>
      <w:r w:rsidR="00F81221">
        <w:rPr>
          <w:kern w:val="0"/>
          <w:szCs w:val="24"/>
        </w:rPr>
        <w:t xml:space="preserve"> and </w:t>
      </w:r>
      <w:r>
        <w:rPr>
          <w:kern w:val="0"/>
          <w:szCs w:val="24"/>
        </w:rPr>
        <w:t>Dong, K.J. (2003), Carbon molecular sieves (CMS) from coconut shell by carbonization</w:t>
      </w:r>
      <w:r w:rsidR="00F81221">
        <w:rPr>
          <w:kern w:val="0"/>
          <w:szCs w:val="24"/>
        </w:rPr>
        <w:t xml:space="preserve"> and </w:t>
      </w:r>
      <w:r>
        <w:rPr>
          <w:kern w:val="0"/>
          <w:szCs w:val="24"/>
        </w:rPr>
        <w:t xml:space="preserve">carbon dioxide activation. </w:t>
      </w:r>
      <w:r>
        <w:rPr>
          <w:i/>
          <w:iCs/>
          <w:kern w:val="0"/>
          <w:szCs w:val="24"/>
        </w:rPr>
        <w:t>Indian Journal of Chemical Technology</w:t>
      </w:r>
      <w:r>
        <w:rPr>
          <w:kern w:val="0"/>
          <w:szCs w:val="24"/>
        </w:rPr>
        <w:t xml:space="preserve">, </w:t>
      </w:r>
      <w:r>
        <w:rPr>
          <w:b/>
          <w:bCs/>
          <w:kern w:val="0"/>
          <w:szCs w:val="24"/>
        </w:rPr>
        <w:t>10</w:t>
      </w:r>
      <w:r>
        <w:rPr>
          <w:kern w:val="0"/>
          <w:szCs w:val="24"/>
        </w:rPr>
        <w:t xml:space="preserve"> (3), 298-304.</w:t>
      </w:r>
    </w:p>
    <w:p w:rsidR="004970B8" w:rsidRDefault="004970B8" w:rsidP="004970B8">
      <w:pPr>
        <w:pStyle w:val="a0"/>
        <w:rPr>
          <w:kern w:val="0"/>
          <w:szCs w:val="24"/>
        </w:rPr>
      </w:pPr>
      <w:r>
        <w:rPr>
          <w:kern w:val="0"/>
          <w:szCs w:val="24"/>
        </w:rPr>
        <w:t>Abstract: Carbon Molecular Sieves (CMS) are specially treated micro porous adsorbents derived from carbonaccous precursors. Due to the molecular sieving property, coupled with thermal, mechanical</w:t>
      </w:r>
      <w:r w:rsidR="00F81221">
        <w:rPr>
          <w:kern w:val="0"/>
          <w:szCs w:val="24"/>
        </w:rPr>
        <w:t xml:space="preserve"> and </w:t>
      </w:r>
      <w:r>
        <w:rPr>
          <w:kern w:val="0"/>
          <w:szCs w:val="24"/>
        </w:rPr>
        <w:t>chemical stability under acidic/alkaline conditions, CMS have found many applications in the field of difficult gas, as well as liquid separations from their mixtures, CMS have been successfully synthesized from a wide variety of carbonaceous materials, by the carbonization followed by carbon dioxide or steam activatiom The effect of carbonization temperature</w:t>
      </w:r>
      <w:r w:rsidR="00F81221">
        <w:rPr>
          <w:kern w:val="0"/>
          <w:szCs w:val="24"/>
        </w:rPr>
        <w:t xml:space="preserve"> and </w:t>
      </w:r>
      <w:r>
        <w:rPr>
          <w:kern w:val="0"/>
          <w:szCs w:val="24"/>
        </w:rPr>
        <w:t>activation temperature on the surface area as well as pore volume, calculated using the carbon dioxide adsorption data at room temperature is studied. The most suitable carbonization temperature is found to be in the range 750-850degreesC, beyond which the surface area is found EO decrease due to sintering of the particles at high temperature. The samples prepared were found to give good adsorption selectivity for CO2 over H-2 or N-2. Kinetic</w:t>
      </w:r>
      <w:r w:rsidR="00F81221">
        <w:rPr>
          <w:kern w:val="0"/>
          <w:szCs w:val="24"/>
        </w:rPr>
        <w:t xml:space="preserve"> and </w:t>
      </w:r>
      <w:r>
        <w:rPr>
          <w:kern w:val="0"/>
          <w:szCs w:val="24"/>
        </w:rPr>
        <w:t>equilibrium adsorption data for gases like, N-2, O-2, H-2, CH4</w:t>
      </w:r>
      <w:r w:rsidR="00F81221">
        <w:rPr>
          <w:kern w:val="0"/>
          <w:szCs w:val="24"/>
        </w:rPr>
        <w:t xml:space="preserve"> and </w:t>
      </w:r>
      <w:r>
        <w:rPr>
          <w:kern w:val="0"/>
          <w:szCs w:val="24"/>
        </w:rPr>
        <w:t>equilibrium adsorption of selected organic vapours are also reported.</w:t>
      </w:r>
    </w:p>
    <w:p w:rsidR="004970B8" w:rsidRDefault="004970B8" w:rsidP="004970B8">
      <w:pPr>
        <w:pStyle w:val="a0"/>
        <w:rPr>
          <w:kern w:val="0"/>
          <w:szCs w:val="24"/>
        </w:rPr>
      </w:pPr>
      <w:r>
        <w:rPr>
          <w:kern w:val="0"/>
          <w:szCs w:val="24"/>
        </w:rPr>
        <w:t>Keywords: Adsorbents, Adsorption, Carbon, Carbon Dioxide, CO</w:t>
      </w:r>
      <w:r w:rsidRPr="00AE0805">
        <w:rPr>
          <w:kern w:val="0"/>
          <w:szCs w:val="24"/>
          <w:vertAlign w:val="subscript"/>
        </w:rPr>
        <w:t>2</w:t>
      </w:r>
      <w:r>
        <w:rPr>
          <w:kern w:val="0"/>
          <w:szCs w:val="24"/>
        </w:rPr>
        <w:t>, Coke Deposition, Equilibrium, H</w:t>
      </w:r>
      <w:r w:rsidRPr="00AE0805">
        <w:rPr>
          <w:kern w:val="0"/>
          <w:szCs w:val="24"/>
          <w:vertAlign w:val="subscript"/>
        </w:rPr>
        <w:t>2</w:t>
      </w:r>
      <w:r>
        <w:rPr>
          <w:kern w:val="0"/>
          <w:szCs w:val="24"/>
        </w:rPr>
        <w:t>, High Temperature, Kinetic, Molecular Sieves, O</w:t>
      </w:r>
      <w:r w:rsidRPr="00AE0805">
        <w:rPr>
          <w:kern w:val="0"/>
          <w:szCs w:val="24"/>
          <w:vertAlign w:val="subscript"/>
        </w:rPr>
        <w:t>2</w:t>
      </w:r>
      <w:r>
        <w:rPr>
          <w:kern w:val="0"/>
          <w:szCs w:val="24"/>
        </w:rPr>
        <w:t>, Pore, Temperature</w:t>
      </w:r>
    </w:p>
    <w:p w:rsidR="004970B8" w:rsidRDefault="004970B8" w:rsidP="004970B8">
      <w:pPr>
        <w:pStyle w:val="a0"/>
        <w:rPr>
          <w:kern w:val="0"/>
          <w:szCs w:val="24"/>
        </w:rPr>
      </w:pPr>
      <w:r>
        <w:rPr>
          <w:rFonts w:hint="eastAsia"/>
          <w:kern w:val="0"/>
          <w:szCs w:val="24"/>
        </w:rPr>
        <w:t xml:space="preserve">? </w:t>
      </w:r>
      <w:r>
        <w:rPr>
          <w:kern w:val="0"/>
          <w:szCs w:val="24"/>
        </w:rPr>
        <w:t>Singh, K.</w:t>
      </w:r>
      <w:r w:rsidR="00F81221">
        <w:rPr>
          <w:kern w:val="0"/>
          <w:szCs w:val="24"/>
        </w:rPr>
        <w:t xml:space="preserve"> and </w:t>
      </w:r>
      <w:r>
        <w:rPr>
          <w:kern w:val="0"/>
          <w:szCs w:val="24"/>
        </w:rPr>
        <w:t xml:space="preserve">Mohan, S. (2003), Kinetic study of crystal colouration during crystallization of sucrose. </w:t>
      </w:r>
      <w:r>
        <w:rPr>
          <w:i/>
          <w:iCs/>
          <w:kern w:val="0"/>
          <w:szCs w:val="24"/>
        </w:rPr>
        <w:t>Indian Journal of Chemical Technology</w:t>
      </w:r>
      <w:r>
        <w:rPr>
          <w:kern w:val="0"/>
          <w:szCs w:val="24"/>
        </w:rPr>
        <w:t xml:space="preserve">, </w:t>
      </w:r>
      <w:r>
        <w:rPr>
          <w:b/>
          <w:bCs/>
          <w:kern w:val="0"/>
          <w:szCs w:val="24"/>
        </w:rPr>
        <w:t>10</w:t>
      </w:r>
      <w:r>
        <w:rPr>
          <w:kern w:val="0"/>
          <w:szCs w:val="24"/>
        </w:rPr>
        <w:t xml:space="preserve"> (4), 386-390.</w:t>
      </w:r>
    </w:p>
    <w:p w:rsidR="004970B8" w:rsidRDefault="004970B8" w:rsidP="004970B8">
      <w:pPr>
        <w:pStyle w:val="a0"/>
        <w:rPr>
          <w:kern w:val="0"/>
          <w:szCs w:val="24"/>
        </w:rPr>
      </w:pPr>
      <w:r>
        <w:rPr>
          <w:kern w:val="0"/>
          <w:szCs w:val="24"/>
        </w:rPr>
        <w:t xml:space="preserve">Abstract: Although, existence of the coloured syrup layer surrounding the crystal surface is fait accompli, there is no definite explanation for the colour inside the crystal. In the present investigation, therefore, whether the colour is adsorbed or </w:t>
      </w:r>
      <w:r>
        <w:rPr>
          <w:kern w:val="0"/>
          <w:szCs w:val="24"/>
        </w:rPr>
        <w:lastRenderedPageBreak/>
        <w:t>occluded or both, three types of artificial coloring matters</w:t>
      </w:r>
      <w:r w:rsidR="000352E7">
        <w:rPr>
          <w:kern w:val="0"/>
          <w:szCs w:val="24"/>
        </w:rPr>
        <w:t>’</w:t>
      </w:r>
      <w:r>
        <w:rPr>
          <w:kern w:val="0"/>
          <w:szCs w:val="24"/>
        </w:rPr>
        <w:t xml:space="preserve"> caramel, iron-phenol complex</w:t>
      </w:r>
      <w:r w:rsidR="00F81221">
        <w:rPr>
          <w:kern w:val="0"/>
          <w:szCs w:val="24"/>
        </w:rPr>
        <w:t xml:space="preserve"> and </w:t>
      </w:r>
      <w:r>
        <w:rPr>
          <w:kern w:val="0"/>
          <w:szCs w:val="24"/>
        </w:rPr>
        <w:t>reducing sugar-amino acid browning reaction products are used to examine the effect of each on crystal colouration. By static</w:t>
      </w:r>
      <w:r w:rsidR="00F81221">
        <w:rPr>
          <w:kern w:val="0"/>
          <w:szCs w:val="24"/>
        </w:rPr>
        <w:t xml:space="preserve"> and </w:t>
      </w:r>
      <w:r>
        <w:rPr>
          <w:kern w:val="0"/>
          <w:szCs w:val="24"/>
        </w:rPr>
        <w:t>dynamic analysis, it is concluded that different colourants have different affinities for the crystals</w:t>
      </w:r>
      <w:r w:rsidR="00F81221">
        <w:rPr>
          <w:kern w:val="0"/>
          <w:szCs w:val="24"/>
        </w:rPr>
        <w:t xml:space="preserve"> and </w:t>
      </w:r>
      <w:r>
        <w:rPr>
          <w:kern w:val="0"/>
          <w:szCs w:val="24"/>
        </w:rPr>
        <w:t>cause different colouration under the same condition; viz caramel is the slowest, RS-AA browning product is intermediate</w:t>
      </w:r>
      <w:r w:rsidR="00F81221">
        <w:rPr>
          <w:kern w:val="0"/>
          <w:szCs w:val="24"/>
        </w:rPr>
        <w:t xml:space="preserve"> and </w:t>
      </w:r>
      <w:r>
        <w:rPr>
          <w:kern w:val="0"/>
          <w:szCs w:val="24"/>
        </w:rPr>
        <w:t>the iron-phenol complex is the fastest. At a slow rate of the crystallization (k=0.86-6.05x10(5) mg/m(2)/h), colouration is caused mainly by adsorption. However, when the rate increases, this may also be accompanied by another mechanism such as occlusion, although adsorption is still in effect. The quantity of colouration decreases with rise in crystallization temperature, the extent of which decreases with increase in super-saturation. By reducing the amount of these colourants of higher affinity which are present in the mother liquor</w:t>
      </w:r>
      <w:r w:rsidR="00F81221">
        <w:rPr>
          <w:kern w:val="0"/>
          <w:szCs w:val="24"/>
        </w:rPr>
        <w:t xml:space="preserve"> and </w:t>
      </w:r>
      <w:r>
        <w:rPr>
          <w:kern w:val="0"/>
          <w:szCs w:val="24"/>
        </w:rPr>
        <w:t>under varying crystallization conditions, different effective measures may be adopted to overcome the colouration. Thermodynamic data of the crystal colouration are also evaluated</w:t>
      </w:r>
      <w:r w:rsidR="00F81221">
        <w:rPr>
          <w:kern w:val="0"/>
          <w:szCs w:val="24"/>
        </w:rPr>
        <w:t xml:space="preserve"> and </w:t>
      </w:r>
      <w:r>
        <w:rPr>
          <w:kern w:val="0"/>
          <w:szCs w:val="24"/>
        </w:rPr>
        <w:t>data indicate a loss in the entropy change in the process.</w:t>
      </w:r>
    </w:p>
    <w:p w:rsidR="004970B8" w:rsidRDefault="004970B8" w:rsidP="004970B8">
      <w:pPr>
        <w:pStyle w:val="a0"/>
        <w:rPr>
          <w:kern w:val="0"/>
          <w:szCs w:val="24"/>
        </w:rPr>
      </w:pPr>
      <w:r>
        <w:rPr>
          <w:kern w:val="0"/>
          <w:szCs w:val="24"/>
        </w:rPr>
        <w:t>Keywords: Adsorption, Analysis, Complex, Crystals, Iron, Kinetic, Occlusion, Temperature, Thermodynamic, Thermodynamic Data</w:t>
      </w:r>
    </w:p>
    <w:p w:rsidR="004970B8" w:rsidRDefault="004970B8" w:rsidP="004970B8">
      <w:pPr>
        <w:pStyle w:val="a0"/>
        <w:rPr>
          <w:kern w:val="0"/>
          <w:szCs w:val="24"/>
        </w:rPr>
      </w:pPr>
      <w:r>
        <w:rPr>
          <w:rFonts w:hint="eastAsia"/>
          <w:kern w:val="0"/>
          <w:szCs w:val="24"/>
        </w:rPr>
        <w:t xml:space="preserve">? </w:t>
      </w:r>
      <w:r>
        <w:rPr>
          <w:kern w:val="0"/>
          <w:szCs w:val="24"/>
        </w:rPr>
        <w:t>Mondal, B.C.</w:t>
      </w:r>
      <w:r w:rsidR="00F81221">
        <w:rPr>
          <w:kern w:val="0"/>
          <w:szCs w:val="24"/>
        </w:rPr>
        <w:t xml:space="preserve"> and </w:t>
      </w:r>
      <w:r>
        <w:rPr>
          <w:kern w:val="0"/>
          <w:szCs w:val="24"/>
        </w:rPr>
        <w:t>Das, A.K. (2003), Microwave-assisted synthesis of a new resin functionalized with adenine moiety</w:t>
      </w:r>
      <w:r w:rsidR="00F81221">
        <w:rPr>
          <w:kern w:val="0"/>
          <w:szCs w:val="24"/>
        </w:rPr>
        <w:t xml:space="preserve"> and </w:t>
      </w:r>
      <w:r>
        <w:rPr>
          <w:kern w:val="0"/>
          <w:szCs w:val="24"/>
        </w:rPr>
        <w:t>its application for the separation of zinc</w:t>
      </w:r>
      <w:r w:rsidR="00F81221">
        <w:rPr>
          <w:kern w:val="0"/>
          <w:szCs w:val="24"/>
        </w:rPr>
        <w:t xml:space="preserve"> and </w:t>
      </w:r>
      <w:r>
        <w:rPr>
          <w:kern w:val="0"/>
          <w:szCs w:val="24"/>
        </w:rPr>
        <w:t xml:space="preserve">cadmium in microwave-digested industrial sludge samples. </w:t>
      </w:r>
      <w:r>
        <w:rPr>
          <w:i/>
          <w:iCs/>
          <w:kern w:val="0"/>
          <w:szCs w:val="24"/>
        </w:rPr>
        <w:t>Indian Journal of Chemical Technology</w:t>
      </w:r>
      <w:r>
        <w:rPr>
          <w:kern w:val="0"/>
          <w:szCs w:val="24"/>
        </w:rPr>
        <w:t xml:space="preserve">, </w:t>
      </w:r>
      <w:r>
        <w:rPr>
          <w:b/>
          <w:bCs/>
          <w:kern w:val="0"/>
          <w:szCs w:val="24"/>
        </w:rPr>
        <w:t>10</w:t>
      </w:r>
      <w:r>
        <w:rPr>
          <w:kern w:val="0"/>
          <w:szCs w:val="24"/>
        </w:rPr>
        <w:t xml:space="preserve"> (5), 489-494.</w:t>
      </w:r>
    </w:p>
    <w:p w:rsidR="004970B8" w:rsidRDefault="004970B8" w:rsidP="004970B8">
      <w:pPr>
        <w:pStyle w:val="a0"/>
        <w:rPr>
          <w:kern w:val="0"/>
          <w:szCs w:val="24"/>
        </w:rPr>
      </w:pPr>
      <w:r>
        <w:rPr>
          <w:kern w:val="0"/>
          <w:szCs w:val="24"/>
        </w:rPr>
        <w:t>Abstract: A procedure for simultaneous preconcentration</w:t>
      </w:r>
      <w:r w:rsidR="00F81221">
        <w:rPr>
          <w:kern w:val="0"/>
          <w:szCs w:val="24"/>
        </w:rPr>
        <w:t xml:space="preserve"> and </w:t>
      </w:r>
      <w:r>
        <w:rPr>
          <w:kern w:val="0"/>
          <w:szCs w:val="24"/>
        </w:rPr>
        <w:t>separation of traces of Zn(II)</w:t>
      </w:r>
      <w:r w:rsidR="00F81221">
        <w:rPr>
          <w:kern w:val="0"/>
          <w:szCs w:val="24"/>
        </w:rPr>
        <w:t xml:space="preserve"> and </w:t>
      </w:r>
      <w:r>
        <w:rPr>
          <w:kern w:val="0"/>
          <w:szCs w:val="24"/>
        </w:rPr>
        <w:t>Cd(II) has been described. It is based on the sorption on a chelating resin containing adenine moiety which has been synthesized by using microwave irradiation. The resulting resin was characterized by elemental analyses, infrared spectra</w:t>
      </w:r>
      <w:r w:rsidR="00F81221">
        <w:rPr>
          <w:kern w:val="0"/>
          <w:szCs w:val="24"/>
        </w:rPr>
        <w:t xml:space="preserve"> and </w:t>
      </w:r>
      <w:r>
        <w:rPr>
          <w:kern w:val="0"/>
          <w:szCs w:val="24"/>
        </w:rPr>
        <w:t>thermogravimetric analyses. The exchange capacity of the resulting resin for Zn(II)</w:t>
      </w:r>
      <w:r w:rsidR="00F81221">
        <w:rPr>
          <w:kern w:val="0"/>
          <w:szCs w:val="24"/>
        </w:rPr>
        <w:t xml:space="preserve"> and </w:t>
      </w:r>
      <w:r>
        <w:rPr>
          <w:kern w:val="0"/>
          <w:szCs w:val="24"/>
        </w:rPr>
        <w:t>Cd(II) was found to be 0.25</w:t>
      </w:r>
      <w:r w:rsidR="00F81221">
        <w:rPr>
          <w:kern w:val="0"/>
          <w:szCs w:val="24"/>
        </w:rPr>
        <w:t xml:space="preserve"> and </w:t>
      </w:r>
      <w:r>
        <w:rPr>
          <w:kern w:val="0"/>
          <w:szCs w:val="24"/>
        </w:rPr>
        <w:t>0.30 mmol g(-1) respectively at pH 1.0. In the column operation,the recoveries of Zn(II)</w:t>
      </w:r>
      <w:r w:rsidR="00F81221">
        <w:rPr>
          <w:kern w:val="0"/>
          <w:szCs w:val="24"/>
        </w:rPr>
        <w:t xml:space="preserve"> and </w:t>
      </w:r>
      <w:r>
        <w:rPr>
          <w:kern w:val="0"/>
          <w:szCs w:val="24"/>
        </w:rPr>
        <w:t>Cd(II) were 98.7+/-3.5</w:t>
      </w:r>
      <w:r w:rsidR="00F81221">
        <w:rPr>
          <w:kern w:val="0"/>
          <w:szCs w:val="24"/>
        </w:rPr>
        <w:t xml:space="preserve"> and </w:t>
      </w:r>
      <w:r>
        <w:rPr>
          <w:kern w:val="0"/>
          <w:szCs w:val="24"/>
        </w:rPr>
        <w:t>97.5+/-2.1% respectively at 97.5% confidence level for both. The detection limits were found to be 4.4 ng mL(-1) for Zn(II)</w:t>
      </w:r>
      <w:r w:rsidR="00F81221">
        <w:rPr>
          <w:kern w:val="0"/>
          <w:szCs w:val="24"/>
        </w:rPr>
        <w:t xml:space="preserve"> and </w:t>
      </w:r>
      <w:r>
        <w:rPr>
          <w:kern w:val="0"/>
          <w:szCs w:val="24"/>
        </w:rPr>
        <w:t>9.0 ng mL(-1) for Cd(II). The loading half life (t(1/2)) periods were 14</w:t>
      </w:r>
      <w:r w:rsidR="00F81221">
        <w:rPr>
          <w:kern w:val="0"/>
          <w:szCs w:val="24"/>
        </w:rPr>
        <w:t xml:space="preserve"> and </w:t>
      </w:r>
      <w:r>
        <w:rPr>
          <w:kern w:val="0"/>
          <w:szCs w:val="24"/>
        </w:rPr>
        <w:t>12 min for Zn(II)</w:t>
      </w:r>
      <w:r w:rsidR="00F81221">
        <w:rPr>
          <w:kern w:val="0"/>
          <w:szCs w:val="24"/>
        </w:rPr>
        <w:t xml:space="preserve"> and </w:t>
      </w:r>
      <w:r>
        <w:rPr>
          <w:kern w:val="0"/>
          <w:szCs w:val="24"/>
        </w:rPr>
        <w:t>Cd(II) respectively. The mutual separation of Zn(II)</w:t>
      </w:r>
      <w:r w:rsidR="00F81221">
        <w:rPr>
          <w:kern w:val="0"/>
          <w:szCs w:val="24"/>
        </w:rPr>
        <w:t xml:space="preserve"> and </w:t>
      </w:r>
      <w:r>
        <w:rPr>
          <w:kern w:val="0"/>
          <w:szCs w:val="24"/>
        </w:rPr>
        <w:t>Cd(II) was carried out as a function of eluting agents. The reliability of the method has been tested by analysing NIES certified pond sediment sample. The developed method has been successfully applied in analysing industrial sludge samples.</w:t>
      </w:r>
    </w:p>
    <w:p w:rsidR="004970B8" w:rsidRDefault="004970B8" w:rsidP="004970B8">
      <w:pPr>
        <w:pStyle w:val="a0"/>
        <w:rPr>
          <w:kern w:val="0"/>
          <w:szCs w:val="24"/>
        </w:rPr>
      </w:pPr>
      <w:r>
        <w:rPr>
          <w:kern w:val="0"/>
          <w:szCs w:val="24"/>
        </w:rPr>
        <w:t xml:space="preserve">Keywords: Atomic-Absorption Spectrometry, Biological Samples, Cadmium, Capacity, Cd(II), Chelating Resin, Enrichment, Exchange, Exchanger, Immobilized Amberlite XAD-2, Infrared, Infrared Spectra, Irradiation, Lead(II), Metal-Ion Uptake, </w:t>
      </w:r>
      <w:r>
        <w:rPr>
          <w:rFonts w:hint="eastAsia"/>
          <w:kern w:val="0"/>
          <w:szCs w:val="24"/>
        </w:rPr>
        <w:t>p</w:t>
      </w:r>
      <w:r>
        <w:rPr>
          <w:kern w:val="0"/>
          <w:szCs w:val="24"/>
        </w:rPr>
        <w:t>H, Preconcentration, Resin, Sediment, Sorption, Synthesis, Zinc</w:t>
      </w:r>
    </w:p>
    <w:p w:rsidR="004970B8" w:rsidRDefault="004970B8" w:rsidP="004970B8">
      <w:pPr>
        <w:pStyle w:val="a0"/>
        <w:rPr>
          <w:kern w:val="0"/>
          <w:szCs w:val="24"/>
        </w:rPr>
      </w:pPr>
      <w:r>
        <w:rPr>
          <w:rFonts w:hint="eastAsia"/>
          <w:kern w:val="0"/>
          <w:szCs w:val="24"/>
        </w:rPr>
        <w:lastRenderedPageBreak/>
        <w:t xml:space="preserve">? </w:t>
      </w:r>
      <w:r>
        <w:rPr>
          <w:kern w:val="0"/>
          <w:szCs w:val="24"/>
        </w:rPr>
        <w:t>Rathi, A.K.A.</w:t>
      </w:r>
      <w:r w:rsidR="00F81221">
        <w:rPr>
          <w:kern w:val="0"/>
          <w:szCs w:val="24"/>
        </w:rPr>
        <w:t xml:space="preserve"> and </w:t>
      </w:r>
      <w:r>
        <w:rPr>
          <w:kern w:val="0"/>
          <w:szCs w:val="24"/>
        </w:rPr>
        <w:t xml:space="preserve">Puranik, S.A. (2003), Treatment of wastewater from dyes manufacture using adsorption. </w:t>
      </w:r>
      <w:r>
        <w:rPr>
          <w:i/>
          <w:iCs/>
          <w:kern w:val="0"/>
          <w:szCs w:val="24"/>
        </w:rPr>
        <w:t>Indian Journal of Chemical Technology</w:t>
      </w:r>
      <w:r>
        <w:rPr>
          <w:kern w:val="0"/>
          <w:szCs w:val="24"/>
        </w:rPr>
        <w:t xml:space="preserve">, </w:t>
      </w:r>
      <w:r>
        <w:rPr>
          <w:b/>
          <w:bCs/>
          <w:kern w:val="0"/>
          <w:szCs w:val="24"/>
        </w:rPr>
        <w:t>10</w:t>
      </w:r>
      <w:r>
        <w:rPr>
          <w:kern w:val="0"/>
          <w:szCs w:val="24"/>
        </w:rPr>
        <w:t xml:space="preserve"> (6), 670-679.</w:t>
      </w:r>
    </w:p>
    <w:p w:rsidR="004970B8" w:rsidRDefault="004970B8" w:rsidP="004970B8">
      <w:pPr>
        <w:pStyle w:val="a0"/>
        <w:rPr>
          <w:kern w:val="0"/>
          <w:szCs w:val="24"/>
        </w:rPr>
      </w:pPr>
      <w:r>
        <w:rPr>
          <w:kern w:val="0"/>
          <w:szCs w:val="24"/>
        </w:rPr>
        <w:t>Abstract: In a typical wastewater treatment flow sheet used by several industrial units in India, various stages of treatment include the primary treatment-oil/grease removal</w:t>
      </w:r>
      <w:r w:rsidR="00F81221">
        <w:rPr>
          <w:kern w:val="0"/>
          <w:szCs w:val="24"/>
        </w:rPr>
        <w:t xml:space="preserve"> and </w:t>
      </w:r>
      <w:r>
        <w:rPr>
          <w:kern w:val="0"/>
          <w:szCs w:val="24"/>
        </w:rPr>
        <w:t>neutralization, followed by the secondary treatment-chemical/biological oxidation</w:t>
      </w:r>
      <w:r w:rsidR="00F81221">
        <w:rPr>
          <w:kern w:val="0"/>
          <w:szCs w:val="24"/>
        </w:rPr>
        <w:t xml:space="preserve"> and </w:t>
      </w:r>
      <w:r>
        <w:rPr>
          <w:kern w:val="0"/>
          <w:szCs w:val="24"/>
        </w:rPr>
        <w:t>clarification,</w:t>
      </w:r>
      <w:r w:rsidR="00F81221">
        <w:rPr>
          <w:kern w:val="0"/>
          <w:szCs w:val="24"/>
        </w:rPr>
        <w:t xml:space="preserve"> and </w:t>
      </w:r>
      <w:r>
        <w:rPr>
          <w:kern w:val="0"/>
          <w:szCs w:val="24"/>
        </w:rPr>
        <w:t>the tertiary treatment-adsorption onto activated carbon. The neutralization of the wastewater with acid/milk of lime increases the concentration of total dissolved solids, which adversely affects the activity of microorganisms during biological oxidation process. To overcome this limitation, adsorption is proposed in the first stage of treatment</w:t>
      </w:r>
      <w:r w:rsidR="00F81221">
        <w:rPr>
          <w:kern w:val="0"/>
          <w:szCs w:val="24"/>
        </w:rPr>
        <w:t xml:space="preserve"> and </w:t>
      </w:r>
      <w:r>
        <w:rPr>
          <w:kern w:val="0"/>
          <w:szCs w:val="24"/>
        </w:rPr>
        <w:t>other stages could follow depending on the quality of the wastewater. Experiments were carried out on wastewater samples from different plants manufacturing dyes using adsorbents-activated carbon, fly ash, bentonite</w:t>
      </w:r>
      <w:r w:rsidR="00F81221">
        <w:rPr>
          <w:kern w:val="0"/>
          <w:szCs w:val="24"/>
        </w:rPr>
        <w:t xml:space="preserve"> and </w:t>
      </w:r>
      <w:r>
        <w:rPr>
          <w:kern w:val="0"/>
          <w:szCs w:val="24"/>
        </w:rPr>
        <w:t>lignite. The effectiveness of adsorbents in reducing chemical oxygen demand (COD)</w:t>
      </w:r>
      <w:r w:rsidR="00F81221">
        <w:rPr>
          <w:kern w:val="0"/>
          <w:szCs w:val="24"/>
        </w:rPr>
        <w:t xml:space="preserve"> and </w:t>
      </w:r>
      <w:r>
        <w:rPr>
          <w:kern w:val="0"/>
          <w:szCs w:val="24"/>
        </w:rPr>
        <w:t>colour was evaluated. The results of COD reduction are fitted into different models available in the literature. A model for predicting COD equilibrium values is proposed. Sorption kinetics</w:t>
      </w:r>
      <w:r w:rsidR="00F81221">
        <w:rPr>
          <w:kern w:val="0"/>
          <w:szCs w:val="24"/>
        </w:rPr>
        <w:t xml:space="preserve"> and </w:t>
      </w:r>
      <w:r>
        <w:rPr>
          <w:kern w:val="0"/>
          <w:szCs w:val="24"/>
        </w:rPr>
        <w:t>rate of reduction of COD over time are also discussed.</w:t>
      </w:r>
    </w:p>
    <w:p w:rsidR="004970B8" w:rsidRDefault="004970B8" w:rsidP="004970B8">
      <w:pPr>
        <w:pStyle w:val="a0"/>
        <w:rPr>
          <w:kern w:val="0"/>
          <w:szCs w:val="24"/>
        </w:rPr>
      </w:pPr>
      <w:r>
        <w:rPr>
          <w:kern w:val="0"/>
          <w:szCs w:val="24"/>
        </w:rPr>
        <w:t>Keywords: Activated Carbon, Adsorbents, Adsorption, Carbon, Chemical Oxygen Demand, COD, Disperse Dye, Dyes, Equilibrium, Fly Ash, India, Kinetics, Limitation, Literature, Microorganisms, Model, Models, Oxidation, Plants, Reduction, Removal, Sorption, Sorption Kinetics, Stage, Total Dissolved Solids, Treatment, Wastewater, Wastewater Treatment</w:t>
      </w:r>
    </w:p>
    <w:p w:rsidR="00B95188" w:rsidRDefault="00B95188" w:rsidP="00B95188">
      <w:pPr>
        <w:pStyle w:val="a0"/>
      </w:pPr>
      <w:r w:rsidRPr="00A428C3">
        <w:t>? Jadhav, D.N.</w:t>
      </w:r>
      <w:r w:rsidR="00F81221">
        <w:t xml:space="preserve"> and </w:t>
      </w:r>
      <w:r w:rsidRPr="00A428C3">
        <w:t>Vanjara, A.K. (2004), Removal of phenol from wastewater using sawdust, polymerized sawdust</w:t>
      </w:r>
      <w:r w:rsidR="00F81221">
        <w:t xml:space="preserve"> and </w:t>
      </w:r>
      <w:r w:rsidRPr="00A428C3">
        <w:t xml:space="preserve">sawdust carbon. </w:t>
      </w:r>
      <w:r w:rsidRPr="00A428C3">
        <w:rPr>
          <w:i/>
          <w:iCs/>
        </w:rPr>
        <w:t>Indian Journal of Chemical Technology</w:t>
      </w:r>
      <w:r w:rsidRPr="00A428C3">
        <w:t xml:space="preserve">, </w:t>
      </w:r>
      <w:r w:rsidRPr="00A428C3">
        <w:rPr>
          <w:b/>
        </w:rPr>
        <w:t>11</w:t>
      </w:r>
      <w:r w:rsidRPr="00A428C3">
        <w:t xml:space="preserve"> (1), 35-41.</w:t>
      </w:r>
    </w:p>
    <w:p w:rsidR="00BD155A" w:rsidRPr="00A428C3" w:rsidRDefault="00BD155A" w:rsidP="00B95188">
      <w:pPr>
        <w:pStyle w:val="a0"/>
      </w:pPr>
      <w:r>
        <w:rPr>
          <w:rFonts w:hint="eastAsia"/>
        </w:rPr>
        <w:t xml:space="preserve">Full Text: </w:t>
      </w:r>
      <w:hyperlink r:id="rId850" w:history="1">
        <w:r w:rsidRPr="00BD155A">
          <w:rPr>
            <w:rStyle w:val="a5"/>
          </w:rPr>
          <w:t>2004\Ind J Che Tec11, 35.pdf</w:t>
        </w:r>
      </w:hyperlink>
    </w:p>
    <w:p w:rsidR="00B95188" w:rsidRPr="00A428C3" w:rsidRDefault="00B95188" w:rsidP="00B95188">
      <w:pPr>
        <w:pStyle w:val="a0"/>
      </w:pPr>
      <w:r w:rsidRPr="00A428C3">
        <w:t>Abstract: The adsorption of phenol on sawdust, polymerized sawdust</w:t>
      </w:r>
      <w:r w:rsidR="00F81221">
        <w:t xml:space="preserve"> and </w:t>
      </w:r>
      <w:r w:rsidRPr="00A428C3">
        <w:t>sawdust carbon was investigated to assess the possible use of these adsorbents for the processing of phenolic wastewater. The influence of various factors such as initial concentration. agitation speed,</w:t>
      </w:r>
      <w:r w:rsidR="00F81221">
        <w:t xml:space="preserve"> and </w:t>
      </w:r>
      <w:r w:rsidRPr="00A428C3">
        <w:t>amount of adsorbent, temperature</w:t>
      </w:r>
      <w:r w:rsidR="00F81221">
        <w:t xml:space="preserve"> and </w:t>
      </w:r>
      <w:r w:rsidRPr="00A428C3">
        <w:t>pH on the adsorption capacity has been studied. The percentage removal of phenol is observed to increase, with the increase in initial concentration of phenol. With increase in temperature the adsorption of phenol decreases, indicating exothermic nature of the reaction. Adsorption isothermal data could be interpreted by the Langmuir</w:t>
      </w:r>
      <w:r w:rsidR="00F81221">
        <w:t xml:space="preserve"> and </w:t>
      </w:r>
      <w:r w:rsidRPr="00A428C3">
        <w:t>Freundlich equations, Kinetic data has been studied, using pseudo-second order equation for understanding the reaction mechanism. Thermodynamic parameters such as DeltaG, DeltaH</w:t>
      </w:r>
      <w:r w:rsidR="00F81221">
        <w:t xml:space="preserve"> and </w:t>
      </w:r>
      <w:r w:rsidRPr="00A428C3">
        <w:t>DeltaS for the adsorption process were calculated.</w:t>
      </w:r>
    </w:p>
    <w:p w:rsidR="00B95188" w:rsidRPr="00A428C3" w:rsidRDefault="00B95188" w:rsidP="00B95188">
      <w:pPr>
        <w:pStyle w:val="a0"/>
      </w:pPr>
      <w:r w:rsidRPr="00A428C3">
        <w:t xml:space="preserve">Keywords: Aqueous-Solution, Oxalic-Acid, Adsorption, Sorption, Dye, Peat, </w:t>
      </w:r>
      <w:r w:rsidRPr="00A428C3">
        <w:lastRenderedPageBreak/>
        <w:t>Adsorbents</w:t>
      </w:r>
    </w:p>
    <w:p w:rsidR="00B95188" w:rsidRPr="00A428C3" w:rsidRDefault="00B95188" w:rsidP="00B95188">
      <w:pPr>
        <w:pStyle w:val="a0"/>
      </w:pPr>
      <w:r w:rsidRPr="00A428C3">
        <w:t>? Jadhav, D.N.</w:t>
      </w:r>
      <w:r w:rsidR="00F81221">
        <w:t xml:space="preserve"> and </w:t>
      </w:r>
      <w:r w:rsidRPr="00A428C3">
        <w:t>Vanjara, A.K. (2004), Adsorption kinetics study: Removal of dyestuff effluent using sawdust, polymerized sawdust</w:t>
      </w:r>
      <w:r w:rsidR="00F81221">
        <w:t xml:space="preserve"> and </w:t>
      </w:r>
      <w:r w:rsidRPr="00A428C3">
        <w:t xml:space="preserve">sawdust carbon-II. </w:t>
      </w:r>
      <w:r w:rsidRPr="00A428C3">
        <w:rPr>
          <w:i/>
          <w:iCs/>
        </w:rPr>
        <w:t>Indian Journal of Chemical Technology</w:t>
      </w:r>
      <w:r w:rsidRPr="00A428C3">
        <w:t xml:space="preserve">, </w:t>
      </w:r>
      <w:r w:rsidRPr="00A428C3">
        <w:rPr>
          <w:b/>
        </w:rPr>
        <w:t>11</w:t>
      </w:r>
      <w:r w:rsidRPr="00A428C3">
        <w:t xml:space="preserve"> (1), 42-50.</w:t>
      </w:r>
    </w:p>
    <w:p w:rsidR="00BD155A" w:rsidRPr="00A428C3" w:rsidRDefault="00BD155A" w:rsidP="00BD155A">
      <w:pPr>
        <w:pStyle w:val="a0"/>
      </w:pPr>
      <w:r>
        <w:rPr>
          <w:rFonts w:hint="eastAsia"/>
        </w:rPr>
        <w:t xml:space="preserve">Full Text: </w:t>
      </w:r>
      <w:hyperlink r:id="rId851" w:history="1">
        <w:r w:rsidRPr="00BD155A">
          <w:rPr>
            <w:rStyle w:val="a5"/>
          </w:rPr>
          <w:t>2004\Ind J Che Tec11, 42.pdf</w:t>
        </w:r>
      </w:hyperlink>
    </w:p>
    <w:p w:rsidR="00B95188" w:rsidRPr="00A428C3" w:rsidRDefault="00B95188" w:rsidP="00B95188">
      <w:pPr>
        <w:pStyle w:val="a0"/>
      </w:pPr>
      <w:r w:rsidRPr="00A428C3">
        <w:t>Abstract: The kinetics study of removal of acidic, basic</w:t>
      </w:r>
      <w:r w:rsidR="00F81221">
        <w:t xml:space="preserve"> and </w:t>
      </w:r>
      <w:r w:rsidRPr="00A428C3">
        <w:t>disperse dyes on sawdust, polymerized sawdust</w:t>
      </w:r>
      <w:r w:rsidR="00F81221">
        <w:t xml:space="preserve"> and </w:t>
      </w:r>
      <w:r w:rsidRPr="00A428C3">
        <w:t>sawdust carbon were carried out by adsorption technique. The factors affecting the rate processes involved in the removal of different dyes e.g. initial dye concentration, agitation speed, mass of adsorbent, temperature, have been studied. The adsorption process followed first order rate kinetics. The adsorption data generally fit the Lagergren equation</w:t>
      </w:r>
      <w:r w:rsidR="00F81221">
        <w:t xml:space="preserve"> and </w:t>
      </w:r>
      <w:r w:rsidRPr="00A428C3">
        <w:t>the intraparticle diffusion rate equation from which adsorption rate constants, diffusion rate constants</w:t>
      </w:r>
      <w:r w:rsidR="00F81221">
        <w:t xml:space="preserve"> and </w:t>
      </w:r>
      <w:r w:rsidRPr="00A428C3">
        <w:t>diffusion coefficients were determined. Intraparticle diffusion was found to be the rate-limiting step. These kinetic parameters were compared for various dyes under different conditions.</w:t>
      </w:r>
    </w:p>
    <w:p w:rsidR="00B95188" w:rsidRPr="00A428C3" w:rsidRDefault="00B95188" w:rsidP="00B95188">
      <w:pPr>
        <w:pStyle w:val="a0"/>
      </w:pPr>
      <w:r w:rsidRPr="00A428C3">
        <w:t>Keywords: Aqueous-Solution, Activated Carbon, Basic-Dyes, Fly-Ash, Sorption, Equilibrium, Adsorbents, Color</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Roy</w:t>
          </w:r>
        </w:smartTag>
      </w:smartTag>
      <w:r w:rsidRPr="00A428C3">
        <w:t>, P.K., Rawat, A.S., Choudhary, V.</w:t>
      </w:r>
      <w:r w:rsidR="00F81221">
        <w:t xml:space="preserve"> and </w:t>
      </w:r>
      <w:r w:rsidRPr="00A428C3">
        <w:t xml:space="preserve">Rai, P.K. (2004), Removal of heavy metal ions using polydithiocarbamate resin supported on polystyrene. </w:t>
      </w:r>
      <w:r w:rsidRPr="00A428C3">
        <w:rPr>
          <w:i/>
          <w:iCs/>
        </w:rPr>
        <w:t>Indian Journal of Chemical Technology</w:t>
      </w:r>
      <w:r w:rsidRPr="00A428C3">
        <w:t xml:space="preserve">, </w:t>
      </w:r>
      <w:r w:rsidRPr="00A428C3">
        <w:rPr>
          <w:b/>
        </w:rPr>
        <w:t>11</w:t>
      </w:r>
      <w:r w:rsidRPr="00A428C3">
        <w:t xml:space="preserve"> (1), 51-58.</w:t>
      </w:r>
    </w:p>
    <w:p w:rsidR="00BD155A" w:rsidRPr="00A428C3" w:rsidRDefault="00BD155A" w:rsidP="00BD155A">
      <w:pPr>
        <w:pStyle w:val="a0"/>
      </w:pPr>
      <w:r>
        <w:rPr>
          <w:rFonts w:hint="eastAsia"/>
        </w:rPr>
        <w:t xml:space="preserve">Full Text: </w:t>
      </w:r>
      <w:hyperlink r:id="rId852" w:history="1">
        <w:r w:rsidRPr="00BD155A">
          <w:rPr>
            <w:rStyle w:val="a5"/>
          </w:rPr>
          <w:t>2004\Ind J Che Tec11, 51.pdf</w:t>
        </w:r>
      </w:hyperlink>
    </w:p>
    <w:p w:rsidR="00B95188" w:rsidRPr="00A428C3" w:rsidRDefault="00B95188" w:rsidP="00B95188">
      <w:pPr>
        <w:pStyle w:val="a0"/>
      </w:pPr>
      <w:r w:rsidRPr="00A428C3">
        <w:t>Abstract: Polydithiocarbamate chelating resin supported on XAD-2 type polystyrene was synthesised by emulsion polymerisation of styrene</w:t>
      </w:r>
      <w:r w:rsidR="00F81221">
        <w:t xml:space="preserve"> and </w:t>
      </w:r>
      <w:r w:rsidRPr="00A428C3">
        <w:t>its subsequent reaction with carbondisulphide in alkaline medium. The polydithiocarbamate resin was characterised by elemental analysis, thermal studies</w:t>
      </w:r>
      <w:r w:rsidR="00F81221">
        <w:t xml:space="preserve"> and </w:t>
      </w:r>
      <w:r w:rsidRPr="00A428C3">
        <w:t>IR studies. The sorbent was evaluated for its analytical characteristics</w:t>
      </w:r>
      <w:r w:rsidR="00F81221">
        <w:t xml:space="preserve"> and </w:t>
      </w:r>
      <w:r w:rsidRPr="00A428C3">
        <w:t>the optimum sorption conditions for metals like Cu, Ni, Pb, Fe, As</w:t>
      </w:r>
      <w:r w:rsidR="00F81221">
        <w:t xml:space="preserve"> and </w:t>
      </w:r>
      <w:r w:rsidRPr="00A428C3">
        <w:t>Mn were determined in order to assess the efficiency of the resin. The sorption capacity was considerably higher when compared to other conventional chelating polymers. The sorption kinetics was fairly rapid as apparent from the loading t</w:t>
      </w:r>
      <w:r w:rsidRPr="00A428C3">
        <w:rPr>
          <w:vertAlign w:val="subscript"/>
        </w:rPr>
        <w:t>1/2</w:t>
      </w:r>
      <w:r w:rsidRPr="00A428C3">
        <w:t xml:space="preserve"> values, indicating a better accessibility of the chelating sites.</w:t>
      </w:r>
    </w:p>
    <w:p w:rsidR="00B95188" w:rsidRPr="00A428C3" w:rsidRDefault="00B95188" w:rsidP="00B95188">
      <w:pPr>
        <w:pStyle w:val="a0"/>
      </w:pPr>
      <w:r w:rsidRPr="00A428C3">
        <w:t>Keywords: Chelating Resin, Dithizone, Polymers, Zinc(II), Beads, Sites, Trace</w:t>
      </w:r>
    </w:p>
    <w:p w:rsidR="005C0B13" w:rsidRDefault="005C0B13" w:rsidP="005C0B13">
      <w:pPr>
        <w:pStyle w:val="a0"/>
        <w:rPr>
          <w:kern w:val="0"/>
          <w:szCs w:val="24"/>
        </w:rPr>
      </w:pPr>
      <w:r>
        <w:rPr>
          <w:rFonts w:hint="eastAsia"/>
          <w:kern w:val="0"/>
          <w:szCs w:val="24"/>
        </w:rPr>
        <w:t xml:space="preserve">? </w:t>
      </w:r>
      <w:r>
        <w:rPr>
          <w:kern w:val="0"/>
          <w:szCs w:val="24"/>
        </w:rPr>
        <w:t>Chettiar, K.S.</w:t>
      </w:r>
      <w:r w:rsidR="00F81221">
        <w:rPr>
          <w:kern w:val="0"/>
          <w:szCs w:val="24"/>
        </w:rPr>
        <w:t xml:space="preserve"> and </w:t>
      </w:r>
      <w:r>
        <w:rPr>
          <w:kern w:val="0"/>
          <w:szCs w:val="24"/>
        </w:rPr>
        <w:t xml:space="preserve">Sreekumar, K. (2004), Metal complexation on functionalised polymer supports - An adsorption/complexation phenomenon. </w:t>
      </w:r>
      <w:r>
        <w:rPr>
          <w:i/>
          <w:iCs/>
          <w:kern w:val="0"/>
          <w:szCs w:val="24"/>
        </w:rPr>
        <w:t xml:space="preserve"> Indian Journal of Chemical Technology</w:t>
      </w:r>
      <w:r>
        <w:rPr>
          <w:kern w:val="0"/>
          <w:szCs w:val="24"/>
        </w:rPr>
        <w:t xml:space="preserve">, </w:t>
      </w:r>
      <w:r>
        <w:rPr>
          <w:b/>
          <w:bCs/>
          <w:kern w:val="0"/>
          <w:szCs w:val="24"/>
        </w:rPr>
        <w:t>11</w:t>
      </w:r>
      <w:r>
        <w:rPr>
          <w:kern w:val="0"/>
          <w:szCs w:val="24"/>
        </w:rPr>
        <w:t xml:space="preserve"> (1), 59-66.</w:t>
      </w:r>
    </w:p>
    <w:p w:rsidR="005C0B13" w:rsidRPr="00A428C3" w:rsidRDefault="005C0B13" w:rsidP="005C0B13">
      <w:pPr>
        <w:pStyle w:val="a0"/>
      </w:pPr>
      <w:r>
        <w:rPr>
          <w:rFonts w:hint="eastAsia"/>
        </w:rPr>
        <w:t xml:space="preserve">Full Text: </w:t>
      </w:r>
      <w:hyperlink r:id="rId853" w:history="1">
        <w:r w:rsidRPr="005C0B13">
          <w:rPr>
            <w:rStyle w:val="a5"/>
          </w:rPr>
          <w:t>2004\Ind J Che Tec11, 59.pdf</w:t>
        </w:r>
      </w:hyperlink>
    </w:p>
    <w:p w:rsidR="005C0B13" w:rsidRDefault="005C0B13" w:rsidP="005C0B13">
      <w:pPr>
        <w:pStyle w:val="a0"/>
        <w:rPr>
          <w:kern w:val="0"/>
          <w:szCs w:val="24"/>
        </w:rPr>
      </w:pPr>
      <w:r>
        <w:rPr>
          <w:kern w:val="0"/>
          <w:szCs w:val="24"/>
        </w:rPr>
        <w:t>Abstract: The present study is aimed at preparing polymer metal complexes of Co(II)</w:t>
      </w:r>
      <w:r w:rsidR="00F81221">
        <w:rPr>
          <w:kern w:val="0"/>
          <w:szCs w:val="24"/>
        </w:rPr>
        <w:t xml:space="preserve"> and </w:t>
      </w:r>
      <w:r>
        <w:rPr>
          <w:kern w:val="0"/>
          <w:szCs w:val="24"/>
        </w:rPr>
        <w:t>Cu(II) under controlled conditions of concentration, time, temperature</w:t>
      </w:r>
      <w:r w:rsidR="00F81221">
        <w:rPr>
          <w:kern w:val="0"/>
          <w:szCs w:val="24"/>
        </w:rPr>
        <w:t xml:space="preserve"> and </w:t>
      </w:r>
      <w:r>
        <w:rPr>
          <w:kern w:val="0"/>
          <w:szCs w:val="24"/>
        </w:rPr>
        <w:t>pH The complexes are derived from DVB crosslinked polystyrene</w:t>
      </w:r>
      <w:r w:rsidR="00F81221">
        <w:rPr>
          <w:kern w:val="0"/>
          <w:szCs w:val="24"/>
        </w:rPr>
        <w:t xml:space="preserve"> and </w:t>
      </w:r>
      <w:r>
        <w:rPr>
          <w:kern w:val="0"/>
          <w:szCs w:val="24"/>
        </w:rPr>
        <w:t xml:space="preserve">poly(hydroxyethyl methacrylate) supported thiosemicarbazone-transition metal </w:t>
      </w:r>
      <w:r>
        <w:rPr>
          <w:kern w:val="0"/>
          <w:szCs w:val="24"/>
        </w:rPr>
        <w:lastRenderedPageBreak/>
        <w:t>interaction. Crosslinked polymer ligand beads with definite porosity can adsorb metal ions. The question whether metal complexation is a case of adsorption</w:t>
      </w:r>
      <w:r w:rsidR="00F81221">
        <w:rPr>
          <w:kern w:val="0"/>
          <w:szCs w:val="24"/>
        </w:rPr>
        <w:t xml:space="preserve"> and </w:t>
      </w:r>
      <w:r>
        <w:rPr>
          <w:kern w:val="0"/>
          <w:szCs w:val="24"/>
        </w:rPr>
        <w:t>coordination, is investigated. Kinetics</w:t>
      </w:r>
      <w:r w:rsidR="00F81221">
        <w:rPr>
          <w:kern w:val="0"/>
          <w:szCs w:val="24"/>
        </w:rPr>
        <w:t xml:space="preserve"> and </w:t>
      </w:r>
      <w:r>
        <w:rPr>
          <w:kern w:val="0"/>
          <w:szCs w:val="24"/>
        </w:rPr>
        <w:t>thermodynamics of adsorption of metal ions on the polymeric ligand with proper surface structures is determined. The equilibrium metal intake by 10</w:t>
      </w:r>
      <w:r w:rsidR="00F81221">
        <w:rPr>
          <w:kern w:val="0"/>
          <w:szCs w:val="24"/>
        </w:rPr>
        <w:t xml:space="preserve"> and </w:t>
      </w:r>
      <w:r>
        <w:rPr>
          <w:kern w:val="0"/>
          <w:szCs w:val="24"/>
        </w:rPr>
        <w:t>15% crosslinked resins at constant temperature was utilised to construct Langmuir</w:t>
      </w:r>
      <w:r w:rsidR="00F81221">
        <w:rPr>
          <w:kern w:val="0"/>
          <w:szCs w:val="24"/>
        </w:rPr>
        <w:t xml:space="preserve"> and </w:t>
      </w:r>
      <w:r>
        <w:rPr>
          <w:kern w:val="0"/>
          <w:szCs w:val="24"/>
        </w:rPr>
        <w:t>Freundlich adsorption isotherms. The influence of temperature on the extent of adsorption was studied by plotting isotherms at different temperatures</w:t>
      </w:r>
      <w:r w:rsidR="00F81221">
        <w:rPr>
          <w:kern w:val="0"/>
          <w:szCs w:val="24"/>
        </w:rPr>
        <w:t xml:space="preserve"> and </w:t>
      </w:r>
      <w:r>
        <w:rPr>
          <w:kern w:val="0"/>
          <w:szCs w:val="24"/>
        </w:rPr>
        <w:t>calculating different thermodynamic parameters.</w:t>
      </w:r>
    </w:p>
    <w:p w:rsidR="005C0B13" w:rsidRDefault="005C0B13" w:rsidP="005C0B13">
      <w:pPr>
        <w:pStyle w:val="a0"/>
        <w:rPr>
          <w:kern w:val="0"/>
          <w:szCs w:val="24"/>
        </w:rPr>
      </w:pPr>
      <w:r>
        <w:rPr>
          <w:kern w:val="0"/>
          <w:szCs w:val="24"/>
        </w:rPr>
        <w:t xml:space="preserve">Keywords: Adsorption, Adsorption Isotherms, Asymmetric Epoxidation, Beads, Catalysts, Co(II), Cu(II), Equilibrium, Freundlich, Freundlich Adsorption Isotherms, Isotherms, Kinetics, Langmuir, Metal Ions, </w:t>
      </w:r>
      <w:r>
        <w:rPr>
          <w:rFonts w:hint="eastAsia"/>
          <w:kern w:val="0"/>
          <w:szCs w:val="24"/>
        </w:rPr>
        <w:t>p</w:t>
      </w:r>
      <w:r>
        <w:rPr>
          <w:kern w:val="0"/>
          <w:szCs w:val="24"/>
        </w:rPr>
        <w:t>H, Porosity, Temperature, Thermodynamic, Thermodynamic Parameters, Thermodynamics</w:t>
      </w:r>
    </w:p>
    <w:p w:rsidR="00B95188" w:rsidRPr="00A428C3" w:rsidRDefault="00B95188" w:rsidP="00B95188">
      <w:pPr>
        <w:pStyle w:val="a0"/>
      </w:pPr>
      <w:r w:rsidRPr="00A428C3">
        <w:t>? Aydin, A.H.</w:t>
      </w:r>
      <w:r w:rsidR="00F81221">
        <w:t xml:space="preserve"> and </w:t>
      </w:r>
      <w:r w:rsidRPr="00A428C3">
        <w:t>Yavuz, O. (2004), Removal of acid red 183 from aqueous solution using clay</w:t>
      </w:r>
      <w:r w:rsidR="00F81221">
        <w:t xml:space="preserve"> and </w:t>
      </w:r>
      <w:r w:rsidRPr="00A428C3">
        <w:t xml:space="preserve">activated carbon. </w:t>
      </w:r>
      <w:r w:rsidRPr="00A428C3">
        <w:rPr>
          <w:i/>
          <w:iCs/>
        </w:rPr>
        <w:t>Indian Journal of Chemical Technology</w:t>
      </w:r>
      <w:r w:rsidRPr="00A428C3">
        <w:t xml:space="preserve">, </w:t>
      </w:r>
      <w:r w:rsidRPr="00A428C3">
        <w:rPr>
          <w:b/>
        </w:rPr>
        <w:t>11</w:t>
      </w:r>
      <w:r w:rsidRPr="00A428C3">
        <w:t xml:space="preserve"> (1), 89-94.</w:t>
      </w:r>
    </w:p>
    <w:p w:rsidR="00BD155A" w:rsidRPr="00A428C3" w:rsidRDefault="00BD155A" w:rsidP="00BD155A">
      <w:pPr>
        <w:pStyle w:val="a0"/>
      </w:pPr>
      <w:r>
        <w:rPr>
          <w:rFonts w:hint="eastAsia"/>
        </w:rPr>
        <w:t xml:space="preserve">Full Text: </w:t>
      </w:r>
      <w:hyperlink r:id="rId854" w:history="1">
        <w:r w:rsidRPr="00BD155A">
          <w:rPr>
            <w:rStyle w:val="a5"/>
          </w:rPr>
          <w:t>2004\Ind J Che Tec11, 89.pdf</w:t>
        </w:r>
      </w:hyperlink>
    </w:p>
    <w:p w:rsidR="00B95188" w:rsidRPr="00A428C3" w:rsidRDefault="00B95188" w:rsidP="00B95188">
      <w:pPr>
        <w:pStyle w:val="a0"/>
      </w:pPr>
      <w:r w:rsidRPr="00A428C3">
        <w:t>Abstract: The removal of acid red 183 from aqueous solution onto activated carbon, raw kaolinite</w:t>
      </w:r>
      <w:r w:rsidR="00F81221">
        <w:t xml:space="preserve"> and </w:t>
      </w:r>
      <w:r w:rsidRPr="00A428C3">
        <w:t>montmorillonite has been studied using an agitated batch adsorber. The adsorption isotherm data were fitted to Langmuir isotherm. Parameters of Langmuir isotherm were determined using adsorption data. The adsorption capacity was 1495, 111, 29</w:t>
      </w:r>
      <w:r w:rsidR="00F81221">
        <w:t xml:space="preserve"> and </w:t>
      </w:r>
      <w:r w:rsidRPr="00A428C3">
        <w:t>19 mg dye per g adsorbent for RAC (commercial activated carbon), HAC (activated carbon obtained from hazelnut), KC (raw kaolinite)</w:t>
      </w:r>
      <w:r w:rsidR="00F81221">
        <w:t xml:space="preserve"> and </w:t>
      </w:r>
      <w:r w:rsidRPr="00A428C3">
        <w:t>MC (montmorillonite) at 25</w:t>
      </w:r>
      <w:r w:rsidR="008A7E71">
        <w:t>°</w:t>
      </w:r>
      <w:r w:rsidRPr="00A428C3">
        <w:t>C respectively.</w:t>
      </w:r>
    </w:p>
    <w:p w:rsidR="00B95188" w:rsidRPr="00A428C3" w:rsidRDefault="00B95188" w:rsidP="00B95188">
      <w:pPr>
        <w:pStyle w:val="a0"/>
      </w:pPr>
      <w:r w:rsidRPr="00A428C3">
        <w:t>Keywords: Adsorption, Dyes</w:t>
      </w:r>
    </w:p>
    <w:p w:rsidR="00B95188" w:rsidRPr="00A428C3" w:rsidRDefault="00B95188" w:rsidP="00B95188">
      <w:pPr>
        <w:pStyle w:val="a0"/>
      </w:pPr>
      <w:r w:rsidRPr="00A428C3">
        <w:t>? Sekaran, G., Gnanamani, A.</w:t>
      </w:r>
      <w:r w:rsidR="00F81221">
        <w:t xml:space="preserve"> and </w:t>
      </w:r>
      <w:r w:rsidRPr="00A428C3">
        <w:t xml:space="preserve">Yogesh, P. (2004), Preparation of biocatalyst for the removal of dissolved organics in wastewater. </w:t>
      </w:r>
      <w:r w:rsidRPr="00A428C3">
        <w:rPr>
          <w:i/>
          <w:iCs/>
        </w:rPr>
        <w:t>Indian Journal of Chemical Technology</w:t>
      </w:r>
      <w:r w:rsidRPr="00A428C3">
        <w:t xml:space="preserve">, </w:t>
      </w:r>
      <w:r w:rsidRPr="00A428C3">
        <w:rPr>
          <w:b/>
        </w:rPr>
        <w:t>11</w:t>
      </w:r>
      <w:r w:rsidRPr="00A428C3">
        <w:t xml:space="preserve"> (1), 95-102.</w:t>
      </w:r>
    </w:p>
    <w:p w:rsidR="00BD155A" w:rsidRPr="00A428C3" w:rsidRDefault="00BD155A" w:rsidP="00BD155A">
      <w:pPr>
        <w:pStyle w:val="a0"/>
      </w:pPr>
      <w:r>
        <w:rPr>
          <w:rFonts w:hint="eastAsia"/>
        </w:rPr>
        <w:t xml:space="preserve">Full Text: </w:t>
      </w:r>
      <w:hyperlink r:id="rId855" w:history="1">
        <w:r w:rsidRPr="00BD155A">
          <w:rPr>
            <w:rStyle w:val="a5"/>
          </w:rPr>
          <w:t>2004\Ind J Che Tec11, 95.pdf</w:t>
        </w:r>
      </w:hyperlink>
    </w:p>
    <w:p w:rsidR="00B95188" w:rsidRPr="00A428C3" w:rsidRDefault="00B95188" w:rsidP="00B95188">
      <w:pPr>
        <w:pStyle w:val="a0"/>
      </w:pPr>
      <w:r w:rsidRPr="00A428C3">
        <w:t>Abstract: Xenobiotic compounds are used in considerable quantities in leather industries besides organic</w:t>
      </w:r>
      <w:r w:rsidR="00F81221">
        <w:t xml:space="preserve"> and </w:t>
      </w:r>
      <w:r w:rsidRPr="00A428C3">
        <w:t>inorganic compounds. These compounds resist biological degradation</w:t>
      </w:r>
      <w:r w:rsidR="00F81221">
        <w:t xml:space="preserve"> and </w:t>
      </w:r>
      <w:r w:rsidRPr="00A428C3">
        <w:t>thus they remain present in the treated wastewater in the unaltered molecular configurations. Immobilization of organisms in carrier matrices protects them from shock load applications</w:t>
      </w:r>
      <w:r w:rsidR="00F81221">
        <w:t xml:space="preserve"> and </w:t>
      </w:r>
      <w:r w:rsidRPr="00A428C3">
        <w:t xml:space="preserve">from the toxicity of chemicals in bulk liquid phase. Rice Bran based Activated Carbon (RBAC) has been considered in the present study as the carrier matrix for the immobilization of Bacillus sp. isolated from Effluent Treatment Plant (ETP) employed for the treatment of wastewater containing sulphonated phenolic (SP) compounds. The influence of temperature, pH, concentration, particle size, mass of the adsorbent were observed on the </w:t>
      </w:r>
      <w:r w:rsidRPr="00A428C3">
        <w:lastRenderedPageBreak/>
        <w:t>immobilization behaviour of Bacillus sp. in RBAC. The percentage immobilization of Bacillus sp. was maximum at pH 7.0, temperature 20</w:t>
      </w:r>
      <w:r w:rsidR="008A7E71">
        <w:t>°</w:t>
      </w:r>
      <w:r w:rsidRPr="00A428C3">
        <w:t>C</w:t>
      </w:r>
      <w:r w:rsidR="00F81221">
        <w:t xml:space="preserve"> and </w:t>
      </w:r>
      <w:r w:rsidRPr="00A428C3">
        <w:t>for particle size 300</w:t>
      </w:r>
      <w:r w:rsidR="008A7E71">
        <w:sym w:font="Symbol" w:char="F06D"/>
      </w:r>
      <w:r w:rsidRPr="00A428C3">
        <w:t>. Enthalpy, free energy</w:t>
      </w:r>
      <w:r w:rsidR="00F81221">
        <w:t xml:space="preserve"> and </w:t>
      </w:r>
      <w:r w:rsidRPr="00A428C3">
        <w:t>entropy of adsorption were -46.9 kj mole</w:t>
      </w:r>
      <w:r w:rsidRPr="00A428C3">
        <w:rPr>
          <w:vertAlign w:val="superscript"/>
        </w:rPr>
        <w:t>-1</w:t>
      </w:r>
      <w:r w:rsidRPr="00A428C3">
        <w:t>, -1.187 kj mole</w:t>
      </w:r>
      <w:r w:rsidRPr="00A428C3">
        <w:rPr>
          <w:vertAlign w:val="superscript"/>
        </w:rPr>
        <w:t>-1</w:t>
      </w:r>
      <w:r w:rsidR="00F81221">
        <w:t xml:space="preserve"> and </w:t>
      </w:r>
      <w:r w:rsidRPr="00A428C3">
        <w:t xml:space="preserve">-161.36 J </w:t>
      </w:r>
      <w:r w:rsidR="008A7E71">
        <w:t>°</w:t>
      </w:r>
      <w:r w:rsidRPr="00A428C3">
        <w:t>K</w:t>
      </w:r>
      <w:r w:rsidRPr="00A428C3">
        <w:rPr>
          <w:vertAlign w:val="superscript"/>
        </w:rPr>
        <w:t>-1</w:t>
      </w:r>
      <w:r w:rsidRPr="00A428C3">
        <w:t xml:space="preserve"> mole</w:t>
      </w:r>
      <w:r w:rsidRPr="00A428C3">
        <w:rPr>
          <w:vertAlign w:val="superscript"/>
        </w:rPr>
        <w:t>-1</w:t>
      </w:r>
      <w:r w:rsidRPr="00A428C3">
        <w:t xml:space="preserve"> respectively at pH 7.0, temperature 30</w:t>
      </w:r>
      <w:r w:rsidR="008A7E71">
        <w:t>°</w:t>
      </w:r>
      <w:r w:rsidRPr="00A428C3">
        <w:t>C</w:t>
      </w:r>
      <w:r w:rsidR="00F81221">
        <w:t xml:space="preserve"> and </w:t>
      </w:r>
      <w:r w:rsidRPr="00A428C3">
        <w:t>particle size 600</w:t>
      </w:r>
      <w:r w:rsidR="008A7E71">
        <w:sym w:font="Symbol" w:char="F06D"/>
      </w:r>
      <w:r w:rsidRPr="00A428C3">
        <w:t xml:space="preserve">. Higher values of </w:t>
      </w:r>
      <w:r w:rsidR="008A7E71">
        <w:sym w:font="Symbol" w:char="F044"/>
      </w:r>
      <w:r w:rsidRPr="00A428C3">
        <w:t>H</w:t>
      </w:r>
      <w:r w:rsidR="008A7E71">
        <w:t>°</w:t>
      </w:r>
      <w:r w:rsidRPr="00A428C3">
        <w:t xml:space="preserve"> indicate the firm bonding of the Bacillus sp. in RBAC.</w:t>
      </w:r>
    </w:p>
    <w:p w:rsidR="00B95188" w:rsidRPr="00A428C3" w:rsidRDefault="00B95188" w:rsidP="00B95188">
      <w:pPr>
        <w:pStyle w:val="a0"/>
      </w:pPr>
      <w:r w:rsidRPr="00A428C3">
        <w:t>Keywords: Activated Carbon, Pseudomonas-Putida, Continuous Degradation, Mixed Culture, Adsorption, Phenol, 4-Chlorophenol, Microorganisms, Interface, Proteins</w:t>
      </w:r>
    </w:p>
    <w:p w:rsidR="00B95188" w:rsidRPr="00A428C3" w:rsidRDefault="00B95188" w:rsidP="00B95188">
      <w:pPr>
        <w:pStyle w:val="a0"/>
      </w:pPr>
      <w:r w:rsidRPr="00A428C3">
        <w:t>? Singh, I.B.</w:t>
      </w:r>
      <w:r w:rsidR="00F81221">
        <w:t xml:space="preserve"> and </w:t>
      </w:r>
      <w:r w:rsidRPr="00A428C3">
        <w:t xml:space="preserve">Prasad, M. (2004), Study on the fluoride removal characteristics of mineral (fluorapatite). </w:t>
      </w:r>
      <w:r w:rsidRPr="00A428C3">
        <w:rPr>
          <w:i/>
          <w:iCs/>
        </w:rPr>
        <w:t>Indian Journal of Chemical Technology</w:t>
      </w:r>
      <w:r w:rsidRPr="00A428C3">
        <w:t xml:space="preserve">, </w:t>
      </w:r>
      <w:r w:rsidRPr="00A428C3">
        <w:rPr>
          <w:b/>
        </w:rPr>
        <w:t>11</w:t>
      </w:r>
      <w:r w:rsidRPr="00A428C3">
        <w:t xml:space="preserve"> (2), 185-189.</w:t>
      </w:r>
    </w:p>
    <w:p w:rsidR="00BD155A" w:rsidRPr="00A428C3" w:rsidRDefault="00BD155A" w:rsidP="00BD155A">
      <w:pPr>
        <w:pStyle w:val="a0"/>
      </w:pPr>
      <w:r>
        <w:rPr>
          <w:rFonts w:hint="eastAsia"/>
        </w:rPr>
        <w:t xml:space="preserve">Full Text: </w:t>
      </w:r>
      <w:r>
        <w:t xml:space="preserve">2004\Ind J Che Tec11, </w:t>
      </w:r>
      <w:r>
        <w:rPr>
          <w:rFonts w:hint="eastAsia"/>
        </w:rPr>
        <w:t>185</w:t>
      </w:r>
      <w:r w:rsidRPr="00BD155A">
        <w:t>.pdf</w:t>
      </w:r>
    </w:p>
    <w:p w:rsidR="00B95188" w:rsidRPr="00A428C3" w:rsidRDefault="00B95188" w:rsidP="00B95188">
      <w:pPr>
        <w:pStyle w:val="a0"/>
      </w:pPr>
      <w:r w:rsidRPr="00A428C3">
        <w:t>Abstract: The effectiveness of low grade fluorapatite bearing mineral on fluoride removal has not been examined earlier. For identification of such mineral, a preliminary assessment of performance of mineral is essential in order to know which aspect is necessary to carry out further research for development of mineral based defluoridation technology. In this study batch adsorption study was performed to evaluate the fluoride removal potential of low cost rock phosphate (fluroapatite) mineral at pH 4, 5</w:t>
      </w:r>
      <w:r w:rsidR="00F81221">
        <w:t xml:space="preserve"> and </w:t>
      </w:r>
      <w:r w:rsidRPr="00A428C3">
        <w:t>6. The optimum dose was determined to be 1.5, 2.5</w:t>
      </w:r>
      <w:r w:rsidR="00F81221">
        <w:t xml:space="preserve"> and </w:t>
      </w:r>
      <w:smartTag w:uri="urn:schemas-microsoft-com:office:smarttags" w:element="chmetcnv">
        <w:smartTagPr>
          <w:attr w:name="TCSC" w:val="0"/>
          <w:attr w:name="NumberType" w:val="1"/>
          <w:attr w:name="Negative" w:val="False"/>
          <w:attr w:name="HasSpace" w:val="True"/>
          <w:attr w:name="SourceValue" w:val="3.5"/>
          <w:attr w:name="UnitName" w:val="g"/>
        </w:smartTagPr>
        <w:r w:rsidRPr="00A428C3">
          <w:t>3.5 g</w:t>
        </w:r>
      </w:smartTag>
      <w:r w:rsidRPr="00A428C3">
        <w:t xml:space="preserve"> mineral at pH 4, 5</w:t>
      </w:r>
      <w:r w:rsidR="00F81221">
        <w:t xml:space="preserve"> and </w:t>
      </w:r>
      <w:r w:rsidRPr="00A428C3">
        <w:t>6, respectively. The first order adsorption rate constants derived by Lageraren equation at different pH, clearly indicates the fast removal kinetics at pH 4. The comparatively high solubility of mineral</w:t>
      </w:r>
      <w:r w:rsidR="00F81221">
        <w:t xml:space="preserve"> and </w:t>
      </w:r>
      <w:r w:rsidRPr="00A428C3">
        <w:t>an increase of calcium concentration at pH 4 appears to be the main reason for fast removal reaction. There was no effect of mineral quantity on fluoride removal after solution pH became alkaline. The various aspects of the study including, recyclability of mineral are discussed.</w:t>
      </w:r>
    </w:p>
    <w:p w:rsidR="00B95188" w:rsidRPr="00A428C3" w:rsidRDefault="00B95188" w:rsidP="00B95188">
      <w:pPr>
        <w:pStyle w:val="a0"/>
      </w:pPr>
      <w:r w:rsidRPr="00A428C3">
        <w:t>Keywords: Adsorption, Calcium, Defluoridation, Defluoridation Technology, Fluorapatite, Fluoride, Fluoride Removal, Kinetics, Lagergren Equation, Mineral, pH, Phosphate, Removal, Solubility</w:t>
      </w:r>
    </w:p>
    <w:p w:rsidR="000047BD" w:rsidRDefault="000047BD" w:rsidP="000047BD">
      <w:pPr>
        <w:pStyle w:val="a0"/>
        <w:rPr>
          <w:kern w:val="0"/>
          <w:szCs w:val="24"/>
        </w:rPr>
      </w:pPr>
      <w:r>
        <w:rPr>
          <w:rFonts w:hint="eastAsia"/>
          <w:kern w:val="0"/>
          <w:szCs w:val="24"/>
        </w:rPr>
        <w:t xml:space="preserve">? </w:t>
      </w:r>
      <w:r>
        <w:rPr>
          <w:kern w:val="0"/>
          <w:szCs w:val="24"/>
        </w:rPr>
        <w:t>Farooqui, M., Sultan, S., Farooqui, M.</w:t>
      </w:r>
      <w:r w:rsidR="00F81221">
        <w:rPr>
          <w:kern w:val="0"/>
          <w:szCs w:val="24"/>
        </w:rPr>
        <w:t xml:space="preserve"> and </w:t>
      </w:r>
      <w:r>
        <w:rPr>
          <w:kern w:val="0"/>
          <w:szCs w:val="24"/>
        </w:rPr>
        <w:t xml:space="preserve">Quadri, S.H. (2004), Adsorption studies of heavy metal ion by low cost agricultural by-products - Bajra powder. </w:t>
      </w:r>
      <w:r>
        <w:rPr>
          <w:i/>
          <w:iCs/>
          <w:kern w:val="0"/>
          <w:szCs w:val="24"/>
        </w:rPr>
        <w:t>Indian Journal of Chemical Technology</w:t>
      </w:r>
      <w:r>
        <w:rPr>
          <w:kern w:val="0"/>
          <w:szCs w:val="24"/>
        </w:rPr>
        <w:t xml:space="preserve">, </w:t>
      </w:r>
      <w:r>
        <w:rPr>
          <w:b/>
          <w:bCs/>
          <w:kern w:val="0"/>
          <w:szCs w:val="24"/>
        </w:rPr>
        <w:t>11</w:t>
      </w:r>
      <w:r>
        <w:rPr>
          <w:kern w:val="0"/>
          <w:szCs w:val="24"/>
        </w:rPr>
        <w:t xml:space="preserve"> (2), 190-193.</w:t>
      </w:r>
    </w:p>
    <w:p w:rsidR="000047BD" w:rsidRPr="00A428C3" w:rsidRDefault="000047BD" w:rsidP="000047BD">
      <w:pPr>
        <w:pStyle w:val="a0"/>
      </w:pPr>
      <w:r>
        <w:rPr>
          <w:rFonts w:hint="eastAsia"/>
        </w:rPr>
        <w:t xml:space="preserve">Full Text: </w:t>
      </w:r>
      <w:r>
        <w:t xml:space="preserve">2004\Ind J Che Tec11, </w:t>
      </w:r>
      <w:r>
        <w:rPr>
          <w:rFonts w:hint="eastAsia"/>
        </w:rPr>
        <w:t>190</w:t>
      </w:r>
      <w:r w:rsidRPr="00BD155A">
        <w:t>.pdf</w:t>
      </w:r>
    </w:p>
    <w:p w:rsidR="000047BD" w:rsidRDefault="000047BD" w:rsidP="000047BD">
      <w:pPr>
        <w:pStyle w:val="a0"/>
        <w:rPr>
          <w:kern w:val="0"/>
          <w:szCs w:val="24"/>
        </w:rPr>
      </w:pPr>
      <w:r>
        <w:rPr>
          <w:kern w:val="0"/>
          <w:szCs w:val="24"/>
        </w:rPr>
        <w:t>Abstract: The presence of heavy metals in the environment represent a very significant</w:t>
      </w:r>
      <w:r w:rsidR="00F81221">
        <w:rPr>
          <w:kern w:val="0"/>
          <w:szCs w:val="24"/>
        </w:rPr>
        <w:t xml:space="preserve"> and </w:t>
      </w:r>
      <w:r>
        <w:rPr>
          <w:kern w:val="0"/>
          <w:szCs w:val="24"/>
        </w:rPr>
        <w:t>long-term environmental hazard. Many industries such as electroplating industry, organic inorganic chemical, petrochemicals, fertilizer etc discharge effluent containing high level of metal ions. In the present paper, a study on the adsorption of Cu(II), Cr(VI), Fe(II)</w:t>
      </w:r>
      <w:r w:rsidR="00F81221">
        <w:rPr>
          <w:kern w:val="0"/>
          <w:szCs w:val="24"/>
        </w:rPr>
        <w:t xml:space="preserve"> and </w:t>
      </w:r>
      <w:r>
        <w:rPr>
          <w:kern w:val="0"/>
          <w:szCs w:val="24"/>
        </w:rPr>
        <w:t>Ni(II) by an agricultural by-product i.e. powder of Bajra was carried out. The effects of solution pH, initial concentration, adsorbent amount, temperature</w:t>
      </w:r>
      <w:r w:rsidR="00F81221">
        <w:rPr>
          <w:kern w:val="0"/>
          <w:szCs w:val="24"/>
        </w:rPr>
        <w:t xml:space="preserve"> and </w:t>
      </w:r>
      <w:r>
        <w:rPr>
          <w:kern w:val="0"/>
          <w:szCs w:val="24"/>
        </w:rPr>
        <w:t xml:space="preserve">contact time were studied. In batch experiments, adsorption of these </w:t>
      </w:r>
      <w:r>
        <w:rPr>
          <w:kern w:val="0"/>
          <w:szCs w:val="24"/>
        </w:rPr>
        <w:lastRenderedPageBreak/>
        <w:t>metal ions increases with decrease in initial concentration of metal ion</w:t>
      </w:r>
      <w:r w:rsidR="00F81221">
        <w:rPr>
          <w:kern w:val="0"/>
          <w:szCs w:val="24"/>
        </w:rPr>
        <w:t xml:space="preserve"> and </w:t>
      </w:r>
      <w:r>
        <w:rPr>
          <w:kern w:val="0"/>
          <w:szCs w:val="24"/>
        </w:rPr>
        <w:t>adsorbent dosage. Measured values have been found to follow Langmuir</w:t>
      </w:r>
      <w:r w:rsidR="00F81221">
        <w:rPr>
          <w:kern w:val="0"/>
          <w:szCs w:val="24"/>
        </w:rPr>
        <w:t xml:space="preserve"> and </w:t>
      </w:r>
      <w:r>
        <w:rPr>
          <w:kern w:val="0"/>
          <w:szCs w:val="24"/>
        </w:rPr>
        <w:t>Freundlich adsorption isotherms.</w:t>
      </w:r>
    </w:p>
    <w:p w:rsidR="000047BD" w:rsidRDefault="000047BD" w:rsidP="000047BD">
      <w:pPr>
        <w:pStyle w:val="a0"/>
        <w:rPr>
          <w:kern w:val="0"/>
          <w:szCs w:val="24"/>
        </w:rPr>
      </w:pPr>
      <w:r>
        <w:rPr>
          <w:kern w:val="0"/>
          <w:szCs w:val="24"/>
        </w:rPr>
        <w:t xml:space="preserve">Keywords: Adsorption, Adsorption Isotherms, Bajra Powder, Batch, Contact Time, Cost, Cr(VI), Cu(II), Environment, Freundlich, Freundlich Adsorption Isotherms, Heavy Metal, Heavy Metal Ion, Heavy Metals, Isotherms, Langmuir, Langmuir Adsorption Isotherm, Metal Ions, </w:t>
      </w:r>
      <w:r>
        <w:rPr>
          <w:rFonts w:hint="eastAsia"/>
          <w:kern w:val="0"/>
          <w:szCs w:val="24"/>
        </w:rPr>
        <w:t>p</w:t>
      </w:r>
      <w:r>
        <w:rPr>
          <w:kern w:val="0"/>
          <w:szCs w:val="24"/>
        </w:rPr>
        <w:t>H, Temperature</w:t>
      </w:r>
    </w:p>
    <w:p w:rsidR="000047BD" w:rsidRDefault="000047BD" w:rsidP="000047BD">
      <w:pPr>
        <w:pStyle w:val="a0"/>
        <w:rPr>
          <w:kern w:val="0"/>
          <w:szCs w:val="24"/>
        </w:rPr>
      </w:pPr>
      <w:r>
        <w:rPr>
          <w:rFonts w:hint="eastAsia"/>
          <w:kern w:val="0"/>
          <w:szCs w:val="24"/>
        </w:rPr>
        <w:t xml:space="preserve">? </w:t>
      </w:r>
      <w:r>
        <w:rPr>
          <w:kern w:val="0"/>
          <w:szCs w:val="24"/>
        </w:rPr>
        <w:t>Jadhav, D.N.</w:t>
      </w:r>
      <w:r w:rsidR="00F81221">
        <w:rPr>
          <w:kern w:val="0"/>
          <w:szCs w:val="24"/>
        </w:rPr>
        <w:t xml:space="preserve"> and </w:t>
      </w:r>
      <w:r>
        <w:rPr>
          <w:kern w:val="0"/>
          <w:szCs w:val="24"/>
        </w:rPr>
        <w:t>Vanjara, A.K. (2004), Adsorption equilibrium study: Removal of dyestuff effluent using sawdust, polymerized sawdust</w:t>
      </w:r>
      <w:r w:rsidR="00F81221">
        <w:rPr>
          <w:kern w:val="0"/>
          <w:szCs w:val="24"/>
        </w:rPr>
        <w:t xml:space="preserve"> and </w:t>
      </w:r>
      <w:r>
        <w:rPr>
          <w:kern w:val="0"/>
          <w:szCs w:val="24"/>
        </w:rPr>
        <w:t xml:space="preserve">sawdust carbon-I. </w:t>
      </w:r>
      <w:r>
        <w:rPr>
          <w:i/>
          <w:iCs/>
          <w:kern w:val="0"/>
          <w:szCs w:val="24"/>
        </w:rPr>
        <w:t>Indian Journal of Chemical Technology</w:t>
      </w:r>
      <w:r>
        <w:rPr>
          <w:kern w:val="0"/>
          <w:szCs w:val="24"/>
        </w:rPr>
        <w:t xml:space="preserve">, </w:t>
      </w:r>
      <w:r>
        <w:rPr>
          <w:b/>
          <w:bCs/>
          <w:kern w:val="0"/>
          <w:szCs w:val="24"/>
        </w:rPr>
        <w:t>11</w:t>
      </w:r>
      <w:r>
        <w:rPr>
          <w:kern w:val="0"/>
          <w:szCs w:val="24"/>
        </w:rPr>
        <w:t xml:space="preserve"> (2), 194-200.</w:t>
      </w:r>
    </w:p>
    <w:p w:rsidR="000047BD" w:rsidRPr="00A428C3" w:rsidRDefault="000047BD" w:rsidP="000047BD">
      <w:pPr>
        <w:pStyle w:val="a0"/>
      </w:pPr>
      <w:r>
        <w:rPr>
          <w:rFonts w:hint="eastAsia"/>
        </w:rPr>
        <w:t xml:space="preserve">Full Text: </w:t>
      </w:r>
      <w:r>
        <w:t xml:space="preserve">2004\Ind J Che Tec11, </w:t>
      </w:r>
      <w:r>
        <w:rPr>
          <w:rFonts w:hint="eastAsia"/>
        </w:rPr>
        <w:t>194</w:t>
      </w:r>
      <w:r w:rsidRPr="00BD155A">
        <w:t>.pdf</w:t>
      </w:r>
    </w:p>
    <w:p w:rsidR="000047BD" w:rsidRDefault="000047BD" w:rsidP="000047BD">
      <w:pPr>
        <w:pStyle w:val="a0"/>
        <w:rPr>
          <w:kern w:val="0"/>
          <w:szCs w:val="24"/>
        </w:rPr>
      </w:pPr>
      <w:r>
        <w:rPr>
          <w:kern w:val="0"/>
          <w:szCs w:val="24"/>
        </w:rPr>
        <w:t>Abstract: The adsorption equilibrium study of three different types of dyestuff effluent on the sawdust, polymerized sawdust</w:t>
      </w:r>
      <w:r w:rsidR="00F81221">
        <w:rPr>
          <w:kern w:val="0"/>
          <w:szCs w:val="24"/>
        </w:rPr>
        <w:t xml:space="preserve"> and </w:t>
      </w:r>
      <w:r>
        <w:rPr>
          <w:kern w:val="0"/>
          <w:szCs w:val="24"/>
        </w:rPr>
        <w:t>activated carbon prepared from sawdust has been studied. The applicability of the Langmuir</w:t>
      </w:r>
      <w:r w:rsidR="00F81221">
        <w:rPr>
          <w:kern w:val="0"/>
          <w:szCs w:val="24"/>
        </w:rPr>
        <w:t xml:space="preserve"> and </w:t>
      </w:r>
      <w:r>
        <w:rPr>
          <w:kern w:val="0"/>
          <w:szCs w:val="24"/>
        </w:rPr>
        <w:t>Freundlich equation has been tested for equilibrium data of which Freundlich isotherm model is found to be the most appropriate. From the equilibrium data it is observed that sawdust, polymerized sawdust</w:t>
      </w:r>
      <w:r w:rsidR="00F81221">
        <w:rPr>
          <w:kern w:val="0"/>
          <w:szCs w:val="24"/>
        </w:rPr>
        <w:t xml:space="preserve"> and </w:t>
      </w:r>
      <w:r>
        <w:rPr>
          <w:kern w:val="0"/>
          <w:szCs w:val="24"/>
        </w:rPr>
        <w:t>sawdust carbon are good adsorbents for removal of acidic, basic</w:t>
      </w:r>
      <w:r w:rsidR="00F81221">
        <w:rPr>
          <w:kern w:val="0"/>
          <w:szCs w:val="24"/>
        </w:rPr>
        <w:t xml:space="preserve"> and </w:t>
      </w:r>
      <w:r>
        <w:rPr>
          <w:kern w:val="0"/>
          <w:szCs w:val="24"/>
        </w:rPr>
        <w:t>disperse dyes from dyestuff effluents. The pH has significant influence on the adsorption. Acidic</w:t>
      </w:r>
      <w:r w:rsidR="00F81221">
        <w:rPr>
          <w:kern w:val="0"/>
          <w:szCs w:val="24"/>
        </w:rPr>
        <w:t xml:space="preserve"> and </w:t>
      </w:r>
      <w:r>
        <w:rPr>
          <w:kern w:val="0"/>
          <w:szCs w:val="24"/>
        </w:rPr>
        <w:t>disperse dyes show higher adsorption at higher pH, whereas, basic dyes show higher adsorption at lower pH.</w:t>
      </w:r>
    </w:p>
    <w:p w:rsidR="000047BD" w:rsidRDefault="000047BD" w:rsidP="000047BD">
      <w:pPr>
        <w:pStyle w:val="a0"/>
        <w:rPr>
          <w:kern w:val="0"/>
          <w:szCs w:val="24"/>
        </w:rPr>
      </w:pPr>
      <w:r>
        <w:rPr>
          <w:kern w:val="0"/>
          <w:szCs w:val="24"/>
        </w:rPr>
        <w:t xml:space="preserve">Keywords: Activated Carbon, Adsorbents, Adsorption, Adsorption Equilibrium, Carbon, Chromium(VI), Color Removal, Dye, Dyes, Dyestuff, Dyestuff Effluent, Equilibrium, Freundlich, Freundlich Equation, Freundlich Isotherm, Isotherm, Kinetics, Langmuir, Langmuir Equation, Model, </w:t>
      </w:r>
      <w:r>
        <w:rPr>
          <w:rFonts w:hint="eastAsia"/>
          <w:kern w:val="0"/>
          <w:szCs w:val="24"/>
        </w:rPr>
        <w:t>p</w:t>
      </w:r>
      <w:r>
        <w:rPr>
          <w:kern w:val="0"/>
          <w:szCs w:val="24"/>
        </w:rPr>
        <w:t>H, Polymerized Sawdust, Removal, Sawdust, Sawdust Carbon, Sorption, Waste-Waters</w:t>
      </w:r>
    </w:p>
    <w:p w:rsidR="00161685" w:rsidRDefault="00161685" w:rsidP="00161685">
      <w:pPr>
        <w:pStyle w:val="a0"/>
        <w:rPr>
          <w:kern w:val="0"/>
          <w:szCs w:val="24"/>
        </w:rPr>
      </w:pPr>
      <w:r>
        <w:rPr>
          <w:rFonts w:hint="eastAsia"/>
          <w:kern w:val="0"/>
          <w:szCs w:val="24"/>
        </w:rPr>
        <w:t xml:space="preserve">? </w:t>
      </w:r>
      <w:r>
        <w:rPr>
          <w:kern w:val="0"/>
          <w:szCs w:val="24"/>
        </w:rPr>
        <w:t>Murthy, Z.V.P., Kaushik, G.</w:t>
      </w:r>
      <w:r w:rsidR="00F81221">
        <w:rPr>
          <w:kern w:val="0"/>
          <w:szCs w:val="24"/>
        </w:rPr>
        <w:t xml:space="preserve"> and </w:t>
      </w:r>
      <w:r>
        <w:rPr>
          <w:kern w:val="0"/>
          <w:szCs w:val="24"/>
        </w:rPr>
        <w:t xml:space="preserve">Suratwala, R. (2004), Treatment of oily water with human hair as a medium: A preliminary study. </w:t>
      </w:r>
      <w:r>
        <w:rPr>
          <w:i/>
          <w:iCs/>
          <w:kern w:val="0"/>
          <w:szCs w:val="24"/>
        </w:rPr>
        <w:t>Indian Journal of Chemical Technology</w:t>
      </w:r>
      <w:r>
        <w:rPr>
          <w:kern w:val="0"/>
          <w:szCs w:val="24"/>
        </w:rPr>
        <w:t xml:space="preserve">, </w:t>
      </w:r>
      <w:r>
        <w:rPr>
          <w:b/>
          <w:bCs/>
          <w:kern w:val="0"/>
          <w:szCs w:val="24"/>
        </w:rPr>
        <w:t>11</w:t>
      </w:r>
      <w:r>
        <w:rPr>
          <w:kern w:val="0"/>
          <w:szCs w:val="24"/>
        </w:rPr>
        <w:t xml:space="preserve"> (2), 220-226.</w:t>
      </w:r>
    </w:p>
    <w:p w:rsidR="00161685" w:rsidRPr="00A428C3" w:rsidRDefault="00161685" w:rsidP="00161685">
      <w:pPr>
        <w:pStyle w:val="a0"/>
      </w:pPr>
      <w:r>
        <w:rPr>
          <w:rFonts w:hint="eastAsia"/>
        </w:rPr>
        <w:t xml:space="preserve">Full Text: </w:t>
      </w:r>
      <w:r>
        <w:t xml:space="preserve">2004\Ind J Che Tec11, </w:t>
      </w:r>
      <w:r>
        <w:rPr>
          <w:rFonts w:hint="eastAsia"/>
        </w:rPr>
        <w:t>220</w:t>
      </w:r>
      <w:r w:rsidRPr="00BD155A">
        <w:t>.pdf</w:t>
      </w:r>
    </w:p>
    <w:p w:rsidR="00161685" w:rsidRDefault="00161685" w:rsidP="00161685">
      <w:pPr>
        <w:pStyle w:val="a0"/>
        <w:rPr>
          <w:kern w:val="0"/>
          <w:szCs w:val="24"/>
        </w:rPr>
      </w:pPr>
      <w:r>
        <w:rPr>
          <w:kern w:val="0"/>
          <w:szCs w:val="24"/>
        </w:rPr>
        <w:t>Abstract: Experiments are conducted to study the effect of human hair as an adsorbing medium for the separation of oil from water, both in free as well as in emulsified form. Effects of various parameters on the phenomenon are studied</w:t>
      </w:r>
      <w:r w:rsidR="00F81221">
        <w:rPr>
          <w:kern w:val="0"/>
          <w:szCs w:val="24"/>
        </w:rPr>
        <w:t xml:space="preserve"> and </w:t>
      </w:r>
      <w:r>
        <w:rPr>
          <w:kern w:val="0"/>
          <w:szCs w:val="24"/>
        </w:rPr>
        <w:t>inferences drawn, which is showing an unexpectedly high efficiency of the process. It is seen that at laboratory scale, the method is very efficient. It is nearly 100% efficient for free oil. However, the most intriguing thing observed is, its efficiency in separating emulsified oil that lied between 95 - 99%. Experiments are also conducted to study the phenomenon at the micro level. The phenomenon, as is clearly visible under the microscope, is selective physical adsorption. Also, the separation results obey Freundlich</w:t>
      </w:r>
      <w:r w:rsidR="000352E7">
        <w:rPr>
          <w:kern w:val="0"/>
          <w:szCs w:val="24"/>
        </w:rPr>
        <w:t>’</w:t>
      </w:r>
      <w:r>
        <w:rPr>
          <w:kern w:val="0"/>
          <w:szCs w:val="24"/>
        </w:rPr>
        <w:t xml:space="preserve">s isotherm, thus confirming that the oil removal is due to selective </w:t>
      </w:r>
      <w:r>
        <w:rPr>
          <w:kern w:val="0"/>
          <w:szCs w:val="24"/>
        </w:rPr>
        <w:lastRenderedPageBreak/>
        <w:t>adsorption. A critical point of view is kept throughout the experimentation</w:t>
      </w:r>
      <w:r w:rsidR="00F81221">
        <w:rPr>
          <w:kern w:val="0"/>
          <w:szCs w:val="24"/>
        </w:rPr>
        <w:t xml:space="preserve"> and </w:t>
      </w:r>
      <w:r>
        <w:rPr>
          <w:kern w:val="0"/>
          <w:szCs w:val="24"/>
        </w:rPr>
        <w:t>every care is taken to minimise the human as well as instrumental errors. Even if the process does not reduce the concentrations to micro levels, it can still reduce the cost drastically by reducing, the amount of demulsifying agents required. As the process is eco-friendly</w:t>
      </w:r>
      <w:r w:rsidR="00F81221">
        <w:rPr>
          <w:kern w:val="0"/>
          <w:szCs w:val="24"/>
        </w:rPr>
        <w:t xml:space="preserve"> and </w:t>
      </w:r>
      <w:r>
        <w:rPr>
          <w:kern w:val="0"/>
          <w:szCs w:val="24"/>
        </w:rPr>
        <w:t>does not require any, chemicals, it may lead to development of a new technique of separating oil-water emulsion, which is simpler.</w:t>
      </w:r>
    </w:p>
    <w:p w:rsidR="00161685" w:rsidRDefault="00161685" w:rsidP="00161685">
      <w:pPr>
        <w:pStyle w:val="a0"/>
        <w:rPr>
          <w:kern w:val="0"/>
          <w:szCs w:val="24"/>
        </w:rPr>
      </w:pPr>
      <w:r>
        <w:rPr>
          <w:kern w:val="0"/>
          <w:szCs w:val="24"/>
        </w:rPr>
        <w:t>Keywords: Adsorption, Cost, Development, Human Hair, Isotherm, Lead, Oil Water Emulsion, Removal, Water</w:t>
      </w:r>
    </w:p>
    <w:p w:rsidR="00161685" w:rsidRDefault="00161685" w:rsidP="00161685">
      <w:pPr>
        <w:pStyle w:val="a0"/>
        <w:rPr>
          <w:kern w:val="0"/>
          <w:szCs w:val="24"/>
        </w:rPr>
      </w:pPr>
      <w:r>
        <w:rPr>
          <w:rFonts w:hint="eastAsia"/>
          <w:kern w:val="0"/>
          <w:szCs w:val="24"/>
        </w:rPr>
        <w:t xml:space="preserve">? </w:t>
      </w:r>
      <w:r>
        <w:rPr>
          <w:kern w:val="0"/>
          <w:szCs w:val="24"/>
        </w:rPr>
        <w:t>Kumar, P., Rayalu, S.</w:t>
      </w:r>
      <w:r w:rsidR="00F81221">
        <w:rPr>
          <w:kern w:val="0"/>
          <w:szCs w:val="24"/>
        </w:rPr>
        <w:t xml:space="preserve"> and </w:t>
      </w:r>
      <w:r>
        <w:rPr>
          <w:kern w:val="0"/>
          <w:szCs w:val="24"/>
        </w:rPr>
        <w:t xml:space="preserve">Dhopte, S.M. (2004), Flyash based zeolite-A: A suitable sorbent for lead removal. </w:t>
      </w:r>
      <w:r>
        <w:rPr>
          <w:i/>
          <w:iCs/>
          <w:kern w:val="0"/>
          <w:szCs w:val="24"/>
        </w:rPr>
        <w:t>Indian Journal of Chemical Technology</w:t>
      </w:r>
      <w:r>
        <w:rPr>
          <w:kern w:val="0"/>
          <w:szCs w:val="24"/>
        </w:rPr>
        <w:t xml:space="preserve">, </w:t>
      </w:r>
      <w:r>
        <w:rPr>
          <w:b/>
          <w:bCs/>
          <w:kern w:val="0"/>
          <w:szCs w:val="24"/>
        </w:rPr>
        <w:t>11</w:t>
      </w:r>
      <w:r>
        <w:rPr>
          <w:kern w:val="0"/>
          <w:szCs w:val="24"/>
        </w:rPr>
        <w:t xml:space="preserve"> (2), 227-233.</w:t>
      </w:r>
    </w:p>
    <w:p w:rsidR="00161685" w:rsidRPr="00A428C3" w:rsidRDefault="00161685" w:rsidP="00161685">
      <w:pPr>
        <w:pStyle w:val="a0"/>
      </w:pPr>
      <w:r>
        <w:rPr>
          <w:rFonts w:hint="eastAsia"/>
        </w:rPr>
        <w:t xml:space="preserve">Full Text: </w:t>
      </w:r>
      <w:r>
        <w:t xml:space="preserve">2004\Ind J Che Tec11, </w:t>
      </w:r>
      <w:r>
        <w:rPr>
          <w:rFonts w:hint="eastAsia"/>
        </w:rPr>
        <w:t>227</w:t>
      </w:r>
      <w:r w:rsidRPr="00BD155A">
        <w:t>.pdf</w:t>
      </w:r>
    </w:p>
    <w:p w:rsidR="00161685" w:rsidRDefault="00161685" w:rsidP="00161685">
      <w:pPr>
        <w:pStyle w:val="a0"/>
        <w:rPr>
          <w:kern w:val="0"/>
          <w:szCs w:val="24"/>
        </w:rPr>
      </w:pPr>
      <w:r>
        <w:rPr>
          <w:kern w:val="0"/>
          <w:szCs w:val="24"/>
        </w:rPr>
        <w:t>Abstract: High cost</w:t>
      </w:r>
      <w:r w:rsidR="00F81221">
        <w:rPr>
          <w:kern w:val="0"/>
          <w:szCs w:val="24"/>
        </w:rPr>
        <w:t xml:space="preserve"> and </w:t>
      </w:r>
      <w:r>
        <w:rPr>
          <w:kern w:val="0"/>
          <w:szCs w:val="24"/>
        </w:rPr>
        <w:t>difficulties in procurement of zeolites in India prohibits its widespread use for environmental remediation. This problem has been overcome in this investigation by usage of cost-effective flyash based zeolite-A (FAZ-A) using process developed by NEERI, which has been patented nationally</w:t>
      </w:r>
      <w:r w:rsidR="00F81221">
        <w:rPr>
          <w:kern w:val="0"/>
          <w:szCs w:val="24"/>
        </w:rPr>
        <w:t xml:space="preserve"> and </w:t>
      </w:r>
      <w:r>
        <w:rPr>
          <w:kern w:val="0"/>
          <w:szCs w:val="24"/>
        </w:rPr>
        <w:t>internationally. The usage of the new material for removal of lead has been studied</w:t>
      </w:r>
      <w:r w:rsidR="00F81221">
        <w:rPr>
          <w:kern w:val="0"/>
          <w:szCs w:val="24"/>
        </w:rPr>
        <w:t xml:space="preserve"> and </w:t>
      </w:r>
      <w:r>
        <w:rPr>
          <w:kern w:val="0"/>
          <w:szCs w:val="24"/>
        </w:rPr>
        <w:t>results obtained are-encouraging vis-a-vis commercially available zeolite-A. Pore diffusion co-efficient have been worked out</w:t>
      </w:r>
      <w:r w:rsidR="00F81221">
        <w:rPr>
          <w:kern w:val="0"/>
          <w:szCs w:val="24"/>
        </w:rPr>
        <w:t xml:space="preserve"> and </w:t>
      </w:r>
      <w:r>
        <w:rPr>
          <w:kern w:val="0"/>
          <w:szCs w:val="24"/>
        </w:rPr>
        <w:t>the Value obtained are in the range of 1.78 - 2.82 x 10(-11) cm(2)/s for different concentrations of lead. The rate constants have been derived using, Lagergren</w:t>
      </w:r>
      <w:r w:rsidR="000352E7">
        <w:rPr>
          <w:kern w:val="0"/>
          <w:szCs w:val="24"/>
        </w:rPr>
        <w:t>’</w:t>
      </w:r>
      <w:r>
        <w:rPr>
          <w:kern w:val="0"/>
          <w:szCs w:val="24"/>
        </w:rPr>
        <w:t>s model indicating the reaction to be of 1st order. The linear plot suggested the applicability of Mckay</w:t>
      </w:r>
      <w:r w:rsidR="000352E7">
        <w:rPr>
          <w:kern w:val="0"/>
          <w:szCs w:val="24"/>
        </w:rPr>
        <w:t>’</w:t>
      </w:r>
      <w:r>
        <w:rPr>
          <w:kern w:val="0"/>
          <w:szCs w:val="24"/>
        </w:rPr>
        <w:t>s model on mass transfer analysis to the system. The mass transfer co-efficient varies inversely with initial concentration. The data has been processed in accordance with Langmuir equation</w:t>
      </w:r>
      <w:r w:rsidR="00F81221">
        <w:rPr>
          <w:kern w:val="0"/>
          <w:szCs w:val="24"/>
        </w:rPr>
        <w:t xml:space="preserve"> and </w:t>
      </w:r>
      <w:r>
        <w:rPr>
          <w:kern w:val="0"/>
          <w:szCs w:val="24"/>
        </w:rPr>
        <w:t>fits well in the particular sorption model, showing the formation of monolayer coverage on zeolite surface with maximum adsorption capacity of 714.28 mg/g.</w:t>
      </w:r>
    </w:p>
    <w:p w:rsidR="00161685" w:rsidRDefault="00161685" w:rsidP="00161685">
      <w:pPr>
        <w:pStyle w:val="a0"/>
        <w:rPr>
          <w:kern w:val="0"/>
          <w:szCs w:val="24"/>
        </w:rPr>
      </w:pPr>
      <w:r>
        <w:rPr>
          <w:kern w:val="0"/>
          <w:szCs w:val="24"/>
        </w:rPr>
        <w:t>Keywords: Adsorption, Adsorption, Adsorption Capacity, Analysis, Aqueous-Solutions, Capacity, Cost, Diffusion, Flyash Based Zeolite, India, Lageraren</w:t>
      </w:r>
      <w:r w:rsidR="000352E7">
        <w:rPr>
          <w:kern w:val="0"/>
          <w:szCs w:val="24"/>
        </w:rPr>
        <w:t>’</w:t>
      </w:r>
      <w:r>
        <w:rPr>
          <w:rFonts w:hint="eastAsia"/>
          <w:kern w:val="0"/>
          <w:szCs w:val="24"/>
        </w:rPr>
        <w:t>s</w:t>
      </w:r>
      <w:r>
        <w:rPr>
          <w:kern w:val="0"/>
          <w:szCs w:val="24"/>
        </w:rPr>
        <w:t xml:space="preserve"> Model, Langmuir, Langmuir Equation, Lead, Lead Removal, Mass Transfer, Mckay</w:t>
      </w:r>
      <w:r w:rsidR="000352E7">
        <w:rPr>
          <w:kern w:val="0"/>
          <w:szCs w:val="24"/>
        </w:rPr>
        <w:t>’</w:t>
      </w:r>
      <w:r>
        <w:rPr>
          <w:rFonts w:hint="eastAsia"/>
          <w:kern w:val="0"/>
          <w:szCs w:val="24"/>
        </w:rPr>
        <w:t>s</w:t>
      </w:r>
      <w:r>
        <w:rPr>
          <w:kern w:val="0"/>
          <w:szCs w:val="24"/>
        </w:rPr>
        <w:t xml:space="preserve"> Model, Model, Remediation, Removal, Sorbent, Sorption, System, Water, Zeolite</w:t>
      </w:r>
    </w:p>
    <w:p w:rsidR="00B95188" w:rsidRPr="00A428C3" w:rsidRDefault="00B95188" w:rsidP="00B95188">
      <w:pPr>
        <w:pStyle w:val="a0"/>
      </w:pPr>
      <w:r w:rsidRPr="00A428C3">
        <w:t>? Bhatt, D.B., Bhatt, P.R., Prasad, H.H., Popat, K.M.</w:t>
      </w:r>
      <w:r w:rsidR="00F81221">
        <w:t xml:space="preserve"> and </w:t>
      </w:r>
      <w:r w:rsidRPr="00A428C3">
        <w:t xml:space="preserve">Anand, P.S. (2004), Removal of fluoride ion from aqueous bodies by aluminium complexed amino phosphonic acid type resins. </w:t>
      </w:r>
      <w:r w:rsidRPr="00A428C3">
        <w:rPr>
          <w:i/>
          <w:iCs/>
        </w:rPr>
        <w:t>Indian Journal of Chemical Technology</w:t>
      </w:r>
      <w:r w:rsidRPr="00A428C3">
        <w:t xml:space="preserve">, </w:t>
      </w:r>
      <w:r w:rsidRPr="00A428C3">
        <w:rPr>
          <w:b/>
        </w:rPr>
        <w:t>11</w:t>
      </w:r>
      <w:r w:rsidRPr="00A428C3">
        <w:t xml:space="preserve"> (3), 299-303.</w:t>
      </w:r>
    </w:p>
    <w:p w:rsidR="00BD155A" w:rsidRPr="00A428C3" w:rsidRDefault="00BD155A" w:rsidP="00BD155A">
      <w:pPr>
        <w:pStyle w:val="a0"/>
      </w:pPr>
      <w:r>
        <w:rPr>
          <w:rFonts w:hint="eastAsia"/>
        </w:rPr>
        <w:t xml:space="preserve">Full Text: </w:t>
      </w:r>
      <w:hyperlink r:id="rId856" w:history="1">
        <w:r w:rsidR="000047BD" w:rsidRPr="000047BD">
          <w:rPr>
            <w:rStyle w:val="a5"/>
          </w:rPr>
          <w:t>2004\Ind J Che Tec11, 299.pdf</w:t>
        </w:r>
      </w:hyperlink>
    </w:p>
    <w:p w:rsidR="00B95188" w:rsidRPr="00A428C3" w:rsidRDefault="00B95188" w:rsidP="00B95188">
      <w:pPr>
        <w:pStyle w:val="a0"/>
      </w:pPr>
      <w:r w:rsidRPr="00A428C3">
        <w:t>Abstract: Three resins, namely Purolite S940, Purolite S950</w:t>
      </w:r>
      <w:r w:rsidR="00F81221">
        <w:t xml:space="preserve"> and </w:t>
      </w:r>
      <w:r w:rsidRPr="00A428C3">
        <w:t>Duolite ES 467 were studied for the removal of fluoride ion under different equilibrium conditions. The adsorption data of Purolite S940</w:t>
      </w:r>
      <w:r w:rsidR="00F81221">
        <w:t xml:space="preserve"> and </w:t>
      </w:r>
      <w:r w:rsidRPr="00A428C3">
        <w:t>Purolite S950 closely fitted in Freundlich</w:t>
      </w:r>
      <w:r w:rsidR="00F81221">
        <w:t xml:space="preserve"> and </w:t>
      </w:r>
      <w:r w:rsidRPr="00A428C3">
        <w:t>Langmuir equations, respectively. Validity of the Lagergan equation for the sorption of fluoride ion was proved</w:t>
      </w:r>
      <w:r w:rsidR="00F81221">
        <w:t xml:space="preserve"> and </w:t>
      </w:r>
      <w:r w:rsidRPr="00A428C3">
        <w:t>the data showed that the process followed first order kinetics. The performance of Purolite S940</w:t>
      </w:r>
      <w:r w:rsidR="00F81221">
        <w:t xml:space="preserve"> and </w:t>
      </w:r>
      <w:r w:rsidRPr="00A428C3">
        <w:t xml:space="preserve">Purolite S950 showed good promise </w:t>
      </w:r>
      <w:r w:rsidRPr="00A428C3">
        <w:lastRenderedPageBreak/>
        <w:t>for removing fluoride from water whereas the performance of Duolite ES467 was comparatively poor under dynamic conditions.</w:t>
      </w:r>
    </w:p>
    <w:p w:rsidR="00B95188" w:rsidRPr="00A428C3" w:rsidRDefault="00B95188" w:rsidP="00B95188">
      <w:pPr>
        <w:pStyle w:val="a0"/>
      </w:pPr>
      <w:r w:rsidRPr="00A428C3">
        <w:t>Keywords: Adsorption, Duolite ES467, Equilibrium, Fluoride, Fluoride Removal, Freundlich Equation, Kinetics, Lagergan Equation, Langmuir Equation, Purolite S940, Purolite S950, Removal, Resin, Sorption, Water</w:t>
      </w:r>
    </w:p>
    <w:p w:rsidR="000047BD" w:rsidRDefault="000047BD" w:rsidP="000047BD">
      <w:pPr>
        <w:pStyle w:val="a0"/>
        <w:rPr>
          <w:kern w:val="0"/>
          <w:szCs w:val="24"/>
        </w:rPr>
      </w:pPr>
      <w:r>
        <w:rPr>
          <w:rFonts w:hint="eastAsia"/>
          <w:kern w:val="0"/>
          <w:szCs w:val="24"/>
        </w:rPr>
        <w:t xml:space="preserve">? </w:t>
      </w:r>
      <w:r>
        <w:rPr>
          <w:kern w:val="0"/>
          <w:szCs w:val="24"/>
        </w:rPr>
        <w:t>Murugan, M.</w:t>
      </w:r>
      <w:r w:rsidR="00F81221">
        <w:rPr>
          <w:kern w:val="0"/>
          <w:szCs w:val="24"/>
        </w:rPr>
        <w:t xml:space="preserve"> and </w:t>
      </w:r>
      <w:r>
        <w:rPr>
          <w:kern w:val="0"/>
          <w:szCs w:val="24"/>
        </w:rPr>
        <w:t>Subramanian, E. (2004), An efficient</w:t>
      </w:r>
      <w:r w:rsidR="00F81221">
        <w:rPr>
          <w:kern w:val="0"/>
          <w:szCs w:val="24"/>
        </w:rPr>
        <w:t xml:space="preserve"> and </w:t>
      </w:r>
      <w:r>
        <w:rPr>
          <w:kern w:val="0"/>
          <w:szCs w:val="24"/>
        </w:rPr>
        <w:t xml:space="preserve">reversible sorptive removal of </w:t>
      </w:r>
      <w:r w:rsidR="007E3FEC">
        <w:rPr>
          <w:kern w:val="0"/>
          <w:szCs w:val="24"/>
        </w:rPr>
        <w:t>Arsenic(III)</w:t>
      </w:r>
      <w:r>
        <w:rPr>
          <w:kern w:val="0"/>
          <w:szCs w:val="24"/>
        </w:rPr>
        <w:t xml:space="preserve"> from aqueous solution by the biosorbent Cupressus Female Cone. </w:t>
      </w:r>
      <w:r>
        <w:rPr>
          <w:i/>
          <w:iCs/>
          <w:kern w:val="0"/>
          <w:szCs w:val="24"/>
        </w:rPr>
        <w:t>Indian Journal of Chemical Technology</w:t>
      </w:r>
      <w:r>
        <w:rPr>
          <w:kern w:val="0"/>
          <w:szCs w:val="24"/>
        </w:rPr>
        <w:t xml:space="preserve">, </w:t>
      </w:r>
      <w:r>
        <w:rPr>
          <w:b/>
          <w:bCs/>
          <w:kern w:val="0"/>
          <w:szCs w:val="24"/>
        </w:rPr>
        <w:t>11</w:t>
      </w:r>
      <w:r>
        <w:rPr>
          <w:kern w:val="0"/>
          <w:szCs w:val="24"/>
        </w:rPr>
        <w:t xml:space="preserve"> (3), 304-308.</w:t>
      </w:r>
    </w:p>
    <w:p w:rsidR="000047BD" w:rsidRPr="00A428C3" w:rsidRDefault="000047BD" w:rsidP="000047BD">
      <w:pPr>
        <w:pStyle w:val="a0"/>
      </w:pPr>
      <w:r>
        <w:rPr>
          <w:rFonts w:hint="eastAsia"/>
        </w:rPr>
        <w:t xml:space="preserve">Full Text: </w:t>
      </w:r>
      <w:hyperlink r:id="rId857" w:history="1">
        <w:r w:rsidRPr="000047BD">
          <w:rPr>
            <w:rStyle w:val="a5"/>
          </w:rPr>
          <w:t>2004\Ind J Che Tec11, 304.pdf</w:t>
        </w:r>
      </w:hyperlink>
    </w:p>
    <w:p w:rsidR="000047BD" w:rsidRDefault="000047BD" w:rsidP="000047BD">
      <w:pPr>
        <w:pStyle w:val="a0"/>
        <w:rPr>
          <w:kern w:val="0"/>
          <w:szCs w:val="24"/>
        </w:rPr>
      </w:pPr>
      <w:r>
        <w:rPr>
          <w:kern w:val="0"/>
          <w:szCs w:val="24"/>
        </w:rPr>
        <w:t>Abstract: Biosorbent Cupressus Female Cone (CFC) has been investigated for the sorptive removal of As(III) from aqueous solution both by batch</w:t>
      </w:r>
      <w:r w:rsidR="00F81221">
        <w:rPr>
          <w:kern w:val="0"/>
          <w:szCs w:val="24"/>
        </w:rPr>
        <w:t xml:space="preserve"> and </w:t>
      </w:r>
      <w:r>
        <w:rPr>
          <w:kern w:val="0"/>
          <w:szCs w:val="24"/>
        </w:rPr>
        <w:t>column mode techniques. Sorption process was found to be influenced appreciably by pH, temperature, initial concentration of As(III)</w:t>
      </w:r>
      <w:r w:rsidR="00F81221">
        <w:rPr>
          <w:kern w:val="0"/>
          <w:szCs w:val="24"/>
        </w:rPr>
        <w:t xml:space="preserve"> and </w:t>
      </w:r>
      <w:r>
        <w:rPr>
          <w:kern w:val="0"/>
          <w:szCs w:val="24"/>
        </w:rPr>
        <w:t>sorbent particle size</w:t>
      </w:r>
      <w:r w:rsidR="00F81221">
        <w:rPr>
          <w:kern w:val="0"/>
          <w:szCs w:val="24"/>
        </w:rPr>
        <w:t xml:space="preserve"> and </w:t>
      </w:r>
      <w:r>
        <w:rPr>
          <w:kern w:val="0"/>
          <w:szCs w:val="24"/>
        </w:rPr>
        <w:t>dosage. Also the sorption process was endothermic with a maximum sorption of 260.4 mg/g of As(III) at 30degreesC for an initial concentration of 800 mg/L at pH 10.0. It followed first order kinetics</w:t>
      </w:r>
      <w:r w:rsidR="00F81221">
        <w:rPr>
          <w:kern w:val="0"/>
          <w:szCs w:val="24"/>
        </w:rPr>
        <w:t xml:space="preserve"> and </w:t>
      </w:r>
      <w:r>
        <w:rPr>
          <w:kern w:val="0"/>
          <w:szCs w:val="24"/>
        </w:rPr>
        <w:t>the equilibrium sorption capacity data conformed to Langmuir isotherm. The pore diffusion</w:t>
      </w:r>
      <w:r w:rsidR="00F81221">
        <w:rPr>
          <w:kern w:val="0"/>
          <w:szCs w:val="24"/>
        </w:rPr>
        <w:t xml:space="preserve"> and </w:t>
      </w:r>
      <w:r>
        <w:rPr>
          <w:kern w:val="0"/>
          <w:szCs w:val="24"/>
        </w:rPr>
        <w:t>mass transfer coefficients of As(III) species were significant</w:t>
      </w:r>
      <w:r w:rsidR="00F81221">
        <w:rPr>
          <w:kern w:val="0"/>
          <w:szCs w:val="24"/>
        </w:rPr>
        <w:t xml:space="preserve"> and </w:t>
      </w:r>
      <w:r>
        <w:rPr>
          <w:kern w:val="0"/>
          <w:szCs w:val="24"/>
        </w:rPr>
        <w:t>contributive to the sorption rate. All these studies</w:t>
      </w:r>
      <w:r w:rsidR="00F81221">
        <w:rPr>
          <w:kern w:val="0"/>
          <w:szCs w:val="24"/>
        </w:rPr>
        <w:t xml:space="preserve"> and </w:t>
      </w:r>
      <w:r>
        <w:rPr>
          <w:kern w:val="0"/>
          <w:szCs w:val="24"/>
        </w:rPr>
        <w:t>characterisation of free</w:t>
      </w:r>
      <w:r w:rsidR="00F81221">
        <w:rPr>
          <w:kern w:val="0"/>
          <w:szCs w:val="24"/>
        </w:rPr>
        <w:t xml:space="preserve"> and </w:t>
      </w:r>
      <w:r>
        <w:rPr>
          <w:kern w:val="0"/>
          <w:szCs w:val="24"/>
        </w:rPr>
        <w:t>As(III)-loaded CFC materials by SEM, FTIR</w:t>
      </w:r>
      <w:r w:rsidR="00F81221">
        <w:rPr>
          <w:kern w:val="0"/>
          <w:szCs w:val="24"/>
        </w:rPr>
        <w:t xml:space="preserve"> and </w:t>
      </w:r>
      <w:r>
        <w:rPr>
          <w:kern w:val="0"/>
          <w:szCs w:val="24"/>
        </w:rPr>
        <w:t>XRD methods led to the suggestion of a plausible mechanism involving complex formation between the two components. The As(III)-CFC sorption system was further investigated by dynamic column study invoking Thomas model. Finally, the desorption studies revealed that the adsorbent CFC could be effectively regenerated by 0.1 M hydrochloric acid, making it a viable</w:t>
      </w:r>
      <w:r w:rsidR="00F81221">
        <w:rPr>
          <w:kern w:val="0"/>
          <w:szCs w:val="24"/>
        </w:rPr>
        <w:t xml:space="preserve"> and </w:t>
      </w:r>
      <w:r>
        <w:rPr>
          <w:kern w:val="0"/>
          <w:szCs w:val="24"/>
        </w:rPr>
        <w:t>reusable system for As(III) removal.</w:t>
      </w:r>
    </w:p>
    <w:p w:rsidR="000047BD" w:rsidRDefault="000047BD" w:rsidP="000047BD">
      <w:pPr>
        <w:pStyle w:val="a0"/>
        <w:rPr>
          <w:kern w:val="0"/>
          <w:szCs w:val="24"/>
        </w:rPr>
      </w:pPr>
      <w:r>
        <w:rPr>
          <w:kern w:val="0"/>
          <w:szCs w:val="24"/>
        </w:rPr>
        <w:t xml:space="preserve">Keywords: Adsorption, Arsenic(III), Batch, Biosorbent, Capacity, Carbon, Complex, Cupressus Female Cone, Desorption, Diffusion, Equilibrium, First Order Kinetics, FTIR, Hydrochloric Acid, Isotherm, Kinetics, Langmuir, Langmuir Isotherm, Mass Transfer, Model, </w:t>
      </w:r>
      <w:r>
        <w:rPr>
          <w:rFonts w:hint="eastAsia"/>
          <w:kern w:val="0"/>
          <w:szCs w:val="24"/>
        </w:rPr>
        <w:t>p</w:t>
      </w:r>
      <w:r>
        <w:rPr>
          <w:kern w:val="0"/>
          <w:szCs w:val="24"/>
        </w:rPr>
        <w:t>H, Pore, Removal, Sem, Sorbent, Sorption, Sorptive Removal, System, Temperature, Thomas Model, XRD</w:t>
      </w:r>
    </w:p>
    <w:p w:rsidR="000047BD" w:rsidRDefault="000047BD" w:rsidP="000047BD">
      <w:pPr>
        <w:pStyle w:val="a0"/>
        <w:rPr>
          <w:kern w:val="0"/>
          <w:szCs w:val="24"/>
        </w:rPr>
      </w:pPr>
      <w:r>
        <w:rPr>
          <w:rFonts w:hint="eastAsia"/>
          <w:kern w:val="0"/>
          <w:szCs w:val="24"/>
        </w:rPr>
        <w:t xml:space="preserve">? </w:t>
      </w:r>
      <w:r>
        <w:rPr>
          <w:kern w:val="0"/>
          <w:szCs w:val="24"/>
        </w:rPr>
        <w:t>Goel, R., Kapoor, S.K., Misra, K.</w:t>
      </w:r>
      <w:r w:rsidR="00F81221">
        <w:rPr>
          <w:kern w:val="0"/>
          <w:szCs w:val="24"/>
        </w:rPr>
        <w:t xml:space="preserve"> and </w:t>
      </w:r>
      <w:r>
        <w:rPr>
          <w:kern w:val="0"/>
          <w:szCs w:val="24"/>
        </w:rPr>
        <w:t xml:space="preserve">Sharma, R.K. (2004), Removal of arsenic from water by different adsorbents. </w:t>
      </w:r>
      <w:r>
        <w:rPr>
          <w:i/>
          <w:iCs/>
          <w:kern w:val="0"/>
          <w:szCs w:val="24"/>
        </w:rPr>
        <w:t>Indian Journal of Chemical Technology</w:t>
      </w:r>
      <w:r>
        <w:rPr>
          <w:kern w:val="0"/>
          <w:szCs w:val="24"/>
        </w:rPr>
        <w:t xml:space="preserve">, </w:t>
      </w:r>
      <w:r>
        <w:rPr>
          <w:b/>
          <w:bCs/>
          <w:kern w:val="0"/>
          <w:szCs w:val="24"/>
        </w:rPr>
        <w:t>11</w:t>
      </w:r>
      <w:r>
        <w:rPr>
          <w:kern w:val="0"/>
          <w:szCs w:val="24"/>
        </w:rPr>
        <w:t xml:space="preserve"> (4), 518-525.</w:t>
      </w:r>
    </w:p>
    <w:p w:rsidR="000047BD" w:rsidRPr="00A428C3" w:rsidRDefault="000047BD" w:rsidP="000047BD">
      <w:pPr>
        <w:pStyle w:val="a0"/>
      </w:pPr>
      <w:r>
        <w:rPr>
          <w:rFonts w:hint="eastAsia"/>
        </w:rPr>
        <w:t xml:space="preserve">Full Text: </w:t>
      </w:r>
      <w:r>
        <w:t xml:space="preserve">2004\Ind J Che Tec11, </w:t>
      </w:r>
      <w:r>
        <w:rPr>
          <w:rFonts w:hint="eastAsia"/>
        </w:rPr>
        <w:t>518</w:t>
      </w:r>
      <w:r w:rsidRPr="00FA19E1">
        <w:t>.pdf</w:t>
      </w:r>
    </w:p>
    <w:p w:rsidR="000047BD" w:rsidRDefault="000047BD" w:rsidP="000047BD">
      <w:pPr>
        <w:pStyle w:val="a0"/>
        <w:rPr>
          <w:kern w:val="0"/>
          <w:szCs w:val="24"/>
        </w:rPr>
      </w:pPr>
      <w:r>
        <w:rPr>
          <w:kern w:val="0"/>
          <w:szCs w:val="24"/>
        </w:rPr>
        <w:t>Abstract: Present study is carried out for the removal of As(III) from water using commonly available adsorbents Such as sand, from Yamuna river (Delhi), as well as from Ganga river (Kolkata), activated carbon, Hametite ore</w:t>
      </w:r>
      <w:r w:rsidR="00F81221">
        <w:rPr>
          <w:kern w:val="0"/>
          <w:szCs w:val="24"/>
        </w:rPr>
        <w:t xml:space="preserve"> and </w:t>
      </w:r>
      <w:r>
        <w:rPr>
          <w:kern w:val="0"/>
          <w:szCs w:val="24"/>
        </w:rPr>
        <w:t>sand -iron scrap mixture. All these adsorbents are used as received but sand</w:t>
      </w:r>
      <w:r w:rsidR="00F81221">
        <w:rPr>
          <w:kern w:val="0"/>
          <w:szCs w:val="24"/>
        </w:rPr>
        <w:t xml:space="preserve"> and </w:t>
      </w:r>
      <w:r>
        <w:rPr>
          <w:kern w:val="0"/>
          <w:szCs w:val="24"/>
        </w:rPr>
        <w:t xml:space="preserve">activated carbon which do not show much adsorption for As(III) are modified by treating with </w:t>
      </w:r>
      <w:r>
        <w:rPr>
          <w:kern w:val="0"/>
          <w:szCs w:val="24"/>
        </w:rPr>
        <w:lastRenderedPageBreak/>
        <w:t>different metal ions in order to improve their adsorption efficiency. Results of the laboratory experiments under static conditions have confirmed that iron impregnated granular activated carbon (GAC), spherical activated carbon (SAC) as well as sand - iron scrap mixture have much promise as a medium for the removal of As(III) in drinking water. Various parameters like adsorbent dose, contact time, pH</w:t>
      </w:r>
      <w:r w:rsidR="00F81221">
        <w:rPr>
          <w:kern w:val="0"/>
          <w:szCs w:val="24"/>
        </w:rPr>
        <w:t xml:space="preserve"> and </w:t>
      </w:r>
      <w:r>
        <w:rPr>
          <w:kern w:val="0"/>
          <w:szCs w:val="24"/>
        </w:rPr>
        <w:t>arsenic concentration are optimized. A simple</w:t>
      </w:r>
      <w:r w:rsidR="00F81221">
        <w:rPr>
          <w:kern w:val="0"/>
          <w:szCs w:val="24"/>
        </w:rPr>
        <w:t xml:space="preserve"> and </w:t>
      </w:r>
      <w:r>
        <w:rPr>
          <w:kern w:val="0"/>
          <w:szCs w:val="24"/>
        </w:rPr>
        <w:t>economical domestic arsenic removal kit has been designed</w:t>
      </w:r>
      <w:r w:rsidR="00F81221">
        <w:rPr>
          <w:kern w:val="0"/>
          <w:szCs w:val="24"/>
        </w:rPr>
        <w:t xml:space="preserve"> and </w:t>
      </w:r>
      <w:r>
        <w:rPr>
          <w:kern w:val="0"/>
          <w:szCs w:val="24"/>
        </w:rPr>
        <w:t>successfully evaluated in the laboratory using sand-iron scrap Mixture as media for the removal of arsenic from water.</w:t>
      </w:r>
    </w:p>
    <w:p w:rsidR="000047BD" w:rsidRDefault="000047BD" w:rsidP="000047BD">
      <w:pPr>
        <w:pStyle w:val="a0"/>
        <w:rPr>
          <w:kern w:val="0"/>
          <w:szCs w:val="24"/>
        </w:rPr>
      </w:pPr>
      <w:r>
        <w:rPr>
          <w:kern w:val="0"/>
          <w:szCs w:val="24"/>
        </w:rPr>
        <w:t>Keywords: Activated Carbon, Adsorbents, Adsorption, Arsenic Removal, Carbon, Coagulation, Contact Time, Drinking Water, GAC, Ground-Water, Hametite Ore, Iron, Metal Ions, Oxidation, Oxide-Coated Sand, Ph, Removal, Sand, Water</w:t>
      </w:r>
    </w:p>
    <w:p w:rsidR="00D1148D" w:rsidRDefault="00D1148D" w:rsidP="00D1148D">
      <w:pPr>
        <w:pStyle w:val="a0"/>
        <w:rPr>
          <w:kern w:val="0"/>
          <w:szCs w:val="24"/>
        </w:rPr>
      </w:pPr>
      <w:r>
        <w:rPr>
          <w:rFonts w:hint="eastAsia"/>
          <w:kern w:val="0"/>
          <w:szCs w:val="24"/>
        </w:rPr>
        <w:t xml:space="preserve">? </w:t>
      </w:r>
      <w:r>
        <w:rPr>
          <w:kern w:val="0"/>
          <w:szCs w:val="24"/>
        </w:rPr>
        <w:t>Bhardwaj, S.</w:t>
      </w:r>
      <w:r w:rsidR="00F81221">
        <w:rPr>
          <w:kern w:val="0"/>
          <w:szCs w:val="24"/>
        </w:rPr>
        <w:t xml:space="preserve"> and </w:t>
      </w:r>
      <w:r>
        <w:rPr>
          <w:kern w:val="0"/>
          <w:szCs w:val="24"/>
        </w:rPr>
        <w:t>Khan, M.A. (2004), Decolourization of pulp</w:t>
      </w:r>
      <w:r w:rsidR="00F81221">
        <w:rPr>
          <w:kern w:val="0"/>
          <w:szCs w:val="24"/>
        </w:rPr>
        <w:t xml:space="preserve"> and </w:t>
      </w:r>
      <w:r>
        <w:rPr>
          <w:kern w:val="0"/>
          <w:szCs w:val="24"/>
        </w:rPr>
        <w:t xml:space="preserve">paper mill effluent using polyvinyl chloride. </w:t>
      </w:r>
      <w:r>
        <w:rPr>
          <w:i/>
          <w:iCs/>
          <w:kern w:val="0"/>
          <w:szCs w:val="24"/>
        </w:rPr>
        <w:t>Indian Journal of Chemical Technology</w:t>
      </w:r>
      <w:r>
        <w:rPr>
          <w:kern w:val="0"/>
          <w:szCs w:val="24"/>
        </w:rPr>
        <w:t xml:space="preserve">, </w:t>
      </w:r>
      <w:r>
        <w:rPr>
          <w:b/>
          <w:bCs/>
          <w:kern w:val="0"/>
          <w:szCs w:val="24"/>
        </w:rPr>
        <w:t>11</w:t>
      </w:r>
      <w:r>
        <w:rPr>
          <w:kern w:val="0"/>
          <w:szCs w:val="24"/>
        </w:rPr>
        <w:t xml:space="preserve"> (5), 607-611.</w:t>
      </w:r>
    </w:p>
    <w:p w:rsidR="00D1148D" w:rsidRPr="00A428C3" w:rsidRDefault="00D1148D" w:rsidP="00D1148D">
      <w:pPr>
        <w:pStyle w:val="a0"/>
      </w:pPr>
      <w:r>
        <w:rPr>
          <w:rFonts w:hint="eastAsia"/>
        </w:rPr>
        <w:t xml:space="preserve">Full Text: </w:t>
      </w:r>
      <w:hyperlink r:id="rId858" w:history="1">
        <w:r w:rsidRPr="00D1148D">
          <w:rPr>
            <w:rStyle w:val="a5"/>
          </w:rPr>
          <w:t>2004\Ind J Che Tec11, 607.pdf</w:t>
        </w:r>
      </w:hyperlink>
    </w:p>
    <w:p w:rsidR="00D1148D" w:rsidRDefault="00D1148D" w:rsidP="00D1148D">
      <w:pPr>
        <w:pStyle w:val="a0"/>
        <w:rPr>
          <w:kern w:val="0"/>
          <w:szCs w:val="24"/>
        </w:rPr>
      </w:pPr>
      <w:r>
        <w:rPr>
          <w:kern w:val="0"/>
          <w:szCs w:val="24"/>
        </w:rPr>
        <w:t>Abstract: Decolourization of pulp</w:t>
      </w:r>
      <w:r w:rsidR="00F81221">
        <w:rPr>
          <w:kern w:val="0"/>
          <w:szCs w:val="24"/>
        </w:rPr>
        <w:t xml:space="preserve"> and </w:t>
      </w:r>
      <w:r>
        <w:rPr>
          <w:kern w:val="0"/>
          <w:szCs w:val="24"/>
        </w:rPr>
        <w:t>paper mill wastewater better known as black liquor using low cost adsorbents is under investigation over the years. Colour of the black liquor is aesthetically harmful to the environment as it contains certain toxic</w:t>
      </w:r>
      <w:r w:rsidR="00F81221">
        <w:rPr>
          <w:kern w:val="0"/>
          <w:szCs w:val="24"/>
        </w:rPr>
        <w:t xml:space="preserve"> and </w:t>
      </w:r>
      <w:r>
        <w:rPr>
          <w:kern w:val="0"/>
          <w:szCs w:val="24"/>
        </w:rPr>
        <w:t>xenobiotic compounds. Polyvinyl chloride (PVC) is water insoluble, low crystalline polymer</w:t>
      </w:r>
      <w:r w:rsidR="00F81221">
        <w:rPr>
          <w:kern w:val="0"/>
          <w:szCs w:val="24"/>
        </w:rPr>
        <w:t xml:space="preserve"> and </w:t>
      </w:r>
      <w:r>
        <w:rPr>
          <w:kern w:val="0"/>
          <w:szCs w:val="24"/>
        </w:rPr>
        <w:t>cost friendly. Alkalies</w:t>
      </w:r>
      <w:r w:rsidR="00F81221">
        <w:rPr>
          <w:kern w:val="0"/>
          <w:szCs w:val="24"/>
        </w:rPr>
        <w:t xml:space="preserve"> and </w:t>
      </w:r>
      <w:r>
        <w:rPr>
          <w:kern w:val="0"/>
          <w:szCs w:val="24"/>
        </w:rPr>
        <w:t>acids present in wastewater do not affect the basic structure of this linear macromolecule. Physicochemical method for decolourization was adopted for process simplification. Contact-time, effect of dosages, adsorption dynamics</w:t>
      </w:r>
      <w:r w:rsidR="00F81221">
        <w:rPr>
          <w:kern w:val="0"/>
          <w:szCs w:val="24"/>
        </w:rPr>
        <w:t xml:space="preserve"> and </w:t>
      </w:r>
      <w:r>
        <w:rPr>
          <w:kern w:val="0"/>
          <w:szCs w:val="24"/>
        </w:rPr>
        <w:t>adsorption isotherms were few parameters examined for the study. Moderate to fair results were obtained rendering PVC as a substitute to some high-cost polymers used as adsorbents. The probable interactions between chromophoric components of black liquor</w:t>
      </w:r>
      <w:r w:rsidR="00F81221">
        <w:rPr>
          <w:kern w:val="0"/>
          <w:szCs w:val="24"/>
        </w:rPr>
        <w:t xml:space="preserve"> and </w:t>
      </w:r>
      <w:r>
        <w:rPr>
          <w:kern w:val="0"/>
          <w:szCs w:val="24"/>
        </w:rPr>
        <w:t>PVC has been discussed.</w:t>
      </w:r>
    </w:p>
    <w:p w:rsidR="00D1148D" w:rsidRDefault="00D1148D" w:rsidP="00D1148D">
      <w:pPr>
        <w:pStyle w:val="a0"/>
        <w:rPr>
          <w:kern w:val="0"/>
          <w:szCs w:val="24"/>
        </w:rPr>
      </w:pPr>
      <w:r>
        <w:rPr>
          <w:kern w:val="0"/>
          <w:szCs w:val="24"/>
        </w:rPr>
        <w:t>Keywords: Adsorbents, Adsorption, Adsorption Isotherms, Black Liquor, Compounds, Cost, Decolourization, Environment, FTIR, Isotherms, Paper Mill Effluent, Polymers, Polyvinyl Chloride, Wastewater, Water</w:t>
      </w:r>
    </w:p>
    <w:p w:rsidR="00D1148D" w:rsidRDefault="00D1148D" w:rsidP="00D1148D">
      <w:pPr>
        <w:pStyle w:val="a0"/>
        <w:rPr>
          <w:kern w:val="0"/>
          <w:szCs w:val="24"/>
        </w:rPr>
      </w:pPr>
      <w:r>
        <w:rPr>
          <w:rFonts w:hint="eastAsia"/>
          <w:kern w:val="0"/>
          <w:szCs w:val="24"/>
        </w:rPr>
        <w:t xml:space="preserve">? </w:t>
      </w:r>
      <w:r>
        <w:rPr>
          <w:kern w:val="0"/>
          <w:szCs w:val="24"/>
        </w:rPr>
        <w:t>Chakradhar, B.</w:t>
      </w:r>
      <w:r w:rsidR="00F81221">
        <w:rPr>
          <w:kern w:val="0"/>
          <w:szCs w:val="24"/>
        </w:rPr>
        <w:t xml:space="preserve"> and </w:t>
      </w:r>
      <w:r>
        <w:rPr>
          <w:kern w:val="0"/>
          <w:szCs w:val="24"/>
        </w:rPr>
        <w:t>Shrivastava, S. (2004), Colour removal of pulp</w:t>
      </w:r>
      <w:r w:rsidR="00F81221">
        <w:rPr>
          <w:kern w:val="0"/>
          <w:szCs w:val="24"/>
        </w:rPr>
        <w:t xml:space="preserve"> and </w:t>
      </w:r>
      <w:r>
        <w:rPr>
          <w:kern w:val="0"/>
          <w:szCs w:val="24"/>
        </w:rPr>
        <w:t xml:space="preserve">paper effluents. </w:t>
      </w:r>
      <w:r>
        <w:rPr>
          <w:i/>
          <w:iCs/>
          <w:kern w:val="0"/>
          <w:szCs w:val="24"/>
        </w:rPr>
        <w:t>Indian Journal of Chemical Technology</w:t>
      </w:r>
      <w:r>
        <w:rPr>
          <w:kern w:val="0"/>
          <w:szCs w:val="24"/>
        </w:rPr>
        <w:t xml:space="preserve">, </w:t>
      </w:r>
      <w:r>
        <w:rPr>
          <w:b/>
          <w:bCs/>
          <w:kern w:val="0"/>
          <w:szCs w:val="24"/>
        </w:rPr>
        <w:t>11</w:t>
      </w:r>
      <w:r>
        <w:rPr>
          <w:kern w:val="0"/>
          <w:szCs w:val="24"/>
        </w:rPr>
        <w:t xml:space="preserve"> (5), 617-621.</w:t>
      </w:r>
    </w:p>
    <w:p w:rsidR="00D1148D" w:rsidRPr="00A428C3" w:rsidRDefault="00D1148D" w:rsidP="00D1148D">
      <w:pPr>
        <w:pStyle w:val="a0"/>
      </w:pPr>
      <w:r>
        <w:rPr>
          <w:rFonts w:hint="eastAsia"/>
        </w:rPr>
        <w:t xml:space="preserve">Full Text: </w:t>
      </w:r>
      <w:hyperlink r:id="rId859" w:history="1">
        <w:r w:rsidRPr="00D1148D">
          <w:rPr>
            <w:rStyle w:val="a5"/>
          </w:rPr>
          <w:t>2004\Ind J Che Tec11, 617.pdf</w:t>
        </w:r>
      </w:hyperlink>
    </w:p>
    <w:p w:rsidR="00D1148D" w:rsidRDefault="00D1148D" w:rsidP="00D1148D">
      <w:pPr>
        <w:pStyle w:val="a0"/>
        <w:rPr>
          <w:kern w:val="0"/>
          <w:szCs w:val="24"/>
        </w:rPr>
      </w:pPr>
      <w:r>
        <w:rPr>
          <w:kern w:val="0"/>
          <w:szCs w:val="24"/>
        </w:rPr>
        <w:t>Abstract: The paper industry requires large volumes of process water of high purity</w:t>
      </w:r>
      <w:r w:rsidR="00F81221">
        <w:rPr>
          <w:kern w:val="0"/>
          <w:szCs w:val="24"/>
        </w:rPr>
        <w:t xml:space="preserve"> and </w:t>
      </w:r>
      <w:r>
        <w:rPr>
          <w:kern w:val="0"/>
          <w:szCs w:val="24"/>
        </w:rPr>
        <w:t>generate equally large volumes of waste water from digestion process, which is highly coloured. The removal of colour from paper mill waste water is one of the major environmental problems, because of the difficulty of treating such water by conventional methods. The present study was undertaken for removal of colour from paper mill effluents using waste sludge from ETP as an adsorbent, with heat treatment. The operating variables studied were effluent concentration, adsorbent dosage</w:t>
      </w:r>
      <w:r w:rsidR="00F81221">
        <w:rPr>
          <w:kern w:val="0"/>
          <w:szCs w:val="24"/>
        </w:rPr>
        <w:t xml:space="preserve"> and </w:t>
      </w:r>
      <w:r>
        <w:rPr>
          <w:kern w:val="0"/>
          <w:szCs w:val="24"/>
        </w:rPr>
        <w:t>contact time.</w:t>
      </w:r>
    </w:p>
    <w:p w:rsidR="00D1148D" w:rsidRDefault="00D1148D" w:rsidP="00D1148D">
      <w:pPr>
        <w:pStyle w:val="a0"/>
        <w:rPr>
          <w:kern w:val="0"/>
          <w:szCs w:val="24"/>
        </w:rPr>
      </w:pPr>
      <w:r>
        <w:rPr>
          <w:kern w:val="0"/>
          <w:szCs w:val="24"/>
        </w:rPr>
        <w:lastRenderedPageBreak/>
        <w:t>Keywords: Adsorption, Coloured Effluent, Contact Time, Contact Time</w:t>
      </w:r>
      <w:r w:rsidR="00F81221">
        <w:rPr>
          <w:kern w:val="0"/>
          <w:szCs w:val="24"/>
        </w:rPr>
        <w:t xml:space="preserve"> and </w:t>
      </w:r>
      <w:r>
        <w:rPr>
          <w:kern w:val="0"/>
          <w:szCs w:val="24"/>
        </w:rPr>
        <w:t>Heat Treatment, ETP Sludge, Removal, Treatment, Water</w:t>
      </w:r>
    </w:p>
    <w:p w:rsidR="00D1148D" w:rsidRDefault="00D1148D" w:rsidP="00D1148D">
      <w:pPr>
        <w:pStyle w:val="a0"/>
        <w:rPr>
          <w:kern w:val="0"/>
          <w:szCs w:val="24"/>
        </w:rPr>
      </w:pPr>
      <w:r>
        <w:rPr>
          <w:rFonts w:hint="eastAsia"/>
          <w:kern w:val="0"/>
          <w:szCs w:val="24"/>
        </w:rPr>
        <w:t xml:space="preserve">? </w:t>
      </w:r>
      <w:r>
        <w:rPr>
          <w:kern w:val="0"/>
          <w:szCs w:val="24"/>
        </w:rPr>
        <w:t>Dey, R.K., Acharya, S., Samal, S.</w:t>
      </w:r>
      <w:r w:rsidR="00F81221">
        <w:rPr>
          <w:kern w:val="0"/>
          <w:szCs w:val="24"/>
        </w:rPr>
        <w:t xml:space="preserve"> and </w:t>
      </w:r>
      <w:r>
        <w:rPr>
          <w:kern w:val="0"/>
          <w:szCs w:val="24"/>
        </w:rPr>
        <w:t>Ray, A.R. (2004), Studies of metal ion uptake behaviour of formaldehyde condensed resins of phenolic Schiff bases derived from the reaction of 4,4</w:t>
      </w:r>
      <w:r w:rsidR="000352E7">
        <w:rPr>
          <w:kern w:val="0"/>
          <w:szCs w:val="24"/>
        </w:rPr>
        <w:t>’</w:t>
      </w:r>
      <w:r>
        <w:rPr>
          <w:kern w:val="0"/>
          <w:szCs w:val="24"/>
        </w:rPr>
        <w:t>-diaminodiphenyl</w:t>
      </w:r>
      <w:r w:rsidR="00F81221">
        <w:rPr>
          <w:kern w:val="0"/>
          <w:szCs w:val="24"/>
        </w:rPr>
        <w:t xml:space="preserve"> and </w:t>
      </w:r>
      <w:r>
        <w:rPr>
          <w:kern w:val="0"/>
          <w:szCs w:val="24"/>
        </w:rPr>
        <w:t>4,4</w:t>
      </w:r>
      <w:r w:rsidR="000352E7">
        <w:rPr>
          <w:kern w:val="0"/>
          <w:szCs w:val="24"/>
        </w:rPr>
        <w:t>’</w:t>
      </w:r>
      <w:r>
        <w:rPr>
          <w:kern w:val="0"/>
          <w:szCs w:val="24"/>
        </w:rPr>
        <w:t xml:space="preserve">-diaminodiphenylmethane with o-hydroxybenzaldehyde. </w:t>
      </w:r>
      <w:r>
        <w:rPr>
          <w:i/>
          <w:iCs/>
          <w:kern w:val="0"/>
          <w:szCs w:val="24"/>
        </w:rPr>
        <w:t>Indian Journal of Chemical Technology</w:t>
      </w:r>
      <w:r>
        <w:rPr>
          <w:kern w:val="0"/>
          <w:szCs w:val="24"/>
        </w:rPr>
        <w:t xml:space="preserve">, </w:t>
      </w:r>
      <w:r>
        <w:rPr>
          <w:b/>
          <w:bCs/>
          <w:kern w:val="0"/>
          <w:szCs w:val="24"/>
        </w:rPr>
        <w:t>11</w:t>
      </w:r>
      <w:r>
        <w:rPr>
          <w:kern w:val="0"/>
          <w:szCs w:val="24"/>
        </w:rPr>
        <w:t xml:space="preserve"> (5), 695-703.</w:t>
      </w:r>
    </w:p>
    <w:p w:rsidR="00D1148D" w:rsidRPr="00A428C3" w:rsidRDefault="00D1148D" w:rsidP="00D1148D">
      <w:pPr>
        <w:pStyle w:val="a0"/>
      </w:pPr>
      <w:r>
        <w:rPr>
          <w:rFonts w:hint="eastAsia"/>
        </w:rPr>
        <w:t xml:space="preserve">Full Text: </w:t>
      </w:r>
      <w:r>
        <w:t xml:space="preserve">2004\Ind J Che Tec11, </w:t>
      </w:r>
      <w:r>
        <w:rPr>
          <w:rFonts w:hint="eastAsia"/>
        </w:rPr>
        <w:t>695</w:t>
      </w:r>
      <w:r w:rsidRPr="00BA447A">
        <w:t>.pdf</w:t>
      </w:r>
    </w:p>
    <w:p w:rsidR="00D1148D" w:rsidRDefault="00D1148D" w:rsidP="00D1148D">
      <w:pPr>
        <w:pStyle w:val="a0"/>
        <w:rPr>
          <w:kern w:val="0"/>
          <w:szCs w:val="24"/>
        </w:rPr>
      </w:pPr>
      <w:r>
        <w:rPr>
          <w:kern w:val="0"/>
          <w:szCs w:val="24"/>
        </w:rPr>
        <w:t>Abstract: The metal ion uptake characteristics of two new chelating resins, o-HB-DDM-HCHO</w:t>
      </w:r>
      <w:r w:rsidR="00F81221">
        <w:rPr>
          <w:kern w:val="0"/>
          <w:szCs w:val="24"/>
        </w:rPr>
        <w:t xml:space="preserve"> and </w:t>
      </w:r>
      <w:r>
        <w:rPr>
          <w:kern w:val="0"/>
          <w:szCs w:val="24"/>
        </w:rPr>
        <w:t>o-HB-DD-HCHO, were examined towards transition metal ions like Cu</w:t>
      </w:r>
      <w:r w:rsidRPr="00BA447A">
        <w:rPr>
          <w:kern w:val="0"/>
          <w:szCs w:val="24"/>
          <w:vertAlign w:val="superscript"/>
        </w:rPr>
        <w:t>2+</w:t>
      </w:r>
      <w:r>
        <w:rPr>
          <w:kern w:val="0"/>
          <w:szCs w:val="24"/>
        </w:rPr>
        <w:t>, Ni</w:t>
      </w:r>
      <w:r w:rsidRPr="00BA447A">
        <w:rPr>
          <w:kern w:val="0"/>
          <w:szCs w:val="24"/>
          <w:vertAlign w:val="superscript"/>
        </w:rPr>
        <w:t>2+</w:t>
      </w:r>
      <w:r w:rsidR="00F81221">
        <w:rPr>
          <w:kern w:val="0"/>
          <w:szCs w:val="24"/>
        </w:rPr>
        <w:t xml:space="preserve"> and </w:t>
      </w:r>
      <w:r>
        <w:rPr>
          <w:kern w:val="0"/>
          <w:szCs w:val="24"/>
        </w:rPr>
        <w:t>UO</w:t>
      </w:r>
      <w:r w:rsidRPr="00BA447A">
        <w:rPr>
          <w:kern w:val="0"/>
          <w:szCs w:val="24"/>
          <w:vertAlign w:val="subscript"/>
        </w:rPr>
        <w:t>2</w:t>
      </w:r>
      <w:r w:rsidRPr="00BA447A">
        <w:rPr>
          <w:kern w:val="0"/>
          <w:szCs w:val="24"/>
          <w:vertAlign w:val="superscript"/>
        </w:rPr>
        <w:t>2+</w:t>
      </w:r>
      <w:r>
        <w:rPr>
          <w:kern w:val="0"/>
          <w:szCs w:val="24"/>
        </w:rPr>
        <w:t xml:space="preserve"> under both competitive</w:t>
      </w:r>
      <w:r w:rsidR="00F81221">
        <w:rPr>
          <w:kern w:val="0"/>
          <w:szCs w:val="24"/>
        </w:rPr>
        <w:t xml:space="preserve"> and </w:t>
      </w:r>
      <w:r>
        <w:rPr>
          <w:kern w:val="0"/>
          <w:szCs w:val="24"/>
        </w:rPr>
        <w:t>non-competitive conditions. The resin o-HB-DDM-HCHO was found to be more effective in removing metal ions in comparison to resin o-HB-DD-HCHO. Preferential adsorption of Cu</w:t>
      </w:r>
      <w:r w:rsidRPr="00BA447A">
        <w:rPr>
          <w:kern w:val="0"/>
          <w:szCs w:val="24"/>
          <w:vertAlign w:val="superscript"/>
        </w:rPr>
        <w:t>2+</w:t>
      </w:r>
      <w:r>
        <w:rPr>
          <w:kern w:val="0"/>
          <w:szCs w:val="24"/>
        </w:rPr>
        <w:t xml:space="preserve"> by both the resins was observed from the mixture of salt solution. Elution of the sorbed metal ions using dilute HCl resulted in removal of nearly 30-40% of the loaded Cu</w:t>
      </w:r>
      <w:r w:rsidRPr="00BA447A">
        <w:rPr>
          <w:kern w:val="0"/>
          <w:szCs w:val="24"/>
          <w:vertAlign w:val="superscript"/>
        </w:rPr>
        <w:t>2+</w:t>
      </w:r>
      <w:r w:rsidR="00F81221">
        <w:rPr>
          <w:kern w:val="0"/>
          <w:szCs w:val="24"/>
        </w:rPr>
        <w:t xml:space="preserve"> and </w:t>
      </w:r>
      <w:r>
        <w:rPr>
          <w:kern w:val="0"/>
          <w:szCs w:val="24"/>
        </w:rPr>
        <w:t>34-45% of loaded UO</w:t>
      </w:r>
      <w:r w:rsidRPr="00BA447A">
        <w:rPr>
          <w:kern w:val="0"/>
          <w:szCs w:val="24"/>
          <w:vertAlign w:val="subscript"/>
        </w:rPr>
        <w:t>2</w:t>
      </w:r>
      <w:r w:rsidRPr="00BA447A">
        <w:rPr>
          <w:kern w:val="0"/>
          <w:szCs w:val="24"/>
          <w:vertAlign w:val="superscript"/>
        </w:rPr>
        <w:t>2+</w:t>
      </w:r>
      <w:r>
        <w:rPr>
          <w:kern w:val="0"/>
          <w:szCs w:val="24"/>
        </w:rPr>
        <w:t xml:space="preserve"> from the resin column.</w:t>
      </w:r>
    </w:p>
    <w:p w:rsidR="00D1148D" w:rsidRDefault="00D1148D" w:rsidP="00D1148D">
      <w:pPr>
        <w:pStyle w:val="a0"/>
        <w:rPr>
          <w:kern w:val="0"/>
          <w:szCs w:val="24"/>
        </w:rPr>
      </w:pPr>
      <w:r>
        <w:rPr>
          <w:kern w:val="0"/>
          <w:szCs w:val="24"/>
        </w:rPr>
        <w:t>Keywords: Adsorption, Adsorption, Cadmium(II), Chelating Resins, Comparison, Cu</w:t>
      </w:r>
      <w:r w:rsidRPr="00BA447A">
        <w:rPr>
          <w:kern w:val="0"/>
          <w:szCs w:val="24"/>
          <w:vertAlign w:val="superscript"/>
        </w:rPr>
        <w:t>2+</w:t>
      </w:r>
      <w:r>
        <w:rPr>
          <w:kern w:val="0"/>
          <w:szCs w:val="24"/>
        </w:rPr>
        <w:t>, Elution, Formaldehyde, Hydroxyacetophenone, Metal Ion, Metal Ions, Ni</w:t>
      </w:r>
      <w:r w:rsidRPr="00BA447A">
        <w:rPr>
          <w:kern w:val="0"/>
          <w:szCs w:val="24"/>
          <w:vertAlign w:val="superscript"/>
        </w:rPr>
        <w:t>2+</w:t>
      </w:r>
      <w:r>
        <w:rPr>
          <w:kern w:val="0"/>
          <w:szCs w:val="24"/>
        </w:rPr>
        <w:t>, Preconcentration, Removal, Resin, Schiff Bases, Separation, Spectrometry, Trace Amounts, Transition Metal Ions, Water Samples</w:t>
      </w:r>
    </w:p>
    <w:p w:rsidR="000047BD" w:rsidRDefault="000047BD" w:rsidP="000047BD">
      <w:pPr>
        <w:pStyle w:val="a0"/>
        <w:rPr>
          <w:kern w:val="0"/>
          <w:szCs w:val="24"/>
        </w:rPr>
      </w:pPr>
      <w:r>
        <w:rPr>
          <w:rFonts w:hint="eastAsia"/>
          <w:kern w:val="0"/>
          <w:szCs w:val="24"/>
        </w:rPr>
        <w:t xml:space="preserve">? </w:t>
      </w:r>
      <w:r>
        <w:rPr>
          <w:kern w:val="0"/>
          <w:szCs w:val="24"/>
        </w:rPr>
        <w:t>Vyas, R.K., Shashi</w:t>
      </w:r>
      <w:r w:rsidR="00F81221">
        <w:rPr>
          <w:kern w:val="0"/>
          <w:szCs w:val="24"/>
        </w:rPr>
        <w:t xml:space="preserve"> and </w:t>
      </w:r>
      <w:r>
        <w:rPr>
          <w:kern w:val="0"/>
          <w:szCs w:val="24"/>
        </w:rPr>
        <w:t>Kumar, S. (2004), Determination of micropore volume</w:t>
      </w:r>
      <w:r w:rsidR="00F81221">
        <w:rPr>
          <w:kern w:val="0"/>
          <w:szCs w:val="24"/>
        </w:rPr>
        <w:t xml:space="preserve"> and </w:t>
      </w:r>
      <w:r>
        <w:rPr>
          <w:kern w:val="0"/>
          <w:szCs w:val="24"/>
        </w:rPr>
        <w:t>surface area of zeolite molecular sieves by D-R</w:t>
      </w:r>
      <w:r w:rsidR="00F81221">
        <w:rPr>
          <w:kern w:val="0"/>
          <w:szCs w:val="24"/>
        </w:rPr>
        <w:t xml:space="preserve"> and </w:t>
      </w:r>
      <w:r>
        <w:rPr>
          <w:kern w:val="0"/>
          <w:szCs w:val="24"/>
        </w:rPr>
        <w:t xml:space="preserve">D-A equations: A comparative study. </w:t>
      </w:r>
      <w:r>
        <w:rPr>
          <w:i/>
          <w:iCs/>
          <w:kern w:val="0"/>
          <w:szCs w:val="24"/>
        </w:rPr>
        <w:t>Indian Journal of Chemical Technology</w:t>
      </w:r>
      <w:r>
        <w:rPr>
          <w:kern w:val="0"/>
          <w:szCs w:val="24"/>
        </w:rPr>
        <w:t xml:space="preserve">, </w:t>
      </w:r>
      <w:r>
        <w:rPr>
          <w:b/>
          <w:bCs/>
          <w:kern w:val="0"/>
          <w:szCs w:val="24"/>
        </w:rPr>
        <w:t>11</w:t>
      </w:r>
      <w:r>
        <w:rPr>
          <w:kern w:val="0"/>
          <w:szCs w:val="24"/>
        </w:rPr>
        <w:t xml:space="preserve"> (5), 704-709.</w:t>
      </w:r>
    </w:p>
    <w:p w:rsidR="000047BD" w:rsidRPr="00A428C3" w:rsidRDefault="000047BD" w:rsidP="000047BD">
      <w:pPr>
        <w:pStyle w:val="a0"/>
      </w:pPr>
      <w:r>
        <w:rPr>
          <w:rFonts w:hint="eastAsia"/>
        </w:rPr>
        <w:t xml:space="preserve">Full Text: </w:t>
      </w:r>
      <w:hyperlink r:id="rId860" w:history="1">
        <w:r w:rsidRPr="000047BD">
          <w:rPr>
            <w:rStyle w:val="a5"/>
          </w:rPr>
          <w:t>2004\Ind J Che Tec11, 704.pdf</w:t>
        </w:r>
      </w:hyperlink>
    </w:p>
    <w:p w:rsidR="000047BD" w:rsidRDefault="000047BD" w:rsidP="000047BD">
      <w:pPr>
        <w:pStyle w:val="a0"/>
        <w:rPr>
          <w:kern w:val="0"/>
          <w:szCs w:val="24"/>
        </w:rPr>
      </w:pPr>
      <w:r>
        <w:rPr>
          <w:kern w:val="0"/>
          <w:szCs w:val="24"/>
        </w:rPr>
        <w:t>Abstract: Dubinin-Astakhov (D-A) equation is used for determining the micropore volume</w:t>
      </w:r>
      <w:r w:rsidR="00F81221">
        <w:rPr>
          <w:kern w:val="0"/>
          <w:szCs w:val="24"/>
        </w:rPr>
        <w:t xml:space="preserve"> and </w:t>
      </w:r>
      <w:r>
        <w:rPr>
          <w:kern w:val="0"/>
          <w:szCs w:val="24"/>
        </w:rPr>
        <w:t>surface area of zeolite molecular sieves (ZMS) by using physisorption measurements. Likewise, Dubinin-Radushkevich (D-R) equation is used for the estimation of these parameters for carbon molecular sieves (CMS), and, unlike D-A equation it does not require the estimation of the exponent n. In this paper, surface area</w:t>
      </w:r>
      <w:r w:rsidR="00F81221">
        <w:rPr>
          <w:kern w:val="0"/>
          <w:szCs w:val="24"/>
        </w:rPr>
        <w:t xml:space="preserve"> and </w:t>
      </w:r>
      <w:r>
        <w:rPr>
          <w:kern w:val="0"/>
          <w:szCs w:val="24"/>
        </w:rPr>
        <w:t>micropore volume of 13X molecular sieves (MS) have been determined by using both D-A</w:t>
      </w:r>
      <w:r w:rsidR="00F81221">
        <w:rPr>
          <w:kern w:val="0"/>
          <w:szCs w:val="24"/>
        </w:rPr>
        <w:t xml:space="preserve"> and </w:t>
      </w:r>
      <w:r>
        <w:rPr>
          <w:kern w:val="0"/>
          <w:szCs w:val="24"/>
        </w:rPr>
        <w:t>D-R equations. The results by both equations are in very good agreement. Therefore, D-R equation may also be used for estimation of these parameters because its application is simple</w:t>
      </w:r>
      <w:r w:rsidR="00F81221">
        <w:rPr>
          <w:kern w:val="0"/>
          <w:szCs w:val="24"/>
        </w:rPr>
        <w:t xml:space="preserve"> and </w:t>
      </w:r>
      <w:r>
        <w:rPr>
          <w:kern w:val="0"/>
          <w:szCs w:val="24"/>
        </w:rPr>
        <w:t>easier.</w:t>
      </w:r>
    </w:p>
    <w:p w:rsidR="000047BD" w:rsidRDefault="000047BD" w:rsidP="000047BD">
      <w:pPr>
        <w:pStyle w:val="a0"/>
        <w:rPr>
          <w:kern w:val="0"/>
          <w:szCs w:val="24"/>
        </w:rPr>
      </w:pPr>
      <w:r>
        <w:rPr>
          <w:kern w:val="0"/>
          <w:szCs w:val="24"/>
        </w:rPr>
        <w:t>Keywords: 13X, 13X Molecular Sieves, Adsorption, Carbon, Carbons, D-A Equation, D-R Equation, Determination, Dubinin-Radushkevich, Dubinin-Radushkevich Equation, Micropore Volume, Molecular Sieves, Physisorption Measurements, Zeolite, Zeolite Molecular Sieves</w:t>
      </w:r>
    </w:p>
    <w:p w:rsidR="00B95188" w:rsidRPr="00A428C3" w:rsidRDefault="00B95188" w:rsidP="00B95188">
      <w:pPr>
        <w:pStyle w:val="a0"/>
      </w:pPr>
      <w:r w:rsidRPr="00A428C3">
        <w:t>? Varghese, S., Vinod, V.P.</w:t>
      </w:r>
      <w:r w:rsidR="00F81221">
        <w:t xml:space="preserve"> and </w:t>
      </w:r>
      <w:r w:rsidRPr="00A428C3">
        <w:t>Anirudhan, T.S. (2004), Kinetic</w:t>
      </w:r>
      <w:r w:rsidR="00F81221">
        <w:t xml:space="preserve"> and </w:t>
      </w:r>
      <w:r w:rsidRPr="00A428C3">
        <w:t xml:space="preserve">equilibrium characterization of phenols adsorption onto a novel activated carbon in water treatment. </w:t>
      </w:r>
      <w:r w:rsidRPr="00A428C3">
        <w:rPr>
          <w:i/>
          <w:iCs/>
        </w:rPr>
        <w:t>Indian Journal of Chemical Technology</w:t>
      </w:r>
      <w:r w:rsidRPr="00A428C3">
        <w:t xml:space="preserve">, </w:t>
      </w:r>
      <w:r w:rsidRPr="00A428C3">
        <w:rPr>
          <w:b/>
        </w:rPr>
        <w:t>11</w:t>
      </w:r>
      <w:r w:rsidRPr="00A428C3">
        <w:t xml:space="preserve"> (6), 825-833.</w:t>
      </w:r>
    </w:p>
    <w:p w:rsidR="00BD155A" w:rsidRPr="00A428C3" w:rsidRDefault="00BD155A" w:rsidP="00BD155A">
      <w:pPr>
        <w:pStyle w:val="a0"/>
      </w:pPr>
      <w:r>
        <w:rPr>
          <w:rFonts w:hint="eastAsia"/>
        </w:rPr>
        <w:lastRenderedPageBreak/>
        <w:t xml:space="preserve">Full Text: </w:t>
      </w:r>
      <w:hyperlink r:id="rId861" w:history="1">
        <w:r w:rsidRPr="00BD155A">
          <w:rPr>
            <w:rStyle w:val="a5"/>
          </w:rPr>
          <w:t>2004\Ind J Che Tec11, 825.pdf</w:t>
        </w:r>
      </w:hyperlink>
    </w:p>
    <w:p w:rsidR="00B95188" w:rsidRPr="00A428C3" w:rsidRDefault="00B95188" w:rsidP="00B95188">
      <w:pPr>
        <w:pStyle w:val="a0"/>
      </w:pPr>
      <w:r w:rsidRPr="00A428C3">
        <w:t>Abstract: The present study envisages the use of an aquatic plant material, water hyacinth to prepare a novel activated carbon for the removal of phenol, p-chlorophenol</w:t>
      </w:r>
      <w:r w:rsidR="00F81221">
        <w:t xml:space="preserve"> and </w:t>
      </w:r>
      <w:r w:rsidRPr="00A428C3">
        <w:t>p-nitrophenol from simulated wastewaters by adsorption process. The effect of pH, contact time, initial concentration of adsorbate</w:t>
      </w:r>
      <w:r w:rsidR="00F81221">
        <w:t xml:space="preserve"> and </w:t>
      </w:r>
      <w:r w:rsidRPr="00A428C3">
        <w:t>temperature on removal process was investigated. The maximum removal of phenols from their aqueous solutions occurred at pH 6.0. The applicability of the intraparticular mass transfer diffusion kinetic model in each case of phenol, p-chlorophenol</w:t>
      </w:r>
      <w:r w:rsidR="00F81221">
        <w:t xml:space="preserve"> and </w:t>
      </w:r>
      <w:r w:rsidRPr="00A428C3">
        <w:t>p-nitrophenol was studied separately at different concentrations</w:t>
      </w:r>
      <w:r w:rsidR="00F81221">
        <w:t xml:space="preserve"> and </w:t>
      </w:r>
      <w:r w:rsidRPr="00A428C3">
        <w:t>temperatures. Kinetic parameters as a function of concentration</w:t>
      </w:r>
      <w:r w:rsidR="00F81221">
        <w:t xml:space="preserve"> and </w:t>
      </w:r>
      <w:r w:rsidRPr="00A428C3">
        <w:t>temperature were evaluated to predict the nature of adsorption. The adsorption process was found to be exothermic</w:t>
      </w:r>
      <w:r w:rsidR="00F81221">
        <w:t xml:space="preserve"> and </w:t>
      </w:r>
      <w:r w:rsidRPr="00A428C3">
        <w:t>the adsorption of phenols was found to follow the order: p-nitropherol &gt; p-chlorophenol &gt; phenol. Equilibrium adsorption data were correlated with Langmuir, Freundlich</w:t>
      </w:r>
      <w:r w:rsidR="00F81221">
        <w:t xml:space="preserve"> and </w:t>
      </w:r>
      <w:r w:rsidRPr="00A428C3">
        <w:t>Redlich-Peterson adsorption isotherm models. Freundlich isotherm model was found applicable to represent the adsorption data for all three adsorbates. The maximum adsorption capacity of activated carbon was found to be 1.20, 1.28</w:t>
      </w:r>
      <w:r w:rsidR="00F81221">
        <w:t xml:space="preserve"> and </w:t>
      </w:r>
      <w:r w:rsidRPr="00A428C3">
        <w:t>1.35 mmol/g for phenol, p-chlorophenol</w:t>
      </w:r>
      <w:r w:rsidR="00F81221">
        <w:t xml:space="preserve"> and </w:t>
      </w:r>
      <w:r w:rsidRPr="00A428C3">
        <w:t xml:space="preserve">p-nitrophenol respectively. Adsorbed phenols on activated carbon were recovered (91.5-96.3%) using </w:t>
      </w:r>
      <w:smartTag w:uri="urn:schemas-microsoft-com:office:smarttags" w:element="chmetcnv">
        <w:smartTagPr>
          <w:attr w:name="TCSC" w:val="0"/>
          <w:attr w:name="NumberType" w:val="1"/>
          <w:attr w:name="Negative" w:val="False"/>
          <w:attr w:name="HasSpace" w:val="True"/>
          <w:attr w:name="SourceValue" w:val="0.05"/>
          <w:attr w:name="UnitName" w:val="m"/>
        </w:smartTagPr>
        <w:r w:rsidRPr="00A428C3">
          <w:t>0.05 M</w:t>
        </w:r>
      </w:smartTag>
      <w:r w:rsidRPr="00A428C3">
        <w:t xml:space="preserve"> sodium hydroxide. The petroleum refinery industry wastewater sample was treated by activated carbon to demonstrate its efficiency in removing phenols from wastewaters.</w:t>
      </w:r>
    </w:p>
    <w:p w:rsidR="00B95188" w:rsidRPr="00A428C3" w:rsidRDefault="00B95188" w:rsidP="00B95188">
      <w:pPr>
        <w:pStyle w:val="a0"/>
      </w:pPr>
      <w:r w:rsidRPr="00A428C3">
        <w:t>Keywords: Adsorption, Kinetics, Activated Carbon, Phenols, Water Treatment, Step Steam Pyrolysis, Waste-Water, Sorption, Removal, Adsorbent, Silica, Husks, Oxide, Acid</w:t>
      </w:r>
    </w:p>
    <w:p w:rsidR="00D1148D" w:rsidRDefault="00D1148D" w:rsidP="00D1148D">
      <w:pPr>
        <w:pStyle w:val="a0"/>
        <w:rPr>
          <w:kern w:val="0"/>
          <w:szCs w:val="24"/>
        </w:rPr>
      </w:pPr>
      <w:r>
        <w:rPr>
          <w:rFonts w:hint="eastAsia"/>
          <w:kern w:val="0"/>
          <w:szCs w:val="24"/>
        </w:rPr>
        <w:t xml:space="preserve">? </w:t>
      </w:r>
      <w:r>
        <w:rPr>
          <w:kern w:val="0"/>
          <w:szCs w:val="24"/>
        </w:rPr>
        <w:t>Chanda, M.</w:t>
      </w:r>
      <w:r w:rsidR="00F81221">
        <w:rPr>
          <w:kern w:val="0"/>
          <w:szCs w:val="24"/>
        </w:rPr>
        <w:t xml:space="preserve"> and </w:t>
      </w:r>
      <w:r>
        <w:rPr>
          <w:kern w:val="0"/>
          <w:szCs w:val="24"/>
        </w:rPr>
        <w:t xml:space="preserve">Pillay, S.A. (2005), A novel fibre-coated sorbent for rapid removal of heavy metals from wastewater. Sorption of zinc(II) from dilute aqueous solutions in the presence of high concentrations of common salts. </w:t>
      </w:r>
      <w:r>
        <w:rPr>
          <w:i/>
          <w:iCs/>
          <w:kern w:val="0"/>
          <w:szCs w:val="24"/>
        </w:rPr>
        <w:t>Indian Journal of Chemical Technology</w:t>
      </w:r>
      <w:r>
        <w:rPr>
          <w:kern w:val="0"/>
          <w:szCs w:val="24"/>
        </w:rPr>
        <w:t xml:space="preserve">, </w:t>
      </w:r>
      <w:r>
        <w:rPr>
          <w:b/>
          <w:bCs/>
          <w:kern w:val="0"/>
          <w:szCs w:val="24"/>
        </w:rPr>
        <w:t>12</w:t>
      </w:r>
      <w:r>
        <w:rPr>
          <w:kern w:val="0"/>
          <w:szCs w:val="24"/>
        </w:rPr>
        <w:t xml:space="preserve"> (2), 156-163.</w:t>
      </w:r>
    </w:p>
    <w:p w:rsidR="00D1148D" w:rsidRPr="00A428C3" w:rsidRDefault="00D1148D" w:rsidP="00D1148D">
      <w:pPr>
        <w:pStyle w:val="a0"/>
      </w:pPr>
      <w:r>
        <w:rPr>
          <w:rFonts w:hint="eastAsia"/>
        </w:rPr>
        <w:t xml:space="preserve">Full Text: </w:t>
      </w:r>
      <w:hyperlink r:id="rId862" w:history="1">
        <w:r w:rsidRPr="00D1148D">
          <w:rPr>
            <w:rStyle w:val="a5"/>
          </w:rPr>
          <w:t>2005\Ind J Che Tec12, 156.pdf</w:t>
        </w:r>
      </w:hyperlink>
    </w:p>
    <w:p w:rsidR="00D1148D" w:rsidRDefault="00D1148D" w:rsidP="00D1148D">
      <w:pPr>
        <w:pStyle w:val="a0"/>
        <w:rPr>
          <w:kern w:val="0"/>
          <w:szCs w:val="24"/>
        </w:rPr>
      </w:pPr>
      <w:r>
        <w:rPr>
          <w:kern w:val="0"/>
          <w:szCs w:val="24"/>
        </w:rPr>
        <w:t xml:space="preserve">Abstract: The commercial acrylic fibre </w:t>
      </w:r>
      <w:r w:rsidR="000352E7">
        <w:rPr>
          <w:kern w:val="0"/>
          <w:szCs w:val="24"/>
        </w:rPr>
        <w:t>“</w:t>
      </w:r>
      <w:r>
        <w:rPr>
          <w:kern w:val="0"/>
          <w:szCs w:val="24"/>
        </w:rPr>
        <w:t>Cashmilon</w:t>
      </w:r>
      <w:r w:rsidR="000352E7">
        <w:rPr>
          <w:kern w:val="0"/>
          <w:szCs w:val="24"/>
        </w:rPr>
        <w:t>”</w:t>
      </w:r>
      <w:r>
        <w:rPr>
          <w:kern w:val="0"/>
          <w:szCs w:val="24"/>
        </w:rPr>
        <w:t xml:space="preserve"> was partially hydrolyzed to convert a fraction of its nitrile (-CN) groups to carboxylic acid (-COOH) groups</w:t>
      </w:r>
      <w:r w:rsidR="00F81221">
        <w:rPr>
          <w:kern w:val="0"/>
          <w:szCs w:val="24"/>
        </w:rPr>
        <w:t xml:space="preserve"> and </w:t>
      </w:r>
      <w:r>
        <w:rPr>
          <w:kern w:val="0"/>
          <w:szCs w:val="24"/>
        </w:rPr>
        <w:t>then coated with polyethylenimine (PEI) resin</w:t>
      </w:r>
      <w:r w:rsidR="00F81221">
        <w:rPr>
          <w:kern w:val="0"/>
          <w:szCs w:val="24"/>
        </w:rPr>
        <w:t xml:space="preserve"> and </w:t>
      </w:r>
      <w:r>
        <w:rPr>
          <w:kern w:val="0"/>
          <w:szCs w:val="24"/>
        </w:rPr>
        <w:t>cross-linked with glutaraldehyde to produce a novel gel-coated fibrous sorbent with multiple functionalities of cationic, anionic</w:t>
      </w:r>
      <w:r w:rsidR="00F81221">
        <w:rPr>
          <w:kern w:val="0"/>
          <w:szCs w:val="24"/>
        </w:rPr>
        <w:t xml:space="preserve"> and </w:t>
      </w:r>
      <w:r>
        <w:rPr>
          <w:kern w:val="0"/>
          <w:szCs w:val="24"/>
        </w:rPr>
        <w:t>chelating types,</w:t>
      </w:r>
      <w:r w:rsidR="00F81221">
        <w:rPr>
          <w:kern w:val="0"/>
          <w:szCs w:val="24"/>
        </w:rPr>
        <w:t xml:space="preserve"> and </w:t>
      </w:r>
      <w:r>
        <w:rPr>
          <w:kern w:val="0"/>
          <w:szCs w:val="24"/>
        </w:rPr>
        <w:t>significantly faster sorption kinetics than bead-form sorbents. The sorption properties of the fibrous sorbent were measured using Zn(II) in aqueous solution as the sorbate to determine the effects of pH</w:t>
      </w:r>
      <w:r w:rsidR="00F81221">
        <w:rPr>
          <w:kern w:val="0"/>
          <w:szCs w:val="24"/>
        </w:rPr>
        <w:t xml:space="preserve"> and </w:t>
      </w:r>
      <w:r>
        <w:rPr>
          <w:kern w:val="0"/>
          <w:szCs w:val="24"/>
        </w:rPr>
        <w:t>the presence of common ions in the solution on the sorption capacity. The rate of sorption on the gel-coated fibre was measured in comparison with that on Amberlite IRA-68 weak-base resin beads, to demonstrate the marked difference between fibre</w:t>
      </w:r>
      <w:r w:rsidR="00F81221">
        <w:rPr>
          <w:kern w:val="0"/>
          <w:szCs w:val="24"/>
        </w:rPr>
        <w:t xml:space="preserve"> and </w:t>
      </w:r>
      <w:r>
        <w:rPr>
          <w:kern w:val="0"/>
          <w:szCs w:val="24"/>
        </w:rPr>
        <w:lastRenderedPageBreak/>
        <w:t>bead-form sorbents in their kinetic behaviour.</w:t>
      </w:r>
    </w:p>
    <w:p w:rsidR="00D1148D" w:rsidRDefault="00D1148D" w:rsidP="00D1148D">
      <w:pPr>
        <w:pStyle w:val="a0"/>
        <w:rPr>
          <w:kern w:val="0"/>
          <w:szCs w:val="24"/>
        </w:rPr>
      </w:pPr>
      <w:r>
        <w:rPr>
          <w:kern w:val="0"/>
          <w:szCs w:val="24"/>
        </w:rPr>
        <w:t xml:space="preserve">Keywords: Acrylic Fibre, Aqueous Solutions, Beads, Capacity, Carboxylic Acid, Comparison, Fast Kinetics, Heavy Metals, High-Capacity, Ion-Exchange Resin, Kinetic, Kinetics, Model, </w:t>
      </w:r>
      <w:r>
        <w:rPr>
          <w:rFonts w:hint="eastAsia"/>
          <w:kern w:val="0"/>
          <w:szCs w:val="24"/>
        </w:rPr>
        <w:t>p</w:t>
      </w:r>
      <w:r>
        <w:rPr>
          <w:kern w:val="0"/>
          <w:szCs w:val="24"/>
        </w:rPr>
        <w:t>H, Poly Acrylonitrile, Polyethylenimine, Removal, Resin, Silica, Sorbent, Sorption, Sorption Kinetics, Uranium, Wastewater, Zinc Ion, Zinc(II)</w:t>
      </w:r>
    </w:p>
    <w:p w:rsidR="00D1148D" w:rsidRDefault="00D1148D" w:rsidP="00D1148D">
      <w:pPr>
        <w:pStyle w:val="a0"/>
        <w:rPr>
          <w:kern w:val="0"/>
          <w:szCs w:val="24"/>
        </w:rPr>
      </w:pPr>
      <w:r>
        <w:rPr>
          <w:rFonts w:hint="eastAsia"/>
          <w:kern w:val="0"/>
          <w:szCs w:val="24"/>
        </w:rPr>
        <w:t xml:space="preserve">? </w:t>
      </w:r>
      <w:r>
        <w:rPr>
          <w:kern w:val="0"/>
          <w:szCs w:val="24"/>
        </w:rPr>
        <w:t>Okieimen, F.E., Okieimen, C.O.</w:t>
      </w:r>
      <w:r w:rsidR="00F81221">
        <w:rPr>
          <w:kern w:val="0"/>
          <w:szCs w:val="24"/>
        </w:rPr>
        <w:t xml:space="preserve"> and </w:t>
      </w:r>
      <w:r>
        <w:rPr>
          <w:kern w:val="0"/>
          <w:szCs w:val="24"/>
        </w:rPr>
        <w:t>Ojokoh, F.I. (2005), Rubber seed shell carbon as sequestrant of heavy metals</w:t>
      </w:r>
      <w:r w:rsidR="00F81221">
        <w:rPr>
          <w:kern w:val="0"/>
          <w:szCs w:val="24"/>
        </w:rPr>
        <w:t xml:space="preserve"> and </w:t>
      </w:r>
      <w:r>
        <w:rPr>
          <w:kern w:val="0"/>
          <w:szCs w:val="24"/>
        </w:rPr>
        <w:t xml:space="preserve">organic compounds from aqueous solution. </w:t>
      </w:r>
      <w:r>
        <w:rPr>
          <w:i/>
          <w:iCs/>
          <w:kern w:val="0"/>
          <w:szCs w:val="24"/>
        </w:rPr>
        <w:t>Indian Journal of Chemical Technology</w:t>
      </w:r>
      <w:r>
        <w:rPr>
          <w:kern w:val="0"/>
          <w:szCs w:val="24"/>
        </w:rPr>
        <w:t xml:space="preserve">, </w:t>
      </w:r>
      <w:r>
        <w:rPr>
          <w:b/>
          <w:bCs/>
          <w:kern w:val="0"/>
          <w:szCs w:val="24"/>
        </w:rPr>
        <w:t>12</w:t>
      </w:r>
      <w:r>
        <w:rPr>
          <w:kern w:val="0"/>
          <w:szCs w:val="24"/>
        </w:rPr>
        <w:t xml:space="preserve"> (2), 181-186.</w:t>
      </w:r>
    </w:p>
    <w:p w:rsidR="00D1148D" w:rsidRPr="00A428C3" w:rsidRDefault="00D1148D" w:rsidP="00D1148D">
      <w:pPr>
        <w:pStyle w:val="a0"/>
      </w:pPr>
      <w:r>
        <w:rPr>
          <w:rFonts w:hint="eastAsia"/>
        </w:rPr>
        <w:t xml:space="preserve">Full Text: </w:t>
      </w:r>
      <w:hyperlink r:id="rId863" w:history="1">
        <w:r w:rsidRPr="00D1148D">
          <w:rPr>
            <w:rStyle w:val="a5"/>
          </w:rPr>
          <w:t>2005\Ind J Che Tec12, 181.pdf</w:t>
        </w:r>
      </w:hyperlink>
    </w:p>
    <w:p w:rsidR="00D1148D" w:rsidRDefault="00D1148D" w:rsidP="00D1148D">
      <w:pPr>
        <w:pStyle w:val="a0"/>
        <w:rPr>
          <w:kern w:val="0"/>
          <w:szCs w:val="24"/>
        </w:rPr>
      </w:pPr>
      <w:r>
        <w:rPr>
          <w:kern w:val="0"/>
          <w:szCs w:val="24"/>
        </w:rPr>
        <w:t>Abstract: Powdered activated carbon was prepared from ammonium chloride activated rubber seed shell at 500°C</w:t>
      </w:r>
      <w:r w:rsidR="00F81221">
        <w:rPr>
          <w:kern w:val="0"/>
          <w:szCs w:val="24"/>
        </w:rPr>
        <w:t xml:space="preserve"> and </w:t>
      </w:r>
      <w:r>
        <w:rPr>
          <w:kern w:val="0"/>
          <w:szCs w:val="24"/>
        </w:rPr>
        <w:t>characterized in terms of pH, bulk density, surface area, abrasion resistance</w:t>
      </w:r>
      <w:r w:rsidR="00F81221">
        <w:rPr>
          <w:kern w:val="0"/>
          <w:szCs w:val="24"/>
        </w:rPr>
        <w:t xml:space="preserve"> and </w:t>
      </w:r>
      <w:r>
        <w:rPr>
          <w:kern w:val="0"/>
          <w:szCs w:val="24"/>
        </w:rPr>
        <w:t>total surface charge. The sorption behaviour of zinc ions</w:t>
      </w:r>
      <w:r w:rsidR="00F81221">
        <w:rPr>
          <w:kern w:val="0"/>
          <w:szCs w:val="24"/>
        </w:rPr>
        <w:t xml:space="preserve"> and </w:t>
      </w:r>
      <w:r>
        <w:rPr>
          <w:kern w:val="0"/>
          <w:szCs w:val="24"/>
        </w:rPr>
        <w:t>alcohols (methanol, ethanol</w:t>
      </w:r>
      <w:r w:rsidR="00F81221">
        <w:rPr>
          <w:kern w:val="0"/>
          <w:szCs w:val="24"/>
        </w:rPr>
        <w:t xml:space="preserve"> and </w:t>
      </w:r>
      <w:r>
        <w:rPr>
          <w:kern w:val="0"/>
          <w:szCs w:val="24"/>
        </w:rPr>
        <w:t>n-propanol) on the shell carbon was studied. The removal efficiency of the metal ions was found to depend upon the initial metal ion concentration, with efficiency decreasing with increase in concentration of the metal ions. By fitting the equilibrium sorption data obtained into the Langmuir isotherm equation, values for maximum metal ions binding capacity</w:t>
      </w:r>
      <w:r w:rsidR="00F81221">
        <w:rPr>
          <w:kern w:val="0"/>
          <w:szCs w:val="24"/>
        </w:rPr>
        <w:t xml:space="preserve"> and </w:t>
      </w:r>
      <w:r>
        <w:rPr>
          <w:kern w:val="0"/>
          <w:szCs w:val="24"/>
        </w:rPr>
        <w:t>affinity (binding) constant of 0.425 mmol/g</w:t>
      </w:r>
      <w:r w:rsidR="00F81221">
        <w:rPr>
          <w:kern w:val="0"/>
          <w:szCs w:val="24"/>
        </w:rPr>
        <w:t xml:space="preserve"> and </w:t>
      </w:r>
      <w:r>
        <w:rPr>
          <w:kern w:val="0"/>
          <w:szCs w:val="24"/>
        </w:rPr>
        <w:t>2.614 respectively were determined. The sorption data also fitted the Freundlich isotherm equation, but with relatively lower correlation coefficient,</w:t>
      </w:r>
      <w:r w:rsidR="00F81221">
        <w:rPr>
          <w:kern w:val="0"/>
          <w:szCs w:val="24"/>
        </w:rPr>
        <w:t xml:space="preserve"> and </w:t>
      </w:r>
      <w:r>
        <w:rPr>
          <w:kern w:val="0"/>
          <w:szCs w:val="24"/>
        </w:rPr>
        <w:t>values for the coefficient</w:t>
      </w:r>
      <w:r w:rsidR="00F81221">
        <w:rPr>
          <w:kern w:val="0"/>
          <w:szCs w:val="24"/>
        </w:rPr>
        <w:t xml:space="preserve"> and </w:t>
      </w:r>
      <w:r>
        <w:rPr>
          <w:kern w:val="0"/>
          <w:szCs w:val="24"/>
        </w:rPr>
        <w:t>exponent of the isotherm equation of 0.19</w:t>
      </w:r>
      <w:r w:rsidR="00F81221">
        <w:rPr>
          <w:kern w:val="0"/>
          <w:szCs w:val="24"/>
        </w:rPr>
        <w:t xml:space="preserve"> and </w:t>
      </w:r>
      <w:r>
        <w:rPr>
          <w:kern w:val="0"/>
          <w:szCs w:val="24"/>
        </w:rPr>
        <w:t>0.59 respectively were determined. The removal efficiency of the alcohols was measured in terms of changes in the chemical oxygen demand of solutions containing various volume fractions of the alcohols before</w:t>
      </w:r>
      <w:r w:rsidR="00F81221">
        <w:rPr>
          <w:kern w:val="0"/>
          <w:szCs w:val="24"/>
        </w:rPr>
        <w:t xml:space="preserve"> and </w:t>
      </w:r>
      <w:r>
        <w:rPr>
          <w:kern w:val="0"/>
          <w:szCs w:val="24"/>
        </w:rPr>
        <w:t>after treatment with the shell carbon. Removal efficiency was generally lower than 30%:</w:t>
      </w:r>
      <w:r w:rsidR="00F81221">
        <w:rPr>
          <w:kern w:val="0"/>
          <w:szCs w:val="24"/>
        </w:rPr>
        <w:t xml:space="preserve"> and </w:t>
      </w:r>
      <w:r>
        <w:rPr>
          <w:kern w:val="0"/>
          <w:szCs w:val="24"/>
        </w:rPr>
        <w:t>corresponded to about 5.82 mg/L/g decrease in chemical oxygen demand;</w:t>
      </w:r>
      <w:r w:rsidR="00F81221">
        <w:rPr>
          <w:kern w:val="0"/>
          <w:szCs w:val="24"/>
        </w:rPr>
        <w:t xml:space="preserve"> and </w:t>
      </w:r>
      <w:r>
        <w:rPr>
          <w:kern w:val="0"/>
          <w:szCs w:val="24"/>
        </w:rPr>
        <w:t>was highest for n-propanol</w:t>
      </w:r>
      <w:r w:rsidR="00F81221">
        <w:rPr>
          <w:kern w:val="0"/>
          <w:szCs w:val="24"/>
        </w:rPr>
        <w:t xml:space="preserve"> and </w:t>
      </w:r>
      <w:r>
        <w:rPr>
          <w:kern w:val="0"/>
          <w:szCs w:val="24"/>
        </w:rPr>
        <w:t>lowest for methanol.</w:t>
      </w:r>
    </w:p>
    <w:p w:rsidR="00D1148D" w:rsidRDefault="00D1148D" w:rsidP="00D1148D">
      <w:pPr>
        <w:pStyle w:val="a0"/>
        <w:rPr>
          <w:kern w:val="0"/>
          <w:szCs w:val="24"/>
        </w:rPr>
      </w:pPr>
      <w:r>
        <w:rPr>
          <w:kern w:val="0"/>
          <w:szCs w:val="24"/>
        </w:rPr>
        <w:t xml:space="preserve">Keywords: Acid, Activated Carbon, Activated Carbons, Adsorbents, Adsorption, Adsorption Capacity, Agricultural By-Products, Alcohols, Cadmium, Capacity, Carbon, Chemical Oxygen Demand, Compounds, Copper, Cost, Density, Equilibrium, Freundlich, Freundlich Isotherm, Heavy Metals, Isotherm, Langmuir, Langmuir Isotherm, Metal Ions, Organic Compounds, </w:t>
      </w:r>
      <w:r>
        <w:rPr>
          <w:rFonts w:hint="eastAsia"/>
          <w:kern w:val="0"/>
          <w:szCs w:val="24"/>
        </w:rPr>
        <w:t>p</w:t>
      </w:r>
      <w:r>
        <w:rPr>
          <w:kern w:val="0"/>
          <w:szCs w:val="24"/>
        </w:rPr>
        <w:t>H, Powdered Activated Carbon, Removal, Rubber Seed Shells, Sorption, Treatment, Water, Zinc, Zinc Ions</w:t>
      </w:r>
    </w:p>
    <w:p w:rsidR="00D1148D" w:rsidRDefault="00D1148D" w:rsidP="00D1148D">
      <w:pPr>
        <w:pStyle w:val="a0"/>
        <w:rPr>
          <w:kern w:val="0"/>
          <w:szCs w:val="24"/>
        </w:rPr>
      </w:pPr>
      <w:r>
        <w:rPr>
          <w:rFonts w:hint="eastAsia"/>
          <w:kern w:val="0"/>
          <w:szCs w:val="24"/>
        </w:rPr>
        <w:t xml:space="preserve">? </w:t>
      </w:r>
      <w:r>
        <w:rPr>
          <w:kern w:val="0"/>
          <w:szCs w:val="24"/>
        </w:rPr>
        <w:t>Jeena, V.R.</w:t>
      </w:r>
      <w:r w:rsidR="00F81221">
        <w:rPr>
          <w:kern w:val="0"/>
          <w:szCs w:val="24"/>
        </w:rPr>
        <w:t xml:space="preserve"> and </w:t>
      </w:r>
      <w:r>
        <w:rPr>
          <w:kern w:val="0"/>
          <w:szCs w:val="24"/>
        </w:rPr>
        <w:t>Janardanan, C. (2005), Copper</w:t>
      </w:r>
      <w:r w:rsidR="00F81221">
        <w:rPr>
          <w:kern w:val="0"/>
          <w:szCs w:val="24"/>
        </w:rPr>
        <w:t xml:space="preserve"> and </w:t>
      </w:r>
      <w:r>
        <w:rPr>
          <w:kern w:val="0"/>
          <w:szCs w:val="24"/>
        </w:rPr>
        <w:t xml:space="preserve">thorium selective new chelating, ion exchange resin of mandelic acid. </w:t>
      </w:r>
      <w:r>
        <w:rPr>
          <w:i/>
          <w:iCs/>
          <w:kern w:val="0"/>
          <w:szCs w:val="24"/>
        </w:rPr>
        <w:t>Indian Journal of Chemical Technology</w:t>
      </w:r>
      <w:r>
        <w:rPr>
          <w:kern w:val="0"/>
          <w:szCs w:val="24"/>
        </w:rPr>
        <w:t xml:space="preserve">, </w:t>
      </w:r>
      <w:r>
        <w:rPr>
          <w:b/>
          <w:bCs/>
          <w:kern w:val="0"/>
          <w:szCs w:val="24"/>
        </w:rPr>
        <w:t>12</w:t>
      </w:r>
      <w:r>
        <w:rPr>
          <w:kern w:val="0"/>
          <w:szCs w:val="24"/>
        </w:rPr>
        <w:t xml:space="preserve"> (2), 225-228.</w:t>
      </w:r>
    </w:p>
    <w:p w:rsidR="00D1148D" w:rsidRPr="00A428C3" w:rsidRDefault="00D1148D" w:rsidP="00D1148D">
      <w:pPr>
        <w:pStyle w:val="a0"/>
      </w:pPr>
      <w:r>
        <w:rPr>
          <w:rFonts w:hint="eastAsia"/>
        </w:rPr>
        <w:t xml:space="preserve">Full Text: </w:t>
      </w:r>
      <w:hyperlink r:id="rId864" w:history="1">
        <w:r w:rsidRPr="00D1148D">
          <w:rPr>
            <w:rStyle w:val="a5"/>
          </w:rPr>
          <w:t>2005\Ind J Che Tec12, 225.pdf</w:t>
        </w:r>
      </w:hyperlink>
    </w:p>
    <w:p w:rsidR="00D1148D" w:rsidRDefault="00D1148D" w:rsidP="00D1148D">
      <w:pPr>
        <w:pStyle w:val="a0"/>
        <w:rPr>
          <w:kern w:val="0"/>
          <w:szCs w:val="24"/>
        </w:rPr>
      </w:pPr>
      <w:r>
        <w:rPr>
          <w:kern w:val="0"/>
          <w:szCs w:val="24"/>
        </w:rPr>
        <w:t>Abstract: A new copper</w:t>
      </w:r>
      <w:r w:rsidR="00F81221">
        <w:rPr>
          <w:kern w:val="0"/>
          <w:szCs w:val="24"/>
        </w:rPr>
        <w:t xml:space="preserve"> and </w:t>
      </w:r>
      <w:r>
        <w:rPr>
          <w:kern w:val="0"/>
          <w:szCs w:val="24"/>
        </w:rPr>
        <w:t xml:space="preserve">thorium selective chelating ion exchanger has been synthesized by condensing mandelic acid with formalin (37%) under alkaline condition using resorcinol as cross-linking agent. The characterization of the resin </w:t>
      </w:r>
      <w:r>
        <w:rPr>
          <w:kern w:val="0"/>
          <w:szCs w:val="24"/>
        </w:rPr>
        <w:lastRenderedPageBreak/>
        <w:t>was done by determining the moisture content of the resin, distribution coefficients for various metal ions, base exchange capacity, pH titration</w:t>
      </w:r>
      <w:r w:rsidR="00F81221">
        <w:rPr>
          <w:kern w:val="0"/>
          <w:szCs w:val="24"/>
        </w:rPr>
        <w:t xml:space="preserve"> and </w:t>
      </w:r>
      <w:r>
        <w:rPr>
          <w:kern w:val="0"/>
          <w:szCs w:val="24"/>
        </w:rPr>
        <w:t>IR spectra. The sorption</w:t>
      </w:r>
      <w:r w:rsidR="00F81221">
        <w:rPr>
          <w:kern w:val="0"/>
          <w:szCs w:val="24"/>
        </w:rPr>
        <w:t xml:space="preserve"> and </w:t>
      </w:r>
      <w:r>
        <w:rPr>
          <w:kern w:val="0"/>
          <w:szCs w:val="24"/>
        </w:rPr>
        <w:t>desorption cycles have been examined using a column packed with the resin without any loss of column performance, which indicates the possibility for its reuse. The developed column technique has been used for the binary separations Mg</w:t>
      </w:r>
      <w:r w:rsidRPr="00BA447A">
        <w:rPr>
          <w:kern w:val="0"/>
          <w:szCs w:val="24"/>
          <w:vertAlign w:val="superscript"/>
        </w:rPr>
        <w:t>2+</w:t>
      </w:r>
      <w:r>
        <w:rPr>
          <w:kern w:val="0"/>
          <w:szCs w:val="24"/>
        </w:rPr>
        <w:t>/Cu</w:t>
      </w:r>
      <w:r w:rsidRPr="00BA447A">
        <w:rPr>
          <w:kern w:val="0"/>
          <w:szCs w:val="24"/>
          <w:vertAlign w:val="superscript"/>
        </w:rPr>
        <w:t>2+</w:t>
      </w:r>
      <w:r>
        <w:rPr>
          <w:kern w:val="0"/>
          <w:szCs w:val="24"/>
        </w:rPr>
        <w:t>, Zn</w:t>
      </w:r>
      <w:r w:rsidRPr="00BA447A">
        <w:rPr>
          <w:kern w:val="0"/>
          <w:szCs w:val="24"/>
          <w:vertAlign w:val="superscript"/>
        </w:rPr>
        <w:t>2+</w:t>
      </w:r>
      <w:r>
        <w:rPr>
          <w:kern w:val="0"/>
          <w:szCs w:val="24"/>
        </w:rPr>
        <w:t>/Pb</w:t>
      </w:r>
      <w:r w:rsidRPr="00BA447A">
        <w:rPr>
          <w:kern w:val="0"/>
          <w:szCs w:val="24"/>
          <w:vertAlign w:val="superscript"/>
        </w:rPr>
        <w:t>2+</w:t>
      </w:r>
      <w:r>
        <w:rPr>
          <w:kern w:val="0"/>
          <w:szCs w:val="24"/>
        </w:rPr>
        <w:t>, Mg</w:t>
      </w:r>
      <w:r w:rsidRPr="00BA447A">
        <w:rPr>
          <w:kern w:val="0"/>
          <w:szCs w:val="24"/>
          <w:vertAlign w:val="superscript"/>
        </w:rPr>
        <w:t>2+</w:t>
      </w:r>
      <w:r>
        <w:rPr>
          <w:kern w:val="0"/>
          <w:szCs w:val="24"/>
        </w:rPr>
        <w:t>/Pb</w:t>
      </w:r>
      <w:r w:rsidRPr="00BA447A">
        <w:rPr>
          <w:kern w:val="0"/>
          <w:szCs w:val="24"/>
          <w:vertAlign w:val="superscript"/>
        </w:rPr>
        <w:t>2+</w:t>
      </w:r>
      <w:r>
        <w:rPr>
          <w:kern w:val="0"/>
          <w:szCs w:val="24"/>
        </w:rPr>
        <w:t>, Zn</w:t>
      </w:r>
      <w:r w:rsidRPr="00BA447A">
        <w:rPr>
          <w:kern w:val="0"/>
          <w:szCs w:val="24"/>
          <w:vertAlign w:val="superscript"/>
        </w:rPr>
        <w:t>2+</w:t>
      </w:r>
      <w:r>
        <w:rPr>
          <w:kern w:val="0"/>
          <w:szCs w:val="24"/>
        </w:rPr>
        <w:t>/Th</w:t>
      </w:r>
      <w:r w:rsidRPr="00BA447A">
        <w:rPr>
          <w:kern w:val="0"/>
          <w:szCs w:val="24"/>
          <w:vertAlign w:val="superscript"/>
        </w:rPr>
        <w:t>4+</w:t>
      </w:r>
      <w:r>
        <w:rPr>
          <w:kern w:val="0"/>
          <w:szCs w:val="24"/>
        </w:rPr>
        <w:t>, Al</w:t>
      </w:r>
      <w:r w:rsidRPr="00BA447A">
        <w:rPr>
          <w:kern w:val="0"/>
          <w:szCs w:val="24"/>
          <w:vertAlign w:val="superscript"/>
        </w:rPr>
        <w:t>3+</w:t>
      </w:r>
      <w:r>
        <w:rPr>
          <w:kern w:val="0"/>
          <w:szCs w:val="24"/>
        </w:rPr>
        <w:t>/Th</w:t>
      </w:r>
      <w:r w:rsidRPr="00BA447A">
        <w:rPr>
          <w:kern w:val="0"/>
          <w:szCs w:val="24"/>
          <w:vertAlign w:val="superscript"/>
        </w:rPr>
        <w:t>4+</w:t>
      </w:r>
      <w:r>
        <w:rPr>
          <w:kern w:val="0"/>
          <w:szCs w:val="24"/>
        </w:rPr>
        <w:t>, Mg</w:t>
      </w:r>
      <w:r w:rsidRPr="00BA447A">
        <w:rPr>
          <w:kern w:val="0"/>
          <w:szCs w:val="24"/>
          <w:vertAlign w:val="superscript"/>
        </w:rPr>
        <w:t>2+</w:t>
      </w:r>
      <w:r>
        <w:rPr>
          <w:kern w:val="0"/>
          <w:szCs w:val="24"/>
        </w:rPr>
        <w:t>/Al</w:t>
      </w:r>
      <w:r w:rsidRPr="00BA447A">
        <w:rPr>
          <w:kern w:val="0"/>
          <w:szCs w:val="24"/>
          <w:vertAlign w:val="superscript"/>
        </w:rPr>
        <w:t>3+</w:t>
      </w:r>
      <w:r w:rsidR="00F81221">
        <w:rPr>
          <w:kern w:val="0"/>
          <w:szCs w:val="24"/>
        </w:rPr>
        <w:t xml:space="preserve"> and </w:t>
      </w:r>
      <w:r>
        <w:rPr>
          <w:kern w:val="0"/>
          <w:szCs w:val="24"/>
        </w:rPr>
        <w:t>Mg</w:t>
      </w:r>
      <w:r w:rsidRPr="00BA447A">
        <w:rPr>
          <w:kern w:val="0"/>
          <w:szCs w:val="24"/>
          <w:vertAlign w:val="superscript"/>
        </w:rPr>
        <w:t>2+</w:t>
      </w:r>
      <w:r>
        <w:rPr>
          <w:kern w:val="0"/>
          <w:szCs w:val="24"/>
        </w:rPr>
        <w:t>/Ca</w:t>
      </w:r>
      <w:r w:rsidRPr="00BA447A">
        <w:rPr>
          <w:kern w:val="0"/>
          <w:szCs w:val="24"/>
          <w:vertAlign w:val="superscript"/>
        </w:rPr>
        <w:t>2+</w:t>
      </w:r>
      <w:r>
        <w:rPr>
          <w:kern w:val="0"/>
          <w:szCs w:val="24"/>
        </w:rPr>
        <w:t>. The separation performed on the ion exchange column is very important for the environmentalists.</w:t>
      </w:r>
    </w:p>
    <w:p w:rsidR="00D1148D" w:rsidRDefault="00D1148D" w:rsidP="00D1148D">
      <w:pPr>
        <w:pStyle w:val="a0"/>
        <w:rPr>
          <w:kern w:val="0"/>
          <w:szCs w:val="24"/>
        </w:rPr>
      </w:pPr>
      <w:r>
        <w:rPr>
          <w:kern w:val="0"/>
          <w:szCs w:val="24"/>
        </w:rPr>
        <w:t xml:space="preserve">Keywords: Base Exchange Capacity, Binary Separation, Capacity, Characterization, Chelating Ion-Exchanger, Column Technique, Complexes, Copper, Desorption, Distribution Coefficient, Exchange, Ion Exchange, Mandelic Acid, Metal Ions, </w:t>
      </w:r>
      <w:r>
        <w:rPr>
          <w:rFonts w:hint="eastAsia"/>
          <w:kern w:val="0"/>
          <w:szCs w:val="24"/>
        </w:rPr>
        <w:t>p</w:t>
      </w:r>
      <w:r>
        <w:rPr>
          <w:kern w:val="0"/>
          <w:szCs w:val="24"/>
        </w:rPr>
        <w:t xml:space="preserve">H, </w:t>
      </w:r>
      <w:r>
        <w:rPr>
          <w:rFonts w:hint="eastAsia"/>
          <w:kern w:val="0"/>
          <w:szCs w:val="24"/>
        </w:rPr>
        <w:t>p</w:t>
      </w:r>
      <w:r>
        <w:rPr>
          <w:kern w:val="0"/>
          <w:szCs w:val="24"/>
        </w:rPr>
        <w:t>H Titration, Polymers, Resorcinol Formaldehyde, Reuse, Sorption, Titration</w:t>
      </w:r>
    </w:p>
    <w:p w:rsidR="00B95188" w:rsidRPr="00A428C3" w:rsidRDefault="00B95188" w:rsidP="00B95188">
      <w:pPr>
        <w:pStyle w:val="a0"/>
      </w:pPr>
      <w:r w:rsidRPr="00A428C3">
        <w:t>? Karthikeyan, G., Pius, A.</w:t>
      </w:r>
      <w:r w:rsidR="00F81221">
        <w:t xml:space="preserve"> and </w:t>
      </w:r>
      <w:r w:rsidRPr="00A428C3">
        <w:t xml:space="preserve">Alagumuthu, G. (2005), Fluoride adsorption studies of montmorillonite clay. </w:t>
      </w:r>
      <w:r w:rsidRPr="00A428C3">
        <w:rPr>
          <w:i/>
          <w:iCs/>
        </w:rPr>
        <w:t>Indian Journal of Chemical Technology</w:t>
      </w:r>
      <w:r w:rsidRPr="00A428C3">
        <w:t xml:space="preserve">, </w:t>
      </w:r>
      <w:r w:rsidRPr="00A428C3">
        <w:rPr>
          <w:b/>
        </w:rPr>
        <w:t>12</w:t>
      </w:r>
      <w:r w:rsidRPr="00A428C3">
        <w:t xml:space="preserve"> (3), 263-272.</w:t>
      </w:r>
    </w:p>
    <w:p w:rsidR="00BD155A" w:rsidRPr="00A428C3" w:rsidRDefault="00BD155A" w:rsidP="00BD155A">
      <w:pPr>
        <w:pStyle w:val="a0"/>
      </w:pPr>
      <w:r>
        <w:rPr>
          <w:rFonts w:hint="eastAsia"/>
        </w:rPr>
        <w:t xml:space="preserve">Full Text: </w:t>
      </w:r>
      <w:hyperlink r:id="rId865" w:history="1">
        <w:r w:rsidRPr="00BD155A">
          <w:rPr>
            <w:rStyle w:val="a5"/>
          </w:rPr>
          <w:t>2005\Ind J Che Tec12, 263.pdf</w:t>
        </w:r>
      </w:hyperlink>
    </w:p>
    <w:p w:rsidR="00B95188" w:rsidRPr="00A428C3" w:rsidRDefault="00B95188" w:rsidP="008A7E71">
      <w:pPr>
        <w:pStyle w:val="a0"/>
      </w:pPr>
      <w:r w:rsidRPr="00A428C3">
        <w:t>Abstract: Batch adsorption studies were conducted to determine the effects of contact time</w:t>
      </w:r>
      <w:r w:rsidR="00F81221">
        <w:t xml:space="preserve"> and </w:t>
      </w:r>
      <w:r w:rsidRPr="00A428C3">
        <w:t>temperature on fluoride removal by montmorillonite clay at neutral pH. The adsorption of fluoride was studied at four different tempe</w:t>
      </w:r>
      <w:r w:rsidR="008A7E71">
        <w:t>ratures, viz. 30, 40, 50</w:t>
      </w:r>
      <w:r w:rsidR="00F81221">
        <w:t xml:space="preserve"> and </w:t>
      </w:r>
      <w:r w:rsidR="008A7E71">
        <w:t>60°</w:t>
      </w:r>
      <w:r w:rsidRPr="00A428C3">
        <w:t>C. The kinetics of adsorption as well as adsorption isotherms at different temperatures were studied. Adsorption obeyed both Langmuir</w:t>
      </w:r>
      <w:r w:rsidR="00F81221">
        <w:t xml:space="preserve"> and </w:t>
      </w:r>
      <w:r w:rsidRPr="00A428C3">
        <w:t>Freundlich isotherm models. The percentage of fluoride removed increased with time</w:t>
      </w:r>
      <w:r w:rsidR="00F81221">
        <w:t xml:space="preserve"> and </w:t>
      </w:r>
      <w:r w:rsidRPr="00A428C3">
        <w:t xml:space="preserve">reached an optimum level at 50(th) min. The material with particle size of 75 microns registered maximum percentage of fluoride adsorption, compared to the other particle sizes. Thermodynamic studies revealed that the adsorption of fluoride by montmorillonite is an endothermic process, showing increase in sorption at higher temperature. The negative values of </w:t>
      </w:r>
      <w:r w:rsidR="005D5634">
        <w:sym w:font="Symbol" w:char="F044"/>
      </w:r>
      <w:r w:rsidRPr="00A428C3">
        <w:t>G</w:t>
      </w:r>
      <w:r w:rsidR="005D5634">
        <w:t>°</w:t>
      </w:r>
      <w:r w:rsidRPr="00A428C3">
        <w:t xml:space="preserve"> indicate the spontaneity of the sorption process. Adsorption takes place on the surface as well as through intraparticle diffusion pattern of the adsorbent material. SEM studies revealed the morphological characteristics of the untreated sorbents as well as the changes in the treated sorbents. X-ray diffraction studies also confirmed the deposition of fluoride on the surface of the clay material. FTIR studies showed the involvement of hydroxyl group present on the surface in the adsorption interaction.</w:t>
      </w:r>
    </w:p>
    <w:p w:rsidR="00B95188" w:rsidRPr="00A428C3" w:rsidRDefault="00B95188" w:rsidP="00B95188">
      <w:pPr>
        <w:pStyle w:val="a0"/>
      </w:pPr>
      <w:r w:rsidRPr="00A428C3">
        <w:t>Keywords: Adsorption, Fluoride Removal, Montmorillonite Clay, Langmuir Isotherm, Freundlich Isotherm, Aqueous-Solutions, Activated Carbon, Removal, Water, Defluoridation, Dyes</w:t>
      </w:r>
    </w:p>
    <w:p w:rsidR="00A53E12" w:rsidRDefault="00A53E12" w:rsidP="00A53E12">
      <w:pPr>
        <w:pStyle w:val="a0"/>
        <w:rPr>
          <w:kern w:val="0"/>
          <w:szCs w:val="24"/>
        </w:rPr>
      </w:pPr>
      <w:r>
        <w:rPr>
          <w:rFonts w:hint="eastAsia"/>
          <w:kern w:val="0"/>
          <w:szCs w:val="24"/>
        </w:rPr>
        <w:t xml:space="preserve">? </w:t>
      </w:r>
      <w:r>
        <w:rPr>
          <w:kern w:val="0"/>
          <w:szCs w:val="24"/>
        </w:rPr>
        <w:t>Das Purakayastha, P., Pal, A.</w:t>
      </w:r>
      <w:r w:rsidR="00F81221">
        <w:rPr>
          <w:kern w:val="0"/>
          <w:szCs w:val="24"/>
        </w:rPr>
        <w:t xml:space="preserve"> and </w:t>
      </w:r>
      <w:r>
        <w:rPr>
          <w:kern w:val="0"/>
          <w:szCs w:val="24"/>
        </w:rPr>
        <w:t xml:space="preserve">Bandyopadhyay, M. (2005), Adsorbent selection for anionic surfactant removal from water. </w:t>
      </w:r>
      <w:r>
        <w:rPr>
          <w:i/>
          <w:iCs/>
          <w:kern w:val="0"/>
          <w:szCs w:val="24"/>
        </w:rPr>
        <w:t>Indian Journal of Chemical Technology</w:t>
      </w:r>
      <w:r>
        <w:rPr>
          <w:kern w:val="0"/>
          <w:szCs w:val="24"/>
        </w:rPr>
        <w:t xml:space="preserve">, </w:t>
      </w:r>
      <w:r>
        <w:rPr>
          <w:b/>
          <w:bCs/>
          <w:kern w:val="0"/>
          <w:szCs w:val="24"/>
        </w:rPr>
        <w:t>12</w:t>
      </w:r>
      <w:r>
        <w:rPr>
          <w:kern w:val="0"/>
          <w:szCs w:val="24"/>
        </w:rPr>
        <w:t xml:space="preserve"> (3), 281-284.</w:t>
      </w:r>
    </w:p>
    <w:p w:rsidR="00A53E12" w:rsidRPr="00A428C3" w:rsidRDefault="00A53E12" w:rsidP="00A53E12">
      <w:pPr>
        <w:pStyle w:val="a0"/>
      </w:pPr>
      <w:r>
        <w:rPr>
          <w:rFonts w:hint="eastAsia"/>
        </w:rPr>
        <w:t xml:space="preserve">Full Text: </w:t>
      </w:r>
      <w:hyperlink r:id="rId866" w:history="1">
        <w:r w:rsidRPr="00A53E12">
          <w:rPr>
            <w:rStyle w:val="a5"/>
          </w:rPr>
          <w:t>2005\Ind J Che Tec12, 281.pdf</w:t>
        </w:r>
      </w:hyperlink>
    </w:p>
    <w:p w:rsidR="00A53E12" w:rsidRDefault="00A53E12" w:rsidP="00A53E12">
      <w:pPr>
        <w:pStyle w:val="a0"/>
        <w:rPr>
          <w:kern w:val="0"/>
          <w:szCs w:val="24"/>
        </w:rPr>
      </w:pPr>
      <w:r>
        <w:rPr>
          <w:kern w:val="0"/>
          <w:szCs w:val="24"/>
        </w:rPr>
        <w:lastRenderedPageBreak/>
        <w:t>Abstract: In the present study, an attempt was made to find out a low cost adsorbing material for the removal of anionic surfactant (AS) from water. Sodium dodecyl sulphate (SDS) has been selected as a a representative member of AS. Adsorbents such as granular activated charcoal, waste tire rubber granules, wood charcoal,</w:t>
      </w:r>
      <w:r w:rsidR="00F81221">
        <w:rPr>
          <w:kern w:val="0"/>
          <w:szCs w:val="24"/>
        </w:rPr>
        <w:t xml:space="preserve"> and </w:t>
      </w:r>
      <w:r>
        <w:rPr>
          <w:kern w:val="0"/>
          <w:szCs w:val="24"/>
        </w:rPr>
        <w:t>silica gel were tried. Kinetic profiles of removal of SDS were generated for all materials to assess the equilibrium time. The percentage of SDS removal at 7h equilibrium time was 96% for granular activated charcoal, 96.5% for waste tire rubber granules, 88% for wood charcoal</w:t>
      </w:r>
      <w:r w:rsidR="00F81221">
        <w:rPr>
          <w:kern w:val="0"/>
          <w:szCs w:val="24"/>
        </w:rPr>
        <w:t xml:space="preserve"> and </w:t>
      </w:r>
      <w:r>
        <w:rPr>
          <w:kern w:val="0"/>
          <w:szCs w:val="24"/>
        </w:rPr>
        <w:t>92% for silica gel. Equilibrium studies were carried out for all materials to assess the adsorption equilibrium model that they followed. The correlation coefficients were determined by linear regression analysis,</w:t>
      </w:r>
      <w:r w:rsidR="00F81221">
        <w:rPr>
          <w:kern w:val="0"/>
          <w:szCs w:val="24"/>
        </w:rPr>
        <w:t xml:space="preserve"> and </w:t>
      </w:r>
      <w:r>
        <w:rPr>
          <w:kern w:val="0"/>
          <w:szCs w:val="24"/>
        </w:rPr>
        <w:t>compared. Maximum adsorption capacities (Q(max)) for granular activated charcoal, waste tire rubber granules, wood charcoal</w:t>
      </w:r>
      <w:r w:rsidR="00F81221">
        <w:rPr>
          <w:kern w:val="0"/>
          <w:szCs w:val="24"/>
        </w:rPr>
        <w:t xml:space="preserve"> and </w:t>
      </w:r>
      <w:r>
        <w:rPr>
          <w:kern w:val="0"/>
          <w:szCs w:val="24"/>
        </w:rPr>
        <w:t>silica gel, were found to be 3.750, 4.164, 5.170</w:t>
      </w:r>
      <w:r w:rsidR="00F81221">
        <w:rPr>
          <w:kern w:val="0"/>
          <w:szCs w:val="24"/>
        </w:rPr>
        <w:t xml:space="preserve"> and </w:t>
      </w:r>
      <w:r>
        <w:rPr>
          <w:kern w:val="0"/>
          <w:szCs w:val="24"/>
        </w:rPr>
        <w:t>5.181 mg/g, respectively. The removal efficiency, maximum adsorption capacity</w:t>
      </w:r>
      <w:r w:rsidR="00F81221">
        <w:rPr>
          <w:kern w:val="0"/>
          <w:szCs w:val="24"/>
        </w:rPr>
        <w:t xml:space="preserve"> and </w:t>
      </w:r>
      <w:r>
        <w:rPr>
          <w:kern w:val="0"/>
          <w:szCs w:val="24"/>
        </w:rPr>
        <w:t>cost were the guiding parameters for the selection of the adsorbent in the present study. Considering all factors waste tire rubber granule was chosen as the best adsorbent for AS removal. The physical or chemical characteristics of the rubber granules were reported.</w:t>
      </w:r>
    </w:p>
    <w:p w:rsidR="00A53E12" w:rsidRDefault="00A53E12" w:rsidP="00A53E12">
      <w:pPr>
        <w:pStyle w:val="a0"/>
        <w:rPr>
          <w:kern w:val="0"/>
          <w:szCs w:val="24"/>
        </w:rPr>
      </w:pPr>
      <w:r>
        <w:rPr>
          <w:kern w:val="0"/>
          <w:szCs w:val="24"/>
        </w:rPr>
        <w:t>Keywords: Adsorbent, Adsorbent Selection, Adsorbents, Adsorption, Adsorption Capacity, Analysis, Anionic Surfactant, Capacity, Charcoal, Cost, Equilibrium, Equilibrium Model, Kinetic, Model, Removal, Rubber Granules, Silica, Sodium Dodecyl Sulphate, Water</w:t>
      </w:r>
    </w:p>
    <w:p w:rsidR="00B95188" w:rsidRPr="00A428C3" w:rsidRDefault="00B95188" w:rsidP="00B95188">
      <w:pPr>
        <w:pStyle w:val="a0"/>
      </w:pPr>
      <w:r w:rsidRPr="00A428C3">
        <w:t>? Sharma, A.</w:t>
      </w:r>
      <w:r w:rsidR="00F81221">
        <w:t xml:space="preserve"> and </w:t>
      </w:r>
      <w:r w:rsidRPr="00A428C3">
        <w:t xml:space="preserve">Bhattacharyya, K.G. (2005), Utilization of a biosorbent based on </w:t>
      </w:r>
      <w:r w:rsidRPr="00BD155A">
        <w:rPr>
          <w:i/>
        </w:rPr>
        <w:t>Azadirachta indica</w:t>
      </w:r>
      <w:r w:rsidRPr="00A428C3">
        <w:t xml:space="preserve"> (Neem) leaves for removal of water-soluble dyes. </w:t>
      </w:r>
      <w:r w:rsidRPr="00A428C3">
        <w:rPr>
          <w:i/>
          <w:iCs/>
        </w:rPr>
        <w:t>Indian Journal of Chemical Technology</w:t>
      </w:r>
      <w:r w:rsidRPr="00A428C3">
        <w:t xml:space="preserve">, </w:t>
      </w:r>
      <w:r w:rsidRPr="00A428C3">
        <w:rPr>
          <w:b/>
        </w:rPr>
        <w:t>12</w:t>
      </w:r>
      <w:r w:rsidRPr="00A428C3">
        <w:t xml:space="preserve"> (3), 285-295.</w:t>
      </w:r>
    </w:p>
    <w:p w:rsidR="00BD155A" w:rsidRPr="00A428C3" w:rsidRDefault="00BD155A" w:rsidP="00BD155A">
      <w:pPr>
        <w:pStyle w:val="a0"/>
      </w:pPr>
      <w:r>
        <w:rPr>
          <w:rFonts w:hint="eastAsia"/>
        </w:rPr>
        <w:t xml:space="preserve">Full Text: </w:t>
      </w:r>
      <w:hyperlink r:id="rId867" w:history="1">
        <w:r w:rsidRPr="00BD155A">
          <w:rPr>
            <w:rStyle w:val="a5"/>
          </w:rPr>
          <w:t>2005\Ind J Che Tec12, 285.pdf</w:t>
        </w:r>
      </w:hyperlink>
    </w:p>
    <w:p w:rsidR="00B95188" w:rsidRPr="00A428C3" w:rsidRDefault="00B95188" w:rsidP="00B95188">
      <w:pPr>
        <w:pStyle w:val="a0"/>
      </w:pPr>
      <w:r w:rsidRPr="00A428C3">
        <w:t xml:space="preserve">Abstract: A biosorbent is developed from </w:t>
      </w:r>
      <w:r w:rsidRPr="00BD155A">
        <w:rPr>
          <w:i/>
        </w:rPr>
        <w:t>Azadirachta indica</w:t>
      </w:r>
      <w:r w:rsidRPr="00A428C3">
        <w:t xml:space="preserve"> (Neem) leaves in the form of a finely ground dried powder (53</w:t>
      </w:r>
      <w:smartTag w:uri="urn:schemas-microsoft-com:office:smarttags" w:element="chmetcnv">
        <w:smartTagPr>
          <w:attr w:name="TCSC" w:val="0"/>
          <w:attr w:name="NumberType" w:val="1"/>
          <w:attr w:name="Negative" w:val="True"/>
          <w:attr w:name="HasSpace" w:val="False"/>
          <w:attr w:name="SourceValue" w:val="74"/>
          <w:attr w:name="UnitName" w:val="m"/>
        </w:smartTagPr>
        <w:r w:rsidRPr="00A428C3">
          <w:t xml:space="preserve">-74 </w:t>
        </w:r>
      </w:smartTag>
      <w:r w:rsidRPr="00A428C3">
        <w:sym w:font="Symbol" w:char="F06D"/>
      </w:r>
      <w:r w:rsidRPr="00A428C3">
        <w:t>m). The powder was used to remove three water-soluble dyes, viz., brilliant green, congo red</w:t>
      </w:r>
      <w:r w:rsidR="00F81221">
        <w:t xml:space="preserve"> and </w:t>
      </w:r>
      <w:r w:rsidRPr="00A428C3">
        <w:t>methylene blue from aqueous medium. The adsorptive interactions were tested under varying conditions of concentration of the dyes, amount of adsorbent, pH,</w:t>
      </w:r>
      <w:r w:rsidR="00F81221">
        <w:t xml:space="preserve"> and </w:t>
      </w:r>
      <w:r w:rsidRPr="00A428C3">
        <w:t>temperature. It was found that 670, 1000</w:t>
      </w:r>
      <w:r w:rsidR="00F81221">
        <w:t xml:space="preserve"> and </w:t>
      </w:r>
      <w:r w:rsidRPr="00A428C3">
        <w:t xml:space="preserve">2000 mg respectively of the powder could remove almost 100 % of the dyes from </w:t>
      </w:r>
      <w:smartTag w:uri="urn:schemas-microsoft-com:office:smarttags" w:element="chmetcnv">
        <w:smartTagPr>
          <w:attr w:name="TCSC" w:val="0"/>
          <w:attr w:name="NumberType" w:val="1"/>
          <w:attr w:name="Negative" w:val="False"/>
          <w:attr w:name="HasSpace" w:val="True"/>
          <w:attr w:name="SourceValue" w:val="1"/>
          <w:attr w:name="UnitName" w:val="l"/>
        </w:smartTagPr>
        <w:r w:rsidRPr="00A428C3">
          <w:t>1 L</w:t>
        </w:r>
      </w:smartTag>
      <w:r w:rsidRPr="00A428C3">
        <w:t xml:space="preserve"> of water containing 10, 20</w:t>
      </w:r>
      <w:r w:rsidR="00F81221">
        <w:t xml:space="preserve"> and </w:t>
      </w:r>
      <w:r w:rsidRPr="00A428C3">
        <w:t>25 mg of brilliant green, congo red</w:t>
      </w:r>
      <w:r w:rsidR="00F81221">
        <w:t xml:space="preserve"> and </w:t>
      </w:r>
      <w:r w:rsidRPr="00A428C3">
        <w:t>methylene blue dyes, respectively. The interactions followed pseudo first order kinetics. The Langmuir monolayer adsorption capacity had values of 133.69, 72.38</w:t>
      </w:r>
      <w:r w:rsidR="00F81221">
        <w:t xml:space="preserve"> and </w:t>
      </w:r>
      <w:smartTag w:uri="urn:schemas-microsoft-com:office:smarttags" w:element="chmetcnv">
        <w:smartTagPr>
          <w:attr w:name="TCSC" w:val="0"/>
          <w:attr w:name="NumberType" w:val="1"/>
          <w:attr w:name="Negative" w:val="False"/>
          <w:attr w:name="HasSpace" w:val="True"/>
          <w:attr w:name="SourceValue" w:val="8.76"/>
          <w:attr w:name="UnitName" w:val="g"/>
        </w:smartTagPr>
        <w:r w:rsidRPr="00A428C3">
          <w:t>8.76 g</w:t>
        </w:r>
      </w:smartTag>
      <w:r w:rsidRPr="00A428C3">
        <w:t xml:space="preserve"> kg</w:t>
      </w:r>
      <w:r w:rsidRPr="00A428C3">
        <w:rPr>
          <w:vertAlign w:val="superscript"/>
        </w:rPr>
        <w:t>-1</w:t>
      </w:r>
      <w:r w:rsidRPr="00A428C3">
        <w:t xml:space="preserve"> for brilliant green, congo red</w:t>
      </w:r>
      <w:r w:rsidR="00F81221">
        <w:t xml:space="preserve"> and </w:t>
      </w:r>
      <w:r w:rsidRPr="00A428C3">
        <w:t>methylene blue. The adsorption of brilliant green</w:t>
      </w:r>
      <w:r w:rsidR="00F81221">
        <w:t xml:space="preserve"> and </w:t>
      </w:r>
      <w:r w:rsidRPr="00A428C3">
        <w:t>methylene blue on neem leaf powder (NLP) was endothermic with mean Delta H values of 12.12</w:t>
      </w:r>
      <w:r w:rsidR="00F81221">
        <w:t xml:space="preserve"> and </w:t>
      </w:r>
      <w:r w:rsidRPr="00A428C3">
        <w:t>9.40 kJ mol</w:t>
      </w:r>
      <w:r w:rsidRPr="00A428C3">
        <w:rPr>
          <w:vertAlign w:val="superscript"/>
        </w:rPr>
        <w:t>-1</w:t>
      </w:r>
      <w:r w:rsidRPr="00A428C3">
        <w:t xml:space="preserve"> respectively while that of congo red was exothermic with mean Delta H value of -12.75 kJ mol</w:t>
      </w:r>
      <w:r w:rsidRPr="00A428C3">
        <w:rPr>
          <w:vertAlign w:val="superscript"/>
        </w:rPr>
        <w:t>-1</w:t>
      </w:r>
      <w:r w:rsidRPr="00A428C3">
        <w:t>.</w:t>
      </w:r>
    </w:p>
    <w:p w:rsidR="00B95188" w:rsidRPr="00A428C3" w:rsidRDefault="00B95188" w:rsidP="00B95188">
      <w:pPr>
        <w:pStyle w:val="a0"/>
      </w:pPr>
      <w:r w:rsidRPr="00A428C3">
        <w:t xml:space="preserve">Keywords: Activated Carbon, Adsorbent, Adsorption, Adsorption Capacity, Aqueous </w:t>
      </w:r>
      <w:r w:rsidRPr="00A428C3">
        <w:lastRenderedPageBreak/>
        <w:t>Medium, Aqueous-Solution, Azadirachta Indica, Biosorbent, Brilliant Green, Capacity, Color Removal, Concentration, Congo Red, Congo-Red, Dyes, Dyestuffs, Endothermic, Equilibrium, Exothermic, First Order, First Order Kinetics, Interactions, Kinetics, Langmuir, Langmuir Monolayer, Leaf, Leaves, Metal, Methylene Blue, Methylene Blue, Monolayer, Monolayer Adsorption, Neem Leaf Powder, Neem Leaf Powder (NLP), Order, pH, Powder, Pseudo First Order Kinetics, Pseudo-First-Order, Removal, Sorption, Temperature, Value, Waste, Water, Water Soluble Dyes, Water-Soluble Dyes</w:t>
      </w:r>
    </w:p>
    <w:p w:rsidR="00A53E12" w:rsidRDefault="00A53E12" w:rsidP="00A53E12">
      <w:pPr>
        <w:pStyle w:val="a0"/>
        <w:rPr>
          <w:kern w:val="0"/>
          <w:szCs w:val="24"/>
        </w:rPr>
      </w:pPr>
      <w:r>
        <w:rPr>
          <w:rFonts w:hint="eastAsia"/>
          <w:kern w:val="0"/>
          <w:szCs w:val="24"/>
        </w:rPr>
        <w:t xml:space="preserve">? </w:t>
      </w:r>
      <w:r>
        <w:rPr>
          <w:kern w:val="0"/>
          <w:szCs w:val="24"/>
        </w:rPr>
        <w:t>Dutta, N.N.</w:t>
      </w:r>
      <w:r w:rsidR="00F81221">
        <w:rPr>
          <w:kern w:val="0"/>
          <w:szCs w:val="24"/>
        </w:rPr>
        <w:t xml:space="preserve"> and </w:t>
      </w:r>
      <w:r>
        <w:rPr>
          <w:kern w:val="0"/>
          <w:szCs w:val="24"/>
        </w:rPr>
        <w:t>Saikia, M.D. (2005), Adsorption equilibrium of 7-aminodeacetoxy cephalosporanic acid-cephalexin mixture onto activated carbon</w:t>
      </w:r>
      <w:r w:rsidR="00F81221">
        <w:rPr>
          <w:kern w:val="0"/>
          <w:szCs w:val="24"/>
        </w:rPr>
        <w:t xml:space="preserve"> and </w:t>
      </w:r>
      <w:r>
        <w:rPr>
          <w:kern w:val="0"/>
          <w:szCs w:val="24"/>
        </w:rPr>
        <w:t xml:space="preserve">polymeric resins. </w:t>
      </w:r>
      <w:r>
        <w:rPr>
          <w:i/>
          <w:iCs/>
          <w:kern w:val="0"/>
          <w:szCs w:val="24"/>
        </w:rPr>
        <w:t>Indian Journal of Chemical Technology</w:t>
      </w:r>
      <w:r>
        <w:rPr>
          <w:kern w:val="0"/>
          <w:szCs w:val="24"/>
        </w:rPr>
        <w:t xml:space="preserve">, </w:t>
      </w:r>
      <w:r>
        <w:rPr>
          <w:b/>
          <w:bCs/>
          <w:kern w:val="0"/>
          <w:szCs w:val="24"/>
        </w:rPr>
        <w:t>12</w:t>
      </w:r>
      <w:r>
        <w:rPr>
          <w:kern w:val="0"/>
          <w:szCs w:val="24"/>
        </w:rPr>
        <w:t xml:space="preserve"> (3), 296-303.</w:t>
      </w:r>
    </w:p>
    <w:p w:rsidR="00A53E12" w:rsidRPr="00A428C3" w:rsidRDefault="00A53E12" w:rsidP="00A53E12">
      <w:pPr>
        <w:pStyle w:val="a0"/>
      </w:pPr>
      <w:r>
        <w:rPr>
          <w:rFonts w:hint="eastAsia"/>
        </w:rPr>
        <w:t xml:space="preserve">Full Text: </w:t>
      </w:r>
      <w:hyperlink r:id="rId868" w:history="1">
        <w:r w:rsidRPr="00A53E12">
          <w:rPr>
            <w:rStyle w:val="a5"/>
          </w:rPr>
          <w:t>2005\Ind J Che Tec12, 296.pdf</w:t>
        </w:r>
      </w:hyperlink>
    </w:p>
    <w:p w:rsidR="00A53E12" w:rsidRDefault="00A53E12" w:rsidP="00A53E12">
      <w:pPr>
        <w:pStyle w:val="a0"/>
        <w:rPr>
          <w:kern w:val="0"/>
          <w:szCs w:val="24"/>
        </w:rPr>
      </w:pPr>
      <w:r>
        <w:rPr>
          <w:kern w:val="0"/>
          <w:szCs w:val="24"/>
        </w:rPr>
        <w:t>Abstract: The adsorption of 7-aminodeacetoxy cephalosporanic acid (7-ADCA) - cephalexin binary mixture in aqueous solution has been studied using polymeric resins of two different types as well as activated carbon. The adsorption intensity was found to be strongly dependent on the aqueous phase pH</w:t>
      </w:r>
      <w:r w:rsidR="00F81221">
        <w:rPr>
          <w:kern w:val="0"/>
          <w:szCs w:val="24"/>
        </w:rPr>
        <w:t xml:space="preserve"> and </w:t>
      </w:r>
      <w:r>
        <w:rPr>
          <w:kern w:val="0"/>
          <w:szCs w:val="24"/>
        </w:rPr>
        <w:t>this dependence could be interpreted from a model for neutral species adsorption in all cases. Single-solute isotherms for 7-ADCA</w:t>
      </w:r>
      <w:r w:rsidR="00F81221">
        <w:rPr>
          <w:kern w:val="0"/>
          <w:szCs w:val="24"/>
        </w:rPr>
        <w:t xml:space="preserve"> and </w:t>
      </w:r>
      <w:r>
        <w:rPr>
          <w:kern w:val="0"/>
          <w:szCs w:val="24"/>
        </w:rPr>
        <w:t>cephalexin were correlated with the Langmuir, Freundlich</w:t>
      </w:r>
      <w:r w:rsidR="00F81221">
        <w:rPr>
          <w:kern w:val="0"/>
          <w:szCs w:val="24"/>
        </w:rPr>
        <w:t xml:space="preserve"> and </w:t>
      </w:r>
      <w:r>
        <w:rPr>
          <w:kern w:val="0"/>
          <w:szCs w:val="24"/>
        </w:rPr>
        <w:t>Redlich-Peterson isotherm models, the Langmuir model being found to provide the best fit of the experimental data. The differences in adsorption affinities of the solute obtained for different adsorbents were interpreted from sorbent surface chemistry</w:t>
      </w:r>
      <w:r w:rsidR="00F81221">
        <w:rPr>
          <w:kern w:val="0"/>
          <w:szCs w:val="24"/>
        </w:rPr>
        <w:t xml:space="preserve"> and </w:t>
      </w:r>
      <w:r>
        <w:rPr>
          <w:kern w:val="0"/>
          <w:szCs w:val="24"/>
        </w:rPr>
        <w:t>morphological structure. Experimental binary-solute adsorption isotherms were compared with four different types of binary-solute Langmuir models using single-solute parameters. The results showed that the difference in saturation capacities affected the adsorption equilibrium. Furthermore, three types of binary-solute Langmuir models were converted into the kinetic form</w:t>
      </w:r>
      <w:r w:rsidR="00F81221">
        <w:rPr>
          <w:kern w:val="0"/>
          <w:szCs w:val="24"/>
        </w:rPr>
        <w:t xml:space="preserve"> and </w:t>
      </w:r>
      <w:r>
        <w:rPr>
          <w:kern w:val="0"/>
          <w:szCs w:val="24"/>
        </w:rPr>
        <w:t>one of them was used to calculate the association rate constants of 7-ADCA</w:t>
      </w:r>
      <w:r w:rsidR="00F81221">
        <w:rPr>
          <w:kern w:val="0"/>
          <w:szCs w:val="24"/>
        </w:rPr>
        <w:t xml:space="preserve"> and </w:t>
      </w:r>
      <w:r>
        <w:rPr>
          <w:kern w:val="0"/>
          <w:szCs w:val="24"/>
        </w:rPr>
        <w:t>cephalexin from experimental data. The adsorption rate curves for 7-ADCA</w:t>
      </w:r>
      <w:r w:rsidR="00F81221">
        <w:rPr>
          <w:kern w:val="0"/>
          <w:szCs w:val="24"/>
        </w:rPr>
        <w:t xml:space="preserve"> and </w:t>
      </w:r>
      <w:r>
        <w:rPr>
          <w:kern w:val="0"/>
          <w:szCs w:val="24"/>
        </w:rPr>
        <w:t>cephalexin appear to be typical of the first order kinetics.</w:t>
      </w:r>
    </w:p>
    <w:p w:rsidR="00A53E12" w:rsidRDefault="00A53E12" w:rsidP="00A53E12">
      <w:pPr>
        <w:pStyle w:val="a0"/>
        <w:rPr>
          <w:kern w:val="0"/>
          <w:szCs w:val="24"/>
        </w:rPr>
      </w:pPr>
      <w:r>
        <w:rPr>
          <w:kern w:val="0"/>
          <w:szCs w:val="24"/>
        </w:rPr>
        <w:t xml:space="preserve">Keywords: Activated Carbon, Adsorbents, Adsorption, Adsorption Equilibrium, Adsorption Isotherm, Adsorption Isotherms, Affinity-Chromatography, Amino-Acids, Beta-Lactam Antibiotics, Carbon, Cephalosporinic Acid, Equilibrium, First Order Kinetics, Freundlich, Isotherm, Isotherm Models, Isotherms, Kinetic, Kinetics, Langmuir, Langmuir Model, Liquid-Chromatography, Model, Models, Peptides, Performance, </w:t>
      </w:r>
      <w:r>
        <w:rPr>
          <w:rFonts w:hint="eastAsia"/>
          <w:kern w:val="0"/>
          <w:szCs w:val="24"/>
        </w:rPr>
        <w:t>p</w:t>
      </w:r>
      <w:r>
        <w:rPr>
          <w:kern w:val="0"/>
          <w:szCs w:val="24"/>
        </w:rPr>
        <w:t>H, Polymeric Resin, Polystyrene, Prediction, Semisynthetic Cephalosporins, Sorbent, Sorbents</w:t>
      </w:r>
    </w:p>
    <w:p w:rsidR="00292050" w:rsidRDefault="00292050" w:rsidP="00292050">
      <w:pPr>
        <w:pStyle w:val="a0"/>
        <w:rPr>
          <w:kern w:val="0"/>
          <w:szCs w:val="24"/>
        </w:rPr>
      </w:pPr>
      <w:r>
        <w:rPr>
          <w:rFonts w:hint="eastAsia"/>
          <w:kern w:val="0"/>
          <w:szCs w:val="24"/>
        </w:rPr>
        <w:t xml:space="preserve">? </w:t>
      </w:r>
      <w:r>
        <w:rPr>
          <w:kern w:val="0"/>
          <w:szCs w:val="24"/>
        </w:rPr>
        <w:t>Ramadevi, A.</w:t>
      </w:r>
      <w:r w:rsidR="00F81221">
        <w:rPr>
          <w:kern w:val="0"/>
          <w:szCs w:val="24"/>
        </w:rPr>
        <w:t xml:space="preserve"> and </w:t>
      </w:r>
      <w:r>
        <w:rPr>
          <w:kern w:val="0"/>
          <w:szCs w:val="24"/>
        </w:rPr>
        <w:t xml:space="preserve">Srinivasan, K. (2005), Agricultural solid waste for the removal of inorganics: Adsorption of mercury(II) from aqueous solution by Tamarind nut carbon. </w:t>
      </w:r>
      <w:r>
        <w:rPr>
          <w:i/>
          <w:iCs/>
          <w:kern w:val="0"/>
          <w:szCs w:val="24"/>
        </w:rPr>
        <w:t>Indian Journal of Chemical Technology</w:t>
      </w:r>
      <w:r>
        <w:rPr>
          <w:kern w:val="0"/>
          <w:szCs w:val="24"/>
        </w:rPr>
        <w:t xml:space="preserve">, </w:t>
      </w:r>
      <w:r>
        <w:rPr>
          <w:b/>
          <w:bCs/>
          <w:kern w:val="0"/>
          <w:szCs w:val="24"/>
        </w:rPr>
        <w:t>12</w:t>
      </w:r>
      <w:r>
        <w:rPr>
          <w:kern w:val="0"/>
          <w:szCs w:val="24"/>
        </w:rPr>
        <w:t xml:space="preserve"> (4), 407-412.</w:t>
      </w:r>
    </w:p>
    <w:p w:rsidR="00292050" w:rsidRPr="00A428C3" w:rsidRDefault="00292050" w:rsidP="00292050">
      <w:pPr>
        <w:pStyle w:val="a0"/>
      </w:pPr>
      <w:r>
        <w:rPr>
          <w:rFonts w:hint="eastAsia"/>
        </w:rPr>
        <w:lastRenderedPageBreak/>
        <w:t xml:space="preserve">Full Text: </w:t>
      </w:r>
      <w:hyperlink r:id="rId869" w:history="1">
        <w:r w:rsidRPr="00292050">
          <w:rPr>
            <w:rStyle w:val="a5"/>
          </w:rPr>
          <w:t>2005\Ind J Che Tec12, 407.pdf</w:t>
        </w:r>
      </w:hyperlink>
    </w:p>
    <w:p w:rsidR="00292050" w:rsidRDefault="00292050" w:rsidP="00292050">
      <w:pPr>
        <w:pStyle w:val="a0"/>
        <w:rPr>
          <w:kern w:val="0"/>
          <w:szCs w:val="24"/>
        </w:rPr>
      </w:pPr>
      <w:r>
        <w:rPr>
          <w:kern w:val="0"/>
          <w:szCs w:val="24"/>
        </w:rPr>
        <w:t>Abstract: The adsorption of Hg(II) on modified tamarind nut carbon (Bicarbonate treated tamarindnut carbon - BTNC) was investigated. to assess the possible use of this adsorbent for the processing of mercury removal from wastewater. The influence of various factors such as agitation time, pH</w:t>
      </w:r>
      <w:r w:rsidR="00F81221">
        <w:rPr>
          <w:kern w:val="0"/>
          <w:szCs w:val="24"/>
        </w:rPr>
        <w:t xml:space="preserve"> and </w:t>
      </w:r>
      <w:r>
        <w:rPr>
          <w:kern w:val="0"/>
          <w:szCs w:val="24"/>
        </w:rPr>
        <w:t>carbon dosage on the adsorption capacity has been studied. Adsorption isothermal data could be interpreted by Langmuir</w:t>
      </w:r>
      <w:r w:rsidR="00F81221">
        <w:rPr>
          <w:kern w:val="0"/>
          <w:szCs w:val="24"/>
        </w:rPr>
        <w:t xml:space="preserve"> and </w:t>
      </w:r>
      <w:r>
        <w:rPr>
          <w:kern w:val="0"/>
          <w:szCs w:val="24"/>
        </w:rPr>
        <w:t>Freundlich equations. In order to understand the reaction mechanism, kinetic data has been studied using reversible first order rate equation.</w:t>
      </w:r>
    </w:p>
    <w:p w:rsidR="00292050" w:rsidRDefault="00292050" w:rsidP="00292050">
      <w:pPr>
        <w:pStyle w:val="a0"/>
        <w:rPr>
          <w:kern w:val="0"/>
          <w:szCs w:val="24"/>
        </w:rPr>
      </w:pPr>
      <w:r>
        <w:rPr>
          <w:kern w:val="0"/>
          <w:szCs w:val="24"/>
        </w:rPr>
        <w:t>Keywords: Activated Carbon, Adsorption, Adsorption Capacity, Capacity, Carbon, First Order Kinetics, Freundlich, Hg(II), Kinetic, Langmuir, Langmuir</w:t>
      </w:r>
      <w:r w:rsidR="00F81221">
        <w:rPr>
          <w:kern w:val="0"/>
          <w:szCs w:val="24"/>
        </w:rPr>
        <w:t xml:space="preserve"> and </w:t>
      </w:r>
      <w:r>
        <w:rPr>
          <w:kern w:val="0"/>
          <w:szCs w:val="24"/>
        </w:rPr>
        <w:t xml:space="preserve">Freundlich Isotherm, Mercury(II), Mercury(II) Adsorption, </w:t>
      </w:r>
      <w:r>
        <w:rPr>
          <w:rFonts w:hint="eastAsia"/>
          <w:kern w:val="0"/>
          <w:szCs w:val="24"/>
        </w:rPr>
        <w:t>p</w:t>
      </w:r>
      <w:r>
        <w:rPr>
          <w:kern w:val="0"/>
          <w:szCs w:val="24"/>
        </w:rPr>
        <w:t>H, Reaction Mechanism, Removal, Sorption, Tamarind Nut Carbon, Wastewater</w:t>
      </w:r>
    </w:p>
    <w:p w:rsidR="00A53E12" w:rsidRDefault="00A53E12" w:rsidP="00A53E12">
      <w:pPr>
        <w:pStyle w:val="a0"/>
        <w:rPr>
          <w:kern w:val="0"/>
          <w:szCs w:val="24"/>
        </w:rPr>
      </w:pPr>
      <w:r>
        <w:rPr>
          <w:rFonts w:hint="eastAsia"/>
          <w:kern w:val="0"/>
          <w:szCs w:val="24"/>
        </w:rPr>
        <w:t xml:space="preserve">? </w:t>
      </w:r>
      <w:r>
        <w:rPr>
          <w:kern w:val="0"/>
          <w:szCs w:val="24"/>
        </w:rPr>
        <w:t>Singh, B.K., Kumar, D.N.</w:t>
      </w:r>
      <w:r w:rsidR="00F81221">
        <w:rPr>
          <w:kern w:val="0"/>
          <w:szCs w:val="24"/>
        </w:rPr>
        <w:t xml:space="preserve"> and </w:t>
      </w:r>
      <w:r>
        <w:rPr>
          <w:kern w:val="0"/>
          <w:szCs w:val="24"/>
        </w:rPr>
        <w:t>Garg, B.S. (2005), Solid phase extraction of lead using modified cellulose in natural, wastewater</w:t>
      </w:r>
      <w:r w:rsidR="00F81221">
        <w:rPr>
          <w:kern w:val="0"/>
          <w:szCs w:val="24"/>
        </w:rPr>
        <w:t xml:space="preserve"> and </w:t>
      </w:r>
      <w:r>
        <w:rPr>
          <w:kern w:val="0"/>
          <w:szCs w:val="24"/>
        </w:rPr>
        <w:t xml:space="preserve">egg samples. </w:t>
      </w:r>
      <w:r>
        <w:rPr>
          <w:i/>
          <w:iCs/>
          <w:kern w:val="0"/>
          <w:szCs w:val="24"/>
        </w:rPr>
        <w:t>Indian Journal of Chemical Technology</w:t>
      </w:r>
      <w:r>
        <w:rPr>
          <w:kern w:val="0"/>
          <w:szCs w:val="24"/>
        </w:rPr>
        <w:t xml:space="preserve">, </w:t>
      </w:r>
      <w:r>
        <w:rPr>
          <w:b/>
          <w:bCs/>
          <w:kern w:val="0"/>
          <w:szCs w:val="24"/>
        </w:rPr>
        <w:t>12</w:t>
      </w:r>
      <w:r>
        <w:rPr>
          <w:kern w:val="0"/>
          <w:szCs w:val="24"/>
        </w:rPr>
        <w:t xml:space="preserve"> (4), 413-418.</w:t>
      </w:r>
    </w:p>
    <w:p w:rsidR="00A53E12" w:rsidRPr="00A428C3" w:rsidRDefault="00A53E12" w:rsidP="00A53E12">
      <w:pPr>
        <w:pStyle w:val="a0"/>
      </w:pPr>
      <w:r>
        <w:rPr>
          <w:rFonts w:hint="eastAsia"/>
        </w:rPr>
        <w:t xml:space="preserve">Full Text: </w:t>
      </w:r>
      <w:hyperlink r:id="rId870" w:history="1">
        <w:r w:rsidRPr="00A53E12">
          <w:rPr>
            <w:rStyle w:val="a5"/>
          </w:rPr>
          <w:t>2005\Ind J Che Tec12, 413.pdf</w:t>
        </w:r>
      </w:hyperlink>
    </w:p>
    <w:p w:rsidR="00A53E12" w:rsidRDefault="00A53E12" w:rsidP="00A53E12">
      <w:pPr>
        <w:pStyle w:val="a0"/>
        <w:rPr>
          <w:kern w:val="0"/>
          <w:szCs w:val="24"/>
        </w:rPr>
      </w:pPr>
      <w:r>
        <w:rPr>
          <w:kern w:val="0"/>
          <w:szCs w:val="24"/>
        </w:rPr>
        <w:t>Abstract: 2-Pyridyliminosalicylcellulose has been used for the sorption</w:t>
      </w:r>
      <w:r w:rsidR="00F81221">
        <w:rPr>
          <w:kern w:val="0"/>
          <w:szCs w:val="24"/>
        </w:rPr>
        <w:t xml:space="preserve"> and </w:t>
      </w:r>
      <w:r>
        <w:rPr>
          <w:kern w:val="0"/>
          <w:szCs w:val="24"/>
        </w:rPr>
        <w:t>estimation of lead(II) by column</w:t>
      </w:r>
      <w:r w:rsidR="00F81221">
        <w:rPr>
          <w:kern w:val="0"/>
          <w:szCs w:val="24"/>
        </w:rPr>
        <w:t xml:space="preserve"> and </w:t>
      </w:r>
      <w:r>
        <w:rPr>
          <w:kern w:val="0"/>
          <w:szCs w:val="24"/>
        </w:rPr>
        <w:t>batch techniques. The distribution coefficient (D) was found to be 4.3x10(2) for the lead ion. The detection limit was found to be 3.82 ng mL(-1)</w:t>
      </w:r>
      <w:r w:rsidR="00F81221">
        <w:rPr>
          <w:kern w:val="0"/>
          <w:szCs w:val="24"/>
        </w:rPr>
        <w:t xml:space="preserve"> and </w:t>
      </w:r>
      <w:r>
        <w:rPr>
          <w:kern w:val="0"/>
          <w:szCs w:val="24"/>
        </w:rPr>
        <w:t>the breakthrough volume was 20 mL. The present matrix coupled with FAAS has been used to enrich</w:t>
      </w:r>
      <w:r w:rsidR="00F81221">
        <w:rPr>
          <w:kern w:val="0"/>
          <w:szCs w:val="24"/>
        </w:rPr>
        <w:t xml:space="preserve"> and </w:t>
      </w:r>
      <w:r>
        <w:rPr>
          <w:kern w:val="0"/>
          <w:szCs w:val="24"/>
        </w:rPr>
        <w:t>determine the lead ions in natural</w:t>
      </w:r>
      <w:r w:rsidR="00F81221">
        <w:rPr>
          <w:kern w:val="0"/>
          <w:szCs w:val="24"/>
        </w:rPr>
        <w:t xml:space="preserve"> and </w:t>
      </w:r>
      <w:r>
        <w:rPr>
          <w:kern w:val="0"/>
          <w:szCs w:val="24"/>
        </w:rPr>
        <w:t>wastewater (RSD similar to 2.52-3.50%)</w:t>
      </w:r>
      <w:r w:rsidR="00F81221">
        <w:rPr>
          <w:kern w:val="0"/>
          <w:szCs w:val="24"/>
        </w:rPr>
        <w:t xml:space="preserve"> and </w:t>
      </w:r>
      <w:r>
        <w:rPr>
          <w:kern w:val="0"/>
          <w:szCs w:val="24"/>
        </w:rPr>
        <w:t>egg samples (RSD similar to 2.73%). The method is simple, rapid</w:t>
      </w:r>
      <w:r w:rsidR="00F81221">
        <w:rPr>
          <w:kern w:val="0"/>
          <w:szCs w:val="24"/>
        </w:rPr>
        <w:t xml:space="preserve"> and </w:t>
      </w:r>
      <w:r>
        <w:rPr>
          <w:kern w:val="0"/>
          <w:szCs w:val="24"/>
        </w:rPr>
        <w:t>relatively free from interference</w:t>
      </w:r>
      <w:r w:rsidR="00F81221">
        <w:rPr>
          <w:kern w:val="0"/>
          <w:szCs w:val="24"/>
        </w:rPr>
        <w:t xml:space="preserve"> and </w:t>
      </w:r>
      <w:r>
        <w:rPr>
          <w:kern w:val="0"/>
          <w:szCs w:val="24"/>
        </w:rPr>
        <w:t>satisfactorily applied foe the estimation of lead (similar to 98% recovery) in natural, wastewater</w:t>
      </w:r>
      <w:r w:rsidR="00F81221">
        <w:rPr>
          <w:kern w:val="0"/>
          <w:szCs w:val="24"/>
        </w:rPr>
        <w:t xml:space="preserve"> and </w:t>
      </w:r>
      <w:r>
        <w:rPr>
          <w:kern w:val="0"/>
          <w:szCs w:val="24"/>
        </w:rPr>
        <w:t>egg samples.</w:t>
      </w:r>
    </w:p>
    <w:p w:rsidR="00A53E12" w:rsidRDefault="00A53E12" w:rsidP="00A53E12">
      <w:pPr>
        <w:pStyle w:val="a0"/>
        <w:rPr>
          <w:kern w:val="0"/>
          <w:szCs w:val="24"/>
        </w:rPr>
      </w:pPr>
      <w:r>
        <w:rPr>
          <w:kern w:val="0"/>
          <w:szCs w:val="24"/>
        </w:rPr>
        <w:t>Keywords: 2-Pyridyliminosalicylcellulose, Acid, Amberlite XAD-2, Atomic-Absorption-Spectrometry, Batch, Breakthrough, Enrichment, Extraction, Faas, Lead, Lead(II), Macromolecular Chelator, Metal-Ions, Preconcentration, Preconcentration, Separation, Silica-Gel, Solid Phase Extraction, Sorption, Wastewater</w:t>
      </w:r>
    </w:p>
    <w:p w:rsidR="00B95188" w:rsidRPr="00A428C3" w:rsidRDefault="00B95188" w:rsidP="00B95188">
      <w:pPr>
        <w:pStyle w:val="a0"/>
      </w:pPr>
      <w:r w:rsidRPr="00A428C3">
        <w:t>? Prajapati, K., Sidhpuria, K., Mahajan, D.</w:t>
      </w:r>
      <w:r w:rsidR="00F81221">
        <w:t xml:space="preserve"> and </w:t>
      </w:r>
      <w:r w:rsidRPr="00A428C3">
        <w:t>Chakraborty, M. (2005), Studies on equilibrium</w:t>
      </w:r>
      <w:r w:rsidR="00F81221">
        <w:t xml:space="preserve"> and </w:t>
      </w:r>
      <w:r w:rsidRPr="00A428C3">
        <w:t xml:space="preserve">kinetics of ACRY red </w:t>
      </w:r>
      <w:smartTag w:uri="urn:schemas-microsoft-com:office:smarttags" w:element="chmetcnv">
        <w:smartTagPr>
          <w:attr w:name="TCSC" w:val="0"/>
          <w:attr w:name="NumberType" w:val="1"/>
          <w:attr w:name="Negative" w:val="False"/>
          <w:attr w:name="HasSpace" w:val="False"/>
          <w:attr w:name="SourceValue" w:val="4"/>
          <w:attr w:name="UnitName" w:val="g"/>
        </w:smartTagPr>
        <w:r w:rsidRPr="00A428C3">
          <w:t>4G</w:t>
        </w:r>
      </w:smartTag>
      <w:r w:rsidRPr="00A428C3">
        <w:t xml:space="preserve"> removal from aqueous solutions using low cost adsorbents. </w:t>
      </w:r>
      <w:r w:rsidRPr="00A428C3">
        <w:rPr>
          <w:i/>
          <w:iCs/>
        </w:rPr>
        <w:t>Indian Journal of Chemical Technology</w:t>
      </w:r>
      <w:r w:rsidRPr="00A428C3">
        <w:t xml:space="preserve">, </w:t>
      </w:r>
      <w:r w:rsidRPr="00A428C3">
        <w:rPr>
          <w:b/>
        </w:rPr>
        <w:t>12</w:t>
      </w:r>
      <w:r w:rsidRPr="00A428C3">
        <w:t xml:space="preserve"> (4), 425-429.</w:t>
      </w:r>
    </w:p>
    <w:p w:rsidR="00BD155A" w:rsidRPr="00A428C3" w:rsidRDefault="00BD155A" w:rsidP="00BD155A">
      <w:pPr>
        <w:pStyle w:val="a0"/>
      </w:pPr>
      <w:r>
        <w:rPr>
          <w:rFonts w:hint="eastAsia"/>
        </w:rPr>
        <w:t xml:space="preserve">Full Text: </w:t>
      </w:r>
      <w:hyperlink r:id="rId871" w:history="1">
        <w:r w:rsidRPr="00BD155A">
          <w:rPr>
            <w:rStyle w:val="a5"/>
          </w:rPr>
          <w:t>2005\Ind J Che Tec12, 425.pdf</w:t>
        </w:r>
      </w:hyperlink>
    </w:p>
    <w:p w:rsidR="00B95188" w:rsidRPr="00A428C3" w:rsidRDefault="00B95188" w:rsidP="00B95188">
      <w:pPr>
        <w:pStyle w:val="a0"/>
      </w:pPr>
      <w:r w:rsidRPr="00A428C3">
        <w:t>Abstract: Applications of low cost adsorbents have been investigated as a replacement for the current expensive methods of reducing COD</w:t>
      </w:r>
      <w:r w:rsidR="00F81221">
        <w:t xml:space="preserve"> and </w:t>
      </w:r>
      <w:r w:rsidRPr="00A428C3">
        <w:t>colours from dyes/intermediate industrial wastewaters. Presently, PAC (powdered activated charcoal) is widely used in the industries. However, it is costly. Hence, other options have been explored which are low in cost. Effective adsorbents have been developed from bagasse fly ash, thermal fly ash, rice husk, jute thread</w:t>
      </w:r>
      <w:r w:rsidR="00F81221">
        <w:t xml:space="preserve"> and </w:t>
      </w:r>
      <w:r w:rsidRPr="00A428C3">
        <w:t>sawdust</w:t>
      </w:r>
      <w:r w:rsidR="00F81221">
        <w:t xml:space="preserve"> and </w:t>
      </w:r>
      <w:r w:rsidRPr="00A428C3">
        <w:lastRenderedPageBreak/>
        <w:t xml:space="preserve">successfully employed for the removal of dye, ACRY red </w:t>
      </w:r>
      <w:smartTag w:uri="urn:schemas-microsoft-com:office:smarttags" w:element="chmetcnv">
        <w:smartTagPr>
          <w:attr w:name="TCSC" w:val="0"/>
          <w:attr w:name="NumberType" w:val="1"/>
          <w:attr w:name="Negative" w:val="False"/>
          <w:attr w:name="HasSpace" w:val="False"/>
          <w:attr w:name="SourceValue" w:val="4"/>
          <w:attr w:name="UnitName" w:val="g"/>
        </w:smartTagPr>
        <w:r w:rsidRPr="00A428C3">
          <w:t>4G</w:t>
        </w:r>
      </w:smartTag>
      <w:r w:rsidRPr="00A428C3">
        <w:t xml:space="preserve"> from aqueous solutions. Factors influencing the adsorption process, e.g., pH, contact time, adsorbent doses</w:t>
      </w:r>
      <w:r w:rsidR="00F81221">
        <w:t xml:space="preserve"> and </w:t>
      </w:r>
      <w:r w:rsidRPr="00A428C3">
        <w:t xml:space="preserve">adsorbent particle size are investigated. The experimental data fits well to the second-order kinetic model, which indicates that the chemical sorption is the rate-limiting step. A continuous method for removal of ACRY red </w:t>
      </w:r>
      <w:smartTag w:uri="urn:schemas-microsoft-com:office:smarttags" w:element="chmetcnv">
        <w:smartTagPr>
          <w:attr w:name="TCSC" w:val="0"/>
          <w:attr w:name="NumberType" w:val="1"/>
          <w:attr w:name="Negative" w:val="False"/>
          <w:attr w:name="HasSpace" w:val="False"/>
          <w:attr w:name="SourceValue" w:val="4"/>
          <w:attr w:name="UnitName" w:val="g"/>
        </w:smartTagPr>
        <w:r w:rsidRPr="00A428C3">
          <w:t>4G</w:t>
        </w:r>
      </w:smartTag>
      <w:r w:rsidRPr="00A428C3">
        <w:t xml:space="preserve"> from industrial wastewater without prior treatment using all solid adsorbents such as bagasse fly ash, thermal fly ash, rice husk, jute thread</w:t>
      </w:r>
      <w:r w:rsidR="00F81221">
        <w:t xml:space="preserve"> and </w:t>
      </w:r>
      <w:r w:rsidRPr="00A428C3">
        <w:t xml:space="preserve">sawdust has also been proposed. An important. aspect of the proposed method is that the removal is performed at a pH range in which the dye ACRY red </w:t>
      </w:r>
      <w:smartTag w:uri="urn:schemas-microsoft-com:office:smarttags" w:element="chmetcnv">
        <w:smartTagPr>
          <w:attr w:name="TCSC" w:val="0"/>
          <w:attr w:name="NumberType" w:val="1"/>
          <w:attr w:name="Negative" w:val="False"/>
          <w:attr w:name="HasSpace" w:val="False"/>
          <w:attr w:name="SourceValue" w:val="4"/>
          <w:attr w:name="UnitName" w:val="g"/>
        </w:smartTagPr>
        <w:r w:rsidRPr="00A428C3">
          <w:t>4G</w:t>
        </w:r>
      </w:smartTag>
      <w:r w:rsidRPr="00A428C3">
        <w:t xml:space="preserve"> undergo an adsorption process, making the method useful for wastewater treatment.</w:t>
      </w:r>
    </w:p>
    <w:p w:rsidR="00B95188" w:rsidRPr="00A428C3" w:rsidRDefault="00B95188" w:rsidP="00B95188">
      <w:pPr>
        <w:pStyle w:val="a0"/>
      </w:pPr>
      <w:r w:rsidRPr="00A428C3">
        <w:t xml:space="preserve">Keywords: Adsorption, Acry Red </w:t>
      </w:r>
      <w:smartTag w:uri="urn:schemas-microsoft-com:office:smarttags" w:element="chmetcnv">
        <w:smartTagPr>
          <w:attr w:name="TCSC" w:val="0"/>
          <w:attr w:name="NumberType" w:val="1"/>
          <w:attr w:name="Negative" w:val="False"/>
          <w:attr w:name="HasSpace" w:val="False"/>
          <w:attr w:name="SourceValue" w:val="4"/>
          <w:attr w:name="UnitName" w:val="g"/>
        </w:smartTagPr>
        <w:r w:rsidRPr="00A428C3">
          <w:t>4G</w:t>
        </w:r>
      </w:smartTag>
      <w:r w:rsidRPr="00A428C3">
        <w:t>, Fly Ash, Dye Removal, Sawdust, Jute Tread, Rice Husk, Basic-Dyes, Adsorption, Color</w:t>
      </w:r>
    </w:p>
    <w:p w:rsidR="00B95188" w:rsidRPr="00A428C3" w:rsidRDefault="00B95188" w:rsidP="00B95188">
      <w:pPr>
        <w:pStyle w:val="a0"/>
      </w:pPr>
      <w:r w:rsidRPr="00A428C3">
        <w:t>? Namasivayam, C.</w:t>
      </w:r>
      <w:r w:rsidR="00F81221">
        <w:t xml:space="preserve"> and </w:t>
      </w:r>
      <w:r w:rsidRPr="00A428C3">
        <w:t>Sangeetha, D. (2005), Removal</w:t>
      </w:r>
      <w:r w:rsidR="00F81221">
        <w:t xml:space="preserve"> and </w:t>
      </w:r>
      <w:r w:rsidRPr="00A428C3">
        <w:t>recovery of nitrate from water by ZnCl</w:t>
      </w:r>
      <w:r w:rsidRPr="00A428C3">
        <w:rPr>
          <w:vertAlign w:val="subscript"/>
        </w:rPr>
        <w:t>2</w:t>
      </w:r>
      <w:r w:rsidRPr="00A428C3">
        <w:t xml:space="preserve"> activated carbon from coconut coir pith, an agricultural solid waste. </w:t>
      </w:r>
      <w:r w:rsidRPr="00A428C3">
        <w:rPr>
          <w:i/>
          <w:iCs/>
        </w:rPr>
        <w:t>Indian Journal of Chemical Technology</w:t>
      </w:r>
      <w:r w:rsidRPr="00A428C3">
        <w:t xml:space="preserve">, </w:t>
      </w:r>
      <w:r w:rsidRPr="00A428C3">
        <w:rPr>
          <w:b/>
        </w:rPr>
        <w:t>12</w:t>
      </w:r>
      <w:r w:rsidRPr="00A428C3">
        <w:t xml:space="preserve"> (5), 513-521.</w:t>
      </w:r>
    </w:p>
    <w:p w:rsidR="00BD155A" w:rsidRPr="00A428C3" w:rsidRDefault="00BD155A" w:rsidP="00BD155A">
      <w:pPr>
        <w:pStyle w:val="a0"/>
      </w:pPr>
      <w:r>
        <w:rPr>
          <w:rFonts w:hint="eastAsia"/>
        </w:rPr>
        <w:t xml:space="preserve">Full Text: </w:t>
      </w:r>
      <w:hyperlink r:id="rId872" w:history="1">
        <w:r w:rsidRPr="00BD155A">
          <w:rPr>
            <w:rStyle w:val="a5"/>
          </w:rPr>
          <w:t>2005\Ind J Che Tec12, 513.pdf</w:t>
        </w:r>
      </w:hyperlink>
    </w:p>
    <w:p w:rsidR="00B95188" w:rsidRPr="00A428C3" w:rsidRDefault="00B95188" w:rsidP="00B95188">
      <w:pPr>
        <w:pStyle w:val="a0"/>
      </w:pPr>
      <w:r w:rsidRPr="00A428C3">
        <w:t>Abstract: Nitrate removal from aqueous solution was investigated using ZnCl</w:t>
      </w:r>
      <w:r w:rsidRPr="00A428C3">
        <w:rPr>
          <w:vertAlign w:val="subscript"/>
        </w:rPr>
        <w:t>2</w:t>
      </w:r>
      <w:r w:rsidRPr="00A428C3">
        <w:t xml:space="preserve"> activated carbon developed from coir pith. Influence. of contact time, adsorbent dose, nitrate concentration, pH</w:t>
      </w:r>
      <w:r w:rsidR="00F81221">
        <w:t xml:space="preserve"> and </w:t>
      </w:r>
      <w:r w:rsidRPr="00A428C3">
        <w:t>temperature were investigated. Two theoretical adsorption isotherms namely Langmuir</w:t>
      </w:r>
      <w:r w:rsidR="00F81221">
        <w:t xml:space="preserve"> and </w:t>
      </w:r>
      <w:r w:rsidRPr="00A428C3">
        <w:t>Freundlich were used to describe the experimental results. The Langmuir adsorption capacity (Q(0)) was found to be 10.3 mg nitrate per g of the adsorbent. Adsorption followed second order kinetics. Adsorption was maximum in the pH range 3-10. pH effect</w:t>
      </w:r>
      <w:r w:rsidR="00F81221">
        <w:t xml:space="preserve"> and </w:t>
      </w:r>
      <w:r w:rsidRPr="00A428C3">
        <w:t>desorption studies showed that ion exchange mechanism might be involved in the adsorption process. Effects of foreign ions such as chloride, sulphate, phosphate</w:t>
      </w:r>
      <w:r w:rsidR="00F81221">
        <w:t xml:space="preserve"> and </w:t>
      </w:r>
      <w:r w:rsidRPr="00A428C3">
        <w:t>perchlorate on the removal of nitrate have also been investigated. Removal of nitrate from ground water was also tested. Results show that ZnCl</w:t>
      </w:r>
      <w:r w:rsidRPr="00A428C3">
        <w:rPr>
          <w:vertAlign w:val="subscript"/>
        </w:rPr>
        <w:t>2</w:t>
      </w:r>
      <w:r w:rsidRPr="00A428C3">
        <w:t xml:space="preserve"> activated coir pith carbon is effective for the removal of nitrate from water.</w:t>
      </w:r>
    </w:p>
    <w:p w:rsidR="00B95188" w:rsidRPr="00A428C3" w:rsidRDefault="00B95188" w:rsidP="00B95188">
      <w:pPr>
        <w:pStyle w:val="a0"/>
      </w:pPr>
      <w:r w:rsidRPr="00A428C3">
        <w:t>Keywords: Coir Pith; ZnCl</w:t>
      </w:r>
      <w:r w:rsidRPr="00A428C3">
        <w:rPr>
          <w:vertAlign w:val="subscript"/>
        </w:rPr>
        <w:t>2</w:t>
      </w:r>
      <w:r w:rsidRPr="00A428C3">
        <w:t xml:space="preserve"> Activated Carbon, Nitrate, Adsorption Isotherms, Adsorption, Equilibrium, Electrodialysis, Wastewaters, Phosphate, Kinetics, Sorption</w:t>
      </w:r>
    </w:p>
    <w:p w:rsidR="00292050" w:rsidRDefault="00292050" w:rsidP="00292050">
      <w:pPr>
        <w:pStyle w:val="a0"/>
        <w:rPr>
          <w:kern w:val="0"/>
          <w:szCs w:val="24"/>
        </w:rPr>
      </w:pPr>
      <w:r>
        <w:rPr>
          <w:rFonts w:hint="eastAsia"/>
          <w:kern w:val="0"/>
          <w:szCs w:val="24"/>
        </w:rPr>
        <w:t xml:space="preserve">? </w:t>
      </w:r>
      <w:r>
        <w:rPr>
          <w:kern w:val="0"/>
          <w:szCs w:val="24"/>
        </w:rPr>
        <w:t>Kannan, N.</w:t>
      </w:r>
      <w:r w:rsidR="00F81221">
        <w:rPr>
          <w:kern w:val="0"/>
          <w:szCs w:val="24"/>
        </w:rPr>
        <w:t xml:space="preserve"> and </w:t>
      </w:r>
      <w:r>
        <w:rPr>
          <w:kern w:val="0"/>
          <w:szCs w:val="24"/>
        </w:rPr>
        <w:t>Malar, S.J.S. (2005), Removal of mercury(II) ions by adsorption onto dates nut</w:t>
      </w:r>
      <w:r w:rsidR="00F81221">
        <w:rPr>
          <w:kern w:val="0"/>
          <w:szCs w:val="24"/>
        </w:rPr>
        <w:t xml:space="preserve"> and </w:t>
      </w:r>
      <w:r>
        <w:rPr>
          <w:kern w:val="0"/>
          <w:szCs w:val="24"/>
        </w:rPr>
        <w:t xml:space="preserve">commercial activated carbons: A comparative study. </w:t>
      </w:r>
      <w:r>
        <w:rPr>
          <w:i/>
          <w:iCs/>
          <w:kern w:val="0"/>
          <w:szCs w:val="24"/>
        </w:rPr>
        <w:t>Indian Journal of Chemical Technology</w:t>
      </w:r>
      <w:r>
        <w:rPr>
          <w:kern w:val="0"/>
          <w:szCs w:val="24"/>
        </w:rPr>
        <w:t xml:space="preserve">, </w:t>
      </w:r>
      <w:r>
        <w:rPr>
          <w:b/>
          <w:bCs/>
          <w:kern w:val="0"/>
          <w:szCs w:val="24"/>
        </w:rPr>
        <w:t>12</w:t>
      </w:r>
      <w:r>
        <w:rPr>
          <w:kern w:val="0"/>
          <w:szCs w:val="24"/>
        </w:rPr>
        <w:t xml:space="preserve"> (5), 522-527.</w:t>
      </w:r>
    </w:p>
    <w:p w:rsidR="00292050" w:rsidRPr="00A428C3" w:rsidRDefault="00292050" w:rsidP="00292050">
      <w:pPr>
        <w:pStyle w:val="a0"/>
      </w:pPr>
      <w:r>
        <w:rPr>
          <w:rFonts w:hint="eastAsia"/>
        </w:rPr>
        <w:t xml:space="preserve">Full Text: </w:t>
      </w:r>
      <w:hyperlink r:id="rId873" w:history="1">
        <w:r w:rsidRPr="00292050">
          <w:rPr>
            <w:rStyle w:val="a5"/>
          </w:rPr>
          <w:t>2005\Ind J Che Tec12, 522.pdf</w:t>
        </w:r>
      </w:hyperlink>
    </w:p>
    <w:p w:rsidR="00292050" w:rsidRDefault="00292050" w:rsidP="00292050">
      <w:pPr>
        <w:pStyle w:val="a0"/>
        <w:rPr>
          <w:kern w:val="0"/>
          <w:szCs w:val="24"/>
        </w:rPr>
      </w:pPr>
      <w:r>
        <w:rPr>
          <w:kern w:val="0"/>
          <w:szCs w:val="24"/>
        </w:rPr>
        <w:t>Abstract: Studies on the removal of mercury(II) ions by adsorption onto indigenously prepared dates nut (DC)</w:t>
      </w:r>
      <w:r w:rsidR="00F81221">
        <w:rPr>
          <w:kern w:val="0"/>
          <w:szCs w:val="24"/>
        </w:rPr>
        <w:t xml:space="preserve"> and </w:t>
      </w:r>
      <w:r>
        <w:rPr>
          <w:kern w:val="0"/>
          <w:szCs w:val="24"/>
        </w:rPr>
        <w:t>commercial activated carbons (CAC) have been carried out with an aim to obtain data for treating effluents from metal processing</w:t>
      </w:r>
      <w:r w:rsidR="00F81221">
        <w:rPr>
          <w:kern w:val="0"/>
          <w:szCs w:val="24"/>
        </w:rPr>
        <w:t xml:space="preserve"> and </w:t>
      </w:r>
      <w:r>
        <w:rPr>
          <w:kern w:val="0"/>
          <w:szCs w:val="24"/>
        </w:rPr>
        <w:t xml:space="preserve">chloralkali industries. The effect of various process parameters has been investigated </w:t>
      </w:r>
      <w:r>
        <w:rPr>
          <w:kern w:val="0"/>
          <w:szCs w:val="24"/>
        </w:rPr>
        <w:lastRenderedPageBreak/>
        <w:t>by following the batch adsorption technique at 30</w:t>
      </w:r>
      <w:r>
        <w:rPr>
          <w:kern w:val="0"/>
          <w:szCs w:val="24"/>
        </w:rPr>
        <w:sym w:font="Symbol" w:char="F0B1"/>
      </w:r>
      <w:r>
        <w:rPr>
          <w:kern w:val="0"/>
          <w:szCs w:val="24"/>
        </w:rPr>
        <w:t>1°C. The percentage removal of mercury(II) ions increased with the decrease in initial concentration</w:t>
      </w:r>
      <w:r w:rsidR="00F81221">
        <w:rPr>
          <w:kern w:val="0"/>
          <w:szCs w:val="24"/>
        </w:rPr>
        <w:t xml:space="preserve"> and </w:t>
      </w:r>
      <w:r>
        <w:rPr>
          <w:kern w:val="0"/>
          <w:szCs w:val="24"/>
        </w:rPr>
        <w:t>increase in contact time</w:t>
      </w:r>
      <w:r w:rsidR="00F81221">
        <w:rPr>
          <w:kern w:val="0"/>
          <w:szCs w:val="24"/>
        </w:rPr>
        <w:t xml:space="preserve"> and </w:t>
      </w:r>
      <w:r>
        <w:rPr>
          <w:kern w:val="0"/>
          <w:szCs w:val="24"/>
        </w:rPr>
        <w:t>dose of adsorbent. As initial pH of the slurry increased, the percentage removal increased</w:t>
      </w:r>
      <w:r w:rsidR="00F81221">
        <w:rPr>
          <w:kern w:val="0"/>
          <w:szCs w:val="24"/>
        </w:rPr>
        <w:t xml:space="preserve"> and </w:t>
      </w:r>
      <w:r>
        <w:rPr>
          <w:kern w:val="0"/>
          <w:szCs w:val="24"/>
        </w:rPr>
        <w:t>reached a maximum value. The process parameters were optimised. Adsorption data were modeled with the Freundlich</w:t>
      </w:r>
      <w:r w:rsidR="00F81221">
        <w:rPr>
          <w:kern w:val="0"/>
          <w:szCs w:val="24"/>
        </w:rPr>
        <w:t xml:space="preserve"> and </w:t>
      </w:r>
      <w:r>
        <w:rPr>
          <w:kern w:val="0"/>
          <w:szCs w:val="24"/>
        </w:rPr>
        <w:t>Langmuir isotherms, the first order kinetic equations proposed by Lagergren</w:t>
      </w:r>
      <w:r w:rsidR="00F81221">
        <w:rPr>
          <w:kern w:val="0"/>
          <w:szCs w:val="24"/>
        </w:rPr>
        <w:t xml:space="preserve"> and </w:t>
      </w:r>
      <w:r>
        <w:rPr>
          <w:kern w:val="0"/>
          <w:szCs w:val="24"/>
        </w:rPr>
        <w:t>Bhatacharya</w:t>
      </w:r>
      <w:r w:rsidR="00F81221">
        <w:rPr>
          <w:kern w:val="0"/>
          <w:szCs w:val="24"/>
        </w:rPr>
        <w:t xml:space="preserve"> and </w:t>
      </w:r>
      <w:r>
        <w:rPr>
          <w:kern w:val="0"/>
          <w:szCs w:val="24"/>
        </w:rPr>
        <w:t>Venkobachar</w:t>
      </w:r>
      <w:r w:rsidR="00F81221">
        <w:rPr>
          <w:kern w:val="0"/>
          <w:szCs w:val="24"/>
        </w:rPr>
        <w:t xml:space="preserve"> and </w:t>
      </w:r>
      <w:r>
        <w:rPr>
          <w:kern w:val="0"/>
          <w:szCs w:val="24"/>
        </w:rPr>
        <w:t>Weber-Morri</w:t>
      </w:r>
      <w:r w:rsidR="000352E7">
        <w:rPr>
          <w:kern w:val="0"/>
          <w:szCs w:val="24"/>
        </w:rPr>
        <w:t>’</w:t>
      </w:r>
      <w:r>
        <w:rPr>
          <w:kern w:val="0"/>
          <w:szCs w:val="24"/>
        </w:rPr>
        <w:t>s intra-particle diffusion model</w:t>
      </w:r>
      <w:r w:rsidR="00F81221">
        <w:rPr>
          <w:kern w:val="0"/>
          <w:szCs w:val="24"/>
        </w:rPr>
        <w:t xml:space="preserve"> and </w:t>
      </w:r>
      <w:r>
        <w:rPr>
          <w:kern w:val="0"/>
          <w:szCs w:val="24"/>
        </w:rPr>
        <w:t>the equations models were found to be applicable. The kinetics of adsorption is observed to be first order with intra-particle diffusion as one of the rate determining steps. Removal of mercury(II) ions by DC</w:t>
      </w:r>
      <w:r w:rsidR="00F81221">
        <w:rPr>
          <w:kern w:val="0"/>
          <w:szCs w:val="24"/>
        </w:rPr>
        <w:t xml:space="preserve"> and </w:t>
      </w:r>
      <w:r>
        <w:rPr>
          <w:kern w:val="0"/>
          <w:szCs w:val="24"/>
        </w:rPr>
        <w:t>CAC is found to be favourable</w:t>
      </w:r>
      <w:r w:rsidR="00F81221">
        <w:rPr>
          <w:kern w:val="0"/>
          <w:szCs w:val="24"/>
        </w:rPr>
        <w:t xml:space="preserve"> and </w:t>
      </w:r>
      <w:r>
        <w:rPr>
          <w:kern w:val="0"/>
          <w:szCs w:val="24"/>
        </w:rPr>
        <w:t>hence DC could be employed as an alternative low-cost adsorbent for effluent treatment, especially for the removal of mercury(II)</w:t>
      </w:r>
      <w:r w:rsidR="00F81221">
        <w:rPr>
          <w:kern w:val="0"/>
          <w:szCs w:val="24"/>
        </w:rPr>
        <w:t xml:space="preserve"> and </w:t>
      </w:r>
      <w:r>
        <w:rPr>
          <w:kern w:val="0"/>
          <w:szCs w:val="24"/>
        </w:rPr>
        <w:t>other metal ions.</w:t>
      </w:r>
    </w:p>
    <w:p w:rsidR="00292050" w:rsidRDefault="00292050" w:rsidP="00292050">
      <w:pPr>
        <w:pStyle w:val="a0"/>
        <w:rPr>
          <w:kern w:val="0"/>
          <w:szCs w:val="24"/>
        </w:rPr>
      </w:pPr>
      <w:r>
        <w:rPr>
          <w:kern w:val="0"/>
          <w:szCs w:val="24"/>
        </w:rPr>
        <w:t xml:space="preserve">Keywords: Activated Carbon, Adsorbents, Adsorption, Aqueous-Solution, Batch, Contact Time, Dates Nut Carbon, Diffusion, Freundlich, Intra-Particle Diffusion, Isotherms, Kinetic, Kinetic Equations, Kinetics, Langmuir, Langmuir Isotherms, Low Cost Adsorbent, Mercury(II), Metal Ions, Model, Models, </w:t>
      </w:r>
      <w:r>
        <w:rPr>
          <w:rFonts w:hint="eastAsia"/>
          <w:kern w:val="0"/>
          <w:szCs w:val="24"/>
        </w:rPr>
        <w:t>p</w:t>
      </w:r>
      <w:r>
        <w:rPr>
          <w:kern w:val="0"/>
          <w:szCs w:val="24"/>
        </w:rPr>
        <w:t>H, Removal, Treatment</w:t>
      </w:r>
    </w:p>
    <w:p w:rsidR="00B95188" w:rsidRPr="00A428C3" w:rsidRDefault="00B95188" w:rsidP="00B95188">
      <w:pPr>
        <w:pStyle w:val="a0"/>
      </w:pPr>
      <w:r w:rsidRPr="00A428C3">
        <w:t>? Inbaraj, B.S.</w:t>
      </w:r>
      <w:r w:rsidR="00F81221">
        <w:t xml:space="preserve"> and </w:t>
      </w:r>
      <w:r w:rsidRPr="00A428C3">
        <w:t xml:space="preserve">Sulochana, N. (2005), Use of jackfruit peel carbon (JPC) for adsorption of rhodamine-B, a basic dye from aqueous solution. </w:t>
      </w:r>
      <w:r w:rsidRPr="00A428C3">
        <w:rPr>
          <w:i/>
          <w:iCs/>
        </w:rPr>
        <w:t>Indian Journal of Chemical Technology</w:t>
      </w:r>
      <w:r w:rsidRPr="00A428C3">
        <w:t xml:space="preserve">, </w:t>
      </w:r>
      <w:r w:rsidRPr="00A428C3">
        <w:rPr>
          <w:b/>
        </w:rPr>
        <w:t>13</w:t>
      </w:r>
      <w:r w:rsidRPr="00A428C3">
        <w:t xml:space="preserve"> (1), 17-23.</w:t>
      </w:r>
    </w:p>
    <w:p w:rsidR="00414528" w:rsidRPr="00A428C3" w:rsidRDefault="00414528" w:rsidP="00414528">
      <w:pPr>
        <w:pStyle w:val="a0"/>
      </w:pPr>
      <w:r w:rsidRPr="00A428C3">
        <w:t xml:space="preserve">Full Text: </w:t>
      </w:r>
      <w:hyperlink r:id="rId874" w:history="1">
        <w:r w:rsidRPr="00414528">
          <w:rPr>
            <w:rStyle w:val="a5"/>
          </w:rPr>
          <w:t>2005\Ind J Che Tec13, 17.pdf</w:t>
        </w:r>
      </w:hyperlink>
    </w:p>
    <w:p w:rsidR="00B95188" w:rsidRPr="00A428C3" w:rsidRDefault="00B95188" w:rsidP="00B95188">
      <w:pPr>
        <w:pStyle w:val="a0"/>
      </w:pPr>
      <w:r w:rsidRPr="00A428C3">
        <w:t>Abstract: A carbon sorbent derived from in agricultural waste, jackfruit peel was applied to study the removal of a basic dye, rhodamine-B from aqueous solution. Batch experiments were performed as a function of process parameters like agitation time, initial dye concentration, temperature, carbon close</w:t>
      </w:r>
      <w:r w:rsidR="00F81221">
        <w:t xml:space="preserve"> and </w:t>
      </w:r>
      <w:r w:rsidRPr="00A428C3">
        <w:t>pH. Modified Ritchie second order equation better predicted the kinetic results compared to other rate equations (pseudo first order</w:t>
      </w:r>
      <w:r w:rsidR="00F81221">
        <w:t xml:space="preserve"> and </w:t>
      </w:r>
      <w:r w:rsidRPr="00A428C3">
        <w:t>pseudo second order) tested. Among the isotherm models applied to the equilibrium data Redlich-Peterson model better predicted the experimental values. The adsorption capacity was 121.47 mg g</w:t>
      </w:r>
      <w:r w:rsidRPr="00A428C3">
        <w:rPr>
          <w:vertAlign w:val="superscript"/>
        </w:rPr>
        <w:t>-1</w:t>
      </w:r>
      <w:r w:rsidRPr="00A428C3">
        <w:t xml:space="preserve"> at an initial pH of 6.0</w:t>
      </w:r>
      <w:r w:rsidR="00F81221">
        <w:t xml:space="preserve"> and </w:t>
      </w:r>
      <w:r w:rsidRPr="00A428C3">
        <w:t>at 32</w:t>
      </w:r>
      <w:r w:rsidRPr="00A428C3">
        <w:sym w:font="Symbol" w:char="F0B1"/>
      </w:r>
      <w:r w:rsidR="005D5634">
        <w:t>0.5°</w:t>
      </w:r>
      <w:r w:rsidRPr="00A428C3">
        <w:t xml:space="preserve">C. The adsorption I capacity increased with increase in temperature. The influence of pH on dye removal was not significant. An optimum carbon dose of </w:t>
      </w:r>
      <w:smartTag w:uri="urn:schemas-microsoft-com:office:smarttags" w:element="chmetcnv">
        <w:smartTagPr>
          <w:attr w:name="TCSC" w:val="0"/>
          <w:attr w:name="NumberType" w:val="1"/>
          <w:attr w:name="Negative" w:val="False"/>
          <w:attr w:name="HasSpace" w:val="True"/>
          <w:attr w:name="SourceValue" w:val="1.2"/>
          <w:attr w:name="UnitName" w:val="g"/>
        </w:smartTagPr>
        <w:r w:rsidRPr="00A428C3">
          <w:t>1.2 g</w:t>
        </w:r>
      </w:smartTag>
      <w:r w:rsidRPr="00A428C3">
        <w:t xml:space="preserve"> L</w:t>
      </w:r>
      <w:r w:rsidRPr="00A428C3">
        <w:rPr>
          <w:vertAlign w:val="superscript"/>
        </w:rPr>
        <w:t>-1</w:t>
      </w:r>
      <w:r w:rsidRPr="00A428C3">
        <w:t xml:space="preserve"> was required for the maximum removal (96%) of dye from its 60 mg L</w:t>
      </w:r>
      <w:r w:rsidRPr="00A428C3">
        <w:rPr>
          <w:vertAlign w:val="superscript"/>
        </w:rPr>
        <w:t>-1</w:t>
      </w:r>
      <w:r w:rsidRPr="00A428C3">
        <w:t xml:space="preserve"> solution. A significant portion of the dye was recovered from the spent carbon using 50% acetic acid.</w:t>
      </w:r>
    </w:p>
    <w:p w:rsidR="00B95188" w:rsidRPr="00A428C3" w:rsidRDefault="00B95188" w:rsidP="00B95188">
      <w:pPr>
        <w:pStyle w:val="a0"/>
      </w:pPr>
      <w:r w:rsidRPr="00A428C3">
        <w:t>Keywprds: Adsorption, Rhodamine-B, Jackfruit Peel, Carbon, Kinetics, Isotherms, Waste-Water, Activated Carbon, Reactive Dye, Industry Waste, Removal, Equilibrium, Kinetics, Mercury(II), Adsorbent, Cellulose</w:t>
      </w:r>
    </w:p>
    <w:p w:rsidR="00B95188" w:rsidRPr="00A428C3" w:rsidRDefault="00B95188" w:rsidP="00B95188">
      <w:pPr>
        <w:pStyle w:val="a0"/>
      </w:pPr>
      <w:r w:rsidRPr="00A428C3">
        <w:t>? Inbaraj, B.S.</w:t>
      </w:r>
      <w:r w:rsidR="00F81221">
        <w:t xml:space="preserve"> and </w:t>
      </w:r>
      <w:r w:rsidRPr="00A428C3">
        <w:t xml:space="preserve">Sulochana, N. (2005), Use of jackfruit peel carbon (JPC) for adsorption of rhodamine-B, a basic dye from aqueous solution. </w:t>
      </w:r>
      <w:r w:rsidRPr="00A428C3">
        <w:rPr>
          <w:i/>
          <w:iCs/>
        </w:rPr>
        <w:t xml:space="preserve">Indian Journal of </w:t>
      </w:r>
      <w:r w:rsidRPr="00A428C3">
        <w:rPr>
          <w:i/>
          <w:iCs/>
        </w:rPr>
        <w:lastRenderedPageBreak/>
        <w:t>Chemical Technology</w:t>
      </w:r>
      <w:r w:rsidRPr="00A428C3">
        <w:t xml:space="preserve">, </w:t>
      </w:r>
      <w:r w:rsidRPr="00A428C3">
        <w:rPr>
          <w:b/>
        </w:rPr>
        <w:t>13</w:t>
      </w:r>
      <w:r w:rsidRPr="00A428C3">
        <w:t xml:space="preserve"> (1), 24-29.</w:t>
      </w:r>
    </w:p>
    <w:p w:rsidR="00414528" w:rsidRPr="00A428C3" w:rsidRDefault="00414528" w:rsidP="00414528">
      <w:pPr>
        <w:pStyle w:val="a0"/>
      </w:pPr>
      <w:r w:rsidRPr="00A428C3">
        <w:t xml:space="preserve">Full Text: </w:t>
      </w:r>
      <w:hyperlink r:id="rId875" w:history="1">
        <w:r w:rsidRPr="00414528">
          <w:rPr>
            <w:rStyle w:val="a5"/>
          </w:rPr>
          <w:t>2005\Ind J Che Tec13, 24.pdf</w:t>
        </w:r>
      </w:hyperlink>
    </w:p>
    <w:p w:rsidR="00B95188" w:rsidRPr="00A428C3" w:rsidRDefault="00B95188" w:rsidP="00B95188">
      <w:pPr>
        <w:pStyle w:val="a0"/>
      </w:pPr>
      <w:r w:rsidRPr="00A428C3">
        <w:t>Abstract: A carbon sorbent derived from an agricultural waste, jackfruit peel was applied to study the removal of a basic dye, rhodamine-B from aqueous solution. Batch experiments were performed as a function of process parameters like agitation time, initial dye concentration, temperature, carbon dose</w:t>
      </w:r>
      <w:r w:rsidR="00F81221">
        <w:t xml:space="preserve"> and </w:t>
      </w:r>
      <w:r w:rsidRPr="00414528">
        <w:t>p</w:t>
      </w:r>
      <w:r w:rsidRPr="00A428C3">
        <w:t>H. Modified Ritchie second order equation better predicted the kinetic results compared to other rate equations (pseudo first order</w:t>
      </w:r>
      <w:r w:rsidR="00F81221">
        <w:t xml:space="preserve"> and </w:t>
      </w:r>
      <w:r w:rsidRPr="00A428C3">
        <w:t>pseudo second order) tested. Among the isotherm models applied to the equilibrium data Redlich-Peterson model better predicted the experimental values. The adsorption capacity was 121.47 mg g</w:t>
      </w:r>
      <w:r w:rsidRPr="00A428C3">
        <w:rPr>
          <w:vertAlign w:val="superscript"/>
        </w:rPr>
        <w:sym w:font="Symbol" w:char="002D"/>
      </w:r>
      <w:r w:rsidRPr="00A428C3">
        <w:rPr>
          <w:vertAlign w:val="superscript"/>
        </w:rPr>
        <w:t>1</w:t>
      </w:r>
      <w:r w:rsidRPr="00A428C3">
        <w:t xml:space="preserve"> at an initial </w:t>
      </w:r>
      <w:r w:rsidRPr="00A428C3">
        <w:rPr>
          <w:i/>
        </w:rPr>
        <w:t>p</w:t>
      </w:r>
      <w:r w:rsidRPr="00A428C3">
        <w:t>H of 6.0</w:t>
      </w:r>
      <w:r w:rsidR="00F81221">
        <w:t xml:space="preserve"> and </w:t>
      </w:r>
      <w:r w:rsidRPr="00A428C3">
        <w:t>at 32</w:t>
      </w:r>
      <w:r w:rsidRPr="00A428C3">
        <w:sym w:font="Symbol" w:char="00B1"/>
      </w:r>
      <w:smartTag w:uri="urn:schemas-microsoft-com:office:smarttags" w:element="chmetcnv">
        <w:smartTagPr>
          <w:attr w:name="TCSC" w:val="0"/>
          <w:attr w:name="NumberType" w:val="1"/>
          <w:attr w:name="Negative" w:val="False"/>
          <w:attr w:name="HasSpace" w:val="False"/>
          <w:attr w:name="SourceValue" w:val="0.5"/>
          <w:attr w:name="UnitName" w:val="C"/>
        </w:smartTagPr>
        <w:r w:rsidRPr="00A428C3">
          <w:t>0.5</w:t>
        </w:r>
        <w:r w:rsidRPr="00A428C3">
          <w:sym w:font="Symbol" w:char="00B0"/>
        </w:r>
      </w:smartTag>
      <w:r w:rsidRPr="00A428C3">
        <w:t xml:space="preserve">C. The adsorption capacity increased with increase in temperature. The influence of </w:t>
      </w:r>
      <w:r w:rsidRPr="00A428C3">
        <w:rPr>
          <w:i/>
        </w:rPr>
        <w:t>p</w:t>
      </w:r>
      <w:r w:rsidRPr="00A428C3">
        <w:t xml:space="preserve">H on dye removal was not significant. An optimum carbon dose of </w:t>
      </w:r>
      <w:smartTag w:uri="urn:schemas-microsoft-com:office:smarttags" w:element="chmetcnv">
        <w:smartTagPr>
          <w:attr w:name="TCSC" w:val="0"/>
          <w:attr w:name="NumberType" w:val="1"/>
          <w:attr w:name="Negative" w:val="False"/>
          <w:attr w:name="HasSpace" w:val="True"/>
          <w:attr w:name="SourceValue" w:val="1.2"/>
          <w:attr w:name="UnitName" w:val="g"/>
        </w:smartTagPr>
        <w:r w:rsidRPr="00A428C3">
          <w:t>1.2 g</w:t>
        </w:r>
      </w:smartTag>
      <w:r w:rsidRPr="00A428C3">
        <w:t xml:space="preserve"> L</w:t>
      </w:r>
      <w:r w:rsidRPr="00A428C3">
        <w:rPr>
          <w:vertAlign w:val="superscript"/>
        </w:rPr>
        <w:sym w:font="Symbol" w:char="002D"/>
      </w:r>
      <w:r w:rsidRPr="00A428C3">
        <w:rPr>
          <w:vertAlign w:val="superscript"/>
        </w:rPr>
        <w:t>1</w:t>
      </w:r>
      <w:r w:rsidRPr="00A428C3">
        <w:t xml:space="preserve"> was required for the maximum removal (96%) of dye from its 60 mg L</w:t>
      </w:r>
      <w:r w:rsidRPr="00A428C3">
        <w:rPr>
          <w:vertAlign w:val="superscript"/>
        </w:rPr>
        <w:sym w:font="Symbol" w:char="002D"/>
      </w:r>
      <w:r w:rsidRPr="00A428C3">
        <w:rPr>
          <w:vertAlign w:val="superscript"/>
        </w:rPr>
        <w:t>1</w:t>
      </w:r>
      <w:r w:rsidRPr="00A428C3">
        <w:t xml:space="preserve"> solution. A significant portion of the dye was recovered from the spent carbon using 50% acetic acid.</w:t>
      </w:r>
    </w:p>
    <w:p w:rsidR="00B95188" w:rsidRPr="00A428C3" w:rsidRDefault="00B95188" w:rsidP="00B95188">
      <w:pPr>
        <w:pStyle w:val="a0"/>
      </w:pPr>
      <w:r w:rsidRPr="00A428C3">
        <w:t>Keywords: Adsorption, Rhodamine-B, Jackfruit Peel, Carbon, Kinetics, Isotherms</w:t>
      </w:r>
    </w:p>
    <w:p w:rsidR="00414528" w:rsidRDefault="00414528" w:rsidP="00414528">
      <w:pPr>
        <w:pStyle w:val="a0"/>
        <w:rPr>
          <w:kern w:val="0"/>
          <w:szCs w:val="24"/>
        </w:rPr>
      </w:pPr>
      <w:r>
        <w:rPr>
          <w:rFonts w:hint="eastAsia"/>
          <w:kern w:val="0"/>
          <w:szCs w:val="24"/>
        </w:rPr>
        <w:t xml:space="preserve">? </w:t>
      </w:r>
      <w:r>
        <w:rPr>
          <w:kern w:val="0"/>
          <w:szCs w:val="24"/>
        </w:rPr>
        <w:t>Ahalya, N., Kanamadi, R.D.</w:t>
      </w:r>
      <w:r w:rsidR="00F81221">
        <w:rPr>
          <w:kern w:val="0"/>
          <w:szCs w:val="24"/>
        </w:rPr>
        <w:t xml:space="preserve"> and </w:t>
      </w:r>
      <w:r>
        <w:rPr>
          <w:kern w:val="0"/>
          <w:szCs w:val="24"/>
        </w:rPr>
        <w:t xml:space="preserve">Ramachandra, T.V. (2006), Biosorption of iron(III) from aqueous solutions using the husk of Cicer arientinum. </w:t>
      </w:r>
      <w:r>
        <w:rPr>
          <w:i/>
          <w:iCs/>
          <w:kern w:val="0"/>
          <w:szCs w:val="24"/>
        </w:rPr>
        <w:t>Indian Journal of Chemical Technology</w:t>
      </w:r>
      <w:r>
        <w:rPr>
          <w:kern w:val="0"/>
          <w:szCs w:val="24"/>
        </w:rPr>
        <w:t xml:space="preserve">, </w:t>
      </w:r>
      <w:r>
        <w:rPr>
          <w:b/>
          <w:bCs/>
          <w:kern w:val="0"/>
          <w:szCs w:val="24"/>
        </w:rPr>
        <w:t>13</w:t>
      </w:r>
      <w:r>
        <w:rPr>
          <w:kern w:val="0"/>
          <w:szCs w:val="24"/>
        </w:rPr>
        <w:t xml:space="preserve"> (2), 122-127.</w:t>
      </w:r>
    </w:p>
    <w:p w:rsidR="00414528" w:rsidRPr="00A428C3" w:rsidRDefault="00414528" w:rsidP="00414528">
      <w:pPr>
        <w:pStyle w:val="a0"/>
      </w:pPr>
      <w:r w:rsidRPr="00A428C3">
        <w:t xml:space="preserve">Full Text: </w:t>
      </w:r>
      <w:hyperlink r:id="rId876" w:history="1">
        <w:r w:rsidRPr="00414528">
          <w:rPr>
            <w:rStyle w:val="a5"/>
          </w:rPr>
          <w:t>2006\Ind J Che Tec13, 122.pdf</w:t>
        </w:r>
      </w:hyperlink>
    </w:p>
    <w:p w:rsidR="00414528" w:rsidRDefault="00414528" w:rsidP="00414528">
      <w:pPr>
        <w:pStyle w:val="a0"/>
        <w:rPr>
          <w:kern w:val="0"/>
          <w:szCs w:val="24"/>
        </w:rPr>
      </w:pPr>
      <w:r>
        <w:rPr>
          <w:kern w:val="0"/>
          <w:szCs w:val="24"/>
        </w:rPr>
        <w:t>Abstract: Iron is a major pollutant released as a by-product during several industrial operations especially during acid mining of metal ores. In this paper, the use of Bengal gram husk (husk of channa dal, Cicer arientinum) in the biosorption of Fe(III) from aqueous solutions is discussed. Parameters like agitation time, adsorbent dosage</w:t>
      </w:r>
      <w:r w:rsidR="00F81221">
        <w:rPr>
          <w:kern w:val="0"/>
          <w:szCs w:val="24"/>
        </w:rPr>
        <w:t xml:space="preserve"> and </w:t>
      </w:r>
      <w:r>
        <w:rPr>
          <w:kern w:val="0"/>
          <w:szCs w:val="24"/>
        </w:rPr>
        <w:t>pH were studied at different Fe(</w:t>
      </w:r>
      <w:r>
        <w:rPr>
          <w:rFonts w:hint="eastAsia"/>
          <w:kern w:val="0"/>
          <w:szCs w:val="24"/>
        </w:rPr>
        <w:t>III</w:t>
      </w:r>
      <w:r>
        <w:rPr>
          <w:kern w:val="0"/>
          <w:szCs w:val="24"/>
        </w:rPr>
        <w:t>) concentrations. The adsorption data fit well with Langmuir</w:t>
      </w:r>
      <w:r w:rsidR="00F81221">
        <w:rPr>
          <w:kern w:val="0"/>
          <w:szCs w:val="24"/>
        </w:rPr>
        <w:t xml:space="preserve"> and </w:t>
      </w:r>
      <w:r>
        <w:rPr>
          <w:kern w:val="0"/>
          <w:szCs w:val="24"/>
        </w:rPr>
        <w:t>Freundlich isotherm models. The adsorption capacity (q(max)) calculated from the Langmuir isotherm was 72.16 mg of Fe(III)/g of the biosorbent at an initial pH of 2.5. Desorption Studies were performed at different concentrations of hydrochloric acid showing that quantitative recovery of the metal ion is possible. The infrared spectra of the biomass before</w:t>
      </w:r>
      <w:r w:rsidR="00F81221">
        <w:rPr>
          <w:kern w:val="0"/>
          <w:szCs w:val="24"/>
        </w:rPr>
        <w:t xml:space="preserve"> and </w:t>
      </w:r>
      <w:r>
        <w:rPr>
          <w:kern w:val="0"/>
          <w:szCs w:val="24"/>
        </w:rPr>
        <w:t>after treatment with Fe(III), revealed that hydroxyl, carboxyl</w:t>
      </w:r>
      <w:r w:rsidR="00F81221">
        <w:rPr>
          <w:kern w:val="0"/>
          <w:szCs w:val="24"/>
        </w:rPr>
        <w:t xml:space="preserve"> and </w:t>
      </w:r>
      <w:r>
        <w:rPr>
          <w:kern w:val="0"/>
          <w:szCs w:val="24"/>
        </w:rPr>
        <w:t>amide bonds are involved in the uptake of Fe(III) ions.</w:t>
      </w:r>
    </w:p>
    <w:p w:rsidR="00414528" w:rsidRDefault="00414528" w:rsidP="00414528">
      <w:pPr>
        <w:pStyle w:val="a0"/>
        <w:rPr>
          <w:kern w:val="0"/>
          <w:szCs w:val="24"/>
        </w:rPr>
      </w:pPr>
      <w:r>
        <w:rPr>
          <w:kern w:val="0"/>
          <w:szCs w:val="24"/>
        </w:rPr>
        <w:t>Keywords: Adsorption, Adsorption Capacity, Adsorption-Isotherms, Aqueous Solutions, Arrhizus, Biomass, Biosorption, By-Products, Capacity, Chromium(VI), Desorption, Freundlich, Freundlich Isotherm, Heavy Metals, Heavy-Metal Ions, Hydrochloric Acid, Infrared, Infrared Spectra, Iron, Isotherm, Isotherm Models, Langmuir, Langmuir</w:t>
      </w:r>
      <w:r w:rsidR="00F81221">
        <w:rPr>
          <w:kern w:val="0"/>
          <w:szCs w:val="24"/>
        </w:rPr>
        <w:t xml:space="preserve"> and </w:t>
      </w:r>
      <w:r>
        <w:rPr>
          <w:kern w:val="0"/>
          <w:szCs w:val="24"/>
        </w:rPr>
        <w:t xml:space="preserve">Freundlich Isotherm, Langmuir Isotherm, Models, </w:t>
      </w:r>
      <w:r>
        <w:rPr>
          <w:rFonts w:hint="eastAsia"/>
          <w:kern w:val="0"/>
          <w:szCs w:val="24"/>
        </w:rPr>
        <w:t>p</w:t>
      </w:r>
      <w:r>
        <w:rPr>
          <w:kern w:val="0"/>
          <w:szCs w:val="24"/>
        </w:rPr>
        <w:t>H, Removal, Saccharomyces-Cerevisiae, Treatment, Vulgaris, Water</w:t>
      </w:r>
    </w:p>
    <w:p w:rsidR="00414528" w:rsidRDefault="00414528" w:rsidP="00414528">
      <w:pPr>
        <w:pStyle w:val="a0"/>
        <w:rPr>
          <w:kern w:val="0"/>
          <w:szCs w:val="24"/>
        </w:rPr>
      </w:pPr>
      <w:r>
        <w:rPr>
          <w:rFonts w:hint="eastAsia"/>
          <w:kern w:val="0"/>
          <w:szCs w:val="24"/>
        </w:rPr>
        <w:t xml:space="preserve">? </w:t>
      </w:r>
      <w:r>
        <w:rPr>
          <w:kern w:val="0"/>
          <w:szCs w:val="24"/>
        </w:rPr>
        <w:t>Bhatnagar, A.</w:t>
      </w:r>
      <w:r w:rsidR="00F81221">
        <w:rPr>
          <w:kern w:val="0"/>
          <w:szCs w:val="24"/>
        </w:rPr>
        <w:t xml:space="preserve"> and </w:t>
      </w:r>
      <w:r>
        <w:rPr>
          <w:kern w:val="0"/>
          <w:szCs w:val="24"/>
        </w:rPr>
        <w:t>Minocha, A.K. (2006), Conventional</w:t>
      </w:r>
      <w:r w:rsidR="00F81221">
        <w:rPr>
          <w:kern w:val="0"/>
          <w:szCs w:val="24"/>
        </w:rPr>
        <w:t xml:space="preserve"> and </w:t>
      </w:r>
      <w:r>
        <w:rPr>
          <w:kern w:val="0"/>
          <w:szCs w:val="24"/>
        </w:rPr>
        <w:t xml:space="preserve">non-conventional adsorbents for removal of pollutants from water - A review. </w:t>
      </w:r>
      <w:r>
        <w:rPr>
          <w:i/>
          <w:iCs/>
          <w:kern w:val="0"/>
          <w:szCs w:val="24"/>
        </w:rPr>
        <w:t xml:space="preserve">Indian Journal of </w:t>
      </w:r>
      <w:r>
        <w:rPr>
          <w:i/>
          <w:iCs/>
          <w:kern w:val="0"/>
          <w:szCs w:val="24"/>
        </w:rPr>
        <w:lastRenderedPageBreak/>
        <w:t>Chemical Technology</w:t>
      </w:r>
      <w:r>
        <w:rPr>
          <w:kern w:val="0"/>
          <w:szCs w:val="24"/>
        </w:rPr>
        <w:t xml:space="preserve">, </w:t>
      </w:r>
      <w:r>
        <w:rPr>
          <w:b/>
          <w:bCs/>
          <w:kern w:val="0"/>
          <w:szCs w:val="24"/>
        </w:rPr>
        <w:t>13</w:t>
      </w:r>
      <w:r>
        <w:rPr>
          <w:kern w:val="0"/>
          <w:szCs w:val="24"/>
        </w:rPr>
        <w:t xml:space="preserve"> (3), 203-217.</w:t>
      </w:r>
    </w:p>
    <w:p w:rsidR="00414528" w:rsidRPr="00A428C3" w:rsidRDefault="00414528" w:rsidP="00414528">
      <w:pPr>
        <w:pStyle w:val="a0"/>
      </w:pPr>
      <w:r w:rsidRPr="00A428C3">
        <w:t xml:space="preserve">Full Text: </w:t>
      </w:r>
      <w:hyperlink r:id="rId877" w:history="1">
        <w:r w:rsidRPr="00414528">
          <w:rPr>
            <w:rStyle w:val="a5"/>
          </w:rPr>
          <w:t>2006\Ind J Che Tec13, 203.pdf</w:t>
        </w:r>
      </w:hyperlink>
    </w:p>
    <w:p w:rsidR="00414528" w:rsidRDefault="00414528" w:rsidP="00414528">
      <w:pPr>
        <w:pStyle w:val="a0"/>
        <w:rPr>
          <w:kern w:val="0"/>
          <w:szCs w:val="24"/>
        </w:rPr>
      </w:pPr>
      <w:r>
        <w:rPr>
          <w:kern w:val="0"/>
          <w:szCs w:val="24"/>
        </w:rPr>
        <w:t>Abstract: In the present article, the suitability of activated carbon</w:t>
      </w:r>
      <w:r w:rsidR="00F81221">
        <w:rPr>
          <w:kern w:val="0"/>
          <w:szCs w:val="24"/>
        </w:rPr>
        <w:t xml:space="preserve"> and </w:t>
      </w:r>
      <w:r>
        <w:rPr>
          <w:kern w:val="0"/>
          <w:szCs w:val="24"/>
        </w:rPr>
        <w:t>other alternative adsorbents for wastewater treatment has been reviewed. It is evident from literature survey of last 20-25 years that researchers have gained success to some extent in developing inexpensive adsorbents for water pollution control utilizing naturally available</w:t>
      </w:r>
      <w:r w:rsidR="00F81221">
        <w:rPr>
          <w:kern w:val="0"/>
          <w:szCs w:val="24"/>
        </w:rPr>
        <w:t xml:space="preserve"> and </w:t>
      </w:r>
      <w:r>
        <w:rPr>
          <w:kern w:val="0"/>
          <w:szCs w:val="24"/>
        </w:rPr>
        <w:t>waste materials. However, still there is a need to find out the practical utility of such developed adsorbents on large-scale</w:t>
      </w:r>
      <w:r w:rsidR="00F81221">
        <w:rPr>
          <w:kern w:val="0"/>
          <w:szCs w:val="24"/>
        </w:rPr>
        <w:t xml:space="preserve"> and </w:t>
      </w:r>
      <w:r>
        <w:rPr>
          <w:kern w:val="0"/>
          <w:szCs w:val="24"/>
        </w:rPr>
        <w:t>safe</w:t>
      </w:r>
      <w:r w:rsidR="00F81221">
        <w:rPr>
          <w:kern w:val="0"/>
          <w:szCs w:val="24"/>
        </w:rPr>
        <w:t xml:space="preserve"> and </w:t>
      </w:r>
      <w:r>
        <w:rPr>
          <w:kern w:val="0"/>
          <w:szCs w:val="24"/>
        </w:rPr>
        <w:t>eco-friendly disposal of spent adsorbents.</w:t>
      </w:r>
    </w:p>
    <w:p w:rsidR="00414528" w:rsidRDefault="00414528" w:rsidP="00414528">
      <w:pPr>
        <w:pStyle w:val="a0"/>
        <w:rPr>
          <w:kern w:val="0"/>
          <w:szCs w:val="24"/>
        </w:rPr>
      </w:pPr>
      <w:r>
        <w:rPr>
          <w:kern w:val="0"/>
          <w:szCs w:val="24"/>
        </w:rPr>
        <w:t>Keywords: Activated Carbon, Adsorbents, Adsorption, Anion-Exchange Resins, Aqueous-Solutions, Basic-Dyes, Control, Fly-Ash, Granular Activated Carbon, Industry Waste-Water, Linked Chitosan Beads, Liquid-Phase Adsorption, Literature, Low-Cost Adsorbents, Low-Cost Adsorbents, Pollution, Reactive Dyes, Removal, Researchers, Survey, Treatment, Wastewater, Wastewater Treatment, Water, Water Pollution</w:t>
      </w:r>
    </w:p>
    <w:p w:rsidR="00414528" w:rsidRDefault="00414528" w:rsidP="00414528">
      <w:pPr>
        <w:pStyle w:val="a0"/>
        <w:rPr>
          <w:kern w:val="0"/>
          <w:szCs w:val="24"/>
        </w:rPr>
      </w:pPr>
      <w:r>
        <w:rPr>
          <w:rFonts w:hint="eastAsia"/>
          <w:kern w:val="0"/>
          <w:szCs w:val="24"/>
        </w:rPr>
        <w:t xml:space="preserve">? </w:t>
      </w:r>
      <w:r>
        <w:rPr>
          <w:kern w:val="0"/>
          <w:szCs w:val="24"/>
        </w:rPr>
        <w:t>Sharma, Y.C.</w:t>
      </w:r>
      <w:r w:rsidR="00F81221">
        <w:rPr>
          <w:kern w:val="0"/>
          <w:szCs w:val="24"/>
        </w:rPr>
        <w:t xml:space="preserve"> and </w:t>
      </w:r>
      <w:r>
        <w:rPr>
          <w:kern w:val="0"/>
          <w:szCs w:val="24"/>
        </w:rPr>
        <w:t xml:space="preserve">Srivastava, V. (2006), Adsorption of cadmium(II) from aqueous solutions by an indigenous clay mineral. </w:t>
      </w:r>
      <w:r>
        <w:rPr>
          <w:i/>
          <w:iCs/>
          <w:kern w:val="0"/>
          <w:szCs w:val="24"/>
        </w:rPr>
        <w:t>Indian Journal of Chemical Technology</w:t>
      </w:r>
      <w:r>
        <w:rPr>
          <w:kern w:val="0"/>
          <w:szCs w:val="24"/>
        </w:rPr>
        <w:t xml:space="preserve">, </w:t>
      </w:r>
      <w:r>
        <w:rPr>
          <w:b/>
          <w:bCs/>
          <w:kern w:val="0"/>
          <w:szCs w:val="24"/>
        </w:rPr>
        <w:t>13</w:t>
      </w:r>
      <w:r>
        <w:rPr>
          <w:kern w:val="0"/>
          <w:szCs w:val="24"/>
        </w:rPr>
        <w:t xml:space="preserve"> (3), 218-221.</w:t>
      </w:r>
    </w:p>
    <w:p w:rsidR="00414528" w:rsidRPr="00A428C3" w:rsidRDefault="00414528" w:rsidP="00414528">
      <w:pPr>
        <w:pStyle w:val="a0"/>
      </w:pPr>
      <w:r w:rsidRPr="00A428C3">
        <w:t xml:space="preserve">Full Text: </w:t>
      </w:r>
      <w:hyperlink r:id="rId878" w:history="1">
        <w:r w:rsidRPr="00414528">
          <w:rPr>
            <w:rStyle w:val="a5"/>
          </w:rPr>
          <w:t>2006\Ind J Che Tec13, 218.pdf</w:t>
        </w:r>
      </w:hyperlink>
    </w:p>
    <w:p w:rsidR="00414528" w:rsidRDefault="00414528" w:rsidP="00414528">
      <w:pPr>
        <w:pStyle w:val="a0"/>
        <w:rPr>
          <w:kern w:val="0"/>
          <w:szCs w:val="24"/>
        </w:rPr>
      </w:pPr>
      <w:r>
        <w:rPr>
          <w:kern w:val="0"/>
          <w:szCs w:val="24"/>
        </w:rPr>
        <w:t>Abstract: Removal of cadmium, a priority pollutant, has been investigated by a locally available clay mineral, China clay. The removal depends on initial concentration of cadmium in solution</w:t>
      </w:r>
      <w:r w:rsidR="00F81221">
        <w:rPr>
          <w:kern w:val="0"/>
          <w:szCs w:val="24"/>
        </w:rPr>
        <w:t xml:space="preserve"> and </w:t>
      </w:r>
      <w:r>
        <w:rPr>
          <w:kern w:val="0"/>
          <w:szCs w:val="24"/>
        </w:rPr>
        <w:t>higher removal has been obtained in lower concentration ranges. The removal increased from 41.0 to 80.3% by decreasing the concentration of cadmium in solution from 2.0x10(-4) to 0.5x10(-4) M at 6.5 pH, 100 rpm</w:t>
      </w:r>
      <w:r w:rsidR="00F81221">
        <w:rPr>
          <w:kern w:val="0"/>
          <w:szCs w:val="24"/>
        </w:rPr>
        <w:t xml:space="preserve"> and </w:t>
      </w:r>
      <w:r>
        <w:rPr>
          <w:kern w:val="0"/>
          <w:szCs w:val="24"/>
        </w:rPr>
        <w:t>0.01 M NaClO4 ionic strength. The pH of the solution plays an important role in the removal of cadmium. Rate of the removal was calculated by Lagergren</w:t>
      </w:r>
      <w:r w:rsidR="000352E7">
        <w:rPr>
          <w:kern w:val="0"/>
          <w:szCs w:val="24"/>
        </w:rPr>
        <w:t>’</w:t>
      </w:r>
      <w:r>
        <w:rPr>
          <w:kern w:val="0"/>
          <w:szCs w:val="24"/>
        </w:rPr>
        <w:t>s model</w:t>
      </w:r>
      <w:r w:rsidR="00F81221">
        <w:rPr>
          <w:kern w:val="0"/>
          <w:szCs w:val="24"/>
        </w:rPr>
        <w:t xml:space="preserve"> and </w:t>
      </w:r>
      <w:r>
        <w:rPr>
          <w:kern w:val="0"/>
          <w:szCs w:val="24"/>
        </w:rPr>
        <w:t>was found to be 5.10X10(-2) min(-1) in optimum conditions. The process of removal proceeds with intraparticle diffusion</w:t>
      </w:r>
      <w:r w:rsidR="00F81221">
        <w:rPr>
          <w:kern w:val="0"/>
          <w:szCs w:val="24"/>
        </w:rPr>
        <w:t xml:space="preserve"> and </w:t>
      </w:r>
      <w:r>
        <w:rPr>
          <w:kern w:val="0"/>
          <w:szCs w:val="24"/>
        </w:rPr>
        <w:t>the value of the coefficient of intraparticle diffusion was found to be 3.25x10(-10) cm(2) s(-1). The parameters can be used for designing a plant for treatment of Cd(II) rich water</w:t>
      </w:r>
      <w:r w:rsidR="00F81221">
        <w:rPr>
          <w:kern w:val="0"/>
          <w:szCs w:val="24"/>
        </w:rPr>
        <w:t xml:space="preserve"> and </w:t>
      </w:r>
      <w:r>
        <w:rPr>
          <w:kern w:val="0"/>
          <w:szCs w:val="24"/>
        </w:rPr>
        <w:t>wastewater economically.</w:t>
      </w:r>
    </w:p>
    <w:p w:rsidR="00414528" w:rsidRDefault="00414528" w:rsidP="00414528">
      <w:pPr>
        <w:pStyle w:val="a0"/>
        <w:rPr>
          <w:kern w:val="0"/>
          <w:szCs w:val="24"/>
        </w:rPr>
      </w:pPr>
      <w:r>
        <w:rPr>
          <w:kern w:val="0"/>
          <w:szCs w:val="24"/>
        </w:rPr>
        <w:t xml:space="preserve">Keywords: Adsorption, Aqueous Solutions, Cadmium, Cadmium(II), Cd(II), China, China Clay, Clay, Diffusion, Fly-Ash, Model, </w:t>
      </w:r>
      <w:r>
        <w:rPr>
          <w:rFonts w:hint="eastAsia"/>
          <w:kern w:val="0"/>
          <w:szCs w:val="24"/>
        </w:rPr>
        <w:t>p</w:t>
      </w:r>
      <w:r>
        <w:rPr>
          <w:kern w:val="0"/>
          <w:szCs w:val="24"/>
        </w:rPr>
        <w:t>H, Removal, Treatment, Waste, Wastewater, Water, Zinc</w:t>
      </w:r>
    </w:p>
    <w:p w:rsidR="00414528" w:rsidRDefault="00414528" w:rsidP="00414528">
      <w:pPr>
        <w:pStyle w:val="a0"/>
        <w:rPr>
          <w:kern w:val="0"/>
          <w:szCs w:val="24"/>
        </w:rPr>
      </w:pPr>
      <w:r>
        <w:rPr>
          <w:rFonts w:hint="eastAsia"/>
          <w:kern w:val="0"/>
          <w:szCs w:val="24"/>
        </w:rPr>
        <w:t xml:space="preserve">? </w:t>
      </w:r>
      <w:r>
        <w:rPr>
          <w:kern w:val="0"/>
          <w:szCs w:val="24"/>
        </w:rPr>
        <w:t>Mishra, S.</w:t>
      </w:r>
      <w:r w:rsidR="00F81221">
        <w:rPr>
          <w:kern w:val="0"/>
          <w:szCs w:val="24"/>
        </w:rPr>
        <w:t xml:space="preserve"> and </w:t>
      </w:r>
      <w:r>
        <w:rPr>
          <w:kern w:val="0"/>
          <w:szCs w:val="24"/>
        </w:rPr>
        <w:t xml:space="preserve">Bhattacharya, J. (2006), Potential of leaf litter for phenol adsorption - A kinetic study. </w:t>
      </w:r>
      <w:r>
        <w:rPr>
          <w:i/>
          <w:iCs/>
          <w:kern w:val="0"/>
          <w:szCs w:val="24"/>
        </w:rPr>
        <w:t>Indian Journal of Chemical Technology</w:t>
      </w:r>
      <w:r>
        <w:rPr>
          <w:kern w:val="0"/>
          <w:szCs w:val="24"/>
        </w:rPr>
        <w:t xml:space="preserve">, </w:t>
      </w:r>
      <w:r>
        <w:rPr>
          <w:b/>
          <w:bCs/>
          <w:kern w:val="0"/>
          <w:szCs w:val="24"/>
        </w:rPr>
        <w:t>13</w:t>
      </w:r>
      <w:r>
        <w:rPr>
          <w:kern w:val="0"/>
          <w:szCs w:val="24"/>
        </w:rPr>
        <w:t xml:space="preserve"> (3), 298-301.</w:t>
      </w:r>
    </w:p>
    <w:p w:rsidR="00414528" w:rsidRPr="00A428C3" w:rsidRDefault="00414528" w:rsidP="00414528">
      <w:pPr>
        <w:pStyle w:val="a0"/>
      </w:pPr>
      <w:r w:rsidRPr="00A428C3">
        <w:t xml:space="preserve">Full Text: </w:t>
      </w:r>
      <w:hyperlink r:id="rId879" w:history="1">
        <w:r w:rsidRPr="00414528">
          <w:rPr>
            <w:rStyle w:val="a5"/>
          </w:rPr>
          <w:t>2006\Ind J Che Tec13, 298.pdf</w:t>
        </w:r>
      </w:hyperlink>
    </w:p>
    <w:p w:rsidR="00414528" w:rsidRDefault="00414528" w:rsidP="00414528">
      <w:pPr>
        <w:pStyle w:val="a0"/>
        <w:rPr>
          <w:kern w:val="0"/>
          <w:szCs w:val="24"/>
        </w:rPr>
      </w:pPr>
      <w:r>
        <w:rPr>
          <w:kern w:val="0"/>
          <w:szCs w:val="24"/>
        </w:rPr>
        <w:t>Abstract: The present study envisages the use of plant material, Shorea robusta For the removal of phenol by adsorption process. The effect of pH, contact time, particle size</w:t>
      </w:r>
      <w:r w:rsidR="00F81221">
        <w:rPr>
          <w:kern w:val="0"/>
          <w:szCs w:val="24"/>
        </w:rPr>
        <w:t xml:space="preserve"> and </w:t>
      </w:r>
      <w:r>
        <w:rPr>
          <w:kern w:val="0"/>
          <w:szCs w:val="24"/>
        </w:rPr>
        <w:t xml:space="preserve">initial concentration of adsorbate on removal process was investigated. The </w:t>
      </w:r>
      <w:r>
        <w:rPr>
          <w:kern w:val="0"/>
          <w:szCs w:val="24"/>
        </w:rPr>
        <w:lastRenderedPageBreak/>
        <w:t>maximum removal of phenols from their aqueous solutions occurred in the pit range of 4-6. Kinetic parameters as a function of concentration</w:t>
      </w:r>
      <w:r w:rsidR="00F81221">
        <w:rPr>
          <w:kern w:val="0"/>
          <w:szCs w:val="24"/>
        </w:rPr>
        <w:t xml:space="preserve"> and </w:t>
      </w:r>
      <w:r>
        <w:rPr>
          <w:kern w:val="0"/>
          <w:szCs w:val="24"/>
        </w:rPr>
        <w:t>pH were evaluated to predict the nature of adsorption. Equilibrium adsorption data were correlated with Freundlich adsorption isotherm model. The maximum adsorption capacity of leaf litter was found to be 0.06 mg/g.</w:t>
      </w:r>
    </w:p>
    <w:p w:rsidR="00414528" w:rsidRDefault="00414528" w:rsidP="00414528">
      <w:pPr>
        <w:pStyle w:val="a0"/>
        <w:rPr>
          <w:kern w:val="0"/>
          <w:szCs w:val="24"/>
        </w:rPr>
      </w:pPr>
      <w:r>
        <w:rPr>
          <w:kern w:val="0"/>
          <w:szCs w:val="24"/>
        </w:rPr>
        <w:t xml:space="preserve">Keywords: Adsorption, Adsorption Capacity, Adsorption Isotherm, Aqueous Solutions, Bentonite, Capacity, Contact Time, Equilibrium, Equilibrium Adsorption, Freundlich, Isotherm, Kinetic, Kinetic Study, Kinetics, Leaf, Model, </w:t>
      </w:r>
      <w:r>
        <w:rPr>
          <w:rFonts w:hint="eastAsia"/>
          <w:kern w:val="0"/>
          <w:szCs w:val="24"/>
        </w:rPr>
        <w:t>p</w:t>
      </w:r>
      <w:r>
        <w:rPr>
          <w:kern w:val="0"/>
          <w:szCs w:val="24"/>
        </w:rPr>
        <w:t>H, Phenol, Removal, Water</w:t>
      </w:r>
    </w:p>
    <w:p w:rsidR="00FD3BC9" w:rsidRDefault="00FD3BC9" w:rsidP="00FD3BC9">
      <w:pPr>
        <w:pStyle w:val="a0"/>
        <w:rPr>
          <w:kern w:val="0"/>
          <w:szCs w:val="24"/>
        </w:rPr>
      </w:pPr>
      <w:r>
        <w:rPr>
          <w:rFonts w:hint="eastAsia"/>
          <w:kern w:val="0"/>
          <w:szCs w:val="24"/>
        </w:rPr>
        <w:t xml:space="preserve">? </w:t>
      </w:r>
      <w:r>
        <w:rPr>
          <w:kern w:val="0"/>
          <w:szCs w:val="24"/>
        </w:rPr>
        <w:t>Malik, R., Ramteke, D.S.</w:t>
      </w:r>
      <w:r w:rsidR="00F81221">
        <w:rPr>
          <w:kern w:val="0"/>
          <w:szCs w:val="24"/>
        </w:rPr>
        <w:t xml:space="preserve"> and </w:t>
      </w:r>
      <w:r>
        <w:rPr>
          <w:kern w:val="0"/>
          <w:szCs w:val="24"/>
        </w:rPr>
        <w:t>Wate, S.R. (2006), Physico-chemical</w:t>
      </w:r>
      <w:r w:rsidR="00F81221">
        <w:rPr>
          <w:kern w:val="0"/>
          <w:szCs w:val="24"/>
        </w:rPr>
        <w:t xml:space="preserve"> and </w:t>
      </w:r>
      <w:r>
        <w:rPr>
          <w:kern w:val="0"/>
          <w:szCs w:val="24"/>
        </w:rPr>
        <w:t>surface characterization of adsorbent prepared from groundnut shell by ZnCl</w:t>
      </w:r>
      <w:r w:rsidRPr="00C94CB6">
        <w:rPr>
          <w:kern w:val="0"/>
          <w:szCs w:val="24"/>
          <w:vertAlign w:val="subscript"/>
        </w:rPr>
        <w:t>2</w:t>
      </w:r>
      <w:r>
        <w:rPr>
          <w:kern w:val="0"/>
          <w:szCs w:val="24"/>
        </w:rPr>
        <w:t xml:space="preserve"> activation</w:t>
      </w:r>
      <w:r w:rsidR="00F81221">
        <w:rPr>
          <w:kern w:val="0"/>
          <w:szCs w:val="24"/>
        </w:rPr>
        <w:t xml:space="preserve"> and </w:t>
      </w:r>
      <w:r>
        <w:rPr>
          <w:kern w:val="0"/>
          <w:szCs w:val="24"/>
        </w:rPr>
        <w:t xml:space="preserve">its ability to adsorb colour. </w:t>
      </w:r>
      <w:r>
        <w:rPr>
          <w:i/>
          <w:iCs/>
          <w:kern w:val="0"/>
          <w:szCs w:val="24"/>
        </w:rPr>
        <w:t>Indian Journal of Chemical Technology</w:t>
      </w:r>
      <w:r>
        <w:rPr>
          <w:kern w:val="0"/>
          <w:szCs w:val="24"/>
        </w:rPr>
        <w:t xml:space="preserve">, </w:t>
      </w:r>
      <w:r>
        <w:rPr>
          <w:b/>
          <w:bCs/>
          <w:kern w:val="0"/>
          <w:szCs w:val="24"/>
        </w:rPr>
        <w:t>13</w:t>
      </w:r>
      <w:r>
        <w:rPr>
          <w:kern w:val="0"/>
          <w:szCs w:val="24"/>
        </w:rPr>
        <w:t xml:space="preserve"> (4), 319-328.</w:t>
      </w:r>
    </w:p>
    <w:p w:rsidR="00FD3BC9" w:rsidRPr="00A428C3" w:rsidRDefault="00FD3BC9" w:rsidP="00FD3BC9">
      <w:pPr>
        <w:pStyle w:val="a0"/>
      </w:pPr>
      <w:r w:rsidRPr="00A428C3">
        <w:t xml:space="preserve">Full Text: </w:t>
      </w:r>
      <w:hyperlink r:id="rId880" w:history="1">
        <w:r w:rsidRPr="00FD3BC9">
          <w:rPr>
            <w:rStyle w:val="a5"/>
          </w:rPr>
          <w:t>2006\Ind J Che Tec13, 319.pdf</w:t>
        </w:r>
      </w:hyperlink>
    </w:p>
    <w:p w:rsidR="00FD3BC9" w:rsidRDefault="00FD3BC9" w:rsidP="00FD3BC9">
      <w:pPr>
        <w:pStyle w:val="a0"/>
        <w:rPr>
          <w:kern w:val="0"/>
          <w:szCs w:val="24"/>
        </w:rPr>
      </w:pPr>
      <w:r>
        <w:rPr>
          <w:kern w:val="0"/>
          <w:szCs w:val="24"/>
        </w:rPr>
        <w:t>Abstract: Physico-chemical</w:t>
      </w:r>
      <w:r w:rsidR="00F81221">
        <w:rPr>
          <w:kern w:val="0"/>
          <w:szCs w:val="24"/>
        </w:rPr>
        <w:t xml:space="preserve"> and </w:t>
      </w:r>
      <w:r>
        <w:rPr>
          <w:kern w:val="0"/>
          <w:szCs w:val="24"/>
        </w:rPr>
        <w:t>surface characterization of activated carbon prepared from groundnut shell, an abundantly available carbonaceous solid waste from oil processing mills in India, by chemical activation were carried out. The effect of various activation conditions viz. time, temperature</w:t>
      </w:r>
      <w:r w:rsidR="00F81221">
        <w:rPr>
          <w:kern w:val="0"/>
          <w:szCs w:val="24"/>
        </w:rPr>
        <w:t xml:space="preserve"> and </w:t>
      </w:r>
      <w:r>
        <w:rPr>
          <w:kern w:val="0"/>
          <w:szCs w:val="24"/>
        </w:rPr>
        <w:t>ZnCl</w:t>
      </w:r>
      <w:r w:rsidRPr="00C94CB6">
        <w:rPr>
          <w:kern w:val="0"/>
          <w:szCs w:val="24"/>
          <w:vertAlign w:val="subscript"/>
        </w:rPr>
        <w:t>2</w:t>
      </w:r>
      <w:r>
        <w:rPr>
          <w:kern w:val="0"/>
          <w:szCs w:val="24"/>
        </w:rPr>
        <w:t>/char ratio on the % yield of product</w:t>
      </w:r>
      <w:r w:rsidR="00F81221">
        <w:rPr>
          <w:kern w:val="0"/>
          <w:szCs w:val="24"/>
        </w:rPr>
        <w:t xml:space="preserve"> and </w:t>
      </w:r>
      <w:r>
        <w:rPr>
          <w:kern w:val="0"/>
          <w:szCs w:val="24"/>
        </w:rPr>
        <w:t>adsorption efficiency in terms of iodine number was studied. Changes in surface morphology of char before</w:t>
      </w:r>
      <w:r w:rsidR="00F81221">
        <w:rPr>
          <w:kern w:val="0"/>
          <w:szCs w:val="24"/>
        </w:rPr>
        <w:t xml:space="preserve"> and </w:t>
      </w:r>
      <w:r>
        <w:rPr>
          <w:kern w:val="0"/>
          <w:szCs w:val="24"/>
        </w:rPr>
        <w:t>after activation were examined by scanning electron microscopy which showed well developed pore structure in activated carbon demonstrating corrosive effect of ZnCl</w:t>
      </w:r>
      <w:r w:rsidRPr="00C94CB6">
        <w:rPr>
          <w:kern w:val="0"/>
          <w:szCs w:val="24"/>
          <w:vertAlign w:val="subscript"/>
        </w:rPr>
        <w:t>2</w:t>
      </w:r>
      <w:r>
        <w:rPr>
          <w:kern w:val="0"/>
          <w:szCs w:val="24"/>
        </w:rPr>
        <w:t>. Surface modifications through chemical changes were studied by FTIR spectroscopy which showed considerable development</w:t>
      </w:r>
      <w:r w:rsidR="00F81221">
        <w:rPr>
          <w:kern w:val="0"/>
          <w:szCs w:val="24"/>
        </w:rPr>
        <w:t xml:space="preserve"> and </w:t>
      </w:r>
      <w:r>
        <w:rPr>
          <w:kern w:val="0"/>
          <w:szCs w:val="24"/>
        </w:rPr>
        <w:t>increase of surface functional groups in activated carbon as compared to char. The developed adsorbent was utilized for the removal of acid dye from aqueous solution</w:t>
      </w:r>
      <w:r w:rsidR="00F81221">
        <w:rPr>
          <w:kern w:val="0"/>
          <w:szCs w:val="24"/>
        </w:rPr>
        <w:t xml:space="preserve"> and </w:t>
      </w:r>
      <w:r>
        <w:rPr>
          <w:kern w:val="0"/>
          <w:szCs w:val="24"/>
        </w:rPr>
        <w:t>its adsorption capacity was found to be 55.5 mg/g of the adsorbent for 100 ppm initial concentration of dye solution. Adsorption parameters for Freundlich</w:t>
      </w:r>
      <w:r w:rsidR="00F81221">
        <w:rPr>
          <w:kern w:val="0"/>
          <w:szCs w:val="24"/>
        </w:rPr>
        <w:t xml:space="preserve"> and </w:t>
      </w:r>
      <w:r>
        <w:rPr>
          <w:kern w:val="0"/>
          <w:szCs w:val="24"/>
        </w:rPr>
        <w:t>Langmuir isotherm models were examined for dye adsorption</w:t>
      </w:r>
      <w:r w:rsidR="00F81221">
        <w:rPr>
          <w:kern w:val="0"/>
          <w:szCs w:val="24"/>
        </w:rPr>
        <w:t xml:space="preserve"> and </w:t>
      </w:r>
      <w:r>
        <w:rPr>
          <w:kern w:val="0"/>
          <w:szCs w:val="24"/>
        </w:rPr>
        <w:t>for the validity of models to analyze the equilibrium data, it was found that Freundlich model fitted better than Lmgmuir. The results indicate that Groundnut Shell based Powdered Activated Carbon (GSPAC) could be employed as low-cost alternative adsorbent to commercial activated carbon in the wastewater treatment for removal of acid dyes.</w:t>
      </w:r>
    </w:p>
    <w:p w:rsidR="00FD3BC9" w:rsidRDefault="00FD3BC9" w:rsidP="00FD3BC9">
      <w:pPr>
        <w:pStyle w:val="a0"/>
        <w:rPr>
          <w:kern w:val="0"/>
          <w:szCs w:val="24"/>
        </w:rPr>
      </w:pPr>
      <w:r>
        <w:rPr>
          <w:kern w:val="0"/>
          <w:szCs w:val="24"/>
        </w:rPr>
        <w:t>Keywords: Activated Carbon, Adsorption, Adsorption Capacity, Adsorption Isotherms, Aqueous-Solutions, Biomass, Capacity, Carbon, Characterization, Chemical Activation, Development, Dye, Dyes, Equilibrium, Freundlich, FTIR, FTIR Spectroscopy, Fuchsin Acid, Groundnut Shell, India, Isotherm, Isotherm Models, Langmuir, Langmuir Isotherm, Model, Models, Physical Activation, Pore, Pore Structure, Porosity, Removal, Sawdust, Temperature, Treatment, Wastewater, Wastewater Treatment</w:t>
      </w:r>
    </w:p>
    <w:p w:rsidR="00B95188" w:rsidRPr="00A428C3" w:rsidRDefault="00B95188" w:rsidP="00B95188">
      <w:pPr>
        <w:pStyle w:val="a0"/>
      </w:pPr>
      <w:r w:rsidRPr="00A428C3">
        <w:lastRenderedPageBreak/>
        <w:t>? Janardhana, C., Rao, G.N., Sathish, R.S.</w:t>
      </w:r>
      <w:r w:rsidR="00F81221">
        <w:t xml:space="preserve"> and </w:t>
      </w:r>
      <w:r w:rsidRPr="00A428C3">
        <w:t xml:space="preserve">Lakshman, V.S. (2006), Study on defluoridation of drinking water by impregnation of metal ions in activated charcoal. </w:t>
      </w:r>
      <w:r w:rsidRPr="00A428C3">
        <w:rPr>
          <w:i/>
          <w:iCs/>
        </w:rPr>
        <w:t>Indian Journal of Chemical Technology</w:t>
      </w:r>
      <w:r w:rsidRPr="00A428C3">
        <w:t xml:space="preserve">, </w:t>
      </w:r>
      <w:r w:rsidRPr="00A428C3">
        <w:rPr>
          <w:b/>
        </w:rPr>
        <w:t>13</w:t>
      </w:r>
      <w:r w:rsidRPr="00A428C3">
        <w:t xml:space="preserve"> (4), 414-416.</w:t>
      </w:r>
    </w:p>
    <w:p w:rsidR="00FD3BC9" w:rsidRPr="00A428C3" w:rsidRDefault="00FD3BC9" w:rsidP="00FD3BC9">
      <w:pPr>
        <w:pStyle w:val="a0"/>
      </w:pPr>
      <w:r w:rsidRPr="00A428C3">
        <w:t xml:space="preserve">Full Text: </w:t>
      </w:r>
      <w:hyperlink r:id="rId881" w:history="1">
        <w:r w:rsidRPr="00FD3BC9">
          <w:rPr>
            <w:rStyle w:val="a5"/>
          </w:rPr>
          <w:t>2006\Ind J Che Tec13, 414.pdf</w:t>
        </w:r>
      </w:hyperlink>
    </w:p>
    <w:p w:rsidR="00B95188" w:rsidRPr="00A428C3" w:rsidRDefault="00B95188" w:rsidP="00B95188">
      <w:pPr>
        <w:pStyle w:val="a0"/>
      </w:pPr>
      <w:r w:rsidRPr="00A428C3">
        <w:t>Abstract: Defluoridation of drinking water was carried out by the continuous down flow adsorption mode at room temperature. Five columns were prepared by the impregnation of ZrOCl</w:t>
      </w:r>
      <w:r w:rsidRPr="00A428C3">
        <w:rPr>
          <w:vertAlign w:val="subscript"/>
        </w:rPr>
        <w:t>2</w:t>
      </w:r>
      <w:r w:rsidRPr="00A428C3">
        <w:t>, CaO, Alum, CaCl</w:t>
      </w:r>
      <w:r w:rsidRPr="00A428C3">
        <w:rPr>
          <w:vertAlign w:val="subscript"/>
        </w:rPr>
        <w:t>2</w:t>
      </w:r>
      <w:r w:rsidR="00F81221">
        <w:t xml:space="preserve"> and </w:t>
      </w:r>
      <w:r w:rsidRPr="00A428C3">
        <w:t xml:space="preserve">Borax in activated coconut shell charcoal. Known fluoride influent water was run into the column at a constant rate of </w:t>
      </w:r>
      <w:smartTag w:uri="urn:schemas-microsoft-com:office:smarttags" w:element="chmetcnv">
        <w:smartTagPr>
          <w:attr w:name="TCSC" w:val="0"/>
          <w:attr w:name="NumberType" w:val="1"/>
          <w:attr w:name="Negative" w:val="False"/>
          <w:attr w:name="HasSpace" w:val="True"/>
          <w:attr w:name="SourceValue" w:val="4"/>
          <w:attr w:name="UnitName" w:val="l"/>
        </w:smartTagPr>
        <w:r w:rsidRPr="00A428C3">
          <w:t>4.0 L</w:t>
        </w:r>
      </w:smartTag>
      <w:r w:rsidRPr="00A428C3">
        <w:t>, h</w:t>
      </w:r>
      <w:r w:rsidR="00F81221">
        <w:t xml:space="preserve"> and </w:t>
      </w:r>
      <w:r w:rsidRPr="00A428C3">
        <w:t>a constant level of water was maintained. Samples of the treated water were collected for analysis by the ion selective electrode method. In this study zirconium ion impregnated coconut shell charcoal (ZICSC) showed maximum fluoride uptake</w:t>
      </w:r>
      <w:r w:rsidR="00F81221">
        <w:t xml:space="preserve"> and </w:t>
      </w:r>
      <w:r w:rsidRPr="00A428C3">
        <w:t>proved to be the most effective defluoridating agent followed by CaO</w:t>
      </w:r>
      <w:r w:rsidR="00F81221">
        <w:t xml:space="preserve"> and </w:t>
      </w:r>
      <w:r w:rsidRPr="00A428C3">
        <w:t>Alum.</w:t>
      </w:r>
    </w:p>
    <w:p w:rsidR="00B95188" w:rsidRPr="00A428C3" w:rsidRDefault="00B95188" w:rsidP="00B95188">
      <w:pPr>
        <w:pStyle w:val="a0"/>
      </w:pPr>
      <w:r w:rsidRPr="00A428C3">
        <w:t>Keywords: Activated Coconut Shell Charcoal, Adsorption, Alum, Aluminum, Alzheimers-Disease, Aqueous-Solutions, Calcium Oxide, Carbon, Column, Continuous Flow Method, Defluoridation, Drinking Water, Fluoride, Impregnation, Ion Selective Electrode, Preconcentration, Water, X-Ray-Fluorescence, Zirconium, Zirconium Oxychloride</w:t>
      </w:r>
    </w:p>
    <w:p w:rsidR="00FD3BC9" w:rsidRDefault="00FD3BC9" w:rsidP="00FD3BC9">
      <w:pPr>
        <w:pStyle w:val="a0"/>
        <w:rPr>
          <w:kern w:val="0"/>
          <w:szCs w:val="24"/>
        </w:rPr>
      </w:pPr>
      <w:r>
        <w:rPr>
          <w:rFonts w:hint="eastAsia"/>
          <w:kern w:val="0"/>
          <w:szCs w:val="24"/>
        </w:rPr>
        <w:t xml:space="preserve">? </w:t>
      </w:r>
      <w:r>
        <w:rPr>
          <w:kern w:val="0"/>
          <w:szCs w:val="24"/>
        </w:rPr>
        <w:t>Arora, S., Dhaliwal, S.S.</w:t>
      </w:r>
      <w:r w:rsidR="00F81221">
        <w:rPr>
          <w:kern w:val="0"/>
          <w:szCs w:val="24"/>
        </w:rPr>
        <w:t xml:space="preserve"> and </w:t>
      </w:r>
      <w:r>
        <w:rPr>
          <w:kern w:val="0"/>
          <w:szCs w:val="24"/>
        </w:rPr>
        <w:t xml:space="preserve">Kukrej, V.K. (2006), Modelling of the displacement washing of pulp fibre bed. </w:t>
      </w:r>
      <w:r>
        <w:rPr>
          <w:i/>
          <w:iCs/>
          <w:kern w:val="0"/>
          <w:szCs w:val="24"/>
        </w:rPr>
        <w:t>Indian Journal of Chemical Technology</w:t>
      </w:r>
      <w:r>
        <w:rPr>
          <w:kern w:val="0"/>
          <w:szCs w:val="24"/>
        </w:rPr>
        <w:t xml:space="preserve">, </w:t>
      </w:r>
      <w:r>
        <w:rPr>
          <w:b/>
          <w:bCs/>
          <w:kern w:val="0"/>
          <w:szCs w:val="24"/>
        </w:rPr>
        <w:t>13</w:t>
      </w:r>
      <w:r>
        <w:rPr>
          <w:kern w:val="0"/>
          <w:szCs w:val="24"/>
        </w:rPr>
        <w:t xml:space="preserve"> (5), 433-439.</w:t>
      </w:r>
    </w:p>
    <w:p w:rsidR="00FD3BC9" w:rsidRPr="00A428C3" w:rsidRDefault="00FD3BC9" w:rsidP="00FD3BC9">
      <w:pPr>
        <w:pStyle w:val="a0"/>
      </w:pPr>
      <w:r w:rsidRPr="00A428C3">
        <w:t xml:space="preserve">Full Text: </w:t>
      </w:r>
      <w:hyperlink r:id="rId882" w:history="1">
        <w:r w:rsidRPr="00FD3BC9">
          <w:rPr>
            <w:rStyle w:val="a5"/>
          </w:rPr>
          <w:t>2006\Ind J Che Tec13, 433.pdf</w:t>
        </w:r>
      </w:hyperlink>
    </w:p>
    <w:p w:rsidR="00FD3BC9" w:rsidRDefault="00FD3BC9" w:rsidP="00FD3BC9">
      <w:pPr>
        <w:pStyle w:val="a0"/>
        <w:rPr>
          <w:kern w:val="0"/>
          <w:szCs w:val="24"/>
        </w:rPr>
      </w:pPr>
      <w:r>
        <w:rPr>
          <w:kern w:val="0"/>
          <w:szCs w:val="24"/>
        </w:rPr>
        <w:t>Abstract: The mechanism of the displacement washingg of the bed of pulp fibres is mathematically modelled using a single parameter namely, Peclet number. The bulk fluid concentration is assumed to be the function of washing period</w:t>
      </w:r>
      <w:r w:rsidR="00F81221">
        <w:rPr>
          <w:kern w:val="0"/>
          <w:szCs w:val="24"/>
        </w:rPr>
        <w:t xml:space="preserve"> and </w:t>
      </w:r>
      <w:r>
        <w:rPr>
          <w:kern w:val="0"/>
          <w:szCs w:val="24"/>
        </w:rPr>
        <w:t>position in the bed. The effect of Peclet number on exit solute concentration is shown using the breakthrough curves. A non-linear adsorption isotherm (Langmuir) is used to describe the relationship between bulk fluid-concentration</w:t>
      </w:r>
      <w:r w:rsidR="00F81221">
        <w:rPr>
          <w:kern w:val="0"/>
          <w:szCs w:val="24"/>
        </w:rPr>
        <w:t xml:space="preserve"> and </w:t>
      </w:r>
      <w:r>
        <w:rPr>
          <w:kern w:val="0"/>
          <w:szCs w:val="24"/>
        </w:rPr>
        <w:t>the concentration of solute accumulated on the particle surface. The validity of the model is shown using the literature data. A comparison of washing behaviour of pulp fibres</w:t>
      </w:r>
      <w:r w:rsidR="00F81221">
        <w:rPr>
          <w:kern w:val="0"/>
          <w:szCs w:val="24"/>
        </w:rPr>
        <w:t xml:space="preserve"> and </w:t>
      </w:r>
      <w:r>
        <w:rPr>
          <w:kern w:val="0"/>
          <w:szCs w:val="24"/>
        </w:rPr>
        <w:t>static bed of glass beads is also presented.</w:t>
      </w:r>
    </w:p>
    <w:p w:rsidR="00FD3BC9" w:rsidRDefault="00FD3BC9" w:rsidP="00FD3BC9">
      <w:pPr>
        <w:pStyle w:val="a0"/>
        <w:rPr>
          <w:kern w:val="0"/>
          <w:szCs w:val="24"/>
        </w:rPr>
      </w:pPr>
      <w:r>
        <w:rPr>
          <w:kern w:val="0"/>
          <w:szCs w:val="24"/>
        </w:rPr>
        <w:t>Keywords: Adsorption, Adsorption Isotherm, Axial Dispersion Model, Beads, Breakthrough, Comparison, Exit Solute Concentration, Flow, Isotherm, Langmuir, Langmuir Isotherm, Literature, Model, Modelling, Orthogonal Collocation on Finite Elements, Packed-Beds, Peclet Number</w:t>
      </w:r>
    </w:p>
    <w:p w:rsidR="00B95188" w:rsidRPr="00A428C3" w:rsidRDefault="00B95188" w:rsidP="00B95188">
      <w:pPr>
        <w:pStyle w:val="a0"/>
      </w:pPr>
      <w:r w:rsidRPr="00A428C3">
        <w:t>? Aravind, V.</w:t>
      </w:r>
      <w:r w:rsidR="00F81221">
        <w:t xml:space="preserve"> and </w:t>
      </w:r>
      <w:r w:rsidRPr="00A428C3">
        <w:t>Elango, K.P. (2006), Adsorption of fluoride onto magnesia-Equilibrium</w:t>
      </w:r>
      <w:r w:rsidR="00F81221">
        <w:t xml:space="preserve"> and </w:t>
      </w:r>
      <w:r w:rsidRPr="00A428C3">
        <w:t xml:space="preserve">thermodynamic study. </w:t>
      </w:r>
      <w:r w:rsidRPr="00A428C3">
        <w:rPr>
          <w:i/>
          <w:iCs/>
        </w:rPr>
        <w:t>Indian Journal of Chemical Technology</w:t>
      </w:r>
      <w:r w:rsidRPr="00A428C3">
        <w:t xml:space="preserve">, </w:t>
      </w:r>
      <w:r w:rsidRPr="00A428C3">
        <w:rPr>
          <w:b/>
        </w:rPr>
        <w:t>13</w:t>
      </w:r>
      <w:r w:rsidRPr="00A428C3">
        <w:t xml:space="preserve"> (5), 476-483.</w:t>
      </w:r>
    </w:p>
    <w:p w:rsidR="00B95188" w:rsidRPr="00A428C3" w:rsidRDefault="00B95188" w:rsidP="00B95188">
      <w:pPr>
        <w:pStyle w:val="a0"/>
      </w:pPr>
      <w:r w:rsidRPr="00A428C3">
        <w:t xml:space="preserve">Full Text: </w:t>
      </w:r>
      <w:hyperlink r:id="rId883" w:history="1">
        <w:r w:rsidRPr="00A428C3">
          <w:rPr>
            <w:rStyle w:val="a5"/>
          </w:rPr>
          <w:t>2006\Ind J Che Tec13, 476.pdf</w:t>
        </w:r>
      </w:hyperlink>
    </w:p>
    <w:p w:rsidR="00B95188" w:rsidRPr="00A428C3" w:rsidRDefault="00B95188" w:rsidP="00B95188">
      <w:pPr>
        <w:pStyle w:val="a0"/>
      </w:pPr>
      <w:r w:rsidRPr="00A428C3">
        <w:t xml:space="preserve">Abstract: Batch sorption system using magnesium oxide as an adsorbent was </w:t>
      </w:r>
      <w:r w:rsidRPr="00A428C3">
        <w:lastRenderedPageBreak/>
        <w:t>investigated to remove fluoride ions from aqueous solutions. The system variables studied include initial concentration of the sorbate, agitation time, adsorbent dose, pH, co-ions</w:t>
      </w:r>
      <w:r w:rsidR="00F81221">
        <w:t xml:space="preserve"> and </w:t>
      </w:r>
      <w:r w:rsidRPr="00A428C3">
        <w:t xml:space="preserve">temperature. The experimental data fitted well to the Freundlich isotherm while, poorly to the Langmuir isotherm. Thermodynamic parameters such as </w:t>
      </w:r>
      <w:r w:rsidR="005D5634">
        <w:sym w:font="Symbol" w:char="F044"/>
      </w:r>
      <w:r w:rsidRPr="00A428C3">
        <w:t>H</w:t>
      </w:r>
      <w:r w:rsidR="005D5634">
        <w:t>°</w:t>
      </w:r>
      <w:r w:rsidRPr="00A428C3">
        <w:t xml:space="preserve">, </w:t>
      </w:r>
      <w:r w:rsidR="005D5634">
        <w:sym w:font="Symbol" w:char="F044"/>
      </w:r>
      <w:r w:rsidRPr="00A428C3">
        <w:t>S</w:t>
      </w:r>
      <w:r w:rsidR="005D5634">
        <w:t>°</w:t>
      </w:r>
      <w:r w:rsidR="00F81221">
        <w:t xml:space="preserve"> and </w:t>
      </w:r>
      <w:r w:rsidR="005D5634">
        <w:sym w:font="Symbol" w:char="F044"/>
      </w:r>
      <w:r w:rsidRPr="00A428C3">
        <w:t>G</w:t>
      </w:r>
      <w:r w:rsidR="005D5634">
        <w:t>°</w:t>
      </w:r>
      <w:r w:rsidRPr="00A428C3">
        <w:t xml:space="preserve"> were calculated indicating that the adsorption was a spontaneous, endothermic</w:t>
      </w:r>
      <w:r w:rsidR="00F81221">
        <w:t xml:space="preserve"> and </w:t>
      </w:r>
      <w:r w:rsidRPr="00A428C3">
        <w:t>a physical process. Kinetic studies reveal that the adsorption is first order. A mechanism involving three stages (external surface adsorption, intraparticle diffusion</w:t>
      </w:r>
      <w:r w:rsidR="00F81221">
        <w:t xml:space="preserve"> and </w:t>
      </w:r>
      <w:r w:rsidRPr="00A428C3">
        <w:t>final equilibrium) has been proposed for the adsorption of fluoride ions onto MgO. XRD patterns of the adsorbent were recorded to act a better in sight into the mechanism of the adsorption process.</w:t>
      </w:r>
    </w:p>
    <w:p w:rsidR="00B95188" w:rsidRPr="00A428C3" w:rsidRDefault="00B95188" w:rsidP="00B95188">
      <w:pPr>
        <w:pStyle w:val="a0"/>
      </w:pPr>
      <w:r w:rsidRPr="00A428C3">
        <w:t>Keywords: Defluoridation, Isotherm, Adsorption, Activated Carbon, Sorbent</w:t>
      </w:r>
    </w:p>
    <w:p w:rsidR="008D4E06" w:rsidRDefault="008D4E06" w:rsidP="008D4E06">
      <w:pPr>
        <w:pStyle w:val="a0"/>
        <w:rPr>
          <w:kern w:val="0"/>
          <w:szCs w:val="24"/>
        </w:rPr>
      </w:pPr>
      <w:r>
        <w:rPr>
          <w:rFonts w:hint="eastAsia"/>
          <w:kern w:val="0"/>
          <w:szCs w:val="24"/>
        </w:rPr>
        <w:t xml:space="preserve">? </w:t>
      </w:r>
      <w:r>
        <w:rPr>
          <w:kern w:val="0"/>
          <w:szCs w:val="24"/>
        </w:rPr>
        <w:t>Jayswal, A.</w:t>
      </w:r>
      <w:r w:rsidR="00F81221">
        <w:rPr>
          <w:kern w:val="0"/>
          <w:szCs w:val="24"/>
        </w:rPr>
        <w:t xml:space="preserve"> and </w:t>
      </w:r>
      <w:r>
        <w:rPr>
          <w:kern w:val="0"/>
          <w:szCs w:val="24"/>
        </w:rPr>
        <w:t xml:space="preserve">Chudasama, U. (2006), Sorption of water soluble dyes using inorganic materials as sorbents. </w:t>
      </w:r>
      <w:r>
        <w:rPr>
          <w:i/>
          <w:iCs/>
          <w:kern w:val="0"/>
          <w:szCs w:val="24"/>
        </w:rPr>
        <w:t>Indian Journal of Chemical Technology</w:t>
      </w:r>
      <w:r>
        <w:rPr>
          <w:kern w:val="0"/>
          <w:szCs w:val="24"/>
        </w:rPr>
        <w:t xml:space="preserve">, </w:t>
      </w:r>
      <w:r>
        <w:rPr>
          <w:b/>
          <w:bCs/>
          <w:kern w:val="0"/>
          <w:szCs w:val="24"/>
        </w:rPr>
        <w:t>13</w:t>
      </w:r>
      <w:r>
        <w:rPr>
          <w:kern w:val="0"/>
          <w:szCs w:val="24"/>
        </w:rPr>
        <w:t xml:space="preserve"> (6), 539-543.</w:t>
      </w:r>
    </w:p>
    <w:p w:rsidR="008D4E06" w:rsidRDefault="008D4E06" w:rsidP="008D4E06">
      <w:pPr>
        <w:pStyle w:val="a0"/>
        <w:jc w:val="left"/>
        <w:rPr>
          <w:kern w:val="0"/>
        </w:rPr>
      </w:pPr>
      <w:r w:rsidRPr="00A428C3">
        <w:t>Full Text:</w:t>
      </w:r>
      <w:r w:rsidRPr="002F0727">
        <w:t xml:space="preserve"> </w:t>
      </w:r>
      <w:hyperlink r:id="rId884" w:history="1">
        <w:r w:rsidRPr="008D4E06">
          <w:rPr>
            <w:rStyle w:val="a5"/>
          </w:rPr>
          <w:t>2006\Ind J Che Tec13, 539.pdf</w:t>
        </w:r>
      </w:hyperlink>
    </w:p>
    <w:p w:rsidR="008D4E06" w:rsidRDefault="008D4E06" w:rsidP="008D4E06">
      <w:pPr>
        <w:pStyle w:val="a0"/>
        <w:rPr>
          <w:kern w:val="0"/>
          <w:szCs w:val="24"/>
        </w:rPr>
      </w:pPr>
      <w:r>
        <w:rPr>
          <w:kern w:val="0"/>
          <w:szCs w:val="24"/>
        </w:rPr>
        <w:t>Abstract: Ion exchange technique has been used for treatment of wastewater containing dyes. Zirconium molybdate (ZM) an inorganic cation exchanger of the class of tetravalent metal acid salt has been used for the purpose. Sorption of dyes namely crystal violet (CV), methyleneblue (MB)</w:t>
      </w:r>
      <w:r w:rsidR="00F81221">
        <w:rPr>
          <w:kern w:val="0"/>
          <w:szCs w:val="24"/>
        </w:rPr>
        <w:t xml:space="preserve"> and </w:t>
      </w:r>
      <w:r>
        <w:rPr>
          <w:kern w:val="0"/>
          <w:szCs w:val="24"/>
        </w:rPr>
        <w:t>rhodamine6G (R6G) has been carried out on zirconium molybdate by varying pH</w:t>
      </w:r>
      <w:r w:rsidR="00F81221">
        <w:rPr>
          <w:kern w:val="0"/>
          <w:szCs w:val="24"/>
        </w:rPr>
        <w:t xml:space="preserve"> and </w:t>
      </w:r>
      <w:r>
        <w:rPr>
          <w:kern w:val="0"/>
          <w:szCs w:val="24"/>
        </w:rPr>
        <w:t>flow rate. The dyes can be effectively recovered by Using dilute acids such as HCl, HNO3</w:t>
      </w:r>
      <w:r w:rsidR="00F81221">
        <w:rPr>
          <w:kern w:val="0"/>
          <w:szCs w:val="24"/>
        </w:rPr>
        <w:t xml:space="preserve"> and </w:t>
      </w:r>
      <w:r>
        <w:rPr>
          <w:kern w:val="0"/>
          <w:szCs w:val="24"/>
        </w:rPr>
        <w:t>H2SO4. Similar studies have also been carried out using zirconia (ZO) for comparison. Considerable differences in the binding of the dyes tested, have been observed. In general, heteropolycyclic dyes exhibit more affinity towards ZM as compared to ZO.</w:t>
      </w:r>
    </w:p>
    <w:p w:rsidR="008D4E06" w:rsidRDefault="008D4E06" w:rsidP="008D4E06">
      <w:pPr>
        <w:pStyle w:val="a0"/>
        <w:rPr>
          <w:kern w:val="0"/>
          <w:szCs w:val="24"/>
        </w:rPr>
      </w:pPr>
      <w:r>
        <w:rPr>
          <w:kern w:val="0"/>
          <w:szCs w:val="24"/>
        </w:rPr>
        <w:t xml:space="preserve">Keywords: Adsorption, Aqueous-Solutions, Biodegradation, Cation Exchanger, Cation-Exchanger, Chitin, Color, Comparison, Crystal Violet, Decolorization, Dyes, Effluents, Epichlorohydrin-Cellulose Polymer, Exchange, Ion Exchange, Methylene Blue, </w:t>
      </w:r>
      <w:r>
        <w:rPr>
          <w:rFonts w:hint="eastAsia"/>
          <w:kern w:val="0"/>
          <w:szCs w:val="24"/>
        </w:rPr>
        <w:t>p</w:t>
      </w:r>
      <w:r>
        <w:rPr>
          <w:kern w:val="0"/>
          <w:szCs w:val="24"/>
        </w:rPr>
        <w:t>H, Removal, Rhodamine 6G, Sorption, Tetravalent Metal Acid Salt, Treatment, Wastewater, Wastewater Treatment, Water, Zirconium Molybdate</w:t>
      </w:r>
    </w:p>
    <w:p w:rsidR="00B95188" w:rsidRPr="00A428C3" w:rsidRDefault="00B95188" w:rsidP="00B95188">
      <w:pPr>
        <w:pStyle w:val="a0"/>
      </w:pPr>
      <w:r w:rsidRPr="00A428C3">
        <w:t>? Shibi, I.G.</w:t>
      </w:r>
      <w:r w:rsidR="00F81221">
        <w:t xml:space="preserve"> and </w:t>
      </w:r>
      <w:r w:rsidRPr="00A428C3">
        <w:t>Anirudhan, T.S. (2006), Kinetic</w:t>
      </w:r>
      <w:r w:rsidR="00F81221">
        <w:t xml:space="preserve"> and </w:t>
      </w:r>
      <w:r w:rsidRPr="00A428C3">
        <w:t xml:space="preserve">equilibrium modeling of adsorption of cobalt(II) from aqueous solutions onto surface modified lignocellulosics (Musa paradisiaca). </w:t>
      </w:r>
      <w:r w:rsidRPr="00A428C3">
        <w:rPr>
          <w:i/>
          <w:iCs/>
        </w:rPr>
        <w:t>Indian Journal of Chemical Technology</w:t>
      </w:r>
      <w:r w:rsidRPr="00A428C3">
        <w:t xml:space="preserve">, </w:t>
      </w:r>
      <w:r w:rsidRPr="00A428C3">
        <w:rPr>
          <w:b/>
        </w:rPr>
        <w:t>13</w:t>
      </w:r>
      <w:r w:rsidRPr="00A428C3">
        <w:t xml:space="preserve"> (6), 567-575.</w:t>
      </w:r>
    </w:p>
    <w:p w:rsidR="00D02307" w:rsidRDefault="00D02307" w:rsidP="00D02307">
      <w:pPr>
        <w:pStyle w:val="a0"/>
        <w:jc w:val="left"/>
        <w:rPr>
          <w:kern w:val="0"/>
        </w:rPr>
      </w:pPr>
      <w:r w:rsidRPr="00A428C3">
        <w:t>Full Text:</w:t>
      </w:r>
      <w:r w:rsidRPr="002F0727">
        <w:t xml:space="preserve"> </w:t>
      </w:r>
      <w:hyperlink r:id="rId885" w:history="1">
        <w:r w:rsidR="008D4E06" w:rsidRPr="008D4E06">
          <w:rPr>
            <w:rStyle w:val="a5"/>
          </w:rPr>
          <w:t>2006\Ind J Che Tec13, 567.pdf</w:t>
        </w:r>
      </w:hyperlink>
    </w:p>
    <w:p w:rsidR="00B95188" w:rsidRPr="00A428C3" w:rsidRDefault="00B95188" w:rsidP="00B95188">
      <w:pPr>
        <w:pStyle w:val="a0"/>
      </w:pPr>
      <w:r w:rsidRPr="00A428C3">
        <w:t>Abstract: Banana (Musa paradisiaca) Stalk (BS), an agricultural waste, modified by graft copolymerization reaction might be the basis of a new approach to remove the metal pollutants from water. The treatment process involves graft copolymerization of acrylamide onto BS using ferrous ammonium sulphate/H</w:t>
      </w:r>
      <w:r w:rsidRPr="00A428C3">
        <w:rPr>
          <w:vertAlign w:val="subscript"/>
        </w:rPr>
        <w:t>2</w:t>
      </w:r>
      <w:r w:rsidRPr="00A428C3">
        <w:t>O</w:t>
      </w:r>
      <w:r w:rsidRPr="00A428C3">
        <w:rPr>
          <w:vertAlign w:val="subscript"/>
        </w:rPr>
        <w:t>2</w:t>
      </w:r>
      <w:r w:rsidRPr="00A428C3">
        <w:t xml:space="preserve"> redox initiator system followed by functionalization of carboxylate group (PGBS-COOH). In this </w:t>
      </w:r>
      <w:r w:rsidRPr="00A428C3">
        <w:lastRenderedPageBreak/>
        <w:t>paper, the efficiency of the PGBS-COOH in the removal of Co(II) from aqueous solutions has been investigated using batch experiments. The influence of different experimental parameters such as pH, contact time, initial concentration of Co(II), adsorbent dose</w:t>
      </w:r>
      <w:r w:rsidR="00F81221">
        <w:t xml:space="preserve"> and </w:t>
      </w:r>
      <w:r w:rsidRPr="00A428C3">
        <w:t>temperature on the adsorption process has been studied. The maximum adsorption capacity is observed at the pH range 6.5-8.0. Maximum removals of 99.7</w:t>
      </w:r>
      <w:r w:rsidR="00F81221">
        <w:t xml:space="preserve"> and </w:t>
      </w:r>
      <w:r w:rsidRPr="00A428C3">
        <w:t>97.2% are observed at Co(II) concentration of 25.0</w:t>
      </w:r>
      <w:r w:rsidR="00F81221">
        <w:t xml:space="preserve"> and </w:t>
      </w:r>
      <w:r w:rsidRPr="00A428C3">
        <w:t>50.0 mg/L, respectively. A kinetic model based on empirical relationship has been derived to predict the percentage Co(II) removal at any time for known amount of sorbent</w:t>
      </w:r>
      <w:r w:rsidR="00F81221">
        <w:t xml:space="preserve"> and </w:t>
      </w:r>
      <w:r w:rsidRPr="00A428C3">
        <w:t>initial Co(II) concentration. The surface mass-transfer coefficient as a function of temperature has been determined. Kinetic parameters are also evaluated. The Langmuir isotherm model fitted the experimental equilibrium data. The PGBS-COOH had adsorption capacities for Co(II) from 166.66 mg/g at 30</w:t>
      </w:r>
      <w:r w:rsidR="00292964">
        <w:t>°</w:t>
      </w:r>
      <w:r w:rsidRPr="00A428C3">
        <w:t>C to 181.46 mg/g at 60 degrees C. Graft copolymerization of BS-an agricultural waste which is found in abundance</w:t>
      </w:r>
      <w:r w:rsidR="00F81221">
        <w:t xml:space="preserve"> and </w:t>
      </w:r>
      <w:r w:rsidRPr="00A428C3">
        <w:t>has otherwise no significant use</w:t>
      </w:r>
      <w:r w:rsidR="00F81221">
        <w:t xml:space="preserve"> and </w:t>
      </w:r>
      <w:r w:rsidRPr="00A428C3">
        <w:t>results in a low cost-value-added product which can benefit industry.</w:t>
      </w:r>
    </w:p>
    <w:p w:rsidR="00B95188" w:rsidRPr="00A428C3" w:rsidRDefault="00B95188" w:rsidP="00B95188">
      <w:pPr>
        <w:pStyle w:val="a0"/>
      </w:pPr>
      <w:r w:rsidRPr="00A428C3">
        <w:t>Keywords: Abundance, Acrylamide, Adsorption, Ammonium, Banana Stalk, Batch Experiments, Benefit, Capacity, Carboxylate, Co(II) Removal, Concentration, Copolymerization, Efficiency, Equilibrium, Functionalization, Graft Copolymerization, Ion-Exchange, Isotherm, Kinetic, Kinetic Model, Langmuir Isotherm, Mass Transfer, Membrane, Model, Modeling, Modified, Paper, Parameters</w:t>
      </w:r>
      <w:r>
        <w:t>, pH,</w:t>
      </w:r>
      <w:r w:rsidRPr="00A428C3">
        <w:t xml:space="preserve"> Pollutants, Predict, Range, Reaction, Redox, Removal, Silica, Sorption, Surface, Temperature, Treatment, Waste, Waste-Water, Water</w:t>
      </w:r>
    </w:p>
    <w:p w:rsidR="00292964" w:rsidRDefault="00292964" w:rsidP="00292964">
      <w:pPr>
        <w:pStyle w:val="a0"/>
        <w:rPr>
          <w:kern w:val="0"/>
          <w:szCs w:val="24"/>
        </w:rPr>
      </w:pPr>
      <w:r>
        <w:rPr>
          <w:rFonts w:hint="eastAsia"/>
          <w:kern w:val="0"/>
          <w:szCs w:val="24"/>
        </w:rPr>
        <w:t xml:space="preserve">? </w:t>
      </w:r>
      <w:r>
        <w:rPr>
          <w:kern w:val="0"/>
          <w:szCs w:val="24"/>
        </w:rPr>
        <w:t>Bhattacharya, A.K., Mandal, S.N.</w:t>
      </w:r>
      <w:r w:rsidR="00F81221">
        <w:rPr>
          <w:kern w:val="0"/>
          <w:szCs w:val="24"/>
        </w:rPr>
        <w:t xml:space="preserve"> and </w:t>
      </w:r>
      <w:r>
        <w:rPr>
          <w:kern w:val="0"/>
          <w:szCs w:val="24"/>
        </w:rPr>
        <w:t xml:space="preserve">Das, S.K. (2006), Removal of Cr(VI) from aqueous solution by adsorption onto low cost non-conventional adsorbents. </w:t>
      </w:r>
      <w:r>
        <w:rPr>
          <w:i/>
          <w:iCs/>
          <w:kern w:val="0"/>
          <w:szCs w:val="24"/>
        </w:rPr>
        <w:t>Indian Journal of Chemical Technology</w:t>
      </w:r>
      <w:r>
        <w:rPr>
          <w:kern w:val="0"/>
          <w:szCs w:val="24"/>
        </w:rPr>
        <w:t xml:space="preserve">, </w:t>
      </w:r>
      <w:r>
        <w:rPr>
          <w:b/>
          <w:bCs/>
          <w:kern w:val="0"/>
          <w:szCs w:val="24"/>
        </w:rPr>
        <w:t>13</w:t>
      </w:r>
      <w:r>
        <w:rPr>
          <w:kern w:val="0"/>
          <w:szCs w:val="24"/>
        </w:rPr>
        <w:t xml:space="preserve"> (6), 576-583.</w:t>
      </w:r>
    </w:p>
    <w:p w:rsidR="00292964" w:rsidRDefault="00292964" w:rsidP="00292964">
      <w:pPr>
        <w:pStyle w:val="a0"/>
        <w:jc w:val="left"/>
        <w:rPr>
          <w:kern w:val="0"/>
        </w:rPr>
      </w:pPr>
      <w:r w:rsidRPr="00A428C3">
        <w:t>Full Text:</w:t>
      </w:r>
      <w:r w:rsidRPr="002F0727">
        <w:t xml:space="preserve"> </w:t>
      </w:r>
      <w:hyperlink r:id="rId886" w:history="1">
        <w:r w:rsidRPr="00292964">
          <w:rPr>
            <w:rStyle w:val="a5"/>
          </w:rPr>
          <w:t>2006\Ind J Che Tec13, 576.pdf</w:t>
        </w:r>
      </w:hyperlink>
    </w:p>
    <w:p w:rsidR="00292964" w:rsidRDefault="00292964" w:rsidP="00292964">
      <w:pPr>
        <w:pStyle w:val="a0"/>
        <w:rPr>
          <w:kern w:val="0"/>
          <w:szCs w:val="24"/>
        </w:rPr>
      </w:pPr>
      <w:r>
        <w:rPr>
          <w:kern w:val="0"/>
          <w:szCs w:val="24"/>
        </w:rPr>
        <w:t>Abstract: Adsorption behavior of chromium, Cr(VI) from wastewater has been investigated using clarified sludge (a steel plant waste material), rice husk ash</w:t>
      </w:r>
      <w:r w:rsidR="00F81221">
        <w:rPr>
          <w:kern w:val="0"/>
          <w:szCs w:val="24"/>
        </w:rPr>
        <w:t xml:space="preserve"> and </w:t>
      </w:r>
      <w:r>
        <w:rPr>
          <w:kern w:val="0"/>
          <w:szCs w:val="24"/>
        </w:rPr>
        <w:t>sawdust as non-conventional adsorbents. The studies were carried Out at room temperature (30°C) following batch adsorption technique in a reciprocating shaker. Factors affecting the adsorption characteristics such as agitation time, initial metal ion concentration, adsorbent dose</w:t>
      </w:r>
      <w:r w:rsidR="00F81221">
        <w:rPr>
          <w:kern w:val="0"/>
          <w:szCs w:val="24"/>
        </w:rPr>
        <w:t xml:space="preserve"> and </w:t>
      </w:r>
      <w:r>
        <w:rPr>
          <w:kern w:val="0"/>
          <w:szCs w:val="24"/>
        </w:rPr>
        <w:t>pH were studied, Maximum adsorption of Cr(VI) was observed at pH 3. The experimental data fitted to Langmuir</w:t>
      </w:r>
      <w:r w:rsidR="00F81221">
        <w:rPr>
          <w:kern w:val="0"/>
          <w:szCs w:val="24"/>
        </w:rPr>
        <w:t xml:space="preserve"> and </w:t>
      </w:r>
      <w:r>
        <w:rPr>
          <w:kern w:val="0"/>
          <w:szCs w:val="24"/>
        </w:rPr>
        <w:t>Freundlich isotherms. The adsorption process found to follow Lagergren first order kinetics model. Adsorption capacity has been observed to follow the order clarified sludge &gt; rice husk ash &gt; sawdust. At pH 3</w:t>
      </w:r>
      <w:r w:rsidR="00F81221">
        <w:rPr>
          <w:kern w:val="0"/>
          <w:szCs w:val="24"/>
        </w:rPr>
        <w:t xml:space="preserve"> and </w:t>
      </w:r>
      <w:r>
        <w:rPr>
          <w:kern w:val="0"/>
          <w:szCs w:val="24"/>
        </w:rPr>
        <w:t>initial Cr(VI) concentration of 3 mg/L more than 99% removal of Cr(VI) may be possible. The maximum amount of adsorbed metal (q(max)) value is significantly influenced by liquid/solid ratio</w:t>
      </w:r>
      <w:r w:rsidR="00F81221">
        <w:rPr>
          <w:kern w:val="0"/>
          <w:szCs w:val="24"/>
        </w:rPr>
        <w:t xml:space="preserve"> and </w:t>
      </w:r>
      <w:r>
        <w:rPr>
          <w:kern w:val="0"/>
          <w:szCs w:val="24"/>
        </w:rPr>
        <w:t>by the pH values of the metal solutions.</w:t>
      </w:r>
    </w:p>
    <w:p w:rsidR="00292964" w:rsidRDefault="00292964" w:rsidP="00292964">
      <w:pPr>
        <w:pStyle w:val="a0"/>
        <w:rPr>
          <w:kern w:val="0"/>
          <w:szCs w:val="24"/>
        </w:rPr>
      </w:pPr>
      <w:r>
        <w:rPr>
          <w:kern w:val="0"/>
          <w:szCs w:val="24"/>
        </w:rPr>
        <w:lastRenderedPageBreak/>
        <w:t>Keywords: Activated Carbon, Adsorbents, Adsorption, Adsorption Capacity, Bagasse Fly-Ash, Batch, Cadmium, Capacity, Chromium, Chromium(VI), Cost, Cr(VI), Freundlich, Heavy-Metals, Hexavalent Chromium, Isotherms, Kinetics, Lagergren Model, Langmuir, Langmuir</w:t>
      </w:r>
      <w:r w:rsidR="00F81221">
        <w:rPr>
          <w:kern w:val="0"/>
          <w:szCs w:val="24"/>
        </w:rPr>
        <w:t xml:space="preserve"> and </w:t>
      </w:r>
      <w:r>
        <w:rPr>
          <w:kern w:val="0"/>
          <w:szCs w:val="24"/>
        </w:rPr>
        <w:t xml:space="preserve">Freundlich Isotherms, Model, Non-Conventional Adsorbent, </w:t>
      </w:r>
      <w:r>
        <w:rPr>
          <w:rFonts w:hint="eastAsia"/>
          <w:kern w:val="0"/>
          <w:szCs w:val="24"/>
        </w:rPr>
        <w:t>p</w:t>
      </w:r>
      <w:r>
        <w:rPr>
          <w:kern w:val="0"/>
          <w:szCs w:val="24"/>
        </w:rPr>
        <w:t>H, Removal, Rice, Sawdust, Steel, Sugar-Industry Waste, Temperature, Wastewater, Water, Zinc</w:t>
      </w:r>
    </w:p>
    <w:p w:rsidR="00292964" w:rsidRDefault="00292964" w:rsidP="00292964">
      <w:pPr>
        <w:pStyle w:val="a0"/>
        <w:rPr>
          <w:kern w:val="0"/>
          <w:szCs w:val="24"/>
        </w:rPr>
      </w:pPr>
      <w:r>
        <w:rPr>
          <w:rFonts w:hint="eastAsia"/>
          <w:kern w:val="0"/>
          <w:szCs w:val="24"/>
        </w:rPr>
        <w:t xml:space="preserve">? </w:t>
      </w:r>
      <w:r>
        <w:rPr>
          <w:kern w:val="0"/>
          <w:szCs w:val="24"/>
        </w:rPr>
        <w:t>Hossain, S.M.</w:t>
      </w:r>
      <w:r w:rsidR="00F81221">
        <w:rPr>
          <w:kern w:val="0"/>
          <w:szCs w:val="24"/>
        </w:rPr>
        <w:t xml:space="preserve"> and </w:t>
      </w:r>
      <w:r>
        <w:rPr>
          <w:kern w:val="0"/>
          <w:szCs w:val="24"/>
        </w:rPr>
        <w:t>Anantharaman, N. (2006), Studies on bacterial growth</w:t>
      </w:r>
      <w:r w:rsidR="00F81221">
        <w:rPr>
          <w:kern w:val="0"/>
          <w:szCs w:val="24"/>
        </w:rPr>
        <w:t xml:space="preserve"> and </w:t>
      </w:r>
      <w:r>
        <w:rPr>
          <w:kern w:val="0"/>
          <w:szCs w:val="24"/>
        </w:rPr>
        <w:t>lead(I</w:t>
      </w:r>
      <w:r>
        <w:rPr>
          <w:rFonts w:hint="eastAsia"/>
          <w:kern w:val="0"/>
          <w:szCs w:val="24"/>
        </w:rPr>
        <w:t>V</w:t>
      </w:r>
      <w:r>
        <w:rPr>
          <w:kern w:val="0"/>
          <w:szCs w:val="24"/>
        </w:rPr>
        <w:t xml:space="preserve">) biosorption using Bacillus subtilis. </w:t>
      </w:r>
      <w:r>
        <w:rPr>
          <w:i/>
          <w:iCs/>
          <w:kern w:val="0"/>
          <w:szCs w:val="24"/>
        </w:rPr>
        <w:t>Indian Journal of Chemical Technology</w:t>
      </w:r>
      <w:r>
        <w:rPr>
          <w:kern w:val="0"/>
          <w:szCs w:val="24"/>
        </w:rPr>
        <w:t xml:space="preserve">, </w:t>
      </w:r>
      <w:r>
        <w:rPr>
          <w:b/>
          <w:bCs/>
          <w:kern w:val="0"/>
          <w:szCs w:val="24"/>
        </w:rPr>
        <w:t>13</w:t>
      </w:r>
      <w:r>
        <w:rPr>
          <w:kern w:val="0"/>
          <w:szCs w:val="24"/>
        </w:rPr>
        <w:t xml:space="preserve"> (6), 591-596.</w:t>
      </w:r>
    </w:p>
    <w:p w:rsidR="00292964" w:rsidRDefault="00292964" w:rsidP="00292964">
      <w:pPr>
        <w:pStyle w:val="a0"/>
        <w:jc w:val="left"/>
        <w:rPr>
          <w:kern w:val="0"/>
        </w:rPr>
      </w:pPr>
      <w:r w:rsidRPr="00A428C3">
        <w:t>Full Text:</w:t>
      </w:r>
      <w:r w:rsidRPr="002F0727">
        <w:t xml:space="preserve"> </w:t>
      </w:r>
      <w:hyperlink r:id="rId887" w:history="1">
        <w:r w:rsidRPr="00292964">
          <w:rPr>
            <w:rStyle w:val="a5"/>
          </w:rPr>
          <w:t>2006\Ind J Che Tec13, 591.pdf</w:t>
        </w:r>
      </w:hyperlink>
    </w:p>
    <w:p w:rsidR="00292964" w:rsidRDefault="00292964" w:rsidP="00292964">
      <w:pPr>
        <w:pStyle w:val="a0"/>
        <w:rPr>
          <w:kern w:val="0"/>
          <w:szCs w:val="24"/>
        </w:rPr>
      </w:pPr>
      <w:r>
        <w:rPr>
          <w:kern w:val="0"/>
          <w:szCs w:val="24"/>
        </w:rPr>
        <w:t>Abstract: Gram-positive bacterium Bacillus subtilis biosorbs lead(I</w:t>
      </w:r>
      <w:r>
        <w:rPr>
          <w:rFonts w:hint="eastAsia"/>
          <w:kern w:val="0"/>
          <w:szCs w:val="24"/>
        </w:rPr>
        <w:t>V</w:t>
      </w:r>
      <w:r>
        <w:rPr>
          <w:kern w:val="0"/>
          <w:szCs w:val="24"/>
        </w:rPr>
        <w:t>) ion from its aqueous solution. The maximum biosorption of lead is 97.68% (w/w) within 48 h of incubation time with optimum pH 4.5</w:t>
      </w:r>
      <w:r w:rsidR="00F81221">
        <w:rPr>
          <w:kern w:val="0"/>
          <w:szCs w:val="24"/>
        </w:rPr>
        <w:t xml:space="preserve"> and </w:t>
      </w:r>
      <w:r>
        <w:rPr>
          <w:kern w:val="0"/>
          <w:szCs w:val="24"/>
        </w:rPr>
        <w:t>optimum temperature 40 degrees C for 700 ppm initial loading of lead in a shake flask (optimum rpm 60). 7 days old</w:t>
      </w:r>
      <w:r w:rsidR="00F81221">
        <w:rPr>
          <w:kern w:val="0"/>
          <w:szCs w:val="24"/>
        </w:rPr>
        <w:t xml:space="preserve"> and </w:t>
      </w:r>
      <w:r>
        <w:rPr>
          <w:kern w:val="0"/>
          <w:szCs w:val="24"/>
        </w:rPr>
        <w:t>30% (v/v) of suspension inoculum culture is used in the studies. Lead is measured by using atomic absorption spectrophotometer (AAS) into all air-acetylene flame</w:t>
      </w:r>
      <w:r w:rsidR="00F81221">
        <w:rPr>
          <w:kern w:val="0"/>
          <w:szCs w:val="24"/>
        </w:rPr>
        <w:t xml:space="preserve"> and </w:t>
      </w:r>
      <w:r>
        <w:rPr>
          <w:kern w:val="0"/>
          <w:szCs w:val="24"/>
        </w:rPr>
        <w:t>absorbance is measured at 283.3 nm. The maximum bacterial growth is noticed as 4.90x 10(8) cells/mL at optimum bioprocess conditions.</w:t>
      </w:r>
    </w:p>
    <w:p w:rsidR="00292964" w:rsidRDefault="00292964" w:rsidP="00292964">
      <w:pPr>
        <w:pStyle w:val="a0"/>
        <w:rPr>
          <w:kern w:val="0"/>
          <w:szCs w:val="24"/>
        </w:rPr>
      </w:pPr>
      <w:r>
        <w:rPr>
          <w:kern w:val="0"/>
          <w:szCs w:val="24"/>
        </w:rPr>
        <w:t xml:space="preserve">Keywords: Absorption, Bacillus Subtilis, Bacteria, Biosorption, Cell-Wall, Charge, Chemistry, Growth, Incubation, Lead, Metal-Binding, Optimum Temperature, </w:t>
      </w:r>
      <w:r>
        <w:rPr>
          <w:rFonts w:hint="eastAsia"/>
          <w:kern w:val="0"/>
          <w:szCs w:val="24"/>
        </w:rPr>
        <w:t>p</w:t>
      </w:r>
      <w:r>
        <w:rPr>
          <w:kern w:val="0"/>
          <w:szCs w:val="24"/>
        </w:rPr>
        <w:t>H, Sites, Temperature</w:t>
      </w:r>
    </w:p>
    <w:p w:rsidR="00D02307" w:rsidRDefault="00D02307" w:rsidP="00D02307">
      <w:pPr>
        <w:pStyle w:val="a0"/>
        <w:rPr>
          <w:kern w:val="0"/>
          <w:szCs w:val="24"/>
        </w:rPr>
      </w:pPr>
      <w:r>
        <w:rPr>
          <w:rFonts w:hint="eastAsia"/>
          <w:kern w:val="0"/>
          <w:szCs w:val="24"/>
        </w:rPr>
        <w:t xml:space="preserve">? </w:t>
      </w:r>
      <w:r>
        <w:rPr>
          <w:kern w:val="0"/>
          <w:szCs w:val="24"/>
        </w:rPr>
        <w:t>Reddithota, D., Yerramilli, A.</w:t>
      </w:r>
      <w:r w:rsidR="00F81221">
        <w:rPr>
          <w:kern w:val="0"/>
          <w:szCs w:val="24"/>
        </w:rPr>
        <w:t xml:space="preserve"> and </w:t>
      </w:r>
      <w:r>
        <w:rPr>
          <w:kern w:val="0"/>
          <w:szCs w:val="24"/>
        </w:rPr>
        <w:t xml:space="preserve">Krupadam, R.J. (2007), Electrocoagulation: A cleaner method for treatment of Cr(VI) from electroplating industrial effluents. </w:t>
      </w:r>
      <w:r>
        <w:rPr>
          <w:i/>
          <w:iCs/>
          <w:kern w:val="0"/>
          <w:szCs w:val="24"/>
        </w:rPr>
        <w:t>Indian Journal of Chemical Technology</w:t>
      </w:r>
      <w:r>
        <w:rPr>
          <w:kern w:val="0"/>
          <w:szCs w:val="24"/>
        </w:rPr>
        <w:t xml:space="preserve">, </w:t>
      </w:r>
      <w:r>
        <w:rPr>
          <w:b/>
          <w:bCs/>
          <w:kern w:val="0"/>
          <w:szCs w:val="24"/>
        </w:rPr>
        <w:t>14</w:t>
      </w:r>
      <w:r>
        <w:rPr>
          <w:kern w:val="0"/>
          <w:szCs w:val="24"/>
        </w:rPr>
        <w:t xml:space="preserve"> (3), 240-245.</w:t>
      </w:r>
    </w:p>
    <w:p w:rsidR="00D02307" w:rsidRDefault="00D02307" w:rsidP="00D02307">
      <w:pPr>
        <w:pStyle w:val="a0"/>
        <w:jc w:val="left"/>
        <w:rPr>
          <w:kern w:val="0"/>
        </w:rPr>
      </w:pPr>
      <w:r w:rsidRPr="00A428C3">
        <w:t>Full Text:</w:t>
      </w:r>
      <w:r w:rsidRPr="002F0727">
        <w:t xml:space="preserve"> </w:t>
      </w:r>
      <w:hyperlink r:id="rId888" w:history="1">
        <w:r w:rsidRPr="00D02307">
          <w:rPr>
            <w:rStyle w:val="a5"/>
          </w:rPr>
          <w:t>2007\Ind J Che Tec14, 240.pdf</w:t>
        </w:r>
      </w:hyperlink>
    </w:p>
    <w:p w:rsidR="00D02307" w:rsidRDefault="00D02307" w:rsidP="00D02307">
      <w:pPr>
        <w:pStyle w:val="a0"/>
        <w:rPr>
          <w:kern w:val="0"/>
          <w:szCs w:val="24"/>
        </w:rPr>
      </w:pPr>
      <w:r>
        <w:rPr>
          <w:kern w:val="0"/>
          <w:szCs w:val="24"/>
        </w:rPr>
        <w:t>Abstract: Chromium contamination in waters are highly toxic even in very low concentrations</w:t>
      </w:r>
      <w:r w:rsidR="00F81221">
        <w:rPr>
          <w:kern w:val="0"/>
          <w:szCs w:val="24"/>
        </w:rPr>
        <w:t xml:space="preserve"> and </w:t>
      </w:r>
      <w:r>
        <w:rPr>
          <w:kern w:val="0"/>
          <w:szCs w:val="24"/>
        </w:rPr>
        <w:t>need to be completely removed from the effluents before they are discharged into a stream, sewer or on land. Electroplating industry is one of the industrial sectors producing chromium bearing wastewaters, mostly originating from chromium plating, anodizing electroplating solutions</w:t>
      </w:r>
      <w:r w:rsidR="00F81221">
        <w:rPr>
          <w:kern w:val="0"/>
          <w:szCs w:val="24"/>
        </w:rPr>
        <w:t xml:space="preserve"> and </w:t>
      </w:r>
      <w:r>
        <w:rPr>
          <w:kern w:val="0"/>
          <w:szCs w:val="24"/>
        </w:rPr>
        <w:t>dip solutions like passivating dips, bright dips, etc. Chromium concentration in the effluents varies from 3 to 50 mg/L depending upon the care with which the plating operations are carried out. The results of this study have shown the applicability of electrocoagulation as a clean method for treatment of Cr(VI) containing wastewaters. The optimum removal of Cr(VI) was attained between pH 4-8. Increase in current density enhances the removal rate</w:t>
      </w:r>
      <w:r w:rsidR="00F81221">
        <w:rPr>
          <w:kern w:val="0"/>
          <w:szCs w:val="24"/>
        </w:rPr>
        <w:t xml:space="preserve"> and </w:t>
      </w:r>
      <w:r>
        <w:rPr>
          <w:kern w:val="0"/>
          <w:szCs w:val="24"/>
        </w:rPr>
        <w:t>the quickest treatment with an effective reduction of Cr(VI) concentrations was achieved below permissible level within 20 min. Iron electrodes were found to be more efficient in removing chromium in comparison to the aluminum</w:t>
      </w:r>
      <w:r w:rsidR="00F81221">
        <w:rPr>
          <w:kern w:val="0"/>
          <w:szCs w:val="24"/>
        </w:rPr>
        <w:t xml:space="preserve"> and </w:t>
      </w:r>
      <w:r>
        <w:rPr>
          <w:kern w:val="0"/>
          <w:szCs w:val="24"/>
        </w:rPr>
        <w:t xml:space="preserve">hydrid Al/Fe electrodes. This may be due to the </w:t>
      </w:r>
      <w:r>
        <w:rPr>
          <w:kern w:val="0"/>
          <w:szCs w:val="24"/>
        </w:rPr>
        <w:lastRenderedPageBreak/>
        <w:t>formation of stable Fe-Cr complex which is more stable than Al-Cr complexes. On the other hand, I kg of Cr(VI) removal produces only 2,8 kg of sludge against 36 kg of sludge generated from iron sulphate precipitation method. The rate of removal is faster in comparison to the adsorption on activated carbon which is one of the most important requirement for practical application of this treatment method.</w:t>
      </w:r>
    </w:p>
    <w:p w:rsidR="00D02307" w:rsidRDefault="00D02307" w:rsidP="00D02307">
      <w:pPr>
        <w:pStyle w:val="a0"/>
        <w:rPr>
          <w:kern w:val="0"/>
          <w:szCs w:val="24"/>
        </w:rPr>
      </w:pPr>
      <w:r>
        <w:rPr>
          <w:kern w:val="0"/>
          <w:szCs w:val="24"/>
        </w:rPr>
        <w:t>Keywords: Activated Carbon, Adsorption, Chromium, Chromium(VI) Treatment, Comparison, Complex, Cr(VI), Cr(VI) Removal, Density, Electrocoagulation, Electroplating Effluents, Industrial Effluents, Iron, Ph, Removal, Textile Waste-Water, Treatment</w:t>
      </w:r>
    </w:p>
    <w:p w:rsidR="00D02307" w:rsidRDefault="00D02307" w:rsidP="00D02307">
      <w:pPr>
        <w:pStyle w:val="a0"/>
        <w:rPr>
          <w:kern w:val="0"/>
          <w:szCs w:val="24"/>
        </w:rPr>
      </w:pPr>
      <w:r>
        <w:rPr>
          <w:rFonts w:hint="eastAsia"/>
          <w:kern w:val="0"/>
          <w:szCs w:val="24"/>
        </w:rPr>
        <w:t xml:space="preserve">? </w:t>
      </w:r>
      <w:r>
        <w:rPr>
          <w:kern w:val="0"/>
          <w:szCs w:val="24"/>
        </w:rPr>
        <w:t>Biswas, R.K.</w:t>
      </w:r>
      <w:r w:rsidR="00F81221">
        <w:rPr>
          <w:kern w:val="0"/>
          <w:szCs w:val="24"/>
        </w:rPr>
        <w:t xml:space="preserve"> and </w:t>
      </w:r>
      <w:r>
        <w:rPr>
          <w:kern w:val="0"/>
          <w:szCs w:val="24"/>
        </w:rPr>
        <w:t xml:space="preserve">Singha, H.P. (2007), Solvent extraction of Cu(II) by purified cyanex 272. </w:t>
      </w:r>
      <w:r>
        <w:rPr>
          <w:i/>
          <w:iCs/>
          <w:kern w:val="0"/>
          <w:szCs w:val="24"/>
        </w:rPr>
        <w:t>Indian Journal of Chemical Technology</w:t>
      </w:r>
      <w:r>
        <w:rPr>
          <w:kern w:val="0"/>
          <w:szCs w:val="24"/>
        </w:rPr>
        <w:t xml:space="preserve">, </w:t>
      </w:r>
      <w:r>
        <w:rPr>
          <w:b/>
          <w:bCs/>
          <w:kern w:val="0"/>
          <w:szCs w:val="24"/>
        </w:rPr>
        <w:t>14</w:t>
      </w:r>
      <w:r>
        <w:rPr>
          <w:kern w:val="0"/>
          <w:szCs w:val="24"/>
        </w:rPr>
        <w:t xml:space="preserve"> (3), 269-275.</w:t>
      </w:r>
    </w:p>
    <w:p w:rsidR="00D02307" w:rsidRDefault="00D02307" w:rsidP="00D02307">
      <w:pPr>
        <w:pStyle w:val="a0"/>
        <w:jc w:val="left"/>
        <w:rPr>
          <w:kern w:val="0"/>
        </w:rPr>
      </w:pPr>
      <w:r w:rsidRPr="00A428C3">
        <w:t>Full Text:</w:t>
      </w:r>
      <w:r w:rsidRPr="002F0727">
        <w:t xml:space="preserve"> </w:t>
      </w:r>
      <w:hyperlink r:id="rId889" w:history="1">
        <w:r w:rsidRPr="00D02307">
          <w:rPr>
            <w:rStyle w:val="a5"/>
          </w:rPr>
          <w:t>2007\Ind J Che Tec14, 269.pdf</w:t>
        </w:r>
      </w:hyperlink>
    </w:p>
    <w:p w:rsidR="00D02307" w:rsidRDefault="00D02307" w:rsidP="00D02307">
      <w:pPr>
        <w:pStyle w:val="a0"/>
        <w:rPr>
          <w:kern w:val="0"/>
          <w:szCs w:val="24"/>
        </w:rPr>
      </w:pPr>
      <w:r>
        <w:rPr>
          <w:kern w:val="0"/>
          <w:szCs w:val="24"/>
        </w:rPr>
        <w:t>Abstract: The solvent extraction of Cu(II) from 0.10 mol/dm</w:t>
      </w:r>
      <w:r>
        <w:rPr>
          <w:rFonts w:hint="eastAsia"/>
          <w:kern w:val="0"/>
          <w:szCs w:val="24"/>
          <w:vertAlign w:val="superscript"/>
        </w:rPr>
        <w:t>3</w:t>
      </w:r>
      <w:r>
        <w:rPr>
          <w:kern w:val="0"/>
          <w:szCs w:val="24"/>
        </w:rPr>
        <w:t xml:space="preserve"> sulphate medium by purified cyanex 272 (bis-2,4,4-trimethylpentylphosphinic acid, BTMPPA, HAD dissolved in distilled aliphatic kerosene has been investigated. The equilibration time is less than 15 min. The distribution ratio is found to decrease appreciably with equilibrium CLI(II) concentration in the aqueous phase, particularly, at its higher concentration region indicating some sort of association of Cu(II) species in either of the phases. The pH</w:t>
      </w:r>
      <w:r w:rsidR="00F81221">
        <w:rPr>
          <w:kern w:val="0"/>
          <w:szCs w:val="24"/>
        </w:rPr>
        <w:t xml:space="preserve"> and </w:t>
      </w:r>
      <w:r>
        <w:rPr>
          <w:kern w:val="0"/>
          <w:szCs w:val="24"/>
        </w:rPr>
        <w:t>the extractant concentration dependences oil distribution ratio are I</w:t>
      </w:r>
      <w:r w:rsidR="00F81221">
        <w:rPr>
          <w:kern w:val="0"/>
          <w:szCs w:val="24"/>
        </w:rPr>
        <w:t xml:space="preserve"> and </w:t>
      </w:r>
      <w:r>
        <w:rPr>
          <w:kern w:val="0"/>
          <w:szCs w:val="24"/>
        </w:rPr>
        <w:t>1.2, respectively. The distribution ratio is almost independent of sulphate ion concentration in the aqueous phase. The Delta H value is 27.3 9</w:t>
      </w:r>
      <w:r>
        <w:rPr>
          <w:kern w:val="0"/>
          <w:szCs w:val="24"/>
        </w:rPr>
        <w:sym w:font="Symbol" w:char="F0B1"/>
      </w:r>
      <w:r>
        <w:rPr>
          <w:kern w:val="0"/>
          <w:szCs w:val="24"/>
        </w:rPr>
        <w:t>0.5 kJ/mol. The 60% extraction equilibrium reaction is suggested to be: CuHSO4+ + H(2)A(2(o)) reversible arrow CuHSO4 A. 0.5 H(2)A(2(o)) + H+</w:t>
      </w:r>
      <w:r w:rsidR="00F81221">
        <w:rPr>
          <w:kern w:val="0"/>
          <w:szCs w:val="24"/>
        </w:rPr>
        <w:t xml:space="preserve"> and </w:t>
      </w:r>
      <w:r>
        <w:rPr>
          <w:kern w:val="0"/>
          <w:szCs w:val="24"/>
        </w:rPr>
        <w:t>some 40% extraction is likely to occur via the reaction, CuHSO4+ + 1.5 H(2)A(2(o)) reversible arrow CuHSO(4)A.H(2)A(2(o)) + H+ satisfying the extractant dependence of 1.20. The apparent extraction equilibrium constant (K-ex) is estimated to be 10(-3.15). The loading capacity of BTMPPA is 13.47 g Cu(II)/100 g BTMPPA. Among H2SO4, HCl</w:t>
      </w:r>
      <w:r w:rsidR="00F81221">
        <w:rPr>
          <w:kern w:val="0"/>
          <w:szCs w:val="24"/>
        </w:rPr>
        <w:t xml:space="preserve"> and </w:t>
      </w:r>
      <w:r>
        <w:rPr>
          <w:kern w:val="0"/>
          <w:szCs w:val="24"/>
        </w:rPr>
        <w:t>HNO3 solutions as stripping agent, 1 mol/dm(3) H2SO4 Solution is found to be the best; 99.6% Cu(II) in the organic phase can be stripped off in three stages (O/A = 1 in each stage). The Cu(II) distribution ratio measured at pH = 4 in different diluents does not show good correlation with the cross-sectional area of BTMPPA molecules at interfaces formed by different diluents at pH 0.80.</w:t>
      </w:r>
    </w:p>
    <w:p w:rsidR="00D02307" w:rsidRDefault="00D02307" w:rsidP="00D02307">
      <w:pPr>
        <w:pStyle w:val="a0"/>
        <w:rPr>
          <w:kern w:val="0"/>
          <w:szCs w:val="24"/>
        </w:rPr>
      </w:pPr>
      <w:r>
        <w:rPr>
          <w:kern w:val="0"/>
          <w:szCs w:val="24"/>
        </w:rPr>
        <w:t>Keywords: Acid Dissociation-Constants, Aqueous-Solutions, Btmppa, Capacity, Copper(II), Copper-Extraction, Cu(II), Cyanex 272, Equilibrium, Interfacial Adsorption, Kerosene, Liquid-Liquid Extraction, Molecules, Nitrate Media, Ph, Phosphinic Acid, Physicochemical Properties, Selective Extraction, Separation, Solvent Extraction, Stage, Sulfate-Solutions, Sulphate Medium</w:t>
      </w:r>
    </w:p>
    <w:p w:rsidR="00D02307" w:rsidRDefault="00D02307" w:rsidP="00D02307">
      <w:pPr>
        <w:pStyle w:val="a0"/>
        <w:rPr>
          <w:kern w:val="0"/>
          <w:szCs w:val="24"/>
        </w:rPr>
      </w:pPr>
      <w:r>
        <w:rPr>
          <w:rFonts w:hint="eastAsia"/>
          <w:kern w:val="0"/>
          <w:szCs w:val="24"/>
        </w:rPr>
        <w:t xml:space="preserve">? </w:t>
      </w:r>
      <w:r>
        <w:rPr>
          <w:kern w:val="0"/>
          <w:szCs w:val="24"/>
        </w:rPr>
        <w:t>Selvakumar, R., Kavitha, S.</w:t>
      </w:r>
      <w:r w:rsidR="00F81221">
        <w:rPr>
          <w:kern w:val="0"/>
          <w:szCs w:val="24"/>
        </w:rPr>
        <w:t xml:space="preserve"> and </w:t>
      </w:r>
      <w:r>
        <w:rPr>
          <w:kern w:val="0"/>
          <w:szCs w:val="24"/>
        </w:rPr>
        <w:t xml:space="preserve">Swaminathan, K. (2007), Adsorption of As(V) from aqueous solution by chemically doped coir pith carbon. </w:t>
      </w:r>
      <w:r>
        <w:rPr>
          <w:i/>
          <w:iCs/>
          <w:kern w:val="0"/>
          <w:szCs w:val="24"/>
        </w:rPr>
        <w:t xml:space="preserve"> Indian Journal of Chemical </w:t>
      </w:r>
      <w:r>
        <w:rPr>
          <w:i/>
          <w:iCs/>
          <w:kern w:val="0"/>
          <w:szCs w:val="24"/>
        </w:rPr>
        <w:lastRenderedPageBreak/>
        <w:t>Technology</w:t>
      </w:r>
      <w:r>
        <w:rPr>
          <w:kern w:val="0"/>
          <w:szCs w:val="24"/>
        </w:rPr>
        <w:t xml:space="preserve">, </w:t>
      </w:r>
      <w:r>
        <w:rPr>
          <w:b/>
          <w:bCs/>
          <w:kern w:val="0"/>
          <w:szCs w:val="24"/>
        </w:rPr>
        <w:t>14</w:t>
      </w:r>
      <w:r>
        <w:rPr>
          <w:kern w:val="0"/>
          <w:szCs w:val="24"/>
        </w:rPr>
        <w:t xml:space="preserve"> (3), 276-282.</w:t>
      </w:r>
    </w:p>
    <w:p w:rsidR="00D02307" w:rsidRDefault="00D02307" w:rsidP="00D02307">
      <w:pPr>
        <w:pStyle w:val="a0"/>
        <w:jc w:val="left"/>
        <w:rPr>
          <w:kern w:val="0"/>
        </w:rPr>
      </w:pPr>
      <w:r w:rsidRPr="00A428C3">
        <w:t>Full Text:</w:t>
      </w:r>
      <w:r w:rsidRPr="002F0727">
        <w:t xml:space="preserve"> </w:t>
      </w:r>
      <w:hyperlink r:id="rId890" w:history="1">
        <w:r w:rsidRPr="00D02307">
          <w:rPr>
            <w:rStyle w:val="a5"/>
          </w:rPr>
          <w:t>2007\Ind J Che Tec14, 276.pdf</w:t>
        </w:r>
      </w:hyperlink>
    </w:p>
    <w:p w:rsidR="00D02307" w:rsidRDefault="00D02307" w:rsidP="00D02307">
      <w:pPr>
        <w:pStyle w:val="a0"/>
        <w:rPr>
          <w:kern w:val="0"/>
          <w:szCs w:val="24"/>
        </w:rPr>
      </w:pPr>
      <w:r>
        <w:rPr>
          <w:kern w:val="0"/>
          <w:szCs w:val="24"/>
        </w:rPr>
        <w:t>Abstract: The present work examines the possible use of coir pith, a by-product from coir fibre industry as a means of removing As(V) from aqueous solution. Kinetic</w:t>
      </w:r>
      <w:r w:rsidR="00F81221">
        <w:rPr>
          <w:kern w:val="0"/>
          <w:szCs w:val="24"/>
        </w:rPr>
        <w:t xml:space="preserve"> and </w:t>
      </w:r>
      <w:r>
        <w:rPr>
          <w:kern w:val="0"/>
          <w:szCs w:val="24"/>
        </w:rPr>
        <w:t>equilibrium experiments were performed in order to evaluate the efficiency of the thermally activated coir pith carbon (TCPC). The efficiency of TCPC was improved by doping with FeSO4.7H(2)O (FCPC)</w:t>
      </w:r>
      <w:r w:rsidR="00F81221">
        <w:rPr>
          <w:kern w:val="0"/>
          <w:szCs w:val="24"/>
        </w:rPr>
        <w:t xml:space="preserve"> and </w:t>
      </w:r>
      <w:r>
        <w:rPr>
          <w:kern w:val="0"/>
          <w:szCs w:val="24"/>
        </w:rPr>
        <w:t>CuSO4.5H(2)O (CCPC). Adsorption studies were carried out using these doped</w:t>
      </w:r>
      <w:r w:rsidR="00F81221">
        <w:rPr>
          <w:kern w:val="0"/>
          <w:szCs w:val="24"/>
        </w:rPr>
        <w:t xml:space="preserve"> and </w:t>
      </w:r>
      <w:r>
        <w:rPr>
          <w:kern w:val="0"/>
          <w:szCs w:val="24"/>
        </w:rPr>
        <w:t>undoped coir pith carbon. Maximum removal was observed with FCPC with a Q(o) value of 18.9 mg/g followed by CCPC with Q(o) value of 14.77 mg/g at maximum As(V) concentration. TCPC was comparatively less efficient when compared to the doped adsorbents</w:t>
      </w:r>
      <w:r w:rsidR="00F81221">
        <w:rPr>
          <w:kern w:val="0"/>
          <w:szCs w:val="24"/>
        </w:rPr>
        <w:t xml:space="preserve"> and </w:t>
      </w:r>
      <w:r>
        <w:rPr>
          <w:kern w:val="0"/>
          <w:szCs w:val="24"/>
        </w:rPr>
        <w:t>had a Q(o) value of 8.39 mg/g. The rate of adsorption was dependent on the As(V) concentration. Langmuir</w:t>
      </w:r>
      <w:r w:rsidR="00F81221">
        <w:rPr>
          <w:kern w:val="0"/>
          <w:szCs w:val="24"/>
        </w:rPr>
        <w:t xml:space="preserve"> and </w:t>
      </w:r>
      <w:r>
        <w:rPr>
          <w:kern w:val="0"/>
          <w:szCs w:val="24"/>
        </w:rPr>
        <w:t>Freundlich isotherms were applied</w:t>
      </w:r>
      <w:r w:rsidR="00F81221">
        <w:rPr>
          <w:kern w:val="0"/>
          <w:szCs w:val="24"/>
        </w:rPr>
        <w:t xml:space="preserve"> and </w:t>
      </w:r>
      <w:r>
        <w:rPr>
          <w:kern w:val="0"/>
          <w:szCs w:val="24"/>
        </w:rPr>
        <w:t>the experimental data fitted well with these isotherms. The desorption</w:t>
      </w:r>
      <w:r w:rsidR="00F81221">
        <w:rPr>
          <w:kern w:val="0"/>
          <w:szCs w:val="24"/>
        </w:rPr>
        <w:t xml:space="preserve"> and </w:t>
      </w:r>
      <w:r>
        <w:rPr>
          <w:kern w:val="0"/>
          <w:szCs w:val="24"/>
        </w:rPr>
        <w:t>regeneration studies revealed that FCPC after regeneration could remove 62.8% As(V) when recycled. The results indicate that FCPC could be used as an effective adsorbent for As(V) removal from ground water sample.</w:t>
      </w:r>
    </w:p>
    <w:p w:rsidR="00D02307" w:rsidRDefault="00D02307" w:rsidP="00D02307">
      <w:pPr>
        <w:pStyle w:val="a0"/>
        <w:rPr>
          <w:kern w:val="0"/>
          <w:szCs w:val="24"/>
        </w:rPr>
      </w:pPr>
      <w:r>
        <w:rPr>
          <w:kern w:val="0"/>
          <w:szCs w:val="24"/>
        </w:rPr>
        <w:t>Keywords: Activated Carbon, Adsorbents, Adsorption, Arsenate, Arsenite, As(III), As(V), As(V) Removal, Coated Sand, Coir Pith, Cr(VI), Desorption, Doping, Equilibrium, Fly-Ash, Freundlich, Isotherm Studies, Isotherms, Kinetic, Langmuir, Langmuir</w:t>
      </w:r>
      <w:r w:rsidR="00F81221">
        <w:rPr>
          <w:kern w:val="0"/>
          <w:szCs w:val="24"/>
        </w:rPr>
        <w:t xml:space="preserve"> and </w:t>
      </w:r>
      <w:r>
        <w:rPr>
          <w:kern w:val="0"/>
          <w:szCs w:val="24"/>
        </w:rPr>
        <w:t>Freundlich Isotherms, Regeneration, Removal, Thermal Activation, Water</w:t>
      </w:r>
    </w:p>
    <w:p w:rsidR="00D02307" w:rsidRDefault="00D02307" w:rsidP="00D02307">
      <w:pPr>
        <w:pStyle w:val="a0"/>
        <w:rPr>
          <w:kern w:val="0"/>
          <w:szCs w:val="24"/>
        </w:rPr>
      </w:pPr>
      <w:r>
        <w:rPr>
          <w:rFonts w:hint="eastAsia"/>
          <w:kern w:val="0"/>
          <w:szCs w:val="24"/>
        </w:rPr>
        <w:t xml:space="preserve">? </w:t>
      </w:r>
      <w:r>
        <w:rPr>
          <w:kern w:val="0"/>
          <w:szCs w:val="24"/>
        </w:rPr>
        <w:t>Janardhana, C., Rao, G.N., Sathish, R.S., Kumar, P.S., Kumar, V.A.</w:t>
      </w:r>
      <w:r w:rsidR="00F81221">
        <w:rPr>
          <w:kern w:val="0"/>
          <w:szCs w:val="24"/>
        </w:rPr>
        <w:t xml:space="preserve"> and </w:t>
      </w:r>
      <w:r>
        <w:rPr>
          <w:kern w:val="0"/>
          <w:szCs w:val="24"/>
        </w:rPr>
        <w:t xml:space="preserve">Madhav, M.V. (2007), Study on defluoridation of drinking water using zirconium ion impregnated activated charcoals. </w:t>
      </w:r>
      <w:r>
        <w:rPr>
          <w:i/>
          <w:iCs/>
          <w:kern w:val="0"/>
          <w:szCs w:val="24"/>
        </w:rPr>
        <w:t>Indian Journal of Chemical Technology</w:t>
      </w:r>
      <w:r>
        <w:rPr>
          <w:kern w:val="0"/>
          <w:szCs w:val="24"/>
        </w:rPr>
        <w:t xml:space="preserve">, </w:t>
      </w:r>
      <w:r>
        <w:rPr>
          <w:b/>
          <w:bCs/>
          <w:kern w:val="0"/>
          <w:szCs w:val="24"/>
        </w:rPr>
        <w:t>14</w:t>
      </w:r>
      <w:r>
        <w:rPr>
          <w:kern w:val="0"/>
          <w:szCs w:val="24"/>
        </w:rPr>
        <w:t xml:space="preserve"> (4), 350-354.</w:t>
      </w:r>
    </w:p>
    <w:p w:rsidR="00D02307" w:rsidRDefault="00D02307" w:rsidP="00D02307">
      <w:pPr>
        <w:pStyle w:val="a0"/>
        <w:jc w:val="left"/>
        <w:rPr>
          <w:kern w:val="0"/>
        </w:rPr>
      </w:pPr>
      <w:r w:rsidRPr="00A428C3">
        <w:t>Full Text:</w:t>
      </w:r>
      <w:r w:rsidRPr="002F0727">
        <w:t xml:space="preserve"> </w:t>
      </w:r>
      <w:hyperlink r:id="rId891" w:history="1">
        <w:r w:rsidRPr="00D02307">
          <w:rPr>
            <w:rStyle w:val="a5"/>
          </w:rPr>
          <w:t>2007\Ind J Che Tec14, 350.pdf</w:t>
        </w:r>
      </w:hyperlink>
    </w:p>
    <w:p w:rsidR="00D02307" w:rsidRDefault="00D02307" w:rsidP="00D02307">
      <w:pPr>
        <w:pStyle w:val="a0"/>
        <w:rPr>
          <w:kern w:val="0"/>
          <w:szCs w:val="24"/>
        </w:rPr>
      </w:pPr>
      <w:r>
        <w:rPr>
          <w:kern w:val="0"/>
          <w:szCs w:val="24"/>
        </w:rPr>
        <w:t>Abstract: Activated charcoals which are effective for fluoride removal, when impregnated with zirconium metal ions have an increase in their fluoride adsorption capacity by 3 to 5 times to that of plain activated charcoal. Continuous down flow adsorption mode at room temperature was adopted to defluoridate drinking water. Three columns were prepared by the impregnation of ZrOCl2, in groundnut shell, coconut shell</w:t>
      </w:r>
      <w:r w:rsidR="00F81221">
        <w:rPr>
          <w:kern w:val="0"/>
          <w:szCs w:val="24"/>
        </w:rPr>
        <w:t xml:space="preserve"> and </w:t>
      </w:r>
      <w:r>
        <w:rPr>
          <w:kern w:val="0"/>
          <w:szCs w:val="24"/>
        </w:rPr>
        <w:t>coconut fiber activated charcoals. The column was run at a constant rate of 0.6-0.7 L/h with known fluoride influent water</w:t>
      </w:r>
      <w:r w:rsidR="00F81221">
        <w:rPr>
          <w:kern w:val="0"/>
          <w:szCs w:val="24"/>
        </w:rPr>
        <w:t xml:space="preserve"> and </w:t>
      </w:r>
      <w:r>
        <w:rPr>
          <w:kern w:val="0"/>
          <w:szCs w:val="24"/>
        </w:rPr>
        <w:t>a constant level of water was maintained. Treated water samples were analysed by the ion selective electrode method. In this study zirconium ion impregnated coconut fiber charcoal (ZICFC) showed maximum fluoride uptake</w:t>
      </w:r>
      <w:r w:rsidR="00F81221">
        <w:rPr>
          <w:kern w:val="0"/>
          <w:szCs w:val="24"/>
        </w:rPr>
        <w:t xml:space="preserve"> and </w:t>
      </w:r>
      <w:r>
        <w:rPr>
          <w:kern w:val="0"/>
          <w:szCs w:val="24"/>
        </w:rPr>
        <w:t>proved to be the most effective defluoridating agent followed by groundnut shell</w:t>
      </w:r>
      <w:r w:rsidR="00F81221">
        <w:rPr>
          <w:kern w:val="0"/>
          <w:szCs w:val="24"/>
        </w:rPr>
        <w:t xml:space="preserve"> and </w:t>
      </w:r>
      <w:r>
        <w:rPr>
          <w:kern w:val="0"/>
          <w:szCs w:val="24"/>
        </w:rPr>
        <w:t>coconut shell charcoals. ZICFC was effective for 21 liter lots of (8.0 mg F ion/L) test solution.</w:t>
      </w:r>
    </w:p>
    <w:p w:rsidR="00D02307" w:rsidRDefault="00D02307" w:rsidP="00D02307">
      <w:pPr>
        <w:pStyle w:val="a0"/>
        <w:rPr>
          <w:kern w:val="0"/>
          <w:szCs w:val="24"/>
        </w:rPr>
      </w:pPr>
      <w:r>
        <w:rPr>
          <w:kern w:val="0"/>
          <w:szCs w:val="24"/>
        </w:rPr>
        <w:lastRenderedPageBreak/>
        <w:t>Keywords: Activated Charcoals, Adsorption, Adsorption Capacity, Aluminum, Alzheimers-Disease, Aqueous-Solutions, Capacity, Carbon, Coconut Fiber, Continuous Flow Method, Defluoridation, Drinking Water, F, Fiber, Fluoride, Kinetics, Metal Ions, Preconcentration, Removal, Temperature, Water, X-Ray-Fluorescence, Zirconium Oxychloride</w:t>
      </w:r>
    </w:p>
    <w:p w:rsidR="00B95188" w:rsidRPr="00A428C3" w:rsidRDefault="00B95188" w:rsidP="00B95188">
      <w:pPr>
        <w:pStyle w:val="a0"/>
      </w:pPr>
      <w:r w:rsidRPr="00A428C3">
        <w:t>? Kumar, S., Gupta, A.</w:t>
      </w:r>
      <w:r w:rsidR="00F81221">
        <w:t xml:space="preserve"> and </w:t>
      </w:r>
      <w:r w:rsidRPr="00A428C3">
        <w:t>Yadav, J.P. (2007), Fluoride removal by mixtures of activated carbon prepared from Neem (Azadirachta indica)</w:t>
      </w:r>
      <w:r w:rsidR="00F81221">
        <w:t xml:space="preserve"> and </w:t>
      </w:r>
      <w:r w:rsidRPr="00A428C3">
        <w:t xml:space="preserve">Kikar (Acacia arabica) leaves. </w:t>
      </w:r>
      <w:r w:rsidRPr="00A428C3">
        <w:rPr>
          <w:i/>
          <w:iCs/>
        </w:rPr>
        <w:t>Indian Journal of Chemical Technology</w:t>
      </w:r>
      <w:r w:rsidRPr="00A428C3">
        <w:t xml:space="preserve">, </w:t>
      </w:r>
      <w:r w:rsidRPr="00A428C3">
        <w:rPr>
          <w:b/>
        </w:rPr>
        <w:t>14</w:t>
      </w:r>
      <w:r w:rsidRPr="00A428C3">
        <w:t xml:space="preserve"> (4), 355-361.</w:t>
      </w:r>
    </w:p>
    <w:p w:rsidR="00BB3A0C" w:rsidRDefault="00BB3A0C" w:rsidP="00BB3A0C">
      <w:pPr>
        <w:pStyle w:val="a0"/>
        <w:jc w:val="left"/>
        <w:rPr>
          <w:kern w:val="0"/>
        </w:rPr>
      </w:pPr>
      <w:r w:rsidRPr="00A428C3">
        <w:t>Full Text:</w:t>
      </w:r>
      <w:r w:rsidRPr="002F0727">
        <w:t xml:space="preserve"> </w:t>
      </w:r>
      <w:hyperlink r:id="rId892" w:history="1">
        <w:r w:rsidRPr="00BB3A0C">
          <w:rPr>
            <w:rStyle w:val="a5"/>
          </w:rPr>
          <w:t>2007\Ind J Che Tec14, 355.pdf</w:t>
        </w:r>
      </w:hyperlink>
    </w:p>
    <w:p w:rsidR="00B95188" w:rsidRPr="00A428C3" w:rsidRDefault="00B95188" w:rsidP="00B95188">
      <w:pPr>
        <w:pStyle w:val="a0"/>
      </w:pPr>
      <w:r w:rsidRPr="00A428C3">
        <w:t>Abstract: Fluoride removal from aqueous solution was investigated using activated carbon developed from mixture of Neem (A zadirachta indica)</w:t>
      </w:r>
      <w:r w:rsidR="00F81221">
        <w:t xml:space="preserve"> and </w:t>
      </w:r>
      <w:r w:rsidRPr="00A428C3">
        <w:t xml:space="preserve">Kikar (Acacia arabica) leaves. In this study, the mixture of sizes </w:t>
      </w:r>
      <w:smartTag w:uri="urn:schemas-microsoft-com:office:smarttags" w:element="chmetcnv">
        <w:smartTagPr>
          <w:attr w:name="TCSC" w:val="0"/>
          <w:attr w:name="NumberType" w:val="1"/>
          <w:attr w:name="Negative" w:val="False"/>
          <w:attr w:name="HasSpace" w:val="True"/>
          <w:attr w:name="SourceValue" w:val="0.3"/>
          <w:attr w:name="UnitName" w:val="mm"/>
        </w:smartTagPr>
        <w:r w:rsidRPr="00A428C3">
          <w:t>0.3 mm</w:t>
        </w:r>
      </w:smartTag>
      <w:r w:rsidR="00F81221">
        <w:t xml:space="preserve"> and </w:t>
      </w:r>
      <w:smartTag w:uri="urn:schemas-microsoft-com:office:smarttags" w:element="chmetcnv">
        <w:smartTagPr>
          <w:attr w:name="TCSC" w:val="0"/>
          <w:attr w:name="NumberType" w:val="1"/>
          <w:attr w:name="Negative" w:val="False"/>
          <w:attr w:name="HasSpace" w:val="True"/>
          <w:attr w:name="SourceValue" w:val="1"/>
          <w:attr w:name="UnitName" w:val="mm"/>
        </w:smartTagPr>
        <w:r w:rsidRPr="00A428C3">
          <w:t>1.0 mm</w:t>
        </w:r>
      </w:smartTag>
      <w:r w:rsidRPr="00A428C3">
        <w:t xml:space="preserve"> (1: 1, 2:1</w:t>
      </w:r>
      <w:r w:rsidR="00F81221">
        <w:t xml:space="preserve"> and </w:t>
      </w:r>
      <w:r w:rsidRPr="00A428C3">
        <w:t>1:2) adsorbent were prepared by mixing the thermally activated Neem (Azadirachta indica) leaves carbon</w:t>
      </w:r>
      <w:r w:rsidR="00F81221">
        <w:t xml:space="preserve"> and </w:t>
      </w:r>
      <w:r w:rsidRPr="00A428C3">
        <w:t>thermally activated Kikar (Acacia arabica) leaves carbon, according to their efficiency for fluoride removal. Batch type experiment was carried out for the adsorption of fluoride using mixture adsorbent. In the batch Study influence of pH, adsorbent dose</w:t>
      </w:r>
      <w:r w:rsidR="00F81221">
        <w:t xml:space="preserve"> and </w:t>
      </w:r>
      <w:r w:rsidRPr="00A428C3">
        <w:t>contact time were investigated. Adsorption of fluoride was pH dependent</w:t>
      </w:r>
      <w:r w:rsidR="00F81221">
        <w:t xml:space="preserve"> and </w:t>
      </w:r>
      <w:r w:rsidRPr="00A428C3">
        <w:t>was found to be maximum at pH 6. Fluoride removal increased with increased dose of carbon. The adsorption process obeyed Freundlich adsorption isotherm, Lanaergren</w:t>
      </w:r>
      <w:r w:rsidR="000352E7">
        <w:t>’</w:t>
      </w:r>
      <w:r w:rsidRPr="00A428C3">
        <w:t>s equation</w:t>
      </w:r>
      <w:r w:rsidR="00F81221">
        <w:t xml:space="preserve"> and </w:t>
      </w:r>
      <w:r w:rsidRPr="00A428C3">
        <w:t>intraparticle diffusion. Fluoride removal increased with decreasing particle size of carbon. In mixture, adsorbent ratio 2: 1 had slightly higher capacity than the 1: 1</w:t>
      </w:r>
      <w:r w:rsidR="00F81221">
        <w:t xml:space="preserve"> and </w:t>
      </w:r>
      <w:r w:rsidRPr="00A428C3">
        <w:t>1:2.</w:t>
      </w:r>
    </w:p>
    <w:p w:rsidR="00B95188" w:rsidRPr="00A428C3" w:rsidRDefault="00B95188" w:rsidP="00B95188">
      <w:pPr>
        <w:pStyle w:val="a0"/>
      </w:pPr>
      <w:r w:rsidRPr="00A428C3">
        <w:t>Keywords: Acacia Arabica, Activated Carbon, Adsorbent, Adsorption, Adsorption, Adsorption Isotherm, Adsorption Process, Aqueous Solution, Azadirachta Indica, Batch, Capacity, Carbon, Contact Time, Diffusion, Drinking-Water, Efficiency, Experiment, Fluoride, Fluoride Removal, Freundlich, Freundlich Adsorption Isotherm, Influence of pH, Intraparticle, Intraparticle Diffusion, Isotherm, Leaves, Mixing, Mixture, Mixtures, Particle, Particle Size, pH, Process, Removal, Size, Thermally Activated Carbon, Time</w:t>
      </w:r>
    </w:p>
    <w:p w:rsidR="00D02307" w:rsidRDefault="00D02307" w:rsidP="00D02307">
      <w:pPr>
        <w:pStyle w:val="a0"/>
        <w:rPr>
          <w:kern w:val="0"/>
          <w:szCs w:val="24"/>
        </w:rPr>
      </w:pPr>
      <w:r>
        <w:rPr>
          <w:rFonts w:hint="eastAsia"/>
          <w:kern w:val="0"/>
          <w:szCs w:val="24"/>
        </w:rPr>
        <w:t xml:space="preserve">? </w:t>
      </w:r>
      <w:r>
        <w:rPr>
          <w:kern w:val="0"/>
          <w:szCs w:val="24"/>
        </w:rPr>
        <w:t>Gawale, R.</w:t>
      </w:r>
      <w:r w:rsidR="00F81221">
        <w:rPr>
          <w:kern w:val="0"/>
          <w:szCs w:val="24"/>
        </w:rPr>
        <w:t xml:space="preserve"> and </w:t>
      </w:r>
      <w:r>
        <w:rPr>
          <w:kern w:val="0"/>
          <w:szCs w:val="24"/>
        </w:rPr>
        <w:t xml:space="preserve">Marathe, K.V. (2007), Recovery of metal ion from micellar solution. </w:t>
      </w:r>
      <w:r>
        <w:rPr>
          <w:i/>
          <w:iCs/>
          <w:kern w:val="0"/>
          <w:szCs w:val="24"/>
        </w:rPr>
        <w:t>Indian Journal of Chemical Technology</w:t>
      </w:r>
      <w:r>
        <w:rPr>
          <w:kern w:val="0"/>
          <w:szCs w:val="24"/>
        </w:rPr>
        <w:t xml:space="preserve">, </w:t>
      </w:r>
      <w:r>
        <w:rPr>
          <w:b/>
          <w:bCs/>
          <w:kern w:val="0"/>
          <w:szCs w:val="24"/>
        </w:rPr>
        <w:t>14</w:t>
      </w:r>
      <w:r>
        <w:rPr>
          <w:kern w:val="0"/>
          <w:szCs w:val="24"/>
        </w:rPr>
        <w:t xml:space="preserve"> (4), 362-370.</w:t>
      </w:r>
    </w:p>
    <w:p w:rsidR="00D02307" w:rsidRDefault="00D02307" w:rsidP="00D02307">
      <w:pPr>
        <w:pStyle w:val="a0"/>
        <w:jc w:val="left"/>
        <w:rPr>
          <w:kern w:val="0"/>
        </w:rPr>
      </w:pPr>
      <w:r w:rsidRPr="00A428C3">
        <w:t>Full Text:</w:t>
      </w:r>
      <w:r w:rsidRPr="002F0727">
        <w:t xml:space="preserve"> </w:t>
      </w:r>
      <w:hyperlink r:id="rId893" w:history="1">
        <w:r w:rsidRPr="00D02307">
          <w:rPr>
            <w:rStyle w:val="a5"/>
          </w:rPr>
          <w:t>2007\Ind J Che Tec14, 362.pdf</w:t>
        </w:r>
      </w:hyperlink>
    </w:p>
    <w:p w:rsidR="00D02307" w:rsidRDefault="00D02307" w:rsidP="00D02307">
      <w:pPr>
        <w:pStyle w:val="a0"/>
        <w:rPr>
          <w:kern w:val="0"/>
          <w:szCs w:val="24"/>
        </w:rPr>
      </w:pPr>
      <w:r>
        <w:rPr>
          <w:kern w:val="0"/>
          <w:szCs w:val="24"/>
        </w:rPr>
        <w:t>Abstract: Separation of cobalt(</w:t>
      </w:r>
      <w:r>
        <w:rPr>
          <w:rFonts w:hint="eastAsia"/>
          <w:kern w:val="0"/>
          <w:szCs w:val="24"/>
        </w:rPr>
        <w:t>II</w:t>
      </w:r>
      <w:r>
        <w:rPr>
          <w:kern w:val="0"/>
          <w:szCs w:val="24"/>
        </w:rPr>
        <w:t>) front micellar (surfactant) solution was carried out by using strongly acidic cation exchange resin Indion 225H</w:t>
      </w:r>
      <w:r w:rsidR="00F81221">
        <w:rPr>
          <w:kern w:val="0"/>
          <w:szCs w:val="24"/>
        </w:rPr>
        <w:t xml:space="preserve"> and </w:t>
      </w:r>
      <w:r>
        <w:rPr>
          <w:kern w:val="0"/>
          <w:szCs w:val="24"/>
        </w:rPr>
        <w:t>chelating resin Duolite C467. The equilibrium data obtained in this study fits ill Lanpmuir adsorption isotherm, for Indion 225H resin</w:t>
      </w:r>
      <w:r w:rsidR="00F81221">
        <w:rPr>
          <w:kern w:val="0"/>
          <w:szCs w:val="24"/>
        </w:rPr>
        <w:t xml:space="preserve"> and </w:t>
      </w:r>
      <w:r>
        <w:rPr>
          <w:kern w:val="0"/>
          <w:szCs w:val="24"/>
        </w:rPr>
        <w:t>Freundlich adsorption isotherm for Duolite C467 resin. The effect of pH, temperature</w:t>
      </w:r>
      <w:r w:rsidR="00F81221">
        <w:rPr>
          <w:kern w:val="0"/>
          <w:szCs w:val="24"/>
        </w:rPr>
        <w:t xml:space="preserve"> and </w:t>
      </w:r>
      <w:r>
        <w:rPr>
          <w:kern w:val="0"/>
          <w:szCs w:val="24"/>
        </w:rPr>
        <w:t xml:space="preserve">feed concentration on the adsorption capacity of the resins was studied. For both the resins, diffusion of cobalt ill the resin phase is a rate controlling step. The dynamic behaviour of the adsorption column was </w:t>
      </w:r>
      <w:r>
        <w:rPr>
          <w:kern w:val="0"/>
          <w:szCs w:val="24"/>
        </w:rPr>
        <w:lastRenderedPageBreak/>
        <w:t>also modeled using equilibrium</w:t>
      </w:r>
      <w:r w:rsidR="00F81221">
        <w:rPr>
          <w:kern w:val="0"/>
          <w:szCs w:val="24"/>
        </w:rPr>
        <w:t xml:space="preserve"> and </w:t>
      </w:r>
      <w:r>
        <w:rPr>
          <w:kern w:val="0"/>
          <w:szCs w:val="24"/>
        </w:rPr>
        <w:t>kinetic data. Column studies were simulated by using linear driving force model. Desorption of cobalt from chelating resin was easier than strongly acidic cation exchange resin.</w:t>
      </w:r>
    </w:p>
    <w:p w:rsidR="00D02307" w:rsidRDefault="00D02307" w:rsidP="00D02307">
      <w:pPr>
        <w:pStyle w:val="a0"/>
        <w:rPr>
          <w:kern w:val="0"/>
          <w:szCs w:val="24"/>
        </w:rPr>
      </w:pPr>
      <w:r>
        <w:rPr>
          <w:kern w:val="0"/>
          <w:szCs w:val="24"/>
        </w:rPr>
        <w:t xml:space="preserve">Keywords: Adsorption, Adsorption Capacity, Adsorption Isotherm, Capacity, Cation Exchange, Cobalt Recovery, Column, Desorption, Diffusion, Effective Diffusivity, Enhanced Ultrafiltration, Equilibrium, Exchange, Freundlich, Ion Exchange Resins, Isotherm, Kinetic, Model, </w:t>
      </w:r>
      <w:r>
        <w:rPr>
          <w:rFonts w:hint="eastAsia"/>
          <w:kern w:val="0"/>
          <w:szCs w:val="24"/>
        </w:rPr>
        <w:t>p</w:t>
      </w:r>
      <w:r>
        <w:rPr>
          <w:kern w:val="0"/>
          <w:szCs w:val="24"/>
        </w:rPr>
        <w:t>H, Recovery, Removal, Separation, Temperature</w:t>
      </w:r>
    </w:p>
    <w:p w:rsidR="00BB3A0C" w:rsidRDefault="00BB3A0C" w:rsidP="00BB3A0C">
      <w:pPr>
        <w:pStyle w:val="a0"/>
        <w:rPr>
          <w:kern w:val="0"/>
          <w:szCs w:val="24"/>
        </w:rPr>
      </w:pPr>
      <w:r>
        <w:rPr>
          <w:rFonts w:hint="eastAsia"/>
          <w:kern w:val="0"/>
          <w:szCs w:val="24"/>
        </w:rPr>
        <w:t xml:space="preserve">? </w:t>
      </w:r>
      <w:r>
        <w:rPr>
          <w:kern w:val="0"/>
          <w:szCs w:val="24"/>
        </w:rPr>
        <w:t>Uddin, M.T., Mozumder, M.S.I., Figoli, A., Islam, M.A.</w:t>
      </w:r>
      <w:r w:rsidR="00F81221">
        <w:rPr>
          <w:kern w:val="0"/>
          <w:szCs w:val="24"/>
        </w:rPr>
        <w:t xml:space="preserve"> and </w:t>
      </w:r>
      <w:r>
        <w:rPr>
          <w:kern w:val="0"/>
          <w:szCs w:val="24"/>
        </w:rPr>
        <w:t>Drioli, E. (2007), Arsenic removal by conventional</w:t>
      </w:r>
      <w:r w:rsidR="00F81221">
        <w:rPr>
          <w:kern w:val="0"/>
          <w:szCs w:val="24"/>
        </w:rPr>
        <w:t xml:space="preserve"> and </w:t>
      </w:r>
      <w:r>
        <w:rPr>
          <w:kern w:val="0"/>
          <w:szCs w:val="24"/>
        </w:rPr>
        <w:t xml:space="preserve">membrane technology: An overview. </w:t>
      </w:r>
      <w:r>
        <w:rPr>
          <w:i/>
          <w:iCs/>
          <w:kern w:val="0"/>
          <w:szCs w:val="24"/>
        </w:rPr>
        <w:t>Indian Journal of Chemical Technology</w:t>
      </w:r>
      <w:r>
        <w:rPr>
          <w:kern w:val="0"/>
          <w:szCs w:val="24"/>
        </w:rPr>
        <w:t xml:space="preserve">, </w:t>
      </w:r>
      <w:r>
        <w:rPr>
          <w:b/>
          <w:bCs/>
          <w:kern w:val="0"/>
          <w:szCs w:val="24"/>
        </w:rPr>
        <w:t>14</w:t>
      </w:r>
      <w:r>
        <w:rPr>
          <w:kern w:val="0"/>
          <w:szCs w:val="24"/>
        </w:rPr>
        <w:t xml:space="preserve"> (5), 441-450.</w:t>
      </w:r>
    </w:p>
    <w:p w:rsidR="00BB3A0C" w:rsidRDefault="00BB3A0C" w:rsidP="00BB3A0C">
      <w:pPr>
        <w:pStyle w:val="a0"/>
        <w:jc w:val="left"/>
        <w:rPr>
          <w:kern w:val="0"/>
        </w:rPr>
      </w:pPr>
      <w:r w:rsidRPr="00A428C3">
        <w:t>Full Text:</w:t>
      </w:r>
      <w:r w:rsidRPr="002F0727">
        <w:t xml:space="preserve"> </w:t>
      </w:r>
      <w:hyperlink r:id="rId894" w:history="1">
        <w:r w:rsidRPr="00BB3A0C">
          <w:rPr>
            <w:rStyle w:val="a5"/>
          </w:rPr>
          <w:t>2007\Ind J Che Tec14, 441.pdf</w:t>
        </w:r>
      </w:hyperlink>
    </w:p>
    <w:p w:rsidR="00BB3A0C" w:rsidRDefault="00BB3A0C" w:rsidP="00BB3A0C">
      <w:pPr>
        <w:pStyle w:val="a0"/>
        <w:rPr>
          <w:kern w:val="0"/>
          <w:szCs w:val="24"/>
        </w:rPr>
      </w:pPr>
      <w:r>
        <w:rPr>
          <w:kern w:val="0"/>
          <w:szCs w:val="24"/>
        </w:rPr>
        <w:t>Abstract: Presently used arsenic removal technology has been reviewed, pointing especially to the promise of membrane technologies as a practical means of purification. The membrane technologies include reverse osmosis (RO), nanofiltration (NF), ultrafiltration (UF)</w:t>
      </w:r>
      <w:r w:rsidR="00F81221">
        <w:rPr>
          <w:kern w:val="0"/>
          <w:szCs w:val="24"/>
        </w:rPr>
        <w:t xml:space="preserve"> and </w:t>
      </w:r>
      <w:r>
        <w:rPr>
          <w:kern w:val="0"/>
          <w:szCs w:val="24"/>
        </w:rPr>
        <w:t>microfiltration (MF). Among them, the applications of the first two have proved to be reliable in removing arsenic from water. The influence of membrane materials, membrane type, operating conditions Such as temperature, pressure, pH of the feed solution</w:t>
      </w:r>
      <w:r w:rsidR="00F81221">
        <w:rPr>
          <w:kern w:val="0"/>
          <w:szCs w:val="24"/>
        </w:rPr>
        <w:t xml:space="preserve"> and </w:t>
      </w:r>
      <w:r>
        <w:rPr>
          <w:kern w:val="0"/>
          <w:szCs w:val="24"/>
        </w:rPr>
        <w:t>feed concentration on arsenic removal efficiency by membrane technologies are discussed. This paper also provides a comparison between conventional technologies</w:t>
      </w:r>
      <w:r w:rsidR="00F81221">
        <w:rPr>
          <w:kern w:val="0"/>
          <w:szCs w:val="24"/>
        </w:rPr>
        <w:t xml:space="preserve"> and </w:t>
      </w:r>
      <w:r>
        <w:rPr>
          <w:kern w:val="0"/>
          <w:szCs w:val="24"/>
        </w:rPr>
        <w:t>membrane technologies for arsenic removal</w:t>
      </w:r>
      <w:r w:rsidR="00F81221">
        <w:rPr>
          <w:kern w:val="0"/>
          <w:szCs w:val="24"/>
        </w:rPr>
        <w:t xml:space="preserve"> and </w:t>
      </w:r>
      <w:r>
        <w:rPr>
          <w:kern w:val="0"/>
          <w:szCs w:val="24"/>
        </w:rPr>
        <w:t>concludes that membrane technology is preferred for water treatments to meet the maximum contaminant limit (MCL) standard.</w:t>
      </w:r>
    </w:p>
    <w:p w:rsidR="00BB3A0C" w:rsidRDefault="00BB3A0C" w:rsidP="00BB3A0C">
      <w:pPr>
        <w:pStyle w:val="a0"/>
        <w:rPr>
          <w:kern w:val="0"/>
          <w:szCs w:val="24"/>
        </w:rPr>
      </w:pPr>
      <w:r>
        <w:rPr>
          <w:kern w:val="0"/>
          <w:szCs w:val="24"/>
        </w:rPr>
        <w:t xml:space="preserve">Keywords: Activated Carbon, Adsorption, Adsorption, Aqueous-Solutions, Arsenic, Arsenic Removal, Comparison, Drinking-Water, Ground-Water, Membrane Technology, Microfiltration, Nanofiltration, Nanofiltration Membranes, Operating Conditions, Operating-Conditions, Oxide-Coated Sand, </w:t>
      </w:r>
      <w:r>
        <w:rPr>
          <w:rFonts w:hint="eastAsia"/>
          <w:kern w:val="0"/>
          <w:szCs w:val="24"/>
        </w:rPr>
        <w:t>p</w:t>
      </w:r>
      <w:r>
        <w:rPr>
          <w:kern w:val="0"/>
          <w:szCs w:val="24"/>
        </w:rPr>
        <w:t>H, Pressure, Removal, Reverse Osmosis, Reverse-Osmosis, Technology, Temperature, Ultrafiltration, Ultrafiltration Membrane, Water</w:t>
      </w:r>
    </w:p>
    <w:p w:rsidR="00BB3A0C" w:rsidRDefault="00BB3A0C" w:rsidP="00BB3A0C">
      <w:pPr>
        <w:pStyle w:val="a0"/>
        <w:rPr>
          <w:kern w:val="0"/>
          <w:szCs w:val="24"/>
        </w:rPr>
      </w:pPr>
      <w:r>
        <w:rPr>
          <w:rFonts w:hint="eastAsia"/>
          <w:kern w:val="0"/>
          <w:szCs w:val="24"/>
        </w:rPr>
        <w:t xml:space="preserve">? </w:t>
      </w:r>
      <w:r>
        <w:rPr>
          <w:kern w:val="0"/>
          <w:szCs w:val="24"/>
        </w:rPr>
        <w:t>Ghazy, S.E.</w:t>
      </w:r>
      <w:r w:rsidR="00F81221">
        <w:rPr>
          <w:kern w:val="0"/>
          <w:szCs w:val="24"/>
        </w:rPr>
        <w:t xml:space="preserve"> and </w:t>
      </w:r>
      <w:r>
        <w:rPr>
          <w:kern w:val="0"/>
          <w:szCs w:val="24"/>
        </w:rPr>
        <w:t xml:space="preserve">Ragab, A.H. (2007), Removal of copper from water samples by sorption onto powdered limestone. </w:t>
      </w:r>
      <w:r>
        <w:rPr>
          <w:i/>
          <w:iCs/>
          <w:kern w:val="0"/>
          <w:szCs w:val="24"/>
        </w:rPr>
        <w:t>Indian Journal of Chemical Technology</w:t>
      </w:r>
      <w:r>
        <w:rPr>
          <w:kern w:val="0"/>
          <w:szCs w:val="24"/>
        </w:rPr>
        <w:t xml:space="preserve">, </w:t>
      </w:r>
      <w:r>
        <w:rPr>
          <w:b/>
          <w:bCs/>
          <w:kern w:val="0"/>
          <w:szCs w:val="24"/>
        </w:rPr>
        <w:t>14</w:t>
      </w:r>
      <w:r>
        <w:rPr>
          <w:kern w:val="0"/>
          <w:szCs w:val="24"/>
        </w:rPr>
        <w:t xml:space="preserve"> (5), 507-514.</w:t>
      </w:r>
    </w:p>
    <w:p w:rsidR="00BB3A0C" w:rsidRDefault="00BB3A0C" w:rsidP="00BB3A0C">
      <w:pPr>
        <w:pStyle w:val="a0"/>
        <w:jc w:val="left"/>
        <w:rPr>
          <w:kern w:val="0"/>
        </w:rPr>
      </w:pPr>
      <w:r w:rsidRPr="00A428C3">
        <w:t>Full Text:</w:t>
      </w:r>
      <w:r w:rsidRPr="002F0727">
        <w:t xml:space="preserve"> </w:t>
      </w:r>
      <w:hyperlink r:id="rId895" w:history="1">
        <w:r w:rsidRPr="00BB3A0C">
          <w:rPr>
            <w:rStyle w:val="a5"/>
          </w:rPr>
          <w:t>2007\Ind J Che Tec14, 507.pdf</w:t>
        </w:r>
      </w:hyperlink>
    </w:p>
    <w:p w:rsidR="00BB3A0C" w:rsidRDefault="00BB3A0C" w:rsidP="00BB3A0C">
      <w:pPr>
        <w:pStyle w:val="a0"/>
        <w:rPr>
          <w:kern w:val="0"/>
          <w:szCs w:val="24"/>
        </w:rPr>
      </w:pPr>
      <w:r>
        <w:rPr>
          <w:kern w:val="0"/>
          <w:szCs w:val="24"/>
        </w:rPr>
        <w:t>Abstract: The present paper describes the results of a study concerning Cu(II) removal from aqueous systems by batch adsorption experiments, using fine powdered Limestone (LS) as all effective sorbent, which is widespread</w:t>
      </w:r>
      <w:r w:rsidR="00F81221">
        <w:rPr>
          <w:kern w:val="0"/>
          <w:szCs w:val="24"/>
        </w:rPr>
        <w:t xml:space="preserve"> and </w:t>
      </w:r>
      <w:r>
        <w:rPr>
          <w:kern w:val="0"/>
          <w:szCs w:val="24"/>
        </w:rPr>
        <w:t>cheap. The parameters (i.e., initial solution pH. sorbent</w:t>
      </w:r>
      <w:r w:rsidR="00F81221">
        <w:rPr>
          <w:kern w:val="0"/>
          <w:szCs w:val="24"/>
        </w:rPr>
        <w:t xml:space="preserve"> and </w:t>
      </w:r>
      <w:r>
        <w:rPr>
          <w:kern w:val="0"/>
          <w:szCs w:val="24"/>
        </w:rPr>
        <w:t>copper concentrations, stirring times</w:t>
      </w:r>
      <w:r w:rsidR="00F81221">
        <w:rPr>
          <w:kern w:val="0"/>
          <w:szCs w:val="24"/>
        </w:rPr>
        <w:t xml:space="preserve"> and </w:t>
      </w:r>
      <w:r>
        <w:rPr>
          <w:kern w:val="0"/>
          <w:szCs w:val="24"/>
        </w:rPr>
        <w:t xml:space="preserve">temperature) influencing the sorption process. in addition to the effect of some foreign ions, were investigated. The results obtained showed that the sorption of </w:t>
      </w:r>
      <w:r>
        <w:rPr>
          <w:kern w:val="0"/>
          <w:szCs w:val="24"/>
        </w:rPr>
        <w:lastRenderedPageBreak/>
        <w:t>Cu2+ ions onto LS is exothermic</w:t>
      </w:r>
      <w:r w:rsidR="00F81221">
        <w:rPr>
          <w:kern w:val="0"/>
          <w:szCs w:val="24"/>
        </w:rPr>
        <w:t xml:space="preserve"> and </w:t>
      </w:r>
      <w:r>
        <w:rPr>
          <w:kern w:val="0"/>
          <w:szCs w:val="24"/>
        </w:rPr>
        <w:t>spontaneous in nature,</w:t>
      </w:r>
      <w:r w:rsidR="00F81221">
        <w:rPr>
          <w:kern w:val="0"/>
          <w:szCs w:val="24"/>
        </w:rPr>
        <w:t xml:space="preserve"> and </w:t>
      </w:r>
      <w:r>
        <w:rPr>
          <w:kern w:val="0"/>
          <w:szCs w:val="24"/>
        </w:rPr>
        <w:t>followed first-order kinetics. The adsorption data were well described by Langmuir, Freundlich, Dubinin-Radushkevich (D-R) adsorption models over the concentration range Studied. Under the optimum experimental conditions employed, the removal of ca. 100% of Cu2+ ions was attained. The procedure was Successfully applied to the removal of copper from aqueous</w:t>
      </w:r>
      <w:r w:rsidR="00F81221">
        <w:rPr>
          <w:kern w:val="0"/>
          <w:szCs w:val="24"/>
        </w:rPr>
        <w:t xml:space="preserve"> and </w:t>
      </w:r>
      <w:r>
        <w:rPr>
          <w:kern w:val="0"/>
          <w:szCs w:val="24"/>
        </w:rPr>
        <w:t>different natural water samples. The adsorption mechanism is also Suggested.</w:t>
      </w:r>
    </w:p>
    <w:p w:rsidR="00BB3A0C" w:rsidRDefault="00BB3A0C" w:rsidP="00BB3A0C">
      <w:pPr>
        <w:pStyle w:val="a0"/>
        <w:rPr>
          <w:kern w:val="0"/>
          <w:szCs w:val="24"/>
        </w:rPr>
      </w:pPr>
      <w:r>
        <w:rPr>
          <w:kern w:val="0"/>
          <w:szCs w:val="24"/>
        </w:rPr>
        <w:t>Keywords: Adsorption, Adsorption Mechanism, Aqueous-Solutions, Batch, Calcite, Copper, Cu(II), Cu</w:t>
      </w:r>
      <w:r w:rsidRPr="0027661E">
        <w:rPr>
          <w:kern w:val="0"/>
          <w:szCs w:val="24"/>
          <w:vertAlign w:val="superscript"/>
        </w:rPr>
        <w:t>2+</w:t>
      </w:r>
      <w:r>
        <w:rPr>
          <w:kern w:val="0"/>
          <w:szCs w:val="24"/>
        </w:rPr>
        <w:t xml:space="preserve">, Dubinin-Radushkevich, Flotation, Fly-Ash, Freundlich, Heavy-Metal Ions, Kinetics, Langmuir, Limestone, Models, Natural-Waters, Nonconventional Adsorbents, </w:t>
      </w:r>
      <w:r>
        <w:rPr>
          <w:rFonts w:hint="eastAsia"/>
          <w:kern w:val="0"/>
          <w:szCs w:val="24"/>
        </w:rPr>
        <w:t>p</w:t>
      </w:r>
      <w:r>
        <w:rPr>
          <w:kern w:val="0"/>
          <w:szCs w:val="24"/>
        </w:rPr>
        <w:t>H, Removal, Sorbent, Sorption, Spectrophotometric Determination, Temperature, Waste-Water, Water</w:t>
      </w:r>
    </w:p>
    <w:p w:rsidR="00BB3A0C" w:rsidRDefault="00BB3A0C" w:rsidP="00BB3A0C">
      <w:pPr>
        <w:pStyle w:val="a0"/>
        <w:rPr>
          <w:kern w:val="0"/>
          <w:szCs w:val="24"/>
        </w:rPr>
      </w:pPr>
      <w:r>
        <w:rPr>
          <w:rFonts w:hint="eastAsia"/>
          <w:kern w:val="0"/>
          <w:szCs w:val="24"/>
        </w:rPr>
        <w:t xml:space="preserve">? </w:t>
      </w:r>
      <w:r>
        <w:rPr>
          <w:kern w:val="0"/>
          <w:szCs w:val="24"/>
        </w:rPr>
        <w:t>Mishra, P., Srivastava, P., Mishra, P.K.</w:t>
      </w:r>
      <w:r w:rsidR="00F81221">
        <w:rPr>
          <w:kern w:val="0"/>
          <w:szCs w:val="24"/>
        </w:rPr>
        <w:t xml:space="preserve"> and </w:t>
      </w:r>
      <w:r>
        <w:rPr>
          <w:kern w:val="0"/>
          <w:szCs w:val="24"/>
        </w:rPr>
        <w:t xml:space="preserve">Kundu, S. (2007), Recovery of cephalosporin C from aqueous solution using polymeric adsorbent. </w:t>
      </w:r>
      <w:r>
        <w:rPr>
          <w:i/>
          <w:iCs/>
          <w:kern w:val="0"/>
          <w:szCs w:val="24"/>
        </w:rPr>
        <w:t>Indian Journal of Chemical Technology</w:t>
      </w:r>
      <w:r>
        <w:rPr>
          <w:kern w:val="0"/>
          <w:szCs w:val="24"/>
        </w:rPr>
        <w:t xml:space="preserve">, </w:t>
      </w:r>
      <w:r>
        <w:rPr>
          <w:b/>
          <w:bCs/>
          <w:kern w:val="0"/>
          <w:szCs w:val="24"/>
        </w:rPr>
        <w:t>14</w:t>
      </w:r>
      <w:r>
        <w:rPr>
          <w:kern w:val="0"/>
          <w:szCs w:val="24"/>
        </w:rPr>
        <w:t xml:space="preserve"> (6), 592-596.</w:t>
      </w:r>
    </w:p>
    <w:p w:rsidR="00BB3A0C" w:rsidRDefault="00BB3A0C" w:rsidP="00BB3A0C">
      <w:pPr>
        <w:pStyle w:val="a0"/>
        <w:jc w:val="left"/>
        <w:rPr>
          <w:kern w:val="0"/>
        </w:rPr>
      </w:pPr>
      <w:r w:rsidRPr="00A428C3">
        <w:t>Full Text:</w:t>
      </w:r>
      <w:r w:rsidRPr="002F0727">
        <w:t xml:space="preserve"> </w:t>
      </w:r>
      <w:hyperlink r:id="rId896" w:history="1">
        <w:r w:rsidRPr="00BB3A0C">
          <w:rPr>
            <w:rStyle w:val="a5"/>
          </w:rPr>
          <w:t>2007\Ind J Che Tec14, 592.pdf</w:t>
        </w:r>
      </w:hyperlink>
    </w:p>
    <w:p w:rsidR="00BB3A0C" w:rsidRDefault="00BB3A0C" w:rsidP="00BB3A0C">
      <w:pPr>
        <w:pStyle w:val="a0"/>
        <w:rPr>
          <w:kern w:val="0"/>
          <w:szCs w:val="24"/>
        </w:rPr>
      </w:pPr>
      <w:r>
        <w:rPr>
          <w:kern w:val="0"/>
          <w:szCs w:val="24"/>
        </w:rPr>
        <w:t>Abstract: Commercially, available neutral polymeric sorbents are used for recovery of beta lactam antibiotic cephalosporin C (CPC), from aqueous solution. The objective of this work is to evaluate the separation of CPC front fermentation broth during purification process. The neutral forms of CPC are preferentially adsorbed onto the neutral sorbents. Adsorption of CPC was higher onto the aromatic (XAD 4) as compared to aliphatic ester sorbent (XAD 8). The kinetics of CPC adsorption on aromatic polymeric adsorbent has been investigated. Isopropyl alcohol solution Was Used to desorb CPC.</w:t>
      </w:r>
    </w:p>
    <w:p w:rsidR="00BB3A0C" w:rsidRDefault="00BB3A0C" w:rsidP="00BB3A0C">
      <w:pPr>
        <w:pStyle w:val="a0"/>
        <w:rPr>
          <w:kern w:val="0"/>
          <w:szCs w:val="24"/>
        </w:rPr>
      </w:pPr>
      <w:r>
        <w:rPr>
          <w:kern w:val="0"/>
          <w:szCs w:val="24"/>
        </w:rPr>
        <w:t>Keywords: Adsorption, Adsorption, Antibiotics, Cephalosporin C, Desorption, Kinetics, Polymeric Adsorbents, Recovery, Resins, Sorbent, Sorbents</w:t>
      </w:r>
    </w:p>
    <w:p w:rsidR="00BB3A0C" w:rsidRDefault="00BB3A0C" w:rsidP="00BB3A0C">
      <w:pPr>
        <w:pStyle w:val="a0"/>
        <w:rPr>
          <w:kern w:val="0"/>
          <w:szCs w:val="24"/>
        </w:rPr>
      </w:pPr>
      <w:r>
        <w:rPr>
          <w:rFonts w:hint="eastAsia"/>
          <w:kern w:val="0"/>
          <w:szCs w:val="24"/>
        </w:rPr>
        <w:t xml:space="preserve">? </w:t>
      </w:r>
      <w:r>
        <w:rPr>
          <w:kern w:val="0"/>
          <w:szCs w:val="24"/>
        </w:rPr>
        <w:t>Jayswal, A.</w:t>
      </w:r>
      <w:r w:rsidR="00F81221">
        <w:rPr>
          <w:kern w:val="0"/>
          <w:szCs w:val="24"/>
        </w:rPr>
        <w:t xml:space="preserve"> and </w:t>
      </w:r>
      <w:r>
        <w:rPr>
          <w:kern w:val="0"/>
          <w:szCs w:val="24"/>
        </w:rPr>
        <w:t xml:space="preserve">Chudasama, U. (2007), Sorption of water soluble dyes from aqueous solutions on zirconium phosphate. </w:t>
      </w:r>
      <w:r>
        <w:rPr>
          <w:i/>
          <w:iCs/>
          <w:kern w:val="0"/>
          <w:szCs w:val="24"/>
        </w:rPr>
        <w:t>Indian Journal of Chemical Technology</w:t>
      </w:r>
      <w:r>
        <w:rPr>
          <w:kern w:val="0"/>
          <w:szCs w:val="24"/>
        </w:rPr>
        <w:t xml:space="preserve">, </w:t>
      </w:r>
      <w:r>
        <w:rPr>
          <w:b/>
          <w:bCs/>
          <w:kern w:val="0"/>
          <w:szCs w:val="24"/>
        </w:rPr>
        <w:t>14</w:t>
      </w:r>
      <w:r>
        <w:rPr>
          <w:kern w:val="0"/>
          <w:szCs w:val="24"/>
        </w:rPr>
        <w:t xml:space="preserve"> (6), 597-605.</w:t>
      </w:r>
    </w:p>
    <w:p w:rsidR="00BB3A0C" w:rsidRDefault="00BB3A0C" w:rsidP="00BB3A0C">
      <w:pPr>
        <w:pStyle w:val="a0"/>
        <w:jc w:val="left"/>
        <w:rPr>
          <w:kern w:val="0"/>
        </w:rPr>
      </w:pPr>
      <w:r w:rsidRPr="00A428C3">
        <w:t>Full Text:</w:t>
      </w:r>
      <w:r w:rsidRPr="002F0727">
        <w:t xml:space="preserve"> </w:t>
      </w:r>
      <w:hyperlink r:id="rId897" w:history="1">
        <w:r w:rsidRPr="00BB3A0C">
          <w:rPr>
            <w:rStyle w:val="a5"/>
          </w:rPr>
          <w:t>2007\Ind J Che Tec14, 597.pdf</w:t>
        </w:r>
      </w:hyperlink>
    </w:p>
    <w:p w:rsidR="00BB3A0C" w:rsidRDefault="00BB3A0C" w:rsidP="00BB3A0C">
      <w:pPr>
        <w:pStyle w:val="a0"/>
        <w:rPr>
          <w:kern w:val="0"/>
          <w:szCs w:val="24"/>
        </w:rPr>
      </w:pPr>
      <w:r>
        <w:rPr>
          <w:kern w:val="0"/>
          <w:szCs w:val="24"/>
        </w:rPr>
        <w:t>Abstract: Amorphous zirconium phosphate (ZP) ail inorganic ion exchange material of the class of tetravalent metal acid (tma) salt has been synthesized by sol-gel method. The material has been characterized for elemental analysis (ICP-AES), thermal analysis (TGA, DSC), FT-IR</w:t>
      </w:r>
      <w:r w:rsidR="00F81221">
        <w:rPr>
          <w:kern w:val="0"/>
          <w:szCs w:val="24"/>
        </w:rPr>
        <w:t xml:space="preserve"> and </w:t>
      </w:r>
      <w:r>
        <w:rPr>
          <w:kern w:val="0"/>
          <w:szCs w:val="24"/>
        </w:rPr>
        <w:t>X-ray diffraction studies. Chemical resistivity of the material in various media has been assessed. The sorption behaviour of dyes methylene blue (MB), crystal violet (CV), methyl violet (MV)</w:t>
      </w:r>
      <w:r w:rsidR="00F81221">
        <w:rPr>
          <w:kern w:val="0"/>
          <w:szCs w:val="24"/>
        </w:rPr>
        <w:t xml:space="preserve"> and </w:t>
      </w:r>
      <w:r>
        <w:rPr>
          <w:kern w:val="0"/>
          <w:szCs w:val="24"/>
        </w:rPr>
        <w:t>janus green B (JGB) towards ZP has been studied at 313, 323</w:t>
      </w:r>
      <w:r w:rsidR="00F81221">
        <w:rPr>
          <w:kern w:val="0"/>
          <w:szCs w:val="24"/>
        </w:rPr>
        <w:t xml:space="preserve"> and </w:t>
      </w:r>
      <w:r>
        <w:rPr>
          <w:kern w:val="0"/>
          <w:szCs w:val="24"/>
        </w:rPr>
        <w:t>333 K</w:t>
      </w:r>
      <w:r w:rsidR="00F81221">
        <w:rPr>
          <w:kern w:val="0"/>
          <w:szCs w:val="24"/>
        </w:rPr>
        <w:t xml:space="preserve"> and </w:t>
      </w:r>
      <w:r>
        <w:rPr>
          <w:kern w:val="0"/>
          <w:szCs w:val="24"/>
        </w:rPr>
        <w:t>kinetic</w:t>
      </w:r>
      <w:r w:rsidR="00F81221">
        <w:rPr>
          <w:kern w:val="0"/>
          <w:szCs w:val="24"/>
        </w:rPr>
        <w:t xml:space="preserve"> and </w:t>
      </w:r>
      <w:r>
        <w:rPr>
          <w:kern w:val="0"/>
          <w:szCs w:val="24"/>
        </w:rPr>
        <w:t>thermodynamic parameters evaluated. Adsorption isotherms (Langmuir</w:t>
      </w:r>
      <w:r w:rsidR="00F81221">
        <w:rPr>
          <w:kern w:val="0"/>
          <w:szCs w:val="24"/>
        </w:rPr>
        <w:t xml:space="preserve"> and </w:t>
      </w:r>
      <w:r>
        <w:rPr>
          <w:kern w:val="0"/>
          <w:szCs w:val="24"/>
        </w:rPr>
        <w:t>Fruendlich), breakthrough capacity</w:t>
      </w:r>
      <w:r w:rsidR="00F81221">
        <w:rPr>
          <w:kern w:val="0"/>
          <w:szCs w:val="24"/>
        </w:rPr>
        <w:t xml:space="preserve"> and </w:t>
      </w:r>
      <w:r>
        <w:rPr>
          <w:kern w:val="0"/>
          <w:szCs w:val="24"/>
        </w:rPr>
        <w:t xml:space="preserve">elution behaviour of dyes have also been </w:t>
      </w:r>
      <w:r>
        <w:rPr>
          <w:kern w:val="0"/>
          <w:szCs w:val="24"/>
        </w:rPr>
        <w:lastRenderedPageBreak/>
        <w:t>studied. Sorption affinity of dyes towards ZP is found to be MB &gt; CV approximate to MV &gt; JGB.</w:t>
      </w:r>
    </w:p>
    <w:p w:rsidR="00BB3A0C" w:rsidRDefault="00BB3A0C" w:rsidP="00BB3A0C">
      <w:pPr>
        <w:pStyle w:val="a0"/>
        <w:rPr>
          <w:kern w:val="0"/>
          <w:szCs w:val="24"/>
        </w:rPr>
      </w:pPr>
      <w:r>
        <w:rPr>
          <w:kern w:val="0"/>
          <w:szCs w:val="24"/>
        </w:rPr>
        <w:t>Keywords: Acid Salts, Adsorption, Adsorption Isotherms, Analysis, Aqueous Solutions, Breakthrough, Capacity, Chitin, Color, Decolorization, Dyes, Effluents, Epichlorohydrin-Cellulose Polymer, Exchange, FT-IR, FTIR, ICP-AES, Inorganic Ion Exchanger, Ion Exchange, Isotherms, Kinetic, Langmuir, Methylene Blue, Methylene-Blue, Removal, Sol-Gel, Sorption, Tetravalent Metal Acid Salt, Thermodynamic, Thermodynamic Parameters, Waste Treatment Containing Dyes, Waste-Water, Water, X-Ray, X-Ray Diffraction, Zr (IV) Phosphate</w:t>
      </w:r>
    </w:p>
    <w:p w:rsidR="004A1946" w:rsidRDefault="004A1946" w:rsidP="004A1946">
      <w:pPr>
        <w:pStyle w:val="a0"/>
        <w:rPr>
          <w:kern w:val="0"/>
          <w:szCs w:val="24"/>
        </w:rPr>
      </w:pPr>
      <w:r>
        <w:rPr>
          <w:rFonts w:hint="eastAsia"/>
          <w:kern w:val="0"/>
          <w:szCs w:val="24"/>
        </w:rPr>
        <w:t xml:space="preserve">? </w:t>
      </w:r>
      <w:r>
        <w:rPr>
          <w:kern w:val="0"/>
          <w:szCs w:val="24"/>
        </w:rPr>
        <w:t>Gude, S.M.</w:t>
      </w:r>
      <w:r w:rsidR="00F81221">
        <w:rPr>
          <w:kern w:val="0"/>
          <w:szCs w:val="24"/>
        </w:rPr>
        <w:t xml:space="preserve"> and </w:t>
      </w:r>
      <w:r>
        <w:rPr>
          <w:kern w:val="0"/>
          <w:szCs w:val="24"/>
        </w:rPr>
        <w:t xml:space="preserve">Das, S.N. (2008), Adsorption of chromium(VI) from aqueous solutions by chemically treated water hyacinth Eichhornia crassipes. </w:t>
      </w:r>
      <w:r>
        <w:rPr>
          <w:i/>
          <w:iCs/>
          <w:kern w:val="0"/>
          <w:szCs w:val="24"/>
        </w:rPr>
        <w:t>Indian Journal of Chemical Technology</w:t>
      </w:r>
      <w:r>
        <w:rPr>
          <w:kern w:val="0"/>
          <w:szCs w:val="24"/>
        </w:rPr>
        <w:t xml:space="preserve">, </w:t>
      </w:r>
      <w:r>
        <w:rPr>
          <w:b/>
          <w:bCs/>
          <w:kern w:val="0"/>
          <w:szCs w:val="24"/>
        </w:rPr>
        <w:t>15</w:t>
      </w:r>
      <w:r>
        <w:rPr>
          <w:kern w:val="0"/>
          <w:szCs w:val="24"/>
        </w:rPr>
        <w:t xml:space="preserve"> (1), 12-18.</w:t>
      </w:r>
    </w:p>
    <w:p w:rsidR="004A1946" w:rsidRDefault="004A1946" w:rsidP="004A1946">
      <w:pPr>
        <w:pStyle w:val="a0"/>
        <w:jc w:val="left"/>
        <w:rPr>
          <w:kern w:val="0"/>
        </w:rPr>
      </w:pPr>
      <w:r w:rsidRPr="00A428C3">
        <w:t>Full Text:</w:t>
      </w:r>
      <w:r w:rsidRPr="002F0727">
        <w:t xml:space="preserve"> </w:t>
      </w:r>
      <w:hyperlink r:id="rId898" w:history="1">
        <w:r w:rsidRPr="004A1946">
          <w:rPr>
            <w:rStyle w:val="a5"/>
          </w:rPr>
          <w:t>2008\Ind J Che Tec15, 12.pdf</w:t>
        </w:r>
      </w:hyperlink>
    </w:p>
    <w:p w:rsidR="004A1946" w:rsidRDefault="004A1946" w:rsidP="004A1946">
      <w:pPr>
        <w:pStyle w:val="a0"/>
        <w:rPr>
          <w:kern w:val="0"/>
          <w:szCs w:val="24"/>
        </w:rPr>
      </w:pPr>
      <w:r>
        <w:rPr>
          <w:kern w:val="0"/>
          <w:szCs w:val="24"/>
        </w:rPr>
        <w:t>Abstract: The adsorption potential of water hyacinth Eichhornia crassipes for the removal of Cr(VI) from aqueous solutions has been stidied. The influence of various parameters including contact time, temperature, solution pH, initial adsorbate</w:t>
      </w:r>
      <w:r w:rsidR="00F81221">
        <w:rPr>
          <w:kern w:val="0"/>
          <w:szCs w:val="24"/>
        </w:rPr>
        <w:t xml:space="preserve"> and </w:t>
      </w:r>
      <w:r>
        <w:rPr>
          <w:kern w:val="0"/>
          <w:szCs w:val="24"/>
        </w:rPr>
        <w:t>adsorbent concentrations</w:t>
      </w:r>
      <w:r w:rsidR="00F81221">
        <w:rPr>
          <w:kern w:val="0"/>
          <w:szCs w:val="24"/>
        </w:rPr>
        <w:t xml:space="preserve"> and </w:t>
      </w:r>
      <w:r>
        <w:rPr>
          <w:kern w:val="0"/>
          <w:szCs w:val="24"/>
        </w:rPr>
        <w:t>effect of competing anions Were studied. Results obtained indicate that the treated weed Eichhornia crassipes has remarkable adsorption capacity for Cr(VI) at pH below 4. The rate of adsorption was rapid</w:t>
      </w:r>
      <w:r w:rsidR="00F81221">
        <w:rPr>
          <w:kern w:val="0"/>
          <w:szCs w:val="24"/>
        </w:rPr>
        <w:t xml:space="preserve"> and </w:t>
      </w:r>
      <w:r>
        <w:rPr>
          <w:kern w:val="0"/>
          <w:szCs w:val="24"/>
        </w:rPr>
        <w:t>equilibrium attained within 2 h. The method followed first order kinetics. The adsorption process does exhibit a Langmuir type behaviour which is affected by the temperature. The maximum Cr(VI) removal was found to be 7.5 mg/g of dry weight weed at pH of 3.0 in 120 min at 25 degrees C. The calculated activation energy for the method studied was around 54.6 kJ/mol. About 500 mg weed could remove Cr(VI) successfully from 100 mL of chromite mine water containing 2.8 mg/L Cr(VI) at normal conditions.</w:t>
      </w:r>
    </w:p>
    <w:p w:rsidR="004A1946" w:rsidRDefault="004A1946" w:rsidP="004A1946">
      <w:pPr>
        <w:pStyle w:val="a0"/>
        <w:rPr>
          <w:kern w:val="0"/>
          <w:szCs w:val="24"/>
        </w:rPr>
      </w:pPr>
      <w:r>
        <w:rPr>
          <w:kern w:val="0"/>
          <w:szCs w:val="24"/>
        </w:rPr>
        <w:t xml:space="preserve">Keywords: Activation Energy, Adsorption, Adsorption Capacity, Aqueous Solutions, Biomass, Biosorption, Capacity, Chromium(VI), Contact Time, Cr(VI), Cr(VI) Removal, Equilibrium, Hexavalent Chromium, Kinetics, Langmuir, Mine Water, </w:t>
      </w:r>
      <w:r>
        <w:rPr>
          <w:rFonts w:hint="eastAsia"/>
          <w:kern w:val="0"/>
          <w:szCs w:val="24"/>
        </w:rPr>
        <w:t>p</w:t>
      </w:r>
      <w:r>
        <w:rPr>
          <w:kern w:val="0"/>
          <w:szCs w:val="24"/>
        </w:rPr>
        <w:t>H, Removal, Temperature, Water, Water Hyacinth, Weight</w:t>
      </w:r>
    </w:p>
    <w:p w:rsidR="00BB3A0C" w:rsidRDefault="00BB3A0C" w:rsidP="00BB3A0C">
      <w:pPr>
        <w:pStyle w:val="a0"/>
        <w:rPr>
          <w:kern w:val="0"/>
          <w:szCs w:val="24"/>
        </w:rPr>
      </w:pPr>
      <w:r>
        <w:rPr>
          <w:rFonts w:hint="eastAsia"/>
          <w:kern w:val="0"/>
          <w:szCs w:val="24"/>
        </w:rPr>
        <w:t xml:space="preserve">? </w:t>
      </w:r>
      <w:r>
        <w:rPr>
          <w:kern w:val="0"/>
          <w:szCs w:val="24"/>
        </w:rPr>
        <w:t>Arivoli, S., Sundaravadivelu, M.</w:t>
      </w:r>
      <w:r w:rsidR="00F81221">
        <w:rPr>
          <w:kern w:val="0"/>
          <w:szCs w:val="24"/>
        </w:rPr>
        <w:t xml:space="preserve"> and </w:t>
      </w:r>
      <w:r>
        <w:rPr>
          <w:kern w:val="0"/>
          <w:szCs w:val="24"/>
        </w:rPr>
        <w:t>Elango, K.P. (2008), Adsorption of Fe(II), Co(II), Ni(II)</w:t>
      </w:r>
      <w:r w:rsidR="00F81221">
        <w:rPr>
          <w:kern w:val="0"/>
          <w:szCs w:val="24"/>
        </w:rPr>
        <w:t xml:space="preserve"> and </w:t>
      </w:r>
      <w:r>
        <w:rPr>
          <w:kern w:val="0"/>
          <w:szCs w:val="24"/>
        </w:rPr>
        <w:t>Cu(II) ions onto a low cost activated carbon: Equilibrium, kinetic</w:t>
      </w:r>
      <w:r w:rsidR="00F81221">
        <w:rPr>
          <w:kern w:val="0"/>
          <w:szCs w:val="24"/>
        </w:rPr>
        <w:t xml:space="preserve"> and </w:t>
      </w:r>
      <w:r>
        <w:rPr>
          <w:kern w:val="0"/>
          <w:szCs w:val="24"/>
        </w:rPr>
        <w:t xml:space="preserve">thermodynamic studies. </w:t>
      </w:r>
      <w:r>
        <w:rPr>
          <w:i/>
          <w:iCs/>
          <w:kern w:val="0"/>
          <w:szCs w:val="24"/>
        </w:rPr>
        <w:t>Indian Journal of Chemical Technology</w:t>
      </w:r>
      <w:r>
        <w:rPr>
          <w:kern w:val="0"/>
          <w:szCs w:val="24"/>
        </w:rPr>
        <w:t xml:space="preserve">, </w:t>
      </w:r>
      <w:r>
        <w:rPr>
          <w:b/>
          <w:bCs/>
          <w:kern w:val="0"/>
          <w:szCs w:val="24"/>
        </w:rPr>
        <w:t>15</w:t>
      </w:r>
      <w:r>
        <w:rPr>
          <w:kern w:val="0"/>
          <w:szCs w:val="24"/>
        </w:rPr>
        <w:t xml:space="preserve"> (1), 19-28.</w:t>
      </w:r>
    </w:p>
    <w:p w:rsidR="00BB3A0C" w:rsidRDefault="00BB3A0C" w:rsidP="00BB3A0C">
      <w:pPr>
        <w:pStyle w:val="a0"/>
        <w:jc w:val="left"/>
        <w:rPr>
          <w:kern w:val="0"/>
        </w:rPr>
      </w:pPr>
      <w:r w:rsidRPr="00A428C3">
        <w:t>Full Text:</w:t>
      </w:r>
      <w:r w:rsidRPr="002F0727">
        <w:t xml:space="preserve"> </w:t>
      </w:r>
      <w:r w:rsidRPr="00857A78">
        <w:t>2008\Ind J Che Tec15, 1</w:t>
      </w:r>
      <w:r>
        <w:rPr>
          <w:rFonts w:hint="eastAsia"/>
        </w:rPr>
        <w:t>9</w:t>
      </w:r>
      <w:r w:rsidRPr="00857A78">
        <w:t>.pdf</w:t>
      </w:r>
    </w:p>
    <w:p w:rsidR="00BB3A0C" w:rsidRDefault="00BB3A0C" w:rsidP="00BB3A0C">
      <w:pPr>
        <w:pStyle w:val="a0"/>
        <w:rPr>
          <w:kern w:val="0"/>
          <w:szCs w:val="24"/>
        </w:rPr>
      </w:pPr>
      <w:r>
        <w:rPr>
          <w:kern w:val="0"/>
          <w:szCs w:val="24"/>
        </w:rPr>
        <w:t>Abstract: Batch sorption system using activated carbon from Aegle marmelos fruits source as an adsorbent was investigated to remove Fe(II), Co(II), Ni(II)</w:t>
      </w:r>
      <w:r w:rsidR="00F81221">
        <w:rPr>
          <w:kern w:val="0"/>
          <w:szCs w:val="24"/>
        </w:rPr>
        <w:t xml:space="preserve"> and </w:t>
      </w:r>
      <w:r>
        <w:rPr>
          <w:kern w:val="0"/>
          <w:szCs w:val="24"/>
        </w:rPr>
        <w:t>Cu(II) ions from aqueous solutions. The system variables studied include initial concentration of the sorbate, agitation time, adsorbent dose, pH, co-ions</w:t>
      </w:r>
      <w:r w:rsidR="00F81221">
        <w:rPr>
          <w:kern w:val="0"/>
          <w:szCs w:val="24"/>
        </w:rPr>
        <w:t xml:space="preserve"> and </w:t>
      </w:r>
      <w:r>
        <w:rPr>
          <w:kern w:val="0"/>
          <w:szCs w:val="24"/>
        </w:rPr>
        <w:t>temperature. The experimental data fitted well to the Langmuir</w:t>
      </w:r>
      <w:r w:rsidR="00F81221">
        <w:rPr>
          <w:kern w:val="0"/>
          <w:szCs w:val="24"/>
        </w:rPr>
        <w:t xml:space="preserve"> and </w:t>
      </w:r>
      <w:r>
        <w:rPr>
          <w:kern w:val="0"/>
          <w:szCs w:val="24"/>
        </w:rPr>
        <w:t xml:space="preserve">Freundlicli </w:t>
      </w:r>
      <w:r>
        <w:rPr>
          <w:kern w:val="0"/>
          <w:szCs w:val="24"/>
        </w:rPr>
        <w:lastRenderedPageBreak/>
        <w:t xml:space="preserve">isotherms. The values of thermodynamic parameters such as </w:t>
      </w:r>
      <w:r>
        <w:rPr>
          <w:kern w:val="0"/>
          <w:szCs w:val="24"/>
        </w:rPr>
        <w:sym w:font="Symbol" w:char="F044"/>
      </w:r>
      <w:r>
        <w:rPr>
          <w:kern w:val="0"/>
          <w:szCs w:val="24"/>
        </w:rPr>
        <w:t xml:space="preserve">H°, </w:t>
      </w:r>
      <w:r>
        <w:rPr>
          <w:kern w:val="0"/>
          <w:szCs w:val="24"/>
        </w:rPr>
        <w:sym w:font="Symbol" w:char="F044"/>
      </w:r>
      <w:r>
        <w:rPr>
          <w:kern w:val="0"/>
          <w:szCs w:val="24"/>
        </w:rPr>
        <w:t>S°</w:t>
      </w:r>
      <w:r w:rsidR="00F81221">
        <w:rPr>
          <w:kern w:val="0"/>
          <w:szCs w:val="24"/>
        </w:rPr>
        <w:t xml:space="preserve"> and </w:t>
      </w:r>
      <w:r>
        <w:rPr>
          <w:kern w:val="0"/>
          <w:szCs w:val="24"/>
        </w:rPr>
        <w:sym w:font="Symbol" w:char="F044"/>
      </w:r>
      <w:r>
        <w:rPr>
          <w:kern w:val="0"/>
          <w:szCs w:val="24"/>
        </w:rPr>
        <w:t>G° indicated that the adsorption was a spontaneous, endothermic</w:t>
      </w:r>
      <w:r w:rsidR="00F81221">
        <w:rPr>
          <w:kern w:val="0"/>
          <w:szCs w:val="24"/>
        </w:rPr>
        <w:t xml:space="preserve"> and </w:t>
      </w:r>
      <w:r>
        <w:rPr>
          <w:kern w:val="0"/>
          <w:szCs w:val="24"/>
        </w:rPr>
        <w:t>a physical process. Kinetic studies revealed that the adsorption is of first order. A two staged mechanism has been proposed for the adsorption of metal ions onto the adsorbent. FT-IR</w:t>
      </w:r>
      <w:r w:rsidR="00F81221">
        <w:rPr>
          <w:kern w:val="0"/>
          <w:szCs w:val="24"/>
        </w:rPr>
        <w:t xml:space="preserve"> and </w:t>
      </w:r>
      <w:r>
        <w:rPr>
          <w:kern w:val="0"/>
          <w:szCs w:val="24"/>
        </w:rPr>
        <w:t>SEM patterns of the adsorbent were used to understand the mechanism of die adsorption process. The order of adsorption of the metal ions Was found to be Fe(II) &gt; Cu(II) &gt; Ni(II) &gt; Co(II) which is in agreement with the intra-particle diffusion studies.</w:t>
      </w:r>
    </w:p>
    <w:p w:rsidR="00BB3A0C" w:rsidRDefault="00BB3A0C" w:rsidP="00BB3A0C">
      <w:pPr>
        <w:pStyle w:val="a0"/>
        <w:rPr>
          <w:kern w:val="0"/>
          <w:szCs w:val="24"/>
        </w:rPr>
      </w:pPr>
      <w:r>
        <w:rPr>
          <w:kern w:val="0"/>
          <w:szCs w:val="24"/>
        </w:rPr>
        <w:t xml:space="preserve">Keywords: Activated Carbon, Adsorption, Aegle Marmelos, Aqueous Solutions, Aqueous-Solutions, Co(II), Cost, Cu(II), Diffusion, Equilibrium, Fluoride, FT-IR, FTIR, Isotherms, Kinetic, Kinetics, Langmuir, Metal Ions, Metal-Ions, </w:t>
      </w:r>
      <w:r>
        <w:rPr>
          <w:rFonts w:hint="eastAsia"/>
          <w:kern w:val="0"/>
          <w:szCs w:val="24"/>
        </w:rPr>
        <w:t>p</w:t>
      </w:r>
      <w:r>
        <w:rPr>
          <w:kern w:val="0"/>
          <w:szCs w:val="24"/>
        </w:rPr>
        <w:t>H, SEM, Sorption, System, Temperature, Thermodynamic, Thermodynamic Parameters, Zn</w:t>
      </w:r>
    </w:p>
    <w:p w:rsidR="00BB3A0C" w:rsidRDefault="00BB3A0C" w:rsidP="00BB3A0C">
      <w:pPr>
        <w:pStyle w:val="a0"/>
        <w:rPr>
          <w:kern w:val="0"/>
          <w:szCs w:val="24"/>
        </w:rPr>
      </w:pPr>
      <w:r>
        <w:rPr>
          <w:rFonts w:hint="eastAsia"/>
          <w:kern w:val="0"/>
          <w:szCs w:val="24"/>
        </w:rPr>
        <w:t xml:space="preserve">? </w:t>
      </w:r>
      <w:r>
        <w:rPr>
          <w:kern w:val="0"/>
          <w:szCs w:val="24"/>
        </w:rPr>
        <w:t>Konwar, D., Gogoi, P.K., Gogoi, P., Borah, G., Baruah, R., Hazarika, N.</w:t>
      </w:r>
      <w:r w:rsidR="00F81221">
        <w:rPr>
          <w:kern w:val="0"/>
          <w:szCs w:val="24"/>
        </w:rPr>
        <w:t xml:space="preserve"> and </w:t>
      </w:r>
      <w:r>
        <w:rPr>
          <w:kern w:val="0"/>
          <w:szCs w:val="24"/>
        </w:rPr>
        <w:t xml:space="preserve">Borgohain, R. (2008), Esterification of carboxylic acids by acid activated Kaolinite clay. </w:t>
      </w:r>
      <w:r>
        <w:rPr>
          <w:i/>
          <w:iCs/>
          <w:kern w:val="0"/>
          <w:szCs w:val="24"/>
        </w:rPr>
        <w:t>Indian Journal of Chemical Technology</w:t>
      </w:r>
      <w:r>
        <w:rPr>
          <w:kern w:val="0"/>
          <w:szCs w:val="24"/>
        </w:rPr>
        <w:t xml:space="preserve">, </w:t>
      </w:r>
      <w:r>
        <w:rPr>
          <w:b/>
          <w:bCs/>
          <w:kern w:val="0"/>
          <w:szCs w:val="24"/>
        </w:rPr>
        <w:t>15</w:t>
      </w:r>
      <w:r>
        <w:rPr>
          <w:kern w:val="0"/>
          <w:szCs w:val="24"/>
        </w:rPr>
        <w:t xml:space="preserve"> (1), 75-78.</w:t>
      </w:r>
    </w:p>
    <w:p w:rsidR="00BB3A0C" w:rsidRDefault="00BB3A0C" w:rsidP="00BB3A0C">
      <w:pPr>
        <w:pStyle w:val="a0"/>
        <w:jc w:val="left"/>
        <w:rPr>
          <w:kern w:val="0"/>
        </w:rPr>
      </w:pPr>
      <w:r w:rsidRPr="00A428C3">
        <w:t>Full Text:</w:t>
      </w:r>
      <w:r w:rsidRPr="002F0727">
        <w:t xml:space="preserve"> </w:t>
      </w:r>
      <w:hyperlink r:id="rId899" w:history="1">
        <w:r w:rsidRPr="00BB3A0C">
          <w:rPr>
            <w:rStyle w:val="a5"/>
          </w:rPr>
          <w:t>2008\Ind J Che Tec15, 75.pdf</w:t>
        </w:r>
      </w:hyperlink>
    </w:p>
    <w:p w:rsidR="00BB3A0C" w:rsidRDefault="00BB3A0C" w:rsidP="00BB3A0C">
      <w:pPr>
        <w:pStyle w:val="a0"/>
        <w:rPr>
          <w:kern w:val="0"/>
          <w:szCs w:val="24"/>
        </w:rPr>
      </w:pPr>
      <w:r>
        <w:rPr>
          <w:kern w:val="0"/>
          <w:szCs w:val="24"/>
        </w:rPr>
        <w:t>Abstract: Esterification of carboxylic acid was carried out by using acid activated kaolinite clay. This heterogeneous catalyst, activated kaolinite clay has been found to be a mild solid catalyst for the esterification of carboxylic acid in good yields. The catalyst is recoverable</w:t>
      </w:r>
      <w:r w:rsidR="00F81221">
        <w:rPr>
          <w:kern w:val="0"/>
          <w:szCs w:val="24"/>
        </w:rPr>
        <w:t xml:space="preserve"> and </w:t>
      </w:r>
      <w:r>
        <w:rPr>
          <w:kern w:val="0"/>
          <w:szCs w:val="24"/>
        </w:rPr>
        <w:t>can be recycled after activation.</w:t>
      </w:r>
    </w:p>
    <w:p w:rsidR="00BB3A0C" w:rsidRDefault="00BB3A0C" w:rsidP="00BB3A0C">
      <w:pPr>
        <w:pStyle w:val="a0"/>
        <w:rPr>
          <w:kern w:val="0"/>
          <w:szCs w:val="24"/>
        </w:rPr>
      </w:pPr>
      <w:r>
        <w:rPr>
          <w:kern w:val="0"/>
          <w:szCs w:val="24"/>
        </w:rPr>
        <w:t>Keywords: Alcohols, Alpha, Carboxylic Acid, Clay, Deprotection, Derivatives, Efficient, Esterification, Esters, Hydrated Media, Kaolinite, Oxidation, Selective Gas-Adsorption, System, Water</w:t>
      </w:r>
    </w:p>
    <w:p w:rsidR="009F5FC6" w:rsidRDefault="009F5FC6" w:rsidP="009F5FC6">
      <w:pPr>
        <w:pStyle w:val="a0"/>
        <w:rPr>
          <w:kern w:val="0"/>
          <w:szCs w:val="24"/>
        </w:rPr>
      </w:pPr>
      <w:r>
        <w:rPr>
          <w:rFonts w:hint="eastAsia"/>
          <w:kern w:val="0"/>
          <w:szCs w:val="24"/>
        </w:rPr>
        <w:t xml:space="preserve">? </w:t>
      </w:r>
      <w:r>
        <w:rPr>
          <w:kern w:val="0"/>
          <w:szCs w:val="24"/>
        </w:rPr>
        <w:t>Arivoli, S., Sundaravadivelu, M.</w:t>
      </w:r>
      <w:r w:rsidR="00F81221">
        <w:rPr>
          <w:kern w:val="0"/>
          <w:szCs w:val="24"/>
        </w:rPr>
        <w:t xml:space="preserve"> and </w:t>
      </w:r>
      <w:r>
        <w:rPr>
          <w:kern w:val="0"/>
          <w:szCs w:val="24"/>
        </w:rPr>
        <w:t>Elango, K.P. (2008), Removal of basic</w:t>
      </w:r>
      <w:r w:rsidR="00F81221">
        <w:rPr>
          <w:kern w:val="0"/>
          <w:szCs w:val="24"/>
        </w:rPr>
        <w:t xml:space="preserve"> and </w:t>
      </w:r>
      <w:r>
        <w:rPr>
          <w:kern w:val="0"/>
          <w:szCs w:val="24"/>
        </w:rPr>
        <w:t>acidic dyes from aqueous solution by adsorption on a low cost activated carbon: Kinetic</w:t>
      </w:r>
      <w:r w:rsidR="00F81221">
        <w:rPr>
          <w:kern w:val="0"/>
          <w:szCs w:val="24"/>
        </w:rPr>
        <w:t xml:space="preserve"> and </w:t>
      </w:r>
      <w:r>
        <w:rPr>
          <w:kern w:val="0"/>
          <w:szCs w:val="24"/>
        </w:rPr>
        <w:t xml:space="preserve">thermodynamic study. </w:t>
      </w:r>
      <w:r>
        <w:rPr>
          <w:i/>
          <w:iCs/>
          <w:kern w:val="0"/>
          <w:szCs w:val="24"/>
        </w:rPr>
        <w:t>Indian Journal of Chemical Technology</w:t>
      </w:r>
      <w:r>
        <w:rPr>
          <w:kern w:val="0"/>
          <w:szCs w:val="24"/>
        </w:rPr>
        <w:t xml:space="preserve">, </w:t>
      </w:r>
      <w:r>
        <w:rPr>
          <w:b/>
          <w:bCs/>
          <w:kern w:val="0"/>
          <w:szCs w:val="24"/>
        </w:rPr>
        <w:t>15</w:t>
      </w:r>
      <w:r>
        <w:rPr>
          <w:kern w:val="0"/>
          <w:szCs w:val="24"/>
        </w:rPr>
        <w:t xml:space="preserve"> (2), 130-139.</w:t>
      </w:r>
    </w:p>
    <w:p w:rsidR="009F5FC6" w:rsidRDefault="009F5FC6" w:rsidP="009F5FC6">
      <w:pPr>
        <w:pStyle w:val="a0"/>
        <w:jc w:val="left"/>
        <w:rPr>
          <w:kern w:val="0"/>
        </w:rPr>
      </w:pPr>
      <w:r w:rsidRPr="00A428C3">
        <w:t>Full Text:</w:t>
      </w:r>
      <w:r w:rsidRPr="002F0727">
        <w:t xml:space="preserve"> </w:t>
      </w:r>
      <w:hyperlink r:id="rId900" w:history="1">
        <w:r w:rsidRPr="009F5FC6">
          <w:rPr>
            <w:rStyle w:val="a5"/>
          </w:rPr>
          <w:t>2008\Ind J Che Tec15, 130.pdf</w:t>
        </w:r>
      </w:hyperlink>
    </w:p>
    <w:p w:rsidR="009F5FC6" w:rsidRDefault="009F5FC6" w:rsidP="009F5FC6">
      <w:pPr>
        <w:pStyle w:val="a0"/>
        <w:rPr>
          <w:kern w:val="0"/>
          <w:szCs w:val="24"/>
        </w:rPr>
      </w:pPr>
      <w:r>
        <w:rPr>
          <w:kern w:val="0"/>
          <w:szCs w:val="24"/>
        </w:rPr>
        <w:t>Abstract: Batch experiments were carried out for the sorption of Congo red (CR), Malachite green (MG), Rhodamine B (RDB)</w:t>
      </w:r>
      <w:r w:rsidR="00F81221">
        <w:rPr>
          <w:kern w:val="0"/>
          <w:szCs w:val="24"/>
        </w:rPr>
        <w:t xml:space="preserve"> and </w:t>
      </w:r>
      <w:r>
        <w:rPr>
          <w:kern w:val="0"/>
          <w:szCs w:val="24"/>
        </w:rPr>
        <w:t>Rose Bengal (RB) dyes onto acid activated carbon prepared from a plant material, Aloe barbadensis Mill. The operating variables Studied were initial dye concentration, pH, temperature</w:t>
      </w:r>
      <w:r w:rsidR="00F81221">
        <w:rPr>
          <w:kern w:val="0"/>
          <w:szCs w:val="24"/>
        </w:rPr>
        <w:t xml:space="preserve"> and </w:t>
      </w:r>
      <w:r>
        <w:rPr>
          <w:kern w:val="0"/>
          <w:szCs w:val="24"/>
        </w:rPr>
        <w:t>contact time. Equilibrium data were fitted to the Langmuir</w:t>
      </w:r>
      <w:r w:rsidR="00F81221">
        <w:rPr>
          <w:kern w:val="0"/>
          <w:szCs w:val="24"/>
        </w:rPr>
        <w:t xml:space="preserve"> and </w:t>
      </w:r>
      <w:r>
        <w:rPr>
          <w:kern w:val="0"/>
          <w:szCs w:val="24"/>
        </w:rPr>
        <w:t>Freundlich isotherm equations. From this, adsorption efficiency, adsorption energy, adsorption capacity, intensity of adsorption</w:t>
      </w:r>
      <w:r w:rsidR="00F81221">
        <w:rPr>
          <w:kern w:val="0"/>
          <w:szCs w:val="24"/>
        </w:rPr>
        <w:t xml:space="preserve"> and </w:t>
      </w:r>
      <w:r>
        <w:rPr>
          <w:kern w:val="0"/>
          <w:szCs w:val="24"/>
        </w:rPr>
        <w:t>dimensionless separation factor were calculated. The amounts of CR, MG, RDB</w:t>
      </w:r>
      <w:r w:rsidR="00F81221">
        <w:rPr>
          <w:kern w:val="0"/>
          <w:szCs w:val="24"/>
        </w:rPr>
        <w:t xml:space="preserve"> and </w:t>
      </w:r>
      <w:r>
        <w:rPr>
          <w:kern w:val="0"/>
          <w:szCs w:val="24"/>
        </w:rPr>
        <w:t>RB removed from a 60 mg L</w:t>
      </w:r>
      <w:r w:rsidRPr="00324BF5">
        <w:rPr>
          <w:kern w:val="0"/>
          <w:szCs w:val="24"/>
          <w:vertAlign w:val="superscript"/>
        </w:rPr>
        <w:t>-1</w:t>
      </w:r>
      <w:r>
        <w:rPr>
          <w:kern w:val="0"/>
          <w:szCs w:val="24"/>
        </w:rPr>
        <w:t xml:space="preserve"> of the dye solution at 30°C are 21.17, 26.19, 8.50</w:t>
      </w:r>
      <w:r w:rsidR="00F81221">
        <w:rPr>
          <w:kern w:val="0"/>
          <w:szCs w:val="24"/>
        </w:rPr>
        <w:t xml:space="preserve"> and </w:t>
      </w:r>
      <w:r>
        <w:rPr>
          <w:kern w:val="0"/>
          <w:szCs w:val="24"/>
        </w:rPr>
        <w:t>3.62 mg g</w:t>
      </w:r>
      <w:r w:rsidRPr="00324BF5">
        <w:rPr>
          <w:kern w:val="0"/>
          <w:szCs w:val="24"/>
          <w:vertAlign w:val="superscript"/>
        </w:rPr>
        <w:t>-1</w:t>
      </w:r>
      <w:r>
        <w:rPr>
          <w:kern w:val="0"/>
          <w:szCs w:val="24"/>
        </w:rPr>
        <w:t xml:space="preserve">, respectively. The results of these studies indicate that the adsorption is favourable. From the kinetic studies, the rate constant values for the adsorption process were calculated. The thermodynamic parameters </w:t>
      </w:r>
      <w:r>
        <w:rPr>
          <w:kern w:val="0"/>
          <w:szCs w:val="24"/>
        </w:rPr>
        <w:lastRenderedPageBreak/>
        <w:t xml:space="preserve">like </w:t>
      </w:r>
      <w:r>
        <w:rPr>
          <w:kern w:val="0"/>
          <w:szCs w:val="24"/>
        </w:rPr>
        <w:sym w:font="Symbol" w:char="F044"/>
      </w:r>
      <w:r>
        <w:rPr>
          <w:kern w:val="0"/>
          <w:szCs w:val="24"/>
        </w:rPr>
        <w:t xml:space="preserve">G°, </w:t>
      </w:r>
      <w:r>
        <w:rPr>
          <w:kern w:val="0"/>
          <w:szCs w:val="24"/>
        </w:rPr>
        <w:sym w:font="Symbol" w:char="F044"/>
      </w:r>
      <w:r>
        <w:rPr>
          <w:kern w:val="0"/>
          <w:szCs w:val="24"/>
        </w:rPr>
        <w:t>H°</w:t>
      </w:r>
      <w:r w:rsidR="00F81221">
        <w:rPr>
          <w:kern w:val="0"/>
          <w:szCs w:val="24"/>
        </w:rPr>
        <w:t xml:space="preserve"> and </w:t>
      </w:r>
      <w:r>
        <w:rPr>
          <w:kern w:val="0"/>
          <w:szCs w:val="24"/>
        </w:rPr>
        <w:sym w:font="Symbol" w:char="F044"/>
      </w:r>
      <w:r>
        <w:rPr>
          <w:kern w:val="0"/>
          <w:szCs w:val="24"/>
        </w:rPr>
        <w:t>S° indicate that the adsorption process is endothermic</w:t>
      </w:r>
      <w:r w:rsidR="00F81221">
        <w:rPr>
          <w:kern w:val="0"/>
          <w:szCs w:val="24"/>
        </w:rPr>
        <w:t xml:space="preserve"> and </w:t>
      </w:r>
      <w:r>
        <w:rPr>
          <w:kern w:val="0"/>
          <w:szCs w:val="24"/>
        </w:rPr>
        <w:t>spontaneous in nature. The mechanism of the adsorption of dyes onto the adsorbent has been investigated by using the experimental results</w:t>
      </w:r>
      <w:r w:rsidR="00F81221">
        <w:rPr>
          <w:kern w:val="0"/>
          <w:szCs w:val="24"/>
        </w:rPr>
        <w:t xml:space="preserve"> and </w:t>
      </w:r>
      <w:r>
        <w:rPr>
          <w:kern w:val="0"/>
          <w:szCs w:val="24"/>
        </w:rPr>
        <w:t>confirmed by FT IR, XRD</w:t>
      </w:r>
      <w:r w:rsidR="00F81221">
        <w:rPr>
          <w:kern w:val="0"/>
          <w:szCs w:val="24"/>
        </w:rPr>
        <w:t xml:space="preserve"> and </w:t>
      </w:r>
      <w:r>
        <w:rPr>
          <w:kern w:val="0"/>
          <w:szCs w:val="24"/>
        </w:rPr>
        <w:t>SEM images.</w:t>
      </w:r>
    </w:p>
    <w:p w:rsidR="009F5FC6" w:rsidRDefault="009F5FC6" w:rsidP="009F5FC6">
      <w:pPr>
        <w:pStyle w:val="a0"/>
        <w:rPr>
          <w:kern w:val="0"/>
          <w:szCs w:val="24"/>
        </w:rPr>
      </w:pPr>
      <w:r>
        <w:rPr>
          <w:kern w:val="0"/>
          <w:szCs w:val="24"/>
        </w:rPr>
        <w:t>Keywords: Activated Carbon, Adsorbent, Adsorption, Adsorption Capacity, Bagasse Fly-Ash, Batch Experiments, Capacity, Congo Red, Congo-Red, Contact Time, Cost, Dye, Dyes, Equilibrium, Equilibrium Isotherm Analyses, Fluoride, Freundlich, Freundlich Isotherm, FT-IR, Isotherm, Kinetic, Langmuir, Langmuir</w:t>
      </w:r>
      <w:r w:rsidR="00F81221">
        <w:rPr>
          <w:kern w:val="0"/>
          <w:szCs w:val="24"/>
        </w:rPr>
        <w:t xml:space="preserve"> and </w:t>
      </w:r>
      <w:r>
        <w:rPr>
          <w:kern w:val="0"/>
          <w:szCs w:val="24"/>
        </w:rPr>
        <w:t xml:space="preserve">Freundlich Isotherm, Malachite Green, Malachite-Green, Mechanism, </w:t>
      </w:r>
      <w:r>
        <w:rPr>
          <w:rFonts w:hint="eastAsia"/>
          <w:kern w:val="0"/>
          <w:szCs w:val="24"/>
        </w:rPr>
        <w:t>p</w:t>
      </w:r>
      <w:r>
        <w:rPr>
          <w:kern w:val="0"/>
          <w:szCs w:val="24"/>
        </w:rPr>
        <w:t>H, Removal, Rhodamine B, Rhodamine-B, Rice Husk, SEM, Sorption, Temperature, Thermodynamic, Thermodynamic Parameters, XRD</w:t>
      </w:r>
    </w:p>
    <w:p w:rsidR="009F5FC6" w:rsidRDefault="009F5FC6" w:rsidP="009F5FC6">
      <w:pPr>
        <w:pStyle w:val="a0"/>
        <w:rPr>
          <w:kern w:val="0"/>
          <w:szCs w:val="24"/>
        </w:rPr>
      </w:pPr>
      <w:r>
        <w:rPr>
          <w:rFonts w:hint="eastAsia"/>
          <w:kern w:val="0"/>
          <w:szCs w:val="24"/>
        </w:rPr>
        <w:t xml:space="preserve">? </w:t>
      </w:r>
      <w:r>
        <w:rPr>
          <w:kern w:val="0"/>
          <w:szCs w:val="24"/>
        </w:rPr>
        <w:t>Verma, V.K.</w:t>
      </w:r>
      <w:r w:rsidR="00F81221">
        <w:rPr>
          <w:kern w:val="0"/>
          <w:szCs w:val="24"/>
        </w:rPr>
        <w:t xml:space="preserve"> and </w:t>
      </w:r>
      <w:r>
        <w:rPr>
          <w:kern w:val="0"/>
          <w:szCs w:val="24"/>
        </w:rPr>
        <w:t xml:space="preserve">Mishra, A.K. (2008), Removal of dyes using low cost adsorbents. </w:t>
      </w:r>
      <w:r>
        <w:rPr>
          <w:i/>
          <w:iCs/>
          <w:kern w:val="0"/>
          <w:szCs w:val="24"/>
        </w:rPr>
        <w:t>Indian Journal of Chemical Technology</w:t>
      </w:r>
      <w:r>
        <w:rPr>
          <w:kern w:val="0"/>
          <w:szCs w:val="24"/>
        </w:rPr>
        <w:t xml:space="preserve">, </w:t>
      </w:r>
      <w:r>
        <w:rPr>
          <w:b/>
          <w:bCs/>
          <w:kern w:val="0"/>
          <w:szCs w:val="24"/>
        </w:rPr>
        <w:t>15</w:t>
      </w:r>
      <w:r>
        <w:rPr>
          <w:kern w:val="0"/>
          <w:szCs w:val="24"/>
        </w:rPr>
        <w:t xml:space="preserve"> (2), 140-145.</w:t>
      </w:r>
    </w:p>
    <w:p w:rsidR="009F5FC6" w:rsidRDefault="009F5FC6" w:rsidP="009F5FC6">
      <w:pPr>
        <w:pStyle w:val="a0"/>
        <w:jc w:val="left"/>
        <w:rPr>
          <w:kern w:val="0"/>
        </w:rPr>
      </w:pPr>
      <w:r w:rsidRPr="00A428C3">
        <w:t>Full Text:</w:t>
      </w:r>
      <w:r w:rsidRPr="002F0727">
        <w:t xml:space="preserve"> </w:t>
      </w:r>
      <w:hyperlink r:id="rId901" w:history="1">
        <w:r w:rsidRPr="009F5FC6">
          <w:rPr>
            <w:rStyle w:val="a5"/>
          </w:rPr>
          <w:t>2008\Ind J Che Tec15, 140.pdf</w:t>
        </w:r>
      </w:hyperlink>
    </w:p>
    <w:p w:rsidR="009F5FC6" w:rsidRDefault="009F5FC6" w:rsidP="009F5FC6">
      <w:pPr>
        <w:pStyle w:val="a0"/>
        <w:rPr>
          <w:kern w:val="0"/>
          <w:szCs w:val="24"/>
        </w:rPr>
      </w:pPr>
      <w:r>
        <w:rPr>
          <w:kern w:val="0"/>
          <w:szCs w:val="24"/>
        </w:rPr>
        <w:t>Abstract: The low cost adsorbents namely Rice Husk Carbon (RHC), Wheat Straw Carbon (WSC)</w:t>
      </w:r>
      <w:r w:rsidR="00F81221">
        <w:rPr>
          <w:kern w:val="0"/>
          <w:szCs w:val="24"/>
        </w:rPr>
        <w:t xml:space="preserve"> and </w:t>
      </w:r>
      <w:r>
        <w:rPr>
          <w:kern w:val="0"/>
          <w:szCs w:val="24"/>
        </w:rPr>
        <w:t>Saw Dust Carbon (SDC) have been tested for the effectiveness in decolourisation of wastewater containing a mixture of dyes. Three dyes namely crystal violet, direct orange</w:t>
      </w:r>
      <w:r w:rsidR="00F81221">
        <w:rPr>
          <w:kern w:val="0"/>
          <w:szCs w:val="24"/>
        </w:rPr>
        <w:t xml:space="preserve"> and </w:t>
      </w:r>
      <w:r>
        <w:rPr>
          <w:kern w:val="0"/>
          <w:szCs w:val="24"/>
        </w:rPr>
        <w:t>magenta have been used for imparting colour in the representative samples of wastewater. Effect of various parameters such as agitation time, pH, temperature</w:t>
      </w:r>
      <w:r w:rsidR="00F81221">
        <w:rPr>
          <w:kern w:val="0"/>
          <w:szCs w:val="24"/>
        </w:rPr>
        <w:t xml:space="preserve"> and </w:t>
      </w:r>
      <w:r>
        <w:rPr>
          <w:kern w:val="0"/>
          <w:szCs w:val="24"/>
        </w:rPr>
        <w:t xml:space="preserve">adsorbent dosage has been investigated in the study. The adsorption of dyes are best </w:t>
      </w:r>
      <w:r w:rsidR="000352E7">
        <w:rPr>
          <w:kern w:val="0"/>
          <w:szCs w:val="24"/>
        </w:rPr>
        <w:t>“</w:t>
      </w:r>
      <w:r>
        <w:rPr>
          <w:kern w:val="0"/>
          <w:szCs w:val="24"/>
        </w:rPr>
        <w:t>described by pseudo first order mechanism. The rate constants of adsorption (K-ad) for the three dyes have been determined for the three adsorbents separately which are found to be 6.8×10</w:t>
      </w:r>
      <w:r>
        <w:rPr>
          <w:rFonts w:hint="eastAsia"/>
          <w:kern w:val="0"/>
          <w:szCs w:val="24"/>
          <w:vertAlign w:val="superscript"/>
        </w:rPr>
        <w:t>-3</w:t>
      </w:r>
      <w:r>
        <w:rPr>
          <w:kern w:val="0"/>
          <w:szCs w:val="24"/>
        </w:rPr>
        <w:t>, 8×10</w:t>
      </w:r>
      <w:r>
        <w:rPr>
          <w:rFonts w:hint="eastAsia"/>
          <w:kern w:val="0"/>
          <w:szCs w:val="24"/>
          <w:vertAlign w:val="superscript"/>
        </w:rPr>
        <w:t>-3</w:t>
      </w:r>
      <w:r w:rsidR="00F81221">
        <w:rPr>
          <w:kern w:val="0"/>
          <w:szCs w:val="24"/>
        </w:rPr>
        <w:t xml:space="preserve"> and </w:t>
      </w:r>
      <w:r>
        <w:rPr>
          <w:kern w:val="0"/>
          <w:szCs w:val="24"/>
        </w:rPr>
        <w:t>25×10</w:t>
      </w:r>
      <w:r>
        <w:rPr>
          <w:rFonts w:hint="eastAsia"/>
          <w:kern w:val="0"/>
          <w:szCs w:val="24"/>
          <w:vertAlign w:val="superscript"/>
        </w:rPr>
        <w:t>-3</w:t>
      </w:r>
      <w:r>
        <w:rPr>
          <w:kern w:val="0"/>
          <w:szCs w:val="24"/>
        </w:rPr>
        <w:t xml:space="preserve"> min</w:t>
      </w:r>
      <w:r>
        <w:rPr>
          <w:rFonts w:hint="eastAsia"/>
          <w:kern w:val="0"/>
          <w:szCs w:val="24"/>
          <w:vertAlign w:val="superscript"/>
        </w:rPr>
        <w:t>-1</w:t>
      </w:r>
      <w:r>
        <w:rPr>
          <w:kern w:val="0"/>
          <w:szCs w:val="24"/>
        </w:rPr>
        <w:t xml:space="preserve"> for crystal violet, 8×10</w:t>
      </w:r>
      <w:r>
        <w:rPr>
          <w:rFonts w:hint="eastAsia"/>
          <w:kern w:val="0"/>
          <w:szCs w:val="24"/>
          <w:vertAlign w:val="superscript"/>
        </w:rPr>
        <w:t>-3</w:t>
      </w:r>
      <w:r>
        <w:rPr>
          <w:kern w:val="0"/>
          <w:szCs w:val="24"/>
        </w:rPr>
        <w:t>, 12×10</w:t>
      </w:r>
      <w:r>
        <w:rPr>
          <w:rFonts w:hint="eastAsia"/>
          <w:kern w:val="0"/>
          <w:szCs w:val="24"/>
          <w:vertAlign w:val="superscript"/>
        </w:rPr>
        <w:t>-3</w:t>
      </w:r>
      <w:r w:rsidR="00F81221">
        <w:rPr>
          <w:kern w:val="0"/>
          <w:szCs w:val="24"/>
        </w:rPr>
        <w:t xml:space="preserve"> and </w:t>
      </w:r>
      <w:r>
        <w:rPr>
          <w:kern w:val="0"/>
          <w:szCs w:val="24"/>
        </w:rPr>
        <w:t>16×10</w:t>
      </w:r>
      <w:r>
        <w:rPr>
          <w:rFonts w:hint="eastAsia"/>
          <w:kern w:val="0"/>
          <w:szCs w:val="24"/>
          <w:vertAlign w:val="superscript"/>
        </w:rPr>
        <w:t>-3</w:t>
      </w:r>
      <w:r>
        <w:rPr>
          <w:kern w:val="0"/>
          <w:szCs w:val="24"/>
        </w:rPr>
        <w:t xml:space="preserve"> min</w:t>
      </w:r>
      <w:r>
        <w:rPr>
          <w:rFonts w:hint="eastAsia"/>
          <w:kern w:val="0"/>
          <w:szCs w:val="24"/>
          <w:vertAlign w:val="superscript"/>
        </w:rPr>
        <w:t>-1</w:t>
      </w:r>
      <w:r>
        <w:rPr>
          <w:kern w:val="0"/>
          <w:szCs w:val="24"/>
        </w:rPr>
        <w:t xml:space="preserve"> for direct orange</w:t>
      </w:r>
      <w:r w:rsidR="00F81221">
        <w:rPr>
          <w:kern w:val="0"/>
          <w:szCs w:val="24"/>
        </w:rPr>
        <w:t xml:space="preserve"> and </w:t>
      </w:r>
      <w:r>
        <w:rPr>
          <w:kern w:val="0"/>
          <w:szCs w:val="24"/>
        </w:rPr>
        <w:t>10×10</w:t>
      </w:r>
      <w:r>
        <w:rPr>
          <w:rFonts w:hint="eastAsia"/>
          <w:kern w:val="0"/>
          <w:szCs w:val="24"/>
          <w:vertAlign w:val="superscript"/>
        </w:rPr>
        <w:t>-3</w:t>
      </w:r>
      <w:r>
        <w:rPr>
          <w:kern w:val="0"/>
          <w:szCs w:val="24"/>
        </w:rPr>
        <w:t>, 10.6×10</w:t>
      </w:r>
      <w:r>
        <w:rPr>
          <w:rFonts w:hint="eastAsia"/>
          <w:kern w:val="0"/>
          <w:szCs w:val="24"/>
          <w:vertAlign w:val="superscript"/>
        </w:rPr>
        <w:t>-3</w:t>
      </w:r>
      <w:r w:rsidR="00F81221">
        <w:rPr>
          <w:kern w:val="0"/>
          <w:szCs w:val="24"/>
        </w:rPr>
        <w:t xml:space="preserve"> and </w:t>
      </w:r>
      <w:r>
        <w:rPr>
          <w:kern w:val="0"/>
          <w:szCs w:val="24"/>
        </w:rPr>
        <w:t>6×10</w:t>
      </w:r>
      <w:r>
        <w:rPr>
          <w:rFonts w:hint="eastAsia"/>
          <w:kern w:val="0"/>
          <w:szCs w:val="24"/>
          <w:vertAlign w:val="superscript"/>
        </w:rPr>
        <w:t>-3</w:t>
      </w:r>
      <w:r>
        <w:rPr>
          <w:kern w:val="0"/>
          <w:szCs w:val="24"/>
        </w:rPr>
        <w:t xml:space="preserve"> min</w:t>
      </w:r>
      <w:r>
        <w:rPr>
          <w:rFonts w:hint="eastAsia"/>
          <w:kern w:val="0"/>
          <w:szCs w:val="24"/>
          <w:vertAlign w:val="superscript"/>
        </w:rPr>
        <w:t>-1</w:t>
      </w:r>
      <w:r>
        <w:rPr>
          <w:kern w:val="0"/>
          <w:szCs w:val="24"/>
        </w:rPr>
        <w:t xml:space="preserve"> for magenta when treated with RHC, WSC</w:t>
      </w:r>
      <w:r w:rsidR="00F81221">
        <w:rPr>
          <w:kern w:val="0"/>
          <w:szCs w:val="24"/>
        </w:rPr>
        <w:t xml:space="preserve"> and </w:t>
      </w:r>
      <w:r>
        <w:rPr>
          <w:kern w:val="0"/>
          <w:szCs w:val="24"/>
        </w:rPr>
        <w:t>SDC respectively.</w:t>
      </w:r>
    </w:p>
    <w:p w:rsidR="009F5FC6" w:rsidRDefault="009F5FC6" w:rsidP="009F5FC6">
      <w:pPr>
        <w:pStyle w:val="a0"/>
        <w:rPr>
          <w:kern w:val="0"/>
          <w:szCs w:val="24"/>
        </w:rPr>
      </w:pPr>
      <w:r>
        <w:rPr>
          <w:kern w:val="0"/>
          <w:szCs w:val="24"/>
        </w:rPr>
        <w:t xml:space="preserve">Keywords: Activated Carbon, Adsorbents, Adsorption, Aqueous-Solution, Basic-Dyes, Carbon, Color Removal, Cost, Decolourisation, Dyes, </w:t>
      </w:r>
      <w:r>
        <w:rPr>
          <w:rFonts w:hint="eastAsia"/>
          <w:kern w:val="0"/>
          <w:szCs w:val="24"/>
        </w:rPr>
        <w:t>p</w:t>
      </w:r>
      <w:r>
        <w:rPr>
          <w:kern w:val="0"/>
          <w:szCs w:val="24"/>
        </w:rPr>
        <w:t>H, Removal, Rice Husk Carbon, Saw Dust Carbon, Temperature, Textile Dyes, Waste-Water, Wastewater, Wheat Straw Carbon</w:t>
      </w:r>
    </w:p>
    <w:p w:rsidR="004A1946" w:rsidRDefault="004A1946" w:rsidP="004A1946">
      <w:pPr>
        <w:pStyle w:val="a0"/>
        <w:rPr>
          <w:kern w:val="0"/>
          <w:szCs w:val="24"/>
        </w:rPr>
      </w:pPr>
      <w:r>
        <w:rPr>
          <w:rFonts w:hint="eastAsia"/>
          <w:kern w:val="0"/>
          <w:szCs w:val="24"/>
        </w:rPr>
        <w:t xml:space="preserve">? </w:t>
      </w:r>
      <w:r>
        <w:rPr>
          <w:kern w:val="0"/>
          <w:szCs w:val="24"/>
        </w:rPr>
        <w:t>Prakash, A., Solanki, S.</w:t>
      </w:r>
      <w:r w:rsidR="00F81221">
        <w:rPr>
          <w:kern w:val="0"/>
          <w:szCs w:val="24"/>
        </w:rPr>
        <w:t xml:space="preserve"> and </w:t>
      </w:r>
      <w:r>
        <w:rPr>
          <w:kern w:val="0"/>
          <w:szCs w:val="24"/>
        </w:rPr>
        <w:t>Rao, P.T.S.R. (2008), Adsorption of dyes on sawdust phosphate: Kinetics</w:t>
      </w:r>
      <w:r w:rsidR="00F81221">
        <w:rPr>
          <w:kern w:val="0"/>
          <w:szCs w:val="24"/>
        </w:rPr>
        <w:t xml:space="preserve"> and </w:t>
      </w:r>
      <w:r>
        <w:rPr>
          <w:kern w:val="0"/>
          <w:szCs w:val="24"/>
        </w:rPr>
        <w:t xml:space="preserve">equilibrium studies. </w:t>
      </w:r>
      <w:r>
        <w:rPr>
          <w:i/>
          <w:iCs/>
          <w:kern w:val="0"/>
          <w:szCs w:val="24"/>
        </w:rPr>
        <w:t>Indian Journal of Chemical Technology</w:t>
      </w:r>
      <w:r>
        <w:rPr>
          <w:kern w:val="0"/>
          <w:szCs w:val="24"/>
        </w:rPr>
        <w:t xml:space="preserve">, </w:t>
      </w:r>
      <w:r>
        <w:rPr>
          <w:b/>
          <w:bCs/>
          <w:kern w:val="0"/>
          <w:szCs w:val="24"/>
        </w:rPr>
        <w:t>15</w:t>
      </w:r>
      <w:r>
        <w:rPr>
          <w:kern w:val="0"/>
          <w:szCs w:val="24"/>
        </w:rPr>
        <w:t xml:space="preserve"> (2), 146-154.</w:t>
      </w:r>
    </w:p>
    <w:p w:rsidR="004A1946" w:rsidRDefault="004A1946" w:rsidP="004A1946">
      <w:pPr>
        <w:pStyle w:val="a0"/>
        <w:jc w:val="left"/>
        <w:rPr>
          <w:kern w:val="0"/>
        </w:rPr>
      </w:pPr>
      <w:r w:rsidRPr="00A428C3">
        <w:t>Full Text:</w:t>
      </w:r>
      <w:r w:rsidRPr="002F0727">
        <w:t xml:space="preserve"> </w:t>
      </w:r>
      <w:hyperlink r:id="rId902" w:history="1">
        <w:r w:rsidRPr="004A1946">
          <w:rPr>
            <w:rStyle w:val="a5"/>
          </w:rPr>
          <w:t>2008\Ind J Che Tec15, 146.pdf</w:t>
        </w:r>
      </w:hyperlink>
    </w:p>
    <w:p w:rsidR="004A1946" w:rsidRDefault="004A1946" w:rsidP="004A1946">
      <w:pPr>
        <w:pStyle w:val="a0"/>
        <w:rPr>
          <w:kern w:val="0"/>
          <w:szCs w:val="24"/>
        </w:rPr>
      </w:pPr>
      <w:r>
        <w:rPr>
          <w:kern w:val="0"/>
          <w:szCs w:val="24"/>
        </w:rPr>
        <w:t>Abstract: The distribution coefficients, Kd, for navy brown 3REL, direct red, procion red H8B, methylene blue, metamega chronic yellow</w:t>
      </w:r>
      <w:r w:rsidR="00F81221">
        <w:rPr>
          <w:kern w:val="0"/>
          <w:szCs w:val="24"/>
        </w:rPr>
        <w:t xml:space="preserve"> and </w:t>
      </w:r>
      <w:r>
        <w:rPr>
          <w:kern w:val="0"/>
          <w:szCs w:val="24"/>
        </w:rPr>
        <w:t>lanasyn green 5 GL, solar violet</w:t>
      </w:r>
      <w:r w:rsidR="00F81221">
        <w:rPr>
          <w:kern w:val="0"/>
          <w:szCs w:val="24"/>
        </w:rPr>
        <w:t xml:space="preserve"> and </w:t>
      </w:r>
      <w:r>
        <w:rPr>
          <w:kern w:val="0"/>
          <w:szCs w:val="24"/>
        </w:rPr>
        <w:t>procion blue H5G from their aqueous solutions, at pH 3.2</w:t>
      </w:r>
      <w:r w:rsidR="00F81221">
        <w:rPr>
          <w:kern w:val="0"/>
          <w:szCs w:val="24"/>
        </w:rPr>
        <w:t xml:space="preserve"> and </w:t>
      </w:r>
      <w:r>
        <w:rPr>
          <w:kern w:val="0"/>
          <w:szCs w:val="24"/>
        </w:rPr>
        <w:t>7.5 on sawdust phosphate (SDP) have been reported. Effect of pH</w:t>
      </w:r>
      <w:r w:rsidR="00F81221">
        <w:rPr>
          <w:kern w:val="0"/>
          <w:szCs w:val="24"/>
        </w:rPr>
        <w:t xml:space="preserve"> and </w:t>
      </w:r>
      <w:r>
        <w:rPr>
          <w:kern w:val="0"/>
          <w:szCs w:val="24"/>
        </w:rPr>
        <w:t xml:space="preserve">added surfactant concentration on the percent removal of lanasyn green 5 GL has been studied. </w:t>
      </w:r>
      <w:r>
        <w:rPr>
          <w:kern w:val="0"/>
          <w:szCs w:val="24"/>
        </w:rPr>
        <w:lastRenderedPageBreak/>
        <w:t>Percent dye removal increases with the decrease in pH. The applicability of the Freundlich</w:t>
      </w:r>
      <w:r w:rsidR="00F81221">
        <w:rPr>
          <w:kern w:val="0"/>
          <w:szCs w:val="24"/>
        </w:rPr>
        <w:t xml:space="preserve"> and </w:t>
      </w:r>
      <w:r>
        <w:rPr>
          <w:kern w:val="0"/>
          <w:szCs w:val="24"/>
        </w:rPr>
        <w:t>Langmuir equation has been tested for equilibrium data of which Langmuir isotherm model is found to be most appropriate. The values of Langmuir</w:t>
      </w:r>
      <w:r w:rsidR="00F81221">
        <w:rPr>
          <w:kern w:val="0"/>
          <w:szCs w:val="24"/>
        </w:rPr>
        <w:t xml:space="preserve"> and </w:t>
      </w:r>
      <w:r>
        <w:rPr>
          <w:kern w:val="0"/>
          <w:szCs w:val="24"/>
        </w:rPr>
        <w:t>Freundlich constants as well as the distribution constants show that SDP is a good adsorbent for all dyes, being better for basic dyes. The kinetics of adsorption of lanasyn green 5 GL on SDP was investigated at pH 3.2</w:t>
      </w:r>
      <w:r w:rsidR="00F81221">
        <w:rPr>
          <w:kern w:val="0"/>
          <w:szCs w:val="24"/>
        </w:rPr>
        <w:t xml:space="preserve"> and </w:t>
      </w:r>
      <w:r>
        <w:rPr>
          <w:kern w:val="0"/>
          <w:szCs w:val="24"/>
        </w:rPr>
        <w:t>temperatures 25, 30, 35</w:t>
      </w:r>
      <w:r w:rsidR="00F81221">
        <w:rPr>
          <w:kern w:val="0"/>
          <w:szCs w:val="24"/>
        </w:rPr>
        <w:t xml:space="preserve"> and </w:t>
      </w:r>
      <w:r>
        <w:rPr>
          <w:kern w:val="0"/>
          <w:szCs w:val="24"/>
        </w:rPr>
        <w:t>40°C. It is first order with respect to the dye</w:t>
      </w:r>
      <w:r w:rsidR="00F81221">
        <w:rPr>
          <w:kern w:val="0"/>
          <w:szCs w:val="24"/>
        </w:rPr>
        <w:t xml:space="preserve"> and </w:t>
      </w:r>
      <w:r>
        <w:rPr>
          <w:kern w:val="0"/>
          <w:szCs w:val="24"/>
        </w:rPr>
        <w:t>less than unity with respect to SDP. The values of k(ad), k(p)</w:t>
      </w:r>
      <w:r w:rsidR="00F81221">
        <w:rPr>
          <w:kern w:val="0"/>
          <w:szCs w:val="24"/>
        </w:rPr>
        <w:t xml:space="preserve"> and </w:t>
      </w:r>
      <w:r>
        <w:rPr>
          <w:kern w:val="0"/>
          <w:szCs w:val="24"/>
        </w:rPr>
        <w:t>k(f) at 30 degrees was found to be 2.18×10</w:t>
      </w:r>
      <w:r>
        <w:rPr>
          <w:rFonts w:hint="eastAsia"/>
          <w:kern w:val="0"/>
          <w:szCs w:val="24"/>
          <w:vertAlign w:val="superscript"/>
        </w:rPr>
        <w:t>-4</w:t>
      </w:r>
      <w:r>
        <w:rPr>
          <w:kern w:val="0"/>
          <w:szCs w:val="24"/>
        </w:rPr>
        <w:t xml:space="preserve"> s</w:t>
      </w:r>
      <w:r>
        <w:rPr>
          <w:rFonts w:hint="eastAsia"/>
          <w:kern w:val="0"/>
          <w:szCs w:val="24"/>
          <w:vertAlign w:val="superscript"/>
        </w:rPr>
        <w:t>-1</w:t>
      </w:r>
      <w:r>
        <w:rPr>
          <w:kern w:val="0"/>
          <w:szCs w:val="24"/>
        </w:rPr>
        <w:t>, 15.33×10</w:t>
      </w:r>
      <w:r>
        <w:rPr>
          <w:rFonts w:hint="eastAsia"/>
          <w:kern w:val="0"/>
          <w:szCs w:val="24"/>
          <w:vertAlign w:val="superscript"/>
        </w:rPr>
        <w:t>-5</w:t>
      </w:r>
      <w:r>
        <w:rPr>
          <w:kern w:val="0"/>
          <w:szCs w:val="24"/>
        </w:rPr>
        <w:t xml:space="preserve"> s</w:t>
      </w:r>
      <w:r>
        <w:rPr>
          <w:rFonts w:hint="eastAsia"/>
          <w:kern w:val="0"/>
          <w:szCs w:val="24"/>
          <w:vertAlign w:val="superscript"/>
        </w:rPr>
        <w:t>-1</w:t>
      </w:r>
      <w:r w:rsidR="00F81221">
        <w:rPr>
          <w:kern w:val="0"/>
          <w:szCs w:val="24"/>
        </w:rPr>
        <w:t xml:space="preserve"> and </w:t>
      </w:r>
      <w:r>
        <w:rPr>
          <w:kern w:val="0"/>
          <w:szCs w:val="24"/>
        </w:rPr>
        <w:t>20.72×10</w:t>
      </w:r>
      <w:r>
        <w:rPr>
          <w:rFonts w:hint="eastAsia"/>
          <w:kern w:val="0"/>
          <w:szCs w:val="24"/>
          <w:vertAlign w:val="superscript"/>
        </w:rPr>
        <w:t>-4</w:t>
      </w:r>
      <w:r>
        <w:rPr>
          <w:kern w:val="0"/>
          <w:szCs w:val="24"/>
        </w:rPr>
        <w:t xml:space="preserve"> s</w:t>
      </w:r>
      <w:r>
        <w:rPr>
          <w:rFonts w:hint="eastAsia"/>
          <w:kern w:val="0"/>
          <w:szCs w:val="24"/>
          <w:vertAlign w:val="superscript"/>
        </w:rPr>
        <w:t>-1</w:t>
      </w:r>
      <w:r>
        <w:rPr>
          <w:kern w:val="0"/>
          <w:szCs w:val="24"/>
        </w:rPr>
        <w:t xml:space="preserve"> respectively.</w:t>
      </w:r>
    </w:p>
    <w:p w:rsidR="004A1946" w:rsidRDefault="004A1946" w:rsidP="004A1946">
      <w:pPr>
        <w:pStyle w:val="a0"/>
        <w:rPr>
          <w:kern w:val="0"/>
          <w:szCs w:val="24"/>
        </w:rPr>
      </w:pPr>
      <w:r>
        <w:rPr>
          <w:kern w:val="0"/>
          <w:szCs w:val="24"/>
        </w:rPr>
        <w:t xml:space="preserve">Keywords: Activated Carbons, Adsorption, Adsorption Isotherms, Aqueous Solutions, Aqueous-Solutions, Basic-Dyes, Carbonaceous Sorbent, Color Removal, Dye, Dyes, Effect of </w:t>
      </w:r>
      <w:r>
        <w:rPr>
          <w:rFonts w:hint="eastAsia"/>
          <w:kern w:val="0"/>
          <w:szCs w:val="24"/>
        </w:rPr>
        <w:t>p</w:t>
      </w:r>
      <w:r>
        <w:rPr>
          <w:kern w:val="0"/>
          <w:szCs w:val="24"/>
        </w:rPr>
        <w:t xml:space="preserve">H, Equilibrium, Freundlich, Isotherm, Kinetics, Langmuir, Langmuir Isotherm, Low-Cost Adsorbents, Methylene Blue, Methylene-Blue, Model, </w:t>
      </w:r>
      <w:r>
        <w:rPr>
          <w:rFonts w:hint="eastAsia"/>
          <w:kern w:val="0"/>
          <w:szCs w:val="24"/>
        </w:rPr>
        <w:t>p</w:t>
      </w:r>
      <w:r>
        <w:rPr>
          <w:kern w:val="0"/>
          <w:szCs w:val="24"/>
        </w:rPr>
        <w:t>H, Removal, Sawdust Phosphate, Sorption Dynamics, Textile Dyes, Textile Effluents, Waste-Water</w:t>
      </w:r>
    </w:p>
    <w:p w:rsidR="004A1946" w:rsidRDefault="004A1946" w:rsidP="004A1946">
      <w:pPr>
        <w:pStyle w:val="a0"/>
        <w:rPr>
          <w:kern w:val="0"/>
          <w:szCs w:val="24"/>
        </w:rPr>
      </w:pPr>
      <w:r>
        <w:rPr>
          <w:rFonts w:hint="eastAsia"/>
          <w:kern w:val="0"/>
          <w:szCs w:val="24"/>
        </w:rPr>
        <w:t xml:space="preserve">? </w:t>
      </w:r>
      <w:r>
        <w:rPr>
          <w:kern w:val="0"/>
          <w:szCs w:val="24"/>
        </w:rPr>
        <w:t>Satpati, A.K., Palrecha, M.M.</w:t>
      </w:r>
      <w:r w:rsidR="00F81221">
        <w:rPr>
          <w:kern w:val="0"/>
          <w:szCs w:val="24"/>
        </w:rPr>
        <w:t xml:space="preserve"> and </w:t>
      </w:r>
      <w:r>
        <w:rPr>
          <w:kern w:val="0"/>
          <w:szCs w:val="24"/>
        </w:rPr>
        <w:t xml:space="preserve">Sundaresan, R.I. (2008), Electrochemical study of the mechanism of interaction of 1,2,3-benzotriazole on SS304 surface in HCl medium. </w:t>
      </w:r>
      <w:r>
        <w:rPr>
          <w:i/>
          <w:iCs/>
          <w:kern w:val="0"/>
          <w:szCs w:val="24"/>
        </w:rPr>
        <w:t>Indian Journal of Chemical Technology</w:t>
      </w:r>
      <w:r>
        <w:rPr>
          <w:kern w:val="0"/>
          <w:szCs w:val="24"/>
        </w:rPr>
        <w:t xml:space="preserve">, </w:t>
      </w:r>
      <w:r>
        <w:rPr>
          <w:b/>
          <w:bCs/>
          <w:kern w:val="0"/>
          <w:szCs w:val="24"/>
        </w:rPr>
        <w:t>15</w:t>
      </w:r>
      <w:r>
        <w:rPr>
          <w:kern w:val="0"/>
          <w:szCs w:val="24"/>
        </w:rPr>
        <w:t xml:space="preserve"> (2), 163-167.</w:t>
      </w:r>
    </w:p>
    <w:p w:rsidR="004A1946" w:rsidRDefault="004A1946" w:rsidP="004A1946">
      <w:pPr>
        <w:pStyle w:val="a0"/>
        <w:jc w:val="left"/>
        <w:rPr>
          <w:kern w:val="0"/>
        </w:rPr>
      </w:pPr>
      <w:r w:rsidRPr="00A428C3">
        <w:t>Full Text:</w:t>
      </w:r>
      <w:r w:rsidRPr="002F0727">
        <w:t xml:space="preserve"> </w:t>
      </w:r>
      <w:hyperlink r:id="rId903" w:history="1">
        <w:r w:rsidRPr="004A1946">
          <w:rPr>
            <w:rStyle w:val="a5"/>
          </w:rPr>
          <w:t>2008\Ind J Che Tec15, 163.pdf</w:t>
        </w:r>
      </w:hyperlink>
    </w:p>
    <w:p w:rsidR="004A1946" w:rsidRDefault="004A1946" w:rsidP="004A1946">
      <w:pPr>
        <w:pStyle w:val="a0"/>
        <w:rPr>
          <w:kern w:val="0"/>
          <w:szCs w:val="24"/>
        </w:rPr>
      </w:pPr>
      <w:r>
        <w:rPr>
          <w:kern w:val="0"/>
          <w:szCs w:val="24"/>
        </w:rPr>
        <w:t>Abstract: The interaction of 1,2,3, benzotriazole (BTAH) on austenitic stainless steel in HCl medium was Studied. The results are compared with some reported results. Electrochemical Impedance Spectroscopy (EIS) at the OCP at different concentrations of BTAH</w:t>
      </w:r>
      <w:r w:rsidR="00F81221">
        <w:rPr>
          <w:kern w:val="0"/>
          <w:szCs w:val="24"/>
        </w:rPr>
        <w:t xml:space="preserve"> and </w:t>
      </w:r>
      <w:r>
        <w:rPr>
          <w:kern w:val="0"/>
          <w:szCs w:val="24"/>
        </w:rPr>
        <w:t>potentiodynamic polarization were also Studied to ascertain the mechanism of dissolution of SS304 ill presence</w:t>
      </w:r>
      <w:r w:rsidR="00F81221">
        <w:rPr>
          <w:kern w:val="0"/>
          <w:szCs w:val="24"/>
        </w:rPr>
        <w:t xml:space="preserve"> and </w:t>
      </w:r>
      <w:r>
        <w:rPr>
          <w:kern w:val="0"/>
          <w:szCs w:val="24"/>
        </w:rPr>
        <w:t>in the absence of BTAH. Parameters like, polarization resistance (R-p), double layer capacitance (C,11), percentage Of surface coverage. etc. were calculated. It was observed that the adsorption of BTAH followed Langmuir-adsorption isotherm. ISIS experiments were performed at different bias potentials. From the measured polarization resistance</w:t>
      </w:r>
      <w:r w:rsidR="00F81221">
        <w:rPr>
          <w:kern w:val="0"/>
          <w:szCs w:val="24"/>
        </w:rPr>
        <w:t xml:space="preserve"> and </w:t>
      </w:r>
      <w:r>
        <w:rPr>
          <w:kern w:val="0"/>
          <w:szCs w:val="24"/>
        </w:rPr>
        <w:t>capacitance value the potential of zero charge (PZC) of SS304 in 0.2 M HCl was estimated. Adsorption of the inhibitor-followed the Langmuir adsorption isotherm.</w:t>
      </w:r>
    </w:p>
    <w:p w:rsidR="004A1946" w:rsidRDefault="004A1946" w:rsidP="004A1946">
      <w:pPr>
        <w:pStyle w:val="a0"/>
        <w:rPr>
          <w:kern w:val="0"/>
          <w:szCs w:val="24"/>
        </w:rPr>
      </w:pPr>
      <w:r>
        <w:rPr>
          <w:kern w:val="0"/>
          <w:szCs w:val="24"/>
        </w:rPr>
        <w:t>Keywords: Adsorption, Adsorption Isotherm, Benzotriazole, Benzotriazole (BTAH), Copper, Corrosion Inhibition, Corrosion Inhibitor, Efficiency, EIS, Impedance, Iron, ISI, Isotherm, Langmuir, Langmuir Adsorption Isotherm, Organic Compounds, Stainless Steel 304, Steel, Sulfuric-Acid</w:t>
      </w:r>
    </w:p>
    <w:p w:rsidR="00B95188" w:rsidRDefault="00B95188" w:rsidP="00B95188">
      <w:pPr>
        <w:pStyle w:val="a0"/>
        <w:rPr>
          <w:kern w:val="0"/>
        </w:rPr>
      </w:pPr>
      <w:r>
        <w:rPr>
          <w:rFonts w:hint="eastAsia"/>
          <w:kern w:val="0"/>
        </w:rPr>
        <w:t xml:space="preserve">? </w:t>
      </w:r>
      <w:r>
        <w:rPr>
          <w:kern w:val="0"/>
        </w:rPr>
        <w:t>Abia, A.A.</w:t>
      </w:r>
      <w:r w:rsidR="00F81221">
        <w:rPr>
          <w:kern w:val="0"/>
        </w:rPr>
        <w:t xml:space="preserve"> and </w:t>
      </w:r>
      <w:r>
        <w:rPr>
          <w:kern w:val="0"/>
        </w:rPr>
        <w:t>Asuquo, E.D. (2008), Sorption of Pb(II)</w:t>
      </w:r>
      <w:r w:rsidR="00F81221">
        <w:rPr>
          <w:kern w:val="0"/>
        </w:rPr>
        <w:t xml:space="preserve"> and </w:t>
      </w:r>
      <w:r>
        <w:rPr>
          <w:kern w:val="0"/>
        </w:rPr>
        <w:t>Cd(II) ions onto chemically unmodified</w:t>
      </w:r>
      <w:r w:rsidR="00F81221">
        <w:rPr>
          <w:kern w:val="0"/>
        </w:rPr>
        <w:t xml:space="preserve"> and </w:t>
      </w:r>
      <w:r>
        <w:rPr>
          <w:kern w:val="0"/>
        </w:rPr>
        <w:t xml:space="preserve">modified oil palm, fruit fibre adsorbent: Analysis of pseudo second order kinetic models. </w:t>
      </w:r>
      <w:r>
        <w:rPr>
          <w:i/>
          <w:iCs/>
          <w:kern w:val="0"/>
        </w:rPr>
        <w:t>Indian Journal of Chemical Technology</w:t>
      </w:r>
      <w:r>
        <w:rPr>
          <w:kern w:val="0"/>
        </w:rPr>
        <w:t xml:space="preserve">, </w:t>
      </w:r>
      <w:r>
        <w:rPr>
          <w:b/>
          <w:bCs/>
          <w:kern w:val="0"/>
        </w:rPr>
        <w:t>15</w:t>
      </w:r>
      <w:r>
        <w:rPr>
          <w:kern w:val="0"/>
        </w:rPr>
        <w:t xml:space="preserve"> (4), 341-348.</w:t>
      </w:r>
    </w:p>
    <w:p w:rsidR="00B95188" w:rsidRDefault="00B95188" w:rsidP="00B95188">
      <w:pPr>
        <w:pStyle w:val="a0"/>
        <w:rPr>
          <w:kern w:val="0"/>
        </w:rPr>
      </w:pPr>
      <w:r w:rsidRPr="00A428C3">
        <w:t>Full Text:</w:t>
      </w:r>
      <w:r w:rsidRPr="002F0727">
        <w:t xml:space="preserve"> </w:t>
      </w:r>
      <w:hyperlink r:id="rId904" w:history="1">
        <w:r w:rsidR="001C33A5" w:rsidRPr="001C33A5">
          <w:rPr>
            <w:rStyle w:val="a5"/>
          </w:rPr>
          <w:t>2008\Ind J Che Tec15, 341.pdf</w:t>
        </w:r>
      </w:hyperlink>
    </w:p>
    <w:p w:rsidR="00B95188" w:rsidRDefault="00B95188" w:rsidP="00B95188">
      <w:pPr>
        <w:pStyle w:val="a0"/>
        <w:rPr>
          <w:kern w:val="0"/>
        </w:rPr>
      </w:pPr>
      <w:r>
        <w:rPr>
          <w:kern w:val="0"/>
        </w:rPr>
        <w:lastRenderedPageBreak/>
        <w:t>Abstract: This study examines the sorption kinetics of Pb(II)</w:t>
      </w:r>
      <w:r w:rsidR="00F81221">
        <w:rPr>
          <w:kern w:val="0"/>
        </w:rPr>
        <w:t xml:space="preserve"> and </w:t>
      </w:r>
      <w:r>
        <w:rPr>
          <w:kern w:val="0"/>
        </w:rPr>
        <w:t>Cd(II) ions from aqueous solutions using unmodified</w:t>
      </w:r>
      <w:r w:rsidR="00F81221">
        <w:rPr>
          <w:kern w:val="0"/>
        </w:rPr>
        <w:t xml:space="preserve"> and </w:t>
      </w:r>
      <w:r>
        <w:rPr>
          <w:kern w:val="0"/>
        </w:rPr>
        <w:t>chemically modified oil palm fruit fibre. Four different models of the psuedo-second order equation were used to characterize the metal ion sorption kinetics. The results indicate that different kinetic parameters were obtained from the four forms of the pseudo-second order equations. The chemical modification of the absorbent increased the equilibrium sorption capacity with maximum values of 5.579 mg/g for Pb(II)</w:t>
      </w:r>
      <w:r w:rsidR="00F81221">
        <w:rPr>
          <w:kern w:val="0"/>
        </w:rPr>
        <w:t xml:space="preserve"> and </w:t>
      </w:r>
      <w:r>
        <w:rPr>
          <w:kern w:val="0"/>
        </w:rPr>
        <w:t xml:space="preserve">7.980 mg/g for Cd(II) for the 1.0 MOPF absorbents. The coefficient of determination </w:t>
      </w:r>
      <w:r>
        <w:rPr>
          <w:rFonts w:hint="eastAsia"/>
          <w:kern w:val="0"/>
        </w:rPr>
        <w:t>r</w:t>
      </w:r>
      <w:r w:rsidRPr="0087709D">
        <w:rPr>
          <w:rFonts w:hint="eastAsia"/>
          <w:kern w:val="0"/>
          <w:vertAlign w:val="superscript"/>
        </w:rPr>
        <w:t>2</w:t>
      </w:r>
      <w:r>
        <w:rPr>
          <w:kern w:val="0"/>
        </w:rPr>
        <w:t xml:space="preserve"> was used to analyse the different pseudo second order equations with the best fit for each of the different metal ions.</w:t>
      </w:r>
    </w:p>
    <w:p w:rsidR="00B95188" w:rsidRDefault="00B95188" w:rsidP="00B95188">
      <w:pPr>
        <w:pStyle w:val="a0"/>
        <w:rPr>
          <w:kern w:val="0"/>
        </w:rPr>
      </w:pPr>
      <w:r>
        <w:rPr>
          <w:kern w:val="0"/>
        </w:rPr>
        <w:t>Keywords: Aqueous-Solutions, Cadmium, Cadmium, Cassava Waste, Heavy-Metals, Kinetics, Lead, Manihot-Sculenta Cranz, Oil Palm Fibre, Pseudo, Pseudo-Second Order, Removal, Sorption, Sugarcane Bagasse Pith, Tree Fern, Waste Biomass, Zinc Ions</w:t>
      </w:r>
    </w:p>
    <w:p w:rsidR="001C33A5" w:rsidRDefault="001C33A5" w:rsidP="001C33A5">
      <w:pPr>
        <w:pStyle w:val="a0"/>
        <w:rPr>
          <w:kern w:val="0"/>
          <w:szCs w:val="24"/>
        </w:rPr>
      </w:pPr>
      <w:r>
        <w:rPr>
          <w:rFonts w:hint="eastAsia"/>
          <w:kern w:val="0"/>
          <w:szCs w:val="24"/>
        </w:rPr>
        <w:t xml:space="preserve">? </w:t>
      </w:r>
      <w:r>
        <w:rPr>
          <w:kern w:val="0"/>
          <w:szCs w:val="24"/>
        </w:rPr>
        <w:t>Rai, S.</w:t>
      </w:r>
      <w:r w:rsidR="00F81221">
        <w:rPr>
          <w:kern w:val="0"/>
          <w:szCs w:val="24"/>
        </w:rPr>
        <w:t xml:space="preserve"> and </w:t>
      </w:r>
      <w:r>
        <w:rPr>
          <w:kern w:val="0"/>
          <w:szCs w:val="24"/>
        </w:rPr>
        <w:t>Gajbhiye, N.S. (2008), Adsorption of comb-type superplasticizers on calcium carbonate in alkaline medium in presence of electrolytes</w:t>
      </w:r>
      <w:r w:rsidR="00F81221">
        <w:rPr>
          <w:kern w:val="0"/>
          <w:szCs w:val="24"/>
        </w:rPr>
        <w:t xml:space="preserve"> and </w:t>
      </w:r>
      <w:r>
        <w:rPr>
          <w:kern w:val="0"/>
          <w:szCs w:val="24"/>
        </w:rPr>
        <w:t xml:space="preserve">rheological properties. </w:t>
      </w:r>
      <w:r>
        <w:rPr>
          <w:i/>
          <w:iCs/>
          <w:kern w:val="0"/>
          <w:szCs w:val="24"/>
        </w:rPr>
        <w:t>Indian Journal of Chemical Technology</w:t>
      </w:r>
      <w:r>
        <w:rPr>
          <w:kern w:val="0"/>
          <w:szCs w:val="24"/>
        </w:rPr>
        <w:t xml:space="preserve">, </w:t>
      </w:r>
      <w:r>
        <w:rPr>
          <w:b/>
          <w:bCs/>
          <w:kern w:val="0"/>
          <w:szCs w:val="24"/>
        </w:rPr>
        <w:t>15</w:t>
      </w:r>
      <w:r>
        <w:rPr>
          <w:kern w:val="0"/>
          <w:szCs w:val="24"/>
        </w:rPr>
        <w:t xml:space="preserve"> (4), 349-354.</w:t>
      </w:r>
    </w:p>
    <w:p w:rsidR="001C33A5" w:rsidRDefault="001C33A5" w:rsidP="001C33A5">
      <w:pPr>
        <w:pStyle w:val="a0"/>
        <w:rPr>
          <w:kern w:val="0"/>
        </w:rPr>
      </w:pPr>
      <w:r w:rsidRPr="00A428C3">
        <w:t>Full Text:</w:t>
      </w:r>
      <w:r w:rsidRPr="002F0727">
        <w:t xml:space="preserve"> </w:t>
      </w:r>
      <w:hyperlink r:id="rId905" w:history="1">
        <w:r w:rsidRPr="001C33A5">
          <w:rPr>
            <w:rStyle w:val="a5"/>
          </w:rPr>
          <w:t>2008\Ind J Che Tec15, 349.pdf</w:t>
        </w:r>
      </w:hyperlink>
    </w:p>
    <w:p w:rsidR="001C33A5" w:rsidRDefault="001C33A5" w:rsidP="001C33A5">
      <w:pPr>
        <w:pStyle w:val="a0"/>
        <w:rPr>
          <w:kern w:val="0"/>
          <w:szCs w:val="24"/>
        </w:rPr>
      </w:pPr>
      <w:r>
        <w:rPr>
          <w:kern w:val="0"/>
          <w:szCs w:val="24"/>
        </w:rPr>
        <w:t>Abstract: Adsorption behaviour of polycarboxylate type superplasticizers (PC) on CaCO</w:t>
      </w:r>
      <w:r w:rsidRPr="00C223BB">
        <w:rPr>
          <w:kern w:val="0"/>
          <w:szCs w:val="24"/>
          <w:vertAlign w:val="subscript"/>
        </w:rPr>
        <w:t>3</w:t>
      </w:r>
      <w:r>
        <w:rPr>
          <w:kern w:val="0"/>
          <w:szCs w:val="24"/>
        </w:rPr>
        <w:t xml:space="preserve"> suspension in a basic medium has been Studied in the presence of NaCl, Na</w:t>
      </w:r>
      <w:r w:rsidRPr="00C223BB">
        <w:rPr>
          <w:kern w:val="0"/>
          <w:szCs w:val="24"/>
          <w:vertAlign w:val="subscript"/>
        </w:rPr>
        <w:t>2</w:t>
      </w:r>
      <w:r>
        <w:rPr>
          <w:kern w:val="0"/>
          <w:szCs w:val="24"/>
        </w:rPr>
        <w:t>SO</w:t>
      </w:r>
      <w:r w:rsidRPr="00C223BB">
        <w:rPr>
          <w:kern w:val="0"/>
          <w:szCs w:val="24"/>
          <w:vertAlign w:val="subscript"/>
        </w:rPr>
        <w:t>4</w:t>
      </w:r>
      <w:r w:rsidR="00F81221">
        <w:rPr>
          <w:kern w:val="0"/>
          <w:szCs w:val="24"/>
        </w:rPr>
        <w:t xml:space="preserve"> and </w:t>
      </w:r>
      <w:r>
        <w:rPr>
          <w:kern w:val="0"/>
          <w:szCs w:val="24"/>
        </w:rPr>
        <w:t>CaCl</w:t>
      </w:r>
      <w:r w:rsidRPr="00C223BB">
        <w:rPr>
          <w:kern w:val="0"/>
          <w:szCs w:val="24"/>
          <w:vertAlign w:val="subscript"/>
        </w:rPr>
        <w:t>2</w:t>
      </w:r>
      <w:r>
        <w:rPr>
          <w:kern w:val="0"/>
          <w:szCs w:val="24"/>
        </w:rPr>
        <w:t xml:space="preserve"> having same ionic strength. The amount of PC adsorbed was found out by determining the amount of PC present in supernatant solution with the help of total organic analyzer. It is found that the adsorption decreased when the POE chain length decreased. The adsorption was increased in presence of CaCl</w:t>
      </w:r>
      <w:r w:rsidRPr="00C223BB">
        <w:rPr>
          <w:kern w:val="0"/>
          <w:szCs w:val="24"/>
          <w:vertAlign w:val="subscript"/>
        </w:rPr>
        <w:t>2</w:t>
      </w:r>
      <w:r>
        <w:rPr>
          <w:kern w:val="0"/>
          <w:szCs w:val="24"/>
        </w:rPr>
        <w:t xml:space="preserve"> while NaCl</w:t>
      </w:r>
      <w:r w:rsidR="00F81221">
        <w:rPr>
          <w:kern w:val="0"/>
          <w:szCs w:val="24"/>
        </w:rPr>
        <w:t xml:space="preserve"> and </w:t>
      </w:r>
      <w:r>
        <w:rPr>
          <w:kern w:val="0"/>
          <w:szCs w:val="24"/>
        </w:rPr>
        <w:t>Na</w:t>
      </w:r>
      <w:r w:rsidRPr="00C223BB">
        <w:rPr>
          <w:kern w:val="0"/>
          <w:szCs w:val="24"/>
          <w:vertAlign w:val="subscript"/>
        </w:rPr>
        <w:t>2</w:t>
      </w:r>
      <w:r>
        <w:rPr>
          <w:kern w:val="0"/>
          <w:szCs w:val="24"/>
        </w:rPr>
        <w:t>SO</w:t>
      </w:r>
      <w:r w:rsidRPr="00C223BB">
        <w:rPr>
          <w:kern w:val="0"/>
          <w:szCs w:val="24"/>
          <w:vertAlign w:val="subscript"/>
        </w:rPr>
        <w:t>4</w:t>
      </w:r>
      <w:r>
        <w:rPr>
          <w:kern w:val="0"/>
          <w:szCs w:val="24"/>
        </w:rPr>
        <w:t xml:space="preserve"> decreased the absorption. The adsorption is not a competitive process but depends on ionic strength. Rheological measurements of suspensions have also shown that lower the POE chain length, higher the viscosity of the CaCO</w:t>
      </w:r>
      <w:r w:rsidRPr="00C223BB">
        <w:rPr>
          <w:kern w:val="0"/>
          <w:szCs w:val="24"/>
          <w:vertAlign w:val="subscript"/>
        </w:rPr>
        <w:t>3</w:t>
      </w:r>
      <w:r>
        <w:rPr>
          <w:kern w:val="0"/>
          <w:szCs w:val="24"/>
        </w:rPr>
        <w:t xml:space="preserve"> suspension.</w:t>
      </w:r>
    </w:p>
    <w:p w:rsidR="001C33A5" w:rsidRDefault="001C33A5" w:rsidP="001C33A5">
      <w:pPr>
        <w:pStyle w:val="a0"/>
        <w:rPr>
          <w:kern w:val="0"/>
          <w:szCs w:val="24"/>
        </w:rPr>
      </w:pPr>
      <w:r>
        <w:rPr>
          <w:kern w:val="0"/>
          <w:szCs w:val="24"/>
        </w:rPr>
        <w:t>Keywords: Absorption, Admixture, Adsorption, Behavior, Calcium Carbonate, Cement, Cement, Paste, Polycarboxylate, Superplasticizer</w:t>
      </w:r>
    </w:p>
    <w:p w:rsidR="001C33A5" w:rsidRDefault="001C33A5" w:rsidP="001C33A5">
      <w:pPr>
        <w:pStyle w:val="a0"/>
        <w:rPr>
          <w:kern w:val="0"/>
          <w:szCs w:val="24"/>
        </w:rPr>
      </w:pPr>
      <w:r>
        <w:rPr>
          <w:rFonts w:hint="eastAsia"/>
          <w:kern w:val="0"/>
          <w:szCs w:val="24"/>
        </w:rPr>
        <w:t xml:space="preserve">? </w:t>
      </w:r>
      <w:r>
        <w:rPr>
          <w:kern w:val="0"/>
          <w:szCs w:val="24"/>
        </w:rPr>
        <w:t>Sahu, S.K., Verma, V.K., Bagchi, D., Kumar, V.</w:t>
      </w:r>
      <w:r w:rsidR="00F81221">
        <w:rPr>
          <w:kern w:val="0"/>
          <w:szCs w:val="24"/>
        </w:rPr>
        <w:t xml:space="preserve"> and </w:t>
      </w:r>
      <w:r>
        <w:rPr>
          <w:kern w:val="0"/>
          <w:szCs w:val="24"/>
        </w:rPr>
        <w:t xml:space="preserve">Pandey, B.D. (2008), Recovery of chromium(VI) from electroplating effluent by solvent extraction with tri-n-butyl phosphate. </w:t>
      </w:r>
      <w:r>
        <w:rPr>
          <w:i/>
          <w:iCs/>
          <w:kern w:val="0"/>
          <w:szCs w:val="24"/>
        </w:rPr>
        <w:t>Indian Journal of Chemical Technology</w:t>
      </w:r>
      <w:r>
        <w:rPr>
          <w:kern w:val="0"/>
          <w:szCs w:val="24"/>
        </w:rPr>
        <w:t xml:space="preserve">, </w:t>
      </w:r>
      <w:r>
        <w:rPr>
          <w:b/>
          <w:bCs/>
          <w:kern w:val="0"/>
          <w:szCs w:val="24"/>
        </w:rPr>
        <w:t>15</w:t>
      </w:r>
      <w:r>
        <w:rPr>
          <w:kern w:val="0"/>
          <w:szCs w:val="24"/>
        </w:rPr>
        <w:t xml:space="preserve"> (4), 397-402.</w:t>
      </w:r>
    </w:p>
    <w:p w:rsidR="001C33A5" w:rsidRDefault="001C33A5" w:rsidP="001C33A5">
      <w:pPr>
        <w:pStyle w:val="a0"/>
        <w:rPr>
          <w:kern w:val="0"/>
        </w:rPr>
      </w:pPr>
      <w:r w:rsidRPr="00A428C3">
        <w:t>Full Text:</w:t>
      </w:r>
      <w:r w:rsidRPr="002F0727">
        <w:t xml:space="preserve"> </w:t>
      </w:r>
      <w:hyperlink r:id="rId906" w:history="1">
        <w:r w:rsidRPr="001C33A5">
          <w:rPr>
            <w:rStyle w:val="a5"/>
          </w:rPr>
          <w:t>2008\Ind J Che Tec15, 397.pdf</w:t>
        </w:r>
      </w:hyperlink>
    </w:p>
    <w:p w:rsidR="001C33A5" w:rsidRDefault="001C33A5" w:rsidP="001C33A5">
      <w:pPr>
        <w:pStyle w:val="a0"/>
        <w:rPr>
          <w:kern w:val="0"/>
          <w:szCs w:val="24"/>
        </w:rPr>
      </w:pPr>
      <w:r>
        <w:rPr>
          <w:kern w:val="0"/>
          <w:szCs w:val="24"/>
        </w:rPr>
        <w:t>Abstract: Recovery of hexavalent Chromium from a model</w:t>
      </w:r>
      <w:r w:rsidR="00F81221">
        <w:rPr>
          <w:kern w:val="0"/>
          <w:szCs w:val="24"/>
        </w:rPr>
        <w:t xml:space="preserve"> and </w:t>
      </w:r>
      <w:r>
        <w:rPr>
          <w:kern w:val="0"/>
          <w:szCs w:val="24"/>
        </w:rPr>
        <w:t>real electroplating effluent by solvent extraction with tri-n-butyl phosphate (TBP) was studied. In different acid media chromium(VI) extraction with TBP followed the order HCl &gt; H</w:t>
      </w:r>
      <w:r w:rsidRPr="00324BF5">
        <w:rPr>
          <w:kern w:val="0"/>
          <w:szCs w:val="24"/>
          <w:vertAlign w:val="subscript"/>
        </w:rPr>
        <w:t>2</w:t>
      </w:r>
      <w:r>
        <w:rPr>
          <w:kern w:val="0"/>
          <w:szCs w:val="24"/>
        </w:rPr>
        <w:t>SO</w:t>
      </w:r>
      <w:r w:rsidRPr="00324BF5">
        <w:rPr>
          <w:kern w:val="0"/>
          <w:szCs w:val="24"/>
          <w:vertAlign w:val="subscript"/>
        </w:rPr>
        <w:t>4</w:t>
      </w:r>
      <w:r>
        <w:rPr>
          <w:kern w:val="0"/>
          <w:szCs w:val="24"/>
        </w:rPr>
        <w:t xml:space="preserve"> similar to HNO</w:t>
      </w:r>
      <w:r w:rsidRPr="00324BF5">
        <w:rPr>
          <w:kern w:val="0"/>
          <w:szCs w:val="24"/>
          <w:vertAlign w:val="subscript"/>
        </w:rPr>
        <w:t>3</w:t>
      </w:r>
      <w:r>
        <w:rPr>
          <w:kern w:val="0"/>
          <w:szCs w:val="24"/>
        </w:rPr>
        <w:t>. In acidic chloride medium chromium(VI) was extracted as HCrO</w:t>
      </w:r>
      <w:r w:rsidRPr="00324BF5">
        <w:rPr>
          <w:kern w:val="0"/>
          <w:szCs w:val="24"/>
          <w:vertAlign w:val="subscript"/>
        </w:rPr>
        <w:t>3</w:t>
      </w:r>
      <w:r>
        <w:rPr>
          <w:kern w:val="0"/>
          <w:szCs w:val="24"/>
        </w:rPr>
        <w:t xml:space="preserve">Cl.2TBP. The loading capacity of TBP for chromium(VI) was found to be </w:t>
      </w:r>
      <w:r>
        <w:rPr>
          <w:kern w:val="0"/>
          <w:szCs w:val="24"/>
        </w:rPr>
        <w:lastRenderedPageBreak/>
        <w:t>5.35 g/L. Stripping of chromium(VI) from loaded TBP was also studied. With 0.1 N NaOH solution chromium(VI) was stripped quantitatively from loaded organic. TBP was also used to recover chromium(VI)</w:t>
      </w:r>
      <w:r w:rsidR="00F81221">
        <w:rPr>
          <w:kern w:val="0"/>
          <w:szCs w:val="24"/>
        </w:rPr>
        <w:t xml:space="preserve"> and </w:t>
      </w:r>
      <w:r>
        <w:rPr>
          <w:kern w:val="0"/>
          <w:szCs w:val="24"/>
        </w:rPr>
        <w:t>zinc from electroplating effluent collected from an electroplating industry. By simultaneous extraction with TBP,</w:t>
      </w:r>
      <w:r w:rsidR="00F81221">
        <w:rPr>
          <w:kern w:val="0"/>
          <w:szCs w:val="24"/>
        </w:rPr>
        <w:t xml:space="preserve"> and </w:t>
      </w:r>
      <w:r>
        <w:rPr>
          <w:kern w:val="0"/>
          <w:szCs w:val="24"/>
        </w:rPr>
        <w:t>stripping with 10% H</w:t>
      </w:r>
      <w:r w:rsidRPr="00324BF5">
        <w:rPr>
          <w:kern w:val="0"/>
          <w:szCs w:val="24"/>
          <w:vertAlign w:val="subscript"/>
        </w:rPr>
        <w:t>2</w:t>
      </w:r>
      <w:r>
        <w:rPr>
          <w:kern w:val="0"/>
          <w:szCs w:val="24"/>
        </w:rPr>
        <w:t>SO</w:t>
      </w:r>
      <w:r w:rsidRPr="00324BF5">
        <w:rPr>
          <w:kern w:val="0"/>
          <w:szCs w:val="24"/>
          <w:vertAlign w:val="subscript"/>
        </w:rPr>
        <w:t>4</w:t>
      </w:r>
      <w:r w:rsidR="00F81221">
        <w:rPr>
          <w:kern w:val="0"/>
          <w:szCs w:val="24"/>
        </w:rPr>
        <w:t xml:space="preserve"> and </w:t>
      </w:r>
      <w:r>
        <w:rPr>
          <w:kern w:val="0"/>
          <w:szCs w:val="24"/>
        </w:rPr>
        <w:t>1N NaOH zinc</w:t>
      </w:r>
      <w:r w:rsidR="00F81221">
        <w:rPr>
          <w:kern w:val="0"/>
          <w:szCs w:val="24"/>
        </w:rPr>
        <w:t xml:space="preserve"> and </w:t>
      </w:r>
      <w:r>
        <w:rPr>
          <w:kern w:val="0"/>
          <w:szCs w:val="24"/>
        </w:rPr>
        <w:t>chromium(VI) were recovered, quantitatively.</w:t>
      </w:r>
    </w:p>
    <w:p w:rsidR="001C33A5" w:rsidRDefault="001C33A5" w:rsidP="001C33A5">
      <w:pPr>
        <w:pStyle w:val="a0"/>
        <w:rPr>
          <w:kern w:val="0"/>
          <w:szCs w:val="24"/>
        </w:rPr>
      </w:pPr>
      <w:r>
        <w:rPr>
          <w:kern w:val="0"/>
          <w:szCs w:val="24"/>
        </w:rPr>
        <w:t>Keywords: Aqueous-Solution, Capacity, Chromium, Chromium(VI), Cr(VI), Electroplating Effluent, Hexavalent Chromium, Kinetics, Liquid-Liquid-Extraction, Metals, Model, Recovery, Removal, Solvent Extraction, Sorption, TBP, Wastes, Zinc</w:t>
      </w:r>
    </w:p>
    <w:p w:rsidR="009F5FC6" w:rsidRDefault="009F5FC6" w:rsidP="009F5FC6">
      <w:pPr>
        <w:pStyle w:val="a0"/>
        <w:rPr>
          <w:kern w:val="0"/>
          <w:szCs w:val="24"/>
        </w:rPr>
      </w:pPr>
      <w:r>
        <w:rPr>
          <w:rFonts w:hint="eastAsia"/>
          <w:kern w:val="0"/>
          <w:szCs w:val="24"/>
        </w:rPr>
        <w:t xml:space="preserve">? </w:t>
      </w:r>
      <w:r>
        <w:rPr>
          <w:kern w:val="0"/>
          <w:szCs w:val="24"/>
        </w:rPr>
        <w:t>Lahari, S.</w:t>
      </w:r>
      <w:r w:rsidR="00F81221">
        <w:rPr>
          <w:kern w:val="0"/>
          <w:szCs w:val="24"/>
        </w:rPr>
        <w:t xml:space="preserve"> and </w:t>
      </w:r>
      <w:r>
        <w:rPr>
          <w:kern w:val="0"/>
          <w:szCs w:val="24"/>
        </w:rPr>
        <w:t>Roy, K. (2008), Investigation on pH dependent uptake of Cr(III)</w:t>
      </w:r>
      <w:r w:rsidR="00F81221">
        <w:rPr>
          <w:kern w:val="0"/>
          <w:szCs w:val="24"/>
        </w:rPr>
        <w:t xml:space="preserve"> and </w:t>
      </w:r>
      <w:r>
        <w:rPr>
          <w:kern w:val="0"/>
          <w:szCs w:val="24"/>
        </w:rPr>
        <w:t>Cr(VI) by Baker</w:t>
      </w:r>
      <w:r w:rsidR="000352E7">
        <w:rPr>
          <w:kern w:val="0"/>
          <w:szCs w:val="24"/>
        </w:rPr>
        <w:t>’</w:t>
      </w:r>
      <w:r>
        <w:rPr>
          <w:kern w:val="0"/>
          <w:szCs w:val="24"/>
        </w:rPr>
        <w:t xml:space="preserve">s yeast. </w:t>
      </w:r>
      <w:r>
        <w:rPr>
          <w:i/>
          <w:iCs/>
          <w:kern w:val="0"/>
          <w:szCs w:val="24"/>
        </w:rPr>
        <w:t>Indian Journal of Chemical Technology</w:t>
      </w:r>
      <w:r>
        <w:rPr>
          <w:kern w:val="0"/>
          <w:szCs w:val="24"/>
        </w:rPr>
        <w:t xml:space="preserve">, </w:t>
      </w:r>
      <w:r>
        <w:rPr>
          <w:b/>
          <w:bCs/>
          <w:kern w:val="0"/>
          <w:szCs w:val="24"/>
        </w:rPr>
        <w:t>15</w:t>
      </w:r>
      <w:r>
        <w:rPr>
          <w:kern w:val="0"/>
          <w:szCs w:val="24"/>
        </w:rPr>
        <w:t xml:space="preserve"> (4), 417-419.</w:t>
      </w:r>
    </w:p>
    <w:p w:rsidR="009F5FC6" w:rsidRDefault="009F5FC6" w:rsidP="009F5FC6">
      <w:pPr>
        <w:pStyle w:val="a0"/>
        <w:rPr>
          <w:kern w:val="0"/>
        </w:rPr>
      </w:pPr>
      <w:r w:rsidRPr="00A428C3">
        <w:t>Full Text:</w:t>
      </w:r>
      <w:r w:rsidRPr="002F0727">
        <w:t xml:space="preserve"> </w:t>
      </w:r>
      <w:hyperlink r:id="rId907" w:history="1">
        <w:r w:rsidRPr="009F5FC6">
          <w:rPr>
            <w:rStyle w:val="a5"/>
          </w:rPr>
          <w:t>2008\Ind J Che Tec15, 417.pdf</w:t>
        </w:r>
      </w:hyperlink>
    </w:p>
    <w:p w:rsidR="009F5FC6" w:rsidRDefault="009F5FC6" w:rsidP="009F5FC6">
      <w:pPr>
        <w:pStyle w:val="a0"/>
        <w:rPr>
          <w:kern w:val="0"/>
          <w:szCs w:val="24"/>
        </w:rPr>
      </w:pPr>
      <w:r>
        <w:rPr>
          <w:kern w:val="0"/>
          <w:szCs w:val="24"/>
        </w:rPr>
        <w:t>Abstract: Yeast cells of Saccharomyces cerevisiae were found to accumulate Cr-51(III) radioisotope at basic pH in trace level. There was no uptake of Cr(VI) at the same pH (similar to 10.5). An assay of the products of cell lysis reveals that Cr(III) first gets absorbed at the cell wall</w:t>
      </w:r>
      <w:r w:rsidR="00F81221">
        <w:rPr>
          <w:kern w:val="0"/>
          <w:szCs w:val="24"/>
        </w:rPr>
        <w:t xml:space="preserve"> and </w:t>
      </w:r>
      <w:r>
        <w:rPr>
          <w:kern w:val="0"/>
          <w:szCs w:val="24"/>
        </w:rPr>
        <w:t>then slowly enters the cytoplasm which increases with time, attains a maximum value</w:t>
      </w:r>
      <w:r w:rsidR="00F81221">
        <w:rPr>
          <w:kern w:val="0"/>
          <w:szCs w:val="24"/>
        </w:rPr>
        <w:t xml:space="preserve"> and </w:t>
      </w:r>
      <w:r>
        <w:rPr>
          <w:kern w:val="0"/>
          <w:szCs w:val="24"/>
        </w:rPr>
        <w:t>then release the metal ion from cytoplasm. The behavior</w:t>
      </w:r>
      <w:r w:rsidR="00F81221">
        <w:rPr>
          <w:kern w:val="0"/>
          <w:szCs w:val="24"/>
        </w:rPr>
        <w:t xml:space="preserve"> and </w:t>
      </w:r>
      <w:r>
        <w:rPr>
          <w:kern w:val="0"/>
          <w:szCs w:val="24"/>
        </w:rPr>
        <w:t>uptake kinetics of Cr-51(III) or Cr-51(VI) were studied using gamma-spectrometry.</w:t>
      </w:r>
    </w:p>
    <w:p w:rsidR="009F5FC6" w:rsidRDefault="009F5FC6" w:rsidP="009F5FC6">
      <w:pPr>
        <w:pStyle w:val="a0"/>
        <w:rPr>
          <w:kern w:val="0"/>
          <w:szCs w:val="24"/>
        </w:rPr>
      </w:pPr>
      <w:r>
        <w:rPr>
          <w:kern w:val="0"/>
          <w:szCs w:val="24"/>
        </w:rPr>
        <w:t>Keywords: Baker</w:t>
      </w:r>
      <w:r w:rsidR="000352E7">
        <w:rPr>
          <w:kern w:val="0"/>
          <w:szCs w:val="24"/>
        </w:rPr>
        <w:t>’</w:t>
      </w:r>
      <w:r>
        <w:rPr>
          <w:rFonts w:hint="eastAsia"/>
          <w:kern w:val="0"/>
          <w:szCs w:val="24"/>
        </w:rPr>
        <w:t>s</w:t>
      </w:r>
      <w:r>
        <w:rPr>
          <w:kern w:val="0"/>
          <w:szCs w:val="24"/>
        </w:rPr>
        <w:t xml:space="preserve"> Yeast, Biomass, Biosorption, Chromium, Cr(III), Cr(III)</w:t>
      </w:r>
      <w:r w:rsidR="00F81221">
        <w:rPr>
          <w:kern w:val="0"/>
          <w:szCs w:val="24"/>
        </w:rPr>
        <w:t xml:space="preserve"> and </w:t>
      </w:r>
      <w:r>
        <w:rPr>
          <w:kern w:val="0"/>
          <w:szCs w:val="24"/>
        </w:rPr>
        <w:t xml:space="preserve">Cr (VI) Uptake, Cr(VI), Hydride Generation, Kinetics, </w:t>
      </w:r>
      <w:r>
        <w:rPr>
          <w:rFonts w:hint="eastAsia"/>
          <w:kern w:val="0"/>
          <w:szCs w:val="24"/>
        </w:rPr>
        <w:t>p</w:t>
      </w:r>
      <w:r>
        <w:rPr>
          <w:kern w:val="0"/>
          <w:szCs w:val="24"/>
        </w:rPr>
        <w:t>H, Saccharomyces Cerevisiae, Saccharomyces Cervisiae, Saccharomyces-Cerevisiae, Speciation, Strains, Tolerance, Yeast</w:t>
      </w:r>
    </w:p>
    <w:p w:rsidR="00D00CD0" w:rsidRDefault="00D00CD0" w:rsidP="00D00CD0">
      <w:pPr>
        <w:pStyle w:val="a0"/>
        <w:rPr>
          <w:kern w:val="0"/>
          <w:szCs w:val="24"/>
        </w:rPr>
      </w:pPr>
      <w:r>
        <w:rPr>
          <w:rFonts w:hint="eastAsia"/>
          <w:kern w:val="0"/>
          <w:szCs w:val="24"/>
        </w:rPr>
        <w:t xml:space="preserve">? </w:t>
      </w:r>
      <w:r>
        <w:rPr>
          <w:kern w:val="0"/>
          <w:szCs w:val="24"/>
        </w:rPr>
        <w:t>Ghazy, S.E.</w:t>
      </w:r>
      <w:r w:rsidR="00F81221">
        <w:rPr>
          <w:kern w:val="0"/>
          <w:szCs w:val="24"/>
        </w:rPr>
        <w:t xml:space="preserve"> and </w:t>
      </w:r>
      <w:r>
        <w:rPr>
          <w:kern w:val="0"/>
          <w:szCs w:val="24"/>
        </w:rPr>
        <w:t xml:space="preserve">Gad, A.H.M. (2008), Separation of Zn(II) by sorption onto powdered marble wastes. </w:t>
      </w:r>
      <w:r>
        <w:rPr>
          <w:i/>
          <w:iCs/>
          <w:kern w:val="0"/>
          <w:szCs w:val="24"/>
        </w:rPr>
        <w:t>Indian Journal of Chemical Technology</w:t>
      </w:r>
      <w:r>
        <w:rPr>
          <w:kern w:val="0"/>
          <w:szCs w:val="24"/>
        </w:rPr>
        <w:t xml:space="preserve">, </w:t>
      </w:r>
      <w:r>
        <w:rPr>
          <w:b/>
          <w:bCs/>
          <w:kern w:val="0"/>
          <w:szCs w:val="24"/>
        </w:rPr>
        <w:t>15</w:t>
      </w:r>
      <w:r>
        <w:rPr>
          <w:kern w:val="0"/>
          <w:szCs w:val="24"/>
        </w:rPr>
        <w:t xml:space="preserve"> (5), 433-442.</w:t>
      </w:r>
    </w:p>
    <w:p w:rsidR="00D00CD0" w:rsidRDefault="00D00CD0" w:rsidP="00D00CD0">
      <w:pPr>
        <w:pStyle w:val="a0"/>
        <w:rPr>
          <w:kern w:val="0"/>
        </w:rPr>
      </w:pPr>
      <w:r w:rsidRPr="00A428C3">
        <w:t>Full Text:</w:t>
      </w:r>
      <w:r w:rsidRPr="002F0727">
        <w:t xml:space="preserve"> </w:t>
      </w:r>
      <w:hyperlink r:id="rId908" w:history="1">
        <w:r w:rsidRPr="00D00CD0">
          <w:rPr>
            <w:rStyle w:val="a5"/>
          </w:rPr>
          <w:t>2008\Ind J Che Tec15, 433.pdf</w:t>
        </w:r>
      </w:hyperlink>
    </w:p>
    <w:p w:rsidR="00D00CD0" w:rsidRDefault="00D00CD0" w:rsidP="00D00CD0">
      <w:pPr>
        <w:pStyle w:val="a0"/>
        <w:rPr>
          <w:kern w:val="0"/>
          <w:szCs w:val="24"/>
        </w:rPr>
      </w:pPr>
      <w:r>
        <w:rPr>
          <w:kern w:val="0"/>
          <w:szCs w:val="24"/>
        </w:rPr>
        <w:t>Abstract: Batch adsorption experiments were carried out to remove Zn(II) ions from aqueous solutions</w:t>
      </w:r>
      <w:r w:rsidR="00F81221">
        <w:rPr>
          <w:kern w:val="0"/>
          <w:szCs w:val="24"/>
        </w:rPr>
        <w:t xml:space="preserve"> and </w:t>
      </w:r>
      <w:r>
        <w:rPr>
          <w:kern w:val="0"/>
          <w:szCs w:val="24"/>
        </w:rPr>
        <w:t>water samples using powdered marble wastes (PMW) as in effective sorbent which is inexpensive, widespread,</w:t>
      </w:r>
      <w:r w:rsidR="00F81221">
        <w:rPr>
          <w:kern w:val="0"/>
          <w:szCs w:val="24"/>
        </w:rPr>
        <w:t xml:space="preserve"> and </w:t>
      </w:r>
      <w:r>
        <w:rPr>
          <w:kern w:val="0"/>
          <w:szCs w:val="24"/>
        </w:rPr>
        <w:t>Considered as an environmental problem. The parameters such as solution pH, sorbent</w:t>
      </w:r>
      <w:r w:rsidR="00F81221">
        <w:rPr>
          <w:kern w:val="0"/>
          <w:szCs w:val="24"/>
        </w:rPr>
        <w:t xml:space="preserve"> and </w:t>
      </w:r>
      <w:r>
        <w:rPr>
          <w:kern w:val="0"/>
          <w:szCs w:val="24"/>
        </w:rPr>
        <w:t>Zn(II) concentrations, stirring times, foreign ions</w:t>
      </w:r>
      <w:r w:rsidR="00F81221">
        <w:rPr>
          <w:kern w:val="0"/>
          <w:szCs w:val="24"/>
        </w:rPr>
        <w:t xml:space="preserve"> and </w:t>
      </w:r>
      <w:r>
        <w:rPr>
          <w:kern w:val="0"/>
          <w:szCs w:val="24"/>
        </w:rPr>
        <w:t>temperature were investigated. The Sorption of Zn(II) ions onto (PMW) is described by Langmuir model. Dubinin-Radushkevich (D-R) isotherm model was also applied to describe the nature of the adsorption of the metal. Thermodynamic parameters, viz, the Gibbs Free energy change (</w:t>
      </w:r>
      <w:r>
        <w:rPr>
          <w:kern w:val="0"/>
          <w:szCs w:val="24"/>
        </w:rPr>
        <w:sym w:font="Symbol" w:char="F044"/>
      </w:r>
      <w:r>
        <w:rPr>
          <w:kern w:val="0"/>
          <w:szCs w:val="24"/>
        </w:rPr>
        <w:t>G°), enthalpy (</w:t>
      </w:r>
      <w:r>
        <w:rPr>
          <w:kern w:val="0"/>
          <w:szCs w:val="24"/>
        </w:rPr>
        <w:sym w:font="Symbol" w:char="F044"/>
      </w:r>
      <w:r>
        <w:rPr>
          <w:kern w:val="0"/>
          <w:szCs w:val="24"/>
        </w:rPr>
        <w:t>H°)</w:t>
      </w:r>
      <w:r w:rsidR="00F81221">
        <w:rPr>
          <w:kern w:val="0"/>
          <w:szCs w:val="24"/>
        </w:rPr>
        <w:t xml:space="preserve"> and </w:t>
      </w:r>
      <w:r>
        <w:rPr>
          <w:kern w:val="0"/>
          <w:szCs w:val="24"/>
        </w:rPr>
        <w:t>entropy (</w:t>
      </w:r>
      <w:r>
        <w:rPr>
          <w:kern w:val="0"/>
          <w:szCs w:val="24"/>
        </w:rPr>
        <w:sym w:font="Symbol" w:char="F044"/>
      </w:r>
      <w:r>
        <w:rPr>
          <w:kern w:val="0"/>
          <w:szCs w:val="24"/>
        </w:rPr>
        <w:t>S°) were also calculated. These parameters indicated that the adsorption process OF Zn(II) ions on PMW was spontaneous</w:t>
      </w:r>
      <w:r w:rsidR="00F81221">
        <w:rPr>
          <w:kern w:val="0"/>
          <w:szCs w:val="24"/>
        </w:rPr>
        <w:t xml:space="preserve"> and </w:t>
      </w:r>
      <w:r>
        <w:rPr>
          <w:kern w:val="0"/>
          <w:szCs w:val="24"/>
        </w:rPr>
        <w:t>endothermic in nature. Under the optimum experimental conditions employed, the removal of similar to 100% of Zn(II) ions was attained. The procedure was successfully applied to remove Zn(II) ions from aqueous</w:t>
      </w:r>
      <w:r w:rsidR="00F81221">
        <w:rPr>
          <w:kern w:val="0"/>
          <w:szCs w:val="24"/>
        </w:rPr>
        <w:t xml:space="preserve"> and </w:t>
      </w:r>
      <w:r>
        <w:rPr>
          <w:kern w:val="0"/>
          <w:szCs w:val="24"/>
        </w:rPr>
        <w:t xml:space="preserve">different natural </w:t>
      </w:r>
      <w:r>
        <w:rPr>
          <w:kern w:val="0"/>
          <w:szCs w:val="24"/>
        </w:rPr>
        <w:lastRenderedPageBreak/>
        <w:t>water samples. The adsorption mechanism is also suggested.</w:t>
      </w:r>
    </w:p>
    <w:p w:rsidR="00D00CD0" w:rsidRDefault="00D00CD0" w:rsidP="00D00CD0">
      <w:pPr>
        <w:pStyle w:val="a0"/>
        <w:rPr>
          <w:kern w:val="0"/>
          <w:szCs w:val="24"/>
        </w:rPr>
      </w:pPr>
      <w:r>
        <w:rPr>
          <w:kern w:val="0"/>
          <w:szCs w:val="24"/>
        </w:rPr>
        <w:t xml:space="preserve">Keywords: Activated Carbons, Adsorption, Adsorption Mechanism, Aqueous Solutions, Aqueous-Solutions, Copper, Dubinin-Radushkevich Isotherm, Heavy-Metals, Ions, Isotherm, Langmuir, Langmuir Model, Marble Waste, Model, Natural Water, Natural Zeolites, </w:t>
      </w:r>
      <w:r>
        <w:rPr>
          <w:rFonts w:hint="eastAsia"/>
          <w:kern w:val="0"/>
          <w:szCs w:val="24"/>
        </w:rPr>
        <w:t>p</w:t>
      </w:r>
      <w:r>
        <w:rPr>
          <w:kern w:val="0"/>
          <w:szCs w:val="24"/>
        </w:rPr>
        <w:t>H, Removal, Separation, Sorbent, Sorption, Temperature, Thermodynamic, Thermodynamic Parameters, Water, Water Samples, Zinc, Zinc(II) Sorption</w:t>
      </w:r>
    </w:p>
    <w:p w:rsidR="00D00CD0" w:rsidRDefault="00D00CD0" w:rsidP="00D00CD0">
      <w:pPr>
        <w:pStyle w:val="a0"/>
        <w:rPr>
          <w:kern w:val="0"/>
          <w:szCs w:val="24"/>
        </w:rPr>
      </w:pPr>
      <w:r>
        <w:rPr>
          <w:rFonts w:hint="eastAsia"/>
          <w:kern w:val="0"/>
          <w:szCs w:val="24"/>
        </w:rPr>
        <w:t xml:space="preserve">? </w:t>
      </w:r>
      <w:r>
        <w:rPr>
          <w:kern w:val="0"/>
          <w:szCs w:val="24"/>
        </w:rPr>
        <w:t>Song, Y.L., Li, J.T.</w:t>
      </w:r>
      <w:r w:rsidR="00F81221">
        <w:rPr>
          <w:kern w:val="0"/>
          <w:szCs w:val="24"/>
        </w:rPr>
        <w:t xml:space="preserve"> and </w:t>
      </w:r>
      <w:r>
        <w:rPr>
          <w:kern w:val="0"/>
          <w:szCs w:val="24"/>
        </w:rPr>
        <w:t xml:space="preserve">Chen, H. (2008), Removal of acid brown 348 dye from aqueous solution by ultrasound irradiated exfoliated graphite. </w:t>
      </w:r>
      <w:r>
        <w:rPr>
          <w:i/>
          <w:iCs/>
          <w:kern w:val="0"/>
          <w:szCs w:val="24"/>
        </w:rPr>
        <w:t>Indian Journal of Chemical Technology</w:t>
      </w:r>
      <w:r>
        <w:rPr>
          <w:kern w:val="0"/>
          <w:szCs w:val="24"/>
        </w:rPr>
        <w:t xml:space="preserve">, </w:t>
      </w:r>
      <w:r>
        <w:rPr>
          <w:b/>
          <w:bCs/>
          <w:kern w:val="0"/>
          <w:szCs w:val="24"/>
        </w:rPr>
        <w:t>15</w:t>
      </w:r>
      <w:r>
        <w:rPr>
          <w:kern w:val="0"/>
          <w:szCs w:val="24"/>
        </w:rPr>
        <w:t xml:space="preserve"> (5), 443-448.</w:t>
      </w:r>
    </w:p>
    <w:p w:rsidR="00D00CD0" w:rsidRDefault="00D00CD0" w:rsidP="00D00CD0">
      <w:pPr>
        <w:pStyle w:val="a0"/>
        <w:rPr>
          <w:kern w:val="0"/>
        </w:rPr>
      </w:pPr>
      <w:r w:rsidRPr="00A428C3">
        <w:t>Full Text:</w:t>
      </w:r>
      <w:r w:rsidRPr="002F0727">
        <w:t xml:space="preserve"> </w:t>
      </w:r>
      <w:hyperlink r:id="rId909" w:history="1">
        <w:r w:rsidRPr="00D00CD0">
          <w:rPr>
            <w:rStyle w:val="a5"/>
          </w:rPr>
          <w:t>2008\Ind J Che Tec15, 443.pdf</w:t>
        </w:r>
      </w:hyperlink>
    </w:p>
    <w:p w:rsidR="00D00CD0" w:rsidRDefault="00D00CD0" w:rsidP="00D00CD0">
      <w:pPr>
        <w:pStyle w:val="a0"/>
        <w:rPr>
          <w:kern w:val="0"/>
          <w:szCs w:val="24"/>
        </w:rPr>
      </w:pPr>
      <w:r>
        <w:rPr>
          <w:kern w:val="0"/>
          <w:szCs w:val="24"/>
        </w:rPr>
        <w:t>Abstract: Acid brown 348 dye was removed From aqueous solution using ultrasound-assisted adsorption oil exfoliated graphite. The effects of relevant parameters, namely, contact time, sorbent dosage, temperature, initial dye concentration</w:t>
      </w:r>
      <w:r w:rsidR="00F81221">
        <w:rPr>
          <w:kern w:val="0"/>
          <w:szCs w:val="24"/>
        </w:rPr>
        <w:t xml:space="preserve"> and </w:t>
      </w:r>
      <w:r>
        <w:rPr>
          <w:kern w:val="0"/>
          <w:szCs w:val="24"/>
        </w:rPr>
        <w:t>pH have been investigated. The results show that ultrasound irradiation significantly improves removal of acid brown 348 from aqueous solutions in presence of exfoliated graphite. The ultrasound/exfoliated graphite process yielded 90% removal rate within 120 min using 2.0 g L</w:t>
      </w:r>
      <w:r w:rsidRPr="00C223BB">
        <w:rPr>
          <w:kern w:val="0"/>
          <w:szCs w:val="24"/>
          <w:vertAlign w:val="superscript"/>
        </w:rPr>
        <w:t>-1</w:t>
      </w:r>
      <w:r>
        <w:rPr>
          <w:kern w:val="0"/>
          <w:szCs w:val="24"/>
        </w:rPr>
        <w:t xml:space="preserve"> exfoliated graphite at pH 1</w:t>
      </w:r>
      <w:r w:rsidR="00F81221">
        <w:rPr>
          <w:kern w:val="0"/>
          <w:szCs w:val="24"/>
        </w:rPr>
        <w:t xml:space="preserve"> and </w:t>
      </w:r>
      <w:r>
        <w:rPr>
          <w:kern w:val="0"/>
          <w:szCs w:val="24"/>
        </w:rPr>
        <w:t>40°C.</w:t>
      </w:r>
    </w:p>
    <w:p w:rsidR="00D00CD0" w:rsidRDefault="00D00CD0" w:rsidP="00D00CD0">
      <w:pPr>
        <w:pStyle w:val="a0"/>
        <w:rPr>
          <w:kern w:val="0"/>
          <w:szCs w:val="24"/>
        </w:rPr>
      </w:pPr>
      <w:r>
        <w:rPr>
          <w:kern w:val="0"/>
          <w:szCs w:val="24"/>
        </w:rPr>
        <w:t xml:space="preserve">Keywords: Acid Brown 348, Adsorption, Aqueous Solutions, Azo Dyes, Charcoal, Contact Time, Decolorization, Decolourization, Degradation, Dye, Exfoliated Graphite, Irradiation, Methylene-Blue, Pathways, </w:t>
      </w:r>
      <w:r>
        <w:rPr>
          <w:rFonts w:hint="eastAsia"/>
          <w:kern w:val="0"/>
          <w:szCs w:val="24"/>
        </w:rPr>
        <w:t>p</w:t>
      </w:r>
      <w:r>
        <w:rPr>
          <w:kern w:val="0"/>
          <w:szCs w:val="24"/>
        </w:rPr>
        <w:t>H, Removal, Sorbent, Sorption, Temperature, Ultrasound, Waste-Water</w:t>
      </w:r>
    </w:p>
    <w:p w:rsidR="007866E2" w:rsidRDefault="007866E2" w:rsidP="007866E2">
      <w:pPr>
        <w:pStyle w:val="a0"/>
        <w:rPr>
          <w:kern w:val="0"/>
          <w:szCs w:val="24"/>
        </w:rPr>
      </w:pPr>
      <w:r>
        <w:rPr>
          <w:rFonts w:hint="eastAsia"/>
          <w:kern w:val="0"/>
          <w:szCs w:val="24"/>
        </w:rPr>
        <w:t xml:space="preserve">? </w:t>
      </w:r>
      <w:r>
        <w:rPr>
          <w:kern w:val="0"/>
          <w:szCs w:val="24"/>
        </w:rPr>
        <w:t>Gogoi, P.K.</w:t>
      </w:r>
      <w:r w:rsidR="00F81221">
        <w:rPr>
          <w:kern w:val="0"/>
          <w:szCs w:val="24"/>
        </w:rPr>
        <w:t xml:space="preserve"> and </w:t>
      </w:r>
      <w:r>
        <w:rPr>
          <w:kern w:val="0"/>
          <w:szCs w:val="24"/>
        </w:rPr>
        <w:t xml:space="preserve">Baruah, R. (2008), Fluoride removal from water by adsorption on acid activated kaolinite clay. </w:t>
      </w:r>
      <w:r>
        <w:rPr>
          <w:i/>
          <w:iCs/>
          <w:kern w:val="0"/>
          <w:szCs w:val="24"/>
        </w:rPr>
        <w:t>Indian Journal of Chemical Technology</w:t>
      </w:r>
      <w:r>
        <w:rPr>
          <w:kern w:val="0"/>
          <w:szCs w:val="24"/>
        </w:rPr>
        <w:t xml:space="preserve">, </w:t>
      </w:r>
      <w:r>
        <w:rPr>
          <w:b/>
          <w:bCs/>
          <w:kern w:val="0"/>
          <w:szCs w:val="24"/>
        </w:rPr>
        <w:t>15</w:t>
      </w:r>
      <w:r>
        <w:rPr>
          <w:kern w:val="0"/>
          <w:szCs w:val="24"/>
        </w:rPr>
        <w:t xml:space="preserve"> (5), 500-503.</w:t>
      </w:r>
    </w:p>
    <w:p w:rsidR="007866E2" w:rsidRDefault="007866E2" w:rsidP="007866E2">
      <w:pPr>
        <w:pStyle w:val="a0"/>
        <w:rPr>
          <w:kern w:val="0"/>
        </w:rPr>
      </w:pPr>
      <w:r w:rsidRPr="00A428C3">
        <w:t>Full Text:</w:t>
      </w:r>
      <w:r w:rsidRPr="002F0727">
        <w:t xml:space="preserve"> </w:t>
      </w:r>
      <w:hyperlink r:id="rId910" w:history="1">
        <w:r w:rsidRPr="007866E2">
          <w:rPr>
            <w:rStyle w:val="a5"/>
          </w:rPr>
          <w:t>2008\Ind J Che Tec15, 500.pdf</w:t>
        </w:r>
      </w:hyperlink>
    </w:p>
    <w:p w:rsidR="007866E2" w:rsidRDefault="007866E2" w:rsidP="007866E2">
      <w:pPr>
        <w:pStyle w:val="a0"/>
        <w:rPr>
          <w:kern w:val="0"/>
          <w:szCs w:val="24"/>
        </w:rPr>
      </w:pPr>
      <w:r>
        <w:rPr>
          <w:kern w:val="0"/>
          <w:szCs w:val="24"/>
        </w:rPr>
        <w:t>Abstract: When drinking water contains excess fluoride it causes health hazards to human beings. In the present investigation the removal of fluoride has been attempted using acid activated kaolinite clay obtained front local traditional potter of Majuli river island, Assam. The clay was characterized by chemical analysis, IR, XRD data</w:t>
      </w:r>
      <w:r w:rsidR="00F81221">
        <w:rPr>
          <w:kern w:val="0"/>
          <w:szCs w:val="24"/>
        </w:rPr>
        <w:t xml:space="preserve"> and </w:t>
      </w:r>
      <w:r>
        <w:rPr>
          <w:kern w:val="0"/>
          <w:szCs w:val="24"/>
        </w:rPr>
        <w:t>thermal analysis. The clay was activated with colic. H</w:t>
      </w:r>
      <w:r w:rsidRPr="00C223BB">
        <w:rPr>
          <w:kern w:val="0"/>
          <w:szCs w:val="24"/>
          <w:vertAlign w:val="subscript"/>
        </w:rPr>
        <w:t>2</w:t>
      </w:r>
      <w:r>
        <w:rPr>
          <w:kern w:val="0"/>
          <w:szCs w:val="24"/>
        </w:rPr>
        <w:t>SO</w:t>
      </w:r>
      <w:r w:rsidRPr="00C223BB">
        <w:rPr>
          <w:kern w:val="0"/>
          <w:szCs w:val="24"/>
          <w:vertAlign w:val="subscript"/>
        </w:rPr>
        <w:t>4</w:t>
      </w:r>
      <w:r>
        <w:rPr>
          <w:kern w:val="0"/>
          <w:szCs w:val="24"/>
        </w:rPr>
        <w:t>. The fluoride removal studies were done by adsorption method on raw clay</w:t>
      </w:r>
      <w:r w:rsidR="00F81221">
        <w:rPr>
          <w:kern w:val="0"/>
          <w:szCs w:val="24"/>
        </w:rPr>
        <w:t xml:space="preserve"> and </w:t>
      </w:r>
      <w:r>
        <w:rPr>
          <w:kern w:val="0"/>
          <w:szCs w:val="24"/>
        </w:rPr>
        <w:t>acid activated clay. The effects of contact time, approximate particle size, pH</w:t>
      </w:r>
      <w:r w:rsidR="00F81221">
        <w:rPr>
          <w:kern w:val="0"/>
          <w:szCs w:val="24"/>
        </w:rPr>
        <w:t xml:space="preserve"> and </w:t>
      </w:r>
      <w:r>
        <w:rPr>
          <w:kern w:val="0"/>
          <w:szCs w:val="24"/>
        </w:rPr>
        <w:t>temperature were investigated. The adsorption followed Langmuir isotherm. The results show that acid activated kaolinite clay is effective for defluoridation of water while raw kaolinite has very low defluoridation capacity due to low adsorption.</w:t>
      </w:r>
    </w:p>
    <w:p w:rsidR="007866E2" w:rsidRDefault="007866E2" w:rsidP="007866E2">
      <w:pPr>
        <w:pStyle w:val="a0"/>
        <w:rPr>
          <w:kern w:val="0"/>
          <w:szCs w:val="24"/>
        </w:rPr>
      </w:pPr>
      <w:r>
        <w:rPr>
          <w:kern w:val="0"/>
          <w:szCs w:val="24"/>
        </w:rPr>
        <w:t xml:space="preserve">Keywords: Activated Kaolinite, Adsorption, Adsorption Isotherms, Analysis, Capacity, Clay, Contact Time, Defluoridation, Drinking Water, Drinking-Water, Fluoride, Fluoride Removal, Ions, Isotherm, Kaolinite, Langmuir, Langmuir Isotherm, Majuli </w:t>
      </w:r>
      <w:r>
        <w:rPr>
          <w:kern w:val="0"/>
          <w:szCs w:val="24"/>
        </w:rPr>
        <w:lastRenderedPageBreak/>
        <w:t xml:space="preserve">Clay, Montmorillonite Clay, </w:t>
      </w:r>
      <w:r>
        <w:rPr>
          <w:rFonts w:hint="eastAsia"/>
          <w:kern w:val="0"/>
          <w:szCs w:val="24"/>
        </w:rPr>
        <w:t>p</w:t>
      </w:r>
      <w:r>
        <w:rPr>
          <w:kern w:val="0"/>
          <w:szCs w:val="24"/>
        </w:rPr>
        <w:t>H, Removal, Temperature, Water, XRD</w:t>
      </w:r>
    </w:p>
    <w:p w:rsidR="004158EE" w:rsidRDefault="004158EE" w:rsidP="004158EE">
      <w:pPr>
        <w:pStyle w:val="a0"/>
        <w:rPr>
          <w:kern w:val="0"/>
          <w:szCs w:val="24"/>
        </w:rPr>
      </w:pPr>
      <w:r>
        <w:rPr>
          <w:rFonts w:hint="eastAsia"/>
          <w:kern w:val="0"/>
          <w:szCs w:val="24"/>
        </w:rPr>
        <w:t xml:space="preserve">? </w:t>
      </w:r>
      <w:r>
        <w:rPr>
          <w:kern w:val="0"/>
          <w:szCs w:val="24"/>
        </w:rPr>
        <w:t>Karthikeyan, M.</w:t>
      </w:r>
      <w:r w:rsidR="00F81221">
        <w:rPr>
          <w:kern w:val="0"/>
          <w:szCs w:val="24"/>
        </w:rPr>
        <w:t xml:space="preserve"> and </w:t>
      </w:r>
      <w:r>
        <w:rPr>
          <w:kern w:val="0"/>
          <w:szCs w:val="24"/>
        </w:rPr>
        <w:t>Elango, K.P. (2008), Removal of fluoride from aqueous solution using graphite: A kinetic</w:t>
      </w:r>
      <w:r w:rsidR="00F81221">
        <w:rPr>
          <w:kern w:val="0"/>
          <w:szCs w:val="24"/>
        </w:rPr>
        <w:t xml:space="preserve"> and </w:t>
      </w:r>
      <w:r>
        <w:rPr>
          <w:kern w:val="0"/>
          <w:szCs w:val="24"/>
        </w:rPr>
        <w:t xml:space="preserve">thermodynamic study. </w:t>
      </w:r>
      <w:r>
        <w:rPr>
          <w:i/>
          <w:iCs/>
          <w:kern w:val="0"/>
          <w:szCs w:val="24"/>
        </w:rPr>
        <w:t>Indian Journal of Chemical Technology</w:t>
      </w:r>
      <w:r>
        <w:rPr>
          <w:kern w:val="0"/>
          <w:szCs w:val="24"/>
        </w:rPr>
        <w:t xml:space="preserve">, </w:t>
      </w:r>
      <w:r>
        <w:rPr>
          <w:b/>
          <w:bCs/>
          <w:kern w:val="0"/>
          <w:szCs w:val="24"/>
        </w:rPr>
        <w:t>15</w:t>
      </w:r>
      <w:r>
        <w:rPr>
          <w:kern w:val="0"/>
          <w:szCs w:val="24"/>
        </w:rPr>
        <w:t xml:space="preserve"> (6), 525-532.</w:t>
      </w:r>
    </w:p>
    <w:p w:rsidR="004158EE" w:rsidRDefault="004158EE" w:rsidP="004158EE">
      <w:pPr>
        <w:pStyle w:val="a0"/>
        <w:rPr>
          <w:kern w:val="0"/>
        </w:rPr>
      </w:pPr>
      <w:r>
        <w:rPr>
          <w:rFonts w:hint="eastAsia"/>
          <w:kern w:val="0"/>
        </w:rPr>
        <w:t>Full Text:</w:t>
      </w:r>
      <w:r w:rsidRPr="00CB4EBB">
        <w:t xml:space="preserve"> </w:t>
      </w:r>
      <w:hyperlink r:id="rId911" w:history="1">
        <w:r w:rsidRPr="004158EE">
          <w:rPr>
            <w:rStyle w:val="a5"/>
          </w:rPr>
          <w:t>2008\Ind J Che Tec15, 525.pdf</w:t>
        </w:r>
      </w:hyperlink>
    </w:p>
    <w:p w:rsidR="004158EE" w:rsidRDefault="004158EE" w:rsidP="004158EE">
      <w:pPr>
        <w:pStyle w:val="a0"/>
        <w:rPr>
          <w:kern w:val="0"/>
          <w:szCs w:val="24"/>
        </w:rPr>
      </w:pPr>
      <w:r>
        <w:rPr>
          <w:kern w:val="0"/>
          <w:szCs w:val="24"/>
        </w:rPr>
        <w:t>Abstract: Batch sorption system using various grades of graphite as adsorbents was investigated to remove fluoride, ions from aqueous solutions. The system variables studied include initial concentration of the sorbate, agitation time, adsorbent close, pH, co-ions</w:t>
      </w:r>
      <w:r w:rsidR="00F81221">
        <w:rPr>
          <w:kern w:val="0"/>
          <w:szCs w:val="24"/>
        </w:rPr>
        <w:t xml:space="preserve"> and </w:t>
      </w:r>
      <w:r>
        <w:rPr>
          <w:kern w:val="0"/>
          <w:szCs w:val="24"/>
        </w:rPr>
        <w:t>temperature. The experimental data fitted well to the Freundlich</w:t>
      </w:r>
      <w:r w:rsidR="00F81221">
        <w:rPr>
          <w:kern w:val="0"/>
          <w:szCs w:val="24"/>
        </w:rPr>
        <w:t xml:space="preserve"> and </w:t>
      </w:r>
      <w:r>
        <w:rPr>
          <w:kern w:val="0"/>
          <w:szCs w:val="24"/>
        </w:rPr>
        <w:t>Langmuir isotherms. Thermodynamic parameters such as Delta H degrees, Delta S degrees</w:t>
      </w:r>
      <w:r w:rsidR="00F81221">
        <w:rPr>
          <w:kern w:val="0"/>
          <w:szCs w:val="24"/>
        </w:rPr>
        <w:t xml:space="preserve"> and </w:t>
      </w:r>
      <w:r>
        <w:rPr>
          <w:kern w:val="0"/>
          <w:szCs w:val="24"/>
        </w:rPr>
        <w:t>Delta G degrees were calculated which indicated that the adsorption was endothermic</w:t>
      </w:r>
      <w:r w:rsidR="00F81221">
        <w:rPr>
          <w:kern w:val="0"/>
          <w:szCs w:val="24"/>
        </w:rPr>
        <w:t xml:space="preserve"> and </w:t>
      </w:r>
      <w:r>
        <w:rPr>
          <w:kern w:val="0"/>
          <w:szCs w:val="24"/>
        </w:rPr>
        <w:t>a physical process. Kinetic studies reveal that the adsorption follows reversible first order kinetics. XRD patterns of the adsorbent before</w:t>
      </w:r>
      <w:r w:rsidR="00F81221">
        <w:rPr>
          <w:kern w:val="0"/>
          <w:szCs w:val="24"/>
        </w:rPr>
        <w:t xml:space="preserve"> and </w:t>
      </w:r>
      <w:r>
        <w:rPr>
          <w:kern w:val="0"/>
          <w:szCs w:val="24"/>
        </w:rPr>
        <w:t>after adsorption were recorded to get a better in sight into the mechanism of the adsorption process.</w:t>
      </w:r>
    </w:p>
    <w:p w:rsidR="004158EE" w:rsidRDefault="004158EE" w:rsidP="004158EE">
      <w:pPr>
        <w:pStyle w:val="a0"/>
        <w:rPr>
          <w:kern w:val="0"/>
          <w:szCs w:val="24"/>
        </w:rPr>
      </w:pPr>
      <w:r>
        <w:rPr>
          <w:kern w:val="0"/>
          <w:szCs w:val="24"/>
        </w:rPr>
        <w:t xml:space="preserve">Keywords: Activated Carbon, Adsorption, Adsorption-Kinetics, Alumina, Aqueous Solutions, Defluoridation, Dye, Earth, Equilibrium, Fluoride, Freundlich, Graphite, Isotherms, Kinetic, Kinetics, Langmuir, Langmuir Isotherms, Metal-Ions, </w:t>
      </w:r>
      <w:r>
        <w:rPr>
          <w:rFonts w:hint="eastAsia"/>
          <w:kern w:val="0"/>
          <w:szCs w:val="24"/>
        </w:rPr>
        <w:t>p</w:t>
      </w:r>
      <w:r>
        <w:rPr>
          <w:kern w:val="0"/>
          <w:szCs w:val="24"/>
        </w:rPr>
        <w:t>H, Pith, Removal, Sorption, System, Temperature, Thermodynamic, Thermodynamic Parameters, Thermodynamics, Water, XRD</w:t>
      </w:r>
    </w:p>
    <w:p w:rsidR="007C38E6" w:rsidRDefault="007C38E6" w:rsidP="007C38E6">
      <w:pPr>
        <w:pStyle w:val="a0"/>
        <w:rPr>
          <w:kern w:val="0"/>
          <w:szCs w:val="24"/>
        </w:rPr>
      </w:pPr>
      <w:r>
        <w:rPr>
          <w:rFonts w:hint="eastAsia"/>
          <w:kern w:val="0"/>
          <w:szCs w:val="24"/>
        </w:rPr>
        <w:t xml:space="preserve">? </w:t>
      </w:r>
      <w:r>
        <w:rPr>
          <w:kern w:val="0"/>
          <w:szCs w:val="24"/>
        </w:rPr>
        <w:t>Nath, K., Thummar, M., Vaghela, M.</w:t>
      </w:r>
      <w:r w:rsidR="00F81221">
        <w:rPr>
          <w:kern w:val="0"/>
          <w:szCs w:val="24"/>
        </w:rPr>
        <w:t xml:space="preserve"> and </w:t>
      </w:r>
      <w:r>
        <w:rPr>
          <w:kern w:val="0"/>
          <w:szCs w:val="24"/>
        </w:rPr>
        <w:t xml:space="preserve">Jani, P. (2008), Sorption of phenol from aqueous solution using activated carbon prepared from Manilkara zapota seed. </w:t>
      </w:r>
      <w:r>
        <w:rPr>
          <w:i/>
          <w:iCs/>
          <w:kern w:val="0"/>
          <w:szCs w:val="24"/>
        </w:rPr>
        <w:t>Indian Journal of Chemical Technology</w:t>
      </w:r>
      <w:r>
        <w:rPr>
          <w:kern w:val="0"/>
          <w:szCs w:val="24"/>
        </w:rPr>
        <w:t xml:space="preserve">, </w:t>
      </w:r>
      <w:r>
        <w:rPr>
          <w:b/>
          <w:bCs/>
          <w:kern w:val="0"/>
          <w:szCs w:val="24"/>
        </w:rPr>
        <w:t>15</w:t>
      </w:r>
      <w:r>
        <w:rPr>
          <w:kern w:val="0"/>
          <w:szCs w:val="24"/>
        </w:rPr>
        <w:t xml:space="preserve"> (6), 533-540.</w:t>
      </w:r>
    </w:p>
    <w:p w:rsidR="007C38E6" w:rsidRDefault="007C38E6" w:rsidP="007C38E6">
      <w:pPr>
        <w:pStyle w:val="a0"/>
        <w:rPr>
          <w:kern w:val="0"/>
        </w:rPr>
      </w:pPr>
      <w:r>
        <w:rPr>
          <w:rFonts w:hint="eastAsia"/>
          <w:kern w:val="0"/>
        </w:rPr>
        <w:t>Full Text:</w:t>
      </w:r>
      <w:r w:rsidRPr="00CB4EBB">
        <w:t xml:space="preserve"> </w:t>
      </w:r>
      <w:hyperlink r:id="rId912" w:history="1">
        <w:r w:rsidR="004158EE" w:rsidRPr="004158EE">
          <w:rPr>
            <w:rStyle w:val="a5"/>
          </w:rPr>
          <w:t>2008\Ind J Che Tec15, 533.pdf</w:t>
        </w:r>
      </w:hyperlink>
    </w:p>
    <w:p w:rsidR="007C38E6" w:rsidRDefault="007C38E6" w:rsidP="007C38E6">
      <w:pPr>
        <w:pStyle w:val="a0"/>
        <w:rPr>
          <w:kern w:val="0"/>
          <w:szCs w:val="24"/>
        </w:rPr>
      </w:pPr>
      <w:r>
        <w:rPr>
          <w:kern w:val="0"/>
          <w:szCs w:val="24"/>
        </w:rPr>
        <w:t>Abstract: The potential of activated carbon prepared from the seeds of Manilkara zapota, an agricultural waste, was assessed for dephenolation from aqueous solution. ZnCl</w:t>
      </w:r>
      <w:r w:rsidRPr="00A73ED9">
        <w:rPr>
          <w:kern w:val="0"/>
          <w:szCs w:val="24"/>
          <w:vertAlign w:val="subscript"/>
        </w:rPr>
        <w:t>2</w:t>
      </w:r>
      <w:r>
        <w:rPr>
          <w:kern w:val="0"/>
          <w:szCs w:val="24"/>
        </w:rPr>
        <w:t xml:space="preserve"> was used as the activating agent. Batch adsorption experiments were conducted to study the effect of various physicochemical parameters such as initial concentration, close of adsorbent, initial pH,</w:t>
      </w:r>
      <w:r w:rsidR="00F81221">
        <w:rPr>
          <w:kern w:val="0"/>
          <w:szCs w:val="24"/>
        </w:rPr>
        <w:t xml:space="preserve"> and </w:t>
      </w:r>
      <w:r>
        <w:rPr>
          <w:kern w:val="0"/>
          <w:szCs w:val="24"/>
        </w:rPr>
        <w:t>temperature. The precentage removal of phenol was found to increase with the decrease in initial concentration of phenol. Maximum removal efficiency of 96% was achieved with 25 mg/L of initial phenol concentration it pH 4.0</w:t>
      </w:r>
      <w:r w:rsidR="00F81221">
        <w:rPr>
          <w:kern w:val="0"/>
          <w:szCs w:val="24"/>
        </w:rPr>
        <w:t xml:space="preserve"> and </w:t>
      </w:r>
      <w:r>
        <w:rPr>
          <w:kern w:val="0"/>
          <w:szCs w:val="24"/>
        </w:rPr>
        <w:t>temperature 30</w:t>
      </w:r>
      <w:r w:rsidR="00656505">
        <w:rPr>
          <w:kern w:val="0"/>
          <w:szCs w:val="24"/>
        </w:rPr>
        <w:t>°</w:t>
      </w:r>
      <w:r>
        <w:rPr>
          <w:kern w:val="0"/>
          <w:szCs w:val="24"/>
        </w:rPr>
        <w:t>C. Equilibrium modelling by linearized adsorption isotherms revealed that Freundlich isotherm could Well represent the observed data for phenol adsorption oil activated carbon as compared to Langmuir isotherm. Thermodynamic studies revealed that the sorption of pheno by activated carbon is ail endothermic process, showing increase ill sorption at higher temperature. Comparison or various kinetic models based oil correlation coefficients revealed that the pseudo second order model, an indication of chemisorption mechanism, fits better the experimental data than the pseudo first order Lagergren model.</w:t>
      </w:r>
    </w:p>
    <w:p w:rsidR="007C38E6" w:rsidRDefault="007C38E6" w:rsidP="007C38E6">
      <w:pPr>
        <w:pStyle w:val="a0"/>
        <w:rPr>
          <w:kern w:val="0"/>
          <w:szCs w:val="24"/>
          <w:vertAlign w:val="subscript"/>
        </w:rPr>
      </w:pPr>
      <w:r>
        <w:rPr>
          <w:kern w:val="0"/>
          <w:szCs w:val="24"/>
        </w:rPr>
        <w:lastRenderedPageBreak/>
        <w:t xml:space="preserve">Keywords: Activated Carbon, Adsorbent, Adsorbents, Adsorption, Adsorption, Adsorption Isotherms, Agricultural, Agricultural Solid-Waste, Agricultural Waste, Aqueous Solution, Batch Adsorption, Carbon, Chemisorption, Concentration, Copper(II), Correlation, Data, Dye, Efficiency, Endothermic, Equilibrium, Experimental, Experiments, First, First Order, Freundlich, Freundlich Isotherm, Indication, Ions, Isotherm, Isotherms, Kinetic, Kinetic Models, Kinetics, Lagergren, Lagergren Model, Langmuir, Langmuir Isotherm, Mechanism, Model, Modelling, Models, </w:t>
      </w:r>
      <w:r w:rsidR="00656505">
        <w:rPr>
          <w:kern w:val="0"/>
          <w:szCs w:val="24"/>
        </w:rPr>
        <w:t>NOV</w:t>
      </w:r>
      <w:r>
        <w:rPr>
          <w:kern w:val="0"/>
          <w:szCs w:val="24"/>
        </w:rPr>
        <w:t xml:space="preserve">, Peat, </w:t>
      </w:r>
      <w:r w:rsidR="00656505">
        <w:rPr>
          <w:rFonts w:hint="eastAsia"/>
          <w:kern w:val="0"/>
          <w:szCs w:val="24"/>
        </w:rPr>
        <w:t>p</w:t>
      </w:r>
      <w:r w:rsidR="00656505">
        <w:rPr>
          <w:kern w:val="0"/>
          <w:szCs w:val="24"/>
        </w:rPr>
        <w:t>H</w:t>
      </w:r>
      <w:r>
        <w:rPr>
          <w:kern w:val="0"/>
          <w:szCs w:val="24"/>
        </w:rPr>
        <w:t>, Phenol, Potential, Process, Pseudo, Pseudo First Order, Pseudo Second Order, Pseudo-First-Order, Pseudo-Second-Order, Removal, Removal Efficiency, Second Order, Second-Order, Separation, Solution, Sorption, Temperature, Thermodynamic, Waste, Water, ZnCl</w:t>
      </w:r>
      <w:r w:rsidRPr="00A73ED9">
        <w:rPr>
          <w:kern w:val="0"/>
          <w:szCs w:val="24"/>
          <w:vertAlign w:val="subscript"/>
        </w:rPr>
        <w:t>2</w:t>
      </w:r>
    </w:p>
    <w:p w:rsidR="00D27922" w:rsidRDefault="00D27922" w:rsidP="00D27922">
      <w:pPr>
        <w:pStyle w:val="a0"/>
        <w:rPr>
          <w:kern w:val="0"/>
          <w:szCs w:val="24"/>
        </w:rPr>
      </w:pPr>
      <w:r>
        <w:rPr>
          <w:rFonts w:hint="eastAsia"/>
          <w:kern w:val="0"/>
          <w:szCs w:val="24"/>
        </w:rPr>
        <w:t xml:space="preserve">? </w:t>
      </w:r>
      <w:r>
        <w:rPr>
          <w:kern w:val="0"/>
          <w:szCs w:val="24"/>
        </w:rPr>
        <w:t>Khan, A.M., Gautam, S.</w:t>
      </w:r>
      <w:r w:rsidR="00F81221">
        <w:rPr>
          <w:kern w:val="0"/>
          <w:szCs w:val="24"/>
        </w:rPr>
        <w:t xml:space="preserve"> and </w:t>
      </w:r>
      <w:r>
        <w:rPr>
          <w:kern w:val="0"/>
          <w:szCs w:val="24"/>
        </w:rPr>
        <w:t>Ganai, S.A. (2008), Sorption studies on cresol red modified Amberlite IR400 (Cl</w:t>
      </w:r>
      <w:r w:rsidRPr="00DB1CCF">
        <w:rPr>
          <w:kern w:val="0"/>
          <w:szCs w:val="24"/>
          <w:vertAlign w:val="superscript"/>
        </w:rPr>
        <w:t>-</w:t>
      </w:r>
      <w:r>
        <w:rPr>
          <w:kern w:val="0"/>
          <w:szCs w:val="24"/>
        </w:rPr>
        <w:t>) resin: Binary</w:t>
      </w:r>
      <w:r w:rsidR="00F81221">
        <w:rPr>
          <w:kern w:val="0"/>
          <w:szCs w:val="24"/>
        </w:rPr>
        <w:t xml:space="preserve"> and </w:t>
      </w:r>
      <w:r>
        <w:rPr>
          <w:kern w:val="0"/>
          <w:szCs w:val="24"/>
        </w:rPr>
        <w:t>selective separation of Hg</w:t>
      </w:r>
      <w:r w:rsidRPr="00DB1CCF">
        <w:rPr>
          <w:kern w:val="0"/>
          <w:szCs w:val="24"/>
          <w:vertAlign w:val="superscript"/>
        </w:rPr>
        <w:t>2+</w:t>
      </w:r>
      <w:r>
        <w:rPr>
          <w:kern w:val="0"/>
          <w:szCs w:val="24"/>
        </w:rPr>
        <w:t xml:space="preserve"> ions. </w:t>
      </w:r>
      <w:r>
        <w:rPr>
          <w:i/>
          <w:iCs/>
          <w:kern w:val="0"/>
          <w:szCs w:val="24"/>
        </w:rPr>
        <w:t>Indian Journal of Chemical Technology</w:t>
      </w:r>
      <w:r>
        <w:rPr>
          <w:kern w:val="0"/>
          <w:szCs w:val="24"/>
        </w:rPr>
        <w:t xml:space="preserve">, </w:t>
      </w:r>
      <w:r>
        <w:rPr>
          <w:b/>
          <w:bCs/>
          <w:kern w:val="0"/>
          <w:szCs w:val="24"/>
        </w:rPr>
        <w:t>15</w:t>
      </w:r>
      <w:r>
        <w:rPr>
          <w:kern w:val="0"/>
          <w:szCs w:val="24"/>
        </w:rPr>
        <w:t xml:space="preserve"> (6), 541-546.</w:t>
      </w:r>
    </w:p>
    <w:p w:rsidR="00D27922" w:rsidRDefault="00D27922" w:rsidP="00D27922">
      <w:pPr>
        <w:pStyle w:val="a0"/>
        <w:rPr>
          <w:kern w:val="0"/>
        </w:rPr>
      </w:pPr>
      <w:r>
        <w:rPr>
          <w:rFonts w:hint="eastAsia"/>
          <w:kern w:val="0"/>
        </w:rPr>
        <w:t>Full Text:</w:t>
      </w:r>
      <w:r w:rsidRPr="00CB4EBB">
        <w:t xml:space="preserve"> </w:t>
      </w:r>
      <w:hyperlink r:id="rId913" w:history="1">
        <w:r w:rsidRPr="00D27922">
          <w:rPr>
            <w:rStyle w:val="a5"/>
          </w:rPr>
          <w:t>2008\Ind J Che Tec15, 541.pdf</w:t>
        </w:r>
      </w:hyperlink>
    </w:p>
    <w:p w:rsidR="00D27922" w:rsidRDefault="00D27922" w:rsidP="00D27922">
      <w:pPr>
        <w:pStyle w:val="a0"/>
        <w:rPr>
          <w:kern w:val="0"/>
          <w:szCs w:val="24"/>
        </w:rPr>
      </w:pPr>
      <w:r>
        <w:rPr>
          <w:kern w:val="0"/>
          <w:szCs w:val="24"/>
        </w:rPr>
        <w:t>Abstract: Strong acid anion exchange resin Amberlite IR400 (Cl</w:t>
      </w:r>
      <w:r w:rsidRPr="00DB1CCF">
        <w:rPr>
          <w:kern w:val="0"/>
          <w:szCs w:val="24"/>
          <w:vertAlign w:val="superscript"/>
        </w:rPr>
        <w:t>-</w:t>
      </w:r>
      <w:r>
        <w:rPr>
          <w:kern w:val="0"/>
          <w:szCs w:val="24"/>
        </w:rPr>
        <w:t>) has been modified by sorption of cresol red. Equibration studies Such as concentration, pH, time</w:t>
      </w:r>
      <w:r w:rsidR="00F81221">
        <w:rPr>
          <w:kern w:val="0"/>
          <w:szCs w:val="24"/>
        </w:rPr>
        <w:t xml:space="preserve"> and </w:t>
      </w:r>
      <w:r>
        <w:rPr>
          <w:kern w:val="0"/>
          <w:szCs w:val="24"/>
        </w:rPr>
        <w:t xml:space="preserve">temperature of the reagent on the adsorption of dye have been studied. The maximum uptake of cresol red was found to be 2.20 </w:t>
      </w:r>
      <w:r>
        <w:rPr>
          <w:kern w:val="0"/>
          <w:szCs w:val="24"/>
        </w:rPr>
        <w:sym w:font="Symbol" w:char="F06D"/>
      </w:r>
      <w:r>
        <w:rPr>
          <w:kern w:val="0"/>
          <w:szCs w:val="24"/>
        </w:rPr>
        <w:t>mol per 0.3×10</w:t>
      </w:r>
      <w:r>
        <w:rPr>
          <w:rFonts w:hint="eastAsia"/>
          <w:kern w:val="0"/>
          <w:szCs w:val="24"/>
          <w:vertAlign w:val="superscript"/>
        </w:rPr>
        <w:t>3</w:t>
      </w:r>
      <w:r>
        <w:rPr>
          <w:kern w:val="0"/>
          <w:szCs w:val="24"/>
        </w:rPr>
        <w:t xml:space="preserve"> g resin at pH 1.0. On the basis of K-d values in solvents having different polarity</w:t>
      </w:r>
      <w:r w:rsidR="00F81221">
        <w:rPr>
          <w:kern w:val="0"/>
          <w:szCs w:val="24"/>
        </w:rPr>
        <w:t xml:space="preserve"> and </w:t>
      </w:r>
      <w:r>
        <w:rPr>
          <w:kern w:val="0"/>
          <w:szCs w:val="24"/>
        </w:rPr>
        <w:t>dissociation constant, important binary separations of metal ions namely Pb</w:t>
      </w:r>
      <w:r w:rsidRPr="00DB1CCF">
        <w:rPr>
          <w:kern w:val="0"/>
          <w:szCs w:val="24"/>
          <w:vertAlign w:val="superscript"/>
        </w:rPr>
        <w:t>2+</w:t>
      </w:r>
      <w:r>
        <w:rPr>
          <w:kern w:val="0"/>
          <w:szCs w:val="24"/>
        </w:rPr>
        <w:t>, Bi</w:t>
      </w:r>
      <w:r w:rsidRPr="00DB1CCF">
        <w:rPr>
          <w:kern w:val="0"/>
          <w:szCs w:val="24"/>
          <w:vertAlign w:val="superscript"/>
        </w:rPr>
        <w:t>3+</w:t>
      </w:r>
      <w:r>
        <w:rPr>
          <w:kern w:val="0"/>
          <w:szCs w:val="24"/>
        </w:rPr>
        <w:t>, Mn-</w:t>
      </w:r>
      <w:r w:rsidRPr="00DB1CCF">
        <w:rPr>
          <w:kern w:val="0"/>
          <w:szCs w:val="24"/>
          <w:vertAlign w:val="superscript"/>
        </w:rPr>
        <w:t>2+</w:t>
      </w:r>
      <w:r>
        <w:rPr>
          <w:kern w:val="0"/>
          <w:szCs w:val="24"/>
        </w:rPr>
        <w:t>,Mn- Zn-</w:t>
      </w:r>
      <w:r w:rsidRPr="00DB1CCF">
        <w:rPr>
          <w:kern w:val="0"/>
          <w:szCs w:val="24"/>
          <w:vertAlign w:val="superscript"/>
        </w:rPr>
        <w:t>2+</w:t>
      </w:r>
      <w:r>
        <w:rPr>
          <w:kern w:val="0"/>
          <w:szCs w:val="24"/>
        </w:rPr>
        <w:t>,Zn- Ni</w:t>
      </w:r>
      <w:r w:rsidRPr="00DB1CCF">
        <w:rPr>
          <w:kern w:val="0"/>
          <w:szCs w:val="24"/>
          <w:vertAlign w:val="superscript"/>
        </w:rPr>
        <w:t>2+</w:t>
      </w:r>
      <w:r>
        <w:rPr>
          <w:kern w:val="0"/>
          <w:szCs w:val="24"/>
        </w:rPr>
        <w:t>, S-4, Hg</w:t>
      </w:r>
      <w:r w:rsidRPr="00DB1CCF">
        <w:rPr>
          <w:kern w:val="0"/>
          <w:szCs w:val="24"/>
          <w:vertAlign w:val="superscript"/>
        </w:rPr>
        <w:t>2+</w:t>
      </w:r>
      <w:r>
        <w:rPr>
          <w:kern w:val="0"/>
          <w:szCs w:val="24"/>
        </w:rPr>
        <w:t>, Mg</w:t>
      </w:r>
      <w:r w:rsidRPr="00DB1CCF">
        <w:rPr>
          <w:kern w:val="0"/>
          <w:szCs w:val="24"/>
          <w:vertAlign w:val="superscript"/>
        </w:rPr>
        <w:t>2+</w:t>
      </w:r>
      <w:r>
        <w:rPr>
          <w:kern w:val="0"/>
          <w:szCs w:val="24"/>
        </w:rPr>
        <w:t>, Zr</w:t>
      </w:r>
      <w:r w:rsidRPr="00DB1CCF">
        <w:rPr>
          <w:kern w:val="0"/>
          <w:szCs w:val="24"/>
          <w:vertAlign w:val="superscript"/>
        </w:rPr>
        <w:t>4+</w:t>
      </w:r>
      <w:r>
        <w:rPr>
          <w:kern w:val="0"/>
          <w:szCs w:val="24"/>
        </w:rPr>
        <w:t>, Ca</w:t>
      </w:r>
      <w:r w:rsidRPr="00DB1CCF">
        <w:rPr>
          <w:kern w:val="0"/>
          <w:szCs w:val="24"/>
          <w:vertAlign w:val="superscript"/>
        </w:rPr>
        <w:t>2+</w:t>
      </w:r>
      <w:r>
        <w:rPr>
          <w:kern w:val="0"/>
          <w:szCs w:val="24"/>
        </w:rPr>
        <w:t>, Ba</w:t>
      </w:r>
      <w:r w:rsidRPr="00DB1CCF">
        <w:rPr>
          <w:kern w:val="0"/>
          <w:szCs w:val="24"/>
          <w:vertAlign w:val="superscript"/>
        </w:rPr>
        <w:t>2+</w:t>
      </w:r>
      <w:r w:rsidR="00F81221">
        <w:rPr>
          <w:kern w:val="0"/>
          <w:szCs w:val="24"/>
        </w:rPr>
        <w:t xml:space="preserve"> and </w:t>
      </w:r>
      <w:r>
        <w:rPr>
          <w:kern w:val="0"/>
          <w:szCs w:val="24"/>
        </w:rPr>
        <w:t>Sr</w:t>
      </w:r>
      <w:r w:rsidRPr="00DB1CCF">
        <w:rPr>
          <w:kern w:val="0"/>
          <w:szCs w:val="24"/>
          <w:vertAlign w:val="superscript"/>
        </w:rPr>
        <w:t>2+</w:t>
      </w:r>
      <w:r>
        <w:rPr>
          <w:kern w:val="0"/>
          <w:szCs w:val="24"/>
        </w:rPr>
        <w:t xml:space="preserve"> have been achieved. To check the selectivity</w:t>
      </w:r>
      <w:r w:rsidR="00F81221">
        <w:rPr>
          <w:kern w:val="0"/>
          <w:szCs w:val="24"/>
        </w:rPr>
        <w:t xml:space="preserve"> and </w:t>
      </w:r>
      <w:r>
        <w:rPr>
          <w:kern w:val="0"/>
          <w:szCs w:val="24"/>
        </w:rPr>
        <w:t>the reproducibility or the method, separation of different amounts of Hg</w:t>
      </w:r>
      <w:r w:rsidRPr="00DB1CCF">
        <w:rPr>
          <w:kern w:val="0"/>
          <w:szCs w:val="24"/>
          <w:vertAlign w:val="superscript"/>
        </w:rPr>
        <w:t>2+</w:t>
      </w:r>
      <w:r>
        <w:rPr>
          <w:kern w:val="0"/>
          <w:szCs w:val="24"/>
        </w:rPr>
        <w:t xml:space="preserve"> has been achieved in a synthetic mixture containing Fe</w:t>
      </w:r>
      <w:r w:rsidRPr="00DB1CCF">
        <w:rPr>
          <w:kern w:val="0"/>
          <w:szCs w:val="24"/>
          <w:vertAlign w:val="superscript"/>
        </w:rPr>
        <w:t>3+</w:t>
      </w:r>
      <w:r>
        <w:rPr>
          <w:rFonts w:hint="eastAsia"/>
          <w:kern w:val="0"/>
          <w:szCs w:val="24"/>
        </w:rPr>
        <w:t xml:space="preserve"> </w:t>
      </w:r>
      <w:r>
        <w:rPr>
          <w:kern w:val="0"/>
          <w:szCs w:val="24"/>
        </w:rPr>
        <w:t>(5.58 mg), Cu</w:t>
      </w:r>
      <w:r w:rsidRPr="00DB1CCF">
        <w:rPr>
          <w:kern w:val="0"/>
          <w:szCs w:val="24"/>
          <w:vertAlign w:val="superscript"/>
        </w:rPr>
        <w:t>2+</w:t>
      </w:r>
      <w:r>
        <w:rPr>
          <w:kern w:val="0"/>
          <w:szCs w:val="24"/>
        </w:rPr>
        <w:t xml:space="preserve"> (6.35 mg), Al</w:t>
      </w:r>
      <w:r w:rsidRPr="00DB1CCF">
        <w:rPr>
          <w:kern w:val="0"/>
          <w:szCs w:val="24"/>
          <w:vertAlign w:val="superscript"/>
        </w:rPr>
        <w:t>3+</w:t>
      </w:r>
      <w:r>
        <w:rPr>
          <w:rFonts w:hint="eastAsia"/>
          <w:kern w:val="0"/>
          <w:szCs w:val="24"/>
        </w:rPr>
        <w:t xml:space="preserve"> </w:t>
      </w:r>
      <w:r>
        <w:rPr>
          <w:kern w:val="0"/>
          <w:szCs w:val="24"/>
        </w:rPr>
        <w:t>(2.69 mg)</w:t>
      </w:r>
      <w:r w:rsidR="00F81221">
        <w:rPr>
          <w:kern w:val="0"/>
          <w:szCs w:val="24"/>
        </w:rPr>
        <w:t xml:space="preserve"> and </w:t>
      </w:r>
      <w:r>
        <w:rPr>
          <w:kern w:val="0"/>
          <w:szCs w:val="24"/>
        </w:rPr>
        <w:t>Ni</w:t>
      </w:r>
      <w:r w:rsidRPr="00DB1CCF">
        <w:rPr>
          <w:kern w:val="0"/>
          <w:szCs w:val="24"/>
          <w:vertAlign w:val="superscript"/>
        </w:rPr>
        <w:t>2+</w:t>
      </w:r>
      <w:r>
        <w:rPr>
          <w:kern w:val="0"/>
          <w:szCs w:val="24"/>
        </w:rPr>
        <w:t xml:space="preserve"> (5.68 mg). The results show that the cresol red modified resin may be used for the removal of Hg</w:t>
      </w:r>
      <w:r w:rsidRPr="00DB1CCF">
        <w:rPr>
          <w:kern w:val="0"/>
          <w:szCs w:val="24"/>
          <w:vertAlign w:val="superscript"/>
        </w:rPr>
        <w:t>2+</w:t>
      </w:r>
      <w:r>
        <w:rPr>
          <w:kern w:val="0"/>
          <w:szCs w:val="24"/>
        </w:rPr>
        <w:t xml:space="preserve"> from industrial</w:t>
      </w:r>
      <w:r w:rsidR="00F81221">
        <w:rPr>
          <w:kern w:val="0"/>
          <w:szCs w:val="24"/>
        </w:rPr>
        <w:t xml:space="preserve"> and </w:t>
      </w:r>
      <w:r>
        <w:rPr>
          <w:kern w:val="0"/>
          <w:szCs w:val="24"/>
        </w:rPr>
        <w:t>domestic wastes. Results also indicate that the modified resin may also be suitable as a packing material in column chromatography for pre-concentration</w:t>
      </w:r>
      <w:r w:rsidR="00F81221">
        <w:rPr>
          <w:kern w:val="0"/>
          <w:szCs w:val="24"/>
        </w:rPr>
        <w:t xml:space="preserve"> and </w:t>
      </w:r>
      <w:r>
        <w:rPr>
          <w:kern w:val="0"/>
          <w:szCs w:val="24"/>
        </w:rPr>
        <w:t>recovery of some metal ions from industrial effluents</w:t>
      </w:r>
      <w:r w:rsidR="00F81221">
        <w:rPr>
          <w:kern w:val="0"/>
          <w:szCs w:val="24"/>
        </w:rPr>
        <w:t xml:space="preserve"> and </w:t>
      </w:r>
      <w:r>
        <w:rPr>
          <w:kern w:val="0"/>
          <w:szCs w:val="24"/>
        </w:rPr>
        <w:t>wastewater.</w:t>
      </w:r>
    </w:p>
    <w:p w:rsidR="00D27922" w:rsidRDefault="00D27922" w:rsidP="00D27922">
      <w:pPr>
        <w:pStyle w:val="a0"/>
        <w:rPr>
          <w:kern w:val="0"/>
          <w:szCs w:val="24"/>
        </w:rPr>
      </w:pPr>
      <w:r>
        <w:rPr>
          <w:kern w:val="0"/>
          <w:szCs w:val="24"/>
        </w:rPr>
        <w:t>Keywords: Adsorption, Amberlite IR400 (Cl</w:t>
      </w:r>
      <w:r w:rsidRPr="00DB1CCF">
        <w:rPr>
          <w:kern w:val="0"/>
          <w:szCs w:val="24"/>
          <w:vertAlign w:val="superscript"/>
        </w:rPr>
        <w:t>-</w:t>
      </w:r>
      <w:r>
        <w:rPr>
          <w:kern w:val="0"/>
          <w:szCs w:val="24"/>
        </w:rPr>
        <w:t>), Anion Exchange Resin, Cresol Red, Cu</w:t>
      </w:r>
      <w:r w:rsidRPr="00DB1CCF">
        <w:rPr>
          <w:kern w:val="0"/>
          <w:szCs w:val="24"/>
          <w:vertAlign w:val="superscript"/>
        </w:rPr>
        <w:t>2+</w:t>
      </w:r>
      <w:r>
        <w:rPr>
          <w:kern w:val="0"/>
          <w:szCs w:val="24"/>
        </w:rPr>
        <w:t>, Dye, Exchange, Exchange Resin, Industrial Effluents, Mercury Separation, Metal Ions, Metal-Ions, Ni</w:t>
      </w:r>
      <w:r w:rsidRPr="00DB1CCF">
        <w:rPr>
          <w:kern w:val="0"/>
          <w:szCs w:val="24"/>
          <w:vertAlign w:val="superscript"/>
        </w:rPr>
        <w:t>2+</w:t>
      </w:r>
      <w:r>
        <w:rPr>
          <w:kern w:val="0"/>
          <w:szCs w:val="24"/>
        </w:rPr>
        <w:t>, Pb</w:t>
      </w:r>
      <w:r w:rsidRPr="00DB1CCF">
        <w:rPr>
          <w:kern w:val="0"/>
          <w:szCs w:val="24"/>
          <w:vertAlign w:val="superscript"/>
        </w:rPr>
        <w:t>2+</w:t>
      </w:r>
      <w:r>
        <w:rPr>
          <w:kern w:val="0"/>
          <w:szCs w:val="24"/>
        </w:rPr>
        <w:t xml:space="preserve">, </w:t>
      </w:r>
      <w:r>
        <w:rPr>
          <w:rFonts w:hint="eastAsia"/>
          <w:kern w:val="0"/>
          <w:szCs w:val="24"/>
        </w:rPr>
        <w:t>p</w:t>
      </w:r>
      <w:r>
        <w:rPr>
          <w:kern w:val="0"/>
          <w:szCs w:val="24"/>
        </w:rPr>
        <w:t>H, Preconcentration, Removal, Sorption, Temperature, Wastewater</w:t>
      </w:r>
    </w:p>
    <w:p w:rsidR="00713900" w:rsidRDefault="00713900" w:rsidP="00713900">
      <w:pPr>
        <w:pStyle w:val="a0"/>
        <w:rPr>
          <w:kern w:val="0"/>
          <w:szCs w:val="24"/>
        </w:rPr>
      </w:pPr>
      <w:r>
        <w:rPr>
          <w:rFonts w:hint="eastAsia"/>
          <w:kern w:val="0"/>
          <w:szCs w:val="24"/>
        </w:rPr>
        <w:t xml:space="preserve">? </w:t>
      </w:r>
      <w:r>
        <w:rPr>
          <w:kern w:val="0"/>
          <w:szCs w:val="24"/>
        </w:rPr>
        <w:t>Hema, M.</w:t>
      </w:r>
      <w:r w:rsidR="00F81221">
        <w:rPr>
          <w:kern w:val="0"/>
          <w:szCs w:val="24"/>
        </w:rPr>
        <w:t xml:space="preserve"> and </w:t>
      </w:r>
      <w:r>
        <w:rPr>
          <w:kern w:val="0"/>
          <w:szCs w:val="24"/>
        </w:rPr>
        <w:t>Arivoli, S. (2009), Rhodamine B adsorption by activated carbon: Kinetic</w:t>
      </w:r>
      <w:r w:rsidR="00F81221">
        <w:rPr>
          <w:kern w:val="0"/>
          <w:szCs w:val="24"/>
        </w:rPr>
        <w:t xml:space="preserve"> and </w:t>
      </w:r>
      <w:r>
        <w:rPr>
          <w:kern w:val="0"/>
          <w:szCs w:val="24"/>
        </w:rPr>
        <w:t xml:space="preserve">equilibrium studies. </w:t>
      </w:r>
      <w:r>
        <w:rPr>
          <w:i/>
          <w:iCs/>
          <w:kern w:val="0"/>
          <w:szCs w:val="24"/>
        </w:rPr>
        <w:t>Indian Journal of Chemical Technology</w:t>
      </w:r>
      <w:r>
        <w:rPr>
          <w:kern w:val="0"/>
          <w:szCs w:val="24"/>
        </w:rPr>
        <w:t xml:space="preserve">, </w:t>
      </w:r>
      <w:r>
        <w:rPr>
          <w:b/>
          <w:bCs/>
          <w:kern w:val="0"/>
          <w:szCs w:val="24"/>
        </w:rPr>
        <w:t>16</w:t>
      </w:r>
      <w:r>
        <w:rPr>
          <w:kern w:val="0"/>
          <w:szCs w:val="24"/>
        </w:rPr>
        <w:t xml:space="preserve"> (1), 38-45.</w:t>
      </w:r>
    </w:p>
    <w:p w:rsidR="00713900" w:rsidRDefault="00713900" w:rsidP="00713900">
      <w:pPr>
        <w:pStyle w:val="a0"/>
        <w:rPr>
          <w:kern w:val="2"/>
        </w:rPr>
      </w:pPr>
      <w:r w:rsidRPr="00FC7835">
        <w:t xml:space="preserve">Full Text: </w:t>
      </w:r>
      <w:hyperlink r:id="rId914" w:history="1">
        <w:r w:rsidRPr="00713900">
          <w:rPr>
            <w:rStyle w:val="a5"/>
          </w:rPr>
          <w:t>2009\Ind J Che Tec16, 38.pdf</w:t>
        </w:r>
      </w:hyperlink>
    </w:p>
    <w:p w:rsidR="00713900" w:rsidRDefault="00713900" w:rsidP="00713900">
      <w:pPr>
        <w:pStyle w:val="a0"/>
        <w:rPr>
          <w:kern w:val="0"/>
          <w:szCs w:val="24"/>
        </w:rPr>
      </w:pPr>
      <w:r>
        <w:rPr>
          <w:kern w:val="0"/>
          <w:szCs w:val="24"/>
        </w:rPr>
        <w:t xml:space="preserve">Abstract: A carbonaccous adsorbent (TPC) prepared from Thespusia populinia bark by acid treatment was tested for its efficiency in removing Rhodamine B (RDB). The </w:t>
      </w:r>
      <w:r>
        <w:rPr>
          <w:kern w:val="0"/>
          <w:szCs w:val="24"/>
        </w:rPr>
        <w:lastRenderedPageBreak/>
        <w:t>parameters studied include agitation time, initial dye concentration, carbon dose, pH</w:t>
      </w:r>
      <w:r w:rsidR="00F81221">
        <w:rPr>
          <w:kern w:val="0"/>
          <w:szCs w:val="24"/>
        </w:rPr>
        <w:t xml:space="preserve"> and </w:t>
      </w:r>
      <w:r>
        <w:rPr>
          <w:kern w:val="0"/>
          <w:szCs w:val="24"/>
        </w:rPr>
        <w:t>temperature. The adsorption followed first order reaction equation</w:t>
      </w:r>
      <w:r w:rsidR="00F81221">
        <w:rPr>
          <w:kern w:val="0"/>
          <w:szCs w:val="24"/>
        </w:rPr>
        <w:t xml:space="preserve"> and </w:t>
      </w:r>
      <w:r>
        <w:rPr>
          <w:kern w:val="0"/>
          <w:szCs w:val="24"/>
        </w:rPr>
        <w:t>the rate is mainly controlled by intra-particle diffusion. Freundlich</w:t>
      </w:r>
      <w:r w:rsidR="00F81221">
        <w:rPr>
          <w:kern w:val="0"/>
          <w:szCs w:val="24"/>
        </w:rPr>
        <w:t xml:space="preserve"> and </w:t>
      </w:r>
      <w:r>
        <w:rPr>
          <w:kern w:val="0"/>
          <w:szCs w:val="24"/>
        </w:rPr>
        <w:t>Langmuir isotherm models were applied to the equilibrium data. The adsorption capacity (Q(m)) obtained from the Langmuir isotherm plots were 60.836, 64.239, 68.695</w:t>
      </w:r>
      <w:r w:rsidR="00F81221">
        <w:rPr>
          <w:kern w:val="0"/>
          <w:szCs w:val="24"/>
        </w:rPr>
        <w:t xml:space="preserve"> and </w:t>
      </w:r>
      <w:r>
        <w:rPr>
          <w:kern w:val="0"/>
          <w:szCs w:val="24"/>
        </w:rPr>
        <w:t>77.178 mg/g respectively at an initial pH of 7.0 at 30, 40, 50</w:t>
      </w:r>
      <w:r w:rsidR="00F81221">
        <w:rPr>
          <w:kern w:val="0"/>
          <w:szCs w:val="24"/>
        </w:rPr>
        <w:t xml:space="preserve"> and </w:t>
      </w:r>
      <w:r>
        <w:rPr>
          <w:kern w:val="0"/>
          <w:szCs w:val="24"/>
        </w:rPr>
        <w:t>60°C. The temperature variation study showed that the RDB adsorption is endothermic</w:t>
      </w:r>
      <w:r w:rsidR="00F81221">
        <w:rPr>
          <w:kern w:val="0"/>
          <w:szCs w:val="24"/>
        </w:rPr>
        <w:t xml:space="preserve"> and </w:t>
      </w:r>
      <w:r>
        <w:rPr>
          <w:kern w:val="0"/>
          <w:szCs w:val="24"/>
        </w:rPr>
        <w:t>spontaneous with increased randomness at the solid solution interface. Significant effect on adsorption was observed on varying the pH of the RDB solutions. Almost 79% removal of RDB was observed at 60°C. The Langmuir</w:t>
      </w:r>
      <w:r w:rsidR="00F81221">
        <w:rPr>
          <w:kern w:val="0"/>
          <w:szCs w:val="24"/>
        </w:rPr>
        <w:t xml:space="preserve"> and </w:t>
      </w:r>
      <w:r>
        <w:rPr>
          <w:kern w:val="0"/>
          <w:szCs w:val="24"/>
        </w:rPr>
        <w:t>Freundlich isotherms obtained, positive Delta H degrees value, pH dependent results</w:t>
      </w:r>
      <w:r w:rsidR="00F81221">
        <w:rPr>
          <w:kern w:val="0"/>
          <w:szCs w:val="24"/>
        </w:rPr>
        <w:t xml:space="preserve"> and </w:t>
      </w:r>
      <w:r>
        <w:rPr>
          <w:kern w:val="0"/>
          <w:szCs w:val="24"/>
        </w:rPr>
        <w:t>desorption of dye in mineral acid suggest that the adsorption of RDB on TPC involved physisorption mechanism.</w:t>
      </w:r>
    </w:p>
    <w:p w:rsidR="00713900" w:rsidRDefault="00713900" w:rsidP="00713900">
      <w:pPr>
        <w:pStyle w:val="a0"/>
        <w:rPr>
          <w:kern w:val="0"/>
          <w:szCs w:val="24"/>
        </w:rPr>
      </w:pPr>
      <w:r>
        <w:rPr>
          <w:kern w:val="0"/>
          <w:szCs w:val="24"/>
        </w:rPr>
        <w:t>Keywords: Activated Carbon, Adsorption, Adsorption Capacity, Adsorption Isotherm, Agricultural Waste, Aqueous-Solution, Basic Dye, Capacity, Desorption, Diffusion, Dye, Equilibrium, Freundlich, Husk, Intraparticle Diffusion, Isotherm, Isotherm Models, Isotherms, Kinetic, Kinetic</w:t>
      </w:r>
      <w:r w:rsidR="00F81221">
        <w:rPr>
          <w:kern w:val="0"/>
          <w:szCs w:val="24"/>
        </w:rPr>
        <w:t xml:space="preserve"> and </w:t>
      </w:r>
      <w:r>
        <w:rPr>
          <w:kern w:val="0"/>
          <w:szCs w:val="24"/>
        </w:rPr>
        <w:t>Thermodynamic Parameters, Langmuir, Langmuir</w:t>
      </w:r>
      <w:r w:rsidR="00F81221">
        <w:rPr>
          <w:kern w:val="0"/>
          <w:szCs w:val="24"/>
        </w:rPr>
        <w:t xml:space="preserve"> and </w:t>
      </w:r>
      <w:r>
        <w:rPr>
          <w:kern w:val="0"/>
          <w:szCs w:val="24"/>
        </w:rPr>
        <w:t xml:space="preserve">Freundlich Isotherms, Langmuir Isotherm, Models, Peel, </w:t>
      </w:r>
      <w:r>
        <w:rPr>
          <w:rFonts w:hint="eastAsia"/>
          <w:kern w:val="0"/>
          <w:szCs w:val="24"/>
        </w:rPr>
        <w:t>p</w:t>
      </w:r>
      <w:r>
        <w:rPr>
          <w:kern w:val="0"/>
          <w:szCs w:val="24"/>
        </w:rPr>
        <w:t>H, Removal, Rhodamine B, Rhodamine B (RDB), Temperature, Thespusia Populinia Bark Carbon (TPC), Treatment</w:t>
      </w:r>
    </w:p>
    <w:p w:rsidR="00685F85" w:rsidRDefault="00685F85" w:rsidP="00685F85">
      <w:pPr>
        <w:pStyle w:val="a0"/>
        <w:rPr>
          <w:kern w:val="0"/>
          <w:szCs w:val="24"/>
        </w:rPr>
      </w:pPr>
      <w:r>
        <w:rPr>
          <w:rFonts w:hint="eastAsia"/>
          <w:kern w:val="0"/>
          <w:szCs w:val="24"/>
        </w:rPr>
        <w:t xml:space="preserve">? </w:t>
      </w:r>
      <w:r>
        <w:rPr>
          <w:kern w:val="0"/>
          <w:szCs w:val="24"/>
        </w:rPr>
        <w:t>Ćurković, L., Trgo, M., Mioč, A.R.</w:t>
      </w:r>
      <w:r w:rsidR="00F81221">
        <w:rPr>
          <w:kern w:val="0"/>
          <w:szCs w:val="24"/>
        </w:rPr>
        <w:t xml:space="preserve"> and </w:t>
      </w:r>
      <w:r>
        <w:rPr>
          <w:kern w:val="0"/>
          <w:szCs w:val="24"/>
        </w:rPr>
        <w:t>Medvidović, N.V. (2009), Removal of Cu</w:t>
      </w:r>
      <w:r w:rsidR="00F81221">
        <w:rPr>
          <w:kern w:val="0"/>
          <w:szCs w:val="24"/>
        </w:rPr>
        <w:t xml:space="preserve"> and </w:t>
      </w:r>
      <w:r>
        <w:rPr>
          <w:kern w:val="0"/>
          <w:szCs w:val="24"/>
        </w:rPr>
        <w:t>Pb ions from aqueous solutions by electric furnace slag: Kinetic</w:t>
      </w:r>
      <w:r w:rsidR="00F81221">
        <w:rPr>
          <w:kern w:val="0"/>
          <w:szCs w:val="24"/>
        </w:rPr>
        <w:t xml:space="preserve"> and </w:t>
      </w:r>
      <w:r>
        <w:rPr>
          <w:kern w:val="0"/>
          <w:szCs w:val="24"/>
        </w:rPr>
        <w:t xml:space="preserve">thermodynamic aspects. </w:t>
      </w:r>
      <w:r>
        <w:rPr>
          <w:i/>
          <w:iCs/>
          <w:kern w:val="0"/>
          <w:szCs w:val="24"/>
        </w:rPr>
        <w:t>Indian Journal of Chemical Technology</w:t>
      </w:r>
      <w:r>
        <w:rPr>
          <w:kern w:val="0"/>
          <w:szCs w:val="24"/>
        </w:rPr>
        <w:t xml:space="preserve">, </w:t>
      </w:r>
      <w:r>
        <w:rPr>
          <w:b/>
          <w:bCs/>
          <w:kern w:val="0"/>
          <w:szCs w:val="24"/>
        </w:rPr>
        <w:t>16</w:t>
      </w:r>
      <w:r>
        <w:rPr>
          <w:kern w:val="0"/>
          <w:szCs w:val="24"/>
        </w:rPr>
        <w:t xml:space="preserve"> (1), 84-88.</w:t>
      </w:r>
    </w:p>
    <w:p w:rsidR="00685F85" w:rsidRDefault="00685F85" w:rsidP="00685F85">
      <w:pPr>
        <w:pStyle w:val="a0"/>
        <w:rPr>
          <w:kern w:val="2"/>
        </w:rPr>
      </w:pPr>
      <w:r w:rsidRPr="00FC7835">
        <w:t xml:space="preserve">Full Text: </w:t>
      </w:r>
      <w:hyperlink r:id="rId915" w:history="1">
        <w:r w:rsidRPr="00685F85">
          <w:rPr>
            <w:rStyle w:val="a5"/>
          </w:rPr>
          <w:t>2009\Ind J Che Tec16, 84.pdf</w:t>
        </w:r>
      </w:hyperlink>
    </w:p>
    <w:p w:rsidR="00685F85" w:rsidRDefault="00685F85" w:rsidP="00685F85">
      <w:pPr>
        <w:pStyle w:val="a0"/>
        <w:rPr>
          <w:kern w:val="0"/>
          <w:szCs w:val="24"/>
        </w:rPr>
      </w:pPr>
      <w:r>
        <w:rPr>
          <w:kern w:val="0"/>
          <w:szCs w:val="24"/>
        </w:rPr>
        <w:t>Abstract: Electric furnace slag, instead of deposition as a non-toxic metallurgical waste material, can be used as a valuable secondary raw material in many industrial processes. In this paper, removal of copper</w:t>
      </w:r>
      <w:r w:rsidR="00F81221">
        <w:rPr>
          <w:kern w:val="0"/>
          <w:szCs w:val="24"/>
        </w:rPr>
        <w:t xml:space="preserve"> and </w:t>
      </w:r>
      <w:r>
        <w:rPr>
          <w:kern w:val="0"/>
          <w:szCs w:val="24"/>
        </w:rPr>
        <w:t>lead ions from aqueous solutions by sorption on electric furnace slag (EFS) has been investigated. Experiments were performed at three temperatures of 23, 40</w:t>
      </w:r>
      <w:r w:rsidR="00F81221">
        <w:rPr>
          <w:kern w:val="0"/>
          <w:szCs w:val="24"/>
        </w:rPr>
        <w:t xml:space="preserve"> and </w:t>
      </w:r>
      <w:r>
        <w:rPr>
          <w:kern w:val="0"/>
          <w:szCs w:val="24"/>
        </w:rPr>
        <w:t>55°C. The results of sorption kinetics are tested by kinetic model that describes intraparticle diffusion,</w:t>
      </w:r>
      <w:r w:rsidR="00F81221">
        <w:rPr>
          <w:kern w:val="0"/>
          <w:szCs w:val="24"/>
        </w:rPr>
        <w:t xml:space="preserve"> and </w:t>
      </w:r>
      <w:r>
        <w:rPr>
          <w:kern w:val="0"/>
          <w:szCs w:val="24"/>
        </w:rPr>
        <w:t>diffusion coefficients have been calculated. Diffusion rate of both systems increases with temperature, in dependence of time is constant for copper ions, while for lead decreases. The energy of activation (E-a), activation enthalpy (</w:t>
      </w:r>
      <w:r>
        <w:rPr>
          <w:kern w:val="0"/>
          <w:szCs w:val="24"/>
        </w:rPr>
        <w:sym w:font="Symbol" w:char="F044"/>
      </w:r>
      <w:r>
        <w:rPr>
          <w:kern w:val="0"/>
          <w:szCs w:val="24"/>
        </w:rPr>
        <w:t>H°), activation entropy (</w:t>
      </w:r>
      <w:r>
        <w:rPr>
          <w:kern w:val="0"/>
          <w:szCs w:val="24"/>
        </w:rPr>
        <w:sym w:font="Symbol" w:char="F044"/>
      </w:r>
      <w:r>
        <w:rPr>
          <w:kern w:val="0"/>
          <w:szCs w:val="24"/>
        </w:rPr>
        <w:t>S°)</w:t>
      </w:r>
      <w:r w:rsidR="00F81221">
        <w:rPr>
          <w:kern w:val="0"/>
          <w:szCs w:val="24"/>
        </w:rPr>
        <w:t xml:space="preserve"> and </w:t>
      </w:r>
      <w:r>
        <w:rPr>
          <w:kern w:val="0"/>
          <w:szCs w:val="24"/>
        </w:rPr>
        <w:t>free energy of activation (</w:t>
      </w:r>
      <w:r>
        <w:rPr>
          <w:kern w:val="0"/>
          <w:szCs w:val="24"/>
        </w:rPr>
        <w:sym w:font="Symbol" w:char="F044"/>
      </w:r>
      <w:r>
        <w:rPr>
          <w:kern w:val="0"/>
          <w:szCs w:val="24"/>
        </w:rPr>
        <w:t>G°) have been calculated based on kinetic data. Values of E-a characterize binding of lead</w:t>
      </w:r>
      <w:r w:rsidR="00F81221">
        <w:rPr>
          <w:kern w:val="0"/>
          <w:szCs w:val="24"/>
        </w:rPr>
        <w:t xml:space="preserve"> and </w:t>
      </w:r>
      <w:r>
        <w:rPr>
          <w:kern w:val="0"/>
          <w:szCs w:val="24"/>
        </w:rPr>
        <w:t xml:space="preserve">copper ions on EFS as activated chemisorption, whereas positive values of </w:t>
      </w:r>
      <w:r>
        <w:rPr>
          <w:kern w:val="0"/>
          <w:szCs w:val="24"/>
        </w:rPr>
        <w:sym w:font="Symbol" w:char="F044"/>
      </w:r>
      <w:r>
        <w:rPr>
          <w:kern w:val="0"/>
          <w:szCs w:val="24"/>
        </w:rPr>
        <w:t xml:space="preserve">H°, </w:t>
      </w:r>
      <w:r>
        <w:rPr>
          <w:kern w:val="0"/>
          <w:szCs w:val="24"/>
        </w:rPr>
        <w:sym w:font="Symbol" w:char="F044"/>
      </w:r>
      <w:r>
        <w:rPr>
          <w:kern w:val="0"/>
          <w:szCs w:val="24"/>
        </w:rPr>
        <w:t>G°</w:t>
      </w:r>
      <w:r w:rsidR="00F81221">
        <w:rPr>
          <w:kern w:val="0"/>
          <w:szCs w:val="24"/>
        </w:rPr>
        <w:t xml:space="preserve"> and </w:t>
      </w:r>
      <w:r>
        <w:rPr>
          <w:kern w:val="0"/>
          <w:szCs w:val="24"/>
        </w:rPr>
        <w:t xml:space="preserve">negative values of </w:t>
      </w:r>
      <w:r>
        <w:rPr>
          <w:kern w:val="0"/>
          <w:szCs w:val="24"/>
        </w:rPr>
        <w:sym w:font="Symbol" w:char="F044"/>
      </w:r>
      <w:r>
        <w:rPr>
          <w:kern w:val="0"/>
          <w:szCs w:val="24"/>
        </w:rPr>
        <w:t>S° describe process as endothermic, nonspontaneous</w:t>
      </w:r>
      <w:r w:rsidR="00F81221">
        <w:rPr>
          <w:kern w:val="0"/>
          <w:szCs w:val="24"/>
        </w:rPr>
        <w:t xml:space="preserve"> and </w:t>
      </w:r>
      <w:r>
        <w:rPr>
          <w:kern w:val="0"/>
          <w:szCs w:val="24"/>
        </w:rPr>
        <w:t>without changes in the structure of the solid particle. The studies showed that this low cost waste material Could be used as an efficient sorbent material for the removal of lead</w:t>
      </w:r>
      <w:r w:rsidR="00F81221">
        <w:rPr>
          <w:kern w:val="0"/>
          <w:szCs w:val="24"/>
        </w:rPr>
        <w:t xml:space="preserve"> and </w:t>
      </w:r>
      <w:r>
        <w:rPr>
          <w:kern w:val="0"/>
          <w:szCs w:val="24"/>
        </w:rPr>
        <w:t xml:space="preserve">copper </w:t>
      </w:r>
      <w:r>
        <w:rPr>
          <w:kern w:val="0"/>
          <w:szCs w:val="24"/>
        </w:rPr>
        <w:lastRenderedPageBreak/>
        <w:t>from aqueous solutions.</w:t>
      </w:r>
    </w:p>
    <w:p w:rsidR="00685F85" w:rsidRDefault="00685F85" w:rsidP="00685F85">
      <w:pPr>
        <w:pStyle w:val="a0"/>
        <w:rPr>
          <w:kern w:val="0"/>
          <w:szCs w:val="24"/>
        </w:rPr>
      </w:pPr>
      <w:r>
        <w:rPr>
          <w:kern w:val="0"/>
          <w:szCs w:val="24"/>
        </w:rPr>
        <w:t>Keywords: Activated Slag, Adsorption, Aqueous Solutions, By-Product, Clinoptilolite, Column Operations, Copper, Cost, Diffusion, Electric Furnace Slag, Equilibrium Uptake, Kinetic, Kinetic Model, Kinetics, Lead, Lead Removal, Model, Parameters, Removal, Sorbent, Sorption, Sorption Dynamics, Sorption Kinetics, Temperature, Thermodynamic, Thermodynamic Parameters, Waste-Water</w:t>
      </w:r>
    </w:p>
    <w:p w:rsidR="00656505" w:rsidRDefault="00656505" w:rsidP="00656505">
      <w:pPr>
        <w:pStyle w:val="a0"/>
        <w:rPr>
          <w:kern w:val="0"/>
          <w:szCs w:val="24"/>
        </w:rPr>
      </w:pPr>
      <w:r>
        <w:rPr>
          <w:rFonts w:hint="eastAsia"/>
          <w:kern w:val="0"/>
          <w:szCs w:val="24"/>
        </w:rPr>
        <w:t xml:space="preserve">? </w:t>
      </w:r>
      <w:r>
        <w:rPr>
          <w:kern w:val="0"/>
          <w:szCs w:val="24"/>
        </w:rPr>
        <w:t>Singh, A.P., Srivastava, K.K.</w:t>
      </w:r>
      <w:r w:rsidR="00F81221">
        <w:rPr>
          <w:kern w:val="0"/>
          <w:szCs w:val="24"/>
        </w:rPr>
        <w:t xml:space="preserve"> and </w:t>
      </w:r>
      <w:r>
        <w:rPr>
          <w:kern w:val="0"/>
          <w:szCs w:val="24"/>
        </w:rPr>
        <w:t xml:space="preserve">Shekhar, H. (2009), Arsenic(III) removal from aqueous solutions by mixed adsorbent. </w:t>
      </w:r>
      <w:r>
        <w:rPr>
          <w:i/>
          <w:iCs/>
          <w:kern w:val="0"/>
          <w:szCs w:val="24"/>
        </w:rPr>
        <w:t>Indian Journal of Chemical Technology</w:t>
      </w:r>
      <w:r>
        <w:rPr>
          <w:kern w:val="0"/>
          <w:szCs w:val="24"/>
        </w:rPr>
        <w:t xml:space="preserve">, </w:t>
      </w:r>
      <w:r>
        <w:rPr>
          <w:b/>
          <w:bCs/>
          <w:kern w:val="0"/>
          <w:szCs w:val="24"/>
        </w:rPr>
        <w:t>16</w:t>
      </w:r>
      <w:r>
        <w:rPr>
          <w:kern w:val="0"/>
          <w:szCs w:val="24"/>
        </w:rPr>
        <w:t xml:space="preserve"> (2), 136-141.</w:t>
      </w:r>
    </w:p>
    <w:p w:rsidR="00656505" w:rsidRDefault="00656505" w:rsidP="00656505">
      <w:pPr>
        <w:pStyle w:val="a0"/>
        <w:rPr>
          <w:kern w:val="2"/>
        </w:rPr>
      </w:pPr>
      <w:r w:rsidRPr="00FC7835">
        <w:t xml:space="preserve">Full Text: </w:t>
      </w:r>
      <w:hyperlink r:id="rId916" w:history="1">
        <w:r w:rsidRPr="00656505">
          <w:rPr>
            <w:rStyle w:val="a5"/>
          </w:rPr>
          <w:t>2009\Ind J Che Tec16, 136.pdf</w:t>
        </w:r>
      </w:hyperlink>
    </w:p>
    <w:p w:rsidR="00656505" w:rsidRDefault="00656505" w:rsidP="00656505">
      <w:pPr>
        <w:pStyle w:val="a0"/>
        <w:rPr>
          <w:kern w:val="0"/>
          <w:szCs w:val="24"/>
        </w:rPr>
      </w:pPr>
      <w:r>
        <w:rPr>
          <w:kern w:val="0"/>
          <w:szCs w:val="24"/>
        </w:rPr>
        <w:t>Abstract: The removal of As(III) from its aqueous solutions by adsorption on homogeneous mixture of china clay</w:t>
      </w:r>
      <w:r w:rsidR="00F81221">
        <w:rPr>
          <w:kern w:val="0"/>
          <w:szCs w:val="24"/>
        </w:rPr>
        <w:t xml:space="preserve"> and </w:t>
      </w:r>
      <w:r>
        <w:rPr>
          <w:kern w:val="0"/>
          <w:szCs w:val="24"/>
        </w:rPr>
        <w:t>fly ash in equal proportions has been found to be dependent on various operating parameters such as concentration, temperature</w:t>
      </w:r>
      <w:r w:rsidR="00F81221">
        <w:rPr>
          <w:kern w:val="0"/>
          <w:szCs w:val="24"/>
        </w:rPr>
        <w:t xml:space="preserve"> and </w:t>
      </w:r>
      <w:r>
        <w:rPr>
          <w:kern w:val="0"/>
          <w:szCs w:val="24"/>
        </w:rPr>
        <w:t>pH. The As(III) removal is favourable at low concentration, high temperature</w:t>
      </w:r>
      <w:r w:rsidR="00F81221">
        <w:rPr>
          <w:kern w:val="0"/>
          <w:szCs w:val="24"/>
        </w:rPr>
        <w:t xml:space="preserve"> and </w:t>
      </w:r>
      <w:r>
        <w:rPr>
          <w:kern w:val="0"/>
          <w:szCs w:val="24"/>
        </w:rPr>
        <w:t>slightly basic condition at pH 8.0. The applicability of Langmuir isotherm in present system suggests the formation of monolayer coverage of As(III) molecules at the outer surface of the adsorbent. Thermodynamic parameters indicate the spontaneous</w:t>
      </w:r>
      <w:r w:rsidR="00F81221">
        <w:rPr>
          <w:kern w:val="0"/>
          <w:szCs w:val="24"/>
        </w:rPr>
        <w:t xml:space="preserve"> and </w:t>
      </w:r>
      <w:r>
        <w:rPr>
          <w:kern w:val="0"/>
          <w:szCs w:val="24"/>
        </w:rPr>
        <w:t>endothermic nature of the process. Adsorption kinetics studied using the model suggested by Lagergren infers a first order rate expression.</w:t>
      </w:r>
    </w:p>
    <w:p w:rsidR="00656505" w:rsidRDefault="00656505" w:rsidP="00656505">
      <w:pPr>
        <w:pStyle w:val="a0"/>
        <w:rPr>
          <w:kern w:val="0"/>
          <w:szCs w:val="24"/>
        </w:rPr>
      </w:pPr>
      <w:r>
        <w:rPr>
          <w:kern w:val="0"/>
          <w:szCs w:val="24"/>
        </w:rPr>
        <w:t xml:space="preserve">Keywords: Activated Carbon, Adsorption, Adsorption Kinetics, Aqueous Solutions, Arsenic, As(III) Adsorption, Cadmium(II), China Clay, Clay, Fly Ash, Fly-Ash, High Temperature, Interface, Ions, Isotherm, Kinetics, Langmuir, Langmuir Isotherm, Model, Molecules, Operating Parameters, </w:t>
      </w:r>
      <w:r>
        <w:rPr>
          <w:rFonts w:hint="eastAsia"/>
          <w:kern w:val="0"/>
          <w:szCs w:val="24"/>
        </w:rPr>
        <w:t>p</w:t>
      </w:r>
      <w:r>
        <w:rPr>
          <w:kern w:val="0"/>
          <w:szCs w:val="24"/>
        </w:rPr>
        <w:t>H, Removal, System, Temperature, Thermodynamic, Thermodynamic Parameters</w:t>
      </w:r>
    </w:p>
    <w:p w:rsidR="0009713E" w:rsidRDefault="0009713E" w:rsidP="0009713E">
      <w:pPr>
        <w:pStyle w:val="a0"/>
        <w:rPr>
          <w:kern w:val="0"/>
        </w:rPr>
      </w:pPr>
      <w:r>
        <w:rPr>
          <w:rFonts w:hint="eastAsia"/>
          <w:kern w:val="0"/>
        </w:rPr>
        <w:t xml:space="preserve">? </w:t>
      </w:r>
      <w:r>
        <w:rPr>
          <w:kern w:val="0"/>
        </w:rPr>
        <w:t>Uddin, M.T., Rukanuzzaman, M., Khan, M.M.R.</w:t>
      </w:r>
      <w:r w:rsidR="00F81221">
        <w:rPr>
          <w:kern w:val="0"/>
        </w:rPr>
        <w:t xml:space="preserve"> and </w:t>
      </w:r>
      <w:r>
        <w:rPr>
          <w:kern w:val="0"/>
        </w:rPr>
        <w:t>Islam, M.A. (2009), Jackfruit (</w:t>
      </w:r>
      <w:r w:rsidRPr="00A57201">
        <w:rPr>
          <w:i/>
          <w:kern w:val="0"/>
        </w:rPr>
        <w:t>Artocarpus heterophyllus</w:t>
      </w:r>
      <w:r>
        <w:rPr>
          <w:kern w:val="0"/>
        </w:rPr>
        <w:t xml:space="preserve">) leaf powder: An effective adsorbent for removal of methylene blue from aqueous solutions. </w:t>
      </w:r>
      <w:r>
        <w:rPr>
          <w:i/>
          <w:iCs/>
          <w:kern w:val="0"/>
        </w:rPr>
        <w:t>Indian Journal of Chemical Technology</w:t>
      </w:r>
      <w:r>
        <w:rPr>
          <w:kern w:val="0"/>
        </w:rPr>
        <w:t xml:space="preserve">, </w:t>
      </w:r>
      <w:r>
        <w:rPr>
          <w:b/>
          <w:bCs/>
          <w:kern w:val="0"/>
        </w:rPr>
        <w:t>16</w:t>
      </w:r>
      <w:r>
        <w:rPr>
          <w:kern w:val="0"/>
        </w:rPr>
        <w:t xml:space="preserve"> (2), 142-149.</w:t>
      </w:r>
    </w:p>
    <w:p w:rsidR="0009713E" w:rsidRDefault="0009713E" w:rsidP="0009713E">
      <w:pPr>
        <w:pStyle w:val="a0"/>
        <w:rPr>
          <w:kern w:val="2"/>
        </w:rPr>
      </w:pPr>
      <w:r w:rsidRPr="00FC7835">
        <w:t xml:space="preserve">Full Text: </w:t>
      </w:r>
      <w:hyperlink r:id="rId917" w:history="1">
        <w:r w:rsidR="00656505" w:rsidRPr="00656505">
          <w:rPr>
            <w:rStyle w:val="a5"/>
          </w:rPr>
          <w:t>2009\Ind J Che Tec16, 142.pdf</w:t>
        </w:r>
      </w:hyperlink>
    </w:p>
    <w:p w:rsidR="0009713E" w:rsidRDefault="0009713E" w:rsidP="0009713E">
      <w:pPr>
        <w:pStyle w:val="a0"/>
        <w:rPr>
          <w:kern w:val="0"/>
        </w:rPr>
      </w:pPr>
      <w:r>
        <w:rPr>
          <w:kern w:val="0"/>
        </w:rPr>
        <w:t>Abstract: Batch sorption experiments were carried out using jackfruit leaf powder (JLP), for the removal of methylene blue (MB) from aqueous solutions. Effects of process parameters pH, adsorbent mass, concentration</w:t>
      </w:r>
      <w:r w:rsidR="00F81221">
        <w:rPr>
          <w:kern w:val="0"/>
        </w:rPr>
        <w:t xml:space="preserve"> and </w:t>
      </w:r>
      <w:r>
        <w:rPr>
          <w:kern w:val="0"/>
        </w:rPr>
        <w:t>contact time were studied. The amount of MB adsorbed per unit weight of the adsorbent increased with the increase of pH, concentration</w:t>
      </w:r>
      <w:r w:rsidR="00F81221">
        <w:rPr>
          <w:kern w:val="0"/>
        </w:rPr>
        <w:t xml:space="preserve"> and </w:t>
      </w:r>
      <w:r>
        <w:rPr>
          <w:kern w:val="0"/>
        </w:rPr>
        <w:t>contact time. The pH at the point of zero charge (pH</w:t>
      </w:r>
      <w:r>
        <w:rPr>
          <w:rFonts w:hint="eastAsia"/>
          <w:kern w:val="0"/>
          <w:vertAlign w:val="subscript"/>
        </w:rPr>
        <w:t>pzc</w:t>
      </w:r>
      <w:r>
        <w:rPr>
          <w:kern w:val="0"/>
        </w:rPr>
        <w:t>) of the adsorbent was found to be 3.9. Adsorption of M B was found highly pH dependent. The FTIR of the adsorbent was done to find the potential adsorption sites for interaction with the cationic MB dye. Equilibrium data were fitted to Langmuir</w:t>
      </w:r>
      <w:r w:rsidR="00F81221">
        <w:rPr>
          <w:kern w:val="0"/>
        </w:rPr>
        <w:t xml:space="preserve"> and </w:t>
      </w:r>
      <w:r>
        <w:rPr>
          <w:kern w:val="0"/>
        </w:rPr>
        <w:t xml:space="preserve">Freundlich isotherms. The equilibrium data were best represented by both the isotherms. Maximum dye uptake was found to be 326.32 mg/g, indicating that JLP </w:t>
      </w:r>
      <w:r>
        <w:rPr>
          <w:kern w:val="0"/>
        </w:rPr>
        <w:lastRenderedPageBreak/>
        <w:t>call be used as ail excellent low-cost adsorbent for removal of MB dye. From experimental data it was found that adsorption of MB onto JLP followed Pseudo second order kinetics. The desorption studies showed that most of the MB call be recovered by decreasing the pH of the solution. The experimental result inferred that electrostatic attraction between the surface</w:t>
      </w:r>
      <w:r w:rsidR="00F81221">
        <w:rPr>
          <w:kern w:val="0"/>
        </w:rPr>
        <w:t xml:space="preserve"> and </w:t>
      </w:r>
      <w:r>
        <w:rPr>
          <w:kern w:val="0"/>
        </w:rPr>
        <w:t>the dye is one of the major adsorption mechanisms for binding MB to JLP surface.</w:t>
      </w:r>
    </w:p>
    <w:p w:rsidR="0009713E" w:rsidRDefault="0009713E" w:rsidP="0009713E">
      <w:pPr>
        <w:pStyle w:val="a0"/>
        <w:rPr>
          <w:kern w:val="0"/>
        </w:rPr>
      </w:pPr>
      <w:r>
        <w:rPr>
          <w:kern w:val="0"/>
        </w:rPr>
        <w:t>Keywords: Adsorption, Adsorption Characteristics, Basic-Dyes, Behavior, Biosorption, Isotherms, Jackfruit Leaf Powder, Kinetics, Kinetics, Methylene Blue, Palm-Fruit Bunch, Solid-Waste, Sorption, Waste-Water, Water-Hyacinth</w:t>
      </w:r>
    </w:p>
    <w:p w:rsidR="00953A1B" w:rsidRDefault="00953A1B" w:rsidP="00953A1B">
      <w:pPr>
        <w:pStyle w:val="a0"/>
        <w:rPr>
          <w:kern w:val="0"/>
          <w:szCs w:val="24"/>
        </w:rPr>
      </w:pPr>
      <w:r>
        <w:rPr>
          <w:rFonts w:hint="eastAsia"/>
          <w:kern w:val="0"/>
          <w:szCs w:val="24"/>
        </w:rPr>
        <w:t xml:space="preserve">? </w:t>
      </w:r>
      <w:r>
        <w:rPr>
          <w:kern w:val="0"/>
          <w:szCs w:val="24"/>
        </w:rPr>
        <w:t>Dave, P.N., Subrahmanyam, N.</w:t>
      </w:r>
      <w:r w:rsidR="00F81221">
        <w:rPr>
          <w:kern w:val="0"/>
          <w:szCs w:val="24"/>
        </w:rPr>
        <w:t xml:space="preserve"> and </w:t>
      </w:r>
      <w:r>
        <w:rPr>
          <w:kern w:val="0"/>
          <w:szCs w:val="24"/>
        </w:rPr>
        <w:t>Sharma, S. (2009), Kinetics</w:t>
      </w:r>
      <w:r w:rsidR="00F81221">
        <w:rPr>
          <w:kern w:val="0"/>
          <w:szCs w:val="24"/>
        </w:rPr>
        <w:t xml:space="preserve"> and </w:t>
      </w:r>
      <w:r>
        <w:rPr>
          <w:kern w:val="0"/>
          <w:szCs w:val="24"/>
        </w:rPr>
        <w:t xml:space="preserve">thermodynamics of copper ions removal from aqueous solution by use of activated charcoal. </w:t>
      </w:r>
      <w:r>
        <w:rPr>
          <w:i/>
          <w:iCs/>
          <w:kern w:val="0"/>
          <w:szCs w:val="24"/>
        </w:rPr>
        <w:t>Indian Journal of Chemical Technology</w:t>
      </w:r>
      <w:r>
        <w:rPr>
          <w:kern w:val="0"/>
          <w:szCs w:val="24"/>
        </w:rPr>
        <w:t xml:space="preserve">, </w:t>
      </w:r>
      <w:r>
        <w:rPr>
          <w:b/>
          <w:bCs/>
          <w:kern w:val="0"/>
          <w:szCs w:val="24"/>
        </w:rPr>
        <w:t>16</w:t>
      </w:r>
      <w:r>
        <w:rPr>
          <w:kern w:val="0"/>
          <w:szCs w:val="24"/>
        </w:rPr>
        <w:t xml:space="preserve"> (3), 234-239.</w:t>
      </w:r>
    </w:p>
    <w:p w:rsidR="00953A1B" w:rsidRDefault="00953A1B" w:rsidP="00953A1B">
      <w:pPr>
        <w:pStyle w:val="a0"/>
        <w:rPr>
          <w:kern w:val="0"/>
        </w:rPr>
      </w:pPr>
      <w:r>
        <w:rPr>
          <w:rFonts w:hint="eastAsia"/>
          <w:kern w:val="0"/>
        </w:rPr>
        <w:t xml:space="preserve">Full Text: </w:t>
      </w:r>
      <w:hyperlink r:id="rId918" w:history="1">
        <w:r w:rsidRPr="00953A1B">
          <w:rPr>
            <w:rStyle w:val="a5"/>
            <w:kern w:val="0"/>
          </w:rPr>
          <w:t>2009\Ind J Che Tec16, 234.pdf</w:t>
        </w:r>
      </w:hyperlink>
    </w:p>
    <w:p w:rsidR="00953A1B" w:rsidRDefault="00953A1B" w:rsidP="00953A1B">
      <w:pPr>
        <w:pStyle w:val="a0"/>
        <w:rPr>
          <w:kern w:val="0"/>
          <w:szCs w:val="24"/>
        </w:rPr>
      </w:pPr>
      <w:r>
        <w:rPr>
          <w:kern w:val="0"/>
          <w:szCs w:val="24"/>
        </w:rPr>
        <w:t>Abstract: A study on the adsorption of copper from aqueous solutions on activated charcoal has been carried out with an aim to obtain information on treating effluents from metal finishing industries. The effects of various experimental parameters like contact time, dosage of activated charcoal, initial concentration of metal ions, pH etc. have been investigated. The percentage removal of metal ions increased with the decrease in initial concentration</w:t>
      </w:r>
      <w:r w:rsidR="00F81221">
        <w:rPr>
          <w:kern w:val="0"/>
          <w:szCs w:val="24"/>
        </w:rPr>
        <w:t xml:space="preserve"> and </w:t>
      </w:r>
      <w:r>
        <w:rPr>
          <w:kern w:val="0"/>
          <w:szCs w:val="24"/>
        </w:rPr>
        <w:t>increase in contact time, dosage of adsorbent</w:t>
      </w:r>
      <w:r w:rsidR="00F81221">
        <w:rPr>
          <w:kern w:val="0"/>
          <w:szCs w:val="24"/>
        </w:rPr>
        <w:t xml:space="preserve"> and </w:t>
      </w:r>
      <w:r>
        <w:rPr>
          <w:kern w:val="0"/>
          <w:szCs w:val="24"/>
        </w:rPr>
        <w:t>initial pH. Adsorption data were modeled with the Freundlich</w:t>
      </w:r>
      <w:r w:rsidR="00F81221">
        <w:rPr>
          <w:kern w:val="0"/>
          <w:szCs w:val="24"/>
        </w:rPr>
        <w:t xml:space="preserve"> and </w:t>
      </w:r>
      <w:r>
        <w:rPr>
          <w:kern w:val="0"/>
          <w:szCs w:val="24"/>
        </w:rPr>
        <w:t>Langmuir adsorption isotherms, various first order kinetic equations viz. Lagergren, Natarajan-Khalaf</w:t>
      </w:r>
      <w:r w:rsidR="00F81221">
        <w:rPr>
          <w:kern w:val="0"/>
          <w:szCs w:val="24"/>
        </w:rPr>
        <w:t xml:space="preserve"> and </w:t>
      </w:r>
      <w:r>
        <w:rPr>
          <w:kern w:val="0"/>
          <w:szCs w:val="24"/>
        </w:rPr>
        <w:t>Bhattacharya</w:t>
      </w:r>
      <w:r w:rsidR="00F81221">
        <w:rPr>
          <w:kern w:val="0"/>
          <w:szCs w:val="24"/>
        </w:rPr>
        <w:t xml:space="preserve"> and </w:t>
      </w:r>
      <w:r>
        <w:rPr>
          <w:kern w:val="0"/>
          <w:szCs w:val="24"/>
        </w:rPr>
        <w:t>Venkobachar equations</w:t>
      </w:r>
      <w:r w:rsidR="00F81221">
        <w:rPr>
          <w:kern w:val="0"/>
          <w:szCs w:val="24"/>
        </w:rPr>
        <w:t xml:space="preserve"> and </w:t>
      </w:r>
      <w:r>
        <w:rPr>
          <w:kern w:val="0"/>
          <w:szCs w:val="24"/>
        </w:rPr>
        <w:t>intra particle diffusion model. These isotherms, first order equations</w:t>
      </w:r>
      <w:r w:rsidR="00F81221">
        <w:rPr>
          <w:kern w:val="0"/>
          <w:szCs w:val="24"/>
        </w:rPr>
        <w:t xml:space="preserve"> and </w:t>
      </w:r>
      <w:r>
        <w:rPr>
          <w:kern w:val="0"/>
          <w:szCs w:val="24"/>
        </w:rPr>
        <w:t>models were found to be applicable. The kinetics of adsorption is found to be first order with intra particle diffusion as the rate determining step. Removal of metal ions using activated charcoal is found to be favourable</w:t>
      </w:r>
      <w:r w:rsidR="00F81221">
        <w:rPr>
          <w:kern w:val="0"/>
          <w:szCs w:val="24"/>
        </w:rPr>
        <w:t xml:space="preserve"> and </w:t>
      </w:r>
      <w:r>
        <w:rPr>
          <w:kern w:val="0"/>
          <w:szCs w:val="24"/>
        </w:rPr>
        <w:t>hence it could be used as an adsorbent for the treatment of effluents from metal finishing industries, especially for the removal of metal ions.</w:t>
      </w:r>
    </w:p>
    <w:p w:rsidR="00953A1B" w:rsidRDefault="00953A1B" w:rsidP="00953A1B">
      <w:pPr>
        <w:pStyle w:val="a0"/>
        <w:rPr>
          <w:kern w:val="0"/>
          <w:szCs w:val="24"/>
        </w:rPr>
      </w:pPr>
      <w:r>
        <w:rPr>
          <w:kern w:val="0"/>
          <w:szCs w:val="24"/>
        </w:rPr>
        <w:t xml:space="preserve">Keywords: Activated Charcoal, Adsorbent, Adsorption, Adsorption, Adsorption Isotherms, Adsorption Model, Aqueous Solutions, Basic-Dyes, Carbon, Contact Time, Copper, Diffusion, Equilibrium, Freundlich, Isotherms, Kinetic, Kinetic Model, Kinetics, Langmuir, Metal Ions, Model, Models, </w:t>
      </w:r>
      <w:r>
        <w:rPr>
          <w:rFonts w:hint="eastAsia"/>
          <w:kern w:val="0"/>
          <w:szCs w:val="24"/>
        </w:rPr>
        <w:t>p</w:t>
      </w:r>
      <w:r>
        <w:rPr>
          <w:kern w:val="0"/>
          <w:szCs w:val="24"/>
        </w:rPr>
        <w:t>H, Pore, Removal, Thermodynamics, Treatment</w:t>
      </w:r>
    </w:p>
    <w:p w:rsidR="00656505" w:rsidRDefault="00656505" w:rsidP="00656505">
      <w:pPr>
        <w:pStyle w:val="a0"/>
        <w:rPr>
          <w:kern w:val="0"/>
          <w:szCs w:val="24"/>
        </w:rPr>
      </w:pPr>
      <w:r>
        <w:rPr>
          <w:rFonts w:hint="eastAsia"/>
          <w:kern w:val="0"/>
          <w:szCs w:val="24"/>
        </w:rPr>
        <w:t xml:space="preserve">? </w:t>
      </w:r>
      <w:r>
        <w:rPr>
          <w:kern w:val="0"/>
          <w:szCs w:val="24"/>
        </w:rPr>
        <w:t>Kant, R.</w:t>
      </w:r>
      <w:r w:rsidR="00F81221">
        <w:rPr>
          <w:kern w:val="0"/>
          <w:szCs w:val="24"/>
        </w:rPr>
        <w:t xml:space="preserve"> and </w:t>
      </w:r>
      <w:r>
        <w:rPr>
          <w:kern w:val="0"/>
          <w:szCs w:val="24"/>
        </w:rPr>
        <w:t>Rattan, V.K. (2009), Adsorption of dye Green B from a textile industry effluent using two different samples of activated carbon by static batch method</w:t>
      </w:r>
      <w:r w:rsidR="00F81221">
        <w:rPr>
          <w:kern w:val="0"/>
          <w:szCs w:val="24"/>
        </w:rPr>
        <w:t xml:space="preserve"> and </w:t>
      </w:r>
      <w:r>
        <w:rPr>
          <w:kern w:val="0"/>
          <w:szCs w:val="24"/>
        </w:rPr>
        <w:t xml:space="preserve">continuous process. </w:t>
      </w:r>
      <w:r>
        <w:rPr>
          <w:i/>
          <w:iCs/>
          <w:kern w:val="0"/>
          <w:szCs w:val="24"/>
        </w:rPr>
        <w:t>Indian Journal of Chemical Technology</w:t>
      </w:r>
      <w:r>
        <w:rPr>
          <w:kern w:val="0"/>
          <w:szCs w:val="24"/>
        </w:rPr>
        <w:t xml:space="preserve">, </w:t>
      </w:r>
      <w:r>
        <w:rPr>
          <w:b/>
          <w:bCs/>
          <w:kern w:val="0"/>
          <w:szCs w:val="24"/>
        </w:rPr>
        <w:t>16</w:t>
      </w:r>
      <w:r>
        <w:rPr>
          <w:kern w:val="0"/>
          <w:szCs w:val="24"/>
        </w:rPr>
        <w:t xml:space="preserve"> (3), 240-244.</w:t>
      </w:r>
    </w:p>
    <w:p w:rsidR="00656505" w:rsidRDefault="00656505" w:rsidP="00656505">
      <w:pPr>
        <w:pStyle w:val="a0"/>
        <w:rPr>
          <w:kern w:val="0"/>
        </w:rPr>
      </w:pPr>
      <w:r>
        <w:rPr>
          <w:rFonts w:hint="eastAsia"/>
          <w:kern w:val="0"/>
        </w:rPr>
        <w:t xml:space="preserve">Full Text: </w:t>
      </w:r>
      <w:hyperlink r:id="rId919" w:history="1">
        <w:r w:rsidRPr="00656505">
          <w:rPr>
            <w:rStyle w:val="a5"/>
            <w:kern w:val="0"/>
          </w:rPr>
          <w:t>2009\Ind J Che Tec16, 240.pdf</w:t>
        </w:r>
      </w:hyperlink>
    </w:p>
    <w:p w:rsidR="00656505" w:rsidRDefault="00656505" w:rsidP="00656505">
      <w:pPr>
        <w:pStyle w:val="a0"/>
        <w:rPr>
          <w:kern w:val="0"/>
          <w:szCs w:val="24"/>
        </w:rPr>
      </w:pPr>
      <w:r>
        <w:rPr>
          <w:kern w:val="0"/>
          <w:szCs w:val="24"/>
        </w:rPr>
        <w:t>Abstract: Removal of dye Green B using two different samples of activated carbon by static-batch method</w:t>
      </w:r>
      <w:r w:rsidR="00F81221">
        <w:rPr>
          <w:kern w:val="0"/>
          <w:szCs w:val="24"/>
        </w:rPr>
        <w:t xml:space="preserve"> and </w:t>
      </w:r>
      <w:r>
        <w:rPr>
          <w:kern w:val="0"/>
          <w:szCs w:val="24"/>
        </w:rPr>
        <w:t xml:space="preserve">continuous process was studied. Experimental data on </w:t>
      </w:r>
      <w:r>
        <w:rPr>
          <w:kern w:val="0"/>
          <w:szCs w:val="24"/>
        </w:rPr>
        <w:lastRenderedPageBreak/>
        <w:t>optical density of blank solutions of different concentrations ranging from 10 to 100mg/L</w:t>
      </w:r>
      <w:r w:rsidR="00F81221">
        <w:rPr>
          <w:kern w:val="0"/>
          <w:szCs w:val="24"/>
        </w:rPr>
        <w:t xml:space="preserve"> and </w:t>
      </w:r>
      <w:r>
        <w:rPr>
          <w:kern w:val="0"/>
          <w:szCs w:val="24"/>
        </w:rPr>
        <w:t>optical density of solutions after adsorption on activated carbon samples were taken</w:t>
      </w:r>
      <w:r w:rsidR="00F81221">
        <w:rPr>
          <w:kern w:val="0"/>
          <w:szCs w:val="24"/>
        </w:rPr>
        <w:t xml:space="preserve"> and </w:t>
      </w:r>
      <w:r>
        <w:rPr>
          <w:kern w:val="0"/>
          <w:szCs w:val="24"/>
        </w:rPr>
        <w:t>analyzed. Calibration curves were plotted</w:t>
      </w:r>
      <w:r w:rsidR="00F81221">
        <w:rPr>
          <w:kern w:val="0"/>
          <w:szCs w:val="24"/>
        </w:rPr>
        <w:t xml:space="preserve"> and </w:t>
      </w:r>
      <w:r>
        <w:rPr>
          <w:kern w:val="0"/>
          <w:szCs w:val="24"/>
        </w:rPr>
        <w:t>the amount of dye adsorbed was calculated. The data was fitted to Langmuir</w:t>
      </w:r>
      <w:r w:rsidR="00F81221">
        <w:rPr>
          <w:kern w:val="0"/>
          <w:szCs w:val="24"/>
        </w:rPr>
        <w:t xml:space="preserve"> and </w:t>
      </w:r>
      <w:r>
        <w:rPr>
          <w:kern w:val="0"/>
          <w:szCs w:val="24"/>
        </w:rPr>
        <w:t>Freundlich isotherms for two different carbon samples</w:t>
      </w:r>
      <w:r w:rsidR="00F81221">
        <w:rPr>
          <w:kern w:val="0"/>
          <w:szCs w:val="24"/>
        </w:rPr>
        <w:t xml:space="preserve"> and </w:t>
      </w:r>
      <w:r>
        <w:rPr>
          <w:kern w:val="0"/>
          <w:szCs w:val="24"/>
        </w:rPr>
        <w:t>concentration values. Constants were calculated from the slope</w:t>
      </w:r>
      <w:r w:rsidR="00F81221">
        <w:rPr>
          <w:kern w:val="0"/>
          <w:szCs w:val="24"/>
        </w:rPr>
        <w:t xml:space="preserve"> and </w:t>
      </w:r>
      <w:r>
        <w:rPr>
          <w:kern w:val="0"/>
          <w:szCs w:val="24"/>
        </w:rPr>
        <w:t>intercept values of the isotherm. Coefficient of correlation R-2</w:t>
      </w:r>
      <w:r w:rsidR="00F81221">
        <w:rPr>
          <w:kern w:val="0"/>
          <w:szCs w:val="24"/>
        </w:rPr>
        <w:t xml:space="preserve"> and </w:t>
      </w:r>
      <w:r>
        <w:rPr>
          <w:kern w:val="0"/>
          <w:szCs w:val="24"/>
        </w:rPr>
        <w:t>standard deviation SD were also noted. The data fitted well to the isotherms. Carbon sample C-1 showed considerably higher potential to adsorb the dye Green B as compared to carbon sample C-2. Adsorption was better in batch process in respect to continuous flow method. From the analysis of the data it is shown that both activated carbon samples had a good capacity to remove the textile dye from the residue wastewater.</w:t>
      </w:r>
    </w:p>
    <w:p w:rsidR="00656505" w:rsidRDefault="00656505" w:rsidP="00656505">
      <w:pPr>
        <w:pStyle w:val="a0"/>
        <w:rPr>
          <w:kern w:val="0"/>
          <w:szCs w:val="24"/>
        </w:rPr>
      </w:pPr>
      <w:r>
        <w:rPr>
          <w:kern w:val="0"/>
          <w:szCs w:val="24"/>
        </w:rPr>
        <w:t>Keywords: Activated Carbon, Adsorption, Analysis, Batch, Capacity, Carbon, Density, Dye, Freundlich, Green B, Isotherm, Isotherms, Langmuir, Langmuir</w:t>
      </w:r>
      <w:r w:rsidR="00F81221">
        <w:rPr>
          <w:kern w:val="0"/>
          <w:szCs w:val="24"/>
        </w:rPr>
        <w:t xml:space="preserve"> and </w:t>
      </w:r>
      <w:r>
        <w:rPr>
          <w:kern w:val="0"/>
          <w:szCs w:val="24"/>
        </w:rPr>
        <w:t>Freundlich Isotherms, Removal, Textile Industry Effluent, Wastewater</w:t>
      </w:r>
    </w:p>
    <w:p w:rsidR="00134A85" w:rsidRDefault="00134A85" w:rsidP="00134A85">
      <w:pPr>
        <w:pStyle w:val="a0"/>
        <w:rPr>
          <w:kern w:val="0"/>
        </w:rPr>
      </w:pPr>
      <w:r>
        <w:rPr>
          <w:rFonts w:hint="eastAsia"/>
          <w:kern w:val="0"/>
        </w:rPr>
        <w:t xml:space="preserve">? </w:t>
      </w:r>
      <w:r>
        <w:rPr>
          <w:kern w:val="0"/>
        </w:rPr>
        <w:t>Tharanitharan, V.</w:t>
      </w:r>
      <w:r w:rsidR="00F81221">
        <w:rPr>
          <w:kern w:val="0"/>
        </w:rPr>
        <w:t xml:space="preserve"> and </w:t>
      </w:r>
      <w:r>
        <w:rPr>
          <w:kern w:val="0"/>
        </w:rPr>
        <w:t>Srinivasan, K. (2009), Removal of Ni(II) from water</w:t>
      </w:r>
      <w:r w:rsidR="00F81221">
        <w:rPr>
          <w:kern w:val="0"/>
        </w:rPr>
        <w:t xml:space="preserve"> and </w:t>
      </w:r>
      <w:r>
        <w:rPr>
          <w:kern w:val="0"/>
        </w:rPr>
        <w:t xml:space="preserve">wastewater using modified Duolite XAD-761 resin. </w:t>
      </w:r>
      <w:r>
        <w:rPr>
          <w:i/>
          <w:iCs/>
          <w:kern w:val="0"/>
        </w:rPr>
        <w:t>Indian Journal of Chemical Technology</w:t>
      </w:r>
      <w:r>
        <w:rPr>
          <w:kern w:val="0"/>
        </w:rPr>
        <w:t xml:space="preserve">, </w:t>
      </w:r>
      <w:r>
        <w:rPr>
          <w:b/>
          <w:bCs/>
          <w:kern w:val="0"/>
        </w:rPr>
        <w:t>16</w:t>
      </w:r>
      <w:r>
        <w:rPr>
          <w:kern w:val="0"/>
        </w:rPr>
        <w:t xml:space="preserve"> (3), 245-253.</w:t>
      </w:r>
    </w:p>
    <w:p w:rsidR="00CA4594" w:rsidRDefault="00CA4594" w:rsidP="00CA4594">
      <w:pPr>
        <w:pStyle w:val="a0"/>
        <w:rPr>
          <w:kern w:val="0"/>
        </w:rPr>
      </w:pPr>
      <w:r>
        <w:rPr>
          <w:rFonts w:hint="eastAsia"/>
          <w:kern w:val="0"/>
        </w:rPr>
        <w:t xml:space="preserve">Full Text: </w:t>
      </w:r>
      <w:hyperlink r:id="rId920" w:history="1">
        <w:r w:rsidR="00D52E98" w:rsidRPr="00D52E98">
          <w:rPr>
            <w:rStyle w:val="a5"/>
            <w:kern w:val="0"/>
          </w:rPr>
          <w:t>2009\Ind J Che Tec16, 245.pdf</w:t>
        </w:r>
      </w:hyperlink>
    </w:p>
    <w:p w:rsidR="00134A85" w:rsidRDefault="00134A85" w:rsidP="00134A85">
      <w:pPr>
        <w:pStyle w:val="a0"/>
        <w:rPr>
          <w:kern w:val="0"/>
        </w:rPr>
      </w:pPr>
      <w:r>
        <w:rPr>
          <w:kern w:val="0"/>
        </w:rPr>
        <w:t>Abstract: Complete mixing of cross-linked phenol-formaldehyde polymeric resin (Duolite XAD-761) with anionic surfactant - sodium dioctyl sulphosuccinate (SDOSS)</w:t>
      </w:r>
      <w:r w:rsidR="00F81221">
        <w:rPr>
          <w:kern w:val="0"/>
        </w:rPr>
        <w:t xml:space="preserve"> and </w:t>
      </w:r>
      <w:r>
        <w:rPr>
          <w:kern w:val="0"/>
        </w:rPr>
        <w:t>EDTA-disodium salt (Chelating agent) in an aqueous solution led to the formation of a modified resin. FT-IR studies showed that the immobilization of the extractants results from hydrophobic interaction between the alkyl group of the extractants</w:t>
      </w:r>
      <w:r w:rsidR="00F81221">
        <w:rPr>
          <w:kern w:val="0"/>
        </w:rPr>
        <w:t xml:space="preserve"> and </w:t>
      </w:r>
      <w:r>
        <w:rPr>
          <w:kern w:val="0"/>
        </w:rPr>
        <w:t>phenyl group of the support,</w:t>
      </w:r>
      <w:r w:rsidR="00F81221">
        <w:rPr>
          <w:kern w:val="0"/>
        </w:rPr>
        <w:t xml:space="preserve"> and </w:t>
      </w:r>
      <w:r>
        <w:rPr>
          <w:kern w:val="0"/>
        </w:rPr>
        <w:t>also from other mechanisms like polar or electrostatic forces. The modified resin was used in batch adsorption experiments for the removal of Ni(II) were carried out as a function of agitation time, pH, adsorbent dosage</w:t>
      </w:r>
      <w:r w:rsidR="00F81221">
        <w:rPr>
          <w:kern w:val="0"/>
        </w:rPr>
        <w:t xml:space="preserve"> and </w:t>
      </w:r>
      <w:r>
        <w:rPr>
          <w:kern w:val="0"/>
        </w:rPr>
        <w:t>adsorption capacity. Adsorption data could be interpretated by Langmuir</w:t>
      </w:r>
      <w:r w:rsidR="00F81221">
        <w:rPr>
          <w:kern w:val="0"/>
        </w:rPr>
        <w:t xml:space="preserve"> and </w:t>
      </w:r>
      <w:r>
        <w:rPr>
          <w:kern w:val="0"/>
        </w:rPr>
        <w:t>Freundlich equations. The results showed that the adsorption kinetics of Ni(II) on modified XAD-761 resin could be best described by the pseudo-second-order model. SEM studies revealed the morphological observations of the pure resin, modified resin</w:t>
      </w:r>
      <w:r w:rsidR="00F81221">
        <w:rPr>
          <w:kern w:val="0"/>
        </w:rPr>
        <w:t xml:space="preserve"> and </w:t>
      </w:r>
      <w:r>
        <w:rPr>
          <w:kern w:val="0"/>
        </w:rPr>
        <w:t>Ni(II) adsorbed modified resin. The adsorbent was also tested for the removal of Ni(II) from synthetic wastewater.</w:t>
      </w:r>
    </w:p>
    <w:p w:rsidR="00134A85" w:rsidRDefault="00134A85" w:rsidP="00134A85">
      <w:pPr>
        <w:pStyle w:val="a0"/>
        <w:rPr>
          <w:kern w:val="0"/>
        </w:rPr>
      </w:pPr>
      <w:r>
        <w:rPr>
          <w:kern w:val="0"/>
        </w:rPr>
        <w:t>Keywords: Activated Carbon, Adsorbent, Adsorption, Adsorption Isotherms, Adsorption Kinetics, Amberlite XAD-4, Aqueous-Solution, Atomic-Absorption Spectrometry, Biosorption, Chromium(VI), Duolite XAD-761, EDTA, Extraction, FT-IR, Kinetics, Metal Ions, Ni(II) Adsorption, SDOSS, SEM, Wastewater, XAD7 Impregnated Resins</w:t>
      </w:r>
    </w:p>
    <w:p w:rsidR="006D21C1" w:rsidRDefault="006D21C1" w:rsidP="006D21C1">
      <w:pPr>
        <w:pStyle w:val="a0"/>
        <w:rPr>
          <w:kern w:val="0"/>
        </w:rPr>
      </w:pPr>
      <w:r>
        <w:rPr>
          <w:rFonts w:hint="eastAsia"/>
          <w:kern w:val="0"/>
        </w:rPr>
        <w:t xml:space="preserve">? </w:t>
      </w:r>
      <w:r>
        <w:rPr>
          <w:kern w:val="0"/>
        </w:rPr>
        <w:t>Mohapatra, M., Khatun, S.</w:t>
      </w:r>
      <w:r w:rsidR="00F81221">
        <w:rPr>
          <w:kern w:val="0"/>
        </w:rPr>
        <w:t xml:space="preserve"> and </w:t>
      </w:r>
      <w:r>
        <w:rPr>
          <w:kern w:val="0"/>
        </w:rPr>
        <w:t xml:space="preserve">Anand, S. (2009), Adsorption behaviour of Pb(II), </w:t>
      </w:r>
      <w:r>
        <w:rPr>
          <w:kern w:val="0"/>
        </w:rPr>
        <w:lastRenderedPageBreak/>
        <w:t>Cd(II)</w:t>
      </w:r>
      <w:r w:rsidR="00F81221">
        <w:rPr>
          <w:kern w:val="0"/>
        </w:rPr>
        <w:t xml:space="preserve"> and </w:t>
      </w:r>
      <w:r>
        <w:rPr>
          <w:kern w:val="0"/>
        </w:rPr>
        <w:t xml:space="preserve">Zn(II) on NALCO plant sand. </w:t>
      </w:r>
      <w:r>
        <w:rPr>
          <w:i/>
          <w:iCs/>
          <w:kern w:val="0"/>
        </w:rPr>
        <w:t>Indian Journal of Chemical Technology</w:t>
      </w:r>
      <w:r>
        <w:rPr>
          <w:kern w:val="0"/>
        </w:rPr>
        <w:t xml:space="preserve">, </w:t>
      </w:r>
      <w:r>
        <w:rPr>
          <w:b/>
          <w:bCs/>
          <w:kern w:val="0"/>
        </w:rPr>
        <w:t>16</w:t>
      </w:r>
      <w:r>
        <w:rPr>
          <w:kern w:val="0"/>
        </w:rPr>
        <w:t xml:space="preserve"> (4), 291-300.</w:t>
      </w:r>
    </w:p>
    <w:p w:rsidR="00CA4594" w:rsidRDefault="00CA4594" w:rsidP="00CA4594">
      <w:pPr>
        <w:pStyle w:val="a0"/>
        <w:rPr>
          <w:kern w:val="0"/>
        </w:rPr>
      </w:pPr>
      <w:r>
        <w:rPr>
          <w:rFonts w:hint="eastAsia"/>
          <w:kern w:val="0"/>
        </w:rPr>
        <w:t xml:space="preserve">Full Text: </w:t>
      </w:r>
      <w:hyperlink r:id="rId921" w:history="1">
        <w:r w:rsidR="003829DC" w:rsidRPr="003829DC">
          <w:rPr>
            <w:rStyle w:val="a5"/>
            <w:kern w:val="0"/>
          </w:rPr>
          <w:t>2009\Ind J Che Tec16, 291.pdf</w:t>
        </w:r>
      </w:hyperlink>
    </w:p>
    <w:p w:rsidR="006D21C1" w:rsidRDefault="006D21C1" w:rsidP="006D21C1">
      <w:pPr>
        <w:pStyle w:val="a0"/>
        <w:rPr>
          <w:kern w:val="0"/>
        </w:rPr>
      </w:pPr>
      <w:r>
        <w:rPr>
          <w:kern w:val="0"/>
        </w:rPr>
        <w:t>Abstract: Present investigation evaluates the adsorption of Pb(II), Cd(II)</w:t>
      </w:r>
      <w:r w:rsidR="00F81221">
        <w:rPr>
          <w:kern w:val="0"/>
        </w:rPr>
        <w:t xml:space="preserve"> and </w:t>
      </w:r>
      <w:r>
        <w:rPr>
          <w:kern w:val="0"/>
        </w:rPr>
        <w:t>Zn(II) ions on plant sand of National Aluminum Company, Orissa, India. The XRD pattern</w:t>
      </w:r>
      <w:r w:rsidR="00F81221">
        <w:rPr>
          <w:kern w:val="0"/>
        </w:rPr>
        <w:t xml:space="preserve"> and </w:t>
      </w:r>
      <w:r>
        <w:rPr>
          <w:kern w:val="0"/>
        </w:rPr>
        <w:t>FTIR spectra showed goethite, alumina</w:t>
      </w:r>
      <w:r w:rsidR="00F81221">
        <w:rPr>
          <w:kern w:val="0"/>
        </w:rPr>
        <w:t xml:space="preserve"> and </w:t>
      </w:r>
      <w:r>
        <w:rPr>
          <w:kern w:val="0"/>
        </w:rPr>
        <w:t>silica as the major phases in the sand. Effects of various parameters such as time, pH, temperature, metal ions</w:t>
      </w:r>
      <w:r w:rsidR="00F81221">
        <w:rPr>
          <w:kern w:val="0"/>
        </w:rPr>
        <w:t xml:space="preserve"> and </w:t>
      </w:r>
      <w:r>
        <w:rPr>
          <w:kern w:val="0"/>
        </w:rPr>
        <w:t>adsorbent concentrations were studied. The adsorption followed pseudo second order kinetics for all the three cations. The proton stoichiometry was dependent on the nature of the metal ion showing the order Zn(II)&gt;Cd(II)&gt;Pb(II). The adsorption was found to be in the order Zn(II)&gt;Cd(II)&gt; Pb(II) with loading capacities of 47.79, 42.2</w:t>
      </w:r>
      <w:r w:rsidR="00F81221">
        <w:rPr>
          <w:kern w:val="0"/>
        </w:rPr>
        <w:t xml:space="preserve"> and </w:t>
      </w:r>
      <w:r>
        <w:rPr>
          <w:kern w:val="0"/>
        </w:rPr>
        <w:t>22.8 mg g</w:t>
      </w:r>
      <w:r>
        <w:rPr>
          <w:rFonts w:hint="eastAsia"/>
          <w:kern w:val="0"/>
          <w:vertAlign w:val="superscript"/>
        </w:rPr>
        <w:t>-1</w:t>
      </w:r>
      <w:r>
        <w:rPr>
          <w:kern w:val="0"/>
        </w:rPr>
        <w:t xml:space="preserve"> of plant sand sample. The adsorption data was fitted to various models. The thermodynamic parameters Δ</w:t>
      </w:r>
      <w:r w:rsidRPr="001346CF">
        <w:rPr>
          <w:i/>
          <w:kern w:val="0"/>
        </w:rPr>
        <w:t>G</w:t>
      </w:r>
      <w:r w:rsidR="000355C4">
        <w:rPr>
          <w:kern w:val="0"/>
        </w:rPr>
        <w:t>°</w:t>
      </w:r>
      <w:r>
        <w:rPr>
          <w:kern w:val="0"/>
        </w:rPr>
        <w:t>, Δ</w:t>
      </w:r>
      <w:r w:rsidRPr="001346CF">
        <w:rPr>
          <w:i/>
          <w:kern w:val="0"/>
        </w:rPr>
        <w:t>H</w:t>
      </w:r>
      <w:r w:rsidR="000355C4">
        <w:rPr>
          <w:kern w:val="0"/>
        </w:rPr>
        <w:t>°</w:t>
      </w:r>
      <w:r w:rsidR="00F81221">
        <w:rPr>
          <w:kern w:val="0"/>
        </w:rPr>
        <w:t xml:space="preserve"> and </w:t>
      </w:r>
      <w:r>
        <w:rPr>
          <w:kern w:val="0"/>
        </w:rPr>
        <w:t>Δ</w:t>
      </w:r>
      <w:r w:rsidRPr="001346CF">
        <w:rPr>
          <w:i/>
          <w:kern w:val="0"/>
        </w:rPr>
        <w:t>S</w:t>
      </w:r>
      <w:r w:rsidR="000355C4">
        <w:rPr>
          <w:kern w:val="0"/>
        </w:rPr>
        <w:t>°</w:t>
      </w:r>
      <w:r>
        <w:rPr>
          <w:kern w:val="0"/>
        </w:rPr>
        <w:t xml:space="preserve"> have been evaluated. The XRD patterns of Pb(II) adsorbed plant sand sample showed that the crystallinity of silica phase was affected with the appearance of (110) plane</w:t>
      </w:r>
      <w:r w:rsidR="00F81221">
        <w:rPr>
          <w:kern w:val="0"/>
        </w:rPr>
        <w:t xml:space="preserve"> and </w:t>
      </w:r>
      <w:r>
        <w:rPr>
          <w:kern w:val="0"/>
        </w:rPr>
        <w:t>disappearance of (011) plane. It also disturbed the (110) plane of goethite. Cd(II) adsorbed sample showed disappearance of (011) plane of silica phase</w:t>
      </w:r>
      <w:r w:rsidR="00F81221">
        <w:rPr>
          <w:kern w:val="0"/>
        </w:rPr>
        <w:t xml:space="preserve"> and </w:t>
      </w:r>
      <w:r>
        <w:rPr>
          <w:kern w:val="0"/>
        </w:rPr>
        <w:t>transformation of alumina phase Al</w:t>
      </w:r>
      <w:r w:rsidRPr="001346CF">
        <w:rPr>
          <w:kern w:val="0"/>
          <w:vertAlign w:val="subscript"/>
        </w:rPr>
        <w:t>2</w:t>
      </w:r>
      <w:r>
        <w:rPr>
          <w:kern w:val="0"/>
        </w:rPr>
        <w:t>O</w:t>
      </w:r>
      <w:r w:rsidRPr="001346CF">
        <w:rPr>
          <w:kern w:val="0"/>
          <w:vertAlign w:val="subscript"/>
        </w:rPr>
        <w:t>3</w:t>
      </w:r>
      <w:r>
        <w:rPr>
          <w:kern w:val="0"/>
        </w:rPr>
        <w:t xml:space="preserve"> to sigma-Al</w:t>
      </w:r>
      <w:r w:rsidRPr="001346CF">
        <w:rPr>
          <w:kern w:val="0"/>
          <w:vertAlign w:val="subscript"/>
        </w:rPr>
        <w:t>2</w:t>
      </w:r>
      <w:r>
        <w:rPr>
          <w:kern w:val="0"/>
        </w:rPr>
        <w:t>O</w:t>
      </w:r>
      <w:r w:rsidRPr="001346CF">
        <w:rPr>
          <w:kern w:val="0"/>
          <w:vertAlign w:val="subscript"/>
        </w:rPr>
        <w:t>3</w:t>
      </w:r>
      <w:r>
        <w:rPr>
          <w:kern w:val="0"/>
        </w:rPr>
        <w:t>. The adsorption of Zn(II) showed. prominence of (110) plane of goethite with disappearance of sigma-Al</w:t>
      </w:r>
      <w:r w:rsidRPr="001346CF">
        <w:rPr>
          <w:kern w:val="0"/>
          <w:vertAlign w:val="subscript"/>
        </w:rPr>
        <w:t>2</w:t>
      </w:r>
      <w:r>
        <w:rPr>
          <w:kern w:val="0"/>
        </w:rPr>
        <w:t>O</w:t>
      </w:r>
      <w:r w:rsidRPr="001346CF">
        <w:rPr>
          <w:kern w:val="0"/>
          <w:vertAlign w:val="subscript"/>
        </w:rPr>
        <w:t>3</w:t>
      </w:r>
      <w:r>
        <w:rPr>
          <w:kern w:val="0"/>
        </w:rPr>
        <w:t xml:space="preserve"> phase.</w:t>
      </w:r>
    </w:p>
    <w:p w:rsidR="006D21C1" w:rsidRDefault="006D21C1" w:rsidP="006D21C1">
      <w:pPr>
        <w:pStyle w:val="a0"/>
        <w:rPr>
          <w:kern w:val="0"/>
        </w:rPr>
      </w:pPr>
      <w:r>
        <w:rPr>
          <w:kern w:val="0"/>
        </w:rPr>
        <w:t xml:space="preserve">Keywords: Adsorbent, Adsorption, Alumina, Behaviour, Cadmium, Cd(II), Crystallinity, Data, Fly-Ash, FTIR, FTIR Spectra, Goethite, Goethite Alpha-Feooh, Heavy Metal Ions, India, Investigation, Ions, Isotherms, Kinetics, Kinetics, Loading, Metal, Metal Ion, Metal Ions, Models, Pattern, Pb(II), </w:t>
      </w:r>
      <w:r>
        <w:rPr>
          <w:rFonts w:hint="eastAsia"/>
          <w:kern w:val="0"/>
        </w:rPr>
        <w:t>p</w:t>
      </w:r>
      <w:r>
        <w:rPr>
          <w:kern w:val="0"/>
        </w:rPr>
        <w:t>H, Plant, Plant Sand, Pseudo Second Order, Pseudo Second Order Kinetics, Pseudo-Second-Order, Removal, Retention, Sand, Second Order, Second Order Kinetics, Second-Order, Silica, Sorption, Temperature, Thermodynamic, Thermodynamic Parameters, Transformation, XRD, Zinc, Zn(II), Zn(II) Ions</w:t>
      </w:r>
    </w:p>
    <w:p w:rsidR="000B2F82" w:rsidRDefault="000B2F82" w:rsidP="000B2F82">
      <w:pPr>
        <w:pStyle w:val="a0"/>
        <w:rPr>
          <w:kern w:val="0"/>
          <w:szCs w:val="24"/>
        </w:rPr>
      </w:pPr>
      <w:r>
        <w:rPr>
          <w:rFonts w:hint="eastAsia"/>
          <w:kern w:val="0"/>
          <w:szCs w:val="24"/>
        </w:rPr>
        <w:t xml:space="preserve">? </w:t>
      </w:r>
      <w:r>
        <w:rPr>
          <w:kern w:val="0"/>
          <w:szCs w:val="24"/>
        </w:rPr>
        <w:t>Sivakumar, P.</w:t>
      </w:r>
      <w:r w:rsidR="00F81221">
        <w:rPr>
          <w:kern w:val="0"/>
          <w:szCs w:val="24"/>
        </w:rPr>
        <w:t xml:space="preserve"> and </w:t>
      </w:r>
      <w:r>
        <w:rPr>
          <w:kern w:val="0"/>
          <w:szCs w:val="24"/>
        </w:rPr>
        <w:t>Palanisamy, P.N. (2009), Packed bed column studies for the removal of Acid blue 92</w:t>
      </w:r>
      <w:r w:rsidR="00F81221">
        <w:rPr>
          <w:kern w:val="0"/>
          <w:szCs w:val="24"/>
        </w:rPr>
        <w:t xml:space="preserve"> and </w:t>
      </w:r>
      <w:r>
        <w:rPr>
          <w:kern w:val="0"/>
          <w:szCs w:val="24"/>
        </w:rPr>
        <w:t xml:space="preserve">Basic red 29 using non-conventional adsorbent. </w:t>
      </w:r>
      <w:r>
        <w:rPr>
          <w:i/>
          <w:iCs/>
          <w:kern w:val="0"/>
          <w:szCs w:val="24"/>
        </w:rPr>
        <w:t>Indian Journal of Chemical Technology</w:t>
      </w:r>
      <w:r>
        <w:rPr>
          <w:kern w:val="0"/>
          <w:szCs w:val="24"/>
        </w:rPr>
        <w:t xml:space="preserve">, </w:t>
      </w:r>
      <w:r>
        <w:rPr>
          <w:b/>
          <w:bCs/>
          <w:kern w:val="0"/>
          <w:szCs w:val="24"/>
        </w:rPr>
        <w:t>16</w:t>
      </w:r>
      <w:r>
        <w:rPr>
          <w:kern w:val="0"/>
          <w:szCs w:val="24"/>
        </w:rPr>
        <w:t xml:space="preserve"> (4), 301-307.</w:t>
      </w:r>
    </w:p>
    <w:p w:rsidR="000B2F82" w:rsidRDefault="000B2F82" w:rsidP="000B2F82">
      <w:pPr>
        <w:pStyle w:val="a0"/>
        <w:rPr>
          <w:kern w:val="0"/>
        </w:rPr>
      </w:pPr>
      <w:r>
        <w:rPr>
          <w:rFonts w:hint="eastAsia"/>
          <w:kern w:val="0"/>
        </w:rPr>
        <w:t xml:space="preserve">Full Text: </w:t>
      </w:r>
      <w:hyperlink r:id="rId922" w:history="1">
        <w:r w:rsidRPr="000B2F82">
          <w:rPr>
            <w:rStyle w:val="a5"/>
            <w:kern w:val="0"/>
          </w:rPr>
          <w:t>2009\Ind J Che Tec16, 301.pdf</w:t>
        </w:r>
      </w:hyperlink>
    </w:p>
    <w:p w:rsidR="000B2F82" w:rsidRDefault="000B2F82" w:rsidP="000B2F82">
      <w:pPr>
        <w:pStyle w:val="a0"/>
        <w:rPr>
          <w:kern w:val="0"/>
          <w:szCs w:val="24"/>
        </w:rPr>
      </w:pPr>
      <w:r>
        <w:rPr>
          <w:kern w:val="0"/>
          <w:szCs w:val="24"/>
        </w:rPr>
        <w:t>Abstract: The adsorptive removal of Acid blue 92</w:t>
      </w:r>
      <w:r w:rsidR="00F81221">
        <w:rPr>
          <w:kern w:val="0"/>
          <w:szCs w:val="24"/>
        </w:rPr>
        <w:t xml:space="preserve"> and </w:t>
      </w:r>
      <w:r>
        <w:rPr>
          <w:kern w:val="0"/>
          <w:szCs w:val="24"/>
        </w:rPr>
        <w:t>Basic red 29 dyes was achieved using a packed column prepared by Euphorbia antiquorum L activated carbon. The effects of various factors like influent concentration, flow rate</w:t>
      </w:r>
      <w:r w:rsidR="00F81221">
        <w:rPr>
          <w:kern w:val="0"/>
          <w:szCs w:val="24"/>
        </w:rPr>
        <w:t xml:space="preserve"> and </w:t>
      </w:r>
      <w:r>
        <w:rPr>
          <w:kern w:val="0"/>
          <w:szCs w:val="24"/>
        </w:rPr>
        <w:t>bed height were analysed. The column experiments using Euphorbia antiquorum L activated carbon showed that adsorption efficiency increases with increase in the influent concentration</w:t>
      </w:r>
      <w:r w:rsidR="00F81221">
        <w:rPr>
          <w:kern w:val="0"/>
          <w:szCs w:val="24"/>
        </w:rPr>
        <w:t xml:space="preserve"> and </w:t>
      </w:r>
      <w:r>
        <w:rPr>
          <w:kern w:val="0"/>
          <w:szCs w:val="24"/>
        </w:rPr>
        <w:t>bed depth</w:t>
      </w:r>
      <w:r w:rsidR="00F81221">
        <w:rPr>
          <w:kern w:val="0"/>
          <w:szCs w:val="24"/>
        </w:rPr>
        <w:t xml:space="preserve"> and </w:t>
      </w:r>
      <w:r>
        <w:rPr>
          <w:kern w:val="0"/>
          <w:szCs w:val="24"/>
        </w:rPr>
        <w:t>decreases with increasing flow rate. Column adsorption performance was evaluated using Thomas</w:t>
      </w:r>
      <w:r w:rsidR="00F81221">
        <w:rPr>
          <w:kern w:val="0"/>
          <w:szCs w:val="24"/>
        </w:rPr>
        <w:t xml:space="preserve"> and </w:t>
      </w:r>
      <w:r>
        <w:rPr>
          <w:kern w:val="0"/>
          <w:szCs w:val="24"/>
        </w:rPr>
        <w:t>Yoon-Nelson kinetic models. The adsorption capacity calculated by Thomas</w:t>
      </w:r>
      <w:r w:rsidR="00F81221">
        <w:rPr>
          <w:kern w:val="0"/>
          <w:szCs w:val="24"/>
        </w:rPr>
        <w:t xml:space="preserve"> and </w:t>
      </w:r>
      <w:r>
        <w:rPr>
          <w:kern w:val="0"/>
          <w:szCs w:val="24"/>
        </w:rPr>
        <w:t xml:space="preserve">Yoon-Nelson models </w:t>
      </w:r>
      <w:r>
        <w:rPr>
          <w:kern w:val="0"/>
          <w:szCs w:val="24"/>
        </w:rPr>
        <w:lastRenderedPageBreak/>
        <w:t>were compared with the experimental adsorption capacity. The Yoon-Nelson model describes the adsorption behaviour of the selected adsorbent-adsorbate system more reasonably than Thomas model</w:t>
      </w:r>
      <w:r w:rsidR="00F81221">
        <w:rPr>
          <w:kern w:val="0"/>
          <w:szCs w:val="24"/>
        </w:rPr>
        <w:t xml:space="preserve"> and </w:t>
      </w:r>
      <w:r>
        <w:rPr>
          <w:kern w:val="0"/>
          <w:szCs w:val="24"/>
        </w:rPr>
        <w:t>Basic red 29 adsorption behaviour fits exceptionally well with the Yoon-Nelson model.</w:t>
      </w:r>
    </w:p>
    <w:p w:rsidR="000B2F82" w:rsidRDefault="000B2F82" w:rsidP="000B2F82">
      <w:pPr>
        <w:pStyle w:val="a0"/>
        <w:rPr>
          <w:kern w:val="0"/>
          <w:szCs w:val="24"/>
        </w:rPr>
      </w:pPr>
      <w:r>
        <w:rPr>
          <w:kern w:val="0"/>
          <w:szCs w:val="24"/>
        </w:rPr>
        <w:t>Keywords: Acid Blue 92, Activated Carbon, Activated Carbons, Adsorption, Adsorption, Adsorption Capacity, Aqueous-Solution, Basic Red 29, Biosorption, Capacity, Column, Dried Rhizopus-Arrhizus, Dye, Dyes, Euphorbia Antiquorum L, Fixed Bed Column, Ions, Kinetic, Kinetic Models, Methylene-Blue, Model, Models, Removal, Rice Husk, Sorption, System, Thomas Model</w:t>
      </w:r>
    </w:p>
    <w:p w:rsidR="006D21C1" w:rsidRDefault="006D21C1" w:rsidP="006D21C1">
      <w:pPr>
        <w:pStyle w:val="a0"/>
        <w:rPr>
          <w:kern w:val="0"/>
        </w:rPr>
      </w:pPr>
      <w:r>
        <w:rPr>
          <w:rFonts w:hint="eastAsia"/>
          <w:kern w:val="0"/>
        </w:rPr>
        <w:t xml:space="preserve">? </w:t>
      </w:r>
      <w:r>
        <w:rPr>
          <w:kern w:val="0"/>
        </w:rPr>
        <w:t>Kumar, P.R., Rao, M.V., Babu, N.C., Kumar, P.V.R.</w:t>
      </w:r>
      <w:r w:rsidR="00F81221">
        <w:rPr>
          <w:kern w:val="0"/>
        </w:rPr>
        <w:t xml:space="preserve"> and </w:t>
      </w:r>
      <w:r>
        <w:rPr>
          <w:kern w:val="0"/>
        </w:rPr>
        <w:t xml:space="preserve">Venkateswarlu, P. (2009), Utilization of Erythrina variegata orientalis leaf powder for the removal of cadmium. </w:t>
      </w:r>
      <w:r>
        <w:rPr>
          <w:i/>
          <w:iCs/>
          <w:kern w:val="0"/>
        </w:rPr>
        <w:t>Indian Journal of Chemical Technology</w:t>
      </w:r>
      <w:r>
        <w:rPr>
          <w:kern w:val="0"/>
        </w:rPr>
        <w:t xml:space="preserve">, </w:t>
      </w:r>
      <w:r>
        <w:rPr>
          <w:b/>
          <w:bCs/>
          <w:kern w:val="0"/>
        </w:rPr>
        <w:t>16</w:t>
      </w:r>
      <w:r>
        <w:rPr>
          <w:kern w:val="0"/>
        </w:rPr>
        <w:t xml:space="preserve"> (4), 308-316.</w:t>
      </w:r>
    </w:p>
    <w:p w:rsidR="00CA4594" w:rsidRDefault="00CA4594" w:rsidP="00CA4594">
      <w:pPr>
        <w:pStyle w:val="a0"/>
        <w:rPr>
          <w:kern w:val="0"/>
        </w:rPr>
      </w:pPr>
      <w:r>
        <w:rPr>
          <w:rFonts w:hint="eastAsia"/>
          <w:kern w:val="0"/>
        </w:rPr>
        <w:t xml:space="preserve">Full Text: </w:t>
      </w:r>
      <w:hyperlink r:id="rId923" w:history="1">
        <w:r w:rsidR="000B2F82" w:rsidRPr="000B2F82">
          <w:rPr>
            <w:rStyle w:val="a5"/>
            <w:kern w:val="0"/>
          </w:rPr>
          <w:t>2009\Ind J Che Tec16, 308.pdf</w:t>
        </w:r>
      </w:hyperlink>
    </w:p>
    <w:p w:rsidR="006D21C1" w:rsidRDefault="006D21C1" w:rsidP="006D21C1">
      <w:pPr>
        <w:pStyle w:val="a0"/>
        <w:rPr>
          <w:kern w:val="0"/>
        </w:rPr>
      </w:pPr>
      <w:r>
        <w:rPr>
          <w:kern w:val="0"/>
        </w:rPr>
        <w:t>Abstract: Removal of cadmium, a priority pollutant, is carried out by abundantly</w:t>
      </w:r>
      <w:r w:rsidR="00F81221">
        <w:rPr>
          <w:kern w:val="0"/>
        </w:rPr>
        <w:t xml:space="preserve"> and </w:t>
      </w:r>
      <w:r>
        <w:rPr>
          <w:kern w:val="0"/>
        </w:rPr>
        <w:t>freely available Erythrina variegata orientalis (Indian coral tree) leaf powder. The extent of removal depends on initial concentration of cadmium in the solution, pH of the solution, temperature, etc. A significant increase in percentage removal of cadmium is observed as pH is increased from 2 to 4. The percentage removal of cadmium increases marginally for pH of 4 to 7. As the initial concentration of cadmium is increased from 23 to 188 mg/L, the % removal is decreased from 98.8 to 86.1%. Freundlich</w:t>
      </w:r>
      <w:r w:rsidR="00F81221">
        <w:rPr>
          <w:kern w:val="0"/>
        </w:rPr>
        <w:t xml:space="preserve"> and </w:t>
      </w:r>
      <w:r>
        <w:rPr>
          <w:kern w:val="0"/>
        </w:rPr>
        <w:t>Langmuir isotherm models well describe the data indicating favourable biosorption. The biosorption is endothermic, irreversible</w:t>
      </w:r>
      <w:r w:rsidR="00F81221">
        <w:rPr>
          <w:kern w:val="0"/>
        </w:rPr>
        <w:t xml:space="preserve"> and </w:t>
      </w:r>
      <w:r>
        <w:rPr>
          <w:kern w:val="0"/>
        </w:rPr>
        <w:t>follows pseudo-second-order kinetics,</w:t>
      </w:r>
      <w:r w:rsidR="00F81221">
        <w:rPr>
          <w:kern w:val="0"/>
        </w:rPr>
        <w:t xml:space="preserve"> and </w:t>
      </w:r>
      <w:r>
        <w:rPr>
          <w:kern w:val="0"/>
        </w:rPr>
        <w:t>rate constant is 0.23 g/(mg-min) for a dosage of 40 g/L. The equilibrium agitation time is 50 min.</w:t>
      </w:r>
    </w:p>
    <w:p w:rsidR="006D21C1" w:rsidRDefault="006D21C1" w:rsidP="006D21C1">
      <w:pPr>
        <w:pStyle w:val="a0"/>
        <w:rPr>
          <w:kern w:val="0"/>
        </w:rPr>
      </w:pPr>
      <w:r>
        <w:rPr>
          <w:kern w:val="0"/>
        </w:rPr>
        <w:t xml:space="preserve">Keywords: Adsorption, Agitation, Aqueous-Solutions, Biosorbent, Biosorption, Cadmium, Cd(II), Concentration, Data, Endothermic, Equilibrium, Erythrina Variegata Orientalis, Freundlich, Ions, Isotherm, Kinetics, Langmuir, Langmuir Isotherm, Models, </w:t>
      </w:r>
      <w:r>
        <w:rPr>
          <w:rFonts w:hint="eastAsia"/>
          <w:kern w:val="0"/>
        </w:rPr>
        <w:t>p</w:t>
      </w:r>
      <w:r>
        <w:rPr>
          <w:kern w:val="0"/>
        </w:rPr>
        <w:t>H, Pseudo Second Order, Pseudo Second Order Kinetics, Pseudo-Second-Order, Pseudo-Second-Order Kinetics, Rate Constant, Removal, Solution, Temperature, Thermodynamics, Waste-Water</w:t>
      </w:r>
    </w:p>
    <w:p w:rsidR="000B2F82" w:rsidRDefault="000B2F82" w:rsidP="000B2F82">
      <w:pPr>
        <w:pStyle w:val="a0"/>
        <w:rPr>
          <w:kern w:val="0"/>
          <w:szCs w:val="24"/>
        </w:rPr>
      </w:pPr>
      <w:r>
        <w:rPr>
          <w:rFonts w:hint="eastAsia"/>
          <w:kern w:val="0"/>
          <w:szCs w:val="24"/>
        </w:rPr>
        <w:t xml:space="preserve">? </w:t>
      </w:r>
      <w:r>
        <w:rPr>
          <w:kern w:val="0"/>
          <w:szCs w:val="24"/>
        </w:rPr>
        <w:t>Borah, L.</w:t>
      </w:r>
      <w:r w:rsidR="00F81221">
        <w:rPr>
          <w:kern w:val="0"/>
          <w:szCs w:val="24"/>
        </w:rPr>
        <w:t xml:space="preserve"> and </w:t>
      </w:r>
      <w:r>
        <w:rPr>
          <w:kern w:val="0"/>
          <w:szCs w:val="24"/>
        </w:rPr>
        <w:t xml:space="preserve">Dey, N.C. (2009), Removal of fluoride from low TDS water using low grade coal. </w:t>
      </w:r>
      <w:r>
        <w:rPr>
          <w:i/>
          <w:iCs/>
          <w:kern w:val="0"/>
          <w:szCs w:val="24"/>
        </w:rPr>
        <w:t>Indian Journal of Chemical Technology</w:t>
      </w:r>
      <w:r>
        <w:rPr>
          <w:kern w:val="0"/>
          <w:szCs w:val="24"/>
        </w:rPr>
        <w:t xml:space="preserve">, </w:t>
      </w:r>
      <w:r>
        <w:rPr>
          <w:b/>
          <w:bCs/>
          <w:kern w:val="0"/>
          <w:szCs w:val="24"/>
        </w:rPr>
        <w:t>16</w:t>
      </w:r>
      <w:r>
        <w:rPr>
          <w:kern w:val="0"/>
          <w:szCs w:val="24"/>
        </w:rPr>
        <w:t xml:space="preserve"> (4), 361-363.</w:t>
      </w:r>
    </w:p>
    <w:p w:rsidR="000B2F82" w:rsidRDefault="000B2F82" w:rsidP="000B2F82">
      <w:pPr>
        <w:pStyle w:val="a0"/>
        <w:rPr>
          <w:kern w:val="0"/>
        </w:rPr>
      </w:pPr>
      <w:r>
        <w:rPr>
          <w:rFonts w:hint="eastAsia"/>
          <w:kern w:val="0"/>
        </w:rPr>
        <w:t xml:space="preserve">Full Text: </w:t>
      </w:r>
      <w:hyperlink r:id="rId924" w:history="1">
        <w:r w:rsidRPr="000B2F82">
          <w:rPr>
            <w:rStyle w:val="a5"/>
            <w:kern w:val="0"/>
          </w:rPr>
          <w:t>2009\Ind J Che Tec16, 361.pdf</w:t>
        </w:r>
      </w:hyperlink>
    </w:p>
    <w:p w:rsidR="000B2F82" w:rsidRDefault="000B2F82" w:rsidP="000B2F82">
      <w:pPr>
        <w:pStyle w:val="a0"/>
        <w:rPr>
          <w:kern w:val="0"/>
          <w:szCs w:val="24"/>
        </w:rPr>
      </w:pPr>
      <w:r>
        <w:rPr>
          <w:kern w:val="0"/>
          <w:szCs w:val="24"/>
        </w:rPr>
        <w:t xml:space="preserve">Abstract: Defluoridation of ground water using low grade Assam coal as an adsorbent is studied by batch sorption experiments. Effect of the variables, like quantity of adsorbent, contact time, particle size of the adsorbent are examined to establish the optimum conditions. The results show that the low grade Assam coal, collected from Tirap colliery of the North Eastern coalfield, after pretreatment, can be used as an effective adsorbent in removing fluoride from ground water. The optimum conditions </w:t>
      </w:r>
      <w:r>
        <w:rPr>
          <w:kern w:val="0"/>
          <w:szCs w:val="24"/>
        </w:rPr>
        <w:lastRenderedPageBreak/>
        <w:t>for the efficient removal of fluoride are observed to be (i) quantity of adsorbent = 1.25 g in 100 mL water, (ii) contact time = 60 min, (iii) particle size of adsorbent = -72 BSS or lower.</w:t>
      </w:r>
    </w:p>
    <w:p w:rsidR="000B2F82" w:rsidRDefault="000B2F82" w:rsidP="000B2F82">
      <w:pPr>
        <w:pStyle w:val="a0"/>
        <w:rPr>
          <w:kern w:val="0"/>
          <w:szCs w:val="24"/>
        </w:rPr>
      </w:pPr>
      <w:r>
        <w:rPr>
          <w:kern w:val="0"/>
          <w:szCs w:val="24"/>
        </w:rPr>
        <w:t>Keywords: Adsorption, Adsorption, Batch, Contact Time, Defluoridation, Defluoridation, Fluoride, Fluorosis, India, Low Grade Coal, Pretreatment, Removal, Sorption, Water</w:t>
      </w:r>
    </w:p>
    <w:p w:rsidR="00737D56" w:rsidRDefault="00737D56" w:rsidP="00737D56">
      <w:pPr>
        <w:pStyle w:val="a0"/>
        <w:rPr>
          <w:kern w:val="0"/>
        </w:rPr>
      </w:pPr>
      <w:r>
        <w:rPr>
          <w:rFonts w:hint="eastAsia"/>
          <w:kern w:val="0"/>
        </w:rPr>
        <w:t>? Tharanitharan, V.</w:t>
      </w:r>
      <w:r w:rsidR="00F81221">
        <w:rPr>
          <w:rFonts w:hint="eastAsia"/>
          <w:kern w:val="0"/>
        </w:rPr>
        <w:t xml:space="preserve"> and </w:t>
      </w:r>
      <w:r>
        <w:rPr>
          <w:rFonts w:hint="eastAsia"/>
          <w:kern w:val="0"/>
        </w:rPr>
        <w:t>Srinivasan, K.</w:t>
      </w:r>
      <w:r>
        <w:rPr>
          <w:kern w:val="0"/>
        </w:rPr>
        <w:t xml:space="preserve"> (2009), </w:t>
      </w:r>
      <w:r>
        <w:rPr>
          <w:rFonts w:hint="eastAsia"/>
          <w:kern w:val="0"/>
        </w:rPr>
        <w:t xml:space="preserve">Removal of Pb(II) from aqueous solutions by using dioctyl sodium sulphosuccinate-EDTA modified </w:t>
      </w:r>
      <w:r w:rsidR="00CA4594">
        <w:rPr>
          <w:kern w:val="0"/>
        </w:rPr>
        <w:t xml:space="preserve">Amberlite </w:t>
      </w:r>
      <w:r>
        <w:rPr>
          <w:rFonts w:hint="eastAsia"/>
          <w:kern w:val="0"/>
        </w:rPr>
        <w:t>XAD-7HP rein</w:t>
      </w:r>
      <w:r>
        <w:rPr>
          <w:kern w:val="0"/>
        </w:rPr>
        <w:t xml:space="preserve">. </w:t>
      </w:r>
      <w:r>
        <w:rPr>
          <w:i/>
          <w:iCs/>
          <w:kern w:val="0"/>
        </w:rPr>
        <w:t>Indian Journal of Chemical Technology</w:t>
      </w:r>
      <w:r>
        <w:rPr>
          <w:kern w:val="0"/>
        </w:rPr>
        <w:t xml:space="preserve">, </w:t>
      </w:r>
      <w:r>
        <w:rPr>
          <w:b/>
          <w:bCs/>
          <w:kern w:val="0"/>
        </w:rPr>
        <w:t>16</w:t>
      </w:r>
      <w:r>
        <w:rPr>
          <w:kern w:val="0"/>
        </w:rPr>
        <w:t xml:space="preserve"> (</w:t>
      </w:r>
      <w:r>
        <w:rPr>
          <w:rFonts w:hint="eastAsia"/>
          <w:kern w:val="0"/>
        </w:rPr>
        <w:t>5</w:t>
      </w:r>
      <w:r>
        <w:rPr>
          <w:kern w:val="0"/>
        </w:rPr>
        <w:t xml:space="preserve">), </w:t>
      </w:r>
      <w:r>
        <w:rPr>
          <w:rFonts w:hint="eastAsia"/>
          <w:kern w:val="0"/>
        </w:rPr>
        <w:t>417</w:t>
      </w:r>
      <w:r>
        <w:rPr>
          <w:kern w:val="0"/>
        </w:rPr>
        <w:t>-</w:t>
      </w:r>
      <w:r>
        <w:rPr>
          <w:rFonts w:hint="eastAsia"/>
          <w:kern w:val="0"/>
        </w:rPr>
        <w:t>425</w:t>
      </w:r>
      <w:r>
        <w:rPr>
          <w:kern w:val="0"/>
        </w:rPr>
        <w:t>.</w:t>
      </w:r>
    </w:p>
    <w:p w:rsidR="00737D56" w:rsidRDefault="00737D56" w:rsidP="00737D56">
      <w:pPr>
        <w:pStyle w:val="a0"/>
        <w:rPr>
          <w:kern w:val="0"/>
        </w:rPr>
      </w:pPr>
      <w:r>
        <w:rPr>
          <w:rFonts w:hint="eastAsia"/>
          <w:kern w:val="0"/>
        </w:rPr>
        <w:t xml:space="preserve">Full Text: </w:t>
      </w:r>
      <w:hyperlink r:id="rId925" w:history="1">
        <w:r w:rsidRPr="00737D56">
          <w:rPr>
            <w:rStyle w:val="a5"/>
            <w:kern w:val="0"/>
          </w:rPr>
          <w:t>2009\Ind J Che Tec16, 417.pdf</w:t>
        </w:r>
      </w:hyperlink>
    </w:p>
    <w:p w:rsidR="00852028" w:rsidRDefault="00852028" w:rsidP="00852028">
      <w:pPr>
        <w:pStyle w:val="a0"/>
        <w:rPr>
          <w:kern w:val="0"/>
        </w:rPr>
      </w:pPr>
      <w:r>
        <w:rPr>
          <w:kern w:val="0"/>
        </w:rPr>
        <w:t xml:space="preserve">Keywords: Acid, Activated Carbon, Adsorbent, Adsorption, Adsorption Isotherms, Adsorption Kinetics, Amberlite XAD-7HP Resin, Aqueous Solution, Aqueous Solutions, Atomic-Absorption Spectrometry, Cationic Surfactant, Changes, Chelating Resins, Contact Time, Dioctyl Sodium Sulphosuccinate, EDTA, Equilibrium, Freundlich, FTIR, FTIR Studies, Function, Heavy Metal, Heavy Metal Ions, Impregnation, Interaction, Ions, Isotherm, Isotherm Equations, Isotherms, Kinetics, Langmuir, Lead, Lead(II), Lead(II) Removal, Metal, Metal Ions, Mixing, Model, Models, Modified, NaCl, Pb(II), </w:t>
      </w:r>
      <w:r>
        <w:rPr>
          <w:rFonts w:hint="eastAsia"/>
          <w:kern w:val="0"/>
        </w:rPr>
        <w:t>p</w:t>
      </w:r>
      <w:r>
        <w:rPr>
          <w:kern w:val="0"/>
        </w:rPr>
        <w:t>H, Polymeric, Precious Metals, Preconcentration, Pseudo Second Order, Pseudo-Second-Order, Pseudo-Second-Order Model, Removal, Resin, Resins, SEM, Sodium, Solid-Phase Extraction, Solution, Solutions, Support, Trace-Metal Ions, Treatment, Wastewater, X</w:t>
      </w:r>
      <w:r w:rsidR="008A4591">
        <w:rPr>
          <w:kern w:val="0"/>
        </w:rPr>
        <w:t>AD</w:t>
      </w:r>
      <w:r>
        <w:rPr>
          <w:kern w:val="0"/>
        </w:rPr>
        <w:t>7 Impregnated Resins</w:t>
      </w:r>
    </w:p>
    <w:p w:rsidR="008A4591" w:rsidRDefault="008A4591" w:rsidP="008A4591">
      <w:pPr>
        <w:pStyle w:val="a0"/>
        <w:rPr>
          <w:kern w:val="0"/>
        </w:rPr>
      </w:pPr>
      <w:r>
        <w:rPr>
          <w:rFonts w:hint="eastAsia"/>
          <w:kern w:val="0"/>
        </w:rPr>
        <w:t xml:space="preserve">? </w:t>
      </w:r>
      <w:r>
        <w:rPr>
          <w:kern w:val="0"/>
        </w:rPr>
        <w:t>Sen Gupta, S.</w:t>
      </w:r>
      <w:r w:rsidR="00F81221">
        <w:rPr>
          <w:kern w:val="0"/>
        </w:rPr>
        <w:t xml:space="preserve"> and </w:t>
      </w:r>
      <w:r>
        <w:rPr>
          <w:kern w:val="0"/>
        </w:rPr>
        <w:t>Bhattacharyya, K.G. (2009), Treatment of water contaminated with Pb(II)</w:t>
      </w:r>
      <w:r w:rsidR="00F81221">
        <w:rPr>
          <w:kern w:val="0"/>
        </w:rPr>
        <w:t xml:space="preserve"> and </w:t>
      </w:r>
      <w:r>
        <w:rPr>
          <w:kern w:val="0"/>
        </w:rPr>
        <w:t>Cd(II) by adsorption on kaolinite, montmorillonite</w:t>
      </w:r>
      <w:r w:rsidR="00F81221">
        <w:rPr>
          <w:kern w:val="0"/>
        </w:rPr>
        <w:t xml:space="preserve"> and </w:t>
      </w:r>
      <w:r>
        <w:rPr>
          <w:kern w:val="0"/>
        </w:rPr>
        <w:t xml:space="preserve">their acid-activated forms. </w:t>
      </w:r>
      <w:r>
        <w:rPr>
          <w:i/>
          <w:iCs/>
          <w:kern w:val="0"/>
        </w:rPr>
        <w:t>Indian Journal of Chemical Technology</w:t>
      </w:r>
      <w:r>
        <w:rPr>
          <w:kern w:val="0"/>
        </w:rPr>
        <w:t xml:space="preserve">, </w:t>
      </w:r>
      <w:r>
        <w:rPr>
          <w:b/>
          <w:bCs/>
          <w:kern w:val="0"/>
        </w:rPr>
        <w:t>16</w:t>
      </w:r>
      <w:r>
        <w:rPr>
          <w:kern w:val="0"/>
        </w:rPr>
        <w:t xml:space="preserve"> (6), 457-470.</w:t>
      </w:r>
    </w:p>
    <w:p w:rsidR="008A4591" w:rsidRDefault="008A4591" w:rsidP="008A4591">
      <w:pPr>
        <w:pStyle w:val="a0"/>
        <w:rPr>
          <w:kern w:val="0"/>
        </w:rPr>
      </w:pPr>
      <w:r>
        <w:rPr>
          <w:kern w:val="0"/>
        </w:rPr>
        <w:t>Full Text:</w:t>
      </w:r>
      <w:r w:rsidRPr="00B025C1">
        <w:t xml:space="preserve"> </w:t>
      </w:r>
      <w:hyperlink r:id="rId926" w:history="1">
        <w:r w:rsidRPr="00D319B5">
          <w:rPr>
            <w:rStyle w:val="a5"/>
          </w:rPr>
          <w:t>2009\Ind J Che Tec16, 457.pdf</w:t>
        </w:r>
      </w:hyperlink>
    </w:p>
    <w:p w:rsidR="008A4591" w:rsidRDefault="008A4591" w:rsidP="008A4591">
      <w:pPr>
        <w:pStyle w:val="a0"/>
        <w:rPr>
          <w:kern w:val="0"/>
        </w:rPr>
      </w:pPr>
      <w:r>
        <w:rPr>
          <w:kern w:val="0"/>
        </w:rPr>
        <w:t>Abstract: Removal of Pb(II)</w:t>
      </w:r>
      <w:r w:rsidR="00F81221">
        <w:rPr>
          <w:kern w:val="0"/>
        </w:rPr>
        <w:t xml:space="preserve"> and </w:t>
      </w:r>
      <w:r>
        <w:rPr>
          <w:kern w:val="0"/>
        </w:rPr>
        <w:t>Cd(II) from spiked water samples by adsorption on clays was studied in this work as a model for water treatment. Kaolinite</w:t>
      </w:r>
      <w:r w:rsidR="00F81221">
        <w:rPr>
          <w:kern w:val="0"/>
        </w:rPr>
        <w:t xml:space="preserve"> and </w:t>
      </w:r>
      <w:r>
        <w:rPr>
          <w:kern w:val="0"/>
        </w:rPr>
        <w:t>montmorillonite were used as the clay adsorbents</w:t>
      </w:r>
      <w:r w:rsidR="00F81221">
        <w:rPr>
          <w:kern w:val="0"/>
        </w:rPr>
        <w:t xml:space="preserve"> and </w:t>
      </w:r>
      <w:r>
        <w:rPr>
          <w:kern w:val="0"/>
        </w:rPr>
        <w:t>they were further activated by treating with 0.25 M H</w:t>
      </w:r>
      <w:r w:rsidRPr="00FD1516">
        <w:rPr>
          <w:kern w:val="0"/>
          <w:vertAlign w:val="subscript"/>
        </w:rPr>
        <w:t>2</w:t>
      </w:r>
      <w:r>
        <w:rPr>
          <w:kern w:val="0"/>
        </w:rPr>
        <w:t>SO</w:t>
      </w:r>
      <w:r w:rsidRPr="00FD1516">
        <w:rPr>
          <w:kern w:val="0"/>
          <w:vertAlign w:val="subscript"/>
        </w:rPr>
        <w:t>4</w:t>
      </w:r>
      <w:r>
        <w:rPr>
          <w:kern w:val="0"/>
        </w:rPr>
        <w:t>. All the adsorbents were characterized with respect to surface area, cation exchange capacity</w:t>
      </w:r>
      <w:r w:rsidR="00F81221">
        <w:rPr>
          <w:kern w:val="0"/>
        </w:rPr>
        <w:t xml:space="preserve"> and </w:t>
      </w:r>
      <w:r>
        <w:rPr>
          <w:kern w:val="0"/>
        </w:rPr>
        <w:t>structural features as revealed with XRD</w:t>
      </w:r>
      <w:r w:rsidR="00F81221">
        <w:rPr>
          <w:kern w:val="0"/>
        </w:rPr>
        <w:t xml:space="preserve"> and </w:t>
      </w:r>
      <w:r>
        <w:rPr>
          <w:kern w:val="0"/>
        </w:rPr>
        <w:t>FTIR measurements. The adsorption experiments were carried out in a batch process with the variation of initial concentration of metal ions, amount of clay, pH, time</w:t>
      </w:r>
      <w:r w:rsidR="00F81221">
        <w:rPr>
          <w:kern w:val="0"/>
        </w:rPr>
        <w:t xml:space="preserve"> and </w:t>
      </w:r>
      <w:r>
        <w:rPr>
          <w:kern w:val="0"/>
        </w:rPr>
        <w:t>temperature. The adsorption was favoured at higher pH. The clay-Pb(II) interactions attained equilibrium at 180 min, whereas clay-Cd(II) system required 240 min to reach the same. Both the systems follow second order kinetic model. Montmorillonite</w:t>
      </w:r>
      <w:r w:rsidR="00F81221">
        <w:rPr>
          <w:kern w:val="0"/>
        </w:rPr>
        <w:t xml:space="preserve"> and </w:t>
      </w:r>
      <w:r>
        <w:rPr>
          <w:kern w:val="0"/>
        </w:rPr>
        <w:t>its acid-treated form had better adsorption properties. The Langmuir monolayer capacity varied from 11.1 to 34.0 mg/g</w:t>
      </w:r>
      <w:r w:rsidR="00F81221">
        <w:rPr>
          <w:kern w:val="0"/>
        </w:rPr>
        <w:t xml:space="preserve"> and </w:t>
      </w:r>
      <w:r>
        <w:rPr>
          <w:kern w:val="0"/>
        </w:rPr>
        <w:t>from 9.9 to 33.2 mg/g for Pb(II)</w:t>
      </w:r>
      <w:r w:rsidR="00F81221">
        <w:rPr>
          <w:kern w:val="0"/>
        </w:rPr>
        <w:t xml:space="preserve"> and </w:t>
      </w:r>
      <w:r>
        <w:rPr>
          <w:kern w:val="0"/>
        </w:rPr>
        <w:t xml:space="preserve">Cd(II) ions, respectively depending on the clay. Pb(II) adsorbed </w:t>
      </w:r>
      <w:r>
        <w:rPr>
          <w:kern w:val="0"/>
        </w:rPr>
        <w:lastRenderedPageBreak/>
        <w:t>exothermally while the processes were endothermic with Cd(II). Kaolinite, montmorillonite</w:t>
      </w:r>
      <w:r w:rsidR="00F81221">
        <w:rPr>
          <w:kern w:val="0"/>
        </w:rPr>
        <w:t xml:space="preserve"> and </w:t>
      </w:r>
      <w:r>
        <w:rPr>
          <w:kern w:val="0"/>
        </w:rPr>
        <w:t>their acid activated forms have good potential for taking up Pb(II)</w:t>
      </w:r>
      <w:r w:rsidR="00F81221">
        <w:rPr>
          <w:kern w:val="0"/>
        </w:rPr>
        <w:t xml:space="preserve"> and </w:t>
      </w:r>
      <w:r>
        <w:rPr>
          <w:kern w:val="0"/>
        </w:rPr>
        <w:t>Cd(II) from aqueous medium.</w:t>
      </w:r>
    </w:p>
    <w:p w:rsidR="008A4591" w:rsidRDefault="008A4591" w:rsidP="008A4591">
      <w:pPr>
        <w:pStyle w:val="a0"/>
        <w:rPr>
          <w:kern w:val="0"/>
        </w:rPr>
      </w:pPr>
      <w:r>
        <w:rPr>
          <w:kern w:val="0"/>
        </w:rPr>
        <w:t xml:space="preserve">Keywords: Acid-Activated Clays, Adsorbents, Adsorption, Adsorption Properties, Aqueous Medium, Aqueous-Solution, Batch, Batch Process, Bed Sediments, Cadmium Adsorption, Capacity, Cation, Cation Exchange, Cd(II), Cd(II) Ions, Clay, Clays, Concentration, Endothermic, Equilibrium, Experiments, Forms, FTIR, Heavy-Metals, Ions, Kaolinite, Kinetic, Kinetic Model, Kinetics, Langmuir, Lead(II) Ions, Metal, Metal Ions, Model, Monolayer, Montmorillonite, NOV, Pb(II), </w:t>
      </w:r>
      <w:r>
        <w:rPr>
          <w:rFonts w:hint="eastAsia"/>
          <w:kern w:val="0"/>
        </w:rPr>
        <w:t>p</w:t>
      </w:r>
      <w:r>
        <w:rPr>
          <w:kern w:val="0"/>
        </w:rPr>
        <w:t xml:space="preserve">H, </w:t>
      </w:r>
      <w:r w:rsidRPr="00FD1516">
        <w:rPr>
          <w:i/>
          <w:kern w:val="0"/>
        </w:rPr>
        <w:t>Pinus-sylvestris</w:t>
      </w:r>
      <w:r>
        <w:rPr>
          <w:kern w:val="0"/>
        </w:rPr>
        <w:t>, Potential, Removal, Second Order, Second-Order, Surface, Surface Area, Systems, Temperature, Treatment, Waste-Waters, Water, Water Samples, Water Treatment, Work, XRD</w:t>
      </w:r>
    </w:p>
    <w:p w:rsidR="0092545A" w:rsidRDefault="0092545A" w:rsidP="0092545A">
      <w:pPr>
        <w:pStyle w:val="a0"/>
        <w:rPr>
          <w:kern w:val="0"/>
          <w:szCs w:val="24"/>
        </w:rPr>
      </w:pPr>
      <w:r>
        <w:rPr>
          <w:rFonts w:hint="eastAsia"/>
          <w:kern w:val="0"/>
          <w:szCs w:val="24"/>
        </w:rPr>
        <w:t xml:space="preserve">? </w:t>
      </w:r>
      <w:r>
        <w:rPr>
          <w:kern w:val="0"/>
          <w:szCs w:val="24"/>
        </w:rPr>
        <w:t>Subha, R.</w:t>
      </w:r>
      <w:r w:rsidR="00F81221">
        <w:rPr>
          <w:kern w:val="0"/>
          <w:szCs w:val="24"/>
        </w:rPr>
        <w:t xml:space="preserve"> and </w:t>
      </w:r>
      <w:r>
        <w:rPr>
          <w:kern w:val="0"/>
          <w:szCs w:val="24"/>
        </w:rPr>
        <w:t>Namasivayam, C. (2009), Zinc chloride activated coir pith carbon as low cost adsorbent for removal of 2,4-dichlorophenol: Equilibrium</w:t>
      </w:r>
      <w:r w:rsidR="00F81221">
        <w:rPr>
          <w:kern w:val="0"/>
          <w:szCs w:val="24"/>
        </w:rPr>
        <w:t xml:space="preserve"> and </w:t>
      </w:r>
      <w:r>
        <w:rPr>
          <w:kern w:val="0"/>
          <w:szCs w:val="24"/>
        </w:rPr>
        <w:t xml:space="preserve">kinetic studies. </w:t>
      </w:r>
      <w:r>
        <w:rPr>
          <w:i/>
          <w:iCs/>
          <w:kern w:val="0"/>
          <w:szCs w:val="24"/>
        </w:rPr>
        <w:t>Indian Journal of Chemical Technology</w:t>
      </w:r>
      <w:r>
        <w:rPr>
          <w:kern w:val="0"/>
          <w:szCs w:val="24"/>
        </w:rPr>
        <w:t xml:space="preserve">, </w:t>
      </w:r>
      <w:r>
        <w:rPr>
          <w:b/>
          <w:bCs/>
          <w:kern w:val="0"/>
          <w:szCs w:val="24"/>
        </w:rPr>
        <w:t>16</w:t>
      </w:r>
      <w:r>
        <w:rPr>
          <w:kern w:val="0"/>
          <w:szCs w:val="24"/>
        </w:rPr>
        <w:t xml:space="preserve"> (6), 471-479.</w:t>
      </w:r>
    </w:p>
    <w:p w:rsidR="0092545A" w:rsidRDefault="0092545A" w:rsidP="0092545A">
      <w:pPr>
        <w:pStyle w:val="a0"/>
        <w:rPr>
          <w:kern w:val="0"/>
        </w:rPr>
      </w:pPr>
      <w:r>
        <w:rPr>
          <w:kern w:val="0"/>
        </w:rPr>
        <w:t>Full Text:</w:t>
      </w:r>
      <w:r w:rsidRPr="00B025C1">
        <w:t xml:space="preserve"> </w:t>
      </w:r>
      <w:hyperlink r:id="rId927" w:history="1">
        <w:r w:rsidRPr="0092545A">
          <w:rPr>
            <w:rStyle w:val="a5"/>
          </w:rPr>
          <w:t>2009\Ind J Che Tec16, 471.pdf</w:t>
        </w:r>
      </w:hyperlink>
    </w:p>
    <w:p w:rsidR="0092545A" w:rsidRDefault="0092545A" w:rsidP="0092545A">
      <w:pPr>
        <w:pStyle w:val="a0"/>
        <w:rPr>
          <w:kern w:val="0"/>
          <w:szCs w:val="24"/>
        </w:rPr>
      </w:pPr>
      <w:r>
        <w:rPr>
          <w:kern w:val="0"/>
          <w:szCs w:val="24"/>
        </w:rPr>
        <w:t>Abstract: Activated carbon prepared from coir pith (ZnCPC) using ZnCl2 was investigated to find the feasibility of its application for removal of 2,4-dichlorophenol (2,4-DCP) in aqueous Solution through adsorption process. Batch mode kinetics</w:t>
      </w:r>
      <w:r w:rsidR="00F81221">
        <w:rPr>
          <w:kern w:val="0"/>
          <w:szCs w:val="24"/>
        </w:rPr>
        <w:t xml:space="preserve"> and </w:t>
      </w:r>
      <w:r>
        <w:rPr>
          <w:kern w:val="0"/>
          <w:szCs w:val="24"/>
        </w:rPr>
        <w:t>isotherm studies were carried out to evaluate the effects of contact time, initial concentration, adsorbent dose, pH,</w:t>
      </w:r>
      <w:r w:rsidR="00F81221">
        <w:rPr>
          <w:kern w:val="0"/>
          <w:szCs w:val="24"/>
        </w:rPr>
        <w:t xml:space="preserve"> and </w:t>
      </w:r>
      <w:r>
        <w:rPr>
          <w:kern w:val="0"/>
          <w:szCs w:val="24"/>
        </w:rPr>
        <w:t>temperature. Lagergren, Second order,</w:t>
      </w:r>
      <w:r w:rsidR="00F81221">
        <w:rPr>
          <w:kern w:val="0"/>
          <w:szCs w:val="24"/>
        </w:rPr>
        <w:t xml:space="preserve"> and </w:t>
      </w:r>
      <w:r>
        <w:rPr>
          <w:kern w:val="0"/>
          <w:szCs w:val="24"/>
        </w:rPr>
        <w:t>Banghams were used to fit the experimental data. Langmuir, Freundlich, Dubinin-Radushkevich</w:t>
      </w:r>
      <w:r w:rsidR="00F81221">
        <w:rPr>
          <w:kern w:val="0"/>
          <w:szCs w:val="24"/>
        </w:rPr>
        <w:t xml:space="preserve"> and </w:t>
      </w:r>
      <w:r>
        <w:rPr>
          <w:kern w:val="0"/>
          <w:szCs w:val="24"/>
        </w:rPr>
        <w:t>Temkin isotherm models have been employed to analyse the adsorption equilibrium data. The Langmuir adsorption capacity, Q(o) was found to be 131.6 mg/g of the adsorbent. The pH effect</w:t>
      </w:r>
      <w:r w:rsidR="00F81221">
        <w:rPr>
          <w:kern w:val="0"/>
          <w:szCs w:val="24"/>
        </w:rPr>
        <w:t xml:space="preserve"> and </w:t>
      </w:r>
      <w:r>
        <w:rPr>
          <w:kern w:val="0"/>
          <w:szCs w:val="24"/>
        </w:rPr>
        <w:t>desorption studies showed that ion exchange mechanism was involved in the adsorption process. Adsorption of 2,4-DCP by ZnCPC was spontaneous. The results indicated that ZnCPC was an effective adsorbent for removing 2,4-DCP from water.</w:t>
      </w:r>
    </w:p>
    <w:p w:rsidR="0092545A" w:rsidRDefault="0092545A" w:rsidP="0092545A">
      <w:pPr>
        <w:pStyle w:val="a0"/>
        <w:rPr>
          <w:kern w:val="0"/>
          <w:szCs w:val="24"/>
        </w:rPr>
      </w:pPr>
      <w:r>
        <w:rPr>
          <w:kern w:val="0"/>
          <w:szCs w:val="24"/>
        </w:rPr>
        <w:t xml:space="preserve">Keywords: 2,4-DCP, 2,4-Dichlorophenol, Activated Carbon, Adsorption, Adsorption Capacity, Agricultural Solid-Waste, Aqueous-Solutions, Capacity, Chemical Activation, Chlorophenols, Coir Pith, Contact Time, Cost, Desorption, Dyes, Equilibrium, Equilibrium Isotherms, Exchange, Freundlich, Heavy-Metals, Ion Exchange, Isotherm, Isotherm Models, Kinetic, Kinetics, Langmuir, Low Cost Adsorbent, Models, Pentachlorophenol, </w:t>
      </w:r>
      <w:r>
        <w:rPr>
          <w:rFonts w:hint="eastAsia"/>
          <w:kern w:val="0"/>
          <w:szCs w:val="24"/>
        </w:rPr>
        <w:t>p</w:t>
      </w:r>
      <w:r>
        <w:rPr>
          <w:kern w:val="0"/>
          <w:szCs w:val="24"/>
        </w:rPr>
        <w:t>H, Phenol, Removal, Temkin, Temperature, Water, Zinc</w:t>
      </w:r>
    </w:p>
    <w:p w:rsidR="00F15826" w:rsidRDefault="00F15826" w:rsidP="00F15826">
      <w:pPr>
        <w:pStyle w:val="a0"/>
        <w:rPr>
          <w:kern w:val="0"/>
        </w:rPr>
      </w:pPr>
      <w:r>
        <w:rPr>
          <w:kern w:val="0"/>
        </w:rPr>
        <w:t>? Badii, K., Ardejani, F.D., Saberi, M.A., Limaee, N.Y.</w:t>
      </w:r>
      <w:r w:rsidR="00F81221">
        <w:rPr>
          <w:kern w:val="0"/>
        </w:rPr>
        <w:t xml:space="preserve"> and </w:t>
      </w:r>
      <w:r>
        <w:rPr>
          <w:kern w:val="0"/>
        </w:rPr>
        <w:t xml:space="preserve">Shafaei, S.Z.E.D. (2010), Adsorption of Acid blue 25 dye on diatomite in aqueous solutions. </w:t>
      </w:r>
      <w:r>
        <w:rPr>
          <w:i/>
          <w:iCs/>
          <w:kern w:val="0"/>
        </w:rPr>
        <w:t>Indian Journal of Chemical Technology</w:t>
      </w:r>
      <w:r>
        <w:rPr>
          <w:kern w:val="0"/>
        </w:rPr>
        <w:t xml:space="preserve">, </w:t>
      </w:r>
      <w:r>
        <w:rPr>
          <w:b/>
          <w:bCs/>
          <w:kern w:val="0"/>
        </w:rPr>
        <w:t>17</w:t>
      </w:r>
      <w:r>
        <w:rPr>
          <w:kern w:val="0"/>
        </w:rPr>
        <w:t xml:space="preserve"> (1), 7-16.</w:t>
      </w:r>
    </w:p>
    <w:p w:rsidR="00F15826" w:rsidRPr="00F03D2F" w:rsidRDefault="00F15826" w:rsidP="00F15826">
      <w:pPr>
        <w:pStyle w:val="a0"/>
        <w:rPr>
          <w:kern w:val="0"/>
        </w:rPr>
      </w:pPr>
      <w:r w:rsidRPr="00F03D2F">
        <w:rPr>
          <w:kern w:val="0"/>
        </w:rPr>
        <w:t>Full Text:</w:t>
      </w:r>
      <w:r w:rsidRPr="00D7601C">
        <w:t xml:space="preserve"> </w:t>
      </w:r>
      <w:hyperlink r:id="rId928" w:history="1">
        <w:r w:rsidRPr="005E1619">
          <w:rPr>
            <w:rStyle w:val="a5"/>
          </w:rPr>
          <w:t>2010\Ind J Che Tec17, 7.pdf</w:t>
        </w:r>
      </w:hyperlink>
    </w:p>
    <w:p w:rsidR="00F15826" w:rsidRDefault="00F15826" w:rsidP="00F15826">
      <w:pPr>
        <w:pStyle w:val="a0"/>
        <w:rPr>
          <w:kern w:val="0"/>
        </w:rPr>
      </w:pPr>
      <w:r>
        <w:rPr>
          <w:kern w:val="0"/>
        </w:rPr>
        <w:lastRenderedPageBreak/>
        <w:t>Abstract: The adsorption of Acid blue 25 (AB 25) dye from aqueous medium on diatomite was studied. The effects of pH, contact time, initial dye concentration, calcinations</w:t>
      </w:r>
      <w:r w:rsidR="00F81221">
        <w:rPr>
          <w:kern w:val="0"/>
        </w:rPr>
        <w:t xml:space="preserve"> and </w:t>
      </w:r>
      <w:r>
        <w:rPr>
          <w:kern w:val="0"/>
        </w:rPr>
        <w:t>sorbent dosage on the adsorption process were examined</w:t>
      </w:r>
      <w:r w:rsidR="00F81221">
        <w:rPr>
          <w:kern w:val="0"/>
        </w:rPr>
        <w:t xml:space="preserve"> and </w:t>
      </w:r>
      <w:r>
        <w:rPr>
          <w:kern w:val="0"/>
        </w:rPr>
        <w:t>optimum experimental conditions were identified. The maximum removal of dye was obtained under acidic conditions, in particular, at pH 2, but pH 8 was more suitable for industrial purposes. The percentage removal of dye decreased with an increase in initial concentration. Also, the results indicated that an increase in temperature raised the percentage removal of dye. The maximum percentage removal of AB 25 dye from aqueous solution using raw diatomite at pH 2, temperature 25±1ºC, agitation speed of 200 rpm, initial dye concentration of 50 mg/L,</w:t>
      </w:r>
      <w:r w:rsidR="00F81221">
        <w:rPr>
          <w:kern w:val="0"/>
        </w:rPr>
        <w:t xml:space="preserve"> and </w:t>
      </w:r>
      <w:r>
        <w:rPr>
          <w:kern w:val="0"/>
        </w:rPr>
        <w:t>for a mixing time period of 300 min was 72.81% (64.22% at pH 8). Furthermore, under same conditions, the maximum adsorption of dye on calcined diatomite was 54.5%. The experimental data showed that the adsorption of dye on raw diatomite follows the Langmuir model, but its adsorption on calcined diatomite followed the Freundlich model. The kinetics effect of the adsorbent was pseudo-second-order.</w:t>
      </w:r>
    </w:p>
    <w:p w:rsidR="00F15826" w:rsidRDefault="00F15826" w:rsidP="00F15826">
      <w:pPr>
        <w:pStyle w:val="a0"/>
        <w:rPr>
          <w:kern w:val="0"/>
        </w:rPr>
      </w:pPr>
      <w:r>
        <w:rPr>
          <w:kern w:val="0"/>
        </w:rPr>
        <w:t>Keywords: Acid Blue 25, Adsorbent, Adsorption, Agitation, Anionic Dyes, Aqueous Medium, Aqueous Solution, Aqueous Solutions, Basic Dye, Calcinations, Calcined, Color Removal, Concentration, Congo-Red, Data, Diatomite, Direct Red-80, Dye, Dye Removal, Equilibrium, Experimental, Freundlich, Freundlich Model, Industry Waste-Water, Isotherms, Kinetics, Langmuir, Langmuir Model, Mixing, Model, Orange Peel, pH, Pseudo Second Order, Pseudo-Second-Order, Removal, Solution, Solutions, Sorbent, Sorption, Temperature, Textile Dyes, Time</w:t>
      </w:r>
    </w:p>
    <w:p w:rsidR="0092545A" w:rsidRDefault="0092545A" w:rsidP="0092545A">
      <w:pPr>
        <w:pStyle w:val="a0"/>
        <w:rPr>
          <w:kern w:val="0"/>
          <w:szCs w:val="24"/>
        </w:rPr>
      </w:pPr>
      <w:r>
        <w:rPr>
          <w:rFonts w:hint="eastAsia"/>
          <w:kern w:val="0"/>
          <w:szCs w:val="24"/>
        </w:rPr>
        <w:t xml:space="preserve">? </w:t>
      </w:r>
      <w:r>
        <w:rPr>
          <w:kern w:val="0"/>
          <w:szCs w:val="24"/>
        </w:rPr>
        <w:t>Bajpai, A.K.</w:t>
      </w:r>
      <w:r w:rsidR="00F81221">
        <w:rPr>
          <w:kern w:val="0"/>
          <w:szCs w:val="24"/>
        </w:rPr>
        <w:t xml:space="preserve"> and </w:t>
      </w:r>
      <w:r>
        <w:rPr>
          <w:kern w:val="0"/>
          <w:szCs w:val="24"/>
        </w:rPr>
        <w:t xml:space="preserve">Rai, L. (2010), Removal of chromium ions from aqueous solution by biosorption on to ternary biopolymeric microspheres. </w:t>
      </w:r>
      <w:r>
        <w:rPr>
          <w:i/>
          <w:iCs/>
          <w:kern w:val="0"/>
          <w:szCs w:val="24"/>
        </w:rPr>
        <w:t xml:space="preserve"> Indian Journal of Chemical Technology</w:t>
      </w:r>
      <w:r>
        <w:rPr>
          <w:kern w:val="0"/>
          <w:szCs w:val="24"/>
        </w:rPr>
        <w:t xml:space="preserve">, </w:t>
      </w:r>
      <w:r>
        <w:rPr>
          <w:b/>
          <w:bCs/>
          <w:kern w:val="0"/>
          <w:szCs w:val="24"/>
        </w:rPr>
        <w:t>17</w:t>
      </w:r>
      <w:r>
        <w:rPr>
          <w:kern w:val="0"/>
          <w:szCs w:val="24"/>
        </w:rPr>
        <w:t xml:space="preserve"> (1), 17-27.</w:t>
      </w:r>
    </w:p>
    <w:p w:rsidR="0092545A" w:rsidRPr="00F03D2F" w:rsidRDefault="0092545A" w:rsidP="0092545A">
      <w:pPr>
        <w:pStyle w:val="a0"/>
        <w:rPr>
          <w:kern w:val="0"/>
        </w:rPr>
      </w:pPr>
      <w:r w:rsidRPr="00F03D2F">
        <w:rPr>
          <w:kern w:val="0"/>
        </w:rPr>
        <w:t>Full Text:</w:t>
      </w:r>
      <w:r w:rsidRPr="00D7601C">
        <w:t xml:space="preserve"> </w:t>
      </w:r>
      <w:hyperlink r:id="rId929" w:history="1">
        <w:r w:rsidRPr="0092545A">
          <w:rPr>
            <w:rStyle w:val="a5"/>
          </w:rPr>
          <w:t>2010\Ind J Che Tec17, 17.pdf</w:t>
        </w:r>
      </w:hyperlink>
    </w:p>
    <w:p w:rsidR="0092545A" w:rsidRDefault="0092545A" w:rsidP="0092545A">
      <w:pPr>
        <w:pStyle w:val="a0"/>
        <w:rPr>
          <w:kern w:val="0"/>
          <w:szCs w:val="24"/>
        </w:rPr>
      </w:pPr>
      <w:r>
        <w:rPr>
          <w:kern w:val="0"/>
          <w:szCs w:val="24"/>
        </w:rPr>
        <w:t>Abstract: Ternary biopolymeric microspherers of chitosan, yeast</w:t>
      </w:r>
      <w:r w:rsidR="00F81221">
        <w:rPr>
          <w:kern w:val="0"/>
          <w:szCs w:val="24"/>
        </w:rPr>
        <w:t xml:space="preserve"> and </w:t>
      </w:r>
      <w:r>
        <w:rPr>
          <w:kern w:val="0"/>
          <w:szCs w:val="24"/>
        </w:rPr>
        <w:t>gelatin were prepared</w:t>
      </w:r>
      <w:r w:rsidR="00F81221">
        <w:rPr>
          <w:kern w:val="0"/>
          <w:szCs w:val="24"/>
        </w:rPr>
        <w:t xml:space="preserve"> and </w:t>
      </w:r>
      <w:r>
        <w:rPr>
          <w:kern w:val="0"/>
          <w:szCs w:val="24"/>
        </w:rPr>
        <w:t>characterized by FTIR spectral analysis, particle size measurements</w:t>
      </w:r>
      <w:r w:rsidR="00F81221">
        <w:rPr>
          <w:kern w:val="0"/>
          <w:szCs w:val="24"/>
        </w:rPr>
        <w:t xml:space="preserve"> and </w:t>
      </w:r>
      <w:r>
        <w:rPr>
          <w:kern w:val="0"/>
          <w:szCs w:val="24"/>
        </w:rPr>
        <w:t>scanning electron micrograph techniques. Static</w:t>
      </w:r>
      <w:r w:rsidR="00F81221">
        <w:rPr>
          <w:kern w:val="0"/>
          <w:szCs w:val="24"/>
        </w:rPr>
        <w:t xml:space="preserve"> and </w:t>
      </w:r>
      <w:r>
        <w:rPr>
          <w:kern w:val="0"/>
          <w:szCs w:val="24"/>
        </w:rPr>
        <w:t>dynamic adsorption studies of chromium ions were performed onto the surface of the prepared microspheres at fixed pH</w:t>
      </w:r>
      <w:r w:rsidR="00F81221">
        <w:rPr>
          <w:kern w:val="0"/>
          <w:szCs w:val="24"/>
        </w:rPr>
        <w:t xml:space="preserve"> and </w:t>
      </w:r>
      <w:r>
        <w:rPr>
          <w:kern w:val="0"/>
          <w:szCs w:val="24"/>
        </w:rPr>
        <w:t>ionic strength of the aqueous solution. The adsorption data were supplied to Langmuir</w:t>
      </w:r>
      <w:r w:rsidR="00F81221">
        <w:rPr>
          <w:kern w:val="0"/>
          <w:szCs w:val="24"/>
        </w:rPr>
        <w:t xml:space="preserve"> and </w:t>
      </w:r>
      <w:r>
        <w:rPr>
          <w:kern w:val="0"/>
          <w:szCs w:val="24"/>
        </w:rPr>
        <w:t>Freundlich isotherm equations</w:t>
      </w:r>
      <w:r w:rsidR="00F81221">
        <w:rPr>
          <w:kern w:val="0"/>
          <w:szCs w:val="24"/>
        </w:rPr>
        <w:t xml:space="preserve"> and </w:t>
      </w:r>
      <w:r>
        <w:rPr>
          <w:kern w:val="0"/>
          <w:szCs w:val="24"/>
        </w:rPr>
        <w:t>various static parameters were calculated. The dynamic nature of the adsorption was quantified in terms of several kinetic constants such as rate constants for adsorption. Lagregreen rate constant,</w:t>
      </w:r>
      <w:r w:rsidR="00F81221">
        <w:rPr>
          <w:kern w:val="0"/>
          <w:szCs w:val="24"/>
        </w:rPr>
        <w:t xml:space="preserve"> and </w:t>
      </w:r>
      <w:r>
        <w:rPr>
          <w:kern w:val="0"/>
          <w:szCs w:val="24"/>
        </w:rPr>
        <w:t>interparticle diffusion rate constant</w:t>
      </w:r>
      <w:r w:rsidR="00F81221">
        <w:rPr>
          <w:kern w:val="0"/>
          <w:szCs w:val="24"/>
        </w:rPr>
        <w:t xml:space="preserve"> and </w:t>
      </w:r>
      <w:r>
        <w:rPr>
          <w:kern w:val="0"/>
          <w:szCs w:val="24"/>
        </w:rPr>
        <w:t>pore diffusion coefficient. The influence of various parameters such as solid to liquid ratio, pH, temperature,</w:t>
      </w:r>
      <w:r w:rsidR="00F81221">
        <w:rPr>
          <w:kern w:val="0"/>
          <w:szCs w:val="24"/>
        </w:rPr>
        <w:t xml:space="preserve"> and </w:t>
      </w:r>
      <w:r>
        <w:rPr>
          <w:kern w:val="0"/>
          <w:szCs w:val="24"/>
        </w:rPr>
        <w:t>chemical composition of biopolymeric microspheres were investigated on the adsorption of dichromate ion. Various thermodynamic parameters were also calculated.</w:t>
      </w:r>
    </w:p>
    <w:p w:rsidR="0092545A" w:rsidRDefault="0092545A" w:rsidP="0092545A">
      <w:pPr>
        <w:pStyle w:val="a0"/>
        <w:rPr>
          <w:kern w:val="0"/>
          <w:szCs w:val="24"/>
        </w:rPr>
      </w:pPr>
      <w:r>
        <w:rPr>
          <w:kern w:val="0"/>
          <w:szCs w:val="24"/>
        </w:rPr>
        <w:lastRenderedPageBreak/>
        <w:t>Keywords: Adsorption, Alginate, Analysis, Biomass, Biosorbent, Biosorption, Chemical Composition, Chitosan, Chromium, Chromium Removal, Copper(II), Cr(VI) Ions, Diffusion, Equilibrium, Freundlich, Freundlich Isotherm, FTIR, Gelatin, Heavy-Metals, Isotherm, Kinetic, Langmuir, Langmuir</w:t>
      </w:r>
      <w:r w:rsidR="00F81221">
        <w:rPr>
          <w:kern w:val="0"/>
          <w:szCs w:val="24"/>
        </w:rPr>
        <w:t xml:space="preserve"> and </w:t>
      </w:r>
      <w:r>
        <w:rPr>
          <w:kern w:val="0"/>
          <w:szCs w:val="24"/>
        </w:rPr>
        <w:t xml:space="preserve">Freundlich Isotherm, </w:t>
      </w:r>
      <w:r>
        <w:rPr>
          <w:rFonts w:hint="eastAsia"/>
          <w:kern w:val="0"/>
          <w:szCs w:val="24"/>
        </w:rPr>
        <w:t>p</w:t>
      </w:r>
      <w:r>
        <w:rPr>
          <w:kern w:val="0"/>
          <w:szCs w:val="24"/>
        </w:rPr>
        <w:t>H, Pore, Removal, Saccharomyces-Cerevisiae, Sorption, Temperature, Ternary Biopolymer Microspheres, Thermodynamic, Thermodynamic Parameters, Yeast</w:t>
      </w:r>
    </w:p>
    <w:p w:rsidR="0092545A" w:rsidRDefault="0092545A" w:rsidP="0092545A">
      <w:pPr>
        <w:pStyle w:val="a0"/>
        <w:rPr>
          <w:kern w:val="0"/>
          <w:szCs w:val="24"/>
        </w:rPr>
      </w:pPr>
      <w:r>
        <w:rPr>
          <w:rFonts w:hint="eastAsia"/>
          <w:kern w:val="0"/>
          <w:szCs w:val="24"/>
        </w:rPr>
        <w:t xml:space="preserve">? </w:t>
      </w:r>
      <w:r>
        <w:rPr>
          <w:kern w:val="0"/>
          <w:szCs w:val="24"/>
        </w:rPr>
        <w:t>Gopal, V.</w:t>
      </w:r>
      <w:r w:rsidR="00F81221">
        <w:rPr>
          <w:kern w:val="0"/>
          <w:szCs w:val="24"/>
        </w:rPr>
        <w:t xml:space="preserve"> and </w:t>
      </w:r>
      <w:r>
        <w:rPr>
          <w:kern w:val="0"/>
          <w:szCs w:val="24"/>
        </w:rPr>
        <w:t xml:space="preserve">Elango, K.P. (2010), Studies on defluoridation of water using magnesium titanate. </w:t>
      </w:r>
      <w:r>
        <w:rPr>
          <w:i/>
          <w:iCs/>
          <w:kern w:val="0"/>
          <w:szCs w:val="24"/>
        </w:rPr>
        <w:t>Indian Journal of Chemical Technology</w:t>
      </w:r>
      <w:r>
        <w:rPr>
          <w:kern w:val="0"/>
          <w:szCs w:val="24"/>
        </w:rPr>
        <w:t xml:space="preserve">, </w:t>
      </w:r>
      <w:r>
        <w:rPr>
          <w:b/>
          <w:bCs/>
          <w:kern w:val="0"/>
          <w:szCs w:val="24"/>
        </w:rPr>
        <w:t>17</w:t>
      </w:r>
      <w:r>
        <w:rPr>
          <w:kern w:val="0"/>
          <w:szCs w:val="24"/>
        </w:rPr>
        <w:t xml:space="preserve"> (1), 28-33.</w:t>
      </w:r>
    </w:p>
    <w:p w:rsidR="0092545A" w:rsidRPr="00F03D2F" w:rsidRDefault="0092545A" w:rsidP="0092545A">
      <w:pPr>
        <w:pStyle w:val="a0"/>
        <w:rPr>
          <w:kern w:val="0"/>
        </w:rPr>
      </w:pPr>
      <w:r w:rsidRPr="00F03D2F">
        <w:rPr>
          <w:kern w:val="0"/>
        </w:rPr>
        <w:t>Full Text:</w:t>
      </w:r>
      <w:r w:rsidRPr="00D7601C">
        <w:t xml:space="preserve"> </w:t>
      </w:r>
      <w:hyperlink r:id="rId930" w:history="1">
        <w:r w:rsidRPr="0092545A">
          <w:rPr>
            <w:rStyle w:val="a5"/>
          </w:rPr>
          <w:t>2010\Ind J Che Tec17, 28.pdf</w:t>
        </w:r>
      </w:hyperlink>
    </w:p>
    <w:p w:rsidR="0092545A" w:rsidRDefault="0092545A" w:rsidP="0092545A">
      <w:pPr>
        <w:pStyle w:val="a0"/>
        <w:rPr>
          <w:kern w:val="0"/>
          <w:szCs w:val="24"/>
        </w:rPr>
      </w:pPr>
      <w:r>
        <w:rPr>
          <w:kern w:val="0"/>
          <w:szCs w:val="24"/>
        </w:rPr>
        <w:t>Abstract: Batch sorption system using magnesium titanate as an adsorbent was investigated to remove fluoride ions from the aqueous solution. The amount of fluoride adsorbed from 4 mg L</w:t>
      </w:r>
      <w:r>
        <w:rPr>
          <w:rFonts w:hint="eastAsia"/>
          <w:kern w:val="0"/>
          <w:szCs w:val="24"/>
          <w:vertAlign w:val="superscript"/>
        </w:rPr>
        <w:t>-1</w:t>
      </w:r>
      <w:r>
        <w:rPr>
          <w:kern w:val="0"/>
          <w:szCs w:val="24"/>
        </w:rPr>
        <w:t xml:space="preserve"> of fluoride solution at 30°C was found to be 0.029 mg g</w:t>
      </w:r>
      <w:r>
        <w:rPr>
          <w:rFonts w:hint="eastAsia"/>
          <w:kern w:val="0"/>
          <w:szCs w:val="24"/>
          <w:vertAlign w:val="superscript"/>
        </w:rPr>
        <w:t>-1</w:t>
      </w:r>
      <w:r>
        <w:rPr>
          <w:kern w:val="0"/>
          <w:szCs w:val="24"/>
        </w:rPr>
        <w:t>. The system variables studied include initial concentration of the sorbate (2-10 mg L</w:t>
      </w:r>
      <w:r>
        <w:rPr>
          <w:rFonts w:hint="eastAsia"/>
          <w:kern w:val="0"/>
          <w:szCs w:val="24"/>
          <w:vertAlign w:val="superscript"/>
        </w:rPr>
        <w:t>-1</w:t>
      </w:r>
      <w:r>
        <w:rPr>
          <w:kern w:val="0"/>
          <w:szCs w:val="24"/>
        </w:rPr>
        <w:t>), adsorbent dose (0.5-5 g/50 mL), agitation time (5-60 min), pH (3-11), co-ions (Cl</w:t>
      </w:r>
      <w:r w:rsidRPr="009F3BE9">
        <w:rPr>
          <w:kern w:val="0"/>
          <w:szCs w:val="24"/>
          <w:vertAlign w:val="superscript"/>
        </w:rPr>
        <w:t>-</w:t>
      </w:r>
      <w:r>
        <w:rPr>
          <w:kern w:val="0"/>
          <w:szCs w:val="24"/>
        </w:rPr>
        <w:t>, SO</w:t>
      </w:r>
      <w:r w:rsidRPr="009F3BE9">
        <w:rPr>
          <w:kern w:val="0"/>
          <w:szCs w:val="24"/>
          <w:vertAlign w:val="subscript"/>
        </w:rPr>
        <w:t>4</w:t>
      </w:r>
      <w:r w:rsidRPr="009F3BE9">
        <w:rPr>
          <w:kern w:val="0"/>
          <w:szCs w:val="24"/>
          <w:vertAlign w:val="superscript"/>
        </w:rPr>
        <w:t>2-</w:t>
      </w:r>
      <w:r>
        <w:rPr>
          <w:kern w:val="0"/>
          <w:szCs w:val="24"/>
        </w:rPr>
        <w:t>, NO</w:t>
      </w:r>
      <w:r w:rsidRPr="009F3BE9">
        <w:rPr>
          <w:kern w:val="0"/>
          <w:szCs w:val="24"/>
          <w:vertAlign w:val="subscript"/>
        </w:rPr>
        <w:t>3</w:t>
      </w:r>
      <w:r w:rsidRPr="009F3BE9">
        <w:rPr>
          <w:kern w:val="0"/>
          <w:szCs w:val="24"/>
          <w:vertAlign w:val="superscript"/>
        </w:rPr>
        <w:t>-</w:t>
      </w:r>
      <w:r>
        <w:rPr>
          <w:kern w:val="0"/>
          <w:szCs w:val="24"/>
        </w:rPr>
        <w:t>,</w:t>
      </w:r>
      <w:r w:rsidR="00F81221">
        <w:rPr>
          <w:kern w:val="0"/>
          <w:szCs w:val="24"/>
        </w:rPr>
        <w:t xml:space="preserve"> and </w:t>
      </w:r>
      <w:r>
        <w:rPr>
          <w:kern w:val="0"/>
          <w:szCs w:val="24"/>
        </w:rPr>
        <w:t>HCO</w:t>
      </w:r>
      <w:r w:rsidRPr="009F3BE9">
        <w:rPr>
          <w:kern w:val="0"/>
          <w:szCs w:val="24"/>
          <w:vertAlign w:val="subscript"/>
        </w:rPr>
        <w:t>3</w:t>
      </w:r>
      <w:r w:rsidRPr="009F3BE9">
        <w:rPr>
          <w:kern w:val="0"/>
          <w:szCs w:val="24"/>
          <w:vertAlign w:val="superscript"/>
        </w:rPr>
        <w:t>-</w:t>
      </w:r>
      <w:r>
        <w:rPr>
          <w:kern w:val="0"/>
          <w:szCs w:val="24"/>
        </w:rPr>
        <w:t>)</w:t>
      </w:r>
      <w:r w:rsidR="00F81221">
        <w:rPr>
          <w:kern w:val="0"/>
          <w:szCs w:val="24"/>
        </w:rPr>
        <w:t xml:space="preserve"> and </w:t>
      </w:r>
      <w:r>
        <w:rPr>
          <w:kern w:val="0"/>
          <w:szCs w:val="24"/>
        </w:rPr>
        <w:t>temperature (30-50°C). The experimental data fitted satisfactorily (r&gt;0.97) to the Langmuir isotherms. Thermodynamic parameters such as Delta H degrees, Delta S degrees</w:t>
      </w:r>
      <w:r w:rsidR="00F81221">
        <w:rPr>
          <w:kern w:val="0"/>
          <w:szCs w:val="24"/>
        </w:rPr>
        <w:t xml:space="preserve"> and </w:t>
      </w:r>
      <w:r>
        <w:rPr>
          <w:kern w:val="0"/>
          <w:szCs w:val="24"/>
        </w:rPr>
        <w:t>Delta G degrees concluded the adsorption is endothermic. The magnitude of the enthalpy change (20-45 kJ mol</w:t>
      </w:r>
      <w:r>
        <w:rPr>
          <w:rFonts w:hint="eastAsia"/>
          <w:kern w:val="0"/>
          <w:szCs w:val="24"/>
          <w:vertAlign w:val="superscript"/>
        </w:rPr>
        <w:t>-1</w:t>
      </w:r>
      <w:r>
        <w:rPr>
          <w:kern w:val="0"/>
          <w:szCs w:val="24"/>
        </w:rPr>
        <w:t>) indicated that the mechanism of adsorption process involves physisorption.</w:t>
      </w:r>
    </w:p>
    <w:p w:rsidR="0092545A" w:rsidRDefault="0092545A" w:rsidP="0092545A">
      <w:pPr>
        <w:pStyle w:val="a0"/>
        <w:rPr>
          <w:kern w:val="0"/>
          <w:szCs w:val="24"/>
        </w:rPr>
      </w:pPr>
      <w:r>
        <w:rPr>
          <w:kern w:val="0"/>
          <w:szCs w:val="24"/>
        </w:rPr>
        <w:t xml:space="preserve">Keywords: Activated Carbon, Adsorption, Adsorption, Defluoridation, Equilibrium, Fluoride, Fluoride Removal, Isotherms, Langmuir, Langmuir Isotherms, Magnesium Titanate, </w:t>
      </w:r>
      <w:r>
        <w:rPr>
          <w:rFonts w:hint="eastAsia"/>
          <w:kern w:val="0"/>
          <w:szCs w:val="24"/>
        </w:rPr>
        <w:t>p</w:t>
      </w:r>
      <w:r>
        <w:rPr>
          <w:kern w:val="0"/>
          <w:szCs w:val="24"/>
        </w:rPr>
        <w:t>H, Sorption, System, Temperature, Thermodynamic, Thermodynamic Parameters, Water</w:t>
      </w:r>
    </w:p>
    <w:p w:rsidR="00BB5821" w:rsidRDefault="00BB5821" w:rsidP="00BB5821">
      <w:pPr>
        <w:pStyle w:val="a0"/>
        <w:rPr>
          <w:kern w:val="0"/>
          <w:szCs w:val="24"/>
        </w:rPr>
      </w:pPr>
      <w:r>
        <w:rPr>
          <w:rFonts w:hint="eastAsia"/>
          <w:kern w:val="0"/>
          <w:szCs w:val="24"/>
        </w:rPr>
        <w:t xml:space="preserve">? </w:t>
      </w:r>
      <w:r>
        <w:rPr>
          <w:kern w:val="0"/>
          <w:szCs w:val="24"/>
        </w:rPr>
        <w:t>Nath, S.K.</w:t>
      </w:r>
      <w:r w:rsidR="00F81221">
        <w:rPr>
          <w:kern w:val="0"/>
          <w:szCs w:val="24"/>
        </w:rPr>
        <w:t xml:space="preserve"> and </w:t>
      </w:r>
      <w:r>
        <w:rPr>
          <w:kern w:val="0"/>
          <w:szCs w:val="24"/>
        </w:rPr>
        <w:t xml:space="preserve">Dutta, R.K. (2010), Fluoride removal from water using crushed limestone. </w:t>
      </w:r>
      <w:r>
        <w:rPr>
          <w:i/>
          <w:iCs/>
          <w:kern w:val="0"/>
          <w:szCs w:val="24"/>
        </w:rPr>
        <w:t>Indian Journal of Chemical Technology</w:t>
      </w:r>
      <w:r>
        <w:rPr>
          <w:kern w:val="0"/>
          <w:szCs w:val="24"/>
        </w:rPr>
        <w:t xml:space="preserve">, </w:t>
      </w:r>
      <w:r>
        <w:rPr>
          <w:b/>
          <w:bCs/>
          <w:kern w:val="0"/>
          <w:szCs w:val="24"/>
        </w:rPr>
        <w:t>17</w:t>
      </w:r>
      <w:r>
        <w:rPr>
          <w:kern w:val="0"/>
          <w:szCs w:val="24"/>
        </w:rPr>
        <w:t xml:space="preserve"> (2), 120-125.</w:t>
      </w:r>
    </w:p>
    <w:p w:rsidR="00BB5821" w:rsidRPr="00F03D2F" w:rsidRDefault="00BB5821" w:rsidP="00BB5821">
      <w:pPr>
        <w:pStyle w:val="a0"/>
        <w:rPr>
          <w:kern w:val="0"/>
        </w:rPr>
      </w:pPr>
      <w:r w:rsidRPr="00F03D2F">
        <w:rPr>
          <w:kern w:val="0"/>
        </w:rPr>
        <w:t>Full Text:</w:t>
      </w:r>
      <w:r w:rsidRPr="00D7601C">
        <w:t xml:space="preserve"> </w:t>
      </w:r>
      <w:hyperlink r:id="rId931" w:history="1">
        <w:r w:rsidRPr="00BB5821">
          <w:rPr>
            <w:rStyle w:val="a5"/>
          </w:rPr>
          <w:t>2010\Ind J Che Tec17, 120.pdf</w:t>
        </w:r>
      </w:hyperlink>
    </w:p>
    <w:p w:rsidR="00BB5821" w:rsidRDefault="00BB5821" w:rsidP="00BB5821">
      <w:pPr>
        <w:pStyle w:val="a0"/>
        <w:rPr>
          <w:kern w:val="0"/>
          <w:szCs w:val="24"/>
        </w:rPr>
      </w:pPr>
      <w:r>
        <w:rPr>
          <w:kern w:val="0"/>
          <w:szCs w:val="24"/>
        </w:rPr>
        <w:t>Abstract: An examination of defluoridation by industrial grade limestone indicated that a combination of precipitation</w:t>
      </w:r>
      <w:r w:rsidR="00F81221">
        <w:rPr>
          <w:kern w:val="0"/>
          <w:szCs w:val="24"/>
        </w:rPr>
        <w:t xml:space="preserve"> and </w:t>
      </w:r>
      <w:r>
        <w:rPr>
          <w:kern w:val="0"/>
          <w:szCs w:val="24"/>
        </w:rPr>
        <w:t>adsorption of fluoride can be more effective for defluoridation of water. Pre-acidified fluoride water using two edible acids, viz., acetic acid (AA)</w:t>
      </w:r>
      <w:r w:rsidR="00F81221">
        <w:rPr>
          <w:kern w:val="0"/>
          <w:szCs w:val="24"/>
        </w:rPr>
        <w:t xml:space="preserve"> and </w:t>
      </w:r>
      <w:r>
        <w:rPr>
          <w:kern w:val="0"/>
          <w:szCs w:val="24"/>
        </w:rPr>
        <w:t>citric acid (CA) have been used for treatment by crushed limestone of diameter 3-4 mm to precipitate fluoride as CaF2 in addition to adsorption of fluoride on limestone. The study has been carried out in batches by varying the acid concentration</w:t>
      </w:r>
      <w:r w:rsidR="00F81221">
        <w:rPr>
          <w:kern w:val="0"/>
          <w:szCs w:val="24"/>
        </w:rPr>
        <w:t xml:space="preserve"> and </w:t>
      </w:r>
      <w:r>
        <w:rPr>
          <w:kern w:val="0"/>
          <w:szCs w:val="24"/>
        </w:rPr>
        <w:t>contact time. Addition of the acids to the water before treatment with the crushed limestone in batch tests significantly improved the fluoride removal</w:t>
      </w:r>
      <w:r w:rsidR="00F81221">
        <w:rPr>
          <w:kern w:val="0"/>
          <w:szCs w:val="24"/>
        </w:rPr>
        <w:t xml:space="preserve"> and </w:t>
      </w:r>
      <w:r>
        <w:rPr>
          <w:kern w:val="0"/>
          <w:szCs w:val="24"/>
        </w:rPr>
        <w:t>this increased with the increase in the concentrations of the acids. The concentration of CA</w:t>
      </w:r>
      <w:r w:rsidR="00F81221">
        <w:rPr>
          <w:kern w:val="0"/>
          <w:szCs w:val="24"/>
        </w:rPr>
        <w:t xml:space="preserve"> and </w:t>
      </w:r>
      <w:r>
        <w:rPr>
          <w:kern w:val="0"/>
          <w:szCs w:val="24"/>
        </w:rPr>
        <w:t>AA required bringing down the fluoride concentration from 10 to 1.5 mg/L, are 0.05 M</w:t>
      </w:r>
      <w:r w:rsidR="00F81221">
        <w:rPr>
          <w:kern w:val="0"/>
          <w:szCs w:val="24"/>
        </w:rPr>
        <w:t xml:space="preserve"> and </w:t>
      </w:r>
      <w:r>
        <w:rPr>
          <w:kern w:val="0"/>
          <w:szCs w:val="24"/>
        </w:rPr>
        <w:t>0.033 M, respectively, when the crushed limestone chips sample was used for the first time with contact time of 12 h. The acids are neutralized by limestone during the defluoridation process</w:t>
      </w:r>
      <w:r w:rsidR="00F81221">
        <w:rPr>
          <w:kern w:val="0"/>
          <w:szCs w:val="24"/>
        </w:rPr>
        <w:t xml:space="preserve"> and </w:t>
      </w:r>
      <w:r>
        <w:rPr>
          <w:kern w:val="0"/>
          <w:szCs w:val="24"/>
        </w:rPr>
        <w:t xml:space="preserve">the </w:t>
      </w:r>
      <w:r>
        <w:rPr>
          <w:kern w:val="0"/>
          <w:szCs w:val="24"/>
        </w:rPr>
        <w:lastRenderedPageBreak/>
        <w:t>resulting final pH of the treated water was found lobe in the ranges of 6.2</w:t>
      </w:r>
      <w:r w:rsidR="00F81221">
        <w:rPr>
          <w:kern w:val="0"/>
          <w:szCs w:val="24"/>
        </w:rPr>
        <w:t xml:space="preserve"> and </w:t>
      </w:r>
      <w:r>
        <w:rPr>
          <w:kern w:val="0"/>
          <w:szCs w:val="24"/>
        </w:rPr>
        <w:t>7.0 for CA</w:t>
      </w:r>
      <w:r w:rsidR="00F81221">
        <w:rPr>
          <w:kern w:val="0"/>
          <w:szCs w:val="24"/>
        </w:rPr>
        <w:t xml:space="preserve"> and </w:t>
      </w:r>
      <w:r>
        <w:rPr>
          <w:kern w:val="0"/>
          <w:szCs w:val="24"/>
        </w:rPr>
        <w:t>5.7</w:t>
      </w:r>
      <w:r w:rsidR="00F81221">
        <w:rPr>
          <w:kern w:val="0"/>
          <w:szCs w:val="24"/>
        </w:rPr>
        <w:t xml:space="preserve"> and </w:t>
      </w:r>
      <w:r>
        <w:rPr>
          <w:kern w:val="0"/>
          <w:szCs w:val="24"/>
        </w:rPr>
        <w:t>7.0 for AA.</w:t>
      </w:r>
    </w:p>
    <w:p w:rsidR="00BB5821" w:rsidRDefault="00BB5821" w:rsidP="00BB5821">
      <w:pPr>
        <w:pStyle w:val="a0"/>
        <w:rPr>
          <w:kern w:val="0"/>
          <w:szCs w:val="24"/>
        </w:rPr>
      </w:pPr>
      <w:r>
        <w:rPr>
          <w:kern w:val="0"/>
          <w:szCs w:val="24"/>
        </w:rPr>
        <w:t xml:space="preserve">Keywords: Acetic Acid, Adsorption, Assam, Batch, Batch Tests, Brackish-Water, Calcite, Calcite, Citric Acid, Contact Time, Defluoridation, Defluoridaton, Donnan Dialysis, Drinking-Water, Electrodialysis, Fluoride, Fluoride Removal, India, Limestone, </w:t>
      </w:r>
      <w:r>
        <w:rPr>
          <w:rFonts w:hint="eastAsia"/>
          <w:kern w:val="0"/>
          <w:szCs w:val="24"/>
        </w:rPr>
        <w:t>p</w:t>
      </w:r>
      <w:r>
        <w:rPr>
          <w:kern w:val="0"/>
          <w:szCs w:val="24"/>
        </w:rPr>
        <w:t>H, Precipitation, Removal, Treatment, Water</w:t>
      </w:r>
    </w:p>
    <w:p w:rsidR="00A37193" w:rsidRDefault="00A37193" w:rsidP="00A37193">
      <w:pPr>
        <w:pStyle w:val="a0"/>
        <w:rPr>
          <w:kern w:val="0"/>
          <w:szCs w:val="24"/>
        </w:rPr>
      </w:pPr>
      <w:r>
        <w:rPr>
          <w:rFonts w:hint="eastAsia"/>
          <w:kern w:val="0"/>
          <w:szCs w:val="24"/>
        </w:rPr>
        <w:t xml:space="preserve">? </w:t>
      </w:r>
      <w:r>
        <w:rPr>
          <w:kern w:val="0"/>
          <w:szCs w:val="24"/>
        </w:rPr>
        <w:t>Li, J.T., Bai, B.</w:t>
      </w:r>
      <w:r w:rsidR="00F81221">
        <w:rPr>
          <w:kern w:val="0"/>
          <w:szCs w:val="24"/>
        </w:rPr>
        <w:t xml:space="preserve"> and </w:t>
      </w:r>
      <w:r>
        <w:rPr>
          <w:kern w:val="0"/>
          <w:szCs w:val="24"/>
        </w:rPr>
        <w:t xml:space="preserve">Song, Y.L. (2010), Degradation of Acid orange 3 in aqueous solution by combination of </w:t>
      </w:r>
      <w:r w:rsidR="00BB5821">
        <w:rPr>
          <w:kern w:val="0"/>
          <w:szCs w:val="24"/>
        </w:rPr>
        <w:t xml:space="preserve">fly </w:t>
      </w:r>
      <w:r>
        <w:rPr>
          <w:kern w:val="0"/>
          <w:szCs w:val="24"/>
        </w:rPr>
        <w:t>ash/H</w:t>
      </w:r>
      <w:r w:rsidRPr="009F3BE9">
        <w:rPr>
          <w:kern w:val="0"/>
          <w:szCs w:val="24"/>
          <w:vertAlign w:val="subscript"/>
        </w:rPr>
        <w:t>2</w:t>
      </w:r>
      <w:r>
        <w:rPr>
          <w:kern w:val="0"/>
          <w:szCs w:val="24"/>
        </w:rPr>
        <w:t>O</w:t>
      </w:r>
      <w:r w:rsidRPr="009F3BE9">
        <w:rPr>
          <w:kern w:val="0"/>
          <w:szCs w:val="24"/>
          <w:vertAlign w:val="subscript"/>
        </w:rPr>
        <w:t>2</w:t>
      </w:r>
      <w:r w:rsidR="00F81221">
        <w:rPr>
          <w:kern w:val="0"/>
          <w:szCs w:val="24"/>
        </w:rPr>
        <w:t xml:space="preserve"> and </w:t>
      </w:r>
      <w:r>
        <w:rPr>
          <w:kern w:val="0"/>
          <w:szCs w:val="24"/>
        </w:rPr>
        <w:t xml:space="preserve">ultrasound irradiation. </w:t>
      </w:r>
      <w:r>
        <w:rPr>
          <w:i/>
          <w:iCs/>
          <w:kern w:val="0"/>
          <w:szCs w:val="24"/>
        </w:rPr>
        <w:t>Indian Journal of Chemical Technology</w:t>
      </w:r>
      <w:r>
        <w:rPr>
          <w:kern w:val="0"/>
          <w:szCs w:val="24"/>
        </w:rPr>
        <w:t xml:space="preserve">, </w:t>
      </w:r>
      <w:r>
        <w:rPr>
          <w:b/>
          <w:bCs/>
          <w:kern w:val="0"/>
          <w:szCs w:val="24"/>
        </w:rPr>
        <w:t>17</w:t>
      </w:r>
      <w:r>
        <w:rPr>
          <w:kern w:val="0"/>
          <w:szCs w:val="24"/>
        </w:rPr>
        <w:t xml:space="preserve"> (3), 198-203.</w:t>
      </w:r>
    </w:p>
    <w:p w:rsidR="00A37193" w:rsidRPr="00F03D2F" w:rsidRDefault="00A37193" w:rsidP="00A37193">
      <w:pPr>
        <w:pStyle w:val="a0"/>
        <w:rPr>
          <w:kern w:val="0"/>
        </w:rPr>
      </w:pPr>
      <w:r w:rsidRPr="00F03D2F">
        <w:rPr>
          <w:kern w:val="0"/>
        </w:rPr>
        <w:t>Full Text:</w:t>
      </w:r>
      <w:r w:rsidRPr="00D7601C">
        <w:t xml:space="preserve"> </w:t>
      </w:r>
      <w:hyperlink r:id="rId932" w:history="1">
        <w:r w:rsidRPr="00A37193">
          <w:rPr>
            <w:rStyle w:val="a5"/>
          </w:rPr>
          <w:t>2010\Ind J Che Tec17, 198.pdf</w:t>
        </w:r>
      </w:hyperlink>
    </w:p>
    <w:p w:rsidR="00A37193" w:rsidRDefault="00A37193" w:rsidP="00A37193">
      <w:pPr>
        <w:pStyle w:val="a0"/>
        <w:rPr>
          <w:kern w:val="0"/>
          <w:szCs w:val="24"/>
        </w:rPr>
      </w:pPr>
      <w:r>
        <w:rPr>
          <w:kern w:val="0"/>
          <w:szCs w:val="24"/>
        </w:rPr>
        <w:t>Abstract: An efficient</w:t>
      </w:r>
      <w:r w:rsidR="00F81221">
        <w:rPr>
          <w:kern w:val="0"/>
          <w:szCs w:val="24"/>
        </w:rPr>
        <w:t xml:space="preserve"> and </w:t>
      </w:r>
      <w:r>
        <w:rPr>
          <w:kern w:val="0"/>
          <w:szCs w:val="24"/>
        </w:rPr>
        <w:t>convenient method for degradation of Acid orange 3 (AO3) dye from aqueous solution by combination of Fly ash/H</w:t>
      </w:r>
      <w:r w:rsidRPr="009F3BE9">
        <w:rPr>
          <w:kern w:val="0"/>
          <w:szCs w:val="24"/>
          <w:vertAlign w:val="subscript"/>
        </w:rPr>
        <w:t>2</w:t>
      </w:r>
      <w:r>
        <w:rPr>
          <w:kern w:val="0"/>
          <w:szCs w:val="24"/>
        </w:rPr>
        <w:t>O</w:t>
      </w:r>
      <w:r w:rsidRPr="009F3BE9">
        <w:rPr>
          <w:kern w:val="0"/>
          <w:szCs w:val="24"/>
          <w:vertAlign w:val="subscript"/>
        </w:rPr>
        <w:t>2</w:t>
      </w:r>
      <w:r w:rsidR="00F81221">
        <w:rPr>
          <w:kern w:val="0"/>
          <w:szCs w:val="24"/>
        </w:rPr>
        <w:t xml:space="preserve"> and </w:t>
      </w:r>
      <w:r>
        <w:rPr>
          <w:kern w:val="0"/>
          <w:szCs w:val="24"/>
        </w:rPr>
        <w:t>ultrasound irradiation is reported. The effects of the relevant operating conditions (pH value, dye concentration, H</w:t>
      </w:r>
      <w:r w:rsidRPr="009F3BE9">
        <w:rPr>
          <w:kern w:val="0"/>
          <w:szCs w:val="24"/>
          <w:vertAlign w:val="subscript"/>
        </w:rPr>
        <w:t>2</w:t>
      </w:r>
      <w:r>
        <w:rPr>
          <w:kern w:val="0"/>
          <w:szCs w:val="24"/>
        </w:rPr>
        <w:t>O</w:t>
      </w:r>
      <w:r w:rsidRPr="009F3BE9">
        <w:rPr>
          <w:kern w:val="0"/>
          <w:szCs w:val="24"/>
          <w:vertAlign w:val="subscript"/>
        </w:rPr>
        <w:t>2</w:t>
      </w:r>
      <w:r>
        <w:rPr>
          <w:kern w:val="0"/>
          <w:szCs w:val="24"/>
        </w:rPr>
        <w:t xml:space="preserve"> concentration, dosage of Fly ash</w:t>
      </w:r>
      <w:r w:rsidR="00F81221">
        <w:rPr>
          <w:kern w:val="0"/>
          <w:szCs w:val="24"/>
        </w:rPr>
        <w:t xml:space="preserve"> and </w:t>
      </w:r>
      <w:r>
        <w:rPr>
          <w:kern w:val="0"/>
          <w:szCs w:val="24"/>
        </w:rPr>
        <w:t>different reaction system) on the degradation of AO3 were also observed. The combination method was found to be effective</w:t>
      </w:r>
      <w:r w:rsidR="00F81221">
        <w:rPr>
          <w:kern w:val="0"/>
          <w:szCs w:val="24"/>
        </w:rPr>
        <w:t xml:space="preserve"> and </w:t>
      </w:r>
      <w:r>
        <w:rPr>
          <w:kern w:val="0"/>
          <w:szCs w:val="24"/>
        </w:rPr>
        <w:t>could yield better results than either sonolysis or Fenton-like oxidation individually. Removal of 96% was obtained under the optimum conditions (dye concentration, 100 mg/L; H</w:t>
      </w:r>
      <w:r w:rsidRPr="009F3BE9">
        <w:rPr>
          <w:kern w:val="0"/>
          <w:szCs w:val="24"/>
          <w:vertAlign w:val="subscript"/>
        </w:rPr>
        <w:t>2</w:t>
      </w:r>
      <w:r>
        <w:rPr>
          <w:kern w:val="0"/>
          <w:szCs w:val="24"/>
        </w:rPr>
        <w:t>O</w:t>
      </w:r>
      <w:r w:rsidRPr="009F3BE9">
        <w:rPr>
          <w:kern w:val="0"/>
          <w:szCs w:val="24"/>
          <w:vertAlign w:val="subscript"/>
        </w:rPr>
        <w:t>2</w:t>
      </w:r>
      <w:r>
        <w:rPr>
          <w:kern w:val="0"/>
          <w:szCs w:val="24"/>
        </w:rPr>
        <w:t>, 5.4 mM; Fly ash, 2.5 g/L; pH 3, ultrasonic irradiation frequency of 25 kHz, room temperature). The process of the degradation follows Behnajady</w:t>
      </w:r>
      <w:r w:rsidR="000352E7">
        <w:rPr>
          <w:kern w:val="0"/>
          <w:szCs w:val="24"/>
        </w:rPr>
        <w:t>’</w:t>
      </w:r>
      <w:r>
        <w:rPr>
          <w:kern w:val="0"/>
          <w:szCs w:val="24"/>
        </w:rPr>
        <w:t>s kinetic mathematical model.</w:t>
      </w:r>
    </w:p>
    <w:p w:rsidR="00A37193" w:rsidRDefault="00A37193" w:rsidP="00A37193">
      <w:pPr>
        <w:pStyle w:val="a0"/>
        <w:rPr>
          <w:kern w:val="0"/>
          <w:szCs w:val="24"/>
        </w:rPr>
      </w:pPr>
      <w:r>
        <w:rPr>
          <w:kern w:val="0"/>
          <w:szCs w:val="24"/>
        </w:rPr>
        <w:t xml:space="preserve">Keywords: Acid Orange 3 Dye, Adsorption, Ash, Degradation, Dye, Fenton-Like Oxidation, Fly Ash, Irradiation, Kinetic, Model, Operating Conditions, Oxidation, </w:t>
      </w:r>
      <w:r>
        <w:rPr>
          <w:rFonts w:hint="eastAsia"/>
          <w:kern w:val="0"/>
          <w:szCs w:val="24"/>
        </w:rPr>
        <w:t>p</w:t>
      </w:r>
      <w:r>
        <w:rPr>
          <w:kern w:val="0"/>
          <w:szCs w:val="24"/>
        </w:rPr>
        <w:t>H, Red, Removal, System, Temperature, Ultrasound Irradiation, Water</w:t>
      </w:r>
    </w:p>
    <w:p w:rsidR="00934861" w:rsidRDefault="00934861" w:rsidP="00934861">
      <w:pPr>
        <w:pStyle w:val="a0"/>
        <w:rPr>
          <w:kern w:val="0"/>
        </w:rPr>
      </w:pPr>
      <w:r>
        <w:rPr>
          <w:kern w:val="0"/>
        </w:rPr>
        <w:t>? Anirudhan, T.S.</w:t>
      </w:r>
      <w:r w:rsidR="00F81221">
        <w:rPr>
          <w:kern w:val="0"/>
        </w:rPr>
        <w:t xml:space="preserve"> and </w:t>
      </w:r>
      <w:r>
        <w:rPr>
          <w:kern w:val="0"/>
        </w:rPr>
        <w:t>Suchithra, P.S. (2010), Equilibrium, kinetic</w:t>
      </w:r>
      <w:r w:rsidR="00F81221">
        <w:rPr>
          <w:kern w:val="0"/>
        </w:rPr>
        <w:t xml:space="preserve"> and </w:t>
      </w:r>
      <w:r>
        <w:rPr>
          <w:kern w:val="0"/>
        </w:rPr>
        <w:t xml:space="preserve">thermodynamic modeling for the adsorption of heavy metals onto chemically modified hydrotalcite. </w:t>
      </w:r>
      <w:r>
        <w:rPr>
          <w:i/>
          <w:iCs/>
          <w:kern w:val="0"/>
        </w:rPr>
        <w:t>Indian Journal of Chemical Technology</w:t>
      </w:r>
      <w:r>
        <w:rPr>
          <w:kern w:val="0"/>
        </w:rPr>
        <w:t xml:space="preserve">, </w:t>
      </w:r>
      <w:r>
        <w:rPr>
          <w:b/>
          <w:bCs/>
          <w:kern w:val="0"/>
        </w:rPr>
        <w:t>17</w:t>
      </w:r>
      <w:r>
        <w:rPr>
          <w:kern w:val="0"/>
        </w:rPr>
        <w:t xml:space="preserve"> (4), 247-259.</w:t>
      </w:r>
    </w:p>
    <w:p w:rsidR="00934861" w:rsidRPr="00F03D2F" w:rsidRDefault="00934861" w:rsidP="00934861">
      <w:pPr>
        <w:pStyle w:val="a0"/>
        <w:rPr>
          <w:kern w:val="0"/>
        </w:rPr>
      </w:pPr>
      <w:r w:rsidRPr="00F03D2F">
        <w:rPr>
          <w:kern w:val="0"/>
        </w:rPr>
        <w:t>Full Text:</w:t>
      </w:r>
      <w:r w:rsidRPr="00D7601C">
        <w:t xml:space="preserve"> </w:t>
      </w:r>
      <w:hyperlink r:id="rId933" w:history="1">
        <w:r w:rsidRPr="00F11834">
          <w:rPr>
            <w:rStyle w:val="a5"/>
          </w:rPr>
          <w:t>2010\Ind J Che Tec17, 247.pdf</w:t>
        </w:r>
      </w:hyperlink>
    </w:p>
    <w:p w:rsidR="00934861" w:rsidRDefault="00934861" w:rsidP="00934861">
      <w:pPr>
        <w:pStyle w:val="a0"/>
        <w:rPr>
          <w:kern w:val="0"/>
        </w:rPr>
      </w:pPr>
      <w:r>
        <w:rPr>
          <w:kern w:val="0"/>
        </w:rPr>
        <w:t>Abstract: The adsorption of heavy metals (Cu(II), Zn(II)</w:t>
      </w:r>
      <w:r w:rsidR="00F81221">
        <w:rPr>
          <w:kern w:val="0"/>
        </w:rPr>
        <w:t xml:space="preserve"> and </w:t>
      </w:r>
      <w:r>
        <w:rPr>
          <w:kern w:val="0"/>
        </w:rPr>
        <w:t>Cd(II)) from aqueous solutions with tannin-immobilized calcined hydrotalcite (TA-HTC) was studied using batch experiment technique. The surface characterizations of the adsorbent were investigated. Kinetic modeling of removal of metals was done using a pseudo-second-order rate expression. The intraparticle mass transfer diffussion of metals on adsorbent represented the rate-limiting step, with the activation energy of 27 05, 24 22</w:t>
      </w:r>
      <w:r w:rsidR="00F81221">
        <w:rPr>
          <w:kern w:val="0"/>
        </w:rPr>
        <w:t xml:space="preserve"> and </w:t>
      </w:r>
      <w:r>
        <w:rPr>
          <w:kern w:val="0"/>
        </w:rPr>
        <w:t>21.96 kJ/mol for Cu(II), Zn(II)</w:t>
      </w:r>
      <w:r w:rsidR="00F81221">
        <w:rPr>
          <w:kern w:val="0"/>
        </w:rPr>
        <w:t xml:space="preserve"> and </w:t>
      </w:r>
      <w:r>
        <w:rPr>
          <w:kern w:val="0"/>
        </w:rPr>
        <w:t>Cd(II), respectively Experimental results showed that the adsorption of metals was selective to be in the order of Cu(II)&gt;Zn(II)&gt;Cd(II). Equilibrium isotherm data for metal ions were analyzed by the Langmuir, Freundlich, Dubinin-Radushkevich</w:t>
      </w:r>
      <w:r w:rsidR="00F81221">
        <w:rPr>
          <w:kern w:val="0"/>
        </w:rPr>
        <w:t xml:space="preserve"> and </w:t>
      </w:r>
      <w:r>
        <w:rPr>
          <w:kern w:val="0"/>
        </w:rPr>
        <w:t xml:space="preserve">Scatchard equations. The Langmuir adsorption isotherm described the adsorption data very well at all studied temperatures. Thermodynamic parameters such as standard enthalpy </w:t>
      </w:r>
      <w:r>
        <w:rPr>
          <w:kern w:val="0"/>
        </w:rPr>
        <w:lastRenderedPageBreak/>
        <w:t>(ΔH*), standard entropy (ΔS*), standard free energy (ΔG*), activation energy</w:t>
      </w:r>
      <w:r w:rsidR="00F81221">
        <w:rPr>
          <w:kern w:val="0"/>
        </w:rPr>
        <w:t xml:space="preserve"> and </w:t>
      </w:r>
      <w:r>
        <w:rPr>
          <w:kern w:val="0"/>
        </w:rPr>
        <w:t>isosteric enthalpy</w:t>
      </w:r>
      <w:r w:rsidR="00F81221">
        <w:rPr>
          <w:kern w:val="0"/>
        </w:rPr>
        <w:t xml:space="preserve"> and </w:t>
      </w:r>
      <w:r>
        <w:rPr>
          <w:kern w:val="0"/>
        </w:rPr>
        <w:t>entropy were calculated</w:t>
      </w:r>
      <w:r w:rsidR="00F81221">
        <w:rPr>
          <w:kern w:val="0"/>
        </w:rPr>
        <w:t xml:space="preserve"> and </w:t>
      </w:r>
      <w:r>
        <w:rPr>
          <w:kern w:val="0"/>
        </w:rPr>
        <w:t>the results are discussed in detail.</w:t>
      </w:r>
    </w:p>
    <w:p w:rsidR="00934861" w:rsidRDefault="00934861" w:rsidP="00934861">
      <w:pPr>
        <w:pStyle w:val="a0"/>
        <w:rPr>
          <w:kern w:val="0"/>
        </w:rPr>
      </w:pPr>
      <w:r>
        <w:rPr>
          <w:kern w:val="0"/>
        </w:rPr>
        <w:t xml:space="preserve">Keywords: Activation, Activation Energy, Adsorbent, Adsorption, Adsorption Isotherm, Adsorption </w:t>
      </w:r>
      <w:r w:rsidR="00A37193">
        <w:rPr>
          <w:kern w:val="0"/>
        </w:rPr>
        <w:t xml:space="preserve">of </w:t>
      </w:r>
      <w:r>
        <w:rPr>
          <w:kern w:val="0"/>
        </w:rPr>
        <w:t>Metals, Aqueous Solutions, Aqueous-Solutions, Batch, Cadmium, Calcined, Calcined Hydrotalcite, Cation-Exchanger, Cd(II), Characterizations, Cu(II), Data, Energy, Enthalpy, Entropy, Equilibrium, Equilibrium Isotherm, Experiment, Expression, Freundlich, Heavy Metals, Hydrotalcite, Ions, Ions Removal, Isotherm, Isotherms, Kinetic, Kinetic Modeling, Kinetics, Langmuir, Langmuir Adsorption Isotherm, Layered Double Hydroxides, Mass Transfer, Metal, Metal Ions, Metals, Modeling, Modified, Pseudo Second Order, Pseudo-Second-Order, Pseudo-Second-Order Rate, Rate Limiting Step, Rate-Limiting Step, Removal, Solutions, Sorption, Standard, Surface, Thermodynamic, Thermodynamic Parameters, Thermodynamics, Waste, Zn, Zn(II)</w:t>
      </w:r>
    </w:p>
    <w:p w:rsidR="00A37193" w:rsidRDefault="00A37193" w:rsidP="00A37193">
      <w:pPr>
        <w:pStyle w:val="a0"/>
        <w:rPr>
          <w:kern w:val="0"/>
          <w:szCs w:val="24"/>
        </w:rPr>
      </w:pPr>
      <w:r>
        <w:rPr>
          <w:rFonts w:hint="eastAsia"/>
          <w:kern w:val="0"/>
          <w:szCs w:val="24"/>
        </w:rPr>
        <w:t xml:space="preserve">? </w:t>
      </w:r>
      <w:r>
        <w:rPr>
          <w:kern w:val="0"/>
          <w:szCs w:val="24"/>
        </w:rPr>
        <w:t>Khan, G.M.A., Arafat, S.M.Y., Reza, M.N., Razzaque, S.M.A.</w:t>
      </w:r>
      <w:r w:rsidR="00F81221">
        <w:rPr>
          <w:kern w:val="0"/>
          <w:szCs w:val="24"/>
        </w:rPr>
        <w:t xml:space="preserve"> and </w:t>
      </w:r>
      <w:r>
        <w:rPr>
          <w:kern w:val="0"/>
          <w:szCs w:val="24"/>
        </w:rPr>
        <w:t>Alam, M.S. (2010), Linde Type-A zeolite synthesis</w:t>
      </w:r>
      <w:r w:rsidR="00F81221">
        <w:rPr>
          <w:kern w:val="0"/>
          <w:szCs w:val="24"/>
        </w:rPr>
        <w:t xml:space="preserve"> and </w:t>
      </w:r>
      <w:r>
        <w:rPr>
          <w:kern w:val="0"/>
          <w:szCs w:val="24"/>
        </w:rPr>
        <w:t xml:space="preserve">effect of crystallization on its surface acidity. </w:t>
      </w:r>
      <w:r>
        <w:rPr>
          <w:i/>
          <w:iCs/>
          <w:kern w:val="0"/>
          <w:szCs w:val="24"/>
        </w:rPr>
        <w:t>Indian Journal of Chemical Technology</w:t>
      </w:r>
      <w:r>
        <w:rPr>
          <w:kern w:val="0"/>
          <w:szCs w:val="24"/>
        </w:rPr>
        <w:t xml:space="preserve">, </w:t>
      </w:r>
      <w:r>
        <w:rPr>
          <w:b/>
          <w:bCs/>
          <w:kern w:val="0"/>
          <w:szCs w:val="24"/>
        </w:rPr>
        <w:t>17</w:t>
      </w:r>
      <w:r>
        <w:rPr>
          <w:kern w:val="0"/>
          <w:szCs w:val="24"/>
        </w:rPr>
        <w:t xml:space="preserve"> (4), 303-308.</w:t>
      </w:r>
    </w:p>
    <w:p w:rsidR="00A37193" w:rsidRPr="00F03D2F" w:rsidRDefault="00A37193" w:rsidP="00A37193">
      <w:pPr>
        <w:pStyle w:val="a0"/>
        <w:rPr>
          <w:kern w:val="0"/>
        </w:rPr>
      </w:pPr>
      <w:r w:rsidRPr="00F03D2F">
        <w:rPr>
          <w:kern w:val="0"/>
        </w:rPr>
        <w:t>Full Text:</w:t>
      </w:r>
      <w:r w:rsidRPr="00D7601C">
        <w:t xml:space="preserve"> </w:t>
      </w:r>
      <w:hyperlink r:id="rId934" w:history="1">
        <w:r w:rsidRPr="00A37193">
          <w:rPr>
            <w:rStyle w:val="a5"/>
          </w:rPr>
          <w:t>2010\Ind J Che Tec17, 303.pdf</w:t>
        </w:r>
      </w:hyperlink>
    </w:p>
    <w:p w:rsidR="00A37193" w:rsidRDefault="00A37193" w:rsidP="00A37193">
      <w:pPr>
        <w:pStyle w:val="a0"/>
        <w:rPr>
          <w:kern w:val="0"/>
          <w:szCs w:val="24"/>
        </w:rPr>
      </w:pPr>
      <w:r>
        <w:rPr>
          <w:kern w:val="0"/>
          <w:szCs w:val="24"/>
        </w:rPr>
        <w:t>Abstract: An alumino-silicate zeolite, Linde Type-A (LTA) has been prepared from aluminium powder</w:t>
      </w:r>
      <w:r w:rsidR="00F81221">
        <w:rPr>
          <w:kern w:val="0"/>
          <w:szCs w:val="24"/>
        </w:rPr>
        <w:t xml:space="preserve"> and </w:t>
      </w:r>
      <w:r>
        <w:rPr>
          <w:kern w:val="0"/>
          <w:szCs w:val="24"/>
        </w:rPr>
        <w:t>sodium metasilicate by hydrothermal process. The zeolite was characterized by FTIR</w:t>
      </w:r>
      <w:r w:rsidR="00F81221">
        <w:rPr>
          <w:kern w:val="0"/>
          <w:szCs w:val="24"/>
        </w:rPr>
        <w:t xml:space="preserve"> and </w:t>
      </w:r>
      <w:r>
        <w:rPr>
          <w:kern w:val="0"/>
          <w:szCs w:val="24"/>
        </w:rPr>
        <w:t>X-ray diffraction (XRD) analysis</w:t>
      </w:r>
      <w:r w:rsidR="00F81221">
        <w:rPr>
          <w:kern w:val="0"/>
          <w:szCs w:val="24"/>
        </w:rPr>
        <w:t xml:space="preserve"> and </w:t>
      </w:r>
      <w:r>
        <w:rPr>
          <w:kern w:val="0"/>
          <w:szCs w:val="24"/>
        </w:rPr>
        <w:t>by measuring the surface acidity using KOH as adsorbate. The surface acidity of LTA zeolite varied greatly with varying synthesized conditions such as crystallization temperature, crystallization time</w:t>
      </w:r>
      <w:r w:rsidR="00F81221">
        <w:rPr>
          <w:kern w:val="0"/>
          <w:szCs w:val="24"/>
        </w:rPr>
        <w:t xml:space="preserve"> and </w:t>
      </w:r>
      <w:r>
        <w:rPr>
          <w:kern w:val="0"/>
          <w:szCs w:val="24"/>
        </w:rPr>
        <w:t>K+ ion adsorption period The Bronsted acid site on the zeolite surface increased with increasing crystallization temperature</w:t>
      </w:r>
      <w:r w:rsidR="00F81221">
        <w:rPr>
          <w:kern w:val="0"/>
          <w:szCs w:val="24"/>
        </w:rPr>
        <w:t xml:space="preserve"> and </w:t>
      </w:r>
      <w:r>
        <w:rPr>
          <w:kern w:val="0"/>
          <w:szCs w:val="24"/>
        </w:rPr>
        <w:t>the maximum surface acidity was obtained at 100°C. Crystal growth was also dependent on the crystallization time. The surface acidity increased with increasing crystallization time. The maximum surface acidity due to the maximum consumption of the K</w:t>
      </w:r>
      <w:r w:rsidRPr="009F3BE9">
        <w:rPr>
          <w:kern w:val="0"/>
          <w:szCs w:val="24"/>
          <w:vertAlign w:val="superscript"/>
        </w:rPr>
        <w:t>+</w:t>
      </w:r>
      <w:r>
        <w:rPr>
          <w:kern w:val="0"/>
          <w:szCs w:val="24"/>
        </w:rPr>
        <w:t xml:space="preserve"> ion was observed at 48 h adsorption time</w:t>
      </w:r>
      <w:r w:rsidR="00F81221">
        <w:rPr>
          <w:kern w:val="0"/>
          <w:szCs w:val="24"/>
        </w:rPr>
        <w:t xml:space="preserve"> and </w:t>
      </w:r>
      <w:r>
        <w:rPr>
          <w:kern w:val="0"/>
          <w:szCs w:val="24"/>
        </w:rPr>
        <w:t>the value was found to be 0 9 meq/g when Si.Al was 50 50 It was seen that the surface acidity was more pronounced when ammonium hydroxide solution as adsorbate</w:t>
      </w:r>
      <w:r w:rsidR="00F81221">
        <w:rPr>
          <w:kern w:val="0"/>
          <w:szCs w:val="24"/>
        </w:rPr>
        <w:t xml:space="preserve"> and </w:t>
      </w:r>
      <w:r>
        <w:rPr>
          <w:kern w:val="0"/>
          <w:szCs w:val="24"/>
        </w:rPr>
        <w:t>agitated crystallization condition were used The surface acidity of the commercial LTA zeolite was compared with the surface acidity of the synthesized LTA zeolite It was found that the surface acidity of synthesized LTA zeolite is slightly greater than commercial LTA zeolite.</w:t>
      </w:r>
    </w:p>
    <w:p w:rsidR="00A37193" w:rsidRDefault="00A37193" w:rsidP="00A37193">
      <w:pPr>
        <w:pStyle w:val="a0"/>
        <w:rPr>
          <w:kern w:val="0"/>
          <w:szCs w:val="24"/>
        </w:rPr>
      </w:pPr>
      <w:r>
        <w:rPr>
          <w:kern w:val="0"/>
          <w:szCs w:val="24"/>
        </w:rPr>
        <w:t>Keywords: Adsorption, Al-MCM-41, Aluminium, Alumino Silicate, Aluminosilicate, Aluminum, Analysis, FTIR, FTIR Spectroscopy, Growth, LTA Zeolite, Molecular-Sieves, Surface Acidity, Synthesis, Temperature, X-Ray, X-Ray Diffraction, XRD, XRD Measurement, Zeolite</w:t>
      </w:r>
    </w:p>
    <w:p w:rsidR="003D1EC7" w:rsidRDefault="003D1EC7" w:rsidP="003D1EC7">
      <w:pPr>
        <w:pStyle w:val="a0"/>
        <w:rPr>
          <w:kern w:val="0"/>
        </w:rPr>
      </w:pPr>
      <w:r>
        <w:rPr>
          <w:rFonts w:hint="eastAsia"/>
          <w:kern w:val="0"/>
        </w:rPr>
        <w:t xml:space="preserve">? </w:t>
      </w:r>
      <w:r>
        <w:rPr>
          <w:kern w:val="0"/>
        </w:rPr>
        <w:t>Rao, K.S., Anand, S.</w:t>
      </w:r>
      <w:r w:rsidR="00F81221">
        <w:rPr>
          <w:kern w:val="0"/>
        </w:rPr>
        <w:t xml:space="preserve"> and </w:t>
      </w:r>
      <w:r>
        <w:rPr>
          <w:kern w:val="0"/>
        </w:rPr>
        <w:t>Venkateswarlu, P. (2010), Equilibrium</w:t>
      </w:r>
      <w:r w:rsidR="00F81221">
        <w:rPr>
          <w:kern w:val="0"/>
        </w:rPr>
        <w:t xml:space="preserve"> and </w:t>
      </w:r>
      <w:r>
        <w:rPr>
          <w:kern w:val="0"/>
        </w:rPr>
        <w:t xml:space="preserve">kinetic studies </w:t>
      </w:r>
      <w:r>
        <w:rPr>
          <w:kern w:val="0"/>
        </w:rPr>
        <w:lastRenderedPageBreak/>
        <w:t xml:space="preserve">for Cd(II) adsorption from aqueous solution on </w:t>
      </w:r>
      <w:r w:rsidRPr="0071742F">
        <w:rPr>
          <w:i/>
          <w:kern w:val="0"/>
        </w:rPr>
        <w:t>Terminalia catappa</w:t>
      </w:r>
      <w:r>
        <w:rPr>
          <w:kern w:val="0"/>
        </w:rPr>
        <w:t xml:space="preserve"> Linn leaf powder biosorbent. </w:t>
      </w:r>
      <w:r>
        <w:rPr>
          <w:i/>
          <w:iCs/>
          <w:kern w:val="0"/>
        </w:rPr>
        <w:t>Indian Journal of Chemical Technology</w:t>
      </w:r>
      <w:r>
        <w:rPr>
          <w:kern w:val="0"/>
        </w:rPr>
        <w:t xml:space="preserve">, </w:t>
      </w:r>
      <w:r>
        <w:rPr>
          <w:b/>
          <w:bCs/>
          <w:kern w:val="0"/>
        </w:rPr>
        <w:t>17</w:t>
      </w:r>
      <w:r>
        <w:rPr>
          <w:kern w:val="0"/>
        </w:rPr>
        <w:t xml:space="preserve"> (5), 329-336.</w:t>
      </w:r>
    </w:p>
    <w:p w:rsidR="003D1EC7" w:rsidRPr="00F219CA" w:rsidRDefault="003D1EC7" w:rsidP="003D1EC7">
      <w:pPr>
        <w:pStyle w:val="a0"/>
        <w:rPr>
          <w:kern w:val="0"/>
        </w:rPr>
      </w:pPr>
      <w:r>
        <w:rPr>
          <w:rFonts w:hint="eastAsia"/>
          <w:kern w:val="0"/>
        </w:rPr>
        <w:t xml:space="preserve">Full Text: </w:t>
      </w:r>
      <w:hyperlink r:id="rId935" w:history="1">
        <w:r w:rsidRPr="003D1EC7">
          <w:rPr>
            <w:rStyle w:val="a5"/>
            <w:kern w:val="0"/>
          </w:rPr>
          <w:t>2010\Ind J Che Tec17, 329.pdf</w:t>
        </w:r>
      </w:hyperlink>
    </w:p>
    <w:p w:rsidR="003D1EC7" w:rsidRDefault="003D1EC7" w:rsidP="003D1EC7">
      <w:pPr>
        <w:pStyle w:val="a0"/>
        <w:rPr>
          <w:kern w:val="0"/>
        </w:rPr>
      </w:pPr>
      <w:r>
        <w:rPr>
          <w:kern w:val="0"/>
        </w:rPr>
        <w:t>Abstract: Terminalia catappa Linn,</w:t>
      </w:r>
      <w:r>
        <w:rPr>
          <w:rFonts w:hint="eastAsia"/>
          <w:kern w:val="0"/>
        </w:rPr>
        <w:t xml:space="preserve"> </w:t>
      </w:r>
      <w:r>
        <w:rPr>
          <w:kern w:val="0"/>
        </w:rPr>
        <w:t>(TCL) leaf (almond leaf) powder was tested as a biosorbent in a batch adsorption system. The samples with</w:t>
      </w:r>
      <w:r w:rsidR="00F81221">
        <w:rPr>
          <w:kern w:val="0"/>
        </w:rPr>
        <w:t xml:space="preserve"> and </w:t>
      </w:r>
      <w:r>
        <w:rPr>
          <w:kern w:val="0"/>
        </w:rPr>
        <w:t>without Cd(II) adsorption were characterized using FTIR</w:t>
      </w:r>
      <w:r w:rsidR="00F81221">
        <w:rPr>
          <w:kern w:val="0"/>
        </w:rPr>
        <w:t xml:space="preserve"> and </w:t>
      </w:r>
      <w:r>
        <w:rPr>
          <w:kern w:val="0"/>
        </w:rPr>
        <w:t>SEM-EPMA techniques. Loading of Cd(II) onto to TCL powder resulted in shift of various band positions (5 to 51 cm</w:t>
      </w:r>
      <w:r w:rsidRPr="003D1EC7">
        <w:rPr>
          <w:kern w:val="0"/>
          <w:vertAlign w:val="superscript"/>
        </w:rPr>
        <w:t>-1</w:t>
      </w:r>
      <w:r>
        <w:rPr>
          <w:kern w:val="0"/>
        </w:rPr>
        <w:t>) in the FTIR spectrum. The EPMA of Cd(II) loaded powder showed that Cd(II) was not uniformly distributed on the surface but only on specific sites. The experimental parameters chosen for adsorption studies were: pH (2.0 to 6.0), contact time (5 to 120 min), adsorbate concentration (50 to 500 mg L</w:t>
      </w:r>
      <w:r w:rsidRPr="003D1EC7">
        <w:rPr>
          <w:kern w:val="0"/>
          <w:vertAlign w:val="superscript"/>
        </w:rPr>
        <w:t>-1</w:t>
      </w:r>
      <w:r>
        <w:rPr>
          <w:kern w:val="0"/>
        </w:rPr>
        <w:t>), adsorbent concentration (0.25 to 5.0 g per 50 mL adsorbate), anions</w:t>
      </w:r>
      <w:r w:rsidR="00F81221">
        <w:rPr>
          <w:kern w:val="0"/>
        </w:rPr>
        <w:t xml:space="preserve"> and </w:t>
      </w:r>
      <w:r>
        <w:rPr>
          <w:kern w:val="0"/>
        </w:rPr>
        <w:t>Pb(II) concentration. With the increase in pH from 2.0 to 4.0, Cd(II) adsorption increased from 0.86 to 13.79 mg g</w:t>
      </w:r>
      <w:r w:rsidRPr="003D1EC7">
        <w:rPr>
          <w:kern w:val="0"/>
          <w:vertAlign w:val="superscript"/>
        </w:rPr>
        <w:t>-1</w:t>
      </w:r>
      <w:r w:rsidR="00F81221">
        <w:rPr>
          <w:kern w:val="0"/>
        </w:rPr>
        <w:t xml:space="preserve"> and </w:t>
      </w:r>
      <w:r>
        <w:rPr>
          <w:kern w:val="0"/>
        </w:rPr>
        <w:t>with the further increase in pH to 5.5 only marginal increase to 14.12 mg g</w:t>
      </w:r>
      <w:r w:rsidRPr="003D1EC7">
        <w:rPr>
          <w:kern w:val="0"/>
          <w:vertAlign w:val="superscript"/>
        </w:rPr>
        <w:t>-1</w:t>
      </w:r>
      <w:r>
        <w:rPr>
          <w:kern w:val="0"/>
        </w:rPr>
        <w:t xml:space="preserve"> was observed. Presence of chloride, sulphate or Pb(II) adversely affected Cd(II) adsorption onto TCL. The kinetics of adsorption could be best described by the pseudo-second-order equation. The three equilibrium models namely, Langmuir, Freundlich</w:t>
      </w:r>
      <w:r w:rsidR="00F81221">
        <w:rPr>
          <w:kern w:val="0"/>
        </w:rPr>
        <w:t xml:space="preserve"> and </w:t>
      </w:r>
      <w:r>
        <w:rPr>
          <w:kern w:val="0"/>
        </w:rPr>
        <w:t>Redlich-Peterson fitted well to the isothermic experimental data for TCL with regression coefficients of &gt; 0.97. The maximum uptake capacity of the biosorbent was estimated to be 35.83 mg g</w:t>
      </w:r>
      <w:r>
        <w:rPr>
          <w:rFonts w:hint="eastAsia"/>
          <w:kern w:val="0"/>
          <w:vertAlign w:val="superscript"/>
        </w:rPr>
        <w:t>-1</w:t>
      </w:r>
      <w:r>
        <w:rPr>
          <w:kern w:val="0"/>
        </w:rPr>
        <w:t>.</w:t>
      </w:r>
    </w:p>
    <w:p w:rsidR="003D1EC7" w:rsidRDefault="003D1EC7" w:rsidP="003D1EC7">
      <w:pPr>
        <w:pStyle w:val="a0"/>
        <w:rPr>
          <w:kern w:val="0"/>
        </w:rPr>
      </w:pPr>
      <w:r>
        <w:rPr>
          <w:kern w:val="0"/>
        </w:rPr>
        <w:t>Keywords: Activated Carbon, Adsorbent, Adsorption, Batch, Biosorbent, Biosorption, Cadmium Adsorption, Cadmium(II), Capacity, Cd(II), Contact Time, Data, Equilibrium, Freundlich, FTIR, Heavy-Metals, Ions, Isotherms, Kinetic, Kinetics, Langmuir, Leaf, Low-Cost Adsorbents, Models, Pb(II), pH, Pseudo Second Order, Pseudo-Second-Order, Removal, Sorption, System, Terminalia Catappa Linn Leaf Powder, Uptake, Waste, Water</w:t>
      </w:r>
    </w:p>
    <w:p w:rsidR="003D1EC7" w:rsidRDefault="003D1EC7" w:rsidP="003D1EC7">
      <w:pPr>
        <w:pStyle w:val="a0"/>
        <w:rPr>
          <w:kern w:val="0"/>
        </w:rPr>
      </w:pPr>
      <w:r>
        <w:rPr>
          <w:rFonts w:hint="eastAsia"/>
          <w:kern w:val="0"/>
        </w:rPr>
        <w:t xml:space="preserve">? </w:t>
      </w:r>
      <w:r>
        <w:rPr>
          <w:kern w:val="0"/>
        </w:rPr>
        <w:t>Bai, M.T., Komali, K.</w:t>
      </w:r>
      <w:r w:rsidR="00F81221">
        <w:rPr>
          <w:kern w:val="0"/>
        </w:rPr>
        <w:t xml:space="preserve"> and </w:t>
      </w:r>
      <w:r>
        <w:rPr>
          <w:kern w:val="0"/>
        </w:rPr>
        <w:t>Venkateswarlu, P. (2010), Equilibrium, kinetic</w:t>
      </w:r>
      <w:r w:rsidR="00F81221">
        <w:rPr>
          <w:kern w:val="0"/>
        </w:rPr>
        <w:t xml:space="preserve"> and </w:t>
      </w:r>
      <w:r>
        <w:rPr>
          <w:kern w:val="0"/>
        </w:rPr>
        <w:t>thermodynamic studies on biosorption of copper</w:t>
      </w:r>
      <w:r w:rsidR="00F81221">
        <w:rPr>
          <w:kern w:val="0"/>
        </w:rPr>
        <w:t xml:space="preserve"> and </w:t>
      </w:r>
      <w:r>
        <w:rPr>
          <w:kern w:val="0"/>
        </w:rPr>
        <w:t xml:space="preserve">zinc from mixed solution by </w:t>
      </w:r>
      <w:r w:rsidRPr="0071742F">
        <w:rPr>
          <w:i/>
          <w:kern w:val="0"/>
        </w:rPr>
        <w:t>Erythrina variegata orientalis</w:t>
      </w:r>
      <w:r>
        <w:rPr>
          <w:kern w:val="0"/>
        </w:rPr>
        <w:t xml:space="preserve"> leaf powder. </w:t>
      </w:r>
      <w:r>
        <w:rPr>
          <w:i/>
          <w:iCs/>
          <w:kern w:val="0"/>
        </w:rPr>
        <w:t>Indian Journal of Chemical Technology</w:t>
      </w:r>
      <w:r>
        <w:rPr>
          <w:kern w:val="0"/>
        </w:rPr>
        <w:t xml:space="preserve">, </w:t>
      </w:r>
      <w:r>
        <w:rPr>
          <w:b/>
          <w:bCs/>
          <w:kern w:val="0"/>
        </w:rPr>
        <w:t>17</w:t>
      </w:r>
      <w:r>
        <w:rPr>
          <w:kern w:val="0"/>
        </w:rPr>
        <w:t xml:space="preserve"> (5), 346-355.</w:t>
      </w:r>
    </w:p>
    <w:p w:rsidR="003D1EC7" w:rsidRPr="00F219CA" w:rsidRDefault="003D1EC7" w:rsidP="003D1EC7">
      <w:pPr>
        <w:pStyle w:val="a0"/>
        <w:rPr>
          <w:kern w:val="0"/>
        </w:rPr>
      </w:pPr>
      <w:r>
        <w:rPr>
          <w:rFonts w:hint="eastAsia"/>
          <w:kern w:val="0"/>
        </w:rPr>
        <w:t xml:space="preserve">Full Text: </w:t>
      </w:r>
      <w:hyperlink r:id="rId936" w:history="1">
        <w:r w:rsidRPr="003D1EC7">
          <w:rPr>
            <w:rStyle w:val="a5"/>
            <w:kern w:val="0"/>
          </w:rPr>
          <w:t>2010\Ind J Che Tec17, 346.pdf</w:t>
        </w:r>
      </w:hyperlink>
    </w:p>
    <w:p w:rsidR="003D1EC7" w:rsidRDefault="003D1EC7" w:rsidP="003D1EC7">
      <w:pPr>
        <w:pStyle w:val="a0"/>
        <w:rPr>
          <w:kern w:val="0"/>
        </w:rPr>
      </w:pPr>
      <w:r>
        <w:rPr>
          <w:kern w:val="0"/>
        </w:rPr>
        <w:t>Abstract: Present investigation is undertaken to explore the feasibility of biosorption for the removal of copper</w:t>
      </w:r>
      <w:r w:rsidR="00F81221">
        <w:rPr>
          <w:kern w:val="0"/>
        </w:rPr>
        <w:t xml:space="preserve"> and </w:t>
      </w:r>
      <w:r>
        <w:rPr>
          <w:kern w:val="0"/>
        </w:rPr>
        <w:t xml:space="preserve">zinc from aqueous Cu-Zn solution using </w:t>
      </w:r>
      <w:r w:rsidRPr="0071742F">
        <w:rPr>
          <w:i/>
          <w:kern w:val="0"/>
        </w:rPr>
        <w:t>Erythrina variegata orientalis</w:t>
      </w:r>
      <w:r>
        <w:rPr>
          <w:kern w:val="0"/>
        </w:rPr>
        <w:t xml:space="preserve"> leaf powder. Batch investigations indicate that biosorption of Cu-Zn mixture is gradually increased with increase in pH from 1 to 6 (38.25 to 44.77 mg/g). The biosorption of Cu-Zn mixture is increased from 86.3 to 91.9% (86.27 to 45.93 mg/g) with increase in biosorbent dosage from 1 to 2 g/L. 91.9% (45.93 mg/g) of Cu-Zn mixture is removed from the solution containing 100 mg/L of Cu</w:t>
      </w:r>
      <w:r w:rsidR="00F81221">
        <w:rPr>
          <w:kern w:val="0"/>
        </w:rPr>
        <w:t xml:space="preserve"> and </w:t>
      </w:r>
      <w:r>
        <w:rPr>
          <w:kern w:val="0"/>
        </w:rPr>
        <w:t xml:space="preserve">Zn agitated with 2 g/L of 45 mu m size adsorbent for an equilibrium agitation time of 30 </w:t>
      </w:r>
      <w:r>
        <w:rPr>
          <w:kern w:val="0"/>
        </w:rPr>
        <w:lastRenderedPageBreak/>
        <w:t>min. The experimental data are well described by Langmuir (R-2=0.99), Freundlich (R-2=0.98)</w:t>
      </w:r>
      <w:r w:rsidR="00F81221">
        <w:rPr>
          <w:kern w:val="0"/>
        </w:rPr>
        <w:t xml:space="preserve"> and </w:t>
      </w:r>
      <w:r>
        <w:rPr>
          <w:kern w:val="0"/>
        </w:rPr>
        <w:t>Temkin (R-2=0.98) isotherms. The sorption studies follow the second order rate expression (R-2 = 0.99)</w:t>
      </w:r>
      <w:r w:rsidR="00F81221">
        <w:rPr>
          <w:kern w:val="0"/>
        </w:rPr>
        <w:t xml:space="preserve"> and </w:t>
      </w:r>
      <w:r>
        <w:rPr>
          <w:kern w:val="0"/>
        </w:rPr>
        <w:t>rate constant is 9.39 g/mg-min. The biosorption is found to increase with decrease in temperature of the solution. From the thermodynamic parameters, sorption is found to be exothermic</w:t>
      </w:r>
      <w:r w:rsidR="00F81221">
        <w:rPr>
          <w:kern w:val="0"/>
        </w:rPr>
        <w:t xml:space="preserve"> and </w:t>
      </w:r>
      <w:r>
        <w:rPr>
          <w:kern w:val="0"/>
        </w:rPr>
        <w:t>reversible.</w:t>
      </w:r>
    </w:p>
    <w:p w:rsidR="003D1EC7" w:rsidRDefault="003D1EC7" w:rsidP="003D1EC7">
      <w:pPr>
        <w:pStyle w:val="a0"/>
        <w:rPr>
          <w:kern w:val="0"/>
        </w:rPr>
      </w:pPr>
      <w:r>
        <w:rPr>
          <w:kern w:val="0"/>
        </w:rPr>
        <w:t xml:space="preserve">Keywords: Adsorbent, Adsorption, Aqueous-Solutions, Biomass, Biosorbent, Biosorption, Cadmium, Copper, Cu, Cu-Zn Mixture, Data, Equilibrium, Erythrina Variegata Orientalis, Freundlich, Ions, Isotherms, Kinetic, Kinetics, Langmuir, Leaf, Leaves, pH, Rate Constant, Removal, Second-Order, Sorption, Temkin, Temperature, Themodynamic Parameters, Thermodynamic, Thermodynamic Parameters, </w:t>
      </w:r>
      <w:r w:rsidRPr="0071742F">
        <w:rPr>
          <w:i/>
          <w:kern w:val="0"/>
        </w:rPr>
        <w:t>Ulva-fasciata</w:t>
      </w:r>
      <w:r>
        <w:rPr>
          <w:kern w:val="0"/>
        </w:rPr>
        <w:t xml:space="preserve"> sp, Zinc, Zn</w:t>
      </w:r>
    </w:p>
    <w:p w:rsidR="00B6220D" w:rsidRDefault="00B6220D" w:rsidP="00B6220D">
      <w:pPr>
        <w:pStyle w:val="a0"/>
        <w:rPr>
          <w:kern w:val="0"/>
        </w:rPr>
      </w:pPr>
      <w:r>
        <w:rPr>
          <w:rFonts w:hint="eastAsia"/>
          <w:kern w:val="0"/>
        </w:rPr>
        <w:t xml:space="preserve">? </w:t>
      </w:r>
      <w:r w:rsidR="003B00FF">
        <w:rPr>
          <w:kern w:val="0"/>
        </w:rPr>
        <w:t>Ćurković</w:t>
      </w:r>
      <w:r>
        <w:rPr>
          <w:rFonts w:hint="eastAsia"/>
          <w:kern w:val="0"/>
        </w:rPr>
        <w:t>,</w:t>
      </w:r>
      <w:r w:rsidRPr="00B6220D">
        <w:rPr>
          <w:kern w:val="0"/>
        </w:rPr>
        <w:t xml:space="preserve"> L</w:t>
      </w:r>
      <w:r>
        <w:rPr>
          <w:rFonts w:hint="eastAsia"/>
          <w:kern w:val="0"/>
        </w:rPr>
        <w:t>.,</w:t>
      </w:r>
      <w:r w:rsidRPr="00B6220D">
        <w:rPr>
          <w:kern w:val="0"/>
        </w:rPr>
        <w:t xml:space="preserve"> Trgo</w:t>
      </w:r>
      <w:r>
        <w:rPr>
          <w:rFonts w:hint="eastAsia"/>
          <w:kern w:val="0"/>
        </w:rPr>
        <w:t>,</w:t>
      </w:r>
      <w:r w:rsidRPr="00B6220D">
        <w:rPr>
          <w:kern w:val="0"/>
        </w:rPr>
        <w:t xml:space="preserve"> M</w:t>
      </w:r>
      <w:r>
        <w:rPr>
          <w:rFonts w:hint="eastAsia"/>
          <w:kern w:val="0"/>
        </w:rPr>
        <w:t>.,</w:t>
      </w:r>
      <w:r w:rsidR="003B00FF">
        <w:rPr>
          <w:kern w:val="0"/>
        </w:rPr>
        <w:t xml:space="preserve"> Rožić</w:t>
      </w:r>
      <w:r>
        <w:rPr>
          <w:rFonts w:hint="eastAsia"/>
          <w:kern w:val="0"/>
        </w:rPr>
        <w:t>,</w:t>
      </w:r>
      <w:r w:rsidRPr="00B6220D">
        <w:rPr>
          <w:kern w:val="0"/>
        </w:rPr>
        <w:t xml:space="preserve"> M</w:t>
      </w:r>
      <w:r>
        <w:rPr>
          <w:rFonts w:hint="eastAsia"/>
          <w:kern w:val="0"/>
        </w:rPr>
        <w:t>.</w:t>
      </w:r>
      <w:r w:rsidR="00F81221">
        <w:rPr>
          <w:rFonts w:hint="eastAsia"/>
          <w:kern w:val="0"/>
        </w:rPr>
        <w:t xml:space="preserve"> and </w:t>
      </w:r>
      <w:r w:rsidR="003B00FF">
        <w:rPr>
          <w:kern w:val="0"/>
        </w:rPr>
        <w:t>Medvidović</w:t>
      </w:r>
      <w:r>
        <w:rPr>
          <w:rFonts w:hint="eastAsia"/>
          <w:kern w:val="0"/>
        </w:rPr>
        <w:t>,</w:t>
      </w:r>
      <w:r w:rsidRPr="00B6220D">
        <w:rPr>
          <w:kern w:val="0"/>
        </w:rPr>
        <w:t xml:space="preserve"> N</w:t>
      </w:r>
      <w:r>
        <w:rPr>
          <w:rFonts w:hint="eastAsia"/>
          <w:kern w:val="0"/>
        </w:rPr>
        <w:t>.</w:t>
      </w:r>
      <w:r w:rsidRPr="00B6220D">
        <w:rPr>
          <w:kern w:val="0"/>
        </w:rPr>
        <w:t>V</w:t>
      </w:r>
      <w:r>
        <w:rPr>
          <w:rFonts w:hint="eastAsia"/>
          <w:kern w:val="0"/>
        </w:rPr>
        <w:t>.</w:t>
      </w:r>
      <w:r>
        <w:rPr>
          <w:kern w:val="0"/>
        </w:rPr>
        <w:t xml:space="preserve"> (201</w:t>
      </w:r>
      <w:r>
        <w:rPr>
          <w:rFonts w:hint="eastAsia"/>
          <w:kern w:val="0"/>
        </w:rPr>
        <w:t>1</w:t>
      </w:r>
      <w:r>
        <w:rPr>
          <w:kern w:val="0"/>
        </w:rPr>
        <w:t xml:space="preserve">), </w:t>
      </w:r>
      <w:r w:rsidRPr="00B6220D">
        <w:rPr>
          <w:kern w:val="0"/>
        </w:rPr>
        <w:t>Kinetics</w:t>
      </w:r>
      <w:r w:rsidR="00F81221">
        <w:rPr>
          <w:kern w:val="0"/>
        </w:rPr>
        <w:t xml:space="preserve"> and </w:t>
      </w:r>
      <w:r w:rsidRPr="00B6220D">
        <w:rPr>
          <w:kern w:val="0"/>
        </w:rPr>
        <w:t>thermodynamics study of copper ions removal by natural clinoptilolite</w:t>
      </w:r>
      <w:r>
        <w:rPr>
          <w:kern w:val="0"/>
        </w:rPr>
        <w:t xml:space="preserve">. </w:t>
      </w:r>
      <w:r>
        <w:rPr>
          <w:i/>
          <w:iCs/>
          <w:kern w:val="0"/>
        </w:rPr>
        <w:t>Indian Journal of Chemical Technology</w:t>
      </w:r>
      <w:r>
        <w:rPr>
          <w:kern w:val="0"/>
        </w:rPr>
        <w:t xml:space="preserve">, </w:t>
      </w:r>
      <w:r>
        <w:rPr>
          <w:b/>
          <w:bCs/>
          <w:kern w:val="0"/>
        </w:rPr>
        <w:t>1</w:t>
      </w:r>
      <w:r>
        <w:rPr>
          <w:rFonts w:hint="eastAsia"/>
          <w:b/>
          <w:bCs/>
          <w:kern w:val="0"/>
        </w:rPr>
        <w:t>8</w:t>
      </w:r>
      <w:r>
        <w:rPr>
          <w:kern w:val="0"/>
        </w:rPr>
        <w:t xml:space="preserve"> (</w:t>
      </w:r>
      <w:r>
        <w:rPr>
          <w:rFonts w:hint="eastAsia"/>
          <w:kern w:val="0"/>
        </w:rPr>
        <w:t>2</w:t>
      </w:r>
      <w:r>
        <w:rPr>
          <w:kern w:val="0"/>
        </w:rPr>
        <w:t xml:space="preserve">), </w:t>
      </w:r>
      <w:r w:rsidRPr="00B6220D">
        <w:rPr>
          <w:kern w:val="0"/>
        </w:rPr>
        <w:t>137-144</w:t>
      </w:r>
      <w:r>
        <w:rPr>
          <w:kern w:val="0"/>
        </w:rPr>
        <w:t>.</w:t>
      </w:r>
    </w:p>
    <w:p w:rsidR="00B6220D" w:rsidRDefault="00B6220D" w:rsidP="00B6220D">
      <w:pPr>
        <w:pStyle w:val="a0"/>
        <w:rPr>
          <w:kern w:val="0"/>
        </w:rPr>
      </w:pPr>
      <w:r>
        <w:rPr>
          <w:rFonts w:hint="eastAsia"/>
          <w:kern w:val="0"/>
        </w:rPr>
        <w:t xml:space="preserve">Full Text: </w:t>
      </w:r>
      <w:hyperlink r:id="rId937" w:history="1">
        <w:r w:rsidRPr="00B6220D">
          <w:rPr>
            <w:rStyle w:val="a5"/>
            <w:kern w:val="0"/>
          </w:rPr>
          <w:t>2011\Ind J Che Tec18, 137.pdf</w:t>
        </w:r>
      </w:hyperlink>
    </w:p>
    <w:p w:rsidR="00B6220D" w:rsidRPr="00B6220D" w:rsidRDefault="00B6220D" w:rsidP="00B6220D">
      <w:pPr>
        <w:pStyle w:val="a0"/>
        <w:rPr>
          <w:kern w:val="0"/>
        </w:rPr>
      </w:pPr>
      <w:r w:rsidRPr="00B6220D">
        <w:rPr>
          <w:kern w:val="0"/>
        </w:rPr>
        <w:t>Abstract: The process of-removal of copper ions by means of clinoptilolite type natural zeolite has been studied as a function of the particle size</w:t>
      </w:r>
      <w:r w:rsidR="00F81221">
        <w:rPr>
          <w:kern w:val="0"/>
        </w:rPr>
        <w:t xml:space="preserve"> and </w:t>
      </w:r>
      <w:r w:rsidRPr="00B6220D">
        <w:rPr>
          <w:kern w:val="0"/>
        </w:rPr>
        <w:t>temperature. Results indicate that increase in temperature</w:t>
      </w:r>
      <w:r w:rsidR="00F81221">
        <w:rPr>
          <w:kern w:val="0"/>
        </w:rPr>
        <w:t xml:space="preserve"> and </w:t>
      </w:r>
      <w:r w:rsidRPr="00B6220D">
        <w:rPr>
          <w:kern w:val="0"/>
        </w:rPr>
        <w:t>decrease of particle size improves the removal of copper from aqueous solutions. The parabolic diffusion model is well described process in all examined range of time</w:t>
      </w:r>
      <w:r w:rsidR="00F81221">
        <w:rPr>
          <w:kern w:val="0"/>
        </w:rPr>
        <w:t xml:space="preserve"> and </w:t>
      </w:r>
      <w:r w:rsidRPr="00B6220D">
        <w:rPr>
          <w:kern w:val="0"/>
        </w:rPr>
        <w:t>it shows that the calculated diffusion coefficient increases with temperature. This increase is more visible at higher particle sizes what assume diffusion through zeolite particle as main mass transfer mechanism. The film diffusion model provides calculation of initial sorption rate (K</w:t>
      </w:r>
      <w:r w:rsidR="000352E7">
        <w:rPr>
          <w:kern w:val="0"/>
        </w:rPr>
        <w:t>’</w:t>
      </w:r>
      <w:r w:rsidRPr="00B6220D">
        <w:rPr>
          <w:kern w:val="0"/>
        </w:rPr>
        <w:t>)</w:t>
      </w:r>
      <w:r w:rsidR="00F81221">
        <w:rPr>
          <w:kern w:val="0"/>
        </w:rPr>
        <w:t xml:space="preserve"> and </w:t>
      </w:r>
      <w:r w:rsidRPr="00B6220D">
        <w:rPr>
          <w:kern w:val="0"/>
        </w:rPr>
        <w:t>dimensionless parameter proportional to the diffusion film thickness (x(i)), in relation of particle size</w:t>
      </w:r>
      <w:r w:rsidR="00F81221">
        <w:rPr>
          <w:kern w:val="0"/>
        </w:rPr>
        <w:t xml:space="preserve"> and </w:t>
      </w:r>
      <w:r w:rsidRPr="00B6220D">
        <w:rPr>
          <w:kern w:val="0"/>
        </w:rPr>
        <w:t>temperature. Diffusion from the surface of zeolite particles through the micro</w:t>
      </w:r>
      <w:r w:rsidR="00F81221">
        <w:rPr>
          <w:kern w:val="0"/>
        </w:rPr>
        <w:t xml:space="preserve"> and </w:t>
      </w:r>
      <w:r w:rsidRPr="00B6220D">
        <w:rPr>
          <w:kern w:val="0"/>
        </w:rPr>
        <w:t>macro pores is well described with homogenous diffusion model, where change of the calculated overall rate constant is observed at approximate to 60 min of the process. This indicates the change of mass transfer rate through porous zeolite particle.</w:t>
      </w:r>
    </w:p>
    <w:p w:rsidR="00B6220D" w:rsidRPr="00B6220D" w:rsidRDefault="00B6220D" w:rsidP="00B6220D">
      <w:pPr>
        <w:pStyle w:val="a0"/>
        <w:rPr>
          <w:kern w:val="0"/>
        </w:rPr>
      </w:pPr>
      <w:r w:rsidRPr="00B6220D">
        <w:rPr>
          <w:kern w:val="0"/>
        </w:rPr>
        <w:t>The activation energy (E-a), activation enthalpy (Delta H), activation entropy (AS)</w:t>
      </w:r>
      <w:r w:rsidR="00F81221">
        <w:rPr>
          <w:kern w:val="0"/>
        </w:rPr>
        <w:t xml:space="preserve"> and </w:t>
      </w:r>
      <w:r w:rsidRPr="00B6220D">
        <w:rPr>
          <w:kern w:val="0"/>
        </w:rPr>
        <w:t>free energy of activation (Delta G) have been calculated based on kinetic data. These thermodynamic parameters characterize process as diffusion dependent, weakly endothermic</w:t>
      </w:r>
      <w:r w:rsidR="00F81221">
        <w:rPr>
          <w:kern w:val="0"/>
        </w:rPr>
        <w:t xml:space="preserve"> and </w:t>
      </w:r>
      <w:r w:rsidRPr="00B6220D">
        <w:rPr>
          <w:kern w:val="0"/>
        </w:rPr>
        <w:t>nonspontaneous, where structural changes in structure of natural zeolite particle are not observed.</w:t>
      </w:r>
    </w:p>
    <w:p w:rsidR="00B6220D" w:rsidRPr="00F219CA" w:rsidRDefault="00B6220D" w:rsidP="00B6220D">
      <w:pPr>
        <w:pStyle w:val="a0"/>
        <w:rPr>
          <w:kern w:val="0"/>
        </w:rPr>
      </w:pPr>
      <w:r w:rsidRPr="00B6220D">
        <w:rPr>
          <w:kern w:val="0"/>
        </w:rPr>
        <w:t>Keywords: Clinoptilolite</w:t>
      </w:r>
      <w:r>
        <w:rPr>
          <w:kern w:val="0"/>
        </w:rPr>
        <w:t>,</w:t>
      </w:r>
      <w:r w:rsidRPr="00B6220D">
        <w:rPr>
          <w:kern w:val="0"/>
        </w:rPr>
        <w:t xml:space="preserve"> Copper</w:t>
      </w:r>
      <w:r>
        <w:rPr>
          <w:kern w:val="0"/>
        </w:rPr>
        <w:t>,</w:t>
      </w:r>
      <w:r w:rsidRPr="00B6220D">
        <w:rPr>
          <w:kern w:val="0"/>
        </w:rPr>
        <w:t xml:space="preserve"> Diffusion</w:t>
      </w:r>
      <w:r>
        <w:rPr>
          <w:kern w:val="0"/>
        </w:rPr>
        <w:t>,</w:t>
      </w:r>
      <w:r w:rsidRPr="00B6220D">
        <w:rPr>
          <w:kern w:val="0"/>
        </w:rPr>
        <w:t xml:space="preserve"> Kinetic Models</w:t>
      </w:r>
      <w:r>
        <w:rPr>
          <w:kern w:val="0"/>
        </w:rPr>
        <w:t>,</w:t>
      </w:r>
      <w:r w:rsidRPr="00B6220D">
        <w:rPr>
          <w:kern w:val="0"/>
        </w:rPr>
        <w:t xml:space="preserve"> Thermodynamic Parameters</w:t>
      </w:r>
      <w:r>
        <w:rPr>
          <w:kern w:val="0"/>
        </w:rPr>
        <w:t>,</w:t>
      </w:r>
      <w:r w:rsidRPr="00B6220D">
        <w:rPr>
          <w:kern w:val="0"/>
        </w:rPr>
        <w:t xml:space="preserve"> Aqueous-Solutions</w:t>
      </w:r>
      <w:r>
        <w:rPr>
          <w:kern w:val="0"/>
        </w:rPr>
        <w:t>,</w:t>
      </w:r>
      <w:r w:rsidRPr="00B6220D">
        <w:rPr>
          <w:kern w:val="0"/>
        </w:rPr>
        <w:t xml:space="preserve"> Exchange Kinetics</w:t>
      </w:r>
      <w:r>
        <w:rPr>
          <w:kern w:val="0"/>
        </w:rPr>
        <w:t>,</w:t>
      </w:r>
      <w:r w:rsidRPr="00B6220D">
        <w:rPr>
          <w:kern w:val="0"/>
        </w:rPr>
        <w:t xml:space="preserve"> Modified Zeolites</w:t>
      </w:r>
      <w:r>
        <w:rPr>
          <w:kern w:val="0"/>
        </w:rPr>
        <w:t>,</w:t>
      </w:r>
      <w:r w:rsidRPr="00B6220D">
        <w:rPr>
          <w:kern w:val="0"/>
        </w:rPr>
        <w:t xml:space="preserve"> Waste-Water</w:t>
      </w:r>
      <w:r>
        <w:rPr>
          <w:kern w:val="0"/>
        </w:rPr>
        <w:t>,</w:t>
      </w:r>
      <w:r w:rsidRPr="00B6220D">
        <w:rPr>
          <w:kern w:val="0"/>
        </w:rPr>
        <w:t xml:space="preserve"> Adsorption</w:t>
      </w:r>
      <w:r>
        <w:rPr>
          <w:kern w:val="0"/>
        </w:rPr>
        <w:t>,</w:t>
      </w:r>
      <w:r w:rsidRPr="00B6220D">
        <w:rPr>
          <w:kern w:val="0"/>
        </w:rPr>
        <w:t xml:space="preserve"> Equilibri</w:t>
      </w:r>
      <w:r>
        <w:rPr>
          <w:kern w:val="0"/>
        </w:rPr>
        <w:t>um, Cu</w:t>
      </w:r>
      <w:r w:rsidRPr="00B6220D">
        <w:rPr>
          <w:kern w:val="0"/>
          <w:vertAlign w:val="superscript"/>
        </w:rPr>
        <w:t>2+</w:t>
      </w:r>
      <w:r>
        <w:rPr>
          <w:kern w:val="0"/>
        </w:rPr>
        <w:t>, Clay, Chromium, Pb</w:t>
      </w:r>
      <w:r w:rsidRPr="00B6220D">
        <w:rPr>
          <w:kern w:val="0"/>
          <w:vertAlign w:val="superscript"/>
        </w:rPr>
        <w:t>2+</w:t>
      </w:r>
    </w:p>
    <w:p w:rsidR="006B4FD8" w:rsidRDefault="006B4FD8" w:rsidP="006B4FD8">
      <w:pPr>
        <w:pStyle w:val="a0"/>
        <w:rPr>
          <w:kern w:val="0"/>
        </w:rPr>
      </w:pPr>
      <w:r>
        <w:rPr>
          <w:rFonts w:hint="eastAsia"/>
          <w:kern w:val="0"/>
        </w:rPr>
        <w:t xml:space="preserve">? </w:t>
      </w:r>
      <w:r>
        <w:rPr>
          <w:kern w:val="0"/>
        </w:rPr>
        <w:t>Sivakumar, P.</w:t>
      </w:r>
      <w:r w:rsidR="00F81221">
        <w:rPr>
          <w:kern w:val="0"/>
        </w:rPr>
        <w:t xml:space="preserve"> and </w:t>
      </w:r>
      <w:r>
        <w:rPr>
          <w:kern w:val="0"/>
        </w:rPr>
        <w:t xml:space="preserve">Palanisamy, P.N. (2011), Non-conventional low-cost adsorbent from Euphorbia antiquorum </w:t>
      </w:r>
      <w:r w:rsidRPr="00155BED">
        <w:rPr>
          <w:i/>
          <w:kern w:val="0"/>
        </w:rPr>
        <w:t>L</w:t>
      </w:r>
      <w:r>
        <w:rPr>
          <w:kern w:val="0"/>
        </w:rPr>
        <w:t xml:space="preserve"> for the removal of Direct Blue 53 from its aqueous </w:t>
      </w:r>
      <w:r>
        <w:rPr>
          <w:kern w:val="0"/>
        </w:rPr>
        <w:lastRenderedPageBreak/>
        <w:t xml:space="preserve">solution. </w:t>
      </w:r>
      <w:r>
        <w:rPr>
          <w:i/>
          <w:iCs/>
          <w:kern w:val="0"/>
        </w:rPr>
        <w:t>Indian Journal of Chemical Technology</w:t>
      </w:r>
      <w:r>
        <w:rPr>
          <w:kern w:val="0"/>
        </w:rPr>
        <w:t xml:space="preserve">, </w:t>
      </w:r>
      <w:r>
        <w:rPr>
          <w:b/>
          <w:bCs/>
          <w:kern w:val="0"/>
        </w:rPr>
        <w:t>18</w:t>
      </w:r>
      <w:r>
        <w:rPr>
          <w:kern w:val="0"/>
        </w:rPr>
        <w:t xml:space="preserve"> (3), 188-196.</w:t>
      </w:r>
    </w:p>
    <w:p w:rsidR="006B4FD8" w:rsidRPr="007D79E8" w:rsidRDefault="006B4FD8" w:rsidP="006B4FD8">
      <w:pPr>
        <w:pStyle w:val="a0"/>
        <w:rPr>
          <w:kern w:val="0"/>
        </w:rPr>
      </w:pPr>
      <w:r w:rsidRPr="007D79E8">
        <w:rPr>
          <w:kern w:val="0"/>
        </w:rPr>
        <w:t xml:space="preserve">Full Text: </w:t>
      </w:r>
      <w:hyperlink r:id="rId938" w:history="1">
        <w:r w:rsidR="00155BED" w:rsidRPr="00155BED">
          <w:rPr>
            <w:rStyle w:val="a5"/>
            <w:kern w:val="0"/>
          </w:rPr>
          <w:t>2011\Ind J Che Tec18, 188.pdf</w:t>
        </w:r>
      </w:hyperlink>
    </w:p>
    <w:p w:rsidR="006B4FD8" w:rsidRDefault="006B4FD8" w:rsidP="006B4FD8">
      <w:pPr>
        <w:pStyle w:val="a0"/>
        <w:rPr>
          <w:kern w:val="0"/>
        </w:rPr>
      </w:pPr>
      <w:r>
        <w:rPr>
          <w:kern w:val="0"/>
        </w:rPr>
        <w:t>Abstract: This paper reports the adsorption potential of activated carbon prepared from Euphorbia antiquarian L wood by H</w:t>
      </w:r>
      <w:r>
        <w:rPr>
          <w:rFonts w:hint="eastAsia"/>
          <w:kern w:val="0"/>
          <w:vertAlign w:val="subscript"/>
        </w:rPr>
        <w:t>3</w:t>
      </w:r>
      <w:r>
        <w:rPr>
          <w:kern w:val="0"/>
        </w:rPr>
        <w:t>PO</w:t>
      </w:r>
      <w:r>
        <w:rPr>
          <w:rFonts w:hint="eastAsia"/>
          <w:kern w:val="0"/>
          <w:vertAlign w:val="subscript"/>
        </w:rPr>
        <w:t>4</w:t>
      </w:r>
      <w:r>
        <w:rPr>
          <w:kern w:val="0"/>
        </w:rPr>
        <w:t xml:space="preserve"> impregnation in batch mode experiments. The effects of various process controlling parameters such as solution pH. adsorbate concentration</w:t>
      </w:r>
      <w:r w:rsidR="00F81221">
        <w:rPr>
          <w:kern w:val="0"/>
        </w:rPr>
        <w:t xml:space="preserve"> and </w:t>
      </w:r>
      <w:r>
        <w:rPr>
          <w:kern w:val="0"/>
        </w:rPr>
        <w:t>temperature are analyzed. Maximum of 58.40 mg/g of dye adsorbed at a pH of 2.0</w:t>
      </w:r>
      <w:r w:rsidR="00F81221">
        <w:rPr>
          <w:kern w:val="0"/>
        </w:rPr>
        <w:t xml:space="preserve"> and </w:t>
      </w:r>
      <w:r>
        <w:rPr>
          <w:kern w:val="0"/>
        </w:rPr>
        <w:t>the adsorption decreases with increase in pH. Various kinetic</w:t>
      </w:r>
      <w:r w:rsidR="00F81221">
        <w:rPr>
          <w:kern w:val="0"/>
        </w:rPr>
        <w:t xml:space="preserve"> and </w:t>
      </w:r>
      <w:r>
        <w:rPr>
          <w:kern w:val="0"/>
        </w:rPr>
        <w:t>isotherm models are employed to analyze the feasibility</w:t>
      </w:r>
      <w:r w:rsidR="00F81221">
        <w:rPr>
          <w:kern w:val="0"/>
        </w:rPr>
        <w:t xml:space="preserve"> and </w:t>
      </w:r>
      <w:r>
        <w:rPr>
          <w:kern w:val="0"/>
        </w:rPr>
        <w:t>mechanism of adsorption. The prepared adsorbent removed 145.45 mg/g of dye at an initial dye concentration of 100 mg/L,</w:t>
      </w:r>
      <w:r w:rsidR="00F81221">
        <w:rPr>
          <w:kern w:val="0"/>
        </w:rPr>
        <w:t xml:space="preserve"> and </w:t>
      </w:r>
      <w:r>
        <w:rPr>
          <w:kern w:val="0"/>
        </w:rPr>
        <w:t>the kinetics obeys pseudo second order. Freundlich isotherm fits exceptionally well with good r(2) value. Thermodynamic parameters like Delta G degrees, Delta H degrees</w:t>
      </w:r>
      <w:r w:rsidR="00F81221">
        <w:rPr>
          <w:kern w:val="0"/>
        </w:rPr>
        <w:t xml:space="preserve"> and </w:t>
      </w:r>
      <w:r>
        <w:rPr>
          <w:kern w:val="0"/>
        </w:rPr>
        <w:t>Delta S degrees are evaluated. The positive enthalpy proves that the adsorption process is endothermic in nature. Experiments arc also performed for recovery of dye loaded carbon through regeneration as a function of OH, the maximum desorption occurs at a pH of 10 is only 19.29%. The prepared sorbent can be conveniently employed for the colour removal as its adsorptive capacity is comparable with commercial adsorbents.</w:t>
      </w:r>
    </w:p>
    <w:p w:rsidR="006B4FD8" w:rsidRDefault="006B4FD8" w:rsidP="006B4FD8">
      <w:pPr>
        <w:pStyle w:val="a0"/>
        <w:rPr>
          <w:kern w:val="0"/>
        </w:rPr>
      </w:pPr>
      <w:r>
        <w:rPr>
          <w:kern w:val="0"/>
        </w:rPr>
        <w:t>Keywords: Acid Dyes, Activated Carbon, Activated Carbons, Adsorption, Adsorption, Agricultural Wastes, Biosorption, Desorption, Euphorbia Antiquorum L, Gases, Isotherm, Isotherm Models, Kinetics, pH, Pseudo-Second-Order, Sorption, Surface Area, Surfaces, Thermodynamic, Thermodynamic Parameters</w:t>
      </w:r>
    </w:p>
    <w:p w:rsidR="006B4FD8" w:rsidRDefault="006B4FD8" w:rsidP="006B4FD8">
      <w:pPr>
        <w:pStyle w:val="a0"/>
        <w:rPr>
          <w:kern w:val="0"/>
        </w:rPr>
      </w:pPr>
      <w:r>
        <w:rPr>
          <w:rFonts w:hint="eastAsia"/>
          <w:kern w:val="0"/>
        </w:rPr>
        <w:t xml:space="preserve">? </w:t>
      </w:r>
      <w:r>
        <w:rPr>
          <w:kern w:val="0"/>
        </w:rPr>
        <w:t>Nagashanmugam, K.B.</w:t>
      </w:r>
      <w:r w:rsidR="00F81221">
        <w:rPr>
          <w:kern w:val="0"/>
        </w:rPr>
        <w:t xml:space="preserve"> and </w:t>
      </w:r>
      <w:r>
        <w:rPr>
          <w:kern w:val="0"/>
        </w:rPr>
        <w:t xml:space="preserve">Srinivasan, K. (2011), Removal of chromium(VI) from aqueous solution by chemically modified gingelly oil cake carbon. </w:t>
      </w:r>
      <w:r>
        <w:rPr>
          <w:i/>
          <w:iCs/>
          <w:kern w:val="0"/>
        </w:rPr>
        <w:t>Indian Journal of Chemical Technology</w:t>
      </w:r>
      <w:r>
        <w:rPr>
          <w:kern w:val="0"/>
        </w:rPr>
        <w:t xml:space="preserve">, </w:t>
      </w:r>
      <w:r>
        <w:rPr>
          <w:b/>
          <w:bCs/>
          <w:kern w:val="0"/>
        </w:rPr>
        <w:t>18</w:t>
      </w:r>
      <w:r>
        <w:rPr>
          <w:kern w:val="0"/>
        </w:rPr>
        <w:t xml:space="preserve"> (3), 207-219.</w:t>
      </w:r>
    </w:p>
    <w:p w:rsidR="006B4FD8" w:rsidRPr="007D79E8" w:rsidRDefault="006B4FD8" w:rsidP="006B4FD8">
      <w:pPr>
        <w:pStyle w:val="a0"/>
        <w:rPr>
          <w:kern w:val="0"/>
        </w:rPr>
      </w:pPr>
      <w:r w:rsidRPr="007D79E8">
        <w:rPr>
          <w:kern w:val="0"/>
        </w:rPr>
        <w:t xml:space="preserve">Full Text: </w:t>
      </w:r>
      <w:hyperlink r:id="rId939" w:history="1">
        <w:r w:rsidRPr="006B4FD8">
          <w:rPr>
            <w:rStyle w:val="a5"/>
            <w:kern w:val="0"/>
          </w:rPr>
          <w:t>2011\Ind J Che Tec18, 207.pdf</w:t>
        </w:r>
      </w:hyperlink>
    </w:p>
    <w:p w:rsidR="006B4FD8" w:rsidRDefault="006B4FD8" w:rsidP="006B4FD8">
      <w:pPr>
        <w:pStyle w:val="a0"/>
        <w:rPr>
          <w:kern w:val="0"/>
        </w:rPr>
      </w:pPr>
      <w:r>
        <w:rPr>
          <w:kern w:val="0"/>
        </w:rPr>
        <w:t>Abstract: An activated carbon is prepared from gingelly oil cake (GOC) by using sulphuric acid treatment</w:t>
      </w:r>
      <w:r w:rsidR="00F81221">
        <w:rPr>
          <w:kern w:val="0"/>
        </w:rPr>
        <w:t xml:space="preserve"> and </w:t>
      </w:r>
      <w:r>
        <w:rPr>
          <w:kern w:val="0"/>
        </w:rPr>
        <w:t>its Cr(VI) removal capacity is compared with that of commercial activated carbon (CAC). The effect of experimental parameters such as pH. initial concentration, contact time</w:t>
      </w:r>
      <w:r w:rsidR="00F81221">
        <w:rPr>
          <w:kern w:val="0"/>
        </w:rPr>
        <w:t xml:space="preserve"> and </w:t>
      </w:r>
      <w:r>
        <w:rPr>
          <w:kern w:val="0"/>
        </w:rPr>
        <w:t>adsorbents close for Cr(VI) removal are studied. Langmuir, Freundlich</w:t>
      </w:r>
      <w:r w:rsidR="00F81221">
        <w:rPr>
          <w:kern w:val="0"/>
        </w:rPr>
        <w:t xml:space="preserve"> and </w:t>
      </w:r>
      <w:r>
        <w:rPr>
          <w:kern w:val="0"/>
        </w:rPr>
        <w:t>Temkin models are tested to describe the equilibrium isotherms. The maximum adsorption capacity of the adsorbents calculated from Langmuir isotherm is found to be 30.58 mg/g</w:t>
      </w:r>
      <w:r w:rsidR="00F81221">
        <w:rPr>
          <w:kern w:val="0"/>
        </w:rPr>
        <w:t xml:space="preserve"> and </w:t>
      </w:r>
      <w:r>
        <w:rPr>
          <w:kern w:val="0"/>
        </w:rPr>
        <w:t>25.13 mg/g for sulphuric acid treated gingelly oil cake carbon (STGOC)</w:t>
      </w:r>
      <w:r w:rsidR="00F81221">
        <w:rPr>
          <w:kern w:val="0"/>
        </w:rPr>
        <w:t xml:space="preserve"> and </w:t>
      </w:r>
      <w:r>
        <w:rPr>
          <w:kern w:val="0"/>
        </w:rPr>
        <w:t>CAC respectively. R(2) values show that both Langmuir</w:t>
      </w:r>
      <w:r w:rsidR="00F81221">
        <w:rPr>
          <w:kern w:val="0"/>
        </w:rPr>
        <w:t xml:space="preserve"> and </w:t>
      </w:r>
      <w:r>
        <w:rPr>
          <w:kern w:val="0"/>
        </w:rPr>
        <w:t>Freundlich models fit well to explain the adsorption phenomenon for STGOC</w:t>
      </w:r>
      <w:r w:rsidR="00F81221">
        <w:rPr>
          <w:kern w:val="0"/>
        </w:rPr>
        <w:t xml:space="preserve"> and </w:t>
      </w:r>
      <w:r>
        <w:rPr>
          <w:kern w:val="0"/>
        </w:rPr>
        <w:t>CAC. The kinetic data fits best to pseudo second-order model. FTIR analysis is used to obtain information on the nature of possible interaction between adsorbents</w:t>
      </w:r>
      <w:r w:rsidR="00F81221">
        <w:rPr>
          <w:kern w:val="0"/>
        </w:rPr>
        <w:t xml:space="preserve"> and </w:t>
      </w:r>
      <w:r>
        <w:rPr>
          <w:kern w:val="0"/>
        </w:rPr>
        <w:t>metal ions. SEM images confirmed the adsorption of Cr(VI) onto these adsorbents through morphological observations. Gibbs free enemy values showed the feasibility of process</w:t>
      </w:r>
      <w:r w:rsidR="00F81221">
        <w:rPr>
          <w:kern w:val="0"/>
        </w:rPr>
        <w:t xml:space="preserve"> and </w:t>
      </w:r>
      <w:r>
        <w:rPr>
          <w:kern w:val="0"/>
        </w:rPr>
        <w:t xml:space="preserve">spontaneous nature of </w:t>
      </w:r>
      <w:r>
        <w:rPr>
          <w:kern w:val="0"/>
        </w:rPr>
        <w:lastRenderedPageBreak/>
        <w:t>the adsorption. The adsorbents are also tested for the removal of Cr(VI) from chrome plating wastewater</w:t>
      </w:r>
      <w:r w:rsidR="00F81221">
        <w:rPr>
          <w:kern w:val="0"/>
        </w:rPr>
        <w:t xml:space="preserve"> and </w:t>
      </w:r>
      <w:r>
        <w:rPr>
          <w:kern w:val="0"/>
        </w:rPr>
        <w:t>found to remove Cr(VI) effectively.</w:t>
      </w:r>
    </w:p>
    <w:p w:rsidR="006B4FD8" w:rsidRDefault="006B4FD8" w:rsidP="006B4FD8">
      <w:pPr>
        <w:pStyle w:val="a0"/>
        <w:rPr>
          <w:kern w:val="0"/>
        </w:rPr>
      </w:pPr>
      <w:r>
        <w:rPr>
          <w:kern w:val="0"/>
        </w:rPr>
        <w:t>Keywords: Activated Carbon, Adsorption, Adsorption Isotherms, Biosorption, Cac, Chrome Plating Wastewater, Cr(VI), Cr(VI) Removal, Equilibrium, Ftir Analysis, Gingelly Oil Cake Carbon, Hazelnut Shell, Hexavalent Chromium, Information, Ions, Isotherm, Isotherms, Kinetics, Kinetics, Langmuir</w:t>
      </w:r>
      <w:r w:rsidR="00F81221">
        <w:rPr>
          <w:kern w:val="0"/>
        </w:rPr>
        <w:t xml:space="preserve"> and </w:t>
      </w:r>
      <w:r>
        <w:rPr>
          <w:kern w:val="0"/>
        </w:rPr>
        <w:t>Freundlich Models, Langmuir Isotherm, Model, pH, Pseudo-Second-Order, Rice-Husk, Waste-Water, Wastewater</w:t>
      </w:r>
    </w:p>
    <w:p w:rsidR="006B4FD8" w:rsidRDefault="006B4FD8" w:rsidP="006B4FD8">
      <w:pPr>
        <w:pStyle w:val="a0"/>
        <w:rPr>
          <w:kern w:val="0"/>
        </w:rPr>
      </w:pPr>
      <w:r>
        <w:rPr>
          <w:rFonts w:hint="eastAsia"/>
          <w:kern w:val="0"/>
        </w:rPr>
        <w:t xml:space="preserve">? </w:t>
      </w:r>
      <w:r>
        <w:rPr>
          <w:kern w:val="0"/>
        </w:rPr>
        <w:t>Dave, P.N., Kaur, S.</w:t>
      </w:r>
      <w:r w:rsidR="00F81221">
        <w:rPr>
          <w:kern w:val="0"/>
        </w:rPr>
        <w:t xml:space="preserve"> and </w:t>
      </w:r>
      <w:r>
        <w:rPr>
          <w:kern w:val="0"/>
        </w:rPr>
        <w:t xml:space="preserve">Khosla, E. (2011), Removal of basic dye from aqueous solution by biosorption on to sewage sludge. </w:t>
      </w:r>
      <w:r>
        <w:rPr>
          <w:i/>
          <w:iCs/>
          <w:kern w:val="0"/>
        </w:rPr>
        <w:t>Indian Journal of Chemical Technology</w:t>
      </w:r>
      <w:r>
        <w:rPr>
          <w:kern w:val="0"/>
        </w:rPr>
        <w:t xml:space="preserve">, </w:t>
      </w:r>
      <w:r>
        <w:rPr>
          <w:b/>
          <w:bCs/>
          <w:kern w:val="0"/>
        </w:rPr>
        <w:t>18</w:t>
      </w:r>
      <w:r>
        <w:rPr>
          <w:kern w:val="0"/>
        </w:rPr>
        <w:t xml:space="preserve"> (3), 220-226.</w:t>
      </w:r>
    </w:p>
    <w:p w:rsidR="006B4FD8" w:rsidRPr="007D79E8" w:rsidRDefault="006B4FD8" w:rsidP="006B4FD8">
      <w:pPr>
        <w:pStyle w:val="a0"/>
        <w:rPr>
          <w:kern w:val="0"/>
        </w:rPr>
      </w:pPr>
      <w:r w:rsidRPr="007D79E8">
        <w:rPr>
          <w:kern w:val="0"/>
        </w:rPr>
        <w:t xml:space="preserve">Full Text: </w:t>
      </w:r>
      <w:hyperlink r:id="rId940" w:history="1">
        <w:r w:rsidRPr="006B4FD8">
          <w:rPr>
            <w:rStyle w:val="a5"/>
            <w:kern w:val="0"/>
          </w:rPr>
          <w:t>2011\Ind J Che Tec18, 220.pdf</w:t>
        </w:r>
      </w:hyperlink>
    </w:p>
    <w:p w:rsidR="006B4FD8" w:rsidRDefault="006B4FD8" w:rsidP="006B4FD8">
      <w:pPr>
        <w:pStyle w:val="a0"/>
        <w:rPr>
          <w:kern w:val="0"/>
        </w:rPr>
      </w:pPr>
      <w:r>
        <w:rPr>
          <w:kern w:val="0"/>
        </w:rPr>
        <w:t>Abstract: Sorption experiments are carried out using sewage sludge for the removal of basic dye basic red-12 from aqueous solution. Effects of process parameters such as initial pH, adsorbent dosage. initial dye concentration, contact time</w:t>
      </w:r>
      <w:r w:rsidR="00F81221">
        <w:rPr>
          <w:kern w:val="0"/>
        </w:rPr>
        <w:t xml:space="preserve"> and </w:t>
      </w:r>
      <w:r>
        <w:rPr>
          <w:kern w:val="0"/>
        </w:rPr>
        <w:t>effect of temperature are investigated. The biosorbent is characterized by FTIR. SEM</w:t>
      </w:r>
      <w:r w:rsidR="00F81221">
        <w:rPr>
          <w:kern w:val="0"/>
        </w:rPr>
        <w:t xml:space="preserve"> and </w:t>
      </w:r>
      <w:r>
        <w:rPr>
          <w:kern w:val="0"/>
        </w:rPr>
        <w:t>XRD. The adsorption of dye is pH dependent. The rate of sorption increases with increase in temperature,</w:t>
      </w:r>
      <w:r w:rsidR="00F81221">
        <w:rPr>
          <w:kern w:val="0"/>
        </w:rPr>
        <w:t xml:space="preserve"> and </w:t>
      </w:r>
      <w:r>
        <w:rPr>
          <w:kern w:val="0"/>
        </w:rPr>
        <w:t>the process is found to be endothermic. Equilibrium is established in 120 min. The pseudo first-order equation, pseudo second-order equation</w:t>
      </w:r>
      <w:r w:rsidR="00F81221">
        <w:rPr>
          <w:kern w:val="0"/>
        </w:rPr>
        <w:t xml:space="preserve"> and </w:t>
      </w:r>
      <w:r>
        <w:rPr>
          <w:kern w:val="0"/>
        </w:rPr>
        <w:t>intraparticle diffusion models are tested. The results showed that the process followed pseudo first order equation very well</w:t>
      </w:r>
      <w:r w:rsidR="00F81221">
        <w:rPr>
          <w:kern w:val="0"/>
        </w:rPr>
        <w:t xml:space="preserve"> and </w:t>
      </w:r>
      <w:r>
        <w:rPr>
          <w:kern w:val="0"/>
        </w:rPr>
        <w:t>intraparicle diffusion plays an important role in the sorption process. The Langmuir</w:t>
      </w:r>
      <w:r w:rsidR="00F81221">
        <w:rPr>
          <w:kern w:val="0"/>
        </w:rPr>
        <w:t xml:space="preserve"> and </w:t>
      </w:r>
      <w:r>
        <w:rPr>
          <w:kern w:val="0"/>
        </w:rPr>
        <w:t>Freundlich equations arc applied to the data related to adsorption isotherm</w:t>
      </w:r>
      <w:r w:rsidR="00F81221">
        <w:rPr>
          <w:kern w:val="0"/>
        </w:rPr>
        <w:t xml:space="preserve"> and </w:t>
      </w:r>
      <w:r>
        <w:rPr>
          <w:kern w:val="0"/>
        </w:rPr>
        <w:t>the observed maximum adsorption capacity was found to be 295.85 mg/g. Thermodynamic parameters: Delta H degrees, Delta G degrees</w:t>
      </w:r>
      <w:r w:rsidR="00F81221">
        <w:rPr>
          <w:kern w:val="0"/>
        </w:rPr>
        <w:t xml:space="preserve"> and </w:t>
      </w:r>
      <w:r>
        <w:rPr>
          <w:kern w:val="0"/>
        </w:rPr>
        <w:t>Delta S degrees are also evaluated. Column experiments are also carried Out to evaluate the hulk removal of color from effluents. The effects of inlet concentration</w:t>
      </w:r>
      <w:r w:rsidR="00F81221">
        <w:rPr>
          <w:kern w:val="0"/>
        </w:rPr>
        <w:t xml:space="preserve"> and </w:t>
      </w:r>
      <w:r>
        <w:rPr>
          <w:kern w:val="0"/>
        </w:rPr>
        <w:t>bed height are evaluated.</w:t>
      </w:r>
    </w:p>
    <w:p w:rsidR="006B4FD8" w:rsidRDefault="006B4FD8" w:rsidP="006B4FD8">
      <w:pPr>
        <w:pStyle w:val="a0"/>
        <w:rPr>
          <w:kern w:val="0"/>
        </w:rPr>
      </w:pPr>
      <w:r>
        <w:rPr>
          <w:kern w:val="0"/>
        </w:rPr>
        <w:t>Keywords: Adsorbent, Adsorption, Biosorption, Column, Column Operation, Diffusion, Equilibrium, Industry, Ions, Isotherm, Kinetics, Malachite Green, Methylene-Blue, pH, Pseudo-First-Order, Pseudo-Second-Order, Recovery, Sewage Sludge, Sorption, Thermodynamic, Thermodynamic Parameters, Thermodynamics, Waste-Water</w:t>
      </w:r>
    </w:p>
    <w:p w:rsidR="00D723BC" w:rsidRDefault="00D723BC" w:rsidP="00D723BC">
      <w:pPr>
        <w:pStyle w:val="a0"/>
        <w:rPr>
          <w:kern w:val="0"/>
        </w:rPr>
      </w:pPr>
      <w:r>
        <w:rPr>
          <w:rFonts w:hint="eastAsia"/>
          <w:kern w:val="0"/>
        </w:rPr>
        <w:t xml:space="preserve">? </w:t>
      </w:r>
      <w:r>
        <w:rPr>
          <w:kern w:val="0"/>
        </w:rPr>
        <w:t xml:space="preserve">Krishna, B. and Venkateswarlu, P. (2011), Influence of </w:t>
      </w:r>
      <w:r w:rsidRPr="00694A61">
        <w:rPr>
          <w:i/>
          <w:kern w:val="0"/>
        </w:rPr>
        <w:t>Ficus religiosa</w:t>
      </w:r>
      <w:r>
        <w:rPr>
          <w:kern w:val="0"/>
        </w:rPr>
        <w:t xml:space="preserve"> leaf powder on bisorption of cobalt. </w:t>
      </w:r>
      <w:r>
        <w:rPr>
          <w:i/>
          <w:iCs/>
          <w:kern w:val="0"/>
        </w:rPr>
        <w:t>Indian Journal of Chemical Technology</w:t>
      </w:r>
      <w:r>
        <w:rPr>
          <w:kern w:val="0"/>
        </w:rPr>
        <w:t xml:space="preserve">, </w:t>
      </w:r>
      <w:r>
        <w:rPr>
          <w:b/>
          <w:bCs/>
          <w:kern w:val="0"/>
        </w:rPr>
        <w:t>18</w:t>
      </w:r>
      <w:r>
        <w:rPr>
          <w:kern w:val="0"/>
        </w:rPr>
        <w:t xml:space="preserve"> (5), 381-390.</w:t>
      </w:r>
    </w:p>
    <w:p w:rsidR="00D723BC" w:rsidRDefault="00D723BC" w:rsidP="00D723BC">
      <w:pPr>
        <w:pStyle w:val="a0"/>
        <w:rPr>
          <w:kern w:val="0"/>
        </w:rPr>
      </w:pPr>
      <w:r>
        <w:rPr>
          <w:kern w:val="0"/>
        </w:rPr>
        <w:t>Full Text:</w:t>
      </w:r>
      <w:r w:rsidRPr="00B025C1">
        <w:t xml:space="preserve"> </w:t>
      </w:r>
      <w:hyperlink r:id="rId941" w:history="1">
        <w:r w:rsidRPr="00694A61">
          <w:rPr>
            <w:rStyle w:val="a5"/>
          </w:rPr>
          <w:t>2011\Ind J Che Tec18, 381.pdf</w:t>
        </w:r>
      </w:hyperlink>
    </w:p>
    <w:p w:rsidR="00D723BC" w:rsidRDefault="00D723BC" w:rsidP="00D723BC">
      <w:pPr>
        <w:pStyle w:val="a0"/>
        <w:rPr>
          <w:kern w:val="0"/>
        </w:rPr>
      </w:pPr>
      <w:r>
        <w:rPr>
          <w:kern w:val="0"/>
        </w:rPr>
        <w:t xml:space="preserve">Abstract: The batch-wise biosorption of cobalt by </w:t>
      </w:r>
      <w:r w:rsidRPr="00694A61">
        <w:rPr>
          <w:i/>
          <w:kern w:val="0"/>
        </w:rPr>
        <w:t>Ficus religiosa</w:t>
      </w:r>
      <w:r>
        <w:rPr>
          <w:kern w:val="0"/>
        </w:rPr>
        <w:t xml:space="preserve"> (peepul) leaf powder has been carried out. The optimum biosorbent dosage is 60 g/L for an equilibrium agitation time of 90 min. Percentage removal of cobalt is increased from 70.9 to 97.2 (0.96 to 1.45 mg/g) with decrease in acidity in the pH range from 2 to 7. The experimental data are. well represented by Freundlich (n=0.42, K(f)=0.83 L/g, R</w:t>
      </w:r>
      <w:r>
        <w:rPr>
          <w:rFonts w:hint="eastAsia"/>
          <w:kern w:val="0"/>
          <w:vertAlign w:val="superscript"/>
        </w:rPr>
        <w:t>2</w:t>
      </w:r>
      <w:r w:rsidRPr="00417029">
        <w:rPr>
          <w:rFonts w:hint="eastAsia"/>
          <w:kern w:val="0"/>
        </w:rPr>
        <w:t xml:space="preserve"> </w:t>
      </w:r>
      <w:r>
        <w:rPr>
          <w:kern w:val="0"/>
        </w:rPr>
        <w:t>=</w:t>
      </w:r>
      <w:r>
        <w:rPr>
          <w:rFonts w:hint="eastAsia"/>
          <w:kern w:val="0"/>
        </w:rPr>
        <w:t xml:space="preserve"> </w:t>
      </w:r>
      <w:r>
        <w:rPr>
          <w:kern w:val="0"/>
        </w:rPr>
        <w:t>0.948), Langmuir (R(L)=0.566, q(m)=3.60 mg/g, R</w:t>
      </w:r>
      <w:r>
        <w:rPr>
          <w:rFonts w:hint="eastAsia"/>
          <w:kern w:val="0"/>
          <w:vertAlign w:val="superscript"/>
        </w:rPr>
        <w:t>2</w:t>
      </w:r>
      <w:r w:rsidRPr="00417029">
        <w:rPr>
          <w:rFonts w:hint="eastAsia"/>
          <w:kern w:val="0"/>
        </w:rPr>
        <w:t xml:space="preserve"> </w:t>
      </w:r>
      <w:r>
        <w:rPr>
          <w:kern w:val="0"/>
        </w:rPr>
        <w:t>=</w:t>
      </w:r>
      <w:r>
        <w:rPr>
          <w:rFonts w:hint="eastAsia"/>
          <w:kern w:val="0"/>
        </w:rPr>
        <w:t xml:space="preserve"> </w:t>
      </w:r>
      <w:r>
        <w:rPr>
          <w:kern w:val="0"/>
        </w:rPr>
        <w:t>0.991), Redlich-Peterson(R</w:t>
      </w:r>
      <w:r>
        <w:rPr>
          <w:rFonts w:hint="eastAsia"/>
          <w:kern w:val="0"/>
          <w:vertAlign w:val="superscript"/>
        </w:rPr>
        <w:t>2</w:t>
      </w:r>
      <w:r w:rsidRPr="00417029">
        <w:rPr>
          <w:rFonts w:hint="eastAsia"/>
          <w:kern w:val="0"/>
        </w:rPr>
        <w:t xml:space="preserve"> </w:t>
      </w:r>
      <w:r>
        <w:rPr>
          <w:kern w:val="0"/>
        </w:rPr>
        <w:t>=</w:t>
      </w:r>
      <w:r>
        <w:rPr>
          <w:rFonts w:hint="eastAsia"/>
          <w:kern w:val="0"/>
        </w:rPr>
        <w:t xml:space="preserve"> </w:t>
      </w:r>
      <w:r>
        <w:rPr>
          <w:kern w:val="0"/>
        </w:rPr>
        <w:lastRenderedPageBreak/>
        <w:t>0.98) and Temkin (R</w:t>
      </w:r>
      <w:r>
        <w:rPr>
          <w:rFonts w:hint="eastAsia"/>
          <w:kern w:val="0"/>
          <w:vertAlign w:val="superscript"/>
        </w:rPr>
        <w:t>2</w:t>
      </w:r>
      <w:r w:rsidRPr="00417029">
        <w:rPr>
          <w:rFonts w:hint="eastAsia"/>
          <w:kern w:val="0"/>
        </w:rPr>
        <w:t xml:space="preserve"> </w:t>
      </w:r>
      <w:r>
        <w:rPr>
          <w:kern w:val="0"/>
        </w:rPr>
        <w:t>=</w:t>
      </w:r>
      <w:r>
        <w:rPr>
          <w:rFonts w:hint="eastAsia"/>
          <w:kern w:val="0"/>
        </w:rPr>
        <w:t xml:space="preserve"> </w:t>
      </w:r>
      <w:r>
        <w:rPr>
          <w:kern w:val="0"/>
        </w:rPr>
        <w:t>0.98, b(T) =784.52) isotherms, indicating favourable biosorption. The biosorption of Co(II) is described by the pseudo-second order rate equation (K=0.418 g/mg-min, R</w:t>
      </w:r>
      <w:r>
        <w:rPr>
          <w:rFonts w:hint="eastAsia"/>
          <w:kern w:val="0"/>
          <w:vertAlign w:val="superscript"/>
        </w:rPr>
        <w:t>2</w:t>
      </w:r>
      <w:r w:rsidRPr="00417029">
        <w:rPr>
          <w:rFonts w:hint="eastAsia"/>
          <w:kern w:val="0"/>
        </w:rPr>
        <w:t xml:space="preserve"> </w:t>
      </w:r>
      <w:r>
        <w:rPr>
          <w:kern w:val="0"/>
        </w:rPr>
        <w:t>=</w:t>
      </w:r>
      <w:r>
        <w:rPr>
          <w:rFonts w:hint="eastAsia"/>
          <w:kern w:val="0"/>
        </w:rPr>
        <w:t xml:space="preserve"> </w:t>
      </w:r>
      <w:r>
        <w:rPr>
          <w:kern w:val="0"/>
        </w:rPr>
        <w:t>0.99) preferably than first order rate equation (R</w:t>
      </w:r>
      <w:r>
        <w:rPr>
          <w:rFonts w:hint="eastAsia"/>
          <w:kern w:val="0"/>
          <w:vertAlign w:val="superscript"/>
        </w:rPr>
        <w:t>2</w:t>
      </w:r>
      <w:r w:rsidRPr="00417029">
        <w:rPr>
          <w:rFonts w:hint="eastAsia"/>
          <w:kern w:val="0"/>
        </w:rPr>
        <w:t xml:space="preserve"> </w:t>
      </w:r>
      <w:r>
        <w:rPr>
          <w:kern w:val="0"/>
        </w:rPr>
        <w:t>=</w:t>
      </w:r>
      <w:r>
        <w:rPr>
          <w:rFonts w:hint="eastAsia"/>
          <w:kern w:val="0"/>
        </w:rPr>
        <w:t xml:space="preserve"> </w:t>
      </w:r>
      <w:r>
        <w:rPr>
          <w:kern w:val="0"/>
        </w:rPr>
        <w:t>0.89). The biosorption is exothermic, irreversible and spontaneous.</w:t>
      </w:r>
    </w:p>
    <w:p w:rsidR="00D723BC" w:rsidRDefault="00D723BC" w:rsidP="00D723BC">
      <w:pPr>
        <w:pStyle w:val="a0"/>
        <w:rPr>
          <w:kern w:val="0"/>
        </w:rPr>
      </w:pPr>
      <w:r>
        <w:rPr>
          <w:kern w:val="0"/>
        </w:rPr>
        <w:t>Keywords: Adsorption, Aqueous-Solution, Bioremediation, Biosorbent, Biosorption, Co(II), Cobalt, Equilibrium, Ficus Religiosa, Freundlich, Ions, Isotherms, Kaolinite, Langmuir, pH, Pith, Removal, Sorption, Thermodynamics</w:t>
      </w:r>
    </w:p>
    <w:p w:rsidR="00D723BC" w:rsidRDefault="00D723BC" w:rsidP="00D723BC">
      <w:pPr>
        <w:pStyle w:val="a0"/>
        <w:rPr>
          <w:kern w:val="0"/>
        </w:rPr>
      </w:pPr>
      <w:r>
        <w:rPr>
          <w:rFonts w:hint="eastAsia"/>
          <w:kern w:val="0"/>
        </w:rPr>
        <w:t xml:space="preserve">? </w:t>
      </w:r>
      <w:r>
        <w:rPr>
          <w:kern w:val="0"/>
        </w:rPr>
        <w:t xml:space="preserve">Nagashanmugam, K.B. and Srinivasan, K. (2011), Hexavalent chromium removal by gingelly oil cake carbon activated with zinc chloride. </w:t>
      </w:r>
      <w:r>
        <w:rPr>
          <w:i/>
          <w:iCs/>
          <w:kern w:val="0"/>
        </w:rPr>
        <w:t>Indian Journal of Chemical Technology</w:t>
      </w:r>
      <w:r>
        <w:rPr>
          <w:kern w:val="0"/>
        </w:rPr>
        <w:t xml:space="preserve">, </w:t>
      </w:r>
      <w:r>
        <w:rPr>
          <w:b/>
          <w:bCs/>
          <w:kern w:val="0"/>
        </w:rPr>
        <w:t>18</w:t>
      </w:r>
      <w:r>
        <w:rPr>
          <w:kern w:val="0"/>
        </w:rPr>
        <w:t xml:space="preserve"> (5), 391-402.</w:t>
      </w:r>
    </w:p>
    <w:p w:rsidR="00D723BC" w:rsidRDefault="00D723BC" w:rsidP="00D723BC">
      <w:pPr>
        <w:pStyle w:val="a0"/>
        <w:rPr>
          <w:kern w:val="0"/>
        </w:rPr>
      </w:pPr>
      <w:r>
        <w:rPr>
          <w:kern w:val="0"/>
        </w:rPr>
        <w:t>Full Text:</w:t>
      </w:r>
      <w:r w:rsidRPr="00B025C1">
        <w:t xml:space="preserve"> </w:t>
      </w:r>
      <w:hyperlink r:id="rId942" w:history="1">
        <w:r w:rsidRPr="00E373C6">
          <w:rPr>
            <w:rStyle w:val="a5"/>
          </w:rPr>
          <w:t>2011\Ind J Che Tec18, 391.pdf</w:t>
        </w:r>
      </w:hyperlink>
    </w:p>
    <w:p w:rsidR="00D723BC" w:rsidRDefault="00D723BC" w:rsidP="00D723BC">
      <w:pPr>
        <w:pStyle w:val="a0"/>
        <w:rPr>
          <w:kern w:val="0"/>
        </w:rPr>
      </w:pPr>
      <w:r>
        <w:rPr>
          <w:kern w:val="0"/>
        </w:rPr>
        <w:t>Abstract: An activated carbon has been prepared from gingelly oil cake (GOC) by zinc chloride treatment and its Cr(VI) removal capacity is compared with that of commercial activated carbon (CAC). The effect of experimental parameters such as pH, initial concentration, contact time and adsorbents dose for Cr(VI) removal has been studied. Langmuir, Freundlich and Temkin models are tested to describe the equilibrium isotherms. The maximum adsorption capacity of the adsorbents calculated from Langmuir isotherm is found to be 62.5 mg/g and 25.13 mg/g for zinc chloride treated gingelly oil cake carbon (ZTGOC) and CAC respectively. R</w:t>
      </w:r>
      <w:r>
        <w:rPr>
          <w:rFonts w:hint="eastAsia"/>
          <w:kern w:val="0"/>
          <w:vertAlign w:val="superscript"/>
        </w:rPr>
        <w:t>2</w:t>
      </w:r>
      <w:r>
        <w:rPr>
          <w:kern w:val="0"/>
        </w:rPr>
        <w:t xml:space="preserve"> values show that both Langmuir and Freundlich models fit well to explain the adsorption phenomenon for ZTGOC and CAC. The kinetic data fits best to pseudo-second order model. FT-IR analysis has been used to obtain information on the nature of possible interaction between carbon adsorbents and metal ions. SEM images confirm the adsorption of Cr(VI) onto these adsorbents through morphological observations. Thermodynamic study shows the feasibility of process and spontaneous nature of the adsorption. The carbon adsorbents have also been tested for the removal of Cr(VI) from chrome plating wastewater and are found to remove Cr(VI) effectively.</w:t>
      </w:r>
    </w:p>
    <w:p w:rsidR="00D723BC" w:rsidRDefault="00D723BC" w:rsidP="00D723BC">
      <w:pPr>
        <w:pStyle w:val="a0"/>
        <w:rPr>
          <w:kern w:val="0"/>
        </w:rPr>
      </w:pPr>
      <w:r>
        <w:rPr>
          <w:kern w:val="0"/>
        </w:rPr>
        <w:t>Keywords: Activated Carbon, Adsorbents, Adsorption, Adsorption Isotherms, Aqueous-Solutions, Bagasse Fly-Ash, Chrome Plating Wastewater, Chromium, Chromium(VI), Coir Pith Carbon, Commercial Activated Carbon, Concentration, Cr(VI), Equilibrium, Freundlich, FT-IR, FTIR, Gingelly Oil Cake Carbon, Hazelnut Shell, Hexavalent Chromium, Isotherm, Isotherms, Kinetic, Kinetics, Langmuir, Langmuir Isotherm, Low-Cost Adsorbent, Metal Ions, pH, Sugar-Industry Waste, Thermodynamic, Vi Adsorption, Wastewater, Water, Zinc Chloride</w:t>
      </w:r>
    </w:p>
    <w:p w:rsidR="00B95188" w:rsidRPr="00A428C3" w:rsidRDefault="00B95188" w:rsidP="00B95188">
      <w:pPr>
        <w:pStyle w:val="1"/>
      </w:pPr>
      <w:r w:rsidRPr="00A428C3">
        <w:br w:type="page"/>
      </w:r>
      <w:bookmarkStart w:id="840" w:name="_Toc186647827"/>
      <w:bookmarkStart w:id="841" w:name="_Toc317161117"/>
      <w:r w:rsidRPr="00A428C3">
        <w:lastRenderedPageBreak/>
        <w:t>Title: Indian Journal of Chemistry</w:t>
      </w:r>
      <w:bookmarkEnd w:id="840"/>
      <w:bookmarkEnd w:id="841"/>
    </w:p>
    <w:p w:rsidR="00B95188" w:rsidRPr="00A428C3" w:rsidRDefault="00B95188" w:rsidP="00B72EF9">
      <w:pPr>
        <w:pStyle w:val="12"/>
      </w:pPr>
      <w:r w:rsidRPr="00A428C3">
        <w:t>Full Journal Title: Indian Journal of Chemistry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 Indian J Chem</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262E4D" w:rsidRDefault="00262E4D" w:rsidP="00262E4D">
      <w:pPr>
        <w:pStyle w:val="a0"/>
      </w:pPr>
      <w:r w:rsidRPr="00A428C3">
        <w:t>? Mehta, O.P. (1974), Effect of pH on kinetics of adsorption of iodide</w:t>
      </w:r>
      <w:r>
        <w:t xml:space="preserve"> and </w:t>
      </w:r>
      <w:r w:rsidRPr="00A428C3">
        <w:t>cobalt(II) ions on metallic</w:t>
      </w:r>
      <w:r>
        <w:t xml:space="preserve"> and </w:t>
      </w:r>
      <w:r w:rsidRPr="00A428C3">
        <w:t xml:space="preserve">glass surfaces. </w:t>
      </w:r>
      <w:r w:rsidRPr="00A428C3">
        <w:rPr>
          <w:i/>
          <w:iCs/>
        </w:rPr>
        <w:t>Indian Journal of Chemistry</w:t>
      </w:r>
      <w:r w:rsidRPr="00A428C3">
        <w:t xml:space="preserve">, </w:t>
      </w:r>
      <w:r w:rsidRPr="00A428C3">
        <w:rPr>
          <w:b/>
        </w:rPr>
        <w:t>12</w:t>
      </w:r>
      <w:r w:rsidRPr="00A428C3">
        <w:t xml:space="preserve"> (3), 315-319.</w:t>
      </w:r>
    </w:p>
    <w:p w:rsidR="00262E4D" w:rsidRPr="00A428C3" w:rsidRDefault="00262E4D" w:rsidP="00262E4D">
      <w:pPr>
        <w:pStyle w:val="a0"/>
      </w:pPr>
      <w:r w:rsidRPr="00A428C3">
        <w:t xml:space="preserve">? </w:t>
      </w:r>
      <w:r>
        <w:t>De, D</w:t>
      </w:r>
      <w:r>
        <w:rPr>
          <w:rFonts w:hint="eastAsia"/>
        </w:rPr>
        <w:t>.</w:t>
      </w:r>
      <w:r>
        <w:t>K</w:t>
      </w:r>
      <w:r>
        <w:rPr>
          <w:rFonts w:hint="eastAsia"/>
        </w:rPr>
        <w:t>.,</w:t>
      </w:r>
      <w:r>
        <w:t xml:space="preserve"> Daskanungo, J</w:t>
      </w:r>
      <w:r>
        <w:rPr>
          <w:rFonts w:hint="eastAsia"/>
        </w:rPr>
        <w:t>.</w:t>
      </w:r>
      <w:r>
        <w:t>L</w:t>
      </w:r>
      <w:r>
        <w:rPr>
          <w:rFonts w:hint="eastAsia"/>
        </w:rPr>
        <w:t>. and</w:t>
      </w:r>
      <w:r>
        <w:t xml:space="preserve"> Chakravarty, S</w:t>
      </w:r>
      <w:r>
        <w:rPr>
          <w:rFonts w:hint="eastAsia"/>
        </w:rPr>
        <w:t>.</w:t>
      </w:r>
      <w:r>
        <w:t>K</w:t>
      </w:r>
      <w:r>
        <w:rPr>
          <w:rFonts w:hint="eastAsia"/>
        </w:rPr>
        <w:t>.</w:t>
      </w:r>
      <w:r w:rsidRPr="00A428C3">
        <w:t xml:space="preserve"> (1974), </w:t>
      </w:r>
      <w:r>
        <w:t>Adsorption of Methylene-blue, crystal violet and malachite green on bentonite, vermiculite, kaolinite, asbestos and feldspar</w:t>
      </w:r>
      <w:r w:rsidRPr="00A428C3">
        <w:t xml:space="preserve">. </w:t>
      </w:r>
      <w:r w:rsidRPr="00A428C3">
        <w:rPr>
          <w:i/>
          <w:iCs/>
        </w:rPr>
        <w:t>Indian Journal of Chemistry</w:t>
      </w:r>
      <w:r w:rsidRPr="00A428C3">
        <w:t xml:space="preserve">, </w:t>
      </w:r>
      <w:r w:rsidRPr="00A428C3">
        <w:rPr>
          <w:b/>
        </w:rPr>
        <w:t>12</w:t>
      </w:r>
      <w:r w:rsidRPr="00A428C3">
        <w:t xml:space="preserve"> (</w:t>
      </w:r>
      <w:r>
        <w:rPr>
          <w:rFonts w:hint="eastAsia"/>
        </w:rPr>
        <w:t>11</w:t>
      </w:r>
      <w:r w:rsidRPr="00A428C3">
        <w:t xml:space="preserve">), </w:t>
      </w:r>
      <w:r>
        <w:t>1187-1189</w:t>
      </w:r>
      <w:r w:rsidRPr="00A428C3">
        <w:t>.</w:t>
      </w:r>
    </w:p>
    <w:p w:rsidR="00B95188" w:rsidRPr="00A428C3" w:rsidRDefault="00B95188" w:rsidP="00B95188">
      <w:pPr>
        <w:pStyle w:val="1"/>
      </w:pPr>
      <w:r w:rsidRPr="00A428C3">
        <w:br w:type="page"/>
      </w:r>
      <w:bookmarkStart w:id="842" w:name="_Toc455569468"/>
      <w:bookmarkStart w:id="843" w:name="_Toc487190706"/>
      <w:bookmarkStart w:id="844" w:name="_Toc487882211"/>
      <w:bookmarkStart w:id="845" w:name="_Toc490688030"/>
      <w:bookmarkStart w:id="846" w:name="_Toc492812140"/>
      <w:bookmarkStart w:id="847" w:name="_Toc186647828"/>
      <w:bookmarkStart w:id="848" w:name="_Toc317161118"/>
      <w:r w:rsidRPr="00A428C3">
        <w:lastRenderedPageBreak/>
        <w:t xml:space="preserve">Title: </w:t>
      </w:r>
      <w:bookmarkEnd w:id="842"/>
      <w:bookmarkEnd w:id="843"/>
      <w:bookmarkEnd w:id="844"/>
      <w:bookmarkEnd w:id="845"/>
      <w:r w:rsidRPr="00A428C3">
        <w:t>Indian Journal of Chemistry Section A-Inorganic Bio-Inorganic Physical Theoretical &amp; Analytical Chemistry</w:t>
      </w:r>
      <w:bookmarkEnd w:id="846"/>
      <w:bookmarkEnd w:id="847"/>
      <w:bookmarkEnd w:id="848"/>
    </w:p>
    <w:p w:rsidR="00B95188" w:rsidRPr="00A428C3" w:rsidRDefault="00B95188" w:rsidP="00B72EF9">
      <w:pPr>
        <w:pStyle w:val="12"/>
      </w:pPr>
      <w:r w:rsidRPr="00A428C3">
        <w:t xml:space="preserve">Full Journal Title: </w:t>
      </w:r>
      <w:hyperlink r:id="rId943" w:history="1">
        <w:r w:rsidRPr="00D43F25">
          <w:rPr>
            <w:rStyle w:val="a5"/>
          </w:rPr>
          <w:t>Indian Journal of Chemistry Section A-Inorganic Bio-Inorganic Physical Theoretical &amp; Analytical Chemistry</w:t>
        </w:r>
      </w:hyperlink>
    </w:p>
    <w:p w:rsidR="00B95188" w:rsidRPr="00A428C3" w:rsidRDefault="00B95188" w:rsidP="00B72EF9">
      <w:pPr>
        <w:pStyle w:val="12"/>
      </w:pPr>
      <w:r w:rsidRPr="00A428C3">
        <w:t>ISO Abbreviated Title: Indian J. Chem. Sect A-Inorg. Bio-Inorg. Phys. Theor. Anal. Chem.</w:t>
      </w:r>
    </w:p>
    <w:p w:rsidR="00B95188" w:rsidRPr="00A428C3" w:rsidRDefault="00B95188" w:rsidP="00B72EF9">
      <w:pPr>
        <w:pStyle w:val="12"/>
      </w:pPr>
      <w:r w:rsidRPr="00A428C3">
        <w:t>JCR Abbreviated Title: Indian J Chem A</w:t>
      </w:r>
    </w:p>
    <w:p w:rsidR="00B95188" w:rsidRPr="00A428C3" w:rsidRDefault="00B95188" w:rsidP="00B72EF9">
      <w:pPr>
        <w:pStyle w:val="12"/>
      </w:pPr>
      <w:r w:rsidRPr="00A428C3">
        <w:t>ISSN: 0376-4710</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Natl Inst Science Communication</w:t>
      </w:r>
    </w:p>
    <w:p w:rsidR="00B95188" w:rsidRPr="00A428C3" w:rsidRDefault="00B95188" w:rsidP="00B72EF9">
      <w:pPr>
        <w:pStyle w:val="12"/>
      </w:pPr>
      <w:r w:rsidRPr="00A428C3">
        <w:t xml:space="preserve">Publisher Address: Dr K S Krishnan Marg, </w:t>
      </w:r>
      <w:smartTag w:uri="urn:schemas-microsoft-com:office:smarttags" w:element="City">
        <w:r w:rsidRPr="00A428C3">
          <w:t>New Delhi</w:t>
        </w:r>
      </w:smartTag>
      <w:r w:rsidRPr="00A428C3">
        <w:t xml:space="preserve"> 110 012,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Chemistry: Impact Factor 0.304, 89/121 (1999), </w:t>
      </w:r>
    </w:p>
    <w:p w:rsidR="00B95188" w:rsidRPr="00A428C3" w:rsidRDefault="00B95188" w:rsidP="00B95188">
      <w:pPr>
        <w:pStyle w:val="a0"/>
      </w:pPr>
      <w:r w:rsidRPr="00A428C3">
        <w:t>? Singhal, J.P., Khan, S.</w:t>
      </w:r>
      <w:r w:rsidR="00F81221">
        <w:t xml:space="preserve"> and </w:t>
      </w:r>
      <w:r w:rsidRPr="00A428C3">
        <w:t>Bansal, O.P. (1978), Kinetics</w:t>
      </w:r>
      <w:r w:rsidR="00F81221">
        <w:t xml:space="preserve"> and </w:t>
      </w:r>
      <w:r w:rsidRPr="00A428C3">
        <w:t xml:space="preserve">mechanism of adsorption of oxamyl on kaolinite. </w:t>
      </w:r>
      <w:r w:rsidRPr="00A428C3">
        <w:rPr>
          <w:i/>
        </w:rPr>
        <w:t>Indian Journal of Chemistry Section A-Inorganic Bio-Inorganic Physical Theoretical &amp; Analytical Chemistry</w:t>
      </w:r>
      <w:r w:rsidRPr="00A428C3">
        <w:t xml:space="preserve">, </w:t>
      </w:r>
      <w:r w:rsidRPr="00A428C3">
        <w:rPr>
          <w:b/>
        </w:rPr>
        <w:t>16</w:t>
      </w:r>
      <w:r w:rsidRPr="00A428C3">
        <w:t xml:space="preserve"> (11), 945-948.</w:t>
      </w:r>
    </w:p>
    <w:p w:rsidR="00B95188" w:rsidRPr="00A428C3" w:rsidRDefault="00B95188" w:rsidP="00B95188">
      <w:pPr>
        <w:pStyle w:val="a0"/>
      </w:pPr>
      <w:r w:rsidRPr="00A428C3">
        <w:t>? Jain, K.K., Prasad, G.</w:t>
      </w:r>
      <w:r w:rsidR="00F81221">
        <w:t xml:space="preserve"> and </w:t>
      </w:r>
      <w:r w:rsidRPr="00A428C3">
        <w:t>Singh, V.N. (1980), Application of Langmuir isotherm for oxalic-acid adsorption by fly-ash</w:t>
      </w:r>
      <w:r w:rsidR="00F81221">
        <w:t xml:space="preserve"> and </w:t>
      </w:r>
      <w:r w:rsidRPr="00A428C3">
        <w:t xml:space="preserve">activated carbon. </w:t>
      </w:r>
      <w:r w:rsidRPr="00A428C3">
        <w:rPr>
          <w:i/>
        </w:rPr>
        <w:t>Indian Journal of Chemistry Section A-Inorganic Bio-Inorganic Physical Theoretical &amp; Analytical Chemistry</w:t>
      </w:r>
      <w:r w:rsidRPr="00A428C3">
        <w:t xml:space="preserve">, </w:t>
      </w:r>
      <w:r w:rsidRPr="00A428C3">
        <w:rPr>
          <w:b/>
        </w:rPr>
        <w:t>19</w:t>
      </w:r>
      <w:r w:rsidRPr="00A428C3">
        <w:t xml:space="preserve"> (2), 154-156.</w:t>
      </w:r>
    </w:p>
    <w:p w:rsidR="00B95188" w:rsidRPr="00A428C3" w:rsidRDefault="00B95188" w:rsidP="00B95188">
      <w:pPr>
        <w:pStyle w:val="a0"/>
      </w:pPr>
      <w:r w:rsidRPr="00A428C3">
        <w:t>? Bansal, V., Khan, S.</w:t>
      </w:r>
      <w:r w:rsidR="00F81221">
        <w:t xml:space="preserve"> and </w:t>
      </w:r>
      <w:r w:rsidRPr="00A428C3">
        <w:t>Singhal, J.P. (1980), Kinetics</w:t>
      </w:r>
      <w:r w:rsidR="00F81221">
        <w:t xml:space="preserve"> and </w:t>
      </w:r>
      <w:r w:rsidRPr="00A428C3">
        <w:t>mechanism of dimecron adsorption on acid</w:t>
      </w:r>
      <w:r w:rsidR="00F81221">
        <w:t xml:space="preserve"> and </w:t>
      </w:r>
      <w:r w:rsidRPr="00A428C3">
        <w:t xml:space="preserve">base saturated synthetic montmorillonite. </w:t>
      </w:r>
      <w:r w:rsidRPr="00A428C3">
        <w:rPr>
          <w:i/>
        </w:rPr>
        <w:t>Indian Journal of Chemistry Section A-Inorganic Bio-Inorganic Physical Theoretical &amp; Analytical Chemistry</w:t>
      </w:r>
      <w:r w:rsidRPr="00A428C3">
        <w:t xml:space="preserve">, </w:t>
      </w:r>
      <w:r w:rsidRPr="00A428C3">
        <w:rPr>
          <w:b/>
        </w:rPr>
        <w:t>19</w:t>
      </w:r>
      <w:r w:rsidRPr="00A428C3">
        <w:t xml:space="preserve"> (3), 256-257.</w:t>
      </w:r>
    </w:p>
    <w:p w:rsidR="00B95188" w:rsidRPr="00A428C3" w:rsidRDefault="00B95188" w:rsidP="00B95188">
      <w:pPr>
        <w:pStyle w:val="a0"/>
      </w:pPr>
      <w:r w:rsidRPr="00A428C3">
        <w:t>? Abouromia, M.M. (1980), Adsorption of thiophene at dropping mercury-electrode</w:t>
      </w:r>
      <w:r w:rsidR="00F81221">
        <w:t xml:space="preserve"> and </w:t>
      </w:r>
      <w:r w:rsidRPr="00A428C3">
        <w:t xml:space="preserve">its effect on the kinetics of electrode process. </w:t>
      </w:r>
      <w:r w:rsidRPr="00A428C3">
        <w:rPr>
          <w:i/>
        </w:rPr>
        <w:t>Indian Journal of Chemistry Section A-Inorganic Bio-Inorganic Physical Theoretical &amp; Analytical Chemistry</w:t>
      </w:r>
      <w:r w:rsidRPr="00A428C3">
        <w:t xml:space="preserve">, </w:t>
      </w:r>
      <w:r w:rsidRPr="00A428C3">
        <w:rPr>
          <w:b/>
        </w:rPr>
        <w:t>19</w:t>
      </w:r>
      <w:r w:rsidRPr="00A428C3">
        <w:t xml:space="preserve"> (4), 374-376.</w:t>
      </w:r>
    </w:p>
    <w:p w:rsidR="00B95188" w:rsidRPr="00A428C3" w:rsidRDefault="00B95188" w:rsidP="00B95188">
      <w:pPr>
        <w:pStyle w:val="a0"/>
      </w:pPr>
      <w:r w:rsidRPr="00A428C3">
        <w:t>McKay, G., Blair, H.S.</w:t>
      </w:r>
      <w:r w:rsidR="00F81221">
        <w:t xml:space="preserve"> and </w:t>
      </w:r>
      <w:r w:rsidRPr="00A428C3">
        <w:t xml:space="preserve">Findon, A. (1989), Equilibrium studies for the sorption of metal ions onto Chitosan. </w:t>
      </w:r>
      <w:r w:rsidRPr="00A428C3">
        <w:rPr>
          <w:i/>
        </w:rPr>
        <w:t>Indian Journal of Chemistry Section A-Inorganic Bio-Inorganic Physical Theoretical &amp; Analytical Chemistry</w:t>
      </w:r>
      <w:r w:rsidRPr="00A428C3">
        <w:t xml:space="preserve">, </w:t>
      </w:r>
      <w:r w:rsidRPr="00A428C3">
        <w:rPr>
          <w:b/>
        </w:rPr>
        <w:t>28</w:t>
      </w:r>
      <w:r w:rsidRPr="00A428C3">
        <w:t xml:space="preserve"> (5), 356-360.</w:t>
      </w:r>
    </w:p>
    <w:p w:rsidR="00D43F25" w:rsidRDefault="00D43F25" w:rsidP="00D43F25">
      <w:pPr>
        <w:pStyle w:val="a0"/>
      </w:pPr>
      <w:r w:rsidRPr="00A428C3">
        <w:t xml:space="preserve">? </w:t>
      </w:r>
      <w:r>
        <w:t>Mishra, J</w:t>
      </w:r>
      <w:r>
        <w:rPr>
          <w:rFonts w:hint="eastAsia"/>
        </w:rPr>
        <w:t>.</w:t>
      </w:r>
      <w:r>
        <w:t>K</w:t>
      </w:r>
      <w:r>
        <w:rPr>
          <w:rFonts w:hint="eastAsia"/>
        </w:rPr>
        <w:t>.,</w:t>
      </w:r>
      <w:r>
        <w:t xml:space="preserve"> Sahay, A</w:t>
      </w:r>
      <w:r>
        <w:rPr>
          <w:rFonts w:hint="eastAsia"/>
        </w:rPr>
        <w:t>.</w:t>
      </w:r>
      <w:r>
        <w:t>K</w:t>
      </w:r>
      <w:r>
        <w:rPr>
          <w:rFonts w:hint="eastAsia"/>
        </w:rPr>
        <w:t>. and</w:t>
      </w:r>
      <w:r>
        <w:t xml:space="preserve"> Mishra, B</w:t>
      </w:r>
      <w:r>
        <w:rPr>
          <w:rFonts w:hint="eastAsia"/>
        </w:rPr>
        <w:t>.</w:t>
      </w:r>
      <w:r>
        <w:t>K</w:t>
      </w:r>
      <w:r>
        <w:rPr>
          <w:rFonts w:hint="eastAsia"/>
        </w:rPr>
        <w:t>.</w:t>
      </w:r>
      <w:r w:rsidRPr="00A428C3">
        <w:t xml:space="preserve"> (199</w:t>
      </w:r>
      <w:r>
        <w:rPr>
          <w:rFonts w:hint="eastAsia"/>
        </w:rPr>
        <w:t>1</w:t>
      </w:r>
      <w:r w:rsidRPr="00A428C3">
        <w:t xml:space="preserve">), </w:t>
      </w:r>
      <w:r>
        <w:t>Behavior of a surface-active cyanine dye in water and surfactant solutions</w:t>
      </w:r>
      <w:r w:rsidRPr="00A428C3">
        <w:t xml:space="preserve">. </w:t>
      </w:r>
      <w:r w:rsidRPr="00A428C3">
        <w:rPr>
          <w:i/>
        </w:rPr>
        <w:t>Indian Journal of Chemistry Section A-Inorganic Bio-Inorganic Physical Theoretical &amp; Analytical Chemistry</w:t>
      </w:r>
      <w:r w:rsidRPr="00A428C3">
        <w:t xml:space="preserve">, </w:t>
      </w:r>
      <w:r w:rsidRPr="00A428C3">
        <w:rPr>
          <w:b/>
        </w:rPr>
        <w:t>3</w:t>
      </w:r>
      <w:r>
        <w:rPr>
          <w:rFonts w:hint="eastAsia"/>
          <w:b/>
        </w:rPr>
        <w:t>0</w:t>
      </w:r>
      <w:r w:rsidRPr="00A428C3">
        <w:t xml:space="preserve"> (1</w:t>
      </w:r>
      <w:r>
        <w:rPr>
          <w:rFonts w:hint="eastAsia"/>
        </w:rPr>
        <w:t>0</w:t>
      </w:r>
      <w:r w:rsidRPr="00A428C3">
        <w:t xml:space="preserve">), </w:t>
      </w:r>
      <w:r>
        <w:lastRenderedPageBreak/>
        <w:t>886-889</w:t>
      </w:r>
      <w:r w:rsidRPr="00A428C3">
        <w:t>.</w:t>
      </w:r>
    </w:p>
    <w:p w:rsidR="00D43F25" w:rsidRDefault="00D43F25" w:rsidP="00D43F25">
      <w:pPr>
        <w:pStyle w:val="a0"/>
      </w:pPr>
      <w:r>
        <w:rPr>
          <w:rFonts w:hint="eastAsia"/>
        </w:rPr>
        <w:t>Full Text: 1991\</w:t>
      </w:r>
      <w:r>
        <w:t>Ind</w:t>
      </w:r>
      <w:r w:rsidRPr="00D43F25">
        <w:t xml:space="preserve"> J Che Sec A3</w:t>
      </w:r>
      <w:r w:rsidRPr="00D43F25">
        <w:rPr>
          <w:rFonts w:hint="eastAsia"/>
        </w:rPr>
        <w:t>0</w:t>
      </w:r>
      <w:r w:rsidRPr="00A428C3">
        <w:t xml:space="preserve">, </w:t>
      </w:r>
      <w:r>
        <w:t>886</w:t>
      </w:r>
      <w:r>
        <w:rPr>
          <w:rFonts w:hint="eastAsia"/>
        </w:rPr>
        <w:t>.pdf</w:t>
      </w:r>
    </w:p>
    <w:p w:rsidR="00D43F25" w:rsidRDefault="00D43F25" w:rsidP="00D43F25">
      <w:pPr>
        <w:pStyle w:val="a0"/>
      </w:pPr>
      <w:r>
        <w:t>Abstract: N-Cetyl-4-(p-N,N-dimethylamino)styrylpyridinium bromide (I) has been used as a probe to study the effect of hydrophobic chain in organising the dye molecule in water medium. (I) forms a condensed monolayer on water surface covering 65 angstrom 2/molecule. An L-L type of aggregation has been proposed on the basis of the calculated area of the molecule. A hyposochromic shift in the absorption of (I) in aqueous medium in the presence of CTAB (below CMC) suggests formation of a dimer. But above the CMC of CTAB, (I) forms aggregates with CTAB leading to a mixed micelle formation. However, in reversed micelle, a bathochromic shift is observed with increasing water concentration. This shift reveals a J-type aggregation of the dye at the interface.</w:t>
      </w:r>
    </w:p>
    <w:p w:rsidR="00D43F25" w:rsidRPr="00A428C3" w:rsidRDefault="00D43F25" w:rsidP="00D43F25">
      <w:pPr>
        <w:pStyle w:val="a0"/>
      </w:pPr>
      <w:r>
        <w:t>Keywords: Micelles</w:t>
      </w:r>
    </w:p>
    <w:p w:rsidR="00D43F25" w:rsidRPr="00A428C3" w:rsidRDefault="00D43F25" w:rsidP="00D43F25">
      <w:pPr>
        <w:pStyle w:val="a0"/>
      </w:pPr>
      <w:r w:rsidRPr="00A428C3">
        <w:t>? Desai, M., Dogra, A., Vora, S., Bahadur, P.</w:t>
      </w:r>
      <w:r>
        <w:t xml:space="preserve"> and </w:t>
      </w:r>
      <w:r w:rsidRPr="00A428C3">
        <w:t xml:space="preserve">Ram, R.N. (1997), Adsorption of some acid dyes from aqueous solutions onto neutral alumina. </w:t>
      </w:r>
      <w:r w:rsidRPr="00A428C3">
        <w:rPr>
          <w:i/>
        </w:rPr>
        <w:t>Indian Journal of Chemistry Section A-Inorganic Bio-Inorganic Physical Theoretical &amp; Analytical Chemistry</w:t>
      </w:r>
      <w:r w:rsidRPr="00A428C3">
        <w:t xml:space="preserve">, </w:t>
      </w:r>
      <w:r w:rsidRPr="00A428C3">
        <w:rPr>
          <w:b/>
        </w:rPr>
        <w:t>36</w:t>
      </w:r>
      <w:r w:rsidRPr="00A428C3">
        <w:t xml:space="preserve"> (11), 938-944.</w:t>
      </w:r>
    </w:p>
    <w:p w:rsidR="00B95188" w:rsidRPr="00A428C3" w:rsidRDefault="00B95188" w:rsidP="00B95188">
      <w:pPr>
        <w:pStyle w:val="a0"/>
      </w:pPr>
      <w:r w:rsidRPr="00A428C3">
        <w:t>Abstract: The kinetics</w:t>
      </w:r>
      <w:r w:rsidR="00F81221">
        <w:t xml:space="preserve"> and </w:t>
      </w:r>
      <w:r w:rsidRPr="00A428C3">
        <w:t>isotherm studies on the adsorption of five acid dyes, viz., Acid Orange 6, Acid Orange 7, Ethyl Orange, Acid Red 88</w:t>
      </w:r>
      <w:r w:rsidR="00F81221">
        <w:t xml:space="preserve"> and </w:t>
      </w:r>
      <w:r w:rsidRPr="00A428C3">
        <w:t>Acid Blue 113 on neutral alumina have been carried out spectrophotometrically. In each case the absorption process follows first order kinetics. For all the five dyes the rate of adsorption shows an increase with increase in dye concentration (0.5 - 6.0×10</w:t>
      </w:r>
      <w:r w:rsidRPr="00A428C3">
        <w:rPr>
          <w:vertAlign w:val="superscript"/>
        </w:rPr>
        <w:t>-5</w:t>
      </w:r>
      <w:r w:rsidRPr="00A428C3">
        <w:t>), decrease in pH (4 - 8.5), decrease in temperature (30 -50 degrees C)</w:t>
      </w:r>
      <w:r w:rsidR="00F81221">
        <w:t xml:space="preserve"> and </w:t>
      </w:r>
      <w:r w:rsidRPr="00A428C3">
        <w:t xml:space="preserve">amount of adsorbent (0.1 - </w:t>
      </w:r>
      <w:smartTag w:uri="urn:schemas-microsoft-com:office:smarttags" w:element="chmetcnv">
        <w:smartTagPr>
          <w:attr w:name="TCSC" w:val="0"/>
          <w:attr w:name="NumberType" w:val="1"/>
          <w:attr w:name="Negative" w:val="False"/>
          <w:attr w:name="HasSpace" w:val="False"/>
          <w:attr w:name="SourceValue" w:val="0.6"/>
          <w:attr w:name="UnitName" w:val="g"/>
        </w:smartTagPr>
        <w:r w:rsidRPr="00A428C3">
          <w:t>0.6g</w:t>
        </w:r>
      </w:smartTag>
      <w:r w:rsidRPr="00A428C3">
        <w:t>). The adsorption shows the order : Acid Orange 6 &gt; Acid Orange 7 &gt; Ethyl Orange &gt; Acid Red 88 &gt; Acid Blue 113. The dye adsorption follows the Langmuir</w:t>
      </w:r>
      <w:r w:rsidR="00F81221">
        <w:t xml:space="preserve"> and </w:t>
      </w:r>
      <w:r w:rsidRPr="00A428C3">
        <w:t>Freundlich isotherms; the various isotherm constants</w:t>
      </w:r>
      <w:r w:rsidR="00F81221">
        <w:t xml:space="preserve"> and </w:t>
      </w:r>
      <w:r w:rsidRPr="00A428C3">
        <w:t>thermodynamic parameters for the adsorption of dyes have been calculated</w:t>
      </w:r>
      <w:r w:rsidR="00F81221">
        <w:t xml:space="preserve"> and </w:t>
      </w:r>
      <w:r w:rsidRPr="00A428C3">
        <w:t>discussed.</w:t>
      </w:r>
    </w:p>
    <w:p w:rsidR="00B95188" w:rsidRPr="00A428C3" w:rsidRDefault="00B95188" w:rsidP="00B95188">
      <w:pPr>
        <w:pStyle w:val="a0"/>
      </w:pPr>
      <w:r w:rsidRPr="00A13428">
        <w:t>Keywords:</w:t>
      </w:r>
      <w:r w:rsidRPr="00A428C3">
        <w:t xml:space="preserve"> Basic-Dyes, Equilibrium, Isotherms, Effluent, Peat</w:t>
      </w:r>
    </w:p>
    <w:p w:rsidR="00B95188" w:rsidRPr="00A428C3" w:rsidRDefault="00B95188" w:rsidP="00B95188">
      <w:pPr>
        <w:pStyle w:val="a0"/>
      </w:pPr>
      <w:r w:rsidRPr="00A428C3">
        <w:t>? Vivekanandan, S., Jaya, S.</w:t>
      </w:r>
      <w:r w:rsidR="00F81221">
        <w:t xml:space="preserve"> and </w:t>
      </w:r>
      <w:r w:rsidRPr="00A428C3">
        <w:t xml:space="preserve">Lakshmi, S. (1999), Adsorption characteristics of chloramine-T on activated carbon. </w:t>
      </w:r>
      <w:r w:rsidRPr="00A428C3">
        <w:rPr>
          <w:i/>
        </w:rPr>
        <w:t>Indian Journal of Chemistry Section A-Inorganic Bio-Inorganic Physical Theoretical &amp; Analytical Chemistry</w:t>
      </w:r>
      <w:r w:rsidRPr="00A428C3">
        <w:t xml:space="preserve">, </w:t>
      </w:r>
      <w:r w:rsidRPr="00A428C3">
        <w:rPr>
          <w:b/>
        </w:rPr>
        <w:t>38</w:t>
      </w:r>
      <w:r w:rsidRPr="00A428C3">
        <w:t xml:space="preserve"> (7), 708-711.</w:t>
      </w:r>
    </w:p>
    <w:p w:rsidR="00B95188" w:rsidRPr="00A428C3" w:rsidRDefault="00B95188" w:rsidP="00B95188">
      <w:pPr>
        <w:pStyle w:val="a0"/>
      </w:pPr>
      <w:r w:rsidRPr="00A428C3">
        <w:t>Abstract: The adsorption behaviour of chloramine-T (CAT) from aqueous solutions on activated carbon is studied at 298, 303, 310</w:t>
      </w:r>
      <w:r w:rsidR="00F81221">
        <w:t xml:space="preserve"> and </w:t>
      </w:r>
      <w:r w:rsidRPr="00A428C3">
        <w:t>315.5K. The obedience to Langmuir (LAI)</w:t>
      </w:r>
      <w:r w:rsidR="00F81221">
        <w:t xml:space="preserve"> and </w:t>
      </w:r>
      <w:r w:rsidRPr="00A428C3">
        <w:t>Freundlich(FAI) adsorption isotherms is good while the obedience to Harkins Jura (HJAI)</w:t>
      </w:r>
      <w:r w:rsidR="00F81221">
        <w:t xml:space="preserve"> and </w:t>
      </w:r>
      <w:r w:rsidRPr="00A428C3">
        <w:t>Temkin(TAI) adsorption isotherms is poor. The specific adsorption is found to decrease with increase in temperature. From kinetic studies kinetic parameters such as rate constant at each of the above temperatures, energy of activation for the adsorption process, half life period</w:t>
      </w:r>
      <w:r w:rsidR="00F81221">
        <w:t xml:space="preserve"> and </w:t>
      </w:r>
      <w:r w:rsidRPr="00A428C3">
        <w:t xml:space="preserve">Elovich constants have </w:t>
      </w:r>
      <w:r w:rsidRPr="00A428C3">
        <w:lastRenderedPageBreak/>
        <w:t>been evaluated. Calorimetric enthalpy of adsorption is determined</w:t>
      </w:r>
      <w:r w:rsidR="00F81221">
        <w:t xml:space="preserve"> and </w:t>
      </w:r>
      <w:r w:rsidRPr="00A428C3">
        <w:t>other enthalpies of adsorption have been evaluated. The specific surface area of AC determined by BET method is lower than that determined by Langmuir method. A probable mechanism of adsorption is suggested.</w:t>
      </w:r>
    </w:p>
    <w:p w:rsidR="00B95188" w:rsidRPr="00A428C3" w:rsidRDefault="00B95188" w:rsidP="00B95188">
      <w:pPr>
        <w:pStyle w:val="a0"/>
      </w:pPr>
      <w:r w:rsidRPr="00A428C3">
        <w:t>Keywords: Mechanism, Oxidation, Kinetics</w:t>
      </w:r>
    </w:p>
    <w:p w:rsidR="00B95188" w:rsidRPr="00A428C3" w:rsidRDefault="00B95188" w:rsidP="00B95188">
      <w:pPr>
        <w:pStyle w:val="a0"/>
      </w:pPr>
      <w:r w:rsidRPr="00A428C3">
        <w:t>? Abraham, B.T.</w:t>
      </w:r>
      <w:r w:rsidR="00F81221">
        <w:t xml:space="preserve"> and </w:t>
      </w:r>
      <w:r w:rsidRPr="00A428C3">
        <w:t xml:space="preserve">Anirudhan, T.S. (1999), Influence of organic ligands on kinetics of adsorption of lead(II) by kaolin under various pH conditions. </w:t>
      </w:r>
      <w:r w:rsidRPr="00A428C3">
        <w:rPr>
          <w:i/>
        </w:rPr>
        <w:t>Indian Journal of Chemistry Section A-Inorganic Bio-Inorganic Physical Theoretical &amp; Analytical Chemistry</w:t>
      </w:r>
      <w:r w:rsidRPr="00A428C3">
        <w:t xml:space="preserve">, </w:t>
      </w:r>
      <w:r w:rsidRPr="00A428C3">
        <w:rPr>
          <w:b/>
        </w:rPr>
        <w:t>38</w:t>
      </w:r>
      <w:r w:rsidRPr="00A428C3">
        <w:t xml:space="preserve"> (10), 1029-1034.</w:t>
      </w:r>
    </w:p>
    <w:p w:rsidR="00B95188" w:rsidRPr="00A428C3" w:rsidRDefault="00B95188" w:rsidP="00B95188">
      <w:pPr>
        <w:pStyle w:val="a0"/>
      </w:pPr>
      <w:r w:rsidRPr="00A428C3">
        <w:t>Abstract: Adsorption of lead(II) from aqueous solution in presence of nitrilotriacetic acid(NTA)</w:t>
      </w:r>
      <w:r w:rsidR="00F81221">
        <w:t xml:space="preserve"> and </w:t>
      </w:r>
      <w:r w:rsidRPr="00A428C3">
        <w:t>ethylenediaminetetraacetic acid(EDTA) by kaolin has been studied using the batch equilibrium method. The study shows that Pb(II) adsorption by kaolin at different concentrations of NTA</w:t>
      </w:r>
      <w:r w:rsidR="00F81221">
        <w:t xml:space="preserve"> and </w:t>
      </w:r>
      <w:r w:rsidRPr="00A428C3">
        <w:t>EDTA obeys multiple first-order kinetics. The rate constants of Pb(II) adsorption for both fast</w:t>
      </w:r>
      <w:r w:rsidR="00F81221">
        <w:t xml:space="preserve"> and </w:t>
      </w:r>
      <w:r w:rsidRPr="00A428C3">
        <w:t>slow processes in presence</w:t>
      </w:r>
      <w:r w:rsidR="00F81221">
        <w:t xml:space="preserve"> and </w:t>
      </w:r>
      <w:r w:rsidRPr="00A428C3">
        <w:t>absence of organic ligands at different pH values have also been determined. With increase in pH the adsorption of NTA</w:t>
      </w:r>
      <w:r w:rsidR="00F81221">
        <w:t xml:space="preserve"> and </w:t>
      </w:r>
      <w:r w:rsidRPr="00A428C3">
        <w:t>EDTA decreases. In the absence of organic ligands the rate constants of initial fast process were 18-27 times higher than the slow process in the pH range of 2.0 to 9.0. Maximum adsorption of organic ligands takes place at pH 2.0. NTA</w:t>
      </w:r>
      <w:r w:rsidR="00F81221">
        <w:t xml:space="preserve"> and </w:t>
      </w:r>
      <w:r w:rsidRPr="00A428C3">
        <w:t>EDTA have a significant promoting effect on the adsorption of Pb on to kaolin at pH 2.0 whereas the ligands have a significant retarding effect on the adsorption at pH 4.0</w:t>
      </w:r>
      <w:r w:rsidR="00F81221">
        <w:t xml:space="preserve"> and </w:t>
      </w:r>
      <w:r w:rsidRPr="00A428C3">
        <w:t>9.0. The kaolin surface carries a net positive charge at pH 2.0, thus negatively charged Pb-NTA or Pb-EDTA complexes can be readily adsorbed. Adsorbed NTA</w:t>
      </w:r>
      <w:r w:rsidR="00F81221">
        <w:t xml:space="preserve"> and </w:t>
      </w:r>
      <w:r w:rsidRPr="00A428C3">
        <w:t>EDTA at kaolin surface provide new adsorption sites for Pb(II) ions.</w:t>
      </w:r>
    </w:p>
    <w:p w:rsidR="00B95188" w:rsidRPr="00A428C3" w:rsidRDefault="00B95188" w:rsidP="00B95188">
      <w:pPr>
        <w:pStyle w:val="a0"/>
      </w:pPr>
      <w:r w:rsidRPr="00A428C3">
        <w:t>Keywords: Chelating-Agents, Hydrous Oxides, Desorption, Sediments, Surface, Charge, NTA</w:t>
      </w:r>
    </w:p>
    <w:p w:rsidR="00B95188" w:rsidRPr="00A428C3" w:rsidRDefault="00B95188" w:rsidP="00B95188">
      <w:pPr>
        <w:pStyle w:val="a0"/>
      </w:pPr>
      <w:r w:rsidRPr="00A428C3">
        <w:t>? Singla, M.L.</w:t>
      </w:r>
      <w:r w:rsidR="00F81221">
        <w:t xml:space="preserve"> and </w:t>
      </w:r>
      <w:r w:rsidRPr="00A428C3">
        <w:t>Jain, D.V.S. (2000), Adsorption of Eriochrome Black T on polyaniline from aqueous</w:t>
      </w:r>
      <w:r w:rsidR="00F81221">
        <w:t xml:space="preserve"> and </w:t>
      </w:r>
      <w:r w:rsidRPr="00A428C3">
        <w:t xml:space="preserve">methanolic solutions. </w:t>
      </w:r>
      <w:r w:rsidRPr="00A428C3">
        <w:rPr>
          <w:i/>
        </w:rPr>
        <w:t>Indian Journal of Chemistry Section A-Inorganic Bio-Inorganic Physical Theoretical &amp; Analytical Chemistry</w:t>
      </w:r>
      <w:r w:rsidRPr="00A428C3">
        <w:t xml:space="preserve">, </w:t>
      </w:r>
      <w:r w:rsidRPr="00A428C3">
        <w:rPr>
          <w:b/>
        </w:rPr>
        <w:t>39</w:t>
      </w:r>
      <w:r w:rsidRPr="00A428C3">
        <w:t xml:space="preserve"> (6), 603-610.</w:t>
      </w:r>
    </w:p>
    <w:p w:rsidR="00B95188" w:rsidRPr="00A428C3" w:rsidRDefault="00B95188" w:rsidP="00B95188">
      <w:pPr>
        <w:pStyle w:val="a0"/>
      </w:pPr>
      <w:r w:rsidRPr="00A428C3">
        <w:t>Abstract: The adsorption bf Eriochrome Black T (EBT) has been studied on acidic</w:t>
      </w:r>
      <w:r w:rsidR="00F81221">
        <w:t xml:space="preserve"> and </w:t>
      </w:r>
      <w:r w:rsidRPr="00A428C3">
        <w:t>basic forms of polyaniline from aqueous</w:t>
      </w:r>
      <w:r w:rsidR="00F81221">
        <w:t xml:space="preserve"> and </w:t>
      </w:r>
      <w:r w:rsidRPr="00A428C3">
        <w:t>methanolic solutions. The adsorption has been studied as a function of adsorbate concentration (2-40×10</w:t>
      </w:r>
      <w:smartTag w:uri="urn:schemas-microsoft-com:office:smarttags" w:element="chmetcnv">
        <w:smartTagPr>
          <w:attr w:name="TCSC" w:val="0"/>
          <w:attr w:name="NumberType" w:val="1"/>
          <w:attr w:name="Negative" w:val="True"/>
          <w:attr w:name="HasSpace" w:val="True"/>
          <w:attr w:name="SourceValue" w:val="4"/>
          <w:attr w:name="UnitName" w:val="m"/>
        </w:smartTagPr>
        <w:r w:rsidRPr="00A428C3">
          <w:rPr>
            <w:vertAlign w:val="superscript"/>
          </w:rPr>
          <w:t>-4</w:t>
        </w:r>
        <w:r w:rsidRPr="00A428C3">
          <w:t xml:space="preserve"> M</w:t>
        </w:r>
      </w:smartTag>
      <w:r w:rsidRPr="00A428C3">
        <w:t>), adsorbent particle size (30 - 140 mesh)</w:t>
      </w:r>
      <w:r w:rsidR="00F81221">
        <w:t xml:space="preserve"> and </w:t>
      </w:r>
      <w:r w:rsidRPr="00A428C3">
        <w:t>temperature (293.15-313.15 K). The data have been fitted to Langmuir isotherm</w:t>
      </w:r>
      <w:r w:rsidR="00F81221">
        <w:t xml:space="preserve"> and </w:t>
      </w:r>
      <w:r w:rsidRPr="00A428C3">
        <w:t>its parameters have been obtained. Langmuir parameter b has large magnitude</w:t>
      </w:r>
      <w:r w:rsidR="00F81221">
        <w:t xml:space="preserve"> and </w:t>
      </w:r>
      <w:r w:rsidRPr="00A428C3">
        <w:t>increases with temperature suggesting that the adsorption is endothermic</w:t>
      </w:r>
      <w:r w:rsidR="00F81221">
        <w:t xml:space="preserve"> and </w:t>
      </w:r>
      <w:r w:rsidRPr="00A428C3">
        <w:t xml:space="preserve">entropy dominated. Kinetic studies have been performed to calculate rate constants for adsorption processes. The first order kinetics in the initial stages confirms that the rate controlling step is the diffusion of </w:t>
      </w:r>
      <w:r w:rsidRPr="00A428C3">
        <w:lastRenderedPageBreak/>
        <w:t>the dye molecules through a stagnant layer formed around the adsorbent particles. This mechanism is overtaken at later stages by the rearrangement of the dye molecules on the surface of the adsorbent</w:t>
      </w:r>
      <w:r w:rsidR="00F81221">
        <w:t xml:space="preserve"> and </w:t>
      </w:r>
      <w:r w:rsidRPr="00A428C3">
        <w:t>finally by intraparticle diffusion. The energetics of the adsorption process have been obtained.</w:t>
      </w:r>
    </w:p>
    <w:p w:rsidR="00B95188" w:rsidRPr="00A428C3" w:rsidRDefault="00B95188" w:rsidP="00B95188">
      <w:pPr>
        <w:pStyle w:val="a0"/>
      </w:pPr>
      <w:r w:rsidRPr="00A428C3">
        <w:t>Keywords: Conducting Polyaniline, Self-Association, Methylene Blue, Waste-Water, Basic Dye, Adsorbent, Removal, Polymers, Equilibrium, Corrosion</w:t>
      </w:r>
    </w:p>
    <w:p w:rsidR="00B95188" w:rsidRPr="00A428C3" w:rsidRDefault="00B95188" w:rsidP="00B95188">
      <w:pPr>
        <w:pStyle w:val="a0"/>
      </w:pPr>
      <w:r w:rsidRPr="00A428C3">
        <w:t xml:space="preserve">? Sumanjit, P.N. (2001), Adsorption of dyes on rice husk ash. Indian Journal of Chemistry Section A-Inorganic Bio-Inorganic Physical Theoretical &amp; Analytical Chemistry, </w:t>
      </w:r>
      <w:r w:rsidRPr="00A428C3">
        <w:rPr>
          <w:b/>
        </w:rPr>
        <w:t>40</w:t>
      </w:r>
      <w:r w:rsidRPr="00A428C3">
        <w:t xml:space="preserve"> (4), 388-391.</w:t>
      </w:r>
    </w:p>
    <w:p w:rsidR="00B95188" w:rsidRPr="00A428C3" w:rsidRDefault="00B95188" w:rsidP="00B95188">
      <w:pPr>
        <w:pStyle w:val="a0"/>
      </w:pPr>
      <w:r w:rsidRPr="00A428C3">
        <w:t>Abstract: Rice Husk Ash, a waste from rice mills has been used as an adsorbent for the removal of chemical oxygen demand from aqueous solutions of textile dyes. The adsorption capacity of rice husk ash for five aqueous acid dye solutions has been determined by adsorption isotherm. The adsorption data have been fitted to Freundlich isotherm</w:t>
      </w:r>
      <w:r w:rsidR="00F81221">
        <w:t xml:space="preserve"> and </w:t>
      </w:r>
      <w:r w:rsidRPr="00A428C3">
        <w:t>Langmuir isotherm by the least square method</w:t>
      </w:r>
      <w:r w:rsidR="00F81221">
        <w:t xml:space="preserve"> and </w:t>
      </w:r>
      <w:r w:rsidRPr="00A428C3">
        <w:t>the values of the constants k, n, C-m</w:t>
      </w:r>
      <w:r w:rsidR="00F81221">
        <w:t xml:space="preserve"> and </w:t>
      </w:r>
      <w:r w:rsidRPr="00A428C3">
        <w:t>b have been obtained. The effect of contact time, pH, adsorbent concentrations</w:t>
      </w:r>
      <w:r w:rsidR="00F81221">
        <w:t xml:space="preserve"> and </w:t>
      </w:r>
      <w:r w:rsidRPr="00A428C3">
        <w:t>rate constants for each dye have been calculated.</w:t>
      </w:r>
    </w:p>
    <w:p w:rsidR="00B95188" w:rsidRPr="00A428C3" w:rsidRDefault="00B95188" w:rsidP="00B95188">
      <w:pPr>
        <w:pStyle w:val="a0"/>
      </w:pPr>
      <w:r w:rsidRPr="00A428C3">
        <w:t>Keywords: Aqueous-Solutions, Fly-Ash, Removal</w:t>
      </w:r>
    </w:p>
    <w:p w:rsidR="00B95188" w:rsidRPr="00A428C3" w:rsidRDefault="00B95188" w:rsidP="00B95188">
      <w:pPr>
        <w:pStyle w:val="a0"/>
      </w:pPr>
      <w:r w:rsidRPr="00A428C3">
        <w:t>? Murugkar, A., Karve, M., Padhye, S.</w:t>
      </w:r>
      <w:r w:rsidR="00F81221">
        <w:t xml:space="preserve"> and </w:t>
      </w:r>
      <w:r w:rsidRPr="00A428C3">
        <w:t>Narayanaswamy, R. (2002), Immobilization of dithiooxamide in biopolymer</w:t>
      </w:r>
      <w:r w:rsidR="00F81221">
        <w:t xml:space="preserve"> and </w:t>
      </w:r>
      <w:r w:rsidRPr="00A428C3">
        <w:t xml:space="preserve">synthetic films for possible use in optical fibre copper probe. </w:t>
      </w:r>
      <w:r w:rsidRPr="00A428C3">
        <w:rPr>
          <w:i/>
        </w:rPr>
        <w:t>Indian Journal of Chemistry Section A-Inorganic Bio-Inorganic Physical Theoretical &amp; Analytical Chemistry</w:t>
      </w:r>
      <w:r w:rsidRPr="00A428C3">
        <w:t xml:space="preserve">, </w:t>
      </w:r>
      <w:r w:rsidRPr="00A428C3">
        <w:rPr>
          <w:b/>
        </w:rPr>
        <w:t>41</w:t>
      </w:r>
      <w:r w:rsidRPr="00A428C3">
        <w:t xml:space="preserve"> (7), 1397-1401.</w:t>
      </w:r>
    </w:p>
    <w:p w:rsidR="00B95188" w:rsidRPr="00A428C3" w:rsidRDefault="00B95188" w:rsidP="00B95188">
      <w:pPr>
        <w:pStyle w:val="a0"/>
      </w:pPr>
      <w:r w:rsidRPr="00A428C3">
        <w:t>Abstract: Dithiooxamide (DTO), a metallochromogenic reagent, has been immobilized in a composite biopolymer matrix for the quantitative determination of Cu(II) by an optical fibre method. The suitability of the biopolymer matrix for immobilization purposes has been determined from its stability in acid</w:t>
      </w:r>
      <w:r w:rsidR="00F81221">
        <w:t xml:space="preserve"> and </w:t>
      </w:r>
      <w:r w:rsidRPr="00A428C3">
        <w:t>basic media</w:t>
      </w:r>
      <w:r w:rsidR="00F81221">
        <w:t xml:space="preserve"> and </w:t>
      </w:r>
      <w:r w:rsidRPr="00A428C3">
        <w:t>absence of leaching of the immobilized DTO</w:t>
      </w:r>
      <w:r w:rsidR="00F81221">
        <w:t xml:space="preserve"> and </w:t>
      </w:r>
      <w:r w:rsidRPr="00A428C3">
        <w:t>its copper complex. Immobilization of DTO in poly(methyl)methacrylate (PMMA) alone shows characteristics comparable to that of the biopolymer matrix, while polyvinyl alcohol (PVA), polyvinyl chloride (PVC</w:t>
      </w:r>
      <w:r w:rsidR="00F81221">
        <w:t xml:space="preserve"> and </w:t>
      </w:r>
      <w:r w:rsidRPr="00A428C3">
        <w:t>Nafion(R) membranes are found to be unsuitable. A linear response is obtained for Cu(II) concentrations between 1 to 5 ppm.</w:t>
      </w:r>
    </w:p>
    <w:p w:rsidR="00B95188" w:rsidRPr="00A428C3" w:rsidRDefault="00B95188" w:rsidP="00B95188">
      <w:pPr>
        <w:pStyle w:val="a0"/>
      </w:pPr>
      <w:r w:rsidRPr="00A428C3">
        <w:t>Keywords: Carbon-Paste Electrode, Potentiometric Determination, Electrochemical Sensors, Membrane, Nickel, Ion, Biosensors</w:t>
      </w:r>
    </w:p>
    <w:p w:rsidR="00B95188" w:rsidRPr="00A428C3" w:rsidRDefault="00B95188" w:rsidP="00B95188">
      <w:pPr>
        <w:pStyle w:val="a0"/>
      </w:pPr>
      <w:r w:rsidRPr="00A428C3">
        <w:t>? Anbalagan, K.</w:t>
      </w:r>
      <w:r w:rsidR="00F81221">
        <w:t xml:space="preserve"> and </w:t>
      </w:r>
      <w:r w:rsidRPr="00A428C3">
        <w:t>Juliet, J.C. (2002), Adsorption of chromium(VI) ion onto activated amla dust: Adsorption isotherms</w:t>
      </w:r>
      <w:r w:rsidR="00F81221">
        <w:t xml:space="preserve"> and </w:t>
      </w:r>
      <w:r w:rsidRPr="00A428C3">
        <w:t xml:space="preserve">kinetics. </w:t>
      </w:r>
      <w:r w:rsidRPr="00A428C3">
        <w:rPr>
          <w:i/>
        </w:rPr>
        <w:t>Indian Journal of Chemistry Section A-Inorganic Bio-Inorganic Physical Theoretical &amp; Analytical Chemistry</w:t>
      </w:r>
      <w:r w:rsidRPr="00A428C3">
        <w:t xml:space="preserve">, </w:t>
      </w:r>
      <w:r w:rsidRPr="00A428C3">
        <w:rPr>
          <w:b/>
        </w:rPr>
        <w:t>43</w:t>
      </w:r>
      <w:r w:rsidRPr="00A428C3">
        <w:t xml:space="preserve"> (1), 45-50.</w:t>
      </w:r>
    </w:p>
    <w:p w:rsidR="00B95188" w:rsidRPr="00A428C3" w:rsidRDefault="00B95188" w:rsidP="00B95188">
      <w:pPr>
        <w:pStyle w:val="a0"/>
      </w:pPr>
      <w:r w:rsidRPr="00A428C3">
        <w:t xml:space="preserve">Abstract: The adsorption efficiency of a low cost adsorbent, amla dust (Indian gooseberry, Emblica Officinalis) in removing chromium(VI) ion from aqueous </w:t>
      </w:r>
      <w:r w:rsidRPr="00A428C3">
        <w:lastRenderedPageBreak/>
        <w:t>solution has been investigated in batch experiments. The effects of hexavalent chromium concentration, particle size, adsorbent dosage, temperature</w:t>
      </w:r>
      <w:r w:rsidR="00F81221">
        <w:t xml:space="preserve"> and </w:t>
      </w:r>
      <w:r w:rsidRPr="00A428C3">
        <w:t>pH have been studied. Removal is found to be most effective at pH 4</w:t>
      </w:r>
      <w:r w:rsidR="00F81221">
        <w:t xml:space="preserve"> and </w:t>
      </w:r>
      <w:r w:rsidRPr="00A428C3">
        <w:t>at the low temperature</w:t>
      </w:r>
      <w:r w:rsidR="00F81221">
        <w:t xml:space="preserve"> and </w:t>
      </w:r>
      <w:r w:rsidRPr="00A428C3">
        <w:t xml:space="preserve">Cr(VI) ion concentration. Therefore, the uptake capacity has been investigated in buffered solutions of pH 4 maintaining a constant ionic strength with </w:t>
      </w:r>
      <w:smartTag w:uri="urn:schemas-microsoft-com:office:smarttags" w:element="chmetcnv">
        <w:smartTagPr>
          <w:attr w:name="TCSC" w:val="0"/>
          <w:attr w:name="NumberType" w:val="1"/>
          <w:attr w:name="Negative" w:val="False"/>
          <w:attr w:name="HasSpace" w:val="True"/>
          <w:attr w:name="SourceValue" w:val="0.01"/>
          <w:attr w:name="UnitName" w:val="m"/>
        </w:smartTagPr>
        <w:r w:rsidRPr="00A428C3">
          <w:t>0.01 M</w:t>
        </w:r>
      </w:smartTag>
      <w:r w:rsidRPr="00A428C3">
        <w:t xml:space="preserve"> NaClO4. The batch adsorption isotherms have been studied in terms of Langmuir</w:t>
      </w:r>
      <w:r w:rsidR="00F81221">
        <w:t xml:space="preserve"> and </w:t>
      </w:r>
      <w:r w:rsidRPr="00A428C3">
        <w:t>Freundlich isotherm models. Adsorption of Cr(VI) on amla dust is found to follow first order kinetics. The mechanism of Cr(VI) removal on the adsorbent is complex</w:t>
      </w:r>
      <w:r w:rsidR="00F81221">
        <w:t xml:space="preserve"> and </w:t>
      </w:r>
      <w:r w:rsidRPr="00A428C3">
        <w:t>both the surface adsorption as well as intraparticle diffusion contribute to the rate determining step. Amla dust, the low cost adsorbent is found to be efficient in the removal of Cr(VI) ion in acidic medium, hence, the development of such materials can be applied for the removal of metal ions from industrial waste waters.</w:t>
      </w:r>
    </w:p>
    <w:p w:rsidR="00B95188" w:rsidRPr="00A428C3" w:rsidRDefault="00B95188" w:rsidP="00B95188">
      <w:pPr>
        <w:pStyle w:val="a0"/>
      </w:pPr>
      <w:r w:rsidRPr="00A428C3">
        <w:t>Keywords: Removal, Cr(VI), Water, Clay</w:t>
      </w:r>
    </w:p>
    <w:p w:rsidR="00B95188" w:rsidRPr="00A428C3" w:rsidRDefault="00B95188" w:rsidP="00B95188">
      <w:pPr>
        <w:pStyle w:val="a0"/>
      </w:pPr>
      <w:r w:rsidRPr="00A428C3">
        <w:t>? Nayak, P.S.</w:t>
      </w:r>
      <w:r w:rsidR="00F81221">
        <w:t xml:space="preserve"> and </w:t>
      </w:r>
      <w:r w:rsidRPr="00A428C3">
        <w:t>Singh, B.K. (2007), Sorption studies on clay for the removal of phenol</w:t>
      </w:r>
      <w:r w:rsidR="00F81221">
        <w:t xml:space="preserve"> and </w:t>
      </w:r>
      <w:r w:rsidRPr="00A428C3">
        <w:t xml:space="preserve">p-nitrophenol from aqueous solution. </w:t>
      </w:r>
      <w:r w:rsidRPr="00A428C3">
        <w:rPr>
          <w:i/>
          <w:iCs/>
        </w:rPr>
        <w:t>Indian Journal of Chemistry Section A-Inorganic Bio-Inorganic Physical Theoretical &amp; Analytical Chemistry</w:t>
      </w:r>
      <w:r w:rsidRPr="00A428C3">
        <w:t xml:space="preserve">, </w:t>
      </w:r>
      <w:r w:rsidRPr="00A428C3">
        <w:rPr>
          <w:b/>
        </w:rPr>
        <w:t>46</w:t>
      </w:r>
      <w:r w:rsidRPr="00A428C3">
        <w:t xml:space="preserve"> (4), 620-623.</w:t>
      </w:r>
    </w:p>
    <w:p w:rsidR="00B95188" w:rsidRPr="00A428C3" w:rsidRDefault="00B95188" w:rsidP="00B95188">
      <w:pPr>
        <w:pStyle w:val="a0"/>
      </w:pPr>
      <w:r w:rsidRPr="00A428C3">
        <w:t>Abstract: Sorption of phenol</w:t>
      </w:r>
      <w:r w:rsidR="00F81221">
        <w:t xml:space="preserve"> and </w:t>
      </w:r>
      <w:r w:rsidRPr="00A428C3">
        <w:t>p-nitrophenol from aqueous solution has been investigated using clay sorbent. The effect of particle size of sorbent, pH, phenol concentration</w:t>
      </w:r>
      <w:r w:rsidR="00F81221">
        <w:t xml:space="preserve"> and </w:t>
      </w:r>
      <w:r w:rsidRPr="00A428C3">
        <w:t>temperature on sorption capacity has been studied by batch experiments. Langmuir adsorption isotherm constants show that the sorption data for phenols onto clay fits well in this model. The sorption of phenols studied follows pseudo second-order kinetics. This study shows that clay can be used as an efficient sorbent material for the sorption of phenols from aqueous solution.</w:t>
      </w:r>
    </w:p>
    <w:p w:rsidR="00B95188" w:rsidRPr="00A428C3" w:rsidRDefault="00B95188" w:rsidP="00B95188">
      <w:pPr>
        <w:pStyle w:val="a0"/>
      </w:pPr>
      <w:r w:rsidRPr="00A428C3">
        <w:t>Keywords: Adsorption, Adsorption Isotherm, Aqueous Solution, Batch, Batch Experiments, Capacity, Chlorophenols, Clay, Concentration, Isotherm, Kinetics, Langmuir, Langmuir Adsorption Isotherm, Model, Particle, Particle Size, pH, Phenol, Phenols, Pseudo-Second-Order, Removal, Second-Order Kinetics, Sorption, Sorption Capacity, Temperature, Waste-Water</w:t>
      </w:r>
    </w:p>
    <w:p w:rsidR="00E04BB8" w:rsidRPr="00217FB1" w:rsidRDefault="00E04BB8" w:rsidP="00E04BB8">
      <w:pPr>
        <w:pStyle w:val="1"/>
      </w:pPr>
      <w:r w:rsidRPr="00217FB1">
        <w:br w:type="page"/>
      </w:r>
      <w:bookmarkStart w:id="849" w:name="_Toc317161119"/>
      <w:r w:rsidRPr="00217FB1">
        <w:lastRenderedPageBreak/>
        <w:t>Title:</w:t>
      </w:r>
      <w:r>
        <w:t xml:space="preserve"> </w:t>
      </w:r>
      <w:r w:rsidRPr="00522F44">
        <w:rPr>
          <w:iCs/>
        </w:rPr>
        <w:t>Indian Journal of Dermatology Venereology &amp; Leprology</w:t>
      </w:r>
      <w:bookmarkEnd w:id="849"/>
    </w:p>
    <w:p w:rsidR="00E04BB8" w:rsidRPr="00021F0C" w:rsidRDefault="00E04BB8" w:rsidP="00B72EF9">
      <w:pPr>
        <w:pStyle w:val="12"/>
      </w:pPr>
      <w:r w:rsidRPr="00021F0C">
        <w:t>Full</w:t>
      </w:r>
      <w:r>
        <w:t xml:space="preserve"> </w:t>
      </w:r>
      <w:r w:rsidRPr="00021F0C">
        <w:t>Journal</w:t>
      </w:r>
      <w:r>
        <w:t xml:space="preserve"> </w:t>
      </w:r>
      <w:r w:rsidRPr="00021F0C">
        <w:t>Title:</w:t>
      </w:r>
      <w:r>
        <w:t xml:space="preserve"> </w:t>
      </w:r>
      <w:r w:rsidRPr="00522F44">
        <w:t>Indian Journal of Dermatology Venereology &amp; Leprology</w:t>
      </w:r>
    </w:p>
    <w:p w:rsidR="00E04BB8" w:rsidRPr="00021F0C" w:rsidRDefault="00E04BB8" w:rsidP="00B72EF9">
      <w:pPr>
        <w:pStyle w:val="12"/>
      </w:pPr>
      <w:r w:rsidRPr="00021F0C">
        <w:t>ISO</w:t>
      </w:r>
      <w:r>
        <w:t xml:space="preserve"> </w:t>
      </w:r>
      <w:r w:rsidRPr="00021F0C">
        <w:t>Abbreviated</w:t>
      </w:r>
      <w:r>
        <w:t xml:space="preserve"> </w:t>
      </w:r>
      <w:r w:rsidRPr="00021F0C">
        <w:t>Title:</w:t>
      </w:r>
      <w:r>
        <w:t xml:space="preserve"> </w:t>
      </w:r>
    </w:p>
    <w:p w:rsidR="00E04BB8" w:rsidRPr="00021F0C" w:rsidRDefault="00E04BB8" w:rsidP="00B72EF9">
      <w:pPr>
        <w:pStyle w:val="12"/>
      </w:pPr>
      <w:r w:rsidRPr="00021F0C">
        <w:t>JCR</w:t>
      </w:r>
      <w:r>
        <w:t xml:space="preserve"> </w:t>
      </w:r>
      <w:r w:rsidRPr="00021F0C">
        <w:t>Abbreviated</w:t>
      </w:r>
      <w:r>
        <w:t xml:space="preserve"> </w:t>
      </w:r>
      <w:r w:rsidRPr="00021F0C">
        <w:t>Title</w:t>
      </w:r>
      <w:r>
        <w:t xml:space="preserve">: </w:t>
      </w:r>
    </w:p>
    <w:p w:rsidR="00E04BB8" w:rsidRPr="00021F0C" w:rsidRDefault="00E04BB8" w:rsidP="00B72EF9">
      <w:pPr>
        <w:pStyle w:val="12"/>
      </w:pPr>
      <w:r w:rsidRPr="00021F0C">
        <w:t>ISSN:</w:t>
      </w:r>
      <w:r>
        <w:t xml:space="preserve"> </w:t>
      </w:r>
    </w:p>
    <w:p w:rsidR="00E04BB8" w:rsidRPr="00021F0C" w:rsidRDefault="00E04BB8" w:rsidP="00B72EF9">
      <w:pPr>
        <w:pStyle w:val="12"/>
      </w:pPr>
      <w:r w:rsidRPr="00021F0C">
        <w:t>Issues/Year:</w:t>
      </w:r>
      <w:r>
        <w:t xml:space="preserve"> </w:t>
      </w:r>
    </w:p>
    <w:p w:rsidR="00E04BB8" w:rsidRPr="00021F0C" w:rsidRDefault="00E04BB8" w:rsidP="00B72EF9">
      <w:pPr>
        <w:pStyle w:val="12"/>
      </w:pPr>
      <w:r>
        <w:t xml:space="preserve">Journal Country/Territory: </w:t>
      </w:r>
    </w:p>
    <w:p w:rsidR="00E04BB8" w:rsidRPr="00021F0C" w:rsidRDefault="00E04BB8" w:rsidP="00B72EF9">
      <w:pPr>
        <w:pStyle w:val="12"/>
      </w:pPr>
      <w:r w:rsidRPr="00021F0C">
        <w:t>Language:</w:t>
      </w:r>
      <w:r>
        <w:t xml:space="preserve"> </w:t>
      </w:r>
    </w:p>
    <w:p w:rsidR="00E04BB8" w:rsidRPr="00021F0C" w:rsidRDefault="00E04BB8" w:rsidP="00B72EF9">
      <w:pPr>
        <w:pStyle w:val="12"/>
      </w:pPr>
      <w:r w:rsidRPr="00021F0C">
        <w:t>Publisher:</w:t>
      </w:r>
      <w:r>
        <w:t xml:space="preserve"> </w:t>
      </w:r>
    </w:p>
    <w:p w:rsidR="00E04BB8" w:rsidRPr="00021F0C" w:rsidRDefault="00E04BB8" w:rsidP="00B72EF9">
      <w:pPr>
        <w:pStyle w:val="12"/>
      </w:pPr>
      <w:r w:rsidRPr="00021F0C">
        <w:t>Publisher</w:t>
      </w:r>
      <w:r>
        <w:t xml:space="preserve"> </w:t>
      </w:r>
      <w:r w:rsidRPr="00021F0C">
        <w:t>Address:</w:t>
      </w:r>
      <w:r>
        <w:t xml:space="preserve"> </w:t>
      </w:r>
    </w:p>
    <w:p w:rsidR="00E04BB8" w:rsidRPr="00021F0C" w:rsidRDefault="00E04BB8" w:rsidP="00B72EF9">
      <w:pPr>
        <w:pStyle w:val="12"/>
      </w:pPr>
      <w:r w:rsidRPr="00021F0C">
        <w:t>Subject</w:t>
      </w:r>
      <w:r>
        <w:t xml:space="preserve"> </w:t>
      </w:r>
      <w:r w:rsidRPr="00021F0C">
        <w:t>Categories:</w:t>
      </w:r>
    </w:p>
    <w:p w:rsidR="00E04BB8" w:rsidRPr="00021F0C" w:rsidRDefault="00E04BB8" w:rsidP="00B72EF9">
      <w:pPr>
        <w:pStyle w:val="12"/>
      </w:pPr>
      <w:r w:rsidRPr="00021F0C">
        <w:t>:</w:t>
      </w:r>
      <w:r>
        <w:t xml:space="preserve"> </w:t>
      </w:r>
      <w:r w:rsidRPr="00021F0C">
        <w:t>Impact</w:t>
      </w:r>
      <w:r>
        <w:t xml:space="preserve"> </w:t>
      </w:r>
      <w:r w:rsidRPr="00021F0C">
        <w:t>Factor</w:t>
      </w:r>
      <w:r>
        <w:t xml:space="preserve"> </w:t>
      </w:r>
    </w:p>
    <w:p w:rsidR="00E04BB8" w:rsidRDefault="00E04BB8" w:rsidP="00E04BB8">
      <w:pPr>
        <w:pStyle w:val="a0"/>
        <w:rPr>
          <w:kern w:val="0"/>
        </w:rPr>
      </w:pPr>
      <w:r>
        <w:rPr>
          <w:rFonts w:hint="eastAsia"/>
          <w:kern w:val="0"/>
        </w:rPr>
        <w:t xml:space="preserve">? </w:t>
      </w:r>
      <w:r>
        <w:rPr>
          <w:kern w:val="0"/>
        </w:rPr>
        <w:t xml:space="preserve">Singh, S. (2009), Criteria for authorship. </w:t>
      </w:r>
      <w:r w:rsidRPr="00522F44">
        <w:rPr>
          <w:i/>
          <w:iCs/>
          <w:kern w:val="0"/>
        </w:rPr>
        <w:t>Indian Journal of Dermatology Venereology &amp; Leprology</w:t>
      </w:r>
      <w:r>
        <w:rPr>
          <w:kern w:val="0"/>
        </w:rPr>
        <w:t xml:space="preserve">, </w:t>
      </w:r>
      <w:r>
        <w:rPr>
          <w:b/>
          <w:bCs/>
          <w:kern w:val="0"/>
        </w:rPr>
        <w:t>75</w:t>
      </w:r>
      <w:r>
        <w:rPr>
          <w:kern w:val="0"/>
        </w:rPr>
        <w:t xml:space="preserve"> (2), 211-213</w:t>
      </w:r>
      <w:r>
        <w:rPr>
          <w:rFonts w:hint="eastAsia"/>
          <w:kern w:val="0"/>
        </w:rPr>
        <w:t>.</w:t>
      </w:r>
    </w:p>
    <w:p w:rsidR="00E04BB8" w:rsidRDefault="00E04BB8" w:rsidP="00E04BB8">
      <w:pPr>
        <w:pStyle w:val="a0"/>
        <w:rPr>
          <w:kern w:val="0"/>
        </w:rPr>
      </w:pPr>
      <w:r>
        <w:rPr>
          <w:rFonts w:hint="eastAsia"/>
          <w:kern w:val="0"/>
        </w:rPr>
        <w:t xml:space="preserve">Full Text: </w:t>
      </w:r>
      <w:hyperlink r:id="rId944" w:history="1">
        <w:r w:rsidRPr="00E04BB8">
          <w:rPr>
            <w:rStyle w:val="a5"/>
            <w:kern w:val="0"/>
          </w:rPr>
          <w:t>2009\Ind J Der Ven Lep75, 211.pdf</w:t>
        </w:r>
      </w:hyperlink>
    </w:p>
    <w:p w:rsidR="00E04BB8" w:rsidRDefault="00E04BB8" w:rsidP="00E04BB8">
      <w:pPr>
        <w:pStyle w:val="a0"/>
        <w:rPr>
          <w:kern w:val="0"/>
        </w:rPr>
      </w:pPr>
      <w:r>
        <w:rPr>
          <w:kern w:val="0"/>
        </w:rPr>
        <w:t>Keywords: Gift Authorship</w:t>
      </w:r>
    </w:p>
    <w:p w:rsidR="009A255D" w:rsidRDefault="009A255D" w:rsidP="009A255D">
      <w:pPr>
        <w:pStyle w:val="a0"/>
        <w:rPr>
          <w:kern w:val="0"/>
          <w:szCs w:val="24"/>
        </w:rPr>
      </w:pPr>
      <w:r>
        <w:rPr>
          <w:rFonts w:hint="eastAsia"/>
          <w:kern w:val="0"/>
          <w:szCs w:val="24"/>
        </w:rPr>
        <w:t xml:space="preserve">? </w:t>
      </w:r>
      <w:r>
        <w:rPr>
          <w:kern w:val="0"/>
          <w:szCs w:val="24"/>
        </w:rPr>
        <w:t>Singh, S.</w:t>
      </w:r>
      <w:r w:rsidR="00F81221">
        <w:rPr>
          <w:kern w:val="0"/>
          <w:szCs w:val="24"/>
        </w:rPr>
        <w:t xml:space="preserve"> and </w:t>
      </w:r>
      <w:r>
        <w:rPr>
          <w:kern w:val="0"/>
          <w:szCs w:val="24"/>
        </w:rPr>
        <w:t xml:space="preserve">Chaudhary, R. (2009), Accuracy of references cited in articles published in </w:t>
      </w:r>
      <w:r w:rsidRPr="002A7764">
        <w:rPr>
          <w:i/>
          <w:kern w:val="0"/>
          <w:szCs w:val="24"/>
        </w:rPr>
        <w:t>Indian Journal of Dermatology, Venereology</w:t>
      </w:r>
      <w:r w:rsidR="00F81221">
        <w:rPr>
          <w:i/>
          <w:kern w:val="0"/>
          <w:szCs w:val="24"/>
        </w:rPr>
        <w:t xml:space="preserve"> and </w:t>
      </w:r>
      <w:r w:rsidRPr="002A7764">
        <w:rPr>
          <w:i/>
          <w:kern w:val="0"/>
          <w:szCs w:val="24"/>
        </w:rPr>
        <w:t>Leprology</w:t>
      </w:r>
      <w:r>
        <w:rPr>
          <w:kern w:val="0"/>
          <w:szCs w:val="24"/>
        </w:rPr>
        <w:t xml:space="preserve">: A pilot study. </w:t>
      </w:r>
      <w:r>
        <w:rPr>
          <w:i/>
          <w:iCs/>
          <w:kern w:val="0"/>
          <w:szCs w:val="24"/>
        </w:rPr>
        <w:t>Indian Journal of Dermatology Venereology &amp; Leprology</w:t>
      </w:r>
      <w:r>
        <w:rPr>
          <w:kern w:val="0"/>
          <w:szCs w:val="24"/>
        </w:rPr>
        <w:t xml:space="preserve">, </w:t>
      </w:r>
      <w:r>
        <w:rPr>
          <w:b/>
          <w:bCs/>
          <w:kern w:val="0"/>
          <w:szCs w:val="24"/>
        </w:rPr>
        <w:t>75</w:t>
      </w:r>
      <w:r>
        <w:rPr>
          <w:kern w:val="0"/>
          <w:szCs w:val="24"/>
        </w:rPr>
        <w:t xml:space="preserve"> (5), 488-491.</w:t>
      </w:r>
    </w:p>
    <w:p w:rsidR="009A255D" w:rsidRDefault="009A255D" w:rsidP="009A255D">
      <w:pPr>
        <w:pStyle w:val="a0"/>
        <w:rPr>
          <w:kern w:val="0"/>
        </w:rPr>
      </w:pPr>
      <w:r>
        <w:rPr>
          <w:rFonts w:hint="eastAsia"/>
          <w:kern w:val="0"/>
        </w:rPr>
        <w:t xml:space="preserve">Full Text: </w:t>
      </w:r>
      <w:r>
        <w:rPr>
          <w:kern w:val="0"/>
        </w:rPr>
        <w:t xml:space="preserve">2009\Ind J Der Ven Lep75, </w:t>
      </w:r>
      <w:r>
        <w:rPr>
          <w:rFonts w:hint="eastAsia"/>
          <w:kern w:val="0"/>
        </w:rPr>
        <w:t>488</w:t>
      </w:r>
      <w:r w:rsidRPr="002A7764">
        <w:rPr>
          <w:kern w:val="0"/>
        </w:rPr>
        <w:t>.pdf</w:t>
      </w:r>
    </w:p>
    <w:p w:rsidR="009A255D" w:rsidRDefault="009A255D" w:rsidP="009A255D">
      <w:pPr>
        <w:pStyle w:val="a0"/>
        <w:rPr>
          <w:kern w:val="0"/>
          <w:szCs w:val="24"/>
        </w:rPr>
      </w:pPr>
      <w:r>
        <w:rPr>
          <w:kern w:val="0"/>
          <w:szCs w:val="24"/>
        </w:rPr>
        <w:t>Abstract: Background: Progress in science takes place when investigators build on the work of others. Therefore, in scientific communications, it is very important that others work is correctly noted</w:t>
      </w:r>
      <w:r w:rsidR="00F81221">
        <w:rPr>
          <w:kern w:val="0"/>
          <w:szCs w:val="24"/>
        </w:rPr>
        <w:t xml:space="preserve"> and </w:t>
      </w:r>
      <w:r>
        <w:rPr>
          <w:kern w:val="0"/>
          <w:szCs w:val="24"/>
        </w:rPr>
        <w:t>understood. Cited references have been found to be inaccurate in every journal in which they have been examined. Aim: To analyze references cited in articles published in Indian Journal of Dermatology, Venereology</w:t>
      </w:r>
      <w:r w:rsidR="00F81221">
        <w:rPr>
          <w:kern w:val="0"/>
          <w:szCs w:val="24"/>
        </w:rPr>
        <w:t xml:space="preserve"> and </w:t>
      </w:r>
      <w:r>
        <w:rPr>
          <w:kern w:val="0"/>
          <w:szCs w:val="24"/>
        </w:rPr>
        <w:t>Leprology for their citation</w:t>
      </w:r>
      <w:r w:rsidR="00F81221">
        <w:rPr>
          <w:kern w:val="0"/>
          <w:szCs w:val="24"/>
        </w:rPr>
        <w:t xml:space="preserve"> and </w:t>
      </w:r>
      <w:r>
        <w:rPr>
          <w:kern w:val="0"/>
          <w:szCs w:val="24"/>
        </w:rPr>
        <w:t>quotation precision as an indicator of the quality of articles. Methods: Twelve citation</w:t>
      </w:r>
      <w:r w:rsidR="00F81221">
        <w:rPr>
          <w:kern w:val="0"/>
          <w:szCs w:val="24"/>
        </w:rPr>
        <w:t xml:space="preserve"> and </w:t>
      </w:r>
      <w:r>
        <w:rPr>
          <w:kern w:val="0"/>
          <w:szCs w:val="24"/>
        </w:rPr>
        <w:t>five quotation errors were identified</w:t>
      </w:r>
      <w:r w:rsidR="00F81221">
        <w:rPr>
          <w:kern w:val="0"/>
          <w:szCs w:val="24"/>
        </w:rPr>
        <w:t xml:space="preserve"> and </w:t>
      </w:r>
      <w:r>
        <w:rPr>
          <w:kern w:val="0"/>
          <w:szCs w:val="24"/>
        </w:rPr>
        <w:t>defined. Fifty cited references were selected randomly from the May-June 2008 issue of the journal. For these citations, we obtained 44 full texts of papers</w:t>
      </w:r>
      <w:r w:rsidR="00F81221">
        <w:rPr>
          <w:kern w:val="0"/>
          <w:szCs w:val="24"/>
        </w:rPr>
        <w:t xml:space="preserve"> and </w:t>
      </w:r>
      <w:r>
        <w:rPr>
          <w:kern w:val="0"/>
          <w:szCs w:val="24"/>
        </w:rPr>
        <w:t>two abstracts. In one case, only citation errors could be verified from the Internet. Three citations of books could not be verified. Thus, citation errors were examined in 47</w:t>
      </w:r>
      <w:r w:rsidR="00F81221">
        <w:rPr>
          <w:kern w:val="0"/>
          <w:szCs w:val="24"/>
        </w:rPr>
        <w:t xml:space="preserve"> and </w:t>
      </w:r>
      <w:r>
        <w:rPr>
          <w:kern w:val="0"/>
          <w:szCs w:val="24"/>
        </w:rPr>
        <w:t>quotation errors in 46 citations. Results: Thirteen cited references (28.3; 95 confidence interval [CI] 15.3-41.3) were error-free. Twenty-eight citations (59.6; 95 CI 45.5-73.6) contained citation errors</w:t>
      </w:r>
      <w:r w:rsidR="00F81221">
        <w:rPr>
          <w:kern w:val="0"/>
          <w:szCs w:val="24"/>
        </w:rPr>
        <w:t xml:space="preserve"> and </w:t>
      </w:r>
      <w:r>
        <w:rPr>
          <w:kern w:val="0"/>
          <w:szCs w:val="24"/>
        </w:rPr>
        <w:t>20 (43.5; 95 CI 29.2-57.8) quotation errors. Conclusion: Results of this pilot study suggest that improving accuracy of the references is important. Solutions to this problem are suggested.</w:t>
      </w:r>
    </w:p>
    <w:p w:rsidR="009A255D" w:rsidRDefault="009A255D" w:rsidP="009A255D">
      <w:pPr>
        <w:pStyle w:val="a0"/>
        <w:rPr>
          <w:kern w:val="0"/>
          <w:szCs w:val="24"/>
        </w:rPr>
      </w:pPr>
      <w:r>
        <w:rPr>
          <w:kern w:val="0"/>
          <w:szCs w:val="24"/>
        </w:rPr>
        <w:lastRenderedPageBreak/>
        <w:t>Keywords: Accuracy, Citation, Citation Errors, Citations, Cited References, Communications, Confidence, Errors, Indicator, Internet, Interval, Journal, Papers, Pilot, Precision, Quality, Quality of, Quotation, Quotation Errors, Reference Accuracy, References, Science, Work</w:t>
      </w:r>
    </w:p>
    <w:p w:rsidR="00B95188" w:rsidRPr="00A428C3" w:rsidRDefault="00B95188" w:rsidP="00B95188">
      <w:pPr>
        <w:pStyle w:val="1"/>
      </w:pPr>
      <w:r w:rsidRPr="00A428C3">
        <w:br w:type="page"/>
      </w:r>
      <w:bookmarkStart w:id="850" w:name="_Toc487190708"/>
      <w:bookmarkStart w:id="851" w:name="_Toc487882213"/>
      <w:bookmarkStart w:id="852" w:name="_Toc490688032"/>
      <w:bookmarkStart w:id="853" w:name="_Toc492812142"/>
      <w:bookmarkStart w:id="854" w:name="_Toc186647829"/>
      <w:bookmarkStart w:id="855" w:name="_Toc317161120"/>
      <w:r w:rsidRPr="00A428C3">
        <w:lastRenderedPageBreak/>
        <w:t xml:space="preserve">Title: </w:t>
      </w:r>
      <w:bookmarkEnd w:id="850"/>
      <w:bookmarkEnd w:id="851"/>
      <w:bookmarkEnd w:id="852"/>
      <w:bookmarkEnd w:id="853"/>
      <w:r w:rsidRPr="00A428C3">
        <w:t>Indian Journal of Engineering</w:t>
      </w:r>
      <w:r w:rsidR="00F81221">
        <w:t xml:space="preserve"> and </w:t>
      </w:r>
      <w:r w:rsidRPr="00A428C3">
        <w:t>Materials Sciences</w:t>
      </w:r>
      <w:bookmarkEnd w:id="854"/>
      <w:bookmarkEnd w:id="855"/>
    </w:p>
    <w:p w:rsidR="00B95188" w:rsidRPr="002F4867" w:rsidRDefault="00B95188" w:rsidP="00B72EF9">
      <w:pPr>
        <w:pStyle w:val="12"/>
      </w:pPr>
      <w:r w:rsidRPr="002F4867">
        <w:t>Full Journal Title: Indian Journal of Engineering</w:t>
      </w:r>
      <w:r w:rsidR="00F81221">
        <w:t xml:space="preserve"> and </w:t>
      </w:r>
      <w:r w:rsidRPr="002F4867">
        <w:t>Materials Sciences</w:t>
      </w:r>
    </w:p>
    <w:p w:rsidR="00B95188" w:rsidRPr="002F4867" w:rsidRDefault="00B95188" w:rsidP="00B72EF9">
      <w:pPr>
        <w:pStyle w:val="12"/>
      </w:pPr>
      <w:r w:rsidRPr="002F4867">
        <w:t>ISO Abbreviated Title: Indian J. Eng. Mat. Sci.</w:t>
      </w:r>
    </w:p>
    <w:p w:rsidR="00B95188" w:rsidRPr="002F4867" w:rsidRDefault="00B95188" w:rsidP="00B72EF9">
      <w:pPr>
        <w:pStyle w:val="12"/>
      </w:pPr>
      <w:r w:rsidRPr="002F4867">
        <w:t>JCR Abbreviated Title: Indian J Eng Mater S</w:t>
      </w:r>
    </w:p>
    <w:p w:rsidR="00B95188" w:rsidRPr="002F4867" w:rsidRDefault="00B95188" w:rsidP="00B72EF9">
      <w:pPr>
        <w:pStyle w:val="12"/>
      </w:pPr>
      <w:r w:rsidRPr="002F4867">
        <w:t>ISSN: 0971-4588</w:t>
      </w:r>
    </w:p>
    <w:p w:rsidR="00B95188" w:rsidRPr="002F4867" w:rsidRDefault="00B95188" w:rsidP="00B72EF9">
      <w:pPr>
        <w:pStyle w:val="12"/>
      </w:pPr>
      <w:r w:rsidRPr="002F4867">
        <w:t>Issues/Year: 6</w:t>
      </w:r>
    </w:p>
    <w:p w:rsidR="00B95188" w:rsidRPr="002F4867" w:rsidRDefault="00B95188" w:rsidP="00B72EF9">
      <w:pPr>
        <w:pStyle w:val="12"/>
      </w:pPr>
      <w:r w:rsidRPr="002F4867">
        <w:t>Journal Country/Territory: India</w:t>
      </w:r>
    </w:p>
    <w:p w:rsidR="00B95188" w:rsidRPr="002F4867" w:rsidRDefault="00B95188" w:rsidP="00B72EF9">
      <w:pPr>
        <w:pStyle w:val="12"/>
      </w:pPr>
      <w:r w:rsidRPr="002F4867">
        <w:t>Language: English</w:t>
      </w:r>
    </w:p>
    <w:p w:rsidR="00B95188" w:rsidRPr="002F4867" w:rsidRDefault="00B95188" w:rsidP="00B72EF9">
      <w:pPr>
        <w:pStyle w:val="12"/>
      </w:pPr>
      <w:r w:rsidRPr="002F4867">
        <w:t>Publisher: Natl Inst Science Communication</w:t>
      </w:r>
    </w:p>
    <w:p w:rsidR="00B95188" w:rsidRPr="002F4867" w:rsidRDefault="00B95188" w:rsidP="00B72EF9">
      <w:pPr>
        <w:pStyle w:val="12"/>
      </w:pPr>
      <w:r w:rsidRPr="002F4867">
        <w:t>Publisher Address: Dr K S Krishnan Marg, New Delhi 110 012, India</w:t>
      </w:r>
    </w:p>
    <w:p w:rsidR="00B95188" w:rsidRPr="002F4867" w:rsidRDefault="00B95188" w:rsidP="00B72EF9">
      <w:pPr>
        <w:pStyle w:val="12"/>
      </w:pPr>
      <w:r w:rsidRPr="002F4867">
        <w:t>Subject Categories:</w:t>
      </w:r>
    </w:p>
    <w:p w:rsidR="00B95188" w:rsidRPr="002F4867" w:rsidRDefault="00B95188" w:rsidP="00B72EF9">
      <w:pPr>
        <w:pStyle w:val="12"/>
      </w:pPr>
      <w:r w:rsidRPr="002F4867">
        <w:t>Engineering Materials Science: Impact Factor</w:t>
      </w:r>
    </w:p>
    <w:p w:rsidR="00B95188" w:rsidRPr="00A428C3" w:rsidRDefault="00B95188" w:rsidP="00B95188">
      <w:pPr>
        <w:pStyle w:val="a0"/>
      </w:pPr>
      <w:r w:rsidRPr="00A428C3">
        <w:t>? Bhargava, D.S.</w:t>
      </w:r>
      <w:r w:rsidR="00F81221">
        <w:t xml:space="preserve"> and </w:t>
      </w:r>
      <w:r w:rsidRPr="00A428C3">
        <w:t xml:space="preserve">Killedar D.J. (1995), Relationship in fluoride adsorption on fish-bone charcoal.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2</w:t>
      </w:r>
      <w:r w:rsidRPr="00A428C3">
        <w:t xml:space="preserve"> (4), 157-162.</w:t>
      </w:r>
    </w:p>
    <w:p w:rsidR="002F4867" w:rsidRPr="007D79E8" w:rsidRDefault="002F4867" w:rsidP="002F4867">
      <w:pPr>
        <w:pStyle w:val="a0"/>
        <w:rPr>
          <w:kern w:val="0"/>
        </w:rPr>
      </w:pPr>
      <w:r w:rsidRPr="007D79E8">
        <w:rPr>
          <w:kern w:val="0"/>
        </w:rPr>
        <w:t xml:space="preserve">Full Text: </w:t>
      </w:r>
      <w:r>
        <w:rPr>
          <w:rFonts w:hint="eastAsia"/>
          <w:kern w:val="0"/>
        </w:rPr>
        <w:t>1995</w:t>
      </w:r>
      <w:r w:rsidRPr="002F4867">
        <w:rPr>
          <w:kern w:val="0"/>
        </w:rPr>
        <w:t>\Ind J Eng Mat Sci</w:t>
      </w:r>
      <w:r>
        <w:rPr>
          <w:rFonts w:hint="eastAsia"/>
          <w:kern w:val="0"/>
        </w:rPr>
        <w:t>2</w:t>
      </w:r>
      <w:r w:rsidRPr="002F4867">
        <w:rPr>
          <w:kern w:val="0"/>
        </w:rPr>
        <w:t xml:space="preserve">, </w:t>
      </w:r>
      <w:r>
        <w:rPr>
          <w:rFonts w:hint="eastAsia"/>
          <w:kern w:val="0"/>
        </w:rPr>
        <w:t>157</w:t>
      </w:r>
      <w:r w:rsidRPr="002F4867">
        <w:rPr>
          <w:kern w:val="0"/>
        </w:rPr>
        <w:t>.pdf</w:t>
      </w:r>
    </w:p>
    <w:p w:rsidR="00B95188" w:rsidRPr="00A428C3" w:rsidRDefault="00B95188" w:rsidP="00B95188">
      <w:pPr>
        <w:pStyle w:val="a0"/>
      </w:pPr>
      <w:r w:rsidRPr="00A428C3">
        <w:t>Abstract: Batch adsorption studies have been conducted to determine the effects of some parameters such as contact time, initial solute concentration</w:t>
      </w:r>
      <w:r w:rsidR="00F81221">
        <w:t xml:space="preserve"> and </w:t>
      </w:r>
      <w:r w:rsidRPr="00A428C3">
        <w:t>dose of adsorbent on the adsorption of fluoride on the fish-bone charcoal. To simulate field conditions, the test fluoride solutions of different concentrations are prepared by using the tap water. The percentage fluoride removal is found to be function of the dose of adsorbent</w:t>
      </w:r>
      <w:r w:rsidR="00F81221">
        <w:t xml:space="preserve"> and </w:t>
      </w:r>
      <w:r w:rsidRPr="00A428C3">
        <w:t>time at a given initial concentration. Empirical relationship has been attempted to predict the percentage fluoride removal at any time for known values of dose of adsorbent</w:t>
      </w:r>
      <w:r w:rsidR="00F81221">
        <w:t xml:space="preserve"> and </w:t>
      </w:r>
      <w:r w:rsidRPr="00A428C3">
        <w:t>initial solute concentration under observed test conditions.</w:t>
      </w:r>
    </w:p>
    <w:p w:rsidR="00B95188" w:rsidRPr="00A428C3" w:rsidRDefault="00B95188" w:rsidP="00B95188">
      <w:pPr>
        <w:pStyle w:val="a0"/>
      </w:pPr>
      <w:r w:rsidRPr="00A428C3">
        <w:t>? Raji, C., Manju, G.N.</w:t>
      </w:r>
      <w:r w:rsidR="00F81221">
        <w:t xml:space="preserve"> and </w:t>
      </w:r>
      <w:r w:rsidRPr="00A428C3">
        <w:t xml:space="preserve">Anirudhan, T.S. (1997), Removal of heavy metal ions from water using sawdust-based activated carbon.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4</w:t>
      </w:r>
      <w:r w:rsidRPr="00A428C3">
        <w:t xml:space="preserve"> (6), 254-260.</w:t>
      </w:r>
    </w:p>
    <w:p w:rsidR="002F4867" w:rsidRPr="007D79E8" w:rsidRDefault="002F4867" w:rsidP="002F4867">
      <w:pPr>
        <w:pStyle w:val="a0"/>
        <w:rPr>
          <w:kern w:val="0"/>
        </w:rPr>
      </w:pPr>
      <w:r w:rsidRPr="007D79E8">
        <w:rPr>
          <w:kern w:val="0"/>
        </w:rPr>
        <w:t xml:space="preserve">Full Text: </w:t>
      </w:r>
      <w:r>
        <w:rPr>
          <w:rFonts w:hint="eastAsia"/>
          <w:kern w:val="0"/>
        </w:rPr>
        <w:t>1997</w:t>
      </w:r>
      <w:r w:rsidRPr="002F4867">
        <w:rPr>
          <w:kern w:val="0"/>
        </w:rPr>
        <w:t>\Ind J Eng Mat Sci</w:t>
      </w:r>
      <w:r>
        <w:rPr>
          <w:rFonts w:hint="eastAsia"/>
          <w:kern w:val="0"/>
        </w:rPr>
        <w:t>4</w:t>
      </w:r>
      <w:r w:rsidRPr="002F4867">
        <w:rPr>
          <w:kern w:val="0"/>
        </w:rPr>
        <w:t xml:space="preserve">, </w:t>
      </w:r>
      <w:r>
        <w:rPr>
          <w:rFonts w:hint="eastAsia"/>
          <w:kern w:val="0"/>
        </w:rPr>
        <w:t>254</w:t>
      </w:r>
      <w:r w:rsidRPr="002F4867">
        <w:rPr>
          <w:kern w:val="0"/>
        </w:rPr>
        <w:t>.pdf</w:t>
      </w:r>
    </w:p>
    <w:p w:rsidR="00B95188" w:rsidRPr="00A428C3" w:rsidRDefault="00B95188" w:rsidP="00B95188">
      <w:pPr>
        <w:pStyle w:val="a0"/>
      </w:pPr>
      <w:r w:rsidRPr="00A428C3">
        <w:t>Abstract: The removal of Pb(II), Hg(II)</w:t>
      </w:r>
      <w:r w:rsidR="00F81221">
        <w:t xml:space="preserve"> and </w:t>
      </w:r>
      <w:r w:rsidRPr="00A428C3">
        <w:t>Cd(II) by activated carbon prepared from bicarbonate-treated rubber wood sawdust has been found to be concentration, pH</w:t>
      </w:r>
      <w:r w:rsidR="00F81221">
        <w:t xml:space="preserve"> and </w:t>
      </w:r>
      <w:r w:rsidRPr="00A428C3">
        <w:t>temperature dependent. The percentage adsorption of metal ions increased with decrease in initial concentration of metal ions, increase in adsorbent dosage</w:t>
      </w:r>
      <w:r w:rsidR="00F81221">
        <w:t xml:space="preserve"> and </w:t>
      </w:r>
      <w:r w:rsidRPr="00A428C3">
        <w:t>temperature. The optimum pH range for the removal of Pb(II)</w:t>
      </w:r>
      <w:r w:rsidR="00F81221">
        <w:t xml:space="preserve"> and </w:t>
      </w:r>
      <w:r w:rsidRPr="00A428C3">
        <w:t>Hg(II) is 4-8 whereas maximum uptake for Cd(II) is in the pH range 5-9. The applicability of Lagergren kinetic model has also been investigated. The equilibrium data at different temperatures fit well with the Langmuir isotherm. Thermodynamic constant (K-o)</w:t>
      </w:r>
      <w:r w:rsidR="00F81221">
        <w:t xml:space="preserve"> </w:t>
      </w:r>
      <w:r w:rsidR="00F81221">
        <w:lastRenderedPageBreak/>
        <w:t xml:space="preserve">and </w:t>
      </w:r>
      <w:r w:rsidRPr="00A428C3">
        <w:t>standard free energy (Delta G degrees), enthalpy (Delta H degrees)</w:t>
      </w:r>
      <w:r w:rsidR="00F81221">
        <w:t xml:space="preserve"> and </w:t>
      </w:r>
      <w:r w:rsidRPr="00A428C3">
        <w:t>entropy (Delta S degrees) changes were calculated for predicting the nature of adsorption. The surface mass transfer coefficient as a function of initial adsorbate concentration has been determined. Desorption studies revealed that spent adsorbent can be regenerated</w:t>
      </w:r>
      <w:r w:rsidR="00F81221">
        <w:t xml:space="preserve"> and </w:t>
      </w:r>
      <w:r w:rsidRPr="00A428C3">
        <w:t xml:space="preserve">reused by </w:t>
      </w:r>
      <w:smartTag w:uri="urn:schemas-microsoft-com:office:smarttags" w:element="chmetcnv">
        <w:smartTagPr>
          <w:attr w:name="TCSC" w:val="0"/>
          <w:attr w:name="NumberType" w:val="1"/>
          <w:attr w:name="Negative" w:val="False"/>
          <w:attr w:name="HasSpace" w:val="True"/>
          <w:attr w:name="SourceValue" w:val="0.2"/>
          <w:attr w:name="UnitName" w:val="m"/>
        </w:smartTagPr>
        <w:r w:rsidRPr="00A428C3">
          <w:t>0.2 M</w:t>
        </w:r>
      </w:smartTag>
      <w:r w:rsidRPr="00A428C3">
        <w:t xml:space="preserve"> HCl.</w:t>
      </w:r>
    </w:p>
    <w:p w:rsidR="00B95188" w:rsidRPr="00A428C3" w:rsidRDefault="00B95188" w:rsidP="00B95188">
      <w:pPr>
        <w:pStyle w:val="a0"/>
      </w:pPr>
      <w:r w:rsidRPr="00A428C3">
        <w:t>Keywords: Activated Carbon, Adsorbent, Adsorption, Aqueous-Solution, Heavy Metal, Kinetic, Langmuir Isotherm, Mass Transfer, Mass Transfer Coefficient, Mercury(II), Metal Ions, Removal, Sawdust, Titanium-Dioxide, Wollastonite, Wood</w:t>
      </w:r>
    </w:p>
    <w:p w:rsidR="00B95188" w:rsidRPr="00A428C3" w:rsidRDefault="00B95188" w:rsidP="00B95188">
      <w:pPr>
        <w:pStyle w:val="a0"/>
      </w:pPr>
      <w:r w:rsidRPr="00A428C3">
        <w:t>? Shubha, K.P., Raji, C.</w:t>
      </w:r>
      <w:r w:rsidR="00F81221">
        <w:t xml:space="preserve"> and </w:t>
      </w:r>
      <w:r w:rsidRPr="00A428C3">
        <w:t>Anirudhan, T.S. (1998), Batch metal removal by modified hydrous titanium(IV) oxide gel: Kinetics</w:t>
      </w:r>
      <w:r w:rsidR="00F81221">
        <w:t xml:space="preserve"> and </w:t>
      </w:r>
      <w:r w:rsidRPr="00A428C3">
        <w:t xml:space="preserve">thermodynamics.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5</w:t>
      </w:r>
      <w:r w:rsidRPr="00A428C3">
        <w:t xml:space="preserve"> (2), 65-71.</w:t>
      </w:r>
    </w:p>
    <w:p w:rsidR="002F4867" w:rsidRPr="007D79E8" w:rsidRDefault="002F4867" w:rsidP="002F4867">
      <w:pPr>
        <w:pStyle w:val="a0"/>
        <w:rPr>
          <w:kern w:val="0"/>
        </w:rPr>
      </w:pPr>
      <w:r w:rsidRPr="007D79E8">
        <w:rPr>
          <w:kern w:val="0"/>
        </w:rPr>
        <w:t xml:space="preserve">Full Text: </w:t>
      </w:r>
      <w:r>
        <w:rPr>
          <w:rFonts w:hint="eastAsia"/>
          <w:kern w:val="0"/>
        </w:rPr>
        <w:t>1998</w:t>
      </w:r>
      <w:r w:rsidRPr="002F4867">
        <w:rPr>
          <w:kern w:val="0"/>
        </w:rPr>
        <w:t>\Ind J Eng Mat Sci</w:t>
      </w:r>
      <w:r>
        <w:rPr>
          <w:rFonts w:hint="eastAsia"/>
          <w:kern w:val="0"/>
        </w:rPr>
        <w:t>5</w:t>
      </w:r>
      <w:r w:rsidRPr="002F4867">
        <w:rPr>
          <w:kern w:val="0"/>
        </w:rPr>
        <w:t xml:space="preserve">, </w:t>
      </w:r>
      <w:r>
        <w:rPr>
          <w:rFonts w:hint="eastAsia"/>
          <w:kern w:val="0"/>
        </w:rPr>
        <w:t>65</w:t>
      </w:r>
      <w:r w:rsidRPr="002F4867">
        <w:rPr>
          <w:kern w:val="0"/>
        </w:rPr>
        <w:t>.pdf</w:t>
      </w:r>
    </w:p>
    <w:p w:rsidR="00B95188" w:rsidRPr="00A428C3" w:rsidRDefault="00B95188" w:rsidP="00B95188">
      <w:pPr>
        <w:pStyle w:val="a0"/>
      </w:pPr>
      <w:r w:rsidRPr="00A428C3">
        <w:t>Abstract: The adsorption ability of polyacrylamide grafted hydrous titanium(IV) oxide gel for heavy metals in aqueous solutions has been investigated by means of batch adsorption tests. The adsorbent material on IR spectral characterization showed the presence of peripheral-COOH-group</w:t>
      </w:r>
      <w:r w:rsidR="00F81221">
        <w:t xml:space="preserve"> and </w:t>
      </w:r>
      <w:r w:rsidRPr="00A428C3">
        <w:t>exhibits a very high adsorption potential for Pb(II), Hg(II)</w:t>
      </w:r>
      <w:r w:rsidR="00F81221">
        <w:t xml:space="preserve"> and </w:t>
      </w:r>
      <w:r w:rsidRPr="00A428C3">
        <w:t>Cd(II). Kinetic measurements have been made as a function of agitation time, initial metal concentration, adsorbent dose, pH</w:t>
      </w:r>
      <w:r w:rsidR="00F81221">
        <w:t xml:space="preserve"> and </w:t>
      </w:r>
      <w:r w:rsidRPr="00A428C3">
        <w:t>temperature. The process follows a first-order kinetics. The intraparticle diffusion of metal ions through pores in the adsorbent was shown to be the main rate limiting step. The sorbent is effective for the quantitative removal of metal ions at pH 6.0. Temperature dependence indicates the endothermic nature of the process. A Langmuir isotherm model fits the equilibrium data well. Thermodynamic parameters were calculated for predicting the nature of adsorption. The method was applied for synthetic wastewaters. Acid regeneration of the adsorbent has been tried.</w:t>
      </w:r>
    </w:p>
    <w:p w:rsidR="00B95188" w:rsidRPr="00A428C3" w:rsidRDefault="00B95188" w:rsidP="00B95188">
      <w:pPr>
        <w:pStyle w:val="a0"/>
      </w:pPr>
      <w:r w:rsidRPr="00A428C3">
        <w:t>Keywords: Ion-Exchange Materials, Aqueous-Solution, Bituminous Coal, Silica-Gel, Adsorption, Sorption, Preconcentration, Pb(II), Water</w:t>
      </w:r>
    </w:p>
    <w:p w:rsidR="00B95188" w:rsidRPr="00A428C3" w:rsidRDefault="00B95188" w:rsidP="00B95188">
      <w:pPr>
        <w:pStyle w:val="a0"/>
      </w:pPr>
      <w:r w:rsidRPr="00A428C3">
        <w:t xml:space="preserve">? Dimitrova, S.V. (1998), Removal of lead(II) from aqueous solutions by blast-furnace metallurgical slags.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5</w:t>
      </w:r>
      <w:r w:rsidRPr="00A428C3">
        <w:t xml:space="preserve"> (4), 189-193.</w:t>
      </w:r>
    </w:p>
    <w:p w:rsidR="002F4867" w:rsidRPr="007D79E8" w:rsidRDefault="002F4867" w:rsidP="002F4867">
      <w:pPr>
        <w:pStyle w:val="a0"/>
        <w:rPr>
          <w:kern w:val="0"/>
        </w:rPr>
      </w:pPr>
      <w:r w:rsidRPr="007D79E8">
        <w:rPr>
          <w:kern w:val="0"/>
        </w:rPr>
        <w:t xml:space="preserve">Full Text: </w:t>
      </w:r>
      <w:r>
        <w:rPr>
          <w:rFonts w:hint="eastAsia"/>
          <w:kern w:val="0"/>
        </w:rPr>
        <w:t>1998</w:t>
      </w:r>
      <w:r w:rsidRPr="002F4867">
        <w:rPr>
          <w:kern w:val="0"/>
        </w:rPr>
        <w:t>\Ind J Eng Mat Sci</w:t>
      </w:r>
      <w:r>
        <w:rPr>
          <w:rFonts w:hint="eastAsia"/>
          <w:kern w:val="0"/>
        </w:rPr>
        <w:t>5</w:t>
      </w:r>
      <w:r w:rsidRPr="002F4867">
        <w:rPr>
          <w:kern w:val="0"/>
        </w:rPr>
        <w:t xml:space="preserve">, </w:t>
      </w:r>
      <w:r>
        <w:rPr>
          <w:rFonts w:hint="eastAsia"/>
          <w:kern w:val="0"/>
        </w:rPr>
        <w:t>189</w:t>
      </w:r>
      <w:r w:rsidRPr="002F4867">
        <w:rPr>
          <w:kern w:val="0"/>
        </w:rPr>
        <w:t>.pdf</w:t>
      </w:r>
    </w:p>
    <w:p w:rsidR="00B95188" w:rsidRPr="00A428C3" w:rsidRDefault="00B95188" w:rsidP="00B95188">
      <w:pPr>
        <w:pStyle w:val="a0"/>
      </w:pPr>
      <w:r w:rsidRPr="00A428C3">
        <w:t>Abstract: The possibility for Pb(II) removal from aqueous solutions by ungranulated</w:t>
      </w:r>
      <w:r w:rsidR="00F81221">
        <w:t xml:space="preserve"> and </w:t>
      </w:r>
      <w:r w:rsidRPr="00A428C3">
        <w:t>granulated blast-furnace slags from the ferrous metallurgy is studied. The sorpion capacities for Pb(II) of both slags (size 0.25</w:t>
      </w:r>
      <w:smartTag w:uri="urn:schemas-microsoft-com:office:smarttags" w:element="chmetcnv">
        <w:smartTagPr>
          <w:attr w:name="TCSC" w:val="0"/>
          <w:attr w:name="NumberType" w:val="1"/>
          <w:attr w:name="Negative" w:val="True"/>
          <w:attr w:name="HasSpace" w:val="True"/>
          <w:attr w:name="SourceValue" w:val="0.5"/>
          <w:attr w:name="UnitName" w:val="mm"/>
        </w:smartTagPr>
        <w:r w:rsidRPr="00A428C3">
          <w:t>-0.50 mm</w:t>
        </w:r>
      </w:smartTag>
      <w:r w:rsidRPr="00A428C3">
        <w:t>) in solutions with initial metal ion concentration of 50 mg/L are compared. The effect of contact time (5-240 min), the dose of slags (0.25</w:t>
      </w:r>
      <w:smartTag w:uri="urn:schemas-microsoft-com:office:smarttags" w:element="chmetcnv">
        <w:smartTagPr>
          <w:attr w:name="TCSC" w:val="0"/>
          <w:attr w:name="NumberType" w:val="1"/>
          <w:attr w:name="Negative" w:val="True"/>
          <w:attr w:name="HasSpace" w:val="True"/>
          <w:attr w:name="SourceValue" w:val="15"/>
          <w:attr w:name="UnitName" w:val="g"/>
        </w:smartTagPr>
        <w:r w:rsidRPr="00A428C3">
          <w:t>-15 g</w:t>
        </w:r>
      </w:smartTag>
      <w:r w:rsidRPr="00A428C3">
        <w:t>/L)</w:t>
      </w:r>
      <w:r w:rsidR="00F81221">
        <w:t xml:space="preserve"> and </w:t>
      </w:r>
      <w:r w:rsidRPr="00A428C3">
        <w:t>pH (3-10) are studied. The data obtained from the kinetic experiments show that the process of Pb (LI) removal by metallurgical slags is mainly controlled by the internal diffusion. The values of rate constants</w:t>
      </w:r>
      <w:r w:rsidR="00F81221">
        <w:t xml:space="preserve"> and </w:t>
      </w:r>
      <w:r w:rsidRPr="00A428C3">
        <w:t xml:space="preserve">internal diffusion constants are determined. The maximum capacities </w:t>
      </w:r>
      <w:r w:rsidRPr="00A428C3">
        <w:lastRenderedPageBreak/>
        <w:t>of these two materials are determined from the sorption isotherms, obtained for various doses of the slags. When the pH is 5, these maximum capacities are respectively 75 mg/g for ungranulated slag</w:t>
      </w:r>
      <w:r w:rsidR="00F81221">
        <w:t xml:space="preserve"> and </w:t>
      </w:r>
      <w:r w:rsidRPr="00A428C3">
        <w:t>71 mg/L for granulated slag. The efficiency of Pb(II) removal from the solution increases with the rise of pH</w:t>
      </w:r>
      <w:r w:rsidR="00F81221">
        <w:t xml:space="preserve"> and </w:t>
      </w:r>
      <w:r w:rsidRPr="00A428C3">
        <w:t>for both materials the maximum removal (95-97 %) is observed at pH 5.9-6.0. The comparative study for the sorption capacity of the blast-furnace slags shows that the ungranulated slag is almost two times more effective than granulated slag.</w:t>
      </w:r>
    </w:p>
    <w:p w:rsidR="00B95188" w:rsidRPr="00A428C3" w:rsidRDefault="00B95188" w:rsidP="00B95188">
      <w:pPr>
        <w:pStyle w:val="a0"/>
      </w:pPr>
      <w:r w:rsidRPr="00A428C3">
        <w:t>Keywords: Heavy-Metals, Waste-Water, Adsorption, Carbon, Ions</w:t>
      </w:r>
    </w:p>
    <w:p w:rsidR="00B95188" w:rsidRPr="00A428C3" w:rsidRDefault="00B95188" w:rsidP="00B95188">
      <w:pPr>
        <w:pStyle w:val="a0"/>
      </w:pPr>
      <w:r w:rsidRPr="00A428C3">
        <w:t>? Sreedhar, M.K., Madhukumar, A.</w:t>
      </w:r>
      <w:r w:rsidR="00F81221">
        <w:t xml:space="preserve"> and </w:t>
      </w:r>
      <w:r w:rsidRPr="00A428C3">
        <w:t xml:space="preserve">Anirudhan, T.S. (1999), Evaluation of an adsorbent prepared by treating coconut husk with polysulphide for the removal of mercury from wastewater.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6</w:t>
      </w:r>
      <w:r w:rsidRPr="00A428C3">
        <w:t xml:space="preserve"> (5), 279-285.</w:t>
      </w:r>
    </w:p>
    <w:p w:rsidR="002F4867" w:rsidRPr="007D79E8" w:rsidRDefault="002F4867" w:rsidP="002F4867">
      <w:pPr>
        <w:pStyle w:val="a0"/>
        <w:rPr>
          <w:kern w:val="0"/>
        </w:rPr>
      </w:pPr>
      <w:r w:rsidRPr="007D79E8">
        <w:rPr>
          <w:kern w:val="0"/>
        </w:rPr>
        <w:t xml:space="preserve">Full Text: </w:t>
      </w:r>
      <w:r>
        <w:rPr>
          <w:rFonts w:hint="eastAsia"/>
          <w:kern w:val="0"/>
        </w:rPr>
        <w:t>1999</w:t>
      </w:r>
      <w:r w:rsidRPr="002F4867">
        <w:rPr>
          <w:kern w:val="0"/>
        </w:rPr>
        <w:t>\Ind J Eng Mat Sci</w:t>
      </w:r>
      <w:r>
        <w:rPr>
          <w:rFonts w:hint="eastAsia"/>
          <w:kern w:val="0"/>
        </w:rPr>
        <w:t>6</w:t>
      </w:r>
      <w:r w:rsidRPr="002F4867">
        <w:rPr>
          <w:kern w:val="0"/>
        </w:rPr>
        <w:t xml:space="preserve">, </w:t>
      </w:r>
      <w:r>
        <w:rPr>
          <w:rFonts w:hint="eastAsia"/>
          <w:kern w:val="0"/>
        </w:rPr>
        <w:t>279</w:t>
      </w:r>
      <w:r w:rsidRPr="002F4867">
        <w:rPr>
          <w:kern w:val="0"/>
        </w:rPr>
        <w:t>.pdf</w:t>
      </w:r>
    </w:p>
    <w:p w:rsidR="00B95188" w:rsidRPr="00A428C3" w:rsidRDefault="00B95188" w:rsidP="00B95188">
      <w:pPr>
        <w:pStyle w:val="a0"/>
      </w:pPr>
      <w:r w:rsidRPr="00A428C3">
        <w:t>Abstract: Polysulphide treated coconut husk can be used as an effective adsorbent for the removal of Hg(II) from aqueous systems. The parameters affecti</w:t>
      </w:r>
      <w:r>
        <w:t>ng Hg(II) adsorption such as Hg</w:t>
      </w:r>
      <w:r w:rsidRPr="00A428C3">
        <w:t>(II) concentration, agitation time, pH, sorbent dose, ionic strength</w:t>
      </w:r>
      <w:r w:rsidR="00F81221">
        <w:t xml:space="preserve"> and </w:t>
      </w:r>
      <w:r w:rsidRPr="00A428C3">
        <w:t>temperature were studied to estimate optimum conditions. Maximum adsorption capacity was observed in the pH range 5.5-10.0. The adsorption isotherm was also affected by temperature since the adsorption capacity was increased by raising the temperature form 30 to 60 degrees C. Lagergren equation</w:t>
      </w:r>
      <w:r w:rsidR="00F81221">
        <w:t xml:space="preserve"> and </w:t>
      </w:r>
      <w:r w:rsidRPr="00A428C3">
        <w:t>Langmuir</w:t>
      </w:r>
      <w:r w:rsidR="00F81221">
        <w:t xml:space="preserve"> and </w:t>
      </w:r>
      <w:r w:rsidRPr="00A428C3">
        <w:t>Freundlich isotherm models have been used to determine rate constants of adsorption</w:t>
      </w:r>
      <w:r w:rsidR="00F81221">
        <w:t xml:space="preserve"> and </w:t>
      </w:r>
      <w:r w:rsidRPr="00A428C3">
        <w:t xml:space="preserve">capacity of treated coconut husk. Different reagents were tested for extracting Hg(II) from the spent adsorbent. High extraction efficiency was obtained with </w:t>
      </w:r>
      <w:smartTag w:uri="urn:schemas-microsoft-com:office:smarttags" w:element="chmetcnv">
        <w:smartTagPr>
          <w:attr w:name="TCSC" w:val="0"/>
          <w:attr w:name="NumberType" w:val="1"/>
          <w:attr w:name="Negative" w:val="False"/>
          <w:attr w:name="HasSpace" w:val="False"/>
          <w:attr w:name="SourceValue" w:val="0.5"/>
          <w:attr w:name="UnitName" w:val="m"/>
        </w:smartTagPr>
        <w:r w:rsidRPr="00A428C3">
          <w:t>0.5M</w:t>
        </w:r>
      </w:smartTag>
      <w:r w:rsidRPr="00A428C3">
        <w:t xml:space="preserve"> HCl solution. Hg(II) can be successfully removed from synthetic</w:t>
      </w:r>
      <w:r w:rsidR="00F81221">
        <w:t xml:space="preserve"> and </w:t>
      </w:r>
      <w:r w:rsidRPr="00A428C3">
        <w:t>industrial wastewaters. The results obtained point towards viable adsorbent which is both effective as well as economically attractive for Hg(II) removal from wastewater.</w:t>
      </w:r>
    </w:p>
    <w:p w:rsidR="00B95188" w:rsidRPr="00A428C3" w:rsidRDefault="00B95188" w:rsidP="00B95188">
      <w:pPr>
        <w:pStyle w:val="a0"/>
      </w:pPr>
      <w:r w:rsidRPr="00A428C3">
        <w:t>Keywords: Aqueous-Solution, Adsorption, Water, Carbon, Ions</w:t>
      </w:r>
    </w:p>
    <w:p w:rsidR="00B95188" w:rsidRPr="00A428C3" w:rsidRDefault="00B95188" w:rsidP="00B95188">
      <w:pPr>
        <w:pStyle w:val="a0"/>
      </w:pPr>
      <w:r w:rsidRPr="00A428C3">
        <w:t>? Vinod, V.P.</w:t>
      </w:r>
      <w:r w:rsidR="00F81221">
        <w:t xml:space="preserve"> and </w:t>
      </w:r>
      <w:r w:rsidRPr="00A428C3">
        <w:t xml:space="preserve">Anirudhan, T.S. (2002), Treatment of phenol rich aqueous solutions using surface modified pillared clay.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9</w:t>
      </w:r>
      <w:r w:rsidRPr="00A428C3">
        <w:t xml:space="preserve"> (2), 128-136.</w:t>
      </w:r>
    </w:p>
    <w:p w:rsidR="002F4867" w:rsidRPr="007D79E8" w:rsidRDefault="002F4867" w:rsidP="002F4867">
      <w:pPr>
        <w:pStyle w:val="a0"/>
        <w:rPr>
          <w:kern w:val="0"/>
        </w:rPr>
      </w:pPr>
      <w:r w:rsidRPr="007D79E8">
        <w:rPr>
          <w:kern w:val="0"/>
        </w:rPr>
        <w:t xml:space="preserve">Full Text: </w:t>
      </w:r>
      <w:r w:rsidRPr="002F4867">
        <w:rPr>
          <w:kern w:val="0"/>
        </w:rPr>
        <w:t>20</w:t>
      </w:r>
      <w:r>
        <w:rPr>
          <w:rFonts w:hint="eastAsia"/>
          <w:kern w:val="0"/>
        </w:rPr>
        <w:t>02</w:t>
      </w:r>
      <w:r w:rsidRPr="002F4867">
        <w:rPr>
          <w:kern w:val="0"/>
        </w:rPr>
        <w:t>\Ind J Eng Mat Sci</w:t>
      </w:r>
      <w:r>
        <w:rPr>
          <w:rFonts w:hint="eastAsia"/>
          <w:kern w:val="0"/>
        </w:rPr>
        <w:t>9</w:t>
      </w:r>
      <w:r w:rsidRPr="002F4867">
        <w:rPr>
          <w:kern w:val="0"/>
        </w:rPr>
        <w:t xml:space="preserve">, </w:t>
      </w:r>
      <w:r>
        <w:rPr>
          <w:rFonts w:hint="eastAsia"/>
          <w:kern w:val="0"/>
        </w:rPr>
        <w:t>128</w:t>
      </w:r>
      <w:r w:rsidRPr="002F4867">
        <w:rPr>
          <w:kern w:val="0"/>
        </w:rPr>
        <w:t>.pdf</w:t>
      </w:r>
    </w:p>
    <w:p w:rsidR="00B95188" w:rsidRPr="00A428C3" w:rsidRDefault="00B95188" w:rsidP="00B95188">
      <w:pPr>
        <w:pStyle w:val="a0"/>
      </w:pPr>
      <w:r w:rsidRPr="00A428C3">
        <w:t>Abstract: The efficacy of humic acid treated zirconium pillared clay (HA-PILC) in the removal of phenol from aqueous solution has been investigated using batch adsorption technique at different sorbate concentrations, rate of agitation, pH</w:t>
      </w:r>
      <w:r w:rsidR="00F81221">
        <w:t xml:space="preserve"> and </w:t>
      </w:r>
      <w:r w:rsidRPr="00A428C3">
        <w:t>temperature. The maximum removal of 98.0, 84.0</w:t>
      </w:r>
      <w:r w:rsidR="00F81221">
        <w:t xml:space="preserve"> and </w:t>
      </w:r>
      <w:r w:rsidRPr="00A428C3">
        <w:t>73.2% has been noted at pH 5.0 for an initial concentration of 25, 50</w:t>
      </w:r>
      <w:r w:rsidR="00F81221">
        <w:t xml:space="preserve"> and </w:t>
      </w:r>
      <w:r w:rsidRPr="00A428C3">
        <w:t xml:space="preserve">100 mg/L respectively. The maximum adsorption capacity has been observed at pH 5.0. The process of uptake follows a first-order reversible kinetic expression. The removal process has also been found to be diffusion controlled. The adsorption capacity has been increased from 78.2 to </w:t>
      </w:r>
      <w:r w:rsidRPr="00A428C3">
        <w:lastRenderedPageBreak/>
        <w:t>92.6% with an increase in agitation speed from 100 to 400 rpm at an initial concentration of 50 malL. The adsorption isotherm for phenol removal may be classified as L-type of the Giles classification, which suggests a favourable adsorption,</w:t>
      </w:r>
      <w:r w:rsidR="00F81221">
        <w:t xml:space="preserve"> and </w:t>
      </w:r>
      <w:r w:rsidRPr="00A428C3">
        <w:t>the adsorbent has a high affinity for phenol. The adsorption data points have been fitted to both Langmuir</w:t>
      </w:r>
      <w:r w:rsidR="00F81221">
        <w:t xml:space="preserve"> and </w:t>
      </w:r>
      <w:r w:rsidRPr="00A428C3">
        <w:t>Freundlich isotherm equations. The maximum adsorption capacity (Q</w:t>
      </w:r>
      <w:r w:rsidRPr="00A428C3">
        <w:rPr>
          <w:vertAlign w:val="subscript"/>
        </w:rPr>
        <w:t>0</w:t>
      </w:r>
      <w:r w:rsidRPr="00A428C3">
        <w:t>) decreases from 179.86 mg/g at 10degreesC to 126.69 mg/g at 40degreesC. Lower temperature has been found to be more effective in the removal of phenol. Thermodynamic parameters such as DeltaG(0), DeltaH(0)</w:t>
      </w:r>
      <w:r w:rsidR="00F81221">
        <w:t xml:space="preserve"> and </w:t>
      </w:r>
      <w:r w:rsidRPr="00A428C3">
        <w:t>DeltaS(0) for the adsorption process have been calculated to predict the nature of adsorption process. Cost of the HA-PILC</w:t>
      </w:r>
      <w:r w:rsidR="00F81221">
        <w:t xml:space="preserve"> and </w:t>
      </w:r>
      <w:r w:rsidRPr="00A428C3">
        <w:t>its adsorption capacity with other adsorbent materials reported in the literature, have also been presented.</w:t>
      </w:r>
    </w:p>
    <w:p w:rsidR="00B95188" w:rsidRPr="00A428C3" w:rsidRDefault="00B95188" w:rsidP="00B95188">
      <w:pPr>
        <w:pStyle w:val="a0"/>
      </w:pPr>
      <w:r w:rsidRPr="00A428C3">
        <w:t>Keywords: Adsorption Characteristics, Tannic-Acid, Bentonite, Sorption, Removal, Water</w:t>
      </w:r>
    </w:p>
    <w:p w:rsidR="00B95188" w:rsidRPr="00A428C3" w:rsidRDefault="00B95188" w:rsidP="00B95188">
      <w:pPr>
        <w:pStyle w:val="a0"/>
      </w:pPr>
      <w:r w:rsidRPr="00A428C3">
        <w:t xml:space="preserve">? Aziz, H.A., </w:t>
      </w:r>
      <w:smartTag w:uri="urn:schemas-microsoft-com:office:smarttags" w:element="City">
        <w:r w:rsidRPr="00A428C3">
          <w:t>Adlan</w:t>
        </w:r>
      </w:smartTag>
      <w:r w:rsidRPr="00A428C3">
        <w:t>, M.N., Hui, C.S., Zahari, M.S.M.</w:t>
      </w:r>
      <w:r w:rsidR="00F81221">
        <w:t xml:space="preserve"> and </w:t>
      </w:r>
      <w:r w:rsidRPr="00A428C3">
        <w:t>Hameed, B.H. (2005), Removal of Ni, U, Pb, Zn</w:t>
      </w:r>
      <w:r w:rsidR="00F81221">
        <w:t xml:space="preserve"> and </w:t>
      </w:r>
      <w:r w:rsidRPr="00A428C3">
        <w:t xml:space="preserve">colour from aqueous solution using potential low cost adsorbent. </w:t>
      </w:r>
      <w:r w:rsidRPr="00A428C3">
        <w:rPr>
          <w:i/>
          <w:iCs/>
        </w:rPr>
        <w:t>Indian Journal of Engineering</w:t>
      </w:r>
      <w:r w:rsidR="00F81221">
        <w:rPr>
          <w:i/>
          <w:iCs/>
        </w:rPr>
        <w:t xml:space="preserve"> and </w:t>
      </w:r>
      <w:r w:rsidRPr="00A428C3">
        <w:rPr>
          <w:i/>
          <w:iCs/>
        </w:rPr>
        <w:t>Materials Sciences</w:t>
      </w:r>
      <w:r w:rsidRPr="00A428C3">
        <w:t xml:space="preserve">, </w:t>
      </w:r>
      <w:r w:rsidRPr="00A428C3">
        <w:rPr>
          <w:b/>
        </w:rPr>
        <w:t>12</w:t>
      </w:r>
      <w:r w:rsidRPr="00A428C3">
        <w:t xml:space="preserve"> (3), 248-258.</w:t>
      </w:r>
    </w:p>
    <w:p w:rsidR="002F4867" w:rsidRPr="007D79E8" w:rsidRDefault="002F4867" w:rsidP="002F4867">
      <w:pPr>
        <w:pStyle w:val="a0"/>
        <w:rPr>
          <w:kern w:val="0"/>
        </w:rPr>
      </w:pPr>
      <w:r w:rsidRPr="007D79E8">
        <w:rPr>
          <w:kern w:val="0"/>
        </w:rPr>
        <w:t xml:space="preserve">Full Text: </w:t>
      </w:r>
      <w:hyperlink r:id="rId945" w:history="1">
        <w:r w:rsidR="00103AD5" w:rsidRPr="00103AD5">
          <w:rPr>
            <w:rStyle w:val="a5"/>
            <w:kern w:val="0"/>
          </w:rPr>
          <w:t>2005\Ind J Eng Mat Sci12, 248.pdf</w:t>
        </w:r>
      </w:hyperlink>
    </w:p>
    <w:p w:rsidR="00B95188" w:rsidRPr="00A428C3" w:rsidRDefault="00B95188" w:rsidP="00B95188">
      <w:pPr>
        <w:pStyle w:val="a0"/>
      </w:pPr>
      <w:r w:rsidRPr="00A428C3">
        <w:t>Abstract: A study was conducted to determine the removal efficiency of heavy metals (Ni, Cd, Ph</w:t>
      </w:r>
      <w:r w:rsidR="00F81221">
        <w:t xml:space="preserve"> and </w:t>
      </w:r>
      <w:r w:rsidRPr="00A428C3">
        <w:t>Zn)</w:t>
      </w:r>
      <w:r w:rsidR="00F81221">
        <w:t xml:space="preserve"> and </w:t>
      </w:r>
      <w:r w:rsidRPr="00A428C3">
        <w:t xml:space="preserve">colour from wastewater using cheap available materials in </w:t>
      </w:r>
      <w:smartTag w:uri="urn:schemas-microsoft-com:office:smarttags" w:element="place">
        <w:smartTag w:uri="urn:schemas-microsoft-com:office:smarttags" w:element="country-region">
          <w:r w:rsidRPr="00A428C3">
            <w:t>Malaysia</w:t>
          </w:r>
        </w:smartTag>
      </w:smartTag>
      <w:r w:rsidRPr="00A428C3">
        <w:t xml:space="preserve"> such as charcoal, coconut shell carbon</w:t>
      </w:r>
      <w:r w:rsidR="00F81221">
        <w:t xml:space="preserve"> and </w:t>
      </w:r>
      <w:r w:rsidRPr="00A428C3">
        <w:t>a mixture of these carbons with limestone. As activated carbon is quite expensive, this study attempts to investigate the possibility of mixing activated carbon with these materials for cost saving. The suitability of using coconut shell after heating at 500 degrees C in treating wastewater also formed the basis of the study. Batch studies were carried out in the laboratory with an initial concentration of heavy metals generally found in final effluents at 2 mg/L</w:t>
      </w:r>
      <w:r w:rsidR="00F81221">
        <w:t xml:space="preserve"> and </w:t>
      </w:r>
      <w:r w:rsidRPr="00A428C3">
        <w:t>colour at 400-ptCo. The results indicated that a mixture of activated carbon</w:t>
      </w:r>
      <w:r w:rsidR="00F81221">
        <w:t xml:space="preserve"> and </w:t>
      </w:r>
      <w:r w:rsidRPr="00A428C3">
        <w:t>limestone had removed 92% of heavy metals</w:t>
      </w:r>
      <w:r w:rsidR="00F81221">
        <w:t xml:space="preserve"> and </w:t>
      </w:r>
      <w:r w:rsidRPr="00A428C3">
        <w:t>85% of colour from synthetic wastewater at a wide range of pH. When activated carbon was only used, 85% of heavy metals</w:t>
      </w:r>
      <w:r w:rsidR="00F81221">
        <w:t xml:space="preserve"> and </w:t>
      </w:r>
      <w:r w:rsidRPr="00A428C3">
        <w:t>99% of colour were removed. For a mixture of charcoal with limestone, the removal efficiencies for heavy metals</w:t>
      </w:r>
      <w:r w:rsidR="00F81221">
        <w:t xml:space="preserve"> and </w:t>
      </w:r>
      <w:r w:rsidRPr="00A428C3">
        <w:t>colour were at 65%</w:t>
      </w:r>
      <w:r w:rsidR="00F81221">
        <w:t xml:space="preserve"> and </w:t>
      </w:r>
      <w:r w:rsidRPr="00A428C3">
        <w:t>35%, respectively. The removal efficiency for heavy metals was further improved to 80% when charcoal was used, but for colour removal it was only 30%. The results of the study suggested that a mixture of activated carbon with limestone had significantly removed the amount of heavy metals</w:t>
      </w:r>
      <w:r w:rsidR="00F81221">
        <w:t xml:space="preserve"> and </w:t>
      </w:r>
      <w:r w:rsidRPr="00A428C3">
        <w:t>colour. Thus, the cost of the overall process can be reduced. This study also indicated that there is possibility of using coconut carbon</w:t>
      </w:r>
      <w:r w:rsidR="00F81221">
        <w:t xml:space="preserve"> and </w:t>
      </w:r>
      <w:r w:rsidRPr="00A428C3">
        <w:t>charcoal as an alternative absorbents for removing heavy metals</w:t>
      </w:r>
      <w:r w:rsidR="00F81221">
        <w:t xml:space="preserve"> and </w:t>
      </w:r>
      <w:r w:rsidRPr="00A428C3">
        <w:t>colour from wastewater. However, improvement on activation process is required.</w:t>
      </w:r>
    </w:p>
    <w:p w:rsidR="00B95188" w:rsidRPr="00A428C3" w:rsidRDefault="00B95188" w:rsidP="00B95188">
      <w:pPr>
        <w:pStyle w:val="a0"/>
      </w:pPr>
      <w:r w:rsidRPr="00A428C3">
        <w:t xml:space="preserve">Keywords: Activated Carbon, Adsorption, Basic-Dyes, Charcoal, Column Operations, </w:t>
      </w:r>
      <w:r w:rsidRPr="00A428C3">
        <w:lastRenderedPageBreak/>
        <w:t>Equilibrium Uptake, Filtration Technique, Fly-Ash, Heavy-Metals, Removal, Sorption Dynamics, Waste-Water, Wastewater</w:t>
      </w:r>
    </w:p>
    <w:p w:rsidR="002F4867" w:rsidRDefault="002F4867" w:rsidP="002F4867">
      <w:pPr>
        <w:pStyle w:val="a0"/>
        <w:rPr>
          <w:kern w:val="0"/>
        </w:rPr>
      </w:pPr>
      <w:r>
        <w:rPr>
          <w:rFonts w:hint="eastAsia"/>
          <w:kern w:val="0"/>
        </w:rPr>
        <w:t xml:space="preserve">? </w:t>
      </w:r>
      <w:r>
        <w:rPr>
          <w:kern w:val="0"/>
        </w:rPr>
        <w:t>Hema, M.</w:t>
      </w:r>
      <w:r w:rsidR="00F81221">
        <w:rPr>
          <w:kern w:val="0"/>
        </w:rPr>
        <w:t xml:space="preserve"> and </w:t>
      </w:r>
      <w:r>
        <w:rPr>
          <w:kern w:val="0"/>
        </w:rPr>
        <w:t xml:space="preserve">Srinivasan, K. (2010), Uptake of toxic metals from wastewater by activated carbon from agro industrial by-product. </w:t>
      </w:r>
      <w:r>
        <w:rPr>
          <w:i/>
          <w:iCs/>
          <w:kern w:val="0"/>
        </w:rPr>
        <w:t>Indian Journal of Engineering</w:t>
      </w:r>
      <w:r w:rsidR="00F81221">
        <w:rPr>
          <w:i/>
          <w:iCs/>
          <w:kern w:val="0"/>
        </w:rPr>
        <w:t xml:space="preserve"> and </w:t>
      </w:r>
      <w:r>
        <w:rPr>
          <w:i/>
          <w:iCs/>
          <w:kern w:val="0"/>
        </w:rPr>
        <w:t>Materials Sciences</w:t>
      </w:r>
      <w:r>
        <w:rPr>
          <w:kern w:val="0"/>
        </w:rPr>
        <w:t xml:space="preserve">, </w:t>
      </w:r>
      <w:r>
        <w:rPr>
          <w:b/>
          <w:bCs/>
          <w:kern w:val="0"/>
        </w:rPr>
        <w:t>17</w:t>
      </w:r>
      <w:r>
        <w:rPr>
          <w:kern w:val="0"/>
        </w:rPr>
        <w:t xml:space="preserve"> (5), 373-381.</w:t>
      </w:r>
    </w:p>
    <w:p w:rsidR="002F4867" w:rsidRPr="007D79E8" w:rsidRDefault="002F4867" w:rsidP="002F4867">
      <w:pPr>
        <w:pStyle w:val="a0"/>
        <w:rPr>
          <w:kern w:val="0"/>
        </w:rPr>
      </w:pPr>
      <w:r w:rsidRPr="007D79E8">
        <w:rPr>
          <w:kern w:val="0"/>
        </w:rPr>
        <w:t xml:space="preserve">Full Text: </w:t>
      </w:r>
      <w:hyperlink r:id="rId946" w:history="1">
        <w:r w:rsidRPr="00A83B8D">
          <w:rPr>
            <w:rStyle w:val="a5"/>
            <w:kern w:val="0"/>
          </w:rPr>
          <w:t>2010\Ind J Eng Mat Sci17, 373.pdf</w:t>
        </w:r>
      </w:hyperlink>
    </w:p>
    <w:p w:rsidR="002F4867" w:rsidRDefault="002F4867" w:rsidP="002F4867">
      <w:pPr>
        <w:pStyle w:val="a0"/>
        <w:rPr>
          <w:kern w:val="0"/>
        </w:rPr>
      </w:pPr>
      <w:r>
        <w:rPr>
          <w:kern w:val="0"/>
        </w:rPr>
        <w:t>Abstract: Activated carbon prepared from neem oilcake, by pyrolysis accompanied with microwave oven activation is evaluated for the adsorption of Cd(II)</w:t>
      </w:r>
      <w:r w:rsidR="00F81221">
        <w:rPr>
          <w:kern w:val="0"/>
        </w:rPr>
        <w:t xml:space="preserve"> and </w:t>
      </w:r>
      <w:r>
        <w:rPr>
          <w:kern w:val="0"/>
        </w:rPr>
        <w:t>Ni(II) from wastewater. Parameters such as pH, agitation time, metal ion concentration</w:t>
      </w:r>
      <w:r w:rsidR="00F81221">
        <w:rPr>
          <w:kern w:val="0"/>
        </w:rPr>
        <w:t xml:space="preserve"> and </w:t>
      </w:r>
      <w:r>
        <w:rPr>
          <w:kern w:val="0"/>
        </w:rPr>
        <w:t>adsorbent dose are studied. The percent removal increased with pH from 2.0 to 7.0. The adsorption data fit well with Langmuir, Freundlich</w:t>
      </w:r>
      <w:r w:rsidR="00F81221">
        <w:rPr>
          <w:kern w:val="0"/>
        </w:rPr>
        <w:t xml:space="preserve"> and </w:t>
      </w:r>
      <w:r>
        <w:rPr>
          <w:kern w:val="0"/>
        </w:rPr>
        <w:t>Temkin isotherm models. The adsorption capacity (q(e)) calculated from Langmuir isotherm are 54.95 mg Ni(II)/g</w:t>
      </w:r>
      <w:r w:rsidR="00F81221">
        <w:rPr>
          <w:kern w:val="0"/>
        </w:rPr>
        <w:t xml:space="preserve"> and </w:t>
      </w:r>
      <w:r>
        <w:rPr>
          <w:kern w:val="0"/>
        </w:rPr>
        <w:t>23.70 mg Cd(II)/g at an optimal pH of 7.0 at 30 degrees C for the particle size 0.120-0.075 mm. Adsorption of Cd(II)</w:t>
      </w:r>
      <w:r w:rsidR="00F81221">
        <w:rPr>
          <w:kern w:val="0"/>
        </w:rPr>
        <w:t xml:space="preserve"> and </w:t>
      </w:r>
      <w:r>
        <w:rPr>
          <w:kern w:val="0"/>
        </w:rPr>
        <w:t>Ni(II) by activated carbon from neem oilcake follows pseudo-second-order kinetic model. Desorption studies with dilute hydrochloric acid indicate that quantitative recovery of cadmium</w:t>
      </w:r>
      <w:r w:rsidR="00F81221">
        <w:rPr>
          <w:kern w:val="0"/>
        </w:rPr>
        <w:t xml:space="preserve"> and </w:t>
      </w:r>
      <w:r>
        <w:rPr>
          <w:kern w:val="0"/>
        </w:rPr>
        <w:t>nickel ions are possible. The mechanism of adsorption seems to follow ion exchange process. As neem oilcake is discarded as waste from oil processing industries, the carbon could be exploited for metal ions recovery from wastewater.</w:t>
      </w:r>
    </w:p>
    <w:p w:rsidR="002F4867" w:rsidRDefault="002F4867" w:rsidP="002F4867">
      <w:pPr>
        <w:pStyle w:val="a0"/>
        <w:rPr>
          <w:kern w:val="0"/>
        </w:rPr>
      </w:pPr>
      <w:r>
        <w:rPr>
          <w:kern w:val="0"/>
        </w:rPr>
        <w:t xml:space="preserve">Keywords: Activated Carbon, Activation, Adsorbent, Adsorbent Dose, Adsorption, Adsorption Capacity, Agitation, Aqueous-Solution, Cadmium, Capacity, Carbon, Cd(II), Chemical-Properties, Concentration, Data, Desorption, Equilibrium, Freundlich, Ion Exchange, Ion-Exchange, Ions, Isotherm, Kinetic, Kinetic Model, Kinetics, Langmuir, Langmuir Isotherm, Mechanism, Mechanism of Adsorption, Metal, Metal Ions, Metals, Microwave, Model, Models, Neem Oilcake, Ni(II), Nickel, Particle Size, </w:t>
      </w:r>
      <w:r>
        <w:rPr>
          <w:rFonts w:hint="eastAsia"/>
          <w:kern w:val="0"/>
        </w:rPr>
        <w:t>p</w:t>
      </w:r>
      <w:r>
        <w:rPr>
          <w:kern w:val="0"/>
        </w:rPr>
        <w:t>H, Pseudo Second Order, Pseudo-Second-Order, Pseudo-Second-Order Kinetic Model, Pyrolysis, Recovery, Removal, Rice Husk, Si, Size, Temkin Isotherm, Toxic, Toxic Metal, Toxic Metals, Waste, Wastewater</w:t>
      </w:r>
    </w:p>
    <w:p w:rsidR="002F4867" w:rsidRDefault="002F4867" w:rsidP="002F4867">
      <w:pPr>
        <w:pStyle w:val="a0"/>
        <w:rPr>
          <w:kern w:val="0"/>
        </w:rPr>
      </w:pPr>
      <w:r>
        <w:rPr>
          <w:rFonts w:hint="eastAsia"/>
          <w:kern w:val="0"/>
        </w:rPr>
        <w:t xml:space="preserve">? </w:t>
      </w:r>
      <w:r>
        <w:rPr>
          <w:kern w:val="0"/>
        </w:rPr>
        <w:t>Suganthi, N.</w:t>
      </w:r>
      <w:r w:rsidR="00F81221">
        <w:rPr>
          <w:kern w:val="0"/>
        </w:rPr>
        <w:t xml:space="preserve"> and </w:t>
      </w:r>
      <w:r>
        <w:rPr>
          <w:kern w:val="0"/>
        </w:rPr>
        <w:t xml:space="preserve">Srinivasan, K. (2010), Phosphorylated tamarind nut carbon for the removal of cadmium ions from aqueous solutions. </w:t>
      </w:r>
      <w:r>
        <w:rPr>
          <w:i/>
          <w:iCs/>
          <w:kern w:val="0"/>
        </w:rPr>
        <w:t>Indian Journal of Engineering</w:t>
      </w:r>
      <w:r w:rsidR="00F81221">
        <w:rPr>
          <w:i/>
          <w:iCs/>
          <w:kern w:val="0"/>
        </w:rPr>
        <w:t xml:space="preserve"> and </w:t>
      </w:r>
      <w:r>
        <w:rPr>
          <w:i/>
          <w:iCs/>
          <w:kern w:val="0"/>
        </w:rPr>
        <w:t>Materials Sciences</w:t>
      </w:r>
      <w:r>
        <w:rPr>
          <w:kern w:val="0"/>
        </w:rPr>
        <w:t xml:space="preserve">, </w:t>
      </w:r>
      <w:r>
        <w:rPr>
          <w:b/>
          <w:bCs/>
          <w:kern w:val="0"/>
        </w:rPr>
        <w:t>17</w:t>
      </w:r>
      <w:r>
        <w:rPr>
          <w:kern w:val="0"/>
        </w:rPr>
        <w:t xml:space="preserve"> (5), 382-388.</w:t>
      </w:r>
    </w:p>
    <w:p w:rsidR="002F4867" w:rsidRPr="007D79E8" w:rsidRDefault="002F4867" w:rsidP="002F4867">
      <w:pPr>
        <w:pStyle w:val="a0"/>
        <w:rPr>
          <w:kern w:val="0"/>
        </w:rPr>
      </w:pPr>
      <w:r w:rsidRPr="007D79E8">
        <w:rPr>
          <w:kern w:val="0"/>
        </w:rPr>
        <w:t xml:space="preserve">Full Text: </w:t>
      </w:r>
      <w:hyperlink r:id="rId947" w:history="1">
        <w:r w:rsidRPr="00202E69">
          <w:rPr>
            <w:rStyle w:val="a5"/>
            <w:kern w:val="0"/>
          </w:rPr>
          <w:t>2010\Ind J Eng Mat Sci17, 382.pdf</w:t>
        </w:r>
      </w:hyperlink>
    </w:p>
    <w:p w:rsidR="002F4867" w:rsidRDefault="002F4867" w:rsidP="002F4867">
      <w:pPr>
        <w:pStyle w:val="a0"/>
        <w:rPr>
          <w:kern w:val="0"/>
        </w:rPr>
      </w:pPr>
      <w:r>
        <w:rPr>
          <w:kern w:val="0"/>
        </w:rPr>
        <w:t>Abstract: Activated carbon prepared from phosphoric acid treatment of Tamarind nuts (seeds) is investigated for the removal of cadmium ions from aqueous solutions. Carbon granules of 300 to 800 mu m particle size are chosen for all studies. The characteristics of the phosphorylated tamarind nut carbon (PTNC) are evaluated for porosity, surface area, iodine number, phenol number, moisture content</w:t>
      </w:r>
      <w:r w:rsidR="00F81221">
        <w:rPr>
          <w:kern w:val="0"/>
        </w:rPr>
        <w:t xml:space="preserve"> and </w:t>
      </w:r>
      <w:r>
        <w:rPr>
          <w:kern w:val="0"/>
        </w:rPr>
        <w:t>decolorizing power. PTNC is subjected to the adsorption of cadmium ions from aqueous solution. The effects of pH, contact time, metal ion concentration</w:t>
      </w:r>
      <w:r w:rsidR="00F81221">
        <w:rPr>
          <w:kern w:val="0"/>
        </w:rPr>
        <w:t xml:space="preserve"> and </w:t>
      </w:r>
      <w:r>
        <w:rPr>
          <w:kern w:val="0"/>
        </w:rPr>
        <w:lastRenderedPageBreak/>
        <w:t>carbon dosage are studied to evaluate the potential applicability of carbon produced as an adsorbent for wastewater treatment. The adsorption data are modeled by using Langmuir</w:t>
      </w:r>
      <w:r w:rsidR="00F81221">
        <w:rPr>
          <w:kern w:val="0"/>
        </w:rPr>
        <w:t xml:space="preserve"> and </w:t>
      </w:r>
      <w:r>
        <w:rPr>
          <w:kern w:val="0"/>
        </w:rPr>
        <w:t>Freundlich classical adsorptions isotherms. Kinetic studies fitted best with pseudo-second order model. Desorption studies indicated that ion-exchange mechanism is operating. Column studies are conducted in 2.5 cm diameter columns. Under optimum conditions of flow rate</w:t>
      </w:r>
      <w:r w:rsidR="00F81221">
        <w:rPr>
          <w:kern w:val="0"/>
        </w:rPr>
        <w:t xml:space="preserve"> and </w:t>
      </w:r>
      <w:r>
        <w:rPr>
          <w:kern w:val="0"/>
        </w:rPr>
        <w:t>bed height, breakthrough capacities are found out. The mechanism of adsorption for cadmium on PTNC is found to follow ion exchange process predominantly</w:t>
      </w:r>
      <w:r w:rsidR="00F81221">
        <w:rPr>
          <w:kern w:val="0"/>
        </w:rPr>
        <w:t xml:space="preserve"> and </w:t>
      </w:r>
      <w:r>
        <w:rPr>
          <w:kern w:val="0"/>
        </w:rPr>
        <w:t>supported by FTIR. The cadmium removal</w:t>
      </w:r>
      <w:r w:rsidR="00F81221">
        <w:rPr>
          <w:kern w:val="0"/>
        </w:rPr>
        <w:t xml:space="preserve"> and </w:t>
      </w:r>
      <w:r>
        <w:rPr>
          <w:kern w:val="0"/>
        </w:rPr>
        <w:t>the surface modification are also confirmed by SEM studies.</w:t>
      </w:r>
    </w:p>
    <w:p w:rsidR="002F4867" w:rsidRDefault="002F4867" w:rsidP="002F4867">
      <w:pPr>
        <w:pStyle w:val="a0"/>
        <w:rPr>
          <w:kern w:val="0"/>
        </w:rPr>
      </w:pPr>
      <w:r>
        <w:rPr>
          <w:kern w:val="0"/>
        </w:rPr>
        <w:t xml:space="preserve">Keywords: Acid Activation, Acid Treatment, Acid-Treatment, Activated Carbon, Activated Carbon, Adsorbent, Adsorption, Aqueous Solution, Aqueous Solutions, Biosorbent, Breakthrough, Cadmium, Cadmium Ions, Carbon, Carbon Granules, Characteristics, Column, Concentration, Data, Desorption, Flow, Flow Rate, Freundlich, FTIR, Ion Exchange, Ion-Exchange, Ionexchange, Ions, Isotherms, Kinetic, Kinetic Studies, Langmuir, Mechanism, Mechanism of Adsorption, Metal, Model, Modification, Moisture, Particle Size, Peat, </w:t>
      </w:r>
      <w:r>
        <w:rPr>
          <w:rFonts w:hint="eastAsia"/>
          <w:kern w:val="0"/>
        </w:rPr>
        <w:t>p</w:t>
      </w:r>
      <w:r>
        <w:rPr>
          <w:kern w:val="0"/>
        </w:rPr>
        <w:t>H, Phenol, Phosphoric Acid, Phosphorylated Tamarind Nut Carbon, Porosity, Potential, Power, Pseudo Second Order, Pseudo-Second Order, Pseudo-Second Order Model, Pseudo-Second-Order, Removal, SEM, Si, Size, Solution, Solutions, Sorption, Surface, Surface Area, Surface Modification, Treatment, Wastewater, Wastewater Treatment</w:t>
      </w:r>
    </w:p>
    <w:p w:rsidR="00B95188" w:rsidRPr="00A428C3" w:rsidRDefault="00B95188" w:rsidP="00B95188">
      <w:pPr>
        <w:pStyle w:val="1"/>
      </w:pPr>
      <w:r w:rsidRPr="00A428C3">
        <w:br w:type="page"/>
      </w:r>
      <w:bookmarkStart w:id="856" w:name="_Toc186647830"/>
      <w:bookmarkStart w:id="857" w:name="_Toc317161121"/>
      <w:r w:rsidRPr="00A428C3">
        <w:lastRenderedPageBreak/>
        <w:t>Title: Indian Journal of Environment &amp; Ecoplanning</w:t>
      </w:r>
      <w:bookmarkEnd w:id="856"/>
      <w:bookmarkEnd w:id="857"/>
    </w:p>
    <w:p w:rsidR="00B95188" w:rsidRPr="00A428C3" w:rsidRDefault="00B95188" w:rsidP="00B72EF9">
      <w:pPr>
        <w:pStyle w:val="12"/>
      </w:pPr>
      <w:r w:rsidRPr="00A428C3">
        <w:t>Full Journal Title: Indian Journal of Environment &amp; Ecoplanning</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Kumar, K.V., Sivanesan, S.</w:t>
      </w:r>
      <w:r w:rsidR="00F81221">
        <w:t xml:space="preserve"> and </w:t>
      </w:r>
      <w:r w:rsidRPr="00A428C3">
        <w:t xml:space="preserve">Ramamurthi, V. (2004), Dynamic studies for the sorption of Methylene blue onto fly ash. </w:t>
      </w:r>
      <w:r w:rsidRPr="00A428C3">
        <w:rPr>
          <w:i/>
          <w:iCs/>
        </w:rPr>
        <w:t>Indian Journal of Environment &amp; Ecoplanning</w:t>
      </w:r>
      <w:r w:rsidRPr="00A428C3">
        <w:t xml:space="preserve">, </w:t>
      </w:r>
      <w:r w:rsidRPr="00A428C3">
        <w:rPr>
          <w:b/>
        </w:rPr>
        <w:t>8</w:t>
      </w:r>
      <w:r w:rsidRPr="00A428C3">
        <w:t xml:space="preserve"> (1), 59-62.</w:t>
      </w:r>
    </w:p>
    <w:p w:rsidR="00B95188" w:rsidRPr="00A428C3" w:rsidRDefault="00B95188" w:rsidP="00B95188">
      <w:pPr>
        <w:pStyle w:val="1"/>
      </w:pPr>
      <w:r w:rsidRPr="00A428C3">
        <w:br w:type="page"/>
      </w:r>
      <w:bookmarkStart w:id="858" w:name="_Toc455569469"/>
      <w:bookmarkStart w:id="859" w:name="_Toc487190709"/>
      <w:bookmarkStart w:id="860" w:name="_Toc487882214"/>
      <w:bookmarkStart w:id="861" w:name="_Toc490688033"/>
      <w:bookmarkStart w:id="862" w:name="_Toc492812143"/>
      <w:bookmarkStart w:id="863" w:name="_Toc186647831"/>
      <w:bookmarkStart w:id="864" w:name="_Toc317161122"/>
      <w:r w:rsidRPr="00A428C3">
        <w:lastRenderedPageBreak/>
        <w:t>Title: Indian Journal of Environmental Health</w:t>
      </w:r>
      <w:bookmarkEnd w:id="858"/>
      <w:bookmarkEnd w:id="859"/>
      <w:bookmarkEnd w:id="860"/>
      <w:bookmarkEnd w:id="861"/>
      <w:bookmarkEnd w:id="862"/>
      <w:bookmarkEnd w:id="863"/>
      <w:bookmarkEnd w:id="864"/>
    </w:p>
    <w:p w:rsidR="00B95188" w:rsidRPr="00BD4C45" w:rsidRDefault="00B95188" w:rsidP="00B72EF9">
      <w:pPr>
        <w:pStyle w:val="12"/>
      </w:pPr>
      <w:r w:rsidRPr="00BD4C45">
        <w:t>Full Journal Title: Indian Journal of Environmental Health</w:t>
      </w:r>
    </w:p>
    <w:p w:rsidR="00B95188" w:rsidRPr="00BD4C45" w:rsidRDefault="00B95188" w:rsidP="00B72EF9">
      <w:pPr>
        <w:pStyle w:val="12"/>
      </w:pPr>
      <w:r w:rsidRPr="00BD4C45">
        <w:t xml:space="preserve">ISO Abbreviated Title: </w:t>
      </w:r>
    </w:p>
    <w:p w:rsidR="00B95188" w:rsidRPr="00BD4C45" w:rsidRDefault="00B95188" w:rsidP="00B72EF9">
      <w:pPr>
        <w:pStyle w:val="12"/>
      </w:pPr>
      <w:r w:rsidRPr="00BD4C45">
        <w:t>JCR Abbreviated Title:</w:t>
      </w:r>
    </w:p>
    <w:p w:rsidR="00B95188" w:rsidRPr="00BD4C45" w:rsidRDefault="00B95188" w:rsidP="00B72EF9">
      <w:pPr>
        <w:pStyle w:val="12"/>
      </w:pPr>
      <w:r w:rsidRPr="00BD4C45">
        <w:t>ISSN: 0367-8318</w:t>
      </w:r>
    </w:p>
    <w:p w:rsidR="00B95188" w:rsidRPr="00BD4C45" w:rsidRDefault="00B95188" w:rsidP="00B72EF9">
      <w:pPr>
        <w:pStyle w:val="12"/>
      </w:pPr>
      <w:r w:rsidRPr="00BD4C45">
        <w:t>Issues/Year: 12</w:t>
      </w:r>
    </w:p>
    <w:p w:rsidR="00B95188" w:rsidRPr="00BD4C45" w:rsidRDefault="00B95188" w:rsidP="00B72EF9">
      <w:pPr>
        <w:pStyle w:val="12"/>
      </w:pPr>
      <w:r w:rsidRPr="00BD4C45">
        <w:t>Journal Country/Territory: India</w:t>
      </w:r>
    </w:p>
    <w:p w:rsidR="00B95188" w:rsidRPr="00BD4C45" w:rsidRDefault="00B95188" w:rsidP="00B72EF9">
      <w:pPr>
        <w:pStyle w:val="12"/>
      </w:pPr>
      <w:r w:rsidRPr="00BD4C45">
        <w:t>Language: English</w:t>
      </w:r>
    </w:p>
    <w:p w:rsidR="00B95188" w:rsidRPr="00BD4C45" w:rsidRDefault="00B95188" w:rsidP="00B72EF9">
      <w:pPr>
        <w:pStyle w:val="12"/>
      </w:pPr>
      <w:r w:rsidRPr="00BD4C45">
        <w:t>Publisher: Indian Counc Agricultural Res</w:t>
      </w:r>
    </w:p>
    <w:p w:rsidR="00B95188" w:rsidRPr="00BD4C45" w:rsidRDefault="00B95188" w:rsidP="00B72EF9">
      <w:pPr>
        <w:pStyle w:val="12"/>
      </w:pPr>
      <w:r w:rsidRPr="00BD4C45">
        <w:t>Publisher Address: Icar Bhawan Pusa, New Delhi 110 012, India</w:t>
      </w:r>
    </w:p>
    <w:p w:rsidR="00B95188" w:rsidRPr="00BD4C45" w:rsidRDefault="00B95188" w:rsidP="00B72EF9">
      <w:pPr>
        <w:pStyle w:val="12"/>
      </w:pPr>
      <w:r w:rsidRPr="00BD4C45">
        <w:t>Subject Categories:</w:t>
      </w:r>
    </w:p>
    <w:p w:rsidR="00B95188" w:rsidRPr="00BD4C45" w:rsidRDefault="00B95188" w:rsidP="00B72EF9">
      <w:pPr>
        <w:pStyle w:val="12"/>
      </w:pPr>
      <w:r w:rsidRPr="00BD4C45">
        <w:t>Agriculture: Impact Factor</w:t>
      </w:r>
    </w:p>
    <w:p w:rsidR="00B95188" w:rsidRPr="00BD4C45" w:rsidRDefault="00B95188" w:rsidP="00B72EF9">
      <w:pPr>
        <w:pStyle w:val="12"/>
      </w:pPr>
      <w:r w:rsidRPr="00BD4C45">
        <w:t>Dairy &amp; Animal Science: Impact Factor</w:t>
      </w:r>
    </w:p>
    <w:p w:rsidR="00B95188" w:rsidRPr="00A428C3" w:rsidRDefault="00B95188" w:rsidP="00B95188">
      <w:pPr>
        <w:pStyle w:val="a0"/>
      </w:pPr>
      <w:r w:rsidRPr="00A428C3">
        <w:t>Bulusu, K.R., Kulkarni, D.N.</w:t>
      </w:r>
      <w:r w:rsidR="00F81221">
        <w:t xml:space="preserve"> and </w:t>
      </w:r>
      <w:r w:rsidRPr="00A428C3">
        <w:t xml:space="preserve">Lutade, S.L. (1978), Phoaphate removal by Sepentine mineral. </w:t>
      </w:r>
      <w:r w:rsidRPr="00A428C3">
        <w:rPr>
          <w:i/>
        </w:rPr>
        <w:t>Indian Journal of Environmental Health</w:t>
      </w:r>
      <w:r w:rsidRPr="00A428C3">
        <w:t xml:space="preserve">, </w:t>
      </w:r>
      <w:r w:rsidRPr="00A428C3">
        <w:rPr>
          <w:b/>
        </w:rPr>
        <w:t>20</w:t>
      </w:r>
      <w:r w:rsidRPr="00A428C3">
        <w:t>, 268-271.</w:t>
      </w:r>
    </w:p>
    <w:p w:rsidR="00B95188" w:rsidRPr="00A428C3" w:rsidRDefault="00B95188" w:rsidP="00B95188">
      <w:pPr>
        <w:pStyle w:val="a0"/>
      </w:pPr>
      <w:r w:rsidRPr="00A428C3">
        <w:t xml:space="preserve">Full Text: </w:t>
      </w:r>
      <w:hyperlink r:id="rId948" w:history="1">
        <w:r w:rsidRPr="00A428C3">
          <w:rPr>
            <w:rStyle w:val="a5"/>
          </w:rPr>
          <w:t>I\Ind J Env Hea20, 268.pdf</w:t>
        </w:r>
      </w:hyperlink>
    </w:p>
    <w:p w:rsidR="00B95188" w:rsidRPr="00A428C3" w:rsidRDefault="00B95188" w:rsidP="00B95188">
      <w:pPr>
        <w:pStyle w:val="a0"/>
      </w:pPr>
      <w:r w:rsidRPr="00A428C3">
        <w:t>Kumar, P.</w:t>
      </w:r>
      <w:r w:rsidR="00F81221">
        <w:t xml:space="preserve"> and </w:t>
      </w:r>
      <w:r w:rsidRPr="00A428C3">
        <w:t xml:space="preserve">Dara, S.S. (1980), Modified barks for scavenging toxic heavy metal ions. </w:t>
      </w:r>
      <w:r w:rsidRPr="00A428C3">
        <w:rPr>
          <w:i/>
        </w:rPr>
        <w:t>Indian Journal of Environmental Health</w:t>
      </w:r>
      <w:r w:rsidRPr="00A428C3">
        <w:t xml:space="preserve">, </w:t>
      </w:r>
      <w:r w:rsidRPr="00A428C3">
        <w:rPr>
          <w:b/>
        </w:rPr>
        <w:t>22</w:t>
      </w:r>
      <w:r w:rsidRPr="00A428C3">
        <w:t xml:space="preserve"> (3), 196-202.</w:t>
      </w:r>
    </w:p>
    <w:p w:rsidR="00B95188" w:rsidRPr="00A428C3" w:rsidRDefault="00B95188" w:rsidP="00B95188">
      <w:pPr>
        <w:pStyle w:val="a0"/>
      </w:pPr>
      <w:r w:rsidRPr="00A428C3">
        <w:t>Periasamy, K., Srinivasan, K.</w:t>
      </w:r>
      <w:r w:rsidR="00F81221">
        <w:t xml:space="preserve"> and </w:t>
      </w:r>
      <w:r w:rsidRPr="00A428C3">
        <w:t xml:space="preserve">Murugan, P.K. (1988), Studies on chromium removal by rice husk carbon. </w:t>
      </w:r>
      <w:r w:rsidRPr="00A428C3">
        <w:rPr>
          <w:i/>
        </w:rPr>
        <w:t>Indian Journal of Environmental Health</w:t>
      </w:r>
      <w:r w:rsidRPr="00A428C3">
        <w:t xml:space="preserve">, </w:t>
      </w:r>
      <w:r w:rsidRPr="00A428C3">
        <w:rPr>
          <w:b/>
        </w:rPr>
        <w:t>30</w:t>
      </w:r>
      <w:r w:rsidRPr="00A428C3">
        <w:t>, 376-387.</w:t>
      </w:r>
    </w:p>
    <w:p w:rsidR="00B95188" w:rsidRPr="00A428C3" w:rsidRDefault="00B95188" w:rsidP="00B95188">
      <w:pPr>
        <w:pStyle w:val="a0"/>
      </w:pPr>
      <w:r w:rsidRPr="00A428C3">
        <w:t xml:space="preserve">Full Text: </w:t>
      </w:r>
      <w:hyperlink r:id="rId949" w:history="1">
        <w:r w:rsidRPr="00A428C3">
          <w:rPr>
            <w:rStyle w:val="a5"/>
          </w:rPr>
          <w:t>I\Ind J Env Hea30, 376.pdf</w:t>
        </w:r>
      </w:hyperlink>
    </w:p>
    <w:p w:rsidR="00B95188" w:rsidRPr="00A428C3" w:rsidRDefault="00B95188" w:rsidP="00B95188">
      <w:pPr>
        <w:pStyle w:val="a0"/>
      </w:pPr>
      <w:r w:rsidRPr="00A428C3">
        <w:t>Periasamy, K., Srinivasan, K.</w:t>
      </w:r>
      <w:r w:rsidR="00F81221">
        <w:t xml:space="preserve"> and </w:t>
      </w:r>
      <w:r w:rsidRPr="00A428C3">
        <w:t xml:space="preserve">Murugan, P.K. (1991), Studies on chromium(VI) removal by activated groundnut husk carbon. </w:t>
      </w:r>
      <w:r w:rsidRPr="00A428C3">
        <w:rPr>
          <w:i/>
        </w:rPr>
        <w:t>Indian Journal of Environmental Health</w:t>
      </w:r>
      <w:r w:rsidRPr="00A428C3">
        <w:t xml:space="preserve">, </w:t>
      </w:r>
      <w:r w:rsidRPr="00A428C3">
        <w:rPr>
          <w:b/>
        </w:rPr>
        <w:t>33</w:t>
      </w:r>
      <w:r w:rsidRPr="00A428C3">
        <w:t>, 433-439.</w:t>
      </w:r>
    </w:p>
    <w:p w:rsidR="00B95188" w:rsidRPr="00A428C3" w:rsidRDefault="00B95188" w:rsidP="00B95188">
      <w:pPr>
        <w:pStyle w:val="a0"/>
      </w:pPr>
      <w:r w:rsidRPr="00A428C3">
        <w:t xml:space="preserve">Full Text: </w:t>
      </w:r>
      <w:hyperlink r:id="rId950" w:history="1">
        <w:r w:rsidRPr="00A428C3">
          <w:rPr>
            <w:rStyle w:val="a5"/>
          </w:rPr>
          <w:t>I\Ind J Env Hea33, 433.pdf</w:t>
        </w:r>
      </w:hyperlink>
    </w:p>
    <w:p w:rsidR="00960D57" w:rsidRPr="00A428C3" w:rsidRDefault="00960D57" w:rsidP="00960D57">
      <w:pPr>
        <w:pStyle w:val="a0"/>
      </w:pPr>
      <w:r>
        <w:rPr>
          <w:rFonts w:hint="eastAsia"/>
        </w:rPr>
        <w:t>?</w:t>
      </w:r>
      <w:r w:rsidRPr="00960D57">
        <w:t xml:space="preserve"> </w:t>
      </w:r>
      <w:r>
        <w:t>Singh, D.K.</w:t>
      </w:r>
      <w:r w:rsidR="00F81221">
        <w:rPr>
          <w:rFonts w:hint="eastAsia"/>
        </w:rPr>
        <w:t xml:space="preserve"> and </w:t>
      </w:r>
      <w:r>
        <w:t>Lal, J.</w:t>
      </w:r>
      <w:r w:rsidRPr="00A428C3">
        <w:t xml:space="preserve"> (199</w:t>
      </w:r>
      <w:r>
        <w:rPr>
          <w:rFonts w:hint="eastAsia"/>
        </w:rPr>
        <w:t>2</w:t>
      </w:r>
      <w:r w:rsidRPr="00A428C3">
        <w:t xml:space="preserve">), </w:t>
      </w:r>
      <w:r>
        <w:t>Removal of chromium(VI) from aqueous solutions using waste tea leaves carbon</w:t>
      </w:r>
      <w:r w:rsidRPr="00A428C3">
        <w:t xml:space="preserve">. </w:t>
      </w:r>
      <w:r w:rsidRPr="00A428C3">
        <w:rPr>
          <w:i/>
        </w:rPr>
        <w:t>Indian Journal of Environmental Health</w:t>
      </w:r>
      <w:r w:rsidRPr="00A428C3">
        <w:t xml:space="preserve">, </w:t>
      </w:r>
      <w:r w:rsidRPr="00A428C3">
        <w:rPr>
          <w:b/>
        </w:rPr>
        <w:t>3</w:t>
      </w:r>
      <w:r>
        <w:rPr>
          <w:rFonts w:hint="eastAsia"/>
          <w:b/>
        </w:rPr>
        <w:t>4</w:t>
      </w:r>
      <w:r>
        <w:rPr>
          <w:rFonts w:hint="eastAsia"/>
        </w:rPr>
        <w:t xml:space="preserve"> (2),</w:t>
      </w:r>
      <w:r w:rsidRPr="00A428C3">
        <w:t xml:space="preserve"> </w:t>
      </w:r>
      <w:r>
        <w:t>108-113</w:t>
      </w:r>
      <w:r w:rsidRPr="00A428C3">
        <w:t>.</w:t>
      </w:r>
    </w:p>
    <w:p w:rsidR="00960D57" w:rsidRDefault="00960D57" w:rsidP="00960D57">
      <w:pPr>
        <w:pStyle w:val="a0"/>
      </w:pPr>
      <w:r w:rsidRPr="00A428C3">
        <w:t xml:space="preserve">Full Text: </w:t>
      </w:r>
      <w:r w:rsidRPr="00960D57">
        <w:t>Ind J Env Hea3</w:t>
      </w:r>
      <w:r>
        <w:rPr>
          <w:rFonts w:hint="eastAsia"/>
        </w:rPr>
        <w:t>4</w:t>
      </w:r>
      <w:r w:rsidRPr="00960D57">
        <w:t xml:space="preserve">, </w:t>
      </w:r>
      <w:r>
        <w:rPr>
          <w:rFonts w:hint="eastAsia"/>
        </w:rPr>
        <w:t>108</w:t>
      </w:r>
      <w:r w:rsidRPr="00960D57">
        <w:t>.pdf</w:t>
      </w:r>
    </w:p>
    <w:p w:rsidR="00960D57" w:rsidRDefault="00960D57" w:rsidP="00B95188">
      <w:pPr>
        <w:pStyle w:val="a0"/>
      </w:pPr>
      <w:r>
        <w:t>Abstract: The waste tea leaves have been converted into cheap carbonaceous adsorbent material by sulfuric acid treatment. This product exhibits a good adsorption potential for chromium (VI) with a peak value at pH apprx 2. IR data indicate that Cr-2O-72- is the major Cr(VI) species involved in surface association of tea leaves carbon (TLC). Some column studies have been performed with a view of removal/recovery of Cr(VI)</w:t>
      </w:r>
      <w:r w:rsidR="00F81221">
        <w:t xml:space="preserve"> and </w:t>
      </w:r>
      <w:r>
        <w:t xml:space="preserve">chemical regeneration of the adsorbent material. The breakthrough capacity was found to be 39.3 mg/g for Cr(VI). The column packed with developed carbon has been reported to remove Cr(VI) from the waste effluent of the chromium </w:t>
      </w:r>
      <w:r>
        <w:lastRenderedPageBreak/>
        <w:t>plating shop.</w:t>
      </w:r>
    </w:p>
    <w:p w:rsidR="00B95188" w:rsidRPr="00A428C3" w:rsidRDefault="00B95188" w:rsidP="00B95188">
      <w:pPr>
        <w:pStyle w:val="a0"/>
      </w:pPr>
      <w:r w:rsidRPr="00A428C3">
        <w:t>Singh, D.K., Tiwari, D.P.</w:t>
      </w:r>
      <w:r w:rsidR="00F81221">
        <w:t xml:space="preserve"> and </w:t>
      </w:r>
      <w:r w:rsidRPr="00A428C3">
        <w:t xml:space="preserve">Saksena, D.N. (1993), </w:t>
      </w:r>
      <w:r w:rsidRPr="00A428C3">
        <w:rPr>
          <w:color w:val="000000"/>
        </w:rPr>
        <w:t>Removal of lead from aqueous solution by chemically treated used tea leaves</w:t>
      </w:r>
      <w:r w:rsidRPr="00A428C3">
        <w:t xml:space="preserve">. </w:t>
      </w:r>
      <w:r w:rsidRPr="00A428C3">
        <w:rPr>
          <w:i/>
        </w:rPr>
        <w:t>Indian Journal of Environmental Health</w:t>
      </w:r>
      <w:r w:rsidRPr="00A428C3">
        <w:t xml:space="preserve">, </w:t>
      </w:r>
      <w:r w:rsidRPr="00A428C3">
        <w:rPr>
          <w:b/>
        </w:rPr>
        <w:t>35</w:t>
      </w:r>
      <w:r w:rsidR="00960D57">
        <w:rPr>
          <w:rFonts w:hint="eastAsia"/>
        </w:rPr>
        <w:t xml:space="preserve"> (3),</w:t>
      </w:r>
      <w:r w:rsidRPr="00A428C3">
        <w:t xml:space="preserve"> 169-177.</w:t>
      </w:r>
    </w:p>
    <w:p w:rsidR="00B95188" w:rsidRDefault="00B95188" w:rsidP="00B95188">
      <w:pPr>
        <w:pStyle w:val="a0"/>
      </w:pPr>
      <w:r w:rsidRPr="00A428C3">
        <w:t xml:space="preserve">Full Text: </w:t>
      </w:r>
      <w:hyperlink r:id="rId951" w:history="1">
        <w:r w:rsidRPr="00A428C3">
          <w:rPr>
            <w:rStyle w:val="a5"/>
          </w:rPr>
          <w:t>I\Ind J Env Hea35, 169.pdf</w:t>
        </w:r>
      </w:hyperlink>
    </w:p>
    <w:p w:rsidR="00960D57" w:rsidRPr="00A428C3" w:rsidRDefault="00960D57" w:rsidP="00B95188">
      <w:pPr>
        <w:pStyle w:val="a0"/>
      </w:pPr>
      <w:r w:rsidRPr="00960D57">
        <w:t>Abstract: Used tea leaves powder treated with formaldehyde</w:t>
      </w:r>
      <w:r w:rsidR="00F81221">
        <w:t xml:space="preserve"> and </w:t>
      </w:r>
      <w:r w:rsidRPr="00960D57">
        <w:t>sulphuric acid has been studied</w:t>
      </w:r>
      <w:r>
        <w:t xml:space="preserve"> as a sorbent for removal of Pb</w:t>
      </w:r>
      <w:r w:rsidRPr="00960D57">
        <w:rPr>
          <w:vertAlign w:val="superscript"/>
        </w:rPr>
        <w:t>2+</w:t>
      </w:r>
      <w:r w:rsidRPr="00960D57">
        <w:t xml:space="preserve"> from aqueous solutions. Effect of contact time, initial concentration, pH</w:t>
      </w:r>
      <w:r w:rsidR="00F81221">
        <w:t xml:space="preserve"> and </w:t>
      </w:r>
      <w:r w:rsidRPr="00960D57">
        <w:t>temperature has been studied. Sorption capacities by batch</w:t>
      </w:r>
      <w:r w:rsidR="00F81221">
        <w:t xml:space="preserve"> and </w:t>
      </w:r>
      <w:r w:rsidRPr="00960D57">
        <w:t>column experiments have been estimated. Sorption on treated tea leaves (TTL) powder followed langmuir</w:t>
      </w:r>
      <w:r w:rsidR="00F81221">
        <w:t xml:space="preserve"> and </w:t>
      </w:r>
      <w:r w:rsidRPr="00960D57">
        <w:t>Freundlich adsorption models. The sorption capacity determined for different heavy metal ions re</w:t>
      </w:r>
      <w:r>
        <w:t>sulted in the selectivity order</w:t>
      </w:r>
      <w:r w:rsidRPr="00960D57">
        <w:t>: Pb</w:t>
      </w:r>
      <w:r w:rsidRPr="00960D57">
        <w:rPr>
          <w:vertAlign w:val="superscript"/>
        </w:rPr>
        <w:t>2+</w:t>
      </w:r>
      <w:r w:rsidRPr="00960D57">
        <w:t xml:space="preserve"> </w:t>
      </w:r>
      <w:r>
        <w:rPr>
          <w:rFonts w:hint="eastAsia"/>
        </w:rPr>
        <w:t>&gt;</w:t>
      </w:r>
      <w:r w:rsidRPr="00960D57">
        <w:t xml:space="preserve"> Hg</w:t>
      </w:r>
      <w:r w:rsidRPr="00960D57">
        <w:rPr>
          <w:vertAlign w:val="superscript"/>
        </w:rPr>
        <w:t>2+</w:t>
      </w:r>
      <w:r w:rsidRPr="00960D57">
        <w:t xml:space="preserve"> </w:t>
      </w:r>
      <w:r>
        <w:rPr>
          <w:rFonts w:hint="eastAsia"/>
        </w:rPr>
        <w:t>&gt;</w:t>
      </w:r>
      <w:r w:rsidRPr="00960D57">
        <w:t xml:space="preserve"> Cd</w:t>
      </w:r>
      <w:r w:rsidRPr="00960D57">
        <w:rPr>
          <w:vertAlign w:val="superscript"/>
        </w:rPr>
        <w:t>2+</w:t>
      </w:r>
      <w:r w:rsidRPr="00960D57">
        <w:t xml:space="preserve"> </w:t>
      </w:r>
      <w:r>
        <w:rPr>
          <w:rFonts w:hint="eastAsia"/>
        </w:rPr>
        <w:t>&gt;</w:t>
      </w:r>
      <w:r w:rsidRPr="00960D57">
        <w:t xml:space="preserve"> Ni</w:t>
      </w:r>
      <w:r w:rsidRPr="00960D57">
        <w:rPr>
          <w:vertAlign w:val="superscript"/>
        </w:rPr>
        <w:t>2+</w:t>
      </w:r>
      <w:r w:rsidRPr="00960D57">
        <w:t xml:space="preserve"> </w:t>
      </w:r>
      <w:r>
        <w:rPr>
          <w:rFonts w:hint="eastAsia"/>
        </w:rPr>
        <w:t>&gt;</w:t>
      </w:r>
      <w:r w:rsidRPr="00960D57">
        <w:t xml:space="preserve"> C</w:t>
      </w:r>
      <w:r>
        <w:rPr>
          <w:rFonts w:hint="eastAsia"/>
        </w:rPr>
        <w:t>u</w:t>
      </w:r>
      <w:r w:rsidRPr="00960D57">
        <w:rPr>
          <w:vertAlign w:val="superscript"/>
        </w:rPr>
        <w:t>2+</w:t>
      </w:r>
      <w:r w:rsidRPr="00960D57">
        <w:t>. Design application for batch sorber has also been suggested.</w:t>
      </w:r>
    </w:p>
    <w:p w:rsidR="00BD4C45" w:rsidRPr="00A428C3" w:rsidRDefault="00BD4C45" w:rsidP="00BD4C45">
      <w:pPr>
        <w:pStyle w:val="a0"/>
      </w:pPr>
      <w:r>
        <w:rPr>
          <w:rFonts w:hint="eastAsia"/>
        </w:rPr>
        <w:t>?</w:t>
      </w:r>
      <w:r w:rsidRPr="00BD4C45">
        <w:t xml:space="preserve"> </w:t>
      </w:r>
      <w:r>
        <w:t>Swamy, M.M</w:t>
      </w:r>
      <w:r>
        <w:rPr>
          <w:rFonts w:hint="eastAsia"/>
        </w:rPr>
        <w:t>.,</w:t>
      </w:r>
      <w:r>
        <w:t xml:space="preserve"> Mall, I.D.</w:t>
      </w:r>
      <w:r>
        <w:rPr>
          <w:rFonts w:hint="eastAsia"/>
        </w:rPr>
        <w:t>,</w:t>
      </w:r>
      <w:r>
        <w:t xml:space="preserve"> Prasad, B.</w:t>
      </w:r>
      <w:r w:rsidR="00F81221">
        <w:rPr>
          <w:rFonts w:hint="eastAsia"/>
        </w:rPr>
        <w:t xml:space="preserve"> and </w:t>
      </w:r>
      <w:r>
        <w:t>Mishra, I.M.</w:t>
      </w:r>
      <w:r w:rsidRPr="00A428C3">
        <w:t xml:space="preserve"> (199</w:t>
      </w:r>
      <w:r>
        <w:rPr>
          <w:rFonts w:hint="eastAsia"/>
        </w:rPr>
        <w:t>8</w:t>
      </w:r>
      <w:r w:rsidRPr="00A428C3">
        <w:t xml:space="preserve">), </w:t>
      </w:r>
      <w:r>
        <w:t>Sorption characteristics on o-cresol on bagasse fly ash</w:t>
      </w:r>
      <w:r w:rsidR="00F81221">
        <w:t xml:space="preserve"> and </w:t>
      </w:r>
      <w:r>
        <w:t>activated carbon</w:t>
      </w:r>
      <w:r w:rsidRPr="00A428C3">
        <w:t xml:space="preserve">. </w:t>
      </w:r>
      <w:r w:rsidRPr="00A428C3">
        <w:rPr>
          <w:i/>
        </w:rPr>
        <w:t>Indian Journal of Environmental Health</w:t>
      </w:r>
      <w:r w:rsidRPr="00A428C3">
        <w:t xml:space="preserve">, </w:t>
      </w:r>
      <w:r>
        <w:rPr>
          <w:rFonts w:hint="eastAsia"/>
          <w:b/>
        </w:rPr>
        <w:t>40</w:t>
      </w:r>
      <w:r>
        <w:rPr>
          <w:rFonts w:hint="eastAsia"/>
        </w:rPr>
        <w:t xml:space="preserve"> (1),</w:t>
      </w:r>
      <w:r w:rsidRPr="00A428C3">
        <w:t xml:space="preserve"> </w:t>
      </w:r>
      <w:r>
        <w:t>67-78</w:t>
      </w:r>
      <w:r w:rsidRPr="00A428C3">
        <w:t>.</w:t>
      </w:r>
    </w:p>
    <w:p w:rsidR="00BD4C45" w:rsidRDefault="00BD4C45" w:rsidP="00BD4C45">
      <w:pPr>
        <w:pStyle w:val="a0"/>
      </w:pPr>
      <w:r w:rsidRPr="00A428C3">
        <w:t xml:space="preserve">Full Text: </w:t>
      </w:r>
      <w:r>
        <w:t>I</w:t>
      </w:r>
      <w:r w:rsidRPr="00BD4C45">
        <w:t xml:space="preserve">nd J Env Hea35, </w:t>
      </w:r>
      <w:r>
        <w:rPr>
          <w:rFonts w:hint="eastAsia"/>
        </w:rPr>
        <w:t>67</w:t>
      </w:r>
      <w:r w:rsidRPr="00BD4C45">
        <w:t>.pdf</w:t>
      </w:r>
    </w:p>
    <w:p w:rsidR="00BD4C45" w:rsidRDefault="00BD4C45" w:rsidP="00BD4C45">
      <w:pPr>
        <w:pStyle w:val="a0"/>
      </w:pPr>
      <w:r>
        <w:t>Abstract: Bagasee flyash, a waste generated in sugar industry from bagasse fired boilers, was found to be a good adsorbent for o-Cresol in aqueous solutions. Batch studies indicated that the percent removal decreased with increasing initial concentration of O- Cresol. At the initial concentration of 100 mg dm</w:t>
      </w:r>
      <w:r w:rsidRPr="00BD4C45">
        <w:rPr>
          <w:vertAlign w:val="superscript"/>
        </w:rPr>
        <w:t>-3</w:t>
      </w:r>
      <w:r>
        <w:t>, 81 percent removal of o-Cresol was obtained. Adsorption confirmed to both Freundlich</w:t>
      </w:r>
      <w:r w:rsidR="00F81221">
        <w:t xml:space="preserve"> and </w:t>
      </w:r>
      <w:r>
        <w:t>Langmuir isotherms. Kinetic modelling of the removal of o-Cresol was obtained. Adsorption confirmed to both Freundlich</w:t>
      </w:r>
      <w:r w:rsidR="00F81221">
        <w:t xml:space="preserve"> and </w:t>
      </w:r>
      <w:r>
        <w:t>Langmuir isotherms, kinetic modelling of the removal of o-Cresol was done using Lagergren first order rate expression. Column experiments indicated that the adsorbed amount of o-Cresol decreased with increasing flow rate</w:t>
      </w:r>
      <w:r w:rsidR="00F81221">
        <w:t xml:space="preserve"> and </w:t>
      </w:r>
      <w:r>
        <w:t>decreased bed height. The BDST model was found applicable.</w:t>
      </w:r>
    </w:p>
    <w:p w:rsidR="00B95188" w:rsidRPr="00A428C3" w:rsidRDefault="00B95188" w:rsidP="00B95188">
      <w:pPr>
        <w:pStyle w:val="1"/>
      </w:pPr>
      <w:r w:rsidRPr="00A428C3">
        <w:br w:type="page"/>
      </w:r>
      <w:bookmarkStart w:id="865" w:name="_Toc455569470"/>
      <w:bookmarkStart w:id="866" w:name="_Toc487190710"/>
      <w:bookmarkStart w:id="867" w:name="_Toc487882215"/>
      <w:bookmarkStart w:id="868" w:name="_Toc490688034"/>
      <w:bookmarkStart w:id="869" w:name="_Toc492812144"/>
      <w:bookmarkStart w:id="870" w:name="_Toc186647832"/>
      <w:bookmarkStart w:id="871" w:name="_Toc317161123"/>
      <w:r w:rsidRPr="00A428C3">
        <w:lastRenderedPageBreak/>
        <w:t>Title: Indian Journal of Environmental Protection</w:t>
      </w:r>
      <w:bookmarkEnd w:id="865"/>
      <w:bookmarkEnd w:id="866"/>
      <w:bookmarkEnd w:id="867"/>
      <w:bookmarkEnd w:id="868"/>
      <w:bookmarkEnd w:id="869"/>
      <w:bookmarkEnd w:id="870"/>
      <w:bookmarkEnd w:id="871"/>
    </w:p>
    <w:p w:rsidR="00B95188" w:rsidRPr="00A428C3" w:rsidRDefault="00B95188" w:rsidP="00B95188">
      <w:pPr>
        <w:pStyle w:val="a0"/>
      </w:pPr>
      <w:r w:rsidRPr="00A428C3">
        <w:t>(Indian J. Environ. Prot.; Indian J. Environ. Protection)</w:t>
      </w:r>
    </w:p>
    <w:p w:rsidR="00960D57" w:rsidRPr="00217FB1" w:rsidRDefault="00960D57" w:rsidP="00B72EF9">
      <w:pPr>
        <w:pStyle w:val="12"/>
      </w:pPr>
      <w:r w:rsidRPr="00217FB1">
        <w:t xml:space="preserve">Full Journal Title: </w:t>
      </w:r>
      <w:r w:rsidRPr="00A428C3">
        <w:t>Indian Journal of Environmental Protection</w:t>
      </w:r>
    </w:p>
    <w:p w:rsidR="00960D57" w:rsidRPr="00217FB1" w:rsidRDefault="00960D57" w:rsidP="00B72EF9">
      <w:pPr>
        <w:pStyle w:val="12"/>
      </w:pPr>
      <w:r w:rsidRPr="00217FB1">
        <w:t xml:space="preserve">ISO Abbreviated Title: </w:t>
      </w:r>
    </w:p>
    <w:p w:rsidR="00960D57" w:rsidRPr="00217FB1" w:rsidRDefault="00960D57" w:rsidP="00B72EF9">
      <w:pPr>
        <w:pStyle w:val="12"/>
      </w:pPr>
      <w:r w:rsidRPr="00217FB1">
        <w:t>JCR Abbreviated Title</w:t>
      </w:r>
      <w:r>
        <w:t>:</w:t>
      </w:r>
      <w:r w:rsidRPr="00217FB1">
        <w:t xml:space="preserve"> </w:t>
      </w:r>
    </w:p>
    <w:p w:rsidR="00960D57" w:rsidRPr="00217FB1" w:rsidRDefault="00960D57" w:rsidP="00B72EF9">
      <w:pPr>
        <w:pStyle w:val="12"/>
      </w:pPr>
      <w:r w:rsidRPr="00217FB1">
        <w:t xml:space="preserve">ISSN: </w:t>
      </w:r>
    </w:p>
    <w:p w:rsidR="00960D57" w:rsidRPr="00217FB1" w:rsidRDefault="00960D57" w:rsidP="00B72EF9">
      <w:pPr>
        <w:pStyle w:val="12"/>
      </w:pPr>
      <w:r w:rsidRPr="00217FB1">
        <w:t xml:space="preserve">Issues/Year: </w:t>
      </w:r>
    </w:p>
    <w:p w:rsidR="00960D57" w:rsidRPr="00217FB1" w:rsidRDefault="00FB5623" w:rsidP="00B72EF9">
      <w:pPr>
        <w:pStyle w:val="12"/>
      </w:pPr>
      <w:r>
        <w:t>Journal Country/Territory:</w:t>
      </w:r>
      <w:r w:rsidR="00960D57" w:rsidRPr="00217FB1">
        <w:t xml:space="preserve"> </w:t>
      </w:r>
    </w:p>
    <w:p w:rsidR="00960D57" w:rsidRPr="00217FB1" w:rsidRDefault="00960D57" w:rsidP="00B72EF9">
      <w:pPr>
        <w:pStyle w:val="12"/>
      </w:pPr>
      <w:r w:rsidRPr="00217FB1">
        <w:t xml:space="preserve">Language: </w:t>
      </w:r>
    </w:p>
    <w:p w:rsidR="00960D57" w:rsidRPr="00217FB1" w:rsidRDefault="00960D57" w:rsidP="00B72EF9">
      <w:pPr>
        <w:pStyle w:val="12"/>
      </w:pPr>
      <w:r w:rsidRPr="00217FB1">
        <w:t xml:space="preserve">Publisher: </w:t>
      </w:r>
    </w:p>
    <w:p w:rsidR="00960D57" w:rsidRPr="00217FB1" w:rsidRDefault="00960D57" w:rsidP="00B72EF9">
      <w:pPr>
        <w:pStyle w:val="12"/>
      </w:pPr>
      <w:r w:rsidRPr="00217FB1">
        <w:t xml:space="preserve">Publisher Address: </w:t>
      </w:r>
    </w:p>
    <w:p w:rsidR="00960D57" w:rsidRPr="00217FB1" w:rsidRDefault="00960D57" w:rsidP="00B72EF9">
      <w:pPr>
        <w:pStyle w:val="12"/>
      </w:pPr>
      <w:r w:rsidRPr="00217FB1">
        <w:t>Subject Categories:</w:t>
      </w:r>
    </w:p>
    <w:p w:rsidR="00960D57" w:rsidRPr="00217FB1" w:rsidRDefault="00960D57" w:rsidP="00B72EF9">
      <w:pPr>
        <w:pStyle w:val="12"/>
      </w:pPr>
      <w:r>
        <w:t xml:space="preserve">: Impact Factor </w:t>
      </w:r>
    </w:p>
    <w:p w:rsidR="00A169A0" w:rsidRDefault="00A169A0" w:rsidP="00FA72A0">
      <w:pPr>
        <w:pStyle w:val="a0"/>
      </w:pPr>
      <w:r>
        <w:rPr>
          <w:rFonts w:hint="eastAsia"/>
        </w:rPr>
        <w:t>?</w:t>
      </w:r>
      <w:r w:rsidRPr="00FA72A0">
        <w:rPr>
          <w:color w:val="000000" w:themeColor="text1"/>
          <w:szCs w:val="24"/>
        </w:rPr>
        <w:t xml:space="preserve"> </w:t>
      </w:r>
      <w:r w:rsidR="00FA72A0" w:rsidRPr="00FA72A0">
        <w:rPr>
          <w:rFonts w:eastAsia="新細明體"/>
          <w:kern w:val="0"/>
          <w:szCs w:val="24"/>
        </w:rPr>
        <w:t>Kannan, N</w:t>
      </w:r>
      <w:r w:rsidR="00FA72A0">
        <w:rPr>
          <w:rFonts w:eastAsia="新細明體" w:hint="eastAsia"/>
          <w:kern w:val="0"/>
          <w:szCs w:val="24"/>
        </w:rPr>
        <w:t>.</w:t>
      </w:r>
      <w:r w:rsidR="00F81221">
        <w:rPr>
          <w:rFonts w:eastAsia="新細明體" w:hint="eastAsia"/>
          <w:kern w:val="0"/>
          <w:szCs w:val="24"/>
        </w:rPr>
        <w:t xml:space="preserve"> and </w:t>
      </w:r>
      <w:r w:rsidR="00FA72A0" w:rsidRPr="00FA72A0">
        <w:rPr>
          <w:rFonts w:eastAsia="新細明體"/>
          <w:kern w:val="0"/>
          <w:szCs w:val="24"/>
        </w:rPr>
        <w:t>Vanangamudi, A</w:t>
      </w:r>
      <w:r w:rsidR="00FA72A0">
        <w:rPr>
          <w:rFonts w:eastAsia="新細明體" w:hint="eastAsia"/>
          <w:kern w:val="0"/>
          <w:szCs w:val="24"/>
        </w:rPr>
        <w:t>.</w:t>
      </w:r>
      <w:r w:rsidRPr="00065E49">
        <w:rPr>
          <w:rFonts w:cstheme="minorHAnsi"/>
          <w:color w:val="000000" w:themeColor="text1"/>
          <w:szCs w:val="24"/>
        </w:rPr>
        <w:t xml:space="preserve"> </w:t>
      </w:r>
      <w:r w:rsidRPr="0013573B">
        <w:rPr>
          <w:rFonts w:cstheme="minorHAnsi"/>
          <w:color w:val="000000" w:themeColor="text1"/>
          <w:szCs w:val="24"/>
        </w:rPr>
        <w:t>(1991)</w:t>
      </w:r>
      <w:r>
        <w:rPr>
          <w:rFonts w:cstheme="minorHAnsi" w:hint="eastAsia"/>
          <w:color w:val="000000" w:themeColor="text1"/>
          <w:szCs w:val="24"/>
        </w:rPr>
        <w:t>,</w:t>
      </w:r>
      <w:r w:rsidRPr="0013573B">
        <w:rPr>
          <w:rFonts w:cstheme="minorHAnsi"/>
          <w:color w:val="000000" w:themeColor="text1"/>
          <w:szCs w:val="24"/>
        </w:rPr>
        <w:t xml:space="preserve"> </w:t>
      </w:r>
      <w:r>
        <w:rPr>
          <w:rFonts w:cstheme="minorHAnsi"/>
          <w:color w:val="000000" w:themeColor="text1"/>
          <w:szCs w:val="24"/>
        </w:rPr>
        <w:t>A study on removal of chromium</w:t>
      </w:r>
      <w:r w:rsidRPr="0013573B">
        <w:rPr>
          <w:rFonts w:cstheme="minorHAnsi"/>
          <w:color w:val="000000" w:themeColor="text1"/>
          <w:szCs w:val="24"/>
        </w:rPr>
        <w:t>(VI) by adsorption on lignite coal</w:t>
      </w:r>
      <w:r>
        <w:rPr>
          <w:rFonts w:cstheme="minorHAnsi"/>
          <w:color w:val="000000" w:themeColor="text1"/>
          <w:szCs w:val="24"/>
        </w:rPr>
        <w:t>.</w:t>
      </w:r>
      <w:r w:rsidRPr="00A428C3">
        <w:t xml:space="preserve"> </w:t>
      </w:r>
      <w:r w:rsidRPr="00A428C3">
        <w:rPr>
          <w:i/>
        </w:rPr>
        <w:t>Indian Journal of Environmental Protection</w:t>
      </w:r>
      <w:r w:rsidRPr="00A428C3">
        <w:t xml:space="preserve">, </w:t>
      </w:r>
      <w:r w:rsidRPr="00A428C3">
        <w:rPr>
          <w:b/>
        </w:rPr>
        <w:t>11</w:t>
      </w:r>
      <w:r w:rsidRPr="00A428C3">
        <w:t xml:space="preserve"> (4), 2</w:t>
      </w:r>
      <w:r>
        <w:rPr>
          <w:rFonts w:hint="eastAsia"/>
        </w:rPr>
        <w:t>41</w:t>
      </w:r>
      <w:r w:rsidRPr="00A428C3">
        <w:t>-2</w:t>
      </w:r>
      <w:r>
        <w:rPr>
          <w:rFonts w:hint="eastAsia"/>
        </w:rPr>
        <w:t>45</w:t>
      </w:r>
      <w:r w:rsidRPr="00A428C3">
        <w:t>.</w:t>
      </w:r>
    </w:p>
    <w:p w:rsidR="00A169A0" w:rsidRPr="00A428C3" w:rsidRDefault="00A169A0" w:rsidP="00A169A0">
      <w:pPr>
        <w:pStyle w:val="a0"/>
      </w:pPr>
      <w:r w:rsidRPr="00A428C3">
        <w:t>Vaishya, R.C.</w:t>
      </w:r>
      <w:r w:rsidR="00F81221">
        <w:t xml:space="preserve"> and </w:t>
      </w:r>
      <w:r w:rsidRPr="00A428C3">
        <w:t xml:space="preserve">Prasad, S.C. (1991), Adsorption of copper(II) on sawdust. </w:t>
      </w:r>
      <w:r w:rsidRPr="00A428C3">
        <w:rPr>
          <w:i/>
        </w:rPr>
        <w:t>Indian Journal of Environmental Protection</w:t>
      </w:r>
      <w:r w:rsidRPr="00A428C3">
        <w:t xml:space="preserve">, </w:t>
      </w:r>
      <w:r w:rsidRPr="00A428C3">
        <w:rPr>
          <w:b/>
        </w:rPr>
        <w:t>11</w:t>
      </w:r>
      <w:r w:rsidRPr="00A428C3">
        <w:t xml:space="preserve"> (4), 284-289.</w:t>
      </w:r>
    </w:p>
    <w:p w:rsidR="00B95188" w:rsidRPr="00A428C3" w:rsidRDefault="00B95188" w:rsidP="00B95188">
      <w:pPr>
        <w:pStyle w:val="a0"/>
      </w:pPr>
      <w:r w:rsidRPr="00A428C3">
        <w:t>Kaur, A., Malik, A.K., Verma, N.</w:t>
      </w:r>
      <w:r w:rsidR="00F81221">
        <w:t xml:space="preserve"> and </w:t>
      </w:r>
      <w:r w:rsidRPr="00A428C3">
        <w:t>Rao, A.L.J. (1991), Removal of copper</w:t>
      </w:r>
      <w:r w:rsidR="00F81221">
        <w:t xml:space="preserve"> and </w:t>
      </w:r>
      <w:r w:rsidRPr="00A428C3">
        <w:t xml:space="preserve">lead from wastewater by adsorption on bottom ash. </w:t>
      </w:r>
      <w:r w:rsidRPr="00A428C3">
        <w:rPr>
          <w:i/>
        </w:rPr>
        <w:t>Indian Journal of Environmental Protection</w:t>
      </w:r>
      <w:r w:rsidRPr="00A428C3">
        <w:t xml:space="preserve">, </w:t>
      </w:r>
      <w:r w:rsidRPr="00A428C3">
        <w:rPr>
          <w:b/>
        </w:rPr>
        <w:t>11</w:t>
      </w:r>
      <w:r w:rsidRPr="00A428C3">
        <w:t>, 433-435.</w:t>
      </w:r>
    </w:p>
    <w:p w:rsidR="00B95188" w:rsidRPr="00A428C3" w:rsidRDefault="00B95188" w:rsidP="00B95188">
      <w:pPr>
        <w:pStyle w:val="a0"/>
      </w:pPr>
      <w:r w:rsidRPr="00A428C3">
        <w:t>? Deo, N.</w:t>
      </w:r>
      <w:r w:rsidR="00F81221">
        <w:t xml:space="preserve"> and </w:t>
      </w:r>
      <w:r w:rsidRPr="00A428C3">
        <w:t xml:space="preserve">Ali, M. (1992), ??. </w:t>
      </w:r>
      <w:r w:rsidRPr="00A428C3">
        <w:rPr>
          <w:i/>
        </w:rPr>
        <w:t>Indian Journal of Environmental Protection</w:t>
      </w:r>
      <w:r w:rsidRPr="00A428C3">
        <w:t xml:space="preserve">, </w:t>
      </w:r>
      <w:r w:rsidRPr="00A428C3">
        <w:rPr>
          <w:b/>
        </w:rPr>
        <w:t>12</w:t>
      </w:r>
      <w:r w:rsidRPr="00A428C3">
        <w:t xml:space="preserve"> (1), 439-??.</w:t>
      </w:r>
    </w:p>
    <w:p w:rsidR="00B95188" w:rsidRPr="00A428C3" w:rsidRDefault="00B95188" w:rsidP="00B95188">
      <w:pPr>
        <w:pStyle w:val="a0"/>
      </w:pPr>
      <w:r w:rsidRPr="00A428C3">
        <w:t>? Neo, N.</w:t>
      </w:r>
      <w:r w:rsidR="00F81221">
        <w:t xml:space="preserve"> and </w:t>
      </w:r>
      <w:r w:rsidRPr="00A428C3">
        <w:t xml:space="preserve">Ali, M. (1993), ??. </w:t>
      </w:r>
      <w:r w:rsidRPr="00A428C3">
        <w:rPr>
          <w:i/>
        </w:rPr>
        <w:t>Indian Journal of Environmental Protection</w:t>
      </w:r>
      <w:r w:rsidRPr="00A428C3">
        <w:t xml:space="preserve">, </w:t>
      </w:r>
      <w:r w:rsidRPr="00A428C3">
        <w:rPr>
          <w:b/>
        </w:rPr>
        <w:t>13</w:t>
      </w:r>
      <w:r w:rsidRPr="00A428C3">
        <w:t>, 496-??.</w:t>
      </w:r>
    </w:p>
    <w:p w:rsidR="00B95188" w:rsidRPr="00A428C3" w:rsidRDefault="00B95188" w:rsidP="00B95188">
      <w:pPr>
        <w:pStyle w:val="a0"/>
      </w:pPr>
      <w:r w:rsidRPr="00A428C3">
        <w:t xml:space="preserve">? </w:t>
      </w:r>
      <w:r w:rsidRPr="00A428C3">
        <w:rPr>
          <w:lang w:val="en-GB"/>
        </w:rPr>
        <w:t>Praveen, K.A.</w:t>
      </w:r>
      <w:r w:rsidR="00F81221">
        <w:rPr>
          <w:lang w:val="en-GB"/>
        </w:rPr>
        <w:t xml:space="preserve"> and </w:t>
      </w:r>
      <w:r w:rsidRPr="00A428C3">
        <w:rPr>
          <w:lang w:val="en-GB"/>
        </w:rPr>
        <w:t>Bhatia, S.</w:t>
      </w:r>
      <w:r w:rsidRPr="00A428C3">
        <w:t xml:space="preserve"> (1994), ??. </w:t>
      </w:r>
      <w:r w:rsidRPr="00A428C3">
        <w:rPr>
          <w:i/>
        </w:rPr>
        <w:t>Indian Journal of Environmental Protection</w:t>
      </w:r>
      <w:r w:rsidRPr="00A428C3">
        <w:t xml:space="preserve">, </w:t>
      </w:r>
      <w:r w:rsidRPr="00A428C3">
        <w:rPr>
          <w:b/>
        </w:rPr>
        <w:t>14</w:t>
      </w:r>
      <w:r w:rsidRPr="00A428C3">
        <w:t xml:space="preserve">, </w:t>
      </w:r>
      <w:r w:rsidRPr="00A428C3">
        <w:rPr>
          <w:lang w:val="en-GB"/>
        </w:rPr>
        <w:t>490-496</w:t>
      </w:r>
      <w:r w:rsidRPr="00A428C3">
        <w:t>.</w:t>
      </w:r>
    </w:p>
    <w:p w:rsidR="00B95188" w:rsidRPr="00A428C3" w:rsidRDefault="00B95188" w:rsidP="00B95188">
      <w:pPr>
        <w:pStyle w:val="a0"/>
      </w:pPr>
      <w:r w:rsidRPr="00A428C3">
        <w:t>? Sulochana, N., Inbaraj, B.B.</w:t>
      </w:r>
      <w:r w:rsidR="00F81221">
        <w:t xml:space="preserve"> and </w:t>
      </w:r>
      <w:r w:rsidRPr="00A428C3">
        <w:t>Selvarani, K. (1998), Removal efficiency of copper</w:t>
      </w:r>
      <w:r w:rsidR="00F81221">
        <w:t xml:space="preserve"> and </w:t>
      </w:r>
      <w:r w:rsidRPr="00A428C3">
        <w:rPr>
          <w:spacing w:val="-2"/>
        </w:rPr>
        <w:t>nickel by plant materials</w:t>
      </w:r>
      <w:r w:rsidRPr="00A428C3">
        <w:t xml:space="preserve">. </w:t>
      </w:r>
      <w:r w:rsidRPr="00A428C3">
        <w:rPr>
          <w:i/>
        </w:rPr>
        <w:t>Indian Journal of Environmental Protection</w:t>
      </w:r>
      <w:r w:rsidRPr="00A428C3">
        <w:t xml:space="preserve">, </w:t>
      </w:r>
      <w:r w:rsidRPr="00A428C3">
        <w:rPr>
          <w:b/>
        </w:rPr>
        <w:t>18</w:t>
      </w:r>
      <w:r w:rsidRPr="00A428C3">
        <w:t xml:space="preserve">, </w:t>
      </w:r>
      <w:r w:rsidRPr="00A428C3">
        <w:rPr>
          <w:spacing w:val="-2"/>
        </w:rPr>
        <w:t>185-188</w:t>
      </w:r>
      <w:r w:rsidRPr="00A428C3">
        <w:t>.</w:t>
      </w:r>
    </w:p>
    <w:p w:rsidR="00B95188" w:rsidRPr="00A428C3" w:rsidRDefault="00B95188" w:rsidP="00B95188">
      <w:pPr>
        <w:pStyle w:val="a0"/>
      </w:pPr>
      <w:r w:rsidRPr="00A428C3">
        <w:t>? Kannan, N.</w:t>
      </w:r>
      <w:r w:rsidR="00F81221">
        <w:t xml:space="preserve"> and </w:t>
      </w:r>
      <w:r w:rsidRPr="00A428C3">
        <w:t xml:space="preserve">Karuppasamy, K. (1998), Status of ground water in a remote village near Tirunelveli in Tamil Nadu. </w:t>
      </w:r>
      <w:r w:rsidRPr="00A428C3">
        <w:rPr>
          <w:i/>
        </w:rPr>
        <w:t>Indian Journal of Environmental Protection</w:t>
      </w:r>
      <w:r w:rsidRPr="00A428C3">
        <w:t xml:space="preserve">, </w:t>
      </w:r>
      <w:r w:rsidRPr="00A428C3">
        <w:rPr>
          <w:b/>
        </w:rPr>
        <w:t>18</w:t>
      </w:r>
      <w:r w:rsidRPr="00A428C3">
        <w:t xml:space="preserve"> (9), 683-??.</w:t>
      </w:r>
    </w:p>
    <w:p w:rsidR="00B95188" w:rsidRPr="00A428C3" w:rsidRDefault="00B95188" w:rsidP="00B95188">
      <w:pPr>
        <w:pStyle w:val="a0"/>
      </w:pPr>
      <w:r w:rsidRPr="00A428C3">
        <w:t>? Sulochana, N., Inbaraj, B.B.</w:t>
      </w:r>
      <w:r w:rsidR="00F81221">
        <w:t xml:space="preserve"> and </w:t>
      </w:r>
      <w:r w:rsidRPr="00A428C3">
        <w:t xml:space="preserve">Selvarani, K. (1998), Status of ground water in a remote village near Tirunelveli in Tamil Nadu. </w:t>
      </w:r>
      <w:r w:rsidRPr="00A428C3">
        <w:rPr>
          <w:i/>
        </w:rPr>
        <w:t>Indian Journal of Environmental Protection</w:t>
      </w:r>
      <w:r w:rsidRPr="00A428C3">
        <w:t xml:space="preserve">, </w:t>
      </w:r>
      <w:r w:rsidRPr="00A428C3">
        <w:rPr>
          <w:b/>
        </w:rPr>
        <w:t>18</w:t>
      </w:r>
      <w:r w:rsidRPr="00A428C3">
        <w:t>, 739-744.</w:t>
      </w:r>
    </w:p>
    <w:p w:rsidR="00B95188" w:rsidRPr="00A428C3" w:rsidRDefault="00B95188" w:rsidP="00B95188">
      <w:pPr>
        <w:pStyle w:val="a0"/>
      </w:pPr>
      <w:r w:rsidRPr="00A428C3">
        <w:t>? Sulochana, N., Inbaraj, B.B.</w:t>
      </w:r>
      <w:r w:rsidR="00F81221">
        <w:t xml:space="preserve"> and </w:t>
      </w:r>
      <w:r w:rsidRPr="00A428C3">
        <w:t>Selvarani, K. (1999), Monitoring, correlation</w:t>
      </w:r>
      <w:r w:rsidR="00F81221">
        <w:t xml:space="preserve"> and </w:t>
      </w:r>
      <w:r w:rsidRPr="00A428C3">
        <w:lastRenderedPageBreak/>
        <w:t xml:space="preserve">possibilities of contamination of ground water in </w:t>
      </w:r>
      <w:smartTag w:uri="urn:schemas-microsoft-com:office:smarttags" w:element="place">
        <w:smartTag w:uri="urn:schemas-microsoft-com:office:smarttags" w:element="PlaceName">
          <w:r w:rsidRPr="00A428C3">
            <w:t>Thuvakudi</w:t>
          </w:r>
        </w:smartTag>
        <w:r w:rsidRPr="00A428C3">
          <w:t xml:space="preserve"> </w:t>
        </w:r>
        <w:smartTag w:uri="urn:schemas-microsoft-com:office:smarttags" w:element="PlaceType">
          <w:r w:rsidRPr="00A428C3">
            <w:t>Village</w:t>
          </w:r>
        </w:smartTag>
      </w:smartTag>
      <w:r w:rsidRPr="00A428C3">
        <w:t xml:space="preserve">, Tiruchirappalli District. </w:t>
      </w:r>
      <w:r w:rsidRPr="00A428C3">
        <w:rPr>
          <w:i/>
        </w:rPr>
        <w:t>Indian Journal of Environmental Protection</w:t>
      </w:r>
      <w:r w:rsidRPr="00A428C3">
        <w:t xml:space="preserve">, </w:t>
      </w:r>
      <w:r w:rsidRPr="00A428C3">
        <w:rPr>
          <w:b/>
        </w:rPr>
        <w:t>19</w:t>
      </w:r>
      <w:r w:rsidRPr="00A428C3">
        <w:t>, 290-295.</w:t>
      </w:r>
    </w:p>
    <w:p w:rsidR="00B95188" w:rsidRPr="00A428C3" w:rsidRDefault="00B95188" w:rsidP="00B95188">
      <w:pPr>
        <w:pStyle w:val="a0"/>
      </w:pPr>
      <w:r w:rsidRPr="00A428C3">
        <w:t>? Kumar, K.V.</w:t>
      </w:r>
      <w:r w:rsidR="00F81221">
        <w:t xml:space="preserve"> and </w:t>
      </w:r>
      <w:r w:rsidRPr="00A428C3">
        <w:t xml:space="preserve">Bhagavanulu, D.V.S. (2003), A new model to predict the film transfer constant during the adsorption of basic dye onto bioorganic waste. </w:t>
      </w:r>
      <w:r w:rsidRPr="00A428C3">
        <w:rPr>
          <w:i/>
        </w:rPr>
        <w:t>Indian Journal of Environmental Protection</w:t>
      </w:r>
      <w:r w:rsidRPr="00A428C3">
        <w:t xml:space="preserve">, </w:t>
      </w:r>
      <w:r w:rsidRPr="00A428C3">
        <w:rPr>
          <w:b/>
        </w:rPr>
        <w:t>23</w:t>
      </w:r>
      <w:r w:rsidRPr="00A428C3">
        <w:t xml:space="preserve"> (4), 388-391.</w:t>
      </w:r>
    </w:p>
    <w:p w:rsidR="00B95188" w:rsidRPr="00A428C3" w:rsidRDefault="00B95188" w:rsidP="00B95188">
      <w:pPr>
        <w:pStyle w:val="a0"/>
      </w:pPr>
      <w:r w:rsidRPr="00A428C3">
        <w:t xml:space="preserve">? Kumar, K.V. (2003), </w:t>
      </w:r>
      <w:r w:rsidRPr="00A428C3">
        <w:rPr>
          <w:kern w:val="36"/>
        </w:rPr>
        <w:t>Studies on adsorption of basic dye onto agrobased waste: Part 2: Equilibrium</w:t>
      </w:r>
      <w:r w:rsidR="00F81221">
        <w:rPr>
          <w:kern w:val="36"/>
        </w:rPr>
        <w:t xml:space="preserve"> and </w:t>
      </w:r>
      <w:r w:rsidRPr="00A428C3">
        <w:rPr>
          <w:kern w:val="36"/>
        </w:rPr>
        <w:t>diffusion studies</w:t>
      </w:r>
      <w:r w:rsidRPr="00A428C3">
        <w:t xml:space="preserve">. </w:t>
      </w:r>
      <w:r w:rsidRPr="00A428C3">
        <w:rPr>
          <w:i/>
        </w:rPr>
        <w:t>Indian Journal of Environmental Protection</w:t>
      </w:r>
      <w:r w:rsidRPr="00A428C3">
        <w:t xml:space="preserve">, </w:t>
      </w:r>
      <w:r w:rsidRPr="00A428C3">
        <w:rPr>
          <w:b/>
        </w:rPr>
        <w:t>23</w:t>
      </w:r>
      <w:r w:rsidRPr="00A428C3">
        <w:t xml:space="preserve"> (4), </w:t>
      </w:r>
      <w:r w:rsidRPr="00A428C3">
        <w:rPr>
          <w:kern w:val="36"/>
        </w:rPr>
        <w:t>392-395.</w:t>
      </w:r>
    </w:p>
    <w:p w:rsidR="00B95188" w:rsidRPr="00A428C3" w:rsidRDefault="00B95188" w:rsidP="00B95188">
      <w:pPr>
        <w:pStyle w:val="1"/>
      </w:pPr>
      <w:r w:rsidRPr="00A428C3">
        <w:rPr>
          <w:lang w:val="en-GB"/>
        </w:rPr>
        <w:br w:type="page"/>
      </w:r>
      <w:bookmarkStart w:id="872" w:name="_Toc186647833"/>
      <w:bookmarkStart w:id="873" w:name="_Toc317161124"/>
      <w:r w:rsidRPr="00A428C3">
        <w:lastRenderedPageBreak/>
        <w:t>Title: Indian Journal of Fibre &amp; Textile Research</w:t>
      </w:r>
      <w:bookmarkEnd w:id="872"/>
      <w:bookmarkEnd w:id="873"/>
    </w:p>
    <w:p w:rsidR="00B95188" w:rsidRPr="00A428C3" w:rsidRDefault="00B95188" w:rsidP="00B72EF9">
      <w:pPr>
        <w:pStyle w:val="12"/>
      </w:pPr>
      <w:r w:rsidRPr="00A428C3">
        <w:t>Full Journal Title: Indian Journal of Fibre &amp; Textile Research</w:t>
      </w:r>
    </w:p>
    <w:p w:rsidR="00B95188" w:rsidRPr="00A428C3" w:rsidRDefault="00B95188" w:rsidP="00B72EF9">
      <w:pPr>
        <w:pStyle w:val="12"/>
      </w:pPr>
      <w:r w:rsidRPr="00A428C3">
        <w:t>ISO Abbreviated Title: Indian J. Fibre Text. Tes.</w:t>
      </w:r>
    </w:p>
    <w:p w:rsidR="00B95188" w:rsidRPr="00A428C3" w:rsidRDefault="00B95188" w:rsidP="00B72EF9">
      <w:pPr>
        <w:pStyle w:val="12"/>
      </w:pPr>
      <w:r w:rsidRPr="00A428C3">
        <w:t>JCR Abbreviated Title: Indian J Fibre Text</w:t>
      </w:r>
    </w:p>
    <w:p w:rsidR="00B95188" w:rsidRPr="00A428C3" w:rsidRDefault="00B95188" w:rsidP="00B72EF9">
      <w:pPr>
        <w:pStyle w:val="12"/>
      </w:pPr>
      <w:r w:rsidRPr="00A428C3">
        <w:t>ISSN: 0971-0426</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Natl Inst Science Communication</w:t>
      </w:r>
    </w:p>
    <w:p w:rsidR="00B95188" w:rsidRPr="00A428C3" w:rsidRDefault="00B95188" w:rsidP="00B72EF9">
      <w:pPr>
        <w:pStyle w:val="12"/>
      </w:pPr>
      <w:r w:rsidRPr="00A428C3">
        <w:t xml:space="preserve">Publisher Address: Dr K S Krishnan Marg, </w:t>
      </w:r>
      <w:smartTag w:uri="urn:schemas-microsoft-com:office:smarttags" w:element="City">
        <w:r w:rsidRPr="00A428C3">
          <w:t>New Delhi</w:t>
        </w:r>
      </w:smartTag>
      <w:r w:rsidRPr="00A428C3">
        <w:t xml:space="preserve"> 110 012,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Materials Science, Textiles: Impact Factor 0.157, / (2000)</w:t>
      </w:r>
    </w:p>
    <w:p w:rsidR="00B95188" w:rsidRPr="00A428C3" w:rsidRDefault="00B95188" w:rsidP="00B95188">
      <w:pPr>
        <w:pStyle w:val="a0"/>
      </w:pPr>
      <w:r w:rsidRPr="00A428C3">
        <w:t>? Gulrajani, M.L., Bhaumik, S., Oppermann, W.</w:t>
      </w:r>
      <w:r w:rsidR="00F81221">
        <w:t xml:space="preserve"> and </w:t>
      </w:r>
      <w:r w:rsidRPr="00A428C3">
        <w:t>Hardtmann, G. (2002), Kinetic</w:t>
      </w:r>
      <w:r w:rsidR="00F81221">
        <w:t xml:space="preserve"> and </w:t>
      </w:r>
      <w:r w:rsidRPr="00A428C3">
        <w:t xml:space="preserve">thermodynamic studies on red sandalwood. </w:t>
      </w:r>
      <w:r w:rsidRPr="00A428C3">
        <w:rPr>
          <w:i/>
          <w:iCs/>
        </w:rPr>
        <w:t>Indian Journal of Fibre &amp; Textile Research</w:t>
      </w:r>
      <w:r w:rsidRPr="00A428C3">
        <w:t xml:space="preserve">, </w:t>
      </w:r>
      <w:r w:rsidRPr="00A428C3">
        <w:rPr>
          <w:b/>
        </w:rPr>
        <w:t>27</w:t>
      </w:r>
      <w:r w:rsidRPr="00A428C3">
        <w:t xml:space="preserve"> (1), 91-94.</w:t>
      </w:r>
    </w:p>
    <w:p w:rsidR="00B95188" w:rsidRPr="00A428C3" w:rsidRDefault="00B95188" w:rsidP="00B95188">
      <w:pPr>
        <w:pStyle w:val="a0"/>
      </w:pPr>
      <w:r w:rsidRPr="00A428C3">
        <w:t>Abstract: Red sandalwood (Pterocarpus santalinus) has been used as a dye for wool</w:t>
      </w:r>
      <w:r w:rsidR="00F81221">
        <w:t xml:space="preserve"> and </w:t>
      </w:r>
      <w:r w:rsidRPr="00A428C3">
        <w:t>nylon with</w:t>
      </w:r>
      <w:r w:rsidR="00F81221">
        <w:t xml:space="preserve"> and </w:t>
      </w:r>
      <w:r w:rsidRPr="00A428C3">
        <w:t>without mordant. Ethanol extract of red sandalwood has been used for carrying out thermodynamic</w:t>
      </w:r>
      <w:r w:rsidR="00F81221">
        <w:t xml:space="preserve"> and </w:t>
      </w:r>
      <w:r w:rsidRPr="00A428C3">
        <w:t>kinetic studies on wool</w:t>
      </w:r>
      <w:r w:rsidR="00F81221">
        <w:t xml:space="preserve"> and </w:t>
      </w:r>
      <w:r w:rsidRPr="00A428C3">
        <w:t>nylon. The diffusion coefficients; rate of dye uptake, adsorption isotherms, standard affinity, enthalpy</w:t>
      </w:r>
      <w:r w:rsidR="00F81221">
        <w:t xml:space="preserve"> and </w:t>
      </w:r>
      <w:r w:rsidRPr="00A428C3">
        <w:t>heat of dyeing have been calculated. It is observed that the red sandalwood dye has higher rate of dyeing</w:t>
      </w:r>
      <w:r w:rsidR="00F81221">
        <w:t xml:space="preserve"> and </w:t>
      </w:r>
      <w:r w:rsidRPr="00A428C3">
        <w:t>more affinity for nylon than those for wool.</w:t>
      </w:r>
    </w:p>
    <w:p w:rsidR="00B95188" w:rsidRPr="00A428C3" w:rsidRDefault="00B95188" w:rsidP="00B95188">
      <w:pPr>
        <w:pStyle w:val="a0"/>
      </w:pPr>
      <w:r w:rsidRPr="00A428C3">
        <w:t>Keywords: Kinetic Stud, Natural Dye, Pterocarpus Santalinus, Red Sandal Wood, Thermodynamic Study</w:t>
      </w:r>
    </w:p>
    <w:p w:rsidR="00B95188" w:rsidRPr="00A428C3" w:rsidRDefault="00B95188" w:rsidP="00B95188">
      <w:pPr>
        <w:pStyle w:val="a0"/>
      </w:pPr>
      <w:r w:rsidRPr="00A428C3">
        <w:t>Keywords: Adsorption, Adsorption Isotherms, Kinetic, Kinetic Stud, Natural Dye, Pterocarpus Santalinus, Red Sandal Wood, Thermodynamic Study</w:t>
      </w:r>
    </w:p>
    <w:p w:rsidR="00B95188" w:rsidRPr="00A428C3" w:rsidRDefault="00B95188" w:rsidP="00B95188">
      <w:pPr>
        <w:pStyle w:val="1"/>
      </w:pPr>
      <w:r w:rsidRPr="00A428C3">
        <w:br w:type="page"/>
      </w:r>
      <w:bookmarkStart w:id="874" w:name="_Toc487190711"/>
      <w:bookmarkStart w:id="875" w:name="_Toc487882216"/>
      <w:bookmarkStart w:id="876" w:name="_Toc490688035"/>
      <w:bookmarkStart w:id="877" w:name="_Toc492812145"/>
      <w:bookmarkStart w:id="878" w:name="_Toc186647834"/>
      <w:bookmarkStart w:id="879" w:name="_Toc317161125"/>
      <w:r w:rsidRPr="00A428C3">
        <w:lastRenderedPageBreak/>
        <w:t>Title: Indian Journal of Marine Sciences</w:t>
      </w:r>
      <w:bookmarkEnd w:id="874"/>
      <w:bookmarkEnd w:id="875"/>
      <w:bookmarkEnd w:id="876"/>
      <w:bookmarkEnd w:id="877"/>
      <w:bookmarkEnd w:id="878"/>
      <w:bookmarkEnd w:id="879"/>
    </w:p>
    <w:p w:rsidR="00B95188" w:rsidRPr="00A428C3" w:rsidRDefault="00B95188" w:rsidP="00B72EF9">
      <w:pPr>
        <w:pStyle w:val="12"/>
      </w:pPr>
      <w:r w:rsidRPr="00A428C3">
        <w:t>Full Journal Title: Indian Journal of Marine Sciences</w:t>
      </w:r>
    </w:p>
    <w:p w:rsidR="00B95188" w:rsidRPr="00A428C3" w:rsidRDefault="00B95188" w:rsidP="00B72EF9">
      <w:pPr>
        <w:pStyle w:val="12"/>
      </w:pPr>
      <w:r w:rsidRPr="00A428C3">
        <w:t>ISO Abbreviated Title: Indian J. Mar. Sci.</w:t>
      </w:r>
    </w:p>
    <w:p w:rsidR="00B95188" w:rsidRPr="00A428C3" w:rsidRDefault="00B95188" w:rsidP="00B72EF9">
      <w:pPr>
        <w:pStyle w:val="12"/>
      </w:pPr>
      <w:r w:rsidRPr="00A428C3">
        <w:t>JCR Abbreviated Title: Indian J Mar Sci</w:t>
      </w:r>
    </w:p>
    <w:p w:rsidR="00B95188" w:rsidRPr="00A428C3" w:rsidRDefault="00B95188" w:rsidP="00B72EF9">
      <w:pPr>
        <w:pStyle w:val="12"/>
      </w:pPr>
      <w:r w:rsidRPr="00A428C3">
        <w:t>ISSN: 0379-5136</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Natl Inst Science Communication</w:t>
      </w:r>
    </w:p>
    <w:p w:rsidR="00B95188" w:rsidRPr="00A428C3" w:rsidRDefault="00B95188" w:rsidP="00B72EF9">
      <w:pPr>
        <w:pStyle w:val="12"/>
      </w:pPr>
      <w:r w:rsidRPr="00A428C3">
        <w:t xml:space="preserve">Publisher Address: Dr K S Krishnan Marg, </w:t>
      </w:r>
      <w:smartTag w:uri="urn:schemas-microsoft-com:office:smarttags" w:element="City">
        <w:r w:rsidRPr="00A428C3">
          <w:t>New Delhi</w:t>
        </w:r>
      </w:smartTag>
      <w:r w:rsidRPr="00A428C3">
        <w:t xml:space="preserve"> 110 012, </w:t>
      </w:r>
      <w:smartTag w:uri="urn:schemas-microsoft-com:office:smarttags" w:element="place">
        <w:smartTag w:uri="urn:schemas-microsoft-com:office:smarttags" w:element="country-region">
          <w:r w:rsidRPr="00A428C3">
            <w:t>India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Oceanography:</w:t>
      </w:r>
      <w:r w:rsidRPr="00A428C3">
        <w:rPr>
          <w:color w:val="008000"/>
        </w:rPr>
        <w:t xml:space="preserve"> Impact Factor</w:t>
      </w:r>
    </w:p>
    <w:p w:rsidR="00B95188" w:rsidRPr="00A428C3" w:rsidRDefault="00B95188" w:rsidP="00B95188">
      <w:pPr>
        <w:pStyle w:val="a0"/>
      </w:pPr>
      <w:r w:rsidRPr="00A428C3">
        <w:t>? Senthilnathan, S.</w:t>
      </w:r>
      <w:r w:rsidR="00F81221">
        <w:t xml:space="preserve"> and </w:t>
      </w:r>
      <w:r w:rsidRPr="00A428C3">
        <w:t xml:space="preserve">Balasubramanian, T. (1999), Heavy metal distribution in </w:t>
      </w:r>
      <w:smartTag w:uri="urn:schemas-microsoft-com:office:smarttags" w:element="City">
        <w:r w:rsidRPr="00A428C3">
          <w:t>Pondicherry</w:t>
        </w:r>
      </w:smartTag>
      <w:r w:rsidRPr="00A428C3">
        <w:t xml:space="preserve"> harbour, southeast coast of </w:t>
      </w:r>
      <w:smartTag w:uri="urn:schemas-microsoft-com:office:smarttags" w:element="place">
        <w:smartTag w:uri="urn:schemas-microsoft-com:office:smarttags" w:element="country-region">
          <w:r w:rsidRPr="00A428C3">
            <w:t>India</w:t>
          </w:r>
        </w:smartTag>
      </w:smartTag>
      <w:r w:rsidRPr="00A428C3">
        <w:t xml:space="preserve">. </w:t>
      </w:r>
      <w:r w:rsidRPr="00A428C3">
        <w:rPr>
          <w:i/>
        </w:rPr>
        <w:t>Indian Journal of Marine Sciences</w:t>
      </w:r>
      <w:r w:rsidRPr="00A428C3">
        <w:t xml:space="preserve">, </w:t>
      </w:r>
      <w:r w:rsidRPr="00A428C3">
        <w:rPr>
          <w:b/>
        </w:rPr>
        <w:t>28</w:t>
      </w:r>
      <w:r w:rsidRPr="00A428C3">
        <w:t xml:space="preserve"> (4), 380-382.</w:t>
      </w:r>
    </w:p>
    <w:p w:rsidR="00B95188" w:rsidRPr="00A428C3" w:rsidRDefault="00B95188" w:rsidP="00735710">
      <w:pPr>
        <w:pStyle w:val="a0"/>
      </w:pPr>
      <w:r w:rsidRPr="00A428C3">
        <w:t>Abstract: Attempt was made to evaluate the extent of distribution of selected heavy metals (Cu, Zn; Cd</w:t>
      </w:r>
      <w:r w:rsidR="00F81221">
        <w:t xml:space="preserve"> and </w:t>
      </w:r>
      <w:r w:rsidRPr="00A428C3">
        <w:t>Pb) in water, sediment</w:t>
      </w:r>
      <w:r w:rsidR="00F81221">
        <w:t xml:space="preserve"> and </w:t>
      </w:r>
      <w:r w:rsidRPr="00A428C3">
        <w:t>plankton over a period of two years from Pondicherry harbour (lat.11 degrees 47</w:t>
      </w:r>
      <w:r w:rsidR="000352E7">
        <w:t>’</w:t>
      </w:r>
      <w:r w:rsidRPr="00A428C3">
        <w:t xml:space="preserve"> N, Iong.79 degrees 50</w:t>
      </w:r>
      <w:r w:rsidR="000352E7">
        <w:t>’</w:t>
      </w:r>
      <w:r w:rsidRPr="00A428C3">
        <w:t>E). A distinct seasonal variation in the distribution of metals in the ambient water,, sediment</w:t>
      </w:r>
      <w:r w:rsidR="00F81221">
        <w:t xml:space="preserve"> and </w:t>
      </w:r>
      <w:r w:rsidRPr="00A428C3">
        <w:t>plankton was observed. The metals were high during monsoon</w:t>
      </w:r>
      <w:r w:rsidR="00F81221">
        <w:t xml:space="preserve"> and </w:t>
      </w:r>
      <w:r w:rsidRPr="00A428C3">
        <w:t>low during summer. The order of metal abundance in water, sediment</w:t>
      </w:r>
      <w:r w:rsidR="00F81221">
        <w:t xml:space="preserve"> and </w:t>
      </w:r>
      <w:r w:rsidRPr="00A428C3">
        <w:t>plankton was Zn&gt;Cu&gt;Pb&gt;Cd. Plankton showed greater adsorption</w:t>
      </w:r>
      <w:r w:rsidR="00F81221">
        <w:t xml:space="preserve"> and </w:t>
      </w:r>
      <w:r w:rsidRPr="00A428C3">
        <w:t>absorption capacity for most of the heavy metal as revealed by the concentration fatter. A significant linear relationship was also observed between metal level in the ambient water</w:t>
      </w:r>
      <w:r w:rsidR="00F81221">
        <w:t xml:space="preserve"> and </w:t>
      </w:r>
      <w:r w:rsidRPr="00A428C3">
        <w:t>plankton. Salinity plays an important role in the distribution of metal in the study area.</w:t>
      </w:r>
    </w:p>
    <w:p w:rsidR="00B95188" w:rsidRPr="00A428C3" w:rsidRDefault="00B95188" w:rsidP="00735710">
      <w:pPr>
        <w:pStyle w:val="a0"/>
      </w:pPr>
      <w:r w:rsidRPr="00A428C3">
        <w:t>Keywords: Marine</w:t>
      </w:r>
    </w:p>
    <w:p w:rsidR="007D2E74" w:rsidRPr="00217FB1" w:rsidRDefault="007D2E74" w:rsidP="007D2E74">
      <w:pPr>
        <w:pStyle w:val="1"/>
      </w:pPr>
      <w:r w:rsidRPr="00217FB1">
        <w:br w:type="page"/>
      </w:r>
      <w:bookmarkStart w:id="880" w:name="_Toc317161126"/>
      <w:r w:rsidRPr="00217FB1">
        <w:lastRenderedPageBreak/>
        <w:t>Title:</w:t>
      </w:r>
      <w:r>
        <w:t xml:space="preserve"> </w:t>
      </w:r>
      <w:r w:rsidRPr="007A74B7">
        <w:t>Indian Journal of Medical Research</w:t>
      </w:r>
      <w:bookmarkEnd w:id="880"/>
    </w:p>
    <w:p w:rsidR="007D2E74" w:rsidRPr="00021F0C" w:rsidRDefault="007D2E74" w:rsidP="00B72EF9">
      <w:pPr>
        <w:pStyle w:val="12"/>
      </w:pPr>
      <w:r w:rsidRPr="00021F0C">
        <w:t>Full</w:t>
      </w:r>
      <w:r>
        <w:t xml:space="preserve"> </w:t>
      </w:r>
      <w:r w:rsidRPr="00021F0C">
        <w:t>Journal</w:t>
      </w:r>
      <w:r>
        <w:t xml:space="preserve"> </w:t>
      </w:r>
      <w:r w:rsidRPr="00021F0C">
        <w:t>Title:</w:t>
      </w:r>
      <w:r>
        <w:t xml:space="preserve"> </w:t>
      </w:r>
      <w:hyperlink r:id="rId952" w:history="1">
        <w:r w:rsidRPr="00D56FFA">
          <w:rPr>
            <w:rStyle w:val="a5"/>
          </w:rPr>
          <w:t>Indian Journal of Medical Research</w:t>
        </w:r>
      </w:hyperlink>
    </w:p>
    <w:p w:rsidR="00BA2FAB" w:rsidRDefault="00BA2FAB" w:rsidP="00B72EF9">
      <w:pPr>
        <w:pStyle w:val="12"/>
      </w:pPr>
      <w:r>
        <w:t>ISO Abbrev. Title: Indian J. Med. Res.</w:t>
      </w:r>
    </w:p>
    <w:p w:rsidR="00BA2FAB" w:rsidRDefault="00BA2FAB" w:rsidP="00B72EF9">
      <w:pPr>
        <w:pStyle w:val="12"/>
      </w:pPr>
      <w:r>
        <w:t>JCR Abbrev. Title: Indian J Med Res</w:t>
      </w:r>
    </w:p>
    <w:p w:rsidR="00BA2FAB" w:rsidRDefault="00BA2FAB" w:rsidP="00B72EF9">
      <w:pPr>
        <w:pStyle w:val="12"/>
      </w:pPr>
      <w:r>
        <w:t>ISSN: 0971-5916</w:t>
      </w:r>
    </w:p>
    <w:p w:rsidR="00BA2FAB" w:rsidRDefault="00BA2FAB" w:rsidP="00B72EF9">
      <w:pPr>
        <w:pStyle w:val="12"/>
      </w:pPr>
      <w:r>
        <w:t>Issues/Year: 12</w:t>
      </w:r>
    </w:p>
    <w:p w:rsidR="00BA2FAB" w:rsidRDefault="00BA2FAB" w:rsidP="00B72EF9">
      <w:pPr>
        <w:pStyle w:val="12"/>
      </w:pPr>
      <w:r>
        <w:t>Language: English</w:t>
      </w:r>
    </w:p>
    <w:p w:rsidR="00BA2FAB" w:rsidRDefault="00BA2FAB" w:rsidP="00B72EF9">
      <w:pPr>
        <w:pStyle w:val="12"/>
      </w:pPr>
      <w:r>
        <w:t>Journal Country/Territory: India</w:t>
      </w:r>
    </w:p>
    <w:p w:rsidR="00BA2FAB" w:rsidRDefault="00BA2FAB" w:rsidP="00B72EF9">
      <w:pPr>
        <w:pStyle w:val="12"/>
      </w:pPr>
      <w:r>
        <w:t>Publisher: Indian Council Medical Res</w:t>
      </w:r>
    </w:p>
    <w:p w:rsidR="00BA2FAB" w:rsidRDefault="00BA2FAB" w:rsidP="00B72EF9">
      <w:pPr>
        <w:pStyle w:val="12"/>
      </w:pPr>
      <w:r>
        <w:t>Publisher Address: Po Box 4911 Ansari Nagar, New Delhi 110029, India</w:t>
      </w:r>
    </w:p>
    <w:p w:rsidR="00BA2FAB" w:rsidRDefault="00BA2FAB" w:rsidP="00B72EF9">
      <w:pPr>
        <w:pStyle w:val="12"/>
      </w:pPr>
      <w:r>
        <w:t>Subject Categories:</w:t>
      </w:r>
    </w:p>
    <w:p w:rsidR="00BA2FAB" w:rsidRDefault="00BA2FAB" w:rsidP="00B72EF9">
      <w:pPr>
        <w:pStyle w:val="12"/>
      </w:pPr>
      <w:r>
        <w:t>Immunology</w:t>
      </w:r>
      <w:r w:rsidRPr="001A3D2B">
        <w:t>: Impact Factor</w:t>
      </w:r>
      <w:r>
        <w:rPr>
          <w:rFonts w:hint="eastAsia"/>
        </w:rPr>
        <w:t xml:space="preserve"> 1.516, 109/128 (2009)</w:t>
      </w:r>
    </w:p>
    <w:p w:rsidR="00BA2FAB" w:rsidRDefault="00BA2FAB" w:rsidP="00B72EF9">
      <w:pPr>
        <w:pStyle w:val="12"/>
      </w:pPr>
      <w:r>
        <w:t>Medicine, General &amp; Internal</w:t>
      </w:r>
      <w:r w:rsidRPr="001A3D2B">
        <w:t>: Impact Factor</w:t>
      </w:r>
      <w:r>
        <w:rPr>
          <w:rFonts w:hint="eastAsia"/>
        </w:rPr>
        <w:t xml:space="preserve"> 1.516, 49/133 (2009)</w:t>
      </w:r>
    </w:p>
    <w:p w:rsidR="00BA2FAB" w:rsidRDefault="00BA2FAB" w:rsidP="00B72EF9">
      <w:pPr>
        <w:pStyle w:val="12"/>
      </w:pPr>
      <w:r>
        <w:t>Medicine, Research &amp; Experimental</w:t>
      </w:r>
      <w:r w:rsidRPr="001A3D2B">
        <w:t>: Impact Factor</w:t>
      </w:r>
      <w:r>
        <w:rPr>
          <w:rFonts w:hint="eastAsia"/>
        </w:rPr>
        <w:t xml:space="preserve"> 1.516, 61/93 (2009)</w:t>
      </w:r>
    </w:p>
    <w:p w:rsidR="007D2E74" w:rsidRDefault="007D2E74" w:rsidP="007D2E74">
      <w:pPr>
        <w:pStyle w:val="a0"/>
        <w:rPr>
          <w:kern w:val="0"/>
          <w:szCs w:val="24"/>
        </w:rPr>
      </w:pPr>
      <w:r w:rsidRPr="0007314E">
        <w:t xml:space="preserve">? </w:t>
      </w:r>
      <w:r>
        <w:rPr>
          <w:kern w:val="0"/>
          <w:szCs w:val="24"/>
        </w:rPr>
        <w:t>Borse, N.N.</w:t>
      </w:r>
      <w:r w:rsidR="00F81221">
        <w:rPr>
          <w:kern w:val="0"/>
          <w:szCs w:val="24"/>
        </w:rPr>
        <w:t xml:space="preserve"> and </w:t>
      </w:r>
      <w:r>
        <w:rPr>
          <w:kern w:val="0"/>
          <w:szCs w:val="24"/>
        </w:rPr>
        <w:t xml:space="preserve">Hyder, A.A. (2009), Call for more research on injury from the developing world: Results of a bibliometric analysis. </w:t>
      </w:r>
      <w:r>
        <w:rPr>
          <w:i/>
          <w:iCs/>
          <w:kern w:val="0"/>
          <w:szCs w:val="24"/>
        </w:rPr>
        <w:t>Indian Journal of Medical Research</w:t>
      </w:r>
      <w:r>
        <w:rPr>
          <w:kern w:val="0"/>
          <w:szCs w:val="24"/>
        </w:rPr>
        <w:t xml:space="preserve">, </w:t>
      </w:r>
      <w:r>
        <w:rPr>
          <w:b/>
          <w:bCs/>
          <w:kern w:val="0"/>
          <w:szCs w:val="24"/>
        </w:rPr>
        <w:t>129</w:t>
      </w:r>
      <w:r>
        <w:rPr>
          <w:kern w:val="0"/>
          <w:szCs w:val="24"/>
        </w:rPr>
        <w:t xml:space="preserve"> (3), 321-326.</w:t>
      </w:r>
    </w:p>
    <w:p w:rsidR="00D56FFA" w:rsidRDefault="00D56FFA" w:rsidP="007D2E74">
      <w:pPr>
        <w:pStyle w:val="a0"/>
        <w:rPr>
          <w:kern w:val="0"/>
          <w:szCs w:val="24"/>
        </w:rPr>
      </w:pPr>
      <w:r>
        <w:rPr>
          <w:rFonts w:hint="eastAsia"/>
          <w:kern w:val="0"/>
          <w:szCs w:val="24"/>
        </w:rPr>
        <w:t xml:space="preserve">Full Text: </w:t>
      </w:r>
      <w:hyperlink r:id="rId953" w:history="1">
        <w:r w:rsidRPr="00D56FFA">
          <w:rPr>
            <w:rStyle w:val="a5"/>
            <w:kern w:val="0"/>
            <w:szCs w:val="24"/>
          </w:rPr>
          <w:t>2009\Ind J Med Res129, 321.pdf</w:t>
        </w:r>
      </w:hyperlink>
    </w:p>
    <w:p w:rsidR="007D2E74" w:rsidRDefault="007D2E74" w:rsidP="007D2E74">
      <w:pPr>
        <w:pStyle w:val="a0"/>
        <w:rPr>
          <w:kern w:val="0"/>
          <w:szCs w:val="24"/>
        </w:rPr>
      </w:pPr>
      <w:r>
        <w:rPr>
          <w:kern w:val="0"/>
          <w:szCs w:val="24"/>
        </w:rPr>
        <w:t>Abstract: Background &amp; objectives: Injury prevention is a daunting health challenge as public health systems particularly in the developing world are least prepared to respond to this issue. In 2005, an estimated 5.4 million people worldwide died from injuries over 90 per cent in low-</w:t>
      </w:r>
      <w:r w:rsidR="00F81221">
        <w:rPr>
          <w:kern w:val="0"/>
          <w:szCs w:val="24"/>
        </w:rPr>
        <w:t xml:space="preserve"> and </w:t>
      </w:r>
      <w:r>
        <w:rPr>
          <w:kern w:val="0"/>
          <w:szCs w:val="24"/>
        </w:rPr>
        <w:t>middle-income countries. The main objective of this bibliometric analysis was to document injury literature published on low-</w:t>
      </w:r>
      <w:r w:rsidR="00F81221">
        <w:rPr>
          <w:kern w:val="0"/>
          <w:szCs w:val="24"/>
        </w:rPr>
        <w:t xml:space="preserve"> and </w:t>
      </w:r>
      <w:r>
        <w:rPr>
          <w:kern w:val="0"/>
          <w:szCs w:val="24"/>
        </w:rPr>
        <w:t>middle-income countries,</w:t>
      </w:r>
      <w:r w:rsidR="00F81221">
        <w:rPr>
          <w:kern w:val="0"/>
          <w:szCs w:val="24"/>
        </w:rPr>
        <w:t xml:space="preserve"> and </w:t>
      </w:r>
      <w:r>
        <w:rPr>
          <w:kern w:val="0"/>
          <w:szCs w:val="24"/>
        </w:rPr>
        <w:t>also to quantify literature on road traffic injuries by countries before</w:t>
      </w:r>
      <w:r w:rsidR="00F81221">
        <w:rPr>
          <w:kern w:val="0"/>
          <w:szCs w:val="24"/>
        </w:rPr>
        <w:t xml:space="preserve"> and </w:t>
      </w:r>
      <w:r>
        <w:rPr>
          <w:kern w:val="0"/>
          <w:szCs w:val="24"/>
        </w:rPr>
        <w:t>after the World Health Day on Road Safety celebrated in April 2004. Methods: A systematic search was done using MeSH terms on PubMed. Papers on road traffic injuries were assessed by country/cluster</w:t>
      </w:r>
      <w:r w:rsidR="00F81221">
        <w:rPr>
          <w:kern w:val="0"/>
          <w:szCs w:val="24"/>
        </w:rPr>
        <w:t xml:space="preserve"> and </w:t>
      </w:r>
      <w:r>
        <w:rPr>
          <w:kern w:val="0"/>
          <w:szCs w:val="24"/>
        </w:rPr>
        <w:t>by publication date for two periods (March 2001 - March 2004)</w:t>
      </w:r>
      <w:r w:rsidR="00F81221">
        <w:rPr>
          <w:kern w:val="0"/>
          <w:szCs w:val="24"/>
        </w:rPr>
        <w:t xml:space="preserve"> and </w:t>
      </w:r>
      <w:r>
        <w:rPr>
          <w:kern w:val="0"/>
          <w:szCs w:val="24"/>
        </w:rPr>
        <w:t>(April 2004 - April 2007). The rate of articles published per million population was calculated. Finally, a comparison was made between disease burden in disability adjusted life years (DALYs)</w:t>
      </w:r>
      <w:r w:rsidR="00F81221">
        <w:rPr>
          <w:kern w:val="0"/>
          <w:szCs w:val="24"/>
        </w:rPr>
        <w:t xml:space="preserve"> and </w:t>
      </w:r>
      <w:r>
        <w:rPr>
          <w:kern w:val="0"/>
          <w:szCs w:val="24"/>
        </w:rPr>
        <w:t>quantum of papers published. The search was performed on April 29, 2007. Results: PubMed had 8.26 million articles listed; of which, 72 per cent were in English</w:t>
      </w:r>
      <w:r w:rsidR="00F81221">
        <w:rPr>
          <w:kern w:val="0"/>
          <w:szCs w:val="24"/>
        </w:rPr>
        <w:t xml:space="preserve"> and </w:t>
      </w:r>
      <w:r>
        <w:rPr>
          <w:kern w:val="0"/>
          <w:szCs w:val="24"/>
        </w:rPr>
        <w:t>only 2 per cent were on unintentional injuries. For papers in all languages including English on road traffic injuries, 41 per cent were from US, 36 per cent from Europe (other than Eastern Europe). Two most populous countries, China</w:t>
      </w:r>
      <w:r w:rsidR="00F81221">
        <w:rPr>
          <w:kern w:val="0"/>
          <w:szCs w:val="24"/>
        </w:rPr>
        <w:t xml:space="preserve"> and </w:t>
      </w:r>
      <w:r>
        <w:rPr>
          <w:kern w:val="0"/>
          <w:szCs w:val="24"/>
        </w:rPr>
        <w:t>India contributed only 0.9</w:t>
      </w:r>
      <w:r w:rsidR="00F81221">
        <w:rPr>
          <w:kern w:val="0"/>
          <w:szCs w:val="24"/>
        </w:rPr>
        <w:t xml:space="preserve"> and </w:t>
      </w:r>
      <w:r>
        <w:rPr>
          <w:kern w:val="0"/>
          <w:szCs w:val="24"/>
        </w:rPr>
        <w:t xml:space="preserve">0.7 per cent papers on road traffic injuries, respectively. On neoplasm there were 280 articles published per million population </w:t>
      </w:r>
      <w:r>
        <w:rPr>
          <w:kern w:val="0"/>
          <w:szCs w:val="24"/>
        </w:rPr>
        <w:lastRenderedPageBreak/>
        <w:t>whereas for road traffic injuries, rate was 4 articles per million population. Northern Africa, India</w:t>
      </w:r>
      <w:r w:rsidR="00F81221">
        <w:rPr>
          <w:kern w:val="0"/>
          <w:szCs w:val="24"/>
        </w:rPr>
        <w:t xml:space="preserve"> and </w:t>
      </w:r>
      <w:r>
        <w:rPr>
          <w:kern w:val="0"/>
          <w:szCs w:val="24"/>
        </w:rPr>
        <w:t>China had less than one article on road traffic injuries per 1,000 road traffic related deaths. The percentage change in English papers on road traffic injuries for the period 2004-2007 in comparison to period 2001-2004 was +191 per cent for China, +118 per cent for India,</w:t>
      </w:r>
      <w:r w:rsidR="00F81221">
        <w:rPr>
          <w:kern w:val="0"/>
          <w:szCs w:val="24"/>
        </w:rPr>
        <w:t xml:space="preserve"> and </w:t>
      </w:r>
      <w:r>
        <w:rPr>
          <w:kern w:val="0"/>
          <w:szCs w:val="24"/>
        </w:rPr>
        <w:t>+106 per cent for Middle East. Unintentional injuries overall represented 18 per cent of the burden in terms of DALYs</w:t>
      </w:r>
      <w:r w:rsidR="00F81221">
        <w:rPr>
          <w:kern w:val="0"/>
          <w:szCs w:val="24"/>
        </w:rPr>
        <w:t xml:space="preserve"> and </w:t>
      </w:r>
      <w:r>
        <w:rPr>
          <w:kern w:val="0"/>
          <w:szCs w:val="24"/>
        </w:rPr>
        <w:t>represented only 2 per cent of all published articles. Interpretation &amp; conclusion: The results noticeably reflected the small proportion of papers on injuries, the dominance of US,</w:t>
      </w:r>
      <w:r w:rsidR="00F81221">
        <w:rPr>
          <w:kern w:val="0"/>
          <w:szCs w:val="24"/>
        </w:rPr>
        <w:t xml:space="preserve"> and </w:t>
      </w:r>
      <w:r>
        <w:rPr>
          <w:kern w:val="0"/>
          <w:szCs w:val="24"/>
        </w:rPr>
        <w:t>the apparent increase in percentage of road traffic injuries papers from low-</w:t>
      </w:r>
      <w:r w:rsidR="00F81221">
        <w:rPr>
          <w:kern w:val="0"/>
          <w:szCs w:val="24"/>
        </w:rPr>
        <w:t xml:space="preserve"> and </w:t>
      </w:r>
      <w:r>
        <w:rPr>
          <w:kern w:val="0"/>
          <w:szCs w:val="24"/>
        </w:rPr>
        <w:t>middle-income countries after World Health Day on Road Safety in 2004. Policies on injury prevention</w:t>
      </w:r>
      <w:r w:rsidR="00F81221">
        <w:rPr>
          <w:kern w:val="0"/>
          <w:szCs w:val="24"/>
        </w:rPr>
        <w:t xml:space="preserve"> and </w:t>
      </w:r>
      <w:r>
        <w:rPr>
          <w:kern w:val="0"/>
          <w:szCs w:val="24"/>
        </w:rPr>
        <w:t>safety in developing countries will be effective if based on local evidence</w:t>
      </w:r>
      <w:r w:rsidR="00F81221">
        <w:rPr>
          <w:kern w:val="0"/>
          <w:szCs w:val="24"/>
        </w:rPr>
        <w:t xml:space="preserve"> and </w:t>
      </w:r>
      <w:r>
        <w:rPr>
          <w:kern w:val="0"/>
          <w:szCs w:val="24"/>
        </w:rPr>
        <w:t>research,</w:t>
      </w:r>
      <w:r w:rsidR="00F81221">
        <w:rPr>
          <w:kern w:val="0"/>
          <w:szCs w:val="24"/>
        </w:rPr>
        <w:t xml:space="preserve"> and </w:t>
      </w:r>
      <w:r>
        <w:rPr>
          <w:kern w:val="0"/>
          <w:szCs w:val="24"/>
        </w:rPr>
        <w:t>designed to suit the social, political,</w:t>
      </w:r>
      <w:r w:rsidR="00F81221">
        <w:rPr>
          <w:kern w:val="0"/>
          <w:szCs w:val="24"/>
        </w:rPr>
        <w:t xml:space="preserve"> and </w:t>
      </w:r>
      <w:r>
        <w:rPr>
          <w:kern w:val="0"/>
          <w:szCs w:val="24"/>
        </w:rPr>
        <w:t>economic circumstances found in developing countries.</w:t>
      </w:r>
    </w:p>
    <w:p w:rsidR="007D2E74" w:rsidRPr="007A74B7" w:rsidRDefault="007D2E74" w:rsidP="007D2E74">
      <w:pPr>
        <w:pStyle w:val="a0"/>
        <w:rPr>
          <w:kern w:val="0"/>
          <w:szCs w:val="24"/>
        </w:rPr>
      </w:pPr>
      <w:r>
        <w:rPr>
          <w:kern w:val="0"/>
          <w:szCs w:val="24"/>
        </w:rPr>
        <w:t xml:space="preserve">Keywords: Bibliometric, Bibliometric Analysis, Burden of Disease, Countries, Developing Countries, Developing-Countries, Disease Burden, Eastern Europe, Europe, Injury Prevention, Literature, Papers, Public Health, </w:t>
      </w:r>
      <w:r w:rsidR="005402E7">
        <w:rPr>
          <w:kern w:val="0"/>
          <w:szCs w:val="24"/>
        </w:rPr>
        <w:t>PUBMED</w:t>
      </w:r>
      <w:r>
        <w:rPr>
          <w:kern w:val="0"/>
          <w:szCs w:val="24"/>
        </w:rPr>
        <w:t>, Research, Road Traffic Injuries, Unintentional Injuries, US</w:t>
      </w:r>
    </w:p>
    <w:p w:rsidR="006B7713" w:rsidRDefault="006B7713" w:rsidP="006B7713">
      <w:pPr>
        <w:pStyle w:val="a0"/>
        <w:rPr>
          <w:kern w:val="0"/>
          <w:szCs w:val="24"/>
        </w:rPr>
      </w:pPr>
      <w:r>
        <w:rPr>
          <w:kern w:val="0"/>
          <w:szCs w:val="24"/>
        </w:rPr>
        <w:t xml:space="preserve">? Satyanarayana, K. (2010), Plagiarism: A scourge afflicting the Indian science. </w:t>
      </w:r>
      <w:r>
        <w:rPr>
          <w:i/>
          <w:iCs/>
          <w:kern w:val="0"/>
          <w:szCs w:val="24"/>
        </w:rPr>
        <w:t>Indian Journal of Medical Research</w:t>
      </w:r>
      <w:r>
        <w:rPr>
          <w:kern w:val="0"/>
          <w:szCs w:val="24"/>
        </w:rPr>
        <w:t xml:space="preserve">, </w:t>
      </w:r>
      <w:r>
        <w:rPr>
          <w:b/>
          <w:bCs/>
          <w:kern w:val="0"/>
          <w:szCs w:val="24"/>
        </w:rPr>
        <w:t>131</w:t>
      </w:r>
      <w:r>
        <w:rPr>
          <w:kern w:val="0"/>
          <w:szCs w:val="24"/>
        </w:rPr>
        <w:t xml:space="preserve"> (3), 373-376.</w:t>
      </w:r>
    </w:p>
    <w:p w:rsidR="006B7713" w:rsidRDefault="006B7713" w:rsidP="006B7713">
      <w:pPr>
        <w:pStyle w:val="a0"/>
        <w:rPr>
          <w:kern w:val="0"/>
          <w:szCs w:val="24"/>
        </w:rPr>
      </w:pPr>
      <w:r>
        <w:rPr>
          <w:rFonts w:hint="eastAsia"/>
          <w:kern w:val="0"/>
          <w:szCs w:val="24"/>
        </w:rPr>
        <w:t xml:space="preserve">Full Text: </w:t>
      </w:r>
      <w:hyperlink r:id="rId954" w:history="1">
        <w:r w:rsidR="007543D0" w:rsidRPr="007543D0">
          <w:rPr>
            <w:rStyle w:val="a5"/>
            <w:kern w:val="0"/>
            <w:szCs w:val="24"/>
          </w:rPr>
          <w:t>2010\Ind J Med Res131, 373.pdf</w:t>
        </w:r>
      </w:hyperlink>
    </w:p>
    <w:p w:rsidR="006B7713" w:rsidRDefault="006B7713" w:rsidP="006B7713">
      <w:pPr>
        <w:pStyle w:val="a0"/>
        <w:rPr>
          <w:kern w:val="0"/>
          <w:szCs w:val="24"/>
        </w:rPr>
      </w:pPr>
      <w:r>
        <w:rPr>
          <w:kern w:val="0"/>
          <w:szCs w:val="24"/>
        </w:rPr>
        <w:t>Keywords: Plagiarism</w:t>
      </w:r>
    </w:p>
    <w:p w:rsidR="007543D0" w:rsidRDefault="007543D0" w:rsidP="007543D0">
      <w:pPr>
        <w:pStyle w:val="a0"/>
        <w:rPr>
          <w:kern w:val="0"/>
        </w:rPr>
      </w:pPr>
      <w:r>
        <w:rPr>
          <w:rFonts w:hint="eastAsia"/>
          <w:kern w:val="0"/>
        </w:rPr>
        <w:t xml:space="preserve">? </w:t>
      </w:r>
      <w:r>
        <w:rPr>
          <w:kern w:val="0"/>
        </w:rPr>
        <w:t xml:space="preserve">Mony, P.K. and Srinivasan, K. (2011), A bibliometric analysis of published non-communicable disease research in India. </w:t>
      </w:r>
      <w:r>
        <w:rPr>
          <w:i/>
          <w:iCs/>
          <w:kern w:val="0"/>
        </w:rPr>
        <w:t>Indian Journal of Medical Research</w:t>
      </w:r>
      <w:r>
        <w:rPr>
          <w:kern w:val="0"/>
        </w:rPr>
        <w:t xml:space="preserve">, </w:t>
      </w:r>
      <w:r>
        <w:rPr>
          <w:b/>
          <w:bCs/>
          <w:kern w:val="0"/>
        </w:rPr>
        <w:t>134</w:t>
      </w:r>
      <w:r>
        <w:rPr>
          <w:kern w:val="0"/>
        </w:rPr>
        <w:t xml:space="preserve"> (2), 232-234</w:t>
      </w:r>
      <w:r>
        <w:rPr>
          <w:rFonts w:hint="eastAsia"/>
          <w:kern w:val="0"/>
        </w:rPr>
        <w:t>.</w:t>
      </w:r>
    </w:p>
    <w:p w:rsidR="007543D0" w:rsidRDefault="007543D0" w:rsidP="007543D0">
      <w:pPr>
        <w:pStyle w:val="a0"/>
        <w:rPr>
          <w:kern w:val="0"/>
          <w:szCs w:val="24"/>
        </w:rPr>
      </w:pPr>
      <w:r>
        <w:rPr>
          <w:rFonts w:hint="eastAsia"/>
          <w:kern w:val="0"/>
          <w:szCs w:val="24"/>
        </w:rPr>
        <w:t xml:space="preserve">Full Text: </w:t>
      </w:r>
      <w:hyperlink r:id="rId955" w:history="1">
        <w:r w:rsidRPr="00E50E20">
          <w:rPr>
            <w:rStyle w:val="a5"/>
            <w:kern w:val="0"/>
            <w:szCs w:val="24"/>
          </w:rPr>
          <w:t>2011\Ind J Med Res134, 232.pdf</w:t>
        </w:r>
      </w:hyperlink>
    </w:p>
    <w:p w:rsidR="007543D0" w:rsidRDefault="007543D0" w:rsidP="007543D0">
      <w:pPr>
        <w:pStyle w:val="a0"/>
        <w:rPr>
          <w:kern w:val="0"/>
        </w:rPr>
      </w:pPr>
      <w:r>
        <w:rPr>
          <w:kern w:val="0"/>
        </w:rPr>
        <w:t>Keywords: Analysis, Bibliometric, Bibliometric Analysis, Disease, Epidemiologic Transition, India, Prevention, Research</w:t>
      </w:r>
    </w:p>
    <w:p w:rsidR="00B95188" w:rsidRPr="00A428C3" w:rsidRDefault="007D2E74" w:rsidP="007D2E74">
      <w:pPr>
        <w:pStyle w:val="1"/>
      </w:pPr>
      <w:r w:rsidRPr="00217FB1">
        <w:br w:type="page"/>
      </w:r>
      <w:bookmarkStart w:id="881" w:name="_Toc489709749"/>
      <w:bookmarkStart w:id="882" w:name="_Toc490688036"/>
      <w:bookmarkStart w:id="883" w:name="_Toc492812146"/>
      <w:bookmarkStart w:id="884" w:name="_Toc186647835"/>
      <w:bookmarkStart w:id="885" w:name="_Toc317161127"/>
      <w:r w:rsidR="00B95188" w:rsidRPr="00A428C3">
        <w:lastRenderedPageBreak/>
        <w:t>Title:</w:t>
      </w:r>
      <w:bookmarkEnd w:id="881"/>
      <w:r w:rsidR="00B95188" w:rsidRPr="00A428C3">
        <w:t xml:space="preserve"> Indian Journal of Medical Research Section A-Infectious Diseases</w:t>
      </w:r>
      <w:bookmarkEnd w:id="882"/>
      <w:bookmarkEnd w:id="883"/>
      <w:bookmarkEnd w:id="884"/>
      <w:bookmarkEnd w:id="885"/>
    </w:p>
    <w:p w:rsidR="00B95188" w:rsidRPr="00BC10E1" w:rsidRDefault="00B95188" w:rsidP="00B72EF9">
      <w:pPr>
        <w:pStyle w:val="12"/>
      </w:pPr>
      <w:r w:rsidRPr="00BC10E1">
        <w:t>Full Journal Title: Indian Journal of Medical Research</w:t>
      </w:r>
    </w:p>
    <w:p w:rsidR="00B95188" w:rsidRPr="00BC10E1" w:rsidRDefault="00B95188" w:rsidP="00B72EF9">
      <w:pPr>
        <w:pStyle w:val="12"/>
      </w:pPr>
      <w:r w:rsidRPr="00BC10E1">
        <w:t>ISO Abbreviated Title: Indian J. Med. Res.</w:t>
      </w:r>
    </w:p>
    <w:p w:rsidR="00B95188" w:rsidRPr="00BC10E1" w:rsidRDefault="00B95188" w:rsidP="00B72EF9">
      <w:pPr>
        <w:pStyle w:val="12"/>
      </w:pPr>
      <w:r w:rsidRPr="00BC10E1">
        <w:t>JCR Abbreviated Title: Indian J Med Res</w:t>
      </w:r>
    </w:p>
    <w:p w:rsidR="00B95188" w:rsidRPr="00BC10E1" w:rsidRDefault="00B95188" w:rsidP="00B72EF9">
      <w:pPr>
        <w:pStyle w:val="12"/>
      </w:pPr>
      <w:r w:rsidRPr="00BC10E1">
        <w:t>ISSN: 0971-5916</w:t>
      </w:r>
    </w:p>
    <w:p w:rsidR="00B95188" w:rsidRPr="00BC10E1" w:rsidRDefault="00B95188" w:rsidP="00B72EF9">
      <w:pPr>
        <w:pStyle w:val="12"/>
      </w:pPr>
      <w:r w:rsidRPr="00BC10E1">
        <w:t>Issues/Year: 12</w:t>
      </w:r>
    </w:p>
    <w:p w:rsidR="00B95188" w:rsidRPr="00BC10E1" w:rsidRDefault="00B95188" w:rsidP="00B72EF9">
      <w:pPr>
        <w:pStyle w:val="12"/>
      </w:pPr>
      <w:r w:rsidRPr="00BC10E1">
        <w:t>Journal Country/Territory: India</w:t>
      </w:r>
    </w:p>
    <w:p w:rsidR="00B95188" w:rsidRPr="00BC10E1" w:rsidRDefault="00B95188" w:rsidP="00B72EF9">
      <w:pPr>
        <w:pStyle w:val="12"/>
      </w:pPr>
      <w:r w:rsidRPr="00BC10E1">
        <w:t>Language: English</w:t>
      </w:r>
    </w:p>
    <w:p w:rsidR="00B95188" w:rsidRPr="00BC10E1" w:rsidRDefault="00B95188" w:rsidP="00B72EF9">
      <w:pPr>
        <w:pStyle w:val="12"/>
      </w:pPr>
      <w:r w:rsidRPr="00BC10E1">
        <w:t>Publisher: Indian Council Medical Res</w:t>
      </w:r>
    </w:p>
    <w:p w:rsidR="00B95188" w:rsidRPr="00BC10E1" w:rsidRDefault="00B95188" w:rsidP="00B72EF9">
      <w:pPr>
        <w:pStyle w:val="12"/>
      </w:pPr>
      <w:r w:rsidRPr="00BC10E1">
        <w:t>Publisher address: PO Box 4911 Ansari Nagar, New Delhi 110029, India</w:t>
      </w:r>
    </w:p>
    <w:p w:rsidR="00B95188" w:rsidRPr="00BC10E1" w:rsidRDefault="00B95188" w:rsidP="00B72EF9">
      <w:pPr>
        <w:pStyle w:val="12"/>
      </w:pPr>
      <w:r w:rsidRPr="00BC10E1">
        <w:t>Subject Categories:</w:t>
      </w:r>
    </w:p>
    <w:p w:rsidR="00B95188" w:rsidRPr="00BC10E1" w:rsidRDefault="00B95188" w:rsidP="00B72EF9">
      <w:pPr>
        <w:pStyle w:val="12"/>
      </w:pPr>
      <w:r w:rsidRPr="00BC10E1">
        <w:t>Immunology Medicine, General &amp; Internal Medicine, Research &amp; Experimental: Impact Factor</w:t>
      </w:r>
    </w:p>
    <w:p w:rsidR="00B95188" w:rsidRPr="00A428C3" w:rsidRDefault="00B95188" w:rsidP="00B95188">
      <w:pPr>
        <w:pStyle w:val="a0"/>
      </w:pPr>
      <w:r w:rsidRPr="00A428C3">
        <w:t xml:space="preserve">? Ramteke, P.W., Gaur, A., Pathak, S.P., Bhattacharjee, J.W. (1990), Antibiotic resistance of coliforms in drinking water in rural areas. </w:t>
      </w:r>
      <w:r w:rsidRPr="00A428C3">
        <w:rPr>
          <w:i/>
        </w:rPr>
        <w:t>Indian Journal of Medical Research Section A-Infectious Diseases</w:t>
      </w:r>
      <w:r w:rsidRPr="00A428C3">
        <w:t xml:space="preserve">, </w:t>
      </w:r>
      <w:r w:rsidRPr="00A428C3">
        <w:rPr>
          <w:b/>
        </w:rPr>
        <w:t>91</w:t>
      </w:r>
      <w:r w:rsidRPr="00A428C3">
        <w:t>, 185-188.</w:t>
      </w:r>
    </w:p>
    <w:p w:rsidR="00B95188" w:rsidRPr="00A428C3" w:rsidRDefault="00B95188" w:rsidP="00B95188">
      <w:pPr>
        <w:pStyle w:val="a0"/>
      </w:pPr>
      <w:r w:rsidRPr="00A428C3">
        <w:t xml:space="preserve">Abstract: The antibiotic sensitivity of 197 coliform sp. isolated from drinking water in five rural areas was studied. Twelve strains (6.1%) showed multiple antibiotic resistance, three (1.5%) of which were able to transfer the resistances to an </w:t>
      </w:r>
      <w:r w:rsidRPr="00A428C3">
        <w:rPr>
          <w:i/>
          <w:iCs/>
        </w:rPr>
        <w:t>Escherichia</w:t>
      </w:r>
      <w:r w:rsidRPr="00A428C3">
        <w:rPr>
          <w:i/>
        </w:rPr>
        <w:t xml:space="preserve"> coli</w:t>
      </w:r>
      <w:r w:rsidRPr="00A428C3">
        <w:t xml:space="preserve"> K-12 recipient. It seems unlikely that the occurrence of transmissible multiple antibiotic resistance among coliforms in drinking water in the areas studied poses a significant public health risk.</w:t>
      </w:r>
    </w:p>
    <w:p w:rsidR="0052796D" w:rsidRPr="00A428C3" w:rsidRDefault="0052796D" w:rsidP="0052796D">
      <w:pPr>
        <w:pStyle w:val="1"/>
      </w:pPr>
      <w:r w:rsidRPr="00A428C3">
        <w:br w:type="page"/>
      </w:r>
      <w:bookmarkStart w:id="886" w:name="_Toc317161128"/>
      <w:r w:rsidRPr="00A428C3">
        <w:lastRenderedPageBreak/>
        <w:t xml:space="preserve">Title: </w:t>
      </w:r>
      <w:r w:rsidRPr="0052796D">
        <w:rPr>
          <w:iCs/>
          <w:szCs w:val="24"/>
        </w:rPr>
        <w:t>Indian Journal of Ophthalmology</w:t>
      </w:r>
      <w:bookmarkEnd w:id="886"/>
    </w:p>
    <w:p w:rsidR="0052796D" w:rsidRPr="00BC10E1" w:rsidRDefault="0052796D" w:rsidP="00B72EF9">
      <w:pPr>
        <w:pStyle w:val="12"/>
        <w:rPr>
          <w:szCs w:val="19"/>
        </w:rPr>
      </w:pPr>
      <w:r w:rsidRPr="00A428C3">
        <w:t>Full Journal Title:</w:t>
      </w:r>
      <w:hyperlink r:id="rId956" w:history="1"/>
      <w:r w:rsidRPr="00BC10E1">
        <w:rPr>
          <w:iCs/>
        </w:rPr>
        <w:t xml:space="preserve"> </w:t>
      </w:r>
      <w:hyperlink r:id="rId957" w:history="1">
        <w:r w:rsidRPr="0052796D">
          <w:rPr>
            <w:rStyle w:val="a5"/>
            <w:iCs/>
          </w:rPr>
          <w:t>Indian Journal of Ophthalmology</w:t>
        </w:r>
      </w:hyperlink>
    </w:p>
    <w:p w:rsidR="0052796D" w:rsidRPr="00A428C3" w:rsidRDefault="0052796D" w:rsidP="00B72EF9">
      <w:pPr>
        <w:pStyle w:val="12"/>
      </w:pPr>
      <w:r w:rsidRPr="00A428C3">
        <w:t xml:space="preserve">ISO Abbreviated Title: </w:t>
      </w:r>
    </w:p>
    <w:p w:rsidR="0052796D" w:rsidRPr="00A428C3" w:rsidRDefault="0052796D" w:rsidP="00B72EF9">
      <w:pPr>
        <w:pStyle w:val="12"/>
      </w:pPr>
      <w:r w:rsidRPr="00A428C3">
        <w:t xml:space="preserve">JCR Abbreviated Title: </w:t>
      </w:r>
    </w:p>
    <w:p w:rsidR="0052796D" w:rsidRPr="00A428C3" w:rsidRDefault="0052796D" w:rsidP="00B72EF9">
      <w:pPr>
        <w:pStyle w:val="12"/>
      </w:pPr>
      <w:r w:rsidRPr="00A428C3">
        <w:t xml:space="preserve">ISSN: </w:t>
      </w:r>
    </w:p>
    <w:p w:rsidR="0052796D" w:rsidRPr="00A428C3" w:rsidRDefault="0052796D" w:rsidP="00B72EF9">
      <w:pPr>
        <w:pStyle w:val="12"/>
      </w:pPr>
      <w:r w:rsidRPr="00A428C3">
        <w:t xml:space="preserve">Issues/Year: </w:t>
      </w:r>
    </w:p>
    <w:p w:rsidR="0052796D" w:rsidRPr="00A428C3" w:rsidRDefault="0052796D" w:rsidP="00B72EF9">
      <w:pPr>
        <w:pStyle w:val="12"/>
      </w:pPr>
      <w:r>
        <w:t>Journal Country/Territory:</w:t>
      </w:r>
      <w:r w:rsidRPr="00A428C3">
        <w:t xml:space="preserve"> </w:t>
      </w:r>
    </w:p>
    <w:p w:rsidR="0052796D" w:rsidRPr="00A428C3" w:rsidRDefault="0052796D" w:rsidP="00B72EF9">
      <w:pPr>
        <w:pStyle w:val="12"/>
      </w:pPr>
      <w:r w:rsidRPr="00A428C3">
        <w:t xml:space="preserve">Language: </w:t>
      </w:r>
    </w:p>
    <w:p w:rsidR="0052796D" w:rsidRPr="00A428C3" w:rsidRDefault="0052796D" w:rsidP="00B72EF9">
      <w:pPr>
        <w:pStyle w:val="12"/>
      </w:pPr>
      <w:r w:rsidRPr="00A428C3">
        <w:t xml:space="preserve">Publisher: </w:t>
      </w:r>
    </w:p>
    <w:p w:rsidR="0052796D" w:rsidRPr="00A428C3" w:rsidRDefault="0052796D" w:rsidP="00B72EF9">
      <w:pPr>
        <w:pStyle w:val="12"/>
      </w:pPr>
      <w:r w:rsidRPr="00A428C3">
        <w:t xml:space="preserve">Publisher Address: </w:t>
      </w:r>
    </w:p>
    <w:p w:rsidR="0052796D" w:rsidRPr="00A428C3" w:rsidRDefault="0052796D" w:rsidP="00B72EF9">
      <w:pPr>
        <w:pStyle w:val="12"/>
      </w:pPr>
      <w:r w:rsidRPr="00A428C3">
        <w:t>Subject Categories:</w:t>
      </w:r>
    </w:p>
    <w:p w:rsidR="0052796D" w:rsidRPr="00A428C3" w:rsidRDefault="0052796D" w:rsidP="00B72EF9">
      <w:pPr>
        <w:pStyle w:val="12"/>
      </w:pPr>
      <w:r w:rsidRPr="00A428C3">
        <w:t xml:space="preserve">: Impact Factor </w:t>
      </w:r>
    </w:p>
    <w:p w:rsidR="0052796D" w:rsidRDefault="0052796D" w:rsidP="0052796D">
      <w:pPr>
        <w:pStyle w:val="a0"/>
        <w:rPr>
          <w:kern w:val="0"/>
          <w:szCs w:val="24"/>
        </w:rPr>
      </w:pPr>
      <w:r>
        <w:rPr>
          <w:rFonts w:hint="eastAsia"/>
          <w:kern w:val="0"/>
          <w:szCs w:val="24"/>
        </w:rPr>
        <w:t xml:space="preserve">? </w:t>
      </w:r>
      <w:r>
        <w:rPr>
          <w:kern w:val="0"/>
          <w:szCs w:val="24"/>
        </w:rPr>
        <w:t>Kumaragurupari, R., Sieving, P.C.</w:t>
      </w:r>
      <w:r w:rsidR="00F81221">
        <w:rPr>
          <w:kern w:val="0"/>
          <w:szCs w:val="24"/>
        </w:rPr>
        <w:t xml:space="preserve"> and </w:t>
      </w:r>
      <w:r>
        <w:rPr>
          <w:kern w:val="0"/>
          <w:szCs w:val="24"/>
        </w:rPr>
        <w:t>Lalitha, P. (2010), A bibliometric study of publications by Indian ophthalmologists</w:t>
      </w:r>
      <w:r w:rsidR="00F81221">
        <w:rPr>
          <w:kern w:val="0"/>
          <w:szCs w:val="24"/>
        </w:rPr>
        <w:t xml:space="preserve"> and </w:t>
      </w:r>
      <w:r>
        <w:rPr>
          <w:kern w:val="0"/>
          <w:szCs w:val="24"/>
        </w:rPr>
        <w:t xml:space="preserve">vision researchers, 2001-06. </w:t>
      </w:r>
      <w:r w:rsidRPr="0052796D">
        <w:rPr>
          <w:i/>
          <w:iCs/>
          <w:kern w:val="0"/>
          <w:szCs w:val="24"/>
        </w:rPr>
        <w:t>Indian Journal of Ophthalmology</w:t>
      </w:r>
      <w:r>
        <w:rPr>
          <w:kern w:val="0"/>
          <w:szCs w:val="24"/>
        </w:rPr>
        <w:t xml:space="preserve">, </w:t>
      </w:r>
      <w:r>
        <w:rPr>
          <w:b/>
          <w:bCs/>
          <w:kern w:val="0"/>
          <w:szCs w:val="24"/>
        </w:rPr>
        <w:t>58</w:t>
      </w:r>
      <w:r>
        <w:rPr>
          <w:kern w:val="0"/>
          <w:szCs w:val="24"/>
        </w:rPr>
        <w:t xml:space="preserve"> (4), 275-279.</w:t>
      </w:r>
    </w:p>
    <w:p w:rsidR="0052796D" w:rsidRDefault="0052796D" w:rsidP="0052796D">
      <w:pPr>
        <w:pStyle w:val="a0"/>
        <w:rPr>
          <w:kern w:val="0"/>
          <w:szCs w:val="24"/>
        </w:rPr>
      </w:pPr>
      <w:r>
        <w:rPr>
          <w:rFonts w:hint="eastAsia"/>
          <w:kern w:val="0"/>
          <w:szCs w:val="24"/>
        </w:rPr>
        <w:t xml:space="preserve">Full Text: </w:t>
      </w:r>
      <w:r>
        <w:rPr>
          <w:iCs/>
          <w:kern w:val="0"/>
          <w:szCs w:val="24"/>
        </w:rPr>
        <w:t>Ind J Op</w:t>
      </w:r>
      <w:r>
        <w:rPr>
          <w:rFonts w:hint="eastAsia"/>
          <w:iCs/>
          <w:kern w:val="0"/>
          <w:szCs w:val="24"/>
        </w:rPr>
        <w:t>h</w:t>
      </w:r>
      <w:r w:rsidRPr="003E66EE">
        <w:rPr>
          <w:bCs/>
          <w:kern w:val="0"/>
          <w:szCs w:val="24"/>
        </w:rPr>
        <w:t>58</w:t>
      </w:r>
      <w:r>
        <w:rPr>
          <w:kern w:val="0"/>
          <w:szCs w:val="24"/>
        </w:rPr>
        <w:t>, 275</w:t>
      </w:r>
      <w:r>
        <w:rPr>
          <w:rFonts w:hint="eastAsia"/>
          <w:kern w:val="0"/>
          <w:szCs w:val="24"/>
        </w:rPr>
        <w:t>.pdf</w:t>
      </w:r>
    </w:p>
    <w:p w:rsidR="0052796D" w:rsidRDefault="0052796D" w:rsidP="0052796D">
      <w:pPr>
        <w:pStyle w:val="a0"/>
        <w:rPr>
          <w:kern w:val="0"/>
          <w:szCs w:val="24"/>
        </w:rPr>
      </w:pPr>
      <w:r>
        <w:rPr>
          <w:kern w:val="0"/>
          <w:szCs w:val="24"/>
        </w:rPr>
        <w:t>Abstract: Objective: The objective was to conduct a bibliometric analysis of Indian ophthalmic papers published from 2001 to 2006 in the peer-reviewed journals, to assess productivity, trends in journal choice, publication types, research funding,</w:t>
      </w:r>
      <w:r w:rsidR="00F81221">
        <w:rPr>
          <w:kern w:val="0"/>
          <w:szCs w:val="24"/>
        </w:rPr>
        <w:t xml:space="preserve"> and </w:t>
      </w:r>
      <w:r>
        <w:rPr>
          <w:kern w:val="0"/>
          <w:szCs w:val="24"/>
        </w:rPr>
        <w:t>collaborative research. Materials</w:t>
      </w:r>
      <w:r w:rsidR="00F81221">
        <w:rPr>
          <w:kern w:val="0"/>
          <w:szCs w:val="24"/>
        </w:rPr>
        <w:t xml:space="preserve"> and </w:t>
      </w:r>
      <w:r>
        <w:rPr>
          <w:kern w:val="0"/>
          <w:szCs w:val="24"/>
        </w:rPr>
        <w:t>Methods: We searched PubMed for articles indicating both vision-related content</w:t>
      </w:r>
      <w:r w:rsidR="00F81221">
        <w:rPr>
          <w:kern w:val="0"/>
          <w:szCs w:val="24"/>
        </w:rPr>
        <w:t xml:space="preserve"> and </w:t>
      </w:r>
      <w:r>
        <w:rPr>
          <w:kern w:val="0"/>
          <w:szCs w:val="24"/>
        </w:rPr>
        <w:t>author affiliation with an Indian research center. We identified research collaborations</w:t>
      </w:r>
      <w:r w:rsidR="00F81221">
        <w:rPr>
          <w:kern w:val="0"/>
          <w:szCs w:val="24"/>
        </w:rPr>
        <w:t xml:space="preserve"> and </w:t>
      </w:r>
      <w:r>
        <w:rPr>
          <w:kern w:val="0"/>
          <w:szCs w:val="24"/>
        </w:rPr>
        <w:t>funding from indexing for research support,</w:t>
      </w:r>
      <w:r w:rsidR="00F81221">
        <w:rPr>
          <w:kern w:val="0"/>
          <w:szCs w:val="24"/>
        </w:rPr>
        <w:t xml:space="preserve"> and </w:t>
      </w:r>
      <w:r>
        <w:rPr>
          <w:kern w:val="0"/>
          <w:szCs w:val="24"/>
        </w:rPr>
        <w:t>classified articles as reporting basic science, clinical science, or clinically descriptive research. Impact factors were determined from Journal Citation Reports for 2006. Results: The total number of published articles that were retrieved for the years 2001 to 2006 was 2163. During the six-year period studied, the annual output of research articles has nearly doubled, from 284 in 2001 to 460 in 2006. Two-thirds of these were published in international journals; 41% in vision-related journals with 2006 impact factors;</w:t>
      </w:r>
      <w:r w:rsidR="00F81221">
        <w:rPr>
          <w:kern w:val="0"/>
          <w:szCs w:val="24"/>
        </w:rPr>
        <w:t xml:space="preserve"> and </w:t>
      </w:r>
      <w:r>
        <w:rPr>
          <w:kern w:val="0"/>
          <w:szCs w:val="24"/>
        </w:rPr>
        <w:t>3% in impact factor journals which were not vision-related. Fifty percent of the publications came from nine major eye hospitals. Clinical science articles were most frequently published whereas basic science the least. Publications resulting from international collaborations increased from 3% in 2001 to 8% in 2006. The focus of the journal with the highest number of publications corresponds to the most common cause of bilateral blindness in India, cataract. Conclusion: This bibliometric study of publications of research from India in the field of ophthalmic</w:t>
      </w:r>
      <w:r w:rsidR="00F81221">
        <w:rPr>
          <w:kern w:val="0"/>
          <w:szCs w:val="24"/>
        </w:rPr>
        <w:t xml:space="preserve"> and </w:t>
      </w:r>
      <w:r>
        <w:rPr>
          <w:kern w:val="0"/>
          <w:szCs w:val="24"/>
        </w:rPr>
        <w:t>vision research shows that research productivity, as measured in both the number of publications in peer-reviewed journals</w:t>
      </w:r>
      <w:r w:rsidR="00F81221">
        <w:rPr>
          <w:kern w:val="0"/>
          <w:szCs w:val="24"/>
        </w:rPr>
        <w:t xml:space="preserve"> and </w:t>
      </w:r>
      <w:r>
        <w:rPr>
          <w:kern w:val="0"/>
          <w:szCs w:val="24"/>
        </w:rPr>
        <w:lastRenderedPageBreak/>
        <w:t>qualitative measures of those journals, has increased during the period of this study.</w:t>
      </w:r>
    </w:p>
    <w:p w:rsidR="0052796D" w:rsidRDefault="0052796D" w:rsidP="0052796D">
      <w:pPr>
        <w:pStyle w:val="a0"/>
        <w:rPr>
          <w:kern w:val="0"/>
          <w:szCs w:val="24"/>
        </w:rPr>
      </w:pPr>
      <w:r>
        <w:rPr>
          <w:kern w:val="0"/>
          <w:szCs w:val="24"/>
        </w:rPr>
        <w:t>Keywords: Author, Bibliometric, Bibliometric Analysis, Bibliometrics, Citation, India, Journals, Ophthalmic Research, Ophthalmology, Publication, Publications, Pub</w:t>
      </w:r>
      <w:r>
        <w:rPr>
          <w:rFonts w:hint="eastAsia"/>
          <w:kern w:val="0"/>
          <w:szCs w:val="24"/>
        </w:rPr>
        <w:t>M</w:t>
      </w:r>
      <w:r>
        <w:rPr>
          <w:kern w:val="0"/>
          <w:szCs w:val="24"/>
        </w:rPr>
        <w:t>ed, Research, Researchers, Science, Vision Research</w:t>
      </w:r>
    </w:p>
    <w:p w:rsidR="000C4A44" w:rsidRPr="00A428C3" w:rsidRDefault="000C4A44" w:rsidP="000C4A44">
      <w:pPr>
        <w:pStyle w:val="1"/>
      </w:pPr>
      <w:r w:rsidRPr="00A428C3">
        <w:br w:type="page"/>
      </w:r>
      <w:bookmarkStart w:id="887" w:name="_Toc317161129"/>
      <w:r w:rsidRPr="00A428C3">
        <w:lastRenderedPageBreak/>
        <w:t xml:space="preserve">Title: </w:t>
      </w:r>
      <w:r w:rsidRPr="000C4A44">
        <w:rPr>
          <w:iCs/>
        </w:rPr>
        <w:t>Indian Journal of Pharmaceutical Education</w:t>
      </w:r>
      <w:r w:rsidR="00F81221">
        <w:rPr>
          <w:iCs/>
        </w:rPr>
        <w:t xml:space="preserve"> and </w:t>
      </w:r>
      <w:r w:rsidRPr="000C4A44">
        <w:rPr>
          <w:iCs/>
        </w:rPr>
        <w:t>Research</w:t>
      </w:r>
      <w:bookmarkEnd w:id="887"/>
    </w:p>
    <w:p w:rsidR="000C4A44" w:rsidRPr="00BC10E1" w:rsidRDefault="000C4A44" w:rsidP="000C4A44">
      <w:pPr>
        <w:pStyle w:val="12"/>
        <w:rPr>
          <w:szCs w:val="19"/>
        </w:rPr>
      </w:pPr>
      <w:r w:rsidRPr="00A428C3">
        <w:t>Full Journal Title:</w:t>
      </w:r>
      <w:hyperlink r:id="rId958" w:history="1"/>
      <w:r w:rsidRPr="00BC10E1">
        <w:rPr>
          <w:iCs/>
        </w:rPr>
        <w:t xml:space="preserve"> </w:t>
      </w:r>
      <w:r w:rsidRPr="000C4A44">
        <w:rPr>
          <w:iCs/>
        </w:rPr>
        <w:t>Indian Journal of Pharmaceutical Education</w:t>
      </w:r>
      <w:r w:rsidR="00F81221">
        <w:rPr>
          <w:iCs/>
        </w:rPr>
        <w:t xml:space="preserve"> and </w:t>
      </w:r>
      <w:r w:rsidRPr="000C4A44">
        <w:rPr>
          <w:iCs/>
        </w:rPr>
        <w:t>Research</w:t>
      </w:r>
    </w:p>
    <w:p w:rsidR="000C4A44" w:rsidRPr="00A428C3" w:rsidRDefault="000C4A44" w:rsidP="000C4A44">
      <w:pPr>
        <w:pStyle w:val="12"/>
      </w:pPr>
      <w:r w:rsidRPr="00A428C3">
        <w:t xml:space="preserve">ISO Abbreviated Title: </w:t>
      </w:r>
    </w:p>
    <w:p w:rsidR="000C4A44" w:rsidRPr="00A428C3" w:rsidRDefault="000C4A44" w:rsidP="000C4A44">
      <w:pPr>
        <w:pStyle w:val="12"/>
      </w:pPr>
      <w:r w:rsidRPr="00A428C3">
        <w:t xml:space="preserve">JCR Abbreviated Title: </w:t>
      </w:r>
    </w:p>
    <w:p w:rsidR="000C4A44" w:rsidRPr="00A428C3" w:rsidRDefault="000C4A44" w:rsidP="000C4A44">
      <w:pPr>
        <w:pStyle w:val="12"/>
      </w:pPr>
      <w:r w:rsidRPr="00A428C3">
        <w:t xml:space="preserve">ISSN: </w:t>
      </w:r>
    </w:p>
    <w:p w:rsidR="000C4A44" w:rsidRPr="00A428C3" w:rsidRDefault="000C4A44" w:rsidP="000C4A44">
      <w:pPr>
        <w:pStyle w:val="12"/>
      </w:pPr>
      <w:r w:rsidRPr="00A428C3">
        <w:t xml:space="preserve">Issues/Year: </w:t>
      </w:r>
    </w:p>
    <w:p w:rsidR="000C4A44" w:rsidRPr="00A428C3" w:rsidRDefault="000C4A44" w:rsidP="000C4A44">
      <w:pPr>
        <w:pStyle w:val="12"/>
      </w:pPr>
      <w:r>
        <w:t>Journal Country/Territory:</w:t>
      </w:r>
      <w:r w:rsidRPr="00A428C3">
        <w:t xml:space="preserve"> </w:t>
      </w:r>
    </w:p>
    <w:p w:rsidR="000C4A44" w:rsidRPr="00A428C3" w:rsidRDefault="000C4A44" w:rsidP="000C4A44">
      <w:pPr>
        <w:pStyle w:val="12"/>
      </w:pPr>
      <w:r w:rsidRPr="00A428C3">
        <w:t xml:space="preserve">Language: </w:t>
      </w:r>
    </w:p>
    <w:p w:rsidR="000C4A44" w:rsidRPr="00A428C3" w:rsidRDefault="000C4A44" w:rsidP="000C4A44">
      <w:pPr>
        <w:pStyle w:val="12"/>
      </w:pPr>
      <w:r w:rsidRPr="00A428C3">
        <w:t xml:space="preserve">Publisher: </w:t>
      </w:r>
    </w:p>
    <w:p w:rsidR="000C4A44" w:rsidRPr="00A428C3" w:rsidRDefault="000C4A44" w:rsidP="000C4A44">
      <w:pPr>
        <w:pStyle w:val="12"/>
      </w:pPr>
      <w:r w:rsidRPr="00A428C3">
        <w:t xml:space="preserve">Publisher Address: </w:t>
      </w:r>
    </w:p>
    <w:p w:rsidR="000C4A44" w:rsidRPr="00A428C3" w:rsidRDefault="000C4A44" w:rsidP="000C4A44">
      <w:pPr>
        <w:pStyle w:val="12"/>
      </w:pPr>
      <w:r w:rsidRPr="00A428C3">
        <w:t>Subject Categories:</w:t>
      </w:r>
    </w:p>
    <w:p w:rsidR="000C4A44" w:rsidRPr="00A428C3" w:rsidRDefault="000C4A44" w:rsidP="000C4A44">
      <w:pPr>
        <w:pStyle w:val="12"/>
      </w:pPr>
      <w:r w:rsidRPr="00A428C3">
        <w:t xml:space="preserve">: Impact Factor </w:t>
      </w:r>
    </w:p>
    <w:p w:rsidR="000C4A44" w:rsidRDefault="000C4A44" w:rsidP="000C4A44">
      <w:pPr>
        <w:pStyle w:val="a0"/>
        <w:rPr>
          <w:kern w:val="0"/>
        </w:rPr>
      </w:pPr>
      <w:r>
        <w:rPr>
          <w:rFonts w:hint="eastAsia"/>
          <w:kern w:val="0"/>
        </w:rPr>
        <w:t xml:space="preserve">? </w:t>
      </w:r>
      <w:r>
        <w:rPr>
          <w:kern w:val="0"/>
        </w:rPr>
        <w:t xml:space="preserve">Peddireddy, M.K.R. (2011), Pharmacological tools for the correction of gastrointestinal motility disorders. </w:t>
      </w:r>
      <w:r w:rsidRPr="000C4A44">
        <w:rPr>
          <w:i/>
          <w:iCs/>
          <w:kern w:val="0"/>
        </w:rPr>
        <w:t>Indian Journal of Pharmaceutical Education</w:t>
      </w:r>
      <w:r w:rsidR="00F81221">
        <w:rPr>
          <w:i/>
          <w:iCs/>
          <w:kern w:val="0"/>
        </w:rPr>
        <w:t xml:space="preserve"> and </w:t>
      </w:r>
      <w:r w:rsidRPr="000C4A44">
        <w:rPr>
          <w:i/>
          <w:iCs/>
          <w:kern w:val="0"/>
        </w:rPr>
        <w:t>Research</w:t>
      </w:r>
      <w:r>
        <w:rPr>
          <w:kern w:val="0"/>
        </w:rPr>
        <w:t xml:space="preserve">, </w:t>
      </w:r>
      <w:r>
        <w:rPr>
          <w:b/>
          <w:bCs/>
          <w:kern w:val="0"/>
        </w:rPr>
        <w:t>45</w:t>
      </w:r>
      <w:r>
        <w:rPr>
          <w:kern w:val="0"/>
        </w:rPr>
        <w:t xml:space="preserve"> (1), 15-24.</w:t>
      </w:r>
    </w:p>
    <w:p w:rsidR="000C4A44" w:rsidRDefault="000C4A44" w:rsidP="000C4A44">
      <w:pPr>
        <w:pStyle w:val="a0"/>
        <w:rPr>
          <w:kern w:val="0"/>
        </w:rPr>
      </w:pPr>
      <w:r>
        <w:rPr>
          <w:rFonts w:hint="eastAsia"/>
          <w:kern w:val="0"/>
        </w:rPr>
        <w:t xml:space="preserve">Full Text: </w:t>
      </w:r>
      <w:hyperlink r:id="rId959" w:history="1">
        <w:r w:rsidRPr="00055E72">
          <w:rPr>
            <w:rStyle w:val="a5"/>
            <w:kern w:val="0"/>
          </w:rPr>
          <w:t>2011\Ind J Pha Edu Res45, 15.pdf</w:t>
        </w:r>
      </w:hyperlink>
    </w:p>
    <w:p w:rsidR="000C4A44" w:rsidRDefault="000C4A44" w:rsidP="000C4A44">
      <w:pPr>
        <w:pStyle w:val="a0"/>
        <w:rPr>
          <w:kern w:val="0"/>
        </w:rPr>
      </w:pPr>
      <w:r>
        <w:rPr>
          <w:kern w:val="0"/>
        </w:rPr>
        <w:t>Abstract: A recent bibliographic survey in three reputed pharmacology journals during 2007 indicated that gastrointestinal (GI) pharmacology is the leading fields of pharmacological research. This led to undertake a bibliographic search for various pharmacological tools in exploring the common mechanisms involved in GI motility, which would help in suggesting corrections for its deranged state. 5-HT tools: Peristaltic</w:t>
      </w:r>
      <w:r w:rsidR="00F81221">
        <w:rPr>
          <w:kern w:val="0"/>
        </w:rPr>
        <w:t xml:space="preserve"> and </w:t>
      </w:r>
      <w:r>
        <w:rPr>
          <w:kern w:val="0"/>
        </w:rPr>
        <w:t>secretory reflexes are initiated by submucosal intrinsic primary afferent neurons through 5-HT. Discovery of 5-HT3 receptor antagonists (Ondansetron</w:t>
      </w:r>
      <w:r w:rsidR="00F81221">
        <w:rPr>
          <w:kern w:val="0"/>
        </w:rPr>
        <w:t xml:space="preserve"> and </w:t>
      </w:r>
      <w:r>
        <w:rPr>
          <w:kern w:val="0"/>
        </w:rPr>
        <w:t>granisetron) led to a major breakthrough in the control of chemotherapy-induced emesis. Cholinergic tools: Parasympathetic nervous system is the major one for maintaining normal intestinal motility by releasing acetylcholine (ACh) which stimulate cholinoceptors-muscarini (M)</w:t>
      </w:r>
      <w:r w:rsidR="00F81221">
        <w:rPr>
          <w:kern w:val="0"/>
        </w:rPr>
        <w:t xml:space="preserve"> and </w:t>
      </w:r>
      <w:r>
        <w:rPr>
          <w:kern w:val="0"/>
        </w:rPr>
        <w:t>nicotinic receptors. Contraction can also be induced by M receptor agonists (carbachol, oxotremorine)</w:t>
      </w:r>
      <w:r w:rsidR="00F81221">
        <w:rPr>
          <w:kern w:val="0"/>
        </w:rPr>
        <w:t xml:space="preserve"> and </w:t>
      </w:r>
      <w:r>
        <w:rPr>
          <w:kern w:val="0"/>
        </w:rPr>
        <w:t>with nicotinic agonists (nicotine, dimethylphenyl piperazinium iodide (DMPP)). These effects can be identified by muscarinic antagonists (atropine)</w:t>
      </w:r>
      <w:r w:rsidR="00F81221">
        <w:rPr>
          <w:kern w:val="0"/>
        </w:rPr>
        <w:t xml:space="preserve"> and </w:t>
      </w:r>
      <w:r>
        <w:rPr>
          <w:kern w:val="0"/>
        </w:rPr>
        <w:t xml:space="preserve">ganglionic blockers (mecamylamine). Tachykinin tools: TK antagonists (Aprepitant, SR140333) could counteract the most significant symptoms characterizing gut diseases. Nitric oxide(NO) tools: The gas, NO is considered as one of the important inhibitory mediators of non-adrenergic non-cholinergic (NANC) transmission in gut. Neuronal nitric oxide synthase inhibitors (Methyl arginine, nitroarginine) are used to identify NO actions. Vasoactive intestinal polypeptide (VIP) tools: VIP plays an important </w:t>
      </w:r>
      <w:r>
        <w:rPr>
          <w:kern w:val="0"/>
        </w:rPr>
        <w:lastRenderedPageBreak/>
        <w:t>role in the mediation of NANC relaxation of smooth muscles</w:t>
      </w:r>
      <w:r w:rsidR="00F81221">
        <w:rPr>
          <w:kern w:val="0"/>
        </w:rPr>
        <w:t xml:space="preserve"> and </w:t>
      </w:r>
      <w:r>
        <w:rPr>
          <w:kern w:val="0"/>
        </w:rPr>
        <w:t>in inhibitory regulation of GI motility. ATP</w:t>
      </w:r>
      <w:r w:rsidR="00F81221">
        <w:rPr>
          <w:kern w:val="0"/>
        </w:rPr>
        <w:t xml:space="preserve"> and </w:t>
      </w:r>
      <w:r>
        <w:rPr>
          <w:kern w:val="0"/>
        </w:rPr>
        <w:t>its tools: ATP acts on purinergic receptors on intestinal smooth muscle</w:t>
      </w:r>
      <w:r w:rsidR="00F81221">
        <w:rPr>
          <w:kern w:val="0"/>
        </w:rPr>
        <w:t xml:space="preserve"> and </w:t>
      </w:r>
      <w:r>
        <w:rPr>
          <w:kern w:val="0"/>
        </w:rPr>
        <w:t>nerve endings that causes relaxation or contraction. Pyridylisatogen, a specific ATP antagonist blocks the relaxation induced by ATP in guinea pig taenia caeci.</w:t>
      </w:r>
    </w:p>
    <w:p w:rsidR="000C4A44" w:rsidRDefault="000C4A44" w:rsidP="000C4A44">
      <w:pPr>
        <w:pStyle w:val="a0"/>
        <w:rPr>
          <w:kern w:val="0"/>
        </w:rPr>
      </w:pPr>
      <w:r>
        <w:rPr>
          <w:kern w:val="0"/>
        </w:rPr>
        <w:t>Keywords: 5-Ht Release, Bibliographic, Enterochromaffin Cells, Experimental Tools, Guinea-Pig Intestine, Journals, Motor Activity, Muscarinic Receptors, Myenteric Plexus, Nicotinic Acetylcholine-Receptors, Nitric-Oxide, Peristalsis, Peristaltic Reflex, Primary, Rat Small-Intestine, Research, Scientometric Study, Smooth-Muscle, Survey</w:t>
      </w:r>
    </w:p>
    <w:p w:rsidR="00BC10E1" w:rsidRPr="00A428C3" w:rsidRDefault="00BC10E1" w:rsidP="00BC10E1">
      <w:pPr>
        <w:pStyle w:val="1"/>
      </w:pPr>
      <w:r w:rsidRPr="00A428C3">
        <w:br w:type="page"/>
      </w:r>
      <w:bookmarkStart w:id="888" w:name="_Toc317161130"/>
      <w:r w:rsidRPr="00A428C3">
        <w:lastRenderedPageBreak/>
        <w:t xml:space="preserve">Title: </w:t>
      </w:r>
      <w:r w:rsidRPr="00BC10E1">
        <w:rPr>
          <w:iCs/>
        </w:rPr>
        <w:t xml:space="preserve">Indian </w:t>
      </w:r>
      <w:r w:rsidRPr="00BC10E1">
        <w:rPr>
          <w:rFonts w:hint="eastAsia"/>
          <w:iCs/>
        </w:rPr>
        <w:t xml:space="preserve">Journal of </w:t>
      </w:r>
      <w:r w:rsidRPr="00BC10E1">
        <w:rPr>
          <w:iCs/>
        </w:rPr>
        <w:t>Pediatrics</w:t>
      </w:r>
      <w:bookmarkEnd w:id="888"/>
    </w:p>
    <w:p w:rsidR="00BC10E1" w:rsidRPr="00BC10E1" w:rsidRDefault="00BC10E1" w:rsidP="00B72EF9">
      <w:pPr>
        <w:pStyle w:val="12"/>
        <w:rPr>
          <w:szCs w:val="19"/>
        </w:rPr>
      </w:pPr>
      <w:r w:rsidRPr="00A428C3">
        <w:t>Full Journal Title:</w:t>
      </w:r>
      <w:hyperlink r:id="rId960" w:history="1"/>
      <w:r w:rsidRPr="00BC10E1">
        <w:rPr>
          <w:iCs/>
        </w:rPr>
        <w:t xml:space="preserve"> </w:t>
      </w:r>
      <w:hyperlink r:id="rId961" w:history="1">
        <w:r w:rsidRPr="00BC10E1">
          <w:rPr>
            <w:rStyle w:val="a5"/>
            <w:iCs/>
          </w:rPr>
          <w:t xml:space="preserve">Indian </w:t>
        </w:r>
        <w:r w:rsidRPr="00BC10E1">
          <w:rPr>
            <w:rStyle w:val="a5"/>
            <w:rFonts w:hint="eastAsia"/>
            <w:iCs/>
          </w:rPr>
          <w:t xml:space="preserve">Journal of </w:t>
        </w:r>
        <w:r w:rsidRPr="00BC10E1">
          <w:rPr>
            <w:rStyle w:val="a5"/>
            <w:iCs/>
          </w:rPr>
          <w:t>Pediatrics</w:t>
        </w:r>
      </w:hyperlink>
    </w:p>
    <w:p w:rsidR="00BC10E1" w:rsidRPr="00A428C3" w:rsidRDefault="00BC10E1" w:rsidP="00B72EF9">
      <w:pPr>
        <w:pStyle w:val="12"/>
      </w:pPr>
      <w:r w:rsidRPr="00A428C3">
        <w:t xml:space="preserve">ISO Abbreviated Title: </w:t>
      </w:r>
    </w:p>
    <w:p w:rsidR="00BC10E1" w:rsidRPr="00A428C3" w:rsidRDefault="00BC10E1" w:rsidP="00B72EF9">
      <w:pPr>
        <w:pStyle w:val="12"/>
      </w:pPr>
      <w:r w:rsidRPr="00A428C3">
        <w:t xml:space="preserve">JCR Abbreviated Title: </w:t>
      </w:r>
    </w:p>
    <w:p w:rsidR="00BC10E1" w:rsidRPr="00A428C3" w:rsidRDefault="00BC10E1" w:rsidP="00B72EF9">
      <w:pPr>
        <w:pStyle w:val="12"/>
      </w:pPr>
      <w:r w:rsidRPr="00A428C3">
        <w:t xml:space="preserve">ISSN: </w:t>
      </w:r>
    </w:p>
    <w:p w:rsidR="00BC10E1" w:rsidRPr="00A428C3" w:rsidRDefault="00BC10E1" w:rsidP="00B72EF9">
      <w:pPr>
        <w:pStyle w:val="12"/>
      </w:pPr>
      <w:r w:rsidRPr="00A428C3">
        <w:t xml:space="preserve">Issues/Year: </w:t>
      </w:r>
    </w:p>
    <w:p w:rsidR="00BC10E1" w:rsidRPr="00A428C3" w:rsidRDefault="00BC10E1" w:rsidP="00B72EF9">
      <w:pPr>
        <w:pStyle w:val="12"/>
      </w:pPr>
      <w:r>
        <w:t>Journal Country/Territory:</w:t>
      </w:r>
      <w:r w:rsidRPr="00A428C3">
        <w:t xml:space="preserve"> </w:t>
      </w:r>
    </w:p>
    <w:p w:rsidR="00BC10E1" w:rsidRPr="00A428C3" w:rsidRDefault="00BC10E1" w:rsidP="00B72EF9">
      <w:pPr>
        <w:pStyle w:val="12"/>
      </w:pPr>
      <w:r w:rsidRPr="00A428C3">
        <w:t xml:space="preserve">Language: </w:t>
      </w:r>
    </w:p>
    <w:p w:rsidR="00BC10E1" w:rsidRPr="00A428C3" w:rsidRDefault="00BC10E1" w:rsidP="00B72EF9">
      <w:pPr>
        <w:pStyle w:val="12"/>
      </w:pPr>
      <w:r w:rsidRPr="00A428C3">
        <w:t xml:space="preserve">Publisher: </w:t>
      </w:r>
    </w:p>
    <w:p w:rsidR="00BC10E1" w:rsidRPr="00A428C3" w:rsidRDefault="00BC10E1" w:rsidP="00B72EF9">
      <w:pPr>
        <w:pStyle w:val="12"/>
      </w:pPr>
      <w:r w:rsidRPr="00A428C3">
        <w:t xml:space="preserve">Publisher Address: </w:t>
      </w:r>
    </w:p>
    <w:p w:rsidR="00BC10E1" w:rsidRPr="00A428C3" w:rsidRDefault="00BC10E1" w:rsidP="00B72EF9">
      <w:pPr>
        <w:pStyle w:val="12"/>
      </w:pPr>
      <w:r w:rsidRPr="00A428C3">
        <w:t>Subject Categories:</w:t>
      </w:r>
    </w:p>
    <w:p w:rsidR="00BC10E1" w:rsidRPr="00A428C3" w:rsidRDefault="00BC10E1" w:rsidP="00B72EF9">
      <w:pPr>
        <w:pStyle w:val="12"/>
      </w:pPr>
      <w:r w:rsidRPr="00A428C3">
        <w:t xml:space="preserve">: Impact Factor </w:t>
      </w:r>
    </w:p>
    <w:p w:rsidR="00BC10E1" w:rsidRPr="00A428C3" w:rsidRDefault="00BC10E1" w:rsidP="00BC10E1">
      <w:pPr>
        <w:pStyle w:val="a0"/>
      </w:pPr>
      <w:r w:rsidRPr="00A428C3">
        <w:t>? Teotia, M., Teotia, S.P.</w:t>
      </w:r>
      <w:r w:rsidR="00F81221">
        <w:t xml:space="preserve"> and </w:t>
      </w:r>
      <w:r w:rsidRPr="00A428C3">
        <w:t>Singh, K.P. (1998), Endemic chronic fluoride toxicity</w:t>
      </w:r>
      <w:r w:rsidR="00F81221">
        <w:t xml:space="preserve"> and </w:t>
      </w:r>
      <w:r w:rsidRPr="00A428C3">
        <w:t>dietary calcium deficiency interaction syndromes of metabolic bone disease</w:t>
      </w:r>
      <w:r w:rsidR="00F81221">
        <w:t xml:space="preserve"> and </w:t>
      </w:r>
      <w:r w:rsidRPr="00A428C3">
        <w:t xml:space="preserve">deformities in </w:t>
      </w:r>
      <w:smartTag w:uri="urn:schemas-microsoft-com:office:smarttags" w:element="place">
        <w:smartTag w:uri="urn:schemas-microsoft-com:office:smarttags" w:element="country-region">
          <w:r w:rsidRPr="00A428C3">
            <w:t>India</w:t>
          </w:r>
        </w:smartTag>
      </w:smartTag>
      <w:r w:rsidRPr="00A428C3">
        <w:t xml:space="preserve">: Year 2000. </w:t>
      </w:r>
      <w:r w:rsidRPr="00BC10E1">
        <w:rPr>
          <w:i/>
          <w:iCs/>
        </w:rPr>
        <w:t xml:space="preserve">Indian </w:t>
      </w:r>
      <w:r w:rsidRPr="00BC10E1">
        <w:rPr>
          <w:rFonts w:hint="eastAsia"/>
          <w:i/>
          <w:iCs/>
        </w:rPr>
        <w:t xml:space="preserve">Journal of </w:t>
      </w:r>
      <w:r w:rsidRPr="00BC10E1">
        <w:rPr>
          <w:i/>
          <w:iCs/>
        </w:rPr>
        <w:t>Pediatrics</w:t>
      </w:r>
      <w:r w:rsidRPr="00A428C3">
        <w:t xml:space="preserve">, </w:t>
      </w:r>
      <w:r>
        <w:rPr>
          <w:rFonts w:hint="eastAsia"/>
          <w:b/>
        </w:rPr>
        <w:t>6</w:t>
      </w:r>
      <w:r w:rsidRPr="00A428C3">
        <w:rPr>
          <w:b/>
        </w:rPr>
        <w:t>5</w:t>
      </w:r>
      <w:r w:rsidRPr="00A428C3">
        <w:t xml:space="preserve"> (3), 371-381.</w:t>
      </w:r>
    </w:p>
    <w:p w:rsidR="00BC10E1" w:rsidRPr="00A428C3" w:rsidRDefault="00BC10E1" w:rsidP="00BC10E1">
      <w:pPr>
        <w:pStyle w:val="a0"/>
      </w:pPr>
      <w:r>
        <w:rPr>
          <w:rFonts w:hint="eastAsia"/>
        </w:rPr>
        <w:t xml:space="preserve">Full Text: </w:t>
      </w:r>
      <w:hyperlink r:id="rId962" w:history="1">
        <w:r w:rsidRPr="00BC10E1">
          <w:rPr>
            <w:rStyle w:val="a5"/>
          </w:rPr>
          <w:t>1998\Ind J Ped65, 371.pdf</w:t>
        </w:r>
      </w:hyperlink>
    </w:p>
    <w:p w:rsidR="00BC10E1" w:rsidRPr="00A428C3" w:rsidRDefault="00BC10E1" w:rsidP="00BC10E1">
      <w:pPr>
        <w:pStyle w:val="a0"/>
      </w:pPr>
      <w:r w:rsidRPr="00A428C3">
        <w:t>Abstract: Epidemiological studies during 1963-1997 were conducted in 45,725 children exposed to high intake of endemic fluoride in the drinking water since their birth. Children with adequate (dietary calcium &gt; 800 mg/d)</w:t>
      </w:r>
      <w:r w:rsidR="00F81221">
        <w:t xml:space="preserve"> and </w:t>
      </w:r>
      <w:r w:rsidRPr="00A428C3">
        <w:t>inadequate (dietary calcium &lt; 300 mg/d) calcium nutrition</w:t>
      </w:r>
      <w:r w:rsidR="00F81221">
        <w:t xml:space="preserve"> and </w:t>
      </w:r>
      <w:r w:rsidRPr="00A428C3">
        <w:t>with comparable intakes of fluoride (mean 9.5±1.9 mg/d) were compared. The toxic-effects of fluoride were severe</w:t>
      </w:r>
      <w:r w:rsidR="00F81221">
        <w:t xml:space="preserve"> and </w:t>
      </w:r>
      <w:r w:rsidRPr="00A428C3">
        <w:t>more complex</w:t>
      </w:r>
      <w:r w:rsidR="00F81221">
        <w:t xml:space="preserve"> and </w:t>
      </w:r>
      <w:r w:rsidRPr="00A428C3">
        <w:t>the incidence of metabolic bone disease (rickets, osteoporosis. PTH bone disease)</w:t>
      </w:r>
      <w:r w:rsidR="00F81221">
        <w:t xml:space="preserve"> and </w:t>
      </w:r>
      <w:r w:rsidRPr="00A428C3">
        <w:t>bony leg deformities (genu valgum, genu varum, bowing, rotational</w:t>
      </w:r>
      <w:r w:rsidR="00F81221">
        <w:t xml:space="preserve"> and </w:t>
      </w:r>
      <w:r w:rsidRPr="00A428C3">
        <w:t>wind-swept) was greater (&gt; 90%) in children with calcium deficiency as compared to &lt; 25% in children with adequate calcium who largely had osteosclerotic form of skeletal fluorosis with minimal secondary hyperparathyroidism. The syndrome of skeletal fluorosis</w:t>
      </w:r>
      <w:r w:rsidR="00F81221">
        <w:t xml:space="preserve"> and </w:t>
      </w:r>
      <w:r w:rsidRPr="00A428C3">
        <w:t>associated metabolic bone disease</w:t>
      </w:r>
      <w:r w:rsidR="00F81221">
        <w:t xml:space="preserve"> and </w:t>
      </w:r>
      <w:r w:rsidRPr="00A428C3">
        <w:t>deformity is a unique clinical entity classified as a variant of osteosclerotic form of skeletal fluorosis. This syndrome chiefly results from the biological impact of excess fluoride, low calcium, high PTH</w:t>
      </w:r>
      <w:r w:rsidR="00F81221">
        <w:t xml:space="preserve"> and </w:t>
      </w:r>
      <w:r w:rsidRPr="00A428C3">
        <w:t>1, 25 (OH)</w:t>
      </w:r>
      <w:r w:rsidRPr="00A428C3">
        <w:rPr>
          <w:vertAlign w:val="subscript"/>
        </w:rPr>
        <w:t>2</w:t>
      </w:r>
      <w:r w:rsidRPr="00A428C3">
        <w:t>D</w:t>
      </w:r>
      <w:r w:rsidRPr="00A428C3">
        <w:rPr>
          <w:vertAlign w:val="subscript"/>
        </w:rPr>
        <w:t>3</w:t>
      </w:r>
      <w:r w:rsidRPr="00A428C3">
        <w:t xml:space="preserve"> separately</w:t>
      </w:r>
      <w:r w:rsidR="00F81221">
        <w:t xml:space="preserve"> and </w:t>
      </w:r>
      <w:r w:rsidRPr="00A428C3">
        <w:t>through their interactions on bone structure</w:t>
      </w:r>
      <w:r w:rsidR="00F81221">
        <w:t xml:space="preserve"> and </w:t>
      </w:r>
      <w:r w:rsidRPr="00A428C3">
        <w:t>metabolism as studied by radiology, bone scanning, bone histomorphometry</w:t>
      </w:r>
      <w:r w:rsidR="00F81221">
        <w:t xml:space="preserve"> and </w:t>
      </w:r>
      <w:r w:rsidRPr="00A428C3">
        <w:t>relevant metabolic</w:t>
      </w:r>
      <w:r w:rsidR="00F81221">
        <w:t xml:space="preserve"> and </w:t>
      </w:r>
      <w:r w:rsidRPr="00A428C3">
        <w:t>endocrine laboratory investigations. Metabolically active</w:t>
      </w:r>
      <w:r w:rsidR="00F81221">
        <w:t xml:space="preserve"> and </w:t>
      </w:r>
      <w:r w:rsidRPr="00A428C3">
        <w:t>vascular bones of children accumulate fluoride at faster</w:t>
      </w:r>
      <w:r w:rsidR="00F81221">
        <w:t xml:space="preserve"> and </w:t>
      </w:r>
      <w:r w:rsidRPr="00A428C3">
        <w:t xml:space="preserve">greater rate than adults (at the sites of active growth). In calcium deficient children the toxic effects of fluoride manifest even at marginally high (&gt; 2.5 mg/d) exposures to fluoride. Fluoride toxicity also exaggerates the metabolic effects of calcium deficiency on bone. The findings </w:t>
      </w:r>
      <w:r w:rsidRPr="00A428C3">
        <w:lastRenderedPageBreak/>
        <w:t>strongly suggest that children with calcium deficiency rickets reported in the literature should be re-investigated for possible fluoride interactions. Deep bore drinking water supply with fluoride &lt; 0.5 ppm</w:t>
      </w:r>
      <w:r w:rsidR="00F81221">
        <w:t xml:space="preserve"> and </w:t>
      </w:r>
      <w:r w:rsidRPr="00A428C3">
        <w:t>improvement of calcium nutrition provide 100% protection against the toxic effects of fluoride</w:t>
      </w:r>
      <w:r w:rsidR="00F81221">
        <w:t xml:space="preserve"> and </w:t>
      </w:r>
      <w:r w:rsidRPr="00A428C3">
        <w:t>are recommended as the cost effective</w:t>
      </w:r>
      <w:r w:rsidR="00F81221">
        <w:t xml:space="preserve"> and </w:t>
      </w:r>
      <w:r w:rsidRPr="00A428C3">
        <w:t>practical public health measures for the prevention</w:t>
      </w:r>
      <w:r w:rsidR="00F81221">
        <w:t xml:space="preserve"> and </w:t>
      </w:r>
      <w:r w:rsidRPr="00A428C3">
        <w:t>control of endemic fluorosis.</w:t>
      </w:r>
    </w:p>
    <w:p w:rsidR="00B95188" w:rsidRPr="00A428C3" w:rsidRDefault="00B95188" w:rsidP="00B95188">
      <w:pPr>
        <w:pStyle w:val="1"/>
      </w:pPr>
      <w:r w:rsidRPr="00A428C3">
        <w:br w:type="page"/>
      </w:r>
      <w:bookmarkStart w:id="889" w:name="_Toc81215767"/>
      <w:bookmarkStart w:id="890" w:name="_Toc172925068"/>
      <w:bookmarkStart w:id="891" w:name="_Toc186647836"/>
      <w:bookmarkStart w:id="892" w:name="_Toc317161131"/>
      <w:r w:rsidRPr="00A428C3">
        <w:lastRenderedPageBreak/>
        <w:t xml:space="preserve">Title: </w:t>
      </w:r>
      <w:bookmarkEnd w:id="889"/>
      <w:bookmarkEnd w:id="890"/>
      <w:r w:rsidRPr="00A428C3">
        <w:rPr>
          <w:szCs w:val="19"/>
        </w:rPr>
        <w:t>Indian Pediatrics</w:t>
      </w:r>
      <w:bookmarkEnd w:id="891"/>
      <w:bookmarkEnd w:id="892"/>
    </w:p>
    <w:p w:rsidR="00BC10E1" w:rsidRPr="00A428C3" w:rsidRDefault="00BC10E1" w:rsidP="00B72EF9">
      <w:pPr>
        <w:pStyle w:val="12"/>
      </w:pPr>
      <w:r w:rsidRPr="00A428C3">
        <w:t xml:space="preserve">Full Journal Title: </w:t>
      </w:r>
      <w:hyperlink r:id="rId963" w:history="1">
        <w:r w:rsidRPr="00644790">
          <w:rPr>
            <w:rStyle w:val="a5"/>
            <w:szCs w:val="19"/>
          </w:rPr>
          <w:t>Indian Pediatrics</w:t>
        </w:r>
      </w:hyperlink>
    </w:p>
    <w:p w:rsidR="00CB57D7" w:rsidRDefault="00CB57D7" w:rsidP="00B72EF9">
      <w:pPr>
        <w:pStyle w:val="12"/>
      </w:pPr>
      <w:r>
        <w:t>ISO Abbrev. Title: Indian Pediatrics</w:t>
      </w:r>
    </w:p>
    <w:p w:rsidR="00CB57D7" w:rsidRDefault="00CB57D7" w:rsidP="00B72EF9">
      <w:pPr>
        <w:pStyle w:val="12"/>
      </w:pPr>
      <w:r>
        <w:t>JCR Abbrev. Title: Indian Pediatr</w:t>
      </w:r>
    </w:p>
    <w:p w:rsidR="00CB57D7" w:rsidRDefault="00CB57D7" w:rsidP="00B72EF9">
      <w:pPr>
        <w:pStyle w:val="12"/>
      </w:pPr>
      <w:r>
        <w:t>ISSN: 0019-6061</w:t>
      </w:r>
    </w:p>
    <w:p w:rsidR="00CB57D7" w:rsidRDefault="00CB57D7" w:rsidP="00B72EF9">
      <w:pPr>
        <w:pStyle w:val="12"/>
      </w:pPr>
      <w:r>
        <w:t>Issues/Year: 12</w:t>
      </w:r>
    </w:p>
    <w:p w:rsidR="00CB57D7" w:rsidRDefault="00CB57D7" w:rsidP="00B72EF9">
      <w:pPr>
        <w:pStyle w:val="12"/>
      </w:pPr>
      <w:r>
        <w:t>Language: English</w:t>
      </w:r>
    </w:p>
    <w:p w:rsidR="00CB57D7" w:rsidRDefault="00CB57D7" w:rsidP="00B72EF9">
      <w:pPr>
        <w:pStyle w:val="12"/>
      </w:pPr>
      <w:r>
        <w:t>Journal Country/Territory: India</w:t>
      </w:r>
    </w:p>
    <w:p w:rsidR="00CB57D7" w:rsidRDefault="00CB57D7" w:rsidP="00B72EF9">
      <w:pPr>
        <w:pStyle w:val="12"/>
      </w:pPr>
      <w:r>
        <w:t>Publisher: Indian Acad Pediatrics</w:t>
      </w:r>
    </w:p>
    <w:p w:rsidR="00CB57D7" w:rsidRDefault="00CB57D7" w:rsidP="00B72EF9">
      <w:pPr>
        <w:pStyle w:val="12"/>
      </w:pPr>
      <w:r>
        <w:t>Publisher Address: Maulana Azad Medical College, Dept Pediatrics, New Delhi 110 002, India</w:t>
      </w:r>
    </w:p>
    <w:p w:rsidR="00CB57D7" w:rsidRDefault="00CB57D7" w:rsidP="00B72EF9">
      <w:pPr>
        <w:pStyle w:val="12"/>
      </w:pPr>
      <w:r>
        <w:t xml:space="preserve">Subject Categories: </w:t>
      </w:r>
    </w:p>
    <w:p w:rsidR="00B95188" w:rsidRPr="00A428C3" w:rsidRDefault="00CB57D7" w:rsidP="00B72EF9">
      <w:pPr>
        <w:pStyle w:val="12"/>
      </w:pPr>
      <w:r>
        <w:t>Pediatrics</w:t>
      </w:r>
      <w:r w:rsidR="00B95188" w:rsidRPr="00A428C3">
        <w:t xml:space="preserve">: Impact Factor </w:t>
      </w:r>
    </w:p>
    <w:p w:rsidR="00BC10E1" w:rsidRDefault="00BC10E1" w:rsidP="00BC10E1">
      <w:pPr>
        <w:pStyle w:val="a0"/>
      </w:pPr>
      <w:r>
        <w:t>? Gupta, P., Yadav, M., Mohta, A.</w:t>
      </w:r>
      <w:r w:rsidR="00F81221">
        <w:t xml:space="preserve"> and </w:t>
      </w:r>
      <w:r>
        <w:t xml:space="preserve">Choudhury, P. (2005), References in Indian pediatrics: Authors need to be accurate. </w:t>
      </w:r>
      <w:r>
        <w:rPr>
          <w:i/>
          <w:iCs/>
        </w:rPr>
        <w:t>Indian Pediatrics</w:t>
      </w:r>
      <w:r>
        <w:t xml:space="preserve">, </w:t>
      </w:r>
      <w:r>
        <w:rPr>
          <w:b/>
          <w:bCs/>
        </w:rPr>
        <w:t>42</w:t>
      </w:r>
      <w:r>
        <w:t xml:space="preserve"> (2), 140-145.</w:t>
      </w:r>
    </w:p>
    <w:p w:rsidR="00BC10E1" w:rsidRDefault="00BC10E1" w:rsidP="00BC10E1">
      <w:pPr>
        <w:pStyle w:val="a0"/>
      </w:pPr>
      <w:r>
        <w:rPr>
          <w:rFonts w:hint="eastAsia"/>
        </w:rPr>
        <w:t xml:space="preserve">Full Text: </w:t>
      </w:r>
      <w:hyperlink r:id="rId964" w:history="1">
        <w:r w:rsidRPr="00AC6F22">
          <w:rPr>
            <w:rStyle w:val="a5"/>
          </w:rPr>
          <w:t>2005\Ind Ped42, 140.pdf</w:t>
        </w:r>
      </w:hyperlink>
    </w:p>
    <w:p w:rsidR="00BC10E1" w:rsidRDefault="00BC10E1" w:rsidP="00BC10E1">
      <w:pPr>
        <w:pStyle w:val="a0"/>
      </w:pPr>
      <w:r>
        <w:t>Abstract: To determine the accuracy of references published in Indian Pediatrics, we reviewed the reference lists appended to the original articles published in Indian Pediatrics during the year 2002 (volume 39) for citation</w:t>
      </w:r>
      <w:r w:rsidR="00F81221">
        <w:t xml:space="preserve"> and </w:t>
      </w:r>
      <w:r>
        <w:t>quotation accuracy. A total of 176 references out of 322 cited in 17 original articles could be retrieved from available resources. Errors of citation were found in 69 (39.2%) references while errors of quotation were found in 15 (8.6%) references. The most common errors were those in the name of authors</w:t>
      </w:r>
      <w:r w:rsidR="00F81221">
        <w:t xml:space="preserve"> and </w:t>
      </w:r>
      <w:r>
        <w:t>title of the article. Contributors should make serious efforts to check the accuracy of the references cited in their manuscripts.</w:t>
      </w:r>
    </w:p>
    <w:p w:rsidR="00BC10E1" w:rsidRDefault="00BC10E1" w:rsidP="00BC10E1">
      <w:pPr>
        <w:pStyle w:val="a0"/>
      </w:pPr>
      <w:r>
        <w:t>Keywords: Accuracy, Anesthesia, Citation, Error Rate, Errors, Indian Pediatrics, Journals, Pediatrics, Quality, Quotation, Quotation Accuracy, Reference, Volume</w:t>
      </w:r>
    </w:p>
    <w:p w:rsidR="00B95188" w:rsidRDefault="00B95188" w:rsidP="00B95188">
      <w:pPr>
        <w:pStyle w:val="a0"/>
      </w:pPr>
      <w:r w:rsidRPr="00A428C3">
        <w:t>? Gupta, P., Sharma, B.</w:t>
      </w:r>
      <w:r w:rsidR="00F81221">
        <w:t xml:space="preserve"> and </w:t>
      </w:r>
      <w:r w:rsidRPr="00A428C3">
        <w:t xml:space="preserve">Choudhury, P. (2007), Limiting authorship in Indian pediatrics: An initiative to curb gift authorship. </w:t>
      </w:r>
      <w:r w:rsidRPr="00A428C3">
        <w:rPr>
          <w:i/>
        </w:rPr>
        <w:t>Indian Pediatrics</w:t>
      </w:r>
      <w:r w:rsidRPr="00A428C3">
        <w:t xml:space="preserve">, </w:t>
      </w:r>
      <w:r w:rsidRPr="00A428C3">
        <w:rPr>
          <w:b/>
        </w:rPr>
        <w:t>44</w:t>
      </w:r>
      <w:r w:rsidRPr="00A428C3">
        <w:t xml:space="preserve"> (1), 37-39.</w:t>
      </w:r>
    </w:p>
    <w:p w:rsidR="00BC10E1" w:rsidRPr="00A428C3" w:rsidRDefault="00BC10E1" w:rsidP="00B95188">
      <w:pPr>
        <w:pStyle w:val="a0"/>
      </w:pPr>
      <w:r>
        <w:rPr>
          <w:rFonts w:hint="eastAsia"/>
        </w:rPr>
        <w:t xml:space="preserve">Full Text: </w:t>
      </w:r>
      <w:hyperlink r:id="rId965" w:history="1">
        <w:r w:rsidRPr="00BC10E1">
          <w:rPr>
            <w:rStyle w:val="a5"/>
          </w:rPr>
          <w:t>2007\Ind Ped44, 37.pdf</w:t>
        </w:r>
      </w:hyperlink>
    </w:p>
    <w:p w:rsidR="00B95188" w:rsidRPr="00A428C3" w:rsidRDefault="00B95188" w:rsidP="00B95188">
      <w:pPr>
        <w:pStyle w:val="a0"/>
      </w:pPr>
      <w:r w:rsidRPr="00A428C3">
        <w:t>Abstract: Indian Pediatrics limited the number of authorship to 5, 4</w:t>
      </w:r>
      <w:r w:rsidR="00F81221">
        <w:t xml:space="preserve"> and </w:t>
      </w:r>
      <w:r w:rsidRPr="00A428C3">
        <w:t>2 for Brief Reports (BR), Case Reports (CR),</w:t>
      </w:r>
      <w:r w:rsidR="00F81221">
        <w:t xml:space="preserve"> and </w:t>
      </w:r>
      <w:r w:rsidRPr="00A428C3">
        <w:t xml:space="preserve">Letters to the Editor (LE), respectively from January 2003, to curb gift authorship. To analyze the impact of this policy, a comparative analysis was conducted for years 2002-2004. Mean (SD) number of authors was comparable for the three categories over 2002-2004 [BR: 4.2(1.7), 3.8(1.4), 3.9(1.5); CR: 3.3(0.8), 3.3(0.8), 3.2(0.8); LE: 2.1(1.3), 1.9(0.9), 1.8(0.5); P &gt;0.05]. There was a signifcant reduction in the number of Senior authors during 2003-2004, as compared to 2002 (P &lt;0.05). The policy resulted in fewer authorship </w:t>
      </w:r>
      <w:r w:rsidRPr="00A428C3">
        <w:lastRenderedPageBreak/>
        <w:t>credits for Senior authors.</w:t>
      </w:r>
    </w:p>
    <w:p w:rsidR="00B95188" w:rsidRPr="00A428C3" w:rsidRDefault="00B95188" w:rsidP="00B95188">
      <w:pPr>
        <w:pStyle w:val="a0"/>
      </w:pPr>
      <w:r w:rsidRPr="00A428C3">
        <w:t>Keywords: Gift Authorship, Indian Pediatrics</w:t>
      </w:r>
    </w:p>
    <w:p w:rsidR="00B95188" w:rsidRPr="00A428C3" w:rsidRDefault="00B95188" w:rsidP="00B95188">
      <w:pPr>
        <w:pStyle w:val="1"/>
      </w:pPr>
      <w:r w:rsidRPr="00A428C3">
        <w:br w:type="page"/>
      </w:r>
      <w:bookmarkStart w:id="893" w:name="_Toc487192722"/>
      <w:bookmarkStart w:id="894" w:name="_Toc489709751"/>
      <w:bookmarkStart w:id="895" w:name="_Toc490688038"/>
      <w:bookmarkStart w:id="896" w:name="_Toc492812148"/>
      <w:bookmarkStart w:id="897" w:name="_Toc186647837"/>
      <w:bookmarkStart w:id="898" w:name="_Toc317161132"/>
      <w:r w:rsidRPr="00A428C3">
        <w:lastRenderedPageBreak/>
        <w:t>Title: Indian J Public Health</w:t>
      </w:r>
      <w:bookmarkEnd w:id="893"/>
      <w:bookmarkEnd w:id="894"/>
      <w:bookmarkEnd w:id="895"/>
      <w:bookmarkEnd w:id="896"/>
      <w:bookmarkEnd w:id="897"/>
      <w:bookmarkEnd w:id="898"/>
    </w:p>
    <w:p w:rsidR="00B95188" w:rsidRPr="00A428C3" w:rsidRDefault="00B95188" w:rsidP="00B95188">
      <w:pPr>
        <w:pStyle w:val="a0"/>
      </w:pPr>
      <w:r w:rsidRPr="00A428C3">
        <w:t>(Indian J. Public Health)</w:t>
      </w:r>
    </w:p>
    <w:p w:rsidR="00B95188" w:rsidRPr="00A428C3" w:rsidRDefault="00B95188" w:rsidP="00B95188">
      <w:pPr>
        <w:pStyle w:val="a0"/>
      </w:pPr>
      <w:r w:rsidRPr="00A428C3">
        <w:t xml:space="preserve">? Bhatta, N.V. (1966), A Study of coli-aerogenes contaminations of drinking water from human hands. </w:t>
      </w:r>
      <w:r w:rsidRPr="00A428C3">
        <w:rPr>
          <w:i/>
        </w:rPr>
        <w:t>Indian J Public Health</w:t>
      </w:r>
      <w:r w:rsidRPr="00A428C3">
        <w:t xml:space="preserve">, </w:t>
      </w:r>
      <w:r w:rsidRPr="00A428C3">
        <w:rPr>
          <w:b/>
        </w:rPr>
        <w:t>10</w:t>
      </w:r>
      <w:r w:rsidRPr="00A428C3">
        <w:t xml:space="preserve"> (4), 129-132.</w:t>
      </w:r>
    </w:p>
    <w:p w:rsidR="00B95188" w:rsidRPr="00A428C3" w:rsidRDefault="00B95188" w:rsidP="00B95188">
      <w:pPr>
        <w:pStyle w:val="a0"/>
      </w:pPr>
      <w:r w:rsidRPr="00A428C3">
        <w:t>? Sen, D.K., Adhya, A.K.</w:t>
      </w:r>
      <w:r w:rsidR="00F81221">
        <w:t xml:space="preserve"> and </w:t>
      </w:r>
      <w:r w:rsidRPr="00A428C3">
        <w:t>Das, K.K. (1973), Survey of drinking water supply</w:t>
      </w:r>
      <w:r w:rsidR="00F81221">
        <w:t xml:space="preserve"> and </w:t>
      </w:r>
      <w:r w:rsidRPr="00A428C3">
        <w:t xml:space="preserve">excreta disposal in slums in a selected urban locality in Calcutta-1970. </w:t>
      </w:r>
      <w:r w:rsidRPr="00A428C3">
        <w:rPr>
          <w:i/>
        </w:rPr>
        <w:t>Indian J Public Health</w:t>
      </w:r>
      <w:r w:rsidRPr="00A428C3">
        <w:t xml:space="preserve">, </w:t>
      </w:r>
      <w:r w:rsidRPr="00A428C3">
        <w:rPr>
          <w:b/>
        </w:rPr>
        <w:t>17</w:t>
      </w:r>
      <w:r w:rsidRPr="00A428C3">
        <w:t xml:space="preserve"> (1), 33-41.</w:t>
      </w:r>
    </w:p>
    <w:p w:rsidR="00B95188" w:rsidRPr="00A428C3" w:rsidRDefault="00B95188" w:rsidP="00B95188">
      <w:pPr>
        <w:pStyle w:val="a0"/>
      </w:pPr>
      <w:r w:rsidRPr="00A428C3">
        <w:t>? Rao, S.V. (1982), A review of WHO drinking water</w:t>
      </w:r>
      <w:r w:rsidR="00F81221">
        <w:t xml:space="preserve"> and </w:t>
      </w:r>
      <w:r w:rsidRPr="00A428C3">
        <w:t xml:space="preserve">sanitation decade-1981-1990. </w:t>
      </w:r>
      <w:r w:rsidRPr="00A428C3">
        <w:rPr>
          <w:i/>
        </w:rPr>
        <w:t>Indian J Public Health</w:t>
      </w:r>
      <w:r w:rsidRPr="00A428C3">
        <w:t xml:space="preserve">, </w:t>
      </w:r>
      <w:r w:rsidRPr="00A428C3">
        <w:rPr>
          <w:b/>
        </w:rPr>
        <w:t>26</w:t>
      </w:r>
      <w:r w:rsidRPr="00A428C3">
        <w:t xml:space="preserve"> (1), 60-61.</w:t>
      </w:r>
    </w:p>
    <w:p w:rsidR="00B95188" w:rsidRPr="00A428C3" w:rsidRDefault="00B95188" w:rsidP="00B95188">
      <w:pPr>
        <w:pStyle w:val="a0"/>
      </w:pPr>
      <w:r w:rsidRPr="00A428C3">
        <w:t>? Ray, S.K., Ghosh, S., Tiwari, I.C., Nagchaudhuri, J., Kaur, P.</w:t>
      </w:r>
      <w:r w:rsidR="00F81221">
        <w:t xml:space="preserve"> and </w:t>
      </w:r>
      <w:r w:rsidRPr="00A428C3">
        <w:t xml:space="preserve">Reddy, D.C. (1982), Prevalence of dental fluorosis in relation to fluoride in drinking water in two villages of Varanasi (U.P.). </w:t>
      </w:r>
      <w:r w:rsidRPr="00A428C3">
        <w:rPr>
          <w:i/>
        </w:rPr>
        <w:t>Indian J Public Health</w:t>
      </w:r>
      <w:r w:rsidRPr="00A428C3">
        <w:t xml:space="preserve">, </w:t>
      </w:r>
      <w:r w:rsidRPr="00A428C3">
        <w:rPr>
          <w:b/>
        </w:rPr>
        <w:t>26</w:t>
      </w:r>
      <w:r w:rsidRPr="00A428C3">
        <w:t xml:space="preserve"> (3), 173-178.</w:t>
      </w:r>
    </w:p>
    <w:p w:rsidR="00B95188" w:rsidRPr="00A428C3" w:rsidRDefault="00B95188" w:rsidP="00B95188">
      <w:pPr>
        <w:pStyle w:val="a0"/>
      </w:pPr>
      <w:r w:rsidRPr="00A428C3">
        <w:t>? Kaphalia, B.S., Chandra, H., Bhargava, S.K., Seth, T.D.</w:t>
      </w:r>
      <w:r w:rsidR="00F81221">
        <w:t xml:space="preserve"> and </w:t>
      </w:r>
      <w:r w:rsidRPr="00A428C3">
        <w:t xml:space="preserve">Gupta, B.N. (1983), Lead in drinking water. </w:t>
      </w:r>
      <w:r w:rsidRPr="00A428C3">
        <w:rPr>
          <w:i/>
        </w:rPr>
        <w:t>Indian J Public Health</w:t>
      </w:r>
      <w:r w:rsidRPr="00A428C3">
        <w:t xml:space="preserve">, </w:t>
      </w:r>
      <w:r w:rsidRPr="00A428C3">
        <w:rPr>
          <w:b/>
        </w:rPr>
        <w:t>27</w:t>
      </w:r>
      <w:r w:rsidRPr="00A428C3">
        <w:t xml:space="preserve"> (2), 64-69.</w:t>
      </w:r>
    </w:p>
    <w:p w:rsidR="00B95188" w:rsidRPr="00A428C3" w:rsidRDefault="00B95188" w:rsidP="00B95188">
      <w:pPr>
        <w:pStyle w:val="a0"/>
      </w:pPr>
      <w:r w:rsidRPr="00A428C3">
        <w:t>? Ray, S.K., Reddy, D.E., Kaur, P., Chaudhuri, J.N.</w:t>
      </w:r>
      <w:r w:rsidR="00F81221">
        <w:t xml:space="preserve"> and </w:t>
      </w:r>
      <w:r w:rsidRPr="00A428C3">
        <w:t xml:space="preserve">Tiwari, I.C. (1989), An epidemiological study of goitre in two rural communities of </w:t>
      </w:r>
      <w:smartTag w:uri="urn:schemas-microsoft-com:office:smarttags" w:element="place">
        <w:smartTag w:uri="urn:schemas-microsoft-com:office:smarttags" w:element="City">
          <w:r w:rsidRPr="00A428C3">
            <w:t>Varanasi</w:t>
          </w:r>
        </w:smartTag>
      </w:smartTag>
      <w:r w:rsidRPr="00A428C3">
        <w:t xml:space="preserve">. </w:t>
      </w:r>
      <w:r w:rsidRPr="00A428C3">
        <w:rPr>
          <w:i/>
        </w:rPr>
        <w:t>Indian J Public Health</w:t>
      </w:r>
      <w:r w:rsidRPr="00A428C3">
        <w:t xml:space="preserve">, </w:t>
      </w:r>
      <w:r w:rsidRPr="00A428C3">
        <w:rPr>
          <w:b/>
        </w:rPr>
        <w:t>33</w:t>
      </w:r>
      <w:r w:rsidRPr="00A428C3">
        <w:t xml:space="preserve"> (1), 9-14.</w:t>
      </w:r>
    </w:p>
    <w:p w:rsidR="00B95188" w:rsidRPr="00A428C3" w:rsidRDefault="00B95188" w:rsidP="00B95188">
      <w:pPr>
        <w:pStyle w:val="a0"/>
      </w:pPr>
      <w:r w:rsidRPr="00A428C3">
        <w:t xml:space="preserve">Abstract: A cross sectional study was conducted in two rural communities of </w:t>
      </w:r>
      <w:smartTag w:uri="urn:schemas-microsoft-com:office:smarttags" w:element="place">
        <w:smartTag w:uri="urn:schemas-microsoft-com:office:smarttags" w:element="City">
          <w:r w:rsidRPr="00A428C3">
            <w:t>Varanasi</w:t>
          </w:r>
        </w:smartTag>
      </w:smartTag>
      <w:r w:rsidRPr="00A428C3">
        <w:t xml:space="preserve"> during the period from January to December 1978 to find out the problem of endemic goitre. The overall prevalence of goitre was as high as 28.44% with 9.45% of adolescent (13-18 years) population having grade I enlargement. The highest prevalence was observed in 7-12 years of age group, the females being consistently more affected in all the age groups. The prevalence of goitre</w:t>
      </w:r>
      <w:r w:rsidR="00F81221">
        <w:t xml:space="preserve"> and </w:t>
      </w:r>
      <w:r w:rsidRPr="00A428C3">
        <w:t>iodine level of drinking water found to have an inverse relationship.</w:t>
      </w:r>
    </w:p>
    <w:p w:rsidR="00B95188" w:rsidRPr="00A428C3" w:rsidRDefault="00B95188" w:rsidP="00B95188">
      <w:pPr>
        <w:pStyle w:val="a0"/>
      </w:pPr>
      <w:r w:rsidRPr="00A428C3">
        <w:t>? Chakraborty, A.K. (1991), Drinking water supply</w:t>
      </w:r>
      <w:r w:rsidR="00F81221">
        <w:t xml:space="preserve"> and </w:t>
      </w:r>
      <w:r w:rsidRPr="00A428C3">
        <w:t xml:space="preserve">sanitation decade (1981-90) [editorial]. </w:t>
      </w:r>
      <w:r w:rsidRPr="00A428C3">
        <w:rPr>
          <w:i/>
        </w:rPr>
        <w:t>Indian J Public Health</w:t>
      </w:r>
      <w:r w:rsidRPr="00A428C3">
        <w:t xml:space="preserve">, </w:t>
      </w:r>
      <w:r w:rsidRPr="00A428C3">
        <w:rPr>
          <w:b/>
        </w:rPr>
        <w:t>35</w:t>
      </w:r>
      <w:r w:rsidRPr="00A428C3">
        <w:t xml:space="preserve"> (1), 3-4.</w:t>
      </w:r>
    </w:p>
    <w:p w:rsidR="00B95188" w:rsidRPr="00A428C3" w:rsidRDefault="00B95188" w:rsidP="00B95188">
      <w:pPr>
        <w:pStyle w:val="a0"/>
      </w:pPr>
      <w:r w:rsidRPr="00A428C3">
        <w:t>? Lal, P., Bansal, A.K., Aggarwal, C.S., Taneja, D.K.</w:t>
      </w:r>
      <w:r w:rsidR="00F81221">
        <w:t xml:space="preserve"> and </w:t>
      </w:r>
      <w:r w:rsidRPr="00A428C3">
        <w:t>Gogia, V. (1996), Incidence of diarrhoea</w:t>
      </w:r>
      <w:r w:rsidR="00F81221">
        <w:t xml:space="preserve"> and </w:t>
      </w:r>
      <w:r w:rsidRPr="00A428C3">
        <w:t>some related environmental</w:t>
      </w:r>
      <w:r w:rsidR="00F81221">
        <w:t xml:space="preserve"> and </w:t>
      </w:r>
      <w:r w:rsidRPr="00A428C3">
        <w:t xml:space="preserve">behavioural factors in Jhuggis of Delhi. </w:t>
      </w:r>
      <w:r w:rsidRPr="00A428C3">
        <w:rPr>
          <w:i/>
        </w:rPr>
        <w:t>Indian J Public Health</w:t>
      </w:r>
      <w:r w:rsidRPr="00A428C3">
        <w:t xml:space="preserve">, </w:t>
      </w:r>
      <w:r w:rsidRPr="00A428C3">
        <w:rPr>
          <w:b/>
        </w:rPr>
        <w:t>40</w:t>
      </w:r>
      <w:r w:rsidRPr="00A428C3">
        <w:t xml:space="preserve"> (2), 35-37.</w:t>
      </w:r>
    </w:p>
    <w:p w:rsidR="00B95188" w:rsidRPr="00A428C3" w:rsidRDefault="00B95188" w:rsidP="00B95188">
      <w:pPr>
        <w:pStyle w:val="a0"/>
      </w:pPr>
      <w:r w:rsidRPr="00A428C3">
        <w:t xml:space="preserve">Abstract: A total of 6285 persons residing in 1090 households in three Jhuggi clusters of </w:t>
      </w:r>
      <w:smartTag w:uri="urn:schemas-microsoft-com:office:smarttags" w:element="place">
        <w:smartTag w:uri="urn:schemas-microsoft-com:office:smarttags" w:element="City">
          <w:r w:rsidRPr="00A428C3">
            <w:t>Delhi</w:t>
          </w:r>
        </w:smartTag>
      </w:smartTag>
      <w:r w:rsidRPr="00A428C3">
        <w:t xml:space="preserve"> were studied for incidence of diarrhoea by 2 weeks recall method</w:t>
      </w:r>
      <w:r w:rsidR="00F81221">
        <w:t xml:space="preserve"> and </w:t>
      </w:r>
      <w:r w:rsidRPr="00A428C3">
        <w:t>environmental</w:t>
      </w:r>
      <w:r w:rsidR="00F81221">
        <w:t xml:space="preserve"> and </w:t>
      </w:r>
      <w:r w:rsidRPr="00A428C3">
        <w:t>behavioural factors affecting it. Overall incidence of Diarrhoea was 29.1 per thousand persons,</w:t>
      </w:r>
      <w:r w:rsidR="00F81221">
        <w:t xml:space="preserve"> and </w:t>
      </w:r>
      <w:r w:rsidRPr="00A428C3">
        <w:t>was selectively predominant among under fives (60.2 per thousand). This low incidence of diarrhoea could be attributed to safe drinking water availability</w:t>
      </w:r>
      <w:r w:rsidR="00F81221">
        <w:t xml:space="preserve"> and </w:t>
      </w:r>
      <w:r w:rsidRPr="00A428C3">
        <w:t>common practice of handwashing by most of the people. But unsafe storage of drinking water at household level (70.5%)</w:t>
      </w:r>
      <w:r w:rsidR="00F81221">
        <w:t xml:space="preserve"> and </w:t>
      </w:r>
      <w:r w:rsidRPr="00A428C3">
        <w:t xml:space="preserve">peridomestic open air defaecation by children (22.9%) are potential threat for </w:t>
      </w:r>
      <w:r w:rsidRPr="00A428C3">
        <w:lastRenderedPageBreak/>
        <w:t>transmission of the disease.</w:t>
      </w:r>
    </w:p>
    <w:p w:rsidR="00B95188" w:rsidRPr="00A428C3" w:rsidRDefault="00B95188" w:rsidP="00B95188">
      <w:pPr>
        <w:pStyle w:val="a0"/>
      </w:pPr>
      <w:r w:rsidRPr="00A428C3">
        <w:t>? Chakraborty, M., Saha, J.B., Bhattacharya, R.N., Roy, A.</w:t>
      </w:r>
      <w:r w:rsidR="00F81221">
        <w:t xml:space="preserve"> and </w:t>
      </w:r>
      <w:r w:rsidRPr="00A428C3">
        <w:t xml:space="preserve">Ram, R. (1997), Epidemiological correlates of dental caries in an urban slum of West Bengal. </w:t>
      </w:r>
      <w:r w:rsidRPr="00A428C3">
        <w:rPr>
          <w:i/>
        </w:rPr>
        <w:t>Indian J Public Health</w:t>
      </w:r>
      <w:r w:rsidRPr="00A428C3">
        <w:t xml:space="preserve">, </w:t>
      </w:r>
      <w:r w:rsidRPr="00A428C3">
        <w:rPr>
          <w:b/>
        </w:rPr>
        <w:t>41</w:t>
      </w:r>
      <w:r w:rsidRPr="00A428C3">
        <w:t xml:space="preserve"> (2), 56-60, 67.</w:t>
      </w:r>
    </w:p>
    <w:p w:rsidR="00B95188" w:rsidRPr="00A428C3" w:rsidRDefault="00B95188" w:rsidP="00B95188">
      <w:pPr>
        <w:pStyle w:val="a0"/>
      </w:pPr>
      <w:r w:rsidRPr="00A428C3">
        <w:t>Abstract: The overall prevalence of dental caries was found to be 57.47 percent in an urban slum irrespective of sex, with a maximum of 75.88 percent in the age group of 5-9 years. Habit of taking hard</w:t>
      </w:r>
      <w:r w:rsidR="00F81221">
        <w:t xml:space="preserve"> and </w:t>
      </w:r>
      <w:r w:rsidRPr="00A428C3">
        <w:t>sticky food, bad oral hygiene were some of the important epidemiological correlates. Fluoride content of drinking water did not show any significant role.</w:t>
      </w:r>
    </w:p>
    <w:p w:rsidR="00B95188" w:rsidRPr="00A428C3" w:rsidRDefault="00B95188" w:rsidP="00B95188">
      <w:pPr>
        <w:pStyle w:val="1"/>
      </w:pPr>
      <w:r w:rsidRPr="00A428C3">
        <w:br w:type="page"/>
      </w:r>
      <w:bookmarkStart w:id="899" w:name="_Toc186647838"/>
      <w:bookmarkStart w:id="900" w:name="_Toc317161133"/>
      <w:r w:rsidRPr="00A428C3">
        <w:lastRenderedPageBreak/>
        <w:t>Title: Indian Journal of Technology</w:t>
      </w:r>
      <w:bookmarkEnd w:id="899"/>
      <w:bookmarkEnd w:id="900"/>
    </w:p>
    <w:p w:rsidR="00B95188" w:rsidRPr="00A428C3" w:rsidRDefault="00B95188" w:rsidP="00B72EF9">
      <w:pPr>
        <w:pStyle w:val="12"/>
      </w:pPr>
      <w:r w:rsidRPr="00A428C3">
        <w:t>Full Journal Title: Indian Journal of Technology</w:t>
      </w:r>
    </w:p>
    <w:p w:rsidR="00B95188" w:rsidRPr="00A428C3" w:rsidRDefault="00B95188" w:rsidP="00B72EF9">
      <w:pPr>
        <w:pStyle w:val="12"/>
      </w:pPr>
      <w:r w:rsidRPr="00A428C3">
        <w:t>ISO Abbreviated Title: Indian J. Technol.</w:t>
      </w:r>
    </w:p>
    <w:p w:rsidR="00B95188" w:rsidRPr="00A428C3" w:rsidRDefault="00B95188" w:rsidP="00B72EF9">
      <w:pPr>
        <w:pStyle w:val="12"/>
      </w:pPr>
      <w:r w:rsidRPr="00A428C3">
        <w:t>JCR Abbreviated Title: Indian J Technol</w:t>
      </w:r>
    </w:p>
    <w:p w:rsidR="00B95188" w:rsidRPr="00A428C3" w:rsidRDefault="00B95188" w:rsidP="00B72EF9">
      <w:pPr>
        <w:pStyle w:val="12"/>
      </w:pPr>
      <w:r w:rsidRPr="00A428C3">
        <w:t>ISSN: 0019-5669</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Council Scientific Industrial Research, </w:t>
      </w:r>
      <w:smartTag w:uri="urn:schemas-microsoft-com:office:smarttags" w:element="place">
        <w:smartTag w:uri="urn:schemas-microsoft-com:office:smarttags" w:element="City">
          <w:r w:rsidRPr="00A428C3">
            <w:t>New Delhi</w:t>
          </w:r>
        </w:smartTag>
      </w:smartTag>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r w:rsidRPr="00A428C3">
        <w:rPr>
          <w:color w:val="008000"/>
        </w:rPr>
        <w:t xml:space="preserve"> Impact Factor</w:t>
      </w:r>
    </w:p>
    <w:p w:rsidR="00B95188" w:rsidRPr="00A428C3" w:rsidRDefault="00B95188" w:rsidP="00B95188">
      <w:pPr>
        <w:pStyle w:val="a0"/>
      </w:pPr>
      <w:r w:rsidRPr="00A428C3">
        <w:t>? Singh, B., Bhat, G.N.</w:t>
      </w:r>
      <w:r w:rsidR="00F81221">
        <w:t xml:space="preserve"> and </w:t>
      </w:r>
      <w:r w:rsidRPr="00A428C3">
        <w:t xml:space="preserve">Kuloor, N.R. (1965), Kinetics of adsorption of zinc acetate by charcoal from solutions. </w:t>
      </w:r>
      <w:r w:rsidRPr="00A428C3">
        <w:rPr>
          <w:i/>
          <w:iCs/>
        </w:rPr>
        <w:t>Indian Journal of Technology</w:t>
      </w:r>
      <w:r w:rsidRPr="00A428C3">
        <w:t xml:space="preserve">, </w:t>
      </w:r>
      <w:r w:rsidRPr="00A428C3">
        <w:rPr>
          <w:b/>
        </w:rPr>
        <w:t>3</w:t>
      </w:r>
      <w:r w:rsidRPr="00A428C3">
        <w:t xml:space="preserve"> (4), 119-??.</w:t>
      </w:r>
    </w:p>
    <w:p w:rsidR="00B95188" w:rsidRPr="00A428C3" w:rsidRDefault="00B95188" w:rsidP="00B95188">
      <w:pPr>
        <w:pStyle w:val="a0"/>
      </w:pPr>
      <w:r w:rsidRPr="00A428C3">
        <w:t>? John, P.T.</w:t>
      </w:r>
      <w:r w:rsidR="00F81221">
        <w:t xml:space="preserve"> and </w:t>
      </w:r>
      <w:r w:rsidRPr="00A428C3">
        <w:t xml:space="preserve">Datta, K.K. (1971), Derivation of adsorption isotherms for different pressure ranges from a single isotherm. </w:t>
      </w:r>
      <w:r w:rsidRPr="00A428C3">
        <w:rPr>
          <w:i/>
          <w:iCs/>
        </w:rPr>
        <w:t>Indian Journal of Technology</w:t>
      </w:r>
      <w:r w:rsidRPr="00A428C3">
        <w:t xml:space="preserve">, </w:t>
      </w:r>
      <w:r w:rsidRPr="00A428C3">
        <w:rPr>
          <w:b/>
        </w:rPr>
        <w:t>9</w:t>
      </w:r>
      <w:r w:rsidRPr="00A428C3">
        <w:t xml:space="preserve"> (6), 199-??.</w:t>
      </w:r>
    </w:p>
    <w:p w:rsidR="00B95188" w:rsidRPr="00A428C3" w:rsidRDefault="00B95188" w:rsidP="00B95188">
      <w:pPr>
        <w:pStyle w:val="a0"/>
      </w:pPr>
      <w:r w:rsidRPr="00A428C3">
        <w:t>? John, P.T.</w:t>
      </w:r>
      <w:r w:rsidR="00F81221">
        <w:t xml:space="preserve"> and </w:t>
      </w:r>
      <w:r w:rsidRPr="00A428C3">
        <w:t>Aggarwal, R.K. (1975), Adsorption-isotherm for determining monolayer capacity at any relative pressure</w:t>
      </w:r>
      <w:r w:rsidR="00F81221">
        <w:t xml:space="preserve"> and </w:t>
      </w:r>
      <w:r w:rsidRPr="00A428C3">
        <w:t xml:space="preserve">mean pore-size. </w:t>
      </w:r>
      <w:r w:rsidRPr="00A428C3">
        <w:rPr>
          <w:i/>
          <w:iCs/>
        </w:rPr>
        <w:t>Indian Journal of Technology</w:t>
      </w:r>
      <w:r w:rsidRPr="00A428C3">
        <w:t xml:space="preserve">, </w:t>
      </w:r>
      <w:r w:rsidRPr="00A428C3">
        <w:rPr>
          <w:b/>
        </w:rPr>
        <w:t>13</w:t>
      </w:r>
      <w:r w:rsidRPr="00A428C3">
        <w:t xml:space="preserve"> (12), 556-560.</w:t>
      </w:r>
    </w:p>
    <w:p w:rsidR="00B95188" w:rsidRPr="00A428C3" w:rsidRDefault="00B95188" w:rsidP="00B95188">
      <w:pPr>
        <w:pStyle w:val="a0"/>
      </w:pPr>
      <w:r w:rsidRPr="00A428C3">
        <w:t xml:space="preserve">? Sarfare, P.S. (1976), Direct evaluation of free-energy change from a single adsorption-isotherm. </w:t>
      </w:r>
      <w:r w:rsidRPr="00A428C3">
        <w:rPr>
          <w:i/>
          <w:iCs/>
        </w:rPr>
        <w:t>Indian Journal of Technology</w:t>
      </w:r>
      <w:r w:rsidRPr="00A428C3">
        <w:t xml:space="preserve">, </w:t>
      </w:r>
      <w:r w:rsidRPr="00A428C3">
        <w:rPr>
          <w:b/>
        </w:rPr>
        <w:t>14</w:t>
      </w:r>
      <w:r w:rsidRPr="00A428C3">
        <w:t xml:space="preserve"> (5), 219-221.</w:t>
      </w:r>
    </w:p>
    <w:p w:rsidR="00B95188" w:rsidRPr="00A428C3" w:rsidRDefault="00B95188" w:rsidP="00B95188">
      <w:pPr>
        <w:pStyle w:val="a0"/>
      </w:pPr>
      <w:r w:rsidRPr="00A428C3">
        <w:t>? Nagpal, K.C.</w:t>
      </w:r>
      <w:r w:rsidR="00F81221">
        <w:t xml:space="preserve"> and </w:t>
      </w:r>
      <w:r w:rsidRPr="00A428C3">
        <w:t xml:space="preserve">John, P.T. (1978), Comparison of isostere equation for adsorbed state with that based on John isotherm equation. </w:t>
      </w:r>
      <w:r w:rsidRPr="00A428C3">
        <w:rPr>
          <w:i/>
          <w:iCs/>
        </w:rPr>
        <w:t>Indian Journal of Technology</w:t>
      </w:r>
      <w:r w:rsidRPr="00A428C3">
        <w:t xml:space="preserve">, </w:t>
      </w:r>
      <w:r w:rsidRPr="00A428C3">
        <w:rPr>
          <w:b/>
        </w:rPr>
        <w:t>16</w:t>
      </w:r>
      <w:r w:rsidRPr="00A428C3">
        <w:t xml:space="preserve"> (3), 123-125.</w:t>
      </w:r>
    </w:p>
    <w:p w:rsidR="00B95188" w:rsidRPr="00A428C3" w:rsidRDefault="00B95188" w:rsidP="00B95188">
      <w:pPr>
        <w:pStyle w:val="a0"/>
      </w:pPr>
      <w:r w:rsidRPr="00A428C3">
        <w:t>? Nagpal, K.C., Ghori, T.A.K.</w:t>
      </w:r>
      <w:r w:rsidR="00F81221">
        <w:t xml:space="preserve"> and </w:t>
      </w:r>
      <w:r w:rsidRPr="00A428C3">
        <w:t>John, P.T. (1979), Implication of the linearity range</w:t>
      </w:r>
      <w:r w:rsidR="00F81221">
        <w:t xml:space="preserve"> and </w:t>
      </w:r>
      <w:r w:rsidRPr="00A428C3">
        <w:t xml:space="preserve">the extrapolation of Johns adsorption-isotherm. </w:t>
      </w:r>
      <w:r w:rsidRPr="00A428C3">
        <w:rPr>
          <w:i/>
          <w:iCs/>
        </w:rPr>
        <w:t>Indian Journal of Technology</w:t>
      </w:r>
      <w:r w:rsidRPr="00A428C3">
        <w:t xml:space="preserve">, </w:t>
      </w:r>
      <w:r w:rsidRPr="00A428C3">
        <w:rPr>
          <w:b/>
        </w:rPr>
        <w:t>17</w:t>
      </w:r>
      <w:r w:rsidRPr="00A428C3">
        <w:t xml:space="preserve"> (2), 73-76.</w:t>
      </w:r>
    </w:p>
    <w:p w:rsidR="00B95188" w:rsidRPr="00A428C3" w:rsidRDefault="00B95188" w:rsidP="00B95188">
      <w:pPr>
        <w:pStyle w:val="a0"/>
      </w:pPr>
      <w:r w:rsidRPr="00A428C3">
        <w:t>? Nagpal, K.C., Ghori, T.A.K.</w:t>
      </w:r>
      <w:r w:rsidR="00F81221">
        <w:t xml:space="preserve"> and </w:t>
      </w:r>
      <w:r w:rsidRPr="00A428C3">
        <w:t xml:space="preserve">John, P.T. (1979), Deduction of johns adsorption-isotherm equation from vapor diffusion equation. </w:t>
      </w:r>
      <w:r w:rsidRPr="00A428C3">
        <w:rPr>
          <w:i/>
          <w:iCs/>
        </w:rPr>
        <w:t>Indian Journal of Technology</w:t>
      </w:r>
      <w:r w:rsidRPr="00A428C3">
        <w:t xml:space="preserve">, </w:t>
      </w:r>
      <w:r w:rsidRPr="00A428C3">
        <w:rPr>
          <w:b/>
        </w:rPr>
        <w:t>17</w:t>
      </w:r>
      <w:r w:rsidRPr="00A428C3">
        <w:t xml:space="preserve"> (9), 361-363.</w:t>
      </w:r>
    </w:p>
    <w:p w:rsidR="00B95188" w:rsidRPr="00A428C3" w:rsidRDefault="00B95188" w:rsidP="00B95188">
      <w:pPr>
        <w:pStyle w:val="a0"/>
      </w:pPr>
      <w:r w:rsidRPr="00A428C3">
        <w:t>? John, P.T., Suri, D.K.</w:t>
      </w:r>
      <w:r w:rsidR="00F81221">
        <w:t xml:space="preserve"> and </w:t>
      </w:r>
      <w:r w:rsidRPr="00A428C3">
        <w:t>Nagpal, K.C. (1980), Degree</w:t>
      </w:r>
      <w:r w:rsidR="00F81221">
        <w:t xml:space="preserve"> and </w:t>
      </w:r>
      <w:r w:rsidRPr="00A428C3">
        <w:t>volume of microporosity</w:t>
      </w:r>
      <w:r w:rsidR="00F81221">
        <w:t xml:space="preserve"> and </w:t>
      </w:r>
      <w:r w:rsidRPr="00A428C3">
        <w:t xml:space="preserve">a measure of size range of micropores of adsorbents from the parameters of Johns isotherm. </w:t>
      </w:r>
      <w:r w:rsidRPr="00A428C3">
        <w:rPr>
          <w:i/>
          <w:iCs/>
        </w:rPr>
        <w:t>Indian Journal of Technology</w:t>
      </w:r>
      <w:r w:rsidRPr="00A428C3">
        <w:t xml:space="preserve">, </w:t>
      </w:r>
      <w:r w:rsidRPr="00A428C3">
        <w:rPr>
          <w:b/>
        </w:rPr>
        <w:t>18</w:t>
      </w:r>
      <w:r w:rsidRPr="00A428C3">
        <w:t xml:space="preserve"> (6), 225-228.</w:t>
      </w:r>
    </w:p>
    <w:p w:rsidR="00B95188" w:rsidRPr="00A428C3" w:rsidRDefault="00B95188" w:rsidP="00B95188">
      <w:pPr>
        <w:pStyle w:val="a0"/>
      </w:pPr>
      <w:r w:rsidRPr="00A428C3">
        <w:t>? John, P.T., Ghori, T.A.K.</w:t>
      </w:r>
      <w:r w:rsidR="00F81221">
        <w:t xml:space="preserve"> and </w:t>
      </w:r>
      <w:r w:rsidRPr="00A428C3">
        <w:t>Nagpal, K.C. (1980), Monolayer capacity from dye</w:t>
      </w:r>
      <w:r w:rsidR="00F81221">
        <w:t xml:space="preserve"> and </w:t>
      </w:r>
      <w:r w:rsidRPr="00A428C3">
        <w:t xml:space="preserve">other solutes adsorption by the application of Johns adsorption-isotherm. </w:t>
      </w:r>
      <w:r w:rsidRPr="00A428C3">
        <w:rPr>
          <w:i/>
          <w:iCs/>
        </w:rPr>
        <w:t>Indian Journal of Technology</w:t>
      </w:r>
      <w:r w:rsidRPr="00A428C3">
        <w:t xml:space="preserve">, </w:t>
      </w:r>
      <w:r w:rsidRPr="00A428C3">
        <w:rPr>
          <w:b/>
        </w:rPr>
        <w:t>18</w:t>
      </w:r>
      <w:r w:rsidRPr="00A428C3">
        <w:t xml:space="preserve"> (6), 261-262.</w:t>
      </w:r>
    </w:p>
    <w:p w:rsidR="00B95188" w:rsidRPr="00A428C3" w:rsidRDefault="00B95188" w:rsidP="00B95188">
      <w:pPr>
        <w:pStyle w:val="a0"/>
      </w:pPr>
      <w:r w:rsidRPr="00A428C3">
        <w:t>Singh, V.N., Mishra, G.</w:t>
      </w:r>
      <w:r w:rsidR="00F81221">
        <w:t xml:space="preserve"> and </w:t>
      </w:r>
      <w:r w:rsidRPr="00A428C3">
        <w:t xml:space="preserve">Panday, K.K. (1984), Removal of Congo Red by wollastonite. </w:t>
      </w:r>
      <w:r w:rsidRPr="00A428C3">
        <w:rPr>
          <w:i/>
          <w:iCs/>
        </w:rPr>
        <w:t>Indian Journal of Technology</w:t>
      </w:r>
      <w:r w:rsidRPr="00A428C3">
        <w:t xml:space="preserve">, </w:t>
      </w:r>
      <w:r w:rsidRPr="00A428C3">
        <w:rPr>
          <w:b/>
        </w:rPr>
        <w:t>22</w:t>
      </w:r>
      <w:r w:rsidRPr="00A428C3">
        <w:t xml:space="preserve"> (2), 70-71.</w:t>
      </w:r>
    </w:p>
    <w:p w:rsidR="00B95188" w:rsidRPr="00A428C3" w:rsidRDefault="00B95188" w:rsidP="00B95188">
      <w:pPr>
        <w:pStyle w:val="a0"/>
      </w:pPr>
      <w:r w:rsidRPr="00A428C3">
        <w:lastRenderedPageBreak/>
        <w:t xml:space="preserve">? </w:t>
      </w:r>
      <w:smartTag w:uri="urn:schemas-microsoft-com:office:smarttags" w:element="City">
        <w:r w:rsidRPr="00A428C3">
          <w:t>Das</w:t>
        </w:r>
      </w:smartTag>
      <w:r w:rsidRPr="00A428C3">
        <w:t>, N.C.</w:t>
      </w:r>
      <w:r w:rsidR="00F81221">
        <w:t xml:space="preserve"> and </w:t>
      </w:r>
      <w:r w:rsidRPr="00A428C3">
        <w:t xml:space="preserve">Bandyopadhyay, M. (1993), Removal of nickel by a low-cost natural medium l. </w:t>
      </w:r>
      <w:r w:rsidRPr="00A428C3">
        <w:rPr>
          <w:i/>
          <w:iCs/>
        </w:rPr>
        <w:t>Indian Journal of Technology</w:t>
      </w:r>
      <w:r w:rsidRPr="00A428C3">
        <w:t xml:space="preserve">, </w:t>
      </w:r>
      <w:r w:rsidRPr="00A428C3">
        <w:rPr>
          <w:b/>
        </w:rPr>
        <w:t>31</w:t>
      </w:r>
      <w:r w:rsidRPr="00A428C3">
        <w:t xml:space="preserve"> (3), 118-120.</w:t>
      </w:r>
    </w:p>
    <w:p w:rsidR="00B95188" w:rsidRPr="00A428C3" w:rsidRDefault="00B95188" w:rsidP="00B95188">
      <w:pPr>
        <w:pStyle w:val="a0"/>
      </w:pPr>
      <w:r w:rsidRPr="00A428C3">
        <w:t>Abstract: The efficiency of vermiculite in removing nickel from aqueous solutions has been studied in batch experiments. The sorption equilibria can be described by a linearised Freundlich isotherm. The uptake of nickel is a function of pH of the suspending medium</w:t>
      </w:r>
      <w:r w:rsidR="00F81221">
        <w:t xml:space="preserve"> and </w:t>
      </w:r>
      <w:r w:rsidRPr="00A428C3">
        <w:t>appreciable removal observed at both acidic</w:t>
      </w:r>
      <w:r w:rsidR="00F81221">
        <w:t xml:space="preserve"> and </w:t>
      </w:r>
      <w:r w:rsidRPr="00A428C3">
        <w:t>alkaline ranges. The spent vermiculite can be regenerated by acid</w:t>
      </w:r>
      <w:r w:rsidR="00F81221">
        <w:t xml:space="preserve"> and </w:t>
      </w:r>
      <w:r w:rsidRPr="00A428C3">
        <w:t>can be reused.</w:t>
      </w:r>
    </w:p>
    <w:p w:rsidR="00B95188" w:rsidRPr="00A428C3" w:rsidRDefault="00B95188" w:rsidP="00B95188">
      <w:pPr>
        <w:pStyle w:val="a0"/>
      </w:pPr>
      <w:r w:rsidRPr="00A428C3">
        <w:t>? Keerthinarayana, S.</w:t>
      </w:r>
      <w:r w:rsidR="00F81221">
        <w:t xml:space="preserve"> and </w:t>
      </w:r>
      <w:r w:rsidRPr="00A428C3">
        <w:t xml:space="preserve">Bandyopadhyay, M. (1993), Sorption of lindane by wood charcoal. </w:t>
      </w:r>
      <w:r w:rsidRPr="00A428C3">
        <w:rPr>
          <w:i/>
          <w:iCs/>
        </w:rPr>
        <w:t>Indian Journal of Technology</w:t>
      </w:r>
      <w:r w:rsidRPr="00A428C3">
        <w:t xml:space="preserve">, </w:t>
      </w:r>
      <w:r w:rsidRPr="00A428C3">
        <w:rPr>
          <w:b/>
        </w:rPr>
        <w:t>31</w:t>
      </w:r>
      <w:r w:rsidRPr="00A428C3">
        <w:t xml:space="preserve"> (11), 751-757.</w:t>
      </w:r>
    </w:p>
    <w:p w:rsidR="00B95188" w:rsidRPr="00A428C3" w:rsidRDefault="00B95188" w:rsidP="00B95188">
      <w:pPr>
        <w:pStyle w:val="a0"/>
      </w:pPr>
      <w:r w:rsidRPr="00A428C3">
        <w:t>Abstract: The locally available wood charcoal (WC) is utilized as a sorbent to remove lindane from aqueous phase. An attempt is made to increase the sorption potentiality by treating the WC with HCl</w:t>
      </w:r>
      <w:r w:rsidR="00F81221">
        <w:t xml:space="preserve"> and </w:t>
      </w:r>
      <w:r w:rsidRPr="00A428C3">
        <w:t>HNO</w:t>
      </w:r>
      <w:r w:rsidRPr="00A428C3">
        <w:rPr>
          <w:vertAlign w:val="subscript"/>
        </w:rPr>
        <w:t>3</w:t>
      </w:r>
      <w:r w:rsidRPr="00A428C3">
        <w:t>. Continuously stirred batch reactors (CSBR) are used to understand the significant effect of process parameters, like pH, ionic strength</w:t>
      </w:r>
      <w:r w:rsidR="00F81221">
        <w:t xml:space="preserve"> and </w:t>
      </w:r>
      <w:r w:rsidRPr="00A428C3">
        <w:t>sorbent dose, on sorption of lindane by WC (1N HNO, treated) (here afterwards referred as WCT). The increase in sorbent dosage (from 2.5</w:t>
      </w:r>
      <w:smartTag w:uri="urn:schemas-microsoft-com:office:smarttags" w:element="chmetcnv">
        <w:smartTagPr>
          <w:attr w:name="TCSC" w:val="0"/>
          <w:attr w:name="NumberType" w:val="1"/>
          <w:attr w:name="Negative" w:val="True"/>
          <w:attr w:name="HasSpace" w:val="True"/>
          <w:attr w:name="SourceValue" w:val="25"/>
          <w:attr w:name="UnitName" w:val="g"/>
        </w:smartTagPr>
        <w:r w:rsidRPr="00A428C3">
          <w:t>-25 g</w:t>
        </w:r>
      </w:smartTag>
      <w:r w:rsidRPr="00A428C3">
        <w:t>/L) increased the removal of lindane, for all sizes of WCT. However, the effect of ionic strength is least on lindane sorption. The effect of temperature on remover kinetics of lindane is also studied</w:t>
      </w:r>
      <w:r w:rsidR="00F81221">
        <w:t xml:space="preserve"> and </w:t>
      </w:r>
      <w:r w:rsidRPr="00A428C3">
        <w:t>the reaction rate is found to be directly proportional to the temperature. The isosteric heat of adsorption is -3.7 to -4.8 kcal/mol</w:t>
      </w:r>
      <w:r w:rsidR="00F81221">
        <w:t xml:space="preserve"> and </w:t>
      </w:r>
      <w:r w:rsidRPr="00A428C3">
        <w:t>hence the interaction between lindane</w:t>
      </w:r>
      <w:r w:rsidR="00F81221">
        <w:t xml:space="preserve"> and </w:t>
      </w:r>
      <w:r w:rsidRPr="00A428C3">
        <w:t>WCT is best explained as physi-sorption.</w:t>
      </w:r>
    </w:p>
    <w:p w:rsidR="001E07EF" w:rsidRPr="00A428C3" w:rsidRDefault="001E07EF" w:rsidP="001E07EF">
      <w:pPr>
        <w:pStyle w:val="1"/>
      </w:pPr>
      <w:r w:rsidRPr="00A428C3">
        <w:br w:type="page"/>
      </w:r>
      <w:bookmarkStart w:id="901" w:name="_Toc317161134"/>
      <w:r w:rsidRPr="00A428C3">
        <w:lastRenderedPageBreak/>
        <w:t xml:space="preserve">Title: </w:t>
      </w:r>
      <w:r w:rsidRPr="001E07EF">
        <w:rPr>
          <w:iCs/>
        </w:rPr>
        <w:t>Indoor Air</w:t>
      </w:r>
      <w:bookmarkEnd w:id="901"/>
    </w:p>
    <w:p w:rsidR="001E07EF" w:rsidRPr="00BC10E1" w:rsidRDefault="001E07EF" w:rsidP="001E07EF">
      <w:pPr>
        <w:pStyle w:val="12"/>
        <w:rPr>
          <w:szCs w:val="19"/>
        </w:rPr>
      </w:pPr>
      <w:r w:rsidRPr="00A428C3">
        <w:t>Full Journal Title:</w:t>
      </w:r>
      <w:hyperlink r:id="rId966" w:history="1"/>
      <w:r w:rsidRPr="00BC10E1">
        <w:rPr>
          <w:iCs/>
        </w:rPr>
        <w:t xml:space="preserve"> </w:t>
      </w:r>
      <w:r w:rsidRPr="001E07EF">
        <w:rPr>
          <w:iCs/>
        </w:rPr>
        <w:t>Indoor Air</w:t>
      </w:r>
    </w:p>
    <w:p w:rsidR="001E07EF" w:rsidRPr="00A428C3" w:rsidRDefault="001E07EF" w:rsidP="001E07EF">
      <w:pPr>
        <w:pStyle w:val="12"/>
      </w:pPr>
      <w:r w:rsidRPr="00A428C3">
        <w:t xml:space="preserve">ISO Abbreviated Title: </w:t>
      </w:r>
    </w:p>
    <w:p w:rsidR="001E07EF" w:rsidRPr="00A428C3" w:rsidRDefault="001E07EF" w:rsidP="001E07EF">
      <w:pPr>
        <w:pStyle w:val="12"/>
      </w:pPr>
      <w:r w:rsidRPr="00A428C3">
        <w:t xml:space="preserve">JCR Abbreviated Title: </w:t>
      </w:r>
    </w:p>
    <w:p w:rsidR="001E07EF" w:rsidRPr="00A428C3" w:rsidRDefault="001E07EF" w:rsidP="001E07EF">
      <w:pPr>
        <w:pStyle w:val="12"/>
      </w:pPr>
      <w:r w:rsidRPr="00A428C3">
        <w:t xml:space="preserve">ISSN: </w:t>
      </w:r>
    </w:p>
    <w:p w:rsidR="001E07EF" w:rsidRPr="00A428C3" w:rsidRDefault="001E07EF" w:rsidP="001E07EF">
      <w:pPr>
        <w:pStyle w:val="12"/>
      </w:pPr>
      <w:r w:rsidRPr="00A428C3">
        <w:t xml:space="preserve">Issues/Year: </w:t>
      </w:r>
    </w:p>
    <w:p w:rsidR="001E07EF" w:rsidRPr="00A428C3" w:rsidRDefault="001E07EF" w:rsidP="001E07EF">
      <w:pPr>
        <w:pStyle w:val="12"/>
      </w:pPr>
      <w:r>
        <w:t>Journal Country/Territory:</w:t>
      </w:r>
      <w:r w:rsidRPr="00A428C3">
        <w:t xml:space="preserve"> </w:t>
      </w:r>
    </w:p>
    <w:p w:rsidR="001E07EF" w:rsidRPr="00A428C3" w:rsidRDefault="001E07EF" w:rsidP="001E07EF">
      <w:pPr>
        <w:pStyle w:val="12"/>
      </w:pPr>
      <w:r w:rsidRPr="00A428C3">
        <w:t xml:space="preserve">Language: </w:t>
      </w:r>
    </w:p>
    <w:p w:rsidR="001E07EF" w:rsidRPr="00A428C3" w:rsidRDefault="001E07EF" w:rsidP="001E07EF">
      <w:pPr>
        <w:pStyle w:val="12"/>
      </w:pPr>
      <w:r w:rsidRPr="00A428C3">
        <w:t xml:space="preserve">Publisher: </w:t>
      </w:r>
    </w:p>
    <w:p w:rsidR="001E07EF" w:rsidRPr="00A428C3" w:rsidRDefault="001E07EF" w:rsidP="001E07EF">
      <w:pPr>
        <w:pStyle w:val="12"/>
      </w:pPr>
      <w:r w:rsidRPr="00A428C3">
        <w:t xml:space="preserve">Publisher Address: </w:t>
      </w:r>
    </w:p>
    <w:p w:rsidR="001E07EF" w:rsidRPr="00A428C3" w:rsidRDefault="001E07EF" w:rsidP="001E07EF">
      <w:pPr>
        <w:pStyle w:val="12"/>
      </w:pPr>
      <w:r w:rsidRPr="00A428C3">
        <w:t>Subject Categories:</w:t>
      </w:r>
    </w:p>
    <w:p w:rsidR="001E07EF" w:rsidRPr="00A428C3" w:rsidRDefault="001E07EF" w:rsidP="001E07EF">
      <w:pPr>
        <w:pStyle w:val="12"/>
      </w:pPr>
      <w:r w:rsidRPr="00A428C3">
        <w:t xml:space="preserve">: Impact Factor </w:t>
      </w:r>
    </w:p>
    <w:p w:rsidR="001E07EF" w:rsidRDefault="001E07EF" w:rsidP="001E07EF">
      <w:pPr>
        <w:pStyle w:val="a0"/>
        <w:rPr>
          <w:kern w:val="0"/>
        </w:rPr>
      </w:pPr>
      <w:r>
        <w:rPr>
          <w:rFonts w:hint="eastAsia"/>
          <w:kern w:val="0"/>
        </w:rPr>
        <w:t xml:space="preserve">? </w:t>
      </w:r>
      <w:r>
        <w:rPr>
          <w:kern w:val="0"/>
        </w:rPr>
        <w:t>Sundell, J.</w:t>
      </w:r>
      <w:r w:rsidR="00F81221">
        <w:rPr>
          <w:kern w:val="0"/>
        </w:rPr>
        <w:t xml:space="preserve"> and </w:t>
      </w:r>
      <w:r>
        <w:rPr>
          <w:kern w:val="0"/>
        </w:rPr>
        <w:t xml:space="preserve">Nazaroff, W.W. (2009), The most cited articles in Indoor Air, through 18 years. </w:t>
      </w:r>
      <w:r w:rsidRPr="001E07EF">
        <w:rPr>
          <w:i/>
          <w:iCs/>
          <w:kern w:val="0"/>
        </w:rPr>
        <w:t>Indoor Air</w:t>
      </w:r>
      <w:r>
        <w:rPr>
          <w:kern w:val="0"/>
        </w:rPr>
        <w:t xml:space="preserve">, </w:t>
      </w:r>
      <w:r>
        <w:rPr>
          <w:b/>
          <w:bCs/>
          <w:kern w:val="0"/>
        </w:rPr>
        <w:t>19</w:t>
      </w:r>
      <w:r>
        <w:rPr>
          <w:kern w:val="0"/>
        </w:rPr>
        <w:t xml:space="preserve"> (2), 91-92</w:t>
      </w:r>
      <w:r>
        <w:rPr>
          <w:rFonts w:hint="eastAsia"/>
          <w:kern w:val="0"/>
        </w:rPr>
        <w:t>.</w:t>
      </w:r>
    </w:p>
    <w:p w:rsidR="001E07EF" w:rsidRDefault="001E07EF" w:rsidP="001E07EF">
      <w:pPr>
        <w:pStyle w:val="a0"/>
        <w:rPr>
          <w:kern w:val="0"/>
        </w:rPr>
      </w:pPr>
      <w:r>
        <w:rPr>
          <w:rFonts w:hint="eastAsia"/>
          <w:kern w:val="0"/>
        </w:rPr>
        <w:t xml:space="preserve">Full Text: </w:t>
      </w:r>
      <w:hyperlink r:id="rId967" w:history="1">
        <w:r w:rsidRPr="001E07EF">
          <w:rPr>
            <w:rStyle w:val="a5"/>
            <w:kern w:val="0"/>
          </w:rPr>
          <w:t>2009\Ind Air19, 91.pdf</w:t>
        </w:r>
      </w:hyperlink>
    </w:p>
    <w:p w:rsidR="00B95188" w:rsidRPr="00A428C3" w:rsidRDefault="00B95188" w:rsidP="00B95188">
      <w:pPr>
        <w:pStyle w:val="1"/>
      </w:pPr>
      <w:r w:rsidRPr="00A428C3">
        <w:br w:type="page"/>
      </w:r>
      <w:bookmarkStart w:id="902" w:name="_Toc492812149"/>
      <w:bookmarkStart w:id="903" w:name="_Toc186647839"/>
      <w:bookmarkStart w:id="904" w:name="_Toc317161135"/>
      <w:r w:rsidRPr="00A428C3">
        <w:lastRenderedPageBreak/>
        <w:t>Title: Indoor Air-International Journal of Indoor Air Quality</w:t>
      </w:r>
      <w:r w:rsidR="00F81221">
        <w:t xml:space="preserve"> and </w:t>
      </w:r>
      <w:r w:rsidRPr="00A428C3">
        <w:t>Climate</w:t>
      </w:r>
      <w:bookmarkEnd w:id="902"/>
      <w:bookmarkEnd w:id="903"/>
      <w:bookmarkEnd w:id="904"/>
    </w:p>
    <w:p w:rsidR="00B95188" w:rsidRPr="00A428C3" w:rsidRDefault="00B95188" w:rsidP="00B72EF9">
      <w:pPr>
        <w:pStyle w:val="12"/>
      </w:pPr>
      <w:r w:rsidRPr="00A428C3">
        <w:t>Full Journal Title: Indoor Air-International Journal of Indoor Air Quality</w:t>
      </w:r>
      <w:r w:rsidR="00F81221">
        <w:t xml:space="preserve"> and </w:t>
      </w:r>
      <w:r w:rsidRPr="00A428C3">
        <w:t>Climate</w:t>
      </w:r>
    </w:p>
    <w:p w:rsidR="00B95188" w:rsidRPr="00A428C3" w:rsidRDefault="00B95188" w:rsidP="00B72EF9">
      <w:pPr>
        <w:pStyle w:val="12"/>
      </w:pPr>
      <w:r w:rsidRPr="00A428C3">
        <w:t>ISO Abbreviated Title: Indoor Air-Int. J. Indoor Air Qual. Clim.</w:t>
      </w:r>
    </w:p>
    <w:p w:rsidR="00B95188" w:rsidRPr="00A428C3" w:rsidRDefault="00B95188" w:rsidP="00B72EF9">
      <w:pPr>
        <w:pStyle w:val="12"/>
      </w:pPr>
      <w:r w:rsidRPr="00A428C3">
        <w:t>JCR Abbreviated Title: Indoor Air</w:t>
      </w:r>
    </w:p>
    <w:p w:rsidR="00B95188" w:rsidRPr="00A428C3" w:rsidRDefault="00B95188" w:rsidP="00B72EF9">
      <w:pPr>
        <w:pStyle w:val="12"/>
      </w:pPr>
      <w:r w:rsidRPr="00A428C3">
        <w:t>ISSN: 0905-6947</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Denmark</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Munksgaard Int Publ Ltd</w:t>
      </w:r>
    </w:p>
    <w:p w:rsidR="00B95188" w:rsidRPr="00A428C3" w:rsidRDefault="00B95188" w:rsidP="00B72EF9">
      <w:pPr>
        <w:pStyle w:val="12"/>
      </w:pPr>
      <w:r w:rsidRPr="00A428C3">
        <w:t xml:space="preserve">Publisher Address: 35 Norre Sogade, </w:t>
      </w:r>
      <w:smartTag w:uri="urn:schemas-microsoft-com:office:smarttags" w:element="address">
        <w:smartTag w:uri="urn:schemas-microsoft-com:office:smarttags" w:element="Street">
          <w:r w:rsidRPr="00A428C3">
            <w:t>PO Box</w:t>
          </w:r>
        </w:smartTag>
        <w:r w:rsidRPr="00A428C3">
          <w:t xml:space="preserve"> 2148</w:t>
        </w:r>
      </w:smartTag>
      <w:r w:rsidRPr="00A428C3">
        <w:t xml:space="preserve">, DK-1016 </w:t>
      </w:r>
      <w:smartTag w:uri="urn:schemas-microsoft-com:office:smarttags" w:element="place">
        <w:smartTag w:uri="urn:schemas-microsoft-com:office:smarttags" w:element="City">
          <w:r w:rsidRPr="00A428C3">
            <w:t>Copenhagen</w:t>
          </w:r>
        </w:smartTag>
        <w:r w:rsidRPr="00A428C3">
          <w:t xml:space="preserve">, </w:t>
        </w:r>
        <w:smartTag w:uri="urn:schemas-microsoft-com:office:smarttags" w:element="country-region">
          <w:r w:rsidRPr="00A428C3">
            <w:t>Denmark</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Construction &amp; Building Technology Engineering, Environmental:</w:t>
      </w:r>
      <w:r w:rsidRPr="00A428C3">
        <w:rPr>
          <w:color w:val="008000"/>
        </w:rPr>
        <w:t xml:space="preserve"> Impact Factor</w:t>
      </w:r>
    </w:p>
    <w:p w:rsidR="00B95188" w:rsidRPr="00A428C3" w:rsidRDefault="00B95188" w:rsidP="00B95188">
      <w:pPr>
        <w:pStyle w:val="1"/>
      </w:pPr>
      <w:r w:rsidRPr="00A428C3">
        <w:br w:type="page"/>
      </w:r>
      <w:bookmarkStart w:id="905" w:name="_Toc186647840"/>
      <w:bookmarkStart w:id="906" w:name="_Toc317161136"/>
      <w:r w:rsidRPr="00A428C3">
        <w:lastRenderedPageBreak/>
        <w:t>Title: Industrial</w:t>
      </w:r>
      <w:r w:rsidR="00F81221">
        <w:t xml:space="preserve"> and </w:t>
      </w:r>
      <w:r w:rsidRPr="00A428C3">
        <w:t>Corporate Change</w:t>
      </w:r>
      <w:bookmarkEnd w:id="905"/>
      <w:bookmarkEnd w:id="906"/>
    </w:p>
    <w:p w:rsidR="00B95188" w:rsidRPr="00A428C3" w:rsidRDefault="00B95188" w:rsidP="00B72EF9">
      <w:pPr>
        <w:pStyle w:val="12"/>
      </w:pPr>
      <w:r w:rsidRPr="00A428C3">
        <w:t xml:space="preserve">Full Journal Title: </w:t>
      </w:r>
      <w:hyperlink r:id="rId968" w:history="1">
        <w:r w:rsidRPr="00A428C3">
          <w:rPr>
            <w:rStyle w:val="a5"/>
          </w:rPr>
          <w:t>Industrial</w:t>
        </w:r>
        <w:r w:rsidR="00F81221">
          <w:rPr>
            <w:rStyle w:val="a5"/>
          </w:rPr>
          <w:t xml:space="preserve"> and </w:t>
        </w:r>
        <w:r w:rsidRPr="00A428C3">
          <w:rPr>
            <w:rStyle w:val="a5"/>
          </w:rPr>
          <w:t>Corporate Change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rPr>
          <w:color w:val="008000"/>
        </w:rPr>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Grupp, H. (2000), Learning in a science-driven market: The case of lasers. </w:t>
      </w:r>
      <w:r w:rsidRPr="00A428C3">
        <w:rPr>
          <w:i/>
          <w:iCs/>
        </w:rPr>
        <w:t>Industrial</w:t>
      </w:r>
      <w:r w:rsidR="00F81221">
        <w:rPr>
          <w:i/>
          <w:iCs/>
        </w:rPr>
        <w:t xml:space="preserve"> and </w:t>
      </w:r>
      <w:r w:rsidRPr="00A428C3">
        <w:rPr>
          <w:i/>
          <w:iCs/>
        </w:rPr>
        <w:t>Corporate Change</w:t>
      </w:r>
      <w:r w:rsidRPr="00A428C3">
        <w:t xml:space="preserve">, </w:t>
      </w:r>
      <w:r w:rsidRPr="00A428C3">
        <w:rPr>
          <w:b/>
        </w:rPr>
        <w:t>9</w:t>
      </w:r>
      <w:r w:rsidRPr="00A428C3">
        <w:t>, 143-172.</w:t>
      </w:r>
    </w:p>
    <w:p w:rsidR="00B95188" w:rsidRPr="00A428C3" w:rsidRDefault="00B95188" w:rsidP="00B95188">
      <w:pPr>
        <w:pStyle w:val="a0"/>
      </w:pPr>
      <w:r w:rsidRPr="00A428C3">
        <w:t xml:space="preserve">Full Text: </w:t>
      </w:r>
      <w:hyperlink r:id="rId969" w:history="1">
        <w:r w:rsidRPr="00A428C3">
          <w:rPr>
            <w:rStyle w:val="a5"/>
          </w:rPr>
          <w:t>I\Ind Cor Cha9, 143.pdf</w:t>
        </w:r>
      </w:hyperlink>
    </w:p>
    <w:p w:rsidR="00B95188" w:rsidRPr="00A428C3" w:rsidRDefault="00B95188" w:rsidP="00B95188">
      <w:pPr>
        <w:pStyle w:val="a0"/>
      </w:pPr>
      <w:r w:rsidRPr="00A428C3">
        <w:t>Abstarct: Innovation literature centres more on technical advance</w:t>
      </w:r>
      <w:r w:rsidR="00F81221">
        <w:t xml:space="preserve"> and </w:t>
      </w:r>
      <w:r w:rsidRPr="00A428C3">
        <w:t>less on scientific change. In this paper the scientific basis</w:t>
      </w:r>
      <w:r w:rsidRPr="00A428C3">
        <w:rPr>
          <w:vertAlign w:val="superscript"/>
        </w:rPr>
        <w:t xml:space="preserve"> </w:t>
      </w:r>
      <w:r w:rsidRPr="00A428C3">
        <w:t>comes under specific scrutiny. The empirical part consists of</w:t>
      </w:r>
      <w:r w:rsidRPr="00A428C3">
        <w:rPr>
          <w:vertAlign w:val="superscript"/>
        </w:rPr>
        <w:t xml:space="preserve"> </w:t>
      </w:r>
      <w:r w:rsidRPr="00A428C3">
        <w:t>a case study of the laser market</w:t>
      </w:r>
      <w:r w:rsidR="00F81221">
        <w:t xml:space="preserve"> and </w:t>
      </w:r>
      <w:r w:rsidRPr="00A428C3">
        <w:t>the particularly interesting</w:t>
      </w:r>
      <w:r w:rsidRPr="00A428C3">
        <w:rPr>
          <w:vertAlign w:val="superscript"/>
        </w:rPr>
        <w:t xml:space="preserve"> </w:t>
      </w:r>
      <w:r w:rsidRPr="00A428C3">
        <w:t>laser medicine submarket. A new measurement concept known as</w:t>
      </w:r>
      <w:r w:rsidRPr="00A428C3">
        <w:rPr>
          <w:vertAlign w:val="superscript"/>
        </w:rPr>
        <w:t xml:space="preserve"> </w:t>
      </w:r>
      <w:r w:rsidR="000352E7">
        <w:t>‘</w:t>
      </w:r>
      <w:r w:rsidRPr="00A428C3">
        <w:t>technometrics</w:t>
      </w:r>
      <w:r w:rsidR="000352E7">
        <w:t>’</w:t>
      </w:r>
      <w:r w:rsidRPr="00A428C3">
        <w:t xml:space="preserve"> measures the quality of innovative products</w:t>
      </w:r>
      <w:r w:rsidRPr="00A428C3">
        <w:rPr>
          <w:vertAlign w:val="superscript"/>
        </w:rPr>
        <w:t xml:space="preserve"> </w:t>
      </w:r>
      <w:r w:rsidRPr="00A428C3">
        <w:t>from their technological characteristics. It is found that in</w:t>
      </w:r>
      <w:r w:rsidRPr="00A428C3">
        <w:rPr>
          <w:vertAlign w:val="superscript"/>
        </w:rPr>
        <w:t xml:space="preserve"> </w:t>
      </w:r>
      <w:r w:rsidRPr="00A428C3">
        <w:t xml:space="preserve">a knowledge-driven market in which </w:t>
      </w:r>
      <w:r w:rsidR="000352E7">
        <w:t>‘</w:t>
      </w:r>
      <w:r w:rsidRPr="00A428C3">
        <w:t>inventions are in search</w:t>
      </w:r>
      <w:r w:rsidRPr="00A428C3">
        <w:rPr>
          <w:vertAlign w:val="superscript"/>
        </w:rPr>
        <w:t xml:space="preserve"> </w:t>
      </w:r>
      <w:r w:rsidRPr="00A428C3">
        <w:t>of a purpose</w:t>
      </w:r>
      <w:r w:rsidR="000352E7">
        <w:t>’</w:t>
      </w:r>
      <w:r w:rsidRPr="00A428C3">
        <w:t>, two stages of market formation can be discerned:</w:t>
      </w:r>
      <w:r w:rsidRPr="00A428C3">
        <w:rPr>
          <w:vertAlign w:val="superscript"/>
        </w:rPr>
        <w:t xml:space="preserve"> </w:t>
      </w:r>
      <w:r w:rsidRPr="00A428C3">
        <w:t>a wasteful science-pushed,</w:t>
      </w:r>
      <w:r w:rsidR="00F81221">
        <w:t xml:space="preserve"> and </w:t>
      </w:r>
      <w:r w:rsidRPr="00A428C3">
        <w:t>a subsequent demand-led period.</w:t>
      </w:r>
      <w:r w:rsidRPr="00A428C3">
        <w:rPr>
          <w:vertAlign w:val="superscript"/>
        </w:rPr>
        <w:t xml:space="preserve"> </w:t>
      </w:r>
      <w:r w:rsidRPr="00A428C3">
        <w:t>Pricing of the innovative products can be explained by a few</w:t>
      </w:r>
      <w:r w:rsidRPr="00A428C3">
        <w:rPr>
          <w:vertAlign w:val="superscript"/>
        </w:rPr>
        <w:t xml:space="preserve"> </w:t>
      </w:r>
      <w:r w:rsidRPr="00A428C3">
        <w:t>leading characteristics, but certain providers are able to create</w:t>
      </w:r>
      <w:r w:rsidRPr="00A428C3">
        <w:rPr>
          <w:vertAlign w:val="superscript"/>
        </w:rPr>
        <w:t xml:space="preserve"> </w:t>
      </w:r>
      <w:r w:rsidRPr="00A428C3">
        <w:t>stable demand from public knowledge with non-optimal price-performance</w:t>
      </w:r>
      <w:r w:rsidRPr="00A428C3">
        <w:rPr>
          <w:vertAlign w:val="superscript"/>
        </w:rPr>
        <w:t xml:space="preserve"> </w:t>
      </w:r>
      <w:r w:rsidRPr="00A428C3">
        <w:t>ratios.</w:t>
      </w:r>
    </w:p>
    <w:p w:rsidR="00B95188" w:rsidRPr="00A428C3" w:rsidRDefault="00B95188" w:rsidP="00B95188">
      <w:pPr>
        <w:pStyle w:val="a0"/>
      </w:pPr>
      <w:r w:rsidRPr="00A428C3">
        <w:t>Mahdi, S. (2003), Search strategy in product innovation process: Theory</w:t>
      </w:r>
      <w:r w:rsidR="00F81221">
        <w:t xml:space="preserve"> and </w:t>
      </w:r>
      <w:r w:rsidRPr="00A428C3">
        <w:t xml:space="preserve">evidence from the evolution of agrochemical lead discovery process. </w:t>
      </w:r>
      <w:r w:rsidRPr="00A428C3">
        <w:rPr>
          <w:i/>
          <w:iCs/>
        </w:rPr>
        <w:t>Industrial</w:t>
      </w:r>
      <w:r w:rsidR="00F81221">
        <w:rPr>
          <w:i/>
          <w:iCs/>
        </w:rPr>
        <w:t xml:space="preserve"> and </w:t>
      </w:r>
      <w:r w:rsidRPr="00A428C3">
        <w:rPr>
          <w:i/>
          <w:iCs/>
        </w:rPr>
        <w:t>Corporate Change</w:t>
      </w:r>
      <w:r w:rsidRPr="00A428C3">
        <w:t xml:space="preserve">, </w:t>
      </w:r>
      <w:r w:rsidRPr="00A428C3">
        <w:rPr>
          <w:b/>
        </w:rPr>
        <w:t>12</w:t>
      </w:r>
      <w:r w:rsidRPr="00A428C3">
        <w:t>, 235-270.</w:t>
      </w:r>
    </w:p>
    <w:p w:rsidR="00B95188" w:rsidRPr="00A428C3" w:rsidRDefault="00B95188" w:rsidP="00B95188">
      <w:pPr>
        <w:pStyle w:val="a0"/>
      </w:pPr>
      <w:r w:rsidRPr="00A428C3">
        <w:t xml:space="preserve">Full Text: </w:t>
      </w:r>
      <w:hyperlink r:id="rId970" w:history="1">
        <w:r w:rsidRPr="00A428C3">
          <w:rPr>
            <w:rStyle w:val="a5"/>
          </w:rPr>
          <w:t>I\Ind Cor Cha12, 235.pdf</w:t>
        </w:r>
      </w:hyperlink>
    </w:p>
    <w:p w:rsidR="00B95188" w:rsidRPr="00A428C3" w:rsidRDefault="00B95188" w:rsidP="00B95188">
      <w:pPr>
        <w:pStyle w:val="a0"/>
      </w:pPr>
      <w:r w:rsidRPr="00A428C3">
        <w:rPr>
          <w:szCs w:val="27"/>
        </w:rPr>
        <w:t>Abstract:</w:t>
      </w:r>
      <w:r w:rsidRPr="00A428C3">
        <w:t xml:space="preserve"> This paper investigates different problem-solving strategies—herein</w:t>
      </w:r>
      <w:r w:rsidRPr="00A428C3">
        <w:rPr>
          <w:vertAlign w:val="superscript"/>
        </w:rPr>
        <w:t xml:space="preserve"> </w:t>
      </w:r>
      <w:r w:rsidRPr="00A428C3">
        <w:t xml:space="preserve">called </w:t>
      </w:r>
      <w:r w:rsidR="000352E7">
        <w:t>‘</w:t>
      </w:r>
      <w:r w:rsidRPr="00A428C3">
        <w:t>search strategies</w:t>
      </w:r>
      <w:r w:rsidR="000352E7">
        <w:t>’</w:t>
      </w:r>
      <w:r w:rsidRPr="00A428C3">
        <w:t>—in the process</w:t>
      </w:r>
      <w:r w:rsidRPr="00A428C3">
        <w:rPr>
          <w:vertAlign w:val="superscript"/>
        </w:rPr>
        <w:t xml:space="preserve"> </w:t>
      </w:r>
      <w:r w:rsidRPr="00A428C3">
        <w:t>of product innovation. It takes issue with the basic assumption</w:t>
      </w:r>
      <w:r w:rsidRPr="00A428C3">
        <w:rPr>
          <w:vertAlign w:val="superscript"/>
        </w:rPr>
        <w:t xml:space="preserve"> </w:t>
      </w:r>
      <w:r w:rsidRPr="00A428C3">
        <w:t>of current models of the product innovation process (PIP), which</w:t>
      </w:r>
      <w:r w:rsidRPr="00A428C3">
        <w:rPr>
          <w:vertAlign w:val="superscript"/>
        </w:rPr>
        <w:t xml:space="preserve"> </w:t>
      </w:r>
      <w:r w:rsidRPr="00A428C3">
        <w:t>unrealistically consider that the actors of product innovation—the</w:t>
      </w:r>
      <w:r w:rsidRPr="00A428C3">
        <w:rPr>
          <w:vertAlign w:val="superscript"/>
        </w:rPr>
        <w:t xml:space="preserve"> </w:t>
      </w:r>
      <w:r w:rsidRPr="00A428C3">
        <w:t>product innovators—are all hyper-rational, homogeneous</w:t>
      </w:r>
      <w:r w:rsidR="00F81221">
        <w:rPr>
          <w:vertAlign w:val="superscript"/>
        </w:rPr>
        <w:t xml:space="preserve"> and </w:t>
      </w:r>
      <w:r w:rsidRPr="00A428C3">
        <w:t>non-choice-restricted actors. In order to take into account</w:t>
      </w:r>
      <w:r w:rsidRPr="00A428C3">
        <w:rPr>
          <w:vertAlign w:val="superscript"/>
        </w:rPr>
        <w:t xml:space="preserve"> </w:t>
      </w:r>
      <w:r w:rsidRPr="00A428C3">
        <w:t>the more realistic view of the product innovators—as bounded</w:t>
      </w:r>
      <w:r w:rsidRPr="00A428C3">
        <w:rPr>
          <w:vertAlign w:val="superscript"/>
        </w:rPr>
        <w:t xml:space="preserve"> </w:t>
      </w:r>
      <w:r w:rsidRPr="00A428C3">
        <w:t>rational, heterogeneous</w:t>
      </w:r>
      <w:r w:rsidR="00F81221">
        <w:t xml:space="preserve"> and </w:t>
      </w:r>
      <w:r w:rsidRPr="00A428C3">
        <w:t>choice-restricted actors—this</w:t>
      </w:r>
      <w:r w:rsidRPr="00A428C3">
        <w:rPr>
          <w:vertAlign w:val="superscript"/>
        </w:rPr>
        <w:t xml:space="preserve"> </w:t>
      </w:r>
      <w:r w:rsidRPr="00A428C3">
        <w:t xml:space="preserve">paper proposes an </w:t>
      </w:r>
      <w:r w:rsidRPr="00A428C3">
        <w:lastRenderedPageBreak/>
        <w:t>alternative model of PIP based on cognitive</w:t>
      </w:r>
      <w:r w:rsidRPr="00A428C3">
        <w:rPr>
          <w:vertAlign w:val="superscript"/>
        </w:rPr>
        <w:t xml:space="preserve"> </w:t>
      </w:r>
      <w:r w:rsidRPr="00A428C3">
        <w:t>psychology. According to this framework, the options of search</w:t>
      </w:r>
      <w:r w:rsidRPr="00A428C3">
        <w:rPr>
          <w:vertAlign w:val="superscript"/>
        </w:rPr>
        <w:t xml:space="preserve"> </w:t>
      </w:r>
      <w:r w:rsidRPr="00A428C3">
        <w:t>strategy available to each product innovator depend on certain</w:t>
      </w:r>
      <w:r w:rsidRPr="00A428C3">
        <w:rPr>
          <w:vertAlign w:val="superscript"/>
        </w:rPr>
        <w:t xml:space="preserve"> </w:t>
      </w:r>
      <w:r w:rsidR="000352E7">
        <w:t>‘</w:t>
      </w:r>
      <w:r w:rsidRPr="00A428C3">
        <w:t>problem-solving-related</w:t>
      </w:r>
      <w:r w:rsidR="000352E7">
        <w:t>’</w:t>
      </w:r>
      <w:r w:rsidRPr="00A428C3">
        <w:t xml:space="preserve"> capabilities that he or</w:t>
      </w:r>
      <w:r w:rsidRPr="00A428C3">
        <w:rPr>
          <w:vertAlign w:val="superscript"/>
        </w:rPr>
        <w:t xml:space="preserve"> </w:t>
      </w:r>
      <w:r w:rsidRPr="00A428C3">
        <w:t>she is able or not to use. To examine the validity of this theoretical</w:t>
      </w:r>
      <w:r w:rsidRPr="00A428C3">
        <w:rPr>
          <w:vertAlign w:val="superscript"/>
        </w:rPr>
        <w:t xml:space="preserve"> </w:t>
      </w:r>
      <w:r w:rsidRPr="00A428C3">
        <w:t>framework, this paper investigates the phenomenon of the evolution</w:t>
      </w:r>
      <w:r w:rsidRPr="00A428C3">
        <w:rPr>
          <w:vertAlign w:val="superscript"/>
        </w:rPr>
        <w:t xml:space="preserve"> </w:t>
      </w:r>
      <w:r w:rsidRPr="00A428C3">
        <w:t>of discovery methods in the agrochemical lead discovery process.</w:t>
      </w:r>
      <w:r w:rsidRPr="00A428C3">
        <w:rPr>
          <w:vertAlign w:val="superscript"/>
        </w:rPr>
        <w:t xml:space="preserve"> </w:t>
      </w:r>
      <w:r w:rsidRPr="00A428C3">
        <w:t>Data for this investigation have been gathered through chronological</w:t>
      </w:r>
      <w:r w:rsidRPr="00A428C3">
        <w:rPr>
          <w:vertAlign w:val="superscript"/>
        </w:rPr>
        <w:t xml:space="preserve"> </w:t>
      </w:r>
      <w:r w:rsidRPr="00A428C3">
        <w:t>product innovation survey of an agrochemical product registration</w:t>
      </w:r>
      <w:r w:rsidRPr="00A428C3">
        <w:rPr>
          <w:vertAlign w:val="superscript"/>
        </w:rPr>
        <w:t xml:space="preserve"> </w:t>
      </w:r>
      <w:r w:rsidRPr="00A428C3">
        <w:t>database as well as a patent</w:t>
      </w:r>
      <w:r w:rsidR="00F81221">
        <w:t xml:space="preserve"> and </w:t>
      </w:r>
      <w:r w:rsidRPr="00A428C3">
        <w:t>publications index database.</w:t>
      </w:r>
      <w:r w:rsidRPr="00A428C3">
        <w:rPr>
          <w:vertAlign w:val="superscript"/>
        </w:rPr>
        <w:t xml:space="preserve"> </w:t>
      </w:r>
      <w:r w:rsidRPr="00A428C3">
        <w:t>Results from this investigation seem to confirm the above argument.</w:t>
      </w:r>
    </w:p>
    <w:p w:rsidR="00B95188" w:rsidRPr="00A428C3" w:rsidRDefault="00B95188" w:rsidP="00B95188">
      <w:pPr>
        <w:pStyle w:val="1"/>
      </w:pPr>
      <w:r w:rsidRPr="00A428C3">
        <w:br w:type="page"/>
      </w:r>
      <w:bookmarkStart w:id="907" w:name="_Toc186647841"/>
      <w:bookmarkStart w:id="908" w:name="_Toc317161137"/>
      <w:r w:rsidRPr="00A428C3">
        <w:lastRenderedPageBreak/>
        <w:t>Title: Industrial Crops</w:t>
      </w:r>
      <w:r w:rsidR="00F81221">
        <w:t xml:space="preserve"> and </w:t>
      </w:r>
      <w:r w:rsidRPr="00A428C3">
        <w:t>Products</w:t>
      </w:r>
      <w:bookmarkEnd w:id="907"/>
      <w:bookmarkEnd w:id="908"/>
    </w:p>
    <w:p w:rsidR="00B95188" w:rsidRPr="00A428C3" w:rsidRDefault="00B95188" w:rsidP="00B72EF9">
      <w:pPr>
        <w:pStyle w:val="12"/>
      </w:pPr>
      <w:r w:rsidRPr="00A428C3">
        <w:t xml:space="preserve">Full Journal Title: </w:t>
      </w:r>
      <w:hyperlink r:id="rId971" w:history="1">
        <w:r w:rsidRPr="00C86C7A">
          <w:rPr>
            <w:rStyle w:val="a5"/>
          </w:rPr>
          <w:t>Industrial Crops</w:t>
        </w:r>
        <w:r w:rsidR="00F81221">
          <w:rPr>
            <w:rStyle w:val="a5"/>
          </w:rPr>
          <w:t xml:space="preserve"> and </w:t>
        </w:r>
        <w:r w:rsidRPr="00C86C7A">
          <w:rPr>
            <w:rStyle w:val="a5"/>
          </w:rPr>
          <w:t>Products</w:t>
        </w:r>
      </w:hyperlink>
    </w:p>
    <w:p w:rsidR="006D6308" w:rsidRDefault="006D6308" w:rsidP="00B72EF9">
      <w:pPr>
        <w:pStyle w:val="12"/>
      </w:pPr>
      <w:r>
        <w:t>ISO Abbrev. Title: Ind. Crop. Prod.</w:t>
      </w:r>
    </w:p>
    <w:p w:rsidR="006D6308" w:rsidRDefault="006D6308" w:rsidP="00B72EF9">
      <w:pPr>
        <w:pStyle w:val="12"/>
      </w:pPr>
      <w:r>
        <w:t>JCR Abbrev. Title: Ind Crop Prod</w:t>
      </w:r>
    </w:p>
    <w:p w:rsidR="006D6308" w:rsidRDefault="006D6308" w:rsidP="00B72EF9">
      <w:pPr>
        <w:pStyle w:val="12"/>
      </w:pPr>
      <w:r>
        <w:t>ISSN: 0926-6690</w:t>
      </w:r>
    </w:p>
    <w:p w:rsidR="006D6308" w:rsidRDefault="006D6308" w:rsidP="00B72EF9">
      <w:pPr>
        <w:pStyle w:val="12"/>
      </w:pPr>
      <w:r>
        <w:t xml:space="preserve">Issues/Year: </w:t>
      </w:r>
      <w:r>
        <w:rPr>
          <w:rFonts w:hint="eastAsia"/>
        </w:rPr>
        <w:t>6</w:t>
      </w:r>
    </w:p>
    <w:p w:rsidR="006D6308" w:rsidRDefault="006D6308" w:rsidP="00B72EF9">
      <w:pPr>
        <w:pStyle w:val="12"/>
      </w:pPr>
      <w:r>
        <w:t>Language: English</w:t>
      </w:r>
    </w:p>
    <w:p w:rsidR="006D6308" w:rsidRDefault="006D6308" w:rsidP="00B72EF9">
      <w:pPr>
        <w:pStyle w:val="12"/>
      </w:pPr>
      <w:r>
        <w:t>Journal Country/Territory: Netherlands</w:t>
      </w:r>
    </w:p>
    <w:p w:rsidR="006D6308" w:rsidRDefault="006D6308" w:rsidP="00B72EF9">
      <w:pPr>
        <w:pStyle w:val="12"/>
      </w:pPr>
      <w:r>
        <w:t>Publisher: Elsevier Science BV</w:t>
      </w:r>
    </w:p>
    <w:p w:rsidR="006D6308" w:rsidRDefault="006D6308" w:rsidP="00B72EF9">
      <w:pPr>
        <w:pStyle w:val="12"/>
      </w:pPr>
      <w:r>
        <w:t>Publisher Address: Po Box 211, 1000 AE Amsterdam, Netherlands</w:t>
      </w:r>
    </w:p>
    <w:p w:rsidR="006D6308" w:rsidRDefault="006D6308" w:rsidP="00B72EF9">
      <w:pPr>
        <w:pStyle w:val="12"/>
      </w:pPr>
      <w:r>
        <w:t>Subject Categories:</w:t>
      </w:r>
    </w:p>
    <w:p w:rsidR="006D6308" w:rsidRPr="00A428C3" w:rsidRDefault="006D6308" w:rsidP="00B72EF9">
      <w:pPr>
        <w:pStyle w:val="12"/>
      </w:pPr>
      <w:r>
        <w:t>Agricultural Engineering</w:t>
      </w:r>
      <w:r w:rsidRPr="00A428C3">
        <w:t>: Impact Factor</w:t>
      </w:r>
      <w:r w:rsidR="007C5FF3">
        <w:rPr>
          <w:rFonts w:hint="eastAsia"/>
        </w:rPr>
        <w:t xml:space="preserve"> 2.103, 3/11 (2009)</w:t>
      </w:r>
    </w:p>
    <w:p w:rsidR="006D6308" w:rsidRPr="00A428C3" w:rsidRDefault="006D6308" w:rsidP="00B72EF9">
      <w:pPr>
        <w:pStyle w:val="12"/>
      </w:pPr>
      <w:r>
        <w:t>Agronomy</w:t>
      </w:r>
      <w:r w:rsidRPr="00A428C3">
        <w:t>: Impact Factor</w:t>
      </w:r>
      <w:r w:rsidR="007C5FF3">
        <w:rPr>
          <w:rFonts w:hint="eastAsia"/>
        </w:rPr>
        <w:t xml:space="preserve"> 2.103, 12/61 (2009)</w:t>
      </w:r>
    </w:p>
    <w:p w:rsidR="00B95188" w:rsidRPr="00A428C3" w:rsidRDefault="00B95188" w:rsidP="00B95188">
      <w:pPr>
        <w:pStyle w:val="a0"/>
      </w:pPr>
      <w:r w:rsidRPr="00A428C3">
        <w:t>Harel, P., Mignot, L., Sauvage, J.P.</w:t>
      </w:r>
      <w:r w:rsidR="00F81221">
        <w:t xml:space="preserve"> and </w:t>
      </w:r>
      <w:r w:rsidRPr="00A428C3">
        <w:t xml:space="preserve">Junter, G.A. (1998), Cadmium removal from dilute aqueous solution by gel beads of sugar beet pectin. </w:t>
      </w:r>
      <w:r w:rsidRPr="00A428C3">
        <w:rPr>
          <w:i/>
          <w:iCs/>
        </w:rPr>
        <w:t>Industrial Crops</w:t>
      </w:r>
      <w:r w:rsidR="00F81221">
        <w:rPr>
          <w:i/>
          <w:iCs/>
        </w:rPr>
        <w:t xml:space="preserve"> and </w:t>
      </w:r>
      <w:r w:rsidRPr="00A428C3">
        <w:rPr>
          <w:i/>
          <w:iCs/>
        </w:rPr>
        <w:t>Products</w:t>
      </w:r>
      <w:r w:rsidRPr="00A428C3">
        <w:t xml:space="preserve">, </w:t>
      </w:r>
      <w:r w:rsidRPr="00A428C3">
        <w:rPr>
          <w:b/>
        </w:rPr>
        <w:t>7</w:t>
      </w:r>
      <w:r w:rsidRPr="00A428C3">
        <w:t xml:space="preserve"> (2-3), 239-247.</w:t>
      </w:r>
    </w:p>
    <w:p w:rsidR="00B95188" w:rsidRPr="00A428C3" w:rsidRDefault="00B95188" w:rsidP="00B95188">
      <w:pPr>
        <w:pStyle w:val="a0"/>
      </w:pPr>
      <w:r w:rsidRPr="00A428C3">
        <w:t xml:space="preserve">Full Text: </w:t>
      </w:r>
      <w:hyperlink r:id="rId972" w:history="1">
        <w:r w:rsidRPr="00A428C3">
          <w:rPr>
            <w:rStyle w:val="a5"/>
          </w:rPr>
          <w:t>I\Ind Cro Pro7, 239.pdf</w:t>
        </w:r>
      </w:hyperlink>
    </w:p>
    <w:p w:rsidR="00B95188" w:rsidRPr="00A428C3" w:rsidRDefault="00B95188" w:rsidP="00B95188">
      <w:pPr>
        <w:pStyle w:val="a0"/>
      </w:pPr>
      <w:r w:rsidRPr="00A428C3">
        <w:t>Abstract: The metal-accumulative capabilities of polysaccharide gel entrapped microorganisms may be of interest for the treatment of waste water containing low amounts of metal ions. The cost of the gel matrix, however, seriously impedes the large-scale development of such immobilized-cell systems. We have therefore considered the use of pectin extracted from sugar beet pulp as a cost-effective alternative to commercial algal alginate</w:t>
      </w:r>
      <w:r w:rsidR="00F81221">
        <w:t xml:space="preserve"> and </w:t>
      </w:r>
      <w:r w:rsidRPr="00A428C3">
        <w:t xml:space="preserve">citrus pectin. A simple, inexpensive alkaline hydrolysis was sufficient to reduce by 80% the acetylation degree of sugar beet pectin (SBP) so that the rheological properties of the polymer in aqueous solution became close to those of citrus pectin. For instance, the intrinsic viscosity of saponified SBP was </w:t>
      </w:r>
      <w:smartTag w:uri="urn:schemas-microsoft-com:office:smarttags" w:element="chmetcnv">
        <w:smartTagPr>
          <w:attr w:name="TCSC" w:val="0"/>
          <w:attr w:name="NumberType" w:val="1"/>
          <w:attr w:name="Negative" w:val="False"/>
          <w:attr w:name="HasSpace" w:val="True"/>
          <w:attr w:name="SourceValue" w:val="157"/>
          <w:attr w:name="UnitName" w:val="cm"/>
        </w:smartTagPr>
        <w:r w:rsidRPr="00A428C3">
          <w:t>157 cm</w:t>
        </w:r>
      </w:smartTag>
      <w:smartTag w:uri="urn:schemas-microsoft-com:office:smarttags" w:element="chmetcnv">
        <w:smartTagPr>
          <w:attr w:name="TCSC" w:val="0"/>
          <w:attr w:name="NumberType" w:val="1"/>
          <w:attr w:name="Negative" w:val="False"/>
          <w:attr w:name="HasSpace" w:val="True"/>
          <w:attr w:name="SourceValue" w:val="3"/>
          <w:attr w:name="UnitName" w:val="g"/>
        </w:smartTagPr>
        <w:r w:rsidRPr="00A428C3">
          <w:rPr>
            <w:vertAlign w:val="superscript"/>
          </w:rPr>
          <w:t>3</w:t>
        </w:r>
        <w:r w:rsidRPr="00A428C3">
          <w:t xml:space="preserve"> g</w:t>
        </w:r>
      </w:smartTag>
      <w:r w:rsidRPr="00A428C3">
        <w:rPr>
          <w:vertAlign w:val="superscript"/>
        </w:rPr>
        <w:t>−1</w:t>
      </w:r>
      <w:r w:rsidRPr="00A428C3">
        <w:t xml:space="preserve">, that of citrus pectin </w:t>
      </w:r>
      <w:smartTag w:uri="urn:schemas-microsoft-com:office:smarttags" w:element="chmetcnv">
        <w:smartTagPr>
          <w:attr w:name="TCSC" w:val="0"/>
          <w:attr w:name="NumberType" w:val="1"/>
          <w:attr w:name="Negative" w:val="False"/>
          <w:attr w:name="HasSpace" w:val="True"/>
          <w:attr w:name="SourceValue" w:val="197"/>
          <w:attr w:name="UnitName" w:val="cm"/>
        </w:smartTagPr>
        <w:r w:rsidRPr="00A428C3">
          <w:t>197 cm</w:t>
        </w:r>
      </w:smartTag>
      <w:smartTag w:uri="urn:schemas-microsoft-com:office:smarttags" w:element="chmetcnv">
        <w:smartTagPr>
          <w:attr w:name="TCSC" w:val="0"/>
          <w:attr w:name="NumberType" w:val="1"/>
          <w:attr w:name="Negative" w:val="False"/>
          <w:attr w:name="HasSpace" w:val="True"/>
          <w:attr w:name="SourceValue" w:val="3"/>
          <w:attr w:name="UnitName" w:val="g"/>
        </w:smartTagPr>
        <w:r w:rsidRPr="00A428C3">
          <w:rPr>
            <w:vertAlign w:val="superscript"/>
          </w:rPr>
          <w:t>3</w:t>
        </w:r>
        <w:r w:rsidRPr="00A428C3">
          <w:t xml:space="preserve"> g</w:t>
        </w:r>
      </w:smartTag>
      <w:r w:rsidRPr="00A428C3">
        <w:rPr>
          <w:vertAlign w:val="superscript"/>
        </w:rPr>
        <w:t>−1</w:t>
      </w:r>
      <w:r w:rsidRPr="00A428C3">
        <w:t>. Hydrolyzed SBP was able to form gels (at concentrations of 2% w/v or higher) in the presence of divalent cations (Ca</w:t>
      </w:r>
      <w:r w:rsidRPr="00A428C3">
        <w:rPr>
          <w:vertAlign w:val="superscript"/>
        </w:rPr>
        <w:t>2+</w:t>
      </w:r>
      <w:r w:rsidRPr="00A428C3">
        <w:t>). The cadmium-binding capacity (</w:t>
      </w:r>
      <w:r w:rsidRPr="00A428C3">
        <w:rPr>
          <w:i/>
          <w:iCs/>
        </w:rPr>
        <w:t>Q</w:t>
      </w:r>
      <w:r w:rsidRPr="00A428C3">
        <w:rPr>
          <w:vertAlign w:val="subscript"/>
        </w:rPr>
        <w:t>a</w:t>
      </w:r>
      <w:r w:rsidRPr="00A428C3">
        <w:t>, mg Cd</w:t>
      </w:r>
      <w:r w:rsidRPr="00A428C3">
        <w:rPr>
          <w:vertAlign w:val="superscript"/>
        </w:rPr>
        <w:t>2+</w:t>
      </w:r>
      <w:r w:rsidRPr="00A428C3">
        <w:t xml:space="preserve"> g</w:t>
      </w:r>
      <w:r w:rsidRPr="00A428C3">
        <w:rPr>
          <w:vertAlign w:val="superscript"/>
        </w:rPr>
        <w:t>−1</w:t>
      </w:r>
      <w:r w:rsidRPr="00A428C3">
        <w:t xml:space="preserve"> dry gel) of SBP gel beads compared favourably to that of algal alginate but remained somewhat lower than that of citrus pectin: </w:t>
      </w:r>
      <w:r w:rsidRPr="00A428C3">
        <w:rPr>
          <w:i/>
          <w:iCs/>
        </w:rPr>
        <w:t>Q</w:t>
      </w:r>
      <w:r w:rsidRPr="00A428C3">
        <w:rPr>
          <w:vertAlign w:val="subscript"/>
        </w:rPr>
        <w:t>a</w:t>
      </w:r>
      <w:r w:rsidRPr="00A428C3">
        <w:t xml:space="preserve"> SBP=4.6; </w:t>
      </w:r>
      <w:r w:rsidRPr="00A428C3">
        <w:rPr>
          <w:i/>
          <w:iCs/>
        </w:rPr>
        <w:t>Q</w:t>
      </w:r>
      <w:r w:rsidRPr="00A428C3">
        <w:rPr>
          <w:vertAlign w:val="subscript"/>
        </w:rPr>
        <w:t>a</w:t>
      </w:r>
      <w:r w:rsidRPr="00A428C3">
        <w:t xml:space="preserve"> alginate=4.1; </w:t>
      </w:r>
      <w:r w:rsidRPr="00A428C3">
        <w:rPr>
          <w:i/>
          <w:iCs/>
        </w:rPr>
        <w:t>Q</w:t>
      </w:r>
      <w:r w:rsidRPr="00A428C3">
        <w:rPr>
          <w:vertAlign w:val="subscript"/>
        </w:rPr>
        <w:t>a</w:t>
      </w:r>
      <w:r w:rsidRPr="00A428C3">
        <w:t xml:space="preserve"> citrus pectin=7.6. The desorption of Cd</w:t>
      </w:r>
      <w:r w:rsidRPr="00A428C3">
        <w:rPr>
          <w:vertAlign w:val="superscript"/>
        </w:rPr>
        <w:t>2+</w:t>
      </w:r>
      <w:r w:rsidRPr="00A428C3">
        <w:t xml:space="preserve"> ions from SBP gel beads in </w:t>
      </w:r>
      <w:smartTag w:uri="urn:schemas-microsoft-com:office:smarttags" w:element="chmetcnv">
        <w:smartTagPr>
          <w:attr w:name="TCSC" w:val="0"/>
          <w:attr w:name="NumberType" w:val="1"/>
          <w:attr w:name="Negative" w:val="False"/>
          <w:attr w:name="HasSpace" w:val="True"/>
          <w:attr w:name="SourceValue" w:val="0.3"/>
          <w:attr w:name="UnitName" w:val="m"/>
        </w:smartTagPr>
        <w:r w:rsidRPr="00A428C3">
          <w:t>0.3 M</w:t>
        </w:r>
      </w:smartTag>
      <w:r w:rsidRPr="00A428C3">
        <w:t xml:space="preserve"> calcium chloride was easy, reaching 81% of the metal accumulated. The viability of microbial cells entrapped in SBP gel beads was maintained.</w:t>
      </w:r>
    </w:p>
    <w:p w:rsidR="00B95188" w:rsidRPr="00A428C3" w:rsidRDefault="00B95188" w:rsidP="00B95188">
      <w:pPr>
        <w:pStyle w:val="a0"/>
      </w:pPr>
      <w:r w:rsidRPr="00A428C3">
        <w:t>Keywords: Alginate, Biosorption, Cadmium, Heavy Metals, Immobilized Cells, Pectins, Polysaccharide Gels</w:t>
      </w:r>
    </w:p>
    <w:p w:rsidR="00AF5C23" w:rsidRDefault="00AF5C23" w:rsidP="00AF5C23">
      <w:pPr>
        <w:pStyle w:val="a0"/>
        <w:rPr>
          <w:kern w:val="0"/>
          <w:szCs w:val="24"/>
        </w:rPr>
      </w:pPr>
      <w:r>
        <w:rPr>
          <w:rFonts w:hint="eastAsia"/>
          <w:kern w:val="0"/>
          <w:szCs w:val="24"/>
        </w:rPr>
        <w:t xml:space="preserve">? </w:t>
      </w:r>
      <w:r>
        <w:rPr>
          <w:kern w:val="0"/>
          <w:szCs w:val="24"/>
        </w:rPr>
        <w:t>Tondi, G., Oo, C.W., Pizzi, A., Trosa, A.</w:t>
      </w:r>
      <w:r w:rsidR="00F81221">
        <w:rPr>
          <w:kern w:val="0"/>
          <w:szCs w:val="24"/>
        </w:rPr>
        <w:t xml:space="preserve"> and </w:t>
      </w:r>
      <w:r>
        <w:rPr>
          <w:kern w:val="0"/>
          <w:szCs w:val="24"/>
        </w:rPr>
        <w:t xml:space="preserve">Thevenon, M.F. (2009), Metal </w:t>
      </w:r>
      <w:r>
        <w:rPr>
          <w:kern w:val="0"/>
          <w:szCs w:val="24"/>
        </w:rPr>
        <w:lastRenderedPageBreak/>
        <w:t xml:space="preserve">adsorption of tannin based rigid foams. </w:t>
      </w:r>
      <w:r>
        <w:rPr>
          <w:i/>
          <w:iCs/>
          <w:kern w:val="0"/>
          <w:szCs w:val="24"/>
        </w:rPr>
        <w:t>Industrial Crops</w:t>
      </w:r>
      <w:r w:rsidR="00F81221">
        <w:rPr>
          <w:i/>
          <w:iCs/>
          <w:kern w:val="0"/>
          <w:szCs w:val="24"/>
        </w:rPr>
        <w:t xml:space="preserve"> and </w:t>
      </w:r>
      <w:r>
        <w:rPr>
          <w:i/>
          <w:iCs/>
          <w:kern w:val="0"/>
          <w:szCs w:val="24"/>
        </w:rPr>
        <w:t>Products</w:t>
      </w:r>
      <w:r>
        <w:rPr>
          <w:kern w:val="0"/>
          <w:szCs w:val="24"/>
        </w:rPr>
        <w:t xml:space="preserve">, </w:t>
      </w:r>
      <w:r>
        <w:rPr>
          <w:b/>
          <w:bCs/>
          <w:kern w:val="0"/>
          <w:szCs w:val="24"/>
        </w:rPr>
        <w:t>29</w:t>
      </w:r>
      <w:r>
        <w:rPr>
          <w:kern w:val="0"/>
          <w:szCs w:val="24"/>
        </w:rPr>
        <w:t xml:space="preserve"> (2-3), 336-340.</w:t>
      </w:r>
    </w:p>
    <w:p w:rsidR="00AF5C23" w:rsidRDefault="00AF5C23" w:rsidP="00AF5C23">
      <w:pPr>
        <w:pStyle w:val="a0"/>
        <w:rPr>
          <w:kern w:val="0"/>
        </w:rPr>
      </w:pPr>
      <w:r>
        <w:rPr>
          <w:rFonts w:hint="eastAsia"/>
          <w:kern w:val="0"/>
        </w:rPr>
        <w:t xml:space="preserve">Full Text: </w:t>
      </w:r>
      <w:hyperlink r:id="rId973" w:history="1">
        <w:r w:rsidRPr="00302D9E">
          <w:rPr>
            <w:rStyle w:val="a5"/>
            <w:kern w:val="0"/>
          </w:rPr>
          <w:t>2009\Ind Cro Pro29, 336.pdf</w:t>
        </w:r>
      </w:hyperlink>
    </w:p>
    <w:p w:rsidR="00AF5C23" w:rsidRDefault="00AF5C23" w:rsidP="00AF5C23">
      <w:pPr>
        <w:pStyle w:val="a0"/>
        <w:rPr>
          <w:kern w:val="0"/>
          <w:szCs w:val="24"/>
        </w:rPr>
      </w:pPr>
      <w:r>
        <w:rPr>
          <w:kern w:val="0"/>
          <w:szCs w:val="24"/>
        </w:rPr>
        <w:t>Abstract: Tannin based rigid foams are structures in which flavonoids are randomly cross-linked with furanic units throughout covalent bonds. The use of these aromatic substrates from natural materials to trap some heavy metal ions dissolved in water solutions is described. Interesting results have been achieved using different mimosa bark tannin (Acacia mearnsii formerly mollissima, De Wildt)</w:t>
      </w:r>
      <w:r w:rsidR="00F81221">
        <w:rPr>
          <w:kern w:val="0"/>
          <w:szCs w:val="24"/>
        </w:rPr>
        <w:t xml:space="preserve"> and </w:t>
      </w:r>
      <w:r>
        <w:rPr>
          <w:kern w:val="0"/>
          <w:szCs w:val="24"/>
        </w:rPr>
        <w:t>pine bark tannin (Pinus radiata) mixed foams. Capability to catch Pb</w:t>
      </w:r>
      <w:r w:rsidRPr="00302D9E">
        <w:rPr>
          <w:kern w:val="0"/>
          <w:szCs w:val="24"/>
          <w:vertAlign w:val="superscript"/>
        </w:rPr>
        <w:t>2+</w:t>
      </w:r>
      <w:r w:rsidR="00F81221">
        <w:rPr>
          <w:kern w:val="0"/>
          <w:szCs w:val="24"/>
        </w:rPr>
        <w:t xml:space="preserve"> and </w:t>
      </w:r>
      <w:r>
        <w:rPr>
          <w:kern w:val="0"/>
          <w:szCs w:val="24"/>
        </w:rPr>
        <w:t>Cu</w:t>
      </w:r>
      <w:r w:rsidRPr="00302D9E">
        <w:rPr>
          <w:kern w:val="0"/>
          <w:szCs w:val="24"/>
          <w:vertAlign w:val="superscript"/>
        </w:rPr>
        <w:t>2+</w:t>
      </w:r>
      <w:r>
        <w:rPr>
          <w:kern w:val="0"/>
          <w:szCs w:val="24"/>
        </w:rPr>
        <w:t xml:space="preserve"> ions at different concentrations has been verified throughout ICP-OES analysis of the foams. A reliable proportionality has been found between initial concentration</w:t>
      </w:r>
      <w:r w:rsidR="00F81221">
        <w:rPr>
          <w:kern w:val="0"/>
          <w:szCs w:val="24"/>
        </w:rPr>
        <w:t xml:space="preserve"> and </w:t>
      </w:r>
      <w:r>
        <w:rPr>
          <w:kern w:val="0"/>
          <w:szCs w:val="24"/>
        </w:rPr>
        <w:t>percentage of metal ions adsorbed. These foams were able to adsorb up to 12.5% of Cu(II)</w:t>
      </w:r>
      <w:r w:rsidR="00F81221">
        <w:rPr>
          <w:kern w:val="0"/>
          <w:szCs w:val="24"/>
        </w:rPr>
        <w:t xml:space="preserve"> and </w:t>
      </w:r>
      <w:r>
        <w:rPr>
          <w:kern w:val="0"/>
          <w:szCs w:val="24"/>
        </w:rPr>
        <w:t>20.1% of Pb(II) with respect to the concentration of these ions in solution. (C) 2008 Elsevier B.V. All rights reserved.</w:t>
      </w:r>
    </w:p>
    <w:p w:rsidR="00AF5C23" w:rsidRDefault="00AF5C23" w:rsidP="00AF5C23">
      <w:pPr>
        <w:pStyle w:val="a0"/>
        <w:rPr>
          <w:kern w:val="0"/>
          <w:szCs w:val="24"/>
        </w:rPr>
      </w:pPr>
      <w:r>
        <w:rPr>
          <w:kern w:val="0"/>
          <w:szCs w:val="24"/>
        </w:rPr>
        <w:t>Keywords: Adhesives, Adsorption, Bark, Furanic, Heavy Metals, Ions, Mechanism, Pollution, Removal, Rigid Foams, Sorption, Tannin, Wastewater</w:t>
      </w:r>
    </w:p>
    <w:p w:rsidR="000F3D6B" w:rsidRDefault="000F3D6B" w:rsidP="000F3D6B">
      <w:pPr>
        <w:pStyle w:val="a0"/>
        <w:rPr>
          <w:kern w:val="0"/>
          <w:szCs w:val="24"/>
        </w:rPr>
      </w:pPr>
      <w:r>
        <w:rPr>
          <w:rFonts w:hint="eastAsia"/>
          <w:kern w:val="0"/>
          <w:szCs w:val="24"/>
        </w:rPr>
        <w:t xml:space="preserve">? </w:t>
      </w:r>
      <w:r w:rsidRPr="000F3D6B">
        <w:rPr>
          <w:kern w:val="0"/>
        </w:rPr>
        <w:t>Rakotondramasy-Rabesiaka</w:t>
      </w:r>
      <w:r>
        <w:rPr>
          <w:rFonts w:hint="eastAsia"/>
          <w:kern w:val="0"/>
        </w:rPr>
        <w:t>,</w:t>
      </w:r>
      <w:r w:rsidRPr="000F3D6B">
        <w:rPr>
          <w:kern w:val="0"/>
        </w:rPr>
        <w:t xml:space="preserve"> L</w:t>
      </w:r>
      <w:r>
        <w:rPr>
          <w:rFonts w:hint="eastAsia"/>
          <w:kern w:val="0"/>
        </w:rPr>
        <w:t>.,</w:t>
      </w:r>
      <w:r w:rsidRPr="000F3D6B">
        <w:rPr>
          <w:kern w:val="0"/>
        </w:rPr>
        <w:t xml:space="preserve"> Havet</w:t>
      </w:r>
      <w:r>
        <w:rPr>
          <w:rFonts w:hint="eastAsia"/>
          <w:kern w:val="0"/>
        </w:rPr>
        <w:t>,</w:t>
      </w:r>
      <w:r w:rsidRPr="000F3D6B">
        <w:rPr>
          <w:kern w:val="0"/>
        </w:rPr>
        <w:t xml:space="preserve"> J</w:t>
      </w:r>
      <w:r>
        <w:rPr>
          <w:rFonts w:hint="eastAsia"/>
          <w:kern w:val="0"/>
        </w:rPr>
        <w:t>.</w:t>
      </w:r>
      <w:r w:rsidRPr="000F3D6B">
        <w:rPr>
          <w:kern w:val="0"/>
        </w:rPr>
        <w:t>L</w:t>
      </w:r>
      <w:r>
        <w:rPr>
          <w:rFonts w:hint="eastAsia"/>
          <w:kern w:val="0"/>
        </w:rPr>
        <w:t>.,</w:t>
      </w:r>
      <w:r w:rsidRPr="000F3D6B">
        <w:rPr>
          <w:kern w:val="0"/>
        </w:rPr>
        <w:t xml:space="preserve"> Porte</w:t>
      </w:r>
      <w:r>
        <w:rPr>
          <w:rFonts w:hint="eastAsia"/>
          <w:kern w:val="0"/>
        </w:rPr>
        <w:t>,</w:t>
      </w:r>
      <w:r w:rsidRPr="000F3D6B">
        <w:rPr>
          <w:kern w:val="0"/>
        </w:rPr>
        <w:t xml:space="preserve"> C</w:t>
      </w:r>
      <w:r>
        <w:rPr>
          <w:rFonts w:hint="eastAsia"/>
          <w:kern w:val="0"/>
        </w:rPr>
        <w:t>.</w:t>
      </w:r>
      <w:r w:rsidR="00F81221">
        <w:rPr>
          <w:rFonts w:hint="eastAsia"/>
          <w:kern w:val="0"/>
        </w:rPr>
        <w:t xml:space="preserve"> and </w:t>
      </w:r>
      <w:r w:rsidRPr="000F3D6B">
        <w:rPr>
          <w:kern w:val="0"/>
        </w:rPr>
        <w:t>Fauduet</w:t>
      </w:r>
      <w:r>
        <w:rPr>
          <w:rFonts w:hint="eastAsia"/>
          <w:kern w:val="0"/>
        </w:rPr>
        <w:t>,</w:t>
      </w:r>
      <w:r w:rsidRPr="000F3D6B">
        <w:rPr>
          <w:kern w:val="0"/>
        </w:rPr>
        <w:t xml:space="preserve"> H</w:t>
      </w:r>
      <w:r>
        <w:rPr>
          <w:rFonts w:hint="eastAsia"/>
          <w:kern w:val="0"/>
        </w:rPr>
        <w:t>.</w:t>
      </w:r>
      <w:r>
        <w:rPr>
          <w:kern w:val="0"/>
          <w:szCs w:val="24"/>
        </w:rPr>
        <w:t xml:space="preserve"> (2009), </w:t>
      </w:r>
      <w:r w:rsidRPr="000F3D6B">
        <w:rPr>
          <w:kern w:val="0"/>
        </w:rPr>
        <w:t>Solid-liquid extraction of protopine from Fumaria officinalis L.-Kinetic modelling of influential parameters</w:t>
      </w:r>
      <w:r>
        <w:rPr>
          <w:kern w:val="0"/>
          <w:szCs w:val="24"/>
        </w:rPr>
        <w:t xml:space="preserve">. </w:t>
      </w:r>
      <w:r>
        <w:rPr>
          <w:i/>
          <w:iCs/>
          <w:kern w:val="0"/>
          <w:szCs w:val="24"/>
        </w:rPr>
        <w:t>Industrial Crops</w:t>
      </w:r>
      <w:r w:rsidR="00F81221">
        <w:rPr>
          <w:i/>
          <w:iCs/>
          <w:kern w:val="0"/>
          <w:szCs w:val="24"/>
        </w:rPr>
        <w:t xml:space="preserve"> and </w:t>
      </w:r>
      <w:r>
        <w:rPr>
          <w:i/>
          <w:iCs/>
          <w:kern w:val="0"/>
          <w:szCs w:val="24"/>
        </w:rPr>
        <w:t>Products</w:t>
      </w:r>
      <w:r>
        <w:rPr>
          <w:kern w:val="0"/>
          <w:szCs w:val="24"/>
        </w:rPr>
        <w:t xml:space="preserve">, </w:t>
      </w:r>
      <w:r>
        <w:rPr>
          <w:b/>
          <w:bCs/>
          <w:kern w:val="0"/>
          <w:szCs w:val="24"/>
        </w:rPr>
        <w:t>29</w:t>
      </w:r>
      <w:r>
        <w:rPr>
          <w:kern w:val="0"/>
          <w:szCs w:val="24"/>
        </w:rPr>
        <w:t xml:space="preserve"> (2-3), </w:t>
      </w:r>
      <w:r w:rsidRPr="000F3D6B">
        <w:rPr>
          <w:kern w:val="0"/>
        </w:rPr>
        <w:t>516-523</w:t>
      </w:r>
      <w:r>
        <w:rPr>
          <w:kern w:val="0"/>
          <w:szCs w:val="24"/>
        </w:rPr>
        <w:t>.</w:t>
      </w:r>
    </w:p>
    <w:p w:rsidR="000F3D6B" w:rsidRDefault="000F3D6B" w:rsidP="000F3D6B">
      <w:pPr>
        <w:pStyle w:val="a0"/>
        <w:rPr>
          <w:kern w:val="0"/>
        </w:rPr>
      </w:pPr>
      <w:r>
        <w:rPr>
          <w:rFonts w:hint="eastAsia"/>
          <w:kern w:val="0"/>
        </w:rPr>
        <w:t xml:space="preserve">Full Text: </w:t>
      </w:r>
      <w:hyperlink r:id="rId974" w:history="1">
        <w:r w:rsidRPr="000F3D6B">
          <w:rPr>
            <w:rStyle w:val="a5"/>
            <w:kern w:val="0"/>
          </w:rPr>
          <w:t>2009\Ind Cro Pro29, 516.pdf</w:t>
        </w:r>
      </w:hyperlink>
    </w:p>
    <w:p w:rsidR="000F3D6B" w:rsidRPr="000F3D6B" w:rsidRDefault="000F3D6B" w:rsidP="000F3D6B">
      <w:pPr>
        <w:pStyle w:val="a0"/>
        <w:rPr>
          <w:kern w:val="0"/>
        </w:rPr>
      </w:pPr>
      <w:r w:rsidRPr="000F3D6B">
        <w:rPr>
          <w:kern w:val="0"/>
        </w:rPr>
        <w:t>Abstract: The influences of such parameters as percentage of ethanol in solvent, solid-liquid weight ratio</w:t>
      </w:r>
      <w:r w:rsidR="00F81221">
        <w:rPr>
          <w:kern w:val="0"/>
        </w:rPr>
        <w:t xml:space="preserve"> and </w:t>
      </w:r>
      <w:r w:rsidRPr="000F3D6B">
        <w:rPr>
          <w:kern w:val="0"/>
        </w:rPr>
        <w:t>pH of medium on the protopine extraction from Fumaria officinalis particles with mean radius of 0.4-0.5 mm was studied. A mathematical model, describing the importance of each parameter on the extraction of protopine with pseudo-second-order kinetics was proposed</w:t>
      </w:r>
      <w:r w:rsidR="00F81221">
        <w:rPr>
          <w:kern w:val="0"/>
        </w:rPr>
        <w:t xml:space="preserve"> and </w:t>
      </w:r>
      <w:r w:rsidRPr="000F3D6B">
        <w:rPr>
          <w:kern w:val="0"/>
        </w:rPr>
        <w:t>the results were discussed. A numerical solution was obtained, which was compared with the experimental data for the increase in protopine concentration in the liquid phase. A satisfactory fit with experimental data was observed. (C) 2008 El</w:t>
      </w:r>
      <w:r>
        <w:rPr>
          <w:kern w:val="0"/>
        </w:rPr>
        <w:t>sevier B.V All rights reserved.</w:t>
      </w:r>
    </w:p>
    <w:p w:rsidR="000F3D6B" w:rsidRDefault="000F3D6B" w:rsidP="000F3D6B">
      <w:pPr>
        <w:pStyle w:val="a0"/>
        <w:rPr>
          <w:kern w:val="0"/>
        </w:rPr>
      </w:pPr>
      <w:r w:rsidRPr="000F3D6B">
        <w:rPr>
          <w:kern w:val="0"/>
        </w:rPr>
        <w:t>Keywords: Leaching</w:t>
      </w:r>
      <w:r>
        <w:rPr>
          <w:kern w:val="0"/>
        </w:rPr>
        <w:t>,</w:t>
      </w:r>
      <w:r w:rsidRPr="000F3D6B">
        <w:rPr>
          <w:kern w:val="0"/>
        </w:rPr>
        <w:t xml:space="preserve"> Kinetics</w:t>
      </w:r>
      <w:r>
        <w:rPr>
          <w:kern w:val="0"/>
        </w:rPr>
        <w:t>,</w:t>
      </w:r>
      <w:r w:rsidRPr="000F3D6B">
        <w:rPr>
          <w:kern w:val="0"/>
        </w:rPr>
        <w:t xml:space="preserve"> Mathematical Modelling</w:t>
      </w:r>
      <w:r>
        <w:rPr>
          <w:kern w:val="0"/>
        </w:rPr>
        <w:t>,</w:t>
      </w:r>
      <w:r w:rsidRPr="000F3D6B">
        <w:rPr>
          <w:kern w:val="0"/>
        </w:rPr>
        <w:t xml:space="preserve"> Fumaria Officinalis</w:t>
      </w:r>
      <w:r>
        <w:rPr>
          <w:kern w:val="0"/>
        </w:rPr>
        <w:t>,</w:t>
      </w:r>
      <w:r w:rsidRPr="000F3D6B">
        <w:rPr>
          <w:kern w:val="0"/>
        </w:rPr>
        <w:t xml:space="preserve"> Protopine</w:t>
      </w:r>
      <w:r>
        <w:rPr>
          <w:kern w:val="0"/>
        </w:rPr>
        <w:t>,</w:t>
      </w:r>
      <w:r w:rsidRPr="000F3D6B">
        <w:rPr>
          <w:kern w:val="0"/>
        </w:rPr>
        <w:t xml:space="preserve"> Mass Transfer</w:t>
      </w:r>
      <w:r>
        <w:rPr>
          <w:kern w:val="0"/>
        </w:rPr>
        <w:t>, Tilia Sapwood, Optimization</w:t>
      </w:r>
    </w:p>
    <w:p w:rsidR="001B7B1C" w:rsidRDefault="001B7B1C" w:rsidP="001B7B1C">
      <w:pPr>
        <w:pStyle w:val="a0"/>
        <w:rPr>
          <w:kern w:val="0"/>
        </w:rPr>
      </w:pPr>
      <w:r>
        <w:rPr>
          <w:rFonts w:hint="eastAsia"/>
          <w:kern w:val="0"/>
        </w:rPr>
        <w:t xml:space="preserve">? </w:t>
      </w:r>
      <w:r w:rsidRPr="00E302C2">
        <w:rPr>
          <w:kern w:val="0"/>
        </w:rPr>
        <w:t>Oo, C.W., Kassim, M.J.</w:t>
      </w:r>
      <w:r w:rsidR="00F81221">
        <w:rPr>
          <w:kern w:val="0"/>
        </w:rPr>
        <w:t xml:space="preserve"> and </w:t>
      </w:r>
      <w:r w:rsidRPr="00E302C2">
        <w:rPr>
          <w:kern w:val="0"/>
        </w:rPr>
        <w:t>Pizzi, A. (2009), Characterization</w:t>
      </w:r>
      <w:r w:rsidR="00F81221">
        <w:rPr>
          <w:kern w:val="0"/>
        </w:rPr>
        <w:t xml:space="preserve"> and </w:t>
      </w:r>
      <w:r w:rsidRPr="00E302C2">
        <w:rPr>
          <w:kern w:val="0"/>
        </w:rPr>
        <w:t xml:space="preserve">performance of Rhizophora apiculata mangrove polyflavonoid tannins in the adsorption of </w:t>
      </w:r>
      <w:r>
        <w:rPr>
          <w:kern w:val="0"/>
        </w:rPr>
        <w:t>copper(II)</w:t>
      </w:r>
      <w:r w:rsidR="00F81221">
        <w:rPr>
          <w:kern w:val="0"/>
        </w:rPr>
        <w:t xml:space="preserve"> and </w:t>
      </w:r>
      <w:r>
        <w:rPr>
          <w:kern w:val="0"/>
        </w:rPr>
        <w:t>lead(II)</w:t>
      </w:r>
      <w:r w:rsidRPr="00E302C2">
        <w:rPr>
          <w:kern w:val="0"/>
        </w:rPr>
        <w:t xml:space="preserve">. </w:t>
      </w:r>
      <w:r w:rsidRPr="00E302C2">
        <w:rPr>
          <w:i/>
          <w:iCs/>
          <w:kern w:val="0"/>
        </w:rPr>
        <w:t>Industrial Crops</w:t>
      </w:r>
      <w:r w:rsidR="00F81221">
        <w:rPr>
          <w:i/>
          <w:iCs/>
          <w:kern w:val="0"/>
        </w:rPr>
        <w:t xml:space="preserve"> and </w:t>
      </w:r>
      <w:r w:rsidRPr="00E302C2">
        <w:rPr>
          <w:i/>
          <w:iCs/>
          <w:kern w:val="0"/>
        </w:rPr>
        <w:t>Products</w:t>
      </w:r>
      <w:r w:rsidRPr="00E302C2">
        <w:rPr>
          <w:kern w:val="0"/>
        </w:rPr>
        <w:t xml:space="preserve">, </w:t>
      </w:r>
      <w:r w:rsidRPr="00E302C2">
        <w:rPr>
          <w:b/>
          <w:bCs/>
          <w:kern w:val="0"/>
        </w:rPr>
        <w:t>30</w:t>
      </w:r>
      <w:r w:rsidRPr="00E302C2">
        <w:rPr>
          <w:kern w:val="0"/>
        </w:rPr>
        <w:t xml:space="preserve"> (1), 152-161</w:t>
      </w:r>
      <w:r>
        <w:rPr>
          <w:kern w:val="0"/>
        </w:rPr>
        <w:t>.</w:t>
      </w:r>
    </w:p>
    <w:p w:rsidR="001B7B1C" w:rsidRPr="00E302C2" w:rsidRDefault="001B7B1C" w:rsidP="001B7B1C">
      <w:pPr>
        <w:pStyle w:val="a0"/>
        <w:rPr>
          <w:kern w:val="0"/>
        </w:rPr>
      </w:pPr>
      <w:r>
        <w:rPr>
          <w:rFonts w:hint="eastAsia"/>
          <w:kern w:val="0"/>
        </w:rPr>
        <w:t xml:space="preserve">Full Text: </w:t>
      </w:r>
      <w:hyperlink r:id="rId975" w:history="1">
        <w:r w:rsidRPr="00080244">
          <w:rPr>
            <w:rStyle w:val="a5"/>
            <w:kern w:val="0"/>
            <w:szCs w:val="24"/>
          </w:rPr>
          <w:t>2009\Ind Cro Pro30, 152.pdf</w:t>
        </w:r>
      </w:hyperlink>
    </w:p>
    <w:p w:rsidR="001B7B1C" w:rsidRPr="00E302C2" w:rsidRDefault="001B7B1C" w:rsidP="001B7B1C">
      <w:pPr>
        <w:pStyle w:val="a0"/>
        <w:rPr>
          <w:kern w:val="0"/>
        </w:rPr>
      </w:pPr>
      <w:r w:rsidRPr="00E302C2">
        <w:rPr>
          <w:kern w:val="0"/>
        </w:rPr>
        <w:t>Abstract: The wasted barks of Rhizophora apiculata mangrove from charcoal industry were explored as a potential source in producing tannins-based adsorbent for heavy metal ions. The polyflavonoid tannins extracted from these barks were subjected to FTIR</w:t>
      </w:r>
      <w:r w:rsidR="00F81221">
        <w:rPr>
          <w:kern w:val="0"/>
        </w:rPr>
        <w:t xml:space="preserve"> and </w:t>
      </w:r>
      <w:r w:rsidRPr="00E302C2">
        <w:rPr>
          <w:kern w:val="0"/>
        </w:rPr>
        <w:t xml:space="preserve">solid-state NMR analysis. The mangrove tannins contain high proportion </w:t>
      </w:r>
      <w:r w:rsidRPr="00E302C2">
        <w:rPr>
          <w:kern w:val="0"/>
        </w:rPr>
        <w:lastRenderedPageBreak/>
        <w:t xml:space="preserve">of procyanidins to prodelphinidins with predominant C4-C8 interflavonoid linkages. The performance of mangrove tannins in removing </w:t>
      </w:r>
      <w:r>
        <w:rPr>
          <w:kern w:val="0"/>
        </w:rPr>
        <w:t>copper(II)</w:t>
      </w:r>
      <w:r w:rsidR="00F81221">
        <w:rPr>
          <w:kern w:val="0"/>
        </w:rPr>
        <w:t xml:space="preserve"> and </w:t>
      </w:r>
      <w:r>
        <w:rPr>
          <w:kern w:val="0"/>
        </w:rPr>
        <w:t>lead(II)</w:t>
      </w:r>
      <w:r w:rsidRPr="00E302C2">
        <w:rPr>
          <w:kern w:val="0"/>
        </w:rPr>
        <w:t xml:space="preserve"> were evaluated. Effecting parameters like initial pH, initial concentrations of metal ions</w:t>
      </w:r>
      <w:r w:rsidR="00F81221">
        <w:rPr>
          <w:kern w:val="0"/>
        </w:rPr>
        <w:t xml:space="preserve"> and </w:t>
      </w:r>
      <w:r w:rsidRPr="00E302C2">
        <w:rPr>
          <w:kern w:val="0"/>
        </w:rPr>
        <w:t>contact time were investigated. The adsorption equilibrium data was fitted with Langmuir, Freundlich, Sips</w:t>
      </w:r>
      <w:r w:rsidR="00F81221">
        <w:rPr>
          <w:kern w:val="0"/>
        </w:rPr>
        <w:t xml:space="preserve"> and </w:t>
      </w:r>
      <w:r w:rsidRPr="00E302C2">
        <w:rPr>
          <w:kern w:val="0"/>
        </w:rPr>
        <w:t xml:space="preserve">Dubinin-Radushkevich isotherm models. Mangrove tannins-based adsorbent showed monolayer adsorption capacity of 8.78 mg/g for </w:t>
      </w:r>
      <w:r>
        <w:rPr>
          <w:kern w:val="0"/>
        </w:rPr>
        <w:t>copper(II)</w:t>
      </w:r>
      <w:r w:rsidR="00F81221">
        <w:rPr>
          <w:kern w:val="0"/>
        </w:rPr>
        <w:t xml:space="preserve"> and </w:t>
      </w:r>
      <w:r w:rsidRPr="00E302C2">
        <w:rPr>
          <w:kern w:val="0"/>
        </w:rPr>
        <w:t xml:space="preserve">31.32 mg/g for </w:t>
      </w:r>
      <w:r>
        <w:rPr>
          <w:kern w:val="0"/>
        </w:rPr>
        <w:t>lead(II)</w:t>
      </w:r>
      <w:r w:rsidRPr="00E302C2">
        <w:rPr>
          <w:kern w:val="0"/>
        </w:rPr>
        <w:t xml:space="preserve"> in which the adsorption processes were found to follow pseudo second-order kinetic reaction. The metal ions could interact with the hydroxyl groups of mangrove tannins through an ion exchange and/or complexation process. (c) 2009 Elsevier B.V. All rights reserved</w:t>
      </w:r>
      <w:r>
        <w:rPr>
          <w:kern w:val="0"/>
        </w:rPr>
        <w:t>.</w:t>
      </w:r>
    </w:p>
    <w:p w:rsidR="001B7B1C" w:rsidRPr="00E302C2" w:rsidRDefault="001B7B1C" w:rsidP="001B7B1C">
      <w:pPr>
        <w:pStyle w:val="a0"/>
        <w:rPr>
          <w:kern w:val="0"/>
        </w:rPr>
      </w:pPr>
      <w:r w:rsidRPr="00E302C2">
        <w:rPr>
          <w:kern w:val="0"/>
        </w:rPr>
        <w:t>Keywords: Adsorbent</w:t>
      </w:r>
      <w:r>
        <w:rPr>
          <w:kern w:val="0"/>
        </w:rPr>
        <w:t xml:space="preserve">, </w:t>
      </w:r>
      <w:r w:rsidRPr="00E302C2">
        <w:rPr>
          <w:kern w:val="0"/>
        </w:rPr>
        <w:t>Adsorption</w:t>
      </w:r>
      <w:r>
        <w:rPr>
          <w:kern w:val="0"/>
        </w:rPr>
        <w:t xml:space="preserve">, </w:t>
      </w:r>
      <w:r w:rsidRPr="00E302C2">
        <w:rPr>
          <w:kern w:val="0"/>
        </w:rPr>
        <w:t>Adsorption Capacity</w:t>
      </w:r>
      <w:r>
        <w:rPr>
          <w:kern w:val="0"/>
        </w:rPr>
        <w:t xml:space="preserve">, </w:t>
      </w:r>
      <w:r w:rsidRPr="00E302C2">
        <w:rPr>
          <w:kern w:val="0"/>
        </w:rPr>
        <w:t>Adsorption Equilibrium</w:t>
      </w:r>
      <w:r>
        <w:rPr>
          <w:kern w:val="0"/>
        </w:rPr>
        <w:t xml:space="preserve">, </w:t>
      </w:r>
      <w:r w:rsidRPr="00E302C2">
        <w:rPr>
          <w:kern w:val="0"/>
        </w:rPr>
        <w:t>Analysis</w:t>
      </w:r>
      <w:r>
        <w:rPr>
          <w:kern w:val="0"/>
        </w:rPr>
        <w:t xml:space="preserve">, </w:t>
      </w:r>
      <w:r w:rsidRPr="00E302C2">
        <w:rPr>
          <w:kern w:val="0"/>
        </w:rPr>
        <w:t>Aqueous-Solutions</w:t>
      </w:r>
      <w:r>
        <w:rPr>
          <w:kern w:val="0"/>
        </w:rPr>
        <w:t xml:space="preserve">, </w:t>
      </w:r>
      <w:r w:rsidRPr="00E302C2">
        <w:rPr>
          <w:kern w:val="0"/>
        </w:rPr>
        <w:t>Biosorption</w:t>
      </w:r>
      <w:r>
        <w:rPr>
          <w:kern w:val="0"/>
        </w:rPr>
        <w:t xml:space="preserve">, </w:t>
      </w:r>
      <w:r w:rsidRPr="00E302C2">
        <w:rPr>
          <w:kern w:val="0"/>
        </w:rPr>
        <w:t>Capacity</w:t>
      </w:r>
      <w:r>
        <w:rPr>
          <w:kern w:val="0"/>
        </w:rPr>
        <w:t xml:space="preserve">, </w:t>
      </w:r>
      <w:r w:rsidRPr="00E302C2">
        <w:rPr>
          <w:kern w:val="0"/>
        </w:rPr>
        <w:t>Characterization</w:t>
      </w:r>
      <w:r>
        <w:rPr>
          <w:kern w:val="0"/>
        </w:rPr>
        <w:t xml:space="preserve">, </w:t>
      </w:r>
      <w:r w:rsidRPr="00E302C2">
        <w:rPr>
          <w:kern w:val="0"/>
        </w:rPr>
        <w:t>Complexation</w:t>
      </w:r>
      <w:r>
        <w:rPr>
          <w:kern w:val="0"/>
        </w:rPr>
        <w:t xml:space="preserve">, </w:t>
      </w:r>
      <w:r w:rsidRPr="00E302C2">
        <w:rPr>
          <w:kern w:val="0"/>
        </w:rPr>
        <w:t>Copper</w:t>
      </w:r>
      <w:r>
        <w:rPr>
          <w:kern w:val="0"/>
        </w:rPr>
        <w:t xml:space="preserve">, </w:t>
      </w:r>
      <w:r w:rsidRPr="00E302C2">
        <w:rPr>
          <w:kern w:val="0"/>
        </w:rPr>
        <w:t>Data</w:t>
      </w:r>
      <w:r>
        <w:rPr>
          <w:kern w:val="0"/>
        </w:rPr>
        <w:t xml:space="preserve">, </w:t>
      </w:r>
      <w:r w:rsidRPr="00E302C2">
        <w:rPr>
          <w:kern w:val="0"/>
        </w:rPr>
        <w:t>Equilibrium</w:t>
      </w:r>
      <w:r>
        <w:rPr>
          <w:kern w:val="0"/>
        </w:rPr>
        <w:t xml:space="preserve">, </w:t>
      </w:r>
      <w:r w:rsidRPr="00E302C2">
        <w:rPr>
          <w:kern w:val="0"/>
        </w:rPr>
        <w:t>Freundlich</w:t>
      </w:r>
      <w:r>
        <w:rPr>
          <w:kern w:val="0"/>
        </w:rPr>
        <w:t xml:space="preserve">, </w:t>
      </w:r>
      <w:r w:rsidRPr="00E302C2">
        <w:rPr>
          <w:kern w:val="0"/>
        </w:rPr>
        <w:t>FTIR</w:t>
      </w:r>
      <w:r>
        <w:rPr>
          <w:kern w:val="0"/>
        </w:rPr>
        <w:t xml:space="preserve">, </w:t>
      </w:r>
      <w:r w:rsidRPr="00E302C2">
        <w:rPr>
          <w:kern w:val="0"/>
        </w:rPr>
        <w:t>Heavy Metal</w:t>
      </w:r>
      <w:r>
        <w:rPr>
          <w:kern w:val="0"/>
        </w:rPr>
        <w:t xml:space="preserve">, </w:t>
      </w:r>
      <w:r w:rsidRPr="00E302C2">
        <w:rPr>
          <w:kern w:val="0"/>
        </w:rPr>
        <w:t>Heavy Metal Ions</w:t>
      </w:r>
      <w:r>
        <w:rPr>
          <w:kern w:val="0"/>
        </w:rPr>
        <w:t xml:space="preserve">, </w:t>
      </w:r>
      <w:r w:rsidRPr="00E302C2">
        <w:rPr>
          <w:kern w:val="0"/>
        </w:rPr>
        <w:t>Heavy-Metals</w:t>
      </w:r>
      <w:r>
        <w:rPr>
          <w:kern w:val="0"/>
        </w:rPr>
        <w:t xml:space="preserve">, </w:t>
      </w:r>
      <w:r w:rsidRPr="00E302C2">
        <w:rPr>
          <w:kern w:val="0"/>
        </w:rPr>
        <w:t>Ion Exchange</w:t>
      </w:r>
      <w:r>
        <w:rPr>
          <w:kern w:val="0"/>
        </w:rPr>
        <w:t xml:space="preserve">, </w:t>
      </w:r>
      <w:r w:rsidRPr="00E302C2">
        <w:rPr>
          <w:kern w:val="0"/>
        </w:rPr>
        <w:t>Ion-Exchange</w:t>
      </w:r>
      <w:r>
        <w:rPr>
          <w:kern w:val="0"/>
        </w:rPr>
        <w:t xml:space="preserve">, </w:t>
      </w:r>
      <w:r w:rsidRPr="00E302C2">
        <w:rPr>
          <w:kern w:val="0"/>
        </w:rPr>
        <w:t>Ions</w:t>
      </w:r>
      <w:r>
        <w:rPr>
          <w:kern w:val="0"/>
        </w:rPr>
        <w:t xml:space="preserve">, </w:t>
      </w:r>
      <w:r w:rsidRPr="00E302C2">
        <w:rPr>
          <w:kern w:val="0"/>
        </w:rPr>
        <w:t>Isotherm</w:t>
      </w:r>
      <w:r>
        <w:rPr>
          <w:kern w:val="0"/>
        </w:rPr>
        <w:t xml:space="preserve">, </w:t>
      </w:r>
      <w:r w:rsidRPr="00E302C2">
        <w:rPr>
          <w:kern w:val="0"/>
        </w:rPr>
        <w:t>Kinetic</w:t>
      </w:r>
      <w:r>
        <w:rPr>
          <w:kern w:val="0"/>
        </w:rPr>
        <w:t xml:space="preserve">, </w:t>
      </w:r>
      <w:r w:rsidRPr="00E302C2">
        <w:rPr>
          <w:kern w:val="0"/>
        </w:rPr>
        <w:t>Langmuir</w:t>
      </w:r>
      <w:r>
        <w:rPr>
          <w:kern w:val="0"/>
        </w:rPr>
        <w:t xml:space="preserve">, </w:t>
      </w:r>
      <w:r w:rsidRPr="00E302C2">
        <w:rPr>
          <w:kern w:val="0"/>
        </w:rPr>
        <w:t>Lead</w:t>
      </w:r>
      <w:r>
        <w:rPr>
          <w:kern w:val="0"/>
        </w:rPr>
        <w:t xml:space="preserve">, </w:t>
      </w:r>
      <w:r w:rsidRPr="00E302C2">
        <w:rPr>
          <w:kern w:val="0"/>
        </w:rPr>
        <w:t>Mangrove Tannins</w:t>
      </w:r>
      <w:r>
        <w:rPr>
          <w:kern w:val="0"/>
        </w:rPr>
        <w:t xml:space="preserve">, </w:t>
      </w:r>
      <w:r w:rsidRPr="00E302C2">
        <w:rPr>
          <w:kern w:val="0"/>
        </w:rPr>
        <w:t>Metal</w:t>
      </w:r>
      <w:r>
        <w:rPr>
          <w:kern w:val="0"/>
        </w:rPr>
        <w:t xml:space="preserve">, </w:t>
      </w:r>
      <w:r w:rsidRPr="00E302C2">
        <w:rPr>
          <w:kern w:val="0"/>
        </w:rPr>
        <w:t>Metal Ions</w:t>
      </w:r>
      <w:r>
        <w:rPr>
          <w:kern w:val="0"/>
        </w:rPr>
        <w:t xml:space="preserve">, </w:t>
      </w:r>
      <w:r w:rsidRPr="00E302C2">
        <w:rPr>
          <w:kern w:val="0"/>
        </w:rPr>
        <w:t>Metal-Ions</w:t>
      </w:r>
      <w:r>
        <w:rPr>
          <w:kern w:val="0"/>
        </w:rPr>
        <w:t xml:space="preserve">, </w:t>
      </w:r>
      <w:r w:rsidRPr="00E302C2">
        <w:rPr>
          <w:kern w:val="0"/>
        </w:rPr>
        <w:t>Models</w:t>
      </w:r>
      <w:r>
        <w:rPr>
          <w:kern w:val="0"/>
        </w:rPr>
        <w:t xml:space="preserve">, </w:t>
      </w:r>
      <w:r w:rsidRPr="00E302C2">
        <w:rPr>
          <w:kern w:val="0"/>
        </w:rPr>
        <w:t>Monolayer</w:t>
      </w:r>
      <w:r>
        <w:rPr>
          <w:kern w:val="0"/>
        </w:rPr>
        <w:t xml:space="preserve">, </w:t>
      </w:r>
      <w:r w:rsidRPr="00E302C2">
        <w:rPr>
          <w:kern w:val="0"/>
        </w:rPr>
        <w:t>NMR</w:t>
      </w:r>
      <w:r>
        <w:rPr>
          <w:kern w:val="0"/>
        </w:rPr>
        <w:t xml:space="preserve">, </w:t>
      </w:r>
      <w:r w:rsidRPr="00E302C2">
        <w:rPr>
          <w:kern w:val="0"/>
        </w:rPr>
        <w:t>Performance</w:t>
      </w:r>
      <w:r>
        <w:rPr>
          <w:kern w:val="0"/>
        </w:rPr>
        <w:t xml:space="preserve">, </w:t>
      </w:r>
      <w:r>
        <w:rPr>
          <w:rFonts w:hint="eastAsia"/>
          <w:kern w:val="0"/>
        </w:rPr>
        <w:t>p</w:t>
      </w:r>
      <w:r w:rsidRPr="00E302C2">
        <w:rPr>
          <w:kern w:val="0"/>
        </w:rPr>
        <w:t>H</w:t>
      </w:r>
      <w:r>
        <w:rPr>
          <w:kern w:val="0"/>
        </w:rPr>
        <w:t xml:space="preserve">, </w:t>
      </w:r>
      <w:r w:rsidRPr="00E302C2">
        <w:rPr>
          <w:kern w:val="0"/>
        </w:rPr>
        <w:t>Pinus-Pinaster Bark</w:t>
      </w:r>
      <w:r>
        <w:rPr>
          <w:kern w:val="0"/>
        </w:rPr>
        <w:t xml:space="preserve">, </w:t>
      </w:r>
      <w:r w:rsidRPr="00E302C2">
        <w:rPr>
          <w:kern w:val="0"/>
        </w:rPr>
        <w:t>Potential</w:t>
      </w:r>
      <w:r>
        <w:rPr>
          <w:kern w:val="0"/>
        </w:rPr>
        <w:t xml:space="preserve">, </w:t>
      </w:r>
      <w:r w:rsidRPr="00E302C2">
        <w:rPr>
          <w:kern w:val="0"/>
        </w:rPr>
        <w:t>Pseudo Second Order</w:t>
      </w:r>
      <w:r>
        <w:rPr>
          <w:kern w:val="0"/>
        </w:rPr>
        <w:t xml:space="preserve">, </w:t>
      </w:r>
      <w:r w:rsidRPr="00E302C2">
        <w:rPr>
          <w:kern w:val="0"/>
        </w:rPr>
        <w:t>Pseudo Second-Order</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E302C2">
        <w:rPr>
          <w:kern w:val="0"/>
        </w:rPr>
        <w:t>Rights</w:t>
      </w:r>
      <w:r>
        <w:rPr>
          <w:kern w:val="0"/>
        </w:rPr>
        <w:t xml:space="preserve">, </w:t>
      </w:r>
      <w:r w:rsidRPr="00E302C2">
        <w:rPr>
          <w:kern w:val="0"/>
        </w:rPr>
        <w:t>Sawdust Adsorption</w:t>
      </w:r>
      <w:r>
        <w:rPr>
          <w:kern w:val="0"/>
        </w:rPr>
        <w:t xml:space="preserve">, </w:t>
      </w:r>
      <w:r w:rsidRPr="00E302C2">
        <w:rPr>
          <w:kern w:val="0"/>
        </w:rPr>
        <w:t>Second Order</w:t>
      </w:r>
      <w:r>
        <w:rPr>
          <w:kern w:val="0"/>
        </w:rPr>
        <w:t xml:space="preserve">, </w:t>
      </w:r>
      <w:r w:rsidRPr="00E302C2">
        <w:rPr>
          <w:kern w:val="0"/>
        </w:rPr>
        <w:t>Second-Order</w:t>
      </w:r>
      <w:r>
        <w:rPr>
          <w:kern w:val="0"/>
        </w:rPr>
        <w:t xml:space="preserve">, </w:t>
      </w:r>
      <w:r w:rsidRPr="00E302C2">
        <w:rPr>
          <w:kern w:val="0"/>
        </w:rPr>
        <w:t>Solid-State NMR</w:t>
      </w:r>
      <w:r>
        <w:rPr>
          <w:kern w:val="0"/>
        </w:rPr>
        <w:t xml:space="preserve">, </w:t>
      </w:r>
      <w:r w:rsidRPr="00E302C2">
        <w:rPr>
          <w:kern w:val="0"/>
        </w:rPr>
        <w:t>Sorption</w:t>
      </w:r>
      <w:r>
        <w:rPr>
          <w:kern w:val="0"/>
        </w:rPr>
        <w:t xml:space="preserve">, </w:t>
      </w:r>
      <w:r w:rsidRPr="00E302C2">
        <w:rPr>
          <w:kern w:val="0"/>
        </w:rPr>
        <w:t>Source</w:t>
      </w:r>
      <w:r>
        <w:rPr>
          <w:kern w:val="0"/>
        </w:rPr>
        <w:t xml:space="preserve">, </w:t>
      </w:r>
      <w:r w:rsidRPr="00E302C2">
        <w:rPr>
          <w:kern w:val="0"/>
        </w:rPr>
        <w:t>Spectroscopy</w:t>
      </w:r>
    </w:p>
    <w:p w:rsidR="00893C29" w:rsidRDefault="00893C29" w:rsidP="00893C29">
      <w:pPr>
        <w:pStyle w:val="a0"/>
        <w:rPr>
          <w:kern w:val="0"/>
        </w:rPr>
      </w:pPr>
      <w:r>
        <w:rPr>
          <w:rFonts w:hint="eastAsia"/>
          <w:kern w:val="0"/>
        </w:rPr>
        <w:t xml:space="preserve">? </w:t>
      </w:r>
      <w:r w:rsidRPr="00893C29">
        <w:rPr>
          <w:kern w:val="0"/>
        </w:rPr>
        <w:t>Ofomaja, A.E.</w:t>
      </w:r>
      <w:r w:rsidRPr="00E302C2">
        <w:rPr>
          <w:kern w:val="0"/>
        </w:rPr>
        <w:t xml:space="preserve"> (20</w:t>
      </w:r>
      <w:r>
        <w:rPr>
          <w:rFonts w:hint="eastAsia"/>
          <w:kern w:val="0"/>
        </w:rPr>
        <w:t>11</w:t>
      </w:r>
      <w:r w:rsidRPr="00E302C2">
        <w:rPr>
          <w:kern w:val="0"/>
        </w:rPr>
        <w:t xml:space="preserve">), </w:t>
      </w:r>
      <w:r w:rsidRPr="00893C29">
        <w:rPr>
          <w:kern w:val="0"/>
        </w:rPr>
        <w:t>Kinetics</w:t>
      </w:r>
      <w:r w:rsidR="00F81221">
        <w:rPr>
          <w:kern w:val="0"/>
        </w:rPr>
        <w:t xml:space="preserve"> and </w:t>
      </w:r>
      <w:r w:rsidRPr="00893C29">
        <w:rPr>
          <w:kern w:val="0"/>
        </w:rPr>
        <w:t>pseudo-isotherm studies of 4-nitrophenol adsorption onto mansonia wood sawdust</w:t>
      </w:r>
      <w:r w:rsidRPr="00E302C2">
        <w:rPr>
          <w:kern w:val="0"/>
        </w:rPr>
        <w:t xml:space="preserve">. </w:t>
      </w:r>
      <w:r w:rsidRPr="00E302C2">
        <w:rPr>
          <w:i/>
          <w:iCs/>
          <w:kern w:val="0"/>
        </w:rPr>
        <w:t>Industrial Crops</w:t>
      </w:r>
      <w:r w:rsidR="00F81221">
        <w:rPr>
          <w:i/>
          <w:iCs/>
          <w:kern w:val="0"/>
        </w:rPr>
        <w:t xml:space="preserve"> and </w:t>
      </w:r>
      <w:r w:rsidRPr="00E302C2">
        <w:rPr>
          <w:i/>
          <w:iCs/>
          <w:kern w:val="0"/>
        </w:rPr>
        <w:t>Products</w:t>
      </w:r>
      <w:r w:rsidRPr="00E302C2">
        <w:rPr>
          <w:kern w:val="0"/>
        </w:rPr>
        <w:t xml:space="preserve">, </w:t>
      </w:r>
      <w:r w:rsidRPr="00E302C2">
        <w:rPr>
          <w:b/>
          <w:bCs/>
          <w:kern w:val="0"/>
        </w:rPr>
        <w:t>3</w:t>
      </w:r>
      <w:r>
        <w:rPr>
          <w:rFonts w:hint="eastAsia"/>
          <w:b/>
          <w:bCs/>
          <w:kern w:val="0"/>
        </w:rPr>
        <w:t>3</w:t>
      </w:r>
      <w:r w:rsidRPr="00E302C2">
        <w:rPr>
          <w:kern w:val="0"/>
        </w:rPr>
        <w:t xml:space="preserve"> (</w:t>
      </w:r>
      <w:r>
        <w:rPr>
          <w:rFonts w:hint="eastAsia"/>
          <w:kern w:val="0"/>
        </w:rPr>
        <w:t>2</w:t>
      </w:r>
      <w:r w:rsidRPr="00E302C2">
        <w:rPr>
          <w:kern w:val="0"/>
        </w:rPr>
        <w:t xml:space="preserve">), </w:t>
      </w:r>
      <w:r w:rsidRPr="00893C29">
        <w:rPr>
          <w:kern w:val="0"/>
        </w:rPr>
        <w:t>418-428</w:t>
      </w:r>
      <w:r>
        <w:rPr>
          <w:kern w:val="0"/>
        </w:rPr>
        <w:t>.</w:t>
      </w:r>
    </w:p>
    <w:p w:rsidR="00893C29" w:rsidRDefault="00893C29" w:rsidP="00893C29">
      <w:pPr>
        <w:pStyle w:val="a0"/>
        <w:rPr>
          <w:kern w:val="0"/>
        </w:rPr>
      </w:pPr>
      <w:r>
        <w:rPr>
          <w:rFonts w:hint="eastAsia"/>
          <w:kern w:val="0"/>
        </w:rPr>
        <w:t xml:space="preserve">Full Text: </w:t>
      </w:r>
      <w:hyperlink r:id="rId976" w:history="1">
        <w:r w:rsidR="00CA3181" w:rsidRPr="00CA3181">
          <w:rPr>
            <w:rStyle w:val="a5"/>
            <w:kern w:val="0"/>
          </w:rPr>
          <w:t>2011\Ind Cro Pro33, 418.pdf</w:t>
        </w:r>
      </w:hyperlink>
    </w:p>
    <w:p w:rsidR="0086551D" w:rsidRDefault="0086551D" w:rsidP="0086551D">
      <w:pPr>
        <w:pStyle w:val="a0"/>
        <w:rPr>
          <w:kern w:val="0"/>
        </w:rPr>
      </w:pPr>
      <w:r>
        <w:rPr>
          <w:kern w:val="0"/>
        </w:rPr>
        <w:t>Abstract: Kinetic models alone are usually applied to describe adsorption onto porous materials, but little attention is given to the fact that diffusion of pollutants especially large organic pollutant molecules may also control the reaction rates. In this investigation, the kinetics</w:t>
      </w:r>
      <w:r w:rsidR="00F81221">
        <w:rPr>
          <w:kern w:val="0"/>
        </w:rPr>
        <w:t xml:space="preserve"> and </w:t>
      </w:r>
      <w:r>
        <w:rPr>
          <w:kern w:val="0"/>
        </w:rPr>
        <w:t>pseudo-isotherm studies of an organic pollutant, 4-nitrophenol from aqueous solution on mansonia sawdust was examined. The intraparticle diffusion particle plots revealed three distinct sections representing sorption into external diffusion, intraparticle diffusion</w:t>
      </w:r>
      <w:r w:rsidR="00F81221">
        <w:rPr>
          <w:kern w:val="0"/>
        </w:rPr>
        <w:t xml:space="preserve"> and </w:t>
      </w:r>
      <w:r>
        <w:rPr>
          <w:kern w:val="0"/>
        </w:rPr>
        <w:t>diffusion to a biosorption site within the particles. The fractional removal of pollutant versus square root of time plots further revealed three sectional straight lines whose slope may represent the rates of pollutant sorption into macro-, meso-</w:t>
      </w:r>
      <w:r w:rsidR="00F81221">
        <w:rPr>
          <w:kern w:val="0"/>
        </w:rPr>
        <w:t xml:space="preserve"> and </w:t>
      </w:r>
      <w:r>
        <w:rPr>
          <w:kern w:val="0"/>
        </w:rPr>
        <w:t>micropores. The equilibrium capacities determined using four forms of the Ho</w:t>
      </w:r>
      <w:r w:rsidR="000352E7">
        <w:rPr>
          <w:kern w:val="0"/>
        </w:rPr>
        <w:t>’</w:t>
      </w:r>
      <w:r>
        <w:rPr>
          <w:kern w:val="0"/>
        </w:rPr>
        <w:t>s pseudo-second order model</w:t>
      </w:r>
      <w:r w:rsidR="00F81221">
        <w:rPr>
          <w:kern w:val="0"/>
        </w:rPr>
        <w:t xml:space="preserve"> and </w:t>
      </w:r>
      <w:r>
        <w:rPr>
          <w:kern w:val="0"/>
        </w:rPr>
        <w:t>the Type-1 pseudo second-order expression was also used to evaluate equilibrium concentrations</w:t>
      </w:r>
      <w:r w:rsidR="00F81221">
        <w:rPr>
          <w:kern w:val="0"/>
        </w:rPr>
        <w:t xml:space="preserve"> and </w:t>
      </w:r>
      <w:r>
        <w:rPr>
          <w:kern w:val="0"/>
        </w:rPr>
        <w:t>pseudo-isotherms were obtained by changing initial concentration. C-0. (C) 2010 Elsevier B.V. All rights reserved.</w:t>
      </w:r>
    </w:p>
    <w:p w:rsidR="0086551D" w:rsidRDefault="0086551D" w:rsidP="0086551D">
      <w:pPr>
        <w:pStyle w:val="a0"/>
        <w:rPr>
          <w:kern w:val="0"/>
        </w:rPr>
      </w:pPr>
      <w:r>
        <w:rPr>
          <w:kern w:val="0"/>
        </w:rPr>
        <w:t>Keywords: Activated Carbon, Adsorption, Aqueous-Solution, Biosorption, Coconut Copra Meal, Dye Adsorption, Equilibrium, External Mass Transfer, Film</w:t>
      </w:r>
      <w:r w:rsidR="00F81221">
        <w:rPr>
          <w:kern w:val="0"/>
        </w:rPr>
        <w:t xml:space="preserve"> and </w:t>
      </w:r>
      <w:r>
        <w:rPr>
          <w:kern w:val="0"/>
        </w:rPr>
        <w:t>Pore Diffusion, Ho</w:t>
      </w:r>
      <w:r w:rsidR="000352E7">
        <w:rPr>
          <w:kern w:val="0"/>
        </w:rPr>
        <w:t>’</w:t>
      </w:r>
      <w:r>
        <w:rPr>
          <w:kern w:val="0"/>
        </w:rPr>
        <w:t xml:space="preserve">s Pseudo-Second Order Model, Kinetic, Kinetic Models, Kinetics, </w:t>
      </w:r>
      <w:r>
        <w:rPr>
          <w:kern w:val="0"/>
        </w:rPr>
        <w:lastRenderedPageBreak/>
        <w:t>Lead-Ion Sorption, Methylene-Blue, Nonlinear Methods, Palm Kernel Fiber, Pseudo-Isotherms, Sorption, Sphagnum Moss Peat, Tree Fern</w:t>
      </w:r>
    </w:p>
    <w:p w:rsidR="009A4763" w:rsidRDefault="009A4763" w:rsidP="009A4763">
      <w:pPr>
        <w:pStyle w:val="a0"/>
        <w:rPr>
          <w:kern w:val="0"/>
        </w:rPr>
      </w:pPr>
      <w:r>
        <w:rPr>
          <w:rFonts w:hint="eastAsia"/>
          <w:kern w:val="0"/>
        </w:rPr>
        <w:t xml:space="preserve">? </w:t>
      </w:r>
      <w:r>
        <w:rPr>
          <w:kern w:val="0"/>
        </w:rPr>
        <w:t xml:space="preserve">Mahmoodi, N.M., Hayati, B. and Arami, M. (2012), Kinetic, equilibrium and thermodynamic studies of ternary system dye removal using a biopolymer. </w:t>
      </w:r>
      <w:r>
        <w:rPr>
          <w:i/>
          <w:iCs/>
          <w:kern w:val="0"/>
        </w:rPr>
        <w:t>Industrial Crops and Products</w:t>
      </w:r>
      <w:r>
        <w:rPr>
          <w:kern w:val="0"/>
        </w:rPr>
        <w:t xml:space="preserve">, </w:t>
      </w:r>
      <w:r>
        <w:rPr>
          <w:b/>
          <w:bCs/>
          <w:kern w:val="0"/>
        </w:rPr>
        <w:t>35</w:t>
      </w:r>
      <w:r>
        <w:rPr>
          <w:kern w:val="0"/>
        </w:rPr>
        <w:t xml:space="preserve"> (1), 295-301.</w:t>
      </w:r>
    </w:p>
    <w:p w:rsidR="009A4763" w:rsidRPr="007D79E8" w:rsidRDefault="009A4763" w:rsidP="009A4763">
      <w:pPr>
        <w:pStyle w:val="a0"/>
        <w:rPr>
          <w:kern w:val="0"/>
        </w:rPr>
      </w:pPr>
      <w:r w:rsidRPr="007D79E8">
        <w:rPr>
          <w:kern w:val="0"/>
        </w:rPr>
        <w:t>Full Text:</w:t>
      </w:r>
      <w:r>
        <w:rPr>
          <w:rFonts w:hint="eastAsia"/>
          <w:kern w:val="0"/>
        </w:rPr>
        <w:t xml:space="preserve"> </w:t>
      </w:r>
      <w:hyperlink r:id="rId977" w:history="1">
        <w:r w:rsidRPr="00807856">
          <w:rPr>
            <w:rStyle w:val="a5"/>
            <w:kern w:val="0"/>
          </w:rPr>
          <w:t>2012\Ind Cro Pro35, 295.pdf</w:t>
        </w:r>
      </w:hyperlink>
    </w:p>
    <w:p w:rsidR="009A4763" w:rsidRDefault="009A4763" w:rsidP="009A4763">
      <w:pPr>
        <w:pStyle w:val="a0"/>
        <w:rPr>
          <w:kern w:val="0"/>
        </w:rPr>
      </w:pPr>
      <w:r>
        <w:rPr>
          <w:kern w:val="0"/>
        </w:rPr>
        <w:t>Abstract: In this paper, dye removal ability of sodium alginate (SA) as a biopolymer from ternary systems was investigated. Physical characteristics of SA were studied using Fourier transform infra-red (FTIR) and scanning electron microscopy (SEM). Three textile basic dyes were used as model compounds. The adsorption kinetics, isotherms and thermodynamics were studied. The effect of SA dosage, initial dye concentration and pH on dye removal was elucidated. It was found that adsorption kinetics of dyes followed with pseudo-second order kinetics. In addition, dyes followed with Langmuir, and extended Langmuir isotherm in single and ternary systems, respectively. The thermodynamic data showed that the dye adsorption onto SA was a spontaneous, endothermic and physisorption reaction. Based on the data of present investigation, one could conclude that the alginate being a biocompatible, eco-friendly and low-cost adsorbent might be a suitable alternative for elimination of dyes from colored aqueous solutions. (C) 2011 Elsevier B.V. All rights reserved.</w:t>
      </w:r>
    </w:p>
    <w:p w:rsidR="009A4763" w:rsidRDefault="009A4763" w:rsidP="009A4763">
      <w:pPr>
        <w:pStyle w:val="a0"/>
        <w:rPr>
          <w:kern w:val="0"/>
        </w:rPr>
      </w:pPr>
      <w:r>
        <w:rPr>
          <w:kern w:val="0"/>
        </w:rPr>
        <w:t>Keywords: Activated Carbon, Adsorption, Alginate, Aqueous-Solutions, Biopolymer, Dye Removal, Equilibrium, FTIR, Isotherm, Kinetic, Kinetics, Langmuir, pH, Sepiolite, Ternary System, Thermodynamic, Waste, Water</w:t>
      </w:r>
    </w:p>
    <w:p w:rsidR="00B95188" w:rsidRPr="00A428C3" w:rsidRDefault="00B95188" w:rsidP="00B95188">
      <w:pPr>
        <w:pStyle w:val="1"/>
      </w:pPr>
      <w:r w:rsidRPr="00A428C3">
        <w:br w:type="page"/>
      </w:r>
      <w:bookmarkStart w:id="909" w:name="_Toc455569471"/>
      <w:bookmarkStart w:id="910" w:name="_Toc487190712"/>
      <w:bookmarkStart w:id="911" w:name="_Toc487882217"/>
      <w:bookmarkStart w:id="912" w:name="_Toc490688039"/>
      <w:bookmarkStart w:id="913" w:name="_Toc492812150"/>
      <w:bookmarkStart w:id="914" w:name="_Toc186647842"/>
      <w:bookmarkStart w:id="915" w:name="_Toc317161138"/>
      <w:r w:rsidRPr="00A428C3">
        <w:lastRenderedPageBreak/>
        <w:t>Title: Industrial</w:t>
      </w:r>
      <w:r w:rsidR="00F81221">
        <w:t xml:space="preserve"> and </w:t>
      </w:r>
      <w:r w:rsidRPr="00A428C3">
        <w:t>Engineering Chemistry</w:t>
      </w:r>
      <w:bookmarkEnd w:id="909"/>
      <w:bookmarkEnd w:id="910"/>
      <w:bookmarkEnd w:id="911"/>
      <w:bookmarkEnd w:id="912"/>
      <w:bookmarkEnd w:id="913"/>
      <w:bookmarkEnd w:id="914"/>
      <w:bookmarkEnd w:id="915"/>
    </w:p>
    <w:p w:rsidR="00B95188" w:rsidRPr="00A428C3" w:rsidRDefault="00B95188" w:rsidP="00B95188">
      <w:pPr>
        <w:pStyle w:val="a0"/>
      </w:pPr>
      <w:r w:rsidRPr="00A428C3">
        <w:t xml:space="preserve">(Ind. </w:t>
      </w:r>
      <w:smartTag w:uri="urn:schemas-microsoft-com:office:smarttags" w:element="place">
        <w:smartTag w:uri="urn:schemas-microsoft-com:office:smarttags" w:element="country-region">
          <w:r w:rsidRPr="00A428C3">
            <w:t>Eng.</w:t>
          </w:r>
        </w:smartTag>
      </w:smartTag>
      <w:r w:rsidRPr="00A428C3">
        <w:t xml:space="preserve"> Chem.; Ind. Engng. Chem.)</w:t>
      </w:r>
    </w:p>
    <w:p w:rsidR="00B95188" w:rsidRPr="00A428C3" w:rsidRDefault="00B95188" w:rsidP="00B72EF9">
      <w:pPr>
        <w:pStyle w:val="12"/>
      </w:pPr>
      <w:r w:rsidRPr="00A428C3">
        <w:t xml:space="preserve">Full Journal Title: </w:t>
      </w:r>
      <w:hyperlink r:id="rId978" w:history="1">
        <w:r w:rsidRPr="00A428C3">
          <w:rPr>
            <w:rStyle w:val="a5"/>
          </w:rPr>
          <w:t>Industrial</w:t>
        </w:r>
        <w:r w:rsidR="00F81221">
          <w:rPr>
            <w:rStyle w:val="a5"/>
          </w:rPr>
          <w:t xml:space="preserve"> and </w:t>
        </w:r>
        <w:r w:rsidRPr="00A428C3">
          <w:rPr>
            <w:rStyle w:val="a5"/>
          </w:rPr>
          <w:t>Engineering Chemistry</w:t>
        </w:r>
      </w:hyperlink>
    </w:p>
    <w:p w:rsidR="00B95188" w:rsidRPr="00A428C3" w:rsidRDefault="00B95188" w:rsidP="00B72EF9">
      <w:pPr>
        <w:pStyle w:val="12"/>
      </w:pPr>
      <w:bookmarkStart w:id="916" w:name="Cook"/>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0019-7866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rPr>
          <w:color w:val="008000"/>
        </w:rPr>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Reinmuth, O.</w:t>
      </w:r>
      <w:r w:rsidR="00F81221">
        <w:t xml:space="preserve"> and </w:t>
      </w:r>
      <w:r w:rsidRPr="00A428C3">
        <w:t>Gordon, N.E. (1923), Effect of hydrogen-ion concentration on adsorption of dyes by wool</w:t>
      </w:r>
      <w:r w:rsidR="00F81221">
        <w:t xml:space="preserve"> and </w:t>
      </w:r>
      <w:r w:rsidRPr="00A428C3">
        <w:t xml:space="preserve">mordants - Preliminary paper. </w:t>
      </w:r>
      <w:r w:rsidRPr="00A428C3">
        <w:rPr>
          <w:i/>
        </w:rPr>
        <w:t>Industrial</w:t>
      </w:r>
      <w:r w:rsidR="00F81221">
        <w:rPr>
          <w:i/>
        </w:rPr>
        <w:t xml:space="preserve"> and </w:t>
      </w:r>
      <w:r w:rsidRPr="00A428C3">
        <w:rPr>
          <w:i/>
        </w:rPr>
        <w:t>Engineering Chemistry</w:t>
      </w:r>
      <w:r w:rsidRPr="00A428C3">
        <w:t xml:space="preserve">, </w:t>
      </w:r>
      <w:r w:rsidRPr="00A428C3">
        <w:rPr>
          <w:b/>
        </w:rPr>
        <w:t>15</w:t>
      </w:r>
      <w:r w:rsidRPr="00A428C3">
        <w:t xml:space="preserve"> (8), 818.</w:t>
      </w:r>
    </w:p>
    <w:p w:rsidR="00B95188" w:rsidRPr="00A428C3" w:rsidRDefault="00B95188" w:rsidP="00B95188">
      <w:pPr>
        <w:pStyle w:val="a0"/>
      </w:pPr>
      <w:r w:rsidRPr="00A428C3">
        <w:t xml:space="preserve">Full Text: </w:t>
      </w:r>
      <w:hyperlink r:id="rId979" w:history="1">
        <w:r w:rsidRPr="00A428C3">
          <w:rPr>
            <w:rStyle w:val="a5"/>
          </w:rPr>
          <w:t>-1959\Ind Eng Che15, 818.pdf</w:t>
        </w:r>
      </w:hyperlink>
    </w:p>
    <w:p w:rsidR="00B95188" w:rsidRPr="00A428C3" w:rsidRDefault="00B95188" w:rsidP="00B95188">
      <w:pPr>
        <w:pStyle w:val="a0"/>
      </w:pPr>
      <w:r w:rsidRPr="00A428C3">
        <w:t>? Marker, R.E.</w:t>
      </w:r>
      <w:r w:rsidR="00F81221">
        <w:t xml:space="preserve"> and </w:t>
      </w:r>
      <w:r w:rsidRPr="00A428C3">
        <w:t>Gordon, N.E. (1924), Effect of hydrogen-ion concentration on compound formation</w:t>
      </w:r>
      <w:r w:rsidR="00F81221">
        <w:t xml:space="preserve"> and </w:t>
      </w:r>
      <w:r w:rsidRPr="00A428C3">
        <w:t xml:space="preserve">adsorption of dyes by mordants. </w:t>
      </w:r>
      <w:r w:rsidRPr="00A428C3">
        <w:rPr>
          <w:i/>
        </w:rPr>
        <w:t>Industrial</w:t>
      </w:r>
      <w:r w:rsidR="00F81221">
        <w:rPr>
          <w:i/>
        </w:rPr>
        <w:t xml:space="preserve"> and </w:t>
      </w:r>
      <w:r w:rsidRPr="00A428C3">
        <w:rPr>
          <w:i/>
        </w:rPr>
        <w:t>Engineering Chemistry</w:t>
      </w:r>
      <w:r w:rsidRPr="00A428C3">
        <w:t xml:space="preserve">, </w:t>
      </w:r>
      <w:r w:rsidRPr="00A428C3">
        <w:rPr>
          <w:b/>
        </w:rPr>
        <w:t>16</w:t>
      </w:r>
      <w:r w:rsidRPr="00A428C3">
        <w:t xml:space="preserve"> (11), 1186-1188.</w:t>
      </w:r>
    </w:p>
    <w:p w:rsidR="00B95188" w:rsidRPr="00A428C3" w:rsidRDefault="00B95188" w:rsidP="00B95188">
      <w:pPr>
        <w:pStyle w:val="a0"/>
      </w:pPr>
      <w:r w:rsidRPr="00A428C3">
        <w:t xml:space="preserve">Full Text: </w:t>
      </w:r>
      <w:hyperlink r:id="rId980" w:history="1">
        <w:r w:rsidRPr="00A428C3">
          <w:rPr>
            <w:rStyle w:val="a5"/>
          </w:rPr>
          <w:t>-1959\Ind Eng Che16, 1186.pdf</w:t>
        </w:r>
      </w:hyperlink>
    </w:p>
    <w:p w:rsidR="00B95188" w:rsidRDefault="00B95188" w:rsidP="00B95188">
      <w:pPr>
        <w:pStyle w:val="a0"/>
      </w:pPr>
      <w:r>
        <w:rPr>
          <w:rFonts w:hint="eastAsia"/>
        </w:rPr>
        <w:t>Notes: highly cited</w:t>
      </w:r>
    </w:p>
    <w:p w:rsidR="00B95188" w:rsidRPr="00A428C3" w:rsidRDefault="00B95188" w:rsidP="00B95188">
      <w:pPr>
        <w:pStyle w:val="a0"/>
      </w:pPr>
      <w:r w:rsidRPr="00A428C3">
        <w:t xml:space="preserve">? </w:t>
      </w:r>
      <w:r>
        <w:t>Lewis</w:t>
      </w:r>
      <w:r>
        <w:rPr>
          <w:rFonts w:hint="eastAsia"/>
        </w:rPr>
        <w:t>,</w:t>
      </w:r>
      <w:r>
        <w:t xml:space="preserve"> W</w:t>
      </w:r>
      <w:r>
        <w:rPr>
          <w:rFonts w:hint="eastAsia"/>
        </w:rPr>
        <w:t>.</w:t>
      </w:r>
      <w:r>
        <w:t>K</w:t>
      </w:r>
      <w:r>
        <w:rPr>
          <w:rFonts w:hint="eastAsia"/>
        </w:rPr>
        <w:t>.</w:t>
      </w:r>
      <w:r w:rsidR="00F81221">
        <w:rPr>
          <w:rFonts w:hint="eastAsia"/>
        </w:rPr>
        <w:t xml:space="preserve"> and </w:t>
      </w:r>
      <w:r>
        <w:t>Whitman</w:t>
      </w:r>
      <w:r>
        <w:rPr>
          <w:rFonts w:hint="eastAsia"/>
        </w:rPr>
        <w:t>,</w:t>
      </w:r>
      <w:r>
        <w:t xml:space="preserve"> W</w:t>
      </w:r>
      <w:r>
        <w:rPr>
          <w:rFonts w:hint="eastAsia"/>
        </w:rPr>
        <w:t>.</w:t>
      </w:r>
      <w:r>
        <w:t>G</w:t>
      </w:r>
      <w:r>
        <w:rPr>
          <w:rFonts w:hint="eastAsia"/>
        </w:rPr>
        <w:t>.</w:t>
      </w:r>
      <w:r w:rsidRPr="00A428C3">
        <w:t xml:space="preserve"> (1924), </w:t>
      </w:r>
      <w:r>
        <w:t>Principles of gas absorption</w:t>
      </w:r>
      <w:r w:rsidRPr="00A428C3">
        <w:t xml:space="preserve">. </w:t>
      </w:r>
      <w:r w:rsidRPr="00A428C3">
        <w:rPr>
          <w:i/>
        </w:rPr>
        <w:t>Industrial</w:t>
      </w:r>
      <w:r w:rsidR="00F81221">
        <w:rPr>
          <w:i/>
        </w:rPr>
        <w:t xml:space="preserve"> and </w:t>
      </w:r>
      <w:r w:rsidRPr="00A428C3">
        <w:rPr>
          <w:i/>
        </w:rPr>
        <w:t>Engineering Chemistry</w:t>
      </w:r>
      <w:r w:rsidRPr="00A428C3">
        <w:t xml:space="preserve">, </w:t>
      </w:r>
      <w:r w:rsidRPr="00A428C3">
        <w:rPr>
          <w:b/>
        </w:rPr>
        <w:t>16</w:t>
      </w:r>
      <w:r w:rsidRPr="00A428C3">
        <w:t xml:space="preserve"> (</w:t>
      </w:r>
      <w:r>
        <w:rPr>
          <w:rFonts w:hint="eastAsia"/>
        </w:rPr>
        <w:t>12</w:t>
      </w:r>
      <w:r w:rsidRPr="00A428C3">
        <w:t xml:space="preserve">), </w:t>
      </w:r>
      <w:r>
        <w:t>1215-1220</w:t>
      </w:r>
      <w:r w:rsidRPr="00A428C3">
        <w:t>.</w:t>
      </w:r>
    </w:p>
    <w:p w:rsidR="00B95188" w:rsidRDefault="00B95188" w:rsidP="00B95188">
      <w:pPr>
        <w:pStyle w:val="a0"/>
      </w:pPr>
      <w:r w:rsidRPr="00A428C3">
        <w:t xml:space="preserve">Full Text: </w:t>
      </w:r>
      <w:hyperlink r:id="rId981" w:history="1">
        <w:r w:rsidRPr="000D32F3">
          <w:rPr>
            <w:rStyle w:val="a5"/>
          </w:rPr>
          <w:t>-1959\Ind Eng Che16, 1215.pdf</w:t>
        </w:r>
      </w:hyperlink>
    </w:p>
    <w:p w:rsidR="00F96E5B" w:rsidRPr="00A428C3" w:rsidRDefault="00F96E5B" w:rsidP="00F96E5B">
      <w:pPr>
        <w:pStyle w:val="a0"/>
      </w:pPr>
      <w:r w:rsidRPr="00A428C3">
        <w:t xml:space="preserve">? </w:t>
      </w:r>
      <w:r>
        <w:t>Larian</w:t>
      </w:r>
      <w:r>
        <w:rPr>
          <w:rFonts w:hint="eastAsia"/>
        </w:rPr>
        <w:t>,</w:t>
      </w:r>
      <w:r>
        <w:t xml:space="preserve"> M</w:t>
      </w:r>
      <w:r>
        <w:rPr>
          <w:rFonts w:hint="eastAsia"/>
        </w:rPr>
        <w:t>.</w:t>
      </w:r>
      <w:r>
        <w:t>, Lavine</w:t>
      </w:r>
      <w:r>
        <w:rPr>
          <w:rFonts w:hint="eastAsia"/>
        </w:rPr>
        <w:t>,</w:t>
      </w:r>
      <w:r>
        <w:t xml:space="preserve"> I</w:t>
      </w:r>
      <w:r>
        <w:rPr>
          <w:rFonts w:hint="eastAsia"/>
        </w:rPr>
        <w:t>.</w:t>
      </w:r>
      <w:r>
        <w:t>, Mann</w:t>
      </w:r>
      <w:r>
        <w:rPr>
          <w:rFonts w:hint="eastAsia"/>
        </w:rPr>
        <w:t>,</w:t>
      </w:r>
      <w:r>
        <w:t xml:space="preserve"> C</w:t>
      </w:r>
      <w:r>
        <w:rPr>
          <w:rFonts w:hint="eastAsia"/>
        </w:rPr>
        <w:t>.</w:t>
      </w:r>
      <w:r>
        <w:t>A</w:t>
      </w:r>
      <w:r>
        <w:rPr>
          <w:rFonts w:hint="eastAsia"/>
        </w:rPr>
        <w:t>.</w:t>
      </w:r>
      <w:r w:rsidR="00F81221">
        <w:rPr>
          <w:rFonts w:hint="eastAsia"/>
        </w:rPr>
        <w:t xml:space="preserve"> and </w:t>
      </w:r>
      <w:r>
        <w:t>Gauger</w:t>
      </w:r>
      <w:r>
        <w:rPr>
          <w:rFonts w:hint="eastAsia"/>
        </w:rPr>
        <w:t>,</w:t>
      </w:r>
      <w:r>
        <w:t xml:space="preserve"> A</w:t>
      </w:r>
      <w:r>
        <w:rPr>
          <w:rFonts w:hint="eastAsia"/>
        </w:rPr>
        <w:t>.</w:t>
      </w:r>
      <w:r>
        <w:t>W</w:t>
      </w:r>
      <w:r>
        <w:rPr>
          <w:rFonts w:hint="eastAsia"/>
        </w:rPr>
        <w:t>.</w:t>
      </w:r>
      <w:r w:rsidRPr="00A428C3">
        <w:t xml:space="preserve"> (193</w:t>
      </w:r>
      <w:r>
        <w:rPr>
          <w:rFonts w:hint="eastAsia"/>
        </w:rPr>
        <w:t>0</w:t>
      </w:r>
      <w:r w:rsidRPr="00A428C3">
        <w:t xml:space="preserve">), </w:t>
      </w:r>
      <w:r>
        <w:rPr>
          <w:rFonts w:hint="eastAsia"/>
        </w:rPr>
        <w:t xml:space="preserve">II </w:t>
      </w:r>
      <w:r>
        <w:t>Sorption of water vapor by lignite, peat,</w:t>
      </w:r>
      <w:r w:rsidR="00F81221">
        <w:t xml:space="preserve"> and </w:t>
      </w:r>
      <w:r>
        <w:t>wood</w:t>
      </w:r>
      <w:r w:rsidRPr="00A428C3">
        <w:t xml:space="preserve">. </w:t>
      </w:r>
      <w:r w:rsidRPr="00A428C3">
        <w:rPr>
          <w:i/>
        </w:rPr>
        <w:t>Industrial</w:t>
      </w:r>
      <w:r w:rsidR="00F81221">
        <w:rPr>
          <w:i/>
        </w:rPr>
        <w:t xml:space="preserve"> and </w:t>
      </w:r>
      <w:r w:rsidRPr="00A428C3">
        <w:rPr>
          <w:i/>
        </w:rPr>
        <w:t>Engineering Chemistry</w:t>
      </w:r>
      <w:r w:rsidRPr="00A428C3">
        <w:t xml:space="preserve">, </w:t>
      </w:r>
      <w:r w:rsidRPr="00A428C3">
        <w:rPr>
          <w:b/>
        </w:rPr>
        <w:t>2</w:t>
      </w:r>
      <w:r>
        <w:rPr>
          <w:rFonts w:hint="eastAsia"/>
          <w:b/>
        </w:rPr>
        <w:t>2</w:t>
      </w:r>
      <w:r w:rsidRPr="00A428C3">
        <w:t xml:space="preserve"> (</w:t>
      </w:r>
      <w:r>
        <w:rPr>
          <w:rFonts w:hint="eastAsia"/>
        </w:rPr>
        <w:t>11</w:t>
      </w:r>
      <w:r w:rsidRPr="00A428C3">
        <w:t xml:space="preserve">), </w:t>
      </w:r>
      <w:r>
        <w:t>1231-1234</w:t>
      </w:r>
      <w:r w:rsidRPr="00A428C3">
        <w:t>.</w:t>
      </w:r>
    </w:p>
    <w:p w:rsidR="00F96E5B" w:rsidRDefault="00F96E5B" w:rsidP="00F96E5B">
      <w:pPr>
        <w:pStyle w:val="a0"/>
      </w:pPr>
      <w:r w:rsidRPr="00A428C3">
        <w:t xml:space="preserve">Full Text: </w:t>
      </w:r>
      <w:hyperlink r:id="rId982" w:history="1">
        <w:r w:rsidRPr="00F96E5B">
          <w:rPr>
            <w:rStyle w:val="a5"/>
          </w:rPr>
          <w:t>-1959\Ind Eng Che22, 1231.pdf</w:t>
        </w:r>
      </w:hyperlink>
    </w:p>
    <w:p w:rsidR="00F96E5B" w:rsidRDefault="00F96E5B" w:rsidP="00F96E5B">
      <w:pPr>
        <w:pStyle w:val="a0"/>
      </w:pPr>
      <w:r>
        <w:rPr>
          <w:rFonts w:hint="eastAsia"/>
        </w:rPr>
        <w:t xml:space="preserve">Abstract: </w:t>
      </w:r>
      <w:r>
        <w:t>A study of the sorption of water by North Dakota</w:t>
      </w:r>
      <w:r>
        <w:rPr>
          <w:rFonts w:hint="eastAsia"/>
        </w:rPr>
        <w:t xml:space="preserve"> </w:t>
      </w:r>
      <w:r>
        <w:t>lignite, Minnesota peat,</w:t>
      </w:r>
      <w:r w:rsidR="00F81221">
        <w:t xml:space="preserve"> and </w:t>
      </w:r>
      <w:r>
        <w:t>birch wood shows the characteristics</w:t>
      </w:r>
      <w:r>
        <w:rPr>
          <w:rFonts w:hint="eastAsia"/>
        </w:rPr>
        <w:t xml:space="preserve"> </w:t>
      </w:r>
      <w:r>
        <w:t>of the desorption</w:t>
      </w:r>
      <w:r w:rsidR="00F81221">
        <w:t xml:space="preserve"> and </w:t>
      </w:r>
      <w:r>
        <w:t>adsorption process</w:t>
      </w:r>
      <w:r>
        <w:rPr>
          <w:rFonts w:hint="eastAsia"/>
        </w:rPr>
        <w:t xml:space="preserve"> </w:t>
      </w:r>
      <w:r>
        <w:t>to be the same for the three materials. Hysteresis is</w:t>
      </w:r>
      <w:r>
        <w:rPr>
          <w:rFonts w:hint="eastAsia"/>
        </w:rPr>
        <w:t xml:space="preserve"> </w:t>
      </w:r>
      <w:r>
        <w:t>found to be present with the three materials investigated.</w:t>
      </w:r>
      <w:r>
        <w:rPr>
          <w:rFonts w:hint="eastAsia"/>
        </w:rPr>
        <w:t xml:space="preserve"> </w:t>
      </w:r>
      <w:r>
        <w:t>Pore radii have been calculated by means of the</w:t>
      </w:r>
      <w:r>
        <w:rPr>
          <w:rFonts w:hint="eastAsia"/>
        </w:rPr>
        <w:t xml:space="preserve"> </w:t>
      </w:r>
      <w:r>
        <w:t>Thompson equation</w:t>
      </w:r>
      <w:r w:rsidR="00F81221">
        <w:t xml:space="preserve"> and </w:t>
      </w:r>
      <w:r>
        <w:t>in terms of pore size we obtain</w:t>
      </w:r>
      <w:r>
        <w:rPr>
          <w:rFonts w:hint="eastAsia"/>
        </w:rPr>
        <w:t xml:space="preserve"> </w:t>
      </w:r>
      <w:r>
        <w:t>the following classification in order of decreasing pore</w:t>
      </w:r>
      <w:r>
        <w:rPr>
          <w:rFonts w:hint="eastAsia"/>
        </w:rPr>
        <w:t xml:space="preserve"> </w:t>
      </w:r>
      <w:r>
        <w:t>size: peat, birch wood, lignite,</w:t>
      </w:r>
      <w:r w:rsidR="00F81221">
        <w:t xml:space="preserve"> and </w:t>
      </w:r>
      <w:r>
        <w:t>brown coal.</w:t>
      </w:r>
    </w:p>
    <w:p w:rsidR="00F96E5B" w:rsidRPr="00A428C3" w:rsidRDefault="00F96E5B" w:rsidP="00F96E5B">
      <w:pPr>
        <w:pStyle w:val="a0"/>
      </w:pPr>
      <w:r w:rsidRPr="00A428C3">
        <w:t>? McKee, R.H.</w:t>
      </w:r>
      <w:r w:rsidR="00F81221">
        <w:t xml:space="preserve"> and </w:t>
      </w:r>
      <w:r w:rsidRPr="00A428C3">
        <w:t xml:space="preserve">Johnston, W.S. (1934), Removal of fluorides from drinking water. </w:t>
      </w:r>
      <w:r w:rsidRPr="00A428C3">
        <w:rPr>
          <w:i/>
        </w:rPr>
        <w:t>Industrial</w:t>
      </w:r>
      <w:r w:rsidR="00F81221">
        <w:rPr>
          <w:i/>
        </w:rPr>
        <w:t xml:space="preserve"> and </w:t>
      </w:r>
      <w:r w:rsidRPr="00A428C3">
        <w:rPr>
          <w:i/>
        </w:rPr>
        <w:t>Engineering Chemistry</w:t>
      </w:r>
      <w:r w:rsidRPr="00A428C3">
        <w:t xml:space="preserve">, </w:t>
      </w:r>
      <w:r w:rsidRPr="00A428C3">
        <w:rPr>
          <w:b/>
        </w:rPr>
        <w:t>26</w:t>
      </w:r>
      <w:r w:rsidRPr="00A428C3">
        <w:t xml:space="preserve"> (8), 849-851.</w:t>
      </w:r>
    </w:p>
    <w:p w:rsidR="00F96E5B" w:rsidRPr="00A428C3" w:rsidRDefault="00F96E5B" w:rsidP="00F96E5B">
      <w:pPr>
        <w:pStyle w:val="a0"/>
      </w:pPr>
      <w:r w:rsidRPr="00A428C3">
        <w:lastRenderedPageBreak/>
        <w:t xml:space="preserve">Full Text: </w:t>
      </w:r>
      <w:hyperlink r:id="rId983" w:history="1">
        <w:r w:rsidRPr="00A428C3">
          <w:rPr>
            <w:rStyle w:val="a5"/>
          </w:rPr>
          <w:t>I\Ind Eng Che26, 849.pdf</w:t>
        </w:r>
      </w:hyperlink>
    </w:p>
    <w:p w:rsidR="00B95188" w:rsidRPr="00A428C3" w:rsidRDefault="00B95188" w:rsidP="00B95188">
      <w:pPr>
        <w:pStyle w:val="a0"/>
      </w:pPr>
      <w:r w:rsidRPr="00A428C3">
        <w:t xml:space="preserve">? Saeman, J.E. (1945), Kinetics of wood </w:t>
      </w:r>
      <w:r w:rsidRPr="00A428C3">
        <w:rPr>
          <w:i/>
          <w:iCs/>
        </w:rPr>
        <w:t>Saccharification</w:t>
      </w:r>
      <w:r w:rsidRPr="00A428C3">
        <w:t>: Hydrolysis of cellulose</w:t>
      </w:r>
      <w:r w:rsidR="00F81221">
        <w:t xml:space="preserve"> and </w:t>
      </w:r>
      <w:r w:rsidRPr="00A428C3">
        <w:t xml:space="preserve">decomposition of sugars in dilute acid at high temperature. </w:t>
      </w:r>
      <w:r w:rsidRPr="00A428C3">
        <w:rPr>
          <w:i/>
        </w:rPr>
        <w:t>Industrial</w:t>
      </w:r>
      <w:r w:rsidR="00F81221">
        <w:rPr>
          <w:i/>
        </w:rPr>
        <w:t xml:space="preserve"> and </w:t>
      </w:r>
      <w:r w:rsidRPr="00A428C3">
        <w:rPr>
          <w:i/>
        </w:rPr>
        <w:t>Engineering Chemistry</w:t>
      </w:r>
      <w:r w:rsidRPr="00A428C3">
        <w:t xml:space="preserve">, </w:t>
      </w:r>
      <w:r w:rsidRPr="00A428C3">
        <w:rPr>
          <w:b/>
        </w:rPr>
        <w:t>37</w:t>
      </w:r>
      <w:r w:rsidRPr="00A428C3">
        <w:t xml:space="preserve"> (1), 43-52.</w:t>
      </w:r>
    </w:p>
    <w:p w:rsidR="00B95188" w:rsidRPr="00A428C3" w:rsidRDefault="00B95188" w:rsidP="00B95188">
      <w:pPr>
        <w:pStyle w:val="a0"/>
      </w:pPr>
      <w:r w:rsidRPr="00A428C3">
        <w:t xml:space="preserve">Full Text: </w:t>
      </w:r>
      <w:hyperlink r:id="rId984" w:history="1">
        <w:r w:rsidRPr="00A428C3">
          <w:rPr>
            <w:rStyle w:val="a5"/>
          </w:rPr>
          <w:t>I\Ind Eng Che37, 43.pdf</w:t>
        </w:r>
      </w:hyperlink>
    </w:p>
    <w:p w:rsidR="00B95188" w:rsidRPr="00A428C3" w:rsidRDefault="00B95188" w:rsidP="00B95188">
      <w:pPr>
        <w:pStyle w:val="a0"/>
      </w:pPr>
      <w:r w:rsidRPr="00A428C3">
        <w:t xml:space="preserve">Broughton, D.B. (1948), Adsorption isotherms for binary gas mixtures. </w:t>
      </w:r>
      <w:r w:rsidRPr="00A428C3">
        <w:rPr>
          <w:i/>
        </w:rPr>
        <w:t>Industrial</w:t>
      </w:r>
      <w:r w:rsidR="00F81221">
        <w:rPr>
          <w:i/>
        </w:rPr>
        <w:t xml:space="preserve"> and </w:t>
      </w:r>
      <w:r w:rsidRPr="00A428C3">
        <w:rPr>
          <w:i/>
        </w:rPr>
        <w:t>Engineering Chemistry</w:t>
      </w:r>
      <w:r w:rsidRPr="00A428C3">
        <w:t xml:space="preserve">, </w:t>
      </w:r>
      <w:r w:rsidRPr="00A428C3">
        <w:rPr>
          <w:b/>
        </w:rPr>
        <w:t>40</w:t>
      </w:r>
      <w:r w:rsidRPr="00A428C3">
        <w:t xml:space="preserve"> (8), 1506-1508.</w:t>
      </w:r>
    </w:p>
    <w:p w:rsidR="00B95188" w:rsidRPr="00A428C3" w:rsidRDefault="00B95188" w:rsidP="00B95188">
      <w:pPr>
        <w:pStyle w:val="a0"/>
      </w:pPr>
      <w:r w:rsidRPr="00A428C3">
        <w:t xml:space="preserve">Full Text: </w:t>
      </w:r>
      <w:hyperlink r:id="rId985" w:history="1">
        <w:r w:rsidRPr="00A428C3">
          <w:rPr>
            <w:rStyle w:val="a5"/>
          </w:rPr>
          <w:t>I\Ind Eng Che40, 1506.pdf</w:t>
        </w:r>
      </w:hyperlink>
    </w:p>
    <w:p w:rsidR="00B95188" w:rsidRPr="00A428C3" w:rsidRDefault="00B95188" w:rsidP="00B95188">
      <w:pPr>
        <w:pStyle w:val="a0"/>
      </w:pPr>
      <w:r w:rsidRPr="00A428C3">
        <w:t>? Eagle, S.</w:t>
      </w:r>
      <w:r w:rsidR="00F81221">
        <w:t xml:space="preserve"> and </w:t>
      </w:r>
      <w:r w:rsidRPr="00A428C3">
        <w:t>Scott, J.W. (1950), Liquid phase adsorption equilibria</w:t>
      </w:r>
      <w:r w:rsidR="00F81221">
        <w:t xml:space="preserve"> and </w:t>
      </w:r>
      <w:r w:rsidRPr="00A428C3">
        <w:t xml:space="preserve">kinetics. </w:t>
      </w:r>
      <w:r w:rsidRPr="00A428C3">
        <w:rPr>
          <w:i/>
        </w:rPr>
        <w:t>Industrial</w:t>
      </w:r>
      <w:r w:rsidR="00F81221">
        <w:rPr>
          <w:i/>
        </w:rPr>
        <w:t xml:space="preserve"> and </w:t>
      </w:r>
      <w:r w:rsidRPr="00A428C3">
        <w:rPr>
          <w:i/>
        </w:rPr>
        <w:t>Engineering Chemistry</w:t>
      </w:r>
      <w:r w:rsidRPr="00A428C3">
        <w:t xml:space="preserve">, </w:t>
      </w:r>
      <w:r w:rsidRPr="00A428C3">
        <w:rPr>
          <w:b/>
        </w:rPr>
        <w:t>42</w:t>
      </w:r>
      <w:r w:rsidRPr="00A428C3">
        <w:t xml:space="preserve"> (7), 1287-1294.</w:t>
      </w:r>
    </w:p>
    <w:bookmarkEnd w:id="916"/>
    <w:p w:rsidR="00B95188" w:rsidRPr="00A428C3" w:rsidRDefault="00B95188" w:rsidP="00B95188">
      <w:pPr>
        <w:pStyle w:val="a0"/>
      </w:pPr>
      <w:r w:rsidRPr="00A428C3">
        <w:t xml:space="preserve">Full Text: </w:t>
      </w:r>
      <w:hyperlink r:id="rId986" w:history="1">
        <w:r w:rsidRPr="00A428C3">
          <w:rPr>
            <w:rStyle w:val="a5"/>
          </w:rPr>
          <w:t>I\Ind Eng Che42, 1287.pdf</w:t>
        </w:r>
      </w:hyperlink>
    </w:p>
    <w:p w:rsidR="00B95188" w:rsidRPr="00A428C3" w:rsidRDefault="00B95188" w:rsidP="00B95188">
      <w:pPr>
        <w:pStyle w:val="a0"/>
      </w:pPr>
      <w:r w:rsidRPr="00A428C3">
        <w:t>? Ray, G.C.</w:t>
      </w:r>
      <w:r w:rsidR="00F81221">
        <w:t xml:space="preserve"> and </w:t>
      </w:r>
      <w:r w:rsidRPr="00A428C3">
        <w:t xml:space="preserve">Box, Jr., E.O. (1950), Adsorption of gases on activated charcoal. </w:t>
      </w:r>
      <w:r w:rsidRPr="00A428C3">
        <w:rPr>
          <w:i/>
        </w:rPr>
        <w:t>Industrial</w:t>
      </w:r>
      <w:r w:rsidR="00F81221">
        <w:rPr>
          <w:i/>
        </w:rPr>
        <w:t xml:space="preserve"> and </w:t>
      </w:r>
      <w:r w:rsidRPr="00A428C3">
        <w:rPr>
          <w:i/>
        </w:rPr>
        <w:t>Engineering Chemistry</w:t>
      </w:r>
      <w:r w:rsidRPr="00A428C3">
        <w:t xml:space="preserve">, </w:t>
      </w:r>
      <w:r w:rsidRPr="00A428C3">
        <w:rPr>
          <w:b/>
        </w:rPr>
        <w:t>42</w:t>
      </w:r>
      <w:r w:rsidRPr="00A428C3">
        <w:t xml:space="preserve"> (7), 1315-1318.</w:t>
      </w:r>
    </w:p>
    <w:p w:rsidR="00B95188" w:rsidRPr="00A428C3" w:rsidRDefault="00B95188" w:rsidP="00B95188">
      <w:pPr>
        <w:pStyle w:val="a0"/>
      </w:pPr>
      <w:r w:rsidRPr="00A428C3">
        <w:t xml:space="preserve">Full Text: </w:t>
      </w:r>
      <w:hyperlink r:id="rId987" w:history="1">
        <w:r w:rsidRPr="00A428C3">
          <w:rPr>
            <w:rStyle w:val="a5"/>
          </w:rPr>
          <w:t>I\Ind Eng Che42, 1315.pdf</w:t>
        </w:r>
      </w:hyperlink>
    </w:p>
    <w:p w:rsidR="00465C71" w:rsidRPr="00A428C3" w:rsidRDefault="00465C71" w:rsidP="00465C71">
      <w:pPr>
        <w:pStyle w:val="a0"/>
      </w:pPr>
      <w:r w:rsidRPr="00A428C3">
        <w:t xml:space="preserve">? </w:t>
      </w:r>
      <w:r>
        <w:t>Smith, N</w:t>
      </w:r>
      <w:r>
        <w:rPr>
          <w:rFonts w:hint="eastAsia"/>
        </w:rPr>
        <w:t>.</w:t>
      </w:r>
      <w:r>
        <w:t>L</w:t>
      </w:r>
      <w:r>
        <w:rPr>
          <w:rFonts w:hint="eastAsia"/>
        </w:rPr>
        <w:t>.</w:t>
      </w:r>
      <w:r w:rsidR="00F81221">
        <w:rPr>
          <w:rFonts w:hint="eastAsia"/>
        </w:rPr>
        <w:t xml:space="preserve"> and </w:t>
      </w:r>
      <w:r>
        <w:t>Amundson, N</w:t>
      </w:r>
      <w:r>
        <w:rPr>
          <w:rFonts w:hint="eastAsia"/>
        </w:rPr>
        <w:t>.</w:t>
      </w:r>
      <w:r>
        <w:t>R</w:t>
      </w:r>
      <w:r>
        <w:rPr>
          <w:rFonts w:hint="eastAsia"/>
        </w:rPr>
        <w:t>.</w:t>
      </w:r>
      <w:r w:rsidRPr="00A428C3">
        <w:t xml:space="preserve"> (195</w:t>
      </w:r>
      <w:r>
        <w:rPr>
          <w:rFonts w:hint="eastAsia"/>
        </w:rPr>
        <w:t>1</w:t>
      </w:r>
      <w:r w:rsidRPr="00A428C3">
        <w:t xml:space="preserve">), </w:t>
      </w:r>
      <w:r>
        <w:t>Intraparticle diffusion in catalytic heterogeneous systems</w:t>
      </w:r>
      <w:r w:rsidRPr="00A428C3">
        <w:t xml:space="preserve">. </w:t>
      </w:r>
      <w:r w:rsidRPr="00A428C3">
        <w:rPr>
          <w:i/>
        </w:rPr>
        <w:t>Industrial</w:t>
      </w:r>
      <w:r w:rsidR="00F81221">
        <w:rPr>
          <w:i/>
        </w:rPr>
        <w:t xml:space="preserve"> and </w:t>
      </w:r>
      <w:r w:rsidRPr="00A428C3">
        <w:rPr>
          <w:i/>
        </w:rPr>
        <w:t>Engineering Chemistry</w:t>
      </w:r>
      <w:r w:rsidRPr="00A428C3">
        <w:t xml:space="preserve">, </w:t>
      </w:r>
      <w:r w:rsidRPr="00A428C3">
        <w:rPr>
          <w:b/>
        </w:rPr>
        <w:t>4</w:t>
      </w:r>
      <w:r>
        <w:rPr>
          <w:rFonts w:hint="eastAsia"/>
          <w:b/>
        </w:rPr>
        <w:t>3</w:t>
      </w:r>
      <w:r w:rsidRPr="00A428C3">
        <w:t xml:space="preserve"> (</w:t>
      </w:r>
      <w:r>
        <w:rPr>
          <w:rFonts w:hint="eastAsia"/>
        </w:rPr>
        <w:t>9</w:t>
      </w:r>
      <w:r w:rsidRPr="00A428C3">
        <w:t xml:space="preserve">), </w:t>
      </w:r>
      <w:r>
        <w:t>2156-2167</w:t>
      </w:r>
      <w:r w:rsidRPr="00A428C3">
        <w:t>.</w:t>
      </w:r>
    </w:p>
    <w:p w:rsidR="00465C71" w:rsidRDefault="00465C71" w:rsidP="00465C71">
      <w:pPr>
        <w:pStyle w:val="a0"/>
      </w:pPr>
      <w:r w:rsidRPr="00A428C3">
        <w:t xml:space="preserve">Full Text: </w:t>
      </w:r>
      <w:hyperlink r:id="rId988" w:history="1">
        <w:r w:rsidRPr="00465C71">
          <w:rPr>
            <w:rStyle w:val="a5"/>
          </w:rPr>
          <w:t>-1959\Ind Eng Che43, 2156.pdf</w:t>
        </w:r>
      </w:hyperlink>
    </w:p>
    <w:p w:rsidR="00465C71" w:rsidRDefault="00465C71" w:rsidP="00465C71">
      <w:pPr>
        <w:pStyle w:val="a0"/>
      </w:pPr>
      <w:r>
        <w:rPr>
          <w:rFonts w:hint="eastAsia"/>
        </w:rPr>
        <w:t xml:space="preserve">Abstract: </w:t>
      </w:r>
      <w:r>
        <w:t xml:space="preserve">This research was undertaken in order to determine the </w:t>
      </w:r>
      <w:r>
        <w:rPr>
          <w:rFonts w:hint="eastAsia"/>
        </w:rPr>
        <w:t>eff</w:t>
      </w:r>
      <w:r>
        <w:t>ect of intraparticle diffusion in catalytic heterogeneous systems</w:t>
      </w:r>
      <w:r w:rsidR="00F81221">
        <w:t xml:space="preserve"> and </w:t>
      </w:r>
      <w:r>
        <w:t>to determine its relative importance on the over-all rate process. Formulas were derived which take into consideration diffusion of reactants</w:t>
      </w:r>
      <w:r w:rsidR="00F81221">
        <w:t xml:space="preserve"> and </w:t>
      </w:r>
      <w:r>
        <w:t>products, reaction rate,</w:t>
      </w:r>
      <w:r w:rsidR="00F81221">
        <w:t xml:space="preserve"> and </w:t>
      </w:r>
      <w:r>
        <w:t>mass transfer at the particle surface for three types of reactors: well-agitated continuous flow reactor, packed tube continuous reactor,</w:t>
      </w:r>
      <w:r w:rsidR="00F81221">
        <w:t xml:space="preserve"> and </w:t>
      </w:r>
      <w:r>
        <w:t xml:space="preserve">batch reactor. The reaction assumed that A </w:t>
      </w:r>
      <w:r>
        <w:sym w:font="Symbol" w:char="F0AB"/>
      </w:r>
      <w:r>
        <w:rPr>
          <w:rFonts w:hint="eastAsia"/>
        </w:rPr>
        <w:t xml:space="preserve"> </w:t>
      </w:r>
      <w:r>
        <w:t>B, a simple reversible reaction, first order in each direction, takes place inside the particle. The</w:t>
      </w:r>
      <w:r>
        <w:rPr>
          <w:rFonts w:hint="eastAsia"/>
        </w:rPr>
        <w:t xml:space="preserve"> </w:t>
      </w:r>
      <w:r>
        <w:t>equations obtained related the physical</w:t>
      </w:r>
      <w:r w:rsidR="00F81221">
        <w:t xml:space="preserve"> and </w:t>
      </w:r>
      <w:r>
        <w:t>chemical parameters of the system to the operating variables. In order to obtain experimental confirmation, the hydrolysis of an ester, ethyl formate, was studied using Dowex 50, a cation exchange resin, as a catalyst. Experiments performed on different sizes of particles for continuous flow</w:t>
      </w:r>
      <w:r w:rsidR="00F81221">
        <w:t xml:space="preserve"> and </w:t>
      </w:r>
      <w:r>
        <w:t>batch reactors, in general, validated the equations. The formulas should be of use in theoretical kinetic studies as well as in the design of commercial reactors. The experimental work showed that diffusion may be a factor in some heterogeneous processes.</w:t>
      </w:r>
    </w:p>
    <w:p w:rsidR="00B95188" w:rsidRPr="00A428C3" w:rsidRDefault="00B95188" w:rsidP="00B95188">
      <w:pPr>
        <w:pStyle w:val="a0"/>
        <w:rPr>
          <w:lang w:val="en-GB"/>
        </w:rPr>
      </w:pPr>
      <w:r w:rsidRPr="00A428C3">
        <w:rPr>
          <w:lang w:val="en-GB"/>
        </w:rPr>
        <w:t>Notes: IIsotherm</w:t>
      </w:r>
    </w:p>
    <w:p w:rsidR="00B95188" w:rsidRPr="00A428C3" w:rsidRDefault="00B95188" w:rsidP="00B95188">
      <w:pPr>
        <w:pStyle w:val="a0"/>
        <w:rPr>
          <w:lang w:val="en-GB"/>
        </w:rPr>
      </w:pPr>
      <w:r w:rsidRPr="00A428C3">
        <w:rPr>
          <w:lang w:val="en-GB"/>
        </w:rPr>
        <w:t>? Koble, R.A.</w:t>
      </w:r>
      <w:r w:rsidR="00F81221">
        <w:rPr>
          <w:lang w:val="en-GB"/>
        </w:rPr>
        <w:t xml:space="preserve"> and </w:t>
      </w:r>
      <w:r w:rsidRPr="00A428C3">
        <w:rPr>
          <w:lang w:val="en-GB"/>
        </w:rPr>
        <w:t xml:space="preserve">Corrigan, T.E. (1952), Adsorption isotherms for pure hydrocarbons. </w:t>
      </w:r>
      <w:r w:rsidRPr="00A428C3">
        <w:rPr>
          <w:i/>
          <w:iCs/>
          <w:lang w:val="en-GB"/>
        </w:rPr>
        <w:t>Industrial</w:t>
      </w:r>
      <w:r w:rsidR="00F81221">
        <w:rPr>
          <w:i/>
          <w:iCs/>
          <w:lang w:val="en-GB"/>
        </w:rPr>
        <w:t xml:space="preserve"> and </w:t>
      </w:r>
      <w:r w:rsidRPr="00A428C3">
        <w:rPr>
          <w:i/>
          <w:iCs/>
          <w:lang w:val="en-GB"/>
        </w:rPr>
        <w:t>Engineering Chemistry</w:t>
      </w:r>
      <w:r w:rsidRPr="00A428C3">
        <w:rPr>
          <w:lang w:val="en-GB"/>
        </w:rPr>
        <w:t xml:space="preserve">, </w:t>
      </w:r>
      <w:r w:rsidRPr="00A428C3">
        <w:rPr>
          <w:b/>
          <w:lang w:val="en-GB"/>
        </w:rPr>
        <w:t>44</w:t>
      </w:r>
      <w:r w:rsidRPr="00A428C3">
        <w:rPr>
          <w:lang w:val="en-GB"/>
        </w:rPr>
        <w:t xml:space="preserve"> (2), 383-387.</w:t>
      </w:r>
    </w:p>
    <w:p w:rsidR="00B95188" w:rsidRPr="00A428C3" w:rsidRDefault="00B95188" w:rsidP="00B95188">
      <w:pPr>
        <w:pStyle w:val="a0"/>
      </w:pPr>
      <w:r w:rsidRPr="00A428C3">
        <w:t xml:space="preserve">Full Text: </w:t>
      </w:r>
      <w:hyperlink r:id="rId989" w:history="1">
        <w:r w:rsidRPr="00A428C3">
          <w:rPr>
            <w:rStyle w:val="a5"/>
          </w:rPr>
          <w:t>I\Ind Eng Che44, 383.pdf</w:t>
        </w:r>
      </w:hyperlink>
    </w:p>
    <w:p w:rsidR="00B95188" w:rsidRPr="00A428C3" w:rsidRDefault="00B95188" w:rsidP="00B95188">
      <w:pPr>
        <w:pStyle w:val="a0"/>
      </w:pPr>
      <w:r w:rsidRPr="00A428C3">
        <w:t>? Jury, S.H.</w:t>
      </w:r>
      <w:r w:rsidR="00F81221">
        <w:t xml:space="preserve"> and </w:t>
      </w:r>
      <w:r w:rsidRPr="00A428C3">
        <w:t>Licht, Jr., W. (1952), Static sorption isotherm for beta-soluble anhydrite</w:t>
      </w:r>
      <w:r w:rsidR="00F81221">
        <w:t xml:space="preserve"> and </w:t>
      </w:r>
      <w:r w:rsidRPr="00A428C3">
        <w:t xml:space="preserve">humid air. </w:t>
      </w:r>
      <w:r w:rsidRPr="00A428C3">
        <w:rPr>
          <w:i/>
          <w:iCs/>
        </w:rPr>
        <w:t>Industrial</w:t>
      </w:r>
      <w:r w:rsidR="00F81221">
        <w:rPr>
          <w:i/>
          <w:iCs/>
        </w:rPr>
        <w:t xml:space="preserve"> and </w:t>
      </w:r>
      <w:r w:rsidRPr="00A428C3">
        <w:rPr>
          <w:i/>
          <w:iCs/>
        </w:rPr>
        <w:t>Engineering Chemistry</w:t>
      </w:r>
      <w:r w:rsidRPr="00A428C3">
        <w:t xml:space="preserve">, </w:t>
      </w:r>
      <w:r w:rsidRPr="00A428C3">
        <w:rPr>
          <w:b/>
        </w:rPr>
        <w:t>44</w:t>
      </w:r>
      <w:r w:rsidRPr="00A428C3">
        <w:t xml:space="preserve"> (3), 591-594.</w:t>
      </w:r>
    </w:p>
    <w:p w:rsidR="00B95188" w:rsidRPr="00A428C3" w:rsidRDefault="00B95188" w:rsidP="00B95188">
      <w:pPr>
        <w:pStyle w:val="a0"/>
      </w:pPr>
      <w:r w:rsidRPr="00A428C3">
        <w:t xml:space="preserve">Full Text: </w:t>
      </w:r>
      <w:hyperlink r:id="rId990" w:history="1">
        <w:r w:rsidRPr="00A428C3">
          <w:rPr>
            <w:rStyle w:val="a5"/>
          </w:rPr>
          <w:t>I\Ind Eng Che44, 591.pdf</w:t>
        </w:r>
      </w:hyperlink>
    </w:p>
    <w:p w:rsidR="00B95188" w:rsidRPr="00A428C3" w:rsidRDefault="00B95188" w:rsidP="00B95188">
      <w:pPr>
        <w:pStyle w:val="a0"/>
        <w:rPr>
          <w:lang w:val="en-GB"/>
        </w:rPr>
      </w:pPr>
      <w:r w:rsidRPr="00A428C3">
        <w:rPr>
          <w:lang w:val="en-GB"/>
        </w:rPr>
        <w:lastRenderedPageBreak/>
        <w:t>? Edeskuty, E.J.</w:t>
      </w:r>
      <w:r w:rsidR="00F81221">
        <w:rPr>
          <w:lang w:val="en-GB"/>
        </w:rPr>
        <w:t xml:space="preserve"> and </w:t>
      </w:r>
      <w:r w:rsidRPr="00A428C3">
        <w:rPr>
          <w:lang w:val="en-GB"/>
        </w:rPr>
        <w:t xml:space="preserve">Amundson, N.R. (1952), Effect of intraparticle diffusion: </w:t>
      </w:r>
      <w:r w:rsidRPr="00A428C3">
        <w:t>Agitated nonflow adsorption systems</w:t>
      </w:r>
      <w:r w:rsidRPr="00A428C3">
        <w:rPr>
          <w:lang w:val="en-GB"/>
        </w:rPr>
        <w:t xml:space="preserve">. </w:t>
      </w:r>
      <w:r w:rsidRPr="00A428C3">
        <w:rPr>
          <w:i/>
          <w:iCs/>
          <w:lang w:val="en-GB"/>
        </w:rPr>
        <w:t>Industrial</w:t>
      </w:r>
      <w:r w:rsidR="00F81221">
        <w:rPr>
          <w:i/>
          <w:iCs/>
          <w:lang w:val="en-GB"/>
        </w:rPr>
        <w:t xml:space="preserve"> and </w:t>
      </w:r>
      <w:r w:rsidRPr="00A428C3">
        <w:rPr>
          <w:i/>
          <w:iCs/>
          <w:lang w:val="en-GB"/>
        </w:rPr>
        <w:t>Engineering Chemistry</w:t>
      </w:r>
      <w:r w:rsidRPr="00A428C3">
        <w:rPr>
          <w:lang w:val="en-GB"/>
        </w:rPr>
        <w:t xml:space="preserve">, </w:t>
      </w:r>
      <w:r w:rsidRPr="00A428C3">
        <w:rPr>
          <w:b/>
          <w:lang w:val="en-GB"/>
        </w:rPr>
        <w:t>44</w:t>
      </w:r>
      <w:r w:rsidRPr="00A428C3">
        <w:rPr>
          <w:lang w:val="en-GB"/>
        </w:rPr>
        <w:t xml:space="preserve"> (7), 1698-1705.</w:t>
      </w:r>
    </w:p>
    <w:p w:rsidR="00B95188" w:rsidRPr="00A428C3" w:rsidRDefault="00B95188" w:rsidP="00B95188">
      <w:pPr>
        <w:pStyle w:val="a0"/>
      </w:pPr>
      <w:r w:rsidRPr="00A428C3">
        <w:t xml:space="preserve">Full Text: </w:t>
      </w:r>
      <w:hyperlink r:id="rId991" w:history="1">
        <w:r w:rsidRPr="00A428C3">
          <w:rPr>
            <w:rStyle w:val="a5"/>
          </w:rPr>
          <w:t>I\Ind Eng Che44, 1698.pdf</w:t>
        </w:r>
      </w:hyperlink>
    </w:p>
    <w:p w:rsidR="00B95188" w:rsidRPr="00A428C3" w:rsidRDefault="00B95188" w:rsidP="00B95188">
      <w:pPr>
        <w:pStyle w:val="a0"/>
      </w:pPr>
      <w:r w:rsidRPr="00A428C3">
        <w:t>Othmer, D.F.</w:t>
      </w:r>
      <w:r w:rsidR="00F81221">
        <w:t xml:space="preserve"> and </w:t>
      </w:r>
      <w:r w:rsidRPr="00A428C3">
        <w:t xml:space="preserve">Thakar, M.S. (1953), Correlating diffusion coefficients in liquids. </w:t>
      </w:r>
      <w:r w:rsidRPr="00A428C3">
        <w:rPr>
          <w:i/>
        </w:rPr>
        <w:t>Industrial</w:t>
      </w:r>
      <w:r w:rsidR="00F81221">
        <w:rPr>
          <w:i/>
        </w:rPr>
        <w:t xml:space="preserve"> and </w:t>
      </w:r>
      <w:r w:rsidRPr="00A428C3">
        <w:rPr>
          <w:i/>
        </w:rPr>
        <w:t>Engineering Chemistry</w:t>
      </w:r>
      <w:r w:rsidRPr="00A428C3">
        <w:t xml:space="preserve">, </w:t>
      </w:r>
      <w:r w:rsidRPr="00A428C3">
        <w:rPr>
          <w:b/>
        </w:rPr>
        <w:t>45</w:t>
      </w:r>
      <w:r w:rsidRPr="00A428C3">
        <w:t xml:space="preserve"> (3), 589-593.</w:t>
      </w:r>
    </w:p>
    <w:p w:rsidR="00B95188" w:rsidRPr="00A428C3" w:rsidRDefault="00B95188" w:rsidP="00B95188">
      <w:pPr>
        <w:pStyle w:val="a0"/>
      </w:pPr>
      <w:r w:rsidRPr="00A428C3">
        <w:t xml:space="preserve">Full Text: </w:t>
      </w:r>
      <w:hyperlink r:id="rId992" w:history="1">
        <w:r w:rsidRPr="00A428C3">
          <w:rPr>
            <w:rStyle w:val="a5"/>
          </w:rPr>
          <w:t>I\Ind Eng Che45, 589.pdf</w:t>
        </w:r>
      </w:hyperlink>
    </w:p>
    <w:p w:rsidR="00B95188" w:rsidRPr="00A428C3" w:rsidRDefault="00B95188" w:rsidP="00B95188">
      <w:pPr>
        <w:pStyle w:val="a0"/>
      </w:pPr>
      <w:r w:rsidRPr="00A428C3">
        <w:t>Cook, M.A.</w:t>
      </w:r>
      <w:r w:rsidR="00F81221">
        <w:t xml:space="preserve"> and </w:t>
      </w:r>
      <w:r w:rsidRPr="00A428C3">
        <w:t xml:space="preserve">Oblad, A.G. (1953), Dynamic mechanism of heterogeneous catalysis. </w:t>
      </w:r>
      <w:r w:rsidRPr="00A428C3">
        <w:rPr>
          <w:i/>
        </w:rPr>
        <w:t>Industrial</w:t>
      </w:r>
      <w:r w:rsidR="00F81221">
        <w:rPr>
          <w:i/>
        </w:rPr>
        <w:t xml:space="preserve"> and </w:t>
      </w:r>
      <w:r w:rsidRPr="00A428C3">
        <w:rPr>
          <w:i/>
        </w:rPr>
        <w:t>Engineering Chemistry</w:t>
      </w:r>
      <w:r w:rsidRPr="00A428C3">
        <w:t xml:space="preserve">, </w:t>
      </w:r>
      <w:r w:rsidRPr="00A428C3">
        <w:rPr>
          <w:b/>
        </w:rPr>
        <w:t>45</w:t>
      </w:r>
      <w:r w:rsidRPr="00A428C3">
        <w:t xml:space="preserve"> (7), 1456-1461.</w:t>
      </w:r>
    </w:p>
    <w:p w:rsidR="00B95188" w:rsidRDefault="00B95188" w:rsidP="00B95188">
      <w:pPr>
        <w:pStyle w:val="a0"/>
      </w:pPr>
      <w:r w:rsidRPr="00A428C3">
        <w:t xml:space="preserve">Full Text: </w:t>
      </w:r>
      <w:hyperlink r:id="rId993" w:history="1">
        <w:r w:rsidRPr="00A428C3">
          <w:rPr>
            <w:rStyle w:val="a5"/>
          </w:rPr>
          <w:t>I\Ind Eng Che45, 1456.pdf</w:t>
        </w:r>
      </w:hyperlink>
    </w:p>
    <w:p w:rsidR="00B95188" w:rsidRPr="00A428C3" w:rsidRDefault="00B95188" w:rsidP="00B95188">
      <w:pPr>
        <w:pStyle w:val="a0"/>
      </w:pPr>
      <w:r>
        <w:rPr>
          <w:rFonts w:hint="eastAsia"/>
        </w:rPr>
        <w:t>Notes: MModel</w:t>
      </w:r>
    </w:p>
    <w:p w:rsidR="00B95188" w:rsidRPr="00A428C3" w:rsidRDefault="00B95188" w:rsidP="00B95188">
      <w:pPr>
        <w:pStyle w:val="a0"/>
      </w:pPr>
      <w:r w:rsidRPr="00A428C3">
        <w:t>Vermeulen, T. (1953), Theory for irreversible</w:t>
      </w:r>
      <w:r w:rsidR="00F81221">
        <w:t xml:space="preserve"> and </w:t>
      </w:r>
      <w:r w:rsidRPr="00A428C3">
        <w:t xml:space="preserve">constant-pattern solid diffusion. </w:t>
      </w:r>
      <w:r w:rsidRPr="00A428C3">
        <w:rPr>
          <w:i/>
        </w:rPr>
        <w:t>Industrial</w:t>
      </w:r>
      <w:r w:rsidR="00F81221">
        <w:rPr>
          <w:i/>
        </w:rPr>
        <w:t xml:space="preserve"> and </w:t>
      </w:r>
      <w:r w:rsidRPr="00A428C3">
        <w:rPr>
          <w:i/>
        </w:rPr>
        <w:t>Engineering Chemistry</w:t>
      </w:r>
      <w:r w:rsidRPr="00A428C3">
        <w:t xml:space="preserve">, </w:t>
      </w:r>
      <w:r w:rsidRPr="00A428C3">
        <w:rPr>
          <w:b/>
        </w:rPr>
        <w:t>45</w:t>
      </w:r>
      <w:r w:rsidRPr="00A428C3">
        <w:t xml:space="preserve"> (8), 1664-1670.</w:t>
      </w:r>
    </w:p>
    <w:p w:rsidR="00B95188" w:rsidRPr="00A428C3" w:rsidRDefault="00B95188" w:rsidP="00B95188">
      <w:pPr>
        <w:pStyle w:val="a0"/>
      </w:pPr>
      <w:r w:rsidRPr="00A428C3">
        <w:t xml:space="preserve">Full Text: </w:t>
      </w:r>
      <w:hyperlink r:id="rId994" w:history="1">
        <w:r w:rsidRPr="00A428C3">
          <w:rPr>
            <w:rStyle w:val="a5"/>
          </w:rPr>
          <w:t>I\Ind Eng Che45, 1664.pdf</w:t>
        </w:r>
      </w:hyperlink>
    </w:p>
    <w:p w:rsidR="00B95188" w:rsidRPr="00A428C3" w:rsidRDefault="00B95188" w:rsidP="00B95188">
      <w:pPr>
        <w:pStyle w:val="a0"/>
      </w:pPr>
      <w:r w:rsidRPr="00A428C3">
        <w:t>? Dryden, C.E.</w:t>
      </w:r>
      <w:r w:rsidR="00F81221">
        <w:t xml:space="preserve"> and </w:t>
      </w:r>
      <w:r w:rsidRPr="00A428C3">
        <w:t>Kay, W.B. (1954), Kinetics of batch adsorption</w:t>
      </w:r>
      <w:r w:rsidR="00F81221">
        <w:t xml:space="preserve"> and </w:t>
      </w:r>
      <w:r w:rsidRPr="00A428C3">
        <w:t xml:space="preserve">desorption. </w:t>
      </w:r>
      <w:r w:rsidRPr="00A428C3">
        <w:rPr>
          <w:i/>
        </w:rPr>
        <w:t>Industrial</w:t>
      </w:r>
      <w:r w:rsidR="00F81221">
        <w:rPr>
          <w:i/>
        </w:rPr>
        <w:t xml:space="preserve"> and </w:t>
      </w:r>
      <w:r w:rsidRPr="00A428C3">
        <w:rPr>
          <w:i/>
        </w:rPr>
        <w:t>Engineering Chemistry</w:t>
      </w:r>
      <w:r w:rsidRPr="00A428C3">
        <w:t xml:space="preserve">, </w:t>
      </w:r>
      <w:r w:rsidRPr="00A428C3">
        <w:rPr>
          <w:b/>
        </w:rPr>
        <w:t>46</w:t>
      </w:r>
      <w:r w:rsidRPr="00A428C3">
        <w:t xml:space="preserve"> (11), 2294-2300.</w:t>
      </w:r>
    </w:p>
    <w:p w:rsidR="00B95188" w:rsidRPr="00A428C3" w:rsidRDefault="00B95188" w:rsidP="00B95188">
      <w:pPr>
        <w:pStyle w:val="a0"/>
      </w:pPr>
      <w:r w:rsidRPr="00A428C3">
        <w:t xml:space="preserve">Full Text: </w:t>
      </w:r>
      <w:hyperlink r:id="rId995" w:history="1">
        <w:r w:rsidRPr="00A428C3">
          <w:rPr>
            <w:rStyle w:val="a5"/>
          </w:rPr>
          <w:t>I\Ind Eng Che46, 2294.pdf</w:t>
        </w:r>
      </w:hyperlink>
    </w:p>
    <w:p w:rsidR="00B95188" w:rsidRPr="00A428C3" w:rsidRDefault="00B95188" w:rsidP="00B95188">
      <w:pPr>
        <w:pStyle w:val="a0"/>
      </w:pPr>
      <w:r w:rsidRPr="00A428C3">
        <w:t>Hirschler, A.E.</w:t>
      </w:r>
      <w:r w:rsidR="00F81221">
        <w:t xml:space="preserve"> and </w:t>
      </w:r>
      <w:r w:rsidRPr="00A428C3">
        <w:t xml:space="preserve">Mertes, T.S. (1955), Liquid-phase adsorption studies related to the arosorb process. </w:t>
      </w:r>
      <w:r w:rsidRPr="00A428C3">
        <w:rPr>
          <w:i/>
        </w:rPr>
        <w:t>Industrial</w:t>
      </w:r>
      <w:r w:rsidR="00F81221">
        <w:rPr>
          <w:i/>
        </w:rPr>
        <w:t xml:space="preserve"> and </w:t>
      </w:r>
      <w:r w:rsidRPr="00A428C3">
        <w:rPr>
          <w:i/>
        </w:rPr>
        <w:t>Engineering Chemistry</w:t>
      </w:r>
      <w:r w:rsidRPr="00A428C3">
        <w:t xml:space="preserve">, </w:t>
      </w:r>
      <w:r w:rsidRPr="00A428C3">
        <w:rPr>
          <w:b/>
        </w:rPr>
        <w:t>47</w:t>
      </w:r>
      <w:r w:rsidRPr="00A428C3">
        <w:t xml:space="preserve"> (2), 193-202.</w:t>
      </w:r>
    </w:p>
    <w:p w:rsidR="00B95188" w:rsidRPr="00A428C3" w:rsidRDefault="00B95188" w:rsidP="00B95188">
      <w:pPr>
        <w:pStyle w:val="a0"/>
      </w:pPr>
      <w:r w:rsidRPr="00A428C3">
        <w:t xml:space="preserve">Full Text: </w:t>
      </w:r>
      <w:hyperlink r:id="rId996" w:history="1">
        <w:r w:rsidRPr="00A428C3">
          <w:rPr>
            <w:rStyle w:val="a5"/>
          </w:rPr>
          <w:t>I\Ind Eng Che47, 193.pdf</w:t>
        </w:r>
      </w:hyperlink>
    </w:p>
    <w:p w:rsidR="001C6B49" w:rsidRPr="00A428C3" w:rsidRDefault="001C6B49" w:rsidP="001C6B49">
      <w:pPr>
        <w:pStyle w:val="a0"/>
      </w:pPr>
      <w:r w:rsidRPr="00A428C3">
        <w:t xml:space="preserve">? </w:t>
      </w:r>
      <w:r w:rsidRPr="0085192E">
        <w:rPr>
          <w:kern w:val="0"/>
        </w:rPr>
        <w:t xml:space="preserve">Keller, E. (1964), Solar energy in distillation of sea water. </w:t>
      </w:r>
      <w:r w:rsidRPr="0085192E">
        <w:rPr>
          <w:i/>
          <w:iCs/>
          <w:kern w:val="0"/>
        </w:rPr>
        <w:t>Industrial</w:t>
      </w:r>
      <w:r w:rsidR="00F81221">
        <w:rPr>
          <w:i/>
          <w:iCs/>
          <w:kern w:val="0"/>
        </w:rPr>
        <w:t xml:space="preserve"> and </w:t>
      </w:r>
      <w:r w:rsidRPr="0085192E">
        <w:rPr>
          <w:i/>
          <w:iCs/>
          <w:kern w:val="0"/>
        </w:rPr>
        <w:t>Engineering Chemistry</w:t>
      </w:r>
      <w:r w:rsidRPr="0085192E">
        <w:rPr>
          <w:kern w:val="0"/>
        </w:rPr>
        <w:t xml:space="preserve">, </w:t>
      </w:r>
      <w:r w:rsidRPr="001C6B49">
        <w:rPr>
          <w:b/>
          <w:kern w:val="0"/>
        </w:rPr>
        <w:t>56</w:t>
      </w:r>
      <w:r w:rsidRPr="0085192E">
        <w:rPr>
          <w:kern w:val="0"/>
        </w:rPr>
        <w:t xml:space="preserve"> (2), 10-??</w:t>
      </w:r>
      <w:r w:rsidRPr="00A428C3">
        <w:t>.</w:t>
      </w:r>
    </w:p>
    <w:p w:rsidR="001C6B49" w:rsidRPr="00A428C3" w:rsidRDefault="001C6B49" w:rsidP="001C6B49">
      <w:pPr>
        <w:pStyle w:val="a0"/>
      </w:pPr>
      <w:r w:rsidRPr="00A428C3">
        <w:t xml:space="preserve">Full Text: </w:t>
      </w:r>
      <w:r w:rsidRPr="001C6B49">
        <w:t>Ind Eng Che5</w:t>
      </w:r>
      <w:r>
        <w:rPr>
          <w:rFonts w:hint="eastAsia"/>
        </w:rPr>
        <w:t>6</w:t>
      </w:r>
      <w:r w:rsidRPr="001C6B49">
        <w:t xml:space="preserve">, </w:t>
      </w:r>
      <w:r>
        <w:rPr>
          <w:rFonts w:hint="eastAsia"/>
        </w:rPr>
        <w:t>10</w:t>
      </w:r>
      <w:r w:rsidRPr="001C6B49">
        <w:t>.pdf</w:t>
      </w:r>
    </w:p>
    <w:p w:rsidR="00C57443" w:rsidRDefault="00C57443" w:rsidP="001C6B49">
      <w:pPr>
        <w:pStyle w:val="a0"/>
      </w:pPr>
      <w:r>
        <w:rPr>
          <w:rFonts w:hint="eastAsia"/>
        </w:rPr>
        <w:t xml:space="preserve">? </w:t>
      </w:r>
      <w:r>
        <w:t>Gorring,</w:t>
      </w:r>
      <w:r>
        <w:rPr>
          <w:rFonts w:hint="eastAsia"/>
        </w:rPr>
        <w:t xml:space="preserve"> R.L.</w:t>
      </w:r>
      <w:r w:rsidR="00F81221">
        <w:rPr>
          <w:rFonts w:hint="eastAsia"/>
        </w:rPr>
        <w:t xml:space="preserve"> and </w:t>
      </w:r>
      <w:r>
        <w:t>Weekman</w:t>
      </w:r>
      <w:r>
        <w:rPr>
          <w:rFonts w:hint="eastAsia"/>
        </w:rPr>
        <w:t>, Jr., V.W.</w:t>
      </w:r>
      <w:r>
        <w:t xml:space="preserve"> (1966), Applied kinetics</w:t>
      </w:r>
      <w:r w:rsidR="00F81221">
        <w:t xml:space="preserve"> and </w:t>
      </w:r>
      <w:r>
        <w:t xml:space="preserve">chemical reaction engineering. </w:t>
      </w:r>
      <w:r w:rsidRPr="00C57443">
        <w:rPr>
          <w:i/>
        </w:rPr>
        <w:t>Industrial</w:t>
      </w:r>
      <w:r w:rsidR="00F81221">
        <w:rPr>
          <w:i/>
        </w:rPr>
        <w:t xml:space="preserve"> and </w:t>
      </w:r>
      <w:r w:rsidRPr="00C57443">
        <w:rPr>
          <w:i/>
        </w:rPr>
        <w:t>Engineering Chemistry</w:t>
      </w:r>
      <w:r>
        <w:t xml:space="preserve">, </w:t>
      </w:r>
      <w:r w:rsidRPr="00C57443">
        <w:rPr>
          <w:b/>
        </w:rPr>
        <w:t>58</w:t>
      </w:r>
      <w:r>
        <w:t xml:space="preserve"> (9), 18</w:t>
      </w:r>
      <w:r>
        <w:rPr>
          <w:rFonts w:hint="eastAsia"/>
        </w:rPr>
        <w:t>-</w:t>
      </w:r>
      <w:r>
        <w:t>19.</w:t>
      </w:r>
    </w:p>
    <w:p w:rsidR="00C57443" w:rsidRPr="00A428C3" w:rsidRDefault="00C57443" w:rsidP="00C57443">
      <w:pPr>
        <w:pStyle w:val="a0"/>
      </w:pPr>
      <w:r w:rsidRPr="00A428C3">
        <w:t xml:space="preserve">Full Text: </w:t>
      </w:r>
      <w:hyperlink r:id="rId997" w:history="1">
        <w:r w:rsidRPr="00C57443">
          <w:rPr>
            <w:rStyle w:val="a5"/>
          </w:rPr>
          <w:t>1960-80\Ind Eng Che58, 18.pdf</w:t>
        </w:r>
      </w:hyperlink>
    </w:p>
    <w:p w:rsidR="001C6B49" w:rsidRPr="00A428C3" w:rsidRDefault="001C6B49" w:rsidP="001C6B49">
      <w:pPr>
        <w:pStyle w:val="a0"/>
      </w:pPr>
      <w:r w:rsidRPr="00A428C3">
        <w:t>? Haden, Jr., W.L.</w:t>
      </w:r>
      <w:r w:rsidR="00F81221">
        <w:t xml:space="preserve"> and </w:t>
      </w:r>
      <w:r w:rsidRPr="00A428C3">
        <w:t>Schwint, I.A. (1967), Attapulgite - Its properties</w:t>
      </w:r>
      <w:r w:rsidR="00F81221">
        <w:t xml:space="preserve"> and </w:t>
      </w:r>
      <w:r w:rsidRPr="00A428C3">
        <w:t xml:space="preserve">applications. </w:t>
      </w:r>
      <w:r w:rsidRPr="00A428C3">
        <w:rPr>
          <w:i/>
        </w:rPr>
        <w:t>Industrial</w:t>
      </w:r>
      <w:r w:rsidR="00F81221">
        <w:rPr>
          <w:i/>
        </w:rPr>
        <w:t xml:space="preserve"> and </w:t>
      </w:r>
      <w:r w:rsidRPr="00A428C3">
        <w:rPr>
          <w:i/>
        </w:rPr>
        <w:t>Engineering Chemistry</w:t>
      </w:r>
      <w:r w:rsidRPr="00A428C3">
        <w:t xml:space="preserve">, </w:t>
      </w:r>
      <w:r w:rsidRPr="00A428C3">
        <w:rPr>
          <w:b/>
        </w:rPr>
        <w:t>59</w:t>
      </w:r>
      <w:r w:rsidRPr="00A428C3">
        <w:t xml:space="preserve"> (9), 58-69.</w:t>
      </w:r>
    </w:p>
    <w:p w:rsidR="001C6B49" w:rsidRPr="00A428C3" w:rsidRDefault="001C6B49" w:rsidP="001C6B49">
      <w:pPr>
        <w:pStyle w:val="a0"/>
      </w:pPr>
      <w:r w:rsidRPr="00A428C3">
        <w:t xml:space="preserve">Full Text: </w:t>
      </w:r>
      <w:hyperlink r:id="rId998" w:history="1">
        <w:r w:rsidRPr="00A428C3">
          <w:rPr>
            <w:rStyle w:val="a5"/>
          </w:rPr>
          <w:t>1960-80\Ind Eng Che59, 58.pdf</w:t>
        </w:r>
      </w:hyperlink>
    </w:p>
    <w:p w:rsidR="00B95188" w:rsidRPr="00A428C3" w:rsidRDefault="00B95188" w:rsidP="00B95188">
      <w:pPr>
        <w:pStyle w:val="1"/>
      </w:pPr>
      <w:r w:rsidRPr="00A428C3">
        <w:br w:type="page"/>
      </w:r>
      <w:bookmarkStart w:id="917" w:name="_Toc186647843"/>
      <w:bookmarkStart w:id="918" w:name="_Toc317161139"/>
      <w:r w:rsidRPr="00A428C3">
        <w:lastRenderedPageBreak/>
        <w:t>Title: Industrial &amp; Engineering Chemistry</w:t>
      </w:r>
      <w:bookmarkEnd w:id="917"/>
      <w:bookmarkEnd w:id="918"/>
    </w:p>
    <w:p w:rsidR="00B95188" w:rsidRPr="00A428C3" w:rsidRDefault="0058734C" w:rsidP="00B72EF9">
      <w:pPr>
        <w:pStyle w:val="12"/>
      </w:pPr>
      <w:hyperlink r:id="rId999" w:history="1">
        <w:r w:rsidR="00B95188" w:rsidRPr="00A428C3">
          <w:rPr>
            <w:rStyle w:val="a5"/>
          </w:rPr>
          <w:t>Industrial &amp; Engineering Chemistry Research</w:t>
        </w:r>
      </w:hyperlink>
    </w:p>
    <w:p w:rsidR="00B95188" w:rsidRPr="00A428C3" w:rsidRDefault="0058734C" w:rsidP="00B72EF9">
      <w:pPr>
        <w:pStyle w:val="12"/>
      </w:pPr>
      <w:hyperlink r:id="rId1000" w:history="1">
        <w:r w:rsidR="00B95188" w:rsidRPr="00A428C3">
          <w:rPr>
            <w:rStyle w:val="a5"/>
          </w:rPr>
          <w:t>I&amp;EC</w:t>
        </w:r>
      </w:hyperlink>
      <w:r w:rsidR="00B95188" w:rsidRPr="00A428C3">
        <w:t xml:space="preserve"> Industrial &amp; Engineering Chemistry (1909-1970)</w:t>
      </w:r>
    </w:p>
    <w:p w:rsidR="00B95188" w:rsidRPr="00A428C3" w:rsidRDefault="0058734C" w:rsidP="00B72EF9">
      <w:pPr>
        <w:pStyle w:val="12"/>
      </w:pPr>
      <w:hyperlink r:id="rId1001" w:history="1">
        <w:r w:rsidR="00B95188" w:rsidRPr="00A428C3">
          <w:rPr>
            <w:rStyle w:val="a5"/>
          </w:rPr>
          <w:t>I&amp;EC Fundamentals</w:t>
        </w:r>
      </w:hyperlink>
      <w:r w:rsidR="00B95188" w:rsidRPr="00A428C3">
        <w:t xml:space="preserve"> (1962-1986)</w:t>
      </w:r>
    </w:p>
    <w:p w:rsidR="00B95188" w:rsidRPr="00A428C3" w:rsidRDefault="0058734C" w:rsidP="00B72EF9">
      <w:pPr>
        <w:pStyle w:val="12"/>
      </w:pPr>
      <w:hyperlink r:id="rId1002" w:history="1">
        <w:r w:rsidR="00B95188" w:rsidRPr="00A428C3">
          <w:rPr>
            <w:rStyle w:val="a5"/>
          </w:rPr>
          <w:t>I&amp;EC Process Design</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58734C" w:rsidP="00B72EF9">
      <w:pPr>
        <w:pStyle w:val="12"/>
      </w:pPr>
      <w:hyperlink r:id="rId1003" w:history="1">
        <w:r w:rsidR="00B95188" w:rsidRPr="00A428C3">
          <w:rPr>
            <w:rStyle w:val="a5"/>
          </w:rPr>
          <w:t>I&amp;EC Product Research</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B95188" w:rsidP="00B72EF9">
      <w:pPr>
        <w:pStyle w:val="12"/>
      </w:pPr>
      <w:r w:rsidRPr="00A428C3">
        <w:t>Full Journal Title: Industrial</w:t>
      </w:r>
      <w:r w:rsidR="00F81221">
        <w:t xml:space="preserve"> and </w:t>
      </w:r>
      <w:r w:rsidRPr="00A428C3">
        <w:t>Engineering Chemistry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rPr>
          <w:color w:val="008000"/>
        </w:rPr>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McKee, R.H.</w:t>
      </w:r>
      <w:r w:rsidR="00F81221">
        <w:t xml:space="preserve"> and </w:t>
      </w:r>
      <w:r w:rsidRPr="00A428C3">
        <w:rPr>
          <w:rFonts w:eastAsia="新細明體"/>
          <w:szCs w:val="23"/>
        </w:rPr>
        <w:t>Johnston, W.S.</w:t>
      </w:r>
      <w:r w:rsidRPr="00A428C3">
        <w:t xml:space="preserve"> (1934), Removal of flourides from drinking water. </w:t>
      </w:r>
      <w:r w:rsidRPr="00A428C3">
        <w:rPr>
          <w:i/>
        </w:rPr>
        <w:t>Industrial &amp; Engineering Chemistry</w:t>
      </w:r>
      <w:r w:rsidRPr="00A428C3">
        <w:t xml:space="preserve">, </w:t>
      </w:r>
      <w:r w:rsidRPr="00A428C3">
        <w:rPr>
          <w:b/>
        </w:rPr>
        <w:t>26</w:t>
      </w:r>
      <w:r w:rsidRPr="00A428C3">
        <w:t xml:space="preserve"> (8), 849-851.</w:t>
      </w:r>
    </w:p>
    <w:p w:rsidR="00B95188" w:rsidRPr="00A428C3" w:rsidRDefault="00B95188" w:rsidP="00B95188">
      <w:pPr>
        <w:pStyle w:val="a0"/>
      </w:pPr>
      <w:r w:rsidRPr="00A428C3">
        <w:t xml:space="preserve">Full Text: </w:t>
      </w:r>
      <w:hyperlink r:id="rId1004" w:history="1">
        <w:r w:rsidRPr="00A428C3">
          <w:rPr>
            <w:rStyle w:val="a5"/>
          </w:rPr>
          <w:t>I\Ind Eng Che26, 849.pdf</w:t>
        </w:r>
      </w:hyperlink>
    </w:p>
    <w:p w:rsidR="00B95188" w:rsidRPr="00A428C3" w:rsidRDefault="00B95188" w:rsidP="00B95188">
      <w:pPr>
        <w:pStyle w:val="a0"/>
      </w:pPr>
      <w:r w:rsidRPr="00A428C3">
        <w:rPr>
          <w:rFonts w:eastAsia="新細明體"/>
          <w:szCs w:val="16"/>
        </w:rPr>
        <w:t>Michaels, A.S.</w:t>
      </w:r>
      <w:r w:rsidRPr="00A428C3">
        <w:t xml:space="preserve"> (1952), Simplified method of interpreting kinetic data in fix-bed ion exchange. </w:t>
      </w:r>
      <w:r w:rsidRPr="00A428C3">
        <w:rPr>
          <w:i/>
          <w:iCs/>
        </w:rPr>
        <w:t>Industrial &amp; Engineering Chemistry</w:t>
      </w:r>
      <w:r w:rsidRPr="00A428C3">
        <w:t xml:space="preserve">, </w:t>
      </w:r>
      <w:r w:rsidRPr="00A428C3">
        <w:rPr>
          <w:b/>
        </w:rPr>
        <w:t>44</w:t>
      </w:r>
      <w:r w:rsidRPr="00A428C3">
        <w:t xml:space="preserve"> (8), </w:t>
      </w:r>
      <w:r w:rsidRPr="00A428C3">
        <w:rPr>
          <w:rFonts w:eastAsia="新細明體"/>
          <w:szCs w:val="16"/>
        </w:rPr>
        <w:t>1922</w:t>
      </w:r>
      <w:r w:rsidRPr="00A428C3">
        <w:t>-1930.</w:t>
      </w:r>
    </w:p>
    <w:p w:rsidR="00B95188" w:rsidRPr="00A428C3" w:rsidRDefault="00B95188" w:rsidP="00B95188">
      <w:pPr>
        <w:pStyle w:val="a0"/>
      </w:pPr>
      <w:r w:rsidRPr="00A428C3">
        <w:t xml:space="preserve">Full Text: </w:t>
      </w:r>
      <w:hyperlink r:id="rId1005" w:history="1">
        <w:r w:rsidRPr="00A428C3">
          <w:rPr>
            <w:rStyle w:val="a5"/>
          </w:rPr>
          <w:t>I\Ind Eng Che44, 1922.pdf</w:t>
        </w:r>
      </w:hyperlink>
    </w:p>
    <w:p w:rsidR="00B95188" w:rsidRPr="00A428C3" w:rsidRDefault="00B95188" w:rsidP="00B95188">
      <w:pPr>
        <w:pStyle w:val="a0"/>
      </w:pPr>
      <w:r w:rsidRPr="00A428C3">
        <w:t>Vermeulen, T. (1953), Theory for irreversible</w:t>
      </w:r>
      <w:r w:rsidR="00F81221">
        <w:t xml:space="preserve"> and </w:t>
      </w:r>
      <w:r w:rsidRPr="00A428C3">
        <w:t xml:space="preserve">constant-pattern solid diffusion. </w:t>
      </w:r>
      <w:r w:rsidRPr="00A428C3">
        <w:rPr>
          <w:i/>
          <w:iCs/>
        </w:rPr>
        <w:t>Industrial &amp; Engineering Chemistry</w:t>
      </w:r>
      <w:r w:rsidRPr="00A428C3">
        <w:t xml:space="preserve">, </w:t>
      </w:r>
      <w:r w:rsidRPr="00A428C3">
        <w:rPr>
          <w:b/>
        </w:rPr>
        <w:t>45</w:t>
      </w:r>
      <w:r w:rsidRPr="00A428C3">
        <w:t xml:space="preserve"> (8), 1664-1670.</w:t>
      </w:r>
    </w:p>
    <w:p w:rsidR="00B95188" w:rsidRPr="00A428C3" w:rsidRDefault="00B95188" w:rsidP="00B95188">
      <w:pPr>
        <w:pStyle w:val="a0"/>
      </w:pPr>
      <w:r w:rsidRPr="00A428C3">
        <w:t xml:space="preserve">Full Text: </w:t>
      </w:r>
      <w:hyperlink r:id="rId1006" w:history="1">
        <w:r w:rsidRPr="00A428C3">
          <w:rPr>
            <w:rStyle w:val="a5"/>
          </w:rPr>
          <w:t>I\Ind Eng Che45, 1664.pdf</w:t>
        </w:r>
      </w:hyperlink>
    </w:p>
    <w:p w:rsidR="00B95188" w:rsidRPr="00A428C3" w:rsidRDefault="00B95188" w:rsidP="00B95188">
      <w:pPr>
        <w:pStyle w:val="1"/>
      </w:pPr>
      <w:r w:rsidRPr="00A428C3">
        <w:br w:type="page"/>
      </w:r>
      <w:bookmarkStart w:id="919" w:name="_Toc455569472"/>
      <w:bookmarkStart w:id="920" w:name="_Toc487190713"/>
      <w:bookmarkStart w:id="921" w:name="_Toc487882218"/>
      <w:bookmarkStart w:id="922" w:name="_Toc490688040"/>
      <w:bookmarkStart w:id="923" w:name="_Toc492812151"/>
      <w:bookmarkStart w:id="924" w:name="_Toc186647844"/>
      <w:bookmarkStart w:id="925" w:name="_Toc317161140"/>
      <w:r w:rsidRPr="00A428C3">
        <w:lastRenderedPageBreak/>
        <w:t>Title: Industrial</w:t>
      </w:r>
      <w:r w:rsidR="00F81221">
        <w:t xml:space="preserve"> and </w:t>
      </w:r>
      <w:r w:rsidRPr="00A428C3">
        <w:t>Engineering Chemistry Fundamentals</w:t>
      </w:r>
      <w:bookmarkEnd w:id="919"/>
      <w:bookmarkEnd w:id="920"/>
      <w:bookmarkEnd w:id="921"/>
      <w:bookmarkEnd w:id="922"/>
      <w:bookmarkEnd w:id="923"/>
      <w:bookmarkEnd w:id="924"/>
      <w:bookmarkEnd w:id="925"/>
    </w:p>
    <w:p w:rsidR="00B95188" w:rsidRPr="00A428C3" w:rsidRDefault="0058734C" w:rsidP="00B72EF9">
      <w:pPr>
        <w:pStyle w:val="12"/>
      </w:pPr>
      <w:hyperlink r:id="rId1007" w:history="1">
        <w:r w:rsidR="00B95188" w:rsidRPr="00A428C3">
          <w:rPr>
            <w:rStyle w:val="a5"/>
          </w:rPr>
          <w:t>Industrial &amp; Engineering Chemistry Research</w:t>
        </w:r>
      </w:hyperlink>
    </w:p>
    <w:p w:rsidR="00B95188" w:rsidRPr="00A428C3" w:rsidRDefault="0058734C" w:rsidP="00B72EF9">
      <w:pPr>
        <w:pStyle w:val="12"/>
      </w:pPr>
      <w:hyperlink r:id="rId1008" w:history="1">
        <w:r w:rsidR="00B95188" w:rsidRPr="00A428C3">
          <w:rPr>
            <w:rStyle w:val="a5"/>
          </w:rPr>
          <w:t>I&amp;EC</w:t>
        </w:r>
      </w:hyperlink>
      <w:r w:rsidR="00B95188" w:rsidRPr="00A428C3">
        <w:t xml:space="preserve"> Industrial &amp; Engineering Chemistry (1909-1970)</w:t>
      </w:r>
    </w:p>
    <w:p w:rsidR="00B95188" w:rsidRPr="00A428C3" w:rsidRDefault="0058734C" w:rsidP="00B72EF9">
      <w:pPr>
        <w:pStyle w:val="12"/>
      </w:pPr>
      <w:hyperlink r:id="rId1009" w:history="1">
        <w:r w:rsidR="00B95188" w:rsidRPr="00A428C3">
          <w:rPr>
            <w:rStyle w:val="a5"/>
          </w:rPr>
          <w:t>I&amp;EC Fundamentals</w:t>
        </w:r>
      </w:hyperlink>
      <w:r w:rsidR="00B95188" w:rsidRPr="00A428C3">
        <w:t xml:space="preserve"> (1962-1986)</w:t>
      </w:r>
    </w:p>
    <w:p w:rsidR="00B95188" w:rsidRPr="00A428C3" w:rsidRDefault="0058734C" w:rsidP="00B72EF9">
      <w:pPr>
        <w:pStyle w:val="12"/>
      </w:pPr>
      <w:hyperlink r:id="rId1010" w:history="1">
        <w:r w:rsidR="00B95188" w:rsidRPr="00A428C3">
          <w:rPr>
            <w:rStyle w:val="a5"/>
          </w:rPr>
          <w:t>I&amp;EC Process Design</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58734C" w:rsidP="00B72EF9">
      <w:pPr>
        <w:pStyle w:val="12"/>
      </w:pPr>
      <w:hyperlink r:id="rId1011" w:history="1">
        <w:r w:rsidR="00B95188" w:rsidRPr="00A428C3">
          <w:rPr>
            <w:rStyle w:val="a5"/>
          </w:rPr>
          <w:t>I&amp;EC Product Research</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B95188" w:rsidP="00B72EF9">
      <w:pPr>
        <w:pStyle w:val="12"/>
      </w:pPr>
      <w:r w:rsidRPr="00A428C3">
        <w:t>Full Journal Title: Industrial</w:t>
      </w:r>
      <w:r w:rsidR="00F81221">
        <w:t xml:space="preserve"> and </w:t>
      </w:r>
      <w:r w:rsidRPr="00A428C3">
        <w:t>Engineering Chemistry Fundamentals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r w:rsidRPr="00D83729">
        <w:rPr>
          <w:iCs/>
        </w:rPr>
        <w:t>Ind Eng Chem Fund</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rPr>
          <w:color w:val="008000"/>
        </w:rPr>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Williamson, J.E., Bazaire, K.E.</w:t>
      </w:r>
      <w:r w:rsidR="00F81221">
        <w:t xml:space="preserve"> and </w:t>
      </w:r>
      <w:r w:rsidRPr="00A428C3">
        <w:t xml:space="preserve">Geankoplis, C.J. (1963), Liquid-phase mass transfer at low reynolds numbers. </w:t>
      </w:r>
      <w:r w:rsidRPr="00A428C3">
        <w:rPr>
          <w:i/>
        </w:rPr>
        <w:t>Industrial</w:t>
      </w:r>
      <w:r w:rsidR="00F81221">
        <w:rPr>
          <w:i/>
        </w:rPr>
        <w:t xml:space="preserve"> and </w:t>
      </w:r>
      <w:r w:rsidRPr="00A428C3">
        <w:rPr>
          <w:i/>
        </w:rPr>
        <w:t>Engineering Chemistry Fundamentals</w:t>
      </w:r>
      <w:r w:rsidRPr="00A428C3">
        <w:t xml:space="preserve">, </w:t>
      </w:r>
      <w:r w:rsidRPr="00A428C3">
        <w:rPr>
          <w:b/>
        </w:rPr>
        <w:t>2</w:t>
      </w:r>
      <w:r w:rsidRPr="00A428C3">
        <w:t xml:space="preserve"> (2), 126-129.</w:t>
      </w:r>
    </w:p>
    <w:p w:rsidR="00B95188" w:rsidRPr="00A428C3" w:rsidRDefault="00B95188" w:rsidP="00B95188">
      <w:pPr>
        <w:pStyle w:val="a0"/>
      </w:pPr>
      <w:r w:rsidRPr="00A428C3">
        <w:t xml:space="preserve">Full Text: </w:t>
      </w:r>
      <w:hyperlink r:id="rId1012" w:history="1">
        <w:r w:rsidRPr="00A428C3">
          <w:rPr>
            <w:rStyle w:val="a5"/>
          </w:rPr>
          <w:t>I\Ind Eng Che Fun2, 126.pdf</w:t>
        </w:r>
      </w:hyperlink>
    </w:p>
    <w:p w:rsidR="00B95188" w:rsidRPr="00A428C3" w:rsidRDefault="00B95188" w:rsidP="00B95188">
      <w:pPr>
        <w:pStyle w:val="a0"/>
      </w:pPr>
      <w:r w:rsidRPr="00A428C3">
        <w:t>Abstrct: Liquid-phase mass transfer coefficients were obtained for packed beds of benzoic acid spheres</w:t>
      </w:r>
      <w:r w:rsidR="00F81221">
        <w:t xml:space="preserve"> and </w:t>
      </w:r>
      <w:r w:rsidRPr="00A428C3">
        <w:t xml:space="preserve">water in the Reynolds number </w:t>
      </w:r>
      <w:r w:rsidRPr="00A428C3">
        <w:rPr>
          <w:i/>
          <w:iCs/>
          <w:szCs w:val="18"/>
        </w:rPr>
        <w:t>(N</w:t>
      </w:r>
      <w:r w:rsidR="000352E7">
        <w:rPr>
          <w:i/>
          <w:iCs/>
          <w:szCs w:val="18"/>
        </w:rPr>
        <w:t>”</w:t>
      </w:r>
      <w:r w:rsidRPr="00A428C3">
        <w:rPr>
          <w:i/>
          <w:iCs/>
          <w:szCs w:val="18"/>
        </w:rPr>
        <w:t xml:space="preserve">R~) </w:t>
      </w:r>
      <w:r w:rsidRPr="00A428C3">
        <w:t xml:space="preserve">range of </w:t>
      </w:r>
      <w:r w:rsidRPr="00A428C3">
        <w:rPr>
          <w:i/>
          <w:iCs/>
          <w:szCs w:val="18"/>
        </w:rPr>
        <w:t xml:space="preserve">0.08 </w:t>
      </w:r>
      <w:r w:rsidRPr="00A428C3">
        <w:t xml:space="preserve">to </w:t>
      </w:r>
      <w:r w:rsidRPr="00A428C3">
        <w:rPr>
          <w:szCs w:val="18"/>
        </w:rPr>
        <w:t xml:space="preserve">120. All </w:t>
      </w:r>
      <w:r w:rsidRPr="00A428C3">
        <w:t xml:space="preserve">previous data were obtained with granular solids </w:t>
      </w:r>
      <w:r w:rsidRPr="00A428C3">
        <w:rPr>
          <w:szCs w:val="17"/>
        </w:rPr>
        <w:t xml:space="preserve">or </w:t>
      </w:r>
      <w:r w:rsidRPr="00A428C3">
        <w:t xml:space="preserve">modified spheres. The previous correlation for </w:t>
      </w:r>
      <w:r w:rsidRPr="00A428C3">
        <w:rPr>
          <w:i/>
          <w:iCs/>
        </w:rPr>
        <w:t>J</w:t>
      </w:r>
      <w:r w:rsidR="000352E7">
        <w:rPr>
          <w:i/>
          <w:iCs/>
        </w:rPr>
        <w:t>’</w:t>
      </w:r>
      <w:r w:rsidRPr="00A428C3">
        <w:rPr>
          <w:i/>
          <w:iCs/>
        </w:rPr>
        <w:t xml:space="preserve"> </w:t>
      </w:r>
      <w:r w:rsidRPr="00A428C3">
        <w:t>of Gaffney</w:t>
      </w:r>
      <w:r w:rsidR="00F81221">
        <w:t xml:space="preserve"> and </w:t>
      </w:r>
      <w:r w:rsidRPr="00A428C3">
        <w:t xml:space="preserve">Drew extended down to N </w:t>
      </w:r>
      <w:r w:rsidR="000352E7">
        <w:t>“</w:t>
      </w:r>
      <w:r w:rsidRPr="00A428C3">
        <w:t xml:space="preserve"> R ~ </w:t>
      </w:r>
      <w:r w:rsidRPr="00A428C3">
        <w:rPr>
          <w:szCs w:val="18"/>
        </w:rPr>
        <w:t xml:space="preserve">of </w:t>
      </w:r>
      <w:r w:rsidRPr="00A428C3">
        <w:rPr>
          <w:i/>
          <w:iCs/>
        </w:rPr>
        <w:t xml:space="preserve">0.8, </w:t>
      </w:r>
      <w:r w:rsidRPr="00A428C3">
        <w:t>with considerable scatter of the data</w:t>
      </w:r>
      <w:r w:rsidR="00F81221">
        <w:t xml:space="preserve"> and </w:t>
      </w:r>
      <w:r w:rsidRPr="00A428C3">
        <w:t xml:space="preserve">uncertainty of the slope of the line in the range of </w:t>
      </w:r>
      <w:r w:rsidRPr="00A428C3">
        <w:rPr>
          <w:i/>
          <w:iCs/>
          <w:szCs w:val="18"/>
        </w:rPr>
        <w:t xml:space="preserve">N </w:t>
      </w:r>
      <w:r w:rsidR="000352E7">
        <w:rPr>
          <w:i/>
          <w:iCs/>
          <w:szCs w:val="18"/>
        </w:rPr>
        <w:t>“</w:t>
      </w:r>
      <w:r w:rsidRPr="00A428C3">
        <w:rPr>
          <w:i/>
          <w:iCs/>
          <w:szCs w:val="18"/>
        </w:rPr>
        <w:t xml:space="preserve"> R ~ </w:t>
      </w:r>
      <w:r w:rsidRPr="00A428C3">
        <w:t xml:space="preserve">below 50. The present data confirm the exponent on the Schmidt number in </w:t>
      </w:r>
      <w:r w:rsidRPr="00A428C3">
        <w:rPr>
          <w:i/>
          <w:iCs/>
        </w:rPr>
        <w:t>J</w:t>
      </w:r>
      <w:r w:rsidR="000352E7">
        <w:rPr>
          <w:i/>
          <w:iCs/>
        </w:rPr>
        <w:t>’</w:t>
      </w:r>
      <w:r w:rsidRPr="00A428C3">
        <w:rPr>
          <w:i/>
          <w:iCs/>
        </w:rPr>
        <w:t xml:space="preserve"> </w:t>
      </w:r>
      <w:r w:rsidRPr="00A428C3">
        <w:t>of 0.58 for liquids. The data check those of Goffney</w:t>
      </w:r>
      <w:r w:rsidR="00F81221">
        <w:t xml:space="preserve"> and </w:t>
      </w:r>
      <w:r w:rsidRPr="00A428C3">
        <w:t>Drew</w:t>
      </w:r>
      <w:r w:rsidR="00F81221">
        <w:t xml:space="preserve"> and </w:t>
      </w:r>
      <w:r w:rsidRPr="00A428C3">
        <w:t>McCune</w:t>
      </w:r>
      <w:r w:rsidR="00F81221">
        <w:t xml:space="preserve"> and </w:t>
      </w:r>
      <w:r w:rsidRPr="00A428C3">
        <w:t xml:space="preserve">Wilhelm above a N </w:t>
      </w:r>
      <w:r w:rsidR="000352E7">
        <w:t>“</w:t>
      </w:r>
      <w:r w:rsidRPr="00A428C3">
        <w:t xml:space="preserve"> R ~ of </w:t>
      </w:r>
      <w:r w:rsidRPr="00A428C3">
        <w:rPr>
          <w:i/>
          <w:iCs/>
        </w:rPr>
        <w:t xml:space="preserve">0.8. </w:t>
      </w:r>
      <w:r w:rsidRPr="00A428C3">
        <w:t>Equations are proposed for the entire liquid range.</w:t>
      </w:r>
    </w:p>
    <w:p w:rsidR="00186FA0" w:rsidRDefault="00186FA0" w:rsidP="00B95188">
      <w:pPr>
        <w:pStyle w:val="a0"/>
      </w:pPr>
      <w:r>
        <w:rPr>
          <w:rFonts w:hint="eastAsia"/>
        </w:rPr>
        <w:t>Notes: highly cited</w:t>
      </w:r>
    </w:p>
    <w:p w:rsidR="00B95188" w:rsidRPr="00A428C3" w:rsidRDefault="00B95188" w:rsidP="00F85BFA">
      <w:pPr>
        <w:pStyle w:val="a0"/>
      </w:pPr>
      <w:r w:rsidRPr="00A428C3">
        <w:t xml:space="preserve">Hall, K.R., </w:t>
      </w:r>
      <w:bookmarkStart w:id="926" w:name="Eagleton"/>
      <w:r w:rsidRPr="00A428C3">
        <w:t>Eagleton</w:t>
      </w:r>
      <w:bookmarkEnd w:id="926"/>
      <w:r w:rsidRPr="00A428C3">
        <w:t xml:space="preserve">, L.C., </w:t>
      </w:r>
      <w:bookmarkStart w:id="927" w:name="Acrivos"/>
      <w:r w:rsidRPr="00A428C3">
        <w:t>Acrivos</w:t>
      </w:r>
      <w:bookmarkEnd w:id="927"/>
      <w:r w:rsidRPr="00A428C3">
        <w:t>, A.</w:t>
      </w:r>
      <w:r w:rsidR="00F81221">
        <w:t xml:space="preserve"> and </w:t>
      </w:r>
      <w:bookmarkStart w:id="928" w:name="Vermeulen"/>
      <w:r w:rsidRPr="00A428C3">
        <w:t>Vermeulen</w:t>
      </w:r>
      <w:bookmarkEnd w:id="928"/>
      <w:r w:rsidRPr="00A428C3">
        <w:t>, T. (1966), Pore-</w:t>
      </w:r>
      <w:r w:rsidR="00F81221">
        <w:t xml:space="preserve"> and </w:t>
      </w:r>
      <w:r w:rsidRPr="00A428C3">
        <w:t>solid-</w:t>
      </w:r>
      <w:bookmarkStart w:id="929" w:name="diffuion"/>
      <w:r w:rsidRPr="00A428C3">
        <w:t>diffuion</w:t>
      </w:r>
      <w:bookmarkEnd w:id="929"/>
      <w:r w:rsidRPr="00A428C3">
        <w:t xml:space="preserve"> kinetics in fixed-bed adsorption under constant-pattern conditions. </w:t>
      </w:r>
      <w:r w:rsidRPr="00A428C3">
        <w:rPr>
          <w:i/>
        </w:rPr>
        <w:t>Industrial</w:t>
      </w:r>
      <w:r w:rsidR="00F81221">
        <w:rPr>
          <w:i/>
        </w:rPr>
        <w:t xml:space="preserve"> and </w:t>
      </w:r>
      <w:r w:rsidRPr="00A428C3">
        <w:rPr>
          <w:i/>
        </w:rPr>
        <w:t>Engineering Chemistry Fundamentals</w:t>
      </w:r>
      <w:r w:rsidRPr="00A428C3">
        <w:t xml:space="preserve">, </w:t>
      </w:r>
      <w:r w:rsidRPr="00A428C3">
        <w:rPr>
          <w:b/>
        </w:rPr>
        <w:t>5</w:t>
      </w:r>
      <w:r w:rsidRPr="00A428C3">
        <w:t xml:space="preserve"> (2), 212-223.</w:t>
      </w:r>
    </w:p>
    <w:p w:rsidR="00B95188" w:rsidRPr="00A428C3" w:rsidRDefault="00B95188" w:rsidP="00B95188">
      <w:pPr>
        <w:pStyle w:val="a0"/>
      </w:pPr>
      <w:r w:rsidRPr="00A428C3">
        <w:t xml:space="preserve">Full Text: </w:t>
      </w:r>
      <w:hyperlink r:id="rId1013" w:history="1">
        <w:r w:rsidRPr="00A428C3">
          <w:rPr>
            <w:rStyle w:val="a5"/>
          </w:rPr>
          <w:t>I\Ind Eng Che Fun5, 212.pdf</w:t>
        </w:r>
      </w:hyperlink>
    </w:p>
    <w:p w:rsidR="00B95188" w:rsidRPr="00A428C3" w:rsidRDefault="00186FA0" w:rsidP="00B95188">
      <w:pPr>
        <w:pStyle w:val="a0"/>
      </w:pPr>
      <w:r>
        <w:rPr>
          <w:rFonts w:hint="eastAsia"/>
        </w:rPr>
        <w:t>Abstract</w:t>
      </w:r>
      <w:r w:rsidR="00B95188" w:rsidRPr="00A428C3">
        <w:t xml:space="preserve">: </w:t>
      </w:r>
      <w:r w:rsidR="00B95188" w:rsidRPr="00A428C3">
        <w:rPr>
          <w:szCs w:val="18"/>
        </w:rPr>
        <w:t xml:space="preserve">In </w:t>
      </w:r>
      <w:r w:rsidR="00B95188" w:rsidRPr="00A428C3">
        <w:rPr>
          <w:szCs w:val="16"/>
        </w:rPr>
        <w:t xml:space="preserve">the favorable-equilibrium adsorption region, the constant-pattern form of the isothermal breakthrough curves is known only approximately for the </w:t>
      </w:r>
      <w:r w:rsidR="00B95188" w:rsidRPr="00A428C3">
        <w:rPr>
          <w:szCs w:val="16"/>
        </w:rPr>
        <w:lastRenderedPageBreak/>
        <w:t>solid-diffusion (or pore-surface-diffusion) mechanism,</w:t>
      </w:r>
      <w:r w:rsidR="00F81221">
        <w:rPr>
          <w:szCs w:val="16"/>
        </w:rPr>
        <w:t xml:space="preserve"> and </w:t>
      </w:r>
      <w:r w:rsidR="00B95188" w:rsidRPr="00A428C3">
        <w:rPr>
          <w:szCs w:val="16"/>
        </w:rPr>
        <w:t>is not soluble analytically for the pore-diffusion mechanism. Numerical solutions for both these cases, in a widely applicable dimensionless form, have been obtained for a range of Langmuir isotherms by stepwise computation on a digital computer. These numerical results merge smoothly into the respective analytic solutions for completely irreversible equilibrium; for this case, combinations of pore diffusion</w:t>
      </w:r>
      <w:r w:rsidR="00F81221">
        <w:rPr>
          <w:szCs w:val="16"/>
        </w:rPr>
        <w:t xml:space="preserve"> and </w:t>
      </w:r>
      <w:r w:rsidR="00B95188" w:rsidRPr="00A428C3">
        <w:rPr>
          <w:szCs w:val="16"/>
        </w:rPr>
        <w:t>external mass transfer are also analyzed.</w:t>
      </w:r>
    </w:p>
    <w:p w:rsidR="00D71E96" w:rsidRDefault="00D71E96" w:rsidP="00D71E96">
      <w:pPr>
        <w:pStyle w:val="a0"/>
        <w:rPr>
          <w:kern w:val="0"/>
        </w:rPr>
      </w:pPr>
      <w:r>
        <w:rPr>
          <w:kern w:val="0"/>
        </w:rPr>
        <w:t>Keywords: Adsorption, Kinetics</w:t>
      </w:r>
    </w:p>
    <w:p w:rsidR="00B95188" w:rsidRPr="00A428C3" w:rsidRDefault="00B95188" w:rsidP="00B95188">
      <w:pPr>
        <w:pStyle w:val="a0"/>
      </w:pPr>
      <w:r w:rsidRPr="00A428C3">
        <w:t>Stuart, F.X.</w:t>
      </w:r>
      <w:r w:rsidR="00F81221">
        <w:t xml:space="preserve"> and </w:t>
      </w:r>
      <w:r w:rsidRPr="00A428C3">
        <w:t>Camp, D.T. (1967), Comparison of kinetic</w:t>
      </w:r>
      <w:r w:rsidR="00F81221">
        <w:t xml:space="preserve"> and </w:t>
      </w:r>
      <w:r w:rsidRPr="00A428C3">
        <w:t xml:space="preserve">diffusional models for packed bed adsorption. </w:t>
      </w:r>
      <w:r w:rsidRPr="00A428C3">
        <w:rPr>
          <w:i/>
        </w:rPr>
        <w:t>Industrial</w:t>
      </w:r>
      <w:r w:rsidR="00F81221">
        <w:rPr>
          <w:i/>
        </w:rPr>
        <w:t xml:space="preserve"> and </w:t>
      </w:r>
      <w:r w:rsidRPr="00A428C3">
        <w:rPr>
          <w:i/>
        </w:rPr>
        <w:t>Engineering Chemistry Fundamentals</w:t>
      </w:r>
      <w:r w:rsidRPr="00A428C3">
        <w:t xml:space="preserve">, </w:t>
      </w:r>
      <w:r w:rsidRPr="00A428C3">
        <w:rPr>
          <w:b/>
        </w:rPr>
        <w:t>6</w:t>
      </w:r>
      <w:r w:rsidRPr="00A428C3">
        <w:t xml:space="preserve"> (1), 156-158.</w:t>
      </w:r>
    </w:p>
    <w:p w:rsidR="00B95188" w:rsidRPr="00A428C3" w:rsidRDefault="00B95188" w:rsidP="00B95188">
      <w:pPr>
        <w:pStyle w:val="a0"/>
      </w:pPr>
      <w:r w:rsidRPr="00A428C3">
        <w:t xml:space="preserve">Full Text: </w:t>
      </w:r>
      <w:hyperlink r:id="rId1014" w:history="1">
        <w:r w:rsidRPr="00A428C3">
          <w:rPr>
            <w:rStyle w:val="a5"/>
          </w:rPr>
          <w:t>I\Ind Eng Che Fun6, 156.pdf</w:t>
        </w:r>
      </w:hyperlink>
    </w:p>
    <w:p w:rsidR="00B95188" w:rsidRPr="00A428C3" w:rsidRDefault="00B95188" w:rsidP="00B95188">
      <w:pPr>
        <w:pStyle w:val="a0"/>
      </w:pPr>
      <w:r w:rsidRPr="00A428C3">
        <w:t>Abstract: The solutions to the adsorption problem with external resistance</w:t>
      </w:r>
      <w:r w:rsidR="00F81221">
        <w:t xml:space="preserve"> and </w:t>
      </w:r>
      <w:r w:rsidRPr="00A428C3">
        <w:t>internal diffusion controlling for linear equilibrium are compared using Fick</w:t>
      </w:r>
      <w:r w:rsidR="000352E7">
        <w:t>’</w:t>
      </w:r>
      <w:r w:rsidRPr="00A428C3">
        <w:t>s second law</w:t>
      </w:r>
      <w:r w:rsidR="00F81221">
        <w:t xml:space="preserve"> and </w:t>
      </w:r>
      <w:r w:rsidRPr="00A428C3">
        <w:t xml:space="preserve">a kinetic model approximation for the internal portion of the resistance. </w:t>
      </w:r>
      <w:r w:rsidRPr="00A428C3">
        <w:rPr>
          <w:szCs w:val="18"/>
        </w:rPr>
        <w:t xml:space="preserve">A </w:t>
      </w:r>
      <w:r w:rsidRPr="00A428C3">
        <w:t xml:space="preserve">deviation between the solutions </w:t>
      </w:r>
      <w:r w:rsidRPr="00A428C3">
        <w:rPr>
          <w:szCs w:val="18"/>
        </w:rPr>
        <w:t xml:space="preserve">is </w:t>
      </w:r>
      <w:r w:rsidRPr="00A428C3">
        <w:t xml:space="preserve">found for low values </w:t>
      </w:r>
      <w:r w:rsidRPr="00A428C3">
        <w:rPr>
          <w:szCs w:val="18"/>
        </w:rPr>
        <w:t xml:space="preserve">of </w:t>
      </w:r>
      <w:r w:rsidRPr="00A428C3">
        <w:t>the bed length parameter.</w:t>
      </w:r>
    </w:p>
    <w:p w:rsidR="00B95188" w:rsidRPr="00A428C3" w:rsidRDefault="00B95188" w:rsidP="00B95188">
      <w:pPr>
        <w:pStyle w:val="a0"/>
      </w:pPr>
      <w:r w:rsidRPr="00A428C3">
        <w:t>Lerch, R.G.</w:t>
      </w:r>
      <w:r w:rsidR="00F81221">
        <w:t xml:space="preserve"> and </w:t>
      </w:r>
      <w:r w:rsidRPr="00A428C3">
        <w:t xml:space="preserve">Ratkowsky, D.A. (1967), Optimum allocation of adsorbent in stagewise adsorption operations. </w:t>
      </w:r>
      <w:r w:rsidRPr="00A428C3">
        <w:rPr>
          <w:i/>
        </w:rPr>
        <w:t>Industrial</w:t>
      </w:r>
      <w:r w:rsidR="00F81221">
        <w:rPr>
          <w:i/>
        </w:rPr>
        <w:t xml:space="preserve"> and </w:t>
      </w:r>
      <w:r w:rsidRPr="00A428C3">
        <w:rPr>
          <w:i/>
        </w:rPr>
        <w:t>Engineering Chemistry Fundamentals</w:t>
      </w:r>
      <w:r w:rsidRPr="00A428C3">
        <w:t xml:space="preserve">, </w:t>
      </w:r>
      <w:r w:rsidRPr="00A428C3">
        <w:rPr>
          <w:b/>
        </w:rPr>
        <w:t>6</w:t>
      </w:r>
      <w:r w:rsidRPr="00A428C3">
        <w:t xml:space="preserve"> (2), 308-310.</w:t>
      </w:r>
    </w:p>
    <w:p w:rsidR="00B95188" w:rsidRPr="00A428C3" w:rsidRDefault="00B95188" w:rsidP="00B95188">
      <w:pPr>
        <w:pStyle w:val="a0"/>
      </w:pPr>
      <w:r w:rsidRPr="00A428C3">
        <w:t xml:space="preserve">Full Text: </w:t>
      </w:r>
      <w:hyperlink r:id="rId1015" w:history="1">
        <w:r w:rsidRPr="00A428C3">
          <w:rPr>
            <w:rStyle w:val="a5"/>
          </w:rPr>
          <w:t>I\Ind Eng Che Fun6, 308.pdf</w:t>
        </w:r>
      </w:hyperlink>
    </w:p>
    <w:p w:rsidR="00B95188" w:rsidRPr="00A428C3" w:rsidRDefault="00B95188" w:rsidP="00B95188">
      <w:pPr>
        <w:pStyle w:val="a0"/>
      </w:pPr>
      <w:r w:rsidRPr="00A428C3">
        <w:t>Petrovic, L.J.</w:t>
      </w:r>
      <w:r w:rsidR="00F81221">
        <w:t xml:space="preserve"> and </w:t>
      </w:r>
      <w:r w:rsidRPr="00A428C3">
        <w:t xml:space="preserve">Thodos, G. (1968), Mass transfer in the flow of gases through packed beds. </w:t>
      </w:r>
      <w:r w:rsidRPr="00A428C3">
        <w:rPr>
          <w:i/>
        </w:rPr>
        <w:t>Industrial</w:t>
      </w:r>
      <w:r w:rsidR="00F81221">
        <w:rPr>
          <w:i/>
        </w:rPr>
        <w:t xml:space="preserve"> and </w:t>
      </w:r>
      <w:r w:rsidRPr="00A428C3">
        <w:rPr>
          <w:i/>
        </w:rPr>
        <w:t>Engineering Chemistry Fundamentals</w:t>
      </w:r>
      <w:r w:rsidRPr="00A428C3">
        <w:t xml:space="preserve">, </w:t>
      </w:r>
      <w:r w:rsidRPr="00A428C3">
        <w:rPr>
          <w:b/>
        </w:rPr>
        <w:t>7</w:t>
      </w:r>
      <w:r w:rsidRPr="00A428C3">
        <w:t xml:space="preserve"> (2), 274-280.</w:t>
      </w:r>
    </w:p>
    <w:p w:rsidR="00B95188" w:rsidRPr="00A428C3" w:rsidRDefault="00B95188" w:rsidP="00B95188">
      <w:pPr>
        <w:pStyle w:val="a0"/>
      </w:pPr>
      <w:r w:rsidRPr="00A428C3">
        <w:t xml:space="preserve">Full Text: </w:t>
      </w:r>
      <w:hyperlink r:id="rId1016" w:history="1">
        <w:r w:rsidRPr="00A428C3">
          <w:rPr>
            <w:rStyle w:val="a5"/>
          </w:rPr>
          <w:t>I\Ind Eng Che Fun7, 274.pdf</w:t>
        </w:r>
      </w:hyperlink>
    </w:p>
    <w:p w:rsidR="00B95188" w:rsidRPr="00A428C3" w:rsidRDefault="00B95188" w:rsidP="00B95188">
      <w:pPr>
        <w:pStyle w:val="a0"/>
      </w:pPr>
      <w:r w:rsidRPr="00A428C3">
        <w:t>Abstract: Mass transfer factors associated with the vaporization of water</w:t>
      </w:r>
      <w:r w:rsidR="00F81221">
        <w:t xml:space="preserve"> and </w:t>
      </w:r>
      <w:r w:rsidRPr="00A428C3">
        <w:t>heavy hydrocarbons from the surface of porous spheres, 0.0721 to 0.370 inch in diameter, have been established in the low Reynolds number region (3 &lt; N R ~ &lt; 230) taking into account a correction for axial mixing. The carrier gas used was air which flowed through packed</w:t>
      </w:r>
      <w:r w:rsidR="00F81221">
        <w:t xml:space="preserve"> and </w:t>
      </w:r>
      <w:r w:rsidRPr="00A428C3">
        <w:t xml:space="preserve">dispersed beds of these spheres. To produce a dispersed bed, porous spheres saturated with a liquid were placed in a matrix of dry glass spheres. The results for both types of beds have been correlated with the Reynolds number to produce a single relationship </w:t>
      </w:r>
      <w:r w:rsidRPr="00A428C3">
        <w:rPr>
          <w:szCs w:val="18"/>
        </w:rPr>
        <w:t xml:space="preserve">of </w:t>
      </w:r>
      <w:r w:rsidRPr="00A428C3">
        <w:rPr>
          <w:i/>
          <w:iCs/>
          <w:szCs w:val="12"/>
        </w:rPr>
        <w:t>Ejd</w:t>
      </w:r>
      <w:r w:rsidRPr="00A428C3">
        <w:rPr>
          <w:b/>
          <w:i/>
          <w:iCs/>
          <w:szCs w:val="12"/>
        </w:rPr>
        <w:t xml:space="preserve"> </w:t>
      </w:r>
      <w:r w:rsidRPr="00A428C3">
        <w:t>vs. NR~.</w:t>
      </w:r>
    </w:p>
    <w:p w:rsidR="00B95188" w:rsidRPr="00A428C3" w:rsidRDefault="00B95188" w:rsidP="00B95188">
      <w:pPr>
        <w:pStyle w:val="a0"/>
      </w:pPr>
      <w:r w:rsidRPr="00A428C3">
        <w:t>Colwell, C.J.</w:t>
      </w:r>
      <w:r w:rsidR="00F81221">
        <w:t xml:space="preserve"> and </w:t>
      </w:r>
      <w:r w:rsidRPr="00A428C3">
        <w:t>Dranoff, J.S. (1969), Nonlinear equilibrium</w:t>
      </w:r>
      <w:r w:rsidR="00F81221">
        <w:t xml:space="preserve"> and </w:t>
      </w:r>
      <w:r w:rsidRPr="00A428C3">
        <w:t xml:space="preserve">axial mixing effects in intraparticle diffusion-controlled sorption by ion exchange resin beds: Computer analysis. </w:t>
      </w:r>
      <w:r w:rsidRPr="00A428C3">
        <w:rPr>
          <w:i/>
        </w:rPr>
        <w:t>Industrial</w:t>
      </w:r>
      <w:r w:rsidR="00F81221">
        <w:rPr>
          <w:i/>
        </w:rPr>
        <w:t xml:space="preserve"> and </w:t>
      </w:r>
      <w:r w:rsidRPr="00A428C3">
        <w:rPr>
          <w:i/>
        </w:rPr>
        <w:t>Engineering Chemistry Fundamentals</w:t>
      </w:r>
      <w:r w:rsidRPr="00A428C3">
        <w:t xml:space="preserve">, </w:t>
      </w:r>
      <w:r w:rsidRPr="00A428C3">
        <w:rPr>
          <w:b/>
        </w:rPr>
        <w:t>8</w:t>
      </w:r>
      <w:r w:rsidRPr="00A428C3">
        <w:t xml:space="preserve"> (2), 193-198.</w:t>
      </w:r>
    </w:p>
    <w:p w:rsidR="00B95188" w:rsidRPr="00A428C3" w:rsidRDefault="00B95188" w:rsidP="00B95188">
      <w:pPr>
        <w:pStyle w:val="a0"/>
      </w:pPr>
      <w:r w:rsidRPr="00A428C3">
        <w:t xml:space="preserve">Full Text: </w:t>
      </w:r>
      <w:hyperlink r:id="rId1017" w:history="1">
        <w:r w:rsidRPr="00A428C3">
          <w:rPr>
            <w:rStyle w:val="a5"/>
          </w:rPr>
          <w:t>I\Ind Eng Che Fun8, 193.pdf</w:t>
        </w:r>
      </w:hyperlink>
    </w:p>
    <w:p w:rsidR="00B95188" w:rsidRPr="00A428C3" w:rsidRDefault="00B95188" w:rsidP="00B95188">
      <w:pPr>
        <w:pStyle w:val="a0"/>
      </w:pPr>
      <w:r w:rsidRPr="00A428C3">
        <w:t>Abstract: The effects of nonlinear equilibrium</w:t>
      </w:r>
      <w:r w:rsidR="00F81221">
        <w:t xml:space="preserve"> and </w:t>
      </w:r>
      <w:r w:rsidRPr="00A428C3">
        <w:t xml:space="preserve">axial mixing on sorption processes in packed ion exchange resin beds have been studied by digital computer simulation of column performance. Results show clearly that the presence of these effects leads to false estimates of apparent intraparticle diffusivities when a linear model is used in </w:t>
      </w:r>
      <w:r w:rsidRPr="00A428C3">
        <w:lastRenderedPageBreak/>
        <w:t xml:space="preserve">analyzing data. </w:t>
      </w:r>
      <w:r w:rsidRPr="00A428C3">
        <w:rPr>
          <w:szCs w:val="18"/>
        </w:rPr>
        <w:t xml:space="preserve">A </w:t>
      </w:r>
      <w:r w:rsidRPr="00A428C3">
        <w:t>technique for estimation of true diffusivities from apparent values is presented.</w:t>
      </w:r>
    </w:p>
    <w:p w:rsidR="00B95188" w:rsidRPr="00A428C3" w:rsidRDefault="00B95188" w:rsidP="00B95188">
      <w:pPr>
        <w:pStyle w:val="a0"/>
      </w:pPr>
      <w:r w:rsidRPr="00A428C3">
        <w:t xml:space="preserve">van </w:t>
      </w:r>
      <w:smartTag w:uri="urn:schemas-microsoft-com:office:smarttags" w:element="place">
        <w:r w:rsidRPr="00A428C3">
          <w:t>Ness</w:t>
        </w:r>
      </w:smartTag>
      <w:r w:rsidRPr="00A428C3">
        <w:t xml:space="preserve">, H.C. (1969), Adsorption of gasses on solids. </w:t>
      </w:r>
      <w:r w:rsidRPr="00A428C3">
        <w:rPr>
          <w:i/>
        </w:rPr>
        <w:t>Industrial</w:t>
      </w:r>
      <w:r w:rsidR="00F81221">
        <w:rPr>
          <w:i/>
        </w:rPr>
        <w:t xml:space="preserve"> and </w:t>
      </w:r>
      <w:r w:rsidRPr="00A428C3">
        <w:rPr>
          <w:i/>
        </w:rPr>
        <w:t>Engineering Chemistry Fundamentals</w:t>
      </w:r>
      <w:r w:rsidRPr="00A428C3">
        <w:t xml:space="preserve">, </w:t>
      </w:r>
      <w:r w:rsidRPr="00A428C3">
        <w:rPr>
          <w:b/>
        </w:rPr>
        <w:t>8</w:t>
      </w:r>
      <w:r w:rsidRPr="00A428C3">
        <w:t xml:space="preserve"> (3), 464-473.</w:t>
      </w:r>
    </w:p>
    <w:p w:rsidR="00B95188" w:rsidRPr="00A428C3" w:rsidRDefault="00B95188" w:rsidP="00B95188">
      <w:pPr>
        <w:pStyle w:val="a0"/>
      </w:pPr>
      <w:r w:rsidRPr="00A428C3">
        <w:t xml:space="preserve">Full Text: </w:t>
      </w:r>
      <w:hyperlink r:id="rId1018" w:history="1">
        <w:r w:rsidRPr="00A428C3">
          <w:rPr>
            <w:rStyle w:val="a5"/>
          </w:rPr>
          <w:t>I\Ind Eng Che Fun8, 464.pdf</w:t>
        </w:r>
      </w:hyperlink>
    </w:p>
    <w:p w:rsidR="00B95188" w:rsidRPr="00A428C3" w:rsidRDefault="00B95188" w:rsidP="00B95188">
      <w:pPr>
        <w:pStyle w:val="a0"/>
      </w:pPr>
      <w:r w:rsidRPr="00A428C3">
        <w:t xml:space="preserve">Abstract: It </w:t>
      </w:r>
      <w:r w:rsidRPr="00A428C3">
        <w:rPr>
          <w:szCs w:val="18"/>
        </w:rPr>
        <w:t xml:space="preserve">is </w:t>
      </w:r>
      <w:r w:rsidRPr="00A428C3">
        <w:t xml:space="preserve">the function of thermodynamics to relate those properties </w:t>
      </w:r>
      <w:r w:rsidRPr="00A428C3">
        <w:rPr>
          <w:szCs w:val="18"/>
        </w:rPr>
        <w:t xml:space="preserve">of </w:t>
      </w:r>
      <w:r w:rsidRPr="00A428C3">
        <w:t>a system required for practical or theoretical purposes to the parameters that are most readily measured,</w:t>
      </w:r>
      <w:r w:rsidR="00F81221">
        <w:t xml:space="preserve"> and </w:t>
      </w:r>
      <w:r w:rsidRPr="00A428C3">
        <w:t>thus to provide the maximum return of information for any investment in experiment. This paper explores how thermodynamics may most effectively serve this end in mixed-gas adsorption.</w:t>
      </w:r>
    </w:p>
    <w:p w:rsidR="00B95188" w:rsidRPr="00A428C3" w:rsidRDefault="00B95188" w:rsidP="00B95188">
      <w:pPr>
        <w:pStyle w:val="a0"/>
      </w:pPr>
      <w:r w:rsidRPr="00A428C3">
        <w:t>Vermeule, T.</w:t>
      </w:r>
      <w:r w:rsidR="00F81221">
        <w:t xml:space="preserve"> and </w:t>
      </w:r>
      <w:r w:rsidRPr="00A428C3">
        <w:t xml:space="preserve">Quilici, R.E. (1970), Analytic driving-force relation for pore-diffusion kinetics in fixed-bed adsorption. </w:t>
      </w:r>
      <w:r w:rsidRPr="00A428C3">
        <w:rPr>
          <w:i/>
        </w:rPr>
        <w:t>Industrial</w:t>
      </w:r>
      <w:r w:rsidR="00F81221">
        <w:rPr>
          <w:i/>
        </w:rPr>
        <w:t xml:space="preserve"> and </w:t>
      </w:r>
      <w:r w:rsidRPr="00A428C3">
        <w:rPr>
          <w:i/>
        </w:rPr>
        <w:t>Engineering Chemistry Fundamentals</w:t>
      </w:r>
      <w:r w:rsidRPr="00A428C3">
        <w:t xml:space="preserve">, </w:t>
      </w:r>
      <w:r w:rsidRPr="00A428C3">
        <w:rPr>
          <w:b/>
        </w:rPr>
        <w:t>9</w:t>
      </w:r>
      <w:r w:rsidRPr="00A428C3">
        <w:t xml:space="preserve"> (1), 179-180.</w:t>
      </w:r>
    </w:p>
    <w:p w:rsidR="00B95188" w:rsidRPr="00A428C3" w:rsidRDefault="00B95188" w:rsidP="00B95188">
      <w:pPr>
        <w:pStyle w:val="a0"/>
      </w:pPr>
      <w:r w:rsidRPr="00A428C3">
        <w:t xml:space="preserve">Full Text: </w:t>
      </w:r>
      <w:hyperlink r:id="rId1019" w:history="1">
        <w:r w:rsidRPr="00A428C3">
          <w:rPr>
            <w:rStyle w:val="a5"/>
          </w:rPr>
          <w:t>I\Ind Eng Che Fun9, 179.pdf</w:t>
        </w:r>
      </w:hyperlink>
    </w:p>
    <w:p w:rsidR="00B95188" w:rsidRPr="00A428C3" w:rsidRDefault="00B95188" w:rsidP="00B95188">
      <w:pPr>
        <w:pStyle w:val="a0"/>
      </w:pPr>
      <w:r w:rsidRPr="00A428C3">
        <w:t xml:space="preserve">Abstract: An equation describes the course </w:t>
      </w:r>
      <w:r w:rsidRPr="00A428C3">
        <w:rPr>
          <w:szCs w:val="18"/>
        </w:rPr>
        <w:t xml:space="preserve">of </w:t>
      </w:r>
      <w:r w:rsidRPr="00A428C3">
        <w:t xml:space="preserve">pore-diffusion breakthrough in fixed-bed adsorption in terms </w:t>
      </w:r>
      <w:r w:rsidRPr="00A428C3">
        <w:rPr>
          <w:szCs w:val="18"/>
        </w:rPr>
        <w:t xml:space="preserve">of </w:t>
      </w:r>
      <w:r w:rsidRPr="00A428C3">
        <w:t>bulk concentrations at each point in the bed.</w:t>
      </w:r>
    </w:p>
    <w:p w:rsidR="00B95188" w:rsidRPr="00A428C3" w:rsidRDefault="00B95188" w:rsidP="00B95188">
      <w:pPr>
        <w:pStyle w:val="a0"/>
      </w:pPr>
      <w:r w:rsidRPr="00A428C3">
        <w:t>Cooper, R.S.</w:t>
      </w:r>
      <w:r w:rsidR="00F81221">
        <w:t xml:space="preserve"> and </w:t>
      </w:r>
      <w:r w:rsidRPr="00A428C3">
        <w:t xml:space="preserve">Liberman, D.A. (1970), Fixed-bed adsorption kinetics with pore diffusion control. </w:t>
      </w:r>
      <w:r w:rsidRPr="00A428C3">
        <w:rPr>
          <w:i/>
        </w:rPr>
        <w:t>Industrial</w:t>
      </w:r>
      <w:r w:rsidR="00F81221">
        <w:rPr>
          <w:i/>
        </w:rPr>
        <w:t xml:space="preserve"> and </w:t>
      </w:r>
      <w:r w:rsidRPr="00A428C3">
        <w:rPr>
          <w:i/>
        </w:rPr>
        <w:t>Engineering Chemistry Fundamentals</w:t>
      </w:r>
      <w:r w:rsidRPr="00A428C3">
        <w:t xml:space="preserve">, </w:t>
      </w:r>
      <w:r w:rsidRPr="00A428C3">
        <w:rPr>
          <w:b/>
        </w:rPr>
        <w:t>9</w:t>
      </w:r>
      <w:r w:rsidRPr="00A428C3">
        <w:t xml:space="preserve"> (4), 620-623.</w:t>
      </w:r>
    </w:p>
    <w:p w:rsidR="00B95188" w:rsidRPr="00A428C3" w:rsidRDefault="00B95188" w:rsidP="00B95188">
      <w:pPr>
        <w:pStyle w:val="a0"/>
      </w:pPr>
      <w:r w:rsidRPr="00A428C3">
        <w:t xml:space="preserve">Full Text: </w:t>
      </w:r>
      <w:hyperlink r:id="rId1020" w:history="1">
        <w:r w:rsidRPr="00A428C3">
          <w:rPr>
            <w:rStyle w:val="a5"/>
          </w:rPr>
          <w:t>I\Ind Eng Che Fun9, 620.pdf</w:t>
        </w:r>
      </w:hyperlink>
    </w:p>
    <w:p w:rsidR="00B95188" w:rsidRPr="00A428C3" w:rsidRDefault="00B95188" w:rsidP="00B95188">
      <w:pPr>
        <w:pStyle w:val="a0"/>
      </w:pPr>
      <w:r w:rsidRPr="00A428C3">
        <w:rPr>
          <w:szCs w:val="18"/>
        </w:rPr>
        <w:t xml:space="preserve">Abstract: A </w:t>
      </w:r>
      <w:r w:rsidRPr="00A428C3">
        <w:t xml:space="preserve">general analytic solution has been obtained for the time-dependent behavior of a fixed-bed absorption or ion exchange column under the conditions </w:t>
      </w:r>
      <w:r w:rsidRPr="00A428C3">
        <w:rPr>
          <w:szCs w:val="18"/>
        </w:rPr>
        <w:t xml:space="preserve">of </w:t>
      </w:r>
      <w:r w:rsidRPr="00A428C3">
        <w:t>pore diffusion control</w:t>
      </w:r>
      <w:r w:rsidR="00F81221">
        <w:t xml:space="preserve"> and </w:t>
      </w:r>
      <w:r w:rsidRPr="00A428C3">
        <w:t xml:space="preserve">irreversible equilibrium, without the constant pattern assumption. This is a single dimensionless solution which does not depend explicitly on the column or rate parameters, but only on two dimensionless combinations of them. The constant pattern as calculated by Hall </w:t>
      </w:r>
      <w:r w:rsidRPr="00A428C3">
        <w:rPr>
          <w:szCs w:val="18"/>
        </w:rPr>
        <w:t xml:space="preserve">is </w:t>
      </w:r>
      <w:r w:rsidRPr="00A428C3">
        <w:t>fully developed in a finite time</w:t>
      </w:r>
      <w:r w:rsidR="00F81221">
        <w:t xml:space="preserve"> and </w:t>
      </w:r>
      <w:r w:rsidRPr="00A428C3">
        <w:t>finite column length.</w:t>
      </w:r>
    </w:p>
    <w:p w:rsidR="00B95188" w:rsidRPr="00A428C3" w:rsidRDefault="00B95188" w:rsidP="00B95188">
      <w:pPr>
        <w:pStyle w:val="a0"/>
      </w:pPr>
      <w:r w:rsidRPr="00A428C3">
        <w:t>Colwell, C.J.</w:t>
      </w:r>
      <w:r w:rsidR="00F81221">
        <w:t xml:space="preserve"> and </w:t>
      </w:r>
      <w:r w:rsidRPr="00A428C3">
        <w:t>Dranoff, J.S. (1971), Nonlinear equilibrium</w:t>
      </w:r>
      <w:r w:rsidR="00F81221">
        <w:t xml:space="preserve"> and </w:t>
      </w:r>
      <w:r w:rsidRPr="00A428C3">
        <w:t xml:space="preserve">axial mixing effects in intraparticle diffusion-controlled sorption by ion exchange resin beds: Experimental study. </w:t>
      </w:r>
      <w:r w:rsidRPr="00A428C3">
        <w:rPr>
          <w:i/>
        </w:rPr>
        <w:t>Industrial</w:t>
      </w:r>
      <w:r w:rsidR="00F81221">
        <w:rPr>
          <w:i/>
        </w:rPr>
        <w:t xml:space="preserve"> and </w:t>
      </w:r>
      <w:r w:rsidRPr="00A428C3">
        <w:rPr>
          <w:i/>
        </w:rPr>
        <w:t>Engineering Chemistry Fundamentals</w:t>
      </w:r>
      <w:r w:rsidRPr="00A428C3">
        <w:t xml:space="preserve">, </w:t>
      </w:r>
      <w:r w:rsidRPr="00A428C3">
        <w:rPr>
          <w:b/>
        </w:rPr>
        <w:t>10</w:t>
      </w:r>
      <w:r w:rsidRPr="00A428C3">
        <w:t xml:space="preserve"> (2), 65-70.</w:t>
      </w:r>
    </w:p>
    <w:p w:rsidR="00B95188" w:rsidRPr="00A428C3" w:rsidRDefault="00B95188" w:rsidP="00B95188">
      <w:pPr>
        <w:pStyle w:val="a0"/>
      </w:pPr>
      <w:r w:rsidRPr="00A428C3">
        <w:t xml:space="preserve">Full Text: </w:t>
      </w:r>
      <w:hyperlink r:id="rId1021" w:history="1">
        <w:r w:rsidRPr="00A428C3">
          <w:rPr>
            <w:rStyle w:val="a5"/>
          </w:rPr>
          <w:t>I\Ind Eng Che Fun10, 65.pdf</w:t>
        </w:r>
      </w:hyperlink>
    </w:p>
    <w:p w:rsidR="00B95188" w:rsidRPr="00A428C3" w:rsidRDefault="00B95188" w:rsidP="00B95188">
      <w:pPr>
        <w:pStyle w:val="a0"/>
      </w:pPr>
      <w:r w:rsidRPr="00A428C3">
        <w:t>Abstract: The effects of slightly nonlinear equilibria</w:t>
      </w:r>
      <w:r w:rsidR="00F81221">
        <w:t xml:space="preserve"> and </w:t>
      </w:r>
      <w:r w:rsidRPr="00A428C3">
        <w:t xml:space="preserve">axial dispersion on the performance of a packed bed of ion exchange resin used for the sorption of nonelectrolytes were studied. Experiments with dilute aqueous </w:t>
      </w:r>
      <w:r w:rsidRPr="00A428C3">
        <w:rPr>
          <w:szCs w:val="18"/>
        </w:rPr>
        <w:t>solu</w:t>
      </w:r>
      <w:r w:rsidRPr="00A428C3">
        <w:t>tions of acetone</w:t>
      </w:r>
      <w:r w:rsidR="00F81221">
        <w:t xml:space="preserve"> and </w:t>
      </w:r>
      <w:r w:rsidRPr="00A428C3">
        <w:t xml:space="preserve">ethylene glycol show that these effects lead to false estimates of the intraparticle diffusivity of the solute within the resin beads when a linear model </w:t>
      </w:r>
      <w:r w:rsidRPr="00A428C3">
        <w:rPr>
          <w:szCs w:val="16"/>
        </w:rPr>
        <w:t xml:space="preserve">is </w:t>
      </w:r>
      <w:r w:rsidRPr="00A428C3">
        <w:t>used to analyze the data. However, predictions based on a representative computer model are in close agreement with data.</w:t>
      </w:r>
    </w:p>
    <w:p w:rsidR="00B95188" w:rsidRPr="00A428C3" w:rsidRDefault="00B95188" w:rsidP="00B95188">
      <w:pPr>
        <w:pStyle w:val="a0"/>
      </w:pPr>
      <w:r w:rsidRPr="00A428C3">
        <w:lastRenderedPageBreak/>
        <w:t xml:space="preserve">Bischoff, K.B. (1971), Fixed-bed adsorption kinetics with pore diffusion control. </w:t>
      </w:r>
      <w:r w:rsidRPr="00A428C3">
        <w:rPr>
          <w:i/>
        </w:rPr>
        <w:t>Industrial</w:t>
      </w:r>
      <w:r w:rsidR="00F81221">
        <w:rPr>
          <w:i/>
        </w:rPr>
        <w:t xml:space="preserve"> and </w:t>
      </w:r>
      <w:r w:rsidRPr="00A428C3">
        <w:rPr>
          <w:i/>
        </w:rPr>
        <w:t>Engineering Chemistry Fundamentals</w:t>
      </w:r>
      <w:r w:rsidRPr="00A428C3">
        <w:t xml:space="preserve">, </w:t>
      </w:r>
      <w:r w:rsidRPr="00A428C3">
        <w:rPr>
          <w:b/>
        </w:rPr>
        <w:t>10</w:t>
      </w:r>
      <w:r w:rsidRPr="00A428C3">
        <w:t xml:space="preserve"> (2), 327.</w:t>
      </w:r>
    </w:p>
    <w:p w:rsidR="00B95188" w:rsidRPr="00A428C3" w:rsidRDefault="00B95188" w:rsidP="00B95188">
      <w:pPr>
        <w:pStyle w:val="a0"/>
      </w:pPr>
      <w:r w:rsidRPr="00A428C3">
        <w:t xml:space="preserve">Full Text: </w:t>
      </w:r>
      <w:hyperlink r:id="rId1022" w:history="1">
        <w:r w:rsidRPr="00A428C3">
          <w:rPr>
            <w:rStyle w:val="a5"/>
          </w:rPr>
          <w:t>I\Ind Eng Che Fun10, 327.pdf</w:t>
        </w:r>
      </w:hyperlink>
    </w:p>
    <w:p w:rsidR="00B95188" w:rsidRPr="00A428C3" w:rsidRDefault="00B95188" w:rsidP="00B95188">
      <w:pPr>
        <w:pStyle w:val="a0"/>
      </w:pPr>
      <w:r w:rsidRPr="00A428C3">
        <w:t xml:space="preserve">Cooper, R.S. (1971), Fixed-bed adsorption kinetics with pore diffusion control. </w:t>
      </w:r>
      <w:r w:rsidRPr="00A428C3">
        <w:rPr>
          <w:i/>
        </w:rPr>
        <w:t>Industrial</w:t>
      </w:r>
      <w:r w:rsidR="00F81221">
        <w:rPr>
          <w:i/>
        </w:rPr>
        <w:t xml:space="preserve"> and </w:t>
      </w:r>
      <w:r w:rsidRPr="00A428C3">
        <w:rPr>
          <w:i/>
        </w:rPr>
        <w:t>Engineering Chemistry Fundamentals</w:t>
      </w:r>
      <w:r w:rsidRPr="00A428C3">
        <w:t xml:space="preserve">, </w:t>
      </w:r>
      <w:r w:rsidRPr="00A428C3">
        <w:rPr>
          <w:b/>
        </w:rPr>
        <w:t>10</w:t>
      </w:r>
      <w:r w:rsidRPr="00A428C3">
        <w:t xml:space="preserve"> (2), 328.</w:t>
      </w:r>
    </w:p>
    <w:p w:rsidR="00B95188" w:rsidRPr="00A428C3" w:rsidRDefault="00B95188" w:rsidP="00B95188">
      <w:pPr>
        <w:pStyle w:val="a0"/>
      </w:pPr>
      <w:r w:rsidRPr="00A428C3">
        <w:t xml:space="preserve">Full Text: </w:t>
      </w:r>
      <w:hyperlink r:id="rId1023" w:history="1">
        <w:r w:rsidRPr="00A428C3">
          <w:rPr>
            <w:rStyle w:val="a5"/>
          </w:rPr>
          <w:t>I\Ind Eng Che Fun10, 328.pdf</w:t>
        </w:r>
      </w:hyperlink>
    </w:p>
    <w:p w:rsidR="00B95188" w:rsidRPr="00A428C3" w:rsidRDefault="00B95188" w:rsidP="00B95188">
      <w:pPr>
        <w:pStyle w:val="a0"/>
      </w:pPr>
      <w:r w:rsidRPr="00A428C3">
        <w:t>Cooney, D.O.</w:t>
      </w:r>
      <w:r w:rsidR="00F81221">
        <w:t xml:space="preserve"> and </w:t>
      </w:r>
      <w:bookmarkStart w:id="930" w:name="Strusi"/>
      <w:r w:rsidRPr="00A428C3">
        <w:t>Strusi</w:t>
      </w:r>
      <w:bookmarkEnd w:id="930"/>
      <w:r w:rsidRPr="00A428C3">
        <w:t xml:space="preserve">, F.P. (1972), Analytical description of fixed-bed sorption of two Langmuir solutes under nonequilibrium conditions. </w:t>
      </w:r>
      <w:r w:rsidRPr="00A428C3">
        <w:rPr>
          <w:i/>
        </w:rPr>
        <w:t>Industrial</w:t>
      </w:r>
      <w:r w:rsidR="00F81221">
        <w:rPr>
          <w:i/>
        </w:rPr>
        <w:t xml:space="preserve"> and </w:t>
      </w:r>
      <w:r w:rsidRPr="00A428C3">
        <w:rPr>
          <w:i/>
        </w:rPr>
        <w:t>Engineering Chemistry Fundamentals</w:t>
      </w:r>
      <w:r w:rsidRPr="00A428C3">
        <w:t xml:space="preserve">, </w:t>
      </w:r>
      <w:r w:rsidRPr="00A428C3">
        <w:rPr>
          <w:b/>
        </w:rPr>
        <w:t>11</w:t>
      </w:r>
      <w:r w:rsidRPr="00A428C3">
        <w:t xml:space="preserve"> (1), 123-126.</w:t>
      </w:r>
    </w:p>
    <w:p w:rsidR="00B95188" w:rsidRPr="00A428C3" w:rsidRDefault="00B95188" w:rsidP="00B95188">
      <w:pPr>
        <w:pStyle w:val="a0"/>
      </w:pPr>
      <w:r w:rsidRPr="00A428C3">
        <w:t xml:space="preserve">Full Text: </w:t>
      </w:r>
      <w:hyperlink r:id="rId1024" w:history="1">
        <w:r w:rsidRPr="00A428C3">
          <w:rPr>
            <w:rStyle w:val="a5"/>
          </w:rPr>
          <w:t>I\Ind Eng Che Fun11, 123.pdf</w:t>
        </w:r>
      </w:hyperlink>
    </w:p>
    <w:p w:rsidR="00B95188" w:rsidRPr="00A428C3" w:rsidRDefault="00B95188" w:rsidP="00B95188">
      <w:pPr>
        <w:pStyle w:val="a0"/>
      </w:pPr>
      <w:r w:rsidRPr="00A428C3">
        <w:t xml:space="preserve">Abstract: It </w:t>
      </w:r>
      <w:r w:rsidRPr="00A428C3">
        <w:rPr>
          <w:szCs w:val="16"/>
        </w:rPr>
        <w:t xml:space="preserve">is </w:t>
      </w:r>
      <w:r w:rsidRPr="00A428C3">
        <w:t>shown that the concentration relationship which exists between two Langmuir solutes during nonequilibrium constant-pattern saturation of a sorbent bed is essentially the same as that for equilibrium operationwhen the ratio of the solutes</w:t>
      </w:r>
      <w:r w:rsidR="000352E7">
        <w:t>’</w:t>
      </w:r>
      <w:r w:rsidRPr="00A428C3">
        <w:t xml:space="preserve"> mass transfer coefficients is near unity. Analytical expressions for column concentration profiles, derived using the equilibrium concentration relationship, are presented.</w:t>
      </w:r>
    </w:p>
    <w:p w:rsidR="00B95188" w:rsidRPr="00A428C3" w:rsidRDefault="00B95188" w:rsidP="00B95188">
      <w:pPr>
        <w:pStyle w:val="a0"/>
      </w:pPr>
      <w:r w:rsidRPr="00A428C3">
        <w:t>Notes: IIsotherm; highly cited</w:t>
      </w:r>
    </w:p>
    <w:p w:rsidR="00B95188" w:rsidRPr="00A428C3" w:rsidRDefault="00B95188" w:rsidP="00B95188">
      <w:pPr>
        <w:pStyle w:val="a0"/>
      </w:pPr>
      <w:r w:rsidRPr="00A428C3">
        <w:t>Radke, C.J.</w:t>
      </w:r>
      <w:r w:rsidR="00F81221">
        <w:t xml:space="preserve"> and </w:t>
      </w:r>
      <w:r w:rsidRPr="00A428C3">
        <w:t xml:space="preserve">Prausnitz, J.M. (1972), Adsorption of organic solutes from dilute aqueous solution on activated carbon. </w:t>
      </w:r>
      <w:r w:rsidRPr="00A428C3">
        <w:rPr>
          <w:i/>
        </w:rPr>
        <w:t>Industrial</w:t>
      </w:r>
      <w:r w:rsidR="00F81221">
        <w:rPr>
          <w:i/>
        </w:rPr>
        <w:t xml:space="preserve"> and </w:t>
      </w:r>
      <w:r w:rsidRPr="00A428C3">
        <w:rPr>
          <w:i/>
        </w:rPr>
        <w:t>Engineering Chemistry Fundamentals</w:t>
      </w:r>
      <w:r w:rsidRPr="00A428C3">
        <w:t xml:space="preserve">, </w:t>
      </w:r>
      <w:r w:rsidRPr="00A428C3">
        <w:rPr>
          <w:b/>
        </w:rPr>
        <w:t>11</w:t>
      </w:r>
      <w:r w:rsidRPr="00A428C3">
        <w:t xml:space="preserve"> (4), 445-451.</w:t>
      </w:r>
    </w:p>
    <w:p w:rsidR="00B95188" w:rsidRPr="00A428C3" w:rsidRDefault="00B95188" w:rsidP="00B95188">
      <w:pPr>
        <w:pStyle w:val="a0"/>
      </w:pPr>
      <w:r w:rsidRPr="00A428C3">
        <w:t xml:space="preserve">Full Text: </w:t>
      </w:r>
      <w:hyperlink r:id="rId1025" w:history="1">
        <w:r w:rsidRPr="00A428C3">
          <w:rPr>
            <w:rStyle w:val="a5"/>
          </w:rPr>
          <w:t>I\Ind Eng Che Fun11, 445.pdf</w:t>
        </w:r>
      </w:hyperlink>
    </w:p>
    <w:p w:rsidR="00B95188" w:rsidRPr="00A428C3" w:rsidRDefault="00B95188" w:rsidP="00B95188">
      <w:pPr>
        <w:pStyle w:val="a0"/>
      </w:pPr>
      <w:r w:rsidRPr="00A428C3">
        <w:t>Abstract: Experimental data are reported for adsorption of propionitrile</w:t>
      </w:r>
      <w:r w:rsidR="00F81221">
        <w:t xml:space="preserve"> and </w:t>
      </w:r>
      <w:r w:rsidRPr="00A428C3">
        <w:t>2-propanol from dilute aqueous solution at 0, 25,</w:t>
      </w:r>
      <w:r w:rsidR="00F81221">
        <w:t xml:space="preserve"> and </w:t>
      </w:r>
      <w:smartTag w:uri="urn:schemas-microsoft-com:office:smarttags" w:element="chmetcnv">
        <w:smartTagPr>
          <w:attr w:name="TCSC" w:val="0"/>
          <w:attr w:name="NumberType" w:val="1"/>
          <w:attr w:name="Negative" w:val="False"/>
          <w:attr w:name="HasSpace" w:val="False"/>
          <w:attr w:name="SourceValue" w:val="70"/>
          <w:attr w:name="UnitName" w:val="ﾰC"/>
        </w:smartTagPr>
        <w:r w:rsidRPr="00A428C3">
          <w:t>70°C</w:t>
        </w:r>
      </w:smartTag>
      <w:r w:rsidRPr="00A428C3">
        <w:t>. Acetone, p-cresol,</w:t>
      </w:r>
      <w:r w:rsidR="00F81221">
        <w:t xml:space="preserve"> and </w:t>
      </w:r>
      <w:r w:rsidRPr="00A428C3">
        <w:t xml:space="preserve">p-chlorophenol were studied ut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A428C3">
          <w:t>25°C</w:t>
        </w:r>
      </w:smartTag>
      <w:r w:rsidRPr="00A428C3">
        <w:t xml:space="preserve">. The adsorbent was activated carbon (Filtrasorb 300) with a </w:t>
      </w:r>
      <w:r w:rsidRPr="00A428C3">
        <w:rPr>
          <w:szCs w:val="18"/>
        </w:rPr>
        <w:t xml:space="preserve">BET </w:t>
      </w:r>
      <w:r w:rsidRPr="00A428C3">
        <w:t xml:space="preserve">surface area of </w:t>
      </w:r>
      <w:smartTag w:uri="urn:schemas-microsoft-com:office:smarttags" w:element="chmetcnv">
        <w:smartTagPr>
          <w:attr w:name="TCSC" w:val="0"/>
          <w:attr w:name="NumberType" w:val="1"/>
          <w:attr w:name="Negative" w:val="False"/>
          <w:attr w:name="HasSpace" w:val="True"/>
          <w:attr w:name="SourceValue" w:val="1000"/>
          <w:attr w:name="UnitName" w:val="m2"/>
        </w:smartTagPr>
        <w:r w:rsidRPr="00A428C3">
          <w:t>1000 m</w:t>
        </w:r>
        <w:r w:rsidRPr="00A428C3">
          <w:rPr>
            <w:vertAlign w:val="superscript"/>
          </w:rPr>
          <w:t>2</w:t>
        </w:r>
      </w:smartTag>
      <w:r w:rsidRPr="00A428C3">
        <w:t xml:space="preserve">/g. The data cover a concentration range from </w:t>
      </w:r>
      <w:r w:rsidRPr="00A428C3">
        <w:rPr>
          <w:szCs w:val="18"/>
        </w:rPr>
        <w:t>10</w:t>
      </w:r>
      <w:r w:rsidRPr="00A428C3">
        <w:rPr>
          <w:vertAlign w:val="superscript"/>
        </w:rPr>
        <w:t>-5</w:t>
      </w:r>
      <w:r w:rsidRPr="00A428C3">
        <w:rPr>
          <w:i/>
          <w:iCs/>
        </w:rPr>
        <w:t xml:space="preserve"> </w:t>
      </w:r>
      <w:r w:rsidRPr="00A428C3">
        <w:t>to 10</w:t>
      </w:r>
      <w:smartTag w:uri="urn:schemas-microsoft-com:office:smarttags" w:element="chmetcnv">
        <w:smartTagPr>
          <w:attr w:name="TCSC" w:val="0"/>
          <w:attr w:name="NumberType" w:val="1"/>
          <w:attr w:name="Negative" w:val="True"/>
          <w:attr w:name="HasSpace" w:val="True"/>
          <w:attr w:name="SourceValue" w:val="1"/>
          <w:attr w:name="UnitName" w:val="m"/>
        </w:smartTagPr>
        <w:r w:rsidRPr="00A428C3">
          <w:rPr>
            <w:vertAlign w:val="superscript"/>
          </w:rPr>
          <w:t>-1</w:t>
        </w:r>
        <w:r w:rsidRPr="00A428C3">
          <w:t xml:space="preserve"> M</w:t>
        </w:r>
      </w:smartTag>
      <w:r w:rsidRPr="00A428C3">
        <w:t>. p-Cresol</w:t>
      </w:r>
      <w:r w:rsidR="00F81221">
        <w:t xml:space="preserve"> and </w:t>
      </w:r>
      <w:r w:rsidRPr="00A428C3">
        <w:t xml:space="preserve">p-chlorophenol are adsorbed much more strongly than any of the other organic solutes. A new three-parameter empirical equation </w:t>
      </w:r>
      <w:r w:rsidRPr="00A428C3">
        <w:rPr>
          <w:szCs w:val="17"/>
        </w:rPr>
        <w:t xml:space="preserve">is </w:t>
      </w:r>
      <w:r w:rsidRPr="00A428C3">
        <w:t xml:space="preserve">successful for fitting the isotherms over the entire concentration range. </w:t>
      </w:r>
      <w:r w:rsidRPr="00A428C3">
        <w:rPr>
          <w:szCs w:val="18"/>
        </w:rPr>
        <w:t xml:space="preserve">The </w:t>
      </w:r>
      <w:r w:rsidRPr="00A428C3">
        <w:t>experimental results are used to establish a semiquantitative corresponding-states correlation.</w:t>
      </w:r>
    </w:p>
    <w:p w:rsidR="00B95188" w:rsidRPr="00A428C3" w:rsidRDefault="00B95188" w:rsidP="00B95188">
      <w:pPr>
        <w:pStyle w:val="a0"/>
      </w:pPr>
      <w:r w:rsidRPr="00A428C3">
        <w:t>Fleck, R.D., Kirwan, D.J.</w:t>
      </w:r>
      <w:r w:rsidR="00F81221">
        <w:t xml:space="preserve"> and </w:t>
      </w:r>
      <w:r w:rsidRPr="00A428C3">
        <w:t xml:space="preserve">Hall, K.R. (1973), Mixed-resistance diffusion kinetics in fixed-bed adsorption under constant pattern conditions. </w:t>
      </w:r>
      <w:r w:rsidRPr="00A428C3">
        <w:rPr>
          <w:i/>
        </w:rPr>
        <w:t>Industrial</w:t>
      </w:r>
      <w:r w:rsidR="00F81221">
        <w:rPr>
          <w:i/>
        </w:rPr>
        <w:t xml:space="preserve"> and </w:t>
      </w:r>
      <w:r w:rsidRPr="00A428C3">
        <w:rPr>
          <w:i/>
        </w:rPr>
        <w:t>Engineering Chemistry Fundamentals</w:t>
      </w:r>
      <w:r w:rsidRPr="00A428C3">
        <w:t xml:space="preserve">, </w:t>
      </w:r>
      <w:r w:rsidRPr="00A428C3">
        <w:rPr>
          <w:b/>
        </w:rPr>
        <w:t>12</w:t>
      </w:r>
      <w:r w:rsidRPr="00A428C3">
        <w:t xml:space="preserve"> (1), 95-99.</w:t>
      </w:r>
    </w:p>
    <w:p w:rsidR="00B95188" w:rsidRPr="00A428C3" w:rsidRDefault="00B95188" w:rsidP="00B95188">
      <w:pPr>
        <w:pStyle w:val="a0"/>
      </w:pPr>
      <w:r w:rsidRPr="00A428C3">
        <w:t xml:space="preserve">Full Text: </w:t>
      </w:r>
      <w:hyperlink r:id="rId1026" w:history="1">
        <w:r w:rsidRPr="00A428C3">
          <w:rPr>
            <w:rStyle w:val="a5"/>
          </w:rPr>
          <w:t>I\Ind Eng Che Fun12, 95.pdf</w:t>
        </w:r>
      </w:hyperlink>
    </w:p>
    <w:p w:rsidR="00B95188" w:rsidRPr="00A428C3" w:rsidRDefault="00B95188" w:rsidP="00B95188">
      <w:pPr>
        <w:pStyle w:val="a0"/>
      </w:pPr>
      <w:r w:rsidRPr="00A428C3">
        <w:t>Abstract: Numerical solutions of the equations describing adsorption (or ion exchange) in fixed-bed columns are presented for various combinations of mass-transfer resistances under constant pattern conditions. Breakthrough curves have been developed for pore, solid,</w:t>
      </w:r>
      <w:r w:rsidR="00F81221">
        <w:t xml:space="preserve"> and </w:t>
      </w:r>
      <w:r w:rsidRPr="00A428C3">
        <w:t>external diffusion acting separately</w:t>
      </w:r>
      <w:r w:rsidR="00F81221">
        <w:t xml:space="preserve"> and </w:t>
      </w:r>
      <w:r w:rsidRPr="00A428C3">
        <w:t>in combination for adsorption equilibrium described by the Langmuir or Freundlich isotherms.</w:t>
      </w:r>
    </w:p>
    <w:p w:rsidR="00B95188" w:rsidRPr="00A428C3" w:rsidRDefault="00B95188" w:rsidP="00B95188">
      <w:pPr>
        <w:pStyle w:val="a0"/>
      </w:pPr>
      <w:r w:rsidRPr="00A428C3">
        <w:lastRenderedPageBreak/>
        <w:t>Furusawa, T.</w:t>
      </w:r>
      <w:r w:rsidR="00F81221">
        <w:t xml:space="preserve"> and </w:t>
      </w:r>
      <w:r w:rsidRPr="00A428C3">
        <w:t>Smith, J.M. (1973), Fluid-particle</w:t>
      </w:r>
      <w:r w:rsidR="00F81221">
        <w:t xml:space="preserve"> and </w:t>
      </w:r>
      <w:r w:rsidRPr="00A428C3">
        <w:t xml:space="preserve">intraparticle mass transport rates in slurries. </w:t>
      </w:r>
      <w:r w:rsidRPr="00A428C3">
        <w:rPr>
          <w:i/>
        </w:rPr>
        <w:t>Industrial</w:t>
      </w:r>
      <w:r w:rsidR="00F81221">
        <w:rPr>
          <w:i/>
        </w:rPr>
        <w:t xml:space="preserve"> and </w:t>
      </w:r>
      <w:r w:rsidRPr="00A428C3">
        <w:rPr>
          <w:i/>
        </w:rPr>
        <w:t>Engineering Chemistry Fundamentals</w:t>
      </w:r>
      <w:r w:rsidRPr="00A428C3">
        <w:t xml:space="preserve">, </w:t>
      </w:r>
      <w:r w:rsidRPr="00A428C3">
        <w:rPr>
          <w:b/>
        </w:rPr>
        <w:t>12</w:t>
      </w:r>
      <w:r w:rsidRPr="00A428C3">
        <w:t xml:space="preserve"> (2), 197-203.</w:t>
      </w:r>
    </w:p>
    <w:p w:rsidR="00B95188" w:rsidRPr="00A428C3" w:rsidRDefault="00B95188" w:rsidP="00B95188">
      <w:pPr>
        <w:pStyle w:val="a0"/>
      </w:pPr>
      <w:bookmarkStart w:id="931" w:name="Clifford"/>
      <w:r w:rsidRPr="00A428C3">
        <w:t xml:space="preserve">Full Text: </w:t>
      </w:r>
      <w:hyperlink r:id="rId1027" w:history="1">
        <w:r w:rsidRPr="00A428C3">
          <w:rPr>
            <w:rStyle w:val="a5"/>
          </w:rPr>
          <w:t>I\Ind Eng Che Fun12, 197.pdf</w:t>
        </w:r>
      </w:hyperlink>
    </w:p>
    <w:p w:rsidR="00B95188" w:rsidRPr="00A428C3" w:rsidRDefault="00B95188" w:rsidP="00B95188">
      <w:pPr>
        <w:pStyle w:val="a0"/>
      </w:pPr>
      <w:r w:rsidRPr="00A428C3">
        <w:t>Abstract: Fluid-particle</w:t>
      </w:r>
      <w:r w:rsidR="00F81221">
        <w:t xml:space="preserve"> and </w:t>
      </w:r>
      <w:r w:rsidRPr="00A428C3">
        <w:t xml:space="preserve">intraparticle mass transport rates were measured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A428C3">
          <w:rPr>
            <w:szCs w:val="22"/>
          </w:rPr>
          <w:t>25°C</w:t>
        </w:r>
      </w:smartTag>
      <w:r w:rsidR="00F81221">
        <w:rPr>
          <w:szCs w:val="22"/>
        </w:rPr>
        <w:t xml:space="preserve"> and </w:t>
      </w:r>
      <w:r w:rsidRPr="00A428C3">
        <w:t xml:space="preserve">1 atm pressure for the adsorption of benzene in aqueous slurries </w:t>
      </w:r>
      <w:r w:rsidRPr="00A428C3">
        <w:rPr>
          <w:szCs w:val="18"/>
        </w:rPr>
        <w:t xml:space="preserve">of </w:t>
      </w:r>
      <w:r w:rsidRPr="00A428C3">
        <w:t xml:space="preserve">activated carbon. The effects </w:t>
      </w:r>
      <w:r w:rsidRPr="00A428C3">
        <w:rPr>
          <w:szCs w:val="18"/>
        </w:rPr>
        <w:t xml:space="preserve">of </w:t>
      </w:r>
      <w:r w:rsidRPr="00A428C3">
        <w:t xml:space="preserve">particle size (1 61-91 2 </w:t>
      </w:r>
      <w:r w:rsidRPr="00A428C3">
        <w:rPr>
          <w:i/>
          <w:iCs/>
          <w:szCs w:val="16"/>
        </w:rPr>
        <w:t>p)</w:t>
      </w:r>
      <w:r w:rsidR="00F81221">
        <w:rPr>
          <w:i/>
          <w:iCs/>
          <w:szCs w:val="16"/>
        </w:rPr>
        <w:t xml:space="preserve"> and </w:t>
      </w:r>
      <w:r w:rsidRPr="00A428C3">
        <w:t xml:space="preserve">stirrer speed on the fluid-particle mass transfer coefficient, </w:t>
      </w:r>
      <w:r w:rsidRPr="00A428C3">
        <w:rPr>
          <w:szCs w:val="21"/>
        </w:rPr>
        <w:t xml:space="preserve">k,, </w:t>
      </w:r>
      <w:r w:rsidRPr="00A428C3">
        <w:t>were well correlated using a Reynolds number based upon the energy dissipation rate per unit mass of water in the slurry. These results agreed reasonably well with literature data obtained from dissolution experiments. The experimental results strongly indicated that intraparticle diffusion had a retarding effect on the adsorption rate. However, effective diffusivities for the liquid-filled pores were much larger than values predicted from the molecular diffusivity of benzene in water using a normal tortuosity factor. Assuming that surface migration explains this discrepancy, a surface diffusivity of about 0.6</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8"/>
          <w:attr w:name="UnitName" w:val="cm"/>
        </w:smartTagPr>
        <w:r w:rsidRPr="00A428C3">
          <w:rPr>
            <w:vertAlign w:val="superscript"/>
          </w:rPr>
          <w:t>-8</w:t>
        </w:r>
        <w:r w:rsidRPr="00A428C3">
          <w:t xml:space="preserve"> </w:t>
        </w:r>
        <w:r w:rsidRPr="00A428C3">
          <w:rPr>
            <w:szCs w:val="16"/>
          </w:rPr>
          <w:t>cm</w:t>
        </w:r>
      </w:smartTag>
      <w:r w:rsidRPr="00A428C3">
        <w:rPr>
          <w:szCs w:val="16"/>
          <w:vertAlign w:val="superscript"/>
        </w:rPr>
        <w:t>2</w:t>
      </w:r>
      <w:r w:rsidRPr="00A428C3">
        <w:rPr>
          <w:szCs w:val="16"/>
        </w:rPr>
        <w:t xml:space="preserve">/sec </w:t>
      </w:r>
      <w:r w:rsidRPr="00A428C3">
        <w:t>was obtained.</w:t>
      </w:r>
    </w:p>
    <w:p w:rsidR="00B95188" w:rsidRPr="00A428C3" w:rsidRDefault="00B95188" w:rsidP="00B95188">
      <w:pPr>
        <w:pStyle w:val="a0"/>
      </w:pPr>
      <w:r w:rsidRPr="00A428C3">
        <w:t>? Furusawa, T.</w:t>
      </w:r>
      <w:r w:rsidR="00F81221">
        <w:t xml:space="preserve"> and </w:t>
      </w:r>
      <w:r w:rsidRPr="00A428C3">
        <w:t xml:space="preserve">Smith, J.M. (1973), Mass-transfer rates in slurries by chromatography. </w:t>
      </w:r>
      <w:r w:rsidRPr="00A428C3">
        <w:rPr>
          <w:i/>
        </w:rPr>
        <w:t>Industrial</w:t>
      </w:r>
      <w:r w:rsidR="00F81221">
        <w:rPr>
          <w:i/>
        </w:rPr>
        <w:t xml:space="preserve"> and </w:t>
      </w:r>
      <w:r w:rsidRPr="00A428C3">
        <w:rPr>
          <w:i/>
        </w:rPr>
        <w:t>Engineering Chemistry Fundamentals</w:t>
      </w:r>
      <w:r w:rsidRPr="00A428C3">
        <w:t xml:space="preserve">, </w:t>
      </w:r>
      <w:r w:rsidRPr="00A428C3">
        <w:rPr>
          <w:b/>
        </w:rPr>
        <w:t>12</w:t>
      </w:r>
      <w:r w:rsidRPr="00A428C3">
        <w:t xml:space="preserve"> (3), 360-364.</w:t>
      </w:r>
    </w:p>
    <w:p w:rsidR="00B95188" w:rsidRPr="00A428C3" w:rsidRDefault="00B95188" w:rsidP="00B95188">
      <w:pPr>
        <w:pStyle w:val="a0"/>
      </w:pPr>
      <w:r w:rsidRPr="00A428C3">
        <w:t xml:space="preserve">Full Text: </w:t>
      </w:r>
      <w:hyperlink r:id="rId1028" w:history="1">
        <w:r w:rsidRPr="00A428C3">
          <w:rPr>
            <w:rStyle w:val="a5"/>
          </w:rPr>
          <w:t>1960-80\Ind Eng Che Fun12, 360.pdf</w:t>
        </w:r>
      </w:hyperlink>
    </w:p>
    <w:p w:rsidR="00B95188" w:rsidRPr="00A428C3" w:rsidRDefault="00B95188" w:rsidP="00B95188">
      <w:pPr>
        <w:pStyle w:val="a0"/>
      </w:pPr>
      <w:r w:rsidRPr="00A428C3">
        <w:t>Abstract: Equations are derived for response curves to pulse inputs of tracer into a well-mixed slurry adsorber. This gives relations between the rate parameters for mass transfer</w:t>
      </w:r>
      <w:r w:rsidR="00F81221">
        <w:t xml:space="preserve"> and </w:t>
      </w:r>
      <w:r w:rsidRPr="00A428C3">
        <w:t>adsorption</w:t>
      </w:r>
      <w:r w:rsidR="00F81221">
        <w:t xml:space="preserve"> and </w:t>
      </w:r>
      <w:r w:rsidRPr="00A428C3">
        <w:t>the moments of the experimentally measurable response curves. The results provide a method for measuring rate parameters in slurry systems. The method is illustrated by evaluating fluid-to-particle mass transfer coefficients from experimental data for the adsorption of benzaldehyde in slurries of activated carbon particles.</w:t>
      </w:r>
    </w:p>
    <w:p w:rsidR="00B95188" w:rsidRPr="00A428C3" w:rsidRDefault="00B95188" w:rsidP="00B95188">
      <w:pPr>
        <w:pStyle w:val="a0"/>
      </w:pPr>
      <w:r w:rsidRPr="00A428C3">
        <w:t>? Furusawa, T.</w:t>
      </w:r>
      <w:r w:rsidR="00F81221">
        <w:t xml:space="preserve"> and </w:t>
      </w:r>
      <w:r w:rsidRPr="00A428C3">
        <w:t xml:space="preserve">Smith, J.M. (1973), Dynamics of packed-bed adsorbers using cell model. </w:t>
      </w:r>
      <w:r w:rsidRPr="00A428C3">
        <w:rPr>
          <w:i/>
        </w:rPr>
        <w:t>Industrial</w:t>
      </w:r>
      <w:r w:rsidR="00F81221">
        <w:rPr>
          <w:i/>
        </w:rPr>
        <w:t xml:space="preserve"> and </w:t>
      </w:r>
      <w:r w:rsidRPr="00A428C3">
        <w:rPr>
          <w:i/>
        </w:rPr>
        <w:t>Engineering Chemistry Fundamentals</w:t>
      </w:r>
      <w:r w:rsidRPr="00A428C3">
        <w:t xml:space="preserve">, </w:t>
      </w:r>
      <w:r w:rsidRPr="00A428C3">
        <w:rPr>
          <w:b/>
        </w:rPr>
        <w:t>12</w:t>
      </w:r>
      <w:r w:rsidRPr="00A428C3">
        <w:t xml:space="preserve"> (3), 388-389.</w:t>
      </w:r>
    </w:p>
    <w:p w:rsidR="00B95188" w:rsidRPr="00A428C3" w:rsidRDefault="00B95188" w:rsidP="00B95188">
      <w:pPr>
        <w:pStyle w:val="a0"/>
      </w:pPr>
      <w:r w:rsidRPr="00A428C3">
        <w:t xml:space="preserve">Full Text: </w:t>
      </w:r>
      <w:hyperlink r:id="rId1029" w:history="1">
        <w:r w:rsidRPr="00A428C3">
          <w:rPr>
            <w:rStyle w:val="a5"/>
          </w:rPr>
          <w:t>1960-80\Ind Eng Che Fun12, 388.pdf</w:t>
        </w:r>
      </w:hyperlink>
    </w:p>
    <w:p w:rsidR="00B95188" w:rsidRPr="00A428C3" w:rsidRDefault="00B95188" w:rsidP="00B95188">
      <w:pPr>
        <w:pStyle w:val="a0"/>
      </w:pPr>
      <w:r w:rsidRPr="00A428C3">
        <w:t>Abstract: Analysis of response curves to a pulse input provides a method of studying rate parameters in packed beds. The cell model of Deans</w:t>
      </w:r>
      <w:r w:rsidR="00F81221">
        <w:t xml:space="preserve"> and </w:t>
      </w:r>
      <w:r w:rsidRPr="00A428C3">
        <w:t>Lapidus is used here to derive relations between the moments of the response curves</w:t>
      </w:r>
      <w:r w:rsidR="00F81221">
        <w:t xml:space="preserve"> and </w:t>
      </w:r>
      <w:r w:rsidRPr="00A428C3">
        <w:t>the equilibrium</w:t>
      </w:r>
      <w:r w:rsidR="00F81221">
        <w:t xml:space="preserve"> and </w:t>
      </w:r>
      <w:r w:rsidRPr="00A428C3">
        <w:t>transporl rate coefficients for a packed-bed adsorber. The relations, which are restricted to linear adsorption rates, are obtained by adapting moment equations for a well-mixed slurry to each cell of the packed bed. When the Peclet number representing axial mixing in the void spaces is 2, the moment equations based upon the axial dispersion</w:t>
      </w:r>
      <w:r w:rsidR="00F81221">
        <w:t xml:space="preserve"> and </w:t>
      </w:r>
      <w:r w:rsidRPr="00A428C3">
        <w:t>cell models become identical.</w:t>
      </w:r>
    </w:p>
    <w:p w:rsidR="00B95188" w:rsidRPr="00A428C3" w:rsidRDefault="00B95188" w:rsidP="00B95188">
      <w:pPr>
        <w:pStyle w:val="a0"/>
      </w:pPr>
      <w:r w:rsidRPr="00A428C3">
        <w:t>Kočiřík, M., Zikánová, A.</w:t>
      </w:r>
      <w:r w:rsidR="00F81221">
        <w:t xml:space="preserve"> and </w:t>
      </w:r>
      <w:r w:rsidRPr="00A428C3">
        <w:t xml:space="preserve">Dubský, J. (1973), Numerical solution of adsorption </w:t>
      </w:r>
      <w:r w:rsidRPr="00A428C3">
        <w:lastRenderedPageBreak/>
        <w:t xml:space="preserve">kinetics with a nonlinear isotherm. </w:t>
      </w:r>
      <w:r w:rsidRPr="00A428C3">
        <w:rPr>
          <w:i/>
        </w:rPr>
        <w:t>Industrial</w:t>
      </w:r>
      <w:r w:rsidR="00F81221">
        <w:rPr>
          <w:i/>
        </w:rPr>
        <w:t xml:space="preserve"> and </w:t>
      </w:r>
      <w:r w:rsidRPr="00A428C3">
        <w:rPr>
          <w:i/>
        </w:rPr>
        <w:t>Engineering Chemistry Fundamentals</w:t>
      </w:r>
      <w:r w:rsidRPr="00A428C3">
        <w:t xml:space="preserve">, </w:t>
      </w:r>
      <w:r w:rsidRPr="00A428C3">
        <w:rPr>
          <w:b/>
        </w:rPr>
        <w:t>12</w:t>
      </w:r>
      <w:r w:rsidRPr="00A428C3">
        <w:t xml:space="preserve"> (4), 440-443.</w:t>
      </w:r>
    </w:p>
    <w:p w:rsidR="00B95188" w:rsidRPr="00A428C3" w:rsidRDefault="00B95188" w:rsidP="00B95188">
      <w:pPr>
        <w:pStyle w:val="a0"/>
      </w:pPr>
      <w:r w:rsidRPr="00A428C3">
        <w:t xml:space="preserve">Full Text: </w:t>
      </w:r>
      <w:hyperlink r:id="rId1030" w:history="1">
        <w:r w:rsidRPr="00A428C3">
          <w:rPr>
            <w:rStyle w:val="a5"/>
          </w:rPr>
          <w:t>I\Ind Eng Che Fun12, 440.pdf</w:t>
        </w:r>
      </w:hyperlink>
    </w:p>
    <w:p w:rsidR="00B95188" w:rsidRPr="00A428C3" w:rsidRDefault="00B95188" w:rsidP="00B95188">
      <w:pPr>
        <w:pStyle w:val="a0"/>
      </w:pPr>
      <w:r w:rsidRPr="00A428C3">
        <w:t xml:space="preserve">Abstract: </w:t>
      </w:r>
      <w:r w:rsidRPr="00A428C3">
        <w:rPr>
          <w:szCs w:val="18"/>
        </w:rPr>
        <w:t xml:space="preserve">A </w:t>
      </w:r>
      <w:r w:rsidRPr="00A428C3">
        <w:rPr>
          <w:szCs w:val="16"/>
        </w:rPr>
        <w:t xml:space="preserve">numerical solution of the sorption kinetics is presented for a sorbent particle of plane geometry. Sorption kinetics is treated as a diffusional process. Equilibrium is represented by the Langmuir isotherm equation. Results are compared with the approximate solution obtained by replacing the Langmuir isotherm by its tangents. </w:t>
      </w:r>
      <w:r w:rsidRPr="00A428C3">
        <w:rPr>
          <w:szCs w:val="18"/>
        </w:rPr>
        <w:t xml:space="preserve">It </w:t>
      </w:r>
      <w:r w:rsidRPr="00A428C3">
        <w:rPr>
          <w:szCs w:val="16"/>
        </w:rPr>
        <w:t xml:space="preserve">is shown that, even with the nonlinear adsorption isotherm, the </w:t>
      </w:r>
      <w:r w:rsidRPr="00A428C3">
        <w:rPr>
          <w:i/>
          <w:iCs/>
          <w:szCs w:val="23"/>
        </w:rPr>
        <w:t xml:space="preserve">z / i </w:t>
      </w:r>
      <w:r w:rsidRPr="00A428C3">
        <w:rPr>
          <w:szCs w:val="16"/>
        </w:rPr>
        <w:t xml:space="preserve">law is preserved. </w:t>
      </w:r>
      <w:r w:rsidRPr="00A428C3">
        <w:rPr>
          <w:szCs w:val="18"/>
        </w:rPr>
        <w:t xml:space="preserve">An </w:t>
      </w:r>
      <w:r w:rsidRPr="00A428C3">
        <w:rPr>
          <w:szCs w:val="16"/>
        </w:rPr>
        <w:t>empirical relation was found between the first statistical moment of the kinetic curve</w:t>
      </w:r>
      <w:r w:rsidR="00F81221">
        <w:rPr>
          <w:szCs w:val="16"/>
        </w:rPr>
        <w:t xml:space="preserve"> and </w:t>
      </w:r>
      <w:r w:rsidRPr="00A428C3">
        <w:rPr>
          <w:szCs w:val="16"/>
        </w:rPr>
        <w:t>ihe curvature of the isotherm.</w:t>
      </w:r>
    </w:p>
    <w:p w:rsidR="00B95188" w:rsidRPr="00A428C3" w:rsidRDefault="00B95188" w:rsidP="00B95188">
      <w:pPr>
        <w:pStyle w:val="a0"/>
      </w:pPr>
      <w:r w:rsidRPr="00A428C3">
        <w:t>? Komiyama, H., Furusawa, T.</w:t>
      </w:r>
      <w:r w:rsidR="00F81221">
        <w:t xml:space="preserve"> and </w:t>
      </w:r>
      <w:r w:rsidRPr="00A428C3">
        <w:t xml:space="preserve">Smith, J.M. (1974), Effectiveness factors for adsorption in slurries. </w:t>
      </w:r>
      <w:r w:rsidRPr="00A428C3">
        <w:rPr>
          <w:i/>
        </w:rPr>
        <w:t>Industrial</w:t>
      </w:r>
      <w:r w:rsidR="00F81221">
        <w:rPr>
          <w:i/>
        </w:rPr>
        <w:t xml:space="preserve"> and </w:t>
      </w:r>
      <w:r w:rsidRPr="00A428C3">
        <w:rPr>
          <w:i/>
        </w:rPr>
        <w:t>Engineering Chemistry Fundamentals</w:t>
      </w:r>
      <w:r w:rsidRPr="00A428C3">
        <w:t xml:space="preserve">, </w:t>
      </w:r>
      <w:r w:rsidRPr="00A428C3">
        <w:rPr>
          <w:b/>
        </w:rPr>
        <w:t>13</w:t>
      </w:r>
      <w:r w:rsidRPr="00A428C3">
        <w:t xml:space="preserve"> (3), 293-296.</w:t>
      </w:r>
    </w:p>
    <w:p w:rsidR="00B95188" w:rsidRPr="00A428C3" w:rsidRDefault="00B95188" w:rsidP="00B95188">
      <w:pPr>
        <w:pStyle w:val="a0"/>
      </w:pPr>
      <w:r w:rsidRPr="00A428C3">
        <w:t xml:space="preserve">Full Text: </w:t>
      </w:r>
      <w:hyperlink r:id="rId1031" w:history="1">
        <w:r w:rsidRPr="00A428C3">
          <w:rPr>
            <w:rStyle w:val="a5"/>
          </w:rPr>
          <w:t>1960-80\Ind Eng Che Fun13, 293.pdf</w:t>
        </w:r>
      </w:hyperlink>
    </w:p>
    <w:p w:rsidR="00B95188" w:rsidRPr="00A428C3" w:rsidRDefault="00B95188" w:rsidP="00B95188">
      <w:pPr>
        <w:pStyle w:val="a0"/>
      </w:pPr>
      <w:r w:rsidRPr="00A428C3">
        <w:t>Abstract: For transient adsorption processes carried out in slurry adsorbers, both fluid-particle</w:t>
      </w:r>
      <w:r w:rsidR="00F81221">
        <w:t xml:space="preserve"> and </w:t>
      </w:r>
      <w:r w:rsidRPr="00A428C3">
        <w:t xml:space="preserve">intraparticle mass transport may retard the rate. It is shown that a time-dependent effectiveness factor can be simply expressed in terms of a diffusion parameter, </w:t>
      </w:r>
      <w:r w:rsidRPr="00A428C3">
        <w:rPr>
          <w:i/>
          <w:iCs/>
        </w:rPr>
        <w:t xml:space="preserve">ksR/De, </w:t>
      </w:r>
      <w:r w:rsidRPr="00A428C3">
        <w:t>a final fraction of an adsorbate remaining in the fluid phase,</w:t>
      </w:r>
      <w:r w:rsidR="00F81221">
        <w:t xml:space="preserve"> and </w:t>
      </w:r>
      <w:r w:rsidRPr="00A428C3">
        <w:t>a dimensionless time, provided that the adsorption isotherm is linear. The result should be helpful for rapid estimates of the relative importance of these two transport resistances.</w:t>
      </w:r>
    </w:p>
    <w:p w:rsidR="00B95188" w:rsidRPr="00A428C3" w:rsidRDefault="00B95188" w:rsidP="00B95188">
      <w:pPr>
        <w:pStyle w:val="a0"/>
      </w:pPr>
      <w:r w:rsidRPr="00A428C3">
        <w:t>Kocirik, M.</w:t>
      </w:r>
      <w:r w:rsidR="00F81221">
        <w:t xml:space="preserve"> and </w:t>
      </w:r>
      <w:r w:rsidRPr="00A428C3">
        <w:t xml:space="preserve">Zikanova, A. (1974), The analysis of adsorption-kinetics in materials with polydisperse pore structure. </w:t>
      </w:r>
      <w:r w:rsidRPr="00A428C3">
        <w:rPr>
          <w:i/>
        </w:rPr>
        <w:t>Industrial</w:t>
      </w:r>
      <w:r w:rsidR="00F81221">
        <w:rPr>
          <w:i/>
        </w:rPr>
        <w:t xml:space="preserve"> and </w:t>
      </w:r>
      <w:r w:rsidRPr="00A428C3">
        <w:rPr>
          <w:i/>
        </w:rPr>
        <w:t>Engineering Chemistry Fundamentals</w:t>
      </w:r>
      <w:r w:rsidRPr="00A428C3">
        <w:t xml:space="preserve">, </w:t>
      </w:r>
      <w:r w:rsidRPr="00A428C3">
        <w:rPr>
          <w:b/>
        </w:rPr>
        <w:t>13</w:t>
      </w:r>
      <w:r w:rsidRPr="00A428C3">
        <w:t xml:space="preserve"> (4), 347-350.</w:t>
      </w:r>
    </w:p>
    <w:p w:rsidR="00B95188" w:rsidRPr="00A428C3" w:rsidRDefault="00B95188" w:rsidP="00B95188">
      <w:pPr>
        <w:pStyle w:val="a0"/>
      </w:pPr>
      <w:r w:rsidRPr="00A428C3">
        <w:t xml:space="preserve">Full Text: </w:t>
      </w:r>
      <w:hyperlink r:id="rId1032" w:history="1">
        <w:r w:rsidRPr="00A428C3">
          <w:rPr>
            <w:rStyle w:val="a5"/>
          </w:rPr>
          <w:t>I\Ind Eng Che Fun13, 347.pdf</w:t>
        </w:r>
      </w:hyperlink>
    </w:p>
    <w:p w:rsidR="00B95188" w:rsidRPr="00A428C3" w:rsidRDefault="00B95188" w:rsidP="00B95188">
      <w:pPr>
        <w:pStyle w:val="a0"/>
      </w:pPr>
      <w:r w:rsidRPr="00A428C3">
        <w:t>Abstract: A model of unsteady mass transport within a polydisperse pore adsorbent is developed. The expression for the first statistical moment of kinetic curves is derived for three geometrical forms of the adsorbent particle</w:t>
      </w:r>
      <w:r w:rsidR="00F81221">
        <w:t xml:space="preserve"> and </w:t>
      </w:r>
      <w:r w:rsidRPr="00A428C3">
        <w:t xml:space="preserve">consists at least of two terms. The first one depends on the square </w:t>
      </w:r>
      <w:r w:rsidRPr="00A428C3">
        <w:rPr>
          <w:szCs w:val="17"/>
        </w:rPr>
        <w:t xml:space="preserve">of </w:t>
      </w:r>
      <w:r w:rsidRPr="00A428C3">
        <w:t>the characteristic dimension of the adsorbent particle</w:t>
      </w:r>
      <w:r w:rsidR="00F81221">
        <w:t xml:space="preserve"> and </w:t>
      </w:r>
      <w:r w:rsidRPr="00A428C3">
        <w:t>characterizes the mass transport rate within the space of macroporosity. The second term is independent of the dimension of the adsorbent particle</w:t>
      </w:r>
      <w:r w:rsidR="00F81221">
        <w:t xml:space="preserve"> and </w:t>
      </w:r>
      <w:r w:rsidRPr="00A428C3">
        <w:t>characterizes the rate mechanism in the space of microporosity. The treatment was applied to the kinetic experiments performed in the system benzene vapor-active charcoal. The analysis suggests that the overall kinetics is controlled by the rate processes in macroporosity</w:t>
      </w:r>
      <w:r w:rsidR="00F81221">
        <w:t xml:space="preserve"> and </w:t>
      </w:r>
      <w:r w:rsidRPr="00A428C3">
        <w:t>microporosity simultaneously.</w:t>
      </w:r>
    </w:p>
    <w:bookmarkEnd w:id="931"/>
    <w:p w:rsidR="00B95188" w:rsidRPr="00A428C3" w:rsidRDefault="00B95188" w:rsidP="00B95188">
      <w:pPr>
        <w:pStyle w:val="a0"/>
      </w:pPr>
      <w:r w:rsidRPr="00A428C3">
        <w:t xml:space="preserve">Clifford, D. (1982), </w:t>
      </w:r>
      <w:bookmarkStart w:id="932" w:name="multicomponent"/>
      <w:r w:rsidRPr="00A428C3">
        <w:t>Multicomponent</w:t>
      </w:r>
      <w:bookmarkEnd w:id="932"/>
      <w:r w:rsidRPr="00A428C3">
        <w:t xml:space="preserve"> ion-exchange </w:t>
      </w:r>
      <w:bookmarkStart w:id="933" w:name="calculations"/>
      <w:r w:rsidRPr="00A428C3">
        <w:t>calculations</w:t>
      </w:r>
      <w:bookmarkEnd w:id="933"/>
      <w:r w:rsidRPr="00A428C3">
        <w:t xml:space="preserve"> for </w:t>
      </w:r>
      <w:bookmarkStart w:id="934" w:name="selected"/>
      <w:r w:rsidRPr="00A428C3">
        <w:t>selected</w:t>
      </w:r>
      <w:bookmarkEnd w:id="934"/>
      <w:r w:rsidRPr="00A428C3">
        <w:t xml:space="preserve"> ion </w:t>
      </w:r>
      <w:bookmarkStart w:id="935" w:name="sparations"/>
      <w:r w:rsidRPr="00A428C3">
        <w:t>sparations</w:t>
      </w:r>
      <w:bookmarkEnd w:id="935"/>
      <w:r w:rsidRPr="00A428C3">
        <w:t xml:space="preserve">. </w:t>
      </w:r>
      <w:r w:rsidRPr="00A428C3">
        <w:rPr>
          <w:i/>
        </w:rPr>
        <w:t>Industrial</w:t>
      </w:r>
      <w:r w:rsidR="00F81221">
        <w:rPr>
          <w:i/>
        </w:rPr>
        <w:t xml:space="preserve"> and </w:t>
      </w:r>
      <w:r w:rsidRPr="00A428C3">
        <w:rPr>
          <w:i/>
        </w:rPr>
        <w:t>Engineering Chemistry Fundamentals</w:t>
      </w:r>
      <w:r w:rsidRPr="00A428C3">
        <w:t xml:space="preserve">, </w:t>
      </w:r>
      <w:r w:rsidRPr="00A428C3">
        <w:rPr>
          <w:b/>
        </w:rPr>
        <w:t>21</w:t>
      </w:r>
      <w:r w:rsidRPr="00A428C3">
        <w:t xml:space="preserve"> (2), 141-153.</w:t>
      </w:r>
    </w:p>
    <w:p w:rsidR="00B95188" w:rsidRPr="00A428C3" w:rsidRDefault="00B95188" w:rsidP="00B95188">
      <w:pPr>
        <w:pStyle w:val="a0"/>
      </w:pPr>
      <w:r w:rsidRPr="00A428C3">
        <w:t xml:space="preserve">Full Text: </w:t>
      </w:r>
      <w:hyperlink r:id="rId1033" w:history="1">
        <w:r w:rsidRPr="00A428C3">
          <w:rPr>
            <w:rStyle w:val="a5"/>
          </w:rPr>
          <w:t>I\Ind Eng Che Fun21, 141.pdf</w:t>
        </w:r>
      </w:hyperlink>
    </w:p>
    <w:p w:rsidR="00B95188" w:rsidRPr="00A428C3" w:rsidRDefault="00B95188" w:rsidP="00B95188">
      <w:pPr>
        <w:pStyle w:val="a0"/>
      </w:pPr>
      <w:r w:rsidRPr="00A428C3">
        <w:t xml:space="preserve">Abstract: Equilibrium multicomponent chromatography theory with interference as </w:t>
      </w:r>
      <w:r w:rsidRPr="00A428C3">
        <w:lastRenderedPageBreak/>
        <w:t>developed by previous investigators, especially Helfferich, provides a very useful tool for the estimation of breakthrough curves (effluent concentration histories)</w:t>
      </w:r>
      <w:r w:rsidR="00F81221">
        <w:t xml:space="preserve"> and </w:t>
      </w:r>
      <w:r w:rsidRPr="00A428C3">
        <w:t>compositions of exhausted ion-exchange beds (concentration profiles). In many cases, the ideal shapes of the concentration histories</w:t>
      </w:r>
      <w:r w:rsidR="00F81221">
        <w:t xml:space="preserve"> and </w:t>
      </w:r>
      <w:r w:rsidRPr="00A428C3">
        <w:t>profiles may be readily calculated from a derived set of general rules</w:t>
      </w:r>
      <w:r w:rsidR="00F81221">
        <w:t xml:space="preserve"> and </w:t>
      </w:r>
      <w:r w:rsidRPr="00A428C3">
        <w:t>equations assuming constant separation factors. The nitrate</w:t>
      </w:r>
      <w:r w:rsidR="00F81221">
        <w:t xml:space="preserve"> and </w:t>
      </w:r>
      <w:r w:rsidRPr="00A428C3">
        <w:t xml:space="preserve">sulfate effluent breakthrough curves from weak-base anion </w:t>
      </w:r>
      <w:r w:rsidRPr="00A428C3">
        <w:rPr>
          <w:szCs w:val="22"/>
        </w:rPr>
        <w:t xml:space="preserve">beds </w:t>
      </w:r>
      <w:r w:rsidRPr="00A428C3">
        <w:rPr>
          <w:szCs w:val="18"/>
        </w:rPr>
        <w:t xml:space="preserve">with </w:t>
      </w:r>
      <w:r w:rsidRPr="00A428C3">
        <w:t xml:space="preserve">four-component feed (Sot-, </w:t>
      </w:r>
      <w:r w:rsidRPr="00A428C3">
        <w:rPr>
          <w:szCs w:val="18"/>
        </w:rPr>
        <w:t>NO</w:t>
      </w:r>
      <w:r w:rsidRPr="00A428C3">
        <w:rPr>
          <w:szCs w:val="18"/>
          <w:vertAlign w:val="subscript"/>
        </w:rPr>
        <w:t>3</w:t>
      </w:r>
      <w:r w:rsidRPr="00A428C3">
        <w:rPr>
          <w:szCs w:val="18"/>
          <w:vertAlign w:val="superscript"/>
        </w:rPr>
        <w:t>-</w:t>
      </w:r>
      <w:r w:rsidRPr="00A428C3">
        <w:rPr>
          <w:szCs w:val="18"/>
        </w:rPr>
        <w:t xml:space="preserve">, </w:t>
      </w:r>
      <w:r w:rsidRPr="00A428C3">
        <w:t>Cl</w:t>
      </w:r>
      <w:r w:rsidRPr="00A428C3">
        <w:rPr>
          <w:vertAlign w:val="superscript"/>
        </w:rPr>
        <w:t>-</w:t>
      </w:r>
      <w:r w:rsidRPr="00A428C3">
        <w:t>, HCO</w:t>
      </w:r>
      <w:r w:rsidRPr="00A428C3">
        <w:rPr>
          <w:vertAlign w:val="subscript"/>
        </w:rPr>
        <w:t>3</w:t>
      </w:r>
      <w:r w:rsidRPr="00A428C3">
        <w:rPr>
          <w:vertAlign w:val="superscript"/>
        </w:rPr>
        <w:t>-</w:t>
      </w:r>
      <w:r w:rsidRPr="00A428C3">
        <w:t>) solutions have been accurately predicted using the multicomponent equilibrium theory. The theory has been shown to be particularly useful for predicting the length of a run</w:t>
      </w:r>
      <w:r w:rsidR="00F81221">
        <w:t xml:space="preserve"> and </w:t>
      </w:r>
      <w:r w:rsidRPr="00A428C3">
        <w:t>the final composition of the exhausted bed at nitrate breakthrough when treating nitratecontaminated drinking water. Some deviations from theory are explained in terms of violations of the model assumptions.</w:t>
      </w:r>
    </w:p>
    <w:p w:rsidR="00B95188" w:rsidRPr="00A428C3" w:rsidRDefault="00B95188" w:rsidP="00B95188">
      <w:pPr>
        <w:pStyle w:val="a0"/>
      </w:pPr>
      <w:r w:rsidRPr="00A428C3">
        <w:t>? Kim, K.S., Choi, S.J.</w:t>
      </w:r>
      <w:r w:rsidR="00F81221">
        <w:t xml:space="preserve"> and </w:t>
      </w:r>
      <w:r w:rsidRPr="00A428C3">
        <w:t xml:space="preserve">Ihm, S.K. (1983), Simulation of phenol removal from wastewater by liquid membrane emulsion. </w:t>
      </w:r>
      <w:r w:rsidRPr="00A428C3">
        <w:rPr>
          <w:i/>
        </w:rPr>
        <w:t>Industrial</w:t>
      </w:r>
      <w:r w:rsidR="00F81221">
        <w:rPr>
          <w:i/>
        </w:rPr>
        <w:t xml:space="preserve"> and </w:t>
      </w:r>
      <w:r w:rsidRPr="00A428C3">
        <w:rPr>
          <w:i/>
        </w:rPr>
        <w:t>Engineering Chemistry Fundamentals</w:t>
      </w:r>
      <w:r w:rsidRPr="00A428C3">
        <w:t xml:space="preserve">, </w:t>
      </w:r>
      <w:r w:rsidRPr="00A428C3">
        <w:rPr>
          <w:b/>
        </w:rPr>
        <w:t>22</w:t>
      </w:r>
      <w:r w:rsidRPr="00A428C3">
        <w:t xml:space="preserve"> (2), 167-172.</w:t>
      </w:r>
    </w:p>
    <w:p w:rsidR="00B95188" w:rsidRPr="00A428C3" w:rsidRDefault="00B95188" w:rsidP="00B95188">
      <w:pPr>
        <w:pStyle w:val="a0"/>
      </w:pPr>
      <w:r w:rsidRPr="00A428C3">
        <w:t xml:space="preserve">Full Text: </w:t>
      </w:r>
      <w:hyperlink r:id="rId1034" w:history="1">
        <w:r w:rsidRPr="00A428C3">
          <w:rPr>
            <w:rStyle w:val="a5"/>
          </w:rPr>
          <w:t>1983\Ind Eng Che Fun22, 167.pdf</w:t>
        </w:r>
      </w:hyperlink>
    </w:p>
    <w:p w:rsidR="00B95188" w:rsidRPr="00A428C3" w:rsidRDefault="00B95188" w:rsidP="00B95188">
      <w:pPr>
        <w:pStyle w:val="a0"/>
      </w:pPr>
      <w:r w:rsidRPr="00A428C3">
        <w:t xml:space="preserve">Abstract: </w:t>
      </w:r>
      <w:r w:rsidRPr="00A428C3">
        <w:rPr>
          <w:szCs w:val="18"/>
        </w:rPr>
        <w:t xml:space="preserve">A </w:t>
      </w:r>
      <w:r w:rsidRPr="00A428C3">
        <w:rPr>
          <w:szCs w:val="21"/>
        </w:rPr>
        <w:t xml:space="preserve">model has </w:t>
      </w:r>
      <w:r w:rsidRPr="00A428C3">
        <w:rPr>
          <w:szCs w:val="22"/>
        </w:rPr>
        <w:t xml:space="preserve">been </w:t>
      </w:r>
      <w:r w:rsidRPr="00A428C3">
        <w:rPr>
          <w:szCs w:val="21"/>
        </w:rPr>
        <w:t xml:space="preserve">proposed for </w:t>
      </w:r>
      <w:r w:rsidRPr="00A428C3">
        <w:t xml:space="preserve">the </w:t>
      </w:r>
      <w:r w:rsidRPr="00A428C3">
        <w:rPr>
          <w:szCs w:val="21"/>
        </w:rPr>
        <w:t xml:space="preserve">removal of phenol from wastewater </w:t>
      </w:r>
      <w:r w:rsidRPr="00A428C3">
        <w:t xml:space="preserve">by </w:t>
      </w:r>
      <w:r w:rsidRPr="00A428C3">
        <w:rPr>
          <w:szCs w:val="21"/>
        </w:rPr>
        <w:t xml:space="preserve">use of a </w:t>
      </w:r>
      <w:r w:rsidRPr="00A428C3">
        <w:t xml:space="preserve">liquid </w:t>
      </w:r>
      <w:r w:rsidRPr="00A428C3">
        <w:rPr>
          <w:szCs w:val="21"/>
        </w:rPr>
        <w:t xml:space="preserve">membrane </w:t>
      </w:r>
      <w:r w:rsidRPr="00A428C3">
        <w:t xml:space="preserve">during the </w:t>
      </w:r>
      <w:r w:rsidRPr="00A428C3">
        <w:rPr>
          <w:szCs w:val="21"/>
        </w:rPr>
        <w:t xml:space="preserve">initial stage </w:t>
      </w:r>
      <w:r w:rsidRPr="00A428C3">
        <w:t xml:space="preserve">when the </w:t>
      </w:r>
      <w:r w:rsidRPr="00A428C3">
        <w:rPr>
          <w:szCs w:val="21"/>
        </w:rPr>
        <w:t>emulsions do not show any breakage,</w:t>
      </w:r>
      <w:r w:rsidR="00F81221">
        <w:rPr>
          <w:szCs w:val="21"/>
        </w:rPr>
        <w:t xml:space="preserve"> and </w:t>
      </w:r>
      <w:r w:rsidRPr="00A428C3">
        <w:rPr>
          <w:szCs w:val="21"/>
        </w:rPr>
        <w:t xml:space="preserve">a computer simulation of </w:t>
      </w:r>
      <w:r w:rsidRPr="00A428C3">
        <w:t xml:space="preserve">the </w:t>
      </w:r>
      <w:r w:rsidRPr="00A428C3">
        <w:rPr>
          <w:szCs w:val="21"/>
        </w:rPr>
        <w:t>model</w:t>
      </w:r>
      <w:r w:rsidR="000352E7">
        <w:rPr>
          <w:szCs w:val="21"/>
        </w:rPr>
        <w:t>’</w:t>
      </w:r>
      <w:r w:rsidRPr="00A428C3">
        <w:rPr>
          <w:szCs w:val="21"/>
        </w:rPr>
        <w:t xml:space="preserve">s equations has </w:t>
      </w:r>
      <w:r w:rsidRPr="00A428C3">
        <w:t xml:space="preserve">been </w:t>
      </w:r>
      <w:r w:rsidRPr="00A428C3">
        <w:rPr>
          <w:szCs w:val="21"/>
        </w:rPr>
        <w:t xml:space="preserve">performed </w:t>
      </w:r>
      <w:r w:rsidRPr="00A428C3">
        <w:t xml:space="preserve">by </w:t>
      </w:r>
      <w:r w:rsidRPr="00A428C3">
        <w:rPr>
          <w:szCs w:val="21"/>
        </w:rPr>
        <w:t xml:space="preserve">estimating </w:t>
      </w:r>
      <w:r w:rsidRPr="00A428C3">
        <w:t xml:space="preserve">the </w:t>
      </w:r>
      <w:r w:rsidRPr="00A428C3">
        <w:rPr>
          <w:szCs w:val="21"/>
        </w:rPr>
        <w:t xml:space="preserve">appropriate values of </w:t>
      </w:r>
      <w:r w:rsidRPr="00A428C3">
        <w:t xml:space="preserve">the </w:t>
      </w:r>
      <w:r w:rsidRPr="00A428C3">
        <w:rPr>
          <w:szCs w:val="21"/>
        </w:rPr>
        <w:t xml:space="preserve">parameters. </w:t>
      </w:r>
      <w:r w:rsidRPr="00A428C3">
        <w:t xml:space="preserve">The </w:t>
      </w:r>
      <w:r w:rsidRPr="00A428C3">
        <w:rPr>
          <w:szCs w:val="21"/>
        </w:rPr>
        <w:t xml:space="preserve">model </w:t>
      </w:r>
      <w:r w:rsidRPr="00A428C3">
        <w:rPr>
          <w:szCs w:val="18"/>
        </w:rPr>
        <w:t xml:space="preserve">is </w:t>
      </w:r>
      <w:r w:rsidRPr="00A428C3">
        <w:rPr>
          <w:szCs w:val="21"/>
        </w:rPr>
        <w:t xml:space="preserve">based on the assumptions </w:t>
      </w:r>
      <w:r w:rsidRPr="00A428C3">
        <w:t xml:space="preserve">that </w:t>
      </w:r>
      <w:r w:rsidRPr="00A428C3">
        <w:rPr>
          <w:szCs w:val="21"/>
        </w:rPr>
        <w:t xml:space="preserve">the aqueous NaOH solution is confined </w:t>
      </w:r>
      <w:r w:rsidRPr="00A428C3">
        <w:t xml:space="preserve">within </w:t>
      </w:r>
      <w:r w:rsidRPr="00A428C3">
        <w:rPr>
          <w:szCs w:val="22"/>
        </w:rPr>
        <w:t xml:space="preserve">the </w:t>
      </w:r>
      <w:r w:rsidRPr="00A428C3">
        <w:rPr>
          <w:szCs w:val="21"/>
        </w:rPr>
        <w:t xml:space="preserve">radius, </w:t>
      </w:r>
      <w:r w:rsidRPr="00A428C3">
        <w:rPr>
          <w:szCs w:val="18"/>
        </w:rPr>
        <w:t>R</w:t>
      </w:r>
      <w:r w:rsidRPr="00A428C3">
        <w:rPr>
          <w:szCs w:val="18"/>
          <w:vertAlign w:val="subscript"/>
        </w:rPr>
        <w:t>i</w:t>
      </w:r>
      <w:r w:rsidRPr="00A428C3">
        <w:rPr>
          <w:szCs w:val="18"/>
        </w:rPr>
        <w:t xml:space="preserve">, </w:t>
      </w:r>
      <w:r w:rsidRPr="00A428C3">
        <w:rPr>
          <w:szCs w:val="21"/>
        </w:rPr>
        <w:t xml:space="preserve">of a water-indl emulsion </w:t>
      </w:r>
      <w:r w:rsidRPr="00A428C3">
        <w:t xml:space="preserve">with </w:t>
      </w:r>
      <w:r w:rsidRPr="00A428C3">
        <w:rPr>
          <w:szCs w:val="21"/>
        </w:rPr>
        <w:t>a constant volume fraction</w:t>
      </w:r>
      <w:r w:rsidR="00F81221">
        <w:rPr>
          <w:szCs w:val="21"/>
        </w:rPr>
        <w:t xml:space="preserve"> and </w:t>
      </w:r>
      <w:r w:rsidRPr="00A428C3">
        <w:rPr>
          <w:szCs w:val="21"/>
        </w:rPr>
        <w:t xml:space="preserve">that </w:t>
      </w:r>
      <w:r w:rsidRPr="00A428C3">
        <w:t xml:space="preserve">the </w:t>
      </w:r>
      <w:r w:rsidRPr="00A428C3">
        <w:rPr>
          <w:szCs w:val="21"/>
        </w:rPr>
        <w:t xml:space="preserve">core radius </w:t>
      </w:r>
      <w:r w:rsidRPr="00A428C3">
        <w:t xml:space="preserve">shrinks </w:t>
      </w:r>
      <w:r w:rsidRPr="00A428C3">
        <w:rPr>
          <w:szCs w:val="21"/>
        </w:rPr>
        <w:t xml:space="preserve">as phenol diffuses in. </w:t>
      </w:r>
      <w:r w:rsidRPr="00A428C3">
        <w:t xml:space="preserve">The </w:t>
      </w:r>
      <w:r w:rsidRPr="00A428C3">
        <w:rPr>
          <w:szCs w:val="21"/>
        </w:rPr>
        <w:t xml:space="preserve">computed results are found to </w:t>
      </w:r>
      <w:r w:rsidRPr="00A428C3">
        <w:t xml:space="preserve">be </w:t>
      </w:r>
      <w:r w:rsidRPr="00A428C3">
        <w:rPr>
          <w:szCs w:val="22"/>
        </w:rPr>
        <w:t xml:space="preserve">in </w:t>
      </w:r>
      <w:r w:rsidRPr="00A428C3">
        <w:rPr>
          <w:szCs w:val="21"/>
        </w:rPr>
        <w:t xml:space="preserve">good correlation </w:t>
      </w:r>
      <w:r w:rsidRPr="00A428C3">
        <w:t xml:space="preserve">with the </w:t>
      </w:r>
      <w:r w:rsidRPr="00A428C3">
        <w:rPr>
          <w:szCs w:val="21"/>
        </w:rPr>
        <w:t xml:space="preserve">experimental data. </w:t>
      </w:r>
      <w:r w:rsidRPr="00A428C3">
        <w:t xml:space="preserve">It </w:t>
      </w:r>
      <w:r w:rsidRPr="00A428C3">
        <w:rPr>
          <w:szCs w:val="21"/>
        </w:rPr>
        <w:t xml:space="preserve">has </w:t>
      </w:r>
      <w:r w:rsidRPr="00A428C3">
        <w:t xml:space="preserve">been </w:t>
      </w:r>
      <w:r w:rsidRPr="00A428C3">
        <w:rPr>
          <w:szCs w:val="21"/>
        </w:rPr>
        <w:t xml:space="preserve">shown that </w:t>
      </w:r>
      <w:r w:rsidRPr="00A428C3">
        <w:t xml:space="preserve">the </w:t>
      </w:r>
      <w:r w:rsidRPr="00A428C3">
        <w:rPr>
          <w:szCs w:val="21"/>
        </w:rPr>
        <w:t xml:space="preserve">mass transfer resistance for phenol removal exists mainly in </w:t>
      </w:r>
      <w:r w:rsidRPr="00A428C3">
        <w:t xml:space="preserve">the </w:t>
      </w:r>
      <w:r w:rsidRPr="00A428C3">
        <w:rPr>
          <w:szCs w:val="21"/>
        </w:rPr>
        <w:t xml:space="preserve">outer </w:t>
      </w:r>
      <w:r w:rsidRPr="00A428C3">
        <w:t xml:space="preserve">liquid </w:t>
      </w:r>
      <w:r w:rsidRPr="00A428C3">
        <w:rPr>
          <w:szCs w:val="21"/>
        </w:rPr>
        <w:t>membrane layer</w:t>
      </w:r>
      <w:r w:rsidR="00F81221">
        <w:rPr>
          <w:szCs w:val="21"/>
        </w:rPr>
        <w:t xml:space="preserve"> and </w:t>
      </w:r>
      <w:r w:rsidRPr="00A428C3">
        <w:rPr>
          <w:szCs w:val="21"/>
        </w:rPr>
        <w:t xml:space="preserve">that </w:t>
      </w:r>
      <w:r w:rsidRPr="00A428C3">
        <w:t xml:space="preserve">the </w:t>
      </w:r>
      <w:r w:rsidRPr="00A428C3">
        <w:rPr>
          <w:szCs w:val="21"/>
        </w:rPr>
        <w:t xml:space="preserve">value of </w:t>
      </w:r>
      <w:r w:rsidRPr="00A428C3">
        <w:rPr>
          <w:szCs w:val="18"/>
        </w:rPr>
        <w:t xml:space="preserve">R, </w:t>
      </w:r>
      <w:r w:rsidRPr="00A428C3">
        <w:rPr>
          <w:szCs w:val="21"/>
        </w:rPr>
        <w:t xml:space="preserve">obtained from </w:t>
      </w:r>
      <w:r w:rsidRPr="00A428C3">
        <w:t xml:space="preserve">the </w:t>
      </w:r>
      <w:r w:rsidRPr="00A428C3">
        <w:rPr>
          <w:szCs w:val="21"/>
        </w:rPr>
        <w:t xml:space="preserve">model fitting is almost the same as that determined </w:t>
      </w:r>
      <w:r w:rsidRPr="00A428C3">
        <w:t xml:space="preserve">by </w:t>
      </w:r>
      <w:r w:rsidRPr="00A428C3">
        <w:rPr>
          <w:szCs w:val="21"/>
        </w:rPr>
        <w:t>geometrical consideratlon.</w:t>
      </w:r>
    </w:p>
    <w:p w:rsidR="00080AC3" w:rsidRPr="00A428C3" w:rsidRDefault="00080AC3" w:rsidP="00080AC3">
      <w:pPr>
        <w:pStyle w:val="1"/>
      </w:pPr>
      <w:r w:rsidRPr="00A428C3">
        <w:br w:type="page"/>
      </w:r>
      <w:bookmarkStart w:id="936" w:name="_Toc317161141"/>
      <w:r w:rsidRPr="00A428C3">
        <w:lastRenderedPageBreak/>
        <w:t xml:space="preserve">Title: </w:t>
      </w:r>
      <w:r w:rsidR="00D15191" w:rsidRPr="00D15191">
        <w:t>Industrial &amp; Engineering Chemistry Fundamentals</w:t>
      </w:r>
      <w:bookmarkEnd w:id="936"/>
    </w:p>
    <w:p w:rsidR="00080AC3" w:rsidRPr="00A428C3" w:rsidRDefault="00080AC3" w:rsidP="00080AC3">
      <w:pPr>
        <w:pStyle w:val="12"/>
      </w:pPr>
      <w:r w:rsidRPr="00A428C3">
        <w:t xml:space="preserve">Full Journal Title: </w:t>
      </w:r>
      <w:r w:rsidR="00D15191" w:rsidRPr="00D15191">
        <w:t>Industrial &amp; Engineering Chemistry Fundamentals</w:t>
      </w:r>
    </w:p>
    <w:p w:rsidR="00080AC3" w:rsidRPr="00A428C3" w:rsidRDefault="00080AC3" w:rsidP="00080AC3">
      <w:pPr>
        <w:pStyle w:val="12"/>
      </w:pPr>
      <w:r w:rsidRPr="00A428C3">
        <w:t xml:space="preserve">ISO Abbreviated Title: </w:t>
      </w:r>
    </w:p>
    <w:p w:rsidR="00080AC3" w:rsidRPr="00A428C3" w:rsidRDefault="00080AC3" w:rsidP="00080AC3">
      <w:pPr>
        <w:pStyle w:val="12"/>
      </w:pPr>
      <w:r w:rsidRPr="00A428C3">
        <w:t xml:space="preserve">JCR Abbreviated Title: </w:t>
      </w:r>
    </w:p>
    <w:p w:rsidR="00080AC3" w:rsidRPr="00A428C3" w:rsidRDefault="00080AC3" w:rsidP="00080AC3">
      <w:pPr>
        <w:pStyle w:val="12"/>
      </w:pPr>
      <w:r w:rsidRPr="00A428C3">
        <w:t xml:space="preserve">ISSN: </w:t>
      </w:r>
    </w:p>
    <w:p w:rsidR="00080AC3" w:rsidRPr="00A428C3" w:rsidRDefault="00080AC3" w:rsidP="00080AC3">
      <w:pPr>
        <w:pStyle w:val="12"/>
      </w:pPr>
      <w:r w:rsidRPr="00A428C3">
        <w:t xml:space="preserve">Issues/Year: </w:t>
      </w:r>
    </w:p>
    <w:p w:rsidR="00080AC3" w:rsidRPr="00A428C3" w:rsidRDefault="00080AC3" w:rsidP="00080AC3">
      <w:pPr>
        <w:pStyle w:val="12"/>
      </w:pPr>
      <w:r w:rsidRPr="00A428C3">
        <w:t>Journal Country/Territory:</w:t>
      </w:r>
    </w:p>
    <w:p w:rsidR="00080AC3" w:rsidRPr="00A428C3" w:rsidRDefault="00080AC3" w:rsidP="00080AC3">
      <w:pPr>
        <w:pStyle w:val="12"/>
      </w:pPr>
      <w:r w:rsidRPr="00A428C3">
        <w:t xml:space="preserve">Language: </w:t>
      </w:r>
    </w:p>
    <w:p w:rsidR="00080AC3" w:rsidRPr="00A428C3" w:rsidRDefault="00080AC3" w:rsidP="00080AC3">
      <w:pPr>
        <w:pStyle w:val="12"/>
      </w:pPr>
      <w:r w:rsidRPr="00A428C3">
        <w:t xml:space="preserve">Publisher: </w:t>
      </w:r>
    </w:p>
    <w:p w:rsidR="00080AC3" w:rsidRPr="00A428C3" w:rsidRDefault="00080AC3" w:rsidP="00080AC3">
      <w:pPr>
        <w:pStyle w:val="12"/>
      </w:pPr>
      <w:r w:rsidRPr="00A428C3">
        <w:t xml:space="preserve">Publisher Address: </w:t>
      </w:r>
    </w:p>
    <w:p w:rsidR="00080AC3" w:rsidRPr="00A428C3" w:rsidRDefault="00080AC3" w:rsidP="00080AC3">
      <w:pPr>
        <w:pStyle w:val="12"/>
      </w:pPr>
      <w:r w:rsidRPr="00A428C3">
        <w:t>Subject Categories:</w:t>
      </w:r>
    </w:p>
    <w:p w:rsidR="00080AC3" w:rsidRPr="00A428C3" w:rsidRDefault="00080AC3" w:rsidP="00080AC3">
      <w:pPr>
        <w:pStyle w:val="12"/>
      </w:pPr>
      <w:r w:rsidRPr="00A428C3">
        <w:t>: Impact Factor</w:t>
      </w:r>
    </w:p>
    <w:p w:rsidR="00080AC3" w:rsidRDefault="00080AC3" w:rsidP="00080AC3">
      <w:pPr>
        <w:pStyle w:val="a0"/>
        <w:rPr>
          <w:kern w:val="0"/>
        </w:rPr>
      </w:pPr>
      <w:r>
        <w:rPr>
          <w:rFonts w:hint="eastAsia"/>
          <w:kern w:val="0"/>
        </w:rPr>
        <w:t>Notes: highly cited</w:t>
      </w:r>
    </w:p>
    <w:p w:rsidR="00080AC3" w:rsidRDefault="00080AC3" w:rsidP="00080AC3">
      <w:pPr>
        <w:pStyle w:val="a0"/>
        <w:rPr>
          <w:kern w:val="0"/>
        </w:rPr>
      </w:pPr>
      <w:r>
        <w:rPr>
          <w:kern w:val="0"/>
        </w:rPr>
        <w:t>? Peng, D.</w:t>
      </w:r>
      <w:r w:rsidR="00F81221">
        <w:rPr>
          <w:kern w:val="0"/>
        </w:rPr>
        <w:t xml:space="preserve"> and </w:t>
      </w:r>
      <w:r>
        <w:rPr>
          <w:kern w:val="0"/>
        </w:rPr>
        <w:t xml:space="preserve">Robinson, D.B. (1976), New 2-constant equation of state. </w:t>
      </w:r>
      <w:r>
        <w:rPr>
          <w:i/>
          <w:iCs/>
          <w:kern w:val="0"/>
        </w:rPr>
        <w:t>Industrial &amp; Engineering Chemistry Fundamentals</w:t>
      </w:r>
      <w:r>
        <w:rPr>
          <w:kern w:val="0"/>
        </w:rPr>
        <w:t xml:space="preserve">, </w:t>
      </w:r>
      <w:r>
        <w:rPr>
          <w:b/>
          <w:bCs/>
          <w:kern w:val="0"/>
        </w:rPr>
        <w:t>15</w:t>
      </w:r>
      <w:r>
        <w:rPr>
          <w:kern w:val="0"/>
        </w:rPr>
        <w:t xml:space="preserve"> (1), 59-64.</w:t>
      </w:r>
    </w:p>
    <w:p w:rsidR="00080AC3" w:rsidRDefault="00080AC3" w:rsidP="00080AC3">
      <w:pPr>
        <w:pStyle w:val="a0"/>
      </w:pPr>
      <w:r>
        <w:t xml:space="preserve">Full Text: </w:t>
      </w:r>
      <w:hyperlink r:id="rId1035" w:history="1">
        <w:r w:rsidR="00D15191" w:rsidRPr="00D15191">
          <w:rPr>
            <w:rStyle w:val="a5"/>
          </w:rPr>
          <w:t>1960-80\Ind Eng Che Fun15, 59.pdf</w:t>
        </w:r>
      </w:hyperlink>
    </w:p>
    <w:p w:rsidR="00080AC3" w:rsidRDefault="00080AC3" w:rsidP="00080AC3">
      <w:pPr>
        <w:pStyle w:val="a0"/>
        <w:rPr>
          <w:kern w:val="2"/>
        </w:rPr>
      </w:pPr>
      <w:r>
        <w:rPr>
          <w:rFonts w:hint="eastAsia"/>
        </w:rPr>
        <w:t xml:space="preserve">Abstract: </w:t>
      </w:r>
      <w:r>
        <w:t>The development of a new two-constant equation of state in which the attractive pressure term of the semiempirical van der Waals equation has been modified is outlined. Examples of the use of the equation for predicting the vapor pressure</w:t>
      </w:r>
      <w:r w:rsidR="00F81221">
        <w:t xml:space="preserve"> and </w:t>
      </w:r>
      <w:r>
        <w:t>volumetric behavior of singie-component systems,</w:t>
      </w:r>
      <w:r w:rsidR="00F81221">
        <w:t xml:space="preserve"> and </w:t>
      </w:r>
      <w:r>
        <w:t>the phase behavior</w:t>
      </w:r>
      <w:r w:rsidR="00F81221">
        <w:t xml:space="preserve"> and </w:t>
      </w:r>
      <w:r>
        <w:t>volumetric behavior of binary, ternary,</w:t>
      </w:r>
      <w:r w:rsidR="00F81221">
        <w:t xml:space="preserve"> and </w:t>
      </w:r>
      <w:r>
        <w:t>multicomponent systems are given. The proposed equation combines simplicity</w:t>
      </w:r>
      <w:r w:rsidR="00F81221">
        <w:t xml:space="preserve"> and </w:t>
      </w:r>
      <w:r>
        <w:t>accuracy. It performs as well as or better than the Soave-Redlich-Kwong equation in all cases tested</w:t>
      </w:r>
      <w:r w:rsidR="00F81221">
        <w:t xml:space="preserve"> and </w:t>
      </w:r>
      <w:r>
        <w:t>shows its greatest advantages in the prediction of liquid phase densities.</w:t>
      </w:r>
    </w:p>
    <w:p w:rsidR="004B36F6" w:rsidRDefault="004B36F6" w:rsidP="004B36F6">
      <w:pPr>
        <w:pStyle w:val="a0"/>
        <w:rPr>
          <w:kern w:val="0"/>
        </w:rPr>
      </w:pPr>
      <w:r>
        <w:rPr>
          <w:kern w:val="0"/>
        </w:rPr>
        <w:t xml:space="preserve">? </w:t>
      </w:r>
      <w:r>
        <w:t>Góm</w:t>
      </w:r>
      <w:r>
        <w:rPr>
          <w:rFonts w:hint="eastAsia"/>
        </w:rPr>
        <w:t>e</w:t>
      </w:r>
      <w:r>
        <w:t>z</w:t>
      </w:r>
      <w:r>
        <w:rPr>
          <w:rFonts w:hint="eastAsia"/>
        </w:rPr>
        <w:t>-</w:t>
      </w:r>
      <w:r>
        <w:t>Nieto, M</w:t>
      </w:r>
      <w:r>
        <w:rPr>
          <w:rFonts w:hint="eastAsia"/>
        </w:rPr>
        <w:t>.</w:t>
      </w:r>
      <w:r>
        <w:rPr>
          <w:kern w:val="0"/>
        </w:rPr>
        <w:t xml:space="preserve"> (197</w:t>
      </w:r>
      <w:r>
        <w:rPr>
          <w:rFonts w:hint="eastAsia"/>
          <w:kern w:val="0"/>
        </w:rPr>
        <w:t>9</w:t>
      </w:r>
      <w:r>
        <w:rPr>
          <w:kern w:val="0"/>
        </w:rPr>
        <w:t xml:space="preserve">), </w:t>
      </w:r>
      <w:r>
        <w:t xml:space="preserve">Comments </w:t>
      </w:r>
      <w:r>
        <w:rPr>
          <w:rFonts w:hint="eastAsia"/>
        </w:rPr>
        <w:t xml:space="preserve">on </w:t>
      </w:r>
      <w:r w:rsidR="000352E7">
        <w:t>“</w:t>
      </w:r>
      <w:r>
        <w:t>new 2-constant equation of state</w:t>
      </w:r>
      <w:r w:rsidR="000352E7">
        <w:t>”</w:t>
      </w:r>
      <w:r>
        <w:rPr>
          <w:kern w:val="0"/>
        </w:rPr>
        <w:t xml:space="preserve">. </w:t>
      </w:r>
      <w:r>
        <w:rPr>
          <w:i/>
          <w:iCs/>
          <w:kern w:val="0"/>
        </w:rPr>
        <w:t>Industrial &amp; Engineering Chemistry Fundamentals</w:t>
      </w:r>
      <w:r>
        <w:rPr>
          <w:kern w:val="0"/>
        </w:rPr>
        <w:t xml:space="preserve">, </w:t>
      </w:r>
      <w:r>
        <w:rPr>
          <w:b/>
          <w:bCs/>
          <w:kern w:val="0"/>
        </w:rPr>
        <w:t>1</w:t>
      </w:r>
      <w:r>
        <w:rPr>
          <w:rFonts w:hint="eastAsia"/>
          <w:b/>
          <w:bCs/>
          <w:kern w:val="0"/>
        </w:rPr>
        <w:t>8</w:t>
      </w:r>
      <w:r>
        <w:rPr>
          <w:kern w:val="0"/>
        </w:rPr>
        <w:t xml:space="preserve"> (</w:t>
      </w:r>
      <w:r>
        <w:rPr>
          <w:rFonts w:hint="eastAsia"/>
          <w:kern w:val="0"/>
        </w:rPr>
        <w:t>2</w:t>
      </w:r>
      <w:r>
        <w:rPr>
          <w:kern w:val="0"/>
        </w:rPr>
        <w:t xml:space="preserve">), </w:t>
      </w:r>
      <w:r>
        <w:rPr>
          <w:rFonts w:hint="eastAsia"/>
          <w:kern w:val="0"/>
        </w:rPr>
        <w:t>197</w:t>
      </w:r>
      <w:r>
        <w:rPr>
          <w:kern w:val="0"/>
        </w:rPr>
        <w:t>.</w:t>
      </w:r>
    </w:p>
    <w:p w:rsidR="004B36F6" w:rsidRDefault="004B36F6" w:rsidP="004B36F6">
      <w:pPr>
        <w:pStyle w:val="a0"/>
      </w:pPr>
      <w:r>
        <w:t xml:space="preserve">Full Text: </w:t>
      </w:r>
      <w:hyperlink r:id="rId1036" w:history="1">
        <w:r w:rsidRPr="004B36F6">
          <w:rPr>
            <w:rStyle w:val="a5"/>
          </w:rPr>
          <w:t>1960-80\Ind Eng Che Fun18, 197.pdf</w:t>
        </w:r>
      </w:hyperlink>
    </w:p>
    <w:p w:rsidR="004B36F6" w:rsidRDefault="004B36F6" w:rsidP="004B36F6">
      <w:pPr>
        <w:pStyle w:val="a0"/>
        <w:rPr>
          <w:kern w:val="0"/>
        </w:rPr>
      </w:pPr>
      <w:r>
        <w:rPr>
          <w:kern w:val="0"/>
        </w:rPr>
        <w:t xml:space="preserve">? </w:t>
      </w:r>
      <w:r>
        <w:t>Robinson, D</w:t>
      </w:r>
      <w:r>
        <w:rPr>
          <w:rFonts w:hint="eastAsia"/>
        </w:rPr>
        <w:t>.</w:t>
      </w:r>
      <w:r>
        <w:t>B</w:t>
      </w:r>
      <w:r>
        <w:rPr>
          <w:rFonts w:hint="eastAsia"/>
        </w:rPr>
        <w:t>.</w:t>
      </w:r>
      <w:r>
        <w:rPr>
          <w:kern w:val="0"/>
        </w:rPr>
        <w:t xml:space="preserve"> (197</w:t>
      </w:r>
      <w:r>
        <w:rPr>
          <w:rFonts w:hint="eastAsia"/>
          <w:kern w:val="0"/>
        </w:rPr>
        <w:t>9</w:t>
      </w:r>
      <w:r>
        <w:rPr>
          <w:kern w:val="0"/>
        </w:rPr>
        <w:t xml:space="preserve">), </w:t>
      </w:r>
      <w:r>
        <w:t>New 2-constant equation of state - Reply</w:t>
      </w:r>
      <w:r>
        <w:rPr>
          <w:kern w:val="0"/>
        </w:rPr>
        <w:t xml:space="preserve">. </w:t>
      </w:r>
      <w:r>
        <w:rPr>
          <w:i/>
          <w:iCs/>
          <w:kern w:val="0"/>
        </w:rPr>
        <w:t>Industrial &amp; Engineering Chemistry Fundamentals</w:t>
      </w:r>
      <w:r>
        <w:rPr>
          <w:kern w:val="0"/>
        </w:rPr>
        <w:t xml:space="preserve">, </w:t>
      </w:r>
      <w:r>
        <w:rPr>
          <w:b/>
          <w:bCs/>
          <w:kern w:val="0"/>
        </w:rPr>
        <w:t>1</w:t>
      </w:r>
      <w:r>
        <w:rPr>
          <w:rFonts w:hint="eastAsia"/>
          <w:b/>
          <w:bCs/>
          <w:kern w:val="0"/>
        </w:rPr>
        <w:t>8</w:t>
      </w:r>
      <w:r>
        <w:rPr>
          <w:kern w:val="0"/>
        </w:rPr>
        <w:t xml:space="preserve"> (</w:t>
      </w:r>
      <w:r>
        <w:rPr>
          <w:rFonts w:hint="eastAsia"/>
          <w:kern w:val="0"/>
        </w:rPr>
        <w:t>2</w:t>
      </w:r>
      <w:r>
        <w:rPr>
          <w:kern w:val="0"/>
        </w:rPr>
        <w:t xml:space="preserve">), </w:t>
      </w:r>
      <w:r>
        <w:rPr>
          <w:rFonts w:hint="eastAsia"/>
          <w:kern w:val="0"/>
        </w:rPr>
        <w:t>197</w:t>
      </w:r>
      <w:r>
        <w:rPr>
          <w:kern w:val="0"/>
        </w:rPr>
        <w:t>.</w:t>
      </w:r>
    </w:p>
    <w:p w:rsidR="004B36F6" w:rsidRDefault="004B36F6" w:rsidP="004B36F6">
      <w:pPr>
        <w:pStyle w:val="a0"/>
      </w:pPr>
      <w:r>
        <w:t xml:space="preserve">Full Text: </w:t>
      </w:r>
      <w:hyperlink r:id="rId1037" w:history="1">
        <w:r w:rsidRPr="004B36F6">
          <w:rPr>
            <w:rStyle w:val="a5"/>
          </w:rPr>
          <w:t>1960-80\Ind Eng Che Fun18, 197.pdf</w:t>
        </w:r>
      </w:hyperlink>
    </w:p>
    <w:p w:rsidR="00B95188" w:rsidRPr="00A428C3" w:rsidRDefault="00B95188" w:rsidP="00B95188">
      <w:pPr>
        <w:pStyle w:val="1"/>
      </w:pPr>
      <w:r w:rsidRPr="00A428C3">
        <w:br w:type="page"/>
      </w:r>
      <w:bookmarkStart w:id="937" w:name="_Toc455569473"/>
      <w:bookmarkStart w:id="938" w:name="_Toc487190714"/>
      <w:bookmarkStart w:id="939" w:name="_Toc487882219"/>
      <w:bookmarkStart w:id="940" w:name="_Toc490688041"/>
      <w:bookmarkStart w:id="941" w:name="_Toc492812152"/>
      <w:bookmarkStart w:id="942" w:name="_Toc186647845"/>
      <w:bookmarkStart w:id="943" w:name="_Toc317161142"/>
      <w:r w:rsidRPr="00A428C3">
        <w:lastRenderedPageBreak/>
        <w:t xml:space="preserve">Title: </w:t>
      </w:r>
      <w:bookmarkEnd w:id="937"/>
      <w:bookmarkEnd w:id="938"/>
      <w:bookmarkEnd w:id="939"/>
      <w:bookmarkEnd w:id="940"/>
      <w:bookmarkEnd w:id="941"/>
      <w:r w:rsidRPr="00A428C3">
        <w:t>Industrial &amp; Engineering Chemistry Process Design</w:t>
      </w:r>
      <w:r w:rsidR="00F81221">
        <w:t xml:space="preserve"> and </w:t>
      </w:r>
      <w:r w:rsidRPr="00A428C3">
        <w:t>Development</w:t>
      </w:r>
      <w:bookmarkEnd w:id="942"/>
      <w:bookmarkEnd w:id="943"/>
    </w:p>
    <w:p w:rsidR="00B95188" w:rsidRPr="00A428C3" w:rsidRDefault="0058734C" w:rsidP="00B72EF9">
      <w:pPr>
        <w:pStyle w:val="12"/>
      </w:pPr>
      <w:hyperlink r:id="rId1038" w:history="1">
        <w:r w:rsidR="00B95188" w:rsidRPr="00A428C3">
          <w:rPr>
            <w:rStyle w:val="a5"/>
          </w:rPr>
          <w:t>Industrial &amp; Engineering Chemistry Research</w:t>
        </w:r>
      </w:hyperlink>
    </w:p>
    <w:p w:rsidR="00B95188" w:rsidRPr="00A428C3" w:rsidRDefault="0058734C" w:rsidP="00B72EF9">
      <w:pPr>
        <w:pStyle w:val="12"/>
      </w:pPr>
      <w:hyperlink r:id="rId1039" w:history="1">
        <w:r w:rsidR="00B95188" w:rsidRPr="00A428C3">
          <w:rPr>
            <w:rStyle w:val="a5"/>
          </w:rPr>
          <w:t>I&amp;EC</w:t>
        </w:r>
      </w:hyperlink>
      <w:r w:rsidR="00B95188" w:rsidRPr="00A428C3">
        <w:t xml:space="preserve"> Industrial &amp; Engineering Chemistry (1909-1970)</w:t>
      </w:r>
    </w:p>
    <w:p w:rsidR="00B95188" w:rsidRPr="00A428C3" w:rsidRDefault="0058734C" w:rsidP="00B72EF9">
      <w:pPr>
        <w:pStyle w:val="12"/>
      </w:pPr>
      <w:hyperlink r:id="rId1040" w:history="1">
        <w:r w:rsidR="00B95188" w:rsidRPr="00A428C3">
          <w:rPr>
            <w:rStyle w:val="a5"/>
          </w:rPr>
          <w:t>I&amp;EC Fundamentals</w:t>
        </w:r>
      </w:hyperlink>
      <w:r w:rsidR="00B95188" w:rsidRPr="00A428C3">
        <w:t xml:space="preserve"> (1962-1986)</w:t>
      </w:r>
    </w:p>
    <w:p w:rsidR="00B95188" w:rsidRPr="00A428C3" w:rsidRDefault="0058734C" w:rsidP="00B72EF9">
      <w:pPr>
        <w:pStyle w:val="12"/>
      </w:pPr>
      <w:hyperlink r:id="rId1041" w:history="1">
        <w:r w:rsidR="00B95188" w:rsidRPr="00A428C3">
          <w:rPr>
            <w:rStyle w:val="a5"/>
          </w:rPr>
          <w:t>I&amp;EC Process Design</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58734C" w:rsidP="00B72EF9">
      <w:pPr>
        <w:pStyle w:val="12"/>
      </w:pPr>
      <w:hyperlink r:id="rId1042" w:history="1">
        <w:r w:rsidR="00B95188" w:rsidRPr="00A428C3">
          <w:rPr>
            <w:rStyle w:val="a5"/>
          </w:rPr>
          <w:t>I&amp;EC Product Research</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B95188" w:rsidP="00B72EF9">
      <w:pPr>
        <w:pStyle w:val="12"/>
      </w:pPr>
      <w:r w:rsidRPr="00A428C3">
        <w:t>Full Journal Title: Industrial &amp; Engineering Chemistry Process Design</w:t>
      </w:r>
      <w:r w:rsidR="00F81221">
        <w:t xml:space="preserve"> and </w:t>
      </w:r>
      <w:r w:rsidRPr="00A428C3">
        <w:t>Development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Blumenth, J.L.</w:t>
      </w:r>
      <w:r w:rsidR="00F81221">
        <w:t xml:space="preserve"> and </w:t>
      </w:r>
      <w:r w:rsidRPr="00A428C3">
        <w:t>Nobe, K. (1966), Catalytic combustion</w:t>
      </w:r>
      <w:r w:rsidR="00F81221">
        <w:t xml:space="preserve"> and </w:t>
      </w:r>
      <w:r w:rsidRPr="00A428C3">
        <w:t xml:space="preserve">adsorption kinetics of carbon monoxide on cupric oxide.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5</w:t>
      </w:r>
      <w:r w:rsidRPr="00A428C3">
        <w:t xml:space="preserve"> (2), 177-183.</w:t>
      </w:r>
    </w:p>
    <w:p w:rsidR="00B95188" w:rsidRPr="00A428C3" w:rsidRDefault="00B95188" w:rsidP="00B95188">
      <w:pPr>
        <w:pStyle w:val="a0"/>
      </w:pPr>
      <w:r w:rsidRPr="00A428C3">
        <w:t xml:space="preserve">Full Text: </w:t>
      </w:r>
      <w:hyperlink r:id="rId1043" w:history="1">
        <w:r w:rsidRPr="00A428C3">
          <w:rPr>
            <w:rStyle w:val="a5"/>
          </w:rPr>
          <w:t>I\Ind Eng Che Pro Des Dev5, 177.pdf</w:t>
        </w:r>
      </w:hyperlink>
    </w:p>
    <w:p w:rsidR="00B95188" w:rsidRPr="00A428C3" w:rsidRDefault="00B95188" w:rsidP="00B95188">
      <w:pPr>
        <w:pStyle w:val="a0"/>
      </w:pPr>
      <w:smartTag w:uri="urn:schemas-microsoft-com:office:smarttags" w:element="place">
        <w:smartTag w:uri="urn:schemas-microsoft-com:office:smarttags" w:element="City">
          <w:r w:rsidRPr="00A428C3">
            <w:t>Hurst</w:t>
          </w:r>
        </w:smartTag>
      </w:smartTag>
      <w:r w:rsidRPr="00A428C3">
        <w:t>, F.J., Crouse, D.J.</w:t>
      </w:r>
      <w:r w:rsidR="00F81221">
        <w:t xml:space="preserve"> and </w:t>
      </w:r>
      <w:r w:rsidRPr="00A428C3">
        <w:t xml:space="preserve">Brown, K.B. (1972), Recovery of uranium from wet-process phosphoric acid.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11</w:t>
      </w:r>
      <w:r w:rsidRPr="00A428C3">
        <w:t xml:space="preserve"> (1), 122-128.</w:t>
      </w:r>
    </w:p>
    <w:p w:rsidR="00B95188" w:rsidRPr="00A428C3" w:rsidRDefault="00B95188" w:rsidP="00B95188">
      <w:pPr>
        <w:pStyle w:val="a0"/>
      </w:pPr>
      <w:r w:rsidRPr="00A428C3">
        <w:t xml:space="preserve">Full Text: </w:t>
      </w:r>
      <w:hyperlink r:id="rId1044" w:history="1">
        <w:r w:rsidRPr="00A428C3">
          <w:rPr>
            <w:rStyle w:val="a5"/>
          </w:rPr>
          <w:t>I\Ind Eng Che Pro Des Dev11, 122.pdf</w:t>
        </w:r>
      </w:hyperlink>
    </w:p>
    <w:p w:rsidR="00031E3A" w:rsidRPr="00A428C3" w:rsidRDefault="00031E3A" w:rsidP="00031E3A">
      <w:pPr>
        <w:pStyle w:val="a0"/>
      </w:pPr>
      <w:r>
        <w:rPr>
          <w:rFonts w:hint="eastAsia"/>
        </w:rPr>
        <w:t xml:space="preserve">? </w:t>
      </w:r>
      <w:r>
        <w:t>Mavis</w:t>
      </w:r>
      <w:r>
        <w:rPr>
          <w:rFonts w:hint="eastAsia"/>
        </w:rPr>
        <w:t>,</w:t>
      </w:r>
      <w:r>
        <w:t xml:space="preserve"> J</w:t>
      </w:r>
      <w:r>
        <w:rPr>
          <w:rFonts w:hint="eastAsia"/>
        </w:rPr>
        <w:t>.</w:t>
      </w:r>
      <w:r>
        <w:t>D</w:t>
      </w:r>
      <w:r>
        <w:rPr>
          <w:rFonts w:hint="eastAsia"/>
        </w:rPr>
        <w:t>.</w:t>
      </w:r>
      <w:r w:rsidR="00F81221">
        <w:rPr>
          <w:rFonts w:hint="eastAsia"/>
        </w:rPr>
        <w:t xml:space="preserve"> and </w:t>
      </w:r>
      <w:r>
        <w:t>Checkovich</w:t>
      </w:r>
      <w:r>
        <w:rPr>
          <w:rFonts w:hint="eastAsia"/>
        </w:rPr>
        <w:t>,</w:t>
      </w:r>
      <w:r>
        <w:t xml:space="preserve"> A</w:t>
      </w:r>
      <w:r>
        <w:rPr>
          <w:rFonts w:hint="eastAsia"/>
        </w:rPr>
        <w:t>.</w:t>
      </w:r>
      <w:r w:rsidRPr="00A428C3">
        <w:t xml:space="preserve"> (197</w:t>
      </w:r>
      <w:r>
        <w:rPr>
          <w:rFonts w:hint="eastAsia"/>
        </w:rPr>
        <w:t>5</w:t>
      </w:r>
      <w:r w:rsidRPr="00A428C3">
        <w:t xml:space="preserve">), </w:t>
      </w:r>
      <w:r>
        <w:t>Sea-water softening with lime-magnesium carbonate (LMC) process</w:t>
      </w:r>
      <w:r w:rsidRPr="00A428C3">
        <w:t xml:space="preserve">.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1</w:t>
      </w:r>
      <w:r>
        <w:rPr>
          <w:rFonts w:hint="eastAsia"/>
          <w:b/>
        </w:rPr>
        <w:t>4</w:t>
      </w:r>
      <w:r w:rsidRPr="00A428C3">
        <w:t xml:space="preserve"> (</w:t>
      </w:r>
      <w:r>
        <w:rPr>
          <w:rFonts w:hint="eastAsia"/>
        </w:rPr>
        <w:t>3</w:t>
      </w:r>
      <w:r w:rsidRPr="00A428C3">
        <w:t xml:space="preserve">), </w:t>
      </w:r>
      <w:r>
        <w:t>204-209</w:t>
      </w:r>
      <w:r w:rsidRPr="00A428C3">
        <w:t>.</w:t>
      </w:r>
    </w:p>
    <w:p w:rsidR="00031E3A" w:rsidRDefault="00031E3A" w:rsidP="00031E3A">
      <w:pPr>
        <w:pStyle w:val="a0"/>
      </w:pPr>
      <w:r w:rsidRPr="00A428C3">
        <w:t xml:space="preserve">Full Text: </w:t>
      </w:r>
      <w:hyperlink r:id="rId1045" w:history="1">
        <w:r w:rsidRPr="00031E3A">
          <w:rPr>
            <w:rStyle w:val="a5"/>
          </w:rPr>
          <w:t>1960-80\Ind Eng Che Pro Des Dev14, 204.pdf</w:t>
        </w:r>
      </w:hyperlink>
    </w:p>
    <w:p w:rsidR="00031E3A" w:rsidRDefault="00031E3A" w:rsidP="00031E3A">
      <w:pPr>
        <w:pStyle w:val="a0"/>
      </w:pPr>
      <w:r>
        <w:rPr>
          <w:rFonts w:hint="eastAsia"/>
        </w:rPr>
        <w:t xml:space="preserve">Abstract: </w:t>
      </w:r>
      <w:r>
        <w:t>A pilot plant to remove 70% of the calcium from sea water using the lime-magnesium carbonate (LMC) process was tested</w:t>
      </w:r>
      <w:r w:rsidR="00F81221">
        <w:t xml:space="preserve"> and </w:t>
      </w:r>
      <w:r>
        <w:t>improved. The calcium-deficient LMC product water was used as feed to a distillation desalting plant which was operated scale-free at 335</w:t>
      </w:r>
      <w:r w:rsidR="000352E7">
        <w:t>’</w:t>
      </w:r>
      <w:r>
        <w:t>F</w:t>
      </w:r>
      <w:r w:rsidR="00F81221">
        <w:t xml:space="preserve"> and </w:t>
      </w:r>
      <w:r>
        <w:t xml:space="preserve">above. LMC pretreatment is estimated to cost 5.1&amp;/1000 gal of treated water for a plant sized to supply a 50 million gal/day desalting plant. The process may find use with desalting processes </w:t>
      </w:r>
      <w:r>
        <w:lastRenderedPageBreak/>
        <w:t>using feed water more saline than the oceans.</w:t>
      </w:r>
    </w:p>
    <w:p w:rsidR="00962049" w:rsidRDefault="00962049" w:rsidP="00962049">
      <w:pPr>
        <w:pStyle w:val="a0"/>
      </w:pPr>
      <w:r>
        <w:rPr>
          <w:rFonts w:hint="eastAsia"/>
        </w:rPr>
        <w:t>Notes: highly cited</w:t>
      </w:r>
    </w:p>
    <w:p w:rsidR="00962049" w:rsidRPr="00A428C3" w:rsidRDefault="00962049" w:rsidP="00962049">
      <w:pPr>
        <w:pStyle w:val="a0"/>
      </w:pPr>
      <w:r>
        <w:rPr>
          <w:rFonts w:hint="eastAsia"/>
        </w:rPr>
        <w:t xml:space="preserve">? </w:t>
      </w:r>
      <w:r>
        <w:t>Hayden, J</w:t>
      </w:r>
      <w:r>
        <w:rPr>
          <w:rFonts w:hint="eastAsia"/>
        </w:rPr>
        <w:t>.</w:t>
      </w:r>
      <w:r>
        <w:t>G</w:t>
      </w:r>
      <w:r>
        <w:rPr>
          <w:rFonts w:hint="eastAsia"/>
        </w:rPr>
        <w:t>. and</w:t>
      </w:r>
      <w:r>
        <w:t xml:space="preserve"> Oconnell, J</w:t>
      </w:r>
      <w:r>
        <w:rPr>
          <w:rFonts w:hint="eastAsia"/>
        </w:rPr>
        <w:t>.</w:t>
      </w:r>
      <w:r>
        <w:t>P</w:t>
      </w:r>
      <w:r>
        <w:rPr>
          <w:rFonts w:hint="eastAsia"/>
        </w:rPr>
        <w:t>.</w:t>
      </w:r>
      <w:r w:rsidRPr="00A428C3">
        <w:t xml:space="preserve"> (197</w:t>
      </w:r>
      <w:r>
        <w:rPr>
          <w:rFonts w:hint="eastAsia"/>
        </w:rPr>
        <w:t>5</w:t>
      </w:r>
      <w:r w:rsidRPr="00A428C3">
        <w:t xml:space="preserve">), </w:t>
      </w:r>
      <w:r>
        <w:t>Generalized method for predicting 2nd virial-coefficients</w:t>
      </w:r>
      <w:r w:rsidRPr="00A428C3">
        <w:t xml:space="preserve">. </w:t>
      </w:r>
      <w:r w:rsidRPr="00A428C3">
        <w:rPr>
          <w:i/>
          <w:iCs/>
        </w:rPr>
        <w:t>Industrial &amp; Engineering Chemistry Process Design</w:t>
      </w:r>
      <w:r>
        <w:rPr>
          <w:i/>
          <w:iCs/>
        </w:rPr>
        <w:t xml:space="preserve"> and </w:t>
      </w:r>
      <w:r w:rsidRPr="00A428C3">
        <w:rPr>
          <w:i/>
          <w:iCs/>
        </w:rPr>
        <w:t>Development</w:t>
      </w:r>
      <w:r w:rsidRPr="00A428C3">
        <w:t xml:space="preserve">, </w:t>
      </w:r>
      <w:r w:rsidRPr="00A428C3">
        <w:rPr>
          <w:b/>
        </w:rPr>
        <w:t>1</w:t>
      </w:r>
      <w:r>
        <w:rPr>
          <w:rFonts w:hint="eastAsia"/>
          <w:b/>
        </w:rPr>
        <w:t>4</w:t>
      </w:r>
      <w:r w:rsidRPr="00A428C3">
        <w:t xml:space="preserve"> (</w:t>
      </w:r>
      <w:r>
        <w:rPr>
          <w:rFonts w:hint="eastAsia"/>
        </w:rPr>
        <w:t>3</w:t>
      </w:r>
      <w:r w:rsidRPr="00A428C3">
        <w:t xml:space="preserve">), </w:t>
      </w:r>
      <w:r>
        <w:t>209-216</w:t>
      </w:r>
      <w:r w:rsidRPr="00A428C3">
        <w:t>.</w:t>
      </w:r>
    </w:p>
    <w:p w:rsidR="00962049" w:rsidRDefault="00962049" w:rsidP="00962049">
      <w:pPr>
        <w:pStyle w:val="a0"/>
      </w:pPr>
      <w:r w:rsidRPr="00A428C3">
        <w:t xml:space="preserve">Full Text: </w:t>
      </w:r>
      <w:hyperlink r:id="rId1046" w:history="1">
        <w:r w:rsidRPr="00962049">
          <w:rPr>
            <w:rStyle w:val="a5"/>
          </w:rPr>
          <w:t>1960-80\Ind Eng Che Pro Des Dev14, 209.pdf</w:t>
        </w:r>
      </w:hyperlink>
    </w:p>
    <w:p w:rsidR="00962049" w:rsidRDefault="00962049" w:rsidP="00962049">
      <w:pPr>
        <w:pStyle w:val="a0"/>
      </w:pPr>
      <w:r>
        <w:rPr>
          <w:rFonts w:hint="eastAsia"/>
        </w:rPr>
        <w:t xml:space="preserve">Abstract: </w:t>
      </w:r>
      <w:r>
        <w:t>Expressions for predicting pure-component and cross second virial coefficients for simple and complex systems have been developed from the bound-pair formalism of Stogryn and Hirschfelder. For pure components, the generalized correlation requires the critical temperature and pressure, Thompson</w:t>
      </w:r>
      <w:r w:rsidR="000352E7">
        <w:t>’</w:t>
      </w:r>
      <w:r>
        <w:t>s mean radius of gyration or the parachor, dipole moment, and, if appropriate, a parameter to describe chemical association which depends only in the type of group (hydroxyl, amine, ester, carboxylic acid, etc.). Mixing rules have been developed for predicting cross coefficients and solvation effects can be accounted for in a similar manner to association. Agreement with experimental data on 39 nonpolar and 102 polar and associating compounds, 119 mixed nonpolar systems, and 73 mixed systems involving polar compounds, is comparable to or better than that of several other correlations including those which require data to obtain parameters. The method should be most accurate for systems of complex molecules where no data are available.</w:t>
      </w:r>
    </w:p>
    <w:p w:rsidR="00031E3A" w:rsidRPr="00A428C3" w:rsidRDefault="00031E3A" w:rsidP="00031E3A">
      <w:pPr>
        <w:pStyle w:val="a0"/>
      </w:pPr>
      <w:r w:rsidRPr="00A428C3">
        <w:t>Alexander, F., Poots, V.J.P.</w:t>
      </w:r>
      <w:r w:rsidR="00F81221">
        <w:t xml:space="preserve"> and </w:t>
      </w:r>
      <w:r w:rsidRPr="00A428C3">
        <w:t>McKay, G. (1978), Adsorption kinetics</w:t>
      </w:r>
      <w:r w:rsidR="00F81221">
        <w:t xml:space="preserve"> and </w:t>
      </w:r>
      <w:r w:rsidRPr="00A428C3">
        <w:t xml:space="preserve">diffusional mass transfer processes during color removal from effluent using silica.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17</w:t>
      </w:r>
      <w:r w:rsidRPr="00A428C3">
        <w:t xml:space="preserve"> (4), 406-410.</w:t>
      </w:r>
    </w:p>
    <w:p w:rsidR="00031E3A" w:rsidRPr="00A428C3" w:rsidRDefault="00031E3A" w:rsidP="00031E3A">
      <w:pPr>
        <w:pStyle w:val="a0"/>
      </w:pPr>
      <w:r w:rsidRPr="00A428C3">
        <w:t xml:space="preserve">Full Text: </w:t>
      </w:r>
      <w:hyperlink r:id="rId1047" w:history="1">
        <w:r w:rsidRPr="00A428C3">
          <w:rPr>
            <w:rStyle w:val="a5"/>
          </w:rPr>
          <w:t>I\Ind Eng Che Pro Des Dev17, 406.pdf</w:t>
        </w:r>
      </w:hyperlink>
    </w:p>
    <w:p w:rsidR="00B95188" w:rsidRPr="00A428C3" w:rsidRDefault="00B95188" w:rsidP="00B95188">
      <w:pPr>
        <w:pStyle w:val="a0"/>
      </w:pPr>
      <w:r w:rsidRPr="00A428C3">
        <w:t>McKay, G.</w:t>
      </w:r>
      <w:r w:rsidR="00F81221">
        <w:t xml:space="preserve"> and </w:t>
      </w:r>
      <w:r w:rsidRPr="00A428C3">
        <w:t xml:space="preserve">McLain, H.D. (1980), Fluidization characteristics of cuboids.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19</w:t>
      </w:r>
      <w:r w:rsidRPr="00A428C3">
        <w:t xml:space="preserve"> (4), 712-715.</w:t>
      </w:r>
    </w:p>
    <w:p w:rsidR="00B95188" w:rsidRPr="00A428C3" w:rsidRDefault="00B95188" w:rsidP="00B95188">
      <w:pPr>
        <w:pStyle w:val="a0"/>
      </w:pPr>
      <w:r w:rsidRPr="00A428C3">
        <w:t xml:space="preserve">Full Text: </w:t>
      </w:r>
      <w:hyperlink r:id="rId1048" w:history="1">
        <w:r w:rsidRPr="00A428C3">
          <w:rPr>
            <w:rStyle w:val="a5"/>
          </w:rPr>
          <w:t>I\Ind Eng Che Pro Des Dev19, 712.pdf</w:t>
        </w:r>
      </w:hyperlink>
    </w:p>
    <w:p w:rsidR="00B95188" w:rsidRPr="00A428C3" w:rsidRDefault="00B95188" w:rsidP="00B95188">
      <w:pPr>
        <w:pStyle w:val="a0"/>
      </w:pPr>
      <w:bookmarkStart w:id="944" w:name="Liberti"/>
      <w:r w:rsidRPr="00A428C3">
        <w:t>Liberti</w:t>
      </w:r>
      <w:bookmarkEnd w:id="944"/>
      <w:r w:rsidRPr="00A428C3">
        <w:t>, L.</w:t>
      </w:r>
      <w:r w:rsidR="00F81221">
        <w:t xml:space="preserve"> and </w:t>
      </w:r>
      <w:bookmarkStart w:id="945" w:name="Passino"/>
      <w:r w:rsidRPr="00A428C3">
        <w:t>Passino</w:t>
      </w:r>
      <w:bookmarkEnd w:id="945"/>
      <w:r w:rsidRPr="00A428C3">
        <w:t xml:space="preserve">, R. (1972), </w:t>
      </w:r>
      <w:bookmarkStart w:id="946" w:name="simplified"/>
      <w:r w:rsidRPr="00A428C3">
        <w:t>Simplified</w:t>
      </w:r>
      <w:bookmarkEnd w:id="946"/>
      <w:r w:rsidRPr="00A428C3">
        <w:t xml:space="preserve"> </w:t>
      </w:r>
      <w:bookmarkStart w:id="947" w:name="method"/>
      <w:r w:rsidRPr="00A428C3">
        <w:t>method</w:t>
      </w:r>
      <w:bookmarkEnd w:id="947"/>
      <w:r w:rsidRPr="00A428C3">
        <w:t xml:space="preserve"> for </w:t>
      </w:r>
      <w:bookmarkStart w:id="948" w:name="calculating"/>
      <w:r w:rsidRPr="00A428C3">
        <w:t>calculating</w:t>
      </w:r>
      <w:bookmarkEnd w:id="948"/>
      <w:r w:rsidRPr="00A428C3">
        <w:t xml:space="preserve"> </w:t>
      </w:r>
      <w:bookmarkStart w:id="949" w:name="cyclic"/>
      <w:r w:rsidRPr="00A428C3">
        <w:t>cyclic</w:t>
      </w:r>
      <w:bookmarkEnd w:id="949"/>
      <w:r w:rsidRPr="00A428C3">
        <w:t xml:space="preserve"> </w:t>
      </w:r>
      <w:bookmarkStart w:id="950" w:name="exhaustion"/>
      <w:r w:rsidRPr="00A428C3">
        <w:t>exhaustion</w:t>
      </w:r>
      <w:bookmarkEnd w:id="950"/>
      <w:r w:rsidRPr="00A428C3">
        <w:t>-</w:t>
      </w:r>
      <w:bookmarkStart w:id="951" w:name="regeneration"/>
      <w:r w:rsidRPr="00A428C3">
        <w:t>regeneration</w:t>
      </w:r>
      <w:bookmarkEnd w:id="951"/>
      <w:r w:rsidRPr="00A428C3">
        <w:t xml:space="preserve"> </w:t>
      </w:r>
      <w:bookmarkStart w:id="952" w:name="operations"/>
      <w:r w:rsidRPr="00A428C3">
        <w:t>operations</w:t>
      </w:r>
      <w:bookmarkEnd w:id="952"/>
      <w:r w:rsidRPr="00A428C3">
        <w:t xml:space="preserve"> in </w:t>
      </w:r>
      <w:bookmarkStart w:id="953" w:name="fixed"/>
      <w:r w:rsidRPr="00A428C3">
        <w:t>fixed</w:t>
      </w:r>
      <w:bookmarkEnd w:id="953"/>
      <w:r w:rsidRPr="00A428C3">
        <w:t>-</w:t>
      </w:r>
      <w:bookmarkStart w:id="954" w:name="bed"/>
      <w:r w:rsidRPr="00A428C3">
        <w:t>bed</w:t>
      </w:r>
      <w:bookmarkEnd w:id="954"/>
      <w:r w:rsidRPr="00A428C3">
        <w:t xml:space="preserve"> </w:t>
      </w:r>
      <w:bookmarkStart w:id="955" w:name="adsorbers"/>
      <w:r w:rsidRPr="00A428C3">
        <w:t>adsorbers</w:t>
      </w:r>
      <w:bookmarkEnd w:id="955"/>
      <w:r w:rsidRPr="00A428C3">
        <w:t xml:space="preserve">.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21</w:t>
      </w:r>
      <w:r w:rsidRPr="00A428C3">
        <w:t xml:space="preserve"> (2), 197-203.</w:t>
      </w:r>
    </w:p>
    <w:p w:rsidR="00B95188" w:rsidRPr="00A428C3" w:rsidRDefault="00B95188" w:rsidP="00B95188">
      <w:pPr>
        <w:pStyle w:val="a0"/>
      </w:pPr>
      <w:r w:rsidRPr="00A428C3">
        <w:t xml:space="preserve">Full Text: </w:t>
      </w:r>
      <w:hyperlink r:id="rId1049" w:history="1">
        <w:r w:rsidRPr="00A428C3">
          <w:rPr>
            <w:rStyle w:val="a5"/>
          </w:rPr>
          <w:t>I\Ind Eng Che Pro Des Dev21, 197.pdf</w:t>
        </w:r>
      </w:hyperlink>
    </w:p>
    <w:p w:rsidR="00B95188" w:rsidRPr="00A428C3" w:rsidRDefault="00B95188" w:rsidP="00B95188">
      <w:pPr>
        <w:pStyle w:val="a0"/>
      </w:pPr>
      <w:r w:rsidRPr="00A428C3">
        <w:t>McKay, G.</w:t>
      </w:r>
      <w:r w:rsidR="00F81221">
        <w:t xml:space="preserve"> and </w:t>
      </w:r>
      <w:r w:rsidRPr="00A428C3">
        <w:t xml:space="preserve">Walters, J.H.R. (1984), Solution to homogeneous diffusion mass transport equation.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23</w:t>
      </w:r>
      <w:r w:rsidRPr="00A428C3">
        <w:t xml:space="preserve"> (1), 181-182.</w:t>
      </w:r>
    </w:p>
    <w:p w:rsidR="00B95188" w:rsidRPr="00A428C3" w:rsidRDefault="00B95188" w:rsidP="00B95188">
      <w:pPr>
        <w:pStyle w:val="a0"/>
      </w:pPr>
      <w:r w:rsidRPr="00A428C3">
        <w:t xml:space="preserve">Full Text: </w:t>
      </w:r>
      <w:hyperlink r:id="rId1050" w:history="1">
        <w:r w:rsidRPr="00A428C3">
          <w:rPr>
            <w:rStyle w:val="a5"/>
          </w:rPr>
          <w:t>I\Ind Eng Che Pro Des Dev23, 181.pdf</w:t>
        </w:r>
      </w:hyperlink>
    </w:p>
    <w:p w:rsidR="00B95188" w:rsidRPr="00A428C3" w:rsidRDefault="00B95188" w:rsidP="00B95188">
      <w:pPr>
        <w:pStyle w:val="a0"/>
      </w:pPr>
      <w:r w:rsidRPr="00A428C3">
        <w:t>McKay, G., Allen, S.J., McConvey, I.F.</w:t>
      </w:r>
      <w:r w:rsidR="00F81221">
        <w:t xml:space="preserve"> and </w:t>
      </w:r>
      <w:r w:rsidRPr="00A428C3">
        <w:t>Walters, J.H.R. (1984), External mass transfer</w:t>
      </w:r>
      <w:r w:rsidR="00F81221">
        <w:t xml:space="preserve"> and </w:t>
      </w:r>
      <w:r w:rsidRPr="00A428C3">
        <w:t xml:space="preserve">homogeneous solid-phase diffusion effects during the adsorption of dyestuffs.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23</w:t>
      </w:r>
      <w:r w:rsidRPr="00A428C3">
        <w:t xml:space="preserve"> (2), 221-226.</w:t>
      </w:r>
    </w:p>
    <w:p w:rsidR="00B95188" w:rsidRPr="00A428C3" w:rsidRDefault="00B95188" w:rsidP="00B95188">
      <w:pPr>
        <w:pStyle w:val="a0"/>
      </w:pPr>
      <w:r w:rsidRPr="00A428C3">
        <w:lastRenderedPageBreak/>
        <w:t xml:space="preserve">Full Text: </w:t>
      </w:r>
      <w:hyperlink r:id="rId1051" w:history="1">
        <w:r w:rsidRPr="00A428C3">
          <w:rPr>
            <w:rStyle w:val="a5"/>
          </w:rPr>
          <w:t>I\Ind Eng Che Pro Des Dev23, 221.pdf</w:t>
        </w:r>
      </w:hyperlink>
    </w:p>
    <w:p w:rsidR="00B95188" w:rsidRPr="00A428C3" w:rsidRDefault="00B95188" w:rsidP="00B95188">
      <w:pPr>
        <w:pStyle w:val="a0"/>
      </w:pPr>
      <w:r w:rsidRPr="00A428C3">
        <w:t>O</w:t>
      </w:r>
      <w:r w:rsidR="000352E7">
        <w:t>’</w:t>
      </w:r>
      <w:r w:rsidRPr="00A428C3">
        <w:t>Brien, J.A.</w:t>
      </w:r>
      <w:r w:rsidR="00F81221">
        <w:t xml:space="preserve"> and </w:t>
      </w:r>
      <w:r w:rsidRPr="00A428C3">
        <w:t xml:space="preserve">Myers, A.L. (1985), Rapid calculations of multicomponent adsorption from pure isotherm dats. </w:t>
      </w:r>
      <w:r w:rsidRPr="00A428C3">
        <w:rPr>
          <w:i/>
          <w:iCs/>
        </w:rPr>
        <w:t>Industrial &amp; Engineering Chemistry Process Design</w:t>
      </w:r>
      <w:r w:rsidR="00F81221">
        <w:rPr>
          <w:i/>
          <w:iCs/>
        </w:rPr>
        <w:t xml:space="preserve"> and </w:t>
      </w:r>
      <w:r w:rsidRPr="00A428C3">
        <w:rPr>
          <w:i/>
          <w:iCs/>
        </w:rPr>
        <w:t>Development</w:t>
      </w:r>
      <w:r w:rsidRPr="00A428C3">
        <w:t xml:space="preserve">, </w:t>
      </w:r>
      <w:r w:rsidRPr="00A428C3">
        <w:rPr>
          <w:b/>
        </w:rPr>
        <w:t>24</w:t>
      </w:r>
      <w:r w:rsidRPr="00A428C3">
        <w:t xml:space="preserve"> (4), 1188-1191.</w:t>
      </w:r>
    </w:p>
    <w:p w:rsidR="00B95188" w:rsidRPr="00A428C3" w:rsidRDefault="00B95188" w:rsidP="00B95188">
      <w:pPr>
        <w:pStyle w:val="a0"/>
      </w:pPr>
      <w:r w:rsidRPr="00A428C3">
        <w:t xml:space="preserve">Full Text: </w:t>
      </w:r>
      <w:hyperlink r:id="rId1052" w:history="1">
        <w:r w:rsidRPr="00A428C3">
          <w:rPr>
            <w:rStyle w:val="a5"/>
          </w:rPr>
          <w:t>I\Ind Eng Che Pro Des Dev24, 1188.pdf</w:t>
        </w:r>
      </w:hyperlink>
    </w:p>
    <w:p w:rsidR="00B95188" w:rsidRPr="00A428C3" w:rsidRDefault="00B95188" w:rsidP="00B95188">
      <w:pPr>
        <w:pStyle w:val="1"/>
      </w:pPr>
      <w:r w:rsidRPr="00A428C3">
        <w:br w:type="page"/>
      </w:r>
      <w:bookmarkStart w:id="956" w:name="_Toc186647846"/>
      <w:bookmarkStart w:id="957" w:name="_Toc317161143"/>
      <w:r w:rsidRPr="00A428C3">
        <w:lastRenderedPageBreak/>
        <w:t>Title: Industrial &amp; Engineering Chemistry Product Research</w:t>
      </w:r>
      <w:r w:rsidR="00F81221">
        <w:t xml:space="preserve"> and </w:t>
      </w:r>
      <w:r w:rsidRPr="00A428C3">
        <w:t>Development</w:t>
      </w:r>
      <w:bookmarkEnd w:id="956"/>
      <w:bookmarkEnd w:id="957"/>
    </w:p>
    <w:p w:rsidR="00B95188" w:rsidRPr="00A428C3" w:rsidRDefault="00B95188" w:rsidP="00B72EF9">
      <w:pPr>
        <w:pStyle w:val="12"/>
      </w:pPr>
      <w:r w:rsidRPr="00A428C3">
        <w:t xml:space="preserve">Full Journal Title: </w:t>
      </w:r>
      <w:hyperlink r:id="rId1053" w:history="1">
        <w:r w:rsidRPr="00A428C3">
          <w:rPr>
            <w:rStyle w:val="a5"/>
          </w:rPr>
          <w:t>Industrial &amp; Engineering Chemistry Product Research</w:t>
        </w:r>
        <w:r w:rsidR="00F81221">
          <w:rPr>
            <w:rStyle w:val="a5"/>
          </w:rPr>
          <w:t xml:space="preserve"> and </w:t>
        </w:r>
        <w:r w:rsidRPr="00A428C3">
          <w:rPr>
            <w:rStyle w:val="a5"/>
          </w:rPr>
          <w:t>Development</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 Ind Eng Chem Prod Res Develop</w:t>
      </w:r>
    </w:p>
    <w:p w:rsidR="00B95188" w:rsidRPr="00A428C3" w:rsidRDefault="00B95188" w:rsidP="00B72EF9">
      <w:pPr>
        <w:pStyle w:val="12"/>
      </w:pPr>
      <w:r w:rsidRPr="00A428C3">
        <w:t>ISSN: 0196-4321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Chien, M.W., Pearson, I.M.</w:t>
      </w:r>
      <w:r w:rsidR="00F81221">
        <w:t xml:space="preserve"> and </w:t>
      </w:r>
      <w:r w:rsidRPr="00A428C3">
        <w:t>Nobe, K. (1975), Reduction</w:t>
      </w:r>
      <w:r w:rsidR="00F81221">
        <w:t xml:space="preserve"> and </w:t>
      </w:r>
      <w:r w:rsidRPr="00A428C3">
        <w:t xml:space="preserve">adsorption kinetics of nitric oxide on cobalt perovskite catalysts. </w:t>
      </w:r>
      <w:r w:rsidRPr="00A428C3">
        <w:rPr>
          <w:i/>
          <w:iCs/>
        </w:rPr>
        <w:t>Industrial &amp; Engineering Chemistry Product Research</w:t>
      </w:r>
      <w:r w:rsidR="00F81221">
        <w:rPr>
          <w:i/>
          <w:iCs/>
        </w:rPr>
        <w:t xml:space="preserve"> and </w:t>
      </w:r>
      <w:r w:rsidRPr="00A428C3">
        <w:rPr>
          <w:i/>
          <w:iCs/>
        </w:rPr>
        <w:t>Development</w:t>
      </w:r>
      <w:r w:rsidRPr="00A428C3">
        <w:t xml:space="preserve">, </w:t>
      </w:r>
      <w:r w:rsidRPr="00A428C3">
        <w:rPr>
          <w:b/>
        </w:rPr>
        <w:t>14</w:t>
      </w:r>
      <w:r w:rsidRPr="00A428C3">
        <w:t xml:space="preserve"> (2), 131-134.</w:t>
      </w:r>
    </w:p>
    <w:p w:rsidR="00B95188" w:rsidRPr="00A428C3" w:rsidRDefault="00B95188" w:rsidP="00B95188">
      <w:pPr>
        <w:pStyle w:val="a0"/>
      </w:pPr>
      <w:r w:rsidRPr="00A428C3">
        <w:t xml:space="preserve">Full Text: </w:t>
      </w:r>
      <w:hyperlink r:id="rId1054" w:history="1">
        <w:r w:rsidRPr="00A428C3">
          <w:rPr>
            <w:rStyle w:val="a5"/>
          </w:rPr>
          <w:t>1960-80\Ind Eng Che Pro Res Dev14, 131.pdf</w:t>
        </w:r>
      </w:hyperlink>
    </w:p>
    <w:p w:rsidR="00B95188" w:rsidRPr="00A428C3" w:rsidRDefault="00B95188" w:rsidP="00B95188">
      <w:pPr>
        <w:pStyle w:val="a0"/>
      </w:pPr>
      <w:r w:rsidRPr="00A428C3">
        <w:t>Abstract: The catalytic activities of the perovskites, Lac003</w:t>
      </w:r>
      <w:r w:rsidR="00F81221">
        <w:t xml:space="preserve"> and </w:t>
      </w:r>
      <w:r w:rsidRPr="00A428C3">
        <w:t xml:space="preserve">doped LaCoOs, for the reduction of </w:t>
      </w:r>
      <w:r w:rsidRPr="00A428C3">
        <w:rPr>
          <w:szCs w:val="21"/>
        </w:rPr>
        <w:t xml:space="preserve">NO </w:t>
      </w:r>
      <w:r w:rsidRPr="00A428C3">
        <w:t>with CO at 100</w:t>
      </w:r>
      <w:smartTag w:uri="urn:schemas-microsoft-com:office:smarttags" w:element="chmetcnv">
        <w:smartTagPr>
          <w:attr w:name="TCSC" w:val="0"/>
          <w:attr w:name="NumberType" w:val="1"/>
          <w:attr w:name="Negative" w:val="True"/>
          <w:attr w:name="HasSpace" w:val="False"/>
          <w:attr w:name="SourceValue" w:val="500"/>
          <w:attr w:name="UnitName" w:val="ﾰC"/>
        </w:smartTagPr>
        <w:r w:rsidRPr="00A428C3">
          <w:t>-500°C</w:t>
        </w:r>
      </w:smartTag>
      <w:r w:rsidRPr="00A428C3">
        <w:t xml:space="preserve"> under plug flow reactor conditions, have been investigated. Comparisons were made with other Co oxides. The order of catalytic activity after pretreatment with CO was found to be Co304 </w:t>
      </w:r>
      <w:r w:rsidRPr="00A428C3">
        <w:rPr>
          <w:szCs w:val="26"/>
        </w:rPr>
        <w:t xml:space="preserve">&gt; </w:t>
      </w:r>
      <w:r w:rsidRPr="00A428C3">
        <w:t xml:space="preserve">Ce02-Co304 </w:t>
      </w:r>
      <w:r w:rsidRPr="00A428C3">
        <w:rPr>
          <w:szCs w:val="25"/>
        </w:rPr>
        <w:t xml:space="preserve">&gt; </w:t>
      </w:r>
      <w:r w:rsidRPr="00A428C3">
        <w:t xml:space="preserve">La0,85Bao,~&amp;o03 </w:t>
      </w:r>
      <w:r w:rsidRPr="00A428C3">
        <w:rPr>
          <w:szCs w:val="10"/>
        </w:rPr>
        <w:t xml:space="preserve">=;: </w:t>
      </w:r>
      <w:r w:rsidRPr="00A428C3">
        <w:t>CuCo</w:t>
      </w:r>
      <w:r w:rsidRPr="00A428C3">
        <w:rPr>
          <w:vertAlign w:val="subscript"/>
        </w:rPr>
        <w:t>2</w:t>
      </w:r>
      <w:r w:rsidRPr="00A428C3">
        <w:t>O</w:t>
      </w:r>
      <w:r w:rsidRPr="00A428C3">
        <w:rPr>
          <w:vertAlign w:val="subscript"/>
        </w:rPr>
        <w:t>4</w:t>
      </w:r>
      <w:r w:rsidRPr="00A428C3">
        <w:t xml:space="preserve"> </w:t>
      </w:r>
      <w:r w:rsidRPr="00A428C3">
        <w:rPr>
          <w:szCs w:val="25"/>
        </w:rPr>
        <w:t xml:space="preserve">&gt; </w:t>
      </w:r>
      <w:r w:rsidRPr="00A428C3">
        <w:t>LaCoO</w:t>
      </w:r>
      <w:r w:rsidRPr="00A428C3">
        <w:rPr>
          <w:vertAlign w:val="subscript"/>
        </w:rPr>
        <w:t>3</w:t>
      </w:r>
      <w:r w:rsidRPr="00A428C3">
        <w:t xml:space="preserve"> </w:t>
      </w:r>
      <w:r w:rsidRPr="00A428C3">
        <w:rPr>
          <w:szCs w:val="23"/>
        </w:rPr>
        <w:t xml:space="preserve">= </w:t>
      </w:r>
      <w:r w:rsidRPr="00A428C3">
        <w:t xml:space="preserve">L ~ O . ~ ~ H ~ </w:t>
      </w:r>
      <w:r w:rsidRPr="00A428C3">
        <w:rPr>
          <w:szCs w:val="26"/>
        </w:rPr>
        <w:t>&gt;</w:t>
      </w:r>
      <w:r w:rsidRPr="00A428C3">
        <w:t>~ .La~o.~85CCaO0.1O</w:t>
      </w:r>
      <w:smartTag w:uri="urn:schemas-microsoft-com:office:smarttags" w:element="chmetcnv">
        <w:smartTagPr>
          <w:attr w:name="TCSC" w:val="0"/>
          <w:attr w:name="NumberType" w:val="1"/>
          <w:attr w:name="Negative" w:val="False"/>
          <w:attr w:name="HasSpace" w:val="False"/>
          <w:attr w:name="SourceValue" w:val="5"/>
          <w:attr w:name="UnitName" w:val="C"/>
        </w:smartTagPr>
        <w:r w:rsidRPr="00A428C3">
          <w:t>5C</w:t>
        </w:r>
      </w:smartTag>
      <w:r w:rsidRPr="00A428C3">
        <w:t>~oO 3</w:t>
      </w:r>
      <w:r w:rsidRPr="00A428C3">
        <w:rPr>
          <w:szCs w:val="25"/>
        </w:rPr>
        <w:t xml:space="preserve">&gt; </w:t>
      </w:r>
      <w:r w:rsidRPr="00A428C3">
        <w:t>Lao.~&amp;ro,l5CoO</w:t>
      </w:r>
      <w:r w:rsidRPr="00A428C3">
        <w:rPr>
          <w:vertAlign w:val="subscript"/>
        </w:rPr>
        <w:t>3</w:t>
      </w:r>
      <w:r w:rsidRPr="00A428C3">
        <w:t xml:space="preserve">. In all cases, the reaction rates were zero order in </w:t>
      </w:r>
      <w:r w:rsidRPr="00A428C3">
        <w:rPr>
          <w:szCs w:val="18"/>
        </w:rPr>
        <w:t>CO</w:t>
      </w:r>
      <w:r w:rsidR="00F81221">
        <w:rPr>
          <w:szCs w:val="18"/>
        </w:rPr>
        <w:t xml:space="preserve"> and </w:t>
      </w:r>
      <w:r w:rsidRPr="00A428C3">
        <w:t xml:space="preserve">fractional order in </w:t>
      </w:r>
      <w:r w:rsidRPr="00A428C3">
        <w:rPr>
          <w:szCs w:val="18"/>
        </w:rPr>
        <w:t xml:space="preserve">NO. </w:t>
      </w:r>
      <w:r w:rsidRPr="00A428C3">
        <w:t xml:space="preserve">The latter was converted principally to </w:t>
      </w:r>
      <w:r w:rsidRPr="00A428C3">
        <w:rPr>
          <w:szCs w:val="15"/>
        </w:rPr>
        <w:t xml:space="preserve">N2 </w:t>
      </w:r>
      <w:r w:rsidRPr="00A428C3">
        <w:t xml:space="preserve">between </w:t>
      </w:r>
      <w:r w:rsidRPr="00A428C3">
        <w:rPr>
          <w:szCs w:val="18"/>
        </w:rPr>
        <w:t>380</w:t>
      </w:r>
      <w:r w:rsidR="00F81221">
        <w:rPr>
          <w:szCs w:val="18"/>
        </w:rPr>
        <w:t xml:space="preserve"> and </w:t>
      </w:r>
      <w:smartTag w:uri="urn:schemas-microsoft-com:office:smarttags" w:element="chmetcnv">
        <w:smartTagPr>
          <w:attr w:name="TCSC" w:val="0"/>
          <w:attr w:name="NumberType" w:val="1"/>
          <w:attr w:name="Negative" w:val="False"/>
          <w:attr w:name="HasSpace" w:val="False"/>
          <w:attr w:name="SourceValue" w:val="500"/>
          <w:attr w:name="UnitName" w:val="ﾰC"/>
        </w:smartTagPr>
        <w:r w:rsidRPr="00A428C3">
          <w:rPr>
            <w:szCs w:val="18"/>
          </w:rPr>
          <w:t>500°C</w:t>
        </w:r>
      </w:smartTag>
      <w:r w:rsidRPr="00A428C3">
        <w:rPr>
          <w:szCs w:val="18"/>
        </w:rPr>
        <w:t xml:space="preserve">; </w:t>
      </w:r>
      <w:r w:rsidRPr="00A428C3">
        <w:t xml:space="preserve">at lower temperatures more </w:t>
      </w:r>
      <w:r w:rsidRPr="00A428C3">
        <w:rPr>
          <w:szCs w:val="14"/>
        </w:rPr>
        <w:t xml:space="preserve">N 2 0 </w:t>
      </w:r>
      <w:r w:rsidRPr="00A428C3">
        <w:t>was formed. The kinetics of the chemisorption of NO at low pressures on LaCoO</w:t>
      </w:r>
      <w:r w:rsidRPr="00A428C3">
        <w:rPr>
          <w:vertAlign w:val="subscript"/>
        </w:rPr>
        <w:t>3</w:t>
      </w:r>
      <w:r w:rsidR="00F81221">
        <w:t xml:space="preserve"> and </w:t>
      </w:r>
      <w:r w:rsidRPr="00A428C3">
        <w:t xml:space="preserve">the Ba-doped material was studied from 21 to </w:t>
      </w:r>
      <w:smartTag w:uri="urn:schemas-microsoft-com:office:smarttags" w:element="chmetcnv">
        <w:smartTagPr>
          <w:attr w:name="TCSC" w:val="0"/>
          <w:attr w:name="NumberType" w:val="1"/>
          <w:attr w:name="Negative" w:val="False"/>
          <w:attr w:name="HasSpace" w:val="False"/>
          <w:attr w:name="SourceValue" w:val="400"/>
          <w:attr w:name="UnitName" w:val="C"/>
        </w:smartTagPr>
        <w:r w:rsidRPr="00A428C3">
          <w:t>400</w:t>
        </w:r>
        <w:r w:rsidRPr="00A428C3">
          <w:sym w:font="Symbol" w:char="F0B0"/>
        </w:r>
      </w:smartTag>
      <w:r w:rsidRPr="00A428C3">
        <w:t xml:space="preserve">C. Pretreatment of </w:t>
      </w:r>
      <w:r w:rsidRPr="00A428C3">
        <w:rPr>
          <w:szCs w:val="18"/>
        </w:rPr>
        <w:t xml:space="preserve">the </w:t>
      </w:r>
      <w:r w:rsidRPr="00A428C3">
        <w:t>adsorbents with CO increased the adsorption rates greatly.</w:t>
      </w:r>
    </w:p>
    <w:p w:rsidR="00B95188" w:rsidRPr="00A428C3" w:rsidRDefault="00B95188" w:rsidP="00B95188">
      <w:pPr>
        <w:pStyle w:val="a0"/>
      </w:pPr>
      <w:r w:rsidRPr="00A428C3">
        <w:t xml:space="preserve">? </w:t>
      </w:r>
      <w:smartTag w:uri="urn:schemas-microsoft-com:office:smarttags" w:element="City">
        <w:r w:rsidRPr="00A428C3">
          <w:t>Bryan</w:t>
        </w:r>
      </w:smartTag>
      <w:r w:rsidRPr="00A428C3">
        <w:t xml:space="preserve">, W.L., </w:t>
      </w:r>
      <w:smartTag w:uri="urn:schemas-microsoft-com:office:smarttags" w:element="place">
        <w:smartTag w:uri="urn:schemas-microsoft-com:office:smarttags" w:element="City">
          <w:r w:rsidRPr="00A428C3">
            <w:t>Lund</w:t>
          </w:r>
        </w:smartTag>
      </w:smartTag>
      <w:r w:rsidRPr="00A428C3">
        <w:t>, E.D.</w:t>
      </w:r>
      <w:r w:rsidR="00F81221">
        <w:t xml:space="preserve"> and </w:t>
      </w:r>
      <w:r w:rsidRPr="00A428C3">
        <w:t xml:space="preserve">Wagner, C.J. (1977), Adsorption of flavor components from aqueous orange peel aroma solutions. </w:t>
      </w:r>
      <w:r w:rsidRPr="00A428C3">
        <w:rPr>
          <w:i/>
          <w:iCs/>
        </w:rPr>
        <w:t>Industrial &amp; Engineering Chemistry Product Research</w:t>
      </w:r>
      <w:r w:rsidR="00F81221">
        <w:rPr>
          <w:i/>
          <w:iCs/>
        </w:rPr>
        <w:t xml:space="preserve"> and </w:t>
      </w:r>
      <w:r w:rsidRPr="00A428C3">
        <w:rPr>
          <w:i/>
          <w:iCs/>
        </w:rPr>
        <w:t>Development</w:t>
      </w:r>
      <w:r w:rsidRPr="00A428C3">
        <w:t xml:space="preserve">, </w:t>
      </w:r>
      <w:r w:rsidRPr="00A428C3">
        <w:rPr>
          <w:b/>
        </w:rPr>
        <w:t>16</w:t>
      </w:r>
      <w:r w:rsidRPr="00A428C3">
        <w:t xml:space="preserve"> (3), 257-261.</w:t>
      </w:r>
    </w:p>
    <w:p w:rsidR="00B95188" w:rsidRPr="00A428C3" w:rsidRDefault="00B95188" w:rsidP="00B95188">
      <w:pPr>
        <w:pStyle w:val="a0"/>
      </w:pPr>
      <w:r w:rsidRPr="00A428C3">
        <w:t xml:space="preserve">Full Text: </w:t>
      </w:r>
      <w:hyperlink r:id="rId1055" w:history="1">
        <w:r w:rsidRPr="00A428C3">
          <w:rPr>
            <w:rStyle w:val="a5"/>
          </w:rPr>
          <w:t>1960-80\Ind Eng Che Pro Res Dev16, 257.pdf</w:t>
        </w:r>
      </w:hyperlink>
    </w:p>
    <w:p w:rsidR="00B95188" w:rsidRPr="00A428C3" w:rsidRDefault="00B95188" w:rsidP="00B95188">
      <w:pPr>
        <w:pStyle w:val="a0"/>
      </w:pPr>
      <w:r w:rsidRPr="00A428C3">
        <w:t>Abstract: The usefulness of porous polymers</w:t>
      </w:r>
      <w:r w:rsidR="00F81221">
        <w:t xml:space="preserve"> and </w:t>
      </w:r>
      <w:r w:rsidRPr="00A428C3">
        <w:t>activated carbon as adsorbents for Concentration of aqueous solutions of orange peel aroma was evaluated. The adsorbents were saturated by batch processing,</w:t>
      </w:r>
      <w:r w:rsidR="00F81221">
        <w:t xml:space="preserve"> and </w:t>
      </w:r>
      <w:r w:rsidRPr="00A428C3">
        <w:t xml:space="preserve">their capacity to adsorb various aroma components was determined. Of the porous polymers, cross-linked </w:t>
      </w:r>
      <w:r w:rsidRPr="00A428C3">
        <w:lastRenderedPageBreak/>
        <w:t>polystyrene resin (Amberlite XAD-4) had the highest capacity, about 20% of the resin dry weight. Activated carbon, by comparison, adsorbed about 30%. Compounds with less than six carbons were adsorbed much less efficiently than those with higher molecular weights. Elution of the saturated adsorbents with 5</w:t>
      </w:r>
      <w:r w:rsidRPr="00A428C3">
        <w:rPr>
          <w:b/>
        </w:rPr>
        <w:t xml:space="preserve"> </w:t>
      </w:r>
      <w:r w:rsidRPr="00A428C3">
        <w:t>bed volumes of ethanol removed all adsorbed material from the resins, but only 70% from carbon. Flavor of the resin eluate was similar to that of a highly concentrated orange peel oil. Amberlite XAD-4 appeared most suitable for fixed-bed applications for recovery of desirable flavor components from orange peel aroma solutions.</w:t>
      </w:r>
    </w:p>
    <w:p w:rsidR="00B95188" w:rsidRPr="00A428C3" w:rsidRDefault="00B95188" w:rsidP="00B95188">
      <w:pPr>
        <w:pStyle w:val="a0"/>
      </w:pPr>
      <w:r w:rsidRPr="00A428C3">
        <w:t>? Yang, T.C.</w:t>
      </w:r>
      <w:r w:rsidR="00F81221">
        <w:t xml:space="preserve"> and </w:t>
      </w:r>
      <w:r w:rsidRPr="00A428C3">
        <w:t xml:space="preserve">Zall, R.R. (1984), Absorption of metals by natural polymers generated from seafood processing wastes. </w:t>
      </w:r>
      <w:r w:rsidRPr="00A428C3">
        <w:rPr>
          <w:i/>
          <w:iCs/>
        </w:rPr>
        <w:t>Industrial &amp; Engineering Chemistry Product Research</w:t>
      </w:r>
      <w:r w:rsidR="00F81221">
        <w:rPr>
          <w:i/>
          <w:iCs/>
        </w:rPr>
        <w:t xml:space="preserve"> and </w:t>
      </w:r>
      <w:r w:rsidRPr="00A428C3">
        <w:rPr>
          <w:i/>
          <w:iCs/>
        </w:rPr>
        <w:t>Development</w:t>
      </w:r>
      <w:r w:rsidRPr="00A428C3">
        <w:t xml:space="preserve">, </w:t>
      </w:r>
      <w:r w:rsidRPr="00A428C3">
        <w:rPr>
          <w:b/>
        </w:rPr>
        <w:t>23</w:t>
      </w:r>
      <w:r w:rsidRPr="00A428C3">
        <w:t xml:space="preserve"> (1), 168-172.</w:t>
      </w:r>
    </w:p>
    <w:p w:rsidR="00B95188" w:rsidRPr="00A428C3" w:rsidRDefault="00B95188" w:rsidP="00B95188">
      <w:pPr>
        <w:pStyle w:val="a0"/>
      </w:pPr>
      <w:r w:rsidRPr="00A428C3">
        <w:t xml:space="preserve">Full Text: </w:t>
      </w:r>
      <w:hyperlink r:id="rId1056" w:history="1">
        <w:r w:rsidRPr="00A428C3">
          <w:rPr>
            <w:rStyle w:val="a5"/>
          </w:rPr>
          <w:t>1984\Ind Eng Che Pro Res Dev23, 168.pdf</w:t>
        </w:r>
      </w:hyperlink>
    </w:p>
    <w:p w:rsidR="00B95188" w:rsidRPr="00A428C3" w:rsidRDefault="00B95188" w:rsidP="00B95188">
      <w:pPr>
        <w:pStyle w:val="a0"/>
      </w:pPr>
      <w:r w:rsidRPr="00A428C3">
        <w:t>Abstract: The binding of metals to naturally occurring polymers obtained from seafood processing wastes was investigated. Experimental resub show that chitin, chitosan,</w:t>
      </w:r>
      <w:r w:rsidR="00F81221">
        <w:t xml:space="preserve"> and </w:t>
      </w:r>
      <w:r w:rsidRPr="00A428C3">
        <w:t>scales from three species of fish such as porgy, flounder,</w:t>
      </w:r>
      <w:r w:rsidR="00F81221">
        <w:t xml:space="preserve"> and </w:t>
      </w:r>
      <w:r w:rsidRPr="00A428C3">
        <w:t>cod are potentlaily useful materials to remove metals from contaminated water. Such metals include copper, zinc, chromium, cadmium,</w:t>
      </w:r>
      <w:r w:rsidR="00F81221">
        <w:t xml:space="preserve"> and </w:t>
      </w:r>
      <w:r w:rsidRPr="00A428C3">
        <w:t>lead. Batch methods were used to study equilibrium Isotherms</w:t>
      </w:r>
      <w:r w:rsidR="00F81221">
        <w:t xml:space="preserve"> and </w:t>
      </w:r>
      <w:r w:rsidRPr="00A428C3">
        <w:t>adsorption kinetics. The experimental data of adsorption equilibrium from solutions of metals have been found to correlate weii with the threaparameter isotherm equation. The study of adsorption kinetics shows that the rates of adsorption of the metals toward the natural polymers are best interpreted in terms of intraparticle diffusion as a ratsiimiting step. Although the natural polymers mentioned are useful for treating waste water, it is advantageous to use the cross-linked form to counteract product solubilization in an acid environment.</w:t>
      </w:r>
    </w:p>
    <w:p w:rsidR="00B95188" w:rsidRPr="00A428C3" w:rsidRDefault="00B95188" w:rsidP="00B95188">
      <w:pPr>
        <w:pStyle w:val="a0"/>
      </w:pPr>
      <w:r w:rsidRPr="00A428C3">
        <w:t>? Bevia, F.R.</w:t>
      </w:r>
      <w:r w:rsidRPr="00A428C3">
        <w:rPr>
          <w:szCs w:val="19"/>
        </w:rPr>
        <w:t xml:space="preserve">, </w:t>
      </w:r>
      <w:r w:rsidRPr="00A428C3">
        <w:t>Rico, D.P.</w:t>
      </w:r>
      <w:r w:rsidR="00F81221">
        <w:t xml:space="preserve"> and </w:t>
      </w:r>
      <w:r w:rsidRPr="00A428C3">
        <w:t xml:space="preserve">Gomis, A.F.M. (1984), </w:t>
      </w:r>
      <w:r w:rsidRPr="00A428C3">
        <w:rPr>
          <w:szCs w:val="19"/>
        </w:rPr>
        <w:t>Activated carbon from almond shells - chemical activation. 2. ZnCl</w:t>
      </w:r>
      <w:r w:rsidRPr="00A428C3">
        <w:rPr>
          <w:szCs w:val="19"/>
          <w:vertAlign w:val="subscript"/>
        </w:rPr>
        <w:t>2</w:t>
      </w:r>
      <w:r w:rsidRPr="00A428C3">
        <w:rPr>
          <w:szCs w:val="19"/>
        </w:rPr>
        <w:t xml:space="preserve"> activation temperature influence</w:t>
      </w:r>
      <w:r w:rsidRPr="00A428C3">
        <w:t xml:space="preserve">. </w:t>
      </w:r>
      <w:r w:rsidRPr="00A428C3">
        <w:rPr>
          <w:i/>
          <w:iCs/>
        </w:rPr>
        <w:t>Industrial &amp; Engineering Chemistry Product Research</w:t>
      </w:r>
      <w:r w:rsidR="00F81221">
        <w:rPr>
          <w:i/>
          <w:iCs/>
        </w:rPr>
        <w:t xml:space="preserve"> and </w:t>
      </w:r>
      <w:r w:rsidRPr="00A428C3">
        <w:rPr>
          <w:i/>
          <w:iCs/>
        </w:rPr>
        <w:t>Development</w:t>
      </w:r>
      <w:r w:rsidRPr="00A428C3">
        <w:t xml:space="preserve">, </w:t>
      </w:r>
      <w:r w:rsidRPr="00A428C3">
        <w:rPr>
          <w:b/>
        </w:rPr>
        <w:t>23</w:t>
      </w:r>
      <w:r w:rsidRPr="00A428C3">
        <w:t xml:space="preserve"> (2), </w:t>
      </w:r>
      <w:r w:rsidRPr="00A428C3">
        <w:rPr>
          <w:szCs w:val="19"/>
        </w:rPr>
        <w:t>269-271</w:t>
      </w:r>
      <w:r w:rsidRPr="00A428C3">
        <w:t>.</w:t>
      </w:r>
    </w:p>
    <w:p w:rsidR="00B95188" w:rsidRPr="00A428C3" w:rsidRDefault="00B95188" w:rsidP="00B95188">
      <w:pPr>
        <w:pStyle w:val="a0"/>
      </w:pPr>
      <w:r w:rsidRPr="00A428C3">
        <w:t xml:space="preserve">Full Text: </w:t>
      </w:r>
      <w:hyperlink r:id="rId1057" w:history="1">
        <w:r w:rsidRPr="00A428C3">
          <w:rPr>
            <w:rStyle w:val="a5"/>
          </w:rPr>
          <w:t>1984\Ind Eng Che Pro Res Dev23, 269.pdf</w:t>
        </w:r>
      </w:hyperlink>
    </w:p>
    <w:p w:rsidR="00B95188" w:rsidRPr="00A428C3" w:rsidRDefault="00B95188" w:rsidP="00B95188">
      <w:pPr>
        <w:pStyle w:val="a0"/>
      </w:pPr>
      <w:r w:rsidRPr="00A428C3">
        <w:t xml:space="preserve">Abstract: Activation temperature influence on adsorptive properties </w:t>
      </w:r>
      <w:r w:rsidRPr="00A428C3">
        <w:rPr>
          <w:szCs w:val="18"/>
        </w:rPr>
        <w:t xml:space="preserve">of </w:t>
      </w:r>
      <w:r w:rsidRPr="00A428C3">
        <w:t xml:space="preserve">activated carbons obtained from almond shells by chemical activation with ZnCl, is reported. </w:t>
      </w:r>
      <w:r w:rsidRPr="00A428C3">
        <w:rPr>
          <w:szCs w:val="18"/>
        </w:rPr>
        <w:t xml:space="preserve">A </w:t>
      </w:r>
      <w:r w:rsidRPr="00A428C3">
        <w:t xml:space="preserve">maximum in adsorption capacity is found at </w:t>
      </w:r>
      <w:smartTag w:uri="urn:schemas-microsoft-com:office:smarttags" w:element="chmetcnv">
        <w:smartTagPr>
          <w:attr w:name="TCSC" w:val="0"/>
          <w:attr w:name="NumberType" w:val="1"/>
          <w:attr w:name="Negative" w:val="False"/>
          <w:attr w:name="HasSpace" w:val="False"/>
          <w:attr w:name="SourceValue" w:val="500"/>
          <w:attr w:name="UnitName" w:val="C"/>
        </w:smartTagPr>
        <w:r w:rsidRPr="00A428C3">
          <w:rPr>
            <w:szCs w:val="18"/>
          </w:rPr>
          <w:t>500</w:t>
        </w:r>
        <w:r w:rsidRPr="00A428C3">
          <w:rPr>
            <w:szCs w:val="18"/>
          </w:rPr>
          <w:sym w:font="Symbol" w:char="F0B0"/>
        </w:r>
      </w:smartTag>
      <w:r w:rsidRPr="00A428C3">
        <w:rPr>
          <w:szCs w:val="13"/>
        </w:rPr>
        <w:t xml:space="preserve">C, </w:t>
      </w:r>
      <w:r w:rsidRPr="00A428C3">
        <w:rPr>
          <w:szCs w:val="21"/>
        </w:rPr>
        <w:t xml:space="preserve">a </w:t>
      </w:r>
      <w:r w:rsidRPr="00A428C3">
        <w:t xml:space="preserve">temperature lower than commercially used ones. The </w:t>
      </w:r>
      <w:r w:rsidRPr="00A428C3">
        <w:rPr>
          <w:szCs w:val="21"/>
        </w:rPr>
        <w:t xml:space="preserve">77 </w:t>
      </w:r>
      <w:r w:rsidRPr="00A428C3">
        <w:rPr>
          <w:szCs w:val="18"/>
        </w:rPr>
        <w:t xml:space="preserve">K N, </w:t>
      </w:r>
      <w:r w:rsidRPr="00A428C3">
        <w:t xml:space="preserve">adsorption </w:t>
      </w:r>
      <w:r w:rsidRPr="00A428C3">
        <w:rPr>
          <w:szCs w:val="21"/>
        </w:rPr>
        <w:t xml:space="preserve">data </w:t>
      </w:r>
      <w:r w:rsidRPr="00A428C3">
        <w:t>correlate acceptably well with solution adsorption measurements.</w:t>
      </w:r>
    </w:p>
    <w:p w:rsidR="00B95188" w:rsidRPr="00A428C3" w:rsidRDefault="00B95188" w:rsidP="00B95188">
      <w:pPr>
        <w:pStyle w:val="1"/>
      </w:pPr>
      <w:r w:rsidRPr="00A428C3">
        <w:br w:type="page"/>
      </w:r>
      <w:bookmarkStart w:id="958" w:name="_Toc455569474"/>
      <w:bookmarkStart w:id="959" w:name="_Toc487190715"/>
      <w:bookmarkStart w:id="960" w:name="_Toc487882220"/>
      <w:bookmarkStart w:id="961" w:name="_Toc490688042"/>
      <w:bookmarkStart w:id="962" w:name="_Toc492812153"/>
      <w:bookmarkStart w:id="963" w:name="_Toc186647847"/>
      <w:bookmarkStart w:id="964" w:name="_Toc317161144"/>
      <w:r w:rsidRPr="00A428C3">
        <w:lastRenderedPageBreak/>
        <w:t>Title: Industrial &amp; Engineering Chemistry Research</w:t>
      </w:r>
      <w:bookmarkEnd w:id="958"/>
      <w:bookmarkEnd w:id="959"/>
      <w:bookmarkEnd w:id="960"/>
      <w:bookmarkEnd w:id="961"/>
      <w:bookmarkEnd w:id="962"/>
      <w:bookmarkEnd w:id="963"/>
      <w:bookmarkEnd w:id="964"/>
    </w:p>
    <w:p w:rsidR="00B95188" w:rsidRPr="00A428C3" w:rsidRDefault="0058734C" w:rsidP="00B72EF9">
      <w:pPr>
        <w:pStyle w:val="12"/>
      </w:pPr>
      <w:hyperlink r:id="rId1058" w:history="1">
        <w:r w:rsidR="00B95188" w:rsidRPr="00A428C3">
          <w:rPr>
            <w:rStyle w:val="a5"/>
          </w:rPr>
          <w:t>Industrial &amp; Engineering Chemistry Research</w:t>
        </w:r>
      </w:hyperlink>
    </w:p>
    <w:p w:rsidR="00B95188" w:rsidRPr="00A428C3" w:rsidRDefault="0058734C" w:rsidP="00B72EF9">
      <w:pPr>
        <w:pStyle w:val="12"/>
      </w:pPr>
      <w:hyperlink r:id="rId1059" w:history="1">
        <w:r w:rsidR="00B95188" w:rsidRPr="00A428C3">
          <w:rPr>
            <w:rStyle w:val="a5"/>
          </w:rPr>
          <w:t>I&amp;EC</w:t>
        </w:r>
      </w:hyperlink>
      <w:r w:rsidR="00B95188" w:rsidRPr="00A428C3">
        <w:t xml:space="preserve"> Industrial &amp; Engineering Chemistry (1909-1970)</w:t>
      </w:r>
    </w:p>
    <w:p w:rsidR="00B95188" w:rsidRPr="00A428C3" w:rsidRDefault="0058734C" w:rsidP="00B72EF9">
      <w:pPr>
        <w:pStyle w:val="12"/>
      </w:pPr>
      <w:hyperlink r:id="rId1060" w:history="1">
        <w:r w:rsidR="00B95188" w:rsidRPr="00A428C3">
          <w:rPr>
            <w:rStyle w:val="a5"/>
          </w:rPr>
          <w:t>I&amp;EC Fundamentals</w:t>
        </w:r>
      </w:hyperlink>
      <w:r w:rsidR="00B95188" w:rsidRPr="00A428C3">
        <w:t xml:space="preserve"> (1962-1986)</w:t>
      </w:r>
    </w:p>
    <w:p w:rsidR="00B95188" w:rsidRPr="00A428C3" w:rsidRDefault="0058734C" w:rsidP="00B72EF9">
      <w:pPr>
        <w:pStyle w:val="12"/>
      </w:pPr>
      <w:hyperlink r:id="rId1061" w:history="1">
        <w:r w:rsidR="00B95188" w:rsidRPr="00A428C3">
          <w:rPr>
            <w:rStyle w:val="a5"/>
          </w:rPr>
          <w:t>I&amp;EC Process Design</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58734C" w:rsidP="00B72EF9">
      <w:pPr>
        <w:pStyle w:val="12"/>
      </w:pPr>
      <w:hyperlink r:id="rId1062" w:history="1">
        <w:r w:rsidR="00B95188" w:rsidRPr="00A428C3">
          <w:rPr>
            <w:rStyle w:val="a5"/>
          </w:rPr>
          <w:t>I&amp;EC Product Research</w:t>
        </w:r>
        <w:r w:rsidR="00F81221">
          <w:rPr>
            <w:rStyle w:val="a5"/>
          </w:rPr>
          <w:t xml:space="preserve"> and </w:t>
        </w:r>
        <w:r w:rsidR="00B95188" w:rsidRPr="00A428C3">
          <w:rPr>
            <w:rStyle w:val="a5"/>
          </w:rPr>
          <w:t>Development</w:t>
        </w:r>
      </w:hyperlink>
      <w:r w:rsidR="00B95188" w:rsidRPr="00A428C3">
        <w:t xml:space="preserve"> (1962-1986)</w:t>
      </w:r>
    </w:p>
    <w:p w:rsidR="00B95188" w:rsidRPr="00A428C3" w:rsidRDefault="0058734C" w:rsidP="00B72EF9">
      <w:pPr>
        <w:pStyle w:val="12"/>
      </w:pPr>
      <w:hyperlink r:id="rId1063" w:history="1">
        <w:r w:rsidR="00B95188" w:rsidRPr="00A428C3">
          <w:rPr>
            <w:rStyle w:val="a5"/>
          </w:rPr>
          <w:t>Scope of the Journal</w:t>
        </w:r>
      </w:hyperlink>
    </w:p>
    <w:p w:rsidR="00B95188" w:rsidRPr="00A428C3" w:rsidRDefault="0058734C" w:rsidP="00B72EF9">
      <w:pPr>
        <w:pStyle w:val="12"/>
      </w:pPr>
      <w:hyperlink r:id="rId1064" w:history="1">
        <w:r w:rsidR="00B95188" w:rsidRPr="00A428C3">
          <w:rPr>
            <w:rStyle w:val="a5"/>
          </w:rPr>
          <w:t>Guidelines for Authors</w:t>
        </w:r>
      </w:hyperlink>
    </w:p>
    <w:p w:rsidR="00B95188" w:rsidRPr="00A428C3" w:rsidRDefault="00B95188" w:rsidP="00B72EF9">
      <w:pPr>
        <w:pStyle w:val="12"/>
      </w:pPr>
      <w:r w:rsidRPr="00A428C3">
        <w:t xml:space="preserve">Full Journal Title: </w:t>
      </w:r>
      <w:hyperlink r:id="rId1065" w:history="1">
        <w:r w:rsidRPr="00A428C3">
          <w:rPr>
            <w:rStyle w:val="a5"/>
          </w:rPr>
          <w:t>Industrial &amp; Engineering Chemistry Research</w:t>
        </w:r>
      </w:hyperlink>
    </w:p>
    <w:p w:rsidR="00B95188" w:rsidRPr="00A428C3" w:rsidRDefault="00B95188" w:rsidP="00B72EF9">
      <w:pPr>
        <w:pStyle w:val="12"/>
      </w:pPr>
      <w:r w:rsidRPr="00A428C3">
        <w:t xml:space="preserve">ISO Abbreviated Title: </w:t>
      </w:r>
      <w:smartTag w:uri="urn:schemas-microsoft-com:office:smarttags" w:element="State">
        <w:r w:rsidRPr="00A428C3">
          <w:t>Ind.</w:t>
        </w:r>
      </w:smartTag>
      <w:r w:rsidRPr="00A428C3">
        <w:t xml:space="preserve"> </w:t>
      </w:r>
      <w:smartTag w:uri="urn:schemas-microsoft-com:office:smarttags" w:element="place">
        <w:smartTag w:uri="urn:schemas-microsoft-com:office:smarttags" w:element="country-region">
          <w:r w:rsidRPr="00A428C3">
            <w:t>Eng.</w:t>
          </w:r>
        </w:smartTag>
      </w:smartTag>
      <w:r w:rsidRPr="00A428C3">
        <w:t xml:space="preserve"> Chem. Res.</w:t>
      </w:r>
    </w:p>
    <w:p w:rsidR="00B95188" w:rsidRPr="00A428C3" w:rsidRDefault="00B95188" w:rsidP="00B72EF9">
      <w:pPr>
        <w:pStyle w:val="12"/>
      </w:pPr>
      <w:r w:rsidRPr="00A428C3">
        <w:t>JCR Abbreviated Title: Ind Eng Chem Res</w:t>
      </w:r>
    </w:p>
    <w:p w:rsidR="00B95188" w:rsidRPr="00A428C3" w:rsidRDefault="00B95188" w:rsidP="00B72EF9">
      <w:pPr>
        <w:pStyle w:val="12"/>
      </w:pPr>
      <w:r w:rsidRPr="00A428C3">
        <w:t>ISSN: 0888-5885</w:t>
      </w:r>
    </w:p>
    <w:p w:rsidR="00B95188" w:rsidRPr="00A428C3" w:rsidRDefault="00B95188" w:rsidP="00B72EF9">
      <w:pPr>
        <w:pStyle w:val="12"/>
      </w:pPr>
      <w:r w:rsidRPr="00A428C3">
        <w:t>Issues/Year: 13</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Amer Chemical Soc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1155 16th St, NW</w:t>
          </w:r>
        </w:smartTag>
        <w:r w:rsidRPr="00A428C3">
          <w:t xml:space="preserve">, </w:t>
        </w:r>
        <w:smartTag w:uri="urn:schemas-microsoft-com:office:smarttags" w:element="City">
          <w:r w:rsidRPr="00A428C3">
            <w:t>Washington</w:t>
          </w:r>
        </w:smartTag>
        <w:r w:rsidRPr="00A428C3">
          <w:t xml:space="preserve">, </w:t>
        </w:r>
        <w:smartTag w:uri="urn:schemas-microsoft-com:office:smarttags" w:element="State">
          <w:r w:rsidRPr="00A428C3">
            <w:t>DC</w:t>
          </w:r>
        </w:smartTag>
        <w:r w:rsidRPr="00A428C3">
          <w:t xml:space="preserve"> </w:t>
        </w:r>
        <w:smartTag w:uri="urn:schemas-microsoft-com:office:smarttags" w:element="PostalCode">
          <w:r w:rsidRPr="00A428C3">
            <w:t>20036</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Engineering, Chemical: Impact Factor 1.290, 10/110 (1999); Impact Factor 1.294, 13/110 (2000); Impact Factor 1.351, 13/123 (2001); Impact Factor 1.247, 12/126 (2002); Impact Factor 1.317, 15/119 (2003); Impact Factor 1.424, 17/116 (2004); Impact Factor 1.504, 22/116 (2005); Impact Factor 1.518, 23/110 (2006)</w:t>
      </w:r>
      <w:r>
        <w:rPr>
          <w:rFonts w:hint="eastAsia"/>
        </w:rPr>
        <w:t>;</w:t>
      </w:r>
      <w:r w:rsidRPr="008C4C94">
        <w:t xml:space="preserve"> </w:t>
      </w:r>
      <w:r w:rsidRPr="007F7725">
        <w:t xml:space="preserve">Impact Factor </w:t>
      </w:r>
      <w:r w:rsidRPr="00E244DF">
        <w:t>1.749</w:t>
      </w:r>
      <w:r w:rsidRPr="007F7725">
        <w:t xml:space="preserve">, </w:t>
      </w:r>
      <w:r>
        <w:rPr>
          <w:rFonts w:hint="eastAsia"/>
        </w:rPr>
        <w:t>18</w:t>
      </w:r>
      <w:r w:rsidRPr="007F7725">
        <w:t>/</w:t>
      </w:r>
      <w:r>
        <w:rPr>
          <w:rFonts w:hint="eastAsia"/>
        </w:rPr>
        <w:t>114</w:t>
      </w:r>
      <w:r w:rsidRPr="007F7725">
        <w:t xml:space="preserve"> </w:t>
      </w:r>
      <w:r>
        <w:t>(2007)</w:t>
      </w:r>
      <w:r w:rsidR="00B81DEC">
        <w:rPr>
          <w:rFonts w:hint="eastAsia"/>
        </w:rPr>
        <w:t xml:space="preserve">; </w:t>
      </w:r>
      <w:r w:rsidR="00B81DEC" w:rsidRPr="007F7725">
        <w:t>Impact Factor</w:t>
      </w:r>
      <w:r w:rsidR="00B81DEC">
        <w:rPr>
          <w:rFonts w:hint="eastAsia"/>
        </w:rPr>
        <w:t xml:space="preserve"> 1.895</w:t>
      </w:r>
      <w:r w:rsidR="00B81DEC" w:rsidRPr="007F7725">
        <w:t xml:space="preserve">, </w:t>
      </w:r>
      <w:r w:rsidR="00B81DEC">
        <w:rPr>
          <w:rFonts w:hint="eastAsia"/>
        </w:rPr>
        <w:t>22</w:t>
      </w:r>
      <w:r w:rsidR="00B81DEC" w:rsidRPr="007F7725">
        <w:t>/</w:t>
      </w:r>
      <w:r w:rsidR="00B81DEC">
        <w:rPr>
          <w:rFonts w:hint="eastAsia"/>
        </w:rPr>
        <w:t>116</w:t>
      </w:r>
      <w:r w:rsidR="00B81DEC" w:rsidRPr="007F7725">
        <w:t xml:space="preserve"> </w:t>
      </w:r>
      <w:r w:rsidR="00B81DEC">
        <w:t>(200</w:t>
      </w:r>
      <w:r w:rsidR="00B81DEC">
        <w:rPr>
          <w:rFonts w:hint="eastAsia"/>
        </w:rPr>
        <w:t>8</w:t>
      </w:r>
      <w:r w:rsidR="00B81DEC">
        <w:t>)</w:t>
      </w:r>
      <w:r w:rsidR="00A17DBC">
        <w:rPr>
          <w:rFonts w:hint="eastAsia"/>
        </w:rPr>
        <w:t>;</w:t>
      </w:r>
      <w:r w:rsidR="00A17DBC" w:rsidRPr="00A17DBC">
        <w:t xml:space="preserve"> </w:t>
      </w:r>
      <w:r w:rsidR="00A17DBC" w:rsidRPr="007F7725">
        <w:t>Impact Factor</w:t>
      </w:r>
      <w:r w:rsidR="00A17DBC">
        <w:rPr>
          <w:rFonts w:hint="eastAsia"/>
        </w:rPr>
        <w:t xml:space="preserve"> 1.758</w:t>
      </w:r>
      <w:r w:rsidR="00A17DBC" w:rsidRPr="007F7725">
        <w:t xml:space="preserve">, </w:t>
      </w:r>
      <w:r w:rsidR="00A17DBC">
        <w:rPr>
          <w:rFonts w:hint="eastAsia"/>
        </w:rPr>
        <w:t>35</w:t>
      </w:r>
      <w:r w:rsidR="00A17DBC" w:rsidRPr="007F7725">
        <w:t>/</w:t>
      </w:r>
      <w:r w:rsidR="00A17DBC">
        <w:rPr>
          <w:rFonts w:hint="eastAsia"/>
        </w:rPr>
        <w:t xml:space="preserve">126 </w:t>
      </w:r>
      <w:r w:rsidR="00A17DBC">
        <w:t>(200</w:t>
      </w:r>
      <w:r w:rsidR="00A17DBC">
        <w:rPr>
          <w:rFonts w:hint="eastAsia"/>
        </w:rPr>
        <w:t>9</w:t>
      </w:r>
      <w:r w:rsidR="00A17DBC">
        <w:t>)</w:t>
      </w:r>
    </w:p>
    <w:p w:rsidR="00B95188" w:rsidRPr="00A428C3" w:rsidRDefault="00B95188" w:rsidP="00B95188">
      <w:pPr>
        <w:pStyle w:val="a0"/>
      </w:pPr>
      <w:r w:rsidRPr="00A428C3">
        <w:t>Moon, H.</w:t>
      </w:r>
      <w:r w:rsidR="00F81221">
        <w:t xml:space="preserve"> and </w:t>
      </w:r>
      <w:r w:rsidRPr="00A428C3">
        <w:t xml:space="preserve">Tien, C. (1987), Further work on multicomponent adsorption equilibria calculations based on the Ideal Adsorbed Solution Theory. </w:t>
      </w:r>
      <w:r w:rsidRPr="00A428C3">
        <w:rPr>
          <w:i/>
        </w:rPr>
        <w:t>Industrial &amp; Engineering Chemistry Research</w:t>
      </w:r>
      <w:r w:rsidRPr="00A428C3">
        <w:t xml:space="preserve">, </w:t>
      </w:r>
      <w:r w:rsidRPr="00A428C3">
        <w:rPr>
          <w:b/>
        </w:rPr>
        <w:t>26</w:t>
      </w:r>
      <w:r w:rsidRPr="00A428C3">
        <w:t xml:space="preserve"> (10), 2042-2047.</w:t>
      </w:r>
    </w:p>
    <w:p w:rsidR="00B95188" w:rsidRPr="00A428C3" w:rsidRDefault="00B95188" w:rsidP="00B95188">
      <w:pPr>
        <w:pStyle w:val="a0"/>
      </w:pPr>
      <w:r w:rsidRPr="00A428C3">
        <w:t xml:space="preserve">Full Text: </w:t>
      </w:r>
      <w:hyperlink r:id="rId1066" w:history="1">
        <w:r w:rsidRPr="00A428C3">
          <w:rPr>
            <w:rStyle w:val="a5"/>
          </w:rPr>
          <w:t>I\Ind Eng Che Res26, 2042.pdf</w:t>
        </w:r>
      </w:hyperlink>
    </w:p>
    <w:p w:rsidR="00B95188" w:rsidRPr="00A428C3" w:rsidRDefault="00B95188" w:rsidP="00B95188">
      <w:pPr>
        <w:pStyle w:val="a0"/>
      </w:pPr>
      <w:r w:rsidRPr="00A428C3">
        <w:t xml:space="preserve">Abstract: </w:t>
      </w:r>
      <w:r w:rsidRPr="00A428C3">
        <w:rPr>
          <w:szCs w:val="23"/>
        </w:rPr>
        <w:t xml:space="preserve">It </w:t>
      </w:r>
      <w:r w:rsidRPr="00A428C3">
        <w:rPr>
          <w:szCs w:val="21"/>
        </w:rPr>
        <w:t>was found that the procedures developed previously for calculating multicomponent adsorption equilibria can be readily extended to the case where the pure component isotherm data are represented by the Langmuir expression with a first-order correction term. In contrast to the recent published work of O</w:t>
      </w:r>
      <w:r w:rsidR="000352E7">
        <w:rPr>
          <w:szCs w:val="21"/>
        </w:rPr>
        <w:t>’</w:t>
      </w:r>
      <w:r w:rsidRPr="00A428C3">
        <w:rPr>
          <w:szCs w:val="21"/>
        </w:rPr>
        <w:t>Brien</w:t>
      </w:r>
      <w:r w:rsidR="00F81221">
        <w:rPr>
          <w:szCs w:val="21"/>
        </w:rPr>
        <w:t xml:space="preserve"> and </w:t>
      </w:r>
      <w:r w:rsidRPr="00A428C3">
        <w:rPr>
          <w:szCs w:val="21"/>
        </w:rPr>
        <w:t xml:space="preserve">Myers which considered some </w:t>
      </w:r>
      <w:r w:rsidRPr="00A428C3">
        <w:rPr>
          <w:szCs w:val="22"/>
        </w:rPr>
        <w:t xml:space="preserve">aspects </w:t>
      </w:r>
      <w:r w:rsidRPr="00A428C3">
        <w:rPr>
          <w:szCs w:val="21"/>
        </w:rPr>
        <w:t xml:space="preserve">of the same problem, the present method requires, for any N-component mixture, the solution of only one </w:t>
      </w:r>
      <w:r w:rsidRPr="00A428C3">
        <w:rPr>
          <w:szCs w:val="22"/>
        </w:rPr>
        <w:t xml:space="preserve">or </w:t>
      </w:r>
      <w:r w:rsidRPr="00A428C3">
        <w:rPr>
          <w:szCs w:val="21"/>
        </w:rPr>
        <w:t xml:space="preserve">two nonlinear algebraic equations instead of the </w:t>
      </w:r>
      <w:r w:rsidRPr="00A428C3">
        <w:rPr>
          <w:i/>
          <w:iCs/>
          <w:szCs w:val="22"/>
        </w:rPr>
        <w:t xml:space="preserve">N </w:t>
      </w:r>
      <w:r w:rsidRPr="00A428C3">
        <w:rPr>
          <w:szCs w:val="21"/>
        </w:rPr>
        <w:t>equations necessary with the O</w:t>
      </w:r>
      <w:r w:rsidR="000352E7">
        <w:rPr>
          <w:szCs w:val="21"/>
        </w:rPr>
        <w:t>’</w:t>
      </w:r>
      <w:r w:rsidRPr="00A428C3">
        <w:rPr>
          <w:szCs w:val="21"/>
        </w:rPr>
        <w:t>Brien-Myers method. The saving in computation time becomes significant as the number (N) increases.</w:t>
      </w:r>
    </w:p>
    <w:p w:rsidR="00B95188" w:rsidRPr="00A428C3" w:rsidRDefault="00B95188" w:rsidP="00B95188">
      <w:pPr>
        <w:pStyle w:val="a0"/>
      </w:pPr>
      <w:r w:rsidRPr="00A428C3">
        <w:lastRenderedPageBreak/>
        <w:t>Goto, M., Smith, J.M.</w:t>
      </w:r>
      <w:r w:rsidR="00F81221">
        <w:t xml:space="preserve"> and </w:t>
      </w:r>
      <w:r w:rsidRPr="00A428C3">
        <w:t>McCoy, B.J. (1990), Kinetics</w:t>
      </w:r>
      <w:r w:rsidR="00F81221">
        <w:t xml:space="preserve"> and </w:t>
      </w:r>
      <w:r w:rsidRPr="00A428C3">
        <w:t xml:space="preserve">mass transfer for supercritical fluid extraction of wood. </w:t>
      </w:r>
      <w:r w:rsidRPr="00A428C3">
        <w:rPr>
          <w:i/>
          <w:iCs/>
        </w:rPr>
        <w:t>Industrial &amp; Engineering Chemistry Research</w:t>
      </w:r>
      <w:r w:rsidRPr="00A428C3">
        <w:t xml:space="preserve">, </w:t>
      </w:r>
      <w:r w:rsidRPr="00A428C3">
        <w:rPr>
          <w:b/>
        </w:rPr>
        <w:t>29</w:t>
      </w:r>
      <w:r w:rsidRPr="00A428C3">
        <w:t xml:space="preserve"> (2), 282-289.</w:t>
      </w:r>
    </w:p>
    <w:p w:rsidR="00B95188" w:rsidRPr="00A428C3" w:rsidRDefault="00B95188" w:rsidP="00B95188">
      <w:pPr>
        <w:pStyle w:val="a0"/>
      </w:pPr>
      <w:r w:rsidRPr="00A428C3">
        <w:t xml:space="preserve">Full Text: </w:t>
      </w:r>
      <w:hyperlink r:id="rId1067" w:history="1">
        <w:r w:rsidRPr="00A428C3">
          <w:rPr>
            <w:rStyle w:val="a5"/>
          </w:rPr>
          <w:t>I\Ind Eng Che Res29, 282.pdf</w:t>
        </w:r>
      </w:hyperlink>
    </w:p>
    <w:p w:rsidR="00B95188" w:rsidRPr="00A428C3" w:rsidRDefault="00B95188" w:rsidP="00B95188">
      <w:pPr>
        <w:pStyle w:val="a0"/>
      </w:pPr>
      <w:r w:rsidRPr="00A428C3">
        <w:t>Abstract: Rates of extraction of lignin from white fir sapwood with supercritical tert-butyl alcohol were measured dynamically in a continuous-flow system. The extraction rate increased with temperature</w:t>
      </w:r>
      <w:r w:rsidR="00F81221">
        <w:t xml:space="preserve"> and </w:t>
      </w:r>
      <w:r w:rsidRPr="00A428C3">
        <w:t>pressure but was independent of particle size</w:t>
      </w:r>
      <w:r w:rsidR="00F81221">
        <w:t xml:space="preserve"> and </w:t>
      </w:r>
      <w:r w:rsidRPr="00A428C3">
        <w:t>flow rate for our experimental conditions. A model is presented for the supercritical reaction-extraction process, accounting for the reaction of solid lignin in the particle, intraparticle diffusion,</w:t>
      </w:r>
      <w:r w:rsidR="00F81221">
        <w:t xml:space="preserve"> and </w:t>
      </w:r>
      <w:r w:rsidRPr="00A428C3">
        <w:t>external mass transfer of lignin derivatives. For the reaction in the particle, two parallel first-order reactions for the degradation of two lignin types satisfactorily represent the data. The kinetic parameters for the reaction were estimated from the model analysis. Model simulations supported the experimental results, which showed the extraction process was not affected by the mass transfer.</w:t>
      </w:r>
    </w:p>
    <w:p w:rsidR="00B95188" w:rsidRPr="00A428C3" w:rsidRDefault="00B95188" w:rsidP="00B95188">
      <w:pPr>
        <w:pStyle w:val="a0"/>
      </w:pPr>
      <w:r w:rsidRPr="00A428C3">
        <w:t>McKay, G.</w:t>
      </w:r>
      <w:r w:rsidR="00F81221">
        <w:t xml:space="preserve"> and </w:t>
      </w:r>
      <w:r w:rsidRPr="00A428C3">
        <w:t xml:space="preserve">Al-Duri, B. (1991), Multicomponent dye adsorption onto carbon using a solid diffusion mass transfer model. </w:t>
      </w:r>
      <w:r w:rsidRPr="00A428C3">
        <w:rPr>
          <w:i/>
        </w:rPr>
        <w:t>Industrial &amp; Engineering Chemistry Research</w:t>
      </w:r>
      <w:r w:rsidRPr="00A428C3">
        <w:t xml:space="preserve">, </w:t>
      </w:r>
      <w:r w:rsidRPr="00A428C3">
        <w:rPr>
          <w:b/>
        </w:rPr>
        <w:t>30</w:t>
      </w:r>
      <w:r w:rsidRPr="00A428C3">
        <w:t xml:space="preserve"> (2), 385-395.</w:t>
      </w:r>
    </w:p>
    <w:p w:rsidR="00B95188" w:rsidRPr="00A428C3" w:rsidRDefault="00B95188" w:rsidP="00B95188">
      <w:pPr>
        <w:pStyle w:val="a0"/>
      </w:pPr>
      <w:r w:rsidRPr="00A428C3">
        <w:t xml:space="preserve">Full Text: </w:t>
      </w:r>
      <w:hyperlink r:id="rId1068" w:history="1">
        <w:r w:rsidRPr="00A428C3">
          <w:rPr>
            <w:rStyle w:val="a5"/>
          </w:rPr>
          <w:t>I\Ind Eng Che Res30, 385.pdf</w:t>
        </w:r>
      </w:hyperlink>
    </w:p>
    <w:p w:rsidR="00B95188" w:rsidRPr="00A428C3" w:rsidRDefault="00B95188" w:rsidP="00B95188">
      <w:pPr>
        <w:pStyle w:val="a0"/>
        <w:rPr>
          <w:rFonts w:eastAsia="Arial Unicode MS"/>
        </w:rPr>
      </w:pPr>
      <w:r w:rsidRPr="00A428C3">
        <w:t>Abstract: The adsorption of basic dyes onto activated carbon has been studied for single</w:t>
      </w:r>
      <w:r w:rsidR="00F81221">
        <w:t xml:space="preserve"> and </w:t>
      </w:r>
      <w:r w:rsidRPr="00A428C3">
        <w:t>multicomponent systems. Three single-component systems, one binary dye adsorption system,</w:t>
      </w:r>
      <w:r w:rsidR="00F81221">
        <w:t xml:space="preserve"> and </w:t>
      </w:r>
      <w:r w:rsidRPr="00A428C3">
        <w:t>one ternary dye adsorption system have been investigated. Equilibria</w:t>
      </w:r>
      <w:r w:rsidR="00F81221">
        <w:t xml:space="preserve"> and </w:t>
      </w:r>
      <w:r w:rsidRPr="00A428C3">
        <w:t>kinetic studies have been performed</w:t>
      </w:r>
      <w:r w:rsidR="00F81221">
        <w:t xml:space="preserve"> and </w:t>
      </w:r>
      <w:r w:rsidRPr="00A428C3">
        <w:t>the effects of varying initial dye concentration</w:t>
      </w:r>
      <w:r w:rsidR="00F81221">
        <w:t xml:space="preserve"> and </w:t>
      </w:r>
      <w:r w:rsidRPr="00A428C3">
        <w:t>carbon mass have been investigated during the kinetic experiments. Prediction of experimental equilibrium data has been performed by use of the ideal adsorbed solute theory, the extended Redlich-Peterson isotherm,</w:t>
      </w:r>
      <w:r w:rsidR="00F81221">
        <w:t xml:space="preserve"> and </w:t>
      </w:r>
      <w:r w:rsidRPr="00A428C3">
        <w:t>a modified extended Redlich-Peterson isotherm. The predictions from the modified extended Redlich-Peterson isotherm, incorporating an interaction factor, correlated experimental data well</w:t>
      </w:r>
      <w:r w:rsidR="00F81221">
        <w:t xml:space="preserve"> and </w:t>
      </w:r>
      <w:r w:rsidRPr="00A428C3">
        <w:t>also provided a reasonably simple format that could be incorporated into a kinetic model. The kinetic model developed for agitated batch adsorbers is based on the film solid diffusion model coupled with the modified extended Redlich-Peterson isotherm. Kinetic data for the binary</w:t>
      </w:r>
      <w:r w:rsidR="00F81221">
        <w:t xml:space="preserve"> and </w:t>
      </w:r>
      <w:r w:rsidRPr="00A428C3">
        <w:t>ternary systems are correlated with experimental data for up to 3 h over a wide range of dye concentrations</w:t>
      </w:r>
      <w:r w:rsidR="00F81221">
        <w:t xml:space="preserve"> and </w:t>
      </w:r>
      <w:r w:rsidRPr="00A428C3">
        <w:t>carbon masses.</w:t>
      </w:r>
    </w:p>
    <w:p w:rsidR="00B95188" w:rsidRPr="00A428C3" w:rsidRDefault="00B95188" w:rsidP="00B95188">
      <w:pPr>
        <w:pStyle w:val="a0"/>
      </w:pPr>
      <w:r w:rsidRPr="00A428C3">
        <w:t>Keywords: Binary-Liquid Mixtures, Multi-Solute Adsorption, 2 Dissolved Organics, Activated Carbon, Competitive Adsorption, Surface-Diffusion, Aqueous-Solutions, Ideal Solutions, Equilibria, Isotherm</w:t>
      </w:r>
    </w:p>
    <w:p w:rsidR="00B95188" w:rsidRPr="00A428C3" w:rsidRDefault="00B95188" w:rsidP="00B95188">
      <w:pPr>
        <w:pStyle w:val="a0"/>
      </w:pPr>
      <w:r w:rsidRPr="00A428C3">
        <w:t>Urano, K.</w:t>
      </w:r>
      <w:r w:rsidR="00F81221">
        <w:t xml:space="preserve"> and </w:t>
      </w:r>
      <w:r w:rsidRPr="00A428C3">
        <w:t>Tachikawa, H. (1991), Process development for removal</w:t>
      </w:r>
      <w:r w:rsidR="00F81221">
        <w:t xml:space="preserve"> and </w:t>
      </w:r>
      <w:r w:rsidRPr="00A428C3">
        <w:t>recovery of phosphorus from wastewater by a new adsorbent. 1. Preparation method</w:t>
      </w:r>
      <w:r w:rsidR="00F81221">
        <w:t xml:space="preserve"> and </w:t>
      </w:r>
      <w:r w:rsidRPr="00A428C3">
        <w:lastRenderedPageBreak/>
        <w:t xml:space="preserve">adsorption capability of a new adsorbent. </w:t>
      </w:r>
      <w:r w:rsidRPr="00A428C3">
        <w:rPr>
          <w:i/>
        </w:rPr>
        <w:t>Industrial &amp; Engineering Chemistry Research</w:t>
      </w:r>
      <w:r w:rsidRPr="00A428C3">
        <w:t xml:space="preserve">, </w:t>
      </w:r>
      <w:r w:rsidRPr="00A428C3">
        <w:rPr>
          <w:b/>
        </w:rPr>
        <w:t>30</w:t>
      </w:r>
      <w:r w:rsidRPr="00A428C3">
        <w:t xml:space="preserve"> (8), 1893-1896.</w:t>
      </w:r>
    </w:p>
    <w:p w:rsidR="00B95188" w:rsidRPr="00A428C3" w:rsidRDefault="00B95188" w:rsidP="00B95188">
      <w:pPr>
        <w:pStyle w:val="a0"/>
      </w:pPr>
      <w:r w:rsidRPr="00A428C3">
        <w:t xml:space="preserve">Full Text: </w:t>
      </w:r>
      <w:hyperlink r:id="rId1069" w:history="1">
        <w:r w:rsidRPr="00A428C3">
          <w:rPr>
            <w:rStyle w:val="a5"/>
          </w:rPr>
          <w:t>I\Ind Eng Che Res30, 1893.pdf</w:t>
        </w:r>
      </w:hyperlink>
    </w:p>
    <w:p w:rsidR="00B95188" w:rsidRPr="00A428C3" w:rsidRDefault="00B95188" w:rsidP="00B95188">
      <w:pPr>
        <w:pStyle w:val="a0"/>
      </w:pPr>
      <w:r w:rsidRPr="00A428C3">
        <w:t>Abstract: Alophene</w:t>
      </w:r>
      <w:r w:rsidR="00F81221">
        <w:t xml:space="preserve"> and </w:t>
      </w:r>
      <w:r w:rsidRPr="00A428C3">
        <w:t>activated alumina can adsorb phosphate ion,</w:t>
      </w:r>
      <w:r w:rsidR="00F81221">
        <w:t xml:space="preserve"> and </w:t>
      </w:r>
      <w:r w:rsidRPr="00A428C3">
        <w:t>their adsorption capacities have been increased by adding aluminum sulfate or iron sulfate, respectively, to form complex salts on their surfaces. In particular, activated alumina combined with 2.0</w:t>
      </w:r>
      <w:r w:rsidRPr="00A428C3">
        <w:sym w:font="Symbol" w:char="F0B4"/>
      </w:r>
      <w:r w:rsidRPr="00A428C3">
        <w:t>10</w:t>
      </w:r>
      <w:r w:rsidRPr="00A428C3">
        <w:rPr>
          <w:vertAlign w:val="superscript"/>
        </w:rPr>
        <w:t>-4</w:t>
      </w:r>
      <w:r w:rsidRPr="00A428C3">
        <w:t xml:space="preserve"> mol of aluminum sulfate/g has a large adsorption capacity</w:t>
      </w:r>
      <w:r w:rsidR="00F81221">
        <w:t xml:space="preserve"> and </w:t>
      </w:r>
      <w:r w:rsidRPr="00A428C3">
        <w:t>good characteristics. This new adsorbent adsorbs various inorganic phosphorus species in a pH range from 4 to 7. Coexistence of various inorganic</w:t>
      </w:r>
      <w:r w:rsidR="00F81221">
        <w:t xml:space="preserve"> and </w:t>
      </w:r>
      <w:r w:rsidRPr="00A428C3">
        <w:t>organic anions does not disturb the adsorption of phosphate ion, but coexistence nitrate</w:t>
      </w:r>
      <w:r w:rsidR="00F81221">
        <w:t xml:space="preserve"> and </w:t>
      </w:r>
      <w:r w:rsidRPr="00A428C3">
        <w:t>sulfate ions disturb the adsorption slightly. Phosphate is adsorbed in the early stage by the reaction with the complex salt Al</w:t>
      </w:r>
      <w:r w:rsidRPr="00A428C3">
        <w:rPr>
          <w:vertAlign w:val="subscript"/>
        </w:rPr>
        <w:t>4</w:t>
      </w:r>
      <w:r w:rsidRPr="00A428C3">
        <w:t>(OH)</w:t>
      </w:r>
      <w:r w:rsidRPr="00A428C3">
        <w:rPr>
          <w:vertAlign w:val="subscript"/>
        </w:rPr>
        <w:t>6</w:t>
      </w:r>
      <w:r w:rsidRPr="00A428C3">
        <w:t>(SO</w:t>
      </w:r>
      <w:r w:rsidRPr="00A428C3">
        <w:rPr>
          <w:vertAlign w:val="subscript"/>
        </w:rPr>
        <w:t>4</w:t>
      </w:r>
      <w:r w:rsidRPr="00A428C3">
        <w:t>)</w:t>
      </w:r>
      <w:r w:rsidRPr="00A428C3">
        <w:rPr>
          <w:vertAlign w:val="subscript"/>
        </w:rPr>
        <w:t>3</w:t>
      </w:r>
      <w:r w:rsidRPr="00A428C3">
        <w:t>, which was formed by the reaction of aluminum sulfate</w:t>
      </w:r>
      <w:r w:rsidR="00F81221">
        <w:t xml:space="preserve"> and </w:t>
      </w:r>
      <w:r w:rsidRPr="00A428C3">
        <w:t>aluminum hydroxide on the surface of activated alumina,</w:t>
      </w:r>
      <w:r w:rsidR="00F81221">
        <w:t xml:space="preserve"> and </w:t>
      </w:r>
      <w:r w:rsidRPr="00A428C3">
        <w:t>in the delay time by the reaction with the aluminum hydroxide.</w:t>
      </w:r>
    </w:p>
    <w:p w:rsidR="00B95188" w:rsidRPr="00A428C3" w:rsidRDefault="00B95188" w:rsidP="00B95188">
      <w:pPr>
        <w:pStyle w:val="a0"/>
      </w:pPr>
      <w:r w:rsidRPr="00A428C3">
        <w:t>Urano, K.</w:t>
      </w:r>
      <w:r w:rsidR="00F81221">
        <w:t xml:space="preserve"> and </w:t>
      </w:r>
      <w:r w:rsidRPr="00A428C3">
        <w:t>Tachikawa, H. (1991), Process development for removal</w:t>
      </w:r>
      <w:r w:rsidR="00F81221">
        <w:t xml:space="preserve"> and </w:t>
      </w:r>
      <w:r w:rsidRPr="00A428C3">
        <w:t>recovery of phosphorus from wastewater by a new adsorbent. 2. Adsorption rates</w:t>
      </w:r>
      <w:r w:rsidR="00F81221">
        <w:t xml:space="preserve"> and </w:t>
      </w:r>
      <w:r w:rsidRPr="00A428C3">
        <w:t xml:space="preserve">breakthrough curves. </w:t>
      </w:r>
      <w:r w:rsidRPr="00A428C3">
        <w:rPr>
          <w:i/>
        </w:rPr>
        <w:t>Industrial &amp; Engineering Chemistry Research</w:t>
      </w:r>
      <w:r w:rsidRPr="00A428C3">
        <w:t xml:space="preserve">, </w:t>
      </w:r>
      <w:r w:rsidRPr="00A428C3">
        <w:rPr>
          <w:b/>
        </w:rPr>
        <w:t>30</w:t>
      </w:r>
      <w:r w:rsidRPr="00A428C3">
        <w:t xml:space="preserve"> (8), 1897-1899.</w:t>
      </w:r>
    </w:p>
    <w:p w:rsidR="00B95188" w:rsidRPr="00A428C3" w:rsidRDefault="00B95188" w:rsidP="00B95188">
      <w:pPr>
        <w:pStyle w:val="a0"/>
      </w:pPr>
      <w:r w:rsidRPr="00A428C3">
        <w:t xml:space="preserve">Full Text: </w:t>
      </w:r>
      <w:hyperlink r:id="rId1070" w:history="1">
        <w:r w:rsidRPr="00A428C3">
          <w:rPr>
            <w:rStyle w:val="a5"/>
          </w:rPr>
          <w:t>I\Ind Eng Che Res30, 1897.pdf</w:t>
        </w:r>
      </w:hyperlink>
    </w:p>
    <w:p w:rsidR="00B95188" w:rsidRPr="00A428C3" w:rsidRDefault="00B95188" w:rsidP="00B95188">
      <w:pPr>
        <w:pStyle w:val="a0"/>
      </w:pPr>
      <w:r w:rsidRPr="00A428C3">
        <w:t>Abstract: Adsorption rates of biphosphate ion</w:t>
      </w:r>
      <w:r w:rsidR="00F81221">
        <w:t xml:space="preserve"> and </w:t>
      </w:r>
      <w:r w:rsidRPr="00A428C3">
        <w:t>tripolyphosphate ion on the newly developed adsorbent were analyzed by batchwise</w:t>
      </w:r>
      <w:r w:rsidR="00F81221">
        <w:t xml:space="preserve"> and </w:t>
      </w:r>
      <w:r w:rsidRPr="00A428C3">
        <w:t>flow adsorption tests. The adsorption rates were controlled by the intraparticle diffusion rates,</w:t>
      </w:r>
      <w:r w:rsidR="00F81221">
        <w:t xml:space="preserve"> and </w:t>
      </w:r>
      <w:r w:rsidRPr="00A428C3">
        <w:t>the diffusion coefficients were changed with the concentration of the ions in solutions. The breakthrough curves could be predicted from the Freundlich type adsorption isotherms</w:t>
      </w:r>
      <w:r w:rsidR="00F81221">
        <w:t xml:space="preserve"> and </w:t>
      </w:r>
      <w:r w:rsidRPr="00A428C3">
        <w:t>the intraparticle diffusion coefficients obtained by batchwise tests for the influent concentration. Therefore, the breakthrough times, namely, the regeneration cycles, could be predicted for various conditions,</w:t>
      </w:r>
      <w:r w:rsidR="00F81221">
        <w:t xml:space="preserve"> and </w:t>
      </w:r>
      <w:r w:rsidRPr="00A428C3">
        <w:t>the feasibility of the process using the new adsorbent was estimated for removing the recovering phosphorus from wastewater.</w:t>
      </w:r>
    </w:p>
    <w:p w:rsidR="00B95188" w:rsidRPr="00A428C3" w:rsidRDefault="00B95188" w:rsidP="00B95188">
      <w:pPr>
        <w:pStyle w:val="a0"/>
      </w:pPr>
      <w:r w:rsidRPr="00A428C3">
        <w:t>Kobayashi, S., Mizuno, K., Kushiyama, S., Aizawa, R., Koinuma, Y.</w:t>
      </w:r>
      <w:r w:rsidR="00F81221">
        <w:t xml:space="preserve"> and </w:t>
      </w:r>
      <w:r w:rsidRPr="00A428C3">
        <w:t xml:space="preserve">Ohuchi, H. (1991), Adsorption behavior of chlorofluorocarbons in zeolitic pores. 1. Adsorption isotherm. </w:t>
      </w:r>
      <w:r w:rsidRPr="00A428C3">
        <w:rPr>
          <w:i/>
        </w:rPr>
        <w:t>Industrial &amp; Engineering Chemistry Research</w:t>
      </w:r>
      <w:r w:rsidRPr="00A428C3">
        <w:t xml:space="preserve">, </w:t>
      </w:r>
      <w:r w:rsidRPr="00A428C3">
        <w:rPr>
          <w:b/>
        </w:rPr>
        <w:t>30</w:t>
      </w:r>
      <w:r w:rsidRPr="00A428C3">
        <w:t xml:space="preserve"> (10), 2340-2344.</w:t>
      </w:r>
    </w:p>
    <w:p w:rsidR="00B95188" w:rsidRPr="00A428C3" w:rsidRDefault="00B95188" w:rsidP="00B95188">
      <w:pPr>
        <w:pStyle w:val="a0"/>
      </w:pPr>
      <w:r w:rsidRPr="00A428C3">
        <w:t xml:space="preserve">Full Text: </w:t>
      </w:r>
      <w:hyperlink r:id="rId1071" w:history="1">
        <w:r w:rsidRPr="00A428C3">
          <w:rPr>
            <w:rStyle w:val="a5"/>
          </w:rPr>
          <w:t>I\Ind Eng Che Res30, 2340.pdf</w:t>
        </w:r>
      </w:hyperlink>
    </w:p>
    <w:p w:rsidR="00B95188" w:rsidRPr="00A428C3" w:rsidRDefault="00B95188" w:rsidP="00B95188">
      <w:pPr>
        <w:pStyle w:val="a0"/>
      </w:pPr>
      <w:r w:rsidRPr="00A428C3">
        <w:t>Abstract: The adsorption of CFC-12 on NaY, KY,</w:t>
      </w:r>
      <w:r w:rsidR="00F81221">
        <w:t xml:space="preserve"> and </w:t>
      </w:r>
      <w:r w:rsidRPr="00A428C3">
        <w:t>CsY zeolites was carried out by use of a conventional static adsorption apparatus,</w:t>
      </w:r>
      <w:r w:rsidR="00F81221">
        <w:t xml:space="preserve"> and </w:t>
      </w:r>
      <w:r w:rsidRPr="00A428C3">
        <w:t>the data were discussed in terms of the best fit adsorption isotherms. An inflection point was observed on each isotherm at the adsorption amount of ca. 10 molecules per unit cell. The heat of adsorption calculated by Clausius-Clapeyron equation between 0</w:t>
      </w:r>
      <w:r w:rsidR="00F81221">
        <w:t xml:space="preserve"> and </w:t>
      </w:r>
      <w:r w:rsidRPr="00A428C3">
        <w:t>15</w:t>
      </w:r>
      <w:r w:rsidR="00776238">
        <w:t>°</w:t>
      </w:r>
      <w:r w:rsidRPr="00A428C3">
        <w:t xml:space="preserve">C on NaY zeolite increased with increasing adsorption amount of CFC-12. These data were </w:t>
      </w:r>
      <w:r w:rsidRPr="00A428C3">
        <w:lastRenderedPageBreak/>
        <w:t>explained in terms of the nonlocalized equation proposed by Hill.</w:t>
      </w:r>
    </w:p>
    <w:p w:rsidR="006740E7" w:rsidRPr="00A428C3" w:rsidRDefault="006740E7" w:rsidP="006740E7">
      <w:pPr>
        <w:pStyle w:val="a0"/>
      </w:pPr>
      <w:r>
        <w:rPr>
          <w:rFonts w:hint="eastAsia"/>
        </w:rPr>
        <w:t>?</w:t>
      </w:r>
      <w:r w:rsidRPr="006740E7">
        <w:t xml:space="preserve"> </w:t>
      </w:r>
      <w:r>
        <w:t>Ackley</w:t>
      </w:r>
      <w:r>
        <w:rPr>
          <w:rFonts w:hint="eastAsia"/>
        </w:rPr>
        <w:t>,</w:t>
      </w:r>
      <w:r>
        <w:t xml:space="preserve"> M</w:t>
      </w:r>
      <w:r>
        <w:rPr>
          <w:rFonts w:hint="eastAsia"/>
        </w:rPr>
        <w:t>.</w:t>
      </w:r>
      <w:r>
        <w:t>W</w:t>
      </w:r>
      <w:r>
        <w:rPr>
          <w:rFonts w:hint="eastAsia"/>
        </w:rPr>
        <w:t>.</w:t>
      </w:r>
      <w:r w:rsidR="00F81221">
        <w:rPr>
          <w:rFonts w:hint="eastAsia"/>
        </w:rPr>
        <w:t xml:space="preserve"> and </w:t>
      </w:r>
      <w:r>
        <w:t>Yang</w:t>
      </w:r>
      <w:r>
        <w:rPr>
          <w:rFonts w:hint="eastAsia"/>
        </w:rPr>
        <w:t>,</w:t>
      </w:r>
      <w:r>
        <w:t xml:space="preserve"> R</w:t>
      </w:r>
      <w:r>
        <w:rPr>
          <w:rFonts w:hint="eastAsia"/>
        </w:rPr>
        <w:t>.</w:t>
      </w:r>
      <w:r>
        <w:t>T</w:t>
      </w:r>
      <w:r>
        <w:rPr>
          <w:rFonts w:hint="eastAsia"/>
        </w:rPr>
        <w:t>.</w:t>
      </w:r>
      <w:r w:rsidRPr="00A428C3">
        <w:t xml:space="preserve"> (1991), </w:t>
      </w:r>
      <w:r>
        <w:t>Adsorption characteristics of high-exchange clinoptilolites</w:t>
      </w:r>
      <w:r w:rsidRPr="00A428C3">
        <w:t xml:space="preserve">. </w:t>
      </w:r>
      <w:r w:rsidRPr="00A428C3">
        <w:rPr>
          <w:i/>
        </w:rPr>
        <w:t>Industrial &amp; Engineering Chemistry Research</w:t>
      </w:r>
      <w:r w:rsidRPr="00A428C3">
        <w:t xml:space="preserve">, </w:t>
      </w:r>
      <w:r w:rsidRPr="00A428C3">
        <w:rPr>
          <w:b/>
        </w:rPr>
        <w:t>30</w:t>
      </w:r>
      <w:r w:rsidRPr="00A428C3">
        <w:t xml:space="preserve"> (1</w:t>
      </w:r>
      <w:r>
        <w:rPr>
          <w:rFonts w:hint="eastAsia"/>
        </w:rPr>
        <w:t>2</w:t>
      </w:r>
      <w:r w:rsidRPr="00A428C3">
        <w:t xml:space="preserve">), </w:t>
      </w:r>
      <w:r>
        <w:t>2523-2530</w:t>
      </w:r>
      <w:r w:rsidRPr="00A428C3">
        <w:t>.</w:t>
      </w:r>
    </w:p>
    <w:p w:rsidR="006740E7" w:rsidRDefault="006740E7" w:rsidP="006740E7">
      <w:pPr>
        <w:pStyle w:val="a0"/>
      </w:pPr>
      <w:r w:rsidRPr="00A428C3">
        <w:t xml:space="preserve">Full Text: </w:t>
      </w:r>
      <w:hyperlink r:id="rId1072" w:history="1">
        <w:r w:rsidRPr="006740E7">
          <w:rPr>
            <w:rStyle w:val="a5"/>
          </w:rPr>
          <w:t>1991\Ind Eng Che Res30, 2523.pdf</w:t>
        </w:r>
      </w:hyperlink>
    </w:p>
    <w:p w:rsidR="006740E7" w:rsidRDefault="006740E7" w:rsidP="006740E7">
      <w:pPr>
        <w:pStyle w:val="a0"/>
      </w:pPr>
      <w:r>
        <w:t>Abstract: Clinoptilolite, the most abundant natural zeolite, has been modified by ion exchange to fully exchanged forms of the monovalent cations K+, Na+,</w:t>
      </w:r>
      <w:r w:rsidR="00F81221">
        <w:t xml:space="preserve"> and </w:t>
      </w:r>
      <w:r>
        <w:t>H+</w:t>
      </w:r>
      <w:r w:rsidR="00F81221">
        <w:t xml:space="preserve"> and </w:t>
      </w:r>
      <w:r>
        <w:t>highly exchanged forms of the bivalent cations Ca2+ (89%)</w:t>
      </w:r>
      <w:r w:rsidR="00F81221">
        <w:t xml:space="preserve"> and </w:t>
      </w:r>
      <w:r>
        <w:t>Mg2+ (72%). The Dubinin-Astakhov volume filling model was applied to the supercritical isotherm data to predict pore volume at the normal boiling temperatures of N2</w:t>
      </w:r>
      <w:r w:rsidR="00F81221">
        <w:t xml:space="preserve"> and </w:t>
      </w:r>
      <w:r>
        <w:t>CH4-temperatures too low for practical isotherm measurement due to the slow diffusion of these gases. Adsorption isotherms</w:t>
      </w:r>
      <w:r w:rsidR="00F81221">
        <w:t xml:space="preserve"> and </w:t>
      </w:r>
      <w:r>
        <w:t>energetic heterogeneity have been discussed in terms of the various cations</w:t>
      </w:r>
      <w:r w:rsidR="00F81221">
        <w:t xml:space="preserve"> and </w:t>
      </w:r>
      <w:r>
        <w:t>their locations in the clinoptilolite channels. Adsorption characteristics have been greatly altered through cation manipulation to produce a range of CH4:N2 selectivity ratios exceeding 1 order of magnitude. In view of the difficulty of the CH4/N2 separation, these results suggest excellent potential for tailoring clinoptilolite for separation of other specific gas mixtures.</w:t>
      </w:r>
    </w:p>
    <w:p w:rsidR="006740E7" w:rsidRPr="00A428C3" w:rsidRDefault="006740E7" w:rsidP="006740E7">
      <w:pPr>
        <w:pStyle w:val="a0"/>
      </w:pPr>
      <w:r>
        <w:t>Keywords: Separation</w:t>
      </w:r>
    </w:p>
    <w:p w:rsidR="00B95188" w:rsidRPr="00A428C3" w:rsidRDefault="00B95188" w:rsidP="00B95188">
      <w:pPr>
        <w:pStyle w:val="a0"/>
      </w:pPr>
      <w:r w:rsidRPr="00A428C3">
        <w:t>Urano, K.</w:t>
      </w:r>
      <w:r w:rsidR="00F81221">
        <w:t xml:space="preserve"> and </w:t>
      </w:r>
      <w:r w:rsidRPr="00A428C3">
        <w:t>Tachikawa, H. (1992), Process development for removal</w:t>
      </w:r>
      <w:r w:rsidR="00F81221">
        <w:t xml:space="preserve"> and </w:t>
      </w:r>
      <w:r w:rsidRPr="00A428C3">
        <w:t>recovery of phosphorus from wastewater by a new adsorbent. 3. Desorption of phosphate</w:t>
      </w:r>
      <w:r w:rsidR="00F81221">
        <w:t xml:space="preserve"> and </w:t>
      </w:r>
      <w:r w:rsidRPr="00A428C3">
        <w:t xml:space="preserve">regeneration of adsorbent. </w:t>
      </w:r>
      <w:r w:rsidRPr="00A428C3">
        <w:rPr>
          <w:i/>
        </w:rPr>
        <w:t>Industrial &amp; Engineering Chemistry Research</w:t>
      </w:r>
      <w:r w:rsidRPr="00A428C3">
        <w:t xml:space="preserve">, </w:t>
      </w:r>
      <w:r w:rsidRPr="00A428C3">
        <w:rPr>
          <w:b/>
        </w:rPr>
        <w:t>31</w:t>
      </w:r>
      <w:r w:rsidRPr="00A428C3">
        <w:t xml:space="preserve"> (6), 1510-1513.</w:t>
      </w:r>
    </w:p>
    <w:p w:rsidR="00B95188" w:rsidRPr="00A428C3" w:rsidRDefault="00B95188" w:rsidP="00B95188">
      <w:pPr>
        <w:pStyle w:val="a0"/>
      </w:pPr>
      <w:r w:rsidRPr="00A428C3">
        <w:t xml:space="preserve">Full Text: </w:t>
      </w:r>
      <w:hyperlink r:id="rId1073" w:history="1">
        <w:r w:rsidRPr="00A428C3">
          <w:rPr>
            <w:rStyle w:val="a5"/>
          </w:rPr>
          <w:t>I\Ind Eng Che Res31, 1510.pdf</w:t>
        </w:r>
      </w:hyperlink>
    </w:p>
    <w:p w:rsidR="00B95188" w:rsidRPr="00A428C3" w:rsidRDefault="00B95188" w:rsidP="00B95188">
      <w:pPr>
        <w:pStyle w:val="a0"/>
      </w:pPr>
      <w:r w:rsidRPr="00A428C3">
        <w:t>Abstract: A superior adsorbent for removing inorganic phosphorus from wastewater was developed in previous studies. Feasible methods for desorption of phosphate</w:t>
      </w:r>
      <w:r w:rsidR="00F81221">
        <w:t xml:space="preserve"> and </w:t>
      </w:r>
      <w:r w:rsidRPr="00A428C3">
        <w:t>regeneration of the spent adsorbent were investigated in this study. Sodium hydroxide solution of c</w:t>
      </w:r>
      <w:smartTag w:uri="urn:schemas-microsoft-com:office:smarttags" w:element="chsdate">
        <w:smartTagPr>
          <w:attr w:name="IsROCDate" w:val="False"/>
          <w:attr w:name="IsLunarDate" w:val="False"/>
          <w:attr w:name="Day" w:val="30"/>
          <w:attr w:name="Month" w:val="12"/>
          <w:attr w:name="Year" w:val="1899"/>
        </w:smartTagPr>
        <w:r w:rsidRPr="00A428C3">
          <w:t>a. 1.0</w:t>
        </w:r>
      </w:smartTag>
      <w:r w:rsidRPr="00A428C3">
        <w:t xml:space="preserve"> mol/L was suitable for the desorption. Over 85% of phosphate was desorbed easily by circulating the sodium hydroxide solution in the column,</w:t>
      </w:r>
      <w:r w:rsidR="00F81221">
        <w:t xml:space="preserve"> and </w:t>
      </w:r>
      <w:r w:rsidRPr="00A428C3">
        <w:t>a concentrated phosphate solution was obtained. The adsorbent was regenerated sufficiently by circulating the mixed solution of aluminum sulfate</w:t>
      </w:r>
      <w:r w:rsidR="00F81221">
        <w:t xml:space="preserve"> and </w:t>
      </w:r>
      <w:r w:rsidRPr="00A428C3">
        <w:t>sulfuric acid in the column after the desorption. The regenerated adsorbent adsorbed over 80% of the phosphate from virgin adsorbent for 20 reuse cycles. Further, the reaction mechanisms of the desorption</w:t>
      </w:r>
      <w:r w:rsidR="00F81221">
        <w:t xml:space="preserve"> and </w:t>
      </w:r>
      <w:r w:rsidRPr="00A428C3">
        <w:t>the regeneration were discussed.</w:t>
      </w:r>
    </w:p>
    <w:p w:rsidR="00B95188" w:rsidRPr="00A428C3" w:rsidRDefault="00B95188" w:rsidP="00B95188">
      <w:pPr>
        <w:pStyle w:val="a0"/>
      </w:pPr>
      <w:r w:rsidRPr="00A428C3">
        <w:t>Urano, K., Tachikawa, H.</w:t>
      </w:r>
      <w:r w:rsidR="00F81221">
        <w:t xml:space="preserve"> and </w:t>
      </w:r>
      <w:r w:rsidRPr="00A428C3">
        <w:t>Kitajima, M. (1992), Process development for removal</w:t>
      </w:r>
      <w:r w:rsidR="00F81221">
        <w:t xml:space="preserve"> and </w:t>
      </w:r>
      <w:r w:rsidRPr="00A428C3">
        <w:t>recovery of phosphorus from wastewater by a new adsorbent. 4. Recovery of phosphate</w:t>
      </w:r>
      <w:r w:rsidR="00F81221">
        <w:t xml:space="preserve"> and </w:t>
      </w:r>
      <w:r w:rsidRPr="00A428C3">
        <w:t xml:space="preserve">aluminum from desorbing solution. </w:t>
      </w:r>
      <w:r w:rsidRPr="00A428C3">
        <w:rPr>
          <w:i/>
        </w:rPr>
        <w:t>Industrial &amp; Engineering Chemistry Research</w:t>
      </w:r>
      <w:r w:rsidRPr="00A428C3">
        <w:t xml:space="preserve">, </w:t>
      </w:r>
      <w:r w:rsidRPr="00A428C3">
        <w:rPr>
          <w:b/>
        </w:rPr>
        <w:t>31</w:t>
      </w:r>
      <w:r w:rsidRPr="00A428C3">
        <w:t xml:space="preserve"> (6), 1513-1515.</w:t>
      </w:r>
    </w:p>
    <w:p w:rsidR="00B95188" w:rsidRPr="00A428C3" w:rsidRDefault="00B95188" w:rsidP="00B95188">
      <w:pPr>
        <w:pStyle w:val="a0"/>
      </w:pPr>
      <w:r w:rsidRPr="00A428C3">
        <w:t xml:space="preserve">Full Text: </w:t>
      </w:r>
      <w:hyperlink r:id="rId1074" w:history="1">
        <w:r w:rsidRPr="00A428C3">
          <w:rPr>
            <w:rStyle w:val="a5"/>
          </w:rPr>
          <w:t>I\Ind Eng Che Res30, 1513.pdf</w:t>
        </w:r>
      </w:hyperlink>
    </w:p>
    <w:p w:rsidR="00B95188" w:rsidRPr="00A428C3" w:rsidRDefault="00B95188" w:rsidP="00B95188">
      <w:pPr>
        <w:pStyle w:val="a0"/>
      </w:pPr>
      <w:r w:rsidRPr="00A428C3">
        <w:t>Abstract: Processes were developed for recovering phosphate</w:t>
      </w:r>
      <w:r w:rsidR="00F81221">
        <w:t xml:space="preserve"> and </w:t>
      </w:r>
      <w:r w:rsidRPr="00A428C3">
        <w:t xml:space="preserve">reusing aluminum </w:t>
      </w:r>
      <w:r w:rsidRPr="00A428C3">
        <w:lastRenderedPageBreak/>
        <w:t>from alkaline solutions that have been used for desorbing phosphate from the spent adsorbent. The phosphate was completely recovered as the precipitate of calcium hydroxyphosphate, which can be used as fertilizer, by adding calcium chloride. The aluminum was also completely recovered as the dense precipitate of aluminum hydroxide, which can be reused for regenerating the adsorbent, by slowly adding sulfuric acid in the pH range from 11 to 10. A total system for removing</w:t>
      </w:r>
      <w:r w:rsidR="00F81221">
        <w:t xml:space="preserve"> and </w:t>
      </w:r>
      <w:r w:rsidRPr="00A428C3">
        <w:t>recovering phosphorus from wastewater by using the new adsorbent was established,</w:t>
      </w:r>
      <w:r w:rsidR="00F81221">
        <w:t xml:space="preserve"> and </w:t>
      </w:r>
      <w:r w:rsidRPr="00A428C3">
        <w:t>only sodium sulfate</w:t>
      </w:r>
      <w:r w:rsidR="00F81221">
        <w:t xml:space="preserve"> and </w:t>
      </w:r>
      <w:r w:rsidRPr="00A428C3">
        <w:t>sodium chloride were discharged from this process.</w:t>
      </w:r>
    </w:p>
    <w:p w:rsidR="00B95188" w:rsidRPr="00A428C3" w:rsidRDefault="00B95188" w:rsidP="00B95188">
      <w:pPr>
        <w:pStyle w:val="a0"/>
      </w:pPr>
      <w:r w:rsidRPr="00A428C3">
        <w:t>? Payne, G.F.</w:t>
      </w:r>
      <w:r w:rsidR="00F81221">
        <w:t xml:space="preserve"> and </w:t>
      </w:r>
      <w:r w:rsidRPr="00A428C3">
        <w:t>Maity, N. (1992), Solute adsorption from water onto a modified sorbent in which the hydrogen binding-site is protected from water - Thermodynamics</w:t>
      </w:r>
      <w:r w:rsidR="00F81221">
        <w:t xml:space="preserve"> and </w:t>
      </w:r>
      <w:r w:rsidRPr="00A428C3">
        <w:t xml:space="preserve">separations. </w:t>
      </w:r>
      <w:r w:rsidRPr="00A428C3">
        <w:rPr>
          <w:i/>
          <w:iCs/>
        </w:rPr>
        <w:t>Industrial &amp; Engineering Chemistry Research</w:t>
      </w:r>
      <w:r w:rsidRPr="00A428C3">
        <w:t xml:space="preserve">, </w:t>
      </w:r>
      <w:r w:rsidRPr="00A428C3">
        <w:rPr>
          <w:b/>
        </w:rPr>
        <w:t>31</w:t>
      </w:r>
      <w:r w:rsidRPr="00A428C3">
        <w:t xml:space="preserve"> (8), 2024-2033.</w:t>
      </w:r>
    </w:p>
    <w:p w:rsidR="00B95188" w:rsidRPr="00A428C3" w:rsidRDefault="00B95188" w:rsidP="00B95188">
      <w:pPr>
        <w:pStyle w:val="a0"/>
      </w:pPr>
      <w:r w:rsidRPr="00A428C3">
        <w:t xml:space="preserve">Full Text: </w:t>
      </w:r>
      <w:hyperlink r:id="rId1075" w:history="1">
        <w:r w:rsidRPr="00A428C3">
          <w:rPr>
            <w:rStyle w:val="a5"/>
          </w:rPr>
          <w:t>1992\Ind Eng Che Res31, 2024.pdf</w:t>
        </w:r>
      </w:hyperlink>
    </w:p>
    <w:p w:rsidR="00B95188" w:rsidRPr="00A428C3" w:rsidRDefault="00B95188" w:rsidP="00B95188">
      <w:pPr>
        <w:pStyle w:val="a0"/>
      </w:pPr>
      <w:r w:rsidRPr="00A428C3">
        <w:t xml:space="preserve">Abstract: The goal of this work was to exploit the specificity of hydrogen bonding for the selective adsorption of solutes from aqueous solution. For this study a porous polycarboxylic ester sorbent was </w:t>
      </w:r>
      <w:r w:rsidR="000352E7">
        <w:t>“</w:t>
      </w:r>
      <w:r w:rsidRPr="00A428C3">
        <w:t>modified</w:t>
      </w:r>
      <w:r w:rsidR="000352E7">
        <w:t>”</w:t>
      </w:r>
      <w:r w:rsidRPr="00A428C3">
        <w:t xml:space="preserve"> such that the pores were filled with a nonpolar solvent in order to protect the hydrogen bonding adsorption sites from the water solvent. For solutes to adsorb onto this modified sorbent, they must first partition into the nonpolar pore phase</w:t>
      </w:r>
      <w:r w:rsidR="00F81221">
        <w:t xml:space="preserve"> and </w:t>
      </w:r>
      <w:r w:rsidRPr="00A428C3">
        <w:t>then adsorb onto the hydrogen bonding sorption site. Using p-cresol-phenylpropanol as a model solute mixture, we observed improved separation factors due to the hydrogen bonding characteristics of the modified sorbent. Also, adsorption equilibrium for this modified sorbent was readily predicted using single solute data</w:t>
      </w:r>
      <w:r w:rsidR="00F81221">
        <w:t xml:space="preserve"> and </w:t>
      </w:r>
      <w:r w:rsidRPr="00A428C3">
        <w:t>simple thermodynamic relations.</w:t>
      </w:r>
    </w:p>
    <w:p w:rsidR="00B95188" w:rsidRPr="00A428C3" w:rsidRDefault="00B95188" w:rsidP="00B95188">
      <w:pPr>
        <w:pStyle w:val="a0"/>
      </w:pPr>
      <w:r w:rsidRPr="00A428C3">
        <w:t>Keywords: Adsorption, Adsorption Equilibrium, Energy, Equilibrium, Heat-Capacity, Hydrogen, Hydrogen Bonding, Model, Modified, Molecular Recognition, Partition, Porous, Selective, Selective Adsorption, Separation, Sites, Sorption, Specificity, Temperature-Dependence, Thermodynamic, Water</w:t>
      </w:r>
    </w:p>
    <w:p w:rsidR="00B95188" w:rsidRPr="00A428C3" w:rsidRDefault="00B95188" w:rsidP="00B95188">
      <w:pPr>
        <w:pStyle w:val="a0"/>
      </w:pPr>
      <w:r w:rsidRPr="00A428C3">
        <w:t>Juang, R.S.</w:t>
      </w:r>
      <w:r w:rsidR="00F81221">
        <w:t xml:space="preserve"> and </w:t>
      </w:r>
      <w:r w:rsidRPr="00A428C3">
        <w:t>Su, J.Y. (1992), Sorption of copper</w:t>
      </w:r>
      <w:r w:rsidR="00F81221">
        <w:t xml:space="preserve"> and </w:t>
      </w:r>
      <w:r w:rsidRPr="00A428C3">
        <w:t xml:space="preserve">zinc from aqueous sulfate solutions with bis(2-ethylhexyl)phosphoric acid-impregnated macroporous resin. </w:t>
      </w:r>
      <w:r w:rsidRPr="00A428C3">
        <w:rPr>
          <w:i/>
        </w:rPr>
        <w:t>Industrial &amp; Engineering Chemistry Research</w:t>
      </w:r>
      <w:r w:rsidRPr="00A428C3">
        <w:t xml:space="preserve">, </w:t>
      </w:r>
      <w:r w:rsidRPr="00A428C3">
        <w:rPr>
          <w:b/>
        </w:rPr>
        <w:t>31</w:t>
      </w:r>
      <w:r w:rsidRPr="00A428C3">
        <w:t xml:space="preserve"> (12), 2774-2779.</w:t>
      </w:r>
    </w:p>
    <w:p w:rsidR="00B95188" w:rsidRPr="00A428C3" w:rsidRDefault="00B95188" w:rsidP="00B95188">
      <w:pPr>
        <w:pStyle w:val="a0"/>
      </w:pPr>
      <w:r w:rsidRPr="00A428C3">
        <w:t xml:space="preserve">Full Text: </w:t>
      </w:r>
      <w:hyperlink r:id="rId1076" w:history="1">
        <w:r w:rsidRPr="00A428C3">
          <w:rPr>
            <w:rStyle w:val="a5"/>
          </w:rPr>
          <w:t>I\Ind Eng Che Res31, 2774.pdf</w:t>
        </w:r>
      </w:hyperlink>
    </w:p>
    <w:p w:rsidR="00B95188" w:rsidRPr="00A428C3" w:rsidRDefault="00B95188" w:rsidP="00B95188">
      <w:pPr>
        <w:pStyle w:val="a0"/>
        <w:rPr>
          <w:rFonts w:eastAsia="Arial Unicode MS"/>
        </w:rPr>
      </w:pPr>
      <w:r w:rsidRPr="00A428C3">
        <w:t>Abstract: Equilibrium studies were thermodynamically made for the sorption of divalent copper</w:t>
      </w:r>
      <w:r w:rsidR="00F81221">
        <w:t xml:space="preserve"> and </w:t>
      </w:r>
      <w:r w:rsidRPr="00A428C3">
        <w:t>zinc ions from aqueous sulfate solutions with bis(2-ethylhexyl)phosphoric acid-impregnated hydrophobic macroporous resins, by employing either Bromley or the simplified Pitzer equations to estimate the stoichiometric activity coefficient of various species in the aqueous phase. The mechanisms of copper</w:t>
      </w:r>
      <w:r w:rsidR="00F81221">
        <w:t xml:space="preserve"> and </w:t>
      </w:r>
      <w:r w:rsidRPr="00A428C3">
        <w:t>zinc sorption were found to be the same as those of the solvent extraction. The operating lifetime of the impregnated resin</w:t>
      </w:r>
      <w:r w:rsidR="00F81221">
        <w:t xml:space="preserve"> and </w:t>
      </w:r>
      <w:r w:rsidRPr="00A428C3">
        <w:t xml:space="preserve">the influence of preparation method on the impregnation capacity, as well as the effects of aqueous </w:t>
      </w:r>
      <w:r w:rsidRPr="00A428C3">
        <w:lastRenderedPageBreak/>
        <w:t>ionic strength</w:t>
      </w:r>
      <w:r w:rsidR="00F81221">
        <w:t xml:space="preserve"> and </w:t>
      </w:r>
      <w:r w:rsidRPr="00A428C3">
        <w:t>temperature on the sorption equilibrium, were also examined.</w:t>
      </w:r>
    </w:p>
    <w:p w:rsidR="00B95188" w:rsidRPr="00A428C3" w:rsidRDefault="00B95188" w:rsidP="00B95188">
      <w:pPr>
        <w:pStyle w:val="a0"/>
      </w:pPr>
      <w:r w:rsidRPr="00A428C3">
        <w:t>Keywords: Perchlorate Solutions, Solvent-Extraction, Phosphoric-Acid, Separation, Equilibria, Metals, Media</w:t>
      </w:r>
    </w:p>
    <w:p w:rsidR="00B95188" w:rsidRPr="00A428C3" w:rsidRDefault="00B95188" w:rsidP="00B95188">
      <w:pPr>
        <w:pStyle w:val="a0"/>
      </w:pPr>
      <w:r w:rsidRPr="00A428C3">
        <w:t>Juang, R.S.</w:t>
      </w:r>
      <w:r w:rsidR="00F81221">
        <w:t xml:space="preserve"> and </w:t>
      </w:r>
      <w:r w:rsidRPr="00A428C3">
        <w:t>Su, J.Y. (1992), Separation of zinc</w:t>
      </w:r>
      <w:r w:rsidR="00F81221">
        <w:t xml:space="preserve"> and </w:t>
      </w:r>
      <w:r w:rsidRPr="00A428C3">
        <w:t xml:space="preserve">copper from aqueous sulfate solutions using bis(2-ethylhexyl)phosphoric acid-impregnated macroporous resin. </w:t>
      </w:r>
      <w:r w:rsidRPr="00A428C3">
        <w:rPr>
          <w:i/>
        </w:rPr>
        <w:t>Industrial &amp; Engineering Chemistry Research</w:t>
      </w:r>
      <w:r w:rsidRPr="00A428C3">
        <w:t xml:space="preserve">, </w:t>
      </w:r>
      <w:r w:rsidRPr="00A428C3">
        <w:rPr>
          <w:b/>
        </w:rPr>
        <w:t>31</w:t>
      </w:r>
      <w:r w:rsidRPr="00A428C3">
        <w:t xml:space="preserve"> (12), 2779-2783.</w:t>
      </w:r>
    </w:p>
    <w:p w:rsidR="00B95188" w:rsidRPr="00A428C3" w:rsidRDefault="00B95188" w:rsidP="00B95188">
      <w:pPr>
        <w:pStyle w:val="a0"/>
      </w:pPr>
      <w:r w:rsidRPr="00A428C3">
        <w:t xml:space="preserve">Full Text: </w:t>
      </w:r>
      <w:hyperlink r:id="rId1077" w:history="1">
        <w:r w:rsidRPr="00A428C3">
          <w:rPr>
            <w:rStyle w:val="a5"/>
          </w:rPr>
          <w:t>I\Ind Eng Che Res31, 2779.pdf</w:t>
        </w:r>
      </w:hyperlink>
    </w:p>
    <w:p w:rsidR="00B95188" w:rsidRPr="00A428C3" w:rsidRDefault="00B95188" w:rsidP="00B95188">
      <w:pPr>
        <w:pStyle w:val="a0"/>
        <w:rPr>
          <w:rFonts w:eastAsia="Arial Unicode MS"/>
        </w:rPr>
      </w:pPr>
      <w:r w:rsidRPr="00A428C3">
        <w:t>Abstract: The separation of zinc</w:t>
      </w:r>
      <w:r w:rsidR="00F81221">
        <w:t xml:space="preserve"> and </w:t>
      </w:r>
      <w:r w:rsidRPr="00A428C3">
        <w:t>copper from aqueous sulfate solutions using bis(2-ethylhexyl)phosphoric acid-impregnated hydrophobic macroporous resin has been examined in either batch or continuous operation. This resin could be successfully impregnated by the modified dry method. It was found that the impregnated resin gives high selective separation of zinc to copper,</w:t>
      </w:r>
      <w:r w:rsidR="00F81221">
        <w:t xml:space="preserve"> and </w:t>
      </w:r>
      <w:r w:rsidRPr="00A428C3">
        <w:t>they can be satisfactorily separated from 0.5 mol/dm</w:t>
      </w:r>
      <w:r w:rsidRPr="00A428C3">
        <w:rPr>
          <w:vertAlign w:val="superscript"/>
        </w:rPr>
        <w:t>3</w:t>
      </w:r>
      <w:r w:rsidRPr="00A428C3">
        <w:t xml:space="preserve"> (Na, H)SO</w:t>
      </w:r>
      <w:r w:rsidRPr="00A428C3">
        <w:rPr>
          <w:vertAlign w:val="subscript"/>
        </w:rPr>
        <w:t>4</w:t>
      </w:r>
      <w:r w:rsidRPr="00A428C3">
        <w:t xml:space="preserve"> aqueous solution.</w:t>
      </w:r>
    </w:p>
    <w:p w:rsidR="00B95188" w:rsidRPr="00A428C3" w:rsidRDefault="00B95188" w:rsidP="00B95188">
      <w:pPr>
        <w:pStyle w:val="a0"/>
      </w:pPr>
      <w:r w:rsidRPr="00A428C3">
        <w:t>Keywords: Extraction, Metals</w:t>
      </w:r>
    </w:p>
    <w:p w:rsidR="00B95188" w:rsidRPr="00A428C3" w:rsidRDefault="00B95188" w:rsidP="00B95188">
      <w:pPr>
        <w:pStyle w:val="a0"/>
      </w:pPr>
      <w:r w:rsidRPr="00A428C3">
        <w:t>Rorrer, G.L., Hsien, T.Y.</w:t>
      </w:r>
      <w:r w:rsidR="00F81221">
        <w:t xml:space="preserve"> and </w:t>
      </w:r>
      <w:r w:rsidRPr="00A428C3">
        <w:t xml:space="preserve">Way, J.D. (1993), Synthesis of porous-magnetic chitosan beads for removal of cadmium ions from waste-water. </w:t>
      </w:r>
      <w:r w:rsidRPr="00A428C3">
        <w:rPr>
          <w:i/>
          <w:iCs/>
        </w:rPr>
        <w:t>Industrial &amp; Engineering Chemistry Research</w:t>
      </w:r>
      <w:r w:rsidRPr="00A428C3">
        <w:t xml:space="preserve">, </w:t>
      </w:r>
      <w:r w:rsidRPr="00A428C3">
        <w:rPr>
          <w:b/>
        </w:rPr>
        <w:t>32</w:t>
      </w:r>
      <w:r w:rsidRPr="00A428C3">
        <w:t xml:space="preserve"> (9), 2170-2178.</w:t>
      </w:r>
    </w:p>
    <w:p w:rsidR="00B95188" w:rsidRPr="00A428C3" w:rsidRDefault="00B95188" w:rsidP="00B95188">
      <w:pPr>
        <w:pStyle w:val="a0"/>
      </w:pPr>
      <w:r w:rsidRPr="00A428C3">
        <w:t xml:space="preserve">Full Text: </w:t>
      </w:r>
      <w:hyperlink r:id="rId1078" w:history="1">
        <w:r w:rsidRPr="00A428C3">
          <w:rPr>
            <w:rStyle w:val="a5"/>
          </w:rPr>
          <w:t>I\Ind Eng Che Res32, 2170.pdf</w:t>
        </w:r>
      </w:hyperlink>
    </w:p>
    <w:p w:rsidR="00B95188" w:rsidRPr="00A428C3" w:rsidRDefault="00B95188" w:rsidP="00B95188">
      <w:pPr>
        <w:pStyle w:val="a0"/>
      </w:pPr>
      <w:r w:rsidRPr="00A428C3">
        <w:t>Abstract: Chitosan is a glucosamine bipolymer capable of adsorbing transition-metal ions from aqueous solution. Highly porous chitosan beads were prepared by dropwise addition of an acidic chitosan solution into a sodium hydroxide solution precipitation bath. The gelled chitosan beads were cross-linked with glutaraldehyde</w:t>
      </w:r>
      <w:r w:rsidR="00F81221">
        <w:t xml:space="preserve"> and </w:t>
      </w:r>
      <w:r w:rsidRPr="00A428C3">
        <w:t>then freeze dried. Beads of 1-</w:t>
      </w:r>
      <w:r w:rsidR="00F81221">
        <w:t xml:space="preserve"> and </w:t>
      </w:r>
      <w:r w:rsidRPr="00A428C3">
        <w:t xml:space="preserve">3-mm diameter were prepared. Beads of 1-mm diameter possessed surface areas exceeding </w:t>
      </w:r>
      <w:smartTag w:uri="urn:schemas-microsoft-com:office:smarttags" w:element="chmetcnv">
        <w:smartTagPr>
          <w:attr w:name="TCSC" w:val="0"/>
          <w:attr w:name="NumberType" w:val="1"/>
          <w:attr w:name="Negative" w:val="False"/>
          <w:attr w:name="HasSpace" w:val="True"/>
          <w:attr w:name="SourceValue" w:val="150"/>
          <w:attr w:name="UnitName" w:val="m2"/>
        </w:smartTagPr>
        <w:r w:rsidRPr="00A428C3">
          <w:t>150 m</w:t>
        </w:r>
        <w:r w:rsidRPr="00A428C3">
          <w:rPr>
            <w:vertAlign w:val="superscript"/>
          </w:rPr>
          <w:t>2</w:t>
        </w:r>
      </w:smartTag>
      <w:r w:rsidRPr="00A428C3">
        <w:t>/g</w:t>
      </w:r>
      <w:r w:rsidR="00F81221">
        <w:t xml:space="preserve"> and </w:t>
      </w:r>
      <w:r w:rsidRPr="00A428C3">
        <w:t>mean pore sizes of 560 angstrom</w:t>
      </w:r>
      <w:r w:rsidR="00F81221">
        <w:t xml:space="preserve"> and </w:t>
      </w:r>
      <w:r w:rsidRPr="00A428C3">
        <w:t>were insoluble in acid media at pH 2. Well-mixed batch adsorption experiments revealed that both metal</w:t>
      </w:r>
      <w:r w:rsidR="00F81221">
        <w:t xml:space="preserve"> and </w:t>
      </w:r>
      <w:r w:rsidRPr="00A428C3">
        <w:t>hydronium ions compete for available adsorption sites by a chelation mechanism. Adsorption isotherms at 25-degrees-C</w:t>
      </w:r>
      <w:r w:rsidR="00F81221">
        <w:t xml:space="preserve"> and </w:t>
      </w:r>
      <w:r w:rsidRPr="00A428C3">
        <w:t>pH 6.5 over the concentration range 1-1690 mg Cd</w:t>
      </w:r>
      <w:r w:rsidRPr="00A428C3">
        <w:rPr>
          <w:vertAlign w:val="superscript"/>
        </w:rPr>
        <w:t>2+</w:t>
      </w:r>
      <w:r w:rsidRPr="00A428C3">
        <w:t>/L possessed a stepped shape</w:t>
      </w:r>
      <w:r w:rsidR="00F81221">
        <w:t xml:space="preserve"> and </w:t>
      </w:r>
      <w:r w:rsidRPr="00A428C3">
        <w:t>maximum adsorption capacities for the 1-</w:t>
      </w:r>
      <w:r w:rsidR="00F81221">
        <w:t xml:space="preserve"> and </w:t>
      </w:r>
      <w:r w:rsidRPr="00A428C3">
        <w:t>3-mm beads were 518</w:t>
      </w:r>
      <w:r w:rsidR="00F81221">
        <w:t xml:space="preserve"> and </w:t>
      </w:r>
      <w:r w:rsidRPr="00A428C3">
        <w:t>188 mg of Cd/g of bead, respectively. The stepped shape of the isotherm was explained by a pore-blockage mechanism.</w:t>
      </w:r>
    </w:p>
    <w:p w:rsidR="00B95188" w:rsidRPr="00A428C3" w:rsidRDefault="00B95188" w:rsidP="00B95188">
      <w:pPr>
        <w:pStyle w:val="a0"/>
      </w:pPr>
      <w:r w:rsidRPr="00A428C3">
        <w:t>Keywords: Adsorption</w:t>
      </w:r>
    </w:p>
    <w:p w:rsidR="00B95188" w:rsidRPr="00A428C3" w:rsidRDefault="00B95188" w:rsidP="00B95188">
      <w:pPr>
        <w:pStyle w:val="a0"/>
      </w:pPr>
      <w:r w:rsidRPr="00A428C3">
        <w:t>Periasamy, K.</w:t>
      </w:r>
      <w:r w:rsidR="00F81221">
        <w:t xml:space="preserve"> and </w:t>
      </w:r>
      <w:r w:rsidRPr="00A428C3">
        <w:t>Namasivayam, C. (1994), Process development for removal</w:t>
      </w:r>
      <w:r w:rsidR="00F81221">
        <w:t xml:space="preserve"> and </w:t>
      </w:r>
      <w:r w:rsidRPr="00A428C3">
        <w:t>recovery of cadmium from wastewater by a low-cost adsorbent: Adsorption rates</w:t>
      </w:r>
      <w:r w:rsidR="00F81221">
        <w:t xml:space="preserve"> and </w:t>
      </w:r>
      <w:r w:rsidRPr="00A428C3">
        <w:t xml:space="preserve">equilibrium studies. </w:t>
      </w:r>
      <w:r w:rsidRPr="00A428C3">
        <w:rPr>
          <w:i/>
        </w:rPr>
        <w:t>Industrial &amp; Engineering Chemistry Research</w:t>
      </w:r>
      <w:r w:rsidRPr="00A428C3">
        <w:t xml:space="preserve">, </w:t>
      </w:r>
      <w:r w:rsidRPr="00A428C3">
        <w:rPr>
          <w:b/>
        </w:rPr>
        <w:t>33</w:t>
      </w:r>
      <w:r w:rsidRPr="00A428C3">
        <w:t xml:space="preserve"> (2), 317-320.</w:t>
      </w:r>
    </w:p>
    <w:p w:rsidR="00B95188" w:rsidRPr="00A428C3" w:rsidRDefault="00B95188" w:rsidP="00B95188">
      <w:pPr>
        <w:pStyle w:val="a0"/>
      </w:pPr>
      <w:r w:rsidRPr="00A428C3">
        <w:t xml:space="preserve">Full Text: </w:t>
      </w:r>
      <w:hyperlink r:id="rId1079" w:history="1">
        <w:r w:rsidRPr="00A428C3">
          <w:rPr>
            <w:rStyle w:val="a5"/>
          </w:rPr>
          <w:t>I\Ind Eng Che Res33, 317.pdf</w:t>
        </w:r>
      </w:hyperlink>
    </w:p>
    <w:p w:rsidR="00B95188" w:rsidRPr="00A428C3" w:rsidRDefault="00B95188" w:rsidP="00B95188">
      <w:pPr>
        <w:pStyle w:val="a0"/>
      </w:pPr>
      <w:r w:rsidRPr="00A428C3">
        <w:t xml:space="preserve">Abstract: Activated carbon prepared from peanut hulls (PHC), an agricultural waste by-product, has been used for the adsorption of Cd(II) from synthetic wastewater. The adsorption data fit better with the Freundlich adsorption isotherm. The </w:t>
      </w:r>
      <w:r w:rsidRPr="00A428C3">
        <w:lastRenderedPageBreak/>
        <w:t xml:space="preserve">applicability of the Lagergren kinetic model has also been investigated. An almost quantitative removal of 20 mg/L Cd(II) by </w:t>
      </w:r>
      <w:smartTag w:uri="urn:schemas-microsoft-com:office:smarttags" w:element="chmetcnv">
        <w:smartTagPr>
          <w:attr w:name="TCSC" w:val="0"/>
          <w:attr w:name="NumberType" w:val="1"/>
          <w:attr w:name="Negative" w:val="False"/>
          <w:attr w:name="HasSpace" w:val="True"/>
          <w:attr w:name="SourceValue" w:val="0.7"/>
          <w:attr w:name="UnitName" w:val="g"/>
        </w:smartTagPr>
        <w:r w:rsidRPr="00A428C3">
          <w:t>0.7 g</w:t>
        </w:r>
      </w:smartTag>
      <w:r w:rsidRPr="00A428C3">
        <w:t xml:space="preserve"> of PHC/L of aqueous solution was observed in the pH range 3.5-</w:t>
      </w:r>
      <w:smartTag w:uri="urn:schemas-microsoft-com:office:smarttags" w:element="chsdate">
        <w:smartTagPr>
          <w:attr w:name="IsROCDate" w:val="False"/>
          <w:attr w:name="IsLunarDate" w:val="False"/>
          <w:attr w:name="Day" w:val="30"/>
          <w:attr w:name="Month" w:val="12"/>
          <w:attr w:name="Year" w:val="1899"/>
        </w:smartTagPr>
        <w:r w:rsidRPr="00A428C3">
          <w:t>9.5. A c</w:t>
        </w:r>
      </w:smartTag>
      <w:r w:rsidRPr="00A428C3">
        <w:t>omparative study with a commercial granular activated carbon (CAC) showed that the adsorption capacity K</w:t>
      </w:r>
      <w:r w:rsidRPr="00A428C3">
        <w:rPr>
          <w:vertAlign w:val="subscript"/>
        </w:rPr>
        <w:t>f</w:t>
      </w:r>
      <w:r w:rsidRPr="00A428C3">
        <w:t xml:space="preserve"> of PHC was 31 times larger than that of CAC.</w:t>
      </w:r>
    </w:p>
    <w:p w:rsidR="00B95188" w:rsidRPr="00A428C3" w:rsidRDefault="00B95188" w:rsidP="00B95188">
      <w:pPr>
        <w:pStyle w:val="a0"/>
      </w:pPr>
      <w:r w:rsidRPr="00A428C3">
        <w:t>Keywords: Zinc</w:t>
      </w:r>
    </w:p>
    <w:p w:rsidR="00B95188" w:rsidRPr="00A428C3" w:rsidRDefault="00B95188" w:rsidP="00B95188">
      <w:pPr>
        <w:pStyle w:val="a0"/>
      </w:pPr>
      <w:r w:rsidRPr="00A428C3">
        <w:t>Peng, F.F.</w:t>
      </w:r>
      <w:r w:rsidR="00F81221">
        <w:t xml:space="preserve"> and </w:t>
      </w:r>
      <w:r w:rsidRPr="00A428C3">
        <w:t xml:space="preserve">Di, P.K. (1994), Removal of arsenic from aqueous solution by adsorbing colloid flotation. </w:t>
      </w:r>
      <w:r w:rsidRPr="00A428C3">
        <w:rPr>
          <w:i/>
        </w:rPr>
        <w:t>Industrial &amp; Engineering Chemistry Research</w:t>
      </w:r>
      <w:r w:rsidRPr="00A428C3">
        <w:t xml:space="preserve">, </w:t>
      </w:r>
      <w:r w:rsidRPr="00A428C3">
        <w:rPr>
          <w:b/>
        </w:rPr>
        <w:t>33</w:t>
      </w:r>
      <w:r w:rsidRPr="00A428C3">
        <w:t xml:space="preserve"> (4), 922-928.</w:t>
      </w:r>
    </w:p>
    <w:p w:rsidR="00B95188" w:rsidRPr="00A428C3" w:rsidRDefault="00B95188" w:rsidP="00B95188">
      <w:pPr>
        <w:pStyle w:val="a0"/>
      </w:pPr>
      <w:r w:rsidRPr="00A428C3">
        <w:t xml:space="preserve">Full Text: </w:t>
      </w:r>
      <w:hyperlink r:id="rId1080" w:history="1">
        <w:r w:rsidRPr="00A428C3">
          <w:rPr>
            <w:rStyle w:val="a5"/>
          </w:rPr>
          <w:t>I\Ind Eng Che Res33, 922.pdf</w:t>
        </w:r>
      </w:hyperlink>
    </w:p>
    <w:p w:rsidR="00B95188" w:rsidRPr="00A428C3" w:rsidRDefault="00B95188" w:rsidP="00B95188">
      <w:pPr>
        <w:pStyle w:val="a0"/>
      </w:pPr>
      <w:r w:rsidRPr="00A428C3">
        <w:t>Abstract: Adsorbing colloid flotation (ACF) with ferric hydroxide as the coprecipitant, anionic surfactant sodium dodecyl sulfate (SDS) as the collector,</w:t>
      </w:r>
      <w:r w:rsidR="00F81221">
        <w:t xml:space="preserve"> and </w:t>
      </w:r>
      <w:r w:rsidRPr="00A428C3">
        <w:t>nitrogen microbubbles has been shown to be effective in removing arsenic from low concentration of arsenic aqueous solution (approximately 10 mg/dM3). Experiments were conducted to assess the effects of pH, dosages of SDS</w:t>
      </w:r>
      <w:r w:rsidR="00F81221">
        <w:t xml:space="preserve"> and </w:t>
      </w:r>
      <w:r w:rsidRPr="00A428C3">
        <w:t>Fe(III), gas flow rate, foreign anions including NO</w:t>
      </w:r>
      <w:r w:rsidRPr="00A428C3">
        <w:rPr>
          <w:vertAlign w:val="superscript"/>
        </w:rPr>
        <w:t>3-</w:t>
      </w:r>
      <w:r w:rsidRPr="00A428C3">
        <w:t>, SO</w:t>
      </w:r>
      <w:r w:rsidRPr="00A428C3">
        <w:rPr>
          <w:vertAlign w:val="subscript"/>
        </w:rPr>
        <w:t>4</w:t>
      </w:r>
      <w:r w:rsidRPr="00A428C3">
        <w:rPr>
          <w:vertAlign w:val="superscript"/>
        </w:rPr>
        <w:t>2-</w:t>
      </w:r>
      <w:r w:rsidRPr="00A428C3">
        <w:t>,</w:t>
      </w:r>
      <w:r w:rsidR="00F81221">
        <w:t xml:space="preserve"> and </w:t>
      </w:r>
      <w:r w:rsidRPr="00A428C3">
        <w:t>PO</w:t>
      </w:r>
      <w:r w:rsidRPr="00A428C3">
        <w:rPr>
          <w:vertAlign w:val="subscript"/>
        </w:rPr>
        <w:t>4</w:t>
      </w:r>
      <w:r w:rsidRPr="00A428C3">
        <w:rPr>
          <w:vertAlign w:val="superscript"/>
        </w:rPr>
        <w:t>3-</w:t>
      </w:r>
      <w:r w:rsidRPr="00A428C3">
        <w:t>,</w:t>
      </w:r>
      <w:r w:rsidR="00F81221">
        <w:t xml:space="preserve"> and </w:t>
      </w:r>
      <w:r w:rsidRPr="00A428C3">
        <w:t xml:space="preserve">Al(III) addition on the efficiency of the arsenic removal by ACF. When pH is at the range of 4-5, 99.5 % arsenic removal efficiency can be achieved. The optimal operating conditions are 35 ppm SDS, 80 ppm Fe(III), </w:t>
      </w:r>
      <w:smartTag w:uri="urn:schemas-microsoft-com:office:smarttags" w:element="chmetcnv">
        <w:smartTagPr>
          <w:attr w:name="TCSC" w:val="0"/>
          <w:attr w:name="NumberType" w:val="1"/>
          <w:attr w:name="Negative" w:val="False"/>
          <w:attr w:name="HasSpace" w:val="True"/>
          <w:attr w:name="SourceValue" w:val="40"/>
          <w:attr w:name="UnitName" w:val="cm"/>
        </w:smartTagPr>
        <w:r w:rsidRPr="00A428C3">
          <w:t>40 cm</w:t>
        </w:r>
      </w:smartTag>
      <w:r w:rsidRPr="00A428C3">
        <w:rPr>
          <w:vertAlign w:val="superscript"/>
        </w:rPr>
        <w:t>3</w:t>
      </w:r>
      <w:r w:rsidRPr="00A428C3">
        <w:t>/min gas flow rate, 500 rpm rotary speed of stirrer,</w:t>
      </w:r>
      <w:r w:rsidR="00F81221">
        <w:t xml:space="preserve"> and </w:t>
      </w:r>
      <w:r w:rsidRPr="00A428C3">
        <w:t>5 min ferric hydroxide floc formation time. The analysis results indicate that foreign anions SO</w:t>
      </w:r>
      <w:r w:rsidRPr="00A428C3">
        <w:rPr>
          <w:vertAlign w:val="subscript"/>
        </w:rPr>
        <w:t>4</w:t>
      </w:r>
      <w:r w:rsidRPr="00A428C3">
        <w:rPr>
          <w:vertAlign w:val="superscript"/>
        </w:rPr>
        <w:t>2-</w:t>
      </w:r>
      <w:r w:rsidRPr="00A428C3">
        <w:t>and PO</w:t>
      </w:r>
      <w:r w:rsidRPr="00A428C3">
        <w:rPr>
          <w:vertAlign w:val="subscript"/>
        </w:rPr>
        <w:t>4</w:t>
      </w:r>
      <w:r w:rsidRPr="00A428C3">
        <w:rPr>
          <w:vertAlign w:val="superscript"/>
        </w:rPr>
        <w:t>3-</w:t>
      </w:r>
      <w:r w:rsidRPr="00A428C3">
        <w:t>have an inhibiting effect on the removal of arsenic, while AI(III) additions can compensate for the effect. An actual mine wastewater sample containing 10.4 ppm arsenic(V), 0.76 ppm chromium(VI),</w:t>
      </w:r>
      <w:r w:rsidR="00F81221">
        <w:t xml:space="preserve"> and </w:t>
      </w:r>
      <w:r w:rsidRPr="00A428C3">
        <w:t>0.55 ppm lead was tested by adsorbing colloid flotation at the optimal operation conditions. The residual arsenic, chromium,</w:t>
      </w:r>
      <w:r w:rsidR="00F81221">
        <w:t xml:space="preserve"> and </w:t>
      </w:r>
      <w:r w:rsidRPr="00A428C3">
        <w:t>lead are 0.07, 0.06,</w:t>
      </w:r>
      <w:r w:rsidR="00F81221">
        <w:t xml:space="preserve"> and </w:t>
      </w:r>
      <w:r w:rsidRPr="00A428C3">
        <w:t>0.04 ppm, respectively. The interaction mechanisms between Fe(OH)</w:t>
      </w:r>
      <w:r w:rsidRPr="00A428C3">
        <w:rPr>
          <w:vertAlign w:val="subscript"/>
        </w:rPr>
        <w:t>3</w:t>
      </w:r>
      <w:r w:rsidRPr="00A428C3">
        <w:t>-bearing arsenic floc</w:t>
      </w:r>
      <w:r w:rsidR="00F81221">
        <w:t xml:space="preserve"> and </w:t>
      </w:r>
      <w:r w:rsidRPr="00A428C3">
        <w:t>SDS were analyzed</w:t>
      </w:r>
      <w:r w:rsidR="00F81221">
        <w:t xml:space="preserve"> and </w:t>
      </w:r>
      <w:r w:rsidRPr="00A428C3">
        <w:t>interpreted by means of zeta-potential, infrared spectra analysis,</w:t>
      </w:r>
      <w:r w:rsidR="00F81221">
        <w:t xml:space="preserve"> and </w:t>
      </w:r>
      <w:r w:rsidRPr="00A428C3">
        <w:t>molecular orbital theory. The adsorption of SDS can occur physically</w:t>
      </w:r>
      <w:r w:rsidR="00F81221">
        <w:t xml:space="preserve"> and </w:t>
      </w:r>
      <w:r w:rsidRPr="00A428C3">
        <w:t>chemically on Fe(OH)</w:t>
      </w:r>
      <w:r w:rsidRPr="00A428C3">
        <w:rPr>
          <w:vertAlign w:val="subscript"/>
        </w:rPr>
        <w:t>3</w:t>
      </w:r>
      <w:r w:rsidRPr="00A428C3">
        <w:t xml:space="preserve"> at the pH range of 4-5.</w:t>
      </w:r>
    </w:p>
    <w:p w:rsidR="00B95188" w:rsidRPr="00A428C3" w:rsidRDefault="00B95188" w:rsidP="00B95188">
      <w:pPr>
        <w:pStyle w:val="a0"/>
      </w:pPr>
      <w:r w:rsidRPr="00A428C3">
        <w:t>Keywords: Water, Adsorption</w:t>
      </w:r>
    </w:p>
    <w:p w:rsidR="00B95188" w:rsidRPr="00A428C3" w:rsidRDefault="00B95188" w:rsidP="00B95188">
      <w:pPr>
        <w:pStyle w:val="a0"/>
      </w:pPr>
      <w:r w:rsidRPr="00A428C3">
        <w:t>Cavalcante, Jr., C.L.</w:t>
      </w:r>
      <w:r w:rsidR="00F81221">
        <w:t xml:space="preserve"> and </w:t>
      </w:r>
      <w:r w:rsidRPr="00A428C3">
        <w:t>Ruthven, D.M. (1995), Adsorption of branched</w:t>
      </w:r>
      <w:r w:rsidR="00F81221">
        <w:t xml:space="preserve"> and </w:t>
      </w:r>
      <w:r w:rsidRPr="00A428C3">
        <w:t xml:space="preserve">cyclic paraffins in silicalite. 1. Equilibrium. </w:t>
      </w:r>
      <w:r w:rsidRPr="00A428C3">
        <w:rPr>
          <w:i/>
        </w:rPr>
        <w:t>Industrial &amp; Engineering Chemistry Research</w:t>
      </w:r>
      <w:r w:rsidRPr="00A428C3">
        <w:t xml:space="preserve">, </w:t>
      </w:r>
      <w:r w:rsidRPr="00A428C3">
        <w:rPr>
          <w:b/>
        </w:rPr>
        <w:t>34</w:t>
      </w:r>
      <w:r w:rsidRPr="00A428C3">
        <w:t xml:space="preserve"> (1), 177-184.</w:t>
      </w:r>
    </w:p>
    <w:p w:rsidR="00B95188" w:rsidRPr="00A428C3" w:rsidRDefault="00B95188" w:rsidP="00B95188">
      <w:pPr>
        <w:pStyle w:val="a0"/>
      </w:pPr>
      <w:r w:rsidRPr="00A428C3">
        <w:t xml:space="preserve">Full Text: </w:t>
      </w:r>
      <w:hyperlink r:id="rId1081" w:history="1">
        <w:r w:rsidRPr="00A428C3">
          <w:rPr>
            <w:rStyle w:val="a5"/>
          </w:rPr>
          <w:t>I\Ind Eng Che Res34, 177.pdf</w:t>
        </w:r>
      </w:hyperlink>
    </w:p>
    <w:p w:rsidR="00B95188" w:rsidRPr="00A428C3" w:rsidRDefault="00B95188" w:rsidP="00B95188">
      <w:pPr>
        <w:pStyle w:val="a0"/>
        <w:rPr>
          <w:rFonts w:eastAsia="Arial Unicode MS"/>
        </w:rPr>
      </w:pPr>
      <w:r w:rsidRPr="00A428C3">
        <w:t>Abstract: Gravimetric equilibrium isotherms are reported for adsorption of branched</w:t>
      </w:r>
      <w:r w:rsidR="00F81221">
        <w:t xml:space="preserve"> and </w:t>
      </w:r>
      <w:r w:rsidRPr="00A428C3">
        <w:t>cyclic C-6 paraffins on silicalite. In addition to the isotherms, Henry constants</w:t>
      </w:r>
      <w:r w:rsidR="00F81221">
        <w:t xml:space="preserve"> and </w:t>
      </w:r>
      <w:r w:rsidRPr="00A428C3">
        <w:t>heats of adsorption are reported for 2-methylpentane, 3-methylpentane,2,2-dimethylbutane,2,3-dimethylbutane, methylcyclopentane,</w:t>
      </w:r>
      <w:r w:rsidR="00F81221">
        <w:t xml:space="preserve"> and </w:t>
      </w:r>
      <w:r w:rsidRPr="00A428C3">
        <w:t xml:space="preserve">cylohexane. Adsorption capacities are in the range of 4-7 wt %. All isotherms are of type </w:t>
      </w:r>
      <w:smartTag w:uri="urn:schemas-microsoft-com:office:smarttags" w:element="chmetcnv">
        <w:smartTagPr>
          <w:attr w:name="TCSC" w:val="0"/>
          <w:attr w:name="NumberType" w:val="1"/>
          <w:attr w:name="Negative" w:val="False"/>
          <w:attr w:name="HasSpace" w:val="True"/>
          <w:attr w:name="SourceValue" w:val="1"/>
          <w:attr w:name="UnitName" w:val="in"/>
        </w:smartTagPr>
        <w:r w:rsidRPr="00A428C3">
          <w:t>1 in</w:t>
        </w:r>
      </w:smartTag>
      <w:r w:rsidRPr="00A428C3">
        <w:t xml:space="preserve"> Brunauer</w:t>
      </w:r>
      <w:r w:rsidR="000352E7">
        <w:t>’</w:t>
      </w:r>
      <w:r w:rsidRPr="00A428C3">
        <w:t xml:space="preserve">s classification. Adsorption saturation limits, estimated from the </w:t>
      </w:r>
      <w:r w:rsidRPr="00A428C3">
        <w:lastRenderedPageBreak/>
        <w:t>experimental results by Langmuir regression, show a deceasing trend with increasing temperature. Adsorption equilibrium constants follow the trend double-branched &lt; single-branched &lt; cyclic paraffins. Heats of adsorption for the single-branched paraffins increase slightly with loading, but for the double-branched</w:t>
      </w:r>
      <w:r w:rsidR="00F81221">
        <w:t xml:space="preserve"> and </w:t>
      </w:r>
      <w:r w:rsidRPr="00A428C3">
        <w:t>cyclic paraffins the variation of heat of adsorption with coverage is more pronounced.</w:t>
      </w:r>
    </w:p>
    <w:p w:rsidR="00B95188" w:rsidRPr="00A428C3" w:rsidRDefault="00B95188" w:rsidP="00B95188">
      <w:pPr>
        <w:pStyle w:val="a0"/>
        <w:rPr>
          <w:lang w:val="fr-FR"/>
        </w:rPr>
      </w:pPr>
      <w:r w:rsidRPr="00A428C3">
        <w:rPr>
          <w:lang w:val="fr-FR"/>
        </w:rPr>
        <w:t>Keywords: Sorption, Zeolites, Diffusion, Hydrocarbons, Zsm-5, Catalysis, Alkanes, Butane</w:t>
      </w:r>
    </w:p>
    <w:p w:rsidR="00B95188" w:rsidRPr="00A428C3" w:rsidRDefault="00B95188" w:rsidP="00B95188">
      <w:pPr>
        <w:pStyle w:val="a0"/>
      </w:pPr>
      <w:r w:rsidRPr="00A428C3">
        <w:t>Cavalcante, Jr., C.L.</w:t>
      </w:r>
      <w:r w:rsidR="00F81221">
        <w:t xml:space="preserve"> and </w:t>
      </w:r>
      <w:r w:rsidRPr="00A428C3">
        <w:t>Ruthven, D.M. (1995), Adsorption of branched</w:t>
      </w:r>
      <w:r w:rsidR="00F81221">
        <w:t xml:space="preserve"> and </w:t>
      </w:r>
      <w:r w:rsidRPr="00A428C3">
        <w:t xml:space="preserve">cyclic paraffins in silicalite. 2. Kinetics. </w:t>
      </w:r>
      <w:r w:rsidRPr="00A428C3">
        <w:rPr>
          <w:i/>
        </w:rPr>
        <w:t>Industrial &amp; Engineering Chemistry Research</w:t>
      </w:r>
      <w:r w:rsidRPr="00A428C3">
        <w:t xml:space="preserve">, </w:t>
      </w:r>
      <w:r w:rsidRPr="00A428C3">
        <w:rPr>
          <w:b/>
        </w:rPr>
        <w:t>34</w:t>
      </w:r>
      <w:r w:rsidRPr="00A428C3">
        <w:t xml:space="preserve"> (1), 185-191.</w:t>
      </w:r>
    </w:p>
    <w:p w:rsidR="00B95188" w:rsidRPr="00A428C3" w:rsidRDefault="00B95188" w:rsidP="00B95188">
      <w:pPr>
        <w:pStyle w:val="a0"/>
      </w:pPr>
      <w:r w:rsidRPr="00A428C3">
        <w:t xml:space="preserve">Full Text: </w:t>
      </w:r>
      <w:hyperlink r:id="rId1082" w:history="1">
        <w:r w:rsidRPr="00A428C3">
          <w:rPr>
            <w:rStyle w:val="a5"/>
          </w:rPr>
          <w:t>I\Ind Eng Che Res34, 185.pdf</w:t>
        </w:r>
      </w:hyperlink>
    </w:p>
    <w:p w:rsidR="00B95188" w:rsidRPr="00A428C3" w:rsidRDefault="00B95188" w:rsidP="00B95188">
      <w:pPr>
        <w:pStyle w:val="a0"/>
      </w:pPr>
      <w:r w:rsidRPr="00A428C3">
        <w:t>Abstract: Intracrystalline diffusivities in silicalite have been measured by the gravimetric sorption uptake method for several branched</w:t>
      </w:r>
      <w:r w:rsidR="00F81221">
        <w:t xml:space="preserve"> and </w:t>
      </w:r>
      <w:r w:rsidRPr="00A428C3">
        <w:t>cyclic C</w:t>
      </w:r>
      <w:r w:rsidRPr="00A428C3">
        <w:rPr>
          <w:vertAlign w:val="subscript"/>
        </w:rPr>
        <w:t>6</w:t>
      </w:r>
      <w:r w:rsidRPr="00A428C3">
        <w:t xml:space="preserve"> paraffins (2-methylpentane,3-methylpentane,2,2-dimethylbutane,2,3-dimethylbutane, methylcyclopentane</w:t>
      </w:r>
      <w:r w:rsidR="00F81221">
        <w:t xml:space="preserve"> and </w:t>
      </w:r>
      <w:r w:rsidRPr="00A428C3">
        <w:t>cyclohexane). The zero-length column (ZLC) method was also used to check</w:t>
      </w:r>
      <w:r w:rsidR="00F81221">
        <w:t xml:space="preserve"> and </w:t>
      </w:r>
      <w:r w:rsidRPr="00A428C3">
        <w:t>validate some of the results. Branching</w:t>
      </w:r>
      <w:r w:rsidR="00F81221">
        <w:t xml:space="preserve"> and </w:t>
      </w:r>
      <w:r w:rsidRPr="00A428C3">
        <w:t>cyclization of saturated hydrocarbon structures lead to significant changes in critical molecular diameter</w:t>
      </w:r>
      <w:r w:rsidR="00F81221">
        <w:t xml:space="preserve"> and </w:t>
      </w:r>
      <w:r w:rsidRPr="00A428C3">
        <w:t>hence to differences in kinetic behavior. The following general trend was observed for the diffusivities: linear &gt; single-branched &gt; double (ternary C)-branched &gt; cyclic paraffins &gt; double (quaternary C)-branched. Steric hindrance was most pronounced for compounds with a quaternary carbon atom, such as 2,2-dimethylbutane. The kinetic data conform well to a one-dimensional (slab) diffusion model, reflecting the anisotropic diffusion behavior characteristic of the silicalite/ZSM-5 structure.</w:t>
      </w:r>
    </w:p>
    <w:p w:rsidR="00B95188" w:rsidRPr="00A428C3" w:rsidRDefault="00B95188" w:rsidP="00B95188">
      <w:pPr>
        <w:pStyle w:val="a0"/>
      </w:pPr>
      <w:r w:rsidRPr="00A428C3">
        <w:t>Namasivayam, C.</w:t>
      </w:r>
      <w:r w:rsidR="00F81221">
        <w:t xml:space="preserve"> and </w:t>
      </w:r>
      <w:r w:rsidRPr="00A428C3">
        <w:t>Ranganathan, K. (1995), Removal of lead(II) by adsorption onto waste iron(III) chromium(III) hydroxide from aqueous-solution</w:t>
      </w:r>
      <w:r w:rsidR="00F81221">
        <w:t xml:space="preserve"> and </w:t>
      </w:r>
      <w:r w:rsidRPr="00A428C3">
        <w:t xml:space="preserve">radiator manufacturing-industry waste-water. </w:t>
      </w:r>
      <w:r w:rsidRPr="00A428C3">
        <w:rPr>
          <w:i/>
        </w:rPr>
        <w:t>Industrial &amp; Engineering Chemistry Research</w:t>
      </w:r>
      <w:r w:rsidRPr="00A428C3">
        <w:t xml:space="preserve">, </w:t>
      </w:r>
      <w:r w:rsidRPr="00A428C3">
        <w:rPr>
          <w:b/>
        </w:rPr>
        <w:t>34</w:t>
      </w:r>
      <w:r w:rsidRPr="00A428C3">
        <w:t xml:space="preserve"> (3), 869-873.</w:t>
      </w:r>
    </w:p>
    <w:p w:rsidR="00B95188" w:rsidRPr="00A428C3" w:rsidRDefault="00B95188" w:rsidP="00B95188">
      <w:pPr>
        <w:pStyle w:val="a0"/>
      </w:pPr>
      <w:r w:rsidRPr="00A428C3">
        <w:t xml:space="preserve">Full Text: </w:t>
      </w:r>
      <w:hyperlink r:id="rId1083" w:history="1">
        <w:r w:rsidRPr="00A428C3">
          <w:rPr>
            <w:rStyle w:val="a5"/>
          </w:rPr>
          <w:t>I\Ind Eng Che Res34, 869.pdf</w:t>
        </w:r>
      </w:hyperlink>
    </w:p>
    <w:p w:rsidR="00B95188" w:rsidRPr="00A428C3" w:rsidRDefault="00B95188" w:rsidP="00B95188">
      <w:pPr>
        <w:pStyle w:val="a0"/>
      </w:pPr>
      <w:r w:rsidRPr="00A428C3">
        <w:t xml:space="preserve">Abstract: </w:t>
      </w:r>
      <w:r w:rsidR="000352E7">
        <w:t>“</w:t>
      </w:r>
      <w:r w:rsidRPr="00A428C3">
        <w:t>Waste</w:t>
      </w:r>
      <w:r w:rsidR="000352E7">
        <w:t>”</w:t>
      </w:r>
      <w:r w:rsidRPr="00A428C3">
        <w:t xml:space="preserve"> iron(III)/chromium(III) hydroxide has been used as an adsorbent for the effective removal of Pb(II) from aqueous solution. The parameters-studied include agitation time</w:t>
      </w:r>
      <w:r>
        <w:rPr>
          <w:rFonts w:hint="eastAsia"/>
        </w:rPr>
        <w:t>,</w:t>
      </w:r>
      <w:r w:rsidRPr="00A428C3">
        <w:t xml:space="preserve"> Pb(II) concentration, temperature,</w:t>
      </w:r>
      <w:r w:rsidR="00F81221">
        <w:t xml:space="preserve"> and </w:t>
      </w:r>
      <w:r w:rsidRPr="00A428C3">
        <w:t>pH. The percent adsorption of Pb(II) increased with a decrease in concentration of Pb(II)</w:t>
      </w:r>
      <w:r w:rsidR="00F81221">
        <w:t xml:space="preserve"> and </w:t>
      </w:r>
      <w:r w:rsidRPr="00A428C3">
        <w:t>an increase in temperature</w:t>
      </w:r>
      <w:r w:rsidR="00F81221">
        <w:t xml:space="preserve"> and </w:t>
      </w:r>
      <w:r w:rsidRPr="00A428C3">
        <w:t>pH. Quantitative removal of Pb(II) was observed at pH &gt; 7.0. The equilibrium data fit well with the Langmuir isotherm. The adsorption capacity (Q</w:t>
      </w:r>
      <w:r w:rsidRPr="00A428C3">
        <w:rPr>
          <w:vertAlign w:val="subscript"/>
        </w:rPr>
        <w:t>0</w:t>
      </w:r>
      <w:r w:rsidRPr="00A428C3">
        <w:t>) calculated from Langmuir isotherm was 126.55 mg/g at an initial pH of 3.5 at 30 degrees C. Desorption of Pb(II) from Pb loaded adsorbent was 56% at pH 4.0. Application of the adsorbent was successfully demonstrated using the radiator manufacturing industry wastewater.</w:t>
      </w:r>
    </w:p>
    <w:p w:rsidR="00B95188" w:rsidRPr="00A428C3" w:rsidRDefault="00B95188" w:rsidP="00B95188">
      <w:pPr>
        <w:pStyle w:val="a0"/>
      </w:pPr>
      <w:r w:rsidRPr="00A428C3">
        <w:lastRenderedPageBreak/>
        <w:t>Keywords: Heavy-Metal Cations, Water, Clay, Cu, Pb, Cd</w:t>
      </w:r>
    </w:p>
    <w:p w:rsidR="00B95188" w:rsidRPr="00A428C3" w:rsidRDefault="00B95188" w:rsidP="00B95188">
      <w:pPr>
        <w:pStyle w:val="a0"/>
      </w:pPr>
      <w:r w:rsidRPr="00A428C3">
        <w:t xml:space="preserve">Hwang, Y.L. (1995), Wave propagation in mass transfer processes: From chromatography to distillation. </w:t>
      </w:r>
      <w:r w:rsidRPr="00A428C3">
        <w:rPr>
          <w:i/>
        </w:rPr>
        <w:t>Industrial &amp; Engineering Chemistry Research</w:t>
      </w:r>
      <w:r w:rsidRPr="00A428C3">
        <w:t xml:space="preserve">, </w:t>
      </w:r>
      <w:r w:rsidRPr="00A428C3">
        <w:rPr>
          <w:b/>
        </w:rPr>
        <w:t>34</w:t>
      </w:r>
      <w:r w:rsidRPr="00A428C3">
        <w:t xml:space="preserve"> (8), 2849-2864.</w:t>
      </w:r>
    </w:p>
    <w:p w:rsidR="00B95188" w:rsidRPr="00A428C3" w:rsidRDefault="00B95188" w:rsidP="00B95188">
      <w:pPr>
        <w:pStyle w:val="a0"/>
      </w:pPr>
      <w:r w:rsidRPr="00A428C3">
        <w:t xml:space="preserve">Full Text: </w:t>
      </w:r>
      <w:hyperlink r:id="rId1084" w:history="1">
        <w:r w:rsidRPr="00A428C3">
          <w:rPr>
            <w:rStyle w:val="a5"/>
          </w:rPr>
          <w:t>I\Ind Eng Che Res34, 2849.pdf</w:t>
        </w:r>
      </w:hyperlink>
    </w:p>
    <w:p w:rsidR="00B95188" w:rsidRPr="00A428C3" w:rsidRDefault="00B95188" w:rsidP="00B95188">
      <w:pPr>
        <w:pStyle w:val="a0"/>
        <w:rPr>
          <w:rFonts w:eastAsia="Arial Unicode MS"/>
        </w:rPr>
      </w:pPr>
      <w:r w:rsidRPr="00A428C3">
        <w:t>Abstract: This article reviews the advancement of the dynamic theories based on wave propagation phenomena for two major classes of separation processes: fixed-bed sorption processes such as chromatography</w:t>
      </w:r>
      <w:r w:rsidR="00F81221">
        <w:t xml:space="preserve"> and </w:t>
      </w:r>
      <w:r w:rsidRPr="00A428C3">
        <w:t>countercurrent mass-transfer processes such as distillation. Aiming at providing a common perspective, this article begins with a brief review of the fundamental physics of wave propagation in these processes with notations common to both classes. Then, for single-variance systems (with one independent component), it reviews the well-developed theories for fixed beds and, as the main focus, the recent efforts to adapt these theories to countercurrent processes, in particular, distillation. The last part reviews the equilibrium theories of multicomponent chromatography with emphasis on the coherent wave theory originated by Helfferich</w:t>
      </w:r>
      <w:r w:rsidR="00F81221">
        <w:t xml:space="preserve"> and </w:t>
      </w:r>
      <w:r w:rsidRPr="00A428C3">
        <w:t>briefly covers the most recent attempts to apply this theory to multicomponent countercurrent processes. The review is summarized with prospects of applying the wave propagation theory to distillation control</w:t>
      </w:r>
      <w:r w:rsidR="00F81221">
        <w:t xml:space="preserve"> and </w:t>
      </w:r>
      <w:r w:rsidRPr="00A428C3">
        <w:t>design.</w:t>
      </w:r>
    </w:p>
    <w:p w:rsidR="00B95188" w:rsidRPr="00A428C3" w:rsidRDefault="00B95188" w:rsidP="00B95188">
      <w:pPr>
        <w:pStyle w:val="a0"/>
      </w:pPr>
      <w:r w:rsidRPr="00A428C3">
        <w:t>Keywords: Continuous Countercurrent Processes, Linear Unsteady Processes, Fixed-Bed Sorption, Equilibrium-Theory, Asymmetric Dynamics, Ion-Exchange, Shock Layer, Multicomponent Chromatography, Numerical-Methods, Unifying Concepts</w:t>
      </w:r>
    </w:p>
    <w:p w:rsidR="00B95188" w:rsidRPr="00A428C3" w:rsidRDefault="00B95188" w:rsidP="00B95188">
      <w:pPr>
        <w:pStyle w:val="a0"/>
      </w:pPr>
      <w:r w:rsidRPr="00A428C3">
        <w:t>Polcaro, A.M., Palmas, S.</w:t>
      </w:r>
      <w:r w:rsidR="00F81221">
        <w:t xml:space="preserve"> and </w:t>
      </w:r>
      <w:r w:rsidRPr="00A428C3">
        <w:t xml:space="preserve">Dernini, S. (1995), Kinetics of cobalt cementation on zinc powder. </w:t>
      </w:r>
      <w:r w:rsidRPr="00A428C3">
        <w:rPr>
          <w:i/>
        </w:rPr>
        <w:t>Industrial &amp; Engineering Chemistry Research</w:t>
      </w:r>
      <w:r w:rsidRPr="00A428C3">
        <w:t xml:space="preserve">, </w:t>
      </w:r>
      <w:r w:rsidRPr="00A428C3">
        <w:rPr>
          <w:b/>
        </w:rPr>
        <w:t>34</w:t>
      </w:r>
      <w:r w:rsidRPr="00A428C3">
        <w:t xml:space="preserve"> (9), 3090-3095.</w:t>
      </w:r>
    </w:p>
    <w:p w:rsidR="00B95188" w:rsidRPr="00A428C3" w:rsidRDefault="00B95188" w:rsidP="00B95188">
      <w:pPr>
        <w:pStyle w:val="a0"/>
      </w:pPr>
      <w:r w:rsidRPr="00A428C3">
        <w:t xml:space="preserve">Full Text: </w:t>
      </w:r>
      <w:hyperlink r:id="rId1085" w:history="1">
        <w:r w:rsidRPr="00A428C3">
          <w:rPr>
            <w:rStyle w:val="a5"/>
          </w:rPr>
          <w:t>I\Ind Eng Che Res34, 3090.pdf</w:t>
        </w:r>
      </w:hyperlink>
    </w:p>
    <w:p w:rsidR="00B95188" w:rsidRPr="00A428C3" w:rsidRDefault="00B95188" w:rsidP="00B95188">
      <w:pPr>
        <w:pStyle w:val="a0"/>
        <w:rPr>
          <w:rFonts w:eastAsia="Arial Unicode MS"/>
        </w:rPr>
      </w:pPr>
      <w:r w:rsidRPr="00A428C3">
        <w:t>Abstract: The kinetics of cobalt cementation on Zn powder from zinc sulfate concentrated solutions in the presence of copper</w:t>
      </w:r>
      <w:r w:rsidR="00F81221">
        <w:t xml:space="preserve"> and </w:t>
      </w:r>
      <w:r w:rsidRPr="00A428C3">
        <w:t>antimony ions was investigated in stirred tank reactors. The composition of the solutions was in the range usually utilized in industrial zinc electrowinning plants. The results showed that the reaction occurs by means of the formation of crystallization nuclei of noble metals on the zinc powder, followed by the cementation of cobalt ions on these newly-formed. formed nuclei. Mass transfer to the reaction surface is shown to be the controlling step in copper</w:t>
      </w:r>
      <w:r w:rsidR="00F81221">
        <w:t xml:space="preserve"> and </w:t>
      </w:r>
      <w:r w:rsidRPr="00A428C3">
        <w:t>antimony reduction,</w:t>
      </w:r>
      <w:r w:rsidR="00F81221">
        <w:t xml:space="preserve"> and </w:t>
      </w:r>
      <w:r w:rsidRPr="00A428C3">
        <w:t>an equation correlating mass transfer coefficients has been determined. A kinetic equation, which interprets the influence of stirring speed</w:t>
      </w:r>
      <w:r w:rsidR="00F81221">
        <w:t xml:space="preserve"> and </w:t>
      </w:r>
      <w:r w:rsidRPr="00A428C3">
        <w:t>solution composition on cobalt cementation, has also been proposed.</w:t>
      </w:r>
    </w:p>
    <w:p w:rsidR="00B95188" w:rsidRDefault="00B95188" w:rsidP="00B95188">
      <w:pPr>
        <w:pStyle w:val="a0"/>
      </w:pPr>
      <w:r w:rsidRPr="00A428C3">
        <w:t>Keywords: Mass-Transfer</w:t>
      </w:r>
    </w:p>
    <w:p w:rsidR="00BC4940" w:rsidRPr="00A428C3" w:rsidRDefault="00BC4940" w:rsidP="00BC4940">
      <w:pPr>
        <w:pStyle w:val="a0"/>
      </w:pPr>
      <w:r>
        <w:rPr>
          <w:rFonts w:hint="eastAsia"/>
        </w:rPr>
        <w:t xml:space="preserve">? </w:t>
      </w:r>
      <w:r>
        <w:t>Bertucco, A</w:t>
      </w:r>
      <w:r>
        <w:rPr>
          <w:rFonts w:hint="eastAsia"/>
        </w:rPr>
        <w:t>.,</w:t>
      </w:r>
      <w:r>
        <w:t xml:space="preserve"> Barolo, M</w:t>
      </w:r>
      <w:r>
        <w:rPr>
          <w:rFonts w:hint="eastAsia"/>
        </w:rPr>
        <w:t>. and</w:t>
      </w:r>
      <w:r>
        <w:t xml:space="preserve"> Soave, G</w:t>
      </w:r>
      <w:r>
        <w:rPr>
          <w:rFonts w:hint="eastAsia"/>
        </w:rPr>
        <w:t>.</w:t>
      </w:r>
      <w:r w:rsidRPr="00A428C3">
        <w:t xml:space="preserve"> (1995), </w:t>
      </w:r>
      <w:r>
        <w:t xml:space="preserve">Estimation of chemical-equilibria in </w:t>
      </w:r>
      <w:r>
        <w:lastRenderedPageBreak/>
        <w:t>high-pressure gaseous systems by a modified Redlich-Kwong-Soave equation of state</w:t>
      </w:r>
      <w:r w:rsidRPr="00A428C3">
        <w:t xml:space="preserve">. </w:t>
      </w:r>
      <w:r w:rsidRPr="00A428C3">
        <w:rPr>
          <w:i/>
        </w:rPr>
        <w:t>Industrial &amp; Engineering Chemistry Research</w:t>
      </w:r>
      <w:r w:rsidRPr="00A428C3">
        <w:t xml:space="preserve">, </w:t>
      </w:r>
      <w:r w:rsidRPr="00A428C3">
        <w:rPr>
          <w:b/>
        </w:rPr>
        <w:t>34</w:t>
      </w:r>
      <w:r w:rsidRPr="00A428C3">
        <w:t xml:space="preserve"> (9), </w:t>
      </w:r>
      <w:r>
        <w:t>3159-3165</w:t>
      </w:r>
      <w:r w:rsidRPr="00A428C3">
        <w:t>.</w:t>
      </w:r>
    </w:p>
    <w:p w:rsidR="00BC4940" w:rsidRDefault="00BC4940" w:rsidP="00BC4940">
      <w:pPr>
        <w:pStyle w:val="a0"/>
      </w:pPr>
      <w:r w:rsidRPr="00A428C3">
        <w:t xml:space="preserve">Full Text: </w:t>
      </w:r>
      <w:hyperlink r:id="rId1086" w:history="1">
        <w:r w:rsidRPr="00BC4940">
          <w:rPr>
            <w:rStyle w:val="a5"/>
          </w:rPr>
          <w:t>1995\Ind Eng Che Res34, 3159.pdf</w:t>
        </w:r>
      </w:hyperlink>
    </w:p>
    <w:p w:rsidR="00BC4940" w:rsidRDefault="00BC4940" w:rsidP="00BC4940">
      <w:pPr>
        <w:pStyle w:val="a0"/>
      </w:pPr>
      <w:r>
        <w:t>Abstract: This paper considers the calculation of homogeneous chemical equilibria in high-pressure gaseous systems. A modified Redlich-Kwong-Soave equation of state, which represents satisfactorily single-phase fugacity coefficients of pure fluids, is extended to mixtures. Mixture parameters are derived from the corresponding pure-component ones by means of the classical mixing rules. Equilibrium compositions are predicted for the ammonia synthesis, the water-gas shift reaction, and the methanol synthesis. In the case of ammonia, extensive experimental data between 10 and 80 MPa are reproduced with good accuracy; when the model is extrapolated up to 350 MPa, still satisfactory results can be calculated. For the water-gas shift reaction, acceptable results are obtained with limited experimental data sets. As to methanol synthesis, an interesting behavior is evidenced when operating near methanol</w:t>
      </w:r>
      <w:r w:rsidR="000352E7">
        <w:t>’</w:t>
      </w:r>
      <w:r>
        <w:t>s critical temperature. The proposed model is shown to be superior to both the Lewis-Randall approach and the original Redlich-Kwong-Soave equation of state and can be used to predict equilibrium conversion of gas-phase reactions under high pressures.</w:t>
      </w:r>
    </w:p>
    <w:p w:rsidR="00BC4940" w:rsidRDefault="00BC4940" w:rsidP="00BC4940">
      <w:pPr>
        <w:pStyle w:val="a0"/>
      </w:pPr>
      <w:r>
        <w:t>Keywords: Methanol Synthesis</w:t>
      </w:r>
      <w:r>
        <w:rPr>
          <w:rFonts w:hint="eastAsia"/>
        </w:rPr>
        <w:t>,</w:t>
      </w:r>
      <w:r>
        <w:t xml:space="preserve"> Conversions</w:t>
      </w:r>
    </w:p>
    <w:p w:rsidR="00BC4940" w:rsidRPr="00A428C3" w:rsidRDefault="00BC4940" w:rsidP="00BC4940">
      <w:pPr>
        <w:pStyle w:val="a0"/>
      </w:pPr>
      <w:r>
        <w:rPr>
          <w:rFonts w:hint="eastAsia"/>
        </w:rPr>
        <w:t xml:space="preserve">? </w:t>
      </w:r>
      <w:r>
        <w:t>Bertucco, A</w:t>
      </w:r>
      <w:r>
        <w:rPr>
          <w:rFonts w:hint="eastAsia"/>
        </w:rPr>
        <w:t>.,</w:t>
      </w:r>
      <w:r>
        <w:t xml:space="preserve"> Barolo, M</w:t>
      </w:r>
      <w:r>
        <w:rPr>
          <w:rFonts w:hint="eastAsia"/>
        </w:rPr>
        <w:t>. and</w:t>
      </w:r>
      <w:r>
        <w:t xml:space="preserve"> Soave, G</w:t>
      </w:r>
      <w:r>
        <w:rPr>
          <w:rFonts w:hint="eastAsia"/>
        </w:rPr>
        <w:t>.</w:t>
      </w:r>
      <w:r w:rsidRPr="00A428C3">
        <w:t xml:space="preserve"> (1995), </w:t>
      </w:r>
      <w:r>
        <w:t>Estimation of chemical-equilibria in high-pressure gaseous systems by a modified Redlich-Kwong-Soave equation of state (vol 34, pg 3159, 1995)</w:t>
      </w:r>
      <w:r w:rsidRPr="00A428C3">
        <w:t xml:space="preserve">. </w:t>
      </w:r>
      <w:r w:rsidRPr="00A428C3">
        <w:rPr>
          <w:i/>
        </w:rPr>
        <w:t>Industrial &amp; Engineering Chemistry Research</w:t>
      </w:r>
      <w:r w:rsidRPr="00A428C3">
        <w:t xml:space="preserve">, </w:t>
      </w:r>
      <w:r w:rsidRPr="00A428C3">
        <w:rPr>
          <w:b/>
        </w:rPr>
        <w:t>34</w:t>
      </w:r>
      <w:r w:rsidRPr="00A428C3">
        <w:t xml:space="preserve"> (</w:t>
      </w:r>
      <w:r>
        <w:rPr>
          <w:rFonts w:hint="eastAsia"/>
        </w:rPr>
        <w:t>12</w:t>
      </w:r>
      <w:r w:rsidRPr="00A428C3">
        <w:t xml:space="preserve">), </w:t>
      </w:r>
      <w:r>
        <w:t>4583-4584</w:t>
      </w:r>
      <w:r w:rsidRPr="00A428C3">
        <w:t>.</w:t>
      </w:r>
    </w:p>
    <w:p w:rsidR="00BC4940" w:rsidRDefault="00BC4940" w:rsidP="00BC4940">
      <w:pPr>
        <w:pStyle w:val="a0"/>
      </w:pPr>
      <w:r w:rsidRPr="00A428C3">
        <w:t xml:space="preserve">Full Text: </w:t>
      </w:r>
      <w:r w:rsidRPr="00BC4940">
        <w:t xml:space="preserve">1995\Ind Eng Che Res34, </w:t>
      </w:r>
      <w:r>
        <w:t>4583</w:t>
      </w:r>
      <w:r w:rsidRPr="00BC4940">
        <w:t>.pdf</w:t>
      </w:r>
    </w:p>
    <w:p w:rsidR="00B95188" w:rsidRPr="00A428C3" w:rsidRDefault="00B95188" w:rsidP="00B95188">
      <w:pPr>
        <w:pStyle w:val="a0"/>
      </w:pPr>
      <w:r>
        <w:rPr>
          <w:rFonts w:hint="eastAsia"/>
        </w:rPr>
        <w:t xml:space="preserve">? </w:t>
      </w:r>
      <w:r>
        <w:t>Lin</w:t>
      </w:r>
      <w:r>
        <w:rPr>
          <w:rFonts w:hint="eastAsia"/>
        </w:rPr>
        <w:t>,</w:t>
      </w:r>
      <w:r>
        <w:t xml:space="preserve"> S</w:t>
      </w:r>
      <w:r>
        <w:rPr>
          <w:rFonts w:hint="eastAsia"/>
        </w:rPr>
        <w:t>.</w:t>
      </w:r>
      <w:r>
        <w:t>H</w:t>
      </w:r>
      <w:r>
        <w:rPr>
          <w:rFonts w:hint="eastAsia"/>
        </w:rPr>
        <w:t>.</w:t>
      </w:r>
      <w:r w:rsidR="00F81221">
        <w:rPr>
          <w:rFonts w:hint="eastAsia"/>
        </w:rPr>
        <w:t xml:space="preserve"> and </w:t>
      </w:r>
      <w:r>
        <w:t>Wu</w:t>
      </w:r>
      <w:r>
        <w:rPr>
          <w:rFonts w:hint="eastAsia"/>
        </w:rPr>
        <w:t>,</w:t>
      </w:r>
      <w:r>
        <w:t xml:space="preserve"> C</w:t>
      </w:r>
      <w:r>
        <w:rPr>
          <w:rFonts w:hint="eastAsia"/>
        </w:rPr>
        <w:t>.</w:t>
      </w:r>
      <w:r>
        <w:t>L</w:t>
      </w:r>
      <w:r>
        <w:rPr>
          <w:rFonts w:hint="eastAsia"/>
        </w:rPr>
        <w:t>.</w:t>
      </w:r>
      <w:r w:rsidRPr="00A428C3">
        <w:t xml:space="preserve"> (1996), </w:t>
      </w:r>
      <w:r>
        <w:t>Ammonia removal from aqueous solution by ion exchange</w:t>
      </w:r>
      <w:r w:rsidRPr="00A428C3">
        <w:t xml:space="preserve">. </w:t>
      </w:r>
      <w:r w:rsidRPr="00A428C3">
        <w:rPr>
          <w:i/>
        </w:rPr>
        <w:t>Industrial &amp; Engineering Chemistry Research</w:t>
      </w:r>
      <w:r w:rsidRPr="00A428C3">
        <w:t xml:space="preserve">, </w:t>
      </w:r>
      <w:r w:rsidRPr="00A428C3">
        <w:rPr>
          <w:b/>
        </w:rPr>
        <w:t>35</w:t>
      </w:r>
      <w:r w:rsidRPr="00A428C3">
        <w:t xml:space="preserve"> (</w:t>
      </w:r>
      <w:r>
        <w:rPr>
          <w:rFonts w:hint="eastAsia"/>
        </w:rPr>
        <w:t>2</w:t>
      </w:r>
      <w:r w:rsidRPr="00A428C3">
        <w:t xml:space="preserve">), </w:t>
      </w:r>
      <w:r>
        <w:t>553-558</w:t>
      </w:r>
      <w:r w:rsidRPr="00A428C3">
        <w:t>.</w:t>
      </w:r>
    </w:p>
    <w:p w:rsidR="00B95188" w:rsidRPr="00A428C3" w:rsidRDefault="00B95188" w:rsidP="00B95188">
      <w:pPr>
        <w:pStyle w:val="a0"/>
      </w:pPr>
      <w:r w:rsidRPr="00A428C3">
        <w:t xml:space="preserve">Full Text: </w:t>
      </w:r>
      <w:hyperlink r:id="rId1087" w:history="1">
        <w:r w:rsidRPr="004F3B7C">
          <w:rPr>
            <w:rStyle w:val="a5"/>
          </w:rPr>
          <w:t>1996\Ind Eng Che Res35, 553.pdf</w:t>
        </w:r>
      </w:hyperlink>
    </w:p>
    <w:p w:rsidR="00B95188" w:rsidRDefault="00B95188" w:rsidP="00B95188">
      <w:pPr>
        <w:pStyle w:val="a0"/>
      </w:pPr>
      <w:r>
        <w:t>Abstract: The ammonia removal from aqueous solution by a synthetic ion-exchange resin was invesitigated. Several operating variables of the ion-exchange system, such as the pH, initial ammonia concentration,</w:t>
      </w:r>
      <w:r w:rsidR="00F81221">
        <w:t xml:space="preserve"> and </w:t>
      </w:r>
      <w:r>
        <w:t>temperature, on the exchange capacity were explored. Various ion-exchange isotherms including those of Langmuir, Freundlich, modified Langmuir,</w:t>
      </w:r>
      <w:r w:rsidR="00F81221">
        <w:t xml:space="preserve"> and </w:t>
      </w:r>
      <w:r>
        <w:t>Jossens et al. were employed to represent the experimental isotherm data. A mass-transfer model based on the squared driving force principle was adopted</w:t>
      </w:r>
      <w:r w:rsidR="00F81221">
        <w:t xml:space="preserve"> and </w:t>
      </w:r>
      <w:r>
        <w:t>found to fit well the measured mass-transfer data</w:t>
      </w:r>
      <w:r w:rsidR="00F81221">
        <w:t xml:space="preserve"> and </w:t>
      </w:r>
      <w:r>
        <w:t>the experimental mass-transfer coefficient determined.</w:t>
      </w:r>
    </w:p>
    <w:p w:rsidR="00B95188" w:rsidRDefault="00B95188" w:rsidP="00B95188">
      <w:pPr>
        <w:pStyle w:val="a0"/>
      </w:pPr>
      <w:r>
        <w:t>Keywords: Ozonation</w:t>
      </w:r>
    </w:p>
    <w:p w:rsidR="00B95188" w:rsidRPr="00A428C3" w:rsidRDefault="00B95188" w:rsidP="00B95188">
      <w:pPr>
        <w:pStyle w:val="a0"/>
      </w:pPr>
      <w:r w:rsidRPr="00A428C3">
        <w:t>Seki, H.</w:t>
      </w:r>
      <w:r w:rsidR="00F81221">
        <w:t xml:space="preserve"> and </w:t>
      </w:r>
      <w:r w:rsidRPr="00A428C3">
        <w:t xml:space="preserve">Suzuki, A. (1996), Adsorption of lead ions on composite biopolymer adsorbent. </w:t>
      </w:r>
      <w:r w:rsidRPr="00A428C3">
        <w:rPr>
          <w:i/>
        </w:rPr>
        <w:t>Industrial &amp; Engineering Chemistry Research</w:t>
      </w:r>
      <w:r w:rsidRPr="00A428C3">
        <w:t xml:space="preserve">, </w:t>
      </w:r>
      <w:r w:rsidRPr="00A428C3">
        <w:rPr>
          <w:b/>
        </w:rPr>
        <w:t>35</w:t>
      </w:r>
      <w:r w:rsidRPr="00A428C3">
        <w:t xml:space="preserve"> (4), 1378-1382.</w:t>
      </w:r>
    </w:p>
    <w:p w:rsidR="00B95188" w:rsidRPr="00A428C3" w:rsidRDefault="00B95188" w:rsidP="00B95188">
      <w:pPr>
        <w:pStyle w:val="a0"/>
      </w:pPr>
      <w:r w:rsidRPr="00A428C3">
        <w:t xml:space="preserve">Full Text: </w:t>
      </w:r>
      <w:hyperlink r:id="rId1088" w:history="1">
        <w:r w:rsidRPr="00A428C3">
          <w:rPr>
            <w:rStyle w:val="a5"/>
          </w:rPr>
          <w:t>I\Ind Eng Che Res35, 1378.pdf</w:t>
        </w:r>
      </w:hyperlink>
    </w:p>
    <w:p w:rsidR="00B95188" w:rsidRPr="00A428C3" w:rsidRDefault="00B95188" w:rsidP="00B95188">
      <w:pPr>
        <w:pStyle w:val="a0"/>
      </w:pPr>
      <w:r w:rsidRPr="00A428C3">
        <w:lastRenderedPageBreak/>
        <w:t>Abstract: A fundamental study about the application of biopolymers to the recovery of lead from dilute solution was carried out. A membranous composite biopolymer adsorbent containing two kind of biopolymers, alginic acid (AA)</w:t>
      </w:r>
      <w:r w:rsidR="00F81221">
        <w:t xml:space="preserve"> and </w:t>
      </w:r>
      <w:r w:rsidRPr="00A428C3">
        <w:t>humic acid (HA), was prepared. HA, which has high solubility in water, was almost completely immobilized in the adsorbent by a combination of calcium alginate gel</w:t>
      </w:r>
      <w:r w:rsidR="00F81221">
        <w:t xml:space="preserve"> and </w:t>
      </w:r>
      <w:r w:rsidRPr="00A428C3">
        <w:t>activated carbon powder. A general model for complexation between divalent metal ions</w:t>
      </w:r>
      <w:r w:rsidR="00F81221">
        <w:t xml:space="preserve"> and </w:t>
      </w:r>
      <w:r w:rsidRPr="00A428C3">
        <w:t>acidic sites on biopolymers was applied to explain the adsorption mechanism of lead on the adsorbent (HA-M). The results showed that the complexation constants</w:t>
      </w:r>
      <w:r w:rsidR="00F81221">
        <w:t xml:space="preserve"> and </w:t>
      </w:r>
      <w:r w:rsidRPr="00A428C3">
        <w:t>the complexation capacities of lead-AA</w:t>
      </w:r>
      <w:r w:rsidR="00F81221">
        <w:t xml:space="preserve"> and </w:t>
      </w:r>
      <w:r w:rsidRPr="00A428C3">
        <w:t>lead-HA systems were scarcely influenced by immobilization.</w:t>
      </w:r>
    </w:p>
    <w:p w:rsidR="00B95188" w:rsidRPr="00A428C3" w:rsidRDefault="00B95188" w:rsidP="00B95188">
      <w:pPr>
        <w:pStyle w:val="a0"/>
      </w:pPr>
      <w:r w:rsidRPr="00A428C3">
        <w:t>Keywords: Dissolved Copper, Humic-Acid, Europium(III), Alginate</w:t>
      </w:r>
    </w:p>
    <w:p w:rsidR="00B95188" w:rsidRPr="00A428C3" w:rsidRDefault="00B95188" w:rsidP="00B95188">
      <w:pPr>
        <w:pStyle w:val="a0"/>
      </w:pPr>
      <w:r w:rsidRPr="00A428C3">
        <w:t>Mittal, A.K.</w:t>
      </w:r>
      <w:r w:rsidR="00F81221">
        <w:t xml:space="preserve"> and </w:t>
      </w:r>
      <w:r w:rsidRPr="00A428C3">
        <w:t xml:space="preserve">Venkobachar, C. (1996), Uptake of cationic dyes by sulfonated coal: Sorption mechanism. </w:t>
      </w:r>
      <w:r w:rsidRPr="00A428C3">
        <w:rPr>
          <w:i/>
        </w:rPr>
        <w:t>Industrial &amp; Engineering Chemistry Research</w:t>
      </w:r>
      <w:r w:rsidRPr="00A428C3">
        <w:t xml:space="preserve">, </w:t>
      </w:r>
      <w:r w:rsidRPr="00A428C3">
        <w:rPr>
          <w:b/>
        </w:rPr>
        <w:t>35</w:t>
      </w:r>
      <w:r w:rsidRPr="00A428C3">
        <w:t xml:space="preserve"> (4), 1472-1474.</w:t>
      </w:r>
    </w:p>
    <w:p w:rsidR="00B95188" w:rsidRPr="00A428C3" w:rsidRDefault="00B95188" w:rsidP="00B95188">
      <w:pPr>
        <w:pStyle w:val="a0"/>
      </w:pPr>
      <w:r w:rsidRPr="00A428C3">
        <w:t xml:space="preserve">Full Text: </w:t>
      </w:r>
      <w:hyperlink r:id="rId1089" w:history="1">
        <w:r w:rsidRPr="00A428C3">
          <w:rPr>
            <w:rStyle w:val="a5"/>
          </w:rPr>
          <w:t>I\Ind Eng Che Res35, 1472.pdf</w:t>
        </w:r>
      </w:hyperlink>
    </w:p>
    <w:p w:rsidR="00B95188" w:rsidRPr="00A428C3" w:rsidRDefault="00B95188" w:rsidP="00B95188">
      <w:pPr>
        <w:pStyle w:val="a0"/>
      </w:pPr>
      <w:r w:rsidRPr="00A428C3">
        <w:t>Abstract: Mechanistic aspects of sorption of Rhodamine B</w:t>
      </w:r>
      <w:r w:rsidR="00F81221">
        <w:t xml:space="preserve"> and </w:t>
      </w:r>
      <w:r w:rsidRPr="00A428C3">
        <w:t>Methylene Blue by sulfonated coal have been investigated. The coal surface before</w:t>
      </w:r>
      <w:r w:rsidR="00F81221">
        <w:t xml:space="preserve"> and </w:t>
      </w:r>
      <w:r w:rsidRPr="00A428C3">
        <w:t>after sulfonation has been characterized with the help of cation-exchange capacity measurements</w:t>
      </w:r>
      <w:r w:rsidR="00F81221">
        <w:t xml:space="preserve"> and </w:t>
      </w:r>
      <w:r w:rsidRPr="00A428C3">
        <w:t>infrared (IR) spectroscopy. These studies indicate that sulfuric acid treatment not only incorporates a SO</w:t>
      </w:r>
      <w:r w:rsidRPr="00A428C3">
        <w:rPr>
          <w:vertAlign w:val="subscript"/>
        </w:rPr>
        <w:t>3</w:t>
      </w:r>
      <w:r w:rsidRPr="00A428C3">
        <w:t>H group on the coal surface but also oxidizes both aliphatic</w:t>
      </w:r>
      <w:r w:rsidR="00F81221">
        <w:t xml:space="preserve"> and </w:t>
      </w:r>
      <w:r w:rsidRPr="00A428C3">
        <w:t>aromatic fractions. The IR spectroscopy has been extensively applied to locate the active sites on the surface of the sorbent</w:t>
      </w:r>
      <w:r w:rsidR="00F81221">
        <w:t xml:space="preserve"> and </w:t>
      </w:r>
      <w:r w:rsidRPr="00A428C3">
        <w:t>the participating functional groups of the dye molecule. Graphical models of the sorbate-sorbent interaction have been proposed. These models are applied to explain the variation in the uptake potential of these dyes by sulfonated coal.</w:t>
      </w:r>
    </w:p>
    <w:p w:rsidR="00B95188" w:rsidRPr="00A428C3" w:rsidRDefault="00B95188" w:rsidP="00B95188">
      <w:pPr>
        <w:pStyle w:val="a0"/>
      </w:pPr>
      <w:smartTag w:uri="urn:schemas-microsoft-com:office:smarttags" w:element="place">
        <w:r w:rsidRPr="00A428C3">
          <w:t>Bradford</w:t>
        </w:r>
      </w:smartTag>
      <w:r w:rsidRPr="00A428C3">
        <w:t>, M.C.J.</w:t>
      </w:r>
      <w:r w:rsidR="00F81221">
        <w:t xml:space="preserve"> and </w:t>
      </w:r>
      <w:r w:rsidRPr="00A428C3">
        <w:t xml:space="preserve">Vannice, M.A. (1996), Estimation of CO heats of adsorption on metalsurfaces from vibrational spectra. </w:t>
      </w:r>
      <w:r w:rsidRPr="00A428C3">
        <w:rPr>
          <w:i/>
        </w:rPr>
        <w:t>Industrial &amp; Engineering Chemistry Research</w:t>
      </w:r>
      <w:r w:rsidRPr="00A428C3">
        <w:t xml:space="preserve">, </w:t>
      </w:r>
      <w:r w:rsidRPr="00A428C3">
        <w:rPr>
          <w:b/>
        </w:rPr>
        <w:t>35</w:t>
      </w:r>
      <w:r w:rsidRPr="00A428C3">
        <w:t xml:space="preserve"> (9), 3171-3178.</w:t>
      </w:r>
    </w:p>
    <w:p w:rsidR="00B95188" w:rsidRPr="00A428C3" w:rsidRDefault="00B95188" w:rsidP="00B95188">
      <w:pPr>
        <w:pStyle w:val="a0"/>
      </w:pPr>
      <w:r w:rsidRPr="00A428C3">
        <w:t xml:space="preserve">Full Text: </w:t>
      </w:r>
      <w:hyperlink r:id="rId1090" w:history="1">
        <w:r w:rsidRPr="00A428C3">
          <w:rPr>
            <w:rStyle w:val="a5"/>
          </w:rPr>
          <w:t>I\Ind Eng Che Res35, 3171.pdf</w:t>
        </w:r>
      </w:hyperlink>
    </w:p>
    <w:p w:rsidR="00B95188" w:rsidRPr="00A428C3" w:rsidRDefault="00B95188" w:rsidP="00B95188">
      <w:pPr>
        <w:pStyle w:val="a0"/>
      </w:pPr>
      <w:r w:rsidRPr="00A428C3">
        <w:t>Abstract: An empirical relationship between the bond dissociation energy at 0 K, D</w:t>
      </w:r>
      <w:r w:rsidRPr="00A428C3">
        <w:rPr>
          <w:vertAlign w:val="subscript"/>
        </w:rPr>
        <w:t>0</w:t>
      </w:r>
      <w:r w:rsidRPr="00A428C3">
        <w:t>,</w:t>
      </w:r>
      <w:r w:rsidR="00F81221">
        <w:t xml:space="preserve"> and </w:t>
      </w:r>
      <w:r w:rsidRPr="00A428C3">
        <w:t>the force constant, k, was obtained for a series of heteronuclear carbon-containing</w:t>
      </w:r>
      <w:r w:rsidR="00F81221">
        <w:t xml:space="preserve"> and </w:t>
      </w:r>
      <w:r w:rsidRPr="00A428C3">
        <w:t>homonuclear metal diatomic species, suggesting that the potential wells for these species have similar curvature. This D</w:t>
      </w:r>
      <w:r w:rsidRPr="00A428C3">
        <w:rPr>
          <w:vertAlign w:val="subscript"/>
        </w:rPr>
        <w:t>0</w:t>
      </w:r>
      <w:r w:rsidRPr="00A428C3">
        <w:t>-k relationship was then used as part of a simple mathematical formalism to calculate the metal-carbon</w:t>
      </w:r>
      <w:r w:rsidR="00F81221">
        <w:t xml:space="preserve"> and </w:t>
      </w:r>
      <w:r w:rsidRPr="00A428C3">
        <w:t>carbon-oxygen bond strengths of CO adsorbed on metalsurfaces directly from experimental values of A (1) vibrational modes. By assuming a rigid metal lattice, whose bonds remain unperturbed as a result of CO adsorption, it was thus possible to directly calculate the heat of adsorption of CO, Q</w:t>
      </w:r>
      <w:r w:rsidRPr="00A428C3">
        <w:rPr>
          <w:vertAlign w:val="subscript"/>
        </w:rPr>
        <w:t>ad</w:t>
      </w:r>
      <w:r w:rsidRPr="00A428C3">
        <w:t>, from the calculated bond strengths. Although calculated values of Q</w:t>
      </w:r>
      <w:r w:rsidRPr="00A428C3">
        <w:rPr>
          <w:vertAlign w:val="subscript"/>
        </w:rPr>
        <w:t xml:space="preserve"> ad</w:t>
      </w:r>
      <w:r w:rsidRPr="00A428C3">
        <w:t xml:space="preserve"> for CO on 3d</w:t>
      </w:r>
      <w:r w:rsidR="00F81221">
        <w:t xml:space="preserve"> and </w:t>
      </w:r>
      <w:r w:rsidRPr="00A428C3">
        <w:t xml:space="preserve">4d transition metals </w:t>
      </w:r>
      <w:r w:rsidRPr="00A428C3">
        <w:lastRenderedPageBreak/>
        <w:t>were in reasonable agreement with experimental values reported in the literature, agreement was not satisfactory for the 5d transition metals. Further analysis indicates that the discrepancy is likely due to the assumption of a rigid metal lattice</w:t>
      </w:r>
      <w:r w:rsidR="00F81221">
        <w:t xml:space="preserve"> and </w:t>
      </w:r>
      <w:r w:rsidRPr="00A428C3">
        <w:t>that CO adsorption on some metalsurfaces, particularly those of platinum</w:t>
      </w:r>
      <w:r w:rsidR="00F81221">
        <w:t xml:space="preserve"> and </w:t>
      </w:r>
      <w:r w:rsidRPr="00A428C3">
        <w:t>iridium, induces some bond relaxation on the metalsurface. It is thus suggested that metalsurfaces which have both a large curvature of the cohesive function</w:t>
      </w:r>
      <w:r w:rsidR="00F81221">
        <w:t xml:space="preserve"> and </w:t>
      </w:r>
      <w:r w:rsidRPr="00A428C3">
        <w:t>adsorb CO primarily via 5 sigma donation to the surface, i.e., little metal back-bonding, are strongly susceptible to bond relaxation</w:t>
      </w:r>
      <w:r w:rsidR="00F81221">
        <w:t xml:space="preserve"> and </w:t>
      </w:r>
      <w:r w:rsidRPr="00A428C3">
        <w:t>possible reconstruction.</w:t>
      </w:r>
    </w:p>
    <w:p w:rsidR="00B95188" w:rsidRPr="00A428C3" w:rsidRDefault="00B95188" w:rsidP="00B95188">
      <w:pPr>
        <w:pStyle w:val="a0"/>
      </w:pPr>
      <w:r w:rsidRPr="00A428C3">
        <w:t xml:space="preserve">Yan, T.Y. (1996), Mercury removal from oil by reactive adsorption. </w:t>
      </w:r>
      <w:r w:rsidRPr="00A428C3">
        <w:rPr>
          <w:i/>
        </w:rPr>
        <w:t>Industrial &amp; Engineering Chemistry Research</w:t>
      </w:r>
      <w:r w:rsidRPr="00A428C3">
        <w:t xml:space="preserve">, </w:t>
      </w:r>
      <w:r w:rsidRPr="00A428C3">
        <w:rPr>
          <w:b/>
        </w:rPr>
        <w:t>35</w:t>
      </w:r>
      <w:r w:rsidRPr="00A428C3">
        <w:t xml:space="preserve"> (10), 3697-3701.</w:t>
      </w:r>
    </w:p>
    <w:p w:rsidR="00B95188" w:rsidRPr="00A428C3" w:rsidRDefault="00B95188" w:rsidP="00B95188">
      <w:pPr>
        <w:pStyle w:val="a0"/>
      </w:pPr>
      <w:r w:rsidRPr="00A428C3">
        <w:t xml:space="preserve">Full Text: </w:t>
      </w:r>
      <w:hyperlink r:id="rId1091" w:history="1">
        <w:r w:rsidRPr="00A428C3">
          <w:rPr>
            <w:rStyle w:val="a5"/>
          </w:rPr>
          <w:t>I\Ind Eng Che Res35, 3697.pdf</w:t>
        </w:r>
      </w:hyperlink>
    </w:p>
    <w:p w:rsidR="00B95188" w:rsidRPr="00A428C3" w:rsidRDefault="00B95188" w:rsidP="00B95188">
      <w:pPr>
        <w:pStyle w:val="a0"/>
      </w:pPr>
      <w:r w:rsidRPr="00A428C3">
        <w:t>Abstract: Mercury in heavy condensate or oil causes marketing, processing</w:t>
      </w:r>
      <w:r w:rsidR="00F81221">
        <w:t xml:space="preserve"> and </w:t>
      </w:r>
      <w:r w:rsidRPr="00A428C3">
        <w:t>environmental concerns. We have developed an effective process to remove mercury from oil. Laboratory tests show that the process is capable of removing up to 99% of mercury. The process is based on high-temperature chemisorption for selective adsorption of mercury</w:t>
      </w:r>
      <w:r w:rsidR="00F81221">
        <w:t xml:space="preserve"> and </w:t>
      </w:r>
      <w:r w:rsidRPr="00A428C3">
        <w:t>uses a special CuS/C adsorbent which is effective for removal of most types of mercury compounds. The process is simple</w:t>
      </w:r>
      <w:r w:rsidR="00F81221">
        <w:t xml:space="preserve"> and </w:t>
      </w:r>
      <w:r w:rsidRPr="00A428C3">
        <w:t>lends itself to integration into the existing LNG plant systems. In the process, the condensate from the stabilizer at 400</w:t>
      </w:r>
      <w:smartTag w:uri="urn:schemas-microsoft-com:office:smarttags" w:element="chmetcnv">
        <w:smartTagPr>
          <w:attr w:name="TCSC" w:val="0"/>
          <w:attr w:name="NumberType" w:val="1"/>
          <w:attr w:name="Negative" w:val="True"/>
          <w:attr w:name="HasSpace" w:val="False"/>
          <w:attr w:name="SourceValue" w:val="500"/>
          <w:attr w:name="UnitName" w:val="℉"/>
        </w:smartTagPr>
        <w:r w:rsidRPr="00A428C3">
          <w:t>-500</w:t>
        </w:r>
        <w:r w:rsidRPr="00A428C3">
          <w:rPr>
            <w:rFonts w:ascii="新細明體" w:eastAsia="新細明體" w:hAnsi="新細明體" w:cs="新細明體" w:hint="eastAsia"/>
            <w:lang w:val="en-GB"/>
          </w:rPr>
          <w:t>℉</w:t>
        </w:r>
      </w:smartTag>
      <w:r w:rsidR="00F81221">
        <w:t xml:space="preserve"> and </w:t>
      </w:r>
      <w:r w:rsidRPr="00A428C3">
        <w:t>220 psi is directly passed over the adsorbent at about 10 liquid hourly space velocity (LHSV) for mercury removal before normal heat exchange</w:t>
      </w:r>
      <w:r w:rsidR="00F81221">
        <w:t xml:space="preserve"> and </w:t>
      </w:r>
      <w:r w:rsidRPr="00A428C3">
        <w:t>storage. At the contemplated operating conditions, the adsorbent can last more than 1 year. Extensive laboratory tests have been conducted to verify the technical feasibility of the process. The adsorbent has been produced using a commercial process in a commercial unit</w:t>
      </w:r>
      <w:r w:rsidR="00F81221">
        <w:t xml:space="preserve"> and </w:t>
      </w:r>
      <w:r w:rsidRPr="00A428C3">
        <w:t>evaluated in the laboratory thoroughly.</w:t>
      </w:r>
    </w:p>
    <w:p w:rsidR="00B95188" w:rsidRPr="00A428C3" w:rsidRDefault="00B95188" w:rsidP="00B95188">
      <w:pPr>
        <w:pStyle w:val="a0"/>
      </w:pPr>
      <w:r w:rsidRPr="00A428C3">
        <w:t>Sun, G.</w:t>
      </w:r>
      <w:r w:rsidR="00F81221">
        <w:t xml:space="preserve"> and </w:t>
      </w:r>
      <w:r w:rsidRPr="00A428C3">
        <w:t xml:space="preserve">Xu, X.J. (1997), Sunflower stalks as adsorbents for color removal from textile wastewater. </w:t>
      </w:r>
      <w:r w:rsidRPr="00A428C3">
        <w:rPr>
          <w:i/>
        </w:rPr>
        <w:t>Industrial &amp; Engineering Chemistry Research</w:t>
      </w:r>
      <w:r w:rsidRPr="00A428C3">
        <w:t xml:space="preserve">, </w:t>
      </w:r>
      <w:r w:rsidRPr="00A428C3">
        <w:rPr>
          <w:b/>
        </w:rPr>
        <w:t>36</w:t>
      </w:r>
      <w:r w:rsidRPr="00A428C3">
        <w:t xml:space="preserve"> (3), 808-812.</w:t>
      </w:r>
    </w:p>
    <w:p w:rsidR="00B95188" w:rsidRPr="00A428C3" w:rsidRDefault="00B95188" w:rsidP="00B95188">
      <w:pPr>
        <w:pStyle w:val="a0"/>
      </w:pPr>
      <w:r w:rsidRPr="00A428C3">
        <w:t xml:space="preserve">Full Text: </w:t>
      </w:r>
      <w:hyperlink r:id="rId1092" w:history="1">
        <w:r w:rsidRPr="00A428C3">
          <w:rPr>
            <w:rStyle w:val="a5"/>
          </w:rPr>
          <w:t>I\Ind Eng Che Res36, 808.pdf</w:t>
        </w:r>
      </w:hyperlink>
    </w:p>
    <w:p w:rsidR="00B95188" w:rsidRPr="00A428C3" w:rsidRDefault="00B95188" w:rsidP="00B95188">
      <w:pPr>
        <w:pStyle w:val="a0"/>
      </w:pPr>
      <w:r w:rsidRPr="00A428C3">
        <w:t>Abstract: Sunflower stalks as adsorbents for two basic dyes (Methylene Blue</w:t>
      </w:r>
      <w:r w:rsidR="00F81221">
        <w:t xml:space="preserve"> and </w:t>
      </w:r>
      <w:r w:rsidRPr="00A428C3">
        <w:t>Basic Red 9)</w:t>
      </w:r>
      <w:r w:rsidR="00F81221">
        <w:t xml:space="preserve"> and </w:t>
      </w:r>
      <w:r w:rsidRPr="00A428C3">
        <w:t>two direct dyes (Congo Red</w:t>
      </w:r>
      <w:r w:rsidR="00F81221">
        <w:t xml:space="preserve"> and </w:t>
      </w:r>
      <w:r w:rsidRPr="00A428C3">
        <w:t>Direct Blue 71) in aqueous solutions were studied with equilibrium isotherms</w:t>
      </w:r>
      <w:r w:rsidR="00F81221">
        <w:t xml:space="preserve"> and </w:t>
      </w:r>
      <w:r w:rsidRPr="00A428C3">
        <w:t>kinetic adsorptions. The maximum adsorptions of two basic dyes on sunflower stalks are very high, i.e., 205</w:t>
      </w:r>
      <w:r w:rsidR="00F81221">
        <w:t xml:space="preserve"> and </w:t>
      </w:r>
      <w:r w:rsidRPr="00A428C3">
        <w:t>317 mg/g for Methylene Blue</w:t>
      </w:r>
      <w:r w:rsidR="00F81221">
        <w:t xml:space="preserve"> and </w:t>
      </w:r>
      <w:r w:rsidRPr="00A428C3">
        <w:t>Basic Red 9, respectively. The two direct dyes have relatively lower adsorption on sunflower stalks. The adsorptive behaviors of sunflower stalk components are different. The pith, which is the soft</w:t>
      </w:r>
      <w:r w:rsidR="00F81221">
        <w:t xml:space="preserve"> and </w:t>
      </w:r>
      <w:r w:rsidRPr="00A428C3">
        <w:t>porous material in the center of stalks, has twice the adsorptive capacity of the skin. Particle sizes of sunflower stalks also affect the adsorption of dyes. The adsorption rates of two basic dyestuffs are much higher than that of the direct dyes. Within 30 min about 80% basic dyes were removed from the solutions.</w:t>
      </w:r>
    </w:p>
    <w:p w:rsidR="00B95188" w:rsidRPr="00A428C3" w:rsidRDefault="00B95188" w:rsidP="00B95188">
      <w:pPr>
        <w:pStyle w:val="a0"/>
      </w:pPr>
      <w:r w:rsidRPr="00A428C3">
        <w:t>Keywords: Adsorption, Effluents, Water</w:t>
      </w:r>
    </w:p>
    <w:p w:rsidR="00B95188" w:rsidRPr="00A428C3" w:rsidRDefault="00B95188" w:rsidP="00B95188">
      <w:pPr>
        <w:pStyle w:val="a0"/>
      </w:pPr>
      <w:r w:rsidRPr="00A428C3">
        <w:lastRenderedPageBreak/>
        <w:t>Juang, R.S.</w:t>
      </w:r>
      <w:r w:rsidR="00F81221">
        <w:t xml:space="preserve"> and </w:t>
      </w:r>
      <w:r w:rsidRPr="00A428C3">
        <w:t xml:space="preserve">Chen, M.L. (1997), Application of the Elovich equation to the kinetics of metal sorption with solvent-impregnated resins. </w:t>
      </w:r>
      <w:r w:rsidRPr="00A428C3">
        <w:rPr>
          <w:i/>
        </w:rPr>
        <w:t>Industrial &amp; Engineering Chemistry Research</w:t>
      </w:r>
      <w:r w:rsidRPr="00A428C3">
        <w:t xml:space="preserve">, </w:t>
      </w:r>
      <w:r w:rsidRPr="00A428C3">
        <w:rPr>
          <w:b/>
        </w:rPr>
        <w:t>36</w:t>
      </w:r>
      <w:r w:rsidRPr="00A428C3">
        <w:t xml:space="preserve"> (3), 813-820.</w:t>
      </w:r>
    </w:p>
    <w:p w:rsidR="00B95188" w:rsidRPr="00A428C3" w:rsidRDefault="00B95188" w:rsidP="00B95188">
      <w:pPr>
        <w:pStyle w:val="a0"/>
      </w:pPr>
      <w:r w:rsidRPr="00A428C3">
        <w:t xml:space="preserve">Full Text: </w:t>
      </w:r>
      <w:hyperlink r:id="rId1093" w:history="1">
        <w:r w:rsidRPr="00A428C3">
          <w:rPr>
            <w:rStyle w:val="a5"/>
          </w:rPr>
          <w:t>I\Ind Eng Che Res36, 813.pdf</w:t>
        </w:r>
      </w:hyperlink>
    </w:p>
    <w:p w:rsidR="00B95188" w:rsidRPr="00A428C3" w:rsidRDefault="00B95188" w:rsidP="00B95188">
      <w:pPr>
        <w:pStyle w:val="a0"/>
        <w:rPr>
          <w:rFonts w:eastAsia="Arial Unicode MS"/>
        </w:rPr>
      </w:pPr>
      <w:r w:rsidRPr="00A428C3">
        <w:t>Abstract: The sorption rates of metal ions including Fe(III), Co(II), Ni(II), Cu(II),</w:t>
      </w:r>
      <w:r w:rsidR="00F81221">
        <w:t xml:space="preserve"> and </w:t>
      </w:r>
      <w:r w:rsidRPr="00A428C3">
        <w:t>Zn(II) from sulfate solutions with macroporous resins containing bis(2-ethylhexyl)phosphoric acid (D2EHPA) were measured</w:t>
      </w:r>
      <w:r w:rsidR="00F81221">
        <w:t xml:space="preserve"> and </w:t>
      </w:r>
      <w:r w:rsidRPr="00A428C3">
        <w:t>compared in a batch stirred vessel. Experiments were carried out as a function of the pH</w:t>
      </w:r>
      <w:r w:rsidR="00F81221">
        <w:t xml:space="preserve"> and </w:t>
      </w:r>
      <w:r w:rsidRPr="00A428C3">
        <w:t>metal concentration in the aqueous phase, D2EHPA concentration in the resin phase,</w:t>
      </w:r>
      <w:r w:rsidR="00F81221">
        <w:t xml:space="preserve"> and </w:t>
      </w:r>
      <w:r w:rsidRPr="00A428C3">
        <w:t>temperature. The effect of impregnation methods of D2EHPA on the sorption rate was also investigated. It was shown that all sorption processes could be well described by the Elovich equation. For the examined systems there were similar trends of sorption rates with respect to the concentrations of metal ions</w:t>
      </w:r>
      <w:r w:rsidR="00F81221">
        <w:t xml:space="preserve"> and </w:t>
      </w:r>
      <w:r w:rsidRPr="00A428C3">
        <w:t>D2EHPA. With respect to the pH, however, three different trends were obtained depending on the magnitude of sorption rate. The apparent activation energy was obtained</w:t>
      </w:r>
      <w:r w:rsidR="00F81221">
        <w:t xml:space="preserve"> and </w:t>
      </w:r>
      <w:r w:rsidRPr="00A428C3">
        <w:t>used to discuss the rate-controlling mechanism.</w:t>
      </w:r>
    </w:p>
    <w:p w:rsidR="00B95188" w:rsidRPr="00A428C3" w:rsidRDefault="00B95188" w:rsidP="00B95188">
      <w:pPr>
        <w:pStyle w:val="a0"/>
      </w:pPr>
      <w:r w:rsidRPr="00A428C3">
        <w:t>Keywords: Particle Diffusion Kinetics, Macromolecular Resin, Divalent Metals, Di-(2, 4, 4-Trimethylpentyl)Phosphinic Acid, Distribution Equilibria, Organophosphorus Acids, Macroporous Resins, Phosphoric-Acid, Ion-Exchange, Extraction</w:t>
      </w:r>
    </w:p>
    <w:p w:rsidR="00B95188" w:rsidRPr="00A428C3" w:rsidRDefault="00B95188" w:rsidP="00B95188">
      <w:pPr>
        <w:pStyle w:val="a0"/>
      </w:pPr>
      <w:r w:rsidRPr="00A428C3">
        <w:t>Sánchez, N., Martínez, M.</w:t>
      </w:r>
      <w:r w:rsidR="00F81221">
        <w:t xml:space="preserve"> and </w:t>
      </w:r>
      <w:r w:rsidRPr="00A428C3">
        <w:t xml:space="preserve">Aracil, J. (1997), Selective esterification of glycerine to 1-glycerol monooleate. 1. Kinetic modeling. </w:t>
      </w:r>
      <w:r w:rsidRPr="00A428C3">
        <w:rPr>
          <w:i/>
        </w:rPr>
        <w:t>Industrial &amp; Engineering Chemistry Research</w:t>
      </w:r>
      <w:r w:rsidRPr="00A428C3">
        <w:t xml:space="preserve">, </w:t>
      </w:r>
      <w:r w:rsidRPr="00A428C3">
        <w:rPr>
          <w:b/>
        </w:rPr>
        <w:t>36</w:t>
      </w:r>
      <w:r w:rsidRPr="00A428C3">
        <w:t xml:space="preserve"> (5), 1524-1528.</w:t>
      </w:r>
    </w:p>
    <w:p w:rsidR="00B95188" w:rsidRPr="00A428C3" w:rsidRDefault="00B95188" w:rsidP="00B95188">
      <w:pPr>
        <w:pStyle w:val="a0"/>
      </w:pPr>
      <w:r w:rsidRPr="00A428C3">
        <w:t xml:space="preserve">Full Text: </w:t>
      </w:r>
      <w:hyperlink r:id="rId1094" w:history="1">
        <w:r w:rsidRPr="00A428C3">
          <w:rPr>
            <w:rStyle w:val="a5"/>
          </w:rPr>
          <w:t>I\Ind Eng Che Res36, 1524.pdf</w:t>
        </w:r>
      </w:hyperlink>
    </w:p>
    <w:p w:rsidR="00B95188" w:rsidRPr="00A428C3" w:rsidRDefault="00B95188" w:rsidP="00B95188">
      <w:pPr>
        <w:pStyle w:val="a0"/>
      </w:pPr>
      <w:r w:rsidRPr="00A428C3">
        <w:t>Abstract: Conversion of oleic acid has been monitored with time for the reaction with glycerine to yield selectively 1-glycerol monooleate, using a slightly basic ultrastable Y-zeolite as catalyst. Various experiments at different temperatures, catalyst concentrations,</w:t>
      </w:r>
      <w:r w:rsidR="00F81221">
        <w:t xml:space="preserve"> and </w:t>
      </w:r>
      <w:r w:rsidRPr="00A428C3">
        <w:t>glycerine/oleic acid molar ratios have been carried out. Results show that no significant amount of triglyceride appears in the reaction mixture during the esterification process. An approximate pseudo-second-order kinetic model has been proposed</w:t>
      </w:r>
      <w:r w:rsidR="00F81221">
        <w:t xml:space="preserve"> and </w:t>
      </w:r>
      <w:r w:rsidRPr="00A428C3">
        <w:t>tested, showing that it reproduces the experimental results with a maximum 10% error.</w:t>
      </w:r>
    </w:p>
    <w:p w:rsidR="00B95188" w:rsidRPr="00A428C3" w:rsidRDefault="00B95188" w:rsidP="00B95188">
      <w:pPr>
        <w:pStyle w:val="a0"/>
      </w:pPr>
      <w:r w:rsidRPr="00A428C3">
        <w:t>Keywords: Acid</w:t>
      </w:r>
    </w:p>
    <w:p w:rsidR="00B95188" w:rsidRPr="00A428C3" w:rsidRDefault="00B95188" w:rsidP="00B95188">
      <w:pPr>
        <w:pStyle w:val="a0"/>
      </w:pPr>
      <w:r w:rsidRPr="00A428C3">
        <w:t>Chanda, M.</w:t>
      </w:r>
      <w:r w:rsidR="00F81221">
        <w:t xml:space="preserve"> and </w:t>
      </w:r>
      <w:r w:rsidRPr="00A428C3">
        <w:t xml:space="preserve">Rempel, G.L. (1997), Chromium(III) removal by epoxy-cross-linked poly(ethylenimine) used as gel-coat on silica. 1. Sorption characteristics. </w:t>
      </w:r>
      <w:r w:rsidRPr="00A428C3">
        <w:rPr>
          <w:i/>
        </w:rPr>
        <w:t>Industrial &amp; Engineering Chemistry Research</w:t>
      </w:r>
      <w:r w:rsidRPr="00A428C3">
        <w:t xml:space="preserve">, </w:t>
      </w:r>
      <w:r w:rsidRPr="00A428C3">
        <w:rPr>
          <w:b/>
        </w:rPr>
        <w:t>36</w:t>
      </w:r>
      <w:r w:rsidRPr="00A428C3">
        <w:t xml:space="preserve"> (6), 2184-2189.</w:t>
      </w:r>
    </w:p>
    <w:p w:rsidR="00B95188" w:rsidRPr="00A428C3" w:rsidRDefault="00B95188" w:rsidP="00B95188">
      <w:pPr>
        <w:pStyle w:val="a0"/>
      </w:pPr>
      <w:r w:rsidRPr="00A428C3">
        <w:t xml:space="preserve">Full Text: </w:t>
      </w:r>
      <w:hyperlink r:id="rId1095" w:history="1">
        <w:r w:rsidRPr="00A428C3">
          <w:rPr>
            <w:rStyle w:val="a5"/>
          </w:rPr>
          <w:t>I\Ind Eng Che Res36, 2184.pdf</w:t>
        </w:r>
      </w:hyperlink>
    </w:p>
    <w:p w:rsidR="00B95188" w:rsidRPr="00A428C3" w:rsidRDefault="00B95188" w:rsidP="00B95188">
      <w:pPr>
        <w:pStyle w:val="a0"/>
        <w:rPr>
          <w:rFonts w:eastAsia="Arial Unicode MS"/>
        </w:rPr>
      </w:pPr>
      <w:r w:rsidRPr="00A428C3">
        <w:t>Abstract: Poly(ethylenimine) has been gel-coated on high surface area silica</w:t>
      </w:r>
      <w:r w:rsidR="00F81221">
        <w:t xml:space="preserve"> and </w:t>
      </w:r>
      <w:r w:rsidRPr="00A428C3">
        <w:t xml:space="preserve">insolubilized by crosslinking with a low molecular weight diepoxide (epoxy equivalent </w:t>
      </w:r>
      <w:smartTag w:uri="urn:schemas-microsoft-com:office:smarttags" w:element="chmetcnv">
        <w:smartTagPr>
          <w:attr w:name="TCSC" w:val="0"/>
          <w:attr w:name="NumberType" w:val="1"/>
          <w:attr w:name="Negative" w:val="False"/>
          <w:attr w:name="HasSpace" w:val="True"/>
          <w:attr w:name="SourceValue" w:val="180"/>
          <w:attr w:name="UnitName" w:val="g"/>
        </w:smartTagPr>
        <w:r w:rsidRPr="00A428C3">
          <w:t>180 g</w:t>
        </w:r>
      </w:smartTag>
      <w:r w:rsidRPr="00A428C3">
        <w:t xml:space="preserve">). The resulting granular sorbent shows several times higher sorption </w:t>
      </w:r>
      <w:r w:rsidRPr="00A428C3">
        <w:lastRenderedPageBreak/>
        <w:t>than the commercial chelating resin Chelex</w:t>
      </w:r>
      <w:smartTag w:uri="urn:schemas-microsoft-com:office:smarttags" w:element="chmetcnv">
        <w:smartTagPr>
          <w:attr w:name="TCSC" w:val="0"/>
          <w:attr w:name="NumberType" w:val="1"/>
          <w:attr w:name="Negative" w:val="True"/>
          <w:attr w:name="HasSpace" w:val="True"/>
          <w:attr w:name="SourceValue" w:val="100"/>
          <w:attr w:name="UnitName" w:val="in"/>
        </w:smartTagPr>
        <w:r w:rsidRPr="00A428C3">
          <w:t>-100 in</w:t>
        </w:r>
      </w:smartTag>
      <w:r w:rsidRPr="00A428C3">
        <w:t xml:space="preserve"> chromium(III) sorption from sulfate solution, the respective saturation capacities being 3.2</w:t>
      </w:r>
      <w:r w:rsidR="00F81221">
        <w:t xml:space="preserve"> and </w:t>
      </w:r>
      <w:r w:rsidRPr="00A428C3">
        <w:t>0.95 mmol of Cr(III)/g of dry resin. The sorption of Cr(III) from its chloride solution is less on both the resins, the saturation levels being 0.62</w:t>
      </w:r>
      <w:r w:rsidR="00F81221">
        <w:t xml:space="preserve"> and </w:t>
      </w:r>
      <w:r w:rsidRPr="00A428C3">
        <w:t>0.78 mmol/g of dry resin, respectively. The sorption of Cr(III)/Cl</w:t>
      </w:r>
      <w:r w:rsidRPr="00A428C3">
        <w:rPr>
          <w:vertAlign w:val="superscript"/>
        </w:rPr>
        <w:t>-</w:t>
      </w:r>
      <w:r w:rsidRPr="00A428C3">
        <w:t xml:space="preserve">on both these sorbents is, however, enhanced significantly by NaCl, the effect being more marked for the gel-coated resin, which shows more than 100% increase in Cr(III) sorption from </w:t>
      </w:r>
      <w:smartTag w:uri="urn:schemas-microsoft-com:office:smarttags" w:element="chmetcnv">
        <w:smartTagPr>
          <w:attr w:name="TCSC" w:val="0"/>
          <w:attr w:name="NumberType" w:val="1"/>
          <w:attr w:name="Negative" w:val="False"/>
          <w:attr w:name="HasSpace" w:val="True"/>
          <w:attr w:name="SourceValue" w:val="0.5"/>
          <w:attr w:name="UnitName" w:val="m"/>
        </w:smartTagPr>
        <w:r w:rsidRPr="00A428C3">
          <w:t>0.5 M</w:t>
        </w:r>
      </w:smartTag>
      <w:r w:rsidRPr="00A428C3">
        <w:t xml:space="preserve"> NaCl solution containing Cr(III) in low concentrations. Both the gel-coated PEI</w:t>
      </w:r>
      <w:r w:rsidR="00F81221">
        <w:t xml:space="preserve"> and </w:t>
      </w:r>
      <w:r w:rsidRPr="00A428C3">
        <w:t>Chelex-100 show fast kinetics, the t</w:t>
      </w:r>
      <w:r w:rsidRPr="00A428C3">
        <w:rPr>
          <w:vertAlign w:val="superscript"/>
        </w:rPr>
        <w:t>1/2</w:t>
      </w:r>
      <w:r w:rsidRPr="00A428C3">
        <w:t xml:space="preserve"> values in Cr(III) sorption being 45</w:t>
      </w:r>
      <w:r w:rsidR="00F81221">
        <w:t xml:space="preserve"> and </w:t>
      </w:r>
      <w:r w:rsidRPr="00A428C3">
        <w:t xml:space="preserve">30 s, respectively. However, the Cr(III) sorbed on Chelex-100 cannot be stripped at ambient temperature even with concentrated HCl while, in contrast, the gel-coated </w:t>
      </w:r>
      <w:smartTag w:uri="urn:schemas-microsoft-com:office:smarttags" w:element="place">
        <w:smartTag w:uri="urn:schemas-microsoft-com:office:smarttags" w:element="State">
          <w:r w:rsidRPr="00A428C3">
            <w:t>PEI</w:t>
          </w:r>
        </w:smartTag>
      </w:smartTag>
      <w:r w:rsidRPr="00A428C3">
        <w:t xml:space="preserve"> is stripped very easily, the tilt value in 4 N HCl being only 25 s.</w:t>
      </w:r>
    </w:p>
    <w:p w:rsidR="00B95188" w:rsidRPr="00A428C3" w:rsidRDefault="00B95188" w:rsidP="00B95188">
      <w:pPr>
        <w:pStyle w:val="a0"/>
      </w:pPr>
      <w:r w:rsidRPr="00A428C3">
        <w:t>Keywords: Fast Kinetics, Recovery</w:t>
      </w:r>
    </w:p>
    <w:p w:rsidR="00B95188" w:rsidRPr="00A428C3" w:rsidRDefault="00B95188" w:rsidP="00B95188">
      <w:pPr>
        <w:pStyle w:val="a0"/>
      </w:pPr>
      <w:r w:rsidRPr="00A428C3">
        <w:t>Chanda, M.</w:t>
      </w:r>
      <w:r w:rsidR="00F81221">
        <w:t xml:space="preserve"> and </w:t>
      </w:r>
      <w:r w:rsidRPr="00A428C3">
        <w:t xml:space="preserve">Rempel, G.L. (1997), Chromium(III) removal by epoxy-cross-linked poly(ethylenimine) used as gel-coat on silica. 2. A new kinetic model. </w:t>
      </w:r>
      <w:r w:rsidRPr="00A428C3">
        <w:rPr>
          <w:i/>
        </w:rPr>
        <w:t>Industrial &amp; Engineering Chemistry Research</w:t>
      </w:r>
      <w:r w:rsidRPr="00A428C3">
        <w:t xml:space="preserve">, </w:t>
      </w:r>
      <w:r w:rsidRPr="00A428C3">
        <w:rPr>
          <w:b/>
        </w:rPr>
        <w:t>36</w:t>
      </w:r>
      <w:r w:rsidRPr="00A428C3">
        <w:t xml:space="preserve"> (6), 2190-2196.</w:t>
      </w:r>
    </w:p>
    <w:p w:rsidR="00B95188" w:rsidRPr="00A428C3" w:rsidRDefault="00B95188" w:rsidP="00B95188">
      <w:pPr>
        <w:pStyle w:val="a0"/>
      </w:pPr>
      <w:r w:rsidRPr="00A428C3">
        <w:t xml:space="preserve">Full Text: </w:t>
      </w:r>
      <w:hyperlink r:id="rId1096" w:history="1">
        <w:r w:rsidRPr="00A428C3">
          <w:rPr>
            <w:rStyle w:val="a5"/>
          </w:rPr>
          <w:t>I\Ind Eng Che Res36, 2109.pdf</w:t>
        </w:r>
      </w:hyperlink>
    </w:p>
    <w:p w:rsidR="00B95188" w:rsidRPr="00A428C3" w:rsidRDefault="00B95188" w:rsidP="00B95188">
      <w:pPr>
        <w:pStyle w:val="a0"/>
        <w:rPr>
          <w:rFonts w:eastAsia="Arial Unicode MS"/>
        </w:rPr>
      </w:pPr>
      <w:r w:rsidRPr="00A428C3">
        <w:t xml:space="preserve">Abstract: Regenerable </w:t>
      </w:r>
      <w:r w:rsidR="000352E7">
        <w:t>“</w:t>
      </w:r>
      <w:r w:rsidRPr="00A428C3">
        <w:t>gel-coat</w:t>
      </w:r>
      <w:r w:rsidR="000352E7">
        <w:t>”</w:t>
      </w:r>
      <w:r w:rsidRPr="00A428C3">
        <w:t xml:space="preserve"> chelating resins with fast sorption kinetics</w:t>
      </w:r>
      <w:r w:rsidR="00F81221">
        <w:t xml:space="preserve"> and </w:t>
      </w:r>
      <w:r w:rsidRPr="00A428C3">
        <w:t>sorption selectivity have application potential for removal of trace metal ions even in large-scale operations. Poly(ethylenimine) has been gel-coated on high surface area silica</w:t>
      </w:r>
      <w:r w:rsidR="00F81221">
        <w:t xml:space="preserve"> and </w:t>
      </w:r>
      <w:r w:rsidRPr="00A428C3">
        <w:t xml:space="preserve">insolubilized by cross-linking with a low molecular weight diepoxide (epoxy equivalent </w:t>
      </w:r>
      <w:smartTag w:uri="urn:schemas-microsoft-com:office:smarttags" w:element="chmetcnv">
        <w:smartTagPr>
          <w:attr w:name="TCSC" w:val="0"/>
          <w:attr w:name="NumberType" w:val="1"/>
          <w:attr w:name="Negative" w:val="False"/>
          <w:attr w:name="HasSpace" w:val="True"/>
          <w:attr w:name="SourceValue" w:val="180"/>
          <w:attr w:name="UnitName" w:val="g"/>
        </w:smartTagPr>
        <w:r w:rsidRPr="00A428C3">
          <w:t>180 g</w:t>
        </w:r>
      </w:smartTag>
      <w:r w:rsidRPr="00A428C3">
        <w:t>). The sorption of Cr(III)/SO</w:t>
      </w:r>
      <w:r w:rsidRPr="00A428C3">
        <w:rPr>
          <w:vertAlign w:val="subscript"/>
        </w:rPr>
        <w:t>4</w:t>
      </w:r>
      <w:r w:rsidRPr="00A428C3">
        <w:rPr>
          <w:vertAlign w:val="superscript"/>
        </w:rPr>
        <w:t>2-</w:t>
      </w:r>
      <w:r w:rsidRPr="00A428C3">
        <w:t>on this gel-coated sorbent under vigorous agitation has characteristics of particle diffusion control (pdc) with homogeneous (gel) diffusion in the resin phase. A new mathematical model is proposed for such sorption in gel-coat resin</w:t>
      </w:r>
      <w:r w:rsidR="00F81221">
        <w:t xml:space="preserve"> and </w:t>
      </w:r>
      <w:r w:rsidRPr="00A428C3">
        <w:t>solved by applying operator-theoretic methods. The analytical solution so obtained shows good agreement with experimental sorption kinetics for relatively low levels of resin conversion.</w:t>
      </w:r>
    </w:p>
    <w:p w:rsidR="00B95188" w:rsidRPr="00A428C3" w:rsidRDefault="00B95188" w:rsidP="00B95188">
      <w:pPr>
        <w:pStyle w:val="a0"/>
      </w:pPr>
      <w:r w:rsidRPr="00A428C3">
        <w:t>Keywords: Recovery</w:t>
      </w:r>
    </w:p>
    <w:p w:rsidR="009C164B" w:rsidRDefault="009C164B" w:rsidP="009C164B">
      <w:pPr>
        <w:pStyle w:val="a0"/>
        <w:rPr>
          <w:kern w:val="0"/>
          <w:szCs w:val="24"/>
        </w:rPr>
      </w:pPr>
      <w:r>
        <w:rPr>
          <w:kern w:val="0"/>
          <w:szCs w:val="24"/>
        </w:rPr>
        <w:t>Notes: highly cited</w:t>
      </w:r>
    </w:p>
    <w:p w:rsidR="00B95188" w:rsidRPr="00A428C3" w:rsidRDefault="00B95188" w:rsidP="00B95188">
      <w:pPr>
        <w:pStyle w:val="a0"/>
      </w:pPr>
      <w:r w:rsidRPr="00A428C3">
        <w:t>Gupta, V.K., Srivastava, S.K.</w:t>
      </w:r>
      <w:r w:rsidR="00F81221">
        <w:t xml:space="preserve"> and </w:t>
      </w:r>
      <w:r w:rsidRPr="00A428C3">
        <w:t>Mohan, D. (1997), Equilibrium uptake, sorption dynamics, process optimization,</w:t>
      </w:r>
      <w:r w:rsidR="00F81221">
        <w:t xml:space="preserve"> and </w:t>
      </w:r>
      <w:r w:rsidRPr="00A428C3">
        <w:t>column operations for the removal</w:t>
      </w:r>
      <w:r w:rsidR="00F81221">
        <w:t xml:space="preserve"> and </w:t>
      </w:r>
      <w:r w:rsidRPr="00A428C3">
        <w:t>recovery of Malachite Green from wastewater using activated carbon</w:t>
      </w:r>
      <w:r w:rsidR="00F81221">
        <w:t xml:space="preserve"> and </w:t>
      </w:r>
      <w:r w:rsidRPr="00A428C3">
        <w:t xml:space="preserve">activated slag. </w:t>
      </w:r>
      <w:r w:rsidRPr="00A428C3">
        <w:rPr>
          <w:i/>
        </w:rPr>
        <w:t>Industrial &amp; Engineering Chemistry Research</w:t>
      </w:r>
      <w:r w:rsidRPr="00A428C3">
        <w:t xml:space="preserve">, </w:t>
      </w:r>
      <w:r w:rsidRPr="00A428C3">
        <w:rPr>
          <w:b/>
        </w:rPr>
        <w:t>36</w:t>
      </w:r>
      <w:r w:rsidRPr="00A428C3">
        <w:t xml:space="preserve"> (6), 2207-2218.</w:t>
      </w:r>
    </w:p>
    <w:p w:rsidR="00B95188" w:rsidRPr="00A428C3" w:rsidRDefault="00B95188" w:rsidP="00B95188">
      <w:pPr>
        <w:pStyle w:val="a0"/>
      </w:pPr>
      <w:r w:rsidRPr="00A428C3">
        <w:t xml:space="preserve">Full Text: </w:t>
      </w:r>
      <w:hyperlink r:id="rId1097" w:history="1">
        <w:r w:rsidRPr="00A428C3">
          <w:rPr>
            <w:rStyle w:val="a5"/>
          </w:rPr>
          <w:t>I\Ind Eng Che Res36, 2207.pdf</w:t>
        </w:r>
      </w:hyperlink>
    </w:p>
    <w:p w:rsidR="00B95188" w:rsidRPr="00A428C3" w:rsidRDefault="00B95188" w:rsidP="00B95188">
      <w:pPr>
        <w:pStyle w:val="a0"/>
      </w:pPr>
      <w:r w:rsidRPr="00A428C3">
        <w:t>Abstract: The waste slurry generated in fertilizer plants</w:t>
      </w:r>
      <w:r w:rsidR="00F81221">
        <w:t xml:space="preserve"> and </w:t>
      </w:r>
      <w:r w:rsidRPr="00A428C3">
        <w:t>slag (blast furnace waste) have been converted into low-cost adsorbents, activated carbon</w:t>
      </w:r>
      <w:r w:rsidR="00F81221">
        <w:t xml:space="preserve"> and </w:t>
      </w:r>
      <w:r w:rsidRPr="00A428C3">
        <w:t>activated slag, respectively,</w:t>
      </w:r>
      <w:r w:rsidR="00F81221">
        <w:t xml:space="preserve"> and </w:t>
      </w:r>
      <w:r w:rsidRPr="00A428C3">
        <w:t xml:space="preserve">these are utilized for the removal of Malachite Green (a basic dye) from wastewater. In the batch experiments, parameters studied include the effect of </w:t>
      </w:r>
      <w:r w:rsidRPr="00A428C3">
        <w:lastRenderedPageBreak/>
        <w:t>pH, sorbent dosage, adsorbate concentration, temperature,</w:t>
      </w:r>
      <w:r w:rsidR="00F81221">
        <w:t xml:space="preserve"> and </w:t>
      </w:r>
      <w:r w:rsidRPr="00A428C3">
        <w:t>contact time. Kinetic studies have been performed to have an idea of the mechanistic aspects</w:t>
      </w:r>
      <w:r w:rsidR="00F81221">
        <w:t xml:space="preserve"> and </w:t>
      </w:r>
      <w:r w:rsidRPr="00A428C3">
        <w:t>to obtain the thermodynamic parameters of the process. The uptake of the dye is greater on carbonaceous material than on activated slag. Sorption data have been correlated with both Langmuir</w:t>
      </w:r>
      <w:r w:rsidR="00F81221">
        <w:t xml:space="preserve"> and </w:t>
      </w:r>
      <w:r w:rsidRPr="00A428C3">
        <w:t>Freundlich adsorption models. The presence of anionic surfactants does not affect the uptake of dye significantly. The mass transfer kinetic approach has been applied for the determination of various parameters necessary for the designing of fixed-bed contactors. Chemical regeneration has been achieved with acetone in order to recover the loaded dye</w:t>
      </w:r>
      <w:r w:rsidR="00F81221">
        <w:t xml:space="preserve"> and </w:t>
      </w:r>
      <w:r w:rsidRPr="00A428C3">
        <w:t>restore the column to its original capacity without dismantling the same.</w:t>
      </w:r>
    </w:p>
    <w:p w:rsidR="00B95188" w:rsidRPr="00A428C3" w:rsidRDefault="00B95188" w:rsidP="00B95188">
      <w:pPr>
        <w:pStyle w:val="a0"/>
      </w:pPr>
      <w:r w:rsidRPr="00A428C3">
        <w:t>Keywords: Toxic Metal-Ions, Aqueous-Solutions, Chrome Dye, Basic Dye, Adsorption, Adsorbent, Cadmium, Coal, Diffusion, Effluents</w:t>
      </w:r>
    </w:p>
    <w:p w:rsidR="00B95188" w:rsidRPr="00A428C3" w:rsidRDefault="00B95188" w:rsidP="00B95188">
      <w:pPr>
        <w:pStyle w:val="a0"/>
      </w:pPr>
      <w:r w:rsidRPr="00A428C3">
        <w:t>? Donlagic, J.</w:t>
      </w:r>
      <w:r w:rsidR="00F81221">
        <w:t xml:space="preserve"> and </w:t>
      </w:r>
      <w:r w:rsidRPr="00A428C3">
        <w:t xml:space="preserve">Levec, J. (1997), </w:t>
      </w:r>
      <w:r w:rsidRPr="00A428C3">
        <w:rPr>
          <w:szCs w:val="19"/>
        </w:rPr>
        <w:t>Oxidation of an azo dye in subcritical aqueous solutions</w:t>
      </w:r>
      <w:r w:rsidRPr="00A428C3">
        <w:t xml:space="preserve">. </w:t>
      </w:r>
      <w:r w:rsidRPr="00A428C3">
        <w:rPr>
          <w:i/>
        </w:rPr>
        <w:t>Industrial &amp; Engineering Chemistry Research</w:t>
      </w:r>
      <w:r w:rsidRPr="00A428C3">
        <w:t xml:space="preserve">, </w:t>
      </w:r>
      <w:r w:rsidRPr="00A428C3">
        <w:rPr>
          <w:b/>
        </w:rPr>
        <w:t>36</w:t>
      </w:r>
      <w:r w:rsidRPr="00A428C3">
        <w:t xml:space="preserve"> (9), </w:t>
      </w:r>
      <w:r w:rsidRPr="00A428C3">
        <w:rPr>
          <w:szCs w:val="19"/>
        </w:rPr>
        <w:t>3480-3486</w:t>
      </w:r>
      <w:r w:rsidRPr="00A428C3">
        <w:t>.</w:t>
      </w:r>
    </w:p>
    <w:p w:rsidR="00B95188" w:rsidRPr="00A428C3" w:rsidRDefault="00B95188" w:rsidP="00B95188">
      <w:pPr>
        <w:pStyle w:val="a0"/>
      </w:pPr>
      <w:r w:rsidRPr="00A428C3">
        <w:t xml:space="preserve">Full Text: </w:t>
      </w:r>
      <w:hyperlink r:id="rId1098" w:history="1">
        <w:r w:rsidRPr="00A428C3">
          <w:rPr>
            <w:rStyle w:val="a5"/>
          </w:rPr>
          <w:t>1997\Ind Eng Che Res36, 3480.pdf</w:t>
        </w:r>
      </w:hyperlink>
    </w:p>
    <w:p w:rsidR="00B95188" w:rsidRPr="00A428C3" w:rsidRDefault="00B95188" w:rsidP="00B95188">
      <w:pPr>
        <w:pStyle w:val="a0"/>
      </w:pPr>
      <w:r w:rsidRPr="00A428C3">
        <w:t>Abstract: Oxidation of aqueous solutions of a model azo dye pollutant (Orange II) was studied in a semibatch reactor operated at temperatures between 180</w:t>
      </w:r>
      <w:r w:rsidR="00F81221">
        <w:t xml:space="preserve"> and </w:t>
      </w:r>
      <w:r w:rsidRPr="00A428C3">
        <w:t>240 degrees C</w:t>
      </w:r>
      <w:r w:rsidR="00F81221">
        <w:t xml:space="preserve"> and </w:t>
      </w:r>
      <w:r w:rsidRPr="00A428C3">
        <w:t>oxygen partial pressures from 10 to 30 bar. The dye concentrations were in a range (100</w:t>
      </w:r>
      <w:r w:rsidR="00F81221">
        <w:t xml:space="preserve"> and </w:t>
      </w:r>
      <w:r w:rsidRPr="00A428C3">
        <w:t>1000 mg L</w:t>
      </w:r>
      <w:r w:rsidRPr="00A428C3">
        <w:rPr>
          <w:vertAlign w:val="superscript"/>
        </w:rPr>
        <w:t>-1</w:t>
      </w:r>
      <w:r w:rsidRPr="00A428C3">
        <w:t>) that one may encounter in an industrial wastewater stream. Orange II oxidation undergoes a parallel-consecutive reaction pathway in which it first decomposes thermally</w:t>
      </w:r>
      <w:r w:rsidR="00F81221">
        <w:t xml:space="preserve"> and </w:t>
      </w:r>
      <w:r w:rsidRPr="00A428C3">
        <w:t>oxidatively to aromatic intermediates</w:t>
      </w:r>
      <w:r w:rsidR="00F81221">
        <w:t xml:space="preserve"> and </w:t>
      </w:r>
      <w:r w:rsidRPr="00A428C3">
        <w:t>then via organic acids to the final product-carbon dioxide. The thermal</w:t>
      </w:r>
      <w:r w:rsidR="00F81221">
        <w:t xml:space="preserve"> and </w:t>
      </w:r>
      <w:r w:rsidRPr="00A428C3">
        <w:t>oxidative disappearance rates of Orange II were found to be first-order reactions with respect to the mother compound, while the oxidation rate of intermediates was found to be second order when lumped by means of total organic carbon. The rate of organic carbon disappearance in solution can be predicted by adding up the rate at which organic carbon in Orange II disappears</w:t>
      </w:r>
      <w:r w:rsidR="00F81221">
        <w:t xml:space="preserve"> and </w:t>
      </w:r>
      <w:r w:rsidRPr="00A428C3">
        <w:t>the rate of carbon disappearance in lumped intermediates. Both oxidation rates obey the first-order dependence with respect to partial pressure of oxygen. The activation energies of all three steps, i.e. thermal</w:t>
      </w:r>
      <w:r w:rsidR="00F81221">
        <w:t xml:space="preserve"> and </w:t>
      </w:r>
      <w:r w:rsidRPr="00A428C3">
        <w:t>oxidative decompositions of Orange II</w:t>
      </w:r>
      <w:r w:rsidR="00F81221">
        <w:t xml:space="preserve"> and </w:t>
      </w:r>
      <w:r w:rsidRPr="00A428C3">
        <w:t>lump oxidation, are found to be 90, 104,</w:t>
      </w:r>
      <w:r w:rsidR="00F81221">
        <w:t xml:space="preserve"> and </w:t>
      </w:r>
      <w:r w:rsidRPr="00A428C3">
        <w:t>57 kJ mol</w:t>
      </w:r>
      <w:r w:rsidRPr="00A428C3">
        <w:rPr>
          <w:vertAlign w:val="superscript"/>
        </w:rPr>
        <w:t>-1</w:t>
      </w:r>
      <w:r w:rsidRPr="00A428C3">
        <w:t>, respectively. The last activation energy suggests that some intermediates from the lump are oxidized directly to carbon dioxide. The results show the biodegradability of solutions increases with treatment time, but complete biodegradation with nonacclimated seed was not reached. Maximum biodegradability was reached in an experiment carried out at 200 degrees C.</w:t>
      </w:r>
    </w:p>
    <w:p w:rsidR="00B95188" w:rsidRPr="00A428C3" w:rsidRDefault="00B95188" w:rsidP="00B95188">
      <w:pPr>
        <w:pStyle w:val="a0"/>
      </w:pPr>
      <w:r w:rsidRPr="00A428C3">
        <w:t>Keywords: Organic-Compounds, Phenol Oxidation, Degradation, Kinetics, Water</w:t>
      </w:r>
    </w:p>
    <w:p w:rsidR="00B95188" w:rsidRPr="00A428C3" w:rsidRDefault="00B95188" w:rsidP="00B95188">
      <w:pPr>
        <w:pStyle w:val="a0"/>
      </w:pPr>
      <w:r w:rsidRPr="00A428C3">
        <w:t>Hsien, T.Y.</w:t>
      </w:r>
      <w:r w:rsidR="00F81221">
        <w:t xml:space="preserve"> and </w:t>
      </w:r>
      <w:r w:rsidRPr="00A428C3">
        <w:t>Rorrer, G.L. (1997), Heterogeneous cross-linking of chitosan gel beads: Kinetics, modeling,</w:t>
      </w:r>
      <w:r w:rsidR="00F81221">
        <w:t xml:space="preserve"> and </w:t>
      </w:r>
      <w:r w:rsidRPr="00A428C3">
        <w:t xml:space="preserve">influence on cadmium ion adsorption capacity. </w:t>
      </w:r>
      <w:r w:rsidRPr="00A428C3">
        <w:rPr>
          <w:i/>
        </w:rPr>
        <w:t>Industrial &amp; Engineering Chemistry Research</w:t>
      </w:r>
      <w:r w:rsidRPr="00A428C3">
        <w:t xml:space="preserve">, </w:t>
      </w:r>
      <w:r w:rsidRPr="00A428C3">
        <w:rPr>
          <w:b/>
        </w:rPr>
        <w:t>36</w:t>
      </w:r>
      <w:r w:rsidRPr="00A428C3">
        <w:t xml:space="preserve"> (9), 3631-3638.</w:t>
      </w:r>
    </w:p>
    <w:p w:rsidR="00B95188" w:rsidRPr="00A428C3" w:rsidRDefault="00B95188" w:rsidP="00B95188">
      <w:pPr>
        <w:pStyle w:val="a0"/>
      </w:pPr>
      <w:r w:rsidRPr="00A428C3">
        <w:lastRenderedPageBreak/>
        <w:t xml:space="preserve">Full Text: </w:t>
      </w:r>
      <w:hyperlink r:id="rId1099" w:history="1">
        <w:r w:rsidRPr="00A428C3">
          <w:rPr>
            <w:rStyle w:val="a5"/>
          </w:rPr>
          <w:t>I\Ind Eng Che Res36, 3631.pdf</w:t>
        </w:r>
      </w:hyperlink>
    </w:p>
    <w:p w:rsidR="00B95188" w:rsidRPr="00A428C3" w:rsidRDefault="00B95188" w:rsidP="00B95188">
      <w:pPr>
        <w:pStyle w:val="a0"/>
      </w:pPr>
      <w:r w:rsidRPr="00A428C3">
        <w:t xml:space="preserve">Abstract: Chitosan, a linear biopolymer of glucosamine residues, selectively adsorbs transition-metal ions such as cadmium from dilute solution. In order to process chitosan into a more durable form, a 5 wt % chitosan solution was cast into spherical gel beads of </w:t>
      </w:r>
      <w:smartTag w:uri="urn:schemas-microsoft-com:office:smarttags" w:element="chmetcnv">
        <w:smartTagPr>
          <w:attr w:name="TCSC" w:val="0"/>
          <w:attr w:name="NumberType" w:val="1"/>
          <w:attr w:name="Negative" w:val="False"/>
          <w:attr w:name="HasSpace" w:val="True"/>
          <w:attr w:name="SourceValue" w:val="3"/>
          <w:attr w:name="UnitName" w:val="mm"/>
        </w:smartTagPr>
        <w:r w:rsidRPr="00A428C3">
          <w:t>3 mm</w:t>
        </w:r>
      </w:smartTag>
      <w:r w:rsidRPr="00A428C3">
        <w:t xml:space="preserve"> diameter</w:t>
      </w:r>
      <w:r w:rsidR="00F81221">
        <w:t xml:space="preserve"> and </w:t>
      </w:r>
      <w:r w:rsidRPr="00A428C3">
        <w:t>then reacted with glutaraldehyde at free amine sites to form imine cross-links between linear chitosan chains. The rate processes of the heterogeneous cross-linking reaction</w:t>
      </w:r>
      <w:r w:rsidR="00F81221">
        <w:t xml:space="preserve"> and </w:t>
      </w:r>
      <w:r w:rsidRPr="00A428C3">
        <w:t>the effect of cross-linking on the cadmium ion adsorption capacity were determined. The cross-linking reaction was complete within 48 h at 27 ºC,</w:t>
      </w:r>
      <w:r w:rsidR="00F81221">
        <w:t xml:space="preserve"> and </w:t>
      </w:r>
      <w:r w:rsidRPr="00A428C3">
        <w:t>the final extent of cross-linking ranged from 0.07 to 2.40 mol of glutaraldehyde consumed/mol of amine. Heterogeneous cross-linking was modeled as a shrinking core process where the molecular diffusion of glutaraldehyde through the cross-linked shell of the gel bead limited the overall rate of glutaraldehyde consumption. The effective diffusion coefficient of glutaraldehyde through the cross-linked layer was 4.7×10</w:t>
      </w:r>
      <w:smartTag w:uri="urn:schemas-microsoft-com:office:smarttags" w:element="chmetcnv">
        <w:smartTagPr>
          <w:attr w:name="TCSC" w:val="0"/>
          <w:attr w:name="NumberType" w:val="1"/>
          <w:attr w:name="Negative" w:val="True"/>
          <w:attr w:name="HasSpace" w:val="True"/>
          <w:attr w:name="SourceValue" w:val="8"/>
          <w:attr w:name="UnitName" w:val="cm"/>
        </w:smartTagPr>
        <w:r w:rsidRPr="00A428C3">
          <w:rPr>
            <w:vertAlign w:val="superscript"/>
          </w:rPr>
          <w:t>-8</w:t>
        </w:r>
        <w:r w:rsidRPr="00A428C3">
          <w:t xml:space="preserve"> cm</w:t>
        </w:r>
      </w:smartTag>
      <w:r w:rsidRPr="00A428C3">
        <w:rPr>
          <w:vertAlign w:val="superscript"/>
        </w:rPr>
        <w:t>2</w:t>
      </w:r>
      <w:r w:rsidRPr="00A428C3">
        <w:t>/s. The saturation adsorption capacity of cadmium ions on the cross-linked gel beads exponentially decreased from 250 to 100 mg of Cd/g of chitosan as the extent of cross-linking increased from 0 to 1.3 mol of glutaraldehyde consumed/mol of amine. At higher extents of cross-linking, the saturation adsorption capacity remained at 100 mg of Cd/g of chitosan. Highly porous chitosan beads formed by freeze-drying of cross-linked gel beads had the same cadmium ion adsorption capacity as the cross-linked gel beads over the same extents of cross-linking.</w:t>
      </w:r>
    </w:p>
    <w:p w:rsidR="00B95188" w:rsidRPr="00A428C3" w:rsidRDefault="00B95188" w:rsidP="00B95188">
      <w:pPr>
        <w:pStyle w:val="a0"/>
      </w:pPr>
      <w:r w:rsidRPr="00A428C3">
        <w:t>Juang, R.S.</w:t>
      </w:r>
      <w:r w:rsidR="00F81221">
        <w:t xml:space="preserve"> and </w:t>
      </w:r>
      <w:r w:rsidRPr="00A428C3">
        <w:t xml:space="preserve">Ju, C.Y. (1997), Equilibrium sorption of copper(II)-ethylenediaminetetraacetic acid chelates onto cross-linked, polyaminated chitosan beads. </w:t>
      </w:r>
      <w:r w:rsidRPr="00A428C3">
        <w:rPr>
          <w:i/>
        </w:rPr>
        <w:t>Industrial &amp; Engineering Chemistry Research</w:t>
      </w:r>
      <w:r w:rsidRPr="00A428C3">
        <w:t xml:space="preserve">, </w:t>
      </w:r>
      <w:r w:rsidRPr="00A428C3">
        <w:rPr>
          <w:b/>
        </w:rPr>
        <w:t>36</w:t>
      </w:r>
      <w:r w:rsidRPr="00A428C3">
        <w:t xml:space="preserve"> (12), 5403-5409.</w:t>
      </w:r>
    </w:p>
    <w:p w:rsidR="00B95188" w:rsidRPr="00A428C3" w:rsidRDefault="00B95188" w:rsidP="00B95188">
      <w:pPr>
        <w:pStyle w:val="a0"/>
      </w:pPr>
      <w:r w:rsidRPr="00A428C3">
        <w:t xml:space="preserve">Full Text: </w:t>
      </w:r>
      <w:hyperlink r:id="rId1100" w:history="1">
        <w:r w:rsidRPr="00A428C3">
          <w:rPr>
            <w:rStyle w:val="a5"/>
          </w:rPr>
          <w:t>I\Ind Eng Che Res36, 5403.pdf</w:t>
        </w:r>
      </w:hyperlink>
    </w:p>
    <w:p w:rsidR="00B95188" w:rsidRPr="00A428C3" w:rsidRDefault="00B95188" w:rsidP="00B95188">
      <w:pPr>
        <w:pStyle w:val="a0"/>
      </w:pPr>
      <w:r w:rsidRPr="00A428C3">
        <w:t>Abstract: The sorption equilibria of copper(II) chelates of EDTA (ethylenediaminetetraacetic acid) from an equimolar solution with cross-linked, polyaminated chitosan beads were investigated. The polyamination was done by introducing different molecular weights of water-soluble poly(ethylenimine) (</w:t>
      </w:r>
      <w:smartTag w:uri="urn:schemas-microsoft-com:office:smarttags" w:element="place">
        <w:smartTag w:uri="urn:schemas-microsoft-com:office:smarttags" w:element="State">
          <w:r w:rsidRPr="00A428C3">
            <w:t>PEI</w:t>
          </w:r>
        </w:smartTag>
      </w:smartTag>
      <w:r w:rsidRPr="00A428C3">
        <w:t>). Experiments were carried out as a function of the pH, concentration of Cu(II) ions,</w:t>
      </w:r>
      <w:r w:rsidR="00F81221">
        <w:t xml:space="preserve"> and </w:t>
      </w:r>
      <w:r w:rsidRPr="00A428C3">
        <w:t>temperature. It was shown that whether the initial aqueous phase was acidic or basic, it tended to become neutral after sorption. The amount of sorption increased with increasing the initial concentration of Cu(II) ions, temperature,</w:t>
      </w:r>
      <w:r w:rsidR="00F81221">
        <w:t xml:space="preserve"> and </w:t>
      </w:r>
      <w:r w:rsidRPr="00A428C3">
        <w:t xml:space="preserve">molecular weight of </w:t>
      </w:r>
      <w:smartTag w:uri="urn:schemas-microsoft-com:office:smarttags" w:element="place">
        <w:smartTag w:uri="urn:schemas-microsoft-com:office:smarttags" w:element="State">
          <w:r w:rsidRPr="00A428C3">
            <w:t>PEI</w:t>
          </w:r>
        </w:smartTag>
      </w:smartTag>
      <w:r w:rsidRPr="00A428C3">
        <w:t xml:space="preserve"> introduced into the bead. Moreover, the measured equilibrium isotherms could be correlated by a dual sorption model containing the BET equation for a finite number of layers.</w:t>
      </w:r>
    </w:p>
    <w:p w:rsidR="00B95188" w:rsidRPr="00A428C3" w:rsidRDefault="00B95188" w:rsidP="00B95188">
      <w:pPr>
        <w:pStyle w:val="a0"/>
      </w:pPr>
      <w:r w:rsidRPr="00A428C3">
        <w:t>Keywords: Highly Porous Chitosan, Waste-Water, Metal-Ions, Adsorption, Removal, Recovery, Cadmium, EDTA, Ultrafiltration, Binding</w:t>
      </w:r>
    </w:p>
    <w:p w:rsidR="00B95188" w:rsidRPr="00A428C3" w:rsidRDefault="00B95188" w:rsidP="00B95188">
      <w:pPr>
        <w:pStyle w:val="a0"/>
      </w:pPr>
      <w:r w:rsidRPr="00A428C3">
        <w:t>Gupta, V.K., Srivastava, S.K.</w:t>
      </w:r>
      <w:r w:rsidR="00F81221">
        <w:t xml:space="preserve"> and </w:t>
      </w:r>
      <w:r w:rsidRPr="00A428C3">
        <w:t xml:space="preserve">Mohan, D. (1997), Equilibrium uptake, sorption </w:t>
      </w:r>
      <w:r w:rsidRPr="00A428C3">
        <w:lastRenderedPageBreak/>
        <w:t>dynamics, process optimization,</w:t>
      </w:r>
      <w:r w:rsidR="00F81221">
        <w:t xml:space="preserve"> and </w:t>
      </w:r>
      <w:r w:rsidRPr="00A428C3">
        <w:t>column operations for the removal</w:t>
      </w:r>
      <w:r w:rsidR="00F81221">
        <w:t xml:space="preserve"> and </w:t>
      </w:r>
      <w:r w:rsidRPr="00A428C3">
        <w:t>recovery of malachite green from wastewater using activated carbon</w:t>
      </w:r>
      <w:r w:rsidR="00F81221">
        <w:t xml:space="preserve"> and </w:t>
      </w:r>
      <w:r w:rsidRPr="00A428C3">
        <w:t xml:space="preserve">activated slag (vol 36, pg 2210, 1997). </w:t>
      </w:r>
      <w:r w:rsidRPr="00A428C3">
        <w:rPr>
          <w:i/>
        </w:rPr>
        <w:t>Industrial &amp; Engineering Chemistry Research</w:t>
      </w:r>
      <w:r w:rsidRPr="00A428C3">
        <w:t xml:space="preserve">, </w:t>
      </w:r>
      <w:r w:rsidRPr="00A428C3">
        <w:rPr>
          <w:b/>
        </w:rPr>
        <w:t>36</w:t>
      </w:r>
      <w:r w:rsidRPr="00A428C3">
        <w:t xml:space="preserve"> (12), 5545.</w:t>
      </w:r>
    </w:p>
    <w:p w:rsidR="00B95188" w:rsidRPr="00A428C3" w:rsidRDefault="00B95188" w:rsidP="00B95188">
      <w:pPr>
        <w:pStyle w:val="a0"/>
      </w:pPr>
      <w:r w:rsidRPr="00A428C3">
        <w:t xml:space="preserve">Full Text: </w:t>
      </w:r>
      <w:hyperlink r:id="rId1101" w:history="1">
        <w:r w:rsidRPr="00A428C3">
          <w:rPr>
            <w:rStyle w:val="a5"/>
          </w:rPr>
          <w:t>I\Ind Eng Che Res36, 5545.pdf</w:t>
        </w:r>
      </w:hyperlink>
    </w:p>
    <w:p w:rsidR="00B95188" w:rsidRPr="00A428C3" w:rsidRDefault="00B95188" w:rsidP="00B95188">
      <w:pPr>
        <w:pStyle w:val="a0"/>
      </w:pPr>
      <w:r w:rsidRPr="00A428C3">
        <w:t>Gupta, V.K. (1998), Equilibrium uptake, sorption dynamics, process development,</w:t>
      </w:r>
      <w:r w:rsidR="00F81221">
        <w:t xml:space="preserve"> and </w:t>
      </w:r>
      <w:r w:rsidRPr="00A428C3">
        <w:t>column operations for the removal of copper</w:t>
      </w:r>
      <w:r w:rsidR="00F81221">
        <w:t xml:space="preserve"> and </w:t>
      </w:r>
      <w:r w:rsidRPr="00A428C3">
        <w:t>nickel from aqueous solution</w:t>
      </w:r>
      <w:r w:rsidR="00F81221">
        <w:t xml:space="preserve"> and </w:t>
      </w:r>
      <w:r w:rsidRPr="00A428C3">
        <w:t xml:space="preserve">wastewater using activated slag, a low-cost adsorbent. </w:t>
      </w:r>
      <w:r w:rsidRPr="00A428C3">
        <w:rPr>
          <w:i/>
        </w:rPr>
        <w:t>Industrial &amp; Engineering Chemistry Research</w:t>
      </w:r>
      <w:r w:rsidRPr="00A428C3">
        <w:t xml:space="preserve">, </w:t>
      </w:r>
      <w:r w:rsidRPr="00A428C3">
        <w:rPr>
          <w:b/>
        </w:rPr>
        <w:t>37</w:t>
      </w:r>
      <w:r w:rsidRPr="00A428C3">
        <w:t xml:space="preserve"> (1), 192-202.</w:t>
      </w:r>
    </w:p>
    <w:p w:rsidR="00B95188" w:rsidRPr="00A428C3" w:rsidRDefault="00B95188" w:rsidP="00B95188">
      <w:pPr>
        <w:pStyle w:val="a0"/>
      </w:pPr>
      <w:r w:rsidRPr="00A428C3">
        <w:t xml:space="preserve">Full Text: </w:t>
      </w:r>
      <w:hyperlink r:id="rId1102" w:history="1">
        <w:r w:rsidRPr="00A428C3">
          <w:rPr>
            <w:rStyle w:val="a5"/>
          </w:rPr>
          <w:t>I\Ind Eng Che Res37, 192.pdf</w:t>
        </w:r>
      </w:hyperlink>
    </w:p>
    <w:p w:rsidR="00B95188" w:rsidRPr="00A428C3" w:rsidRDefault="00B95188" w:rsidP="00B95188">
      <w:pPr>
        <w:pStyle w:val="a0"/>
      </w:pPr>
      <w:r w:rsidRPr="00A428C3">
        <w:t>Abstract: Activated slag developed from blast furnace waste material has been used for the removal of copper</w:t>
      </w:r>
      <w:r w:rsidR="00F81221">
        <w:t xml:space="preserve"> and </w:t>
      </w:r>
      <w:r w:rsidRPr="00A428C3">
        <w:t>nickel. The effects of particle size distribution, contact time,</w:t>
      </w:r>
      <w:r w:rsidR="00F81221">
        <w:t xml:space="preserve"> and </w:t>
      </w:r>
      <w:r w:rsidRPr="00A428C3">
        <w:t>surface loading of these metal ions on the adsorbent for their removal have been studied at the optimum pH (5.0 for Cu</w:t>
      </w:r>
      <w:r w:rsidRPr="00A428C3">
        <w:rPr>
          <w:vertAlign w:val="superscript"/>
        </w:rPr>
        <w:t>2+</w:t>
      </w:r>
      <w:r w:rsidR="00F81221">
        <w:t xml:space="preserve"> and </w:t>
      </w:r>
      <w:r w:rsidRPr="00A428C3">
        <w:t>4.0 for Ni</w:t>
      </w:r>
      <w:r w:rsidRPr="00A428C3">
        <w:rPr>
          <w:vertAlign w:val="superscript"/>
        </w:rPr>
        <w:t>2+</w:t>
      </w:r>
      <w:r w:rsidRPr="00A428C3">
        <w:t>). Kinetic studies were performed to decide the mechanistic steps of the process</w:t>
      </w:r>
      <w:r w:rsidR="00F81221">
        <w:t xml:space="preserve"> and </w:t>
      </w:r>
      <w:r w:rsidRPr="00A428C3">
        <w:t>to obtain the thermodynamic parameters. Sorption data have been correlated with both Langmuir</w:t>
      </w:r>
      <w:r w:rsidR="00F81221">
        <w:t xml:space="preserve"> and </w:t>
      </w:r>
      <w:r w:rsidRPr="00A428C3">
        <w:t>Freundlich adsorption models. Column operations were also performed in an attempt to simulate industrial conditions. The bed-depth-service-time (BDST) model has successfully been applied to the sorptive removal of nickel</w:t>
      </w:r>
      <w:r w:rsidR="00F81221">
        <w:t xml:space="preserve"> and </w:t>
      </w:r>
      <w:r w:rsidRPr="00A428C3">
        <w:t>copper. experiments have been performed with a goal to recover adsorbate</w:t>
      </w:r>
      <w:r w:rsidR="00F81221">
        <w:t xml:space="preserve"> and </w:t>
      </w:r>
      <w:r w:rsidRPr="00A428C3">
        <w:t>chemical regeneration of the spent columns without dismantling the same.</w:t>
      </w:r>
    </w:p>
    <w:p w:rsidR="00B95188" w:rsidRPr="00A428C3" w:rsidRDefault="00B95188" w:rsidP="00B95188">
      <w:pPr>
        <w:pStyle w:val="a0"/>
      </w:pPr>
      <w:r w:rsidRPr="00A428C3">
        <w:t>Keywords: Toxic Metal-Ions, Fly-Ash, Industrial-Waste, Earth Elements, Adsorption, Cadmium, Water, Lead, Carbon, Chromium</w:t>
      </w:r>
    </w:p>
    <w:p w:rsidR="00B95188" w:rsidRPr="00A428C3" w:rsidRDefault="00B95188" w:rsidP="00B95188">
      <w:pPr>
        <w:pStyle w:val="a0"/>
      </w:pPr>
      <w:r w:rsidRPr="00A428C3">
        <w:t>Koh, J.H., Wankat, P.C.</w:t>
      </w:r>
      <w:r w:rsidR="00F81221">
        <w:t xml:space="preserve"> and </w:t>
      </w:r>
      <w:r w:rsidRPr="00A428C3">
        <w:t>Wang, N.H.L. (1998), Pore</w:t>
      </w:r>
      <w:r w:rsidR="00F81221">
        <w:t xml:space="preserve"> and </w:t>
      </w:r>
      <w:r w:rsidRPr="00A428C3">
        <w:t>surface diffusion</w:t>
      </w:r>
      <w:r w:rsidR="00F81221">
        <w:t xml:space="preserve"> and </w:t>
      </w:r>
      <w:r w:rsidRPr="00A428C3">
        <w:t>bulk-phase mass transfer in packed</w:t>
      </w:r>
      <w:r w:rsidR="00F81221">
        <w:t xml:space="preserve"> and </w:t>
      </w:r>
      <w:r w:rsidRPr="00A428C3">
        <w:t xml:space="preserve">fluidized beds. </w:t>
      </w:r>
      <w:r w:rsidRPr="00A428C3">
        <w:rPr>
          <w:i/>
        </w:rPr>
        <w:t>Industrial &amp; Engineering Chemistry Research</w:t>
      </w:r>
      <w:r w:rsidRPr="00A428C3">
        <w:t xml:space="preserve">, </w:t>
      </w:r>
      <w:r w:rsidRPr="00A428C3">
        <w:rPr>
          <w:b/>
        </w:rPr>
        <w:t>37</w:t>
      </w:r>
      <w:r w:rsidRPr="00A428C3">
        <w:t xml:space="preserve"> (1), 228-239.</w:t>
      </w:r>
    </w:p>
    <w:p w:rsidR="00B95188" w:rsidRPr="00A428C3" w:rsidRDefault="00B95188" w:rsidP="00B95188">
      <w:pPr>
        <w:pStyle w:val="a0"/>
      </w:pPr>
      <w:r w:rsidRPr="00A428C3">
        <w:t xml:space="preserve">Full Text: </w:t>
      </w:r>
      <w:hyperlink r:id="rId1103" w:history="1">
        <w:r w:rsidRPr="00A428C3">
          <w:rPr>
            <w:rStyle w:val="a5"/>
          </w:rPr>
          <w:t>I\Ind Eng Che Res37, 228.pdf</w:t>
        </w:r>
      </w:hyperlink>
    </w:p>
    <w:p w:rsidR="00B95188" w:rsidRPr="00A428C3" w:rsidRDefault="00B95188" w:rsidP="00B95188">
      <w:pPr>
        <w:pStyle w:val="a0"/>
      </w:pPr>
      <w:r w:rsidRPr="00A428C3">
        <w:t>Abstract: Experimental breakthrough data of L-phenylalanine were obtained from cation-exchange columns over a wide range of feed concentrations</w:t>
      </w:r>
      <w:r w:rsidR="00F81221">
        <w:t xml:space="preserve"> and </w:t>
      </w:r>
      <w:r w:rsidRPr="00A428C3">
        <w:t>flow rates. Simulations based on three rate models were used to analyze the data. The models include three different intraparticle diffusion mechanisms: pore diffusion, surface diffusion, or parallel pore</w:t>
      </w:r>
      <w:r w:rsidR="00F81221">
        <w:t xml:space="preserve"> and </w:t>
      </w:r>
      <w:r w:rsidRPr="00A428C3">
        <w:t>surface diffusion, respectively. Simulated column breakthrough curves were compared to data from both packed beds</w:t>
      </w:r>
      <w:r w:rsidR="00F81221">
        <w:t xml:space="preserve"> and </w:t>
      </w:r>
      <w:r w:rsidRPr="00A428C3">
        <w:t>fluidized beds. Both the pore diffusion</w:t>
      </w:r>
      <w:r w:rsidR="00F81221">
        <w:t xml:space="preserve"> and </w:t>
      </w:r>
      <w:r w:rsidRPr="00A428C3">
        <w:t>surface diffusion models gave reasonable fits for breakthrough curves; however, these fits required that the apparent surface diffusivities obtained from the surface diffusion model increase with increasing concentration,</w:t>
      </w:r>
      <w:r w:rsidR="00F81221">
        <w:t xml:space="preserve"> and </w:t>
      </w:r>
      <w:r w:rsidRPr="00A428C3">
        <w:t>the apparent pore diffusivities obtained from the pore diffusion model decrease with increasing concentration</w:t>
      </w:r>
      <w:r w:rsidR="00F81221">
        <w:t xml:space="preserve"> and </w:t>
      </w:r>
      <w:r w:rsidRPr="00A428C3">
        <w:t>are larger than Brownian diffusivity. These results suggest that both pore diffusion</w:t>
      </w:r>
      <w:r w:rsidR="00F81221">
        <w:t xml:space="preserve"> and </w:t>
      </w:r>
      <w:r w:rsidRPr="00A428C3">
        <w:t xml:space="preserve">surface diffusion are important intraparticle transport mechanisms. A systematic method was developed to </w:t>
      </w:r>
      <w:r w:rsidRPr="00A428C3">
        <w:lastRenderedPageBreak/>
        <w:t>estimate the pore diffusivity</w:t>
      </w:r>
      <w:r w:rsidR="00F81221">
        <w:t xml:space="preserve"> and </w:t>
      </w:r>
      <w:r w:rsidRPr="00A428C3">
        <w:t>the surface diffusivity independently, which were used in the parallel diffusion model for data analysis. The parallel diffusion model can accurately simulate the data over a wide range of concentrations</w:t>
      </w:r>
      <w:r w:rsidR="00F81221">
        <w:t xml:space="preserve"> and </w:t>
      </w:r>
      <w:r w:rsidRPr="00A428C3">
        <w:t>flow rates using concentration-independent pore</w:t>
      </w:r>
      <w:r w:rsidR="00F81221">
        <w:t xml:space="preserve"> and </w:t>
      </w:r>
      <w:r w:rsidRPr="00A428C3">
        <w:t>surface diffusivities. The parallel diffusion model with diffusivities estimated from packed-bed data can successfully predict the data for fluidized beds with large (&gt;2) length to diameter ratios. Correlations for mass-transfer parameters in the bulk phase of expanded or fluidized beds were successful for simulation of breakthroughs from columns with large length to diameter ratios.</w:t>
      </w:r>
    </w:p>
    <w:p w:rsidR="00B95188" w:rsidRPr="00A428C3" w:rsidRDefault="00B95188" w:rsidP="00B95188">
      <w:pPr>
        <w:pStyle w:val="a0"/>
      </w:pPr>
      <w:r w:rsidRPr="00A428C3">
        <w:t>Keywords: Ion-Exchange, Adsorption, Transport, Liquid, Chromatography, Systems, Model, Simulation, Dispersion, Particles</w:t>
      </w:r>
    </w:p>
    <w:p w:rsidR="00B95188" w:rsidRPr="00A428C3" w:rsidRDefault="00B95188" w:rsidP="00B95188">
      <w:pPr>
        <w:pStyle w:val="a0"/>
      </w:pPr>
      <w:r w:rsidRPr="00A428C3">
        <w:t>Chern, J.M.</w:t>
      </w:r>
      <w:r w:rsidR="00F81221">
        <w:t xml:space="preserve"> and </w:t>
      </w:r>
      <w:r w:rsidRPr="00A428C3">
        <w:t xml:space="preserve">Huang, S.N. (1998), Study of nonlinear wave propagation theory. 1. Dye adsorption by activated carbon. </w:t>
      </w:r>
      <w:r w:rsidRPr="00A428C3">
        <w:rPr>
          <w:i/>
        </w:rPr>
        <w:t>Industrial &amp; Engineering Chemistry Research</w:t>
      </w:r>
      <w:r w:rsidRPr="00A428C3">
        <w:t xml:space="preserve">, </w:t>
      </w:r>
      <w:r w:rsidRPr="00A428C3">
        <w:rPr>
          <w:b/>
        </w:rPr>
        <w:t>37</w:t>
      </w:r>
      <w:r w:rsidRPr="00A428C3">
        <w:t xml:space="preserve"> (1), 253-257.</w:t>
      </w:r>
    </w:p>
    <w:p w:rsidR="00B95188" w:rsidRPr="00A428C3" w:rsidRDefault="00B95188" w:rsidP="00B95188">
      <w:pPr>
        <w:pStyle w:val="a0"/>
      </w:pPr>
      <w:r w:rsidRPr="00A428C3">
        <w:t xml:space="preserve">Full Text: </w:t>
      </w:r>
      <w:hyperlink r:id="rId1104" w:history="1">
        <w:r w:rsidRPr="00A428C3">
          <w:rPr>
            <w:rStyle w:val="a5"/>
          </w:rPr>
          <w:t>I\Ind Eng Che Res37, 253.pdf</w:t>
        </w:r>
      </w:hyperlink>
    </w:p>
    <w:p w:rsidR="00B95188" w:rsidRPr="00A428C3" w:rsidRDefault="00B95188" w:rsidP="00B95188">
      <w:pPr>
        <w:pStyle w:val="a0"/>
      </w:pPr>
      <w:r w:rsidRPr="00A428C3">
        <w:t>Abstract: The adsorption of red</w:t>
      </w:r>
      <w:r w:rsidR="00F81221">
        <w:t xml:space="preserve"> and </w:t>
      </w:r>
      <w:r w:rsidRPr="00A428C3">
        <w:t>yellow dyes by granular activated carbon from aqueous solution was studied. The Langmuir model, Freundlich model,</w:t>
      </w:r>
      <w:r w:rsidR="00F81221">
        <w:t xml:space="preserve"> and </w:t>
      </w:r>
      <w:r w:rsidRPr="00A428C3">
        <w:t>Redlich-Peterson model were found to fit the adsorption isotherm data well in different dye concentration ranges. Fixed-bed column tests were performed,</w:t>
      </w:r>
      <w:r w:rsidR="00F81221">
        <w:t xml:space="preserve"> and </w:t>
      </w:r>
      <w:r w:rsidRPr="00A428C3">
        <w:t>the results showed that the activated carbon was very effective in removing the dyes from aqueous solutions at low feed flow rates. The nonlinear wave propagation theory was used to predict the column dynamics, namely, the breakthrough</w:t>
      </w:r>
      <w:r w:rsidR="00F81221">
        <w:t xml:space="preserve"> and </w:t>
      </w:r>
      <w:r w:rsidRPr="00A428C3">
        <w:t>desorption curves. Without solving the governing equation for column dynamics, the theory used the concept of concentration wave</w:t>
      </w:r>
      <w:r w:rsidR="00F81221">
        <w:t xml:space="preserve"> and </w:t>
      </w:r>
      <w:r w:rsidRPr="00A428C3">
        <w:t>simple calculations to predict the breakthrough</w:t>
      </w:r>
      <w:r w:rsidR="00F81221">
        <w:t xml:space="preserve"> and </w:t>
      </w:r>
      <w:r w:rsidRPr="00A428C3">
        <w:t>desorption curves satisfactorily.</w:t>
      </w:r>
    </w:p>
    <w:p w:rsidR="00B95188" w:rsidRPr="00A428C3" w:rsidRDefault="00B95188" w:rsidP="00B95188">
      <w:pPr>
        <w:pStyle w:val="a0"/>
      </w:pPr>
      <w:r w:rsidRPr="00A428C3">
        <w:t>Keywords: Mass-Transfer, Chromatography, Dyestuffs, Removal</w:t>
      </w:r>
    </w:p>
    <w:p w:rsidR="00B95188" w:rsidRPr="00A428C3" w:rsidRDefault="00B95188" w:rsidP="00B95188">
      <w:pPr>
        <w:pStyle w:val="a0"/>
      </w:pPr>
      <w:r w:rsidRPr="00A428C3">
        <w:t>Matatov-Meytal, Y.I.</w:t>
      </w:r>
      <w:r w:rsidR="00F81221">
        <w:t xml:space="preserve"> and </w:t>
      </w:r>
      <w:r w:rsidRPr="00A428C3">
        <w:t xml:space="preserve">Sheintuch, M. (1998), Catalytic abatement of water pollutants. </w:t>
      </w:r>
      <w:r w:rsidRPr="00A428C3">
        <w:rPr>
          <w:i/>
          <w:iCs/>
        </w:rPr>
        <w:t>Industrial &amp; Engineering Chemistry Research</w:t>
      </w:r>
      <w:r w:rsidRPr="00A428C3">
        <w:t xml:space="preserve">, </w:t>
      </w:r>
      <w:r w:rsidRPr="00A428C3">
        <w:rPr>
          <w:b/>
        </w:rPr>
        <w:t>37</w:t>
      </w:r>
      <w:r w:rsidRPr="00A428C3">
        <w:t xml:space="preserve"> (2), 309-326.</w:t>
      </w:r>
    </w:p>
    <w:p w:rsidR="00B95188" w:rsidRPr="00A428C3" w:rsidRDefault="00B95188" w:rsidP="00B95188">
      <w:pPr>
        <w:pStyle w:val="a0"/>
      </w:pPr>
      <w:r w:rsidRPr="00A428C3">
        <w:t xml:space="preserve">Full Text: </w:t>
      </w:r>
      <w:hyperlink r:id="rId1105" w:history="1">
        <w:r w:rsidRPr="00A428C3">
          <w:rPr>
            <w:rStyle w:val="a5"/>
          </w:rPr>
          <w:t>I\Ind Eng Che Res37, 309.pdf</w:t>
        </w:r>
      </w:hyperlink>
    </w:p>
    <w:p w:rsidR="00B95188" w:rsidRPr="00A428C3" w:rsidRDefault="00B95188" w:rsidP="00B95188">
      <w:pPr>
        <w:pStyle w:val="a0"/>
      </w:pPr>
      <w:r w:rsidRPr="00A428C3">
        <w:t>Abstract: The paper reviews solid-catalyzed oxidation</w:t>
      </w:r>
      <w:r w:rsidR="00F81221">
        <w:t xml:space="preserve"> and </w:t>
      </w:r>
      <w:r w:rsidRPr="00A428C3">
        <w:t>reduction processes for the treatment of wastewater that contains small concentrations of toxic compounds</w:t>
      </w:r>
      <w:r w:rsidR="00F81221">
        <w:t xml:space="preserve"> and </w:t>
      </w:r>
      <w:r w:rsidRPr="00A428C3">
        <w:t>for which separation is not economical while biological treatment is not feasible. Specifically, the objectives are (1) to understand the interactions between catalytic materials</w:t>
      </w:r>
      <w:r w:rsidR="00F81221">
        <w:t xml:space="preserve"> and </w:t>
      </w:r>
      <w:r w:rsidRPr="00A428C3">
        <w:t>various pollutants, (2) to provide a database for catalyst selection,</w:t>
      </w:r>
      <w:r w:rsidR="00F81221">
        <w:t xml:space="preserve"> and </w:t>
      </w:r>
      <w:r w:rsidRPr="00A428C3">
        <w:t>(3) to assess the potential of these processes for commercialization. The review suggests tl-le following well-investigated; solutions: (1) Supported metal (Ru/CeO</w:t>
      </w:r>
      <w:r w:rsidRPr="00A428C3">
        <w:rPr>
          <w:vertAlign w:val="subscript"/>
        </w:rPr>
        <w:t>2</w:t>
      </w:r>
      <w:r w:rsidRPr="00A428C3">
        <w:t>, Pt/CeO</w:t>
      </w:r>
      <w:r w:rsidRPr="00A428C3">
        <w:rPr>
          <w:vertAlign w:val="subscript"/>
        </w:rPr>
        <w:t>2</w:t>
      </w:r>
      <w:r w:rsidRPr="00A428C3">
        <w:t>,</w:t>
      </w:r>
      <w:r w:rsidR="00F81221">
        <w:t xml:space="preserve"> and </w:t>
      </w:r>
      <w:r w:rsidRPr="00A428C3">
        <w:t>Ru/C)</w:t>
      </w:r>
      <w:r w:rsidR="00F81221">
        <w:t xml:space="preserve"> and </w:t>
      </w:r>
      <w:r w:rsidRPr="00A428C3">
        <w:t>metal oxides (CuO-ZnO-CoO, MnO</w:t>
      </w:r>
      <w:r w:rsidRPr="00A428C3">
        <w:rPr>
          <w:vertAlign w:val="subscript"/>
        </w:rPr>
        <w:t>2</w:t>
      </w:r>
      <w:r w:rsidRPr="00A428C3">
        <w:t>/CeO</w:t>
      </w:r>
      <w:r w:rsidRPr="00A428C3">
        <w:rPr>
          <w:vertAlign w:val="subscript"/>
        </w:rPr>
        <w:t>2</w:t>
      </w:r>
      <w:r w:rsidRPr="00A428C3">
        <w:t>, CoO/Bi</w:t>
      </w:r>
      <w:r w:rsidRPr="00A428C3">
        <w:rPr>
          <w:vertAlign w:val="subscript"/>
        </w:rPr>
        <w:t>2</w:t>
      </w:r>
      <w:r w:rsidRPr="00A428C3">
        <w:t>O</w:t>
      </w:r>
      <w:r w:rsidRPr="00A428C3">
        <w:rPr>
          <w:vertAlign w:val="subscript"/>
        </w:rPr>
        <w:t>3</w:t>
      </w:r>
      <w:r w:rsidRPr="00A428C3">
        <w:t>,</w:t>
      </w:r>
      <w:r w:rsidR="00F81221">
        <w:t xml:space="preserve"> and </w:t>
      </w:r>
      <w:r w:rsidRPr="00A428C3">
        <w:t>V</w:t>
      </w:r>
      <w:r w:rsidRPr="00A428C3">
        <w:rPr>
          <w:vertAlign w:val="subscript"/>
        </w:rPr>
        <w:t>2</w:t>
      </w:r>
      <w:r w:rsidRPr="00A428C3">
        <w:t>O</w:t>
      </w:r>
      <w:r w:rsidRPr="00A428C3">
        <w:rPr>
          <w:vertAlign w:val="subscript"/>
        </w:rPr>
        <w:t>5</w:t>
      </w:r>
      <w:r w:rsidRPr="00A428C3">
        <w:t>/AlvO</w:t>
      </w:r>
      <w:r w:rsidRPr="00A428C3">
        <w:rPr>
          <w:vertAlign w:val="subscript"/>
        </w:rPr>
        <w:t>3</w:t>
      </w:r>
      <w:r w:rsidRPr="00A428C3">
        <w:t>) are the most promising catalysts for the destruction of refractory organic compounds with nearly 100% selectivity to CO</w:t>
      </w:r>
      <w:r w:rsidRPr="00A428C3">
        <w:rPr>
          <w:vertAlign w:val="subscript"/>
        </w:rPr>
        <w:t>2</w:t>
      </w:r>
      <w:r w:rsidRPr="00A428C3">
        <w:t>; (2) CoO/CeO</w:t>
      </w:r>
      <w:r w:rsidRPr="00A428C3">
        <w:rPr>
          <w:vertAlign w:val="subscript"/>
        </w:rPr>
        <w:t>2</w:t>
      </w:r>
      <w:r w:rsidR="00F81221">
        <w:t xml:space="preserve"> and </w:t>
      </w:r>
      <w:r w:rsidRPr="00A428C3">
        <w:lastRenderedPageBreak/>
        <w:t>MnO</w:t>
      </w:r>
      <w:r w:rsidRPr="00A428C3">
        <w:rPr>
          <w:vertAlign w:val="subscript"/>
        </w:rPr>
        <w:t>2</w:t>
      </w:r>
      <w:r w:rsidRPr="00A428C3">
        <w:t>/CeO</w:t>
      </w:r>
      <w:r w:rsidRPr="00A428C3">
        <w:rPr>
          <w:vertAlign w:val="subscript"/>
        </w:rPr>
        <w:t>2</w:t>
      </w:r>
      <w:r w:rsidRPr="00A428C3">
        <w:t xml:space="preserve"> are the most active catalysts for ammonia oxidation at temperatures of 263-400 degrees C; (3) activated carbon, preferably in the presence of copper ions, Is an active catalyst for the oxidation of cyanides</w:t>
      </w:r>
      <w:r w:rsidR="00F81221">
        <w:t xml:space="preserve"> and </w:t>
      </w:r>
      <w:r w:rsidRPr="00A428C3">
        <w:t>sulfur-containing compounds; (4) catalytic hydrodechlorination (HDC) of chloroorganics</w:t>
      </w:r>
      <w:r w:rsidR="00F81221">
        <w:t xml:space="preserve"> and </w:t>
      </w:r>
      <w:r w:rsidRPr="00A428C3">
        <w:t>hydrodenitrification (HDN) of nitrates emerge as promising processes for wastewater treatment. To overcome mass-transfer resistance, catalysts should be constructed as fibers, cloth, or powder. Novel processes that incorporate separation at room temperature (e.g., by adsorption)</w:t>
      </w:r>
      <w:r w:rsidR="00F81221">
        <w:t xml:space="preserve"> and </w:t>
      </w:r>
      <w:r w:rsidRPr="00A428C3">
        <w:t>reaction at elevated temperatures are de:scribed. Suggestions for new directions of research are made.</w:t>
      </w:r>
    </w:p>
    <w:p w:rsidR="00B95188" w:rsidRPr="00A428C3" w:rsidRDefault="00B95188" w:rsidP="00B95188">
      <w:pPr>
        <w:pStyle w:val="a0"/>
      </w:pPr>
      <w:r w:rsidRPr="00A428C3">
        <w:t>Keywords: Liquid-Phase Oxidation, Supercritical Water, Wet Oxidation, Organic-Compounds, Aqueous-Solutions, Waste-Water, Phenol Oxidation, Drinking-Water, Toxic Organics, Removal</w:t>
      </w:r>
    </w:p>
    <w:p w:rsidR="00B95188" w:rsidRPr="00A428C3" w:rsidRDefault="00B95188" w:rsidP="00B95188">
      <w:pPr>
        <w:pStyle w:val="a0"/>
      </w:pPr>
      <w:r w:rsidRPr="00A428C3">
        <w:t>Vegliò, F., Beolchini, F.</w:t>
      </w:r>
      <w:r w:rsidR="00F81221">
        <w:t xml:space="preserve"> and </w:t>
      </w:r>
      <w:r w:rsidRPr="00A428C3">
        <w:t xml:space="preserve">Toro, L. (1998), </w:t>
      </w:r>
      <w:r w:rsidRPr="00A428C3">
        <w:rPr>
          <w:szCs w:val="36"/>
        </w:rPr>
        <w:t>Kinetic modeling of copper biosorption by immobilized biomass</w:t>
      </w:r>
      <w:r w:rsidRPr="00A428C3">
        <w:t xml:space="preserve">. </w:t>
      </w:r>
      <w:r w:rsidRPr="00A428C3">
        <w:rPr>
          <w:i/>
        </w:rPr>
        <w:t>Industrial &amp; Engineering Chemistry Research</w:t>
      </w:r>
      <w:r w:rsidRPr="00A428C3">
        <w:t xml:space="preserve">, </w:t>
      </w:r>
      <w:r w:rsidRPr="00A428C3">
        <w:rPr>
          <w:b/>
        </w:rPr>
        <w:t>37</w:t>
      </w:r>
      <w:r w:rsidRPr="00A428C3">
        <w:t xml:space="preserve"> (3), 1107-1111.</w:t>
      </w:r>
    </w:p>
    <w:p w:rsidR="00B95188" w:rsidRPr="00A428C3" w:rsidRDefault="00B95188" w:rsidP="00B95188">
      <w:pPr>
        <w:pStyle w:val="a0"/>
      </w:pPr>
      <w:r w:rsidRPr="00A428C3">
        <w:t xml:space="preserve">Full Text: </w:t>
      </w:r>
      <w:hyperlink r:id="rId1106" w:history="1">
        <w:r w:rsidRPr="00A428C3">
          <w:rPr>
            <w:rStyle w:val="a5"/>
          </w:rPr>
          <w:t>I\Ind Eng Che Res37, 1107.pdf</w:t>
        </w:r>
      </w:hyperlink>
    </w:p>
    <w:p w:rsidR="00B95188" w:rsidRPr="00A428C3" w:rsidRDefault="00B95188" w:rsidP="00B95188">
      <w:pPr>
        <w:pStyle w:val="a0"/>
      </w:pPr>
      <w:r w:rsidRPr="00A428C3">
        <w:t xml:space="preserve">Abstract: The kinetic modeling of copper biosorption by </w:t>
      </w:r>
      <w:r w:rsidRPr="00A428C3">
        <w:rPr>
          <w:i/>
          <w:iCs/>
        </w:rPr>
        <w:t>Arthrobacter</w:t>
      </w:r>
      <w:r w:rsidRPr="00A428C3">
        <w:t xml:space="preserve"> sp. immobilized in a hydroxyethyl methacrylate-based matrix is reported in this work. The resin-biomass complex (RBC) has been used for copper biosorption in different conditions according to a factorial experiment. Factors investigated were cross-linker (trimethylolpropane trimethacrylate) concentration, biomass concentration in the solid,</w:t>
      </w:r>
      <w:r w:rsidR="00F81221">
        <w:t xml:space="preserve"> and </w:t>
      </w:r>
      <w:r w:rsidRPr="00A428C3">
        <w:t>particles</w:t>
      </w:r>
      <w:r w:rsidR="000352E7">
        <w:t>’</w:t>
      </w:r>
      <w:r w:rsidRPr="00A428C3">
        <w:t xml:space="preserve"> granulometry. A maximum copper specific uptake of about 7 mg of Cu/g of biomass (dry weight) has been observed, in the case of a RBC with the following characteristics: 2% (w/w) cross-linker concentration, 8% (w/w) biomass concentration,</w:t>
      </w:r>
      <w:r w:rsidR="00F81221">
        <w:t xml:space="preserve"> and </w:t>
      </w:r>
      <w:r w:rsidRPr="00A428C3">
        <w:t>425-750 μm granulometry. The shrinking core model has been used for the fitting of experimental data. A good fit has been found in the case of controlling intraparticle diffusion in all experimental trials. The copper diffusion coefficient in RBC has been estimated from the slope of the regression lines. Values obtained for the diffusion coefficients do not differ from one another with respect to the estimated standard error. An average apparent copper diffusion coefficient of about 3×10</w:t>
      </w:r>
      <w:r w:rsidRPr="00A428C3">
        <w:rPr>
          <w:vertAlign w:val="superscript"/>
        </w:rPr>
        <w:t>−</w:t>
      </w:r>
      <w:smartTag w:uri="urn:schemas-microsoft-com:office:smarttags" w:element="chmetcnv">
        <w:smartTagPr>
          <w:attr w:name="TCSC" w:val="0"/>
          <w:attr w:name="NumberType" w:val="1"/>
          <w:attr w:name="Negative" w:val="False"/>
          <w:attr w:name="HasSpace" w:val="True"/>
          <w:attr w:name="SourceValue" w:val="6"/>
          <w:attr w:name="UnitName" w:val="cm"/>
        </w:smartTagPr>
        <w:r w:rsidRPr="00A428C3">
          <w:rPr>
            <w:vertAlign w:val="superscript"/>
          </w:rPr>
          <w:t>6</w:t>
        </w:r>
        <w:r w:rsidRPr="00A428C3">
          <w:t xml:space="preserve"> cm</w:t>
        </w:r>
      </w:smartTag>
      <w:r w:rsidRPr="00A428C3">
        <w:rPr>
          <w:vertAlign w:val="superscript"/>
        </w:rPr>
        <w:t>2</w:t>
      </w:r>
      <w:r w:rsidRPr="00A428C3">
        <w:t xml:space="preserve"> /s has been found.</w:t>
      </w:r>
    </w:p>
    <w:p w:rsidR="00B95188" w:rsidRPr="00A428C3" w:rsidRDefault="00B95188" w:rsidP="00B95188">
      <w:pPr>
        <w:pStyle w:val="a0"/>
      </w:pPr>
      <w:r w:rsidRPr="00A428C3">
        <w:t>Sun, G.</w:t>
      </w:r>
      <w:r w:rsidR="00F81221">
        <w:t xml:space="preserve"> and </w:t>
      </w:r>
      <w:r w:rsidRPr="00A428C3">
        <w:t xml:space="preserve">Shi, W.X. (1998), Sunflower stalks as adsorbents for the removal of metal ions from wastewater. </w:t>
      </w:r>
      <w:r w:rsidRPr="00A428C3">
        <w:rPr>
          <w:i/>
        </w:rPr>
        <w:t>Industrial &amp; Engineering Chemistry Research</w:t>
      </w:r>
      <w:r w:rsidRPr="00A428C3">
        <w:t xml:space="preserve">, </w:t>
      </w:r>
      <w:r w:rsidRPr="00A428C3">
        <w:rPr>
          <w:b/>
        </w:rPr>
        <w:t>37</w:t>
      </w:r>
      <w:r w:rsidRPr="00A428C3">
        <w:t xml:space="preserve"> (4), 1324-1328.</w:t>
      </w:r>
    </w:p>
    <w:p w:rsidR="00B95188" w:rsidRPr="00A428C3" w:rsidRDefault="00B95188" w:rsidP="00B95188">
      <w:pPr>
        <w:pStyle w:val="a0"/>
      </w:pPr>
      <w:r w:rsidRPr="00A428C3">
        <w:t xml:space="preserve">Full Text: </w:t>
      </w:r>
      <w:hyperlink r:id="rId1107" w:history="1">
        <w:r w:rsidRPr="00A428C3">
          <w:rPr>
            <w:rStyle w:val="a5"/>
          </w:rPr>
          <w:t>I\Ind Eng Che Res37, 1324.pdf</w:t>
        </w:r>
      </w:hyperlink>
    </w:p>
    <w:p w:rsidR="00B95188" w:rsidRPr="00A428C3" w:rsidRDefault="00B95188" w:rsidP="00B95188">
      <w:pPr>
        <w:pStyle w:val="a0"/>
      </w:pPr>
      <w:r w:rsidRPr="00A428C3">
        <w:t>Abstract: Sunflower stalks as adsorbents for the removal of metal ions such as copper, cadmium, zinc,</w:t>
      </w:r>
      <w:r w:rsidR="00F81221">
        <w:t xml:space="preserve"> and </w:t>
      </w:r>
      <w:r w:rsidRPr="00A428C3">
        <w:t>chromium ions in aqueous solutions were studied with equilibrium isotherms</w:t>
      </w:r>
      <w:r w:rsidR="00F81221">
        <w:t xml:space="preserve"> and </w:t>
      </w:r>
      <w:r w:rsidRPr="00A428C3">
        <w:t>kinetic adsorptions. The maximum adsorptions of four heavy metals are 29.3 mg/g (Cu</w:t>
      </w:r>
      <w:r w:rsidRPr="00A428C3">
        <w:rPr>
          <w:vertAlign w:val="superscript"/>
        </w:rPr>
        <w:t>2+</w:t>
      </w:r>
      <w:r w:rsidRPr="00A428C3">
        <w:t>), 30.73 mg/g (Zn</w:t>
      </w:r>
      <w:r w:rsidRPr="00A428C3">
        <w:rPr>
          <w:vertAlign w:val="superscript"/>
        </w:rPr>
        <w:t>2+</w:t>
      </w:r>
      <w:r w:rsidRPr="00A428C3">
        <w:t>), 42.18 mg/g (Cd</w:t>
      </w:r>
      <w:r w:rsidRPr="00A428C3">
        <w:rPr>
          <w:vertAlign w:val="superscript"/>
        </w:rPr>
        <w:t>2+</w:t>
      </w:r>
      <w:r w:rsidRPr="00A428C3">
        <w:t>),</w:t>
      </w:r>
      <w:r w:rsidR="00F81221">
        <w:t xml:space="preserve"> and </w:t>
      </w:r>
      <w:r w:rsidRPr="00A428C3">
        <w:t xml:space="preserve">25.07 </w:t>
      </w:r>
      <w:r w:rsidRPr="00A428C3">
        <w:lastRenderedPageBreak/>
        <w:t>mg/g (Cr</w:t>
      </w:r>
      <w:r w:rsidRPr="00A428C3">
        <w:rPr>
          <w:vertAlign w:val="superscript"/>
        </w:rPr>
        <w:t>3+</w:t>
      </w:r>
      <w:r w:rsidRPr="00A428C3">
        <w:t>), respectively. Particle sizes of sunflower stalks affected the adsorption of metal ions; the finer size of particles showed better adsorption to the ions. Temperature also plays an interesting role in the adsorption of different metal ions. Copper, zinc,</w:t>
      </w:r>
      <w:r w:rsidR="00F81221">
        <w:t xml:space="preserve"> and </w:t>
      </w:r>
      <w:r w:rsidRPr="00A428C3">
        <w:t>cadmium exhibited lower adsorption on sunflower stalks at higher temperature, while chromium showed the opposite phenomenon. The adsorption rates of copper, cadmium,</w:t>
      </w:r>
      <w:r w:rsidR="00F81221">
        <w:t xml:space="preserve"> and </w:t>
      </w:r>
      <w:r w:rsidRPr="00A428C3">
        <w:t>chromium are quite rapid. Within 60 min of operation about 60-80% of these ions were removed from the solutions.</w:t>
      </w:r>
    </w:p>
    <w:p w:rsidR="00B95188" w:rsidRPr="00A428C3" w:rsidRDefault="00B95188" w:rsidP="00B95188">
      <w:pPr>
        <w:pStyle w:val="a0"/>
      </w:pPr>
      <w:r w:rsidRPr="00A428C3">
        <w:t>Keywords: Aqueous-Solutions, Adsorption, Bagasse</w:t>
      </w:r>
    </w:p>
    <w:p w:rsidR="00B95188" w:rsidRPr="00A428C3" w:rsidRDefault="00B95188" w:rsidP="00B95188">
      <w:pPr>
        <w:pStyle w:val="a0"/>
      </w:pPr>
      <w:r w:rsidRPr="00A428C3">
        <w:t>Yun, J.H., Choi, D.K.</w:t>
      </w:r>
      <w:r w:rsidR="00F81221">
        <w:t xml:space="preserve"> and </w:t>
      </w:r>
      <w:r w:rsidRPr="00A428C3">
        <w:t xml:space="preserve">Kim, S.H. (1998), Adsorption equilibria of chlorinated organic solvents onto activated carbon. </w:t>
      </w:r>
      <w:r w:rsidRPr="00A428C3">
        <w:rPr>
          <w:i/>
        </w:rPr>
        <w:t>Industrial &amp; Engineering Chemistry Research</w:t>
      </w:r>
      <w:r w:rsidRPr="00A428C3">
        <w:t xml:space="preserve">, </w:t>
      </w:r>
      <w:r w:rsidRPr="00A428C3">
        <w:rPr>
          <w:b/>
        </w:rPr>
        <w:t>37</w:t>
      </w:r>
      <w:r w:rsidRPr="00A428C3">
        <w:t xml:space="preserve"> (4), 1422-1427.</w:t>
      </w:r>
    </w:p>
    <w:p w:rsidR="00B95188" w:rsidRPr="00A428C3" w:rsidRDefault="00B95188" w:rsidP="00B95188">
      <w:pPr>
        <w:pStyle w:val="a0"/>
      </w:pPr>
      <w:r w:rsidRPr="00A428C3">
        <w:t xml:space="preserve">Full Text: </w:t>
      </w:r>
      <w:hyperlink r:id="rId1108" w:history="1">
        <w:r w:rsidRPr="00A428C3">
          <w:rPr>
            <w:rStyle w:val="a5"/>
          </w:rPr>
          <w:t>I\Ind Eng Che Res37, 1422.pdf</w:t>
        </w:r>
      </w:hyperlink>
    </w:p>
    <w:p w:rsidR="00B95188" w:rsidRPr="00A428C3" w:rsidRDefault="00B95188" w:rsidP="00B95188">
      <w:pPr>
        <w:pStyle w:val="a0"/>
      </w:pPr>
      <w:r w:rsidRPr="00A428C3">
        <w:t>Abstract: Adsorption equilibria of dichloromethane, 1,1,1-trichloroethane,</w:t>
      </w:r>
      <w:r w:rsidR="00F81221">
        <w:t xml:space="preserve"> and </w:t>
      </w:r>
      <w:r w:rsidRPr="00A428C3">
        <w:t>trichloroethylene on activated carbon were obtained by a static volumetric technique. Isotherms were measured for the pure vapors in the temperature range from 283 to 363 K</w:t>
      </w:r>
      <w:r w:rsidR="00F81221">
        <w:t xml:space="preserve"> and </w:t>
      </w:r>
      <w:r w:rsidRPr="00A428C3">
        <w:t>pressures up to 60 kPa for dichloromethane, 16 kPa for 1,1,1-trichloroethane,</w:t>
      </w:r>
      <w:r w:rsidR="00F81221">
        <w:t xml:space="preserve"> and </w:t>
      </w:r>
      <w:r w:rsidRPr="00A428C3">
        <w:t>7 kPa for trichloroethylene, respectively. The Tóth</w:t>
      </w:r>
      <w:r w:rsidR="00F81221">
        <w:t xml:space="preserve"> and </w:t>
      </w:r>
      <w:r w:rsidRPr="00A428C3">
        <w:t>Dubinin-Radushkevich equations were used to correlate experimental isotherms. Thermodynamic properties such as the isosteric heat of adsorption</w:t>
      </w:r>
      <w:r w:rsidR="00F81221">
        <w:t xml:space="preserve"> and </w:t>
      </w:r>
      <w:r w:rsidRPr="00A428C3">
        <w:t>the Henry</w:t>
      </w:r>
      <w:r w:rsidR="000352E7">
        <w:t>’</w:t>
      </w:r>
      <w:r w:rsidRPr="00A428C3">
        <w:t>s constant were calculated. It was found that the values of isosteric heat of adsorption were varied with surface loading. Also, the Henry</w:t>
      </w:r>
      <w:r w:rsidR="000352E7">
        <w:t>’</w:t>
      </w:r>
      <w:r w:rsidRPr="00A428C3">
        <w:t>s constant showed that the order of adsorption affinity is 1,1,1-trichloroethane, trichloroethylene,</w:t>
      </w:r>
      <w:r w:rsidR="00F81221">
        <w:t xml:space="preserve"> and </w:t>
      </w:r>
      <w:r w:rsidRPr="00A428C3">
        <w:t>dichloromethane. By employing the Dubinin-Radushkevich equation, the limiting volume of the adsorbed space, which equals micropore volume, was determined,</w:t>
      </w:r>
      <w:r w:rsidR="00F81221">
        <w:t xml:space="preserve"> and </w:t>
      </w:r>
      <w:r w:rsidRPr="00A428C3">
        <w:t>its value was found to be approximately independent of adsorbates.</w:t>
      </w:r>
    </w:p>
    <w:p w:rsidR="00B95188" w:rsidRDefault="00B95188" w:rsidP="00B95188">
      <w:pPr>
        <w:pStyle w:val="a0"/>
      </w:pPr>
      <w:r>
        <w:rPr>
          <w:rFonts w:hint="eastAsia"/>
        </w:rPr>
        <w:t>Notes: highly cited</w:t>
      </w:r>
    </w:p>
    <w:p w:rsidR="00B95188" w:rsidRPr="00A428C3" w:rsidRDefault="00B95188" w:rsidP="00B95188">
      <w:pPr>
        <w:pStyle w:val="a0"/>
      </w:pPr>
      <w:r w:rsidRPr="00A428C3">
        <w:t>Guibal, E., Milot, C.</w:t>
      </w:r>
      <w:r w:rsidR="00F81221">
        <w:t xml:space="preserve"> and </w:t>
      </w:r>
      <w:r w:rsidRPr="00A428C3">
        <w:t>Tobin, J.M. (1998), Metal-anion sorption by chitosan beads: Equilibrium</w:t>
      </w:r>
      <w:r w:rsidR="00F81221">
        <w:t xml:space="preserve"> and </w:t>
      </w:r>
      <w:r w:rsidRPr="00A428C3">
        <w:t xml:space="preserve">kinetic studies. </w:t>
      </w:r>
      <w:r w:rsidRPr="00A428C3">
        <w:rPr>
          <w:i/>
        </w:rPr>
        <w:t>Industrial &amp; Engineering Chemistry Research</w:t>
      </w:r>
      <w:r w:rsidRPr="00A428C3">
        <w:t xml:space="preserve">, </w:t>
      </w:r>
      <w:r w:rsidRPr="00A428C3">
        <w:rPr>
          <w:b/>
        </w:rPr>
        <w:t>37</w:t>
      </w:r>
      <w:r w:rsidRPr="00A428C3">
        <w:t xml:space="preserve"> (4), 1454-1463.</w:t>
      </w:r>
    </w:p>
    <w:p w:rsidR="00B95188" w:rsidRPr="00A428C3" w:rsidRDefault="00B95188" w:rsidP="00B95188">
      <w:pPr>
        <w:pStyle w:val="a0"/>
      </w:pPr>
      <w:r w:rsidRPr="00A428C3">
        <w:t xml:space="preserve">Full Text: </w:t>
      </w:r>
      <w:hyperlink r:id="rId1109" w:history="1">
        <w:r w:rsidRPr="00A428C3">
          <w:rPr>
            <w:rStyle w:val="a5"/>
          </w:rPr>
          <w:t>I\Ind Eng Che Res37, 1454.pdf</w:t>
        </w:r>
      </w:hyperlink>
    </w:p>
    <w:p w:rsidR="00B95188" w:rsidRPr="00A428C3" w:rsidRDefault="00B95188" w:rsidP="00B95188">
      <w:pPr>
        <w:pStyle w:val="a0"/>
      </w:pPr>
      <w:r w:rsidRPr="00A428C3">
        <w:t>Abstract: Chitosan is a well-known biopolymer, whose high nitrogen content confers remarkable ability for the sorption of metal ions from dilute effluents. However, its sorption performance in both equilibrium</w:t>
      </w:r>
      <w:r w:rsidR="00F81221">
        <w:t xml:space="preserve"> and </w:t>
      </w:r>
      <w:r w:rsidRPr="00A428C3">
        <w:t>kinetic terms is controlled by diffusion processes. Gel bead formation allows an expansion of the polymer network, which improves access to the internal sorption sites</w:t>
      </w:r>
      <w:r w:rsidR="00F81221">
        <w:t xml:space="preserve"> and </w:t>
      </w:r>
      <w:r w:rsidRPr="00A428C3">
        <w:t>enhances diffusion mechanisms. Molybdate</w:t>
      </w:r>
      <w:r w:rsidR="00F81221">
        <w:t xml:space="preserve"> and </w:t>
      </w:r>
      <w:r w:rsidRPr="00A428C3">
        <w:t>vanadate recovery using glutaraldehyde crosslinked chitosan beads reaches uptake capacities as high as 7-8 mmolg</w:t>
      </w:r>
      <w:r w:rsidRPr="00A428C3">
        <w:rPr>
          <w:vertAlign w:val="superscript"/>
        </w:rPr>
        <w:t>-1</w:t>
      </w:r>
      <w:r w:rsidRPr="00A428C3">
        <w:t>, depending on the pH. The optimum pH (3-3.5) corresponded to the predominance range of hydrolyzed polynuclear metal forms</w:t>
      </w:r>
      <w:r w:rsidR="00F81221">
        <w:t xml:space="preserve"> and </w:t>
      </w:r>
      <w:r w:rsidRPr="00A428C3">
        <w:t xml:space="preserve">optimum electrostatic attraction. While for beads, </w:t>
      </w:r>
      <w:r w:rsidRPr="00A428C3">
        <w:lastRenderedPageBreak/>
        <w:t>particle size does not influence equilibrium, for flakes, increasing sorbent radius significantly decreases uptake capacities to 1.5 mmolg</w:t>
      </w:r>
      <w:r w:rsidRPr="00A428C3">
        <w:rPr>
          <w:vertAlign w:val="superscript"/>
        </w:rPr>
        <w:t>-1</w:t>
      </w:r>
      <w:r w:rsidRPr="00A428C3">
        <w:t>. Sorption kinetics are mainly controlled by intraparticle diffusion for beads, while for flakes the controlling mechanisms are both external</w:t>
      </w:r>
      <w:r w:rsidR="00F81221">
        <w:t xml:space="preserve"> and </w:t>
      </w:r>
      <w:r w:rsidRPr="00A428C3">
        <w:t>intraparticle diffusions. The gel conditioning increases the intraparticle diffusivity by 3 orders of magnitude: intraparticle diffusivities range between 10</w:t>
      </w:r>
      <w:r w:rsidRPr="00A428C3">
        <w:rPr>
          <w:vertAlign w:val="superscript"/>
        </w:rPr>
        <w:t>-13</w:t>
      </w:r>
      <w:r w:rsidR="00F81221">
        <w:t xml:space="preserve"> and </w:t>
      </w:r>
      <w:r w:rsidRPr="00A428C3">
        <w:t>10</w:t>
      </w:r>
      <w:smartTag w:uri="urn:schemas-microsoft-com:office:smarttags" w:element="chmetcnv">
        <w:smartTagPr>
          <w:attr w:name="TCSC" w:val="0"/>
          <w:attr w:name="NumberType" w:val="1"/>
          <w:attr w:name="Negative" w:val="True"/>
          <w:attr w:name="HasSpace" w:val="True"/>
          <w:attr w:name="SourceValue" w:val="10"/>
          <w:attr w:name="UnitName" w:val="m2"/>
        </w:smartTagPr>
        <w:r w:rsidRPr="00A428C3">
          <w:rPr>
            <w:vertAlign w:val="superscript"/>
          </w:rPr>
          <w:t>-10</w:t>
        </w:r>
        <w:r w:rsidRPr="00A428C3">
          <w:t xml:space="preserve"> m</w:t>
        </w:r>
        <w:r w:rsidRPr="00A428C3">
          <w:rPr>
            <w:vertAlign w:val="superscript"/>
          </w:rPr>
          <w:t>2</w:t>
        </w:r>
      </w:smartTag>
      <w:r w:rsidRPr="00A428C3">
        <w:t xml:space="preserve"> min</w:t>
      </w:r>
      <w:r w:rsidRPr="00A428C3">
        <w:rPr>
          <w:vertAlign w:val="superscript"/>
        </w:rPr>
        <w:t>-1</w:t>
      </w:r>
      <w:r w:rsidRPr="00A428C3">
        <w:t>, depending on the sorbent size</w:t>
      </w:r>
      <w:r w:rsidR="00F81221">
        <w:t xml:space="preserve"> and </w:t>
      </w:r>
      <w:r w:rsidRPr="00A428C3">
        <w:t>the conditioning.</w:t>
      </w:r>
    </w:p>
    <w:p w:rsidR="00B95188" w:rsidRPr="00586CD8" w:rsidRDefault="00B95188" w:rsidP="00B95188">
      <w:pPr>
        <w:pStyle w:val="a0"/>
        <w:rPr>
          <w:kern w:val="2"/>
        </w:rPr>
      </w:pPr>
      <w:r w:rsidRPr="00586CD8">
        <w:rPr>
          <w:kern w:val="2"/>
        </w:rPr>
        <w:t xml:space="preserve">Keywords: Access, Beads, Chitosan, Crosslinked Chitosan, Diffusion, Diffusion Processes, Equilibrium, Glutaraldehyde, Intraparticle Diffusion, Kinetic, Kinetic Studies, Kinetics, Mechanisms, Metal, Metal Ions, Network, Particle Size, </w:t>
      </w:r>
      <w:r w:rsidRPr="00586CD8">
        <w:rPr>
          <w:rFonts w:hint="eastAsia"/>
          <w:kern w:val="2"/>
        </w:rPr>
        <w:t>p</w:t>
      </w:r>
      <w:r w:rsidRPr="00586CD8">
        <w:rPr>
          <w:kern w:val="2"/>
        </w:rPr>
        <w:t>H, Polymer, Recovery, Size, Sorbent, Sorption, Sorption Kinetics</w:t>
      </w:r>
    </w:p>
    <w:p w:rsidR="00B95188" w:rsidRPr="00A428C3" w:rsidRDefault="00B95188" w:rsidP="00B95188">
      <w:pPr>
        <w:pStyle w:val="a0"/>
      </w:pPr>
      <w:r w:rsidRPr="00A428C3">
        <w:t>Kabay, N., Demircioglu, M., Ekinci, H., Yuksel, M., Saglam, M., Akcay, M.</w:t>
      </w:r>
      <w:r w:rsidR="00F81221">
        <w:t xml:space="preserve"> and </w:t>
      </w:r>
      <w:r w:rsidRPr="00A428C3">
        <w:t>Streat, M. (1998), Removal of metal pollutants (Cd(II)</w:t>
      </w:r>
      <w:r w:rsidR="00F81221">
        <w:t xml:space="preserve"> and </w:t>
      </w:r>
      <w:r w:rsidRPr="00A428C3">
        <w:t>Cr(III)) from phosphoric acid solutions by chelating resins containing phosphonic or diphosphonic groups.</w:t>
      </w:r>
      <w:r w:rsidRPr="00A428C3">
        <w:rPr>
          <w:i/>
        </w:rPr>
        <w:t xml:space="preserve"> Industrial &amp; Engineering Chemistry Research</w:t>
      </w:r>
      <w:r w:rsidRPr="00A428C3">
        <w:t xml:space="preserve">, </w:t>
      </w:r>
      <w:r w:rsidRPr="00A428C3">
        <w:rPr>
          <w:b/>
        </w:rPr>
        <w:t>37</w:t>
      </w:r>
      <w:r w:rsidRPr="00A428C3">
        <w:t xml:space="preserve"> (6), 2541-2547.</w:t>
      </w:r>
    </w:p>
    <w:p w:rsidR="00B95188" w:rsidRPr="00A428C3" w:rsidRDefault="00B95188" w:rsidP="00B95188">
      <w:pPr>
        <w:pStyle w:val="a0"/>
      </w:pPr>
      <w:r w:rsidRPr="00A428C3">
        <w:t xml:space="preserve">Full Text: </w:t>
      </w:r>
      <w:hyperlink r:id="rId1110" w:history="1">
        <w:r w:rsidRPr="00A428C3">
          <w:rPr>
            <w:rStyle w:val="a5"/>
          </w:rPr>
          <w:t>I\Ind Eng Che Res37, 2541.pdf</w:t>
        </w:r>
      </w:hyperlink>
    </w:p>
    <w:p w:rsidR="00B95188" w:rsidRPr="00A428C3" w:rsidRDefault="00B95188" w:rsidP="00B95188">
      <w:pPr>
        <w:pStyle w:val="a0"/>
      </w:pPr>
      <w:r w:rsidRPr="00A428C3">
        <w:t>Abstract: In this study, chelating ion exchangers containing phosphonic (-PO (OH)</w:t>
      </w:r>
      <w:r w:rsidRPr="00A428C3">
        <w:rPr>
          <w:vertAlign w:val="subscript"/>
        </w:rPr>
        <w:t>2</w:t>
      </w:r>
      <w:r w:rsidRPr="00A428C3">
        <w:t>) acid groups (RSPO, Diaion-CRP200)</w:t>
      </w:r>
      <w:r w:rsidR="00F81221">
        <w:t xml:space="preserve"> and </w:t>
      </w:r>
      <w:r w:rsidRPr="00A428C3">
        <w:t>the new chelating resins (Diphonix) containing sulfonic</w:t>
      </w:r>
      <w:r w:rsidR="00F81221">
        <w:t xml:space="preserve"> and </w:t>
      </w:r>
      <w:r w:rsidRPr="00A428C3">
        <w:t>gem-diphosphonic acid groups chemically bonded in a styrene-divinylbenzene polymeric network have been investigated for sorption of Cd(II) ions from phosphoric acid solutions. Comparison of acid dependencies of Cd(II) uptake measured with that obtained using a commercial sulfonic acid type ion-exchange resin (Dowex 50W (X8))</w:t>
      </w:r>
      <w:r w:rsidR="00F81221">
        <w:t xml:space="preserve"> and </w:t>
      </w:r>
      <w:r w:rsidRPr="00A428C3">
        <w:t>a solvent containing resins (Actinide-CU) has been performed. The resin Diphonix has been employed for columnar sorption of Cd(II)</w:t>
      </w:r>
      <w:r w:rsidR="00F81221">
        <w:t xml:space="preserve"> and </w:t>
      </w:r>
      <w:r w:rsidRPr="00A428C3">
        <w:t>Cr(III) ions from phosphoric acid solutions.</w:t>
      </w:r>
    </w:p>
    <w:p w:rsidR="00B95188" w:rsidRPr="00A428C3" w:rsidRDefault="00B95188" w:rsidP="00B95188">
      <w:pPr>
        <w:pStyle w:val="a0"/>
      </w:pPr>
      <w:r w:rsidRPr="00A428C3">
        <w:t>Keywords: Ion-Exchange Resin, Impregnated Resins, Levextrel Resins, Zn(II), Cu(II), Cadmium, Dependencies, Extraction, Adsorption, Media</w:t>
      </w:r>
    </w:p>
    <w:p w:rsidR="00B95188" w:rsidRPr="00A428C3" w:rsidRDefault="00B95188" w:rsidP="00B95188">
      <w:pPr>
        <w:pStyle w:val="a0"/>
      </w:pPr>
      <w:r w:rsidRPr="00A428C3">
        <w:t>Lee, J.S., Deorkar, N.V.</w:t>
      </w:r>
      <w:r w:rsidR="00F81221">
        <w:t xml:space="preserve"> and </w:t>
      </w:r>
      <w:r w:rsidRPr="00A428C3">
        <w:t xml:space="preserve">Tavlarides, L.L. (1998), Adsorption of copper cyanide on chemically active adsorbents. </w:t>
      </w:r>
      <w:r w:rsidRPr="00A428C3">
        <w:rPr>
          <w:i/>
        </w:rPr>
        <w:t>Industrial &amp; Engineering Chemistry Research</w:t>
      </w:r>
      <w:r w:rsidRPr="00A428C3">
        <w:t xml:space="preserve">, </w:t>
      </w:r>
      <w:r w:rsidRPr="00A428C3">
        <w:rPr>
          <w:b/>
        </w:rPr>
        <w:t>37</w:t>
      </w:r>
      <w:r w:rsidRPr="00A428C3">
        <w:t xml:space="preserve"> (7), 2812-2820.</w:t>
      </w:r>
    </w:p>
    <w:p w:rsidR="00B95188" w:rsidRPr="00A428C3" w:rsidRDefault="00B95188" w:rsidP="00B95188">
      <w:pPr>
        <w:pStyle w:val="a0"/>
      </w:pPr>
      <w:r w:rsidRPr="00A428C3">
        <w:t xml:space="preserve">Full Text: </w:t>
      </w:r>
      <w:hyperlink r:id="rId1111" w:history="1">
        <w:r w:rsidRPr="00A428C3">
          <w:rPr>
            <w:rStyle w:val="a5"/>
          </w:rPr>
          <w:t>I\Ind Eng Che Res37, 2812.pdf</w:t>
        </w:r>
      </w:hyperlink>
    </w:p>
    <w:p w:rsidR="00B95188" w:rsidRPr="00A428C3" w:rsidRDefault="00B95188" w:rsidP="00B95188">
      <w:pPr>
        <w:pStyle w:val="a0"/>
      </w:pPr>
      <w:r w:rsidRPr="00A428C3">
        <w:t>Abstract: An inorganic chemically active adsorbent (ICAA), SG (1)-TEPA (tetraethylenepentaamine)-propyl, is developed for removal, recovery,</w:t>
      </w:r>
      <w:r w:rsidR="00F81221">
        <w:t xml:space="preserve"> and </w:t>
      </w:r>
      <w:r w:rsidRPr="00A428C3">
        <w:t>recycling of copper cyanide from industrial waste streams. Equilibrium studies are executed to determine</w:t>
      </w:r>
      <w:r w:rsidR="00F81221">
        <w:t xml:space="preserve"> and </w:t>
      </w:r>
      <w:r w:rsidRPr="00A428C3">
        <w:t>model adsorption of the copper cyanide complex from aqueous solutions in a batch</w:t>
      </w:r>
      <w:r w:rsidR="00F81221">
        <w:t xml:space="preserve"> and </w:t>
      </w:r>
      <w:r w:rsidRPr="00A428C3">
        <w:t>packed column. It appears that adsorption is dependent on anionic copper cyanide species</w:t>
      </w:r>
      <w:r w:rsidR="00F81221">
        <w:t xml:space="preserve"> and </w:t>
      </w:r>
      <w:r w:rsidRPr="00A428C3">
        <w:t>the basicity of the ligand. Aqueous-phase equilibrium modeling shows that monovalent (Cu(CN)</w:t>
      </w:r>
      <w:r w:rsidRPr="00A428C3">
        <w:rPr>
          <w:vertAlign w:val="subscript"/>
        </w:rPr>
        <w:t>2</w:t>
      </w:r>
      <w:r w:rsidRPr="00A428C3">
        <w:rPr>
          <w:vertAlign w:val="superscript"/>
        </w:rPr>
        <w:t>-</w:t>
      </w:r>
      <w:r w:rsidRPr="00A428C3">
        <w:t>), divalent (Cu(CN)</w:t>
      </w:r>
      <w:r w:rsidRPr="00A428C3">
        <w:rPr>
          <w:vertAlign w:val="subscript"/>
        </w:rPr>
        <w:t>3</w:t>
      </w:r>
      <w:r w:rsidRPr="00A428C3">
        <w:rPr>
          <w:vertAlign w:val="superscript"/>
        </w:rPr>
        <w:t>2-</w:t>
      </w:r>
      <w:r w:rsidRPr="00A428C3">
        <w:t>),</w:t>
      </w:r>
      <w:r w:rsidR="00F81221">
        <w:t xml:space="preserve"> and </w:t>
      </w:r>
      <w:r w:rsidRPr="00A428C3">
        <w:t>trivalent (Cu(CN)</w:t>
      </w:r>
      <w:r w:rsidRPr="00A428C3">
        <w:rPr>
          <w:vertAlign w:val="subscript"/>
        </w:rPr>
        <w:t>4</w:t>
      </w:r>
      <w:r w:rsidRPr="00A428C3">
        <w:rPr>
          <w:vertAlign w:val="superscript"/>
        </w:rPr>
        <w:t>3-</w:t>
      </w:r>
      <w:r w:rsidRPr="00A428C3">
        <w:t xml:space="preserve">) species of copper cyanide exist in the solution, depending on </w:t>
      </w:r>
      <w:r w:rsidRPr="00A428C3">
        <w:lastRenderedPageBreak/>
        <w:t>the pH</w:t>
      </w:r>
      <w:r w:rsidR="00F81221">
        <w:t xml:space="preserve"> and </w:t>
      </w:r>
      <w:r w:rsidRPr="00A428C3">
        <w:t>the concentration of total cyanide ions. Batch adsorption data are modeled using a modified multicomponent Langmuir isotherm which includes aqueous-phase speciation</w:t>
      </w:r>
      <w:r w:rsidR="00F81221">
        <w:t xml:space="preserve"> and </w:t>
      </w:r>
      <w:r w:rsidRPr="00A428C3">
        <w:t>basicity of the SG (1)-TEPA-propyl. This developed model is applied with a mass balance equation to describe the adsorption of copper cyanide complexes in a packed column.</w:t>
      </w:r>
    </w:p>
    <w:p w:rsidR="00B95188" w:rsidRPr="00A428C3" w:rsidRDefault="00B95188" w:rsidP="00B95188">
      <w:pPr>
        <w:pStyle w:val="a0"/>
      </w:pPr>
      <w:r w:rsidRPr="00A428C3">
        <w:t>Keywords: Hazardous Wastes, Packed-Bed, Destruction, Recovery, Cathode, Metal, Anode</w:t>
      </w:r>
    </w:p>
    <w:p w:rsidR="00B95188" w:rsidRPr="00A428C3" w:rsidRDefault="00B95188" w:rsidP="00B95188">
      <w:pPr>
        <w:pStyle w:val="a0"/>
      </w:pPr>
      <w:r w:rsidRPr="00A428C3">
        <w:t>Malakul, P., Srinivasan, K.R.</w:t>
      </w:r>
      <w:r w:rsidR="00F81221">
        <w:t xml:space="preserve"> and </w:t>
      </w:r>
      <w:r w:rsidRPr="00A428C3">
        <w:t>Wang, H.Y. (1998), Metal adsorption</w:t>
      </w:r>
      <w:r w:rsidR="00F81221">
        <w:t xml:space="preserve"> and </w:t>
      </w:r>
      <w:r w:rsidRPr="00A428C3">
        <w:t xml:space="preserve">desorption characteristics of surfactant modified clay complexes. </w:t>
      </w:r>
      <w:r w:rsidRPr="00A428C3">
        <w:rPr>
          <w:i/>
        </w:rPr>
        <w:t>Industrial &amp; Engineering Chemistry Research</w:t>
      </w:r>
      <w:r w:rsidRPr="00A428C3">
        <w:t xml:space="preserve">, </w:t>
      </w:r>
      <w:r w:rsidRPr="00A428C3">
        <w:rPr>
          <w:b/>
        </w:rPr>
        <w:t>37</w:t>
      </w:r>
      <w:r w:rsidRPr="00A428C3">
        <w:t xml:space="preserve"> (11), 4296-4301.</w:t>
      </w:r>
    </w:p>
    <w:p w:rsidR="00B95188" w:rsidRPr="00A428C3" w:rsidRDefault="00B95188" w:rsidP="00B95188">
      <w:pPr>
        <w:pStyle w:val="a0"/>
      </w:pPr>
      <w:r w:rsidRPr="00A428C3">
        <w:t xml:space="preserve">Full Text: </w:t>
      </w:r>
      <w:hyperlink r:id="rId1112" w:history="1">
        <w:r w:rsidRPr="00A428C3">
          <w:rPr>
            <w:rStyle w:val="a5"/>
          </w:rPr>
          <w:t>I\Ind Eng Che Res37, 4296.pdf</w:t>
        </w:r>
      </w:hyperlink>
    </w:p>
    <w:p w:rsidR="00B95188" w:rsidRPr="00A428C3" w:rsidRDefault="00B95188" w:rsidP="00B95188">
      <w:pPr>
        <w:pStyle w:val="a0"/>
      </w:pPr>
      <w:r w:rsidRPr="00A428C3">
        <w:t>Abstract: Several modified clays have been designed</w:t>
      </w:r>
      <w:r w:rsidR="00F81221">
        <w:t xml:space="preserve"> and </w:t>
      </w:r>
      <w:r w:rsidRPr="00A428C3">
        <w:t>created for selective removal</w:t>
      </w:r>
      <w:r w:rsidR="00F81221">
        <w:t xml:space="preserve"> and </w:t>
      </w:r>
      <w:r w:rsidRPr="00A428C3">
        <w:t>recovery of heavy metals such as Cd, Cu, Cr, etc. These surfactant-clay complexes were prepared using hectorite or montmorillonite as the base clay. A simple two-step approach has been developed to synthesize these modified-clay complexes through ion exchange</w:t>
      </w:r>
      <w:r w:rsidR="00F81221">
        <w:t xml:space="preserve"> and </w:t>
      </w:r>
      <w:r w:rsidRPr="00A428C3">
        <w:t>hydrophobic anchoring of several surfactants such as long-chain alkyldiamines, long-chain dialkylamines,</w:t>
      </w:r>
      <w:r w:rsidR="00F81221">
        <w:t xml:space="preserve"> and </w:t>
      </w:r>
      <w:r w:rsidRPr="00A428C3">
        <w:t>long-chain carboxylic adds onto the clay matrices. The adsorption capacities</w:t>
      </w:r>
      <w:r w:rsidR="00F81221">
        <w:t xml:space="preserve"> and </w:t>
      </w:r>
      <w:r w:rsidRPr="00A428C3">
        <w:t>affinity constants of the modified clays can be found to approach those of commercial chelating resin (Chelex 100, Bio-Rad). Using cadmium as a model metal</w:t>
      </w:r>
      <w:r w:rsidR="00F81221">
        <w:t xml:space="preserve"> and </w:t>
      </w:r>
      <w:r w:rsidRPr="00A428C3">
        <w:t>montmorillonite-cetylbenzyldimethylammonium-palmitic acid (M-CBDA-PA) as a model modified-clay complex, the maximum adsorption capacity of the modified clay is found to be 42±0.8 mg/g of clay</w:t>
      </w:r>
      <w:r w:rsidR="00F81221">
        <w:t xml:space="preserve"> and </w:t>
      </w:r>
      <w:r w:rsidRPr="00A428C3">
        <w:t>the affinity constant is 3.0±0.1 mg/L. The metal adsorption has been shown to be mainly through chemical complexation rather than ion exchange. The immobilization of the metal ions is pH dependent,</w:t>
      </w:r>
      <w:r w:rsidR="00F81221">
        <w:t xml:space="preserve"> and </w:t>
      </w:r>
      <w:r w:rsidRPr="00A428C3">
        <w:t>thus, pH can act as a molecular switch to regenerate the modified-clay complexes.</w:t>
      </w:r>
    </w:p>
    <w:p w:rsidR="00B95188" w:rsidRPr="00A428C3" w:rsidRDefault="00B95188" w:rsidP="00B95188">
      <w:pPr>
        <w:pStyle w:val="a0"/>
      </w:pPr>
      <w:r w:rsidRPr="00A428C3">
        <w:t>Keywords: Adsorption, Cadmium, Capacity, Chemical, Clay, Complex, Complexation, Complexes, Desorption, Heavy Metals, Immobilization, Ion, Ion Exchange, Metal Adsorption, Metal Ions, Metals, Model, Modified, Modified Clay, Montmorillonite, Organo-Clays, pH, Priority Pollutants, Recovery, Removal, Selective, Sorption, Surfactant, Surfactants</w:t>
      </w:r>
    </w:p>
    <w:p w:rsidR="00B95188" w:rsidRPr="00A428C3" w:rsidRDefault="00B95188" w:rsidP="00B95188">
      <w:pPr>
        <w:pStyle w:val="a0"/>
      </w:pPr>
      <w:r w:rsidRPr="00A428C3">
        <w:t>Yang, H.M.</w:t>
      </w:r>
      <w:r w:rsidR="00F81221">
        <w:t xml:space="preserve"> and </w:t>
      </w:r>
      <w:r w:rsidRPr="00A428C3">
        <w:t xml:space="preserve">Wu, H.E. (1998), Kinetic study for synthesizing dibenzyl phthalate via solid-liquid phase-transfer catalysis. </w:t>
      </w:r>
      <w:r w:rsidRPr="00A428C3">
        <w:rPr>
          <w:i/>
        </w:rPr>
        <w:t>Industrial &amp; Engineering Chemistry Research</w:t>
      </w:r>
      <w:r w:rsidRPr="00A428C3">
        <w:t xml:space="preserve">, </w:t>
      </w:r>
      <w:r w:rsidRPr="00A428C3">
        <w:rPr>
          <w:b/>
        </w:rPr>
        <w:t>37</w:t>
      </w:r>
      <w:r w:rsidRPr="00A428C3">
        <w:t xml:space="preserve"> (12), 4536-4541.</w:t>
      </w:r>
    </w:p>
    <w:p w:rsidR="00B95188" w:rsidRPr="00A428C3" w:rsidRDefault="00B95188" w:rsidP="00B95188">
      <w:pPr>
        <w:pStyle w:val="a0"/>
      </w:pPr>
      <w:r w:rsidRPr="00A428C3">
        <w:t xml:space="preserve">Full Text: </w:t>
      </w:r>
      <w:hyperlink r:id="rId1113" w:history="1">
        <w:r w:rsidRPr="00A428C3">
          <w:rPr>
            <w:rStyle w:val="a5"/>
          </w:rPr>
          <w:t>I\Ind Eng Che Res37, 4536.pdf</w:t>
        </w:r>
      </w:hyperlink>
    </w:p>
    <w:p w:rsidR="00B95188" w:rsidRPr="00A428C3" w:rsidRDefault="00B95188" w:rsidP="00B95188">
      <w:pPr>
        <w:pStyle w:val="a0"/>
      </w:pPr>
      <w:r w:rsidRPr="00A428C3">
        <w:t>Abstract: In the present study, the kinetics for synthesizing dibenzyl phthalate via solid-liquid phase-transfer catalysis under anhydrous conditions was investigated. The esterification of benzyl bromide</w:t>
      </w:r>
      <w:r w:rsidR="00F81221">
        <w:t xml:space="preserve"> and </w:t>
      </w:r>
      <w:r w:rsidRPr="00A428C3">
        <w:t xml:space="preserve">solid reactant dipotassium phthalate was carried out in a stirred batch reactor. The behavior of the active intermediate in </w:t>
      </w:r>
      <w:r w:rsidRPr="00A428C3">
        <w:lastRenderedPageBreak/>
        <w:t>solid-liquid phases was explored to understand its catalytic characteristics. The effects of agitation speeds, concentration of reactants, phase-transfer catalysts, organic solvents, amounts of catalysts used,</w:t>
      </w:r>
      <w:r w:rsidR="00F81221">
        <w:t xml:space="preserve"> and </w:t>
      </w:r>
      <w:r w:rsidRPr="00A428C3">
        <w:t>reaction temperatures were all investigated. A kinetic model describing the reactions in a solid-liquid system was also proposed. From the experimental results, the reaction rate increases with increasing agitation speed, polarity of organic solvent,</w:t>
      </w:r>
      <w:r w:rsidR="00F81221">
        <w:t xml:space="preserve"> and </w:t>
      </w:r>
      <w:r w:rsidRPr="00A428C3">
        <w:t>temperature even without adding water</w:t>
      </w:r>
      <w:r w:rsidR="00F81221">
        <w:t xml:space="preserve"> and </w:t>
      </w:r>
      <w:r w:rsidRPr="00A428C3">
        <w:t>can be described by the pseudo-second-order kinetics. The reaction rate was extremely slow without using catalysts even at a higher temperature. The apparent rate constants as well as the activation energies for various phase-transfer catalysts were obtained. The present study provides an insight on the catalytic behaviors of solid-liquid phase-transfer catalysis.</w:t>
      </w:r>
    </w:p>
    <w:p w:rsidR="00B95188" w:rsidRPr="00A428C3" w:rsidRDefault="00B95188" w:rsidP="00B95188">
      <w:pPr>
        <w:pStyle w:val="a0"/>
      </w:pPr>
      <w:r w:rsidRPr="00A428C3">
        <w:t>Namasivayam, C.</w:t>
      </w:r>
      <w:r w:rsidR="00F81221">
        <w:t xml:space="preserve"> and </w:t>
      </w:r>
      <w:r w:rsidRPr="00A428C3">
        <w:t>Senthilkumar, S. (1998), Removal of arsenic(V) from aqueous solution using industrial solid waste: Adsorption rates</w:t>
      </w:r>
      <w:r w:rsidR="00F81221">
        <w:t xml:space="preserve"> and </w:t>
      </w:r>
      <w:r w:rsidRPr="00A428C3">
        <w:t xml:space="preserve">equilibrium studies. </w:t>
      </w:r>
      <w:r w:rsidRPr="00A428C3">
        <w:rPr>
          <w:i/>
        </w:rPr>
        <w:t>Industrial &amp; Engineering Chemistry Research</w:t>
      </w:r>
      <w:r w:rsidRPr="00A428C3">
        <w:t xml:space="preserve">, </w:t>
      </w:r>
      <w:r w:rsidRPr="00A428C3">
        <w:rPr>
          <w:b/>
        </w:rPr>
        <w:t>37</w:t>
      </w:r>
      <w:r w:rsidRPr="00A428C3">
        <w:t xml:space="preserve"> (12), 4816-4822.</w:t>
      </w:r>
    </w:p>
    <w:p w:rsidR="00B95188" w:rsidRPr="00A428C3" w:rsidRDefault="00B95188" w:rsidP="00B95188">
      <w:pPr>
        <w:pStyle w:val="a0"/>
      </w:pPr>
      <w:r w:rsidRPr="00A428C3">
        <w:t xml:space="preserve">Full Text: </w:t>
      </w:r>
      <w:hyperlink r:id="rId1114" w:history="1">
        <w:r w:rsidRPr="00A428C3">
          <w:rPr>
            <w:rStyle w:val="a5"/>
          </w:rPr>
          <w:t>I\Ind Eng Che Res37, 4816.pdf</w:t>
        </w:r>
      </w:hyperlink>
    </w:p>
    <w:p w:rsidR="00B95188" w:rsidRPr="00A428C3" w:rsidRDefault="00B95188" w:rsidP="00B95188">
      <w:pPr>
        <w:pStyle w:val="a0"/>
      </w:pPr>
      <w:r w:rsidRPr="00A428C3">
        <w:t xml:space="preserve">Abstract: Industrial solid wastes can be recycled as nonconventional adsorbents, if they are nontoxic, to reduce the cost of wastewater treatments. </w:t>
      </w:r>
      <w:r w:rsidR="000352E7">
        <w:t>“</w:t>
      </w:r>
      <w:r w:rsidRPr="00A428C3">
        <w:t>Waste</w:t>
      </w:r>
      <w:r w:rsidR="000352E7">
        <w:t>”</w:t>
      </w:r>
      <w:r w:rsidRPr="00A428C3">
        <w:t xml:space="preserve"> Fe(III)/Cr(III) hydroxide, generated electrolytically in the treatment of Cr(VI) containing wastewaters in a fertilizer industry was used for the adsorption of arsenic(V) from aqueous solution. Parameters studied include arsenic(V) concentration, agitation time, adsorbent dosage, adsorbent particle size, temperature,</w:t>
      </w:r>
      <w:r w:rsidR="00F81221">
        <w:t xml:space="preserve"> and </w:t>
      </w:r>
      <w:r w:rsidRPr="00A428C3">
        <w:t>pH. The adsorption capacity was evaluated by using both Langmuir</w:t>
      </w:r>
      <w:r w:rsidR="00F81221">
        <w:t xml:space="preserve"> and </w:t>
      </w:r>
      <w:r w:rsidRPr="00A428C3">
        <w:t>Freundlich isotherm models. The adsorption followed a first-order rate expression. Adsorption of As(V) was independent of the initial pH (3-10) of the aqueous solution. Temperature studies showed that the adsorption process was endothermic in nature. Desorption of As(V) from spent adsorbent was also investigated using NaOH solutions.</w:t>
      </w:r>
    </w:p>
    <w:p w:rsidR="00B95188" w:rsidRPr="00A428C3" w:rsidRDefault="00B95188" w:rsidP="00B95188">
      <w:pPr>
        <w:pStyle w:val="a0"/>
      </w:pPr>
      <w:r w:rsidRPr="00A428C3">
        <w:t>Keywords: Fe(III)/Cr(III) Hydroxide, Arsenate Ions, Metal-Ions, Water, Adsorbent, Cd(II), Soils</w:t>
      </w:r>
    </w:p>
    <w:p w:rsidR="00B95188" w:rsidRPr="00A428C3" w:rsidRDefault="00B95188" w:rsidP="00B95188">
      <w:pPr>
        <w:pStyle w:val="a0"/>
      </w:pPr>
      <w:r w:rsidRPr="00A428C3">
        <w:t>Wu, F.C., Tseng, R.L.</w:t>
      </w:r>
      <w:r w:rsidR="00F81221">
        <w:t xml:space="preserve"> and </w:t>
      </w:r>
      <w:r w:rsidRPr="00A428C3">
        <w:t xml:space="preserve">Juang, R.S. (1999), Role of pH in metal adsorption from aqueous solutions containing chelating agents on chitosan. </w:t>
      </w:r>
      <w:r w:rsidRPr="00A428C3">
        <w:rPr>
          <w:i/>
        </w:rPr>
        <w:t>Industrial &amp; Engineering Chemistry Research</w:t>
      </w:r>
      <w:r w:rsidRPr="00A428C3">
        <w:t xml:space="preserve">, </w:t>
      </w:r>
      <w:r w:rsidRPr="00A428C3">
        <w:rPr>
          <w:b/>
        </w:rPr>
        <w:t>38</w:t>
      </w:r>
      <w:r w:rsidRPr="00A428C3">
        <w:t xml:space="preserve"> (1), 270-275.</w:t>
      </w:r>
    </w:p>
    <w:p w:rsidR="00B95188" w:rsidRPr="00A428C3" w:rsidRDefault="00B95188" w:rsidP="00B95188">
      <w:pPr>
        <w:pStyle w:val="a0"/>
      </w:pPr>
      <w:r w:rsidRPr="00A428C3">
        <w:t xml:space="preserve">Full Text: </w:t>
      </w:r>
      <w:hyperlink r:id="rId1115" w:history="1">
        <w:r w:rsidRPr="00A428C3">
          <w:rPr>
            <w:rStyle w:val="a5"/>
          </w:rPr>
          <w:t>I\Ind Eng Che Res38, 270.pdf</w:t>
        </w:r>
      </w:hyperlink>
    </w:p>
    <w:p w:rsidR="00B95188" w:rsidRPr="00A428C3" w:rsidRDefault="00B95188" w:rsidP="00B95188">
      <w:pPr>
        <w:pStyle w:val="a0"/>
      </w:pPr>
      <w:r w:rsidRPr="00A428C3">
        <w:t>Abstract: The role of pH in adsorption of Cu(II) from aqueous solutions containing chelating agents on chitosan was emphasized. Four chelating agents including ethylenediaminetetraacetic acid (EDTA), citric acid, tartaric acid,</w:t>
      </w:r>
      <w:r w:rsidR="00F81221">
        <w:t xml:space="preserve"> and </w:t>
      </w:r>
      <w:r w:rsidRPr="00A428C3">
        <w:t>sodium gluconate were used. It was shown that the adsorption ability of Cu(II) on chitosan from its chelated solutions varied significantly with pH variations. The competition between coordination of Cu(II) with unprotonated chitosan</w:t>
      </w:r>
      <w:r w:rsidR="00F81221">
        <w:t xml:space="preserve"> and </w:t>
      </w:r>
      <w:r w:rsidRPr="00A428C3">
        <w:t xml:space="preserve">electrostatic interaction of the Cu(II) chelates with protonated chitosan took place because of the </w:t>
      </w:r>
      <w:r w:rsidRPr="00A428C3">
        <w:lastRenderedPageBreak/>
        <w:t>change in solution pH during adsorption. The maximum adsorption capacity was obtained within each optimal pH range determined from titration curves of the chelated solutions. Coordination of Cu(II) with the unprotonated chitosan was found to dominate at pH below such an optimal pH value.</w:t>
      </w:r>
    </w:p>
    <w:p w:rsidR="00B95188" w:rsidRPr="00A428C3" w:rsidRDefault="00B95188" w:rsidP="00B95188">
      <w:pPr>
        <w:pStyle w:val="a0"/>
      </w:pPr>
      <w:r w:rsidRPr="00A428C3">
        <w:t>Keywords: Activated Carbon, Uranyl Ions, Sorption, Removal, Equilibrium, Copper, Crosslinking, Adsorbents, Uranium, Binding</w:t>
      </w:r>
    </w:p>
    <w:p w:rsidR="00B95188" w:rsidRPr="00A428C3" w:rsidRDefault="00B95188" w:rsidP="00B95188">
      <w:pPr>
        <w:pStyle w:val="a0"/>
      </w:pPr>
      <w:r w:rsidRPr="00A428C3">
        <w:t>Ngah, W.S.W.</w:t>
      </w:r>
      <w:r w:rsidR="00F81221">
        <w:t xml:space="preserve"> and </w:t>
      </w:r>
      <w:r w:rsidRPr="00A428C3">
        <w:t>Liang, K.H. (1999), Adsorption of gold(III) ions onto chitosan</w:t>
      </w:r>
      <w:r w:rsidR="00F81221">
        <w:t xml:space="preserve"> and </w:t>
      </w:r>
      <w:r w:rsidRPr="00A428C3">
        <w:t xml:space="preserve">N-carboxymethyl chitosan: Equilibrium studies. </w:t>
      </w:r>
      <w:r w:rsidRPr="00A428C3">
        <w:rPr>
          <w:i/>
          <w:iCs/>
        </w:rPr>
        <w:t>Industrial &amp; Engineering Chemistry Research</w:t>
      </w:r>
      <w:r w:rsidRPr="00A428C3">
        <w:t xml:space="preserve">, </w:t>
      </w:r>
      <w:r w:rsidRPr="00A428C3">
        <w:rPr>
          <w:b/>
        </w:rPr>
        <w:t>38</w:t>
      </w:r>
      <w:r w:rsidRPr="00A428C3">
        <w:t xml:space="preserve"> (4), 1411-1414.</w:t>
      </w:r>
    </w:p>
    <w:p w:rsidR="00B95188" w:rsidRPr="00A428C3" w:rsidRDefault="00B95188" w:rsidP="00B95188">
      <w:pPr>
        <w:pStyle w:val="a0"/>
      </w:pPr>
      <w:r w:rsidRPr="00A428C3">
        <w:t xml:space="preserve">Full Text: </w:t>
      </w:r>
      <w:hyperlink r:id="rId1116" w:history="1">
        <w:r w:rsidRPr="00A428C3">
          <w:rPr>
            <w:rStyle w:val="a5"/>
          </w:rPr>
          <w:t>I\Ind Eng Che Res38, 1411.pdf</w:t>
        </w:r>
      </w:hyperlink>
    </w:p>
    <w:p w:rsidR="00B95188" w:rsidRPr="00A428C3" w:rsidRDefault="00B95188" w:rsidP="00B95188">
      <w:pPr>
        <w:pStyle w:val="a0"/>
      </w:pPr>
      <w:r w:rsidRPr="00A428C3">
        <w:t>Abstract: The adsorption of gold(III) ions onto chitosan</w:t>
      </w:r>
      <w:r w:rsidR="00F81221">
        <w:t xml:space="preserve"> and </w:t>
      </w:r>
      <w:r w:rsidRPr="00A428C3">
        <w:t>N-carboxymethyl chitosan (NCMC) has been investigated. Experiments were carried out as a function of pH, agitation period,</w:t>
      </w:r>
      <w:r w:rsidR="00F81221">
        <w:t xml:space="preserve"> and </w:t>
      </w:r>
      <w:r w:rsidRPr="00A428C3">
        <w:t>concentration of Au</w:t>
      </w:r>
      <w:r w:rsidRPr="00A428C3">
        <w:rPr>
          <w:vertAlign w:val="superscript"/>
        </w:rPr>
        <w:t>3+</w:t>
      </w:r>
      <w:r w:rsidRPr="00A428C3">
        <w:t xml:space="preserve"> ions. It was shown that the adsorption of Au</w:t>
      </w:r>
      <w:r w:rsidRPr="00A428C3">
        <w:rPr>
          <w:vertAlign w:val="superscript"/>
        </w:rPr>
        <w:t>3+</w:t>
      </w:r>
      <w:r w:rsidRPr="00A428C3">
        <w:t xml:space="preserve"> ions occurred only at the optimum pH. Kinetic studies showed a rapid adsorption of Au</w:t>
      </w:r>
      <w:r w:rsidRPr="00A428C3">
        <w:rPr>
          <w:vertAlign w:val="superscript"/>
        </w:rPr>
        <w:t>3+</w:t>
      </w:r>
      <w:r w:rsidRPr="00A428C3">
        <w:t xml:space="preserve"> from aqueous solution. Adsorption isothermal data could be interpreted by the Langmuir equation. Langmuir constants have been determined. The experimental data of the adsorption equilibrium from Au</w:t>
      </w:r>
      <w:r w:rsidRPr="00A428C3">
        <w:rPr>
          <w:vertAlign w:val="superscript"/>
        </w:rPr>
        <w:t>3+</w:t>
      </w:r>
      <w:r w:rsidRPr="00A428C3">
        <w:t xml:space="preserve"> solutions correlated well with the Langmuir isotherm equation. The uptake of Au</w:t>
      </w:r>
      <w:r w:rsidRPr="00A428C3">
        <w:rPr>
          <w:vertAlign w:val="superscript"/>
        </w:rPr>
        <w:t>3+</w:t>
      </w:r>
      <w:r w:rsidRPr="00A428C3">
        <w:t xml:space="preserve"> On chitosan</w:t>
      </w:r>
      <w:r w:rsidR="00F81221">
        <w:t xml:space="preserve"> and </w:t>
      </w:r>
      <w:r w:rsidRPr="00A428C3">
        <w:t>NCMC were 30.95 mg/g of chitosan</w:t>
      </w:r>
      <w:r w:rsidR="00F81221">
        <w:t xml:space="preserve"> and </w:t>
      </w:r>
      <w:r w:rsidRPr="00A428C3">
        <w:t>33.90 mg/g of NCMC. The Au</w:t>
      </w:r>
      <w:r w:rsidRPr="00A428C3">
        <w:rPr>
          <w:vertAlign w:val="superscript"/>
        </w:rPr>
        <w:t>3+</w:t>
      </w:r>
      <w:r w:rsidRPr="00A428C3">
        <w:t xml:space="preserve"> ions were readily removed from chitosan</w:t>
      </w:r>
      <w:r w:rsidR="00F81221">
        <w:t xml:space="preserve"> and </w:t>
      </w:r>
      <w:r w:rsidRPr="00A428C3">
        <w:t>NCMC by treatment with an aqueous EDTA solution.</w:t>
      </w:r>
    </w:p>
    <w:p w:rsidR="00B95188" w:rsidRPr="00A428C3" w:rsidRDefault="00B95188" w:rsidP="00B95188">
      <w:pPr>
        <w:pStyle w:val="a0"/>
      </w:pPr>
      <w:r w:rsidRPr="00A428C3">
        <w:t>Keywords: Derivatives, Sorption, Kinetics, Cadmium, Removal, Chitin, Copper</w:t>
      </w:r>
    </w:p>
    <w:p w:rsidR="00B95188" w:rsidRPr="00A428C3" w:rsidRDefault="00B95188" w:rsidP="00B95188">
      <w:pPr>
        <w:pStyle w:val="a0"/>
      </w:pPr>
      <w:r w:rsidRPr="00A428C3">
        <w:t>Guibal, E., Larkin, A., Vincent, T.</w:t>
      </w:r>
      <w:r w:rsidR="00F81221">
        <w:t xml:space="preserve"> and </w:t>
      </w:r>
      <w:r w:rsidRPr="00A428C3">
        <w:t xml:space="preserve">Tobin, J.M. (1999), Chitosan sorbents for platinum sorption from dilute solutions. </w:t>
      </w:r>
      <w:r w:rsidRPr="00A428C3">
        <w:rPr>
          <w:i/>
          <w:iCs/>
        </w:rPr>
        <w:t>Industrial &amp; Engineering Chemistry Research</w:t>
      </w:r>
      <w:r w:rsidRPr="00A428C3">
        <w:t xml:space="preserve">, </w:t>
      </w:r>
      <w:r w:rsidRPr="00A428C3">
        <w:rPr>
          <w:b/>
        </w:rPr>
        <w:t>38</w:t>
      </w:r>
      <w:r w:rsidRPr="00A428C3">
        <w:t xml:space="preserve"> (10), 4011-4022.</w:t>
      </w:r>
    </w:p>
    <w:p w:rsidR="00B95188" w:rsidRPr="00A428C3" w:rsidRDefault="00B95188" w:rsidP="00B95188">
      <w:pPr>
        <w:pStyle w:val="a0"/>
      </w:pPr>
      <w:r w:rsidRPr="00A428C3">
        <w:t xml:space="preserve">Full Text: </w:t>
      </w:r>
      <w:hyperlink r:id="rId1117" w:history="1">
        <w:r w:rsidRPr="00A428C3">
          <w:rPr>
            <w:rStyle w:val="a5"/>
          </w:rPr>
          <w:t>I\Ind Eng Che Res38, 4011.pdf</w:t>
        </w:r>
      </w:hyperlink>
    </w:p>
    <w:p w:rsidR="00B95188" w:rsidRPr="00A428C3" w:rsidRDefault="00B95188" w:rsidP="00B95188">
      <w:pPr>
        <w:pStyle w:val="a0"/>
      </w:pPr>
      <w:r w:rsidRPr="00A428C3">
        <w:t>Abstract: Chitosan has proved efficient at removing platinum in dilute effluents. The maximum uptake capacity reaches 300 mg g</w:t>
      </w:r>
      <w:r w:rsidRPr="00A428C3">
        <w:rPr>
          <w:vertAlign w:val="superscript"/>
        </w:rPr>
        <w:t>-1</w:t>
      </w:r>
      <w:r w:rsidRPr="00A428C3">
        <w:t xml:space="preserve"> (almost 1.5 mmol g</w:t>
      </w:r>
      <w:r w:rsidRPr="00A428C3">
        <w:rPr>
          <w:vertAlign w:val="superscript"/>
        </w:rPr>
        <w:t>-1</w:t>
      </w:r>
      <w:r w:rsidRPr="00A428C3">
        <w:t>). The optimum pH for sorption is pH 2. A glutaraldehyde cross-linking pretreatment is necessary to stabilize the biopolymer in acidic solutions. Sorption isotherms have been studied as a function of pH, sorbent particle size,</w:t>
      </w:r>
      <w:r w:rsidR="00F81221">
        <w:t xml:space="preserve"> and </w:t>
      </w:r>
      <w:r w:rsidRPr="00A428C3">
        <w:t>the cross-linking ratio. Surprisingly, the extent of the cross-linking (determined by the concentration of the cross-linking agent in the treatment bath) has no significant influence on uptake capacity. Competitor anions such as chloride or nitrate induce a large decrease in the sorption efficiency. Sorption kinetics show also that uptake rate is not significantly changed by increasing either the cross-linking ratio or the particle size of the sorbent. Mass transfer rates are significantly affected by the initial platinum concentration</w:t>
      </w:r>
      <w:r w:rsidR="00F81221">
        <w:t xml:space="preserve"> and </w:t>
      </w:r>
      <w:r w:rsidRPr="00A428C3">
        <w:t>by the conditioning of the biopolymer. Gel-bead conditioning appears to reduce the sorption rate. While for molybdate</w:t>
      </w:r>
      <w:r w:rsidR="00F81221">
        <w:t xml:space="preserve"> and </w:t>
      </w:r>
      <w:r w:rsidRPr="00A428C3">
        <w:t xml:space="preserve">vanadate ions, mass transfer was governed by </w:t>
      </w:r>
      <w:r w:rsidRPr="00A428C3">
        <w:lastRenderedPageBreak/>
        <w:t>intraparticle mass transfer, for platinum, both external</w:t>
      </w:r>
      <w:r w:rsidR="00F81221">
        <w:t xml:space="preserve"> and </w:t>
      </w:r>
      <w:r w:rsidRPr="00A428C3">
        <w:t>intraparticle diffusion control the uptake rate. In contrast with the former ions, platinum does not form polynuclear hydrolyzed species, which are responsible for steric hindrance of diffusion into the polymer network.</w:t>
      </w:r>
    </w:p>
    <w:p w:rsidR="00B95188" w:rsidRPr="00A428C3" w:rsidRDefault="00B95188" w:rsidP="00B95188">
      <w:pPr>
        <w:pStyle w:val="a0"/>
      </w:pPr>
      <w:r w:rsidRPr="00A428C3">
        <w:t>Keywords: Acid, Adsorption, Aqueous-Solutions, Diffusion, Gel Beads, Glutaraldehyde Cross-Linking, Glutaraldehyde Crosslinking, Highly Porous Chitosan, Isotherms, Kinetics, Mercury(II), Metal-Ions, Molybdate, Particle Size, Platinum, Sorption, Uranyl Ions</w:t>
      </w:r>
    </w:p>
    <w:p w:rsidR="00B95188" w:rsidRPr="00A428C3" w:rsidRDefault="00B95188" w:rsidP="00B95188">
      <w:pPr>
        <w:pStyle w:val="a0"/>
      </w:pPr>
      <w:r w:rsidRPr="00A428C3">
        <w:t>Chisholm, P.N.</w:t>
      </w:r>
      <w:r w:rsidR="00F81221">
        <w:t xml:space="preserve"> and </w:t>
      </w:r>
      <w:r w:rsidRPr="00A428C3">
        <w:t>Rochelle, G.T. (1999), Dry absorption of HCL</w:t>
      </w:r>
      <w:r w:rsidR="00F81221">
        <w:t xml:space="preserve"> and </w:t>
      </w:r>
      <w:r w:rsidRPr="00A428C3">
        <w:t>SO</w:t>
      </w:r>
      <w:r w:rsidRPr="00A428C3">
        <w:rPr>
          <w:vertAlign w:val="subscript"/>
        </w:rPr>
        <w:t>2</w:t>
      </w:r>
      <w:r w:rsidRPr="00A428C3">
        <w:t xml:space="preserve"> with hydrated lime from humidified flue gas. </w:t>
      </w:r>
      <w:r w:rsidRPr="00A428C3">
        <w:rPr>
          <w:i/>
          <w:iCs/>
        </w:rPr>
        <w:t>Industrial &amp; Engineering Chemistry Research</w:t>
      </w:r>
      <w:r w:rsidRPr="00A428C3">
        <w:t xml:space="preserve">, </w:t>
      </w:r>
      <w:r w:rsidRPr="00A428C3">
        <w:rPr>
          <w:b/>
        </w:rPr>
        <w:t>38</w:t>
      </w:r>
      <w:r w:rsidRPr="00A428C3">
        <w:t xml:space="preserve"> (10), 4068-4080.</w:t>
      </w:r>
    </w:p>
    <w:p w:rsidR="00B95188" w:rsidRPr="00A428C3" w:rsidRDefault="00B95188" w:rsidP="00B95188">
      <w:pPr>
        <w:pStyle w:val="a0"/>
      </w:pPr>
      <w:r w:rsidRPr="00A428C3">
        <w:t xml:space="preserve">Full Text: </w:t>
      </w:r>
      <w:hyperlink r:id="rId1118" w:history="1">
        <w:r w:rsidRPr="00A428C3">
          <w:rPr>
            <w:rStyle w:val="a5"/>
          </w:rPr>
          <w:t>I\Ind Eng Che Res38, 4086.pdf</w:t>
        </w:r>
      </w:hyperlink>
    </w:p>
    <w:p w:rsidR="00B95188" w:rsidRPr="00A428C3" w:rsidRDefault="00B95188" w:rsidP="00B95188">
      <w:pPr>
        <w:pStyle w:val="a0"/>
      </w:pPr>
      <w:r w:rsidRPr="00A428C3">
        <w:t>Abstract: The simultaneous absorption of HCl</w:t>
      </w:r>
      <w:r w:rsidR="00F81221">
        <w:t xml:space="preserve"> and </w:t>
      </w:r>
      <w:r w:rsidRPr="00A428C3">
        <w:t>SO</w:t>
      </w:r>
      <w:r w:rsidRPr="00A428C3">
        <w:rPr>
          <w:vertAlign w:val="subscript"/>
        </w:rPr>
        <w:t>2</w:t>
      </w:r>
      <w:r w:rsidRPr="00A428C3">
        <w:t xml:space="preserve"> by hydrated lime in a fixed-bed reactor has been studied at conditions simulating humidified flue gas dry scrubbing. At 120 degrees C, an increase in relative humidity from 0% to 19% increased HCl removal</w:t>
      </w:r>
      <w:r w:rsidR="00F81221">
        <w:t xml:space="preserve"> and </w:t>
      </w:r>
      <w:r w:rsidRPr="00A428C3">
        <w:t>sorbent utilization. At 19% relative humidity (RH), the final loading of hydrated lime was 1.64 mol of HCl/mol of Ca</w:t>
      </w:r>
      <w:r w:rsidRPr="00A428C3">
        <w:rPr>
          <w:vertAlign w:val="superscript"/>
        </w:rPr>
        <w:t>2+</w:t>
      </w:r>
      <w:r w:rsidRPr="00A428C3">
        <w:t>. From 250 to 1000 ppm HCl, HCl removal was first order in HCl concentration. When SO</w:t>
      </w:r>
      <w:r w:rsidRPr="00A428C3">
        <w:rPr>
          <w:vertAlign w:val="subscript"/>
        </w:rPr>
        <w:t>2</w:t>
      </w:r>
      <w:r w:rsidRPr="00A428C3">
        <w:t xml:space="preserve"> was added to the feed gas, the total utilization of the sorbent by HCl</w:t>
      </w:r>
      <w:r w:rsidR="00F81221">
        <w:t xml:space="preserve"> and </w:t>
      </w:r>
      <w:r w:rsidRPr="00A428C3">
        <w:t>SO</w:t>
      </w:r>
      <w:r w:rsidRPr="00A428C3">
        <w:rPr>
          <w:vertAlign w:val="subscript"/>
        </w:rPr>
        <w:t>2</w:t>
      </w:r>
      <w:r w:rsidRPr="00A428C3">
        <w:t xml:space="preserve"> was not a function of gas concentration with 250-1000 ppm HCl</w:t>
      </w:r>
      <w:r w:rsidR="00F81221">
        <w:t xml:space="preserve"> and </w:t>
      </w:r>
      <w:r w:rsidRPr="00A428C3">
        <w:t>0-2000 ppm SO</w:t>
      </w:r>
      <w:r w:rsidRPr="00A428C3">
        <w:rPr>
          <w:vertAlign w:val="subscript"/>
        </w:rPr>
        <w:t>2</w:t>
      </w:r>
      <w:r w:rsidRPr="00A428C3">
        <w:t>. However, the fraction of the hydrated lime converted by SOB increased as the SO</w:t>
      </w:r>
      <w:r w:rsidRPr="00A428C3">
        <w:rPr>
          <w:vertAlign w:val="subscript"/>
        </w:rPr>
        <w:t>2</w:t>
      </w:r>
      <w:r w:rsidRPr="00A428C3">
        <w:t>/HCl feed ratio increased. With oxygen present in the feed, more SO</w:t>
      </w:r>
      <w:r w:rsidRPr="00A428C3">
        <w:rPr>
          <w:vertAlign w:val="subscript"/>
        </w:rPr>
        <w:t>2</w:t>
      </w:r>
      <w:r w:rsidRPr="00A428C3">
        <w:t xml:space="preserve"> was absorbed. Adding 150 ppm NO</w:t>
      </w:r>
      <w:r w:rsidRPr="00A428C3">
        <w:rPr>
          <w:vertAlign w:val="subscript"/>
        </w:rPr>
        <w:t>2</w:t>
      </w:r>
      <w:r w:rsidRPr="00A428C3">
        <w:t xml:space="preserve"> to the gas stream increased the final SO</w:t>
      </w:r>
      <w:r w:rsidRPr="00A428C3">
        <w:rPr>
          <w:vertAlign w:val="subscript"/>
        </w:rPr>
        <w:t>2</w:t>
      </w:r>
      <w:r w:rsidRPr="00A428C3">
        <w:t xml:space="preserve"> loading from 0.06 to 0.17 mol of SO</w:t>
      </w:r>
      <w:r w:rsidRPr="00A428C3">
        <w:rPr>
          <w:vertAlign w:val="subscript"/>
        </w:rPr>
        <w:t>2</w:t>
      </w:r>
      <w:r w:rsidRPr="00A428C3">
        <w:t>/mol of Ca</w:t>
      </w:r>
      <w:r w:rsidRPr="00A428C3">
        <w:rPr>
          <w:vertAlign w:val="superscript"/>
        </w:rPr>
        <w:t>2+</w:t>
      </w:r>
      <w:r w:rsidRPr="00A428C3">
        <w:t>. As the reactivity of SO</w:t>
      </w:r>
      <w:r w:rsidRPr="00A428C3">
        <w:rPr>
          <w:vertAlign w:val="subscript"/>
        </w:rPr>
        <w:t>2</w:t>
      </w:r>
      <w:r w:rsidR="00F81221">
        <w:t xml:space="preserve"> and </w:t>
      </w:r>
      <w:r w:rsidRPr="00A428C3">
        <w:t>NO</w:t>
      </w:r>
      <w:r w:rsidRPr="00A428C3">
        <w:rPr>
          <w:vertAlign w:val="subscript"/>
        </w:rPr>
        <w:t>2</w:t>
      </w:r>
      <w:r w:rsidRPr="00A428C3">
        <w:t xml:space="preserve"> increased, the reactivity of HCl decreased slightly as a result of the competition for alkalinity with the other acid gases. The data were modeled using semiempirical flux equations based on a modified shrinking core model. Results from the parameter estimation were used to predict the absorption of HCl</w:t>
      </w:r>
      <w:r w:rsidR="00F81221">
        <w:t xml:space="preserve"> and </w:t>
      </w:r>
      <w:r w:rsidRPr="00A428C3">
        <w:t>SO</w:t>
      </w:r>
      <w:r w:rsidRPr="00A428C3">
        <w:rPr>
          <w:vertAlign w:val="subscript"/>
        </w:rPr>
        <w:t>2</w:t>
      </w:r>
      <w:r w:rsidRPr="00A428C3">
        <w:t xml:space="preserve"> on the surface of a bag filter. The predictions indicated that, with a humidified flue gas</w:t>
      </w:r>
      <w:r w:rsidR="00F81221">
        <w:t xml:space="preserve"> and </w:t>
      </w:r>
      <w:r w:rsidRPr="00A428C3">
        <w:t>50% sorbent utilization, less than 20% HCl penetration is possible. However, even at the conditions with the greatest SO</w:t>
      </w:r>
      <w:r w:rsidRPr="00A428C3">
        <w:rPr>
          <w:vertAlign w:val="subscript"/>
        </w:rPr>
        <w:t>2</w:t>
      </w:r>
      <w:r w:rsidRPr="00A428C3">
        <w:t xml:space="preserve"> absorption (250 ppm HCl, 150 ppm NO</w:t>
      </w:r>
      <w:r w:rsidRPr="00A428C3">
        <w:rPr>
          <w:vertAlign w:val="subscript"/>
        </w:rPr>
        <w:t>2</w:t>
      </w:r>
      <w:r w:rsidRPr="00A428C3">
        <w:t>,</w:t>
      </w:r>
      <w:r w:rsidR="00F81221">
        <w:t xml:space="preserve"> and </w:t>
      </w:r>
      <w:r w:rsidRPr="00A428C3">
        <w:t>2.5% O</w:t>
      </w:r>
      <w:r w:rsidRPr="00A428C3">
        <w:rPr>
          <w:vertAlign w:val="subscript"/>
        </w:rPr>
        <w:t>2</w:t>
      </w:r>
      <w:r w:rsidRPr="00A428C3">
        <w:t>), 90% SO</w:t>
      </w:r>
      <w:r w:rsidRPr="00A428C3">
        <w:rPr>
          <w:vertAlign w:val="subscript"/>
        </w:rPr>
        <w:t>2</w:t>
      </w:r>
      <w:r w:rsidRPr="00A428C3">
        <w:t xml:space="preserve"> penetration is predicted at 50% sorbent utilization.</w:t>
      </w:r>
    </w:p>
    <w:p w:rsidR="00B95188" w:rsidRPr="00A428C3" w:rsidRDefault="00B95188" w:rsidP="00B95188">
      <w:pPr>
        <w:pStyle w:val="a0"/>
      </w:pPr>
      <w:r w:rsidRPr="00A428C3">
        <w:t>Keywords: Hydrogen-Chloride, Low-Temperatures, Kinetics, Desulfurization, Limestone, Sorbents, Removal, Sulfation</w:t>
      </w:r>
    </w:p>
    <w:p w:rsidR="00B95188" w:rsidRPr="00A428C3" w:rsidRDefault="00B95188" w:rsidP="00B95188">
      <w:pPr>
        <w:pStyle w:val="a0"/>
      </w:pPr>
      <w:r w:rsidRPr="00A428C3">
        <w:t>Beatty, S.T., Fischer, R.J., Hagers, D.L.</w:t>
      </w:r>
      <w:r w:rsidR="00F81221">
        <w:t xml:space="preserve"> and </w:t>
      </w:r>
      <w:r w:rsidRPr="00A428C3">
        <w:t>Rosenberg, E. (1999), A comparative study of the removal of heavy metal ions from water using a silica-polyamine composite</w:t>
      </w:r>
      <w:r w:rsidR="00F81221">
        <w:t xml:space="preserve"> and </w:t>
      </w:r>
      <w:r w:rsidRPr="00A428C3">
        <w:t xml:space="preserve">a polystyrene chelator resin. </w:t>
      </w:r>
      <w:r w:rsidRPr="00A428C3">
        <w:rPr>
          <w:i/>
        </w:rPr>
        <w:t>Industrial &amp; Engineering Chemistry Research</w:t>
      </w:r>
      <w:r w:rsidRPr="00A428C3">
        <w:t xml:space="preserve">, </w:t>
      </w:r>
      <w:r w:rsidRPr="00A428C3">
        <w:rPr>
          <w:b/>
        </w:rPr>
        <w:t>38</w:t>
      </w:r>
      <w:r w:rsidRPr="00A428C3">
        <w:t xml:space="preserve"> (11), 4402-4408.</w:t>
      </w:r>
    </w:p>
    <w:p w:rsidR="00B95188" w:rsidRPr="00A428C3" w:rsidRDefault="00B95188" w:rsidP="00B95188">
      <w:pPr>
        <w:pStyle w:val="a0"/>
      </w:pPr>
      <w:r w:rsidRPr="00A428C3">
        <w:t xml:space="preserve">Full Text: </w:t>
      </w:r>
      <w:hyperlink r:id="rId1119" w:history="1">
        <w:r w:rsidRPr="00A428C3">
          <w:rPr>
            <w:rStyle w:val="a5"/>
          </w:rPr>
          <w:t>I\Ind Eng Che Res38, 4402.pdf</w:t>
        </w:r>
      </w:hyperlink>
    </w:p>
    <w:p w:rsidR="00B95188" w:rsidRPr="00A428C3" w:rsidRDefault="00B95188" w:rsidP="00B95188">
      <w:pPr>
        <w:pStyle w:val="a0"/>
      </w:pPr>
      <w:r w:rsidRPr="00A428C3">
        <w:lastRenderedPageBreak/>
        <w:t>Abstract: The maximum Cu(II), Ni(II),</w:t>
      </w:r>
      <w:r w:rsidR="00F81221">
        <w:t xml:space="preserve"> and </w:t>
      </w:r>
      <w:r w:rsidRPr="00A428C3">
        <w:t>Co(II) ion capacities of a silica-poly (ethyleneimine) composite (WP-1) are compared with those of the commercially available iminodiacetic acid chelator resin Amberlite IRC-718. Under batch (static) conditions, IRC-718 exhibits better capacities for these metals than WP-1. Dynamic studies, however, revealed that WP-1 possessed a much higher capacity for all three divalent metals than IRC-718, with relative metal capacities in the order Cu(II) &gt; Co(II) approximate to Ni(II). In the presence of the competing chelator ethylenediaminetetraacetic acid, the Cu(II) capacities of WP-1</w:t>
      </w:r>
      <w:r w:rsidR="00F81221">
        <w:t xml:space="preserve"> and </w:t>
      </w:r>
      <w:r w:rsidRPr="00A428C3">
        <w:t>IRC-718 lost 48%</w:t>
      </w:r>
      <w:r w:rsidR="00F81221">
        <w:t xml:space="preserve"> and </w:t>
      </w:r>
      <w:r w:rsidRPr="00A428C3">
        <w:t>45%, respectively, of their original adsorption values. Even with this decrease, however, WP-1 maintained a higher Gu(II) capacity than IRC-718. Repeated cycle testing, using Cu(II) solutions at both room temperature</w:t>
      </w:r>
      <w:r w:rsidR="00F81221">
        <w:t xml:space="preserve"> and </w:t>
      </w:r>
      <w:r w:rsidRPr="00A428C3">
        <w:t>97 degrees C, was conducted to compare the long-term stability of each material. WP-1 maintained 94% of its original Cu(II) capacity</w:t>
      </w:r>
      <w:r w:rsidR="00F81221">
        <w:t xml:space="preserve"> and </w:t>
      </w:r>
      <w:r w:rsidRPr="00A428C3">
        <w:t>maintained structural integrity after 3000 cycles using room temperature copper solutions, while IRC-718 compressed</w:t>
      </w:r>
      <w:r w:rsidR="00F81221">
        <w:t xml:space="preserve"> and </w:t>
      </w:r>
      <w:r w:rsidRPr="00A428C3">
        <w:t>dropped to 64% of its original capacity. When boiling copper solutions were used, the capacity of WP-1 increased slightly over 1500 cycles, while IRC-718 lost 13% of its original copper capacity</w:t>
      </w:r>
      <w:r w:rsidR="00F81221">
        <w:t xml:space="preserve"> and </w:t>
      </w:r>
      <w:r w:rsidRPr="00A428C3">
        <w:t>again became compressed, indicating degradation of the polystyrene beads.</w:t>
      </w:r>
    </w:p>
    <w:p w:rsidR="00B95188" w:rsidRPr="00A428C3" w:rsidRDefault="00B95188" w:rsidP="00B95188">
      <w:pPr>
        <w:pStyle w:val="a0"/>
      </w:pPr>
      <w:r w:rsidRPr="00A428C3">
        <w:t>Keywords: Attached Poly (Egdma-Hema) Microspheres, Cadmium, Recovery</w:t>
      </w:r>
    </w:p>
    <w:p w:rsidR="00B95188" w:rsidRPr="00A428C3" w:rsidRDefault="00B95188" w:rsidP="00B95188">
      <w:pPr>
        <w:pStyle w:val="a0"/>
      </w:pPr>
      <w:r w:rsidRPr="00A428C3">
        <w:t>Ko, D.C.K., Porter, J.F.</w:t>
      </w:r>
      <w:r w:rsidR="00F81221">
        <w:t xml:space="preserve"> and </w:t>
      </w:r>
      <w:r w:rsidRPr="00A428C3">
        <w:t xml:space="preserve">McKay, G. (1999), Correlation-based approach to the optimization of fixed-bed sorption units. </w:t>
      </w:r>
      <w:r w:rsidRPr="00A428C3">
        <w:rPr>
          <w:i/>
        </w:rPr>
        <w:t>Industrial &amp; Engineering Chemistry Research</w:t>
      </w:r>
      <w:r w:rsidRPr="00A428C3">
        <w:t xml:space="preserve">, </w:t>
      </w:r>
      <w:r w:rsidRPr="00A428C3">
        <w:rPr>
          <w:b/>
        </w:rPr>
        <w:t>38</w:t>
      </w:r>
      <w:r w:rsidRPr="00A428C3">
        <w:t xml:space="preserve"> (12), 4868-4877.</w:t>
      </w:r>
    </w:p>
    <w:p w:rsidR="00B95188" w:rsidRPr="00A428C3" w:rsidRDefault="00B95188" w:rsidP="00B95188">
      <w:pPr>
        <w:pStyle w:val="a0"/>
      </w:pPr>
      <w:r w:rsidRPr="00A428C3">
        <w:t xml:space="preserve">Full Text: </w:t>
      </w:r>
      <w:hyperlink r:id="rId1120" w:history="1">
        <w:r w:rsidRPr="00A428C3">
          <w:rPr>
            <w:rStyle w:val="a5"/>
          </w:rPr>
          <w:t>I\Ind Eng Che Res38, 4868.pdf</w:t>
        </w:r>
      </w:hyperlink>
    </w:p>
    <w:p w:rsidR="00B95188" w:rsidRPr="00A428C3" w:rsidRDefault="00B95188" w:rsidP="00B95188">
      <w:pPr>
        <w:pStyle w:val="a0"/>
        <w:rPr>
          <w:rFonts w:eastAsia="Arial Unicode MS"/>
        </w:rPr>
      </w:pPr>
      <w:r w:rsidRPr="00A428C3">
        <w:t>Abstract: The sorption of copper, zinc,</w:t>
      </w:r>
      <w:r w:rsidR="00F81221">
        <w:t xml:space="preserve"> and </w:t>
      </w:r>
      <w:r w:rsidRPr="00A428C3">
        <w:t>cadmium ions onto bone char in fixed-bed columns has been studied. The effects of process variables such, as bed height, now rate, initial concentration, percentage breakthrough,</w:t>
      </w:r>
      <w:r w:rsidR="00F81221">
        <w:t xml:space="preserve"> and </w:t>
      </w:r>
      <w:r w:rsidRPr="00A428C3">
        <w:t>particle size have been investigated. The results have been used to predict the effect of parameter changes on the system by using the bed depth service time (BDST) approach. After the BDST results are obtained, the system variables can further be optimized based on the adsorbent exhaustion rate</w:t>
      </w:r>
      <w:r w:rsidR="00F81221">
        <w:t xml:space="preserve"> and </w:t>
      </w:r>
      <w:r w:rsidRPr="00A428C3">
        <w:t>the empty bed residence time (EBRT). The correlations for operating lines of the EBRT plot have been proposed</w:t>
      </w:r>
      <w:r w:rsidR="00F81221">
        <w:t xml:space="preserve"> and </w:t>
      </w:r>
      <w:r w:rsidRPr="00A428C3">
        <w:t>tested on three metal ion sorption systems. The mechanism of the metal ion sorption on bone char was also investigated.</w:t>
      </w:r>
    </w:p>
    <w:p w:rsidR="00B95188" w:rsidRPr="00A428C3" w:rsidRDefault="00B95188" w:rsidP="00B95188">
      <w:pPr>
        <w:pStyle w:val="a0"/>
      </w:pPr>
      <w:r w:rsidRPr="00A428C3">
        <w:t>Keywords: Mass-Transfer Coefficients, Adsorption Systems, Diffusion, Adsorbers, Batch, Pore</w:t>
      </w:r>
    </w:p>
    <w:p w:rsidR="00B95188" w:rsidRPr="00A428C3" w:rsidRDefault="00B95188" w:rsidP="00B95188">
      <w:pPr>
        <w:pStyle w:val="a0"/>
      </w:pPr>
      <w:r w:rsidRPr="00A428C3">
        <w:t xml:space="preserve">Laboy, M.M., </w:t>
      </w:r>
      <w:smartTag w:uri="urn:schemas-microsoft-com:office:smarttags" w:element="City">
        <w:r w:rsidRPr="00A428C3">
          <w:t>Santiago</w:t>
        </w:r>
      </w:smartTag>
      <w:r w:rsidRPr="00A428C3">
        <w:t>, I.</w:t>
      </w:r>
      <w:r w:rsidR="00F81221">
        <w:t xml:space="preserve"> and </w:t>
      </w:r>
      <w:r w:rsidRPr="00A428C3">
        <w:t>Lopez, G.E. (1999), Computing adsorption isotherms for benzene, toluene,</w:t>
      </w:r>
      <w:r w:rsidR="00F81221">
        <w:t xml:space="preserve"> and </w:t>
      </w:r>
      <w:r w:rsidRPr="00A428C3">
        <w:t xml:space="preserve">p-xylene in heulandite zeolite. </w:t>
      </w:r>
      <w:r w:rsidRPr="00A428C3">
        <w:rPr>
          <w:i/>
        </w:rPr>
        <w:t>Industrial &amp; Engineering Chemistry Research</w:t>
      </w:r>
      <w:r w:rsidRPr="00A428C3">
        <w:t xml:space="preserve">, </w:t>
      </w:r>
      <w:r w:rsidRPr="00A428C3">
        <w:rPr>
          <w:b/>
        </w:rPr>
        <w:t>38</w:t>
      </w:r>
      <w:r w:rsidRPr="00A428C3">
        <w:t xml:space="preserve"> (12), 4938-4945.</w:t>
      </w:r>
    </w:p>
    <w:p w:rsidR="00B95188" w:rsidRPr="00A428C3" w:rsidRDefault="00B95188" w:rsidP="00B95188">
      <w:pPr>
        <w:pStyle w:val="a0"/>
      </w:pPr>
      <w:r w:rsidRPr="00A428C3">
        <w:t xml:space="preserve">Full Text: </w:t>
      </w:r>
      <w:hyperlink r:id="rId1121" w:history="1">
        <w:r w:rsidRPr="00A428C3">
          <w:rPr>
            <w:rStyle w:val="a5"/>
          </w:rPr>
          <w:t>I\Ind Eng Che Res38, 4938.pdf</w:t>
        </w:r>
      </w:hyperlink>
    </w:p>
    <w:p w:rsidR="00B95188" w:rsidRPr="00A428C3" w:rsidRDefault="00B95188" w:rsidP="00B95188">
      <w:pPr>
        <w:pStyle w:val="a0"/>
      </w:pPr>
      <w:r w:rsidRPr="00A428C3">
        <w:lastRenderedPageBreak/>
        <w:t>Abstract: When computer simulations were performed in the grand canonical ensemble, adsorption isotherms for benzene, toluene,</w:t>
      </w:r>
      <w:r w:rsidR="00F81221">
        <w:t xml:space="preserve"> and </w:t>
      </w:r>
      <w:r w:rsidRPr="00A428C3">
        <w:t>p-xylene in Heulandite zeolite were constructed. Nitrogen adsorption was simulated to test a feasible computational strategy. Simulations were performed at three temperatures (200, 298,</w:t>
      </w:r>
      <w:r w:rsidR="00F81221">
        <w:t xml:space="preserve"> and </w:t>
      </w:r>
      <w:r w:rsidRPr="00A428C3">
        <w:t>473 K), at pressures ranging from 0 to 200 kPa,</w:t>
      </w:r>
      <w:r w:rsidR="00F81221">
        <w:t xml:space="preserve"> and </w:t>
      </w:r>
      <w:r w:rsidRPr="00A428C3">
        <w:t>at water contents ranging from 0% to 4%, It was found that the adsorption of the organic species was not significantly affected by increasing the pressure over 10 kPa. Also, increasing the water content of the zeolite reduced the adsorption of these aromatics significantly. On the other hand, as the temperature was increased the amount of adsorbed material was only slightly affected. To access adsorption selectivity information, various mixtures of the aromatics were studied. Results from the simulations show that adsorption of benzene was higher than that of toluene,</w:t>
      </w:r>
      <w:r w:rsidR="00F81221">
        <w:t xml:space="preserve"> and </w:t>
      </w:r>
      <w:r w:rsidRPr="00A428C3">
        <w:t>toluene adsorption was higher than that of p-xylene. A relation between the electronic environment; of the molecular species</w:t>
      </w:r>
      <w:r w:rsidR="00F81221">
        <w:t xml:space="preserve"> and </w:t>
      </w:r>
      <w:r w:rsidRPr="00A428C3">
        <w:t>the amount of adsorbed material was established. The results obtained are compared with experimental data available on other synthetic</w:t>
      </w:r>
      <w:r w:rsidR="00F81221">
        <w:t xml:space="preserve"> and </w:t>
      </w:r>
      <w:r w:rsidRPr="00A428C3">
        <w:t>natural zeolites.</w:t>
      </w:r>
    </w:p>
    <w:p w:rsidR="00B95188" w:rsidRPr="00A428C3" w:rsidRDefault="00B95188" w:rsidP="00B95188">
      <w:pPr>
        <w:pStyle w:val="a0"/>
      </w:pPr>
      <w:r w:rsidRPr="00A428C3">
        <w:t>Keywords: Silicalite, Simulations, Prediction, Sorption</w:t>
      </w:r>
    </w:p>
    <w:p w:rsidR="00B95188" w:rsidRPr="00A428C3" w:rsidRDefault="00B95188" w:rsidP="00B95188">
      <w:pPr>
        <w:pStyle w:val="a0"/>
      </w:pPr>
      <w:r w:rsidRPr="00A428C3">
        <w:t>Modrzejewska, Z.</w:t>
      </w:r>
      <w:r w:rsidR="00F81221">
        <w:t xml:space="preserve"> and </w:t>
      </w:r>
      <w:r w:rsidRPr="00A428C3">
        <w:t xml:space="preserve">Kaminski, W. (1999), Separation of Cr(VI) on chitosan membranes. </w:t>
      </w:r>
      <w:r w:rsidRPr="00A428C3">
        <w:rPr>
          <w:i/>
        </w:rPr>
        <w:t>Industrial &amp; Engineering Chemistry Research</w:t>
      </w:r>
      <w:r w:rsidRPr="00A428C3">
        <w:t xml:space="preserve">, </w:t>
      </w:r>
      <w:r w:rsidRPr="00A428C3">
        <w:rPr>
          <w:b/>
        </w:rPr>
        <w:t>38</w:t>
      </w:r>
      <w:r w:rsidRPr="00A428C3">
        <w:t xml:space="preserve"> (12), 4946-4950.</w:t>
      </w:r>
    </w:p>
    <w:p w:rsidR="00B95188" w:rsidRPr="00A428C3" w:rsidRDefault="00B95188" w:rsidP="00B95188">
      <w:pPr>
        <w:pStyle w:val="a0"/>
      </w:pPr>
      <w:r w:rsidRPr="00A428C3">
        <w:t xml:space="preserve">Full Text: </w:t>
      </w:r>
      <w:hyperlink r:id="rId1122" w:history="1">
        <w:r w:rsidRPr="00A428C3">
          <w:rPr>
            <w:rStyle w:val="a5"/>
          </w:rPr>
          <w:t>I\Ind Eng Che Res38, 4946.pdf</w:t>
        </w:r>
      </w:hyperlink>
    </w:p>
    <w:p w:rsidR="00B95188" w:rsidRPr="00A428C3" w:rsidRDefault="00B95188" w:rsidP="00B95188">
      <w:pPr>
        <w:pStyle w:val="a0"/>
      </w:pPr>
      <w:r w:rsidRPr="00A428C3">
        <w:t>Abstract: Chitosan membranes were used for hexavalent chromium removal. Investigations covered membranes produced by phase inversion (wet-method). The modifications of membranes were made by acetylated</w:t>
      </w:r>
      <w:r w:rsidR="00F81221">
        <w:t xml:space="preserve"> and </w:t>
      </w:r>
      <w:r w:rsidRPr="00A428C3">
        <w:t xml:space="preserve">cross-linked Cu(II). In the experiments chitosan produced by the Sea Fisheries Institute, </w:t>
      </w:r>
      <w:smartTag w:uri="urn:schemas-microsoft-com:office:smarttags" w:element="place">
        <w:smartTag w:uri="urn:schemas-microsoft-com:office:smarttags" w:element="country-region">
          <w:r w:rsidRPr="00A428C3">
            <w:t>Poland</w:t>
          </w:r>
        </w:smartTag>
      </w:smartTag>
      <w:r w:rsidRPr="00A428C3">
        <w:t>, was used. The metal ions were removed on chitosan membranes during membrane processes. The modifications</w:t>
      </w:r>
      <w:r w:rsidR="00F81221">
        <w:t xml:space="preserve"> and </w:t>
      </w:r>
      <w:r w:rsidRPr="00A428C3">
        <w:t>the effect of the pH of the solution on the separation properties of membranes were determined. The concentration of metal ions was measured by the method of inductively coupled plasma (ICP) atomic emission spectrometry.</w:t>
      </w:r>
    </w:p>
    <w:p w:rsidR="00B95188" w:rsidRPr="00A428C3" w:rsidRDefault="00B95188" w:rsidP="00B95188">
      <w:pPr>
        <w:pStyle w:val="a0"/>
      </w:pPr>
      <w:r w:rsidRPr="00A428C3">
        <w:t>Keywords: Metal-Ions, Adsorption</w:t>
      </w:r>
    </w:p>
    <w:p w:rsidR="00B95188" w:rsidRPr="00A428C3" w:rsidRDefault="00B95188" w:rsidP="00B95188">
      <w:pPr>
        <w:pStyle w:val="a0"/>
      </w:pPr>
      <w:r w:rsidRPr="00A428C3">
        <w:t>Lin, C.C.</w:t>
      </w:r>
      <w:r w:rsidR="00F81221">
        <w:t xml:space="preserve"> and </w:t>
      </w:r>
      <w:r w:rsidRPr="00A428C3">
        <w:t xml:space="preserve">Liu, H.S. (2000), Adsorption in a centrifugal field: Basic dye adsorption by activated carbon. </w:t>
      </w:r>
      <w:r w:rsidRPr="00A428C3">
        <w:rPr>
          <w:i/>
        </w:rPr>
        <w:t>Industrial &amp; Engineering Chemistry Research</w:t>
      </w:r>
      <w:r w:rsidRPr="00A428C3">
        <w:t xml:space="preserve">, </w:t>
      </w:r>
      <w:r w:rsidRPr="00A428C3">
        <w:rPr>
          <w:b/>
        </w:rPr>
        <w:t>39</w:t>
      </w:r>
      <w:r w:rsidRPr="00A428C3">
        <w:t xml:space="preserve"> (1), 161-167.</w:t>
      </w:r>
    </w:p>
    <w:p w:rsidR="00B95188" w:rsidRPr="00A428C3" w:rsidRDefault="00B95188" w:rsidP="00B95188">
      <w:pPr>
        <w:pStyle w:val="a0"/>
      </w:pPr>
      <w:r w:rsidRPr="00A428C3">
        <w:t xml:space="preserve">Full Text: </w:t>
      </w:r>
      <w:hyperlink r:id="rId1123" w:history="1">
        <w:r w:rsidRPr="00A428C3">
          <w:rPr>
            <w:rStyle w:val="a5"/>
          </w:rPr>
          <w:t>I\Ind Eng Che Res39, 161.pdf</w:t>
        </w:r>
      </w:hyperlink>
    </w:p>
    <w:p w:rsidR="00B95188" w:rsidRPr="00A428C3" w:rsidRDefault="00B95188" w:rsidP="00B95188">
      <w:pPr>
        <w:pStyle w:val="a0"/>
      </w:pPr>
      <w:r w:rsidRPr="00A428C3">
        <w:t>Abstract: The adsorption of basic yellow dye on activated carbon from aqueous solutions under a centrifugal field was explored</w:t>
      </w:r>
      <w:r w:rsidR="00F81221">
        <w:t xml:space="preserve"> and </w:t>
      </w:r>
      <w:r w:rsidRPr="00A428C3">
        <w:t>interpreted by both a pseudo-first-order mechanism</w:t>
      </w:r>
      <w:r w:rsidR="00F81221">
        <w:t xml:space="preserve"> and </w:t>
      </w:r>
      <w:r w:rsidRPr="00A428C3">
        <w:t xml:space="preserve">intraparcticle diffusion mechanism. The adsorption process, based on the assumption of a pseudo-first-order mechanism, was developed to estimate the rate constant with the effect of centrifugal force, initial dye concentration. Also, the rate parameter based on the intraparticle diffusion model was presented. In addition, the diffusion coefficients were evaluated from both models. The results showed that the centrifugal force could enhance the rate constant, </w:t>
      </w:r>
      <w:r w:rsidRPr="00A428C3">
        <w:lastRenderedPageBreak/>
        <w:t>the rate parameter,</w:t>
      </w:r>
      <w:r w:rsidR="00F81221">
        <w:t xml:space="preserve"> and </w:t>
      </w:r>
      <w:r w:rsidRPr="00A428C3">
        <w:t>the diffusion coefficient. Therefore, better mass transfer could be provided with centrifugal force.</w:t>
      </w:r>
    </w:p>
    <w:p w:rsidR="00B95188" w:rsidRPr="00A428C3" w:rsidRDefault="00B95188" w:rsidP="00B95188">
      <w:pPr>
        <w:pStyle w:val="a0"/>
      </w:pPr>
      <w:r w:rsidRPr="00A428C3">
        <w:t>Keywords: Rotating Packed-Beds, Aqueous-Solution, Gas-Liquid, Contactor, Sorption, Removal</w:t>
      </w:r>
    </w:p>
    <w:p w:rsidR="00B95188" w:rsidRPr="00A428C3" w:rsidRDefault="00B95188" w:rsidP="00B95188">
      <w:pPr>
        <w:pStyle w:val="a0"/>
      </w:pPr>
      <w:r w:rsidRPr="00A428C3">
        <w:t>Wang, K., Qiao, S.</w:t>
      </w:r>
      <w:r w:rsidR="00F81221">
        <w:t xml:space="preserve"> and </w:t>
      </w:r>
      <w:r w:rsidRPr="00A428C3">
        <w:t xml:space="preserve">Hu, X. (2000), Application of IAST in the prediction of multicomponent adsorption equilibrium of gases in heterogeneous solids: Micropore size distribution versus energy distribution. </w:t>
      </w:r>
      <w:r w:rsidRPr="00A428C3">
        <w:rPr>
          <w:i/>
        </w:rPr>
        <w:t>Industrial &amp; Engineering Chemistry Research</w:t>
      </w:r>
      <w:r w:rsidRPr="00A428C3">
        <w:t xml:space="preserve">, </w:t>
      </w:r>
      <w:r w:rsidRPr="00A428C3">
        <w:rPr>
          <w:b/>
        </w:rPr>
        <w:t>39</w:t>
      </w:r>
      <w:r w:rsidRPr="00A428C3">
        <w:t xml:space="preserve"> (2), 527-532.</w:t>
      </w:r>
    </w:p>
    <w:p w:rsidR="00B95188" w:rsidRPr="00A428C3" w:rsidRDefault="00B95188" w:rsidP="00B95188">
      <w:pPr>
        <w:pStyle w:val="a0"/>
      </w:pPr>
      <w:r w:rsidRPr="00A428C3">
        <w:t xml:space="preserve">Full Text: </w:t>
      </w:r>
      <w:hyperlink r:id="rId1124" w:history="1">
        <w:r w:rsidRPr="00A428C3">
          <w:rPr>
            <w:rStyle w:val="a5"/>
          </w:rPr>
          <w:t>I\Ind Eng Che Res39, 257.pdf</w:t>
        </w:r>
      </w:hyperlink>
    </w:p>
    <w:p w:rsidR="00B95188" w:rsidRPr="00A428C3" w:rsidRDefault="00B95188" w:rsidP="00B95188">
      <w:pPr>
        <w:pStyle w:val="a0"/>
      </w:pPr>
      <w:r w:rsidRPr="00A428C3">
        <w:t>Abstract: This article investigates the effect of surface heterogeneity</w:t>
      </w:r>
      <w:r w:rsidR="00F81221">
        <w:t xml:space="preserve"> and </w:t>
      </w:r>
      <w:r w:rsidRPr="00A428C3">
        <w:t>energy-matching scheme on the prediction of adsorption equilibria on activated carbon. The ideal adsorbed solution theory (IAST) is employed to evaluate the local adsorption equilibria on each energy site while the energetic heterogeneity of the system is represented by two forms: (1) uniform energy distribution, which employs the cumulative energy scheme to match different adsorbates in the adsorbed phase;</w:t>
      </w:r>
      <w:r w:rsidR="00F81221">
        <w:t xml:space="preserve"> and </w:t>
      </w:r>
      <w:r w:rsidRPr="00A428C3">
        <w:t>(2) micropore size distribution, which invokes the adsorbate-pore interaction matching scheme. The adsorption equilibria of hydrocarbon gas mixtures measured on two commercial activated carbons are used to compare the two models. It is found that uniform energy distribution can be insufficient in the prediction of multicomponent adsorption equilibria. On the other hand, the model assuming micropore size distribution as adsorption energetic heterogeneity</w:t>
      </w:r>
      <w:r w:rsidR="00F81221">
        <w:t xml:space="preserve"> and </w:t>
      </w:r>
      <w:r w:rsidRPr="00A428C3">
        <w:t>the adsorbate-pore interaction energy-matching scheme presents relatively stable prediction results.</w:t>
      </w:r>
    </w:p>
    <w:p w:rsidR="00B95188" w:rsidRPr="00A428C3" w:rsidRDefault="00B95188" w:rsidP="00B95188">
      <w:pPr>
        <w:pStyle w:val="a0"/>
      </w:pPr>
      <w:r w:rsidRPr="00A428C3">
        <w:t>Silva, J.A.C., Mata, V.G., Dias, M.M., Lopes, J.C.B.</w:t>
      </w:r>
      <w:r w:rsidR="00F81221">
        <w:t xml:space="preserve"> and </w:t>
      </w:r>
      <w:r w:rsidRPr="00A428C3">
        <w:t>Rodrigues, A.E. (2000), Effect of coke in the equilibrium</w:t>
      </w:r>
      <w:r w:rsidR="00F81221">
        <w:t xml:space="preserve"> and </w:t>
      </w:r>
      <w:r w:rsidRPr="00A428C3">
        <w:t xml:space="preserve">kinetics of sorption on </w:t>
      </w:r>
      <w:smartTag w:uri="urn:schemas-microsoft-com:office:smarttags" w:element="chmetcnv">
        <w:smartTagPr>
          <w:attr w:name="TCSC" w:val="0"/>
          <w:attr w:name="NumberType" w:val="1"/>
          <w:attr w:name="Negative" w:val="False"/>
          <w:attr w:name="HasSpace" w:val="False"/>
          <w:attr w:name="SourceValue" w:val="5"/>
          <w:attr w:name="UnitName" w:val="a"/>
        </w:smartTagPr>
        <w:r w:rsidRPr="00A428C3">
          <w:t>5A</w:t>
        </w:r>
      </w:smartTag>
      <w:r w:rsidRPr="00A428C3">
        <w:t xml:space="preserve"> molecular sieve zeolites. </w:t>
      </w:r>
      <w:r w:rsidRPr="00A428C3">
        <w:rPr>
          <w:i/>
        </w:rPr>
        <w:t>Industrial &amp; Engineering Chemistry Research</w:t>
      </w:r>
      <w:r w:rsidRPr="00A428C3">
        <w:t xml:space="preserve">, </w:t>
      </w:r>
      <w:r w:rsidRPr="00A428C3">
        <w:rPr>
          <w:b/>
        </w:rPr>
        <w:t>39</w:t>
      </w:r>
      <w:r w:rsidRPr="00A428C3">
        <w:t xml:space="preserve"> (4), 1030-1034.</w:t>
      </w:r>
    </w:p>
    <w:p w:rsidR="00B95188" w:rsidRPr="00A428C3" w:rsidRDefault="00B95188" w:rsidP="00B95188">
      <w:pPr>
        <w:pStyle w:val="a0"/>
      </w:pPr>
      <w:r w:rsidRPr="00A428C3">
        <w:t xml:space="preserve">Full Text: </w:t>
      </w:r>
      <w:hyperlink r:id="rId1125" w:history="1">
        <w:r w:rsidRPr="00A428C3">
          <w:rPr>
            <w:rStyle w:val="a5"/>
          </w:rPr>
          <w:t>I\Ind Eng Che Res39, 1030.pdf</w:t>
        </w:r>
      </w:hyperlink>
    </w:p>
    <w:p w:rsidR="00B95188" w:rsidRPr="00A428C3" w:rsidRDefault="00B95188" w:rsidP="00B95188">
      <w:pPr>
        <w:pStyle w:val="a0"/>
        <w:rPr>
          <w:rFonts w:eastAsia="Arial Unicode MS"/>
        </w:rPr>
      </w:pPr>
      <w:r w:rsidRPr="00A428C3">
        <w:t>Abstract: Porosimetric, gravimetric, zero length column (ZLC),</w:t>
      </w:r>
      <w:r w:rsidR="00F81221">
        <w:t xml:space="preserve"> and </w:t>
      </w:r>
      <w:r w:rsidRPr="00A428C3">
        <w:t xml:space="preserve">fixed-bed studies on coked pellets of </w:t>
      </w:r>
      <w:smartTag w:uri="urn:schemas-microsoft-com:office:smarttags" w:element="chmetcnv">
        <w:smartTagPr>
          <w:attr w:name="TCSC" w:val="0"/>
          <w:attr w:name="NumberType" w:val="1"/>
          <w:attr w:name="Negative" w:val="False"/>
          <w:attr w:name="HasSpace" w:val="False"/>
          <w:attr w:name="SourceValue" w:val="5"/>
          <w:attr w:name="UnitName" w:val="a"/>
        </w:smartTagPr>
        <w:r w:rsidRPr="00A428C3">
          <w:t>5A</w:t>
        </w:r>
      </w:smartTag>
      <w:r w:rsidRPr="00A428C3">
        <w:t xml:space="preserve"> molecular sieve zeolites were performed. From porosimetric studies it seems that the coke is located in the microporous structure of </w:t>
      </w:r>
      <w:smartTag w:uri="urn:schemas-microsoft-com:office:smarttags" w:element="chmetcnv">
        <w:smartTagPr>
          <w:attr w:name="TCSC" w:val="0"/>
          <w:attr w:name="NumberType" w:val="1"/>
          <w:attr w:name="Negative" w:val="False"/>
          <w:attr w:name="HasSpace" w:val="False"/>
          <w:attr w:name="SourceValue" w:val="5"/>
          <w:attr w:name="UnitName" w:val="a"/>
        </w:smartTagPr>
        <w:r w:rsidRPr="00A428C3">
          <w:t>5A</w:t>
        </w:r>
      </w:smartTag>
      <w:r w:rsidRPr="00A428C3">
        <w:t xml:space="preserve"> zeolite or as layers covering all crystals. The gravimetric studies between 473</w:t>
      </w:r>
      <w:r w:rsidR="00F81221">
        <w:t xml:space="preserve"> and </w:t>
      </w:r>
      <w:r w:rsidRPr="00A428C3">
        <w:t>573 K using n-pentane as a probe molecule show that Henry</w:t>
      </w:r>
      <w:r w:rsidR="000352E7">
        <w:t>’</w:t>
      </w:r>
      <w:r w:rsidRPr="00A428C3">
        <w:t>s constants in coked pellets are much smaller than those in fresh ones. The kinetics of sorption measured by the ZLC technique is also significantly modified. The results show that the system changes from a macropore control resistance with the reciprocal of time constant D-p/R-p(2)(1 + K) on the order of 0.002-0.02 s</w:t>
      </w:r>
      <w:smartTag w:uri="urn:schemas-microsoft-com:office:smarttags" w:element="chmetcnv">
        <w:smartTagPr>
          <w:attr w:name="TCSC" w:val="0"/>
          <w:attr w:name="NumberType" w:val="1"/>
          <w:attr w:name="Negative" w:val="True"/>
          <w:attr w:name="HasSpace" w:val="True"/>
          <w:attr w:name="SourceValue" w:val="1"/>
          <w:attr w:name="UnitName" w:val="in"/>
        </w:smartTagPr>
        <w:r w:rsidRPr="00A428C3">
          <w:rPr>
            <w:vertAlign w:val="superscript"/>
          </w:rPr>
          <w:t>-1</w:t>
        </w:r>
        <w:r w:rsidRPr="00A428C3">
          <w:t xml:space="preserve"> in</w:t>
        </w:r>
      </w:smartTag>
      <w:r w:rsidRPr="00A428C3">
        <w:t xml:space="preserve"> fresh pellets to a micropore control resistance system with reciprocal time constant D-c/r(c)(2) 1 Order of magnitude lower in coked pellets. The effect of temperature on the behavior of a fixed bed is also shown. A simple mathematical model with equilibrium</w:t>
      </w:r>
      <w:r w:rsidR="00F81221">
        <w:t xml:space="preserve"> and </w:t>
      </w:r>
      <w:r w:rsidRPr="00A428C3">
        <w:lastRenderedPageBreak/>
        <w:t>diffusivity parameters obtained from independent experiments predicts with good accuracy all fixed-bed adsorption</w:t>
      </w:r>
      <w:r w:rsidR="00F81221">
        <w:t xml:space="preserve"> and </w:t>
      </w:r>
      <w:r w:rsidRPr="00A428C3">
        <w:t>desorption runs.</w:t>
      </w:r>
    </w:p>
    <w:p w:rsidR="00B95188" w:rsidRPr="00A428C3" w:rsidRDefault="00B95188" w:rsidP="00B95188">
      <w:pPr>
        <w:pStyle w:val="a0"/>
      </w:pPr>
      <w:r w:rsidRPr="00A428C3">
        <w:t>Keywords: Diffusion</w:t>
      </w:r>
    </w:p>
    <w:p w:rsidR="00B95188" w:rsidRPr="00A428C3" w:rsidRDefault="00B95188" w:rsidP="00B95188">
      <w:pPr>
        <w:pStyle w:val="a0"/>
      </w:pPr>
      <w:r w:rsidRPr="00A428C3">
        <w:t>Doan, H.D.</w:t>
      </w:r>
      <w:r w:rsidR="00F81221">
        <w:t xml:space="preserve"> and </w:t>
      </w:r>
      <w:r w:rsidRPr="00A428C3">
        <w:t>Fayed, M.E. (2000), Entrance effect</w:t>
      </w:r>
      <w:r w:rsidR="00F81221">
        <w:t xml:space="preserve"> and </w:t>
      </w:r>
      <w:r w:rsidRPr="00A428C3">
        <w:t xml:space="preserve">gas-film mass-transfer coefficient in a large-diameter packed column. </w:t>
      </w:r>
      <w:r w:rsidRPr="00A428C3">
        <w:rPr>
          <w:i/>
        </w:rPr>
        <w:t>Industrial &amp; Engineering Chemistry Research</w:t>
      </w:r>
      <w:r w:rsidRPr="00A428C3">
        <w:t xml:space="preserve">, </w:t>
      </w:r>
      <w:r w:rsidRPr="00A428C3">
        <w:rPr>
          <w:b/>
        </w:rPr>
        <w:t>39</w:t>
      </w:r>
      <w:r w:rsidRPr="00A428C3">
        <w:t xml:space="preserve"> (4), 1039-1047.</w:t>
      </w:r>
    </w:p>
    <w:p w:rsidR="00B95188" w:rsidRPr="00A428C3" w:rsidRDefault="00B95188" w:rsidP="00B95188">
      <w:pPr>
        <w:pStyle w:val="a0"/>
      </w:pPr>
      <w:r w:rsidRPr="00A428C3">
        <w:t xml:space="preserve">Full Text: </w:t>
      </w:r>
      <w:hyperlink r:id="rId1126" w:history="1">
        <w:r w:rsidRPr="00A428C3">
          <w:rPr>
            <w:rStyle w:val="a5"/>
          </w:rPr>
          <w:t>I\Ind Eng Che Res39, 1039.pdf</w:t>
        </w:r>
      </w:hyperlink>
    </w:p>
    <w:p w:rsidR="00B95188" w:rsidRPr="00A428C3" w:rsidRDefault="00B95188" w:rsidP="00B95188">
      <w:pPr>
        <w:pStyle w:val="a0"/>
      </w:pPr>
      <w:r w:rsidRPr="00A428C3">
        <w:t>Abstract: The effects of the bed height</w:t>
      </w:r>
      <w:r w:rsidR="00F81221">
        <w:t xml:space="preserve"> and </w:t>
      </w:r>
      <w:r w:rsidRPr="00A428C3">
        <w:t xml:space="preserve">the entrance section below the packing support on mass transfer in a 1.2-m diameter packed bed of 50-mm ceramic Intalox saddles were investigated under various gas flow rates from 1957 to </w:t>
      </w:r>
      <w:smartTag w:uri="urn:schemas-microsoft-com:office:smarttags" w:element="chmetcnv">
        <w:smartTagPr>
          <w:attr w:name="TCSC" w:val="0"/>
          <w:attr w:name="NumberType" w:val="1"/>
          <w:attr w:name="Negative" w:val="False"/>
          <w:attr w:name="HasSpace" w:val="True"/>
          <w:attr w:name="SourceValue" w:val="7828"/>
          <w:attr w:name="UnitName" w:val="kg"/>
        </w:smartTagPr>
        <w:r w:rsidRPr="00A428C3">
          <w:t>7828 kg</w:t>
        </w:r>
      </w:smartTag>
      <w:r w:rsidRPr="00A428C3">
        <w:t>.h</w:t>
      </w:r>
      <w:r w:rsidRPr="00A428C3">
        <w:rPr>
          <w:vertAlign w:val="superscript"/>
        </w:rPr>
        <w:t>-1</w:t>
      </w:r>
      <w:r w:rsidRPr="00A428C3">
        <w:t>.m</w:t>
      </w:r>
      <w:r w:rsidRPr="00A428C3">
        <w:rPr>
          <w:vertAlign w:val="superscript"/>
        </w:rPr>
        <w:t>-2</w:t>
      </w:r>
      <w:r w:rsidR="00F81221">
        <w:t xml:space="preserve"> and </w:t>
      </w:r>
      <w:r w:rsidRPr="00A428C3">
        <w:t xml:space="preserve">liquid flow rates from 12 200 to 46 </w:t>
      </w:r>
      <w:smartTag w:uri="urn:schemas-microsoft-com:office:smarttags" w:element="chmetcnv">
        <w:smartTagPr>
          <w:attr w:name="TCSC" w:val="0"/>
          <w:attr w:name="NumberType" w:val="1"/>
          <w:attr w:name="Negative" w:val="False"/>
          <w:attr w:name="HasSpace" w:val="True"/>
          <w:attr w:name="SourceValue" w:val="700"/>
          <w:attr w:name="UnitName" w:val="kg"/>
        </w:smartTagPr>
        <w:r w:rsidRPr="00A428C3">
          <w:t>700 kg</w:t>
        </w:r>
      </w:smartTag>
      <w:r w:rsidRPr="00A428C3">
        <w:t>.h</w:t>
      </w:r>
      <w:r w:rsidRPr="00A428C3">
        <w:rPr>
          <w:vertAlign w:val="superscript"/>
        </w:rPr>
        <w:t>-1</w:t>
      </w:r>
      <w:r w:rsidRPr="00A428C3">
        <w:t>.m</w:t>
      </w:r>
      <w:r w:rsidRPr="00A428C3">
        <w:rPr>
          <w:vertAlign w:val="superscript"/>
        </w:rPr>
        <w:t>-2</w:t>
      </w:r>
      <w:r w:rsidRPr="00A428C3">
        <w:t>. The entrance effect accounted for 17% of the overall water vapor transferred from moist air to a calcium chloride solution in the tower, regardless of the packing height. For a 0.91-m high bed, the average mass-transfer coefficient was directly proportional to the gas rate</w:t>
      </w:r>
      <w:r w:rsidR="00F81221">
        <w:t xml:space="preserve"> and </w:t>
      </w:r>
      <w:r w:rsidRPr="00A428C3">
        <w:t>was proportional to the liquid rate to the power of 0.24. For a 1.8-m high bed, the average mass-transfer coefficient was proportional to the gas rate to the power of 0.89</w:t>
      </w:r>
      <w:r w:rsidR="00F81221">
        <w:t xml:space="preserve"> and </w:t>
      </w:r>
      <w:r w:rsidRPr="00A428C3">
        <w:t xml:space="preserve">appeared to be independent of the liquid rate. The height of a transfer unit (HTU) for 50-mm ceramic Intalox saddles remained relatively constant under various gas rates used in the present study. The HTU was about </w:t>
      </w:r>
      <w:smartTag w:uri="urn:schemas-microsoft-com:office:smarttags" w:element="chmetcnv">
        <w:smartTagPr>
          <w:attr w:name="TCSC" w:val="0"/>
          <w:attr w:name="NumberType" w:val="1"/>
          <w:attr w:name="Negative" w:val="False"/>
          <w:attr w:name="HasSpace" w:val="True"/>
          <w:attr w:name="SourceValue" w:val="0.5"/>
          <w:attr w:name="UnitName" w:val="m"/>
        </w:smartTagPr>
        <w:r w:rsidRPr="00A428C3">
          <w:t>0.5 m</w:t>
        </w:r>
      </w:smartTag>
      <w:r w:rsidRPr="00A428C3">
        <w:t xml:space="preserve"> for the short bed</w:t>
      </w:r>
      <w:r w:rsidR="00F81221">
        <w:t xml:space="preserve"> and </w:t>
      </w:r>
      <w:smartTag w:uri="urn:schemas-microsoft-com:office:smarttags" w:element="chmetcnv">
        <w:smartTagPr>
          <w:attr w:name="TCSC" w:val="0"/>
          <w:attr w:name="NumberType" w:val="1"/>
          <w:attr w:name="Negative" w:val="False"/>
          <w:attr w:name="HasSpace" w:val="True"/>
          <w:attr w:name="SourceValue" w:val="0.8"/>
          <w:attr w:name="UnitName" w:val="m"/>
        </w:smartTagPr>
        <w:r w:rsidRPr="00A428C3">
          <w:t>0.8 m</w:t>
        </w:r>
      </w:smartTag>
      <w:r w:rsidRPr="00A428C3">
        <w:t xml:space="preserve"> for the tall bed.</w:t>
      </w:r>
    </w:p>
    <w:p w:rsidR="00B95188" w:rsidRPr="00A428C3" w:rsidRDefault="00B95188" w:rsidP="00B95188">
      <w:pPr>
        <w:pStyle w:val="a0"/>
      </w:pPr>
      <w:r w:rsidRPr="00A428C3">
        <w:t>Yoshida, H.</w:t>
      </w:r>
      <w:r w:rsidR="00F81221">
        <w:t xml:space="preserve"> and </w:t>
      </w:r>
      <w:r w:rsidRPr="00A428C3">
        <w:t>Takatsuji, W. (2000), Parallel transport of an organic acid by solid-phase</w:t>
      </w:r>
      <w:r w:rsidR="00F81221">
        <w:t xml:space="preserve"> and </w:t>
      </w:r>
      <w:r w:rsidRPr="00A428C3">
        <w:t xml:space="preserve">macropore diffusion in a weakly basic ion exchanger. </w:t>
      </w:r>
      <w:r w:rsidRPr="00A428C3">
        <w:rPr>
          <w:i/>
        </w:rPr>
        <w:t>Industrial &amp; Engineering Chemistry Research</w:t>
      </w:r>
      <w:r w:rsidRPr="00A428C3">
        <w:t xml:space="preserve">, </w:t>
      </w:r>
      <w:r w:rsidRPr="00A428C3">
        <w:rPr>
          <w:b/>
        </w:rPr>
        <w:t>39</w:t>
      </w:r>
      <w:r w:rsidRPr="00A428C3">
        <w:t xml:space="preserve"> (4), 1074-1079.</w:t>
      </w:r>
    </w:p>
    <w:p w:rsidR="00B95188" w:rsidRPr="00A428C3" w:rsidRDefault="00B95188" w:rsidP="00B95188">
      <w:pPr>
        <w:pStyle w:val="a0"/>
      </w:pPr>
      <w:r w:rsidRPr="00A428C3">
        <w:t xml:space="preserve">Full Text: </w:t>
      </w:r>
      <w:hyperlink r:id="rId1127" w:history="1">
        <w:r w:rsidRPr="00A428C3">
          <w:rPr>
            <w:rStyle w:val="a5"/>
          </w:rPr>
          <w:t>I\Ind Eng Che Res39, 1074.pdf</w:t>
        </w:r>
      </w:hyperlink>
    </w:p>
    <w:p w:rsidR="00B95188" w:rsidRPr="00A428C3" w:rsidRDefault="00B95188" w:rsidP="00B95188">
      <w:pPr>
        <w:pStyle w:val="a0"/>
        <w:rPr>
          <w:rFonts w:eastAsia="Arial Unicode MS"/>
        </w:rPr>
      </w:pPr>
      <w:r w:rsidRPr="00A428C3">
        <w:t>Abstract: The parallel transport of an organic acid by solid-phase</w:t>
      </w:r>
      <w:r w:rsidR="00F81221">
        <w:t xml:space="preserve"> and </w:t>
      </w:r>
      <w:r w:rsidRPr="00A428C3">
        <w:t>macropore diffusion within a porous ion exchanger was studied by measuring equilibrium isotherms</w:t>
      </w:r>
      <w:r w:rsidR="00F81221">
        <w:t xml:space="preserve"> and </w:t>
      </w:r>
      <w:r w:rsidRPr="00A428C3">
        <w:t>uptake curves for adsorption bf acetic acid</w:t>
      </w:r>
      <w:r w:rsidR="00F81221">
        <w:t xml:space="preserve"> and </w:t>
      </w:r>
      <w:r w:rsidRPr="00A428C3">
        <w:t>lactic acid on a weakly basic ion exchanger, DIAION WA30. Experimental adsorption isotherms were correlated by the Langmuir equation. The Langmuir equilibrium constant of acetic acid was close to that of lactic acid,</w:t>
      </w:r>
      <w:r w:rsidR="00F81221">
        <w:t xml:space="preserve"> and </w:t>
      </w:r>
      <w:r w:rsidRPr="00A428C3">
        <w:t>the saturation capacity of acetic acid was about 84% that of lactic acid. Intraparticle effective diffusivity D</w:t>
      </w:r>
      <w:r w:rsidRPr="00A428C3">
        <w:rPr>
          <w:vertAlign w:val="subscript"/>
        </w:rPr>
        <w:t>eff</w:t>
      </w:r>
      <w:r w:rsidRPr="00A428C3">
        <w:t xml:space="preserve"> was determined using the homogeneous Fickian diffusion model. The value of D</w:t>
      </w:r>
      <w:r w:rsidRPr="00A428C3">
        <w:rPr>
          <w:vertAlign w:val="subscript"/>
        </w:rPr>
        <w:t>eff</w:t>
      </w:r>
      <w:r w:rsidRPr="00A428C3">
        <w:t xml:space="preserve"> for acetic acid was about 1.5 times lactic acid. Because D-eff increased with linearly increasing bulk phase concentration C</w:t>
      </w:r>
      <w:r w:rsidRPr="00A428C3">
        <w:rPr>
          <w:vertAlign w:val="subscript"/>
        </w:rPr>
        <w:t>0</w:t>
      </w:r>
      <w:r w:rsidRPr="00A428C3">
        <w:t>, D</w:t>
      </w:r>
      <w:r w:rsidRPr="00A428C3">
        <w:rPr>
          <w:vertAlign w:val="subscript"/>
        </w:rPr>
        <w:t>eff</w:t>
      </w:r>
      <w:r w:rsidRPr="00A428C3">
        <w:t xml:space="preserve"> was separated to the solid-phase diffusivity D</w:t>
      </w:r>
      <w:r w:rsidRPr="00A428C3">
        <w:rPr>
          <w:vertAlign w:val="subscript"/>
        </w:rPr>
        <w:t>s</w:t>
      </w:r>
      <w:r w:rsidR="00F81221">
        <w:t xml:space="preserve"> and </w:t>
      </w:r>
      <w:r w:rsidRPr="00A428C3">
        <w:t>the macropore diffusivity D</w:t>
      </w:r>
      <w:r w:rsidRPr="00A428C3">
        <w:rPr>
          <w:vertAlign w:val="subscript"/>
        </w:rPr>
        <w:t>p</w:t>
      </w:r>
      <w:r w:rsidRPr="00A428C3">
        <w:t xml:space="preserve"> by applying the parallel diffusion model. The model agreed well with the experimental curves. The values of D</w:t>
      </w:r>
      <w:r w:rsidRPr="00A428C3">
        <w:rPr>
          <w:vertAlign w:val="subscript"/>
        </w:rPr>
        <w:t>s</w:t>
      </w:r>
      <w:r w:rsidR="00F81221">
        <w:t xml:space="preserve"> and </w:t>
      </w:r>
      <w:r w:rsidRPr="00A428C3">
        <w:t>D</w:t>
      </w:r>
      <w:r w:rsidRPr="00A428C3">
        <w:rPr>
          <w:vertAlign w:val="subscript"/>
        </w:rPr>
        <w:t>p</w:t>
      </w:r>
      <w:r w:rsidRPr="00A428C3">
        <w:t xml:space="preserve"> for acetic acid were about 2</w:t>
      </w:r>
      <w:r w:rsidR="00F81221">
        <w:t xml:space="preserve"> and </w:t>
      </w:r>
      <w:r w:rsidRPr="00A428C3">
        <w:t>1.5 times those of lactic acid, respectively. The acetic acid</w:t>
      </w:r>
      <w:r w:rsidR="00F81221">
        <w:t xml:space="preserve"> and </w:t>
      </w:r>
      <w:r w:rsidRPr="00A428C3">
        <w:t>the lactic acid may be separated by the difference of the diffusion rates.</w:t>
      </w:r>
    </w:p>
    <w:p w:rsidR="00B95188" w:rsidRPr="00A428C3" w:rsidRDefault="00B95188" w:rsidP="00B95188">
      <w:pPr>
        <w:pStyle w:val="a0"/>
      </w:pPr>
      <w:r w:rsidRPr="00A428C3">
        <w:t>Keywords: Binary-Systems, Adsorption, Equilibria, Sorption, Chitosan, Resins</w:t>
      </w:r>
    </w:p>
    <w:p w:rsidR="00B95188" w:rsidRPr="00A428C3" w:rsidRDefault="00B95188" w:rsidP="00B95188">
      <w:pPr>
        <w:pStyle w:val="a0"/>
      </w:pPr>
      <w:r w:rsidRPr="00A428C3">
        <w:lastRenderedPageBreak/>
        <w:t>Ioannidis, S.</w:t>
      </w:r>
      <w:r w:rsidR="00F81221">
        <w:t xml:space="preserve"> and </w:t>
      </w:r>
      <w:r w:rsidRPr="00A428C3">
        <w:t xml:space="preserve">Anderko, A. (2000), Thermodynamic modeling of molecular adsorption using parameters derived from binary surface excess data. </w:t>
      </w:r>
      <w:r w:rsidRPr="00A428C3">
        <w:rPr>
          <w:i/>
        </w:rPr>
        <w:t>Industrial &amp; Engineering Chemistry Research</w:t>
      </w:r>
      <w:r w:rsidRPr="00A428C3">
        <w:t xml:space="preserve">, </w:t>
      </w:r>
      <w:r w:rsidRPr="00A428C3">
        <w:rPr>
          <w:b/>
        </w:rPr>
        <w:t>39</w:t>
      </w:r>
      <w:r w:rsidRPr="00A428C3">
        <w:t xml:space="preserve"> (4), 1095-1105.</w:t>
      </w:r>
    </w:p>
    <w:p w:rsidR="00B95188" w:rsidRPr="00A428C3" w:rsidRDefault="00B95188" w:rsidP="00B95188">
      <w:pPr>
        <w:pStyle w:val="a0"/>
      </w:pPr>
      <w:r w:rsidRPr="00A428C3">
        <w:t xml:space="preserve">Full Text: </w:t>
      </w:r>
      <w:hyperlink r:id="rId1128" w:history="1">
        <w:r w:rsidRPr="00A428C3">
          <w:rPr>
            <w:rStyle w:val="a5"/>
          </w:rPr>
          <w:t>I\Ind Eng Che Res39, 1095.pdf</w:t>
        </w:r>
      </w:hyperlink>
    </w:p>
    <w:p w:rsidR="00B95188" w:rsidRPr="00A428C3" w:rsidRDefault="00B95188" w:rsidP="00B95188">
      <w:pPr>
        <w:pStyle w:val="a0"/>
      </w:pPr>
      <w:r w:rsidRPr="00A428C3">
        <w:t xml:space="preserve">Abstract: A methodology for modeling molecular adsorption in multicomponent systems has been developed. The adsorption process is described using the concept of exchange reactions at the solid-liquid interface. The nonideality of the adsorbed phase is represented using the </w:t>
      </w:r>
      <w:smartTag w:uri="urn:schemas-microsoft-com:office:smarttags" w:element="place">
        <w:smartTag w:uri="urn:schemas-microsoft-com:office:smarttags" w:element="City">
          <w:r w:rsidRPr="00A428C3">
            <w:t>Wilson</w:t>
          </w:r>
        </w:smartTag>
      </w:smartTag>
      <w:r w:rsidRPr="00A428C3">
        <w:t xml:space="preserve"> solution model. For the computation of the equilibrium bulk phase activity coefficients, the nonrandom two-liquid (NRTL) model is used. The model allows for the existence of multiple adsorbed layers at the interface. Binary surface excess data are used to derive equilibrium constants for each exchange reaction. The internal consistency of the methodology is verified by using two separate consistency tests, i.e., the triangular rule for equilibrium constants in ternary systems</w:t>
      </w:r>
      <w:r w:rsidR="00F81221">
        <w:t xml:space="preserve"> and </w:t>
      </w:r>
      <w:r w:rsidRPr="00A428C3">
        <w:t>the invariance of equilibrium constants with concentration. The model has been applied to a variety of concentrated or dilute systems, including mixtures with liquid-phase immiscibility. In all examined cases, accurate representation of experimental data has been obtained.</w:t>
      </w:r>
    </w:p>
    <w:p w:rsidR="00B95188" w:rsidRPr="00A428C3" w:rsidRDefault="00B95188" w:rsidP="00B95188">
      <w:pPr>
        <w:pStyle w:val="a0"/>
      </w:pPr>
      <w:r w:rsidRPr="00A428C3">
        <w:t>Keywords: Vapor-Liquid-Equilibria, Polynuclear Aromatic-Hydrocarbons, Benzene Plus Cyclohexane, Systems, Mixtures, Sorption, Isotherms, Soils, 1-Propanol, Sediments</w:t>
      </w:r>
    </w:p>
    <w:p w:rsidR="00B95188" w:rsidRPr="00A428C3" w:rsidRDefault="00B95188" w:rsidP="00B95188">
      <w:pPr>
        <w:pStyle w:val="a0"/>
      </w:pPr>
      <w:r w:rsidRPr="00A428C3">
        <w:t>Madsen, J., Pedersen, K.S.</w:t>
      </w:r>
      <w:r w:rsidR="00F81221">
        <w:t xml:space="preserve"> and </w:t>
      </w:r>
      <w:r w:rsidRPr="00A428C3">
        <w:t xml:space="preserve">Michelsen, M.L. (2000), Modeling of structure H hydrates using a Langmuir adsorption model. </w:t>
      </w:r>
      <w:r w:rsidRPr="00A428C3">
        <w:rPr>
          <w:i/>
        </w:rPr>
        <w:t>Industrial &amp; Engineering Chemistry Research</w:t>
      </w:r>
      <w:r w:rsidRPr="00A428C3">
        <w:t xml:space="preserve">, </w:t>
      </w:r>
      <w:r w:rsidRPr="00A428C3">
        <w:rPr>
          <w:b/>
        </w:rPr>
        <w:t>39</w:t>
      </w:r>
      <w:r w:rsidRPr="00A428C3">
        <w:t xml:space="preserve"> (4), 1111-1114.</w:t>
      </w:r>
    </w:p>
    <w:p w:rsidR="00B95188" w:rsidRPr="00A428C3" w:rsidRDefault="00B95188" w:rsidP="00B95188">
      <w:pPr>
        <w:pStyle w:val="a0"/>
      </w:pPr>
      <w:r w:rsidRPr="00A428C3">
        <w:t xml:space="preserve">Full Text: </w:t>
      </w:r>
      <w:hyperlink r:id="rId1129" w:history="1">
        <w:r w:rsidRPr="00A428C3">
          <w:rPr>
            <w:rStyle w:val="a5"/>
          </w:rPr>
          <w:t>I\Ind Eng Che Res39, 1111.pdf</w:t>
        </w:r>
      </w:hyperlink>
    </w:p>
    <w:p w:rsidR="00B95188" w:rsidRPr="00A428C3" w:rsidRDefault="00B95188" w:rsidP="00B95188">
      <w:pPr>
        <w:pStyle w:val="a0"/>
        <w:rPr>
          <w:rFonts w:eastAsia="Arial Unicode MS"/>
        </w:rPr>
      </w:pPr>
      <w:r w:rsidRPr="00A428C3">
        <w:t>Abstract: A Langmuir adsorption model is used to represent the conditions at which structure H hydrates may form. The two smaller cavities of structure H hydrates are of similar size</w:t>
      </w:r>
      <w:r w:rsidR="00F81221">
        <w:t xml:space="preserve"> and </w:t>
      </w:r>
      <w:r w:rsidRPr="00A428C3">
        <w:t>are modeled using the same Langmuir constants. Parameters in a simple two-parameter Langmuir expression have been estimated for methane</w:t>
      </w:r>
      <w:r w:rsidR="00F81221">
        <w:t xml:space="preserve"> and </w:t>
      </w:r>
      <w:r w:rsidRPr="00A428C3">
        <w:t>nitrogen as guest molecules of the smaller cavities</w:t>
      </w:r>
      <w:r w:rsidR="00F81221">
        <w:t xml:space="preserve"> and </w:t>
      </w:r>
      <w:r w:rsidRPr="00A428C3">
        <w:t>for 12 possible guest molecules of the large cavity. The latter ones are all hydrocarbons with from 5 to 8 carbon atoms. Experimental hydrate formation temperatures are correlated with an average absolute temperature deviation of 0.15 K. Hydrate formation data for two ternary mixtures not used in the parameter estimation are modeled with approximately the same accuracy.</w:t>
      </w:r>
    </w:p>
    <w:p w:rsidR="00B95188" w:rsidRPr="00A428C3" w:rsidRDefault="00B95188" w:rsidP="00B95188">
      <w:pPr>
        <w:pStyle w:val="a0"/>
      </w:pPr>
      <w:r w:rsidRPr="00A428C3">
        <w:t>Keywords: Flash Calculations, Phase-Equilibrium, Methane, State</w:t>
      </w:r>
    </w:p>
    <w:p w:rsidR="00B95188" w:rsidRPr="00A428C3" w:rsidRDefault="00B95188" w:rsidP="00B95188">
      <w:pPr>
        <w:pStyle w:val="a0"/>
      </w:pPr>
      <w:r w:rsidRPr="00A428C3">
        <w:t>Cunill, F., Iborra, M., Fite, C., Tejero, J.</w:t>
      </w:r>
      <w:r w:rsidR="00F81221">
        <w:t xml:space="preserve"> and </w:t>
      </w:r>
      <w:r w:rsidRPr="00A428C3">
        <w:t>Izquierdo, J.F. (2000), Conversion, selectivity,</w:t>
      </w:r>
      <w:r w:rsidR="00F81221">
        <w:t xml:space="preserve"> and </w:t>
      </w:r>
      <w:r w:rsidRPr="00A428C3">
        <w:t xml:space="preserve">kinetics of the addition of isopropanol to isobutene catalyzed by a macroporous ion-exchange resin. </w:t>
      </w:r>
      <w:r w:rsidRPr="00A428C3">
        <w:rPr>
          <w:i/>
        </w:rPr>
        <w:t>Industrial &amp; Engineering Chemistry Research</w:t>
      </w:r>
      <w:r w:rsidRPr="00A428C3">
        <w:t xml:space="preserve">, </w:t>
      </w:r>
      <w:r w:rsidRPr="00A428C3">
        <w:rPr>
          <w:b/>
        </w:rPr>
        <w:t>39</w:t>
      </w:r>
      <w:r w:rsidRPr="00A428C3">
        <w:t xml:space="preserve"> (5), 1235-1241.</w:t>
      </w:r>
    </w:p>
    <w:p w:rsidR="00B95188" w:rsidRPr="00A428C3" w:rsidRDefault="00B95188" w:rsidP="00B95188">
      <w:pPr>
        <w:pStyle w:val="a0"/>
      </w:pPr>
      <w:r w:rsidRPr="00A428C3">
        <w:lastRenderedPageBreak/>
        <w:t xml:space="preserve">Full Text: </w:t>
      </w:r>
      <w:hyperlink r:id="rId1130" w:history="1">
        <w:r w:rsidRPr="00A428C3">
          <w:rPr>
            <w:rStyle w:val="a5"/>
          </w:rPr>
          <w:t>I\Ind Eng Che Res39, 1235.pdf</w:t>
        </w:r>
      </w:hyperlink>
    </w:p>
    <w:p w:rsidR="00B95188" w:rsidRPr="00A428C3" w:rsidRDefault="00B95188" w:rsidP="00B95188">
      <w:pPr>
        <w:pStyle w:val="a0"/>
        <w:rPr>
          <w:rFonts w:eastAsia="Arial Unicode MS"/>
        </w:rPr>
      </w:pPr>
      <w:r w:rsidRPr="00A428C3">
        <w:t>Abstract: Equilibrium conversion, selectivity,</w:t>
      </w:r>
      <w:r w:rsidR="00F81221">
        <w:t xml:space="preserve"> and </w:t>
      </w:r>
      <w:r w:rsidRPr="00A428C3">
        <w:t>kinetics of the liquid-phase synthesis of isopropyl tert-butyl ether (IPTBE) from 2-propanol</w:t>
      </w:r>
      <w:r w:rsidR="00F81221">
        <w:t xml:space="preserve"> and </w:t>
      </w:r>
      <w:r w:rsidRPr="00A428C3">
        <w:t>isobutene were studied experimentally over a commercial ion-exchange resin in the temperature range 303-353 K at 1.6 MPa. The isobutene equilibrium conversion hardly changes upon varying the initial molar ratio of 2-propanol to isobutene. The IPTBE yield is very high</w:t>
      </w:r>
      <w:r w:rsidR="00F81221">
        <w:t xml:space="preserve"> and </w:t>
      </w:r>
      <w:r w:rsidRPr="00A428C3">
        <w:t>is independent of temperature for an initial molar ratio for 2-propanol to isobutene greater than 2. The best kinetic model stems from a mechanism in which 2-propanol, adsorbed on one center, reacts either with isobutene adsorbed on one adjacent center or with isobutene from solution to give the ether adsorbed on one center. The surface reaction is the rate-limiting step, in which three centers take part. An apparent activation energy of 75.5 kJ.mol</w:t>
      </w:r>
      <w:r w:rsidRPr="00A428C3">
        <w:rPr>
          <w:vertAlign w:val="superscript"/>
        </w:rPr>
        <w:t>-1</w:t>
      </w:r>
      <w:r w:rsidRPr="00A428C3">
        <w:t xml:space="preserve"> was obtained.</w:t>
      </w:r>
    </w:p>
    <w:p w:rsidR="00B95188" w:rsidRPr="00A428C3" w:rsidRDefault="00B95188" w:rsidP="00B95188">
      <w:pPr>
        <w:pStyle w:val="a0"/>
      </w:pPr>
      <w:r w:rsidRPr="00A428C3">
        <w:t>Keywords: Tert-Butyl Ether, Liquid-Phase Synthesis, Alcohols, Olefins, Etherification, 2-Propanol, Benzene</w:t>
      </w:r>
    </w:p>
    <w:p w:rsidR="00B95188" w:rsidRPr="00A428C3" w:rsidRDefault="00B95188" w:rsidP="00B95188">
      <w:pPr>
        <w:pStyle w:val="a0"/>
      </w:pPr>
      <w:smartTag w:uri="urn:schemas-microsoft-com:office:smarttags" w:element="City">
        <w:r w:rsidRPr="00A428C3">
          <w:t>Serre</w:t>
        </w:r>
      </w:smartTag>
      <w:r w:rsidRPr="00A428C3">
        <w:t>, S.D.</w:t>
      </w:r>
      <w:r w:rsidR="00F81221">
        <w:t xml:space="preserve"> and </w:t>
      </w:r>
      <w:r w:rsidRPr="00A428C3">
        <w:t xml:space="preserve">Silcox, G.D. (2000), Adsorption of elemental mercury on the residual carbon in coal fly ash. </w:t>
      </w:r>
      <w:r w:rsidRPr="00A428C3">
        <w:rPr>
          <w:i/>
        </w:rPr>
        <w:t>Industrial &amp; Engineering Chemistry Research</w:t>
      </w:r>
      <w:r w:rsidRPr="00A428C3">
        <w:t xml:space="preserve">, </w:t>
      </w:r>
      <w:r w:rsidRPr="00A428C3">
        <w:rPr>
          <w:b/>
        </w:rPr>
        <w:t>39</w:t>
      </w:r>
      <w:r w:rsidRPr="00A428C3">
        <w:t xml:space="preserve"> (6), 1723-1730.</w:t>
      </w:r>
    </w:p>
    <w:p w:rsidR="00B95188" w:rsidRPr="00A428C3" w:rsidRDefault="00B95188" w:rsidP="00B95188">
      <w:pPr>
        <w:pStyle w:val="a0"/>
      </w:pPr>
      <w:r w:rsidRPr="00A428C3">
        <w:t xml:space="preserve">Full Text: </w:t>
      </w:r>
      <w:hyperlink r:id="rId1131" w:history="1">
        <w:r w:rsidRPr="00A428C3">
          <w:rPr>
            <w:rStyle w:val="a5"/>
          </w:rPr>
          <w:t>I\Ind Eng Che Res39, 1723.pdf</w:t>
        </w:r>
      </w:hyperlink>
    </w:p>
    <w:p w:rsidR="00B95188" w:rsidRPr="00A428C3" w:rsidRDefault="00B95188" w:rsidP="00B95188">
      <w:pPr>
        <w:pStyle w:val="a0"/>
        <w:rPr>
          <w:rFonts w:eastAsia="Arial Unicode MS"/>
        </w:rPr>
      </w:pPr>
      <w:r w:rsidRPr="00A428C3">
        <w:t>Abstract: The injection of large quantities of pulverized activated carbon is one method used to remove elemental mercury (Hg</w:t>
      </w:r>
      <w:r w:rsidRPr="00A428C3">
        <w:rPr>
          <w:vertAlign w:val="subscript"/>
        </w:rPr>
        <w:t>0</w:t>
      </w:r>
      <w:r w:rsidRPr="00A428C3">
        <w:t>) from flue gas streams. The purpose of this project was to determine whether the unburned carbon that remains in coal fly ash could be used as an inexpensive</w:t>
      </w:r>
      <w:r w:rsidR="00F81221">
        <w:t xml:space="preserve"> and </w:t>
      </w:r>
      <w:r w:rsidRPr="00A428C3">
        <w:t>effective replacement for activated carbon. Bench-scale tests were conducted at conditions representative of those found in the flue gas trains of coal-fired power plants</w:t>
      </w:r>
      <w:r w:rsidR="00F81221">
        <w:t xml:space="preserve"> and </w:t>
      </w:r>
      <w:r w:rsidRPr="00A428C3">
        <w:t>municipal waste incinerators. The temperatures</w:t>
      </w:r>
      <w:r w:rsidR="00F81221">
        <w:t xml:space="preserve"> and </w:t>
      </w:r>
      <w:r w:rsidRPr="00A428C3">
        <w:t>concentrations ranged from 121 to 177 degrees C</w:t>
      </w:r>
      <w:r w:rsidR="00F81221">
        <w:t xml:space="preserve"> and </w:t>
      </w:r>
      <w:r w:rsidRPr="00A428C3">
        <w:t>from 0.019 to 11.7 mg of Hg/m</w:t>
      </w:r>
      <w:r w:rsidRPr="00A428C3">
        <w:rPr>
          <w:vertAlign w:val="subscript"/>
        </w:rPr>
        <w:t>3</w:t>
      </w:r>
      <w:r w:rsidRPr="00A428C3">
        <w:t>. Two types of data were obtained: equilibrium data suitable for obtaining adsorption isotherms</w:t>
      </w:r>
      <w:r w:rsidR="00F81221">
        <w:t xml:space="preserve"> and </w:t>
      </w:r>
      <w:r w:rsidRPr="00A428C3">
        <w:t>breakthrough data suitable for obtaining adsorption kinetics. Adsorbed-phase concentrations were as high as 600 ppm. Forward adsorption rate constants were approximate to 0.06</w:t>
      </w:r>
      <w:smartTag w:uri="urn:schemas-microsoft-com:office:smarttags" w:element="chmetcnv">
        <w:smartTagPr>
          <w:attr w:name="TCSC" w:val="0"/>
          <w:attr w:name="NumberType" w:val="1"/>
          <w:attr w:name="Negative" w:val="True"/>
          <w:attr w:name="HasSpace" w:val="True"/>
          <w:attr w:name="SourceValue" w:val="2.3"/>
          <w:attr w:name="UnitName" w:val="m3"/>
        </w:smartTagPr>
        <w:r w:rsidRPr="00A428C3">
          <w:t>-2.3 m</w:t>
        </w:r>
        <w:r w:rsidRPr="00A428C3">
          <w:rPr>
            <w:vertAlign w:val="superscript"/>
          </w:rPr>
          <w:t>3</w:t>
        </w:r>
      </w:smartTag>
      <w:r w:rsidRPr="00A428C3">
        <w:t>/g/s for particle sizes</w:t>
      </w:r>
      <w:r w:rsidR="00F81221">
        <w:t xml:space="preserve"> and </w:t>
      </w:r>
      <w:r w:rsidRPr="00A428C3">
        <w:t>carbon contents ranging from 59 to 206 µm</w:t>
      </w:r>
      <w:r w:rsidR="00F81221">
        <w:t xml:space="preserve"> and </w:t>
      </w:r>
      <w:r w:rsidRPr="00A428C3">
        <w:t>from 2% to 36%. Mathematical models were developed to simulate the capture of Hg</w:t>
      </w:r>
      <w:smartTag w:uri="urn:schemas-microsoft-com:office:smarttags" w:element="chmetcnv">
        <w:smartTagPr>
          <w:attr w:name="TCSC" w:val="0"/>
          <w:attr w:name="NumberType" w:val="1"/>
          <w:attr w:name="Negative" w:val="False"/>
          <w:attr w:name="HasSpace" w:val="True"/>
          <w:attr w:name="SourceValue" w:val="0"/>
          <w:attr w:name="UnitName" w:val="in"/>
        </w:smartTagPr>
        <w:r w:rsidRPr="00A428C3">
          <w:rPr>
            <w:vertAlign w:val="subscript"/>
          </w:rPr>
          <w:t>0</w:t>
        </w:r>
        <w:r w:rsidRPr="00A428C3">
          <w:t xml:space="preserve"> in</w:t>
        </w:r>
      </w:smartTag>
      <w:r w:rsidRPr="00A428C3">
        <w:t xml:space="preserve"> flue gas ducts</w:t>
      </w:r>
      <w:r w:rsidR="00F81221">
        <w:t xml:space="preserve"> and </w:t>
      </w:r>
      <w:r w:rsidRPr="00A428C3">
        <w:t>in baghouses. The results of the simulations indicate that a negligible amount of Hg</w:t>
      </w:r>
      <w:r w:rsidRPr="00A428C3">
        <w:rPr>
          <w:vertAlign w:val="subscript"/>
        </w:rPr>
        <w:t>0</w:t>
      </w:r>
      <w:r w:rsidRPr="00A428C3">
        <w:t xml:space="preserve"> can be adsorbed by a dilute suspension of fly ash. The best option for controlling Hg</w:t>
      </w:r>
      <w:r w:rsidRPr="00A428C3">
        <w:rPr>
          <w:vertAlign w:val="subscript"/>
        </w:rPr>
        <w:t>0</w:t>
      </w:r>
      <w:r w:rsidRPr="00A428C3">
        <w:t xml:space="preserve"> emissions using fly ash appears to be injection in pulses prior to a baghouse.</w:t>
      </w:r>
    </w:p>
    <w:p w:rsidR="00B95188" w:rsidRPr="00A428C3" w:rsidRDefault="00B95188" w:rsidP="00B95188">
      <w:pPr>
        <w:pStyle w:val="a0"/>
      </w:pPr>
      <w:r w:rsidRPr="00A428C3">
        <w:t>Keywords: Power-Plants</w:t>
      </w:r>
    </w:p>
    <w:p w:rsidR="00B95188" w:rsidRPr="00A428C3" w:rsidRDefault="00B95188" w:rsidP="00B95188">
      <w:pPr>
        <w:pStyle w:val="a0"/>
      </w:pPr>
      <w:r w:rsidRPr="00A428C3">
        <w:t>Di Blasi, C.</w:t>
      </w:r>
      <w:r w:rsidR="00F81221">
        <w:t xml:space="preserve"> and </w:t>
      </w:r>
      <w:r w:rsidRPr="00A428C3">
        <w:t xml:space="preserve">Branca, C. (2000), The effects of water leaching on the isothermal degradation kinetics of straw. </w:t>
      </w:r>
      <w:r w:rsidRPr="00A428C3">
        <w:rPr>
          <w:i/>
        </w:rPr>
        <w:t>Industrial &amp; Engineering Chemistry Research</w:t>
      </w:r>
      <w:r w:rsidRPr="00A428C3">
        <w:t xml:space="preserve">, </w:t>
      </w:r>
      <w:r w:rsidRPr="00A428C3">
        <w:rPr>
          <w:b/>
        </w:rPr>
        <w:t>39</w:t>
      </w:r>
      <w:r w:rsidRPr="00A428C3">
        <w:t xml:space="preserve"> (7), 2169-2174.</w:t>
      </w:r>
    </w:p>
    <w:p w:rsidR="00B95188" w:rsidRPr="00A428C3" w:rsidRDefault="00B95188" w:rsidP="00B95188">
      <w:pPr>
        <w:pStyle w:val="a0"/>
      </w:pPr>
      <w:r w:rsidRPr="00A428C3">
        <w:t xml:space="preserve">Full Text: </w:t>
      </w:r>
      <w:hyperlink r:id="rId1132" w:history="1">
        <w:r w:rsidRPr="00A428C3">
          <w:rPr>
            <w:rStyle w:val="a5"/>
          </w:rPr>
          <w:t>I\Ind Eng Che Res39, 2169.pdf</w:t>
        </w:r>
      </w:hyperlink>
    </w:p>
    <w:p w:rsidR="00B95188" w:rsidRPr="00A428C3" w:rsidRDefault="00B95188" w:rsidP="00B95188">
      <w:pPr>
        <w:pStyle w:val="a0"/>
        <w:rPr>
          <w:rFonts w:eastAsia="Arial Unicode MS"/>
        </w:rPr>
      </w:pPr>
      <w:r w:rsidRPr="00A428C3">
        <w:lastRenderedPageBreak/>
        <w:t>Abstract: The degradation kinetics of untreated</w:t>
      </w:r>
      <w:r w:rsidR="00F81221">
        <w:t xml:space="preserve"> and </w:t>
      </w:r>
      <w:r w:rsidRPr="00A428C3">
        <w:t>rain-leached (wheat) straw have been investigated under isothermal conditions (500-650 K) in a weakly oxidative atmosphere. For both cases, weight loss curves follow a two reaction zone mechanism. In the first, fast volatile release results in about 20-70% solid conversion, followed by further slow solid devolatilization. A semiglobal kinetic mechanism is proposed</w:t>
      </w:r>
      <w:r w:rsidR="00F81221">
        <w:t xml:space="preserve"> and </w:t>
      </w:r>
      <w:r w:rsidRPr="00A428C3">
        <w:t>the kinetic constants are estimated for the two reaction zones</w:t>
      </w:r>
      <w:r w:rsidR="00F81221">
        <w:t xml:space="preserve"> and </w:t>
      </w:r>
      <w:r w:rsidRPr="00A428C3">
        <w:t>the formation of the volatile</w:t>
      </w:r>
      <w:r w:rsidR="00F81221">
        <w:t xml:space="preserve"> and </w:t>
      </w:r>
      <w:r w:rsidRPr="00A428C3">
        <w:t>the solid-phase product classes. For both cases, the activation energy of the first zone is higher than that of the second, but leaching significantly reduces the reaction rates at low temperatures for the first zone</w:t>
      </w:r>
      <w:r w:rsidR="00F81221">
        <w:t xml:space="preserve"> and </w:t>
      </w:r>
      <w:r w:rsidRPr="00A428C3">
        <w:t>high temperatures for the second zone.</w:t>
      </w:r>
    </w:p>
    <w:p w:rsidR="00B95188" w:rsidRPr="00A428C3" w:rsidRDefault="00B95188" w:rsidP="00B95188">
      <w:pPr>
        <w:pStyle w:val="a0"/>
      </w:pPr>
      <w:r w:rsidRPr="00A428C3">
        <w:t>Keywords: Pyrolysis Characteristics, Thermal-Decomposition, Biomass, Cellulose, Release</w:t>
      </w:r>
    </w:p>
    <w:p w:rsidR="00B95188" w:rsidRPr="00A428C3" w:rsidRDefault="00B95188" w:rsidP="00B95188">
      <w:pPr>
        <w:pStyle w:val="a0"/>
      </w:pPr>
      <w:r w:rsidRPr="00A428C3">
        <w:t>Xu, G.W., Luo, G.H., Akamatsu, H.</w:t>
      </w:r>
      <w:r w:rsidR="00F81221">
        <w:t xml:space="preserve"> and </w:t>
      </w:r>
      <w:r w:rsidRPr="00A428C3">
        <w:t xml:space="preserve">Kato, K. (2000), An adaptive sorbent for the combined desulfurization/denitration process using a powder-particle fluidized bed. </w:t>
      </w:r>
      <w:r w:rsidRPr="00A428C3">
        <w:rPr>
          <w:i/>
        </w:rPr>
        <w:t>Industrial &amp; Engineering Chemistry Research</w:t>
      </w:r>
      <w:r w:rsidRPr="00A428C3">
        <w:t xml:space="preserve">, </w:t>
      </w:r>
      <w:r w:rsidRPr="00A428C3">
        <w:rPr>
          <w:b/>
        </w:rPr>
        <w:t>39</w:t>
      </w:r>
      <w:r w:rsidRPr="00A428C3">
        <w:t xml:space="preserve"> (7), 2190-2198.</w:t>
      </w:r>
    </w:p>
    <w:p w:rsidR="00B95188" w:rsidRPr="00A428C3" w:rsidRDefault="00B95188" w:rsidP="00B95188">
      <w:pPr>
        <w:pStyle w:val="a0"/>
      </w:pPr>
      <w:r w:rsidRPr="00A428C3">
        <w:t xml:space="preserve">Full Text: </w:t>
      </w:r>
      <w:hyperlink r:id="rId1133" w:history="1">
        <w:r w:rsidRPr="00A428C3">
          <w:rPr>
            <w:rStyle w:val="a5"/>
          </w:rPr>
          <w:t>I\Ind Eng Che Res39, 2190.pdf</w:t>
        </w:r>
      </w:hyperlink>
    </w:p>
    <w:p w:rsidR="00B95188" w:rsidRPr="00A428C3" w:rsidRDefault="00B95188" w:rsidP="00B95188">
      <w:pPr>
        <w:pStyle w:val="a0"/>
        <w:rPr>
          <w:rFonts w:eastAsia="Arial Unicode MS"/>
        </w:rPr>
      </w:pPr>
      <w:r w:rsidRPr="00A428C3">
        <w:t>Abstract: This study is devoted to examining an adaptive sorbent for the combined desulfurization/ denitration (DeSO</w:t>
      </w:r>
      <w:r w:rsidRPr="00A428C3">
        <w:rPr>
          <w:vertAlign w:val="subscript"/>
        </w:rPr>
        <w:t>X</w:t>
      </w:r>
      <w:r w:rsidRPr="00A428C3">
        <w:t>/DeNO</w:t>
      </w:r>
      <w:r w:rsidRPr="00A428C3">
        <w:rPr>
          <w:vertAlign w:val="subscript"/>
        </w:rPr>
        <w:t>X</w:t>
      </w:r>
      <w:r w:rsidRPr="00A428C3">
        <w:t>) process reported in work by Xu et al. (Trans. Inst. Chem. Eng. 1999, 77, Part B, 77-87). The so-called powder-particle fluidized bed (PPFB) is used by the process so that SO</w:t>
      </w:r>
      <w:r w:rsidRPr="00A428C3">
        <w:rPr>
          <w:vertAlign w:val="subscript"/>
        </w:rPr>
        <w:t>X</w:t>
      </w:r>
      <w:r w:rsidRPr="00A428C3">
        <w:t xml:space="preserve"> in flue gas is absorbed by a continuously supplied fine DeSO</w:t>
      </w:r>
      <w:r w:rsidRPr="00A428C3">
        <w:rPr>
          <w:vertAlign w:val="subscript"/>
        </w:rPr>
        <w:t>X</w:t>
      </w:r>
      <w:r w:rsidRPr="00A428C3">
        <w:t xml:space="preserve"> sorbent</w:t>
      </w:r>
      <w:r w:rsidR="00F81221">
        <w:t xml:space="preserve"> and </w:t>
      </w:r>
      <w:r w:rsidRPr="00A428C3">
        <w:t>NOx is reduced to N</w:t>
      </w:r>
      <w:r w:rsidRPr="00A428C3">
        <w:rPr>
          <w:vertAlign w:val="subscript"/>
        </w:rPr>
        <w:t>2</w:t>
      </w:r>
      <w:r w:rsidRPr="00A428C3">
        <w:t xml:space="preserve"> by ammonia under the catalysis of a coarse DeNO</w:t>
      </w:r>
      <w:r w:rsidRPr="00A428C3">
        <w:rPr>
          <w:vertAlign w:val="subscript"/>
        </w:rPr>
        <w:t>X</w:t>
      </w:r>
      <w:r w:rsidRPr="00A428C3">
        <w:t xml:space="preserve"> catalyst, the fluidization medium particles (FMP). Experiments were conducted in a laboratory-scale PPFB reactor by using model flue gases containing SO</w:t>
      </w:r>
      <w:r w:rsidRPr="00A428C3">
        <w:rPr>
          <w:vertAlign w:val="subscript"/>
        </w:rPr>
        <w:t>2</w:t>
      </w:r>
      <w:r w:rsidR="00F81221">
        <w:t xml:space="preserve"> and </w:t>
      </w:r>
      <w:r w:rsidRPr="00A428C3">
        <w:t>NO. It was found that the sodium carbonate supported by fine alumina particles (Na</w:t>
      </w:r>
      <w:r w:rsidRPr="00A428C3">
        <w:rPr>
          <w:vertAlign w:val="subscript"/>
        </w:rPr>
        <w:t>2</w:t>
      </w:r>
      <w:r w:rsidRPr="00A428C3">
        <w:t>CO</w:t>
      </w:r>
      <w:r w:rsidRPr="00A428C3">
        <w:rPr>
          <w:vertAlign w:val="subscript"/>
        </w:rPr>
        <w:t>3</w:t>
      </w:r>
      <w:r w:rsidRPr="00A428C3">
        <w:t>/Al</w:t>
      </w:r>
      <w:r w:rsidRPr="00A428C3">
        <w:rPr>
          <w:vertAlign w:val="subscript"/>
        </w:rPr>
        <w:t>2</w:t>
      </w:r>
      <w:r w:rsidRPr="00A428C3">
        <w:t>O</w:t>
      </w:r>
      <w:r w:rsidRPr="00A428C3">
        <w:rPr>
          <w:vertAlign w:val="subscript"/>
        </w:rPr>
        <w:t>3</w:t>
      </w:r>
      <w:r w:rsidRPr="00A428C3">
        <w:t>) had not only a high efficiency in absorbing SO</w:t>
      </w:r>
      <w:r w:rsidRPr="00A428C3">
        <w:rPr>
          <w:vertAlign w:val="subscript"/>
        </w:rPr>
        <w:t>2</w:t>
      </w:r>
      <w:r w:rsidRPr="00A428C3">
        <w:t xml:space="preserve"> but also little negative effect upon the simultaneous NOx reduction of the process. Using a DeNO</w:t>
      </w:r>
      <w:r w:rsidRPr="00A428C3">
        <w:rPr>
          <w:vertAlign w:val="subscript"/>
        </w:rPr>
        <w:t>X</w:t>
      </w:r>
      <w:r w:rsidRPr="00A428C3">
        <w:t xml:space="preserve"> catalyst, such as V</w:t>
      </w:r>
      <w:r w:rsidRPr="00A428C3">
        <w:rPr>
          <w:vertAlign w:val="subscript"/>
        </w:rPr>
        <w:t>2</w:t>
      </w:r>
      <w:r w:rsidRPr="00A428C3">
        <w:t>O</w:t>
      </w:r>
      <w:r w:rsidRPr="00A428C3">
        <w:rPr>
          <w:vertAlign w:val="subscript"/>
        </w:rPr>
        <w:t>5</w:t>
      </w:r>
      <w:r w:rsidRPr="00A428C3">
        <w:t>. WO</w:t>
      </w:r>
      <w:r w:rsidRPr="00A428C3">
        <w:rPr>
          <w:vertAlign w:val="subscript"/>
        </w:rPr>
        <w:t>3</w:t>
      </w:r>
      <w:r w:rsidRPr="00A428C3">
        <w:t>/TiO</w:t>
      </w:r>
      <w:r w:rsidRPr="00A428C3">
        <w:rPr>
          <w:vertAlign w:val="subscript"/>
        </w:rPr>
        <w:t>2</w:t>
      </w:r>
      <w:r w:rsidRPr="00A428C3">
        <w:t xml:space="preserve"> or WO</w:t>
      </w:r>
      <w:r w:rsidRPr="00A428C3">
        <w:rPr>
          <w:vertAlign w:val="subscript"/>
        </w:rPr>
        <w:t>3</w:t>
      </w:r>
      <w:r w:rsidRPr="00A428C3">
        <w:t>/TiO</w:t>
      </w:r>
      <w:r w:rsidRPr="00A428C3">
        <w:rPr>
          <w:vertAlign w:val="subscript"/>
        </w:rPr>
        <w:t>2</w:t>
      </w:r>
      <w:r w:rsidRPr="00A428C3">
        <w:t>, to catalyze the DeNO</w:t>
      </w:r>
      <w:r w:rsidRPr="00A428C3">
        <w:rPr>
          <w:vertAlign w:val="subscript"/>
        </w:rPr>
        <w:t>X</w:t>
      </w:r>
      <w:r w:rsidRPr="00A428C3">
        <w:t xml:space="preserve"> reactions, high SO</w:t>
      </w:r>
      <w:r w:rsidRPr="00A428C3">
        <w:rPr>
          <w:vertAlign w:val="subscript"/>
        </w:rPr>
        <w:t>2</w:t>
      </w:r>
      <w:r w:rsidRPr="00A428C3">
        <w:t xml:space="preserve"> absorption</w:t>
      </w:r>
      <w:r w:rsidR="00F81221">
        <w:t xml:space="preserve"> and </w:t>
      </w:r>
      <w:r w:rsidRPr="00A428C3">
        <w:t>NO reduction in excess of 95% were achieved for model gases free of CO</w:t>
      </w:r>
      <w:r w:rsidRPr="00A428C3">
        <w:rPr>
          <w:vertAlign w:val="subscript"/>
        </w:rPr>
        <w:t>2</w:t>
      </w:r>
      <w:r w:rsidRPr="00A428C3">
        <w:t xml:space="preserve"> at stoichiometric ratios of SO</w:t>
      </w:r>
      <w:r w:rsidRPr="00A428C3">
        <w:rPr>
          <w:vertAlign w:val="subscript"/>
        </w:rPr>
        <w:t>2</w:t>
      </w:r>
      <w:r w:rsidRPr="00A428C3">
        <w:t xml:space="preserve"> to sorbent (Na/S = 2.0)</w:t>
      </w:r>
      <w:r w:rsidR="00F81221">
        <w:t xml:space="preserve"> and </w:t>
      </w:r>
      <w:r w:rsidRPr="00A428C3">
        <w:t>NH</w:t>
      </w:r>
      <w:r w:rsidRPr="00A428C3">
        <w:rPr>
          <w:vertAlign w:val="subscript"/>
        </w:rPr>
        <w:t>3</w:t>
      </w:r>
      <w:r w:rsidRPr="00A428C3">
        <w:t xml:space="preserve"> to NO (NH</w:t>
      </w:r>
      <w:r w:rsidRPr="00A428C3">
        <w:rPr>
          <w:vertAlign w:val="subscript"/>
        </w:rPr>
        <w:t>3</w:t>
      </w:r>
      <w:r w:rsidRPr="00A428C3">
        <w:t>/NO = 1). As for the simulated flue gas SO</w:t>
      </w:r>
      <w:r w:rsidRPr="00A428C3">
        <w:rPr>
          <w:vertAlign w:val="subscript"/>
        </w:rPr>
        <w:t>2</w:t>
      </w:r>
      <w:r w:rsidRPr="00A428C3">
        <w:t>-NO-H</w:t>
      </w:r>
      <w:r w:rsidRPr="00A428C3">
        <w:rPr>
          <w:vertAlign w:val="subscript"/>
        </w:rPr>
        <w:t>2</w:t>
      </w:r>
      <w:r w:rsidRPr="00A428C3">
        <w:t>O-N</w:t>
      </w:r>
      <w:r w:rsidRPr="00A428C3">
        <w:rPr>
          <w:vertAlign w:val="subscript"/>
        </w:rPr>
        <w:t>2</w:t>
      </w:r>
      <w:r w:rsidRPr="00A428C3">
        <w:t>-air with an oxygen fraction of 2 vol %</w:t>
      </w:r>
      <w:r w:rsidR="00F81221">
        <w:t xml:space="preserve"> and </w:t>
      </w:r>
      <w:r w:rsidRPr="00A428C3">
        <w:t>a water vapor fraction of 5 vol %, such high removals of SO</w:t>
      </w:r>
      <w:r w:rsidRPr="00A428C3">
        <w:rPr>
          <w:vertAlign w:val="subscript"/>
        </w:rPr>
        <w:t>2</w:t>
      </w:r>
      <w:r w:rsidR="00F81221">
        <w:t xml:space="preserve"> and </w:t>
      </w:r>
      <w:r w:rsidRPr="00A428C3">
        <w:t xml:space="preserve">NO were found available even in a shallow PPFB with a static catalyst packing height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By using silica sand as FMP, the pure SO</w:t>
      </w:r>
      <w:r w:rsidRPr="00A428C3">
        <w:rPr>
          <w:vertAlign w:val="subscript"/>
        </w:rPr>
        <w:t>2</w:t>
      </w:r>
      <w:r w:rsidRPr="00A428C3">
        <w:t xml:space="preserve"> absorption by the sorbent Na</w:t>
      </w:r>
      <w:r w:rsidRPr="00A428C3">
        <w:rPr>
          <w:vertAlign w:val="subscript"/>
        </w:rPr>
        <w:t>2</w:t>
      </w:r>
      <w:r w:rsidRPr="00A428C3">
        <w:t>CO</w:t>
      </w:r>
      <w:r w:rsidRPr="00A428C3">
        <w:rPr>
          <w:vertAlign w:val="subscript"/>
        </w:rPr>
        <w:t>3</w:t>
      </w:r>
      <w:r w:rsidRPr="00A428C3">
        <w:t>/Al</w:t>
      </w:r>
      <w:r w:rsidRPr="00A428C3">
        <w:rPr>
          <w:vertAlign w:val="subscript"/>
        </w:rPr>
        <w:t>2</w:t>
      </w:r>
      <w:r w:rsidRPr="00A428C3">
        <w:t>O</w:t>
      </w:r>
      <w:r w:rsidRPr="00A428C3">
        <w:rPr>
          <w:vertAlign w:val="subscript"/>
        </w:rPr>
        <w:t>3</w:t>
      </w:r>
      <w:r w:rsidRPr="00A428C3">
        <w:t xml:space="preserve"> was also examined with respect to various influential factors, such as reaction temperature (523-673 K), flue gas composition (oxygen fraction</w:t>
      </w:r>
      <w:r w:rsidR="00F81221">
        <w:t xml:space="preserve"> and </w:t>
      </w:r>
      <w:r w:rsidRPr="00A428C3">
        <w:t>water vapor fraction), sorbent diameter,</w:t>
      </w:r>
      <w:r w:rsidR="00F81221">
        <w:t xml:space="preserve"> and </w:t>
      </w:r>
      <w:r w:rsidRPr="00A428C3">
        <w:t>operating conditions (gas velocity</w:t>
      </w:r>
      <w:r w:rsidR="00F81221">
        <w:t xml:space="preserve"> and </w:t>
      </w:r>
      <w:r w:rsidRPr="00A428C3">
        <w:t>FMP bed height).</w:t>
      </w:r>
    </w:p>
    <w:p w:rsidR="00B95188" w:rsidRPr="00A428C3" w:rsidRDefault="00B95188" w:rsidP="00B95188">
      <w:pPr>
        <w:pStyle w:val="a0"/>
      </w:pPr>
      <w:r w:rsidRPr="00A428C3">
        <w:t>Keywords: Flue-Gas, Spouted Bed, Removal, SO</w:t>
      </w:r>
      <w:r w:rsidRPr="00A428C3">
        <w:rPr>
          <w:vertAlign w:val="subscript"/>
        </w:rPr>
        <w:t>2</w:t>
      </w:r>
      <w:r w:rsidRPr="00A428C3">
        <w:t>, Efficiency, Nox</w:t>
      </w:r>
    </w:p>
    <w:p w:rsidR="00B95188" w:rsidRPr="00A428C3" w:rsidRDefault="00B95188" w:rsidP="00B95188">
      <w:pPr>
        <w:pStyle w:val="a0"/>
      </w:pPr>
      <w:r w:rsidRPr="00A428C3">
        <w:t>Beltrán, F.J., García-Araya, J.F.</w:t>
      </w:r>
      <w:r w:rsidR="00F81221">
        <w:t xml:space="preserve"> and </w:t>
      </w:r>
      <w:r w:rsidRPr="00A428C3">
        <w:t xml:space="preserve">Álvarez, P.M. (2000), Sodium </w:t>
      </w:r>
      <w:r w:rsidRPr="00A428C3">
        <w:lastRenderedPageBreak/>
        <w:t>dodecylbenzenesulfonate removal from water</w:t>
      </w:r>
      <w:r w:rsidR="00F81221">
        <w:t xml:space="preserve"> and </w:t>
      </w:r>
      <w:r w:rsidRPr="00A428C3">
        <w:t xml:space="preserve">wastewater. 1. Kinetics of decomposition by ozonation. </w:t>
      </w:r>
      <w:r w:rsidRPr="00A428C3">
        <w:rPr>
          <w:i/>
        </w:rPr>
        <w:t>Industrial &amp; Engineering Chemistry Research</w:t>
      </w:r>
      <w:r w:rsidRPr="00A428C3">
        <w:t xml:space="preserve">, </w:t>
      </w:r>
      <w:r w:rsidRPr="00A428C3">
        <w:rPr>
          <w:b/>
        </w:rPr>
        <w:t>39</w:t>
      </w:r>
      <w:r w:rsidRPr="00A428C3">
        <w:t xml:space="preserve"> (7), 2214-2220.</w:t>
      </w:r>
    </w:p>
    <w:p w:rsidR="00B95188" w:rsidRPr="00A428C3" w:rsidRDefault="00B95188" w:rsidP="00B95188">
      <w:pPr>
        <w:pStyle w:val="a0"/>
      </w:pPr>
      <w:r w:rsidRPr="00A428C3">
        <w:t xml:space="preserve">Full Text: </w:t>
      </w:r>
      <w:hyperlink r:id="rId1134" w:history="1">
        <w:r w:rsidRPr="00A428C3">
          <w:rPr>
            <w:rStyle w:val="a5"/>
          </w:rPr>
          <w:t>I\Ind Eng Che Res39, 2214.pdf</w:t>
        </w:r>
      </w:hyperlink>
    </w:p>
    <w:p w:rsidR="00B95188" w:rsidRPr="00A428C3" w:rsidRDefault="00B95188" w:rsidP="00B95188">
      <w:pPr>
        <w:pStyle w:val="a0"/>
        <w:rPr>
          <w:rFonts w:eastAsia="Arial Unicode MS"/>
        </w:rPr>
      </w:pPr>
      <w:r w:rsidRPr="00A428C3">
        <w:t>Abstract: Ozonation experiments were conducted to investigate the sodium dodecylbenzenesulfonate (NaDBS) removal from aqueous solution</w:t>
      </w:r>
      <w:r w:rsidR="00F81221">
        <w:t xml:space="preserve"> and </w:t>
      </w:r>
      <w:r w:rsidRPr="00A428C3">
        <w:t>domestic wastewater. The influence of pH</w:t>
      </w:r>
      <w:r w:rsidR="00F81221">
        <w:t xml:space="preserve"> and </w:t>
      </w:r>
      <w:r w:rsidRPr="00A428C3">
        <w:t xml:space="preserve">tert-butyl alcohol concentration, a known scavenger of hydroxyl radicals, on the ozonation rate was observed. The degradation rate was especially fast at pH </w:t>
      </w:r>
      <w:smartTag w:uri="urn:schemas-microsoft-com:office:smarttags" w:element="chmetcnv">
        <w:smartTagPr>
          <w:attr w:name="TCSC" w:val="0"/>
          <w:attr w:name="NumberType" w:val="1"/>
          <w:attr w:name="Negative" w:val="False"/>
          <w:attr w:name="HasSpace" w:val="True"/>
          <w:attr w:name="SourceValue" w:val="10"/>
          <w:attr w:name="UnitName" w:val="in"/>
        </w:smartTagPr>
        <w:r w:rsidRPr="00A428C3">
          <w:t>10 in</w:t>
        </w:r>
      </w:smartTag>
      <w:r w:rsidRPr="00A428C3">
        <w:t xml:space="preserve"> the absence of hydroxyl radical scavengers. The rate constants of the reactions NaDBS-ozone</w:t>
      </w:r>
      <w:r w:rsidR="00F81221">
        <w:t xml:space="preserve"> and </w:t>
      </w:r>
      <w:r w:rsidRPr="00A428C3">
        <w:t>NaDBS-hydroxyl radical were found to be 3.68</w:t>
      </w:r>
      <w:r w:rsidR="00F81221">
        <w:t xml:space="preserve"> and </w:t>
      </w:r>
      <w:r w:rsidRPr="00A428C3">
        <w:t>1.16</w:t>
      </w:r>
      <w:r w:rsidRPr="00A428C3">
        <w:sym w:font="Symbol" w:char="F0B4"/>
      </w:r>
      <w:smartTag w:uri="urn:schemas-microsoft-com:office:smarttags" w:element="chmetcnv">
        <w:smartTagPr>
          <w:attr w:name="TCSC" w:val="0"/>
          <w:attr w:name="NumberType" w:val="1"/>
          <w:attr w:name="Negative" w:val="False"/>
          <w:attr w:name="HasSpace" w:val="True"/>
          <w:attr w:name="SourceValue" w:val="1010"/>
          <w:attr w:name="UnitName" w:val="m"/>
        </w:smartTagPr>
        <w:r w:rsidRPr="00A428C3">
          <w:t>10</w:t>
        </w:r>
        <w:r w:rsidRPr="00A428C3">
          <w:rPr>
            <w:vertAlign w:val="superscript"/>
          </w:rPr>
          <w:t>10</w:t>
        </w:r>
        <w:r w:rsidRPr="00A428C3">
          <w:t xml:space="preserve"> M</w:t>
        </w:r>
      </w:smartTag>
      <w:r w:rsidRPr="00A428C3">
        <w:rPr>
          <w:vertAlign w:val="superscript"/>
        </w:rPr>
        <w:t>-1</w:t>
      </w:r>
      <w:r w:rsidRPr="00A428C3">
        <w:t>.s</w:t>
      </w:r>
      <w:r w:rsidRPr="00A428C3">
        <w:rPr>
          <w:vertAlign w:val="superscript"/>
        </w:rPr>
        <w:t>-1</w:t>
      </w:r>
      <w:r w:rsidRPr="00A428C3">
        <w:t>, respectively. Organic matter in wastewater competes with NaDBS for both dissolved ozone</w:t>
      </w:r>
      <w:r w:rsidR="00F81221">
        <w:t xml:space="preserve"> and </w:t>
      </w:r>
      <w:r w:rsidRPr="00A428C3">
        <w:t>hydroxyl radical, resulting in a decrease in the overall removal rate of the surfactant. COD</w:t>
      </w:r>
      <w:r w:rsidR="00F81221">
        <w:t xml:space="preserve"> and </w:t>
      </w:r>
      <w:r w:rsidRPr="00A428C3">
        <w:t>TOC were not completely removed from the wastewater due to an ozone-resistant fraction which remained after the treatment. Nevertheless, the ability of ozone to cause alteration in the molecular structures of dissolved compounds resulted in an increase of the wastewater biodegradability, demonstrated by the increase of the BOD</w:t>
      </w:r>
      <w:r w:rsidRPr="00A428C3">
        <w:rPr>
          <w:vertAlign w:val="subscript"/>
        </w:rPr>
        <w:t>5</w:t>
      </w:r>
      <w:r w:rsidRPr="00A428C3">
        <w:t>/COD ratio. The contributions of the direct</w:t>
      </w:r>
      <w:r w:rsidR="00F81221">
        <w:t xml:space="preserve"> and </w:t>
      </w:r>
      <w:r w:rsidRPr="00A428C3">
        <w:t>free radical reactions to the oxidation of NaDBS were evaluated in percentages of pollutant removal.</w:t>
      </w:r>
    </w:p>
    <w:p w:rsidR="00B95188" w:rsidRPr="00A428C3" w:rsidRDefault="00B95188" w:rsidP="00B95188">
      <w:pPr>
        <w:pStyle w:val="a0"/>
      </w:pPr>
      <w:r w:rsidRPr="00A428C3">
        <w:t>Keywords: Treatment-Plant, Rate Constants, Ozone, Surfactants, Biodegradation, Oxidation, Sulfonate</w:t>
      </w:r>
    </w:p>
    <w:p w:rsidR="00B95188" w:rsidRPr="00A428C3" w:rsidRDefault="00B95188" w:rsidP="00B95188">
      <w:pPr>
        <w:pStyle w:val="a0"/>
      </w:pPr>
      <w:r w:rsidRPr="00A428C3">
        <w:t>Beltrán, F.J., García-Araya, J.F.</w:t>
      </w:r>
      <w:r w:rsidR="00F81221">
        <w:t xml:space="preserve"> and </w:t>
      </w:r>
      <w:r w:rsidRPr="00A428C3">
        <w:t>Álvarez, P.M. (2000), Sodium dodecylbenzenesulfonate removal from water</w:t>
      </w:r>
      <w:r w:rsidR="00F81221">
        <w:t xml:space="preserve"> and </w:t>
      </w:r>
      <w:r w:rsidRPr="00A428C3">
        <w:t xml:space="preserve">wastewater. 2. Kinetics of the integrated ozone-activated sludge system. </w:t>
      </w:r>
      <w:r w:rsidRPr="00A428C3">
        <w:rPr>
          <w:i/>
        </w:rPr>
        <w:t>Industrial &amp; Engineering Chemistry Research</w:t>
      </w:r>
      <w:r w:rsidRPr="00A428C3">
        <w:t xml:space="preserve">, </w:t>
      </w:r>
      <w:r w:rsidRPr="00A428C3">
        <w:rPr>
          <w:b/>
        </w:rPr>
        <w:t>39</w:t>
      </w:r>
      <w:r w:rsidRPr="00A428C3">
        <w:t xml:space="preserve"> (7), 2221-2227.</w:t>
      </w:r>
    </w:p>
    <w:p w:rsidR="00B95188" w:rsidRPr="00A428C3" w:rsidRDefault="00B95188" w:rsidP="00B95188">
      <w:pPr>
        <w:pStyle w:val="a0"/>
      </w:pPr>
      <w:r w:rsidRPr="00A428C3">
        <w:t xml:space="preserve">Full Text: </w:t>
      </w:r>
      <w:hyperlink r:id="rId1135" w:history="1">
        <w:r w:rsidRPr="00A428C3">
          <w:rPr>
            <w:rStyle w:val="a5"/>
          </w:rPr>
          <w:t>I\Ind Eng Che Res39, 2221.pdf</w:t>
        </w:r>
      </w:hyperlink>
    </w:p>
    <w:p w:rsidR="00B95188" w:rsidRPr="00A428C3" w:rsidRDefault="00B95188" w:rsidP="00B95188">
      <w:pPr>
        <w:pStyle w:val="a0"/>
        <w:rPr>
          <w:rFonts w:eastAsia="Arial Unicode MS"/>
        </w:rPr>
      </w:pPr>
      <w:r w:rsidRPr="00A428C3">
        <w:t>Abstract: A batch-activated sludge process (AS) has been applied to eliminate sodium dodecylbenzenesulfonate (NaDBS), a linear alkylbenzenesulfonate (LAS) compound, from synthetic</w:t>
      </w:r>
      <w:r w:rsidR="00F81221">
        <w:t xml:space="preserve"> and </w:t>
      </w:r>
      <w:r w:rsidRPr="00A428C3">
        <w:t>real domestic wastewater. The kinetics of surfactant biodegradation was best described by first-order kinetics with rate constants of 1.28</w:t>
      </w:r>
      <w:r w:rsidR="00F81221">
        <w:t xml:space="preserve"> and </w:t>
      </w:r>
      <w:smartTag w:uri="urn:schemas-microsoft-com:office:smarttags" w:element="chmetcnv">
        <w:smartTagPr>
          <w:attr w:name="TCSC" w:val="0"/>
          <w:attr w:name="NumberType" w:val="1"/>
          <w:attr w:name="Negative" w:val="False"/>
          <w:attr w:name="HasSpace" w:val="True"/>
          <w:attr w:name="SourceValue" w:val="1.15"/>
          <w:attr w:name="UnitName" w:val="l"/>
        </w:smartTagPr>
        <w:r w:rsidRPr="00A428C3">
          <w:t>1.15 L</w:t>
        </w:r>
      </w:smartTag>
      <w:r w:rsidRPr="00A428C3">
        <w:t>.(g VSS.day)</w:t>
      </w:r>
      <w:r w:rsidRPr="00A428C3">
        <w:rPr>
          <w:vertAlign w:val="superscript"/>
        </w:rPr>
        <w:t>-1</w:t>
      </w:r>
      <w:r w:rsidRPr="00A428C3">
        <w:t xml:space="preserve"> for synthetic</w:t>
      </w:r>
      <w:r w:rsidR="00F81221">
        <w:t xml:space="preserve"> and </w:t>
      </w:r>
      <w:r w:rsidRPr="00A428C3">
        <w:t>real domestic wastewater, respectively. The effect of preozonation on the overall surfactant</w:t>
      </w:r>
      <w:r w:rsidR="00F81221">
        <w:t xml:space="preserve"> and </w:t>
      </w:r>
      <w:r w:rsidRPr="00A428C3">
        <w:t>COD removal rates was also studied. The results indicated that treatment by combined ozone-AS leads to negligible foam ability</w:t>
      </w:r>
      <w:r w:rsidR="00F81221">
        <w:t xml:space="preserve"> and </w:t>
      </w:r>
      <w:r w:rsidRPr="00A428C3">
        <w:t>low residual surfactant concentration</w:t>
      </w:r>
      <w:r w:rsidR="00F81221">
        <w:t xml:space="preserve"> and </w:t>
      </w:r>
      <w:r w:rsidRPr="00A428C3">
        <w:t>COD in the treated effluent. Acclimation of a mixed culture to ozonated products was beneficial to highly improve biodegradation rates after preozonation. Thus, when applying ozone at a dose of 100 mg.L</w:t>
      </w:r>
      <w:r w:rsidRPr="00A428C3">
        <w:rPr>
          <w:vertAlign w:val="superscript"/>
        </w:rPr>
        <w:t>-1</w:t>
      </w:r>
      <w:r w:rsidRPr="00A428C3">
        <w:t>, the first-order surfactant biodegradation rate constant increased up to 1.79</w:t>
      </w:r>
      <w:r w:rsidR="00F81221">
        <w:t xml:space="preserve"> and </w:t>
      </w:r>
      <w:smartTag w:uri="urn:schemas-microsoft-com:office:smarttags" w:element="chmetcnv">
        <w:smartTagPr>
          <w:attr w:name="TCSC" w:val="0"/>
          <w:attr w:name="NumberType" w:val="1"/>
          <w:attr w:name="Negative" w:val="False"/>
          <w:attr w:name="HasSpace" w:val="True"/>
          <w:attr w:name="SourceValue" w:val="3.09"/>
          <w:attr w:name="UnitName" w:val="l"/>
        </w:smartTagPr>
        <w:r w:rsidRPr="00A428C3">
          <w:t>3.09 L</w:t>
        </w:r>
      </w:smartTag>
      <w:r w:rsidRPr="00A428C3">
        <w:t xml:space="preserve"> (g VSS day)</w:t>
      </w:r>
      <w:r w:rsidRPr="00A428C3">
        <w:rPr>
          <w:vertAlign w:val="superscript"/>
        </w:rPr>
        <w:t>-1</w:t>
      </w:r>
      <w:r w:rsidRPr="00A428C3">
        <w:t xml:space="preserve"> for synthetic</w:t>
      </w:r>
      <w:r w:rsidR="00F81221">
        <w:t xml:space="preserve"> and </w:t>
      </w:r>
      <w:r w:rsidRPr="00A428C3">
        <w:t xml:space="preserve">real wastewater, respectively. Continuous experiments of ozonation followed by activated sludge of </w:t>
      </w:r>
      <w:r w:rsidRPr="00A428C3">
        <w:lastRenderedPageBreak/>
        <w:t>synthetic wastewater were also carried out,</w:t>
      </w:r>
      <w:r w:rsidR="00F81221">
        <w:t xml:space="preserve"> and </w:t>
      </w:r>
      <w:r w:rsidRPr="00A428C3">
        <w:t>the reactor performances were compared to those obtained from the application of the available kinetic data (derived from batch experiments) to the operating conditions. Good agreement between experimental</w:t>
      </w:r>
      <w:r w:rsidR="00F81221">
        <w:t xml:space="preserve"> and </w:t>
      </w:r>
      <w:r w:rsidRPr="00A428C3">
        <w:t>calculated data confirmed the reliability of the model.</w:t>
      </w:r>
    </w:p>
    <w:p w:rsidR="00B95188" w:rsidRPr="00A428C3" w:rsidRDefault="00B95188" w:rsidP="00B95188">
      <w:pPr>
        <w:pStyle w:val="a0"/>
      </w:pPr>
      <w:r w:rsidRPr="00A428C3">
        <w:t>Keywords: Mass-Transfer, Surfactants, Ozonation</w:t>
      </w:r>
    </w:p>
    <w:p w:rsidR="00B95188" w:rsidRPr="00A428C3" w:rsidRDefault="00B95188" w:rsidP="00B95188">
      <w:pPr>
        <w:pStyle w:val="a0"/>
      </w:pPr>
      <w:r w:rsidRPr="00A428C3">
        <w:t>Lee, V.K.C., Porter, J.F.</w:t>
      </w:r>
      <w:r w:rsidR="00F81221">
        <w:t xml:space="preserve"> and </w:t>
      </w:r>
      <w:r w:rsidRPr="00A428C3">
        <w:t xml:space="preserve">McKay, G. (2000), Development of fixed-bed adsorber correlation models. </w:t>
      </w:r>
      <w:r w:rsidRPr="00A428C3">
        <w:rPr>
          <w:i/>
        </w:rPr>
        <w:t>Industrial &amp; Engineering Chemistry Research</w:t>
      </w:r>
      <w:r w:rsidRPr="00A428C3">
        <w:t xml:space="preserve">, </w:t>
      </w:r>
      <w:r w:rsidRPr="00A428C3">
        <w:rPr>
          <w:b/>
        </w:rPr>
        <w:t>39</w:t>
      </w:r>
      <w:r w:rsidRPr="00A428C3">
        <w:t xml:space="preserve"> (7), 2427-2433.</w:t>
      </w:r>
    </w:p>
    <w:p w:rsidR="00B95188" w:rsidRPr="00A428C3" w:rsidRDefault="00B95188" w:rsidP="00B95188">
      <w:pPr>
        <w:pStyle w:val="a0"/>
      </w:pPr>
      <w:r w:rsidRPr="00A428C3">
        <w:t xml:space="preserve">Full Text: </w:t>
      </w:r>
      <w:hyperlink r:id="rId1136" w:history="1">
        <w:r w:rsidRPr="00A428C3">
          <w:rPr>
            <w:rStyle w:val="a5"/>
          </w:rPr>
          <w:t>2000\Ind Eng Che Res39, 2427.pdf</w:t>
        </w:r>
      </w:hyperlink>
    </w:p>
    <w:p w:rsidR="00B95188" w:rsidRPr="00A428C3" w:rsidRDefault="00B95188" w:rsidP="00B95188">
      <w:pPr>
        <w:pStyle w:val="a0"/>
      </w:pPr>
      <w:r w:rsidRPr="00A428C3">
        <w:t>Abstract: The adsorption of three single-component acid dyes onto activated carbon has been studied using fixed-bed adsorption. Conventional simplified design methods, namely, bed depth service time (BDST)</w:t>
      </w:r>
      <w:r w:rsidR="00F81221">
        <w:t xml:space="preserve"> and </w:t>
      </w:r>
      <w:r w:rsidRPr="00A428C3">
        <w:t>empty-bed residence time (EBRT) models, were applied to the experimental breakthrough curve data but failed to correlate these data. Consequently, modifications have been developed that enable modified BDST</w:t>
      </w:r>
      <w:r w:rsidR="00F81221">
        <w:t xml:space="preserve"> and </w:t>
      </w:r>
      <w:r w:rsidRPr="00A428C3">
        <w:t>EBRT models to be applied</w:t>
      </w:r>
      <w:r w:rsidR="00F81221">
        <w:t xml:space="preserve"> and </w:t>
      </w:r>
      <w:r w:rsidRPr="00A428C3">
        <w:t>to correlate the experimental data very accurately. The modification is based on an expression to correlate the residence time in the adsorption bed with the time-dependent fraction degree of saturation of the bed. This model is particularly suited to predicting the performance of fixed-bed adsorbers when the system requires a long period of time to reach equilibrium or when several fixed-bed adsorbers are used in series.</w:t>
      </w:r>
    </w:p>
    <w:p w:rsidR="00B95188" w:rsidRPr="00A428C3" w:rsidRDefault="00B95188" w:rsidP="00B95188">
      <w:pPr>
        <w:pStyle w:val="a0"/>
      </w:pPr>
      <w:r w:rsidRPr="00A428C3">
        <w:t>Keywords: Aqueous-Solutions, Activated-Carbon, Adsorption, Removal, Equilibrium, Dyes, Optimization, Dyestuffs, Systems, Silica</w:t>
      </w:r>
    </w:p>
    <w:p w:rsidR="00B95188" w:rsidRPr="00A428C3" w:rsidRDefault="00B95188" w:rsidP="00B95188">
      <w:pPr>
        <w:pStyle w:val="a0"/>
      </w:pPr>
      <w:r w:rsidRPr="00A428C3">
        <w:t>Mota, J.P.B.</w:t>
      </w:r>
      <w:r w:rsidR="00F81221">
        <w:t xml:space="preserve"> and </w:t>
      </w:r>
      <w:r w:rsidRPr="00A428C3">
        <w:t>Rodrigo, A.J.S. (2000), Calculations of multicomponent adsorption-Column dynamics combining the potential</w:t>
      </w:r>
      <w:r w:rsidR="00F81221">
        <w:t xml:space="preserve"> and </w:t>
      </w:r>
      <w:r w:rsidRPr="00A428C3">
        <w:t xml:space="preserve">ideal adsorbed solution theories. </w:t>
      </w:r>
      <w:r w:rsidRPr="00A428C3">
        <w:rPr>
          <w:i/>
        </w:rPr>
        <w:t>Industrial &amp; Engineering Chemistry Research</w:t>
      </w:r>
      <w:r w:rsidRPr="00A428C3">
        <w:t xml:space="preserve">, </w:t>
      </w:r>
      <w:r w:rsidRPr="00A428C3">
        <w:rPr>
          <w:b/>
        </w:rPr>
        <w:t>39</w:t>
      </w:r>
      <w:r w:rsidRPr="00A428C3">
        <w:t xml:space="preserve"> (7), 2459-2467.</w:t>
      </w:r>
    </w:p>
    <w:p w:rsidR="00B95188" w:rsidRPr="00A428C3" w:rsidRDefault="00B95188" w:rsidP="00B95188">
      <w:pPr>
        <w:pStyle w:val="a0"/>
      </w:pPr>
      <w:r w:rsidRPr="00A428C3">
        <w:t xml:space="preserve">Full Text: </w:t>
      </w:r>
      <w:hyperlink r:id="rId1137" w:history="1">
        <w:r w:rsidRPr="00A428C3">
          <w:rPr>
            <w:rStyle w:val="a5"/>
          </w:rPr>
          <w:t>I\Ind Eng Che Res39, 2459.pdf</w:t>
        </w:r>
      </w:hyperlink>
    </w:p>
    <w:p w:rsidR="00B95188" w:rsidRPr="00A428C3" w:rsidRDefault="00B95188" w:rsidP="00B95188">
      <w:pPr>
        <w:pStyle w:val="a0"/>
        <w:rPr>
          <w:rFonts w:eastAsia="Arial Unicode MS"/>
        </w:rPr>
      </w:pPr>
      <w:r w:rsidRPr="00A428C3">
        <w:t>Abstract: An efficient method for combining the Adsorption Potential</w:t>
      </w:r>
      <w:r w:rsidR="00F81221">
        <w:t xml:space="preserve"> and </w:t>
      </w:r>
      <w:r w:rsidRPr="00A428C3">
        <w:t>Ideal Adsorbed Solution theories in simulation models of multicomponent adsorption columns is presented. The main advantage of this dual-theory approach is that it reduces the number of equilibrium measurements required to predict the breakthrough profiles. The validity of the dual-theory equilibrium procedure is illustrated by embedding it in a dynamic-column breakthrough model of adsorption of ternary mixtures of methane, ethane,</w:t>
      </w:r>
      <w:r w:rsidR="00F81221">
        <w:t xml:space="preserve"> and </w:t>
      </w:r>
      <w:r w:rsidRPr="00A428C3">
        <w:t>propane on activated carbon. The resulting dynamic model was found to be computationally efficient,</w:t>
      </w:r>
      <w:r w:rsidR="00F81221">
        <w:t xml:space="preserve"> and </w:t>
      </w:r>
      <w:r w:rsidRPr="00A428C3">
        <w:t>good agreement was obtained between the predicted</w:t>
      </w:r>
      <w:r w:rsidR="00F81221">
        <w:t xml:space="preserve"> and </w:t>
      </w:r>
      <w:r w:rsidRPr="00A428C3">
        <w:t>experimental breakthrough curves. It is shown that the two theories can be coupled in such a way as to provide a simple</w:t>
      </w:r>
      <w:r w:rsidR="00F81221">
        <w:t xml:space="preserve"> and </w:t>
      </w:r>
      <w:r w:rsidRPr="00A428C3">
        <w:t>practically useful method of correlating multicomponent adsorption equilibrium in dynamic process modeling studies.</w:t>
      </w:r>
    </w:p>
    <w:p w:rsidR="00B95188" w:rsidRPr="00A428C3" w:rsidRDefault="00B95188" w:rsidP="00B95188">
      <w:pPr>
        <w:pStyle w:val="a0"/>
      </w:pPr>
      <w:r w:rsidRPr="00A428C3">
        <w:t xml:space="preserve">Keywords: Activated Carbon, Hydrocarbon Adsorption, Binary Adsorption, </w:t>
      </w:r>
      <w:r w:rsidRPr="00A428C3">
        <w:lastRenderedPageBreak/>
        <w:t>Myers-Prausnitz, High-Pressure, Gas-Mixtures, Equation, Equilibria, Vapors, Isotherms</w:t>
      </w:r>
    </w:p>
    <w:p w:rsidR="00B95188" w:rsidRPr="00A428C3" w:rsidRDefault="00B95188" w:rsidP="00B95188">
      <w:pPr>
        <w:pStyle w:val="a0"/>
      </w:pPr>
      <w:r w:rsidRPr="00A428C3">
        <w:t>Vegliò, F., Beolchini, F.</w:t>
      </w:r>
      <w:r w:rsidR="00F81221">
        <w:t xml:space="preserve"> and </w:t>
      </w:r>
      <w:r w:rsidRPr="00A428C3">
        <w:t xml:space="preserve">Barba, D. (2000), </w:t>
      </w:r>
      <w:r w:rsidRPr="00A428C3">
        <w:rPr>
          <w:szCs w:val="36"/>
        </w:rPr>
        <w:t>Experimental study</w:t>
      </w:r>
      <w:r w:rsidR="00F81221">
        <w:rPr>
          <w:szCs w:val="36"/>
        </w:rPr>
        <w:t xml:space="preserve"> and </w:t>
      </w:r>
      <w:r w:rsidRPr="00A428C3">
        <w:rPr>
          <w:szCs w:val="36"/>
        </w:rPr>
        <w:t>simulation on the biosorption of copper(II) in membrane reactors: A preliminary study</w:t>
      </w:r>
      <w:r w:rsidRPr="00A428C3">
        <w:t xml:space="preserve">. </w:t>
      </w:r>
      <w:r w:rsidRPr="00A428C3">
        <w:rPr>
          <w:i/>
        </w:rPr>
        <w:t>Industrial &amp; Engineering Chemistry Research</w:t>
      </w:r>
      <w:r w:rsidRPr="00A428C3">
        <w:t xml:space="preserve">, </w:t>
      </w:r>
      <w:r w:rsidRPr="00A428C3">
        <w:rPr>
          <w:b/>
        </w:rPr>
        <w:t>39</w:t>
      </w:r>
      <w:r w:rsidRPr="00A428C3">
        <w:t xml:space="preserve"> (7), 2480-2484.</w:t>
      </w:r>
    </w:p>
    <w:p w:rsidR="00B95188" w:rsidRPr="00A428C3" w:rsidRDefault="00B95188" w:rsidP="00B95188">
      <w:pPr>
        <w:pStyle w:val="a0"/>
      </w:pPr>
      <w:r w:rsidRPr="00A428C3">
        <w:t xml:space="preserve">Full Text: </w:t>
      </w:r>
      <w:hyperlink r:id="rId1138" w:history="1">
        <w:r w:rsidRPr="00A428C3">
          <w:rPr>
            <w:rStyle w:val="a5"/>
          </w:rPr>
          <w:t>I\Ind Eng Che Res39, 2480.pdf</w:t>
        </w:r>
      </w:hyperlink>
    </w:p>
    <w:p w:rsidR="00B95188" w:rsidRPr="00A428C3" w:rsidRDefault="00B95188" w:rsidP="00B95188">
      <w:pPr>
        <w:pStyle w:val="a0"/>
      </w:pPr>
      <w:r w:rsidRPr="00A428C3">
        <w:t>Abstract: The general</w:t>
      </w:r>
      <w:r w:rsidR="00F81221">
        <w:t xml:space="preserve"> and </w:t>
      </w:r>
      <w:r w:rsidRPr="00A428C3">
        <w:t xml:space="preserve">main goal of this work is the development of know-how for one of the most innovative technologies aimed toward wastewater treatment: </w:t>
      </w:r>
      <w:r w:rsidRPr="00A428C3">
        <w:rPr>
          <w:i/>
          <w:iCs/>
        </w:rPr>
        <w:t>biosorption</w:t>
      </w:r>
      <w:r w:rsidRPr="00A428C3">
        <w:t xml:space="preserve"> is considered in the literature as an effective technology for the removal of heavy metals due to human activities (mining, metallurgy, electronic</w:t>
      </w:r>
      <w:r w:rsidR="00F81221">
        <w:t xml:space="preserve"> and </w:t>
      </w:r>
      <w:r w:rsidRPr="00A428C3">
        <w:t>galvanic industries, oil</w:t>
      </w:r>
      <w:r w:rsidR="00F81221">
        <w:t xml:space="preserve"> and </w:t>
      </w:r>
      <w:r w:rsidRPr="00A428C3">
        <w:t>petroleum, etc.). The key factors in the process development of this technology are as follows: use of economical raw biomass obtained as a byproduct of existing chemical or biotechnological processes; development of suitable systems for biomass immobilization</w:t>
      </w:r>
      <w:r w:rsidR="00F81221">
        <w:t xml:space="preserve"> and </w:t>
      </w:r>
      <w:r w:rsidRPr="00A428C3">
        <w:t>for regeneration, to allow further use of biomass. The present work summarizes some results obtained in this field, in particular, about the biosorption process in a membrane reactor. A mathematical model has been proposed to describe the process. Both experimental</w:t>
      </w:r>
      <w:r w:rsidR="00F81221">
        <w:t xml:space="preserve"> and </w:t>
      </w:r>
      <w:r w:rsidRPr="00A428C3">
        <w:t>simulated results showed the technical feasibility of the process in the wastewater treatment, even if some disagreement between experimental</w:t>
      </w:r>
      <w:r w:rsidR="00F81221">
        <w:t xml:space="preserve"> and </w:t>
      </w:r>
      <w:r w:rsidRPr="00A428C3">
        <w:t>simulated data has been highlighted.</w:t>
      </w:r>
    </w:p>
    <w:p w:rsidR="00B95188" w:rsidRPr="00A428C3" w:rsidRDefault="00B95188" w:rsidP="00B95188">
      <w:pPr>
        <w:pStyle w:val="a0"/>
      </w:pPr>
      <w:r w:rsidRPr="00A428C3">
        <w:t>Pöpken, T., Götze, L.</w:t>
      </w:r>
      <w:r w:rsidR="00F81221">
        <w:t xml:space="preserve"> and </w:t>
      </w:r>
      <w:r w:rsidRPr="00A428C3">
        <w:t>Gmehling, J. (2000), Reaction kinetics</w:t>
      </w:r>
      <w:r w:rsidR="00F81221">
        <w:t xml:space="preserve"> and </w:t>
      </w:r>
      <w:r w:rsidRPr="00A428C3">
        <w:t>chemical equilibrium of homogeneously</w:t>
      </w:r>
      <w:r w:rsidR="00F81221">
        <w:t xml:space="preserve"> and </w:t>
      </w:r>
      <w:r w:rsidRPr="00A428C3">
        <w:t>heterogeneously catalyzed acetic acid esterification with methanol</w:t>
      </w:r>
      <w:r w:rsidR="00F81221">
        <w:t xml:space="preserve"> and </w:t>
      </w:r>
      <w:r w:rsidRPr="00A428C3">
        <w:t xml:space="preserve">methyl acetate hydrolysis. </w:t>
      </w:r>
      <w:r w:rsidRPr="00A428C3">
        <w:rPr>
          <w:i/>
        </w:rPr>
        <w:t>Industrial &amp; Engineering Chemistry Research</w:t>
      </w:r>
      <w:r w:rsidRPr="00A428C3">
        <w:t xml:space="preserve">, </w:t>
      </w:r>
      <w:r w:rsidRPr="00A428C3">
        <w:rPr>
          <w:b/>
        </w:rPr>
        <w:t>39</w:t>
      </w:r>
      <w:r w:rsidRPr="00A428C3">
        <w:t xml:space="preserve"> (7), 2601-2611.</w:t>
      </w:r>
    </w:p>
    <w:p w:rsidR="00B95188" w:rsidRPr="00A428C3" w:rsidRDefault="00B95188" w:rsidP="00B95188">
      <w:pPr>
        <w:pStyle w:val="a0"/>
      </w:pPr>
      <w:r w:rsidRPr="00A428C3">
        <w:t xml:space="preserve">Full Text: </w:t>
      </w:r>
      <w:hyperlink r:id="rId1139" w:history="1">
        <w:r w:rsidRPr="00A428C3">
          <w:rPr>
            <w:rStyle w:val="a5"/>
          </w:rPr>
          <w:t>I\Ind Eng Che Res39, 2601.pdf</w:t>
        </w:r>
      </w:hyperlink>
    </w:p>
    <w:p w:rsidR="00B95188" w:rsidRPr="00A428C3" w:rsidRDefault="00B95188" w:rsidP="00B95188">
      <w:pPr>
        <w:pStyle w:val="a0"/>
        <w:rPr>
          <w:rFonts w:eastAsia="Arial Unicode MS"/>
        </w:rPr>
      </w:pPr>
      <w:r w:rsidRPr="00A428C3">
        <w:t>Abstract: The reaction kinetics</w:t>
      </w:r>
      <w:r w:rsidR="00F81221">
        <w:t xml:space="preserve"> and </w:t>
      </w:r>
      <w:r w:rsidRPr="00A428C3">
        <w:t>chemical equilibrium of the reversible esterification of methanol with acetic acid were investigated. This system is of major importance as a model reaction for reactive distillation. The reaction has been catalyzed both homogeneously by acetic acid itself</w:t>
      </w:r>
      <w:r w:rsidR="00F81221">
        <w:t xml:space="preserve"> and </w:t>
      </w:r>
      <w:r w:rsidRPr="00A428C3">
        <w:t>heterogeneously by an acidic ion-exchange resin (Amberlyst 15). The chemical equilibrium composition was measured for various temperatures</w:t>
      </w:r>
      <w:r w:rsidR="00F81221">
        <w:t xml:space="preserve"> and </w:t>
      </w:r>
      <w:r w:rsidRPr="00A428C3">
        <w:t>starting compositions of the reactants</w:t>
      </w:r>
      <w:r w:rsidR="00F81221">
        <w:t xml:space="preserve"> and </w:t>
      </w:r>
      <w:r w:rsidRPr="00A428C3">
        <w:t>products. Kinetic information was obtained at temperatures between 303.15</w:t>
      </w:r>
      <w:r w:rsidR="00F81221">
        <w:t xml:space="preserve"> and </w:t>
      </w:r>
      <w:r w:rsidRPr="00A428C3">
        <w:t>343.15 K at various starting compositions covering concentration ranges from-the stoichiometric regime to the dilute regions. Both the esterification</w:t>
      </w:r>
      <w:r w:rsidR="00F81221">
        <w:t xml:space="preserve"> and </w:t>
      </w:r>
      <w:r w:rsidRPr="00A428C3">
        <w:t>the hydrolysis reaction were investigated to yield a model which is applicable for any starting composition. The homogeneous reaction has been described with a simple power-law model. The use of activities in the kinetic model instead of mole fractions results in a much smaller residual error. To compare pseudohomogeneous</w:t>
      </w:r>
      <w:r w:rsidR="00F81221">
        <w:t xml:space="preserve"> and </w:t>
      </w:r>
      <w:r w:rsidRPr="00A428C3">
        <w:t xml:space="preserve">adsorption-based kinetic models for the heterogeneously catalyzed reaction, independent binary liquid adsorption </w:t>
      </w:r>
      <w:r w:rsidRPr="00A428C3">
        <w:lastRenderedPageBreak/>
        <w:t>experiments were used to fit the adsorption constants to keep the number of adjustable parameters the same for each model. The use of activities instead of mole fractions results in a slight improvement of the kinetic model only, while incorporating adsorption information into the kinetic model results in a much better fit. The chemical equilibrium composition calculated from the kinetic model is in agreement with the measured chemical equilibrium.</w:t>
      </w:r>
    </w:p>
    <w:p w:rsidR="00B95188" w:rsidRPr="00A428C3" w:rsidRDefault="00B95188" w:rsidP="00B95188">
      <w:pPr>
        <w:pStyle w:val="a0"/>
      </w:pPr>
      <w:r w:rsidRPr="00A428C3">
        <w:t>Keywords: Distillation Column</w:t>
      </w:r>
    </w:p>
    <w:p w:rsidR="00B95188" w:rsidRPr="00A428C3" w:rsidRDefault="00B95188" w:rsidP="00B95188">
      <w:pPr>
        <w:pStyle w:val="a0"/>
      </w:pPr>
      <w:r w:rsidRPr="00A428C3">
        <w:t>Musmarra, D. (2000), Influence of particle size</w:t>
      </w:r>
      <w:r w:rsidR="00F81221">
        <w:t xml:space="preserve"> and </w:t>
      </w:r>
      <w:r w:rsidRPr="00A428C3">
        <w:t xml:space="preserve">density on the jet penetration length in gas fluidized beds. </w:t>
      </w:r>
      <w:r w:rsidRPr="00A428C3">
        <w:rPr>
          <w:i/>
        </w:rPr>
        <w:t>Industrial &amp; Engineering Chemistry Research</w:t>
      </w:r>
      <w:r w:rsidRPr="00A428C3">
        <w:t xml:space="preserve">, </w:t>
      </w:r>
      <w:r w:rsidRPr="00A428C3">
        <w:rPr>
          <w:b/>
        </w:rPr>
        <w:t>39</w:t>
      </w:r>
      <w:r w:rsidRPr="00A428C3">
        <w:t xml:space="preserve"> (7), 2612-2617.</w:t>
      </w:r>
    </w:p>
    <w:p w:rsidR="00B95188" w:rsidRPr="00A428C3" w:rsidRDefault="00B95188" w:rsidP="00B95188">
      <w:pPr>
        <w:pStyle w:val="a0"/>
      </w:pPr>
      <w:r w:rsidRPr="00A428C3">
        <w:t xml:space="preserve">Full Text: </w:t>
      </w:r>
      <w:hyperlink r:id="rId1140" w:history="1">
        <w:r w:rsidRPr="00A428C3">
          <w:rPr>
            <w:rStyle w:val="a5"/>
          </w:rPr>
          <w:t>I\Ind Eng Che Res39, 2612.pdf</w:t>
        </w:r>
      </w:hyperlink>
    </w:p>
    <w:p w:rsidR="00B95188" w:rsidRPr="00A428C3" w:rsidRDefault="00B95188" w:rsidP="00B95188">
      <w:pPr>
        <w:pStyle w:val="a0"/>
        <w:rPr>
          <w:rFonts w:eastAsia="Arial Unicode MS"/>
        </w:rPr>
      </w:pPr>
      <w:r w:rsidRPr="00A428C3">
        <w:t>Abstract: Measurements of gas jet penetration length in fluidized beds were performed by using a technique previously developed, to investigate the influence of solids properties</w:t>
      </w:r>
      <w:r w:rsidR="00F81221">
        <w:t xml:space="preserve"> and </w:t>
      </w:r>
      <w:r w:rsidRPr="00A428C3">
        <w:t>of nozzle gas</w:t>
      </w:r>
      <w:r w:rsidR="00F81221">
        <w:t xml:space="preserve"> and </w:t>
      </w:r>
      <w:r w:rsidRPr="00A428C3">
        <w:t>fluidization velocities. Results show that the lighter</w:t>
      </w:r>
      <w:r w:rsidR="00F81221">
        <w:t xml:space="preserve"> and </w:t>
      </w:r>
      <w:r w:rsidRPr="00A428C3">
        <w:t>the finer are the solids, the larger is the jet penetration length. A nondimensional correlation is proposed because the experimental findings are not properly described by literature correlations.</w:t>
      </w:r>
    </w:p>
    <w:p w:rsidR="00B95188" w:rsidRPr="00A428C3" w:rsidRDefault="00B95188" w:rsidP="00B95188">
      <w:pPr>
        <w:pStyle w:val="a0"/>
      </w:pPr>
      <w:r w:rsidRPr="00A428C3">
        <w:t>Keywords: Pressure Signal Analysis, Grid Zone, Behavior, Height, Depth</w:t>
      </w:r>
    </w:p>
    <w:p w:rsidR="00B95188" w:rsidRPr="00A428C3" w:rsidRDefault="00B95188" w:rsidP="00B95188">
      <w:pPr>
        <w:pStyle w:val="a0"/>
      </w:pPr>
      <w:r w:rsidRPr="00A428C3">
        <w:t>Goodner, M.D., DeSimone, J.M., Kiserow, D.J.</w:t>
      </w:r>
      <w:r w:rsidR="00F81221">
        <w:t xml:space="preserve"> and </w:t>
      </w:r>
      <w:r w:rsidRPr="00A428C3">
        <w:t xml:space="preserve">Roberts, G.W. (2000), An equilibrium model for diffusion-limited solid-state polycondensation. </w:t>
      </w:r>
      <w:r w:rsidRPr="00A428C3">
        <w:rPr>
          <w:i/>
        </w:rPr>
        <w:t>Industrial &amp; Engineering Chemistry Research</w:t>
      </w:r>
      <w:r w:rsidRPr="00A428C3">
        <w:t xml:space="preserve">, </w:t>
      </w:r>
      <w:r w:rsidRPr="00A428C3">
        <w:rPr>
          <w:b/>
        </w:rPr>
        <w:t>39</w:t>
      </w:r>
      <w:r w:rsidRPr="00A428C3">
        <w:t xml:space="preserve"> (8), 2797-2806.</w:t>
      </w:r>
    </w:p>
    <w:p w:rsidR="00B95188" w:rsidRPr="00A428C3" w:rsidRDefault="00B95188" w:rsidP="00B95188">
      <w:pPr>
        <w:pStyle w:val="a0"/>
      </w:pPr>
      <w:r w:rsidRPr="00A428C3">
        <w:t xml:space="preserve">Full Text: </w:t>
      </w:r>
      <w:hyperlink r:id="rId1141" w:history="1">
        <w:r w:rsidRPr="00A428C3">
          <w:rPr>
            <w:rStyle w:val="a5"/>
          </w:rPr>
          <w:t>I\Ind Eng Che Res39, 2797.pdf</w:t>
        </w:r>
      </w:hyperlink>
    </w:p>
    <w:p w:rsidR="00B95188" w:rsidRPr="00A428C3" w:rsidRDefault="00B95188" w:rsidP="00B95188">
      <w:pPr>
        <w:pStyle w:val="a0"/>
        <w:rPr>
          <w:rFonts w:eastAsia="Arial Unicode MS"/>
        </w:rPr>
      </w:pPr>
      <w:r w:rsidRPr="00A428C3">
        <w:t>Abstract: A model for unsteady-state solid-state polycondensation (SSP) is developed</w:t>
      </w:r>
      <w:r w:rsidR="00F81221">
        <w:t xml:space="preserve"> and </w:t>
      </w:r>
      <w:r w:rsidRPr="00A428C3">
        <w:t>is applied to the polymerization of poly(bisphenol A carbonate)</w:t>
      </w:r>
      <w:r w:rsidR="00F81221">
        <w:t xml:space="preserve"> and </w:t>
      </w:r>
      <w:r w:rsidRPr="00A428C3">
        <w:t>poly(ethylene terephthalate) (PET). The model assumes that diffusion of the reaction condensate in the solid polymer is the rate-limiting step in the overall polymerization kinetics. Therefore, the reversible polycondensation reaction is at local equilibrium throughout the polymer particle at all times. The model is applicable to the three general types of step-growth polymerization: AB, A(2),</w:t>
      </w:r>
      <w:r w:rsidR="00F81221">
        <w:t xml:space="preserve"> and </w:t>
      </w:r>
      <w:r w:rsidRPr="00A428C3">
        <w:t>A(2) + B-2 polycondensation. Through comparison with the predictions of a full kinetic model for polycarbonate synthesis, it is demonstrated that the equilibrium model provides an upper bound on molecular weight</w:t>
      </w:r>
      <w:r w:rsidR="00F81221">
        <w:t xml:space="preserve"> and </w:t>
      </w:r>
      <w:r w:rsidRPr="00A428C3">
        <w:t>its rate of increase. Model predictions are also compared to experimental data for PET SSP. These comparisons show that the equilibrium model provides a useful. tool for understanding the effects of temperature</w:t>
      </w:r>
      <w:r w:rsidR="00F81221">
        <w:t xml:space="preserve"> and </w:t>
      </w:r>
      <w:r w:rsidRPr="00A428C3">
        <w:t>particle size as well as for establishing a lower bound on the diffusion coefficient of the reaction condensate in the solid polymer.</w:t>
      </w:r>
    </w:p>
    <w:p w:rsidR="00B95188" w:rsidRPr="00A428C3" w:rsidRDefault="00B95188" w:rsidP="00B95188">
      <w:pPr>
        <w:pStyle w:val="a0"/>
      </w:pPr>
      <w:r w:rsidRPr="00A428C3">
        <w:t>Keywords: Polyethylene Terephthalate, Comprehensive Model, Ethylene-Glycol, Polymerization, Poly(Ethylene-Terephthalate), Kinetics, Polycarbonates, Reactors, Nylon-6</w:t>
      </w:r>
    </w:p>
    <w:p w:rsidR="00B95188" w:rsidRPr="00A428C3" w:rsidRDefault="00B95188" w:rsidP="00B95188">
      <w:pPr>
        <w:pStyle w:val="a0"/>
      </w:pPr>
      <w:r w:rsidRPr="00A428C3">
        <w:lastRenderedPageBreak/>
        <w:t>Torget, R.W., Kim, J.S.</w:t>
      </w:r>
      <w:r w:rsidR="00F81221">
        <w:t xml:space="preserve"> and </w:t>
      </w:r>
      <w:r w:rsidRPr="00A428C3">
        <w:t xml:space="preserve">Lee, Y.Y. (2000), Fundamental aspects of dilute acid hydrolysis/fractionation kinetics of hardwood carbohydrates. 1. Cellulose hydrolysis. </w:t>
      </w:r>
      <w:r w:rsidRPr="00A428C3">
        <w:rPr>
          <w:i/>
        </w:rPr>
        <w:t>Industrial &amp; Engineering Chemistry Research</w:t>
      </w:r>
      <w:r w:rsidRPr="00A428C3">
        <w:t xml:space="preserve">, </w:t>
      </w:r>
      <w:r w:rsidRPr="00A428C3">
        <w:rPr>
          <w:b/>
        </w:rPr>
        <w:t>39</w:t>
      </w:r>
      <w:r w:rsidRPr="00A428C3">
        <w:t xml:space="preserve"> (8), 2817-2825.</w:t>
      </w:r>
    </w:p>
    <w:p w:rsidR="00B95188" w:rsidRPr="00A428C3" w:rsidRDefault="00B95188" w:rsidP="00B95188">
      <w:pPr>
        <w:pStyle w:val="a0"/>
      </w:pPr>
      <w:r w:rsidRPr="00A428C3">
        <w:t xml:space="preserve">Full Text: </w:t>
      </w:r>
      <w:hyperlink r:id="rId1142" w:history="1">
        <w:r w:rsidRPr="00A428C3">
          <w:rPr>
            <w:rStyle w:val="a5"/>
          </w:rPr>
          <w:t>I\Ind Eng Che Res39, 2817.pdf</w:t>
        </w:r>
      </w:hyperlink>
    </w:p>
    <w:p w:rsidR="00B95188" w:rsidRPr="00A428C3" w:rsidRDefault="00B95188" w:rsidP="00B95188">
      <w:pPr>
        <w:pStyle w:val="a0"/>
        <w:rPr>
          <w:rFonts w:eastAsia="Arial Unicode MS"/>
        </w:rPr>
      </w:pPr>
      <w:r w:rsidRPr="00A428C3">
        <w:t>Abstract: Previous kinetic modeling</w:t>
      </w:r>
      <w:r w:rsidR="00F81221">
        <w:t xml:space="preserve"> and </w:t>
      </w:r>
      <w:r w:rsidRPr="00A428C3">
        <w:t>bench-scale demonstration efforts using batch, percolation, or plug-flow reactors for the dilute sulfuric acid hydrolysis of cellulose have concluded that glucose yields above 70% of theoretical were not possible. This has been explained to be a result of reactions involving glucose or the cellulose itself in a destructive manner, as well as hydrolyzed soluble oligomers which have been modified chemically so as not to release glucose. However, recently, we have demonstrated that near-quantitative yields of glucose from cellulose can indeed be obtained using a bench-scale shrinking-bed percolation reactor in which an internal spring compresses the biomass as the reaction progresses; The present study was initiated to gain a fundamental understanding of the kinetic sequences involved in these high yields. Three reactor configurations (batch, percolation,</w:t>
      </w:r>
      <w:r w:rsidR="00F81221">
        <w:t xml:space="preserve"> and </w:t>
      </w:r>
      <w:r w:rsidRPr="00A428C3">
        <w:t>shrinking-bed percolation) were studied using similar hydrolysis severities to begin addressing chemical, physical,</w:t>
      </w:r>
      <w:r w:rsidR="00F81221">
        <w:t xml:space="preserve"> and </w:t>
      </w:r>
      <w:r w:rsidRPr="00A428C3">
        <w:t>hypothesized boundary layer phenomenon governing rate-limiting steps of glucose release from two prehydrolyzed yellow poplar cellulosic substrates. The characteristics of the logarithmic release of glucose as well as the logarithmic disappearance of cellulose as a linear function of time were found to be reactor dependent. Use of a percolation reactor was described where the initial hydrolysis rate constant for cellulose using 0.07% w/w sulfuric acid at 225 degrees C is enhanced Et-fold compared to a batch reactor. Additionally, when lower hydrolysis severities are used for hydrolyzing yellow poplar cellulose in batch mode, biphasic kinetics were observed. Several hypothesized boundary layer resistances, such as structured water, viscosity,</w:t>
      </w:r>
      <w:r w:rsidR="00F81221">
        <w:t xml:space="preserve"> and </w:t>
      </w:r>
      <w:r w:rsidRPr="00A428C3">
        <w:t>re-hydrogen bonding of released glucose, will be suggested as diffusion resistances for released glucose to the bulk medium, which would be a function of the reactor configuration</w:t>
      </w:r>
      <w:r w:rsidR="00F81221">
        <w:t xml:space="preserve"> and </w:t>
      </w:r>
      <w:r w:rsidRPr="00A428C3">
        <w:t>define potential glucose yields.</w:t>
      </w:r>
    </w:p>
    <w:p w:rsidR="00B95188" w:rsidRPr="00A428C3" w:rsidRDefault="00B95188" w:rsidP="00B95188">
      <w:pPr>
        <w:pStyle w:val="a0"/>
      </w:pPr>
      <w:r w:rsidRPr="00A428C3">
        <w:t>Keywords: Plug Flow Reactor, Sulfuric-Acid, Biomass, Saccharification, Lignocellulose, Fermentation</w:t>
      </w:r>
    </w:p>
    <w:p w:rsidR="00B95188" w:rsidRPr="00A428C3" w:rsidRDefault="00B95188" w:rsidP="00B95188">
      <w:pPr>
        <w:pStyle w:val="a0"/>
      </w:pPr>
      <w:r w:rsidRPr="00A428C3">
        <w:t>Prasad, M., Saxena, S., Amritphale, S.S.</w:t>
      </w:r>
      <w:r w:rsidR="00F81221">
        <w:t xml:space="preserve"> and </w:t>
      </w:r>
      <w:r w:rsidRPr="00A428C3">
        <w:t>Chandra, N. (2000), Kinetics</w:t>
      </w:r>
      <w:r w:rsidR="00F81221">
        <w:t xml:space="preserve"> and </w:t>
      </w:r>
      <w:r w:rsidRPr="00A428C3">
        <w:t xml:space="preserve">isotherms for aqueous lead adsorption by natural minerals. </w:t>
      </w:r>
      <w:r w:rsidRPr="00A428C3">
        <w:rPr>
          <w:i/>
        </w:rPr>
        <w:t>Industrial &amp; Engineering Chemistry Research</w:t>
      </w:r>
      <w:r w:rsidRPr="00A428C3">
        <w:t xml:space="preserve">, </w:t>
      </w:r>
      <w:r w:rsidRPr="00A428C3">
        <w:rPr>
          <w:b/>
        </w:rPr>
        <w:t>39</w:t>
      </w:r>
      <w:r w:rsidRPr="00A428C3">
        <w:t xml:space="preserve"> (8), 3034-3037.</w:t>
      </w:r>
    </w:p>
    <w:p w:rsidR="00B95188" w:rsidRPr="00A428C3" w:rsidRDefault="00B95188" w:rsidP="00B95188">
      <w:pPr>
        <w:pStyle w:val="a0"/>
      </w:pPr>
      <w:r w:rsidRPr="00A428C3">
        <w:t xml:space="preserve">Full Text: </w:t>
      </w:r>
      <w:hyperlink r:id="rId1143" w:history="1">
        <w:r w:rsidRPr="00A428C3">
          <w:rPr>
            <w:rStyle w:val="a5"/>
          </w:rPr>
          <w:t>I\Ind Eng Che Res39, 3034.pdf</w:t>
        </w:r>
      </w:hyperlink>
    </w:p>
    <w:p w:rsidR="00B95188" w:rsidRPr="00A428C3" w:rsidRDefault="00B95188" w:rsidP="00B95188">
      <w:pPr>
        <w:pStyle w:val="a0"/>
      </w:pPr>
      <w:r w:rsidRPr="00A428C3">
        <w:t>Abstract: The low grade (&lt;15% P</w:t>
      </w:r>
      <w:r w:rsidRPr="00A428C3">
        <w:rPr>
          <w:vertAlign w:val="subscript"/>
        </w:rPr>
        <w:t>2</w:t>
      </w:r>
      <w:r w:rsidRPr="00A428C3">
        <w:t>O</w:t>
      </w:r>
      <w:r w:rsidRPr="00A428C3">
        <w:rPr>
          <w:vertAlign w:val="subscript"/>
        </w:rPr>
        <w:t>5</w:t>
      </w:r>
      <w:r w:rsidRPr="00A428C3">
        <w:t>) carbonatic rock phosphate</w:t>
      </w:r>
      <w:r w:rsidR="00F81221">
        <w:t xml:space="preserve"> and </w:t>
      </w:r>
      <w:r w:rsidRPr="00A428C3">
        <w:t>hydroxy aluminosilicate based mineral (pyrophyllite) of Madhya Pradesh (</w:t>
      </w:r>
      <w:smartTag w:uri="urn:schemas-microsoft-com:office:smarttags" w:element="place">
        <w:smartTag w:uri="urn:schemas-microsoft-com:office:smarttags" w:element="country-region">
          <w:r w:rsidRPr="00A428C3">
            <w:t>India</w:t>
          </w:r>
        </w:smartTag>
      </w:smartTag>
      <w:r w:rsidRPr="00A428C3">
        <w:t>) were investigated as adsorbents for their possible application for the removal of aqueous lead under static system. The kinetics</w:t>
      </w:r>
      <w:r w:rsidR="00F81221">
        <w:t xml:space="preserve"> and </w:t>
      </w:r>
      <w:r w:rsidRPr="00A428C3">
        <w:t xml:space="preserve">effect of temperature on adsorption of lead </w:t>
      </w:r>
      <w:r w:rsidRPr="00A428C3">
        <w:lastRenderedPageBreak/>
        <w:t>ions on the above two natural minerals have been studied. The adsorption process follows first-order kinetics</w:t>
      </w:r>
      <w:r w:rsidR="00F81221">
        <w:t xml:space="preserve"> and </w:t>
      </w:r>
      <w:r w:rsidRPr="00A428C3">
        <w:t>the rate of adsorption</w:t>
      </w:r>
      <w:r w:rsidR="00F81221">
        <w:t xml:space="preserve"> and </w:t>
      </w:r>
      <w:r w:rsidRPr="00A428C3">
        <w:t>film transfer coefficients are observed to decrease with increase in initial concentration of lead ions in solutions. It has been found that these natural minerals are effective in removing 65-99% of lead ions from 5.0 to 500 mg/L lead solutions. The Langmuir adsorption isotherm was used to represent experimental data for carbonatic rock phosphate whereas the Freundlich adsorption isotherm was found suitable to represent data for pyrophyllite. The adsorption process is found to be endothermic in the case of pyrophyllite</w:t>
      </w:r>
      <w:r w:rsidR="00F81221">
        <w:t xml:space="preserve"> and </w:t>
      </w:r>
      <w:r w:rsidRPr="00A428C3">
        <w:t>exothermic in the case of carbonatic rock phosphate.</w:t>
      </w:r>
    </w:p>
    <w:p w:rsidR="00B95188" w:rsidRPr="00A428C3" w:rsidRDefault="00B95188" w:rsidP="00B95188">
      <w:pPr>
        <w:pStyle w:val="a0"/>
      </w:pPr>
      <w:r w:rsidRPr="00A428C3">
        <w:t>Keywords: Heavy-Metals, Immobilization, Removal</w:t>
      </w:r>
    </w:p>
    <w:p w:rsidR="00B95188" w:rsidRPr="00A428C3" w:rsidRDefault="00B95188" w:rsidP="00B95188">
      <w:pPr>
        <w:pStyle w:val="a0"/>
      </w:pPr>
      <w:r w:rsidRPr="00A428C3">
        <w:t>Lu, H.L., Bie, R.S., Liu, W.T., Li, B.X.</w:t>
      </w:r>
      <w:r w:rsidR="00F81221">
        <w:t xml:space="preserve"> and </w:t>
      </w:r>
      <w:r w:rsidRPr="00A428C3">
        <w:t xml:space="preserve">Yang, L.D. (2000), Computations of a circulating fluidized-bed boiler with wide particle size distributions. </w:t>
      </w:r>
      <w:r w:rsidRPr="00A428C3">
        <w:rPr>
          <w:i/>
        </w:rPr>
        <w:t>Industrial &amp; Engineering Chemistry Research</w:t>
      </w:r>
      <w:r w:rsidRPr="00A428C3">
        <w:t xml:space="preserve">, </w:t>
      </w:r>
      <w:r w:rsidRPr="00A428C3">
        <w:rPr>
          <w:b/>
        </w:rPr>
        <w:t>39</w:t>
      </w:r>
      <w:r w:rsidRPr="00A428C3">
        <w:t xml:space="preserve"> (9), 3212-3220.</w:t>
      </w:r>
    </w:p>
    <w:p w:rsidR="00B95188" w:rsidRPr="00A428C3" w:rsidRDefault="00B95188" w:rsidP="00B95188">
      <w:pPr>
        <w:pStyle w:val="a0"/>
      </w:pPr>
      <w:r w:rsidRPr="00A428C3">
        <w:t xml:space="preserve">Full Text: </w:t>
      </w:r>
      <w:hyperlink r:id="rId1144" w:history="1">
        <w:r w:rsidRPr="00A428C3">
          <w:rPr>
            <w:rStyle w:val="a5"/>
          </w:rPr>
          <w:t>I\Ind Eng Che Res39, 3212.pdf</w:t>
        </w:r>
      </w:hyperlink>
    </w:p>
    <w:p w:rsidR="00B95188" w:rsidRPr="00A428C3" w:rsidRDefault="00B95188" w:rsidP="00B95188">
      <w:pPr>
        <w:pStyle w:val="a0"/>
        <w:rPr>
          <w:rFonts w:eastAsia="Arial Unicode MS"/>
        </w:rPr>
      </w:pPr>
      <w:r w:rsidRPr="00A428C3">
        <w:t>Abstract: A steady-state model of a coal-fired circulating fluidized-bed (CFB) boiler considering the hydrodynamics, heat transfer,</w:t>
      </w:r>
      <w:r w:rsidR="00F81221">
        <w:t xml:space="preserve"> and </w:t>
      </w:r>
      <w:r w:rsidRPr="00A428C3">
        <w:t>combustion is presented. This model predicts the flue gas temperature, the chemical gas species (O</w:t>
      </w:r>
      <w:r w:rsidRPr="00A428C3">
        <w:rPr>
          <w:vertAlign w:val="subscript"/>
        </w:rPr>
        <w:t>2</w:t>
      </w:r>
      <w:r w:rsidRPr="00A428C3">
        <w:t>, H</w:t>
      </w:r>
      <w:r w:rsidRPr="00A428C3">
        <w:rPr>
          <w:vertAlign w:val="subscript"/>
        </w:rPr>
        <w:t>2</w:t>
      </w:r>
      <w:r w:rsidRPr="00A428C3">
        <w:t>O, CO, CO</w:t>
      </w:r>
      <w:r w:rsidRPr="00A428C3">
        <w:rPr>
          <w:vertAlign w:val="subscript"/>
        </w:rPr>
        <w:t>2</w:t>
      </w:r>
      <w:r w:rsidRPr="00A428C3">
        <w:t>,</w:t>
      </w:r>
      <w:r w:rsidR="00F81221">
        <w:t xml:space="preserve"> and </w:t>
      </w:r>
      <w:r w:rsidRPr="00A428C3">
        <w:t>SO</w:t>
      </w:r>
      <w:r w:rsidRPr="00A428C3">
        <w:rPr>
          <w:vertAlign w:val="subscript"/>
        </w:rPr>
        <w:t>2</w:t>
      </w:r>
      <w:r w:rsidRPr="00A428C3">
        <w:t>),</w:t>
      </w:r>
      <w:r w:rsidR="00F81221">
        <w:t xml:space="preserve"> and </w:t>
      </w:r>
      <w:r w:rsidRPr="00A428C3">
        <w:t>char concentration distributions in both, the axial</w:t>
      </w:r>
      <w:r w:rsidR="00F81221">
        <w:t xml:space="preserve"> and </w:t>
      </w:r>
      <w:r w:rsidRPr="00A428C3">
        <w:t>radial location along the furnace including the bottom</w:t>
      </w:r>
      <w:r w:rsidR="00F81221">
        <w:t xml:space="preserve"> and </w:t>
      </w:r>
      <w:r w:rsidRPr="00A428C3">
        <w:t>upper portion. The model of the gas-solid flow in the dilute regime calculates solid volume concentrations</w:t>
      </w:r>
      <w:r w:rsidR="00F81221">
        <w:t xml:space="preserve"> and </w:t>
      </w:r>
      <w:r w:rsidRPr="00A428C3">
        <w:t>local solid velocity. The model was validated against experimental data generated in a 35 t/h commercial CFB boiler with a low circulation ratio.</w:t>
      </w:r>
    </w:p>
    <w:p w:rsidR="00B95188" w:rsidRPr="00A428C3" w:rsidRDefault="00B95188" w:rsidP="00B95188">
      <w:pPr>
        <w:pStyle w:val="a0"/>
      </w:pPr>
      <w:r w:rsidRPr="00A428C3">
        <w:t>Keywords: Reactors, Risers, Hydrodynamics, Combustion, Gas</w:t>
      </w:r>
    </w:p>
    <w:p w:rsidR="00B95188" w:rsidRPr="00A428C3" w:rsidRDefault="00B95188" w:rsidP="00B95188">
      <w:pPr>
        <w:pStyle w:val="a0"/>
      </w:pPr>
      <w:r w:rsidRPr="00A428C3">
        <w:t>Kostoglou, M., Andritsos, N.</w:t>
      </w:r>
      <w:r w:rsidR="00F81221">
        <w:t xml:space="preserve"> and </w:t>
      </w:r>
      <w:r w:rsidRPr="00A428C3">
        <w:t xml:space="preserve">Karabelas, A.J. (2000), Modeling thin film CdS development in a chemical bath deposition process. </w:t>
      </w:r>
      <w:r w:rsidRPr="00A428C3">
        <w:rPr>
          <w:i/>
        </w:rPr>
        <w:t>Industrial &amp; Engineering Chemistry Research</w:t>
      </w:r>
      <w:r w:rsidRPr="00A428C3">
        <w:t xml:space="preserve">, </w:t>
      </w:r>
      <w:r w:rsidRPr="00A428C3">
        <w:rPr>
          <w:b/>
        </w:rPr>
        <w:t>39</w:t>
      </w:r>
      <w:r w:rsidRPr="00A428C3">
        <w:t xml:space="preserve"> (9), 3272-328.</w:t>
      </w:r>
    </w:p>
    <w:p w:rsidR="00B95188" w:rsidRPr="00A428C3" w:rsidRDefault="00B95188" w:rsidP="00B95188">
      <w:pPr>
        <w:pStyle w:val="a0"/>
      </w:pPr>
      <w:r w:rsidRPr="00A428C3">
        <w:t xml:space="preserve">Full Text: </w:t>
      </w:r>
      <w:hyperlink r:id="rId1145" w:history="1">
        <w:r w:rsidRPr="00A428C3">
          <w:rPr>
            <w:rStyle w:val="a5"/>
          </w:rPr>
          <w:t>I\Ind Eng Che Res39, 3272.pdf</w:t>
        </w:r>
      </w:hyperlink>
    </w:p>
    <w:p w:rsidR="00B95188" w:rsidRPr="00A428C3" w:rsidRDefault="00B95188" w:rsidP="00B95188">
      <w:pPr>
        <w:pStyle w:val="a0"/>
        <w:rPr>
          <w:rFonts w:eastAsia="Arial Unicode MS"/>
        </w:rPr>
      </w:pPr>
      <w:r w:rsidRPr="00A428C3">
        <w:t>Abstract: The chemical bath deposition (CBD) process is currently favored for the preparation of CdS thin films of commercial interest. A chemical engineering type analysis of the CBD process is carried out in this paper to aid its design</w:t>
      </w:r>
      <w:r w:rsidR="00F81221">
        <w:t xml:space="preserve"> and </w:t>
      </w:r>
      <w:r w:rsidRPr="00A428C3">
        <w:t>optimization. Model equations are developed (based on a population balance formulation) for the temporal variation of reactant concentrations as well as of the solid phase, both in the bulk</w:t>
      </w:r>
      <w:r w:rsidR="00F81221">
        <w:t xml:space="preserve"> and </w:t>
      </w:r>
      <w:r w:rsidRPr="00A428C3">
        <w:t>on the substrate. A possible sequence of elementary mechanisms (i.e., nucleation, surface reaction, etc.) is suggested,</w:t>
      </w:r>
      <w:r w:rsidR="00F81221">
        <w:t xml:space="preserve"> and </w:t>
      </w:r>
      <w:r w:rsidRPr="00A428C3">
        <w:t>the resulting comprehensive model is solved numerically. Computational results show that the model is consistent with available experimental data on film thickness evolution. Furthermore, the influence of the process parameters on the results is studied theoretically</w:t>
      </w:r>
      <w:r w:rsidR="00F81221">
        <w:t xml:space="preserve"> and </w:t>
      </w:r>
      <w:r w:rsidRPr="00A428C3">
        <w:t xml:space="preserve">discussed extensively for several cases. The model may prove very useful for optimization of the CBD process with respect to its design variables </w:t>
      </w:r>
      <w:r w:rsidRPr="00A428C3">
        <w:lastRenderedPageBreak/>
        <w:t>(reactant concentrations, process time, etc.) as well as for efficient experimental determination of presently uncertain or missing parameter values.</w:t>
      </w:r>
    </w:p>
    <w:p w:rsidR="00B95188" w:rsidRPr="00A428C3" w:rsidRDefault="00B95188" w:rsidP="00B95188">
      <w:pPr>
        <w:pStyle w:val="a0"/>
      </w:pPr>
      <w:r w:rsidRPr="00A428C3">
        <w:t>Keywords: Particle-Size Distribution, Population Balance, Nucleation, Precipitation, Coagulation, Moments, Crystallization, Mechanism, Dynamics, Growth</w:t>
      </w:r>
    </w:p>
    <w:p w:rsidR="00B95188" w:rsidRPr="00A428C3" w:rsidRDefault="00B95188" w:rsidP="00B95188">
      <w:pPr>
        <w:pStyle w:val="a0"/>
      </w:pPr>
      <w:r w:rsidRPr="00A428C3">
        <w:t>Amanullah, M., Viswanathan, S.</w:t>
      </w:r>
      <w:r w:rsidR="00F81221">
        <w:t xml:space="preserve"> and </w:t>
      </w:r>
      <w:r w:rsidRPr="00A428C3">
        <w:t>Farooq, S. (2000), Equilibrium, kinetics,</w:t>
      </w:r>
      <w:r w:rsidR="00F81221">
        <w:t xml:space="preserve"> and </w:t>
      </w:r>
      <w:r w:rsidRPr="00A428C3">
        <w:t xml:space="preserve">column dynamics of methyl ethyl ketone biodegradation. </w:t>
      </w:r>
      <w:r w:rsidRPr="00A428C3">
        <w:rPr>
          <w:i/>
        </w:rPr>
        <w:t>Industrial &amp; Engineering Chemistry Research</w:t>
      </w:r>
      <w:r w:rsidRPr="00A428C3">
        <w:t xml:space="preserve">, </w:t>
      </w:r>
      <w:r w:rsidRPr="00A428C3">
        <w:rPr>
          <w:b/>
        </w:rPr>
        <w:t>39</w:t>
      </w:r>
      <w:r w:rsidRPr="00A428C3">
        <w:t xml:space="preserve"> (9), 3387-3396.</w:t>
      </w:r>
    </w:p>
    <w:p w:rsidR="00B95188" w:rsidRPr="00A428C3" w:rsidRDefault="00B95188" w:rsidP="00B95188">
      <w:pPr>
        <w:pStyle w:val="a0"/>
      </w:pPr>
      <w:r w:rsidRPr="00A428C3">
        <w:t xml:space="preserve">Full Text: </w:t>
      </w:r>
      <w:hyperlink r:id="rId1146" w:history="1">
        <w:r w:rsidRPr="00A428C3">
          <w:rPr>
            <w:rStyle w:val="a5"/>
          </w:rPr>
          <w:t>I\Ind Eng Che Res39, 3387.pdf</w:t>
        </w:r>
      </w:hyperlink>
    </w:p>
    <w:p w:rsidR="00B95188" w:rsidRPr="00A428C3" w:rsidRDefault="00B95188" w:rsidP="00B95188">
      <w:pPr>
        <w:pStyle w:val="a0"/>
        <w:rPr>
          <w:rFonts w:eastAsia="Arial Unicode MS"/>
        </w:rPr>
      </w:pPr>
      <w:r w:rsidRPr="00A428C3">
        <w:t>Abstract: Equilibrium</w:t>
      </w:r>
      <w:r w:rsidR="00F81221">
        <w:t xml:space="preserve"> and </w:t>
      </w:r>
      <w:r w:rsidRPr="00A428C3">
        <w:t>kinetic studies of methyl ethyl ketone (MEK) adsorption in compost</w:t>
      </w:r>
      <w:r w:rsidR="00F81221">
        <w:t xml:space="preserve"> and </w:t>
      </w:r>
      <w:r w:rsidRPr="00A428C3">
        <w:t>granular activated carbon (GAC), the reaction rate</w:t>
      </w:r>
      <w:r w:rsidR="00F81221">
        <w:t xml:space="preserve"> and </w:t>
      </w:r>
      <w:r w:rsidRPr="00A428C3">
        <w:t>selectivity of microorganisms for MEK biodegradation,</w:t>
      </w:r>
      <w:r w:rsidR="00F81221">
        <w:t xml:space="preserve"> and </w:t>
      </w:r>
      <w:r w:rsidRPr="00A428C3">
        <w:t>the role of the adsorption capacity of the support medium on biofilter dynamics are investigated in this study. Experiments on MEK degradation using biofilters with either Rhodococcus sp. or a mixed culture showed comparable results, indicating no advantage of a pure culture of Rhodococcus sp. The equilibrium isotherm of MEK in compost is linear in the entire range of concentration typically encountered in biofilters, but on GAC the isotherm is nonlinear. Investigation on adsorption kinetics suggests that the mass transfer is macropore-controlled in both compost</w:t>
      </w:r>
      <w:r w:rsidR="00F81221">
        <w:t xml:space="preserve"> and </w:t>
      </w:r>
      <w:r w:rsidRPr="00A428C3">
        <w:t>GAG. However, in compost the transport appears to be by molecular diffusion, whereas in GAC it is by a combination of molecular, Knudsen,</w:t>
      </w:r>
      <w:r w:rsidR="00F81221">
        <w:t xml:space="preserve"> and </w:t>
      </w:r>
      <w:r w:rsidRPr="00A428C3">
        <w:t>surface diffusion. Experimental results show that GAC is better than compost in terms of pollutant removal</w:t>
      </w:r>
      <w:r w:rsidR="00F81221">
        <w:t xml:space="preserve"> and </w:t>
      </w:r>
      <w:r w:rsidRPr="00A428C3">
        <w:t>handling of the fluctuating input load. A linear driving force approximation is used to describe the transport of solute from the gas phase to the support phase. The resulting linear driving force biofiltration model, using independently measured equilibrium</w:t>
      </w:r>
      <w:r w:rsidR="00F81221">
        <w:t xml:space="preserve"> and </w:t>
      </w:r>
      <w:r w:rsidRPr="00A428C3">
        <w:t>kinetic parameters, appears adequate for describing the experimental results of biofilter dynamics.</w:t>
      </w:r>
    </w:p>
    <w:p w:rsidR="00B95188" w:rsidRPr="00A428C3" w:rsidRDefault="00B95188" w:rsidP="00B95188">
      <w:pPr>
        <w:pStyle w:val="a0"/>
      </w:pPr>
      <w:r w:rsidRPr="00A428C3">
        <w:t>Keywords: Waste Air Biotreatment, Surface-Diffusion, Biological Filter, Activated Carbon, Steady-State, Biofiltration, Adsorption, Removal, Model, Biofilters</w:t>
      </w:r>
    </w:p>
    <w:p w:rsidR="00B95188" w:rsidRPr="00A428C3" w:rsidRDefault="00B95188" w:rsidP="00B95188">
      <w:pPr>
        <w:pStyle w:val="a0"/>
      </w:pPr>
      <w:r w:rsidRPr="00A428C3">
        <w:t>Castro, J.B., Bonelli, P.R., Cerrella, E.G.</w:t>
      </w:r>
      <w:r w:rsidR="00F81221">
        <w:t xml:space="preserve"> and </w:t>
      </w:r>
      <w:r w:rsidRPr="00A428C3">
        <w:t>Cukierman, A.L. (2000), Phosphoric acid activation of agricultural residues</w:t>
      </w:r>
      <w:r w:rsidR="00F81221">
        <w:t xml:space="preserve"> and </w:t>
      </w:r>
      <w:r w:rsidRPr="00A428C3">
        <w:t>bagasse from sugar cane:</w:t>
      </w:r>
      <w:r w:rsidRPr="00A428C3">
        <w:rPr>
          <w:b/>
        </w:rPr>
        <w:t xml:space="preserve"> </w:t>
      </w:r>
      <w:r w:rsidRPr="00A428C3">
        <w:t xml:space="preserve">Influence of the experimental conditions on adsorption characteristics of activated carbons. </w:t>
      </w:r>
      <w:r w:rsidRPr="00A428C3">
        <w:rPr>
          <w:i/>
        </w:rPr>
        <w:t>Industrial &amp; Engineering Chemistry Research</w:t>
      </w:r>
      <w:r w:rsidRPr="00A428C3">
        <w:t xml:space="preserve">, </w:t>
      </w:r>
      <w:r w:rsidRPr="00A428C3">
        <w:rPr>
          <w:b/>
        </w:rPr>
        <w:t>39</w:t>
      </w:r>
      <w:r w:rsidRPr="00A428C3">
        <w:t xml:space="preserve"> (11), 4166-4172.</w:t>
      </w:r>
    </w:p>
    <w:p w:rsidR="00B95188" w:rsidRPr="00A428C3" w:rsidRDefault="00B95188" w:rsidP="00B95188">
      <w:pPr>
        <w:pStyle w:val="a0"/>
      </w:pPr>
      <w:r w:rsidRPr="00A428C3">
        <w:t>Full Text:</w:t>
      </w:r>
      <w:r w:rsidR="002E6FD4">
        <w:rPr>
          <w:rFonts w:hint="eastAsia"/>
        </w:rPr>
        <w:t xml:space="preserve"> </w:t>
      </w:r>
      <w:hyperlink r:id="rId1147" w:history="1">
        <w:r w:rsidRPr="00A428C3">
          <w:rPr>
            <w:rStyle w:val="a5"/>
          </w:rPr>
          <w:t>I\Ind Eng Che Res39, 4166.pdf</w:t>
        </w:r>
      </w:hyperlink>
    </w:p>
    <w:p w:rsidR="00B95188" w:rsidRPr="00A428C3" w:rsidRDefault="00B95188" w:rsidP="00B95188">
      <w:pPr>
        <w:pStyle w:val="a0"/>
      </w:pPr>
      <w:r w:rsidRPr="00A428C3">
        <w:t>Abstract: Activated carbons from two different types of sugar cane wastes, agricultural residues</w:t>
      </w:r>
      <w:r w:rsidR="00F81221">
        <w:t xml:space="preserve"> and </w:t>
      </w:r>
      <w:r w:rsidRPr="00A428C3">
        <w:t>bagasse, were prepared by phosphoric acid activation varying the carbonization temperature (300-600 degreesC), the weight ratio of phosphoric acid to precursor (R = 1-2.5),</w:t>
      </w:r>
      <w:r w:rsidR="00F81221">
        <w:t xml:space="preserve"> and </w:t>
      </w:r>
      <w:r w:rsidRPr="00A428C3">
        <w:t>carbonization time (0-3 h). Surface properties of the resulting carbons were markedly dependent on the precursor</w:t>
      </w:r>
      <w:r w:rsidR="00F81221">
        <w:t xml:space="preserve"> and </w:t>
      </w:r>
      <w:r w:rsidRPr="00A428C3">
        <w:t>a combined effect of the conditions employed. Bagasse carbons showed higher surface area</w:t>
      </w:r>
      <w:r w:rsidR="00F81221">
        <w:t xml:space="preserve"> and </w:t>
      </w:r>
      <w:r w:rsidRPr="00A428C3">
        <w:t xml:space="preserve">pore </w:t>
      </w:r>
      <w:r w:rsidRPr="00A428C3">
        <w:lastRenderedPageBreak/>
        <w:t>volume than those from agricultural residues. Maximum surface areas of around 1100</w:t>
      </w:r>
      <w:r w:rsidR="00F81221">
        <w:t xml:space="preserve"> and </w:t>
      </w:r>
      <w:smartTag w:uri="urn:schemas-microsoft-com:office:smarttags" w:element="chmetcnv">
        <w:smartTagPr>
          <w:attr w:name="TCSC" w:val="0"/>
          <w:attr w:name="NumberType" w:val="1"/>
          <w:attr w:name="Negative" w:val="False"/>
          <w:attr w:name="HasSpace" w:val="True"/>
          <w:attr w:name="SourceValue" w:val="780"/>
          <w:attr w:name="UnitName" w:val="m2"/>
        </w:smartTagPr>
        <w:r w:rsidRPr="00A428C3">
          <w:t>780 m</w:t>
        </w:r>
        <w:r w:rsidRPr="00A428C3">
          <w:rPr>
            <w:vertAlign w:val="superscript"/>
          </w:rPr>
          <w:t>2</w:t>
        </w:r>
      </w:smartTag>
      <w:r w:rsidRPr="00A428C3">
        <w:t>/g were respectively attained. Temperature above 500 degreesC, impregnation ratio higher than 2, or prolonged carbonization beyond Ih led to reduction in porosity development. Selected carbons from both wastes with relatively large mean pore radius showed good ability to decolorize a diluted solution of synthetic melanoidin, used as a model of molasses wastewater. Iodine number between 608</w:t>
      </w:r>
      <w:r w:rsidR="00F81221">
        <w:t xml:space="preserve"> and </w:t>
      </w:r>
      <w:r w:rsidRPr="00A428C3">
        <w:t>746</w:t>
      </w:r>
      <w:r w:rsidR="00F81221">
        <w:t xml:space="preserve"> and </w:t>
      </w:r>
      <w:r w:rsidRPr="00A428C3">
        <w:t>Methylene blue uptake of 213-261 (mg/g) were determined for the selected samples.</w:t>
      </w:r>
    </w:p>
    <w:p w:rsidR="00B95188" w:rsidRPr="00A428C3" w:rsidRDefault="00B95188" w:rsidP="00B95188">
      <w:pPr>
        <w:pStyle w:val="a0"/>
      </w:pPr>
      <w:r w:rsidRPr="00A428C3">
        <w:t>Keywords: By-Products, Coconut Shell, Waste, Decolorization, Stones</w:t>
      </w:r>
    </w:p>
    <w:p w:rsidR="00B95188" w:rsidRPr="00A428C3" w:rsidRDefault="00B95188" w:rsidP="00B95188">
      <w:pPr>
        <w:pStyle w:val="a0"/>
      </w:pPr>
      <w:r w:rsidRPr="00A428C3">
        <w:t>Ching, C.B., Arlt, W., Lisso, M.</w:t>
      </w:r>
      <w:r w:rsidR="00F81221">
        <w:t xml:space="preserve"> and </w:t>
      </w:r>
      <w:r w:rsidRPr="00A428C3">
        <w:t>Wozny, G. (2000), Kinetic</w:t>
      </w:r>
      <w:r w:rsidR="00F81221">
        <w:t xml:space="preserve"> and </w:t>
      </w:r>
      <w:r w:rsidRPr="00A428C3">
        <w:t xml:space="preserve">equilibrium study of the enantioseparation of fenoprofen in a batch setup. </w:t>
      </w:r>
      <w:r w:rsidRPr="00A428C3">
        <w:rPr>
          <w:i/>
        </w:rPr>
        <w:t>Industrial &amp; Engineering Chemistry Research</w:t>
      </w:r>
      <w:r w:rsidRPr="00A428C3">
        <w:t xml:space="preserve">, </w:t>
      </w:r>
      <w:r w:rsidRPr="00A428C3">
        <w:rPr>
          <w:b/>
        </w:rPr>
        <w:t>39</w:t>
      </w:r>
      <w:r w:rsidRPr="00A428C3">
        <w:t xml:space="preserve"> (11), 4365-4369.</w:t>
      </w:r>
    </w:p>
    <w:p w:rsidR="00B95188" w:rsidRPr="00A428C3" w:rsidRDefault="00B95188" w:rsidP="00B95188">
      <w:pPr>
        <w:pStyle w:val="a0"/>
      </w:pPr>
      <w:r w:rsidRPr="00A428C3">
        <w:t xml:space="preserve">Full Text: </w:t>
      </w:r>
      <w:hyperlink r:id="rId1148" w:history="1">
        <w:r w:rsidRPr="00A428C3">
          <w:rPr>
            <w:rStyle w:val="a5"/>
          </w:rPr>
          <w:t>I\Ind Eng Che Res39, 4365.pdf</w:t>
        </w:r>
      </w:hyperlink>
    </w:p>
    <w:p w:rsidR="00B95188" w:rsidRPr="00A428C3" w:rsidRDefault="00B95188" w:rsidP="00B95188">
      <w:pPr>
        <w:pStyle w:val="a0"/>
        <w:rPr>
          <w:rFonts w:eastAsia="Arial Unicode MS"/>
        </w:rPr>
      </w:pPr>
      <w:r w:rsidRPr="00A428C3">
        <w:t>Abstract: The bed voidage, axial dispersion,</w:t>
      </w:r>
      <w:r w:rsidR="00F81221">
        <w:t xml:space="preserve"> and </w:t>
      </w:r>
      <w:r w:rsidRPr="00A428C3">
        <w:t>kinetic</w:t>
      </w:r>
      <w:r w:rsidR="00F81221">
        <w:t xml:space="preserve"> and </w:t>
      </w:r>
      <w:r w:rsidRPr="00A428C3">
        <w:t>isotherm parameters for the chromatographic enantioseparation of racemic Fenoprofen, using cellulose ester as the chiral stationary phase</w:t>
      </w:r>
      <w:r w:rsidR="00F81221">
        <w:t xml:space="preserve"> and </w:t>
      </w:r>
      <w:r w:rsidRPr="00A428C3">
        <w:t>2-propanol/hexane/acetyl alcohol as the mobile phase, were evaluated by moment analyses on the basis of equilibrium theory</w:t>
      </w:r>
      <w:r w:rsidR="00F81221">
        <w:t xml:space="preserve"> and </w:t>
      </w:r>
      <w:r w:rsidRPr="00A428C3">
        <w:t>the linear driving force model. The peak-fitting method was used to identify the coefficients of the competitive Langmuir isotherm for both enantiomers. For this reason</w:t>
      </w:r>
      <w:r w:rsidR="00F81221">
        <w:t xml:space="preserve"> and </w:t>
      </w:r>
      <w:r w:rsidRPr="00A428C3">
        <w:t>for the validation of the model parameters, a simulation program was developed. The simulated results describe the experimental data well. On the basis of the isotherm parameters</w:t>
      </w:r>
      <w:r w:rsidR="00F81221">
        <w:t xml:space="preserve"> and </w:t>
      </w:r>
      <w:r w:rsidRPr="00A428C3">
        <w:t>the equilibrium theory, the process region for the simulated moving bed (SMB) process was identified. Changes of the process region will be discussed by considering fluctuations in the feed concentration</w:t>
      </w:r>
      <w:r w:rsidR="00F81221">
        <w:t xml:space="preserve"> and </w:t>
      </w:r>
      <w:r w:rsidRPr="00A428C3">
        <w:t>uncertainties in the determined capacity factor.</w:t>
      </w:r>
    </w:p>
    <w:p w:rsidR="00B95188" w:rsidRPr="00A428C3" w:rsidRDefault="00B95188" w:rsidP="00B95188">
      <w:pPr>
        <w:pStyle w:val="a0"/>
      </w:pPr>
      <w:r w:rsidRPr="00A428C3">
        <w:t>Keywords: Countercurrent</w:t>
      </w:r>
    </w:p>
    <w:p w:rsidR="00B95188" w:rsidRPr="00A428C3" w:rsidRDefault="00B95188" w:rsidP="00B95188">
      <w:pPr>
        <w:pStyle w:val="a0"/>
      </w:pPr>
      <w:r w:rsidRPr="00A428C3">
        <w:t>Fang, Z., Xu, S.K.</w:t>
      </w:r>
      <w:r w:rsidR="00F81221">
        <w:t xml:space="preserve"> and </w:t>
      </w:r>
      <w:r w:rsidRPr="00A428C3">
        <w:t xml:space="preserve">Koziński, J.A. (2000), Behavior of metals during combustion of industrial organic wastes in supercritical water. </w:t>
      </w:r>
      <w:r w:rsidRPr="00A428C3">
        <w:rPr>
          <w:i/>
        </w:rPr>
        <w:t>Industrial &amp; Engineering Chemistry Research</w:t>
      </w:r>
      <w:r w:rsidRPr="00A428C3">
        <w:t xml:space="preserve">, </w:t>
      </w:r>
      <w:r w:rsidRPr="00A428C3">
        <w:rPr>
          <w:b/>
        </w:rPr>
        <w:t>39</w:t>
      </w:r>
      <w:r w:rsidRPr="00A428C3">
        <w:t xml:space="preserve"> (12), 4536-4542.</w:t>
      </w:r>
    </w:p>
    <w:p w:rsidR="00B95188" w:rsidRPr="00A428C3" w:rsidRDefault="00B95188" w:rsidP="00B95188">
      <w:pPr>
        <w:pStyle w:val="a0"/>
      </w:pPr>
      <w:r w:rsidRPr="00A428C3">
        <w:t xml:space="preserve">Full Text: </w:t>
      </w:r>
      <w:hyperlink r:id="rId1149" w:history="1">
        <w:r w:rsidRPr="00A428C3">
          <w:rPr>
            <w:rStyle w:val="a5"/>
          </w:rPr>
          <w:t>I\Ind Eng Che Res39, 4536.pdf</w:t>
        </w:r>
      </w:hyperlink>
    </w:p>
    <w:p w:rsidR="00B95188" w:rsidRPr="00A428C3" w:rsidRDefault="00B95188" w:rsidP="00B95188">
      <w:pPr>
        <w:pStyle w:val="a0"/>
        <w:rPr>
          <w:rFonts w:eastAsia="Arial Unicode MS"/>
        </w:rPr>
      </w:pPr>
      <w:r w:rsidRPr="00A428C3">
        <w:t>Abstract: De-inking solid residue (DISR) doped with nitrates of 2000 mg/kg of Pb, Cd,</w:t>
      </w:r>
      <w:r w:rsidR="00F81221">
        <w:t xml:space="preserve"> and </w:t>
      </w:r>
      <w:r w:rsidRPr="00A428C3">
        <w:t>Cr was burned in supercritical water in a batch reactor. Combustion runs were carried out under supercritical water conditions: 30.6 MPa, 450 or 525 degreesC,</w:t>
      </w:r>
      <w:r w:rsidR="00F81221">
        <w:t xml:space="preserve"> and </w:t>
      </w:r>
      <w:r w:rsidRPr="00A428C3">
        <w:t>17.1% or 65.7% excess oxygen. The run time varied between 5</w:t>
      </w:r>
      <w:r w:rsidR="00F81221">
        <w:t xml:space="preserve"> and </w:t>
      </w:r>
      <w:r w:rsidRPr="00A428C3">
        <w:t>30 min. In all runs, more than 99.2% (up to 100%) of the Pb precipitated to ash, with leachability varying from 0.5% to 7.3%</w:t>
      </w:r>
      <w:r w:rsidR="00F81221">
        <w:t xml:space="preserve"> and </w:t>
      </w:r>
      <w:r w:rsidRPr="00A428C3">
        <w:t>decreasing with increasing run time</w:t>
      </w:r>
      <w:r w:rsidR="00F81221">
        <w:t xml:space="preserve"> and </w:t>
      </w:r>
      <w:r w:rsidRPr="00A428C3">
        <w:t>temperature. In runs at 450 degreesC, the soluble Cd concentration showed little or no change, but its ash</w:t>
      </w:r>
      <w:r w:rsidR="000352E7">
        <w:t>’</w:t>
      </w:r>
      <w:r w:rsidRPr="00A428C3">
        <w:t>s leachability dropped when more oxygen was added. At 65.75 excess oxygen, when temperature was increased from 450 to 525 degreesC, the Cd concentration</w:t>
      </w:r>
      <w:r w:rsidR="00F81221">
        <w:t xml:space="preserve"> and </w:t>
      </w:r>
      <w:r w:rsidRPr="00A428C3">
        <w:lastRenderedPageBreak/>
        <w:t>ash leachability declined,</w:t>
      </w:r>
      <w:r w:rsidR="00F81221">
        <w:t xml:space="preserve"> and </w:t>
      </w:r>
      <w:r w:rsidRPr="00A428C3">
        <w:t>a downward trend appeared with longer run time. In runs at 450 degreesC</w:t>
      </w:r>
      <w:r w:rsidR="00F81221">
        <w:t xml:space="preserve"> and </w:t>
      </w:r>
      <w:r w:rsidRPr="00A428C3">
        <w:t>17.1% excess oxygen, the soluble Cr concentration increased with time from 4.1% (5 min) to 19.2% (30 min). When 65.7% oxygen was applied, it declined to 12.6% at 30 min, which was followed by an increase from 15.0% (5 min) to 37.5% (15 min). In the runs with 65.7% oxygen, as the temperature went up from 450 to 525 degreesC, the soluble Cr concentration rose to 26.1% at 5 min</w:t>
      </w:r>
      <w:r w:rsidR="00F81221">
        <w:t xml:space="preserve"> and </w:t>
      </w:r>
      <w:r w:rsidRPr="00A428C3">
        <w:t>subsequently showed a trend similar to that observed for the runs at 450 degreesC. At 30.6 MPa, 525 degreesC,</w:t>
      </w:r>
      <w:r w:rsidR="00F81221">
        <w:t xml:space="preserve"> and </w:t>
      </w:r>
      <w:r w:rsidRPr="00A428C3">
        <w:t>a 30-min run time, 100% of the Pb, 97.6% of the Cd,</w:t>
      </w:r>
      <w:r w:rsidR="00F81221">
        <w:t xml:space="preserve"> and </w:t>
      </w:r>
      <w:r w:rsidRPr="00A428C3">
        <w:t>87.3% of the Cr were converted to an insoluble substance. Only 0.5% of the Pb, 0.6% of the Cd</w:t>
      </w:r>
      <w:r w:rsidR="00F81221">
        <w:t xml:space="preserve"> and </w:t>
      </w:r>
      <w:r w:rsidRPr="00A428C3">
        <w:t>0.8% of the Cr in ash were leached. Tests with 20,000 mg/kg Pb, Cd,</w:t>
      </w:r>
      <w:r w:rsidR="00F81221">
        <w:t xml:space="preserve"> and </w:t>
      </w:r>
      <w:r w:rsidRPr="00A428C3">
        <w:t>Cr were conducted under the same conditions (pressure/temperature/time). Only 0.03% of the Pb but 82.0% of the Cd</w:t>
      </w:r>
      <w:r w:rsidR="00F81221">
        <w:t xml:space="preserve"> and </w:t>
      </w:r>
      <w:r w:rsidRPr="00A428C3">
        <w:t>79.4% of the Cr remained soluble. It was found that CO</w:t>
      </w:r>
      <w:r w:rsidRPr="00A428C3">
        <w:rPr>
          <w:vertAlign w:val="subscript"/>
        </w:rPr>
        <w:t>2</w:t>
      </w:r>
      <w:r w:rsidR="00F81221">
        <w:t xml:space="preserve"> and </w:t>
      </w:r>
      <w:r w:rsidRPr="00A428C3">
        <w:t>acetate from organics combustion could help to remove heavy metals via formation of insoluble carbonate salts. X-ray diffraction spectra indicated the presence of PbCrO</w:t>
      </w:r>
      <w:r w:rsidRPr="00A428C3">
        <w:rPr>
          <w:vertAlign w:val="subscript"/>
        </w:rPr>
        <w:t>4</w:t>
      </w:r>
      <w:r w:rsidR="00F81221">
        <w:t xml:space="preserve"> and </w:t>
      </w:r>
      <w:r w:rsidRPr="00A428C3">
        <w:t>Al</w:t>
      </w:r>
      <w:r w:rsidRPr="00A428C3">
        <w:rPr>
          <w:vertAlign w:val="subscript"/>
        </w:rPr>
        <w:t>2</w:t>
      </w:r>
      <w:r w:rsidRPr="00A428C3">
        <w:t>Si</w:t>
      </w:r>
      <w:r w:rsidRPr="00A428C3">
        <w:rPr>
          <w:vertAlign w:val="subscript"/>
        </w:rPr>
        <w:t>2</w:t>
      </w:r>
      <w:r w:rsidRPr="00A428C3">
        <w:t>O</w:t>
      </w:r>
      <w:r w:rsidRPr="00A428C3">
        <w:rPr>
          <w:vertAlign w:val="subscript"/>
        </w:rPr>
        <w:t>5</w:t>
      </w:r>
      <w:r w:rsidRPr="00A428C3">
        <w:t>(OH)</w:t>
      </w:r>
      <w:smartTag w:uri="urn:schemas-microsoft-com:office:smarttags" w:element="chmetcnv">
        <w:smartTagPr>
          <w:attr w:name="TCSC" w:val="0"/>
          <w:attr w:name="NumberType" w:val="1"/>
          <w:attr w:name="Negative" w:val="False"/>
          <w:attr w:name="HasSpace" w:val="True"/>
          <w:attr w:name="SourceValue" w:val="4"/>
          <w:attr w:name="UnitName" w:val="in"/>
        </w:smartTagPr>
        <w:r w:rsidRPr="00A428C3">
          <w:rPr>
            <w:vertAlign w:val="subscript"/>
          </w:rPr>
          <w:t>4</w:t>
        </w:r>
        <w:r w:rsidRPr="00A428C3">
          <w:t xml:space="preserve"> in</w:t>
        </w:r>
      </w:smartTag>
      <w:r w:rsidRPr="00A428C3">
        <w:t xml:space="preserve"> the ash. Electron microprobe results showed a close connection between Pb</w:t>
      </w:r>
      <w:r w:rsidR="00F81221">
        <w:t xml:space="preserve"> and </w:t>
      </w:r>
      <w:r w:rsidRPr="00A428C3">
        <w:t>Cr but no relation between Pb</w:t>
      </w:r>
      <w:r w:rsidR="00F81221">
        <w:t xml:space="preserve"> and </w:t>
      </w:r>
      <w:r w:rsidRPr="00A428C3">
        <w:t>Cd in the ash. The main solid products were CdO, CdCO</w:t>
      </w:r>
      <w:r w:rsidRPr="00A428C3">
        <w:rPr>
          <w:vertAlign w:val="subscript"/>
        </w:rPr>
        <w:t>3</w:t>
      </w:r>
      <w:r w:rsidRPr="00A428C3">
        <w:t>, CrO</w:t>
      </w:r>
      <w:r w:rsidRPr="00A428C3">
        <w:rPr>
          <w:vertAlign w:val="subscript"/>
        </w:rPr>
        <w:t>2</w:t>
      </w:r>
      <w:r w:rsidRPr="00A428C3">
        <w:t>, HCrO</w:t>
      </w:r>
      <w:r w:rsidRPr="00A428C3">
        <w:rPr>
          <w:vertAlign w:val="subscript"/>
        </w:rPr>
        <w:t>2</w:t>
      </w:r>
      <w:r w:rsidRPr="00A428C3">
        <w:t>, PbCrO</w:t>
      </w:r>
      <w:r w:rsidRPr="00A428C3">
        <w:rPr>
          <w:vertAlign w:val="subscript"/>
        </w:rPr>
        <w:t>4</w:t>
      </w:r>
      <w:r w:rsidRPr="00A428C3">
        <w:t>, PbCO</w:t>
      </w:r>
      <w:r w:rsidRPr="00A428C3">
        <w:rPr>
          <w:vertAlign w:val="subscript"/>
        </w:rPr>
        <w:t>3</w:t>
      </w:r>
      <w:r w:rsidR="00F81221">
        <w:t xml:space="preserve"> and </w:t>
      </w:r>
      <w:r w:rsidRPr="00A428C3">
        <w:t xml:space="preserve">PbOx. In general, the </w:t>
      </w:r>
      <w:r w:rsidR="000352E7">
        <w:t>“</w:t>
      </w:r>
      <w:r w:rsidRPr="00A428C3">
        <w:t>combustion</w:t>
      </w:r>
      <w:r w:rsidR="000352E7">
        <w:t>”</w:t>
      </w:r>
      <w:r w:rsidRPr="00A428C3">
        <w:t xml:space="preserve"> of DISR in supercritical water showed an effective removal of heavy metals.</w:t>
      </w:r>
    </w:p>
    <w:p w:rsidR="00B95188" w:rsidRPr="00A428C3" w:rsidRDefault="00B95188" w:rsidP="00B95188">
      <w:pPr>
        <w:pStyle w:val="a0"/>
      </w:pPr>
      <w:r w:rsidRPr="00A428C3">
        <w:t>Keywords: Hydrothermal Crystallization, Oxidation, Incineration, Particles</w:t>
      </w:r>
    </w:p>
    <w:p w:rsidR="00B95188" w:rsidRPr="00A428C3" w:rsidRDefault="00B95188" w:rsidP="00B95188">
      <w:pPr>
        <w:pStyle w:val="a0"/>
      </w:pPr>
      <w:r w:rsidRPr="00A428C3">
        <w:t>Cocero, M.J., Alonso, E.</w:t>
      </w:r>
      <w:r w:rsidR="00F81221">
        <w:t xml:space="preserve"> and </w:t>
      </w:r>
      <w:r w:rsidRPr="00A428C3">
        <w:t>Lucas, S. (2000), Pilot plant for soil remediation with supercritical CO</w:t>
      </w:r>
      <w:r w:rsidRPr="00A428C3">
        <w:rPr>
          <w:vertAlign w:val="subscript"/>
        </w:rPr>
        <w:t>2</w:t>
      </w:r>
      <w:r w:rsidRPr="00A428C3">
        <w:t xml:space="preserve"> under quasi-isobaric conditions. </w:t>
      </w:r>
      <w:r w:rsidRPr="00A428C3">
        <w:rPr>
          <w:i/>
        </w:rPr>
        <w:t>Industrial &amp; Engineering Chemistry Research</w:t>
      </w:r>
      <w:r w:rsidRPr="00A428C3">
        <w:rPr>
          <w:iCs/>
        </w:rPr>
        <w:t xml:space="preserve">, </w:t>
      </w:r>
      <w:r w:rsidRPr="00A428C3">
        <w:rPr>
          <w:b/>
        </w:rPr>
        <w:t>39</w:t>
      </w:r>
      <w:r w:rsidRPr="00A428C3">
        <w:t xml:space="preserve"> (12), 4597-4602.</w:t>
      </w:r>
    </w:p>
    <w:p w:rsidR="00B95188" w:rsidRPr="00A428C3" w:rsidRDefault="00B95188" w:rsidP="00B95188">
      <w:pPr>
        <w:pStyle w:val="a0"/>
      </w:pPr>
      <w:r w:rsidRPr="00A428C3">
        <w:t xml:space="preserve">Full Text: </w:t>
      </w:r>
      <w:hyperlink r:id="rId1150" w:history="1">
        <w:r w:rsidRPr="00A428C3">
          <w:rPr>
            <w:rStyle w:val="a5"/>
          </w:rPr>
          <w:t>I\Ind Eng Che Res39, 4597.pdf</w:t>
        </w:r>
      </w:hyperlink>
    </w:p>
    <w:p w:rsidR="00B95188" w:rsidRPr="00A428C3" w:rsidRDefault="00B95188" w:rsidP="00B95188">
      <w:pPr>
        <w:pStyle w:val="a0"/>
      </w:pPr>
      <w:r w:rsidRPr="00A428C3">
        <w:t xml:space="preserve">Abstract: In the Chemical Engineering Department at the </w:t>
      </w:r>
      <w:smartTag w:uri="urn:schemas-microsoft-com:office:smarttags" w:element="PlaceType">
        <w:r w:rsidRPr="00A428C3">
          <w:t>University</w:t>
        </w:r>
      </w:smartTag>
      <w:r w:rsidRPr="00A428C3">
        <w:t xml:space="preserve"> of </w:t>
      </w:r>
      <w:smartTag w:uri="urn:schemas-microsoft-com:office:smarttags" w:element="PlaceName">
        <w:r w:rsidRPr="00A428C3">
          <w:t>Valladolid</w:t>
        </w:r>
      </w:smartTag>
      <w:r w:rsidRPr="00A428C3">
        <w:t xml:space="preserve"> (</w:t>
      </w:r>
      <w:smartTag w:uri="urn:schemas-microsoft-com:office:smarttags" w:element="place">
        <w:smartTag w:uri="urn:schemas-microsoft-com:office:smarttags" w:element="country-region">
          <w:r w:rsidRPr="00A428C3">
            <w:t>Spain</w:t>
          </w:r>
        </w:smartTag>
      </w:smartTag>
      <w:r w:rsidRPr="00A428C3">
        <w:t>), a pilot plant for soil remediation with supercritical CO</w:t>
      </w:r>
      <w:r w:rsidRPr="00A428C3">
        <w:rPr>
          <w:vertAlign w:val="subscript"/>
        </w:rPr>
        <w:t>2</w:t>
      </w:r>
      <w:r w:rsidRPr="00A428C3">
        <w:t xml:space="preserve"> extraction</w:t>
      </w:r>
      <w:r w:rsidR="00F81221">
        <w:t xml:space="preserve"> and </w:t>
      </w:r>
      <w:r w:rsidRPr="00A428C3">
        <w:t>subsequent adsorption on activated carbon has been developed. Soil polluted with hydrocarbons from a petrochemical plant has been treated in order to reduce the pollution level below legal limits. Operational parameters such as extraction temperature, solid particle size,</w:t>
      </w:r>
      <w:r w:rsidR="00F81221">
        <w:t xml:space="preserve"> and </w:t>
      </w:r>
      <w:r w:rsidRPr="00A428C3">
        <w:t>solvent ratio were optimized. Experiments were conducted at a 30-60 degreesC extraction temperature, combined with a temperature of 50 degreesC for the adsorption onto activated carbon. The solvent flow rate was varied between 5</w:t>
      </w:r>
      <w:r w:rsidR="00F81221">
        <w:t xml:space="preserve"> and </w:t>
      </w:r>
      <w:smartTag w:uri="urn:schemas-microsoft-com:office:smarttags" w:element="chmetcnv">
        <w:smartTagPr>
          <w:attr w:name="TCSC" w:val="0"/>
          <w:attr w:name="NumberType" w:val="1"/>
          <w:attr w:name="Negative" w:val="False"/>
          <w:attr w:name="HasSpace" w:val="True"/>
          <w:attr w:name="SourceValue" w:val="15"/>
          <w:attr w:name="UnitName" w:val="kg"/>
        </w:smartTagPr>
        <w:r w:rsidRPr="00A428C3">
          <w:t>15 kg</w:t>
        </w:r>
      </w:smartTag>
      <w:r w:rsidRPr="00A428C3">
        <w:t>/h,</w:t>
      </w:r>
      <w:r w:rsidR="00F81221">
        <w:t xml:space="preserve"> and </w:t>
      </w:r>
      <w:r w:rsidRPr="00A428C3">
        <w:t xml:space="preserve">the effect of particle size in the process was studied for particles with dp &lt; </w:t>
      </w:r>
      <w:smartTag w:uri="urn:schemas-microsoft-com:office:smarttags" w:element="chmetcnv">
        <w:smartTagPr>
          <w:attr w:name="TCSC" w:val="0"/>
          <w:attr w:name="NumberType" w:val="1"/>
          <w:attr w:name="Negative" w:val="False"/>
          <w:attr w:name="HasSpace" w:val="True"/>
          <w:attr w:name="SourceValue" w:val="0.425"/>
          <w:attr w:name="UnitName" w:val="mm"/>
        </w:smartTagPr>
        <w:r w:rsidRPr="00A428C3">
          <w:t>0.425 mm</w:t>
        </w:r>
      </w:smartTag>
      <w:r w:rsidRPr="00A428C3">
        <w:t>. Several experiments have shown that a gradient in temperature is necessary between the extraction step</w:t>
      </w:r>
      <w:r w:rsidR="00F81221">
        <w:t xml:space="preserve"> and </w:t>
      </w:r>
      <w:r w:rsidRPr="00A428C3">
        <w:t>the adsorption step</w:t>
      </w:r>
      <w:r w:rsidR="00F81221">
        <w:t xml:space="preserve"> and </w:t>
      </w:r>
      <w:r w:rsidRPr="00A428C3">
        <w:t>that extraction temperature should be lower than adsorption temperature. Results show that temperature increases improved both initial rates of extraction</w:t>
      </w:r>
      <w:r w:rsidR="00F81221">
        <w:t xml:space="preserve"> and </w:t>
      </w:r>
      <w:r w:rsidRPr="00A428C3">
        <w:t>total recoveries, maintaining in every case the gradient mentioned above. The solubility of the contaminant in the SCF does not limit SFE,</w:t>
      </w:r>
      <w:r w:rsidR="00F81221">
        <w:t xml:space="preserve"> and </w:t>
      </w:r>
      <w:r w:rsidRPr="00A428C3">
        <w:t xml:space="preserve">diffusion into the </w:t>
      </w:r>
      <w:r w:rsidRPr="00A428C3">
        <w:lastRenderedPageBreak/>
        <w:t>CO</w:t>
      </w:r>
      <w:r w:rsidRPr="00A428C3">
        <w:rPr>
          <w:vertAlign w:val="subscript"/>
        </w:rPr>
        <w:t>2</w:t>
      </w:r>
      <w:r w:rsidRPr="00A428C3">
        <w:t xml:space="preserve"> phase was found to be the limiting step in the extraction rate. Results show an optimal extraction temperature of 40 &lt;degrees&gt;C, particle size of </w:t>
      </w:r>
      <w:smartTag w:uri="urn:schemas-microsoft-com:office:smarttags" w:element="chmetcnv">
        <w:smartTagPr>
          <w:attr w:name="TCSC" w:val="0"/>
          <w:attr w:name="NumberType" w:val="1"/>
          <w:attr w:name="Negative" w:val="False"/>
          <w:attr w:name="HasSpace" w:val="True"/>
          <w:attr w:name="SourceValue" w:val="0.425"/>
          <w:attr w:name="UnitName" w:val="mm"/>
        </w:smartTagPr>
        <w:r w:rsidRPr="00A428C3">
          <w:t>0.425 mm</w:t>
        </w:r>
      </w:smartTag>
      <w:r w:rsidRPr="00A428C3">
        <w:t>,</w:t>
      </w:r>
      <w:r w:rsidR="00F81221">
        <w:t xml:space="preserve"> and </w:t>
      </w:r>
      <w:r w:rsidRPr="00A428C3">
        <w:t xml:space="preserve">solvent ratio of </w:t>
      </w:r>
      <w:smartTag w:uri="urn:schemas-microsoft-com:office:smarttags" w:element="chmetcnv">
        <w:smartTagPr>
          <w:attr w:name="TCSC" w:val="0"/>
          <w:attr w:name="NumberType" w:val="1"/>
          <w:attr w:name="Negative" w:val="False"/>
          <w:attr w:name="HasSpace" w:val="True"/>
          <w:attr w:name="SourceValue" w:val="15.8"/>
          <w:attr w:name="UnitName" w:val="kg"/>
        </w:smartTagPr>
        <w:r w:rsidRPr="00A428C3">
          <w:t>15.8 kg</w:t>
        </w:r>
      </w:smartTag>
      <w:r w:rsidRPr="00A428C3">
        <w:t xml:space="preserve"> CO</w:t>
      </w:r>
      <w:r w:rsidRPr="00A428C3">
        <w:rPr>
          <w:vertAlign w:val="subscript"/>
        </w:rPr>
        <w:t>2</w:t>
      </w:r>
      <w:r w:rsidRPr="00A428C3">
        <w:t>[(kg soil) h]. A comparison of this soil with the same soil contaminated with diesel oil in the laboratory has been made. The effect of particle size is particularly strong for the soil recently spiked in the laboratory; in the studied range of particle sizes, the bigger the particles, the better the extraction. That can be explained by the fact that, for aged soil, pollutants are more strongly adsorbed on the soil</w:t>
      </w:r>
      <w:r w:rsidR="00F81221">
        <w:t xml:space="preserve"> and </w:t>
      </w:r>
      <w:r w:rsidRPr="00A428C3">
        <w:t>the effect of particle size is not as important as the bond forces.</w:t>
      </w:r>
    </w:p>
    <w:p w:rsidR="00B95188" w:rsidRPr="00A428C3" w:rsidRDefault="00B95188" w:rsidP="00B95188">
      <w:pPr>
        <w:pStyle w:val="a0"/>
      </w:pPr>
      <w:r w:rsidRPr="00A428C3">
        <w:t>Keywords: Carbon-Dioxide Extraction</w:t>
      </w:r>
    </w:p>
    <w:p w:rsidR="00B95188" w:rsidRPr="00A428C3" w:rsidRDefault="00B95188" w:rsidP="00B95188">
      <w:pPr>
        <w:pStyle w:val="a0"/>
      </w:pPr>
      <w:r w:rsidRPr="00A428C3">
        <w:t>Sicardi, S., Manna, L.</w:t>
      </w:r>
      <w:r w:rsidR="00F81221">
        <w:t xml:space="preserve"> and </w:t>
      </w:r>
      <w:r w:rsidRPr="00A428C3">
        <w:t xml:space="preserve">Banchero, M. (2000), Comparison of dye diffusion in poly(ethylene terephthalate) films in the presence of a supercritical or aqueous solvent. </w:t>
      </w:r>
      <w:r w:rsidRPr="00A428C3">
        <w:rPr>
          <w:i/>
        </w:rPr>
        <w:t>Industrial &amp; Engineering Chemistry Research</w:t>
      </w:r>
      <w:r w:rsidRPr="00A428C3">
        <w:t xml:space="preserve">, </w:t>
      </w:r>
      <w:r w:rsidRPr="00A428C3">
        <w:rPr>
          <w:b/>
        </w:rPr>
        <w:t>39</w:t>
      </w:r>
      <w:r w:rsidRPr="00A428C3">
        <w:t xml:space="preserve"> (12), 4707-4713.</w:t>
      </w:r>
    </w:p>
    <w:p w:rsidR="00B95188" w:rsidRPr="00A428C3" w:rsidRDefault="00B95188" w:rsidP="00B95188">
      <w:pPr>
        <w:pStyle w:val="a0"/>
      </w:pPr>
      <w:r w:rsidRPr="00A428C3">
        <w:t xml:space="preserve">Full Text: </w:t>
      </w:r>
      <w:hyperlink r:id="rId1151" w:history="1">
        <w:r w:rsidRPr="00A428C3">
          <w:rPr>
            <w:rStyle w:val="a5"/>
          </w:rPr>
          <w:t>I\Ind Eng Che Res39, 4707.pdf</w:t>
        </w:r>
      </w:hyperlink>
    </w:p>
    <w:p w:rsidR="00B95188" w:rsidRPr="00A428C3" w:rsidRDefault="00B95188" w:rsidP="00B95188">
      <w:pPr>
        <w:pStyle w:val="a0"/>
        <w:rPr>
          <w:rFonts w:eastAsia="Arial Unicode MS"/>
        </w:rPr>
      </w:pPr>
      <w:r w:rsidRPr="00A428C3">
        <w:t>Abstract: Impregnation of polymers with supercritical CO</w:t>
      </w:r>
      <w:r w:rsidRPr="00A428C3">
        <w:rPr>
          <w:vertAlign w:val="subscript"/>
        </w:rPr>
        <w:t>2</w:t>
      </w:r>
      <w:r w:rsidRPr="00A428C3">
        <w:t xml:space="preserve"> appears to be a promising technique in the area of polymer processing. The main aim of this paper is to measure the diffusion coefficients of a solute (a dyestuff) permeating a poly(ethylene terephthalate) (PET) film in a supercritical impregnating system at different working conditions</w:t>
      </w:r>
      <w:r w:rsidR="00F81221">
        <w:t xml:space="preserve"> and </w:t>
      </w:r>
      <w:r w:rsidRPr="00A428C3">
        <w:t xml:space="preserve">to compare the results with similar data obtained with the same solute in the same material but in a traditional aqueous system. The experimental technique used is that of the </w:t>
      </w:r>
      <w:r w:rsidR="000352E7">
        <w:t>“</w:t>
      </w:r>
      <w:r w:rsidRPr="00A428C3">
        <w:t>film roll method</w:t>
      </w:r>
      <w:r w:rsidR="000352E7">
        <w:t>”</w:t>
      </w:r>
      <w:r w:rsidRPr="00A428C3">
        <w:t xml:space="preserve"> for the experiments conducted in the supercritical system</w:t>
      </w:r>
      <w:r w:rsidR="00F81221">
        <w:t xml:space="preserve"> and </w:t>
      </w:r>
      <w:r w:rsidRPr="00A428C3">
        <w:t>has already been tested in a previous work. For the aqueous system, the sorption kinetics of the dyestuff on plane PET sheets has been measured. The results confirm the high gain in the rate of diffusion obtained with the supercritical impregnating system, related to the high plasticizing power of supercritical CO</w:t>
      </w:r>
      <w:r w:rsidRPr="00A428C3">
        <w:rPr>
          <w:vertAlign w:val="subscript"/>
        </w:rPr>
        <w:t>2</w:t>
      </w:r>
      <w:r w:rsidRPr="00A428C3">
        <w:t xml:space="preserve"> toward synthetic polymers. Interesting considerations come also from the comparison of the data obtained by operating with supercritical CO</w:t>
      </w:r>
      <w:r w:rsidRPr="00A428C3">
        <w:rPr>
          <w:vertAlign w:val="subscript"/>
        </w:rPr>
        <w:t>2</w:t>
      </w:r>
      <w:r w:rsidRPr="00A428C3">
        <w:t xml:space="preserve"> at different working pressures</w:t>
      </w:r>
      <w:r w:rsidR="00F81221">
        <w:t xml:space="preserve"> and </w:t>
      </w:r>
      <w:r w:rsidRPr="00A428C3">
        <w:t>temperatures</w:t>
      </w:r>
      <w:r w:rsidR="00F81221">
        <w:t xml:space="preserve"> and </w:t>
      </w:r>
      <w:r w:rsidRPr="00A428C3">
        <w:t>in the presence of a proper modifier (ethanol).</w:t>
      </w:r>
    </w:p>
    <w:p w:rsidR="00B95188" w:rsidRPr="00A428C3" w:rsidRDefault="00B95188" w:rsidP="00B95188">
      <w:pPr>
        <w:pStyle w:val="a0"/>
      </w:pPr>
      <w:r w:rsidRPr="00A428C3">
        <w:t>Keywords: Nonionic Azo Dyes, Carbon-Dioxide, Poly(Ethylene-Terephthalate), Nylon-6, CO</w:t>
      </w:r>
      <w:r w:rsidRPr="00A428C3">
        <w:rPr>
          <w:vertAlign w:val="subscript"/>
        </w:rPr>
        <w:t>2</w:t>
      </w:r>
      <w:r w:rsidRPr="00A428C3">
        <w:t>, Sorption</w:t>
      </w:r>
    </w:p>
    <w:p w:rsidR="00B95188" w:rsidRPr="00A428C3" w:rsidRDefault="00B95188" w:rsidP="00B95188">
      <w:pPr>
        <w:pStyle w:val="a0"/>
      </w:pPr>
      <w:smartTag w:uri="urn:schemas-microsoft-com:office:smarttags" w:element="place">
        <w:smartTag w:uri="urn:schemas-microsoft-com:office:smarttags" w:element="State">
          <w:r w:rsidRPr="00A428C3">
            <w:t>del</w:t>
          </w:r>
        </w:smartTag>
      </w:smartTag>
      <w:r w:rsidRPr="00A428C3">
        <w:t xml:space="preserve"> Valle, E.M.M.</w:t>
      </w:r>
      <w:r w:rsidR="00F81221">
        <w:t xml:space="preserve"> and </w:t>
      </w:r>
      <w:r w:rsidRPr="00A428C3">
        <w:t>Galán, M.A. (2001), Specific</w:t>
      </w:r>
      <w:r w:rsidR="00F81221">
        <w:t xml:space="preserve"> and </w:t>
      </w:r>
      <w:r w:rsidRPr="00A428C3">
        <w:t>nonspecific adsorption in affinity chromatography. Part I. Preliminary</w:t>
      </w:r>
      <w:r w:rsidR="00F81221">
        <w:t xml:space="preserve"> and </w:t>
      </w:r>
      <w:r w:rsidRPr="00A428C3">
        <w:t xml:space="preserve">equilibrium studies. </w:t>
      </w:r>
      <w:r w:rsidRPr="00A428C3">
        <w:rPr>
          <w:i/>
        </w:rPr>
        <w:t>Industrial &amp; Engineering Chemistry Research</w:t>
      </w:r>
      <w:r w:rsidRPr="00A428C3">
        <w:t xml:space="preserve">, </w:t>
      </w:r>
      <w:r w:rsidRPr="00A428C3">
        <w:rPr>
          <w:b/>
        </w:rPr>
        <w:t>40</w:t>
      </w:r>
      <w:r w:rsidRPr="00A428C3">
        <w:t xml:space="preserve"> (1), 369-376.</w:t>
      </w:r>
    </w:p>
    <w:p w:rsidR="00B95188" w:rsidRPr="00A428C3" w:rsidRDefault="00B95188" w:rsidP="00B95188">
      <w:pPr>
        <w:pStyle w:val="a0"/>
      </w:pPr>
      <w:r w:rsidRPr="00A428C3">
        <w:t xml:space="preserve">Full Text: </w:t>
      </w:r>
      <w:hyperlink r:id="rId1152" w:history="1">
        <w:r w:rsidRPr="00A428C3">
          <w:rPr>
            <w:rStyle w:val="a5"/>
          </w:rPr>
          <w:t>I\Ind Eng Che Res40, 369.pdf</w:t>
        </w:r>
      </w:hyperlink>
    </w:p>
    <w:p w:rsidR="00B95188" w:rsidRPr="00A428C3" w:rsidRDefault="00B95188" w:rsidP="00B95188">
      <w:pPr>
        <w:pStyle w:val="a0"/>
        <w:rPr>
          <w:rFonts w:eastAsia="Arial Unicode MS"/>
        </w:rPr>
      </w:pPr>
      <w:r w:rsidRPr="00A428C3">
        <w:t>Abstract: The amount of enzyme adsorbed at equilibrium by hydrophobic</w:t>
      </w:r>
      <w:r w:rsidR="00F81221">
        <w:t xml:space="preserve"> and </w:t>
      </w:r>
      <w:r w:rsidRPr="00A428C3">
        <w:t>hydrophilic bonds or retained inside the adsorbent was studied for asparaginase on Sepharose 4B, Sepharose 4B activated with CNBr, activated Sepharose 4B with hexamethylene diamine as a spacer arm</w:t>
      </w:r>
      <w:r w:rsidR="00F81221">
        <w:t xml:space="preserve"> and </w:t>
      </w:r>
      <w:r w:rsidRPr="00A428C3">
        <w:t>activated Sepharose 4B with Hexamethylene diamine</w:t>
      </w:r>
      <w:r w:rsidR="00F81221">
        <w:t xml:space="preserve"> and </w:t>
      </w:r>
      <w:r w:rsidRPr="00A428C3">
        <w:t>L-(+)-chlorosuccinamic acid as the spacer arm</w:t>
      </w:r>
      <w:r w:rsidR="00F81221">
        <w:t xml:space="preserve"> and </w:t>
      </w:r>
      <w:r w:rsidRPr="00A428C3">
        <w:lastRenderedPageBreak/>
        <w:t>ligand, respectively, in a batch reactor for the range of temperatures 298-302 K, the range of pH 7.5-8.6,</w:t>
      </w:r>
      <w:r w:rsidR="00F81221">
        <w:t xml:space="preserve"> and </w:t>
      </w:r>
      <w:r w:rsidRPr="00A428C3">
        <w:t>for different ionic strengths (0.0</w:t>
      </w:r>
      <w:smartTag w:uri="urn:schemas-microsoft-com:office:smarttags" w:element="chmetcnv">
        <w:smartTagPr>
          <w:attr w:name="TCSC" w:val="0"/>
          <w:attr w:name="NumberType" w:val="1"/>
          <w:attr w:name="Negative" w:val="True"/>
          <w:attr w:name="HasSpace" w:val="True"/>
          <w:attr w:name="SourceValue" w:val="1.5"/>
          <w:attr w:name="UnitName" w:val="m"/>
        </w:smartTagPr>
        <w:r w:rsidRPr="00A428C3">
          <w:t>-1.5 M</w:t>
        </w:r>
      </w:smartTag>
      <w:r w:rsidRPr="00A428C3">
        <w:t xml:space="preserve"> NaCl). Adsorption increased with pH</w:t>
      </w:r>
      <w:r w:rsidR="00F81221">
        <w:t xml:space="preserve"> and </w:t>
      </w:r>
      <w:r w:rsidRPr="00A428C3">
        <w:t xml:space="preserve">decreased with temperature. With respect to ionic strength, adsorption increased until an I value of </w:t>
      </w:r>
      <w:smartTag w:uri="urn:schemas-microsoft-com:office:smarttags" w:element="chmetcnv">
        <w:smartTagPr>
          <w:attr w:name="TCSC" w:val="0"/>
          <w:attr w:name="NumberType" w:val="1"/>
          <w:attr w:name="Negative" w:val="False"/>
          <w:attr w:name="HasSpace" w:val="True"/>
          <w:attr w:name="SourceValue" w:val="0.05"/>
          <w:attr w:name="UnitName" w:val="m"/>
        </w:smartTagPr>
        <w:r w:rsidRPr="00A428C3">
          <w:t>0.05 M</w:t>
        </w:r>
      </w:smartTag>
      <w:r w:rsidRPr="00A428C3">
        <w:t xml:space="preserve"> NaCl. A change in the adsorption process was observed when the ionic strength was steadily decreased. The equilibrium data were correlated using a semiquantitative theory in which electrostatic</w:t>
      </w:r>
      <w:r w:rsidR="00F81221">
        <w:t xml:space="preserve"> and </w:t>
      </w:r>
      <w:r w:rsidRPr="00A428C3">
        <w:t>hydrophobic interactions between enzyme</w:t>
      </w:r>
      <w:r w:rsidR="00F81221">
        <w:t xml:space="preserve"> and </w:t>
      </w:r>
      <w:r w:rsidRPr="00A428C3">
        <w:t>ligand were considered. This correlation shows that hydrophobic effects increase with temperature, in very good agreement with the experimental data.</w:t>
      </w:r>
    </w:p>
    <w:p w:rsidR="00B95188" w:rsidRPr="00A428C3" w:rsidRDefault="00B95188" w:rsidP="00B95188">
      <w:pPr>
        <w:pStyle w:val="a0"/>
      </w:pPr>
      <w:r w:rsidRPr="00A428C3">
        <w:t>Keywords: Size</w:t>
      </w:r>
    </w:p>
    <w:p w:rsidR="00B95188" w:rsidRPr="00A428C3" w:rsidRDefault="00B95188" w:rsidP="00B95188">
      <w:pPr>
        <w:pStyle w:val="a0"/>
      </w:pPr>
      <w:smartTag w:uri="urn:schemas-microsoft-com:office:smarttags" w:element="place">
        <w:smartTag w:uri="urn:schemas-microsoft-com:office:smarttags" w:element="State">
          <w:r w:rsidRPr="00A428C3">
            <w:t>del</w:t>
          </w:r>
        </w:smartTag>
      </w:smartTag>
      <w:r w:rsidRPr="00A428C3">
        <w:t xml:space="preserve"> Valle, E.M.M.</w:t>
      </w:r>
      <w:r w:rsidR="00F81221">
        <w:t xml:space="preserve"> and </w:t>
      </w:r>
      <w:r w:rsidRPr="00A428C3">
        <w:t>Galán, M.A. (2001), Specific</w:t>
      </w:r>
      <w:r w:rsidR="00F81221">
        <w:t xml:space="preserve"> and </w:t>
      </w:r>
      <w:r w:rsidRPr="00A428C3">
        <w:t>nonspecific adsorption in affinity chromatography. Part II. Kinetic</w:t>
      </w:r>
      <w:r w:rsidR="00F81221">
        <w:t xml:space="preserve"> and </w:t>
      </w:r>
      <w:r w:rsidRPr="00A428C3">
        <w:t xml:space="preserve">mass transfer studies. </w:t>
      </w:r>
      <w:r w:rsidRPr="00A428C3">
        <w:rPr>
          <w:i/>
        </w:rPr>
        <w:t>Industrial &amp; Engineering Chemistry Research</w:t>
      </w:r>
      <w:r w:rsidRPr="00A428C3">
        <w:t xml:space="preserve">, </w:t>
      </w:r>
      <w:r w:rsidRPr="00A428C3">
        <w:rPr>
          <w:b/>
        </w:rPr>
        <w:t>40</w:t>
      </w:r>
      <w:r w:rsidRPr="00A428C3">
        <w:t xml:space="preserve"> (1), 377-383.</w:t>
      </w:r>
    </w:p>
    <w:p w:rsidR="00B95188" w:rsidRPr="00A428C3" w:rsidRDefault="00B95188" w:rsidP="00B95188">
      <w:pPr>
        <w:pStyle w:val="a0"/>
      </w:pPr>
      <w:r w:rsidRPr="00A428C3">
        <w:t xml:space="preserve">Full Text: </w:t>
      </w:r>
      <w:hyperlink r:id="rId1153" w:history="1">
        <w:r w:rsidRPr="00A428C3">
          <w:rPr>
            <w:rStyle w:val="a5"/>
          </w:rPr>
          <w:t>I\Ind Eng Che Res40, 377.pdf</w:t>
        </w:r>
      </w:hyperlink>
    </w:p>
    <w:p w:rsidR="00B95188" w:rsidRPr="00A428C3" w:rsidRDefault="00B95188" w:rsidP="00B95188">
      <w:pPr>
        <w:pStyle w:val="a0"/>
        <w:rPr>
          <w:rFonts w:eastAsia="Arial Unicode MS"/>
        </w:rPr>
      </w:pPr>
      <w:r w:rsidRPr="00A428C3">
        <w:t>Abstract: The partition coefficient, adsorption equilibrium inside particles, adsorption kinetics,</w:t>
      </w:r>
      <w:r w:rsidR="00F81221">
        <w:t xml:space="preserve"> and </w:t>
      </w:r>
      <w:r w:rsidRPr="00A428C3">
        <w:t>mass transfer effects have keen studied for asparaginase on Sepharose 4B activated with cyanogen bromide</w:t>
      </w:r>
      <w:r w:rsidR="00F81221">
        <w:t xml:space="preserve"> and </w:t>
      </w:r>
      <w:r w:rsidRPr="00A428C3">
        <w:t>with Hexamethylene diamine</w:t>
      </w:r>
      <w:r w:rsidR="00F81221">
        <w:t xml:space="preserve"> and </w:t>
      </w:r>
      <w:r w:rsidRPr="00A428C3">
        <w:t>L-(+)-chlorosuccinamic acid as the spacer arm</w:t>
      </w:r>
      <w:r w:rsidR="00F81221">
        <w:t xml:space="preserve"> and </w:t>
      </w:r>
      <w:r w:rsidRPr="00A428C3">
        <w:t>ligand, respectively, for temperature</w:t>
      </w:r>
      <w:r w:rsidR="00F81221">
        <w:t xml:space="preserve"> and </w:t>
      </w:r>
      <w:r w:rsidRPr="00A428C3">
        <w:t>pH ranges of 298-302 K</w:t>
      </w:r>
      <w:r w:rsidR="00F81221">
        <w:t xml:space="preserve"> and </w:t>
      </w:r>
      <w:r w:rsidRPr="00A428C3">
        <w:t>7.5-8.6, respectively,</w:t>
      </w:r>
      <w:r w:rsidR="00F81221">
        <w:t xml:space="preserve"> and </w:t>
      </w:r>
      <w:r w:rsidRPr="00A428C3">
        <w:t xml:space="preserve">for an ionic strength value of </w:t>
      </w:r>
      <w:smartTag w:uri="urn:schemas-microsoft-com:office:smarttags" w:element="chmetcnv">
        <w:smartTagPr>
          <w:attr w:name="TCSC" w:val="0"/>
          <w:attr w:name="NumberType" w:val="1"/>
          <w:attr w:name="Negative" w:val="False"/>
          <w:attr w:name="HasSpace" w:val="True"/>
          <w:attr w:name="SourceValue" w:val="0.05"/>
          <w:attr w:name="UnitName" w:val="m"/>
        </w:smartTagPr>
        <w:r w:rsidRPr="00A428C3">
          <w:t>0.05 M</w:t>
        </w:r>
      </w:smartTag>
      <w:r w:rsidRPr="00A428C3">
        <w:t xml:space="preserve"> NaCl. A dynamic model has been developed to describe the adsorption. This model allowed us to obtain values of the diffusion coefficients</w:t>
      </w:r>
      <w:r w:rsidR="00F81221">
        <w:t xml:space="preserve"> and </w:t>
      </w:r>
      <w:r w:rsidRPr="00A428C3">
        <w:t>the forward surface interaction rate constants (D</w:t>
      </w:r>
      <w:r w:rsidRPr="00A428C3">
        <w:rPr>
          <w:vertAlign w:val="subscript"/>
        </w:rPr>
        <w:t>e</w:t>
      </w:r>
      <w:r w:rsidRPr="00A428C3">
        <w:t xml:space="preserve"> approximate to 10</w:t>
      </w:r>
      <w:smartTag w:uri="urn:schemas-microsoft-com:office:smarttags" w:element="chmetcnv">
        <w:smartTagPr>
          <w:attr w:name="TCSC" w:val="0"/>
          <w:attr w:name="NumberType" w:val="1"/>
          <w:attr w:name="Negative" w:val="True"/>
          <w:attr w:name="HasSpace" w:val="True"/>
          <w:attr w:name="SourceValue" w:val="8"/>
          <w:attr w:name="UnitName" w:val="cm"/>
        </w:smartTagPr>
        <w:r w:rsidRPr="00A428C3">
          <w:rPr>
            <w:vertAlign w:val="superscript"/>
          </w:rPr>
          <w:t>-8</w:t>
        </w:r>
        <w:r w:rsidRPr="00A428C3">
          <w:t xml:space="preserve"> cm</w:t>
        </w:r>
      </w:smartTag>
      <w:r w:rsidRPr="00A428C3">
        <w:rPr>
          <w:vertAlign w:val="superscript"/>
        </w:rPr>
        <w:t>2</w:t>
      </w:r>
      <w:r w:rsidRPr="00A428C3">
        <w:t>/s, k</w:t>
      </w:r>
      <w:r w:rsidRPr="00A428C3">
        <w:rPr>
          <w:vertAlign w:val="subscript"/>
        </w:rPr>
        <w:t>1</w:t>
      </w:r>
      <w:r w:rsidRPr="00A428C3">
        <w:t xml:space="preserve"> approximate to 10</w:t>
      </w:r>
      <w:r w:rsidRPr="00A428C3">
        <w:rPr>
          <w:vertAlign w:val="superscript"/>
        </w:rPr>
        <w:t>-4</w:t>
      </w:r>
      <w:r w:rsidRPr="00A428C3">
        <w:t xml:space="preserve"> mL mg</w:t>
      </w:r>
      <w:r w:rsidRPr="00A428C3">
        <w:rPr>
          <w:vertAlign w:val="superscript"/>
        </w:rPr>
        <w:t>-1</w:t>
      </w:r>
      <w:r w:rsidRPr="00A428C3">
        <w:t>s</w:t>
      </w:r>
      <w:r w:rsidRPr="00A428C3">
        <w:rPr>
          <w:vertAlign w:val="superscript"/>
        </w:rPr>
        <w:t>-1</w:t>
      </w:r>
      <w:r w:rsidRPr="00A428C3">
        <w:t>). The forward surface interaction rate constant does not vary with the pH; however, an Arrhenius-type variation was observed with temperature. The values obtained for these constants range between 3.78</w:t>
      </w:r>
      <w:r w:rsidRPr="00A428C3">
        <w:sym w:font="Symbol" w:char="F0B4"/>
      </w:r>
      <w:r w:rsidRPr="00A428C3">
        <w:t>10</w:t>
      </w:r>
      <w:r w:rsidRPr="00A428C3">
        <w:rPr>
          <w:vertAlign w:val="superscript"/>
        </w:rPr>
        <w:t>-4</w:t>
      </w:r>
      <w:r w:rsidR="00F81221">
        <w:t xml:space="preserve"> and </w:t>
      </w:r>
      <w:r w:rsidRPr="00A428C3">
        <w:t>6.80</w:t>
      </w:r>
      <w:r w:rsidRPr="00A428C3">
        <w:sym w:font="Symbol" w:char="F0B4"/>
      </w:r>
      <w:r w:rsidRPr="00A428C3">
        <w:t>10</w:t>
      </w:r>
      <w:r w:rsidRPr="00A428C3">
        <w:rPr>
          <w:vertAlign w:val="superscript"/>
        </w:rPr>
        <w:t>-4</w:t>
      </w:r>
      <w:r w:rsidRPr="00A428C3">
        <w:t xml:space="preserve"> mt mg</w:t>
      </w:r>
      <w:r w:rsidRPr="00A428C3">
        <w:rPr>
          <w:vertAlign w:val="superscript"/>
        </w:rPr>
        <w:t>-1</w:t>
      </w:r>
      <w:r w:rsidRPr="00A428C3">
        <w:t>s</w:t>
      </w:r>
      <w:r w:rsidRPr="00A428C3">
        <w:rPr>
          <w:vertAlign w:val="superscript"/>
        </w:rPr>
        <w:t>-1</w:t>
      </w:r>
      <w:r w:rsidRPr="00A428C3">
        <w:t>. The diffusion coefficient increases with pH (7.5-8.6). Additionally, within the temperature range studied, this coefficient was seen to follow Arrhenius-type behavior, allowing for a determination of the activation energies of the diffusion process for the different pH values (7.95-16.03 kcal/mol).</w:t>
      </w:r>
    </w:p>
    <w:p w:rsidR="00B95188" w:rsidRPr="00A428C3" w:rsidRDefault="00B95188" w:rsidP="00B95188">
      <w:pPr>
        <w:pStyle w:val="a0"/>
      </w:pPr>
      <w:r w:rsidRPr="00A428C3">
        <w:t>Keywords: Proteins</w:t>
      </w:r>
    </w:p>
    <w:p w:rsidR="00B95188" w:rsidRPr="00A428C3" w:rsidRDefault="00B95188" w:rsidP="00B95188">
      <w:pPr>
        <w:pStyle w:val="a0"/>
      </w:pPr>
      <w:r w:rsidRPr="00A428C3">
        <w:t>Hu, X., Qiao, S., Zhao, X.S.</w:t>
      </w:r>
      <w:r w:rsidR="00F81221">
        <w:t xml:space="preserve"> and </w:t>
      </w:r>
      <w:r w:rsidRPr="00A428C3">
        <w:t xml:space="preserve">Lu, G.Q. (2001), Adsorption study of benzene in ink-bottle-like MCM-41. </w:t>
      </w:r>
      <w:r w:rsidRPr="00A428C3">
        <w:rPr>
          <w:i/>
        </w:rPr>
        <w:t>Industrial &amp; Engineering Chemistry Research</w:t>
      </w:r>
      <w:r w:rsidRPr="00A428C3">
        <w:t xml:space="preserve">, </w:t>
      </w:r>
      <w:r w:rsidRPr="00A428C3">
        <w:rPr>
          <w:b/>
        </w:rPr>
        <w:t>40</w:t>
      </w:r>
      <w:r w:rsidRPr="00A428C3">
        <w:t xml:space="preserve"> (3), 862-867.</w:t>
      </w:r>
    </w:p>
    <w:p w:rsidR="00B95188" w:rsidRPr="00A428C3" w:rsidRDefault="00B95188" w:rsidP="00B95188">
      <w:pPr>
        <w:pStyle w:val="a0"/>
      </w:pPr>
      <w:r w:rsidRPr="00A428C3">
        <w:t xml:space="preserve">Full Text: </w:t>
      </w:r>
      <w:hyperlink r:id="rId1154" w:history="1">
        <w:r w:rsidRPr="00A428C3">
          <w:rPr>
            <w:rStyle w:val="a5"/>
          </w:rPr>
          <w:t>I\Ind Eng Che Res40, 862.pdf</w:t>
        </w:r>
      </w:hyperlink>
    </w:p>
    <w:p w:rsidR="00B95188" w:rsidRPr="00A428C3" w:rsidRDefault="00B95188" w:rsidP="00B95188">
      <w:pPr>
        <w:pStyle w:val="a0"/>
      </w:pPr>
      <w:r w:rsidRPr="00A428C3">
        <w:t>Abstract: The pore-opening size of MCM-41 is tailored to be in the microporous region using a chemical vapor deposition technique for selective tailoring. Although the pore opening is narrowed, the internal pore body of MCM-41 remains unchanged so the pore volume retains a substantial portion (80%) of its original value. The adsorption equilibrium of nitrogen</w:t>
      </w:r>
      <w:r w:rsidR="00F81221">
        <w:t xml:space="preserve"> and </w:t>
      </w:r>
      <w:r w:rsidRPr="00A428C3">
        <w:t xml:space="preserve">benzene in the modified MCM-41 shows a </w:t>
      </w:r>
      <w:r w:rsidRPr="00A428C3">
        <w:lastRenderedPageBreak/>
        <w:t>type I isotherm, which significantly improves the adsorption performance of MCM-41 for low-concentration volatile organic compounds. The adsorption kinetics of benzene in the modified MCM-41 is also studied.</w:t>
      </w:r>
    </w:p>
    <w:p w:rsidR="00B95188" w:rsidRPr="00A428C3" w:rsidRDefault="00B95188" w:rsidP="00B95188">
      <w:pPr>
        <w:pStyle w:val="a0"/>
      </w:pPr>
      <w:r w:rsidRPr="00A428C3">
        <w:t>Gang, D.C., Hu, W.Q., Banerji, S.K.</w:t>
      </w:r>
      <w:r w:rsidR="00F81221">
        <w:t xml:space="preserve"> and </w:t>
      </w:r>
      <w:r w:rsidRPr="00A428C3">
        <w:t xml:space="preserve">Clevenger, T.E. (2001), Modified poly(4-vinylpyridine) coated silica gel. Fast kinetics of diffusion-controlled sorption of Chromium(VI). </w:t>
      </w:r>
      <w:r w:rsidRPr="00A428C3">
        <w:rPr>
          <w:i/>
          <w:iCs/>
        </w:rPr>
        <w:t>Industrial &amp; Engineering Chemistry Research</w:t>
      </w:r>
      <w:r w:rsidRPr="00A428C3">
        <w:t xml:space="preserve">, </w:t>
      </w:r>
      <w:r w:rsidRPr="00A428C3">
        <w:rPr>
          <w:b/>
        </w:rPr>
        <w:t>40</w:t>
      </w:r>
      <w:r w:rsidRPr="00A428C3">
        <w:t xml:space="preserve"> (4), 1200-1204.</w:t>
      </w:r>
    </w:p>
    <w:p w:rsidR="00B95188" w:rsidRPr="00A428C3" w:rsidRDefault="00B95188" w:rsidP="00B95188">
      <w:pPr>
        <w:pStyle w:val="a0"/>
      </w:pPr>
      <w:r w:rsidRPr="00A428C3">
        <w:t xml:space="preserve">Full Text: </w:t>
      </w:r>
      <w:hyperlink r:id="rId1155" w:history="1">
        <w:r w:rsidRPr="00A428C3">
          <w:rPr>
            <w:rStyle w:val="a5"/>
          </w:rPr>
          <w:t>I\Ind Eng Che Res40, 1200.pdf</w:t>
        </w:r>
      </w:hyperlink>
    </w:p>
    <w:p w:rsidR="00B95188" w:rsidRPr="00A428C3" w:rsidRDefault="00B95188" w:rsidP="00B95188">
      <w:pPr>
        <w:pStyle w:val="a0"/>
      </w:pPr>
      <w:r w:rsidRPr="00A428C3">
        <w:t>Abstract: A new sorbent has been prepared by coating alkyl quaternized poly(4-vinylpyridine) (PVP) on the high surface area of silica gel. The resulting granular sorbent was used to remove Cr(VI) from water. Batch experiments mere conducted to determine the kinetics</w:t>
      </w:r>
      <w:r w:rsidR="00F81221">
        <w:t xml:space="preserve"> and </w:t>
      </w:r>
      <w:r w:rsidRPr="00A428C3">
        <w:t>sorption rate. The research demonstrated that the modified PVP coated silica gel (referred to as coated gel) could successfully remove chromium(VI) from solution</w:t>
      </w:r>
      <w:r w:rsidR="00F81221">
        <w:t xml:space="preserve"> and </w:t>
      </w:r>
      <w:r w:rsidRPr="00A428C3">
        <w:t>that the sorbent provided fast kinetics. A finite-bath diffusion-control model with changing bulk concentration was derived analytically for application to the coated gel sorption of Cr(VI). This model fitted the experimental data well. The sorption kinetics on modified PVP coated gel was found to be diffusion-controlled with a value of 5.8×10</w:t>
      </w:r>
      <w:smartTag w:uri="urn:schemas-microsoft-com:office:smarttags" w:element="chmetcnv">
        <w:smartTagPr>
          <w:attr w:name="TCSC" w:val="0"/>
          <w:attr w:name="NumberType" w:val="1"/>
          <w:attr w:name="Negative" w:val="True"/>
          <w:attr w:name="HasSpace" w:val="True"/>
          <w:attr w:name="SourceValue" w:val="7"/>
          <w:attr w:name="UnitName" w:val="cm"/>
        </w:smartTagPr>
        <w:r w:rsidRPr="00A428C3">
          <w:rPr>
            <w:vertAlign w:val="superscript"/>
          </w:rPr>
          <w:t>-7</w:t>
        </w:r>
        <w:r w:rsidRPr="00A428C3">
          <w:t xml:space="preserve"> cm</w:t>
        </w:r>
      </w:smartTag>
      <w:r w:rsidRPr="00A428C3">
        <w:rPr>
          <w:vertAlign w:val="superscript"/>
        </w:rPr>
        <w:t>2</w:t>
      </w:r>
      <w:r w:rsidRPr="00A428C3">
        <w:t>/s for the product of the distribution coefficient</w:t>
      </w:r>
      <w:r w:rsidR="00F81221">
        <w:t xml:space="preserve"> and </w:t>
      </w:r>
      <w:r w:rsidRPr="00A428C3">
        <w:t>the effective diffusivity in the sorption of Cr(VI) on the coated silica gel.</w:t>
      </w:r>
    </w:p>
    <w:p w:rsidR="00B95188" w:rsidRPr="00A428C3" w:rsidRDefault="00B95188" w:rsidP="00B95188">
      <w:pPr>
        <w:pStyle w:val="a0"/>
      </w:pPr>
      <w:r w:rsidRPr="00A428C3">
        <w:t>Keywords: Coating, Concentration, Cr(VI), Distribution, Distribution Coefficient, Kinetics, Metals, Model, Modified, Recovery, Removal, Research, Silica, Silica Gel, Sorption, Sorption Kinetics, Surface, Surface Area, Wastes, Water</w:t>
      </w:r>
    </w:p>
    <w:p w:rsidR="00B95188" w:rsidRPr="00A428C3" w:rsidRDefault="00B95188" w:rsidP="00B95188">
      <w:pPr>
        <w:pStyle w:val="a0"/>
      </w:pPr>
      <w:r w:rsidRPr="00A428C3">
        <w:t>Vincent, T.</w:t>
      </w:r>
      <w:r w:rsidR="00F81221">
        <w:t xml:space="preserve"> and </w:t>
      </w:r>
      <w:r w:rsidRPr="00A428C3">
        <w:t xml:space="preserve">Guibal, E. (2001), Cr(VI) extraction using Aliquat </w:t>
      </w:r>
      <w:smartTag w:uri="urn:schemas-microsoft-com:office:smarttags" w:element="chmetcnv">
        <w:smartTagPr>
          <w:attr w:name="TCSC" w:val="0"/>
          <w:attr w:name="NumberType" w:val="1"/>
          <w:attr w:name="Negative" w:val="False"/>
          <w:attr w:name="HasSpace" w:val="True"/>
          <w:attr w:name="SourceValue" w:val="336"/>
          <w:attr w:name="UnitName" w:val="in"/>
        </w:smartTagPr>
        <w:r w:rsidRPr="00A428C3">
          <w:t>336 in</w:t>
        </w:r>
      </w:smartTag>
      <w:r w:rsidRPr="00A428C3">
        <w:t xml:space="preserve"> a hollow fiber module made of chitosan. </w:t>
      </w:r>
      <w:r w:rsidRPr="00A428C3">
        <w:rPr>
          <w:i/>
          <w:iCs/>
        </w:rPr>
        <w:t>Industrial &amp; Engineering Chemistry Research</w:t>
      </w:r>
      <w:r w:rsidRPr="00A428C3">
        <w:t xml:space="preserve">, </w:t>
      </w:r>
      <w:r w:rsidRPr="00A428C3">
        <w:rPr>
          <w:b/>
        </w:rPr>
        <w:t>40</w:t>
      </w:r>
      <w:r w:rsidRPr="00A428C3">
        <w:t xml:space="preserve"> (5), 1406-1411.</w:t>
      </w:r>
    </w:p>
    <w:p w:rsidR="00B95188" w:rsidRPr="00A428C3" w:rsidRDefault="00B95188" w:rsidP="00B95188">
      <w:pPr>
        <w:pStyle w:val="a0"/>
      </w:pPr>
      <w:r w:rsidRPr="00A428C3">
        <w:t xml:space="preserve">Full Text: </w:t>
      </w:r>
      <w:hyperlink r:id="rId1156" w:history="1">
        <w:r w:rsidRPr="00A428C3">
          <w:rPr>
            <w:rStyle w:val="a5"/>
          </w:rPr>
          <w:t>I\Ind Eng Che Res40, 1406.pdf</w:t>
        </w:r>
      </w:hyperlink>
    </w:p>
    <w:p w:rsidR="00B95188" w:rsidRPr="00A428C3" w:rsidRDefault="00B95188" w:rsidP="00B95188">
      <w:pPr>
        <w:pStyle w:val="a0"/>
      </w:pPr>
      <w:r w:rsidRPr="00A428C3">
        <w:t>Abstract: Chitosan hollow fiber modules have been prepared</w:t>
      </w:r>
      <w:r w:rsidR="00F81221">
        <w:t xml:space="preserve"> and </w:t>
      </w:r>
      <w:r w:rsidRPr="00A428C3">
        <w:t>tested for solvent extraction of Cr(VI) from dilute solutions using Aliquat 336 as the carrier. Chitosan membranes serve as a reactive barrier between aqueous</w:t>
      </w:r>
      <w:r w:rsidR="00F81221">
        <w:t xml:space="preserve"> and </w:t>
      </w:r>
      <w:r w:rsidRPr="00A428C3">
        <w:t>organic phases: both passive</w:t>
      </w:r>
      <w:r w:rsidR="00F81221">
        <w:t xml:space="preserve"> and </w:t>
      </w:r>
      <w:r w:rsidRPr="00A428C3">
        <w:t>active transport through the membranes are suspected to occur, depending on the experimental conditions</w:t>
      </w:r>
      <w:r w:rsidR="00F81221">
        <w:t xml:space="preserve"> and </w:t>
      </w:r>
      <w:r w:rsidRPr="00A428C3">
        <w:t>the characteristics of the membrane. The pH of the solution is a key parameter for the efficient extraction of Cr(VI): pH should be maintained below pH 4.5. Extraction kinetics</w:t>
      </w:r>
      <w:r w:rsidR="00F81221">
        <w:t xml:space="preserve"> and </w:t>
      </w:r>
      <w:r w:rsidRPr="00A428C3">
        <w:t>equilibrium are also controlled by the solvent used to dilute the carrier: kerosene is better than cumene</w:t>
      </w:r>
      <w:r w:rsidR="00F81221">
        <w:t xml:space="preserve"> and </w:t>
      </w:r>
      <w:r w:rsidRPr="00A428C3">
        <w:t>xylene. The reacetylation of chitosan, resulting from the reaction of acetic anhydride with the biopolymer (after water exchange with methanol as the solvent), is expected to increase its resistance to chemical degradation in very acidic solutions but decreases its extraction efficiency</w:t>
      </w:r>
    </w:p>
    <w:p w:rsidR="00B95188" w:rsidRPr="00A428C3" w:rsidRDefault="00B95188" w:rsidP="00B95188">
      <w:pPr>
        <w:pStyle w:val="a0"/>
      </w:pPr>
      <w:r w:rsidRPr="00A428C3">
        <w:t xml:space="preserve">Keywords: Back-Extraction, Carrier, Equilibrium, Metal-Ions, Polymer, Recovery, </w:t>
      </w:r>
      <w:r w:rsidRPr="00A428C3">
        <w:lastRenderedPageBreak/>
        <w:t>Removal, Sorption, Supported Liquid Membranes, Transport</w:t>
      </w:r>
    </w:p>
    <w:p w:rsidR="00B95188" w:rsidRPr="00A428C3" w:rsidRDefault="00B95188" w:rsidP="00B95188">
      <w:pPr>
        <w:pStyle w:val="a0"/>
      </w:pPr>
      <w:r w:rsidRPr="00A428C3">
        <w:t>Ebner, A.D., Ritter, J.A.</w:t>
      </w:r>
      <w:r w:rsidR="00F81221">
        <w:t xml:space="preserve"> and </w:t>
      </w:r>
      <w:r w:rsidRPr="00A428C3">
        <w:t>Navratil, J.D. (2001), Adsorption of cesium, strontium,</w:t>
      </w:r>
      <w:r w:rsidR="00F81221">
        <w:t xml:space="preserve"> and </w:t>
      </w:r>
      <w:r w:rsidRPr="00A428C3">
        <w:t>cobalt ions on magnetite</w:t>
      </w:r>
      <w:r w:rsidR="00F81221">
        <w:t xml:space="preserve"> and </w:t>
      </w:r>
      <w:r w:rsidRPr="00A428C3">
        <w:t xml:space="preserve">a magnetite-silica composite. </w:t>
      </w:r>
      <w:r w:rsidRPr="00A428C3">
        <w:rPr>
          <w:i/>
          <w:iCs/>
        </w:rPr>
        <w:t>Industrial &amp; Engineering Chemistry Research</w:t>
      </w:r>
      <w:r w:rsidRPr="00A428C3">
        <w:t xml:space="preserve">, </w:t>
      </w:r>
      <w:r w:rsidRPr="00A428C3">
        <w:rPr>
          <w:b/>
        </w:rPr>
        <w:t>40</w:t>
      </w:r>
      <w:r w:rsidRPr="00A428C3">
        <w:t xml:space="preserve"> (7), 1615-1623.</w:t>
      </w:r>
    </w:p>
    <w:p w:rsidR="00B95188" w:rsidRPr="00A428C3" w:rsidRDefault="00B95188" w:rsidP="00B95188">
      <w:pPr>
        <w:pStyle w:val="a0"/>
      </w:pPr>
      <w:r w:rsidRPr="00A428C3">
        <w:t xml:space="preserve">Full Text: </w:t>
      </w:r>
      <w:hyperlink r:id="rId1157" w:history="1">
        <w:r w:rsidRPr="00A428C3">
          <w:rPr>
            <w:rStyle w:val="a5"/>
          </w:rPr>
          <w:t>I\Ind Eng Che Res40, 1615.pdf</w:t>
        </w:r>
      </w:hyperlink>
    </w:p>
    <w:p w:rsidR="00B95188" w:rsidRPr="00A428C3" w:rsidRDefault="00B95188" w:rsidP="00B95188">
      <w:pPr>
        <w:pStyle w:val="a0"/>
        <w:rPr>
          <w:rFonts w:eastAsia="Arial Unicode MS"/>
        </w:rPr>
      </w:pPr>
      <w:r w:rsidRPr="00A428C3">
        <w:t>Abstract: Constant pH adsorption isotherms for nonradioactive Cs</w:t>
      </w:r>
      <w:r w:rsidRPr="00A428C3">
        <w:rPr>
          <w:vertAlign w:val="superscript"/>
        </w:rPr>
        <w:t>+</w:t>
      </w:r>
      <w:r w:rsidRPr="00A428C3">
        <w:t>, Sr</w:t>
      </w:r>
      <w:r w:rsidRPr="00A428C3">
        <w:rPr>
          <w:vertAlign w:val="superscript"/>
        </w:rPr>
        <w:t>2+</w:t>
      </w:r>
      <w:r w:rsidRPr="00A428C3">
        <w:t>,</w:t>
      </w:r>
      <w:r w:rsidR="00F81221">
        <w:t xml:space="preserve"> and </w:t>
      </w:r>
      <w:r w:rsidRPr="00A428C3">
        <w:t>Co</w:t>
      </w:r>
      <w:r w:rsidRPr="00A428C3">
        <w:rPr>
          <w:vertAlign w:val="superscript"/>
        </w:rPr>
        <w:t>2+</w:t>
      </w:r>
      <w:r w:rsidRPr="00A428C3">
        <w:t xml:space="preserve"> on pure magnetite</w:t>
      </w:r>
      <w:r w:rsidR="00F81221">
        <w:t xml:space="preserve"> and </w:t>
      </w:r>
      <w:r w:rsidRPr="00A428C3">
        <w:t>a 80% (w/w) magnetite-silica composite were measured at 25 degreesC over a wide range of metal ion concentrations. The adsorption studies were carried out at four different pH</w:t>
      </w:r>
      <w:r w:rsidR="000352E7">
        <w:t>’</w:t>
      </w:r>
      <w:r w:rsidRPr="00A428C3">
        <w:t>s: 6, 7, 8,</w:t>
      </w:r>
      <w:r w:rsidR="00F81221">
        <w:t xml:space="preserve"> and </w:t>
      </w:r>
      <w:r w:rsidRPr="00A428C3">
        <w:t>9 for Cs</w:t>
      </w:r>
      <w:r w:rsidRPr="00A428C3">
        <w:rPr>
          <w:vertAlign w:val="superscript"/>
        </w:rPr>
        <w:t>+</w:t>
      </w:r>
      <w:r w:rsidR="00F81221">
        <w:t xml:space="preserve"> and </w:t>
      </w:r>
      <w:r w:rsidRPr="00A428C3">
        <w:t>Sr</w:t>
      </w:r>
      <w:r w:rsidRPr="00A428C3">
        <w:rPr>
          <w:vertAlign w:val="superscript"/>
        </w:rPr>
        <w:t>2+</w:t>
      </w:r>
      <w:r w:rsidR="00F81221">
        <w:t xml:space="preserve"> and </w:t>
      </w:r>
      <w:r w:rsidRPr="00A428C3">
        <w:t>5, 6, 7,</w:t>
      </w:r>
      <w:r w:rsidR="00F81221">
        <w:t xml:space="preserve"> and </w:t>
      </w:r>
      <w:r w:rsidRPr="00A428C3">
        <w:t>8 for Co</w:t>
      </w:r>
      <w:r w:rsidRPr="00A428C3">
        <w:rPr>
          <w:vertAlign w:val="superscript"/>
        </w:rPr>
        <w:t>2+</w:t>
      </w:r>
      <w:r w:rsidRPr="00A428C3">
        <w:t>. All of the constant pH isotherms exhibited type I behavior with a saturation capacity that was pH-dependent</w:t>
      </w:r>
      <w:r w:rsidR="00F81221">
        <w:t xml:space="preserve"> and </w:t>
      </w:r>
      <w:r w:rsidRPr="00A428C3">
        <w:t>increased with increasing pH. The corresponding distribution coefficients increased with increasing pH but decreased with increasing metal ion concentration; they were also 10-1000 times lower than those reported in the literature for more selective but more expensive adsorbents. These two magnetite-based adsorbents also exhibited moderate regeneration conditions, with nearly 90-100% regeneration achieved in most cases at pH values between 1</w:t>
      </w:r>
      <w:r w:rsidR="00F81221">
        <w:t xml:space="preserve"> and </w:t>
      </w:r>
      <w:r w:rsidRPr="00A428C3">
        <w:t>3. A Langmuir model with pH-dependent parameters was also fitted successfully to all of the constant pH adsorption isotherms. This experimental data</w:t>
      </w:r>
      <w:r w:rsidR="00F81221">
        <w:t xml:space="preserve"> and </w:t>
      </w:r>
      <w:r w:rsidRPr="00A428C3">
        <w:t>the corresponding pH-dependent Langmuir correlation should find considerable use in the design</w:t>
      </w:r>
      <w:r w:rsidR="00F81221">
        <w:t xml:space="preserve"> and </w:t>
      </w:r>
      <w:r w:rsidRPr="00A428C3">
        <w:t>development of inexpensive fixed-bed adsorption processes for the removal of the radioactive isotopes of Cs</w:t>
      </w:r>
      <w:r w:rsidRPr="00A428C3">
        <w:rPr>
          <w:vertAlign w:val="superscript"/>
        </w:rPr>
        <w:t>+</w:t>
      </w:r>
      <w:r w:rsidRPr="00A428C3">
        <w:t>, Sr</w:t>
      </w:r>
      <w:r w:rsidRPr="00A428C3">
        <w:rPr>
          <w:vertAlign w:val="superscript"/>
        </w:rPr>
        <w:t>2+</w:t>
      </w:r>
      <w:r w:rsidRPr="00A428C3">
        <w:t>,</w:t>
      </w:r>
      <w:r w:rsidR="00F81221">
        <w:t xml:space="preserve"> and </w:t>
      </w:r>
      <w:r w:rsidRPr="00A428C3">
        <w:t>Co</w:t>
      </w:r>
      <w:r w:rsidRPr="00A428C3">
        <w:rPr>
          <w:vertAlign w:val="superscript"/>
        </w:rPr>
        <w:t>2+</w:t>
      </w:r>
      <w:r w:rsidRPr="00A428C3">
        <w:t xml:space="preserve"> from aqueous solutions that are produced in nuclear facilities. Magnetite, when encased in silica</w:t>
      </w:r>
      <w:r w:rsidR="00F81221">
        <w:t xml:space="preserve"> and </w:t>
      </w:r>
      <w:r w:rsidRPr="00A428C3">
        <w:t>placed in a packed column, can also be used as the charging element in high gradient magnetic separation, thereby removing not only metal ions via surface complexation (adsorption) but also nanoparticles of a paramagnetic nature.</w:t>
      </w:r>
    </w:p>
    <w:p w:rsidR="00B95188" w:rsidRPr="00A428C3" w:rsidRDefault="00B95188" w:rsidP="00B95188">
      <w:pPr>
        <w:pStyle w:val="a0"/>
      </w:pPr>
      <w:r w:rsidRPr="00A428C3">
        <w:t>Keywords: Oxide-Water Interface, Selective Removal, Hexacyanoferrate Composites, Unconventional Sorbents, Sorptive Removal, Cs(I) Sorption, Waste-Water, Metal-Ions, Radionuclides, Sr-90</w:t>
      </w:r>
    </w:p>
    <w:p w:rsidR="00B95188" w:rsidRPr="00A428C3" w:rsidRDefault="00B95188" w:rsidP="00B95188">
      <w:pPr>
        <w:pStyle w:val="a0"/>
      </w:pPr>
      <w:smartTag w:uri="urn:schemas-microsoft-com:office:smarttags" w:element="City">
        <w:r w:rsidRPr="00A428C3">
          <w:t>Grande</w:t>
        </w:r>
      </w:smartTag>
      <w:r w:rsidRPr="00A428C3">
        <w:t>, C.A.</w:t>
      </w:r>
      <w:r w:rsidR="00F81221">
        <w:t xml:space="preserve"> and </w:t>
      </w:r>
      <w:r w:rsidRPr="00A428C3">
        <w:t>Rodrigues, A.E. (2001), Adsorption equilibria</w:t>
      </w:r>
      <w:r w:rsidR="00F81221">
        <w:t xml:space="preserve"> and </w:t>
      </w:r>
      <w:r w:rsidRPr="00A428C3">
        <w:t>kinetics of propane</w:t>
      </w:r>
      <w:r w:rsidR="00F81221">
        <w:t xml:space="preserve"> and </w:t>
      </w:r>
      <w:r w:rsidRPr="00A428C3">
        <w:t xml:space="preserve">propylene in silica gel. </w:t>
      </w:r>
      <w:r w:rsidRPr="00A428C3">
        <w:rPr>
          <w:i/>
          <w:iCs/>
        </w:rPr>
        <w:t>Industrial &amp; Engineering Chemistry Research</w:t>
      </w:r>
      <w:r w:rsidRPr="00A428C3">
        <w:t xml:space="preserve">, </w:t>
      </w:r>
      <w:r w:rsidRPr="00A428C3">
        <w:rPr>
          <w:b/>
        </w:rPr>
        <w:t>40</w:t>
      </w:r>
      <w:r w:rsidRPr="00A428C3">
        <w:t xml:space="preserve"> (7), 1686-1693.</w:t>
      </w:r>
    </w:p>
    <w:p w:rsidR="00B95188" w:rsidRPr="00A428C3" w:rsidRDefault="00B95188" w:rsidP="00B95188">
      <w:pPr>
        <w:pStyle w:val="a0"/>
      </w:pPr>
      <w:r w:rsidRPr="00A428C3">
        <w:t xml:space="preserve">Full Text: </w:t>
      </w:r>
      <w:hyperlink r:id="rId1158" w:history="1">
        <w:r w:rsidRPr="00A428C3">
          <w:rPr>
            <w:rStyle w:val="a5"/>
          </w:rPr>
          <w:t>I\Ind Eng Che Res40, 1686.pdf</w:t>
        </w:r>
      </w:hyperlink>
    </w:p>
    <w:p w:rsidR="00B95188" w:rsidRPr="00A428C3" w:rsidRDefault="00B95188" w:rsidP="00B95188">
      <w:pPr>
        <w:pStyle w:val="a0"/>
        <w:rPr>
          <w:rFonts w:eastAsia="Arial Unicode MS"/>
        </w:rPr>
      </w:pPr>
      <w:r w:rsidRPr="00A428C3">
        <w:t>Abstract: Adsorption equilibrium isotherms for propane</w:t>
      </w:r>
      <w:r w:rsidR="00F81221">
        <w:t xml:space="preserve"> and </w:t>
      </w:r>
      <w:r w:rsidRPr="00A428C3">
        <w:t>propylene on narrow pore silica gel (NSG)</w:t>
      </w:r>
      <w:r w:rsidR="00F81221">
        <w:t xml:space="preserve"> and </w:t>
      </w:r>
      <w:r w:rsidRPr="00A428C3">
        <w:t>wide pore silica gel (WSG) were measured by gravimetry in the temperature range 303-343 K</w:t>
      </w:r>
      <w:r w:rsidR="00F81221">
        <w:t xml:space="preserve"> and </w:t>
      </w:r>
      <w:r w:rsidRPr="00A428C3">
        <w:t>at pressures up to 101 kPa. The isotherms were correlated by the generalized Dubinin isotherm</w:t>
      </w:r>
      <w:r w:rsidR="00F81221">
        <w:t xml:space="preserve"> and </w:t>
      </w:r>
      <w:r w:rsidRPr="00A428C3">
        <w:t>Polanyi</w:t>
      </w:r>
      <w:r w:rsidR="000352E7">
        <w:t>’</w:t>
      </w:r>
      <w:r w:rsidRPr="00A428C3">
        <w:t>s theory. Both adsorbents have a higher affinity for propylene. The loading at 100 kPa of propylene is 2</w:t>
      </w:r>
      <w:r w:rsidR="00F81221">
        <w:t xml:space="preserve"> and </w:t>
      </w:r>
      <w:r w:rsidRPr="00A428C3">
        <w:t>0.7 mmol/g on NSG</w:t>
      </w:r>
      <w:r w:rsidR="00F81221">
        <w:t xml:space="preserve"> and </w:t>
      </w:r>
      <w:r w:rsidRPr="00A428C3">
        <w:t xml:space="preserve">WSG, respectively. These loadings are 1.5 higher than those for propane with both adsorbents. The heat of adsorption estimated by the </w:t>
      </w:r>
      <w:r w:rsidRPr="00A428C3">
        <w:lastRenderedPageBreak/>
        <w:t>Clausius-Clapeyron equation decreases with the degree of coverage. Adsorption kinetics in the same temperature range was studied by the zero-length column method using the long time response. The diffusion of propane</w:t>
      </w:r>
      <w:r w:rsidR="00F81221">
        <w:t xml:space="preserve"> and </w:t>
      </w:r>
      <w:r w:rsidRPr="00A428C3">
        <w:t>propylene in both silicas is controlled by Knudsen diffusion. The pore diffusivities determined in the temperature range 303-343 K are 2.4</w:t>
      </w:r>
      <w:r w:rsidRPr="00A428C3">
        <w:sym w:font="Symbol" w:char="F0B4"/>
      </w:r>
      <w:smartTag w:uri="urn:schemas-microsoft-com:office:smarttags" w:element="chsdate">
        <w:smartTagPr>
          <w:attr w:name="IsROCDate" w:val="False"/>
          <w:attr w:name="IsLunarDate" w:val="False"/>
          <w:attr w:name="Day" w:val="2"/>
          <w:attr w:name="Month" w:val="3"/>
          <w:attr w:name="Year" w:val="2010"/>
        </w:smartTagPr>
        <w:r w:rsidRPr="00A428C3">
          <w:t>10</w:t>
        </w:r>
        <w:r w:rsidRPr="00A428C3">
          <w:rPr>
            <w:vertAlign w:val="superscript"/>
          </w:rPr>
          <w:t>-3</w:t>
        </w:r>
        <w:r w:rsidRPr="00A428C3">
          <w:t>-2</w:t>
        </w:r>
      </w:smartTag>
      <w:r w:rsidRPr="00A428C3">
        <w:t>.8</w:t>
      </w:r>
      <w:r w:rsidRPr="00A428C3">
        <w:sym w:font="Symbol" w:char="F0B4"/>
      </w:r>
      <w:r w:rsidRPr="00A428C3">
        <w:t>10</w:t>
      </w:r>
      <w:r w:rsidRPr="00A428C3">
        <w:rPr>
          <w:vertAlign w:val="superscript"/>
        </w:rPr>
        <w:t>-3</w:t>
      </w:r>
      <w:r w:rsidR="00F81221">
        <w:t xml:space="preserve"> and </w:t>
      </w:r>
      <w:r w:rsidRPr="00A428C3">
        <w:t>1.7</w:t>
      </w:r>
      <w:r w:rsidRPr="00A428C3">
        <w:sym w:font="Symbol" w:char="F0B4"/>
      </w:r>
      <w:r w:rsidRPr="00A428C3">
        <w:t>10</w:t>
      </w:r>
      <w:r w:rsidRPr="00A428C3">
        <w:rPr>
          <w:vertAlign w:val="superscript"/>
        </w:rPr>
        <w:t>-3</w:t>
      </w:r>
      <w:r w:rsidRPr="00A428C3">
        <w:t>-2.4</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3"/>
          <w:attr w:name="UnitName" w:val="cm"/>
        </w:smartTagPr>
        <w:r w:rsidRPr="00A428C3">
          <w:rPr>
            <w:vertAlign w:val="superscript"/>
          </w:rPr>
          <w:t>-3</w:t>
        </w:r>
        <w:r w:rsidRPr="00A428C3">
          <w:t xml:space="preserve"> cm</w:t>
        </w:r>
      </w:smartTag>
      <w:r w:rsidRPr="00A428C3">
        <w:rPr>
          <w:vertAlign w:val="superscript"/>
        </w:rPr>
        <w:t>2</w:t>
      </w:r>
      <w:r w:rsidRPr="00A428C3">
        <w:t>/s for propane</w:t>
      </w:r>
      <w:r w:rsidR="00F81221">
        <w:t xml:space="preserve"> and </w:t>
      </w:r>
      <w:r w:rsidRPr="00A428C3">
        <w:t>propylene on NSG, respectively. For WSG these values are 6.4</w:t>
      </w:r>
      <w:r w:rsidRPr="00A428C3">
        <w:sym w:font="Symbol" w:char="F0B4"/>
      </w:r>
      <w:r w:rsidRPr="00A428C3">
        <w:t>10</w:t>
      </w:r>
      <w:r w:rsidRPr="00A428C3">
        <w:rPr>
          <w:vertAlign w:val="superscript"/>
        </w:rPr>
        <w:t>-3</w:t>
      </w:r>
      <w:r w:rsidRPr="00A428C3">
        <w:t>-9.9</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3"/>
          <w:attr w:name="UnitName" w:val="cm"/>
        </w:smartTagPr>
        <w:r w:rsidRPr="00A428C3">
          <w:rPr>
            <w:vertAlign w:val="superscript"/>
          </w:rPr>
          <w:t>-3</w:t>
        </w:r>
        <w:r w:rsidRPr="00A428C3">
          <w:t xml:space="preserve"> cm</w:t>
        </w:r>
      </w:smartTag>
      <w:r w:rsidRPr="00A428C3">
        <w:rPr>
          <w:vertAlign w:val="superscript"/>
        </w:rPr>
        <w:t>2</w:t>
      </w:r>
      <w:r w:rsidRPr="00A428C3">
        <w:t>/s for propane</w:t>
      </w:r>
      <w:r w:rsidR="00F81221">
        <w:t xml:space="preserve"> and </w:t>
      </w:r>
      <w:r w:rsidRPr="00A428C3">
        <w:t>6.6</w:t>
      </w:r>
      <w:r w:rsidRPr="00A428C3">
        <w:sym w:font="Symbol" w:char="F0B4"/>
      </w:r>
      <w:r w:rsidRPr="00A428C3">
        <w:t>10</w:t>
      </w:r>
      <w:r w:rsidRPr="00A428C3">
        <w:rPr>
          <w:vertAlign w:val="superscript"/>
        </w:rPr>
        <w:t>-3</w:t>
      </w:r>
      <w:r w:rsidRPr="00A428C3">
        <w:t>-12.1</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3"/>
          <w:attr w:name="UnitName" w:val="cm"/>
        </w:smartTagPr>
        <w:r w:rsidRPr="00A428C3">
          <w:rPr>
            <w:vertAlign w:val="superscript"/>
          </w:rPr>
          <w:t>-3</w:t>
        </w:r>
        <w:r w:rsidRPr="00A428C3">
          <w:t xml:space="preserve"> cm</w:t>
        </w:r>
      </w:smartTag>
      <w:r w:rsidRPr="00A428C3">
        <w:rPr>
          <w:vertAlign w:val="superscript"/>
        </w:rPr>
        <w:t>2</w:t>
      </w:r>
      <w:r w:rsidRPr="00A428C3">
        <w:t>/s for propylene. Average tortuosity factors of 2.5 for NSG</w:t>
      </w:r>
      <w:r w:rsidR="00F81221">
        <w:t xml:space="preserve"> and </w:t>
      </w:r>
      <w:r w:rsidRPr="00A428C3">
        <w:t>2.0 for WSG were obtained.</w:t>
      </w:r>
    </w:p>
    <w:p w:rsidR="00B95188" w:rsidRPr="00A428C3" w:rsidRDefault="00B95188" w:rsidP="00B95188">
      <w:pPr>
        <w:pStyle w:val="a0"/>
      </w:pPr>
      <w:r w:rsidRPr="00A428C3">
        <w:t>Keywords: Diffusivity, Prediction, Equation, Pellets</w:t>
      </w:r>
    </w:p>
    <w:p w:rsidR="00B95188" w:rsidRPr="00A428C3" w:rsidRDefault="00B95188" w:rsidP="00B95188">
      <w:pPr>
        <w:pStyle w:val="a0"/>
      </w:pPr>
      <w:smartTag w:uri="urn:schemas-microsoft-com:office:smarttags" w:element="place">
        <w:smartTag w:uri="urn:schemas-microsoft-com:office:smarttags" w:element="City">
          <w:r w:rsidRPr="00A428C3">
            <w:t>Lee</w:t>
          </w:r>
        </w:smartTag>
        <w:r w:rsidRPr="00A428C3">
          <w:t xml:space="preserve">, </w:t>
        </w:r>
        <w:smartTag w:uri="urn:schemas-microsoft-com:office:smarttags" w:element="country-region">
          <w:r w:rsidRPr="00A428C3">
            <w:t>S.A.</w:t>
          </w:r>
        </w:smartTag>
      </w:smartTag>
      <w:r w:rsidRPr="00A428C3">
        <w:t>, Choo, K.H., Lee, C.H., Lee, H.I., Hyeon, T., Choi, W.</w:t>
      </w:r>
      <w:r w:rsidR="00F81221">
        <w:t xml:space="preserve"> and </w:t>
      </w:r>
      <w:r w:rsidRPr="00A428C3">
        <w:t>Kwon, H.H. (2001), Use of ultrafiltration membranes for the separation of TiO</w:t>
      </w:r>
      <w:r w:rsidRPr="00A428C3">
        <w:rPr>
          <w:vertAlign w:val="subscript"/>
        </w:rPr>
        <w:t>2</w:t>
      </w:r>
      <w:r w:rsidRPr="00A428C3">
        <w:t xml:space="preserve"> photocatalysts in drinking water treatment. </w:t>
      </w:r>
      <w:r w:rsidRPr="00A428C3">
        <w:rPr>
          <w:i/>
          <w:iCs/>
        </w:rPr>
        <w:t>Industrial &amp; Engineering Chemistry Research</w:t>
      </w:r>
      <w:r w:rsidRPr="00A428C3">
        <w:t xml:space="preserve">, </w:t>
      </w:r>
      <w:r w:rsidRPr="00A428C3">
        <w:rPr>
          <w:b/>
        </w:rPr>
        <w:t>40</w:t>
      </w:r>
      <w:r w:rsidRPr="00A428C3">
        <w:t xml:space="preserve"> (7), 1712-1719.</w:t>
      </w:r>
    </w:p>
    <w:p w:rsidR="00B95188" w:rsidRPr="00A428C3" w:rsidRDefault="00B95188" w:rsidP="00B95188">
      <w:pPr>
        <w:pStyle w:val="a0"/>
      </w:pPr>
      <w:r w:rsidRPr="00A428C3">
        <w:t xml:space="preserve">Full Text: </w:t>
      </w:r>
      <w:hyperlink r:id="rId1159" w:history="1">
        <w:r w:rsidRPr="00A428C3">
          <w:rPr>
            <w:rStyle w:val="a5"/>
          </w:rPr>
          <w:t>I\Ind Eng Che Res40, 1712.pdf</w:t>
        </w:r>
      </w:hyperlink>
    </w:p>
    <w:p w:rsidR="00B95188" w:rsidRPr="00A428C3" w:rsidRDefault="00B95188" w:rsidP="00B95188">
      <w:pPr>
        <w:pStyle w:val="a0"/>
        <w:rPr>
          <w:rFonts w:eastAsia="Arial Unicode MS"/>
        </w:rPr>
      </w:pPr>
      <w:r w:rsidRPr="00A428C3">
        <w:t>Abstract: This study investigated the ability of cross-flow ultrafiltration (UF), combined with photocatalytic reactions, to separate TiO</w:t>
      </w:r>
      <w:r w:rsidRPr="00A428C3">
        <w:rPr>
          <w:vertAlign w:val="subscript"/>
        </w:rPr>
        <w:t>2</w:t>
      </w:r>
      <w:r w:rsidRPr="00A428C3">
        <w:t xml:space="preserve"> photocatalysts from treated water in photocatalytic drinking water treatment. The effect of natural organic matter (i.e., humic acids)</w:t>
      </w:r>
      <w:r w:rsidR="00F81221">
        <w:t xml:space="preserve"> and </w:t>
      </w:r>
      <w:r w:rsidRPr="00A428C3">
        <w:t>cross-flow velocities on UF fluxes</w:t>
      </w:r>
      <w:r w:rsidR="00F81221">
        <w:t xml:space="preserve"> and </w:t>
      </w:r>
      <w:r w:rsidRPr="00A428C3">
        <w:t>organic removal was explored with</w:t>
      </w:r>
      <w:r w:rsidR="00F81221">
        <w:t xml:space="preserve"> and </w:t>
      </w:r>
      <w:r w:rsidRPr="00A428C3">
        <w:t>without UV irradiation in the photocatalytic reactor. The interaction between the two solutes in the system, humic acids</w:t>
      </w:r>
      <w:r w:rsidR="00F81221">
        <w:t xml:space="preserve"> and </w:t>
      </w:r>
      <w:r w:rsidRPr="00A428C3">
        <w:t>TiO</w:t>
      </w:r>
      <w:r w:rsidRPr="00A428C3">
        <w:rPr>
          <w:vertAlign w:val="subscript"/>
        </w:rPr>
        <w:t>2</w:t>
      </w:r>
      <w:r w:rsidRPr="00A428C3">
        <w:t xml:space="preserve"> photocatalysts, played a significant role in the formation of dense cake layers at the membrane surface, leading to a greater flux decline during ultrafiltration of TiO</w:t>
      </w:r>
      <w:r w:rsidRPr="00A428C3">
        <w:rPr>
          <w:vertAlign w:val="subscript"/>
        </w:rPr>
        <w:t>2</w:t>
      </w:r>
      <w:r w:rsidRPr="00A428C3">
        <w:t xml:space="preserve"> particles. According to visual observations of the used membranes</w:t>
      </w:r>
      <w:r w:rsidR="00F81221">
        <w:t xml:space="preserve"> and </w:t>
      </w:r>
      <w:r w:rsidRPr="00A428C3">
        <w:t>the estimation of back-transport velocities of the solutes, a substantial amount of TiO</w:t>
      </w:r>
      <w:r w:rsidRPr="00A428C3">
        <w:rPr>
          <w:vertAlign w:val="subscript"/>
        </w:rPr>
        <w:t>2</w:t>
      </w:r>
      <w:r w:rsidRPr="00A428C3">
        <w:t xml:space="preserve"> deposited on the membrane induces more humic acids to accumulate at the membrane through the adsorption of humic acids onto TiO</w:t>
      </w:r>
      <w:r w:rsidRPr="00A428C3">
        <w:rPr>
          <w:vertAlign w:val="subscript"/>
        </w:rPr>
        <w:t>2</w:t>
      </w:r>
      <w:r w:rsidRPr="00A428C3">
        <w:t xml:space="preserve"> particles. The humic-acid-laden TiO</w:t>
      </w:r>
      <w:r w:rsidRPr="00A428C3">
        <w:rPr>
          <w:vertAlign w:val="subscript"/>
        </w:rPr>
        <w:t>2</w:t>
      </w:r>
      <w:r w:rsidRPr="00A428C3">
        <w:t xml:space="preserve"> particles offered more than four times higher specific cake resistance with a substantially increased compressibility coefficient than TiO</w:t>
      </w:r>
      <w:r w:rsidRPr="00A428C3">
        <w:rPr>
          <w:vertAlign w:val="subscript"/>
        </w:rPr>
        <w:t>2</w:t>
      </w:r>
      <w:r w:rsidRPr="00A428C3">
        <w:t xml:space="preserve"> particles alone. The higher the cross-flow velocities, the greater the UV254 removal achieved. This was because the rise of cross-flow velocities contributed to the reduction of concentration polarization at the membrane surface, thereby resulting in a decrease of the driving force for humic acids to pass through the membrane. When photocatalytic reactions took place with UV illumination, UV254 removal efficiencies of the permeate were improved markedly,</w:t>
      </w:r>
      <w:r w:rsidR="00F81221">
        <w:t xml:space="preserve"> and </w:t>
      </w:r>
      <w:r w:rsidRPr="00A428C3">
        <w:t>also the permeate flux was kept at a constant level without any sign of fouling. Although humic acids were not completely mineralized by photocatalysis, the degradation of the humic acids helped to enhance the UF flux, as they were transformed to less adsorbable compounds.</w:t>
      </w:r>
    </w:p>
    <w:p w:rsidR="00B95188" w:rsidRPr="00A428C3" w:rsidRDefault="00B95188" w:rsidP="00B95188">
      <w:pPr>
        <w:pStyle w:val="a0"/>
      </w:pPr>
      <w:r w:rsidRPr="00A428C3">
        <w:t>Keywords: Heterogeneous Photocatalysis, Filtration System, Humic Substances, Degradation, Reactor, Acids, Contaminants, Catalysis</w:t>
      </w:r>
    </w:p>
    <w:p w:rsidR="00B95188" w:rsidRPr="00A428C3" w:rsidRDefault="00B95188" w:rsidP="00B95188">
      <w:pPr>
        <w:pStyle w:val="a0"/>
      </w:pPr>
      <w:r w:rsidRPr="00A428C3">
        <w:lastRenderedPageBreak/>
        <w:t>Delgado, J.A.</w:t>
      </w:r>
      <w:r w:rsidR="00F81221">
        <w:t xml:space="preserve"> and </w:t>
      </w:r>
      <w:r w:rsidRPr="00A428C3">
        <w:t xml:space="preserve">Rodrigues, A.E. (2001), A Maxwell-Stefan model of bidisperse pore pressurization for Langmuir adsorption of gas mixtures. </w:t>
      </w:r>
      <w:r w:rsidRPr="00A428C3">
        <w:rPr>
          <w:i/>
          <w:iCs/>
        </w:rPr>
        <w:t>Industrial &amp; Engineering Chemistry Research</w:t>
      </w:r>
      <w:r w:rsidRPr="00A428C3">
        <w:t xml:space="preserve">, </w:t>
      </w:r>
      <w:r w:rsidRPr="00A428C3">
        <w:rPr>
          <w:b/>
        </w:rPr>
        <w:t>40</w:t>
      </w:r>
      <w:r w:rsidRPr="00A428C3">
        <w:t xml:space="preserve"> (10), 2289-2301.</w:t>
      </w:r>
    </w:p>
    <w:p w:rsidR="00B95188" w:rsidRPr="00A428C3" w:rsidRDefault="00B95188" w:rsidP="00B95188">
      <w:pPr>
        <w:pStyle w:val="a0"/>
      </w:pPr>
      <w:r w:rsidRPr="00A428C3">
        <w:t xml:space="preserve">Full Text: </w:t>
      </w:r>
      <w:hyperlink r:id="rId1160" w:history="1">
        <w:r w:rsidRPr="00A428C3">
          <w:rPr>
            <w:rStyle w:val="a5"/>
          </w:rPr>
          <w:t>I\Ind Eng Che Res40, 2289.pdf</w:t>
        </w:r>
      </w:hyperlink>
    </w:p>
    <w:p w:rsidR="00B95188" w:rsidRPr="00A428C3" w:rsidRDefault="00B95188" w:rsidP="00B95188">
      <w:pPr>
        <w:pStyle w:val="a0"/>
        <w:rPr>
          <w:rFonts w:eastAsia="Arial Unicode MS"/>
        </w:rPr>
      </w:pPr>
      <w:r w:rsidRPr="00A428C3">
        <w:t>Abstract: The dynamics of bidisperse pore pressurization with multicomponent mixtures is studied using the Maxwell-Stefan approach to describe the mass-transfer processes in macro-and micropores; The solid network is described by the branched micropore-macropore model, allowing for adsorption to occur at both levels. The adsorption equilibrium is described with the extended Langmuir isotherm. Numerical solutions of partial pressure</w:t>
      </w:r>
      <w:r w:rsidR="00F81221">
        <w:t xml:space="preserve"> and </w:t>
      </w:r>
      <w:r w:rsidRPr="00A428C3">
        <w:t>surface coverage profiles are obtained using orthogonal collocation in finite elements. The effects of micropore surface diffusivity</w:t>
      </w:r>
      <w:r w:rsidR="00F81221">
        <w:t xml:space="preserve"> and </w:t>
      </w:r>
      <w:r w:rsidRPr="00A428C3">
        <w:t>feed composition on the controlling resistance for the separation of a binary mixture of inert</w:t>
      </w:r>
      <w:r w:rsidR="00F81221">
        <w:t xml:space="preserve"> and </w:t>
      </w:r>
      <w:r w:rsidRPr="00A428C3">
        <w:t>adsorbable gases are studied, A criterion is suggested for identification of the controlling resistance that takes into account the effect of composition on convective transport</w:t>
      </w:r>
      <w:r w:rsidR="00F81221">
        <w:t xml:space="preserve"> and </w:t>
      </w:r>
      <w:r w:rsidRPr="00A428C3">
        <w:t>micropore surface diffusion. The effect of macropore resistance on a kinetics-based separation is analyzed for a binary mixture of two adsorbable components. The separation of a ternary mixture is also addressed, in a study of the effects of the inert gas concentration in the feed on the system dynamics for a mixture of an inert</w:t>
      </w:r>
      <w:r w:rsidR="00F81221">
        <w:t xml:space="preserve"> and </w:t>
      </w:r>
      <w:r w:rsidRPr="00A428C3">
        <w:t>two adsorbable gases with different affinities.</w:t>
      </w:r>
    </w:p>
    <w:p w:rsidR="00B95188" w:rsidRPr="00A428C3" w:rsidRDefault="00B95188" w:rsidP="00B95188">
      <w:pPr>
        <w:pStyle w:val="a0"/>
      </w:pPr>
      <w:r w:rsidRPr="00A428C3">
        <w:t>Keywords: Mass-Transfer, Diffusion, Transport, Hydrocarbons, Separation, Convection, Capillary, Equations, Membranes, Particle</w:t>
      </w:r>
    </w:p>
    <w:p w:rsidR="00B95188" w:rsidRPr="00A428C3" w:rsidRDefault="00B95188" w:rsidP="00B95188">
      <w:pPr>
        <w:pStyle w:val="a0"/>
      </w:pPr>
      <w:r w:rsidRPr="00A428C3">
        <w:t>Cabatingan, L.K., Agapay, R.C., Rakels, J.L.L., Ottens, M.</w:t>
      </w:r>
      <w:r w:rsidR="00F81221">
        <w:t xml:space="preserve"> and </w:t>
      </w:r>
      <w:r w:rsidRPr="00A428C3">
        <w:t xml:space="preserve">van der Wielen, L.A.M. (2001), Potential of biosorption for the recovery of chromate in industrial wastewaters. </w:t>
      </w:r>
      <w:r w:rsidRPr="00A428C3">
        <w:rPr>
          <w:i/>
          <w:iCs/>
        </w:rPr>
        <w:t>Industrial &amp; Engineering Chemistry Research</w:t>
      </w:r>
      <w:r w:rsidRPr="00A428C3">
        <w:t xml:space="preserve">, </w:t>
      </w:r>
      <w:r w:rsidRPr="00A428C3">
        <w:rPr>
          <w:b/>
        </w:rPr>
        <w:t>40</w:t>
      </w:r>
      <w:r w:rsidRPr="00A428C3">
        <w:t xml:space="preserve"> (10), 2302-2309.</w:t>
      </w:r>
    </w:p>
    <w:p w:rsidR="00B95188" w:rsidRPr="00A428C3" w:rsidRDefault="00B95188" w:rsidP="00B95188">
      <w:pPr>
        <w:pStyle w:val="a0"/>
      </w:pPr>
      <w:r w:rsidRPr="00A428C3">
        <w:t xml:space="preserve">Full Text: </w:t>
      </w:r>
      <w:hyperlink r:id="rId1161" w:history="1">
        <w:r w:rsidRPr="00A428C3">
          <w:rPr>
            <w:rStyle w:val="a5"/>
          </w:rPr>
          <w:t>I\Ind Eng Che Res40, 2302.pdf</w:t>
        </w:r>
      </w:hyperlink>
    </w:p>
    <w:p w:rsidR="00B95188" w:rsidRPr="00A428C3" w:rsidRDefault="00B95188" w:rsidP="00B95188">
      <w:pPr>
        <w:pStyle w:val="a0"/>
        <w:rPr>
          <w:rFonts w:eastAsia="Arial Unicode MS"/>
        </w:rPr>
      </w:pPr>
      <w:r w:rsidRPr="00A428C3">
        <w:t>Abstract: A biosorbent</w:t>
      </w:r>
      <w:r w:rsidR="000352E7">
        <w:t>’</w:t>
      </w:r>
      <w:r w:rsidRPr="00A428C3">
        <w:t>s low chemical stability against oxidative attack</w:t>
      </w:r>
      <w:r w:rsidR="00F81221">
        <w:t xml:space="preserve"> and </w:t>
      </w:r>
      <w:r w:rsidRPr="00A428C3">
        <w:t>its poor regenerability are problems that limit the applicability of biosorption in addressing the problem of recovering chromate in industrial wastewater. To provide a sufficient premise for such an argument, original equilibrium</w:t>
      </w:r>
      <w:r w:rsidR="00F81221">
        <w:t xml:space="preserve"> and </w:t>
      </w:r>
      <w:r w:rsidRPr="00A428C3">
        <w:t>kinetic data on tile biosorption of chromate by the biomass of the brown seaweed Sargassum siliquosum are presented</w:t>
      </w:r>
      <w:r w:rsidR="00F81221">
        <w:t xml:space="preserve"> and </w:t>
      </w:r>
      <w:r w:rsidRPr="00A428C3">
        <w:t>benchmarked with other related reports. It is established that the optimal condition for chromate biosorption is around pH 2. It is shown that electrochemical reduction of some of the chromate in the solution occurs in parallel with biosorption. Aside from the solution pH, the other factors shown to influence the equilibrium</w:t>
      </w:r>
      <w:r w:rsidR="00F81221">
        <w:t xml:space="preserve"> and </w:t>
      </w:r>
      <w:r w:rsidRPr="00A428C3">
        <w:t>the kinetics of both biosorption</w:t>
      </w:r>
      <w:r w:rsidR="00F81221">
        <w:t xml:space="preserve"> and </w:t>
      </w:r>
      <w:r w:rsidRPr="00A428C3">
        <w:t>reduction are the amount of biomass</w:t>
      </w:r>
      <w:r w:rsidR="00F81221">
        <w:t xml:space="preserve"> and </w:t>
      </w:r>
      <w:r w:rsidRPr="00A428C3">
        <w:t>the total chromate concentration. The chromate bound by the seaweed is found to be difficult to desorb using H</w:t>
      </w:r>
      <w:r w:rsidRPr="00A428C3">
        <w:rPr>
          <w:vertAlign w:val="subscript"/>
        </w:rPr>
        <w:t>2</w:t>
      </w:r>
      <w:r w:rsidRPr="00A428C3">
        <w:t>SO</w:t>
      </w:r>
      <w:r w:rsidRPr="00A428C3">
        <w:rPr>
          <w:vertAlign w:val="subscript"/>
        </w:rPr>
        <w:t>4</w:t>
      </w:r>
      <w:r w:rsidRPr="00A428C3">
        <w:t xml:space="preserve"> without first reducing the hexavalent chromate into a trivalent chromium. These findings are shown to be common among other reported studies using different biosorbents. In conclusion, it is argued that </w:t>
      </w:r>
      <w:r w:rsidRPr="00A428C3">
        <w:lastRenderedPageBreak/>
        <w:t>biosorption is not a highly viable option for the recovery of chromate in industrial wastewaters.</w:t>
      </w:r>
    </w:p>
    <w:p w:rsidR="00B95188" w:rsidRPr="00A428C3" w:rsidRDefault="00B95188" w:rsidP="00B95188">
      <w:pPr>
        <w:pStyle w:val="a0"/>
      </w:pPr>
      <w:r w:rsidRPr="00A428C3">
        <w:t>Keywords: Hexavalent Chromium, Ion-Exchange, Removal, Cr(VI), Adsorption</w:t>
      </w:r>
    </w:p>
    <w:p w:rsidR="00B95188" w:rsidRPr="00A428C3" w:rsidRDefault="00B95188" w:rsidP="00B95188">
      <w:pPr>
        <w:pStyle w:val="a0"/>
      </w:pPr>
      <w:r w:rsidRPr="00A428C3">
        <w:t>Unnithan, M.R.</w:t>
      </w:r>
      <w:r w:rsidR="00F81221">
        <w:t xml:space="preserve"> and </w:t>
      </w:r>
      <w:r w:rsidRPr="00A428C3">
        <w:t>Anirudhan, T.S. (2001), The kinetics</w:t>
      </w:r>
      <w:r w:rsidR="00F81221">
        <w:t xml:space="preserve"> and </w:t>
      </w:r>
      <w:r w:rsidRPr="00A428C3">
        <w:t xml:space="preserve">thermodynamics of sorption of chromium(VI) onto the iron(III) complex of a carboxylated polyacrylamide-grafted sawdust. </w:t>
      </w:r>
      <w:r w:rsidRPr="00A428C3">
        <w:rPr>
          <w:i/>
          <w:iCs/>
        </w:rPr>
        <w:t>Industrial &amp; Engineering Chemistry Research</w:t>
      </w:r>
      <w:r w:rsidRPr="00A428C3">
        <w:t xml:space="preserve">, </w:t>
      </w:r>
      <w:r w:rsidRPr="00A428C3">
        <w:rPr>
          <w:b/>
        </w:rPr>
        <w:t>40</w:t>
      </w:r>
      <w:r w:rsidRPr="00A428C3">
        <w:t xml:space="preserve"> (12), 2693-2701.</w:t>
      </w:r>
    </w:p>
    <w:p w:rsidR="00B95188" w:rsidRPr="00A428C3" w:rsidRDefault="00B95188" w:rsidP="00B95188">
      <w:pPr>
        <w:pStyle w:val="a0"/>
      </w:pPr>
      <w:r w:rsidRPr="00A428C3">
        <w:t xml:space="preserve">Full Text: </w:t>
      </w:r>
      <w:hyperlink r:id="rId1162" w:history="1">
        <w:r w:rsidRPr="00A428C3">
          <w:rPr>
            <w:rStyle w:val="a5"/>
          </w:rPr>
          <w:t>I\Ind Eng Che Res40, 2693.pdf</w:t>
        </w:r>
      </w:hyperlink>
    </w:p>
    <w:p w:rsidR="00B95188" w:rsidRPr="00A428C3" w:rsidRDefault="00B95188" w:rsidP="00B95188">
      <w:pPr>
        <w:pStyle w:val="a0"/>
        <w:rPr>
          <w:rFonts w:eastAsia="Arial Unicode MS"/>
        </w:rPr>
      </w:pPr>
      <w:r w:rsidRPr="00A428C3">
        <w:t>Abstract: A novel, adsorbent was prepared</w:t>
      </w:r>
      <w:r w:rsidR="00F81221">
        <w:t xml:space="preserve"> and </w:t>
      </w:r>
      <w:r w:rsidRPr="00A428C3">
        <w:t>its adsorption properties for Cr(VI) were studied. The iron(III) complex of a carboxylated polyacrylamide-grafted sawdust has been found to be an effective adsorbent for the removal of Cr(VI) from aqueous systems. Experiments were carried out as a function of concentration of Cr(VI), agitation period, agitation speed, pH, ionic strength,</w:t>
      </w:r>
      <w:r w:rsidR="00F81221">
        <w:t xml:space="preserve"> and </w:t>
      </w:r>
      <w:r w:rsidRPr="00A428C3">
        <w:t>temperature. Maximum removal (&gt; 99.0%) was observed at an initial concentration of 25.0 mg/L in the pH range 2.0-3.0. Coordination unsaturated sites for the iron(III) complex of polymer were considered to be the adsorption sites for Cr(VI) species, with the predominant species being HCrO</w:t>
      </w:r>
      <w:r w:rsidRPr="00A428C3">
        <w:rPr>
          <w:vertAlign w:val="subscript"/>
        </w:rPr>
        <w:t>4</w:t>
      </w:r>
      <w:r w:rsidRPr="00A428C3">
        <w:rPr>
          <w:vertAlign w:val="superscript"/>
        </w:rPr>
        <w:t>-</w:t>
      </w:r>
      <w:r w:rsidRPr="00A428C3">
        <w:t>. Rate constants as a function of concentration</w:t>
      </w:r>
      <w:r w:rsidR="00F81221">
        <w:t xml:space="preserve"> and </w:t>
      </w:r>
      <w:r w:rsidRPr="00A428C3">
        <w:t>temperature were evaluated with the help of a proposed second-order kinetic model. The percentage removal of Cr(VI) decreased with increasing ionic strength. The L-type adsorption isotherm obtained for the adsorbent indicated a favorable process. Adsorption isothermal data could be interpreted by the Langmuir</w:t>
      </w:r>
      <w:r w:rsidR="00F81221">
        <w:t xml:space="preserve"> and </w:t>
      </w:r>
      <w:r w:rsidRPr="00A428C3">
        <w:t>Freundlich equations. The uptake of Cr(VI) on adsorbent increased from 144.20 mg/g at 20 degreesC to 172.74 mg/g at 60 degreesC. Thermodynamic parameters such as DeltaG degrees, DeltaH degrees,</w:t>
      </w:r>
      <w:r w:rsidR="00F81221">
        <w:t xml:space="preserve"> and </w:t>
      </w:r>
      <w:r w:rsidRPr="00A428C3">
        <w:t xml:space="preserve">DeltaS degrees for the adsorption process were calculated. The isosteric heat of adsorption was also determined at various surface loadings of the adsorbent used. Simulated Cr(VI) electroplating wastewaters were also treated by the sorbent to demonstrate its efficiency in removing Cr(VI) from wastewater with other ions. Desorption studies showed that over 95.5% of Cr(VI) can be desorbed from the adsorbent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NaOH.</w:t>
      </w:r>
    </w:p>
    <w:p w:rsidR="00B95188" w:rsidRPr="00A428C3" w:rsidRDefault="00B95188" w:rsidP="00B95188">
      <w:pPr>
        <w:pStyle w:val="a0"/>
      </w:pPr>
      <w:r w:rsidRPr="00A428C3">
        <w:t>Keywords: Metal-Adsorption Properties, Waste-Water, Aqueous-Solutions, Activated Carbon, Functional-Group, Removal, Cr(VI), Silica, Recovery</w:t>
      </w:r>
    </w:p>
    <w:p w:rsidR="00B95188" w:rsidRPr="00A428C3" w:rsidRDefault="00B95188" w:rsidP="00B95188">
      <w:pPr>
        <w:pStyle w:val="a0"/>
      </w:pPr>
      <w:r w:rsidRPr="00A428C3">
        <w:t>? Chern, J.M.</w:t>
      </w:r>
      <w:r w:rsidR="00F81221">
        <w:t xml:space="preserve"> and </w:t>
      </w:r>
      <w:r w:rsidRPr="00A428C3">
        <w:t>Chien, Y.W. (2001), Adsorption isotherms of benzoic acid onto activated carbon</w:t>
      </w:r>
      <w:r w:rsidR="00F81221">
        <w:t xml:space="preserve"> and </w:t>
      </w:r>
      <w:r w:rsidRPr="00A428C3">
        <w:t xml:space="preserve">breakthrough curves in fixed-bed columns. </w:t>
      </w:r>
      <w:r w:rsidRPr="00A428C3">
        <w:rPr>
          <w:i/>
          <w:iCs/>
        </w:rPr>
        <w:t>Industrial &amp; Engineering Chemistry Research</w:t>
      </w:r>
      <w:r w:rsidRPr="00A428C3">
        <w:t xml:space="preserve">, </w:t>
      </w:r>
      <w:r w:rsidRPr="00A428C3">
        <w:rPr>
          <w:b/>
        </w:rPr>
        <w:t>40</w:t>
      </w:r>
      <w:r w:rsidRPr="00A428C3">
        <w:t xml:space="preserve"> (17), 3775-3780.</w:t>
      </w:r>
    </w:p>
    <w:p w:rsidR="00B95188" w:rsidRPr="00A428C3" w:rsidRDefault="00B95188" w:rsidP="00B95188">
      <w:pPr>
        <w:pStyle w:val="a0"/>
      </w:pPr>
      <w:r w:rsidRPr="00A428C3">
        <w:t xml:space="preserve">Full Text: </w:t>
      </w:r>
      <w:hyperlink r:id="rId1163" w:history="1">
        <w:r w:rsidRPr="00A428C3">
          <w:rPr>
            <w:rStyle w:val="a5"/>
          </w:rPr>
          <w:t>2001\Ind Eng Che Res40, 3775.pdf</w:t>
        </w:r>
      </w:hyperlink>
    </w:p>
    <w:p w:rsidR="00B95188" w:rsidRPr="00A428C3" w:rsidRDefault="00B95188" w:rsidP="00B95188">
      <w:pPr>
        <w:pStyle w:val="a0"/>
      </w:pPr>
      <w:r w:rsidRPr="00A428C3">
        <w:t>Abstract: The adsorption isotherms of benzoic acid onto granular activated carbon at varying solution temperatures (25-55 degreesC)</w:t>
      </w:r>
      <w:r w:rsidR="00F81221">
        <w:t xml:space="preserve"> and </w:t>
      </w:r>
      <w:r w:rsidRPr="00A428C3">
        <w:t xml:space="preserve">pHs (2-8) from aqueous solution were experimentally determined by batch tests. The Toth model was found to fit all of the experimental data well. A series of column tests were performed to determine </w:t>
      </w:r>
      <w:r w:rsidRPr="00A428C3">
        <w:lastRenderedPageBreak/>
        <w:t>the breakthrough curves with varying bed depths (3</w:t>
      </w:r>
      <w:smartTag w:uri="urn:schemas-microsoft-com:office:smarttags" w:element="chmetcnv">
        <w:smartTagPr>
          <w:attr w:name="TCSC" w:val="0"/>
          <w:attr w:name="NumberType" w:val="1"/>
          <w:attr w:name="Negative" w:val="True"/>
          <w:attr w:name="HasSpace" w:val="True"/>
          <w:attr w:name="SourceValue" w:val="6"/>
          <w:attr w:name="UnitName" w:val="cm"/>
        </w:smartTagPr>
        <w:r w:rsidRPr="00A428C3">
          <w:t>-6 cm</w:t>
        </w:r>
      </w:smartTag>
      <w:r w:rsidRPr="00A428C3">
        <w:t>)</w:t>
      </w:r>
      <w:r w:rsidR="00F81221">
        <w:t xml:space="preserve"> and </w:t>
      </w:r>
      <w:r w:rsidRPr="00A428C3">
        <w:t>water flow rates (21.6</w:t>
      </w:r>
      <w:smartTag w:uri="urn:schemas-microsoft-com:office:smarttags" w:element="chmetcnv">
        <w:smartTagPr>
          <w:attr w:name="TCSC" w:val="0"/>
          <w:attr w:name="NumberType" w:val="1"/>
          <w:attr w:name="Negative" w:val="True"/>
          <w:attr w:name="HasSpace" w:val="True"/>
          <w:attr w:name="SourceValue" w:val="86.4"/>
          <w:attr w:name="UnitName" w:val="cm"/>
        </w:smartTagPr>
        <w:r w:rsidRPr="00A428C3">
          <w:t>-86.4 cm</w:t>
        </w:r>
      </w:smartTag>
      <w:r w:rsidRPr="00A428C3">
        <w:t>(3)/h). The results show that the half breakthrough time increases proportionally with increasing bed depth but decreases inverse proportionally with increasing velocity. The constant-pattern wave approach using the Freundlich isotherm model fits the experimental breakthrough curves quite successfully. A correlation was proposed to predict the volumetric mass-transfer coefficient in the liquid phase.</w:t>
      </w:r>
    </w:p>
    <w:p w:rsidR="00B95188" w:rsidRPr="00A428C3" w:rsidRDefault="00B95188" w:rsidP="00B95188">
      <w:pPr>
        <w:pStyle w:val="a0"/>
      </w:pPr>
      <w:r w:rsidRPr="00A428C3">
        <w:t>Keywords: Activated Carbon, Adsorption, Adsorption Isotherms, Aqueous-Solution, Aromatic-Compounds, Breakthrough, Breakthrough Curves, Dye Adsorption, Fixed Bed, Model, Organics, Oxidation, Peroxide, Reactor, Wave Propagation Theory</w:t>
      </w:r>
    </w:p>
    <w:p w:rsidR="00B95188" w:rsidRPr="00A428C3" w:rsidRDefault="00B95188" w:rsidP="00B95188">
      <w:pPr>
        <w:pStyle w:val="a0"/>
      </w:pPr>
      <w:r w:rsidRPr="00A428C3">
        <w:t>Destaillats, H., Lesko, T.M., Knowlton, M., Wallace, H.</w:t>
      </w:r>
      <w:r w:rsidR="00F81221">
        <w:t xml:space="preserve"> and </w:t>
      </w:r>
      <w:r w:rsidRPr="00A428C3">
        <w:t xml:space="preserve">Hoffmann, M.R. (2001), Scale-up of sonochemical reactors for water treatment. </w:t>
      </w:r>
      <w:r w:rsidRPr="00A428C3">
        <w:rPr>
          <w:i/>
          <w:iCs/>
        </w:rPr>
        <w:t>Industrial &amp; Engineering Chemistry Research</w:t>
      </w:r>
      <w:r w:rsidRPr="00A428C3">
        <w:t xml:space="preserve">, </w:t>
      </w:r>
      <w:r w:rsidRPr="00A428C3">
        <w:rPr>
          <w:b/>
        </w:rPr>
        <w:t>40</w:t>
      </w:r>
      <w:r w:rsidRPr="00A428C3">
        <w:t xml:space="preserve"> (18), 3855-3860.</w:t>
      </w:r>
    </w:p>
    <w:p w:rsidR="00B95188" w:rsidRPr="00A428C3" w:rsidRDefault="00B95188" w:rsidP="00B95188">
      <w:pPr>
        <w:pStyle w:val="a0"/>
      </w:pPr>
      <w:r w:rsidRPr="00A428C3">
        <w:t xml:space="preserve">Full Text: </w:t>
      </w:r>
      <w:hyperlink r:id="rId1164" w:history="1">
        <w:r w:rsidRPr="00A428C3">
          <w:rPr>
            <w:rStyle w:val="a5"/>
          </w:rPr>
          <w:t>I\Ind Eng Che Res40, 3855.pdf</w:t>
        </w:r>
      </w:hyperlink>
    </w:p>
    <w:p w:rsidR="00B95188" w:rsidRPr="00A428C3" w:rsidRDefault="00B95188" w:rsidP="00B95188">
      <w:pPr>
        <w:pStyle w:val="a0"/>
        <w:rPr>
          <w:rFonts w:eastAsia="Arial Unicode MS"/>
        </w:rPr>
      </w:pPr>
      <w:r w:rsidRPr="00A428C3">
        <w:t xml:space="preserve">Abstract: A novel pilot-plant scale sonochemical reactor (UES </w:t>
      </w:r>
      <w:smartTag w:uri="urn:schemas-microsoft-com:office:smarttags" w:element="chmetcnv">
        <w:smartTagPr>
          <w:attr w:name="TCSC" w:val="0"/>
          <w:attr w:name="NumberType" w:val="1"/>
          <w:attr w:name="Negative" w:val="False"/>
          <w:attr w:name="HasSpace" w:val="True"/>
          <w:attr w:name="SourceValue" w:val="4000"/>
          <w:attr w:name="UnitName" w:val="C"/>
        </w:smartTagPr>
        <w:r w:rsidRPr="00A428C3">
          <w:t>4000 C</w:t>
        </w:r>
      </w:smartTag>
      <w:r w:rsidRPr="00A428C3">
        <w:t xml:space="preserve"> Pilotstation) has been specifically developed for degrading a variety of water contaminants in large-scale applications. We report here the sonochemical degradation of three chemical compounds in aqueous solution: the chlorinated volatile contaminants dichloromethane (DCM)</w:t>
      </w:r>
      <w:r w:rsidR="00F81221">
        <w:t xml:space="preserve"> and </w:t>
      </w:r>
      <w:r w:rsidRPr="00A428C3">
        <w:t>trichloroethylene (TCE)</w:t>
      </w:r>
      <w:r w:rsidR="00F81221">
        <w:t xml:space="preserve"> and </w:t>
      </w:r>
      <w:r w:rsidRPr="00A428C3">
        <w:t xml:space="preserve">the nonvolatile azo dye methyl orange (MO). The flow-through reactor in the Pilotstation consists of four 612 kHz piezoelectric transducers which are driven by a power source operating at 3kW. The sonochemical reaction chamber has a volume of </w:t>
      </w:r>
      <w:smartTag w:uri="urn:schemas-microsoft-com:office:smarttags" w:element="chmetcnv">
        <w:smartTagPr>
          <w:attr w:name="TCSC" w:val="0"/>
          <w:attr w:name="NumberType" w:val="1"/>
          <w:attr w:name="Negative" w:val="False"/>
          <w:attr w:name="HasSpace" w:val="True"/>
          <w:attr w:name="SourceValue" w:val="6"/>
          <w:attr w:name="UnitName" w:val="l"/>
        </w:smartTagPr>
        <w:r w:rsidRPr="00A428C3">
          <w:t>6 L</w:t>
        </w:r>
      </w:smartTag>
      <w:r w:rsidRPr="00A428C3">
        <w:t>, while the total capacity of the Pilotstation, including a heat-exchanger unit</w:t>
      </w:r>
      <w:r w:rsidR="00F81221">
        <w:t xml:space="preserve"> and </w:t>
      </w:r>
      <w:r w:rsidRPr="00A428C3">
        <w:t xml:space="preserve">a reservoir tank varies from a minimum volume of </w:t>
      </w:r>
      <w:smartTag w:uri="urn:schemas-microsoft-com:office:smarttags" w:element="chmetcnv">
        <w:smartTagPr>
          <w:attr w:name="TCSC" w:val="0"/>
          <w:attr w:name="NumberType" w:val="1"/>
          <w:attr w:name="Negative" w:val="False"/>
          <w:attr w:name="HasSpace" w:val="True"/>
          <w:attr w:name="SourceValue" w:val="7.25"/>
          <w:attr w:name="UnitName" w:val="l"/>
        </w:smartTagPr>
        <w:r w:rsidRPr="00A428C3">
          <w:t>7.25 L</w:t>
        </w:r>
      </w:smartTag>
      <w:r w:rsidRPr="00A428C3">
        <w:t xml:space="preserve"> to a maximum over </w:t>
      </w:r>
      <w:smartTag w:uri="urn:schemas-microsoft-com:office:smarttags" w:element="chmetcnv">
        <w:smartTagPr>
          <w:attr w:name="TCSC" w:val="0"/>
          <w:attr w:name="NumberType" w:val="1"/>
          <w:attr w:name="Negative" w:val="False"/>
          <w:attr w:name="HasSpace" w:val="True"/>
          <w:attr w:name="SourceValue" w:val="45"/>
          <w:attr w:name="UnitName" w:val="l"/>
        </w:smartTagPr>
        <w:r w:rsidRPr="00A428C3">
          <w:t>45 L</w:t>
        </w:r>
      </w:smartTag>
      <w:r w:rsidRPr="00A428C3">
        <w:t>. The observed reaction rates for the degradation of these contaminants in the Pilotstation were compared with values determined under similar conditions in small-scale bench reactors in order to evaluate its performance over a wide range of power densities. The pseudo-first-order degradation rate for TCE in the Pilotstation was found to be more than 4 times higher than corresponding smaller values measured in lab-scale reactors. Furthermore, the observed rates for DCM degradation also exceeded those of the small-scale reactors by factors from 3 to 7. The degradation rate of these two chlorinated compounds was faster with decreasing initial concentration in all cases. Experiments with 10 muM MO (aq) in the Pilotstation operating at different total volumes exhibited a linear dependence between the observed rate constants for sonolysis</w:t>
      </w:r>
      <w:r w:rsidR="00F81221">
        <w:t xml:space="preserve"> and </w:t>
      </w:r>
      <w:r w:rsidRPr="00A428C3">
        <w:t>the applied power density (PD), in the range 67 &lt; PD (W/L) &lt; 414. Steady-state . OH (aq) radical concentrations in each reactor were calculated</w:t>
      </w:r>
      <w:r w:rsidR="00F81221">
        <w:t xml:space="preserve"> and </w:t>
      </w:r>
      <w:r w:rsidRPr="00A428C3">
        <w:t>were shown to correlate with the applied power, density in the vessel. A power budget analysis for the Pilotstation indicates that nearly one-third of the applied power is converted in sonochemical activity.</w:t>
      </w:r>
    </w:p>
    <w:p w:rsidR="00B95188" w:rsidRPr="00A428C3" w:rsidRDefault="00B95188" w:rsidP="00B95188">
      <w:pPr>
        <w:pStyle w:val="a0"/>
      </w:pPr>
      <w:r w:rsidRPr="00A428C3">
        <w:lastRenderedPageBreak/>
        <w:t>Keywords: Ultrasonic Irradiation, Sonolytic Degradation, Mechanism, Kinetics, Ozonolysis, Azobenzene, Oxidation, Radicals</w:t>
      </w:r>
    </w:p>
    <w:p w:rsidR="00B95188" w:rsidRPr="00A428C3" w:rsidRDefault="00B95188" w:rsidP="00B95188">
      <w:pPr>
        <w:pStyle w:val="a0"/>
      </w:pPr>
      <w:r w:rsidRPr="00A428C3">
        <w:t>Costanza, V., Rossi, F.M., Costanza, P.</w:t>
      </w:r>
      <w:r w:rsidR="00F81221">
        <w:t xml:space="preserve"> and </w:t>
      </w:r>
      <w:r w:rsidRPr="00A428C3">
        <w:t>Zanuttini, M.A. (2001), Diffusion</w:t>
      </w:r>
      <w:r w:rsidR="00F81221">
        <w:t xml:space="preserve"> and </w:t>
      </w:r>
      <w:r w:rsidRPr="00A428C3">
        <w:t xml:space="preserve">reaction in isothermal pulping digesters. </w:t>
      </w:r>
      <w:r w:rsidRPr="00A428C3">
        <w:rPr>
          <w:i/>
          <w:iCs/>
        </w:rPr>
        <w:t>Industrial &amp; Engineering Chemistry Research</w:t>
      </w:r>
      <w:r w:rsidRPr="00A428C3">
        <w:t xml:space="preserve">, </w:t>
      </w:r>
      <w:r w:rsidRPr="00A428C3">
        <w:rPr>
          <w:b/>
        </w:rPr>
        <w:t>40</w:t>
      </w:r>
      <w:r w:rsidRPr="00A428C3">
        <w:t xml:space="preserve"> (18), 3965-3972.</w:t>
      </w:r>
    </w:p>
    <w:p w:rsidR="00B95188" w:rsidRPr="00A428C3" w:rsidRDefault="00B95188" w:rsidP="00B95188">
      <w:pPr>
        <w:pStyle w:val="a0"/>
      </w:pPr>
      <w:r w:rsidRPr="00A428C3">
        <w:t xml:space="preserve">Full Text: </w:t>
      </w:r>
      <w:hyperlink r:id="rId1165" w:history="1">
        <w:r w:rsidRPr="00A428C3">
          <w:rPr>
            <w:rStyle w:val="a5"/>
          </w:rPr>
          <w:t>I\Ind Eng Che Res40, 3965.pdf</w:t>
        </w:r>
      </w:hyperlink>
    </w:p>
    <w:p w:rsidR="00B95188" w:rsidRPr="00A428C3" w:rsidRDefault="00B95188" w:rsidP="00B95188">
      <w:pPr>
        <w:pStyle w:val="a0"/>
        <w:rPr>
          <w:rFonts w:eastAsia="Arial Unicode MS"/>
        </w:rPr>
      </w:pPr>
      <w:r w:rsidRPr="00A428C3">
        <w:t>Abstract: A mathematical model describing isothermal alkali diffusion</w:t>
      </w:r>
      <w:r w:rsidR="00F81221">
        <w:t xml:space="preserve"> and </w:t>
      </w:r>
      <w:r w:rsidRPr="00A428C3">
        <w:t>reaction with acetyl groups in moist wood chips was derived</w:t>
      </w:r>
      <w:r w:rsidR="00F81221">
        <w:t xml:space="preserve"> and </w:t>
      </w:r>
      <w:r w:rsidRPr="00A428C3">
        <w:t>validated against experiments. A coupled mass balance for the acetyl groups</w:t>
      </w:r>
      <w:r w:rsidR="00F81221">
        <w:t xml:space="preserve"> and </w:t>
      </w:r>
      <w:r w:rsidRPr="00A428C3">
        <w:t>the alkali was posed</w:t>
      </w:r>
      <w:r w:rsidR="00F81221">
        <w:t xml:space="preserve"> and </w:t>
      </w:r>
      <w:r w:rsidRPr="00A428C3">
        <w:t>solved numerically. Differences observed earlier between model-predicted</w:t>
      </w:r>
      <w:r w:rsidR="00F81221">
        <w:t xml:space="preserve"> and </w:t>
      </w:r>
      <w:r w:rsidRPr="00A428C3">
        <w:t xml:space="preserve">experimentally obtained alkali concentration profiles demonstrated that the diffusion coefficient D is not a constant but a certain function of alkali concentration C. A model for this dependence was developed on the basis of theoretical principles. The function C --&gt;D plays a key role in the qualitative form of the resulting alkali profiles, especially in terms of changes in the sign of the curvature that were not explained by other approaches in the literature. A new parameter, the </w:t>
      </w:r>
      <w:r w:rsidR="000352E7">
        <w:t>“</w:t>
      </w:r>
      <w:r w:rsidRPr="00A428C3">
        <w:t>deacetylation index</w:t>
      </w:r>
      <w:r w:rsidR="000352E7">
        <w:t>”</w:t>
      </w:r>
      <w:r w:rsidRPr="00A428C3">
        <w:t>, was introduced as an observable quantity that is useful for tracking the end of the impregnation stage in pulping processes.</w:t>
      </w:r>
    </w:p>
    <w:p w:rsidR="00B95188" w:rsidRPr="00A428C3" w:rsidRDefault="00B95188" w:rsidP="00B95188">
      <w:pPr>
        <w:pStyle w:val="a0"/>
      </w:pPr>
      <w:r w:rsidRPr="00A428C3">
        <w:t>Keywords: Poplar Wood, Impregnation</w:t>
      </w:r>
    </w:p>
    <w:p w:rsidR="00B95188" w:rsidRPr="00A428C3" w:rsidRDefault="00B95188" w:rsidP="00B95188">
      <w:pPr>
        <w:pStyle w:val="a0"/>
      </w:pPr>
      <w:r w:rsidRPr="00A428C3">
        <w:t>Van der Bruggen, B., De Vreese, I.</w:t>
      </w:r>
      <w:r w:rsidR="00F81221">
        <w:t xml:space="preserve"> and </w:t>
      </w:r>
      <w:r w:rsidRPr="00A428C3">
        <w:t xml:space="preserve">Vandecasteele, C. (2001), Water reclamation in the textile industry: Nanofiltration of dye baths for wool dyeing. </w:t>
      </w:r>
      <w:r w:rsidRPr="00A428C3">
        <w:rPr>
          <w:i/>
          <w:iCs/>
        </w:rPr>
        <w:t>Industrial &amp; Engineering Chemistry Research</w:t>
      </w:r>
      <w:r w:rsidRPr="00A428C3">
        <w:t xml:space="preserve">, </w:t>
      </w:r>
      <w:r w:rsidRPr="00A428C3">
        <w:rPr>
          <w:b/>
        </w:rPr>
        <w:t>40</w:t>
      </w:r>
      <w:r w:rsidRPr="00A428C3">
        <w:t xml:space="preserve"> (18), 3973-3978.</w:t>
      </w:r>
    </w:p>
    <w:p w:rsidR="00B95188" w:rsidRPr="00A428C3" w:rsidRDefault="00B95188" w:rsidP="00B95188">
      <w:pPr>
        <w:pStyle w:val="a0"/>
      </w:pPr>
      <w:r w:rsidRPr="00A428C3">
        <w:t xml:space="preserve">Full Text: </w:t>
      </w:r>
      <w:hyperlink r:id="rId1166" w:history="1">
        <w:r w:rsidRPr="00A428C3">
          <w:rPr>
            <w:rStyle w:val="a5"/>
          </w:rPr>
          <w:t>I\Ind Eng Che Res40, 3973.pdf</w:t>
        </w:r>
      </w:hyperlink>
    </w:p>
    <w:p w:rsidR="00B95188" w:rsidRPr="00A428C3" w:rsidRDefault="00B95188" w:rsidP="00B95188">
      <w:pPr>
        <w:pStyle w:val="a0"/>
      </w:pPr>
      <w:r w:rsidRPr="00A428C3">
        <w:t>Abstract: The textile industry is a large water consumer: dyeing, rinsing,</w:t>
      </w:r>
      <w:r w:rsidR="00F81221">
        <w:t xml:space="preserve"> and </w:t>
      </w:r>
      <w:r w:rsidRPr="00A428C3">
        <w:t>follow-up treatment of textiles use large amounts of freshwater. As regulations become more</w:t>
      </w:r>
      <w:r w:rsidR="00F81221">
        <w:t xml:space="preserve"> and </w:t>
      </w:r>
      <w:r w:rsidRPr="00A428C3">
        <w:t>more stringent</w:t>
      </w:r>
      <w:r w:rsidR="00F81221">
        <w:t xml:space="preserve"> and </w:t>
      </w:r>
      <w:r w:rsidRPr="00A428C3">
        <w:t>the cost of freshwater increases, reclamation of wastewater becomes more</w:t>
      </w:r>
      <w:r w:rsidR="00F81221">
        <w:t xml:space="preserve"> and </w:t>
      </w:r>
      <w:r w:rsidRPr="00A428C3">
        <w:t>more attractive. This paper explores the possibility of using nanofiltration to improve the wastewater quality to the standards that are used for the dyeing of wool. Four different samples from the wastewater treatment sequence of a textile factory were filtrated with three different nanofiltration membranes (NF70, UTC-20,</w:t>
      </w:r>
      <w:r w:rsidR="00F81221">
        <w:t xml:space="preserve"> and </w:t>
      </w:r>
      <w:r w:rsidRPr="00A428C3">
        <w:t>NTR 7450). The samples were a used</w:t>
      </w:r>
      <w:r w:rsidR="00F81221">
        <w:t xml:space="preserve"> and </w:t>
      </w:r>
      <w:r w:rsidRPr="00A428C3">
        <w:t>untreated metal complex dye bath, a used</w:t>
      </w:r>
      <w:r w:rsidR="00F81221">
        <w:t xml:space="preserve"> and </w:t>
      </w:r>
      <w:r w:rsidRPr="00A428C3">
        <w:t>untreated acid dye bath, a sample from the storage tank (containing a diluted mixture of the previous baths),</w:t>
      </w:r>
      <w:r w:rsidR="00F81221">
        <w:t xml:space="preserve"> and </w:t>
      </w:r>
      <w:r w:rsidRPr="00A428C3">
        <w:t xml:space="preserve">the effluent of the biological treatment. Nanofiltration was possible for all samples, but the biologically treated dye baths showed a more efficient color removal. For direct nanofiltration of used dye baths, two membrane passages would be needed to provide the required permeate quality. Flux decline due to adsorption of organic material on the membrane decreased the membrane capacity by up to 73%, but the process water flux reached a stable value in all experiments. The flux decline was less important for the biologically treated </w:t>
      </w:r>
      <w:r w:rsidRPr="00A428C3">
        <w:lastRenderedPageBreak/>
        <w:t>water. The effect of flux decline was only partly reversible; the effect of osmotic pressure on the process water flux is fully reversible. It was found that flux decline is largely concentration-dependent: higher concentrations of organic compounds always caused lower process water fluxes.</w:t>
      </w:r>
    </w:p>
    <w:p w:rsidR="00B95188" w:rsidRPr="00A428C3" w:rsidRDefault="00B95188" w:rsidP="00B95188">
      <w:pPr>
        <w:pStyle w:val="a0"/>
      </w:pPr>
      <w:r w:rsidRPr="00A428C3">
        <w:t>Choi, J.G., Do, D.D.</w:t>
      </w:r>
      <w:r w:rsidR="00F81221">
        <w:t xml:space="preserve"> and </w:t>
      </w:r>
      <w:r w:rsidRPr="00A428C3">
        <w:t>Do, H.D. (2001), Surface diffusion of adsorbed molecules in porous media: Monolayer, multilayer,</w:t>
      </w:r>
      <w:r w:rsidR="00F81221">
        <w:t xml:space="preserve"> and </w:t>
      </w:r>
      <w:r w:rsidRPr="00A428C3">
        <w:t xml:space="preserve">capillary condensation regimes. </w:t>
      </w:r>
      <w:r w:rsidRPr="00A428C3">
        <w:rPr>
          <w:i/>
          <w:iCs/>
        </w:rPr>
        <w:t>Industrial &amp; Engineering Chemistry Research</w:t>
      </w:r>
      <w:r w:rsidRPr="00A428C3">
        <w:t xml:space="preserve">, </w:t>
      </w:r>
      <w:r w:rsidRPr="00A428C3">
        <w:rPr>
          <w:b/>
        </w:rPr>
        <w:t>40</w:t>
      </w:r>
      <w:r w:rsidRPr="00A428C3">
        <w:t xml:space="preserve"> (19), 4005-4031.</w:t>
      </w:r>
    </w:p>
    <w:p w:rsidR="00B95188" w:rsidRPr="00A428C3" w:rsidRDefault="00B95188" w:rsidP="00B95188">
      <w:pPr>
        <w:pStyle w:val="a0"/>
      </w:pPr>
      <w:r w:rsidRPr="00A428C3">
        <w:t xml:space="preserve">Full Text: </w:t>
      </w:r>
      <w:hyperlink r:id="rId1167" w:history="1">
        <w:r w:rsidRPr="00A428C3">
          <w:rPr>
            <w:rStyle w:val="a5"/>
          </w:rPr>
          <w:t>I\Ind Eng Che Res40, 4005.pdf</w:t>
        </w:r>
      </w:hyperlink>
    </w:p>
    <w:p w:rsidR="00B95188" w:rsidRPr="00A428C3" w:rsidRDefault="00B95188" w:rsidP="00B95188">
      <w:pPr>
        <w:pStyle w:val="a0"/>
        <w:rPr>
          <w:rFonts w:eastAsia="Arial Unicode MS"/>
        </w:rPr>
      </w:pPr>
      <w:r w:rsidRPr="00A428C3">
        <w:t>Abstract: This review provides an overview of surface diffusion</w:t>
      </w:r>
      <w:r w:rsidR="00F81221">
        <w:t xml:space="preserve"> and </w:t>
      </w:r>
      <w:r w:rsidRPr="00A428C3">
        <w:t>capillary condensate flow in porous media. Emphasis has been placed on the distinction between purely surface diffusion, multilayer surface diffusion, and, capillary condensate flow.</w:t>
      </w:r>
    </w:p>
    <w:p w:rsidR="00B95188" w:rsidRPr="00A428C3" w:rsidRDefault="00B95188" w:rsidP="00B95188">
      <w:pPr>
        <w:pStyle w:val="a0"/>
      </w:pPr>
      <w:r w:rsidRPr="00A428C3">
        <w:t>Keywords: Predicting Multicomponent Diffusivities, Energetically Heterogeneous Surfaces, Effective-Medium Approximation, Pure-Component Diffusivities, Occupancy Zeolite Catalysts, Microporous Vycor Glass, Ceramic Membranes, Mesoporous Media, Activated Carbon, Gas-Transport</w:t>
      </w:r>
    </w:p>
    <w:p w:rsidR="00B95188" w:rsidRPr="00A428C3" w:rsidRDefault="00B95188" w:rsidP="00B95188">
      <w:pPr>
        <w:pStyle w:val="a0"/>
      </w:pPr>
      <w:r w:rsidRPr="00A428C3">
        <w:t>Girard, K.P., Hanley, C.M., Vanderlick, T.K.</w:t>
      </w:r>
      <w:r w:rsidR="00F81221">
        <w:t xml:space="preserve"> and </w:t>
      </w:r>
      <w:r w:rsidRPr="00A428C3">
        <w:t xml:space="preserve">Quinn, J.A. (2001), Effect of the skeletonization process on vapor sorption into Langmuir-Blodgett multilayers. </w:t>
      </w:r>
      <w:r w:rsidRPr="00A428C3">
        <w:rPr>
          <w:i/>
          <w:iCs/>
        </w:rPr>
        <w:t>Industrial &amp; Engineering Chemistry Research</w:t>
      </w:r>
      <w:r w:rsidRPr="00A428C3">
        <w:t xml:space="preserve">, </w:t>
      </w:r>
      <w:r w:rsidRPr="00A428C3">
        <w:rPr>
          <w:b/>
        </w:rPr>
        <w:t>40</w:t>
      </w:r>
      <w:r w:rsidRPr="00A428C3">
        <w:t xml:space="preserve"> (20), 4283-4287.</w:t>
      </w:r>
    </w:p>
    <w:p w:rsidR="00B95188" w:rsidRPr="00A428C3" w:rsidRDefault="00B95188" w:rsidP="00B95188">
      <w:pPr>
        <w:pStyle w:val="a0"/>
      </w:pPr>
      <w:r w:rsidRPr="00A428C3">
        <w:t xml:space="preserve">Full Text: </w:t>
      </w:r>
      <w:hyperlink r:id="rId1168" w:history="1">
        <w:r w:rsidRPr="00A428C3">
          <w:rPr>
            <w:rStyle w:val="a5"/>
          </w:rPr>
          <w:t>I\Ind Eng Che Res40, 4283.pdf</w:t>
        </w:r>
      </w:hyperlink>
    </w:p>
    <w:p w:rsidR="00B95188" w:rsidRPr="00A428C3" w:rsidRDefault="00B95188" w:rsidP="00B95188">
      <w:pPr>
        <w:pStyle w:val="a0"/>
        <w:rPr>
          <w:rFonts w:eastAsia="Arial Unicode MS"/>
        </w:rPr>
      </w:pPr>
      <w:r w:rsidRPr="00A428C3">
        <w:t>Abstract: One of simplest Langmuir-Blodgett films is a stack of fatty acid layers bridged together by divalent cations. A certain fraction of fatty acids remain protonated, an amount dictated by aqueous subphase conditions during film deposition; these films are thus comprised of two components with different solubilities in organic solvents. We investigated the so-called skeletonization process that occurs when behenic acid multilayers are immersed in benzene. In particular, we used a quartz crystal microbalance to measure the loss of film mass</w:t>
      </w:r>
      <w:r w:rsidR="00F81221">
        <w:t xml:space="preserve"> and </w:t>
      </w:r>
      <w:r w:rsidRPr="00A428C3">
        <w:t>found that it agrees well with the amount of protonated acid in the original film. We also used the quartz crystal microbalance to investigate the equilibrium vapor sorption properties of unmodified films</w:t>
      </w:r>
      <w:r w:rsidR="00F81221">
        <w:t xml:space="preserve"> and </w:t>
      </w:r>
      <w:r w:rsidRPr="00A428C3">
        <w:t>compared them to those of skeletonized films. Both types of films take in nearly the same amount of water but absorb distinctly different amounts of selected organic vapors.</w:t>
      </w:r>
    </w:p>
    <w:p w:rsidR="00B95188" w:rsidRPr="00A428C3" w:rsidRDefault="00B95188" w:rsidP="00B95188">
      <w:pPr>
        <w:pStyle w:val="a0"/>
      </w:pPr>
      <w:r w:rsidRPr="00A428C3">
        <w:t>Keywords: Quartz-Crystal Microbalance, Surfaces, Water, Films</w:t>
      </w:r>
    </w:p>
    <w:p w:rsidR="00B95188" w:rsidRPr="00A428C3" w:rsidRDefault="00B95188" w:rsidP="00B95188">
      <w:pPr>
        <w:pStyle w:val="a0"/>
      </w:pPr>
      <w:r w:rsidRPr="00A428C3">
        <w:t>Wang, P.M., Anderko, A.</w:t>
      </w:r>
      <w:r w:rsidR="00F81221">
        <w:t xml:space="preserve"> and </w:t>
      </w:r>
      <w:r w:rsidRPr="00A428C3">
        <w:t xml:space="preserve">Turner, D.R. (2001), Thermodynamic modeling of the adsorption of radionuclides on selected minerals. I: Cations. </w:t>
      </w:r>
      <w:r w:rsidRPr="00A428C3">
        <w:rPr>
          <w:i/>
          <w:iCs/>
        </w:rPr>
        <w:t>Industrial &amp; Engineering Chemistry Research</w:t>
      </w:r>
      <w:r w:rsidRPr="00A428C3">
        <w:t xml:space="preserve">, </w:t>
      </w:r>
      <w:r w:rsidRPr="00A428C3">
        <w:rPr>
          <w:b/>
        </w:rPr>
        <w:t>40</w:t>
      </w:r>
      <w:r w:rsidRPr="00A428C3">
        <w:t xml:space="preserve"> (20), 4428-4443.</w:t>
      </w:r>
    </w:p>
    <w:p w:rsidR="00B95188" w:rsidRPr="00A428C3" w:rsidRDefault="00B95188" w:rsidP="00B95188">
      <w:pPr>
        <w:pStyle w:val="a0"/>
      </w:pPr>
      <w:r w:rsidRPr="00A428C3">
        <w:t xml:space="preserve">Full Text: </w:t>
      </w:r>
      <w:hyperlink r:id="rId1169" w:history="1">
        <w:r w:rsidRPr="00A428C3">
          <w:rPr>
            <w:rStyle w:val="a5"/>
          </w:rPr>
          <w:t>I\Ind Eng Che Res40, 4428.pdf</w:t>
        </w:r>
      </w:hyperlink>
    </w:p>
    <w:p w:rsidR="00B95188" w:rsidRPr="00A428C3" w:rsidRDefault="00B95188" w:rsidP="00B95188">
      <w:pPr>
        <w:pStyle w:val="a0"/>
        <w:rPr>
          <w:rFonts w:eastAsia="Arial Unicode MS"/>
        </w:rPr>
      </w:pPr>
      <w:r w:rsidRPr="00A428C3">
        <w:t xml:space="preserve">Abstract: A general model that couples the diffuse-layer theory of surface complexation with an aqueous activity coefficient model based on the B-dot equation has been </w:t>
      </w:r>
      <w:r w:rsidRPr="00A428C3">
        <w:lastRenderedPageBreak/>
        <w:t>developed to study the adsorption of ions at the solid-water interface. The model takes into account the effect of changing aqueous speciation on the formation of surface complexes. It has been applied to determine the binding constants for the sorption of selected radionuclide cations, namely, Am(III), Pu(IV), Pu(V),</w:t>
      </w:r>
      <w:r w:rsidR="00F81221">
        <w:t xml:space="preserve"> and </w:t>
      </w:r>
      <w:r w:rsidRPr="00A428C3">
        <w:t>Np(V), on a number of (hydr)oxide minerals. The results show that the model accurately represents adsorption data in all examined cases. The binding constants of radionuclide cations were found to increase with their hydrolysis constants,</w:t>
      </w:r>
      <w:r w:rsidR="00F81221">
        <w:t xml:space="preserve"> and </w:t>
      </w:r>
      <w:r w:rsidRPr="00A428C3">
        <w:t>a linear correlation was developed to reproduce this behavior. The approach presented in this work can be generalized to study the ionic adsorption effects in other waste-abatement processes at solid-water interfaces</w:t>
      </w:r>
      <w:r w:rsidR="00F81221">
        <w:t xml:space="preserve"> and </w:t>
      </w:r>
      <w:r w:rsidRPr="00A428C3">
        <w:t>in water streams where ion separation is required.</w:t>
      </w:r>
    </w:p>
    <w:p w:rsidR="00B95188" w:rsidRPr="00A428C3" w:rsidRDefault="00B95188" w:rsidP="00B95188">
      <w:pPr>
        <w:pStyle w:val="a0"/>
      </w:pPr>
      <w:r w:rsidRPr="00A428C3">
        <w:t>Keywords: Complex-Formation Model, Ion-Exchange Resins, Amorphous Iron Oxyhydroxide, Surface Complexation, Performance Assessment, Neptunium(V) Sorption, Humic-Acid, Equilibria, Oxides, Hydrargilite</w:t>
      </w:r>
    </w:p>
    <w:p w:rsidR="00B95188" w:rsidRPr="00A428C3" w:rsidRDefault="00B95188" w:rsidP="00B95188">
      <w:pPr>
        <w:pStyle w:val="a0"/>
      </w:pPr>
      <w:r w:rsidRPr="00A428C3">
        <w:t>Wang, P.M., Anderko, A.</w:t>
      </w:r>
      <w:r w:rsidR="00F81221">
        <w:t xml:space="preserve"> and </w:t>
      </w:r>
      <w:r w:rsidRPr="00A428C3">
        <w:t xml:space="preserve">Turner, D.R. (2001), Thermodynamic modeling of the adsorption of radionuclides on selected minerals. II: Anions. </w:t>
      </w:r>
      <w:r w:rsidRPr="00A428C3">
        <w:rPr>
          <w:i/>
          <w:iCs/>
        </w:rPr>
        <w:t>Industrial &amp; Engineering Chemistry Research</w:t>
      </w:r>
      <w:r w:rsidRPr="00A428C3">
        <w:t xml:space="preserve">, </w:t>
      </w:r>
      <w:r w:rsidRPr="00A428C3">
        <w:rPr>
          <w:b/>
        </w:rPr>
        <w:t>40</w:t>
      </w:r>
      <w:r w:rsidRPr="00A428C3">
        <w:t xml:space="preserve"> (20), 4444-4455.</w:t>
      </w:r>
    </w:p>
    <w:p w:rsidR="00B95188" w:rsidRPr="00A428C3" w:rsidRDefault="00B95188" w:rsidP="00B95188">
      <w:pPr>
        <w:pStyle w:val="a0"/>
      </w:pPr>
      <w:r w:rsidRPr="00A428C3">
        <w:t xml:space="preserve">Full Text: </w:t>
      </w:r>
      <w:hyperlink r:id="rId1170" w:history="1">
        <w:r w:rsidRPr="00A428C3">
          <w:rPr>
            <w:rStyle w:val="a5"/>
          </w:rPr>
          <w:t>I\Ind Eng Che Res40, 4444.pdf</w:t>
        </w:r>
      </w:hyperlink>
    </w:p>
    <w:p w:rsidR="00B95188" w:rsidRPr="00A428C3" w:rsidRDefault="00B95188" w:rsidP="00B95188">
      <w:pPr>
        <w:pStyle w:val="a0"/>
        <w:rPr>
          <w:rFonts w:eastAsia="Arial Unicode MS"/>
        </w:rPr>
      </w:pPr>
      <w:r w:rsidRPr="00A428C3">
        <w:t>Abstract: A surface complexation model based on the diffuse-layer theory has been applied to study the adsorption of radionuclide anions (I</w:t>
      </w:r>
      <w:r w:rsidRPr="000A704E">
        <w:rPr>
          <w:vertAlign w:val="superscript"/>
        </w:rPr>
        <w:t>-</w:t>
      </w:r>
      <w:r w:rsidRPr="00A428C3">
        <w:t>, IO</w:t>
      </w:r>
      <w:r w:rsidRPr="00A428C3">
        <w:rPr>
          <w:vertAlign w:val="subscript"/>
        </w:rPr>
        <w:t>3</w:t>
      </w:r>
      <w:r w:rsidRPr="00A428C3">
        <w:rPr>
          <w:vertAlign w:val="superscript"/>
        </w:rPr>
        <w:t>-</w:t>
      </w:r>
      <w:r w:rsidRPr="00A428C3">
        <w:t>, SeO</w:t>
      </w:r>
      <w:r w:rsidRPr="00A428C3">
        <w:rPr>
          <w:vertAlign w:val="subscript"/>
        </w:rPr>
        <w:t>3</w:t>
      </w:r>
      <w:r w:rsidRPr="00A428C3">
        <w:rPr>
          <w:vertAlign w:val="superscript"/>
        </w:rPr>
        <w:t>2-</w:t>
      </w:r>
      <w:r w:rsidRPr="00A428C3">
        <w:t>, SeO</w:t>
      </w:r>
      <w:r w:rsidRPr="00A428C3">
        <w:rPr>
          <w:vertAlign w:val="subscript"/>
        </w:rPr>
        <w:t>4</w:t>
      </w:r>
      <w:r w:rsidRPr="00A428C3">
        <w:rPr>
          <w:vertAlign w:val="superscript"/>
        </w:rPr>
        <w:t>2-</w:t>
      </w:r>
      <w:r w:rsidRPr="00A428C3">
        <w:t>,</w:t>
      </w:r>
      <w:r w:rsidR="00F81221">
        <w:t xml:space="preserve"> and </w:t>
      </w:r>
      <w:r w:rsidRPr="00A428C3">
        <w:t>TcO</w:t>
      </w:r>
      <w:r w:rsidRPr="00A428C3">
        <w:rPr>
          <w:vertAlign w:val="subscript"/>
        </w:rPr>
        <w:t>4</w:t>
      </w:r>
      <w:r w:rsidRPr="00A428C3">
        <w:rPr>
          <w:vertAlign w:val="superscript"/>
        </w:rPr>
        <w:t>-</w:t>
      </w:r>
      <w:r w:rsidRPr="00A428C3">
        <w:t>) on various minerals. The model is coupled with an aqueous activity coefficient model based on the B-dot equation</w:t>
      </w:r>
      <w:r w:rsidR="00F81221">
        <w:t xml:space="preserve"> and </w:t>
      </w:r>
      <w:r w:rsidRPr="00A428C3">
        <w:t>takes into account the effect of aqueous speciation on adsorption. Binding constants for the selected radionuclide anions on minerals have been determined. In all examined cases, the model is shown to accurately represent the adsorption data. The selected radionuclide anions have been identified as potentially significant contributors for dosing in high-level nuclear waste because of their high solubilities</w:t>
      </w:r>
      <w:r w:rsidR="00F81221">
        <w:t xml:space="preserve"> and </w:t>
      </w:r>
      <w:r w:rsidRPr="00A428C3">
        <w:t>reduced interactions with aquifer minerals; the methodology presented in this work can be generalized to the study of ion adsorption effects at water-mineral interfaces in natural systems that implicitly regulate the fate of environmental contaminants.</w:t>
      </w:r>
    </w:p>
    <w:p w:rsidR="00B95188" w:rsidRPr="00A428C3" w:rsidRDefault="00B95188" w:rsidP="00B95188">
      <w:pPr>
        <w:pStyle w:val="a0"/>
      </w:pPr>
      <w:r w:rsidRPr="00A428C3">
        <w:t>Keywords: Surface Complexation, Performance Assessment, Sorption, Selenium, Interface, Goethite, Cinnabar, Kinetics, Selenate, Exchange</w:t>
      </w:r>
    </w:p>
    <w:p w:rsidR="00B95188" w:rsidRPr="00A428C3" w:rsidRDefault="00B95188" w:rsidP="00B95188">
      <w:pPr>
        <w:pStyle w:val="a0"/>
      </w:pPr>
      <w:r w:rsidRPr="00A428C3">
        <w:t>Kiefer, R.</w:t>
      </w:r>
      <w:r w:rsidR="00F81221">
        <w:t xml:space="preserve"> and </w:t>
      </w:r>
      <w:r w:rsidRPr="00A428C3">
        <w:t xml:space="preserve">Höll, W.H. (2001), Sorption of heavy metals onto selective ion-exchange resins with aminophosphonate functional groups. </w:t>
      </w:r>
      <w:r w:rsidRPr="00A428C3">
        <w:rPr>
          <w:i/>
          <w:iCs/>
        </w:rPr>
        <w:t>Industrial &amp; Engineering Chemistry Research</w:t>
      </w:r>
      <w:r w:rsidRPr="00A428C3">
        <w:t xml:space="preserve">, </w:t>
      </w:r>
      <w:r w:rsidRPr="00A428C3">
        <w:rPr>
          <w:b/>
        </w:rPr>
        <w:t>40</w:t>
      </w:r>
      <w:r w:rsidRPr="00A428C3">
        <w:t xml:space="preserve"> (21), 4570-4576.</w:t>
      </w:r>
    </w:p>
    <w:p w:rsidR="00B95188" w:rsidRPr="00A428C3" w:rsidRDefault="00B95188" w:rsidP="00B95188">
      <w:pPr>
        <w:pStyle w:val="a0"/>
      </w:pPr>
      <w:r w:rsidRPr="00A428C3">
        <w:t xml:space="preserve">Full Text: </w:t>
      </w:r>
      <w:hyperlink r:id="rId1171" w:history="1">
        <w:r w:rsidRPr="00A428C3">
          <w:rPr>
            <w:rStyle w:val="a5"/>
          </w:rPr>
          <w:t>I\Ind Eng Che Res40, 4570.pdf</w:t>
        </w:r>
      </w:hyperlink>
    </w:p>
    <w:p w:rsidR="00B95188" w:rsidRPr="00A428C3" w:rsidRDefault="00B95188" w:rsidP="00B95188">
      <w:pPr>
        <w:pStyle w:val="a0"/>
        <w:rPr>
          <w:rFonts w:eastAsia="Arial Unicode MS"/>
        </w:rPr>
      </w:pPr>
      <w:r w:rsidRPr="00A428C3">
        <w:t>Abstract: The ion-exchange equilibria for the exchange of heavy metal ions (Cu</w:t>
      </w:r>
      <w:r w:rsidRPr="00A428C3">
        <w:rPr>
          <w:vertAlign w:val="superscript"/>
        </w:rPr>
        <w:t>2+</w:t>
      </w:r>
      <w:r w:rsidRPr="00A428C3">
        <w:t>, Ni</w:t>
      </w:r>
      <w:r w:rsidRPr="00A428C3">
        <w:rPr>
          <w:vertAlign w:val="superscript"/>
        </w:rPr>
        <w:t>2+</w:t>
      </w:r>
      <w:r w:rsidRPr="00A428C3">
        <w:t>, Cd</w:t>
      </w:r>
      <w:r w:rsidRPr="00A428C3">
        <w:rPr>
          <w:vertAlign w:val="superscript"/>
        </w:rPr>
        <w:t>2+</w:t>
      </w:r>
      <w:r w:rsidRPr="00A428C3">
        <w:t xml:space="preserve"> Zn</w:t>
      </w:r>
      <w:r w:rsidRPr="00A428C3">
        <w:rPr>
          <w:vertAlign w:val="superscript"/>
        </w:rPr>
        <w:t>2+</w:t>
      </w:r>
      <w:r w:rsidRPr="00A428C3">
        <w:t>,</w:t>
      </w:r>
      <w:r w:rsidR="00F81221">
        <w:t xml:space="preserve"> and </w:t>
      </w:r>
      <w:r w:rsidRPr="00A428C3">
        <w:t>Co</w:t>
      </w:r>
      <w:r w:rsidRPr="00A428C3">
        <w:rPr>
          <w:vertAlign w:val="superscript"/>
        </w:rPr>
        <w:t>2+</w:t>
      </w:r>
      <w:r w:rsidRPr="00A428C3">
        <w:t>)</w:t>
      </w:r>
      <w:r w:rsidR="00F81221">
        <w:t xml:space="preserve"> and </w:t>
      </w:r>
      <w:r w:rsidRPr="00A428C3">
        <w:t>of Ca</w:t>
      </w:r>
      <w:r w:rsidRPr="00A428C3">
        <w:rPr>
          <w:vertAlign w:val="superscript"/>
        </w:rPr>
        <w:t>2+</w:t>
      </w:r>
      <w:r w:rsidRPr="00A428C3">
        <w:t>, Na</w:t>
      </w:r>
      <w:r w:rsidRPr="00A428C3">
        <w:rPr>
          <w:vertAlign w:val="superscript"/>
        </w:rPr>
        <w:t>+</w:t>
      </w:r>
      <w:r w:rsidRPr="00A428C3">
        <w:t>,</w:t>
      </w:r>
      <w:r w:rsidR="00F81221">
        <w:t xml:space="preserve"> and </w:t>
      </w:r>
      <w:r w:rsidRPr="00A428C3">
        <w:t>NH</w:t>
      </w:r>
      <w:r w:rsidRPr="00A428C3">
        <w:rPr>
          <w:vertAlign w:val="subscript"/>
        </w:rPr>
        <w:t>4</w:t>
      </w:r>
      <w:r w:rsidRPr="00A428C3">
        <w:rPr>
          <w:vertAlign w:val="superscript"/>
        </w:rPr>
        <w:t>+</w:t>
      </w:r>
      <w:r w:rsidRPr="00A428C3">
        <w:t xml:space="preserve"> ions by two commercially available chelating ion-exchange resins with aminophosphonate functional groups (Purolite S </w:t>
      </w:r>
      <w:r w:rsidRPr="00A428C3">
        <w:lastRenderedPageBreak/>
        <w:t>940</w:t>
      </w:r>
      <w:r w:rsidR="00F81221">
        <w:t xml:space="preserve"> and </w:t>
      </w:r>
      <w:r w:rsidRPr="00A428C3">
        <w:t>S 950) have been studied. From simple binary systems of the exchange of each of the species for H</w:t>
      </w:r>
      <w:r w:rsidRPr="00A428C3">
        <w:rPr>
          <w:vertAlign w:val="superscript"/>
        </w:rPr>
        <w:t>+</w:t>
      </w:r>
      <w:r w:rsidRPr="00A428C3">
        <w:t xml:space="preserve"> ions, the series of selectivity for these species were determined. Evaluation of the binary data by means of the surface complexation theory led to sets of binary equilibrium parameters that remain unchanged in multicomponent systems. By means of these parameter values, ternary</w:t>
      </w:r>
      <w:r w:rsidR="00F81221">
        <w:t xml:space="preserve"> and </w:t>
      </w:r>
      <w:r w:rsidRPr="00A428C3">
        <w:t>quaternary equilibria</w:t>
      </w:r>
      <w:r w:rsidR="00F81221">
        <w:t xml:space="preserve"> and </w:t>
      </w:r>
      <w:r w:rsidRPr="00A428C3">
        <w:t>equilibria with complexing-agent-bearing wastewaters from metal surface treatments were predicted</w:t>
      </w:r>
      <w:r w:rsidR="00F81221">
        <w:t xml:space="preserve"> and </w:t>
      </w:r>
      <w:r w:rsidRPr="00A428C3">
        <w:t>compared with experimental results. In all cases, very satisfactory agreement was found.</w:t>
      </w:r>
    </w:p>
    <w:p w:rsidR="00B95188" w:rsidRPr="00A428C3" w:rsidRDefault="00B95188" w:rsidP="00B95188">
      <w:pPr>
        <w:pStyle w:val="a0"/>
      </w:pPr>
      <w:r w:rsidRPr="00A428C3">
        <w:t>Keywords: Complex-Formation Model, Chelating Resins, Equilibria, Zinc</w:t>
      </w:r>
    </w:p>
    <w:p w:rsidR="00B95188" w:rsidRPr="00A428C3" w:rsidRDefault="00B95188" w:rsidP="00B95188">
      <w:pPr>
        <w:pStyle w:val="a0"/>
      </w:pPr>
      <w:r w:rsidRPr="00A428C3">
        <w:t>? Gonzalez, M.P., Saucedo, I., Navarro, R., Avila, M.</w:t>
      </w:r>
      <w:r w:rsidR="00F81221">
        <w:t xml:space="preserve"> and </w:t>
      </w:r>
      <w:r w:rsidRPr="00A428C3">
        <w:t>Guibal, E. (2001), Selective separation of Fe(III), Cd(II),</w:t>
      </w:r>
      <w:r w:rsidR="00F81221">
        <w:t xml:space="preserve"> and </w:t>
      </w:r>
      <w:r w:rsidRPr="00A428C3">
        <w:t xml:space="preserve">Ni(II) from dilute solutions using solvent-impregnated resins. </w:t>
      </w:r>
      <w:r w:rsidRPr="00A428C3">
        <w:rPr>
          <w:i/>
          <w:iCs/>
        </w:rPr>
        <w:t>Industrial &amp; Engineering Chemistry Research</w:t>
      </w:r>
      <w:r w:rsidRPr="00A428C3">
        <w:t xml:space="preserve">, </w:t>
      </w:r>
      <w:r w:rsidRPr="00A428C3">
        <w:rPr>
          <w:b/>
        </w:rPr>
        <w:t>40</w:t>
      </w:r>
      <w:r w:rsidRPr="00A428C3">
        <w:t xml:space="preserve"> (25), 6004-6013.</w:t>
      </w:r>
    </w:p>
    <w:p w:rsidR="00B95188" w:rsidRPr="00A428C3" w:rsidRDefault="00B95188" w:rsidP="00B95188">
      <w:pPr>
        <w:pStyle w:val="a0"/>
      </w:pPr>
      <w:r w:rsidRPr="00A428C3">
        <w:t xml:space="preserve">Full Text: </w:t>
      </w:r>
      <w:hyperlink r:id="rId1172" w:history="1">
        <w:r w:rsidR="002E6FD4" w:rsidRPr="002E6FD4">
          <w:rPr>
            <w:rStyle w:val="a5"/>
          </w:rPr>
          <w:t>2001\Ind Eng Che Res40, 6004.pdf</w:t>
        </w:r>
      </w:hyperlink>
    </w:p>
    <w:p w:rsidR="00B95188" w:rsidRPr="00A428C3" w:rsidRDefault="00B95188" w:rsidP="00B95188">
      <w:pPr>
        <w:pStyle w:val="a0"/>
      </w:pPr>
      <w:r w:rsidRPr="00A428C3">
        <w:t>Abstract: The aim of this work was to study the separation of Cd(II), Fe(III),</w:t>
      </w:r>
      <w:r w:rsidR="00F81221">
        <w:t xml:space="preserve"> and </w:t>
      </w:r>
      <w:r w:rsidRPr="00A428C3">
        <w:t>Ni(II) from dilute solutions using solvent- impregnated resins. The separation was performed using Amberlite XAD-2 impregnated with the extractants Cyanex 272</w:t>
      </w:r>
      <w:r w:rsidR="00F81221">
        <w:t xml:space="preserve"> and </w:t>
      </w:r>
      <w:r w:rsidRPr="00A428C3">
        <w:t>Cyanex 302. The influence of pH on the extraction of each metal was determined, first using liquid, liquid extraction</w:t>
      </w:r>
      <w:r w:rsidR="00F81221">
        <w:t xml:space="preserve"> and </w:t>
      </w:r>
      <w:r w:rsidRPr="00A428C3">
        <w:t>then using solvent-impregnated resins. Extraction isotherms</w:t>
      </w:r>
      <w:r w:rsidR="00F81221">
        <w:t xml:space="preserve"> and </w:t>
      </w:r>
      <w:r w:rsidRPr="00A428C3">
        <w:t>kinetics were then studied at the selected pH. Results showed that Fe(III) can be extracted from aqueous solutions at pH 2 using Amberlite XAD-2 impregnated with Cyanex 272, Cd(II) extracted at pH 2 using Amberlite XAD-2, Cyanex 302,</w:t>
      </w:r>
      <w:r w:rsidR="00F81221">
        <w:t xml:space="preserve"> and </w:t>
      </w:r>
      <w:r w:rsidRPr="00A428C3">
        <w:t>Ni(II) extracted at pH 8 using Amberlite XAD-2, Cyanex 302. Loaded resins can be regenerated,</w:t>
      </w:r>
      <w:r w:rsidR="00F81221">
        <w:t xml:space="preserve"> and </w:t>
      </w:r>
      <w:r w:rsidRPr="00A428C3">
        <w:t>the metal ions can be recovered selectively. Two fixed-bed columns arranged in-series (Amberlite XAD-2 impregnated with Cyanex 301</w:t>
      </w:r>
      <w:r w:rsidR="00F81221">
        <w:t xml:space="preserve"> and </w:t>
      </w:r>
      <w:r w:rsidRPr="00A428C3">
        <w:t>Cyanex 302, respectively) were successfully used for the separation</w:t>
      </w:r>
      <w:r w:rsidR="00F81221">
        <w:t xml:space="preserve"> and </w:t>
      </w:r>
      <w:r w:rsidRPr="00A428C3">
        <w:t>recovery of these three metal ions from mufti-component solutions.</w:t>
      </w:r>
    </w:p>
    <w:p w:rsidR="00B95188" w:rsidRPr="00A428C3" w:rsidRDefault="00B95188" w:rsidP="00B95188">
      <w:pPr>
        <w:pStyle w:val="a0"/>
      </w:pPr>
      <w:r w:rsidRPr="00A428C3">
        <w:t>Keywords: Cadmium(II), Cu(II), Cyanex-302, Di-(2,4,4-Trimethylpentyl)Phosphinic Acid, Divalent Metals, Extraction, Influence of pH, Isotherms, Kinetics, Levextrel Resins, Media, Sorption, Zn(II)</w:t>
      </w:r>
    </w:p>
    <w:p w:rsidR="00B95188" w:rsidRPr="00A428C3" w:rsidRDefault="00B95188" w:rsidP="00B95188">
      <w:pPr>
        <w:pStyle w:val="a0"/>
      </w:pPr>
      <w:r w:rsidRPr="00A428C3">
        <w:t>Basso, M.C., Cerrella, E.G.</w:t>
      </w:r>
      <w:r w:rsidR="00F81221">
        <w:t xml:space="preserve"> and </w:t>
      </w:r>
      <w:r w:rsidRPr="00A428C3">
        <w:t>Cukierman, A.L. (2002), Activated carbons developed from a rapidly renewable biosource for removal of cadmium(II)</w:t>
      </w:r>
      <w:r w:rsidR="00F81221">
        <w:t xml:space="preserve"> and </w:t>
      </w:r>
      <w:r w:rsidRPr="00A428C3">
        <w:t xml:space="preserve">nickel(II) ions from dilute aqueous solutions. </w:t>
      </w:r>
      <w:r w:rsidRPr="00A428C3">
        <w:rPr>
          <w:i/>
        </w:rPr>
        <w:t>Industrial &amp; Engineering Chemistry Research</w:t>
      </w:r>
      <w:r w:rsidRPr="00A428C3">
        <w:t xml:space="preserve">, </w:t>
      </w:r>
      <w:r w:rsidRPr="00A428C3">
        <w:rPr>
          <w:b/>
        </w:rPr>
        <w:t>41</w:t>
      </w:r>
      <w:r w:rsidRPr="00A428C3">
        <w:t xml:space="preserve"> (2), 180-189.</w:t>
      </w:r>
    </w:p>
    <w:p w:rsidR="00B95188" w:rsidRPr="00A428C3" w:rsidRDefault="00B95188" w:rsidP="00B95188">
      <w:pPr>
        <w:pStyle w:val="a0"/>
      </w:pPr>
      <w:r w:rsidRPr="00A428C3">
        <w:t xml:space="preserve">Full Text: </w:t>
      </w:r>
      <w:hyperlink r:id="rId1173" w:history="1">
        <w:r w:rsidRPr="00A428C3">
          <w:rPr>
            <w:rStyle w:val="a5"/>
          </w:rPr>
          <w:t>I\Ind Eng Che Res41, 180.pdf</w:t>
        </w:r>
      </w:hyperlink>
    </w:p>
    <w:p w:rsidR="00B95188" w:rsidRPr="00A428C3" w:rsidRDefault="00B95188" w:rsidP="00B95188">
      <w:pPr>
        <w:pStyle w:val="a0"/>
      </w:pPr>
      <w:r w:rsidRPr="00A428C3">
        <w:t xml:space="preserve">Abstract: Canes from </w:t>
      </w:r>
      <w:r w:rsidRPr="00A428C3">
        <w:rPr>
          <w:i/>
          <w:iCs/>
        </w:rPr>
        <w:t>Arundo donax</w:t>
      </w:r>
      <w:r w:rsidRPr="00A428C3">
        <w:t>, a rapid-growing plant, were converted to activated carbons by phosphoric acid activation under four different activation atmospheres, to develop carbons with substantial capability to adsorb Cd(II)</w:t>
      </w:r>
      <w:r w:rsidR="00F81221">
        <w:t xml:space="preserve"> and </w:t>
      </w:r>
      <w:r w:rsidRPr="00A428C3">
        <w:t xml:space="preserve">Ni(II) ions from </w:t>
      </w:r>
      <w:r w:rsidRPr="00A428C3">
        <w:lastRenderedPageBreak/>
        <w:t>dilute aqueous solutions. The carbons showed surface areas</w:t>
      </w:r>
      <w:r w:rsidR="00F81221">
        <w:t xml:space="preserve"> and </w:t>
      </w:r>
      <w:r w:rsidRPr="00A428C3">
        <w:t xml:space="preserve">total pore volumes of around </w:t>
      </w:r>
      <w:smartTag w:uri="urn:schemas-microsoft-com:office:smarttags" w:element="chmetcnv">
        <w:smartTagPr>
          <w:attr w:name="TCSC" w:val="0"/>
          <w:attr w:name="NumberType" w:val="1"/>
          <w:attr w:name="Negative" w:val="False"/>
          <w:attr w:name="HasSpace" w:val="True"/>
          <w:attr w:name="SourceValue" w:val="1100"/>
          <w:attr w:name="UnitName" w:val="m2"/>
        </w:smartTagPr>
        <w:r w:rsidRPr="00A428C3">
          <w:t>1100 m</w:t>
        </w:r>
        <w:r w:rsidRPr="00A428C3">
          <w:rPr>
            <w:vertAlign w:val="superscript"/>
          </w:rPr>
          <w:t>2</w:t>
        </w:r>
      </w:smartTag>
      <w:r w:rsidRPr="00A428C3">
        <w:t>/g</w:t>
      </w:r>
      <w:r w:rsidR="00F81221">
        <w:t xml:space="preserve"> and </w:t>
      </w:r>
      <w:smartTag w:uri="urn:schemas-microsoft-com:office:smarttags" w:element="chmetcnv">
        <w:smartTagPr>
          <w:attr w:name="TCSC" w:val="0"/>
          <w:attr w:name="NumberType" w:val="1"/>
          <w:attr w:name="Negative" w:val="False"/>
          <w:attr w:name="HasSpace" w:val="True"/>
          <w:attr w:name="SourceValue" w:val="1"/>
          <w:attr w:name="UnitName" w:val="cm"/>
        </w:smartTagPr>
        <w:r w:rsidRPr="00A428C3">
          <w:t>1 cm</w:t>
        </w:r>
      </w:smartTag>
      <w:r w:rsidRPr="00A428C3">
        <w:rPr>
          <w:vertAlign w:val="superscript"/>
        </w:rPr>
        <w:t>3</w:t>
      </w:r>
      <w:r w:rsidRPr="00A428C3">
        <w:t>/g, respectively. The content of carbons</w:t>
      </w:r>
      <w:r w:rsidR="000352E7">
        <w:t>’</w:t>
      </w:r>
      <w:r w:rsidRPr="00A428C3">
        <w:t xml:space="preserve"> polar or acidic surface oxygen functional groups, with their development depending on the atmosphere used, influenced predominantly metal adsorption. Carbons derived under flowing air, possessing the largest total content of these groups (3.3 mequiv/g), showed the best adsorption effectiveness (&gt;90%) for both ions, even superior to that determined for a commercial sample used as a reference. A pseudo-second-order rate model properly described adsorption kinetic data obtained for this sample. Equilibrium isotherms using the same carbon were also determined</w:t>
      </w:r>
      <w:r w:rsidR="00F81221">
        <w:t xml:space="preserve"> and </w:t>
      </w:r>
      <w:r w:rsidRPr="00A428C3">
        <w:t>modeled by the Langmuir isotherm. The influence of the solutions</w:t>
      </w:r>
      <w:r w:rsidR="000352E7">
        <w:t>’</w:t>
      </w:r>
      <w:r w:rsidRPr="00A428C3">
        <w:t xml:space="preserve"> pH on metal uptake, adsorption competitive effects between Cd(II)</w:t>
      </w:r>
      <w:r w:rsidR="00F81221">
        <w:t xml:space="preserve"> and </w:t>
      </w:r>
      <w:r w:rsidRPr="00A428C3">
        <w:t>Ni(II) ions,</w:t>
      </w:r>
      <w:r w:rsidR="00F81221">
        <w:t xml:space="preserve"> and </w:t>
      </w:r>
      <w:r w:rsidRPr="00A428C3">
        <w:t>desorption from the selected metal-loaded carbon for recovery purposes were additionally investigated.</w:t>
      </w:r>
    </w:p>
    <w:p w:rsidR="00B95188" w:rsidRPr="00A428C3" w:rsidRDefault="00B95188" w:rsidP="00B95188">
      <w:pPr>
        <w:pStyle w:val="a0"/>
      </w:pPr>
      <w:r w:rsidRPr="00A428C3">
        <w:t>Keywords: Agricultural By-Products, Miscanthus-Sinensis, Phosphoric-Acid, Heavy-Metals, Arundo-Donax, Waste-Water, Adsorption, Porosity, Copper, Zinc</w:t>
      </w:r>
    </w:p>
    <w:p w:rsidR="00B95188" w:rsidRPr="00A428C3" w:rsidRDefault="00B95188" w:rsidP="00B95188">
      <w:pPr>
        <w:pStyle w:val="a0"/>
      </w:pPr>
      <w:r w:rsidRPr="00A428C3">
        <w:t>Lin, S.H.</w:t>
      </w:r>
      <w:r w:rsidR="00F81221">
        <w:t xml:space="preserve"> and </w:t>
      </w:r>
      <w:r w:rsidRPr="00A428C3">
        <w:t>Juang, R.S. (2002), Kinetic modeling of simultaneous recovery of metallic cations</w:t>
      </w:r>
      <w:r w:rsidR="00F81221">
        <w:t xml:space="preserve"> and </w:t>
      </w:r>
      <w:r w:rsidRPr="00A428C3">
        <w:t xml:space="preserve">anions with a mixture of extractants in hollow-fiber modules. </w:t>
      </w:r>
      <w:r w:rsidRPr="00A428C3">
        <w:rPr>
          <w:i/>
        </w:rPr>
        <w:t>Industrial &amp; Engineering Chemistry Research</w:t>
      </w:r>
      <w:r w:rsidRPr="00A428C3">
        <w:t xml:space="preserve">, </w:t>
      </w:r>
      <w:r w:rsidRPr="00A428C3">
        <w:rPr>
          <w:b/>
        </w:rPr>
        <w:t>41</w:t>
      </w:r>
      <w:r w:rsidRPr="00A428C3">
        <w:t xml:space="preserve"> (4), 853-861.</w:t>
      </w:r>
    </w:p>
    <w:p w:rsidR="00B95188" w:rsidRPr="00A428C3" w:rsidRDefault="00B95188" w:rsidP="00B95188">
      <w:pPr>
        <w:pStyle w:val="a0"/>
      </w:pPr>
      <w:r w:rsidRPr="00A428C3">
        <w:t xml:space="preserve">Full Text: </w:t>
      </w:r>
      <w:hyperlink r:id="rId1174" w:history="1"/>
      <w:hyperlink r:id="rId1175" w:history="1">
        <w:r w:rsidRPr="00A428C3">
          <w:rPr>
            <w:rStyle w:val="a5"/>
          </w:rPr>
          <w:t>I\Ind Eng Che Res41, 853.pdf</w:t>
        </w:r>
      </w:hyperlink>
    </w:p>
    <w:p w:rsidR="00B95188" w:rsidRPr="00A428C3" w:rsidRDefault="00B95188" w:rsidP="00B95188">
      <w:pPr>
        <w:pStyle w:val="a0"/>
      </w:pPr>
      <w:r w:rsidRPr="00A428C3">
        <w:t>Abstract: The simultaneous extraction recovery of free Cu</w:t>
      </w:r>
      <w:r w:rsidRPr="00A428C3">
        <w:rPr>
          <w:vertAlign w:val="superscript"/>
        </w:rPr>
        <w:t>2+</w:t>
      </w:r>
      <w:r w:rsidRPr="00A428C3">
        <w:t xml:space="preserve"> ions</w:t>
      </w:r>
      <w:r w:rsidR="00F81221">
        <w:t xml:space="preserve"> and </w:t>
      </w:r>
      <w:r w:rsidRPr="00A428C3">
        <w:t>ethylenediaminetetraacetic acid (EDTA)-chelated anions from chloride solutions into a stripping HCl solution with a mixture of LIX64N</w:t>
      </w:r>
      <w:r w:rsidR="00F81221">
        <w:t xml:space="preserve"> and </w:t>
      </w:r>
      <w:r w:rsidRPr="00A428C3">
        <w:t>Aliquat 336 was studied in two hollow-fiber modules. A kinetic model is presented that considers possible mass transfer steps, including aqueous-layer diffusion, interfacial chemical reaction, membrane diffusion,</w:t>
      </w:r>
      <w:r w:rsidR="00F81221">
        <w:t xml:space="preserve"> and </w:t>
      </w:r>
      <w:r w:rsidRPr="00A428C3">
        <w:t>organic-layer diffusion. In particular, the effects of the preferential extraction of one metallic species</w:t>
      </w:r>
      <w:r w:rsidR="00F81221">
        <w:t xml:space="preserve"> and </w:t>
      </w:r>
      <w:r w:rsidRPr="00A428C3">
        <w:t>the mutual interaction of the two extractants were also corrected in this model on the basis of the results for individual, extraction systems. The calculated time profiles of the total CuII) concentrations were in reasonable agreement with the experimental data (standard deviations of 11% in both the extraction</w:t>
      </w:r>
      <w:r w:rsidR="00F81221">
        <w:t xml:space="preserve"> and </w:t>
      </w:r>
      <w:r w:rsidRPr="00A428C3">
        <w:t>back-extraction modules). Finally, the rate-controlling mechanisms of such nondispersive extraction processes were quantitatively identified</w:t>
      </w:r>
      <w:r w:rsidR="00F81221">
        <w:t xml:space="preserve"> and </w:t>
      </w:r>
      <w:r w:rsidRPr="00A428C3">
        <w:t>are discussed in terms of a comparison of the resistance of each mass transfer step.</w:t>
      </w:r>
    </w:p>
    <w:p w:rsidR="00B95188" w:rsidRPr="00A428C3" w:rsidRDefault="00B95188" w:rsidP="00B95188">
      <w:pPr>
        <w:pStyle w:val="a0"/>
      </w:pPr>
      <w:r w:rsidRPr="00A428C3">
        <w:t>Keywords: Supported Liquid Membranes, Solvent-Extraction, Mass-Transfer, Nondispersive Extraction, Aliquat-336, Cr(VI), Equilibrium, Contactors, Efficiency, Carrier</w:t>
      </w:r>
    </w:p>
    <w:p w:rsidR="00B95188" w:rsidRPr="00A428C3" w:rsidRDefault="00B95188" w:rsidP="00B95188">
      <w:pPr>
        <w:pStyle w:val="a0"/>
      </w:pPr>
      <w:r w:rsidRPr="00A428C3">
        <w:t>Khraisheh, M.A.M., Al-Degs, Y.S., Allen, S.J.</w:t>
      </w:r>
      <w:r w:rsidR="00F81221">
        <w:t xml:space="preserve"> and </w:t>
      </w:r>
      <w:r w:rsidRPr="00A428C3">
        <w:t xml:space="preserve">Ahmed, M.N. (2002), Elucidation of controlling steps of reactive dye adsorption on activated carbon. </w:t>
      </w:r>
      <w:r w:rsidRPr="00A428C3">
        <w:rPr>
          <w:i/>
        </w:rPr>
        <w:t>Industrial &amp; Engineering Chemistry Research</w:t>
      </w:r>
      <w:r w:rsidRPr="00A428C3">
        <w:t xml:space="preserve">, </w:t>
      </w:r>
      <w:r w:rsidRPr="00A428C3">
        <w:rPr>
          <w:b/>
        </w:rPr>
        <w:t>41</w:t>
      </w:r>
      <w:r w:rsidRPr="00A428C3">
        <w:t xml:space="preserve"> (6), 1651-1657.</w:t>
      </w:r>
    </w:p>
    <w:p w:rsidR="00B95188" w:rsidRPr="00A428C3" w:rsidRDefault="00B95188" w:rsidP="00B95188">
      <w:pPr>
        <w:pStyle w:val="a0"/>
      </w:pPr>
      <w:r w:rsidRPr="00A428C3">
        <w:lastRenderedPageBreak/>
        <w:t xml:space="preserve">Full Text: </w:t>
      </w:r>
      <w:hyperlink r:id="rId1176" w:history="1">
        <w:r w:rsidRPr="00A428C3">
          <w:rPr>
            <w:rStyle w:val="a5"/>
          </w:rPr>
          <w:t>I\Ind Eng Che Res41, 1651.pdf</w:t>
        </w:r>
      </w:hyperlink>
    </w:p>
    <w:p w:rsidR="00B95188" w:rsidRPr="00A428C3" w:rsidRDefault="00B95188" w:rsidP="00B95188">
      <w:pPr>
        <w:pStyle w:val="a0"/>
      </w:pPr>
      <w:r w:rsidRPr="00A428C3">
        <w:t>Abstract: In this work, the rate-limiting steps of reactive dye adsorption onto FS-400 activated carbon were elucidated through the investigation of adsorption kinetics. These studies initially revealed that only 20% of the available adsorption capacity was achieved during the first 6 h of mixing. Kinetic profiles showed that the adsorption process was mainly controlled by external diffusion during the first 30 min of the reaction, after which internal diffusion controlled the process. The interruption test method identified the rate-limiting steps; the results showed that sorption of reactive dyes onto FS-400 was mainly controlled by internal diffusion. Furthermore, the external</w:t>
      </w:r>
      <w:r w:rsidR="00F81221">
        <w:t xml:space="preserve"> and </w:t>
      </w:r>
      <w:r w:rsidRPr="00A428C3">
        <w:t>internal diffusion coefficients</w:t>
      </w:r>
      <w:r w:rsidR="00F81221">
        <w:t xml:space="preserve"> and </w:t>
      </w:r>
      <w:r w:rsidRPr="00A428C3">
        <w:t>the desorption rate decreased after the interruption period. The same parameters increased when the solution temperature was raised. The thermodynamic parameters studied showed that the adsorption of reactive dyes onto activated carbon was endothermic</w:t>
      </w:r>
      <w:r w:rsidR="00F81221">
        <w:t xml:space="preserve"> and </w:t>
      </w:r>
      <w:r w:rsidRPr="00A428C3">
        <w:t>is mainly controlled by internal diffusion with a minor effect of external diffusion.</w:t>
      </w:r>
    </w:p>
    <w:p w:rsidR="00B95188" w:rsidRPr="00A428C3" w:rsidRDefault="00B95188" w:rsidP="00B95188">
      <w:pPr>
        <w:pStyle w:val="a0"/>
      </w:pPr>
      <w:r w:rsidRPr="00A428C3">
        <w:t>Keywords: Aqueous-Solutions, Sorption, Removal, Peat, Equilibrium, Effluent, Chitosan, Clay</w:t>
      </w:r>
    </w:p>
    <w:p w:rsidR="00B95188" w:rsidRPr="00A428C3" w:rsidRDefault="00B95188" w:rsidP="00B95188">
      <w:pPr>
        <w:pStyle w:val="a0"/>
      </w:pPr>
      <w:r w:rsidRPr="00A428C3">
        <w:t>? Papini, M.P., Bianchi, A., Majone, M.</w:t>
      </w:r>
      <w:r w:rsidR="00F81221">
        <w:t xml:space="preserve"> and </w:t>
      </w:r>
      <w:r w:rsidRPr="00A428C3">
        <w:t xml:space="preserve">Beccari, M. (2002), Equilibrium modeling of lead adsorption onto a </w:t>
      </w:r>
      <w:r w:rsidR="000352E7">
        <w:t>“</w:t>
      </w:r>
      <w:r w:rsidRPr="00A428C3">
        <w:t>red soil</w:t>
      </w:r>
      <w:r w:rsidR="000352E7">
        <w:t>”</w:t>
      </w:r>
      <w:r w:rsidRPr="00A428C3">
        <w:t xml:space="preserve"> as a function of the liquid-phase composition. </w:t>
      </w:r>
      <w:r w:rsidRPr="00A428C3">
        <w:rPr>
          <w:i/>
          <w:iCs/>
        </w:rPr>
        <w:t>Industrial &amp; Engineering Chemistry Research</w:t>
      </w:r>
      <w:r w:rsidRPr="00A428C3">
        <w:t xml:space="preserve">, </w:t>
      </w:r>
      <w:r w:rsidRPr="00A428C3">
        <w:rPr>
          <w:b/>
        </w:rPr>
        <w:t>41</w:t>
      </w:r>
      <w:r w:rsidRPr="00A428C3">
        <w:t xml:space="preserve"> (8), 1946-1954.</w:t>
      </w:r>
    </w:p>
    <w:p w:rsidR="00B95188" w:rsidRPr="00A428C3" w:rsidRDefault="00B95188" w:rsidP="00B95188">
      <w:pPr>
        <w:pStyle w:val="a0"/>
      </w:pPr>
      <w:r w:rsidRPr="00A428C3">
        <w:t xml:space="preserve">Full Text: </w:t>
      </w:r>
      <w:hyperlink r:id="rId1177" w:history="1"/>
      <w:hyperlink r:id="rId1178" w:history="1">
        <w:r w:rsidRPr="00A428C3">
          <w:rPr>
            <w:rStyle w:val="a5"/>
          </w:rPr>
          <w:t>I\Ind Eng Che Res41, 1946.pdf</w:t>
        </w:r>
      </w:hyperlink>
    </w:p>
    <w:p w:rsidR="00B95188" w:rsidRPr="00A428C3" w:rsidRDefault="00B95188" w:rsidP="00B95188">
      <w:pPr>
        <w:pStyle w:val="a0"/>
      </w:pPr>
      <w:r w:rsidRPr="00A428C3">
        <w:t xml:space="preserve">Abstract: </w:t>
      </w:r>
      <w:r w:rsidR="000352E7">
        <w:t>“</w:t>
      </w:r>
      <w:r w:rsidRPr="00A428C3">
        <w:t>Red soils</w:t>
      </w:r>
      <w:r w:rsidR="000352E7">
        <w:t>”</w:t>
      </w:r>
      <w:r w:rsidRPr="00A428C3">
        <w:t xml:space="preserve"> are silty-clay materials typical of </w:t>
      </w:r>
      <w:smartTag w:uri="urn:schemas-microsoft-com:office:smarttags" w:element="place">
        <w:r w:rsidRPr="00A428C3">
          <w:t>Central Italy</w:t>
        </w:r>
      </w:smartTag>
      <w:r w:rsidRPr="00A428C3">
        <w:t>, with a high content of iron</w:t>
      </w:r>
      <w:r w:rsidR="00F81221">
        <w:t xml:space="preserve"> and </w:t>
      </w:r>
      <w:r w:rsidRPr="00A428C3">
        <w:t>aluminum (hydro)oxides, resulting from dissolution of carbonates</w:t>
      </w:r>
      <w:r w:rsidR="00F81221">
        <w:t xml:space="preserve"> and </w:t>
      </w:r>
      <w:r w:rsidRPr="00A428C3">
        <w:t>mixed with particles of volcanic origin. These soils are becoming interesting because of their large availability in Central</w:t>
      </w:r>
      <w:r w:rsidR="00F81221">
        <w:t xml:space="preserve"> and </w:t>
      </w:r>
      <w:r w:rsidRPr="00A428C3">
        <w:t>Southern Italy</w:t>
      </w:r>
      <w:r w:rsidR="00F81221">
        <w:t xml:space="preserve"> and </w:t>
      </w:r>
      <w:r w:rsidRPr="00A428C3">
        <w:t>large attenuation capacity with respect to heavy metals due to their geochemical characteristics (high surface area, cation-exchange capacity,</w:t>
      </w:r>
      <w:r w:rsidR="00F81221">
        <w:t xml:space="preserve"> and </w:t>
      </w:r>
      <w:r w:rsidRPr="00A428C3">
        <w:t>pH). Thus, their possible use as a daily landfill coverage or as a low-cost sorbent material is under evaluation. Lead adsorption, as representative of heavy metals in polluted streams, has been studied as a function of the composition of the liquid phase. Different background electrolytes (NaClO</w:t>
      </w:r>
      <w:r w:rsidRPr="00A428C3">
        <w:rPr>
          <w:vertAlign w:val="subscript"/>
        </w:rPr>
        <w:t>4</w:t>
      </w:r>
      <w:r w:rsidRPr="00A428C3">
        <w:t>, NaNO</w:t>
      </w:r>
      <w:r w:rsidRPr="00A428C3">
        <w:rPr>
          <w:vertAlign w:val="subscript"/>
        </w:rPr>
        <w:t>3</w:t>
      </w:r>
      <w:r w:rsidRPr="00A428C3">
        <w:t>, NaCl,</w:t>
      </w:r>
      <w:r w:rsidR="00F81221">
        <w:t xml:space="preserve"> and </w:t>
      </w:r>
      <w:r w:rsidRPr="00A428C3">
        <w:t>CH</w:t>
      </w:r>
      <w:r w:rsidRPr="00A428C3">
        <w:rPr>
          <w:vertAlign w:val="subscript"/>
        </w:rPr>
        <w:t>3</w:t>
      </w:r>
      <w:r w:rsidRPr="00A428C3">
        <w:t>COONa)</w:t>
      </w:r>
      <w:r w:rsidR="00F81221">
        <w:t xml:space="preserve"> and </w:t>
      </w:r>
      <w:r w:rsidRPr="00A428C3">
        <w:t>different pHs (4-7) were used in order to obtain different lead speciation in the liquid phase. Lead adsorption occurred not only to the account of free lead,</w:t>
      </w:r>
      <w:r w:rsidR="00F81221">
        <w:t xml:space="preserve"> and </w:t>
      </w:r>
      <w:r w:rsidRPr="00A428C3">
        <w:t>positively charged complexes (PbNO</w:t>
      </w:r>
      <w:r w:rsidRPr="00A428C3">
        <w:rPr>
          <w:vertAlign w:val="subscript"/>
        </w:rPr>
        <w:t>3</w:t>
      </w:r>
      <w:r w:rsidRPr="00A428C3">
        <w:rPr>
          <w:vertAlign w:val="superscript"/>
        </w:rPr>
        <w:t>+</w:t>
      </w:r>
      <w:r w:rsidRPr="00A428C3">
        <w:t>, PbCl</w:t>
      </w:r>
      <w:r w:rsidRPr="00A428C3">
        <w:rPr>
          <w:vertAlign w:val="superscript"/>
        </w:rPr>
        <w:t>+</w:t>
      </w:r>
      <w:r w:rsidRPr="00A428C3">
        <w:t>,</w:t>
      </w:r>
      <w:r w:rsidR="00F81221">
        <w:t xml:space="preserve"> and </w:t>
      </w:r>
      <w:r w:rsidRPr="00A428C3">
        <w:t>CH</w:t>
      </w:r>
      <w:r w:rsidRPr="00A428C3">
        <w:rPr>
          <w:vertAlign w:val="subscript"/>
        </w:rPr>
        <w:t>3</w:t>
      </w:r>
      <w:r w:rsidRPr="00A428C3">
        <w:t>COOPb</w:t>
      </w:r>
      <w:r w:rsidRPr="00A428C3">
        <w:rPr>
          <w:vertAlign w:val="superscript"/>
        </w:rPr>
        <w:t>+</w:t>
      </w:r>
      <w:r w:rsidRPr="00A428C3">
        <w:t>) strongly contributed to the total metal removal. An adsorption model was developed based on the surface complexation concept, which can be proposed as a general approach for characterizing metal adsorption on heterogeneous natural sorbents as a function of the composition</w:t>
      </w:r>
      <w:r w:rsidR="00F81221">
        <w:t xml:space="preserve"> and </w:t>
      </w:r>
      <w:r w:rsidRPr="00A428C3">
        <w:t>pH of the liquid phase. The model was characterized by the presence of two surface complexation</w:t>
      </w:r>
      <w:r w:rsidR="00F81221">
        <w:t xml:space="preserve"> and </w:t>
      </w:r>
      <w:r w:rsidRPr="00A428C3">
        <w:t>one ion-exchange sites onto which the different lead species can be sorbed. A maximum sorption capacity of 21.7 mg g</w:t>
      </w:r>
      <w:r w:rsidRPr="00A428C3">
        <w:rPr>
          <w:vertAlign w:val="superscript"/>
        </w:rPr>
        <w:t>-1</w:t>
      </w:r>
      <w:r w:rsidRPr="00A428C3">
        <w:t xml:space="preserve"> was calculated for lead</w:t>
      </w:r>
      <w:r w:rsidR="00F81221">
        <w:t xml:space="preserve"> and </w:t>
      </w:r>
      <w:r w:rsidRPr="00A428C3">
        <w:t xml:space="preserve">gives to the red soil a particular </w:t>
      </w:r>
      <w:r w:rsidRPr="00A428C3">
        <w:lastRenderedPageBreak/>
        <w:t>interest as a possible alternative low-cost sorbent.</w:t>
      </w:r>
    </w:p>
    <w:p w:rsidR="00B95188" w:rsidRPr="00A428C3" w:rsidRDefault="00B95188" w:rsidP="00B95188">
      <w:pPr>
        <w:pStyle w:val="a0"/>
      </w:pPr>
      <w:r w:rsidRPr="00A428C3">
        <w:t>Basso, M.C., Cerrella, E.G.</w:t>
      </w:r>
      <w:r w:rsidR="00F81221">
        <w:t xml:space="preserve"> and </w:t>
      </w:r>
      <w:r w:rsidRPr="00A428C3">
        <w:t xml:space="preserve">Cukierman, A.L. (2002), Lignocellulosic materials as potential biosorbents of trace toxic metals from wastewater. </w:t>
      </w:r>
      <w:r w:rsidRPr="00A428C3">
        <w:rPr>
          <w:i/>
          <w:iCs/>
        </w:rPr>
        <w:t>Industrial &amp; Engineering Chemistry Research</w:t>
      </w:r>
      <w:r w:rsidRPr="00A428C3">
        <w:t xml:space="preserve">, </w:t>
      </w:r>
      <w:r w:rsidRPr="00A428C3">
        <w:rPr>
          <w:b/>
        </w:rPr>
        <w:t>41</w:t>
      </w:r>
      <w:r w:rsidRPr="00A428C3">
        <w:t xml:space="preserve"> (15), 3580-3585.</w:t>
      </w:r>
    </w:p>
    <w:p w:rsidR="00B95188" w:rsidRPr="00A428C3" w:rsidRDefault="00B95188" w:rsidP="00B95188">
      <w:pPr>
        <w:pStyle w:val="a0"/>
      </w:pPr>
      <w:r w:rsidRPr="00A428C3">
        <w:t xml:space="preserve">Full Text: </w:t>
      </w:r>
      <w:hyperlink r:id="rId1179" w:history="1"/>
      <w:hyperlink r:id="rId1180" w:history="1">
        <w:r w:rsidRPr="00A428C3">
          <w:rPr>
            <w:rStyle w:val="a5"/>
          </w:rPr>
          <w:t>I\Ind Eng Che Res41, 3580.pdf</w:t>
        </w:r>
      </w:hyperlink>
    </w:p>
    <w:p w:rsidR="00B95188" w:rsidRPr="00A428C3" w:rsidRDefault="00B95188" w:rsidP="00B95188">
      <w:pPr>
        <w:pStyle w:val="a0"/>
      </w:pPr>
      <w:r w:rsidRPr="00A428C3">
        <w:t xml:space="preserve">Abstract: The potential capability of Arundo donax stems, </w:t>
      </w:r>
      <w:smartTag w:uri="urn:schemas-microsoft-com:office:smarttags" w:element="place">
        <w:smartTag w:uri="urn:schemas-microsoft-com:office:smarttags" w:element="country-region">
          <w:r w:rsidRPr="00A428C3">
            <w:t>Brazil</w:t>
          </w:r>
        </w:smartTag>
      </w:smartTag>
      <w:r w:rsidRPr="00A428C3">
        <w:t xml:space="preserve"> nutshells, sugarcane bagasse,</w:t>
      </w:r>
      <w:r w:rsidR="00F81221">
        <w:t xml:space="preserve"> and </w:t>
      </w:r>
      <w:r w:rsidRPr="00A428C3">
        <w:t>sawdust from a. native wood species (Prosopis ruscifolia) to sequester trace metals from wastewater was comparatively examined using dilute aqueous solutions of Cd(II) or Ni(II) ions as models. Brazil nutshells showed the best effectiveness (&gt;90%) for the uptake of both metals from solutions of 20 mg, L initial concentration for dosages larger than 0.2-0.4 mg, L, even superior to those obtained for a commercial activated carbon and, or red marine algae (Corallinales) used for comparison under identical conditions. Equilibrium isotherms of cadmium on the lignocellulosic</w:t>
      </w:r>
      <w:r w:rsidR="00F81221">
        <w:t xml:space="preserve"> and </w:t>
      </w:r>
      <w:r w:rsidRPr="00A428C3">
        <w:t>algae samples</w:t>
      </w:r>
      <w:r w:rsidR="00F81221">
        <w:t xml:space="preserve"> and </w:t>
      </w:r>
      <w:r w:rsidRPr="00A428C3">
        <w:t>of nickel on the nutshells were determined</w:t>
      </w:r>
      <w:r w:rsidR="00F81221">
        <w:t xml:space="preserve"> and </w:t>
      </w:r>
      <w:r w:rsidRPr="00A428C3">
        <w:t>properly described by the Langmuir model. The highest maximum sorption capacity of Cd(II) ions was obtained for the nutshells (X</w:t>
      </w:r>
      <w:r w:rsidRPr="00A428C3">
        <w:rPr>
          <w:vertAlign w:val="subscript"/>
        </w:rPr>
        <w:t>m</w:t>
      </w:r>
      <w:r w:rsidRPr="00A428C3">
        <w:t xml:space="preserve"> = 19.4 mg, g) among the lignocellulosic samples. The trend in the estimated X</w:t>
      </w:r>
      <w:r w:rsidRPr="00A428C3">
        <w:rPr>
          <w:vertAlign w:val="subscript"/>
        </w:rPr>
        <w:t>m</w:t>
      </w:r>
      <w:r w:rsidRPr="00A428C3">
        <w:t xml:space="preserve"> values was found to be consistent with their contents of lignin</w:t>
      </w:r>
      <w:r w:rsidR="00F81221">
        <w:t xml:space="preserve"> and </w:t>
      </w:r>
      <w:r w:rsidRPr="00A428C3">
        <w:t>total surface acidic functional groups. Nevertheless, X</w:t>
      </w:r>
      <w:r w:rsidRPr="00A428C3">
        <w:rPr>
          <w:vertAlign w:val="subscript"/>
        </w:rPr>
        <w:t>m</w:t>
      </w:r>
      <w:r w:rsidRPr="00A428C3">
        <w:t xml:space="preserve"> for the nutshells was lower than that for the algae (X = 29.7 mg, g). The nutshells were also found to be less effective at removing Ni(II) ions compared to Cd(II) ions</w:t>
      </w:r>
    </w:p>
    <w:p w:rsidR="00B95188" w:rsidRPr="00A428C3" w:rsidRDefault="00B95188" w:rsidP="00B95188">
      <w:pPr>
        <w:pStyle w:val="a0"/>
      </w:pPr>
      <w:r w:rsidRPr="00A428C3">
        <w:t>Keywords: Activated Carbon, Adsorption, Aqueous-Solution, Arundo-Donax, Biomass, Biosorption, Cadmium, Heavy-Metals, Isotherms, Lignin, Marine-Algae, Miscanthus-Sinensis, Removal, Sawdust, Sorption, Sphagnum Moss Peat, Wastewater</w:t>
      </w:r>
    </w:p>
    <w:p w:rsidR="00B95188" w:rsidRPr="00A428C3" w:rsidRDefault="00B95188" w:rsidP="00B95188">
      <w:pPr>
        <w:pStyle w:val="a0"/>
      </w:pPr>
      <w:r w:rsidRPr="00A428C3">
        <w:t>Basso, M.C., Cerrella, E.G.</w:t>
      </w:r>
      <w:r w:rsidR="00F81221">
        <w:t xml:space="preserve"> and </w:t>
      </w:r>
      <w:r w:rsidRPr="00A428C3">
        <w:t xml:space="preserve">Cukierman, A.L. (2002), Lignocellulosic materials as potential biosorbents of trace toxic metals from wastewater. </w:t>
      </w:r>
      <w:r w:rsidRPr="00A428C3">
        <w:rPr>
          <w:i/>
        </w:rPr>
        <w:t>Industrial &amp; Engineering Chemistry Research</w:t>
      </w:r>
      <w:r w:rsidRPr="00A428C3">
        <w:t xml:space="preserve">, </w:t>
      </w:r>
      <w:r w:rsidRPr="00A428C3">
        <w:rPr>
          <w:b/>
        </w:rPr>
        <w:t>41</w:t>
      </w:r>
      <w:r w:rsidRPr="00A428C3">
        <w:t xml:space="preserve"> (15), 3580-3585.</w:t>
      </w:r>
    </w:p>
    <w:p w:rsidR="00B95188" w:rsidRPr="00A428C3" w:rsidRDefault="00B95188" w:rsidP="00B95188">
      <w:pPr>
        <w:pStyle w:val="a0"/>
      </w:pPr>
      <w:r w:rsidRPr="00A428C3">
        <w:t xml:space="preserve">Full Text: </w:t>
      </w:r>
      <w:hyperlink r:id="rId1181" w:history="1">
        <w:r w:rsidRPr="00A428C3">
          <w:rPr>
            <w:rStyle w:val="a5"/>
          </w:rPr>
          <w:t>I\Ind &amp; Eng Che Res41, 3580.pdf</w:t>
        </w:r>
      </w:hyperlink>
    </w:p>
    <w:p w:rsidR="00B95188" w:rsidRPr="00A428C3" w:rsidRDefault="00B95188" w:rsidP="00B95188">
      <w:pPr>
        <w:pStyle w:val="a0"/>
      </w:pPr>
      <w:r w:rsidRPr="00A428C3">
        <w:t xml:space="preserve">Abstract: The potential capability of Arundo donax stems, </w:t>
      </w:r>
      <w:smartTag w:uri="urn:schemas-microsoft-com:office:smarttags" w:element="place">
        <w:smartTag w:uri="urn:schemas-microsoft-com:office:smarttags" w:element="country-region">
          <w:r w:rsidRPr="00A428C3">
            <w:t>Brazil</w:t>
          </w:r>
        </w:smartTag>
      </w:smartTag>
      <w:r w:rsidRPr="00A428C3">
        <w:t xml:space="preserve"> nutshells, sugarcane bagasse,</w:t>
      </w:r>
      <w:r w:rsidR="00F81221">
        <w:t xml:space="preserve"> and </w:t>
      </w:r>
      <w:r w:rsidRPr="00A428C3">
        <w:t>sawdust from a. native wood species (Prosopis ruscifolia) to sequester trace metals from wastewater was comparatively examined using dilute aqueous solutions of Cd(II) or Ni(II) ions as models. Brazil nutshells showed the best effectiveness (&gt;90%) for the uptake of both metals from solutions of 20 mg/L initial concentration for dosages larger than 0.2-0.4 mg/L, even superior to those obtained for a commercial activated carbon and/or red marine algae (Corallinales) used for comparison under identical conditions. Equilibrium isotherms of cadmium on the lignocellulosic</w:t>
      </w:r>
      <w:r w:rsidR="00F81221">
        <w:t xml:space="preserve"> and </w:t>
      </w:r>
      <w:r w:rsidRPr="00A428C3">
        <w:t>algae samples</w:t>
      </w:r>
      <w:r w:rsidR="00F81221">
        <w:t xml:space="preserve"> and </w:t>
      </w:r>
      <w:r w:rsidRPr="00A428C3">
        <w:t>of nickel on the nutshells were determined</w:t>
      </w:r>
      <w:r w:rsidR="00F81221">
        <w:t xml:space="preserve"> and </w:t>
      </w:r>
      <w:r w:rsidRPr="00A428C3">
        <w:t xml:space="preserve">properly described by the Langmuir model. The highest maximum sorption capacity </w:t>
      </w:r>
      <w:r w:rsidRPr="00A428C3">
        <w:lastRenderedPageBreak/>
        <w:t>of Cd(II) ions was obtained for the nutshells (X-m = 19.4 mg/g) among the lignocellulosic samples. The trend in the estimated X-m values was found to be consistent with their contents of lignin</w:t>
      </w:r>
      <w:r w:rsidR="00F81221">
        <w:t xml:space="preserve"> and </w:t>
      </w:r>
      <w:r w:rsidRPr="00A428C3">
        <w:t>total surface acidic functional groups. Nevertheless, X-m for the nutshells was lower than that for the algae (X = 29.7 mg/g). The nutshells were also found to be less effective at removing Ni(II) ions compared to Cd(II) ions.</w:t>
      </w:r>
    </w:p>
    <w:p w:rsidR="00B95188" w:rsidRPr="00A428C3" w:rsidRDefault="00B95188" w:rsidP="00B95188">
      <w:pPr>
        <w:pStyle w:val="a0"/>
      </w:pPr>
      <w:r w:rsidRPr="00A428C3">
        <w:t>Keywords: Sphagnum Moss Peat, Aqueous-Solution, Miscanthus-Sinensis, Heavy-Metals, Arundo-Donax, Marine-Algae, Biosorption, Removal, Adsorption, Biomass</w:t>
      </w:r>
    </w:p>
    <w:p w:rsidR="00B95188" w:rsidRPr="00A428C3" w:rsidRDefault="00B95188" w:rsidP="00B95188">
      <w:pPr>
        <w:pStyle w:val="a0"/>
      </w:pPr>
      <w:r w:rsidRPr="00A428C3">
        <w:t>Mohan, D., Singh, K.P., Singh, G.</w:t>
      </w:r>
      <w:r w:rsidR="00F81221">
        <w:t xml:space="preserve"> and </w:t>
      </w:r>
      <w:r w:rsidRPr="00A428C3">
        <w:t xml:space="preserve">Kumar, K. (2002), </w:t>
      </w:r>
      <w:r w:rsidRPr="00A428C3">
        <w:rPr>
          <w:szCs w:val="36"/>
        </w:rPr>
        <w:t>Removal of dyes from wastewater using flyash, a low-cost adsorbent</w:t>
      </w:r>
      <w:r w:rsidRPr="00A428C3">
        <w:t xml:space="preserve">. </w:t>
      </w:r>
      <w:r w:rsidRPr="00A428C3">
        <w:rPr>
          <w:i/>
        </w:rPr>
        <w:t>Industrial &amp; Engineering Chemistry Research</w:t>
      </w:r>
      <w:r w:rsidRPr="00A428C3">
        <w:t xml:space="preserve">, </w:t>
      </w:r>
      <w:r w:rsidRPr="00A428C3">
        <w:rPr>
          <w:b/>
        </w:rPr>
        <w:t>41</w:t>
      </w:r>
      <w:r w:rsidRPr="00A428C3">
        <w:t xml:space="preserve"> (15), 3688-3695.</w:t>
      </w:r>
    </w:p>
    <w:p w:rsidR="00B95188" w:rsidRPr="00A428C3" w:rsidRDefault="00B95188" w:rsidP="00B95188">
      <w:pPr>
        <w:pStyle w:val="a0"/>
      </w:pPr>
      <w:r w:rsidRPr="00A428C3">
        <w:t xml:space="preserve">Full Text: </w:t>
      </w:r>
      <w:hyperlink r:id="rId1182" w:history="1">
        <w:r w:rsidRPr="00A428C3">
          <w:rPr>
            <w:rStyle w:val="a5"/>
          </w:rPr>
          <w:t>I\Ind Eng Che Res41, 3688.pdf</w:t>
        </w:r>
      </w:hyperlink>
    </w:p>
    <w:p w:rsidR="00B95188" w:rsidRPr="00A428C3" w:rsidRDefault="00B95188" w:rsidP="00B95188">
      <w:pPr>
        <w:pStyle w:val="a0"/>
      </w:pPr>
      <w:r w:rsidRPr="00A428C3">
        <w:t>Abstract: The use of low-cost adsorbent has been investigated as a replacement for the current expensive methods of removing dyes from wastewater. As such, fly ash generated in National Thermal Power plant was collected</w:t>
      </w:r>
      <w:r w:rsidR="00F81221">
        <w:t xml:space="preserve"> and </w:t>
      </w:r>
      <w:r w:rsidRPr="00A428C3">
        <w:t>converted into a low-cost adsorbent. The prepared adsorbent was characterized</w:t>
      </w:r>
      <w:r w:rsidR="00F81221">
        <w:t xml:space="preserve"> and </w:t>
      </w:r>
      <w:r w:rsidRPr="00A428C3">
        <w:t>used for the removal of dyes from wastewater. Adsorption studies were carried out for different temperatures, particle sizes, pH</w:t>
      </w:r>
      <w:r w:rsidR="000352E7">
        <w:t>’</w:t>
      </w:r>
      <w:r w:rsidRPr="00A428C3">
        <w:t>s,</w:t>
      </w:r>
      <w:r w:rsidR="00F81221">
        <w:t xml:space="preserve"> and </w:t>
      </w:r>
      <w:r w:rsidRPr="00A428C3">
        <w:t>adsorbent doses. The adsorption of each dye was found to increase with increasing temperature, thereby indicating that the process is endothermic in nature. The removal of each dye was found to be inversely proportional to the size of the fly ash particles, as expected. Both the linear</w:t>
      </w:r>
      <w:r w:rsidR="00F81221">
        <w:t xml:space="preserve"> and </w:t>
      </w:r>
      <w:r w:rsidRPr="00A428C3">
        <w:t>nonlinear forms of the Langmuir</w:t>
      </w:r>
      <w:r w:rsidR="00F81221">
        <w:t xml:space="preserve"> and </w:t>
      </w:r>
      <w:r w:rsidRPr="00A428C3">
        <w:t>Freundlich models fitted the adsorption data. The results indicate that the Freundlich adsorption isotherm fitted the data better than the Langmuir adsorption isotherm. Further, the data were better correlated with the nonlinear than the linear form of this equation. Thermodynamic parameters such as the free energies, enthalpies,</w:t>
      </w:r>
      <w:r w:rsidR="00F81221">
        <w:t xml:space="preserve"> and </w:t>
      </w:r>
      <w:r w:rsidRPr="00A428C3">
        <w:t>entropies of adsorption of the dye-fly ash systems were also evaluated. The negative values of free energy indicate the feasibility</w:t>
      </w:r>
      <w:r w:rsidR="00F81221">
        <w:t xml:space="preserve"> and </w:t>
      </w:r>
      <w:r w:rsidRPr="00A428C3">
        <w:t>spontaneous nature of the process,</w:t>
      </w:r>
      <w:r w:rsidR="00F81221">
        <w:t xml:space="preserve"> and </w:t>
      </w:r>
      <w:r w:rsidRPr="00A428C3">
        <w:t>the positive heats of enthalpy suggest the endothermic nature of the process. The adsorptions of crystal violet</w:t>
      </w:r>
      <w:r w:rsidR="00F81221">
        <w:t xml:space="preserve"> and </w:t>
      </w:r>
      <w:r w:rsidRPr="00A428C3">
        <w:t>basic fuschin follow first-order rate kinetics. In comparison to other low-cost adsorbents, the sorption capacity of the material under investigation is found to be comparable to that of other commercially available adsorbents used for the removal of cationic dyes from wastewater.</w:t>
      </w:r>
    </w:p>
    <w:p w:rsidR="00B95188" w:rsidRPr="00A428C3" w:rsidRDefault="00B95188" w:rsidP="00B95188">
      <w:pPr>
        <w:pStyle w:val="a0"/>
      </w:pPr>
      <w:r w:rsidRPr="00A428C3">
        <w:t>Krishnan, K.A.</w:t>
      </w:r>
      <w:r w:rsidR="00F81221">
        <w:t xml:space="preserve"> and </w:t>
      </w:r>
      <w:r w:rsidRPr="00A428C3">
        <w:t xml:space="preserve">Anirudhan, T.S. (2002), Uptake of heavy metals in batch systems by sulfurized steam activated carbon prepared from sugarcane bagasse pith. </w:t>
      </w:r>
      <w:r w:rsidRPr="00A428C3">
        <w:rPr>
          <w:i/>
        </w:rPr>
        <w:t>Industrial &amp; Engineering Chemistry Research</w:t>
      </w:r>
      <w:r w:rsidRPr="00A428C3">
        <w:t xml:space="preserve">, </w:t>
      </w:r>
      <w:r w:rsidRPr="00A428C3">
        <w:rPr>
          <w:b/>
        </w:rPr>
        <w:t>41</w:t>
      </w:r>
      <w:r w:rsidRPr="00A428C3">
        <w:t xml:space="preserve"> (20), 5085-5093.</w:t>
      </w:r>
    </w:p>
    <w:p w:rsidR="00B95188" w:rsidRPr="00A428C3" w:rsidRDefault="00B95188" w:rsidP="00B95188">
      <w:pPr>
        <w:pStyle w:val="a0"/>
      </w:pPr>
      <w:r w:rsidRPr="00A428C3">
        <w:t xml:space="preserve">Full Text: </w:t>
      </w:r>
      <w:hyperlink r:id="rId1183" w:history="1">
        <w:r w:rsidRPr="00A428C3">
          <w:rPr>
            <w:rStyle w:val="a5"/>
          </w:rPr>
          <w:t>I\Ind &amp; Eng Che Res41, 5085.pdf</w:t>
        </w:r>
      </w:hyperlink>
    </w:p>
    <w:p w:rsidR="00B95188" w:rsidRPr="00A428C3" w:rsidRDefault="00B95188" w:rsidP="00B95188">
      <w:pPr>
        <w:pStyle w:val="a0"/>
      </w:pPr>
      <w:r w:rsidRPr="00A428C3">
        <w:t>Abstract: In this work, sorption of Pb(II), Hg(II), Cd(II),</w:t>
      </w:r>
      <w:r w:rsidR="00F81221">
        <w:t xml:space="preserve"> and </w:t>
      </w:r>
      <w:r w:rsidRPr="00A428C3">
        <w:t xml:space="preserve">Co(II) on sulfurized steam </w:t>
      </w:r>
      <w:r w:rsidRPr="00A428C3">
        <w:lastRenderedPageBreak/>
        <w:t>activated carbon (SSAC) has been studied by using a batch technique. The SSAC has been prepared from sugarcane bagasse pith by single-step steam pyrolysis in the presence of SO</w:t>
      </w:r>
      <w:r w:rsidRPr="00A428C3">
        <w:rPr>
          <w:vertAlign w:val="subscript"/>
        </w:rPr>
        <w:t>2</w:t>
      </w:r>
      <w:r w:rsidR="00F81221">
        <w:t xml:space="preserve"> and </w:t>
      </w:r>
      <w:r w:rsidRPr="00A428C3">
        <w:t>H</w:t>
      </w:r>
      <w:r w:rsidRPr="00A428C3">
        <w:rPr>
          <w:vertAlign w:val="subscript"/>
        </w:rPr>
        <w:t>2</w:t>
      </w:r>
      <w:r w:rsidRPr="00A428C3">
        <w:t>S at 400 degreesC. The adsorption of metal ions on SSAC has been found to be time-, concentration-, pH-,</w:t>
      </w:r>
      <w:r w:rsidR="00F81221">
        <w:t xml:space="preserve"> and </w:t>
      </w:r>
      <w:r w:rsidRPr="00A428C3">
        <w:t>temperature-dependent. The kinetic data obtained at different temperatures have been analyzed using a pseudo-second-order equation. Kinetic</w:t>
      </w:r>
      <w:r w:rsidR="00F81221">
        <w:t xml:space="preserve"> and </w:t>
      </w:r>
      <w:r w:rsidRPr="00A428C3">
        <w:t>thermodynamic parameters have been determined based on the rate constants using Arrhenius</w:t>
      </w:r>
      <w:r w:rsidR="00F81221">
        <w:t xml:space="preserve"> and </w:t>
      </w:r>
      <w:r w:rsidRPr="00A428C3">
        <w:t>Eyring equations. The adsorption of heavy metal ions from aqueous solutions increased with increasing pH,</w:t>
      </w:r>
      <w:r w:rsidR="00F81221">
        <w:t xml:space="preserve"> and </w:t>
      </w:r>
      <w:r w:rsidRPr="00A428C3">
        <w:t>maximum removal [99.2% for Pb(II), 97.2% for Hg(II), 93.1% for Cd(II),</w:t>
      </w:r>
      <w:r w:rsidR="00F81221">
        <w:t xml:space="preserve"> and </w:t>
      </w:r>
      <w:r w:rsidRPr="00A428C3">
        <w:t>81.9% for Co(II)] was observed in the pH range of 4.0-8.0 with an initial concentration of 100 mg/L. The selectivity order of the adsorbent is Pb(II) &gt; Hg(II) &gt; Cd(II) &gt; Co(II). The H-type adsorption isotherm obtained for the adsorbent indicated a favorable process. The applicability of the Langmuir</w:t>
      </w:r>
      <w:r w:rsidR="00F81221">
        <w:t xml:space="preserve"> and </w:t>
      </w:r>
      <w:r w:rsidRPr="00A428C3">
        <w:t>Freundlich adsorption isotherm models has been tested. The SSAC had maximum adsorption capacities (evaluated from fits of the Langmuir isotherm to batch adsorption data for a contact time of 4 h at 30 degreesC) for Pb(II), Hg(II), Cd(II),</w:t>
      </w:r>
      <w:r w:rsidR="00F81221">
        <w:t xml:space="preserve"> and </w:t>
      </w:r>
      <w:r w:rsidRPr="00A428C3">
        <w:t>Co(II) of 200.00, 188.68, 153.85,</w:t>
      </w:r>
      <w:r w:rsidR="00F81221">
        <w:t xml:space="preserve"> and </w:t>
      </w:r>
      <w:r w:rsidRPr="00A428C3">
        <w:t>128.70 mg/g, respectively. The competitive adsorption capacities of the SSAC for all metal ions were found to be lower than noncompetitive conditions. Heavy metal adsorption from synthetic wastewaters was also studied to demonstrate its efficiency in removing metals from wastewaters containing other cations</w:t>
      </w:r>
      <w:r w:rsidR="00F81221">
        <w:t xml:space="preserve"> and </w:t>
      </w:r>
      <w:r w:rsidRPr="00A428C3">
        <w:t>anions. Metal ions, which are bounded to the SSAC, could be stripped by acidic solutions (</w:t>
      </w:r>
      <w:smartTag w:uri="urn:schemas-microsoft-com:office:smarttags" w:element="chmetcnv">
        <w:smartTagPr>
          <w:attr w:name="TCSC" w:val="0"/>
          <w:attr w:name="NumberType" w:val="1"/>
          <w:attr w:name="Negative" w:val="False"/>
          <w:attr w:name="HasSpace" w:val="True"/>
          <w:attr w:name="SourceValue" w:val="0.2"/>
          <w:attr w:name="UnitName" w:val="m"/>
        </w:smartTagPr>
        <w:r w:rsidRPr="00A428C3">
          <w:t>0.2 M</w:t>
        </w:r>
      </w:smartTag>
      <w:r w:rsidRPr="00A428C3">
        <w:t xml:space="preserve"> HCl) so that SSAC can be recycled. Surface modification of activated carbon using steam pyrolysis in the presence of SO</w:t>
      </w:r>
      <w:r w:rsidRPr="00A428C3">
        <w:rPr>
          <w:vertAlign w:val="subscript"/>
        </w:rPr>
        <w:t>2</w:t>
      </w:r>
      <w:r w:rsidR="00F81221">
        <w:t xml:space="preserve"> and </w:t>
      </w:r>
      <w:r w:rsidRPr="00A428C3">
        <w:t>H</w:t>
      </w:r>
      <w:r w:rsidRPr="00A428C3">
        <w:rPr>
          <w:vertAlign w:val="subscript"/>
        </w:rPr>
        <w:t>2</w:t>
      </w:r>
      <w:r w:rsidRPr="00A428C3">
        <w:t>S greatly enhanced metal removal</w:t>
      </w:r>
      <w:r w:rsidR="00F81221">
        <w:t xml:space="preserve"> and </w:t>
      </w:r>
      <w:r w:rsidRPr="00A428C3">
        <w:t>resulted in a product with possible commercial potential for wastewater treatment.</w:t>
      </w:r>
    </w:p>
    <w:p w:rsidR="00B95188" w:rsidRPr="00A428C3" w:rsidRDefault="00B95188" w:rsidP="00B95188">
      <w:pPr>
        <w:pStyle w:val="a0"/>
      </w:pPr>
      <w:r w:rsidRPr="00A428C3">
        <w:t>Keywords: Aqueous-Solution, Waste-Water, Adsorption, Removal, Sorption, Lead, Ions, Pyrolysis, Kinetics, Cadmium</w:t>
      </w:r>
    </w:p>
    <w:p w:rsidR="00B95188" w:rsidRPr="00A428C3" w:rsidRDefault="00B95188" w:rsidP="00B95188">
      <w:pPr>
        <w:pStyle w:val="a0"/>
      </w:pPr>
      <w:r w:rsidRPr="00A428C3">
        <w:t>Shibi, I.G.</w:t>
      </w:r>
      <w:r w:rsidR="00F81221">
        <w:t xml:space="preserve"> and </w:t>
      </w:r>
      <w:r w:rsidRPr="00A428C3">
        <w:t>Anirudhan, T.S. (2002), Synthesis, characterization,</w:t>
      </w:r>
      <w:r w:rsidR="00F81221">
        <w:t xml:space="preserve"> and </w:t>
      </w:r>
      <w:r w:rsidRPr="00A428C3">
        <w:t>application as a mercury(II) sorbent of banana stalk (</w:t>
      </w:r>
      <w:r w:rsidRPr="00A428C3">
        <w:rPr>
          <w:i/>
          <w:iCs/>
        </w:rPr>
        <w:t>Musa paradisiaca</w:t>
      </w:r>
      <w:r w:rsidRPr="00A428C3">
        <w:t xml:space="preserve">): Polyacrylamide grafted copolymer bearing carboxyl groups. </w:t>
      </w:r>
      <w:r w:rsidRPr="00A428C3">
        <w:rPr>
          <w:i/>
        </w:rPr>
        <w:t>Industrial &amp; Engineering Chemistry Research</w:t>
      </w:r>
      <w:r w:rsidRPr="00A428C3">
        <w:t xml:space="preserve">, </w:t>
      </w:r>
      <w:r w:rsidRPr="00A428C3">
        <w:rPr>
          <w:b/>
        </w:rPr>
        <w:t>41</w:t>
      </w:r>
      <w:r w:rsidRPr="00A428C3">
        <w:t xml:space="preserve"> (22), 5341-5352.</w:t>
      </w:r>
    </w:p>
    <w:p w:rsidR="00B95188" w:rsidRPr="00A428C3" w:rsidRDefault="00B95188" w:rsidP="00B95188">
      <w:pPr>
        <w:pStyle w:val="a0"/>
      </w:pPr>
      <w:r w:rsidRPr="00A428C3">
        <w:t xml:space="preserve">Full Text: </w:t>
      </w:r>
      <w:hyperlink r:id="rId1184" w:history="1">
        <w:r w:rsidRPr="00A428C3">
          <w:rPr>
            <w:rStyle w:val="a5"/>
          </w:rPr>
          <w:t>I\Ind &amp; Eng Che Res41, 5341.pdf</w:t>
        </w:r>
      </w:hyperlink>
    </w:p>
    <w:p w:rsidR="00B95188" w:rsidRPr="00A428C3" w:rsidRDefault="00B95188" w:rsidP="00B95188">
      <w:pPr>
        <w:pStyle w:val="a0"/>
      </w:pPr>
      <w:r w:rsidRPr="00A428C3">
        <w:t>Abstract: Acrylamide was graft polymerized onto banana stalk, BS (Musa paradisiaca), using the ferrous ammonium sulfate/H</w:t>
      </w:r>
      <w:r w:rsidRPr="00A428C3">
        <w:rPr>
          <w:vertAlign w:val="subscript"/>
        </w:rPr>
        <w:t>2</w:t>
      </w:r>
      <w:r w:rsidRPr="00A428C3">
        <w:t>O</w:t>
      </w:r>
      <w:r w:rsidRPr="00A428C3">
        <w:rPr>
          <w:vertAlign w:val="subscript"/>
        </w:rPr>
        <w:t>2</w:t>
      </w:r>
      <w:r w:rsidRPr="00A428C3">
        <w:t xml:space="preserve"> redox initiator system in an aqueous medium. The effects of reaction variables such as time, temperature,</w:t>
      </w:r>
      <w:r w:rsidR="00F81221">
        <w:t xml:space="preserve"> and </w:t>
      </w:r>
      <w:r w:rsidRPr="00A428C3">
        <w:t>monomer</w:t>
      </w:r>
      <w:r w:rsidR="00F81221">
        <w:t xml:space="preserve"> and </w:t>
      </w:r>
      <w:r w:rsidRPr="00A428C3">
        <w:t>initiator concentrations on the percentage grafting were studied. A new adsorbent carrying a carboxylate functional. group at the, chain end was synthesized by surface modification of polyacrylamide-grafted BS (PGBS-COOH). Infrared. spectroscopy</w:t>
      </w:r>
      <w:r w:rsidR="00F81221">
        <w:t xml:space="preserve"> and </w:t>
      </w:r>
      <w:r w:rsidRPr="00A428C3">
        <w:t>acid-base titration were used to confirm graft copolymer formation</w:t>
      </w:r>
      <w:r w:rsidR="00F81221">
        <w:t xml:space="preserve"> </w:t>
      </w:r>
      <w:r w:rsidR="00F81221">
        <w:lastRenderedPageBreak/>
        <w:t xml:space="preserve">and </w:t>
      </w:r>
      <w:r w:rsidRPr="00A428C3">
        <w:t>carboxylate functionalization. X-ray diffraction</w:t>
      </w:r>
      <w:r w:rsidR="00F81221">
        <w:t xml:space="preserve"> and </w:t>
      </w:r>
      <w:r w:rsidRPr="00A428C3">
        <w:t>SEM studies were carried out to investigate the crystallinity</w:t>
      </w:r>
      <w:r w:rsidR="00F81221">
        <w:t xml:space="preserve"> and </w:t>
      </w:r>
      <w:r w:rsidRPr="00A428C3">
        <w:t>morphology of the adsorbents. XRD studies indicated that the grafting of polyacrylamide resulted in a consequent decrease in crystallinity. SEM studies of PGBS-COOH clearly indicated that polyacrylamide grafts deposited more on the surface of the unit cell than in the intercellular gaps. A probable mechanism for graft copolymerization</w:t>
      </w:r>
      <w:r w:rsidR="00F81221">
        <w:t xml:space="preserve"> and </w:t>
      </w:r>
      <w:r w:rsidRPr="00A428C3">
        <w:t>surface functionalization is also suggested. The use of this adsorbent material for the removal of Hg(II) from water</w:t>
      </w:r>
      <w:r w:rsidR="00F81221">
        <w:t xml:space="preserve"> and </w:t>
      </w:r>
      <w:r w:rsidRPr="00A428C3">
        <w:t>wastewater was investigated using the batch adsorption technique. The adsorption of Hg(II) on the adsorbent was found to be pH-, time-, concentration-,</w:t>
      </w:r>
      <w:r w:rsidR="00F81221">
        <w:t xml:space="preserve"> and </w:t>
      </w:r>
      <w:r w:rsidRPr="00A428C3">
        <w:t>temperature-dependent. The optimum pH range for the process was found to be 6.0-9.0. Maximum removals of 99.3</w:t>
      </w:r>
      <w:r w:rsidR="00F81221">
        <w:t xml:space="preserve"> and </w:t>
      </w:r>
      <w:r w:rsidRPr="00A428C3">
        <w:t>84.1% were observed at Hg(II) concentrations of 50</w:t>
      </w:r>
      <w:r w:rsidR="00F81221">
        <w:t xml:space="preserve"> and </w:t>
      </w:r>
      <w:r w:rsidRPr="00A428C3">
        <w:t>100 mg/L, respectively, in this pH range. Removal of Hg(II) is adversely affected by increasing initial Hg(II) concentration. The adsorption process follows pseudo-second-order kinetics. Kinetic parameters as functions of initial concentration.</w:t>
      </w:r>
      <w:r w:rsidR="00F81221">
        <w:t xml:space="preserve"> and </w:t>
      </w:r>
      <w:r w:rsidRPr="00A428C3">
        <w:t>temperature were, calculated. Hg(H) adsorption was found to decrease with increasing ionic strength. The L-type adsorption isotherm obtained for the adsorbent indicated a favorable process</w:t>
      </w:r>
      <w:r w:rsidR="00F81221">
        <w:t xml:space="preserve"> and </w:t>
      </w:r>
      <w:r w:rsidRPr="00A428C3">
        <w:t>fitted the Langmuir isotherm model well. The adsorption capacity for Hg(II), calculated using the Langmuir isotherm equation was 137.89 mg/g at 30 degreesC, which increased to 210.50 mg/g at 60 degreesC. Thermodynamic parameters such as the changes in free energy, enthalpy,</w:t>
      </w:r>
      <w:r w:rsidR="00F81221">
        <w:t xml:space="preserve"> and </w:t>
      </w:r>
      <w:r w:rsidRPr="00A428C3">
        <w:t>entropy were calculated to predict the nature of adsorption. The isosteric heat of adsorption was found to be 49.89±1.31 kJ/mol</w:t>
      </w:r>
      <w:r w:rsidR="00F81221">
        <w:t xml:space="preserve"> and </w:t>
      </w:r>
      <w:r w:rsidRPr="00A428C3">
        <w:t>was independent of surface coverage. Chlor-alkali industrial wastewater samples were treated with this adsorbent to demonstrate its efficiency in removing Hg(II) from industrial wastewater. Recovery, of Hg(II) after adsorption</w:t>
      </w:r>
      <w:r w:rsidR="00F81221">
        <w:t xml:space="preserve"> and </w:t>
      </w:r>
      <w:r w:rsidRPr="00A428C3">
        <w:t xml:space="preserve">regeneration of the adsorbent for several cycles can be carried out by treatment of the loaded adsorbent with </w:t>
      </w:r>
      <w:smartTag w:uri="urn:schemas-microsoft-com:office:smarttags" w:element="chmetcnv">
        <w:smartTagPr>
          <w:attr w:name="TCSC" w:val="0"/>
          <w:attr w:name="NumberType" w:val="1"/>
          <w:attr w:name="Negative" w:val="False"/>
          <w:attr w:name="HasSpace" w:val="True"/>
          <w:attr w:name="SourceValue" w:val="0.2"/>
          <w:attr w:name="UnitName" w:val="m"/>
        </w:smartTagPr>
        <w:r w:rsidRPr="00A428C3">
          <w:t>0.2 M</w:t>
        </w:r>
      </w:smartTag>
      <w:r w:rsidRPr="00A428C3">
        <w:t xml:space="preserve"> HCl.</w:t>
      </w:r>
    </w:p>
    <w:p w:rsidR="00B95188" w:rsidRPr="00A428C3" w:rsidRDefault="00B95188" w:rsidP="00B95188">
      <w:pPr>
        <w:pStyle w:val="a0"/>
      </w:pPr>
      <w:r w:rsidRPr="00A428C3">
        <w:t>Keywords: Modified Coconut Coir, Aqueous-Solution, Methyl-Methacrylate, Ion-Exchange, Heavy-Metals, Waste-Water, Fly-Ash, Adsorption, Removal, Kinetics</w:t>
      </w:r>
    </w:p>
    <w:p w:rsidR="00B95188" w:rsidRPr="00A428C3" w:rsidRDefault="00B95188" w:rsidP="00B95188">
      <w:pPr>
        <w:pStyle w:val="a0"/>
      </w:pPr>
      <w:r w:rsidRPr="00A428C3">
        <w:t>Calace, N., Di Muro, A., Nardi, E., Petronio, B.M.</w:t>
      </w:r>
      <w:r w:rsidR="00F81221">
        <w:t xml:space="preserve"> and </w:t>
      </w:r>
      <w:r w:rsidRPr="00A428C3">
        <w:t xml:space="preserve">Pietroletti, M. (2002), </w:t>
      </w:r>
      <w:r w:rsidRPr="00A428C3">
        <w:rPr>
          <w:szCs w:val="36"/>
        </w:rPr>
        <w:t>Adsorption isotherms for describing heavy-metal retention in paper mill sludges</w:t>
      </w:r>
      <w:r w:rsidRPr="00A428C3">
        <w:t xml:space="preserve">. </w:t>
      </w:r>
      <w:r w:rsidRPr="00A428C3">
        <w:rPr>
          <w:i/>
        </w:rPr>
        <w:t>Industrial &amp; Engineering Chemistry Research</w:t>
      </w:r>
      <w:r w:rsidRPr="00A428C3">
        <w:t xml:space="preserve">, </w:t>
      </w:r>
      <w:r w:rsidRPr="00A428C3">
        <w:rPr>
          <w:b/>
        </w:rPr>
        <w:t>41</w:t>
      </w:r>
      <w:r w:rsidRPr="00A428C3">
        <w:t xml:space="preserve"> (22), 5491-5497.</w:t>
      </w:r>
    </w:p>
    <w:p w:rsidR="00B95188" w:rsidRPr="00A428C3" w:rsidRDefault="00B95188" w:rsidP="00B95188">
      <w:pPr>
        <w:pStyle w:val="a0"/>
      </w:pPr>
      <w:r w:rsidRPr="00A428C3">
        <w:t xml:space="preserve">Full Text: </w:t>
      </w:r>
      <w:hyperlink r:id="rId1185" w:history="1">
        <w:r w:rsidRPr="00A428C3">
          <w:rPr>
            <w:rStyle w:val="a5"/>
          </w:rPr>
          <w:t>I\Ind &amp; Eng Che Res41, 5491.pdf</w:t>
        </w:r>
      </w:hyperlink>
    </w:p>
    <w:p w:rsidR="00B95188" w:rsidRPr="00A428C3" w:rsidRDefault="00B95188" w:rsidP="00B95188">
      <w:pPr>
        <w:pStyle w:val="a0"/>
      </w:pPr>
      <w:r w:rsidRPr="00A428C3">
        <w:t>Abstract: In this work the adsorption characteristics of paper mill sludge are evaluated for the purpose of removing metal ions from polluted waters. The Ag(I), Cd(II), Cu(II), Pb(II),</w:t>
      </w:r>
      <w:r w:rsidR="00F81221">
        <w:t xml:space="preserve"> and </w:t>
      </w:r>
      <w:r w:rsidRPr="00A428C3">
        <w:t>Cr(VI) (as chromate ion) adsorption mechanism on the sludge is studied by adsorption isotherms in batch conditions, after paper mill sludge characterization. The effect of several parameters (ionic charge of metals, pH,</w:t>
      </w:r>
      <w:r w:rsidR="00F81221">
        <w:t xml:space="preserve"> and </w:t>
      </w:r>
      <w:r w:rsidRPr="00A428C3">
        <w:lastRenderedPageBreak/>
        <w:t>ionic strength of metal solutions)</w:t>
      </w:r>
      <w:r w:rsidR="00F81221">
        <w:t xml:space="preserve"> and </w:t>
      </w:r>
      <w:r w:rsidRPr="00A428C3">
        <w:t>the competition between different metals are also considered. For Ag(I), Cd(II), Cu(II), Pb(II),</w:t>
      </w:r>
      <w:r w:rsidR="00F81221">
        <w:t xml:space="preserve"> and </w:t>
      </w:r>
      <w:r w:rsidRPr="00A428C3">
        <w:t>Cr(VI), the thermodynamic curves fit the Langmuir model best, whereas experimental data for Cu(II) fit the Freundlich model best. The nature of ionic charges influences the sorption process: cations are sorbed much more than chromate ion,</w:t>
      </w:r>
      <w:r w:rsidR="00F81221">
        <w:t xml:space="preserve"> and </w:t>
      </w:r>
      <w:r w:rsidRPr="00A428C3">
        <w:t xml:space="preserve">the affinity series for cations is Cu(II) &gt; Pb(II) &gt; Cd(II) </w:t>
      </w:r>
      <w:r w:rsidRPr="00A428C3">
        <w:sym w:font="Symbol" w:char="F040"/>
      </w:r>
      <w:r w:rsidRPr="00A428C3">
        <w:t xml:space="preserve"> Ag(I). The maximum amount of sorbed metal (</w:t>
      </w:r>
      <w:r w:rsidRPr="00A428C3">
        <w:rPr>
          <w:i/>
          <w:iCs/>
        </w:rPr>
        <w:t>q</w:t>
      </w:r>
      <w:r w:rsidRPr="00A428C3">
        <w:rPr>
          <w:vertAlign w:val="subscript"/>
        </w:rPr>
        <w:t>max</w:t>
      </w:r>
      <w:r w:rsidRPr="00A428C3">
        <w:t>) value is significantly influenced both by the liquid/solid ratio</w:t>
      </w:r>
      <w:r w:rsidR="00F81221">
        <w:t xml:space="preserve"> and </w:t>
      </w:r>
      <w:r w:rsidRPr="00A428C3">
        <w:t>by the pH values of metal solutions.</w:t>
      </w:r>
    </w:p>
    <w:p w:rsidR="00B95188" w:rsidRPr="00A428C3" w:rsidRDefault="00B95188" w:rsidP="00B95188">
      <w:pPr>
        <w:pStyle w:val="a0"/>
      </w:pPr>
      <w:r w:rsidRPr="00A428C3">
        <w:t>Cordero, T., Rodriguez-Mirasol, J., Tancredi, N., Piriz, J., Vivo, G.</w:t>
      </w:r>
      <w:r w:rsidR="00F81221">
        <w:t xml:space="preserve"> and </w:t>
      </w:r>
      <w:r w:rsidRPr="00A428C3">
        <w:t>Rodriguez, J.J. (2002), Influence of surface composition</w:t>
      </w:r>
      <w:r w:rsidR="00F81221">
        <w:t xml:space="preserve"> and </w:t>
      </w:r>
      <w:r w:rsidRPr="00A428C3">
        <w:t xml:space="preserve">pore structure on Cr(III) adsorption onto activated carbons. </w:t>
      </w:r>
      <w:r w:rsidRPr="00A428C3">
        <w:rPr>
          <w:i/>
          <w:iCs/>
        </w:rPr>
        <w:t>Industrial &amp; Engineering Chemistry Research</w:t>
      </w:r>
      <w:r w:rsidRPr="00A428C3">
        <w:t xml:space="preserve">, </w:t>
      </w:r>
      <w:r w:rsidRPr="00A428C3">
        <w:rPr>
          <w:b/>
        </w:rPr>
        <w:t>41</w:t>
      </w:r>
      <w:r w:rsidRPr="00A428C3">
        <w:t xml:space="preserve"> (24), 6042-6048.</w:t>
      </w:r>
    </w:p>
    <w:p w:rsidR="00B95188" w:rsidRPr="00A428C3" w:rsidRDefault="00B95188" w:rsidP="00B95188">
      <w:pPr>
        <w:pStyle w:val="a0"/>
      </w:pPr>
      <w:r w:rsidRPr="00A428C3">
        <w:t xml:space="preserve">Full Text: </w:t>
      </w:r>
      <w:hyperlink r:id="rId1186" w:history="1">
        <w:r w:rsidRPr="00A428C3">
          <w:rPr>
            <w:rStyle w:val="a5"/>
          </w:rPr>
          <w:t>I\Ind &amp; Eng Che Res41, 6042.pdf</w:t>
        </w:r>
      </w:hyperlink>
    </w:p>
    <w:p w:rsidR="00B95188" w:rsidRPr="00A428C3" w:rsidRDefault="00B95188" w:rsidP="00B95188">
      <w:pPr>
        <w:pStyle w:val="a0"/>
      </w:pPr>
      <w:r w:rsidRPr="00A428C3">
        <w:t>Abstract: The adsorption of chromium(III) ions from aqueous solutions onto activated carbons prepared from air</w:t>
      </w:r>
      <w:r w:rsidR="00F81221">
        <w:t xml:space="preserve"> and </w:t>
      </w:r>
      <w:r w:rsidRPr="00A428C3">
        <w:t>CO</w:t>
      </w:r>
      <w:r w:rsidRPr="00A428C3">
        <w:rPr>
          <w:vertAlign w:val="subscript"/>
        </w:rPr>
        <w:t>2</w:t>
      </w:r>
      <w:r w:rsidRPr="00A428C3">
        <w:t xml:space="preserve"> activation of Eucalyptus sawdust is studied. HNO</w:t>
      </w:r>
      <w:r w:rsidRPr="00A428C3">
        <w:rPr>
          <w:vertAlign w:val="subscript"/>
        </w:rPr>
        <w:t>3</w:t>
      </w:r>
      <w:r w:rsidRPr="00A428C3">
        <w:t xml:space="preserve"> oxidation of these carbons greatly enhances their ability to retain Cr(III) mainly because of a significant increase of the concentration of carbon-oxygen surface groups. To characterize these surface groups, X-ray photoelectron spectroscopy</w:t>
      </w:r>
      <w:r w:rsidR="00F81221">
        <w:t xml:space="preserve"> and </w:t>
      </w:r>
      <w:r w:rsidRPr="00A428C3">
        <w:t>temperature-programmed desorption (TPD) were used, The influence of these carbon- oxygen surface groups on chromium adsorption is examined. Upon addition of acidic groups, some other functions of nonacidic character evolving as CO upon TPD Seem to contribute to Cr(III) uptake. Modifications of the porous structure upon oxidation</w:t>
      </w:r>
      <w:r w:rsidR="00F81221">
        <w:t xml:space="preserve"> and </w:t>
      </w:r>
      <w:r w:rsidRPr="00A428C3">
        <w:t>chromium adsorption are investigated. Adsorption into the micropores appears to take place to a significant extent although oxidation of the active carbons leads to a narrowing of the average micropore widths</w:t>
      </w:r>
    </w:p>
    <w:p w:rsidR="00B95188" w:rsidRPr="00A428C3" w:rsidRDefault="00B95188" w:rsidP="00B95188">
      <w:pPr>
        <w:pStyle w:val="a0"/>
      </w:pPr>
      <w:r w:rsidRPr="00A428C3">
        <w:t>Keywords: Activated Carbons, Adsorption, Aqueous-Solutions, Chemistry, Chromium, Eucalyptus Wood, Fibers, Gasification, Oxygen Complexes, Pyrolysis, Removal, Sawdust, Temperature</w:t>
      </w:r>
    </w:p>
    <w:p w:rsidR="00B95188" w:rsidRPr="00A428C3" w:rsidRDefault="00B95188" w:rsidP="00B95188">
      <w:pPr>
        <w:pStyle w:val="a0"/>
      </w:pPr>
      <w:r w:rsidRPr="00A428C3">
        <w:t>Zouboulis, A.I.</w:t>
      </w:r>
      <w:r w:rsidR="00F81221">
        <w:t xml:space="preserve"> and </w:t>
      </w:r>
      <w:r w:rsidRPr="00A428C3">
        <w:t xml:space="preserve">Katsoyiannis, I.A. (2002), Arsenic removal using iron oxide loaded alginate beads. </w:t>
      </w:r>
      <w:r w:rsidRPr="00A428C3">
        <w:rPr>
          <w:i/>
        </w:rPr>
        <w:t>Industrial &amp; Engineering Chemistry Research</w:t>
      </w:r>
      <w:r w:rsidRPr="00A428C3">
        <w:t xml:space="preserve">, </w:t>
      </w:r>
      <w:r w:rsidRPr="00A428C3">
        <w:rPr>
          <w:b/>
        </w:rPr>
        <w:t>41</w:t>
      </w:r>
      <w:r w:rsidRPr="00A428C3">
        <w:t xml:space="preserve"> (24), 6149-6155.</w:t>
      </w:r>
    </w:p>
    <w:p w:rsidR="00B95188" w:rsidRPr="00A428C3" w:rsidRDefault="00B95188" w:rsidP="00B95188">
      <w:pPr>
        <w:pStyle w:val="a0"/>
      </w:pPr>
      <w:r w:rsidRPr="00A428C3">
        <w:t xml:space="preserve">Full Text: </w:t>
      </w:r>
      <w:hyperlink r:id="rId1187" w:history="1">
        <w:r w:rsidRPr="00A428C3">
          <w:rPr>
            <w:rStyle w:val="a5"/>
          </w:rPr>
          <w:t>I\Ind &amp; Eng Che Res41, 6149.pdf</w:t>
        </w:r>
      </w:hyperlink>
    </w:p>
    <w:p w:rsidR="00B95188" w:rsidRPr="00A428C3" w:rsidRDefault="00B95188" w:rsidP="00B95188">
      <w:pPr>
        <w:pStyle w:val="a0"/>
      </w:pPr>
      <w:r w:rsidRPr="00A428C3">
        <w:t>Abstract: The application of biopolymers (alginate), as sorbent supports, for the removal of arsenic from contaminated water has been investigated in the present study. Calcium alginate beads were placed in a column to form a fixed bed</w:t>
      </w:r>
      <w:r w:rsidR="00F81221">
        <w:t xml:space="preserve"> and </w:t>
      </w:r>
      <w:r w:rsidRPr="00A428C3">
        <w:t>treated (doped/coated) with hydrous ferric oxides. Three different types of modified alginate beads were examined for the removal of arsenic; the most efficient type was found to be doped with alginate</w:t>
      </w:r>
      <w:r w:rsidR="00F81221">
        <w:t xml:space="preserve"> and </w:t>
      </w:r>
      <w:r w:rsidRPr="00A428C3">
        <w:t xml:space="preserve">subsequently coated with iron oxides, whereas the other two types were calcium alginate beads doped or coated with iron oxides. The total </w:t>
      </w:r>
      <w:r w:rsidRPr="00A428C3">
        <w:lastRenderedPageBreak/>
        <w:t xml:space="preserve">amount of iron loaded on this material was found to be 3.9 mg of Fe/g of wet alginate bead. Approximately 230 bed volumes of a </w:t>
      </w:r>
      <w:smartTag w:uri="urn:schemas-microsoft-com:office:smarttags" w:element="chmetcnv">
        <w:smartTagPr>
          <w:attr w:name="TCSC" w:val="0"/>
          <w:attr w:name="NumberType" w:val="1"/>
          <w:attr w:name="Negative" w:val="False"/>
          <w:attr w:name="HasSpace" w:val="False"/>
          <w:attr w:name="SourceValue" w:val="50"/>
          <w:attr w:name="UnitName" w:val="g"/>
        </w:smartTagPr>
        <w:r w:rsidRPr="00A428C3">
          <w:t xml:space="preserve">50 </w:t>
        </w:r>
      </w:smartTag>
      <w:r w:rsidRPr="00A428C3">
        <w:sym w:font="Symbol" w:char="F06D"/>
      </w:r>
      <w:r w:rsidRPr="00A428C3">
        <w:t>g/L As(V) solution were treated before the breakthrough point was reached, whereas the removal of As(III) was not as efficient, reaching the breakthrough point after the treatment of only 45 bed volumes. The results were modeled using the bed depth service time</w:t>
      </w:r>
      <w:r w:rsidR="00F81221">
        <w:t xml:space="preserve"> and </w:t>
      </w:r>
      <w:r w:rsidRPr="00A428C3">
        <w:t>empty bed residence time models.</w:t>
      </w:r>
    </w:p>
    <w:p w:rsidR="00B95188" w:rsidRPr="00A428C3" w:rsidRDefault="00B95188" w:rsidP="00B95188">
      <w:pPr>
        <w:pStyle w:val="a0"/>
      </w:pPr>
      <w:r w:rsidRPr="00A428C3">
        <w:t>Keywords: Drinking-Water, Coated Sand, Adsorption, Oxidation, Sorption, As(III), Metals, Gels</w:t>
      </w:r>
    </w:p>
    <w:p w:rsidR="00B95188" w:rsidRPr="00A428C3" w:rsidRDefault="00B95188" w:rsidP="00B95188">
      <w:pPr>
        <w:pStyle w:val="a0"/>
      </w:pPr>
      <w:r w:rsidRPr="00A428C3">
        <w:t>Economy, J., Dominguez, L.</w:t>
      </w:r>
      <w:r w:rsidR="00F81221">
        <w:t xml:space="preserve"> and </w:t>
      </w:r>
      <w:r w:rsidRPr="00A428C3">
        <w:t xml:space="preserve">Mangun, C.L. (2002), Polymeric ion-exchange fibers. </w:t>
      </w:r>
      <w:r w:rsidRPr="00A428C3">
        <w:rPr>
          <w:i/>
          <w:iCs/>
        </w:rPr>
        <w:t>Industrial &amp; Engineering Chemistry Research</w:t>
      </w:r>
      <w:r w:rsidRPr="00A428C3">
        <w:t xml:space="preserve">, </w:t>
      </w:r>
      <w:r w:rsidRPr="00A428C3">
        <w:rPr>
          <w:b/>
        </w:rPr>
        <w:t>41</w:t>
      </w:r>
      <w:r w:rsidRPr="00A428C3">
        <w:t xml:space="preserve"> (25), 6436-6442.</w:t>
      </w:r>
    </w:p>
    <w:p w:rsidR="00B95188" w:rsidRPr="00A428C3" w:rsidRDefault="00B95188" w:rsidP="00B95188">
      <w:pPr>
        <w:pStyle w:val="a0"/>
      </w:pPr>
      <w:r w:rsidRPr="00A428C3">
        <w:t xml:space="preserve">Full Text: </w:t>
      </w:r>
      <w:hyperlink r:id="rId1188" w:history="1">
        <w:r w:rsidRPr="00A428C3">
          <w:rPr>
            <w:rStyle w:val="a5"/>
          </w:rPr>
          <w:t>I\Ind Eng Che Res41, 6436.pdf</w:t>
        </w:r>
      </w:hyperlink>
    </w:p>
    <w:p w:rsidR="00B95188" w:rsidRPr="00A428C3" w:rsidRDefault="00B95188" w:rsidP="00B95188">
      <w:pPr>
        <w:pStyle w:val="a0"/>
      </w:pPr>
      <w:r w:rsidRPr="00A428C3">
        <w:t>Abstract: This work explores the design of new ion-exchange materials in the form of fibers that yield a number of important advantages over conventional ion-exchange beads. In this approach, ion- exchange fibers are prepared by (1) coating low-cost glass fiber substrates with an appropriate oligomer, (2) cross- linking,</w:t>
      </w:r>
      <w:r w:rsidR="00F81221">
        <w:t xml:space="preserve"> and </w:t>
      </w:r>
      <w:r w:rsidRPr="00A428C3">
        <w:t>(3) functionalizing the coating to produce either anionic or cationic capability. As a result of the thin coatings, the use of solvents prior to both functionalization</w:t>
      </w:r>
      <w:r w:rsidR="00F81221">
        <w:t xml:space="preserve"> and </w:t>
      </w:r>
      <w:r w:rsidRPr="00A428C3">
        <w:t>preswelling of the finished product prior to end-use was eliminated, representing a significant simplification of current synthesis methods. Kinetic experiments showed that the contact efficiencies of these systems were greatly improved over the traditional beads because of the higher surface-to- volume ratio</w:t>
      </w:r>
      <w:r w:rsidR="00F81221">
        <w:t xml:space="preserve"> and </w:t>
      </w:r>
      <w:r w:rsidRPr="00A428C3">
        <w:t>shorter diffusion path lengths. This improvement translated into an order of magnitude increase in both ion-exchange</w:t>
      </w:r>
      <w:r w:rsidR="00F81221">
        <w:t xml:space="preserve"> and </w:t>
      </w:r>
      <w:r w:rsidRPr="00A428C3">
        <w:t>regeneration rates. Another advantage is the excellent resistance of the fibers to osmotic shock even after multiple regenerations. Finally, these systems were shown to remove heavy metal contaminants effectively to well below part per billion concentrations</w:t>
      </w:r>
    </w:p>
    <w:p w:rsidR="00B95188" w:rsidRPr="00A428C3" w:rsidRDefault="00B95188" w:rsidP="00B95188">
      <w:pPr>
        <w:pStyle w:val="a0"/>
      </w:pPr>
      <w:r w:rsidRPr="00A428C3">
        <w:t>Keywords: Activated Carbon-Fibers, Adsorption, Design, Heavy Metal</w:t>
      </w:r>
    </w:p>
    <w:p w:rsidR="00B95188" w:rsidRPr="00A428C3" w:rsidRDefault="00B95188" w:rsidP="00B95188">
      <w:pPr>
        <w:pStyle w:val="a0"/>
      </w:pPr>
      <w:r w:rsidRPr="00A428C3">
        <w:t>Jia, Y.</w:t>
      </w:r>
      <w:r w:rsidR="00F81221">
        <w:t xml:space="preserve"> and </w:t>
      </w:r>
      <w:r w:rsidRPr="00A428C3">
        <w:t>Demopoulos, G.P. (2003), Adsorption of silver onto activated carbon from acidic media: Nitrate</w:t>
      </w:r>
      <w:r w:rsidR="00F81221">
        <w:t xml:space="preserve"> and </w:t>
      </w:r>
      <w:r w:rsidRPr="00A428C3">
        <w:t xml:space="preserve">sulfate media. </w:t>
      </w:r>
      <w:r w:rsidRPr="00A428C3">
        <w:rPr>
          <w:i/>
        </w:rPr>
        <w:t>Industrial &amp; Engineering Chemistry Research</w:t>
      </w:r>
      <w:r w:rsidRPr="00A428C3">
        <w:t xml:space="preserve">, </w:t>
      </w:r>
      <w:r w:rsidRPr="00A428C3">
        <w:rPr>
          <w:b/>
        </w:rPr>
        <w:t>42</w:t>
      </w:r>
      <w:r w:rsidRPr="00A428C3">
        <w:t xml:space="preserve"> (1), 72-79.</w:t>
      </w:r>
    </w:p>
    <w:p w:rsidR="00B95188" w:rsidRPr="00A428C3" w:rsidRDefault="00B95188" w:rsidP="00B95188">
      <w:pPr>
        <w:pStyle w:val="a0"/>
      </w:pPr>
      <w:r w:rsidRPr="00A428C3">
        <w:t xml:space="preserve">Full Text: </w:t>
      </w:r>
      <w:hyperlink r:id="rId1189" w:history="1">
        <w:r w:rsidRPr="00A428C3">
          <w:rPr>
            <w:rStyle w:val="a5"/>
          </w:rPr>
          <w:t>I\Ind Eng Che Res42, 72.pdf</w:t>
        </w:r>
      </w:hyperlink>
    </w:p>
    <w:p w:rsidR="00B95188" w:rsidRPr="00A428C3" w:rsidRDefault="00B95188" w:rsidP="00B95188">
      <w:pPr>
        <w:pStyle w:val="a0"/>
      </w:pPr>
      <w:r w:rsidRPr="00A428C3">
        <w:t>Abstract: Adsorption of silver from acidic silver nitrate</w:t>
      </w:r>
      <w:r w:rsidR="00F81221">
        <w:t xml:space="preserve"> and </w:t>
      </w:r>
      <w:r w:rsidRPr="00A428C3">
        <w:t>sulfate media onto a peat-based activated carbon was studied. The effects of pH, temperature,</w:t>
      </w:r>
      <w:r w:rsidR="00F81221">
        <w:t xml:space="preserve"> and </w:t>
      </w:r>
      <w:r w:rsidRPr="00A428C3">
        <w:t>zinc nitrate</w:t>
      </w:r>
      <w:r w:rsidR="00F81221">
        <w:t xml:space="preserve"> and </w:t>
      </w:r>
      <w:r w:rsidRPr="00A428C3">
        <w:t>zinc sulfate addition on the adsorption kinetics</w:t>
      </w:r>
      <w:r w:rsidR="00F81221">
        <w:t xml:space="preserve"> and </w:t>
      </w:r>
      <w:r w:rsidRPr="00A428C3">
        <w:t>capacities were investigated. An XRD study showed that Ag(I) was reduced to Ag(0) on the carbon surface during the adsorption process. Low pH, high zinc salt concentration,</w:t>
      </w:r>
      <w:r w:rsidR="00F81221">
        <w:t xml:space="preserve"> and </w:t>
      </w:r>
      <w:r w:rsidRPr="00A428C3">
        <w:t xml:space="preserve">temperature are detrimental to the adsorption of silver. Second-order reactions were involved in the process of silver adsorption with respect to Ag(I). Hydroquinone-like surface oxygen functional groups were probably involved in the reduction reaction of </w:t>
      </w:r>
      <w:r w:rsidRPr="00A428C3">
        <w:lastRenderedPageBreak/>
        <w:t>Ag(I) ? Ag(0). The addition of butanol to the solution appreciably reduced the adsorption rate</w:t>
      </w:r>
      <w:r w:rsidR="00F81221">
        <w:t xml:space="preserve"> and </w:t>
      </w:r>
      <w:r w:rsidRPr="00A428C3">
        <w:t>capacity of silver on the activated carbon. This indicates that graphene layer surfaces might also be involved in the Ag(I) ? Ag(0) reaction because of the enrichment of &amp;pgr;-electrons on the basal planes.</w:t>
      </w:r>
    </w:p>
    <w:p w:rsidR="00B95188" w:rsidRPr="00A428C3" w:rsidRDefault="00B95188" w:rsidP="00B95188">
      <w:pPr>
        <w:pStyle w:val="a0"/>
      </w:pPr>
      <w:smartTag w:uri="urn:schemas-microsoft-com:office:smarttags" w:element="place">
        <w:smartTag w:uri="urn:schemas-microsoft-com:office:smarttags" w:element="country-region">
          <w:r w:rsidRPr="00A428C3">
            <w:t>Nam</w:t>
          </w:r>
        </w:smartTag>
      </w:smartTag>
      <w:r w:rsidRPr="00A428C3">
        <w:t>, K.H., Gomez-Salazar, S.</w:t>
      </w:r>
      <w:r w:rsidR="00F81221">
        <w:t xml:space="preserve"> and </w:t>
      </w:r>
      <w:r w:rsidRPr="00A428C3">
        <w:t xml:space="preserve">Tavlarides, L.L. (2003), </w:t>
      </w:r>
      <w:r w:rsidRPr="00A428C3">
        <w:rPr>
          <w:szCs w:val="36"/>
        </w:rPr>
        <w:t>Mercury(II) adsorption from wastewaters using a thiol functional adsorbent</w:t>
      </w:r>
      <w:r w:rsidRPr="00A428C3">
        <w:t xml:space="preserve">. </w:t>
      </w:r>
      <w:r w:rsidRPr="00A428C3">
        <w:rPr>
          <w:i/>
        </w:rPr>
        <w:t>Industrial &amp; Engineering Chemistry Research</w:t>
      </w:r>
      <w:r w:rsidRPr="00A428C3">
        <w:t xml:space="preserve">, </w:t>
      </w:r>
      <w:r w:rsidRPr="00A428C3">
        <w:rPr>
          <w:b/>
        </w:rPr>
        <w:t>42</w:t>
      </w:r>
      <w:r w:rsidRPr="00A428C3">
        <w:t xml:space="preserve"> (9), 1955-1964.</w:t>
      </w:r>
    </w:p>
    <w:p w:rsidR="00B95188" w:rsidRPr="00A428C3" w:rsidRDefault="00B95188" w:rsidP="00B95188">
      <w:pPr>
        <w:pStyle w:val="a0"/>
      </w:pPr>
      <w:r w:rsidRPr="00A428C3">
        <w:t xml:space="preserve">Full Text: </w:t>
      </w:r>
      <w:hyperlink r:id="rId1190" w:history="1">
        <w:r w:rsidRPr="00A428C3">
          <w:rPr>
            <w:rStyle w:val="a5"/>
          </w:rPr>
          <w:t>I\Ind Eng Che Res42, 1955.pdf</w:t>
        </w:r>
      </w:hyperlink>
    </w:p>
    <w:p w:rsidR="00B95188" w:rsidRPr="00A428C3" w:rsidRDefault="00B95188" w:rsidP="00B95188">
      <w:pPr>
        <w:pStyle w:val="a0"/>
      </w:pPr>
      <w:r w:rsidRPr="00A428C3">
        <w:t>Abstract: The removal of mercury(II) from wastewaters (coal-fired utility plant scrubber solutions) using a thiol functional organoceramic composite (SOL-AD-IV) is investigated. A simulant is employed as a surrogate to demonstrate the removal of mercury from real waste solutions. Equilibrium studies show a mercury uptake capacity of 500 mg/g at a low mercury concentration of 0.5 mg/L</w:t>
      </w:r>
      <w:r w:rsidR="00F81221">
        <w:t xml:space="preserve"> and </w:t>
      </w:r>
      <w:r w:rsidRPr="00A428C3">
        <w:t xml:space="preserve">726 mg/g at saturation. Adsorption is observed to be independent in the pH range 3-5. The kinetic performance assessed on a recycle batch reactor shows a rapid rate of adsorption. Selectivity is found to be in the order Hg(II) &gt; Pb(II) ~ Cd(II) &gt; As(V) &gt; Cr(III). Regeneration of SOL-AD-IV is accomplished using </w:t>
      </w:r>
      <w:smartTag w:uri="urn:schemas-microsoft-com:office:smarttags" w:element="chmetcnv">
        <w:smartTagPr>
          <w:attr w:name="TCSC" w:val="0"/>
          <w:attr w:name="NumberType" w:val="1"/>
          <w:attr w:name="Negative" w:val="False"/>
          <w:attr w:name="HasSpace" w:val="True"/>
          <w:attr w:name="SourceValue" w:val="12"/>
          <w:attr w:name="UnitName" w:val="m"/>
        </w:smartTagPr>
        <w:r w:rsidRPr="00A428C3">
          <w:t>12 M</w:t>
        </w:r>
      </w:smartTag>
      <w:r w:rsidRPr="00A428C3">
        <w:t xml:space="preserve"> HCl. Effluent mercury concentrations of &lt;0.001 mg/L are achieved using a fixed-bed adsorption column. A stability test operated for 25 cycles indicates a capacity loss of &lt;10%. A high potential is demonstrated for application for mercury cleanup of wastewaters.</w:t>
      </w:r>
    </w:p>
    <w:p w:rsidR="00B95188" w:rsidRPr="00A428C3" w:rsidRDefault="00B95188" w:rsidP="00B95188">
      <w:pPr>
        <w:pStyle w:val="a0"/>
      </w:pPr>
      <w:r w:rsidRPr="00A428C3">
        <w:t>Singh, K.P., Mohan, D., Sinha, S., Tondon, G.S.</w:t>
      </w:r>
      <w:r w:rsidR="00F81221">
        <w:t xml:space="preserve"> and </w:t>
      </w:r>
      <w:r w:rsidRPr="00A428C3">
        <w:t xml:space="preserve">Gosh, D. (2003), </w:t>
      </w:r>
      <w:r w:rsidRPr="00A428C3">
        <w:rPr>
          <w:szCs w:val="36"/>
        </w:rPr>
        <w:t>Color removal from wastewater using low-cost activated carbon derived from agricultural waste material</w:t>
      </w:r>
      <w:r w:rsidRPr="00A428C3">
        <w:t xml:space="preserve">. </w:t>
      </w:r>
      <w:r w:rsidRPr="00A428C3">
        <w:rPr>
          <w:i/>
        </w:rPr>
        <w:t>Industrial &amp; Engineering Chemistry Research</w:t>
      </w:r>
      <w:r w:rsidRPr="00A428C3">
        <w:t xml:space="preserve">, </w:t>
      </w:r>
      <w:r w:rsidRPr="00A428C3">
        <w:rPr>
          <w:b/>
        </w:rPr>
        <w:t>42</w:t>
      </w:r>
      <w:r w:rsidRPr="00A428C3">
        <w:t xml:space="preserve"> (9), 1965-1976.</w:t>
      </w:r>
    </w:p>
    <w:p w:rsidR="00B95188" w:rsidRPr="00A428C3" w:rsidRDefault="00B95188" w:rsidP="00B95188">
      <w:pPr>
        <w:pStyle w:val="a0"/>
      </w:pPr>
      <w:r w:rsidRPr="00A428C3">
        <w:t xml:space="preserve">Full Text: </w:t>
      </w:r>
      <w:hyperlink r:id="rId1191" w:history="1">
        <w:r w:rsidRPr="00A428C3">
          <w:rPr>
            <w:rStyle w:val="a5"/>
          </w:rPr>
          <w:t>I\Ind Eng Che Res42, 1965.pdf</w:t>
        </w:r>
      </w:hyperlink>
    </w:p>
    <w:p w:rsidR="00B95188" w:rsidRPr="00A428C3" w:rsidRDefault="00B95188" w:rsidP="00B95188">
      <w:pPr>
        <w:pStyle w:val="a0"/>
      </w:pPr>
      <w:r w:rsidRPr="00A428C3">
        <w:t>Abstract: An activated carbon was developed from coconut shell fibers, characterized</w:t>
      </w:r>
      <w:r w:rsidR="00F81221">
        <w:t xml:space="preserve"> and </w:t>
      </w:r>
      <w:r w:rsidRPr="00A428C3">
        <w:t>used for the removal of Methylene blue (basic)</w:t>
      </w:r>
      <w:r w:rsidR="00F81221">
        <w:t xml:space="preserve"> and </w:t>
      </w:r>
      <w:r w:rsidRPr="00A428C3">
        <w:t>methyl orange (acidic) dyes from wastewater successfully. Adsorption studies were carried out at different temperatures, particle size, pH,</w:t>
      </w:r>
      <w:r w:rsidR="00F81221">
        <w:t xml:space="preserve"> and </w:t>
      </w:r>
      <w:r w:rsidRPr="00A428C3">
        <w:t>adsorbent doses. The adsorption data are correlated with both Langmuir</w:t>
      </w:r>
      <w:r w:rsidR="00F81221">
        <w:t xml:space="preserve"> and </w:t>
      </w:r>
      <w:r w:rsidRPr="00A428C3">
        <w:t>Freundlich models. The results indicate that the Freundlich model fits the data better as compared to the Langmuir model in terms of regression coefficients. Isotherms have been used to obtain the thermodynamic parameters such as free energy, enthalpy,</w:t>
      </w:r>
      <w:r w:rsidR="00F81221">
        <w:t xml:space="preserve"> and </w:t>
      </w:r>
      <w:r w:rsidRPr="00A428C3">
        <w:t>entropy of adsorption. The kinetic studies were also conducted,</w:t>
      </w:r>
      <w:r w:rsidR="00F81221">
        <w:t xml:space="preserve"> and </w:t>
      </w:r>
      <w:r w:rsidRPr="00A428C3">
        <w:t>the adsorption of Methylene blue</w:t>
      </w:r>
      <w:r w:rsidR="00F81221">
        <w:t xml:space="preserve"> and </w:t>
      </w:r>
      <w:r w:rsidRPr="00A428C3">
        <w:t>methyl orange follow the first-order rate equation. Various kinetic parameters such as the mass-transfer coefficient, effective diffusion coefficient, activation energy,</w:t>
      </w:r>
      <w:r w:rsidR="00F81221">
        <w:t xml:space="preserve"> and </w:t>
      </w:r>
      <w:r w:rsidRPr="00A428C3">
        <w:t>entropy of activation were evaluated to establish the mechanisms. It was concluded that Methylene blue adsorption occurs through a film diffusion mechanism at low as well as at higher concentrations, while methyl orange adsorption occurs through film diffusion at low concentration</w:t>
      </w:r>
      <w:r w:rsidR="00F81221">
        <w:t xml:space="preserve"> and </w:t>
      </w:r>
      <w:r w:rsidRPr="00A428C3">
        <w:t xml:space="preserve">particle diffusion at high concentrations. The </w:t>
      </w:r>
      <w:r w:rsidRPr="00A428C3">
        <w:lastRenderedPageBreak/>
        <w:t>sorption capacity of the developed carbon is comparable to the other available adsorbents,</w:t>
      </w:r>
      <w:r w:rsidR="00F81221">
        <w:t xml:space="preserve"> and </w:t>
      </w:r>
      <w:r w:rsidRPr="00A428C3">
        <w:t>costwise it is quite cheaper.</w:t>
      </w:r>
    </w:p>
    <w:p w:rsidR="00B95188" w:rsidRPr="00A428C3" w:rsidRDefault="00B95188" w:rsidP="00B95188">
      <w:pPr>
        <w:pStyle w:val="a0"/>
      </w:pPr>
      <w:r w:rsidRPr="00A428C3">
        <w:t>Budinova, T., Savova, D., Petrov, N., Razvigorova, M., Minkova, V., Ciliz, N., Apak, E.</w:t>
      </w:r>
      <w:r w:rsidR="00F81221">
        <w:t xml:space="preserve"> and </w:t>
      </w:r>
      <w:r w:rsidRPr="00A428C3">
        <w:t xml:space="preserve">Ekinci, E. (2003), Mercury adsorption by different modifications of furfural adsorbent. </w:t>
      </w:r>
      <w:r w:rsidRPr="00A428C3">
        <w:rPr>
          <w:i/>
        </w:rPr>
        <w:t>Industrial &amp; Engineering Chemistry Research</w:t>
      </w:r>
      <w:r w:rsidRPr="00A428C3">
        <w:t xml:space="preserve">, </w:t>
      </w:r>
      <w:r w:rsidRPr="00A428C3">
        <w:rPr>
          <w:b/>
        </w:rPr>
        <w:t>42</w:t>
      </w:r>
      <w:r w:rsidRPr="00A428C3">
        <w:t xml:space="preserve"> (10), 2223-2229.</w:t>
      </w:r>
    </w:p>
    <w:p w:rsidR="00B95188" w:rsidRPr="00A428C3" w:rsidRDefault="00B95188" w:rsidP="00B95188">
      <w:pPr>
        <w:pStyle w:val="a0"/>
      </w:pPr>
      <w:r w:rsidRPr="00A428C3">
        <w:t xml:space="preserve">Full Text: </w:t>
      </w:r>
      <w:hyperlink r:id="rId1192" w:history="1">
        <w:r w:rsidRPr="00A428C3">
          <w:rPr>
            <w:rStyle w:val="a5"/>
          </w:rPr>
          <w:t>I\Ind Eng Che Res42, 2223.pdf</w:t>
        </w:r>
      </w:hyperlink>
    </w:p>
    <w:p w:rsidR="00B95188" w:rsidRPr="00A428C3" w:rsidRDefault="00B95188" w:rsidP="00B95188">
      <w:pPr>
        <w:pStyle w:val="a0"/>
      </w:pPr>
      <w:r w:rsidRPr="00A428C3">
        <w:t>Abstract: Adsorption of mercury from aqueous solutions using three types of furfural-based carbon adsorbents was studied. After activation with water vapor</w:t>
      </w:r>
      <w:r w:rsidR="00F81221">
        <w:t xml:space="preserve"> and </w:t>
      </w:r>
      <w:r w:rsidRPr="00A428C3">
        <w:t>air, carbon adsorbents with basic</w:t>
      </w:r>
      <w:r w:rsidR="00F81221">
        <w:t xml:space="preserve"> and </w:t>
      </w:r>
      <w:r w:rsidRPr="00A428C3">
        <w:t>acidic characters, respectively, were obtained. The results from the study showed that all modifications of the adsorbents (with both basic</w:t>
      </w:r>
      <w:r w:rsidR="00F81221">
        <w:t xml:space="preserve"> and </w:t>
      </w:r>
      <w:r w:rsidRPr="00A428C3">
        <w:t>acidic characters, as well as an adsorbent from mixture of furfural</w:t>
      </w:r>
      <w:r w:rsidR="00F81221">
        <w:t xml:space="preserve"> and </w:t>
      </w:r>
      <w:r w:rsidRPr="00A428C3">
        <w:t>apricot stones tar) are efficient sorbent materials for mercury removal from aquatic solutions. Mercury adsorption follows a Langmuir isotherm. Adsorbents with good adsorption capacities (174 mg/g for the basic adsorbent, 154 mg/g for the adsorbent from a mixture of furfural</w:t>
      </w:r>
      <w:r w:rsidR="00F81221">
        <w:t xml:space="preserve"> and </w:t>
      </w:r>
      <w:r w:rsidRPr="00A428C3">
        <w:t>tar,</w:t>
      </w:r>
      <w:r w:rsidR="00F81221">
        <w:t xml:space="preserve"> and </w:t>
      </w:r>
      <w:r w:rsidRPr="00A428C3">
        <w:t>132 mg/g for the adsorbent with acidic character) were obtained. The pH was determined to be the most crucial parameter. The mercury removal increases with an increase in pH from 2 to 5. It was found that the adsorption capacities of the produced carbons are significantly higher than those of commercial activated carbons. A desorption study was performed with hot water. The percentage of the recovery was 6% for the basic furfaral adsorbent, 1% for the furfural adsorbent with acidic character,</w:t>
      </w:r>
      <w:r w:rsidR="00F81221">
        <w:t xml:space="preserve"> and </w:t>
      </w:r>
      <w:r w:rsidRPr="00A428C3">
        <w:t>4% for the adsorbent from the mixture of furfural</w:t>
      </w:r>
      <w:r w:rsidR="00F81221">
        <w:t xml:space="preserve"> and </w:t>
      </w:r>
      <w:r w:rsidRPr="00A428C3">
        <w:t>tar.</w:t>
      </w:r>
    </w:p>
    <w:p w:rsidR="00B95188" w:rsidRPr="00A428C3" w:rsidRDefault="00B95188" w:rsidP="00B95188">
      <w:pPr>
        <w:pStyle w:val="a0"/>
      </w:pPr>
      <w:r w:rsidRPr="00A428C3">
        <w:t>Keywords: Activated Carbons, Adsorption, Agricultural By-Products, Air, Anthracite, Aquatic, Aqueous-Solution, Cadmium, Carbon, Carbon Adsorbents, Coirpith, Copper, Desorption, Ions, Isotherm, Langmuir Isotherm, Materials, Mercury, Mercury Removal, pH, Recovery, Removal, Waste-Water, Water, Water Vapor</w:t>
      </w:r>
    </w:p>
    <w:p w:rsidR="00B95188" w:rsidRPr="00A428C3" w:rsidRDefault="00B95188" w:rsidP="00B95188">
      <w:pPr>
        <w:pStyle w:val="a0"/>
      </w:pPr>
      <w:r w:rsidRPr="00A428C3">
        <w:t>Liao, X.P., Lu, Z.B.</w:t>
      </w:r>
      <w:r w:rsidR="00F81221">
        <w:t xml:space="preserve"> and </w:t>
      </w:r>
      <w:r w:rsidRPr="00A428C3">
        <w:t xml:space="preserve">Shi, B. (2003), Selective adsorption of vegetable tannins onto collagen fibers. </w:t>
      </w:r>
      <w:r w:rsidRPr="00A428C3">
        <w:rPr>
          <w:i/>
        </w:rPr>
        <w:t>Industrial &amp; Engineering Chemistry Research</w:t>
      </w:r>
      <w:r w:rsidRPr="00A428C3">
        <w:t xml:space="preserve">, </w:t>
      </w:r>
      <w:r w:rsidRPr="00A428C3">
        <w:rPr>
          <w:b/>
        </w:rPr>
        <w:t>42</w:t>
      </w:r>
      <w:r w:rsidRPr="00A428C3">
        <w:t xml:space="preserve"> (14), 3397-3402.</w:t>
      </w:r>
    </w:p>
    <w:p w:rsidR="00B95188" w:rsidRPr="00A428C3" w:rsidRDefault="00B95188" w:rsidP="00B95188">
      <w:pPr>
        <w:pStyle w:val="a0"/>
      </w:pPr>
      <w:r w:rsidRPr="00A428C3">
        <w:t xml:space="preserve">Full Text: </w:t>
      </w:r>
      <w:hyperlink r:id="rId1193" w:history="1">
        <w:r w:rsidRPr="00A428C3">
          <w:rPr>
            <w:rStyle w:val="a5"/>
          </w:rPr>
          <w:t>I\Ind Eng Che Res42, 3397.pdf</w:t>
        </w:r>
      </w:hyperlink>
    </w:p>
    <w:p w:rsidR="00B95188" w:rsidRPr="00A428C3" w:rsidRDefault="00B95188" w:rsidP="00B95188">
      <w:pPr>
        <w:pStyle w:val="a0"/>
      </w:pPr>
      <w:r w:rsidRPr="00A428C3">
        <w:t>Abstract: Vegetable tannins are widely distributed in the plant kingdom. In many cases, it is necessary to remove tannins from natural beverages</w:t>
      </w:r>
      <w:r w:rsidR="00F81221">
        <w:t xml:space="preserve"> and </w:t>
      </w:r>
      <w:r w:rsidRPr="00A428C3">
        <w:t>medicinal plant extracts due to their physiological toxicity. In the present work, an adsorbent for this purpose was prepared on the basis of hide collagen fibers. Its adsorption selectivity for tannins was studied, using tannic acid as a target component to be removed</w:t>
      </w:r>
      <w:r w:rsidR="00F81221">
        <w:t xml:space="preserve"> and </w:t>
      </w:r>
      <w:r w:rsidRPr="00A428C3">
        <w:t>tea polyphenols, isoflavones,</w:t>
      </w:r>
      <w:r w:rsidR="00F81221">
        <w:t xml:space="preserve"> and </w:t>
      </w:r>
      <w:r w:rsidRPr="00A428C3">
        <w:t>baicalin as probe molecules. The experiment results showed that hide collagen fiber is able to remove polyphenols containing the galloyl group from aqueous solution effectively,</w:t>
      </w:r>
      <w:r w:rsidR="00F81221">
        <w:t xml:space="preserve"> and </w:t>
      </w:r>
      <w:r w:rsidRPr="00A428C3">
        <w:t xml:space="preserve">the extent of adsorption for tannic acid is almost 100%, while slightly adsorbing probe molecules. As a comparison, the adsorption property of macroreticular resin which was usually suggested to be used </w:t>
      </w:r>
      <w:r w:rsidRPr="00A428C3">
        <w:lastRenderedPageBreak/>
        <w:t>for removal of tannins was also investigated. It showed no significant adsorption selectivity in the present experiments. The mechanism of adsorption selectivity of collagen fibers for tannins was also discussed.</w:t>
      </w:r>
    </w:p>
    <w:p w:rsidR="00B95188" w:rsidRPr="00A428C3" w:rsidRDefault="00B95188" w:rsidP="00B95188">
      <w:pPr>
        <w:pStyle w:val="a0"/>
      </w:pPr>
      <w:r w:rsidRPr="00A428C3">
        <w:t>Keywords: Seaweed Ascophyllum-Nodosum, Polyethylene-Glycol, Condensed Tannins, Digestion, Protein, Plants, Acid, Supplementation, Ruminants, Removal</w:t>
      </w:r>
    </w:p>
    <w:p w:rsidR="00B95188" w:rsidRPr="00A428C3" w:rsidRDefault="00B95188" w:rsidP="00B95188">
      <w:pPr>
        <w:pStyle w:val="a0"/>
      </w:pPr>
      <w:r w:rsidRPr="00A428C3">
        <w:t>Ko, D.C.K., Porter, J.F.</w:t>
      </w:r>
      <w:r w:rsidR="00F81221">
        <w:t xml:space="preserve"> and </w:t>
      </w:r>
      <w:r w:rsidRPr="00A428C3">
        <w:t xml:space="preserve">McKay, G. (2003), Mass transport model for the fixed bed sorption of metal ions on bone char. </w:t>
      </w:r>
      <w:r w:rsidRPr="00A428C3">
        <w:rPr>
          <w:i/>
        </w:rPr>
        <w:t>Industrial &amp; Engineering Chemistry Research</w:t>
      </w:r>
      <w:r w:rsidRPr="00A428C3">
        <w:t xml:space="preserve">, </w:t>
      </w:r>
      <w:r w:rsidRPr="00A428C3">
        <w:rPr>
          <w:b/>
        </w:rPr>
        <w:t>42</w:t>
      </w:r>
      <w:r w:rsidRPr="00A428C3">
        <w:t xml:space="preserve"> (14), 3458-3469.</w:t>
      </w:r>
    </w:p>
    <w:p w:rsidR="00B95188" w:rsidRPr="00A428C3" w:rsidRDefault="00B95188" w:rsidP="00B95188">
      <w:pPr>
        <w:pStyle w:val="a0"/>
      </w:pPr>
      <w:r w:rsidRPr="00A428C3">
        <w:t xml:space="preserve">Full Text: </w:t>
      </w:r>
      <w:hyperlink r:id="rId1194" w:history="1">
        <w:r w:rsidRPr="00A428C3">
          <w:rPr>
            <w:rStyle w:val="a5"/>
          </w:rPr>
          <w:t>I\Ind Eng Che Res42, 3458.pdf</w:t>
        </w:r>
      </w:hyperlink>
    </w:p>
    <w:p w:rsidR="00B95188" w:rsidRPr="00A428C3" w:rsidRDefault="00B95188" w:rsidP="00B95188">
      <w:pPr>
        <w:pStyle w:val="a0"/>
      </w:pPr>
      <w:r w:rsidRPr="00A428C3">
        <w:t>Abstract: The ability for the sorption of the three metals onto bone char was demonstrated by a series of equilibrium isotherm studies. The Sips isotherm equation was found to give the most accurate correlation of the equilibrium relationship between these metal ions</w:t>
      </w:r>
      <w:r w:rsidR="00F81221">
        <w:t xml:space="preserve"> and </w:t>
      </w:r>
      <w:r w:rsidRPr="00A428C3">
        <w:t>bone char,</w:t>
      </w:r>
      <w:r w:rsidR="00F81221">
        <w:t xml:space="preserve"> and </w:t>
      </w:r>
      <w:r w:rsidRPr="00A428C3">
        <w:t>the equilibrium adsorption capacities of bone char for copper, zinc,</w:t>
      </w:r>
      <w:r w:rsidR="00F81221">
        <w:t xml:space="preserve"> and </w:t>
      </w:r>
      <w:r w:rsidRPr="00A428C3">
        <w:t>cadmium ion were determined to be approximately 0.80, 0.50,</w:t>
      </w:r>
      <w:r w:rsidR="00F81221">
        <w:t xml:space="preserve"> and </w:t>
      </w:r>
      <w:r w:rsidRPr="00A428C3">
        <w:t>0.55 mmol/g, respectively. A film surface diffusion model, which is based on the assumption that the sorbate penetration rate is controlled by the external film diffusion</w:t>
      </w:r>
      <w:r w:rsidR="00F81221">
        <w:t xml:space="preserve"> and </w:t>
      </w:r>
      <w:r w:rsidRPr="00A428C3">
        <w:t>surface diffusion within the sorbent, has been developed to simulate the fixed bed sorption of copper, zinc,</w:t>
      </w:r>
      <w:r w:rsidR="00F81221">
        <w:t xml:space="preserve"> and </w:t>
      </w:r>
      <w:r w:rsidRPr="00A428C3">
        <w:t>cadmium ions onto bone char. A computer program based on a numerical solution using the finite difference method has been constructed</w:t>
      </w:r>
      <w:r w:rsidR="00F81221">
        <w:t xml:space="preserve"> and </w:t>
      </w:r>
      <w:r w:rsidRPr="00A428C3">
        <w:t>successfully simulated the metal ion-bone char column behavior. A new external mass transfer correlation was proposed</w:t>
      </w:r>
      <w:r w:rsidR="00F81221">
        <w:t xml:space="preserve"> and </w:t>
      </w:r>
      <w:r w:rsidRPr="00A428C3">
        <w:t>applied in the model. The effect of axial dispersion was tested</w:t>
      </w:r>
      <w:r w:rsidR="00F81221">
        <w:t xml:space="preserve"> and </w:t>
      </w:r>
      <w:r w:rsidRPr="00A428C3">
        <w:t>found to be not significant in these systems.</w:t>
      </w:r>
    </w:p>
    <w:p w:rsidR="00B95188" w:rsidRPr="00A428C3" w:rsidRDefault="00B95188" w:rsidP="00B95188">
      <w:pPr>
        <w:pStyle w:val="a0"/>
      </w:pPr>
      <w:r w:rsidRPr="00A428C3">
        <w:t>Keywords: Low Reynolds Numbers, Packed-Beds, Predictive Model, Activated Carbon, Aqueous-Solution, Diffusion-Model, Waste-Water, Adsorption, Adsorbers, Removal</w:t>
      </w:r>
    </w:p>
    <w:p w:rsidR="00B95188" w:rsidRPr="00A428C3" w:rsidRDefault="00B95188" w:rsidP="00B95188">
      <w:pPr>
        <w:pStyle w:val="a0"/>
      </w:pPr>
      <w:r w:rsidRPr="00A428C3">
        <w:t>Beolchini, F., Pagnanelli, F., Reverberi, A.P.</w:t>
      </w:r>
      <w:r w:rsidR="00F81221">
        <w:t xml:space="preserve"> and </w:t>
      </w:r>
      <w:r w:rsidRPr="00A428C3">
        <w:t xml:space="preserve">Vegliò, F. (2003), Copper biosorption onto </w:t>
      </w:r>
      <w:r w:rsidRPr="00A428C3">
        <w:rPr>
          <w:i/>
          <w:iCs/>
        </w:rPr>
        <w:t>Rhizopus oligosporus</w:t>
      </w:r>
      <w:r w:rsidRPr="00A428C3">
        <w:t>: pH-edge tests</w:t>
      </w:r>
      <w:r w:rsidR="00F81221">
        <w:t xml:space="preserve"> and </w:t>
      </w:r>
      <w:r w:rsidRPr="00A428C3">
        <w:t>related kinetic</w:t>
      </w:r>
      <w:r w:rsidR="00F81221">
        <w:t xml:space="preserve"> and </w:t>
      </w:r>
      <w:r w:rsidRPr="00A428C3">
        <w:t xml:space="preserve">equilibrium modeling. </w:t>
      </w:r>
      <w:r w:rsidRPr="00A428C3">
        <w:rPr>
          <w:i/>
        </w:rPr>
        <w:t>Industrial &amp; Engineering Chemistry Research</w:t>
      </w:r>
      <w:r w:rsidRPr="00A428C3">
        <w:t xml:space="preserve">, </w:t>
      </w:r>
      <w:r w:rsidRPr="00A428C3">
        <w:rPr>
          <w:b/>
        </w:rPr>
        <w:t>42</w:t>
      </w:r>
      <w:r w:rsidRPr="00A428C3">
        <w:t xml:space="preserve"> (20), 4881-4887.</w:t>
      </w:r>
    </w:p>
    <w:p w:rsidR="00B95188" w:rsidRPr="00A428C3" w:rsidRDefault="00B95188" w:rsidP="00B95188">
      <w:pPr>
        <w:pStyle w:val="a0"/>
      </w:pPr>
      <w:r w:rsidRPr="00A428C3">
        <w:t xml:space="preserve">Full Text: </w:t>
      </w:r>
      <w:hyperlink r:id="rId1195" w:history="1">
        <w:r w:rsidRPr="00A428C3">
          <w:rPr>
            <w:rStyle w:val="a5"/>
          </w:rPr>
          <w:t>I\Ind Eng Che Res42, 4881.pdf</w:t>
        </w:r>
      </w:hyperlink>
    </w:p>
    <w:p w:rsidR="00B95188" w:rsidRPr="00A428C3" w:rsidRDefault="00B95188" w:rsidP="00B95188">
      <w:pPr>
        <w:pStyle w:val="a0"/>
      </w:pPr>
      <w:r w:rsidRPr="00A428C3">
        <w:t xml:space="preserve">Abstract: In this paper copper biosorption on a specially propagated biomass of </w:t>
      </w:r>
      <w:r w:rsidRPr="00A428C3">
        <w:rPr>
          <w:i/>
          <w:iCs/>
        </w:rPr>
        <w:t>Rhizopus oligosporus</w:t>
      </w:r>
      <w:r w:rsidRPr="00A428C3">
        <w:t xml:space="preserve"> has been studied considering kinetic</w:t>
      </w:r>
      <w:r w:rsidR="00F81221">
        <w:t xml:space="preserve"> and </w:t>
      </w:r>
      <w:r w:rsidRPr="00A428C3">
        <w:t>equilibrium aspects. A rough biomass characterization performed by titration tests suggested that over pH 3-4 all biomass active sites seem available for metal adsorption. A maximum copper-specific uptake of about 140 mg/g was observed at pH 5. Kinetic tests evidenced that the process is very fast: in fact, biosorption equilibrium is reached within the first 20 min. Furtermore, kinetic data were successfully modeled by second-order models. Equilibrium data were obtained by pH-edge tests,</w:t>
      </w:r>
      <w:r w:rsidR="00F81221">
        <w:t xml:space="preserve"> and </w:t>
      </w:r>
      <w:r w:rsidRPr="00A428C3">
        <w:t>copper uptake was modeled considering the pH</w:t>
      </w:r>
      <w:r w:rsidR="00F81221">
        <w:t xml:space="preserve"> and </w:t>
      </w:r>
      <w:r w:rsidRPr="00A428C3">
        <w:t>equilibrium concentration in solution as independent variables: different empirical</w:t>
      </w:r>
      <w:r w:rsidR="00F81221">
        <w:t xml:space="preserve"> and </w:t>
      </w:r>
      <w:r w:rsidRPr="00A428C3">
        <w:t xml:space="preserve">semiempirical models have been </w:t>
      </w:r>
      <w:r w:rsidRPr="00A428C3">
        <w:lastRenderedPageBreak/>
        <w:t>proposed to model biosorption equilibrium</w:t>
      </w:r>
      <w:r w:rsidR="00F81221">
        <w:t xml:space="preserve"> and </w:t>
      </w:r>
      <w:r w:rsidRPr="00A428C3">
        <w:t>successfully fitted to experimental data.</w:t>
      </w:r>
    </w:p>
    <w:p w:rsidR="00B95188" w:rsidRPr="00A428C3" w:rsidRDefault="00B95188" w:rsidP="00B95188">
      <w:pPr>
        <w:pStyle w:val="a0"/>
      </w:pPr>
      <w:r w:rsidRPr="00A428C3">
        <w:t xml:space="preserve">Keywords: Heavy-Metals, Sphaerotilus-Natans, </w:t>
      </w:r>
      <w:r w:rsidRPr="00A428C3">
        <w:rPr>
          <w:i/>
          <w:iCs/>
        </w:rPr>
        <w:t>Arthrobacter</w:t>
      </w:r>
      <w:r w:rsidRPr="00A428C3">
        <w:t xml:space="preserve"> sp., Biomass, Adsorption, Cadmium, Single, Sorption, Systems, Removal</w:t>
      </w:r>
    </w:p>
    <w:p w:rsidR="00B95188" w:rsidRPr="00A428C3" w:rsidRDefault="00B95188" w:rsidP="00B95188">
      <w:pPr>
        <w:pStyle w:val="a0"/>
      </w:pPr>
      <w:r w:rsidRPr="00A428C3">
        <w:t>Guo, B., Hong, L.</w:t>
      </w:r>
      <w:r w:rsidR="00F81221">
        <w:t xml:space="preserve"> and </w:t>
      </w:r>
      <w:r w:rsidRPr="00A428C3">
        <w:t xml:space="preserve">Jiang, H.X. (2003), Macroporous poly(calcium acrylate-divinylbenzene) bead: A selective orthophosphite sorbent. </w:t>
      </w:r>
      <w:r w:rsidRPr="00A428C3">
        <w:rPr>
          <w:i/>
        </w:rPr>
        <w:t>Industrial &amp; Engineering Chemistry Research</w:t>
      </w:r>
      <w:r w:rsidRPr="00A428C3">
        <w:t xml:space="preserve">, </w:t>
      </w:r>
      <w:r w:rsidRPr="00A428C3">
        <w:rPr>
          <w:b/>
        </w:rPr>
        <w:t>42</w:t>
      </w:r>
      <w:r w:rsidRPr="00A428C3">
        <w:t xml:space="preserve"> (22), 5559-5567.</w:t>
      </w:r>
    </w:p>
    <w:p w:rsidR="00B95188" w:rsidRPr="00A428C3" w:rsidRDefault="00B95188" w:rsidP="00B95188">
      <w:pPr>
        <w:pStyle w:val="a0"/>
      </w:pPr>
      <w:r w:rsidRPr="00A428C3">
        <w:t xml:space="preserve">Full Text: </w:t>
      </w:r>
      <w:hyperlink r:id="rId1196" w:history="1">
        <w:r w:rsidRPr="00A428C3">
          <w:rPr>
            <w:rStyle w:val="a5"/>
          </w:rPr>
          <w:t>I\Ind Eng Che Res42, 5559.pdf</w:t>
        </w:r>
      </w:hyperlink>
    </w:p>
    <w:p w:rsidR="00B95188" w:rsidRPr="00A428C3" w:rsidRDefault="00B95188" w:rsidP="00B95188">
      <w:pPr>
        <w:pStyle w:val="a0"/>
      </w:pPr>
      <w:r w:rsidRPr="00A428C3">
        <w:t>Abstract: The objective of this work is to develop an anion sorbent that could offer chemically recognizable affinity with orthophosphite (H</w:t>
      </w:r>
      <w:r w:rsidRPr="00A428C3">
        <w:rPr>
          <w:vertAlign w:val="subscript"/>
        </w:rPr>
        <w:t>2</w:t>
      </w:r>
      <w:r w:rsidRPr="00A428C3">
        <w:t>PO</w:t>
      </w:r>
      <w:r w:rsidRPr="00A428C3">
        <w:rPr>
          <w:vertAlign w:val="subscript"/>
        </w:rPr>
        <w:t>3</w:t>
      </w:r>
      <w:r w:rsidRPr="00A428C3">
        <w:rPr>
          <w:vertAlign w:val="superscript"/>
        </w:rPr>
        <w:t>-</w:t>
      </w:r>
      <w:r w:rsidRPr="00A428C3">
        <w:t>) species from a binary aqueous solution containing hypophosphite (H</w:t>
      </w:r>
      <w:r w:rsidRPr="00A428C3">
        <w:rPr>
          <w:vertAlign w:val="subscript"/>
        </w:rPr>
        <w:t>2</w:t>
      </w:r>
      <w:r w:rsidRPr="00A428C3">
        <w:t>PO</w:t>
      </w:r>
      <w:r w:rsidRPr="00A428C3">
        <w:rPr>
          <w:vertAlign w:val="subscript"/>
        </w:rPr>
        <w:t>2</w:t>
      </w:r>
      <w:r w:rsidRPr="00A428C3">
        <w:rPr>
          <w:vertAlign w:val="superscript"/>
        </w:rPr>
        <w:t>-</w:t>
      </w:r>
      <w:r w:rsidRPr="00A428C3">
        <w:t>) as another solute. The macroreticular network, poly(calcium acrylate-divinylbenzene) [P(CaAc-DVB)], has been synthesized</w:t>
      </w:r>
      <w:r w:rsidR="00F81221">
        <w:t xml:space="preserve"> and </w:t>
      </w:r>
      <w:r w:rsidRPr="00A428C3">
        <w:t>identified to possess the desired chemical selectivity in this separation process. The resin takes advantage of the Lewis acid property of calcium ion, which shows different affinity with the two phosphite species. The P(CaAc-DVB) resin has the spherical shape (d = 0.1</w:t>
      </w:r>
      <w:smartTag w:uri="urn:schemas-microsoft-com:office:smarttags" w:element="chmetcnv">
        <w:smartTagPr>
          <w:attr w:name="TCSC" w:val="0"/>
          <w:attr w:name="NumberType" w:val="1"/>
          <w:attr w:name="Negative" w:val="True"/>
          <w:attr w:name="HasSpace" w:val="True"/>
          <w:attr w:name="SourceValue" w:val="0.3"/>
          <w:attr w:name="UnitName" w:val="mm"/>
        </w:smartTagPr>
        <w:r w:rsidRPr="00A428C3">
          <w:t>-0.3 mm</w:t>
        </w:r>
      </w:smartTag>
      <w:r w:rsidRPr="00A428C3">
        <w:t>); it was synthesized initially from the polymerization of divinylbenzene</w:t>
      </w:r>
      <w:r w:rsidR="00F81221">
        <w:t xml:space="preserve"> and </w:t>
      </w:r>
      <w:r w:rsidRPr="00A428C3">
        <w:t>methylacrylate (DVB/MA) in a suspension system. The porosity</w:t>
      </w:r>
      <w:r w:rsidR="00F81221">
        <w:t xml:space="preserve"> and </w:t>
      </w:r>
      <w:r w:rsidRPr="00A428C3">
        <w:t>pore-size distribution of the beads were adjusted primarily through the variation of the molar ratio DVB/MA</w:t>
      </w:r>
      <w:r w:rsidR="00F81221">
        <w:t xml:space="preserve"> and </w:t>
      </w:r>
      <w:r w:rsidRPr="00A428C3">
        <w:t>the use of a specific porogen system. The porous structure was found to be crucial for the accomplishment of high sorption efficiency</w:t>
      </w:r>
      <w:r w:rsidR="00F81221">
        <w:t xml:space="preserve"> and </w:t>
      </w:r>
      <w:r w:rsidRPr="00A428C3">
        <w:t>the preferred chemical selectivity. On the basis of the kinetic assessment of the competitive sorption reaction, it is found that the sorption process could be divided into three stages with using an intraparticle-diffusion model to simulate the kinetic data. A pseudo-second-order reaction model was also used to fit the kinetic data of the early sorption stage by assuming the reaction as the rate-limiting step. It is suggested that this sorption process is governed by the two different kinetic steps at different stages. The study conducted in this work attempts to develop a sorbent feasible ultimately for the rejuvenation of spent electroless nickel solution.</w:t>
      </w:r>
    </w:p>
    <w:p w:rsidR="00B95188" w:rsidRPr="00A428C3" w:rsidRDefault="00B95188" w:rsidP="00B95188">
      <w:pPr>
        <w:pStyle w:val="a0"/>
      </w:pPr>
      <w:r w:rsidRPr="00A428C3">
        <w:t xml:space="preserve">Keywords: Exchange Precipitation Resins, Ion-Exchange, Chitosan Beads, Sorption, Kinetics, Recovery, Removal, </w:t>
      </w:r>
      <w:smartTag w:uri="urn:schemas-microsoft-com:office:smarttags" w:element="place">
        <w:smartTag w:uri="urn:schemas-microsoft-com:office:smarttags" w:element="City">
          <w:r w:rsidRPr="00A428C3">
            <w:t>Bath</w:t>
          </w:r>
        </w:smartTag>
      </w:smartTag>
    </w:p>
    <w:p w:rsidR="00B95188" w:rsidRPr="00A428C3" w:rsidRDefault="00B95188" w:rsidP="00B95188">
      <w:pPr>
        <w:pStyle w:val="a0"/>
      </w:pPr>
      <w:r w:rsidRPr="00A428C3">
        <w:t>Gupta, V.K.</w:t>
      </w:r>
      <w:r w:rsidR="00F81221">
        <w:t xml:space="preserve"> and </w:t>
      </w:r>
      <w:r w:rsidRPr="00A428C3">
        <w:t xml:space="preserve">Sharma, S. (2003), Removal of zinc from aqueous solutions using bagasse fly ash a low cost adsorbent. </w:t>
      </w:r>
      <w:r w:rsidRPr="00A428C3">
        <w:rPr>
          <w:i/>
        </w:rPr>
        <w:t>Industrial &amp; Engineering Chemistry Research</w:t>
      </w:r>
      <w:r w:rsidRPr="00A428C3">
        <w:t xml:space="preserve">, </w:t>
      </w:r>
      <w:r w:rsidRPr="00A428C3">
        <w:rPr>
          <w:b/>
        </w:rPr>
        <w:t>42</w:t>
      </w:r>
      <w:r w:rsidRPr="00A428C3">
        <w:t xml:space="preserve"> (25), 6619-6624.</w:t>
      </w:r>
    </w:p>
    <w:p w:rsidR="00B95188" w:rsidRPr="00A428C3" w:rsidRDefault="00B95188" w:rsidP="00B95188">
      <w:pPr>
        <w:pStyle w:val="a0"/>
      </w:pPr>
      <w:r w:rsidRPr="00A428C3">
        <w:t xml:space="preserve">Full Text: </w:t>
      </w:r>
      <w:hyperlink r:id="rId1197" w:history="1">
        <w:r w:rsidRPr="00A428C3">
          <w:rPr>
            <w:rStyle w:val="a5"/>
          </w:rPr>
          <w:t>I\Ind Eng Che Res42, 6619.pdf</w:t>
        </w:r>
      </w:hyperlink>
    </w:p>
    <w:p w:rsidR="00B95188" w:rsidRPr="00A428C3" w:rsidRDefault="00B95188" w:rsidP="00B95188">
      <w:pPr>
        <w:pStyle w:val="a0"/>
      </w:pPr>
      <w:r w:rsidRPr="00A428C3">
        <w:t>Abstract: Bagasse fly ash, a sugar industry waste, has been converted into an inexpensive</w:t>
      </w:r>
      <w:r w:rsidR="00F81221">
        <w:t xml:space="preserve"> and </w:t>
      </w:r>
      <w:r w:rsidRPr="00A428C3">
        <w:t>efficient adsorbent. The product obtained has been characterized</w:t>
      </w:r>
      <w:r w:rsidR="00F81221">
        <w:t xml:space="preserve"> and </w:t>
      </w:r>
      <w:r w:rsidRPr="00A428C3">
        <w:t>utilized for the removal of zinc from aqueous solutions over a wide range of initial metal ion concentration (3.06×10</w:t>
      </w:r>
      <w:r w:rsidRPr="00A428C3">
        <w:rPr>
          <w:vertAlign w:val="superscript"/>
        </w:rPr>
        <w:t>-4</w:t>
      </w:r>
      <w:r w:rsidRPr="00A428C3">
        <w:t xml:space="preserve"> to 3.06×10</w:t>
      </w:r>
      <w:smartTag w:uri="urn:schemas-microsoft-com:office:smarttags" w:element="chmetcnv">
        <w:smartTagPr>
          <w:attr w:name="TCSC" w:val="0"/>
          <w:attr w:name="NumberType" w:val="1"/>
          <w:attr w:name="Negative" w:val="True"/>
          <w:attr w:name="HasSpace" w:val="True"/>
          <w:attr w:name="SourceValue" w:val="3"/>
          <w:attr w:name="UnitName" w:val="m"/>
        </w:smartTagPr>
        <w:r w:rsidRPr="00A428C3">
          <w:rPr>
            <w:vertAlign w:val="superscript"/>
          </w:rPr>
          <w:t>-3</w:t>
        </w:r>
        <w:r w:rsidRPr="00A428C3">
          <w:t xml:space="preserve"> M</w:t>
        </w:r>
      </w:smartTag>
      <w:r w:rsidRPr="00A428C3">
        <w:t xml:space="preserve">), contact time (24 h), adsorbent </w:t>
      </w:r>
      <w:r w:rsidRPr="00A428C3">
        <w:lastRenderedPageBreak/>
        <w:t>dose (5</w:t>
      </w:r>
      <w:smartTag w:uri="urn:schemas-microsoft-com:office:smarttags" w:element="chmetcnv">
        <w:smartTagPr>
          <w:attr w:name="TCSC" w:val="0"/>
          <w:attr w:name="NumberType" w:val="1"/>
          <w:attr w:name="Negative" w:val="True"/>
          <w:attr w:name="HasSpace" w:val="True"/>
          <w:attr w:name="SourceValue" w:val="20"/>
          <w:attr w:name="UnitName" w:val="g"/>
        </w:smartTagPr>
        <w:r w:rsidRPr="00A428C3">
          <w:t>-20 g</w:t>
        </w:r>
      </w:smartTag>
      <w:r w:rsidRPr="00A428C3">
        <w:t xml:space="preserve"> L</w:t>
      </w:r>
      <w:r w:rsidRPr="00A428C3">
        <w:rPr>
          <w:vertAlign w:val="superscript"/>
        </w:rPr>
        <w:t>-1</w:t>
      </w:r>
      <w:r w:rsidRPr="00A428C3">
        <w:t>),</w:t>
      </w:r>
      <w:r w:rsidR="00F81221">
        <w:t xml:space="preserve"> and </w:t>
      </w:r>
      <w:r w:rsidRPr="00A428C3">
        <w:t>pH (1.0-6.0). The removal of Zn</w:t>
      </w:r>
      <w:r w:rsidRPr="00A428C3">
        <w:rPr>
          <w:vertAlign w:val="superscript"/>
        </w:rPr>
        <w:t>2+</w:t>
      </w:r>
      <w:r w:rsidRPr="00A428C3">
        <w:t xml:space="preserve"> is 100% at low concentrations, whereas it is 60-65% at higher concentrations at an optimum pH of 4.0, using </w:t>
      </w:r>
      <w:smartTag w:uri="urn:schemas-microsoft-com:office:smarttags" w:element="chmetcnv">
        <w:smartTagPr>
          <w:attr w:name="TCSC" w:val="0"/>
          <w:attr w:name="NumberType" w:val="1"/>
          <w:attr w:name="Negative" w:val="False"/>
          <w:attr w:name="HasSpace" w:val="True"/>
          <w:attr w:name="SourceValue" w:val="10"/>
          <w:attr w:name="UnitName" w:val="g"/>
        </w:smartTagPr>
        <w:r w:rsidRPr="00A428C3">
          <w:t>10 g</w:t>
        </w:r>
      </w:smartTag>
      <w:r w:rsidRPr="00A428C3">
        <w:t xml:space="preserve"> L</w:t>
      </w:r>
      <w:r w:rsidRPr="00A428C3">
        <w:rPr>
          <w:vertAlign w:val="superscript"/>
        </w:rPr>
        <w:t>-1</w:t>
      </w:r>
      <w:r w:rsidRPr="00A428C3">
        <w:t xml:space="preserve"> of adsorbent in 6-8 h of equilibration time. The uptake decreases with a rise in temperature indicating the process to be exothermic in nature. Kinetic studies have been performed to understand the mechanism of adsorption. The removal takes place through film diffusion mechanism at lower concentrations (less than or equal to1.84×10</w:t>
      </w:r>
      <w:smartTag w:uri="urn:schemas-microsoft-com:office:smarttags" w:element="chmetcnv">
        <w:smartTagPr>
          <w:attr w:name="TCSC" w:val="0"/>
          <w:attr w:name="NumberType" w:val="1"/>
          <w:attr w:name="Negative" w:val="True"/>
          <w:attr w:name="HasSpace" w:val="True"/>
          <w:attr w:name="SourceValue" w:val="3"/>
          <w:attr w:name="UnitName" w:val="m"/>
        </w:smartTagPr>
        <w:r w:rsidRPr="00A428C3">
          <w:rPr>
            <w:vertAlign w:val="superscript"/>
          </w:rPr>
          <w:t>-3</w:t>
        </w:r>
        <w:r w:rsidRPr="00A428C3">
          <w:t xml:space="preserve"> M</w:t>
        </w:r>
      </w:smartTag>
      <w:r w:rsidRPr="00A428C3">
        <w:t>)</w:t>
      </w:r>
      <w:r w:rsidR="00F81221">
        <w:t xml:space="preserve"> and </w:t>
      </w:r>
      <w:r w:rsidRPr="00A428C3">
        <w:t>by particle diffusion at higher concentrations (greater than or equal to3.06×10</w:t>
      </w:r>
      <w:smartTag w:uri="urn:schemas-microsoft-com:office:smarttags" w:element="chmetcnv">
        <w:smartTagPr>
          <w:attr w:name="TCSC" w:val="0"/>
          <w:attr w:name="NumberType" w:val="1"/>
          <w:attr w:name="Negative" w:val="True"/>
          <w:attr w:name="HasSpace" w:val="True"/>
          <w:attr w:name="SourceValue" w:val="3"/>
          <w:attr w:name="UnitName" w:val="m"/>
        </w:smartTagPr>
        <w:r w:rsidRPr="00A428C3">
          <w:rPr>
            <w:vertAlign w:val="superscript"/>
          </w:rPr>
          <w:t>-3</w:t>
        </w:r>
        <w:r w:rsidRPr="00A428C3">
          <w:t xml:space="preserve"> M</w:t>
        </w:r>
      </w:smartTag>
      <w:r w:rsidRPr="00A428C3">
        <w:t>).</w:t>
      </w:r>
    </w:p>
    <w:p w:rsidR="00B95188" w:rsidRPr="00A428C3" w:rsidRDefault="00B95188" w:rsidP="00B95188">
      <w:pPr>
        <w:pStyle w:val="a0"/>
      </w:pPr>
      <w:r w:rsidRPr="00A428C3">
        <w:t>Keywords: Industry Waste Material, Activated Carbon, Heavy-Metals, Red Mud, Water, Adsorption, Biosorption, Sorption, Peat, Ions</w:t>
      </w:r>
    </w:p>
    <w:p w:rsidR="00B95188" w:rsidRPr="00A428C3" w:rsidRDefault="00B95188" w:rsidP="00B95188">
      <w:pPr>
        <w:pStyle w:val="a0"/>
      </w:pPr>
      <w:r w:rsidRPr="00A428C3">
        <w:t>Sinha, S., Pandey, K., Mohan, D.</w:t>
      </w:r>
      <w:r w:rsidR="00F81221">
        <w:t xml:space="preserve"> and </w:t>
      </w:r>
      <w:r w:rsidRPr="00A428C3">
        <w:t xml:space="preserve">Singh, K.P. (2003), Removal of fluoride from aqueous solutions by </w:t>
      </w:r>
      <w:r w:rsidRPr="00A428C3">
        <w:rPr>
          <w:i/>
          <w:iCs/>
        </w:rPr>
        <w:t>Eichhornia crassipes</w:t>
      </w:r>
      <w:r w:rsidRPr="00A428C3">
        <w:t xml:space="preserve"> biomass</w:t>
      </w:r>
      <w:r w:rsidR="00F81221">
        <w:t xml:space="preserve"> and </w:t>
      </w:r>
      <w:r w:rsidRPr="00A428C3">
        <w:t xml:space="preserve">its carbonized form. </w:t>
      </w:r>
      <w:r w:rsidRPr="00A428C3">
        <w:rPr>
          <w:i/>
        </w:rPr>
        <w:t>Industrial &amp; Engineering Chemistry Research</w:t>
      </w:r>
      <w:r w:rsidRPr="00A428C3">
        <w:t xml:space="preserve">, </w:t>
      </w:r>
      <w:r w:rsidRPr="00A428C3">
        <w:rPr>
          <w:b/>
        </w:rPr>
        <w:t>42</w:t>
      </w:r>
      <w:r w:rsidRPr="00A428C3">
        <w:t xml:space="preserve"> (26), 6911-6918.</w:t>
      </w:r>
    </w:p>
    <w:p w:rsidR="00B95188" w:rsidRPr="00A428C3" w:rsidRDefault="00B95188" w:rsidP="00B95188">
      <w:pPr>
        <w:pStyle w:val="a0"/>
      </w:pPr>
      <w:r w:rsidRPr="00A428C3">
        <w:t xml:space="preserve">Full Text: </w:t>
      </w:r>
      <w:hyperlink r:id="rId1198" w:history="1">
        <w:r w:rsidRPr="00A428C3">
          <w:rPr>
            <w:rStyle w:val="a5"/>
          </w:rPr>
          <w:t>I\Ind Eng Che Res42, 6911.pdf</w:t>
        </w:r>
      </w:hyperlink>
    </w:p>
    <w:p w:rsidR="00B95188" w:rsidRPr="00A428C3" w:rsidRDefault="00B95188" w:rsidP="00B95188">
      <w:pPr>
        <w:pStyle w:val="a0"/>
      </w:pPr>
      <w:r w:rsidRPr="00A428C3">
        <w:t>Abstract: The purpose of this paper is to suggest an efficient defluoridation process that does not require a large investment. The conventional processes of fluoride removal from water are ion exchange, reverse osmosis,</w:t>
      </w:r>
      <w:r w:rsidR="00F81221">
        <w:t xml:space="preserve"> and </w:t>
      </w:r>
      <w:r w:rsidRPr="00A428C3">
        <w:t>electrodialysis. However, the utility of these processes has been limited because of their expensive operation</w:t>
      </w:r>
      <w:r w:rsidR="00F81221">
        <w:t xml:space="preserve"> and </w:t>
      </w:r>
      <w:r w:rsidRPr="00A428C3">
        <w:t>subsequent problem of disposing of the waste being generated. Sorption is an effective technology for the treatment of industrial wastewater. Eichhornia crassipes</w:t>
      </w:r>
      <w:r w:rsidR="00F81221">
        <w:t xml:space="preserve"> and </w:t>
      </w:r>
      <w:r w:rsidRPr="00A428C3">
        <w:t>the activated carbon derived from this plant were examined to assess their capacity for the removal of fluoride from wastewater by batch techniques. Systematic batch studies on fluoride adsorption equilibrium</w:t>
      </w:r>
      <w:r w:rsidR="00F81221">
        <w:t xml:space="preserve"> and </w:t>
      </w:r>
      <w:r w:rsidRPr="00A428C3">
        <w:t>kinetics by E. crassipes</w:t>
      </w:r>
      <w:r w:rsidR="00F81221">
        <w:t xml:space="preserve"> and </w:t>
      </w:r>
      <w:r w:rsidRPr="00A428C3">
        <w:t>low-cost activated carbons prepared from E. crassipes were carried out. Studies were conducted to determine the optimum operating system parameters required for the establishment of columns such as contact time, dose,</w:t>
      </w:r>
      <w:r w:rsidR="00F81221">
        <w:t xml:space="preserve"> and </w:t>
      </w:r>
      <w:r w:rsidRPr="00A428C3">
        <w:t>size of the adsorbent. The adsorption of fluoride on noncarbonized</w:t>
      </w:r>
      <w:r w:rsidR="00F81221">
        <w:t xml:space="preserve"> and </w:t>
      </w:r>
      <w:r w:rsidRPr="00A428C3">
        <w:t>carbonized E. crassipes increases with increasing temperature (25, 35, 45 degreesC), thereby indicating that the process is endothermic in nature in all of the cases examined. The adsorption data were very well fitted by the Freundlich adsorption isotherm model. The Lagergren first-order rate equation was applied for the determination of the rate constants. Carbonized E. crassipes showed better removal efficiency than the noncarbonized plant. Further, the activation temperatures in the preparation of activated carbon played an important role. Carbon activated at 600 degreesC exhibited better performance than that activated at 300 degreesC. Column studies were also performed with an initial concentration of 15 ppm. The effluent volume at breakthrough was found to be 100 bed volumes,</w:t>
      </w:r>
      <w:r w:rsidR="00F81221">
        <w:t xml:space="preserve"> and </w:t>
      </w:r>
      <w:r w:rsidRPr="00A428C3">
        <w:t>the column capacity was calculated as 4.4 mg/g.</w:t>
      </w:r>
    </w:p>
    <w:p w:rsidR="00B95188" w:rsidRPr="00A428C3" w:rsidRDefault="00B95188" w:rsidP="00B95188">
      <w:pPr>
        <w:pStyle w:val="a0"/>
      </w:pPr>
      <w:r w:rsidRPr="00A428C3">
        <w:t xml:space="preserve">Keywords: Waste-Water, Fertilizer Waste, Single-Component, Drinking-Water, </w:t>
      </w:r>
      <w:r w:rsidRPr="00A428C3">
        <w:lastRenderedPageBreak/>
        <w:t>Fly-Ash, Adsorption, Defluoridation, Groundwater, Rajasthan, Sorption</w:t>
      </w:r>
    </w:p>
    <w:p w:rsidR="00B95188" w:rsidRPr="00A428C3" w:rsidRDefault="00B95188" w:rsidP="00B95188">
      <w:pPr>
        <w:pStyle w:val="a0"/>
      </w:pPr>
      <w:r w:rsidRPr="00A428C3">
        <w:t>Gibbs, G., Tobin, J.M.</w:t>
      </w:r>
      <w:r w:rsidR="00F81221">
        <w:t xml:space="preserve"> and </w:t>
      </w:r>
      <w:r w:rsidRPr="00A428C3">
        <w:t>Guibal, E. (2004), Influence of chitosan preprotonation on reactive black 5 sorption isotherms</w:t>
      </w:r>
      <w:r w:rsidR="00F81221">
        <w:t xml:space="preserve"> and </w:t>
      </w:r>
      <w:r w:rsidRPr="00A428C3">
        <w:t xml:space="preserve">kinetics. </w:t>
      </w:r>
      <w:r w:rsidRPr="00A428C3">
        <w:rPr>
          <w:i/>
        </w:rPr>
        <w:t>Industrial &amp; Engineering Chemistry Research</w:t>
      </w:r>
      <w:r w:rsidRPr="00A428C3">
        <w:t xml:space="preserve">, </w:t>
      </w:r>
      <w:r w:rsidRPr="00A428C3">
        <w:rPr>
          <w:b/>
        </w:rPr>
        <w:t>43</w:t>
      </w:r>
      <w:r w:rsidRPr="00A428C3">
        <w:t xml:space="preserve"> (1), 1-11.</w:t>
      </w:r>
    </w:p>
    <w:p w:rsidR="00B95188" w:rsidRPr="00A428C3" w:rsidRDefault="00B95188" w:rsidP="00B95188">
      <w:pPr>
        <w:pStyle w:val="a0"/>
      </w:pPr>
      <w:r w:rsidRPr="00A428C3">
        <w:t xml:space="preserve">Full Text: </w:t>
      </w:r>
      <w:hyperlink r:id="rId1199" w:history="1">
        <w:r w:rsidRPr="00A428C3">
          <w:rPr>
            <w:rStyle w:val="a5"/>
          </w:rPr>
          <w:t>I\Ind Eng Che Res43, 1.pdf</w:t>
        </w:r>
      </w:hyperlink>
    </w:p>
    <w:p w:rsidR="00B95188" w:rsidRPr="00A428C3" w:rsidRDefault="00B95188" w:rsidP="00B95188">
      <w:pPr>
        <w:pStyle w:val="a0"/>
      </w:pPr>
      <w:r w:rsidRPr="00A428C3">
        <w:t>Abstract: Reactive Black 5 was efficiently sorbed onto chitosan in acidic solutions through electrostatic attraction of anionic dye molecules to protonated amine groups of the polymer. Sorption capacities as high as 750-1000 mg of dye g</w:t>
      </w:r>
      <w:r w:rsidRPr="00A428C3">
        <w:rPr>
          <w:vertAlign w:val="superscript"/>
        </w:rPr>
        <w:t>-1</w:t>
      </w:r>
      <w:r w:rsidRPr="00A428C3">
        <w:t xml:space="preserve"> were obtained. The addition of chitosan to dye solution strongly affected the pH of the solution</w:t>
      </w:r>
      <w:r w:rsidR="00F81221">
        <w:t xml:space="preserve"> and </w:t>
      </w:r>
      <w:r w:rsidRPr="00A428C3">
        <w:t>the sorption efficiency. To avoid this variation of the pH, chitosan was conditioned in sulfuric acid solutions to prepare protonated chitosan. This preprotonation induced a significant lessening of sorption properties. This impact depended on dye concentration, sorbent dosage,</w:t>
      </w:r>
      <w:r w:rsidR="00F81221">
        <w:t xml:space="preserve"> and </w:t>
      </w:r>
      <w:r w:rsidRPr="00A428C3">
        <w:t>sorbent particle size. The ability of dyes to form aggregates in solution (depending on pH, dye concentration,</w:t>
      </w:r>
      <w:r w:rsidR="00F81221">
        <w:t xml:space="preserve"> and </w:t>
      </w:r>
      <w:r w:rsidRPr="00A428C3">
        <w:t>ionic strength) might partly explain the impact of the preprotonation on uptake performance. Indeed, the agglomeration of dye molecules affects the ionic size of the solute</w:t>
      </w:r>
      <w:r w:rsidR="00F81221">
        <w:t xml:space="preserve"> and </w:t>
      </w:r>
      <w:r w:rsidRPr="00A428C3">
        <w:t>consequently its diffusivity in the polymer network</w:t>
      </w:r>
      <w:r w:rsidR="00F81221">
        <w:t xml:space="preserve"> and </w:t>
      </w:r>
      <w:r w:rsidRPr="00A428C3">
        <w:t>accessibility to internal sites. Particle size, sorbent dosage,</w:t>
      </w:r>
      <w:r w:rsidR="00F81221">
        <w:t xml:space="preserve"> and </w:t>
      </w:r>
      <w:r w:rsidRPr="00A428C3">
        <w:t>dye concentration significantly affect sorption isotherms</w:t>
      </w:r>
      <w:r w:rsidR="00F81221">
        <w:t xml:space="preserve"> and </w:t>
      </w:r>
      <w:r w:rsidRPr="00A428C3">
        <w:t>kinetics.</w:t>
      </w:r>
    </w:p>
    <w:p w:rsidR="00B95188" w:rsidRPr="00A428C3" w:rsidRDefault="00B95188" w:rsidP="00B95188">
      <w:pPr>
        <w:pStyle w:val="a0"/>
      </w:pPr>
      <w:r w:rsidRPr="00A428C3">
        <w:t>Keywords: Aqueous-Solution, Heavy-Metals, Diffusion-Processes, Activated Carbons, Pore Diffusion, Color Removal, Anionic Dyes, Waste-Water, Azo Dyes, Adsorption</w:t>
      </w:r>
    </w:p>
    <w:p w:rsidR="00B95188" w:rsidRPr="00A428C3" w:rsidRDefault="00B95188" w:rsidP="00B95188">
      <w:pPr>
        <w:pStyle w:val="a0"/>
      </w:pPr>
      <w:r w:rsidRPr="00A428C3">
        <w:t>Martin, C.</w:t>
      </w:r>
      <w:r w:rsidR="00F81221">
        <w:t xml:space="preserve"> and </w:t>
      </w:r>
      <w:r w:rsidRPr="00A428C3">
        <w:t>Cuellar, J. (2004), Synthesis of a novel magnetic resin</w:t>
      </w:r>
      <w:r w:rsidR="00F81221">
        <w:t xml:space="preserve"> and </w:t>
      </w:r>
      <w:r w:rsidRPr="00A428C3">
        <w:t xml:space="preserve">the study of equilibrium in cation exchange with amino acids. </w:t>
      </w:r>
      <w:r w:rsidRPr="00A428C3">
        <w:rPr>
          <w:i/>
        </w:rPr>
        <w:t>Industrial &amp; Engineering Chemistry Research</w:t>
      </w:r>
      <w:r w:rsidRPr="00A428C3">
        <w:t xml:space="preserve">, </w:t>
      </w:r>
      <w:r w:rsidRPr="00A428C3">
        <w:rPr>
          <w:b/>
        </w:rPr>
        <w:t>43</w:t>
      </w:r>
      <w:r w:rsidRPr="00A428C3">
        <w:t xml:space="preserve"> (2), 475-485.</w:t>
      </w:r>
    </w:p>
    <w:p w:rsidR="00B95188" w:rsidRPr="00A428C3" w:rsidRDefault="00B95188" w:rsidP="00B95188">
      <w:pPr>
        <w:pStyle w:val="a0"/>
      </w:pPr>
      <w:r w:rsidRPr="00A428C3">
        <w:t xml:space="preserve">Full Text: </w:t>
      </w:r>
      <w:hyperlink r:id="rId1200" w:history="1">
        <w:r w:rsidRPr="00A428C3">
          <w:rPr>
            <w:rStyle w:val="a5"/>
          </w:rPr>
          <w:t>I\Ind Eng Che Res43, 475.pdf</w:t>
        </w:r>
      </w:hyperlink>
    </w:p>
    <w:p w:rsidR="00B95188" w:rsidRPr="00A428C3" w:rsidRDefault="00B95188" w:rsidP="00B95188">
      <w:pPr>
        <w:pStyle w:val="a0"/>
      </w:pPr>
      <w:r w:rsidRPr="00A428C3">
        <w:t>Abstract: Magnetic cation-exchange resins usually consist of small polymeric particles with a magnetic material dispersed within their structure. Because the mass-transfer kinetics through these solid particles depends on their size, very small diameter particles are desirable. Nevertheless, faster kinetics can also be obtained by using particles consisting of spherical magnetic cores covered with a thin layer of polymeric adsorbent material. In the present work, we describe the synthesis of a novel type of ion-exchange resin, in which the magnetic core was a single spherical stainless steel particle</w:t>
      </w:r>
      <w:r w:rsidR="00F81221">
        <w:t xml:space="preserve"> and </w:t>
      </w:r>
      <w:r w:rsidRPr="00A428C3">
        <w:t>the covering layer was poly(styrene-co-divinylbenzene). To check their ion-exchange characteristics, the equilibrium adsorption of the amino acids methionine, phenylalanine,</w:t>
      </w:r>
      <w:r w:rsidR="00F81221">
        <w:t xml:space="preserve"> and </w:t>
      </w:r>
      <w:r w:rsidRPr="00A428C3">
        <w:t>tryptophan on magnetic</w:t>
      </w:r>
      <w:r w:rsidR="00F81221">
        <w:t xml:space="preserve"> and </w:t>
      </w:r>
      <w:r w:rsidRPr="00A428C3">
        <w:t xml:space="preserve">nonmagnetic resins was investigated. The experimental results are explained in terms of a model that considers that the surface of the ion exchangers is heterogeneous, with two different types of adsorption sites with different selectivity coefficients. A higher fraction of sites with lower selectivity was found in the magnetic resins, resulting in </w:t>
      </w:r>
      <w:r w:rsidRPr="00A428C3">
        <w:lastRenderedPageBreak/>
        <w:t>adsorption isotherms slightly less rectangular than the isotherms obtained for the nonmagnetic resins.</w:t>
      </w:r>
    </w:p>
    <w:p w:rsidR="00B95188" w:rsidRPr="00A428C3" w:rsidRDefault="00B95188" w:rsidP="00B95188">
      <w:pPr>
        <w:pStyle w:val="a0"/>
      </w:pPr>
      <w:r w:rsidRPr="00A428C3">
        <w:t>Keywords: Solid-Phase Extraction, Stabilized Fluidized-Bed, Ion-Exchange, Protein Adsorption, Aqueous-Solutions, Polymeric Adsorbents, Controlled-Release, Alpha-Amylase, Particles, Beads</w:t>
      </w:r>
    </w:p>
    <w:p w:rsidR="00B95188" w:rsidRPr="00A428C3" w:rsidRDefault="00B95188" w:rsidP="00B95188">
      <w:pPr>
        <w:pStyle w:val="a0"/>
      </w:pPr>
      <w:r w:rsidRPr="00A428C3">
        <w:t>Prasad, M.</w:t>
      </w:r>
      <w:r w:rsidR="00F81221">
        <w:t xml:space="preserve"> and </w:t>
      </w:r>
      <w:r w:rsidRPr="00A428C3">
        <w:t xml:space="preserve">Saxena, S. (2004), Sorption mechanism of some divalent metal ions onto low-cost mineral adsorbent. </w:t>
      </w:r>
      <w:r w:rsidRPr="00A428C3">
        <w:rPr>
          <w:i/>
        </w:rPr>
        <w:t>Industrial &amp; Engineering Chemistry Research</w:t>
      </w:r>
      <w:r w:rsidRPr="00A428C3">
        <w:t xml:space="preserve">, </w:t>
      </w:r>
      <w:r w:rsidRPr="00A428C3">
        <w:rPr>
          <w:b/>
        </w:rPr>
        <w:t>43</w:t>
      </w:r>
      <w:r w:rsidRPr="00A428C3">
        <w:t xml:space="preserve"> (6), 1512-1522.</w:t>
      </w:r>
    </w:p>
    <w:p w:rsidR="00B95188" w:rsidRPr="00A428C3" w:rsidRDefault="00B95188" w:rsidP="00B95188">
      <w:pPr>
        <w:pStyle w:val="a0"/>
      </w:pPr>
      <w:r w:rsidRPr="00A428C3">
        <w:t xml:space="preserve">Full Text: </w:t>
      </w:r>
      <w:hyperlink r:id="rId1201" w:history="1">
        <w:r w:rsidRPr="00A428C3">
          <w:rPr>
            <w:rStyle w:val="a5"/>
          </w:rPr>
          <w:t>I\Ind Eng Che Res43, 1512.pdf</w:t>
        </w:r>
      </w:hyperlink>
    </w:p>
    <w:p w:rsidR="00B95188" w:rsidRPr="00A428C3" w:rsidRDefault="00B95188" w:rsidP="00B95188">
      <w:pPr>
        <w:pStyle w:val="a0"/>
      </w:pPr>
      <w:r w:rsidRPr="00A428C3">
        <w:t>Abstract: This paper investigates the underlying mechanism of uptake from aqueous solution of divalent metal cations (Pb</w:t>
      </w:r>
      <w:r w:rsidRPr="00A428C3">
        <w:rPr>
          <w:vertAlign w:val="superscript"/>
        </w:rPr>
        <w:t>2+</w:t>
      </w:r>
      <w:r w:rsidRPr="00A428C3">
        <w:t>, Cu</w:t>
      </w:r>
      <w:r w:rsidRPr="00A428C3">
        <w:rPr>
          <w:vertAlign w:val="superscript"/>
        </w:rPr>
        <w:t>2+</w:t>
      </w:r>
      <w:r w:rsidRPr="00A428C3">
        <w:t>,</w:t>
      </w:r>
      <w:r w:rsidR="00F81221">
        <w:t xml:space="preserve"> and </w:t>
      </w:r>
      <w:r w:rsidRPr="00A428C3">
        <w:t>Zn</w:t>
      </w:r>
      <w:r w:rsidRPr="00A428C3">
        <w:rPr>
          <w:vertAlign w:val="superscript"/>
        </w:rPr>
        <w:t>2+</w:t>
      </w:r>
      <w:r w:rsidRPr="00A428C3">
        <w:t xml:space="preserve">) by a low-cost mineral adsorbent. Batch adsorption studies were carried out for the concentration ranges of 24.1-2410 </w:t>
      </w:r>
      <w:r w:rsidRPr="00A428C3">
        <w:sym w:font="Symbol" w:char="F06D"/>
      </w:r>
      <w:r w:rsidRPr="00A428C3">
        <w:t xml:space="preserve">mol/L for lead, 78.65-7865 </w:t>
      </w:r>
      <w:r w:rsidRPr="00A428C3">
        <w:sym w:font="Symbol" w:char="F06D"/>
      </w:r>
      <w:r w:rsidRPr="00A428C3">
        <w:t>mol/L for copper,</w:t>
      </w:r>
      <w:r w:rsidR="00F81221">
        <w:t xml:space="preserve"> and </w:t>
      </w:r>
      <w:r w:rsidRPr="00A428C3">
        <w:t xml:space="preserve">76.45-7645 </w:t>
      </w:r>
      <w:r w:rsidRPr="00A428C3">
        <w:sym w:font="Symbol" w:char="F06D"/>
      </w:r>
      <w:r w:rsidRPr="00A428C3">
        <w:t>mol/L for zinc solutions under natural conditions. Two simple kinetic models, that is, pseudo-first-order</w:t>
      </w:r>
      <w:r w:rsidR="00F81221">
        <w:t xml:space="preserve"> and </w:t>
      </w:r>
      <w:r w:rsidRPr="00A428C3">
        <w:t>pseudo-second-order models, were tested to investigate the adsorption mechanism. All of the parameters of these models were calculated</w:t>
      </w:r>
      <w:r w:rsidR="00F81221">
        <w:t xml:space="preserve"> and </w:t>
      </w:r>
      <w:r w:rsidRPr="00A428C3">
        <w:t>are discussed. Rate constants were found to be nearly constant at all metal concentrations for the first-order model, whereas they gradually decreased with increasing metal concentration in the order Pb</w:t>
      </w:r>
      <w:r w:rsidRPr="00A428C3">
        <w:rPr>
          <w:vertAlign w:val="superscript"/>
        </w:rPr>
        <w:t>2+</w:t>
      </w:r>
      <w:r w:rsidRPr="00A428C3">
        <w:t xml:space="preserve"> &gt; Cu</w:t>
      </w:r>
      <w:r w:rsidRPr="00A428C3">
        <w:rPr>
          <w:vertAlign w:val="superscript"/>
        </w:rPr>
        <w:t>2+</w:t>
      </w:r>
      <w:r w:rsidRPr="00A428C3">
        <w:t xml:space="preserve"> &gt; Zn</w:t>
      </w:r>
      <w:r w:rsidRPr="00A428C3">
        <w:rPr>
          <w:vertAlign w:val="superscript"/>
        </w:rPr>
        <w:t>2+</w:t>
      </w:r>
      <w:r w:rsidRPr="00A428C3">
        <w:t xml:space="preserve"> for the second-order model. The sorption kinetics appears to be mainly controlled by liquid-film diffusion. External-diffusion</w:t>
      </w:r>
      <w:r w:rsidR="00F81221">
        <w:t xml:space="preserve"> and </w:t>
      </w:r>
      <w:r w:rsidRPr="00A428C3">
        <w:t>film-diffusion models were tested to evaluate mass-transfer coefficients</w:t>
      </w:r>
      <w:r w:rsidR="00F81221">
        <w:t xml:space="preserve"> and </w:t>
      </w:r>
      <w:r w:rsidRPr="00A428C3">
        <w:t>film-transfer constants at different initial concentrations of solute (metal cation). Both mass-transfer</w:t>
      </w:r>
      <w:r w:rsidR="00F81221">
        <w:t xml:space="preserve"> and </w:t>
      </w:r>
      <w:r w:rsidRPr="00A428C3">
        <w:t>film-transfer constants were noticed to be affected by the initial metal concentration. They gradually decreased with increasing initial concentration of metal cation in the order Pb</w:t>
      </w:r>
      <w:r w:rsidRPr="00A428C3">
        <w:rPr>
          <w:vertAlign w:val="superscript"/>
        </w:rPr>
        <w:t>2+</w:t>
      </w:r>
      <w:r w:rsidRPr="00A428C3">
        <w:t xml:space="preserve"> &gt; Cu</w:t>
      </w:r>
      <w:r w:rsidRPr="00A428C3">
        <w:rPr>
          <w:vertAlign w:val="superscript"/>
        </w:rPr>
        <w:t>2+</w:t>
      </w:r>
      <w:r w:rsidRPr="00A428C3">
        <w:t xml:space="preserve"> &gt; Zn</w:t>
      </w:r>
      <w:r w:rsidRPr="00A428C3">
        <w:rPr>
          <w:vertAlign w:val="superscript"/>
        </w:rPr>
        <w:t>2+</w:t>
      </w:r>
      <w:r w:rsidRPr="00A428C3">
        <w:t>. The film-diffusion model was found not to be applicable for the adsorption of lower concentrations of divalent cations. The equilibrium data were described to a lesser extent by Freundlich model,</w:t>
      </w:r>
      <w:r w:rsidR="00F81221">
        <w:t xml:space="preserve"> and </w:t>
      </w:r>
      <w:r w:rsidRPr="00A428C3">
        <w:t>the Langmuir model seemed to be more appropriate, giving maximum fixation capacities for Pb</w:t>
      </w:r>
      <w:r w:rsidRPr="00A428C3">
        <w:rPr>
          <w:vertAlign w:val="superscript"/>
        </w:rPr>
        <w:t>2+</w:t>
      </w:r>
      <w:r w:rsidRPr="00A428C3">
        <w:t>, Cu</w:t>
      </w:r>
      <w:r w:rsidRPr="00A428C3">
        <w:rPr>
          <w:vertAlign w:val="superscript"/>
        </w:rPr>
        <w:t>2+</w:t>
      </w:r>
      <w:r w:rsidRPr="00A428C3">
        <w:t>,</w:t>
      </w:r>
      <w:r w:rsidR="00F81221">
        <w:t xml:space="preserve"> and </w:t>
      </w:r>
      <w:r w:rsidRPr="00A428C3">
        <w:t>Zn</w:t>
      </w:r>
      <w:r w:rsidRPr="00A428C3">
        <w:rPr>
          <w:vertAlign w:val="superscript"/>
        </w:rPr>
        <w:t>2+</w:t>
      </w:r>
      <w:r w:rsidRPr="00A428C3">
        <w:t xml:space="preserve"> of 90.9, 270.2,</w:t>
      </w:r>
      <w:r w:rsidR="00F81221">
        <w:t xml:space="preserve"> and </w:t>
      </w:r>
      <w:r w:rsidRPr="00A428C3">
        <w:t xml:space="preserve">250.0 </w:t>
      </w:r>
      <w:r w:rsidRPr="00A428C3">
        <w:sym w:font="Symbol" w:char="F06D"/>
      </w:r>
      <w:r w:rsidRPr="00A428C3">
        <w:t>mol/g, respectively. The crystallographic dimensions of the treated mineral adsorbent samples were measured by X-ray diffraction (XRD), which revealed appreciable expansion of the crystal size as a result of the incorporation of divalent cations in the place of exchangeable cations of the adsorbent. The affinity order for the adsorption of cations by the mineral adsorbent is validated by ionic radius theory. Cation exchange along with complexation were found to be the most probable mechanisms for the sorption of divalent cations. An attempt was made to quantify the ion-exchange</w:t>
      </w:r>
      <w:r w:rsidR="00F81221">
        <w:t xml:space="preserve"> and </w:t>
      </w:r>
      <w:r w:rsidRPr="00A428C3">
        <w:t>complexation mechanisms.</w:t>
      </w:r>
    </w:p>
    <w:p w:rsidR="00D07FD3" w:rsidRDefault="00D07FD3" w:rsidP="00D07FD3">
      <w:pPr>
        <w:pStyle w:val="a0"/>
        <w:rPr>
          <w:kern w:val="0"/>
        </w:rPr>
      </w:pPr>
      <w:r>
        <w:rPr>
          <w:kern w:val="0"/>
        </w:rPr>
        <w:t xml:space="preserve">Keywords: 25°C, Activated Carbon, Adsorption, Adsorption Mechanism, Aqueous, Aqueous-Solutions, Batch Adsorption, Cation Exchange, Complexation, Copper, </w:t>
      </w:r>
      <w:r>
        <w:rPr>
          <w:kern w:val="0"/>
        </w:rPr>
        <w:lastRenderedPageBreak/>
        <w:t>Cu</w:t>
      </w:r>
      <w:r w:rsidRPr="003D58FF">
        <w:rPr>
          <w:kern w:val="0"/>
          <w:vertAlign w:val="superscript"/>
        </w:rPr>
        <w:t>2+</w:t>
      </w:r>
      <w:r>
        <w:rPr>
          <w:kern w:val="0"/>
        </w:rPr>
        <w:t>, Diffusion, Equilibrium, Expansion, First Order, Freundlich, Heavy-Metals, Inorganic Cation-Exchangers, Ion Exchange, Kinetic, Kinetic Models, Kinetics, Langmuir, Langmuir Model, Lead, Lead Orthophosphates, Mass Transfer, Mechanism, Mechanisms, Metal, Metal Ions, Model, Models, Pb</w:t>
      </w:r>
      <w:r w:rsidRPr="003D58FF">
        <w:rPr>
          <w:kern w:val="0"/>
          <w:vertAlign w:val="superscript"/>
        </w:rPr>
        <w:t>2+</w:t>
      </w:r>
      <w:r>
        <w:rPr>
          <w:kern w:val="0"/>
        </w:rPr>
        <w:t>, Pseudo Second Order, Pseudo-Second-Order, Removal, Second Order, Solute, Solutions, Sorption, Sorption Kinetics, Sorption Mechanism, Synthetic Hydroxyapatites, Theory, X-Ray Diffraction, Xrd, Zn</w:t>
      </w:r>
      <w:r w:rsidRPr="003D58FF">
        <w:rPr>
          <w:kern w:val="0"/>
          <w:vertAlign w:val="superscript"/>
        </w:rPr>
        <w:t>2+</w:t>
      </w:r>
    </w:p>
    <w:p w:rsidR="00B95188" w:rsidRPr="00A428C3" w:rsidRDefault="00B95188" w:rsidP="00B95188">
      <w:pPr>
        <w:pStyle w:val="a0"/>
      </w:pPr>
      <w:r w:rsidRPr="00A428C3">
        <w:t>Garrote, G., Dominguez, H.</w:t>
      </w:r>
      <w:r w:rsidR="00F81221">
        <w:t xml:space="preserve"> and </w:t>
      </w:r>
      <w:r w:rsidRPr="00A428C3">
        <w:t xml:space="preserve">Parajo, J.C. (2004), Production of substituted oligosaccharides by hydrolytic processing of barley husks. </w:t>
      </w:r>
      <w:r w:rsidRPr="00A428C3">
        <w:rPr>
          <w:i/>
        </w:rPr>
        <w:t>Industrial &amp; Engineering Chemistry Research</w:t>
      </w:r>
      <w:r w:rsidRPr="00A428C3">
        <w:t xml:space="preserve">, </w:t>
      </w:r>
      <w:r w:rsidRPr="00A428C3">
        <w:rPr>
          <w:b/>
        </w:rPr>
        <w:t>43</w:t>
      </w:r>
      <w:r w:rsidRPr="00A428C3">
        <w:t xml:space="preserve"> (7), 1608-1614.</w:t>
      </w:r>
    </w:p>
    <w:p w:rsidR="00B95188" w:rsidRPr="00A428C3" w:rsidRDefault="00B95188" w:rsidP="00B95188">
      <w:pPr>
        <w:pStyle w:val="a0"/>
      </w:pPr>
      <w:r w:rsidRPr="00A428C3">
        <w:t xml:space="preserve">Full Text: </w:t>
      </w:r>
      <w:hyperlink r:id="rId1202" w:history="1">
        <w:r w:rsidRPr="00A428C3">
          <w:rPr>
            <w:rStyle w:val="a5"/>
          </w:rPr>
          <w:t>I\Ind Eng Che Res43, 1608.pdf</w:t>
        </w:r>
      </w:hyperlink>
    </w:p>
    <w:p w:rsidR="00B95188" w:rsidRPr="00A428C3" w:rsidRDefault="00B95188" w:rsidP="00B95188">
      <w:pPr>
        <w:pStyle w:val="a0"/>
      </w:pPr>
      <w:r w:rsidRPr="00A428C3">
        <w:t>Abstract: Barley husks have been subjected to nonisothermal treatments in aqueous media in order to cause the selective degradation of their hemicellulose fraction. The concentration profiles of araban, xylan, oligosaccharides, monosaccharides, furfural, furfural-degradation products, acetyl groups,</w:t>
      </w:r>
      <w:r w:rsidR="00F81221">
        <w:t xml:space="preserve"> and </w:t>
      </w:r>
      <w:r w:rsidRPr="00A428C3">
        <w:t>acetic acid have been experimentally measured. Kinetic models describing the time course of hemicellulose-decomposition products have been developed. On the basis of the model predictions, operational conditions leading to maximal concentrations of oligosaccharides (suitable as prebiotic components of foods) have been identified,</w:t>
      </w:r>
      <w:r w:rsidR="00F81221">
        <w:t xml:space="preserve"> and </w:t>
      </w:r>
      <w:r w:rsidRPr="00A428C3">
        <w:t>the hemicellulose-degradation products obtained under these conditions have been quantified. Additional experiments have been carried out to identify nonsaccharide byproducts present in autohydrolysis liquors.</w:t>
      </w:r>
    </w:p>
    <w:p w:rsidR="00B95188" w:rsidRPr="00A428C3" w:rsidRDefault="00B95188" w:rsidP="00B95188">
      <w:pPr>
        <w:pStyle w:val="a0"/>
      </w:pPr>
      <w:r w:rsidRPr="00A428C3">
        <w:t>Keywords: Xylo-Oligosaccharides, Xylooligosaccharide Production, Wood, Autohydrolysis, Pretreatment, Antioxidant, Components, Biomass, Acids</w:t>
      </w:r>
    </w:p>
    <w:p w:rsidR="00B95188" w:rsidRPr="00A428C3" w:rsidRDefault="00B95188" w:rsidP="00B95188">
      <w:pPr>
        <w:pStyle w:val="a0"/>
      </w:pPr>
      <w:r w:rsidRPr="00A428C3">
        <w:t>Wang, X.L., Pehkonen, S.O.</w:t>
      </w:r>
      <w:r w:rsidR="00F81221">
        <w:t xml:space="preserve"> and </w:t>
      </w:r>
      <w:r w:rsidRPr="00A428C3">
        <w:t>Ray, A.K. (2004), Removal of aqueous Cr(VI) by a combination of photocatalytic reduction</w:t>
      </w:r>
      <w:r w:rsidR="00F81221">
        <w:t xml:space="preserve"> and </w:t>
      </w:r>
      <w:r w:rsidRPr="00A428C3">
        <w:t xml:space="preserve">coprecipitation. </w:t>
      </w:r>
      <w:r w:rsidRPr="00A428C3">
        <w:rPr>
          <w:i/>
        </w:rPr>
        <w:t>Industrial &amp; Engineering Chemistry Research</w:t>
      </w:r>
      <w:r w:rsidRPr="00A428C3">
        <w:t xml:space="preserve">, </w:t>
      </w:r>
      <w:r w:rsidRPr="00A428C3">
        <w:rPr>
          <w:b/>
        </w:rPr>
        <w:t>43</w:t>
      </w:r>
      <w:r w:rsidRPr="00A428C3">
        <w:t xml:space="preserve"> (7), 1665-1672.</w:t>
      </w:r>
    </w:p>
    <w:p w:rsidR="00B95188" w:rsidRPr="00A428C3" w:rsidRDefault="00B95188" w:rsidP="00B95188">
      <w:pPr>
        <w:pStyle w:val="a0"/>
      </w:pPr>
      <w:r w:rsidRPr="00A428C3">
        <w:t xml:space="preserve">Full Text: </w:t>
      </w:r>
      <w:hyperlink r:id="rId1203" w:history="1">
        <w:r w:rsidRPr="00A428C3">
          <w:rPr>
            <w:rStyle w:val="a5"/>
          </w:rPr>
          <w:t>I\Ind Eng Che Res43, 1665.pdf</w:t>
        </w:r>
      </w:hyperlink>
    </w:p>
    <w:p w:rsidR="00B95188" w:rsidRPr="00A428C3" w:rsidRDefault="00B95188" w:rsidP="00B95188">
      <w:pPr>
        <w:pStyle w:val="a0"/>
      </w:pPr>
      <w:r w:rsidRPr="00A428C3">
        <w:t>Abstract: Semiconductor photocatalytic reduction is a relatively new technique for the removal of dissolved toxic metal ions from wastewater. In this paper, adsorption</w:t>
      </w:r>
      <w:r w:rsidR="00F81221">
        <w:t xml:space="preserve"> and </w:t>
      </w:r>
      <w:r w:rsidRPr="00A428C3">
        <w:t>photocatalytic reduction of Cr(VI) to Cr(III) inaqueous solutions by UV/TiO</w:t>
      </w:r>
      <w:r w:rsidRPr="00A428C3">
        <w:rPr>
          <w:vertAlign w:val="subscript"/>
        </w:rPr>
        <w:t>2</w:t>
      </w:r>
      <w:r w:rsidRPr="00A428C3">
        <w:t xml:space="preserve"> photocatalysis has been investigated. It has been observed that the pH of the solution plays an important role in this reaction. An acidic medium is favorable for Cr(VI) photocatalytic reduction, where 94% of Cr(VI) was photoreduced within 1 h at pH 3 when </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t>2 g</w:t>
        </w:r>
      </w:smartTag>
      <w:r w:rsidRPr="00A428C3">
        <w:t>/L of TiO</w:t>
      </w:r>
      <w:r w:rsidRPr="00A428C3">
        <w:rPr>
          <w:vertAlign w:val="subscript"/>
        </w:rPr>
        <w:t>2</w:t>
      </w:r>
      <w:r w:rsidRPr="00A428C3">
        <w:t xml:space="preserve"> was used as the slurry. An adsorption study shows that the photocatalytic reduction mainly occurs on the surface of TiO</w:t>
      </w:r>
      <w:r w:rsidRPr="00A428C3">
        <w:rPr>
          <w:vertAlign w:val="subscript"/>
        </w:rPr>
        <w:t>2</w:t>
      </w:r>
      <w:r w:rsidRPr="00A428C3">
        <w:t>, The presence of Fe(III) improved the photocatalytic reduction of Cr(VI) because it was observed that an additional reaction between Fe(II)</w:t>
      </w:r>
      <w:r w:rsidR="00F81221">
        <w:t xml:space="preserve"> and </w:t>
      </w:r>
      <w:r w:rsidRPr="00A428C3">
        <w:t>Cr(VI) takes place in the UV/TiO</w:t>
      </w:r>
      <w:r w:rsidRPr="00A428C3">
        <w:rPr>
          <w:vertAlign w:val="subscript"/>
        </w:rPr>
        <w:t>2</w:t>
      </w:r>
      <w:r w:rsidRPr="00A428C3">
        <w:t xml:space="preserve"> reduction process. A new combination of photocatalytic reduction</w:t>
      </w:r>
      <w:r w:rsidR="00F81221">
        <w:t xml:space="preserve"> and </w:t>
      </w:r>
      <w:r w:rsidRPr="00A428C3">
        <w:t xml:space="preserve">metal ion </w:t>
      </w:r>
      <w:r w:rsidRPr="00A428C3">
        <w:lastRenderedPageBreak/>
        <w:t>coprecipitation using Fe(OH)</w:t>
      </w:r>
      <w:r w:rsidRPr="00A428C3">
        <w:rPr>
          <w:vertAlign w:val="subscript"/>
        </w:rPr>
        <w:t>3</w:t>
      </w:r>
      <w:r w:rsidRPr="00A428C3">
        <w:t xml:space="preserve"> for complete removal of aqueous Cr [Cr(VI) as well as Cr(III)] was designed, which reduced the chromium concentration from 30 ppm to 17 ppb for a simulated wastewater. Thermodynamic analysis showed that TiO</w:t>
      </w:r>
      <w:r w:rsidRPr="00A428C3">
        <w:rPr>
          <w:vertAlign w:val="subscript"/>
        </w:rPr>
        <w:t>2</w:t>
      </w:r>
      <w:r w:rsidRPr="00A428C3">
        <w:t xml:space="preserve"> cannot photoreduce Cr(III) to Cr(0), but reduction is possible with ZnS. When kinetic experiments were performed, it was observed that more than 86% of Cr(III) could be photoreduced to Cr(0) in 5 h with a ZnS catalyst.</w:t>
      </w:r>
    </w:p>
    <w:p w:rsidR="00B95188" w:rsidRPr="00A428C3" w:rsidRDefault="00B95188" w:rsidP="00B95188">
      <w:pPr>
        <w:pStyle w:val="a0"/>
      </w:pPr>
      <w:r w:rsidRPr="00A428C3">
        <w:t>Keywords: Environmental-Pollutant Cr(VI), Hexavalent Chromium, Semiconductor Photocatalysis, Light Illumination, Titanium-Dioxide, Ferrous Iron, Waste-Water, TiO</w:t>
      </w:r>
      <w:r w:rsidRPr="00A428C3">
        <w:rPr>
          <w:vertAlign w:val="subscript"/>
        </w:rPr>
        <w:t>2</w:t>
      </w:r>
      <w:r w:rsidRPr="00A428C3">
        <w:t>, Groundwater, Ions</w:t>
      </w:r>
    </w:p>
    <w:p w:rsidR="00B95188" w:rsidRPr="00A428C3" w:rsidRDefault="00B95188" w:rsidP="00B95188">
      <w:pPr>
        <w:pStyle w:val="a0"/>
      </w:pPr>
      <w:r w:rsidRPr="00A428C3">
        <w:t>Gupta, V.K., Suhas, Ali, I.</w:t>
      </w:r>
      <w:r w:rsidR="00F81221">
        <w:t xml:space="preserve"> and </w:t>
      </w:r>
      <w:r w:rsidRPr="00A428C3">
        <w:t>Saini, V.K. (2004), Removal of rhodamine B, fast green,</w:t>
      </w:r>
      <w:r w:rsidR="00F81221">
        <w:t xml:space="preserve"> and </w:t>
      </w:r>
      <w:r w:rsidRPr="00A428C3">
        <w:t xml:space="preserve">Methylene blue from wastewater using red mud, an aluminum industry waste. </w:t>
      </w:r>
      <w:r w:rsidRPr="00A428C3">
        <w:rPr>
          <w:i/>
        </w:rPr>
        <w:t>Industrial &amp; Engineering Chemistry Research</w:t>
      </w:r>
      <w:r w:rsidRPr="00A428C3">
        <w:t xml:space="preserve">, </w:t>
      </w:r>
      <w:r w:rsidRPr="00A428C3">
        <w:rPr>
          <w:b/>
        </w:rPr>
        <w:t>43</w:t>
      </w:r>
      <w:r w:rsidRPr="00A428C3">
        <w:t xml:space="preserve"> (7), 1740-1747.</w:t>
      </w:r>
    </w:p>
    <w:p w:rsidR="00B95188" w:rsidRPr="00A428C3" w:rsidRDefault="00B95188" w:rsidP="00B95188">
      <w:pPr>
        <w:pStyle w:val="a0"/>
      </w:pPr>
      <w:r w:rsidRPr="00A428C3">
        <w:t xml:space="preserve">Full Text: </w:t>
      </w:r>
      <w:hyperlink r:id="rId1204" w:history="1">
        <w:r w:rsidRPr="00A428C3">
          <w:rPr>
            <w:rStyle w:val="a5"/>
          </w:rPr>
          <w:t>I\Ind Eng Che Res43, 1740.pdf</w:t>
        </w:r>
      </w:hyperlink>
    </w:p>
    <w:p w:rsidR="00B95188" w:rsidRPr="00A428C3" w:rsidRDefault="00B95188" w:rsidP="00B95188">
      <w:pPr>
        <w:pStyle w:val="a0"/>
      </w:pPr>
      <w:r w:rsidRPr="00A428C3">
        <w:t>Abstract: Successful removal of rhodamine B, fast green,</w:t>
      </w:r>
      <w:r w:rsidR="00F81221">
        <w:t xml:space="preserve"> and </w:t>
      </w:r>
      <w:r w:rsidRPr="00A428C3">
        <w:t>Methylene blue from wastewater was achieved using red mud, an aluminum industry waste. The percentage removals of rhodamine B, fast green,</w:t>
      </w:r>
      <w:r w:rsidR="00F81221">
        <w:t xml:space="preserve"> and </w:t>
      </w:r>
      <w:r w:rsidRPr="00A428C3">
        <w:t>Methylene blue on this adsorbent were 92.5, 94.0,</w:t>
      </w:r>
      <w:r w:rsidR="00F81221">
        <w:t xml:space="preserve"> and </w:t>
      </w:r>
      <w:r w:rsidRPr="00A428C3">
        <w:t>75.0, respectively. Studies were conducted to delineate the effects of initial absorbate concentration, pH, adsorbent dose, contact time, temperature,</w:t>
      </w:r>
      <w:r w:rsidR="00F81221">
        <w:t xml:space="preserve"> and </w:t>
      </w:r>
      <w:r w:rsidRPr="00A428C3">
        <w:t>adsorbent particle size. Up to 95-97% removals of rhodamine B, fast green,</w:t>
      </w:r>
      <w:r w:rsidR="00F81221">
        <w:t xml:space="preserve"> and </w:t>
      </w:r>
      <w:r w:rsidRPr="00A428C3">
        <w:t>Methylene blue were achieved in column experiments at a flow rate of 0.5 mL/min. The adsorption was found to be exothermic in nature. The developed system is very useful, rapid,</w:t>
      </w:r>
      <w:r w:rsidR="00F81221">
        <w:t xml:space="preserve"> and </w:t>
      </w:r>
      <w:r w:rsidRPr="00A428C3">
        <w:t>reproducible for the removal of the three dyes.</w:t>
      </w:r>
    </w:p>
    <w:p w:rsidR="00B95188" w:rsidRPr="00A428C3" w:rsidRDefault="00B95188" w:rsidP="00B95188">
      <w:pPr>
        <w:pStyle w:val="a0"/>
      </w:pPr>
      <w:r w:rsidRPr="00A428C3">
        <w:t>Keywords: Adsorption, Cadmium, Moss</w:t>
      </w:r>
    </w:p>
    <w:p w:rsidR="00B95188" w:rsidRPr="00A428C3" w:rsidRDefault="00B95188" w:rsidP="00B95188">
      <w:pPr>
        <w:pStyle w:val="a0"/>
      </w:pPr>
      <w:r w:rsidRPr="00A428C3">
        <w:t>Loukidou, M.X., Karapantsios, T.D., Zouboulis, A.I.</w:t>
      </w:r>
      <w:r w:rsidR="00F81221">
        <w:t xml:space="preserve"> and </w:t>
      </w:r>
      <w:r w:rsidRPr="00A428C3">
        <w:t xml:space="preserve">Matis, K.A. (2004), Diffusion kinetic study of chromium(VI) biosorption by </w:t>
      </w:r>
      <w:r w:rsidRPr="00A428C3">
        <w:rPr>
          <w:i/>
          <w:iCs/>
        </w:rPr>
        <w:t>Aeromonas caviae</w:t>
      </w:r>
      <w:r w:rsidRPr="00A428C3">
        <w:t xml:space="preserve">. </w:t>
      </w:r>
      <w:r w:rsidRPr="00A428C3">
        <w:rPr>
          <w:i/>
        </w:rPr>
        <w:t>Industrial &amp; Engineering Chemistry Research</w:t>
      </w:r>
      <w:r w:rsidRPr="00A428C3">
        <w:t xml:space="preserve">, </w:t>
      </w:r>
      <w:r w:rsidRPr="00A428C3">
        <w:rPr>
          <w:b/>
        </w:rPr>
        <w:t>43</w:t>
      </w:r>
      <w:r w:rsidRPr="00A428C3">
        <w:t xml:space="preserve"> (7), 1748-1755.</w:t>
      </w:r>
    </w:p>
    <w:p w:rsidR="00B95188" w:rsidRPr="00A428C3" w:rsidRDefault="00B95188" w:rsidP="00B95188">
      <w:pPr>
        <w:pStyle w:val="a0"/>
      </w:pPr>
      <w:r w:rsidRPr="00A428C3">
        <w:t xml:space="preserve">Full Text: </w:t>
      </w:r>
      <w:hyperlink r:id="rId1205" w:history="1">
        <w:r w:rsidRPr="00A428C3">
          <w:rPr>
            <w:rStyle w:val="a5"/>
          </w:rPr>
          <w:t>I\Ind Eng Che Res43, 1748.pdf</w:t>
        </w:r>
      </w:hyperlink>
    </w:p>
    <w:p w:rsidR="00B95188" w:rsidRPr="00A428C3" w:rsidRDefault="00B95188" w:rsidP="00B95188">
      <w:pPr>
        <w:pStyle w:val="a0"/>
      </w:pPr>
      <w:r w:rsidRPr="00A428C3">
        <w:t xml:space="preserve">Abstract: The removal of chromium from aqueous solution in a well-stirred batch reactor by sorption on </w:t>
      </w:r>
      <w:r w:rsidRPr="00A428C3">
        <w:rPr>
          <w:i/>
          <w:iCs/>
        </w:rPr>
        <w:t>Aeromonas caviae</w:t>
      </w:r>
      <w:r w:rsidRPr="00A428C3">
        <w:t xml:space="preserve"> biomass particles, isolated from potable groundwater supplies, was investigated. Equilibrium</w:t>
      </w:r>
      <w:r w:rsidR="00F81221">
        <w:t xml:space="preserve"> and </w:t>
      </w:r>
      <w:r w:rsidRPr="00A428C3">
        <w:t>kinetic experiments were performed at various initial bulk concentrations, biomass loads,</w:t>
      </w:r>
      <w:r w:rsidR="00F81221">
        <w:t xml:space="preserve"> and </w:t>
      </w:r>
      <w:r w:rsidRPr="00A428C3">
        <w:t>temperatures, with promising results. It was seen that the sorption capacity is appreciable for most experimental conditions, so the biomass can be considered as a suitable biosorbent for applications. Moreover, the sorption rate of the metal ions was found to be particularly sensitive to both the initial bulk concentration</w:t>
      </w:r>
      <w:r w:rsidR="00F81221">
        <w:t xml:space="preserve"> and </w:t>
      </w:r>
      <w:r w:rsidRPr="00A428C3">
        <w:t>the biomass load. A detailed analysis was conducted examining several diffusion (external</w:t>
      </w:r>
      <w:r w:rsidR="00F81221">
        <w:t xml:space="preserve"> and </w:t>
      </w:r>
      <w:r w:rsidRPr="00A428C3">
        <w:t>intraparticle) kinetic models to identify a suitable rate expression,</w:t>
      </w:r>
      <w:r w:rsidR="00F81221">
        <w:t xml:space="preserve"> and </w:t>
      </w:r>
      <w:r w:rsidRPr="00A428C3">
        <w:t>interesting conclusions were reached. In this effort, information from SEM analyses</w:t>
      </w:r>
      <w:r w:rsidR="00F81221">
        <w:t xml:space="preserve"> and </w:t>
      </w:r>
      <w:r w:rsidRPr="00A428C3">
        <w:t xml:space="preserve">certain </w:t>
      </w:r>
      <w:r w:rsidRPr="00A428C3">
        <w:lastRenderedPageBreak/>
        <w:t>desorption runs was also incorporated.</w:t>
      </w:r>
    </w:p>
    <w:p w:rsidR="00B95188" w:rsidRPr="00A428C3" w:rsidRDefault="00B95188" w:rsidP="00B95188">
      <w:pPr>
        <w:pStyle w:val="a0"/>
      </w:pPr>
      <w:r w:rsidRPr="00A428C3">
        <w:t>Keywords: Heavy-Metals, Equilibrium, Sorption, Cadmium, Biomass, Removal</w:t>
      </w:r>
    </w:p>
    <w:p w:rsidR="00B95188" w:rsidRPr="00A428C3" w:rsidRDefault="00B95188" w:rsidP="00B95188">
      <w:pPr>
        <w:pStyle w:val="a0"/>
      </w:pPr>
      <w:r w:rsidRPr="00A428C3">
        <w:t>Loy, J.E., Guo, J.H.</w:t>
      </w:r>
      <w:r w:rsidR="00F81221">
        <w:t xml:space="preserve"> and </w:t>
      </w:r>
      <w:r w:rsidRPr="00A428C3">
        <w:t>Severtson, S.J. (2004), Role of adsorption fractionation in determining the CaCO</w:t>
      </w:r>
      <w:r w:rsidRPr="00A428C3">
        <w:rPr>
          <w:vertAlign w:val="subscript"/>
        </w:rPr>
        <w:t>3</w:t>
      </w:r>
      <w:r w:rsidRPr="00A428C3">
        <w:t xml:space="preserve"> scale inhibition performance of polydisperse sodium polyacrylate. </w:t>
      </w:r>
      <w:r w:rsidRPr="00A428C3">
        <w:rPr>
          <w:i/>
          <w:iCs/>
        </w:rPr>
        <w:t>Industrial &amp; Engineering Chemistry Research</w:t>
      </w:r>
      <w:r w:rsidRPr="00A428C3">
        <w:t xml:space="preserve">, </w:t>
      </w:r>
      <w:r w:rsidRPr="00A428C3">
        <w:rPr>
          <w:b/>
        </w:rPr>
        <w:t>43</w:t>
      </w:r>
      <w:r w:rsidRPr="00A428C3">
        <w:t xml:space="preserve"> (8), 1882-1887.</w:t>
      </w:r>
    </w:p>
    <w:p w:rsidR="00B95188" w:rsidRPr="00A428C3" w:rsidRDefault="00B95188" w:rsidP="00B95188">
      <w:pPr>
        <w:pStyle w:val="a0"/>
      </w:pPr>
      <w:r w:rsidRPr="00A428C3">
        <w:t xml:space="preserve">Full Text: </w:t>
      </w:r>
      <w:hyperlink r:id="rId1206" w:history="1">
        <w:r w:rsidRPr="00A428C3">
          <w:rPr>
            <w:rStyle w:val="a5"/>
          </w:rPr>
          <w:t>I\Ind Eng Che Res43, 1882.pdf</w:t>
        </w:r>
      </w:hyperlink>
    </w:p>
    <w:p w:rsidR="00B95188" w:rsidRPr="00A428C3" w:rsidRDefault="00B95188" w:rsidP="00B95188">
      <w:pPr>
        <w:pStyle w:val="a0"/>
      </w:pPr>
      <w:r w:rsidRPr="00A428C3">
        <w:t>Abstract: Results are reviewed from a study examining the influences of concentration</w:t>
      </w:r>
      <w:r w:rsidR="00F81221">
        <w:t xml:space="preserve"> and </w:t>
      </w:r>
      <w:r w:rsidRPr="00A428C3">
        <w:t>molecular weight of poly(acrylic acid) sodium salt on the inhibition of CaCO</w:t>
      </w:r>
      <w:r w:rsidRPr="00A428C3">
        <w:rPr>
          <w:vertAlign w:val="subscript"/>
        </w:rPr>
        <w:t>3</w:t>
      </w:r>
      <w:r w:rsidRPr="00A428C3">
        <w:t xml:space="preserve"> formation in solutions similar in ion composition</w:t>
      </w:r>
      <w:r w:rsidR="00F81221">
        <w:t xml:space="preserve"> and </w:t>
      </w:r>
      <w:r w:rsidRPr="00A428C3">
        <w:t>pH to those used in wood pulping operations. Calcium concentrations</w:t>
      </w:r>
      <w:r w:rsidR="00F81221">
        <w:t xml:space="preserve"> and </w:t>
      </w:r>
      <w:r w:rsidRPr="00A428C3">
        <w:t>temperatures were monitored in heated supersaturated solutions containing sodium polyacrylate samples to gauge their inhibition of CaCO</w:t>
      </w:r>
      <w:r w:rsidRPr="00A428C3">
        <w:rPr>
          <w:vertAlign w:val="subscript"/>
        </w:rPr>
        <w:t>3</w:t>
      </w:r>
      <w:r w:rsidRPr="00A428C3">
        <w:t xml:space="preserve"> nucleation. The presence of dissolved polymers raises the temperatures necessary to induce detectable nucleation. Nucleation temperatures were found to be strongly dependent on the molecular weight distribution of the sodium polyacrylates. Significantly higher temperatures were obtained from species with molecular weights estimated to be in the region of 5000</w:t>
      </w:r>
      <w:smartTag w:uri="urn:schemas-microsoft-com:office:smarttags" w:element="chmetcnv">
        <w:smartTagPr>
          <w:attr w:name="TCSC" w:val="0"/>
          <w:attr w:name="NumberType" w:val="1"/>
          <w:attr w:name="Negative" w:val="True"/>
          <w:attr w:name="HasSpace" w:val="True"/>
          <w:attr w:name="SourceValue" w:val="6000"/>
          <w:attr w:name="UnitName" w:val="g"/>
        </w:smartTagPr>
        <w:r w:rsidRPr="00A428C3">
          <w:t>-6000 g</w:t>
        </w:r>
      </w:smartTag>
      <w:r w:rsidRPr="00A428C3">
        <w:t>, mol,</w:t>
      </w:r>
      <w:r w:rsidR="00F81221">
        <w:t xml:space="preserve"> and </w:t>
      </w:r>
      <w:r w:rsidRPr="00A428C3">
        <w:t>contributions from adsorption fractionation</w:t>
      </w:r>
      <w:r w:rsidR="00F81221">
        <w:t xml:space="preserve"> and </w:t>
      </w:r>
      <w:r w:rsidRPr="00A428C3">
        <w:t>polymer-metal complexation appear present at higher concentrations. Testing of samples produced by mixing sodium polyacrylates of various molecular weight distributions indicates that high molecular weight species govern the observed inhibition under competitive adsorption conditions. This is consistent with the dominant role of adsorption thermodynamics in determining the influence of polymers on nucleation. Also presented is a semi-empirical equation for estimating the low concentration influence of mixed molecular weight distributions on nucleation temperatures using the inhibition performance of the individual components.</w:t>
      </w:r>
    </w:p>
    <w:p w:rsidR="00B95188" w:rsidRPr="00A428C3" w:rsidRDefault="00B95188" w:rsidP="00B95188">
      <w:pPr>
        <w:pStyle w:val="a0"/>
      </w:pPr>
      <w:r w:rsidRPr="00A428C3">
        <w:t>Keywords: Additives, Adsorption, Calcium-Carbonate, Competitive Adsorption, Copolymers, Crystallization, Growth, Low-Molecular-Weight, Monodisperse Polystyrene, Morphology, Polyelectrolytes, Precipitation, Wood</w:t>
      </w:r>
    </w:p>
    <w:p w:rsidR="00B95188" w:rsidRPr="00A428C3" w:rsidRDefault="00B95188" w:rsidP="00B95188">
      <w:pPr>
        <w:pStyle w:val="a0"/>
      </w:pPr>
      <w:r w:rsidRPr="00A428C3">
        <w:t>Lazaridis, N.K., Pandi, T.A.</w:t>
      </w:r>
      <w:r w:rsidR="00F81221">
        <w:t xml:space="preserve"> and </w:t>
      </w:r>
      <w:r w:rsidRPr="00A428C3">
        <w:t>Matis, K.A. (2004), Chromium(VI) removal from aqueous solutions by Mg-Al-CO</w:t>
      </w:r>
      <w:r w:rsidRPr="00A428C3">
        <w:rPr>
          <w:vertAlign w:val="subscript"/>
        </w:rPr>
        <w:t>3</w:t>
      </w:r>
      <w:r w:rsidRPr="00A428C3">
        <w:t xml:space="preserve"> hydrotalcite: Sorption-desorption kinetic</w:t>
      </w:r>
      <w:r w:rsidR="00F81221">
        <w:t xml:space="preserve"> and </w:t>
      </w:r>
      <w:r w:rsidRPr="00A428C3">
        <w:t xml:space="preserve">equilibrium studies. </w:t>
      </w:r>
      <w:r w:rsidRPr="00A428C3">
        <w:rPr>
          <w:i/>
        </w:rPr>
        <w:t>Industrial &amp; Engineering Chemistry Research</w:t>
      </w:r>
      <w:r w:rsidRPr="00A428C3">
        <w:t xml:space="preserve">, </w:t>
      </w:r>
      <w:r w:rsidRPr="00A428C3">
        <w:rPr>
          <w:b/>
        </w:rPr>
        <w:t>43</w:t>
      </w:r>
      <w:r w:rsidRPr="00A428C3">
        <w:t xml:space="preserve"> (9), 2209-2215.</w:t>
      </w:r>
    </w:p>
    <w:p w:rsidR="00B95188" w:rsidRPr="00A428C3" w:rsidRDefault="00B95188" w:rsidP="00B95188">
      <w:pPr>
        <w:pStyle w:val="a0"/>
      </w:pPr>
      <w:r w:rsidRPr="00A428C3">
        <w:t xml:space="preserve">Full Text: </w:t>
      </w:r>
      <w:hyperlink r:id="rId1207" w:history="1">
        <w:r w:rsidRPr="00A428C3">
          <w:rPr>
            <w:rStyle w:val="a5"/>
          </w:rPr>
          <w:t>I\Ind Eng Che Res43, 2209.pdf</w:t>
        </w:r>
      </w:hyperlink>
    </w:p>
    <w:p w:rsidR="00B95188" w:rsidRPr="00A428C3" w:rsidRDefault="00B95188" w:rsidP="00B95188">
      <w:pPr>
        <w:pStyle w:val="a0"/>
      </w:pPr>
      <w:r w:rsidRPr="00A428C3">
        <w:t>Abstract: In this study, the sorptive removal of hexavalent chromium from aqueous solutions by Mg-Al-CO</w:t>
      </w:r>
      <w:r w:rsidRPr="00A428C3">
        <w:rPr>
          <w:vertAlign w:val="subscript"/>
        </w:rPr>
        <w:t>3</w:t>
      </w:r>
      <w:r w:rsidRPr="00A428C3">
        <w:t xml:space="preserve"> hydrotalcite was investigated in a batch mode. The influence of solution pH, conditioning duration, initial chromium concentration, sorbent concentration, sorbent particle size,</w:t>
      </w:r>
      <w:r w:rsidR="00F81221">
        <w:t xml:space="preserve"> and </w:t>
      </w:r>
      <w:r w:rsidRPr="00A428C3">
        <w:t>temperature was tested at sorption kinetic runs. The influence of eluant concentration</w:t>
      </w:r>
      <w:r w:rsidR="00F81221">
        <w:t xml:space="preserve"> and </w:t>
      </w:r>
      <w:r w:rsidRPr="00A428C3">
        <w:t xml:space="preserve">volume was tested at desorption kinetic runs. Desorption experiments showed that the loaded material can </w:t>
      </w:r>
      <w:r w:rsidRPr="00A428C3">
        <w:lastRenderedPageBreak/>
        <w:t>be fully regenerated</w:t>
      </w:r>
      <w:r w:rsidR="00F81221">
        <w:t xml:space="preserve"> and </w:t>
      </w:r>
      <w:r w:rsidRPr="00A428C3">
        <w:t>reused. Four kinetic models have been evaluated if they fit the experimental data: the pseudo-first-order, a modified second-order,</w:t>
      </w:r>
      <w:r w:rsidR="00F81221">
        <w:t xml:space="preserve"> and </w:t>
      </w:r>
      <w:r w:rsidRPr="00A428C3">
        <w:t>two ion-exchange models. It showed that the second-order model could best describe the sorption</w:t>
      </w:r>
      <w:r w:rsidR="00F81221">
        <w:t xml:space="preserve"> and </w:t>
      </w:r>
      <w:r w:rsidRPr="00A428C3">
        <w:t>desorption kinetics. The Freundlich isotherm was used to fit equilibrium experiments. Hydrotalcite presented a sorption capacity of similar to17 mg Cr/g under the studied conditions. The calculated activation energy for the studied process was 24±2 kJ/mol.</w:t>
      </w:r>
    </w:p>
    <w:p w:rsidR="00B95188" w:rsidRPr="00A428C3" w:rsidRDefault="00B95188" w:rsidP="00B95188">
      <w:pPr>
        <w:pStyle w:val="a0"/>
      </w:pPr>
      <w:r w:rsidRPr="00A428C3">
        <w:t>Keywords: Activated Carbons, Waste-Water, Adsorption, Biosorption, Cr(VI), Anions, Ions, Adsorbents, Iron(III), Exchange</w:t>
      </w:r>
    </w:p>
    <w:p w:rsidR="00B95188" w:rsidRPr="00A428C3" w:rsidRDefault="00B95188" w:rsidP="00B95188">
      <w:pPr>
        <w:pStyle w:val="a0"/>
      </w:pPr>
      <w:r w:rsidRPr="00A428C3">
        <w:t>Liao, X.P., Zhang, M.</w:t>
      </w:r>
      <w:r w:rsidR="00F81221">
        <w:t xml:space="preserve"> and </w:t>
      </w:r>
      <w:r w:rsidRPr="00A428C3">
        <w:t>Shi, B. (2004), Collagen-fiber-immobilized tannins</w:t>
      </w:r>
      <w:r w:rsidR="00F81221">
        <w:t xml:space="preserve"> and </w:t>
      </w:r>
      <w:r w:rsidRPr="00A428C3">
        <w:t xml:space="preserve">their adsorption of Au(III). </w:t>
      </w:r>
      <w:r w:rsidRPr="00A428C3">
        <w:rPr>
          <w:i/>
        </w:rPr>
        <w:t>Industrial &amp; Engineering Chemistry Research</w:t>
      </w:r>
      <w:r w:rsidRPr="00A428C3">
        <w:t xml:space="preserve">, </w:t>
      </w:r>
      <w:r w:rsidRPr="00A428C3">
        <w:rPr>
          <w:b/>
        </w:rPr>
        <w:t>43</w:t>
      </w:r>
      <w:r w:rsidRPr="00A428C3">
        <w:t xml:space="preserve"> (9), 2222-2227.</w:t>
      </w:r>
    </w:p>
    <w:p w:rsidR="00B95188" w:rsidRPr="00A428C3" w:rsidRDefault="00B95188" w:rsidP="00B95188">
      <w:pPr>
        <w:pStyle w:val="a0"/>
      </w:pPr>
      <w:r w:rsidRPr="00A428C3">
        <w:t xml:space="preserve">Full Text: </w:t>
      </w:r>
      <w:hyperlink r:id="rId1208" w:history="1">
        <w:r w:rsidRPr="00A428C3">
          <w:rPr>
            <w:rStyle w:val="a5"/>
          </w:rPr>
          <w:t>I\Ind Eng Che Res43, 2222.pdf</w:t>
        </w:r>
      </w:hyperlink>
    </w:p>
    <w:p w:rsidR="00B95188" w:rsidRPr="00A428C3" w:rsidRDefault="00B95188" w:rsidP="00B95188">
      <w:pPr>
        <w:pStyle w:val="a0"/>
      </w:pPr>
      <w:r w:rsidRPr="00A428C3">
        <w:t>Abstract: Novel adsorbents that have an excellent adsorption capacity for Au(III) were prepared by immobilization of bayberry tannins</w:t>
      </w:r>
      <w:r w:rsidR="00F81221">
        <w:t xml:space="preserve"> and </w:t>
      </w:r>
      <w:r w:rsidRPr="00A428C3">
        <w:t>larch tannins onto collagen fiber matrixes. When the initial concentration of Au(III) was 478 mg/L</w:t>
      </w:r>
      <w:r w:rsidR="00F81221">
        <w:t xml:space="preserve"> and </w:t>
      </w:r>
      <w:r w:rsidRPr="00A428C3">
        <w:t>the amount of adsorbent was 20.0 mg, the adsorption capacities at equilibrium of immobilized bayberry tannins</w:t>
      </w:r>
      <w:r w:rsidR="00F81221">
        <w:t xml:space="preserve"> and </w:t>
      </w:r>
      <w:r w:rsidRPr="00A428C3">
        <w:t>larch tannins were 877</w:t>
      </w:r>
      <w:r w:rsidR="00F81221">
        <w:t xml:space="preserve"> and </w:t>
      </w:r>
      <w:r w:rsidRPr="00A428C3">
        <w:t>784 mg(Au(III))/g respectively at 303 K. As the temperature was increased, the adsorption capacities were further increased. At a temperature of 323 K, the adsorption capacities at equilibrium of the immobilized tannins were as high as 1.50</w:t>
      </w:r>
      <w:r w:rsidRPr="00A428C3">
        <w:sym w:font="Symbol" w:char="F0B4"/>
      </w:r>
      <w:r w:rsidRPr="00A428C3">
        <w:t>10</w:t>
      </w:r>
      <w:r w:rsidRPr="00A428C3">
        <w:rPr>
          <w:vertAlign w:val="superscript"/>
        </w:rPr>
        <w:t>3</w:t>
      </w:r>
      <w:r w:rsidR="00F81221">
        <w:t xml:space="preserve"> and </w:t>
      </w:r>
      <w:r w:rsidRPr="00A428C3">
        <w:t>1.36</w:t>
      </w:r>
      <w:r w:rsidRPr="00A428C3">
        <w:sym w:font="Symbol" w:char="F0B4"/>
      </w:r>
      <w:r w:rsidRPr="00A428C3">
        <w:t>10</w:t>
      </w:r>
      <w:r w:rsidRPr="00A428C3">
        <w:rPr>
          <w:vertAlign w:val="superscript"/>
        </w:rPr>
        <w:t>3</w:t>
      </w:r>
      <w:r w:rsidRPr="00A428C3">
        <w:t xml:space="preserve"> Mg-Au(III)/g, respectively. The adsorption equilibrium data for Au(III) on the immobilized tannins can be well fitted by the Langmuir model,</w:t>
      </w:r>
      <w:r w:rsidR="00F81221">
        <w:t xml:space="preserve"> and </w:t>
      </w:r>
      <w:r w:rsidRPr="00A428C3">
        <w:t>the mechanism of the adsorption was found to be chemical adsorption. Furthermore, the adsorption isotherms of Au(III) in buffer solutions with different pH values could also be described by the Langmuir model,</w:t>
      </w:r>
      <w:r w:rsidR="00F81221">
        <w:t xml:space="preserve"> and </w:t>
      </w:r>
      <w:r w:rsidRPr="00A428C3">
        <w:t>the adsorption capacities increased at lower pH values. The kinetics of the adsorption can be well described by a pseudo-second-order rate model,</w:t>
      </w:r>
      <w:r w:rsidR="00F81221">
        <w:t xml:space="preserve"> and </w:t>
      </w:r>
      <w:r w:rsidRPr="00A428C3">
        <w:t>the adsorption capacities calculated by the pseudo-second-order rate model were close to the values actually measured at higher temperatures. It was found that the breakthrough point of the adsorption column was at 223 bed volumes for the experimental system, indicating that the immobilized tannins have an outstanding ability to concentrate Au(III). The mass-transfer coefficient of Au(III) adsorption in the adsorption column determined by the Adams-Bohart equation was 3.34</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5"/>
          <w:attr w:name="UnitName" w:val="l"/>
        </w:smartTagPr>
        <w:r w:rsidRPr="00A428C3">
          <w:rPr>
            <w:vertAlign w:val="superscript"/>
          </w:rPr>
          <w:t>-5</w:t>
        </w:r>
        <w:r w:rsidRPr="00A428C3">
          <w:t xml:space="preserve"> L</w:t>
        </w:r>
      </w:smartTag>
      <w:r w:rsidRPr="00A428C3">
        <w:t>/(mg(.)min).</w:t>
      </w:r>
    </w:p>
    <w:p w:rsidR="00B95188" w:rsidRPr="00A428C3" w:rsidRDefault="00B95188" w:rsidP="00B95188">
      <w:pPr>
        <w:pStyle w:val="a0"/>
      </w:pPr>
      <w:r w:rsidRPr="00A428C3">
        <w:t>Keywords: Gold, Recovery, Uranium, Polyphenols, Biomass, Copper, Ions</w:t>
      </w:r>
    </w:p>
    <w:p w:rsidR="00B95188" w:rsidRPr="00A428C3" w:rsidRDefault="00B95188" w:rsidP="00B95188">
      <w:pPr>
        <w:pStyle w:val="a0"/>
      </w:pPr>
      <w:r w:rsidRPr="00A428C3">
        <w:t>Unnithan, M.R., Vinod, V.P.</w:t>
      </w:r>
      <w:r w:rsidR="00F81221">
        <w:t xml:space="preserve"> and </w:t>
      </w:r>
      <w:r w:rsidRPr="00A428C3">
        <w:t>Anirudhan, T.S. (2004), Synthesis, characterization,</w:t>
      </w:r>
      <w:r w:rsidR="00F81221">
        <w:t xml:space="preserve"> and </w:t>
      </w:r>
      <w:r w:rsidRPr="00A428C3">
        <w:t xml:space="preserve">application as a chromium(VI) adsorbent of amine-modified polyacrylamide-grafted coconut coir pith. </w:t>
      </w:r>
      <w:r w:rsidRPr="00A428C3">
        <w:rPr>
          <w:i/>
        </w:rPr>
        <w:t>Industrial &amp; Engineering Chemistry Research</w:t>
      </w:r>
      <w:r w:rsidRPr="00A428C3">
        <w:t xml:space="preserve">, </w:t>
      </w:r>
      <w:r w:rsidRPr="00A428C3">
        <w:rPr>
          <w:b/>
        </w:rPr>
        <w:t>43</w:t>
      </w:r>
      <w:r w:rsidRPr="00A428C3">
        <w:t xml:space="preserve"> (9), 2247-2255.</w:t>
      </w:r>
    </w:p>
    <w:p w:rsidR="00B95188" w:rsidRPr="00A428C3" w:rsidRDefault="00B95188" w:rsidP="00B95188">
      <w:pPr>
        <w:pStyle w:val="a0"/>
      </w:pPr>
      <w:r w:rsidRPr="00A428C3">
        <w:lastRenderedPageBreak/>
        <w:t xml:space="preserve">Full Text: </w:t>
      </w:r>
      <w:hyperlink r:id="rId1209" w:history="1">
        <w:r w:rsidRPr="00A428C3">
          <w:rPr>
            <w:rStyle w:val="a5"/>
          </w:rPr>
          <w:t>I\Ind Eng Che Res43, 2247.pdf</w:t>
        </w:r>
      </w:hyperlink>
    </w:p>
    <w:p w:rsidR="00B95188" w:rsidRPr="00A428C3" w:rsidRDefault="00B95188" w:rsidP="00B95188">
      <w:pPr>
        <w:pStyle w:val="a0"/>
      </w:pPr>
      <w:r w:rsidRPr="00A428C3">
        <w:t>Abstract: The amine-modified polyacrylamide-grafted coconut coir pith carrying -NH</w:t>
      </w:r>
      <w:r w:rsidRPr="00A428C3">
        <w:rPr>
          <w:vertAlign w:val="subscript"/>
        </w:rPr>
        <w:t>3</w:t>
      </w:r>
      <w:r w:rsidRPr="00A428C3">
        <w:rPr>
          <w:vertAlign w:val="superscript"/>
        </w:rPr>
        <w:t>+</w:t>
      </w:r>
      <w:r w:rsidRPr="00A428C3">
        <w:t>Cl</w:t>
      </w:r>
      <w:r w:rsidRPr="00A428C3">
        <w:rPr>
          <w:vertAlign w:val="superscript"/>
        </w:rPr>
        <w:t>-</w:t>
      </w:r>
      <w:r w:rsidRPr="00A428C3">
        <w:t xml:space="preserve"> functional group at the chain end (PGCP-NH</w:t>
      </w:r>
      <w:r w:rsidRPr="00A428C3">
        <w:rPr>
          <w:vertAlign w:val="subscript"/>
        </w:rPr>
        <w:t>3</w:t>
      </w:r>
      <w:r w:rsidRPr="00A428C3">
        <w:rPr>
          <w:vertAlign w:val="superscript"/>
        </w:rPr>
        <w:t>+</w:t>
      </w:r>
      <w:r w:rsidRPr="00A428C3">
        <w:t>Cl</w:t>
      </w:r>
      <w:r w:rsidRPr="00A428C3">
        <w:rPr>
          <w:vertAlign w:val="superscript"/>
        </w:rPr>
        <w:t>-</w:t>
      </w:r>
      <w:r w:rsidRPr="00A428C3">
        <w:t>) was investigated as an adsorbent for its possible application for the removal of chromium(VI) from aqueous solution</w:t>
      </w:r>
      <w:r w:rsidR="00F81221">
        <w:t xml:space="preserve"> and </w:t>
      </w:r>
      <w:r w:rsidRPr="00A428C3">
        <w:t>wastewater. The infrared spectroscopy results were used to confirm the graft copolymer formation</w:t>
      </w:r>
      <w:r w:rsidR="00F81221">
        <w:t xml:space="preserve"> and </w:t>
      </w:r>
      <w:r w:rsidRPr="00A428C3">
        <w:t>-NH</w:t>
      </w:r>
      <w:r w:rsidRPr="00A428C3">
        <w:rPr>
          <w:vertAlign w:val="subscript"/>
        </w:rPr>
        <w:t>3</w:t>
      </w:r>
      <w:r w:rsidRPr="00A428C3">
        <w:rPr>
          <w:vertAlign w:val="superscript"/>
        </w:rPr>
        <w:t>+</w:t>
      </w:r>
      <w:r w:rsidRPr="00A428C3">
        <w:t>Cl</w:t>
      </w:r>
      <w:r w:rsidRPr="00A428C3">
        <w:rPr>
          <w:vertAlign w:val="superscript"/>
        </w:rPr>
        <w:t>-</w:t>
      </w:r>
      <w:r w:rsidRPr="00A428C3">
        <w:t xml:space="preserve"> functional group. The grafting of polyacrylamide onto the coir pith improved the thermal stability of the adsorbent</w:t>
      </w:r>
      <w:r w:rsidR="00F81221">
        <w:t xml:space="preserve"> and </w:t>
      </w:r>
      <w:r w:rsidRPr="00A428C3">
        <w:t>enhanced the apparent activation energy for the thermal degradation of PGCP-NH</w:t>
      </w:r>
      <w:r w:rsidRPr="00A428C3">
        <w:rPr>
          <w:vertAlign w:val="subscript"/>
        </w:rPr>
        <w:t>3</w:t>
      </w:r>
      <w:r w:rsidRPr="00A428C3">
        <w:rPr>
          <w:vertAlign w:val="superscript"/>
        </w:rPr>
        <w:t>+</w:t>
      </w:r>
      <w:r w:rsidRPr="00A428C3">
        <w:t>Cl</w:t>
      </w:r>
      <w:r w:rsidRPr="00A428C3">
        <w:rPr>
          <w:vertAlign w:val="superscript"/>
        </w:rPr>
        <w:t>-</w:t>
      </w:r>
      <w:r w:rsidRPr="00A428C3">
        <w:t xml:space="preserve"> X-ray diffraction pattern</w:t>
      </w:r>
      <w:r w:rsidR="00F81221">
        <w:t xml:space="preserve"> and </w:t>
      </w:r>
      <w:r w:rsidRPr="00A428C3">
        <w:t>scanning electron microscopy (SEM) studies were carried out to investigate the crystallinity</w:t>
      </w:r>
      <w:r w:rsidR="00F81221">
        <w:t xml:space="preserve"> and </w:t>
      </w:r>
      <w:r w:rsidRPr="00A428C3">
        <w:t>morphology of the adsorbent. The decrease in crystalline domains in PGCP-NH</w:t>
      </w:r>
      <w:r w:rsidRPr="00A428C3">
        <w:rPr>
          <w:vertAlign w:val="subscript"/>
        </w:rPr>
        <w:t>3</w:t>
      </w:r>
      <w:r w:rsidRPr="00A428C3">
        <w:rPr>
          <w:vertAlign w:val="superscript"/>
        </w:rPr>
        <w:t>+</w:t>
      </w:r>
      <w:r w:rsidRPr="00A428C3">
        <w:t>Cl</w:t>
      </w:r>
      <w:r w:rsidRPr="00A428C3">
        <w:rPr>
          <w:vertAlign w:val="superscript"/>
        </w:rPr>
        <w:t>-</w:t>
      </w:r>
      <w:r w:rsidRPr="00A428C3">
        <w:t xml:space="preserve"> results in the loss of tensile strength of the grafted chain</w:t>
      </w:r>
      <w:r w:rsidR="00F81221">
        <w:t xml:space="preserve"> and </w:t>
      </w:r>
      <w:r w:rsidRPr="00A428C3">
        <w:t>consequently enhances the free mobility of the grafted chain. Batch adsorption technique using PGCP-NH</w:t>
      </w:r>
      <w:r w:rsidRPr="00A428C3">
        <w:rPr>
          <w:vertAlign w:val="subscript"/>
        </w:rPr>
        <w:t>3</w:t>
      </w:r>
      <w:r w:rsidRPr="00A428C3">
        <w:rPr>
          <w:vertAlign w:val="superscript"/>
        </w:rPr>
        <w:t>+</w:t>
      </w:r>
      <w:r w:rsidRPr="00A428C3">
        <w:t>Cl</w:t>
      </w:r>
      <w:r w:rsidRPr="00A428C3">
        <w:rPr>
          <w:vertAlign w:val="superscript"/>
        </w:rPr>
        <w:t>-</w:t>
      </w:r>
      <w:r w:rsidRPr="00A428C3">
        <w:t xml:space="preserve"> was applied for the removal of chromium(VI) anion from aqueous solution</w:t>
      </w:r>
      <w:r w:rsidR="00F81221">
        <w:t xml:space="preserve"> and </w:t>
      </w:r>
      <w:r w:rsidRPr="00A428C3">
        <w:t>wastewater. The maximum adsorption of 99.4% (12.43 mg/g) took place from an initial concentration of 25.0 mg/L Cr(VI) at 30degreesC, pH 3.0,</w:t>
      </w:r>
      <w:r w:rsidR="00F81221">
        <w:t xml:space="preserve"> and </w:t>
      </w:r>
      <w:r w:rsidRPr="00A428C3">
        <w:t xml:space="preserve">an adsorbent dosage of </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t>2.0 g</w:t>
        </w:r>
      </w:smartTag>
      <w:r w:rsidRPr="00A428C3">
        <w:t>/L. The kinetics of sorption of Cr(VI) ions were described by a pseudo-second-order kinetic model. The temperature dependence indicates the exothermic nature of the process. Equilibrium isotherms were determined for different temperatures</w:t>
      </w:r>
      <w:r w:rsidR="00F81221">
        <w:t xml:space="preserve"> and </w:t>
      </w:r>
      <w:r w:rsidRPr="00A428C3">
        <w:t>the results are analyzed using the Langmuir</w:t>
      </w:r>
      <w:r w:rsidR="00F81221">
        <w:t xml:space="preserve"> and </w:t>
      </w:r>
      <w:r w:rsidRPr="00A428C3">
        <w:t>Freundlich isotherm equations. Adsorption isotherm experiments were also conducted for comparison using a commercial chloride form Dowex, a strong base (quaternary amine functionality) anion exchanger. Quantitative removal of 22.7 mg/L Cr(VI) in 50 mL of electroplating industry wastewater by 125 mg of PGCP-NH</w:t>
      </w:r>
      <w:r w:rsidRPr="00A428C3">
        <w:rPr>
          <w:vertAlign w:val="subscript"/>
        </w:rPr>
        <w:t>3</w:t>
      </w:r>
      <w:r w:rsidRPr="00A428C3">
        <w:rPr>
          <w:vertAlign w:val="superscript"/>
        </w:rPr>
        <w:t>+</w:t>
      </w:r>
      <w:r w:rsidRPr="00A428C3">
        <w:t>Cl</w:t>
      </w:r>
      <w:r w:rsidRPr="00A428C3">
        <w:rPr>
          <w:vertAlign w:val="superscript"/>
        </w:rPr>
        <w:t>-</w:t>
      </w:r>
      <w:r w:rsidRPr="00A428C3">
        <w:t xml:space="preserve"> was observed at pH 3.0. Alkali regeneration was also tried for several cycles with a view to recover the adsorbed metal ions</w:t>
      </w:r>
      <w:r w:rsidR="00F81221">
        <w:t xml:space="preserve"> and </w:t>
      </w:r>
      <w:r w:rsidRPr="00A428C3">
        <w:t>also to restore the sorbent to its original state.</w:t>
      </w:r>
    </w:p>
    <w:p w:rsidR="00B95188" w:rsidRPr="00A428C3" w:rsidRDefault="00B95188" w:rsidP="00B95188">
      <w:pPr>
        <w:pStyle w:val="a0"/>
      </w:pPr>
      <w:r w:rsidRPr="00A428C3">
        <w:t>Keywords: Aqueous-Solutions, Activated Carbon, Metal-Ions, Adsorption, Removal, Kinetics, Sorption, Sawdust, Polymerization, Exchangers</w:t>
      </w:r>
    </w:p>
    <w:p w:rsidR="00B95188" w:rsidRPr="00A428C3" w:rsidRDefault="00B95188" w:rsidP="00B95188">
      <w:pPr>
        <w:pStyle w:val="a0"/>
      </w:pPr>
      <w:r w:rsidRPr="00A428C3">
        <w:t>Várhegyi, G., Grønli, M.G.</w:t>
      </w:r>
      <w:r w:rsidR="00F81221">
        <w:t xml:space="preserve"> and </w:t>
      </w:r>
      <w:r w:rsidRPr="00A428C3">
        <w:t>Di Blasi, C. (2004), Effects of sample origin, extraction,</w:t>
      </w:r>
      <w:r w:rsidR="00F81221">
        <w:t xml:space="preserve"> and </w:t>
      </w:r>
      <w:r w:rsidRPr="00A428C3">
        <w:t xml:space="preserve">hot-water washing on the devolatilization kinetics of chestnut wood. </w:t>
      </w:r>
      <w:r w:rsidRPr="00A428C3">
        <w:rPr>
          <w:i/>
          <w:iCs/>
        </w:rPr>
        <w:t>Industrial &amp; Engineering Chemistry Research</w:t>
      </w:r>
      <w:r w:rsidRPr="00A428C3">
        <w:t xml:space="preserve">, </w:t>
      </w:r>
      <w:r w:rsidRPr="00A428C3">
        <w:rPr>
          <w:b/>
        </w:rPr>
        <w:t>43</w:t>
      </w:r>
      <w:r w:rsidRPr="00A428C3">
        <w:t xml:space="preserve"> (10), 2356-2367.</w:t>
      </w:r>
    </w:p>
    <w:p w:rsidR="00B95188" w:rsidRPr="00A428C3" w:rsidRDefault="00B95188" w:rsidP="00B95188">
      <w:pPr>
        <w:pStyle w:val="a0"/>
      </w:pPr>
      <w:r w:rsidRPr="00A428C3">
        <w:t xml:space="preserve">Full Text: </w:t>
      </w:r>
      <w:hyperlink r:id="rId1210" w:history="1">
        <w:r w:rsidRPr="00A428C3">
          <w:rPr>
            <w:rStyle w:val="a5"/>
          </w:rPr>
          <w:t>I\Ind Eng Che Res43, 2356.pdf</w:t>
        </w:r>
      </w:hyperlink>
    </w:p>
    <w:p w:rsidR="00B95188" w:rsidRPr="00A428C3" w:rsidRDefault="00B95188" w:rsidP="00B95188">
      <w:pPr>
        <w:pStyle w:val="a0"/>
      </w:pPr>
      <w:r w:rsidRPr="00A428C3">
        <w:t>Abstract: The variations in chemical composition</w:t>
      </w:r>
      <w:r w:rsidR="00F81221">
        <w:t xml:space="preserve"> and </w:t>
      </w:r>
      <w:r w:rsidRPr="00A428C3">
        <w:t>the effects of sample origin</w:t>
      </w:r>
      <w:r w:rsidR="00F81221">
        <w:t xml:space="preserve"> and </w:t>
      </w:r>
      <w:r w:rsidRPr="00A428C3">
        <w:t>pretreatments represent a major problem in the kinetic modeling of wood pyrolysis. This study aims to a deeper understanding of these issues by examining a species, chestnut (Castanea sativa), that contains a higher amount of extractives than the common forest hardwoods of the temperate zone. Thermogravimetric</w:t>
      </w:r>
      <w:r w:rsidR="00F81221">
        <w:t xml:space="preserve"> and </w:t>
      </w:r>
      <w:r w:rsidRPr="00A428C3">
        <w:t xml:space="preserve">kinetic analyses were carried out on five chestnut samples obtained from plants grown in </w:t>
      </w:r>
      <w:smartTag w:uri="urn:schemas-microsoft-com:office:smarttags" w:element="country-region">
        <w:r w:rsidRPr="00A428C3">
          <w:t>France</w:t>
        </w:r>
      </w:smartTag>
      <w:r w:rsidRPr="00A428C3">
        <w:t xml:space="preserve">, </w:t>
      </w:r>
      <w:smartTag w:uri="urn:schemas-microsoft-com:office:smarttags" w:element="country-region">
        <w:r w:rsidRPr="00A428C3">
          <w:t>Italy</w:t>
        </w:r>
      </w:smartTag>
      <w:r w:rsidRPr="00A428C3">
        <w:t>,</w:t>
      </w:r>
      <w:r w:rsidR="00F81221">
        <w:t xml:space="preserve"> and </w:t>
      </w:r>
      <w:r w:rsidRPr="00A428C3">
        <w:t>Russia. The results were compared to that of a widely used</w:t>
      </w:r>
      <w:r w:rsidR="00F81221">
        <w:t xml:space="preserve"> and </w:t>
      </w:r>
      <w:r w:rsidRPr="00A428C3">
        <w:lastRenderedPageBreak/>
        <w:t>investigated species (beech) belonging to the same plant family. Degradation takes place over a narrower range</w:t>
      </w:r>
      <w:r w:rsidR="00F81221">
        <w:t xml:space="preserve"> and </w:t>
      </w:r>
      <w:r w:rsidRPr="00A428C3">
        <w:t>at lower temperatures, giving higher yields of char. In all cases, hot-water washing causes a decrease in the fixed carbon content</w:t>
      </w:r>
      <w:r w:rsidR="00F81221">
        <w:t xml:space="preserve"> and </w:t>
      </w:r>
      <w:r w:rsidRPr="00A428C3">
        <w:t>char yield, an increase in the peak rate, a better separation between pseudo-component dynamics,</w:t>
      </w:r>
      <w:r w:rsidR="00F81221">
        <w:t xml:space="preserve"> and </w:t>
      </w:r>
      <w:r w:rsidRPr="00A428C3">
        <w:t>a displacement of the reaction zones toward higher temperatures. Though with some scatter</w:t>
      </w:r>
      <w:r w:rsidR="00F81221">
        <w:t xml:space="preserve"> and </w:t>
      </w:r>
      <w:r w:rsidRPr="00A428C3">
        <w:t>quantitatively lower, the same effects are also observed as a consequence of acetone extraction. Both pretreatments act to reduce the differences between chestnut samples</w:t>
      </w:r>
      <w:r w:rsidR="00F81221">
        <w:t xml:space="preserve"> and </w:t>
      </w:r>
      <w:r w:rsidRPr="00A428C3">
        <w:t>with beech, but peculiarities due to origin</w:t>
      </w:r>
      <w:r w:rsidR="00F81221">
        <w:t xml:space="preserve"> and </w:t>
      </w:r>
      <w:r w:rsidRPr="00A428C3">
        <w:t>species are preserved. The three parallel reaction mechanism for the hemicellulose, cellulose,</w:t>
      </w:r>
      <w:r w:rsidR="00F81221">
        <w:t xml:space="preserve"> and </w:t>
      </w:r>
      <w:r w:rsidRPr="00A428C3">
        <w:t>lignin, with the same activation energies previously determined for other hardwood species by Gronli et al. (Ind. Eng. Chem. Res. 2002, 41, 4201) is still acceptable for engineering applications. In contrast, predictions of the process details require single curves evaluations, resulting in kinetic data specific to sample origin, except for the activation energy of the lignin devolatilization step. Kinetic parameters also indicate that the lower char yields, associated with pretreatments, are chiefly due to alterations in the cellulose decomposition kinetics, whereas the effects on the other two components nearly compensate each other. Finally, reliable evaluations are provided of experimental uncertainties associated with repeatability of experiments</w:t>
      </w:r>
      <w:r w:rsidR="00F81221">
        <w:t xml:space="preserve"> and </w:t>
      </w:r>
      <w:r w:rsidRPr="00A428C3">
        <w:t>reproducibility of sample properties.</w:t>
      </w:r>
    </w:p>
    <w:p w:rsidR="00B95188" w:rsidRPr="00A428C3" w:rsidRDefault="00B95188" w:rsidP="00B95188">
      <w:pPr>
        <w:pStyle w:val="a0"/>
      </w:pPr>
      <w:r w:rsidRPr="00A428C3">
        <w:t xml:space="preserve">Keywords: Biomass Pyrolysis, Cellulose Pyrolysis Kinetics, Degradation, Model, Olive Stones, Rice </w:t>
      </w:r>
      <w:smartTag w:uri="urn:schemas-microsoft-com:office:smarttags" w:element="place">
        <w:smartTag w:uri="urn:schemas-microsoft-com:office:smarttags" w:element="City">
          <w:r w:rsidRPr="00A428C3">
            <w:t>Hull</w:t>
          </w:r>
        </w:smartTag>
      </w:smartTag>
      <w:r w:rsidRPr="00A428C3">
        <w:t xml:space="preserve"> Pyrolysis, Thermal-Decomposition, Thermogravimetric Analysis, Vacuum Pyrolysis, Washed Straw</w:t>
      </w:r>
    </w:p>
    <w:p w:rsidR="00B95188" w:rsidRPr="00A428C3" w:rsidRDefault="00B95188" w:rsidP="00B95188">
      <w:pPr>
        <w:pStyle w:val="a0"/>
      </w:pPr>
      <w:r w:rsidRPr="00A428C3">
        <w:t>Yantasee, W., Lin, Y.H., Fryxell, G.E., Alford, K.L., Busche, B.J.</w:t>
      </w:r>
      <w:r w:rsidR="00F81221">
        <w:t xml:space="preserve"> and </w:t>
      </w:r>
      <w:r w:rsidRPr="00A428C3">
        <w:t xml:space="preserve">Johnson, C.D. (2004), Selective removal of copper(II) from aqueous solutions using fine-grained activated carbon functionalized with amine. </w:t>
      </w:r>
      <w:r w:rsidRPr="00A428C3">
        <w:rPr>
          <w:i/>
        </w:rPr>
        <w:t>Industrial &amp; Engineering Chemistry Research</w:t>
      </w:r>
      <w:r w:rsidRPr="00A428C3">
        <w:t xml:space="preserve">, </w:t>
      </w:r>
      <w:r w:rsidRPr="00A428C3">
        <w:rPr>
          <w:b/>
        </w:rPr>
        <w:t>43</w:t>
      </w:r>
      <w:r w:rsidRPr="00A428C3">
        <w:t xml:space="preserve"> (11), 2759-2764.</w:t>
      </w:r>
    </w:p>
    <w:p w:rsidR="00B95188" w:rsidRPr="00A428C3" w:rsidRDefault="00B95188" w:rsidP="00B95188">
      <w:pPr>
        <w:pStyle w:val="a0"/>
      </w:pPr>
      <w:r w:rsidRPr="00A428C3">
        <w:t xml:space="preserve">Full Text: </w:t>
      </w:r>
      <w:hyperlink r:id="rId1211" w:history="1">
        <w:r w:rsidRPr="00A428C3">
          <w:rPr>
            <w:rStyle w:val="a5"/>
          </w:rPr>
          <w:t>I\Ind Eng Che Res43, 2759.pdf</w:t>
        </w:r>
      </w:hyperlink>
    </w:p>
    <w:p w:rsidR="00B95188" w:rsidRPr="00A428C3" w:rsidRDefault="00B95188" w:rsidP="00B95188">
      <w:pPr>
        <w:pStyle w:val="a0"/>
      </w:pPr>
      <w:r w:rsidRPr="00A428C3">
        <w:t>Abstract: To develop an effective transition-metal-ion adsorbent material, functionalization of amine (-NH</w:t>
      </w:r>
      <w:r w:rsidRPr="00A428C3">
        <w:rPr>
          <w:vertAlign w:val="subscript"/>
        </w:rPr>
        <w:t>2</w:t>
      </w:r>
      <w:r w:rsidRPr="00A428C3">
        <w:t>) onto fine-grained activated carbon (AC) was performed via the electrophilic aromatic substitution of nitro (-NO</w:t>
      </w:r>
      <w:r w:rsidRPr="00A428C3">
        <w:rPr>
          <w:vertAlign w:val="subscript"/>
        </w:rPr>
        <w:t>2</w:t>
      </w:r>
      <w:r w:rsidRPr="00A428C3">
        <w:t>) groups onto the aromatic backbone of the AC, followed by reduction of -NO</w:t>
      </w:r>
      <w:r w:rsidRPr="00A428C3">
        <w:rPr>
          <w:vertAlign w:val="subscript"/>
        </w:rPr>
        <w:t>2</w:t>
      </w:r>
      <w:r w:rsidRPr="00A428C3">
        <w:t xml:space="preserve"> to -NH</w:t>
      </w:r>
      <w:r w:rsidRPr="00A428C3">
        <w:rPr>
          <w:vertAlign w:val="subscript"/>
        </w:rPr>
        <w:t>2</w:t>
      </w:r>
      <w:r w:rsidRPr="00A428C3">
        <w:t>. Fourier transform infrared, Brunauer-Emmett-Teller surface area analysis, gravimetric method,</w:t>
      </w:r>
      <w:r w:rsidR="00F81221">
        <w:t xml:space="preserve"> and </w:t>
      </w:r>
      <w:r w:rsidRPr="00A428C3">
        <w:t>batch metal ion adsorption experiments were performed in parallel on unmodified AC</w:t>
      </w:r>
      <w:r w:rsidR="00F81221">
        <w:t xml:space="preserve"> and </w:t>
      </w:r>
      <w:r w:rsidRPr="00A428C3">
        <w:t>amine-functionalized AC (NH</w:t>
      </w:r>
      <w:r w:rsidRPr="00A428C3">
        <w:rPr>
          <w:vertAlign w:val="subscript"/>
        </w:rPr>
        <w:t>2</w:t>
      </w:r>
      <w:r w:rsidRPr="00A428C3">
        <w:t>-AC). The competitive adsorption of transition-metal ions (Cd</w:t>
      </w:r>
      <w:r w:rsidRPr="00A428C3">
        <w:rPr>
          <w:vertAlign w:val="superscript"/>
        </w:rPr>
        <w:t>2+</w:t>
      </w:r>
      <w:r w:rsidRPr="00A428C3">
        <w:t>, Cu</w:t>
      </w:r>
      <w:r w:rsidRPr="00A428C3">
        <w:rPr>
          <w:vertAlign w:val="superscript"/>
        </w:rPr>
        <w:t>2+</w:t>
      </w:r>
      <w:r w:rsidRPr="00A428C3">
        <w:t>, Ni</w:t>
      </w:r>
      <w:r w:rsidRPr="00A428C3">
        <w:rPr>
          <w:vertAlign w:val="superscript"/>
        </w:rPr>
        <w:t>2+</w:t>
      </w:r>
      <w:r w:rsidRPr="00A428C3">
        <w:t>,</w:t>
      </w:r>
      <w:r w:rsidR="00F81221">
        <w:t xml:space="preserve"> and </w:t>
      </w:r>
      <w:r w:rsidRPr="00A428C3">
        <w:t>Pb</w:t>
      </w:r>
      <w:r w:rsidRPr="00A428C3">
        <w:rPr>
          <w:vertAlign w:val="superscript"/>
        </w:rPr>
        <w:t>2+</w:t>
      </w:r>
      <w:r w:rsidRPr="00A428C3">
        <w:t>) was measured in batch experiments at PH 2.0-5.8. Metal ions favored the NH</w:t>
      </w:r>
      <w:r w:rsidRPr="00A428C3">
        <w:rPr>
          <w:vertAlign w:val="subscript"/>
        </w:rPr>
        <w:t>2</w:t>
      </w:r>
      <w:r w:rsidRPr="00A428C3">
        <w:t>-AC over the unmodified AC. Based on the distribution coefficients (K</w:t>
      </w:r>
      <w:r w:rsidRPr="00A428C3">
        <w:rPr>
          <w:vertAlign w:val="subscript"/>
        </w:rPr>
        <w:t>d</w:t>
      </w:r>
      <w:r w:rsidRPr="00A428C3">
        <w:t>), the NH</w:t>
      </w:r>
      <w:r w:rsidRPr="00A428C3">
        <w:rPr>
          <w:vertAlign w:val="subscript"/>
        </w:rPr>
        <w:t>2</w:t>
      </w:r>
      <w:r w:rsidRPr="00A428C3">
        <w:t>-AC had an affinity for metal ions in decreasing order of Cu</w:t>
      </w:r>
      <w:r w:rsidRPr="00A428C3">
        <w:rPr>
          <w:vertAlign w:val="superscript"/>
        </w:rPr>
        <w:t>2+</w:t>
      </w:r>
      <w:r w:rsidRPr="00A428C3">
        <w:t xml:space="preserve"> much greater than Pb</w:t>
      </w:r>
      <w:r w:rsidRPr="00A428C3">
        <w:rPr>
          <w:vertAlign w:val="superscript"/>
        </w:rPr>
        <w:t>2+</w:t>
      </w:r>
      <w:r w:rsidRPr="00A428C3">
        <w:t xml:space="preserve"> &gt; Ni</w:t>
      </w:r>
      <w:r w:rsidRPr="00A428C3">
        <w:rPr>
          <w:vertAlign w:val="superscript"/>
        </w:rPr>
        <w:t>2+</w:t>
      </w:r>
      <w:r w:rsidRPr="00A428C3">
        <w:t xml:space="preserve"> &gt; Cd</w:t>
      </w:r>
      <w:r w:rsidRPr="00A428C3">
        <w:rPr>
          <w:vertAlign w:val="superscript"/>
        </w:rPr>
        <w:t>2+</w:t>
      </w:r>
      <w:r w:rsidRPr="00A428C3">
        <w:t>. On the NH</w:t>
      </w:r>
      <w:r w:rsidRPr="00A428C3">
        <w:rPr>
          <w:vertAlign w:val="subscript"/>
        </w:rPr>
        <w:t>2</w:t>
      </w:r>
      <w:r w:rsidRPr="00A428C3">
        <w:t xml:space="preserve">-AC, the copper adsorption equilibrium was reached within 1 min with a </w:t>
      </w:r>
      <w:r w:rsidRPr="00A428C3">
        <w:lastRenderedPageBreak/>
        <w:t>saturation loading capacity of 0.86 mmol of Cu/g, 2.5 times greater than that on the unmodified AC. The Langmuir</w:t>
      </w:r>
      <w:r w:rsidR="00F81221">
        <w:t xml:space="preserve"> and </w:t>
      </w:r>
      <w:r w:rsidRPr="00A428C3">
        <w:t>Redlich-Peterson isotherm models were used successfully to characterize the Cu</w:t>
      </w:r>
      <w:r w:rsidRPr="00A428C3">
        <w:rPr>
          <w:vertAlign w:val="superscript"/>
        </w:rPr>
        <w:t>2+</w:t>
      </w:r>
      <w:r w:rsidRPr="00A428C3">
        <w:t xml:space="preserve"> adsorption isotherms. Having Kd values up to 100 000, the NH</w:t>
      </w:r>
      <w:r w:rsidRPr="00A428C3">
        <w:rPr>
          <w:vertAlign w:val="subscript"/>
        </w:rPr>
        <w:t>2</w:t>
      </w:r>
      <w:r w:rsidRPr="00A428C3">
        <w:t>-AC is a useful adsorbent material for removing Cu</w:t>
      </w:r>
      <w:r w:rsidRPr="00A428C3">
        <w:rPr>
          <w:vertAlign w:val="superscript"/>
        </w:rPr>
        <w:t>2+</w:t>
      </w:r>
      <w:r w:rsidRPr="00A428C3">
        <w:t xml:space="preserve"> from aqueous wastes.</w:t>
      </w:r>
    </w:p>
    <w:p w:rsidR="00B95188" w:rsidRPr="00A428C3" w:rsidRDefault="00B95188" w:rsidP="00B95188">
      <w:pPr>
        <w:pStyle w:val="a0"/>
      </w:pPr>
      <w:r w:rsidRPr="00A428C3">
        <w:t>Keywords: Heavy-Metals, Competitive Adsorption, Ions, Cadmium, Zinc, Equilibrium, Separation, Sorption, Isotherm, Binding</w:t>
      </w:r>
    </w:p>
    <w:p w:rsidR="006059F2" w:rsidRPr="0066656A" w:rsidRDefault="006059F2" w:rsidP="006059F2">
      <w:pPr>
        <w:pStyle w:val="a0"/>
      </w:pPr>
      <w:r>
        <w:rPr>
          <w:rFonts w:hint="eastAsia"/>
        </w:rPr>
        <w:t xml:space="preserve">? </w:t>
      </w:r>
      <w:r w:rsidRPr="0066656A">
        <w:t xml:space="preserve">Tsotsis, T.T., Patel, H., Najafi, B.F., Racherla, D., Knackstedt, M.A. and Sahimi, M. (2004), Overview of laboratory and modeling studies of carbon dioxide sequestration in coal beds. </w:t>
      </w:r>
      <w:r w:rsidRPr="0066656A">
        <w:rPr>
          <w:i/>
        </w:rPr>
        <w:t>Industrial &amp; Engineering Chemistry Research</w:t>
      </w:r>
      <w:r w:rsidRPr="0066656A">
        <w:t xml:space="preserve">, </w:t>
      </w:r>
      <w:r w:rsidRPr="0066656A">
        <w:rPr>
          <w:b/>
        </w:rPr>
        <w:t>43</w:t>
      </w:r>
      <w:r w:rsidRPr="0066656A">
        <w:t xml:space="preserve"> (12), 2887-2901.</w:t>
      </w:r>
    </w:p>
    <w:p w:rsidR="006059F2" w:rsidRPr="0066656A" w:rsidRDefault="006059F2" w:rsidP="006059F2">
      <w:pPr>
        <w:pStyle w:val="a0"/>
      </w:pPr>
      <w:r w:rsidRPr="0066656A">
        <w:t xml:space="preserve">Full Text: </w:t>
      </w:r>
      <w:hyperlink r:id="rId1212" w:history="1">
        <w:r w:rsidRPr="006059F2">
          <w:rPr>
            <w:rStyle w:val="a5"/>
          </w:rPr>
          <w:t>2004\Ind Eng Che Res43, 2887.pdf</w:t>
        </w:r>
      </w:hyperlink>
    </w:p>
    <w:p w:rsidR="006059F2" w:rsidRPr="0066656A" w:rsidRDefault="006059F2" w:rsidP="006059F2">
      <w:pPr>
        <w:pStyle w:val="a0"/>
      </w:pPr>
      <w:r w:rsidRPr="0066656A">
        <w:t>Abstract: One of the approaches suggested for sequestering CO2 is by injecting it in coal-bed methane (CBM) reservoirs. Despite its potential importance for CO2 sequestration, to our knowledge, CO2 injection in CBM reservoirs for the purpose of sequestration has not been widely studied. Furthermore, a key element missing in most of the existing studies is the comprehensive characterization of the CBM reservoir structure. CBM reservoirs are complex porous media because in addition to their primary pore structure, generated during coal formation, they also contain a variety of fractures, which may potentially play a key role in CO2 sequestration because they generally provide high permeability flow paths for both CO2 and CH4. In this paper, we present an overview of our ongoing experimental and modeling efforts, which aim to investigate the injection, adsorption, and sequestration of CO2 in CBM reservoirs, the enhanced CH4 production that results, and the main factors that affect the overall operation. We describe the various experimental techniques that we utilize and discuss their range of application and the value of the data generated. We conclude with a brief overview of our modeling efforts aiming to close the knowledge gap and fill the need in this area.</w:t>
      </w:r>
    </w:p>
    <w:p w:rsidR="006059F2" w:rsidRPr="0066656A" w:rsidRDefault="006059F2" w:rsidP="006059F2">
      <w:pPr>
        <w:pStyle w:val="a0"/>
      </w:pPr>
      <w:r w:rsidRPr="0066656A">
        <w:t>Keywords: Adsorption</w:t>
      </w:r>
      <w:r>
        <w:t xml:space="preserve">, </w:t>
      </w:r>
      <w:r w:rsidRPr="0066656A">
        <w:t>Carbon</w:t>
      </w:r>
      <w:r>
        <w:t xml:space="preserve">, </w:t>
      </w:r>
      <w:r w:rsidRPr="0066656A">
        <w:t>Carbon Dioxide</w:t>
      </w:r>
      <w:r>
        <w:t xml:space="preserve">, </w:t>
      </w:r>
      <w:r w:rsidRPr="0066656A">
        <w:t>Characterization</w:t>
      </w:r>
      <w:r>
        <w:t xml:space="preserve">, </w:t>
      </w:r>
      <w:r w:rsidRPr="0066656A">
        <w:t>CO</w:t>
      </w:r>
      <w:r w:rsidRPr="0066656A">
        <w:rPr>
          <w:vertAlign w:val="subscript"/>
        </w:rPr>
        <w:t>2</w:t>
      </w:r>
      <w:r>
        <w:t xml:space="preserve">, </w:t>
      </w:r>
      <w:r w:rsidRPr="0066656A">
        <w:t>Experimental</w:t>
      </w:r>
      <w:r>
        <w:t xml:space="preserve">, </w:t>
      </w:r>
      <w:r w:rsidRPr="0066656A">
        <w:t>Gas-Mixtures</w:t>
      </w:r>
      <w:r>
        <w:t xml:space="preserve">, </w:t>
      </w:r>
      <w:r w:rsidRPr="0066656A">
        <w:t>Knowledge</w:t>
      </w:r>
      <w:r>
        <w:t xml:space="preserve">, </w:t>
      </w:r>
      <w:r w:rsidRPr="0066656A">
        <w:t>Media</w:t>
      </w:r>
      <w:r>
        <w:t xml:space="preserve">, </w:t>
      </w:r>
      <w:r w:rsidRPr="0066656A">
        <w:t>Modeling</w:t>
      </w:r>
      <w:r>
        <w:t xml:space="preserve">, </w:t>
      </w:r>
      <w:r w:rsidRPr="0066656A">
        <w:t>Molecular-Dynamics Simulation</w:t>
      </w:r>
      <w:r>
        <w:t xml:space="preserve">, </w:t>
      </w:r>
      <w:r w:rsidRPr="0066656A">
        <w:t>Multiple Families</w:t>
      </w:r>
      <w:r>
        <w:t xml:space="preserve">, </w:t>
      </w:r>
      <w:r w:rsidRPr="0066656A">
        <w:t>Nanoporous Materials</w:t>
      </w:r>
      <w:r>
        <w:t xml:space="preserve">, </w:t>
      </w:r>
      <w:r w:rsidRPr="0066656A">
        <w:t>Overview</w:t>
      </w:r>
      <w:r>
        <w:t xml:space="preserve">, </w:t>
      </w:r>
      <w:r w:rsidRPr="0066656A">
        <w:t>Permeability</w:t>
      </w:r>
      <w:r>
        <w:t xml:space="preserve">, </w:t>
      </w:r>
      <w:r w:rsidRPr="0066656A">
        <w:t>Porous Media</w:t>
      </w:r>
      <w:r>
        <w:t xml:space="preserve">, </w:t>
      </w:r>
      <w:r w:rsidRPr="0066656A">
        <w:t>Primary</w:t>
      </w:r>
      <w:r>
        <w:t xml:space="preserve">, </w:t>
      </w:r>
      <w:r w:rsidRPr="0066656A">
        <w:t>Separation</w:t>
      </w:r>
      <w:r>
        <w:t xml:space="preserve">, </w:t>
      </w:r>
      <w:r w:rsidRPr="0066656A">
        <w:t>Sieve Membranes</w:t>
      </w:r>
      <w:r>
        <w:t xml:space="preserve">, </w:t>
      </w:r>
      <w:r w:rsidRPr="0066656A">
        <w:t>Statistical-Mechanics</w:t>
      </w:r>
      <w:r>
        <w:t xml:space="preserve">, </w:t>
      </w:r>
      <w:r w:rsidRPr="0066656A">
        <w:t>Transport Paths</w:t>
      </w:r>
    </w:p>
    <w:p w:rsidR="006059F2" w:rsidRPr="00A428C3" w:rsidRDefault="006059F2" w:rsidP="006059F2">
      <w:pPr>
        <w:pStyle w:val="a0"/>
      </w:pPr>
      <w:r w:rsidRPr="00A428C3">
        <w:t>Bernardo, G., Telesca, A., Valenti, G.L.</w:t>
      </w:r>
      <w:r>
        <w:t xml:space="preserve"> and </w:t>
      </w:r>
      <w:r w:rsidRPr="00A428C3">
        <w:t xml:space="preserve">Montagnaro, F. (2004), Role of ettringite in the reuse of hydrated fly ash from fluidized-bed combustion as a sulfur sorbent: A hydration study. </w:t>
      </w:r>
      <w:r w:rsidRPr="00A428C3">
        <w:rPr>
          <w:i/>
        </w:rPr>
        <w:t>Industrial &amp; Engineering Chemistry Research</w:t>
      </w:r>
      <w:r w:rsidRPr="00A428C3">
        <w:t xml:space="preserve">, </w:t>
      </w:r>
      <w:r w:rsidRPr="00A428C3">
        <w:rPr>
          <w:b/>
        </w:rPr>
        <w:t>43</w:t>
      </w:r>
      <w:r w:rsidRPr="00A428C3">
        <w:t xml:space="preserve"> (15), 4054-4059.</w:t>
      </w:r>
    </w:p>
    <w:p w:rsidR="006059F2" w:rsidRPr="00A428C3" w:rsidRDefault="006059F2" w:rsidP="006059F2">
      <w:pPr>
        <w:pStyle w:val="a0"/>
      </w:pPr>
      <w:r w:rsidRPr="00A428C3">
        <w:t xml:space="preserve">Full Text: </w:t>
      </w:r>
      <w:hyperlink r:id="rId1213" w:history="1">
        <w:r w:rsidRPr="00A428C3">
          <w:rPr>
            <w:rStyle w:val="a5"/>
          </w:rPr>
          <w:t>I\Ind Eng Che Res43, 4054.pdf</w:t>
        </w:r>
      </w:hyperlink>
    </w:p>
    <w:p w:rsidR="00B95188" w:rsidRPr="00A428C3" w:rsidRDefault="00B95188" w:rsidP="00B95188">
      <w:pPr>
        <w:pStyle w:val="a0"/>
      </w:pPr>
      <w:r w:rsidRPr="00A428C3">
        <w:t>Abstract: Waste from fluidized-bed combustion (FBC) has a low potential for reuse. One possibility for its recycling lies in a hydration process aimed at reactivating the SO</w:t>
      </w:r>
      <w:r w:rsidRPr="00A428C3">
        <w:rPr>
          <w:vertAlign w:val="subscript"/>
        </w:rPr>
        <w:t>2</w:t>
      </w:r>
      <w:r w:rsidRPr="00A428C3">
        <w:t xml:space="preserve"> sorption ability of the unconverted lime. The formation of ettringite, as well as calcium hydroxide, in the hydrated FBC fly ash to be reinjected into the reactor could </w:t>
      </w:r>
      <w:r w:rsidRPr="00A428C3">
        <w:lastRenderedPageBreak/>
        <w:t>be of importance because ettringite is able to play a chemical</w:t>
      </w:r>
      <w:r w:rsidR="00F81221">
        <w:t xml:space="preserve"> and </w:t>
      </w:r>
      <w:r w:rsidRPr="00A428C3">
        <w:t>physical role in SO</w:t>
      </w:r>
      <w:r w:rsidRPr="00A428C3">
        <w:rPr>
          <w:vertAlign w:val="subscript"/>
        </w:rPr>
        <w:t>2</w:t>
      </w:r>
      <w:r w:rsidRPr="00A428C3">
        <w:t xml:space="preserve"> capture. The aim of this paper is to investigate the conditions under which ettringite is formed by the liquid-phase hydration of FBC waste. To this end, two industrial FBC fly ashes were hydrated at temperatures of 20</w:t>
      </w:r>
      <w:r w:rsidR="00F81221">
        <w:t xml:space="preserve"> and </w:t>
      </w:r>
      <w:r w:rsidRPr="00A428C3">
        <w:t>70 degreesC, for curing times ranging from 30 min to 96 h. Ettringite concentrations</w:t>
      </w:r>
      <w:r w:rsidR="00F81221">
        <w:t xml:space="preserve"> and </w:t>
      </w:r>
      <w:r w:rsidRPr="00A428C3">
        <w:t>hydration levels of up to 50</w:t>
      </w:r>
      <w:r w:rsidR="00F81221">
        <w:t xml:space="preserve"> and </w:t>
      </w:r>
      <w:r w:rsidRPr="00A428C3">
        <w:t>74%, respectively, were measured. The experimental data were also employed to set up a simple kinetic model for ettringite synthesis. With respect to the CaSO</w:t>
      </w:r>
      <w:r w:rsidRPr="00A428C3">
        <w:rPr>
          <w:vertAlign w:val="subscript"/>
        </w:rPr>
        <w:t>4</w:t>
      </w:r>
      <w:r w:rsidRPr="00A428C3">
        <w:t xml:space="preserve"> concentration, this reaction was of first order for hydration times up to 8 h</w:t>
      </w:r>
      <w:r w:rsidR="00F81221">
        <w:t xml:space="preserve"> and </w:t>
      </w:r>
      <w:r w:rsidRPr="00A428C3">
        <w:t>of second order thereafter. In this work, the main characterization techniques employed were X-ray fluorescence, X-ray diffraction,</w:t>
      </w:r>
      <w:r w:rsidR="00F81221">
        <w:t xml:space="preserve"> and </w:t>
      </w:r>
      <w:r w:rsidRPr="00A428C3">
        <w:t>differential thermal</w:t>
      </w:r>
      <w:r w:rsidR="00F81221">
        <w:t xml:space="preserve"> and </w:t>
      </w:r>
      <w:r w:rsidRPr="00A428C3">
        <w:t>thermogravimetric analyses. Thermogravimetric analysis was also used for quantitative purposes.</w:t>
      </w:r>
    </w:p>
    <w:p w:rsidR="00B95188" w:rsidRPr="00A428C3" w:rsidRDefault="00B95188" w:rsidP="00B95188">
      <w:pPr>
        <w:pStyle w:val="a0"/>
      </w:pPr>
      <w:r w:rsidRPr="00A428C3">
        <w:t>Keywords: High-Temperature Reaction, Fbc Residues, Calcium Sulfoaluminate, Crystal Structure, SO</w:t>
      </w:r>
      <w:r w:rsidRPr="00A428C3">
        <w:rPr>
          <w:vertAlign w:val="subscript"/>
        </w:rPr>
        <w:t>2</w:t>
      </w:r>
      <w:r w:rsidRPr="00A428C3">
        <w:t xml:space="preserve"> Removal, Flue-Gas, Limestone, Desulfurization, Reactivation, Dioxide</w:t>
      </w:r>
    </w:p>
    <w:p w:rsidR="00B95188" w:rsidRPr="00A428C3" w:rsidRDefault="00B95188" w:rsidP="00B95188">
      <w:pPr>
        <w:pStyle w:val="a0"/>
      </w:pPr>
      <w:r w:rsidRPr="00A428C3">
        <w:t>Nabarlatz, D., Farriol, X.</w:t>
      </w:r>
      <w:r w:rsidR="00F81221">
        <w:t xml:space="preserve"> and </w:t>
      </w:r>
      <w:r w:rsidRPr="00A428C3">
        <w:t xml:space="preserve">Montane, D. (2004), Kinetic modeling of the autohydrolysis of lignocellulosic biomass for the production of hemicellulose-derived ligosaccharides. </w:t>
      </w:r>
      <w:r w:rsidRPr="00A428C3">
        <w:rPr>
          <w:i/>
        </w:rPr>
        <w:t>Industrial &amp; Engineering Chemistry Research</w:t>
      </w:r>
      <w:r w:rsidRPr="00A428C3">
        <w:t xml:space="preserve">, </w:t>
      </w:r>
      <w:r w:rsidRPr="00A428C3">
        <w:rPr>
          <w:b/>
        </w:rPr>
        <w:t>43</w:t>
      </w:r>
      <w:r w:rsidRPr="00A428C3">
        <w:t xml:space="preserve"> (15), 4124-4131.</w:t>
      </w:r>
    </w:p>
    <w:p w:rsidR="00B95188" w:rsidRPr="00A428C3" w:rsidRDefault="00B95188" w:rsidP="00B95188">
      <w:pPr>
        <w:pStyle w:val="a0"/>
      </w:pPr>
      <w:r w:rsidRPr="00A428C3">
        <w:t xml:space="preserve">Full Text: </w:t>
      </w:r>
      <w:hyperlink r:id="rId1214" w:history="1">
        <w:r w:rsidRPr="00A428C3">
          <w:rPr>
            <w:rStyle w:val="a5"/>
          </w:rPr>
          <w:t>I\Ind Eng Che Res43, 4124.pdf</w:t>
        </w:r>
      </w:hyperlink>
    </w:p>
    <w:p w:rsidR="00B95188" w:rsidRPr="00A428C3" w:rsidRDefault="00B95188" w:rsidP="00B95188">
      <w:pPr>
        <w:pStyle w:val="a0"/>
      </w:pPr>
      <w:r w:rsidRPr="00A428C3">
        <w:t>Abstract: Xylose-based oligosaccharides produced from xylan-rich hemicelluloses (xylo-oligomers) are carbohydrates with potential food</w:t>
      </w:r>
      <w:r w:rsidR="00F81221">
        <w:t xml:space="preserve"> and </w:t>
      </w:r>
      <w:r w:rsidRPr="00A428C3">
        <w:t>pharmaceutical uses. Autohydrolysis of lignocellulosic biomass is an efficient way to produce xylo-oligomers in a reasonable yield</w:t>
      </w:r>
      <w:r w:rsidR="00F81221">
        <w:t xml:space="preserve"> and </w:t>
      </w:r>
      <w:r w:rsidRPr="00A428C3">
        <w:t>a wide variety of compositions (anhydroarabinose/anhydroxylose</w:t>
      </w:r>
      <w:r w:rsidR="00F81221">
        <w:t xml:space="preserve"> and </w:t>
      </w:r>
      <w:r w:rsidRPr="00A428C3">
        <w:t>acetyl/anhydroxylose mass ratios). In this work, we develop a kinetic model for the autohydrolysis of xylan in lignocellulosic biomass that describes the yields of the different reaction products</w:t>
      </w:r>
      <w:r w:rsidR="00F81221">
        <w:t xml:space="preserve"> and </w:t>
      </w:r>
      <w:r w:rsidRPr="00A428C3">
        <w:t>explains the changes in the chemical composition of the xylo-oligomers due to reaction temperature</w:t>
      </w:r>
      <w:r w:rsidR="00F81221">
        <w:t xml:space="preserve"> and </w:t>
      </w:r>
      <w:r w:rsidRPr="00A428C3">
        <w:t>time. This model assumes that xylan is made up of three monomers (xylose, arabinose,</w:t>
      </w:r>
      <w:r w:rsidR="00F81221">
        <w:t xml:space="preserve"> and </w:t>
      </w:r>
      <w:r w:rsidRPr="00A428C3">
        <w:t>acetic acid)</w:t>
      </w:r>
      <w:r w:rsidR="00F81221">
        <w:t xml:space="preserve"> and </w:t>
      </w:r>
      <w:r w:rsidRPr="00A428C3">
        <w:t>that there are two xylan fractions with different compositions</w:t>
      </w:r>
      <w:r w:rsidR="00F81221">
        <w:t xml:space="preserve"> and </w:t>
      </w:r>
      <w:r w:rsidRPr="00A428C3">
        <w:t>reactivities toward hydrolysis. Both fractions are hydrolyzed to xylo-oligomers, which are hydrolyzed to xylose, arabinose,</w:t>
      </w:r>
      <w:r w:rsidR="00F81221">
        <w:t xml:space="preserve"> and </w:t>
      </w:r>
      <w:r w:rsidRPr="00A428C3">
        <w:t>acetic acid. Finally, monosaccharides dehydrate to furfural</w:t>
      </w:r>
      <w:r w:rsidR="00F81221">
        <w:t xml:space="preserve"> and </w:t>
      </w:r>
      <w:r w:rsidRPr="00A428C3">
        <w:t>degradation products. The model is validated with experimental data obtained for the autohydrolysis of corncobs in a batch reactor system at temperatures from 150 to 190 degreesC. The amount</w:t>
      </w:r>
      <w:r w:rsidR="00F81221">
        <w:t xml:space="preserve"> and </w:t>
      </w:r>
      <w:r w:rsidRPr="00A428C3">
        <w:t>composition of each xylan fraction, as well as the activation energies</w:t>
      </w:r>
      <w:r w:rsidR="00F81221">
        <w:t xml:space="preserve"> and </w:t>
      </w:r>
      <w:r w:rsidRPr="00A428C3">
        <w:t>frequency factors for all the reactions, are calculated from the experimental data. This model provides a satisfactory interpretation of the experimental data.</w:t>
      </w:r>
    </w:p>
    <w:p w:rsidR="00B95188" w:rsidRPr="00A428C3" w:rsidRDefault="00B95188" w:rsidP="00B95188">
      <w:pPr>
        <w:pStyle w:val="a0"/>
      </w:pPr>
      <w:r w:rsidRPr="00A428C3">
        <w:t xml:space="preserve">Keywords: Herpes-Simplex-Virus, Complex-Systems, Xylooligosaccharide Production, </w:t>
      </w:r>
      <w:r w:rsidRPr="00A428C3">
        <w:lastRenderedPageBreak/>
        <w:t>Phenomenological Kinetics, Sulfated Polysaccharides, Hardwood Prehydrolysis, Severity Parameter, Almond Shells, Pretreatment, Fractionation</w:t>
      </w:r>
    </w:p>
    <w:p w:rsidR="00B95188" w:rsidRPr="00A428C3" w:rsidRDefault="00B95188" w:rsidP="00B95188">
      <w:pPr>
        <w:pStyle w:val="a0"/>
      </w:pPr>
      <w:r w:rsidRPr="00A428C3">
        <w:t>? Papini, M.P., Saurini, T., Bianchi, A., Majone, M.</w:t>
      </w:r>
      <w:r w:rsidR="00F81221">
        <w:t xml:space="preserve"> and </w:t>
      </w:r>
      <w:r w:rsidRPr="00A428C3">
        <w:t>Beccari, M. (2004), Modeling the competitive adsorption of Pb, Cu, Cd,</w:t>
      </w:r>
      <w:r w:rsidR="00F81221">
        <w:t xml:space="preserve"> and </w:t>
      </w:r>
      <w:r w:rsidRPr="00A428C3">
        <w:t xml:space="preserve">Ni onto a natural heterogeneous sorbent material (Italian </w:t>
      </w:r>
      <w:r w:rsidR="000352E7">
        <w:t>“</w:t>
      </w:r>
      <w:r w:rsidRPr="00A428C3">
        <w:t>Red soil</w:t>
      </w:r>
      <w:r w:rsidR="000352E7">
        <w:t>”</w:t>
      </w:r>
      <w:r w:rsidRPr="00A428C3">
        <w:t xml:space="preserve">). </w:t>
      </w:r>
      <w:r w:rsidRPr="00A428C3">
        <w:rPr>
          <w:i/>
          <w:iCs/>
        </w:rPr>
        <w:t>Industrial &amp; Engineering Chemistry Research</w:t>
      </w:r>
      <w:r w:rsidRPr="00A428C3">
        <w:t xml:space="preserve">, </w:t>
      </w:r>
      <w:r w:rsidRPr="00A428C3">
        <w:rPr>
          <w:b/>
        </w:rPr>
        <w:t>43</w:t>
      </w:r>
      <w:r w:rsidRPr="00A428C3">
        <w:t xml:space="preserve"> (17), 5032-5041.</w:t>
      </w:r>
    </w:p>
    <w:p w:rsidR="00B95188" w:rsidRPr="00A428C3" w:rsidRDefault="00B95188" w:rsidP="00B95188">
      <w:pPr>
        <w:pStyle w:val="a0"/>
      </w:pPr>
      <w:r w:rsidRPr="00A428C3">
        <w:t xml:space="preserve">Full Text: </w:t>
      </w:r>
      <w:hyperlink r:id="rId1215" w:history="1">
        <w:r w:rsidRPr="00A428C3">
          <w:rPr>
            <w:rStyle w:val="a5"/>
          </w:rPr>
          <w:t>I\Ind Eng Che Res43, 5032.pdf</w:t>
        </w:r>
      </w:hyperlink>
    </w:p>
    <w:p w:rsidR="00B95188" w:rsidRPr="00A428C3" w:rsidRDefault="00B95188" w:rsidP="00B95188">
      <w:pPr>
        <w:pStyle w:val="a0"/>
      </w:pPr>
      <w:r w:rsidRPr="00A428C3">
        <w:t xml:space="preserve">Abstract: The use of Italian </w:t>
      </w:r>
      <w:r w:rsidR="000352E7">
        <w:t>“</w:t>
      </w:r>
      <w:r w:rsidRPr="00A428C3">
        <w:t>Red Soil</w:t>
      </w:r>
      <w:r w:rsidR="000352E7">
        <w:t>”</w:t>
      </w:r>
      <w:r w:rsidRPr="00A428C3">
        <w:t xml:space="preserve"> as an alternative low-cost sorbent material has been investigated for heavy metal removal in multicomponent systems. Pb, Cu, Cd,</w:t>
      </w:r>
      <w:r w:rsidR="00F81221">
        <w:t xml:space="preserve"> and </w:t>
      </w:r>
      <w:r w:rsidRPr="00A428C3">
        <w:t>Ni adsorption was studied at fixed pH (6.0)</w:t>
      </w:r>
      <w:r w:rsidR="00F81221">
        <w:t xml:space="preserve"> and </w:t>
      </w:r>
      <w:r w:rsidRPr="00A428C3">
        <w:t>constant ionic strength (0.1 mol L</w:t>
      </w:r>
      <w:r w:rsidRPr="00A428C3">
        <w:rPr>
          <w:sz w:val="13"/>
          <w:szCs w:val="13"/>
        </w:rPr>
        <w:t xml:space="preserve">-1 </w:t>
      </w:r>
      <w:r w:rsidRPr="00A428C3">
        <w:t>by NaNO</w:t>
      </w:r>
      <w:r w:rsidRPr="00A428C3">
        <w:rPr>
          <w:sz w:val="13"/>
          <w:szCs w:val="13"/>
        </w:rPr>
        <w:t>3</w:t>
      </w:r>
      <w:r w:rsidRPr="00A428C3">
        <w:t>) by a flowthrough reactor setup performing monocomponent</w:t>
      </w:r>
      <w:r w:rsidR="00F81221">
        <w:t xml:space="preserve"> and </w:t>
      </w:r>
      <w:r w:rsidRPr="00A428C3">
        <w:t>binary adsorption tests</w:t>
      </w:r>
      <w:r w:rsidR="00F81221">
        <w:t xml:space="preserve"> and </w:t>
      </w:r>
      <w:r w:rsidRPr="00A428C3">
        <w:t>sequential extraction. The whole set of experimental data was represented by a competitive model based on the surface complexation concept. High Pb</w:t>
      </w:r>
      <w:r w:rsidR="00F81221">
        <w:t xml:space="preserve"> and </w:t>
      </w:r>
      <w:r w:rsidRPr="00A428C3">
        <w:t>Cu adsorption was largely due to a surface complexation mechanism, whereas lower Cd</w:t>
      </w:r>
      <w:r w:rsidR="00F81221">
        <w:t xml:space="preserve"> and </w:t>
      </w:r>
      <w:r w:rsidRPr="00A428C3">
        <w:t>Ni adsorption was due to cation-exchange reactions. Sequential extraction results independently substantiated the different adsorption behavior. Pb</w:t>
      </w:r>
      <w:r w:rsidR="00F81221">
        <w:t xml:space="preserve"> and </w:t>
      </w:r>
      <w:r w:rsidRPr="00A428C3">
        <w:t>Cu adsorption was not significantly affected by the presence of the other metals, whereas Cd</w:t>
      </w:r>
      <w:r w:rsidR="00F81221">
        <w:t xml:space="preserve"> and </w:t>
      </w:r>
      <w:r w:rsidRPr="00A428C3">
        <w:t>Ni strongly compete with each other</w:t>
      </w:r>
      <w:r w:rsidR="00F81221">
        <w:t xml:space="preserve"> and </w:t>
      </w:r>
      <w:r w:rsidRPr="00A428C3">
        <w:t>were displaced in the presence of Pb</w:t>
      </w:r>
      <w:r w:rsidR="00F81221">
        <w:t xml:space="preserve"> and </w:t>
      </w:r>
      <w:r w:rsidRPr="00A428C3">
        <w:t xml:space="preserve">Cu. </w:t>
      </w:r>
      <w:r w:rsidR="000352E7">
        <w:t>“</w:t>
      </w:r>
      <w:r w:rsidRPr="00A428C3">
        <w:t>Red Soil</w:t>
      </w:r>
      <w:r w:rsidR="000352E7">
        <w:t>”</w:t>
      </w:r>
      <w:r w:rsidRPr="00A428C3">
        <w:t xml:space="preserve"> was effective in the removal of heavy metals from contaminated aqueous streams in competitive conditions if compared with other low-cost sorbents.</w:t>
      </w:r>
    </w:p>
    <w:p w:rsidR="00B95188" w:rsidRPr="00A428C3" w:rsidRDefault="00B95188" w:rsidP="00B95188">
      <w:pPr>
        <w:pStyle w:val="a0"/>
      </w:pPr>
      <w:r w:rsidRPr="00A428C3">
        <w:t>? Sreeram, K.J.</w:t>
      </w:r>
      <w:r w:rsidRPr="00A428C3">
        <w:rPr>
          <w:szCs w:val="19"/>
        </w:rPr>
        <w:t xml:space="preserve">, </w:t>
      </w:r>
      <w:r w:rsidRPr="00A428C3">
        <w:t>Saravanabhavan, S.</w:t>
      </w:r>
      <w:r w:rsidRPr="00A428C3">
        <w:rPr>
          <w:szCs w:val="19"/>
        </w:rPr>
        <w:t xml:space="preserve">, </w:t>
      </w:r>
      <w:r w:rsidRPr="00A428C3">
        <w:t>Rao, J.R.</w:t>
      </w:r>
      <w:r w:rsidR="00F81221">
        <w:t xml:space="preserve"> and </w:t>
      </w:r>
      <w:r w:rsidRPr="00A428C3">
        <w:t xml:space="preserve">Nair, B.U. (2004), </w:t>
      </w:r>
      <w:r w:rsidRPr="00A428C3">
        <w:rPr>
          <w:szCs w:val="19"/>
        </w:rPr>
        <w:t>Use of chromium-collagen wastes for the removal of tannins from wastewaters</w:t>
      </w:r>
      <w:r w:rsidRPr="00A428C3">
        <w:t xml:space="preserve">. </w:t>
      </w:r>
      <w:r w:rsidRPr="00A428C3">
        <w:rPr>
          <w:i/>
          <w:iCs/>
        </w:rPr>
        <w:t>Industrial &amp; Engineering Chemistry Research</w:t>
      </w:r>
      <w:r w:rsidRPr="00A428C3">
        <w:t xml:space="preserve">, </w:t>
      </w:r>
      <w:r w:rsidRPr="00A428C3">
        <w:rPr>
          <w:b/>
        </w:rPr>
        <w:t>43</w:t>
      </w:r>
      <w:r w:rsidRPr="00A428C3">
        <w:t xml:space="preserve"> (17), </w:t>
      </w:r>
      <w:r w:rsidRPr="00A428C3">
        <w:rPr>
          <w:szCs w:val="19"/>
        </w:rPr>
        <w:t>5310-5317</w:t>
      </w:r>
      <w:r w:rsidRPr="00A428C3">
        <w:t>.</w:t>
      </w:r>
    </w:p>
    <w:p w:rsidR="00B95188" w:rsidRPr="00A428C3" w:rsidRDefault="00B95188" w:rsidP="00B95188">
      <w:pPr>
        <w:pStyle w:val="a0"/>
      </w:pPr>
      <w:r w:rsidRPr="00A428C3">
        <w:t xml:space="preserve">Full Text: </w:t>
      </w:r>
      <w:hyperlink r:id="rId1216" w:history="1">
        <w:r w:rsidRPr="00A428C3">
          <w:rPr>
            <w:rStyle w:val="a5"/>
          </w:rPr>
          <w:t>2004\Ind Eng Che Res43, 5310.pdf</w:t>
        </w:r>
      </w:hyperlink>
    </w:p>
    <w:p w:rsidR="00B95188" w:rsidRPr="00A428C3" w:rsidRDefault="00B95188" w:rsidP="00B95188">
      <w:pPr>
        <w:pStyle w:val="a0"/>
      </w:pPr>
      <w:r w:rsidRPr="00A428C3">
        <w:rPr>
          <w:rStyle w:val="a4"/>
        </w:rPr>
        <w:t>Abstract: The ability of chromium-collagen compounds-chromium shavings from the</w:t>
      </w:r>
      <w:r w:rsidRPr="00A428C3">
        <w:t xml:space="preserve"> leather industry-for the removal of vegetable tannins from mixed effluents containing tannins</w:t>
      </w:r>
      <w:r w:rsidR="00F81221">
        <w:t xml:space="preserve"> and </w:t>
      </w:r>
      <w:r w:rsidRPr="00A428C3">
        <w:t>chromium has been studied. The experimental equilibrium data for the tannin-shavings system has been analyzed using the linearized forms of Langmuir, Freundlich,</w:t>
      </w:r>
      <w:r w:rsidR="00F81221">
        <w:t xml:space="preserve"> and </w:t>
      </w:r>
      <w:r w:rsidRPr="00A428C3">
        <w:t>Scatchard isotherms. The Freundlich isotherm was found to provide the best theoretical correlation of the experimental data for the adsorption of tannin. The 1/n value for tannin adsorption was found to be 0.799, indicating the suitability of the material for adsorption process. A theoretical model evaluated in the study provided sufficient correlation</w:t>
      </w:r>
      <w:r w:rsidR="00F81221">
        <w:t xml:space="preserve"> and </w:t>
      </w:r>
      <w:r w:rsidRPr="00A428C3">
        <w:t>enabled development of parameters such as treatment time, sorbent weight, etc., required for maximum adsorption. The tannin adsorbed shavings were used for the preparation of chromium(III) sulfate. The chromium left behind after near complete removal of tannins was recovered by precipitative techniques</w:t>
      </w:r>
      <w:r w:rsidR="00F81221">
        <w:t xml:space="preserve"> and </w:t>
      </w:r>
      <w:r w:rsidRPr="00A428C3">
        <w:t>subsequently redissolved in sulfuric acid to generate chromium(III) sulfate. The prepared</w:t>
      </w:r>
      <w:r w:rsidR="00F81221">
        <w:t xml:space="preserve"> and </w:t>
      </w:r>
      <w:r w:rsidRPr="00A428C3">
        <w:t xml:space="preserve">recovered chromium(III) sulfate on use in </w:t>
      </w:r>
      <w:r w:rsidRPr="00A428C3">
        <w:lastRenderedPageBreak/>
        <w:t xml:space="preserve">tanning process gave results similar to those of conventional chromium(III) salts, thereby providing a new methodology for the reuse of waste products of the leather industry directly into the leather industry itself. </w:t>
      </w:r>
    </w:p>
    <w:p w:rsidR="00B95188" w:rsidRPr="00A428C3" w:rsidRDefault="00B95188" w:rsidP="00B95188">
      <w:pPr>
        <w:pStyle w:val="a0"/>
      </w:pPr>
      <w:r w:rsidRPr="00A428C3">
        <w:t>Keywords: Leather Industry, Adsorption, Dye, Equilibrium, Chitosan, Shavings, Sorbents, Sorption, Recovery, Options</w:t>
      </w:r>
    </w:p>
    <w:p w:rsidR="00B95188" w:rsidRPr="00A428C3" w:rsidRDefault="00B95188" w:rsidP="00B95188">
      <w:pPr>
        <w:pStyle w:val="a0"/>
      </w:pPr>
      <w:r w:rsidRPr="00A428C3">
        <w:t>Chern, J.M., Lee, W.F.</w:t>
      </w:r>
      <w:r w:rsidR="00F81221">
        <w:t xml:space="preserve"> and </w:t>
      </w:r>
      <w:r w:rsidRPr="00A428C3">
        <w:t>Hsieh, M.Y. (2004), Absorption isotherm of caffeine</w:t>
      </w:r>
      <w:r w:rsidR="00F81221">
        <w:t xml:space="preserve"> and </w:t>
      </w:r>
      <w:r w:rsidRPr="00A428C3">
        <w:t>release kinetics from swollen NIPAAm hydrogels: Experiments</w:t>
      </w:r>
      <w:r w:rsidR="00F81221">
        <w:t xml:space="preserve"> and </w:t>
      </w:r>
      <w:r w:rsidRPr="00A428C3">
        <w:t xml:space="preserve">modeling. </w:t>
      </w:r>
      <w:r w:rsidRPr="00A428C3">
        <w:rPr>
          <w:i/>
        </w:rPr>
        <w:t>Industrial &amp; Engineering Chemistry Research</w:t>
      </w:r>
      <w:r w:rsidRPr="00A428C3">
        <w:t xml:space="preserve">, </w:t>
      </w:r>
      <w:r w:rsidRPr="00A428C3">
        <w:rPr>
          <w:b/>
        </w:rPr>
        <w:t>43</w:t>
      </w:r>
      <w:r w:rsidRPr="00A428C3">
        <w:t xml:space="preserve"> (19), 6150-6156.</w:t>
      </w:r>
    </w:p>
    <w:p w:rsidR="00B95188" w:rsidRPr="00A428C3" w:rsidRDefault="00B95188" w:rsidP="00B95188">
      <w:pPr>
        <w:pStyle w:val="a0"/>
      </w:pPr>
      <w:r w:rsidRPr="00A428C3">
        <w:t xml:space="preserve">Full Text: </w:t>
      </w:r>
      <w:hyperlink r:id="rId1217" w:history="1">
        <w:r w:rsidRPr="00A428C3">
          <w:rPr>
            <w:rStyle w:val="a5"/>
          </w:rPr>
          <w:t>I\Ind Eng Che Res43, 6150.pdf</w:t>
        </w:r>
      </w:hyperlink>
    </w:p>
    <w:p w:rsidR="00B95188" w:rsidRPr="00A428C3" w:rsidRDefault="00B95188" w:rsidP="00B95188">
      <w:pPr>
        <w:pStyle w:val="a0"/>
      </w:pPr>
      <w:r w:rsidRPr="00A428C3">
        <w:t>Abstract: A series of NIPAAm-based hydrogels, including nonionic, cationic,</w:t>
      </w:r>
      <w:r w:rsidR="00F81221">
        <w:t xml:space="preserve"> and </w:t>
      </w:r>
      <w:r w:rsidRPr="00A428C3">
        <w:t>anionic types, was prepared by the free radical polymerization method,</w:t>
      </w:r>
      <w:r w:rsidR="00F81221">
        <w:t xml:space="preserve"> and </w:t>
      </w:r>
      <w:r w:rsidRPr="00A428C3">
        <w:t>the absorption equilibriums</w:t>
      </w:r>
      <w:r w:rsidR="00F81221">
        <w:t xml:space="preserve"> and </w:t>
      </w:r>
      <w:r w:rsidRPr="00A428C3">
        <w:t xml:space="preserve">release kinetics of caffeine in the prepared hydrogels were experimentally measured at </w:t>
      </w:r>
      <w:smartTag w:uri="urn:schemas-microsoft-com:office:smarttags" w:element="chmetcnv">
        <w:smartTagPr>
          <w:attr w:name="TCSC" w:val="0"/>
          <w:attr w:name="NumberType" w:val="1"/>
          <w:attr w:name="Negative" w:val="False"/>
          <w:attr w:name="HasSpace" w:val="False"/>
          <w:attr w:name="SourceValue" w:val="25"/>
          <w:attr w:name="UnitName" w:val="C"/>
        </w:smartTagPr>
        <w:r w:rsidRPr="00A428C3">
          <w:t xml:space="preserve">25 </w:t>
        </w:r>
      </w:smartTag>
      <w:r w:rsidRPr="00A428C3">
        <w:sym w:font="Symbol" w:char="F0B0"/>
      </w:r>
      <w:r w:rsidRPr="00A428C3">
        <w:t>C. The experimental absorption data were successfully correlated by the Langmuir isotherm model that results in the same absorption equilibrium constant for the same type of hydrogels</w:t>
      </w:r>
      <w:r w:rsidR="00F81221">
        <w:t xml:space="preserve"> and </w:t>
      </w:r>
      <w:r w:rsidRPr="00A428C3">
        <w:t>relative affinity sequence: anionic types &gt; cationic types &gt; nonionic types. The maximum caffeine absorption capacity significantly increases with the swelling ratio of the nonionic</w:t>
      </w:r>
      <w:r w:rsidR="00F81221">
        <w:t xml:space="preserve"> and </w:t>
      </w:r>
      <w:r w:rsidRPr="00A428C3">
        <w:t>cationic hydrogels, while it slightly decreases with the swelling ratio for the anionic hydrogels. The caffeine release kinetic data were analyzed,</w:t>
      </w:r>
      <w:r w:rsidR="00F81221">
        <w:t xml:space="preserve"> and </w:t>
      </w:r>
      <w:r w:rsidRPr="00A428C3">
        <w:t>the effective diffusion coefficients in different hydrogels were estimated by the traditional</w:t>
      </w:r>
      <w:r w:rsidR="00F81221">
        <w:t xml:space="preserve"> and </w:t>
      </w:r>
      <w:r w:rsidRPr="00A428C3">
        <w:t>a modified mass transfer model, respectively. The results show that the traditional model underestimates the effective diffusion coefficients, while the modified model provides more accurate estimation of the effective diffusion coefficients. For the same type of hydrogels, the diffusion coefficients estimated by the modified model increase with the swelling ratio of the hydrogels.</w:t>
      </w:r>
    </w:p>
    <w:p w:rsidR="00B95188" w:rsidRPr="00A428C3" w:rsidRDefault="00B95188" w:rsidP="00B95188">
      <w:pPr>
        <w:pStyle w:val="a0"/>
      </w:pPr>
      <w:r w:rsidRPr="00A428C3">
        <w:t xml:space="preserve">Ho, Y.S. (2004), </w:t>
      </w:r>
      <w:r w:rsidRPr="00A428C3">
        <w:rPr>
          <w:snapToGrid w:val="0"/>
        </w:rPr>
        <w:t xml:space="preserve">Comments on </w:t>
      </w:r>
      <w:r w:rsidR="000352E7">
        <w:rPr>
          <w:snapToGrid w:val="0"/>
        </w:rPr>
        <w:t>“</w:t>
      </w:r>
      <w:r w:rsidRPr="00A428C3">
        <w:t>Collagen-fiber-immobilized tannins</w:t>
      </w:r>
      <w:r w:rsidR="00F81221">
        <w:t xml:space="preserve"> and </w:t>
      </w:r>
      <w:r w:rsidRPr="00A428C3">
        <w:t>their adsorption of Au(III)</w:t>
      </w:r>
      <w:r w:rsidR="000352E7">
        <w:rPr>
          <w:snapToGrid w:val="0"/>
        </w:rPr>
        <w:t>”</w:t>
      </w:r>
      <w:r w:rsidRPr="00A428C3">
        <w:t xml:space="preserve">. </w:t>
      </w:r>
      <w:r w:rsidRPr="00A428C3">
        <w:rPr>
          <w:i/>
        </w:rPr>
        <w:t>Industrial &amp; Engineering Chemistry Research</w:t>
      </w:r>
      <w:r w:rsidRPr="00A428C3">
        <w:t xml:space="preserve">, </w:t>
      </w:r>
      <w:r w:rsidRPr="00A428C3">
        <w:rPr>
          <w:b/>
        </w:rPr>
        <w:t>43</w:t>
      </w:r>
      <w:r w:rsidRPr="00A428C3">
        <w:t xml:space="preserve"> (19), 6265.</w:t>
      </w:r>
    </w:p>
    <w:p w:rsidR="00B95188" w:rsidRPr="00A428C3" w:rsidRDefault="00B95188" w:rsidP="00B95188">
      <w:pPr>
        <w:pStyle w:val="a0"/>
      </w:pPr>
      <w:r w:rsidRPr="00A428C3">
        <w:t xml:space="preserve">Full Text: </w:t>
      </w:r>
      <w:hyperlink r:id="rId1218" w:history="1">
        <w:r w:rsidRPr="00A428C3">
          <w:rPr>
            <w:rStyle w:val="a5"/>
          </w:rPr>
          <w:t>I\Ind Eng Che Res43, 6265.pdf</w:t>
        </w:r>
      </w:hyperlink>
      <w:r w:rsidRPr="00A428C3">
        <w:t xml:space="preserve"> </w:t>
      </w:r>
      <w:hyperlink r:id="rId1219" w:history="1">
        <w:r w:rsidRPr="00A428C3">
          <w:rPr>
            <w:rStyle w:val="a5"/>
          </w:rPr>
          <w:t>I\Ind Eng Che Res-Ho.pdf</w:t>
        </w:r>
      </w:hyperlink>
    </w:p>
    <w:p w:rsidR="00B95188" w:rsidRPr="00A428C3" w:rsidRDefault="00B95188" w:rsidP="00B95188">
      <w:pPr>
        <w:pStyle w:val="a0"/>
      </w:pPr>
      <w:r w:rsidRPr="00A428C3">
        <w:t>Keywords: Metal-Ions, Sorption, Peat</w:t>
      </w:r>
    </w:p>
    <w:p w:rsidR="00B95188" w:rsidRPr="00A428C3" w:rsidRDefault="00B95188" w:rsidP="00B95188">
      <w:pPr>
        <w:pStyle w:val="a0"/>
      </w:pPr>
      <w:r w:rsidRPr="00A428C3">
        <w:t>Liao, X.P., Zhang, M.N.</w:t>
      </w:r>
      <w:r w:rsidR="00F81221">
        <w:t xml:space="preserve"> and </w:t>
      </w:r>
      <w:r w:rsidRPr="00A428C3">
        <w:t xml:space="preserve">Shi, B. (2004), Rebuttal to the comments by Yuh-Shan Ho on </w:t>
      </w:r>
      <w:r w:rsidR="000352E7">
        <w:t>“</w:t>
      </w:r>
      <w:r w:rsidRPr="00A428C3">
        <w:t>Collagen-fiber-immobilized tannins</w:t>
      </w:r>
      <w:r w:rsidR="00F81221">
        <w:t xml:space="preserve"> and </w:t>
      </w:r>
      <w:r w:rsidRPr="00A428C3">
        <w:t>their adsorption of Au(III)</w:t>
      </w:r>
      <w:r w:rsidR="000352E7">
        <w:t>”</w:t>
      </w:r>
      <w:r w:rsidRPr="00A428C3">
        <w:t xml:space="preserve">. </w:t>
      </w:r>
      <w:r w:rsidRPr="00A428C3">
        <w:rPr>
          <w:i/>
        </w:rPr>
        <w:t>Industrial &amp; Engineering Chemistry Research</w:t>
      </w:r>
      <w:r w:rsidRPr="00A428C3">
        <w:t xml:space="preserve">, </w:t>
      </w:r>
      <w:r w:rsidRPr="00A428C3">
        <w:rPr>
          <w:b/>
        </w:rPr>
        <w:t>43</w:t>
      </w:r>
      <w:r w:rsidRPr="00A428C3">
        <w:t xml:space="preserve"> (19), 6266.</w:t>
      </w:r>
    </w:p>
    <w:p w:rsidR="00B95188" w:rsidRPr="00A428C3" w:rsidRDefault="00B95188" w:rsidP="00B95188">
      <w:pPr>
        <w:pStyle w:val="a0"/>
      </w:pPr>
      <w:r w:rsidRPr="00A428C3">
        <w:t xml:space="preserve">Full Text: </w:t>
      </w:r>
      <w:hyperlink r:id="rId1220" w:history="1">
        <w:r w:rsidRPr="00A428C3">
          <w:rPr>
            <w:rStyle w:val="a5"/>
          </w:rPr>
          <w:t>I\Ind Eng Che Res43, 6266.pdf</w:t>
        </w:r>
      </w:hyperlink>
    </w:p>
    <w:p w:rsidR="00B95188" w:rsidRPr="00A428C3" w:rsidRDefault="00B95188" w:rsidP="00B95188">
      <w:pPr>
        <w:pStyle w:val="a0"/>
      </w:pPr>
      <w:r w:rsidRPr="00A428C3">
        <w:t>? Uzun, L., Yavuz, H., Say, R., Ersoz, A.</w:t>
      </w:r>
      <w:r w:rsidR="00F81221">
        <w:t xml:space="preserve"> and </w:t>
      </w:r>
      <w:r w:rsidRPr="00A428C3">
        <w:t xml:space="preserve">Denizli, A. (2004), Poly(ethylene dimethacrylate-glycidyl methacrylate) monolith as a stationary phase in dye-affinity chromatography. </w:t>
      </w:r>
      <w:r w:rsidRPr="00A428C3">
        <w:rPr>
          <w:i/>
          <w:iCs/>
        </w:rPr>
        <w:t>Industrial &amp; Engineering Chemistry Research</w:t>
      </w:r>
      <w:r w:rsidRPr="00A428C3">
        <w:t xml:space="preserve">, </w:t>
      </w:r>
      <w:r w:rsidRPr="00A428C3">
        <w:rPr>
          <w:b/>
        </w:rPr>
        <w:t>43</w:t>
      </w:r>
      <w:r w:rsidRPr="00A428C3">
        <w:t xml:space="preserve"> (20), 6507-6513.</w:t>
      </w:r>
    </w:p>
    <w:p w:rsidR="00B95188" w:rsidRPr="00A428C3" w:rsidRDefault="00B95188" w:rsidP="00B95188">
      <w:pPr>
        <w:pStyle w:val="a0"/>
      </w:pPr>
      <w:r w:rsidRPr="00A428C3">
        <w:t xml:space="preserve">Full Text: </w:t>
      </w:r>
      <w:hyperlink r:id="rId1221" w:history="1">
        <w:r w:rsidRPr="00A428C3">
          <w:rPr>
            <w:rStyle w:val="a5"/>
          </w:rPr>
          <w:t>2004\Ind Eng Che Res43, 6507.pdf</w:t>
        </w:r>
      </w:hyperlink>
    </w:p>
    <w:p w:rsidR="00B95188" w:rsidRPr="00A428C3" w:rsidRDefault="00B95188" w:rsidP="00B95188">
      <w:pPr>
        <w:pStyle w:val="a0"/>
      </w:pPr>
      <w:r w:rsidRPr="00A428C3">
        <w:t>Abstract: Porous monolith was obtained by the bulk polymerization of ethylene dimethacrylate (EDMA)</w:t>
      </w:r>
      <w:r w:rsidR="00F81221">
        <w:t xml:space="preserve"> and </w:t>
      </w:r>
      <w:r w:rsidRPr="00A428C3">
        <w:t xml:space="preserve">glycidyl methacrylate (GMA) conducted in a glass tube. </w:t>
      </w:r>
      <w:r w:rsidRPr="00A428C3">
        <w:lastRenderedPageBreak/>
        <w:t xml:space="preserve">Poly(EDMA-GMA) monolith had a specific surface area of </w:t>
      </w:r>
      <w:smartTag w:uri="urn:schemas-microsoft-com:office:smarttags" w:element="chmetcnv">
        <w:smartTagPr>
          <w:attr w:name="TCSC" w:val="0"/>
          <w:attr w:name="NumberType" w:val="1"/>
          <w:attr w:name="Negative" w:val="False"/>
          <w:attr w:name="HasSpace" w:val="True"/>
          <w:attr w:name="SourceValue" w:val="98.7"/>
          <w:attr w:name="UnitName" w:val="m2"/>
        </w:smartTagPr>
        <w:r w:rsidRPr="00A428C3">
          <w:t>98.7 m</w:t>
        </w:r>
        <w:r w:rsidRPr="00A428C3">
          <w:rPr>
            <w:vertAlign w:val="superscript"/>
          </w:rPr>
          <w:t>2</w:t>
        </w:r>
      </w:smartTag>
      <w:r w:rsidRPr="00A428C3">
        <w:t>/g. Poly(EDMA-GMA) monolith was characterized by swelling studies, FTIR, scanning electron microscopy,</w:t>
      </w:r>
      <w:r w:rsidR="00F81221">
        <w:t xml:space="preserve"> and </w:t>
      </w:r>
      <w:r w:rsidRPr="00A428C3">
        <w:t>elemental analysis. Poly(EDMA-GMA) monolith with a swelling ratio of 48%,</w:t>
      </w:r>
      <w:r w:rsidR="00F81221">
        <w:t xml:space="preserve"> and </w:t>
      </w:r>
      <w:r w:rsidRPr="00A428C3">
        <w:t xml:space="preserve">containing 45.7 </w:t>
      </w:r>
      <w:r w:rsidRPr="00A428C3">
        <w:sym w:font="Symbol" w:char="F06D"/>
      </w:r>
      <w:r w:rsidRPr="00A428C3">
        <w:t>mol Cibacron Blue F3GA/g, were used in the adsorption/desorption of human serum albumin (HSA) from aqueous solutions</w:t>
      </w:r>
      <w:r w:rsidR="00F81221">
        <w:t xml:space="preserve"> and </w:t>
      </w:r>
      <w:r w:rsidRPr="00A428C3">
        <w:t xml:space="preserve">human plasma. The nonspecific adsorption of HSA was very low (0.8 mg/g). The maximum amount of HSA adsorption from aqueous solution in phosphate buffer was 22 mg/g at pH 5.0. Higher HSA adsorption value was obtained from human plasma (up to 53.2 mg/g) with a purity of 92%. Desorption of HSA from Cibacron Blue F3GA-attached poly(EDMA-GMA) monolith was obtained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Tris/HCl buffer containing </w:t>
      </w:r>
      <w:smartTag w:uri="urn:schemas-microsoft-com:office:smarttags" w:element="chmetcnv">
        <w:smartTagPr>
          <w:attr w:name="TCSC" w:val="0"/>
          <w:attr w:name="NumberType" w:val="1"/>
          <w:attr w:name="Negative" w:val="False"/>
          <w:attr w:name="HasSpace" w:val="True"/>
          <w:attr w:name="SourceValue" w:val="0.5"/>
          <w:attr w:name="UnitName" w:val="m"/>
        </w:smartTagPr>
        <w:r w:rsidRPr="00A428C3">
          <w:t>0.5 M</w:t>
        </w:r>
      </w:smartTag>
      <w:r w:rsidRPr="00A428C3">
        <w:t xml:space="preserve"> NaCl. It was observed that HSA could be repeatedly adsorbed</w:t>
      </w:r>
      <w:r w:rsidR="00F81221">
        <w:t xml:space="preserve"> and </w:t>
      </w:r>
      <w:r w:rsidRPr="00A428C3">
        <w:t>desorbed with poly(EDMA-GMA) monolith without significant loss in the adsorption capacity.</w:t>
      </w:r>
    </w:p>
    <w:p w:rsidR="00B95188" w:rsidRPr="00A428C3" w:rsidRDefault="00B95188" w:rsidP="00B95188">
      <w:pPr>
        <w:pStyle w:val="a0"/>
      </w:pPr>
      <w:r w:rsidRPr="00A428C3">
        <w:t>Keywords: Adsorption, Binding, Capillary Electrochromatography, Cibacron Blue F3GA, Column Chromatography, Human Plasma, Membranes, Protein Separation, Purification, Serum-Albumin, Supports</w:t>
      </w:r>
    </w:p>
    <w:p w:rsidR="00B95188" w:rsidRPr="00A428C3" w:rsidRDefault="00B95188" w:rsidP="00B95188">
      <w:pPr>
        <w:pStyle w:val="a0"/>
      </w:pPr>
      <w:r w:rsidRPr="00A428C3">
        <w:t>? Canizares, P., Saez, C., Lobato, J.</w:t>
      </w:r>
      <w:r w:rsidR="00F81221">
        <w:t xml:space="preserve"> and </w:t>
      </w:r>
      <w:r w:rsidRPr="00A428C3">
        <w:t xml:space="preserve">Rodrigo, M.A. (2004), Electrochemical oxidation of polyhydroxybenzenes on boron-doped diamond anodes. </w:t>
      </w:r>
      <w:r w:rsidRPr="00A428C3">
        <w:rPr>
          <w:i/>
        </w:rPr>
        <w:t>Industrial &amp; Engineering Chemistry Research</w:t>
      </w:r>
      <w:r w:rsidRPr="00A428C3">
        <w:t xml:space="preserve">, </w:t>
      </w:r>
      <w:r w:rsidRPr="00A428C3">
        <w:rPr>
          <w:b/>
        </w:rPr>
        <w:t>43</w:t>
      </w:r>
      <w:r w:rsidRPr="00A428C3">
        <w:t xml:space="preserve"> (21), 6629-6637.</w:t>
      </w:r>
    </w:p>
    <w:p w:rsidR="00B95188" w:rsidRPr="00A428C3" w:rsidRDefault="00B95188" w:rsidP="00B95188">
      <w:pPr>
        <w:pStyle w:val="a0"/>
      </w:pPr>
      <w:r w:rsidRPr="00A428C3">
        <w:t xml:space="preserve">Full Text: </w:t>
      </w:r>
      <w:hyperlink r:id="rId1222" w:history="1">
        <w:r w:rsidRPr="00A428C3">
          <w:rPr>
            <w:rStyle w:val="a5"/>
          </w:rPr>
          <w:t>2004\Ind Eng Che Res43, 6629.pdf</w:t>
        </w:r>
      </w:hyperlink>
    </w:p>
    <w:p w:rsidR="00B95188" w:rsidRPr="00A428C3" w:rsidRDefault="00B95188" w:rsidP="00B95188">
      <w:pPr>
        <w:pStyle w:val="a0"/>
      </w:pPr>
      <w:r w:rsidRPr="00A13428">
        <w:t>Abstract:</w:t>
      </w:r>
      <w:r w:rsidRPr="00A428C3">
        <w:t xml:space="preserve"> The electrochemical oxidation of phenol (Ph), hydroquinone (HQ),</w:t>
      </w:r>
      <w:r w:rsidR="00F81221">
        <w:t xml:space="preserve"> and </w:t>
      </w:r>
      <w:r w:rsidRPr="00A428C3">
        <w:t>1,2,4-trihydroxybenzene (THB) using a diamond thin-film anode has been studied. Within the parameter ranges used (temperature 15-60 degreesC, initial concentration 1.1-36 mmol dm</w:t>
      </w:r>
      <w:r w:rsidRPr="00A428C3">
        <w:rPr>
          <w:vertAlign w:val="superscript"/>
        </w:rPr>
        <w:t>-3</w:t>
      </w:r>
      <w:r w:rsidRPr="00A428C3">
        <w:t>, current density 15-60 mA cm</w:t>
      </w:r>
      <w:r w:rsidRPr="00A428C3">
        <w:rPr>
          <w:vertAlign w:val="superscript"/>
        </w:rPr>
        <w:t>-2</w:t>
      </w:r>
      <w:r w:rsidRPr="00A428C3">
        <w:t>), almost complete mineralization of the organic waste is obtained. Carbon dioxide is the sole final product,</w:t>
      </w:r>
      <w:r w:rsidR="00F81221">
        <w:t xml:space="preserve"> and </w:t>
      </w:r>
      <w:r w:rsidRPr="00A428C3">
        <w:t>the main intermediates are carboxylic acids C-4</w:t>
      </w:r>
      <w:r w:rsidR="00F81221">
        <w:t xml:space="preserve"> and </w:t>
      </w:r>
      <w:r w:rsidRPr="00A428C3">
        <w:t>C-2. Both direct</w:t>
      </w:r>
      <w:r w:rsidR="00F81221">
        <w:t xml:space="preserve"> and </w:t>
      </w:r>
      <w:r w:rsidRPr="00A428C3">
        <w:t>mediated electrochemical oxidation processes are involved in the electrochemical treatment. Sulfates contained in the waste favor the formation of electrogenerated reagents (persulfates). The instantaneous current efficiency was found to depend only on the controlling mechanism (mass transfer or electrode kinetics). The current efficiency of the process is 1 if it is kinetically controlled</w:t>
      </w:r>
      <w:r w:rsidR="00F81221">
        <w:t xml:space="preserve"> and </w:t>
      </w:r>
      <w:r w:rsidRPr="00A428C3">
        <w:t>decreases linearly to 0 from the chemical oxygen demand limit value if it is diffusion controlled. Taking into account the information obtained in previous works</w:t>
      </w:r>
      <w:r w:rsidR="00F81221">
        <w:t xml:space="preserve"> and </w:t>
      </w:r>
      <w:r w:rsidRPr="00A428C3">
        <w:t>the results of the voltammetric</w:t>
      </w:r>
      <w:r w:rsidR="00F81221">
        <w:t xml:space="preserve"> and </w:t>
      </w:r>
      <w:r w:rsidRPr="00A428C3">
        <w:t>galvanostatic studies of the present work, a simple mechanistic model is proposed to justify the processes involved in the electrochemical oxidation of polyhydroxybenzenes.</w:t>
      </w:r>
    </w:p>
    <w:p w:rsidR="00B95188" w:rsidRPr="00A428C3" w:rsidRDefault="00B95188" w:rsidP="00B95188">
      <w:pPr>
        <w:pStyle w:val="a0"/>
      </w:pPr>
      <w:r w:rsidRPr="00A13428">
        <w:t>Keywords:</w:t>
      </w:r>
      <w:r w:rsidRPr="00A428C3">
        <w:t xml:space="preserve"> Waste-Water Treatment, High Overvoltage Anodes, Aqueous Phenol Wastes, Thin-Film Electrodes, P-Nitrophenol, SnO</w:t>
      </w:r>
      <w:r w:rsidRPr="00A428C3">
        <w:rPr>
          <w:vertAlign w:val="subscript"/>
        </w:rPr>
        <w:t>2</w:t>
      </w:r>
      <w:r w:rsidRPr="00A428C3">
        <w:t xml:space="preserve"> Anodes, 4-Chlorophenol, Chlorophenols, Degradation, Destruction</w:t>
      </w:r>
    </w:p>
    <w:p w:rsidR="00B95188" w:rsidRPr="00A428C3" w:rsidRDefault="00B95188" w:rsidP="00B95188">
      <w:pPr>
        <w:pStyle w:val="a0"/>
      </w:pPr>
      <w:r w:rsidRPr="00A428C3">
        <w:lastRenderedPageBreak/>
        <w:t>Tsai, W.T., Hsien, K.J.</w:t>
      </w:r>
      <w:r w:rsidR="00F81221">
        <w:t xml:space="preserve"> and </w:t>
      </w:r>
      <w:r w:rsidRPr="00A428C3">
        <w:t xml:space="preserve">Lai, C.W. (2004), Chemical activation of spent diatomaceous earth by alkaline etching in the preparation of mesoporous adsorbents. </w:t>
      </w:r>
      <w:r w:rsidRPr="00A428C3">
        <w:rPr>
          <w:i/>
        </w:rPr>
        <w:t>Industrial &amp; Engineering Chemistry Research</w:t>
      </w:r>
      <w:r w:rsidRPr="00A428C3">
        <w:t xml:space="preserve">, </w:t>
      </w:r>
      <w:r w:rsidRPr="00A428C3">
        <w:rPr>
          <w:b/>
        </w:rPr>
        <w:t>43</w:t>
      </w:r>
      <w:r w:rsidRPr="00A428C3">
        <w:t xml:space="preserve"> (23), 7513-7520.</w:t>
      </w:r>
    </w:p>
    <w:p w:rsidR="00B95188" w:rsidRPr="00A428C3" w:rsidRDefault="00B95188" w:rsidP="00B95188">
      <w:pPr>
        <w:pStyle w:val="a0"/>
      </w:pPr>
      <w:r w:rsidRPr="00A428C3">
        <w:t xml:space="preserve">Full Text: </w:t>
      </w:r>
      <w:hyperlink r:id="rId1223" w:history="1">
        <w:r w:rsidRPr="00A428C3">
          <w:rPr>
            <w:rStyle w:val="a5"/>
          </w:rPr>
          <w:t>I\Ind Eng Che Res43, 7513.pdf</w:t>
        </w:r>
      </w:hyperlink>
    </w:p>
    <w:p w:rsidR="00B95188" w:rsidRPr="00A428C3" w:rsidRDefault="00B95188" w:rsidP="00B95188">
      <w:pPr>
        <w:pStyle w:val="a0"/>
      </w:pPr>
      <w:r w:rsidRPr="00A428C3">
        <w:t xml:space="preserve">Abstract: This work was to study the activation regeneration of spent diatomaceous earth (SDE) for the preparation of mesoporous silica adsorbents by using alkaline activation method. Under the experimental conditions investigated, it was found that the alkaline activation method by sodium hydroxide under the controlled conditions significantly etched to proceed inwardly to the interior of the existing pore structure in the clay minerals, leaving a framework possessing a large Brunauer-Emmett-Teller surface area (over </w:t>
      </w:r>
      <w:smartTag w:uri="urn:schemas-microsoft-com:office:smarttags" w:element="chmetcnv">
        <w:smartTagPr>
          <w:attr w:name="TCSC" w:val="0"/>
          <w:attr w:name="NumberType" w:val="1"/>
          <w:attr w:name="Negative" w:val="False"/>
          <w:attr w:name="HasSpace" w:val="True"/>
          <w:attr w:name="SourceValue" w:val="100"/>
          <w:attr w:name="UnitName" w:val="m2"/>
        </w:smartTagPr>
        <w:r w:rsidRPr="00A428C3">
          <w:t>100 m</w:t>
        </w:r>
        <w:r w:rsidRPr="00A428C3">
          <w:rPr>
            <w:vertAlign w:val="superscript"/>
          </w:rPr>
          <w:t>2</w:t>
        </w:r>
      </w:smartTag>
      <w:r w:rsidRPr="00A428C3">
        <w:t>/g)</w:t>
      </w:r>
      <w:r w:rsidR="00F81221">
        <w:t xml:space="preserve"> and </w:t>
      </w:r>
      <w:r w:rsidRPr="00A428C3">
        <w:t xml:space="preserve">total pore volume (over </w:t>
      </w:r>
      <w:smartTag w:uri="urn:schemas-microsoft-com:office:smarttags" w:element="chmetcnv">
        <w:smartTagPr>
          <w:attr w:name="TCSC" w:val="0"/>
          <w:attr w:name="NumberType" w:val="1"/>
          <w:attr w:name="Negative" w:val="False"/>
          <w:attr w:name="HasSpace" w:val="True"/>
          <w:attr w:name="SourceValue" w:val="0.3"/>
          <w:attr w:name="UnitName" w:val="cm"/>
        </w:smartTagPr>
        <w:r w:rsidRPr="00A428C3">
          <w:t>0.3 cm</w:t>
        </w:r>
      </w:smartTag>
      <w:r w:rsidRPr="00A428C3">
        <w:rPr>
          <w:vertAlign w:val="superscript"/>
        </w:rPr>
        <w:t>3</w:t>
      </w:r>
      <w:r w:rsidRPr="00A428C3">
        <w:t>/g). The results indicated that these samples are type IV with a hysteresis loop. This observation was also in close agreement with the examinations on the scanning electron microscopy, X-ray diffraction,</w:t>
      </w:r>
      <w:r w:rsidR="00F81221">
        <w:t xml:space="preserve"> and </w:t>
      </w:r>
      <w:r w:rsidRPr="00A428C3">
        <w:t>Fourier transform infrared. Further, the adsorption rate of methylene blue onto the resulting clay adsorbent can be well described with the pseudo-second-order reaction model. The physical properties of the diatomaceous earth</w:t>
      </w:r>
      <w:r w:rsidR="00F81221">
        <w:t xml:space="preserve"> and </w:t>
      </w:r>
      <w:r w:rsidRPr="00A428C3">
        <w:t>resulting adsorbent were also consistent with the parameters obtained from the fittings of the common isotherms (Langmuir</w:t>
      </w:r>
      <w:r w:rsidR="00F81221">
        <w:t xml:space="preserve"> and </w:t>
      </w:r>
      <w:r w:rsidRPr="00A428C3">
        <w:t>Freundlich).</w:t>
      </w:r>
    </w:p>
    <w:p w:rsidR="00B95188" w:rsidRPr="00A428C3" w:rsidRDefault="00B95188" w:rsidP="00B95188">
      <w:pPr>
        <w:pStyle w:val="a0"/>
      </w:pPr>
      <w:r w:rsidRPr="00A428C3">
        <w:t>Keywords: Low-Cost Adsorbents, Acid Activation, Waste-Water, Clay, Removal, Adsorption, Dye, Montmorillonite, Sorption, Paraquat</w:t>
      </w:r>
    </w:p>
    <w:p w:rsidR="00B95188" w:rsidRPr="00A428C3" w:rsidRDefault="00B95188" w:rsidP="00B95188">
      <w:pPr>
        <w:pStyle w:val="a0"/>
      </w:pPr>
      <w:r w:rsidRPr="00A428C3">
        <w:t>Namasivayam, C.</w:t>
      </w:r>
      <w:r w:rsidR="00F81221">
        <w:t xml:space="preserve"> and </w:t>
      </w:r>
      <w:r w:rsidRPr="00A428C3">
        <w:t>Sumithra, S. (2004), Adsorptive removal of catechol on waste Fe(III)/Cr(III) hydroxide: Equilibrium</w:t>
      </w:r>
      <w:r w:rsidR="00F81221">
        <w:t xml:space="preserve"> and </w:t>
      </w:r>
      <w:r w:rsidRPr="00A428C3">
        <w:t xml:space="preserve">kinetics study. </w:t>
      </w:r>
      <w:r w:rsidRPr="00A428C3">
        <w:rPr>
          <w:i/>
        </w:rPr>
        <w:t>Industrial &amp; Engineering Chemistry Research</w:t>
      </w:r>
      <w:r w:rsidRPr="00A428C3">
        <w:t xml:space="preserve">, </w:t>
      </w:r>
      <w:r w:rsidRPr="00A428C3">
        <w:rPr>
          <w:b/>
        </w:rPr>
        <w:t>43</w:t>
      </w:r>
      <w:r w:rsidRPr="00A428C3">
        <w:t xml:space="preserve"> (23), 7581-7587.</w:t>
      </w:r>
    </w:p>
    <w:p w:rsidR="00B95188" w:rsidRPr="00A428C3" w:rsidRDefault="00B95188" w:rsidP="00B95188">
      <w:pPr>
        <w:pStyle w:val="a0"/>
      </w:pPr>
      <w:r w:rsidRPr="00A428C3">
        <w:t xml:space="preserve">Full Text: </w:t>
      </w:r>
      <w:hyperlink r:id="rId1224" w:history="1">
        <w:r w:rsidRPr="00A428C3">
          <w:rPr>
            <w:rStyle w:val="a5"/>
          </w:rPr>
          <w:t>I\Ind Eng Che Res43, 7581.pdf</w:t>
        </w:r>
      </w:hyperlink>
    </w:p>
    <w:p w:rsidR="00B95188" w:rsidRPr="00A428C3" w:rsidRDefault="00B95188" w:rsidP="00B95188">
      <w:pPr>
        <w:pStyle w:val="a0"/>
      </w:pPr>
      <w:r w:rsidRPr="00A428C3">
        <w:t xml:space="preserve">Abstract: The adsorption of catechol onto </w:t>
      </w:r>
      <w:r w:rsidR="000352E7">
        <w:t>“</w:t>
      </w:r>
      <w:r w:rsidRPr="00A428C3">
        <w:t>waste</w:t>
      </w:r>
      <w:r w:rsidR="000352E7">
        <w:t>”</w:t>
      </w:r>
      <w:r w:rsidRPr="00A428C3">
        <w:t xml:space="preserve"> Fe(III)/Cr(III) hydroxide was investigated to assess the possible use of this adsorbent. The influence of various parameters such as agitation time, catechol concentration, adsorbent dose, pH,</w:t>
      </w:r>
      <w:r w:rsidR="00F81221">
        <w:t xml:space="preserve"> and </w:t>
      </w:r>
      <w:r w:rsidRPr="00A428C3">
        <w:t>temperature has been studied. Equilibrium adsorption data followed both Langmuir</w:t>
      </w:r>
      <w:r w:rsidR="00F81221">
        <w:t xml:space="preserve"> and </w:t>
      </w:r>
      <w:r w:rsidRPr="00A428C3">
        <w:t>Freundlich isotherms. Adsorption followed second-order rate kinetics. The Langmuir adsorption capacity (Q</w:t>
      </w:r>
      <w:r w:rsidRPr="00A428C3">
        <w:rPr>
          <w:vertAlign w:val="subscript"/>
        </w:rPr>
        <w:t>o</w:t>
      </w:r>
      <w:r w:rsidRPr="00A428C3">
        <w:t>) was found to be 4.0 mg/g of the adsorbent. Acidic pH was favorable for the adsorption of catechol. Desorption studies showed that chemisorption seems to be the major mode of the adsorption process. Thermodynamic parameters such as DeltaGdegrees, DeltaHdegrees,</w:t>
      </w:r>
      <w:r w:rsidR="00F81221">
        <w:t xml:space="preserve"> and </w:t>
      </w:r>
      <w:r w:rsidRPr="00A428C3">
        <w:t>DeltaSdegrees for the adsorption were evaluated.</w:t>
      </w:r>
    </w:p>
    <w:p w:rsidR="00B95188" w:rsidRPr="00A428C3" w:rsidRDefault="00B95188" w:rsidP="00B95188">
      <w:pPr>
        <w:pStyle w:val="a0"/>
      </w:pPr>
      <w:r w:rsidRPr="00A428C3">
        <w:t>Keywords: Aqueous-Solution, Carbon, Water, Phenols, 2-Chlorophenol, Rates, Dye</w:t>
      </w:r>
    </w:p>
    <w:p w:rsidR="00B95188" w:rsidRPr="00A428C3" w:rsidRDefault="00B95188" w:rsidP="00B95188">
      <w:pPr>
        <w:pStyle w:val="a0"/>
      </w:pPr>
      <w:r w:rsidRPr="00A428C3">
        <w:t>? Pandit, P.</w:t>
      </w:r>
      <w:r w:rsidR="00F81221">
        <w:t xml:space="preserve"> and </w:t>
      </w:r>
      <w:r w:rsidRPr="00A428C3">
        <w:t>Basu, S. (2004), Dye</w:t>
      </w:r>
      <w:r w:rsidR="00F81221">
        <w:t xml:space="preserve"> and </w:t>
      </w:r>
      <w:r w:rsidRPr="00A428C3">
        <w:t xml:space="preserve">solvent recovery in solvent extraction using reverse micelles for the removal of ionic dyes. </w:t>
      </w:r>
      <w:r w:rsidRPr="00A428C3">
        <w:rPr>
          <w:i/>
          <w:iCs/>
        </w:rPr>
        <w:t>Industrial &amp; Engineering Chemistry Research</w:t>
      </w:r>
      <w:r w:rsidRPr="00A428C3">
        <w:t xml:space="preserve">, </w:t>
      </w:r>
      <w:r w:rsidRPr="00A428C3">
        <w:rPr>
          <w:b/>
        </w:rPr>
        <w:t>43</w:t>
      </w:r>
      <w:r w:rsidRPr="00A428C3">
        <w:t xml:space="preserve"> (24), 7861-7864.</w:t>
      </w:r>
    </w:p>
    <w:p w:rsidR="00B95188" w:rsidRPr="00A428C3" w:rsidRDefault="00B95188" w:rsidP="00B95188">
      <w:pPr>
        <w:pStyle w:val="a0"/>
      </w:pPr>
      <w:r w:rsidRPr="00A428C3">
        <w:lastRenderedPageBreak/>
        <w:t xml:space="preserve">Full Text: </w:t>
      </w:r>
      <w:hyperlink r:id="rId1225" w:history="1">
        <w:r w:rsidRPr="00A428C3">
          <w:rPr>
            <w:rStyle w:val="a5"/>
          </w:rPr>
          <w:t>2004\Ind Eng Che Res43, 7861.pdf</w:t>
        </w:r>
      </w:hyperlink>
    </w:p>
    <w:p w:rsidR="00B95188" w:rsidRPr="00A428C3" w:rsidRDefault="00B95188" w:rsidP="00B95188">
      <w:pPr>
        <w:pStyle w:val="a0"/>
      </w:pPr>
      <w:r w:rsidRPr="00A428C3">
        <w:t>Abstract: Among the several methods, dye removal from water by solvent extraction using reverse micelles is promising in terms of the simplicity</w:t>
      </w:r>
      <w:r w:rsidR="00F81221">
        <w:t xml:space="preserve"> and </w:t>
      </w:r>
      <w:r w:rsidRPr="00A428C3">
        <w:t>efficiency of the process. The recovery of solvent</w:t>
      </w:r>
      <w:r w:rsidR="00F81221">
        <w:t xml:space="preserve"> and </w:t>
      </w:r>
      <w:r w:rsidRPr="00A428C3">
        <w:t>reuse of dye after its removal is related to the economic viability of the process. In the present study, backward extraction or recovery of dye into an aqueous phase from the solvent phase by using a counterionic surfactant after forward extraction is experimentally studied using a simple mixer</w:t>
      </w:r>
      <w:r w:rsidR="00F81221">
        <w:t xml:space="preserve"> and </w:t>
      </w:r>
      <w:r w:rsidRPr="00A428C3">
        <w:t>settler arrangement. The backward extraction of dye also resulted in the recovery of solvent. The effects of different parameters, such as the surfactant concentration, pH,</w:t>
      </w:r>
      <w:r w:rsidR="00F81221">
        <w:t xml:space="preserve"> and </w:t>
      </w:r>
      <w:r w:rsidRPr="00A428C3">
        <w:t>KCl concentration on the recovery of methyl orange</w:t>
      </w:r>
      <w:r w:rsidR="00F81221">
        <w:t xml:space="preserve"> and </w:t>
      </w:r>
      <w:r w:rsidRPr="00A428C3">
        <w:t>methylene blue dyes, are investigated. The percentage of both cationic</w:t>
      </w:r>
      <w:r w:rsidR="00F81221">
        <w:t xml:space="preserve"> and </w:t>
      </w:r>
      <w:r w:rsidRPr="00A428C3">
        <w:t>anionic dyes recovered increases with an increase in the counterionic surfactant concentration or with a decrease in the KCl concentration. The percentage of recovery of anionic methyl orange increases with a decrease in pH, whereas that for cationic methylene blue increases with an increase in pH. Selective removal of dye from a cationic</w:t>
      </w:r>
      <w:r w:rsidR="00F81221">
        <w:t xml:space="preserve"> and </w:t>
      </w:r>
      <w:r w:rsidRPr="00A428C3">
        <w:t>anionic dye mixture was experimentally studied by treating the dye mixture with reverse micelles of anionic</w:t>
      </w:r>
      <w:r w:rsidR="00F81221">
        <w:t xml:space="preserve"> and </w:t>
      </w:r>
      <w:r w:rsidRPr="00A428C3">
        <w:t>cationic surfactants in a stepwise manner. The results obtained are explained based on electrostatic interaction between the surfactant</w:t>
      </w:r>
      <w:r w:rsidR="00F81221">
        <w:t xml:space="preserve"> and </w:t>
      </w:r>
      <w:r w:rsidRPr="00A428C3">
        <w:t>dye.</w:t>
      </w:r>
    </w:p>
    <w:p w:rsidR="00B95188" w:rsidRPr="00A428C3" w:rsidRDefault="00B95188" w:rsidP="00B95188">
      <w:pPr>
        <w:pStyle w:val="a0"/>
      </w:pPr>
      <w:r w:rsidRPr="00A428C3">
        <w:t xml:space="preserve">? Won, S.W., Choi, S.B., Chung, B.W., Park, D., </w:t>
      </w:r>
      <w:smartTag w:uri="urn:schemas-microsoft-com:office:smarttags" w:element="PlaceType">
        <w:r w:rsidRPr="00A428C3">
          <w:t>Park</w:t>
        </w:r>
      </w:smartTag>
      <w:r w:rsidRPr="00A428C3">
        <w:t>, J.M.</w:t>
      </w:r>
      <w:r w:rsidR="00F81221">
        <w:t xml:space="preserve"> and </w:t>
      </w:r>
      <w:r w:rsidRPr="00A428C3">
        <w:t xml:space="preserve">Yun. Y.S. (2004), Biosorptive decolorization of reactive orange 16 using the waste biomass of </w:t>
      </w:r>
      <w:r w:rsidRPr="00A428C3">
        <w:rPr>
          <w:i/>
          <w:iCs/>
        </w:rPr>
        <w:t>Corynebacterium glutamicum</w:t>
      </w:r>
      <w:r w:rsidRPr="00A428C3">
        <w:t xml:space="preserve">. </w:t>
      </w:r>
      <w:r w:rsidRPr="00A428C3">
        <w:rPr>
          <w:i/>
          <w:iCs/>
        </w:rPr>
        <w:t>Industrial &amp; Engineering Chemistry Research</w:t>
      </w:r>
      <w:r w:rsidRPr="00A428C3">
        <w:t xml:space="preserve">, </w:t>
      </w:r>
      <w:r w:rsidRPr="00A428C3">
        <w:rPr>
          <w:b/>
        </w:rPr>
        <w:t>43</w:t>
      </w:r>
      <w:r w:rsidRPr="00A428C3">
        <w:t xml:space="preserve"> (24), 7865-7869.</w:t>
      </w:r>
    </w:p>
    <w:p w:rsidR="00B95188" w:rsidRPr="00A428C3" w:rsidRDefault="00B95188" w:rsidP="00B95188">
      <w:pPr>
        <w:pStyle w:val="a0"/>
      </w:pPr>
      <w:r w:rsidRPr="00A428C3">
        <w:t xml:space="preserve">Full Text: </w:t>
      </w:r>
      <w:hyperlink r:id="rId1226" w:history="1">
        <w:r w:rsidRPr="00A428C3">
          <w:rPr>
            <w:rStyle w:val="a5"/>
          </w:rPr>
          <w:t>2004\Ind Eng Che Res43, 7865.pdf</w:t>
        </w:r>
      </w:hyperlink>
    </w:p>
    <w:p w:rsidR="00B95188" w:rsidRPr="00A428C3" w:rsidRDefault="00B95188" w:rsidP="00B95188">
      <w:pPr>
        <w:pStyle w:val="a0"/>
      </w:pPr>
      <w:r w:rsidRPr="00A428C3">
        <w:t xml:space="preserve">Abstract: The protonated waste biomass of </w:t>
      </w:r>
      <w:r w:rsidRPr="00A428C3">
        <w:rPr>
          <w:i/>
          <w:iCs/>
        </w:rPr>
        <w:t>Corynebacterium glutamicum</w:t>
      </w:r>
      <w:r w:rsidRPr="00A428C3">
        <w:t xml:space="preserve"> discharged from an industrial lysine fermentation plant was used for the removal of Reactive Orange 16 (RO16). The maximum sorption capacities of the biomass were as high as 186.6 ± 7.1</w:t>
      </w:r>
      <w:r w:rsidR="00F81221">
        <w:t xml:space="preserve"> and </w:t>
      </w:r>
      <w:r w:rsidRPr="00A428C3">
        <w:t>154.8 ± 2.8 mg g</w:t>
      </w:r>
      <w:r w:rsidRPr="00A428C3">
        <w:rPr>
          <w:vertAlign w:val="superscript"/>
        </w:rPr>
        <w:t>-1</w:t>
      </w:r>
      <w:r w:rsidRPr="00A428C3">
        <w:t xml:space="preserve"> at pH 1</w:t>
      </w:r>
      <w:r w:rsidR="00F81221">
        <w:t xml:space="preserve"> and </w:t>
      </w:r>
      <w:r w:rsidRPr="00A428C3">
        <w:t>2, respectively, which are comparable to those of commercial sorbents such as activated carbons</w:t>
      </w:r>
      <w:r w:rsidR="00F81221">
        <w:t xml:space="preserve"> and </w:t>
      </w:r>
      <w:r w:rsidRPr="00A428C3">
        <w:t>ion-exchange resins. As the solution pH decreased, the dye uptake increased and, under neutral conditions, it was negligible. Because the RO16 molecule has two negatively charged sulfonate groups, it is likely that the dye cannot be bound to a negatively charged carboxyl and/or phosphonate sites of the biomass. Instead, positively charged amine-occurring protein molecules seem to be dye binding sites. The uptake of RO16 was not significantly affected by a high concentration of salts,</w:t>
      </w:r>
      <w:r w:rsidR="00F81221">
        <w:t xml:space="preserve"> and </w:t>
      </w:r>
      <w:r w:rsidRPr="00A428C3">
        <w:t>the biomass could be repeatedly reused up to eight times per sorption/desorption cycle, reflecting that the biomass wastes deserve to be a potential regenerable biosorbent for dye removal.</w:t>
      </w:r>
    </w:p>
    <w:p w:rsidR="00B95188" w:rsidRPr="00A428C3" w:rsidRDefault="00B95188" w:rsidP="00B95188">
      <w:pPr>
        <w:pStyle w:val="a0"/>
      </w:pPr>
      <w:r w:rsidRPr="00A428C3">
        <w:t>? Lv, L., Tsoi, G.</w:t>
      </w:r>
      <w:r w:rsidR="00F81221">
        <w:t xml:space="preserve"> and </w:t>
      </w:r>
      <w:r w:rsidRPr="00A428C3">
        <w:t>Zhao, X.S. (2004), Uptake equilibria</w:t>
      </w:r>
      <w:r w:rsidR="00F81221">
        <w:t xml:space="preserve"> and </w:t>
      </w:r>
      <w:r w:rsidRPr="00A428C3">
        <w:t xml:space="preserve">mechanisms of heavy metal ions on microporous titanosilicate ETS-10. </w:t>
      </w:r>
      <w:r w:rsidRPr="00A428C3">
        <w:rPr>
          <w:i/>
          <w:iCs/>
        </w:rPr>
        <w:t xml:space="preserve">Industrial &amp; Engineering </w:t>
      </w:r>
      <w:r w:rsidRPr="00A428C3">
        <w:rPr>
          <w:i/>
          <w:iCs/>
        </w:rPr>
        <w:lastRenderedPageBreak/>
        <w:t>Chemistry Research</w:t>
      </w:r>
      <w:r w:rsidRPr="00A428C3">
        <w:t xml:space="preserve">, </w:t>
      </w:r>
      <w:r w:rsidRPr="00A428C3">
        <w:rPr>
          <w:b/>
        </w:rPr>
        <w:t>43</w:t>
      </w:r>
      <w:r w:rsidRPr="00A428C3">
        <w:t xml:space="preserve"> (24), 7900-7906.</w:t>
      </w:r>
    </w:p>
    <w:p w:rsidR="00B95188" w:rsidRPr="00A428C3" w:rsidRDefault="00B95188" w:rsidP="00B95188">
      <w:pPr>
        <w:pStyle w:val="a0"/>
      </w:pPr>
      <w:r w:rsidRPr="00A428C3">
        <w:t xml:space="preserve">Full Text: </w:t>
      </w:r>
      <w:hyperlink r:id="rId1227" w:history="1">
        <w:r w:rsidRPr="00A428C3">
          <w:rPr>
            <w:rStyle w:val="a5"/>
          </w:rPr>
          <w:t>I\Ind Eng Che Res43, 7900.pdf</w:t>
        </w:r>
      </w:hyperlink>
    </w:p>
    <w:p w:rsidR="00B95188" w:rsidRPr="00A428C3" w:rsidRDefault="00B95188" w:rsidP="00B95188">
      <w:pPr>
        <w:pStyle w:val="a0"/>
      </w:pPr>
      <w:r w:rsidRPr="00A428C3">
        <w:t>Abstract: In this study, the uptake equilibria</w:t>
      </w:r>
      <w:r w:rsidR="00F81221">
        <w:t xml:space="preserve"> and </w:t>
      </w:r>
      <w:r w:rsidRPr="00A428C3">
        <w:t>mechanisms of heavy metal ions Pb(II), Cu(II), Cd(II),</w:t>
      </w:r>
      <w:r w:rsidR="00F81221">
        <w:t xml:space="preserve"> and </w:t>
      </w:r>
      <w:r w:rsidRPr="00A428C3">
        <w:t>Zn(II) on microporous titanosilicate ETS-10 were attempted in the absence</w:t>
      </w:r>
      <w:r w:rsidR="00F81221">
        <w:t xml:space="preserve"> and </w:t>
      </w:r>
      <w:r w:rsidRPr="00A428C3">
        <w:t>presence of background electrolyte NaNO</w:t>
      </w:r>
      <w:r w:rsidRPr="00A428C3">
        <w:rPr>
          <w:szCs w:val="13"/>
          <w:vertAlign w:val="subscript"/>
        </w:rPr>
        <w:t>3</w:t>
      </w:r>
      <w:r w:rsidRPr="00A428C3">
        <w:rPr>
          <w:szCs w:val="13"/>
        </w:rPr>
        <w:t xml:space="preserve"> </w:t>
      </w:r>
      <w:r w:rsidRPr="00A428C3">
        <w:t>of different concentrations in batch systems. The uptake properties of the metals were found to be related to the zeta (ú) potential profile of ETS-10</w:t>
      </w:r>
      <w:r w:rsidR="00F81221">
        <w:t xml:space="preserve"> and </w:t>
      </w:r>
      <w:r w:rsidRPr="00A428C3">
        <w:t>the characteristics of the heavy metals in terms of their hydrolysis, hydrated ionic radii,</w:t>
      </w:r>
      <w:r w:rsidR="00F81221">
        <w:t xml:space="preserve"> and </w:t>
      </w:r>
      <w:r w:rsidRPr="00A428C3">
        <w:t>hydration energies. The ionic strength of NaNO</w:t>
      </w:r>
      <w:r w:rsidRPr="00A428C3">
        <w:rPr>
          <w:szCs w:val="13"/>
          <w:vertAlign w:val="subscript"/>
        </w:rPr>
        <w:t>3</w:t>
      </w:r>
      <w:r w:rsidR="00F81221">
        <w:rPr>
          <w:szCs w:val="13"/>
        </w:rPr>
        <w:t xml:space="preserve"> and </w:t>
      </w:r>
      <w:r w:rsidRPr="00A428C3">
        <w:t>the pH were observed to have a significant impact on the equilibrium uptake capacity due to the competition of Na</w:t>
      </w:r>
      <w:r w:rsidRPr="00A428C3">
        <w:rPr>
          <w:szCs w:val="13"/>
        </w:rPr>
        <w:t>+</w:t>
      </w:r>
      <w:r w:rsidR="00F81221">
        <w:rPr>
          <w:szCs w:val="13"/>
        </w:rPr>
        <w:t xml:space="preserve"> and </w:t>
      </w:r>
      <w:r w:rsidRPr="00A428C3">
        <w:t>proton</w:t>
      </w:r>
      <w:r w:rsidR="00F81221">
        <w:t xml:space="preserve"> and </w:t>
      </w:r>
      <w:r w:rsidRPr="00A428C3">
        <w:t>the variation of surface electrochemical properties of ETS-10 adsorbent. The desorption data of counterions indicated that ion exchange is mainly responsible for the uptake of heavy metals Cu(II), Cd(II),</w:t>
      </w:r>
      <w:r w:rsidR="00F81221">
        <w:t xml:space="preserve"> and </w:t>
      </w:r>
      <w:r w:rsidRPr="00A428C3">
        <w:t>Zn(II), while other mechanisms such as adsorption</w:t>
      </w:r>
      <w:r w:rsidR="00F81221">
        <w:t xml:space="preserve"> and </w:t>
      </w:r>
      <w:r w:rsidRPr="00A428C3">
        <w:t>complexation may be cooperative in addition to ion exchange in the case of Pb(II) uptake on ETS-10 solid.</w:t>
      </w:r>
    </w:p>
    <w:p w:rsidR="00B95188" w:rsidRPr="00A428C3" w:rsidRDefault="00B95188" w:rsidP="00B95188">
      <w:pPr>
        <w:pStyle w:val="a0"/>
      </w:pPr>
      <w:r w:rsidRPr="00A428C3">
        <w:t>Mohan, D., Singh, K.P.</w:t>
      </w:r>
      <w:r w:rsidR="00F81221">
        <w:t xml:space="preserve"> and </w:t>
      </w:r>
      <w:r w:rsidRPr="00A428C3">
        <w:t>Singh, V.K. (2004), Removal of hexavalent chromium from aqueous solution using low-cost activated carbons derived from agricultural waste materials</w:t>
      </w:r>
      <w:r w:rsidR="00F81221">
        <w:t xml:space="preserve"> and </w:t>
      </w:r>
      <w:r w:rsidRPr="00A428C3">
        <w:t xml:space="preserve">activated carbon fabric cloth. </w:t>
      </w:r>
      <w:r w:rsidRPr="00A428C3">
        <w:rPr>
          <w:i/>
        </w:rPr>
        <w:t>Industrial &amp; Engineering Chemistry Research</w:t>
      </w:r>
      <w:r w:rsidRPr="00A428C3">
        <w:t xml:space="preserve">, </w:t>
      </w:r>
      <w:r w:rsidRPr="00A428C3">
        <w:rPr>
          <w:b/>
        </w:rPr>
        <w:t>44</w:t>
      </w:r>
      <w:r w:rsidRPr="00A428C3">
        <w:t xml:space="preserve"> (4), 1027-1042.</w:t>
      </w:r>
    </w:p>
    <w:p w:rsidR="00B95188" w:rsidRPr="00A428C3" w:rsidRDefault="00B95188" w:rsidP="00B95188">
      <w:pPr>
        <w:pStyle w:val="a0"/>
      </w:pPr>
      <w:r w:rsidRPr="00A428C3">
        <w:t xml:space="preserve">Full Text: </w:t>
      </w:r>
      <w:hyperlink r:id="rId1228" w:history="1">
        <w:r w:rsidRPr="00A428C3">
          <w:rPr>
            <w:rStyle w:val="a5"/>
          </w:rPr>
          <w:t>I\Ind Eng Che Res44, 1027.pdf</w:t>
        </w:r>
      </w:hyperlink>
    </w:p>
    <w:p w:rsidR="00B95188" w:rsidRPr="00A428C3" w:rsidRDefault="00B95188" w:rsidP="00B95188">
      <w:pPr>
        <w:pStyle w:val="a0"/>
      </w:pPr>
      <w:r w:rsidRPr="00A428C3">
        <w:t>Abstract: This paper examines an efficient adsorption process for the treatment of tannery wastewater. A variety of low-cost activated carbons were developed from agricultural waste materials, characterized,</w:t>
      </w:r>
      <w:r w:rsidR="00F81221">
        <w:t xml:space="preserve"> and </w:t>
      </w:r>
      <w:r w:rsidRPr="00A428C3">
        <w:t>utilized for the removal of hexavalent chromium from wastewater. Systematic studies on chromium(VI) adsorption equilibrium</w:t>
      </w:r>
      <w:r w:rsidR="00F81221">
        <w:t xml:space="preserve"> and </w:t>
      </w:r>
      <w:r w:rsidRPr="00A428C3">
        <w:t>kinetics by low-cost activated carbons as well as commercially available activated carbon fabric cloth were carried out at different temperatures, particle size, pH,</w:t>
      </w:r>
      <w:r w:rsidR="00F81221">
        <w:t xml:space="preserve"> and </w:t>
      </w:r>
      <w:r w:rsidRPr="00A428C3">
        <w:t>adsorbent doses. Both Langmuir</w:t>
      </w:r>
      <w:r w:rsidR="00F81221">
        <w:t xml:space="preserve"> and </w:t>
      </w:r>
      <w:r w:rsidRPr="00A428C3">
        <w:t>Freundlich models fitted the adsorption data quite reasonably. The results indicate that the Langmuir adsorption isotherm model fits the data better than the Freundlich adsorption isotherm model. Further, the data are better correlated with the nonlinear form than the linear one. The kinetic studies were conducted to delineate the effects of temperature, initial adsorbate concentration, adsorbent particle size,</w:t>
      </w:r>
      <w:r w:rsidR="00F81221">
        <w:t xml:space="preserve"> and </w:t>
      </w:r>
      <w:r w:rsidRPr="00A428C3">
        <w:t>solid-to-liquid ratio. The adsorption of Cr(VI) follows pseudo-second-order rate kinetics. On the basis of these studies, various parameters such as the effective diffusion coefficient, activation energy,</w:t>
      </w:r>
      <w:r w:rsidR="00F81221">
        <w:t xml:space="preserve"> and </w:t>
      </w:r>
      <w:r w:rsidRPr="00A428C3">
        <w:t>activation entropy were evaluated to establish the mechanisms. The adsorption capacities of the tested adsorbents was found to be comparable to those of the available adsorbents/activated carbons.</w:t>
      </w:r>
    </w:p>
    <w:p w:rsidR="00B95188" w:rsidRPr="00A428C3" w:rsidRDefault="00B95188" w:rsidP="00B95188">
      <w:pPr>
        <w:pStyle w:val="a0"/>
      </w:pPr>
      <w:r w:rsidRPr="00A428C3">
        <w:t>Keywords: Cr(VI) Removal, Ion-Exchange, Red Mud, Water, Adsorption, Kinetics, Reduction, Adsorbent, Charcoal, Biosorption</w:t>
      </w:r>
    </w:p>
    <w:p w:rsidR="00B95188" w:rsidRPr="00A428C3" w:rsidRDefault="00B95188" w:rsidP="00B95188">
      <w:pPr>
        <w:pStyle w:val="a0"/>
      </w:pPr>
      <w:r w:rsidRPr="00A428C3">
        <w:lastRenderedPageBreak/>
        <w:t>Liu, C.C., Kuang-Wang, M.</w:t>
      </w:r>
      <w:r w:rsidR="00F81221">
        <w:t xml:space="preserve"> and </w:t>
      </w:r>
      <w:r w:rsidRPr="00A428C3">
        <w:t xml:space="preserve">Li, Y.S. (2005), Removal of nickel from aqueous solution using wine processing waste sludge. </w:t>
      </w:r>
      <w:r w:rsidRPr="00A428C3">
        <w:rPr>
          <w:i/>
        </w:rPr>
        <w:t>Industrial &amp; Engineering Chemistry Research</w:t>
      </w:r>
      <w:r w:rsidRPr="00A428C3">
        <w:t xml:space="preserve">, </w:t>
      </w:r>
      <w:r w:rsidRPr="00A428C3">
        <w:rPr>
          <w:b/>
        </w:rPr>
        <w:t>44</w:t>
      </w:r>
      <w:r w:rsidRPr="00A428C3">
        <w:t xml:space="preserve"> (5), 1438-1445.</w:t>
      </w:r>
    </w:p>
    <w:p w:rsidR="00B95188" w:rsidRPr="00A428C3" w:rsidRDefault="00B95188" w:rsidP="00B95188">
      <w:pPr>
        <w:pStyle w:val="a0"/>
      </w:pPr>
      <w:r w:rsidRPr="00A428C3">
        <w:t xml:space="preserve">Full Text: </w:t>
      </w:r>
      <w:hyperlink r:id="rId1229" w:history="1">
        <w:r w:rsidRPr="00A428C3">
          <w:rPr>
            <w:rStyle w:val="a5"/>
          </w:rPr>
          <w:t>I\Ind Eng Che Res44, 1438.pdf</w:t>
        </w:r>
      </w:hyperlink>
    </w:p>
    <w:p w:rsidR="00B95188" w:rsidRPr="00A428C3" w:rsidRDefault="00B95188" w:rsidP="00B95188">
      <w:pPr>
        <w:pStyle w:val="a0"/>
      </w:pPr>
      <w:r w:rsidRPr="00A428C3">
        <w:t>Abstract: Wine processing waste sludge (WPWS) has been shown to be an effective sorbent for sorption of some heavy metals (i.e., lead</w:t>
      </w:r>
      <w:r w:rsidR="00F81221">
        <w:t xml:space="preserve"> and </w:t>
      </w:r>
      <w:r w:rsidRPr="00A428C3">
        <w:t>chromium), but the sorption mechanism of heavy metal by WPWS has remained obscure. The objective of this study was to explore the sorption mechanism of WPWS for heavy metals using nickel (Ni) as the sorbate. The WPWS has been characterized with wet chemistry, infrared (IR), X-ray diffraction, scanning electron microscopy (SEM), carbon13 magic-angle nuclear magnetic resonance (C-13 NMR),</w:t>
      </w:r>
      <w:r w:rsidR="00F81221">
        <w:t xml:space="preserve"> and </w:t>
      </w:r>
      <w:r w:rsidRPr="00A428C3">
        <w:t>energy-dispersive spectrometry chemical analyses. The sludge contained high organic carbon (40.5%), nitrogen (23.4%),</w:t>
      </w:r>
      <w:r w:rsidR="00F81221">
        <w:t xml:space="preserve"> and </w:t>
      </w:r>
      <w:r w:rsidRPr="00A428C3">
        <w:t>cation-exchange capacity (1218 cmol(c) kg</w:t>
      </w:r>
      <w:r w:rsidRPr="00A428C3">
        <w:rPr>
          <w:vertAlign w:val="superscript"/>
        </w:rPr>
        <w:t>-1</w:t>
      </w:r>
      <w:r w:rsidRPr="00A428C3">
        <w:t>).SEM investigation of WPWS showed porous-like activated carbon. IR analysis of WPWS revealed that R-NH</w:t>
      </w:r>
      <w:r w:rsidRPr="00A428C3">
        <w:rPr>
          <w:vertAlign w:val="subscript"/>
        </w:rPr>
        <w:t>2</w:t>
      </w:r>
      <w:r w:rsidR="00F81221">
        <w:t xml:space="preserve"> and </w:t>
      </w:r>
      <w:r w:rsidRPr="00A428C3">
        <w:t xml:space="preserve">R-COOH were the major functional groups. The proportion of organic functional groups in WPWS quantified by </w:t>
      </w:r>
      <w:smartTag w:uri="urn:schemas-microsoft-com:office:smarttags" w:element="chmetcnv">
        <w:smartTagPr>
          <w:attr w:name="TCSC" w:val="0"/>
          <w:attr w:name="NumberType" w:val="1"/>
          <w:attr w:name="Negative" w:val="False"/>
          <w:attr w:name="HasSpace" w:val="True"/>
          <w:attr w:name="SourceValue" w:val="13"/>
          <w:attr w:name="UnitName" w:val="C"/>
        </w:smartTagPr>
        <w:r w:rsidRPr="00A428C3">
          <w:t>13 C</w:t>
        </w:r>
      </w:smartTag>
      <w:r w:rsidRPr="00A428C3">
        <w:t xml:space="preserve"> NMR analysis was in the following order: alkyl-C &gt; carboxyl-C &gt; N-alkyl-C &gt; aromatic-C &gt; O-alkyl-C &gt; acetal-C &gt; phenolic-C. The parameters affecting the sorption of Ni were the pH, initial concentration of Ni, particle size of WPWS,</w:t>
      </w:r>
      <w:r w:rsidR="00F81221">
        <w:t xml:space="preserve"> and </w:t>
      </w:r>
      <w:r w:rsidRPr="00A428C3">
        <w:t>reaction temperature. The WPWS sorption isotherms of Ni are only well described by the Langmuir sorption isotherm. A pseudo-second-order sorption kinetic model describes successfully the kinetics of sorption of Ni onto WPWS at different operation parameters (i.e., pH, initial Ni concentration,</w:t>
      </w:r>
      <w:r w:rsidR="00F81221">
        <w:t xml:space="preserve"> and </w:t>
      </w:r>
      <w:r w:rsidRPr="00A428C3">
        <w:t>particle size). Under the steady-state reaction conditions, the Gibb free energy (DeltaGdegrees) ranges from -18.969 to -23.616 kJ mol</w:t>
      </w:r>
      <w:r w:rsidRPr="00A428C3">
        <w:rPr>
          <w:vertAlign w:val="superscript"/>
        </w:rPr>
        <w:t>-1</w:t>
      </w:r>
      <w:r w:rsidRPr="00A428C3">
        <w:t>,</w:t>
      </w:r>
      <w:r w:rsidR="00F81221">
        <w:t xml:space="preserve"> and </w:t>
      </w:r>
      <w:r w:rsidRPr="00A428C3">
        <w:t>DeltaHdegrees</w:t>
      </w:r>
      <w:r w:rsidR="00F81221">
        <w:t xml:space="preserve"> and </w:t>
      </w:r>
      <w:r w:rsidRPr="00A428C3">
        <w:t>DeltaSdegrees are 3.366 kJ mol</w:t>
      </w:r>
      <w:r w:rsidRPr="00A428C3">
        <w:rPr>
          <w:vertAlign w:val="superscript"/>
        </w:rPr>
        <w:t>-1</w:t>
      </w:r>
      <w:r w:rsidR="00F81221">
        <w:t xml:space="preserve"> and </w:t>
      </w:r>
      <w:r w:rsidRPr="00A428C3">
        <w:t>6.056 J mol</w:t>
      </w:r>
      <w:r w:rsidRPr="00A428C3">
        <w:rPr>
          <w:vertAlign w:val="superscript"/>
        </w:rPr>
        <w:t>-1</w:t>
      </w:r>
      <w:r w:rsidRPr="00A428C3">
        <w:t xml:space="preserve"> K</w:t>
      </w:r>
      <w:r w:rsidRPr="00A428C3">
        <w:rPr>
          <w:vertAlign w:val="superscript"/>
        </w:rPr>
        <w:t>-1</w:t>
      </w:r>
      <w:r w:rsidRPr="00A428C3">
        <w:t>, respectively, indicating that higher temperature favors spontaneous reaction for Ni sorption by WPWS. According to the thermodynamic sorption parameters under steady-state conditions, this sorption is a spontaneous</w:t>
      </w:r>
      <w:r w:rsidR="00F81221">
        <w:t xml:space="preserve"> and </w:t>
      </w:r>
      <w:r w:rsidRPr="00A428C3">
        <w:t>endothermic reaction. The sorption mechanisms include physical adsorption</w:t>
      </w:r>
      <w:r w:rsidR="00F81221">
        <w:t xml:space="preserve"> and </w:t>
      </w:r>
      <w:r w:rsidRPr="00A428C3">
        <w:t>chemical complexation. Amino</w:t>
      </w:r>
      <w:r w:rsidR="00F81221">
        <w:t xml:space="preserve"> and </w:t>
      </w:r>
      <w:r w:rsidRPr="00A428C3">
        <w:t>carboxyl groups are the prominent functional groups interacting with Ni. The sorption capacity is influenced by several parameters such as the pH, initial Ni concentration, temperature,</w:t>
      </w:r>
      <w:r w:rsidR="00F81221">
        <w:t xml:space="preserve"> and </w:t>
      </w:r>
      <w:r w:rsidRPr="00A428C3">
        <w:t>particle size of WPWS.</w:t>
      </w:r>
    </w:p>
    <w:p w:rsidR="00B95188" w:rsidRPr="00A428C3" w:rsidRDefault="00B95188" w:rsidP="00B95188">
      <w:pPr>
        <w:pStyle w:val="a0"/>
      </w:pPr>
      <w:r w:rsidRPr="00A428C3">
        <w:t>Keywords: Activated Carbon, Reactive Dyes, Lead Removal, Metal-Ions, Adsorption, Kinetics, Chitosan, Sorption</w:t>
      </w:r>
    </w:p>
    <w:p w:rsidR="000D28DF" w:rsidRPr="00A428C3" w:rsidRDefault="000D28DF" w:rsidP="000D28DF">
      <w:pPr>
        <w:pStyle w:val="a0"/>
      </w:pPr>
      <w:r>
        <w:rPr>
          <w:rFonts w:hint="eastAsia"/>
        </w:rPr>
        <w:t>?</w:t>
      </w:r>
      <w:r w:rsidRPr="000D28DF">
        <w:t xml:space="preserve"> </w:t>
      </w:r>
      <w:r>
        <w:t>Allen</w:t>
      </w:r>
      <w:r>
        <w:rPr>
          <w:rFonts w:hint="eastAsia"/>
        </w:rPr>
        <w:t>,</w:t>
      </w:r>
      <w:r>
        <w:t xml:space="preserve"> S</w:t>
      </w:r>
      <w:r>
        <w:rPr>
          <w:rFonts w:hint="eastAsia"/>
        </w:rPr>
        <w:t>.</w:t>
      </w:r>
      <w:r>
        <w:t>J</w:t>
      </w:r>
      <w:r>
        <w:rPr>
          <w:rFonts w:hint="eastAsia"/>
        </w:rPr>
        <w:t>.</w:t>
      </w:r>
      <w:r>
        <w:t>, Gan</w:t>
      </w:r>
      <w:r>
        <w:rPr>
          <w:rFonts w:hint="eastAsia"/>
        </w:rPr>
        <w:t>,</w:t>
      </w:r>
      <w:r>
        <w:t xml:space="preserve"> Q</w:t>
      </w:r>
      <w:r>
        <w:rPr>
          <w:rFonts w:hint="eastAsia"/>
        </w:rPr>
        <w:t>.</w:t>
      </w:r>
      <w:r>
        <w:t>, Matthews</w:t>
      </w:r>
      <w:r>
        <w:rPr>
          <w:rFonts w:hint="eastAsia"/>
        </w:rPr>
        <w:t>,</w:t>
      </w:r>
      <w:r>
        <w:t xml:space="preserve"> R</w:t>
      </w:r>
      <w:r>
        <w:rPr>
          <w:rFonts w:hint="eastAsia"/>
        </w:rPr>
        <w:t>.</w:t>
      </w:r>
      <w:r w:rsidR="00F81221">
        <w:rPr>
          <w:rFonts w:hint="eastAsia"/>
        </w:rPr>
        <w:t xml:space="preserve"> and </w:t>
      </w:r>
      <w:r>
        <w:t>Johnson</w:t>
      </w:r>
      <w:r>
        <w:rPr>
          <w:rFonts w:hint="eastAsia"/>
        </w:rPr>
        <w:t>,</w:t>
      </w:r>
      <w:r>
        <w:t xml:space="preserve"> P</w:t>
      </w:r>
      <w:r>
        <w:rPr>
          <w:rFonts w:hint="eastAsia"/>
        </w:rPr>
        <w:t>.</w:t>
      </w:r>
      <w:r>
        <w:t>A</w:t>
      </w:r>
      <w:r>
        <w:rPr>
          <w:rFonts w:hint="eastAsia"/>
        </w:rPr>
        <w:t>.</w:t>
      </w:r>
      <w:r w:rsidRPr="00A428C3">
        <w:t xml:space="preserve"> (2005), </w:t>
      </w:r>
      <w:r>
        <w:t>Mass transfer processes in the adsorption of basic dyes by peanut hulls</w:t>
      </w:r>
      <w:r w:rsidRPr="00A428C3">
        <w:t xml:space="preserve">. </w:t>
      </w:r>
      <w:r w:rsidRPr="00A428C3">
        <w:rPr>
          <w:i/>
        </w:rPr>
        <w:t>Industrial &amp; Engineering Chemistry Research</w:t>
      </w:r>
      <w:r w:rsidRPr="00A428C3">
        <w:t xml:space="preserve">, </w:t>
      </w:r>
      <w:r w:rsidRPr="00A428C3">
        <w:rPr>
          <w:b/>
        </w:rPr>
        <w:t>44</w:t>
      </w:r>
      <w:r w:rsidRPr="00A428C3">
        <w:t xml:space="preserve"> (</w:t>
      </w:r>
      <w:r>
        <w:rPr>
          <w:rFonts w:hint="eastAsia"/>
        </w:rPr>
        <w:t>6</w:t>
      </w:r>
      <w:r w:rsidRPr="00A428C3">
        <w:t xml:space="preserve">), </w:t>
      </w:r>
      <w:r>
        <w:t>1942-1949</w:t>
      </w:r>
      <w:r w:rsidRPr="00A428C3">
        <w:t>.</w:t>
      </w:r>
    </w:p>
    <w:p w:rsidR="000D28DF" w:rsidRDefault="000D28DF" w:rsidP="000D28DF">
      <w:pPr>
        <w:pStyle w:val="a0"/>
      </w:pPr>
      <w:r w:rsidRPr="00A428C3">
        <w:t xml:space="preserve">Full Text: </w:t>
      </w:r>
      <w:hyperlink r:id="rId1230" w:history="1">
        <w:r w:rsidRPr="000D28DF">
          <w:rPr>
            <w:rStyle w:val="a5"/>
          </w:rPr>
          <w:t>2005\Ind Eng Che Res44, 1942.pdf</w:t>
        </w:r>
      </w:hyperlink>
    </w:p>
    <w:p w:rsidR="000D28DF" w:rsidRDefault="000D28DF" w:rsidP="000D28DF">
      <w:pPr>
        <w:pStyle w:val="a0"/>
      </w:pPr>
      <w:r>
        <w:t>Abstract: Waste peanut hulls, a low-cost</w:t>
      </w:r>
      <w:r w:rsidR="00F81221">
        <w:t xml:space="preserve"> and </w:t>
      </w:r>
      <w:r>
        <w:t xml:space="preserve">abundantly available material in parts of </w:t>
      </w:r>
      <w:r>
        <w:lastRenderedPageBreak/>
        <w:t>the world, are shown to act as an adsorbent for basic dyes. The extent of dye uptake was determined in standardized batch adsorbers. The effect of process variables such as the initial dye concentration, the mass of adsorbent,</w:t>
      </w:r>
      <w:r w:rsidR="00F81221">
        <w:t xml:space="preserve"> and </w:t>
      </w:r>
      <w:r>
        <w:t>the agitation speed on uptake during the batch adsorption was evaluated. Increased initial dye concentration resulted in an increase in the amount of dye adsorbed per gram of adsorbent for all sorbent/dye combinations.</w:t>
      </w:r>
      <w:r>
        <w:rPr>
          <w:rFonts w:hint="eastAsia"/>
        </w:rPr>
        <w:t xml:space="preserve"> </w:t>
      </w:r>
      <w:r>
        <w:t>The initial uptake of dye was found to be more rapid from solutions with lower concentrations. The rate of dye adsorption increased with increasing adsorbent mass</w:t>
      </w:r>
      <w:r w:rsidR="00F81221">
        <w:t xml:space="preserve"> and </w:t>
      </w:r>
      <w:r>
        <w:t>agitation speed, due to the reduction in the boundary layer resistance. The applicability of three single resistance mass transfer models was evaluated. Good model fits were obtained. However the single resistance external mass transfer failed at longer contact times due to the retardation of the adsorption process by an internal diffusion process. Results suggest the internal diffusion step could be the rate-limiting step in the adsorption process</w:t>
      </w:r>
      <w:r w:rsidR="00F81221">
        <w:t xml:space="preserve"> and </w:t>
      </w:r>
      <w:r>
        <w:t>the overall rate of adsorption was controlled by intraparticle diffusion, adsorption inside the adsorbent surface, or both.</w:t>
      </w:r>
    </w:p>
    <w:p w:rsidR="000D28DF" w:rsidRPr="00A428C3" w:rsidRDefault="000D28DF" w:rsidP="000D28DF">
      <w:pPr>
        <w:pStyle w:val="a0"/>
      </w:pPr>
      <w:r>
        <w:t>Keywords: Industry Waste-Water, Activated Carbon, Aqueous-Solution, Intraparticle Diffusion, Removal, Rates, Equilibrium, Adsorbents, Pellets, Shells</w:t>
      </w:r>
    </w:p>
    <w:p w:rsidR="00B95188" w:rsidRPr="00A428C3" w:rsidRDefault="00B95188" w:rsidP="00B95188">
      <w:pPr>
        <w:pStyle w:val="a0"/>
      </w:pPr>
      <w:r w:rsidRPr="00A428C3">
        <w:t>? Goel, J., Kadirvelu, K., Rajagopal, C.</w:t>
      </w:r>
      <w:r w:rsidR="00F81221">
        <w:t xml:space="preserve"> and </w:t>
      </w:r>
      <w:r w:rsidRPr="00A428C3">
        <w:t xml:space="preserve">Garg, V.K. (2005), Removal of lead(II) from aqueous solution by adsorption on carbon aerogel using a response surface methodological approach. </w:t>
      </w:r>
      <w:r w:rsidRPr="00A428C3">
        <w:rPr>
          <w:i/>
        </w:rPr>
        <w:t>Industrial &amp; Engineering Chemistry Research</w:t>
      </w:r>
      <w:r w:rsidRPr="00A428C3">
        <w:t xml:space="preserve">, </w:t>
      </w:r>
      <w:r w:rsidRPr="00A428C3">
        <w:rPr>
          <w:b/>
        </w:rPr>
        <w:t>44</w:t>
      </w:r>
      <w:r w:rsidRPr="00A428C3">
        <w:t xml:space="preserve"> (7), 1987-1994.</w:t>
      </w:r>
    </w:p>
    <w:p w:rsidR="00B95188" w:rsidRPr="00A428C3" w:rsidRDefault="00B95188" w:rsidP="00B95188">
      <w:pPr>
        <w:pStyle w:val="a0"/>
      </w:pPr>
      <w:r w:rsidRPr="00A428C3">
        <w:t xml:space="preserve">Full Text: </w:t>
      </w:r>
      <w:hyperlink r:id="rId1231" w:history="1">
        <w:r w:rsidRPr="00A428C3">
          <w:rPr>
            <w:rStyle w:val="a5"/>
          </w:rPr>
          <w:t>I\Ind Eng Che Res44, 1987.pdf</w:t>
        </w:r>
      </w:hyperlink>
    </w:p>
    <w:p w:rsidR="00B95188" w:rsidRPr="00A428C3" w:rsidRDefault="00B95188" w:rsidP="00B95188">
      <w:pPr>
        <w:pStyle w:val="a0"/>
      </w:pPr>
      <w:r w:rsidRPr="00A428C3">
        <w:t>Abstract: Recently a new form of activated carbon has appeared: carbon aerogel (CA). Its use for the adsorptive removal of inorganic compounds (and especially metal ions) has not been studied. The purpose of this study is to investigate the adsorption of Pb(II) on carbon aerogel from aqueous solution. Batch mode experiments were carried out to assess the adsorption equilibrium</w:t>
      </w:r>
      <w:r w:rsidR="00F81221">
        <w:t xml:space="preserve"> and </w:t>
      </w:r>
      <w:r w:rsidRPr="00A428C3">
        <w:t>kinetic behavior of Pb(II) in aqueous solution. This allowed for the computation of the kinetic parameters</w:t>
      </w:r>
      <w:r w:rsidR="00F81221">
        <w:t xml:space="preserve"> and </w:t>
      </w:r>
      <w:r w:rsidRPr="00A428C3">
        <w:t>maximum metal ion adsorption capacities. The influence of three parameters, adsorbent concentration (0.02</w:t>
      </w:r>
      <w:smartTag w:uri="urn:schemas-microsoft-com:office:smarttags" w:element="chmetcnv">
        <w:smartTagPr>
          <w:attr w:name="TCSC" w:val="0"/>
          <w:attr w:name="NumberType" w:val="1"/>
          <w:attr w:name="Negative" w:val="True"/>
          <w:attr w:name="HasSpace" w:val="True"/>
          <w:attr w:name="SourceValue" w:val="0.1"/>
          <w:attr w:name="UnitName" w:val="g"/>
        </w:smartTagPr>
        <w:r w:rsidRPr="00A428C3">
          <w:t>-0.1 g</w:t>
        </w:r>
      </w:smartTag>
      <w:r w:rsidRPr="00A428C3">
        <w:t>), pH (2-7),</w:t>
      </w:r>
      <w:r w:rsidR="00F81221">
        <w:t xml:space="preserve"> and </w:t>
      </w:r>
      <w:r w:rsidRPr="00A428C3">
        <w:t>temperature (20-70 degrees C), on the percentage removal of Pb(II) was also examined, using a response surface methodological approach. Box-Behnken design was used for designing the experiments as well as for full response surface estimation. It was shown that a second-order polynomial regression model could properly evaluate the experimental data. This was evidenced by the high R-2 value of 0.9655. The optimum conditions for maximum removal were found to be as follows: adsorbent concentration (</w:t>
      </w:r>
      <w:smartTag w:uri="urn:schemas-microsoft-com:office:smarttags" w:element="chmetcnv">
        <w:smartTagPr>
          <w:attr w:name="TCSC" w:val="0"/>
          <w:attr w:name="NumberType" w:val="1"/>
          <w:attr w:name="Negative" w:val="False"/>
          <w:attr w:name="HasSpace" w:val="True"/>
          <w:attr w:name="SourceValue" w:val="0.1"/>
          <w:attr w:name="UnitName" w:val="g"/>
        </w:smartTagPr>
        <w:r w:rsidRPr="00A428C3">
          <w:t>0.1 g</w:t>
        </w:r>
      </w:smartTag>
      <w:r w:rsidRPr="00A428C3">
        <w:t>), pH range (4-7),</w:t>
      </w:r>
      <w:r w:rsidR="00F81221">
        <w:t xml:space="preserve"> and </w:t>
      </w:r>
      <w:r w:rsidRPr="00A428C3">
        <w:t>temperature (70 degrees C).</w:t>
      </w:r>
    </w:p>
    <w:p w:rsidR="00B95188" w:rsidRPr="00A428C3" w:rsidRDefault="00B95188" w:rsidP="00B95188">
      <w:pPr>
        <w:pStyle w:val="a0"/>
      </w:pPr>
      <w:r w:rsidRPr="00A428C3">
        <w:t>Keywords: Activated Carbon, Waste-Water, Pb(II), Ions, Cu(II), Design, Kinetics, Sorption, Cadmium</w:t>
      </w:r>
    </w:p>
    <w:p w:rsidR="00B95188" w:rsidRPr="00A428C3" w:rsidRDefault="00B95188" w:rsidP="00B95188">
      <w:pPr>
        <w:pStyle w:val="a0"/>
      </w:pPr>
      <w:r w:rsidRPr="00A428C3">
        <w:lastRenderedPageBreak/>
        <w:t>? Basso, M.C.</w:t>
      </w:r>
      <w:r w:rsidR="00F81221">
        <w:t xml:space="preserve"> and </w:t>
      </w:r>
      <w:r w:rsidRPr="00A428C3">
        <w:t xml:space="preserve">Cukierman, A.L. (2005), </w:t>
      </w:r>
      <w:r w:rsidRPr="00A428C3">
        <w:rPr>
          <w:i/>
          <w:iCs/>
        </w:rPr>
        <w:t>Arundo donax</w:t>
      </w:r>
      <w:r w:rsidRPr="00A428C3">
        <w:t xml:space="preserve">-based activated carbons for aqueous-phase adsorption of volatile organic compounds. </w:t>
      </w:r>
      <w:r w:rsidRPr="00A428C3">
        <w:rPr>
          <w:i/>
        </w:rPr>
        <w:t>Industrial &amp; Engineering Chemistry Research</w:t>
      </w:r>
      <w:r w:rsidRPr="00A428C3">
        <w:t xml:space="preserve">, </w:t>
      </w:r>
      <w:r w:rsidRPr="00A428C3">
        <w:rPr>
          <w:b/>
        </w:rPr>
        <w:t>44</w:t>
      </w:r>
      <w:r w:rsidRPr="00A428C3">
        <w:t xml:space="preserve"> (7), 2091-2100.</w:t>
      </w:r>
    </w:p>
    <w:p w:rsidR="00B95188" w:rsidRPr="00A428C3" w:rsidRDefault="00B95188" w:rsidP="00B95188">
      <w:pPr>
        <w:pStyle w:val="a0"/>
      </w:pPr>
      <w:r w:rsidRPr="00A428C3">
        <w:t xml:space="preserve">Full Text: </w:t>
      </w:r>
      <w:hyperlink r:id="rId1232" w:history="1">
        <w:r w:rsidRPr="00A428C3">
          <w:rPr>
            <w:rStyle w:val="a5"/>
          </w:rPr>
          <w:t>I\Ind Eng Che Res44, 2091.pdf</w:t>
        </w:r>
      </w:hyperlink>
    </w:p>
    <w:p w:rsidR="00B95188" w:rsidRPr="00A428C3" w:rsidRDefault="00B95188" w:rsidP="00B95188">
      <w:pPr>
        <w:pStyle w:val="a0"/>
      </w:pPr>
      <w:r w:rsidRPr="00A428C3">
        <w:t xml:space="preserve">Abstract: A series of activated carbons with similar surface properties (BET surface area of </w:t>
      </w:r>
      <w:smartTag w:uri="urn:schemas-microsoft-com:office:smarttags" w:element="chmetcnv">
        <w:smartTagPr>
          <w:attr w:name="TCSC" w:val="0"/>
          <w:attr w:name="NumberType" w:val="1"/>
          <w:attr w:name="Negative" w:val="False"/>
          <w:attr w:name="HasSpace" w:val="True"/>
          <w:attr w:name="SourceValue" w:val="1100"/>
          <w:attr w:name="UnitName" w:val="m2"/>
        </w:smartTagPr>
        <w:r w:rsidRPr="00A428C3">
          <w:t>1100 m</w:t>
        </w:r>
        <w:r w:rsidRPr="00A428C3">
          <w:rPr>
            <w:vertAlign w:val="superscript"/>
          </w:rPr>
          <w:t>2</w:t>
        </w:r>
      </w:smartTag>
      <w:r w:rsidRPr="00A428C3">
        <w:t xml:space="preserve">/g, total pore volume of </w:t>
      </w:r>
      <w:smartTag w:uri="urn:schemas-microsoft-com:office:smarttags" w:element="chmetcnv">
        <w:smartTagPr>
          <w:attr w:name="TCSC" w:val="0"/>
          <w:attr w:name="NumberType" w:val="1"/>
          <w:attr w:name="Negative" w:val="False"/>
          <w:attr w:name="HasSpace" w:val="True"/>
          <w:attr w:name="SourceValue" w:val="1"/>
          <w:attr w:name="UnitName" w:val="cm"/>
        </w:smartTagPr>
        <w:r w:rsidRPr="00A428C3">
          <w:t>1 cm</w:t>
        </w:r>
      </w:smartTag>
      <w:r w:rsidRPr="00A428C3">
        <w:rPr>
          <w:vertAlign w:val="superscript"/>
        </w:rPr>
        <w:t>3</w:t>
      </w:r>
      <w:r w:rsidRPr="00A428C3">
        <w:t>/g) were developed by H</w:t>
      </w:r>
      <w:r w:rsidRPr="00A428C3">
        <w:rPr>
          <w:vertAlign w:val="subscript"/>
        </w:rPr>
        <w:t>3</w:t>
      </w:r>
      <w:r w:rsidRPr="00A428C3">
        <w:t>PO</w:t>
      </w:r>
      <w:r w:rsidRPr="00A428C3">
        <w:rPr>
          <w:vertAlign w:val="subscript"/>
        </w:rPr>
        <w:t>4</w:t>
      </w:r>
      <w:r w:rsidRPr="00A428C3">
        <w:t xml:space="preserve"> acid activation of Arundo donax L. stems, under four different atmospheres. Their ability to adsorb individual benzene</w:t>
      </w:r>
      <w:r w:rsidR="00F81221">
        <w:t xml:space="preserve"> and </w:t>
      </w:r>
      <w:r w:rsidRPr="00A428C3">
        <w:t>toluene from dilute aqueous solutions was comparatively examined at preestablished equilibrium conditions. All the samples showed appreciable uptakes of both compounds, though the carbons obtained under flowing N</w:t>
      </w:r>
      <w:r w:rsidRPr="00A428C3">
        <w:rPr>
          <w:vertAlign w:val="subscript"/>
        </w:rPr>
        <w:t>2</w:t>
      </w:r>
      <w:r w:rsidRPr="00A428C3">
        <w:t xml:space="preserve"> were most effective due to their smallest total content of polar/acidic surface oxygen functional groups. An empirical pseudo-second-order expression</w:t>
      </w:r>
      <w:r w:rsidR="00F81221">
        <w:t xml:space="preserve"> and </w:t>
      </w:r>
      <w:r w:rsidRPr="00A428C3">
        <w:t>conventional adsorption isotherm models represented properly kinetic</w:t>
      </w:r>
      <w:r w:rsidR="00F81221">
        <w:t xml:space="preserve"> and </w:t>
      </w:r>
      <w:r w:rsidRPr="00A428C3">
        <w:t>equilibrium data for adsorption of the organics on the N</w:t>
      </w:r>
      <w:r w:rsidRPr="00A428C3">
        <w:rPr>
          <w:vertAlign w:val="subscript"/>
        </w:rPr>
        <w:t>2</w:t>
      </w:r>
      <w:r w:rsidRPr="00A428C3">
        <w:t>-derived carbons, respectively. Competing adsorption effects were found for the carbons developed under flowing N</w:t>
      </w:r>
      <w:r w:rsidRPr="00A428C3">
        <w:rPr>
          <w:vertAlign w:val="subscript"/>
        </w:rPr>
        <w:t>2</w:t>
      </w:r>
      <w:r w:rsidR="00F81221">
        <w:t xml:space="preserve"> and </w:t>
      </w:r>
      <w:r w:rsidRPr="00A428C3">
        <w:t>air using binary solutions of benzene</w:t>
      </w:r>
      <w:r w:rsidR="00F81221">
        <w:t xml:space="preserve"> and </w:t>
      </w:r>
      <w:r w:rsidRPr="00A428C3">
        <w:t>toluene</w:t>
      </w:r>
      <w:r w:rsidR="00F81221">
        <w:t xml:space="preserve"> and </w:t>
      </w:r>
      <w:r w:rsidRPr="00A428C3">
        <w:t>of the organics in the presence of Ni(II) ions. Besides, low-temperature thermal desorption proved effective to regenerate the spent carbons loaded with the organics keeping unchanged their original adsorptive capacity, while treatment with dilute HCl acid allowed regeneration of the carbons after being loaded from a ternary solution of benzene, toluene,</w:t>
      </w:r>
      <w:r w:rsidR="00F81221">
        <w:t xml:space="preserve"> and </w:t>
      </w:r>
      <w:r w:rsidRPr="00A428C3">
        <w:t>Ni(II) ions.</w:t>
      </w:r>
    </w:p>
    <w:p w:rsidR="00B95188" w:rsidRPr="00A428C3" w:rsidRDefault="00B95188" w:rsidP="00B95188">
      <w:pPr>
        <w:pStyle w:val="a0"/>
      </w:pPr>
      <w:r w:rsidRPr="00A428C3">
        <w:t>Keywords: Waste-Water, Functional-Groups, Phosphoric-Acid, Desorption, Toluene, Metals, Steam</w:t>
      </w:r>
    </w:p>
    <w:p w:rsidR="00B95188" w:rsidRPr="00A428C3" w:rsidRDefault="00B95188" w:rsidP="00B95188">
      <w:pPr>
        <w:pStyle w:val="a0"/>
      </w:pPr>
      <w:r w:rsidRPr="00A428C3">
        <w:t>? Allen, S.J., Koumanova, B., Kircheva, Z.</w:t>
      </w:r>
      <w:r w:rsidR="00F81221">
        <w:t xml:space="preserve"> and </w:t>
      </w:r>
      <w:r w:rsidRPr="00A428C3">
        <w:t>Nenkova, S. (2005), Adsorption of 2-nitrophenol by technical hydrolysis lignin: Kinetics, mass transfer,</w:t>
      </w:r>
      <w:r w:rsidR="00F81221">
        <w:t xml:space="preserve"> and </w:t>
      </w:r>
      <w:r w:rsidRPr="00A428C3">
        <w:t xml:space="preserve">equilibrium studies. </w:t>
      </w:r>
      <w:r w:rsidRPr="00A428C3">
        <w:rPr>
          <w:i/>
        </w:rPr>
        <w:t>Industrial &amp; Engineering Chemistry Research</w:t>
      </w:r>
      <w:r w:rsidRPr="00A428C3">
        <w:t xml:space="preserve">, </w:t>
      </w:r>
      <w:r w:rsidRPr="00A428C3">
        <w:rPr>
          <w:b/>
        </w:rPr>
        <w:t>44</w:t>
      </w:r>
      <w:r w:rsidRPr="00A428C3">
        <w:t xml:space="preserve"> (7), 2281-2287.</w:t>
      </w:r>
    </w:p>
    <w:p w:rsidR="00B95188" w:rsidRPr="00A428C3" w:rsidRDefault="00B95188" w:rsidP="00B95188">
      <w:pPr>
        <w:pStyle w:val="a0"/>
      </w:pPr>
      <w:r w:rsidRPr="00A428C3">
        <w:t xml:space="preserve">Full Text: </w:t>
      </w:r>
      <w:hyperlink r:id="rId1233" w:history="1">
        <w:r w:rsidRPr="00A428C3">
          <w:rPr>
            <w:rStyle w:val="a5"/>
          </w:rPr>
          <w:t>I\Ind Eng Che Res44, 2281.pdf</w:t>
        </w:r>
      </w:hyperlink>
    </w:p>
    <w:p w:rsidR="00B95188" w:rsidRPr="00A428C3" w:rsidRDefault="00B95188" w:rsidP="00B95188">
      <w:pPr>
        <w:pStyle w:val="a0"/>
      </w:pPr>
      <w:r w:rsidRPr="00A428C3">
        <w:t>Abstract: The potential of technical hydrolysis lignin (THL), a low-cost</w:t>
      </w:r>
      <w:r w:rsidR="00F81221">
        <w:t xml:space="preserve"> and </w:t>
      </w:r>
      <w:r w:rsidRPr="00A428C3">
        <w:t>abundantly available material, to act as an adsorbent of 2-nitrophenol (2-NP) has been investigated. The extent of mononitrophenol uptake was determined conducting parallel single-component kinetic experiments in standardized batch adsorbers. The effect of the operating parameters, initial sorbate concentration,</w:t>
      </w:r>
      <w:r w:rsidR="00F81221">
        <w:t xml:space="preserve"> and </w:t>
      </w:r>
      <w:r w:rsidRPr="00A428C3">
        <w:t>mass of adsorbent was tested. The applicability of three kinetic/mass transfer models was estimated on the basis of comparative analysis of the corresponding rate parameters (k(1), k(2), k(i)), equilibrium capacity (q(1)(cal), q(2)(cal)),</w:t>
      </w:r>
      <w:r w:rsidR="00F81221">
        <w:t xml:space="preserve"> and </w:t>
      </w:r>
      <w:r w:rsidRPr="00A428C3">
        <w:t>correlation coefficients (R-1(2), R-2(2), R-i(2)). Results suggest that chemisorption processes could be the rate-limiting step in the adsorption process. The Langmuir</w:t>
      </w:r>
      <w:r w:rsidR="00F81221">
        <w:t xml:space="preserve"> and </w:t>
      </w:r>
      <w:r w:rsidRPr="00A428C3">
        <w:t xml:space="preserve">Freundlich isotherm models were applied to describe the experimental results. The Langmuir model was found to best represent the equilibrium data for 2-NP uptake on </w:t>
      </w:r>
      <w:r w:rsidRPr="00A428C3">
        <w:lastRenderedPageBreak/>
        <w:t>THL. The sorption characteristics</w:t>
      </w:r>
      <w:r w:rsidR="00F81221">
        <w:t xml:space="preserve"> and </w:t>
      </w:r>
      <w:r w:rsidRPr="00A428C3">
        <w:t>the calculated sorption capacity of the lignin proved the feasibility of its use as a potential</w:t>
      </w:r>
      <w:r w:rsidR="00F81221">
        <w:t xml:space="preserve"> and </w:t>
      </w:r>
      <w:r w:rsidRPr="00A428C3">
        <w:t>alternative sorbent for 2-NP removal.</w:t>
      </w:r>
    </w:p>
    <w:p w:rsidR="00B95188" w:rsidRPr="00A428C3" w:rsidRDefault="00B95188" w:rsidP="00B95188">
      <w:pPr>
        <w:pStyle w:val="a0"/>
      </w:pPr>
      <w:r w:rsidRPr="00A428C3">
        <w:t>Keywords: Activated Carbon, Intraparticle Diffusion, Phenolic-Compounds, Waste-Water, Sorption, Peat, Nitrophenols, Reactors, Rates, Dyes</w:t>
      </w:r>
    </w:p>
    <w:p w:rsidR="00B95188" w:rsidRPr="00A428C3" w:rsidRDefault="00B95188" w:rsidP="00B95188">
      <w:pPr>
        <w:pStyle w:val="a0"/>
      </w:pPr>
      <w:r w:rsidRPr="00A428C3">
        <w:t>? Simao, J.P.F., Egas, A.P.V., Baptista, C.M.S.G.</w:t>
      </w:r>
      <w:r w:rsidR="00F81221">
        <w:t xml:space="preserve"> and </w:t>
      </w:r>
      <w:r w:rsidRPr="00A428C3">
        <w:t>Carvalho, M.G. (2005), Heterogeneous kinetic model for the methylglucuronic</w:t>
      </w:r>
      <w:r w:rsidR="00F81221">
        <w:t xml:space="preserve"> and </w:t>
      </w:r>
      <w:r w:rsidRPr="00A428C3">
        <w:t xml:space="preserve">hexenuronic acids reactions during Kraft pulping of Eucalyptus globulus. </w:t>
      </w:r>
      <w:r w:rsidRPr="00A428C3">
        <w:rPr>
          <w:i/>
        </w:rPr>
        <w:t>Industrial &amp; Engineering Chemistry Research</w:t>
      </w:r>
      <w:r w:rsidRPr="00A428C3">
        <w:t xml:space="preserve">, </w:t>
      </w:r>
      <w:r w:rsidRPr="00A428C3">
        <w:rPr>
          <w:b/>
        </w:rPr>
        <w:t>44</w:t>
      </w:r>
      <w:r w:rsidRPr="00A428C3">
        <w:t xml:space="preserve"> (9), 2997-3002.</w:t>
      </w:r>
    </w:p>
    <w:p w:rsidR="00B95188" w:rsidRPr="00A428C3" w:rsidRDefault="00B95188" w:rsidP="00B95188">
      <w:pPr>
        <w:pStyle w:val="a0"/>
      </w:pPr>
      <w:r w:rsidRPr="00A428C3">
        <w:t xml:space="preserve">Full Text: </w:t>
      </w:r>
      <w:hyperlink r:id="rId1234" w:history="1">
        <w:r w:rsidRPr="00A428C3">
          <w:rPr>
            <w:rStyle w:val="a5"/>
          </w:rPr>
          <w:t>I\Ind Eng Che Res44, 2997.pdf</w:t>
        </w:r>
      </w:hyperlink>
    </w:p>
    <w:p w:rsidR="00B95188" w:rsidRPr="00A428C3" w:rsidRDefault="00B95188" w:rsidP="00B95188">
      <w:pPr>
        <w:pStyle w:val="a0"/>
      </w:pPr>
      <w:r w:rsidRPr="00A428C3">
        <w:t>Abstract: A kinetic model considering simultaneously the removal of methylglucuronic acids (GlcA), the formation of hexenuronic acids (HexA),</w:t>
      </w:r>
      <w:r w:rsidR="00F81221">
        <w:t xml:space="preserve"> and </w:t>
      </w:r>
      <w:r w:rsidRPr="00A428C3">
        <w:t>their degradation/dissolution is proposed. In the model, the effective alkali concentration in the entrapped liquor was used instead of that in the bulk liquor, accounting for the heterogeneous nature of wood pulping. The results are very satisfactorily explained by assuming that GlcA are composed of two subgroups: the fast GlcA, which disappear early in the cook with a low activation energy (58 kJ/mol),</w:t>
      </w:r>
      <w:r w:rsidR="00F81221">
        <w:t xml:space="preserve"> and </w:t>
      </w:r>
      <w:r w:rsidRPr="00A428C3">
        <w:t>the slow GlcA, which are degraded/dissolved (E-a = 91 kJ/mol) or produce HexA, not being totally consumed. The degradation/dissolution reactions of both GlcA subgroups are second-order with respect to their content, while HexA formation (E-a = 92 kJ/mol)</w:t>
      </w:r>
      <w:r w:rsidR="00F81221">
        <w:t xml:space="preserve"> and </w:t>
      </w:r>
      <w:r w:rsidRPr="00A428C3">
        <w:t>degradation (E-a = 110 kJ/mol) are first-order with respect to slow GlcA</w:t>
      </w:r>
      <w:r w:rsidR="00F81221">
        <w:t xml:space="preserve"> and </w:t>
      </w:r>
      <w:r w:rsidRPr="00A428C3">
        <w:t>HexA contents, respectively. The effective alkali concentration influences the reactions that involve the slow GlcA</w:t>
      </w:r>
      <w:r w:rsidR="00F81221">
        <w:t xml:space="preserve"> and </w:t>
      </w:r>
      <w:r w:rsidRPr="00A428C3">
        <w:t>HexA, with a greater contribution to HexA degradation. The sulfidity is not relevant on any of these reactions. The model was experimentally validated with varying temperature, alkali,</w:t>
      </w:r>
      <w:r w:rsidR="00F81221">
        <w:t xml:space="preserve"> and </w:t>
      </w:r>
      <w:r w:rsidRPr="00A428C3">
        <w:t>sulfidity profiles</w:t>
      </w:r>
      <w:r w:rsidR="00F81221">
        <w:t xml:space="preserve"> and </w:t>
      </w:r>
      <w:r w:rsidRPr="00A428C3">
        <w:t>predicts reasonably well the GlcA</w:t>
      </w:r>
      <w:r w:rsidR="00F81221">
        <w:t xml:space="preserve"> and </w:t>
      </w:r>
      <w:r w:rsidRPr="00A428C3">
        <w:t>HexA contents during kraft pulping of Eucalyptus globulus.</w:t>
      </w:r>
    </w:p>
    <w:p w:rsidR="00B95188" w:rsidRPr="00A428C3" w:rsidRDefault="00B95188" w:rsidP="00B95188">
      <w:pPr>
        <w:pStyle w:val="a0"/>
      </w:pPr>
      <w:r w:rsidRPr="00A428C3">
        <w:t>Keywords: Cooking Conditions, Bleachability, Degradation, Softwood, Xylan, Pine, Wood, Fate</w:t>
      </w:r>
    </w:p>
    <w:p w:rsidR="00B95188" w:rsidRPr="00A428C3" w:rsidRDefault="00B95188" w:rsidP="00B95188">
      <w:pPr>
        <w:pStyle w:val="a0"/>
      </w:pPr>
      <w:r w:rsidRPr="00A428C3">
        <w:t xml:space="preserve">? Gupta, V.K., Ali, </w:t>
      </w:r>
      <w:smartTag w:uri="urn:schemas-microsoft-com:office:smarttags" w:element="place">
        <w:r w:rsidRPr="00A428C3">
          <w:t>I.</w:t>
        </w:r>
      </w:smartTag>
      <w:r w:rsidRPr="00A428C3">
        <w:t>, Saini, V.K., Van Gerven, T., Van der Bruggen, B.</w:t>
      </w:r>
      <w:r w:rsidR="00F81221">
        <w:t xml:space="preserve"> and </w:t>
      </w:r>
      <w:r w:rsidRPr="00A428C3">
        <w:t xml:space="preserve">Vandecasteele, C. (2005), Removal of dyes from wastewater using bottom ash. </w:t>
      </w:r>
      <w:r w:rsidRPr="00A428C3">
        <w:rPr>
          <w:i/>
        </w:rPr>
        <w:t>Industrial &amp; Engineering Chemistry Research</w:t>
      </w:r>
      <w:r w:rsidRPr="00A428C3">
        <w:t xml:space="preserve">, </w:t>
      </w:r>
      <w:r w:rsidRPr="00A428C3">
        <w:rPr>
          <w:b/>
        </w:rPr>
        <w:t>44</w:t>
      </w:r>
      <w:r w:rsidRPr="00A428C3">
        <w:t xml:space="preserve"> (10), 3655-3664.</w:t>
      </w:r>
    </w:p>
    <w:p w:rsidR="00B95188" w:rsidRPr="00A428C3" w:rsidRDefault="00B95188" w:rsidP="00B95188">
      <w:pPr>
        <w:pStyle w:val="a0"/>
      </w:pPr>
      <w:r w:rsidRPr="00A428C3">
        <w:t xml:space="preserve">Full Text: </w:t>
      </w:r>
      <w:hyperlink r:id="rId1235" w:history="1">
        <w:r w:rsidRPr="00A428C3">
          <w:rPr>
            <w:rStyle w:val="a5"/>
          </w:rPr>
          <w:t>I\Ind Eng Che Res44, 3655.pdf</w:t>
        </w:r>
      </w:hyperlink>
    </w:p>
    <w:p w:rsidR="00B95188" w:rsidRPr="00A428C3" w:rsidRDefault="00B95188" w:rsidP="00B95188">
      <w:pPr>
        <w:pStyle w:val="a0"/>
      </w:pPr>
      <w:r w:rsidRPr="00A428C3">
        <w:t>Abstract: Municipal solid waste incinerator (MSWI) bottom ash was converted into a low-cost adsorbent, characterized</w:t>
      </w:r>
      <w:r w:rsidR="00F81221">
        <w:t xml:space="preserve"> and </w:t>
      </w:r>
      <w:r w:rsidRPr="00A428C3">
        <w:t>used for the removal of alizarin yellow, fast green,</w:t>
      </w:r>
      <w:r w:rsidR="00F81221">
        <w:t xml:space="preserve"> and </w:t>
      </w:r>
      <w:r w:rsidRPr="00A428C3">
        <w:t>methyl violet from wastewater. The percentages of removal of alizarin yellow (1.0</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4"/>
          <w:attr w:name="UnitName" w:val="m"/>
        </w:smartTagPr>
        <w:r w:rsidRPr="00A428C3">
          <w:rPr>
            <w:vertAlign w:val="superscript"/>
          </w:rPr>
          <w:t>-4</w:t>
        </w:r>
        <w:r w:rsidRPr="00A428C3">
          <w:t xml:space="preserve"> M</w:t>
        </w:r>
      </w:smartTag>
      <w:r w:rsidRPr="00A428C3">
        <w:t>), fast green (1.0</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4"/>
          <w:attr w:name="UnitName" w:val="m"/>
        </w:smartTagPr>
        <w:r w:rsidRPr="00A428C3">
          <w:rPr>
            <w:vertAlign w:val="superscript"/>
          </w:rPr>
          <w:t>-4</w:t>
        </w:r>
        <w:r w:rsidRPr="00A428C3">
          <w:t xml:space="preserve"> M</w:t>
        </w:r>
      </w:smartTag>
      <w:r w:rsidRPr="00A428C3">
        <w:t>),</w:t>
      </w:r>
      <w:r w:rsidR="00F81221">
        <w:t xml:space="preserve"> and </w:t>
      </w:r>
      <w:r w:rsidRPr="00A428C3">
        <w:t>methyl violet (1.0</w:t>
      </w:r>
      <w:r w:rsidRPr="00A428C3">
        <w:sym w:font="Symbol" w:char="F0B4"/>
      </w:r>
      <w:r w:rsidRPr="00A428C3">
        <w:t>10</w:t>
      </w:r>
      <w:smartTag w:uri="urn:schemas-microsoft-com:office:smarttags" w:element="chmetcnv">
        <w:smartTagPr>
          <w:attr w:name="TCSC" w:val="0"/>
          <w:attr w:name="NumberType" w:val="1"/>
          <w:attr w:name="Negative" w:val="True"/>
          <w:attr w:name="HasSpace" w:val="True"/>
          <w:attr w:name="SourceValue" w:val="4"/>
          <w:attr w:name="UnitName" w:val="m"/>
        </w:smartTagPr>
        <w:r w:rsidRPr="00A428C3">
          <w:rPr>
            <w:vertAlign w:val="superscript"/>
          </w:rPr>
          <w:t>-4</w:t>
        </w:r>
        <w:r w:rsidRPr="00A428C3">
          <w:t xml:space="preserve"> M</w:t>
        </w:r>
      </w:smartTag>
      <w:r w:rsidRPr="00A428C3">
        <w:t>) on this adsorbent were 87.5, 97.0,</w:t>
      </w:r>
      <w:r w:rsidR="00F81221">
        <w:t xml:space="preserve"> and </w:t>
      </w:r>
      <w:r w:rsidRPr="00A428C3">
        <w:t xml:space="preserve">73.0, respectively. In batch experiments, parameters studied include the effect of the adsorbate concentration, pH, sorbent dosage, </w:t>
      </w:r>
      <w:r w:rsidRPr="00A428C3">
        <w:lastRenderedPageBreak/>
        <w:t>temperature,</w:t>
      </w:r>
      <w:r w:rsidR="00F81221">
        <w:t xml:space="preserve"> and </w:t>
      </w:r>
      <w:r w:rsidRPr="00A428C3">
        <w:t>contact time. The optimum contact time for all of the three dyes has been found to be 4 h, while the maximum adsorption was observed at pH 5.5, 5.0,</w:t>
      </w:r>
      <w:r w:rsidR="00F81221">
        <w:t xml:space="preserve"> and </w:t>
      </w:r>
      <w:r w:rsidRPr="00A428C3">
        <w:t>8.0 for alizarin yellow, fast green,</w:t>
      </w:r>
      <w:r w:rsidR="00F81221">
        <w:t xml:space="preserve"> and </w:t>
      </w:r>
      <w:r w:rsidRPr="00A428C3">
        <w:t xml:space="preserve">methyl violet, respectively. The adsorbent dose has been optimized as </w:t>
      </w:r>
      <w:smartTag w:uri="urn:schemas-microsoft-com:office:smarttags" w:element="chmetcnv">
        <w:smartTagPr>
          <w:attr w:name="TCSC" w:val="0"/>
          <w:attr w:name="NumberType" w:val="1"/>
          <w:attr w:name="Negative" w:val="False"/>
          <w:attr w:name="HasSpace" w:val="True"/>
          <w:attr w:name="SourceValue" w:val="10"/>
          <w:attr w:name="UnitName" w:val="g"/>
        </w:smartTagPr>
        <w:r w:rsidRPr="00A428C3">
          <w:t>10.0 g</w:t>
        </w:r>
      </w:smartTag>
      <w:r w:rsidRPr="00A428C3">
        <w:t>/L for the three dyes. Kinetic studies showed a rate of adsorption of first order with respect to the dye solution concentration. Adsorption processes were found to be film-diffasion-controlled for all of the three dyes. Thermodynamic parameters such as free energy, enthalpy,</w:t>
      </w:r>
      <w:r w:rsidR="00F81221">
        <w:t xml:space="preserve"> and </w:t>
      </w:r>
      <w:r w:rsidRPr="00A428C3">
        <w:t>entropy of adsorption of the dye-bottom ash systems were also evaluated.</w:t>
      </w:r>
    </w:p>
    <w:p w:rsidR="00B95188" w:rsidRPr="00A428C3" w:rsidRDefault="00B95188" w:rsidP="00B95188">
      <w:pPr>
        <w:pStyle w:val="a0"/>
      </w:pPr>
      <w:r w:rsidRPr="00A428C3">
        <w:t>Keywords: Aluminum-Industry Waste, Activated Carbon, Basic-Dyes, Textile Effluents, Aqueous-Solutions, Methylene-Blue, Color Removal, Rhodamine-B, Solid-Waste, Acid Dyes</w:t>
      </w:r>
    </w:p>
    <w:p w:rsidR="00B95188" w:rsidRPr="00A428C3" w:rsidRDefault="00B95188" w:rsidP="00B95188">
      <w:pPr>
        <w:pStyle w:val="a0"/>
      </w:pPr>
      <w:r w:rsidRPr="00A428C3">
        <w:t xml:space="preserve">? Mohanty, K., Jha, M., </w:t>
      </w:r>
      <w:smartTag w:uri="urn:schemas-microsoft-com:office:smarttags" w:element="City">
        <w:r w:rsidRPr="00A428C3">
          <w:t>Meikap</w:t>
        </w:r>
      </w:smartTag>
      <w:r w:rsidRPr="00A428C3">
        <w:t>, B.C.</w:t>
      </w:r>
      <w:r w:rsidR="00F81221">
        <w:t xml:space="preserve"> and </w:t>
      </w:r>
      <w:r w:rsidRPr="00A428C3">
        <w:t>Biswas, M.N. (2005), Preparation</w:t>
      </w:r>
      <w:r w:rsidR="00F81221">
        <w:t xml:space="preserve"> and </w:t>
      </w:r>
      <w:r w:rsidRPr="00A428C3">
        <w:t xml:space="preserve">characterization of activated carbons from Terminalia arjuna nut with zinc chloride activation for the removal of phenol from wastewater. </w:t>
      </w:r>
      <w:r w:rsidRPr="00A428C3">
        <w:rPr>
          <w:i/>
        </w:rPr>
        <w:t>Industrial &amp; Engineering Chemistry Research</w:t>
      </w:r>
      <w:r w:rsidRPr="00A428C3">
        <w:t xml:space="preserve">, </w:t>
      </w:r>
      <w:r w:rsidRPr="00A428C3">
        <w:rPr>
          <w:b/>
        </w:rPr>
        <w:t>44</w:t>
      </w:r>
      <w:r w:rsidRPr="00A428C3">
        <w:t xml:space="preserve"> (11), 4128-4138.</w:t>
      </w:r>
    </w:p>
    <w:p w:rsidR="00B95188" w:rsidRPr="00A428C3" w:rsidRDefault="00B95188" w:rsidP="00B95188">
      <w:pPr>
        <w:pStyle w:val="a0"/>
      </w:pPr>
      <w:r w:rsidRPr="00A428C3">
        <w:t xml:space="preserve">Full Text: </w:t>
      </w:r>
      <w:hyperlink r:id="rId1236" w:history="1">
        <w:r w:rsidRPr="00A428C3">
          <w:rPr>
            <w:rStyle w:val="a5"/>
          </w:rPr>
          <w:t>I\Ind Eng Che Res44, 4128.pdf</w:t>
        </w:r>
      </w:hyperlink>
    </w:p>
    <w:p w:rsidR="00B95188" w:rsidRPr="00A428C3" w:rsidRDefault="00B95188" w:rsidP="00B95188">
      <w:pPr>
        <w:pStyle w:val="a0"/>
      </w:pPr>
      <w:r w:rsidRPr="00A428C3">
        <w:t>Abstract: Nuts of Terminalia Arjuna, an agricultural waste, were used to prepare activated carbons by zinc chloride activation under four different activation atmospheres, to develop carbons with substantial capability,</w:t>
      </w:r>
      <w:r w:rsidR="00F81221">
        <w:t xml:space="preserve"> and </w:t>
      </w:r>
      <w:r w:rsidRPr="00A428C3">
        <w:t>to adsorb phenol from dilute aqueous solutions. Experiments were carried out at different chemical ratios (activating agent/precursor). Effect of carbonization temperature</w:t>
      </w:r>
      <w:r w:rsidR="00F81221">
        <w:t xml:space="preserve"> and </w:t>
      </w:r>
      <w:r w:rsidRPr="00A428C3">
        <w:t>time are the important variables, which had significant effect on the pore structure of carbon. Developed activated carbon was characterized by SEM analysis. Pore volume</w:t>
      </w:r>
      <w:r w:rsidR="00F81221">
        <w:t xml:space="preserve"> and </w:t>
      </w:r>
      <w:r w:rsidRPr="00A428C3">
        <w:t>surface area were estimated by Hg porosimetry</w:t>
      </w:r>
      <w:r w:rsidR="00F81221">
        <w:t xml:space="preserve"> and </w:t>
      </w:r>
      <w:r w:rsidRPr="00A428C3">
        <w:t>BET surface area analyses. The carbons showed surface area</w:t>
      </w:r>
      <w:r w:rsidR="00F81221">
        <w:t xml:space="preserve"> and </w:t>
      </w:r>
      <w:r w:rsidRPr="00A428C3">
        <w:t xml:space="preserve">micropore volumes of around </w:t>
      </w:r>
      <w:smartTag w:uri="urn:schemas-microsoft-com:office:smarttags" w:element="chmetcnv">
        <w:smartTagPr>
          <w:attr w:name="TCSC" w:val="0"/>
          <w:attr w:name="NumberType" w:val="1"/>
          <w:attr w:name="Negative" w:val="False"/>
          <w:attr w:name="HasSpace" w:val="True"/>
          <w:attr w:name="SourceValue" w:val="1260"/>
          <w:attr w:name="UnitName" w:val="m2"/>
        </w:smartTagPr>
        <w:r w:rsidRPr="00A428C3">
          <w:t>1260 m</w:t>
        </w:r>
        <w:r w:rsidRPr="00A428C3">
          <w:rPr>
            <w:vertAlign w:val="superscript"/>
          </w:rPr>
          <w:t>2</w:t>
        </w:r>
      </w:smartTag>
      <w:r w:rsidRPr="00A428C3">
        <w:t>/g</w:t>
      </w:r>
      <w:r w:rsidR="00F81221">
        <w:t xml:space="preserve"> and </w:t>
      </w:r>
      <w:smartTag w:uri="urn:schemas-microsoft-com:office:smarttags" w:element="chmetcnv">
        <w:smartTagPr>
          <w:attr w:name="TCSC" w:val="0"/>
          <w:attr w:name="NumberType" w:val="1"/>
          <w:attr w:name="Negative" w:val="False"/>
          <w:attr w:name="HasSpace" w:val="True"/>
          <w:attr w:name="SourceValue" w:val="0.522"/>
          <w:attr w:name="UnitName" w:val="cm"/>
        </w:smartTagPr>
        <w:r w:rsidRPr="00A428C3">
          <w:t>0.522 cm</w:t>
        </w:r>
      </w:smartTag>
      <w:r w:rsidRPr="00A428C3">
        <w:rPr>
          <w:vertAlign w:val="superscript"/>
        </w:rPr>
        <w:t>3</w:t>
      </w:r>
      <w:r w:rsidRPr="00A428C3">
        <w:t>/g, respectively. The activated carbon developed shows substantial capability to adsorb phenol from dilute aqueous solutions. The kinetic data were fitted to the models of intraparticle diffusion, pseudo-second-order,</w:t>
      </w:r>
      <w:r w:rsidR="00F81221">
        <w:t xml:space="preserve"> and </w:t>
      </w:r>
      <w:r w:rsidRPr="00A428C3">
        <w:t>Lagergren model which followed more closely the pseudo-second-order chemisorption model. The isotherm equilibrium data were well-fitted by the Langmuir</w:t>
      </w:r>
      <w:r w:rsidR="00F81221">
        <w:t xml:space="preserve"> and </w:t>
      </w:r>
      <w:r w:rsidRPr="00A428C3">
        <w:t xml:space="preserve">Freundlich models. The maximum removal of phenol was obtained at pH 3.5 (about 93 % for adsorbent dose of </w:t>
      </w:r>
      <w:smartTag w:uri="urn:schemas-microsoft-com:office:smarttags" w:element="chmetcnv">
        <w:smartTagPr>
          <w:attr w:name="TCSC" w:val="0"/>
          <w:attr w:name="NumberType" w:val="1"/>
          <w:attr w:name="Negative" w:val="False"/>
          <w:attr w:name="HasSpace" w:val="True"/>
          <w:attr w:name="SourceValue" w:val="10"/>
          <w:attr w:name="UnitName" w:val="g"/>
        </w:smartTagPr>
        <w:r w:rsidRPr="00A428C3">
          <w:t>10 g</w:t>
        </w:r>
      </w:smartTag>
      <w:r w:rsidRPr="00A428C3">
        <w:t>/L</w:t>
      </w:r>
      <w:r w:rsidR="00F81221">
        <w:t xml:space="preserve"> and </w:t>
      </w:r>
      <w:smartTag w:uri="urn:schemas-microsoft-com:office:smarttags" w:element="chmetcnv">
        <w:smartTagPr>
          <w:attr w:name="TCSC" w:val="0"/>
          <w:attr w:name="NumberType" w:val="1"/>
          <w:attr w:name="Negative" w:val="False"/>
          <w:attr w:name="HasSpace" w:val="True"/>
          <w:attr w:name="SourceValue" w:val="100"/>
          <w:attr w:name="UnitName" w:val="g"/>
        </w:smartTagPr>
        <w:r w:rsidRPr="00A428C3">
          <w:t>100 g</w:t>
        </w:r>
      </w:smartTag>
      <w:r w:rsidRPr="00A428C3">
        <w:t>/L initial concentration).</w:t>
      </w:r>
    </w:p>
    <w:p w:rsidR="00B95188" w:rsidRPr="00A428C3" w:rsidRDefault="00B95188" w:rsidP="00B95188">
      <w:pPr>
        <w:pStyle w:val="a0"/>
      </w:pPr>
      <w:r w:rsidRPr="00A428C3">
        <w:t>Keywords: Dilute Aqueous-Solutions, Basic Dye, Adsorption, Bagasse, Stones</w:t>
      </w:r>
    </w:p>
    <w:p w:rsidR="00B95188" w:rsidRPr="00A428C3" w:rsidRDefault="00B95188" w:rsidP="00B95188">
      <w:pPr>
        <w:pStyle w:val="a0"/>
      </w:pPr>
      <w:r w:rsidRPr="00A428C3">
        <w:t>? Wang, R., Liao, X.P.</w:t>
      </w:r>
      <w:r w:rsidR="00F81221">
        <w:t xml:space="preserve"> and </w:t>
      </w:r>
      <w:r w:rsidRPr="00A428C3">
        <w:t>Shi, B. (2005), Adsorption behaviors of Pt(II)</w:t>
      </w:r>
      <w:r w:rsidR="00F81221">
        <w:t xml:space="preserve"> and </w:t>
      </w:r>
      <w:r w:rsidRPr="00A428C3">
        <w:t xml:space="preserve">Pd(II) on collagen fiber immobilized bayberry tannin. </w:t>
      </w:r>
      <w:r w:rsidRPr="00A428C3">
        <w:rPr>
          <w:i/>
        </w:rPr>
        <w:t>Industrial &amp; Engineering Chemistry Research</w:t>
      </w:r>
      <w:r w:rsidRPr="00A428C3">
        <w:t xml:space="preserve">, </w:t>
      </w:r>
      <w:r w:rsidRPr="00A428C3">
        <w:rPr>
          <w:b/>
        </w:rPr>
        <w:t>44</w:t>
      </w:r>
      <w:r w:rsidRPr="00A428C3">
        <w:t xml:space="preserve"> (12), 4221-4226.</w:t>
      </w:r>
    </w:p>
    <w:p w:rsidR="00B95188" w:rsidRPr="00A428C3" w:rsidRDefault="00B95188" w:rsidP="00B95188">
      <w:pPr>
        <w:pStyle w:val="a0"/>
      </w:pPr>
      <w:r w:rsidRPr="00A428C3">
        <w:t xml:space="preserve">Full Text: </w:t>
      </w:r>
      <w:hyperlink r:id="rId1237" w:history="1">
        <w:r w:rsidRPr="00A428C3">
          <w:rPr>
            <w:rStyle w:val="a5"/>
          </w:rPr>
          <w:t>I\Ind Eng Che Res44, 4221.pdf</w:t>
        </w:r>
      </w:hyperlink>
    </w:p>
    <w:p w:rsidR="00B95188" w:rsidRPr="00A428C3" w:rsidRDefault="00B95188" w:rsidP="00B95188">
      <w:pPr>
        <w:pStyle w:val="a0"/>
      </w:pPr>
      <w:r w:rsidRPr="00A428C3">
        <w:t>Abstract: It was found that the collagen fiber immobilized bayberry tannin exhibited high adsorption capacity to Pt(II)</w:t>
      </w:r>
      <w:r w:rsidR="00F81221">
        <w:t xml:space="preserve"> and </w:t>
      </w:r>
      <w:r w:rsidRPr="00A428C3">
        <w:t>Pd(II). The adsorption isotherms of Pt(II)</w:t>
      </w:r>
      <w:r w:rsidR="00F81221">
        <w:t xml:space="preserve"> and </w:t>
      </w:r>
      <w:r w:rsidRPr="00A428C3">
        <w:lastRenderedPageBreak/>
        <w:t>Pd(II) could be well described by the Langmuir equation,</w:t>
      </w:r>
      <w:r w:rsidR="00F81221">
        <w:t xml:space="preserve"> and </w:t>
      </w:r>
      <w:r w:rsidRPr="00A428C3">
        <w:t>their adsorption capacities increased with the rise of temperature. The adsorption kinetics investigations indicated that the adsorption rate of Pt(II)</w:t>
      </w:r>
      <w:r w:rsidR="00F81221">
        <w:t xml:space="preserve"> and </w:t>
      </w:r>
      <w:r w:rsidRPr="00A428C3">
        <w:t>Pd(II) on the immobilized bayberry tannin could be well described by the pseudo-second-order rate model,</w:t>
      </w:r>
      <w:r w:rsidR="00F81221">
        <w:t xml:space="preserve"> and </w:t>
      </w:r>
      <w:r w:rsidRPr="00A428C3">
        <w:t>the adsorption capacities calculated by the pseudo-second-order rate model were close to those determined by actual measurement. The adsorption column could be easily regenerated by dilute HCl solution after adsorption of Pd(II), but it was somewhat difficult to regenerate the adsorption column after adsorption of Pt(II). The influence of pH value on the adsorption of Pd(II)</w:t>
      </w:r>
      <w:r w:rsidR="00F81221">
        <w:t xml:space="preserve"> and </w:t>
      </w:r>
      <w:r w:rsidRPr="00A428C3">
        <w:t>Pt(II) was not significant,</w:t>
      </w:r>
      <w:r w:rsidR="00F81221">
        <w:t xml:space="preserve"> and </w:t>
      </w:r>
      <w:r w:rsidRPr="00A428C3">
        <w:t>the immobilized bayberry tannin kept high adsorption capacity for these two precious metal ions even at acidic pH. In consideration of this fact, the studies on selective adsorption of Pt(II)</w:t>
      </w:r>
      <w:r w:rsidR="00F81221">
        <w:t xml:space="preserve"> and </w:t>
      </w:r>
      <w:r w:rsidRPr="00A428C3">
        <w:t>Pd(II) from the mixture solution containing Fe(III), Cu(II), Ni(II),</w:t>
      </w:r>
      <w:r w:rsidR="00F81221">
        <w:t xml:space="preserve"> and </w:t>
      </w:r>
      <w:r w:rsidRPr="00A428C3">
        <w:t>Zn(II) were carried out by using immobilized bayberry tannin. The experimental results indicated that the adsorption selectivity of the immobilized bayberry tannin to Pt(II)</w:t>
      </w:r>
      <w:r w:rsidR="00F81221">
        <w:t xml:space="preserve"> and </w:t>
      </w:r>
      <w:r w:rsidRPr="00A428C3">
        <w:t>Pd(II) was remarkable at pH 2.0.</w:t>
      </w:r>
    </w:p>
    <w:p w:rsidR="00B95188" w:rsidRPr="00A428C3" w:rsidRDefault="00B95188" w:rsidP="00B95188">
      <w:pPr>
        <w:pStyle w:val="a0"/>
      </w:pPr>
      <w:r w:rsidRPr="00A428C3">
        <w:t>Keywords: Palladium(II), Biosorption, Gold(III), Recovery, Polymers, Removal, Copper, Resin</w:t>
      </w:r>
    </w:p>
    <w:p w:rsidR="00B95188" w:rsidRPr="00A428C3" w:rsidRDefault="00B95188" w:rsidP="00B95188">
      <w:pPr>
        <w:pStyle w:val="a0"/>
      </w:pPr>
      <w:r w:rsidRPr="00A428C3">
        <w:t>? Öncel, Ş., Uzun, L., Garipcan, B.</w:t>
      </w:r>
      <w:r w:rsidR="00F81221">
        <w:t xml:space="preserve"> and </w:t>
      </w:r>
      <w:r w:rsidRPr="00A428C3">
        <w:t xml:space="preserve">Denizli, A. (2005), Synthesis of phenylalanine-containing hydrophobic beads for lysozyme adsorption. </w:t>
      </w:r>
      <w:r w:rsidRPr="00A428C3">
        <w:rPr>
          <w:i/>
        </w:rPr>
        <w:t>Industrial &amp; Engineering Chemistry Research</w:t>
      </w:r>
      <w:r w:rsidRPr="00A428C3">
        <w:t xml:space="preserve">, </w:t>
      </w:r>
      <w:r w:rsidRPr="00A428C3">
        <w:rPr>
          <w:b/>
        </w:rPr>
        <w:t>44</w:t>
      </w:r>
      <w:r w:rsidRPr="00A428C3">
        <w:t xml:space="preserve"> (18), 7049-7056.</w:t>
      </w:r>
    </w:p>
    <w:p w:rsidR="00B95188" w:rsidRPr="00A428C3" w:rsidRDefault="00B95188" w:rsidP="00B95188">
      <w:pPr>
        <w:pStyle w:val="a0"/>
      </w:pPr>
      <w:r w:rsidRPr="00A428C3">
        <w:t xml:space="preserve">Full Text: </w:t>
      </w:r>
      <w:hyperlink r:id="rId1238" w:history="1">
        <w:r w:rsidRPr="00A428C3">
          <w:rPr>
            <w:rStyle w:val="a5"/>
          </w:rPr>
          <w:t>2005\Ind Eng Che Res44, 7049.pdf</w:t>
        </w:r>
      </w:hyperlink>
    </w:p>
    <w:p w:rsidR="00B95188" w:rsidRPr="00A428C3" w:rsidRDefault="00B95188" w:rsidP="00B95188">
      <w:pPr>
        <w:pStyle w:val="a0"/>
      </w:pPr>
      <w:r w:rsidRPr="00A428C3">
        <w:t>Abstract: Hydrophobic interaction chromatography (HIC) takes advantage of the hydrophobicity of proteins by promoting its separation on the basis of hydrophobic interactions between immobilized hydrophobic ligands</w:t>
      </w:r>
      <w:r w:rsidR="00F81221">
        <w:t xml:space="preserve"> and </w:t>
      </w:r>
      <w:r w:rsidRPr="00A428C3">
        <w:t>nonpolar regions on the surface of the proteins. In this study, poly(2-hydroxyethyl methacrylate) poly(HEMA) beads having methacryloylamido-phenylalanine (MAPA) ligand, as a comonomer, providing hydrophobic functionality to the adsorbent were prepared. MAPA was synthesized by reacting methacryloyl chloride with L-phenylalanine. Spherical beads with an average size of 150-200 μm were obtained by suspension polymerization of HEMA</w:t>
      </w:r>
      <w:r w:rsidR="00F81221">
        <w:t xml:space="preserve"> and </w:t>
      </w:r>
      <w:r w:rsidRPr="00A428C3">
        <w:t xml:space="preserve">MAPA, conducted in an aqueous dispersion medium. The beads had a specific surface area of </w:t>
      </w:r>
      <w:smartTag w:uri="urn:schemas-microsoft-com:office:smarttags" w:element="chmetcnv">
        <w:smartTagPr>
          <w:attr w:name="TCSC" w:val="0"/>
          <w:attr w:name="NumberType" w:val="1"/>
          <w:attr w:name="Negative" w:val="False"/>
          <w:attr w:name="HasSpace" w:val="True"/>
          <w:attr w:name="SourceValue" w:val="19.1"/>
          <w:attr w:name="UnitName" w:val="m2"/>
        </w:smartTagPr>
        <w:r w:rsidRPr="00A428C3">
          <w:t>19.1 m</w:t>
        </w:r>
        <w:r w:rsidRPr="00A428C3">
          <w:rPr>
            <w:vertAlign w:val="superscript"/>
          </w:rPr>
          <w:t>2</w:t>
        </w:r>
      </w:smartTag>
      <w:r w:rsidRPr="00A428C3">
        <w:t>/g,</w:t>
      </w:r>
      <w:r w:rsidR="00F81221">
        <w:t xml:space="preserve"> and </w:t>
      </w:r>
      <w:r w:rsidRPr="00A428C3">
        <w:t>were characterized by means of swelling studies, pore size analysis, elemental analysis, FTIR, NMR,</w:t>
      </w:r>
      <w:r w:rsidR="00F81221">
        <w:t xml:space="preserve"> and </w:t>
      </w:r>
      <w:r w:rsidRPr="00A428C3">
        <w:t>SEM. Beads with a swelling ratio of 68%</w:t>
      </w:r>
      <w:r w:rsidR="00F81221">
        <w:t xml:space="preserve"> and </w:t>
      </w:r>
      <w:r w:rsidRPr="00A428C3">
        <w:t>containing 3.2 mmol MAPA/g were used for the separation of lysozyme. Adsorption. studies were performed under different conditions in a batch system (i.e., medium pH, protein concentration, temperature,</w:t>
      </w:r>
      <w:r w:rsidR="00F81221">
        <w:t xml:space="preserve"> and </w:t>
      </w:r>
      <w:r w:rsidRPr="00A428C3">
        <w:t>ionic strength). Lysozyme adsorption capacity of poly(HEAU)</w:t>
      </w:r>
      <w:r w:rsidR="00F81221">
        <w:t xml:space="preserve"> and </w:t>
      </w:r>
      <w:r w:rsidRPr="00A428C3">
        <w:t>poly(HEMA-MAPA) beads were 2.1</w:t>
      </w:r>
      <w:r w:rsidR="00F81221">
        <w:t xml:space="preserve"> and </w:t>
      </w:r>
      <w:r w:rsidRPr="00A428C3">
        <w:t xml:space="preserve">114.3 mg/g, respectively. It was observed that after 5 adsorption-desorption cycles poly(HEMA-MAPA) beads can be used without significant loss in lysozyme adsorption capacity. Purification of lysozyme </w:t>
      </w:r>
      <w:r w:rsidRPr="00A428C3">
        <w:lastRenderedPageBreak/>
        <w:t>from egg white was also investigated. Purification of lysozyme was monitored by determining the lysozyme activity using Micrococcus lysodeikticus as substrate. The purity of the desorbed lysozyme was about 82% with recovery about 74%. The specific activity of the desorbed lysozyme was high as 42.800 U/mg.</w:t>
      </w:r>
    </w:p>
    <w:p w:rsidR="00B95188" w:rsidRPr="00A428C3" w:rsidRDefault="00B95188" w:rsidP="00B95188">
      <w:pPr>
        <w:pStyle w:val="a0"/>
      </w:pPr>
      <w:r w:rsidRPr="00A428C3">
        <w:t>Keywords: Charge Induction Chromatography, Chelate Affinity Adsorbent, Separation, Phase, Ultrafiltration, Purification, Membrane, Proteins</w:t>
      </w:r>
    </w:p>
    <w:p w:rsidR="00B95188" w:rsidRPr="00A428C3" w:rsidRDefault="00B95188" w:rsidP="00B95188">
      <w:pPr>
        <w:pStyle w:val="a0"/>
      </w:pPr>
      <w:r w:rsidRPr="00A428C3">
        <w:t xml:space="preserve">? </w:t>
      </w:r>
      <w:smartTag w:uri="urn:schemas-microsoft-com:office:smarttags" w:element="City">
        <w:r w:rsidRPr="00A428C3">
          <w:t>Diaz-Flores</w:t>
        </w:r>
      </w:smartTag>
      <w:r w:rsidRPr="00A428C3">
        <w:t>, P.E., Leyva-Ramos, R., Guerrero-Coronado, R.M.</w:t>
      </w:r>
      <w:r w:rsidR="00F81221">
        <w:t xml:space="preserve"> and </w:t>
      </w:r>
      <w:r w:rsidRPr="00A428C3">
        <w:t xml:space="preserve">Mendoza-Barron, J. (2006), Adsorption of pentachlorophenol from aqueous solution onto activated carbon fiber. </w:t>
      </w:r>
      <w:r w:rsidRPr="00A428C3">
        <w:rPr>
          <w:i/>
        </w:rPr>
        <w:t>Industrial &amp; Engineering Chemistry Research</w:t>
      </w:r>
      <w:r w:rsidRPr="00A428C3">
        <w:t xml:space="preserve">, </w:t>
      </w:r>
      <w:r w:rsidRPr="00A428C3">
        <w:rPr>
          <w:b/>
        </w:rPr>
        <w:t>45</w:t>
      </w:r>
      <w:r w:rsidRPr="00A428C3">
        <w:t xml:space="preserve"> (1), 330-336.</w:t>
      </w:r>
    </w:p>
    <w:p w:rsidR="00B95188" w:rsidRPr="00A428C3" w:rsidRDefault="00B95188" w:rsidP="00B95188">
      <w:pPr>
        <w:pStyle w:val="a0"/>
      </w:pPr>
      <w:r w:rsidRPr="00A428C3">
        <w:t xml:space="preserve">Full Text: </w:t>
      </w:r>
      <w:hyperlink r:id="rId1239" w:history="1">
        <w:r w:rsidRPr="00A428C3">
          <w:rPr>
            <w:rStyle w:val="a5"/>
          </w:rPr>
          <w:t>2006\Ind Eng Che Res45, 330.pdf</w:t>
        </w:r>
      </w:hyperlink>
    </w:p>
    <w:p w:rsidR="00B95188" w:rsidRPr="00A428C3" w:rsidRDefault="00B95188" w:rsidP="00B95188">
      <w:pPr>
        <w:pStyle w:val="a0"/>
      </w:pPr>
      <w:r w:rsidRPr="00A13428">
        <w:t>Abstract:</w:t>
      </w:r>
      <w:r w:rsidRPr="00A428C3">
        <w:t xml:space="preserve"> Experimental data for the equilibrium adsorption of pentachlorophenol (PCP) onto activated carbon fibers (ACFs) in the form of felt (AC-felt)</w:t>
      </w:r>
      <w:r w:rsidR="00F81221">
        <w:t xml:space="preserve"> and </w:t>
      </w:r>
      <w:r w:rsidRPr="00A428C3">
        <w:t>cloth (AC-cloth) were obtained in a batch adsorber. The effect of pH on the adsorption capacity was investigated by determining the adsorption isotherm in the pH range from 6 to 12. It was found that the adsorption capacity was reduced upon increasing the pH from 6 to 12. The speciation diagram of PCP revealed that PCP was adsorbed on the ACFs as the pentachlorophenolate ion. The adsorption capacity was diminished slightly upon increasing the temperature from 15 to 35 degrees C. The adsorption of PCP on AC-felt was due to dispersion forces caused by pi-pi interactions. These interactions explained why the adsorption of PCP on the AC-felt was reversible. Also, the adsorption capacity of the AC-felt was 1.7 times higher than that of the AC-cloth because the AC-felt contained a greater concentration of basic sites that made the pi-pi interactions stronger. It was concluded that PCP was adsorbed considerably on the ACFs</w:t>
      </w:r>
      <w:r w:rsidR="00F81221">
        <w:t xml:space="preserve"> and </w:t>
      </w:r>
      <w:r w:rsidRPr="00A428C3">
        <w:t>that the adsorption capacity was highly dependent on the form</w:t>
      </w:r>
      <w:r w:rsidR="00F81221">
        <w:t xml:space="preserve"> and </w:t>
      </w:r>
      <w:r w:rsidRPr="00A428C3">
        <w:t>properties of the ACFs as well as the solution pH.</w:t>
      </w:r>
    </w:p>
    <w:p w:rsidR="00B95188" w:rsidRPr="00A428C3" w:rsidRDefault="00B95188" w:rsidP="00B95188">
      <w:pPr>
        <w:pStyle w:val="a0"/>
      </w:pPr>
      <w:r w:rsidRPr="00A13428">
        <w:t>Keywords:</w:t>
      </w:r>
      <w:r w:rsidRPr="00A428C3">
        <w:t xml:space="preserve"> Sorption, Water, Cloth, Chlorophenols, Chemistry, Atrazine, Removal, Phenol</w:t>
      </w:r>
    </w:p>
    <w:p w:rsidR="00B95188" w:rsidRPr="00A428C3" w:rsidRDefault="00B95188" w:rsidP="00B95188">
      <w:pPr>
        <w:pStyle w:val="a0"/>
      </w:pPr>
      <w:r w:rsidRPr="00A428C3">
        <w:t xml:space="preserve">? Hu, Q.H., Qiao, S.Z., Haghseresht, F., </w:t>
      </w:r>
      <w:smartTag w:uri="urn:schemas-microsoft-com:office:smarttags" w:element="City">
        <w:smartTag w:uri="urn:schemas-microsoft-com:office:smarttags" w:element="place">
          <w:r w:rsidRPr="00A428C3">
            <w:t>Wilson</w:t>
          </w:r>
        </w:smartTag>
      </w:smartTag>
      <w:r w:rsidRPr="00A428C3">
        <w:t>, M.A.</w:t>
      </w:r>
      <w:r w:rsidR="00F81221">
        <w:t xml:space="preserve"> and </w:t>
      </w:r>
      <w:r w:rsidRPr="00A428C3">
        <w:t xml:space="preserve">Lu, G.Q. (2006), </w:t>
      </w:r>
      <w:r w:rsidRPr="00A428C3">
        <w:rPr>
          <w:szCs w:val="36"/>
        </w:rPr>
        <w:t>Adsorption study for removal of basic red dye using bentonite</w:t>
      </w:r>
      <w:r w:rsidRPr="00A428C3">
        <w:t xml:space="preserve">. </w:t>
      </w:r>
      <w:r w:rsidRPr="00A428C3">
        <w:rPr>
          <w:i/>
        </w:rPr>
        <w:t>Industrial &amp; Engineering Chemistry Research</w:t>
      </w:r>
      <w:r w:rsidRPr="00A428C3">
        <w:t xml:space="preserve">, </w:t>
      </w:r>
      <w:r w:rsidRPr="00A428C3">
        <w:rPr>
          <w:b/>
        </w:rPr>
        <w:t>45</w:t>
      </w:r>
      <w:r w:rsidRPr="00A428C3">
        <w:t xml:space="preserve"> (2), 733-738.</w:t>
      </w:r>
    </w:p>
    <w:p w:rsidR="00B95188" w:rsidRPr="00A428C3" w:rsidRDefault="00B95188" w:rsidP="00B95188">
      <w:pPr>
        <w:pStyle w:val="a0"/>
      </w:pPr>
      <w:r w:rsidRPr="00A428C3">
        <w:t xml:space="preserve">Full Text: </w:t>
      </w:r>
      <w:hyperlink r:id="rId1240" w:history="1">
        <w:r w:rsidRPr="00A428C3">
          <w:rPr>
            <w:rStyle w:val="a5"/>
          </w:rPr>
          <w:t>2006\Ind Eng Che Res45, 733.pdf</w:t>
        </w:r>
      </w:hyperlink>
    </w:p>
    <w:p w:rsidR="00B95188" w:rsidRPr="00A428C3" w:rsidRDefault="00B95188" w:rsidP="00B95188">
      <w:pPr>
        <w:pStyle w:val="a0"/>
      </w:pPr>
      <w:r w:rsidRPr="00A428C3">
        <w:t xml:space="preserve">Abstract: Colored wastewater poses a challenge to the conventional wastewater treatment techniques. Solid-liquid phase adsorption has been found to be effective for the removal of dyes from effluent. In this paper, the ability of bentonite as an adsorbent for the removal of a commercial dye, Basic Red 2 (BR2), from an aqueous solution has been investigated under various experimental conditions. The adsorption kinetics was shown to be pseudo-second-order. It was found that bentonite had high adsorption capacity for BR2 due to cation exchange. The adsorption equilibrium data can be fitted well by the Langmuir adsorption isotherm model. The effect of the </w:t>
      </w:r>
      <w:r w:rsidRPr="00A428C3">
        <w:lastRenderedPageBreak/>
        <w:t>experimental parameters, such as temperature, salt,</w:t>
      </w:r>
      <w:r w:rsidR="00F81221">
        <w:t xml:space="preserve"> and </w:t>
      </w:r>
      <w:r w:rsidRPr="00A428C3">
        <w:t>pH was investigated through a number of batch adsorption experiments. It was found that the removal of dye increased with the increase in solution pH. However, the change of temperature (15</w:t>
      </w:r>
      <w:smartTag w:uri="urn:schemas-microsoft-com:office:smarttags" w:element="chmetcnv">
        <w:smartTagPr>
          <w:attr w:name="TCSC" w:val="0"/>
          <w:attr w:name="NumberType" w:val="1"/>
          <w:attr w:name="Negative" w:val="True"/>
          <w:attr w:name="HasSpace" w:val="False"/>
          <w:attr w:name="SourceValue" w:val="45"/>
          <w:attr w:name="UnitName" w:val="C"/>
        </w:smartTagPr>
        <w:r w:rsidRPr="00A428C3">
          <w:t xml:space="preserve">-45 </w:t>
        </w:r>
      </w:smartTag>
      <w:r w:rsidRPr="00A428C3">
        <w:sym w:font="Symbol" w:char="F0B0"/>
      </w:r>
      <w:r w:rsidRPr="00A428C3">
        <w:t>C)</w:t>
      </w:r>
      <w:r w:rsidR="00F81221">
        <w:t xml:space="preserve"> and </w:t>
      </w:r>
      <w:r w:rsidRPr="00A428C3">
        <w:t>the addition of sodium chloride were found to have little effect on the adsorption process. The results show that electrostatic interactions are not dominant in the interaction between BR2</w:t>
      </w:r>
      <w:r w:rsidR="00F81221">
        <w:t xml:space="preserve"> and </w:t>
      </w:r>
      <w:r w:rsidRPr="00A428C3">
        <w:t>bentonite. It was found that the adsorption was a rapid process with 80-90% of the dye removed within the first 2-3 min. Bentonite as an adsorbent is promising for color removal from wastewater.</w:t>
      </w:r>
    </w:p>
    <w:p w:rsidR="00B95188" w:rsidRPr="00A428C3" w:rsidRDefault="00B95188" w:rsidP="00B95188">
      <w:pPr>
        <w:pStyle w:val="a0"/>
      </w:pPr>
      <w:r w:rsidRPr="00A428C3">
        <w:t>? Gupta, V.K., Mohan, D., Suhas</w:t>
      </w:r>
      <w:r w:rsidR="00F81221">
        <w:t xml:space="preserve"> and </w:t>
      </w:r>
      <w:r w:rsidRPr="00A428C3">
        <w:t xml:space="preserve">Singh, K.P. (2006), Removal of 2-aminophenol using novel adsorbents. </w:t>
      </w:r>
      <w:r w:rsidRPr="00A428C3">
        <w:rPr>
          <w:i/>
        </w:rPr>
        <w:t>Industrial &amp; Engineering Chemistry Research</w:t>
      </w:r>
      <w:r w:rsidRPr="00A428C3">
        <w:t xml:space="preserve">, </w:t>
      </w:r>
      <w:r w:rsidRPr="00A428C3">
        <w:rPr>
          <w:b/>
        </w:rPr>
        <w:t>45</w:t>
      </w:r>
      <w:r w:rsidRPr="00A428C3">
        <w:t xml:space="preserve"> (3), 1113-1122.</w:t>
      </w:r>
    </w:p>
    <w:p w:rsidR="00B95188" w:rsidRPr="00A428C3" w:rsidRDefault="00B95188" w:rsidP="00B95188">
      <w:pPr>
        <w:pStyle w:val="a0"/>
      </w:pPr>
      <w:r w:rsidRPr="00A428C3">
        <w:t xml:space="preserve">Full Text: </w:t>
      </w:r>
      <w:hyperlink r:id="rId1241" w:history="1">
        <w:r w:rsidRPr="00A428C3">
          <w:rPr>
            <w:rStyle w:val="a5"/>
          </w:rPr>
          <w:t>2006\Ind Eng Che Res45, 1113.pdf</w:t>
        </w:r>
      </w:hyperlink>
    </w:p>
    <w:p w:rsidR="00B95188" w:rsidRPr="00A428C3" w:rsidRDefault="00B95188" w:rsidP="00B95188">
      <w:pPr>
        <w:pStyle w:val="a0"/>
      </w:pPr>
      <w:r w:rsidRPr="00A13428">
        <w:t>Abstract:</w:t>
      </w:r>
      <w:r w:rsidRPr="00A428C3">
        <w:t xml:space="preserve"> Removal of toxic substances from wastewaters using low-cost alternatives to activated carbon is an important area in environmental sciences. Efforts have been made to convert a fertilizer waste</w:t>
      </w:r>
      <w:r w:rsidR="00F81221">
        <w:t xml:space="preserve"> and </w:t>
      </w:r>
      <w:r w:rsidRPr="00A428C3">
        <w:t>a steel industry waste into low-cost potential adsorbents. The developed products have been used for the removal of 2-aminophenol from aqueous solutions</w:t>
      </w:r>
      <w:r w:rsidR="00F81221">
        <w:t xml:space="preserve"> and </w:t>
      </w:r>
      <w:r w:rsidRPr="00A428C3">
        <w:t>wastewaters. Studies were conducted to delineate the effects of temperature, initial absorbate concentration, particle size of the adsorbent,</w:t>
      </w:r>
      <w:r w:rsidR="00F81221">
        <w:t xml:space="preserve"> and </w:t>
      </w:r>
      <w:r w:rsidRPr="00A428C3">
        <w:t>solid-to-liquid ratio. Equilibrium isotherms were determined at selected pH</w:t>
      </w:r>
      <w:r w:rsidR="000352E7">
        <w:t>’</w:t>
      </w:r>
      <w:r w:rsidRPr="00A428C3">
        <w:t>s to assess the maximum adsorption capacity of the adsorbents. Both Freundlich</w:t>
      </w:r>
      <w:r w:rsidR="00F81221">
        <w:t xml:space="preserve"> and </w:t>
      </w:r>
      <w:r w:rsidRPr="00A428C3">
        <w:t>Langmuir models were used to interpret the adsorption data. The adsorption of 2-aminophenol is an endothermic process. Kinetic studies were performed,</w:t>
      </w:r>
      <w:r w:rsidR="00F81221">
        <w:t xml:space="preserve"> and </w:t>
      </w:r>
      <w:r w:rsidRPr="00A428C3">
        <w:t>various parameters such as mass transfer coefficient, effective diffusion coefficient, activation energy,</w:t>
      </w:r>
      <w:r w:rsidR="00F81221">
        <w:t xml:space="preserve"> and </w:t>
      </w:r>
      <w:r w:rsidRPr="00A428C3">
        <w:t>entropy of activation were evaluated to establish the mechanism of removal. Column studies were performed,</w:t>
      </w:r>
      <w:r w:rsidR="00F81221">
        <w:t xml:space="preserve"> and </w:t>
      </w:r>
      <w:r w:rsidRPr="00A428C3">
        <w:t>the breakthrough curves were used to optimize the contactors</w:t>
      </w:r>
      <w:r w:rsidR="00F81221">
        <w:t xml:space="preserve"> and </w:t>
      </w:r>
      <w:r w:rsidRPr="00A428C3">
        <w:t>identify a design correlation. Some feasibility experiments were also carried out with an aim to recover 2-aminophenol</w:t>
      </w:r>
      <w:r w:rsidR="00F81221">
        <w:t xml:space="preserve"> and </w:t>
      </w:r>
      <w:r w:rsidRPr="00A428C3">
        <w:t>demonstrate chemical regeneration of the spent columns. The column capacities of 312</w:t>
      </w:r>
      <w:r w:rsidR="00F81221">
        <w:t xml:space="preserve"> and </w:t>
      </w:r>
      <w:r w:rsidRPr="00A428C3">
        <w:t>30.00 mg/g were more than the batch capacities, which. were 80.75</w:t>
      </w:r>
      <w:r w:rsidR="00F81221">
        <w:t xml:space="preserve"> and </w:t>
      </w:r>
      <w:r w:rsidRPr="00A428C3">
        <w:t>28.37 mg/g for activated carbon</w:t>
      </w:r>
      <w:r w:rsidR="00F81221">
        <w:t xml:space="preserve"> and </w:t>
      </w:r>
      <w:r w:rsidRPr="00A428C3">
        <w:t>activated slag, respectively. Overall, activated carbon developed from fertilizer waste exhibits better performance than activated slag developed from blast furnace slag.</w:t>
      </w:r>
    </w:p>
    <w:p w:rsidR="00B95188" w:rsidRPr="00A428C3" w:rsidRDefault="00B95188" w:rsidP="00B95188">
      <w:pPr>
        <w:pStyle w:val="a0"/>
      </w:pPr>
      <w:r w:rsidRPr="00A13428">
        <w:t>Keywords:</w:t>
      </w:r>
      <w:r w:rsidRPr="00A428C3">
        <w:t xml:space="preserve"> Liquid-Phase Adsorption, Blast-Furnace Waste, Activated Carbon, Equilibrium Uptake, Sorption Dynamics, Fertilizer Waste, Aqueous-Solution, Column Operations, Water, Phenol</w:t>
      </w:r>
    </w:p>
    <w:p w:rsidR="00B95188" w:rsidRPr="00A428C3" w:rsidRDefault="00B95188" w:rsidP="00B95188">
      <w:pPr>
        <w:pStyle w:val="a0"/>
      </w:pPr>
      <w:r w:rsidRPr="00A428C3">
        <w:t>? Gupta, V.K., Mittal, A., Gajbe, V.</w:t>
      </w:r>
      <w:r w:rsidR="00F81221">
        <w:t xml:space="preserve"> and </w:t>
      </w:r>
      <w:r w:rsidRPr="00A428C3">
        <w:t>Mittal, J. (2006), Removal</w:t>
      </w:r>
      <w:r w:rsidR="00F81221">
        <w:t xml:space="preserve"> and </w:t>
      </w:r>
      <w:r w:rsidRPr="00A428C3">
        <w:t>recovery of the hazardous azo dye acid orange 7 through adsorption over waste materials: Bottom ash</w:t>
      </w:r>
      <w:r w:rsidR="00F81221">
        <w:t xml:space="preserve"> and </w:t>
      </w:r>
      <w:r w:rsidRPr="00A428C3">
        <w:t xml:space="preserve">de-oiled soya. </w:t>
      </w:r>
      <w:r w:rsidRPr="00A428C3">
        <w:rPr>
          <w:i/>
          <w:iCs/>
        </w:rPr>
        <w:t>Industrial &amp; Engineering Chemistry Research</w:t>
      </w:r>
      <w:r w:rsidRPr="00A428C3">
        <w:t xml:space="preserve">, </w:t>
      </w:r>
      <w:r w:rsidRPr="00A428C3">
        <w:rPr>
          <w:b/>
        </w:rPr>
        <w:t>45</w:t>
      </w:r>
      <w:r w:rsidRPr="00A428C3">
        <w:t xml:space="preserve"> (4), 1446-1453.</w:t>
      </w:r>
    </w:p>
    <w:p w:rsidR="00B95188" w:rsidRPr="00A428C3" w:rsidRDefault="00B95188" w:rsidP="00B95188">
      <w:pPr>
        <w:pStyle w:val="a0"/>
      </w:pPr>
      <w:r w:rsidRPr="00A428C3">
        <w:lastRenderedPageBreak/>
        <w:t xml:space="preserve">Full Text: </w:t>
      </w:r>
      <w:hyperlink r:id="rId1242" w:history="1">
        <w:r w:rsidRPr="00A428C3">
          <w:rPr>
            <w:rStyle w:val="a5"/>
          </w:rPr>
          <w:t>2006\Ind Eng Che Res45, 1446.pdf</w:t>
        </w:r>
      </w:hyperlink>
    </w:p>
    <w:p w:rsidR="00B95188" w:rsidRPr="00A428C3" w:rsidRDefault="00B95188" w:rsidP="00B95188">
      <w:pPr>
        <w:pStyle w:val="a0"/>
      </w:pPr>
      <w:r w:rsidRPr="00A428C3">
        <w:t>Abstract: An azo dye, Acid Orange 7 [p-(2-hydroxy-1 naphthylazo)benzene sulfonic acid] was removed by adsorption over two waste materials, namely, bottom ash, a power plant waste,</w:t>
      </w:r>
      <w:r w:rsidR="00F81221">
        <w:t xml:space="preserve"> and </w:t>
      </w:r>
      <w:r w:rsidRPr="00A428C3">
        <w:t>de-oiled soya, byproduct obtained during the processing of soybean in soya oil extraction mills. Both waste materials showed excellent adsorption abilities</w:t>
      </w:r>
      <w:r w:rsidR="00F81221">
        <w:t xml:space="preserve"> and </w:t>
      </w:r>
      <w:r w:rsidRPr="00A428C3">
        <w:t>can be treated as low-cost adsorbents. The adsorbents were characterized through IR spectroscopy</w:t>
      </w:r>
      <w:r w:rsidR="00F81221">
        <w:t xml:space="preserve"> and </w:t>
      </w:r>
      <w:r w:rsidRPr="00A428C3">
        <w:t>differential thermal analysis (I)TA),</w:t>
      </w:r>
      <w:r w:rsidR="00F81221">
        <w:t xml:space="preserve"> and </w:t>
      </w:r>
      <w:r w:rsidRPr="00A428C3">
        <w:t>preliminary investigations were carried out by batch adsorption to examine the effects of pH, adsorbate concentration, sieve size, adsorbent dosage, contact time,</w:t>
      </w:r>
      <w:r w:rsidR="00F81221">
        <w:t xml:space="preserve"> and </w:t>
      </w:r>
      <w:r w:rsidRPr="00A428C3">
        <w:t>temperature. A plausible mechanism for the ongoing adsorption process</w:t>
      </w:r>
      <w:r w:rsidR="00F81221">
        <w:t xml:space="preserve"> and </w:t>
      </w:r>
      <w:r w:rsidRPr="00A428C3">
        <w:t>thermodynamic parameters were also obtained from Langmuir</w:t>
      </w:r>
      <w:r w:rsidR="00F81221">
        <w:t xml:space="preserve"> and </w:t>
      </w:r>
      <w:r w:rsidRPr="00A428C3">
        <w:t>Freundlich adsorption isotherm models. The kinetic measurements helped in determining the specific rate constant, confirming the applicability of the first-order rate expression. To identify whether the ongoing process is particle diffusion or film diffusion, the treatments given by Boyd et al. (Boyd, G. E.; Adamson, A. W.; Meyers, L. S. J. Am. Chem. Soc. 1947, 69, 2836)</w:t>
      </w:r>
      <w:r w:rsidR="00F81221">
        <w:t xml:space="preserve"> and </w:t>
      </w:r>
      <w:r w:rsidRPr="00A428C3">
        <w:t>Reichenberg (Reichenberg, D. J. Am. Chem. Soc. 1953, 75, 589) were employed. To assess the practical utility of the adsorbents, a fixed-bed column was designed,</w:t>
      </w:r>
      <w:r w:rsidR="00F81221">
        <w:t xml:space="preserve"> and </w:t>
      </w:r>
      <w:r w:rsidRPr="00A428C3">
        <w:t>necessary parameters were calculated by applying a mass-transfer kinetic approach. Experiments were also performed for the recovery of loaded dye through chemical regeneration of spent columns,</w:t>
      </w:r>
      <w:r w:rsidR="00F81221">
        <w:t xml:space="preserve"> and </w:t>
      </w:r>
      <w:r w:rsidRPr="00A428C3">
        <w:t>an estimate of the operating costs was also calculated.</w:t>
      </w:r>
    </w:p>
    <w:p w:rsidR="00B95188" w:rsidRPr="00A428C3" w:rsidRDefault="00B95188" w:rsidP="00B95188">
      <w:pPr>
        <w:pStyle w:val="a0"/>
      </w:pPr>
      <w:r w:rsidRPr="00A428C3">
        <w:t>Keywords: Acid-Orange-7, Adsorption, Azo Dye, Decolorization, Degradation, Dye, Dyestuffs, Langmuir, Malachite Green, Water</w:t>
      </w:r>
    </w:p>
    <w:p w:rsidR="00B95188" w:rsidRPr="00A428C3" w:rsidRDefault="00B95188" w:rsidP="00B95188">
      <w:pPr>
        <w:pStyle w:val="a0"/>
      </w:pPr>
      <w:r w:rsidRPr="00A428C3">
        <w:t>? Andaç, M., Özyapi, E., Şenel, S., Say, R.</w:t>
      </w:r>
      <w:r w:rsidR="00F81221">
        <w:t xml:space="preserve"> and </w:t>
      </w:r>
      <w:r w:rsidRPr="00A428C3">
        <w:t xml:space="preserve">Denizli, A. (2006), Ion-selective imprinted beads for aluminum removal from aqueous solutions. </w:t>
      </w:r>
      <w:r w:rsidRPr="00A428C3">
        <w:rPr>
          <w:i/>
        </w:rPr>
        <w:t>Industrial &amp; Engineering Chemistry Research</w:t>
      </w:r>
      <w:r w:rsidRPr="00A428C3">
        <w:t xml:space="preserve">, </w:t>
      </w:r>
      <w:r w:rsidRPr="00A428C3">
        <w:rPr>
          <w:b/>
        </w:rPr>
        <w:t>45</w:t>
      </w:r>
      <w:r w:rsidRPr="00A428C3">
        <w:t xml:space="preserve"> (5), 1780-1786.</w:t>
      </w:r>
    </w:p>
    <w:p w:rsidR="00B95188" w:rsidRPr="00A428C3" w:rsidRDefault="00B95188" w:rsidP="00B95188">
      <w:pPr>
        <w:pStyle w:val="a0"/>
      </w:pPr>
      <w:r w:rsidRPr="00A428C3">
        <w:t xml:space="preserve">Full Text: </w:t>
      </w:r>
      <w:hyperlink r:id="rId1243" w:history="1">
        <w:r w:rsidRPr="00A428C3">
          <w:rPr>
            <w:rStyle w:val="a5"/>
          </w:rPr>
          <w:t>2006\Ind Eng Che Res45, 1780.pdf</w:t>
        </w:r>
      </w:hyperlink>
    </w:p>
    <w:p w:rsidR="00B95188" w:rsidRPr="00A428C3" w:rsidRDefault="00B95188" w:rsidP="00B95188">
      <w:pPr>
        <w:pStyle w:val="a0"/>
      </w:pPr>
      <w:r w:rsidRPr="00A428C3">
        <w:t>Abstract: The aim of this study is to prepare ion-imprinted polymers that can be used for the selective removal of aluminum ions [Al</w:t>
      </w:r>
      <w:r w:rsidRPr="00A428C3">
        <w:rPr>
          <w:vertAlign w:val="superscript"/>
        </w:rPr>
        <w:t>3+</w:t>
      </w:r>
      <w:r w:rsidRPr="00A428C3">
        <w:t>] from aqueous solutions. N-Methacryloyl-L-glutamic acid (MAGA) was chosen as the complexing monomer. In the first step, Al</w:t>
      </w:r>
      <w:r w:rsidRPr="00A428C3">
        <w:rPr>
          <w:vertAlign w:val="superscript"/>
        </w:rPr>
        <w:t>3+</w:t>
      </w:r>
      <w:r w:rsidRPr="00A428C3">
        <w:t xml:space="preserve"> was complexed with MAGA</w:t>
      </w:r>
      <w:r w:rsidR="00F81221">
        <w:t xml:space="preserve"> and </w:t>
      </w:r>
      <w:r w:rsidRPr="00A428C3">
        <w:t>Al</w:t>
      </w:r>
      <w:r w:rsidRPr="00A428C3">
        <w:rPr>
          <w:vertAlign w:val="superscript"/>
        </w:rPr>
        <w:t>3+</w:t>
      </w:r>
      <w:r w:rsidRPr="00A428C3">
        <w:t>-imprinted poly(hydroxyethyl methacrylate-N-methacryloyl-L-glutamic acid) (MIP) beads were synthesized by suspension polymerization. After that, the template ions (i.e., Al</w:t>
      </w:r>
      <w:r w:rsidRPr="00A428C3">
        <w:rPr>
          <w:vertAlign w:val="superscript"/>
        </w:rPr>
        <w:t>3+</w:t>
      </w:r>
      <w:r w:rsidRPr="00A428C3">
        <w:t xml:space="preserve">) were removed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EDTA solution. The specific surface area of the MIP beads was found to be </w:t>
      </w:r>
      <w:smartTag w:uri="urn:schemas-microsoft-com:office:smarttags" w:element="chmetcnv">
        <w:smartTagPr>
          <w:attr w:name="TCSC" w:val="0"/>
          <w:attr w:name="NumberType" w:val="1"/>
          <w:attr w:name="Negative" w:val="False"/>
          <w:attr w:name="HasSpace" w:val="True"/>
          <w:attr w:name="SourceValue" w:val="55.6"/>
          <w:attr w:name="UnitName" w:val="m2"/>
        </w:smartTagPr>
        <w:r w:rsidRPr="00A428C3">
          <w:t>55.6 m</w:t>
        </w:r>
        <w:r w:rsidRPr="00A428C3">
          <w:rPr>
            <w:vertAlign w:val="superscript"/>
          </w:rPr>
          <w:t>2</w:t>
        </w:r>
      </w:smartTag>
      <w:r w:rsidRPr="00A428C3">
        <w:t>/g with a size range of 63</w:t>
      </w:r>
      <w:smartTag w:uri="urn:schemas-microsoft-com:office:smarttags" w:element="chmetcnv">
        <w:smartTagPr>
          <w:attr w:name="TCSC" w:val="0"/>
          <w:attr w:name="NumberType" w:val="1"/>
          <w:attr w:name="Negative" w:val="True"/>
          <w:attr w:name="HasSpace" w:val="False"/>
          <w:attr w:name="SourceValue" w:val="140"/>
          <w:attr w:name="UnitName" w:val="m"/>
        </w:smartTagPr>
        <w:r w:rsidRPr="00A428C3">
          <w:t xml:space="preserve">-140 </w:t>
        </w:r>
      </w:smartTag>
      <w:r w:rsidRPr="00A428C3">
        <w:sym w:font="Symbol" w:char="F06D"/>
      </w:r>
      <w:r w:rsidRPr="00A428C3">
        <w:t>m in diameter,</w:t>
      </w:r>
      <w:r w:rsidR="00F81221">
        <w:t xml:space="preserve"> and </w:t>
      </w:r>
      <w:r w:rsidRPr="00A428C3">
        <w:t xml:space="preserve">the swelling ratio was 102%. According to the elemental analysis results, the MIP beads contained 640 </w:t>
      </w:r>
      <w:r w:rsidRPr="00A428C3">
        <w:sym w:font="Symbol" w:char="F06D"/>
      </w:r>
      <w:r w:rsidRPr="00A428C3">
        <w:t xml:space="preserve">mol of MAGA/g of polymer. The maximum adsorption capacity was 122.9 </w:t>
      </w:r>
      <w:r w:rsidRPr="00A428C3">
        <w:sym w:font="Symbol" w:char="F06D"/>
      </w:r>
      <w:r w:rsidRPr="00A428C3">
        <w:t>mol of Al</w:t>
      </w:r>
      <w:r w:rsidRPr="00A428C3">
        <w:rPr>
          <w:vertAlign w:val="superscript"/>
        </w:rPr>
        <w:t>3+</w:t>
      </w:r>
      <w:r w:rsidRPr="00A428C3">
        <w:t>/g of beads. The applicability of two kinetic models including pseudo-first-order</w:t>
      </w:r>
      <w:r w:rsidR="00F81221">
        <w:t xml:space="preserve"> and </w:t>
      </w:r>
      <w:r w:rsidRPr="00A428C3">
        <w:t xml:space="preserve">pseudo-second-order models was estimated on the basis of </w:t>
      </w:r>
      <w:r w:rsidRPr="00A428C3">
        <w:lastRenderedPageBreak/>
        <w:t>comparative analysis of the corresponding rate parameters, equilibrium capacity,</w:t>
      </w:r>
      <w:r w:rsidR="00F81221">
        <w:t xml:space="preserve"> and </w:t>
      </w:r>
      <w:r w:rsidRPr="00A428C3">
        <w:t>correlation coefficients. Results suggest that chemisorption processes could be the rate-limiting step in the adsorption process. The relative selectivity coefficients of MIP beads for Al</w:t>
      </w:r>
      <w:r w:rsidRPr="00A428C3">
        <w:rPr>
          <w:vertAlign w:val="superscript"/>
        </w:rPr>
        <w:t>3+</w:t>
      </w:r>
      <w:r w:rsidRPr="00A428C3">
        <w:t>/Ni</w:t>
      </w:r>
      <w:r w:rsidRPr="00A428C3">
        <w:rPr>
          <w:vertAlign w:val="superscript"/>
        </w:rPr>
        <w:t>2+</w:t>
      </w:r>
      <w:r w:rsidRPr="00A428C3">
        <w:t>, Al</w:t>
      </w:r>
      <w:r w:rsidRPr="00A428C3">
        <w:rPr>
          <w:vertAlign w:val="superscript"/>
        </w:rPr>
        <w:t>3+</w:t>
      </w:r>
      <w:r w:rsidRPr="00A428C3">
        <w:t>/Cu</w:t>
      </w:r>
      <w:r w:rsidRPr="00A428C3">
        <w:rPr>
          <w:vertAlign w:val="superscript"/>
        </w:rPr>
        <w:t>2+</w:t>
      </w:r>
      <w:r w:rsidRPr="00A428C3">
        <w:t>,</w:t>
      </w:r>
      <w:r w:rsidR="00F81221">
        <w:t xml:space="preserve"> and </w:t>
      </w:r>
      <w:r w:rsidRPr="00A428C3">
        <w:t>Al</w:t>
      </w:r>
      <w:r w:rsidRPr="00A428C3">
        <w:rPr>
          <w:vertAlign w:val="superscript"/>
        </w:rPr>
        <w:t>3+</w:t>
      </w:r>
      <w:r w:rsidRPr="00A428C3">
        <w:t>/Fe</w:t>
      </w:r>
      <w:r w:rsidRPr="00A428C3">
        <w:rPr>
          <w:vertAlign w:val="superscript"/>
        </w:rPr>
        <w:t>3+</w:t>
      </w:r>
      <w:r w:rsidRPr="00A428C3">
        <w:t xml:space="preserve"> were respectively 1427, 14.8,</w:t>
      </w:r>
      <w:r w:rsidR="00F81221">
        <w:t xml:space="preserve"> and </w:t>
      </w:r>
      <w:r w:rsidRPr="00A428C3">
        <w:t>6.2 times greater than that of the nonimprinted matrix. The MIP beads could be used many times without significantly decreasing in their adsorption capacities.</w:t>
      </w:r>
    </w:p>
    <w:p w:rsidR="00B95188" w:rsidRPr="00A428C3" w:rsidRDefault="00B95188" w:rsidP="00B95188">
      <w:pPr>
        <w:pStyle w:val="a0"/>
      </w:pPr>
      <w:r w:rsidRPr="00A428C3">
        <w:t>? Liu, P., Liu, Y.S.</w:t>
      </w:r>
      <w:r w:rsidR="00F81221">
        <w:t xml:space="preserve"> and </w:t>
      </w:r>
      <w:r w:rsidRPr="00A428C3">
        <w:t xml:space="preserve">Su, Z.X. (2006), Modification of poly(hydroethyl acrylate)-grafted cross-linked poly(vinyl chloride) particles via surface-initiated atom-transfer radical polymerization (SI-ATRP). Competitive adsorption of some heavy metal ions on modified polymers. </w:t>
      </w:r>
      <w:r w:rsidRPr="00A428C3">
        <w:rPr>
          <w:i/>
          <w:iCs/>
        </w:rPr>
        <w:t>Industrial &amp; Engineering Chemistry Research</w:t>
      </w:r>
      <w:r w:rsidRPr="00A428C3">
        <w:t xml:space="preserve">, </w:t>
      </w:r>
      <w:r w:rsidRPr="00A428C3">
        <w:rPr>
          <w:b/>
        </w:rPr>
        <w:t>45</w:t>
      </w:r>
      <w:r w:rsidRPr="00A428C3">
        <w:t xml:space="preserve"> (7), 2255-2260.</w:t>
      </w:r>
    </w:p>
    <w:p w:rsidR="00B95188" w:rsidRPr="00A428C3" w:rsidRDefault="00B95188" w:rsidP="00B95188">
      <w:pPr>
        <w:pStyle w:val="a0"/>
      </w:pPr>
      <w:r w:rsidRPr="00A428C3">
        <w:t xml:space="preserve">Full Text: </w:t>
      </w:r>
      <w:hyperlink r:id="rId1244" w:history="1">
        <w:r w:rsidRPr="00A428C3">
          <w:rPr>
            <w:rStyle w:val="a5"/>
          </w:rPr>
          <w:t>2006\Ind Eng Che Res45, 2255.pdf</w:t>
        </w:r>
      </w:hyperlink>
    </w:p>
    <w:p w:rsidR="00B95188" w:rsidRPr="00A428C3" w:rsidRDefault="00B95188" w:rsidP="00B95188">
      <w:pPr>
        <w:pStyle w:val="a0"/>
      </w:pPr>
      <w:r w:rsidRPr="00A428C3">
        <w:t>Abstract: Poly(hydroethyl acrylate) (PHEA) has been grafted from the surfaces of cross-linked poly(vinyl chloride) (PVC) beads with their surface labile chlorines as initiation sites, using a copper-mediated surface-initiated atom-transfer radical polymerization (SI-ATRP) methodology. The graft reaction exhibits first-order kinetics with respect to the polymerization time in the low-monomer-conversion stage, as is typical for ATRP. A percentage of grafting (PG%) of 190.4% was achieved in 10 h. The ester groups of the poly(hydroethyl acrylate)-grafted cross-linked poly(vinyl chloride) beads (PHEA-PVC) were then hydrolyzed to yield carboxyl-PVC beads;</w:t>
      </w:r>
      <w:r w:rsidR="00F81221">
        <w:t xml:space="preserve"> and </w:t>
      </w:r>
      <w:r w:rsidRPr="00A428C3">
        <w:t>the hydrolyzed product, poly(acrylic acid)groups. Then, the bare PVC beads; the PHEA 2 grafted cross-linked poly(vinyl chloride) beads (PAA-PVC), were used for the extraction of heavy metal ions such as Cu(II), Hg(II), Zn(II),</w:t>
      </w:r>
      <w:r w:rsidR="00F81221">
        <w:t xml:space="preserve"> and </w:t>
      </w:r>
      <w:r w:rsidRPr="00A428C3">
        <w:t>Cd(II) in weak acidic aqueous solution. It was found that the former two had better loading capacities toward Hg(II) ion. The adsorbed ions were eluted by repeated treatment with acetic acid. The chelating resins did not lose their activity even after the 10th regeneration. The material described herein is regenerable</w:t>
      </w:r>
      <w:r w:rsidR="00F81221">
        <w:t xml:space="preserve"> and </w:t>
      </w:r>
      <w:r w:rsidRPr="00A428C3">
        <w:t>has the advantage of mobility of the graft chains in the removal of heavy metal ions from aqueous mixtures.</w:t>
      </w:r>
    </w:p>
    <w:p w:rsidR="00B95188" w:rsidRPr="00A428C3" w:rsidRDefault="00B95188" w:rsidP="00B95188">
      <w:pPr>
        <w:pStyle w:val="a0"/>
      </w:pPr>
      <w:r w:rsidRPr="00A428C3">
        <w:t>Keywords: Acetic Acid, Acrylate, Activity, Adsorption, Atom Transfer Radical Polymerization, Beads, Brushes, Butyl Acrylate, Cd(II), Cellulose, Chloride, Extraction, Films, Graft-Copolymerization, Grafting, Heavy Metal, Heavy Metal Ions, Hg(II), Ion, Kinetics, Loading, Membranes, Metal Ions, Methacrylate, Methodology, Mobility, Modified, Particles, Polymerization, Polymers, Polystyrene, PVC, Radical, Radical Polymerization, Reaction, Regeneration, Resins, Sites, Styrene, Surface, Surface-Initiated, Surfaces, Treatment, Well-Defined Polymer, Yield</w:t>
      </w:r>
    </w:p>
    <w:p w:rsidR="00B95188" w:rsidRPr="00A428C3" w:rsidRDefault="00B95188" w:rsidP="00B95188">
      <w:pPr>
        <w:pStyle w:val="a0"/>
      </w:pPr>
      <w:r w:rsidRPr="00A428C3">
        <w:t>? Faria, P.C.C., Orfao, J.J.M.</w:t>
      </w:r>
      <w:r w:rsidR="00F81221">
        <w:t xml:space="preserve"> and </w:t>
      </w:r>
      <w:r w:rsidRPr="00A428C3">
        <w:t>Pereira, M.F.R. (2006), Ozone decomposition in water catalyzed by activated carbon: Influence of chemical</w:t>
      </w:r>
      <w:r w:rsidR="00F81221">
        <w:t xml:space="preserve"> and </w:t>
      </w:r>
      <w:r w:rsidRPr="00A428C3">
        <w:t xml:space="preserve">textural properties. </w:t>
      </w:r>
      <w:r w:rsidRPr="00A428C3">
        <w:rPr>
          <w:i/>
        </w:rPr>
        <w:lastRenderedPageBreak/>
        <w:t>Industrial &amp; Engineering Chemistry Research</w:t>
      </w:r>
      <w:r w:rsidRPr="00A428C3">
        <w:t xml:space="preserve">, </w:t>
      </w:r>
      <w:r w:rsidRPr="00A428C3">
        <w:rPr>
          <w:b/>
        </w:rPr>
        <w:t>45</w:t>
      </w:r>
      <w:r w:rsidRPr="00A428C3">
        <w:t xml:space="preserve"> (8), 2715-2721.</w:t>
      </w:r>
    </w:p>
    <w:p w:rsidR="00B95188" w:rsidRPr="00A428C3" w:rsidRDefault="00B95188" w:rsidP="00B95188">
      <w:pPr>
        <w:pStyle w:val="a0"/>
      </w:pPr>
      <w:r w:rsidRPr="00A428C3">
        <w:t xml:space="preserve">Full Text: </w:t>
      </w:r>
      <w:hyperlink r:id="rId1245" w:history="1">
        <w:r w:rsidRPr="00A428C3">
          <w:rPr>
            <w:rStyle w:val="a5"/>
          </w:rPr>
          <w:t>2006\Ind Eng Che Res45, 2715.pdf</w:t>
        </w:r>
      </w:hyperlink>
    </w:p>
    <w:p w:rsidR="00B95188" w:rsidRPr="00A428C3" w:rsidRDefault="00B95188" w:rsidP="00B95188">
      <w:pPr>
        <w:pStyle w:val="a0"/>
      </w:pPr>
      <w:r w:rsidRPr="00A13428">
        <w:t>Abstract:</w:t>
      </w:r>
      <w:r w:rsidRPr="00A428C3">
        <w:t xml:space="preserve"> The decomposition of ozone in water at different solution pHs in the absence or presence of activated carbons with different surface chemistries</w:t>
      </w:r>
      <w:r w:rsidR="00F81221">
        <w:t xml:space="preserve"> and </w:t>
      </w:r>
      <w:r w:rsidRPr="00A428C3">
        <w:t>textural properties was investigated. Activated carbon acts as a catalyst in the decomposition of ozone into radical species, significantly accelerating this process. Homogeneous</w:t>
      </w:r>
      <w:r w:rsidR="00F81221">
        <w:t xml:space="preserve"> and </w:t>
      </w:r>
      <w:r w:rsidRPr="00A428C3">
        <w:t>heterogeneous decomposition of ozone were described by second-order kinetic models. In general, both homogeneous</w:t>
      </w:r>
      <w:r w:rsidR="00F81221">
        <w:t xml:space="preserve"> and </w:t>
      </w:r>
      <w:r w:rsidRPr="00A428C3">
        <w:t>heterogeneous ozone-decomposition rates increase with solution pH. Textural</w:t>
      </w:r>
      <w:r w:rsidR="00F81221">
        <w:t xml:space="preserve"> and </w:t>
      </w:r>
      <w:r w:rsidRPr="00A428C3">
        <w:t>surface chemical features of the activated carbon play a role in the catalytic decomposition of ozone. Heterogeneous ozone decomposition is enhanced by activated carbon with high surface area</w:t>
      </w:r>
      <w:r w:rsidR="00F81221">
        <w:t xml:space="preserve"> and </w:t>
      </w:r>
      <w:r w:rsidRPr="00A428C3">
        <w:t>basicity. Despite the mild oxidation undergone by the activated carbon samples during ozonation, no strong deactivation occurs.</w:t>
      </w:r>
    </w:p>
    <w:p w:rsidR="00B95188" w:rsidRPr="00A428C3" w:rsidRDefault="00B95188" w:rsidP="00B95188">
      <w:pPr>
        <w:pStyle w:val="a0"/>
      </w:pPr>
      <w:r w:rsidRPr="00A13428">
        <w:t>Keywords:</w:t>
      </w:r>
      <w:r w:rsidRPr="00A428C3">
        <w:t xml:space="preserve"> </w:t>
      </w:r>
      <w:smartTag w:uri="urn:schemas-microsoft-com:office:smarttags" w:element="place">
        <w:smartTag w:uri="urn:schemas-microsoft-com:office:smarttags" w:element="City">
          <w:r w:rsidRPr="00A428C3">
            <w:t>Aqueous-Phase</w:t>
          </w:r>
        </w:smartTag>
        <w:r w:rsidRPr="00A428C3">
          <w:t xml:space="preserve">, </w:t>
        </w:r>
        <w:smartTag w:uri="urn:schemas-microsoft-com:office:smarttags" w:element="State">
          <w:r w:rsidRPr="00A428C3">
            <w:t>OH</w:t>
          </w:r>
        </w:smartTag>
      </w:smartTag>
      <w:r w:rsidRPr="00A428C3">
        <w:t>-Radicals, Ozonation, Adsorption, Kinetics, Chemistry, ACID</w:t>
      </w:r>
    </w:p>
    <w:p w:rsidR="00B95188" w:rsidRPr="00A428C3" w:rsidRDefault="00B95188" w:rsidP="00B95188">
      <w:pPr>
        <w:pStyle w:val="a0"/>
      </w:pPr>
      <w:r w:rsidRPr="00A428C3">
        <w:t>? Lu, C.S., Chiu, H.</w:t>
      </w:r>
      <w:r w:rsidR="00F81221">
        <w:t xml:space="preserve"> and </w:t>
      </w:r>
      <w:r w:rsidRPr="00A428C3">
        <w:t>Liu, C.T. (2006), Removal of zinc(II) from aqueous solution by purified carbon nanotubes: Kinetics</w:t>
      </w:r>
      <w:r w:rsidR="00F81221">
        <w:t xml:space="preserve"> and </w:t>
      </w:r>
      <w:r w:rsidRPr="00A428C3">
        <w:t xml:space="preserve">equilibrium studies. </w:t>
      </w:r>
      <w:r w:rsidRPr="00A428C3">
        <w:rPr>
          <w:i/>
        </w:rPr>
        <w:t>Industrial &amp; Engineering Chemistry Research</w:t>
      </w:r>
      <w:r w:rsidRPr="00A428C3">
        <w:t xml:space="preserve">, </w:t>
      </w:r>
      <w:r w:rsidRPr="00A428C3">
        <w:rPr>
          <w:b/>
        </w:rPr>
        <w:t>45</w:t>
      </w:r>
      <w:r w:rsidRPr="00A428C3">
        <w:t xml:space="preserve"> (8), 2850-2855.</w:t>
      </w:r>
    </w:p>
    <w:p w:rsidR="00B95188" w:rsidRPr="00A428C3" w:rsidRDefault="00B95188" w:rsidP="00B95188">
      <w:pPr>
        <w:pStyle w:val="a0"/>
      </w:pPr>
      <w:r w:rsidRPr="00A428C3">
        <w:t xml:space="preserve">Full Text: </w:t>
      </w:r>
      <w:hyperlink r:id="rId1246" w:history="1">
        <w:r w:rsidRPr="00A428C3">
          <w:rPr>
            <w:rStyle w:val="a5"/>
          </w:rPr>
          <w:t>2006\Ind Eng Che Res45, 2850.pdf</w:t>
        </w:r>
      </w:hyperlink>
    </w:p>
    <w:p w:rsidR="00B95188" w:rsidRPr="00A428C3" w:rsidRDefault="00B95188" w:rsidP="00B95188">
      <w:pPr>
        <w:pStyle w:val="a0"/>
      </w:pPr>
      <w:r w:rsidRPr="00A13428">
        <w:t>Abstract:</w:t>
      </w:r>
      <w:r w:rsidRPr="00A428C3">
        <w:t xml:space="preserve"> Single-walled carbon nanotubes (SWCNTs)</w:t>
      </w:r>
      <w:r w:rsidR="00F81221">
        <w:t xml:space="preserve"> and </w:t>
      </w:r>
      <w:r w:rsidRPr="00A428C3">
        <w:t>multiwalled carbon nanotubes (MWCNTs) were purified by sodium hypochlorite solutions</w:t>
      </w:r>
      <w:r w:rsidR="00F81221">
        <w:t xml:space="preserve"> and </w:t>
      </w:r>
      <w:r w:rsidRPr="00A428C3">
        <w:t>were employed as sorbents to study the kinetics</w:t>
      </w:r>
      <w:r w:rsidR="00F81221">
        <w:t xml:space="preserve"> and </w:t>
      </w:r>
      <w:r w:rsidRPr="00A428C3">
        <w:t>equilibrium of Zn</w:t>
      </w:r>
      <w:r w:rsidRPr="00A428C3">
        <w:rPr>
          <w:vertAlign w:val="superscript"/>
        </w:rPr>
        <w:t>2+</w:t>
      </w:r>
      <w:r w:rsidRPr="00A428C3">
        <w:t xml:space="preserve"> sorption from aqueous solution. The amount of Zn</w:t>
      </w:r>
      <w:r w:rsidRPr="00A428C3">
        <w:rPr>
          <w:vertAlign w:val="superscript"/>
        </w:rPr>
        <w:t>2+</w:t>
      </w:r>
      <w:r w:rsidRPr="00A428C3">
        <w:t xml:space="preserve"> sorbed onto CNTs increased with a rise in temperature. Using the same conditions, the Zn</w:t>
      </w:r>
      <w:r w:rsidRPr="00A428C3">
        <w:rPr>
          <w:vertAlign w:val="superscript"/>
        </w:rPr>
        <w:t>2+</w:t>
      </w:r>
      <w:r w:rsidRPr="00A428C3">
        <w:t xml:space="preserve"> sorption capacity of CNTs was much greater than that of commercially available powdered activated carbon, reflecting that SWCNTs</w:t>
      </w:r>
      <w:r w:rsidR="00F81221">
        <w:t xml:space="preserve"> and </w:t>
      </w:r>
      <w:r w:rsidRPr="00A428C3">
        <w:t>MWCNTs are effective sorbents. The thermodynamic analysis revealed that the sorption of Zn</w:t>
      </w:r>
      <w:r w:rsidRPr="00A428C3">
        <w:rPr>
          <w:vertAlign w:val="superscript"/>
        </w:rPr>
        <w:t>2+</w:t>
      </w:r>
      <w:r w:rsidRPr="00A428C3">
        <w:t xml:space="preserve"> onto CNTs is endothermic</w:t>
      </w:r>
      <w:r w:rsidR="00F81221">
        <w:t xml:space="preserve"> and </w:t>
      </w:r>
      <w:r w:rsidRPr="00A428C3">
        <w:t>spontaneous. The sorption/desorption study showed that the Zn</w:t>
      </w:r>
      <w:r w:rsidRPr="00A428C3">
        <w:rPr>
          <w:vertAlign w:val="superscript"/>
        </w:rPr>
        <w:t>2+</w:t>
      </w:r>
      <w:r w:rsidRPr="00A428C3">
        <w:t xml:space="preserve"> ions could be easily removed from the surface site of SWCNTs</w:t>
      </w:r>
      <w:r w:rsidR="00F81221">
        <w:t xml:space="preserve"> and </w:t>
      </w:r>
      <w:r w:rsidRPr="00A428C3">
        <w:t>MWCNTs by a 0.1 mol/L nitric acid solution</w:t>
      </w:r>
      <w:r w:rsidR="00F81221">
        <w:t xml:space="preserve"> and </w:t>
      </w:r>
      <w:r w:rsidRPr="00A428C3">
        <w:t>the sorption capacity was maintained after 10 cycles of the sorption/desorption process. This suggests that both CNTs can be reused through many cycles of water treatment</w:t>
      </w:r>
      <w:r w:rsidR="00F81221">
        <w:t xml:space="preserve"> and </w:t>
      </w:r>
      <w:r w:rsidRPr="00A428C3">
        <w:t>regeneration.</w:t>
      </w:r>
    </w:p>
    <w:p w:rsidR="00B95188" w:rsidRPr="00A428C3" w:rsidRDefault="00B95188" w:rsidP="00B95188">
      <w:pPr>
        <w:pStyle w:val="a0"/>
      </w:pPr>
      <w:r w:rsidRPr="00A13428">
        <w:t>Keywords:</w:t>
      </w:r>
      <w:r w:rsidRPr="00A428C3">
        <w:t xml:space="preserve"> Activated Carbon, Adsorption, Water, Sorption, Copper, Nickel, Waste, Ions</w:t>
      </w:r>
    </w:p>
    <w:p w:rsidR="00B95188" w:rsidRPr="00A428C3" w:rsidRDefault="00B95188" w:rsidP="00B95188">
      <w:pPr>
        <w:pStyle w:val="a0"/>
      </w:pPr>
      <w:r w:rsidRPr="00A428C3">
        <w:t>? Liao, X.P., Ding, Y., Wang, B.</w:t>
      </w:r>
      <w:r w:rsidR="00F81221">
        <w:t xml:space="preserve"> and </w:t>
      </w:r>
      <w:r w:rsidRPr="00A428C3">
        <w:t xml:space="preserve">Shi, B. (2006), Adsorption behavior of phosphate on metal-ions-loaded collagen fiber. </w:t>
      </w:r>
      <w:r w:rsidRPr="00A428C3">
        <w:rPr>
          <w:i/>
        </w:rPr>
        <w:t>Industrial &amp; Engineering Chemistry Research</w:t>
      </w:r>
      <w:r w:rsidRPr="00A428C3">
        <w:t xml:space="preserve">, </w:t>
      </w:r>
      <w:r w:rsidRPr="00A428C3">
        <w:rPr>
          <w:b/>
        </w:rPr>
        <w:t>45</w:t>
      </w:r>
      <w:r w:rsidRPr="00A428C3">
        <w:t xml:space="preserve"> (11), 3896-3901.</w:t>
      </w:r>
    </w:p>
    <w:p w:rsidR="00B95188" w:rsidRPr="00A428C3" w:rsidRDefault="00B95188" w:rsidP="00B95188">
      <w:pPr>
        <w:pStyle w:val="a0"/>
      </w:pPr>
      <w:r w:rsidRPr="00A428C3">
        <w:t xml:space="preserve">Full Text: </w:t>
      </w:r>
      <w:hyperlink r:id="rId1247" w:history="1">
        <w:r w:rsidRPr="00A428C3">
          <w:rPr>
            <w:rStyle w:val="a5"/>
          </w:rPr>
          <w:t>2006\Ind Eng Che Res45, 3896.pdf</w:t>
        </w:r>
      </w:hyperlink>
    </w:p>
    <w:p w:rsidR="00B95188" w:rsidRPr="00A428C3" w:rsidRDefault="00B95188" w:rsidP="00B95188">
      <w:pPr>
        <w:pStyle w:val="a0"/>
      </w:pPr>
      <w:r w:rsidRPr="00A13428">
        <w:t>Abstract:</w:t>
      </w:r>
      <w:r w:rsidRPr="00A428C3">
        <w:t xml:space="preserve"> The novel adsorbents, metal-ions-loaded collagen fiber (MICF), were </w:t>
      </w:r>
      <w:r w:rsidRPr="00A428C3">
        <w:lastRenderedPageBreak/>
        <w:t>prepared by loading Zr(IV)</w:t>
      </w:r>
      <w:r w:rsidR="00F81221">
        <w:t xml:space="preserve"> and </w:t>
      </w:r>
      <w:r w:rsidRPr="00A428C3">
        <w:t>Fe(III) onto collagen fiber,</w:t>
      </w:r>
      <w:r w:rsidR="00F81221">
        <w:t xml:space="preserve"> and </w:t>
      </w:r>
      <w:r w:rsidRPr="00A428C3">
        <w:t>the adsorption behavior of phosphate in aqueous solutions on MICF was investigated. The results of batch experiments indicated that the high adsorption capacities of phosphate take place in the pH range of 3.0-6.0. The adsorption capacity of phosphate on Zr-ICF is larger than that on Fe-ICF because of the higher chelating ability of Zr</w:t>
      </w:r>
      <w:r w:rsidR="005E6E43">
        <w:t>(</w:t>
      </w:r>
      <w:r w:rsidRPr="00A428C3">
        <w:t>IV) with phosphate. For example, the adsorption capacities of phosphate on Zr-ICF</w:t>
      </w:r>
      <w:r w:rsidR="00F81221">
        <w:t xml:space="preserve"> and </w:t>
      </w:r>
      <w:r w:rsidRPr="00A428C3">
        <w:t>Fe-ICF are 0.9193</w:t>
      </w:r>
      <w:r w:rsidR="00F81221">
        <w:t xml:space="preserve"> and </w:t>
      </w:r>
      <w:r w:rsidRPr="00A428C3">
        <w:t>0.8420 mmol/g at 303 K, respectively. The adsorption isotherm of MICF to phosphate can be well-described by the Langmuir equation. The adsorption kinetics of MICF to phosphate can be well-described by the pseudo-second-order rate model,</w:t>
      </w:r>
      <w:r w:rsidR="00F81221">
        <w:t xml:space="preserve"> and </w:t>
      </w:r>
      <w:r w:rsidRPr="00A428C3">
        <w:t>the adsorption capacities calculated by the model were close to those actually determined. The practical application of MICF on the effective removal of phosphate from aqueous solutions could be expected.</w:t>
      </w:r>
    </w:p>
    <w:p w:rsidR="00B95188" w:rsidRPr="00A428C3" w:rsidRDefault="00B95188" w:rsidP="00B95188">
      <w:pPr>
        <w:pStyle w:val="a0"/>
      </w:pPr>
      <w:r w:rsidRPr="00A13428">
        <w:t>Keywords:</w:t>
      </w:r>
      <w:r w:rsidRPr="00A428C3">
        <w:t xml:space="preserve"> Aqueous-Solution, Competitive Adsorption, Phosphorus Removal, Arsenate Ions, Waste-Water, Fly-Ash, Goethite, Fluoride, Iron, Sorption</w:t>
      </w:r>
    </w:p>
    <w:p w:rsidR="00B95188" w:rsidRPr="00A428C3" w:rsidRDefault="00B95188" w:rsidP="00B95188">
      <w:pPr>
        <w:pStyle w:val="a0"/>
      </w:pPr>
      <w:r w:rsidRPr="00A428C3">
        <w:t>? Lataye, D.H., Mishra, I.M.</w:t>
      </w:r>
      <w:r w:rsidR="00F81221">
        <w:t xml:space="preserve"> and </w:t>
      </w:r>
      <w:r w:rsidRPr="00A428C3">
        <w:t xml:space="preserve">Mall, I.D. (2006), Removal of pyridine from aqueous solution by adsorption on bagasse fly ash. </w:t>
      </w:r>
      <w:r w:rsidRPr="00A428C3">
        <w:rPr>
          <w:i/>
        </w:rPr>
        <w:t>Industrial &amp; Engineering Chemistry Research</w:t>
      </w:r>
      <w:r w:rsidRPr="00A428C3">
        <w:t xml:space="preserve">, </w:t>
      </w:r>
      <w:r w:rsidRPr="00A428C3">
        <w:rPr>
          <w:b/>
        </w:rPr>
        <w:t>45</w:t>
      </w:r>
      <w:r w:rsidRPr="00A428C3">
        <w:t xml:space="preserve"> (11), 3934-3943.</w:t>
      </w:r>
    </w:p>
    <w:p w:rsidR="00B95188" w:rsidRPr="00A428C3" w:rsidRDefault="00B95188" w:rsidP="00B95188">
      <w:pPr>
        <w:pStyle w:val="a0"/>
      </w:pPr>
      <w:r w:rsidRPr="00A428C3">
        <w:t xml:space="preserve">Full Text: </w:t>
      </w:r>
      <w:hyperlink r:id="rId1248" w:history="1">
        <w:r w:rsidRPr="00A428C3">
          <w:rPr>
            <w:rStyle w:val="a5"/>
          </w:rPr>
          <w:t>2006\Ind Eng Che Res45, 3934.pdf</w:t>
        </w:r>
      </w:hyperlink>
    </w:p>
    <w:p w:rsidR="00B95188" w:rsidRPr="00A428C3" w:rsidRDefault="00B95188" w:rsidP="00B95188">
      <w:pPr>
        <w:pStyle w:val="a0"/>
      </w:pPr>
      <w:r w:rsidRPr="00A13428">
        <w:t>Abstract:</w:t>
      </w:r>
      <w:r w:rsidRPr="00A428C3">
        <w:t xml:space="preserve"> The present study examines the adsorption of pyridine (Py) from aqueous solutions, using bagasse fly ash (BFA), which is a solid waste that is generated from bagasse-fired boilers, as an adsorbent. Batch adsorption studies have been performed to evaluate the influence of various parameters, such as initial pH (pH(0)), adsorbent dose (m), contact time (t), initial concentration (C-0),</w:t>
      </w:r>
      <w:r w:rsidR="00F81221">
        <w:t xml:space="preserve"> and </w:t>
      </w:r>
      <w:r w:rsidRPr="00A428C3">
        <w:t>temperature (T), on the removal of Py from the aqueous solutions. The maximum removal of Py is determined to be 99% at lower concentrations (&lt; 50 mg dm</w:t>
      </w:r>
      <w:r w:rsidRPr="00A428C3">
        <w:rPr>
          <w:vertAlign w:val="superscript"/>
        </w:rPr>
        <w:t>-3</w:t>
      </w:r>
      <w:r w:rsidRPr="00A428C3">
        <w:t>)</w:t>
      </w:r>
      <w:r w:rsidR="00F81221">
        <w:t xml:space="preserve"> and </w:t>
      </w:r>
      <w:r w:rsidRPr="00A428C3">
        <w:t>95% at higher concentrations (600 mg dm</w:t>
      </w:r>
      <w:r w:rsidRPr="00A428C3">
        <w:rPr>
          <w:vertAlign w:val="superscript"/>
        </w:rPr>
        <w:t>-3</w:t>
      </w:r>
      <w:r w:rsidRPr="00A428C3">
        <w:t xml:space="preserve">), using a BFA dosage of </w:t>
      </w:r>
      <w:smartTag w:uri="urn:schemas-microsoft-com:office:smarttags" w:element="chmetcnv">
        <w:smartTagPr>
          <w:attr w:name="TCSC" w:val="0"/>
          <w:attr w:name="NumberType" w:val="1"/>
          <w:attr w:name="Negative" w:val="False"/>
          <w:attr w:name="HasSpace" w:val="True"/>
          <w:attr w:name="SourceValue" w:val="25"/>
          <w:attr w:name="UnitName" w:val="kg"/>
        </w:smartTagPr>
        <w:r w:rsidRPr="00A428C3">
          <w:t>25 kg</w:t>
        </w:r>
      </w:smartTag>
      <w:r w:rsidRPr="00A428C3">
        <w:t xml:space="preserve"> m</w:t>
      </w:r>
      <w:r w:rsidRPr="00A428C3">
        <w:rPr>
          <w:vertAlign w:val="superscript"/>
        </w:rPr>
        <w:t>-3</w:t>
      </w:r>
      <w:r w:rsidRPr="00A428C3">
        <w:t xml:space="preserve"> at normal temperature. Studies on Py adsorption equilibrium</w:t>
      </w:r>
      <w:r w:rsidR="00F81221">
        <w:t xml:space="preserve"> and </w:t>
      </w:r>
      <w:r w:rsidRPr="00A428C3">
        <w:t>kinetics by BFA also have been conducted. The adsorption equilibrium analyses also are performed, using the Langmuir, Freundlich, Redlich-Peterson,</w:t>
      </w:r>
      <w:r w:rsidR="00F81221">
        <w:t xml:space="preserve"> and </w:t>
      </w:r>
      <w:r w:rsidRPr="00A428C3">
        <w:t>Temkin isotherm equations. The Langmuir equation is determined to best represent the equilibrium sorption data. Thermodynamic studies revealed that the adsorption of Py on BFA is endothermic in nature</w:t>
      </w:r>
      <w:r w:rsidR="00F81221">
        <w:t xml:space="preserve"> and </w:t>
      </w:r>
      <w:r w:rsidRPr="00A428C3">
        <w:t>that the isosteric heat of adsorption decreases as the equilibrium uptake of Py on the BFA surface increases. The desorption of Py from Py-loaded BFA with several solvents shows that only 68.70%</w:t>
      </w:r>
      <w:r w:rsidR="00F81221">
        <w:t xml:space="preserve"> and </w:t>
      </w:r>
      <w:r w:rsidRPr="00A428C3">
        <w:t>51% of Py could be recovered, using ethyl alcohol</w:t>
      </w:r>
      <w:r w:rsidR="00F81221">
        <w:t xml:space="preserve"> and </w:t>
      </w:r>
      <w:r w:rsidRPr="00A428C3">
        <w:t>0.1 N H</w:t>
      </w:r>
      <w:r w:rsidRPr="00A428C3">
        <w:rPr>
          <w:vertAlign w:val="subscript"/>
        </w:rPr>
        <w:t>2</w:t>
      </w:r>
      <w:r w:rsidRPr="00A428C3">
        <w:t>SO</w:t>
      </w:r>
      <w:r w:rsidRPr="00A428C3">
        <w:rPr>
          <w:vertAlign w:val="subscript"/>
        </w:rPr>
        <w:t>4</w:t>
      </w:r>
      <w:r w:rsidRPr="00A428C3">
        <w:t>, respectively.</w:t>
      </w:r>
    </w:p>
    <w:p w:rsidR="00B95188" w:rsidRPr="00A428C3" w:rsidRDefault="00B95188" w:rsidP="00B95188">
      <w:pPr>
        <w:pStyle w:val="a0"/>
      </w:pPr>
      <w:r w:rsidRPr="00A428C3">
        <w:t xml:space="preserve">Keywords: Activated Carbon, Adsorbent, Adsorption, Adsorption Equilibrium, Alcohol, Aqueous Solution, Ash, Bagasse, Bagasse Fly Ash, Biodegradation, Concentration, Concentrations, Derivatives, Desorption, Diffusion, Dosage, Equilibrium, Equilibrium Isotherm Analyses, Equilibrium Sorption, Ethyl Alcohol, Fly Ash, </w:t>
      </w:r>
      <w:r w:rsidRPr="00A428C3">
        <w:lastRenderedPageBreak/>
        <w:t>Freundlich, H</w:t>
      </w:r>
      <w:r w:rsidRPr="00A428C3">
        <w:rPr>
          <w:vertAlign w:val="subscript"/>
        </w:rPr>
        <w:t>2</w:t>
      </w:r>
      <w:r w:rsidRPr="00A428C3">
        <w:t>SO</w:t>
      </w:r>
      <w:r w:rsidRPr="00A428C3">
        <w:rPr>
          <w:vertAlign w:val="subscript"/>
        </w:rPr>
        <w:t>4</w:t>
      </w:r>
      <w:r w:rsidRPr="00A428C3">
        <w:t>, Isosteric Heat, Isotherm, Kinetics, Langmuir, Langmuir Equation, Parameters, pH, Redlich-Peterson, Removal, Solid Waste, Solvents, Sorption, Surface, T, Temperature, Uptake, Waste</w:t>
      </w:r>
    </w:p>
    <w:p w:rsidR="00B95188" w:rsidRPr="00A428C3" w:rsidRDefault="00B95188" w:rsidP="00B95188">
      <w:pPr>
        <w:pStyle w:val="a0"/>
      </w:pPr>
      <w:r w:rsidRPr="00A428C3">
        <w:t>? Karadag, D., Tok, S., Akgul, E., Ulucan, K., Evden, H.</w:t>
      </w:r>
      <w:r w:rsidR="00F81221">
        <w:t xml:space="preserve"> and </w:t>
      </w:r>
      <w:r w:rsidRPr="00A428C3">
        <w:t>Kaya, M.A. (2006), Combining adsorption</w:t>
      </w:r>
      <w:r w:rsidR="00F81221">
        <w:t xml:space="preserve"> and </w:t>
      </w:r>
      <w:r w:rsidRPr="00A428C3">
        <w:t>coagulation for the treatment of azo</w:t>
      </w:r>
      <w:r w:rsidR="00F81221">
        <w:t xml:space="preserve"> and </w:t>
      </w:r>
      <w:r w:rsidRPr="00A428C3">
        <w:t xml:space="preserve">anthraquinone dyes from aqueous solution. </w:t>
      </w:r>
      <w:r w:rsidRPr="00A428C3">
        <w:rPr>
          <w:i/>
          <w:iCs/>
        </w:rPr>
        <w:t>Industrial &amp; Engineering Chemistry Research</w:t>
      </w:r>
      <w:r w:rsidRPr="00A428C3">
        <w:t xml:space="preserve">, </w:t>
      </w:r>
      <w:r w:rsidRPr="00A428C3">
        <w:rPr>
          <w:b/>
        </w:rPr>
        <w:t>45</w:t>
      </w:r>
      <w:r w:rsidRPr="00A428C3">
        <w:t xml:space="preserve"> (11), 3969-3973.</w:t>
      </w:r>
    </w:p>
    <w:p w:rsidR="00B95188" w:rsidRPr="00A428C3" w:rsidRDefault="00B95188" w:rsidP="00B95188">
      <w:pPr>
        <w:pStyle w:val="a0"/>
      </w:pPr>
      <w:r w:rsidRPr="00A428C3">
        <w:t xml:space="preserve">Full Text: </w:t>
      </w:r>
      <w:hyperlink r:id="rId1249" w:history="1">
        <w:r w:rsidRPr="00A428C3">
          <w:rPr>
            <w:rStyle w:val="a5"/>
          </w:rPr>
          <w:t>2006\Ind Eng Che Res45, 3969.pdf</w:t>
        </w:r>
      </w:hyperlink>
    </w:p>
    <w:p w:rsidR="00B95188" w:rsidRPr="00A428C3" w:rsidRDefault="00B95188" w:rsidP="00B95188">
      <w:pPr>
        <w:pStyle w:val="a0"/>
      </w:pPr>
      <w:r w:rsidRPr="00A428C3">
        <w:t>Abstract: The combined process of coagulation</w:t>
      </w:r>
      <w:r w:rsidR="00F81221">
        <w:t xml:space="preserve"> and </w:t>
      </w:r>
      <w:r w:rsidRPr="00A428C3">
        <w:t>adsorption was studied for the treatment of reactive dye wastewaters. Ferric chloride</w:t>
      </w:r>
      <w:r w:rsidR="00F81221">
        <w:t xml:space="preserve"> and </w:t>
      </w:r>
      <w:r w:rsidRPr="00A428C3">
        <w:t>organozeolite modified with CTAB were chosen as the coagulant</w:t>
      </w:r>
      <w:r w:rsidR="00F81221">
        <w:t xml:space="preserve"> and </w:t>
      </w:r>
      <w:r w:rsidRPr="00A428C3">
        <w:t>adsorbent, respectively. Reactive dyes, namely, Reactive Blue 4 (RB4)</w:t>
      </w:r>
      <w:r w:rsidR="00F81221">
        <w:t xml:space="preserve"> and </w:t>
      </w:r>
      <w:r w:rsidRPr="00A428C3">
        <w:t>Reactive Yellow (RY), were used as representatives of anthraquinone</w:t>
      </w:r>
      <w:r w:rsidR="00F81221">
        <w:t xml:space="preserve"> and </w:t>
      </w:r>
      <w:r w:rsidRPr="00A428C3">
        <w:t>azo textile dyes. A series of jar-test</w:t>
      </w:r>
      <w:r w:rsidR="00F81221">
        <w:t xml:space="preserve"> and </w:t>
      </w:r>
      <w:r w:rsidRPr="00A428C3">
        <w:t>batch experiments were conducted to determine the optimum conditions. According to individual dye removal efficiencies, coagulation is the main treatment process of the combined process,</w:t>
      </w:r>
      <w:r w:rsidR="00F81221">
        <w:t xml:space="preserve"> and </w:t>
      </w:r>
      <w:r w:rsidRPr="00A428C3">
        <w:t>RY has better performance than RB4. Coagulation followed by adsorption was found to be very effective for color removal with more than 99.50%</w:t>
      </w:r>
      <w:r w:rsidR="00F81221">
        <w:t xml:space="preserve"> and </w:t>
      </w:r>
      <w:r w:rsidRPr="00A428C3">
        <w:t>for COD removal with more than 97.25%.</w:t>
      </w:r>
    </w:p>
    <w:p w:rsidR="00B95188" w:rsidRPr="00A428C3" w:rsidRDefault="00B95188" w:rsidP="00B95188">
      <w:pPr>
        <w:pStyle w:val="a0"/>
      </w:pPr>
      <w:r w:rsidRPr="00A428C3">
        <w:t>Keywords: Effluents, Nanofiltration Membranes, Ozonation, Reactive-Dye, Removal, Textile Waste-Water</w:t>
      </w:r>
    </w:p>
    <w:p w:rsidR="00B95188" w:rsidRPr="00A428C3" w:rsidRDefault="00B95188" w:rsidP="00B95188">
      <w:pPr>
        <w:pStyle w:val="a0"/>
      </w:pPr>
      <w:r w:rsidRPr="00A428C3">
        <w:t xml:space="preserve">? Chakraborty, S., Basu, J.K., De, S., Das Gupta, S. (2006), Adsorption of reactive dyes from a textile effluent using sawdust as the adsorbent. </w:t>
      </w:r>
      <w:r w:rsidRPr="00A428C3">
        <w:rPr>
          <w:i/>
        </w:rPr>
        <w:t>Industrial &amp; Engineering Chemistry Research</w:t>
      </w:r>
      <w:r w:rsidRPr="00A428C3">
        <w:t xml:space="preserve">, </w:t>
      </w:r>
      <w:r w:rsidRPr="00A428C3">
        <w:rPr>
          <w:b/>
        </w:rPr>
        <w:t>45</w:t>
      </w:r>
      <w:r w:rsidRPr="00A428C3">
        <w:t xml:space="preserve"> (13), 4732-4741.</w:t>
      </w:r>
    </w:p>
    <w:p w:rsidR="00B95188" w:rsidRPr="00A428C3" w:rsidRDefault="00B95188" w:rsidP="00B95188">
      <w:pPr>
        <w:pStyle w:val="a0"/>
      </w:pPr>
      <w:r w:rsidRPr="00A428C3">
        <w:t xml:space="preserve">Full Text: </w:t>
      </w:r>
      <w:hyperlink r:id="rId1250" w:history="1">
        <w:r w:rsidRPr="00A428C3">
          <w:rPr>
            <w:rStyle w:val="a5"/>
          </w:rPr>
          <w:t>2006\Ind Eng Che Res45, 4732.pdf</w:t>
        </w:r>
      </w:hyperlink>
    </w:p>
    <w:p w:rsidR="00B95188" w:rsidRPr="00A428C3" w:rsidRDefault="00B95188" w:rsidP="00B95188">
      <w:pPr>
        <w:pStyle w:val="a0"/>
      </w:pPr>
      <w:r w:rsidRPr="00A428C3">
        <w:t>Abstract: Adsorption is carried out for the removal of two reactive dyes from an industrial effluent. The specific dyes are reactive red</w:t>
      </w:r>
      <w:r w:rsidR="00F81221">
        <w:t xml:space="preserve"> and </w:t>
      </w:r>
      <w:r w:rsidRPr="00A428C3">
        <w:t>reactive black, commercially known as Cibacron Red RB</w:t>
      </w:r>
      <w:r w:rsidR="00F81221">
        <w:t xml:space="preserve"> and </w:t>
      </w:r>
      <w:r w:rsidRPr="00A428C3">
        <w:t>Cibacron Black B, respectively. An adsorbent developed from sawdust is used. Equilibrium</w:t>
      </w:r>
      <w:r w:rsidR="00F81221">
        <w:t xml:space="preserve"> and </w:t>
      </w:r>
      <w:r w:rsidRPr="00A428C3">
        <w:t>kinetic studies are carried out with the synthetic solutions of the dyes. For the mixture of two dyes, the bisolute Langmuir isotherm modified with an interaction factor is used. A mass transfer model including an external film mass transfer coefficient</w:t>
      </w:r>
      <w:r w:rsidR="00F81221">
        <w:t xml:space="preserve"> and </w:t>
      </w:r>
      <w:r w:rsidRPr="00A428C3">
        <w:t>an internal effective diffusivity is used to interpret the adsorption kinetic data. These parameters are obtained by fitting the experimental data to the model. An industrial effluent is successfully treated with the same adsorbent. The estimated model parameters are used for the prediction of the concentration profiles of dyes of the industrial effluent.</w:t>
      </w:r>
    </w:p>
    <w:p w:rsidR="00B95188" w:rsidRPr="00A428C3" w:rsidRDefault="00B95188" w:rsidP="00B95188">
      <w:pPr>
        <w:pStyle w:val="a0"/>
      </w:pPr>
      <w:r w:rsidRPr="00A428C3">
        <w:t>Keywords: Shrinking Core Model, Aqueous-Solution, Batch Adsorption, Activated Carbon, Barley Husk, Sorption, Equilibrium, Removal</w:t>
      </w:r>
    </w:p>
    <w:p w:rsidR="00B95188" w:rsidRPr="00A428C3" w:rsidRDefault="00B95188" w:rsidP="00B95188">
      <w:pPr>
        <w:pStyle w:val="a0"/>
      </w:pPr>
      <w:r w:rsidRPr="00A428C3">
        <w:t xml:space="preserve">? Mohanty, K., Naidu, J.T., </w:t>
      </w:r>
      <w:smartTag w:uri="urn:schemas-microsoft-com:office:smarttags" w:element="City">
        <w:r w:rsidRPr="00A428C3">
          <w:t>Meikap</w:t>
        </w:r>
      </w:smartTag>
      <w:r w:rsidRPr="00A428C3">
        <w:t>, B.C.</w:t>
      </w:r>
      <w:r w:rsidR="00F81221">
        <w:t xml:space="preserve"> and </w:t>
      </w:r>
      <w:r w:rsidRPr="00A428C3">
        <w:t xml:space="preserve">Biswas, M.N. (2006), Removal of crystal violet from wastewater by activated carbons prepared from rice husk. </w:t>
      </w:r>
      <w:r w:rsidRPr="00A428C3">
        <w:rPr>
          <w:i/>
        </w:rPr>
        <w:t xml:space="preserve">Industrial &amp; </w:t>
      </w:r>
      <w:r w:rsidRPr="00A428C3">
        <w:rPr>
          <w:i/>
        </w:rPr>
        <w:lastRenderedPageBreak/>
        <w:t>Engineering Chemistry Research</w:t>
      </w:r>
      <w:r w:rsidRPr="00A428C3">
        <w:t xml:space="preserve">, </w:t>
      </w:r>
      <w:r w:rsidRPr="00A428C3">
        <w:rPr>
          <w:b/>
        </w:rPr>
        <w:t>45</w:t>
      </w:r>
      <w:r w:rsidRPr="00A428C3">
        <w:t xml:space="preserve"> (14), 5165-5171.</w:t>
      </w:r>
    </w:p>
    <w:p w:rsidR="00B95188" w:rsidRPr="00A428C3" w:rsidRDefault="00B95188" w:rsidP="00B95188">
      <w:pPr>
        <w:pStyle w:val="a0"/>
      </w:pPr>
      <w:r w:rsidRPr="00A428C3">
        <w:t xml:space="preserve">Full Text: </w:t>
      </w:r>
      <w:hyperlink r:id="rId1251" w:history="1">
        <w:r w:rsidRPr="00A428C3">
          <w:rPr>
            <w:rStyle w:val="a5"/>
          </w:rPr>
          <w:t>2006\Ind Eng Che Res45, 5165.pdf</w:t>
        </w:r>
      </w:hyperlink>
    </w:p>
    <w:p w:rsidR="00B95188" w:rsidRPr="00A428C3" w:rsidRDefault="00B95188" w:rsidP="00B95188">
      <w:pPr>
        <w:pStyle w:val="a0"/>
      </w:pPr>
      <w:r w:rsidRPr="00A428C3">
        <w:t>Abstract: Adsorption onto activated carbons is a potent method for the treatment of dye-bearing effluents because it offers various advantages. In this study, activated carbons, prepared by a new technique from low-cost rice husk by sulfuric acid</w:t>
      </w:r>
      <w:r w:rsidR="00F81221">
        <w:t xml:space="preserve"> and </w:t>
      </w:r>
      <w:r w:rsidRPr="00A428C3">
        <w:t>zinc chloride activation, were used as the adsorbent for the removal of crystal violet, a basic dye, from aqueous solutions. The effects of various experimental parameters, such as adsorbent dosage</w:t>
      </w:r>
      <w:r w:rsidR="00F81221">
        <w:t xml:space="preserve"> and </w:t>
      </w:r>
      <w:r w:rsidRPr="00A428C3">
        <w:t>size, initial dye concentration, pH, contact time,</w:t>
      </w:r>
      <w:r w:rsidR="00F81221">
        <w:t xml:space="preserve"> and </w:t>
      </w:r>
      <w:r w:rsidRPr="00A428C3">
        <w:t>temperature, were investigated in batch mode. The kinetic data were well fitted to the Lagergren, pseudo-second-order,</w:t>
      </w:r>
      <w:r w:rsidR="00F81221">
        <w:t xml:space="preserve"> and </w:t>
      </w:r>
      <w:r w:rsidRPr="00A428C3">
        <w:t>intraparticle diffusion models. It was found that intraparticle diffusion plays a significant role in the adsorption mechanism. The isothermal data could be well described by the Langmuir</w:t>
      </w:r>
      <w:r w:rsidR="00F81221">
        <w:t xml:space="preserve"> and </w:t>
      </w:r>
      <w:r w:rsidRPr="00A428C3">
        <w:t>Freundlich equations. The maximum uptakes of crystal violet by sulfuric acid activated (RHS)</w:t>
      </w:r>
      <w:r w:rsidR="00F81221">
        <w:t xml:space="preserve"> and </w:t>
      </w:r>
      <w:r w:rsidRPr="00A428C3">
        <w:t>zinc chloride activated (RHZ) rice husk carbon were found to be 64.875</w:t>
      </w:r>
      <w:r w:rsidR="00F81221">
        <w:t xml:space="preserve"> and </w:t>
      </w:r>
      <w:r w:rsidRPr="00A428C3">
        <w:t>61.575 mg/g of adsorbent, respectively. The results indicate that RHS</w:t>
      </w:r>
      <w:r w:rsidR="00F81221">
        <w:t xml:space="preserve"> and </w:t>
      </w:r>
      <w:r w:rsidRPr="00A428C3">
        <w:t>RHZ could be employed as low-cost alternatives to commercial activated carbon in wastewater treatment for the removal of basic dyes.</w:t>
      </w:r>
    </w:p>
    <w:p w:rsidR="00B95188" w:rsidRPr="00A428C3" w:rsidRDefault="00B95188" w:rsidP="00B95188">
      <w:pPr>
        <w:pStyle w:val="a0"/>
      </w:pPr>
      <w:r w:rsidRPr="00A428C3">
        <w:t>Keywords: De-Oiled-Soya, Aqueous-Solutions, Malachite Green, Methylene-Blue, Basic Dye, Column Operations, Industry Waste, Zinc-Chloride, Rhodamine-B, Bottom Ash</w:t>
      </w:r>
    </w:p>
    <w:p w:rsidR="003C4191" w:rsidRDefault="003C4191" w:rsidP="003C4191">
      <w:pPr>
        <w:pStyle w:val="a0"/>
        <w:rPr>
          <w:kern w:val="0"/>
        </w:rPr>
      </w:pPr>
      <w:r>
        <w:rPr>
          <w:rFonts w:hint="eastAsia"/>
          <w:kern w:val="0"/>
        </w:rPr>
        <w:t xml:space="preserve">? </w:t>
      </w:r>
      <w:r>
        <w:rPr>
          <w:kern w:val="0"/>
        </w:rPr>
        <w:t>Sarkar, M., Banerjee, A.</w:t>
      </w:r>
      <w:r w:rsidR="00F81221">
        <w:rPr>
          <w:kern w:val="0"/>
        </w:rPr>
        <w:t xml:space="preserve"> and </w:t>
      </w:r>
      <w:r>
        <w:rPr>
          <w:kern w:val="0"/>
        </w:rPr>
        <w:t>Pramanick, P.P. (2006), Kinetics</w:t>
      </w:r>
      <w:r w:rsidR="00F81221">
        <w:rPr>
          <w:kern w:val="0"/>
        </w:rPr>
        <w:t xml:space="preserve"> and </w:t>
      </w:r>
      <w:r>
        <w:rPr>
          <w:kern w:val="0"/>
        </w:rPr>
        <w:t xml:space="preserve">mechanism of fluoride removal using laterite. </w:t>
      </w:r>
      <w:r>
        <w:rPr>
          <w:i/>
          <w:iCs/>
          <w:kern w:val="0"/>
        </w:rPr>
        <w:t>Industrial &amp; Engineering Chemistry Research</w:t>
      </w:r>
      <w:r>
        <w:rPr>
          <w:kern w:val="0"/>
        </w:rPr>
        <w:t xml:space="preserve">, </w:t>
      </w:r>
      <w:r>
        <w:rPr>
          <w:b/>
          <w:bCs/>
          <w:kern w:val="0"/>
        </w:rPr>
        <w:t>45</w:t>
      </w:r>
      <w:r>
        <w:rPr>
          <w:kern w:val="0"/>
        </w:rPr>
        <w:t xml:space="preserve"> (17), 5920-5927.</w:t>
      </w:r>
    </w:p>
    <w:p w:rsidR="003C4191" w:rsidRPr="00A428C3" w:rsidRDefault="003C4191" w:rsidP="003C4191">
      <w:pPr>
        <w:pStyle w:val="a0"/>
      </w:pPr>
      <w:r w:rsidRPr="00A428C3">
        <w:t xml:space="preserve">Full Text: </w:t>
      </w:r>
      <w:hyperlink r:id="rId1252" w:history="1">
        <w:r w:rsidRPr="003C4191">
          <w:rPr>
            <w:rStyle w:val="a5"/>
          </w:rPr>
          <w:t>2006\Ind Eng Che Res45, 5920.pdf</w:t>
        </w:r>
      </w:hyperlink>
    </w:p>
    <w:p w:rsidR="003C4191" w:rsidRDefault="003C4191" w:rsidP="003C4191">
      <w:pPr>
        <w:pStyle w:val="a0"/>
        <w:rPr>
          <w:kern w:val="0"/>
        </w:rPr>
      </w:pPr>
      <w:r>
        <w:rPr>
          <w:kern w:val="0"/>
        </w:rPr>
        <w:t>Abstract: The suitability of laterite soil particle as a potential adsorbent is assessed for the removal of fluoride following batch mode of operation. The efficiency of the operation is determined by initial fluoride concentration, shaking time, shaking speed, dose</w:t>
      </w:r>
      <w:r w:rsidR="00F81221">
        <w:rPr>
          <w:kern w:val="0"/>
        </w:rPr>
        <w:t xml:space="preserve"> and </w:t>
      </w:r>
      <w:r>
        <w:rPr>
          <w:kern w:val="0"/>
        </w:rPr>
        <w:t>particle size of the adsorbent, pH of the solution,</w:t>
      </w:r>
      <w:r w:rsidR="00F81221">
        <w:rPr>
          <w:kern w:val="0"/>
        </w:rPr>
        <w:t xml:space="preserve"> and </w:t>
      </w:r>
      <w:r>
        <w:rPr>
          <w:kern w:val="0"/>
        </w:rPr>
        <w:t>temperature. The process attains equilibrium at 195 min, removing 78.2% fluoride from 10 mg dm</w:t>
      </w:r>
      <w:r>
        <w:rPr>
          <w:rFonts w:hint="eastAsia"/>
          <w:kern w:val="0"/>
          <w:vertAlign w:val="superscript"/>
        </w:rPr>
        <w:t>-3</w:t>
      </w:r>
      <w:r>
        <w:rPr>
          <w:kern w:val="0"/>
        </w:rPr>
        <w:t xml:space="preserve"> fluoride solution using fine particle size at 303 K. Thermodynamic parameters revealed that the process is spontaneous</w:t>
      </w:r>
      <w:r w:rsidR="00F81221">
        <w:rPr>
          <w:kern w:val="0"/>
        </w:rPr>
        <w:t xml:space="preserve"> and </w:t>
      </w:r>
      <w:r>
        <w:rPr>
          <w:kern w:val="0"/>
        </w:rPr>
        <w:t>exothermic in nature. The isotherm can be conformed to either Langmuir or Freundlich model in different temperature regions. The process follows Lagergren pseudo-first-order rate,</w:t>
      </w:r>
      <w:r w:rsidR="00F81221">
        <w:rPr>
          <w:kern w:val="0"/>
        </w:rPr>
        <w:t xml:space="preserve"> and </w:t>
      </w:r>
      <w:r>
        <w:rPr>
          <w:kern w:val="0"/>
        </w:rPr>
        <w:t>surface diffusion is identified as the predominating mechanism.</w:t>
      </w:r>
    </w:p>
    <w:p w:rsidR="003C4191" w:rsidRDefault="003C4191" w:rsidP="003C4191">
      <w:pPr>
        <w:pStyle w:val="a0"/>
        <w:rPr>
          <w:kern w:val="0"/>
        </w:rPr>
      </w:pPr>
      <w:r>
        <w:rPr>
          <w:kern w:val="0"/>
        </w:rPr>
        <w:t>Keywords: Activated Carbon, Adsorbent, Adsorption-Kinetics, Aqueous-Solution, Defluoridation, Diffusion, Drinking-Water, Equilibrium, Fluorapatite, Fluoride, Freundlich, Ions, Isotherm, Kinetics, Langmuir, Laterite, Laterite Soil, Soil, Sorption, Spontaneous, Temperature, Waste-Water</w:t>
      </w:r>
    </w:p>
    <w:p w:rsidR="00B95188" w:rsidRPr="00A428C3" w:rsidRDefault="00B95188" w:rsidP="00B95188">
      <w:pPr>
        <w:pStyle w:val="a0"/>
      </w:pPr>
      <w:r w:rsidRPr="00A428C3">
        <w:t>? Goel, J., Kadirvelu, K., Rajagopal, C.</w:t>
      </w:r>
      <w:r w:rsidR="00F81221">
        <w:t xml:space="preserve"> and </w:t>
      </w:r>
      <w:r w:rsidRPr="00A428C3">
        <w:t xml:space="preserve">Garg, V.K. (2006), Cadmium(II) uptake </w:t>
      </w:r>
      <w:r w:rsidRPr="00A428C3">
        <w:lastRenderedPageBreak/>
        <w:t xml:space="preserve">from aqueous solution by adsorption onto carbon aerogel using a response surface methodological approach. </w:t>
      </w:r>
      <w:r w:rsidRPr="00A428C3">
        <w:rPr>
          <w:i/>
        </w:rPr>
        <w:t>Industrial &amp; Engineering Chemistry Research</w:t>
      </w:r>
      <w:r w:rsidRPr="00A428C3">
        <w:t xml:space="preserve">, </w:t>
      </w:r>
      <w:r w:rsidRPr="00A428C3">
        <w:rPr>
          <w:b/>
        </w:rPr>
        <w:t>45</w:t>
      </w:r>
      <w:r w:rsidRPr="00A428C3">
        <w:t xml:space="preserve"> (19), 6531-6537.</w:t>
      </w:r>
    </w:p>
    <w:p w:rsidR="00B95188" w:rsidRPr="00A428C3" w:rsidRDefault="00B95188" w:rsidP="00B95188">
      <w:pPr>
        <w:pStyle w:val="a0"/>
      </w:pPr>
      <w:r w:rsidRPr="00A428C3">
        <w:t xml:space="preserve">Full Text: </w:t>
      </w:r>
      <w:hyperlink r:id="rId1253" w:history="1">
        <w:r w:rsidRPr="00A428C3">
          <w:rPr>
            <w:rStyle w:val="a5"/>
          </w:rPr>
          <w:t>2006\Ind Eng Che Res45, 6531.pdf</w:t>
        </w:r>
      </w:hyperlink>
    </w:p>
    <w:p w:rsidR="00B95188" w:rsidRPr="00A428C3" w:rsidRDefault="00B95188" w:rsidP="00B95188">
      <w:pPr>
        <w:pStyle w:val="a0"/>
      </w:pPr>
      <w:r w:rsidRPr="00A428C3">
        <w:t>Abstract: Recently a new form of activated carbon has appeared: carbon aerogel. Use of carbon aerogel for the adsorptive removal of inorganic compounds (and especially metal ions) has not been investigated. The purpose of this study is to investigate feasibility of cadmium(II) adsorption on carbon aerogel from aqueous solution. The physicochemical properties of carbon aerogel were analyzed to obtain a better understanding of the adsorption mechanism of Cd(II) onto carbon aerogel in aqueous solution. The surface structure of carbon aerogel was analyzed by scanning electron microscopy (SEM) coupled with energy-dispersive X-ray analysis (EDAX). Batch mode adsorption experiments were carried out to assess the adsorption behavior of Cd(II) in aqueous solution. The maximum adsorption capacity (Q(0)) was calculated by applying the Langmuir equation to Cd(II) in the adsorption isotherm</w:t>
      </w:r>
      <w:r w:rsidR="00F81221">
        <w:t xml:space="preserve"> and </w:t>
      </w:r>
      <w:r w:rsidRPr="00A428C3">
        <w:t>was found to be 15.53 mg g</w:t>
      </w:r>
      <w:r w:rsidRPr="00A428C3">
        <w:rPr>
          <w:vertAlign w:val="superscript"/>
        </w:rPr>
        <w:t>-1</w:t>
      </w:r>
      <w:r w:rsidRPr="00A428C3">
        <w:t>. The influence of three-process variables, namely, adsorbent concentration (0.02</w:t>
      </w:r>
      <w:smartTag w:uri="urn:schemas-microsoft-com:office:smarttags" w:element="chmetcnv">
        <w:smartTagPr>
          <w:attr w:name="TCSC" w:val="0"/>
          <w:attr w:name="NumberType" w:val="1"/>
          <w:attr w:name="Negative" w:val="True"/>
          <w:attr w:name="HasSpace" w:val="True"/>
          <w:attr w:name="SourceValue" w:val="0.1"/>
          <w:attr w:name="UnitName" w:val="g"/>
        </w:smartTagPr>
        <w:r w:rsidRPr="00A428C3">
          <w:t>-0.1 g</w:t>
        </w:r>
      </w:smartTag>
      <w:r w:rsidRPr="00A428C3">
        <w:t>) per 50 mL of metal solution, solution pH (2.0-10.0),</w:t>
      </w:r>
      <w:r w:rsidR="00F81221">
        <w:t xml:space="preserve"> and </w:t>
      </w:r>
      <w:r w:rsidRPr="00A428C3">
        <w:t>temperature (20-70 degrees C), on the percentage removal of Cd(II) was also examined, using a response surface methodological (RSM) approach. The Box-Behnken model was used as an experimental design,</w:t>
      </w:r>
      <w:r w:rsidR="00F81221">
        <w:t xml:space="preserve"> and </w:t>
      </w:r>
      <w:r w:rsidRPr="00A428C3">
        <w:t xml:space="preserve">a statistically practicable second-order polynomial equation was fitted to the model exhibiting a response-variable relationship. This was evidenced by a high R-2 value of 0.9602. Response surfaces were plotted on the basis of the fitted second-order polynomial equation. The optimum conditions for maximum adsorption of Cd(II) were found to be as follows: adsorbent concentration of </w:t>
      </w:r>
      <w:smartTag w:uri="urn:schemas-microsoft-com:office:smarttags" w:element="chmetcnv">
        <w:smartTagPr>
          <w:attr w:name="TCSC" w:val="0"/>
          <w:attr w:name="NumberType" w:val="1"/>
          <w:attr w:name="Negative" w:val="False"/>
          <w:attr w:name="HasSpace" w:val="True"/>
          <w:attr w:name="SourceValue" w:val="0.1"/>
          <w:attr w:name="UnitName" w:val="g"/>
        </w:smartTagPr>
        <w:r w:rsidRPr="00A428C3">
          <w:t>0.1 g</w:t>
        </w:r>
      </w:smartTag>
      <w:r w:rsidRPr="00A428C3">
        <w:t xml:space="preserve"> per 50 mL of metal solution, pH range 6.0-7.0,</w:t>
      </w:r>
      <w:r w:rsidR="00F81221">
        <w:t xml:space="preserve"> and </w:t>
      </w:r>
      <w:r w:rsidRPr="00A428C3">
        <w:t>temperature of 70 degrees C. Effect of initial solution pH on Cd(II) removal was carried out to assess the adsorption behavior at different pH values. Adsorption of cadmium(II) increases with increasing initial pH from 2.0 to 10.0.</w:t>
      </w:r>
    </w:p>
    <w:p w:rsidR="00B95188" w:rsidRPr="00A428C3" w:rsidRDefault="00B95188" w:rsidP="00B95188">
      <w:pPr>
        <w:pStyle w:val="a0"/>
      </w:pPr>
      <w:r w:rsidRPr="00A428C3">
        <w:t>Keywords: Activated Carbon, Adsorption, Adsorption Isotherm, Cd(II), Copper, Cu(II), Equilibrium, Ions, Isotherm, Model, Pb(II), Removal, Second-Order, Sorption, Water</w:t>
      </w:r>
    </w:p>
    <w:p w:rsidR="00B95188" w:rsidRPr="00A428C3" w:rsidRDefault="00B95188" w:rsidP="00B95188">
      <w:pPr>
        <w:pStyle w:val="a0"/>
      </w:pPr>
      <w:r w:rsidRPr="00A428C3">
        <w:t>? Bhattacharyya, K.G.</w:t>
      </w:r>
      <w:r w:rsidR="00F81221">
        <w:t xml:space="preserve"> and </w:t>
      </w:r>
      <w:r w:rsidRPr="00A428C3">
        <w:t xml:space="preserve">Gupta, S.S. (2006), Adsorption of chromium(VI) from water by clays. </w:t>
      </w:r>
      <w:r w:rsidRPr="00A428C3">
        <w:rPr>
          <w:i/>
        </w:rPr>
        <w:t>Industrial &amp; Engineering Chemistry Research</w:t>
      </w:r>
      <w:r w:rsidRPr="00A428C3">
        <w:t xml:space="preserve">, </w:t>
      </w:r>
      <w:r w:rsidRPr="00A428C3">
        <w:rPr>
          <w:b/>
        </w:rPr>
        <w:t>45</w:t>
      </w:r>
      <w:r w:rsidRPr="00A428C3">
        <w:t xml:space="preserve"> (21), 7232-7240.</w:t>
      </w:r>
    </w:p>
    <w:p w:rsidR="00B95188" w:rsidRPr="00A428C3" w:rsidRDefault="00B95188" w:rsidP="00B95188">
      <w:pPr>
        <w:pStyle w:val="a0"/>
      </w:pPr>
      <w:r w:rsidRPr="00A428C3">
        <w:t xml:space="preserve">Full Text: </w:t>
      </w:r>
      <w:hyperlink r:id="rId1254" w:history="1">
        <w:r w:rsidRPr="00A428C3">
          <w:rPr>
            <w:rStyle w:val="a5"/>
          </w:rPr>
          <w:t>2006\Ind Eng Che Res45, 7232.pdf</w:t>
        </w:r>
      </w:hyperlink>
    </w:p>
    <w:p w:rsidR="00B95188" w:rsidRPr="00A428C3" w:rsidRDefault="00B95188" w:rsidP="00B95188">
      <w:pPr>
        <w:pStyle w:val="a0"/>
      </w:pPr>
      <w:r w:rsidRPr="00A428C3">
        <w:t>Abstract: Interactions of kaolinite</w:t>
      </w:r>
      <w:r w:rsidR="00F81221">
        <w:t xml:space="preserve"> and </w:t>
      </w:r>
      <w:r w:rsidRPr="00A428C3">
        <w:t>its modified forms, acid-activated kaolinite, poly(oxozirconium) kaolinite,</w:t>
      </w:r>
      <w:r w:rsidR="00F81221">
        <w:t xml:space="preserve"> and </w:t>
      </w:r>
      <w:r w:rsidRPr="00A428C3">
        <w:t>tetrabutylammonium kaolinite, have been investigated for their utilization as adsorbents for Cr(VI) in aqueous medium. The variables are Cr(VI) concentration, amount of kaolinite or its modified forms, pH, interaction time,</w:t>
      </w:r>
      <w:r w:rsidR="00F81221">
        <w:t xml:space="preserve"> and </w:t>
      </w:r>
      <w:r w:rsidRPr="00A428C3">
        <w:t xml:space="preserve">temperature. The adsorption is strongly dependent on the pH of the medium with Cr(VI) uptake increasing from pH 1.0 to pH 7.0, after which the </w:t>
      </w:r>
      <w:r w:rsidRPr="00A428C3">
        <w:lastRenderedPageBreak/>
        <w:t>uptake decreases. The process attains equilibrium within 240 min. The kinetics of the interactions is tested with respect to pseudo-first-order, second-order, Elovich, liquid film diffusion,</w:t>
      </w:r>
      <w:r w:rsidR="00F81221">
        <w:t xml:space="preserve"> and </w:t>
      </w:r>
      <w:r w:rsidRPr="00A428C3">
        <w:t>intraparticle diffusion models,</w:t>
      </w:r>
      <w:r w:rsidR="00F81221">
        <w:t xml:space="preserve"> and </w:t>
      </w:r>
      <w:r w:rsidRPr="00A428C3">
        <w:t>it is seen that the interactions do not follow a simple model. The adsorption process, however, gives a good fit with both the Langmuir</w:t>
      </w:r>
      <w:r w:rsidR="00F81221">
        <w:t xml:space="preserve"> and </w:t>
      </w:r>
      <w:r w:rsidRPr="00A428C3">
        <w:t>Freundlich isotherm equations. The Langmuir monolayer capacity of the clay adsorbents is from 10.6 to 13.9 mg g</w:t>
      </w:r>
      <w:r w:rsidRPr="00A428C3">
        <w:rPr>
          <w:vertAlign w:val="superscript"/>
        </w:rPr>
        <w:t>-1</w:t>
      </w:r>
      <w:r w:rsidRPr="00A428C3">
        <w:t>. The adsorption process is endothermic (Delta H = 30.4-63.9 kJ mol</w:t>
      </w:r>
      <w:r w:rsidRPr="00A428C3">
        <w:rPr>
          <w:vertAlign w:val="superscript"/>
        </w:rPr>
        <w:t>-1</w:t>
      </w:r>
      <w:r w:rsidRPr="00A428C3">
        <w:t>) accompanied by an increase in entropy (Delta S = 88.4-198.1 J mol</w:t>
      </w:r>
      <w:r w:rsidRPr="00A428C3">
        <w:rPr>
          <w:vertAlign w:val="superscript"/>
        </w:rPr>
        <w:t>-1</w:t>
      </w:r>
      <w:r w:rsidRPr="00A428C3">
        <w:t xml:space="preserve"> K</w:t>
      </w:r>
      <w:r w:rsidRPr="00A428C3">
        <w:rPr>
          <w:vertAlign w:val="superscript"/>
        </w:rPr>
        <w:t>-1</w:t>
      </w:r>
      <w:r w:rsidRPr="00A428C3">
        <w:t>)</w:t>
      </w:r>
      <w:r w:rsidR="00F81221">
        <w:t xml:space="preserve"> and </w:t>
      </w:r>
      <w:r w:rsidRPr="00A428C3">
        <w:t>decrease in Gibbs energy. The results have shown that acid-activated kaolinite has the largest adsorption capacity followed by nonactivated kaolinite, ZrO-kaolinite,</w:t>
      </w:r>
      <w:r w:rsidR="00F81221">
        <w:t xml:space="preserve"> and </w:t>
      </w:r>
      <w:r w:rsidRPr="00A428C3">
        <w:t>TBA-kaolinite.</w:t>
      </w:r>
    </w:p>
    <w:p w:rsidR="00B95188" w:rsidRPr="00A428C3" w:rsidRDefault="00B95188" w:rsidP="00B95188">
      <w:pPr>
        <w:pStyle w:val="a0"/>
      </w:pPr>
      <w:r w:rsidRPr="00A428C3">
        <w:t>Keywords: Sugar-Industry Waste, Bagasse Fly-Ash, Aqueous-Solutions, Pillared Clays, Trivalent Chromium, Activated Carbon, Acid Activation, Gas-Adsorption, Kinetic-Models, Heavy-Metal</w:t>
      </w:r>
    </w:p>
    <w:p w:rsidR="00B95188" w:rsidRPr="00A428C3" w:rsidRDefault="00B95188" w:rsidP="00B95188">
      <w:pPr>
        <w:pStyle w:val="a0"/>
      </w:pPr>
      <w:r w:rsidRPr="00A428C3">
        <w:t xml:space="preserve">? Inbaraj, B.S. (2006), Comment on </w:t>
      </w:r>
      <w:r w:rsidR="000352E7">
        <w:t>“</w:t>
      </w:r>
      <w:r w:rsidRPr="00A428C3">
        <w:t>adsorption of reactive dyes from a textile effluent using sawdust as the adsorbent</w:t>
      </w:r>
      <w:r w:rsidR="000352E7">
        <w:t>”</w:t>
      </w:r>
      <w:r w:rsidRPr="00A428C3">
        <w:t xml:space="preserve">. </w:t>
      </w:r>
      <w:r w:rsidRPr="00A428C3">
        <w:rPr>
          <w:i/>
        </w:rPr>
        <w:t>Industrial &amp; Engineering Chemistry Research</w:t>
      </w:r>
      <w:r w:rsidRPr="00A428C3">
        <w:t xml:space="preserve">, </w:t>
      </w:r>
      <w:r w:rsidRPr="00A428C3">
        <w:rPr>
          <w:b/>
        </w:rPr>
        <w:t>45</w:t>
      </w:r>
      <w:r w:rsidRPr="00A428C3">
        <w:t xml:space="preserve"> (21), 7362.</w:t>
      </w:r>
    </w:p>
    <w:p w:rsidR="00B95188" w:rsidRPr="00A428C3" w:rsidRDefault="00B95188" w:rsidP="00B95188">
      <w:pPr>
        <w:pStyle w:val="a0"/>
      </w:pPr>
      <w:r w:rsidRPr="00A428C3">
        <w:t xml:space="preserve">Full Text: </w:t>
      </w:r>
      <w:hyperlink r:id="rId1255" w:history="1">
        <w:r w:rsidRPr="00A428C3">
          <w:rPr>
            <w:rStyle w:val="a5"/>
          </w:rPr>
          <w:t>2006\Ind Eng Che Res45, 7362.pdf</w:t>
        </w:r>
      </w:hyperlink>
    </w:p>
    <w:p w:rsidR="00B95188" w:rsidRPr="00A428C3" w:rsidRDefault="00B95188" w:rsidP="00B95188">
      <w:pPr>
        <w:pStyle w:val="a0"/>
      </w:pPr>
      <w:r w:rsidRPr="00A428C3">
        <w:t>Keywords: Isotherm</w:t>
      </w:r>
    </w:p>
    <w:p w:rsidR="00B95188" w:rsidRPr="00A428C3" w:rsidRDefault="00B95188" w:rsidP="00B95188">
      <w:pPr>
        <w:pStyle w:val="a0"/>
      </w:pPr>
      <w:r w:rsidRPr="00A428C3">
        <w:t xml:space="preserve">? </w:t>
      </w:r>
      <w:r>
        <w:t>Preethi</w:t>
      </w:r>
      <w:r>
        <w:rPr>
          <w:rFonts w:hint="eastAsia"/>
        </w:rPr>
        <w:t>,</w:t>
      </w:r>
      <w:r>
        <w:t xml:space="preserve"> S</w:t>
      </w:r>
      <w:r>
        <w:rPr>
          <w:rFonts w:hint="eastAsia"/>
        </w:rPr>
        <w:t>.,</w:t>
      </w:r>
      <w:r>
        <w:t xml:space="preserve"> Sivasamy</w:t>
      </w:r>
      <w:r>
        <w:rPr>
          <w:rFonts w:hint="eastAsia"/>
        </w:rPr>
        <w:t>,</w:t>
      </w:r>
      <w:r>
        <w:t xml:space="preserve"> A</w:t>
      </w:r>
      <w:r>
        <w:rPr>
          <w:rFonts w:hint="eastAsia"/>
        </w:rPr>
        <w:t>.,</w:t>
      </w:r>
      <w:r>
        <w:t xml:space="preserve"> Sivanesan</w:t>
      </w:r>
      <w:r>
        <w:rPr>
          <w:rFonts w:hint="eastAsia"/>
        </w:rPr>
        <w:t>,</w:t>
      </w:r>
      <w:r>
        <w:t xml:space="preserve"> S</w:t>
      </w:r>
      <w:r>
        <w:rPr>
          <w:rFonts w:hint="eastAsia"/>
        </w:rPr>
        <w:t>.,</w:t>
      </w:r>
      <w:r>
        <w:t xml:space="preserve"> Ramamurthi</w:t>
      </w:r>
      <w:r>
        <w:rPr>
          <w:rFonts w:hint="eastAsia"/>
        </w:rPr>
        <w:t>,</w:t>
      </w:r>
      <w:r>
        <w:t xml:space="preserve"> V</w:t>
      </w:r>
      <w:r>
        <w:rPr>
          <w:rFonts w:hint="eastAsia"/>
        </w:rPr>
        <w:t>.</w:t>
      </w:r>
      <w:r w:rsidR="00F81221">
        <w:rPr>
          <w:rFonts w:hint="eastAsia"/>
        </w:rPr>
        <w:t xml:space="preserve"> and </w:t>
      </w:r>
      <w:r>
        <w:t>Swaminathan</w:t>
      </w:r>
      <w:r>
        <w:rPr>
          <w:rFonts w:hint="eastAsia"/>
        </w:rPr>
        <w:t>,</w:t>
      </w:r>
      <w:r>
        <w:t xml:space="preserve"> G</w:t>
      </w:r>
      <w:r>
        <w:rPr>
          <w:rFonts w:hint="eastAsia"/>
        </w:rPr>
        <w:t>.</w:t>
      </w:r>
      <w:r w:rsidRPr="00A428C3">
        <w:t xml:space="preserve"> (2006), </w:t>
      </w:r>
      <w:r>
        <w:t>Removal of safranin basic dye from aqueous solutions by adsorption onto corncob activated carbon</w:t>
      </w:r>
      <w:r w:rsidRPr="00A428C3">
        <w:t xml:space="preserve">. </w:t>
      </w:r>
      <w:r w:rsidRPr="00A428C3">
        <w:rPr>
          <w:i/>
        </w:rPr>
        <w:t>Industrial &amp; Engineering Chemistry Research</w:t>
      </w:r>
      <w:r w:rsidRPr="00A428C3">
        <w:t xml:space="preserve">, </w:t>
      </w:r>
      <w:r w:rsidRPr="00A428C3">
        <w:rPr>
          <w:b/>
        </w:rPr>
        <w:t>45</w:t>
      </w:r>
      <w:r w:rsidRPr="00A428C3">
        <w:t xml:space="preserve"> (2</w:t>
      </w:r>
      <w:r>
        <w:rPr>
          <w:rFonts w:hint="eastAsia"/>
        </w:rPr>
        <w:t>2</w:t>
      </w:r>
      <w:r w:rsidRPr="00A428C3">
        <w:t xml:space="preserve">), </w:t>
      </w:r>
      <w:r>
        <w:t>7627-7632</w:t>
      </w:r>
      <w:r w:rsidRPr="00A428C3">
        <w:t>.</w:t>
      </w:r>
    </w:p>
    <w:p w:rsidR="00B95188" w:rsidRDefault="00B95188" w:rsidP="00B95188">
      <w:pPr>
        <w:pStyle w:val="a0"/>
      </w:pPr>
      <w:r w:rsidRPr="00A428C3">
        <w:t xml:space="preserve">Full Text: </w:t>
      </w:r>
      <w:hyperlink r:id="rId1256" w:history="1">
        <w:r w:rsidRPr="00F97E58">
          <w:rPr>
            <w:rStyle w:val="a5"/>
          </w:rPr>
          <w:t>2006\Ind Eng Che Res45, 7627.pdf</w:t>
        </w:r>
      </w:hyperlink>
    </w:p>
    <w:p w:rsidR="00B95188" w:rsidRDefault="00B95188" w:rsidP="00B95188">
      <w:pPr>
        <w:pStyle w:val="a0"/>
      </w:pPr>
      <w:r>
        <w:t>Abstract: Adsorption of a basic dye, safranin, from aqueous solutions onto activated carbon prepared from corncobs (ACCC) has been investigated. Various experiments have been carried out using batch adsorption technique to study the effects of the process variables, which include initial pH, adsorbent dosage, initial dye concentration, particle size, temperature,</w:t>
      </w:r>
      <w:r w:rsidR="00F81221">
        <w:t xml:space="preserve"> and </w:t>
      </w:r>
      <w:r>
        <w:t>agitation speed, on the adsorption process. The adsorption of safranin onto the adsorbent was found to improve with the increase in adsorbent dosage</w:t>
      </w:r>
      <w:r w:rsidR="00F81221">
        <w:t xml:space="preserve"> and </w:t>
      </w:r>
      <w:r>
        <w:t>finer mesh size. Maximum adsorption was observed at pH &gt; pH(zpc) in the pH values ranging from 5 to 9. It was observed that the rate of adsorption improves with increasing temperature</w:t>
      </w:r>
      <w:r w:rsidR="00F81221">
        <w:t xml:space="preserve"> and </w:t>
      </w:r>
      <w:r>
        <w:t>the process is endothermic with an Delta H value of 35.698 kJ/mol. The kinetics followed is first order in nature. The results showed that both Langmuir</w:t>
      </w:r>
      <w:r w:rsidR="00F81221">
        <w:t xml:space="preserve"> and </w:t>
      </w:r>
      <w:r>
        <w:t>Freundlich isotherms fit the equilibrium data. Also, the results revealed that activated carbon from corncob, an agricultural waste biomass, proved to be an excellent low-cost sorbent.</w:t>
      </w:r>
    </w:p>
    <w:p w:rsidR="00B95188" w:rsidRPr="00A428C3" w:rsidRDefault="00B95188" w:rsidP="00B95188">
      <w:pPr>
        <w:pStyle w:val="a0"/>
      </w:pPr>
      <w:r>
        <w:t>Keywords: Surface-Chemistry, Industry Waste, Methylene-Blue, Fly-Ash, Sorption, Solids, Blacks, Water</w:t>
      </w:r>
    </w:p>
    <w:p w:rsidR="00B95188" w:rsidRPr="00A428C3" w:rsidRDefault="00B95188" w:rsidP="00B95188">
      <w:pPr>
        <w:pStyle w:val="a0"/>
      </w:pPr>
      <w:r w:rsidRPr="00A428C3">
        <w:t>? Lv, L., He, J., Wei, M.</w:t>
      </w:r>
      <w:r w:rsidR="00F81221">
        <w:t xml:space="preserve"> and </w:t>
      </w:r>
      <w:r w:rsidRPr="00A428C3">
        <w:t xml:space="preserve">Duan, X. (2006), Kinetic studies on fluoride removal by calcined layered double hydroxides. </w:t>
      </w:r>
      <w:r w:rsidRPr="00A428C3">
        <w:rPr>
          <w:i/>
        </w:rPr>
        <w:t>Industrial &amp; Engineering Chemistry Research</w:t>
      </w:r>
      <w:r w:rsidRPr="00A428C3">
        <w:t xml:space="preserve">, </w:t>
      </w:r>
      <w:r w:rsidRPr="00A428C3">
        <w:rPr>
          <w:b/>
        </w:rPr>
        <w:lastRenderedPageBreak/>
        <w:t>45</w:t>
      </w:r>
      <w:r w:rsidRPr="00A428C3">
        <w:t xml:space="preserve"> (25), 8623-8628.</w:t>
      </w:r>
    </w:p>
    <w:p w:rsidR="00B95188" w:rsidRPr="00A428C3" w:rsidRDefault="00B95188" w:rsidP="00B95188">
      <w:pPr>
        <w:pStyle w:val="a0"/>
      </w:pPr>
      <w:r w:rsidRPr="00A428C3">
        <w:t xml:space="preserve">Full Text: </w:t>
      </w:r>
      <w:hyperlink r:id="rId1257" w:history="1">
        <w:r w:rsidRPr="00A428C3">
          <w:rPr>
            <w:rStyle w:val="a5"/>
          </w:rPr>
          <w:t>2006\Ind Eng Che Res45, 8623.pdf</w:t>
        </w:r>
      </w:hyperlink>
    </w:p>
    <w:p w:rsidR="00B95188" w:rsidRPr="00A428C3" w:rsidRDefault="00B95188" w:rsidP="00B95188">
      <w:pPr>
        <w:pStyle w:val="a0"/>
      </w:pPr>
      <w:r w:rsidRPr="00A428C3">
        <w:t xml:space="preserve">Abstract: The layered double hydroxides (LDHs) calcined at a certain range of temperature have the </w:t>
      </w:r>
      <w:r w:rsidR="000352E7">
        <w:t>“</w:t>
      </w:r>
      <w:r w:rsidRPr="00A428C3">
        <w:t>memory effect</w:t>
      </w:r>
      <w:r w:rsidR="000352E7">
        <w:t>”</w:t>
      </w:r>
      <w:r w:rsidRPr="00A428C3">
        <w:t xml:space="preserve"> which means to recover its original layered structure in the presence of appropriate anions. Kinetics of fluoride removal from aqueous solution by calcined MgAl-CO</w:t>
      </w:r>
      <w:r w:rsidRPr="00A428C3">
        <w:rPr>
          <w:vertAlign w:val="subscript"/>
        </w:rPr>
        <w:t>3</w:t>
      </w:r>
      <w:r w:rsidRPr="00A428C3">
        <w:t xml:space="preserve"> LDHs (denoted CLDH) was studied in batch mode. The influences of pH of solution, initial fluoride concentration, CLDH quantity,</w:t>
      </w:r>
      <w:r w:rsidR="00F81221">
        <w:t xml:space="preserve"> and </w:t>
      </w:r>
      <w:r w:rsidRPr="00A428C3">
        <w:t>temperature on the kinetic of fluoride removal have been tested in detail. The results of four kinetic models fitted to the experimental data show that the pseudo-second-order kinetic model gave a better description for the uptake process. The rate constants</w:t>
      </w:r>
      <w:r w:rsidR="00F81221">
        <w:t xml:space="preserve"> and </w:t>
      </w:r>
      <w:r w:rsidRPr="00A428C3">
        <w:t>activation energy of adsorption were also calculated. The calculated value of E-a was 39.73 kJ/mol, indicating a reaction-controlled process.</w:t>
      </w:r>
    </w:p>
    <w:p w:rsidR="00B95188" w:rsidRPr="00A428C3" w:rsidRDefault="00B95188" w:rsidP="00B95188">
      <w:pPr>
        <w:pStyle w:val="a0"/>
      </w:pPr>
      <w:r w:rsidRPr="00A428C3">
        <w:t>Keywords: Aqueous-Solution, Mg-Al-CO</w:t>
      </w:r>
      <w:r w:rsidRPr="00A428C3">
        <w:rPr>
          <w:vertAlign w:val="subscript"/>
        </w:rPr>
        <w:t>3</w:t>
      </w:r>
      <w:r w:rsidRPr="00A428C3">
        <w:t xml:space="preserve"> Hydrotalcite, Adsorption-Kinetics, Activated Carbon, Diffusion-Model, Donnan Dialysis, Drinking-Water, Waste-Water, Sorption, Equilibrium</w:t>
      </w:r>
    </w:p>
    <w:p w:rsidR="00B95188" w:rsidRPr="00A428C3" w:rsidRDefault="00B95188" w:rsidP="00B95188">
      <w:pPr>
        <w:pStyle w:val="a0"/>
      </w:pPr>
      <w:r w:rsidRPr="00A428C3">
        <w:t>? Liu, C.C., Wang, M.K., Chiou, C.S., Li, Y.S., Lin, Y.A.</w:t>
      </w:r>
      <w:r w:rsidR="00F81221">
        <w:t xml:space="preserve"> and </w:t>
      </w:r>
      <w:r w:rsidRPr="00A428C3">
        <w:t>Huang, S.S. (2006), Chromium removal</w:t>
      </w:r>
      <w:r w:rsidR="00F81221">
        <w:t xml:space="preserve"> and </w:t>
      </w:r>
      <w:r w:rsidRPr="00A428C3">
        <w:t xml:space="preserve">sorption mechanism from aqueous solutions by wine processing waste sludge. </w:t>
      </w:r>
      <w:r w:rsidRPr="00A428C3">
        <w:rPr>
          <w:i/>
          <w:iCs/>
        </w:rPr>
        <w:t>Industrial &amp; Engineering Chemistry Research</w:t>
      </w:r>
      <w:r w:rsidRPr="00A428C3">
        <w:t xml:space="preserve">, </w:t>
      </w:r>
      <w:r w:rsidRPr="00A428C3">
        <w:rPr>
          <w:b/>
        </w:rPr>
        <w:t>45</w:t>
      </w:r>
      <w:r w:rsidRPr="00A428C3">
        <w:t xml:space="preserve"> (26), 8891-8899.</w:t>
      </w:r>
    </w:p>
    <w:p w:rsidR="00B95188" w:rsidRPr="00A428C3" w:rsidRDefault="00B95188" w:rsidP="00B95188">
      <w:pPr>
        <w:pStyle w:val="a0"/>
      </w:pPr>
      <w:r w:rsidRPr="00A428C3">
        <w:t xml:space="preserve">Full Text: </w:t>
      </w:r>
      <w:hyperlink r:id="rId1258" w:history="1">
        <w:r w:rsidRPr="00A428C3">
          <w:rPr>
            <w:rStyle w:val="a5"/>
          </w:rPr>
          <w:t>2006\Ind Eng Che Res45, 8891.pdf</w:t>
        </w:r>
      </w:hyperlink>
    </w:p>
    <w:p w:rsidR="00B95188" w:rsidRPr="00A428C3" w:rsidRDefault="00B95188" w:rsidP="00B95188">
      <w:pPr>
        <w:pStyle w:val="a0"/>
      </w:pPr>
      <w:r w:rsidRPr="00A428C3">
        <w:t>Abstract: Wine processing waste sludge (WPWS) has been shown to be an effective sorbent for the sorption of heavy metals (i.e., chromium</w:t>
      </w:r>
      <w:r w:rsidR="00F81221">
        <w:t xml:space="preserve"> and </w:t>
      </w:r>
      <w:r w:rsidRPr="00A428C3">
        <w:t>nickel), but the mechanism of removal of hexavalent chromium [Cr(VI)] by WPWS remains obscure. The aims of this study were to determine the effects of temperature, initial concentration of Cr(VI),</w:t>
      </w:r>
      <w:r w:rsidR="00F81221">
        <w:t xml:space="preserve"> and </w:t>
      </w:r>
      <w:r w:rsidRPr="00A428C3">
        <w:t>particle size on the removal Cr(VI) using WPWS. The characteristics of WPWS were determined,</w:t>
      </w:r>
      <w:r w:rsidR="00F81221">
        <w:t xml:space="preserve"> and </w:t>
      </w:r>
      <w:r w:rsidRPr="00A428C3">
        <w:t>sorption mechanism studies were also performed. The WPWS used was a deposit mixture containing considerable quantities of chemical coagulation as well as activated sludge precipitation from the settling basins of a wastewater treatment plant. Differential scanning calorimetry (DSC) analysis revealed that the WPWS comprised abundant labile carbohydrates</w:t>
      </w:r>
      <w:r w:rsidR="00F81221">
        <w:t xml:space="preserve"> and </w:t>
      </w:r>
      <w:r w:rsidRPr="00A428C3">
        <w:t>few aromatic structures. According to the IR spectrum, carboxylic groups were the most important functional group in WPWS, interacting with chromium species by protonation</w:t>
      </w:r>
      <w:r w:rsidR="00F81221">
        <w:t xml:space="preserve"> and </w:t>
      </w:r>
      <w:r w:rsidRPr="00A428C3">
        <w:t>redox reaction. All kinetic experiments were conducted at an initial pH of 2.0,</w:t>
      </w:r>
      <w:r w:rsidR="00F81221">
        <w:t xml:space="preserve"> and </w:t>
      </w:r>
      <w:r w:rsidRPr="00A428C3">
        <w:t>all of them had reached steady state within 240 min. The final pH values of the suspensions were approximately 4.2,</w:t>
      </w:r>
      <w:r w:rsidR="00F81221">
        <w:t xml:space="preserve"> and </w:t>
      </w:r>
      <w:r w:rsidRPr="00A428C3">
        <w:t xml:space="preserve">the increase of the pH caused low Cr removal. In addition, about 2-18% of the Cr(III) remained in the liquid phase. The Cr removal percentage increased with increasing temperature (i.e., 14-25%), but it was less affected by particle size (17-22%). All kinetic data obtained from different conditions showed good compliance with a pseudo-second-order </w:t>
      </w:r>
      <w:r w:rsidRPr="00A428C3">
        <w:lastRenderedPageBreak/>
        <w:t>model,</w:t>
      </w:r>
      <w:r w:rsidR="00F81221">
        <w:t xml:space="preserve"> and </w:t>
      </w:r>
      <w:r w:rsidRPr="00A428C3">
        <w:t>the rate constant k</w:t>
      </w:r>
      <w:r w:rsidRPr="00A428C3">
        <w:rPr>
          <w:vertAlign w:val="subscript"/>
        </w:rPr>
        <w:t>2</w:t>
      </w:r>
      <w:r w:rsidRPr="00A428C3">
        <w:t xml:space="preserve"> was found to range from 0.032 to </w:t>
      </w:r>
      <w:smartTag w:uri="urn:schemas-microsoft-com:office:smarttags" w:element="chmetcnv">
        <w:smartTagPr>
          <w:attr w:name="TCSC" w:val="0"/>
          <w:attr w:name="NumberType" w:val="1"/>
          <w:attr w:name="Negative" w:val="False"/>
          <w:attr w:name="HasSpace" w:val="True"/>
          <w:attr w:name="SourceValue" w:val="0.074"/>
          <w:attr w:name="UnitName" w:val="g"/>
        </w:smartTagPr>
        <w:r w:rsidRPr="00A428C3">
          <w:t>0.074 g</w:t>
        </w:r>
      </w:smartTag>
      <w:r w:rsidRPr="00A428C3">
        <w:t xml:space="preserve"> mg</w:t>
      </w:r>
      <w:r w:rsidRPr="00A428C3">
        <w:rPr>
          <w:vertAlign w:val="superscript"/>
        </w:rPr>
        <w:t>-1</w:t>
      </w:r>
      <w:r w:rsidRPr="00A428C3">
        <w:t xml:space="preserve"> min</w:t>
      </w:r>
      <w:r w:rsidRPr="00A428C3">
        <w:rPr>
          <w:vertAlign w:val="superscript"/>
        </w:rPr>
        <w:t>-1</w:t>
      </w:r>
      <w:r w:rsidRPr="00A428C3">
        <w:t>. Some of the Cr(VI) ions were reduced to Cr(III) ions as a result of oxidation of organic components in WPWS, as indicated by monitoring using the X-ray absorption near-edge spectroscopic (XANES) technique.</w:t>
      </w:r>
    </w:p>
    <w:p w:rsidR="00B95188" w:rsidRPr="00A428C3" w:rsidRDefault="00B95188" w:rsidP="00B95188">
      <w:pPr>
        <w:pStyle w:val="a0"/>
      </w:pPr>
      <w:r w:rsidRPr="00A428C3">
        <w:t>Keywords: Adsorption, Analysis, Biomass, Biosorption, Carbohydrates, Cr(VI), Dsc, Fly-Ash, Heavy Metals, Hexavalent Chromium, Industrial-Waste, Metal-Ions, Model, Plant, Rate Constant, Soil Organic-Matter, Sorption, Temperature, Treatment, Wastewater, Wastewater Treatment, Water</w:t>
      </w:r>
    </w:p>
    <w:p w:rsidR="00B95188" w:rsidRPr="00A428C3" w:rsidRDefault="00B95188" w:rsidP="00B95188">
      <w:pPr>
        <w:pStyle w:val="a0"/>
      </w:pPr>
      <w:r w:rsidRPr="00A428C3">
        <w:t>? Saxena, S., Prasad, M.</w:t>
      </w:r>
      <w:r w:rsidR="00F81221">
        <w:t xml:space="preserve"> and </w:t>
      </w:r>
      <w:r w:rsidRPr="00A428C3">
        <w:t>D</w:t>
      </w:r>
      <w:r w:rsidR="000352E7">
        <w:t>’</w:t>
      </w:r>
      <w:r w:rsidRPr="00A428C3">
        <w:t xml:space="preserve">Souza, S.F. (2006), Radionuclide sorption onto low-cost mineral adsorbent. </w:t>
      </w:r>
      <w:r w:rsidRPr="00A428C3">
        <w:rPr>
          <w:i/>
          <w:iCs/>
        </w:rPr>
        <w:t>Industrial &amp; Engineering Chemistry Research</w:t>
      </w:r>
      <w:r w:rsidRPr="00A428C3">
        <w:t xml:space="preserve">, </w:t>
      </w:r>
      <w:r w:rsidRPr="00A428C3">
        <w:rPr>
          <w:b/>
        </w:rPr>
        <w:t>45</w:t>
      </w:r>
      <w:r w:rsidRPr="00A428C3">
        <w:t xml:space="preserve"> (26), 9122-9128.</w:t>
      </w:r>
    </w:p>
    <w:p w:rsidR="00B95188" w:rsidRPr="00A428C3" w:rsidRDefault="00B95188" w:rsidP="00B95188">
      <w:pPr>
        <w:pStyle w:val="a0"/>
      </w:pPr>
      <w:r w:rsidRPr="00A428C3">
        <w:t xml:space="preserve">Full Text: </w:t>
      </w:r>
      <w:hyperlink r:id="rId1259" w:history="1">
        <w:r w:rsidRPr="00A428C3">
          <w:rPr>
            <w:rStyle w:val="a5"/>
          </w:rPr>
          <w:t>2006\Ind Eng Che Res45, 9122.pdf</w:t>
        </w:r>
      </w:hyperlink>
    </w:p>
    <w:p w:rsidR="00B95188" w:rsidRPr="00A428C3" w:rsidRDefault="00B95188" w:rsidP="00B95188">
      <w:pPr>
        <w:pStyle w:val="a0"/>
      </w:pPr>
      <w:r w:rsidRPr="00A428C3">
        <w:t xml:space="preserve">Abstract: </w:t>
      </w:r>
      <w:r w:rsidRPr="00A428C3">
        <w:rPr>
          <w:rFonts w:eastAsia="新細明體"/>
        </w:rPr>
        <w:t xml:space="preserve">This paper investigates the underlying mechanism of the removal of hexavalent uranium radionuclides from </w:t>
      </w:r>
      <w:r w:rsidRPr="00A428C3">
        <w:t>aqueous solution via a low-cost mineral adsorbent. Batch adsorption studies were performed for the concentration range of 50-4000 mg/L. The effects of contact times in the range of 10-3600 min (60 h), solution pHs in the range of 1-11, initial concentrations of metal ions in the range of 50-4000 mg/L,</w:t>
      </w:r>
      <w:r w:rsidR="00F81221">
        <w:t xml:space="preserve"> and </w:t>
      </w:r>
      <w:r w:rsidRPr="00A428C3">
        <w:t>interfering cations (such as Pb</w:t>
      </w:r>
      <w:r w:rsidRPr="00A428C3">
        <w:rPr>
          <w:vertAlign w:val="superscript"/>
        </w:rPr>
        <w:t>2+</w:t>
      </w:r>
      <w:r w:rsidRPr="00A428C3">
        <w:t>, Cu</w:t>
      </w:r>
      <w:r w:rsidRPr="00A428C3">
        <w:rPr>
          <w:vertAlign w:val="superscript"/>
        </w:rPr>
        <w:t>2+</w:t>
      </w:r>
      <w:r w:rsidRPr="00A428C3">
        <w:t>, Fe</w:t>
      </w:r>
      <w:r w:rsidRPr="00A428C3">
        <w:rPr>
          <w:vertAlign w:val="superscript"/>
        </w:rPr>
        <w:t>2+</w:t>
      </w:r>
      <w:r w:rsidRPr="00A428C3">
        <w:t>, Cd</w:t>
      </w:r>
      <w:r w:rsidRPr="00A428C3">
        <w:rPr>
          <w:vertAlign w:val="superscript"/>
        </w:rPr>
        <w:t>2+</w:t>
      </w:r>
      <w:r w:rsidRPr="00A428C3">
        <w:t>, Ni</w:t>
      </w:r>
      <w:r w:rsidRPr="00A428C3">
        <w:rPr>
          <w:vertAlign w:val="superscript"/>
        </w:rPr>
        <w:t>2+</w:t>
      </w:r>
      <w:r w:rsidRPr="00A428C3">
        <w:t>, Th</w:t>
      </w:r>
      <w:r w:rsidRPr="00A428C3">
        <w:rPr>
          <w:vertAlign w:val="superscript"/>
        </w:rPr>
        <w:t>4+</w:t>
      </w:r>
      <w:r w:rsidRPr="00A428C3">
        <w:t>, Ca</w:t>
      </w:r>
      <w:r w:rsidRPr="00A428C3">
        <w:rPr>
          <w:vertAlign w:val="superscript"/>
        </w:rPr>
        <w:t>2+</w:t>
      </w:r>
      <w:r w:rsidRPr="00A428C3">
        <w:t>, Na</w:t>
      </w:r>
      <w:r w:rsidRPr="00A428C3">
        <w:rPr>
          <w:vertAlign w:val="superscript"/>
        </w:rPr>
        <w:t>+</w:t>
      </w:r>
      <w:r w:rsidRPr="00A428C3">
        <w:t>,</w:t>
      </w:r>
      <w:r w:rsidR="00F81221">
        <w:t xml:space="preserve"> and </w:t>
      </w:r>
      <w:r w:rsidRPr="00A428C3">
        <w:t>K</w:t>
      </w:r>
      <w:r w:rsidRPr="00A428C3">
        <w:rPr>
          <w:vertAlign w:val="superscript"/>
        </w:rPr>
        <w:t>+</w:t>
      </w:r>
      <w:r w:rsidRPr="00A428C3">
        <w:t>)</w:t>
      </w:r>
      <w:r w:rsidR="00F81221">
        <w:t xml:space="preserve"> and </w:t>
      </w:r>
      <w:r w:rsidRPr="00A428C3">
        <w:t>interfering anions (such as SO</w:t>
      </w:r>
      <w:r w:rsidRPr="00A428C3">
        <w:rPr>
          <w:vertAlign w:val="subscript"/>
        </w:rPr>
        <w:t>4</w:t>
      </w:r>
      <w:r w:rsidRPr="00A428C3">
        <w:rPr>
          <w:vertAlign w:val="superscript"/>
        </w:rPr>
        <w:t>-</w:t>
      </w:r>
      <w:r w:rsidRPr="00A428C3">
        <w:t>, CO</w:t>
      </w:r>
      <w:r w:rsidRPr="00A428C3">
        <w:rPr>
          <w:vertAlign w:val="subscript"/>
        </w:rPr>
        <w:t>3</w:t>
      </w:r>
      <w:r w:rsidRPr="00A428C3">
        <w:rPr>
          <w:vertAlign w:val="superscript"/>
        </w:rPr>
        <w:t>-</w:t>
      </w:r>
      <w:r w:rsidRPr="00A428C3">
        <w:t>, NO</w:t>
      </w:r>
      <w:r w:rsidRPr="00A428C3">
        <w:rPr>
          <w:vertAlign w:val="subscript"/>
        </w:rPr>
        <w:t>3</w:t>
      </w:r>
      <w:r w:rsidRPr="00A428C3">
        <w:rPr>
          <w:vertAlign w:val="superscript"/>
        </w:rPr>
        <w:t>-</w:t>
      </w:r>
      <w:r w:rsidRPr="00A428C3">
        <w:t>,</w:t>
      </w:r>
      <w:r w:rsidR="00F81221">
        <w:t xml:space="preserve"> and </w:t>
      </w:r>
      <w:r w:rsidRPr="00A428C3">
        <w:t>Cl</w:t>
      </w:r>
      <w:r w:rsidRPr="00A428C3">
        <w:rPr>
          <w:vertAlign w:val="superscript"/>
        </w:rPr>
        <w:t>-</w:t>
      </w:r>
      <w:r w:rsidRPr="00A428C3">
        <w:t>) were studied by equilibrating different concentrations of uranium solutions. Pseudo-first-order</w:t>
      </w:r>
      <w:r w:rsidR="00F81221">
        <w:t xml:space="preserve"> and </w:t>
      </w:r>
      <w:r w:rsidRPr="00A428C3">
        <w:t>pseudo-second-order rate expressions have been used to test the experimental data. The rate constants of adsorption for both the kinetic models have been calculated. The pseudo-second order rate reaction provides the best correlation of the data. The values of adsorption data were fitted to Freundlich, Langmuir,</w:t>
      </w:r>
      <w:r w:rsidR="00F81221">
        <w:t xml:space="preserve"> and </w:t>
      </w:r>
      <w:r w:rsidRPr="00A428C3">
        <w:t>Dubinin-Radushkorich (D-R) adsorption isotherms. The mean energy of adsorption was calculated to be 10.10 kJ/mol from the D-R adsorption isotherm. The probable mechanism of radionuclide removal was its dissolution, followed by subsequent precipitation. X-ray diffractograms of the radionuclidesorbed mineral adsorbent indicates the precipitation of new compound at a higher radionuclide concentration (&gt;100 mg/L).</w:t>
      </w:r>
    </w:p>
    <w:p w:rsidR="00B95188" w:rsidRPr="00A428C3" w:rsidRDefault="00B95188" w:rsidP="00B95188">
      <w:pPr>
        <w:pStyle w:val="a0"/>
      </w:pPr>
      <w:r w:rsidRPr="00A428C3">
        <w:t>Keywords: Activated Carbon, Adsorption, Adsorption Isotherm, Adsorption Isotherms, Aqueous-Solutions, Biosorption, Cu</w:t>
      </w:r>
      <w:r w:rsidRPr="00A428C3">
        <w:rPr>
          <w:vertAlign w:val="superscript"/>
        </w:rPr>
        <w:t>2+</w:t>
      </w:r>
      <w:r w:rsidRPr="00A428C3">
        <w:t>, Divalent Metal-Ions, Energy, Hydroxyapatite, Isotherm, Isotherms, K</w:t>
      </w:r>
      <w:r w:rsidRPr="00A428C3">
        <w:rPr>
          <w:vertAlign w:val="superscript"/>
        </w:rPr>
        <w:t>+</w:t>
      </w:r>
      <w:r w:rsidRPr="00A428C3">
        <w:t>, Lead, Removal, Rock Phosphate, Sorption, Uranium</w:t>
      </w:r>
    </w:p>
    <w:p w:rsidR="00B95188" w:rsidRPr="00A428C3" w:rsidRDefault="00B95188" w:rsidP="00B95188">
      <w:pPr>
        <w:pStyle w:val="a0"/>
      </w:pPr>
      <w:r w:rsidRPr="00A428C3">
        <w:t>? Chen, C.L.</w:t>
      </w:r>
      <w:r w:rsidR="00F81221">
        <w:t xml:space="preserve"> and </w:t>
      </w:r>
      <w:r w:rsidRPr="00A428C3">
        <w:t xml:space="preserve">Wang, X.K. (2006), Adsorption of Ni(II) from aqueous solution using oxidized multiwall carbon nanotubes. </w:t>
      </w:r>
      <w:r w:rsidRPr="00A428C3">
        <w:rPr>
          <w:i/>
          <w:iCs/>
        </w:rPr>
        <w:t>Industrial &amp; Engineering Chemistry Research</w:t>
      </w:r>
      <w:r w:rsidRPr="00A428C3">
        <w:t xml:space="preserve">, </w:t>
      </w:r>
      <w:r w:rsidRPr="00A428C3">
        <w:rPr>
          <w:b/>
        </w:rPr>
        <w:t>45</w:t>
      </w:r>
      <w:r w:rsidRPr="00A428C3">
        <w:t xml:space="preserve"> (26), 9144-9149.</w:t>
      </w:r>
    </w:p>
    <w:p w:rsidR="00B95188" w:rsidRPr="00A428C3" w:rsidRDefault="00B95188" w:rsidP="00B95188">
      <w:pPr>
        <w:pStyle w:val="a0"/>
      </w:pPr>
      <w:r w:rsidRPr="00A428C3">
        <w:t xml:space="preserve">Full Text: </w:t>
      </w:r>
      <w:hyperlink r:id="rId1260" w:history="1">
        <w:r w:rsidRPr="00A428C3">
          <w:rPr>
            <w:rStyle w:val="a5"/>
          </w:rPr>
          <w:t>2006\Ind Eng Che Res45, 9144.pdf</w:t>
        </w:r>
      </w:hyperlink>
    </w:p>
    <w:p w:rsidR="00B95188" w:rsidRPr="00A428C3" w:rsidRDefault="00B95188" w:rsidP="00B95188">
      <w:pPr>
        <w:pStyle w:val="a0"/>
      </w:pPr>
      <w:r w:rsidRPr="00A428C3">
        <w:t xml:space="preserve">Abstract: In this work, oxidized multiwall carbon nanotubes (MWCNTs) were used as a novel adsorbent for removing Ni(II) from aqueous solution. The adsorption of Ni(II) </w:t>
      </w:r>
      <w:r w:rsidRPr="00A428C3">
        <w:lastRenderedPageBreak/>
        <w:t>onto oxidized MWCNTs was studied as a function of contact time, pH, ionic strength, MWCNT concentration,</w:t>
      </w:r>
      <w:r w:rsidR="00F81221">
        <w:t xml:space="preserve"> and </w:t>
      </w:r>
      <w:r w:rsidRPr="00A428C3">
        <w:t>temperature. The results showed that Ni(II) adsorption onto MWCNTs is strongly dependent on pH</w:t>
      </w:r>
      <w:r w:rsidR="00F81221">
        <w:t xml:space="preserve"> and </w:t>
      </w:r>
      <w:r w:rsidRPr="00A428C3">
        <w:t>oxidized MWCNT concentration and, to a lesser extent, ionic strength. Kinetic data indicated that the adsorption process achieved equilibrium within 40 min</w:t>
      </w:r>
      <w:r w:rsidR="00F81221">
        <w:t xml:space="preserve"> and </w:t>
      </w:r>
      <w:r w:rsidRPr="00A428C3">
        <w:t>follows a pseudo-second-order rate equation. The adsorption data fit the Langmuir model</w:t>
      </w:r>
      <w:r w:rsidR="00F81221">
        <w:t xml:space="preserve"> and </w:t>
      </w:r>
      <w:r w:rsidRPr="00A428C3">
        <w:t>its linearized form well, together with thermodynamic data indicating the spontaneous</w:t>
      </w:r>
      <w:r w:rsidR="00F81221">
        <w:t xml:space="preserve"> and </w:t>
      </w:r>
      <w:r w:rsidRPr="00A428C3">
        <w:t>endothermic nature of the process. Results of a desorption study showed that Ni(II) adsorbed onto oxidized MWCNTs could be easily desorbed at pH &lt; 2.0. Ion exchange may be the predominant mechanism of Ni(II) adsorption on oxidized MWCNTs. Oxidized MWCNTs may be a promising candidate for concentration of heavy metal ions from industrial wastewater.</w:t>
      </w:r>
    </w:p>
    <w:p w:rsidR="00B95188" w:rsidRPr="00A428C3" w:rsidRDefault="00B95188" w:rsidP="00B95188">
      <w:pPr>
        <w:pStyle w:val="a0"/>
      </w:pPr>
      <w:r w:rsidRPr="00A428C3">
        <w:t>Keywords: Adsorption, Equilibrium, Heavy Metal, Heavy Metal Ions, Ionic Strength, Model, Purification, Red Mud, Removal, Room-Temperature, Temperature, Wastewater, Water</w:t>
      </w:r>
    </w:p>
    <w:p w:rsidR="00B95188" w:rsidRPr="00A428C3" w:rsidRDefault="00B95188" w:rsidP="00B95188">
      <w:pPr>
        <w:pStyle w:val="a0"/>
      </w:pPr>
      <w:r w:rsidRPr="00A428C3">
        <w:t>? Petrolekas, P.D.</w:t>
      </w:r>
      <w:r w:rsidR="00F81221">
        <w:t xml:space="preserve"> and </w:t>
      </w:r>
      <w:r w:rsidRPr="00A428C3">
        <w:t xml:space="preserve">Maggenakis, G. (2007), </w:t>
      </w:r>
      <w:r w:rsidRPr="00A428C3">
        <w:rPr>
          <w:szCs w:val="19"/>
        </w:rPr>
        <w:t>Kinetic studies of the liquid-phase adsorption of a reactive dye onto activated lignite</w:t>
      </w:r>
      <w:r w:rsidRPr="00A428C3">
        <w:t xml:space="preserve">. </w:t>
      </w:r>
      <w:r w:rsidRPr="00A428C3">
        <w:rPr>
          <w:i/>
          <w:iCs/>
        </w:rPr>
        <w:t>Industrial &amp; Engineering Chemistry Research</w:t>
      </w:r>
      <w:r w:rsidRPr="00A428C3">
        <w:t xml:space="preserve">, </w:t>
      </w:r>
      <w:r w:rsidRPr="00A428C3">
        <w:rPr>
          <w:b/>
        </w:rPr>
        <w:t>46</w:t>
      </w:r>
      <w:r w:rsidRPr="00A428C3">
        <w:t xml:space="preserve"> (4), </w:t>
      </w:r>
      <w:r w:rsidRPr="00A428C3">
        <w:rPr>
          <w:szCs w:val="19"/>
        </w:rPr>
        <w:t>1326-1332</w:t>
      </w:r>
      <w:r w:rsidRPr="00A428C3">
        <w:t>.</w:t>
      </w:r>
    </w:p>
    <w:p w:rsidR="00B95188" w:rsidRPr="00A428C3" w:rsidRDefault="00B95188" w:rsidP="00B95188">
      <w:pPr>
        <w:pStyle w:val="a0"/>
      </w:pPr>
      <w:r w:rsidRPr="00A428C3">
        <w:t xml:space="preserve">Full Text: </w:t>
      </w:r>
      <w:hyperlink r:id="rId1261" w:history="1">
        <w:r w:rsidRPr="00A428C3">
          <w:rPr>
            <w:rStyle w:val="a5"/>
          </w:rPr>
          <w:t>2007\Ind Eng Che Res46, 1326.pdf</w:t>
        </w:r>
      </w:hyperlink>
    </w:p>
    <w:p w:rsidR="00B95188" w:rsidRPr="00A428C3" w:rsidRDefault="00B95188" w:rsidP="00B95188">
      <w:pPr>
        <w:pStyle w:val="a0"/>
      </w:pPr>
      <w:r w:rsidRPr="00A428C3">
        <w:t>Abstract: The kinetics of batch adsorption of a commercial reactive dye onto activated lignite has been investigated at temperatures of 26, 40,</w:t>
      </w:r>
      <w:r w:rsidR="00F81221">
        <w:t xml:space="preserve"> and </w:t>
      </w:r>
      <w:r w:rsidRPr="00A428C3">
        <w:t>55 degrees C, using aqueous solutions with initial dye concentrations in the range of 15-60 mg/L. An empirical single parameter relationship of the adsorbent loading versus the square root of contact time was proposed, which was determined to provide a very good description of the batch adsorption transients up to equilibrium. The data were also examined by means of the Elovich equation. The effect of the temperature</w:t>
      </w:r>
      <w:r w:rsidR="00F81221">
        <w:t xml:space="preserve"> and </w:t>
      </w:r>
      <w:r w:rsidRPr="00A428C3">
        <w:t>the initial dye concentration on the adsorption kinetics was analyzed,</w:t>
      </w:r>
      <w:r w:rsidR="00F81221">
        <w:t xml:space="preserve"> and </w:t>
      </w:r>
      <w:r w:rsidRPr="00A428C3">
        <w:t>the results were discussed by considering that intraparticle diffusion is the dominant mechanism.</w:t>
      </w:r>
    </w:p>
    <w:p w:rsidR="00B95188" w:rsidRPr="00A428C3" w:rsidRDefault="00B95188" w:rsidP="00B95188">
      <w:pPr>
        <w:pStyle w:val="a0"/>
      </w:pPr>
      <w:r w:rsidRPr="00A428C3">
        <w:t>Keywords: Aqueous-Solution, Diffusion-Models, Basic Dye, Carbon, Removal, Sorption, Equilibrium, Chitosan, Behavior, Peat</w:t>
      </w:r>
    </w:p>
    <w:p w:rsidR="00376A7C" w:rsidRPr="00A428C3" w:rsidRDefault="00376A7C" w:rsidP="00376A7C">
      <w:pPr>
        <w:pStyle w:val="a0"/>
      </w:pPr>
      <w:r w:rsidRPr="00A428C3">
        <w:t xml:space="preserve">? </w:t>
      </w:r>
      <w:r>
        <w:t>Sheng</w:t>
      </w:r>
      <w:r>
        <w:rPr>
          <w:rFonts w:hint="eastAsia"/>
        </w:rPr>
        <w:t>,</w:t>
      </w:r>
      <w:r>
        <w:t xml:space="preserve"> P</w:t>
      </w:r>
      <w:r>
        <w:rPr>
          <w:rFonts w:hint="eastAsia"/>
        </w:rPr>
        <w:t>.</w:t>
      </w:r>
      <w:r>
        <w:t>X</w:t>
      </w:r>
      <w:r>
        <w:rPr>
          <w:rFonts w:hint="eastAsia"/>
        </w:rPr>
        <w:t>.,</w:t>
      </w:r>
      <w:r>
        <w:t xml:space="preserve"> Ting</w:t>
      </w:r>
      <w:r>
        <w:rPr>
          <w:rFonts w:hint="eastAsia"/>
        </w:rPr>
        <w:t>,</w:t>
      </w:r>
      <w:r>
        <w:t xml:space="preserve"> Y</w:t>
      </w:r>
      <w:r>
        <w:rPr>
          <w:rFonts w:hint="eastAsia"/>
        </w:rPr>
        <w:t>.</w:t>
      </w:r>
      <w:r>
        <w:t>P</w:t>
      </w:r>
      <w:r>
        <w:rPr>
          <w:rFonts w:hint="eastAsia"/>
        </w:rPr>
        <w:t>.</w:t>
      </w:r>
      <w:r w:rsidR="00F81221">
        <w:rPr>
          <w:rFonts w:hint="eastAsia"/>
        </w:rPr>
        <w:t xml:space="preserve"> and </w:t>
      </w:r>
      <w:r>
        <w:t>Chen</w:t>
      </w:r>
      <w:r>
        <w:rPr>
          <w:rFonts w:hint="eastAsia"/>
        </w:rPr>
        <w:t>,</w:t>
      </w:r>
      <w:r>
        <w:t xml:space="preserve"> J</w:t>
      </w:r>
      <w:r>
        <w:rPr>
          <w:rFonts w:hint="eastAsia"/>
        </w:rPr>
        <w:t>.</w:t>
      </w:r>
      <w:r>
        <w:t>P</w:t>
      </w:r>
      <w:r>
        <w:rPr>
          <w:rFonts w:hint="eastAsia"/>
        </w:rPr>
        <w:t>.</w:t>
      </w:r>
      <w:r w:rsidRPr="00A428C3">
        <w:t xml:space="preserve"> (2007), </w:t>
      </w:r>
      <w:r>
        <w:t>Biosorption of heavy metal ions (Pb, Cu,</w:t>
      </w:r>
      <w:r w:rsidR="00F81221">
        <w:t xml:space="preserve"> and </w:t>
      </w:r>
      <w:r>
        <w:t xml:space="preserve">Cd) from aqueous solutions by the marine alga </w:t>
      </w:r>
      <w:r w:rsidRPr="00376A7C">
        <w:rPr>
          <w:i/>
        </w:rPr>
        <w:t>Sargassum</w:t>
      </w:r>
      <w:r>
        <w:t xml:space="preserve"> sp. in single-</w:t>
      </w:r>
      <w:r w:rsidR="00F81221">
        <w:t xml:space="preserve"> and </w:t>
      </w:r>
      <w:r>
        <w:t>multiple-metal systems</w:t>
      </w:r>
      <w:r w:rsidRPr="00A428C3">
        <w:t xml:space="preserve">. </w:t>
      </w:r>
      <w:r w:rsidRPr="00A428C3">
        <w:rPr>
          <w:i/>
          <w:iCs/>
        </w:rPr>
        <w:t>Industrial &amp; Engineering Chemistry Research</w:t>
      </w:r>
      <w:r w:rsidRPr="00A428C3">
        <w:t xml:space="preserve">, </w:t>
      </w:r>
      <w:r w:rsidRPr="00A428C3">
        <w:rPr>
          <w:b/>
        </w:rPr>
        <w:t>46</w:t>
      </w:r>
      <w:r w:rsidRPr="00A428C3">
        <w:t xml:space="preserve"> (</w:t>
      </w:r>
      <w:r>
        <w:rPr>
          <w:rFonts w:hint="eastAsia"/>
        </w:rPr>
        <w:t>8</w:t>
      </w:r>
      <w:r w:rsidRPr="00A428C3">
        <w:t xml:space="preserve">), </w:t>
      </w:r>
      <w:r>
        <w:t>2438-2444</w:t>
      </w:r>
      <w:r w:rsidRPr="00A428C3">
        <w:t>.</w:t>
      </w:r>
    </w:p>
    <w:p w:rsidR="00376A7C" w:rsidRDefault="00376A7C" w:rsidP="00376A7C">
      <w:pPr>
        <w:pStyle w:val="a0"/>
      </w:pPr>
      <w:r w:rsidRPr="00A428C3">
        <w:t xml:space="preserve">Full Text: </w:t>
      </w:r>
      <w:hyperlink r:id="rId1262" w:history="1">
        <w:r w:rsidRPr="00376A7C">
          <w:rPr>
            <w:rStyle w:val="a5"/>
          </w:rPr>
          <w:t>2007\Ind Eng Che Res46, 2438.pdf</w:t>
        </w:r>
      </w:hyperlink>
    </w:p>
    <w:p w:rsidR="00376A7C" w:rsidRDefault="00376A7C" w:rsidP="00376A7C">
      <w:pPr>
        <w:pStyle w:val="a0"/>
      </w:pPr>
      <w:r>
        <w:t>Abstract: The sorption of heavy metals (lead, copper,</w:t>
      </w:r>
      <w:r w:rsidR="00F81221">
        <w:t xml:space="preserve"> and </w:t>
      </w:r>
      <w:r>
        <w:t>cadmium) by a marine algal biomass Sargassum sp. was studied in single</w:t>
      </w:r>
      <w:r w:rsidR="00F81221">
        <w:t xml:space="preserve"> and </w:t>
      </w:r>
      <w:r>
        <w:t xml:space="preserve">multiple metal-ion systems. Kinetic experiments in the single-metal system revealed very rapid removal rates of metal </w:t>
      </w:r>
      <w:r>
        <w:lastRenderedPageBreak/>
        <w:t>ions, with similar to 90% of the total adsorption occurring within 10-60 min. Biosorption performance for each single metal ion showed an increase in specific metal uptake with an increase in pH. Experimental data for each metal ion were well-described by the Langmuir adsorption isotherm. Generally, the algal biomass demonstrated the highest uptake for lead, followed by copper</w:t>
      </w:r>
      <w:r w:rsidR="00F81221">
        <w:t xml:space="preserve"> and </w:t>
      </w:r>
      <w:r>
        <w:t>cadmium, with this uptake trend correlating with the electronegativities</w:t>
      </w:r>
      <w:r w:rsidR="00F81221">
        <w:t xml:space="preserve"> and </w:t>
      </w:r>
      <w:r>
        <w:t>stability constants of the metal-ion hydroxides. The effect of the presence of multiple metal ions on the biosorption performance has been investigated,</w:t>
      </w:r>
      <w:r w:rsidR="00F81221">
        <w:t xml:space="preserve"> and </w:t>
      </w:r>
      <w:r>
        <w:t>the results have been evaluated using the modified competitive Langmuir model</w:t>
      </w:r>
      <w:r w:rsidR="00F81221">
        <w:t xml:space="preserve"> and </w:t>
      </w:r>
      <w:r>
        <w:t>modified Jain-Snoeyink model, both of which fit the data well. The metals with the highest uptake capacity in single-metal systems showed a greater inhibitory effect on the biosorption of other metal ions in the multiple-component systems. The study showed the good performance of metal uptake by Sargassum in both single-</w:t>
      </w:r>
      <w:r w:rsidR="00F81221">
        <w:t xml:space="preserve"> and </w:t>
      </w:r>
      <w:r>
        <w:t>multiple-metal systems.</w:t>
      </w:r>
    </w:p>
    <w:p w:rsidR="00376A7C" w:rsidRPr="00A428C3" w:rsidRDefault="00376A7C" w:rsidP="00376A7C">
      <w:pPr>
        <w:pStyle w:val="a0"/>
      </w:pPr>
      <w:r>
        <w:t>Keywords: Pretreated Biomass, Activated-Sludge, Adsorption, Removal, Cadmium, Equilibrium, Kinetics, Carbon, Copper, Waste</w:t>
      </w:r>
    </w:p>
    <w:p w:rsidR="00376A7C" w:rsidRPr="00A428C3" w:rsidRDefault="00376A7C" w:rsidP="00376A7C">
      <w:pPr>
        <w:pStyle w:val="a0"/>
      </w:pPr>
      <w:r w:rsidRPr="00A428C3">
        <w:t>? Rengaraj, S., Yeon, J.W., Kim, Y.</w:t>
      </w:r>
      <w:r w:rsidR="00F81221">
        <w:t xml:space="preserve"> and </w:t>
      </w:r>
      <w:r w:rsidRPr="00A428C3">
        <w:t>Kim, W.H. (2007), Application of Mg-mesoporous alumina prepared by using magnesium stearate as a template for the removal of nickel: Kinetics, isotherm,</w:t>
      </w:r>
      <w:r w:rsidR="00F81221">
        <w:t xml:space="preserve"> and </w:t>
      </w:r>
      <w:r w:rsidRPr="00A428C3">
        <w:t xml:space="preserve">error analysis. </w:t>
      </w:r>
      <w:r w:rsidRPr="00A428C3">
        <w:rPr>
          <w:i/>
          <w:iCs/>
        </w:rPr>
        <w:t>Industrial &amp; Engineering Chemistry Research</w:t>
      </w:r>
      <w:r w:rsidRPr="00A428C3">
        <w:t xml:space="preserve">, </w:t>
      </w:r>
      <w:r w:rsidRPr="00A428C3">
        <w:rPr>
          <w:b/>
        </w:rPr>
        <w:t>46</w:t>
      </w:r>
      <w:r w:rsidRPr="00A428C3">
        <w:t xml:space="preserve"> (9), 2834-2842.</w:t>
      </w:r>
    </w:p>
    <w:p w:rsidR="00376A7C" w:rsidRPr="00A428C3" w:rsidRDefault="00376A7C" w:rsidP="00376A7C">
      <w:pPr>
        <w:pStyle w:val="a0"/>
      </w:pPr>
      <w:r w:rsidRPr="00A428C3">
        <w:t xml:space="preserve">Full Text: </w:t>
      </w:r>
      <w:hyperlink r:id="rId1263" w:history="1">
        <w:r w:rsidRPr="00A428C3">
          <w:rPr>
            <w:rStyle w:val="a5"/>
          </w:rPr>
          <w:t>2007\Ind Eng Che Res46, 2834.pdf</w:t>
        </w:r>
      </w:hyperlink>
    </w:p>
    <w:p w:rsidR="00B95188" w:rsidRPr="00A428C3" w:rsidRDefault="00B95188" w:rsidP="00B95188">
      <w:pPr>
        <w:pStyle w:val="a0"/>
      </w:pPr>
      <w:r w:rsidRPr="00A428C3">
        <w:t>Abstract: A new</w:t>
      </w:r>
      <w:r w:rsidR="00F81221">
        <w:t xml:space="preserve"> and </w:t>
      </w:r>
      <w:r w:rsidRPr="00A428C3">
        <w:t>novel adsorbent of Mg-mesoporous alumina prepared via a templating method was used to adsorb nickel from aqueous solution. The adsorption mechanism is assumed to be an ion exchange between Ni(II)</w:t>
      </w:r>
      <w:r w:rsidR="00F81221">
        <w:t xml:space="preserve"> and </w:t>
      </w:r>
      <w:r w:rsidRPr="00A428C3">
        <w:t>magnesium ion present on the surface of the newly prepared mesoporous alumina. The sorption was examined in terms of its equilibria</w:t>
      </w:r>
      <w:r w:rsidR="00F81221">
        <w:t xml:space="preserve"> and </w:t>
      </w:r>
      <w:r w:rsidRPr="00A428C3">
        <w:t>its kinetics. The sorption data have been analyzed</w:t>
      </w:r>
      <w:r w:rsidR="00F81221">
        <w:t xml:space="preserve"> and </w:t>
      </w:r>
      <w:r w:rsidRPr="00A428C3">
        <w:t>fitted to the linearized adsorption isotherms of the Freundlich, Langmuir, Temkin,</w:t>
      </w:r>
      <w:r w:rsidR="00F81221">
        <w:t xml:space="preserve"> and </w:t>
      </w:r>
      <w:r w:rsidRPr="00A428C3">
        <w:t>Dubin-Redushkevich models. The kinetic studies showed that the sorption rates could be described well by a pseudo-second-order expression rather than by the more commonly applied Lagergren pseudo-first-order kinetic model. The best fitting of experimental results to the proposed isotherms was observed in models that assume that ionic species bind first at the energetically most favorable sites. The results show that Mg-mesoporous alumina holds great potential to remove Ni(II) species from aqueous solution because the Delta G value of Mg(II), which is present in mesoporous alumina, has a more negative value when compared with Ni ion.</w:t>
      </w:r>
    </w:p>
    <w:p w:rsidR="00B95188" w:rsidRPr="00A428C3" w:rsidRDefault="00B95188" w:rsidP="00B95188">
      <w:pPr>
        <w:pStyle w:val="a0"/>
      </w:pPr>
      <w:r w:rsidRPr="00A428C3">
        <w:t xml:space="preserve">Keywords: Acid Dye, Activated Carbon, Adsorbent, Adsorption, Adsorption Isotherms, Adsorption Mechanism, Alumina, Analysis, Aqueous Solution, Aqueous-Solution, Equilibrium, Error Analysis, Freundlich, Ion, Ion Exchange, Ion-Exchange, Ionic </w:t>
      </w:r>
      <w:r w:rsidRPr="00A428C3">
        <w:lastRenderedPageBreak/>
        <w:t>Species, Ions, Isotherm, Isotherms, Kinetic, Kinetic Model, Kinetics, Langmuir, Magnesium, Mechanism, Mesoporous, Mesoporous Alumina, Model, Models, Natural Adsorbents, Ni(II), Nickel, Pseudo-Second-Order, Removal, Salts, Sites, Sorption, Surface</w:t>
      </w:r>
    </w:p>
    <w:p w:rsidR="00B95188" w:rsidRPr="00A428C3" w:rsidRDefault="00B95188" w:rsidP="00B95188">
      <w:pPr>
        <w:pStyle w:val="a0"/>
      </w:pPr>
      <w:r w:rsidRPr="00A428C3">
        <w:t>? Baydemir, G.,</w:t>
      </w:r>
      <w:r w:rsidRPr="00A428C3">
        <w:rPr>
          <w:szCs w:val="19"/>
        </w:rPr>
        <w:t xml:space="preserve"> </w:t>
      </w:r>
      <w:r w:rsidRPr="00A428C3">
        <w:t>Andaç, M.,</w:t>
      </w:r>
      <w:r w:rsidRPr="00A428C3">
        <w:rPr>
          <w:szCs w:val="19"/>
        </w:rPr>
        <w:t xml:space="preserve"> </w:t>
      </w:r>
      <w:r w:rsidRPr="00A428C3">
        <w:t>Bereli, N.,</w:t>
      </w:r>
      <w:r w:rsidRPr="00A428C3">
        <w:rPr>
          <w:szCs w:val="19"/>
        </w:rPr>
        <w:t xml:space="preserve"> </w:t>
      </w:r>
      <w:r w:rsidRPr="00A428C3">
        <w:t>Say, R.</w:t>
      </w:r>
      <w:r w:rsidR="00F81221">
        <w:t xml:space="preserve"> and </w:t>
      </w:r>
      <w:r w:rsidRPr="00A428C3">
        <w:t xml:space="preserve">Denizli, A. (2007), </w:t>
      </w:r>
      <w:r w:rsidRPr="00A428C3">
        <w:rPr>
          <w:szCs w:val="19"/>
        </w:rPr>
        <w:t>Selective removal of bilirubin from human plasma with bilirubin-imprinted particles</w:t>
      </w:r>
      <w:r w:rsidRPr="00A428C3">
        <w:t xml:space="preserve">. </w:t>
      </w:r>
      <w:r w:rsidRPr="00A428C3">
        <w:rPr>
          <w:i/>
          <w:iCs/>
        </w:rPr>
        <w:t>Industrial &amp; Engineering Chemistry Research</w:t>
      </w:r>
      <w:r w:rsidRPr="00A428C3">
        <w:t xml:space="preserve">, </w:t>
      </w:r>
      <w:r w:rsidRPr="00A428C3">
        <w:rPr>
          <w:b/>
        </w:rPr>
        <w:t>46</w:t>
      </w:r>
      <w:r w:rsidRPr="00A428C3">
        <w:t xml:space="preserve"> (9), </w:t>
      </w:r>
      <w:r w:rsidRPr="00A428C3">
        <w:rPr>
          <w:szCs w:val="19"/>
        </w:rPr>
        <w:t>2843-2852</w:t>
      </w:r>
      <w:r w:rsidRPr="00A428C3">
        <w:t>.</w:t>
      </w:r>
    </w:p>
    <w:p w:rsidR="00B95188" w:rsidRPr="00A428C3" w:rsidRDefault="00B95188" w:rsidP="00B95188">
      <w:pPr>
        <w:pStyle w:val="a0"/>
      </w:pPr>
      <w:r w:rsidRPr="00A428C3">
        <w:t xml:space="preserve">Full Text: </w:t>
      </w:r>
      <w:hyperlink r:id="rId1264" w:history="1">
        <w:r w:rsidRPr="00A428C3">
          <w:rPr>
            <w:rStyle w:val="a5"/>
          </w:rPr>
          <w:t>2007\Ind Eng Che Res46, 2843.pdf</w:t>
        </w:r>
      </w:hyperlink>
    </w:p>
    <w:p w:rsidR="00B95188" w:rsidRPr="00A428C3" w:rsidRDefault="00B95188" w:rsidP="00B95188">
      <w:pPr>
        <w:pStyle w:val="a0"/>
      </w:pPr>
      <w:r w:rsidRPr="00A428C3">
        <w:t>Abstract: The objective of this study is to prepare bilirubin-imprinted polymeric particles for the selective removal of bilirubin from hyperbilirubinemic human plasma. N-methacryloyl-(L)-tyrosine methylester (MAT) was chosen as the complexing monomer. In the first step, functional monomer MAT was synthesized by the reaction of L-tyrosine methylester</w:t>
      </w:r>
      <w:r w:rsidR="00F81221">
        <w:t xml:space="preserve"> and </w:t>
      </w:r>
      <w:r w:rsidRPr="00A428C3">
        <w:t>methacryloyl chloride</w:t>
      </w:r>
      <w:r w:rsidR="00F81221">
        <w:t xml:space="preserve"> and </w:t>
      </w:r>
      <w:r w:rsidRPr="00A428C3">
        <w:t>characterized by nuclear magnetic resonance (NMR). Bilirubin then was complexed with MAT</w:t>
      </w:r>
      <w:r w:rsidR="00F81221">
        <w:t xml:space="preserve"> and </w:t>
      </w:r>
      <w:r w:rsidRPr="00A428C3">
        <w:t>the bilirubin-imprinted poly(2-hydroxyethyl methacrylate-N-methacryloyl-(L)-tyrosine methylester) [MIP] was produced by bulk polymerization. The template molecules (i.e., bilirubin) then were removed using sodium carbonate</w:t>
      </w:r>
      <w:r w:rsidR="00F81221">
        <w:t xml:space="preserve"> and </w:t>
      </w:r>
      <w:r w:rsidRPr="00A428C3">
        <w:t>sodium hydroxide. MIP particles were characterized by elemental analysis, water uptake tests, Fourier transform infrared (FTIR) spectroscopy,</w:t>
      </w:r>
      <w:r w:rsidR="00F81221">
        <w:t xml:space="preserve"> and </w:t>
      </w:r>
      <w:r w:rsidRPr="00A428C3">
        <w:t>scanning electron microscopy (SEM). Bilirubin adsorption experiments from human plasma were performed in a batch experimental setup. Cholesterol</w:t>
      </w:r>
      <w:r w:rsidR="00F81221">
        <w:t xml:space="preserve"> and </w:t>
      </w:r>
      <w:r w:rsidRPr="00A428C3">
        <w:t>testosterone were used as competing molecules in selectivity tests. Obtained results were as follows: the water uptake ratio of MIP</w:t>
      </w:r>
      <w:r w:rsidR="00F81221">
        <w:t xml:space="preserve"> and </w:t>
      </w:r>
      <w:r w:rsidRPr="00A428C3">
        <w:t>non-imprinted (NIP) particles were 64.7%</w:t>
      </w:r>
      <w:r w:rsidR="00F81221">
        <w:t xml:space="preserve"> and </w:t>
      </w:r>
      <w:r w:rsidRPr="00A428C3">
        <w:t>51.3%, respectively, in water. According to the elemental analysis results, the incorporation of MAT was 69.0 mu mol/g for MIP particles. SEM micrographs showed the surface roughness</w:t>
      </w:r>
      <w:r w:rsidR="00F81221">
        <w:t xml:space="preserve"> and </w:t>
      </w:r>
      <w:r w:rsidRPr="00A428C3">
        <w:t xml:space="preserve">porosity. The specific surface area of the MIP particles was determined to be </w:t>
      </w:r>
      <w:smartTag w:uri="urn:schemas-microsoft-com:office:smarttags" w:element="chmetcnv">
        <w:smartTagPr>
          <w:attr w:name="TCSC" w:val="0"/>
          <w:attr w:name="NumberType" w:val="1"/>
          <w:attr w:name="Negative" w:val="False"/>
          <w:attr w:name="HasSpace" w:val="True"/>
          <w:attr w:name="SourceValue" w:val="27.8"/>
          <w:attr w:name="UnitName" w:val="m2"/>
        </w:smartTagPr>
        <w:r w:rsidRPr="00A428C3">
          <w:t>27.8 m</w:t>
        </w:r>
        <w:r w:rsidRPr="00A428C3">
          <w:rPr>
            <w:vertAlign w:val="superscript"/>
          </w:rPr>
          <w:t>2</w:t>
        </w:r>
      </w:smartTag>
      <w:r w:rsidRPr="00A428C3">
        <w:t>/g. The pore diameter of the MIP particles varied over a range of 20-245 angstrom</w:t>
      </w:r>
      <w:r w:rsidR="00F81221">
        <w:t xml:space="preserve"> and </w:t>
      </w:r>
      <w:r w:rsidRPr="00A428C3">
        <w:t>the average pore diameter was 25.0 angstrom. Template molecules (i.e., bilirubin) were removed from the polymer structure in the ratio of 87% of the initial concentration. Bilirubin adsorption increased as the bilirubin concentration increased, up to 0.8 mg/mL. The maximum bilirubin adsorption capacity was 3.4 mg/g of the dry weight of particles. MIP particles were 6.3</w:t>
      </w:r>
      <w:r w:rsidR="00F81221">
        <w:t xml:space="preserve"> and </w:t>
      </w:r>
      <w:r w:rsidRPr="00A428C3">
        <w:t>3.0 times more selective, with respect to the cholesterol</w:t>
      </w:r>
      <w:r w:rsidR="00F81221">
        <w:t xml:space="preserve"> and </w:t>
      </w:r>
      <w:r w:rsidRPr="00A428C3">
        <w:t>testosterone, respectively. Reusability of the MIP particles was also investigated. MIP particles showed a negligible loss in the bilirubin adsorption capacity after five adsorption-desorption cycles with the same adsorbent.</w:t>
      </w:r>
    </w:p>
    <w:p w:rsidR="00B95188" w:rsidRPr="00A428C3" w:rsidRDefault="00B95188" w:rsidP="00B95188">
      <w:pPr>
        <w:pStyle w:val="a0"/>
      </w:pPr>
      <w:r w:rsidRPr="00A428C3">
        <w:t>Keywords: Ethylene Glycol Dimethylacrylate, Anion-Exchange Resin, Affinity Membrane, Alpha-Bilirubin, Adsorption, Albumin, Beads, Acid, Recognition, Microbeads</w:t>
      </w:r>
    </w:p>
    <w:p w:rsidR="00B95188" w:rsidRPr="00A428C3" w:rsidRDefault="00B95188" w:rsidP="00B95188">
      <w:pPr>
        <w:pStyle w:val="a0"/>
      </w:pPr>
      <w:r w:rsidRPr="00A428C3">
        <w:lastRenderedPageBreak/>
        <w:t>? Cotoruelo, L.M.,</w:t>
      </w:r>
      <w:r w:rsidRPr="00A428C3">
        <w:rPr>
          <w:szCs w:val="19"/>
        </w:rPr>
        <w:t xml:space="preserve"> </w:t>
      </w:r>
      <w:r w:rsidRPr="00A428C3">
        <w:t>Marques, M.D.,</w:t>
      </w:r>
      <w:r w:rsidRPr="00A428C3">
        <w:rPr>
          <w:szCs w:val="19"/>
        </w:rPr>
        <w:t xml:space="preserve"> </w:t>
      </w:r>
      <w:r w:rsidRPr="00A428C3">
        <w:t>Rodriguez-Mirasol, J.,</w:t>
      </w:r>
      <w:r w:rsidRPr="00A428C3">
        <w:rPr>
          <w:szCs w:val="19"/>
        </w:rPr>
        <w:t xml:space="preserve"> </w:t>
      </w:r>
      <w:r w:rsidRPr="00A428C3">
        <w:t>Cordero, T.</w:t>
      </w:r>
      <w:r w:rsidR="00F81221">
        <w:t xml:space="preserve"> and </w:t>
      </w:r>
      <w:r w:rsidRPr="00A428C3">
        <w:t xml:space="preserve">Rodriguez, J.J. (2007), </w:t>
      </w:r>
      <w:r w:rsidRPr="00A428C3">
        <w:rPr>
          <w:szCs w:val="19"/>
        </w:rPr>
        <w:t>Adsorption of aromatic compounds on activated carbons from lignin: Kinetic study</w:t>
      </w:r>
      <w:r w:rsidRPr="00A428C3">
        <w:t xml:space="preserve">. </w:t>
      </w:r>
      <w:r w:rsidRPr="00A428C3">
        <w:rPr>
          <w:i/>
          <w:iCs/>
        </w:rPr>
        <w:t>Industrial &amp; Engineering Chemistry Research</w:t>
      </w:r>
      <w:r w:rsidRPr="00A428C3">
        <w:t xml:space="preserve">, </w:t>
      </w:r>
      <w:r w:rsidRPr="00A428C3">
        <w:rPr>
          <w:b/>
        </w:rPr>
        <w:t>46</w:t>
      </w:r>
      <w:r w:rsidRPr="00A428C3">
        <w:t xml:space="preserve"> (9), </w:t>
      </w:r>
      <w:r w:rsidRPr="00A428C3">
        <w:rPr>
          <w:szCs w:val="19"/>
        </w:rPr>
        <w:t>2853-2860</w:t>
      </w:r>
      <w:r w:rsidRPr="00A428C3">
        <w:t>.</w:t>
      </w:r>
    </w:p>
    <w:p w:rsidR="00B95188" w:rsidRPr="00A428C3" w:rsidRDefault="00B95188" w:rsidP="00B95188">
      <w:pPr>
        <w:pStyle w:val="a0"/>
      </w:pPr>
      <w:r w:rsidRPr="00A428C3">
        <w:t xml:space="preserve">Full Text: </w:t>
      </w:r>
      <w:hyperlink r:id="rId1265" w:history="1">
        <w:r w:rsidRPr="00A428C3">
          <w:rPr>
            <w:rStyle w:val="a5"/>
          </w:rPr>
          <w:t>2007\Ind Eng Che Res46, 2853.pdf</w:t>
        </w:r>
      </w:hyperlink>
    </w:p>
    <w:p w:rsidR="00B95188" w:rsidRPr="00A428C3" w:rsidRDefault="00B95188" w:rsidP="00B95188">
      <w:pPr>
        <w:pStyle w:val="a0"/>
      </w:pPr>
      <w:r w:rsidRPr="00A428C3">
        <w:t>Abstract: The kinetics of adsorption of five aromatic compounds in aqueous solution was studied in a batch system using activated carbons from eucalyptus kraft lignin as adsorbents. The batch adsorption processes were carried out in a range of temperatures; the values for the experimental variables were selected from previous tests. The rate</w:t>
      </w:r>
      <w:r w:rsidR="00F81221">
        <w:t xml:space="preserve"> and </w:t>
      </w:r>
      <w:r w:rsidRPr="00A428C3">
        <w:t>the adsorption yield were the main output information. The extent of adsorption is reported as plots of the adsorbate concentration on the solid phase versus time; an empirical equation has been applied for the experimental kinetic data fittings. The apparent mass-transfer order has been determined by applying a pseudo-nth-order rate equation. In addition, effective intraparticle diffusion coefficients have been estimated for all the studied cases.</w:t>
      </w:r>
    </w:p>
    <w:p w:rsidR="00B95188" w:rsidRPr="00A428C3" w:rsidRDefault="00B95188" w:rsidP="00B95188">
      <w:pPr>
        <w:pStyle w:val="a0"/>
      </w:pPr>
      <w:r w:rsidRPr="00A428C3">
        <w:t>Keywords: Phenolic-Compounds, Aqueous-Solutions, Waste-Water, Methylene-Blue, Removal, Equilibrium, Model, Adsorbent, Sorption, Mechanism</w:t>
      </w:r>
    </w:p>
    <w:p w:rsidR="00B95188" w:rsidRPr="00A428C3" w:rsidRDefault="00B95188" w:rsidP="00B95188">
      <w:pPr>
        <w:pStyle w:val="a0"/>
      </w:pPr>
      <w:r w:rsidRPr="00A428C3">
        <w:t>? Bhattacharyya, K.G.</w:t>
      </w:r>
      <w:r w:rsidR="00F81221">
        <w:t xml:space="preserve"> and </w:t>
      </w:r>
      <w:r w:rsidRPr="00A428C3">
        <w:t>Sen Gupta, S. (2007), Influence of acid activation of kaolinite</w:t>
      </w:r>
      <w:r w:rsidR="00F81221">
        <w:t xml:space="preserve"> and </w:t>
      </w:r>
      <w:r w:rsidRPr="00A428C3">
        <w:t xml:space="preserve">montmorillonite on adsorptive removal of Cd(II) from water. </w:t>
      </w:r>
      <w:r w:rsidRPr="00A428C3">
        <w:rPr>
          <w:i/>
          <w:iCs/>
        </w:rPr>
        <w:t>Industrial &amp; Engineering Chemistry Research</w:t>
      </w:r>
      <w:r w:rsidRPr="00A428C3">
        <w:t xml:space="preserve">, </w:t>
      </w:r>
      <w:r w:rsidRPr="00A428C3">
        <w:rPr>
          <w:b/>
        </w:rPr>
        <w:t>46</w:t>
      </w:r>
      <w:r w:rsidRPr="00A428C3">
        <w:t xml:space="preserve"> (11), 3734-3742.</w:t>
      </w:r>
    </w:p>
    <w:p w:rsidR="00B95188" w:rsidRPr="00A428C3" w:rsidRDefault="00B95188" w:rsidP="00B95188">
      <w:pPr>
        <w:pStyle w:val="a0"/>
      </w:pPr>
      <w:r w:rsidRPr="00A428C3">
        <w:t xml:space="preserve">Full Text: </w:t>
      </w:r>
      <w:hyperlink r:id="rId1266" w:history="1">
        <w:r w:rsidRPr="00A428C3">
          <w:rPr>
            <w:rStyle w:val="a5"/>
          </w:rPr>
          <w:t>2007\Ind Eng Che Res46, 3734.pdf</w:t>
        </w:r>
      </w:hyperlink>
    </w:p>
    <w:p w:rsidR="00B95188" w:rsidRPr="00A428C3" w:rsidRDefault="00B95188" w:rsidP="00B95188">
      <w:pPr>
        <w:pStyle w:val="a0"/>
      </w:pPr>
      <w:r w:rsidRPr="00A428C3">
        <w:t>Abstract: Two common clay minerals, kaolinite</w:t>
      </w:r>
      <w:r w:rsidR="00F81221">
        <w:t xml:space="preserve"> and </w:t>
      </w:r>
      <w:r w:rsidRPr="00A428C3">
        <w:t xml:space="preserve">montmorillonite, are activated by treating with </w:t>
      </w:r>
      <w:smartTag w:uri="urn:schemas-microsoft-com:office:smarttags" w:element="chmetcnv">
        <w:smartTagPr>
          <w:attr w:name="TCSC" w:val="0"/>
          <w:attr w:name="NumberType" w:val="1"/>
          <w:attr w:name="Negative" w:val="False"/>
          <w:attr w:name="HasSpace" w:val="True"/>
          <w:attr w:name="SourceValue" w:val="0.25"/>
          <w:attr w:name="UnitName" w:val="m"/>
        </w:smartTagPr>
        <w:r w:rsidRPr="00A428C3">
          <w:t>0.25 M</w:t>
        </w:r>
      </w:smartTag>
      <w:r w:rsidRPr="00A428C3">
        <w:t xml:space="preserve"> H</w:t>
      </w:r>
      <w:r w:rsidRPr="00A428C3">
        <w:rPr>
          <w:vertAlign w:val="subscript"/>
        </w:rPr>
        <w:t>2</w:t>
      </w:r>
      <w:r w:rsidRPr="00A428C3">
        <w:t>SO</w:t>
      </w:r>
      <w:r w:rsidRPr="00A428C3">
        <w:rPr>
          <w:vertAlign w:val="subscript"/>
        </w:rPr>
        <w:t>4</w:t>
      </w:r>
      <w:r w:rsidRPr="00A428C3">
        <w:t>,</w:t>
      </w:r>
      <w:r w:rsidR="00F81221">
        <w:t xml:space="preserve"> and </w:t>
      </w:r>
      <w:r w:rsidRPr="00A428C3">
        <w:t>the effects of acid treatment are monitored with XRD</w:t>
      </w:r>
      <w:r w:rsidR="00F81221">
        <w:t xml:space="preserve"> and </w:t>
      </w:r>
      <w:r w:rsidRPr="00A428C3">
        <w:t>FTIR measurements</w:t>
      </w:r>
      <w:r w:rsidR="00F81221">
        <w:t xml:space="preserve"> and </w:t>
      </w:r>
      <w:r w:rsidRPr="00A428C3">
        <w:t>by measuring changes in surface area</w:t>
      </w:r>
      <w:r w:rsidR="00F81221">
        <w:t xml:space="preserve"> and </w:t>
      </w:r>
      <w:r w:rsidRPr="00A428C3">
        <w:t>the cation exchange capacity (CEC). Kaolinite, montmorillonite,</w:t>
      </w:r>
      <w:r w:rsidR="00F81221">
        <w:t xml:space="preserve"> and </w:t>
      </w:r>
      <w:r w:rsidRPr="00A428C3">
        <w:t>their acid-activated forms are used as adsorbents for removing Cd(II) from water in a batch process with variations in initial Cd(II) concentration, amount of clay, pH, time,</w:t>
      </w:r>
      <w:r w:rsidR="00F81221">
        <w:t xml:space="preserve"> and </w:t>
      </w:r>
      <w:r w:rsidRPr="00A428C3">
        <w:t>temperature. Different models of kinetics</w:t>
      </w:r>
      <w:r w:rsidR="00F81221">
        <w:t xml:space="preserve"> and </w:t>
      </w:r>
      <w:r w:rsidRPr="00A428C3">
        <w:t>isotherms are tested by the data-fitting procedure. Kaolinite is much inferior to montmorillonite with respect to Cd(II) adsorption,</w:t>
      </w:r>
      <w:r w:rsidR="00F81221">
        <w:t xml:space="preserve"> and </w:t>
      </w:r>
      <w:r w:rsidRPr="00A428C3">
        <w:t>acid activation enhances adsorption to different extents for the two clays. Langmuir monolayer capacity has the values of 9.9, 11.4, 32.7,</w:t>
      </w:r>
      <w:r w:rsidR="00F81221">
        <w:t xml:space="preserve"> and </w:t>
      </w:r>
      <w:r w:rsidRPr="00A428C3">
        <w:t>33.2 mg g</w:t>
      </w:r>
      <w:r w:rsidRPr="00A428C3">
        <w:rPr>
          <w:vertAlign w:val="superscript"/>
        </w:rPr>
        <w:t>-1</w:t>
      </w:r>
      <w:r w:rsidRPr="00A428C3">
        <w:t xml:space="preserve"> for kaolinite, acid-activated kaolinite, montmorillonite,</w:t>
      </w:r>
      <w:r w:rsidR="00F81221">
        <w:t xml:space="preserve"> and </w:t>
      </w:r>
      <w:r w:rsidRPr="00A428C3">
        <w:t>acid-activated montmorillonite respectively. Adsorption follows an endothermic path with decrease in entropy</w:t>
      </w:r>
      <w:r w:rsidR="00F81221">
        <w:t xml:space="preserve"> and </w:t>
      </w:r>
      <w:r w:rsidRPr="00A428C3">
        <w:t>Gibbs energy.</w:t>
      </w:r>
    </w:p>
    <w:p w:rsidR="00B95188" w:rsidRPr="00A428C3" w:rsidRDefault="00B95188" w:rsidP="00B95188">
      <w:pPr>
        <w:pStyle w:val="a0"/>
      </w:pPr>
      <w:r w:rsidRPr="00A428C3">
        <w:t>Keywords: Aqueous-Solution, Cadmium Adsorption, Catalytic-Activity, Waste-Waters, Heavy-Metal, Copper, Clays, Retention, Sorption, Temperature</w:t>
      </w:r>
    </w:p>
    <w:p w:rsidR="00B95188" w:rsidRPr="00A428C3" w:rsidRDefault="00B95188" w:rsidP="00B95188">
      <w:pPr>
        <w:pStyle w:val="a0"/>
      </w:pPr>
      <w:r w:rsidRPr="00A428C3">
        <w:t>? El Qada, E.N., Allen, S.J.</w:t>
      </w:r>
      <w:r w:rsidR="00F81221">
        <w:t xml:space="preserve"> and </w:t>
      </w:r>
      <w:r w:rsidRPr="00A428C3">
        <w:t xml:space="preserve">Walker, G.M. (2007), Kinetic modeling of the adsorption of basic dyes onto steam-activated bituminous coal. </w:t>
      </w:r>
      <w:r w:rsidRPr="00A428C3">
        <w:rPr>
          <w:i/>
          <w:iCs/>
        </w:rPr>
        <w:t>Industrial &amp; Engineering Chemistry Research</w:t>
      </w:r>
      <w:r w:rsidRPr="00A428C3">
        <w:t xml:space="preserve">, </w:t>
      </w:r>
      <w:r w:rsidRPr="00A428C3">
        <w:rPr>
          <w:b/>
        </w:rPr>
        <w:t>46</w:t>
      </w:r>
      <w:r w:rsidRPr="00A428C3">
        <w:t xml:space="preserve"> (14), 4764-4771.</w:t>
      </w:r>
    </w:p>
    <w:p w:rsidR="00B95188" w:rsidRPr="00A428C3" w:rsidRDefault="00B95188" w:rsidP="00B95188">
      <w:pPr>
        <w:pStyle w:val="a0"/>
      </w:pPr>
      <w:r w:rsidRPr="00A428C3">
        <w:t xml:space="preserve">Full Text: </w:t>
      </w:r>
      <w:hyperlink r:id="rId1267" w:history="1">
        <w:r w:rsidRPr="00A428C3">
          <w:rPr>
            <w:rStyle w:val="a5"/>
          </w:rPr>
          <w:t>2007\Ind Eng Che Res46, 4764.pdf</w:t>
        </w:r>
      </w:hyperlink>
    </w:p>
    <w:p w:rsidR="00B95188" w:rsidRPr="00A428C3" w:rsidRDefault="00B95188" w:rsidP="00B95188">
      <w:pPr>
        <w:pStyle w:val="a0"/>
      </w:pPr>
      <w:r w:rsidRPr="00A428C3">
        <w:lastRenderedPageBreak/>
        <w:t>Abstract: The principal aim of this work is to investigate the mechanism of basic dye (methylene blue (MB)</w:t>
      </w:r>
      <w:r w:rsidR="00F81221">
        <w:t xml:space="preserve"> and </w:t>
      </w:r>
      <w:r w:rsidRPr="00A428C3">
        <w:t>basic red (BR)) adsorption onto activated carbons produced from steam-activated bituminous coal. The rate of adsorption onto various activated carbons, produced in small laboratory-scale</w:t>
      </w:r>
      <w:r w:rsidR="00F81221">
        <w:t xml:space="preserve"> and </w:t>
      </w:r>
      <w:r w:rsidRPr="00A428C3">
        <w:t>pilot-industrial-scale processes, was investigated under a variety of conditions. The kinetic data from these investigations were correlated to a number of adsorption models in an attempt to elucidate the mechanism of the adsorption processes. The adsorption mechanism was found to follow pseudo-second-order</w:t>
      </w:r>
      <w:r w:rsidR="00F81221">
        <w:t xml:space="preserve"> and </w:t>
      </w:r>
      <w:r w:rsidRPr="00A428C3">
        <w:t>intraparticle-diffusion models, with external mass transfer predominating in the first 5 min of the experiment. Filtrasorb 400 (Chemviron Carbon) exhibited the highest adsorption rate for the removal of basic dyes followed by activated carbons produced by our research group: PAC1 (activated carbon produced from Venezuelan bituminous coal in small laboratory scale using physical activation technique)</w:t>
      </w:r>
      <w:r w:rsidR="00F81221">
        <w:t xml:space="preserve"> and </w:t>
      </w:r>
      <w:r w:rsidRPr="00A428C3">
        <w:t>PAC2 (activated carbon produced by the steam activation of New Zealand bituminous coal on a pilot-industrial scale).</w:t>
      </w:r>
    </w:p>
    <w:p w:rsidR="00B95188" w:rsidRPr="00A428C3" w:rsidRDefault="00B95188" w:rsidP="00B95188">
      <w:pPr>
        <w:pStyle w:val="a0"/>
      </w:pPr>
      <w:r w:rsidRPr="00A428C3">
        <w:t>Keywords: Activated Carbon, Activated Carbons, Activation, Adsorption, Adsorption Mechanism, Adsorption Models, Adsorption Rate, Aqueous-Solution, Bagasse Pith, Basic Dye, Basic Dyes, Bituminous Coal, Br, Carbon, Coal, Color Removal, Diffusion-Model, Dye, Dyes, Experiment, External Mass Transfer, Group, Intraparticle Diffusion, Investigations, Kinetic, Liquid-Phase Adsorption, Mass Transfer, Mass-Transfer, Mass-Transfer Processes, MB, Mechanism, Metal-Ions, Methylene Blue, Methylene-Blue, Modeling, Models, New Zealand, Physical, Physical Activation, Pseudo Second Order, Pseudo-Second-Order, Reactive Dyes, Removal, Research, Scale, Steam Activation, Transfer, Waste-Water</w:t>
      </w:r>
    </w:p>
    <w:p w:rsidR="00B95188" w:rsidRPr="00A428C3" w:rsidRDefault="00B95188" w:rsidP="00B95188">
      <w:pPr>
        <w:pStyle w:val="a0"/>
      </w:pPr>
      <w:r w:rsidRPr="00A428C3">
        <w:t xml:space="preserve">? Biswas, K., </w:t>
      </w:r>
      <w:smartTag w:uri="urn:schemas-microsoft-com:office:smarttags" w:element="City">
        <w:r w:rsidRPr="00A428C3">
          <w:t>Saha</w:t>
        </w:r>
      </w:smartTag>
      <w:r w:rsidRPr="00A428C3">
        <w:t>, S.K.</w:t>
      </w:r>
      <w:r w:rsidR="00F81221">
        <w:t xml:space="preserve"> and </w:t>
      </w:r>
      <w:r w:rsidRPr="00A428C3">
        <w:t xml:space="preserve">Ghosh, U.C. (2007), Adsorption of fluoride from aqueous solution by a synthetic Iron(III)-Aluminum(III) mixed oxide. </w:t>
      </w:r>
      <w:r w:rsidRPr="00A428C3">
        <w:rPr>
          <w:i/>
          <w:iCs/>
        </w:rPr>
        <w:t>Industrial &amp; Engineering Chemistry Research</w:t>
      </w:r>
      <w:r w:rsidRPr="00A428C3">
        <w:t xml:space="preserve">, </w:t>
      </w:r>
      <w:r w:rsidRPr="00A428C3">
        <w:rPr>
          <w:b/>
        </w:rPr>
        <w:t>46</w:t>
      </w:r>
      <w:r w:rsidRPr="00A428C3">
        <w:t xml:space="preserve"> (16), 5346-5356.</w:t>
      </w:r>
    </w:p>
    <w:p w:rsidR="00B95188" w:rsidRPr="00A428C3" w:rsidRDefault="00B95188" w:rsidP="00B95188">
      <w:pPr>
        <w:pStyle w:val="a0"/>
      </w:pPr>
      <w:r w:rsidRPr="00A428C3">
        <w:t xml:space="preserve">Full Text: </w:t>
      </w:r>
      <w:hyperlink r:id="rId1268" w:history="1">
        <w:r w:rsidRPr="00A428C3">
          <w:rPr>
            <w:rStyle w:val="a5"/>
          </w:rPr>
          <w:t>2007\Ind Eng Che Res46, 5346.pdf</w:t>
        </w:r>
      </w:hyperlink>
    </w:p>
    <w:p w:rsidR="00B95188" w:rsidRPr="00A428C3" w:rsidRDefault="00B95188" w:rsidP="00B95188">
      <w:pPr>
        <w:pStyle w:val="a0"/>
      </w:pPr>
      <w:r w:rsidRPr="00A428C3">
        <w:t>Abstract: This paper presents the synthesis of iron(III)-aluminum(III) mixed oxide with some of its physicochemical characteristics</w:t>
      </w:r>
      <w:r w:rsidR="00F81221">
        <w:t xml:space="preserve"> and </w:t>
      </w:r>
      <w:r w:rsidRPr="00A428C3">
        <w:t>fluoride adsorption behavior thereon. Results showed that the optimum initial pH for fluoride adsorption is 4.0-10.0,</w:t>
      </w:r>
      <w:r w:rsidR="00F81221">
        <w:t xml:space="preserve"> and </w:t>
      </w:r>
      <w:r w:rsidRPr="00A428C3">
        <w:t>the equilibrium time required is 1.5 h. The isotherm data follow the order Redlich-Peterson &gt;= Langmuir &gt; Freundlich &gt; Temkin. The Langmuir monolayer adsorption capacity of the adsorbent is determined to be 17.73 mg/g, which is higher than that of either of the pure oxides. The enthalpy change (Delta H degrees)</w:t>
      </w:r>
      <w:r w:rsidR="00F81221">
        <w:t xml:space="preserve"> and </w:t>
      </w:r>
      <w:r w:rsidRPr="00A428C3">
        <w:t>entropy change (Delta S degrees) for the adsorption reaction are +29.31 kJ/mol</w:t>
      </w:r>
      <w:r w:rsidR="00F81221">
        <w:t xml:space="preserve"> and </w:t>
      </w:r>
      <w:r w:rsidRPr="00A428C3">
        <w:t>+116.75 J mol</w:t>
      </w:r>
      <w:r w:rsidRPr="00A428C3">
        <w:rPr>
          <w:vertAlign w:val="superscript"/>
        </w:rPr>
        <w:t>-1</w:t>
      </w:r>
      <w:r w:rsidRPr="00A428C3">
        <w:t xml:space="preserve"> K</w:t>
      </w:r>
      <w:r w:rsidRPr="00A428C3">
        <w:rPr>
          <w:vertAlign w:val="superscript"/>
        </w:rPr>
        <w:t>-1</w:t>
      </w:r>
      <w:r w:rsidRPr="00A428C3">
        <w:t>, respectively. The adsorption is endothermic in nature. The kinetics follows a pseudo-second-order rate equation,</w:t>
      </w:r>
      <w:r w:rsidR="00F81221">
        <w:t xml:space="preserve"> and </w:t>
      </w:r>
      <w:r w:rsidRPr="00A428C3">
        <w:t>the reaction rate is a multistage-controlled diffusion process. The activation energy for this adsorption reaction is 6.35 kJ/mol.</w:t>
      </w:r>
    </w:p>
    <w:p w:rsidR="00B95188" w:rsidRPr="00A428C3" w:rsidRDefault="00B95188" w:rsidP="00B95188">
      <w:pPr>
        <w:pStyle w:val="a0"/>
      </w:pPr>
      <w:r w:rsidRPr="00A428C3">
        <w:lastRenderedPageBreak/>
        <w:t>Keywords: Activated Alumina, Activation, Activation Energy, Adsorbent, Adsorption, Adsorption Behavior, Adsorption Capacity, Aqueous Solution, Behavior, Capacity, Characteristics, Diffusion, Donnan Dialysis, Drinking-Water, Endothermic, Energy, Enthalpy, Entropy, Equilibrium, Equilibrium Time, Fluoride, Fluoride Adsorption, Fly-Ash, Freundlich, Ions, Isotherm, Isotherm Data, Kinetics, Langmuir, Langmuir Monolayer, Low-Cost Materials, Methylene-Blue, Monolayer, Order, Oxide, Oxides, Paper, pH, Process, Pseudo Second Order, Pseudo-Second-Order, Rate, Rate Equation, Reaction, Reaction Rate, Redlich-Peterson, Removal, Sorption, Synthesis, Synthetic, Time</w:t>
      </w:r>
    </w:p>
    <w:p w:rsidR="00B95188" w:rsidRPr="00A428C3" w:rsidRDefault="00B95188" w:rsidP="00B95188">
      <w:pPr>
        <w:pStyle w:val="a0"/>
      </w:pPr>
      <w:r w:rsidRPr="00A428C3">
        <w:t>? Wang, H.L.</w:t>
      </w:r>
      <w:r w:rsidR="00F81221">
        <w:t xml:space="preserve"> and </w:t>
      </w:r>
      <w:r w:rsidRPr="00A428C3">
        <w:t xml:space="preserve">Jiang, W.F. (2007), Adsorption of dinitro butyl phenol (DNBP) from aqueous solutions by fly ash. </w:t>
      </w:r>
      <w:r w:rsidRPr="00A428C3">
        <w:rPr>
          <w:i/>
          <w:iCs/>
        </w:rPr>
        <w:t>Industrial &amp; Engineering Chemistry Research</w:t>
      </w:r>
      <w:r w:rsidRPr="00A428C3">
        <w:t xml:space="preserve">, </w:t>
      </w:r>
      <w:r w:rsidRPr="00A428C3">
        <w:rPr>
          <w:b/>
        </w:rPr>
        <w:t>46</w:t>
      </w:r>
      <w:r w:rsidRPr="00A428C3">
        <w:t xml:space="preserve"> (16), 5405-5411.</w:t>
      </w:r>
    </w:p>
    <w:p w:rsidR="00B95188" w:rsidRPr="00A428C3" w:rsidRDefault="00B95188" w:rsidP="00B95188">
      <w:pPr>
        <w:pStyle w:val="a0"/>
      </w:pPr>
      <w:r w:rsidRPr="00A428C3">
        <w:t xml:space="preserve">Full Text: </w:t>
      </w:r>
      <w:hyperlink r:id="rId1269" w:history="1">
        <w:r w:rsidRPr="00A428C3">
          <w:rPr>
            <w:rStyle w:val="a5"/>
          </w:rPr>
          <w:t>2007\Ind Eng Che Res46, 5405.pdf</w:t>
        </w:r>
      </w:hyperlink>
    </w:p>
    <w:p w:rsidR="00B95188" w:rsidRPr="00A428C3" w:rsidRDefault="00B95188" w:rsidP="00B95188">
      <w:pPr>
        <w:pStyle w:val="a0"/>
      </w:pPr>
      <w:r w:rsidRPr="00A428C3">
        <w:t>Abstract: Fly ash, which is a waste generated in local thermal power plants, has been collected</w:t>
      </w:r>
      <w:r w:rsidR="00F81221">
        <w:t xml:space="preserve"> and </w:t>
      </w:r>
      <w:r w:rsidRPr="00A428C3">
        <w:t>converted to a low-cost</w:t>
      </w:r>
      <w:r w:rsidR="00F81221">
        <w:t xml:space="preserve"> and </w:t>
      </w:r>
      <w:r w:rsidRPr="00A428C3">
        <w:t>efficient adsorbent. The prepared adsorbent has been characterized</w:t>
      </w:r>
      <w:r w:rsidR="00F81221">
        <w:t xml:space="preserve"> and </w:t>
      </w:r>
      <w:r w:rsidRPr="00A428C3">
        <w:t>used for the removal of a typical alkyl dinitro phenol compound, 2-sec-butyl-4,6-dinitrophenol (DNBP), from aqueous solution. Adsorption studies include the effect of contact time, temperature, initial solute concentration, adsorbent dosage, pH,</w:t>
      </w:r>
      <w:r w:rsidR="00F81221">
        <w:t xml:space="preserve"> and </w:t>
      </w:r>
      <w:r w:rsidRPr="00A428C3">
        <w:t>particle size on the uptake of DNBP. The results show that the high adsorption capacity</w:t>
      </w:r>
      <w:r w:rsidR="00F81221">
        <w:t xml:space="preserve"> and </w:t>
      </w:r>
      <w:r w:rsidRPr="00A428C3">
        <w:t xml:space="preserve">sufficient removal efficiencies can be achieved at an optimum pH of 4.0, using </w:t>
      </w:r>
      <w:smartTag w:uri="urn:schemas-microsoft-com:office:smarttags" w:element="chmetcnv">
        <w:smartTagPr>
          <w:attr w:name="TCSC" w:val="0"/>
          <w:attr w:name="NumberType" w:val="1"/>
          <w:attr w:name="Negative" w:val="False"/>
          <w:attr w:name="HasSpace" w:val="True"/>
          <w:attr w:name="SourceValue" w:val="5"/>
          <w:attr w:name="UnitName" w:val="g"/>
        </w:smartTagPr>
        <w:r w:rsidRPr="00A428C3">
          <w:t>5 g</w:t>
        </w:r>
      </w:smartTag>
      <w:r w:rsidRPr="00A428C3">
        <w:t>/L of adsorbent with a particle size of 160-200 mesh in 120 min of equilibration time. The adsorption of DNBP increased as the temperature increased, which indicated that the process was endothermic in nature. The thermodynamic parameters (such as the free energy, enthalpy,</w:t>
      </w:r>
      <w:r w:rsidR="00F81221">
        <w:t xml:space="preserve"> and </w:t>
      </w:r>
      <w:r w:rsidRPr="00A428C3">
        <w:t>entropy of adsorption) were calculated based on a statistical model. Interpretation of the results was given. Kinetic studies have been performed to understand the mechanism of adsorption. The adsorption occurred via a film diffusion mechanism at lower concentrations (&lt;= 8.33 x 10(-5) M)</w:t>
      </w:r>
      <w:r w:rsidR="00F81221">
        <w:t xml:space="preserve"> and </w:t>
      </w:r>
      <w:r w:rsidRPr="00A428C3">
        <w:t>via particle diffusion at higher concentrations (&gt;= 1.25 x 10(-4) M). The adsorption of DNBP followed pseudo-second-order rate kinetics. Some experiments have also been performed for the purpose of regenerating the used saturated fly ash. The results indicate that fly ash can be used for the efficient removal of DNBP from aqueous solutions.</w:t>
      </w:r>
    </w:p>
    <w:p w:rsidR="00B95188" w:rsidRPr="00A428C3" w:rsidRDefault="00B95188" w:rsidP="00B95188">
      <w:pPr>
        <w:pStyle w:val="a0"/>
      </w:pPr>
      <w:r w:rsidRPr="00A428C3">
        <w:t xml:space="preserve">Keywords: Activated Carbon-Cloth, Adsorbent, Adsorbent Dosage, Adsorption, Adsorption Capacity, Aqueous Solution, Aqueous Solutions, Ash, Capacity, Concentration, Concentrations, Contact Time, Diffusion, Dosage, Endothermic, Energy, Enthalpy, Entropy, Equilibrium, Film, Film Diffusion, Fly Ash, Fly-Ash, Free Energy, General Treatment, Kinetics, Local, Low-Cost Adsorbent, Mechanism, Mesh, Model, P-Nitrophenol, Parameters, Particle, Particle Diffusion, Particle Size, pH, Phenol, Plants, Power Plants, Process, Pseudo Second Order, </w:t>
      </w:r>
      <w:r w:rsidRPr="00A428C3">
        <w:lastRenderedPageBreak/>
        <w:t>Pseudo-Second-Order, Rate, Red Mud, Removal, Size, Solute Concentration, Solutions, Sorption, Sugar-Industry Waste, Temperature, Thermodynamic, Thermodynamic Parameters, Time, Uptake, Waste, Water</w:t>
      </w:r>
    </w:p>
    <w:p w:rsidR="00B95188" w:rsidRPr="00A428C3" w:rsidRDefault="00B95188" w:rsidP="00B95188">
      <w:pPr>
        <w:pStyle w:val="a0"/>
      </w:pPr>
      <w:r w:rsidRPr="00A428C3">
        <w:t>? Altintaş, E.B., Tüzmen, N., Uzun, L.</w:t>
      </w:r>
      <w:r w:rsidR="00F81221">
        <w:t xml:space="preserve"> and </w:t>
      </w:r>
      <w:r w:rsidRPr="00A428C3">
        <w:t xml:space="preserve">Denizli, A. (2007), Immobilized metal affinity adsorption for antibody depletion from human serum with monosize beads. </w:t>
      </w:r>
      <w:r w:rsidRPr="00A428C3">
        <w:rPr>
          <w:i/>
          <w:iCs/>
        </w:rPr>
        <w:t>Industrial &amp; Engineering Chemistry Research</w:t>
      </w:r>
      <w:r w:rsidRPr="00A428C3">
        <w:t xml:space="preserve">, </w:t>
      </w:r>
      <w:r w:rsidRPr="00A428C3">
        <w:rPr>
          <w:b/>
        </w:rPr>
        <w:t>46</w:t>
      </w:r>
      <w:r w:rsidRPr="00A428C3">
        <w:t xml:space="preserve"> (23), 7802-7810.</w:t>
      </w:r>
    </w:p>
    <w:p w:rsidR="00B95188" w:rsidRPr="00A428C3" w:rsidRDefault="00B95188" w:rsidP="00B95188">
      <w:pPr>
        <w:pStyle w:val="a0"/>
      </w:pPr>
      <w:r w:rsidRPr="00A428C3">
        <w:t xml:space="preserve">Full Text: </w:t>
      </w:r>
      <w:hyperlink r:id="rId1270" w:history="1">
        <w:r w:rsidRPr="00A428C3">
          <w:rPr>
            <w:rStyle w:val="a5"/>
          </w:rPr>
          <w:t>2007\Ind Eng Che Res46, 7802.pdf</w:t>
        </w:r>
      </w:hyperlink>
    </w:p>
    <w:p w:rsidR="00B95188" w:rsidRPr="00A428C3" w:rsidRDefault="00B95188" w:rsidP="00B95188">
      <w:pPr>
        <w:pStyle w:val="a0"/>
      </w:pPr>
      <w:r w:rsidRPr="00A428C3">
        <w:t>Abstract: Iminodiacetic acid (IDA)-functionalized adsorbents have attracted increasing interest in recent years for immobilized metal-affinity chromatography (IMAC). In this study, IDA was covalently attached to nonporous monosize poly(glycidyl methacrylate) [poly(GMA)] beads (1.6 mu m in diameter). Cull ions were chelated via IDA groups for affinity depletion of immunoglobulin G (IgG) from human serum. The monosize poly(GMA) beads were characterized by scanning electron microscopy. The Cu</w:t>
      </w:r>
      <w:r w:rsidRPr="00A428C3">
        <w:rPr>
          <w:vertAlign w:val="superscript"/>
        </w:rPr>
        <w:t>2+</w:t>
      </w:r>
      <w:r w:rsidRPr="00A428C3">
        <w:t xml:space="preserve"> -chelated beads (628 mu mol/g) were used in the IgG adsorption - elution studies. Studies to determine the effects of IgG concentration, pH,</w:t>
      </w:r>
      <w:r w:rsidR="00F81221">
        <w:t xml:space="preserve"> and </w:t>
      </w:r>
      <w:r w:rsidRPr="00A428C3">
        <w:t>temperature on the adsorption efficiency Of Cull -chelated beads were performed in a batch system. Nonspecific binding of IgG to monosize beads in the absence of Cu</w:t>
      </w:r>
      <w:r w:rsidRPr="00A428C3">
        <w:rPr>
          <w:vertAlign w:val="superscript"/>
        </w:rPr>
        <w:t>2+</w:t>
      </w:r>
      <w:r w:rsidRPr="00A428C3">
        <w:t xml:space="preserve"> ions was very low (0.45 mg/g). The IgG adsorption to chelated Cull ions was 171.2 mg/g. The equilibrium IgG adsorption increased with increasing temperature. The negative change in Gibbs free energy (Delta G degrees &lt; 0) indicated that the adsorption of IgG on the Cu</w:t>
      </w:r>
      <w:r w:rsidRPr="00A428C3">
        <w:rPr>
          <w:vertAlign w:val="superscript"/>
        </w:rPr>
        <w:t>2+</w:t>
      </w:r>
      <w:r w:rsidRPr="00A428C3">
        <w:t xml:space="preserve"> - chelated beads was a thermodynamically favorable process. The Delta S</w:t>
      </w:r>
      <w:r w:rsidR="00F81221">
        <w:t xml:space="preserve"> and </w:t>
      </w:r>
      <w:r w:rsidRPr="00A428C3">
        <w:t>Delta H values were 172.1 J/mol.K</w:t>
      </w:r>
      <w:r w:rsidR="00F81221">
        <w:t xml:space="preserve"> and </w:t>
      </w:r>
      <w:r w:rsidRPr="00A428C3">
        <w:t xml:space="preserve">-43.2 kJ/mol, respectively. A significant amount of the adsorbed IgG (up to 97.2%) was eluted in the elution medium containing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A428C3">
          <w:t>1.0 M</w:t>
        </w:r>
      </w:smartTag>
      <w:r w:rsidRPr="00A428C3">
        <w:t xml:space="preserve"> NaCl in 1 h. The kinetics of the interactions suggest that the interactions could be best represented by a mechanism based on second-order kinetics (k = 9.8</w:t>
      </w:r>
      <w:r w:rsidRPr="00A428C3">
        <w:sym w:font="Symbol" w:char="F0B4"/>
      </w:r>
      <w:r w:rsidRPr="00A428C3">
        <w:t>10</w:t>
      </w:r>
      <w:r w:rsidRPr="00A428C3">
        <w:rPr>
          <w:vertAlign w:val="superscript"/>
        </w:rPr>
        <w:t>-5</w:t>
      </w:r>
      <w:r w:rsidRPr="00A428C3">
        <w:t xml:space="preserve"> to 118.9</w:t>
      </w:r>
      <w:r w:rsidRPr="00A428C3">
        <w:sym w:font="Symbol" w:char="F0B4"/>
      </w:r>
      <w:r w:rsidRPr="00A428C3">
        <w:t>10</w:t>
      </w:r>
      <w:smartTag w:uri="urn:schemas-microsoft-com:office:smarttags" w:element="chmetcnv">
        <w:smartTagPr>
          <w:attr w:name="UnitName" w:val="g"/>
          <w:attr w:name="SourceValue" w:val="5"/>
          <w:attr w:name="HasSpace" w:val="True"/>
          <w:attr w:name="Negative" w:val="True"/>
          <w:attr w:name="NumberType" w:val="1"/>
          <w:attr w:name="TCSC" w:val="0"/>
        </w:smartTagPr>
        <w:r w:rsidRPr="00A428C3">
          <w:rPr>
            <w:vertAlign w:val="superscript"/>
          </w:rPr>
          <w:t>-5</w:t>
        </w:r>
        <w:r w:rsidRPr="00A428C3">
          <w:t xml:space="preserve"> g</w:t>
        </w:r>
      </w:smartTag>
      <w:r w:rsidRPr="00A428C3">
        <w:t>.mg</w:t>
      </w:r>
      <w:r w:rsidRPr="00A428C3">
        <w:rPr>
          <w:vertAlign w:val="superscript"/>
        </w:rPr>
        <w:t>-1</w:t>
      </w:r>
      <w:r w:rsidRPr="00A428C3">
        <w:t>.min</w:t>
      </w:r>
      <w:r w:rsidRPr="00A428C3">
        <w:rPr>
          <w:vertAlign w:val="superscript"/>
        </w:rPr>
        <w:t>-1</w:t>
      </w:r>
      <w:r w:rsidRPr="00A428C3">
        <w:t>). The adsorption followed the Langmuir isotherm model with monolayer adsorption capacity of 156.2-212.8 mg/g. Consecutive adsorption - elution experiments showed that the Cu</w:t>
      </w:r>
      <w:r w:rsidRPr="00A428C3">
        <w:rPr>
          <w:vertAlign w:val="superscript"/>
        </w:rPr>
        <w:t>2+</w:t>
      </w:r>
      <w:r w:rsidRPr="00A428C3">
        <w:t xml:space="preserve"> -chelated beads can be reused almost without any loss in the IgG adsorption capacity. To test the efficiency of IgG depletion from human serum, proteins in the serum</w:t>
      </w:r>
      <w:r w:rsidR="00F81221">
        <w:t xml:space="preserve"> and </w:t>
      </w:r>
      <w:r w:rsidRPr="00A428C3">
        <w:t>eluted portion were analyzed by two-dimensional gel electrophoresis. The depletion efficiency for IgG was above 98.2%. Eluted proteins include mainly IgG</w:t>
      </w:r>
      <w:r w:rsidR="00F81221">
        <w:t xml:space="preserve"> and </w:t>
      </w:r>
      <w:r w:rsidRPr="00A428C3">
        <w:t>a negligible amount of non-albumin proteins such as apo-lipoprotein A1, sero-transferrin, haptoglobulin,</w:t>
      </w:r>
      <w:r w:rsidR="00F81221">
        <w:t xml:space="preserve"> and </w:t>
      </w:r>
      <w:r w:rsidRPr="00A428C3">
        <w:t>alpha 1-antitrypsin. When anti-HSA-Sepharose adsorbent is used together with our metal-chelated monosize poly(GMA) beads, IgG</w:t>
      </w:r>
      <w:r w:rsidR="00F81221">
        <w:t xml:space="preserve"> and </w:t>
      </w:r>
      <w:r w:rsidRPr="00A428C3">
        <w:t>HSA can be depleted in a single step.</w:t>
      </w:r>
    </w:p>
    <w:p w:rsidR="00B95188" w:rsidRPr="00A428C3" w:rsidRDefault="00B95188" w:rsidP="00B95188">
      <w:pPr>
        <w:pStyle w:val="a0"/>
      </w:pPr>
      <w:r w:rsidRPr="00A428C3">
        <w:t xml:space="preserve">Keywords: Acid, Adsorbent, Adsorbents, Adsorption, Adsorption Capacity, Adsorption Efficiency, Affinity, Affinity Adsorption, Affinity Depletion, Antibody, Batch, Batch </w:t>
      </w:r>
      <w:r w:rsidRPr="00A428C3">
        <w:lastRenderedPageBreak/>
        <w:t>System, Beads, Binding, Binding Ligand, Biomimetic Ligands, Capacity, Chromatography, Concentration, Cu</w:t>
      </w:r>
      <w:r w:rsidRPr="00A428C3">
        <w:rPr>
          <w:vertAlign w:val="superscript"/>
        </w:rPr>
        <w:t>2+</w:t>
      </w:r>
      <w:r w:rsidRPr="00A428C3">
        <w:t>, Depletion, Diameter, Effects, Efficiency, Electron Microscopy, Electrophoresis, Elution, Energy, Equilibrium, Experiments, Free Energy, Free-Energy, G, Gel, Gel Electrophoresis, Gel-Electrophoresis, Gibbs Free Energy, Groups, Hollow-Fiber Membranes, Hsa, Human, Human Plasma, Human Serum, Human-Igg, Human-Immunoglobulin-G, Igg, Imac, Immobilized, Immobilized Metal Affinity, Immobilized Metal Affinity Chromatography, Immunoglobulin, Immunoglobulin G, Interactions, Ions, Isotherm, Isotherm Model, Kinetics, L-Histidine, Langmuir, Langmuir Isotherm, Langmuir Isotherm Model, Langmuir-Isotherm, Low, Mass-Spectrometry, Mechanism, Metal, Metal Affinity, Metal-Affinity, Methacrylate, Microscopy, Model, Monolayer, Monolayer Adsorption, Monosize Beads, Nacl, Nonporous, pH, Poly(GMA), Process, Protein Depletion, Proteins, Proteomic Analysis, Recent, Scanning Electron Microscopy, Second Order, Second Order Kinetics, Second-Order Kinetics, Serum, Temperature, Test</w:t>
      </w:r>
    </w:p>
    <w:p w:rsidR="004B6986" w:rsidRPr="00A428C3" w:rsidRDefault="004B6986" w:rsidP="004B6986">
      <w:pPr>
        <w:pStyle w:val="a0"/>
      </w:pPr>
      <w:r w:rsidRPr="00A428C3">
        <w:t xml:space="preserve">? </w:t>
      </w:r>
      <w:r>
        <w:t>Pirillo</w:t>
      </w:r>
      <w:r>
        <w:rPr>
          <w:rFonts w:hint="eastAsia"/>
        </w:rPr>
        <w:t>,</w:t>
      </w:r>
      <w:r>
        <w:t xml:space="preserve"> S</w:t>
      </w:r>
      <w:r>
        <w:rPr>
          <w:rFonts w:hint="eastAsia"/>
        </w:rPr>
        <w:t>.,</w:t>
      </w:r>
      <w:r>
        <w:t xml:space="preserve"> Ferreira</w:t>
      </w:r>
      <w:r>
        <w:rPr>
          <w:rFonts w:hint="eastAsia"/>
        </w:rPr>
        <w:t>,</w:t>
      </w:r>
      <w:r>
        <w:t xml:space="preserve"> M</w:t>
      </w:r>
      <w:r>
        <w:rPr>
          <w:rFonts w:hint="eastAsia"/>
        </w:rPr>
        <w:t>.</w:t>
      </w:r>
      <w:r>
        <w:t>L</w:t>
      </w:r>
      <w:r>
        <w:rPr>
          <w:rFonts w:hint="eastAsia"/>
        </w:rPr>
        <w:t>.</w:t>
      </w:r>
      <w:r w:rsidR="00F81221">
        <w:rPr>
          <w:rFonts w:hint="eastAsia"/>
        </w:rPr>
        <w:t xml:space="preserve"> and </w:t>
      </w:r>
      <w:r>
        <w:t>Rueda</w:t>
      </w:r>
      <w:r>
        <w:rPr>
          <w:rFonts w:hint="eastAsia"/>
        </w:rPr>
        <w:t>,</w:t>
      </w:r>
      <w:r>
        <w:t xml:space="preserve"> E</w:t>
      </w:r>
      <w:r>
        <w:rPr>
          <w:rFonts w:hint="eastAsia"/>
        </w:rPr>
        <w:t>.</w:t>
      </w:r>
      <w:r>
        <w:t>H</w:t>
      </w:r>
      <w:r>
        <w:rPr>
          <w:rFonts w:hint="eastAsia"/>
        </w:rPr>
        <w:t>.</w:t>
      </w:r>
      <w:r w:rsidRPr="00A428C3">
        <w:t xml:space="preserve"> (2007), </w:t>
      </w:r>
      <w:r>
        <w:t xml:space="preserve">Adsorption of alizarin, </w:t>
      </w:r>
      <w:r w:rsidR="00BB543A">
        <w:t xml:space="preserve">eriochrome </w:t>
      </w:r>
      <w:r>
        <w:t>blue black R,</w:t>
      </w:r>
      <w:r w:rsidR="00F81221">
        <w:t xml:space="preserve"> and </w:t>
      </w:r>
      <w:r>
        <w:t>fluorescein using different iron oxides as adsorbents</w:t>
      </w:r>
      <w:r w:rsidRPr="00A428C3">
        <w:t xml:space="preserve">. </w:t>
      </w:r>
      <w:r w:rsidRPr="00A428C3">
        <w:rPr>
          <w:i/>
          <w:iCs/>
        </w:rPr>
        <w:t>Industrial &amp; Engineering Chemistry Research</w:t>
      </w:r>
      <w:r w:rsidRPr="00A428C3">
        <w:t xml:space="preserve">, </w:t>
      </w:r>
      <w:r w:rsidRPr="00A428C3">
        <w:rPr>
          <w:b/>
        </w:rPr>
        <w:t>46</w:t>
      </w:r>
      <w:r w:rsidRPr="00A428C3">
        <w:t xml:space="preserve"> (2</w:t>
      </w:r>
      <w:r>
        <w:rPr>
          <w:rFonts w:hint="eastAsia"/>
        </w:rPr>
        <w:t>4</w:t>
      </w:r>
      <w:r w:rsidRPr="00A428C3">
        <w:t xml:space="preserve">), </w:t>
      </w:r>
      <w:r>
        <w:t>8255-8263</w:t>
      </w:r>
      <w:r w:rsidRPr="00A428C3">
        <w:t>.</w:t>
      </w:r>
    </w:p>
    <w:p w:rsidR="004B6986" w:rsidRDefault="004B6986" w:rsidP="004B6986">
      <w:pPr>
        <w:pStyle w:val="a0"/>
      </w:pPr>
      <w:r w:rsidRPr="00A428C3">
        <w:t xml:space="preserve">Full Text: </w:t>
      </w:r>
      <w:hyperlink r:id="rId1271" w:history="1">
        <w:r w:rsidRPr="004B6986">
          <w:rPr>
            <w:rStyle w:val="a5"/>
          </w:rPr>
          <w:t>2007\Ind Eng Che Res46, 8255.pdf</w:t>
        </w:r>
      </w:hyperlink>
    </w:p>
    <w:p w:rsidR="004B6986" w:rsidRDefault="004B6986" w:rsidP="004B6986">
      <w:pPr>
        <w:pStyle w:val="a0"/>
      </w:pPr>
      <w:r>
        <w:t>Abstract: This work presents kinetic</w:t>
      </w:r>
      <w:r w:rsidR="00F81221">
        <w:t xml:space="preserve"> and </w:t>
      </w:r>
      <w:r>
        <w:t>thermodynamic analysis of the adsorption of three dyes: alizarin, eriochrome blue black R,</w:t>
      </w:r>
      <w:r w:rsidR="00F81221">
        <w:t xml:space="preserve"> and </w:t>
      </w:r>
      <w:r>
        <w:t>fluorescein onto goethite, Co-goethite,</w:t>
      </w:r>
      <w:r w:rsidR="00F81221">
        <w:t xml:space="preserve"> and </w:t>
      </w:r>
      <w:r>
        <w:t>magnetite of medium Brunauer-Emmett-Teller surface area. The adsorption of the dyes on the oxides is fast. Fluorescein exhibits the lowest level adsorption for all adsorbents with goethite being the most efficient adsorbent when milligrams of dye per gram of oxide are considered. The Langmuir isotherm is the most appropriate for describing the adsorption data for the following systems: alizarin-magnetite</w:t>
      </w:r>
      <w:r w:rsidR="00F81221">
        <w:t xml:space="preserve"> and </w:t>
      </w:r>
      <w:r>
        <w:t>eriochrome</w:t>
      </w:r>
      <w:r w:rsidR="00F81221">
        <w:t xml:space="preserve"> and </w:t>
      </w:r>
      <w:r>
        <w:t>fluorescein with the three adsorbents, while alizarin-goethite</w:t>
      </w:r>
      <w:r w:rsidR="00F81221">
        <w:t xml:space="preserve"> and </w:t>
      </w:r>
      <w:r>
        <w:t>alizarin-Co-goethite show better fits with Freundlich isotherm. Molecular modeling using MM2 was used to analyze the steric effects on adsorption.</w:t>
      </w:r>
    </w:p>
    <w:p w:rsidR="004B6986" w:rsidRPr="00A428C3" w:rsidRDefault="004B6986" w:rsidP="004B6986">
      <w:pPr>
        <w:pStyle w:val="a0"/>
      </w:pPr>
      <w:r>
        <w:t>Keywords: Aqueous-Solutions, Water Interface, Goethite, Removal, Surface, Dyes, Magnetite, Carbon, Color, Decomposition</w:t>
      </w:r>
    </w:p>
    <w:p w:rsidR="004B6986" w:rsidRPr="00A428C3" w:rsidRDefault="004B6986" w:rsidP="004B6986">
      <w:pPr>
        <w:pStyle w:val="a0"/>
      </w:pPr>
      <w:r w:rsidRPr="00A428C3">
        <w:t>? Rusten, H.K., Ochoa-Fernandez, E., Lindborg, H., Chen, D.</w:t>
      </w:r>
      <w:r w:rsidR="00F81221">
        <w:t xml:space="preserve"> and </w:t>
      </w:r>
      <w:r w:rsidRPr="00A428C3">
        <w:t>Jakobsen, H.A. (2007), Hydrogen production by sorption-enhanced steam methane reforming using lithium oxides as CO</w:t>
      </w:r>
      <w:r w:rsidRPr="00A428C3">
        <w:rPr>
          <w:vertAlign w:val="subscript"/>
        </w:rPr>
        <w:t>2</w:t>
      </w:r>
      <w:r w:rsidRPr="00A428C3">
        <w:t xml:space="preserve">-acceptor. </w:t>
      </w:r>
      <w:r w:rsidRPr="00A428C3">
        <w:rPr>
          <w:i/>
          <w:iCs/>
        </w:rPr>
        <w:t>Industrial &amp; Engineering Chemistry Research</w:t>
      </w:r>
      <w:r w:rsidRPr="00A428C3">
        <w:t xml:space="preserve">, </w:t>
      </w:r>
      <w:r w:rsidRPr="00A428C3">
        <w:rPr>
          <w:b/>
        </w:rPr>
        <w:t>46</w:t>
      </w:r>
      <w:r w:rsidRPr="00A428C3">
        <w:t xml:space="preserve"> (25), 8729-8737.</w:t>
      </w:r>
    </w:p>
    <w:p w:rsidR="004B6986" w:rsidRPr="00A428C3" w:rsidRDefault="004B6986" w:rsidP="004B6986">
      <w:pPr>
        <w:pStyle w:val="a0"/>
      </w:pPr>
      <w:r w:rsidRPr="00A428C3">
        <w:t xml:space="preserve">Full Text: </w:t>
      </w:r>
      <w:hyperlink r:id="rId1272" w:history="1">
        <w:r w:rsidRPr="00A428C3">
          <w:rPr>
            <w:rStyle w:val="a5"/>
          </w:rPr>
          <w:t>2007\Ind Eng Che Res46, 8729.pdf</w:t>
        </w:r>
      </w:hyperlink>
    </w:p>
    <w:p w:rsidR="00B95188" w:rsidRPr="00A428C3" w:rsidRDefault="00B95188" w:rsidP="00B95188">
      <w:pPr>
        <w:pStyle w:val="a0"/>
      </w:pPr>
      <w:r w:rsidRPr="00A428C3">
        <w:t>Abstract: The kinetics of CO</w:t>
      </w:r>
      <w:r w:rsidRPr="00A428C3">
        <w:rPr>
          <w:vertAlign w:val="subscript"/>
        </w:rPr>
        <w:t>2</w:t>
      </w:r>
      <w:r w:rsidRPr="00A428C3">
        <w:t>-capture on Li</w:t>
      </w:r>
      <w:r w:rsidRPr="00A428C3">
        <w:rPr>
          <w:vertAlign w:val="subscript"/>
        </w:rPr>
        <w:t>4</w:t>
      </w:r>
      <w:r w:rsidRPr="00A428C3">
        <w:t>SiO</w:t>
      </w:r>
      <w:r w:rsidRPr="00A428C3">
        <w:rPr>
          <w:vertAlign w:val="subscript"/>
        </w:rPr>
        <w:t>4</w:t>
      </w:r>
      <w:r w:rsidRPr="00A428C3">
        <w:t xml:space="preserve"> has been examined experimentally</w:t>
      </w:r>
      <w:r w:rsidR="00F81221">
        <w:t xml:space="preserve"> and </w:t>
      </w:r>
      <w:r w:rsidRPr="00A428C3">
        <w:t xml:space="preserve">described by a mathematical reaction-rate model. Sorption-enhanced steam methane reforming has been simulated with a fixed-bed reactor model using the </w:t>
      </w:r>
      <w:r w:rsidRPr="00A428C3">
        <w:lastRenderedPageBreak/>
        <w:t>formulated capture kinetics. At working conditions of 20 bar, 848 K, a steam-to-carbon ratio of 5,</w:t>
      </w:r>
      <w:r w:rsidR="00F81221">
        <w:t xml:space="preserve"> and </w:t>
      </w:r>
      <w:r w:rsidRPr="00A428C3">
        <w:t>a superficial inlet gas velocity of 1 m/s, a dry hydrogen mole fraction at the outlet of 0.87 can be reached. The performance of the process with Li</w:t>
      </w:r>
      <w:r w:rsidRPr="00A428C3">
        <w:rPr>
          <w:vertAlign w:val="subscript"/>
        </w:rPr>
        <w:t>4</w:t>
      </w:r>
      <w:r w:rsidRPr="00A428C3">
        <w:t>SiO</w:t>
      </w:r>
      <w:r w:rsidRPr="00A428C3">
        <w:rPr>
          <w:vertAlign w:val="subscript"/>
        </w:rPr>
        <w:t>4</w:t>
      </w:r>
      <w:r w:rsidRPr="00A428C3">
        <w:t xml:space="preserve"> is compared to that with Li</w:t>
      </w:r>
      <w:r w:rsidRPr="00A428C3">
        <w:rPr>
          <w:vertAlign w:val="subscript"/>
        </w:rPr>
        <w:t>2</w:t>
      </w:r>
      <w:r w:rsidRPr="00A428C3">
        <w:t>ZrO</w:t>
      </w:r>
      <w:r w:rsidRPr="00A428C3">
        <w:rPr>
          <w:vertAlign w:val="subscript"/>
        </w:rPr>
        <w:t>3</w:t>
      </w:r>
      <w:r w:rsidRPr="00A428C3">
        <w:t xml:space="preserve"> as CO</w:t>
      </w:r>
      <w:r w:rsidRPr="00A428C3">
        <w:rPr>
          <w:vertAlign w:val="subscript"/>
        </w:rPr>
        <w:t>2</w:t>
      </w:r>
      <w:r w:rsidRPr="00A428C3">
        <w:t>-acceptor. Li</w:t>
      </w:r>
      <w:r w:rsidRPr="00A428C3">
        <w:rPr>
          <w:vertAlign w:val="subscript"/>
        </w:rPr>
        <w:t>4</w:t>
      </w:r>
      <w:r w:rsidRPr="00A428C3">
        <w:t>SiO</w:t>
      </w:r>
      <w:r w:rsidRPr="00A428C3">
        <w:rPr>
          <w:vertAlign w:val="subscript"/>
        </w:rPr>
        <w:t>4</w:t>
      </w:r>
      <w:r w:rsidRPr="00A428C3">
        <w:t xml:space="preserve"> gives higher conversion</w:t>
      </w:r>
      <w:r w:rsidR="00F81221">
        <w:t xml:space="preserve"> and </w:t>
      </w:r>
      <w:r w:rsidRPr="00A428C3">
        <w:t>production capacity at lower steam-to-carbon ratios. A drawback for the process with Li</w:t>
      </w:r>
      <w:r w:rsidRPr="00A428C3">
        <w:rPr>
          <w:vertAlign w:val="subscript"/>
        </w:rPr>
        <w:t>4</w:t>
      </w:r>
      <w:r w:rsidRPr="00A428C3">
        <w:t>SiO</w:t>
      </w:r>
      <w:r w:rsidRPr="00A428C3">
        <w:rPr>
          <w:vertAlign w:val="subscript"/>
        </w:rPr>
        <w:t>4</w:t>
      </w:r>
      <w:r w:rsidRPr="00A428C3">
        <w:t xml:space="preserve"> as acceptor is that high conversion is only reached at low fractional conversion of the acceptor. This is due to the fact that the capture kinetics is second order with respect to unreacted solid. The total reaction is endothermic,</w:t>
      </w:r>
      <w:r w:rsidR="00F81221">
        <w:t xml:space="preserve"> and </w:t>
      </w:r>
      <w:r w:rsidRPr="00A428C3">
        <w:t>effective heat exchange is necessary to avoid a dramatic drop in the reactor temperature. A fluidized-bed reactor has also been simulated,</w:t>
      </w:r>
      <w:r w:rsidR="00F81221">
        <w:t xml:space="preserve"> and </w:t>
      </w:r>
      <w:r w:rsidRPr="00A428C3">
        <w:t>the results have been compared to those of the fixed-bed reactor. The fluidized-bed reactor has some advantages in terms of easier heat integration</w:t>
      </w:r>
      <w:r w:rsidR="00F81221">
        <w:t xml:space="preserve"> and </w:t>
      </w:r>
      <w:r w:rsidRPr="00A428C3">
        <w:t>continuous regeneration of CO</w:t>
      </w:r>
      <w:r w:rsidRPr="00A428C3">
        <w:rPr>
          <w:vertAlign w:val="subscript"/>
        </w:rPr>
        <w:t>2</w:t>
      </w:r>
      <w:r w:rsidRPr="00A428C3">
        <w:t>-acceptor, but compared to the fixed bed, a longer reactor is needed to reach the same conversion.</w:t>
      </w:r>
    </w:p>
    <w:p w:rsidR="00B95188" w:rsidRPr="00A428C3" w:rsidRDefault="00B95188" w:rsidP="00B95188">
      <w:pPr>
        <w:pStyle w:val="a0"/>
      </w:pPr>
      <w:r w:rsidRPr="00A428C3">
        <w:t>Keywords: Carbon-Dioxide, Dispersion, Kinetics, Model, Packed-Beds, Solid Reactions, Temperature</w:t>
      </w:r>
    </w:p>
    <w:p w:rsidR="00EE1E5B" w:rsidRDefault="00EE1E5B" w:rsidP="00EE1E5B">
      <w:pPr>
        <w:pStyle w:val="a0"/>
        <w:rPr>
          <w:kern w:val="0"/>
        </w:rPr>
      </w:pPr>
      <w:r>
        <w:rPr>
          <w:rFonts w:hint="eastAsia"/>
          <w:kern w:val="0"/>
        </w:rPr>
        <w:t xml:space="preserve">? </w:t>
      </w:r>
      <w:r>
        <w:rPr>
          <w:kern w:val="0"/>
        </w:rPr>
        <w:t>Kumar, K.V., Porkodi, K., Rondon, R.L.A.</w:t>
      </w:r>
      <w:r w:rsidR="00F81221">
        <w:rPr>
          <w:kern w:val="0"/>
        </w:rPr>
        <w:t xml:space="preserve"> and </w:t>
      </w:r>
      <w:r>
        <w:rPr>
          <w:kern w:val="0"/>
        </w:rPr>
        <w:t>Rocha, F. (2008), Neural network modeling</w:t>
      </w:r>
      <w:r w:rsidR="00F81221">
        <w:rPr>
          <w:kern w:val="0"/>
        </w:rPr>
        <w:t xml:space="preserve"> and </w:t>
      </w:r>
      <w:r>
        <w:rPr>
          <w:kern w:val="0"/>
        </w:rPr>
        <w:t xml:space="preserve">simulation of the solid/liquid activated carbon adsorption process. </w:t>
      </w:r>
      <w:r>
        <w:rPr>
          <w:i/>
          <w:iCs/>
          <w:kern w:val="0"/>
        </w:rPr>
        <w:t>Industrial &amp; Engineering Chemistry Research</w:t>
      </w:r>
      <w:r>
        <w:rPr>
          <w:kern w:val="0"/>
        </w:rPr>
        <w:t xml:space="preserve">, </w:t>
      </w:r>
      <w:r>
        <w:rPr>
          <w:b/>
          <w:bCs/>
          <w:kern w:val="0"/>
        </w:rPr>
        <w:t>47</w:t>
      </w:r>
      <w:r>
        <w:rPr>
          <w:kern w:val="0"/>
        </w:rPr>
        <w:t xml:space="preserve"> (2), 486-490.</w:t>
      </w:r>
    </w:p>
    <w:p w:rsidR="00EE1E5B" w:rsidRPr="00066B59" w:rsidRDefault="00EE1E5B" w:rsidP="00EE1E5B">
      <w:pPr>
        <w:pStyle w:val="a0"/>
        <w:rPr>
          <w:b/>
        </w:rPr>
      </w:pPr>
      <w:r>
        <w:t>Full Text:</w:t>
      </w:r>
      <w:r>
        <w:rPr>
          <w:rFonts w:hint="eastAsia"/>
        </w:rPr>
        <w:t xml:space="preserve"> </w:t>
      </w:r>
      <w:hyperlink r:id="rId1273" w:history="1">
        <w:r w:rsidRPr="00EE1E5B">
          <w:rPr>
            <w:rStyle w:val="a5"/>
          </w:rPr>
          <w:t>2008\Ind Eng Che Res47, 486.pdf</w:t>
        </w:r>
      </w:hyperlink>
    </w:p>
    <w:p w:rsidR="00EE1E5B" w:rsidRDefault="00EE1E5B" w:rsidP="00EE1E5B">
      <w:pPr>
        <w:pStyle w:val="a0"/>
        <w:rPr>
          <w:kern w:val="0"/>
        </w:rPr>
      </w:pPr>
      <w:r>
        <w:rPr>
          <w:kern w:val="0"/>
        </w:rPr>
        <w:t>Abstract: A three-layer feed-forward neural network was constructed</w:t>
      </w:r>
      <w:r w:rsidR="00F81221">
        <w:rPr>
          <w:kern w:val="0"/>
        </w:rPr>
        <w:t xml:space="preserve"> and </w:t>
      </w:r>
      <w:r>
        <w:rPr>
          <w:kern w:val="0"/>
        </w:rPr>
        <w:t>tested to analyze the kinetic dye uptake of a batch activated carbon adsorption process. The operating variables studied are the contact time, initial dye concentration, agitation speed, temperature, initial solution pH, activated carbon mass,</w:t>
      </w:r>
      <w:r w:rsidR="00F81221">
        <w:rPr>
          <w:kern w:val="0"/>
        </w:rPr>
        <w:t xml:space="preserve"> and </w:t>
      </w:r>
      <w:r>
        <w:rPr>
          <w:kern w:val="0"/>
        </w:rPr>
        <w:t>volume of the dye solution treated. The studied operating variables were used as the input to the constructed neural network to predict the dye uptake at any time as the output or the target. The constructed network was found to be precise in modeling the rate of dye uptake for the operating conditions studied. The constructed neural network was found to be highly precise in predicting the dye uptake rate for the new input data, which are kept unaware of the trained neural network showing its applicability to determine the reaction rate for any operating conditions.</w:t>
      </w:r>
    </w:p>
    <w:p w:rsidR="00EE1E5B" w:rsidRDefault="00EE1E5B" w:rsidP="00EE1E5B">
      <w:pPr>
        <w:pStyle w:val="a0"/>
        <w:jc w:val="left"/>
        <w:rPr>
          <w:kern w:val="0"/>
        </w:rPr>
      </w:pPr>
      <w:r>
        <w:rPr>
          <w:kern w:val="0"/>
        </w:rPr>
        <w:t>Keywords: Activated Carbon, Adsorption, Carbon, Dye, Dye Uptake, Kinetic, Modeling, Removal, Temperature</w:t>
      </w:r>
    </w:p>
    <w:p w:rsidR="00B95188" w:rsidRPr="00A428C3" w:rsidRDefault="00B95188" w:rsidP="00B95188">
      <w:pPr>
        <w:pStyle w:val="a0"/>
      </w:pPr>
      <w:r w:rsidRPr="00A428C3">
        <w:t xml:space="preserve">? </w:t>
      </w:r>
      <w:r>
        <w:t>Basha</w:t>
      </w:r>
      <w:r>
        <w:rPr>
          <w:rFonts w:hint="eastAsia"/>
        </w:rPr>
        <w:t>,</w:t>
      </w:r>
      <w:r>
        <w:t xml:space="preserve"> S</w:t>
      </w:r>
      <w:r>
        <w:rPr>
          <w:rFonts w:hint="eastAsia"/>
        </w:rPr>
        <w:t>.</w:t>
      </w:r>
      <w:r>
        <w:t>, Murthy</w:t>
      </w:r>
      <w:r>
        <w:rPr>
          <w:rFonts w:hint="eastAsia"/>
        </w:rPr>
        <w:t>,</w:t>
      </w:r>
      <w:r>
        <w:t xml:space="preserve"> Z</w:t>
      </w:r>
      <w:r>
        <w:rPr>
          <w:rFonts w:hint="eastAsia"/>
        </w:rPr>
        <w:t>.</w:t>
      </w:r>
      <w:r>
        <w:t>V</w:t>
      </w:r>
      <w:r>
        <w:rPr>
          <w:rFonts w:hint="eastAsia"/>
        </w:rPr>
        <w:t>.</w:t>
      </w:r>
      <w:r>
        <w:t>P</w:t>
      </w:r>
      <w:r>
        <w:rPr>
          <w:rFonts w:hint="eastAsia"/>
        </w:rPr>
        <w:t>.</w:t>
      </w:r>
      <w:r w:rsidR="00F81221">
        <w:rPr>
          <w:rFonts w:hint="eastAsia"/>
        </w:rPr>
        <w:t xml:space="preserve"> and </w:t>
      </w:r>
      <w:r>
        <w:t>Jha</w:t>
      </w:r>
      <w:r>
        <w:rPr>
          <w:rFonts w:hint="eastAsia"/>
        </w:rPr>
        <w:t>,</w:t>
      </w:r>
      <w:r>
        <w:t xml:space="preserve"> B</w:t>
      </w:r>
      <w:r>
        <w:rPr>
          <w:rFonts w:hint="eastAsia"/>
        </w:rPr>
        <w:t>.</w:t>
      </w:r>
      <w:r w:rsidRPr="00A428C3">
        <w:t xml:space="preserve"> (20</w:t>
      </w:r>
      <w:r>
        <w:rPr>
          <w:rFonts w:hint="eastAsia"/>
        </w:rPr>
        <w:t>08</w:t>
      </w:r>
      <w:r w:rsidRPr="00A428C3">
        <w:t xml:space="preserve">), </w:t>
      </w:r>
      <w:r>
        <w:t xml:space="preserve">Sorption of Hg(II) from aqueous solutions onto </w:t>
      </w:r>
      <w:r w:rsidRPr="002B63B5">
        <w:rPr>
          <w:i/>
        </w:rPr>
        <w:t>Carica papaya</w:t>
      </w:r>
      <w:r>
        <w:t>: Application of isotherms</w:t>
      </w:r>
      <w:r w:rsidRPr="00A428C3">
        <w:t xml:space="preserve">. </w:t>
      </w:r>
      <w:r w:rsidRPr="00A428C3">
        <w:rPr>
          <w:i/>
          <w:iCs/>
        </w:rPr>
        <w:t>Industrial &amp; Engineering Chemistry Research</w:t>
      </w:r>
      <w:r w:rsidRPr="00A428C3">
        <w:t xml:space="preserve">, </w:t>
      </w:r>
      <w:r w:rsidRPr="00A428C3">
        <w:rPr>
          <w:b/>
        </w:rPr>
        <w:t>4</w:t>
      </w:r>
      <w:r>
        <w:rPr>
          <w:rFonts w:hint="eastAsia"/>
          <w:b/>
        </w:rPr>
        <w:t>7</w:t>
      </w:r>
      <w:r w:rsidRPr="00A428C3">
        <w:t xml:space="preserve"> (</w:t>
      </w:r>
      <w:r>
        <w:rPr>
          <w:rFonts w:hint="eastAsia"/>
        </w:rPr>
        <w:t>3</w:t>
      </w:r>
      <w:r w:rsidRPr="00A428C3">
        <w:t xml:space="preserve">), </w:t>
      </w:r>
      <w:r>
        <w:t>980-986</w:t>
      </w:r>
      <w:r w:rsidRPr="00A428C3">
        <w:t>.</w:t>
      </w:r>
    </w:p>
    <w:p w:rsidR="00B95188" w:rsidRPr="00066B59" w:rsidRDefault="00B95188" w:rsidP="00B95188">
      <w:pPr>
        <w:pStyle w:val="a0"/>
        <w:rPr>
          <w:b/>
        </w:rPr>
      </w:pPr>
      <w:r>
        <w:t>Full Text:</w:t>
      </w:r>
      <w:r>
        <w:rPr>
          <w:rFonts w:hint="eastAsia"/>
        </w:rPr>
        <w:t xml:space="preserve"> </w:t>
      </w:r>
      <w:hyperlink r:id="rId1274" w:history="1">
        <w:r w:rsidRPr="00066B59">
          <w:rPr>
            <w:rStyle w:val="a5"/>
          </w:rPr>
          <w:t>2008\Ind Eng Che Res47, 980.pdf</w:t>
        </w:r>
      </w:hyperlink>
    </w:p>
    <w:p w:rsidR="00B95188" w:rsidRDefault="00B95188" w:rsidP="00B95188">
      <w:pPr>
        <w:pStyle w:val="a0"/>
      </w:pPr>
      <w:r>
        <w:t xml:space="preserve">Abstract: The biosorption potential of Carica papaya for mercury from aqueous solutions was investigated. The biomass exhibited the highest mercury sorption </w:t>
      </w:r>
      <w:r>
        <w:lastRenderedPageBreak/>
        <w:t>capacity at optimum conditions of pH 6.5</w:t>
      </w:r>
      <w:r w:rsidR="00F81221">
        <w:t xml:space="preserve"> and </w:t>
      </w:r>
      <w:r>
        <w:t>biomass dosage of 1.0 g/L. To predict the biosorption isotherms</w:t>
      </w:r>
      <w:r w:rsidR="00F81221">
        <w:t xml:space="preserve"> and </w:t>
      </w:r>
      <w:r>
        <w:t>to determine the characteristic parameters for process design, seven single</w:t>
      </w:r>
      <w:r w:rsidR="00F81221">
        <w:t xml:space="preserve"> and </w:t>
      </w:r>
      <w:r>
        <w:t>two parameter isotherm models-Henry</w:t>
      </w:r>
      <w:r w:rsidR="000352E7">
        <w:t>’</w:t>
      </w:r>
      <w:r>
        <w:t>s law, Freundlich, Langmuir, Dubinin-Radushkevich, Temkin, Halsey,</w:t>
      </w:r>
      <w:r w:rsidR="00F81221">
        <w:t xml:space="preserve"> and </w:t>
      </w:r>
      <w:r>
        <w:t>Gin-six three-parameter equations-the Redlich -Peterson, Sips, Khan, Radke-Prausnitz, Toth,</w:t>
      </w:r>
      <w:r w:rsidR="00F81221">
        <w:t xml:space="preserve"> and </w:t>
      </w:r>
      <w:r>
        <w:t>Koble-Corrigan-and four-</w:t>
      </w:r>
      <w:r w:rsidR="00F81221">
        <w:t xml:space="preserve"> and </w:t>
      </w:r>
      <w:r>
        <w:t>five-parameter isotherm equations of Fritz</w:t>
      </w:r>
      <w:r w:rsidR="00F81221">
        <w:t xml:space="preserve"> and </w:t>
      </w:r>
      <w:r>
        <w:t>Schluender isotherm models were applied to experimental data. Three error analysis methods were used to evaluate the experimental data, viz., correlation coefficient, standard error (SE),</w:t>
      </w:r>
      <w:r w:rsidR="00F81221">
        <w:t xml:space="preserve"> and </w:t>
      </w:r>
      <w:r>
        <w:t>sum of squares error (SSE) of the estimate, to find the best fitting isotherm. The best fitting isotherms were found to be Langmuir, Khan,</w:t>
      </w:r>
      <w:r w:rsidR="00F81221">
        <w:t xml:space="preserve"> and </w:t>
      </w:r>
      <w:r>
        <w:t>Fritz - Schluender among the two-, three-,</w:t>
      </w:r>
      <w:r w:rsidR="00F81221">
        <w:t xml:space="preserve"> and </w:t>
      </w:r>
      <w:r>
        <w:t>five-parameter models, respectively. The amide groups of the biomass are involved in chemical interaction with the mercury ion forming a cagelike structure depicted by scanning electron microscopic (SEM)</w:t>
      </w:r>
      <w:r w:rsidR="00F81221">
        <w:t xml:space="preserve"> and </w:t>
      </w:r>
      <w:r>
        <w:t>Fourier transform infrared spectroscopic (FTIR) results.</w:t>
      </w:r>
    </w:p>
    <w:p w:rsidR="00B95188" w:rsidRDefault="00B95188" w:rsidP="00B95188">
      <w:pPr>
        <w:pStyle w:val="a0"/>
      </w:pPr>
      <w:r>
        <w:t>Keywords: Activated Carbon, Phanerochaete-Chrysosporium, Organic Solutes, Methyl Mercury, Bakers-Yeast, Heavy-Metals, Adsorption, Biosorption, Removal, Biomass</w:t>
      </w:r>
    </w:p>
    <w:p w:rsidR="00B95188" w:rsidRPr="00A428C3" w:rsidRDefault="00B95188" w:rsidP="00B95188">
      <w:pPr>
        <w:pStyle w:val="a0"/>
      </w:pPr>
      <w:r w:rsidRPr="00A428C3">
        <w:t xml:space="preserve">? </w:t>
      </w:r>
      <w:r>
        <w:t>Bernal-Martínez</w:t>
      </w:r>
      <w:r>
        <w:rPr>
          <w:rFonts w:hint="eastAsia"/>
        </w:rPr>
        <w:t>,</w:t>
      </w:r>
      <w:r>
        <w:t xml:space="preserve"> L</w:t>
      </w:r>
      <w:r>
        <w:rPr>
          <w:rFonts w:hint="eastAsia"/>
        </w:rPr>
        <w:t>.</w:t>
      </w:r>
      <w:r>
        <w:t>A</w:t>
      </w:r>
      <w:r>
        <w:rPr>
          <w:rFonts w:hint="eastAsia"/>
        </w:rPr>
        <w:t>.</w:t>
      </w:r>
      <w:r>
        <w:t>, Hernández-López</w:t>
      </w:r>
      <w:r>
        <w:rPr>
          <w:rFonts w:hint="eastAsia"/>
        </w:rPr>
        <w:t>,</w:t>
      </w:r>
      <w:r>
        <w:t xml:space="preserve"> S</w:t>
      </w:r>
      <w:r>
        <w:rPr>
          <w:rFonts w:hint="eastAsia"/>
        </w:rPr>
        <w:t>.</w:t>
      </w:r>
      <w:r>
        <w:t>, Barrera-Díaz</w:t>
      </w:r>
      <w:r>
        <w:rPr>
          <w:rFonts w:hint="eastAsia"/>
        </w:rPr>
        <w:t>,</w:t>
      </w:r>
      <w:r>
        <w:t xml:space="preserve"> C</w:t>
      </w:r>
      <w:r>
        <w:rPr>
          <w:rFonts w:hint="eastAsia"/>
        </w:rPr>
        <w:t>.</w:t>
      </w:r>
      <w:r>
        <w:t>, Ureña-Núñez</w:t>
      </w:r>
      <w:r>
        <w:rPr>
          <w:rFonts w:hint="eastAsia"/>
        </w:rPr>
        <w:t>,</w:t>
      </w:r>
      <w:r>
        <w:t xml:space="preserve"> F</w:t>
      </w:r>
      <w:r>
        <w:rPr>
          <w:rFonts w:hint="eastAsia"/>
        </w:rPr>
        <w:t>.</w:t>
      </w:r>
      <w:r w:rsidR="00F81221">
        <w:rPr>
          <w:rFonts w:hint="eastAsia"/>
        </w:rPr>
        <w:t xml:space="preserve"> and </w:t>
      </w:r>
      <w:r>
        <w:t>Bilyeu</w:t>
      </w:r>
      <w:r>
        <w:rPr>
          <w:rFonts w:hint="eastAsia"/>
        </w:rPr>
        <w:t>,</w:t>
      </w:r>
      <w:r>
        <w:t xml:space="preserve"> B</w:t>
      </w:r>
      <w:r>
        <w:rPr>
          <w:rFonts w:hint="eastAsia"/>
        </w:rPr>
        <w:t>.</w:t>
      </w:r>
      <w:r w:rsidRPr="00A428C3">
        <w:t xml:space="preserve"> (20</w:t>
      </w:r>
      <w:r>
        <w:rPr>
          <w:rFonts w:hint="eastAsia"/>
        </w:rPr>
        <w:t>08</w:t>
      </w:r>
      <w:r w:rsidRPr="00A428C3">
        <w:t xml:space="preserve">), </w:t>
      </w:r>
      <w:r>
        <w:t>Pb(II) sorption under batch</w:t>
      </w:r>
      <w:r w:rsidR="00F81221">
        <w:t xml:space="preserve"> and </w:t>
      </w:r>
      <w:r>
        <w:t>continuous mode using natural, pretreated,</w:t>
      </w:r>
      <w:r w:rsidR="00F81221">
        <w:t xml:space="preserve"> and </w:t>
      </w:r>
      <w:r>
        <w:t xml:space="preserve">amino-modified ectodermis of </w:t>
      </w:r>
      <w:r w:rsidRPr="001B1A1F">
        <w:rPr>
          <w:i/>
        </w:rPr>
        <w:t>Opuntia</w:t>
      </w:r>
      <w:r w:rsidRPr="00A428C3">
        <w:t xml:space="preserve">. </w:t>
      </w:r>
      <w:r w:rsidRPr="00A428C3">
        <w:rPr>
          <w:i/>
          <w:iCs/>
        </w:rPr>
        <w:t>Industrial &amp; Engineering Chemistry Research</w:t>
      </w:r>
      <w:r w:rsidRPr="00A428C3">
        <w:t xml:space="preserve">, </w:t>
      </w:r>
      <w:r w:rsidRPr="00A428C3">
        <w:rPr>
          <w:b/>
        </w:rPr>
        <w:t>4</w:t>
      </w:r>
      <w:r>
        <w:rPr>
          <w:rFonts w:hint="eastAsia"/>
          <w:b/>
        </w:rPr>
        <w:t>7</w:t>
      </w:r>
      <w:r w:rsidRPr="00A428C3">
        <w:t xml:space="preserve"> (</w:t>
      </w:r>
      <w:r>
        <w:rPr>
          <w:rFonts w:hint="eastAsia"/>
        </w:rPr>
        <w:t>4</w:t>
      </w:r>
      <w:r w:rsidRPr="00A428C3">
        <w:t xml:space="preserve">), </w:t>
      </w:r>
      <w:r>
        <w:t>1026-1034</w:t>
      </w:r>
      <w:r w:rsidRPr="00A428C3">
        <w:t>.</w:t>
      </w:r>
    </w:p>
    <w:p w:rsidR="00B95188" w:rsidRDefault="00B95188" w:rsidP="00B95188">
      <w:pPr>
        <w:pStyle w:val="a0"/>
      </w:pPr>
      <w:r>
        <w:t>Full Text:</w:t>
      </w:r>
      <w:r>
        <w:rPr>
          <w:rFonts w:hint="eastAsia"/>
        </w:rPr>
        <w:t xml:space="preserve"> </w:t>
      </w:r>
      <w:hyperlink r:id="rId1275" w:history="1">
        <w:r w:rsidRPr="002E2FAC">
          <w:rPr>
            <w:rStyle w:val="a5"/>
          </w:rPr>
          <w:t>2008\Ind Eng Che Res47, 1026.pdf</w:t>
        </w:r>
      </w:hyperlink>
    </w:p>
    <w:p w:rsidR="00B95188" w:rsidRDefault="00B95188" w:rsidP="00B95188">
      <w:pPr>
        <w:pStyle w:val="a0"/>
      </w:pPr>
      <w:r>
        <w:t>Abstract: This work presents the conditions for Pb(II) removal from aqueous solution using natural, pretreated,</w:t>
      </w:r>
      <w:r w:rsidR="00F81221">
        <w:t xml:space="preserve"> and </w:t>
      </w:r>
      <w:r>
        <w:t>amino-modified Ectodermis of Opuntia. The sorbent materials were characterized using Scanning Electron Microscopy, Fourier Transformed Infrared spectroscopy, Thermogravimetric Analysis (TGA)</w:t>
      </w:r>
      <w:r w:rsidR="00F81221">
        <w:t xml:space="preserve"> and </w:t>
      </w:r>
      <w:r>
        <w:t>UV-vis spectrometry, before</w:t>
      </w:r>
      <w:r w:rsidR="00F81221">
        <w:t xml:space="preserve"> and </w:t>
      </w:r>
      <w:r>
        <w:t>after contact with aqueous Pb(II) solutions. Pretreated Ectodermis of Opuntia with formaldehyde was the best material for the sorption of Pb(II). The Pb(II) uptake process was at a maximum at pH 5.0, which showed an adsoption capacity that was adequately described by a Langmuir adsorption isotherm. The Metcalf-Eddy model was used to describe the adsorption data from column studies; the sorption capacity was 58.46 mg Pb(II)/g for pretreated Ectodermis of Opuntia with 96% removal.</w:t>
      </w:r>
    </w:p>
    <w:p w:rsidR="00B95188" w:rsidRDefault="00B95188" w:rsidP="00B95188">
      <w:pPr>
        <w:pStyle w:val="a0"/>
      </w:pPr>
      <w:r>
        <w:t>Keywords: Heavy-Metal Biosorption, Aqueous-Solutions, Functional-Groups, Lead Biosorption, Fungal Biomass, Ions, Adsorption, Removal, Waste, Biomaterials</w:t>
      </w:r>
    </w:p>
    <w:p w:rsidR="00B95188" w:rsidRPr="00A428C3" w:rsidRDefault="00B95188" w:rsidP="00B95188">
      <w:pPr>
        <w:pStyle w:val="a0"/>
      </w:pPr>
      <w:r w:rsidRPr="00A428C3">
        <w:t xml:space="preserve">? </w:t>
      </w:r>
      <w:r>
        <w:t>Maiti</w:t>
      </w:r>
      <w:r>
        <w:rPr>
          <w:rFonts w:hint="eastAsia"/>
        </w:rPr>
        <w:t>,</w:t>
      </w:r>
      <w:r>
        <w:t xml:space="preserve"> A</w:t>
      </w:r>
      <w:r>
        <w:rPr>
          <w:rFonts w:hint="eastAsia"/>
        </w:rPr>
        <w:t>.,</w:t>
      </w:r>
      <w:r>
        <w:t xml:space="preserve"> Das</w:t>
      </w:r>
      <w:r>
        <w:rPr>
          <w:rFonts w:hint="eastAsia"/>
        </w:rPr>
        <w:t xml:space="preserve"> </w:t>
      </w:r>
      <w:r>
        <w:t>Gupta</w:t>
      </w:r>
      <w:r>
        <w:rPr>
          <w:rFonts w:hint="eastAsia"/>
        </w:rPr>
        <w:t>,</w:t>
      </w:r>
      <w:r>
        <w:t xml:space="preserve"> S</w:t>
      </w:r>
      <w:r>
        <w:rPr>
          <w:rFonts w:hint="eastAsia"/>
        </w:rPr>
        <w:t>.,</w:t>
      </w:r>
      <w:r>
        <w:t xml:space="preserve"> Basu</w:t>
      </w:r>
      <w:r>
        <w:rPr>
          <w:rFonts w:hint="eastAsia"/>
        </w:rPr>
        <w:t>,</w:t>
      </w:r>
      <w:r>
        <w:t xml:space="preserve"> J</w:t>
      </w:r>
      <w:r>
        <w:rPr>
          <w:rFonts w:hint="eastAsia"/>
        </w:rPr>
        <w:t>.</w:t>
      </w:r>
      <w:r>
        <w:t>K</w:t>
      </w:r>
      <w:r>
        <w:rPr>
          <w:rFonts w:hint="eastAsia"/>
        </w:rPr>
        <w:t>.</w:t>
      </w:r>
      <w:r w:rsidR="00F81221">
        <w:rPr>
          <w:rFonts w:hint="eastAsia"/>
        </w:rPr>
        <w:t xml:space="preserve"> and </w:t>
      </w:r>
      <w:r>
        <w:t>De</w:t>
      </w:r>
      <w:r>
        <w:rPr>
          <w:rFonts w:hint="eastAsia"/>
        </w:rPr>
        <w:t>,</w:t>
      </w:r>
      <w:r>
        <w:t xml:space="preserve"> S</w:t>
      </w:r>
      <w:r>
        <w:rPr>
          <w:rFonts w:hint="eastAsia"/>
        </w:rPr>
        <w:t>.</w:t>
      </w:r>
      <w:r w:rsidRPr="00A428C3">
        <w:t xml:space="preserve"> (20</w:t>
      </w:r>
      <w:r>
        <w:rPr>
          <w:rFonts w:hint="eastAsia"/>
        </w:rPr>
        <w:t>08</w:t>
      </w:r>
      <w:r w:rsidRPr="00A428C3">
        <w:t xml:space="preserve">), </w:t>
      </w:r>
      <w:r>
        <w:t>Batch</w:t>
      </w:r>
      <w:r w:rsidR="00F81221">
        <w:t xml:space="preserve"> and </w:t>
      </w:r>
      <w:r>
        <w:t>column study: Adsorption of arsenate using untreated laterite as adsorbent</w:t>
      </w:r>
      <w:r w:rsidRPr="00A428C3">
        <w:t xml:space="preserve">. </w:t>
      </w:r>
      <w:r w:rsidRPr="00A428C3">
        <w:rPr>
          <w:i/>
          <w:iCs/>
        </w:rPr>
        <w:t>Industrial &amp; Engineering Chemistry Research</w:t>
      </w:r>
      <w:r w:rsidRPr="00A428C3">
        <w:t xml:space="preserve">, </w:t>
      </w:r>
      <w:r w:rsidRPr="00A428C3">
        <w:rPr>
          <w:b/>
        </w:rPr>
        <w:t>4</w:t>
      </w:r>
      <w:r>
        <w:rPr>
          <w:rFonts w:hint="eastAsia"/>
          <w:b/>
        </w:rPr>
        <w:t>7</w:t>
      </w:r>
      <w:r w:rsidRPr="00A428C3">
        <w:t xml:space="preserve"> (5), </w:t>
      </w:r>
      <w:r>
        <w:t>1620-1629</w:t>
      </w:r>
      <w:r w:rsidRPr="00A428C3">
        <w:t>.</w:t>
      </w:r>
    </w:p>
    <w:p w:rsidR="00B95188" w:rsidRDefault="00B95188" w:rsidP="00B95188">
      <w:pPr>
        <w:pStyle w:val="a0"/>
      </w:pPr>
      <w:r>
        <w:t>Full Text:</w:t>
      </w:r>
      <w:r>
        <w:rPr>
          <w:rFonts w:hint="eastAsia"/>
        </w:rPr>
        <w:t xml:space="preserve"> </w:t>
      </w:r>
      <w:hyperlink r:id="rId1276" w:history="1">
        <w:r w:rsidRPr="007078B0">
          <w:rPr>
            <w:rStyle w:val="a5"/>
          </w:rPr>
          <w:t>2008\Ind Eng Che Res47, 1620.pdf</w:t>
        </w:r>
      </w:hyperlink>
    </w:p>
    <w:p w:rsidR="00B95188" w:rsidRDefault="00B95188" w:rsidP="00B95188">
      <w:pPr>
        <w:pStyle w:val="a0"/>
      </w:pPr>
      <w:r>
        <w:t xml:space="preserve">Abstract: Removal of arsenate (As(V)) ions by adsorption on natural laterite (NL) is </w:t>
      </w:r>
      <w:r>
        <w:lastRenderedPageBreak/>
        <w:t>investigated in the present study. Both equilibrium</w:t>
      </w:r>
      <w:r w:rsidR="00F81221">
        <w:t xml:space="preserve"> and </w:t>
      </w:r>
      <w:r>
        <w:t>kinetic study over a wide range of operating conditions are tested to evaluate the effectiveness of NL to remove As(V) from water. In the batch study, the effects of adsorbent dose, initial pH, ionic strength of solution, initial arsenate concentration, temperature,</w:t>
      </w:r>
      <w:r w:rsidR="00F81221">
        <w:t xml:space="preserve"> and </w:t>
      </w:r>
      <w:r>
        <w:t>contact time are examined. Batch study reveals that the uptake of arsenate is effective in the pH range of 5.5 to 7.5. The isotherm data is fitted well in the Langmuir isotherm model,</w:t>
      </w:r>
      <w:r w:rsidR="00F81221">
        <w:t xml:space="preserve"> and </w:t>
      </w:r>
      <w:r>
        <w:t>adsorption capacity is found to be 0.565 mg g</w:t>
      </w:r>
      <w:r>
        <w:rPr>
          <w:rFonts w:hint="eastAsia"/>
          <w:vertAlign w:val="superscript"/>
        </w:rPr>
        <w:t>-1</w:t>
      </w:r>
      <w:r>
        <w:t>. The effective intraparticle diffusion coefficient of arsenate ions in NL is observed to be in the range of 7.4 to 9.4</w:t>
      </w:r>
      <w:r>
        <w:sym w:font="Symbol" w:char="F0B4"/>
      </w:r>
      <w:r>
        <w:t>10</w:t>
      </w:r>
      <w:r>
        <w:rPr>
          <w:rFonts w:hint="eastAsia"/>
          <w:vertAlign w:val="superscript"/>
        </w:rPr>
        <w:t>-1</w:t>
      </w:r>
      <w:r>
        <w:t xml:space="preserve"> cm</w:t>
      </w:r>
      <w:r>
        <w:rPr>
          <w:rFonts w:hint="eastAsia"/>
          <w:vertAlign w:val="superscript"/>
        </w:rPr>
        <w:t>2</w:t>
      </w:r>
      <w:r>
        <w:t xml:space="preserve"> s</w:t>
      </w:r>
      <w:r>
        <w:rPr>
          <w:rFonts w:hint="eastAsia"/>
          <w:vertAlign w:val="superscript"/>
        </w:rPr>
        <w:t>-1</w:t>
      </w:r>
      <w:r>
        <w:t>. Continuous column study using a fixed bed is also carried out. The Adams-Bohart model is applied for the predicting breakthrough curve for column study.</w:t>
      </w:r>
    </w:p>
    <w:p w:rsidR="00B95188" w:rsidRPr="00A428C3" w:rsidRDefault="00B95188" w:rsidP="00B95188">
      <w:pPr>
        <w:pStyle w:val="a0"/>
      </w:pPr>
      <w:r>
        <w:t>Keywords: Zero-Valent Iron, Aqueous-Solutions, Drinking-Water, Removal, Bangladesh, Kinetics, Sorption, As(III), Alumina, Nanofiltration</w:t>
      </w:r>
    </w:p>
    <w:p w:rsidR="00B95188" w:rsidRPr="00586CD8" w:rsidRDefault="00B95188" w:rsidP="00B95188">
      <w:pPr>
        <w:pStyle w:val="a0"/>
        <w:rPr>
          <w:kern w:val="2"/>
        </w:rPr>
      </w:pPr>
      <w:r w:rsidRPr="00586CD8">
        <w:rPr>
          <w:rFonts w:hint="eastAsia"/>
          <w:kern w:val="2"/>
        </w:rPr>
        <w:t xml:space="preserve">? </w:t>
      </w:r>
      <w:r w:rsidRPr="00586CD8">
        <w:rPr>
          <w:kern w:val="2"/>
        </w:rPr>
        <w:t>Vasudevan, S., Sozhan, G., Ravichandran, S., Jayaraj, J., Lakshmi, J.</w:t>
      </w:r>
      <w:r w:rsidR="00F81221">
        <w:rPr>
          <w:kern w:val="2"/>
        </w:rPr>
        <w:t xml:space="preserve"> and </w:t>
      </w:r>
      <w:r w:rsidRPr="00586CD8">
        <w:rPr>
          <w:kern w:val="2"/>
        </w:rPr>
        <w:t xml:space="preserve">Sheela, S.M. (2008), Studies on the removal of phosphate from drinking water by electrocoagulation process. </w:t>
      </w:r>
      <w:r>
        <w:rPr>
          <w:i/>
          <w:iCs/>
          <w:kern w:val="0"/>
        </w:rPr>
        <w:t>Industrial &amp; Engineering Chemistry Research</w:t>
      </w:r>
      <w:r w:rsidRPr="00586CD8">
        <w:rPr>
          <w:kern w:val="2"/>
        </w:rPr>
        <w:t xml:space="preserve">, </w:t>
      </w:r>
      <w:r>
        <w:rPr>
          <w:b/>
          <w:bCs/>
          <w:kern w:val="0"/>
        </w:rPr>
        <w:t>47</w:t>
      </w:r>
      <w:r w:rsidRPr="00586CD8">
        <w:rPr>
          <w:kern w:val="2"/>
        </w:rPr>
        <w:t xml:space="preserve"> (6), 2018-2023.</w:t>
      </w:r>
    </w:p>
    <w:p w:rsidR="00B95188" w:rsidRDefault="00B95188" w:rsidP="00B95188">
      <w:pPr>
        <w:pStyle w:val="a0"/>
      </w:pPr>
      <w:r>
        <w:t>Full Text:</w:t>
      </w:r>
      <w:r>
        <w:rPr>
          <w:rFonts w:hint="eastAsia"/>
        </w:rPr>
        <w:t xml:space="preserve"> </w:t>
      </w:r>
      <w:hyperlink r:id="rId1277" w:history="1">
        <w:r w:rsidRPr="0081499D">
          <w:rPr>
            <w:rStyle w:val="a5"/>
          </w:rPr>
          <w:t>2008\Ind Eng Che Res47, 2018.pdf</w:t>
        </w:r>
      </w:hyperlink>
    </w:p>
    <w:p w:rsidR="00B95188" w:rsidRPr="00586CD8" w:rsidRDefault="00B95188" w:rsidP="00B95188">
      <w:pPr>
        <w:pStyle w:val="a0"/>
        <w:rPr>
          <w:kern w:val="2"/>
        </w:rPr>
      </w:pPr>
      <w:r w:rsidRPr="00586CD8">
        <w:rPr>
          <w:kern w:val="2"/>
        </w:rPr>
        <w:t>Abstract: The present study provides an electrocoagulation process for the removal of phosphate from drinking water using mild steel as the anode</w:t>
      </w:r>
      <w:r w:rsidR="00F81221">
        <w:rPr>
          <w:kern w:val="2"/>
        </w:rPr>
        <w:t xml:space="preserve"> and </w:t>
      </w:r>
      <w:r w:rsidRPr="00586CD8">
        <w:rPr>
          <w:kern w:val="2"/>
        </w:rPr>
        <w:t>stainless steel as the cathode. The studies were carried out as a function of pH, temperature, current density,</w:t>
      </w:r>
      <w:r w:rsidR="00F81221">
        <w:rPr>
          <w:kern w:val="2"/>
        </w:rPr>
        <w:t xml:space="preserve"> and </w:t>
      </w:r>
      <w:r w:rsidRPr="00586CD8">
        <w:rPr>
          <w:kern w:val="2"/>
        </w:rPr>
        <w:t>so forth,</w:t>
      </w:r>
      <w:r w:rsidR="00F81221">
        <w:rPr>
          <w:kern w:val="2"/>
        </w:rPr>
        <w:t xml:space="preserve"> and </w:t>
      </w:r>
      <w:r w:rsidRPr="00586CD8">
        <w:rPr>
          <w:kern w:val="2"/>
        </w:rPr>
        <w:t>the adsorption capacity was evaluated using both Langmuir</w:t>
      </w:r>
      <w:r w:rsidR="00F81221">
        <w:rPr>
          <w:kern w:val="2"/>
        </w:rPr>
        <w:t xml:space="preserve"> and </w:t>
      </w:r>
      <w:r w:rsidRPr="00586CD8">
        <w:rPr>
          <w:kern w:val="2"/>
        </w:rPr>
        <w:t>Freundlich isotherm models. The results showed that the maximum removal efficiency of 98% was achieved at a current density of 0.05 A center dot dm</w:t>
      </w:r>
      <w:r>
        <w:rPr>
          <w:rFonts w:hint="eastAsia"/>
          <w:kern w:val="0"/>
          <w:vertAlign w:val="superscript"/>
        </w:rPr>
        <w:t>-2</w:t>
      </w:r>
      <w:r w:rsidRPr="00586CD8">
        <w:rPr>
          <w:kern w:val="2"/>
        </w:rPr>
        <w:t xml:space="preserve"> at a pH of 6.5. The adsorption of phosphate preferably fitting the Langmuir adsorption isotherm suggests monolayer coverage of adsorbed molecules. The adsorption process follows second-order kinetics. Temperature studies showed that adsorption was endothermic</w:t>
      </w:r>
      <w:r w:rsidR="00F81221">
        <w:rPr>
          <w:kern w:val="2"/>
        </w:rPr>
        <w:t xml:space="preserve"> and </w:t>
      </w:r>
      <w:r w:rsidRPr="00586CD8">
        <w:rPr>
          <w:kern w:val="2"/>
        </w:rPr>
        <w:t>spontaneous in nature.</w:t>
      </w:r>
    </w:p>
    <w:p w:rsidR="00B95188" w:rsidRPr="00586CD8" w:rsidRDefault="00B95188" w:rsidP="00B95188">
      <w:pPr>
        <w:pStyle w:val="a0"/>
        <w:rPr>
          <w:kern w:val="2"/>
        </w:rPr>
      </w:pPr>
      <w:r w:rsidRPr="00586CD8">
        <w:rPr>
          <w:kern w:val="2"/>
        </w:rPr>
        <w:t xml:space="preserve">Keywords: Adsorption, Adsorption Isotherm, Aluminum, Aqueous-Solutions, Blast-Furnace Slags, Capacity, Drinking Water, Efficiency, Electrodes, Electrolysis, Freundlich, Freundlich Isotherm, Function, Industrial Solid-Waste, Iron, Isotherm, Kinetics, Langmuir, Models, Monolayer, </w:t>
      </w:r>
      <w:r w:rsidRPr="00586CD8">
        <w:rPr>
          <w:rFonts w:hint="eastAsia"/>
          <w:kern w:val="2"/>
        </w:rPr>
        <w:t>p</w:t>
      </w:r>
      <w:r w:rsidRPr="00586CD8">
        <w:rPr>
          <w:kern w:val="2"/>
        </w:rPr>
        <w:t>H, Phosphate, Phosphorus Removal, Removal, Removal Efficiency, Second-Order Kinetics, Sludge, Temperature, Water</w:t>
      </w:r>
    </w:p>
    <w:p w:rsidR="00B95188" w:rsidRPr="00586CD8" w:rsidRDefault="00B95188" w:rsidP="00B95188">
      <w:pPr>
        <w:pStyle w:val="a0"/>
        <w:rPr>
          <w:kern w:val="2"/>
        </w:rPr>
      </w:pPr>
      <w:r w:rsidRPr="00586CD8">
        <w:rPr>
          <w:rFonts w:hint="eastAsia"/>
          <w:kern w:val="2"/>
        </w:rPr>
        <w:t xml:space="preserve">? </w:t>
      </w:r>
      <w:r>
        <w:t>Koƚodyńska</w:t>
      </w:r>
      <w:r>
        <w:rPr>
          <w:rFonts w:hint="eastAsia"/>
        </w:rPr>
        <w:t>,</w:t>
      </w:r>
      <w:r>
        <w:t xml:space="preserve"> D</w:t>
      </w:r>
      <w:r>
        <w:rPr>
          <w:rFonts w:hint="eastAsia"/>
        </w:rPr>
        <w:t>.,</w:t>
      </w:r>
      <w:r>
        <w:t xml:space="preserve"> Hubicki</w:t>
      </w:r>
      <w:r>
        <w:rPr>
          <w:rFonts w:hint="eastAsia"/>
        </w:rPr>
        <w:t>,</w:t>
      </w:r>
      <w:r>
        <w:t xml:space="preserve"> Z</w:t>
      </w:r>
      <w:r>
        <w:rPr>
          <w:rFonts w:hint="eastAsia"/>
        </w:rPr>
        <w:t>.</w:t>
      </w:r>
      <w:r w:rsidR="00F81221">
        <w:rPr>
          <w:rFonts w:hint="eastAsia"/>
        </w:rPr>
        <w:t xml:space="preserve"> and </w:t>
      </w:r>
      <w:r>
        <w:t>Gȩca</w:t>
      </w:r>
      <w:r>
        <w:rPr>
          <w:rFonts w:hint="eastAsia"/>
        </w:rPr>
        <w:t>,</w:t>
      </w:r>
      <w:r>
        <w:t xml:space="preserve"> M</w:t>
      </w:r>
      <w:r>
        <w:rPr>
          <w:rFonts w:hint="eastAsia"/>
        </w:rPr>
        <w:t>.</w:t>
      </w:r>
      <w:r w:rsidRPr="00586CD8">
        <w:rPr>
          <w:kern w:val="2"/>
        </w:rPr>
        <w:t xml:space="preserve"> (2008), </w:t>
      </w:r>
      <w:r>
        <w:t>Application of a new-generation complexing agent in removal of heavy metal ions from aqueous solutions</w:t>
      </w:r>
      <w:r w:rsidRPr="00586CD8">
        <w:rPr>
          <w:kern w:val="2"/>
        </w:rPr>
        <w:t xml:space="preserve">. </w:t>
      </w:r>
      <w:r>
        <w:rPr>
          <w:i/>
          <w:iCs/>
          <w:kern w:val="0"/>
        </w:rPr>
        <w:t>Industrial &amp; Engineering Chemistry Research</w:t>
      </w:r>
      <w:r w:rsidRPr="00586CD8">
        <w:rPr>
          <w:kern w:val="2"/>
        </w:rPr>
        <w:t xml:space="preserve">, </w:t>
      </w:r>
      <w:r>
        <w:rPr>
          <w:b/>
          <w:bCs/>
          <w:kern w:val="0"/>
        </w:rPr>
        <w:t>47</w:t>
      </w:r>
      <w:r w:rsidRPr="00586CD8">
        <w:rPr>
          <w:kern w:val="2"/>
        </w:rPr>
        <w:t xml:space="preserve"> (</w:t>
      </w:r>
      <w:r w:rsidRPr="00586CD8">
        <w:rPr>
          <w:rFonts w:hint="eastAsia"/>
          <w:kern w:val="2"/>
        </w:rPr>
        <w:t>9</w:t>
      </w:r>
      <w:r w:rsidRPr="00586CD8">
        <w:rPr>
          <w:kern w:val="2"/>
        </w:rPr>
        <w:t xml:space="preserve">), </w:t>
      </w:r>
      <w:r>
        <w:t>3192-3199</w:t>
      </w:r>
      <w:r w:rsidRPr="00586CD8">
        <w:rPr>
          <w:kern w:val="2"/>
        </w:rPr>
        <w:t>.</w:t>
      </w:r>
    </w:p>
    <w:p w:rsidR="00B95188" w:rsidRDefault="00B95188" w:rsidP="00B95188">
      <w:pPr>
        <w:pStyle w:val="a0"/>
      </w:pPr>
      <w:r>
        <w:t>Full Text:</w:t>
      </w:r>
      <w:r>
        <w:rPr>
          <w:rFonts w:hint="eastAsia"/>
        </w:rPr>
        <w:t xml:space="preserve"> </w:t>
      </w:r>
      <w:hyperlink r:id="rId1278" w:history="1">
        <w:r w:rsidRPr="0087231B">
          <w:rPr>
            <w:rStyle w:val="a5"/>
          </w:rPr>
          <w:t>2008\Ind Eng Che Res47, 3192.pdf</w:t>
        </w:r>
      </w:hyperlink>
    </w:p>
    <w:p w:rsidR="00B95188" w:rsidRDefault="00B95188" w:rsidP="00B95188">
      <w:pPr>
        <w:pStyle w:val="a0"/>
      </w:pPr>
      <w:r>
        <w:t>Abstract: The paper presents the studies on removal of copper(II)</w:t>
      </w:r>
      <w:r w:rsidR="00F81221">
        <w:t xml:space="preserve"> and </w:t>
      </w:r>
      <w:r>
        <w:t xml:space="preserve">zinc(II) ions from aqueous solutions in the presence of the tetrasodium salt of polyaspartic acid carried </w:t>
      </w:r>
      <w:r>
        <w:lastRenderedPageBreak/>
        <w:t>out on commercially available, chelating ion exchangers with different functional groups which are widely applied in the recovery of heavy metal ions from industrial effluents. The research results indicate a high affinity of these resins for the zinc(II)</w:t>
      </w:r>
      <w:r w:rsidR="00F81221">
        <w:t xml:space="preserve"> and </w:t>
      </w:r>
      <w:r>
        <w:t>copper(II) ions. The sorption characteristics of each metal ion in the presence of the complexing agent onto the studied chelating ion exchangers with thiourea, amino methylphosphonate, iminodiacetate,</w:t>
      </w:r>
      <w:r w:rsidR="00F81221">
        <w:t xml:space="preserve"> and </w:t>
      </w:r>
      <w:r>
        <w:t>polyamine groups were represented by the Langmuir isotherms quite well.</w:t>
      </w:r>
    </w:p>
    <w:p w:rsidR="00B95188" w:rsidRDefault="00B95188" w:rsidP="00B95188">
      <w:pPr>
        <w:pStyle w:val="a0"/>
      </w:pPr>
      <w:r>
        <w:t>Keywords: Sorption Characteristics, Polyaspartyl Polymers, Chelating Resins, Exchange Resins, Acid, EDTA, Adsorption, Binding, Cu(II), Cd(II)</w:t>
      </w:r>
    </w:p>
    <w:p w:rsidR="00B95188" w:rsidRPr="00586CD8" w:rsidRDefault="00B95188" w:rsidP="00B95188">
      <w:pPr>
        <w:pStyle w:val="a0"/>
        <w:rPr>
          <w:kern w:val="2"/>
        </w:rPr>
      </w:pPr>
      <w:r w:rsidRPr="00586CD8">
        <w:rPr>
          <w:rFonts w:hint="eastAsia"/>
          <w:kern w:val="2"/>
        </w:rPr>
        <w:t xml:space="preserve">? </w:t>
      </w:r>
      <w:r w:rsidRPr="00586CD8">
        <w:rPr>
          <w:kern w:val="2"/>
        </w:rPr>
        <w:t>Chuang, Y.H., Tzou, Y.M., Wang, M.K., Liu, C.H.</w:t>
      </w:r>
      <w:r w:rsidR="00F81221">
        <w:rPr>
          <w:kern w:val="2"/>
        </w:rPr>
        <w:t xml:space="preserve"> and </w:t>
      </w:r>
      <w:r w:rsidRPr="00586CD8">
        <w:rPr>
          <w:kern w:val="2"/>
        </w:rPr>
        <w:t>Chiang, P.N. (2008), Removal of 2-chlorophenol from aqueous solution by Mg, Al layered double hydroxide (LDH)</w:t>
      </w:r>
      <w:r w:rsidR="00F81221">
        <w:rPr>
          <w:kern w:val="2"/>
        </w:rPr>
        <w:t xml:space="preserve"> and </w:t>
      </w:r>
      <w:r w:rsidRPr="00586CD8">
        <w:rPr>
          <w:kern w:val="2"/>
        </w:rPr>
        <w:t xml:space="preserve">modified LDH. </w:t>
      </w:r>
      <w:r>
        <w:rPr>
          <w:i/>
          <w:iCs/>
          <w:kern w:val="0"/>
        </w:rPr>
        <w:t>Industrial &amp; Engineering Chemistry Research</w:t>
      </w:r>
      <w:r w:rsidRPr="00586CD8">
        <w:rPr>
          <w:kern w:val="2"/>
        </w:rPr>
        <w:t xml:space="preserve">, </w:t>
      </w:r>
      <w:r>
        <w:rPr>
          <w:b/>
          <w:bCs/>
          <w:kern w:val="0"/>
        </w:rPr>
        <w:t>47</w:t>
      </w:r>
      <w:r w:rsidRPr="00586CD8">
        <w:rPr>
          <w:kern w:val="2"/>
        </w:rPr>
        <w:t xml:space="preserve"> (11), 3813-3819.</w:t>
      </w:r>
    </w:p>
    <w:p w:rsidR="00B95188" w:rsidRDefault="00B95188" w:rsidP="00B95188">
      <w:pPr>
        <w:pStyle w:val="a0"/>
      </w:pPr>
      <w:r>
        <w:t>Full Text:</w:t>
      </w:r>
      <w:r>
        <w:rPr>
          <w:rFonts w:hint="eastAsia"/>
        </w:rPr>
        <w:t xml:space="preserve"> </w:t>
      </w:r>
      <w:hyperlink r:id="rId1279" w:history="1">
        <w:r w:rsidRPr="00F6371C">
          <w:rPr>
            <w:rStyle w:val="a5"/>
          </w:rPr>
          <w:t>2008\Ind Eng Che Res47, 3813.pdf</w:t>
        </w:r>
      </w:hyperlink>
    </w:p>
    <w:p w:rsidR="00B95188" w:rsidRPr="00586CD8" w:rsidRDefault="00B95188" w:rsidP="00B95188">
      <w:pPr>
        <w:pStyle w:val="a0"/>
        <w:rPr>
          <w:kern w:val="2"/>
        </w:rPr>
      </w:pPr>
      <w:r w:rsidRPr="00586CD8">
        <w:rPr>
          <w:kern w:val="2"/>
        </w:rPr>
        <w:t>Abstract: Sorption is a common treatment for removing pollutants from natural environments. Layered double hydroxides (LDHs), which consist of brucite-like positive layers</w:t>
      </w:r>
      <w:r w:rsidR="00F81221">
        <w:rPr>
          <w:kern w:val="2"/>
        </w:rPr>
        <w:t xml:space="preserve"> and </w:t>
      </w:r>
      <w:r w:rsidRPr="00586CD8">
        <w:rPr>
          <w:kern w:val="2"/>
        </w:rPr>
        <w:t>sodium dodecyl sulfate intercalated with LDH (SDS-LDH), are considered to be potential organic pollutant sorbents. The objectives of this study were (1) to evaluate the impact of removing 2-chlorophenol (2-CP) using Mg-3-Al-(NO</w:t>
      </w:r>
      <w:r w:rsidRPr="008E0B90">
        <w:rPr>
          <w:kern w:val="0"/>
          <w:vertAlign w:val="subscript"/>
        </w:rPr>
        <w:t>3</w:t>
      </w:r>
      <w:r w:rsidRPr="00586CD8">
        <w:rPr>
          <w:kern w:val="2"/>
        </w:rPr>
        <w:t>) LDH</w:t>
      </w:r>
      <w:r w:rsidR="00F81221">
        <w:rPr>
          <w:kern w:val="2"/>
        </w:rPr>
        <w:t xml:space="preserve"> and </w:t>
      </w:r>
      <w:r w:rsidRPr="00586CD8">
        <w:rPr>
          <w:kern w:val="2"/>
        </w:rPr>
        <w:t>SDS-LDH</w:t>
      </w:r>
      <w:r w:rsidR="00F81221">
        <w:rPr>
          <w:kern w:val="2"/>
        </w:rPr>
        <w:t xml:space="preserve"> and </w:t>
      </w:r>
      <w:r w:rsidRPr="00586CD8">
        <w:rPr>
          <w:kern w:val="2"/>
        </w:rPr>
        <w:t>(2) to investigate the removal efficiencies of these two compounds. All fitted sorption data reveal that the second-order model</w:t>
      </w:r>
      <w:r w:rsidR="00F81221">
        <w:rPr>
          <w:kern w:val="2"/>
        </w:rPr>
        <w:t xml:space="preserve"> and </w:t>
      </w:r>
      <w:r w:rsidRPr="00586CD8">
        <w:rPr>
          <w:kern w:val="2"/>
        </w:rPr>
        <w:t>the Langmuir model best describe the sorption kinetics</w:t>
      </w:r>
      <w:r w:rsidR="00F81221">
        <w:rPr>
          <w:kern w:val="2"/>
        </w:rPr>
        <w:t xml:space="preserve"> and </w:t>
      </w:r>
      <w:r w:rsidRPr="00586CD8">
        <w:rPr>
          <w:kern w:val="2"/>
        </w:rPr>
        <w:t>isotherms, respectively. By Visual MinteqA2 (2000) calculation, the dissociation pK(a) of 2-CP is 8.56. The experimental results indicate that a high concentration of 2-CP is sorbed by the hydrophilic-hydrophilic physical interaction of LDH when the pH is &gt; 8.56; however, the hydrophobic-hydrophobic partition interaction of SDS-LDH is more vital when the pH is &lt; 8.56. LDH</w:t>
      </w:r>
      <w:r w:rsidR="00F81221">
        <w:rPr>
          <w:kern w:val="2"/>
        </w:rPr>
        <w:t xml:space="preserve"> and </w:t>
      </w:r>
      <w:r w:rsidRPr="00586CD8">
        <w:rPr>
          <w:kern w:val="2"/>
        </w:rPr>
        <w:t>SDS-LDH can be removed,not only in the ionic form, but also in the molecular form of 2-CP. The efficiencies of LDH</w:t>
      </w:r>
      <w:r w:rsidR="00F81221">
        <w:rPr>
          <w:kern w:val="2"/>
        </w:rPr>
        <w:t xml:space="preserve"> and </w:t>
      </w:r>
      <w:r w:rsidRPr="00586CD8">
        <w:rPr>
          <w:kern w:val="2"/>
        </w:rPr>
        <w:t>SDS-LDH, in regard to enhancing 2-CP sorption, are strongly dependent on the pH, 2-CP speciation, ionic strength,</w:t>
      </w:r>
      <w:r w:rsidR="00F81221">
        <w:rPr>
          <w:kern w:val="2"/>
        </w:rPr>
        <w:t xml:space="preserve"> and </w:t>
      </w:r>
      <w:r w:rsidRPr="00586CD8">
        <w:rPr>
          <w:kern w:val="2"/>
        </w:rPr>
        <w:t>metal dissolution. These results are of practical interest, with respect to the selection of sorbents, to optimize aquatic environment remediation technologies.</w:t>
      </w:r>
    </w:p>
    <w:p w:rsidR="00B95188" w:rsidRPr="00586CD8" w:rsidRDefault="00B95188" w:rsidP="00B95188">
      <w:pPr>
        <w:pStyle w:val="a0"/>
        <w:rPr>
          <w:kern w:val="2"/>
        </w:rPr>
      </w:pPr>
      <w:r w:rsidRPr="00586CD8">
        <w:rPr>
          <w:kern w:val="2"/>
        </w:rPr>
        <w:t xml:space="preserve">Keywords: Adsorption, Aqueous Solution, Complexes, Delamination, Dissolution, Environment, Experimental, Hydrotalcite-Like Compounds, Interaction, Interlayer Anion, Ionic Strength, Isotherms, Kinetics, Langmuir, Langmuir Model, Metal, Model, Nanocomposites, Oxidation, </w:t>
      </w:r>
      <w:r w:rsidRPr="00586CD8">
        <w:rPr>
          <w:rFonts w:hint="eastAsia"/>
          <w:kern w:val="2"/>
        </w:rPr>
        <w:t>p</w:t>
      </w:r>
      <w:r w:rsidRPr="00586CD8">
        <w:rPr>
          <w:kern w:val="2"/>
        </w:rPr>
        <w:t>H, Pk(A), Potential, Remediation, Removal, Sodium Dodecyl Sulfate, Sodium Dodecyl-Sulfate, Solution, Sorption, Sorption Kinetics, Speciation, Sulfate, Surfactants, Technologies, Treatment</w:t>
      </w:r>
    </w:p>
    <w:p w:rsidR="00B95188" w:rsidRPr="00586CD8" w:rsidRDefault="00B95188" w:rsidP="00B95188">
      <w:pPr>
        <w:pStyle w:val="a0"/>
        <w:rPr>
          <w:kern w:val="2"/>
        </w:rPr>
      </w:pPr>
      <w:r w:rsidRPr="00586CD8">
        <w:rPr>
          <w:rFonts w:hint="eastAsia"/>
          <w:kern w:val="2"/>
        </w:rPr>
        <w:t xml:space="preserve">? </w:t>
      </w:r>
      <w:r w:rsidRPr="00586CD8">
        <w:rPr>
          <w:kern w:val="2"/>
        </w:rPr>
        <w:t>Wang, L.H.</w:t>
      </w:r>
      <w:r w:rsidR="00F81221">
        <w:rPr>
          <w:kern w:val="2"/>
        </w:rPr>
        <w:t xml:space="preserve"> and </w:t>
      </w:r>
      <w:r w:rsidRPr="00586CD8">
        <w:rPr>
          <w:kern w:val="2"/>
        </w:rPr>
        <w:t xml:space="preserve">Lin, C.I. (2008), Adsorption of lead(II) ion from aqueous solution </w:t>
      </w:r>
      <w:r w:rsidRPr="00586CD8">
        <w:rPr>
          <w:kern w:val="2"/>
        </w:rPr>
        <w:lastRenderedPageBreak/>
        <w:t xml:space="preserve">using rice hull ash. </w:t>
      </w:r>
      <w:r>
        <w:rPr>
          <w:i/>
          <w:iCs/>
          <w:kern w:val="0"/>
        </w:rPr>
        <w:t>Industrial &amp; Engineering Chemistry Research</w:t>
      </w:r>
      <w:r w:rsidRPr="00586CD8">
        <w:rPr>
          <w:kern w:val="2"/>
        </w:rPr>
        <w:t xml:space="preserve">, </w:t>
      </w:r>
      <w:r>
        <w:rPr>
          <w:b/>
          <w:bCs/>
          <w:kern w:val="0"/>
        </w:rPr>
        <w:t>47</w:t>
      </w:r>
      <w:r w:rsidRPr="00586CD8">
        <w:rPr>
          <w:kern w:val="2"/>
        </w:rPr>
        <w:t xml:space="preserve"> (14), 4891-4897.</w:t>
      </w:r>
    </w:p>
    <w:p w:rsidR="00B95188" w:rsidRDefault="00B95188" w:rsidP="00B95188">
      <w:pPr>
        <w:pStyle w:val="a0"/>
      </w:pPr>
      <w:r>
        <w:t>Full Text:</w:t>
      </w:r>
      <w:r>
        <w:rPr>
          <w:rFonts w:hint="eastAsia"/>
        </w:rPr>
        <w:t xml:space="preserve"> </w:t>
      </w:r>
      <w:hyperlink r:id="rId1280" w:history="1">
        <w:r w:rsidRPr="00FA2915">
          <w:rPr>
            <w:rStyle w:val="a5"/>
          </w:rPr>
          <w:t>2008\Ind Eng Che Res47, 4891.pdf</w:t>
        </w:r>
      </w:hyperlink>
    </w:p>
    <w:p w:rsidR="00B95188" w:rsidRPr="00586CD8" w:rsidRDefault="00B95188" w:rsidP="00B95188">
      <w:pPr>
        <w:pStyle w:val="a0"/>
        <w:rPr>
          <w:kern w:val="2"/>
        </w:rPr>
      </w:pPr>
      <w:r w:rsidRPr="00586CD8">
        <w:rPr>
          <w:kern w:val="2"/>
        </w:rPr>
        <w:t>Abstract: Adsorption of lead(II) ion from aqueous solution using rice hull ash (RHA) was explored in this work. The RHA prepared was found to be an efficient adsorbent. Experimental results indicated the rate of removal</w:t>
      </w:r>
      <w:r w:rsidR="00F81221">
        <w:rPr>
          <w:kern w:val="2"/>
        </w:rPr>
        <w:t xml:space="preserve"> and </w:t>
      </w:r>
      <w:r w:rsidRPr="00586CD8">
        <w:rPr>
          <w:kern w:val="2"/>
        </w:rPr>
        <w:t>the removal at equilibrium could be increased by increasing the initial lead concentration, pH, stroke speed, or adsorption temperature. They were also found to be increased by decreasing RHA dosage. The effects of RHA dosage</w:t>
      </w:r>
      <w:r w:rsidR="00F81221">
        <w:rPr>
          <w:kern w:val="2"/>
        </w:rPr>
        <w:t xml:space="preserve"> and </w:t>
      </w:r>
      <w:r w:rsidRPr="00586CD8">
        <w:rPr>
          <w:kern w:val="2"/>
        </w:rPr>
        <w:t>initial lead concentration were found to be pronounced, while those of pH, stroke speed,</w:t>
      </w:r>
      <w:r w:rsidR="00F81221">
        <w:rPr>
          <w:kern w:val="2"/>
        </w:rPr>
        <w:t xml:space="preserve"> and </w:t>
      </w:r>
      <w:r w:rsidRPr="00586CD8">
        <w:rPr>
          <w:kern w:val="2"/>
        </w:rPr>
        <w:t>adsorption temperature were less significant. The data of adsorption kinetics indicated the process was physisorption controlled</w:t>
      </w:r>
      <w:r w:rsidR="00F81221">
        <w:rPr>
          <w:kern w:val="2"/>
        </w:rPr>
        <w:t xml:space="preserve"> and </w:t>
      </w:r>
      <w:r w:rsidRPr="00586CD8">
        <w:rPr>
          <w:kern w:val="2"/>
        </w:rPr>
        <w:t>the pseudo-second-order rate equation suitably interpreted the overall process. An empirical relationship between lead adsorption</w:t>
      </w:r>
      <w:r w:rsidR="00F81221">
        <w:rPr>
          <w:kern w:val="2"/>
        </w:rPr>
        <w:t xml:space="preserve"> and </w:t>
      </w:r>
      <w:r w:rsidRPr="00586CD8">
        <w:rPr>
          <w:kern w:val="2"/>
        </w:rPr>
        <w:t>time,was also determined.</w:t>
      </w:r>
    </w:p>
    <w:p w:rsidR="00B95188" w:rsidRPr="00586CD8" w:rsidRDefault="00B95188" w:rsidP="00B95188">
      <w:pPr>
        <w:pStyle w:val="a0"/>
        <w:rPr>
          <w:kern w:val="2"/>
        </w:rPr>
      </w:pPr>
      <w:r w:rsidRPr="00586CD8">
        <w:rPr>
          <w:kern w:val="2"/>
        </w:rPr>
        <w:t xml:space="preserve">Keywords: Activated Carbon, Adsorbent, Adsorption, Adsorption Kinetics, Aqueous Solution, Cadmium, Equilibrium, Husk, Kinetics, Lead, Lead(II), Mercury, </w:t>
      </w:r>
      <w:r w:rsidRPr="00586CD8">
        <w:rPr>
          <w:rFonts w:hint="eastAsia"/>
          <w:kern w:val="2"/>
        </w:rPr>
        <w:t>p</w:t>
      </w:r>
      <w:r w:rsidRPr="00586CD8">
        <w:rPr>
          <w:kern w:val="2"/>
        </w:rPr>
        <w:t>H, Pseudo Second Order, Pseudo-Second-Order, Pseudo-Second-Order Rate, Removal, Rice, Rice Hull, Solution, Sorption, Temperature, Work, Zinc</w:t>
      </w:r>
    </w:p>
    <w:p w:rsidR="00EE1E5B" w:rsidRDefault="00EE1E5B" w:rsidP="00EE1E5B">
      <w:pPr>
        <w:pStyle w:val="a0"/>
        <w:rPr>
          <w:kern w:val="0"/>
        </w:rPr>
      </w:pPr>
      <w:r>
        <w:rPr>
          <w:rFonts w:hint="eastAsia"/>
          <w:kern w:val="0"/>
        </w:rPr>
        <w:t xml:space="preserve">? </w:t>
      </w:r>
      <w:r>
        <w:rPr>
          <w:kern w:val="0"/>
        </w:rPr>
        <w:t>Kumar, K.V., Martins, P.</w:t>
      </w:r>
      <w:r w:rsidR="00F81221">
        <w:rPr>
          <w:kern w:val="0"/>
        </w:rPr>
        <w:t xml:space="preserve"> and </w:t>
      </w:r>
      <w:r>
        <w:rPr>
          <w:kern w:val="0"/>
        </w:rPr>
        <w:t xml:space="preserve">Rocha, F. (2008), Modelling of the batch sucrose crystallization kinetics using artificial neural networks: Comparison with conventional regression analysis. </w:t>
      </w:r>
      <w:r>
        <w:rPr>
          <w:i/>
          <w:iCs/>
          <w:kern w:val="0"/>
        </w:rPr>
        <w:t>Industrial &amp; Engineering Chemistry Research</w:t>
      </w:r>
      <w:r>
        <w:rPr>
          <w:kern w:val="0"/>
        </w:rPr>
        <w:t xml:space="preserve">, </w:t>
      </w:r>
      <w:r>
        <w:rPr>
          <w:b/>
          <w:bCs/>
          <w:kern w:val="0"/>
        </w:rPr>
        <w:t>47</w:t>
      </w:r>
      <w:r>
        <w:rPr>
          <w:kern w:val="0"/>
        </w:rPr>
        <w:t xml:space="preserve"> (14), 4917-4923.</w:t>
      </w:r>
    </w:p>
    <w:p w:rsidR="00EE1E5B" w:rsidRDefault="00EE1E5B" w:rsidP="00EE1E5B">
      <w:pPr>
        <w:pStyle w:val="a0"/>
      </w:pPr>
      <w:r>
        <w:t>Full Text:</w:t>
      </w:r>
      <w:r>
        <w:rPr>
          <w:rFonts w:hint="eastAsia"/>
        </w:rPr>
        <w:t xml:space="preserve"> </w:t>
      </w:r>
      <w:hyperlink r:id="rId1281" w:history="1">
        <w:r w:rsidRPr="00EE1E5B">
          <w:rPr>
            <w:rStyle w:val="a5"/>
          </w:rPr>
          <w:t>2008\Ind Eng Che Res47, 4917.pdf</w:t>
        </w:r>
      </w:hyperlink>
    </w:p>
    <w:p w:rsidR="00EE1E5B" w:rsidRDefault="00EE1E5B" w:rsidP="00EE1E5B">
      <w:pPr>
        <w:pStyle w:val="a0"/>
        <w:rPr>
          <w:kern w:val="0"/>
        </w:rPr>
      </w:pPr>
      <w:r>
        <w:rPr>
          <w:kern w:val="0"/>
        </w:rPr>
        <w:t>Abstract: A three-layer feed-forward artificial neural network (ANN) was constructed</w:t>
      </w:r>
      <w:r w:rsidR="00F81221">
        <w:rPr>
          <w:kern w:val="0"/>
        </w:rPr>
        <w:t xml:space="preserve"> and </w:t>
      </w:r>
      <w:r>
        <w:rPr>
          <w:kern w:val="0"/>
        </w:rPr>
        <w:t>tested to analyze the crystal growth rate of sucrose under different operating conditions. The operating variables studied were used as inputs to predict the corresponding crystal growth rate. The operating variables studied include the supersaturation, temperature, agitation speed,</w:t>
      </w:r>
      <w:r w:rsidR="00F81221">
        <w:rPr>
          <w:kern w:val="0"/>
        </w:rPr>
        <w:t xml:space="preserve"> and </w:t>
      </w:r>
      <w:r>
        <w:rPr>
          <w:kern w:val="0"/>
        </w:rPr>
        <w:t>seed crystal diameter. The constructed ANN was determined to be precise in modeling the crystal growth rate for any operating conditions. The constructed network was also found to be precise in predicting the crystal growth rate for the new input data, which are kept unaware of the trained neural network, showing its applicability to determine the growth rate for any operating conditions of interest. The ANN-predicted crystal growth rates were compared to those from the conventional nonlinear regression analysis. The ANN was observed to be more accurate in predicting the crystal growth rate, irrespective of the operating conditions studied. The correlation coefficients between the experimentally determined crystal growth rate</w:t>
      </w:r>
      <w:r w:rsidR="00F81221">
        <w:rPr>
          <w:kern w:val="0"/>
        </w:rPr>
        <w:t xml:space="preserve"> and </w:t>
      </w:r>
      <w:r>
        <w:rPr>
          <w:kern w:val="0"/>
        </w:rPr>
        <w:t>the crystal growth rates determined by the ANN</w:t>
      </w:r>
      <w:r w:rsidR="00F81221">
        <w:rPr>
          <w:kern w:val="0"/>
        </w:rPr>
        <w:t xml:space="preserve"> and </w:t>
      </w:r>
      <w:r>
        <w:rPr>
          <w:kern w:val="0"/>
        </w:rPr>
        <w:t>multiple nonlinear regression (MNLR) were determined to be 0.999</w:t>
      </w:r>
      <w:r w:rsidR="00F81221">
        <w:rPr>
          <w:kern w:val="0"/>
        </w:rPr>
        <w:t xml:space="preserve"> and </w:t>
      </w:r>
      <w:r>
        <w:rPr>
          <w:kern w:val="0"/>
        </w:rPr>
        <w:t xml:space="preserve">0.748, respectively. The correlation coefficient between the </w:t>
      </w:r>
      <w:r>
        <w:rPr>
          <w:kern w:val="0"/>
        </w:rPr>
        <w:lastRenderedPageBreak/>
        <w:t>experimentally determined crystal growth rates</w:t>
      </w:r>
      <w:r w:rsidR="00F81221">
        <w:rPr>
          <w:kern w:val="0"/>
        </w:rPr>
        <w:t xml:space="preserve"> and </w:t>
      </w:r>
      <w:r>
        <w:rPr>
          <w:kern w:val="0"/>
        </w:rPr>
        <w:t>the crystal growth rates determined by the ANN for new inputs was observed to be &gt;0.98.</w:t>
      </w:r>
    </w:p>
    <w:p w:rsidR="00EE1E5B" w:rsidRDefault="00EE1E5B" w:rsidP="00EE1E5B">
      <w:pPr>
        <w:pStyle w:val="a0"/>
        <w:rPr>
          <w:kern w:val="0"/>
        </w:rPr>
      </w:pPr>
      <w:r>
        <w:rPr>
          <w:kern w:val="0"/>
        </w:rPr>
        <w:t>Keywords: Crystal Growth, Crystal-Growth, Crystallization, Kinetics, Lysozyme, Modeling, Prediction, Solubility, Temperature</w:t>
      </w:r>
    </w:p>
    <w:p w:rsidR="00B95188" w:rsidRPr="00586CD8" w:rsidRDefault="00B95188" w:rsidP="00B95188">
      <w:pPr>
        <w:pStyle w:val="a0"/>
        <w:rPr>
          <w:kern w:val="2"/>
        </w:rPr>
      </w:pPr>
      <w:r w:rsidRPr="00586CD8">
        <w:rPr>
          <w:kern w:val="2"/>
        </w:rPr>
        <w:t>? Singh, V., Sharma, A.K., Kumari, P.</w:t>
      </w:r>
      <w:r w:rsidR="00F81221">
        <w:rPr>
          <w:kern w:val="2"/>
        </w:rPr>
        <w:t xml:space="preserve"> and </w:t>
      </w:r>
      <w:r w:rsidRPr="00586CD8">
        <w:rPr>
          <w:kern w:val="2"/>
        </w:rPr>
        <w:t xml:space="preserve">Tiwari, S. (2008), Efficient chromium(VI) adsorption by </w:t>
      </w:r>
      <w:r w:rsidRPr="000A5E75">
        <w:rPr>
          <w:i/>
          <w:kern w:val="0"/>
        </w:rPr>
        <w:t>Cassia marginata</w:t>
      </w:r>
      <w:r w:rsidRPr="00586CD8">
        <w:rPr>
          <w:kern w:val="2"/>
        </w:rPr>
        <w:t xml:space="preserve"> seed gum functionalized with poly(methylmethacrylate) using microwave irradiation. </w:t>
      </w:r>
      <w:r>
        <w:rPr>
          <w:i/>
          <w:iCs/>
          <w:kern w:val="0"/>
        </w:rPr>
        <w:t>Industrial &amp; Engineering Chemistry Research</w:t>
      </w:r>
      <w:r w:rsidRPr="00586CD8">
        <w:rPr>
          <w:kern w:val="2"/>
        </w:rPr>
        <w:t xml:space="preserve">, </w:t>
      </w:r>
      <w:r>
        <w:rPr>
          <w:b/>
          <w:bCs/>
          <w:kern w:val="0"/>
        </w:rPr>
        <w:t>47</w:t>
      </w:r>
      <w:r w:rsidRPr="00586CD8">
        <w:rPr>
          <w:kern w:val="2"/>
        </w:rPr>
        <w:t xml:space="preserve"> (15), 5267-5276.</w:t>
      </w:r>
    </w:p>
    <w:p w:rsidR="00B95188" w:rsidRDefault="00B95188" w:rsidP="00B95188">
      <w:pPr>
        <w:pStyle w:val="a0"/>
      </w:pPr>
      <w:r>
        <w:t xml:space="preserve">Full Text: </w:t>
      </w:r>
      <w:hyperlink r:id="rId1282" w:history="1">
        <w:r w:rsidRPr="000A5E75">
          <w:rPr>
            <w:rStyle w:val="a5"/>
          </w:rPr>
          <w:t>2008\Ind Eng Che Res47, 5267.pdf</w:t>
        </w:r>
      </w:hyperlink>
    </w:p>
    <w:p w:rsidR="00B95188" w:rsidRPr="00586CD8" w:rsidRDefault="00B95188" w:rsidP="00B95188">
      <w:pPr>
        <w:pStyle w:val="a0"/>
        <w:rPr>
          <w:kern w:val="2"/>
        </w:rPr>
      </w:pPr>
      <w:r w:rsidRPr="00586CD8">
        <w:rPr>
          <w:kern w:val="2"/>
        </w:rPr>
        <w:t>Abstract: Increasing cost of the chemicals</w:t>
      </w:r>
      <w:r w:rsidR="00F81221">
        <w:rPr>
          <w:kern w:val="2"/>
        </w:rPr>
        <w:t xml:space="preserve"> and </w:t>
      </w:r>
      <w:r w:rsidRPr="00586CD8">
        <w:rPr>
          <w:kern w:val="2"/>
        </w:rPr>
        <w:t>production of toxic sludge in the Cr(VI) treatment methods have attracted attention toward the use of biosorbents for Cr(VI) removal. The present study evaluates a novel biosorbent derived from Cassia marginata seed gum in the removal of Cr(VI) from the aqueous solution</w:t>
      </w:r>
      <w:r w:rsidR="00F81221">
        <w:rPr>
          <w:kern w:val="2"/>
        </w:rPr>
        <w:t xml:space="preserve"> and </w:t>
      </w:r>
      <w:r w:rsidRPr="00586CD8">
        <w:rPr>
          <w:kern w:val="2"/>
        </w:rPr>
        <w:t>wastewater. The adsorbent was synthesized using microwave irradiation in the absence of any radical initiator or catalyst in good yield. Adsorbents of different performances could be obtained by varying the amount of the methylmethacrylate, microwave power,</w:t>
      </w:r>
      <w:r w:rsidR="00F81221">
        <w:rPr>
          <w:kern w:val="2"/>
        </w:rPr>
        <w:t xml:space="preserve"> and </w:t>
      </w:r>
      <w:r w:rsidRPr="00586CD8">
        <w:rPr>
          <w:kern w:val="2"/>
        </w:rPr>
        <w:t>exposure time. A representative sample of microwave synthesized adsorbent was characterized using FTIR, XRD, TGA,</w:t>
      </w:r>
      <w:r w:rsidR="00F81221">
        <w:rPr>
          <w:kern w:val="2"/>
        </w:rPr>
        <w:t xml:space="preserve"> and </w:t>
      </w:r>
      <w:r w:rsidRPr="00586CD8">
        <w:rPr>
          <w:kern w:val="2"/>
        </w:rPr>
        <w:t>SEM analysis. Cr(VI) sorption was optimized using the copolymer sample of highest grafting ratio</w:t>
      </w:r>
      <w:r w:rsidR="00F81221">
        <w:rPr>
          <w:kern w:val="2"/>
        </w:rPr>
        <w:t xml:space="preserve"> and </w:t>
      </w:r>
      <w:r w:rsidRPr="00586CD8">
        <w:rPr>
          <w:kern w:val="2"/>
        </w:rPr>
        <w:t>efficiency (270% G</w:t>
      </w:r>
      <w:r w:rsidR="00F81221">
        <w:rPr>
          <w:kern w:val="2"/>
        </w:rPr>
        <w:t xml:space="preserve"> and </w:t>
      </w:r>
      <w:r w:rsidRPr="00586CD8">
        <w:rPr>
          <w:kern w:val="2"/>
        </w:rPr>
        <w:t>59.65% E) where the removal was found to be pH</w:t>
      </w:r>
      <w:r w:rsidR="00F81221">
        <w:rPr>
          <w:kern w:val="2"/>
        </w:rPr>
        <w:t xml:space="preserve"> and </w:t>
      </w:r>
      <w:r w:rsidRPr="00586CD8">
        <w:rPr>
          <w:kern w:val="2"/>
        </w:rPr>
        <w:t>concentration dependent, pH 1.0 being the optimum value at which from 20 mL of 100 ppm Cr(VI) solution, 16.94 mg/g Cr(VI), could be removed using 5 g/L adsorbent dose at 30 degrees C. The adsorption data followed both Langmuir (R-2 = 0.9703)</w:t>
      </w:r>
      <w:r w:rsidR="00F81221">
        <w:rPr>
          <w:kern w:val="2"/>
        </w:rPr>
        <w:t xml:space="preserve"> and </w:t>
      </w:r>
      <w:r w:rsidRPr="00586CD8">
        <w:rPr>
          <w:kern w:val="2"/>
        </w:rPr>
        <w:t>Freundlich isotherms (R-2 = 0.8957) probably due to the real heterogeneous nature of the surface sites involved in the metal uptake,</w:t>
      </w:r>
      <w:r w:rsidR="00F81221">
        <w:rPr>
          <w:kern w:val="2"/>
        </w:rPr>
        <w:t xml:space="preserve"> and </w:t>
      </w:r>
      <w:r w:rsidRPr="00586CD8">
        <w:rPr>
          <w:kern w:val="2"/>
        </w:rPr>
        <w:t>overall sorption of Cr(VI) on the biosorbent is complex</w:t>
      </w:r>
      <w:r w:rsidR="00F81221">
        <w:rPr>
          <w:kern w:val="2"/>
        </w:rPr>
        <w:t xml:space="preserve"> and </w:t>
      </w:r>
      <w:r w:rsidRPr="00586CD8">
        <w:rPr>
          <w:kern w:val="2"/>
        </w:rPr>
        <w:t>involves more than one mechanisms. The adsorption followed second order kinetics, the rate constant being 0.1×10</w:t>
      </w:r>
      <w:r>
        <w:rPr>
          <w:kern w:val="0"/>
          <w:vertAlign w:val="superscript"/>
        </w:rPr>
        <w:t>-5</w:t>
      </w:r>
      <w:r w:rsidRPr="00586CD8">
        <w:rPr>
          <w:kern w:val="2"/>
        </w:rPr>
        <w:t xml:space="preserve"> g/(mg min) at 100 mg/L Cr(VI) concentration. The adsorbent was also found efficient in Cr(VI) removal from real industrial wastewater. Used copolymer was recycled after stripping off the adsorbed chromium with 2 M NaOH where after each cycle a successive decrease in the binding capacity was observed. To understand the advantage of using microwaves in the adsorbent synthesis, the copolymer synthesized using a K2S2O8/ascorbic acid redox pair at identical monomer concentrations (220% G</w:t>
      </w:r>
      <w:r w:rsidR="00F81221">
        <w:rPr>
          <w:kern w:val="2"/>
        </w:rPr>
        <w:t xml:space="preserve"> and </w:t>
      </w:r>
      <w:r w:rsidRPr="00586CD8">
        <w:rPr>
          <w:kern w:val="2"/>
        </w:rPr>
        <w:t>48.6% E) was also evaluated as Cr(VI) sorbent,</w:t>
      </w:r>
      <w:r w:rsidR="00F81221">
        <w:rPr>
          <w:kern w:val="2"/>
        </w:rPr>
        <w:t xml:space="preserve"> and </w:t>
      </w:r>
      <w:r w:rsidRPr="00586CD8">
        <w:rPr>
          <w:kern w:val="2"/>
        </w:rPr>
        <w:t>the results obtained were compared with that of microwave synthesized copolymer.</w:t>
      </w:r>
    </w:p>
    <w:p w:rsidR="00B95188" w:rsidRPr="00586CD8" w:rsidRDefault="00B95188" w:rsidP="00B95188">
      <w:pPr>
        <w:pStyle w:val="a0"/>
        <w:rPr>
          <w:kern w:val="2"/>
        </w:rPr>
      </w:pPr>
      <w:r w:rsidRPr="00586CD8">
        <w:rPr>
          <w:kern w:val="2"/>
        </w:rPr>
        <w:t xml:space="preserve">Keywords: Acrylonitrile, Activated Carbon, Adsorbent, Adsorbent Dose, Adsorption, Analysis, Aqueous Solution, Biosorbent, Biosorbents, Capacity, Catalyst, Chitosan, Chromium, Chromium(VI), Concentration, Cost, Cr(VI), Cr(VI) Removal, Cr(VI) </w:t>
      </w:r>
      <w:r w:rsidRPr="00586CD8">
        <w:rPr>
          <w:kern w:val="2"/>
        </w:rPr>
        <w:lastRenderedPageBreak/>
        <w:t>Sorption, Efficiency, Exposure, Freundlich, Ftir, Grafting, Guar Gum, Hexavalent Chromium, Isotherms, Kinetics, Langmuir, Mechanisms, Metal, Metal Uptake, Methods, Microwave, Microwaves, Naoh, pH, Polyacrylamide, Rate Constant, Removal, Second Order, Second Order Kinetics, Second-Order, SEM, Sludge, Solution, Sorbent, Sorption, Stripping, Synthesis, System, Treatment, Value, Waste-Water, Wastewater, XRD</w:t>
      </w:r>
    </w:p>
    <w:p w:rsidR="00B95188" w:rsidRPr="00586CD8" w:rsidRDefault="00B95188" w:rsidP="00B95188">
      <w:pPr>
        <w:pStyle w:val="a0"/>
        <w:rPr>
          <w:kern w:val="2"/>
        </w:rPr>
      </w:pPr>
      <w:r w:rsidRPr="00586CD8">
        <w:rPr>
          <w:kern w:val="2"/>
        </w:rPr>
        <w:t>? Sarma, J., Sarma, A.</w:t>
      </w:r>
      <w:r w:rsidR="00F81221">
        <w:rPr>
          <w:kern w:val="2"/>
        </w:rPr>
        <w:t xml:space="preserve"> and </w:t>
      </w:r>
      <w:r w:rsidRPr="00586CD8">
        <w:rPr>
          <w:kern w:val="2"/>
        </w:rPr>
        <w:t xml:space="preserve">Bhattacharyya, K.G. (2008), Biosorption of commercial dyes on </w:t>
      </w:r>
      <w:r w:rsidRPr="008863C7">
        <w:rPr>
          <w:i/>
          <w:kern w:val="0"/>
        </w:rPr>
        <w:t>Azadirachta indica</w:t>
      </w:r>
      <w:r w:rsidRPr="00586CD8">
        <w:rPr>
          <w:kern w:val="2"/>
        </w:rPr>
        <w:t xml:space="preserve"> leaf powder: A case study with a basic dye Rhodamine B. </w:t>
      </w:r>
      <w:r>
        <w:rPr>
          <w:i/>
          <w:iCs/>
          <w:kern w:val="0"/>
        </w:rPr>
        <w:t>Industrial &amp; Engineering Chemistry Research</w:t>
      </w:r>
      <w:r w:rsidRPr="00586CD8">
        <w:rPr>
          <w:kern w:val="2"/>
        </w:rPr>
        <w:t xml:space="preserve">, </w:t>
      </w:r>
      <w:r>
        <w:rPr>
          <w:b/>
          <w:bCs/>
          <w:kern w:val="0"/>
        </w:rPr>
        <w:t>47</w:t>
      </w:r>
      <w:r w:rsidRPr="00586CD8">
        <w:rPr>
          <w:kern w:val="2"/>
        </w:rPr>
        <w:t xml:space="preserve"> (15), 5433-5440.</w:t>
      </w:r>
    </w:p>
    <w:p w:rsidR="00B95188" w:rsidRDefault="00B95188" w:rsidP="00B95188">
      <w:pPr>
        <w:pStyle w:val="a0"/>
      </w:pPr>
      <w:r>
        <w:t xml:space="preserve">Full Text: </w:t>
      </w:r>
      <w:hyperlink r:id="rId1283" w:history="1">
        <w:r w:rsidRPr="000A5E75">
          <w:rPr>
            <w:rStyle w:val="a5"/>
          </w:rPr>
          <w:t>2008\Ind Eng Che Res47, 5433.pdf</w:t>
        </w:r>
      </w:hyperlink>
    </w:p>
    <w:p w:rsidR="00B95188" w:rsidRPr="00586CD8" w:rsidRDefault="00B95188" w:rsidP="00B95188">
      <w:pPr>
        <w:pStyle w:val="a0"/>
        <w:rPr>
          <w:kern w:val="2"/>
        </w:rPr>
      </w:pPr>
      <w:r w:rsidRPr="00586CD8">
        <w:rPr>
          <w:kern w:val="2"/>
        </w:rPr>
        <w:t>Abstract: Biosorbents, collected</w:t>
      </w:r>
      <w:r w:rsidR="00F81221">
        <w:rPr>
          <w:kern w:val="2"/>
        </w:rPr>
        <w:t xml:space="preserve"> and </w:t>
      </w:r>
      <w:r w:rsidRPr="00586CD8">
        <w:rPr>
          <w:kern w:val="2"/>
        </w:rPr>
        <w:t>prepared from nature, are most widely used for this purpose. In the present work, removal of a basic dye called Rhodamine B from aqueous solution by adsorption onto a biosorbent, Azadirachta indica (neem) leaf powder (AILP), was investigated. Removal was tested in a batch process with concentration of dye solution, AILP load, pH, temperature,</w:t>
      </w:r>
      <w:r w:rsidR="00F81221">
        <w:rPr>
          <w:kern w:val="2"/>
        </w:rPr>
        <w:t xml:space="preserve"> and </w:t>
      </w:r>
      <w:r w:rsidRPr="00586CD8">
        <w:rPr>
          <w:kern w:val="2"/>
        </w:rPr>
        <w:t>contact time as the working variables. The adsorption was favored by an acidic pH range</w:t>
      </w:r>
      <w:r w:rsidR="00F81221">
        <w:rPr>
          <w:kern w:val="2"/>
        </w:rPr>
        <w:t xml:space="preserve"> and </w:t>
      </w:r>
      <w:r w:rsidRPr="00586CD8">
        <w:rPr>
          <w:kern w:val="2"/>
        </w:rPr>
        <w:t>was best described by a second-order rate equation. The experimental data were verified by fitting into both Freundlich</w:t>
      </w:r>
      <w:r w:rsidR="00F81221">
        <w:rPr>
          <w:kern w:val="2"/>
        </w:rPr>
        <w:t xml:space="preserve"> and </w:t>
      </w:r>
      <w:r w:rsidRPr="00586CD8">
        <w:rPr>
          <w:kern w:val="2"/>
        </w:rPr>
        <w:t>Langmuir isotherms. Thermodynamically, the process was found to be exothermic accompanied by a decrease in entropy</w:t>
      </w:r>
      <w:r w:rsidR="00F81221">
        <w:rPr>
          <w:kern w:val="2"/>
        </w:rPr>
        <w:t xml:space="preserve"> and </w:t>
      </w:r>
      <w:r w:rsidRPr="00586CD8">
        <w:rPr>
          <w:kern w:val="2"/>
        </w:rPr>
        <w:t>increase in Gibbs energy as the temperature of adsorption was increased from 303 to 333 K. The effect of solution temperature,</w:t>
      </w:r>
      <w:r w:rsidR="00F81221">
        <w:rPr>
          <w:kern w:val="2"/>
        </w:rPr>
        <w:t xml:space="preserve"> and </w:t>
      </w:r>
      <w:r w:rsidRPr="00586CD8">
        <w:rPr>
          <w:kern w:val="2"/>
        </w:rPr>
        <w:t>the determination of the thermodynamic parameters of adsorption of Rhodamine B (RB) on AILP enthalpy of activation, entropy of activation,</w:t>
      </w:r>
      <w:r w:rsidR="00F81221">
        <w:rPr>
          <w:kern w:val="2"/>
        </w:rPr>
        <w:t xml:space="preserve"> and </w:t>
      </w:r>
      <w:r w:rsidRPr="00586CD8">
        <w:rPr>
          <w:kern w:val="2"/>
        </w:rPr>
        <w:t>free energy of activation, on the adsorption rates are important in understanding the adsorption mechanism. The rate</w:t>
      </w:r>
      <w:r w:rsidR="00F81221">
        <w:rPr>
          <w:kern w:val="2"/>
        </w:rPr>
        <w:t xml:space="preserve"> and </w:t>
      </w:r>
      <w:r w:rsidRPr="00586CD8">
        <w:rPr>
          <w:kern w:val="2"/>
        </w:rPr>
        <w:t>the transport/kinetic processes of dye adsorption onto the adsorbents are described by applying various kinetic adsorption models. This would lead to a better understanding of the mechanisms controlling the adsorption rate. The pseudo-second-order model was the best choice among all the kinetic models to describe the adsorption behavior of RB onto AILP, suggesting that the adsorption mechanism might be a chemisorption process. The negative value of the enthalpy change suggested that the rise in the solution temperature did not favor RB adsorption onto AILP.</w:t>
      </w:r>
    </w:p>
    <w:p w:rsidR="00B95188" w:rsidRPr="00586CD8" w:rsidRDefault="00B95188" w:rsidP="00B95188">
      <w:pPr>
        <w:pStyle w:val="a0"/>
        <w:rPr>
          <w:kern w:val="2"/>
        </w:rPr>
      </w:pPr>
      <w:r w:rsidRPr="00586CD8">
        <w:rPr>
          <w:kern w:val="2"/>
        </w:rPr>
        <w:t xml:space="preserve">Keywords: Acid Dyes, Activation, Adsorbents, Adsorption, Adsorption Behavior, Adsorption Mechanism, Adsorption Rate, Agricultural Waste, Aqueous Solution, Aqueous-Solution, Azadirachta Indica, Basic Dye, Batch Process, Behavior, Bentonite, Biosorbent, Biosorption, Case Study, Chemisorption, Choice, Concentration, Dye, Dye Adsorption, Dyes, Enthalpy, Entropy, Equilibrium, Exothermic, Experimental, Freundlich, Isotherms, Kinetic, Kinetic Adsorption, Kinetic Models, Kinetics, Langmuir, Langmuir Isotherms, Lead, Malachite Green, </w:t>
      </w:r>
      <w:r w:rsidRPr="00586CD8">
        <w:rPr>
          <w:kern w:val="2"/>
        </w:rPr>
        <w:lastRenderedPageBreak/>
        <w:t>Mechanism, Mechanisms, Model, Models, pH, Pseudo Second Order, Pseudo-Second-Order, Pseudo-Second-Order Model, Rates, Removal, Second Order, Second-Order, Solution, Temperature, Thermodynamic, Thermodynamic Parameters, Understanding, Value, Water, Work</w:t>
      </w:r>
    </w:p>
    <w:p w:rsidR="00B95188" w:rsidRPr="00586CD8" w:rsidRDefault="00B95188" w:rsidP="00B95188">
      <w:pPr>
        <w:pStyle w:val="a0"/>
        <w:rPr>
          <w:kern w:val="2"/>
        </w:rPr>
      </w:pPr>
      <w:r w:rsidRPr="00586CD8">
        <w:rPr>
          <w:kern w:val="2"/>
        </w:rPr>
        <w:t>? Huang, X., Jiao, L.M., Liao, X.P.</w:t>
      </w:r>
      <w:r w:rsidR="00F81221">
        <w:rPr>
          <w:kern w:val="2"/>
        </w:rPr>
        <w:t xml:space="preserve"> and </w:t>
      </w:r>
      <w:r w:rsidRPr="00586CD8">
        <w:rPr>
          <w:kern w:val="2"/>
        </w:rPr>
        <w:t xml:space="preserve">Shi, B. (2008), Adsorptive removal of As(III) from aqueous solution by Zr(IV)-loaded collagen fiber. </w:t>
      </w:r>
      <w:r>
        <w:rPr>
          <w:i/>
          <w:iCs/>
          <w:kern w:val="0"/>
        </w:rPr>
        <w:t>Industrial &amp; Engineering Chemistry Research</w:t>
      </w:r>
      <w:r w:rsidRPr="00586CD8">
        <w:rPr>
          <w:kern w:val="2"/>
        </w:rPr>
        <w:t xml:space="preserve">, </w:t>
      </w:r>
      <w:r>
        <w:rPr>
          <w:b/>
          <w:bCs/>
          <w:kern w:val="0"/>
        </w:rPr>
        <w:t>47</w:t>
      </w:r>
      <w:r w:rsidRPr="00586CD8">
        <w:rPr>
          <w:kern w:val="2"/>
        </w:rPr>
        <w:t xml:space="preserve"> (15), 5623-5628.</w:t>
      </w:r>
    </w:p>
    <w:p w:rsidR="00B95188" w:rsidRDefault="00B95188" w:rsidP="00B95188">
      <w:pPr>
        <w:pStyle w:val="a0"/>
      </w:pPr>
      <w:r>
        <w:t xml:space="preserve">Full Text: </w:t>
      </w:r>
      <w:hyperlink r:id="rId1284" w:history="1">
        <w:r w:rsidRPr="008863C7">
          <w:rPr>
            <w:rStyle w:val="a5"/>
          </w:rPr>
          <w:t>2008\Ind Eng Che Res47, 5623.pdf</w:t>
        </w:r>
      </w:hyperlink>
    </w:p>
    <w:p w:rsidR="00B95188" w:rsidRPr="00586CD8" w:rsidRDefault="00B95188" w:rsidP="00B95188">
      <w:pPr>
        <w:pStyle w:val="a0"/>
        <w:rPr>
          <w:kern w:val="2"/>
        </w:rPr>
      </w:pPr>
      <w:r w:rsidRPr="00586CD8">
        <w:rPr>
          <w:kern w:val="2"/>
        </w:rPr>
        <w:t>Abstract: Compared with arsenate [As(V)], arsenite [As(III)] is more toxic to human health</w:t>
      </w:r>
      <w:r w:rsidR="00F81221">
        <w:rPr>
          <w:kern w:val="2"/>
        </w:rPr>
        <w:t xml:space="preserve"> and </w:t>
      </w:r>
      <w:r w:rsidRPr="00586CD8">
        <w:rPr>
          <w:kern w:val="2"/>
        </w:rPr>
        <w:t>more difficult to be removed from aqueous solution. In this study, a novel adsorbent, Zr(IV)-loaded collagen fiber (ZrCF), was prepared,</w:t>
      </w:r>
      <w:r w:rsidR="00F81221">
        <w:rPr>
          <w:kern w:val="2"/>
        </w:rPr>
        <w:t xml:space="preserve"> and </w:t>
      </w:r>
      <w:r w:rsidRPr="00586CD8">
        <w:rPr>
          <w:kern w:val="2"/>
        </w:rPr>
        <w:t>its adsorption characteristics to As(III) were investigated. It was found that ZrCF can effectively remove As(III) from aqueous solution in the pH range of 9.0-12.0. The maximum adsorption capacity of As(III) by ZrCF reached up to 54.02 mg As/g when the initial concentration of As(III) was 73.00 mg/L at 303 K</w:t>
      </w:r>
      <w:r w:rsidR="00F81221">
        <w:rPr>
          <w:kern w:val="2"/>
        </w:rPr>
        <w:t xml:space="preserve"> and </w:t>
      </w:r>
      <w:r w:rsidRPr="00586CD8">
        <w:rPr>
          <w:kern w:val="2"/>
        </w:rPr>
        <w:t>pH 11.0. The adsorption isotherms of ZrCF to As(III) were well fitted by the Langmuir-Freundlich equation. The adsorption kinetic experimental data were well described by the pseudo-second-order rate equation,</w:t>
      </w:r>
      <w:r w:rsidR="00F81221">
        <w:rPr>
          <w:kern w:val="2"/>
        </w:rPr>
        <w:t xml:space="preserve"> and </w:t>
      </w:r>
      <w:r w:rsidRPr="00586CD8">
        <w:rPr>
          <w:kern w:val="2"/>
        </w:rPr>
        <w:t>the calculated adsorption capacities were close to those obtained by experiments. The leakage of zirconium loaded on ZrCF was negligible during adsorption process. Therefore, this study indicates that ZrCF is a promising adsorbent for As(III) removal from aqueous solution.</w:t>
      </w:r>
    </w:p>
    <w:p w:rsidR="00B95188" w:rsidRPr="00586CD8" w:rsidRDefault="00B95188" w:rsidP="00B95188">
      <w:pPr>
        <w:pStyle w:val="a0"/>
        <w:rPr>
          <w:kern w:val="2"/>
        </w:rPr>
      </w:pPr>
      <w:r w:rsidRPr="00586CD8">
        <w:rPr>
          <w:kern w:val="2"/>
        </w:rPr>
        <w:t>Keywords: Activated Alumina, Adsorbent, Adsorption, Adsorption Capacity, Adsorption Isotherms, Adsorption Kinetic, Aqueous Solution, Arsenate, Arsenic Removal, Arsenite, As(III), Behavior, Capacity, Characteristics, Collagen, Collagen Fiber, Concentration, Experimental, Experiments, Ferric-Chloride, General Treatment, Health, Human, Iron, Isotherms, Kinetic, Langmuir-Freundlich, Model, Oxide, pH, Pseudo Second Order, Pseudo-Second-Order, Pseudo-Second-Order Rate, Removal, Solution, Speciation, Water</w:t>
      </w:r>
    </w:p>
    <w:p w:rsidR="00B95188" w:rsidRPr="00586CD8" w:rsidRDefault="00B95188" w:rsidP="00B95188">
      <w:pPr>
        <w:pStyle w:val="a0"/>
        <w:rPr>
          <w:kern w:val="2"/>
        </w:rPr>
      </w:pPr>
      <w:r w:rsidRPr="00586CD8">
        <w:rPr>
          <w:kern w:val="2"/>
        </w:rPr>
        <w:t xml:space="preserve">? </w:t>
      </w:r>
      <w:r w:rsidRPr="00BF68DF">
        <w:rPr>
          <w:kern w:val="2"/>
        </w:rPr>
        <w:t>Anirudhan</w:t>
      </w:r>
      <w:r>
        <w:rPr>
          <w:rFonts w:hint="eastAsia"/>
          <w:kern w:val="2"/>
        </w:rPr>
        <w:t>,</w:t>
      </w:r>
      <w:r w:rsidRPr="00BF68DF">
        <w:rPr>
          <w:kern w:val="2"/>
        </w:rPr>
        <w:t xml:space="preserve"> T</w:t>
      </w:r>
      <w:r>
        <w:rPr>
          <w:rFonts w:hint="eastAsia"/>
          <w:kern w:val="2"/>
        </w:rPr>
        <w:t>.</w:t>
      </w:r>
      <w:r w:rsidRPr="00BF68DF">
        <w:rPr>
          <w:kern w:val="2"/>
        </w:rPr>
        <w:t>S</w:t>
      </w:r>
      <w:r>
        <w:rPr>
          <w:rFonts w:hint="eastAsia"/>
          <w:kern w:val="2"/>
        </w:rPr>
        <w:t>.</w:t>
      </w:r>
      <w:r w:rsidR="00F81221">
        <w:rPr>
          <w:rFonts w:hint="eastAsia"/>
          <w:kern w:val="2"/>
        </w:rPr>
        <w:t xml:space="preserve"> and </w:t>
      </w:r>
      <w:r w:rsidRPr="00BF68DF">
        <w:rPr>
          <w:kern w:val="2"/>
        </w:rPr>
        <w:t>Ramachandran</w:t>
      </w:r>
      <w:r>
        <w:rPr>
          <w:rFonts w:hint="eastAsia"/>
          <w:kern w:val="2"/>
        </w:rPr>
        <w:t>,</w:t>
      </w:r>
      <w:r w:rsidRPr="00BF68DF">
        <w:rPr>
          <w:kern w:val="2"/>
        </w:rPr>
        <w:t xml:space="preserve"> M</w:t>
      </w:r>
      <w:r>
        <w:rPr>
          <w:rFonts w:hint="eastAsia"/>
          <w:kern w:val="2"/>
        </w:rPr>
        <w:t>.</w:t>
      </w:r>
      <w:r w:rsidRPr="00586CD8">
        <w:rPr>
          <w:kern w:val="2"/>
        </w:rPr>
        <w:t xml:space="preserve"> (2008), </w:t>
      </w:r>
      <w:r w:rsidRPr="00BF68DF">
        <w:rPr>
          <w:kern w:val="2"/>
        </w:rPr>
        <w:t>Synthesis</w:t>
      </w:r>
      <w:r w:rsidR="00F81221">
        <w:rPr>
          <w:kern w:val="2"/>
        </w:rPr>
        <w:t xml:space="preserve"> and </w:t>
      </w:r>
      <w:r w:rsidRPr="00BF68DF">
        <w:rPr>
          <w:kern w:val="2"/>
        </w:rPr>
        <w:t>characterization of amidoximated polyacrylonitrile/organobentonite composite for Cu(II), Zn(II),</w:t>
      </w:r>
      <w:r w:rsidR="00F81221">
        <w:rPr>
          <w:kern w:val="2"/>
        </w:rPr>
        <w:t xml:space="preserve"> and </w:t>
      </w:r>
      <w:r w:rsidRPr="00BF68DF">
        <w:rPr>
          <w:kern w:val="2"/>
        </w:rPr>
        <w:t>Cd(II) adsorption from aqueous solutions</w:t>
      </w:r>
      <w:r w:rsidR="00F81221">
        <w:rPr>
          <w:kern w:val="2"/>
        </w:rPr>
        <w:t xml:space="preserve"> and </w:t>
      </w:r>
      <w:r w:rsidRPr="00BF68DF">
        <w:rPr>
          <w:kern w:val="2"/>
        </w:rPr>
        <w:t>industry wastewaters</w:t>
      </w:r>
      <w:r w:rsidRPr="00586CD8">
        <w:rPr>
          <w:kern w:val="2"/>
        </w:rPr>
        <w:t xml:space="preserve">. </w:t>
      </w:r>
      <w:r>
        <w:rPr>
          <w:i/>
          <w:iCs/>
          <w:kern w:val="0"/>
        </w:rPr>
        <w:t>Industrial &amp; Engineering Chemistry Research</w:t>
      </w:r>
      <w:r w:rsidRPr="00586CD8">
        <w:rPr>
          <w:kern w:val="2"/>
        </w:rPr>
        <w:t xml:space="preserve">, </w:t>
      </w:r>
      <w:r>
        <w:rPr>
          <w:b/>
          <w:bCs/>
          <w:kern w:val="0"/>
        </w:rPr>
        <w:t>47</w:t>
      </w:r>
      <w:r w:rsidRPr="00586CD8">
        <w:rPr>
          <w:kern w:val="2"/>
        </w:rPr>
        <w:t xml:space="preserve"> (1</w:t>
      </w:r>
      <w:r>
        <w:rPr>
          <w:rFonts w:hint="eastAsia"/>
          <w:kern w:val="2"/>
        </w:rPr>
        <w:t>6</w:t>
      </w:r>
      <w:r w:rsidRPr="00586CD8">
        <w:rPr>
          <w:kern w:val="2"/>
        </w:rPr>
        <w:t xml:space="preserve">), </w:t>
      </w:r>
      <w:r w:rsidRPr="00BF68DF">
        <w:rPr>
          <w:kern w:val="2"/>
        </w:rPr>
        <w:t>6175-6184</w:t>
      </w:r>
      <w:r w:rsidRPr="00586CD8">
        <w:rPr>
          <w:kern w:val="2"/>
        </w:rPr>
        <w:t>.</w:t>
      </w:r>
    </w:p>
    <w:p w:rsidR="00B95188" w:rsidRDefault="00B95188" w:rsidP="00B95188">
      <w:pPr>
        <w:pStyle w:val="a0"/>
      </w:pPr>
      <w:r>
        <w:t xml:space="preserve">Full Text: </w:t>
      </w:r>
      <w:hyperlink r:id="rId1285" w:history="1">
        <w:r w:rsidRPr="00BF68DF">
          <w:rPr>
            <w:rStyle w:val="a5"/>
          </w:rPr>
          <w:t>2008\Ind Eng Che Res47, 6175.pdf</w:t>
        </w:r>
      </w:hyperlink>
    </w:p>
    <w:p w:rsidR="00B95188" w:rsidRPr="00BF68DF" w:rsidRDefault="00B95188" w:rsidP="00B95188">
      <w:pPr>
        <w:pStyle w:val="a0"/>
        <w:rPr>
          <w:kern w:val="2"/>
        </w:rPr>
      </w:pPr>
      <w:r w:rsidRPr="00BF68DF">
        <w:rPr>
          <w:kern w:val="2"/>
        </w:rPr>
        <w:t>Abstract: A new adsorbent, polyacrylonitrile/organobentonite composite with amidoxime functionality was prepared using in situ intercalation polymerization technique</w:t>
      </w:r>
      <w:r w:rsidR="00F81221">
        <w:rPr>
          <w:kern w:val="2"/>
        </w:rPr>
        <w:t xml:space="preserve"> and </w:t>
      </w:r>
      <w:r w:rsidRPr="00BF68DF">
        <w:rPr>
          <w:kern w:val="2"/>
        </w:rPr>
        <w:t>characterized by Fourier transform infrared spectroscopy, X-ray diffraction pattern, scanning electron microscopy, surface area analyzer, thermogravimetry,</w:t>
      </w:r>
      <w:r w:rsidR="00F81221">
        <w:rPr>
          <w:kern w:val="2"/>
        </w:rPr>
        <w:t xml:space="preserve"> and </w:t>
      </w:r>
      <w:r w:rsidRPr="00BF68DF">
        <w:rPr>
          <w:kern w:val="2"/>
        </w:rPr>
        <w:t>potentiometric analysis. The adsorption of Cu(II), Zn(II),</w:t>
      </w:r>
      <w:r w:rsidR="00F81221">
        <w:rPr>
          <w:kern w:val="2"/>
        </w:rPr>
        <w:t xml:space="preserve"> and </w:t>
      </w:r>
      <w:r w:rsidRPr="00BF68DF">
        <w:rPr>
          <w:kern w:val="2"/>
        </w:rPr>
        <w:t xml:space="preserve">Cd(II) ions was, examined by batch-equilibrium technique with respect to the initial </w:t>
      </w:r>
      <w:r w:rsidRPr="00BF68DF">
        <w:rPr>
          <w:kern w:val="2"/>
        </w:rPr>
        <w:lastRenderedPageBreak/>
        <w:t>pH, adsorbent dose, ionic strength, contact time,</w:t>
      </w:r>
      <w:r w:rsidR="00F81221">
        <w:rPr>
          <w:kern w:val="2"/>
        </w:rPr>
        <w:t xml:space="preserve"> and </w:t>
      </w:r>
      <w:r w:rsidRPr="00BF68DF">
        <w:rPr>
          <w:kern w:val="2"/>
        </w:rPr>
        <w:t>initial metal concentration. Adsorption-complexation, in addition to ion exchange, must be involved in the sorption process. Maximum adsorption of 99.8% Cu(II), 98.9% Zn(II),</w:t>
      </w:r>
      <w:r w:rsidR="00F81221">
        <w:rPr>
          <w:kern w:val="2"/>
        </w:rPr>
        <w:t xml:space="preserve"> and </w:t>
      </w:r>
      <w:r w:rsidRPr="00BF68DF">
        <w:rPr>
          <w:kern w:val="2"/>
        </w:rPr>
        <w:t>97.4% Cd (II) with 2 g/L of the adsorbent was observed at pH 6.0 for an initial metal concentration of 25 mg/ L. The kinetic data were reasonably correlated with pseudosecond-order kinetic equation. An increase of ionic strength on the medium caused a decrease in metal adsorption, indicating the occurrence of outer-sphere surface complex mechanism for the metal. The equilibrium isotherm data were analyzed using Langmuir, Freundlich,</w:t>
      </w:r>
      <w:r w:rsidR="00F81221">
        <w:rPr>
          <w:kern w:val="2"/>
        </w:rPr>
        <w:t xml:space="preserve"> and </w:t>
      </w:r>
      <w:r w:rsidRPr="00BF68DF">
        <w:rPr>
          <w:kern w:val="2"/>
        </w:rPr>
        <w:t>Scatchard isotherm models; however, the Langmuir model was found to provide the best correlation. The maximum monolayer adsorption capacity was 77.43, 65.40,</w:t>
      </w:r>
      <w:r w:rsidR="00F81221">
        <w:rPr>
          <w:kern w:val="2"/>
        </w:rPr>
        <w:t xml:space="preserve"> and </w:t>
      </w:r>
      <w:r w:rsidRPr="00BF68DF">
        <w:rPr>
          <w:kern w:val="2"/>
        </w:rPr>
        <w:t>52.61 mg/g for Cu(II), Zn(II),</w:t>
      </w:r>
      <w:r w:rsidR="00F81221">
        <w:rPr>
          <w:kern w:val="2"/>
        </w:rPr>
        <w:t xml:space="preserve"> and </w:t>
      </w:r>
      <w:r w:rsidRPr="00BF68DF">
        <w:rPr>
          <w:kern w:val="2"/>
        </w:rPr>
        <w:t>Cd(II) ions, respectively, at 30 degrees C. The adsorption efficiency toward heavy metals removal was tested using different industry wastewaters. Acid regeneration was tried for several cycles with a view to recover the adsorbed metals</w:t>
      </w:r>
      <w:r w:rsidR="00F81221">
        <w:rPr>
          <w:kern w:val="2"/>
        </w:rPr>
        <w:t xml:space="preserve"> and </w:t>
      </w:r>
      <w:r w:rsidRPr="00BF68DF">
        <w:rPr>
          <w:kern w:val="2"/>
        </w:rPr>
        <w:t>also to restore the a</w:t>
      </w:r>
      <w:r>
        <w:rPr>
          <w:kern w:val="2"/>
        </w:rPr>
        <w:t>dsorbent to its original state.</w:t>
      </w:r>
    </w:p>
    <w:p w:rsidR="00B95188" w:rsidRDefault="00B95188" w:rsidP="00B95188">
      <w:pPr>
        <w:pStyle w:val="a0"/>
        <w:rPr>
          <w:kern w:val="2"/>
        </w:rPr>
      </w:pPr>
      <w:r w:rsidRPr="00BF68DF">
        <w:rPr>
          <w:kern w:val="2"/>
        </w:rPr>
        <w:t>Keywords: Heavy-Metals</w:t>
      </w:r>
      <w:r>
        <w:rPr>
          <w:kern w:val="2"/>
        </w:rPr>
        <w:t>,</w:t>
      </w:r>
      <w:r w:rsidRPr="00BF68DF">
        <w:rPr>
          <w:kern w:val="2"/>
        </w:rPr>
        <w:t xml:space="preserve"> Activated Carbon</w:t>
      </w:r>
      <w:r>
        <w:rPr>
          <w:kern w:val="2"/>
        </w:rPr>
        <w:t>,</w:t>
      </w:r>
      <w:r w:rsidRPr="00BF68DF">
        <w:rPr>
          <w:kern w:val="2"/>
        </w:rPr>
        <w:t xml:space="preserve"> Waste-Water</w:t>
      </w:r>
      <w:r>
        <w:rPr>
          <w:kern w:val="2"/>
        </w:rPr>
        <w:t>,</w:t>
      </w:r>
      <w:r w:rsidRPr="00BF68DF">
        <w:rPr>
          <w:kern w:val="2"/>
        </w:rPr>
        <w:t xml:space="preserve"> Natural Bentonite</w:t>
      </w:r>
      <w:r>
        <w:rPr>
          <w:kern w:val="2"/>
        </w:rPr>
        <w:t>,</w:t>
      </w:r>
      <w:r w:rsidRPr="00BF68DF">
        <w:rPr>
          <w:kern w:val="2"/>
        </w:rPr>
        <w:t xml:space="preserve"> Removal</w:t>
      </w:r>
      <w:r>
        <w:rPr>
          <w:kern w:val="2"/>
        </w:rPr>
        <w:t>,</w:t>
      </w:r>
      <w:r w:rsidRPr="00BF68DF">
        <w:rPr>
          <w:kern w:val="2"/>
        </w:rPr>
        <w:t xml:space="preserve"> Ions</w:t>
      </w:r>
      <w:r>
        <w:rPr>
          <w:kern w:val="2"/>
        </w:rPr>
        <w:t>,</w:t>
      </w:r>
      <w:r w:rsidRPr="00BF68DF">
        <w:rPr>
          <w:kern w:val="2"/>
        </w:rPr>
        <w:t xml:space="preserve"> Sorption</w:t>
      </w:r>
      <w:r>
        <w:rPr>
          <w:kern w:val="2"/>
        </w:rPr>
        <w:t>,</w:t>
      </w:r>
      <w:r w:rsidRPr="00BF68DF">
        <w:rPr>
          <w:kern w:val="2"/>
        </w:rPr>
        <w:t xml:space="preserve"> Nan</w:t>
      </w:r>
      <w:r>
        <w:rPr>
          <w:kern w:val="2"/>
        </w:rPr>
        <w:t>ocomposites, Acid, Cadmium(II)</w:t>
      </w:r>
    </w:p>
    <w:p w:rsidR="00B95188" w:rsidRPr="00586CD8" w:rsidRDefault="00B95188" w:rsidP="00B95188">
      <w:pPr>
        <w:pStyle w:val="a0"/>
        <w:rPr>
          <w:kern w:val="2"/>
        </w:rPr>
      </w:pPr>
      <w:r w:rsidRPr="00586CD8">
        <w:rPr>
          <w:kern w:val="2"/>
        </w:rPr>
        <w:t xml:space="preserve">? </w:t>
      </w:r>
      <w:r>
        <w:t>Kolodyńska</w:t>
      </w:r>
      <w:r>
        <w:rPr>
          <w:rFonts w:hint="eastAsia"/>
        </w:rPr>
        <w:t>,</w:t>
      </w:r>
      <w:r>
        <w:t xml:space="preserve"> D</w:t>
      </w:r>
      <w:r>
        <w:rPr>
          <w:rFonts w:hint="eastAsia"/>
        </w:rPr>
        <w:t xml:space="preserve">., </w:t>
      </w:r>
      <w:r>
        <w:t>Hubicki</w:t>
      </w:r>
      <w:r>
        <w:rPr>
          <w:rFonts w:hint="eastAsia"/>
        </w:rPr>
        <w:t>,</w:t>
      </w:r>
      <w:r>
        <w:t xml:space="preserve"> Z</w:t>
      </w:r>
      <w:r>
        <w:rPr>
          <w:rFonts w:hint="eastAsia"/>
        </w:rPr>
        <w:t>.</w:t>
      </w:r>
      <w:r w:rsidR="00F81221">
        <w:rPr>
          <w:rFonts w:hint="eastAsia"/>
        </w:rPr>
        <w:t xml:space="preserve"> and </w:t>
      </w:r>
      <w:r>
        <w:t>Gȩca</w:t>
      </w:r>
      <w:r>
        <w:rPr>
          <w:rFonts w:hint="eastAsia"/>
        </w:rPr>
        <w:t>,</w:t>
      </w:r>
      <w:r>
        <w:t xml:space="preserve"> M</w:t>
      </w:r>
      <w:r>
        <w:rPr>
          <w:rFonts w:hint="eastAsia"/>
        </w:rPr>
        <w:t>.</w:t>
      </w:r>
      <w:r w:rsidRPr="00586CD8">
        <w:rPr>
          <w:kern w:val="2"/>
        </w:rPr>
        <w:t xml:space="preserve"> (2008), </w:t>
      </w:r>
      <w:r>
        <w:t>Polyaspartic acid as a new complexing agent in removal of heavy metal ions on polystyrene anion exchangers</w:t>
      </w:r>
      <w:r w:rsidRPr="00586CD8">
        <w:rPr>
          <w:kern w:val="2"/>
        </w:rPr>
        <w:t xml:space="preserve">. </w:t>
      </w:r>
      <w:r>
        <w:rPr>
          <w:i/>
          <w:iCs/>
          <w:kern w:val="0"/>
        </w:rPr>
        <w:t>Industrial &amp; Engineering Chemistry Research</w:t>
      </w:r>
      <w:r w:rsidRPr="00586CD8">
        <w:rPr>
          <w:kern w:val="2"/>
        </w:rPr>
        <w:t xml:space="preserve">, </w:t>
      </w:r>
      <w:r>
        <w:rPr>
          <w:b/>
          <w:bCs/>
          <w:kern w:val="0"/>
        </w:rPr>
        <w:t>47</w:t>
      </w:r>
      <w:r w:rsidRPr="00586CD8">
        <w:rPr>
          <w:kern w:val="2"/>
        </w:rPr>
        <w:t xml:space="preserve"> (1</w:t>
      </w:r>
      <w:r>
        <w:rPr>
          <w:rFonts w:hint="eastAsia"/>
          <w:kern w:val="2"/>
        </w:rPr>
        <w:t>6</w:t>
      </w:r>
      <w:r w:rsidRPr="00586CD8">
        <w:rPr>
          <w:kern w:val="2"/>
        </w:rPr>
        <w:t xml:space="preserve">), </w:t>
      </w:r>
      <w:r>
        <w:t>6221-6227</w:t>
      </w:r>
      <w:r w:rsidRPr="00586CD8">
        <w:rPr>
          <w:kern w:val="2"/>
        </w:rPr>
        <w:t>.</w:t>
      </w:r>
    </w:p>
    <w:p w:rsidR="00B95188" w:rsidRDefault="00B95188" w:rsidP="00B95188">
      <w:pPr>
        <w:pStyle w:val="a0"/>
      </w:pPr>
      <w:r>
        <w:t xml:space="preserve">Full Text: </w:t>
      </w:r>
      <w:hyperlink r:id="rId1286" w:history="1">
        <w:r w:rsidRPr="00CC1D86">
          <w:rPr>
            <w:rStyle w:val="a5"/>
          </w:rPr>
          <w:t>2008\Ind Eng Che Res47, 6221.pdf</w:t>
        </w:r>
      </w:hyperlink>
    </w:p>
    <w:p w:rsidR="00B95188" w:rsidRDefault="00B95188" w:rsidP="00B95188">
      <w:pPr>
        <w:pStyle w:val="a0"/>
      </w:pPr>
      <w:r>
        <w:t>Abstract: In the presented paper, the sorption of copper(II)</w:t>
      </w:r>
      <w:r w:rsidR="00F81221">
        <w:t xml:space="preserve"> and </w:t>
      </w:r>
      <w:r>
        <w:t>zinc(II) in the presence of polyaspartic acid sodium salt on polystyrene ion exchangers from aqueous solutions was studied. This polyaspartic acid sodium salt is an active, water soluble polyaminocarboxylate with the multifunctional property profile. It is a complexing agent of a new generation as it undergoes biodegradation thus being an alternative for the reagents of the EDTA or NTA type. On the basis of the research, the applicability of gel</w:t>
      </w:r>
      <w:r w:rsidR="00F81221">
        <w:t xml:space="preserve"> and </w:t>
      </w:r>
      <w:r>
        <w:t>macroporous polystyrene anion exchangers with different functional active groups, Lewatit MonoPlus M 500, Lewatit MonoPlus M 600,</w:t>
      </w:r>
      <w:r w:rsidR="00F81221">
        <w:t xml:space="preserve"> and </w:t>
      </w:r>
      <w:r>
        <w:t>Lewatit MonoPlus MP 500 as well as Lewatit MonoPlus MP 64</w:t>
      </w:r>
      <w:r w:rsidR="00F81221">
        <w:t xml:space="preserve"> and </w:t>
      </w:r>
      <w:r>
        <w:t>Lewatit MP 62, was determined by the dynamic technique. Batch experiments were also carried out to determine the factors affecting sorption</w:t>
      </w:r>
      <w:r w:rsidR="00F81221">
        <w:t xml:space="preserve"> and </w:t>
      </w:r>
      <w:r>
        <w:t xml:space="preserve">kinetics of the sorption process. </w:t>
      </w:r>
    </w:p>
    <w:p w:rsidR="00B95188" w:rsidRDefault="00B95188" w:rsidP="00B95188">
      <w:pPr>
        <w:pStyle w:val="a0"/>
      </w:pPr>
      <w:r>
        <w:t>Keywords: EDTA Complexes, Activated Carbon, Chelating-Agents, Aquatic Environment, Sorption, Copper, Kinetics, Recovery, Cadmium, Electrolysis</w:t>
      </w:r>
    </w:p>
    <w:p w:rsidR="00686D32" w:rsidRDefault="00686D32" w:rsidP="00686D32">
      <w:pPr>
        <w:pStyle w:val="a0"/>
        <w:rPr>
          <w:kern w:val="0"/>
        </w:rPr>
      </w:pPr>
      <w:r>
        <w:rPr>
          <w:rFonts w:hint="eastAsia"/>
          <w:kern w:val="0"/>
        </w:rPr>
        <w:t xml:space="preserve">? </w:t>
      </w:r>
      <w:r>
        <w:rPr>
          <w:kern w:val="0"/>
        </w:rPr>
        <w:t>Akar, T., Anilan, B., Kaynak, Z., Gorgulu, A.</w:t>
      </w:r>
      <w:r w:rsidR="00F81221">
        <w:rPr>
          <w:kern w:val="0"/>
        </w:rPr>
        <w:t xml:space="preserve"> and </w:t>
      </w:r>
      <w:r>
        <w:rPr>
          <w:kern w:val="0"/>
        </w:rPr>
        <w:t>Akar, S.T. (2008), batch</w:t>
      </w:r>
      <w:r w:rsidR="00F81221">
        <w:rPr>
          <w:kern w:val="0"/>
        </w:rPr>
        <w:t xml:space="preserve"> and </w:t>
      </w:r>
      <w:r>
        <w:rPr>
          <w:kern w:val="0"/>
        </w:rPr>
        <w:t xml:space="preserve">dynamic flow biosorption potential of </w:t>
      </w:r>
      <w:r w:rsidRPr="00686D32">
        <w:rPr>
          <w:i/>
          <w:kern w:val="0"/>
        </w:rPr>
        <w:t>Agaricus bisporus</w:t>
      </w:r>
      <w:r>
        <w:rPr>
          <w:kern w:val="0"/>
        </w:rPr>
        <w:t>/</w:t>
      </w:r>
      <w:r w:rsidRPr="00686D32">
        <w:rPr>
          <w:i/>
          <w:kern w:val="0"/>
        </w:rPr>
        <w:t>Thuja orientalis</w:t>
      </w:r>
      <w:r>
        <w:rPr>
          <w:kern w:val="0"/>
        </w:rPr>
        <w:t xml:space="preserve"> biomass mixture for decolorization of RR45 Dye. </w:t>
      </w:r>
      <w:r>
        <w:rPr>
          <w:i/>
          <w:iCs/>
          <w:kern w:val="0"/>
        </w:rPr>
        <w:t>Industrial &amp; Engineering Chemistry Research</w:t>
      </w:r>
      <w:r>
        <w:rPr>
          <w:kern w:val="0"/>
        </w:rPr>
        <w:t xml:space="preserve">, </w:t>
      </w:r>
      <w:r>
        <w:rPr>
          <w:b/>
          <w:bCs/>
          <w:kern w:val="0"/>
        </w:rPr>
        <w:t>47</w:t>
      </w:r>
      <w:r>
        <w:rPr>
          <w:kern w:val="0"/>
        </w:rPr>
        <w:t xml:space="preserve"> (23), 9715-9723.</w:t>
      </w:r>
    </w:p>
    <w:p w:rsidR="00686D32" w:rsidRDefault="00686D32" w:rsidP="00686D32">
      <w:pPr>
        <w:pStyle w:val="a0"/>
        <w:rPr>
          <w:kern w:val="0"/>
        </w:rPr>
      </w:pPr>
      <w:r>
        <w:rPr>
          <w:rFonts w:hint="eastAsia"/>
          <w:kern w:val="0"/>
        </w:rPr>
        <w:t>Full Text:</w:t>
      </w:r>
      <w:r w:rsidRPr="00CB4EBB">
        <w:t xml:space="preserve"> </w:t>
      </w:r>
      <w:hyperlink r:id="rId1287" w:history="1">
        <w:r w:rsidRPr="00686D32">
          <w:rPr>
            <w:rStyle w:val="a5"/>
          </w:rPr>
          <w:t>2008\Ind Eng Che Res47, 9715.pdf</w:t>
        </w:r>
      </w:hyperlink>
    </w:p>
    <w:p w:rsidR="00686D32" w:rsidRDefault="00686D32" w:rsidP="00686D32">
      <w:pPr>
        <w:pStyle w:val="a0"/>
        <w:rPr>
          <w:kern w:val="0"/>
        </w:rPr>
      </w:pPr>
      <w:r>
        <w:rPr>
          <w:kern w:val="0"/>
        </w:rPr>
        <w:lastRenderedPageBreak/>
        <w:t>Abstract: This work reports the batch</w:t>
      </w:r>
      <w:r w:rsidR="00F81221">
        <w:rPr>
          <w:kern w:val="0"/>
        </w:rPr>
        <w:t xml:space="preserve"> and </w:t>
      </w:r>
      <w:r>
        <w:rPr>
          <w:kern w:val="0"/>
        </w:rPr>
        <w:t>dynamic flow biosorption conditions for Reactive Red 45 clue using Agaricus bisporus/Thuja orientalis biomass mixture (ABTOC). Experiments were performed to determine optimum pH, biomass amount, contact time, temperature, dye concentration,</w:t>
      </w:r>
      <w:r w:rsidR="00F81221">
        <w:rPr>
          <w:kern w:val="0"/>
        </w:rPr>
        <w:t xml:space="preserve"> and </w:t>
      </w:r>
      <w:r>
        <w:rPr>
          <w:kern w:val="0"/>
        </w:rPr>
        <w:t>flow rate. The applicability of different kinetic</w:t>
      </w:r>
      <w:r w:rsidR="00F81221">
        <w:rPr>
          <w:kern w:val="0"/>
        </w:rPr>
        <w:t xml:space="preserve"> and </w:t>
      </w:r>
      <w:r>
        <w:rPr>
          <w:kern w:val="0"/>
        </w:rPr>
        <w:t>isotherm models for the biosorption process was evaluated. Biosorption showed a highly pH dependent profile. Under optimized batch conditions up to 93.04% dye could be removed from solution in a relatively short time. Kinetic experiments suggest that the biosorption process followed the pseudo-second-order model in comparison to intraparticle diffusion</w:t>
      </w:r>
      <w:r w:rsidR="00F81221">
        <w:rPr>
          <w:kern w:val="0"/>
        </w:rPr>
        <w:t xml:space="preserve"> and </w:t>
      </w:r>
      <w:r>
        <w:rPr>
          <w:kern w:val="0"/>
        </w:rPr>
        <w:t>the pseudo-first-order models. Thermodynamic data confirm that the biosorption process is spontaneous</w:t>
      </w:r>
      <w:r w:rsidR="00F81221">
        <w:rPr>
          <w:kern w:val="0"/>
        </w:rPr>
        <w:t xml:space="preserve"> and </w:t>
      </w:r>
      <w:r>
        <w:rPr>
          <w:kern w:val="0"/>
        </w:rPr>
        <w:t>endothermic in nature. Besides, the highest regression coefficient (r</w:t>
      </w:r>
      <w:r>
        <w:rPr>
          <w:rFonts w:hint="eastAsia"/>
          <w:kern w:val="0"/>
          <w:vertAlign w:val="superscript"/>
        </w:rPr>
        <w:t>2</w:t>
      </w:r>
      <w:r>
        <w:rPr>
          <w:kern w:val="0"/>
        </w:rPr>
        <w:t xml:space="preserve"> approximate to 1) for the Langmuir model indicates the monolayer coverage of biomass by RR45 dye molecules (q(max) = 108.90 mg g</w:t>
      </w:r>
      <w:r>
        <w:rPr>
          <w:rFonts w:hint="eastAsia"/>
          <w:kern w:val="0"/>
          <w:vertAlign w:val="superscript"/>
        </w:rPr>
        <w:t>-1</w:t>
      </w:r>
      <w:r>
        <w:rPr>
          <w:kern w:val="0"/>
        </w:rPr>
        <w:t>). Column studies showed that ABTOC effectively removes RR45 dye with a maximum biosorption yield of similar to 100%. ABTOC was able to give nearly 96% dye removal in the presence of Na</w:t>
      </w:r>
      <w:r w:rsidRPr="00755BF9">
        <w:rPr>
          <w:kern w:val="0"/>
          <w:vertAlign w:val="superscript"/>
        </w:rPr>
        <w:t>+</w:t>
      </w:r>
      <w:r>
        <w:rPr>
          <w:kern w:val="0"/>
        </w:rPr>
        <w:t>, K</w:t>
      </w:r>
      <w:r w:rsidRPr="00755BF9">
        <w:rPr>
          <w:kern w:val="0"/>
          <w:vertAlign w:val="superscript"/>
        </w:rPr>
        <w:t>+</w:t>
      </w:r>
      <w:r>
        <w:rPr>
          <w:kern w:val="0"/>
        </w:rPr>
        <w:t>, Mg</w:t>
      </w:r>
      <w:r w:rsidRPr="00755BF9">
        <w:rPr>
          <w:kern w:val="0"/>
          <w:vertAlign w:val="superscript"/>
        </w:rPr>
        <w:t>2+</w:t>
      </w:r>
      <w:r>
        <w:rPr>
          <w:kern w:val="0"/>
        </w:rPr>
        <w:t>, Ca</w:t>
      </w:r>
      <w:r w:rsidRPr="00755BF9">
        <w:rPr>
          <w:kern w:val="0"/>
          <w:vertAlign w:val="superscript"/>
        </w:rPr>
        <w:t>2+</w:t>
      </w:r>
      <w:r>
        <w:rPr>
          <w:kern w:val="0"/>
        </w:rPr>
        <w:t>, Pb</w:t>
      </w:r>
      <w:r w:rsidRPr="00755BF9">
        <w:rPr>
          <w:kern w:val="0"/>
          <w:vertAlign w:val="superscript"/>
        </w:rPr>
        <w:t>2+</w:t>
      </w:r>
      <w:r>
        <w:rPr>
          <w:kern w:val="0"/>
        </w:rPr>
        <w:t>, Ni</w:t>
      </w:r>
      <w:r w:rsidRPr="00755BF9">
        <w:rPr>
          <w:kern w:val="0"/>
          <w:vertAlign w:val="superscript"/>
        </w:rPr>
        <w:t>2+</w:t>
      </w:r>
      <w:r>
        <w:rPr>
          <w:kern w:val="0"/>
        </w:rPr>
        <w:t>, CU</w:t>
      </w:r>
      <w:r w:rsidRPr="00755BF9">
        <w:rPr>
          <w:kern w:val="0"/>
          <w:vertAlign w:val="superscript"/>
        </w:rPr>
        <w:t>2+</w:t>
      </w:r>
      <w:r>
        <w:rPr>
          <w:kern w:val="0"/>
        </w:rPr>
        <w:t>,</w:t>
      </w:r>
      <w:r w:rsidR="00F81221">
        <w:rPr>
          <w:kern w:val="0"/>
        </w:rPr>
        <w:t xml:space="preserve"> and </w:t>
      </w:r>
      <w:r>
        <w:rPr>
          <w:kern w:val="0"/>
        </w:rPr>
        <w:t>Cd</w:t>
      </w:r>
      <w:r w:rsidRPr="00755BF9">
        <w:rPr>
          <w:kern w:val="0"/>
          <w:vertAlign w:val="superscript"/>
        </w:rPr>
        <w:t>2+</w:t>
      </w:r>
      <w:r>
        <w:rPr>
          <w:kern w:val="0"/>
        </w:rPr>
        <w:t xml:space="preserve"> ions. Our results revealed that ABTOC could be employed as an effective</w:t>
      </w:r>
      <w:r w:rsidR="00F81221">
        <w:rPr>
          <w:kern w:val="0"/>
        </w:rPr>
        <w:t xml:space="preserve"> and </w:t>
      </w:r>
      <w:r>
        <w:rPr>
          <w:kern w:val="0"/>
        </w:rPr>
        <w:t>low-cost alternative biosorbent material for removal of reactive textile dyes from contaminated effluents.</w:t>
      </w:r>
    </w:p>
    <w:p w:rsidR="00686D32" w:rsidRDefault="00686D32" w:rsidP="00686D32">
      <w:pPr>
        <w:pStyle w:val="a0"/>
        <w:rPr>
          <w:kern w:val="0"/>
        </w:rPr>
      </w:pPr>
      <w:r>
        <w:rPr>
          <w:kern w:val="0"/>
        </w:rPr>
        <w:t>Keywords: Aqueous-Solution, Biomass, Biosorbent, Biosorption, Column, Comparison, Cone Biomass, Coverage, Cu</w:t>
      </w:r>
      <w:r w:rsidRPr="00755BF9">
        <w:rPr>
          <w:kern w:val="0"/>
          <w:vertAlign w:val="superscript"/>
        </w:rPr>
        <w:t>2+</w:t>
      </w:r>
      <w:r>
        <w:rPr>
          <w:kern w:val="0"/>
        </w:rPr>
        <w:t>, Decolorization, Diffusion, Direct Azo-Dye, Dye, Dye Removal, Dyes, Endothermic, Fungal Biomass, Intraparticle Diffusion, Isotherm, Kinetic, Langmuir, Langmuir Model, Low-Cost Adsorbents, Methylene-Blue, Model, Models, Monolayer Coverage, Ni</w:t>
      </w:r>
      <w:r w:rsidRPr="00755BF9">
        <w:rPr>
          <w:kern w:val="0"/>
          <w:vertAlign w:val="superscript"/>
        </w:rPr>
        <w:t>2+</w:t>
      </w:r>
      <w:r>
        <w:rPr>
          <w:kern w:val="0"/>
        </w:rPr>
        <w:t>, Pb</w:t>
      </w:r>
      <w:r w:rsidRPr="00755BF9">
        <w:rPr>
          <w:kern w:val="0"/>
          <w:vertAlign w:val="superscript"/>
        </w:rPr>
        <w:t>2+</w:t>
      </w:r>
      <w:r>
        <w:rPr>
          <w:kern w:val="0"/>
        </w:rPr>
        <w:t xml:space="preserve">, </w:t>
      </w:r>
      <w:r>
        <w:rPr>
          <w:rFonts w:hint="eastAsia"/>
          <w:kern w:val="0"/>
        </w:rPr>
        <w:t>p</w:t>
      </w:r>
      <w:r>
        <w:rPr>
          <w:kern w:val="0"/>
        </w:rPr>
        <w:t>H, Pseudo Second Order, Pseudo-Second-Order, Reactive Dye, Regression, Removal, Temperature, Textile Dyes, Thermodynamic, Thuja-Orientalis, Treated Biomass, Waste Biomass</w:t>
      </w:r>
    </w:p>
    <w:p w:rsidR="001A491F" w:rsidRDefault="001A491F" w:rsidP="001A491F">
      <w:pPr>
        <w:pStyle w:val="a0"/>
        <w:rPr>
          <w:kern w:val="0"/>
          <w:szCs w:val="24"/>
        </w:rPr>
      </w:pPr>
      <w:r>
        <w:rPr>
          <w:rFonts w:hint="eastAsia"/>
          <w:kern w:val="0"/>
          <w:szCs w:val="24"/>
        </w:rPr>
        <w:t xml:space="preserve">? </w:t>
      </w:r>
      <w:r>
        <w:rPr>
          <w:kern w:val="0"/>
          <w:szCs w:val="24"/>
        </w:rPr>
        <w:t xml:space="preserve">Suryavanshi, U.S. and Shukla, S.R. (2009), </w:t>
      </w:r>
      <w:r w:rsidRPr="001A491F">
        <w:rPr>
          <w:kern w:val="2"/>
        </w:rPr>
        <w:t>Adsorption of Ga(III) on oxidized coir</w:t>
      </w:r>
      <w:r>
        <w:rPr>
          <w:kern w:val="0"/>
          <w:szCs w:val="24"/>
        </w:rPr>
        <w:t xml:space="preserve">. </w:t>
      </w:r>
      <w:r>
        <w:rPr>
          <w:i/>
          <w:iCs/>
          <w:kern w:val="0"/>
          <w:szCs w:val="24"/>
        </w:rPr>
        <w:t>Industrial &amp; Engineering Chemistry Research</w:t>
      </w:r>
      <w:r>
        <w:rPr>
          <w:kern w:val="0"/>
          <w:szCs w:val="24"/>
        </w:rPr>
        <w:t xml:space="preserve">, </w:t>
      </w:r>
      <w:r>
        <w:rPr>
          <w:b/>
          <w:bCs/>
          <w:kern w:val="0"/>
          <w:szCs w:val="24"/>
        </w:rPr>
        <w:t>48</w:t>
      </w:r>
      <w:r>
        <w:rPr>
          <w:kern w:val="0"/>
          <w:szCs w:val="24"/>
        </w:rPr>
        <w:t xml:space="preserve"> (2), </w:t>
      </w:r>
      <w:r w:rsidRPr="001A491F">
        <w:rPr>
          <w:kern w:val="2"/>
        </w:rPr>
        <w:t>870-876</w:t>
      </w:r>
      <w:r>
        <w:rPr>
          <w:rFonts w:hint="eastAsia"/>
          <w:kern w:val="0"/>
          <w:szCs w:val="24"/>
        </w:rPr>
        <w:t>.</w:t>
      </w:r>
    </w:p>
    <w:p w:rsidR="001A491F" w:rsidRDefault="001A491F" w:rsidP="001A491F">
      <w:pPr>
        <w:pStyle w:val="a0"/>
        <w:rPr>
          <w:kern w:val="2"/>
        </w:rPr>
      </w:pPr>
      <w:r w:rsidRPr="00FC7835">
        <w:t xml:space="preserve">Full Text: </w:t>
      </w:r>
      <w:hyperlink r:id="rId1288" w:history="1">
        <w:r w:rsidRPr="001A491F">
          <w:rPr>
            <w:rStyle w:val="a5"/>
          </w:rPr>
          <w:t>2009\Ind Eng Che Res48, 870.pdf</w:t>
        </w:r>
      </w:hyperlink>
    </w:p>
    <w:p w:rsidR="001A491F" w:rsidRPr="001A491F" w:rsidRDefault="001A491F" w:rsidP="001A491F">
      <w:pPr>
        <w:pStyle w:val="a0"/>
        <w:rPr>
          <w:kern w:val="2"/>
        </w:rPr>
      </w:pPr>
      <w:r w:rsidRPr="001A491F">
        <w:rPr>
          <w:kern w:val="2"/>
        </w:rPr>
        <w:t xml:space="preserve">Abstract: Gallium is a strategic material due to its high-tech applications, but its availability in minerals is extremely poor to ensure economically feasible recovery. It is possible through the processing of other Ga-containing minerals, during which Ga gets concentrated. In the present work, Batch-wise adsorption of Ga(III) from the aqueous solution of gallium nitrate having different concentrations was attempted on unmodified (UC) and oxidized coir (OC). The SEM micrographs of OC show more porous structure due to the removal of pits from the coir surface by oxidation, leading to a 1.5 x increase in the surface area. The effect of increasing pH from I to 3 greatly enhanced the adsorption. At pH 3, as high as a 70.53% adsorption was achieved on OC, beyond which Ga does not remain in solution form. Ga(III), being a trivalent ion, possesses substantial acidity, which increases with its concentration. </w:t>
      </w:r>
      <w:r w:rsidRPr="001A491F">
        <w:rPr>
          <w:kern w:val="2"/>
        </w:rPr>
        <w:lastRenderedPageBreak/>
        <w:t>The mechanism of Ga(III) adsorption on UC and OC has been put forward based on ion exchange. The adsorption fits to the Langmuir isotherm model and has been shown to obey pseudo second order kinetics. Considerably high adsorption capacity is gained by the coir upon simple oxidation treatment. The maximum adsorption capacity of OC was observed to be 19.42 mg g(-1), as compared to 13.75 mg g(-1) for UC. Desorption using 0.5 M HCl leads to nearly complete recovery of Ga(III) without affecting the physical characteristics of the adsorbent, li</w:t>
      </w:r>
      <w:r>
        <w:rPr>
          <w:kern w:val="2"/>
        </w:rPr>
        <w:t>ke strength and crystallinity.</w:t>
      </w:r>
    </w:p>
    <w:p w:rsidR="001A491F" w:rsidRDefault="001A491F" w:rsidP="001A491F">
      <w:pPr>
        <w:pStyle w:val="a0"/>
        <w:rPr>
          <w:kern w:val="2"/>
        </w:rPr>
      </w:pPr>
      <w:r w:rsidRPr="001A491F">
        <w:rPr>
          <w:kern w:val="2"/>
        </w:rPr>
        <w:t>Keywords: Heavy-Metal Ions</w:t>
      </w:r>
      <w:r>
        <w:rPr>
          <w:kern w:val="2"/>
        </w:rPr>
        <w:t>,</w:t>
      </w:r>
      <w:r w:rsidRPr="001A491F">
        <w:rPr>
          <w:kern w:val="2"/>
        </w:rPr>
        <w:t xml:space="preserve"> Biosorption Characteristics</w:t>
      </w:r>
      <w:r>
        <w:rPr>
          <w:kern w:val="2"/>
        </w:rPr>
        <w:t>,</w:t>
      </w:r>
      <w:r w:rsidRPr="001A491F">
        <w:rPr>
          <w:kern w:val="2"/>
        </w:rPr>
        <w:t xml:space="preserve"> Waste Ma</w:t>
      </w:r>
      <w:r>
        <w:rPr>
          <w:kern w:val="2"/>
        </w:rPr>
        <w:t>terials, Gallium, Fibers, Dyes</w:t>
      </w:r>
    </w:p>
    <w:p w:rsidR="007C38E6" w:rsidRDefault="007C38E6" w:rsidP="007C38E6">
      <w:pPr>
        <w:pStyle w:val="a0"/>
        <w:rPr>
          <w:kern w:val="0"/>
          <w:szCs w:val="24"/>
        </w:rPr>
      </w:pPr>
      <w:r>
        <w:rPr>
          <w:rFonts w:hint="eastAsia"/>
          <w:kern w:val="0"/>
          <w:szCs w:val="24"/>
        </w:rPr>
        <w:t xml:space="preserve">? </w:t>
      </w:r>
      <w:r>
        <w:rPr>
          <w:kern w:val="0"/>
          <w:szCs w:val="24"/>
        </w:rPr>
        <w:t>Anirudhan, T.S., Jalajamony, S.</w:t>
      </w:r>
      <w:r w:rsidR="00F81221">
        <w:rPr>
          <w:kern w:val="0"/>
          <w:szCs w:val="24"/>
        </w:rPr>
        <w:t xml:space="preserve"> and </w:t>
      </w:r>
      <w:r>
        <w:rPr>
          <w:kern w:val="0"/>
          <w:szCs w:val="24"/>
        </w:rPr>
        <w:t>Divya, L. (2009), Efficiency of amine-modified poly(glycidyl methacrylate)-grafted cellulose in the removal</w:t>
      </w:r>
      <w:r w:rsidR="00F81221">
        <w:rPr>
          <w:kern w:val="0"/>
          <w:szCs w:val="24"/>
        </w:rPr>
        <w:t xml:space="preserve"> and </w:t>
      </w:r>
      <w:r>
        <w:rPr>
          <w:kern w:val="0"/>
          <w:szCs w:val="24"/>
        </w:rPr>
        <w:t xml:space="preserve">recovery of vanadium(V) from aqueous solutions. </w:t>
      </w:r>
      <w:r>
        <w:rPr>
          <w:i/>
          <w:iCs/>
          <w:kern w:val="0"/>
          <w:szCs w:val="24"/>
        </w:rPr>
        <w:t>Industrial &amp; Engineering Chemistry Research</w:t>
      </w:r>
      <w:r>
        <w:rPr>
          <w:kern w:val="0"/>
          <w:szCs w:val="24"/>
        </w:rPr>
        <w:t xml:space="preserve">, </w:t>
      </w:r>
      <w:r>
        <w:rPr>
          <w:b/>
          <w:bCs/>
          <w:kern w:val="0"/>
          <w:szCs w:val="24"/>
        </w:rPr>
        <w:t>48</w:t>
      </w:r>
      <w:r>
        <w:rPr>
          <w:kern w:val="0"/>
          <w:szCs w:val="24"/>
        </w:rPr>
        <w:t xml:space="preserve"> (4), 2118-2124.</w:t>
      </w:r>
    </w:p>
    <w:p w:rsidR="007C38E6" w:rsidRDefault="007C38E6" w:rsidP="007C38E6">
      <w:pPr>
        <w:pStyle w:val="a0"/>
        <w:rPr>
          <w:kern w:val="0"/>
        </w:rPr>
      </w:pPr>
      <w:r>
        <w:rPr>
          <w:rFonts w:hint="eastAsia"/>
          <w:kern w:val="0"/>
        </w:rPr>
        <w:t>Full Text:</w:t>
      </w:r>
      <w:r w:rsidRPr="00CB4EBB">
        <w:t xml:space="preserve"> </w:t>
      </w:r>
      <w:hyperlink r:id="rId1289" w:history="1">
        <w:r w:rsidRPr="002A5B38">
          <w:rPr>
            <w:rStyle w:val="a5"/>
          </w:rPr>
          <w:t>2009\Ind Eng Che Res48, 2118.pdf</w:t>
        </w:r>
      </w:hyperlink>
    </w:p>
    <w:p w:rsidR="007C38E6" w:rsidRDefault="007C38E6" w:rsidP="007C38E6">
      <w:pPr>
        <w:pStyle w:val="a0"/>
        <w:rPr>
          <w:kern w:val="0"/>
          <w:szCs w:val="24"/>
        </w:rPr>
      </w:pPr>
      <w:r>
        <w:rPr>
          <w:kern w:val="0"/>
          <w:szCs w:val="24"/>
        </w:rPr>
        <w:t>Abstract: A cellulose-based anion exchanger (Cell-AE) bearing the -N+HR</w:t>
      </w:r>
      <w:r w:rsidRPr="00634676">
        <w:rPr>
          <w:kern w:val="0"/>
          <w:szCs w:val="24"/>
          <w:vertAlign w:val="subscript"/>
        </w:rPr>
        <w:t>2</w:t>
      </w:r>
      <w:r>
        <w:rPr>
          <w:kern w:val="0"/>
          <w:szCs w:val="24"/>
        </w:rPr>
        <w:t>Cl</w:t>
      </w:r>
      <w:r w:rsidRPr="00634676">
        <w:rPr>
          <w:kern w:val="0"/>
          <w:szCs w:val="24"/>
          <w:vertAlign w:val="superscript"/>
        </w:rPr>
        <w:t>-</w:t>
      </w:r>
      <w:r>
        <w:rPr>
          <w:kern w:val="0"/>
          <w:szCs w:val="24"/>
        </w:rPr>
        <w:t xml:space="preserve"> functional group was prepared through graft copolymerization of glycidyl methacrylate onto cellulose (Cell) in the presence of N,N</w:t>
      </w:r>
      <w:r w:rsidR="000352E7">
        <w:rPr>
          <w:kern w:val="0"/>
          <w:szCs w:val="24"/>
        </w:rPr>
        <w:t>’</w:t>
      </w:r>
      <w:r>
        <w:rPr>
          <w:kern w:val="0"/>
          <w:szCs w:val="24"/>
        </w:rPr>
        <w:t>-methylenebisacrylamide as a cross-linker using benzoyl peroxide as the initiator, followed by amination</w:t>
      </w:r>
      <w:r w:rsidR="00F81221">
        <w:rPr>
          <w:kern w:val="0"/>
          <w:szCs w:val="24"/>
        </w:rPr>
        <w:t xml:space="preserve"> and </w:t>
      </w:r>
      <w:r>
        <w:rPr>
          <w:kern w:val="0"/>
          <w:szCs w:val="24"/>
        </w:rPr>
        <w:t>hydrochloric acid treatment. The adsorbent was characterized by infrared spectroscopy, scanning electron microscopy, surface area analysis, thermogravimetry,</w:t>
      </w:r>
      <w:r w:rsidR="00F81221">
        <w:rPr>
          <w:kern w:val="0"/>
          <w:szCs w:val="24"/>
        </w:rPr>
        <w:t xml:space="preserve"> and </w:t>
      </w:r>
      <w:r>
        <w:rPr>
          <w:kern w:val="0"/>
          <w:szCs w:val="24"/>
        </w:rPr>
        <w:t>potentiometric titrations. Batch experiments were performed to evaluate the adsorption efficiency of Cell-AE toward V(V) ions in aqueous solutions. The maximum removal was observed in the pH range of 4.0-6.0. The adsorption process achieved more than 99.6% V(V) removal from an initial concentration of 25.0 mg/L. Adsorption kinetic data were described by pseudo-second-order equation. The equilibrium data fitted very well with the Langmuir model,</w:t>
      </w:r>
      <w:r w:rsidR="00F81221">
        <w:rPr>
          <w:kern w:val="0"/>
          <w:szCs w:val="24"/>
        </w:rPr>
        <w:t xml:space="preserve"> and </w:t>
      </w:r>
      <w:r>
        <w:rPr>
          <w:kern w:val="0"/>
          <w:szCs w:val="24"/>
        </w:rPr>
        <w:t>the maximum adsorption capacity of Cell-AE toward V(V) was found to be 197.75 mg/g at 30 degrees C. Over 96.0% desorption of V(V) was achieved with 0.1 M NaOH solution.</w:t>
      </w:r>
    </w:p>
    <w:p w:rsidR="007C38E6" w:rsidRDefault="007C38E6" w:rsidP="007C38E6">
      <w:pPr>
        <w:pStyle w:val="a0"/>
        <w:rPr>
          <w:kern w:val="0"/>
          <w:szCs w:val="24"/>
        </w:rPr>
      </w:pPr>
      <w:r>
        <w:rPr>
          <w:kern w:val="0"/>
          <w:szCs w:val="24"/>
        </w:rPr>
        <w:t xml:space="preserve">Keywords: Acid Treatment, Acid-Treatment, Activated Carbon, Adsorbent, Adsorption, Adsorption Capacity, Adsorption Efficiency, Adsorption Kinetic, Adsorption Process, Amination, Analysis, Aqueous Solutions, By-Products, Capacity, Cellulose, Chelating Resin, Chitosan, Chromium(III), Concentration, Copolymerization, Data, Desorption, Efficiency, Electron Microscopy, Equilibrium, Experiments, Functional Group, Glycidyl Methacrylate, Graft, Graft Copolymerization, Graft-Copolymers, Group, Infrared, Infrared Spectroscopy, Ions, Kinetic, Kinetics, Langmuir, Langmuir Model, Lignocellulosic Residue, Metal-Ions, Microscopy, Model, NAOH, </w:t>
      </w:r>
      <w:r>
        <w:rPr>
          <w:rFonts w:hint="eastAsia"/>
          <w:kern w:val="0"/>
          <w:szCs w:val="24"/>
        </w:rPr>
        <w:t>p</w:t>
      </w:r>
      <w:r>
        <w:rPr>
          <w:kern w:val="0"/>
          <w:szCs w:val="24"/>
        </w:rPr>
        <w:t xml:space="preserve">H, Process, Pseudo Second Order, Pseudo-Second-Order, Pseudo-Second-Order Equation, Recovery, Removal, Scanning Electron Microscopy, Solution, Solutions, </w:t>
      </w:r>
      <w:r>
        <w:rPr>
          <w:kern w:val="0"/>
          <w:szCs w:val="24"/>
        </w:rPr>
        <w:lastRenderedPageBreak/>
        <w:t>Spectroscopy, Surface, Surface Area, Thermogravimetry, Treatment</w:t>
      </w:r>
    </w:p>
    <w:p w:rsidR="007C38E6" w:rsidRDefault="007C38E6" w:rsidP="007C38E6">
      <w:pPr>
        <w:pStyle w:val="a0"/>
        <w:rPr>
          <w:kern w:val="0"/>
        </w:rPr>
      </w:pPr>
      <w:r>
        <w:rPr>
          <w:rFonts w:hint="eastAsia"/>
          <w:kern w:val="0"/>
        </w:rPr>
        <w:t xml:space="preserve">? </w:t>
      </w:r>
      <w:r>
        <w:rPr>
          <w:kern w:val="0"/>
        </w:rPr>
        <w:t>Gupta, N., Prasad, M., Singhal, N.</w:t>
      </w:r>
      <w:r w:rsidR="00F81221">
        <w:rPr>
          <w:kern w:val="0"/>
        </w:rPr>
        <w:t xml:space="preserve"> and </w:t>
      </w:r>
      <w:r>
        <w:rPr>
          <w:kern w:val="0"/>
        </w:rPr>
        <w:t xml:space="preserve">Kumar, V. (2009), Modeling the Adsorption Kinetics of Divalent Metal Ions onto Pyrophyllite Using the Integral Method. </w:t>
      </w:r>
      <w:r>
        <w:rPr>
          <w:i/>
          <w:iCs/>
          <w:kern w:val="0"/>
        </w:rPr>
        <w:t>Industrial &amp; Engineering Chemistry Research</w:t>
      </w:r>
      <w:r>
        <w:rPr>
          <w:kern w:val="0"/>
        </w:rPr>
        <w:t xml:space="preserve">, </w:t>
      </w:r>
      <w:r>
        <w:rPr>
          <w:b/>
          <w:bCs/>
          <w:kern w:val="0"/>
        </w:rPr>
        <w:t>48</w:t>
      </w:r>
      <w:r>
        <w:rPr>
          <w:kern w:val="0"/>
        </w:rPr>
        <w:t xml:space="preserve"> (4), 2125-2128.</w:t>
      </w:r>
    </w:p>
    <w:p w:rsidR="007C38E6" w:rsidRDefault="007C38E6" w:rsidP="007C38E6">
      <w:pPr>
        <w:pStyle w:val="a0"/>
        <w:rPr>
          <w:kern w:val="0"/>
        </w:rPr>
      </w:pPr>
      <w:r>
        <w:rPr>
          <w:rFonts w:hint="eastAsia"/>
          <w:kern w:val="0"/>
        </w:rPr>
        <w:t>Full Text:</w:t>
      </w:r>
      <w:r w:rsidRPr="00CB4EBB">
        <w:t xml:space="preserve"> </w:t>
      </w:r>
      <w:hyperlink r:id="rId1290" w:history="1">
        <w:r w:rsidRPr="00DF6571">
          <w:rPr>
            <w:rStyle w:val="a5"/>
          </w:rPr>
          <w:t>2009\Ind Eng Che Res48, 2125.pdf</w:t>
        </w:r>
      </w:hyperlink>
    </w:p>
    <w:p w:rsidR="007C38E6" w:rsidRDefault="007C38E6" w:rsidP="007C38E6">
      <w:pPr>
        <w:pStyle w:val="a0"/>
        <w:rPr>
          <w:kern w:val="0"/>
        </w:rPr>
      </w:pPr>
      <w:r>
        <w:rPr>
          <w:kern w:val="0"/>
        </w:rPr>
        <w:t>Abstract: The adsorption system was modeled</w:t>
      </w:r>
      <w:r w:rsidR="00F81221">
        <w:rPr>
          <w:kern w:val="0"/>
        </w:rPr>
        <w:t xml:space="preserve"> and </w:t>
      </w:r>
      <w:r>
        <w:rPr>
          <w:kern w:val="0"/>
        </w:rPr>
        <w:t>simulated to predict kinetic parameters for the adsorption of metal cations (lead, copper,</w:t>
      </w:r>
      <w:r w:rsidR="00F81221">
        <w:rPr>
          <w:kern w:val="0"/>
        </w:rPr>
        <w:t xml:space="preserve"> and </w:t>
      </w:r>
      <w:r>
        <w:rPr>
          <w:kern w:val="0"/>
        </w:rPr>
        <w:t>zinc) onto pyrophyllite, a low-cost adsorbent. The developed nonlinear sorption kinetic (NSK) mathematical model was solved using numerical integration (trapezoidal method), the gradient descent method,</w:t>
      </w:r>
      <w:r w:rsidR="00F81221">
        <w:rPr>
          <w:kern w:val="0"/>
        </w:rPr>
        <w:t xml:space="preserve"> and </w:t>
      </w:r>
      <w:r>
        <w:rPr>
          <w:kern w:val="0"/>
        </w:rPr>
        <w:t>least-squares analysis. It was based on application of the Freundlich isotherm to mass transfer across the film surrounding the adsorbent. Batch adsorption experiments were carried out for cation concentrations varying from 5.0 to 100.0 mg L</w:t>
      </w:r>
      <w:r w:rsidRPr="005305DC">
        <w:rPr>
          <w:kern w:val="0"/>
          <w:vertAlign w:val="superscript"/>
        </w:rPr>
        <w:t>-1</w:t>
      </w:r>
      <w:r>
        <w:rPr>
          <w:kern w:val="0"/>
        </w:rPr>
        <w:t>. Code was developed in C language both for numerically integrating the model equation</w:t>
      </w:r>
      <w:r w:rsidR="00F81221">
        <w:rPr>
          <w:kern w:val="0"/>
        </w:rPr>
        <w:t xml:space="preserve"> and </w:t>
      </w:r>
      <w:r>
        <w:rPr>
          <w:kern w:val="0"/>
        </w:rPr>
        <w:t>for obtaining the best simulated values of the Freundlich constants, K</w:t>
      </w:r>
      <w:r w:rsidR="00F81221">
        <w:rPr>
          <w:kern w:val="0"/>
        </w:rPr>
        <w:t xml:space="preserve"> and </w:t>
      </w:r>
      <w:r>
        <w:rPr>
          <w:kern w:val="0"/>
        </w:rPr>
        <w:t>N; the order of reaction, n;</w:t>
      </w:r>
      <w:r w:rsidR="00F81221">
        <w:rPr>
          <w:kern w:val="0"/>
        </w:rPr>
        <w:t xml:space="preserve"> and </w:t>
      </w:r>
      <w:r>
        <w:rPr>
          <w:kern w:val="0"/>
        </w:rPr>
        <w:t>the film transfer coefficient, alpha. The model was sensitive to parameters alpha, n,</w:t>
      </w:r>
      <w:r w:rsidR="00F81221">
        <w:rPr>
          <w:kern w:val="0"/>
        </w:rPr>
        <w:t xml:space="preserve"> and </w:t>
      </w:r>
      <w:r>
        <w:rPr>
          <w:kern w:val="0"/>
        </w:rPr>
        <w:t>N, whereas it is insensitive to K. The values of parameters N, n,</w:t>
      </w:r>
      <w:r w:rsidR="00F81221">
        <w:rPr>
          <w:kern w:val="0"/>
        </w:rPr>
        <w:t xml:space="preserve"> and </w:t>
      </w:r>
      <w:r>
        <w:rPr>
          <w:kern w:val="0"/>
        </w:rPr>
        <w:t>a lie in the ranges of 0.185-2.06, 0.943-1.341,</w:t>
      </w:r>
      <w:r w:rsidR="00F81221">
        <w:rPr>
          <w:kern w:val="0"/>
        </w:rPr>
        <w:t xml:space="preserve"> and </w:t>
      </w:r>
      <w:r>
        <w:rPr>
          <w:kern w:val="0"/>
        </w:rPr>
        <w:t>0.009-0.113 [(L/mg)(n</w:t>
      </w:r>
      <w:r w:rsidRPr="005305DC">
        <w:rPr>
          <w:kern w:val="0"/>
          <w:vertAlign w:val="superscript"/>
        </w:rPr>
        <w:t>-1</w:t>
      </w:r>
      <w:r>
        <w:rPr>
          <w:kern w:val="0"/>
        </w:rPr>
        <w:t>) min</w:t>
      </w:r>
      <w:r>
        <w:rPr>
          <w:rFonts w:hint="eastAsia"/>
          <w:kern w:val="0"/>
          <w:vertAlign w:val="superscript"/>
        </w:rPr>
        <w:t>-1</w:t>
      </w:r>
      <w:r>
        <w:rPr>
          <w:kern w:val="0"/>
        </w:rPr>
        <w:t>], respectively, under different experimental conditions.</w:t>
      </w:r>
    </w:p>
    <w:p w:rsidR="007C38E6" w:rsidRDefault="007C38E6" w:rsidP="007C38E6">
      <w:pPr>
        <w:pStyle w:val="a0"/>
        <w:rPr>
          <w:kern w:val="0"/>
        </w:rPr>
      </w:pPr>
      <w:r>
        <w:rPr>
          <w:kern w:val="0"/>
        </w:rPr>
        <w:t>Keywords: Adsorption, Aqueous-Solutions, Cadmium, Cu</w:t>
      </w:r>
      <w:r w:rsidRPr="005305DC">
        <w:rPr>
          <w:kern w:val="0"/>
          <w:vertAlign w:val="superscript"/>
        </w:rPr>
        <w:t>2+</w:t>
      </w:r>
      <w:r>
        <w:rPr>
          <w:kern w:val="0"/>
        </w:rPr>
        <w:t>, Kinetics, Lead, Ni</w:t>
      </w:r>
      <w:r w:rsidRPr="005305DC">
        <w:rPr>
          <w:kern w:val="0"/>
          <w:vertAlign w:val="superscript"/>
        </w:rPr>
        <w:t>2+</w:t>
      </w:r>
      <w:r>
        <w:rPr>
          <w:kern w:val="0"/>
        </w:rPr>
        <w:t>, Pb(II), Removal, Sorption Kinetics, Surface, Zinc</w:t>
      </w:r>
    </w:p>
    <w:p w:rsidR="007C38E6" w:rsidRDefault="007C38E6" w:rsidP="007C38E6">
      <w:pPr>
        <w:pStyle w:val="a0"/>
        <w:rPr>
          <w:kern w:val="0"/>
        </w:rPr>
      </w:pPr>
      <w:r>
        <w:rPr>
          <w:rFonts w:hint="eastAsia"/>
          <w:kern w:val="0"/>
        </w:rPr>
        <w:t xml:space="preserve">? </w:t>
      </w:r>
      <w:r>
        <w:rPr>
          <w:kern w:val="0"/>
        </w:rPr>
        <w:t>Cavus, S.</w:t>
      </w:r>
      <w:r w:rsidR="00F81221">
        <w:rPr>
          <w:kern w:val="0"/>
        </w:rPr>
        <w:t xml:space="preserve"> and </w:t>
      </w:r>
      <w:r>
        <w:rPr>
          <w:kern w:val="0"/>
        </w:rPr>
        <w:t xml:space="preserve">Gurdag, G. (2009), Noncompetitive Removal of Heavy Metal Ions from Aqueous Solutions by Poly[2-(acrylamido)-2-methyl-1-propanesulfonic acid-co-itaconic acid] Hydrogel. </w:t>
      </w:r>
      <w:r>
        <w:rPr>
          <w:i/>
          <w:iCs/>
          <w:kern w:val="0"/>
        </w:rPr>
        <w:t>Industrial &amp; Engineering Chemistry Research</w:t>
      </w:r>
      <w:r>
        <w:rPr>
          <w:kern w:val="0"/>
        </w:rPr>
        <w:t xml:space="preserve">, </w:t>
      </w:r>
      <w:r>
        <w:rPr>
          <w:b/>
          <w:bCs/>
          <w:kern w:val="0"/>
        </w:rPr>
        <w:t>48</w:t>
      </w:r>
      <w:r>
        <w:rPr>
          <w:kern w:val="0"/>
        </w:rPr>
        <w:t xml:space="preserve"> (5), 2652-2658.</w:t>
      </w:r>
    </w:p>
    <w:p w:rsidR="007C38E6" w:rsidRDefault="007C38E6" w:rsidP="007C38E6">
      <w:pPr>
        <w:pStyle w:val="a0"/>
        <w:rPr>
          <w:kern w:val="0"/>
        </w:rPr>
      </w:pPr>
      <w:r>
        <w:rPr>
          <w:rFonts w:hint="eastAsia"/>
          <w:kern w:val="0"/>
        </w:rPr>
        <w:t>Full Text:</w:t>
      </w:r>
      <w:r w:rsidRPr="00CB4EBB">
        <w:t xml:space="preserve"> </w:t>
      </w:r>
      <w:hyperlink r:id="rId1291" w:history="1">
        <w:r w:rsidRPr="00CB4EBB">
          <w:rPr>
            <w:rStyle w:val="a5"/>
          </w:rPr>
          <w:t>2009\Ind Eng Che Res48, 2652.pdf</w:t>
        </w:r>
      </w:hyperlink>
    </w:p>
    <w:p w:rsidR="007C38E6" w:rsidRDefault="007C38E6" w:rsidP="007C38E6">
      <w:pPr>
        <w:pStyle w:val="a0"/>
        <w:rPr>
          <w:kern w:val="0"/>
        </w:rPr>
      </w:pPr>
      <w:r>
        <w:rPr>
          <w:kern w:val="0"/>
        </w:rPr>
        <w:t>Abstract: Noncompetitive removal of Pb</w:t>
      </w:r>
      <w:r w:rsidRPr="008F0A68">
        <w:rPr>
          <w:kern w:val="0"/>
          <w:vertAlign w:val="superscript"/>
        </w:rPr>
        <w:t>2+</w:t>
      </w:r>
      <w:r>
        <w:rPr>
          <w:kern w:val="0"/>
        </w:rPr>
        <w:t>, Cu</w:t>
      </w:r>
      <w:r w:rsidRPr="008F0A68">
        <w:rPr>
          <w:kern w:val="0"/>
          <w:vertAlign w:val="superscript"/>
        </w:rPr>
        <w:t>2+</w:t>
      </w:r>
      <w:r>
        <w:rPr>
          <w:kern w:val="0"/>
        </w:rPr>
        <w:t>,</w:t>
      </w:r>
      <w:r w:rsidR="00F81221">
        <w:rPr>
          <w:kern w:val="0"/>
        </w:rPr>
        <w:t xml:space="preserve"> and </w:t>
      </w:r>
      <w:r>
        <w:rPr>
          <w:kern w:val="0"/>
        </w:rPr>
        <w:t>Cd</w:t>
      </w:r>
      <w:r w:rsidRPr="00103252">
        <w:rPr>
          <w:kern w:val="0"/>
          <w:vertAlign w:val="superscript"/>
        </w:rPr>
        <w:t>2+</w:t>
      </w:r>
      <w:r>
        <w:rPr>
          <w:kern w:val="0"/>
        </w:rPr>
        <w:t xml:space="preserve"> ions from aqueous solutions by the copolymer of 2-(acrylamido)-2-methyl-1-propanesulfonic acid with itaconic acid</w:t>
      </w:r>
      <w:r w:rsidR="00F81221">
        <w:rPr>
          <w:kern w:val="0"/>
        </w:rPr>
        <w:t xml:space="preserve"> and </w:t>
      </w:r>
      <w:r>
        <w:rPr>
          <w:kern w:val="0"/>
        </w:rPr>
        <w:t>its homopolymer poly [2-(acrylamido)2-methyl-1-propanesulfonic acid] was investigated. Both poly[2-(acrylamido)-2-methyl-1-propanesulforlic acid]</w:t>
      </w:r>
      <w:r w:rsidR="00F81221">
        <w:rPr>
          <w:kern w:val="0"/>
        </w:rPr>
        <w:t xml:space="preserve"> and </w:t>
      </w:r>
      <w:r>
        <w:rPr>
          <w:kern w:val="0"/>
        </w:rPr>
        <w:t>poly[2-(acrylamido)-2-methyl-1-propanesulfonic acid-co-itaconic acid] removed the maximum</w:t>
      </w:r>
      <w:r w:rsidR="00F81221">
        <w:rPr>
          <w:kern w:val="0"/>
        </w:rPr>
        <w:t xml:space="preserve"> and </w:t>
      </w:r>
      <w:r>
        <w:rPr>
          <w:kern w:val="0"/>
        </w:rPr>
        <w:t>same amounts (1.74 mmol Pb</w:t>
      </w:r>
      <w:r w:rsidRPr="00103252">
        <w:rPr>
          <w:kern w:val="0"/>
          <w:vertAlign w:val="superscript"/>
        </w:rPr>
        <w:t>2+</w:t>
      </w:r>
      <w:r>
        <w:rPr>
          <w:kern w:val="0"/>
        </w:rPr>
        <w:t>/g polymer) of Pb</w:t>
      </w:r>
      <w:r w:rsidRPr="00103252">
        <w:rPr>
          <w:kern w:val="0"/>
          <w:vertAlign w:val="superscript"/>
        </w:rPr>
        <w:t>2+</w:t>
      </w:r>
      <w:r>
        <w:rPr>
          <w:kern w:val="0"/>
        </w:rPr>
        <w:t xml:space="preserve"> ion among the ions investigated in this work. The equilibrium swelling values of poly (2-(acryl amido)-2-methyl-1-propanesulfonic acid]</w:t>
      </w:r>
      <w:r w:rsidR="00F81221">
        <w:rPr>
          <w:kern w:val="0"/>
        </w:rPr>
        <w:t xml:space="preserve"> and </w:t>
      </w:r>
      <w:r>
        <w:rPr>
          <w:kern w:val="0"/>
        </w:rPr>
        <w:t xml:space="preserve">poly [2-(acrylamido)-2-methyl-1-propanesulfonic acid-co-itaconic acid] showed that the swelling of the copolymer is dominated by its completely ionizable constituent 2-(acrylamido)-2-methyl-1-propanesulfonic acid. Although the incorporation of itaconic acid into poly [2-(acrylamido)-2-methyl-1-propane sulfonic acid] did not affect the removal rates of poly [2-(acrylamido)-2-methyl-1-propanesulfonic </w:t>
      </w:r>
      <w:r>
        <w:rPr>
          <w:kern w:val="0"/>
        </w:rPr>
        <w:lastRenderedPageBreak/>
        <w:t>acid-co-itaconic acid] for Pb</w:t>
      </w:r>
      <w:r w:rsidRPr="00CB4EBB">
        <w:rPr>
          <w:kern w:val="0"/>
          <w:vertAlign w:val="superscript"/>
        </w:rPr>
        <w:t>2+</w:t>
      </w:r>
      <w:r w:rsidR="00F81221">
        <w:rPr>
          <w:kern w:val="0"/>
        </w:rPr>
        <w:t xml:space="preserve"> and </w:t>
      </w:r>
      <w:r>
        <w:rPr>
          <w:kern w:val="0"/>
        </w:rPr>
        <w:t>Cd</w:t>
      </w:r>
      <w:r w:rsidRPr="00CB4EBB">
        <w:rPr>
          <w:kern w:val="0"/>
          <w:vertAlign w:val="superscript"/>
        </w:rPr>
        <w:t>2+</w:t>
      </w:r>
      <w:r>
        <w:rPr>
          <w:kern w:val="0"/>
        </w:rPr>
        <w:t xml:space="preserve"> ions, it considerably enhanced the removal rates of the copolymer for the Cu2+ ion. The trends in the single-ion sorption of ions on poly [2-(acrylamido)-2-methyl-1-propanesulfonic acid]</w:t>
      </w:r>
      <w:r w:rsidR="00F81221">
        <w:rPr>
          <w:kern w:val="0"/>
        </w:rPr>
        <w:t xml:space="preserve"> and </w:t>
      </w:r>
      <w:r>
        <w:rPr>
          <w:kern w:val="0"/>
        </w:rPr>
        <w:t>poly [2-(acrylamido)-2-methyl-1-propanesulfonic acid-co-itaconic acid] followed the orders Pb</w:t>
      </w:r>
      <w:r w:rsidRPr="00103252">
        <w:rPr>
          <w:kern w:val="0"/>
          <w:vertAlign w:val="superscript"/>
        </w:rPr>
        <w:t>2+</w:t>
      </w:r>
      <w:r>
        <w:rPr>
          <w:kern w:val="0"/>
        </w:rPr>
        <w:t xml:space="preserve"> &gt; Cd</w:t>
      </w:r>
      <w:r w:rsidRPr="00103252">
        <w:rPr>
          <w:kern w:val="0"/>
          <w:vertAlign w:val="superscript"/>
        </w:rPr>
        <w:t>2+</w:t>
      </w:r>
      <w:r>
        <w:rPr>
          <w:kern w:val="0"/>
        </w:rPr>
        <w:t xml:space="preserve"> &gt; Cu</w:t>
      </w:r>
      <w:r w:rsidRPr="00103252">
        <w:rPr>
          <w:kern w:val="0"/>
          <w:vertAlign w:val="superscript"/>
        </w:rPr>
        <w:t>2+</w:t>
      </w:r>
      <w:r w:rsidR="00F81221">
        <w:rPr>
          <w:kern w:val="0"/>
        </w:rPr>
        <w:t xml:space="preserve"> and </w:t>
      </w:r>
      <w:r>
        <w:rPr>
          <w:kern w:val="0"/>
        </w:rPr>
        <w:t>Pb</w:t>
      </w:r>
      <w:r w:rsidRPr="00103252">
        <w:rPr>
          <w:kern w:val="0"/>
          <w:vertAlign w:val="superscript"/>
        </w:rPr>
        <w:t>2+</w:t>
      </w:r>
      <w:r>
        <w:rPr>
          <w:kern w:val="0"/>
        </w:rPr>
        <w:t xml:space="preserve"> &gt; Cu</w:t>
      </w:r>
      <w:r w:rsidRPr="00103252">
        <w:rPr>
          <w:kern w:val="0"/>
          <w:vertAlign w:val="superscript"/>
        </w:rPr>
        <w:t>2+</w:t>
      </w:r>
      <w:r>
        <w:rPr>
          <w:kern w:val="0"/>
        </w:rPr>
        <w:t xml:space="preserve"> &gt; Cd</w:t>
      </w:r>
      <w:r w:rsidRPr="00103252">
        <w:rPr>
          <w:kern w:val="0"/>
          <w:vertAlign w:val="superscript"/>
        </w:rPr>
        <w:t>2+</w:t>
      </w:r>
      <w:r>
        <w:rPr>
          <w:kern w:val="0"/>
        </w:rPr>
        <w:t xml:space="preserve"> respectively. Noncompetitive adsorption profiles of Pb</w:t>
      </w:r>
      <w:r w:rsidRPr="00103252">
        <w:rPr>
          <w:kern w:val="0"/>
          <w:vertAlign w:val="superscript"/>
        </w:rPr>
        <w:t>2+</w:t>
      </w:r>
      <w:r>
        <w:rPr>
          <w:kern w:val="0"/>
        </w:rPr>
        <w:t>, Cu</w:t>
      </w:r>
      <w:r w:rsidRPr="00103252">
        <w:rPr>
          <w:kern w:val="0"/>
          <w:vertAlign w:val="superscript"/>
        </w:rPr>
        <w:t>2+</w:t>
      </w:r>
      <w:r>
        <w:rPr>
          <w:kern w:val="0"/>
        </w:rPr>
        <w:t>,</w:t>
      </w:r>
      <w:r w:rsidR="00F81221">
        <w:rPr>
          <w:kern w:val="0"/>
        </w:rPr>
        <w:t xml:space="preserve"> and </w:t>
      </w:r>
      <w:r>
        <w:rPr>
          <w:kern w:val="0"/>
        </w:rPr>
        <w:t>Cd</w:t>
      </w:r>
      <w:r w:rsidRPr="00103252">
        <w:rPr>
          <w:kern w:val="0"/>
          <w:vertAlign w:val="superscript"/>
        </w:rPr>
        <w:t>2+</w:t>
      </w:r>
      <w:r>
        <w:rPr>
          <w:kern w:val="0"/>
        </w:rPr>
        <w:t xml:space="preserve"> ions on both polymers were demonstrated to fit the pseudo-second-order-type kinetics.</w:t>
      </w:r>
    </w:p>
    <w:p w:rsidR="007C38E6" w:rsidRDefault="007C38E6" w:rsidP="007C38E6">
      <w:pPr>
        <w:pStyle w:val="a0"/>
        <w:rPr>
          <w:kern w:val="0"/>
        </w:rPr>
      </w:pPr>
      <w:r>
        <w:rPr>
          <w:kern w:val="0"/>
        </w:rPr>
        <w:t>Keywords: Acrylamide, Acrylic-Acid, Adsorption Properties, Chitosan, Competitive Removal, Free-Radical Copolymerization, Mechanism, Poly(Acrylic Acid), Sulfonic-Acid, Water</w:t>
      </w:r>
    </w:p>
    <w:p w:rsidR="0062211A" w:rsidRDefault="0062211A" w:rsidP="0062211A">
      <w:pPr>
        <w:pStyle w:val="a0"/>
        <w:rPr>
          <w:kern w:val="0"/>
        </w:rPr>
      </w:pPr>
      <w:r>
        <w:rPr>
          <w:rFonts w:hint="eastAsia"/>
          <w:kern w:val="0"/>
        </w:rPr>
        <w:t xml:space="preserve">? </w:t>
      </w:r>
      <w:r>
        <w:rPr>
          <w:kern w:val="0"/>
        </w:rPr>
        <w:t>Oladoja, N.A., Aboluwoye, C.O.</w:t>
      </w:r>
      <w:r w:rsidR="00F81221">
        <w:rPr>
          <w:kern w:val="0"/>
        </w:rPr>
        <w:t xml:space="preserve"> and </w:t>
      </w:r>
      <w:r>
        <w:rPr>
          <w:kern w:val="0"/>
        </w:rPr>
        <w:t xml:space="preserve">Akinkugbe, A.O. (2009), Evaluation of loofah as a sorbent in the decolorization of basic dye contaminated aqueous system. </w:t>
      </w:r>
      <w:r>
        <w:rPr>
          <w:i/>
          <w:iCs/>
          <w:kern w:val="0"/>
        </w:rPr>
        <w:t>Industrial &amp; Engineering Chemistry Research</w:t>
      </w:r>
      <w:r>
        <w:rPr>
          <w:kern w:val="0"/>
        </w:rPr>
        <w:t xml:space="preserve">, </w:t>
      </w:r>
      <w:r>
        <w:rPr>
          <w:b/>
          <w:bCs/>
          <w:kern w:val="0"/>
        </w:rPr>
        <w:t>48</w:t>
      </w:r>
      <w:r>
        <w:rPr>
          <w:kern w:val="0"/>
        </w:rPr>
        <w:t xml:space="preserve"> (6), 2786-2794.</w:t>
      </w:r>
    </w:p>
    <w:p w:rsidR="0062211A" w:rsidRDefault="0062211A" w:rsidP="0062211A">
      <w:pPr>
        <w:pStyle w:val="a0"/>
        <w:rPr>
          <w:kern w:val="0"/>
        </w:rPr>
      </w:pPr>
      <w:r>
        <w:rPr>
          <w:rFonts w:hint="eastAsia"/>
          <w:kern w:val="0"/>
        </w:rPr>
        <w:t xml:space="preserve">Full Text: </w:t>
      </w:r>
      <w:hyperlink r:id="rId1292" w:history="1">
        <w:r w:rsidRPr="005D13C2">
          <w:rPr>
            <w:rStyle w:val="a5"/>
            <w:kern w:val="0"/>
          </w:rPr>
          <w:t>2009\Ind Eng Che Res48, 2786.pdf</w:t>
        </w:r>
      </w:hyperlink>
    </w:p>
    <w:p w:rsidR="0062211A" w:rsidRDefault="0062211A" w:rsidP="0062211A">
      <w:pPr>
        <w:pStyle w:val="a0"/>
        <w:rPr>
          <w:kern w:val="0"/>
        </w:rPr>
      </w:pPr>
      <w:r>
        <w:rPr>
          <w:kern w:val="0"/>
        </w:rPr>
        <w:t>Abstract: The hard fibrovascular network of the fruit of Luffa cylindrica, loofah, was used in a batch sorption system to remove methylene blue (MB) from aqueous solution. The effects of pH on the sorption of MB by loofah were studied using equilibrium isotherm experiment. The Langmuir sorption capacity (</w:t>
      </w:r>
      <w:r w:rsidRPr="00AC6E1A">
        <w:rPr>
          <w:i/>
          <w:kern w:val="0"/>
        </w:rPr>
        <w:t>q</w:t>
      </w:r>
      <w:r>
        <w:rPr>
          <w:rFonts w:hint="eastAsia"/>
          <w:kern w:val="0"/>
          <w:vertAlign w:val="subscript"/>
        </w:rPr>
        <w:t>m</w:t>
      </w:r>
      <w:r>
        <w:rPr>
          <w:kern w:val="0"/>
        </w:rPr>
        <w:t>, mg/g) of the loofah increased with increase in pH. The Freundlich isotherm models favored the prediction of the theoretical sorption capacity more than the Langmuir isotherm models. The kinetics of the sorption process was studied at varying initial MB concentrations using pseudo-first-order</w:t>
      </w:r>
      <w:r w:rsidR="00F81221">
        <w:rPr>
          <w:kern w:val="0"/>
        </w:rPr>
        <w:t xml:space="preserve"> and </w:t>
      </w:r>
      <w:r>
        <w:rPr>
          <w:kern w:val="0"/>
        </w:rPr>
        <w:t>pseudo-second-order kinetic models. The pseudo-second-order kinetic model was found to fit the experimental data for the entire sorption period with high coefficient of determination (r</w:t>
      </w:r>
      <w:r>
        <w:rPr>
          <w:rFonts w:hint="eastAsia"/>
          <w:kern w:val="0"/>
          <w:vertAlign w:val="superscript"/>
        </w:rPr>
        <w:t>2</w:t>
      </w:r>
      <w:r>
        <w:rPr>
          <w:kern w:val="0"/>
        </w:rPr>
        <w:t>). The prospects of regenerating the loofah was studied using four different eluting solvents in batch desorption studies. The results of the batch desorption studies showed that both chemisorption</w:t>
      </w:r>
      <w:r w:rsidR="00F81221">
        <w:rPr>
          <w:kern w:val="0"/>
        </w:rPr>
        <w:t xml:space="preserve"> and </w:t>
      </w:r>
      <w:r>
        <w:rPr>
          <w:kern w:val="0"/>
        </w:rPr>
        <w:t>ion-exchange played prominent role in the sorption process. The elution curve obtained from the continuous desorption studies showed that the elution rate was very fast</w:t>
      </w:r>
      <w:r w:rsidR="00F81221">
        <w:rPr>
          <w:kern w:val="0"/>
        </w:rPr>
        <w:t xml:space="preserve"> and </w:t>
      </w:r>
      <w:r>
        <w:rPr>
          <w:kern w:val="0"/>
        </w:rPr>
        <w:t>high elution efficiency could be obtained with 0.1 M HCl as an eluting solvent. The IR analysis confirmed the presence of polar functional groups</w:t>
      </w:r>
      <w:r w:rsidR="00F81221">
        <w:rPr>
          <w:kern w:val="0"/>
        </w:rPr>
        <w:t xml:space="preserve"> and </w:t>
      </w:r>
      <w:r>
        <w:rPr>
          <w:kern w:val="0"/>
        </w:rPr>
        <w:t>established interactions between the MB molecules</w:t>
      </w:r>
      <w:r w:rsidR="00F81221">
        <w:rPr>
          <w:kern w:val="0"/>
        </w:rPr>
        <w:t xml:space="preserve"> and </w:t>
      </w:r>
      <w:r>
        <w:rPr>
          <w:kern w:val="0"/>
        </w:rPr>
        <w:t>these functional groups.</w:t>
      </w:r>
    </w:p>
    <w:p w:rsidR="0062211A" w:rsidRDefault="0062211A" w:rsidP="0062211A">
      <w:pPr>
        <w:pStyle w:val="a0"/>
        <w:rPr>
          <w:kern w:val="0"/>
        </w:rPr>
      </w:pPr>
      <w:r>
        <w:rPr>
          <w:kern w:val="0"/>
        </w:rPr>
        <w:t>Keywords: Adsorption, Biosorption, Equilibrium, Isotherm, Kinetics, Methylene Blue, Methylene-Blue, Removal, Sorption</w:t>
      </w:r>
    </w:p>
    <w:p w:rsidR="000F5ECB" w:rsidRDefault="000F5ECB" w:rsidP="000F5ECB">
      <w:pPr>
        <w:pStyle w:val="a0"/>
        <w:rPr>
          <w:kern w:val="0"/>
        </w:rPr>
      </w:pPr>
      <w:r>
        <w:rPr>
          <w:rFonts w:hint="eastAsia"/>
          <w:kern w:val="0"/>
        </w:rPr>
        <w:t xml:space="preserve">? </w:t>
      </w:r>
      <w:r>
        <w:rPr>
          <w:kern w:val="0"/>
        </w:rPr>
        <w:t>Feng, H.M., Zhang, S.J., Chen, Y.Z., Ding, Y.W., Yu, H.Q.</w:t>
      </w:r>
      <w:r w:rsidR="00F81221">
        <w:rPr>
          <w:kern w:val="0"/>
        </w:rPr>
        <w:t xml:space="preserve"> and </w:t>
      </w:r>
      <w:r>
        <w:rPr>
          <w:kern w:val="0"/>
        </w:rPr>
        <w:t>Lam, M.H.W. (2009), Fabrication</w:t>
      </w:r>
      <w:r w:rsidR="00F81221">
        <w:rPr>
          <w:kern w:val="0"/>
        </w:rPr>
        <w:t xml:space="preserve"> and </w:t>
      </w:r>
      <w:r>
        <w:rPr>
          <w:kern w:val="0"/>
        </w:rPr>
        <w:t xml:space="preserve">evaluation of mesoporous poly(vinyl alcohol)-based activated carbon fibers. </w:t>
      </w:r>
      <w:r>
        <w:rPr>
          <w:i/>
          <w:iCs/>
          <w:kern w:val="0"/>
        </w:rPr>
        <w:t>Industrial &amp; Engineering Chemistry Research</w:t>
      </w:r>
      <w:r>
        <w:rPr>
          <w:kern w:val="0"/>
        </w:rPr>
        <w:t xml:space="preserve">, </w:t>
      </w:r>
      <w:r>
        <w:rPr>
          <w:b/>
          <w:bCs/>
          <w:kern w:val="0"/>
        </w:rPr>
        <w:t>48</w:t>
      </w:r>
      <w:r>
        <w:rPr>
          <w:kern w:val="0"/>
        </w:rPr>
        <w:t xml:space="preserve"> (7), 3398-3402.</w:t>
      </w:r>
    </w:p>
    <w:p w:rsidR="000F5ECB" w:rsidRDefault="000F5ECB" w:rsidP="000F5ECB">
      <w:pPr>
        <w:pStyle w:val="a0"/>
        <w:rPr>
          <w:kern w:val="0"/>
        </w:rPr>
      </w:pPr>
      <w:r>
        <w:rPr>
          <w:rFonts w:hint="eastAsia"/>
          <w:kern w:val="0"/>
        </w:rPr>
        <w:t xml:space="preserve">Full Text: </w:t>
      </w:r>
      <w:hyperlink r:id="rId1293" w:history="1">
        <w:r w:rsidRPr="00C82CCC">
          <w:rPr>
            <w:rStyle w:val="a5"/>
            <w:kern w:val="0"/>
          </w:rPr>
          <w:t>2009\Ind Eng Che Res48, 3398.pdf</w:t>
        </w:r>
      </w:hyperlink>
    </w:p>
    <w:p w:rsidR="000F5ECB" w:rsidRDefault="000F5ECB" w:rsidP="000F5ECB">
      <w:pPr>
        <w:pStyle w:val="a0"/>
        <w:rPr>
          <w:kern w:val="0"/>
        </w:rPr>
      </w:pPr>
      <w:r>
        <w:rPr>
          <w:kern w:val="0"/>
        </w:rPr>
        <w:t xml:space="preserve">Abstract: Poly(vinyl alcohol)- (PVA-) based activated carbon fibers (ACFs) with a high </w:t>
      </w:r>
      <w:r>
        <w:rPr>
          <w:kern w:val="0"/>
        </w:rPr>
        <w:lastRenderedPageBreak/>
        <w:t>mesoporosity have been fabricated. The surface area</w:t>
      </w:r>
      <w:r w:rsidR="00F81221">
        <w:rPr>
          <w:kern w:val="0"/>
        </w:rPr>
        <w:t xml:space="preserve"> and </w:t>
      </w:r>
      <w:r>
        <w:rPr>
          <w:kern w:val="0"/>
        </w:rPr>
        <w:t>pore size distribution were fine-tuned by the careful control of the activation temperature</w:t>
      </w:r>
      <w:r w:rsidR="00F81221">
        <w:rPr>
          <w:kern w:val="0"/>
        </w:rPr>
        <w:t xml:space="preserve"> and </w:t>
      </w:r>
      <w:r>
        <w:rPr>
          <w:kern w:val="0"/>
        </w:rPr>
        <w:t>time. A mesopore volume fraction of 66% was obtained by activation at 1173 K for 120 min or 1273 K for 90 min. Raman spectroscopy revealed that more defect sites in the graphitic structure were found in samples with higher mesoporosity. Adsorption experiments demonstrated that the PVA-ACFs exhibited good adsorption capacities for both small-molecular-size iodine</w:t>
      </w:r>
      <w:r w:rsidR="00F81221">
        <w:rPr>
          <w:kern w:val="0"/>
        </w:rPr>
        <w:t xml:space="preserve"> and </w:t>
      </w:r>
      <w:r>
        <w:rPr>
          <w:kern w:val="0"/>
        </w:rPr>
        <w:t>the larger-size methylene blue, with adsorption capacities of up to 1934</w:t>
      </w:r>
      <w:r w:rsidR="00F81221">
        <w:rPr>
          <w:kern w:val="0"/>
        </w:rPr>
        <w:t xml:space="preserve"> and </w:t>
      </w:r>
      <w:r>
        <w:rPr>
          <w:kern w:val="0"/>
        </w:rPr>
        <w:t>709 mg/g, respectively. The adsorption kinetics of methylene blue on the PVA-ACFs was simulated by both a pseudo-second-order kinetic model</w:t>
      </w:r>
      <w:r w:rsidR="00F81221">
        <w:rPr>
          <w:kern w:val="0"/>
        </w:rPr>
        <w:t xml:space="preserve"> and </w:t>
      </w:r>
      <w:r>
        <w:rPr>
          <w:kern w:val="0"/>
        </w:rPr>
        <w:t>an intraparticle diffusion model. With an increase in mesoporosity, rate limitations on adsorption due to intraparticle diffusion were dramatically reduced. This resulted in an increase of up to a factor of 7 in the adsorption rate compared to that on microporous PVA-based ACFs.</w:t>
      </w:r>
    </w:p>
    <w:p w:rsidR="000F5ECB" w:rsidRDefault="000F5ECB" w:rsidP="000F5ECB">
      <w:pPr>
        <w:pStyle w:val="a0"/>
        <w:rPr>
          <w:kern w:val="0"/>
        </w:rPr>
      </w:pPr>
      <w:r>
        <w:rPr>
          <w:kern w:val="0"/>
        </w:rPr>
        <w:t>Keywords: Adsorption, Atrazine, Dyes, Equilibrium, Kinetics, Methylene-Blue, Model, Pore-Size, Rice-Husk, Sawdust</w:t>
      </w:r>
    </w:p>
    <w:p w:rsidR="006B7373" w:rsidRDefault="006B7373" w:rsidP="006B7373">
      <w:pPr>
        <w:pStyle w:val="a0"/>
        <w:rPr>
          <w:kern w:val="0"/>
        </w:rPr>
      </w:pPr>
      <w:r>
        <w:rPr>
          <w:rFonts w:hint="eastAsia"/>
          <w:kern w:val="0"/>
        </w:rPr>
        <w:t xml:space="preserve">? </w:t>
      </w:r>
      <w:r>
        <w:rPr>
          <w:kern w:val="0"/>
        </w:rPr>
        <w:t>Vijayaraghavan, K., Arun, M., Joshi, U.M.</w:t>
      </w:r>
      <w:r w:rsidR="00F81221">
        <w:rPr>
          <w:kern w:val="0"/>
        </w:rPr>
        <w:t xml:space="preserve"> and </w:t>
      </w:r>
      <w:r>
        <w:rPr>
          <w:kern w:val="0"/>
        </w:rPr>
        <w:t>Balasubramanian, R. (2009), Biosorption of As(V) onto the Shells of the Crab (</w:t>
      </w:r>
      <w:r w:rsidRPr="00C82CCC">
        <w:rPr>
          <w:i/>
          <w:kern w:val="0"/>
        </w:rPr>
        <w:t>Portunus sanguinolentus</w:t>
      </w:r>
      <w:r>
        <w:rPr>
          <w:kern w:val="0"/>
        </w:rPr>
        <w:t>): Equilibrium</w:t>
      </w:r>
      <w:r w:rsidR="00F81221">
        <w:rPr>
          <w:kern w:val="0"/>
        </w:rPr>
        <w:t xml:space="preserve"> and </w:t>
      </w:r>
      <w:r>
        <w:rPr>
          <w:kern w:val="0"/>
        </w:rPr>
        <w:t xml:space="preserve">Kinetic Studies. </w:t>
      </w:r>
      <w:r>
        <w:rPr>
          <w:i/>
          <w:iCs/>
          <w:kern w:val="0"/>
        </w:rPr>
        <w:t>Industrial &amp; Engineering Chemistry Research</w:t>
      </w:r>
      <w:r>
        <w:rPr>
          <w:kern w:val="0"/>
        </w:rPr>
        <w:t xml:space="preserve">, </w:t>
      </w:r>
      <w:r>
        <w:rPr>
          <w:b/>
          <w:bCs/>
          <w:kern w:val="0"/>
        </w:rPr>
        <w:t>48</w:t>
      </w:r>
      <w:r>
        <w:rPr>
          <w:kern w:val="0"/>
        </w:rPr>
        <w:t xml:space="preserve"> (7), 3589-3594.</w:t>
      </w:r>
    </w:p>
    <w:p w:rsidR="006B7373" w:rsidRDefault="006B7373" w:rsidP="006B7373">
      <w:pPr>
        <w:pStyle w:val="a0"/>
        <w:rPr>
          <w:kern w:val="0"/>
        </w:rPr>
      </w:pPr>
      <w:r>
        <w:rPr>
          <w:rFonts w:hint="eastAsia"/>
          <w:kern w:val="0"/>
        </w:rPr>
        <w:t xml:space="preserve">Full Text: </w:t>
      </w:r>
      <w:hyperlink r:id="rId1294" w:history="1">
        <w:r w:rsidRPr="00C82CCC">
          <w:rPr>
            <w:rStyle w:val="a5"/>
            <w:kern w:val="0"/>
          </w:rPr>
          <w:t>2009\Ind Eng Che Res48, 3589.pdf</w:t>
        </w:r>
      </w:hyperlink>
    </w:p>
    <w:p w:rsidR="006B7373" w:rsidRDefault="006B7373" w:rsidP="006B7373">
      <w:pPr>
        <w:pStyle w:val="a0"/>
        <w:rPr>
          <w:kern w:val="0"/>
        </w:rPr>
      </w:pPr>
      <w:r>
        <w:rPr>
          <w:kern w:val="0"/>
        </w:rPr>
        <w:t>Abstract: Worldwide concerns over inorganic arsenic in water bodies have prompted much research</w:t>
      </w:r>
      <w:r w:rsidR="00F81221">
        <w:rPr>
          <w:kern w:val="0"/>
        </w:rPr>
        <w:t xml:space="preserve"> and </w:t>
      </w:r>
      <w:r>
        <w:rPr>
          <w:kern w:val="0"/>
        </w:rPr>
        <w:t>policy development focusing on removal of this chronic human carcinogen. In the present study, the potential use of shell particles of crab (Portunus sanguinolentus) for removal of arsenic(V) from aqueous solution was investigated on the basis of systematic equilibrium</w:t>
      </w:r>
      <w:r w:rsidR="00F81221">
        <w:rPr>
          <w:kern w:val="0"/>
        </w:rPr>
        <w:t xml:space="preserve"> and </w:t>
      </w:r>
      <w:r>
        <w:rPr>
          <w:kern w:val="0"/>
        </w:rPr>
        <w:t>kinetic studies. Crab shells favor the removal of arsenate ion, especially under acidic pH conditions, because of the presence of CaCO</w:t>
      </w:r>
      <w:r w:rsidRPr="00C82CCC">
        <w:rPr>
          <w:kern w:val="0"/>
          <w:vertAlign w:val="subscript"/>
        </w:rPr>
        <w:t>3</w:t>
      </w:r>
      <w:r w:rsidR="00F81221">
        <w:rPr>
          <w:kern w:val="0"/>
        </w:rPr>
        <w:t xml:space="preserve"> and </w:t>
      </w:r>
      <w:r>
        <w:rPr>
          <w:kern w:val="0"/>
        </w:rPr>
        <w:t>chitin in the biosorbent. The scanning electron micrographs together with energy dispersive X-ray analysis (EDX) confirmed the presence of arsenic on the crab shells. A series of isotherm experiments conducted at different pH conditions revealed that pH 3 favored arsenic biosorption. Among the four isotherm models (Langmuir, Freundlich, Redlich-Peterson,</w:t>
      </w:r>
      <w:r w:rsidR="00F81221">
        <w:rPr>
          <w:kern w:val="0"/>
        </w:rPr>
        <w:t xml:space="preserve"> and </w:t>
      </w:r>
      <w:r>
        <w:rPr>
          <w:kern w:val="0"/>
        </w:rPr>
        <w:t>Toth) employed in the study, the Toth model provided a better fit with the experimental data than others as revealed by high con-elation coefficients, low % error,</w:t>
      </w:r>
      <w:r w:rsidR="00F81221">
        <w:rPr>
          <w:kern w:val="0"/>
        </w:rPr>
        <w:t xml:space="preserve"> and </w:t>
      </w:r>
      <w:r>
        <w:rPr>
          <w:kern w:val="0"/>
        </w:rPr>
        <w:t>root-mean-square error (rmse) values. The arsenic biosorption kinetics was very fast,</w:t>
      </w:r>
      <w:r w:rsidR="00F81221">
        <w:rPr>
          <w:kern w:val="0"/>
        </w:rPr>
        <w:t xml:space="preserve"> and </w:t>
      </w:r>
      <w:r>
        <w:rPr>
          <w:kern w:val="0"/>
        </w:rPr>
        <w:t>the kinetics data were successfully modeled using nonlinear pseudo-second-order model. As the ionic strength increased, arsenic uptake declined to a great extent. Desorption experiments were conducted to explore the feasibility of regenerating the biosorbent for further use. Results indicated that 0.1 M NaOH was sufficiently strong to remove the biosorbed arsenate ions from the crab shell with elution efficiency of 98.2%.</w:t>
      </w:r>
    </w:p>
    <w:p w:rsidR="006B7373" w:rsidRDefault="006B7373" w:rsidP="006B7373">
      <w:pPr>
        <w:pStyle w:val="a0"/>
        <w:rPr>
          <w:kern w:val="0"/>
        </w:rPr>
      </w:pPr>
      <w:r>
        <w:rPr>
          <w:kern w:val="0"/>
        </w:rPr>
        <w:lastRenderedPageBreak/>
        <w:t>Keywords: Adsorption, Aqueous-Solution, Arsenic Removal, Aspergillus-Fumigatus, Biomass, Biosorption, Chitosan, Desorption, Equilibrium, Groundwater, Metal-Ions, Particles, Sorption</w:t>
      </w:r>
    </w:p>
    <w:p w:rsidR="006B7373" w:rsidRDefault="006B7373" w:rsidP="006B7373">
      <w:pPr>
        <w:pStyle w:val="a0"/>
        <w:rPr>
          <w:kern w:val="0"/>
          <w:szCs w:val="24"/>
        </w:rPr>
      </w:pPr>
      <w:r>
        <w:rPr>
          <w:rFonts w:hint="eastAsia"/>
          <w:kern w:val="0"/>
          <w:szCs w:val="24"/>
        </w:rPr>
        <w:t xml:space="preserve">? </w:t>
      </w:r>
      <w:r>
        <w:rPr>
          <w:kern w:val="0"/>
          <w:szCs w:val="24"/>
        </w:rPr>
        <w:t>Zhu, L., Liu, Y.</w:t>
      </w:r>
      <w:r w:rsidR="00F81221">
        <w:rPr>
          <w:kern w:val="0"/>
          <w:szCs w:val="24"/>
        </w:rPr>
        <w:t xml:space="preserve"> and </w:t>
      </w:r>
      <w:r>
        <w:rPr>
          <w:kern w:val="0"/>
          <w:szCs w:val="24"/>
        </w:rPr>
        <w:t xml:space="preserve">Chen, J. (2009), Synthesis of N-Methylimidazolium functionalized strongly basic anion exchange resins for adsorption of Cr(VI). </w:t>
      </w:r>
      <w:r>
        <w:rPr>
          <w:i/>
          <w:iCs/>
          <w:kern w:val="0"/>
          <w:szCs w:val="24"/>
        </w:rPr>
        <w:t>Industrial &amp; Engineering Chemistry Research</w:t>
      </w:r>
      <w:r>
        <w:rPr>
          <w:kern w:val="0"/>
          <w:szCs w:val="24"/>
        </w:rPr>
        <w:t xml:space="preserve">, </w:t>
      </w:r>
      <w:r>
        <w:rPr>
          <w:b/>
          <w:bCs/>
          <w:kern w:val="0"/>
          <w:szCs w:val="24"/>
        </w:rPr>
        <w:t>48</w:t>
      </w:r>
      <w:r>
        <w:rPr>
          <w:kern w:val="0"/>
          <w:szCs w:val="24"/>
        </w:rPr>
        <w:t xml:space="preserve"> (7), 3261-3267.</w:t>
      </w:r>
    </w:p>
    <w:p w:rsidR="006B7373" w:rsidRDefault="006B7373" w:rsidP="006B7373">
      <w:pPr>
        <w:pStyle w:val="a0"/>
        <w:rPr>
          <w:kern w:val="0"/>
        </w:rPr>
      </w:pPr>
      <w:r>
        <w:rPr>
          <w:rFonts w:hint="eastAsia"/>
          <w:kern w:val="0"/>
        </w:rPr>
        <w:t xml:space="preserve">Full Text: </w:t>
      </w:r>
      <w:hyperlink r:id="rId1295" w:history="1">
        <w:r w:rsidRPr="009D7067">
          <w:rPr>
            <w:rStyle w:val="a5"/>
            <w:kern w:val="0"/>
          </w:rPr>
          <w:t>2009\Ind Eng Che Res48, 3261.pdf</w:t>
        </w:r>
      </w:hyperlink>
    </w:p>
    <w:p w:rsidR="006B7373" w:rsidRDefault="006B7373" w:rsidP="006B7373">
      <w:pPr>
        <w:pStyle w:val="a0"/>
        <w:rPr>
          <w:kern w:val="0"/>
          <w:szCs w:val="24"/>
        </w:rPr>
      </w:pPr>
      <w:r>
        <w:rPr>
          <w:kern w:val="0"/>
          <w:szCs w:val="24"/>
        </w:rPr>
        <w:t>Abstract: N-Methylimidazolium functionalized strongly basic anion exchange resins in the Cl- form (RCI)</w:t>
      </w:r>
      <w:r w:rsidR="00F81221">
        <w:rPr>
          <w:kern w:val="0"/>
          <w:szCs w:val="24"/>
        </w:rPr>
        <w:t xml:space="preserve"> and </w:t>
      </w:r>
      <w:r>
        <w:rPr>
          <w:kern w:val="0"/>
          <w:szCs w:val="24"/>
        </w:rPr>
        <w:t>SO46- form (R</w:t>
      </w:r>
      <w:r w:rsidRPr="009D7067">
        <w:rPr>
          <w:kern w:val="0"/>
          <w:szCs w:val="24"/>
          <w:vertAlign w:val="subscript"/>
        </w:rPr>
        <w:t>2</w:t>
      </w:r>
      <w:r>
        <w:rPr>
          <w:kern w:val="0"/>
          <w:szCs w:val="24"/>
        </w:rPr>
        <w:t>SO</w:t>
      </w:r>
      <w:r w:rsidRPr="009D7067">
        <w:rPr>
          <w:kern w:val="0"/>
          <w:szCs w:val="24"/>
          <w:vertAlign w:val="subscript"/>
        </w:rPr>
        <w:t>4</w:t>
      </w:r>
      <w:r>
        <w:rPr>
          <w:kern w:val="0"/>
          <w:szCs w:val="24"/>
        </w:rPr>
        <w:t>) were synthesized</w:t>
      </w:r>
      <w:r w:rsidR="00F81221">
        <w:rPr>
          <w:kern w:val="0"/>
          <w:szCs w:val="24"/>
        </w:rPr>
        <w:t xml:space="preserve"> and </w:t>
      </w:r>
      <w:r>
        <w:rPr>
          <w:kern w:val="0"/>
          <w:szCs w:val="24"/>
        </w:rPr>
        <w:t>employed for adsorption of Cr(VI) from aqueous solution. FT-IR</w:t>
      </w:r>
      <w:r w:rsidR="00F81221">
        <w:rPr>
          <w:kern w:val="0"/>
          <w:szCs w:val="24"/>
        </w:rPr>
        <w:t xml:space="preserve"> and </w:t>
      </w:r>
      <w:r>
        <w:rPr>
          <w:kern w:val="0"/>
          <w:szCs w:val="24"/>
        </w:rPr>
        <w:t>elementary analysis proved the structures of anion exchange resins</w:t>
      </w:r>
      <w:r w:rsidR="00F81221">
        <w:rPr>
          <w:kern w:val="0"/>
          <w:szCs w:val="24"/>
        </w:rPr>
        <w:t xml:space="preserve"> and </w:t>
      </w:r>
      <w:r>
        <w:rPr>
          <w:kern w:val="0"/>
          <w:szCs w:val="24"/>
        </w:rPr>
        <w:t>the content of functional groups. The gel-type strongly basic anion exchange resins had high thermal stability according to TGA</w:t>
      </w:r>
      <w:r w:rsidR="00F81221">
        <w:rPr>
          <w:kern w:val="0"/>
          <w:szCs w:val="24"/>
        </w:rPr>
        <w:t xml:space="preserve"> and </w:t>
      </w:r>
      <w:r>
        <w:rPr>
          <w:kern w:val="0"/>
          <w:szCs w:val="24"/>
        </w:rPr>
        <w:t>good chemical stability under the experimental conditions. The adsorption behaviors of Cr(VI) on RCI</w:t>
      </w:r>
      <w:r w:rsidR="00F81221">
        <w:rPr>
          <w:kern w:val="0"/>
          <w:szCs w:val="24"/>
        </w:rPr>
        <w:t xml:space="preserve"> and </w:t>
      </w:r>
      <w:r>
        <w:rPr>
          <w:kern w:val="0"/>
          <w:szCs w:val="24"/>
        </w:rPr>
        <w:t>R</w:t>
      </w:r>
      <w:r w:rsidRPr="009D7067">
        <w:rPr>
          <w:kern w:val="0"/>
          <w:szCs w:val="24"/>
          <w:vertAlign w:val="subscript"/>
        </w:rPr>
        <w:t>2</w:t>
      </w:r>
      <w:r>
        <w:rPr>
          <w:kern w:val="0"/>
          <w:szCs w:val="24"/>
        </w:rPr>
        <w:t>SO</w:t>
      </w:r>
      <w:r w:rsidRPr="009D7067">
        <w:rPr>
          <w:kern w:val="0"/>
          <w:szCs w:val="24"/>
          <w:vertAlign w:val="subscript"/>
        </w:rPr>
        <w:t>4</w:t>
      </w:r>
      <w:r>
        <w:rPr>
          <w:kern w:val="0"/>
          <w:szCs w:val="24"/>
        </w:rPr>
        <w:t xml:space="preserve"> were studied using the batch technique. It was shown that adsorption equilibrium was reached rapidly within 60 min. The adsorption data for RCI</w:t>
      </w:r>
      <w:r w:rsidR="00F81221">
        <w:rPr>
          <w:kern w:val="0"/>
          <w:szCs w:val="24"/>
        </w:rPr>
        <w:t xml:space="preserve"> and </w:t>
      </w:r>
      <w:r>
        <w:rPr>
          <w:kern w:val="0"/>
          <w:szCs w:val="24"/>
        </w:rPr>
        <w:t>R</w:t>
      </w:r>
      <w:r w:rsidRPr="009D7067">
        <w:rPr>
          <w:kern w:val="0"/>
          <w:szCs w:val="24"/>
          <w:vertAlign w:val="subscript"/>
        </w:rPr>
        <w:t>2</w:t>
      </w:r>
      <w:r>
        <w:rPr>
          <w:kern w:val="0"/>
          <w:szCs w:val="24"/>
        </w:rPr>
        <w:t>SO</w:t>
      </w:r>
      <w:r w:rsidRPr="009D7067">
        <w:rPr>
          <w:kern w:val="0"/>
          <w:szCs w:val="24"/>
          <w:vertAlign w:val="subscript"/>
        </w:rPr>
        <w:t>4</w:t>
      </w:r>
      <w:r>
        <w:rPr>
          <w:kern w:val="0"/>
          <w:szCs w:val="24"/>
        </w:rPr>
        <w:t xml:space="preserve"> were consistent with the Langmuir isotherm equation. The maximum adsorption capacities of RCI</w:t>
      </w:r>
      <w:r w:rsidR="00F81221">
        <w:rPr>
          <w:kern w:val="0"/>
          <w:szCs w:val="24"/>
        </w:rPr>
        <w:t xml:space="preserve"> and </w:t>
      </w:r>
      <w:r>
        <w:rPr>
          <w:kern w:val="0"/>
          <w:szCs w:val="24"/>
        </w:rPr>
        <w:t>R2SO4 were 132</w:t>
      </w:r>
      <w:r w:rsidR="00F81221">
        <w:rPr>
          <w:kern w:val="0"/>
          <w:szCs w:val="24"/>
        </w:rPr>
        <w:t xml:space="preserve"> and </w:t>
      </w:r>
      <w:r>
        <w:rPr>
          <w:kern w:val="0"/>
          <w:szCs w:val="24"/>
        </w:rPr>
        <w:t>125 mg/g, respectively, with almost all active sites fully occupied. RCI</w:t>
      </w:r>
      <w:r w:rsidR="00F81221">
        <w:rPr>
          <w:kern w:val="0"/>
          <w:szCs w:val="24"/>
        </w:rPr>
        <w:t xml:space="preserve"> and </w:t>
      </w:r>
      <w:r>
        <w:rPr>
          <w:kern w:val="0"/>
          <w:szCs w:val="24"/>
        </w:rPr>
        <w:t>R2SO4 Could be used in the wide pH range 1-12</w:t>
      </w:r>
      <w:r w:rsidR="00F81221">
        <w:rPr>
          <w:kern w:val="0"/>
          <w:szCs w:val="24"/>
        </w:rPr>
        <w:t xml:space="preserve"> and </w:t>
      </w:r>
      <w:r>
        <w:rPr>
          <w:kern w:val="0"/>
          <w:szCs w:val="24"/>
        </w:rPr>
        <w:t>were very suitable to remove Cr(VI) at a low concentration level. They also showed great preference to Cr(VI) compared to the other counterions. RCI was easily regenerated using the mixed solution of 0.3 mol/L NaOH</w:t>
      </w:r>
      <w:r w:rsidR="00F81221">
        <w:rPr>
          <w:kern w:val="0"/>
          <w:szCs w:val="24"/>
        </w:rPr>
        <w:t xml:space="preserve"> and </w:t>
      </w:r>
      <w:r>
        <w:rPr>
          <w:kern w:val="0"/>
          <w:szCs w:val="24"/>
        </w:rPr>
        <w:t>0.3 mol/L NaCl,</w:t>
      </w:r>
      <w:r w:rsidR="00F81221">
        <w:rPr>
          <w:kern w:val="0"/>
          <w:szCs w:val="24"/>
        </w:rPr>
        <w:t xml:space="preserve"> and </w:t>
      </w:r>
      <w:r>
        <w:rPr>
          <w:kern w:val="0"/>
          <w:szCs w:val="24"/>
        </w:rPr>
        <w:t>retained nearly 100% of its orginal capacity during four cycles.</w:t>
      </w:r>
    </w:p>
    <w:p w:rsidR="006B7373" w:rsidRDefault="006B7373" w:rsidP="006B7373">
      <w:pPr>
        <w:pStyle w:val="a0"/>
        <w:rPr>
          <w:kern w:val="0"/>
          <w:szCs w:val="24"/>
        </w:rPr>
      </w:pPr>
      <w:r>
        <w:rPr>
          <w:kern w:val="0"/>
          <w:szCs w:val="24"/>
        </w:rPr>
        <w:t>Keywords: Activated Carbon, Aqueous-Solution, Biosorption, Chromate Ion, Electroplating Waste-Water, Hexavalent Chromium, Metal-Ions, Removal, Sorption, Supported Ionic Liquids</w:t>
      </w:r>
    </w:p>
    <w:p w:rsidR="006B7373" w:rsidRDefault="006B7373" w:rsidP="006B7373">
      <w:pPr>
        <w:pStyle w:val="a0"/>
        <w:rPr>
          <w:kern w:val="0"/>
          <w:szCs w:val="24"/>
        </w:rPr>
      </w:pPr>
      <w:r>
        <w:rPr>
          <w:rFonts w:hint="eastAsia"/>
          <w:kern w:val="0"/>
          <w:szCs w:val="24"/>
        </w:rPr>
        <w:t xml:space="preserve">? </w:t>
      </w:r>
      <w:r>
        <w:rPr>
          <w:kern w:val="0"/>
          <w:szCs w:val="24"/>
        </w:rPr>
        <w:t>Li, Q., Xing, J.M., Li, W.L., Liu, Q.F.</w:t>
      </w:r>
      <w:r w:rsidR="00F81221">
        <w:rPr>
          <w:kern w:val="0"/>
          <w:szCs w:val="24"/>
        </w:rPr>
        <w:t xml:space="preserve"> and </w:t>
      </w:r>
      <w:r>
        <w:rPr>
          <w:kern w:val="0"/>
          <w:szCs w:val="24"/>
        </w:rPr>
        <w:t xml:space="preserve">Su, Z.G. (2009), Separation of </w:t>
      </w:r>
      <w:r w:rsidR="003A055C">
        <w:rPr>
          <w:kern w:val="0"/>
          <w:szCs w:val="24"/>
        </w:rPr>
        <w:t>succinic acid from fermentation broth using weak alkaline anion exchange ad</w:t>
      </w:r>
      <w:r>
        <w:rPr>
          <w:kern w:val="0"/>
          <w:szCs w:val="24"/>
        </w:rPr>
        <w:t xml:space="preserve">sorbents. </w:t>
      </w:r>
      <w:r>
        <w:rPr>
          <w:i/>
          <w:iCs/>
          <w:kern w:val="0"/>
          <w:szCs w:val="24"/>
        </w:rPr>
        <w:t>Industrial &amp; Engineering Chemistry Research</w:t>
      </w:r>
      <w:r>
        <w:rPr>
          <w:kern w:val="0"/>
          <w:szCs w:val="24"/>
        </w:rPr>
        <w:t xml:space="preserve">, </w:t>
      </w:r>
      <w:r>
        <w:rPr>
          <w:b/>
          <w:bCs/>
          <w:kern w:val="0"/>
          <w:szCs w:val="24"/>
        </w:rPr>
        <w:t>48</w:t>
      </w:r>
      <w:r>
        <w:rPr>
          <w:kern w:val="0"/>
          <w:szCs w:val="24"/>
        </w:rPr>
        <w:t xml:space="preserve"> (7), 3595-3599.</w:t>
      </w:r>
    </w:p>
    <w:p w:rsidR="006B7373" w:rsidRDefault="006B7373" w:rsidP="006B7373">
      <w:pPr>
        <w:pStyle w:val="a0"/>
        <w:rPr>
          <w:kern w:val="0"/>
        </w:rPr>
      </w:pPr>
      <w:r>
        <w:rPr>
          <w:rFonts w:hint="eastAsia"/>
          <w:kern w:val="0"/>
        </w:rPr>
        <w:t xml:space="preserve">Full Text: </w:t>
      </w:r>
      <w:hyperlink r:id="rId1296" w:history="1">
        <w:r w:rsidRPr="009D7067">
          <w:rPr>
            <w:rStyle w:val="a5"/>
            <w:kern w:val="0"/>
          </w:rPr>
          <w:t>2009\Ind Eng Che Res48, 3595.pdf</w:t>
        </w:r>
      </w:hyperlink>
    </w:p>
    <w:p w:rsidR="006B7373" w:rsidRDefault="006B7373" w:rsidP="007F22FE">
      <w:pPr>
        <w:pStyle w:val="a0"/>
        <w:rPr>
          <w:kern w:val="0"/>
          <w:szCs w:val="24"/>
        </w:rPr>
      </w:pPr>
      <w:r>
        <w:rPr>
          <w:kern w:val="0"/>
          <w:szCs w:val="24"/>
        </w:rPr>
        <w:t>Abstract: Succinic acid is one of the platform chemicals that can be bioproduced from renewable resources. Separation of succinic acid by adsorption from model solutions</w:t>
      </w:r>
      <w:r w:rsidR="00F81221">
        <w:rPr>
          <w:kern w:val="0"/>
          <w:szCs w:val="24"/>
        </w:rPr>
        <w:t xml:space="preserve"> and </w:t>
      </w:r>
      <w:r>
        <w:rPr>
          <w:kern w:val="0"/>
          <w:szCs w:val="24"/>
        </w:rPr>
        <w:t>fermentation broth by weak alkaline anion exchange adsorbents was studied. Adsorption capacities</w:t>
      </w:r>
      <w:r w:rsidR="00F81221">
        <w:rPr>
          <w:kern w:val="0"/>
          <w:szCs w:val="24"/>
        </w:rPr>
        <w:t xml:space="preserve"> and </w:t>
      </w:r>
      <w:r>
        <w:rPr>
          <w:kern w:val="0"/>
          <w:szCs w:val="24"/>
        </w:rPr>
        <w:t>regenerability of several sorts of adsorbents were tested. In a static test, the adsorbent NERCB 09 has the adsorption capacity of 0.11 g succinic acid g</w:t>
      </w:r>
      <w:r w:rsidR="007F22FE">
        <w:rPr>
          <w:rFonts w:hint="eastAsia"/>
          <w:kern w:val="0"/>
          <w:vertAlign w:val="superscript"/>
        </w:rPr>
        <w:t>-1</w:t>
      </w:r>
      <w:r>
        <w:rPr>
          <w:kern w:val="0"/>
          <w:szCs w:val="24"/>
        </w:rPr>
        <w:t xml:space="preserve"> at succinic acid concentrations of 5 g L</w:t>
      </w:r>
      <w:r w:rsidRPr="00155B7C">
        <w:rPr>
          <w:kern w:val="0"/>
          <w:szCs w:val="24"/>
          <w:vertAlign w:val="superscript"/>
        </w:rPr>
        <w:t>-1</w:t>
      </w:r>
      <w:r>
        <w:rPr>
          <w:kern w:val="0"/>
          <w:szCs w:val="24"/>
        </w:rPr>
        <w:t>. In packed column test, its capacity was as high as 0.56 g succinic acid g</w:t>
      </w:r>
      <w:r w:rsidR="007F22FE">
        <w:rPr>
          <w:rFonts w:hint="eastAsia"/>
          <w:kern w:val="0"/>
          <w:vertAlign w:val="superscript"/>
        </w:rPr>
        <w:t>-1</w:t>
      </w:r>
      <w:r>
        <w:rPr>
          <w:kern w:val="0"/>
          <w:szCs w:val="24"/>
        </w:rPr>
        <w:t xml:space="preserve"> when the feeding concentration wag 50 g L-1. NERCB 09 showed the high selectivity toward succinate over both glucose</w:t>
      </w:r>
      <w:r w:rsidR="00F81221">
        <w:rPr>
          <w:kern w:val="0"/>
          <w:szCs w:val="24"/>
        </w:rPr>
        <w:t xml:space="preserve"> and </w:t>
      </w:r>
      <w:r>
        <w:rPr>
          <w:kern w:val="0"/>
          <w:szCs w:val="24"/>
        </w:rPr>
        <w:t>amino acid at acidic or neutral conditions. Langmuir/Freundlich isotherm models</w:t>
      </w:r>
      <w:r w:rsidR="00F81221">
        <w:rPr>
          <w:kern w:val="0"/>
          <w:szCs w:val="24"/>
        </w:rPr>
        <w:t xml:space="preserve"> and </w:t>
      </w:r>
      <w:r>
        <w:rPr>
          <w:kern w:val="0"/>
          <w:szCs w:val="24"/>
        </w:rPr>
        <w:lastRenderedPageBreak/>
        <w:t>pseudo-first/second-order equations were presented to simulate the adsorption behavior. Data showed that the temperature had little effect on the adsorption isotherm. Kinetic parameters suggested that about 1.5 h were Sufficient for the adsorption equilibrium. The adsorbent was easily regenerated, The adsorption capacity was steady after 30 cycles</w:t>
      </w:r>
      <w:r w:rsidR="00F81221">
        <w:rPr>
          <w:kern w:val="0"/>
          <w:szCs w:val="24"/>
        </w:rPr>
        <w:t xml:space="preserve"> and </w:t>
      </w:r>
      <w:r>
        <w:rPr>
          <w:kern w:val="0"/>
          <w:szCs w:val="24"/>
        </w:rPr>
        <w:t>showed 96% average recovery.</w:t>
      </w:r>
    </w:p>
    <w:p w:rsidR="006B7373" w:rsidRDefault="006B7373" w:rsidP="006B7373">
      <w:pPr>
        <w:pStyle w:val="a0"/>
        <w:rPr>
          <w:kern w:val="0"/>
          <w:szCs w:val="24"/>
        </w:rPr>
      </w:pPr>
      <w:r>
        <w:rPr>
          <w:kern w:val="0"/>
          <w:szCs w:val="24"/>
        </w:rPr>
        <w:t>Keywords: Adsorption, Aqueous-Solutions, Extraction, Kinetics, Mannheimia-Succiniciproducens, Ph-Greater-Than-Pk(A1), Purification, Recovery, Removal, Sorption</w:t>
      </w:r>
    </w:p>
    <w:p w:rsidR="003A055C" w:rsidRDefault="003A055C" w:rsidP="003A055C">
      <w:pPr>
        <w:pStyle w:val="a0"/>
        <w:rPr>
          <w:kern w:val="0"/>
        </w:rPr>
      </w:pPr>
      <w:r>
        <w:rPr>
          <w:rFonts w:hint="eastAsia"/>
          <w:kern w:val="0"/>
        </w:rPr>
        <w:t xml:space="preserve">? </w:t>
      </w:r>
      <w:r>
        <w:rPr>
          <w:kern w:val="0"/>
        </w:rPr>
        <w:t xml:space="preserve">Kumar, K.V. (2009), Neural network prediction of interfacial tension at crystal/solution interface. </w:t>
      </w:r>
      <w:r>
        <w:rPr>
          <w:i/>
          <w:iCs/>
          <w:kern w:val="0"/>
        </w:rPr>
        <w:t>Industrial &amp; Engineering Chemistry Research</w:t>
      </w:r>
      <w:r>
        <w:rPr>
          <w:kern w:val="0"/>
        </w:rPr>
        <w:t xml:space="preserve">, </w:t>
      </w:r>
      <w:r>
        <w:rPr>
          <w:b/>
          <w:bCs/>
          <w:kern w:val="0"/>
        </w:rPr>
        <w:t>48</w:t>
      </w:r>
      <w:r>
        <w:rPr>
          <w:kern w:val="0"/>
        </w:rPr>
        <w:t xml:space="preserve"> (8), 4160-4164.</w:t>
      </w:r>
    </w:p>
    <w:p w:rsidR="003A055C" w:rsidRDefault="003A055C" w:rsidP="003A055C">
      <w:pPr>
        <w:pStyle w:val="a0"/>
        <w:rPr>
          <w:kern w:val="0"/>
        </w:rPr>
      </w:pPr>
      <w:r>
        <w:rPr>
          <w:rFonts w:hint="eastAsia"/>
          <w:kern w:val="0"/>
        </w:rPr>
        <w:t xml:space="preserve">Full Text: </w:t>
      </w:r>
      <w:hyperlink r:id="rId1297" w:history="1">
        <w:r w:rsidRPr="003A055C">
          <w:rPr>
            <w:rStyle w:val="a5"/>
            <w:kern w:val="0"/>
          </w:rPr>
          <w:t>2009\Ind Eng Che Res48, 4160.pdf</w:t>
        </w:r>
      </w:hyperlink>
    </w:p>
    <w:p w:rsidR="003A055C" w:rsidRDefault="003A055C" w:rsidP="003A055C">
      <w:pPr>
        <w:pStyle w:val="a0"/>
        <w:rPr>
          <w:kern w:val="0"/>
        </w:rPr>
      </w:pPr>
      <w:r>
        <w:rPr>
          <w:kern w:val="0"/>
        </w:rPr>
        <w:t>Abstract: Interfacial tension at the crystal/liquid interface is a crucial</w:t>
      </w:r>
      <w:r w:rsidR="00F81221">
        <w:rPr>
          <w:kern w:val="0"/>
        </w:rPr>
        <w:t xml:space="preserve"> and </w:t>
      </w:r>
      <w:r>
        <w:rPr>
          <w:kern w:val="0"/>
        </w:rPr>
        <w:t>important parameter in crystal growth kinetics. The objective of the present study is to develop a neural network that is simple to use for predicting this important parameter using only from the information of solubility, molecular weight,</w:t>
      </w:r>
      <w:r w:rsidR="00F81221">
        <w:rPr>
          <w:kern w:val="0"/>
        </w:rPr>
        <w:t xml:space="preserve"> and </w:t>
      </w:r>
      <w:r>
        <w:rPr>
          <w:kern w:val="0"/>
        </w:rPr>
        <w:t>density of the studied systems. A three-layer feed-forward neural network was constructed</w:t>
      </w:r>
      <w:r w:rsidR="00F81221">
        <w:rPr>
          <w:kern w:val="0"/>
        </w:rPr>
        <w:t xml:space="preserve"> and </w:t>
      </w:r>
      <w:r>
        <w:rPr>
          <w:kern w:val="0"/>
        </w:rPr>
        <w:t>tested to predict the interfacial tension at the crystal/solution interface. The concentration of solute in liquid phase, concentration of solute in solid phase, temperature, density</w:t>
      </w:r>
      <w:r w:rsidR="00F81221">
        <w:rPr>
          <w:kern w:val="0"/>
        </w:rPr>
        <w:t xml:space="preserve"> and </w:t>
      </w:r>
      <w:r>
        <w:rPr>
          <w:kern w:val="0"/>
        </w:rPr>
        <w:t>molecular weight of crystal were used as inputs to predict the interfacial tension at the crystal/liquid interface (sigma</w:t>
      </w:r>
      <w:r>
        <w:rPr>
          <w:rFonts w:hint="eastAsia"/>
          <w:kern w:val="0"/>
        </w:rPr>
        <w:t xml:space="preserve"> </w:t>
      </w:r>
      <w:r>
        <w:rPr>
          <w:kern w:val="0"/>
        </w:rPr>
        <w:t>(SL)). The network was trained using the solubility information for 28 systems to predict the sigma</w:t>
      </w:r>
      <w:r>
        <w:rPr>
          <w:rFonts w:hint="eastAsia"/>
          <w:kern w:val="0"/>
        </w:rPr>
        <w:t xml:space="preserve"> </w:t>
      </w:r>
      <w:r>
        <w:rPr>
          <w:kern w:val="0"/>
        </w:rPr>
        <w:t>(SL) value</w:t>
      </w:r>
      <w:r w:rsidR="00F81221">
        <w:rPr>
          <w:kern w:val="0"/>
        </w:rPr>
        <w:t xml:space="preserve"> and </w:t>
      </w:r>
      <w:r>
        <w:rPr>
          <w:kern w:val="0"/>
        </w:rPr>
        <w:t>was validated with 29 new systems. Despite the limited number of data used for training, the neural network was capable of predicting sigma</w:t>
      </w:r>
      <w:r>
        <w:rPr>
          <w:rFonts w:hint="eastAsia"/>
          <w:kern w:val="0"/>
        </w:rPr>
        <w:t xml:space="preserve"> </w:t>
      </w:r>
      <w:r>
        <w:rPr>
          <w:kern w:val="0"/>
        </w:rPr>
        <w:t>(SL) successfully for the new inputs, which are kept unaware during the training process. The sigma</w:t>
      </w:r>
      <w:r>
        <w:rPr>
          <w:rFonts w:hint="eastAsia"/>
          <w:kern w:val="0"/>
        </w:rPr>
        <w:t xml:space="preserve"> </w:t>
      </w:r>
      <w:r>
        <w:rPr>
          <w:kern w:val="0"/>
        </w:rPr>
        <w:t>(SL) value that is predicted by the artificial neural network during the training</w:t>
      </w:r>
      <w:r w:rsidR="00F81221">
        <w:rPr>
          <w:kern w:val="0"/>
        </w:rPr>
        <w:t xml:space="preserve"> and </w:t>
      </w:r>
      <w:r>
        <w:rPr>
          <w:kern w:val="0"/>
        </w:rPr>
        <w:t>testing process was compared with sigma</w:t>
      </w:r>
      <w:r>
        <w:rPr>
          <w:rFonts w:hint="eastAsia"/>
          <w:kern w:val="0"/>
        </w:rPr>
        <w:t xml:space="preserve"> </w:t>
      </w:r>
      <w:r>
        <w:rPr>
          <w:kern w:val="0"/>
        </w:rPr>
        <w:t>(SL) predicted from the widely used empirical expression. For most of the systems, ANN better predicts sigma(SL), when compared to empirical correlation.</w:t>
      </w:r>
    </w:p>
    <w:p w:rsidR="003A055C" w:rsidRDefault="003A055C" w:rsidP="003A055C">
      <w:pPr>
        <w:pStyle w:val="a0"/>
        <w:rPr>
          <w:kern w:val="0"/>
        </w:rPr>
      </w:pPr>
      <w:r>
        <w:rPr>
          <w:kern w:val="0"/>
        </w:rPr>
        <w:t>Keywords: Crystal Growth, Crystal-Aqueous-Solution, Crystallization Kinetics, Kinetics, Solubility, Solute, Sucrose, Temperature</w:t>
      </w:r>
    </w:p>
    <w:p w:rsidR="00155B7C" w:rsidRDefault="00155B7C" w:rsidP="00155B7C">
      <w:pPr>
        <w:pStyle w:val="a0"/>
        <w:rPr>
          <w:kern w:val="0"/>
        </w:rPr>
      </w:pPr>
      <w:r>
        <w:rPr>
          <w:rFonts w:hint="eastAsia"/>
          <w:kern w:val="0"/>
        </w:rPr>
        <w:t xml:space="preserve">? </w:t>
      </w:r>
      <w:r>
        <w:rPr>
          <w:kern w:val="0"/>
        </w:rPr>
        <w:t>Singh, V., Sharma, A.K.</w:t>
      </w:r>
      <w:r w:rsidR="00F81221">
        <w:rPr>
          <w:kern w:val="0"/>
        </w:rPr>
        <w:t xml:space="preserve"> and </w:t>
      </w:r>
      <w:r>
        <w:rPr>
          <w:kern w:val="0"/>
        </w:rPr>
        <w:t xml:space="preserve">Maurya, S. (2009), Efficient cadmium(II) removal from aqueous solution using microwave synthesized guar gum-graft-poly(ethylacrylate). </w:t>
      </w:r>
      <w:r>
        <w:rPr>
          <w:i/>
          <w:iCs/>
          <w:kern w:val="0"/>
        </w:rPr>
        <w:t>Industrial &amp; Engineering Chemistry Research</w:t>
      </w:r>
      <w:r>
        <w:rPr>
          <w:kern w:val="0"/>
        </w:rPr>
        <w:t xml:space="preserve">, </w:t>
      </w:r>
      <w:r>
        <w:rPr>
          <w:b/>
          <w:bCs/>
          <w:kern w:val="0"/>
        </w:rPr>
        <w:t>48</w:t>
      </w:r>
      <w:r>
        <w:rPr>
          <w:kern w:val="0"/>
        </w:rPr>
        <w:t xml:space="preserve"> (10), 4688-4696.</w:t>
      </w:r>
    </w:p>
    <w:p w:rsidR="00155B7C" w:rsidRDefault="00155B7C" w:rsidP="00155B7C">
      <w:pPr>
        <w:pStyle w:val="a0"/>
        <w:rPr>
          <w:kern w:val="2"/>
        </w:rPr>
      </w:pPr>
      <w:r w:rsidRPr="00FC7835">
        <w:t xml:space="preserve">Full Text: </w:t>
      </w:r>
      <w:hyperlink r:id="rId1298" w:history="1">
        <w:r w:rsidRPr="00296F69">
          <w:rPr>
            <w:rStyle w:val="a5"/>
          </w:rPr>
          <w:t>2009\Ind Eng Che Res48, 4688.pdf</w:t>
        </w:r>
      </w:hyperlink>
    </w:p>
    <w:p w:rsidR="00155B7C" w:rsidRDefault="00155B7C" w:rsidP="001726B3">
      <w:pPr>
        <w:pStyle w:val="a0"/>
        <w:rPr>
          <w:kern w:val="0"/>
        </w:rPr>
      </w:pPr>
      <w:r>
        <w:rPr>
          <w:kern w:val="0"/>
        </w:rPr>
        <w:t>Abstract: Microwave induced emulsion copolymerization of ethylacrylate</w:t>
      </w:r>
      <w:r w:rsidR="00F81221">
        <w:rPr>
          <w:kern w:val="0"/>
        </w:rPr>
        <w:t xml:space="preserve"> and </w:t>
      </w:r>
      <w:r>
        <w:rPr>
          <w:kern w:val="0"/>
        </w:rPr>
        <w:t>guar gum resulted in copolymer samples of different % grafting (%G) by changing ethylacrylate</w:t>
      </w:r>
      <w:r w:rsidR="00F81221">
        <w:rPr>
          <w:kern w:val="0"/>
        </w:rPr>
        <w:t xml:space="preserve"> and </w:t>
      </w:r>
      <w:r>
        <w:rPr>
          <w:kern w:val="0"/>
        </w:rPr>
        <w:t>guar gum concentrations at fixed microwave power (100%)</w:t>
      </w:r>
      <w:r w:rsidR="00F81221">
        <w:rPr>
          <w:kern w:val="0"/>
        </w:rPr>
        <w:t xml:space="preserve"> and </w:t>
      </w:r>
      <w:r>
        <w:rPr>
          <w:kern w:val="0"/>
        </w:rPr>
        <w:t xml:space="preserve">exposure time (15 s). The synthesis was done in the absence of any redox </w:t>
      </w:r>
      <w:r>
        <w:rPr>
          <w:kern w:val="0"/>
        </w:rPr>
        <w:lastRenderedPageBreak/>
        <w:t>initiator/catalyst,</w:t>
      </w:r>
      <w:r w:rsidR="00F81221">
        <w:rPr>
          <w:kern w:val="0"/>
        </w:rPr>
        <w:t xml:space="preserve"> and </w:t>
      </w:r>
      <w:r>
        <w:rPr>
          <w:kern w:val="0"/>
        </w:rPr>
        <w:t>the adsorption behavior of the copolymer (295%G) was investigated by performing both the kinetics</w:t>
      </w:r>
      <w:r w:rsidR="00F81221">
        <w:rPr>
          <w:kern w:val="0"/>
        </w:rPr>
        <w:t xml:space="preserve"> and </w:t>
      </w:r>
      <w:r>
        <w:rPr>
          <w:kern w:val="0"/>
        </w:rPr>
        <w:t>equilibrium studies in batch conditions. Several experimental parameters such as contact time, initial cadmium concentration, temperature, adsorbent dose, electrolyte amount,</w:t>
      </w:r>
      <w:r w:rsidR="00F81221">
        <w:rPr>
          <w:kern w:val="0"/>
        </w:rPr>
        <w:t xml:space="preserve"> and </w:t>
      </w:r>
      <w:r>
        <w:rPr>
          <w:kern w:val="0"/>
        </w:rPr>
        <w:t>pH of the solution were varied to optimize the adsorption conditions. The most favorable pH for the adsorption was pH 9,</w:t>
      </w:r>
      <w:r w:rsidR="00F81221">
        <w:rPr>
          <w:kern w:val="0"/>
        </w:rPr>
        <w:t xml:space="preserve"> and </w:t>
      </w:r>
      <w:r>
        <w:rPr>
          <w:kern w:val="0"/>
        </w:rPr>
        <w:t>at this pH the adsorption data were modeled using Langmuir</w:t>
      </w:r>
      <w:r w:rsidR="00F81221">
        <w:rPr>
          <w:kern w:val="0"/>
        </w:rPr>
        <w:t xml:space="preserve"> and </w:t>
      </w:r>
      <w:r>
        <w:rPr>
          <w:kern w:val="0"/>
        </w:rPr>
        <w:t>Freundlich isotherms. The data fitted satisfactorily to both the isotherms, indicating that the real heterogeneous nature of the surface sites involved in the metal uptake</w:t>
      </w:r>
      <w:r w:rsidR="00F81221">
        <w:rPr>
          <w:kern w:val="0"/>
        </w:rPr>
        <w:t xml:space="preserve"> and </w:t>
      </w:r>
      <w:r>
        <w:rPr>
          <w:kern w:val="0"/>
        </w:rPr>
        <w:t>overall sorption of Cd(II) on the adsorbent was complex</w:t>
      </w:r>
      <w:r w:rsidR="00F81221">
        <w:rPr>
          <w:kern w:val="0"/>
        </w:rPr>
        <w:t xml:space="preserve"> and </w:t>
      </w:r>
      <w:r>
        <w:rPr>
          <w:kern w:val="0"/>
        </w:rPr>
        <w:t>involved more than one mechanism. On the basis of the Langmuir model, Q(0) was calculated to be 714.28 mg/g for microwave synthesized copolymer (mwGG-g-PEA) in comparison to 270.27 for conventionally synthesized copolymer (cvGG-g-PEA), revealing the advantage of using microwaves in the adsorbent synthesis. The sorption by mwGG-g-PEA followed pseudo-second-order kinetics where a linear plot of t/(qt) versus t was obtained, the correlation coefficient (RI)</w:t>
      </w:r>
      <w:r w:rsidR="00F81221">
        <w:rPr>
          <w:kern w:val="0"/>
        </w:rPr>
        <w:t xml:space="preserve"> and </w:t>
      </w:r>
      <w:r>
        <w:rPr>
          <w:kern w:val="0"/>
        </w:rPr>
        <w:t>rate constant at 100 mg/L Cd(II) being 0.9978</w:t>
      </w:r>
      <w:r w:rsidR="00F81221">
        <w:rPr>
          <w:kern w:val="0"/>
        </w:rPr>
        <w:t xml:space="preserve"> and </w:t>
      </w:r>
      <w:r>
        <w:rPr>
          <w:kern w:val="0"/>
        </w:rPr>
        <w:t>4.6</w:t>
      </w:r>
      <w:r w:rsidR="001726B3">
        <w:rPr>
          <w:kern w:val="0"/>
        </w:rPr>
        <w:sym w:font="Symbol" w:char="F0B4"/>
      </w:r>
      <w:r>
        <w:rPr>
          <w:kern w:val="0"/>
        </w:rPr>
        <w:t>10</w:t>
      </w:r>
      <w:r w:rsidR="001726B3">
        <w:rPr>
          <w:rFonts w:hint="eastAsia"/>
          <w:kern w:val="0"/>
          <w:vertAlign w:val="superscript"/>
        </w:rPr>
        <w:t>-4</w:t>
      </w:r>
      <w:r>
        <w:rPr>
          <w:kern w:val="0"/>
        </w:rPr>
        <w:t xml:space="preserve"> g/mg/min, respectively. The adsorbent exhibited high reusability</w:t>
      </w:r>
      <w:r w:rsidR="00F81221">
        <w:rPr>
          <w:kern w:val="0"/>
        </w:rPr>
        <w:t xml:space="preserve"> and </w:t>
      </w:r>
      <w:r>
        <w:rPr>
          <w:kern w:val="0"/>
        </w:rPr>
        <w:t>could be successfully recycled for nine cycles where in the ninth cycle 38% adsorption was feasible. To understand the role of PEA grafts (in the copolymer) in the adsorption process, different %G samples were evaluated as adsorbent under optimized conditions.</w:t>
      </w:r>
    </w:p>
    <w:p w:rsidR="00155B7C" w:rsidRDefault="00155B7C" w:rsidP="00155B7C">
      <w:pPr>
        <w:pStyle w:val="a0"/>
        <w:rPr>
          <w:kern w:val="0"/>
        </w:rPr>
      </w:pPr>
      <w:r>
        <w:rPr>
          <w:kern w:val="0"/>
        </w:rPr>
        <w:t>Keywords: Acid Redox Pair, Adsorption, Chitosan, Copolymerization, Graft-Copolymerization, Heavy, Industrial Gums, Metal-Ions, Methacrylate, Seed Gum, Waste-Water</w:t>
      </w:r>
    </w:p>
    <w:p w:rsidR="00F8101F" w:rsidRDefault="00F8101F" w:rsidP="00F8101F">
      <w:pPr>
        <w:pStyle w:val="a0"/>
        <w:rPr>
          <w:kern w:val="0"/>
        </w:rPr>
      </w:pPr>
      <w:r>
        <w:rPr>
          <w:rFonts w:hint="eastAsia"/>
          <w:kern w:val="0"/>
        </w:rPr>
        <w:t xml:space="preserve">? </w:t>
      </w:r>
      <w:r w:rsidRPr="00F8101F">
        <w:rPr>
          <w:kern w:val="0"/>
          <w:szCs w:val="24"/>
        </w:rPr>
        <w:t>Kumar</w:t>
      </w:r>
      <w:r>
        <w:rPr>
          <w:rFonts w:hint="eastAsia"/>
          <w:kern w:val="0"/>
          <w:szCs w:val="24"/>
        </w:rPr>
        <w:t>,</w:t>
      </w:r>
      <w:r w:rsidRPr="00F8101F">
        <w:rPr>
          <w:kern w:val="0"/>
          <w:szCs w:val="24"/>
        </w:rPr>
        <w:t xml:space="preserve"> K</w:t>
      </w:r>
      <w:r>
        <w:rPr>
          <w:rFonts w:hint="eastAsia"/>
          <w:kern w:val="0"/>
          <w:szCs w:val="24"/>
        </w:rPr>
        <w:t>.</w:t>
      </w:r>
      <w:r w:rsidRPr="00F8101F">
        <w:rPr>
          <w:kern w:val="0"/>
          <w:szCs w:val="24"/>
        </w:rPr>
        <w:t>V</w:t>
      </w:r>
      <w:r>
        <w:rPr>
          <w:rFonts w:hint="eastAsia"/>
          <w:kern w:val="0"/>
          <w:szCs w:val="24"/>
        </w:rPr>
        <w:t>.</w:t>
      </w:r>
      <w:r w:rsidRPr="00F8101F">
        <w:rPr>
          <w:kern w:val="0"/>
          <w:szCs w:val="24"/>
        </w:rPr>
        <w:t xml:space="preserve"> </w:t>
      </w:r>
      <w:r>
        <w:rPr>
          <w:kern w:val="0"/>
        </w:rPr>
        <w:t xml:space="preserve">(2009), </w:t>
      </w:r>
      <w:r w:rsidRPr="00F8101F">
        <w:rPr>
          <w:kern w:val="0"/>
          <w:szCs w:val="24"/>
        </w:rPr>
        <w:t>A semiempirical kinetics for modeling</w:t>
      </w:r>
      <w:r w:rsidR="00F81221">
        <w:rPr>
          <w:kern w:val="0"/>
          <w:szCs w:val="24"/>
        </w:rPr>
        <w:t xml:space="preserve"> and </w:t>
      </w:r>
      <w:r w:rsidRPr="00F8101F">
        <w:rPr>
          <w:kern w:val="0"/>
          <w:szCs w:val="24"/>
        </w:rPr>
        <w:t>simulation of the crystal growth process in pure solutions</w:t>
      </w:r>
      <w:r>
        <w:rPr>
          <w:kern w:val="0"/>
        </w:rPr>
        <w:t xml:space="preserve">. </w:t>
      </w:r>
      <w:r>
        <w:rPr>
          <w:i/>
          <w:iCs/>
          <w:kern w:val="0"/>
        </w:rPr>
        <w:t>Industrial &amp; Engineering Chemistry Research</w:t>
      </w:r>
      <w:r>
        <w:rPr>
          <w:kern w:val="0"/>
        </w:rPr>
        <w:t xml:space="preserve">, </w:t>
      </w:r>
      <w:r>
        <w:rPr>
          <w:b/>
          <w:bCs/>
          <w:kern w:val="0"/>
        </w:rPr>
        <w:t>48</w:t>
      </w:r>
      <w:r>
        <w:rPr>
          <w:kern w:val="0"/>
        </w:rPr>
        <w:t xml:space="preserve"> (10), </w:t>
      </w:r>
      <w:r w:rsidRPr="00F8101F">
        <w:rPr>
          <w:kern w:val="0"/>
          <w:szCs w:val="24"/>
        </w:rPr>
        <w:t>5105-5110</w:t>
      </w:r>
      <w:r>
        <w:rPr>
          <w:kern w:val="0"/>
        </w:rPr>
        <w:t>.</w:t>
      </w:r>
    </w:p>
    <w:p w:rsidR="00F8101F" w:rsidRDefault="00F8101F" w:rsidP="00F8101F">
      <w:pPr>
        <w:pStyle w:val="a0"/>
        <w:rPr>
          <w:kern w:val="2"/>
        </w:rPr>
      </w:pPr>
      <w:r w:rsidRPr="00FC7835">
        <w:t xml:space="preserve">Full Text: </w:t>
      </w:r>
      <w:hyperlink r:id="rId1299" w:history="1">
        <w:r w:rsidRPr="00F8101F">
          <w:rPr>
            <w:rStyle w:val="a5"/>
          </w:rPr>
          <w:t>2009\Ind Eng Che Res48, 5105.pdf</w:t>
        </w:r>
      </w:hyperlink>
    </w:p>
    <w:p w:rsidR="00F8101F" w:rsidRDefault="00F8101F" w:rsidP="00F8101F">
      <w:pPr>
        <w:pStyle w:val="a0"/>
        <w:rPr>
          <w:kern w:val="0"/>
          <w:szCs w:val="24"/>
        </w:rPr>
      </w:pPr>
      <w:r w:rsidRPr="00F8101F">
        <w:rPr>
          <w:kern w:val="0"/>
          <w:szCs w:val="24"/>
        </w:rPr>
        <w:t>Abstract: A kinetic model was proposed to explain the growth of crystals in pure solutions based on the solid-phase concentration, assuming that the crystal growth process follows a pseudo-second-order kinetics. The initial crystallization rate was defined based on the pseudo-second-order kinetics. The proposed model was determined to be useful in predicting the rate constant, the solid-phase concentration at equilibrium,</w:t>
      </w:r>
      <w:r w:rsidR="00F81221">
        <w:rPr>
          <w:kern w:val="0"/>
          <w:szCs w:val="24"/>
        </w:rPr>
        <w:t xml:space="preserve"> and </w:t>
      </w:r>
      <w:r w:rsidRPr="00F8101F">
        <w:rPr>
          <w:kern w:val="0"/>
          <w:szCs w:val="24"/>
        </w:rPr>
        <w:t>the initial crystallization rate. The pseudo-second-order kinetic model was applied to the experimental data of the sucrose crystal growth process for different operating temperatures</w:t>
      </w:r>
      <w:r w:rsidR="00F81221">
        <w:rPr>
          <w:kern w:val="0"/>
          <w:szCs w:val="24"/>
        </w:rPr>
        <w:t xml:space="preserve"> and </w:t>
      </w:r>
      <w:r w:rsidRPr="00F8101F">
        <w:rPr>
          <w:kern w:val="0"/>
          <w:szCs w:val="24"/>
        </w:rPr>
        <w:t>seed crystal diameters. The proposed model was accurate in modeling the experimental kinetics of sucrose crystallization process for the range of operating conditions studied. The coefficient of determination between experimental data</w:t>
      </w:r>
      <w:r w:rsidR="00F81221">
        <w:rPr>
          <w:kern w:val="0"/>
          <w:szCs w:val="24"/>
        </w:rPr>
        <w:t xml:space="preserve"> and </w:t>
      </w:r>
      <w:r w:rsidRPr="00F8101F">
        <w:rPr>
          <w:kern w:val="0"/>
          <w:szCs w:val="24"/>
        </w:rPr>
        <w:t xml:space="preserve">predicted kinetics varied from r(2) = 0.943 to r(2) = 0.982 at the studied temperatures. The calculated kinetic parameters were used to generate </w:t>
      </w:r>
      <w:r w:rsidRPr="00F8101F">
        <w:rPr>
          <w:kern w:val="0"/>
          <w:szCs w:val="24"/>
        </w:rPr>
        <w:lastRenderedPageBreak/>
        <w:t>three-dimensional empirical correlations relating the crystal growth of sucrose for the range of temperature studied. The proposed model was very simple with only two unknown parameters, which can be easily determined by a simple linear or nonlinear regression analysis.</w:t>
      </w:r>
    </w:p>
    <w:p w:rsidR="009A314D" w:rsidRDefault="009A314D" w:rsidP="009A314D">
      <w:pPr>
        <w:pStyle w:val="a0"/>
        <w:rPr>
          <w:kern w:val="0"/>
          <w:szCs w:val="24"/>
        </w:rPr>
      </w:pPr>
      <w:r>
        <w:rPr>
          <w:rFonts w:hint="eastAsia"/>
          <w:kern w:val="0"/>
          <w:szCs w:val="24"/>
        </w:rPr>
        <w:t xml:space="preserve">? </w:t>
      </w:r>
      <w:r>
        <w:rPr>
          <w:kern w:val="0"/>
          <w:szCs w:val="24"/>
        </w:rPr>
        <w:t>Suryavanshi, U.S.</w:t>
      </w:r>
      <w:r w:rsidR="00F81221">
        <w:rPr>
          <w:kern w:val="0"/>
          <w:szCs w:val="24"/>
        </w:rPr>
        <w:t xml:space="preserve"> and </w:t>
      </w:r>
      <w:r>
        <w:rPr>
          <w:kern w:val="0"/>
          <w:szCs w:val="24"/>
        </w:rPr>
        <w:t xml:space="preserve">Shukla, S.R. (2009), Rebuttal to </w:t>
      </w:r>
      <w:r w:rsidR="000352E7">
        <w:rPr>
          <w:kern w:val="0"/>
          <w:szCs w:val="24"/>
        </w:rPr>
        <w:t>“</w:t>
      </w:r>
      <w:r>
        <w:rPr>
          <w:kern w:val="0"/>
          <w:szCs w:val="24"/>
        </w:rPr>
        <w:t xml:space="preserve">Comments on </w:t>
      </w:r>
      <w:r w:rsidR="000352E7">
        <w:rPr>
          <w:kern w:val="0"/>
          <w:szCs w:val="24"/>
        </w:rPr>
        <w:t>‘</w:t>
      </w:r>
      <w:r>
        <w:rPr>
          <w:kern w:val="0"/>
          <w:szCs w:val="24"/>
        </w:rPr>
        <w:t>Adsorption of Ga(III) on Oxidized Coir</w:t>
      </w:r>
      <w:r w:rsidR="000352E7">
        <w:rPr>
          <w:kern w:val="0"/>
          <w:szCs w:val="24"/>
        </w:rPr>
        <w:t>’”</w:t>
      </w:r>
      <w:r>
        <w:rPr>
          <w:kern w:val="0"/>
          <w:szCs w:val="24"/>
        </w:rPr>
        <w:t xml:space="preserve">. </w:t>
      </w:r>
      <w:r>
        <w:rPr>
          <w:i/>
          <w:iCs/>
          <w:kern w:val="0"/>
          <w:szCs w:val="24"/>
        </w:rPr>
        <w:t>Industrial &amp; Engineering Chemistry Research</w:t>
      </w:r>
      <w:r>
        <w:rPr>
          <w:kern w:val="0"/>
          <w:szCs w:val="24"/>
        </w:rPr>
        <w:t xml:space="preserve">, </w:t>
      </w:r>
      <w:r>
        <w:rPr>
          <w:b/>
          <w:bCs/>
          <w:kern w:val="0"/>
          <w:szCs w:val="24"/>
        </w:rPr>
        <w:t>48</w:t>
      </w:r>
      <w:r>
        <w:rPr>
          <w:kern w:val="0"/>
          <w:szCs w:val="24"/>
        </w:rPr>
        <w:t xml:space="preserve"> (12), 5919</w:t>
      </w:r>
      <w:r>
        <w:rPr>
          <w:rFonts w:hint="eastAsia"/>
          <w:kern w:val="0"/>
          <w:szCs w:val="24"/>
        </w:rPr>
        <w:t>.</w:t>
      </w:r>
    </w:p>
    <w:p w:rsidR="009A314D" w:rsidRDefault="009A314D" w:rsidP="009A314D">
      <w:pPr>
        <w:pStyle w:val="a0"/>
        <w:rPr>
          <w:kern w:val="2"/>
        </w:rPr>
      </w:pPr>
      <w:r w:rsidRPr="00FC7835">
        <w:t xml:space="preserve">Full Text: </w:t>
      </w:r>
      <w:hyperlink r:id="rId1300" w:history="1">
        <w:r w:rsidR="008E0383" w:rsidRPr="008E0383">
          <w:rPr>
            <w:rStyle w:val="a5"/>
          </w:rPr>
          <w:t>2009\Ind Eng Che Res48, 5919.pdf</w:t>
        </w:r>
      </w:hyperlink>
    </w:p>
    <w:p w:rsidR="009A314D" w:rsidRDefault="009A314D" w:rsidP="009A314D">
      <w:pPr>
        <w:pStyle w:val="a0"/>
        <w:rPr>
          <w:kern w:val="0"/>
          <w:szCs w:val="24"/>
        </w:rPr>
      </w:pPr>
      <w:r>
        <w:rPr>
          <w:kern w:val="0"/>
          <w:szCs w:val="24"/>
        </w:rPr>
        <w:t>Keywords: Adsorption</w:t>
      </w:r>
    </w:p>
    <w:p w:rsidR="009A314D" w:rsidRDefault="009A314D" w:rsidP="009A314D">
      <w:pPr>
        <w:pStyle w:val="a0"/>
        <w:rPr>
          <w:kern w:val="0"/>
          <w:szCs w:val="24"/>
        </w:rPr>
      </w:pPr>
      <w:r>
        <w:rPr>
          <w:rFonts w:hint="eastAsia"/>
          <w:kern w:val="0"/>
          <w:szCs w:val="24"/>
        </w:rPr>
        <w:t xml:space="preserve">? </w:t>
      </w:r>
      <w:r>
        <w:rPr>
          <w:kern w:val="0"/>
          <w:szCs w:val="24"/>
        </w:rPr>
        <w:t xml:space="preserve">Ho, Y.S. (2009), Comments on </w:t>
      </w:r>
      <w:r w:rsidR="000352E7">
        <w:rPr>
          <w:kern w:val="0"/>
          <w:szCs w:val="24"/>
        </w:rPr>
        <w:t>“</w:t>
      </w:r>
      <w:r>
        <w:rPr>
          <w:kern w:val="0"/>
          <w:szCs w:val="24"/>
        </w:rPr>
        <w:t>Adsorption of Ga(III) on Oxidized Coir</w:t>
      </w:r>
      <w:r w:rsidR="000352E7">
        <w:rPr>
          <w:kern w:val="0"/>
          <w:szCs w:val="24"/>
        </w:rPr>
        <w:t>”</w:t>
      </w:r>
      <w:r>
        <w:rPr>
          <w:kern w:val="0"/>
          <w:szCs w:val="24"/>
        </w:rPr>
        <w:t xml:space="preserve">. </w:t>
      </w:r>
      <w:r>
        <w:rPr>
          <w:i/>
          <w:iCs/>
          <w:kern w:val="0"/>
          <w:szCs w:val="24"/>
        </w:rPr>
        <w:t>Industrial &amp; Engineering Chemistry Research</w:t>
      </w:r>
      <w:r>
        <w:rPr>
          <w:kern w:val="0"/>
          <w:szCs w:val="24"/>
        </w:rPr>
        <w:t xml:space="preserve">, </w:t>
      </w:r>
      <w:r>
        <w:rPr>
          <w:b/>
          <w:bCs/>
          <w:kern w:val="0"/>
          <w:szCs w:val="24"/>
        </w:rPr>
        <w:t>48</w:t>
      </w:r>
      <w:r>
        <w:rPr>
          <w:kern w:val="0"/>
          <w:szCs w:val="24"/>
        </w:rPr>
        <w:t xml:space="preserve"> (12), 5920</w:t>
      </w:r>
      <w:r>
        <w:rPr>
          <w:rFonts w:hint="eastAsia"/>
          <w:kern w:val="0"/>
          <w:szCs w:val="24"/>
        </w:rPr>
        <w:t>.</w:t>
      </w:r>
    </w:p>
    <w:p w:rsidR="009A314D" w:rsidRDefault="009A314D" w:rsidP="009A314D">
      <w:pPr>
        <w:pStyle w:val="a0"/>
        <w:rPr>
          <w:kern w:val="2"/>
        </w:rPr>
      </w:pPr>
      <w:r w:rsidRPr="00FC7835">
        <w:t>Full Text:</w:t>
      </w:r>
      <w:r>
        <w:rPr>
          <w:rFonts w:hint="eastAsia"/>
        </w:rPr>
        <w:t xml:space="preserve"> </w:t>
      </w:r>
      <w:hyperlink r:id="rId1301" w:history="1">
        <w:r w:rsidR="008E0383" w:rsidRPr="008E0383">
          <w:rPr>
            <w:rStyle w:val="a5"/>
          </w:rPr>
          <w:t>2009\Ind Eng Che Res48, 5920.pdf</w:t>
        </w:r>
      </w:hyperlink>
    </w:p>
    <w:p w:rsidR="009A314D" w:rsidRDefault="009A314D" w:rsidP="009A314D">
      <w:pPr>
        <w:pStyle w:val="a0"/>
        <w:rPr>
          <w:kern w:val="0"/>
          <w:szCs w:val="24"/>
        </w:rPr>
      </w:pPr>
      <w:r>
        <w:rPr>
          <w:kern w:val="0"/>
          <w:szCs w:val="24"/>
        </w:rPr>
        <w:t>Keywords: Peat, Sorption.</w:t>
      </w:r>
    </w:p>
    <w:p w:rsidR="001B7B1C" w:rsidRDefault="001B7B1C" w:rsidP="001B7B1C">
      <w:pPr>
        <w:pStyle w:val="a0"/>
        <w:rPr>
          <w:kern w:val="0"/>
        </w:rPr>
      </w:pPr>
      <w:r>
        <w:rPr>
          <w:rFonts w:hint="eastAsia"/>
          <w:kern w:val="0"/>
        </w:rPr>
        <w:t xml:space="preserve">? </w:t>
      </w:r>
      <w:r w:rsidRPr="00E302C2">
        <w:rPr>
          <w:kern w:val="0"/>
        </w:rPr>
        <w:t>Oladoja, N.A.</w:t>
      </w:r>
      <w:r w:rsidR="00F81221">
        <w:rPr>
          <w:kern w:val="0"/>
        </w:rPr>
        <w:t xml:space="preserve"> and </w:t>
      </w:r>
      <w:r w:rsidRPr="00E302C2">
        <w:rPr>
          <w:kern w:val="0"/>
        </w:rPr>
        <w:t xml:space="preserve">Akinlabi, A.K. (2009), Congo Red biosorption on palm kernel seed coat. </w:t>
      </w:r>
      <w:r w:rsidRPr="00E302C2">
        <w:rPr>
          <w:i/>
          <w:iCs/>
          <w:kern w:val="0"/>
        </w:rPr>
        <w:t>Industrial &amp; Engineering Chemistry Research</w:t>
      </w:r>
      <w:r w:rsidRPr="00E302C2">
        <w:rPr>
          <w:kern w:val="0"/>
        </w:rPr>
        <w:t xml:space="preserve">, </w:t>
      </w:r>
      <w:r w:rsidRPr="00E302C2">
        <w:rPr>
          <w:b/>
          <w:bCs/>
          <w:kern w:val="0"/>
        </w:rPr>
        <w:t>48</w:t>
      </w:r>
      <w:r w:rsidRPr="00E302C2">
        <w:rPr>
          <w:kern w:val="0"/>
        </w:rPr>
        <w:t xml:space="preserve"> (13</w:t>
      </w:r>
      <w:r>
        <w:rPr>
          <w:rFonts w:hint="eastAsia"/>
          <w:kern w:val="0"/>
        </w:rPr>
        <w:t>), 6188-6196</w:t>
      </w:r>
      <w:r>
        <w:rPr>
          <w:kern w:val="0"/>
        </w:rPr>
        <w:t>.</w:t>
      </w:r>
    </w:p>
    <w:p w:rsidR="001B7B1C" w:rsidRPr="00E302C2" w:rsidRDefault="001B7B1C" w:rsidP="001B7B1C">
      <w:pPr>
        <w:pStyle w:val="a0"/>
        <w:rPr>
          <w:kern w:val="0"/>
        </w:rPr>
      </w:pPr>
      <w:r>
        <w:rPr>
          <w:rFonts w:hint="eastAsia"/>
          <w:kern w:val="0"/>
        </w:rPr>
        <w:t xml:space="preserve">Full Text: </w:t>
      </w:r>
      <w:hyperlink r:id="rId1302" w:history="1">
        <w:r w:rsidRPr="00E1460D">
          <w:rPr>
            <w:rStyle w:val="a5"/>
            <w:kern w:val="0"/>
            <w:szCs w:val="24"/>
          </w:rPr>
          <w:t>2009\Ind Eng Che Res48, 6188.pdf</w:t>
        </w:r>
      </w:hyperlink>
    </w:p>
    <w:p w:rsidR="001B7B1C" w:rsidRPr="00E302C2" w:rsidRDefault="001B7B1C" w:rsidP="001B7B1C">
      <w:pPr>
        <w:pStyle w:val="a0"/>
        <w:rPr>
          <w:kern w:val="0"/>
        </w:rPr>
      </w:pPr>
      <w:r w:rsidRPr="00E302C2">
        <w:rPr>
          <w:kern w:val="0"/>
        </w:rPr>
        <w:t>Abstract: Palm kernel coat (PKC), a waste product of oil palm production, was studied as a biosorbent for Congo Red (CR) (an anionic dye) attenuation in an aqueous stream. A batch sorption system was used,</w:t>
      </w:r>
      <w:r w:rsidR="00F81221">
        <w:rPr>
          <w:kern w:val="0"/>
        </w:rPr>
        <w:t xml:space="preserve"> and </w:t>
      </w:r>
      <w:r w:rsidRPr="00E302C2">
        <w:rPr>
          <w:kern w:val="0"/>
        </w:rPr>
        <w:t>the system variables studied included initial CR concentration</w:t>
      </w:r>
      <w:r w:rsidR="00F81221">
        <w:rPr>
          <w:kern w:val="0"/>
        </w:rPr>
        <w:t xml:space="preserve"> and </w:t>
      </w:r>
      <w:r w:rsidRPr="00E302C2">
        <w:rPr>
          <w:kern w:val="0"/>
        </w:rPr>
        <w:t>PKC dosage. A batch sorption model, based on the assumption of pseudo-first-order</w:t>
      </w:r>
      <w:r w:rsidR="00F81221">
        <w:rPr>
          <w:kern w:val="0"/>
        </w:rPr>
        <w:t xml:space="preserve"> and </w:t>
      </w:r>
      <w:r w:rsidRPr="00E302C2">
        <w:rPr>
          <w:kern w:val="0"/>
        </w:rPr>
        <w:t>pseudo-second-order mechanisms, was applied to understand the sorption dynamics of CR onto PKC</w:t>
      </w:r>
      <w:r w:rsidR="00F81221">
        <w:rPr>
          <w:kern w:val="0"/>
        </w:rPr>
        <w:t xml:space="preserve"> and </w:t>
      </w:r>
      <w:r w:rsidRPr="00E302C2">
        <w:rPr>
          <w:kern w:val="0"/>
        </w:rPr>
        <w:t>to predict the rate constant of sorption, the equilibrium sorption capacity,</w:t>
      </w:r>
      <w:r w:rsidR="00F81221">
        <w:rPr>
          <w:kern w:val="0"/>
        </w:rPr>
        <w:t xml:space="preserve"> and </w:t>
      </w:r>
      <w:r w:rsidRPr="00E302C2">
        <w:rPr>
          <w:kern w:val="0"/>
        </w:rPr>
        <w:t>the initial sorption rate when the two process variables were optimized. The linear coefficient of determination (r</w:t>
      </w:r>
      <w:r>
        <w:rPr>
          <w:rFonts w:hint="eastAsia"/>
          <w:kern w:val="0"/>
          <w:vertAlign w:val="superscript"/>
        </w:rPr>
        <w:t>2</w:t>
      </w:r>
      <w:r w:rsidRPr="00E302C2">
        <w:rPr>
          <w:kern w:val="0"/>
        </w:rPr>
        <w:t>)</w:t>
      </w:r>
      <w:r w:rsidR="00F81221">
        <w:rPr>
          <w:kern w:val="0"/>
        </w:rPr>
        <w:t xml:space="preserve"> and </w:t>
      </w:r>
      <w:r w:rsidRPr="00E302C2">
        <w:rPr>
          <w:kern w:val="0"/>
        </w:rPr>
        <w:t>the nonlinear chi-square test (</w:t>
      </w:r>
      <w:r>
        <w:rPr>
          <w:kern w:val="0"/>
        </w:rPr>
        <w:sym w:font="Symbol" w:char="F063"/>
      </w:r>
      <w:r>
        <w:rPr>
          <w:rFonts w:hint="eastAsia"/>
          <w:kern w:val="0"/>
          <w:vertAlign w:val="superscript"/>
        </w:rPr>
        <w:t>2</w:t>
      </w:r>
      <w:r w:rsidRPr="00E302C2">
        <w:rPr>
          <w:kern w:val="0"/>
        </w:rPr>
        <w:t>) Were used to assess the fitting of the sorption dynamics to either model. An equation was developed using the pseudo-second-order model, which predicts the amount of CR at any contact time</w:t>
      </w:r>
      <w:r w:rsidR="00F81221">
        <w:rPr>
          <w:kern w:val="0"/>
        </w:rPr>
        <w:t xml:space="preserve"> and </w:t>
      </w:r>
      <w:r w:rsidRPr="00E302C2">
        <w:rPr>
          <w:kern w:val="0"/>
        </w:rPr>
        <w:t>initial concentration within the given range. The rate-limiting step of die sorption reaction was also determined using the intraparticle diffusion, liquid film diffusion,</w:t>
      </w:r>
      <w:r w:rsidR="00F81221">
        <w:rPr>
          <w:kern w:val="0"/>
        </w:rPr>
        <w:t xml:space="preserve"> and </w:t>
      </w:r>
      <w:r w:rsidRPr="00E302C2">
        <w:rPr>
          <w:kern w:val="0"/>
        </w:rPr>
        <w:t>Boyd kinetic models, The results obtained showed that intraparticle diffusion becomes rate controlling at low concentration while at high concentration film diffusion is the main rate-controlling parameter. The results of the batch desorption studies showed that chemisorption played a prominent role in the sorption process. Tire elution curve obtained from the continuous desorption studies showed that the elution rate was fast</w:t>
      </w:r>
      <w:r w:rsidR="00F81221">
        <w:rPr>
          <w:kern w:val="0"/>
        </w:rPr>
        <w:t xml:space="preserve"> and </w:t>
      </w:r>
      <w:r w:rsidRPr="00E302C2">
        <w:rPr>
          <w:kern w:val="0"/>
        </w:rPr>
        <w:t>high elution efficiency could be obtained with 0.1 M CH</w:t>
      </w:r>
      <w:r w:rsidRPr="007D6FD3">
        <w:rPr>
          <w:kern w:val="0"/>
          <w:vertAlign w:val="subscript"/>
        </w:rPr>
        <w:t>3</w:t>
      </w:r>
      <w:r w:rsidRPr="00E302C2">
        <w:rPr>
          <w:kern w:val="0"/>
        </w:rPr>
        <w:t>COOH as an eluting solvent</w:t>
      </w:r>
      <w:r>
        <w:rPr>
          <w:kern w:val="0"/>
        </w:rPr>
        <w:t>.</w:t>
      </w:r>
    </w:p>
    <w:p w:rsidR="001B7B1C" w:rsidRPr="00E302C2" w:rsidRDefault="001B7B1C" w:rsidP="001B7B1C">
      <w:pPr>
        <w:pStyle w:val="a0"/>
        <w:rPr>
          <w:kern w:val="0"/>
        </w:rPr>
      </w:pPr>
      <w:r w:rsidRPr="00E302C2">
        <w:rPr>
          <w:kern w:val="0"/>
        </w:rPr>
        <w:t>Keywords: Adsorbent</w:t>
      </w:r>
      <w:r>
        <w:rPr>
          <w:kern w:val="0"/>
        </w:rPr>
        <w:t xml:space="preserve">, </w:t>
      </w:r>
      <w:r w:rsidRPr="00E302C2">
        <w:rPr>
          <w:kern w:val="0"/>
        </w:rPr>
        <w:t>Adsorption</w:t>
      </w:r>
      <w:r>
        <w:rPr>
          <w:kern w:val="0"/>
        </w:rPr>
        <w:t xml:space="preserve">, </w:t>
      </w:r>
      <w:r w:rsidRPr="00E302C2">
        <w:rPr>
          <w:kern w:val="0"/>
        </w:rPr>
        <w:t>Aqueous Stream</w:t>
      </w:r>
      <w:r>
        <w:rPr>
          <w:kern w:val="0"/>
        </w:rPr>
        <w:t xml:space="preserve">, </w:t>
      </w:r>
      <w:r w:rsidRPr="00E302C2">
        <w:rPr>
          <w:kern w:val="0"/>
        </w:rPr>
        <w:t>Aqueous-Solutions</w:t>
      </w:r>
      <w:r>
        <w:rPr>
          <w:kern w:val="0"/>
        </w:rPr>
        <w:t xml:space="preserve">, </w:t>
      </w:r>
      <w:r w:rsidRPr="00E302C2">
        <w:rPr>
          <w:kern w:val="0"/>
        </w:rPr>
        <w:t>Basic Dye</w:t>
      </w:r>
      <w:r>
        <w:rPr>
          <w:kern w:val="0"/>
        </w:rPr>
        <w:t xml:space="preserve">, </w:t>
      </w:r>
      <w:r w:rsidRPr="00E302C2">
        <w:rPr>
          <w:kern w:val="0"/>
        </w:rPr>
        <w:t>Batch</w:t>
      </w:r>
      <w:r>
        <w:rPr>
          <w:kern w:val="0"/>
        </w:rPr>
        <w:t xml:space="preserve">, </w:t>
      </w:r>
      <w:r w:rsidRPr="00E302C2">
        <w:rPr>
          <w:kern w:val="0"/>
        </w:rPr>
        <w:t>Biosorbent</w:t>
      </w:r>
      <w:r>
        <w:rPr>
          <w:kern w:val="0"/>
        </w:rPr>
        <w:t xml:space="preserve">, </w:t>
      </w:r>
      <w:r w:rsidRPr="00E302C2">
        <w:rPr>
          <w:kern w:val="0"/>
        </w:rPr>
        <w:t>Biosorption</w:t>
      </w:r>
      <w:r>
        <w:rPr>
          <w:kern w:val="0"/>
        </w:rPr>
        <w:t xml:space="preserve">, </w:t>
      </w:r>
      <w:r w:rsidRPr="00E302C2">
        <w:rPr>
          <w:kern w:val="0"/>
        </w:rPr>
        <w:t>Capacity</w:t>
      </w:r>
      <w:r>
        <w:rPr>
          <w:kern w:val="0"/>
        </w:rPr>
        <w:t xml:space="preserve">, </w:t>
      </w:r>
      <w:r w:rsidRPr="00E302C2">
        <w:rPr>
          <w:kern w:val="0"/>
        </w:rPr>
        <w:t>Chemisorption</w:t>
      </w:r>
      <w:r>
        <w:rPr>
          <w:kern w:val="0"/>
        </w:rPr>
        <w:t xml:space="preserve">, </w:t>
      </w:r>
      <w:r w:rsidRPr="00E302C2">
        <w:rPr>
          <w:kern w:val="0"/>
        </w:rPr>
        <w:t>Chi-Square</w:t>
      </w:r>
      <w:r>
        <w:rPr>
          <w:kern w:val="0"/>
        </w:rPr>
        <w:t xml:space="preserve">, </w:t>
      </w:r>
      <w:r w:rsidRPr="00E302C2">
        <w:rPr>
          <w:kern w:val="0"/>
        </w:rPr>
        <w:t>Concentration</w:t>
      </w:r>
      <w:r>
        <w:rPr>
          <w:kern w:val="0"/>
        </w:rPr>
        <w:t xml:space="preserve">, </w:t>
      </w:r>
      <w:r w:rsidRPr="00E302C2">
        <w:rPr>
          <w:kern w:val="0"/>
        </w:rPr>
        <w:t>Congo Red</w:t>
      </w:r>
      <w:r>
        <w:rPr>
          <w:kern w:val="0"/>
        </w:rPr>
        <w:t xml:space="preserve">, </w:t>
      </w:r>
      <w:r w:rsidRPr="00E302C2">
        <w:rPr>
          <w:kern w:val="0"/>
        </w:rPr>
        <w:t>Cr</w:t>
      </w:r>
      <w:r>
        <w:rPr>
          <w:kern w:val="0"/>
        </w:rPr>
        <w:t xml:space="preserve">, </w:t>
      </w:r>
      <w:r w:rsidRPr="00E302C2">
        <w:rPr>
          <w:kern w:val="0"/>
        </w:rPr>
        <w:t>Desorption</w:t>
      </w:r>
      <w:r>
        <w:rPr>
          <w:kern w:val="0"/>
        </w:rPr>
        <w:t xml:space="preserve">, </w:t>
      </w:r>
      <w:r w:rsidRPr="00E302C2">
        <w:rPr>
          <w:kern w:val="0"/>
        </w:rPr>
        <w:t>Desorption Studies</w:t>
      </w:r>
      <w:r>
        <w:rPr>
          <w:kern w:val="0"/>
        </w:rPr>
        <w:t xml:space="preserve">, </w:t>
      </w:r>
      <w:r w:rsidRPr="00E302C2">
        <w:rPr>
          <w:kern w:val="0"/>
        </w:rPr>
        <w:t>Diffusion</w:t>
      </w:r>
      <w:r>
        <w:rPr>
          <w:kern w:val="0"/>
        </w:rPr>
        <w:t xml:space="preserve">, </w:t>
      </w:r>
      <w:r w:rsidRPr="00E302C2">
        <w:rPr>
          <w:kern w:val="0"/>
        </w:rPr>
        <w:t>Dye</w:t>
      </w:r>
      <w:r>
        <w:rPr>
          <w:kern w:val="0"/>
        </w:rPr>
        <w:t xml:space="preserve">, </w:t>
      </w:r>
      <w:r w:rsidRPr="00E302C2">
        <w:rPr>
          <w:kern w:val="0"/>
        </w:rPr>
        <w:t>Dynamics</w:t>
      </w:r>
      <w:r>
        <w:rPr>
          <w:kern w:val="0"/>
        </w:rPr>
        <w:t xml:space="preserve">, </w:t>
      </w:r>
      <w:r w:rsidRPr="00E302C2">
        <w:rPr>
          <w:kern w:val="0"/>
        </w:rPr>
        <w:lastRenderedPageBreak/>
        <w:t>Efficiency</w:t>
      </w:r>
      <w:r>
        <w:rPr>
          <w:kern w:val="0"/>
        </w:rPr>
        <w:t xml:space="preserve">, </w:t>
      </w:r>
      <w:r w:rsidRPr="00E302C2">
        <w:rPr>
          <w:kern w:val="0"/>
        </w:rPr>
        <w:t>Elution</w:t>
      </w:r>
      <w:r>
        <w:rPr>
          <w:kern w:val="0"/>
        </w:rPr>
        <w:t xml:space="preserve">, </w:t>
      </w:r>
      <w:r w:rsidRPr="00E302C2">
        <w:rPr>
          <w:kern w:val="0"/>
        </w:rPr>
        <w:t>Equilibrium</w:t>
      </w:r>
      <w:r>
        <w:rPr>
          <w:kern w:val="0"/>
        </w:rPr>
        <w:t xml:space="preserve">, </w:t>
      </w:r>
      <w:r w:rsidRPr="00E302C2">
        <w:rPr>
          <w:kern w:val="0"/>
        </w:rPr>
        <w:t>Film Diffusion</w:t>
      </w:r>
      <w:r>
        <w:rPr>
          <w:kern w:val="0"/>
        </w:rPr>
        <w:t xml:space="preserve">, </w:t>
      </w:r>
      <w:r w:rsidRPr="00E302C2">
        <w:rPr>
          <w:kern w:val="0"/>
        </w:rPr>
        <w:t>Intraparticle Diffusion</w:t>
      </w:r>
      <w:r>
        <w:rPr>
          <w:kern w:val="0"/>
        </w:rPr>
        <w:t xml:space="preserve">, </w:t>
      </w:r>
      <w:r w:rsidRPr="00E302C2">
        <w:rPr>
          <w:kern w:val="0"/>
        </w:rPr>
        <w:t>Kinetic</w:t>
      </w:r>
      <w:r>
        <w:rPr>
          <w:kern w:val="0"/>
        </w:rPr>
        <w:t xml:space="preserve">, </w:t>
      </w:r>
      <w:r w:rsidRPr="00E302C2">
        <w:rPr>
          <w:kern w:val="0"/>
        </w:rPr>
        <w:t>Kinetic Models</w:t>
      </w:r>
      <w:r>
        <w:rPr>
          <w:kern w:val="0"/>
        </w:rPr>
        <w:t xml:space="preserve">, </w:t>
      </w:r>
      <w:r w:rsidRPr="00E302C2">
        <w:rPr>
          <w:kern w:val="0"/>
        </w:rPr>
        <w:t>Liquid</w:t>
      </w:r>
      <w:r>
        <w:rPr>
          <w:kern w:val="0"/>
        </w:rPr>
        <w:t xml:space="preserve">, </w:t>
      </w:r>
      <w:r w:rsidRPr="00E302C2">
        <w:rPr>
          <w:kern w:val="0"/>
        </w:rPr>
        <w:t>Mechanisms</w:t>
      </w:r>
      <w:r>
        <w:rPr>
          <w:kern w:val="0"/>
        </w:rPr>
        <w:t xml:space="preserve">, </w:t>
      </w:r>
      <w:r w:rsidRPr="00E302C2">
        <w:rPr>
          <w:kern w:val="0"/>
        </w:rPr>
        <w:t>Model</w:t>
      </w:r>
      <w:r>
        <w:rPr>
          <w:kern w:val="0"/>
        </w:rPr>
        <w:t xml:space="preserve">, </w:t>
      </w:r>
      <w:r w:rsidRPr="00E302C2">
        <w:rPr>
          <w:kern w:val="0"/>
        </w:rPr>
        <w:t>Models</w:t>
      </w:r>
      <w:r>
        <w:rPr>
          <w:kern w:val="0"/>
        </w:rPr>
        <w:t xml:space="preserve">, </w:t>
      </w:r>
      <w:r w:rsidRPr="00E302C2">
        <w:rPr>
          <w:kern w:val="0"/>
        </w:rPr>
        <w:t>Orange Peel</w:t>
      </w:r>
      <w:r>
        <w:rPr>
          <w:kern w:val="0"/>
        </w:rPr>
        <w:t xml:space="preserve">, </w:t>
      </w:r>
      <w:r w:rsidRPr="00E302C2">
        <w:rPr>
          <w:kern w:val="0"/>
        </w:rPr>
        <w:t>PKC</w:t>
      </w:r>
      <w:r>
        <w:rPr>
          <w:kern w:val="0"/>
        </w:rPr>
        <w:t xml:space="preserve">, </w:t>
      </w:r>
      <w:r w:rsidRPr="00E302C2">
        <w:rPr>
          <w:kern w:val="0"/>
        </w:rPr>
        <w:t>Pseudo First Order</w:t>
      </w:r>
      <w:r>
        <w:rPr>
          <w:kern w:val="0"/>
        </w:rPr>
        <w:t xml:space="preserve">, </w:t>
      </w:r>
      <w:r w:rsidRPr="00E302C2">
        <w:rPr>
          <w:kern w:val="0"/>
        </w:rPr>
        <w:t>Pseudo Second Order</w:t>
      </w:r>
      <w:r>
        <w:rPr>
          <w:kern w:val="0"/>
        </w:rPr>
        <w:t xml:space="preserve">, </w:t>
      </w:r>
      <w:r w:rsidRPr="00E302C2">
        <w:rPr>
          <w:kern w:val="0"/>
        </w:rPr>
        <w:t>Pseudo-First-Order</w:t>
      </w:r>
      <w:r>
        <w:rPr>
          <w:kern w:val="0"/>
        </w:rPr>
        <w:t xml:space="preserve">, </w:t>
      </w:r>
      <w:r w:rsidRPr="00E302C2">
        <w:rPr>
          <w:kern w:val="0"/>
        </w:rPr>
        <w:t>Pseudo-Second-Order</w:t>
      </w:r>
      <w:r>
        <w:rPr>
          <w:kern w:val="0"/>
        </w:rPr>
        <w:t xml:space="preserve">, </w:t>
      </w:r>
      <w:r w:rsidRPr="00E302C2">
        <w:rPr>
          <w:kern w:val="0"/>
        </w:rPr>
        <w:t>Pseudo-Second-Order Model</w:t>
      </w:r>
      <w:r>
        <w:rPr>
          <w:kern w:val="0"/>
        </w:rPr>
        <w:t xml:space="preserve">, </w:t>
      </w:r>
      <w:r w:rsidRPr="00E302C2">
        <w:rPr>
          <w:kern w:val="0"/>
        </w:rPr>
        <w:t>Rate Constant</w:t>
      </w:r>
      <w:r>
        <w:rPr>
          <w:kern w:val="0"/>
        </w:rPr>
        <w:t xml:space="preserve">, </w:t>
      </w:r>
      <w:r w:rsidRPr="00E302C2">
        <w:rPr>
          <w:kern w:val="0"/>
        </w:rPr>
        <w:t>Rate Limiting Step</w:t>
      </w:r>
      <w:r>
        <w:rPr>
          <w:kern w:val="0"/>
        </w:rPr>
        <w:t xml:space="preserve">, </w:t>
      </w:r>
      <w:r w:rsidRPr="00E302C2">
        <w:rPr>
          <w:kern w:val="0"/>
        </w:rPr>
        <w:t>Rate-Limiting Step</w:t>
      </w:r>
      <w:r>
        <w:rPr>
          <w:kern w:val="0"/>
        </w:rPr>
        <w:t xml:space="preserve">, </w:t>
      </w:r>
      <w:r w:rsidRPr="00E302C2">
        <w:rPr>
          <w:kern w:val="0"/>
        </w:rPr>
        <w:t>Removal</w:t>
      </w:r>
      <w:r>
        <w:rPr>
          <w:kern w:val="0"/>
        </w:rPr>
        <w:t xml:space="preserve">, </w:t>
      </w:r>
      <w:r w:rsidRPr="00E302C2">
        <w:rPr>
          <w:kern w:val="0"/>
        </w:rPr>
        <w:t>Role</w:t>
      </w:r>
      <w:r>
        <w:rPr>
          <w:kern w:val="0"/>
        </w:rPr>
        <w:t xml:space="preserve">, </w:t>
      </w:r>
      <w:r w:rsidRPr="00E302C2">
        <w:rPr>
          <w:kern w:val="0"/>
        </w:rPr>
        <w:t>Sawdust</w:t>
      </w:r>
      <w:r>
        <w:rPr>
          <w:kern w:val="0"/>
        </w:rPr>
        <w:t xml:space="preserve">, </w:t>
      </w:r>
      <w:r w:rsidRPr="00E302C2">
        <w:rPr>
          <w:kern w:val="0"/>
        </w:rPr>
        <w:t>Shell</w:t>
      </w:r>
      <w:r>
        <w:rPr>
          <w:kern w:val="0"/>
        </w:rPr>
        <w:t xml:space="preserve">, </w:t>
      </w:r>
      <w:r w:rsidRPr="00E302C2">
        <w:rPr>
          <w:kern w:val="0"/>
        </w:rPr>
        <w:t>Sorption</w:t>
      </w:r>
      <w:r>
        <w:rPr>
          <w:kern w:val="0"/>
        </w:rPr>
        <w:t xml:space="preserve">, </w:t>
      </w:r>
      <w:r w:rsidRPr="00E302C2">
        <w:rPr>
          <w:kern w:val="0"/>
        </w:rPr>
        <w:t>Sorption Capacity</w:t>
      </w:r>
      <w:r>
        <w:rPr>
          <w:kern w:val="0"/>
        </w:rPr>
        <w:t xml:space="preserve">, </w:t>
      </w:r>
      <w:r w:rsidRPr="00E302C2">
        <w:rPr>
          <w:kern w:val="0"/>
        </w:rPr>
        <w:t>Sorption Process</w:t>
      </w:r>
      <w:r>
        <w:rPr>
          <w:kern w:val="0"/>
        </w:rPr>
        <w:t xml:space="preserve">, </w:t>
      </w:r>
      <w:r w:rsidRPr="00E302C2">
        <w:rPr>
          <w:kern w:val="0"/>
        </w:rPr>
        <w:t>Stream</w:t>
      </w:r>
      <w:r>
        <w:rPr>
          <w:kern w:val="0"/>
        </w:rPr>
        <w:t xml:space="preserve">, </w:t>
      </w:r>
      <w:r w:rsidRPr="00E302C2">
        <w:rPr>
          <w:kern w:val="0"/>
        </w:rPr>
        <w:t>Waste</w:t>
      </w:r>
    </w:p>
    <w:p w:rsidR="00875058" w:rsidRDefault="00875058" w:rsidP="00875058">
      <w:pPr>
        <w:pStyle w:val="a0"/>
        <w:rPr>
          <w:kern w:val="0"/>
        </w:rPr>
      </w:pPr>
      <w:r>
        <w:rPr>
          <w:rFonts w:hint="eastAsia"/>
          <w:kern w:val="0"/>
        </w:rPr>
        <w:t xml:space="preserve">? </w:t>
      </w:r>
      <w:r>
        <w:rPr>
          <w:kern w:val="0"/>
        </w:rPr>
        <w:t>Das, S., Pandey, A.K., Vasudevan, T., Athawale, A.A.</w:t>
      </w:r>
      <w:r w:rsidR="00F81221">
        <w:rPr>
          <w:kern w:val="0"/>
        </w:rPr>
        <w:t xml:space="preserve"> and </w:t>
      </w:r>
      <w:r>
        <w:rPr>
          <w:kern w:val="0"/>
        </w:rPr>
        <w:t>Manchanda, V.K. (2009), Adsorptive preconcentration of uranium in hydrogels from seawater</w:t>
      </w:r>
      <w:r w:rsidR="00F81221">
        <w:rPr>
          <w:kern w:val="0"/>
        </w:rPr>
        <w:t xml:space="preserve"> and </w:t>
      </w:r>
      <w:r>
        <w:rPr>
          <w:kern w:val="0"/>
        </w:rPr>
        <w:t xml:space="preserve">aqueous solutions. </w:t>
      </w:r>
      <w:r>
        <w:rPr>
          <w:i/>
          <w:iCs/>
          <w:kern w:val="0"/>
        </w:rPr>
        <w:t>Industrial &amp; Engineering Chemistry Research</w:t>
      </w:r>
      <w:r>
        <w:rPr>
          <w:kern w:val="0"/>
        </w:rPr>
        <w:t xml:space="preserve">, </w:t>
      </w:r>
      <w:r>
        <w:rPr>
          <w:b/>
          <w:bCs/>
          <w:kern w:val="0"/>
        </w:rPr>
        <w:t>48</w:t>
      </w:r>
      <w:r>
        <w:rPr>
          <w:kern w:val="0"/>
        </w:rPr>
        <w:t xml:space="preserve"> (14), 6789-6796.</w:t>
      </w:r>
    </w:p>
    <w:p w:rsidR="00875058" w:rsidRDefault="00875058" w:rsidP="00875058">
      <w:pPr>
        <w:pStyle w:val="a0"/>
        <w:rPr>
          <w:kern w:val="2"/>
        </w:rPr>
      </w:pPr>
      <w:r w:rsidRPr="00FC7835">
        <w:t xml:space="preserve">Full Text: </w:t>
      </w:r>
      <w:hyperlink r:id="rId1303" w:history="1">
        <w:r w:rsidRPr="00B440A4">
          <w:rPr>
            <w:rStyle w:val="a5"/>
          </w:rPr>
          <w:t>2009\Ind Eng Che Res48, 6789.pdf</w:t>
        </w:r>
      </w:hyperlink>
    </w:p>
    <w:p w:rsidR="00875058" w:rsidRDefault="00875058" w:rsidP="00875058">
      <w:pPr>
        <w:pStyle w:val="a0"/>
        <w:rPr>
          <w:kern w:val="0"/>
        </w:rPr>
      </w:pPr>
      <w:r>
        <w:rPr>
          <w:kern w:val="0"/>
        </w:rPr>
        <w:t>Abstract: Cross-linked hydrogels containing poly(ethylene glycol methacrylate phosphate) (EGMP), poly(2-acrylamido-2-methyl-1-propane sulfonate) (AMPS), poly(acrylamidoxime) (AO),</w:t>
      </w:r>
      <w:r w:rsidR="00F81221">
        <w:rPr>
          <w:kern w:val="0"/>
        </w:rPr>
        <w:t xml:space="preserve"> and </w:t>
      </w:r>
      <w:r>
        <w:rPr>
          <w:kern w:val="0"/>
        </w:rPr>
        <w:t>AO along with different acidic (acrylic acid (AA), methacrylic acid (MAA), AMPS,</w:t>
      </w:r>
      <w:r w:rsidR="00F81221">
        <w:rPr>
          <w:kern w:val="0"/>
        </w:rPr>
        <w:t xml:space="preserve"> and </w:t>
      </w:r>
      <w:r>
        <w:rPr>
          <w:kern w:val="0"/>
        </w:rPr>
        <w:t>EGMP)</w:t>
      </w:r>
      <w:r w:rsidR="00F81221">
        <w:rPr>
          <w:kern w:val="0"/>
        </w:rPr>
        <w:t xml:space="preserve"> and </w:t>
      </w:r>
      <w:r>
        <w:rPr>
          <w:kern w:val="0"/>
        </w:rPr>
        <w:t>basic (3-(acrylamido propyl) trimethylammonium chloride (APTAC)) comonomers were prepared by UV-initiated bulk polymerization. These hydrogels were characterized in terms of their chemical structure</w:t>
      </w:r>
      <w:r w:rsidR="00F81221">
        <w:rPr>
          <w:kern w:val="0"/>
        </w:rPr>
        <w:t xml:space="preserve"> and </w:t>
      </w:r>
      <w:r>
        <w:rPr>
          <w:kern w:val="0"/>
        </w:rPr>
        <w:t>U(VI)-uptake behavior from aqueous</w:t>
      </w:r>
      <w:r w:rsidR="00F81221">
        <w:rPr>
          <w:kern w:val="0"/>
        </w:rPr>
        <w:t xml:space="preserve"> and </w:t>
      </w:r>
      <w:r>
        <w:rPr>
          <w:kern w:val="0"/>
        </w:rPr>
        <w:t>seawater samples. Except AMPS hydrogel, all these hydrogels were found to sorb U(VI) quantitatively (approximate to 90%) from the seawater. The U(VI)-sorption kinetics in EGMP</w:t>
      </w:r>
      <w:r w:rsidR="00F81221">
        <w:rPr>
          <w:kern w:val="0"/>
        </w:rPr>
        <w:t xml:space="preserve"> and </w:t>
      </w:r>
      <w:r>
        <w:rPr>
          <w:kern w:val="0"/>
        </w:rPr>
        <w:t>AO+MAA (60:40) hydrogels were found to be faster than other hydrogels under seawater conditions. The presence of a strong acid (-SO</w:t>
      </w:r>
      <w:r w:rsidRPr="001E7159">
        <w:rPr>
          <w:kern w:val="0"/>
          <w:vertAlign w:val="subscript"/>
        </w:rPr>
        <w:t>3</w:t>
      </w:r>
      <w:r>
        <w:rPr>
          <w:kern w:val="0"/>
        </w:rPr>
        <w:t>H) comonomer with AO retards the overall kinetics involve in the U(VI) sorption from seawater. It was also observed that the U(VI) sorption kinetics was high]), dependent on the composition of the acidic</w:t>
      </w:r>
      <w:r w:rsidR="00F81221">
        <w:rPr>
          <w:kern w:val="0"/>
        </w:rPr>
        <w:t xml:space="preserve"> and </w:t>
      </w:r>
      <w:r>
        <w:rPr>
          <w:kern w:val="0"/>
        </w:rPr>
        <w:t>AO groups in the hydrogel. The uptake of U(VI) from acidic solution in AO+MAA hydrogel was found to be dependent on the acidity of the feed solution,</w:t>
      </w:r>
      <w:r w:rsidR="00F81221">
        <w:rPr>
          <w:kern w:val="0"/>
        </w:rPr>
        <w:t xml:space="preserve"> and </w:t>
      </w:r>
      <w:r>
        <w:rPr>
          <w:kern w:val="0"/>
        </w:rPr>
        <w:t>there was no uptake of U(VI) in this hydrogel from solution containing 1 mol L</w:t>
      </w:r>
      <w:r w:rsidRPr="001E7159">
        <w:rPr>
          <w:kern w:val="0"/>
          <w:vertAlign w:val="superscript"/>
        </w:rPr>
        <w:t>-1</w:t>
      </w:r>
      <w:r>
        <w:rPr>
          <w:kern w:val="0"/>
        </w:rPr>
        <w:t xml:space="preserve"> HNO</w:t>
      </w:r>
      <w:r w:rsidRPr="001E7159">
        <w:rPr>
          <w:kern w:val="0"/>
          <w:vertAlign w:val="subscript"/>
        </w:rPr>
        <w:t>3</w:t>
      </w:r>
      <w:r>
        <w:rPr>
          <w:kern w:val="0"/>
        </w:rPr>
        <w:t>. Contrary to this, EGMP hydrogel could sorb the U(VI) from solution containing high concentration of HNO</w:t>
      </w:r>
      <w:r w:rsidRPr="001E7159">
        <w:rPr>
          <w:kern w:val="0"/>
          <w:vertAlign w:val="subscript"/>
        </w:rPr>
        <w:t>3</w:t>
      </w:r>
      <w:r>
        <w:rPr>
          <w:kern w:val="0"/>
        </w:rPr>
        <w:t>. This indicated that EGMP hydrogel call also be used for U(VI) preconcentration from the nuclear waste. U(VI) complexed in EGMP hydrogel</w:t>
      </w:r>
      <w:r w:rsidR="00F81221">
        <w:rPr>
          <w:kern w:val="0"/>
        </w:rPr>
        <w:t xml:space="preserve"> and </w:t>
      </w:r>
      <w:r>
        <w:rPr>
          <w:kern w:val="0"/>
        </w:rPr>
        <w:t>AO+MAA could be desorbed by their equilibration with 0.5 mol L-1 Na</w:t>
      </w:r>
      <w:r w:rsidRPr="001E7159">
        <w:rPr>
          <w:kern w:val="0"/>
          <w:vertAlign w:val="subscript"/>
        </w:rPr>
        <w:t>2</w:t>
      </w:r>
      <w:r>
        <w:rPr>
          <w:kern w:val="0"/>
        </w:rPr>
        <w:t>CO</w:t>
      </w:r>
      <w:r w:rsidRPr="001E7159">
        <w:rPr>
          <w:kern w:val="0"/>
          <w:vertAlign w:val="subscript"/>
        </w:rPr>
        <w:t>3</w:t>
      </w:r>
      <w:r w:rsidR="00F81221">
        <w:rPr>
          <w:kern w:val="0"/>
        </w:rPr>
        <w:t xml:space="preserve"> and </w:t>
      </w:r>
      <w:r>
        <w:rPr>
          <w:kern w:val="0"/>
        </w:rPr>
        <w:t>1 mol L</w:t>
      </w:r>
      <w:r w:rsidRPr="001E7159">
        <w:rPr>
          <w:kern w:val="0"/>
          <w:vertAlign w:val="superscript"/>
        </w:rPr>
        <w:t>-1</w:t>
      </w:r>
      <w:r>
        <w:rPr>
          <w:kern w:val="0"/>
        </w:rPr>
        <w:t xml:space="preserve"> HCl/HNO</w:t>
      </w:r>
      <w:r w:rsidRPr="001E7159">
        <w:rPr>
          <w:kern w:val="0"/>
          <w:vertAlign w:val="subscript"/>
        </w:rPr>
        <w:t>3</w:t>
      </w:r>
      <w:r>
        <w:rPr>
          <w:kern w:val="0"/>
        </w:rPr>
        <w:t>, respectively. The mechanism of sorption of U(VI) in the hydrogels was Studied to understand the factors that control the U(VI) sorption from seawater.</w:t>
      </w:r>
    </w:p>
    <w:p w:rsidR="00875058" w:rsidRDefault="00875058" w:rsidP="00875058">
      <w:pPr>
        <w:pStyle w:val="a0"/>
        <w:rPr>
          <w:kern w:val="0"/>
        </w:rPr>
      </w:pPr>
      <w:r>
        <w:rPr>
          <w:kern w:val="0"/>
        </w:rPr>
        <w:t xml:space="preserve">Keywords: Acidity, Amidoxime Adsorbents, Behavior, Binding, Chelating Functional-Group, Chemical, Chloride, Composition, Concentration, Control, Cross-Linked, Equilibration, Extraction, Feed, Group-Containing Adsorbent, Hydrogel, Hydrogels, Kinetics, L1, Mechanism, Membranes, Phosphate, Polymeric Adsorbent, Polymerization, Preconcentration, Recovery, Seawater, Solution, Sorption, Sorption Kinetics, Structure, Systems, U(VI), Uptake, Uranium, </w:t>
      </w:r>
      <w:r>
        <w:rPr>
          <w:kern w:val="0"/>
        </w:rPr>
        <w:lastRenderedPageBreak/>
        <w:t>Uranyl-Ion, Waste</w:t>
      </w:r>
    </w:p>
    <w:p w:rsidR="006D21C1" w:rsidRDefault="006D21C1" w:rsidP="006D21C1">
      <w:pPr>
        <w:pStyle w:val="a0"/>
        <w:rPr>
          <w:kern w:val="0"/>
        </w:rPr>
      </w:pPr>
      <w:r>
        <w:rPr>
          <w:rFonts w:hint="eastAsia"/>
          <w:kern w:val="0"/>
        </w:rPr>
        <w:t xml:space="preserve">? </w:t>
      </w:r>
      <w:r>
        <w:rPr>
          <w:kern w:val="0"/>
        </w:rPr>
        <w:t>Uslu, H., İnci, İ., Bayazit, Ş.S.</w:t>
      </w:r>
      <w:r w:rsidR="00F81221">
        <w:rPr>
          <w:kern w:val="0"/>
        </w:rPr>
        <w:t xml:space="preserve"> and </w:t>
      </w:r>
      <w:r>
        <w:rPr>
          <w:kern w:val="0"/>
        </w:rPr>
        <w:t>Demir, G. (2009), Comparison of solid-liquid equilibrium data for the adsorption of propionic acid</w:t>
      </w:r>
      <w:r w:rsidR="00F81221">
        <w:rPr>
          <w:kern w:val="0"/>
        </w:rPr>
        <w:t xml:space="preserve"> and </w:t>
      </w:r>
      <w:r>
        <w:rPr>
          <w:kern w:val="0"/>
        </w:rPr>
        <w:t xml:space="preserve">tartaric acid from aqueous solution onto amberlite IRA-67. </w:t>
      </w:r>
      <w:r>
        <w:rPr>
          <w:i/>
          <w:iCs/>
          <w:kern w:val="0"/>
        </w:rPr>
        <w:t>Industrial &amp; Engineering Chemistry Research</w:t>
      </w:r>
      <w:r>
        <w:rPr>
          <w:kern w:val="0"/>
        </w:rPr>
        <w:t xml:space="preserve">, </w:t>
      </w:r>
      <w:r>
        <w:rPr>
          <w:b/>
          <w:bCs/>
          <w:kern w:val="0"/>
        </w:rPr>
        <w:t>48</w:t>
      </w:r>
      <w:r>
        <w:rPr>
          <w:kern w:val="0"/>
        </w:rPr>
        <w:t xml:space="preserve"> (16), 7767-7772.</w:t>
      </w:r>
    </w:p>
    <w:p w:rsidR="006D21C1" w:rsidRDefault="006D21C1" w:rsidP="006D21C1">
      <w:pPr>
        <w:pStyle w:val="a0"/>
        <w:rPr>
          <w:kern w:val="2"/>
        </w:rPr>
      </w:pPr>
      <w:r w:rsidRPr="00FC7835">
        <w:t xml:space="preserve">Full Text: </w:t>
      </w:r>
      <w:hyperlink r:id="rId1304" w:history="1">
        <w:r w:rsidRPr="00067448">
          <w:rPr>
            <w:rStyle w:val="a5"/>
          </w:rPr>
          <w:t>2009\Ind Eng Che Res48, 7767.pdf</w:t>
        </w:r>
      </w:hyperlink>
    </w:p>
    <w:p w:rsidR="006D21C1" w:rsidRDefault="006D21C1" w:rsidP="006D21C1">
      <w:pPr>
        <w:pStyle w:val="a0"/>
        <w:rPr>
          <w:kern w:val="0"/>
        </w:rPr>
      </w:pPr>
      <w:r>
        <w:rPr>
          <w:kern w:val="0"/>
        </w:rPr>
        <w:t>Abstract: Investigation of adsorption parameters such as effect of initial acid concentration, effect of amount of ads</w:t>
      </w:r>
      <w:r w:rsidR="0031245F">
        <w:rPr>
          <w:kern w:val="0"/>
        </w:rPr>
        <w:t>orbent, effect of temperature,</w:t>
      </w:r>
      <w:r>
        <w:rPr>
          <w:kern w:val="0"/>
        </w:rPr>
        <w:t xml:space="preserve"> effect of contact time, fitting data to isotherms,</w:t>
      </w:r>
      <w:r w:rsidR="00F81221">
        <w:rPr>
          <w:kern w:val="0"/>
        </w:rPr>
        <w:t xml:space="preserve"> and </w:t>
      </w:r>
      <w:r>
        <w:rPr>
          <w:kern w:val="0"/>
        </w:rPr>
        <w:t>kinetic models for propionic acid</w:t>
      </w:r>
      <w:r w:rsidR="00F81221">
        <w:rPr>
          <w:kern w:val="0"/>
        </w:rPr>
        <w:t xml:space="preserve"> and </w:t>
      </w:r>
      <w:r>
        <w:rPr>
          <w:kern w:val="0"/>
        </w:rPr>
        <w:t>tartaric acid by using Amberlite IRA-67 adsorbent was studied. The maximum adsorption efficiencies were found to be 97.18%</w:t>
      </w:r>
      <w:r w:rsidR="00F81221">
        <w:rPr>
          <w:kern w:val="0"/>
        </w:rPr>
        <w:t xml:space="preserve"> and </w:t>
      </w:r>
      <w:r>
        <w:rPr>
          <w:kern w:val="0"/>
        </w:rPr>
        <w:t>84.46% for tartaric acid</w:t>
      </w:r>
      <w:r w:rsidR="00F81221">
        <w:rPr>
          <w:kern w:val="0"/>
        </w:rPr>
        <w:t xml:space="preserve"> and </w:t>
      </w:r>
      <w:r>
        <w:rPr>
          <w:kern w:val="0"/>
        </w:rPr>
        <w:t>propionic acid, respectively. The best fitted isotherm was determined to be Langmuir for tartaric acid. The Langmuir isotherm was better fitted than the Frundlich isotherm for both acids. Elovich model equation was applied for data of each acids. The kinetics of the adsorption for both acids was determined as pseudo-second-order model.</w:t>
      </w:r>
    </w:p>
    <w:p w:rsidR="006D21C1" w:rsidRDefault="006D21C1" w:rsidP="006D21C1">
      <w:pPr>
        <w:pStyle w:val="a0"/>
        <w:rPr>
          <w:kern w:val="0"/>
        </w:rPr>
      </w:pPr>
      <w:r>
        <w:rPr>
          <w:kern w:val="0"/>
        </w:rPr>
        <w:t>Keywords: Adsorbent, Adsorption, Concentration, Data, Elovich, Elovich Model, Equilibrium, Extraction, Isotherm, Isotherms, Kinetic, Kinetic Models, Kinetics, Langmuir, Langmuir Isotherm, Levulinic Acid, Model, Models, Plus Organic-Solvents, Propionic Acid, Pseudo Second Order, Pseudo-Second-Order, Pseudo-Second-Order Model, Recovery, Removal, Sorption, Tartaric Acid, Temperature, Waste-Water</w:t>
      </w:r>
    </w:p>
    <w:p w:rsidR="00B02EEC" w:rsidRDefault="00B02EEC" w:rsidP="00B02EEC">
      <w:pPr>
        <w:pStyle w:val="a0"/>
        <w:rPr>
          <w:kern w:val="0"/>
        </w:rPr>
      </w:pPr>
      <w:r>
        <w:rPr>
          <w:rFonts w:hint="eastAsia"/>
          <w:kern w:val="0"/>
        </w:rPr>
        <w:t xml:space="preserve">? </w:t>
      </w:r>
      <w:r>
        <w:rPr>
          <w:kern w:val="0"/>
        </w:rPr>
        <w:t xml:space="preserve">Kumar, K.V. (2009), Regression analysis for the two-step growth kinetics of crystals in pure solutions. </w:t>
      </w:r>
      <w:r>
        <w:rPr>
          <w:i/>
          <w:iCs/>
          <w:kern w:val="0"/>
        </w:rPr>
        <w:t>Industrial &amp; Engineering Chemistry Research</w:t>
      </w:r>
      <w:r>
        <w:rPr>
          <w:kern w:val="0"/>
        </w:rPr>
        <w:t xml:space="preserve">, </w:t>
      </w:r>
      <w:r>
        <w:rPr>
          <w:b/>
          <w:bCs/>
          <w:kern w:val="0"/>
        </w:rPr>
        <w:t>48</w:t>
      </w:r>
      <w:r>
        <w:rPr>
          <w:kern w:val="0"/>
        </w:rPr>
        <w:t xml:space="preserve"> (16), 7852-7859.</w:t>
      </w:r>
    </w:p>
    <w:p w:rsidR="00B02EEC" w:rsidRDefault="00B02EEC" w:rsidP="00B02EEC">
      <w:pPr>
        <w:pStyle w:val="a0"/>
        <w:rPr>
          <w:kern w:val="2"/>
        </w:rPr>
      </w:pPr>
      <w:r w:rsidRPr="00FC7835">
        <w:t xml:space="preserve">Full Text: </w:t>
      </w:r>
      <w:hyperlink r:id="rId1305" w:history="1">
        <w:r w:rsidRPr="00B02EEC">
          <w:rPr>
            <w:rStyle w:val="a5"/>
          </w:rPr>
          <w:t>2009\Ind Eng Che Res48, 7852.pdf</w:t>
        </w:r>
      </w:hyperlink>
    </w:p>
    <w:p w:rsidR="00B02EEC" w:rsidRDefault="00B02EEC" w:rsidP="00B02EEC">
      <w:pPr>
        <w:pStyle w:val="a0"/>
        <w:rPr>
          <w:kern w:val="0"/>
        </w:rPr>
      </w:pPr>
      <w:r>
        <w:rPr>
          <w:kern w:val="0"/>
        </w:rPr>
        <w:t>Abstract: The overall growth kinetics of ammonium pentaborate, borax decahydrate,</w:t>
      </w:r>
      <w:r w:rsidR="00F81221">
        <w:rPr>
          <w:kern w:val="0"/>
        </w:rPr>
        <w:t xml:space="preserve"> and </w:t>
      </w:r>
      <w:r>
        <w:rPr>
          <w:kern w:val="0"/>
        </w:rPr>
        <w:t>boric acid crystals in pure solution, were analyzed using a two-step mass transfer model. Four different linear expressions of the two-step mass transfer model (TSM), which include the widely used expressions of Sobczak</w:t>
      </w:r>
      <w:r w:rsidR="00F81221">
        <w:rPr>
          <w:kern w:val="0"/>
        </w:rPr>
        <w:t xml:space="preserve"> and </w:t>
      </w:r>
      <w:r>
        <w:rPr>
          <w:kern w:val="0"/>
        </w:rPr>
        <w:t>Karpinski, were discussed. The influence of linearization for an assumed second-order reaction kinetics on the mass transfer</w:t>
      </w:r>
      <w:r w:rsidR="00F81221">
        <w:rPr>
          <w:kern w:val="0"/>
        </w:rPr>
        <w:t xml:space="preserve"> and </w:t>
      </w:r>
      <w:r>
        <w:rPr>
          <w:kern w:val="0"/>
        </w:rPr>
        <w:t>reaction steps was studied for various crystallization systems with overall growth kinetic order ranging from 1 to &gt;= 2. The overall growth kinetics of ammonium pentaborate</w:t>
      </w:r>
      <w:r w:rsidR="00F81221">
        <w:rPr>
          <w:kern w:val="0"/>
        </w:rPr>
        <w:t xml:space="preserve"> and </w:t>
      </w:r>
      <w:r>
        <w:rPr>
          <w:kern w:val="0"/>
        </w:rPr>
        <w:t>borax decahydrate were used to study the effect of linearization as a function of temperature</w:t>
      </w:r>
      <w:r w:rsidR="00F81221">
        <w:rPr>
          <w:kern w:val="0"/>
        </w:rPr>
        <w:t xml:space="preserve"> and </w:t>
      </w:r>
      <w:r>
        <w:rPr>
          <w:kern w:val="0"/>
        </w:rPr>
        <w:t>seed size. The complexities in using the linearized TSM expression to predict the mechanism of the crystal growth process in pure solutions were discussed. A Type 3 expression of Karpinski that successfully represents the overall crystal growth kinetics was determined to be successful in representing two-step growth of borax decahydrate</w:t>
      </w:r>
      <w:r w:rsidR="00F81221">
        <w:rPr>
          <w:kern w:val="0"/>
        </w:rPr>
        <w:t xml:space="preserve"> and </w:t>
      </w:r>
      <w:r>
        <w:rPr>
          <w:kern w:val="0"/>
        </w:rPr>
        <w:t>ammonium pentaborate crystals. Type 1</w:t>
      </w:r>
      <w:r w:rsidR="00F81221">
        <w:rPr>
          <w:kern w:val="0"/>
        </w:rPr>
        <w:t xml:space="preserve"> and </w:t>
      </w:r>
      <w:r>
        <w:rPr>
          <w:kern w:val="0"/>
        </w:rPr>
        <w:t xml:space="preserve">Type 4 expressions were determined to be inappropriate for the studied crystallization systems, because they either poorly fit </w:t>
      </w:r>
      <w:r>
        <w:rPr>
          <w:kern w:val="0"/>
        </w:rPr>
        <w:lastRenderedPageBreak/>
        <w:t>the growth kinetics or produce kinetic parameters without physical meaning. The Sobczak expression well-represents the overall crystal growth kinetics of second order or more,</w:t>
      </w:r>
      <w:r w:rsidR="00F81221">
        <w:rPr>
          <w:kern w:val="0"/>
        </w:rPr>
        <w:t xml:space="preserve"> and </w:t>
      </w:r>
      <w:r>
        <w:rPr>
          <w:kern w:val="0"/>
        </w:rPr>
        <w:t>the Karpinski expression was determined to be successful in representing the overall crystal growth kinetics of order near or equal to unity.</w:t>
      </w:r>
    </w:p>
    <w:p w:rsidR="00B02EEC" w:rsidRDefault="00B02EEC" w:rsidP="00B02EEC">
      <w:pPr>
        <w:pStyle w:val="a0"/>
        <w:rPr>
          <w:kern w:val="0"/>
        </w:rPr>
      </w:pPr>
      <w:r>
        <w:rPr>
          <w:kern w:val="0"/>
        </w:rPr>
        <w:t>Keywords: Crystal Growth, Crystallization, Crystallization Kinetics, Dissolution, Kinetic, Kinetics, Mass Transfer, Mechanism, Model, Second Order, Temperature</w:t>
      </w:r>
    </w:p>
    <w:p w:rsidR="00F56C2B" w:rsidRDefault="00F56C2B" w:rsidP="00F56C2B">
      <w:pPr>
        <w:pStyle w:val="a0"/>
        <w:rPr>
          <w:kern w:val="0"/>
        </w:rPr>
      </w:pPr>
      <w:r>
        <w:rPr>
          <w:rFonts w:hint="eastAsia"/>
          <w:kern w:val="0"/>
        </w:rPr>
        <w:t xml:space="preserve">? </w:t>
      </w:r>
      <w:r>
        <w:rPr>
          <w:kern w:val="0"/>
        </w:rPr>
        <w:t>Mandal, S., Mayadevi, S.</w:t>
      </w:r>
      <w:r w:rsidR="00F81221">
        <w:rPr>
          <w:kern w:val="0"/>
        </w:rPr>
        <w:t xml:space="preserve"> and </w:t>
      </w:r>
      <w:r>
        <w:rPr>
          <w:kern w:val="0"/>
        </w:rPr>
        <w:t xml:space="preserve">Kulkarni, B.D. (2009), Adsorption of aqueous selenite [Se(IV)] species on synthetic layered double hydroxide materials. </w:t>
      </w:r>
      <w:r>
        <w:rPr>
          <w:i/>
          <w:iCs/>
          <w:kern w:val="0"/>
        </w:rPr>
        <w:t>Industrial &amp; Engineering Chemistry Research</w:t>
      </w:r>
      <w:r>
        <w:rPr>
          <w:kern w:val="0"/>
        </w:rPr>
        <w:t xml:space="preserve">, </w:t>
      </w:r>
      <w:r>
        <w:rPr>
          <w:b/>
          <w:bCs/>
          <w:kern w:val="0"/>
        </w:rPr>
        <w:t>48</w:t>
      </w:r>
      <w:r>
        <w:rPr>
          <w:kern w:val="0"/>
        </w:rPr>
        <w:t xml:space="preserve"> (17), 7893-7898.</w:t>
      </w:r>
    </w:p>
    <w:p w:rsidR="00F56C2B" w:rsidRDefault="00F56C2B" w:rsidP="00F56C2B">
      <w:pPr>
        <w:pStyle w:val="a0"/>
        <w:rPr>
          <w:kern w:val="0"/>
        </w:rPr>
      </w:pPr>
      <w:r>
        <w:rPr>
          <w:rFonts w:hint="eastAsia"/>
          <w:kern w:val="0"/>
        </w:rPr>
        <w:t xml:space="preserve">Full Text: </w:t>
      </w:r>
      <w:hyperlink r:id="rId1306" w:history="1">
        <w:r w:rsidRPr="003B02F8">
          <w:rPr>
            <w:rStyle w:val="a5"/>
            <w:kern w:val="0"/>
          </w:rPr>
          <w:t>2009\Ind Eng Che Res48, 7893.pdf</w:t>
        </w:r>
      </w:hyperlink>
    </w:p>
    <w:p w:rsidR="00F56C2B" w:rsidRDefault="00F56C2B" w:rsidP="00F56C2B">
      <w:pPr>
        <w:pStyle w:val="a0"/>
        <w:rPr>
          <w:kern w:val="0"/>
        </w:rPr>
      </w:pPr>
      <w:r>
        <w:rPr>
          <w:kern w:val="0"/>
        </w:rPr>
        <w:t>Abstract: Layered double hydroxide materials (Zn/Al, Mg/Al, Zn/Fe) with varying composition (M</w:t>
      </w:r>
      <w:r w:rsidRPr="00565AFC">
        <w:rPr>
          <w:kern w:val="0"/>
          <w:vertAlign w:val="superscript"/>
        </w:rPr>
        <w:t>2+</w:t>
      </w:r>
      <w:r>
        <w:rPr>
          <w:kern w:val="0"/>
        </w:rPr>
        <w:t>:M</w:t>
      </w:r>
      <w:r w:rsidRPr="00565AFC">
        <w:rPr>
          <w:kern w:val="0"/>
          <w:vertAlign w:val="superscript"/>
        </w:rPr>
        <w:t>3+</w:t>
      </w:r>
      <w:r>
        <w:rPr>
          <w:kern w:val="0"/>
        </w:rPr>
        <w:t xml:space="preserve"> molar ratio, x = 3, 2, 1,</w:t>
      </w:r>
      <w:r w:rsidR="00F81221">
        <w:rPr>
          <w:kern w:val="0"/>
        </w:rPr>
        <w:t xml:space="preserve"> and </w:t>
      </w:r>
      <w:r>
        <w:rPr>
          <w:kern w:val="0"/>
        </w:rPr>
        <w:t>0.33) were synthesized</w:t>
      </w:r>
      <w:r w:rsidR="00F81221">
        <w:rPr>
          <w:kern w:val="0"/>
        </w:rPr>
        <w:t xml:space="preserve"> and </w:t>
      </w:r>
      <w:r>
        <w:rPr>
          <w:kern w:val="0"/>
        </w:rPr>
        <w:t>evaluated for their selenium adsorption characteristics in aqueous medium. Zn/Al</w:t>
      </w:r>
      <w:r w:rsidR="00F81221">
        <w:rPr>
          <w:kern w:val="0"/>
        </w:rPr>
        <w:t xml:space="preserve"> and </w:t>
      </w:r>
      <w:r>
        <w:rPr>
          <w:kern w:val="0"/>
        </w:rPr>
        <w:t>Mg/Al LDHs with x = 3</w:t>
      </w:r>
      <w:r w:rsidR="00F81221">
        <w:rPr>
          <w:kern w:val="0"/>
        </w:rPr>
        <w:t xml:space="preserve"> and </w:t>
      </w:r>
      <w:r>
        <w:rPr>
          <w:kern w:val="0"/>
        </w:rPr>
        <w:t>2, exhibited very high selenite adsorption capacity. XRD patterns of the pristine LDHs, LDH after selenite adsorption,</w:t>
      </w:r>
      <w:r w:rsidR="00F81221">
        <w:rPr>
          <w:kern w:val="0"/>
        </w:rPr>
        <w:t xml:space="preserve"> and </w:t>
      </w:r>
      <w:r>
        <w:rPr>
          <w:kern w:val="0"/>
        </w:rPr>
        <w:t>chloride ion leaching studies revealed that adsorption of selenium on the LDHs occurred through both surface adsorption</w:t>
      </w:r>
      <w:r w:rsidR="00F81221">
        <w:rPr>
          <w:kern w:val="0"/>
        </w:rPr>
        <w:t xml:space="preserve"> and </w:t>
      </w:r>
      <w:r>
        <w:rPr>
          <w:kern w:val="0"/>
        </w:rPr>
        <w:t>ion-exchange mechanism. The adsorption data was fitted to Langmuir</w:t>
      </w:r>
      <w:r w:rsidR="00F81221">
        <w:rPr>
          <w:kern w:val="0"/>
        </w:rPr>
        <w:t xml:space="preserve"> and </w:t>
      </w:r>
      <w:r>
        <w:rPr>
          <w:kern w:val="0"/>
        </w:rPr>
        <w:t>Freundlich isotherm models. A pseudo second-order kinetic model was used to describe the adsorption kinetics of selenite on LDH materials. Desorption of selenite ions in water from the LDH-Se matrix was Studied up to 5 h.</w:t>
      </w:r>
    </w:p>
    <w:p w:rsidR="00F56C2B" w:rsidRDefault="00F56C2B" w:rsidP="00F56C2B">
      <w:pPr>
        <w:pStyle w:val="a0"/>
        <w:rPr>
          <w:kern w:val="0"/>
        </w:rPr>
      </w:pPr>
      <w:r>
        <w:rPr>
          <w:kern w:val="0"/>
        </w:rPr>
        <w:t>Keywords: Adsorption, Adsorption Capacity, Adsorption Kinetics, Al, Aqueous Medium, Capacity, Characteristics, Chloride, Coated Sand, Composition, Data, Desorption, Double Hydroxide, Fluoride, Freundlich, Freundlich Isotherm, Goethite, Hydroxide, Ion Exchange, Ion-Exchange, Ionexchange, Ions, Isotherm, Kinetic, Kinetic Model, Kinetics, Langmuir, Leaching, Matrix, Mechanism, Model, Models, Oxide, Oxyanions, Pristine, Pseudo Second Order, Pseudo Second-Order, Pseudo-Second-Order, Removal, Second Order, Second-Order, Selenate, Selenite, Selenium, Sorption, Surface, Water, XRD</w:t>
      </w:r>
    </w:p>
    <w:p w:rsidR="00A71774" w:rsidRDefault="00A71774" w:rsidP="00A71774">
      <w:pPr>
        <w:pStyle w:val="a0"/>
        <w:rPr>
          <w:kern w:val="0"/>
        </w:rPr>
      </w:pPr>
      <w:r>
        <w:rPr>
          <w:rFonts w:hint="eastAsia"/>
          <w:kern w:val="0"/>
        </w:rPr>
        <w:t xml:space="preserve">? </w:t>
      </w:r>
      <w:r>
        <w:rPr>
          <w:kern w:val="0"/>
        </w:rPr>
        <w:t>Liang, C.J., Lin, Y.T.</w:t>
      </w:r>
      <w:r w:rsidR="00F81221">
        <w:rPr>
          <w:kern w:val="0"/>
        </w:rPr>
        <w:t xml:space="preserve"> and </w:t>
      </w:r>
      <w:r>
        <w:rPr>
          <w:kern w:val="0"/>
        </w:rPr>
        <w:t>Shih, W.H. (2009), Treatment of trichloroethylene by adsorption</w:t>
      </w:r>
      <w:r w:rsidR="00F81221">
        <w:rPr>
          <w:kern w:val="0"/>
        </w:rPr>
        <w:t xml:space="preserve"> and </w:t>
      </w:r>
      <w:r>
        <w:rPr>
          <w:kern w:val="0"/>
        </w:rPr>
        <w:t xml:space="preserve">persulfate oxidation in batch studies. </w:t>
      </w:r>
      <w:r>
        <w:rPr>
          <w:i/>
          <w:iCs/>
          <w:kern w:val="0"/>
        </w:rPr>
        <w:t>Industrial &amp; Engineering Chemistry Research</w:t>
      </w:r>
      <w:r>
        <w:rPr>
          <w:kern w:val="0"/>
        </w:rPr>
        <w:t xml:space="preserve">, </w:t>
      </w:r>
      <w:r>
        <w:rPr>
          <w:b/>
          <w:bCs/>
          <w:kern w:val="0"/>
        </w:rPr>
        <w:t>48</w:t>
      </w:r>
      <w:r>
        <w:rPr>
          <w:kern w:val="0"/>
        </w:rPr>
        <w:t xml:space="preserve"> (18), 8373-8380.</w:t>
      </w:r>
    </w:p>
    <w:p w:rsidR="00A71774" w:rsidRDefault="00A71774" w:rsidP="00A71774">
      <w:pPr>
        <w:pStyle w:val="a0"/>
        <w:rPr>
          <w:kern w:val="0"/>
        </w:rPr>
      </w:pPr>
      <w:r>
        <w:rPr>
          <w:rFonts w:hint="eastAsia"/>
          <w:kern w:val="0"/>
        </w:rPr>
        <w:t xml:space="preserve">Full Text: </w:t>
      </w:r>
      <w:hyperlink r:id="rId1307" w:history="1">
        <w:r w:rsidRPr="00A175A2">
          <w:rPr>
            <w:rStyle w:val="a5"/>
            <w:kern w:val="0"/>
          </w:rPr>
          <w:t>2009\Ind Eng Che Res48, 8373.pdf</w:t>
        </w:r>
      </w:hyperlink>
    </w:p>
    <w:p w:rsidR="00A71774" w:rsidRDefault="00A71774" w:rsidP="00A71774">
      <w:pPr>
        <w:pStyle w:val="a0"/>
        <w:rPr>
          <w:kern w:val="0"/>
        </w:rPr>
      </w:pPr>
      <w:r>
        <w:rPr>
          <w:kern w:val="0"/>
        </w:rPr>
        <w:t>Abstract: For remediation of trichloroethylene (TCE) contaminated groundwater, activated carbon (AC) has been used to adsorb</w:t>
      </w:r>
      <w:r w:rsidR="00F81221">
        <w:rPr>
          <w:kern w:val="0"/>
        </w:rPr>
        <w:t xml:space="preserve"> and </w:t>
      </w:r>
      <w:r>
        <w:rPr>
          <w:kern w:val="0"/>
        </w:rPr>
        <w:t>reduce the TCE concentration</w:t>
      </w:r>
      <w:r w:rsidR="00F81221">
        <w:rPr>
          <w:kern w:val="0"/>
        </w:rPr>
        <w:t xml:space="preserve"> and </w:t>
      </w:r>
      <w:r>
        <w:rPr>
          <w:kern w:val="0"/>
        </w:rPr>
        <w:t>to manage contaminant migration. Additionally, AC may also act as all activator of the electron-transfer mediator in activating persulfate anion (S</w:t>
      </w:r>
      <w:r w:rsidRPr="00374847">
        <w:rPr>
          <w:kern w:val="0"/>
          <w:vertAlign w:val="subscript"/>
        </w:rPr>
        <w:t>2</w:t>
      </w:r>
      <w:r>
        <w:rPr>
          <w:kern w:val="0"/>
        </w:rPr>
        <w:t>O</w:t>
      </w:r>
      <w:r w:rsidRPr="00374847">
        <w:rPr>
          <w:kern w:val="0"/>
          <w:vertAlign w:val="subscript"/>
        </w:rPr>
        <w:t>8</w:t>
      </w:r>
      <w:r w:rsidRPr="00374847">
        <w:rPr>
          <w:kern w:val="0"/>
          <w:vertAlign w:val="superscript"/>
        </w:rPr>
        <w:t>2-</w:t>
      </w:r>
      <w:r>
        <w:rPr>
          <w:kern w:val="0"/>
        </w:rPr>
        <w:t>) to generate sulfate radical (SO</w:t>
      </w:r>
      <w:r w:rsidRPr="00374847">
        <w:rPr>
          <w:kern w:val="0"/>
          <w:vertAlign w:val="subscript"/>
        </w:rPr>
        <w:t>4</w:t>
      </w:r>
      <w:r>
        <w:rPr>
          <w:kern w:val="0"/>
        </w:rPr>
        <w:t>-center dot) for contaminant destruction. The objective of the present research was to examine the combined use of AC</w:t>
      </w:r>
      <w:r w:rsidR="00F81221">
        <w:rPr>
          <w:kern w:val="0"/>
        </w:rPr>
        <w:t xml:space="preserve"> and </w:t>
      </w:r>
      <w:r>
        <w:rPr>
          <w:kern w:val="0"/>
        </w:rPr>
        <w:t xml:space="preserve">persulfate to treat TCE. The degradation of persulfate in the presence of AC follows a first-order kinetic </w:t>
      </w:r>
      <w:r>
        <w:rPr>
          <w:kern w:val="0"/>
        </w:rPr>
        <w:lastRenderedPageBreak/>
        <w:t>behavior,</w:t>
      </w:r>
      <w:r w:rsidR="00F81221">
        <w:rPr>
          <w:kern w:val="0"/>
        </w:rPr>
        <w:t xml:space="preserve"> and </w:t>
      </w:r>
      <w:r>
        <w:rPr>
          <w:kern w:val="0"/>
        </w:rPr>
        <w:t>the faster persulfate degradation is observed when elevated AC dosage is used. Higher initial persulfate concentration results in a decrease of the persulfate degradation rate. Upon persulfate oxidation, the AC surface properties are altered including: all increase in acidity of surface concentration, a decrease in pH</w:t>
      </w:r>
      <w:r>
        <w:rPr>
          <w:rFonts w:hint="eastAsia"/>
          <w:kern w:val="0"/>
          <w:vertAlign w:val="subscript"/>
        </w:rPr>
        <w:t>zpc</w:t>
      </w:r>
      <w:r>
        <w:rPr>
          <w:kern w:val="0"/>
        </w:rPr>
        <w:t>,</w:t>
      </w:r>
      <w:r w:rsidR="00F81221">
        <w:rPr>
          <w:kern w:val="0"/>
        </w:rPr>
        <w:t xml:space="preserve"> and </w:t>
      </w:r>
      <w:r>
        <w:rPr>
          <w:kern w:val="0"/>
        </w:rPr>
        <w:t>a slight decrease in the surface area. The results Of a Study of adsorption kinetics</w:t>
      </w:r>
      <w:r w:rsidR="00F81221">
        <w:rPr>
          <w:kern w:val="0"/>
        </w:rPr>
        <w:t xml:space="preserve"> and </w:t>
      </w:r>
      <w:r>
        <w:rPr>
          <w:kern w:val="0"/>
        </w:rPr>
        <w:t>isotherms suggest that the adsorption behavior for the original AC fits the pseudo-second-order kinetic model while the pseudo-first-order kinetic model is suitable for predicting oxidized AC performance. During the persulfate oxidation of TCE with AC as an activator, studies show that TCE removal call be a net result of adsorption</w:t>
      </w:r>
      <w:r w:rsidR="00F81221">
        <w:rPr>
          <w:kern w:val="0"/>
        </w:rPr>
        <w:t xml:space="preserve"> and </w:t>
      </w:r>
      <w:r>
        <w:rPr>
          <w:kern w:val="0"/>
        </w:rPr>
        <w:t>oxidation, in which a partial mineralization of TCE to release chloride occurs.</w:t>
      </w:r>
    </w:p>
    <w:p w:rsidR="00A71774" w:rsidRDefault="00A71774" w:rsidP="00A71774">
      <w:pPr>
        <w:pStyle w:val="a0"/>
        <w:rPr>
          <w:kern w:val="0"/>
        </w:rPr>
      </w:pPr>
      <w:r>
        <w:rPr>
          <w:kern w:val="0"/>
        </w:rPr>
        <w:t>Keywords: 4-Chlorophenol, Acidity, Activated Carbon, Activated-Carbon, Activator, Adsorption, Adsorption Behavior, Adsorption Kinetics, Adsorption Kinetics</w:t>
      </w:r>
      <w:r w:rsidR="00F81221">
        <w:rPr>
          <w:kern w:val="0"/>
        </w:rPr>
        <w:t xml:space="preserve"> and </w:t>
      </w:r>
      <w:r>
        <w:rPr>
          <w:kern w:val="0"/>
        </w:rPr>
        <w:t>Isotherms, Aqueous-Solution, Behavior, Carbon, Catalyst, Chloride, Concentration, Contaminant, Contaminated Groundwater, Decomposition, Degradation, First Order, Groundwater, Hydrogen-Peroxide, Isotherms, Kinetic, Kinetic Model, Kinetics, Mechanism, Migration, Mineralization, Model, Oxidation, Performance, Persulfate, pH</w:t>
      </w:r>
      <w:r>
        <w:rPr>
          <w:rFonts w:hint="eastAsia"/>
          <w:kern w:val="0"/>
          <w:vertAlign w:val="subscript"/>
        </w:rPr>
        <w:t>zpc</w:t>
      </w:r>
      <w:r>
        <w:rPr>
          <w:kern w:val="0"/>
        </w:rPr>
        <w:t>, Phenol, Pseudo First Order, Pseudo Second Order, Pseudo-First-Order, Pseudo-Second-Order, Pseudo-Second-Order Kinetic Model, Release, Remediation, Removal, Research, Sulfate, Surface, Surface Area, Surface Properties, Surface-Chemistry, TCE, Treatment, Trichloroethylene, Waste-Water</w:t>
      </w:r>
    </w:p>
    <w:p w:rsidR="00060FD3" w:rsidRDefault="00060FD3" w:rsidP="00060FD3">
      <w:pPr>
        <w:pStyle w:val="a0"/>
        <w:rPr>
          <w:kern w:val="0"/>
        </w:rPr>
      </w:pPr>
      <w:r>
        <w:rPr>
          <w:rFonts w:hint="eastAsia"/>
          <w:kern w:val="0"/>
        </w:rPr>
        <w:t xml:space="preserve">? </w:t>
      </w:r>
      <w:r>
        <w:rPr>
          <w:kern w:val="0"/>
        </w:rPr>
        <w:t>Kołodyńska, D., Hubicki, Z.</w:t>
      </w:r>
      <w:r w:rsidR="00F81221">
        <w:rPr>
          <w:kern w:val="0"/>
        </w:rPr>
        <w:t xml:space="preserve"> and </w:t>
      </w:r>
      <w:r>
        <w:rPr>
          <w:kern w:val="0"/>
        </w:rPr>
        <w:t xml:space="preserve">Skiba, A. (2009), Heavy metal ions removal in the presence of 1-hydroxyethane-1,1-diphosphonic acid from aqueous solutions on polystyrene anion exchangers. </w:t>
      </w:r>
      <w:r>
        <w:rPr>
          <w:i/>
          <w:iCs/>
          <w:kern w:val="0"/>
        </w:rPr>
        <w:t>Industrial &amp; Engineering Chemistry Research</w:t>
      </w:r>
      <w:r>
        <w:rPr>
          <w:kern w:val="0"/>
        </w:rPr>
        <w:t xml:space="preserve">, </w:t>
      </w:r>
      <w:r>
        <w:rPr>
          <w:b/>
          <w:bCs/>
          <w:kern w:val="0"/>
        </w:rPr>
        <w:t>48</w:t>
      </w:r>
      <w:r>
        <w:rPr>
          <w:kern w:val="0"/>
        </w:rPr>
        <w:t xml:space="preserve"> (23), 10584-10593.</w:t>
      </w:r>
    </w:p>
    <w:p w:rsidR="00060FD3" w:rsidRDefault="00060FD3" w:rsidP="00060FD3">
      <w:pPr>
        <w:pStyle w:val="a0"/>
        <w:rPr>
          <w:kern w:val="0"/>
        </w:rPr>
      </w:pPr>
      <w:r>
        <w:rPr>
          <w:kern w:val="0"/>
        </w:rPr>
        <w:t>Full Text:</w:t>
      </w:r>
      <w:r w:rsidRPr="00B025C1">
        <w:t xml:space="preserve"> </w:t>
      </w:r>
      <w:hyperlink r:id="rId1308" w:history="1">
        <w:r w:rsidRPr="00C24059">
          <w:rPr>
            <w:rStyle w:val="a5"/>
          </w:rPr>
          <w:t>2009\Ind Eng Che Res48, 10584.pdf</w:t>
        </w:r>
      </w:hyperlink>
    </w:p>
    <w:p w:rsidR="00060FD3" w:rsidRDefault="00060FD3" w:rsidP="00060FD3">
      <w:pPr>
        <w:pStyle w:val="a0"/>
        <w:rPr>
          <w:kern w:val="0"/>
        </w:rPr>
      </w:pPr>
      <w:r>
        <w:rPr>
          <w:kern w:val="0"/>
        </w:rPr>
        <w:t>Abstract: In the presented paper, the ability of commercially available gel</w:t>
      </w:r>
      <w:r w:rsidR="00F81221">
        <w:rPr>
          <w:kern w:val="0"/>
        </w:rPr>
        <w:t xml:space="preserve"> and </w:t>
      </w:r>
      <w:r>
        <w:rPr>
          <w:kern w:val="0"/>
        </w:rPr>
        <w:t>macroporous polystyrene anion exchangers for the removal of copper(II), zinc(II), nickel(II),</w:t>
      </w:r>
      <w:r w:rsidR="00F81221">
        <w:rPr>
          <w:kern w:val="0"/>
        </w:rPr>
        <w:t xml:space="preserve"> and </w:t>
      </w:r>
      <w:r>
        <w:rPr>
          <w:kern w:val="0"/>
        </w:rPr>
        <w:t>cadmium(II) complexes with 1-hydroxyethane-1,1-diphosphonic acid (HEDP) from aqueous Solutions was investigated under various experimental conditions. In the experiments, the strongly basic anion exchangers Lewatit MonoPlus M 600, Lewatit MonoPlus MP 500,</w:t>
      </w:r>
      <w:r w:rsidR="00F81221">
        <w:rPr>
          <w:kern w:val="0"/>
        </w:rPr>
        <w:t xml:space="preserve"> and </w:t>
      </w:r>
      <w:r>
        <w:rPr>
          <w:kern w:val="0"/>
        </w:rPr>
        <w:t>Amberlite IRA 402 with the quaternary ammonium functional groups as well as the medium basic anion exchanger Lewatit MonoPlus MP 64 with the quaternary ammonium/tertiary amine functional groups were used. Special attention was paid to the concentration of heavy metal ions, M(II)-HEDP molar ratio, pH of solutions, temperature,</w:t>
      </w:r>
      <w:r w:rsidR="00F81221">
        <w:rPr>
          <w:kern w:val="0"/>
        </w:rPr>
        <w:t xml:space="preserve"> and </w:t>
      </w:r>
      <w:r>
        <w:rPr>
          <w:kern w:val="0"/>
        </w:rPr>
        <w:t>the physicochemical properties of the anion exchangers used. The effect of the interfered ions such as Ca(II), Mg(II), Cl-, NO</w:t>
      </w:r>
      <w:r w:rsidRPr="00C836B0">
        <w:rPr>
          <w:kern w:val="0"/>
          <w:vertAlign w:val="subscript"/>
        </w:rPr>
        <w:t>3</w:t>
      </w:r>
      <w:r w:rsidRPr="00C836B0">
        <w:rPr>
          <w:kern w:val="0"/>
          <w:vertAlign w:val="superscript"/>
        </w:rPr>
        <w:t>-</w:t>
      </w:r>
      <w:r>
        <w:rPr>
          <w:kern w:val="0"/>
        </w:rPr>
        <w:t>,</w:t>
      </w:r>
      <w:r w:rsidR="00F81221">
        <w:rPr>
          <w:kern w:val="0"/>
        </w:rPr>
        <w:t xml:space="preserve"> and </w:t>
      </w:r>
      <w:r>
        <w:rPr>
          <w:kern w:val="0"/>
        </w:rPr>
        <w:t>SO</w:t>
      </w:r>
      <w:r w:rsidRPr="00C836B0">
        <w:rPr>
          <w:kern w:val="0"/>
          <w:vertAlign w:val="subscript"/>
        </w:rPr>
        <w:t>4</w:t>
      </w:r>
      <w:r w:rsidRPr="00C836B0">
        <w:rPr>
          <w:kern w:val="0"/>
          <w:vertAlign w:val="superscript"/>
        </w:rPr>
        <w:t>2-</w:t>
      </w:r>
      <w:r>
        <w:rPr>
          <w:kern w:val="0"/>
        </w:rPr>
        <w:t xml:space="preserve"> on the efficiency of heavy metal complexes with HEDP sorption was also investigated. It was found that polystyrene </w:t>
      </w:r>
      <w:r>
        <w:rPr>
          <w:kern w:val="0"/>
        </w:rPr>
        <w:lastRenderedPageBreak/>
        <w:t>anion exchangers rapidly sorbed the test metal complexes with HEDP,</w:t>
      </w:r>
      <w:r w:rsidR="00F81221">
        <w:rPr>
          <w:kern w:val="0"/>
        </w:rPr>
        <w:t xml:space="preserve"> and </w:t>
      </w:r>
      <w:r>
        <w:rPr>
          <w:kern w:val="0"/>
        </w:rPr>
        <w:t>the process became saturated in 20 min. The sorption kinetic data showed pseudo-second-order reaction kinetics rather than the pseudo-first-order kinetics. The adsorption behavior of Cu(II), Zn(II), Ni(II),</w:t>
      </w:r>
      <w:r w:rsidR="00F81221">
        <w:rPr>
          <w:kern w:val="0"/>
        </w:rPr>
        <w:t xml:space="preserve"> and </w:t>
      </w:r>
      <w:r>
        <w:rPr>
          <w:kern w:val="0"/>
        </w:rPr>
        <w:t>Cd(II) complexes with HEDP was studied in single as well as in multicomponent competitive systems. The obtained data were fitted well by the Langmuir adsorption isotherm model. Maximum sorption capacities for Cu(II), Zn(II), Ni(II),</w:t>
      </w:r>
      <w:r w:rsidR="00F81221">
        <w:rPr>
          <w:kern w:val="0"/>
        </w:rPr>
        <w:t xml:space="preserve"> and </w:t>
      </w:r>
      <w:r>
        <w:rPr>
          <w:kern w:val="0"/>
        </w:rPr>
        <w:t>Cd(II) complexes with HEDP Occurred for strongly basic anion exchanger Lewatit MonoPlus M 600 at the optimal pH 11.5</w:t>
      </w:r>
      <w:r w:rsidR="00F81221">
        <w:rPr>
          <w:kern w:val="0"/>
        </w:rPr>
        <w:t xml:space="preserve"> and </w:t>
      </w:r>
      <w:r>
        <w:rPr>
          <w:kern w:val="0"/>
        </w:rPr>
        <w:t>were found to be 96.15, 80.64, 70.42,</w:t>
      </w:r>
      <w:r w:rsidR="00F81221">
        <w:rPr>
          <w:kern w:val="0"/>
        </w:rPr>
        <w:t xml:space="preserve"> and </w:t>
      </w:r>
      <w:r>
        <w:rPr>
          <w:kern w:val="0"/>
        </w:rPr>
        <w:t>142.85 mg/g, respectively. For binary</w:t>
      </w:r>
      <w:r w:rsidR="00F81221">
        <w:rPr>
          <w:kern w:val="0"/>
        </w:rPr>
        <w:t xml:space="preserve"> and </w:t>
      </w:r>
      <w:r>
        <w:rPr>
          <w:kern w:val="0"/>
        </w:rPr>
        <w:t>quaternary metal complexes solutions, these values were smaller than those from single metal Solutions. The presence of Cu(II)</w:t>
      </w:r>
      <w:r w:rsidR="00F81221">
        <w:rPr>
          <w:kern w:val="0"/>
        </w:rPr>
        <w:t xml:space="preserve"> and </w:t>
      </w:r>
      <w:r>
        <w:rPr>
          <w:kern w:val="0"/>
        </w:rPr>
        <w:t>Zn(II) complexes more strongly inhibited Ni(II)</w:t>
      </w:r>
      <w:r w:rsidR="00F81221">
        <w:rPr>
          <w:kern w:val="0"/>
        </w:rPr>
        <w:t xml:space="preserve"> and </w:t>
      </w:r>
      <w:r>
        <w:rPr>
          <w:kern w:val="0"/>
        </w:rPr>
        <w:t>Cd(II) once sorption occured which indicates their greater affinity than that of the remaining complexes for the anion exchangers.</w:t>
      </w:r>
    </w:p>
    <w:p w:rsidR="00060FD3" w:rsidRDefault="00060FD3" w:rsidP="00060FD3">
      <w:pPr>
        <w:pStyle w:val="a0"/>
        <w:rPr>
          <w:kern w:val="0"/>
        </w:rPr>
      </w:pPr>
      <w:r>
        <w:rPr>
          <w:kern w:val="0"/>
        </w:rPr>
        <w:t xml:space="preserve">Keywords: Adsorption, Adsorption Behavior, Adsorption Isotherm, Adsorption Isotherm Model, Ammonium, Anion Exchangers, Aquatic Model Systems, Behavior, Cadmium(II), Cd(II), Chelating-Agents HEDP, Chemistry, Competitive, Complexes, Concentration, Copper(II), Cu(II), Data, Degradation, Efficiency, Experimental, Experiments, Functional Groups, Gel, Heavy Metal, Heavy Metal Ions, Ions, Isotherm, Isotherm Model, Kinetic, Kinetics, Langmuir, Langmuir Adsorption Isotherm, Macroporous, Metal, Metal Complexes, Metal Ions, Mineral Phases, Model, Ni(II), Nickel(II), </w:t>
      </w:r>
      <w:r>
        <w:rPr>
          <w:rFonts w:hint="eastAsia"/>
          <w:kern w:val="0"/>
        </w:rPr>
        <w:t>p</w:t>
      </w:r>
      <w:r>
        <w:rPr>
          <w:kern w:val="0"/>
        </w:rPr>
        <w:t>H, Phosphonates, Polystyrene, Pseudo First Order, Pseudo First Order Kinetics, Pseudo Second Order, Pseudo-First-Order, Pseudo-First-Order Kinetics, Pseudo-Second-Order, Reaction Kinetics, Removal, Solutions, Sorption, Systems, Temperature, Waste-Water Treatment, Zinc(II), Zn(II)</w:t>
      </w:r>
    </w:p>
    <w:p w:rsidR="00060FD3" w:rsidRDefault="00060FD3" w:rsidP="00060FD3">
      <w:pPr>
        <w:pStyle w:val="a0"/>
        <w:rPr>
          <w:kern w:val="0"/>
        </w:rPr>
      </w:pPr>
      <w:r>
        <w:rPr>
          <w:rFonts w:hint="eastAsia"/>
          <w:kern w:val="0"/>
        </w:rPr>
        <w:t xml:space="preserve">? </w:t>
      </w:r>
      <w:r>
        <w:rPr>
          <w:kern w:val="0"/>
        </w:rPr>
        <w:t>Oubagaranadin, J.U.K.</w:t>
      </w:r>
      <w:r w:rsidR="00F81221">
        <w:rPr>
          <w:kern w:val="0"/>
        </w:rPr>
        <w:t xml:space="preserve"> and </w:t>
      </w:r>
      <w:r>
        <w:rPr>
          <w:kern w:val="0"/>
        </w:rPr>
        <w:t xml:space="preserve">Murthy, Z.V.P. (2009), Adsorption of divalent lead on a montmorillonite-illite type of clay. </w:t>
      </w:r>
      <w:r>
        <w:rPr>
          <w:i/>
          <w:iCs/>
          <w:kern w:val="0"/>
        </w:rPr>
        <w:t>Industrial &amp; Engineering Chemistry Research</w:t>
      </w:r>
      <w:r>
        <w:rPr>
          <w:kern w:val="0"/>
        </w:rPr>
        <w:t xml:space="preserve">, </w:t>
      </w:r>
      <w:r>
        <w:rPr>
          <w:b/>
          <w:bCs/>
          <w:kern w:val="0"/>
        </w:rPr>
        <w:t>48</w:t>
      </w:r>
      <w:r>
        <w:rPr>
          <w:kern w:val="0"/>
        </w:rPr>
        <w:t xml:space="preserve"> (23), 10627-10636.</w:t>
      </w:r>
    </w:p>
    <w:p w:rsidR="00060FD3" w:rsidRDefault="00060FD3" w:rsidP="00060FD3">
      <w:pPr>
        <w:pStyle w:val="a0"/>
        <w:rPr>
          <w:kern w:val="0"/>
        </w:rPr>
      </w:pPr>
      <w:r>
        <w:rPr>
          <w:kern w:val="0"/>
        </w:rPr>
        <w:t>Full Text:</w:t>
      </w:r>
      <w:r w:rsidRPr="00B025C1">
        <w:t xml:space="preserve"> </w:t>
      </w:r>
      <w:hyperlink r:id="rId1309" w:history="1">
        <w:r w:rsidRPr="00143828">
          <w:rPr>
            <w:rStyle w:val="a5"/>
          </w:rPr>
          <w:t>2009\Ind Eng Che Res48, 10627.pdf</w:t>
        </w:r>
      </w:hyperlink>
    </w:p>
    <w:p w:rsidR="00060FD3" w:rsidRDefault="00060FD3" w:rsidP="00060FD3">
      <w:pPr>
        <w:pStyle w:val="a0"/>
        <w:rPr>
          <w:kern w:val="0"/>
        </w:rPr>
      </w:pPr>
      <w:r>
        <w:rPr>
          <w:kern w:val="0"/>
        </w:rPr>
        <w:t>Abstract: Lead(II) was removed from aqueous solution by adsorption on a montmorillonite-illite type of clay (MIC) collected from the Gulbarga district of Karnataka, India. The objectives of the current work were (i) to characterize the clay (adsorbent)</w:t>
      </w:r>
      <w:r w:rsidR="00F81221">
        <w:rPr>
          <w:kern w:val="0"/>
        </w:rPr>
        <w:t xml:space="preserve"> and </w:t>
      </w:r>
      <w:r>
        <w:rPr>
          <w:kern w:val="0"/>
        </w:rPr>
        <w:t>(ii) to perform equilibrium, kinetic, mass-transfer,</w:t>
      </w:r>
      <w:r w:rsidR="00F81221">
        <w:rPr>
          <w:kern w:val="0"/>
        </w:rPr>
        <w:t xml:space="preserve"> and </w:t>
      </w:r>
      <w:r>
        <w:rPr>
          <w:kern w:val="0"/>
        </w:rPr>
        <w:t>thermodynamic studies for the adsorption of Pb(II) on the clay. Batch adsorption equilibrium data were determined with different initial Pb(II) concentrations (100, 150,</w:t>
      </w:r>
      <w:r w:rsidR="00F81221">
        <w:rPr>
          <w:kern w:val="0"/>
        </w:rPr>
        <w:t xml:space="preserve"> and </w:t>
      </w:r>
      <w:r>
        <w:rPr>
          <w:kern w:val="0"/>
        </w:rPr>
        <w:t>200 ppm) at pH 4</w:t>
      </w:r>
      <w:r w:rsidR="00F81221">
        <w:rPr>
          <w:kern w:val="0"/>
        </w:rPr>
        <w:t xml:space="preserve"> and </w:t>
      </w:r>
      <w:r>
        <w:rPr>
          <w:kern w:val="0"/>
        </w:rPr>
        <w:t>37ºC,</w:t>
      </w:r>
      <w:r w:rsidR="00F81221">
        <w:rPr>
          <w:kern w:val="0"/>
        </w:rPr>
        <w:t xml:space="preserve"> and </w:t>
      </w:r>
      <w:r>
        <w:rPr>
          <w:kern w:val="0"/>
        </w:rPr>
        <w:t>the data were tested with isotherm models. The three-parameter Freundlich-Langmuir model gave the best fit to the equilibrium data (R</w:t>
      </w:r>
      <w:r>
        <w:rPr>
          <w:rFonts w:hint="eastAsia"/>
          <w:kern w:val="0"/>
          <w:vertAlign w:val="superscript"/>
        </w:rPr>
        <w:t>2</w:t>
      </w:r>
      <w:r>
        <w:rPr>
          <w:kern w:val="0"/>
        </w:rPr>
        <w:t xml:space="preserve"> = 0.9979). However, as the initial Pb(II) concentration was increased (150</w:t>
      </w:r>
      <w:r w:rsidR="00F81221">
        <w:rPr>
          <w:kern w:val="0"/>
        </w:rPr>
        <w:t xml:space="preserve"> and </w:t>
      </w:r>
      <w:r>
        <w:rPr>
          <w:kern w:val="0"/>
        </w:rPr>
        <w:t xml:space="preserve">200 ppm), multilayer adsorption was observed. The maximum monolayer adsorption capacity of the clay was determined to be similar to 52 mg/g. Kinetic </w:t>
      </w:r>
      <w:r>
        <w:rPr>
          <w:kern w:val="0"/>
        </w:rPr>
        <w:lastRenderedPageBreak/>
        <w:t>studies indicated that the rate of adsorption of Pb(II) on the clay followed a second-order rate mechanism, with decreasing rate constant values of 0.1097, 0.0571,</w:t>
      </w:r>
      <w:r w:rsidR="00F81221">
        <w:rPr>
          <w:kern w:val="0"/>
        </w:rPr>
        <w:t xml:space="preserve"> and </w:t>
      </w:r>
      <w:r>
        <w:rPr>
          <w:kern w:val="0"/>
        </w:rPr>
        <w:t>0.0022 g/(mg min) as the initial Pb(II) concentration was increased in the order of 100, 150,</w:t>
      </w:r>
      <w:r w:rsidR="00F81221">
        <w:rPr>
          <w:kern w:val="0"/>
        </w:rPr>
        <w:t xml:space="preserve"> and </w:t>
      </w:r>
      <w:r>
        <w:rPr>
          <w:kern w:val="0"/>
        </w:rPr>
        <w:t>200 ppm, respectively. The value of the Freundlich constant (n) in the range of 2.5-4.6 indicated that MIC was a good adsorbent of divalent lead. At a higher initial Pb(II) concentration (200 ppm), the adsorption process was determined to be film-diffusion-controlled, with a rate of 0.051 min</w:t>
      </w:r>
      <w:r>
        <w:rPr>
          <w:rFonts w:hint="eastAsia"/>
          <w:kern w:val="0"/>
          <w:vertAlign w:val="superscript"/>
        </w:rPr>
        <w:t>-1</w:t>
      </w:r>
      <w:r>
        <w:rPr>
          <w:kern w:val="0"/>
        </w:rPr>
        <w:t>. The mean values of the thermodynamic parameters-the change in the free energy (Δ</w:t>
      </w:r>
      <w:r w:rsidRPr="00143828">
        <w:rPr>
          <w:rFonts w:hint="eastAsia"/>
          <w:i/>
          <w:kern w:val="0"/>
        </w:rPr>
        <w:t>H</w:t>
      </w:r>
      <w:r>
        <w:rPr>
          <w:kern w:val="0"/>
        </w:rPr>
        <w:t>º), the change in the entropy (Δ</w:t>
      </w:r>
      <w:r w:rsidRPr="00143828">
        <w:rPr>
          <w:i/>
          <w:kern w:val="0"/>
        </w:rPr>
        <w:t>S</w:t>
      </w:r>
      <w:r>
        <w:rPr>
          <w:kern w:val="0"/>
        </w:rPr>
        <w:t>º),</w:t>
      </w:r>
      <w:r w:rsidR="00F81221">
        <w:rPr>
          <w:kern w:val="0"/>
        </w:rPr>
        <w:t xml:space="preserve"> and </w:t>
      </w:r>
      <w:r>
        <w:rPr>
          <w:kern w:val="0"/>
        </w:rPr>
        <w:t>the change in the Gibbs free energy (Δ</w:t>
      </w:r>
      <w:r w:rsidRPr="00143828">
        <w:rPr>
          <w:rFonts w:hint="eastAsia"/>
          <w:i/>
          <w:kern w:val="0"/>
        </w:rPr>
        <w:t>G</w:t>
      </w:r>
      <w:r>
        <w:rPr>
          <w:kern w:val="0"/>
        </w:rPr>
        <w:t>º) showed that the adsorption process was endothermic, thermodynamically favorable,</w:t>
      </w:r>
      <w:r w:rsidR="00F81221">
        <w:rPr>
          <w:kern w:val="0"/>
        </w:rPr>
        <w:t xml:space="preserve"> and </w:t>
      </w:r>
      <w:r>
        <w:rPr>
          <w:kern w:val="0"/>
        </w:rPr>
        <w:t>spontaneous. A two-stage adsorber system that has been proposed reduced the clay dose by 8.5%, compared to that of a single-stage adsorption system.</w:t>
      </w:r>
    </w:p>
    <w:p w:rsidR="00060FD3" w:rsidRDefault="00060FD3" w:rsidP="00060FD3">
      <w:pPr>
        <w:pStyle w:val="a0"/>
        <w:rPr>
          <w:kern w:val="0"/>
        </w:rPr>
      </w:pPr>
      <w:r>
        <w:rPr>
          <w:kern w:val="0"/>
        </w:rPr>
        <w:t xml:space="preserve">Keywords: Activated Carbon, Adsorbent, Adsorption, Adsorption Capacity, Adsorption Equilibrium, Aqueous Solution, Aqueous-Solutions, Batch Adsorption, Bentonite, Capacity, China-Clay, Clay, Concentration, Data, Endothermic, Energy, Entropy, Equilibrium, Fly-Ash, Freundlich, Freundlich Constant, Gibbs Free Energy, India, Intraparticle Diffusion, Ions, Isotherm, Isotherm Models, Kinetic, Kinetic Studies, Lead, Lead(II), Mass Transfer, Mechanism, Model, Models, Monolayer, Multilayer, Pb(II), Peat, </w:t>
      </w:r>
      <w:r>
        <w:rPr>
          <w:rFonts w:hint="eastAsia"/>
          <w:kern w:val="0"/>
        </w:rPr>
        <w:t>p</w:t>
      </w:r>
      <w:r>
        <w:rPr>
          <w:kern w:val="0"/>
        </w:rPr>
        <w:t>H, Rate Constant, Removal, Second Order, Second-Order, Solution, Sorption, Spontaneous, Thermodynamic, Thermodynamic Studies, Value, Work</w:t>
      </w:r>
    </w:p>
    <w:p w:rsidR="00060FD3" w:rsidRDefault="00060FD3" w:rsidP="00060FD3">
      <w:pPr>
        <w:pStyle w:val="a0"/>
        <w:rPr>
          <w:kern w:val="0"/>
        </w:rPr>
      </w:pPr>
      <w:r>
        <w:rPr>
          <w:rFonts w:hint="eastAsia"/>
          <w:kern w:val="0"/>
        </w:rPr>
        <w:t xml:space="preserve">? </w:t>
      </w:r>
      <w:r>
        <w:rPr>
          <w:kern w:val="0"/>
        </w:rPr>
        <w:t>Guo, L., Li, G.Y., Liu, J.S., Yin, P.</w:t>
      </w:r>
      <w:r w:rsidR="00F81221">
        <w:rPr>
          <w:kern w:val="0"/>
        </w:rPr>
        <w:t xml:space="preserve"> and </w:t>
      </w:r>
      <w:r>
        <w:rPr>
          <w:kern w:val="0"/>
        </w:rPr>
        <w:t xml:space="preserve">Li, Q. (2009), Adsorption of aniline on cross-linked starch sulfate from aqueous solution. </w:t>
      </w:r>
      <w:r>
        <w:rPr>
          <w:i/>
          <w:iCs/>
          <w:kern w:val="0"/>
        </w:rPr>
        <w:t>Industrial &amp; Engineering Chemistry Research</w:t>
      </w:r>
      <w:r>
        <w:rPr>
          <w:kern w:val="0"/>
        </w:rPr>
        <w:t xml:space="preserve">, </w:t>
      </w:r>
      <w:r>
        <w:rPr>
          <w:b/>
          <w:bCs/>
          <w:kern w:val="0"/>
        </w:rPr>
        <w:t>48</w:t>
      </w:r>
      <w:r>
        <w:rPr>
          <w:kern w:val="0"/>
        </w:rPr>
        <w:t xml:space="preserve"> (23), 10657-10663.</w:t>
      </w:r>
    </w:p>
    <w:p w:rsidR="00060FD3" w:rsidRDefault="00060FD3" w:rsidP="00060FD3">
      <w:pPr>
        <w:pStyle w:val="a0"/>
        <w:rPr>
          <w:kern w:val="0"/>
        </w:rPr>
      </w:pPr>
      <w:r>
        <w:rPr>
          <w:kern w:val="0"/>
        </w:rPr>
        <w:t>Full Text:</w:t>
      </w:r>
      <w:r w:rsidRPr="00B025C1">
        <w:t xml:space="preserve"> </w:t>
      </w:r>
      <w:hyperlink r:id="rId1310" w:history="1">
        <w:r w:rsidRPr="001B5CCD">
          <w:rPr>
            <w:rStyle w:val="a5"/>
          </w:rPr>
          <w:t>2009\Ind Eng Che Res48, 10657.pdf</w:t>
        </w:r>
      </w:hyperlink>
    </w:p>
    <w:p w:rsidR="00060FD3" w:rsidRDefault="00060FD3" w:rsidP="00060FD3">
      <w:pPr>
        <w:pStyle w:val="a0"/>
        <w:rPr>
          <w:kern w:val="0"/>
        </w:rPr>
      </w:pPr>
      <w:r>
        <w:rPr>
          <w:kern w:val="0"/>
        </w:rPr>
        <w:t>Abstract: A new environment friendly adsorbent, cross-linked starch sulfate (CSS), was prepared</w:t>
      </w:r>
      <w:r w:rsidR="00F81221">
        <w:rPr>
          <w:kern w:val="0"/>
        </w:rPr>
        <w:t xml:space="preserve"> and </w:t>
      </w:r>
      <w:r>
        <w:rPr>
          <w:kern w:val="0"/>
        </w:rPr>
        <w:t>used to adsorb aniline from aqueous solution. Different adsorption parameters like initial pH, adsorption time, equilibrium aniline concentration,</w:t>
      </w:r>
      <w:r w:rsidR="00F81221">
        <w:rPr>
          <w:kern w:val="0"/>
        </w:rPr>
        <w:t xml:space="preserve"> and </w:t>
      </w:r>
      <w:r>
        <w:rPr>
          <w:kern w:val="0"/>
        </w:rPr>
        <w:t>temperature were thoroughly studied,</w:t>
      </w:r>
      <w:r w:rsidR="00F81221">
        <w:rPr>
          <w:kern w:val="0"/>
        </w:rPr>
        <w:t xml:space="preserve"> and </w:t>
      </w:r>
      <w:r>
        <w:rPr>
          <w:kern w:val="0"/>
        </w:rPr>
        <w:t>the kinetic, equilibrium,</w:t>
      </w:r>
      <w:r w:rsidR="00F81221">
        <w:rPr>
          <w:kern w:val="0"/>
        </w:rPr>
        <w:t xml:space="preserve"> and </w:t>
      </w:r>
      <w:r>
        <w:rPr>
          <w:kern w:val="0"/>
        </w:rPr>
        <w:t>thermodynamics of the adsorption process were further investigated. It showed that CSS can effectively remove aniline from the solution. The adsorption capacity is highly dependent on the amount of sulfate groups on adsorbents</w:t>
      </w:r>
      <w:r w:rsidR="00F81221">
        <w:rPr>
          <w:kern w:val="0"/>
        </w:rPr>
        <w:t xml:space="preserve"> and </w:t>
      </w:r>
      <w:r>
        <w:rPr>
          <w:kern w:val="0"/>
        </w:rPr>
        <w:t>the initial pH. The pseudo-first-order</w:t>
      </w:r>
      <w:r w:rsidR="00F81221">
        <w:rPr>
          <w:kern w:val="0"/>
        </w:rPr>
        <w:t xml:space="preserve"> and </w:t>
      </w:r>
      <w:r>
        <w:rPr>
          <w:kern w:val="0"/>
        </w:rPr>
        <w:t>pseudo-second-order kinetic models were applied to test the experimental data,</w:t>
      </w:r>
      <w:r w:rsidR="00F81221">
        <w:rPr>
          <w:kern w:val="0"/>
        </w:rPr>
        <w:t xml:space="preserve"> and </w:t>
      </w:r>
      <w:r>
        <w:rPr>
          <w:kern w:val="0"/>
        </w:rPr>
        <w:t>the pseudo-second-order kinetic model provided a better correlation of the experimental data in comparison with the pseudo-first-order model. The maximum removal efficiency of aniline is 75.29% using I g L</w:t>
      </w:r>
      <w:r w:rsidRPr="00D87DBD">
        <w:rPr>
          <w:kern w:val="0"/>
          <w:vertAlign w:val="superscript"/>
        </w:rPr>
        <w:t>-1</w:t>
      </w:r>
      <w:r>
        <w:rPr>
          <w:kern w:val="0"/>
        </w:rPr>
        <w:t xml:space="preserve"> of CSS3 dose, Langmuir, Freundlich, Dubinin-Radushkevich,</w:t>
      </w:r>
      <w:r w:rsidR="00F81221">
        <w:rPr>
          <w:kern w:val="0"/>
        </w:rPr>
        <w:t xml:space="preserve"> and </w:t>
      </w:r>
      <w:r>
        <w:rPr>
          <w:kern w:val="0"/>
        </w:rPr>
        <w:t>Sips models have been applied to Study the adsorption equilibrium,</w:t>
      </w:r>
      <w:r w:rsidR="00F81221">
        <w:rPr>
          <w:kern w:val="0"/>
        </w:rPr>
        <w:t xml:space="preserve"> and </w:t>
      </w:r>
      <w:r>
        <w:rPr>
          <w:kern w:val="0"/>
        </w:rPr>
        <w:t>the equilibrium adsorption data were well described by the Sips isotherms. The Scatchard plot analysis was used to evaluate the binding sites of CSS. The adsorption of aniline on CSS is exothermic in nature.</w:t>
      </w:r>
    </w:p>
    <w:p w:rsidR="00060FD3" w:rsidRDefault="00060FD3" w:rsidP="00060FD3">
      <w:pPr>
        <w:pStyle w:val="a0"/>
        <w:rPr>
          <w:kern w:val="0"/>
        </w:rPr>
      </w:pPr>
      <w:r>
        <w:rPr>
          <w:kern w:val="0"/>
        </w:rPr>
        <w:lastRenderedPageBreak/>
        <w:t xml:space="preserve">Keywords: Activated Carbons, Adsorbent, Adsorbents, Adsorption, Adsorption Capacity, Adsorption Equilibrium, Amphoteric Starch, Analysis, Aniline, Aqueous Solution, Aromatic-Compounds, Bifunctional Polymeric Adsorbent, Binding, Binding Sites, Biodegradation, Capacity, Comparison, Concentration, Correlation, Cross-Linked, Data, Efficiency, Environment, Equilibrium, Exothermic, Experimental, Freundlich, Isotherms, Kinetic, Kinetic Model, Kinetic Models, L1, Langmuir, Model, Models, Petrochemical Waste-Water, </w:t>
      </w:r>
      <w:r w:rsidR="00B02EEC">
        <w:rPr>
          <w:rFonts w:hint="eastAsia"/>
          <w:kern w:val="0"/>
        </w:rPr>
        <w:t>p</w:t>
      </w:r>
      <w:r w:rsidR="00B02EEC">
        <w:rPr>
          <w:kern w:val="0"/>
        </w:rPr>
        <w:t>H</w:t>
      </w:r>
      <w:r>
        <w:rPr>
          <w:kern w:val="0"/>
        </w:rPr>
        <w:t>, Phenol, Pseudo First Order, Pseudo Second Order, Pseudo-First-Order, Pseudo-Second-Order, Pseudo-Second-Order Kinetic Model, Removal, Removal Efficiency, Solution, Starch, Sulfate, Sulfonic Groups, Temperature, Thermodynamics</w:t>
      </w:r>
    </w:p>
    <w:p w:rsidR="00B02EEC" w:rsidRDefault="00B02EEC" w:rsidP="00B02EEC">
      <w:pPr>
        <w:pStyle w:val="a0"/>
        <w:rPr>
          <w:kern w:val="0"/>
        </w:rPr>
      </w:pPr>
      <w:r>
        <w:rPr>
          <w:rFonts w:hint="eastAsia"/>
          <w:kern w:val="0"/>
        </w:rPr>
        <w:t xml:space="preserve">? </w:t>
      </w:r>
      <w:r>
        <w:rPr>
          <w:kern w:val="0"/>
        </w:rPr>
        <w:t xml:space="preserve">Kumar, K.V. (2009), Simple kinetic expressions to study the transport process during the growth of crystals in solution. </w:t>
      </w:r>
      <w:r>
        <w:rPr>
          <w:i/>
          <w:iCs/>
          <w:kern w:val="0"/>
        </w:rPr>
        <w:t>Industrial &amp; Engineering Chemistry Research</w:t>
      </w:r>
      <w:r>
        <w:rPr>
          <w:kern w:val="0"/>
        </w:rPr>
        <w:t xml:space="preserve">, </w:t>
      </w:r>
      <w:r>
        <w:rPr>
          <w:b/>
          <w:bCs/>
          <w:kern w:val="0"/>
        </w:rPr>
        <w:t>48</w:t>
      </w:r>
      <w:r>
        <w:rPr>
          <w:kern w:val="0"/>
        </w:rPr>
        <w:t xml:space="preserve"> (24), 11236-11240.</w:t>
      </w:r>
    </w:p>
    <w:p w:rsidR="00B02EEC" w:rsidRDefault="00B02EEC" w:rsidP="00B02EEC">
      <w:pPr>
        <w:pStyle w:val="a0"/>
        <w:rPr>
          <w:kern w:val="0"/>
        </w:rPr>
      </w:pPr>
      <w:r>
        <w:rPr>
          <w:kern w:val="0"/>
        </w:rPr>
        <w:t>Full Text:</w:t>
      </w:r>
      <w:r w:rsidRPr="00B025C1">
        <w:t xml:space="preserve"> </w:t>
      </w:r>
      <w:hyperlink r:id="rId1311" w:history="1">
        <w:r w:rsidRPr="00B02EEC">
          <w:rPr>
            <w:rStyle w:val="a5"/>
          </w:rPr>
          <w:t>2009\Ind Eng Che Res48, 11236.pdf</w:t>
        </w:r>
      </w:hyperlink>
    </w:p>
    <w:p w:rsidR="00B02EEC" w:rsidRDefault="00B02EEC" w:rsidP="00B02EEC">
      <w:pPr>
        <w:pStyle w:val="a0"/>
        <w:rPr>
          <w:kern w:val="0"/>
        </w:rPr>
      </w:pPr>
      <w:r>
        <w:rPr>
          <w:kern w:val="0"/>
        </w:rPr>
        <w:t>Abstract: First-</w:t>
      </w:r>
      <w:r w:rsidR="00F81221">
        <w:rPr>
          <w:kern w:val="0"/>
        </w:rPr>
        <w:t xml:space="preserve"> and </w:t>
      </w:r>
      <w:r>
        <w:rPr>
          <w:kern w:val="0"/>
        </w:rPr>
        <w:t>second-order kinetic expressions tire proposed to explain the growth of crystals in solutions limited by diffusion</w:t>
      </w:r>
      <w:r w:rsidR="00F81221">
        <w:rPr>
          <w:kern w:val="0"/>
        </w:rPr>
        <w:t xml:space="preserve"> and </w:t>
      </w:r>
      <w:r>
        <w:rPr>
          <w:kern w:val="0"/>
        </w:rPr>
        <w:t>integration kinetics, respectively. The experimental growth kinetic data of sucrose crystals at 30</w:t>
      </w:r>
      <w:r w:rsidR="00F81221">
        <w:rPr>
          <w:kern w:val="0"/>
        </w:rPr>
        <w:t xml:space="preserve"> and </w:t>
      </w:r>
      <w:r>
        <w:rPr>
          <w:kern w:val="0"/>
        </w:rPr>
        <w:t>40°C were fitted to the kinetic expressions by a linear regression method. A linear second-order expression proposed based on the Burton-Cabrera-Frank (BCF) model was found to be useful in identifying the transition in kinetics from the diffusion to the kinetic regime during the crystal growth process. A parameter, At-critical (product of crystal area</w:t>
      </w:r>
      <w:r w:rsidR="00F81221">
        <w:rPr>
          <w:kern w:val="0"/>
        </w:rPr>
        <w:t xml:space="preserve"> and </w:t>
      </w:r>
      <w:r>
        <w:rPr>
          <w:kern w:val="0"/>
        </w:rPr>
        <w:t>time) was defined according to a second-order kinetic expression. The growth process was found to be limited by diffusion</w:t>
      </w:r>
      <w:r w:rsidR="00F81221">
        <w:rPr>
          <w:kern w:val="0"/>
        </w:rPr>
        <w:t xml:space="preserve"> and </w:t>
      </w:r>
      <w:r>
        <w:rPr>
          <w:kern w:val="0"/>
        </w:rPr>
        <w:t>surface reaction kinetics for At &lt; At-critical</w:t>
      </w:r>
      <w:r w:rsidR="00F81221">
        <w:rPr>
          <w:kern w:val="0"/>
        </w:rPr>
        <w:t xml:space="preserve"> and </w:t>
      </w:r>
      <w:r>
        <w:rPr>
          <w:kern w:val="0"/>
        </w:rPr>
        <w:t>At &gt; At-critical, respectively. An initial reaction rate was defined according to a second-order surface reaction kinetics. The mass-transfer coefficient during the growth of crystals increases with increasing temperature, whereas the reaction kinetic constant was found to decrease with increasing temperature. The total adsorption energy for the growth of sucrose crystals in the diffusion</w:t>
      </w:r>
      <w:r w:rsidR="00F81221">
        <w:rPr>
          <w:kern w:val="0"/>
        </w:rPr>
        <w:t xml:space="preserve"> and </w:t>
      </w:r>
      <w:r>
        <w:rPr>
          <w:kern w:val="0"/>
        </w:rPr>
        <w:t>kinetic regime during was found to be &gt;95 kJ/mol according to the derived expressions.</w:t>
      </w:r>
    </w:p>
    <w:p w:rsidR="00B02EEC" w:rsidRDefault="00B02EEC" w:rsidP="00B02EEC">
      <w:pPr>
        <w:pStyle w:val="a0"/>
        <w:rPr>
          <w:kern w:val="0"/>
        </w:rPr>
      </w:pPr>
      <w:r>
        <w:rPr>
          <w:kern w:val="0"/>
        </w:rPr>
        <w:t>Keywords: Adsorption, Crystal Growth, Diffusion, Fluidized-Bed Crystallizer, Integration, Kinetic, Kinetics, Linear Regression, Mass Transfer, Second Order, Sucrose Crystallization Kinetics, Temperature</w:t>
      </w:r>
    </w:p>
    <w:p w:rsidR="00F15826" w:rsidRDefault="00F15826" w:rsidP="00F15826">
      <w:pPr>
        <w:pStyle w:val="a0"/>
        <w:rPr>
          <w:kern w:val="0"/>
        </w:rPr>
      </w:pPr>
      <w:r>
        <w:rPr>
          <w:kern w:val="0"/>
        </w:rPr>
        <w:t>? Kołodyńska, D. (2010), Cu(II), Zn(II), Ni(II),</w:t>
      </w:r>
      <w:r w:rsidR="00F81221">
        <w:rPr>
          <w:kern w:val="0"/>
        </w:rPr>
        <w:t xml:space="preserve"> and </w:t>
      </w:r>
      <w:r>
        <w:rPr>
          <w:kern w:val="0"/>
        </w:rPr>
        <w:t xml:space="preserve">Cd(II) Complexes with HEDP removal from industrial effluents on different ion exchangers. </w:t>
      </w:r>
      <w:r>
        <w:rPr>
          <w:i/>
          <w:iCs/>
          <w:kern w:val="0"/>
        </w:rPr>
        <w:t>Industrial &amp; Engineering Chemistry Research</w:t>
      </w:r>
      <w:r>
        <w:rPr>
          <w:kern w:val="0"/>
        </w:rPr>
        <w:t xml:space="preserve">, </w:t>
      </w:r>
      <w:r>
        <w:rPr>
          <w:b/>
          <w:bCs/>
          <w:kern w:val="0"/>
        </w:rPr>
        <w:t>49</w:t>
      </w:r>
      <w:r>
        <w:rPr>
          <w:kern w:val="0"/>
        </w:rPr>
        <w:t xml:space="preserve"> (5), 2388-2400.</w:t>
      </w:r>
    </w:p>
    <w:p w:rsidR="00F15826" w:rsidRPr="00F03D2F" w:rsidRDefault="00F15826" w:rsidP="00F15826">
      <w:pPr>
        <w:pStyle w:val="a0"/>
        <w:rPr>
          <w:kern w:val="0"/>
        </w:rPr>
      </w:pPr>
      <w:r w:rsidRPr="00F03D2F">
        <w:rPr>
          <w:kern w:val="0"/>
        </w:rPr>
        <w:t>Full Text:</w:t>
      </w:r>
      <w:r w:rsidRPr="00D7601C">
        <w:t xml:space="preserve"> </w:t>
      </w:r>
      <w:hyperlink r:id="rId1312" w:history="1">
        <w:r w:rsidRPr="004C52FE">
          <w:rPr>
            <w:rStyle w:val="a5"/>
          </w:rPr>
          <w:t>2010\Ind Eng Che Res49, 2388.pdf</w:t>
        </w:r>
      </w:hyperlink>
    </w:p>
    <w:p w:rsidR="00F15826" w:rsidRDefault="00F15826" w:rsidP="00F15826">
      <w:pPr>
        <w:pStyle w:val="a0"/>
        <w:rPr>
          <w:kern w:val="0"/>
        </w:rPr>
      </w:pPr>
      <w:r>
        <w:rPr>
          <w:kern w:val="0"/>
        </w:rPr>
        <w:t>Abstract: The aim of this research is to investigate sorption characteristic of polyacrylate anion exchangers</w:t>
      </w:r>
      <w:r w:rsidR="00F81221">
        <w:rPr>
          <w:kern w:val="0"/>
        </w:rPr>
        <w:t xml:space="preserve"> and </w:t>
      </w:r>
      <w:r>
        <w:rPr>
          <w:kern w:val="0"/>
        </w:rPr>
        <w:t>chelating ion exchangers for the removal of Cu(II), Zn(II), Ni(II),</w:t>
      </w:r>
      <w:r w:rsidR="00F81221">
        <w:rPr>
          <w:kern w:val="0"/>
        </w:rPr>
        <w:t xml:space="preserve"> and </w:t>
      </w:r>
      <w:r>
        <w:rPr>
          <w:kern w:val="0"/>
        </w:rPr>
        <w:t xml:space="preserve">Cd(II) complexes with HEDP </w:t>
      </w:r>
      <w:r>
        <w:rPr>
          <w:kern w:val="0"/>
        </w:rPr>
        <w:lastRenderedPageBreak/>
        <w:t>(1-hydroxyethylene-1,1-diphosphonic acid) from aqueous solutions. Optimum sorption conditions were determined as a function of phase contact time (1-180 min), pH (5-13), ion exchanger dosage (0.1-1.0 g), temperature (293-333 K),</w:t>
      </w:r>
      <w:r w:rsidR="00F81221">
        <w:rPr>
          <w:kern w:val="0"/>
        </w:rPr>
        <w:t xml:space="preserve"> and </w:t>
      </w:r>
      <w:r>
        <w:rPr>
          <w:kern w:val="0"/>
        </w:rPr>
        <w:t>chloride ions concentration (0.01-0.5 mol/L of NaCl). The Langmuir, Freundlich, Temkin,</w:t>
      </w:r>
      <w:r w:rsidR="00F81221">
        <w:rPr>
          <w:kern w:val="0"/>
        </w:rPr>
        <w:t xml:space="preserve"> and </w:t>
      </w:r>
      <w:r>
        <w:rPr>
          <w:kern w:val="0"/>
        </w:rPr>
        <w:t>Dubinin-Radushkevich (D-R) models were applied to describe the adsorption isotherm of Cu(II), Zn(II), Ni(II),</w:t>
      </w:r>
      <w:r w:rsidR="00F81221">
        <w:rPr>
          <w:kern w:val="0"/>
        </w:rPr>
        <w:t xml:space="preserve"> and </w:t>
      </w:r>
      <w:r>
        <w:rPr>
          <w:kern w:val="0"/>
        </w:rPr>
        <w:t>Cd(II) complexes with HEDP on Amberlite IRA 458</w:t>
      </w:r>
      <w:r w:rsidR="00F81221">
        <w:rPr>
          <w:kern w:val="0"/>
        </w:rPr>
        <w:t xml:space="preserve"> and </w:t>
      </w:r>
      <w:r>
        <w:rPr>
          <w:kern w:val="0"/>
        </w:rPr>
        <w:t>Amberlite IRA 958 as well as Purolite S-920</w:t>
      </w:r>
      <w:r w:rsidR="00F81221">
        <w:rPr>
          <w:kern w:val="0"/>
        </w:rPr>
        <w:t xml:space="preserve"> and </w:t>
      </w:r>
      <w:r>
        <w:rPr>
          <w:kern w:val="0"/>
        </w:rPr>
        <w:t>Purolite S-930. In the case of M(II)-HEDP complexes the adsorption capacities of Amberlite 458 were found to be 1.96 meq/g for Cu(II), 3.94 meq/g for Zn(II), 2.98 meq/g for Ni(II),</w:t>
      </w:r>
      <w:r w:rsidR="00F81221">
        <w:rPr>
          <w:kern w:val="0"/>
        </w:rPr>
        <w:t xml:space="preserve"> and </w:t>
      </w:r>
      <w:r>
        <w:rPr>
          <w:kern w:val="0"/>
        </w:rPr>
        <w:t>4.25 meq/g for Cd(II). The metal ions were desorbed using 1 M HCl. The ion exchange capacity of ion exchangers applied decreased 8% in the recovery of Cu(II)-HEDP after 10 times of the sorption-desorption processess. Experimental data were also tested in terms of sorption kinetics using the pseudo-first-order</w:t>
      </w:r>
      <w:r w:rsidR="00F81221">
        <w:rPr>
          <w:kern w:val="0"/>
        </w:rPr>
        <w:t xml:space="preserve"> and </w:t>
      </w:r>
      <w:r>
        <w:rPr>
          <w:kern w:val="0"/>
        </w:rPr>
        <w:t>pseudo-second-order kinetic models. The results showed that the sorption processes of Cu(II), Zn(II), Ni(II),</w:t>
      </w:r>
      <w:r w:rsidR="00F81221">
        <w:rPr>
          <w:kern w:val="0"/>
        </w:rPr>
        <w:t xml:space="preserve"> and </w:t>
      </w:r>
      <w:r>
        <w:rPr>
          <w:kern w:val="0"/>
        </w:rPr>
        <w:t>Cd(II) complexes with HEDP on Amberlite IRA 458</w:t>
      </w:r>
      <w:r w:rsidR="00F81221">
        <w:rPr>
          <w:kern w:val="0"/>
        </w:rPr>
        <w:t xml:space="preserve"> and </w:t>
      </w:r>
      <w:r>
        <w:rPr>
          <w:kern w:val="0"/>
        </w:rPr>
        <w:t>Amberlite IRA 958 as well as Purolite S-920</w:t>
      </w:r>
      <w:r w:rsidR="00F81221">
        <w:rPr>
          <w:kern w:val="0"/>
        </w:rPr>
        <w:t xml:space="preserve"> and </w:t>
      </w:r>
      <w:r>
        <w:rPr>
          <w:kern w:val="0"/>
        </w:rPr>
        <w:t>Purolite S-930 followed well the pseudo-second-order kinetics.</w:t>
      </w:r>
    </w:p>
    <w:p w:rsidR="00F15826" w:rsidRDefault="00F15826" w:rsidP="00F15826">
      <w:pPr>
        <w:pStyle w:val="a0"/>
        <w:rPr>
          <w:kern w:val="0"/>
        </w:rPr>
      </w:pPr>
      <w:r>
        <w:rPr>
          <w:kern w:val="0"/>
        </w:rPr>
        <w:t>Keywords: Adsorption, Adsorption Capacities, Adsorption Isotherm, Aqueous Solutions, Aqueous-Solution, Capacity, Cd(II), Chloride, Concentration, Cu(II), Data, Freundlich, Function, Ion Exchange, Ion Exchange Capacity, Ion Exchangers, Ion-Exchange, Ions, Isotherm, Isotherm Models, Kinetic, Kinetic Models, Kinetics, Langmuir, Mar, Metal, Metal Ions, Models, NaCl, Ni(II), pH, Phosphate, Phosphonates, Pseudo First Order, Pseudo Second Order, Pseudo Second Order Kinetics, Pseudo-First-Order, Pseudo-Second-Order, Pseudo-Second-Order Kinetics, Recovery, Removal, Research, Resins, Solutions, Sorption, Sorption Kinetics, Sorption-Desorption, Temperature, Time, Waste-Water, Zinc Ions, Zn(II)</w:t>
      </w:r>
    </w:p>
    <w:p w:rsidR="00353E57" w:rsidRDefault="00353E57" w:rsidP="00353E57">
      <w:pPr>
        <w:pStyle w:val="a0"/>
        <w:rPr>
          <w:kern w:val="0"/>
        </w:rPr>
      </w:pPr>
      <w:r>
        <w:rPr>
          <w:kern w:val="0"/>
        </w:rPr>
        <w:t>? Chauhan, K., Chauhan, G.S.</w:t>
      </w:r>
      <w:r w:rsidR="00F81221">
        <w:rPr>
          <w:kern w:val="0"/>
        </w:rPr>
        <w:t xml:space="preserve"> and </w:t>
      </w:r>
      <w:r>
        <w:rPr>
          <w:kern w:val="0"/>
        </w:rPr>
        <w:t>Ahn, J.H. (2010), Novel polycarboxylated starch-based sorbents for Cu</w:t>
      </w:r>
      <w:r w:rsidRPr="00AE7EC2">
        <w:rPr>
          <w:kern w:val="0"/>
          <w:vertAlign w:val="superscript"/>
        </w:rPr>
        <w:t>2+</w:t>
      </w:r>
      <w:r>
        <w:rPr>
          <w:kern w:val="0"/>
        </w:rPr>
        <w:t xml:space="preserve"> Ions. </w:t>
      </w:r>
      <w:r>
        <w:rPr>
          <w:i/>
          <w:iCs/>
          <w:kern w:val="0"/>
        </w:rPr>
        <w:t>Industrial &amp; Engineering Chemistry Research</w:t>
      </w:r>
      <w:r>
        <w:rPr>
          <w:kern w:val="0"/>
        </w:rPr>
        <w:t xml:space="preserve">, </w:t>
      </w:r>
      <w:r>
        <w:rPr>
          <w:b/>
          <w:bCs/>
          <w:kern w:val="0"/>
        </w:rPr>
        <w:t>49</w:t>
      </w:r>
      <w:r>
        <w:rPr>
          <w:kern w:val="0"/>
        </w:rPr>
        <w:t xml:space="preserve"> (6), 2548-2556.</w:t>
      </w:r>
    </w:p>
    <w:p w:rsidR="00353E57" w:rsidRPr="00F03D2F" w:rsidRDefault="00353E57" w:rsidP="00353E57">
      <w:pPr>
        <w:pStyle w:val="a0"/>
        <w:rPr>
          <w:kern w:val="0"/>
        </w:rPr>
      </w:pPr>
      <w:r w:rsidRPr="00F03D2F">
        <w:rPr>
          <w:kern w:val="0"/>
        </w:rPr>
        <w:t>Full Text:</w:t>
      </w:r>
      <w:r w:rsidRPr="00D7601C">
        <w:t xml:space="preserve"> </w:t>
      </w:r>
      <w:hyperlink r:id="rId1313" w:history="1">
        <w:r w:rsidRPr="004B2141">
          <w:rPr>
            <w:rStyle w:val="a5"/>
          </w:rPr>
          <w:t>2010\Ind Eng Che Res49, 2548.pdf</w:t>
        </w:r>
      </w:hyperlink>
    </w:p>
    <w:p w:rsidR="00353E57" w:rsidRDefault="00353E57" w:rsidP="00353E57">
      <w:pPr>
        <w:pStyle w:val="a0"/>
        <w:rPr>
          <w:kern w:val="0"/>
        </w:rPr>
      </w:pPr>
      <w:r>
        <w:rPr>
          <w:kern w:val="0"/>
        </w:rPr>
        <w:t>Abstract: In this article we report use of novel starch-based functional hydrogels as Cu</w:t>
      </w:r>
      <w:r w:rsidRPr="00AE7EC2">
        <w:rPr>
          <w:kern w:val="0"/>
          <w:vertAlign w:val="superscript"/>
        </w:rPr>
        <w:t>2+</w:t>
      </w:r>
      <w:r>
        <w:rPr>
          <w:kern w:val="0"/>
        </w:rPr>
        <w:t xml:space="preserve"> ions sorbents. Starch was functionalized by acid hydrolysis and/or oxidized by nitrogen oxides to generate carboxylic groups at C-6. Sorption of Cu</w:t>
      </w:r>
      <w:r w:rsidRPr="00AE7EC2">
        <w:rPr>
          <w:kern w:val="0"/>
          <w:vertAlign w:val="superscript"/>
        </w:rPr>
        <w:t>2+</w:t>
      </w:r>
      <w:r>
        <w:rPr>
          <w:kern w:val="0"/>
        </w:rPr>
        <w:t xml:space="preserve"> ions was studied as a function of hydrogel structure</w:t>
      </w:r>
      <w:r w:rsidR="00F81221">
        <w:rPr>
          <w:kern w:val="0"/>
        </w:rPr>
        <w:t xml:space="preserve"> and </w:t>
      </w:r>
      <w:r>
        <w:rPr>
          <w:kern w:val="0"/>
        </w:rPr>
        <w:t>environmental factors, Hydrogels exhibit structure-property relationship in the sorption of Cu</w:t>
      </w:r>
      <w:r w:rsidRPr="00AE7EC2">
        <w:rPr>
          <w:kern w:val="0"/>
          <w:vertAlign w:val="superscript"/>
        </w:rPr>
        <w:t>2+</w:t>
      </w:r>
      <w:r>
        <w:rPr>
          <w:kern w:val="0"/>
        </w:rPr>
        <w:t xml:space="preserve"> ions. The hydrogel that exhibited the maximum ion uptake was used to investigate the effect of contact time, temperature, pH,</w:t>
      </w:r>
      <w:r w:rsidR="00F81221">
        <w:rPr>
          <w:kern w:val="0"/>
        </w:rPr>
        <w:t xml:space="preserve"> and </w:t>
      </w:r>
      <w:r>
        <w:rPr>
          <w:kern w:val="0"/>
        </w:rPr>
        <w:t>Cu</w:t>
      </w:r>
      <w:r w:rsidRPr="00AE7EC2">
        <w:rPr>
          <w:kern w:val="0"/>
          <w:vertAlign w:val="superscript"/>
        </w:rPr>
        <w:t>2+</w:t>
      </w:r>
      <w:r>
        <w:rPr>
          <w:kern w:val="0"/>
        </w:rPr>
        <w:t xml:space="preserve"> ions concentration on the sorption capacity. The maximum sorption capacity of 128.26 mg g</w:t>
      </w:r>
      <w:r>
        <w:rPr>
          <w:kern w:val="0"/>
          <w:vertAlign w:val="superscript"/>
        </w:rPr>
        <w:t>-1</w:t>
      </w:r>
      <w:r>
        <w:rPr>
          <w:kern w:val="0"/>
        </w:rPr>
        <w:t xml:space="preserve"> was obtained in 2 h at 40ºC, 7.0 pH,</w:t>
      </w:r>
      <w:r w:rsidR="00F81221">
        <w:rPr>
          <w:kern w:val="0"/>
        </w:rPr>
        <w:t xml:space="preserve"> and </w:t>
      </w:r>
      <w:r>
        <w:rPr>
          <w:kern w:val="0"/>
        </w:rPr>
        <w:t>50 ppm of Cu</w:t>
      </w:r>
      <w:r w:rsidRPr="00AE7EC2">
        <w:rPr>
          <w:kern w:val="0"/>
          <w:vertAlign w:val="superscript"/>
        </w:rPr>
        <w:t>2+</w:t>
      </w:r>
      <w:r>
        <w:rPr>
          <w:kern w:val="0"/>
        </w:rPr>
        <w:t xml:space="preserve"> ions. Sorption data show good match both with Langmuir</w:t>
      </w:r>
      <w:r w:rsidR="00F81221">
        <w:rPr>
          <w:kern w:val="0"/>
        </w:rPr>
        <w:t xml:space="preserve"> and </w:t>
      </w:r>
      <w:r>
        <w:rPr>
          <w:kern w:val="0"/>
        </w:rPr>
        <w:lastRenderedPageBreak/>
        <w:t>Freundlich isotherms</w:t>
      </w:r>
      <w:r w:rsidR="00F81221">
        <w:rPr>
          <w:kern w:val="0"/>
        </w:rPr>
        <w:t xml:space="preserve"> and </w:t>
      </w:r>
      <w:r>
        <w:rPr>
          <w:kern w:val="0"/>
        </w:rPr>
        <w:t>obey pseudo-second-order kinetics. Cu</w:t>
      </w:r>
      <w:r w:rsidRPr="00AE7EC2">
        <w:rPr>
          <w:kern w:val="0"/>
          <w:vertAlign w:val="superscript"/>
        </w:rPr>
        <w:t>2+</w:t>
      </w:r>
      <w:r>
        <w:rPr>
          <w:kern w:val="0"/>
        </w:rPr>
        <w:t xml:space="preserve"> ions bind to sorbents by chelation. Evidence of Cu</w:t>
      </w:r>
      <w:r w:rsidRPr="00085B4C">
        <w:rPr>
          <w:kern w:val="0"/>
          <w:vertAlign w:val="superscript"/>
        </w:rPr>
        <w:t>2+</w:t>
      </w:r>
      <w:r>
        <w:rPr>
          <w:kern w:val="0"/>
        </w:rPr>
        <w:t xml:space="preserve"> uptake on hydrogels was obtained from FTIR spectrum of the ions-loaded hydrogel.</w:t>
      </w:r>
    </w:p>
    <w:p w:rsidR="00353E57" w:rsidRDefault="00353E57" w:rsidP="00353E57">
      <w:pPr>
        <w:pStyle w:val="a0"/>
        <w:rPr>
          <w:kern w:val="0"/>
        </w:rPr>
      </w:pPr>
      <w:r>
        <w:rPr>
          <w:kern w:val="0"/>
        </w:rPr>
        <w:t>Keywords: Acid-Hydrolysis, Acrylamide-Based Hydrogels, Aqueous-Solutions, Capacity, Carboxylic, Carboxymethylated Starch, Chelation, Concentration, Corn Starches, Cu</w:t>
      </w:r>
      <w:r w:rsidRPr="00AE7EC2">
        <w:rPr>
          <w:kern w:val="0"/>
          <w:vertAlign w:val="superscript"/>
        </w:rPr>
        <w:t>2+</w:t>
      </w:r>
      <w:r>
        <w:rPr>
          <w:kern w:val="0"/>
        </w:rPr>
        <w:t>, Data, Environmental, Freundlich, Ftir, Function, Hydrogel, Hydrogels, Hydrolysis, Ions, Isotherms, Kinetics, Langmuir, Langmuir</w:t>
      </w:r>
      <w:r w:rsidR="00F81221">
        <w:rPr>
          <w:kern w:val="0"/>
        </w:rPr>
        <w:t xml:space="preserve"> and </w:t>
      </w:r>
      <w:r>
        <w:rPr>
          <w:kern w:val="0"/>
        </w:rPr>
        <w:t xml:space="preserve">Freundlich Isotherms, Linked Amphoteric Starch, Mar, Mediated Oxidation, Metal-Ions, Nitrogen, Oxides, </w:t>
      </w:r>
      <w:r>
        <w:rPr>
          <w:rFonts w:hint="eastAsia"/>
          <w:kern w:val="0"/>
        </w:rPr>
        <w:t>p</w:t>
      </w:r>
      <w:r>
        <w:rPr>
          <w:kern w:val="0"/>
        </w:rPr>
        <w:t>H, Physicochemical Properties, Pseudo Second Order, Pseudo Second Order Kinetics, Pseudo-Second-Order, Pseudo-Second-Order Kinetics, Sorbents, Sorption, Sorption Capacity, Structural Characteristics, Structure, Temperature, Time, Uptake</w:t>
      </w:r>
    </w:p>
    <w:p w:rsidR="00353E57" w:rsidRDefault="00353E57" w:rsidP="00353E57">
      <w:pPr>
        <w:pStyle w:val="a0"/>
        <w:rPr>
          <w:kern w:val="0"/>
        </w:rPr>
      </w:pPr>
      <w:r>
        <w:rPr>
          <w:kern w:val="0"/>
        </w:rPr>
        <w:t>? Ofomaja, A.E., Naidoo, E.B.</w:t>
      </w:r>
      <w:r w:rsidR="00F81221">
        <w:rPr>
          <w:kern w:val="0"/>
        </w:rPr>
        <w:t xml:space="preserve"> and </w:t>
      </w:r>
      <w:r>
        <w:rPr>
          <w:kern w:val="0"/>
        </w:rPr>
        <w:t>Modise, S.J. (2010), Kinetic</w:t>
      </w:r>
      <w:r w:rsidR="00F81221">
        <w:rPr>
          <w:kern w:val="0"/>
        </w:rPr>
        <w:t xml:space="preserve"> and </w:t>
      </w:r>
      <w:r>
        <w:rPr>
          <w:kern w:val="0"/>
        </w:rPr>
        <w:t xml:space="preserve">pseudo-second-order modeling of lead biosorption onto pine cone powder. </w:t>
      </w:r>
      <w:r>
        <w:rPr>
          <w:i/>
          <w:iCs/>
          <w:kern w:val="0"/>
        </w:rPr>
        <w:t>Industrial &amp; Engineering Chemistry Research</w:t>
      </w:r>
      <w:r>
        <w:rPr>
          <w:kern w:val="0"/>
        </w:rPr>
        <w:t xml:space="preserve">, </w:t>
      </w:r>
      <w:r>
        <w:rPr>
          <w:b/>
          <w:bCs/>
          <w:kern w:val="0"/>
        </w:rPr>
        <w:t>49</w:t>
      </w:r>
      <w:r>
        <w:rPr>
          <w:kern w:val="0"/>
        </w:rPr>
        <w:t xml:space="preserve"> (6), 2562-2572.</w:t>
      </w:r>
    </w:p>
    <w:p w:rsidR="00353E57" w:rsidRPr="00F03D2F" w:rsidRDefault="00353E57" w:rsidP="00353E57">
      <w:pPr>
        <w:pStyle w:val="a0"/>
        <w:rPr>
          <w:kern w:val="0"/>
        </w:rPr>
      </w:pPr>
      <w:r w:rsidRPr="00F03D2F">
        <w:rPr>
          <w:kern w:val="0"/>
        </w:rPr>
        <w:t>Full Text:</w:t>
      </w:r>
      <w:r w:rsidRPr="00D7601C">
        <w:t xml:space="preserve"> </w:t>
      </w:r>
      <w:hyperlink r:id="rId1314" w:history="1">
        <w:r w:rsidRPr="006F6894">
          <w:rPr>
            <w:rStyle w:val="a5"/>
          </w:rPr>
          <w:t>2010\Ind Eng Che Res49, 2562.pdf</w:t>
        </w:r>
      </w:hyperlink>
    </w:p>
    <w:p w:rsidR="00353E57" w:rsidRDefault="00353E57" w:rsidP="00353E57">
      <w:pPr>
        <w:pStyle w:val="a0"/>
        <w:rPr>
          <w:kern w:val="0"/>
        </w:rPr>
      </w:pPr>
      <w:r>
        <w:rPr>
          <w:kern w:val="0"/>
        </w:rPr>
        <w:t>Abstract: The sorption of lead(II) onto pine cone powder (PCP)</w:t>
      </w:r>
      <w:r w:rsidR="00F81221">
        <w:rPr>
          <w:kern w:val="0"/>
        </w:rPr>
        <w:t xml:space="preserve"> and </w:t>
      </w:r>
      <w:r>
        <w:rPr>
          <w:kern w:val="0"/>
        </w:rPr>
        <w:t>0.15 mol/L NaOH treated pine cone powder (PCP 0.15), an abundant agricultural waste from the wood industry, was studied to evaluate the effect of NaOH treatment on the kinetics of lead(II) uptake by performing batch kinetic sorption experiments. Batch biosorption kinetics was performed by varying biosorbent dose</w:t>
      </w:r>
      <w:r w:rsidR="00F81221">
        <w:rPr>
          <w:kern w:val="0"/>
        </w:rPr>
        <w:t xml:space="preserve"> and </w:t>
      </w:r>
      <w:r>
        <w:rPr>
          <w:kern w:val="0"/>
        </w:rPr>
        <w:t>initial lead(II) concentration</w:t>
      </w:r>
      <w:r w:rsidR="00F81221">
        <w:rPr>
          <w:kern w:val="0"/>
        </w:rPr>
        <w:t xml:space="preserve"> and </w:t>
      </w:r>
      <w:r>
        <w:rPr>
          <w:kern w:val="0"/>
        </w:rPr>
        <w:t>the kinetic data modeled using the pseudo-first, pseudo-second intraparticle,</w:t>
      </w:r>
      <w:r w:rsidR="00F81221">
        <w:rPr>
          <w:kern w:val="0"/>
        </w:rPr>
        <w:t xml:space="preserve"> and </w:t>
      </w:r>
      <w:r>
        <w:rPr>
          <w:kern w:val="0"/>
        </w:rPr>
        <w:t>Bangham diffusion models. The results revealed that NaOH treatment changed the pattern of the biosorption kinetics, the biosorption kinetic parameters,</w:t>
      </w:r>
      <w:r w:rsidR="00F81221">
        <w:rPr>
          <w:kern w:val="0"/>
        </w:rPr>
        <w:t xml:space="preserve"> and </w:t>
      </w:r>
      <w:r>
        <w:rPr>
          <w:kern w:val="0"/>
        </w:rPr>
        <w:t>influenced the rate-limiting step. The pseudo-second-order kinetic model gave a better fitting of the kinetic data for both PCP</w:t>
      </w:r>
      <w:r w:rsidR="00F81221">
        <w:rPr>
          <w:kern w:val="0"/>
        </w:rPr>
        <w:t xml:space="preserve"> and </w:t>
      </w:r>
      <w:r>
        <w:rPr>
          <w:kern w:val="0"/>
        </w:rPr>
        <w:t>PCP 0.15. The batch biosorption model, based on the pseudo-second-order mechanism, was applied to predict the rate constant of biosorption, the equilibrium capacity, the initial sorption rate, the effects of biosorbent dose,</w:t>
      </w:r>
      <w:r w:rsidR="00F81221">
        <w:rPr>
          <w:kern w:val="0"/>
        </w:rPr>
        <w:t xml:space="preserve"> and </w:t>
      </w:r>
      <w:r>
        <w:rPr>
          <w:kern w:val="0"/>
        </w:rPr>
        <w:t>initial lead(II) concentration. Equilibrium concentrations were evaluated with the equilibrium capacity obtained from the pseudo-second-order rate equation. In addition, pseudo-isotherms were obtained by changing initial lead(II) concentration using the equilibrium concentration</w:t>
      </w:r>
      <w:r w:rsidR="00F81221">
        <w:rPr>
          <w:kern w:val="0"/>
        </w:rPr>
        <w:t xml:space="preserve"> and </w:t>
      </w:r>
      <w:r>
        <w:rPr>
          <w:kern w:val="0"/>
        </w:rPr>
        <w:t>equilibrium capacity obtained based on the pseudo-second-order constants.</w:t>
      </w:r>
    </w:p>
    <w:p w:rsidR="00353E57" w:rsidRDefault="00353E57" w:rsidP="00353E57">
      <w:pPr>
        <w:pStyle w:val="a0"/>
        <w:rPr>
          <w:kern w:val="0"/>
        </w:rPr>
      </w:pPr>
      <w:r>
        <w:rPr>
          <w:kern w:val="0"/>
        </w:rPr>
        <w:t xml:space="preserve">Keywords: Adsorptive Removal, Agricultural, Agricultural Waste, Aqueous-Solution, Batch, Biomass, Biosorbent, Biosorption, Biosorption Kinetic, Biosorption Kinetics, Capacity, Coconut Copra Meal, Concentration, Data, Diffusion, Equilibrium, Experiments, Ion Sorption, Kinetic, Kinetic Model, Kinetic Parameters, Kinetic Sorption, Kinetics, Lead, Lead(II), Low-Cost Adsorbent, Mar, Mechanism, Model, Modeling, Models, NaOH, NaOH Treatment, Palm Kernel Fiber, Pattern, Pseudo </w:t>
      </w:r>
      <w:r>
        <w:rPr>
          <w:kern w:val="0"/>
        </w:rPr>
        <w:lastRenderedPageBreak/>
        <w:t>Second Order, Pseudo-Isotherms, Pseudo-Second-Order, Pseudo-Second-Order Kinetic Model, Pseudo-Second-Order Rate, Rate Constant, Rate Limiting Step, Rate-Limiting Step, Sorption, Treatment, Uptake, Waste, Waste-Water, Wood</w:t>
      </w:r>
    </w:p>
    <w:p w:rsidR="00540CED" w:rsidRDefault="00540CED" w:rsidP="00540CED">
      <w:pPr>
        <w:pStyle w:val="a0"/>
        <w:rPr>
          <w:kern w:val="0"/>
        </w:rPr>
      </w:pPr>
      <w:r>
        <w:rPr>
          <w:kern w:val="0"/>
        </w:rPr>
        <w:t xml:space="preserve">? </w:t>
      </w:r>
      <w:r w:rsidRPr="00540CED">
        <w:rPr>
          <w:kern w:val="0"/>
        </w:rPr>
        <w:t>Cai</w:t>
      </w:r>
      <w:r>
        <w:rPr>
          <w:rFonts w:hint="eastAsia"/>
          <w:kern w:val="0"/>
        </w:rPr>
        <w:t>,</w:t>
      </w:r>
      <w:r w:rsidRPr="00540CED">
        <w:rPr>
          <w:kern w:val="0"/>
        </w:rPr>
        <w:t xml:space="preserve"> J</w:t>
      </w:r>
      <w:r>
        <w:rPr>
          <w:rFonts w:hint="eastAsia"/>
          <w:kern w:val="0"/>
        </w:rPr>
        <w:t>.</w:t>
      </w:r>
      <w:r w:rsidRPr="00540CED">
        <w:rPr>
          <w:kern w:val="0"/>
        </w:rPr>
        <w:t>H</w:t>
      </w:r>
      <w:r>
        <w:rPr>
          <w:rFonts w:hint="eastAsia"/>
          <w:kern w:val="0"/>
        </w:rPr>
        <w:t>.</w:t>
      </w:r>
      <w:r w:rsidR="00F81221">
        <w:rPr>
          <w:rFonts w:hint="eastAsia"/>
          <w:kern w:val="0"/>
        </w:rPr>
        <w:t xml:space="preserve"> and </w:t>
      </w:r>
      <w:r w:rsidRPr="00540CED">
        <w:rPr>
          <w:kern w:val="0"/>
        </w:rPr>
        <w:t>Jia</w:t>
      </w:r>
      <w:r>
        <w:rPr>
          <w:rFonts w:hint="eastAsia"/>
          <w:kern w:val="0"/>
        </w:rPr>
        <w:t>,</w:t>
      </w:r>
      <w:r w:rsidRPr="00540CED">
        <w:rPr>
          <w:kern w:val="0"/>
        </w:rPr>
        <w:t xml:space="preserve"> C</w:t>
      </w:r>
      <w:r>
        <w:rPr>
          <w:rFonts w:hint="eastAsia"/>
          <w:kern w:val="0"/>
        </w:rPr>
        <w:t>.</w:t>
      </w:r>
      <w:r w:rsidRPr="00540CED">
        <w:rPr>
          <w:kern w:val="0"/>
        </w:rPr>
        <w:t>Q</w:t>
      </w:r>
      <w:r>
        <w:rPr>
          <w:rFonts w:hint="eastAsia"/>
          <w:kern w:val="0"/>
        </w:rPr>
        <w:t>.</w:t>
      </w:r>
      <w:r>
        <w:rPr>
          <w:kern w:val="0"/>
        </w:rPr>
        <w:t xml:space="preserve"> (2010), </w:t>
      </w:r>
      <w:r w:rsidRPr="00540CED">
        <w:rPr>
          <w:kern w:val="0"/>
        </w:rPr>
        <w:t>Mercury removal from aqueous solution using coke-derived sulfur-impregnated activated carbons</w:t>
      </w:r>
      <w:r>
        <w:rPr>
          <w:kern w:val="0"/>
        </w:rPr>
        <w:t xml:space="preserve">. </w:t>
      </w:r>
      <w:r>
        <w:rPr>
          <w:i/>
          <w:iCs/>
          <w:kern w:val="0"/>
        </w:rPr>
        <w:t>Industrial &amp; Engineering Chemistry Research</w:t>
      </w:r>
      <w:r>
        <w:rPr>
          <w:kern w:val="0"/>
        </w:rPr>
        <w:t xml:space="preserve">, </w:t>
      </w:r>
      <w:r>
        <w:rPr>
          <w:b/>
          <w:bCs/>
          <w:kern w:val="0"/>
        </w:rPr>
        <w:t>49</w:t>
      </w:r>
      <w:r>
        <w:rPr>
          <w:kern w:val="0"/>
        </w:rPr>
        <w:t xml:space="preserve"> (6), </w:t>
      </w:r>
      <w:r w:rsidRPr="00540CED">
        <w:rPr>
          <w:kern w:val="0"/>
        </w:rPr>
        <w:t>2716-2721</w:t>
      </w:r>
      <w:r>
        <w:rPr>
          <w:kern w:val="0"/>
        </w:rPr>
        <w:t>.</w:t>
      </w:r>
    </w:p>
    <w:p w:rsidR="00540CED" w:rsidRDefault="00540CED" w:rsidP="00540CED">
      <w:pPr>
        <w:pStyle w:val="a0"/>
        <w:rPr>
          <w:kern w:val="0"/>
        </w:rPr>
      </w:pPr>
      <w:r w:rsidRPr="00F03D2F">
        <w:rPr>
          <w:kern w:val="0"/>
        </w:rPr>
        <w:t>Full Text:</w:t>
      </w:r>
      <w:r w:rsidRPr="00D7601C">
        <w:t xml:space="preserve"> </w:t>
      </w:r>
      <w:hyperlink r:id="rId1315" w:history="1">
        <w:r w:rsidRPr="00540CED">
          <w:rPr>
            <w:rStyle w:val="a5"/>
          </w:rPr>
          <w:t>2010\Ind Eng Che Res49, 2716.pdf</w:t>
        </w:r>
      </w:hyperlink>
    </w:p>
    <w:p w:rsidR="00540CED" w:rsidRPr="00540CED" w:rsidRDefault="00540CED" w:rsidP="00540CED">
      <w:pPr>
        <w:pStyle w:val="a0"/>
        <w:rPr>
          <w:kern w:val="0"/>
        </w:rPr>
      </w:pPr>
      <w:r w:rsidRPr="00540CED">
        <w:rPr>
          <w:kern w:val="0"/>
        </w:rPr>
        <w:t>Abstract: Sulfur-impregnated activated carbons (SIACs) produced from oil-sands fluid coke by KOH-SO2 activation were applied to remove mercury ions from aqueous solutions. A pseudo-first-order rate expression can describe the Hg2+ adsorption behavior of SIACs produced in this study. The rate constants were found to be 0.01-0.102 min(-1). The Hg2+ adsorption capacities of the examined SIACs ranged from 43 to 72 mg/g, which were comparable to those reported in the literature (35-100 mg/g)</w:t>
      </w:r>
      <w:r w:rsidR="00F81221">
        <w:rPr>
          <w:kern w:val="0"/>
        </w:rPr>
        <w:t xml:space="preserve"> and </w:t>
      </w:r>
      <w:r w:rsidRPr="00540CED">
        <w:rPr>
          <w:kern w:val="0"/>
        </w:rPr>
        <w:t>that of a commercial SIAC (41 mg/g). The adsorption capacity increased with increasing Specific Surface area (S-BET) of the SIACs,</w:t>
      </w:r>
      <w:r w:rsidR="00F81221">
        <w:rPr>
          <w:kern w:val="0"/>
        </w:rPr>
        <w:t xml:space="preserve"> and </w:t>
      </w:r>
      <w:r w:rsidRPr="00540CED">
        <w:rPr>
          <w:kern w:val="0"/>
        </w:rPr>
        <w:t>a positive correlation was found between the S-BET-normalized adsorption capacity</w:t>
      </w:r>
      <w:r w:rsidR="00F81221">
        <w:rPr>
          <w:kern w:val="0"/>
        </w:rPr>
        <w:t xml:space="preserve"> and </w:t>
      </w:r>
      <w:r w:rsidRPr="00540CED">
        <w:rPr>
          <w:kern w:val="0"/>
        </w:rPr>
        <w:t>the total sulfur content of the SIACs. Elemental sulfur, disulfide,</w:t>
      </w:r>
      <w:r w:rsidR="00F81221">
        <w:rPr>
          <w:kern w:val="0"/>
        </w:rPr>
        <w:t xml:space="preserve"> and </w:t>
      </w:r>
      <w:r w:rsidRPr="00540CED">
        <w:rPr>
          <w:kern w:val="0"/>
        </w:rPr>
        <w:t>thiophene seemed particularly effective in Hg2+ adsorption, as SIACs with these sulfur compounds showed higher ad</w:t>
      </w:r>
      <w:r>
        <w:rPr>
          <w:kern w:val="0"/>
        </w:rPr>
        <w:t>sorption capacities in general.</w:t>
      </w:r>
    </w:p>
    <w:p w:rsidR="00540CED" w:rsidRPr="00F03D2F" w:rsidRDefault="00540CED" w:rsidP="00540CED">
      <w:pPr>
        <w:pStyle w:val="a0"/>
        <w:rPr>
          <w:kern w:val="0"/>
        </w:rPr>
      </w:pPr>
      <w:r w:rsidRPr="00540CED">
        <w:rPr>
          <w:kern w:val="0"/>
        </w:rPr>
        <w:t>Keywords: Waste-Water</w:t>
      </w:r>
      <w:r>
        <w:rPr>
          <w:kern w:val="0"/>
        </w:rPr>
        <w:t>,</w:t>
      </w:r>
      <w:r w:rsidRPr="00540CED">
        <w:rPr>
          <w:kern w:val="0"/>
        </w:rPr>
        <w:t xml:space="preserve"> Adsorption</w:t>
      </w:r>
      <w:r>
        <w:rPr>
          <w:kern w:val="0"/>
        </w:rPr>
        <w:t>,</w:t>
      </w:r>
      <w:r w:rsidRPr="00540CED">
        <w:rPr>
          <w:kern w:val="0"/>
        </w:rPr>
        <w:t xml:space="preserve"> Chloride</w:t>
      </w:r>
      <w:r>
        <w:rPr>
          <w:kern w:val="0"/>
        </w:rPr>
        <w:t>,</w:t>
      </w:r>
      <w:r w:rsidRPr="00540CED">
        <w:rPr>
          <w:kern w:val="0"/>
        </w:rPr>
        <w:t xml:space="preserve"> Ki</w:t>
      </w:r>
      <w:r>
        <w:rPr>
          <w:kern w:val="0"/>
        </w:rPr>
        <w:t>netics, Cadmium, Surface, Ions</w:t>
      </w:r>
    </w:p>
    <w:p w:rsidR="00C223D9" w:rsidRDefault="00C223D9" w:rsidP="00C223D9">
      <w:pPr>
        <w:pStyle w:val="a0"/>
        <w:rPr>
          <w:kern w:val="0"/>
        </w:rPr>
      </w:pPr>
      <w:r>
        <w:rPr>
          <w:kern w:val="0"/>
        </w:rPr>
        <w:t>? Rodríguez, A., Ovejero, G., Mestanza, M.</w:t>
      </w:r>
      <w:r w:rsidR="00F81221">
        <w:rPr>
          <w:kern w:val="0"/>
        </w:rPr>
        <w:t xml:space="preserve"> and </w:t>
      </w:r>
      <w:r>
        <w:rPr>
          <w:kern w:val="0"/>
        </w:rPr>
        <w:t>García, J. (2010), Removal of dyes from wastewaters by adsorption on sepiolite</w:t>
      </w:r>
      <w:r w:rsidR="00F81221">
        <w:rPr>
          <w:kern w:val="0"/>
        </w:rPr>
        <w:t xml:space="preserve"> and </w:t>
      </w:r>
      <w:r>
        <w:rPr>
          <w:kern w:val="0"/>
        </w:rPr>
        <w:t xml:space="preserve">pansil. </w:t>
      </w:r>
      <w:r>
        <w:rPr>
          <w:i/>
          <w:iCs/>
          <w:kern w:val="0"/>
        </w:rPr>
        <w:t>Industrial &amp; Engineering Chemistry Research</w:t>
      </w:r>
      <w:r>
        <w:rPr>
          <w:kern w:val="0"/>
        </w:rPr>
        <w:t xml:space="preserve">, </w:t>
      </w:r>
      <w:r>
        <w:rPr>
          <w:b/>
          <w:bCs/>
          <w:kern w:val="0"/>
        </w:rPr>
        <w:t>49</w:t>
      </w:r>
      <w:r>
        <w:rPr>
          <w:kern w:val="0"/>
        </w:rPr>
        <w:t xml:space="preserve"> (7), 3207-3216.</w:t>
      </w:r>
    </w:p>
    <w:p w:rsidR="00C223D9" w:rsidRPr="003D698F" w:rsidRDefault="00C223D9" w:rsidP="00C223D9">
      <w:pPr>
        <w:pStyle w:val="a0"/>
        <w:rPr>
          <w:kern w:val="0"/>
        </w:rPr>
      </w:pPr>
      <w:r w:rsidRPr="003D698F">
        <w:rPr>
          <w:kern w:val="0"/>
        </w:rPr>
        <w:t>Full Text:</w:t>
      </w:r>
      <w:r w:rsidRPr="003D698F">
        <w:t xml:space="preserve"> </w:t>
      </w:r>
      <w:hyperlink r:id="rId1316" w:history="1">
        <w:r w:rsidRPr="00E54622">
          <w:rPr>
            <w:rStyle w:val="a5"/>
          </w:rPr>
          <w:t>2010\Ind Eng Che Res49, 3207.pdf</w:t>
        </w:r>
      </w:hyperlink>
    </w:p>
    <w:p w:rsidR="00C223D9" w:rsidRDefault="00C223D9" w:rsidP="00C223D9">
      <w:pPr>
        <w:pStyle w:val="a0"/>
        <w:rPr>
          <w:kern w:val="0"/>
        </w:rPr>
      </w:pPr>
      <w:r>
        <w:rPr>
          <w:kern w:val="0"/>
        </w:rPr>
        <w:t>Abstract: In this work, experiments to examine the liquid-phase adsorption features of sepiolite</w:t>
      </w:r>
      <w:r w:rsidR="00F81221">
        <w:rPr>
          <w:kern w:val="0"/>
        </w:rPr>
        <w:t xml:space="preserve"> and </w:t>
      </w:r>
      <w:r>
        <w:rPr>
          <w:kern w:val="0"/>
        </w:rPr>
        <w:t>pansil have been conducted with synthetic dye wastewaters prepared from commercial grade dye, methylene blue (MB). The adsorption experimental results were analyzed in terms of the equilibrium adsorption capacity</w:t>
      </w:r>
      <w:r w:rsidR="00F81221">
        <w:rPr>
          <w:kern w:val="0"/>
        </w:rPr>
        <w:t xml:space="preserve"> and </w:t>
      </w:r>
      <w:r>
        <w:rPr>
          <w:kern w:val="0"/>
        </w:rPr>
        <w:t>equilibrium time. The Langmuir, Freundlich,</w:t>
      </w:r>
      <w:r w:rsidR="00F81221">
        <w:rPr>
          <w:kern w:val="0"/>
        </w:rPr>
        <w:t xml:space="preserve"> and </w:t>
      </w:r>
      <w:r>
        <w:rPr>
          <w:kern w:val="0"/>
        </w:rPr>
        <w:t>Sips adsorption models are applied to describe the isotherm equilibrium</w:t>
      </w:r>
      <w:r w:rsidR="00F81221">
        <w:rPr>
          <w:kern w:val="0"/>
        </w:rPr>
        <w:t xml:space="preserve"> and </w:t>
      </w:r>
      <w:r>
        <w:rPr>
          <w:kern w:val="0"/>
        </w:rPr>
        <w:t>to determine some parameters. The Sips model agrees well with the experimental data,</w:t>
      </w:r>
      <w:r w:rsidR="00F81221">
        <w:rPr>
          <w:kern w:val="0"/>
        </w:rPr>
        <w:t xml:space="preserve"> and </w:t>
      </w:r>
      <w:r>
        <w:rPr>
          <w:kern w:val="0"/>
        </w:rPr>
        <w:t>the pseudo-second-order kinetic model reproduces properly the kinetic experimental data of the system MB sepiolite. The highest MB adsorption was obtained at acid pH for sepiolite</w:t>
      </w:r>
      <w:r w:rsidR="00F81221">
        <w:rPr>
          <w:kern w:val="0"/>
        </w:rPr>
        <w:t xml:space="preserve"> and </w:t>
      </w:r>
      <w:r>
        <w:rPr>
          <w:kern w:val="0"/>
        </w:rPr>
        <w:t>at basic pH for pansil. Besides, several kinetics models were employed to study the adsorption mechanism of MB on sepiolite.</w:t>
      </w:r>
    </w:p>
    <w:p w:rsidR="00C223D9" w:rsidRDefault="00C223D9" w:rsidP="00C223D9">
      <w:pPr>
        <w:pStyle w:val="a0"/>
        <w:rPr>
          <w:kern w:val="0"/>
        </w:rPr>
      </w:pPr>
      <w:r>
        <w:rPr>
          <w:kern w:val="0"/>
        </w:rPr>
        <w:t xml:space="preserve">Keywords: Acid, Activated Carbon, Adsorption, Adsorption Capacity, Adsorption Mechanism, Aqueous-Solutions, Basic Dye, Capacity, Data, Dye, Dyes, Equilibrium, Experimental, Experiments, Fly-Ash, Freundlich, Isotherm, Kinetic, Kinetic Model, Kinetics, Kinetics Models, Langmuir, Liquid-Phase Adsorption, Mb, Mechanism, </w:t>
      </w:r>
      <w:r>
        <w:rPr>
          <w:kern w:val="0"/>
        </w:rPr>
        <w:lastRenderedPageBreak/>
        <w:t>Methylene Blue, Methylene-Blue, Model, Models, Ph, Pseudo Second Order, Pseudo-Second-Order, Pseudo-Second-Order Kinetic Model, Reactive Dye, Removal, Sepiolite, Time, Wastewaters, Work</w:t>
      </w:r>
    </w:p>
    <w:p w:rsidR="00233CCD" w:rsidRDefault="00233CCD" w:rsidP="00233CCD">
      <w:pPr>
        <w:pStyle w:val="a0"/>
        <w:rPr>
          <w:kern w:val="0"/>
        </w:rPr>
      </w:pPr>
      <w:r>
        <w:rPr>
          <w:kern w:val="0"/>
        </w:rPr>
        <w:t xml:space="preserve">? </w:t>
      </w:r>
      <w:r w:rsidRPr="00233CCD">
        <w:rPr>
          <w:kern w:val="0"/>
        </w:rPr>
        <w:t>Quek, A</w:t>
      </w:r>
      <w:r>
        <w:rPr>
          <w:rFonts w:hint="eastAsia"/>
          <w:kern w:val="0"/>
        </w:rPr>
        <w:t>.,</w:t>
      </w:r>
      <w:r w:rsidRPr="00233CCD">
        <w:rPr>
          <w:kern w:val="0"/>
        </w:rPr>
        <w:t xml:space="preserve"> Zhao, X</w:t>
      </w:r>
      <w:r>
        <w:rPr>
          <w:rFonts w:hint="eastAsia"/>
          <w:kern w:val="0"/>
        </w:rPr>
        <w:t>.</w:t>
      </w:r>
      <w:r w:rsidRPr="00233CCD">
        <w:rPr>
          <w:kern w:val="0"/>
        </w:rPr>
        <w:t>S</w:t>
      </w:r>
      <w:r>
        <w:rPr>
          <w:rFonts w:hint="eastAsia"/>
          <w:kern w:val="0"/>
        </w:rPr>
        <w:t>.</w:t>
      </w:r>
      <w:r w:rsidR="00F81221">
        <w:rPr>
          <w:rFonts w:hint="eastAsia"/>
          <w:kern w:val="0"/>
        </w:rPr>
        <w:t xml:space="preserve"> and </w:t>
      </w:r>
      <w:r w:rsidRPr="00233CCD">
        <w:rPr>
          <w:kern w:val="0"/>
        </w:rPr>
        <w:t>Balasubramanian, R</w:t>
      </w:r>
      <w:r>
        <w:rPr>
          <w:rFonts w:hint="eastAsia"/>
          <w:kern w:val="0"/>
        </w:rPr>
        <w:t>.</w:t>
      </w:r>
      <w:r>
        <w:rPr>
          <w:kern w:val="0"/>
        </w:rPr>
        <w:t xml:space="preserve"> (2010), </w:t>
      </w:r>
      <w:r w:rsidRPr="00233CCD">
        <w:rPr>
          <w:kern w:val="0"/>
        </w:rPr>
        <w:t>Mechanistic insights into copper removal by pyrolytic tire char through equilibrium studies</w:t>
      </w:r>
      <w:r>
        <w:rPr>
          <w:kern w:val="0"/>
        </w:rPr>
        <w:t xml:space="preserve">. </w:t>
      </w:r>
      <w:r>
        <w:rPr>
          <w:i/>
          <w:iCs/>
          <w:kern w:val="0"/>
        </w:rPr>
        <w:t>Industrial &amp; Engineering Chemistry Research</w:t>
      </w:r>
      <w:r>
        <w:rPr>
          <w:kern w:val="0"/>
        </w:rPr>
        <w:t xml:space="preserve">, </w:t>
      </w:r>
      <w:r>
        <w:rPr>
          <w:b/>
          <w:bCs/>
          <w:kern w:val="0"/>
        </w:rPr>
        <w:t>49</w:t>
      </w:r>
      <w:r>
        <w:rPr>
          <w:kern w:val="0"/>
        </w:rPr>
        <w:t xml:space="preserve"> (10), </w:t>
      </w:r>
      <w:r w:rsidRPr="00233CCD">
        <w:rPr>
          <w:kern w:val="0"/>
        </w:rPr>
        <w:t>4528-4534</w:t>
      </w:r>
      <w:r>
        <w:rPr>
          <w:rFonts w:hint="eastAsia"/>
          <w:kern w:val="0"/>
        </w:rPr>
        <w:t>.</w:t>
      </w:r>
    </w:p>
    <w:p w:rsidR="00233CCD" w:rsidRDefault="00233CCD" w:rsidP="00233CCD">
      <w:pPr>
        <w:pStyle w:val="a0"/>
        <w:rPr>
          <w:kern w:val="0"/>
        </w:rPr>
      </w:pPr>
      <w:r w:rsidRPr="00F03D2F">
        <w:rPr>
          <w:kern w:val="0"/>
        </w:rPr>
        <w:t>Full Text:</w:t>
      </w:r>
      <w:r w:rsidRPr="00D7601C">
        <w:t xml:space="preserve"> </w:t>
      </w:r>
      <w:hyperlink r:id="rId1317" w:history="1">
        <w:r w:rsidRPr="00233CCD">
          <w:rPr>
            <w:rStyle w:val="a5"/>
          </w:rPr>
          <w:t>2010\Ind Eng Che Res49, 4528.pdf</w:t>
        </w:r>
      </w:hyperlink>
    </w:p>
    <w:p w:rsidR="00233CCD" w:rsidRPr="00233CCD" w:rsidRDefault="00233CCD" w:rsidP="00233CCD">
      <w:pPr>
        <w:pStyle w:val="a0"/>
        <w:rPr>
          <w:kern w:val="0"/>
        </w:rPr>
      </w:pPr>
      <w:r w:rsidRPr="00233CCD">
        <w:rPr>
          <w:kern w:val="0"/>
        </w:rPr>
        <w:t>Abstract: This study showed that copper(II) can be removed from aqueous solution by activated pyrolytic tire char in three mechanistically distinct ways. On the basis of equilibrium studies, the mechanisms involved in the adsorptive removal of copper(II), namely, precipitation, surface adsorption,</w:t>
      </w:r>
      <w:r w:rsidR="00F81221">
        <w:rPr>
          <w:kern w:val="0"/>
        </w:rPr>
        <w:t xml:space="preserve"> and </w:t>
      </w:r>
      <w:r w:rsidRPr="00233CCD">
        <w:rPr>
          <w:kern w:val="0"/>
        </w:rPr>
        <w:t>pore diffusion, were elucidated. Precipitation of copper(II) resulted from changes in the solution pH to neutral levels. This was attributed to amphoteric zinc oxide on the char surface, formed during production of the pyrolytic char. Surface adsorption was revealed by X-ray photoelectron spectroscopy data, which showed a significant increase in copper(II) on the char surface after shaking in the copper solution. This surface adsorption took place despite the relatively low surface area</w:t>
      </w:r>
      <w:r w:rsidR="00F81221">
        <w:rPr>
          <w:kern w:val="0"/>
        </w:rPr>
        <w:t xml:space="preserve"> and </w:t>
      </w:r>
      <w:r w:rsidRPr="00233CCD">
        <w:rPr>
          <w:kern w:val="0"/>
        </w:rPr>
        <w:t>porosity of the char. However, some cracks</w:t>
      </w:r>
      <w:r w:rsidR="00F81221">
        <w:rPr>
          <w:kern w:val="0"/>
        </w:rPr>
        <w:t xml:space="preserve"> and </w:t>
      </w:r>
      <w:r w:rsidRPr="00233CCD">
        <w:rPr>
          <w:kern w:val="0"/>
        </w:rPr>
        <w:t>fissures were found to exist in the char that can trap small species such as copper ions. These trapped copper species were partially recovered by microwave-assist</w:t>
      </w:r>
      <w:r>
        <w:rPr>
          <w:kern w:val="0"/>
        </w:rPr>
        <w:t>ed acid digestion of the char.</w:t>
      </w:r>
    </w:p>
    <w:p w:rsidR="00233CCD" w:rsidRPr="00F03D2F" w:rsidRDefault="00233CCD" w:rsidP="00233CCD">
      <w:pPr>
        <w:pStyle w:val="a0"/>
        <w:rPr>
          <w:kern w:val="0"/>
        </w:rPr>
      </w:pPr>
      <w:r w:rsidRPr="00233CCD">
        <w:rPr>
          <w:kern w:val="0"/>
        </w:rPr>
        <w:t>Keywords: Activated Carbon; Aqueous-Solution; Waste Tires; Automobile Tires; Heavy-Metals; Scrap Tires; Bed Reactor;</w:t>
      </w:r>
      <w:r>
        <w:rPr>
          <w:kern w:val="0"/>
        </w:rPr>
        <w:t xml:space="preserve"> Adsorption; Water; Adsorbents</w:t>
      </w:r>
    </w:p>
    <w:p w:rsidR="00233CCD" w:rsidRDefault="00233CCD" w:rsidP="00233CCD">
      <w:pPr>
        <w:pStyle w:val="a0"/>
        <w:rPr>
          <w:kern w:val="0"/>
        </w:rPr>
      </w:pPr>
      <w:r>
        <w:rPr>
          <w:kern w:val="0"/>
        </w:rPr>
        <w:t>? Maiti, A., Basu, J.K.</w:t>
      </w:r>
      <w:r w:rsidR="00F81221">
        <w:rPr>
          <w:kern w:val="0"/>
        </w:rPr>
        <w:t xml:space="preserve"> and </w:t>
      </w:r>
      <w:r>
        <w:rPr>
          <w:kern w:val="0"/>
        </w:rPr>
        <w:t xml:space="preserve">De, S. (2010), Development of a treated laterite for arsenic adsorption: Effects of treatment parameters. </w:t>
      </w:r>
      <w:r>
        <w:rPr>
          <w:i/>
          <w:iCs/>
          <w:kern w:val="0"/>
        </w:rPr>
        <w:t>Industrial &amp; Engineering Chemistry Research</w:t>
      </w:r>
      <w:r>
        <w:rPr>
          <w:kern w:val="0"/>
        </w:rPr>
        <w:t xml:space="preserve">, </w:t>
      </w:r>
      <w:r>
        <w:rPr>
          <w:b/>
          <w:bCs/>
          <w:kern w:val="0"/>
        </w:rPr>
        <w:t>49</w:t>
      </w:r>
      <w:r>
        <w:rPr>
          <w:kern w:val="0"/>
        </w:rPr>
        <w:t xml:space="preserve"> (10), 4873-4886.</w:t>
      </w:r>
    </w:p>
    <w:p w:rsidR="00233CCD" w:rsidRPr="00F03D2F" w:rsidRDefault="00233CCD" w:rsidP="00233CCD">
      <w:pPr>
        <w:pStyle w:val="a0"/>
        <w:rPr>
          <w:kern w:val="0"/>
        </w:rPr>
      </w:pPr>
      <w:r w:rsidRPr="00F03D2F">
        <w:rPr>
          <w:kern w:val="0"/>
        </w:rPr>
        <w:t>Full Text:</w:t>
      </w:r>
      <w:r w:rsidRPr="00D7601C">
        <w:t xml:space="preserve"> </w:t>
      </w:r>
      <w:hyperlink r:id="rId1318" w:history="1">
        <w:r w:rsidRPr="004957F9">
          <w:rPr>
            <w:rStyle w:val="a5"/>
          </w:rPr>
          <w:t>2010\Ind Eng Che Res49, 4873.pdf</w:t>
        </w:r>
      </w:hyperlink>
    </w:p>
    <w:p w:rsidR="00FB2F85" w:rsidRDefault="00FB2F85" w:rsidP="00FB2F85">
      <w:pPr>
        <w:pStyle w:val="a0"/>
        <w:rPr>
          <w:kern w:val="0"/>
        </w:rPr>
      </w:pPr>
      <w:r>
        <w:rPr>
          <w:kern w:val="0"/>
        </w:rPr>
        <w:t>Abstract: A porous</w:t>
      </w:r>
      <w:r w:rsidR="00F81221">
        <w:rPr>
          <w:kern w:val="0"/>
        </w:rPr>
        <w:t xml:space="preserve"> and </w:t>
      </w:r>
      <w:r>
        <w:rPr>
          <w:kern w:val="0"/>
        </w:rPr>
        <w:t>efficient arsenic adsorbent (specific surface area, 181±4 m</w:t>
      </w:r>
      <w:r>
        <w:rPr>
          <w:kern w:val="0"/>
          <w:vertAlign w:val="superscript"/>
        </w:rPr>
        <w:t>2</w:t>
      </w:r>
      <w:r>
        <w:rPr>
          <w:kern w:val="0"/>
        </w:rPr>
        <w:t>/g; pore volume, 0.35±0.01 mL/g) is prepared from raw laterite by acid followed by alkali treatment. FTIR, XRD, SEM-EDAX, HRTEM,</w:t>
      </w:r>
      <w:r w:rsidR="00F81221">
        <w:rPr>
          <w:kern w:val="0"/>
        </w:rPr>
        <w:t xml:space="preserve"> and </w:t>
      </w:r>
      <w:r>
        <w:rPr>
          <w:kern w:val="0"/>
        </w:rPr>
        <w:t>a surface area analyzer are used for detailed characterization of treated materials. Adsorption of arsenic on treated laterite (TL) using arsenic spiked distilled water</w:t>
      </w:r>
      <w:r w:rsidR="00F81221">
        <w:rPr>
          <w:kern w:val="0"/>
        </w:rPr>
        <w:t xml:space="preserve"> and </w:t>
      </w:r>
      <w:r>
        <w:rPr>
          <w:kern w:val="0"/>
        </w:rPr>
        <w:t>contaminated groundwater (CGW) is studied in the batch</w:t>
      </w:r>
      <w:r w:rsidR="00F81221">
        <w:rPr>
          <w:kern w:val="0"/>
        </w:rPr>
        <w:t xml:space="preserve"> and </w:t>
      </w:r>
      <w:r>
        <w:rPr>
          <w:kern w:val="0"/>
        </w:rPr>
        <w:t>fixed-bed column modes. The Langmuir isotherm fits better to the experimental data compared to the Freundlich isotherm. The Langmuir maximum capacities of As(V)</w:t>
      </w:r>
      <w:r w:rsidR="00F81221">
        <w:rPr>
          <w:kern w:val="0"/>
        </w:rPr>
        <w:t xml:space="preserve"> and </w:t>
      </w:r>
      <w:r>
        <w:rPr>
          <w:kern w:val="0"/>
        </w:rPr>
        <w:t>As(III) on the best-performing treated material are found to be 24.8±3.9</w:t>
      </w:r>
      <w:r w:rsidR="00F81221">
        <w:rPr>
          <w:kern w:val="0"/>
        </w:rPr>
        <w:t xml:space="preserve"> and </w:t>
      </w:r>
      <w:r>
        <w:rPr>
          <w:kern w:val="0"/>
        </w:rPr>
        <w:t>8.0±1.4 mg/g, respectively. Arsenic adsorption on TL follows pseudo-second-order kinetics. The Langmuir maximum adsorptions of arsenic on raw laterite</w:t>
      </w:r>
      <w:r w:rsidR="00F81221">
        <w:rPr>
          <w:kern w:val="0"/>
        </w:rPr>
        <w:t xml:space="preserve"> and </w:t>
      </w:r>
      <w:r>
        <w:rPr>
          <w:kern w:val="0"/>
        </w:rPr>
        <w:t>TL using CGW as the total arsenic are found lobe 0.11±0.01</w:t>
      </w:r>
      <w:r w:rsidR="00F81221">
        <w:rPr>
          <w:kern w:val="0"/>
        </w:rPr>
        <w:t xml:space="preserve"> and </w:t>
      </w:r>
      <w:r>
        <w:rPr>
          <w:kern w:val="0"/>
        </w:rPr>
        <w:t xml:space="preserve">7.5±0.4 mg/g, respectively. In the fixed-bed column run, the 6.5 cm TL bed is capable to produce similar to 3000 times </w:t>
      </w:r>
      <w:r>
        <w:rPr>
          <w:kern w:val="0"/>
        </w:rPr>
        <w:lastRenderedPageBreak/>
        <w:t>the bed volume of treated water with an effluent arsenic concentration &lt;10 mu g/L using CGW as an influent. The arsenic adsorption capacity of TL is found to be 30 to 40 times higher compared to that of raw laterite.</w:t>
      </w:r>
    </w:p>
    <w:p w:rsidR="00FB2F85" w:rsidRDefault="00FB2F85" w:rsidP="00FB2F85">
      <w:pPr>
        <w:pStyle w:val="a0"/>
        <w:rPr>
          <w:kern w:val="0"/>
        </w:rPr>
      </w:pPr>
      <w:r>
        <w:rPr>
          <w:kern w:val="0"/>
        </w:rPr>
        <w:t>Keywords: Acid, Activated Alumina, Adsorbent, Adsorption, Adsorption Capacity, Aqueous-Solution, Arsenic, Arsenic Adsorption, As(III), As(V), Batch, Capacity, Characterization, Column, Column Modes, Concentration, Contaminated Groundwater, Data, Experimental, Fixed Bed, Freundlich, Freundlich Isotherm, FTIR, Groundwater, Hrtem, Isotherm, Kinetics, Langmuir, Langmuir Isotherm, Laterite, Oxide, Pore Volume, Pseudo Second Order, Pseudo Second Order Kinetics, Pseudo-Second-Order, Pseudo-Second-Order Kinetics, Real-Life Groundwater, Red Mud, Removal, Specific Surface, Specific Surface Area, Surface, Surface Area, Treatment, Volume, Water, XRD, Zero-Valent Iron</w:t>
      </w:r>
    </w:p>
    <w:p w:rsidR="009E7D04" w:rsidRDefault="009E7D04" w:rsidP="009E7D04">
      <w:pPr>
        <w:pStyle w:val="a0"/>
        <w:rPr>
          <w:kern w:val="0"/>
          <w:szCs w:val="24"/>
        </w:rPr>
      </w:pPr>
      <w:r>
        <w:rPr>
          <w:rFonts w:hint="eastAsia"/>
          <w:kern w:val="0"/>
          <w:szCs w:val="24"/>
        </w:rPr>
        <w:t xml:space="preserve">? </w:t>
      </w:r>
      <w:r>
        <w:rPr>
          <w:kern w:val="0"/>
          <w:szCs w:val="24"/>
        </w:rPr>
        <w:t>Yesil-Celiktas, O.</w:t>
      </w:r>
      <w:r w:rsidR="00F81221">
        <w:rPr>
          <w:kern w:val="0"/>
          <w:szCs w:val="24"/>
        </w:rPr>
        <w:t xml:space="preserve"> and </w:t>
      </w:r>
      <w:r>
        <w:rPr>
          <w:kern w:val="0"/>
          <w:szCs w:val="24"/>
        </w:rPr>
        <w:t>Senyay, D. (2010), The breadth</w:t>
      </w:r>
      <w:r w:rsidR="00F81221">
        <w:rPr>
          <w:kern w:val="0"/>
          <w:szCs w:val="24"/>
        </w:rPr>
        <w:t xml:space="preserve"> and </w:t>
      </w:r>
      <w:r>
        <w:rPr>
          <w:kern w:val="0"/>
          <w:szCs w:val="24"/>
        </w:rPr>
        <w:t>intensity of supercritical particle formation research with an emphasis on publication</w:t>
      </w:r>
      <w:r w:rsidR="00F81221">
        <w:rPr>
          <w:kern w:val="0"/>
          <w:szCs w:val="24"/>
        </w:rPr>
        <w:t xml:space="preserve"> and </w:t>
      </w:r>
      <w:r>
        <w:rPr>
          <w:kern w:val="0"/>
          <w:szCs w:val="24"/>
        </w:rPr>
        <w:t xml:space="preserve">patent disclosures. </w:t>
      </w:r>
      <w:r>
        <w:rPr>
          <w:i/>
          <w:iCs/>
          <w:kern w:val="0"/>
          <w:szCs w:val="24"/>
        </w:rPr>
        <w:t>Industrial &amp; Engineering Chemistry Research</w:t>
      </w:r>
      <w:r>
        <w:rPr>
          <w:kern w:val="0"/>
          <w:szCs w:val="24"/>
        </w:rPr>
        <w:t xml:space="preserve">, </w:t>
      </w:r>
      <w:r>
        <w:rPr>
          <w:b/>
          <w:bCs/>
          <w:kern w:val="0"/>
          <w:szCs w:val="24"/>
        </w:rPr>
        <w:t>49</w:t>
      </w:r>
      <w:r>
        <w:rPr>
          <w:kern w:val="0"/>
          <w:szCs w:val="24"/>
        </w:rPr>
        <w:t xml:space="preserve"> (15), 7017-7026.</w:t>
      </w:r>
    </w:p>
    <w:p w:rsidR="009E7D04" w:rsidRPr="00F03D2F" w:rsidRDefault="009E7D04" w:rsidP="009E7D04">
      <w:pPr>
        <w:pStyle w:val="a0"/>
        <w:rPr>
          <w:kern w:val="0"/>
        </w:rPr>
      </w:pPr>
      <w:r w:rsidRPr="00F03D2F">
        <w:rPr>
          <w:kern w:val="0"/>
        </w:rPr>
        <w:t>Full Text:</w:t>
      </w:r>
      <w:r w:rsidRPr="00D7601C">
        <w:t xml:space="preserve"> </w:t>
      </w:r>
      <w:hyperlink r:id="rId1319" w:history="1">
        <w:r w:rsidRPr="009E7D04">
          <w:rPr>
            <w:rStyle w:val="a5"/>
          </w:rPr>
          <w:t>2010\Ind Eng Che Res49, 7017.pdf</w:t>
        </w:r>
      </w:hyperlink>
    </w:p>
    <w:p w:rsidR="009E7D04" w:rsidRDefault="009E7D04" w:rsidP="009E7D04">
      <w:pPr>
        <w:pStyle w:val="a0"/>
        <w:rPr>
          <w:kern w:val="0"/>
          <w:szCs w:val="24"/>
        </w:rPr>
      </w:pPr>
      <w:r>
        <w:rPr>
          <w:kern w:val="0"/>
          <w:szCs w:val="24"/>
        </w:rPr>
        <w:t>Abstract: The drawbacks of the conventional mechanical treatments for particle micronization often resulting in product damage or performance degradation have highlighted the need for alternative particle formation processes. The aim of this study was to shed light on the trends of the scientific studies</w:t>
      </w:r>
      <w:r w:rsidR="00F81221">
        <w:rPr>
          <w:kern w:val="0"/>
          <w:szCs w:val="24"/>
        </w:rPr>
        <w:t xml:space="preserve"> and </w:t>
      </w:r>
      <w:r>
        <w:rPr>
          <w:kern w:val="0"/>
          <w:szCs w:val="24"/>
        </w:rPr>
        <w:t>innovations in the field of particle formation using supercritical fluids (SCF) in order to observe the progress of science</w:t>
      </w:r>
      <w:r w:rsidR="00F81221">
        <w:rPr>
          <w:kern w:val="0"/>
          <w:szCs w:val="24"/>
        </w:rPr>
        <w:t xml:space="preserve"> and </w:t>
      </w:r>
      <w:r>
        <w:rPr>
          <w:kern w:val="0"/>
          <w:szCs w:val="24"/>
        </w:rPr>
        <w:t>technology</w:t>
      </w:r>
      <w:r w:rsidR="00F81221">
        <w:rPr>
          <w:kern w:val="0"/>
          <w:szCs w:val="24"/>
        </w:rPr>
        <w:t xml:space="preserve"> and </w:t>
      </w:r>
      <w:r>
        <w:rPr>
          <w:kern w:val="0"/>
          <w:szCs w:val="24"/>
        </w:rPr>
        <w:t>to satisfy the need for a global view of research activities. The publications in the ISI Web</w:t>
      </w:r>
      <w:r w:rsidR="00F81221">
        <w:rPr>
          <w:kern w:val="0"/>
          <w:szCs w:val="24"/>
        </w:rPr>
        <w:t xml:space="preserve"> and </w:t>
      </w:r>
      <w:r>
        <w:rPr>
          <w:kern w:val="0"/>
          <w:szCs w:val="24"/>
        </w:rPr>
        <w:t>the patents in a patent database were screened using nine different keywords in title or topics. A total of 939 journal publication</w:t>
      </w:r>
      <w:r w:rsidR="00F81221">
        <w:rPr>
          <w:kern w:val="0"/>
          <w:szCs w:val="24"/>
        </w:rPr>
        <w:t xml:space="preserve"> and </w:t>
      </w:r>
      <w:r>
        <w:rPr>
          <w:kern w:val="0"/>
          <w:szCs w:val="24"/>
        </w:rPr>
        <w:t>206 patent disclosures between 1980-2009, with the contributions of 3588 authors</w:t>
      </w:r>
      <w:r w:rsidR="00F81221">
        <w:rPr>
          <w:kern w:val="0"/>
          <w:szCs w:val="24"/>
        </w:rPr>
        <w:t xml:space="preserve"> and </w:t>
      </w:r>
      <w:r>
        <w:rPr>
          <w:kern w:val="0"/>
          <w:szCs w:val="24"/>
        </w:rPr>
        <w:t>604 innovators, were found to focus on particle formation using SCF. The results showed that the majority of the publication (59.2%)</w:t>
      </w:r>
      <w:r w:rsidR="00F81221">
        <w:rPr>
          <w:kern w:val="0"/>
          <w:szCs w:val="24"/>
        </w:rPr>
        <w:t xml:space="preserve"> and </w:t>
      </w:r>
      <w:r>
        <w:rPr>
          <w:kern w:val="0"/>
          <w:szCs w:val="24"/>
        </w:rPr>
        <w:t>patent (40.3%) disclosures were related to antisolvent precipitation</w:t>
      </w:r>
      <w:r w:rsidR="00F81221">
        <w:rPr>
          <w:kern w:val="0"/>
          <w:szCs w:val="24"/>
        </w:rPr>
        <w:t xml:space="preserve"> and </w:t>
      </w:r>
      <w:r>
        <w:rPr>
          <w:kern w:val="0"/>
          <w:szCs w:val="24"/>
        </w:rPr>
        <w:t>rapid expansion of SCF (18.3, 16%). Patents originating from United States (56.8%) were dominating, followed by those from the European Union (30.1%)</w:t>
      </w:r>
      <w:r w:rsidR="00F81221">
        <w:rPr>
          <w:kern w:val="0"/>
          <w:szCs w:val="24"/>
        </w:rPr>
        <w:t xml:space="preserve"> and </w:t>
      </w:r>
      <w:r>
        <w:rPr>
          <w:kern w:val="0"/>
          <w:szCs w:val="24"/>
        </w:rPr>
        <w:t>Japan (9.2%). The analysis revealed the appetite of the companies for commercialization (73.8%), which can be interpreted as an indicator of upcoming industrial applications.</w:t>
      </w:r>
    </w:p>
    <w:p w:rsidR="009E7D04" w:rsidRDefault="009E7D04" w:rsidP="009E7D04">
      <w:pPr>
        <w:pStyle w:val="a0"/>
        <w:rPr>
          <w:kern w:val="0"/>
          <w:szCs w:val="24"/>
        </w:rPr>
      </w:pPr>
      <w:r>
        <w:rPr>
          <w:kern w:val="0"/>
          <w:szCs w:val="24"/>
        </w:rPr>
        <w:t>Keywords: Anti-Solvent Process, Bibliometric Analysis, Carbon-Dioxide, CO</w:t>
      </w:r>
      <w:r w:rsidRPr="00A768CC">
        <w:rPr>
          <w:kern w:val="0"/>
          <w:szCs w:val="24"/>
          <w:vertAlign w:val="subscript"/>
        </w:rPr>
        <w:t>2</w:t>
      </w:r>
      <w:r>
        <w:rPr>
          <w:kern w:val="0"/>
          <w:szCs w:val="24"/>
        </w:rPr>
        <w:t>, Fluid Technology, ISI, Micronization, Pharmaceutical Applications, Publication, Publications, Rapid Expansion, Research, Ress Process, Submicron Particles, Web</w:t>
      </w:r>
    </w:p>
    <w:p w:rsidR="004956F7" w:rsidRDefault="004956F7" w:rsidP="004956F7">
      <w:pPr>
        <w:pStyle w:val="a0"/>
        <w:rPr>
          <w:kern w:val="0"/>
        </w:rPr>
      </w:pPr>
      <w:r>
        <w:rPr>
          <w:rFonts w:hint="eastAsia"/>
          <w:kern w:val="0"/>
        </w:rPr>
        <w:t xml:space="preserve">? </w:t>
      </w:r>
      <w:r>
        <w:rPr>
          <w:kern w:val="0"/>
        </w:rPr>
        <w:t>Biswal, N.R.</w:t>
      </w:r>
      <w:r w:rsidR="00F81221">
        <w:rPr>
          <w:kern w:val="0"/>
        </w:rPr>
        <w:t xml:space="preserve"> and </w:t>
      </w:r>
      <w:r>
        <w:rPr>
          <w:kern w:val="0"/>
        </w:rPr>
        <w:t xml:space="preserve">Paria, S. (2010), Effect of electrolyte solutions on the adsorption of surfactants at PTFE-water interface. </w:t>
      </w:r>
      <w:r>
        <w:rPr>
          <w:i/>
          <w:iCs/>
          <w:kern w:val="0"/>
        </w:rPr>
        <w:t>Industrial &amp; Engineering Chemistry Research</w:t>
      </w:r>
      <w:r>
        <w:rPr>
          <w:kern w:val="0"/>
        </w:rPr>
        <w:t xml:space="preserve">, </w:t>
      </w:r>
      <w:r>
        <w:rPr>
          <w:b/>
          <w:bCs/>
          <w:kern w:val="0"/>
        </w:rPr>
        <w:t>49</w:t>
      </w:r>
      <w:r>
        <w:rPr>
          <w:kern w:val="0"/>
        </w:rPr>
        <w:t xml:space="preserve"> (15), 7060-7067.</w:t>
      </w:r>
    </w:p>
    <w:p w:rsidR="004956F7" w:rsidRPr="00DE2F11" w:rsidRDefault="004956F7" w:rsidP="004956F7">
      <w:pPr>
        <w:pStyle w:val="a0"/>
        <w:rPr>
          <w:kern w:val="0"/>
        </w:rPr>
      </w:pPr>
      <w:r w:rsidRPr="00DE2F11">
        <w:rPr>
          <w:kern w:val="0"/>
        </w:rPr>
        <w:t>Full Text:</w:t>
      </w:r>
      <w:r w:rsidRPr="00DE2F11">
        <w:t xml:space="preserve"> </w:t>
      </w:r>
      <w:hyperlink r:id="rId1320" w:history="1">
        <w:r w:rsidRPr="002F28CD">
          <w:rPr>
            <w:rStyle w:val="a5"/>
          </w:rPr>
          <w:t>2010\Ind Eng Che Res49, 7060.pdf</w:t>
        </w:r>
      </w:hyperlink>
    </w:p>
    <w:p w:rsidR="004956F7" w:rsidRDefault="004956F7" w:rsidP="004956F7">
      <w:pPr>
        <w:pStyle w:val="a0"/>
        <w:rPr>
          <w:kern w:val="0"/>
        </w:rPr>
      </w:pPr>
      <w:r>
        <w:rPr>
          <w:kern w:val="0"/>
        </w:rPr>
        <w:lastRenderedPageBreak/>
        <w:t>Abstract: Adsorption of ionic</w:t>
      </w:r>
      <w:r w:rsidR="00F81221">
        <w:rPr>
          <w:kern w:val="0"/>
        </w:rPr>
        <w:t xml:space="preserve"> and </w:t>
      </w:r>
      <w:r>
        <w:rPr>
          <w:kern w:val="0"/>
        </w:rPr>
        <w:t>nonionic surfactants on low surface energy hydrophobic PTFE water interfaces in the absence</w:t>
      </w:r>
      <w:r w:rsidR="00F81221">
        <w:rPr>
          <w:kern w:val="0"/>
        </w:rPr>
        <w:t xml:space="preserve"> and </w:t>
      </w:r>
      <w:r>
        <w:rPr>
          <w:kern w:val="0"/>
        </w:rPr>
        <w:t>presence of electrolytes have been studied here. The objective of this study is to see the surfactant adsorption behavior in the presence of electrolytes that may reduce the consumption of surfactants. The kinetics of adsorption fits well pseudo-second-order kinetic model for the three surfactants studied here. Adsorption isotherms of TX-100 follow Langmuir type, whereas sodium dodecylbenzene sulfonate (SDBS)</w:t>
      </w:r>
      <w:r w:rsidR="00F81221">
        <w:rPr>
          <w:kern w:val="0"/>
        </w:rPr>
        <w:t xml:space="preserve"> and </w:t>
      </w:r>
      <w:r>
        <w:rPr>
          <w:kern w:val="0"/>
        </w:rPr>
        <w:t>cetylpyridinium bromide (CPB) follow Freundlich type. However, in the presence of electrolytes both the ionic surfactants show better fitting with Langmuir type isotherm. The effect of electrolytes on the surfactant concentration far below the CMC shows there is a linear increase in amount adsorbed with the increase in ionic strength of the electrolyte mainly due to reduction in headgroup repulsion</w:t>
      </w:r>
      <w:r w:rsidR="00F81221">
        <w:rPr>
          <w:kern w:val="0"/>
        </w:rPr>
        <w:t xml:space="preserve"> and </w:t>
      </w:r>
      <w:r>
        <w:rPr>
          <w:kern w:val="0"/>
        </w:rPr>
        <w:t>finally reaches a plateau level when the equilibrium concentration reaches CMC at that electrolyte concentration.</w:t>
      </w:r>
    </w:p>
    <w:p w:rsidR="004956F7" w:rsidRDefault="004956F7" w:rsidP="004956F7">
      <w:pPr>
        <w:pStyle w:val="a0"/>
        <w:rPr>
          <w:kern w:val="0"/>
        </w:rPr>
      </w:pPr>
      <w:r>
        <w:rPr>
          <w:kern w:val="0"/>
        </w:rPr>
        <w:t>Keywords: Adsorption, Adsorption Behavior, Adsorption Isotherms, Aqueous Solution Interface, Behavior, Bromide, Cationic Surfactants, Cetyltrimethylammonium Bromide, Chain-Length, CMC, Concentration, Consumption, Energy, Equilibrium, Freundlich, Interfaces, Ionic Strength, Isotherm, Isotherms, Kinetic, Kinetic Model, Kinetics, Kinetics Of Adsorption, Langmuir, Mixtures, Model, Nonionic Surfactant, Polystyrene Particles, Polytetrafluoroethylene, Pseudo Second Order, Pseudo-Second-Order, Pseudo-Second-Order Kinetic Model, Reduction, Sodium, Strength, Surface, Surface Energy, Surfactant, Surfactants, Triton X-100, Water, Wettability</w:t>
      </w:r>
    </w:p>
    <w:p w:rsidR="00934861" w:rsidRDefault="00934861" w:rsidP="00934861">
      <w:pPr>
        <w:pStyle w:val="a0"/>
        <w:rPr>
          <w:kern w:val="0"/>
        </w:rPr>
      </w:pPr>
      <w:r>
        <w:rPr>
          <w:kern w:val="0"/>
        </w:rPr>
        <w:t>? Sreelatha, G., Kushwaha, S., Rao, V.J.</w:t>
      </w:r>
      <w:r w:rsidR="00F81221">
        <w:rPr>
          <w:kern w:val="0"/>
        </w:rPr>
        <w:t xml:space="preserve"> and </w:t>
      </w:r>
      <w:r>
        <w:rPr>
          <w:kern w:val="0"/>
        </w:rPr>
        <w:t>Padmaja, P. (2010), Kinetics</w:t>
      </w:r>
      <w:r w:rsidR="00F81221">
        <w:rPr>
          <w:kern w:val="0"/>
        </w:rPr>
        <w:t xml:space="preserve"> and </w:t>
      </w:r>
      <w:r>
        <w:rPr>
          <w:kern w:val="0"/>
        </w:rPr>
        <w:t xml:space="preserve">equilibrium studies of adsorption of anionic dyes using acid-treated palm shell. </w:t>
      </w:r>
      <w:r>
        <w:rPr>
          <w:i/>
          <w:iCs/>
          <w:kern w:val="0"/>
        </w:rPr>
        <w:t>Industrial &amp; Engineering Chemistry Research</w:t>
      </w:r>
      <w:r>
        <w:rPr>
          <w:kern w:val="0"/>
        </w:rPr>
        <w:t xml:space="preserve">, </w:t>
      </w:r>
      <w:r>
        <w:rPr>
          <w:b/>
          <w:bCs/>
          <w:kern w:val="0"/>
        </w:rPr>
        <w:t>49</w:t>
      </w:r>
      <w:r>
        <w:rPr>
          <w:kern w:val="0"/>
        </w:rPr>
        <w:t xml:space="preserve"> (17), 8106-8113.</w:t>
      </w:r>
    </w:p>
    <w:p w:rsidR="00934861" w:rsidRPr="00F03D2F" w:rsidRDefault="00934861" w:rsidP="00934861">
      <w:pPr>
        <w:pStyle w:val="a0"/>
        <w:rPr>
          <w:kern w:val="0"/>
        </w:rPr>
      </w:pPr>
      <w:r w:rsidRPr="00F03D2F">
        <w:rPr>
          <w:kern w:val="0"/>
        </w:rPr>
        <w:t>Full Text:</w:t>
      </w:r>
      <w:r w:rsidRPr="00D7601C">
        <w:t xml:space="preserve"> </w:t>
      </w:r>
      <w:hyperlink r:id="rId1321" w:history="1">
        <w:r w:rsidRPr="006068BC">
          <w:rPr>
            <w:rStyle w:val="a5"/>
          </w:rPr>
          <w:t>2010\Ind Eng Che Res49, 8106.pdf</w:t>
        </w:r>
      </w:hyperlink>
    </w:p>
    <w:p w:rsidR="00934861" w:rsidRDefault="00934861" w:rsidP="00934861">
      <w:pPr>
        <w:pStyle w:val="a0"/>
        <w:rPr>
          <w:kern w:val="0"/>
        </w:rPr>
      </w:pPr>
      <w:r>
        <w:rPr>
          <w:kern w:val="0"/>
        </w:rPr>
        <w:t>Abstract: This study investigates the potential uses of palm shell, pretreated with sulfuric acid (APSP) for the adsorption of AOII, DSB,</w:t>
      </w:r>
      <w:r w:rsidR="00F81221">
        <w:rPr>
          <w:kern w:val="0"/>
        </w:rPr>
        <w:t xml:space="preserve"> and </w:t>
      </w:r>
      <w:r>
        <w:rPr>
          <w:kern w:val="0"/>
        </w:rPr>
        <w:t>AV7. The effects of different system variables like adsorbent dosage, pH, contact time,</w:t>
      </w:r>
      <w:r w:rsidR="00F81221">
        <w:rPr>
          <w:kern w:val="0"/>
        </w:rPr>
        <w:t xml:space="preserve"> and </w:t>
      </w:r>
      <w:r>
        <w:rPr>
          <w:kern w:val="0"/>
        </w:rPr>
        <w:t>temperature were studied. Optimum pH values for all the three dyes were determined as 1.0. Equilibrium was achieved within 30 min. Langmuir I, II, III, IV</w:t>
      </w:r>
      <w:r w:rsidR="00F81221">
        <w:rPr>
          <w:kern w:val="0"/>
        </w:rPr>
        <w:t xml:space="preserve"> and </w:t>
      </w:r>
      <w:r>
        <w:rPr>
          <w:kern w:val="0"/>
        </w:rPr>
        <w:t>Freundlich isotherm models were applied to describe the equilibrium isotherms at different temperatures,</w:t>
      </w:r>
      <w:r w:rsidR="00F81221">
        <w:rPr>
          <w:kern w:val="0"/>
        </w:rPr>
        <w:t xml:space="preserve"> and </w:t>
      </w:r>
      <w:r>
        <w:rPr>
          <w:kern w:val="0"/>
        </w:rPr>
        <w:t>the langmuir model was found to agree very well with the experimental data. The maximum adsorption capacity was found to be 2180.05 mg/g, 1199.99 mg/g,</w:t>
      </w:r>
      <w:r w:rsidR="00F81221">
        <w:rPr>
          <w:kern w:val="0"/>
        </w:rPr>
        <w:t xml:space="preserve"> and </w:t>
      </w:r>
      <w:r>
        <w:rPr>
          <w:kern w:val="0"/>
        </w:rPr>
        <w:t>243.9 mg/g for AOII, DSB,</w:t>
      </w:r>
      <w:r w:rsidR="00F81221">
        <w:rPr>
          <w:kern w:val="0"/>
        </w:rPr>
        <w:t xml:space="preserve"> and </w:t>
      </w:r>
      <w:r>
        <w:rPr>
          <w:kern w:val="0"/>
        </w:rPr>
        <w:t>AV7, respectively. Thermodynamic parameters such as change in free energy (ΔG(0)), enthalpy (ΔH-0),</w:t>
      </w:r>
      <w:r w:rsidR="00F81221">
        <w:rPr>
          <w:kern w:val="0"/>
        </w:rPr>
        <w:t xml:space="preserve"> and </w:t>
      </w:r>
      <w:r>
        <w:rPr>
          <w:kern w:val="0"/>
        </w:rPr>
        <w:t>entropy (ΔS-0) were also determined. Pseudo-first-order, pseudo-second-order,</w:t>
      </w:r>
      <w:r w:rsidR="00F81221">
        <w:rPr>
          <w:kern w:val="0"/>
        </w:rPr>
        <w:t xml:space="preserve"> and </w:t>
      </w:r>
      <w:r>
        <w:rPr>
          <w:kern w:val="0"/>
        </w:rPr>
        <w:t xml:space="preserve">intraparticle diffusion models were used to fit the experimental data. The </w:t>
      </w:r>
      <w:r>
        <w:rPr>
          <w:kern w:val="0"/>
        </w:rPr>
        <w:lastRenderedPageBreak/>
        <w:t>pseudo-second-order equation was able to fit well</w:t>
      </w:r>
      <w:r w:rsidR="00F81221">
        <w:rPr>
          <w:kern w:val="0"/>
        </w:rPr>
        <w:t xml:space="preserve"> and </w:t>
      </w:r>
      <w:r>
        <w:rPr>
          <w:kern w:val="0"/>
        </w:rPr>
        <w:t>provide a realistic description of the adsorption kinetics.</w:t>
      </w:r>
    </w:p>
    <w:p w:rsidR="00934861" w:rsidRDefault="00934861" w:rsidP="00934861">
      <w:pPr>
        <w:pStyle w:val="a0"/>
        <w:rPr>
          <w:kern w:val="0"/>
        </w:rPr>
      </w:pPr>
      <w:r>
        <w:rPr>
          <w:kern w:val="0"/>
        </w:rPr>
        <w:t xml:space="preserve">Keywords: Adsorbent, Adsorbent Dosage, Adsorption, Adsorption Capacity, Adsorption Kinetics, Aqueous-Solution, Banana Pith, Biogas Residual Slurry, Blue, Capacity, Coir Pith, Color Removal, Congo Red, Data, Diffusion, Dyes, Energy, Enthalpy, Entropy, Equilibrium, Equilibrium Isotherms, Experimental, Fe(III), Cr(III), Freundlich, Freundlich Isotherm, Intraparticle Diffusion, Isotherm, Isotherm Models, Isotherms, IV, Kinetics, Langmuir, Low-Cost Adsorbents, Model, Models, </w:t>
      </w:r>
      <w:r>
        <w:rPr>
          <w:rFonts w:hint="eastAsia"/>
          <w:kern w:val="0"/>
        </w:rPr>
        <w:t>p</w:t>
      </w:r>
      <w:r>
        <w:rPr>
          <w:kern w:val="0"/>
        </w:rPr>
        <w:t>H, Potential, Pseudo Second Order, Pseudo-First-Order, Pseudo-Second-Order, Pseudo-Second-Order Equation, Temperature, Thermodynamic, Thermodynamic Parameters, Waste-Water</w:t>
      </w:r>
    </w:p>
    <w:p w:rsidR="003B132D" w:rsidRDefault="003B132D" w:rsidP="003B132D">
      <w:pPr>
        <w:pStyle w:val="a0"/>
        <w:rPr>
          <w:kern w:val="0"/>
        </w:rPr>
      </w:pPr>
      <w:r>
        <w:rPr>
          <w:kern w:val="0"/>
        </w:rPr>
        <w:t>? Hasan, S.H.</w:t>
      </w:r>
      <w:r w:rsidR="00F81221">
        <w:rPr>
          <w:kern w:val="0"/>
        </w:rPr>
        <w:t xml:space="preserve"> and </w:t>
      </w:r>
      <w:r>
        <w:rPr>
          <w:kern w:val="0"/>
        </w:rPr>
        <w:t xml:space="preserve">Ranjan, D. (2010), Agro-industrial waste: A low-cost option for the biosorptive remediation of selenium anions. </w:t>
      </w:r>
      <w:r>
        <w:rPr>
          <w:i/>
          <w:iCs/>
          <w:kern w:val="0"/>
        </w:rPr>
        <w:t>Industrial &amp; Engineering Chemistry Research</w:t>
      </w:r>
      <w:r>
        <w:rPr>
          <w:kern w:val="0"/>
        </w:rPr>
        <w:t xml:space="preserve">, </w:t>
      </w:r>
      <w:r>
        <w:rPr>
          <w:b/>
          <w:bCs/>
          <w:kern w:val="0"/>
        </w:rPr>
        <w:t>49</w:t>
      </w:r>
      <w:r>
        <w:rPr>
          <w:kern w:val="0"/>
        </w:rPr>
        <w:t xml:space="preserve"> (19), 8927-8934.</w:t>
      </w:r>
    </w:p>
    <w:p w:rsidR="003B132D" w:rsidRPr="00F03D2F" w:rsidRDefault="003B132D" w:rsidP="003B132D">
      <w:pPr>
        <w:pStyle w:val="a0"/>
        <w:rPr>
          <w:kern w:val="0"/>
        </w:rPr>
      </w:pPr>
      <w:r w:rsidRPr="00F03D2F">
        <w:rPr>
          <w:kern w:val="0"/>
        </w:rPr>
        <w:t>Full Text:</w:t>
      </w:r>
      <w:r w:rsidRPr="00D7601C">
        <w:t xml:space="preserve"> </w:t>
      </w:r>
      <w:hyperlink r:id="rId1322" w:history="1">
        <w:r w:rsidRPr="00914D13">
          <w:rPr>
            <w:rStyle w:val="a5"/>
          </w:rPr>
          <w:t>2010\Ind Eng Che Res49, 8927.pdf</w:t>
        </w:r>
      </w:hyperlink>
    </w:p>
    <w:p w:rsidR="003B132D" w:rsidRDefault="003B132D" w:rsidP="003B132D">
      <w:pPr>
        <w:pStyle w:val="a0"/>
        <w:rPr>
          <w:kern w:val="0"/>
        </w:rPr>
      </w:pPr>
      <w:r>
        <w:rPr>
          <w:kern w:val="0"/>
        </w:rPr>
        <w:t>Abstract: For remediation purposes, initially, the screening</w:t>
      </w:r>
      <w:r w:rsidR="00F81221">
        <w:rPr>
          <w:kern w:val="0"/>
        </w:rPr>
        <w:t xml:space="preserve"> and </w:t>
      </w:r>
      <w:r>
        <w:rPr>
          <w:kern w:val="0"/>
        </w:rPr>
        <w:t>selection of potent biosorbent, among, three agro-industrial wastes (i.e., wheat bran, maize bran,</w:t>
      </w:r>
      <w:r w:rsidR="00F81221">
        <w:rPr>
          <w:kern w:val="0"/>
        </w:rPr>
        <w:t xml:space="preserve"> and </w:t>
      </w:r>
      <w:r>
        <w:rPr>
          <w:kern w:val="0"/>
        </w:rPr>
        <w:t>rice bran) was done. Wheat bran was found to show maximum uptake in the case of both Se(IV)</w:t>
      </w:r>
      <w:r w:rsidR="00F81221">
        <w:rPr>
          <w:kern w:val="0"/>
        </w:rPr>
        <w:t xml:space="preserve"> and </w:t>
      </w:r>
      <w:r>
        <w:rPr>
          <w:kern w:val="0"/>
        </w:rPr>
        <w:t>Se(VI) ions. Effect of various parameters (pH, temperature, initial metal ion concentration,</w:t>
      </w:r>
      <w:r w:rsidR="00F81221">
        <w:rPr>
          <w:kern w:val="0"/>
        </w:rPr>
        <w:t xml:space="preserve"> and </w:t>
      </w:r>
      <w:r>
        <w:rPr>
          <w:kern w:val="0"/>
        </w:rPr>
        <w:t>biomass dose) was extensively investigated on the uptake of these metal ions by potent biosorbent using hatch mode. Langmuir, Freundlich,</w:t>
      </w:r>
      <w:r w:rsidR="00F81221">
        <w:rPr>
          <w:kern w:val="0"/>
        </w:rPr>
        <w:t xml:space="preserve"> and </w:t>
      </w:r>
      <w:r>
        <w:rPr>
          <w:kern w:val="0"/>
        </w:rPr>
        <w:t>Dubinin-Radushkevich (D-R) isotherm models were applied</w:t>
      </w:r>
      <w:r w:rsidR="00F81221">
        <w:rPr>
          <w:kern w:val="0"/>
        </w:rPr>
        <w:t xml:space="preserve"> and </w:t>
      </w:r>
      <w:r>
        <w:rPr>
          <w:kern w:val="0"/>
        </w:rPr>
        <w:t>all three isotherms fitted well to sorption data. The maximum sorption capacity of wheat bran was 89.28 mu g/g for Se(VI)</w:t>
      </w:r>
      <w:r w:rsidR="00F81221">
        <w:rPr>
          <w:kern w:val="0"/>
        </w:rPr>
        <w:t xml:space="preserve"> and </w:t>
      </w:r>
      <w:r>
        <w:rPr>
          <w:kern w:val="0"/>
        </w:rPr>
        <w:t>80.65 mu g/g for Se(VI) at 20ºC</w:t>
      </w:r>
      <w:r w:rsidR="00F81221">
        <w:rPr>
          <w:kern w:val="0"/>
        </w:rPr>
        <w:t xml:space="preserve"> and </w:t>
      </w:r>
      <w:r>
        <w:rPr>
          <w:kern w:val="0"/>
        </w:rPr>
        <w:t>pH 2.0. Values of mean sorption energy indicated sorption to be chemisorption. Thermodynamic study revealed that sorption was feasible, spontaneous</w:t>
      </w:r>
      <w:r w:rsidR="00F81221">
        <w:rPr>
          <w:kern w:val="0"/>
        </w:rPr>
        <w:t xml:space="preserve"> and </w:t>
      </w:r>
      <w:r>
        <w:rPr>
          <w:kern w:val="0"/>
        </w:rPr>
        <w:t>exothermic. The sorption reaction was determined to be pseudo-second-order. Fourier transform infrared (FTIR) analysis of raw</w:t>
      </w:r>
      <w:r w:rsidR="00F81221">
        <w:rPr>
          <w:kern w:val="0"/>
        </w:rPr>
        <w:t xml:space="preserve"> and </w:t>
      </w:r>
      <w:r>
        <w:rPr>
          <w:kern w:val="0"/>
        </w:rPr>
        <w:t>metal-loaded biosorbent was done to determine changes on the surface of the sorbent after sorption.</w:t>
      </w:r>
    </w:p>
    <w:p w:rsidR="003B132D" w:rsidRDefault="003B132D" w:rsidP="003B132D">
      <w:pPr>
        <w:pStyle w:val="a0"/>
        <w:rPr>
          <w:kern w:val="0"/>
        </w:rPr>
      </w:pPr>
      <w:r>
        <w:rPr>
          <w:kern w:val="0"/>
        </w:rPr>
        <w:t xml:space="preserve">Keywords: Adsorption, Analysis, Aqueous-Solution, Biomass, Biosorbent, Capacity, Changes, Chemisorption, Chromium, Concentration, Data, Energy, Equilibrium, Exothermic, Freundlich, FTIR, Ions, Isotherm, Isotherm Models, Isotherms, Langmuir, Maize, Maize Bran, Metal, Metal Ions, Mode, Models, </w:t>
      </w:r>
      <w:r>
        <w:rPr>
          <w:rFonts w:hint="eastAsia"/>
          <w:kern w:val="0"/>
        </w:rPr>
        <w:t>p</w:t>
      </w:r>
      <w:r>
        <w:rPr>
          <w:kern w:val="0"/>
        </w:rPr>
        <w:t>H, Pseudo Second Order, Pseudo-Second-Order, Remediation, Removal, Rice, Rice Bran, Rice Polish, Screening, Se(IV), Sorbent, Sorption, Sorption Capacity, Surface, Temperature, Thermodynamic, Thermodynamic Study, Tree Fern, Uptake, Water, Wheat Bran</w:t>
      </w:r>
    </w:p>
    <w:p w:rsidR="003B132D" w:rsidRDefault="003B132D" w:rsidP="003B132D">
      <w:pPr>
        <w:pStyle w:val="a0"/>
        <w:rPr>
          <w:kern w:val="0"/>
        </w:rPr>
      </w:pPr>
      <w:r>
        <w:rPr>
          <w:rFonts w:hint="eastAsia"/>
          <w:kern w:val="0"/>
        </w:rPr>
        <w:t xml:space="preserve">? </w:t>
      </w:r>
      <w:r>
        <w:rPr>
          <w:kern w:val="0"/>
        </w:rPr>
        <w:t>Kumar, N.S., Suguna, M., Subbaiah, M.V., Reddy, A.S., Kumar, N.P.</w:t>
      </w:r>
      <w:r w:rsidR="00F81221">
        <w:rPr>
          <w:kern w:val="0"/>
        </w:rPr>
        <w:t xml:space="preserve"> and </w:t>
      </w:r>
      <w:r>
        <w:rPr>
          <w:kern w:val="0"/>
        </w:rPr>
        <w:t xml:space="preserve">Krishnaiah, A. (2010), Adsorption of phenolic compounds from aqueous solutions onto </w:t>
      </w:r>
      <w:r>
        <w:rPr>
          <w:kern w:val="0"/>
        </w:rPr>
        <w:lastRenderedPageBreak/>
        <w:t xml:space="preserve">chitosan-coated perlite beads as biosorbent. </w:t>
      </w:r>
      <w:r>
        <w:rPr>
          <w:i/>
          <w:iCs/>
          <w:kern w:val="0"/>
        </w:rPr>
        <w:t>Industrial &amp; Engineering Chemistry Research</w:t>
      </w:r>
      <w:r>
        <w:rPr>
          <w:kern w:val="0"/>
        </w:rPr>
        <w:t xml:space="preserve">, </w:t>
      </w:r>
      <w:r>
        <w:rPr>
          <w:b/>
          <w:bCs/>
          <w:kern w:val="0"/>
        </w:rPr>
        <w:t>49</w:t>
      </w:r>
      <w:r>
        <w:rPr>
          <w:kern w:val="0"/>
        </w:rPr>
        <w:t xml:space="preserve"> (19), 9238-9247.</w:t>
      </w:r>
    </w:p>
    <w:p w:rsidR="003B132D" w:rsidRPr="00F03D2F" w:rsidRDefault="003B132D" w:rsidP="003B132D">
      <w:pPr>
        <w:pStyle w:val="a0"/>
        <w:rPr>
          <w:kern w:val="0"/>
        </w:rPr>
      </w:pPr>
      <w:r w:rsidRPr="00F03D2F">
        <w:rPr>
          <w:kern w:val="0"/>
        </w:rPr>
        <w:t>Full Text:</w:t>
      </w:r>
      <w:r w:rsidRPr="00D7601C">
        <w:t xml:space="preserve"> </w:t>
      </w:r>
      <w:hyperlink r:id="rId1323" w:history="1">
        <w:r w:rsidRPr="00EE695D">
          <w:rPr>
            <w:rStyle w:val="a5"/>
          </w:rPr>
          <w:t>2010\Ind Eng Che Res49, 9238.pdf</w:t>
        </w:r>
      </w:hyperlink>
    </w:p>
    <w:p w:rsidR="003B132D" w:rsidRDefault="003B132D" w:rsidP="003B132D">
      <w:pPr>
        <w:pStyle w:val="a0"/>
        <w:rPr>
          <w:kern w:val="0"/>
        </w:rPr>
      </w:pPr>
      <w:r>
        <w:rPr>
          <w:kern w:val="0"/>
        </w:rPr>
        <w:t>Abstract: Chitosan-coated perlite (CCP) beads were prepared by dropwise addition of a liquid slurry containing chitosan</w:t>
      </w:r>
      <w:r w:rsidR="00F81221">
        <w:rPr>
          <w:kern w:val="0"/>
        </w:rPr>
        <w:t xml:space="preserve"> and </w:t>
      </w:r>
      <w:r>
        <w:rPr>
          <w:kern w:val="0"/>
        </w:rPr>
        <w:t>perlite to an alkaline bath. The resulting beads were characterized using Fourier transform infrared (FTIR) spectroscopy, scanning electron microscopy (SEM),</w:t>
      </w:r>
      <w:r w:rsidR="00F81221">
        <w:rPr>
          <w:kern w:val="0"/>
        </w:rPr>
        <w:t xml:space="preserve"> and </w:t>
      </w:r>
      <w:r>
        <w:rPr>
          <w:kern w:val="0"/>
        </w:rPr>
        <w:t>surface area analysis. The chitosan content of the beads is 23% as determined by a pyrolysis method. Adsorption of phenolic compounds (phenol, 2-chlorophenol,</w:t>
      </w:r>
      <w:r w:rsidR="00F81221">
        <w:rPr>
          <w:kern w:val="0"/>
        </w:rPr>
        <w:t xml:space="preserve"> and </w:t>
      </w:r>
      <w:r>
        <w:rPr>
          <w:kern w:val="0"/>
        </w:rPr>
        <w:t>4- chlorophenol) from aqueous solutions on chitosan-coated perlite beads was studied under batch equilibrium</w:t>
      </w:r>
      <w:r w:rsidR="00F81221">
        <w:rPr>
          <w:kern w:val="0"/>
        </w:rPr>
        <w:t xml:space="preserve"> and </w:t>
      </w:r>
      <w:r>
        <w:rPr>
          <w:kern w:val="0"/>
        </w:rPr>
        <w:t>column flow conditions. The binding capacity of the biosorbent was investigated as a function of initial pH, contact time, initial concentration of adsorbate,</w:t>
      </w:r>
      <w:r w:rsidR="00F81221">
        <w:rPr>
          <w:kern w:val="0"/>
        </w:rPr>
        <w:t xml:space="preserve"> and </w:t>
      </w:r>
      <w:r>
        <w:rPr>
          <w:kern w:val="0"/>
        </w:rPr>
        <w:t>dosage of adsorbent. Adsorption kinetic</w:t>
      </w:r>
      <w:r w:rsidR="00F81221">
        <w:rPr>
          <w:kern w:val="0"/>
        </w:rPr>
        <w:t xml:space="preserve"> and </w:t>
      </w:r>
      <w:r>
        <w:rPr>
          <w:kern w:val="0"/>
        </w:rPr>
        <w:t>isotherm studies, respectively, showed that the adsorption process followed a pseudo-first-order kinetic model</w:t>
      </w:r>
      <w:r w:rsidR="00F81221">
        <w:rPr>
          <w:kern w:val="0"/>
        </w:rPr>
        <w:t xml:space="preserve"> and </w:t>
      </w:r>
      <w:r>
        <w:rPr>
          <w:kern w:val="0"/>
        </w:rPr>
        <w:t>the Langmuir isotherm. The maximum monolayer adsorption capacity of phenol, 2-CP,</w:t>
      </w:r>
      <w:r w:rsidR="00F81221">
        <w:rPr>
          <w:kern w:val="0"/>
        </w:rPr>
        <w:t xml:space="preserve"> and </w:t>
      </w:r>
      <w:r>
        <w:rPr>
          <w:kern w:val="0"/>
        </w:rPr>
        <w:t>4-CP on to the chitosan-coated perlite beads was found to be 192, 263,</w:t>
      </w:r>
      <w:r w:rsidR="00F81221">
        <w:rPr>
          <w:kern w:val="0"/>
        </w:rPr>
        <w:t xml:space="preserve"> and </w:t>
      </w:r>
      <w:r>
        <w:rPr>
          <w:kern w:val="0"/>
        </w:rPr>
        <w:t>322 mg g</w:t>
      </w:r>
      <w:r>
        <w:rPr>
          <w:rFonts w:hint="eastAsia"/>
          <w:kern w:val="0"/>
          <w:vertAlign w:val="superscript"/>
        </w:rPr>
        <w:t>-1</w:t>
      </w:r>
      <w:r>
        <w:rPr>
          <w:kern w:val="0"/>
        </w:rPr>
        <w:t>, respectively.</w:t>
      </w:r>
    </w:p>
    <w:p w:rsidR="003B132D" w:rsidRDefault="003B132D" w:rsidP="003B132D">
      <w:pPr>
        <w:pStyle w:val="a0"/>
        <w:rPr>
          <w:kern w:val="0"/>
        </w:rPr>
      </w:pPr>
      <w:r>
        <w:rPr>
          <w:kern w:val="0"/>
        </w:rPr>
        <w:t xml:space="preserve">Keywords: 2-Chlorophenol, Acid Dyes, Adsorbent, Adsorption, Adsorption Capacity, Adsorption Kinetic, Analysis, Aqueous Solutions, Batch, Beads, Bed Reactor, Binding, Biosorbent, Capacity, CCP, Chitosan, Column, Concentration, Electron Microscopy, Equilibrium, Flow, Fly-Ash, FTIR, Function, Granular Activated Carbon, Isotherm, Kinetic, Kinetic Model, Kinetics, Langmuir, Langmuir Isotherm, Liquid, Low-Cost Adsorbents, Model, Monolayer, P-Chlorophenol, Perlite, </w:t>
      </w:r>
      <w:r>
        <w:rPr>
          <w:rFonts w:hint="eastAsia"/>
          <w:kern w:val="0"/>
        </w:rPr>
        <w:t>p</w:t>
      </w:r>
      <w:r>
        <w:rPr>
          <w:kern w:val="0"/>
        </w:rPr>
        <w:t>H, Phenol, Pseudo First Order, Pseudo-First-Order, Pyrolysis, Removal, Scanning Electron Microscopy, SEM, Solutions, Sorption, Spectroscopy, Surface, Surface Area</w:t>
      </w:r>
    </w:p>
    <w:p w:rsidR="003C68CC" w:rsidRDefault="003C68CC" w:rsidP="003C68CC">
      <w:pPr>
        <w:pStyle w:val="a0"/>
        <w:rPr>
          <w:kern w:val="0"/>
        </w:rPr>
      </w:pPr>
      <w:r>
        <w:rPr>
          <w:rFonts w:hint="eastAsia"/>
          <w:kern w:val="0"/>
        </w:rPr>
        <w:t xml:space="preserve">? </w:t>
      </w:r>
      <w:r>
        <w:rPr>
          <w:kern w:val="0"/>
        </w:rPr>
        <w:t>Zhang, R.H., Ma, H.Z.</w:t>
      </w:r>
      <w:r w:rsidR="00F81221">
        <w:rPr>
          <w:kern w:val="0"/>
        </w:rPr>
        <w:t xml:space="preserve"> and </w:t>
      </w:r>
      <w:r>
        <w:rPr>
          <w:kern w:val="0"/>
        </w:rPr>
        <w:t xml:space="preserve">Wang, B. (2010), Removal of chromium(VI) from aqueous solutions using polyaniline doped with sulfuric acid. </w:t>
      </w:r>
      <w:r>
        <w:rPr>
          <w:i/>
          <w:iCs/>
          <w:kern w:val="0"/>
        </w:rPr>
        <w:t>Industrial &amp; Engineering Chemistry Research</w:t>
      </w:r>
      <w:r>
        <w:rPr>
          <w:kern w:val="0"/>
        </w:rPr>
        <w:t xml:space="preserve">, </w:t>
      </w:r>
      <w:r>
        <w:rPr>
          <w:b/>
          <w:bCs/>
          <w:kern w:val="0"/>
        </w:rPr>
        <w:t>49</w:t>
      </w:r>
      <w:r>
        <w:rPr>
          <w:kern w:val="0"/>
        </w:rPr>
        <w:t xml:space="preserve"> (20), 9998-10004.</w:t>
      </w:r>
    </w:p>
    <w:p w:rsidR="003C68CC" w:rsidRPr="00F03D2F" w:rsidRDefault="003C68CC" w:rsidP="003C68CC">
      <w:pPr>
        <w:pStyle w:val="a0"/>
        <w:rPr>
          <w:kern w:val="0"/>
        </w:rPr>
      </w:pPr>
      <w:r w:rsidRPr="00F03D2F">
        <w:rPr>
          <w:kern w:val="0"/>
        </w:rPr>
        <w:t>Full Text:</w:t>
      </w:r>
      <w:r w:rsidRPr="00D7601C">
        <w:t xml:space="preserve"> </w:t>
      </w:r>
      <w:hyperlink r:id="rId1324" w:history="1">
        <w:r w:rsidRPr="00F11F21">
          <w:rPr>
            <w:rStyle w:val="a5"/>
          </w:rPr>
          <w:t>2010\Ind Eng Che Res49, 9998.pdf</w:t>
        </w:r>
      </w:hyperlink>
    </w:p>
    <w:p w:rsidR="003C68CC" w:rsidRDefault="003C68CC" w:rsidP="003C68CC">
      <w:pPr>
        <w:pStyle w:val="a0"/>
        <w:rPr>
          <w:kern w:val="0"/>
        </w:rPr>
      </w:pPr>
      <w:r>
        <w:rPr>
          <w:kern w:val="0"/>
        </w:rPr>
        <w:t>Abstract: A type of polyaniline was synthesized</w:t>
      </w:r>
      <w:r w:rsidR="00F81221">
        <w:rPr>
          <w:kern w:val="0"/>
        </w:rPr>
        <w:t xml:space="preserve"> and </w:t>
      </w:r>
      <w:r>
        <w:rPr>
          <w:kern w:val="0"/>
        </w:rPr>
        <w:t>its Cr(VI) removal potential was investigated in this work. The kinetics study, adsorption isotherm, pH effect,</w:t>
      </w:r>
      <w:r w:rsidR="00F81221">
        <w:rPr>
          <w:kern w:val="0"/>
        </w:rPr>
        <w:t xml:space="preserve"> and </w:t>
      </w:r>
      <w:r>
        <w:rPr>
          <w:kern w:val="0"/>
        </w:rPr>
        <w:t>thermodynamic study were examined in batch experiments. Adsorption data for Cr(VI) uptake by polyaniline were analyzed according to Langmuir</w:t>
      </w:r>
      <w:r w:rsidR="00F81221">
        <w:rPr>
          <w:kern w:val="0"/>
        </w:rPr>
        <w:t xml:space="preserve"> and </w:t>
      </w:r>
      <w:r>
        <w:rPr>
          <w:kern w:val="0"/>
        </w:rPr>
        <w:t>Freundlich adsorption models. Thermodynamic parameters for the adsorption system were determinated at 293 K, 303 K,</w:t>
      </w:r>
      <w:r w:rsidR="00F81221">
        <w:rPr>
          <w:kern w:val="0"/>
        </w:rPr>
        <w:t xml:space="preserve"> and </w:t>
      </w:r>
      <w:r>
        <w:rPr>
          <w:kern w:val="0"/>
        </w:rPr>
        <w:t>313 K (ΔHº = 23.87 kJ mol</w:t>
      </w:r>
      <w:r w:rsidRPr="000D676B">
        <w:rPr>
          <w:kern w:val="0"/>
          <w:vertAlign w:val="superscript"/>
        </w:rPr>
        <w:t>-1</w:t>
      </w:r>
      <w:r>
        <w:rPr>
          <w:kern w:val="0"/>
        </w:rPr>
        <w:t>; ΔGº = -10.76 to -13.13 kJ mol</w:t>
      </w:r>
      <w:r w:rsidRPr="000D676B">
        <w:rPr>
          <w:kern w:val="0"/>
          <w:vertAlign w:val="superscript"/>
        </w:rPr>
        <w:t>-1</w:t>
      </w:r>
      <w:r w:rsidR="00F81221">
        <w:rPr>
          <w:kern w:val="0"/>
        </w:rPr>
        <w:t xml:space="preserve"> and </w:t>
      </w:r>
      <w:r>
        <w:rPr>
          <w:kern w:val="0"/>
        </w:rPr>
        <w:t>ΔSº = 118.20 J K</w:t>
      </w:r>
      <w:r w:rsidRPr="000D676B">
        <w:rPr>
          <w:kern w:val="0"/>
          <w:vertAlign w:val="superscript"/>
        </w:rPr>
        <w:t>-1</w:t>
      </w:r>
      <w:r>
        <w:rPr>
          <w:kern w:val="0"/>
        </w:rPr>
        <w:t xml:space="preserve"> mol</w:t>
      </w:r>
      <w:r w:rsidRPr="000D676B">
        <w:rPr>
          <w:kern w:val="0"/>
          <w:vertAlign w:val="superscript"/>
        </w:rPr>
        <w:t>-1</w:t>
      </w:r>
      <w:r>
        <w:rPr>
          <w:kern w:val="0"/>
        </w:rPr>
        <w:t>) The positive values of both ΔH degrees</w:t>
      </w:r>
      <w:r w:rsidR="00F81221">
        <w:rPr>
          <w:kern w:val="0"/>
        </w:rPr>
        <w:t xml:space="preserve"> and </w:t>
      </w:r>
      <w:r>
        <w:rPr>
          <w:kern w:val="0"/>
        </w:rPr>
        <w:t xml:space="preserve">ΔSº suggest an endothermic reaction, increasing in randomness at the solid liquid interface during the adsorption process. ΔG° values obtained were negative, indicated that the adsorption of the Cr(VI) ion on the surface of polyaniline </w:t>
      </w:r>
      <w:r>
        <w:rPr>
          <w:kern w:val="0"/>
        </w:rPr>
        <w:lastRenderedPageBreak/>
        <w:t>was a spontaneous adsorption process. The kinetics process can be described by a pseudosecond-order rate equation very well. The Cr(VI) adsorption capacity tended to increase with a decrease of pH. The maximum uptake of Cr(VI) was 95.79 mg g</w:t>
      </w:r>
      <w:r>
        <w:rPr>
          <w:rFonts w:hint="eastAsia"/>
          <w:kern w:val="0"/>
          <w:vertAlign w:val="superscript"/>
        </w:rPr>
        <w:t>-1</w:t>
      </w:r>
      <w:r>
        <w:rPr>
          <w:kern w:val="0"/>
        </w:rPr>
        <w:t>. These results show that the polyaniline doped with sulfuric acid could be considered as a potential adsorbent for chromium hexavalent ions in aqueous solutions.</w:t>
      </w:r>
    </w:p>
    <w:p w:rsidR="003C68CC" w:rsidRDefault="003C68CC" w:rsidP="003C68CC">
      <w:pPr>
        <w:pStyle w:val="a0"/>
        <w:rPr>
          <w:kern w:val="0"/>
        </w:rPr>
      </w:pPr>
      <w:r>
        <w:rPr>
          <w:kern w:val="0"/>
        </w:rPr>
        <w:t xml:space="preserve">Keywords: Activated Carbons, Adsorbent, Adsorbents, Adsorption, Adsorption Capacity, Adsorption Isotherm, Aqueous Solutions, Batch, Batch Experiments, Capacity, Chromium, Chromium(VI), Cr(VI), Data, Endothermic, Experiments, Freundlich, Hexavalent Chromium, Interface, Ions, Isotherm, Kinetics, Langmuir, Liquid, Metal-Ions, Models, Part I, </w:t>
      </w:r>
      <w:r>
        <w:rPr>
          <w:rFonts w:hint="eastAsia"/>
          <w:kern w:val="0"/>
        </w:rPr>
        <w:t>p</w:t>
      </w:r>
      <w:r>
        <w:rPr>
          <w:kern w:val="0"/>
        </w:rPr>
        <w:t xml:space="preserve">H, </w:t>
      </w:r>
      <w:r>
        <w:rPr>
          <w:rFonts w:hint="eastAsia"/>
          <w:kern w:val="0"/>
        </w:rPr>
        <w:t>p</w:t>
      </w:r>
      <w:r>
        <w:rPr>
          <w:kern w:val="0"/>
        </w:rPr>
        <w:t>H Effect, Polyaniline, Potential, Randomness, Removal, Solutions, Sorption, Surface, Thermodynamic, Thermodynamic Parameters, Uptake, VI, Waste-Water, Work</w:t>
      </w:r>
    </w:p>
    <w:p w:rsidR="0053757F" w:rsidRDefault="0053757F" w:rsidP="0053757F">
      <w:pPr>
        <w:pStyle w:val="a0"/>
        <w:rPr>
          <w:kern w:val="0"/>
        </w:rPr>
      </w:pPr>
      <w:r>
        <w:rPr>
          <w:rFonts w:hint="eastAsia"/>
          <w:kern w:val="0"/>
        </w:rPr>
        <w:t xml:space="preserve">? </w:t>
      </w:r>
      <w:r>
        <w:rPr>
          <w:kern w:val="0"/>
        </w:rPr>
        <w:t>Anirudhan, T.S.</w:t>
      </w:r>
      <w:r w:rsidR="00F81221">
        <w:rPr>
          <w:kern w:val="0"/>
        </w:rPr>
        <w:t xml:space="preserve"> and </w:t>
      </w:r>
      <w:r>
        <w:rPr>
          <w:kern w:val="0"/>
        </w:rPr>
        <w:t>Suchithra, P.S. (2010), Synthesis</w:t>
      </w:r>
      <w:r w:rsidR="00F81221">
        <w:rPr>
          <w:kern w:val="0"/>
        </w:rPr>
        <w:t xml:space="preserve"> and </w:t>
      </w:r>
      <w:r>
        <w:rPr>
          <w:kern w:val="0"/>
        </w:rPr>
        <w:t>characterization of iron(III)-coordinated amine-modified poly(glycidylmethacrylate)-grafted densified cellulose</w:t>
      </w:r>
      <w:r w:rsidR="00F81221">
        <w:rPr>
          <w:kern w:val="0"/>
        </w:rPr>
        <w:t xml:space="preserve"> and </w:t>
      </w:r>
      <w:r>
        <w:rPr>
          <w:kern w:val="0"/>
        </w:rPr>
        <w:t xml:space="preserve">its applicability in defluoridation from industry effluents. </w:t>
      </w:r>
      <w:r>
        <w:rPr>
          <w:i/>
          <w:iCs/>
          <w:kern w:val="0"/>
        </w:rPr>
        <w:t>Industrial &amp; Engineering Chemistry Research</w:t>
      </w:r>
      <w:r>
        <w:rPr>
          <w:kern w:val="0"/>
        </w:rPr>
        <w:t xml:space="preserve">, </w:t>
      </w:r>
      <w:r>
        <w:rPr>
          <w:b/>
          <w:bCs/>
          <w:kern w:val="0"/>
        </w:rPr>
        <w:t>49</w:t>
      </w:r>
      <w:r>
        <w:rPr>
          <w:kern w:val="0"/>
        </w:rPr>
        <w:t xml:space="preserve"> (23), 12254-12262.</w:t>
      </w:r>
    </w:p>
    <w:p w:rsidR="0053757F" w:rsidRPr="00F219CA" w:rsidRDefault="0053757F" w:rsidP="0053757F">
      <w:pPr>
        <w:pStyle w:val="a0"/>
      </w:pPr>
      <w:r w:rsidRPr="00F219CA">
        <w:t xml:space="preserve">Full Text: </w:t>
      </w:r>
      <w:hyperlink r:id="rId1325" w:history="1">
        <w:r w:rsidRPr="005B738D">
          <w:rPr>
            <w:rStyle w:val="a5"/>
          </w:rPr>
          <w:t>2010\Ind Eng Che Res49, 12254.pdf</w:t>
        </w:r>
      </w:hyperlink>
    </w:p>
    <w:p w:rsidR="0053757F" w:rsidRDefault="0053757F" w:rsidP="0053757F">
      <w:pPr>
        <w:pStyle w:val="a0"/>
        <w:rPr>
          <w:kern w:val="0"/>
        </w:rPr>
      </w:pPr>
      <w:r>
        <w:rPr>
          <w:kern w:val="0"/>
        </w:rPr>
        <w:t>Abstract: In this study, the development</w:t>
      </w:r>
      <w:r w:rsidR="00F81221">
        <w:rPr>
          <w:kern w:val="0"/>
        </w:rPr>
        <w:t xml:space="preserve"> and </w:t>
      </w:r>
      <w:r>
        <w:rPr>
          <w:kern w:val="0"/>
        </w:rPr>
        <w:t>characterization of a novel adsorbent, iron(III)-coordinated amine-modified poly(glycidylmethacrylate)-grafted densified cellulose (AM-Fe-PGDC), for the removal</w:t>
      </w:r>
      <w:r w:rsidR="00F81221">
        <w:rPr>
          <w:kern w:val="0"/>
        </w:rPr>
        <w:t xml:space="preserve"> and </w:t>
      </w:r>
      <w:r>
        <w:rPr>
          <w:kern w:val="0"/>
        </w:rPr>
        <w:t>recovery of fluoride ions from aqueous solutions is reported. The adsorbent was characterized by FTIR, X-ray diffraction, SEM, TG/DTG, surface area analyzer,</w:t>
      </w:r>
      <w:r w:rsidR="00F81221">
        <w:rPr>
          <w:kern w:val="0"/>
        </w:rPr>
        <w:t xml:space="preserve"> and </w:t>
      </w:r>
      <w:r>
        <w:rPr>
          <w:kern w:val="0"/>
        </w:rPr>
        <w:t>potentiometric titration. The effect of process parameters such as agitation time, concentration, pH, ionic strength, adsorbent dose,</w:t>
      </w:r>
      <w:r w:rsidR="00F81221">
        <w:rPr>
          <w:kern w:val="0"/>
        </w:rPr>
        <w:t xml:space="preserve"> and </w:t>
      </w:r>
      <w:r>
        <w:rPr>
          <w:kern w:val="0"/>
        </w:rPr>
        <w:t>temperature on the extent of fluoride adsorption was investigated. The adsorbent exhibits very high adsorption potential (&gt;99.9%) at an optimum equilibrium pH 7.0. The nonlinear form of a pseudo second-order kinetic model</w:t>
      </w:r>
      <w:r w:rsidR="00F81221">
        <w:rPr>
          <w:kern w:val="0"/>
        </w:rPr>
        <w:t xml:space="preserve"> and </w:t>
      </w:r>
      <w:r>
        <w:rPr>
          <w:kern w:val="0"/>
        </w:rPr>
        <w:t>Langmuir isotherm model adequately described the experimental kinetic</w:t>
      </w:r>
      <w:r w:rsidR="00F81221">
        <w:rPr>
          <w:kern w:val="0"/>
        </w:rPr>
        <w:t xml:space="preserve"> and </w:t>
      </w:r>
      <w:r>
        <w:rPr>
          <w:kern w:val="0"/>
        </w:rPr>
        <w:t>equilibrium data. The thermodynamic parameters showed that the adsorption of fluoride onto AM-Fe-PGDC was feasible, spontaneous,</w:t>
      </w:r>
      <w:r w:rsidR="00F81221">
        <w:rPr>
          <w:kern w:val="0"/>
        </w:rPr>
        <w:t xml:space="preserve"> and </w:t>
      </w:r>
      <w:r>
        <w:rPr>
          <w:kern w:val="0"/>
        </w:rPr>
        <w:t>exothermic. Adsorption experiments were also conducted using a commercial anion exchanger, Duolite-A7, for comparison. Utility of the adsorbent was tested with a simulated industry wastewater sample. Adsorbed fluoride ions were desorbed effectively by 0.1 M HCl.</w:t>
      </w:r>
    </w:p>
    <w:p w:rsidR="0053757F" w:rsidRDefault="0053757F" w:rsidP="0053757F">
      <w:pPr>
        <w:pStyle w:val="a0"/>
        <w:rPr>
          <w:kern w:val="0"/>
        </w:rPr>
      </w:pPr>
      <w:r>
        <w:rPr>
          <w:kern w:val="0"/>
        </w:rPr>
        <w:t xml:space="preserve">Keywords: Activated Alumina, Adsorbent, Adsorbent Dose, Adsorption, Agitation, Aqueous Solutions, Aqueous-Solutions, Beads, Cellulose, Characterization, Comparison, Composite, Concentration, Data, Defluoridation, Development, Equilibrium, Exothermic, Experimental, Experiments, Fluoride, Fluoride Adsorption, Fluoride Removal, Ftir, Ionic Strength, Ions, Isotherm, Isotherm Model, Kinetic, Kinetic Model, Langmuir, Langmuir Isotherm, Langmuir Isotherm Model, Mixed-Oxide, Model, </w:t>
      </w:r>
      <w:r>
        <w:rPr>
          <w:rFonts w:hint="eastAsia"/>
          <w:kern w:val="0"/>
        </w:rPr>
        <w:t>p</w:t>
      </w:r>
      <w:r>
        <w:rPr>
          <w:kern w:val="0"/>
        </w:rPr>
        <w:t xml:space="preserve">H, Potential, Potentiometric Titration, Pseudo Second Order, </w:t>
      </w:r>
      <w:r>
        <w:rPr>
          <w:kern w:val="0"/>
        </w:rPr>
        <w:lastRenderedPageBreak/>
        <w:t>Pseudo Second-Order, Pseudo-Second-Order, Recovery, Removal, Second Order, Second-Order, SEM, Solutions, Strength, Surface, Surface Area, Synthesis, Temperature, Thermodynamic, Thermodynamic Parameters, Wastewater, Water, X-Ray, X-Ray Diffraction</w:t>
      </w:r>
    </w:p>
    <w:p w:rsidR="008521C1" w:rsidRDefault="008521C1" w:rsidP="008521C1">
      <w:pPr>
        <w:pStyle w:val="a0"/>
        <w:rPr>
          <w:kern w:val="0"/>
        </w:rPr>
      </w:pPr>
      <w:r>
        <w:rPr>
          <w:rFonts w:hint="eastAsia"/>
          <w:kern w:val="0"/>
        </w:rPr>
        <w:t xml:space="preserve">? </w:t>
      </w:r>
      <w:r>
        <w:rPr>
          <w:kern w:val="0"/>
        </w:rPr>
        <w:t>Parida, K.M., Sahu, S., Reddy, K.H.</w:t>
      </w:r>
      <w:r w:rsidR="00F81221">
        <w:rPr>
          <w:kern w:val="0"/>
        </w:rPr>
        <w:t xml:space="preserve"> and </w:t>
      </w:r>
      <w:r>
        <w:rPr>
          <w:kern w:val="0"/>
        </w:rPr>
        <w:t>Sahoo, P.C. (2011), A kinetic, thermodynamic,</w:t>
      </w:r>
      <w:r w:rsidR="00F81221">
        <w:rPr>
          <w:kern w:val="0"/>
        </w:rPr>
        <w:t xml:space="preserve"> and </w:t>
      </w:r>
      <w:r>
        <w:rPr>
          <w:kern w:val="0"/>
        </w:rPr>
        <w:t xml:space="preserve">mechanistic approach toward adsorption of </w:t>
      </w:r>
      <w:r w:rsidR="00540CED">
        <w:rPr>
          <w:kern w:val="0"/>
        </w:rPr>
        <w:t xml:space="preserve">Methylene </w:t>
      </w:r>
      <w:r>
        <w:rPr>
          <w:kern w:val="0"/>
        </w:rPr>
        <w:t xml:space="preserve">blue over water-washed manganese nodule leached residues. </w:t>
      </w:r>
      <w:r>
        <w:rPr>
          <w:i/>
          <w:iCs/>
          <w:kern w:val="0"/>
        </w:rPr>
        <w:t>Industrial &amp; Engineering Chemistry Research</w:t>
      </w:r>
      <w:r>
        <w:rPr>
          <w:kern w:val="0"/>
        </w:rPr>
        <w:t xml:space="preserve">, </w:t>
      </w:r>
      <w:r>
        <w:rPr>
          <w:b/>
          <w:bCs/>
          <w:kern w:val="0"/>
        </w:rPr>
        <w:t>50</w:t>
      </w:r>
      <w:r>
        <w:rPr>
          <w:kern w:val="0"/>
        </w:rPr>
        <w:t xml:space="preserve"> (2), 843-848.</w:t>
      </w:r>
    </w:p>
    <w:p w:rsidR="008521C1" w:rsidRPr="007D79E8" w:rsidRDefault="008521C1" w:rsidP="008521C1">
      <w:pPr>
        <w:pStyle w:val="a0"/>
        <w:rPr>
          <w:kern w:val="0"/>
        </w:rPr>
      </w:pPr>
      <w:r w:rsidRPr="007D79E8">
        <w:rPr>
          <w:kern w:val="0"/>
        </w:rPr>
        <w:t xml:space="preserve">Full Text: </w:t>
      </w:r>
      <w:hyperlink r:id="rId1326" w:history="1">
        <w:r w:rsidRPr="0062389F">
          <w:rPr>
            <w:rStyle w:val="a5"/>
            <w:kern w:val="0"/>
          </w:rPr>
          <w:t>2011\Ind Eng Che Res50, 843.pdf</w:t>
        </w:r>
      </w:hyperlink>
    </w:p>
    <w:p w:rsidR="008521C1" w:rsidRDefault="008521C1" w:rsidP="008521C1">
      <w:pPr>
        <w:pStyle w:val="a0"/>
        <w:rPr>
          <w:kern w:val="0"/>
        </w:rPr>
      </w:pPr>
      <w:r>
        <w:rPr>
          <w:kern w:val="0"/>
        </w:rPr>
        <w:t>Abstract: The present study aims to investigate</w:t>
      </w:r>
      <w:r w:rsidR="00F81221">
        <w:rPr>
          <w:kern w:val="0"/>
        </w:rPr>
        <w:t xml:space="preserve"> and </w:t>
      </w:r>
      <w:r>
        <w:rPr>
          <w:kern w:val="0"/>
        </w:rPr>
        <w:t>develop a cheap adsorption method for color removal from wastewater using water-washed manganese nodule leached residues (WMNLR) as adsorbent. The method was employed for the removal of methylene blue (MB),</w:t>
      </w:r>
      <w:r w:rsidR="00F81221">
        <w:rPr>
          <w:kern w:val="0"/>
        </w:rPr>
        <w:t xml:space="preserve"> and </w:t>
      </w:r>
      <w:r>
        <w:rPr>
          <w:kern w:val="0"/>
        </w:rPr>
        <w:t>the influence of various factors such as adsorbent dose, adsorbate concentration, electrolytes (NaCl, Na</w:t>
      </w:r>
      <w:r w:rsidRPr="003201B4">
        <w:rPr>
          <w:kern w:val="0"/>
          <w:vertAlign w:val="subscript"/>
        </w:rPr>
        <w:t>2</w:t>
      </w:r>
      <w:r>
        <w:rPr>
          <w:kern w:val="0"/>
        </w:rPr>
        <w:t>HPO</w:t>
      </w:r>
      <w:r w:rsidRPr="003201B4">
        <w:rPr>
          <w:kern w:val="0"/>
          <w:vertAlign w:val="subscript"/>
        </w:rPr>
        <w:t>4</w:t>
      </w:r>
      <w:r>
        <w:rPr>
          <w:kern w:val="0"/>
        </w:rPr>
        <w:t>, Na</w:t>
      </w:r>
      <w:r w:rsidRPr="003201B4">
        <w:rPr>
          <w:kern w:val="0"/>
          <w:vertAlign w:val="subscript"/>
        </w:rPr>
        <w:t>2</w:t>
      </w:r>
      <w:r>
        <w:rPr>
          <w:kern w:val="0"/>
        </w:rPr>
        <w:t>SO</w:t>
      </w:r>
      <w:r w:rsidRPr="003201B4">
        <w:rPr>
          <w:kern w:val="0"/>
          <w:vertAlign w:val="subscript"/>
        </w:rPr>
        <w:t>4</w:t>
      </w:r>
      <w:r>
        <w:rPr>
          <w:kern w:val="0"/>
        </w:rPr>
        <w:t>, NaNO</w:t>
      </w:r>
      <w:r w:rsidRPr="003201B4">
        <w:rPr>
          <w:kern w:val="0"/>
          <w:vertAlign w:val="subscript"/>
        </w:rPr>
        <w:t>3</w:t>
      </w:r>
      <w:r>
        <w:rPr>
          <w:kern w:val="0"/>
        </w:rPr>
        <w:t>,</w:t>
      </w:r>
      <w:r w:rsidR="00F81221">
        <w:rPr>
          <w:kern w:val="0"/>
        </w:rPr>
        <w:t xml:space="preserve"> and </w:t>
      </w:r>
      <w:r>
        <w:rPr>
          <w:kern w:val="0"/>
        </w:rPr>
        <w:t>Na</w:t>
      </w:r>
      <w:r w:rsidRPr="003201B4">
        <w:rPr>
          <w:kern w:val="0"/>
          <w:vertAlign w:val="subscript"/>
        </w:rPr>
        <w:t>2</w:t>
      </w:r>
      <w:r>
        <w:rPr>
          <w:kern w:val="0"/>
        </w:rPr>
        <w:t>CO</w:t>
      </w:r>
      <w:r w:rsidRPr="003201B4">
        <w:rPr>
          <w:kern w:val="0"/>
          <w:vertAlign w:val="subscript"/>
        </w:rPr>
        <w:t>3</w:t>
      </w:r>
      <w:r>
        <w:rPr>
          <w:kern w:val="0"/>
        </w:rPr>
        <w:t>), temperature,</w:t>
      </w:r>
      <w:r w:rsidR="00F81221">
        <w:rPr>
          <w:kern w:val="0"/>
        </w:rPr>
        <w:t xml:space="preserve"> and </w:t>
      </w:r>
      <w:r>
        <w:rPr>
          <w:kern w:val="0"/>
        </w:rPr>
        <w:t>pH was studied. The equilibrium of adsorption was modeled by using the Langmuir</w:t>
      </w:r>
      <w:r w:rsidR="00F81221">
        <w:rPr>
          <w:kern w:val="0"/>
        </w:rPr>
        <w:t xml:space="preserve"> and </w:t>
      </w:r>
      <w:r>
        <w:rPr>
          <w:kern w:val="0"/>
        </w:rPr>
        <w:t>Freundlich isotherm models; the kinetic parameters</w:t>
      </w:r>
      <w:r w:rsidR="00F81221">
        <w:rPr>
          <w:kern w:val="0"/>
        </w:rPr>
        <w:t xml:space="preserve"> and </w:t>
      </w:r>
      <w:r>
        <w:rPr>
          <w:kern w:val="0"/>
        </w:rPr>
        <w:t>intraparticle diffusion were also then determined for the MB-WMNLR system. Kinetic data were well described by the pseudo second-order model. The thermodynamics of the MB-WMNLR system indicates spontaneous</w:t>
      </w:r>
      <w:r w:rsidR="00F81221">
        <w:rPr>
          <w:kern w:val="0"/>
        </w:rPr>
        <w:t xml:space="preserve"> and </w:t>
      </w:r>
      <w:r>
        <w:rPr>
          <w:kern w:val="0"/>
        </w:rPr>
        <w:t>endothermic nature of the process. The results in this study indicated that WMNLR was an attractive candidate for removing MB (98%), which could be reused up to four times without significant loss in its adsorption capacity.</w:t>
      </w:r>
    </w:p>
    <w:p w:rsidR="008521C1" w:rsidRDefault="008521C1" w:rsidP="008521C1">
      <w:pPr>
        <w:pStyle w:val="a0"/>
        <w:rPr>
          <w:kern w:val="0"/>
        </w:rPr>
      </w:pPr>
      <w:r>
        <w:rPr>
          <w:kern w:val="0"/>
        </w:rPr>
        <w:t>Keywords: Adsorbent, Adsorbent Dose, Adsorption, Adsorption Capacity, Aqueous-Solutions, Capacity, Carbon Slurry, Color Removal, Concentration, Data, De-Oiled Soya, Diffusion, Endothermic, Equilibrium, Freundlich, Freundlich Isotherm, Hazardous Dye, Intraparticle Diffusion, Intraparticle Mass-Transport, Isotherm, Kinetic, Kinetic Parameters, Langmuir, Low-Cost Adsorbents, Manganese, Materials-Bottom Ash, MB, Metanil-Yellow, Methylene Blue, Model, Models, NaCl, pH, Pseudo Second Order, Pseudo Second-Order, Pseudo-Second-Order, Removal, Second Order, Second-Order, Second-Order Model, Temperature, Thermodynamic, Thermodynamics, Waste-Water, Wastewater</w:t>
      </w:r>
    </w:p>
    <w:p w:rsidR="008F778D" w:rsidRDefault="008F778D" w:rsidP="008F778D">
      <w:pPr>
        <w:pStyle w:val="a0"/>
        <w:rPr>
          <w:kern w:val="0"/>
        </w:rPr>
      </w:pPr>
      <w:r>
        <w:rPr>
          <w:rFonts w:hint="eastAsia"/>
          <w:kern w:val="0"/>
        </w:rPr>
        <w:t xml:space="preserve">? </w:t>
      </w:r>
      <w:r>
        <w:rPr>
          <w:kern w:val="0"/>
        </w:rPr>
        <w:t>Anirudhan, T.S., Tharun, A.R.</w:t>
      </w:r>
      <w:r w:rsidR="00F81221">
        <w:rPr>
          <w:kern w:val="0"/>
        </w:rPr>
        <w:t xml:space="preserve"> and </w:t>
      </w:r>
      <w:r>
        <w:rPr>
          <w:kern w:val="0"/>
        </w:rPr>
        <w:t>Rejeena, S.R. (2011), Investigation on poly(methacrylic acid)-grafted cellulose/bentonite superabsorbent composite: synthesis, characterization,</w:t>
      </w:r>
      <w:r w:rsidR="00F81221">
        <w:rPr>
          <w:kern w:val="0"/>
        </w:rPr>
        <w:t xml:space="preserve"> and </w:t>
      </w:r>
      <w:r>
        <w:rPr>
          <w:kern w:val="0"/>
        </w:rPr>
        <w:t xml:space="preserve">adsorption characteristics of bovine serum albumin. </w:t>
      </w:r>
      <w:r>
        <w:rPr>
          <w:i/>
          <w:iCs/>
          <w:kern w:val="0"/>
        </w:rPr>
        <w:t>Industrial &amp; Engineering Chemistry Research</w:t>
      </w:r>
      <w:r>
        <w:rPr>
          <w:kern w:val="0"/>
        </w:rPr>
        <w:t xml:space="preserve">, </w:t>
      </w:r>
      <w:r>
        <w:rPr>
          <w:b/>
          <w:bCs/>
          <w:kern w:val="0"/>
        </w:rPr>
        <w:t>50</w:t>
      </w:r>
      <w:r>
        <w:rPr>
          <w:kern w:val="0"/>
        </w:rPr>
        <w:t xml:space="preserve"> (4), 1866-1874.</w:t>
      </w:r>
    </w:p>
    <w:p w:rsidR="008F778D" w:rsidRPr="007D79E8" w:rsidRDefault="008F778D" w:rsidP="008F778D">
      <w:pPr>
        <w:pStyle w:val="a0"/>
        <w:rPr>
          <w:kern w:val="0"/>
        </w:rPr>
      </w:pPr>
      <w:r w:rsidRPr="007D79E8">
        <w:rPr>
          <w:kern w:val="0"/>
        </w:rPr>
        <w:t xml:space="preserve">Full Text: </w:t>
      </w:r>
      <w:hyperlink r:id="rId1327" w:history="1">
        <w:r w:rsidRPr="002E19EB">
          <w:rPr>
            <w:rStyle w:val="a5"/>
            <w:kern w:val="0"/>
          </w:rPr>
          <w:t>2011\Ind Eng Che Res50, 1866.pdf</w:t>
        </w:r>
      </w:hyperlink>
    </w:p>
    <w:p w:rsidR="008F778D" w:rsidRDefault="008F778D" w:rsidP="008F778D">
      <w:pPr>
        <w:pStyle w:val="a0"/>
        <w:rPr>
          <w:kern w:val="0"/>
        </w:rPr>
      </w:pPr>
      <w:r>
        <w:rPr>
          <w:kern w:val="0"/>
        </w:rPr>
        <w:t>Abstract: Investigation on adsorption behavior of bovine serum albumin. (BSA): on superabsorbent composite is critical for many analytical</w:t>
      </w:r>
      <w:r w:rsidR="00F81221">
        <w:rPr>
          <w:kern w:val="0"/>
        </w:rPr>
        <w:t xml:space="preserve"> and </w:t>
      </w:r>
      <w:r>
        <w:rPr>
          <w:kern w:val="0"/>
        </w:rPr>
        <w:t>biomedical appli</w:t>
      </w:r>
      <w:r w:rsidR="00540CED">
        <w:rPr>
          <w:kern w:val="0"/>
        </w:rPr>
        <w:t xml:space="preserve">cations In this study, a novel </w:t>
      </w:r>
      <w:r>
        <w:rPr>
          <w:kern w:val="0"/>
        </w:rPr>
        <w:t xml:space="preserve">poly(methacrylic acid) grafted cellulose/bentonite </w:t>
      </w:r>
      <w:r>
        <w:rPr>
          <w:kern w:val="0"/>
        </w:rPr>
        <w:lastRenderedPageBreak/>
        <w:t>(PMAA-g-Cell/Bent) superabsorbeut composite Was synthesized by graft copolymerization reaction of methacrylic acid on cellulose (Cell) in the presence of bentonite (Bent) using N,N</w:t>
      </w:r>
      <w:r w:rsidR="000352E7">
        <w:rPr>
          <w:kern w:val="0"/>
        </w:rPr>
        <w:t>’</w:t>
      </w:r>
      <w:r>
        <w:rPr>
          <w:kern w:val="0"/>
        </w:rPr>
        <w:t>-methylenebisacrylamide as a cross;</w:t>
      </w:r>
      <w:r>
        <w:rPr>
          <w:rFonts w:hint="eastAsia"/>
          <w:kern w:val="0"/>
        </w:rPr>
        <w:t xml:space="preserve"> </w:t>
      </w:r>
      <w:r>
        <w:rPr>
          <w:kern w:val="0"/>
        </w:rPr>
        <w:t>linker. The original Cell</w:t>
      </w:r>
      <w:r w:rsidR="00F81221">
        <w:rPr>
          <w:kern w:val="0"/>
        </w:rPr>
        <w:t xml:space="preserve"> and </w:t>
      </w:r>
      <w:r>
        <w:rPr>
          <w:kern w:val="0"/>
        </w:rPr>
        <w:t>Bent</w:t>
      </w:r>
      <w:r w:rsidR="00F81221">
        <w:rPr>
          <w:kern w:val="0"/>
        </w:rPr>
        <w:t xml:space="preserve"> and </w:t>
      </w:r>
      <w:r>
        <w:rPr>
          <w:kern w:val="0"/>
        </w:rPr>
        <w:t>composite were analyzed using FTIR, XRD, SEM, TG,</w:t>
      </w:r>
      <w:r w:rsidR="00F81221">
        <w:rPr>
          <w:kern w:val="0"/>
        </w:rPr>
        <w:t xml:space="preserve"> and </w:t>
      </w:r>
      <w:r>
        <w:rPr>
          <w:kern w:val="0"/>
        </w:rPr>
        <w:t>potentiometric titrations: The ability of the composite to adsorb BSA from aqueous solutions has been studied at different optimized conditions. The optimum pH range for the maximum uptake of BSA was 4.5. Maximum adsorption of the BSA, i.e, 99.7%, was achieved from an initial concentration of 100 mg/L using 1.0 g composite at pH 4.0. The equilibrium time of adsorbing BSA was about 3 h. Experimental kinetic data were tested with pseudo-first-order</w:t>
      </w:r>
      <w:r w:rsidR="00F81221">
        <w:rPr>
          <w:kern w:val="0"/>
        </w:rPr>
        <w:t xml:space="preserve"> and </w:t>
      </w:r>
      <w:r>
        <w:rPr>
          <w:kern w:val="0"/>
        </w:rPr>
        <w:t>pseudo-second-order kinetic equations. The experimental data fitted very well with the pseudo-second-order kinetic model, indicating the coexistence of chemisorptions</w:t>
      </w:r>
      <w:r w:rsidR="00F81221">
        <w:rPr>
          <w:kern w:val="0"/>
        </w:rPr>
        <w:t xml:space="preserve"> and </w:t>
      </w:r>
      <w:r>
        <w:rPr>
          <w:kern w:val="0"/>
        </w:rPr>
        <w:t>physisorption. It was also found that the film diffusion played an important role in the rate control of the adsorption process. The applicability of the Langmuir, Freundlich,</w:t>
      </w:r>
      <w:r w:rsidR="00F81221">
        <w:rPr>
          <w:kern w:val="0"/>
        </w:rPr>
        <w:t xml:space="preserve"> and </w:t>
      </w:r>
      <w:r>
        <w:rPr>
          <w:kern w:val="0"/>
        </w:rPr>
        <w:t>Sips isotherms was used to try to describe the experimental isotherm equilibrium data The BSA adsorption isotherm was best represented by the Sips model, which indicates a multilayer adsorption at lower concentration</w:t>
      </w:r>
      <w:r w:rsidR="00F81221">
        <w:rPr>
          <w:kern w:val="0"/>
        </w:rPr>
        <w:t xml:space="preserve"> and </w:t>
      </w:r>
      <w:r>
        <w:rPr>
          <w:kern w:val="0"/>
        </w:rPr>
        <w:t>monolayer at higher concentration. The equilibrium sorption capacity of 196.15 mg/g was determined from the Sips isotherm, The results of the six time consecutive adsorption-desorption cycles showed the feasibility of repeated use of this composite.</w:t>
      </w:r>
    </w:p>
    <w:p w:rsidR="008F778D" w:rsidRDefault="008F778D" w:rsidP="008F778D">
      <w:pPr>
        <w:pStyle w:val="a0"/>
        <w:rPr>
          <w:kern w:val="0"/>
        </w:rPr>
      </w:pPr>
      <w:r>
        <w:rPr>
          <w:kern w:val="0"/>
        </w:rPr>
        <w:t xml:space="preserve">Keywords: Adsorption, Adsorption Isotherm, Aqueous-Solutions, Characterization, Composite, Kinetic Model, Langmuir, </w:t>
      </w:r>
      <w:r>
        <w:rPr>
          <w:rFonts w:hint="eastAsia"/>
          <w:kern w:val="0"/>
        </w:rPr>
        <w:t>pH</w:t>
      </w:r>
    </w:p>
    <w:p w:rsidR="008F778D" w:rsidRDefault="008F778D" w:rsidP="008F778D">
      <w:pPr>
        <w:pStyle w:val="a0"/>
        <w:rPr>
          <w:kern w:val="0"/>
        </w:rPr>
      </w:pPr>
      <w:r>
        <w:rPr>
          <w:rFonts w:hint="eastAsia"/>
          <w:kern w:val="0"/>
        </w:rPr>
        <w:t xml:space="preserve">? </w:t>
      </w:r>
      <w:r>
        <w:rPr>
          <w:kern w:val="0"/>
        </w:rPr>
        <w:t>He, S., Zhao, Y.F., Wei, M.</w:t>
      </w:r>
      <w:r w:rsidR="00F81221">
        <w:rPr>
          <w:kern w:val="0"/>
        </w:rPr>
        <w:t xml:space="preserve"> and </w:t>
      </w:r>
      <w:r>
        <w:rPr>
          <w:kern w:val="0"/>
        </w:rPr>
        <w:t xml:space="preserve">Duan, X. (2011), Preparation of </w:t>
      </w:r>
      <w:r w:rsidR="00540CED">
        <w:rPr>
          <w:kern w:val="0"/>
        </w:rPr>
        <w:t>oriented layered double hydroxide film using electrophoretic deposition</w:t>
      </w:r>
      <w:r w:rsidR="00F81221">
        <w:rPr>
          <w:kern w:val="0"/>
        </w:rPr>
        <w:t xml:space="preserve"> and </w:t>
      </w:r>
      <w:r w:rsidR="00540CED">
        <w:rPr>
          <w:kern w:val="0"/>
        </w:rPr>
        <w:t>its application in water treatme</w:t>
      </w:r>
      <w:r>
        <w:rPr>
          <w:kern w:val="0"/>
        </w:rPr>
        <w:t xml:space="preserve">nt. </w:t>
      </w:r>
      <w:r>
        <w:rPr>
          <w:i/>
          <w:iCs/>
          <w:kern w:val="0"/>
        </w:rPr>
        <w:t>Industrial &amp; Engineering Chemistry Research</w:t>
      </w:r>
      <w:r>
        <w:rPr>
          <w:kern w:val="0"/>
        </w:rPr>
        <w:t xml:space="preserve">, </w:t>
      </w:r>
      <w:r>
        <w:rPr>
          <w:b/>
          <w:bCs/>
          <w:kern w:val="0"/>
        </w:rPr>
        <w:t>50</w:t>
      </w:r>
      <w:r>
        <w:rPr>
          <w:kern w:val="0"/>
        </w:rPr>
        <w:t xml:space="preserve"> (5), 2800-2806.</w:t>
      </w:r>
    </w:p>
    <w:p w:rsidR="008F778D" w:rsidRPr="007D79E8" w:rsidRDefault="008F778D" w:rsidP="008F778D">
      <w:pPr>
        <w:pStyle w:val="a0"/>
        <w:rPr>
          <w:kern w:val="0"/>
        </w:rPr>
      </w:pPr>
      <w:r w:rsidRPr="007D79E8">
        <w:rPr>
          <w:kern w:val="0"/>
        </w:rPr>
        <w:t xml:space="preserve">Full Text: </w:t>
      </w:r>
      <w:hyperlink r:id="rId1328" w:history="1">
        <w:r w:rsidRPr="00796E16">
          <w:rPr>
            <w:rStyle w:val="a5"/>
            <w:kern w:val="0"/>
          </w:rPr>
          <w:t>2011\Ind Eng Che Res50, 2800.pdf</w:t>
        </w:r>
      </w:hyperlink>
    </w:p>
    <w:p w:rsidR="008F778D" w:rsidRDefault="008F778D" w:rsidP="008F778D">
      <w:pPr>
        <w:pStyle w:val="a0"/>
        <w:rPr>
          <w:kern w:val="0"/>
        </w:rPr>
      </w:pPr>
      <w:r>
        <w:rPr>
          <w:kern w:val="0"/>
        </w:rPr>
        <w:t>Abstract: Oriented Mg/Al-NO</w:t>
      </w:r>
      <w:r w:rsidRPr="003B4BA1">
        <w:rPr>
          <w:kern w:val="0"/>
          <w:vertAlign w:val="subscript"/>
        </w:rPr>
        <w:t>3</w:t>
      </w:r>
      <w:r>
        <w:rPr>
          <w:kern w:val="0"/>
        </w:rPr>
        <w:t>-layered double hydroxide (LDH) films have been fabricated by the electrophoretic deposition method (EPD) on aluminum substrate, which can be used to remove heavy metal ion</w:t>
      </w:r>
      <w:r w:rsidR="00F81221">
        <w:rPr>
          <w:kern w:val="0"/>
        </w:rPr>
        <w:t xml:space="preserve"> and </w:t>
      </w:r>
      <w:r>
        <w:rPr>
          <w:kern w:val="0"/>
        </w:rPr>
        <w:t>anionic dye from aqueous solutions. The LDH films with thickness of similar to 4 mu m by EPD method show a high degree of c-orientation of the LDH platelets (the ab-plane parallel to the substrate) an strong adhesion to the substrate confirmed by XRD</w:t>
      </w:r>
      <w:r w:rsidR="00F81221">
        <w:rPr>
          <w:kern w:val="0"/>
        </w:rPr>
        <w:t xml:space="preserve"> and </w:t>
      </w:r>
      <w:r>
        <w:rPr>
          <w:kern w:val="0"/>
        </w:rPr>
        <w:t>SEM. The sorption kinetics of the LDH film for Cr(VI)</w:t>
      </w:r>
      <w:r w:rsidR="00F81221">
        <w:rPr>
          <w:kern w:val="0"/>
        </w:rPr>
        <w:t xml:space="preserve"> and </w:t>
      </w:r>
      <w:r>
        <w:rPr>
          <w:kern w:val="0"/>
        </w:rPr>
        <w:t>Remazol Brilliant Blue R dye (RBBR) was appropriately described by the pseudo-second-order model. Sorption isotherms for Cr(VI)</w:t>
      </w:r>
      <w:r w:rsidR="00F81221">
        <w:rPr>
          <w:kern w:val="0"/>
        </w:rPr>
        <w:t xml:space="preserve"> and </w:t>
      </w:r>
      <w:r>
        <w:rPr>
          <w:kern w:val="0"/>
        </w:rPr>
        <w:t>RBBR by the LDH film were studied, which can be fitted by the Langmuir model more satisfactorily than by the Freundlich model. It was found that the sorption capacity (q(MAX)) reached similar to 79.4 mg g</w:t>
      </w:r>
      <w:r>
        <w:rPr>
          <w:rFonts w:hint="eastAsia"/>
          <w:kern w:val="0"/>
          <w:vertAlign w:val="superscript"/>
        </w:rPr>
        <w:t>-1</w:t>
      </w:r>
      <w:r>
        <w:rPr>
          <w:kern w:val="0"/>
        </w:rPr>
        <w:t xml:space="preserve"> for Cr(VI)</w:t>
      </w:r>
      <w:r w:rsidR="00F81221">
        <w:rPr>
          <w:kern w:val="0"/>
        </w:rPr>
        <w:t xml:space="preserve"> and </w:t>
      </w:r>
      <w:r>
        <w:rPr>
          <w:kern w:val="0"/>
        </w:rPr>
        <w:t>similar to 222 mg g(-1) for RBBR respectively much larger than that of the corresponding LDH powder sample (similar to 67.6 mg g(-1) for Cr(VI)</w:t>
      </w:r>
      <w:r w:rsidR="00F81221">
        <w:rPr>
          <w:kern w:val="0"/>
        </w:rPr>
        <w:t xml:space="preserve"> and </w:t>
      </w:r>
      <w:r>
        <w:rPr>
          <w:kern w:val="0"/>
        </w:rPr>
        <w:t xml:space="preserve">similar </w:t>
      </w:r>
      <w:r>
        <w:rPr>
          <w:kern w:val="0"/>
        </w:rPr>
        <w:lastRenderedPageBreak/>
        <w:t>to 192.3 mg g</w:t>
      </w:r>
      <w:r>
        <w:rPr>
          <w:rFonts w:hint="eastAsia"/>
          <w:kern w:val="0"/>
          <w:vertAlign w:val="superscript"/>
        </w:rPr>
        <w:t>-1</w:t>
      </w:r>
      <w:r>
        <w:rPr>
          <w:kern w:val="0"/>
        </w:rPr>
        <w:t xml:space="preserve"> for RBBR, respectively). Furthermore, the LDH film exhibits excellent sorption regeneration performances as compared to the powder sample, Which facilitates its repeatable</w:t>
      </w:r>
      <w:r w:rsidR="00F81221">
        <w:rPr>
          <w:kern w:val="0"/>
        </w:rPr>
        <w:t xml:space="preserve"> and </w:t>
      </w:r>
      <w:r>
        <w:rPr>
          <w:kern w:val="0"/>
        </w:rPr>
        <w:t>cyclic usage over a long period. Because of the low-cost preparation, high sorption capacity, convenient manipulation; as well as easy regeneration of the LDH film, it is expected that this film can be potentially used as a structured adsorbent in the field of water treatment.</w:t>
      </w:r>
    </w:p>
    <w:p w:rsidR="008F778D" w:rsidRDefault="008F778D" w:rsidP="008F778D">
      <w:pPr>
        <w:pStyle w:val="a0"/>
        <w:rPr>
          <w:kern w:val="0"/>
        </w:rPr>
      </w:pPr>
      <w:r>
        <w:rPr>
          <w:kern w:val="0"/>
        </w:rPr>
        <w:t>Keywords: Adsorption, Al, Anion-Exchange, Aqueous-Solutions, Hydrotalcite, Ion-Exchange, Kinetics, Langmuir, Mg, Orange, Removal, Sorption</w:t>
      </w:r>
    </w:p>
    <w:p w:rsidR="008F778D" w:rsidRDefault="008F778D" w:rsidP="008F778D">
      <w:pPr>
        <w:pStyle w:val="a0"/>
        <w:rPr>
          <w:kern w:val="0"/>
        </w:rPr>
      </w:pPr>
      <w:r>
        <w:rPr>
          <w:rFonts w:hint="eastAsia"/>
          <w:kern w:val="0"/>
        </w:rPr>
        <w:t xml:space="preserve">? </w:t>
      </w:r>
      <w:r>
        <w:rPr>
          <w:kern w:val="0"/>
        </w:rPr>
        <w:t>Huang, J.H., Wang, X.L., Wang, X.M.</w:t>
      </w:r>
      <w:r w:rsidR="00F81221">
        <w:rPr>
          <w:kern w:val="0"/>
        </w:rPr>
        <w:t xml:space="preserve"> and </w:t>
      </w:r>
      <w:r>
        <w:rPr>
          <w:kern w:val="0"/>
        </w:rPr>
        <w:t xml:space="preserve">Huang, K.L. (2011), Hyper-cross-linked </w:t>
      </w:r>
      <w:r w:rsidR="00540CED">
        <w:rPr>
          <w:kern w:val="0"/>
        </w:rPr>
        <w:t>polystyrene-co-divinylbenzene resin modified with aceta</w:t>
      </w:r>
      <w:r>
        <w:rPr>
          <w:kern w:val="0"/>
        </w:rPr>
        <w:t>nilide: Synthesis, structure,</w:t>
      </w:r>
      <w:r w:rsidR="00F81221">
        <w:rPr>
          <w:kern w:val="0"/>
        </w:rPr>
        <w:t xml:space="preserve"> and </w:t>
      </w:r>
      <w:r>
        <w:rPr>
          <w:kern w:val="0"/>
        </w:rPr>
        <w:t xml:space="preserve">adsorptive removal of salicylic acid from aqueous solution. </w:t>
      </w:r>
      <w:r>
        <w:rPr>
          <w:i/>
          <w:iCs/>
          <w:kern w:val="0"/>
        </w:rPr>
        <w:t>Industrial &amp; Engineering Chemistry Research</w:t>
      </w:r>
      <w:r>
        <w:rPr>
          <w:kern w:val="0"/>
        </w:rPr>
        <w:t xml:space="preserve">, </w:t>
      </w:r>
      <w:r>
        <w:rPr>
          <w:b/>
          <w:bCs/>
          <w:kern w:val="0"/>
        </w:rPr>
        <w:t>50</w:t>
      </w:r>
      <w:r>
        <w:rPr>
          <w:kern w:val="0"/>
        </w:rPr>
        <w:t xml:space="preserve"> (5), 2891-2897.</w:t>
      </w:r>
    </w:p>
    <w:p w:rsidR="008F778D" w:rsidRPr="007D79E8" w:rsidRDefault="008F778D" w:rsidP="008F778D">
      <w:pPr>
        <w:pStyle w:val="a0"/>
        <w:rPr>
          <w:kern w:val="0"/>
        </w:rPr>
      </w:pPr>
      <w:r w:rsidRPr="007D79E8">
        <w:rPr>
          <w:kern w:val="0"/>
        </w:rPr>
        <w:t xml:space="preserve">Full Text: </w:t>
      </w:r>
      <w:hyperlink r:id="rId1329" w:history="1">
        <w:r w:rsidRPr="00157C73">
          <w:rPr>
            <w:rStyle w:val="a5"/>
            <w:kern w:val="0"/>
          </w:rPr>
          <w:t>2011\Ind Eng Che Res50, 2891.pdf</w:t>
        </w:r>
      </w:hyperlink>
    </w:p>
    <w:p w:rsidR="008F778D" w:rsidRDefault="008F778D" w:rsidP="008F778D">
      <w:pPr>
        <w:pStyle w:val="a0"/>
        <w:rPr>
          <w:kern w:val="0"/>
        </w:rPr>
      </w:pPr>
      <w:r>
        <w:rPr>
          <w:kern w:val="0"/>
        </w:rPr>
        <w:t>Abstract: A series of novel hyper-cross-linked resins were prepared from macroporous cross-linked chloromethylated polystyrene-co-divinylbenzene (PS) by adding a different quantity of acetanilide in the Friedel-Crafts reaction. The results indicated that the synthesized resin l. possessed predominant mesopores (2-5 nm)</w:t>
      </w:r>
      <w:r w:rsidR="00F81221">
        <w:rPr>
          <w:kern w:val="0"/>
        </w:rPr>
        <w:t xml:space="preserve"> and </w:t>
      </w:r>
      <w:r>
        <w:rPr>
          <w:kern w:val="0"/>
        </w:rPr>
        <w:t>medium-values specific surface area with a few acetanilide groups on the surface. Among these resins, HJ-W02 had the largest adsorption capacity toward salicylic acid</w:t>
      </w:r>
      <w:r w:rsidR="00F81221">
        <w:rPr>
          <w:kern w:val="0"/>
        </w:rPr>
        <w:t xml:space="preserve"> and </w:t>
      </w:r>
      <w:r>
        <w:rPr>
          <w:kern w:val="0"/>
        </w:rPr>
        <w:t>hence selected as the model resin for adsorptive removal of salicylic acid from aqueous solution. The kinetic</w:t>
      </w:r>
      <w:r w:rsidR="00F81221">
        <w:rPr>
          <w:kern w:val="0"/>
        </w:rPr>
        <w:t xml:space="preserve"> and </w:t>
      </w:r>
      <w:r>
        <w:rPr>
          <w:kern w:val="0"/>
        </w:rPr>
        <w:t>isotherm data could be well-fitted by pseudo-second-order rate equation</w:t>
      </w:r>
      <w:r w:rsidR="00F81221">
        <w:rPr>
          <w:kern w:val="0"/>
        </w:rPr>
        <w:t xml:space="preserve"> and </w:t>
      </w:r>
      <w:r>
        <w:rPr>
          <w:kern w:val="0"/>
        </w:rPr>
        <w:t>Freundlich model, respectively. Increase of the solution pH had a negative effect while Cd</w:t>
      </w:r>
      <w:r w:rsidRPr="003B4BA1">
        <w:rPr>
          <w:kern w:val="0"/>
          <w:vertAlign w:val="superscript"/>
        </w:rPr>
        <w:t>2+</w:t>
      </w:r>
      <w:r>
        <w:rPr>
          <w:kern w:val="0"/>
        </w:rPr>
        <w:t xml:space="preserve"> posed a positive effect on the adsorption. Hydrogen bonding between the carbonyl groups of HJ-W02</w:t>
      </w:r>
      <w:r w:rsidR="00F81221">
        <w:rPr>
          <w:kern w:val="0"/>
        </w:rPr>
        <w:t xml:space="preserve"> and </w:t>
      </w:r>
      <w:r>
        <w:rPr>
          <w:kern w:val="0"/>
        </w:rPr>
        <w:t>carboxyl (hydroxyl) groups of salicylic acid played an important role. The breakthrough point of HJ-W02 toward salicylic acid was 122.5 BV</w:t>
      </w:r>
      <w:r w:rsidR="00F81221">
        <w:rPr>
          <w:kern w:val="0"/>
        </w:rPr>
        <w:t xml:space="preserve"> and </w:t>
      </w:r>
      <w:r>
        <w:rPr>
          <w:kern w:val="0"/>
        </w:rPr>
        <w:t>5% of sodium hydroxide aqueous solution regenerated it completely.</w:t>
      </w:r>
    </w:p>
    <w:p w:rsidR="008F778D" w:rsidRDefault="008F778D" w:rsidP="008F778D">
      <w:pPr>
        <w:pStyle w:val="a0"/>
        <w:rPr>
          <w:kern w:val="0"/>
        </w:rPr>
      </w:pPr>
      <w:r>
        <w:rPr>
          <w:kern w:val="0"/>
        </w:rPr>
        <w:t>Keywords: Adsorption, Blue Adsorption, Hypercrosslinked Polystyrene, Ions, Kinetics, Oxygenated Aromatic-Compounds, pH, Polymeric Adsorbents, Renewable Resources, Sorption, Thermodynamics</w:t>
      </w:r>
    </w:p>
    <w:p w:rsidR="00F269BA" w:rsidRDefault="00F269BA" w:rsidP="00F269BA">
      <w:pPr>
        <w:pStyle w:val="a0"/>
        <w:rPr>
          <w:kern w:val="0"/>
        </w:rPr>
      </w:pPr>
      <w:r>
        <w:rPr>
          <w:kern w:val="0"/>
        </w:rPr>
        <w:t>? Sun, S.S.</w:t>
      </w:r>
      <w:r w:rsidR="00F81221">
        <w:rPr>
          <w:kern w:val="0"/>
        </w:rPr>
        <w:t xml:space="preserve"> and </w:t>
      </w:r>
      <w:r>
        <w:rPr>
          <w:kern w:val="0"/>
        </w:rPr>
        <w:t>Tang, R.C. (2011), Adsorption</w:t>
      </w:r>
      <w:r w:rsidR="00F81221">
        <w:rPr>
          <w:kern w:val="0"/>
        </w:rPr>
        <w:t xml:space="preserve"> and </w:t>
      </w:r>
      <w:r>
        <w:rPr>
          <w:kern w:val="0"/>
        </w:rPr>
        <w:t xml:space="preserve">UV protection properties of the extract from honeysuckle onto wool. </w:t>
      </w:r>
      <w:r>
        <w:rPr>
          <w:i/>
          <w:iCs/>
          <w:kern w:val="0"/>
        </w:rPr>
        <w:t>Industrial &amp; Engineering Chemistry Research</w:t>
      </w:r>
      <w:r>
        <w:rPr>
          <w:kern w:val="0"/>
        </w:rPr>
        <w:t xml:space="preserve">, </w:t>
      </w:r>
      <w:r>
        <w:rPr>
          <w:b/>
          <w:bCs/>
          <w:kern w:val="0"/>
        </w:rPr>
        <w:t>50</w:t>
      </w:r>
      <w:r>
        <w:rPr>
          <w:kern w:val="0"/>
        </w:rPr>
        <w:t xml:space="preserve"> (8), 4217-4224.</w:t>
      </w:r>
    </w:p>
    <w:p w:rsidR="00F269BA" w:rsidRPr="007D79E8" w:rsidRDefault="00F269BA" w:rsidP="00F269BA">
      <w:pPr>
        <w:pStyle w:val="a0"/>
        <w:rPr>
          <w:kern w:val="0"/>
        </w:rPr>
      </w:pPr>
      <w:r w:rsidRPr="007D79E8">
        <w:rPr>
          <w:kern w:val="0"/>
        </w:rPr>
        <w:t xml:space="preserve">Full Text: </w:t>
      </w:r>
      <w:hyperlink r:id="rId1330" w:history="1">
        <w:r w:rsidRPr="005E71A4">
          <w:rPr>
            <w:rStyle w:val="a5"/>
            <w:kern w:val="0"/>
          </w:rPr>
          <w:t>2011\Ind Eng Che Res50, 4217.pdf</w:t>
        </w:r>
      </w:hyperlink>
    </w:p>
    <w:p w:rsidR="00F269BA" w:rsidRDefault="00F269BA" w:rsidP="00F269BA">
      <w:pPr>
        <w:pStyle w:val="a0"/>
        <w:rPr>
          <w:kern w:val="0"/>
        </w:rPr>
      </w:pPr>
      <w:r>
        <w:rPr>
          <w:kern w:val="0"/>
        </w:rPr>
        <w:t>Abstract: The adsorption</w:t>
      </w:r>
      <w:r w:rsidR="00F81221">
        <w:rPr>
          <w:kern w:val="0"/>
        </w:rPr>
        <w:t xml:space="preserve"> and </w:t>
      </w:r>
      <w:r>
        <w:rPr>
          <w:kern w:val="0"/>
        </w:rPr>
        <w:t>UV-protection properties of water-extract from honeysuckle whose main ingredient is chlorogenic acid onto wool were studied. The effect of initial pH on the adsorption was investigated,</w:t>
      </w:r>
      <w:r w:rsidR="00F81221">
        <w:rPr>
          <w:kern w:val="0"/>
        </w:rPr>
        <w:t xml:space="preserve"> and </w:t>
      </w:r>
      <w:r>
        <w:rPr>
          <w:kern w:val="0"/>
        </w:rPr>
        <w:t>the extent of adsorption was found to increase with decreasing pH in the range 2-7. Four kinetic equations, namely pseudo-first-order, pseudo-second-order, Elvoich,</w:t>
      </w:r>
      <w:r w:rsidR="00F81221">
        <w:rPr>
          <w:kern w:val="0"/>
        </w:rPr>
        <w:t xml:space="preserve"> and </w:t>
      </w:r>
      <w:r>
        <w:rPr>
          <w:kern w:val="0"/>
        </w:rPr>
        <w:t xml:space="preserve">intraparticle diffusion </w:t>
      </w:r>
      <w:r>
        <w:rPr>
          <w:kern w:val="0"/>
        </w:rPr>
        <w:lastRenderedPageBreak/>
        <w:t>equations were employed to investigate the adsorption rates. The pseudo-second-order model provided the best fit to the experimental data</w:t>
      </w:r>
      <w:r w:rsidR="00F81221">
        <w:rPr>
          <w:kern w:val="0"/>
        </w:rPr>
        <w:t xml:space="preserve"> and </w:t>
      </w:r>
      <w:r>
        <w:rPr>
          <w:kern w:val="0"/>
        </w:rPr>
        <w:t>was indicated with the activation energy of 47.91 kJ mol</w:t>
      </w:r>
      <w:r>
        <w:rPr>
          <w:kern w:val="0"/>
          <w:vertAlign w:val="superscript"/>
        </w:rPr>
        <w:t>-1</w:t>
      </w:r>
      <w:r>
        <w:rPr>
          <w:kern w:val="0"/>
        </w:rPr>
        <w:t>. The equilibrium adsorption data were fitted by Freundlich, Langmuir, Redlich-Peterson,</w:t>
      </w:r>
      <w:r w:rsidR="00F81221">
        <w:rPr>
          <w:kern w:val="0"/>
        </w:rPr>
        <w:t xml:space="preserve"> and </w:t>
      </w:r>
      <w:r>
        <w:rPr>
          <w:kern w:val="0"/>
        </w:rPr>
        <w:t>Langmuir-Nernst isotherm models. The adsorption behavior accorded with Redlich-Peterson</w:t>
      </w:r>
      <w:r w:rsidR="00F81221">
        <w:rPr>
          <w:kern w:val="0"/>
        </w:rPr>
        <w:t xml:space="preserve"> and </w:t>
      </w:r>
      <w:r>
        <w:rPr>
          <w:kern w:val="0"/>
        </w:rPr>
        <w:t>Langmuir-Nernst models well. The honeysuckle extract showed good build-up properties,</w:t>
      </w:r>
      <w:r w:rsidR="00F81221">
        <w:rPr>
          <w:kern w:val="0"/>
        </w:rPr>
        <w:t xml:space="preserve"> and </w:t>
      </w:r>
      <w:r>
        <w:rPr>
          <w:kern w:val="0"/>
        </w:rPr>
        <w:t>the UV transmittance in the range of UVA</w:t>
      </w:r>
      <w:r w:rsidR="00F81221">
        <w:rPr>
          <w:kern w:val="0"/>
        </w:rPr>
        <w:t xml:space="preserve"> and </w:t>
      </w:r>
      <w:r>
        <w:rPr>
          <w:kern w:val="0"/>
        </w:rPr>
        <w:t>UVB of wool treated with honeysuckle extract decreased obviously while the ultraviolet protection factors increased. The extract of honeysuckle may be developed as a natural UV-absorbing agent applied to wool finishing.</w:t>
      </w:r>
    </w:p>
    <w:p w:rsidR="00F269BA" w:rsidRDefault="00F269BA" w:rsidP="00F269BA">
      <w:pPr>
        <w:pStyle w:val="a0"/>
        <w:rPr>
          <w:kern w:val="0"/>
        </w:rPr>
      </w:pPr>
      <w:r>
        <w:rPr>
          <w:kern w:val="0"/>
        </w:rPr>
        <w:t>Keywords: Adsorption, Chitosan, Chlorogenic Acid, Cotton, Equilibrium, Freundlich, Isotherm, Kinetic, LAC, Langmuir, Models, Natural Dyes, pH, Silk, Tea</w:t>
      </w:r>
    </w:p>
    <w:p w:rsidR="00E72DC0" w:rsidRDefault="00E72DC0" w:rsidP="00E72DC0">
      <w:pPr>
        <w:pStyle w:val="a0"/>
        <w:rPr>
          <w:kern w:val="0"/>
        </w:rPr>
      </w:pPr>
      <w:r>
        <w:rPr>
          <w:rFonts w:hint="eastAsia"/>
          <w:kern w:val="0"/>
        </w:rPr>
        <w:t xml:space="preserve">? </w:t>
      </w:r>
      <w:r>
        <w:rPr>
          <w:kern w:val="0"/>
        </w:rPr>
        <w:t>Biswal, N.R.</w:t>
      </w:r>
      <w:r w:rsidR="00F81221">
        <w:rPr>
          <w:kern w:val="0"/>
        </w:rPr>
        <w:t xml:space="preserve"> and </w:t>
      </w:r>
      <w:r>
        <w:rPr>
          <w:kern w:val="0"/>
        </w:rPr>
        <w:t>Paria, S. (2011), Wetting of TX-100</w:t>
      </w:r>
      <w:r w:rsidR="00F81221">
        <w:rPr>
          <w:kern w:val="0"/>
        </w:rPr>
        <w:t xml:space="preserve"> and </w:t>
      </w:r>
      <w:r>
        <w:rPr>
          <w:kern w:val="0"/>
        </w:rPr>
        <w:t xml:space="preserve">lgepal CO-630 Surfactants on a PTFE Surface. </w:t>
      </w:r>
      <w:r>
        <w:rPr>
          <w:i/>
          <w:iCs/>
          <w:kern w:val="0"/>
        </w:rPr>
        <w:t>Industrial &amp; Engineering Chemistry Research</w:t>
      </w:r>
      <w:r>
        <w:rPr>
          <w:kern w:val="0"/>
        </w:rPr>
        <w:t xml:space="preserve">, </w:t>
      </w:r>
      <w:r>
        <w:rPr>
          <w:b/>
          <w:bCs/>
          <w:kern w:val="0"/>
        </w:rPr>
        <w:t>50</w:t>
      </w:r>
      <w:r>
        <w:rPr>
          <w:kern w:val="0"/>
        </w:rPr>
        <w:t xml:space="preserve"> (10), 6138-6145.</w:t>
      </w:r>
    </w:p>
    <w:p w:rsidR="00E72DC0" w:rsidRPr="007D79E8" w:rsidRDefault="00E72DC0" w:rsidP="00E72DC0">
      <w:pPr>
        <w:pStyle w:val="a0"/>
        <w:rPr>
          <w:kern w:val="0"/>
        </w:rPr>
      </w:pPr>
      <w:r w:rsidRPr="007D79E8">
        <w:rPr>
          <w:kern w:val="0"/>
        </w:rPr>
        <w:t xml:space="preserve">Full Text: </w:t>
      </w:r>
      <w:hyperlink r:id="rId1331" w:history="1">
        <w:r w:rsidRPr="00016079">
          <w:rPr>
            <w:rStyle w:val="a5"/>
            <w:kern w:val="0"/>
          </w:rPr>
          <w:t>2011\Ind Eng Che Res50, 6138.pdf</w:t>
        </w:r>
      </w:hyperlink>
    </w:p>
    <w:p w:rsidR="00E72DC0" w:rsidRDefault="00E72DC0" w:rsidP="00E72DC0">
      <w:pPr>
        <w:pStyle w:val="a0"/>
        <w:rPr>
          <w:kern w:val="0"/>
        </w:rPr>
      </w:pPr>
      <w:r>
        <w:rPr>
          <w:kern w:val="0"/>
        </w:rPr>
        <w:t>Abstract: Nonionic surfactants are advantageous in a diversified range of applications from household cleaners, laundry detergents,</w:t>
      </w:r>
      <w:r w:rsidR="00F81221">
        <w:rPr>
          <w:kern w:val="0"/>
        </w:rPr>
        <w:t xml:space="preserve"> and </w:t>
      </w:r>
      <w:r>
        <w:rPr>
          <w:kern w:val="0"/>
        </w:rPr>
        <w:t>shampoo to paints, coatings,</w:t>
      </w:r>
      <w:r w:rsidR="00F81221">
        <w:rPr>
          <w:kern w:val="0"/>
        </w:rPr>
        <w:t xml:space="preserve"> and </w:t>
      </w:r>
      <w:r>
        <w:rPr>
          <w:kern w:val="0"/>
        </w:rPr>
        <w:t>food emulsifiers because of their low CMC</w:t>
      </w:r>
      <w:r w:rsidR="00F81221">
        <w:rPr>
          <w:kern w:val="0"/>
        </w:rPr>
        <w:t xml:space="preserve"> and </w:t>
      </w:r>
      <w:r>
        <w:rPr>
          <w:kern w:val="0"/>
        </w:rPr>
        <w:t>surface tension values over the ionic surfactants. Nonionic surfactants, in general, are very useful in mixed surfactant systems because of their electrical neutrality. Among the similar class of nonionic surfactants, structural difference is important in the performance. In this study, we report on the adsorption</w:t>
      </w:r>
      <w:r w:rsidR="00F81221">
        <w:rPr>
          <w:kern w:val="0"/>
        </w:rPr>
        <w:t xml:space="preserve"> and </w:t>
      </w:r>
      <w:r>
        <w:rPr>
          <w:kern w:val="0"/>
        </w:rPr>
        <w:t>wetting behavior of two nonionic surfactants (TX-100</w:t>
      </w:r>
      <w:r w:rsidR="00F81221">
        <w:rPr>
          <w:kern w:val="0"/>
        </w:rPr>
        <w:t xml:space="preserve"> and </w:t>
      </w:r>
      <w:r>
        <w:rPr>
          <w:kern w:val="0"/>
        </w:rPr>
        <w:t>Igepal CO-630) having the same head group but structurally different tail groups. The kinetics of adsorption follows a pseudo-second-order kinetic model</w:t>
      </w:r>
      <w:r w:rsidR="00F81221">
        <w:rPr>
          <w:kern w:val="0"/>
        </w:rPr>
        <w:t xml:space="preserve"> and </w:t>
      </w:r>
      <w:r>
        <w:rPr>
          <w:kern w:val="0"/>
        </w:rPr>
        <w:t>a Langmuir-type isotherm for both the surfactants. The change in contact angle with the concentration of surfactant follows a trend similar to that for adsorption onto a PTFE surface. At low surfactant concentration, Igepal CO-630 shows a slightly higher adsorption density</w:t>
      </w:r>
      <w:r w:rsidR="00F81221">
        <w:rPr>
          <w:kern w:val="0"/>
        </w:rPr>
        <w:t xml:space="preserve"> and </w:t>
      </w:r>
      <w:r>
        <w:rPr>
          <w:kern w:val="0"/>
        </w:rPr>
        <w:t>better wetting properties than TX-100. Both surfactants show lower adsorption densities at the PTFE water interface than at the air-water interface.</w:t>
      </w:r>
    </w:p>
    <w:p w:rsidR="00E72DC0" w:rsidRDefault="00E72DC0" w:rsidP="00E72DC0">
      <w:pPr>
        <w:pStyle w:val="a0"/>
        <w:rPr>
          <w:kern w:val="0"/>
        </w:rPr>
      </w:pPr>
      <w:r>
        <w:rPr>
          <w:kern w:val="0"/>
        </w:rPr>
        <w:t>Keywords: Adsorption, Aqueous-Solutions, Cationic Surfactants, Cetyltrimethylammonium Bromide, Contact Angles, Hydrophobic Surfaces, Isotherm, Kinetic, Kinetic Model, Kinetics, Low-Energy Solids, Nonionic Surfactants, Propanol Mixtures, Triton X-100, Wettability</w:t>
      </w:r>
    </w:p>
    <w:p w:rsidR="00E72DC0" w:rsidRDefault="00E72DC0" w:rsidP="00E72DC0">
      <w:pPr>
        <w:pStyle w:val="a0"/>
        <w:rPr>
          <w:kern w:val="0"/>
        </w:rPr>
      </w:pPr>
      <w:r>
        <w:rPr>
          <w:rFonts w:hint="eastAsia"/>
          <w:kern w:val="0"/>
        </w:rPr>
        <w:t xml:space="preserve">? </w:t>
      </w:r>
      <w:r>
        <w:rPr>
          <w:kern w:val="0"/>
        </w:rPr>
        <w:t>Zhan, Y.C., Luo, X.B., Nie, S.S., Huang, Y.N., Tu, X.M.</w:t>
      </w:r>
      <w:r w:rsidR="00F81221">
        <w:rPr>
          <w:kern w:val="0"/>
        </w:rPr>
        <w:t xml:space="preserve"> and </w:t>
      </w:r>
      <w:r>
        <w:rPr>
          <w:kern w:val="0"/>
        </w:rPr>
        <w:t xml:space="preserve">Luo, S.L. (2011), Selective separation of Cu(II) from aqueous solution with a novel Cu(II) surface magnetic ion-imprinted polymer. </w:t>
      </w:r>
      <w:r>
        <w:rPr>
          <w:i/>
          <w:iCs/>
          <w:kern w:val="0"/>
        </w:rPr>
        <w:t>Industrial &amp; Engineering Chemistry Research</w:t>
      </w:r>
      <w:r>
        <w:rPr>
          <w:kern w:val="0"/>
        </w:rPr>
        <w:t xml:space="preserve">, </w:t>
      </w:r>
      <w:r>
        <w:rPr>
          <w:b/>
          <w:bCs/>
          <w:kern w:val="0"/>
        </w:rPr>
        <w:t>50</w:t>
      </w:r>
      <w:r>
        <w:rPr>
          <w:kern w:val="0"/>
        </w:rPr>
        <w:t xml:space="preserve"> (10), 6355-6361.</w:t>
      </w:r>
    </w:p>
    <w:p w:rsidR="00E72DC0" w:rsidRPr="007D79E8" w:rsidRDefault="00E72DC0" w:rsidP="00E72DC0">
      <w:pPr>
        <w:pStyle w:val="a0"/>
        <w:rPr>
          <w:kern w:val="0"/>
        </w:rPr>
      </w:pPr>
      <w:r w:rsidRPr="007D79E8">
        <w:rPr>
          <w:kern w:val="0"/>
        </w:rPr>
        <w:lastRenderedPageBreak/>
        <w:t xml:space="preserve">Full Text: </w:t>
      </w:r>
      <w:hyperlink r:id="rId1332" w:history="1">
        <w:r w:rsidRPr="00CA2884">
          <w:rPr>
            <w:rStyle w:val="a5"/>
            <w:kern w:val="0"/>
          </w:rPr>
          <w:t>2011\Ind Eng Che Res50, 6355.pdf</w:t>
        </w:r>
      </w:hyperlink>
    </w:p>
    <w:p w:rsidR="00E72DC0" w:rsidRDefault="00E72DC0" w:rsidP="00E72DC0">
      <w:pPr>
        <w:pStyle w:val="a0"/>
        <w:rPr>
          <w:kern w:val="0"/>
        </w:rPr>
      </w:pPr>
      <w:r>
        <w:rPr>
          <w:kern w:val="0"/>
        </w:rPr>
        <w:t>Abstract: A novel Cu(II) magnetic ion-imprinted polymer (MIIP) was prepared via the sol gel method. The Cu(II)-MIIP exhibited good magnetic property</w:t>
      </w:r>
      <w:r w:rsidR="00F81221">
        <w:rPr>
          <w:kern w:val="0"/>
        </w:rPr>
        <w:t xml:space="preserve"> and </w:t>
      </w:r>
      <w:r>
        <w:rPr>
          <w:kern w:val="0"/>
        </w:rPr>
        <w:t>thermal stability. The binding characteristics of Cu(II)-MIIP were studied by adopting both static</w:t>
      </w:r>
      <w:r w:rsidR="00F81221">
        <w:rPr>
          <w:kern w:val="0"/>
        </w:rPr>
        <w:t xml:space="preserve"> and </w:t>
      </w:r>
      <w:r>
        <w:rPr>
          <w:kern w:val="0"/>
        </w:rPr>
        <w:t>dynamic adsorption experiments. The maximum adsorptions calculated from the Langmuir isotherm are 58.20</w:t>
      </w:r>
      <w:r w:rsidR="00F81221">
        <w:rPr>
          <w:kern w:val="0"/>
        </w:rPr>
        <w:t xml:space="preserve"> and </w:t>
      </w:r>
      <w:r>
        <w:rPr>
          <w:kern w:val="0"/>
        </w:rPr>
        <w:t>23.10 mg/g for Cu(II)-MIIP</w:t>
      </w:r>
      <w:r w:rsidR="00F81221">
        <w:rPr>
          <w:kern w:val="0"/>
        </w:rPr>
        <w:t xml:space="preserve"> and </w:t>
      </w:r>
      <w:r>
        <w:rPr>
          <w:kern w:val="0"/>
        </w:rPr>
        <w:t>magnetic nonimprinted polymer (MNIP), respectively. The kinetics studies showed that the adsorption process obeyed a pseudo-second-order kinetic model. The selectivity coefficients of the Cu(II)-MIIP for Cu(II) in the presence of Zn(II)</w:t>
      </w:r>
      <w:r w:rsidR="00F81221">
        <w:rPr>
          <w:kern w:val="0"/>
        </w:rPr>
        <w:t xml:space="preserve"> and </w:t>
      </w:r>
      <w:r>
        <w:rPr>
          <w:kern w:val="0"/>
        </w:rPr>
        <w:t>Ni(II) are 49.44</w:t>
      </w:r>
      <w:r w:rsidR="00F81221">
        <w:rPr>
          <w:kern w:val="0"/>
        </w:rPr>
        <w:t xml:space="preserve"> and </w:t>
      </w:r>
      <w:r>
        <w:rPr>
          <w:kern w:val="0"/>
        </w:rPr>
        <w:t>50.38, respectively. The relative selectivity coefficients of Cu(II)-MIIP for Cu(II)/Zn(II)</w:t>
      </w:r>
      <w:r w:rsidR="00F81221">
        <w:rPr>
          <w:kern w:val="0"/>
        </w:rPr>
        <w:t xml:space="preserve"> and </w:t>
      </w:r>
      <w:r>
        <w:rPr>
          <w:kern w:val="0"/>
        </w:rPr>
        <w:t>Cu(II)/Ni(II) are 12.36</w:t>
      </w:r>
      <w:r w:rsidR="00F81221">
        <w:rPr>
          <w:kern w:val="0"/>
        </w:rPr>
        <w:t xml:space="preserve"> and </w:t>
      </w:r>
      <w:r>
        <w:rPr>
          <w:kern w:val="0"/>
        </w:rPr>
        <w:t>8.73, respectively. Moreover, Cu(II)-MIIP could be used five times without obvious deterioration in their adsorption capacities.</w:t>
      </w:r>
    </w:p>
    <w:p w:rsidR="00E72DC0" w:rsidRDefault="00E72DC0" w:rsidP="00E72DC0">
      <w:pPr>
        <w:pStyle w:val="a0"/>
        <w:rPr>
          <w:kern w:val="0"/>
        </w:rPr>
      </w:pPr>
      <w:r>
        <w:rPr>
          <w:kern w:val="0"/>
        </w:rPr>
        <w:t>Keywords: Adsorption, Aqueous Solution, Beads, Carbon Nanotubes, Composite, Copper, Cu(II), Isotherm, Kinetic, Kinetic Model, Kinetics, Langmuir, Langmuir Isotherm, Magnetic, Metal-Ions, Ni(II), Particles, Removal, Selective, Sol-Gel, Solid-Phase Extraction, Sorption</w:t>
      </w:r>
    </w:p>
    <w:p w:rsidR="00E72DC0" w:rsidRDefault="00E72DC0" w:rsidP="00E72DC0">
      <w:pPr>
        <w:pStyle w:val="a0"/>
        <w:rPr>
          <w:kern w:val="0"/>
        </w:rPr>
      </w:pPr>
      <w:r>
        <w:rPr>
          <w:rFonts w:hint="eastAsia"/>
          <w:kern w:val="0"/>
        </w:rPr>
        <w:t xml:space="preserve">? </w:t>
      </w:r>
      <w:r>
        <w:rPr>
          <w:kern w:val="0"/>
        </w:rPr>
        <w:t>Martinez, M., Oliveros, R.</w:t>
      </w:r>
      <w:r w:rsidR="00F81221">
        <w:rPr>
          <w:kern w:val="0"/>
        </w:rPr>
        <w:t xml:space="preserve"> and </w:t>
      </w:r>
      <w:r>
        <w:rPr>
          <w:kern w:val="0"/>
        </w:rPr>
        <w:t>Aracil, J. (2011), Synthesis of biosurfactants: Enzymatic esterification of diglycerol</w:t>
      </w:r>
      <w:r w:rsidR="00F81221">
        <w:rPr>
          <w:kern w:val="0"/>
        </w:rPr>
        <w:t xml:space="preserve"> and </w:t>
      </w:r>
      <w:r>
        <w:rPr>
          <w:kern w:val="0"/>
        </w:rPr>
        <w:t xml:space="preserve">oleic acid. 1. Kinetic modeling. </w:t>
      </w:r>
      <w:r>
        <w:rPr>
          <w:i/>
          <w:iCs/>
          <w:kern w:val="0"/>
        </w:rPr>
        <w:t>Industrial &amp; Engineering Chemistry Research</w:t>
      </w:r>
      <w:r>
        <w:rPr>
          <w:kern w:val="0"/>
        </w:rPr>
        <w:t xml:space="preserve">, </w:t>
      </w:r>
      <w:r>
        <w:rPr>
          <w:b/>
          <w:bCs/>
          <w:kern w:val="0"/>
        </w:rPr>
        <w:t>50</w:t>
      </w:r>
      <w:r>
        <w:rPr>
          <w:kern w:val="0"/>
        </w:rPr>
        <w:t xml:space="preserve"> (11), 6609-6614.</w:t>
      </w:r>
    </w:p>
    <w:p w:rsidR="00E72DC0" w:rsidRPr="007D79E8" w:rsidRDefault="00E72DC0" w:rsidP="00E72DC0">
      <w:pPr>
        <w:pStyle w:val="a0"/>
        <w:rPr>
          <w:kern w:val="0"/>
        </w:rPr>
      </w:pPr>
      <w:r w:rsidRPr="007D79E8">
        <w:rPr>
          <w:kern w:val="0"/>
        </w:rPr>
        <w:t xml:space="preserve">Full Text: </w:t>
      </w:r>
      <w:hyperlink r:id="rId1333" w:history="1">
        <w:r w:rsidRPr="00E52C77">
          <w:rPr>
            <w:rStyle w:val="a5"/>
            <w:kern w:val="0"/>
          </w:rPr>
          <w:t>2011\Ind Eng Che Res50, 6609.pdf</w:t>
        </w:r>
      </w:hyperlink>
    </w:p>
    <w:p w:rsidR="00E72DC0" w:rsidRDefault="00E72DC0" w:rsidP="00E72DC0">
      <w:pPr>
        <w:pStyle w:val="a0"/>
        <w:rPr>
          <w:kern w:val="0"/>
        </w:rPr>
      </w:pPr>
      <w:r>
        <w:rPr>
          <w:kern w:val="0"/>
        </w:rPr>
        <w:t>Abstract: The growing application of environmentally friendly products raised in the last few years has increased the interest in biodegradable nonionic surfactant products. As an example of these, polyglycerol fatty acid esters have a wide field of application in many industries as additives of cosmetics, food, photography, inks, etc. Also, the huge range of possible raw materials for these products increases cited interest. The esterification of diglycerol with oleic acid using an enzyme (NOVOZYM-435) as catalyst was studied in this work. Several experiments were carried out at different temperatures, catalyst concentrations,</w:t>
      </w:r>
      <w:r w:rsidR="00F81221">
        <w:rPr>
          <w:kern w:val="0"/>
        </w:rPr>
        <w:t xml:space="preserve"> and </w:t>
      </w:r>
      <w:r>
        <w:rPr>
          <w:kern w:val="0"/>
        </w:rPr>
        <w:t>acid/alcohol molar ratios. A pseudo-second-order kinetic model, including Langmuir adsorption factors for the acid, was developed. The results show that this proposed kinetic model reproduces the experimental data with a maximum 10% error.</w:t>
      </w:r>
    </w:p>
    <w:p w:rsidR="00E72DC0" w:rsidRDefault="00E72DC0" w:rsidP="00E72DC0">
      <w:pPr>
        <w:pStyle w:val="a0"/>
        <w:rPr>
          <w:kern w:val="0"/>
        </w:rPr>
      </w:pPr>
      <w:r>
        <w:rPr>
          <w:kern w:val="0"/>
        </w:rPr>
        <w:t>Keywords: Adsorption, Kinetic, Kinetic Model, Langmuir, Oil, System</w:t>
      </w:r>
    </w:p>
    <w:p w:rsidR="00DA369A" w:rsidRDefault="00DA369A" w:rsidP="00DA369A">
      <w:pPr>
        <w:pStyle w:val="a0"/>
        <w:rPr>
          <w:kern w:val="0"/>
        </w:rPr>
      </w:pPr>
      <w:r>
        <w:rPr>
          <w:rFonts w:hint="eastAsia"/>
          <w:kern w:val="0"/>
        </w:rPr>
        <w:t xml:space="preserve">? </w:t>
      </w:r>
      <w:r>
        <w:rPr>
          <w:kern w:val="0"/>
        </w:rPr>
        <w:t>Tomul, F. (2011), Synthesis, characterization,</w:t>
      </w:r>
      <w:r w:rsidR="00F81221">
        <w:rPr>
          <w:kern w:val="0"/>
        </w:rPr>
        <w:t xml:space="preserve"> and </w:t>
      </w:r>
      <w:r>
        <w:rPr>
          <w:kern w:val="0"/>
        </w:rPr>
        <w:t xml:space="preserve">adsorption properties of Fe/Cr-pillared bentonites. </w:t>
      </w:r>
      <w:r>
        <w:rPr>
          <w:i/>
          <w:iCs/>
          <w:kern w:val="0"/>
        </w:rPr>
        <w:t>Industrial &amp; Engineering Chemistry Research</w:t>
      </w:r>
      <w:r>
        <w:rPr>
          <w:kern w:val="0"/>
        </w:rPr>
        <w:t xml:space="preserve">, </w:t>
      </w:r>
      <w:r>
        <w:rPr>
          <w:b/>
          <w:bCs/>
          <w:kern w:val="0"/>
        </w:rPr>
        <w:t>50</w:t>
      </w:r>
      <w:r>
        <w:rPr>
          <w:kern w:val="0"/>
        </w:rPr>
        <w:t xml:space="preserve"> (12), 7228-7240.</w:t>
      </w:r>
    </w:p>
    <w:p w:rsidR="00DA369A" w:rsidRPr="001A3D2B" w:rsidRDefault="00DA369A" w:rsidP="00DA369A">
      <w:pPr>
        <w:pStyle w:val="a0"/>
        <w:rPr>
          <w:kern w:val="0"/>
        </w:rPr>
      </w:pPr>
      <w:r w:rsidRPr="001A3D2B">
        <w:rPr>
          <w:kern w:val="0"/>
        </w:rPr>
        <w:t xml:space="preserve">Full Text: </w:t>
      </w:r>
      <w:hyperlink r:id="rId1334" w:history="1">
        <w:r w:rsidRPr="00DA369A">
          <w:rPr>
            <w:rStyle w:val="a5"/>
            <w:kern w:val="0"/>
          </w:rPr>
          <w:t>2011\Ind Eng Che Res50, 7228.pdf</w:t>
        </w:r>
      </w:hyperlink>
    </w:p>
    <w:p w:rsidR="00DA369A" w:rsidRDefault="00DA369A" w:rsidP="00DA369A">
      <w:pPr>
        <w:pStyle w:val="a0"/>
        <w:rPr>
          <w:kern w:val="0"/>
        </w:rPr>
      </w:pPr>
      <w:r>
        <w:rPr>
          <w:kern w:val="0"/>
        </w:rPr>
        <w:t>Abstract: Bentonites pillared with iron, iron/chromium with different Fe/Cr molar ratios,</w:t>
      </w:r>
      <w:r w:rsidR="00F81221">
        <w:rPr>
          <w:kern w:val="0"/>
        </w:rPr>
        <w:t xml:space="preserve"> and </w:t>
      </w:r>
      <w:r>
        <w:rPr>
          <w:kern w:val="0"/>
        </w:rPr>
        <w:t>chromium were synthesized</w:t>
      </w:r>
      <w:r w:rsidR="00F81221">
        <w:rPr>
          <w:kern w:val="0"/>
        </w:rPr>
        <w:t xml:space="preserve"> and </w:t>
      </w:r>
      <w:r>
        <w:rPr>
          <w:kern w:val="0"/>
        </w:rPr>
        <w:t xml:space="preserve">tested as adsorbents of cadmium. The pillared </w:t>
      </w:r>
      <w:r>
        <w:rPr>
          <w:kern w:val="0"/>
        </w:rPr>
        <w:lastRenderedPageBreak/>
        <w:t>bentonites were characterized by using scanning electron microscopy with energy dispersive system (SEM-EDS), powder X-ray diffraction (XRD), N(2)-adsorption/desorption,</w:t>
      </w:r>
      <w:r w:rsidR="00F81221">
        <w:rPr>
          <w:kern w:val="0"/>
        </w:rPr>
        <w:t xml:space="preserve"> and </w:t>
      </w:r>
      <w:r>
        <w:rPr>
          <w:kern w:val="0"/>
        </w:rPr>
        <w:t>Fourier-transformed infrared spectroscopy (FTIR). The thermal stability of the samples was studied with thermogravimetry (TG). Adsorption experiments were conducted by varying pH, contact time,</w:t>
      </w:r>
      <w:r w:rsidR="00F81221">
        <w:rPr>
          <w:kern w:val="0"/>
        </w:rPr>
        <w:t xml:space="preserve"> and </w:t>
      </w:r>
      <w:r>
        <w:rPr>
          <w:kern w:val="0"/>
        </w:rPr>
        <w:t>temperature. The content of the pillaring solution was the most important parameter that influenced the physicochemical, textural,</w:t>
      </w:r>
      <w:r w:rsidR="00F81221">
        <w:rPr>
          <w:kern w:val="0"/>
        </w:rPr>
        <w:t xml:space="preserve"> and </w:t>
      </w:r>
      <w:r>
        <w:rPr>
          <w:kern w:val="0"/>
        </w:rPr>
        <w:t>acidic properties of the pillared bentonites. The results revealed that the adsorption capacity of the materials increased with an increase in pH</w:t>
      </w:r>
      <w:r w:rsidR="00F81221">
        <w:rPr>
          <w:kern w:val="0"/>
        </w:rPr>
        <w:t xml:space="preserve"> and </w:t>
      </w:r>
      <w:r>
        <w:rPr>
          <w:kern w:val="0"/>
        </w:rPr>
        <w:t>contact time. The results also indicated that the equilibrium adsorption data of Cd(2+) onto Cr-pillared bentonite best fit the Redlich-Peterson model, whereas adsorption onto Fe-pillared bentonite</w:t>
      </w:r>
      <w:r w:rsidR="00F81221">
        <w:rPr>
          <w:kern w:val="0"/>
        </w:rPr>
        <w:t xml:space="preserve"> and </w:t>
      </w:r>
      <w:r>
        <w:rPr>
          <w:kern w:val="0"/>
        </w:rPr>
        <w:t>Fe/Cr-pillared bentonite with Fe/Cr molar ratio of 5:5 correlated with the first-order model. Adsorption kinetics results showed that the adsorption followed the pseudo-second-order kinetic model. Thermodynamic studies suggested that the adsorption of Cd(2+) onto Fe-pillared bentonite was an endothermic</w:t>
      </w:r>
      <w:r w:rsidR="00F81221">
        <w:rPr>
          <w:kern w:val="0"/>
        </w:rPr>
        <w:t xml:space="preserve"> and </w:t>
      </w:r>
      <w:r>
        <w:rPr>
          <w:kern w:val="0"/>
        </w:rPr>
        <w:t>spontaneous process.</w:t>
      </w:r>
    </w:p>
    <w:p w:rsidR="00DA369A" w:rsidRDefault="00DA369A" w:rsidP="00DA369A">
      <w:pPr>
        <w:pStyle w:val="a0"/>
        <w:rPr>
          <w:kern w:val="0"/>
        </w:rPr>
      </w:pPr>
      <w:r>
        <w:rPr>
          <w:kern w:val="0"/>
        </w:rPr>
        <w:t>Keywords: Acid-Activated Montmorillonite, Adsorption, Adsorption Kinetics, Aqueous-Solution, Cadmium, Catalytic-Properties, Cd(II), Equilibrium, Kaolinite Clay, Kinetics, Model, Pb(II), Peroxide Oxidation, Pseudo-Second-Order, Removal, Thermodynamic</w:t>
      </w:r>
    </w:p>
    <w:p w:rsidR="0022329C" w:rsidRDefault="0022329C" w:rsidP="0022329C">
      <w:pPr>
        <w:pStyle w:val="a0"/>
        <w:rPr>
          <w:kern w:val="0"/>
        </w:rPr>
      </w:pPr>
      <w:r>
        <w:rPr>
          <w:rFonts w:hint="eastAsia"/>
          <w:kern w:val="0"/>
        </w:rPr>
        <w:t xml:space="preserve">? </w:t>
      </w:r>
      <w:r>
        <w:rPr>
          <w:kern w:val="0"/>
        </w:rPr>
        <w:t>Andersson, K.I., Eriksson, M.</w:t>
      </w:r>
      <w:r w:rsidR="00F81221">
        <w:rPr>
          <w:kern w:val="0"/>
        </w:rPr>
        <w:t xml:space="preserve"> and </w:t>
      </w:r>
      <w:r>
        <w:rPr>
          <w:kern w:val="0"/>
        </w:rPr>
        <w:t>Norgren, M. (2011), Removal of lignin from wastewater generated by mechanical pulping using activated charcoal</w:t>
      </w:r>
      <w:r w:rsidR="00F81221">
        <w:rPr>
          <w:kern w:val="0"/>
        </w:rPr>
        <w:t xml:space="preserve"> and </w:t>
      </w:r>
      <w:r>
        <w:rPr>
          <w:kern w:val="0"/>
        </w:rPr>
        <w:t xml:space="preserve">fly ash: adsorption kinetics. </w:t>
      </w:r>
      <w:r>
        <w:rPr>
          <w:i/>
          <w:iCs/>
          <w:kern w:val="0"/>
        </w:rPr>
        <w:t>Industrial &amp; Engineering Chemistry Research</w:t>
      </w:r>
      <w:r>
        <w:rPr>
          <w:kern w:val="0"/>
        </w:rPr>
        <w:t xml:space="preserve">, </w:t>
      </w:r>
      <w:r>
        <w:rPr>
          <w:b/>
          <w:bCs/>
          <w:kern w:val="0"/>
        </w:rPr>
        <w:t>50</w:t>
      </w:r>
      <w:r>
        <w:rPr>
          <w:kern w:val="0"/>
        </w:rPr>
        <w:t xml:space="preserve"> (13), 7733-7739.</w:t>
      </w:r>
    </w:p>
    <w:p w:rsidR="0022329C" w:rsidRPr="001A3D2B" w:rsidRDefault="0022329C" w:rsidP="0022329C">
      <w:pPr>
        <w:pStyle w:val="a0"/>
        <w:rPr>
          <w:kern w:val="0"/>
        </w:rPr>
      </w:pPr>
      <w:r w:rsidRPr="001A3D2B">
        <w:rPr>
          <w:kern w:val="0"/>
        </w:rPr>
        <w:t xml:space="preserve">Full Text: </w:t>
      </w:r>
      <w:hyperlink r:id="rId1335" w:history="1">
        <w:r w:rsidRPr="0022329C">
          <w:rPr>
            <w:rStyle w:val="a5"/>
            <w:kern w:val="0"/>
          </w:rPr>
          <w:t>2011\Ind Eng Che Res50, 7733.pdf</w:t>
        </w:r>
      </w:hyperlink>
    </w:p>
    <w:p w:rsidR="0022329C" w:rsidRDefault="0022329C" w:rsidP="0022329C">
      <w:pPr>
        <w:pStyle w:val="a0"/>
        <w:rPr>
          <w:kern w:val="0"/>
        </w:rPr>
      </w:pPr>
      <w:r>
        <w:rPr>
          <w:kern w:val="0"/>
        </w:rPr>
        <w:t>Abstract: The possible application of adsorption for the removal of lignin-related material found in wastewater generated by mechanical pulping was investigated. Activated charcoal</w:t>
      </w:r>
      <w:r w:rsidR="00F81221">
        <w:rPr>
          <w:kern w:val="0"/>
        </w:rPr>
        <w:t xml:space="preserve"> and </w:t>
      </w:r>
      <w:r>
        <w:rPr>
          <w:kern w:val="0"/>
        </w:rPr>
        <w:t>fly ash were used as adsorbents in batch experiments. The lignin-related material exhibited properties well-suited for adsorption onto both adsorbents, although the sorption capacity of activated charcoal exceeds that of fly ash. The experimental data were fitted to pseudo-first-</w:t>
      </w:r>
      <w:r w:rsidR="00F81221">
        <w:rPr>
          <w:kern w:val="0"/>
        </w:rPr>
        <w:t xml:space="preserve"> and </w:t>
      </w:r>
      <w:r>
        <w:rPr>
          <w:kern w:val="0"/>
        </w:rPr>
        <w:t>pseudo-second-order rate kinetic expressions,</w:t>
      </w:r>
      <w:r w:rsidR="00F81221">
        <w:rPr>
          <w:kern w:val="0"/>
        </w:rPr>
        <w:t xml:space="preserve"> and </w:t>
      </w:r>
      <w:r>
        <w:rPr>
          <w:kern w:val="0"/>
        </w:rPr>
        <w:t>an attempt was made to find the rate-limiting step involved in the adsorption processes. The results showed that lignin adsorption onto both activated charcoal</w:t>
      </w:r>
      <w:r w:rsidR="00F81221">
        <w:rPr>
          <w:kern w:val="0"/>
        </w:rPr>
        <w:t xml:space="preserve"> and </w:t>
      </w:r>
      <w:r>
        <w:rPr>
          <w:kern w:val="0"/>
        </w:rPr>
        <w:t>fly ash follows pseudo-second-order rate kinetics</w:t>
      </w:r>
      <w:r w:rsidR="00F81221">
        <w:rPr>
          <w:kern w:val="0"/>
        </w:rPr>
        <w:t xml:space="preserve"> and </w:t>
      </w:r>
      <w:r>
        <w:rPr>
          <w:kern w:val="0"/>
        </w:rPr>
        <w:t>that both boundary-layer diffusion</w:t>
      </w:r>
      <w:r w:rsidR="00F81221">
        <w:rPr>
          <w:kern w:val="0"/>
        </w:rPr>
        <w:t xml:space="preserve"> and </w:t>
      </w:r>
      <w:r>
        <w:rPr>
          <w:kern w:val="0"/>
        </w:rPr>
        <w:t>intraparticle diffusion are likely involved in the rate-limiting mechanisms. Adsorption is an interesting option in advanced wastewater treatment,</w:t>
      </w:r>
      <w:r w:rsidR="00F81221">
        <w:rPr>
          <w:kern w:val="0"/>
        </w:rPr>
        <w:t xml:space="preserve"> and </w:t>
      </w:r>
      <w:r>
        <w:rPr>
          <w:kern w:val="0"/>
        </w:rPr>
        <w:t>fly ash appears to be a suitable low-cost adsorbent for recalcitrant organic pollutants.</w:t>
      </w:r>
    </w:p>
    <w:p w:rsidR="0022329C" w:rsidRDefault="0022329C" w:rsidP="0022329C">
      <w:pPr>
        <w:pStyle w:val="a0"/>
        <w:rPr>
          <w:kern w:val="0"/>
        </w:rPr>
      </w:pPr>
      <w:r>
        <w:rPr>
          <w:kern w:val="0"/>
        </w:rPr>
        <w:t xml:space="preserve">Keywords: Adsorption, Aqueous-Solution, Basic Dye, Carbon, Diffusion, Dissolved </w:t>
      </w:r>
      <w:r>
        <w:rPr>
          <w:kern w:val="0"/>
        </w:rPr>
        <w:lastRenderedPageBreak/>
        <w:t>Lignin, Efficiency, Effluent, Kinetics, Lignin, Phenols, Pseudo-Second-Order, Sorption, Substances, Wastewaters</w:t>
      </w:r>
    </w:p>
    <w:p w:rsidR="00756F42" w:rsidRDefault="00756F42" w:rsidP="00756F42">
      <w:pPr>
        <w:pStyle w:val="a0"/>
        <w:rPr>
          <w:kern w:val="0"/>
        </w:rPr>
      </w:pPr>
      <w:r>
        <w:rPr>
          <w:rFonts w:hint="eastAsia"/>
          <w:kern w:val="0"/>
        </w:rPr>
        <w:t xml:space="preserve">? </w:t>
      </w:r>
      <w:r>
        <w:rPr>
          <w:kern w:val="0"/>
        </w:rPr>
        <w:t>Mohamed, M.</w:t>
      </w:r>
      <w:r w:rsidR="00F81221">
        <w:rPr>
          <w:kern w:val="0"/>
        </w:rPr>
        <w:t xml:space="preserve"> and </w:t>
      </w:r>
      <w:r>
        <w:rPr>
          <w:kern w:val="0"/>
        </w:rPr>
        <w:t>Ouki, S. (2011), Removal mechanisms of toluene from aqueous solutions by chitin</w:t>
      </w:r>
      <w:r w:rsidR="00F81221">
        <w:rPr>
          <w:kern w:val="0"/>
        </w:rPr>
        <w:t xml:space="preserve"> and </w:t>
      </w:r>
      <w:r>
        <w:rPr>
          <w:kern w:val="0"/>
        </w:rPr>
        <w:t xml:space="preserve">chitosan. </w:t>
      </w:r>
      <w:r>
        <w:rPr>
          <w:i/>
          <w:iCs/>
          <w:kern w:val="0"/>
        </w:rPr>
        <w:t>Industrial &amp; Engineering Chemistry Research</w:t>
      </w:r>
      <w:r>
        <w:rPr>
          <w:kern w:val="0"/>
        </w:rPr>
        <w:t xml:space="preserve">, </w:t>
      </w:r>
      <w:r>
        <w:rPr>
          <w:b/>
          <w:bCs/>
          <w:kern w:val="0"/>
        </w:rPr>
        <w:t>50</w:t>
      </w:r>
      <w:r>
        <w:rPr>
          <w:kern w:val="0"/>
        </w:rPr>
        <w:t xml:space="preserve"> (16), 9557-9563.</w:t>
      </w:r>
    </w:p>
    <w:p w:rsidR="00756F42" w:rsidRPr="007D79E8" w:rsidRDefault="00756F42" w:rsidP="00756F42">
      <w:pPr>
        <w:pStyle w:val="a0"/>
        <w:rPr>
          <w:kern w:val="0"/>
        </w:rPr>
      </w:pPr>
      <w:r w:rsidRPr="007D79E8">
        <w:rPr>
          <w:kern w:val="0"/>
        </w:rPr>
        <w:t>Full Text:</w:t>
      </w:r>
      <w:r>
        <w:rPr>
          <w:rFonts w:hint="eastAsia"/>
          <w:kern w:val="0"/>
        </w:rPr>
        <w:t xml:space="preserve"> </w:t>
      </w:r>
      <w:hyperlink r:id="rId1336" w:history="1">
        <w:r w:rsidRPr="00A6271B">
          <w:rPr>
            <w:rStyle w:val="a5"/>
            <w:kern w:val="0"/>
          </w:rPr>
          <w:t>2011\Ind Eng Che Res50, 9557.pdf</w:t>
        </w:r>
      </w:hyperlink>
    </w:p>
    <w:p w:rsidR="00756F42" w:rsidRDefault="00756F42" w:rsidP="00756F42">
      <w:pPr>
        <w:pStyle w:val="a0"/>
        <w:rPr>
          <w:kern w:val="0"/>
        </w:rPr>
      </w:pPr>
      <w:r>
        <w:rPr>
          <w:kern w:val="0"/>
        </w:rPr>
        <w:t>Abstract: Low-cost materials of natural origin such as chitin</w:t>
      </w:r>
      <w:r w:rsidR="00F81221">
        <w:rPr>
          <w:kern w:val="0"/>
        </w:rPr>
        <w:t xml:space="preserve"> and </w:t>
      </w:r>
      <w:r>
        <w:rPr>
          <w:kern w:val="0"/>
        </w:rPr>
        <w:t>chitosan were found to effectively remove toluene from aqueous solutions. Batch adsorption experiments for the removal of toluene (5-200 mg/L) were conducted to obtain the isotherm profile. The effects of various parameters such as initial concentrations, adsorbent dose,</w:t>
      </w:r>
      <w:r w:rsidR="00F81221">
        <w:rPr>
          <w:kern w:val="0"/>
        </w:rPr>
        <w:t xml:space="preserve"> and </w:t>
      </w:r>
      <w:r>
        <w:rPr>
          <w:kern w:val="0"/>
        </w:rPr>
        <w:t>contact time on the removal performance of toluene were evaluated. Chitosan shows better removal efficiency, compared to chitin, both in terms of the level of toluene adsorbed per unit mass of adsorbent</w:t>
      </w:r>
      <w:r w:rsidR="00F81221">
        <w:rPr>
          <w:kern w:val="0"/>
        </w:rPr>
        <w:t xml:space="preserve"> and </w:t>
      </w:r>
      <w:r>
        <w:rPr>
          <w:kern w:val="0"/>
        </w:rPr>
        <w:t>in terms of the adsorption kinetics. Adsorption capacity in the range of 33%-58% efficiency was obtained when the chitosan materials were used. The adsorption data on toluene were found to best fit the Langmuir</w:t>
      </w:r>
      <w:r w:rsidR="00F81221">
        <w:rPr>
          <w:kern w:val="0"/>
        </w:rPr>
        <w:t xml:space="preserve"> and </w:t>
      </w:r>
      <w:r>
        <w:rPr>
          <w:kern w:val="0"/>
        </w:rPr>
        <w:t>Redlich-Peterson isotherm models. The kinetic studies revealed that the adsorption of toluene followed the pseudo-second-order rate model. Overall, the study demonstrated that chitosan is a potential adsorbent for the removal of toluene at concentrations as high as 200 mg/L.</w:t>
      </w:r>
    </w:p>
    <w:p w:rsidR="00756F42" w:rsidRDefault="00756F42" w:rsidP="00756F42">
      <w:pPr>
        <w:pStyle w:val="a0"/>
        <w:rPr>
          <w:kern w:val="0"/>
        </w:rPr>
      </w:pPr>
      <w:r>
        <w:rPr>
          <w:kern w:val="0"/>
        </w:rPr>
        <w:t>Keywords: Activated Carbon, Adsorbent, Adsorption, Adsorption Capacity, Adsorption Kinetics, Batch, Batch Adsorption, BTEX, Chitin, Chitosan, Equilibrium Isotherm, Isotherm, Kinetic, Kinetics, Langmuir, Low-Cost Adsorbents, Mechanisms, Metal-Ions, Removal, Toluene, Water</w:t>
      </w:r>
    </w:p>
    <w:p w:rsidR="001D6375" w:rsidRDefault="001D6375" w:rsidP="001D6375">
      <w:pPr>
        <w:pStyle w:val="a0"/>
        <w:rPr>
          <w:kern w:val="0"/>
        </w:rPr>
      </w:pPr>
      <w:r>
        <w:rPr>
          <w:rFonts w:hint="eastAsia"/>
          <w:kern w:val="0"/>
        </w:rPr>
        <w:t xml:space="preserve">? </w:t>
      </w:r>
      <w:r>
        <w:rPr>
          <w:kern w:val="0"/>
        </w:rPr>
        <w:t xml:space="preserve">Anirudhan, T.S. and Rejeena, S.R. (2011), Thorium(IV) removal and recovery from aqueous solutions using tannin-modified poly(glycidylmethacrylate)-grafted zirconium oxide densified cellulose. </w:t>
      </w:r>
      <w:r>
        <w:rPr>
          <w:i/>
          <w:iCs/>
          <w:kern w:val="0"/>
        </w:rPr>
        <w:t>Industrial &amp; Engineering Chemistry Research</w:t>
      </w:r>
      <w:r>
        <w:rPr>
          <w:kern w:val="0"/>
        </w:rPr>
        <w:t xml:space="preserve">, </w:t>
      </w:r>
      <w:r>
        <w:rPr>
          <w:b/>
          <w:bCs/>
          <w:kern w:val="0"/>
        </w:rPr>
        <w:t>50</w:t>
      </w:r>
      <w:r>
        <w:rPr>
          <w:kern w:val="0"/>
        </w:rPr>
        <w:t xml:space="preserve"> (23), 13288-13298.</w:t>
      </w:r>
    </w:p>
    <w:p w:rsidR="001D6375" w:rsidRDefault="001D6375" w:rsidP="001D6375">
      <w:pPr>
        <w:pStyle w:val="a0"/>
        <w:rPr>
          <w:kern w:val="0"/>
        </w:rPr>
      </w:pPr>
      <w:r>
        <w:rPr>
          <w:kern w:val="0"/>
        </w:rPr>
        <w:t>Full Text:</w:t>
      </w:r>
      <w:r w:rsidRPr="00B025C1">
        <w:t xml:space="preserve"> </w:t>
      </w:r>
      <w:hyperlink r:id="rId1337" w:history="1">
        <w:r w:rsidRPr="00AF50B0">
          <w:rPr>
            <w:rStyle w:val="a5"/>
          </w:rPr>
          <w:t>2011\Ind Eng Che Res50, 13288.pdf</w:t>
        </w:r>
      </w:hyperlink>
    </w:p>
    <w:p w:rsidR="001D6375" w:rsidRDefault="001D6375" w:rsidP="001D6375">
      <w:pPr>
        <w:pStyle w:val="a0"/>
        <w:rPr>
          <w:kern w:val="0"/>
        </w:rPr>
      </w:pPr>
      <w:r>
        <w:rPr>
          <w:kern w:val="0"/>
        </w:rPr>
        <w:t>Abstract: A novel adsorbent, tannin-modified poly(glycidylmethacrylate)-grafted zirconium oxide-densified cellulose (TMPGZDC) was synthesized by graft copolymerization reaction of glycidylmethacrylate onto zirconium oxide densified cellulose (ZDC) in the presence of N,N</w:t>
      </w:r>
      <w:r w:rsidR="000352E7">
        <w:rPr>
          <w:kern w:val="0"/>
        </w:rPr>
        <w:t>’</w:t>
      </w:r>
      <w:r>
        <w:rPr>
          <w:kern w:val="0"/>
        </w:rPr>
        <w:t xml:space="preserve">-methylenebisacrylamide as cross-linker followed by tannin immobilization, and well characterized. The adsorption efficiency of TMPGZDC toward thorium(IV) from aqueous solutions was studied at different optimized conditions. The optimum pH for maximum adsorption was found to be 5.5 with the adsorption percentage of 99.2% for an initial concentration of 10 mg/L. Equilibrium was achieved within 2 h. The kinetic data were found to follow pseudo-second-order model, which assumes the presence of chemisorption. The temperature dependence indicates an exothermic process. The well agreement of </w:t>
      </w:r>
      <w:r>
        <w:rPr>
          <w:kern w:val="0"/>
        </w:rPr>
        <w:lastRenderedPageBreak/>
        <w:t>equilibrium data with Langmuir isotherm and Redlich-Peterson isotherm models confirms the monolayer coverage of Th(IV) onto TMPGZDC surface and the maximum adsorption capacity was found to be 96.7 mg/g. Complete removal of Th(IV) from simulated seawater was possible with an adsorbent dosage of 3.0 g/L. Spent adsorbent was effectively degenerated with 0.1 M HNO</w:t>
      </w:r>
      <w:r>
        <w:rPr>
          <w:rFonts w:hint="eastAsia"/>
          <w:kern w:val="0"/>
          <w:vertAlign w:val="subscript"/>
        </w:rPr>
        <w:t>3</w:t>
      </w:r>
      <w:r>
        <w:rPr>
          <w:kern w:val="0"/>
        </w:rPr>
        <w:t>. The present investigation shows that TMPGZDC is a promising adsorbent for the removal and recovery of Th(IV) from aqueous solutions.</w:t>
      </w:r>
    </w:p>
    <w:p w:rsidR="001D6375" w:rsidRDefault="001D6375" w:rsidP="001D6375">
      <w:pPr>
        <w:pStyle w:val="a0"/>
        <w:rPr>
          <w:kern w:val="0"/>
        </w:rPr>
      </w:pPr>
      <w:r>
        <w:rPr>
          <w:kern w:val="0"/>
        </w:rPr>
        <w:t>Keywords: Adsorbent, Adsorption, Alumina, Biosorption, Equilibrium, Expanded Bed Adsorption, Extraction, Isotherm, Isotherm Models, Kinetic, Langmuir, pH, Preconcentration, Recovery, Removal, Silica, Sorption, Thermodynamic Parameters, Uranium(VI)</w:t>
      </w:r>
    </w:p>
    <w:p w:rsidR="001D6375" w:rsidRDefault="001D6375" w:rsidP="001D6375">
      <w:pPr>
        <w:pStyle w:val="a0"/>
        <w:rPr>
          <w:kern w:val="0"/>
        </w:rPr>
      </w:pPr>
      <w:r>
        <w:rPr>
          <w:rFonts w:hint="eastAsia"/>
          <w:kern w:val="0"/>
        </w:rPr>
        <w:t xml:space="preserve">? </w:t>
      </w:r>
      <w:r>
        <w:rPr>
          <w:kern w:val="0"/>
        </w:rPr>
        <w:t>Arshadi, M., Ghiaci, M. and Gil, A. (2011), Schiff base ligands immobilized on a nanosized SiO</w:t>
      </w:r>
      <w:r>
        <w:rPr>
          <w:rFonts w:hint="eastAsia"/>
          <w:kern w:val="0"/>
          <w:vertAlign w:val="subscript"/>
        </w:rPr>
        <w:t>2</w:t>
      </w:r>
      <w:r>
        <w:rPr>
          <w:kern w:val="0"/>
        </w:rPr>
        <w:t>-Al</w:t>
      </w:r>
      <w:r>
        <w:rPr>
          <w:rFonts w:hint="eastAsia"/>
          <w:kern w:val="0"/>
          <w:vertAlign w:val="subscript"/>
        </w:rPr>
        <w:t>2</w:t>
      </w:r>
      <w:r>
        <w:rPr>
          <w:kern w:val="0"/>
        </w:rPr>
        <w:t>O</w:t>
      </w:r>
      <w:r>
        <w:rPr>
          <w:rFonts w:hint="eastAsia"/>
          <w:kern w:val="0"/>
          <w:vertAlign w:val="subscript"/>
        </w:rPr>
        <w:t>3</w:t>
      </w:r>
      <w:r>
        <w:rPr>
          <w:kern w:val="0"/>
        </w:rPr>
        <w:t xml:space="preserve"> mixed oxide as adsorbents for heavy metals. </w:t>
      </w:r>
      <w:r>
        <w:rPr>
          <w:i/>
          <w:iCs/>
          <w:kern w:val="0"/>
        </w:rPr>
        <w:t>Industrial &amp; Engineering Chemistry Research</w:t>
      </w:r>
      <w:r>
        <w:rPr>
          <w:kern w:val="0"/>
        </w:rPr>
        <w:t xml:space="preserve">, </w:t>
      </w:r>
      <w:r>
        <w:rPr>
          <w:b/>
          <w:bCs/>
          <w:kern w:val="0"/>
        </w:rPr>
        <w:t>50</w:t>
      </w:r>
      <w:r>
        <w:rPr>
          <w:kern w:val="0"/>
        </w:rPr>
        <w:t xml:space="preserve"> (24), 13628-13635.</w:t>
      </w:r>
    </w:p>
    <w:p w:rsidR="001D6375" w:rsidRDefault="001D6375" w:rsidP="001D6375">
      <w:pPr>
        <w:pStyle w:val="a0"/>
        <w:rPr>
          <w:kern w:val="0"/>
        </w:rPr>
      </w:pPr>
      <w:r>
        <w:rPr>
          <w:kern w:val="0"/>
        </w:rPr>
        <w:t>Full Text:</w:t>
      </w:r>
      <w:r w:rsidRPr="00B025C1">
        <w:t xml:space="preserve"> </w:t>
      </w:r>
      <w:hyperlink r:id="rId1338" w:history="1">
        <w:r w:rsidRPr="00AF50B0">
          <w:rPr>
            <w:rStyle w:val="a5"/>
          </w:rPr>
          <w:t>2011\Ind Eng Che Res50, 13628.pdf</w:t>
        </w:r>
      </w:hyperlink>
    </w:p>
    <w:p w:rsidR="001D6375" w:rsidRDefault="001D6375" w:rsidP="001D6375">
      <w:pPr>
        <w:pStyle w:val="a0"/>
        <w:rPr>
          <w:kern w:val="0"/>
        </w:rPr>
      </w:pPr>
      <w:r>
        <w:rPr>
          <w:kern w:val="0"/>
        </w:rPr>
        <w:t>Abstract: Three adsorbents have been synthesized by immobilization of Schiff base ligands on the surface of SiO</w:t>
      </w:r>
      <w:r>
        <w:rPr>
          <w:rFonts w:hint="eastAsia"/>
          <w:kern w:val="0"/>
          <w:vertAlign w:val="subscript"/>
        </w:rPr>
        <w:t>2</w:t>
      </w:r>
      <w:r>
        <w:rPr>
          <w:kern w:val="0"/>
        </w:rPr>
        <w:t>-Al</w:t>
      </w:r>
      <w:r>
        <w:rPr>
          <w:rFonts w:hint="eastAsia"/>
          <w:kern w:val="0"/>
          <w:vertAlign w:val="subscript"/>
        </w:rPr>
        <w:t>2</w:t>
      </w:r>
      <w:r>
        <w:rPr>
          <w:kern w:val="0"/>
        </w:rPr>
        <w:t>O</w:t>
      </w:r>
      <w:r>
        <w:rPr>
          <w:rFonts w:hint="eastAsia"/>
          <w:kern w:val="0"/>
          <w:vertAlign w:val="subscript"/>
        </w:rPr>
        <w:t>3</w:t>
      </w:r>
      <w:r>
        <w:rPr>
          <w:kern w:val="0"/>
        </w:rPr>
        <w:t xml:space="preserve"> mixed oxides and evaluated for the removal of Cd(II) and Pb(II) from aqueous solutions. The contact time to attain equilibrium for maximum adsorption was 120 min. These heterogeneous Schiff base ligands were found to be effective adsorbents for the removal of heavy metal ions from solution, with Si/Al-pr-N=salicylaldehyde having a high adsorption capacity for Cd(II) ions and Si/Al-pr-N=pyridine-2-carbaldehyde having a high adsorption capacity for Pb(II) ions. The adsorption of heavy metal ions has been studied in terms of pseudo-first-order and pseudo-second-order kinetics, and the Freundlich, Langmuir, and Langmuir-Freundlich isotherm models have also been applied to the equilibrium adsorption data.</w:t>
      </w:r>
    </w:p>
    <w:p w:rsidR="001D6375" w:rsidRDefault="001D6375" w:rsidP="001D6375">
      <w:pPr>
        <w:pStyle w:val="a0"/>
        <w:rPr>
          <w:kern w:val="0"/>
        </w:rPr>
      </w:pPr>
      <w:r>
        <w:rPr>
          <w:kern w:val="0"/>
        </w:rPr>
        <w:t>Keywords: Activated Carbon, Adsorption, Aqueous-Solutions, Cd(II), Freundlich, Ion Adsorption, Isotherm, Isotherm Models, Kinetics, Langmuir, Lead(II), Models, Removal, Silica, Sorption, ZSM-5 Zeolite</w:t>
      </w:r>
    </w:p>
    <w:p w:rsidR="00D723BC" w:rsidRDefault="00D723BC" w:rsidP="00D723BC">
      <w:pPr>
        <w:pStyle w:val="a0"/>
        <w:rPr>
          <w:kern w:val="0"/>
        </w:rPr>
      </w:pPr>
      <w:r>
        <w:rPr>
          <w:rFonts w:hint="eastAsia"/>
          <w:kern w:val="0"/>
        </w:rPr>
        <w:t xml:space="preserve">? </w:t>
      </w:r>
      <w:r>
        <w:rPr>
          <w:kern w:val="0"/>
        </w:rPr>
        <w:t xml:space="preserve">He, S., Zhao, Y.F., Wei, M., Evans, D.G. and Duan, X. (2012), Fabrication of hierarchical layered double hydroxide framework on aluminum foam as a structured adsorbent for water treatment. </w:t>
      </w:r>
      <w:r>
        <w:rPr>
          <w:i/>
          <w:iCs/>
          <w:kern w:val="0"/>
        </w:rPr>
        <w:t>Industrial &amp; Engineering Chemistry Research</w:t>
      </w:r>
      <w:r>
        <w:rPr>
          <w:kern w:val="0"/>
        </w:rPr>
        <w:t xml:space="preserve">, </w:t>
      </w:r>
      <w:r>
        <w:rPr>
          <w:b/>
          <w:bCs/>
          <w:kern w:val="0"/>
        </w:rPr>
        <w:t>51</w:t>
      </w:r>
      <w:r>
        <w:rPr>
          <w:kern w:val="0"/>
        </w:rPr>
        <w:t xml:space="preserve"> (1), 285-291.</w:t>
      </w:r>
    </w:p>
    <w:p w:rsidR="00D723BC" w:rsidRDefault="00D723BC" w:rsidP="00D723BC">
      <w:pPr>
        <w:pStyle w:val="a0"/>
        <w:rPr>
          <w:kern w:val="0"/>
        </w:rPr>
      </w:pPr>
      <w:r>
        <w:rPr>
          <w:kern w:val="0"/>
        </w:rPr>
        <w:t>Full Text:</w:t>
      </w:r>
      <w:r w:rsidRPr="00B025C1">
        <w:t xml:space="preserve"> </w:t>
      </w:r>
      <w:hyperlink r:id="rId1339" w:history="1">
        <w:r w:rsidRPr="00430A19">
          <w:rPr>
            <w:rStyle w:val="a5"/>
          </w:rPr>
          <w:t>2012\Ind Eng Che Res51, 285.pdf</w:t>
        </w:r>
      </w:hyperlink>
    </w:p>
    <w:p w:rsidR="00D723BC" w:rsidRDefault="00D723BC" w:rsidP="00D723BC">
      <w:pPr>
        <w:pStyle w:val="a0"/>
        <w:rPr>
          <w:kern w:val="0"/>
        </w:rPr>
      </w:pPr>
      <w:r>
        <w:rPr>
          <w:kern w:val="0"/>
        </w:rPr>
        <w:t xml:space="preserve">Abstract: A hierarchical Mg-Al layered double hydroxide (LDH) framework has been fabricated via the in situ crystallization technique on aluminum foam, which can be used to remove heavy metal ion Cr(VI) and anionic dye (Remazol Brilliant Blue R, denoted as RBBR) from aqueous solutions. The as-prepared LDH/Al-foam displays flowerlike LDH microspheres composed of numerous LDH nanoplatelets, which was </w:t>
      </w:r>
      <w:r>
        <w:rPr>
          <w:kern w:val="0"/>
        </w:rPr>
        <w:lastRenderedPageBreak/>
        <w:t>confirmed by XRD and SEM. The sorption kinetics of hierarchical LDH framework for Cr(VI) was appropriately described by a pseudo-second-order model. Sorption isotherms of both Cr(VI) and RBBR were also studied, which can be fitted by the Langmuir model more satisfactorily than the Freundlich one. It was found that the sorption capacities (q(MAX)) of the LDH framework reached 27.8 mg g</w:t>
      </w:r>
      <w:r w:rsidRPr="005A34F1">
        <w:rPr>
          <w:kern w:val="0"/>
          <w:vertAlign w:val="superscript"/>
        </w:rPr>
        <w:t>-1</w:t>
      </w:r>
      <w:r>
        <w:rPr>
          <w:kern w:val="0"/>
        </w:rPr>
        <w:t xml:space="preserve"> for Cr(VI) and 212.8 mg g</w:t>
      </w:r>
      <w:r w:rsidRPr="005A34F1">
        <w:rPr>
          <w:kern w:val="0"/>
          <w:vertAlign w:val="superscript"/>
        </w:rPr>
        <w:t>-1</w:t>
      </w:r>
      <w:r>
        <w:rPr>
          <w:kern w:val="0"/>
        </w:rPr>
        <w:t xml:space="preserve"> for RBBR, respectively, much larger than those of the corresponding LDH powder sample (21 mg g</w:t>
      </w:r>
      <w:r w:rsidRPr="005A34F1">
        <w:rPr>
          <w:kern w:val="0"/>
          <w:vertAlign w:val="superscript"/>
        </w:rPr>
        <w:t>-1</w:t>
      </w:r>
      <w:r>
        <w:rPr>
          <w:kern w:val="0"/>
        </w:rPr>
        <w:t xml:space="preserve"> for Cr(VI) and 166.7 mg g</w:t>
      </w:r>
      <w:r w:rsidRPr="005A34F1">
        <w:rPr>
          <w:kern w:val="0"/>
          <w:vertAlign w:val="superscript"/>
        </w:rPr>
        <w:t>-1</w:t>
      </w:r>
      <w:r>
        <w:rPr>
          <w:kern w:val="0"/>
        </w:rPr>
        <w:t xml:space="preserve"> for RBBR). Furthermore, the hierarchical LDH framework exhibits excellent sorption-regeneration performances compared with the powder sample, which facilitates its repeatable and cyclic usage over a long period. Owing to the high sorption capacity, low-cost preparation, convenient manipulation, and easy regeneration of the hierarchical LDH framework, it can be potentially used as a structured adsorbent in the field of water treatment.</w:t>
      </w:r>
    </w:p>
    <w:p w:rsidR="00D723BC" w:rsidRDefault="00D723BC" w:rsidP="00D723BC">
      <w:pPr>
        <w:pStyle w:val="a0"/>
        <w:rPr>
          <w:kern w:val="0"/>
        </w:rPr>
      </w:pPr>
      <w:r>
        <w:rPr>
          <w:kern w:val="0"/>
        </w:rPr>
        <w:t>Keywords: Adsorbent, Aluminum, Aqueous-Solutions, Cr(VI), Freundlich, Heavy Metal, Hydrotalcite, Isotherms, Kinetics, Langmuir, Metal Ion, Nanostructures, Oxidation, Regeneration, Removal, Sorption, Sorption Kinetics</w:t>
      </w:r>
    </w:p>
    <w:p w:rsidR="00D723BC" w:rsidRDefault="00D723BC" w:rsidP="00D723BC">
      <w:pPr>
        <w:pStyle w:val="a0"/>
        <w:rPr>
          <w:kern w:val="0"/>
        </w:rPr>
      </w:pPr>
      <w:r>
        <w:rPr>
          <w:rFonts w:hint="eastAsia"/>
          <w:kern w:val="0"/>
        </w:rPr>
        <w:t xml:space="preserve">? </w:t>
      </w:r>
      <w:r>
        <w:rPr>
          <w:kern w:val="0"/>
        </w:rPr>
        <w:t xml:space="preserve">Liu, T.T., Yang, M., Wang, T.X. and Yuan, Q.P. (2012), Prediction strategy of adsorption equilibrium time based on equilibrium and kinetic results to isolate taxifolin. </w:t>
      </w:r>
      <w:r>
        <w:rPr>
          <w:i/>
          <w:iCs/>
          <w:kern w:val="0"/>
        </w:rPr>
        <w:t>Industrial &amp; Engineering Chemistry Research</w:t>
      </w:r>
      <w:r>
        <w:rPr>
          <w:kern w:val="0"/>
        </w:rPr>
        <w:t xml:space="preserve">, </w:t>
      </w:r>
      <w:r>
        <w:rPr>
          <w:b/>
          <w:bCs/>
          <w:kern w:val="0"/>
        </w:rPr>
        <w:t>51</w:t>
      </w:r>
      <w:r>
        <w:rPr>
          <w:kern w:val="0"/>
        </w:rPr>
        <w:t xml:space="preserve"> (1), 454-463.</w:t>
      </w:r>
    </w:p>
    <w:p w:rsidR="00D723BC" w:rsidRDefault="00D723BC" w:rsidP="00D723BC">
      <w:pPr>
        <w:pStyle w:val="a0"/>
        <w:rPr>
          <w:kern w:val="0"/>
        </w:rPr>
      </w:pPr>
      <w:r>
        <w:rPr>
          <w:kern w:val="0"/>
        </w:rPr>
        <w:t>Full Text:</w:t>
      </w:r>
      <w:r w:rsidRPr="00B025C1">
        <w:t xml:space="preserve"> </w:t>
      </w:r>
      <w:hyperlink r:id="rId1340" w:history="1">
        <w:r w:rsidRPr="00430A19">
          <w:rPr>
            <w:rStyle w:val="a5"/>
          </w:rPr>
          <w:t>2012\Ind Eng Che Res51, 454.pdf</w:t>
        </w:r>
      </w:hyperlink>
    </w:p>
    <w:p w:rsidR="00D723BC" w:rsidRDefault="00D723BC" w:rsidP="00D723BC">
      <w:pPr>
        <w:pStyle w:val="a0"/>
        <w:rPr>
          <w:kern w:val="0"/>
        </w:rPr>
      </w:pPr>
      <w:r>
        <w:rPr>
          <w:kern w:val="0"/>
        </w:rPr>
        <w:t>Abstract: We proposed a systematic strategy based on the studies about the adsorption performance of AB-8 macroporous adsorption resins for prediction of the equilibrium time in taxifolin isolation. Batch experiments were appropriately designed to obtain the best fitting model and to gain insight into the adsorption mechanisms. A modified Langmuir model was used to calculate the adsorption capacity at the adsorption equilibrium point (Q(e)). Subsequently, the reformed pseudo-second-order model was employed to predict the effects of the second-order rate index (k</w:t>
      </w:r>
      <w:r>
        <w:rPr>
          <w:rFonts w:hint="eastAsia"/>
          <w:kern w:val="0"/>
          <w:vertAlign w:val="subscript"/>
        </w:rPr>
        <w:t>2</w:t>
      </w:r>
      <w:r>
        <w:rPr>
          <w:kern w:val="0"/>
        </w:rPr>
        <w:t>Q(e)) on the adsorption time (t). Then, the effects of the initial adsorption factor (R(i)) on the relative adsorption time (t/t(e)) were predicted by the reformed intraparticle diffusion model. On the basis of mathematical deduction, the value of the adsorption equilibrium time (t(e)) can be predicted, which may lead to reduced sampling in adsorption kinetics studies. Furthermore, the good agreement between experimental and predicted data confirmed the reliability of the proposed strategy.</w:t>
      </w:r>
    </w:p>
    <w:p w:rsidR="00D723BC" w:rsidRDefault="00D723BC" w:rsidP="00D723BC">
      <w:pPr>
        <w:pStyle w:val="a0"/>
        <w:rPr>
          <w:kern w:val="0"/>
        </w:rPr>
      </w:pPr>
      <w:r>
        <w:rPr>
          <w:kern w:val="0"/>
        </w:rPr>
        <w:t>Keywords: Activated Carbon, Adsorption, Adsorption Kinetics, Aqueous-Solution, Batch, Behavior, Equilibrium, Kinetic, Kinetics, Langmuir, Macroporous Resins, Model, Polystyrene, Preparative Separation, Sorption, Thermodynamics, Waste</w:t>
      </w:r>
    </w:p>
    <w:p w:rsidR="00B95188" w:rsidRPr="00A428C3" w:rsidRDefault="00B95188" w:rsidP="00B95188">
      <w:pPr>
        <w:pStyle w:val="1"/>
      </w:pPr>
      <w:r w:rsidRPr="00A428C3">
        <w:br w:type="page"/>
      </w:r>
      <w:bookmarkStart w:id="965" w:name="_Toc186647848"/>
      <w:bookmarkStart w:id="966" w:name="_Toc317161145"/>
      <w:r w:rsidRPr="00A428C3">
        <w:lastRenderedPageBreak/>
        <w:t xml:space="preserve">Title: </w:t>
      </w:r>
      <w:r w:rsidRPr="00A428C3">
        <w:rPr>
          <w:szCs w:val="19"/>
        </w:rPr>
        <w:t>Industrial Health</w:t>
      </w:r>
      <w:bookmarkEnd w:id="965"/>
      <w:bookmarkEnd w:id="966"/>
    </w:p>
    <w:p w:rsidR="00B95188" w:rsidRPr="00A428C3" w:rsidRDefault="00B95188" w:rsidP="00B72EF9">
      <w:pPr>
        <w:pStyle w:val="12"/>
      </w:pPr>
      <w:r w:rsidRPr="00A428C3">
        <w:t>Full Journal Title: Industrial Health</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0019-8366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Shamy, M.Y., Elgazzar, R.M., </w:t>
      </w:r>
      <w:smartTag w:uri="urn:schemas-microsoft-com:office:smarttags" w:element="City">
        <w:r w:rsidRPr="00A428C3">
          <w:t>Elsayed</w:t>
        </w:r>
      </w:smartTag>
      <w:r w:rsidRPr="00A428C3">
        <w:t>, M.A.</w:t>
      </w:r>
      <w:r w:rsidR="00F81221">
        <w:t xml:space="preserve"> and </w:t>
      </w:r>
      <w:r w:rsidRPr="00A428C3">
        <w:t xml:space="preserve">Attia, A.M. (1994), Study of some biochemical-changes among workers occupationally exposed to phenol, alone or in combination with other organic-solvents. </w:t>
      </w:r>
      <w:r w:rsidRPr="00A428C3">
        <w:rPr>
          <w:i/>
        </w:rPr>
        <w:t>Industrial Health</w:t>
      </w:r>
      <w:r w:rsidRPr="00A428C3">
        <w:t xml:space="preserve">, </w:t>
      </w:r>
      <w:r w:rsidRPr="00A428C3">
        <w:rPr>
          <w:b/>
        </w:rPr>
        <w:t>32</w:t>
      </w:r>
      <w:r w:rsidRPr="00A428C3">
        <w:t xml:space="preserve"> (4), 207-214.</w:t>
      </w:r>
    </w:p>
    <w:p w:rsidR="00FC47C9" w:rsidRDefault="00FC47C9" w:rsidP="00FC47C9">
      <w:pPr>
        <w:pStyle w:val="a0"/>
        <w:rPr>
          <w:kern w:val="0"/>
        </w:rPr>
      </w:pPr>
      <w:r>
        <w:rPr>
          <w:rFonts w:hint="eastAsia"/>
          <w:kern w:val="0"/>
        </w:rPr>
        <w:t xml:space="preserve">Full Text: </w:t>
      </w:r>
      <w:hyperlink r:id="rId1341" w:history="1">
        <w:r w:rsidRPr="00FC47C9">
          <w:rPr>
            <w:rStyle w:val="a5"/>
            <w:kern w:val="0"/>
          </w:rPr>
          <w:t>1994\Ind Hea32, 207.pdf</w:t>
        </w:r>
      </w:hyperlink>
    </w:p>
    <w:p w:rsidR="00B95188" w:rsidRPr="00A428C3" w:rsidRDefault="00B95188" w:rsidP="00B95188">
      <w:pPr>
        <w:pStyle w:val="a0"/>
      </w:pPr>
      <w:r w:rsidRPr="00A13428">
        <w:t>Abstract:</w:t>
      </w:r>
      <w:r w:rsidRPr="00A428C3">
        <w:t xml:space="preserve"> The present study was aimed for the effects of exposure to multiple organic solvent vapors in comparison with single exposure to phenol. It included 20 workers exposed to phenol alone</w:t>
      </w:r>
      <w:r w:rsidR="00F81221">
        <w:t xml:space="preserve"> and </w:t>
      </w:r>
      <w:r w:rsidRPr="00A428C3">
        <w:t>32 workers of combined exposure to phenol, benzene, toluene</w:t>
      </w:r>
      <w:r w:rsidR="00F81221">
        <w:t xml:space="preserve"> and </w:t>
      </w:r>
      <w:r w:rsidRPr="00A428C3">
        <w:t>methyl ethyl ketone. A control group of 30 subjects was also included. The levels of transaminases, total proteins, prothrombin time, bleeding time, clotting time, fasting blood sugar, serum creatinine</w:t>
      </w:r>
      <w:r w:rsidR="00F81221">
        <w:t xml:space="preserve"> and </w:t>
      </w:r>
      <w:r w:rsidRPr="00A428C3">
        <w:t>some trace elements (copper, zinc, iron, magnesium, manganese</w:t>
      </w:r>
      <w:r w:rsidR="00F81221">
        <w:t xml:space="preserve"> and </w:t>
      </w:r>
      <w:r w:rsidRPr="00A428C3">
        <w:t>calcium) were determined in blood together with a complete blood picture. Urine samples were analyzed for phenol, hippuric acid</w:t>
      </w:r>
      <w:r w:rsidR="00F81221">
        <w:t xml:space="preserve"> and </w:t>
      </w:r>
      <w:r w:rsidRPr="00A428C3">
        <w:t>methyl ethyl ketone, The effects of combined exposure did not differ from that of exposure to phenol alone concerning the majority of the tested parameters, Only the levels of platelets count, prothrombin time, eosinophils, copper</w:t>
      </w:r>
      <w:r w:rsidR="00F81221">
        <w:t xml:space="preserve"> and </w:t>
      </w:r>
      <w:r w:rsidRPr="00A428C3">
        <w:t>iron have been affected by combined exposure in a probably additive manner.</w:t>
      </w:r>
    </w:p>
    <w:p w:rsidR="00B95188" w:rsidRPr="00A428C3" w:rsidRDefault="00B95188" w:rsidP="00B95188">
      <w:pPr>
        <w:pStyle w:val="a0"/>
      </w:pPr>
      <w:r w:rsidRPr="00A13428">
        <w:t>Keywords:</w:t>
      </w:r>
      <w:r w:rsidRPr="00A428C3">
        <w:t xml:space="preserve"> Phenol, Benzene, Methyl Ethyl Ketone, Toluene</w:t>
      </w:r>
      <w:r w:rsidRPr="00A13428">
        <w:t xml:space="preserve">, </w:t>
      </w:r>
      <w:r w:rsidRPr="00A428C3">
        <w:t>Benzene</w:t>
      </w:r>
    </w:p>
    <w:p w:rsidR="002242FF" w:rsidRDefault="002242FF" w:rsidP="002242FF">
      <w:pPr>
        <w:pStyle w:val="a0"/>
        <w:rPr>
          <w:kern w:val="0"/>
          <w:szCs w:val="24"/>
        </w:rPr>
      </w:pPr>
      <w:r>
        <w:rPr>
          <w:rFonts w:hint="eastAsia"/>
          <w:kern w:val="0"/>
          <w:szCs w:val="24"/>
        </w:rPr>
        <w:t xml:space="preserve">? </w:t>
      </w:r>
      <w:r>
        <w:rPr>
          <w:kern w:val="0"/>
          <w:szCs w:val="24"/>
        </w:rPr>
        <w:t>Smith, D.R. (2007), Historical development of the journal impact</w:t>
      </w:r>
      <w:r w:rsidR="00F81221">
        <w:rPr>
          <w:kern w:val="0"/>
          <w:szCs w:val="24"/>
        </w:rPr>
        <w:t xml:space="preserve"> and </w:t>
      </w:r>
      <w:r>
        <w:rPr>
          <w:kern w:val="0"/>
          <w:szCs w:val="24"/>
        </w:rPr>
        <w:t xml:space="preserve">its relevance for occupational health. </w:t>
      </w:r>
      <w:r>
        <w:rPr>
          <w:i/>
          <w:iCs/>
          <w:kern w:val="0"/>
          <w:szCs w:val="24"/>
        </w:rPr>
        <w:t>Industrial Health</w:t>
      </w:r>
      <w:r>
        <w:rPr>
          <w:kern w:val="0"/>
          <w:szCs w:val="24"/>
        </w:rPr>
        <w:t xml:space="preserve">, </w:t>
      </w:r>
      <w:r>
        <w:rPr>
          <w:b/>
          <w:bCs/>
          <w:kern w:val="0"/>
          <w:szCs w:val="24"/>
        </w:rPr>
        <w:t>45</w:t>
      </w:r>
      <w:r>
        <w:rPr>
          <w:kern w:val="0"/>
          <w:szCs w:val="24"/>
        </w:rPr>
        <w:t xml:space="preserve"> (6), 730-742.</w:t>
      </w:r>
    </w:p>
    <w:p w:rsidR="002242FF" w:rsidRDefault="002242FF" w:rsidP="002242FF">
      <w:pPr>
        <w:pStyle w:val="a0"/>
        <w:rPr>
          <w:kern w:val="0"/>
        </w:rPr>
      </w:pPr>
      <w:r>
        <w:rPr>
          <w:rFonts w:hint="eastAsia"/>
          <w:kern w:val="0"/>
        </w:rPr>
        <w:t xml:space="preserve">Full Text: </w:t>
      </w:r>
      <w:hyperlink r:id="rId1342" w:history="1">
        <w:r w:rsidRPr="003B69E0">
          <w:rPr>
            <w:rStyle w:val="a5"/>
            <w:kern w:val="0"/>
          </w:rPr>
          <w:t>2007\Ind Hea45, 730.pdf</w:t>
        </w:r>
      </w:hyperlink>
    </w:p>
    <w:p w:rsidR="002242FF" w:rsidRDefault="002242FF" w:rsidP="002242FF">
      <w:pPr>
        <w:pStyle w:val="a0"/>
        <w:rPr>
          <w:kern w:val="0"/>
          <w:szCs w:val="24"/>
        </w:rPr>
      </w:pPr>
      <w:r>
        <w:rPr>
          <w:kern w:val="0"/>
          <w:szCs w:val="24"/>
        </w:rPr>
        <w:t>Abstract: For better or for worse, the advent of journal impact factors last century marked a key turning point in the global development of scientific publication</w:t>
      </w:r>
      <w:r w:rsidR="00F81221">
        <w:rPr>
          <w:kern w:val="0"/>
          <w:szCs w:val="24"/>
        </w:rPr>
        <w:t xml:space="preserve"> and </w:t>
      </w:r>
      <w:r>
        <w:rPr>
          <w:kern w:val="0"/>
          <w:szCs w:val="24"/>
        </w:rPr>
        <w:t>referencing systems. Since that time however, the concept has attracted considerable attention from a variety of sources,</w:t>
      </w:r>
      <w:r w:rsidR="00F81221">
        <w:rPr>
          <w:kern w:val="0"/>
          <w:szCs w:val="24"/>
        </w:rPr>
        <w:t xml:space="preserve"> and </w:t>
      </w:r>
      <w:r>
        <w:rPr>
          <w:kern w:val="0"/>
          <w:szCs w:val="24"/>
        </w:rPr>
        <w:t>its usefulness for relatively small research fields such as occupational health, has also been debated. For these reasons, the current paper provides a descriptive history of the journal impact factor</w:t>
      </w:r>
      <w:r w:rsidR="00F81221">
        <w:rPr>
          <w:kern w:val="0"/>
          <w:szCs w:val="24"/>
        </w:rPr>
        <w:t xml:space="preserve"> and </w:t>
      </w:r>
      <w:r>
        <w:rPr>
          <w:kern w:val="0"/>
          <w:szCs w:val="24"/>
        </w:rPr>
        <w:t xml:space="preserve">a </w:t>
      </w:r>
      <w:r>
        <w:rPr>
          <w:kern w:val="0"/>
          <w:szCs w:val="24"/>
        </w:rPr>
        <w:lastRenderedPageBreak/>
        <w:t>discussion of its relevance for occupational health. Developmental milestones, inherent shortcomings</w:t>
      </w:r>
      <w:r w:rsidR="00F81221">
        <w:rPr>
          <w:kern w:val="0"/>
          <w:szCs w:val="24"/>
        </w:rPr>
        <w:t xml:space="preserve"> and </w:t>
      </w:r>
      <w:r>
        <w:rPr>
          <w:kern w:val="0"/>
          <w:szCs w:val="24"/>
        </w:rPr>
        <w:t>future challenges are also described, along with techniques used for increasing the impact factor</w:t>
      </w:r>
      <w:r w:rsidR="00F81221">
        <w:rPr>
          <w:kern w:val="0"/>
          <w:szCs w:val="24"/>
        </w:rPr>
        <w:t xml:space="preserve"> and </w:t>
      </w:r>
      <w:r>
        <w:rPr>
          <w:kern w:val="0"/>
          <w:szCs w:val="24"/>
        </w:rPr>
        <w:t>some potential strategies for improvement of the citation indexing system. While many scholars now question its increasingly prominent role in the evaluation of scientific research, the journal impact factor continues to form an important component in the dissemination</w:t>
      </w:r>
      <w:r w:rsidR="00F81221">
        <w:rPr>
          <w:kern w:val="0"/>
          <w:szCs w:val="24"/>
        </w:rPr>
        <w:t xml:space="preserve"> and </w:t>
      </w:r>
      <w:r>
        <w:rPr>
          <w:kern w:val="0"/>
          <w:szCs w:val="24"/>
        </w:rPr>
        <w:t>retrieval of scientific literature in the occupational health field, as elsewhere. Due to the controversy incurred since its inception however,</w:t>
      </w:r>
      <w:r w:rsidR="00F81221">
        <w:rPr>
          <w:kern w:val="0"/>
          <w:szCs w:val="24"/>
        </w:rPr>
        <w:t xml:space="preserve"> and </w:t>
      </w:r>
      <w:r>
        <w:rPr>
          <w:kern w:val="0"/>
          <w:szCs w:val="24"/>
        </w:rPr>
        <w:t>the increasingly diverse manner in which it is now being used, it remains to be seen what the next 50 years of journal impact factors will bring.</w:t>
      </w:r>
    </w:p>
    <w:p w:rsidR="002242FF" w:rsidRDefault="002242FF" w:rsidP="002242FF">
      <w:pPr>
        <w:pStyle w:val="a0"/>
        <w:rPr>
          <w:kern w:val="0"/>
          <w:szCs w:val="24"/>
        </w:rPr>
      </w:pPr>
      <w:r>
        <w:rPr>
          <w:kern w:val="0"/>
          <w:szCs w:val="24"/>
        </w:rPr>
        <w:t>Keywords: Association, Citation Classics, Citation Index, Classics, Editors, Epidemiology, Future, History of The Journal, Impact Factor, Journal, Journal Publishing, Literature, Medical Journals, Occupational Health, Publication, Quality, Research, Science-Citation-Index, Scientific Journals, Scientific Research</w:t>
      </w:r>
    </w:p>
    <w:p w:rsidR="007D2E74" w:rsidRDefault="007D2E74" w:rsidP="007D2E74">
      <w:pPr>
        <w:pStyle w:val="a0"/>
        <w:rPr>
          <w:kern w:val="0"/>
          <w:szCs w:val="24"/>
        </w:rPr>
      </w:pPr>
      <w:r>
        <w:rPr>
          <w:rFonts w:hint="eastAsia"/>
          <w:kern w:val="0"/>
          <w:szCs w:val="24"/>
        </w:rPr>
        <w:t xml:space="preserve">? </w:t>
      </w:r>
      <w:r>
        <w:rPr>
          <w:kern w:val="0"/>
          <w:szCs w:val="24"/>
        </w:rPr>
        <w:t>Smith, D.R., Gehanno, J.F.</w:t>
      </w:r>
      <w:r w:rsidR="00F81221">
        <w:rPr>
          <w:kern w:val="0"/>
          <w:szCs w:val="24"/>
        </w:rPr>
        <w:t xml:space="preserve"> and </w:t>
      </w:r>
      <w:r>
        <w:rPr>
          <w:kern w:val="0"/>
          <w:szCs w:val="24"/>
        </w:rPr>
        <w:t xml:space="preserve">Takahashi, K. (2008), Bibliometric </w:t>
      </w:r>
      <w:r w:rsidR="00801170">
        <w:rPr>
          <w:kern w:val="0"/>
          <w:szCs w:val="24"/>
        </w:rPr>
        <w:t>research in occupational healt</w:t>
      </w:r>
      <w:r>
        <w:rPr>
          <w:kern w:val="0"/>
          <w:szCs w:val="24"/>
        </w:rPr>
        <w:t xml:space="preserve">h. </w:t>
      </w:r>
      <w:r>
        <w:rPr>
          <w:i/>
          <w:iCs/>
          <w:kern w:val="0"/>
          <w:szCs w:val="24"/>
        </w:rPr>
        <w:t>Industrial Health</w:t>
      </w:r>
      <w:r>
        <w:rPr>
          <w:kern w:val="0"/>
          <w:szCs w:val="24"/>
        </w:rPr>
        <w:t xml:space="preserve">, </w:t>
      </w:r>
      <w:r>
        <w:rPr>
          <w:b/>
          <w:bCs/>
          <w:kern w:val="0"/>
          <w:szCs w:val="24"/>
        </w:rPr>
        <w:t>46</w:t>
      </w:r>
      <w:r>
        <w:rPr>
          <w:kern w:val="0"/>
          <w:szCs w:val="24"/>
        </w:rPr>
        <w:t xml:space="preserve"> (6), 519-522</w:t>
      </w:r>
      <w:r>
        <w:rPr>
          <w:rFonts w:hint="eastAsia"/>
          <w:kern w:val="0"/>
          <w:szCs w:val="24"/>
        </w:rPr>
        <w:t>.</w:t>
      </w:r>
    </w:p>
    <w:p w:rsidR="00FC47C9" w:rsidRDefault="00FC47C9" w:rsidP="00FC47C9">
      <w:pPr>
        <w:pStyle w:val="a0"/>
        <w:rPr>
          <w:kern w:val="0"/>
        </w:rPr>
      </w:pPr>
      <w:r>
        <w:rPr>
          <w:rFonts w:hint="eastAsia"/>
          <w:kern w:val="0"/>
        </w:rPr>
        <w:t xml:space="preserve">Full Text: </w:t>
      </w:r>
      <w:hyperlink r:id="rId1343" w:history="1">
        <w:r w:rsidRPr="003B69E0">
          <w:rPr>
            <w:rStyle w:val="a5"/>
            <w:kern w:val="0"/>
          </w:rPr>
          <w:t>2008\Ind Hea46, 519.pdf</w:t>
        </w:r>
      </w:hyperlink>
    </w:p>
    <w:p w:rsidR="007D2E74" w:rsidRDefault="007D2E74" w:rsidP="007D2E74">
      <w:pPr>
        <w:pStyle w:val="a0"/>
        <w:rPr>
          <w:kern w:val="0"/>
          <w:szCs w:val="24"/>
        </w:rPr>
      </w:pPr>
      <w:r>
        <w:rPr>
          <w:kern w:val="0"/>
          <w:szCs w:val="24"/>
        </w:rPr>
        <w:t>Keywords: Bibliometric, Citation-Classics, Environmental-Health, Impact Factor, Journal Impact, Manuscripts, Medicine, Research, Trends</w:t>
      </w:r>
    </w:p>
    <w:p w:rsidR="007D2E74" w:rsidRDefault="007D2E74" w:rsidP="007D2E74">
      <w:pPr>
        <w:pStyle w:val="a0"/>
        <w:rPr>
          <w:kern w:val="0"/>
          <w:szCs w:val="24"/>
        </w:rPr>
      </w:pPr>
      <w:r>
        <w:rPr>
          <w:rFonts w:hint="eastAsia"/>
          <w:kern w:val="0"/>
          <w:szCs w:val="24"/>
        </w:rPr>
        <w:t xml:space="preserve">? </w:t>
      </w:r>
      <w:r>
        <w:rPr>
          <w:kern w:val="0"/>
          <w:szCs w:val="24"/>
        </w:rPr>
        <w:t>Smith, D.R.</w:t>
      </w:r>
      <w:r w:rsidR="00F81221">
        <w:rPr>
          <w:kern w:val="0"/>
          <w:szCs w:val="24"/>
        </w:rPr>
        <w:t xml:space="preserve"> and </w:t>
      </w:r>
      <w:r>
        <w:rPr>
          <w:kern w:val="0"/>
          <w:szCs w:val="24"/>
        </w:rPr>
        <w:t xml:space="preserve">Leggat, P.A. (2009), Estimation of some missing bibliometric indicators at </w:t>
      </w:r>
      <w:r w:rsidRPr="002A3499">
        <w:rPr>
          <w:i/>
          <w:iCs/>
          <w:kern w:val="0"/>
          <w:szCs w:val="24"/>
        </w:rPr>
        <w:t>Industrial Health</w:t>
      </w:r>
      <w:r>
        <w:rPr>
          <w:kern w:val="0"/>
          <w:szCs w:val="24"/>
        </w:rPr>
        <w:t xml:space="preserve">. </w:t>
      </w:r>
      <w:r>
        <w:rPr>
          <w:i/>
          <w:iCs/>
          <w:kern w:val="0"/>
          <w:szCs w:val="24"/>
        </w:rPr>
        <w:t>Industrial Health</w:t>
      </w:r>
      <w:r>
        <w:rPr>
          <w:kern w:val="0"/>
          <w:szCs w:val="24"/>
        </w:rPr>
        <w:t xml:space="preserve">, </w:t>
      </w:r>
      <w:r>
        <w:rPr>
          <w:b/>
          <w:bCs/>
          <w:kern w:val="0"/>
          <w:szCs w:val="24"/>
        </w:rPr>
        <w:t>47</w:t>
      </w:r>
      <w:r>
        <w:rPr>
          <w:kern w:val="0"/>
          <w:szCs w:val="24"/>
        </w:rPr>
        <w:t xml:space="preserve"> (2), 202-203</w:t>
      </w:r>
      <w:r>
        <w:rPr>
          <w:rFonts w:hint="eastAsia"/>
          <w:kern w:val="0"/>
          <w:szCs w:val="24"/>
        </w:rPr>
        <w:t>.</w:t>
      </w:r>
    </w:p>
    <w:p w:rsidR="00214578" w:rsidRDefault="00214578" w:rsidP="00214578">
      <w:pPr>
        <w:pStyle w:val="a0"/>
        <w:rPr>
          <w:kern w:val="0"/>
        </w:rPr>
      </w:pPr>
      <w:r>
        <w:rPr>
          <w:rFonts w:hint="eastAsia"/>
          <w:kern w:val="0"/>
        </w:rPr>
        <w:t xml:space="preserve">Full Text: </w:t>
      </w:r>
      <w:hyperlink r:id="rId1344" w:history="1">
        <w:r w:rsidR="00FC47C9" w:rsidRPr="00FC47C9">
          <w:rPr>
            <w:rStyle w:val="a5"/>
            <w:kern w:val="0"/>
          </w:rPr>
          <w:t>2009\Ind Hea47, 202.pdf</w:t>
        </w:r>
      </w:hyperlink>
    </w:p>
    <w:p w:rsidR="007D2E74" w:rsidRDefault="007D2E74" w:rsidP="007D2E74">
      <w:pPr>
        <w:pStyle w:val="a0"/>
        <w:rPr>
          <w:kern w:val="0"/>
          <w:szCs w:val="24"/>
        </w:rPr>
      </w:pPr>
      <w:r>
        <w:rPr>
          <w:kern w:val="0"/>
          <w:szCs w:val="24"/>
        </w:rPr>
        <w:t>Keywords: Bibliometric, Health, Impact Factor, Industrial, Journal Impact, Mar, Trends</w:t>
      </w:r>
    </w:p>
    <w:p w:rsidR="00801170" w:rsidRDefault="00801170" w:rsidP="00801170">
      <w:pPr>
        <w:pStyle w:val="a0"/>
        <w:rPr>
          <w:kern w:val="0"/>
        </w:rPr>
      </w:pPr>
      <w:r>
        <w:rPr>
          <w:rFonts w:hint="eastAsia"/>
          <w:kern w:val="0"/>
        </w:rPr>
        <w:t xml:space="preserve">? </w:t>
      </w:r>
      <w:r>
        <w:rPr>
          <w:kern w:val="0"/>
        </w:rPr>
        <w:t>Scutaru, C., Quarcoo, D., Takemura, M., Welte, T., Fischer, T.C.</w:t>
      </w:r>
      <w:r w:rsidR="00F81221">
        <w:rPr>
          <w:kern w:val="0"/>
        </w:rPr>
        <w:t xml:space="preserve"> and </w:t>
      </w:r>
      <w:r>
        <w:rPr>
          <w:kern w:val="0"/>
        </w:rPr>
        <w:t>Groneberg-Kloft, B. (2010), Density-equalizing mapping</w:t>
      </w:r>
      <w:r w:rsidR="00F81221">
        <w:rPr>
          <w:kern w:val="0"/>
        </w:rPr>
        <w:t xml:space="preserve"> and </w:t>
      </w:r>
      <w:r>
        <w:rPr>
          <w:kern w:val="0"/>
        </w:rPr>
        <w:t xml:space="preserve">scientometric benchmarking in </w:t>
      </w:r>
      <w:r w:rsidRPr="00801170">
        <w:rPr>
          <w:i/>
          <w:kern w:val="0"/>
        </w:rPr>
        <w:t>Industrial Health</w:t>
      </w:r>
      <w:r>
        <w:rPr>
          <w:kern w:val="0"/>
        </w:rPr>
        <w:t xml:space="preserve">. </w:t>
      </w:r>
      <w:r>
        <w:rPr>
          <w:i/>
          <w:iCs/>
          <w:kern w:val="0"/>
        </w:rPr>
        <w:t>Industrial Health</w:t>
      </w:r>
      <w:r>
        <w:rPr>
          <w:kern w:val="0"/>
        </w:rPr>
        <w:t xml:space="preserve">, </w:t>
      </w:r>
      <w:r>
        <w:rPr>
          <w:b/>
          <w:bCs/>
          <w:kern w:val="0"/>
        </w:rPr>
        <w:t>48</w:t>
      </w:r>
      <w:r>
        <w:rPr>
          <w:kern w:val="0"/>
        </w:rPr>
        <w:t xml:space="preserve"> (2), 197-203.</w:t>
      </w:r>
    </w:p>
    <w:p w:rsidR="00214578" w:rsidRDefault="00214578" w:rsidP="00801170">
      <w:pPr>
        <w:pStyle w:val="a0"/>
        <w:rPr>
          <w:kern w:val="0"/>
        </w:rPr>
      </w:pPr>
      <w:r>
        <w:rPr>
          <w:rFonts w:hint="eastAsia"/>
          <w:kern w:val="0"/>
        </w:rPr>
        <w:t xml:space="preserve">Full Text: </w:t>
      </w:r>
      <w:hyperlink r:id="rId1345" w:history="1">
        <w:r w:rsidRPr="00214578">
          <w:rPr>
            <w:rStyle w:val="a5"/>
            <w:kern w:val="0"/>
          </w:rPr>
          <w:t>2010\Ind Hea48, 197.pdf</w:t>
        </w:r>
      </w:hyperlink>
    </w:p>
    <w:p w:rsidR="00801170" w:rsidRDefault="00801170" w:rsidP="00801170">
      <w:pPr>
        <w:pStyle w:val="a0"/>
        <w:rPr>
          <w:kern w:val="0"/>
        </w:rPr>
      </w:pPr>
      <w:r>
        <w:rPr>
          <w:kern w:val="0"/>
        </w:rPr>
        <w:t>Abstract: Bibliometric techniques have been introduced to the field of industrial health in the past two decades. Since then, several studies have assessed progression of science in this area using quantitative measures</w:t>
      </w:r>
      <w:r w:rsidR="00F81221">
        <w:rPr>
          <w:kern w:val="0"/>
        </w:rPr>
        <w:t xml:space="preserve"> and </w:t>
      </w:r>
      <w:r>
        <w:rPr>
          <w:kern w:val="0"/>
        </w:rPr>
        <w:t>qualitative measures such as impact factor or H-indices. Since novel procedures such as density-equalizing mapping have not been used so far, the present study combined classical bibliometric tools with novel scientometric</w:t>
      </w:r>
      <w:r w:rsidR="00F81221">
        <w:rPr>
          <w:kern w:val="0"/>
        </w:rPr>
        <w:t xml:space="preserve"> and </w:t>
      </w:r>
      <w:r>
        <w:rPr>
          <w:kern w:val="0"/>
        </w:rPr>
        <w:t xml:space="preserve">visualizing techniques. All </w:t>
      </w:r>
      <w:r w:rsidR="000352E7">
        <w:rPr>
          <w:kern w:val="0"/>
        </w:rPr>
        <w:t>“</w:t>
      </w:r>
      <w:r>
        <w:rPr>
          <w:kern w:val="0"/>
        </w:rPr>
        <w:t>INDUSTRIAL HEALTH</w:t>
      </w:r>
      <w:r w:rsidR="000352E7">
        <w:rPr>
          <w:kern w:val="0"/>
        </w:rPr>
        <w:t>”</w:t>
      </w:r>
      <w:r>
        <w:rPr>
          <w:kern w:val="0"/>
        </w:rPr>
        <w:t xml:space="preserve"> entries listed in the ISI database since 1987 were screened</w:t>
      </w:r>
      <w:r w:rsidR="00F81221">
        <w:rPr>
          <w:kern w:val="0"/>
        </w:rPr>
        <w:t xml:space="preserve"> and </w:t>
      </w:r>
      <w:r>
        <w:rPr>
          <w:kern w:val="0"/>
        </w:rPr>
        <w:t>analyzed. Using bibliometric approaches, a continuous increase in qualitative markers such as collaboration numbers or citations were found while quantity markers such as author numbers or publication numbers remained relatively constant. The combination with density equalizing mapping revealed a distinct global pattern of research productivity</w:t>
      </w:r>
      <w:r w:rsidR="00F81221">
        <w:rPr>
          <w:kern w:val="0"/>
        </w:rPr>
        <w:t xml:space="preserve"> and </w:t>
      </w:r>
      <w:r>
        <w:rPr>
          <w:kern w:val="0"/>
        </w:rPr>
        <w:t xml:space="preserve">citation activity with Japanese institutions at the leading position. Radar chart </w:t>
      </w:r>
      <w:r>
        <w:rPr>
          <w:kern w:val="0"/>
        </w:rPr>
        <w:lastRenderedPageBreak/>
        <w:t>techniques were used to visualize bi-</w:t>
      </w:r>
      <w:r w:rsidR="00F81221">
        <w:rPr>
          <w:kern w:val="0"/>
        </w:rPr>
        <w:t xml:space="preserve"> and </w:t>
      </w:r>
      <w:r>
        <w:rPr>
          <w:kern w:val="0"/>
        </w:rPr>
        <w:t>multilateral research cooperations</w:t>
      </w:r>
      <w:r w:rsidR="00F81221">
        <w:rPr>
          <w:kern w:val="0"/>
        </w:rPr>
        <w:t xml:space="preserve"> and </w:t>
      </w:r>
      <w:r>
        <w:rPr>
          <w:kern w:val="0"/>
        </w:rPr>
        <w:t xml:space="preserve">institutional cooperations. In summary, the present study supplies a first scientometric-bibliometric approach that visualizes research activity in </w:t>
      </w:r>
      <w:r w:rsidR="000352E7">
        <w:rPr>
          <w:kern w:val="0"/>
        </w:rPr>
        <w:t>“</w:t>
      </w:r>
      <w:r>
        <w:rPr>
          <w:kern w:val="0"/>
        </w:rPr>
        <w:t>INDUSTRIAL HEALTH</w:t>
      </w:r>
      <w:r w:rsidR="000352E7">
        <w:rPr>
          <w:kern w:val="0"/>
        </w:rPr>
        <w:t>”</w:t>
      </w:r>
      <w:r>
        <w:rPr>
          <w:kern w:val="0"/>
        </w:rPr>
        <w:t xml:space="preserve"> over the past decades.</w:t>
      </w:r>
    </w:p>
    <w:p w:rsidR="00801170" w:rsidRDefault="00801170" w:rsidP="00801170">
      <w:pPr>
        <w:pStyle w:val="a0"/>
        <w:rPr>
          <w:kern w:val="0"/>
        </w:rPr>
      </w:pPr>
      <w:r>
        <w:rPr>
          <w:kern w:val="0"/>
        </w:rPr>
        <w:t>Keywords: Bibliometric, Bibliometric Techniques, Burden, Citation, Citations, Collaboration, Database, Density Equalizing, Disease, Global, Health, Impact, Impact Factor, Industrial Health, ISI, ISI Database, Journals, Mapping, Medicine, Occupational Health, Occupational-Health, Productivity, Publication, Quantitative, Radar, Radar Chart, Research, Research Activity, Research Productivity, Science, Scientometric, Scientometry, Techniques, Tools, Trends</w:t>
      </w:r>
    </w:p>
    <w:p w:rsidR="007D2E74" w:rsidRPr="00A428C3" w:rsidRDefault="007D2E74" w:rsidP="007D2E74">
      <w:pPr>
        <w:pStyle w:val="1"/>
      </w:pPr>
      <w:r w:rsidRPr="00A428C3">
        <w:br w:type="page"/>
      </w:r>
      <w:bookmarkStart w:id="967" w:name="_Toc317161146"/>
      <w:r w:rsidRPr="00A428C3">
        <w:lastRenderedPageBreak/>
        <w:t xml:space="preserve">Title: </w:t>
      </w:r>
      <w:r w:rsidRPr="007A74B7">
        <w:t>Industrial &amp; Labor Relations Review,</w:t>
      </w:r>
      <w:bookmarkEnd w:id="967"/>
    </w:p>
    <w:p w:rsidR="007D2E74" w:rsidRPr="00A428C3" w:rsidRDefault="007D2E74" w:rsidP="00B72EF9">
      <w:pPr>
        <w:pStyle w:val="12"/>
      </w:pPr>
      <w:r w:rsidRPr="00A428C3">
        <w:t xml:space="preserve">Full Journal Title: </w:t>
      </w:r>
      <w:r w:rsidRPr="007A74B7">
        <w:t>Industrial &amp; Labor Relations Review,</w:t>
      </w:r>
    </w:p>
    <w:p w:rsidR="007D2E74" w:rsidRPr="00A428C3" w:rsidRDefault="007D2E74" w:rsidP="00B72EF9">
      <w:pPr>
        <w:pStyle w:val="12"/>
      </w:pPr>
      <w:r w:rsidRPr="00A428C3">
        <w:t xml:space="preserve">ISO Abbreviated Title: </w:t>
      </w:r>
    </w:p>
    <w:p w:rsidR="007D2E74" w:rsidRPr="00A428C3" w:rsidRDefault="007D2E74" w:rsidP="00B72EF9">
      <w:pPr>
        <w:pStyle w:val="12"/>
      </w:pPr>
      <w:r w:rsidRPr="00A428C3">
        <w:t xml:space="preserve">JCR Abbreviated Title: </w:t>
      </w:r>
    </w:p>
    <w:p w:rsidR="007D2E74" w:rsidRPr="00A428C3" w:rsidRDefault="007D2E74" w:rsidP="00B72EF9">
      <w:pPr>
        <w:pStyle w:val="12"/>
      </w:pPr>
      <w:r w:rsidRPr="00A428C3">
        <w:t xml:space="preserve">ISSN: </w:t>
      </w:r>
    </w:p>
    <w:p w:rsidR="007D2E74" w:rsidRPr="00A428C3" w:rsidRDefault="007D2E74" w:rsidP="00B72EF9">
      <w:pPr>
        <w:pStyle w:val="12"/>
      </w:pPr>
      <w:r w:rsidRPr="00A428C3">
        <w:t xml:space="preserve">Issues/Year: </w:t>
      </w:r>
    </w:p>
    <w:p w:rsidR="007D2E74" w:rsidRPr="00A428C3" w:rsidRDefault="007D2E74" w:rsidP="00B72EF9">
      <w:pPr>
        <w:pStyle w:val="12"/>
      </w:pPr>
      <w:r w:rsidRPr="00A428C3">
        <w:t>Journal Country/Territory:</w:t>
      </w:r>
    </w:p>
    <w:p w:rsidR="007D2E74" w:rsidRPr="00A428C3" w:rsidRDefault="007D2E74" w:rsidP="00B72EF9">
      <w:pPr>
        <w:pStyle w:val="12"/>
      </w:pPr>
      <w:r w:rsidRPr="00A428C3">
        <w:t xml:space="preserve">Language: </w:t>
      </w:r>
    </w:p>
    <w:p w:rsidR="007D2E74" w:rsidRPr="00A428C3" w:rsidRDefault="007D2E74" w:rsidP="00B72EF9">
      <w:pPr>
        <w:pStyle w:val="12"/>
      </w:pPr>
      <w:r w:rsidRPr="00A428C3">
        <w:t xml:space="preserve">Publisher: </w:t>
      </w:r>
    </w:p>
    <w:p w:rsidR="007D2E74" w:rsidRPr="00A428C3" w:rsidRDefault="007D2E74" w:rsidP="00B72EF9">
      <w:pPr>
        <w:pStyle w:val="12"/>
      </w:pPr>
      <w:r w:rsidRPr="00A428C3">
        <w:t xml:space="preserve">Publisher Address: </w:t>
      </w:r>
    </w:p>
    <w:p w:rsidR="007D2E74" w:rsidRPr="00A428C3" w:rsidRDefault="007D2E74" w:rsidP="00B72EF9">
      <w:pPr>
        <w:pStyle w:val="12"/>
      </w:pPr>
      <w:r w:rsidRPr="00A428C3">
        <w:t>: Impact Factor</w:t>
      </w:r>
    </w:p>
    <w:p w:rsidR="007D2E74" w:rsidRDefault="007D2E74" w:rsidP="007D2E74">
      <w:pPr>
        <w:pStyle w:val="a0"/>
        <w:rPr>
          <w:kern w:val="0"/>
          <w:szCs w:val="24"/>
        </w:rPr>
      </w:pPr>
      <w:r>
        <w:rPr>
          <w:rFonts w:hint="eastAsia"/>
          <w:kern w:val="0"/>
          <w:szCs w:val="24"/>
        </w:rPr>
        <w:t xml:space="preserve">? </w:t>
      </w:r>
      <w:r>
        <w:rPr>
          <w:kern w:val="0"/>
          <w:szCs w:val="24"/>
        </w:rPr>
        <w:t>Casey, D.L.</w:t>
      </w:r>
      <w:r w:rsidR="00F81221">
        <w:rPr>
          <w:kern w:val="0"/>
          <w:szCs w:val="24"/>
        </w:rPr>
        <w:t xml:space="preserve"> and </w:t>
      </w:r>
      <w:r>
        <w:rPr>
          <w:kern w:val="0"/>
          <w:szCs w:val="24"/>
        </w:rPr>
        <w:t xml:space="preserve">McMillan, G.S. (2008), Identifying the </w:t>
      </w:r>
      <w:r w:rsidR="000352E7">
        <w:rPr>
          <w:kern w:val="0"/>
          <w:szCs w:val="24"/>
        </w:rPr>
        <w:t>“</w:t>
      </w:r>
      <w:r>
        <w:rPr>
          <w:kern w:val="0"/>
          <w:szCs w:val="24"/>
        </w:rPr>
        <w:t>invisible colleges</w:t>
      </w:r>
      <w:r w:rsidR="000352E7">
        <w:rPr>
          <w:kern w:val="0"/>
          <w:szCs w:val="24"/>
        </w:rPr>
        <w:t>”</w:t>
      </w:r>
      <w:r>
        <w:rPr>
          <w:kern w:val="0"/>
          <w:szCs w:val="24"/>
        </w:rPr>
        <w:t xml:space="preserve"> of the </w:t>
      </w:r>
      <w:r w:rsidRPr="005C3F1B">
        <w:rPr>
          <w:i/>
          <w:kern w:val="0"/>
          <w:szCs w:val="24"/>
        </w:rPr>
        <w:t>Industrial &amp; Labor Relations Review</w:t>
      </w:r>
      <w:r>
        <w:rPr>
          <w:kern w:val="0"/>
          <w:szCs w:val="24"/>
        </w:rPr>
        <w:t xml:space="preserve">: A bibliometric approach. </w:t>
      </w:r>
      <w:r>
        <w:rPr>
          <w:i/>
          <w:iCs/>
          <w:kern w:val="0"/>
          <w:szCs w:val="24"/>
        </w:rPr>
        <w:t>Industrial &amp; Labor Relations Review</w:t>
      </w:r>
      <w:r>
        <w:rPr>
          <w:kern w:val="0"/>
          <w:szCs w:val="24"/>
        </w:rPr>
        <w:t xml:space="preserve">, </w:t>
      </w:r>
      <w:r>
        <w:rPr>
          <w:b/>
          <w:bCs/>
          <w:kern w:val="0"/>
          <w:szCs w:val="24"/>
        </w:rPr>
        <w:t>62</w:t>
      </w:r>
      <w:r>
        <w:rPr>
          <w:kern w:val="0"/>
          <w:szCs w:val="24"/>
        </w:rPr>
        <w:t xml:space="preserve"> (1), 126-132.</w:t>
      </w:r>
    </w:p>
    <w:p w:rsidR="007D2E74" w:rsidRDefault="007D2E74" w:rsidP="007D2E74">
      <w:pPr>
        <w:pStyle w:val="a0"/>
        <w:rPr>
          <w:kern w:val="0"/>
          <w:szCs w:val="24"/>
        </w:rPr>
      </w:pPr>
      <w:r>
        <w:rPr>
          <w:kern w:val="0"/>
          <w:szCs w:val="24"/>
        </w:rPr>
        <w:t>Abstract: Since its inaugural issue in 1947, the Industrial</w:t>
      </w:r>
      <w:r w:rsidR="00F81221">
        <w:rPr>
          <w:kern w:val="0"/>
          <w:szCs w:val="24"/>
        </w:rPr>
        <w:t xml:space="preserve"> and </w:t>
      </w:r>
      <w:r>
        <w:rPr>
          <w:kern w:val="0"/>
          <w:szCs w:val="24"/>
        </w:rPr>
        <w:t>Laboy-RelationsReview (ILRR) has been considered among the foremost industrial relations Journals. Prominent among subjects treated by ILRR</w:t>
      </w:r>
      <w:r w:rsidR="000352E7">
        <w:rPr>
          <w:kern w:val="0"/>
          <w:szCs w:val="24"/>
        </w:rPr>
        <w:t>’</w:t>
      </w:r>
      <w:r>
        <w:rPr>
          <w:kern w:val="0"/>
          <w:szCs w:val="24"/>
        </w:rPr>
        <w:t>s articles in the journal</w:t>
      </w:r>
      <w:r w:rsidR="000352E7">
        <w:rPr>
          <w:kern w:val="0"/>
          <w:szCs w:val="24"/>
        </w:rPr>
        <w:t>’</w:t>
      </w:r>
      <w:r>
        <w:rPr>
          <w:kern w:val="0"/>
          <w:szCs w:val="24"/>
        </w:rPr>
        <w:t>s early years were collective bargaining</w:t>
      </w:r>
      <w:r w:rsidR="00F81221">
        <w:rPr>
          <w:kern w:val="0"/>
          <w:szCs w:val="24"/>
        </w:rPr>
        <w:t xml:space="preserve"> and </w:t>
      </w:r>
      <w:r>
        <w:rPr>
          <w:kern w:val="0"/>
          <w:szCs w:val="24"/>
        </w:rPr>
        <w:t>industrial strife, but the subject mix has changed greatly with the times. This paper employs bibliometric techniques to compare IIRR</w:t>
      </w:r>
      <w:r w:rsidR="000352E7">
        <w:rPr>
          <w:kern w:val="0"/>
          <w:szCs w:val="24"/>
        </w:rPr>
        <w:t>’</w:t>
      </w:r>
      <w:r>
        <w:rPr>
          <w:kern w:val="0"/>
          <w:szCs w:val="24"/>
        </w:rPr>
        <w:t>s intellectual bases across three recent periods: 1974-1984, 1985-1995,</w:t>
      </w:r>
      <w:r w:rsidR="00F81221">
        <w:rPr>
          <w:kern w:val="0"/>
          <w:szCs w:val="24"/>
        </w:rPr>
        <w:t xml:space="preserve"> and </w:t>
      </w:r>
      <w:r>
        <w:rPr>
          <w:kern w:val="0"/>
          <w:szCs w:val="24"/>
        </w:rPr>
        <w:t>1996-2006. Using co-citation</w:t>
      </w:r>
      <w:r w:rsidR="00F81221">
        <w:rPr>
          <w:kern w:val="0"/>
          <w:szCs w:val="24"/>
        </w:rPr>
        <w:t xml:space="preserve"> and </w:t>
      </w:r>
      <w:r>
        <w:rPr>
          <w:kern w:val="0"/>
          <w:szCs w:val="24"/>
        </w:rPr>
        <w:t xml:space="preserve">network analyses, the authors identify the </w:t>
      </w:r>
      <w:r w:rsidR="000352E7">
        <w:rPr>
          <w:kern w:val="0"/>
          <w:szCs w:val="24"/>
        </w:rPr>
        <w:t>“</w:t>
      </w:r>
      <w:r>
        <w:rPr>
          <w:kern w:val="0"/>
          <w:szCs w:val="24"/>
        </w:rPr>
        <w:t>invisible colleges</w:t>
      </w:r>
      <w:r w:rsidR="000352E7">
        <w:rPr>
          <w:kern w:val="0"/>
          <w:szCs w:val="24"/>
        </w:rPr>
        <w:t>”</w:t>
      </w:r>
      <w:r>
        <w:rPr>
          <w:kern w:val="0"/>
          <w:szCs w:val="24"/>
        </w:rPr>
        <w:t>-research networks that refer to each other in their publications-of ILRA Economics-oriented journals were heavily cited by ILRR authors across the entire 33-year observation period, but there is evidence that another field, human resource management, was of growing importance in the most recent years.</w:t>
      </w:r>
    </w:p>
    <w:p w:rsidR="007D2E74" w:rsidRPr="007A74B7" w:rsidRDefault="007D2E74" w:rsidP="007D2E74">
      <w:pPr>
        <w:pStyle w:val="a0"/>
        <w:rPr>
          <w:kern w:val="0"/>
          <w:szCs w:val="24"/>
        </w:rPr>
      </w:pPr>
      <w:r>
        <w:rPr>
          <w:kern w:val="0"/>
          <w:szCs w:val="24"/>
        </w:rPr>
        <w:t>Keywords: Authors, Bibliometric, Co-Citation, Journals, Management, Networks</w:t>
      </w:r>
    </w:p>
    <w:p w:rsidR="00B95188" w:rsidRPr="00A428C3" w:rsidRDefault="007D2E74" w:rsidP="007D2E74">
      <w:pPr>
        <w:pStyle w:val="1"/>
      </w:pPr>
      <w:r w:rsidRPr="00217FB1">
        <w:br w:type="page"/>
      </w:r>
      <w:bookmarkStart w:id="968" w:name="_Toc487190716"/>
      <w:bookmarkStart w:id="969" w:name="_Toc487882221"/>
      <w:bookmarkStart w:id="970" w:name="_Toc490688043"/>
      <w:bookmarkStart w:id="971" w:name="_Toc492812154"/>
      <w:bookmarkStart w:id="972" w:name="_Toc186647849"/>
      <w:bookmarkStart w:id="973" w:name="_Toc317161147"/>
      <w:r w:rsidR="00B95188" w:rsidRPr="00A428C3">
        <w:lastRenderedPageBreak/>
        <w:t>Title: Industrial Laboratory</w:t>
      </w:r>
      <w:bookmarkEnd w:id="968"/>
      <w:bookmarkEnd w:id="969"/>
      <w:bookmarkEnd w:id="970"/>
      <w:bookmarkEnd w:id="971"/>
      <w:bookmarkEnd w:id="972"/>
      <w:bookmarkEnd w:id="973"/>
    </w:p>
    <w:p w:rsidR="00B95188" w:rsidRPr="00A428C3" w:rsidRDefault="00B95188" w:rsidP="00B72EF9">
      <w:pPr>
        <w:pStyle w:val="12"/>
      </w:pPr>
      <w:r w:rsidRPr="00A428C3">
        <w:t>Full Journal Title: Industrial Laboratory</w:t>
      </w:r>
    </w:p>
    <w:p w:rsidR="00B95188" w:rsidRPr="00A428C3" w:rsidRDefault="00B95188" w:rsidP="00B72EF9">
      <w:pPr>
        <w:pStyle w:val="12"/>
      </w:pPr>
      <w:r w:rsidRPr="00A428C3">
        <w:t xml:space="preserve">ISO Abbreviated Title: </w:t>
      </w:r>
      <w:smartTag w:uri="urn:schemas-microsoft-com:office:smarttags" w:element="place">
        <w:smartTag w:uri="urn:schemas-microsoft-com:office:smarttags" w:element="State">
          <w:r w:rsidRPr="00A428C3">
            <w:t>Ind.</w:t>
          </w:r>
        </w:smartTag>
      </w:smartTag>
      <w:r w:rsidRPr="00A428C3">
        <w:t xml:space="preserve"> Lab.</w:t>
      </w:r>
    </w:p>
    <w:p w:rsidR="00B95188" w:rsidRPr="00A428C3" w:rsidRDefault="00B02E92" w:rsidP="00B72EF9">
      <w:pPr>
        <w:pStyle w:val="12"/>
      </w:pPr>
      <w:r>
        <w:t>JCR Abbreviated Title: Ind Lab</w:t>
      </w:r>
    </w:p>
    <w:p w:rsidR="00B95188" w:rsidRPr="00A428C3" w:rsidRDefault="00B95188" w:rsidP="00B72EF9">
      <w:pPr>
        <w:pStyle w:val="12"/>
      </w:pPr>
      <w:r w:rsidRPr="00A428C3">
        <w:t>ISSN: 0019-8447</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Russia</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Plenum Publ Corp</w:t>
      </w:r>
    </w:p>
    <w:p w:rsidR="00B95188" w:rsidRPr="00A428C3" w:rsidRDefault="00B95188" w:rsidP="00B72EF9">
      <w:pPr>
        <w:pStyle w:val="12"/>
      </w:pPr>
      <w:r w:rsidRPr="00A428C3">
        <w:t xml:space="preserve">Publisher Address: Consultants Bureau, 233 Spring St, </w:t>
      </w:r>
      <w:smartTag w:uri="urn:schemas-microsoft-com:office:smarttags" w:element="place">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10013</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Instruments &amp; Instrumentation Materials Science, Characterization &amp; Testing: Impact Factor</w:t>
      </w:r>
    </w:p>
    <w:p w:rsidR="00B02E92" w:rsidRDefault="00B02E92" w:rsidP="00B02E92">
      <w:pPr>
        <w:pStyle w:val="a0"/>
      </w:pPr>
      <w:r w:rsidRPr="00A428C3">
        <w:t xml:space="preserve">? </w:t>
      </w:r>
      <w:r>
        <w:t>Orient</w:t>
      </w:r>
      <w:r>
        <w:rPr>
          <w:rFonts w:hint="eastAsia"/>
        </w:rPr>
        <w:t>,</w:t>
      </w:r>
      <w:r>
        <w:t xml:space="preserve"> I</w:t>
      </w:r>
      <w:r>
        <w:rPr>
          <w:rFonts w:hint="eastAsia"/>
        </w:rPr>
        <w:t>.</w:t>
      </w:r>
      <w:r>
        <w:t>M</w:t>
      </w:r>
      <w:r>
        <w:rPr>
          <w:rFonts w:hint="eastAsia"/>
        </w:rPr>
        <w:t>.</w:t>
      </w:r>
      <w:r w:rsidRPr="00A428C3">
        <w:t xml:space="preserve"> (19</w:t>
      </w:r>
      <w:r>
        <w:rPr>
          <w:rFonts w:hint="eastAsia"/>
        </w:rPr>
        <w:t>67</w:t>
      </w:r>
      <w:r w:rsidRPr="00A428C3">
        <w:t xml:space="preserve">), </w:t>
      </w:r>
      <w:r>
        <w:t>A statistical study of citation of papers on analytical chemistry</w:t>
      </w:r>
      <w:r w:rsidRPr="00A428C3">
        <w:t xml:space="preserve">. </w:t>
      </w:r>
      <w:r w:rsidRPr="00A428C3">
        <w:rPr>
          <w:i/>
          <w:iCs/>
        </w:rPr>
        <w:t>Industrial Laboratory</w:t>
      </w:r>
      <w:r w:rsidRPr="00A428C3">
        <w:t xml:space="preserve">, </w:t>
      </w:r>
      <w:r w:rsidRPr="00A428C3">
        <w:rPr>
          <w:b/>
        </w:rPr>
        <w:t>3</w:t>
      </w:r>
      <w:r>
        <w:rPr>
          <w:rFonts w:hint="eastAsia"/>
          <w:b/>
        </w:rPr>
        <w:t>3</w:t>
      </w:r>
      <w:r w:rsidRPr="00A428C3">
        <w:t xml:space="preserve"> (</w:t>
      </w:r>
      <w:r>
        <w:rPr>
          <w:rFonts w:hint="eastAsia"/>
        </w:rPr>
        <w:t>11</w:t>
      </w:r>
      <w:r w:rsidRPr="00A428C3">
        <w:t xml:space="preserve">), </w:t>
      </w:r>
      <w:r>
        <w:t>1575</w:t>
      </w:r>
      <w:r w:rsidRPr="00A428C3">
        <w:t>-??.</w:t>
      </w:r>
    </w:p>
    <w:p w:rsidR="00B02E92" w:rsidRPr="00A428C3" w:rsidRDefault="00B02E92" w:rsidP="00B02E92">
      <w:pPr>
        <w:pStyle w:val="a0"/>
      </w:pPr>
      <w:r w:rsidRPr="00A428C3">
        <w:t>? Venitsia, E.V., Volkov, B.I., Ioffee, V.P., Kolosova, G.M.</w:t>
      </w:r>
      <w:r w:rsidR="00F81221">
        <w:t xml:space="preserve"> and </w:t>
      </w:r>
      <w:r w:rsidRPr="00A428C3">
        <w:t>Rubinsht, R.N. (1971), Some problems in sorption dynamics in linear</w:t>
      </w:r>
      <w:r>
        <w:rPr>
          <w:rFonts w:hint="eastAsia"/>
        </w:rPr>
        <w:t xml:space="preserve"> </w:t>
      </w:r>
      <w:r w:rsidRPr="00A428C3">
        <w:t>isotherm range with external</w:t>
      </w:r>
      <w:r>
        <w:rPr>
          <w:rFonts w:hint="eastAsia"/>
        </w:rPr>
        <w:t xml:space="preserve"> </w:t>
      </w:r>
      <w:r w:rsidRPr="00A428C3">
        <w:t xml:space="preserve">diffusion kinetics. </w:t>
      </w:r>
      <w:r w:rsidRPr="00A428C3">
        <w:rPr>
          <w:i/>
          <w:iCs/>
        </w:rPr>
        <w:t>Industrial Laboratory</w:t>
      </w:r>
      <w:r w:rsidRPr="00A428C3">
        <w:t xml:space="preserve">, </w:t>
      </w:r>
      <w:r w:rsidRPr="00A428C3">
        <w:rPr>
          <w:b/>
        </w:rPr>
        <w:t>37</w:t>
      </w:r>
      <w:r w:rsidRPr="00A428C3">
        <w:t xml:space="preserve"> (5), 694-??.</w:t>
      </w:r>
    </w:p>
    <w:p w:rsidR="00D07FD3" w:rsidRDefault="00D07FD3" w:rsidP="00D07FD3">
      <w:pPr>
        <w:pStyle w:val="a0"/>
        <w:rPr>
          <w:kern w:val="0"/>
        </w:rPr>
      </w:pPr>
      <w:r>
        <w:rPr>
          <w:kern w:val="0"/>
        </w:rPr>
        <w:t>Keywords: Kinetics</w:t>
      </w:r>
      <w:r>
        <w:rPr>
          <w:rFonts w:hint="eastAsia"/>
          <w:kern w:val="0"/>
        </w:rPr>
        <w:t xml:space="preserve">, </w:t>
      </w:r>
      <w:r>
        <w:rPr>
          <w:kern w:val="0"/>
        </w:rPr>
        <w:t>Sorption</w:t>
      </w:r>
    </w:p>
    <w:p w:rsidR="00B95188" w:rsidRPr="00A428C3" w:rsidRDefault="00B95188" w:rsidP="00B95188">
      <w:pPr>
        <w:pStyle w:val="a0"/>
      </w:pPr>
      <w:r w:rsidRPr="00A428C3">
        <w:t>? Zhukhovitskii, A.A., Yanovskii, S.M., Silaeva, I.A., Chernogorova, Z.D., Arinshtein, A.E.</w:t>
      </w:r>
      <w:r w:rsidR="00F81221">
        <w:t xml:space="preserve"> and </w:t>
      </w:r>
      <w:r w:rsidRPr="00A428C3">
        <w:t xml:space="preserve">Aranovich, G.L. (1983), Chromatogram interpretation. </w:t>
      </w:r>
      <w:r w:rsidRPr="00A428C3">
        <w:rPr>
          <w:i/>
        </w:rPr>
        <w:t>Industrial Laboratory</w:t>
      </w:r>
      <w:r w:rsidRPr="00A428C3">
        <w:t xml:space="preserve">, </w:t>
      </w:r>
      <w:r w:rsidRPr="00A428C3">
        <w:rPr>
          <w:b/>
        </w:rPr>
        <w:t>49</w:t>
      </w:r>
      <w:r w:rsidRPr="00A428C3">
        <w:t xml:space="preserve"> (4), 348-353</w:t>
      </w:r>
    </w:p>
    <w:p w:rsidR="00B95188" w:rsidRPr="00A428C3" w:rsidRDefault="00B95188" w:rsidP="00B95188">
      <w:pPr>
        <w:pStyle w:val="a0"/>
      </w:pPr>
      <w:r w:rsidRPr="00A428C3">
        <w:t>? Aranovich, G.L., Arinshtein, A.E., Zhukhovitskii, A.A., Silaeva, I.A., Chernogorova, Z.D.</w:t>
      </w:r>
      <w:r w:rsidR="00F81221">
        <w:t xml:space="preserve"> and </w:t>
      </w:r>
      <w:r w:rsidRPr="00A428C3">
        <w:t xml:space="preserve">Yanovskii, S.M. (1983), Interpretation of overlapping chromatographic peaks. </w:t>
      </w:r>
      <w:r w:rsidRPr="00A428C3">
        <w:rPr>
          <w:i/>
        </w:rPr>
        <w:t>Industrial Laboratory</w:t>
      </w:r>
      <w:r w:rsidRPr="00A428C3">
        <w:t xml:space="preserve">, </w:t>
      </w:r>
      <w:r w:rsidRPr="00A428C3">
        <w:rPr>
          <w:b/>
        </w:rPr>
        <w:t>49</w:t>
      </w:r>
      <w:r w:rsidRPr="00A428C3">
        <w:t xml:space="preserve"> (11), 1136-1138.</w:t>
      </w:r>
    </w:p>
    <w:p w:rsidR="00B95188" w:rsidRPr="00A428C3" w:rsidRDefault="00B95188" w:rsidP="00B95188">
      <w:pPr>
        <w:pStyle w:val="a0"/>
      </w:pPr>
      <w:r w:rsidRPr="00A428C3">
        <w:t xml:space="preserve">? Aranovich, G.L. (1984), Method of interpreting chromatograms with overlapping peaks. </w:t>
      </w:r>
      <w:r w:rsidRPr="00A428C3">
        <w:rPr>
          <w:i/>
        </w:rPr>
        <w:t>Industrial Laboratory</w:t>
      </w:r>
      <w:r w:rsidRPr="00A428C3">
        <w:t xml:space="preserve">, </w:t>
      </w:r>
      <w:r w:rsidRPr="00A428C3">
        <w:rPr>
          <w:b/>
        </w:rPr>
        <w:t>50</w:t>
      </w:r>
      <w:r w:rsidRPr="00A428C3">
        <w:t xml:space="preserve"> (9), 860-863.</w:t>
      </w:r>
    </w:p>
    <w:p w:rsidR="00B95188" w:rsidRPr="00A428C3" w:rsidRDefault="00B95188" w:rsidP="00B95188">
      <w:pPr>
        <w:pStyle w:val="a0"/>
      </w:pPr>
      <w:r w:rsidRPr="00A428C3">
        <w:t xml:space="preserve">? Aranovich, G.L. (1985), Resolution of partially overlapping chromatographic peaks into peaks of individual components. </w:t>
      </w:r>
      <w:r w:rsidRPr="00A428C3">
        <w:rPr>
          <w:i/>
        </w:rPr>
        <w:t>Industrial Laboratory</w:t>
      </w:r>
      <w:r w:rsidRPr="00A428C3">
        <w:t xml:space="preserve">, </w:t>
      </w:r>
      <w:r w:rsidRPr="00A428C3">
        <w:rPr>
          <w:b/>
        </w:rPr>
        <w:t>51</w:t>
      </w:r>
      <w:r w:rsidRPr="00A428C3">
        <w:t xml:space="preserve"> (10), 887-891.</w:t>
      </w:r>
    </w:p>
    <w:p w:rsidR="00B95188" w:rsidRPr="00A428C3" w:rsidRDefault="00B95188" w:rsidP="00B95188">
      <w:pPr>
        <w:pStyle w:val="a0"/>
      </w:pPr>
      <w:r w:rsidRPr="00A428C3">
        <w:t>? Berezkin, V.G., Koshevnik, M.A., Sorokina, E.Y.</w:t>
      </w:r>
      <w:r w:rsidR="00F81221">
        <w:t xml:space="preserve"> and </w:t>
      </w:r>
      <w:r w:rsidRPr="00A428C3">
        <w:t xml:space="preserve">Guglya, E.B. (1989), Scientometric analysis of advances in chromatography (review). </w:t>
      </w:r>
      <w:r w:rsidRPr="00A428C3">
        <w:rPr>
          <w:i/>
          <w:iCs/>
        </w:rPr>
        <w:t>Industrial Laboratory</w:t>
      </w:r>
      <w:r w:rsidRPr="00A428C3">
        <w:t xml:space="preserve">, </w:t>
      </w:r>
      <w:r w:rsidRPr="00A428C3">
        <w:rPr>
          <w:b/>
        </w:rPr>
        <w:t>55</w:t>
      </w:r>
      <w:r w:rsidRPr="00A428C3">
        <w:t xml:space="preserve"> (11), 1221-1229.</w:t>
      </w:r>
    </w:p>
    <w:p w:rsidR="00B95188" w:rsidRPr="00A428C3" w:rsidRDefault="00B95188" w:rsidP="00B95188">
      <w:pPr>
        <w:pStyle w:val="a0"/>
      </w:pPr>
      <w:r w:rsidRPr="00A428C3">
        <w:t>? Petrov, S.I.</w:t>
      </w:r>
      <w:r w:rsidR="00F81221">
        <w:t xml:space="preserve"> and </w:t>
      </w:r>
      <w:r w:rsidRPr="00A428C3">
        <w:t xml:space="preserve">Ivanova, Z.V. (2000), Analytical monitoring in water treatment: Alternating-current inversion-voltammetric determination of KF-91 flocculant. </w:t>
      </w:r>
      <w:r w:rsidRPr="00A428C3">
        <w:rPr>
          <w:i/>
        </w:rPr>
        <w:t>Industrial Laboratory</w:t>
      </w:r>
      <w:r w:rsidRPr="00A428C3">
        <w:t xml:space="preserve">, </w:t>
      </w:r>
      <w:r w:rsidRPr="00A428C3">
        <w:rPr>
          <w:b/>
        </w:rPr>
        <w:t>66</w:t>
      </w:r>
      <w:r w:rsidRPr="00A428C3">
        <w:t xml:space="preserve"> (2), 77-79.</w:t>
      </w:r>
    </w:p>
    <w:p w:rsidR="00B95188" w:rsidRPr="00A428C3" w:rsidRDefault="00B95188" w:rsidP="00B95188">
      <w:pPr>
        <w:pStyle w:val="a0"/>
      </w:pPr>
      <w:r w:rsidRPr="00A428C3">
        <w:t xml:space="preserve">Abstract: An alternating-current inversion-voltammetric method for dt termination of KF-91 cationite flocculant (2-methyl-N-methylpyridinium-5-polyvinylmethyl sulfate) </w:t>
      </w:r>
      <w:r w:rsidRPr="00A428C3">
        <w:lastRenderedPageBreak/>
        <w:t>is proposed. The method is based on suppress ion of the anodic current of cadmium dissolution (DeltaH) in the presence of KF-91 using a mercury-graphite electrode</w:t>
      </w:r>
      <w:r w:rsidR="00F81221">
        <w:t xml:space="preserve"> and </w:t>
      </w:r>
      <w:r w:rsidRPr="00A428C3">
        <w:t xml:space="preserve">a </w:t>
      </w:r>
      <w:smartTag w:uri="urn:schemas-microsoft-com:office:smarttags" w:element="chmetcnv">
        <w:smartTagPr>
          <w:attr w:name="TCSC" w:val="0"/>
          <w:attr w:name="NumberType" w:val="1"/>
          <w:attr w:name="Negative" w:val="False"/>
          <w:attr w:name="HasSpace" w:val="True"/>
          <w:attr w:name="SourceValue" w:val="2"/>
          <w:attr w:name="UnitName" w:val="m"/>
        </w:smartTagPr>
        <w:r w:rsidRPr="00A428C3">
          <w:t>2 M</w:t>
        </w:r>
      </w:smartTag>
      <w:r w:rsidRPr="00A428C3">
        <w:t xml:space="preserve"> NaCl solution as the background electrolyte. The analytical function DeltaH of the KF-91 concentration resembles a Langmuir adsorption isotherm.</w:t>
      </w:r>
    </w:p>
    <w:p w:rsidR="005848C0" w:rsidRPr="001A3D2B" w:rsidRDefault="005848C0" w:rsidP="005848C0">
      <w:pPr>
        <w:pStyle w:val="1"/>
      </w:pPr>
      <w:r w:rsidRPr="001A3D2B">
        <w:br w:type="page"/>
      </w:r>
      <w:bookmarkStart w:id="974" w:name="_Toc317161148"/>
      <w:r w:rsidRPr="001A3D2B">
        <w:lastRenderedPageBreak/>
        <w:t xml:space="preserve">Title: </w:t>
      </w:r>
      <w:r w:rsidRPr="00023D5F">
        <w:rPr>
          <w:iCs/>
        </w:rPr>
        <w:t>Industrial Marketing Management</w:t>
      </w:r>
      <w:bookmarkEnd w:id="974"/>
    </w:p>
    <w:p w:rsidR="005848C0" w:rsidRPr="001A3D2B" w:rsidRDefault="005848C0" w:rsidP="005848C0">
      <w:pPr>
        <w:pStyle w:val="12"/>
      </w:pPr>
      <w:r w:rsidRPr="001A3D2B">
        <w:t xml:space="preserve">Full Journal Title: </w:t>
      </w:r>
      <w:r w:rsidRPr="00023D5F">
        <w:rPr>
          <w:iCs/>
        </w:rPr>
        <w:t>Industrial Marketing Management</w:t>
      </w:r>
    </w:p>
    <w:p w:rsidR="005848C0" w:rsidRPr="001A3D2B" w:rsidRDefault="005848C0" w:rsidP="005848C0">
      <w:pPr>
        <w:pStyle w:val="12"/>
      </w:pPr>
      <w:r w:rsidRPr="001A3D2B">
        <w:t xml:space="preserve">ISO Abbreviated Title: </w:t>
      </w:r>
    </w:p>
    <w:p w:rsidR="005848C0" w:rsidRPr="001A3D2B" w:rsidRDefault="005848C0" w:rsidP="005848C0">
      <w:pPr>
        <w:pStyle w:val="12"/>
      </w:pPr>
      <w:r w:rsidRPr="001A3D2B">
        <w:t xml:space="preserve">JCR Abbreviated Title: </w:t>
      </w:r>
    </w:p>
    <w:p w:rsidR="005848C0" w:rsidRPr="001A3D2B" w:rsidRDefault="005848C0" w:rsidP="005848C0">
      <w:pPr>
        <w:pStyle w:val="12"/>
      </w:pPr>
      <w:r w:rsidRPr="001A3D2B">
        <w:t xml:space="preserve">ISSN: </w:t>
      </w:r>
    </w:p>
    <w:p w:rsidR="005848C0" w:rsidRPr="001A3D2B" w:rsidRDefault="005848C0" w:rsidP="005848C0">
      <w:pPr>
        <w:pStyle w:val="12"/>
      </w:pPr>
      <w:r w:rsidRPr="001A3D2B">
        <w:t xml:space="preserve">Issues/Year: </w:t>
      </w:r>
    </w:p>
    <w:p w:rsidR="005848C0" w:rsidRPr="001A3D2B" w:rsidRDefault="005848C0" w:rsidP="005848C0">
      <w:pPr>
        <w:pStyle w:val="12"/>
      </w:pPr>
      <w:r w:rsidRPr="001A3D2B">
        <w:t xml:space="preserve">Journal Country/Territory: </w:t>
      </w:r>
    </w:p>
    <w:p w:rsidR="005848C0" w:rsidRPr="001A3D2B" w:rsidRDefault="005848C0" w:rsidP="005848C0">
      <w:pPr>
        <w:pStyle w:val="12"/>
      </w:pPr>
      <w:r w:rsidRPr="001A3D2B">
        <w:t xml:space="preserve">Language: </w:t>
      </w:r>
    </w:p>
    <w:p w:rsidR="005848C0" w:rsidRPr="001A3D2B" w:rsidRDefault="005848C0" w:rsidP="005848C0">
      <w:pPr>
        <w:pStyle w:val="12"/>
      </w:pPr>
      <w:r w:rsidRPr="001A3D2B">
        <w:t xml:space="preserve">Publisher: </w:t>
      </w:r>
    </w:p>
    <w:p w:rsidR="005848C0" w:rsidRPr="001A3D2B" w:rsidRDefault="005848C0" w:rsidP="005848C0">
      <w:pPr>
        <w:pStyle w:val="12"/>
      </w:pPr>
      <w:r w:rsidRPr="001A3D2B">
        <w:t>Publisher Address:</w:t>
      </w:r>
    </w:p>
    <w:p w:rsidR="005848C0" w:rsidRPr="001A3D2B" w:rsidRDefault="005848C0" w:rsidP="005848C0">
      <w:pPr>
        <w:pStyle w:val="12"/>
      </w:pPr>
      <w:r w:rsidRPr="001A3D2B">
        <w:t>Subject Categories:</w:t>
      </w:r>
    </w:p>
    <w:p w:rsidR="005848C0" w:rsidRPr="001A3D2B" w:rsidRDefault="005848C0" w:rsidP="005848C0">
      <w:pPr>
        <w:pStyle w:val="12"/>
      </w:pPr>
      <w:r w:rsidRPr="001A3D2B">
        <w:t>: Impact Factor</w:t>
      </w:r>
    </w:p>
    <w:p w:rsidR="005848C0" w:rsidRDefault="005848C0" w:rsidP="005848C0">
      <w:pPr>
        <w:pStyle w:val="a0"/>
        <w:rPr>
          <w:kern w:val="0"/>
        </w:rPr>
      </w:pPr>
      <w:r>
        <w:rPr>
          <w:kern w:val="0"/>
        </w:rPr>
        <w:t xml:space="preserve">? Backhaus, K., Lugger, K. and Koch, M. (2011), The structure and evolution of business-to-business marketing: A citation and co-citation analysis. </w:t>
      </w:r>
      <w:r w:rsidRPr="00023D5F">
        <w:rPr>
          <w:i/>
          <w:iCs/>
          <w:kern w:val="0"/>
        </w:rPr>
        <w:t>Industrial Marketing Management</w:t>
      </w:r>
      <w:r>
        <w:rPr>
          <w:kern w:val="0"/>
        </w:rPr>
        <w:t xml:space="preserve">, </w:t>
      </w:r>
      <w:r>
        <w:rPr>
          <w:b/>
          <w:bCs/>
          <w:kern w:val="0"/>
        </w:rPr>
        <w:t>40</w:t>
      </w:r>
      <w:r>
        <w:rPr>
          <w:kern w:val="0"/>
        </w:rPr>
        <w:t xml:space="preserve"> (6), 940-951.</w:t>
      </w:r>
    </w:p>
    <w:p w:rsidR="005848C0" w:rsidRDefault="005848C0" w:rsidP="005848C0">
      <w:pPr>
        <w:pStyle w:val="a0"/>
        <w:rPr>
          <w:kern w:val="0"/>
        </w:rPr>
      </w:pPr>
      <w:r>
        <w:rPr>
          <w:rFonts w:hint="eastAsia"/>
          <w:kern w:val="0"/>
        </w:rPr>
        <w:t xml:space="preserve">Full Text: </w:t>
      </w:r>
      <w:hyperlink r:id="rId1346" w:history="1">
        <w:r w:rsidRPr="00023D5F">
          <w:rPr>
            <w:rStyle w:val="a5"/>
            <w:kern w:val="0"/>
          </w:rPr>
          <w:t>2011\Ind Mar Man40, 940.pdf</w:t>
        </w:r>
      </w:hyperlink>
    </w:p>
    <w:p w:rsidR="005848C0" w:rsidRDefault="005848C0" w:rsidP="005848C0">
      <w:pPr>
        <w:pStyle w:val="a0"/>
        <w:rPr>
          <w:kern w:val="0"/>
        </w:rPr>
      </w:pPr>
      <w:r>
        <w:rPr>
          <w:kern w:val="0"/>
        </w:rPr>
        <w:t>Abstract: The field of business-to-business (B2B) marketing has grown considerably in the past four decades. However the state of knowledge about its structure and evolution remains limited. Who are the key players and what are the key papers in B2B marketing? What main research topics have been investigated over time? This article answers these questions by applying bibliometric methods for the first time to the existing body of scholarly B2B research. The key findings reveal a highly dynamic discipline in the 1970s and 1980s, when new knowledge was being intensively exchanged among an increasing number of B2B researchers. Since that time, the pace of development has slowed, and diversification in the discipline manifested itself in a distinctive number of core research subfields. Yet initial research topics such as organizational buying behavior, where much research is still undone, are to a large extent not addressed by modern B2B scholars. (C) 2011 Elsevier Inc. All rights reserved.</w:t>
      </w:r>
    </w:p>
    <w:p w:rsidR="005848C0" w:rsidRDefault="005848C0" w:rsidP="005848C0">
      <w:pPr>
        <w:pStyle w:val="a0"/>
        <w:rPr>
          <w:kern w:val="0"/>
        </w:rPr>
      </w:pPr>
      <w:r>
        <w:rPr>
          <w:kern w:val="0"/>
        </w:rPr>
        <w:t>Keywords: Analysis, Author Co-Citation Analysis, Author Cocitations, B2B Marketing, Behavior, Bibliometric, Bibliometric Methods, Buyer-Seller Relationships, Citation, Citation Analysis, Co-Citation Analysis, Cocitation, Consumer Research, Development, Evolution, Intellectual Development, Intellectual Structure, Journals, Knowledge, Management, Model, Networks, Papers, Relative Presence, Research, Research Topics, Researchers, Topics</w:t>
      </w:r>
    </w:p>
    <w:p w:rsidR="00B95188" w:rsidRPr="00A428C3" w:rsidRDefault="00B95188" w:rsidP="00B95188">
      <w:pPr>
        <w:pStyle w:val="1"/>
      </w:pPr>
      <w:r w:rsidRPr="00A428C3">
        <w:br w:type="page"/>
      </w:r>
      <w:bookmarkStart w:id="975" w:name="_Toc455569475"/>
      <w:bookmarkStart w:id="976" w:name="_Toc487190717"/>
      <w:bookmarkStart w:id="977" w:name="_Toc487882222"/>
      <w:bookmarkStart w:id="978" w:name="_Toc490688044"/>
      <w:bookmarkStart w:id="979" w:name="_Toc492812155"/>
      <w:bookmarkStart w:id="980" w:name="_Toc186647850"/>
      <w:bookmarkStart w:id="981" w:name="_Toc317161149"/>
      <w:r w:rsidRPr="00A428C3">
        <w:lastRenderedPageBreak/>
        <w:t>Title: Industrial Pollution Control, the Practial Implications</w:t>
      </w:r>
      <w:bookmarkEnd w:id="975"/>
      <w:bookmarkEnd w:id="976"/>
      <w:bookmarkEnd w:id="977"/>
      <w:bookmarkEnd w:id="978"/>
      <w:bookmarkEnd w:id="979"/>
      <w:bookmarkEnd w:id="980"/>
      <w:bookmarkEnd w:id="981"/>
    </w:p>
    <w:p w:rsidR="00B95188" w:rsidRPr="00A428C3" w:rsidRDefault="00B95188" w:rsidP="00B95188">
      <w:pPr>
        <w:pStyle w:val="a0"/>
      </w:pPr>
      <w:r w:rsidRPr="00A428C3">
        <w:t xml:space="preserve">Business Books, </w:t>
      </w:r>
      <w:smartTag w:uri="urn:schemas-microsoft-com:office:smarttags" w:element="place">
        <w:smartTag w:uri="urn:schemas-microsoft-com:office:smarttags" w:element="City">
          <w:r w:rsidRPr="00A428C3">
            <w:t>London</w:t>
          </w:r>
        </w:smartTag>
      </w:smartTag>
    </w:p>
    <w:p w:rsidR="00B95188" w:rsidRPr="00A428C3" w:rsidRDefault="00B95188" w:rsidP="00B95188">
      <w:pPr>
        <w:pStyle w:val="a0"/>
      </w:pPr>
      <w:r w:rsidRPr="00A428C3">
        <w:t>Tearle, K. (1973), Industrial Pollution Control</w:t>
      </w:r>
      <w:r w:rsidRPr="00A428C3">
        <w:rPr>
          <w:iCs/>
        </w:rPr>
        <w:t xml:space="preserve">, </w:t>
      </w:r>
      <w:r w:rsidRPr="00A428C3">
        <w:t xml:space="preserve">the Practial Implications, Business Books, </w:t>
      </w:r>
      <w:smartTag w:uri="urn:schemas-microsoft-com:office:smarttags" w:element="place">
        <w:smartTag w:uri="urn:schemas-microsoft-com:office:smarttags" w:element="City">
          <w:r w:rsidRPr="00A428C3">
            <w:t>London</w:t>
          </w:r>
        </w:smartTag>
      </w:smartTag>
      <w:r w:rsidRPr="00A428C3">
        <w:t>.</w:t>
      </w:r>
    </w:p>
    <w:p w:rsidR="00B95188" w:rsidRPr="00A428C3" w:rsidRDefault="00B95188" w:rsidP="00B95188">
      <w:pPr>
        <w:pStyle w:val="a0"/>
      </w:pPr>
      <w:r w:rsidRPr="00A428C3">
        <w:t xml:space="preserve">Tearle, K. (1973), Introduction. in </w:t>
      </w:r>
      <w:r w:rsidRPr="00A428C3">
        <w:rPr>
          <w:i/>
        </w:rPr>
        <w:t>Industrial Pollution Control</w:t>
      </w:r>
      <w:r w:rsidRPr="00A428C3">
        <w:rPr>
          <w:iCs/>
        </w:rPr>
        <w:t xml:space="preserve">, </w:t>
      </w:r>
      <w:r w:rsidRPr="00A428C3">
        <w:rPr>
          <w:i/>
        </w:rPr>
        <w:t>the Practial Implications</w:t>
      </w:r>
      <w:r w:rsidRPr="00A428C3">
        <w:t xml:space="preserve">. (Edited by Tearle, K.), Business Books, </w:t>
      </w:r>
      <w:smartTag w:uri="urn:schemas-microsoft-com:office:smarttags" w:element="place">
        <w:smartTag w:uri="urn:schemas-microsoft-com:office:smarttags" w:element="City">
          <w:r w:rsidRPr="00A428C3">
            <w:t>London</w:t>
          </w:r>
        </w:smartTag>
      </w:smartTag>
      <w:r w:rsidRPr="00A428C3">
        <w:t>, 1-9.</w:t>
      </w:r>
    </w:p>
    <w:p w:rsidR="00B95188" w:rsidRPr="00A428C3" w:rsidRDefault="00B95188" w:rsidP="00B95188">
      <w:pPr>
        <w:pStyle w:val="a0"/>
      </w:pPr>
      <w:r w:rsidRPr="00A428C3">
        <w:t xml:space="preserve">Farquhar, J.T. (1973), Total systems approach to pollution control. in </w:t>
      </w:r>
      <w:r w:rsidRPr="00A428C3">
        <w:rPr>
          <w:i/>
        </w:rPr>
        <w:t>Industrial Pollution Control</w:t>
      </w:r>
      <w:r w:rsidRPr="00A428C3">
        <w:rPr>
          <w:iCs/>
        </w:rPr>
        <w:t xml:space="preserve">, </w:t>
      </w:r>
      <w:r w:rsidRPr="00A428C3">
        <w:rPr>
          <w:i/>
        </w:rPr>
        <w:t>the Practial Implications</w:t>
      </w:r>
      <w:r w:rsidRPr="00A428C3">
        <w:t xml:space="preserve">. (Edited by Tearle, K.), Business Books, </w:t>
      </w:r>
      <w:smartTag w:uri="urn:schemas-microsoft-com:office:smarttags" w:element="place">
        <w:smartTag w:uri="urn:schemas-microsoft-com:office:smarttags" w:element="City">
          <w:r w:rsidRPr="00A428C3">
            <w:t>London</w:t>
          </w:r>
        </w:smartTag>
      </w:smartTag>
      <w:r w:rsidRPr="00A428C3">
        <w:t>, 10-21.</w:t>
      </w:r>
    </w:p>
    <w:p w:rsidR="00B95188" w:rsidRPr="00A428C3" w:rsidRDefault="00B95188" w:rsidP="00B95188">
      <w:pPr>
        <w:pStyle w:val="a0"/>
      </w:pPr>
      <w:r w:rsidRPr="00A428C3">
        <w:t>O</w:t>
      </w:r>
      <w:r w:rsidR="000352E7">
        <w:t>’</w:t>
      </w:r>
      <w:r w:rsidRPr="00A428C3">
        <w:t xml:space="preserve">Dell, D.S. (1973), Medical effects of pollutants. in </w:t>
      </w:r>
      <w:r w:rsidRPr="00A428C3">
        <w:rPr>
          <w:i/>
        </w:rPr>
        <w:t>Industrial Pollution Control</w:t>
      </w:r>
      <w:r w:rsidRPr="00A428C3">
        <w:rPr>
          <w:iCs/>
        </w:rPr>
        <w:t xml:space="preserve">, </w:t>
      </w:r>
      <w:r w:rsidRPr="00A428C3">
        <w:rPr>
          <w:i/>
        </w:rPr>
        <w:t>the Practial Implications</w:t>
      </w:r>
      <w:r w:rsidRPr="00A428C3">
        <w:t xml:space="preserve">. (Edited by Tearle, K.), Business Books, </w:t>
      </w:r>
      <w:smartTag w:uri="urn:schemas-microsoft-com:office:smarttags" w:element="place">
        <w:smartTag w:uri="urn:schemas-microsoft-com:office:smarttags" w:element="City">
          <w:r w:rsidRPr="00A428C3">
            <w:t>London</w:t>
          </w:r>
        </w:smartTag>
      </w:smartTag>
      <w:r w:rsidRPr="00A428C3">
        <w:t>, 22-28.</w:t>
      </w:r>
    </w:p>
    <w:p w:rsidR="00B95188" w:rsidRPr="00A428C3" w:rsidRDefault="00B95188" w:rsidP="00B95188">
      <w:pPr>
        <w:pStyle w:val="a0"/>
      </w:pPr>
      <w:r w:rsidRPr="00A428C3">
        <w:t xml:space="preserve">Chalmers, R.K. (1973), Pretreatment of toxic wastes. in </w:t>
      </w:r>
      <w:r w:rsidRPr="00A428C3">
        <w:rPr>
          <w:i/>
        </w:rPr>
        <w:t>Industrial Pollution Control</w:t>
      </w:r>
      <w:r w:rsidRPr="00A428C3">
        <w:rPr>
          <w:iCs/>
        </w:rPr>
        <w:t xml:space="preserve">, </w:t>
      </w:r>
      <w:r w:rsidRPr="00A428C3">
        <w:rPr>
          <w:i/>
        </w:rPr>
        <w:t>the Practial Implications</w:t>
      </w:r>
      <w:r w:rsidRPr="00A428C3">
        <w:t xml:space="preserve">. (Edited by Tearle, K.), Business Books, </w:t>
      </w:r>
      <w:smartTag w:uri="urn:schemas-microsoft-com:office:smarttags" w:element="place">
        <w:smartTag w:uri="urn:schemas-microsoft-com:office:smarttags" w:element="City">
          <w:r w:rsidRPr="00A428C3">
            <w:t>London</w:t>
          </w:r>
        </w:smartTag>
      </w:smartTag>
      <w:r w:rsidRPr="00A428C3">
        <w:t>, 65-74.</w:t>
      </w:r>
    </w:p>
    <w:p w:rsidR="00B95188" w:rsidRPr="00A428C3" w:rsidRDefault="00B95188" w:rsidP="00B95188">
      <w:pPr>
        <w:pStyle w:val="1"/>
      </w:pPr>
      <w:r w:rsidRPr="00A428C3">
        <w:br w:type="page"/>
      </w:r>
      <w:bookmarkStart w:id="982" w:name="_Toc455569476"/>
      <w:bookmarkStart w:id="983" w:name="_Toc487190718"/>
      <w:bookmarkStart w:id="984" w:name="_Toc487882223"/>
      <w:bookmarkStart w:id="985" w:name="_Toc490688045"/>
      <w:bookmarkStart w:id="986" w:name="_Toc492812156"/>
      <w:bookmarkStart w:id="987" w:name="_Toc186647851"/>
      <w:bookmarkStart w:id="988" w:name="_Toc317161150"/>
      <w:r w:rsidRPr="00A428C3">
        <w:lastRenderedPageBreak/>
        <w:t>Title: Industrial Waste</w:t>
      </w:r>
      <w:bookmarkEnd w:id="982"/>
      <w:bookmarkEnd w:id="983"/>
      <w:bookmarkEnd w:id="984"/>
      <w:bookmarkEnd w:id="985"/>
      <w:bookmarkEnd w:id="986"/>
      <w:r w:rsidRPr="00A428C3">
        <w:t>s</w:t>
      </w:r>
      <w:bookmarkEnd w:id="987"/>
      <w:bookmarkEnd w:id="988"/>
    </w:p>
    <w:p w:rsidR="00B95188" w:rsidRPr="00A428C3" w:rsidRDefault="00B95188" w:rsidP="00B72EF9">
      <w:pPr>
        <w:pStyle w:val="12"/>
      </w:pPr>
      <w:bookmarkStart w:id="989" w:name="Roherer"/>
      <w:r w:rsidRPr="00A428C3">
        <w:t>Full Journal Title: Industrial Wastes</w:t>
      </w:r>
    </w:p>
    <w:p w:rsidR="00B95188" w:rsidRPr="00A428C3" w:rsidRDefault="00B95188" w:rsidP="00B72EF9">
      <w:pPr>
        <w:pStyle w:val="12"/>
      </w:pPr>
      <w:r w:rsidRPr="00A428C3">
        <w:t>ISO Abbreviated Title: Ind. Wat.</w:t>
      </w:r>
    </w:p>
    <w:p w:rsidR="00B95188" w:rsidRPr="00A428C3" w:rsidRDefault="00B95188" w:rsidP="00B72EF9">
      <w:pPr>
        <w:pStyle w:val="12"/>
      </w:pPr>
      <w:r w:rsidRPr="00A428C3">
        <w:t>JCR Abbreviated Title: Ind Wat</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Roherer</w:t>
      </w:r>
      <w:bookmarkEnd w:id="989"/>
      <w:r w:rsidRPr="00A428C3">
        <w:t>, K.L. (1971), An integrated facility for the treatment of lead</w:t>
      </w:r>
      <w:r w:rsidR="00F81221">
        <w:t xml:space="preserve"> and </w:t>
      </w:r>
      <w:bookmarkStart w:id="990" w:name="fluoride"/>
      <w:r w:rsidRPr="00A428C3">
        <w:t>fluoride</w:t>
      </w:r>
      <w:bookmarkEnd w:id="990"/>
      <w:r w:rsidRPr="00A428C3">
        <w:t xml:space="preserve"> wastes. </w:t>
      </w:r>
      <w:r w:rsidRPr="00A428C3">
        <w:rPr>
          <w:i/>
        </w:rPr>
        <w:t>Industrial Wastes</w:t>
      </w:r>
      <w:r w:rsidRPr="00A428C3">
        <w:t xml:space="preserve">, </w:t>
      </w:r>
      <w:r w:rsidRPr="00A428C3">
        <w:rPr>
          <w:b/>
        </w:rPr>
        <w:t>17</w:t>
      </w:r>
      <w:r w:rsidRPr="00A428C3">
        <w:t>, 36-39.</w:t>
      </w:r>
    </w:p>
    <w:p w:rsidR="00B95188" w:rsidRPr="00A428C3" w:rsidRDefault="00B95188" w:rsidP="00B95188">
      <w:pPr>
        <w:pStyle w:val="1"/>
      </w:pPr>
      <w:r w:rsidRPr="00A428C3">
        <w:br w:type="page"/>
      </w:r>
      <w:bookmarkStart w:id="991" w:name="_Toc186647852"/>
      <w:bookmarkStart w:id="992" w:name="_Toc317161151"/>
      <w:r w:rsidRPr="00A428C3">
        <w:lastRenderedPageBreak/>
        <w:t xml:space="preserve">Title: </w:t>
      </w:r>
      <w:r w:rsidRPr="00586CD8">
        <w:t>Industrial Water Treatment</w:t>
      </w:r>
      <w:bookmarkEnd w:id="991"/>
      <w:bookmarkEnd w:id="992"/>
    </w:p>
    <w:p w:rsidR="00B95188" w:rsidRPr="00A428C3" w:rsidRDefault="00B95188" w:rsidP="00B72EF9">
      <w:pPr>
        <w:pStyle w:val="12"/>
      </w:pPr>
      <w:r w:rsidRPr="00A428C3">
        <w:t xml:space="preserve">Full Journal Title: </w:t>
      </w:r>
      <w:hyperlink r:id="rId1347" w:history="1">
        <w:r w:rsidRPr="00A26787">
          <w:rPr>
            <w:rStyle w:val="a5"/>
          </w:rPr>
          <w:t>Industrial Water Treatment</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1005-829X</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Default="00B95188" w:rsidP="00B95188">
      <w:pPr>
        <w:pStyle w:val="a0"/>
      </w:pPr>
      <w:r w:rsidRPr="00A428C3">
        <w:t xml:space="preserve">? He, X.H. (2004), Removal of heavy metals from wastewater by using peat adsor. </w:t>
      </w:r>
      <w:r w:rsidRPr="00A428C3">
        <w:rPr>
          <w:i/>
          <w:iCs/>
          <w:color w:val="000000"/>
          <w:szCs w:val="12"/>
          <w:lang w:eastAsia="zh-CN"/>
        </w:rPr>
        <w:t>Industrial Water Treatment</w:t>
      </w:r>
      <w:r w:rsidRPr="00A428C3">
        <w:rPr>
          <w:lang w:eastAsia="zh-CN"/>
        </w:rPr>
        <w:t xml:space="preserve">, </w:t>
      </w:r>
      <w:r w:rsidRPr="00A428C3">
        <w:rPr>
          <w:b/>
          <w:lang w:eastAsia="zh-CN"/>
        </w:rPr>
        <w:t>24</w:t>
      </w:r>
      <w:r w:rsidRPr="00A428C3">
        <w:rPr>
          <w:lang w:eastAsia="zh-CN"/>
        </w:rPr>
        <w:t xml:space="preserve"> (9), 1-4.</w:t>
      </w:r>
    </w:p>
    <w:p w:rsidR="00A26787" w:rsidRPr="00A428C3" w:rsidRDefault="00A26787" w:rsidP="00AE3B3D">
      <w:pPr>
        <w:pStyle w:val="a0"/>
      </w:pPr>
      <w:r>
        <w:rPr>
          <w:rFonts w:hint="eastAsia"/>
        </w:rPr>
        <w:t xml:space="preserve">Full Text: </w:t>
      </w:r>
      <w:hyperlink r:id="rId1348" w:history="1">
        <w:r w:rsidR="00AE3B3D" w:rsidRPr="00AE3B3D">
          <w:rPr>
            <w:rStyle w:val="a5"/>
          </w:rPr>
          <w:t>2004\Ind Wat Tre24, 1.pdf</w:t>
        </w:r>
      </w:hyperlink>
    </w:p>
    <w:p w:rsidR="00167F3A" w:rsidRDefault="00167F3A" w:rsidP="00167F3A">
      <w:pPr>
        <w:pStyle w:val="a0"/>
      </w:pPr>
      <w:r>
        <w:rPr>
          <w:lang w:eastAsia="zh-CN"/>
        </w:rPr>
        <w:t>Abstract: The physicochemical properties of peat, a natural</w:t>
      </w:r>
      <w:r w:rsidR="00F81221">
        <w:rPr>
          <w:lang w:eastAsia="zh-CN"/>
        </w:rPr>
        <w:t xml:space="preserve"> and </w:t>
      </w:r>
      <w:r>
        <w:rPr>
          <w:lang w:eastAsia="zh-CN"/>
        </w:rPr>
        <w:t>cheap mineral, are introduced. The modifying methods of peat</w:t>
      </w:r>
      <w:r w:rsidR="00F81221">
        <w:rPr>
          <w:lang w:eastAsia="zh-CN"/>
        </w:rPr>
        <w:t xml:space="preserve"> and </w:t>
      </w:r>
      <w:r>
        <w:rPr>
          <w:lang w:eastAsia="zh-CN"/>
        </w:rPr>
        <w:t>its adsorption capacity for various heavy metals are reviewed. The influences of pH, modifying method,</w:t>
      </w:r>
      <w:r w:rsidR="00F81221">
        <w:rPr>
          <w:lang w:eastAsia="zh-CN"/>
        </w:rPr>
        <w:t xml:space="preserve"> and </w:t>
      </w:r>
      <w:r>
        <w:rPr>
          <w:lang w:eastAsia="zh-CN"/>
        </w:rPr>
        <w:t>concentrations of competing metals on peat adsorption are discussed. The adsorption mechanisms</w:t>
      </w:r>
      <w:r w:rsidR="00F81221">
        <w:rPr>
          <w:lang w:eastAsia="zh-CN"/>
        </w:rPr>
        <w:t xml:space="preserve"> and </w:t>
      </w:r>
      <w:r>
        <w:rPr>
          <w:lang w:eastAsia="zh-CN"/>
        </w:rPr>
        <w:t>rules of peat are summarized. The mechanisms of heavy metal ions binding to peat includes ion exchange, complexation, surface adsorption,</w:t>
      </w:r>
      <w:r w:rsidR="00F81221">
        <w:rPr>
          <w:lang w:eastAsia="zh-CN"/>
        </w:rPr>
        <w:t xml:space="preserve"> and </w:t>
      </w:r>
      <w:r>
        <w:rPr>
          <w:lang w:eastAsia="zh-CN"/>
        </w:rPr>
        <w:t>chemisorption. The sorption usually conforms to Langmuir isotherm or Freundlich isotherm. At the end, the application prospects of peat on the treatment of wastewater containing heavy metals are forecast,</w:t>
      </w:r>
      <w:r w:rsidR="00F81221">
        <w:rPr>
          <w:lang w:eastAsia="zh-CN"/>
        </w:rPr>
        <w:t xml:space="preserve"> and </w:t>
      </w:r>
      <w:r>
        <w:rPr>
          <w:lang w:eastAsia="zh-CN"/>
        </w:rPr>
        <w:t>some suggestions are proposed.</w:t>
      </w:r>
    </w:p>
    <w:p w:rsidR="00167F3A" w:rsidRDefault="00167F3A" w:rsidP="00167F3A">
      <w:pPr>
        <w:pStyle w:val="a0"/>
      </w:pPr>
      <w:r>
        <w:rPr>
          <w:lang w:eastAsia="zh-CN"/>
        </w:rPr>
        <w:t>Keywords: Peat, Heavy Metals, Wastewater</w:t>
      </w:r>
    </w:p>
    <w:p w:rsidR="005A7DB3" w:rsidRDefault="005A7DB3" w:rsidP="00167F3A">
      <w:pPr>
        <w:pStyle w:val="a0"/>
      </w:pPr>
      <w:r w:rsidRPr="00A428C3">
        <w:t xml:space="preserve">? </w:t>
      </w:r>
      <w:r>
        <w:t>Chen</w:t>
      </w:r>
      <w:r>
        <w:rPr>
          <w:rFonts w:hint="eastAsia"/>
        </w:rPr>
        <w:t>,</w:t>
      </w:r>
      <w:r>
        <w:t xml:space="preserve"> W</w:t>
      </w:r>
      <w:r>
        <w:rPr>
          <w:rFonts w:hint="eastAsia"/>
        </w:rPr>
        <w:t>.S.</w:t>
      </w:r>
      <w:r>
        <w:t>, Wei</w:t>
      </w:r>
      <w:r>
        <w:rPr>
          <w:rFonts w:hint="eastAsia"/>
        </w:rPr>
        <w:t>,</w:t>
      </w:r>
      <w:r>
        <w:t xml:space="preserve"> M</w:t>
      </w:r>
      <w:r>
        <w:rPr>
          <w:rFonts w:hint="eastAsia"/>
        </w:rPr>
        <w:t>.</w:t>
      </w:r>
      <w:r>
        <w:t>, Li</w:t>
      </w:r>
      <w:r>
        <w:rPr>
          <w:rFonts w:hint="eastAsia"/>
        </w:rPr>
        <w:t>,</w:t>
      </w:r>
      <w:r>
        <w:t xml:space="preserve"> Y</w:t>
      </w:r>
      <w:r>
        <w:rPr>
          <w:rFonts w:hint="eastAsia"/>
        </w:rPr>
        <w:t>.J.</w:t>
      </w:r>
      <w:r w:rsidR="00F81221">
        <w:rPr>
          <w:rFonts w:hint="eastAsia"/>
        </w:rPr>
        <w:t xml:space="preserve"> and </w:t>
      </w:r>
      <w:r>
        <w:t>Gao</w:t>
      </w:r>
      <w:r>
        <w:rPr>
          <w:rFonts w:hint="eastAsia"/>
        </w:rPr>
        <w:t>,</w:t>
      </w:r>
      <w:r>
        <w:t xml:space="preserve"> B</w:t>
      </w:r>
      <w:r>
        <w:rPr>
          <w:rFonts w:hint="eastAsia"/>
        </w:rPr>
        <w:t>.Y.</w:t>
      </w:r>
      <w:r w:rsidRPr="00A428C3">
        <w:t xml:space="preserve"> (2004), </w:t>
      </w:r>
      <w:r>
        <w:t>Adsorption removal of anionic surfactants from aqueous solution by Zn-Al-O mixed oxide</w:t>
      </w:r>
      <w:r w:rsidRPr="00A428C3">
        <w:t xml:space="preserve">. </w:t>
      </w:r>
      <w:r w:rsidRPr="00A428C3">
        <w:rPr>
          <w:i/>
          <w:iCs/>
          <w:color w:val="000000"/>
          <w:szCs w:val="12"/>
          <w:lang w:eastAsia="zh-CN"/>
        </w:rPr>
        <w:t>Industrial Water Treatment</w:t>
      </w:r>
      <w:r w:rsidRPr="00A428C3">
        <w:rPr>
          <w:lang w:eastAsia="zh-CN"/>
        </w:rPr>
        <w:t xml:space="preserve">, </w:t>
      </w:r>
      <w:r w:rsidRPr="00A428C3">
        <w:rPr>
          <w:b/>
          <w:lang w:eastAsia="zh-CN"/>
        </w:rPr>
        <w:t>2</w:t>
      </w:r>
      <w:r>
        <w:rPr>
          <w:rFonts w:hint="eastAsia"/>
          <w:b/>
        </w:rPr>
        <w:t>7</w:t>
      </w:r>
      <w:r w:rsidRPr="00A428C3">
        <w:rPr>
          <w:lang w:eastAsia="zh-CN"/>
        </w:rPr>
        <w:t xml:space="preserve"> (</w:t>
      </w:r>
      <w:r>
        <w:rPr>
          <w:rFonts w:hint="eastAsia"/>
        </w:rPr>
        <w:t>11</w:t>
      </w:r>
      <w:r w:rsidRPr="00A428C3">
        <w:rPr>
          <w:lang w:eastAsia="zh-CN"/>
        </w:rPr>
        <w:t xml:space="preserve">), </w:t>
      </w:r>
      <w:r>
        <w:t>52-54</w:t>
      </w:r>
      <w:r w:rsidRPr="00A428C3">
        <w:rPr>
          <w:lang w:eastAsia="zh-CN"/>
        </w:rPr>
        <w:t>.</w:t>
      </w:r>
    </w:p>
    <w:p w:rsidR="00A26787" w:rsidRPr="00A428C3" w:rsidRDefault="00A26787" w:rsidP="00AE3B3D">
      <w:pPr>
        <w:pStyle w:val="a0"/>
      </w:pPr>
      <w:r>
        <w:rPr>
          <w:rFonts w:hint="eastAsia"/>
        </w:rPr>
        <w:t xml:space="preserve">Full Text: </w:t>
      </w:r>
      <w:hyperlink r:id="rId1349" w:history="1">
        <w:r w:rsidR="00AE3B3D" w:rsidRPr="00AE3B3D">
          <w:rPr>
            <w:rStyle w:val="a5"/>
          </w:rPr>
          <w:t>2004\Ind Wat Tre27, 52.pdf</w:t>
        </w:r>
      </w:hyperlink>
    </w:p>
    <w:p w:rsidR="005A7DB3" w:rsidRDefault="005A7DB3" w:rsidP="005A7DB3">
      <w:pPr>
        <w:pStyle w:val="a0"/>
      </w:pPr>
      <w:r>
        <w:t>Abstract: A hydrotalcite-like compound has been prepared by coprecipitation method.</w:t>
      </w:r>
      <w:r>
        <w:rPr>
          <w:rFonts w:hint="eastAsia"/>
        </w:rPr>
        <w:t xml:space="preserve"> </w:t>
      </w:r>
      <w:r>
        <w:t>The hydrotalcite-like compound is calcined at 500°C,</w:t>
      </w:r>
      <w:r>
        <w:rPr>
          <w:rFonts w:hint="eastAsia"/>
        </w:rPr>
        <w:t xml:space="preserve"> </w:t>
      </w:r>
      <w:r>
        <w:t>transformed into Zn-Al-O mixed oxide.</w:t>
      </w:r>
      <w:r>
        <w:rPr>
          <w:rFonts w:hint="eastAsia"/>
        </w:rPr>
        <w:t xml:space="preserve"> </w:t>
      </w:r>
      <w:r>
        <w:t>The hydrotalcite-like compound</w:t>
      </w:r>
      <w:r w:rsidR="00F81221">
        <w:t xml:space="preserve"> and </w:t>
      </w:r>
      <w:r>
        <w:t>Zn-Al-Al-O mixed oxide are characterized by XRD,</w:t>
      </w:r>
      <w:r>
        <w:rPr>
          <w:rFonts w:hint="eastAsia"/>
        </w:rPr>
        <w:t xml:space="preserve"> </w:t>
      </w:r>
      <w:r>
        <w:t>TG/DTA</w:t>
      </w:r>
      <w:r w:rsidR="00F81221">
        <w:t xml:space="preserve"> and </w:t>
      </w:r>
      <w:r>
        <w:t>FT-IR respectively.</w:t>
      </w:r>
      <w:r>
        <w:rPr>
          <w:rFonts w:hint="eastAsia"/>
        </w:rPr>
        <w:t xml:space="preserve"> </w:t>
      </w:r>
      <w:r>
        <w:t>The removal of anionic surfactants from aqueous solution by the Zn-Al-O mixed oxide has been investigated.</w:t>
      </w:r>
      <w:r>
        <w:rPr>
          <w:rFonts w:hint="eastAsia"/>
        </w:rPr>
        <w:t xml:space="preserve"> </w:t>
      </w:r>
      <w:r>
        <w:t>The conditions of the experiment</w:t>
      </w:r>
      <w:r w:rsidR="00F81221">
        <w:t xml:space="preserve"> and </w:t>
      </w:r>
      <w:r>
        <w:t>the influential factors are studied</w:t>
      </w:r>
      <w:r w:rsidR="00F81221">
        <w:t xml:space="preserve"> and </w:t>
      </w:r>
      <w:r>
        <w:t>the adsorption mechanism is discussed.</w:t>
      </w:r>
      <w:r>
        <w:rPr>
          <w:rFonts w:hint="eastAsia"/>
        </w:rPr>
        <w:t xml:space="preserve"> </w:t>
      </w:r>
      <w:r>
        <w:t>The results show that the Zn-Al-O oxide has remarkable effect on the removal rate of anionic surfactants.</w:t>
      </w:r>
    </w:p>
    <w:p w:rsidR="005A7DB3" w:rsidRPr="00A428C3" w:rsidRDefault="005A7DB3" w:rsidP="005A7DB3">
      <w:pPr>
        <w:pStyle w:val="a0"/>
      </w:pPr>
      <w:r>
        <w:lastRenderedPageBreak/>
        <w:t>Keywords: Hydrotalcite-Like Compound, Zn-Al-O Mixed Oxide, Adsorption, Anionic Surfactants</w:t>
      </w:r>
    </w:p>
    <w:p w:rsidR="005E6E43" w:rsidRDefault="005E6E43" w:rsidP="00694704">
      <w:pPr>
        <w:pStyle w:val="a0"/>
      </w:pPr>
      <w:r w:rsidRPr="00A428C3">
        <w:t xml:space="preserve">? </w:t>
      </w:r>
      <w:r>
        <w:t>Jiao</w:t>
      </w:r>
      <w:r>
        <w:rPr>
          <w:rFonts w:hint="eastAsia"/>
        </w:rPr>
        <w:t>,</w:t>
      </w:r>
      <w:r>
        <w:t xml:space="preserve"> L</w:t>
      </w:r>
      <w:r>
        <w:rPr>
          <w:rFonts w:hint="eastAsia"/>
        </w:rPr>
        <w:t>.M.</w:t>
      </w:r>
      <w:r>
        <w:t>, Liao</w:t>
      </w:r>
      <w:r>
        <w:rPr>
          <w:rFonts w:hint="eastAsia"/>
        </w:rPr>
        <w:t>,</w:t>
      </w:r>
      <w:r>
        <w:t xml:space="preserve"> X</w:t>
      </w:r>
      <w:r>
        <w:rPr>
          <w:rFonts w:hint="eastAsia"/>
        </w:rPr>
        <w:t>.P.</w:t>
      </w:r>
      <w:r w:rsidR="00F81221">
        <w:rPr>
          <w:rFonts w:hint="eastAsia"/>
        </w:rPr>
        <w:t xml:space="preserve"> and </w:t>
      </w:r>
      <w:r>
        <w:t>Shi</w:t>
      </w:r>
      <w:r>
        <w:rPr>
          <w:rFonts w:hint="eastAsia"/>
        </w:rPr>
        <w:t>,</w:t>
      </w:r>
      <w:r>
        <w:t xml:space="preserve"> B</w:t>
      </w:r>
      <w:r>
        <w:rPr>
          <w:rFonts w:hint="eastAsia"/>
        </w:rPr>
        <w:t>.</w:t>
      </w:r>
      <w:r w:rsidRPr="00A428C3">
        <w:t xml:space="preserve"> (200</w:t>
      </w:r>
      <w:r w:rsidR="00694704">
        <w:rPr>
          <w:rFonts w:hint="eastAsia"/>
        </w:rPr>
        <w:t>8</w:t>
      </w:r>
      <w:r w:rsidRPr="00A428C3">
        <w:t xml:space="preserve">), </w:t>
      </w:r>
      <w:r>
        <w:rPr>
          <w:rFonts w:hint="eastAsia"/>
        </w:rPr>
        <w:t>Adsorption of Cr(VI) from electroplating wastewater by collagen fiber immobilized ferric(III)</w:t>
      </w:r>
      <w:r w:rsidRPr="00A428C3">
        <w:t xml:space="preserve">. </w:t>
      </w:r>
      <w:r w:rsidRPr="00A428C3">
        <w:rPr>
          <w:i/>
          <w:iCs/>
          <w:color w:val="000000"/>
          <w:szCs w:val="12"/>
          <w:lang w:eastAsia="zh-CN"/>
        </w:rPr>
        <w:t>Industrial Water Treatment</w:t>
      </w:r>
      <w:r w:rsidRPr="00A428C3">
        <w:rPr>
          <w:lang w:eastAsia="zh-CN"/>
        </w:rPr>
        <w:t xml:space="preserve">, </w:t>
      </w:r>
      <w:r w:rsidRPr="00A428C3">
        <w:rPr>
          <w:b/>
          <w:lang w:eastAsia="zh-CN"/>
        </w:rPr>
        <w:t>2</w:t>
      </w:r>
      <w:r w:rsidR="00694704">
        <w:rPr>
          <w:rFonts w:hint="eastAsia"/>
          <w:b/>
        </w:rPr>
        <w:t>8</w:t>
      </w:r>
      <w:r w:rsidRPr="00A428C3">
        <w:rPr>
          <w:lang w:eastAsia="zh-CN"/>
        </w:rPr>
        <w:t xml:space="preserve"> (</w:t>
      </w:r>
      <w:r w:rsidR="00694704">
        <w:rPr>
          <w:rFonts w:hint="eastAsia"/>
        </w:rPr>
        <w:t>9</w:t>
      </w:r>
      <w:r w:rsidRPr="00A428C3">
        <w:rPr>
          <w:lang w:eastAsia="zh-CN"/>
        </w:rPr>
        <w:t xml:space="preserve">), </w:t>
      </w:r>
      <w:r w:rsidR="00694704">
        <w:t>17-20</w:t>
      </w:r>
      <w:r w:rsidRPr="00A428C3">
        <w:rPr>
          <w:lang w:eastAsia="zh-CN"/>
        </w:rPr>
        <w:t>.</w:t>
      </w:r>
    </w:p>
    <w:p w:rsidR="00A26787" w:rsidRPr="00A428C3" w:rsidRDefault="00A26787" w:rsidP="00597254">
      <w:pPr>
        <w:pStyle w:val="a0"/>
      </w:pPr>
      <w:r>
        <w:rPr>
          <w:rFonts w:hint="eastAsia"/>
        </w:rPr>
        <w:t xml:space="preserve">Full Text: </w:t>
      </w:r>
      <w:hyperlink r:id="rId1350" w:history="1">
        <w:r w:rsidR="00597254" w:rsidRPr="00597254">
          <w:rPr>
            <w:rStyle w:val="a5"/>
          </w:rPr>
          <w:t>2008\Ind Wat Tre28, 17.pdf</w:t>
        </w:r>
      </w:hyperlink>
    </w:p>
    <w:p w:rsidR="005E6E43" w:rsidRDefault="005E6E43" w:rsidP="005E6E43">
      <w:pPr>
        <w:pStyle w:val="a0"/>
      </w:pPr>
      <w:r>
        <w:rPr>
          <w:rFonts w:hint="eastAsia"/>
        </w:rPr>
        <w:t>Abstract: A new adsorbent, collagen fiber immobilized Fe</w:t>
      </w:r>
      <w:r>
        <w:rPr>
          <w:rFonts w:hint="eastAsia"/>
          <w:vertAlign w:val="superscript"/>
        </w:rPr>
        <w:t>3+</w:t>
      </w:r>
      <w:r>
        <w:rPr>
          <w:rFonts w:hint="eastAsia"/>
        </w:rPr>
        <w:t>(FeICF), has been prepared,</w:t>
      </w:r>
      <w:r w:rsidR="00F81221">
        <w:rPr>
          <w:rFonts w:hint="eastAsia"/>
        </w:rPr>
        <w:t xml:space="preserve"> and </w:t>
      </w:r>
      <w:r>
        <w:rPr>
          <w:rFonts w:hint="eastAsia"/>
        </w:rPr>
        <w:t>its adsorption behaviors to Cr(VI) in electroplating wastewater has been investigated. It is found that the adsorption capacity of Cr(VI) on FeICF is more than 21.0 mg/g in the pH range of 3.0-8.0. The removal extent of Cr(VI) increases with the increase of adsorbent offer. When the initial concentration of Cr(VI) in the mixed solution is 25 mg/L,</w:t>
      </w:r>
      <w:r w:rsidR="00F81221">
        <w:rPr>
          <w:rFonts w:hint="eastAsia"/>
        </w:rPr>
        <w:t xml:space="preserve"> and </w:t>
      </w:r>
      <w:r>
        <w:rPr>
          <w:rFonts w:hint="eastAsia"/>
        </w:rPr>
        <w:t>the adsorbent dosage is 0.100 g, the removal rate of Cr(VI) by FeICF is 71.5%, while it is 90.3% with 0.500 g of adsorbent. The absorbing effect of co-existed cations, like Ni(II), Cu(II)</w:t>
      </w:r>
      <w:r w:rsidR="00F81221">
        <w:rPr>
          <w:rFonts w:hint="eastAsia"/>
        </w:rPr>
        <w:t xml:space="preserve"> and </w:t>
      </w:r>
      <w:r>
        <w:rPr>
          <w:rFonts w:hint="eastAsia"/>
        </w:rPr>
        <w:t>Zn(II) in the solution, on the removal of Cr(VI) is inconsiderable. The adsorption rate of Cr(VI) by FeICF is fast,</w:t>
      </w:r>
      <w:r w:rsidR="00F81221">
        <w:rPr>
          <w:rFonts w:hint="eastAsia"/>
        </w:rPr>
        <w:t xml:space="preserve"> and </w:t>
      </w:r>
      <w:r>
        <w:rPr>
          <w:rFonts w:hint="eastAsia"/>
        </w:rPr>
        <w:t>the adsorption equilibrium is attained in 50 min. The adsorption kinetic of Cr(VI) can be well described by the pseudo-second-order rate model. Furthermore, the results of column adsorption</w:t>
      </w:r>
      <w:r w:rsidR="00F81221">
        <w:rPr>
          <w:rFonts w:hint="eastAsia"/>
        </w:rPr>
        <w:t xml:space="preserve"> and </w:t>
      </w:r>
      <w:r>
        <w:rPr>
          <w:rFonts w:hint="eastAsia"/>
        </w:rPr>
        <w:t>desorption experiments show that FeICF could be effectively u</w:t>
      </w:r>
      <w:r>
        <w:t>sed for the adsorption</w:t>
      </w:r>
      <w:r>
        <w:rPr>
          <w:rFonts w:hint="eastAsia"/>
        </w:rPr>
        <w:t xml:space="preserve"> </w:t>
      </w:r>
      <w:r>
        <w:t>removal of Cr</w:t>
      </w:r>
      <w:r>
        <w:rPr>
          <w:rFonts w:hint="eastAsia"/>
        </w:rPr>
        <w:t>(VI)</w:t>
      </w:r>
      <w:r>
        <w:t xml:space="preserve"> from electroplating wastewater. </w:t>
      </w:r>
    </w:p>
    <w:p w:rsidR="005E6E43" w:rsidRDefault="005E6E43" w:rsidP="005E6E43">
      <w:pPr>
        <w:pStyle w:val="a0"/>
      </w:pPr>
      <w:r>
        <w:t>Keywords: Collagen Fiber, Immobilized Ferric</w:t>
      </w:r>
      <w:r>
        <w:rPr>
          <w:rFonts w:hint="eastAsia"/>
        </w:rPr>
        <w:t>(III)</w:t>
      </w:r>
      <w:r>
        <w:t>, Adsorption, Electroplating Wastewater</w:t>
      </w:r>
    </w:p>
    <w:p w:rsidR="00B95188" w:rsidRPr="00A428C3" w:rsidRDefault="00B95188" w:rsidP="00B95188">
      <w:pPr>
        <w:pStyle w:val="1"/>
      </w:pPr>
      <w:r w:rsidRPr="00A428C3">
        <w:rPr>
          <w:lang w:eastAsia="zh-CN"/>
        </w:rPr>
        <w:br w:type="page"/>
      </w:r>
      <w:bookmarkStart w:id="993" w:name="_Toc186647853"/>
      <w:bookmarkStart w:id="994" w:name="_Toc317161152"/>
      <w:r w:rsidRPr="00A428C3">
        <w:lastRenderedPageBreak/>
        <w:t>Title: Industrie Alimentari</w:t>
      </w:r>
      <w:bookmarkEnd w:id="993"/>
      <w:bookmarkEnd w:id="994"/>
    </w:p>
    <w:p w:rsidR="00B95188" w:rsidRPr="00A428C3" w:rsidRDefault="00B95188" w:rsidP="00B72EF9">
      <w:pPr>
        <w:pStyle w:val="12"/>
      </w:pPr>
      <w:r w:rsidRPr="00A428C3">
        <w:t>Full Journal Title: Industrie Alimentari</w:t>
      </w:r>
    </w:p>
    <w:p w:rsidR="00B95188" w:rsidRPr="00A428C3" w:rsidRDefault="00B95188" w:rsidP="00B72EF9">
      <w:pPr>
        <w:pStyle w:val="12"/>
      </w:pPr>
      <w:r w:rsidRPr="00A428C3">
        <w:t>ISO Abbreviated Title: Ind. Aliment.</w:t>
      </w:r>
    </w:p>
    <w:p w:rsidR="00B95188" w:rsidRPr="00A428C3" w:rsidRDefault="00B95188" w:rsidP="00B72EF9">
      <w:pPr>
        <w:pStyle w:val="12"/>
      </w:pPr>
      <w:r w:rsidRPr="00A428C3">
        <w:t>JCR Abbreviated Title: Ind Aliment-Italy</w:t>
      </w:r>
    </w:p>
    <w:p w:rsidR="00B95188" w:rsidRPr="00A428C3" w:rsidRDefault="00B95188" w:rsidP="00B72EF9">
      <w:pPr>
        <w:pStyle w:val="12"/>
      </w:pPr>
      <w:r w:rsidRPr="00A428C3">
        <w:t>ISSN: 0019-901X</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Italy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Chiriotti Editori</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66</w:t>
        </w:r>
      </w:smartTag>
      <w:r w:rsidRPr="00A428C3">
        <w:t xml:space="preserve">, 10064 </w:t>
      </w:r>
      <w:smartTag w:uri="urn:schemas-microsoft-com:office:smarttags" w:element="place">
        <w:smartTag w:uri="urn:schemas-microsoft-com:office:smarttags" w:element="City">
          <w:r w:rsidRPr="00A428C3">
            <w:t>Pinerolo</w:t>
          </w:r>
        </w:smartTag>
        <w:r w:rsidRPr="00A428C3">
          <w:t xml:space="preserve">, </w:t>
        </w:r>
        <w:smartTag w:uri="urn:schemas-microsoft-com:office:smarttags" w:element="country-region">
          <w:r w:rsidRPr="00A428C3">
            <w:t>Italy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Food Science &amp; Technology: Impact Factor 0.036, / (2001)</w:t>
      </w:r>
    </w:p>
    <w:p w:rsidR="00B95188" w:rsidRPr="00A428C3" w:rsidRDefault="00B95188" w:rsidP="00B95188">
      <w:pPr>
        <w:pStyle w:val="a0"/>
      </w:pPr>
      <w:r w:rsidRPr="00A428C3">
        <w:t>? Pagella, C., Galli, R.</w:t>
      </w:r>
      <w:r w:rsidR="00F81221">
        <w:t xml:space="preserve"> and </w:t>
      </w:r>
      <w:r w:rsidRPr="00A428C3">
        <w:t xml:space="preserve">De Faveri, D.M. (1998), Water reuse in industrial food processing. </w:t>
      </w:r>
      <w:r w:rsidRPr="00A428C3">
        <w:rPr>
          <w:i/>
          <w:iCs/>
        </w:rPr>
        <w:t>Industrie Alimentari</w:t>
      </w:r>
      <w:r w:rsidRPr="00A428C3">
        <w:t xml:space="preserve">, </w:t>
      </w:r>
      <w:r w:rsidRPr="00A428C3">
        <w:rPr>
          <w:b/>
        </w:rPr>
        <w:t>3-8</w:t>
      </w:r>
      <w:r w:rsidRPr="00A428C3">
        <w:t>, Suppl. 13.</w:t>
      </w:r>
    </w:p>
    <w:p w:rsidR="00B95188" w:rsidRPr="00A428C3" w:rsidRDefault="00B95188" w:rsidP="00B95188">
      <w:pPr>
        <w:pStyle w:val="a0"/>
        <w:rPr>
          <w:rFonts w:eastAsia="Arial Unicode MS"/>
        </w:rPr>
      </w:pPr>
      <w:r w:rsidRPr="00A428C3">
        <w:t>Abstract: While water, as an industrial commodity, is considered increasingly as a valuable material</w:t>
      </w:r>
      <w:r w:rsidR="00F81221">
        <w:t xml:space="preserve"> and </w:t>
      </w:r>
      <w:r w:rsidRPr="00A428C3">
        <w:t>the subject of responsible care for the environment, water reuse is increasingly regarded as a tool for substantial reduction in water supply needs,</w:t>
      </w:r>
      <w:r w:rsidR="00F81221">
        <w:t xml:space="preserve"> and </w:t>
      </w:r>
      <w:r w:rsidRPr="00A428C3">
        <w:t>saving in related costs.</w:t>
      </w:r>
    </w:p>
    <w:p w:rsidR="00B95188" w:rsidRPr="00A428C3" w:rsidRDefault="00B95188" w:rsidP="00B95188">
      <w:pPr>
        <w:pStyle w:val="a0"/>
      </w:pPr>
      <w:r w:rsidRPr="00A428C3">
        <w:t>A strategic approach to water reuse must be based on a systematic analysis</w:t>
      </w:r>
      <w:r w:rsidR="00F81221">
        <w:t xml:space="preserve"> and </w:t>
      </w:r>
      <w:r w:rsidRPr="00A428C3">
        <w:t>on the principle that any water user must never use more water of a higher quality than strictly needed.</w:t>
      </w:r>
    </w:p>
    <w:p w:rsidR="00B95188" w:rsidRPr="00A428C3" w:rsidRDefault="00B95188" w:rsidP="00B95188">
      <w:pPr>
        <w:pStyle w:val="a0"/>
      </w:pPr>
      <w:r w:rsidRPr="00A428C3">
        <w:t>In this paper some hints are given for implementing water reuse in the food processing industry, particularly referring to the practical case of tomato processing for which a case study is also reported.</w:t>
      </w:r>
    </w:p>
    <w:p w:rsidR="00B95188" w:rsidRPr="00A428C3" w:rsidRDefault="00B95188" w:rsidP="00B95188">
      <w:pPr>
        <w:pStyle w:val="a0"/>
      </w:pPr>
      <w:r w:rsidRPr="00A428C3">
        <w:t>The results clearly show how remarkable environmental</w:t>
      </w:r>
      <w:r w:rsidR="00F81221">
        <w:t xml:space="preserve"> and </w:t>
      </w:r>
      <w:r w:rsidRPr="00A428C3">
        <w:t>economic advantages can be simply obtained by implementing low investment cost solutions,</w:t>
      </w:r>
      <w:r w:rsidR="00F81221">
        <w:t xml:space="preserve"> and </w:t>
      </w:r>
      <w:r w:rsidRPr="00A428C3">
        <w:t>that water supply</w:t>
      </w:r>
      <w:r w:rsidR="00F81221">
        <w:t xml:space="preserve"> and </w:t>
      </w:r>
      <w:r w:rsidRPr="00A428C3">
        <w:t>discharge flow rates can be dramatically reduced without implementing any special water upgrading treatment process.</w:t>
      </w:r>
    </w:p>
    <w:p w:rsidR="00B95188" w:rsidRPr="00A428C3" w:rsidRDefault="00B95188" w:rsidP="00B95188">
      <w:pPr>
        <w:pStyle w:val="1"/>
      </w:pPr>
      <w:r w:rsidRPr="00A428C3">
        <w:br w:type="page"/>
      </w:r>
      <w:bookmarkStart w:id="995" w:name="_Toc186647854"/>
      <w:bookmarkStart w:id="996" w:name="_Toc317161153"/>
      <w:r w:rsidRPr="00A428C3">
        <w:lastRenderedPageBreak/>
        <w:t>Title: Industry</w:t>
      </w:r>
      <w:r w:rsidR="00F81221">
        <w:t xml:space="preserve"> and </w:t>
      </w:r>
      <w:r w:rsidRPr="00A428C3">
        <w:t>Innovation</w:t>
      </w:r>
      <w:bookmarkEnd w:id="995"/>
      <w:bookmarkEnd w:id="996"/>
    </w:p>
    <w:p w:rsidR="00B95188" w:rsidRPr="00A428C3" w:rsidRDefault="00B95188" w:rsidP="00B72EF9">
      <w:pPr>
        <w:pStyle w:val="12"/>
      </w:pPr>
      <w:r w:rsidRPr="00A428C3">
        <w:t>Full Journal Title: Industry</w:t>
      </w:r>
      <w:r w:rsidR="00F81221">
        <w:t xml:space="preserve"> and </w:t>
      </w:r>
      <w:r w:rsidRPr="00A428C3">
        <w:t>Innovation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Publisher Address:</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Valentin, F.</w:t>
      </w:r>
      <w:r w:rsidR="00F81221">
        <w:t xml:space="preserve"> and </w:t>
      </w:r>
      <w:r w:rsidRPr="00A428C3">
        <w:t>Jensen, R.L. (2003), Discontinuities</w:t>
      </w:r>
      <w:r w:rsidR="00F81221">
        <w:t xml:space="preserve"> and </w:t>
      </w:r>
      <w:r w:rsidRPr="00A428C3">
        <w:t xml:space="preserve">distributed innovation: The case of biotechnology in food processing. </w:t>
      </w:r>
      <w:r w:rsidRPr="00A428C3">
        <w:rPr>
          <w:i/>
          <w:iCs/>
        </w:rPr>
        <w:t>Industry</w:t>
      </w:r>
      <w:r w:rsidR="00F81221">
        <w:rPr>
          <w:i/>
          <w:iCs/>
        </w:rPr>
        <w:t xml:space="preserve"> and </w:t>
      </w:r>
      <w:r w:rsidRPr="00A428C3">
        <w:rPr>
          <w:i/>
          <w:iCs/>
        </w:rPr>
        <w:t>Innovation</w:t>
      </w:r>
      <w:r w:rsidRPr="00A428C3">
        <w:t xml:space="preserve">, </w:t>
      </w:r>
      <w:r w:rsidRPr="00A428C3">
        <w:rPr>
          <w:b/>
        </w:rPr>
        <w:t>10</w:t>
      </w:r>
      <w:r w:rsidRPr="00A428C3">
        <w:t xml:space="preserve"> (3), 275-310.</w:t>
      </w:r>
    </w:p>
    <w:p w:rsidR="00B95188" w:rsidRPr="00A428C3" w:rsidRDefault="00B95188" w:rsidP="00B95188">
      <w:pPr>
        <w:pStyle w:val="a0"/>
      </w:pPr>
      <w:r w:rsidRPr="00A428C3">
        <w:t xml:space="preserve">Full Text: </w:t>
      </w:r>
      <w:smartTag w:uri="urn:schemas-microsoft-com:office:smarttags" w:element="place">
        <w:smartTag w:uri="urn:schemas-microsoft-com:office:smarttags" w:element="State">
          <w:r w:rsidRPr="00A428C3">
            <w:t>Ind</w:t>
          </w:r>
        </w:smartTag>
      </w:smartTag>
      <w:r w:rsidRPr="00A428C3">
        <w:t xml:space="preserve"> Inn10, 275</w:t>
      </w:r>
    </w:p>
    <w:p w:rsidR="00B95188" w:rsidRPr="00A428C3" w:rsidRDefault="00B95188" w:rsidP="00B95188">
      <w:pPr>
        <w:pStyle w:val="a0"/>
      </w:pPr>
      <w:r w:rsidRPr="00A428C3">
        <w:t>Abstract: This paper examines the organization of distributed innovation shaped by the major discontinuity in the life sciences</w:t>
      </w:r>
      <w:r w:rsidR="00F81221">
        <w:t xml:space="preserve"> and </w:t>
      </w:r>
      <w:r w:rsidRPr="00A428C3">
        <w:t>their associated technologies that has unfolded over the past three decades. While most studies have focused on its effects on pharmaceutical R&amp;D, this paper studies food processing technologies, taking biotech exploitation of the ubiquitous micro-organism of Lactic Acid Bacteria as its example. Patents provide most of the data. Although highly distributed forms of innovation emerge from 1980 onwards, incumbents introduce virtually all innovations in this field, while the role of dedicated biotechnology firms (DBFs) remains negligible. Public research organizations contribute significantly to distributed R&amp;D,</w:t>
      </w:r>
      <w:r w:rsidR="00F81221">
        <w:t xml:space="preserve"> and </w:t>
      </w:r>
      <w:r w:rsidRPr="00A428C3">
        <w:t>to a limited extent they also take on the role of economic actors. To explain the organizational characteristics of this distributed innovation this paper suggests a distinction between definition</w:t>
      </w:r>
      <w:r w:rsidR="00F81221">
        <w:t xml:space="preserve"> and </w:t>
      </w:r>
      <w:r w:rsidRPr="00A428C3">
        <w:t>solution of innovation problems. Extending Simon</w:t>
      </w:r>
      <w:r w:rsidR="000352E7">
        <w:t>’</w:t>
      </w:r>
      <w:r w:rsidRPr="00A428C3">
        <w:t>s analysis of complex problems, it is argued that definition</w:t>
      </w:r>
      <w:r w:rsidR="00F81221">
        <w:t xml:space="preserve"> and </w:t>
      </w:r>
      <w:r w:rsidRPr="00A428C3">
        <w:t xml:space="preserve">problem solving in innovation need not have the same levels of decomposability. By implication, the </w:t>
      </w:r>
      <w:smartTag w:uri="urn:schemas-microsoft-com:office:smarttags" w:element="place">
        <w:smartTag w:uri="urn:schemas-microsoft-com:office:smarttags" w:element="country-region">
          <w:r w:rsidRPr="00A428C3">
            <w:t>US</w:t>
          </w:r>
        </w:smartTag>
      </w:smartTag>
      <w:r w:rsidRPr="00A428C3">
        <w:t xml:space="preserve"> model for biotech growth, emphasizing the market mechanisms of DBF formation, venture capital</w:t>
      </w:r>
      <w:r w:rsidR="00F81221">
        <w:t xml:space="preserve"> and </w:t>
      </w:r>
      <w:r w:rsidRPr="00A428C3">
        <w:t>scientist entrepreneurs, should not incautiously be pursued in all contexts</w:t>
      </w:r>
      <w:r w:rsidR="00F81221">
        <w:t xml:space="preserve"> and </w:t>
      </w:r>
      <w:r w:rsidRPr="00A428C3">
        <w:t>for all applications of biotechnology. Low decomposability of problem definition in innovations may preclude the emergence of these vehicles for market-driven growth,</w:t>
      </w:r>
      <w:r w:rsidR="00F81221">
        <w:t xml:space="preserve"> and </w:t>
      </w:r>
      <w:r w:rsidRPr="00A428C3">
        <w:t>in such cases distributed innovation must take other forms, including not least an active role of public science.</w:t>
      </w:r>
    </w:p>
    <w:p w:rsidR="00B95188" w:rsidRPr="00A428C3" w:rsidRDefault="00B95188" w:rsidP="00B95188">
      <w:pPr>
        <w:pStyle w:val="1"/>
      </w:pPr>
      <w:r w:rsidRPr="00A428C3">
        <w:br w:type="page"/>
      </w:r>
      <w:bookmarkStart w:id="997" w:name="_Toc490688046"/>
      <w:bookmarkStart w:id="998" w:name="_Toc492812157"/>
      <w:bookmarkStart w:id="999" w:name="_Toc186647855"/>
      <w:bookmarkStart w:id="1000" w:name="_Toc317161154"/>
      <w:r w:rsidRPr="00A428C3">
        <w:lastRenderedPageBreak/>
        <w:t>Title: Infection</w:t>
      </w:r>
      <w:bookmarkEnd w:id="997"/>
      <w:bookmarkEnd w:id="998"/>
      <w:bookmarkEnd w:id="999"/>
      <w:bookmarkEnd w:id="1000"/>
    </w:p>
    <w:p w:rsidR="00B95188" w:rsidRPr="00996864" w:rsidRDefault="00B95188" w:rsidP="00996864">
      <w:pPr>
        <w:pStyle w:val="12"/>
      </w:pPr>
      <w:r w:rsidRPr="00996864">
        <w:t>Full Journal Title: Infection</w:t>
      </w:r>
    </w:p>
    <w:p w:rsidR="00B95188" w:rsidRPr="00996864" w:rsidRDefault="00B95188" w:rsidP="00996864">
      <w:pPr>
        <w:pStyle w:val="12"/>
      </w:pPr>
      <w:r w:rsidRPr="00996864">
        <w:t>ISO Abbreviated Title: Infection</w:t>
      </w:r>
    </w:p>
    <w:p w:rsidR="00B95188" w:rsidRPr="00996864" w:rsidRDefault="00B95188" w:rsidP="00996864">
      <w:pPr>
        <w:pStyle w:val="12"/>
      </w:pPr>
      <w:r w:rsidRPr="00996864">
        <w:t>JCR Abbreviated Title: Infection</w:t>
      </w:r>
    </w:p>
    <w:p w:rsidR="00B95188" w:rsidRPr="00996864" w:rsidRDefault="00B95188" w:rsidP="00996864">
      <w:pPr>
        <w:pStyle w:val="12"/>
      </w:pPr>
      <w:r w:rsidRPr="00996864">
        <w:t>ISSN: 0300-8126</w:t>
      </w:r>
    </w:p>
    <w:p w:rsidR="00B95188" w:rsidRPr="00996864" w:rsidRDefault="00B95188" w:rsidP="00996864">
      <w:pPr>
        <w:pStyle w:val="12"/>
      </w:pPr>
      <w:r w:rsidRPr="00996864">
        <w:t>Issues/Year: 6</w:t>
      </w:r>
    </w:p>
    <w:p w:rsidR="00B95188" w:rsidRPr="00996864" w:rsidRDefault="00B95188" w:rsidP="00996864">
      <w:pPr>
        <w:pStyle w:val="12"/>
      </w:pPr>
      <w:r w:rsidRPr="00996864">
        <w:t>Journal Country/Territory: Germany</w:t>
      </w:r>
    </w:p>
    <w:p w:rsidR="00B95188" w:rsidRPr="00996864" w:rsidRDefault="00B95188" w:rsidP="00996864">
      <w:pPr>
        <w:pStyle w:val="12"/>
      </w:pPr>
      <w:r w:rsidRPr="00996864">
        <w:t>Language: Multi-Language</w:t>
      </w:r>
    </w:p>
    <w:p w:rsidR="00B95188" w:rsidRPr="00996864" w:rsidRDefault="00B95188" w:rsidP="00996864">
      <w:pPr>
        <w:pStyle w:val="12"/>
      </w:pPr>
      <w:r w:rsidRPr="00996864">
        <w:t>Publisher: MMV Medien &amp; Medizin Verlagsgesellschaft MBH</w:t>
      </w:r>
    </w:p>
    <w:p w:rsidR="00B95188" w:rsidRPr="00996864" w:rsidRDefault="00B95188" w:rsidP="00996864">
      <w:pPr>
        <w:pStyle w:val="12"/>
      </w:pPr>
      <w:r w:rsidRPr="00996864">
        <w:t>Publisher Address: Neumarkter Str 18, D-81673 Munich, Germany</w:t>
      </w:r>
    </w:p>
    <w:p w:rsidR="00B95188" w:rsidRPr="00996864" w:rsidRDefault="00B95188" w:rsidP="00996864">
      <w:pPr>
        <w:pStyle w:val="12"/>
      </w:pPr>
      <w:r w:rsidRPr="00996864">
        <w:t>Subject Categories:</w:t>
      </w:r>
    </w:p>
    <w:p w:rsidR="00B95188" w:rsidRPr="00996864" w:rsidRDefault="00B95188" w:rsidP="00996864">
      <w:pPr>
        <w:pStyle w:val="12"/>
      </w:pPr>
      <w:r w:rsidRPr="00996864">
        <w:t>Infectious Diseases: Impact Factor</w:t>
      </w:r>
    </w:p>
    <w:p w:rsidR="00B95188" w:rsidRPr="00A428C3" w:rsidRDefault="00B95188" w:rsidP="00B95188">
      <w:pPr>
        <w:pStyle w:val="a0"/>
      </w:pPr>
      <w:r w:rsidRPr="00A428C3">
        <w:t>? Bert, F.</w:t>
      </w:r>
      <w:r w:rsidR="00F81221">
        <w:t xml:space="preserve"> and </w:t>
      </w:r>
      <w:r w:rsidRPr="00A428C3">
        <w:t>Lambert Zechovsky, N. (1996), Pathogens responsible for concurrent sinusitis</w:t>
      </w:r>
      <w:r w:rsidR="00F81221">
        <w:t xml:space="preserve"> and </w:t>
      </w:r>
      <w:r w:rsidRPr="00A428C3">
        <w:t xml:space="preserve">pneumonia in intensive care unit patients. </w:t>
      </w:r>
      <w:r w:rsidRPr="00A428C3">
        <w:rPr>
          <w:i/>
        </w:rPr>
        <w:t>Infection</w:t>
      </w:r>
      <w:r w:rsidRPr="00A428C3">
        <w:t xml:space="preserve">, </w:t>
      </w:r>
      <w:r w:rsidRPr="00A428C3">
        <w:rPr>
          <w:b/>
        </w:rPr>
        <w:t>24</w:t>
      </w:r>
      <w:r w:rsidRPr="00A428C3">
        <w:t xml:space="preserve"> (1), 52-53.</w:t>
      </w:r>
    </w:p>
    <w:p w:rsidR="00996864" w:rsidRDefault="00996864" w:rsidP="00996864">
      <w:pPr>
        <w:pStyle w:val="a0"/>
        <w:rPr>
          <w:kern w:val="0"/>
        </w:rPr>
      </w:pPr>
      <w:r>
        <w:rPr>
          <w:rFonts w:hint="eastAsia"/>
          <w:kern w:val="0"/>
        </w:rPr>
        <w:t xml:space="preserve">? </w:t>
      </w:r>
      <w:r>
        <w:rPr>
          <w:kern w:val="0"/>
        </w:rPr>
        <w:t>Tang, H., Huang, T., Jing, J., Shen, H.</w:t>
      </w:r>
      <w:r w:rsidR="00F81221">
        <w:rPr>
          <w:kern w:val="0"/>
        </w:rPr>
        <w:t xml:space="preserve"> and </w:t>
      </w:r>
      <w:r>
        <w:rPr>
          <w:kern w:val="0"/>
        </w:rPr>
        <w:t>Cui, W. (2009), Effect of procalcitonin-guided treatment in patients with infections: A systematic review</w:t>
      </w:r>
      <w:r w:rsidR="00F81221">
        <w:rPr>
          <w:kern w:val="0"/>
        </w:rPr>
        <w:t xml:space="preserve"> and </w:t>
      </w:r>
      <w:r>
        <w:rPr>
          <w:kern w:val="0"/>
        </w:rPr>
        <w:t xml:space="preserve">meta-analysis. </w:t>
      </w:r>
      <w:r>
        <w:rPr>
          <w:i/>
          <w:iCs/>
          <w:kern w:val="0"/>
        </w:rPr>
        <w:t>Infection</w:t>
      </w:r>
      <w:r>
        <w:rPr>
          <w:kern w:val="0"/>
        </w:rPr>
        <w:t xml:space="preserve">, </w:t>
      </w:r>
      <w:r>
        <w:rPr>
          <w:b/>
          <w:bCs/>
          <w:kern w:val="0"/>
        </w:rPr>
        <w:t>37</w:t>
      </w:r>
      <w:r>
        <w:rPr>
          <w:kern w:val="0"/>
        </w:rPr>
        <w:t xml:space="preserve"> (6), 497-507.</w:t>
      </w:r>
    </w:p>
    <w:p w:rsidR="00996864" w:rsidRDefault="00996864" w:rsidP="00996864">
      <w:pPr>
        <w:pStyle w:val="a0"/>
        <w:rPr>
          <w:kern w:val="0"/>
        </w:rPr>
      </w:pPr>
      <w:r>
        <w:rPr>
          <w:kern w:val="0"/>
        </w:rPr>
        <w:t>Abstract: Objective: The aim of this study was to review the effectiveness of procalcitonin (PCT)-guided therapy in companson to standard therapy in patients with suspected or confirmed bacterial infections in terms of antibiotic prescription at inclusion, duration of antibiotic therapy, total antibiotic exposure days/1,000 days, length of stay in the intensive care unit (ICU), Length of stay in the hospital,</w:t>
      </w:r>
      <w:r w:rsidR="00F81221">
        <w:rPr>
          <w:kern w:val="0"/>
        </w:rPr>
        <w:t xml:space="preserve"> and </w:t>
      </w:r>
      <w:r>
        <w:rPr>
          <w:kern w:val="0"/>
        </w:rPr>
        <w:t>mortality. Methods: MEDLINE, EMBASE, Web of Science,</w:t>
      </w:r>
      <w:r w:rsidR="00F81221">
        <w:rPr>
          <w:kern w:val="0"/>
        </w:rPr>
        <w:t xml:space="preserve"> and </w:t>
      </w:r>
      <w:r>
        <w:rPr>
          <w:kern w:val="0"/>
        </w:rPr>
        <w:t>the Cochrane central register of controlled trials were searched up to November 2008. Studies considered to be eligible were randomized controlled trials comparing PCT-guided therapy with standard therapy in adult patients with bacterial infections. No language restriction was applied. Data were combined in a meta-analysis using random-effect models. Results: Seven studies with 1,458 patients were included. PCT-guided therapy was associated with a significant reduction in antibiotic prescription at inclusion (four studies; pooled odds ratio [OR] 0.506, 95% confidence interval [CI] 0.290-0.882, p = 0.016), duration of antibiotic therapy (six studies; weighted mean difference [WMD] 2.785, 95% CI 1.225-4.345, p = 0.000), total antibiotic exposure days/1,000 days (four studies; pooled relative risk [RR] 1.664, 95% CI 1.155-2.172, p = 0.000),</w:t>
      </w:r>
      <w:r w:rsidR="00F81221">
        <w:rPr>
          <w:kern w:val="0"/>
        </w:rPr>
        <w:t xml:space="preserve"> and </w:t>
      </w:r>
      <w:r>
        <w:rPr>
          <w:kern w:val="0"/>
        </w:rPr>
        <w:t>length of stay in the ICU (three studies; 292 patients; pooled WMD 3.49 days, 95% CI 1.28-5.70, p = 0.002). There were no significant differences in length of stay in the hospital (three studies; pooled WMD 1.003, 95% CI -0.430 to 2.437, p = 0.17)</w:t>
      </w:r>
      <w:r w:rsidR="00F81221">
        <w:rPr>
          <w:kern w:val="0"/>
        </w:rPr>
        <w:t xml:space="preserve"> and </w:t>
      </w:r>
      <w:r>
        <w:rPr>
          <w:kern w:val="0"/>
        </w:rPr>
        <w:t xml:space="preserve">mortality (seven studies; pooled OR 0.838, 95% CI 0.571-1.229, </w:t>
      </w:r>
      <w:r>
        <w:rPr>
          <w:kern w:val="0"/>
        </w:rPr>
        <w:lastRenderedPageBreak/>
        <w:t>p = 0.365). Conclusions: Based on the results of this meta-analysis, it would appear that an algorithm based on serial PCT measurements would allow a more judicious use of antibiotics than currently occurs during the traditional treatment of patients with infections. PCT-guided antibiotic treatment appears to be safe</w:t>
      </w:r>
      <w:r w:rsidR="00F81221">
        <w:rPr>
          <w:kern w:val="0"/>
        </w:rPr>
        <w:t xml:space="preserve"> and </w:t>
      </w:r>
      <w:r>
        <w:rPr>
          <w:kern w:val="0"/>
        </w:rPr>
        <w:t>may also improve clinical outcome.</w:t>
      </w:r>
    </w:p>
    <w:p w:rsidR="00996864" w:rsidRDefault="00996864" w:rsidP="00996864">
      <w:pPr>
        <w:pStyle w:val="a0"/>
        <w:rPr>
          <w:kern w:val="0"/>
        </w:rPr>
      </w:pPr>
      <w:r>
        <w:rPr>
          <w:kern w:val="0"/>
        </w:rPr>
        <w:t>Keywords: Adult, Antibiotic, Antibiotic-Treatment, Antibiotics, Cochrane, Critically-Ill Patients, Diagnosis, Effectiveness, Embase, Exacerbations, Hospital, Icu, Intensive Care, Intensive Care Unit, Length Of Stay, Medline, Meta-Analysis, Methods, Mortality, Optimal Antimicrobial Therapy, Outcome, Randomized Controlled Trials, Randomized-Trial, Ratio, Relative Risk, Resistance, Respiratory-Tract Infections, Review, Risk, Science, Sepsis, Septic Patients, Systematic, Systematic Review, Therapy, Traditional, Treatment, Web of Science</w:t>
      </w:r>
    </w:p>
    <w:p w:rsidR="00B95188" w:rsidRPr="00A428C3" w:rsidRDefault="00B95188" w:rsidP="00B95188">
      <w:pPr>
        <w:pStyle w:val="1"/>
      </w:pPr>
      <w:r w:rsidRPr="00A428C3">
        <w:br w:type="page"/>
      </w:r>
      <w:bookmarkStart w:id="1001" w:name="_Toc186647856"/>
      <w:bookmarkStart w:id="1002" w:name="_Toc317161155"/>
      <w:r w:rsidRPr="00A428C3">
        <w:lastRenderedPageBreak/>
        <w:t>Title: Infection, Genetics</w:t>
      </w:r>
      <w:r w:rsidR="00F81221">
        <w:t xml:space="preserve"> and </w:t>
      </w:r>
      <w:r w:rsidRPr="00A428C3">
        <w:t>Evolution</w:t>
      </w:r>
      <w:bookmarkEnd w:id="1001"/>
      <w:bookmarkEnd w:id="1002"/>
    </w:p>
    <w:p w:rsidR="00B95188" w:rsidRPr="00A428C3" w:rsidRDefault="00B95188" w:rsidP="00B72EF9">
      <w:pPr>
        <w:pStyle w:val="12"/>
      </w:pPr>
      <w:r w:rsidRPr="00A428C3">
        <w:t xml:space="preserve">Full Journal Title: </w:t>
      </w:r>
      <w:hyperlink r:id="rId1351" w:history="1">
        <w:r w:rsidRPr="00A428C3">
          <w:rPr>
            <w:rStyle w:val="a5"/>
          </w:rPr>
          <w:t>Infection, Genetics</w:t>
        </w:r>
        <w:r w:rsidR="00F81221">
          <w:rPr>
            <w:rStyle w:val="a5"/>
          </w:rPr>
          <w:t xml:space="preserve"> and </w:t>
        </w:r>
        <w:r w:rsidRPr="00A428C3">
          <w:rPr>
            <w:rStyle w:val="a5"/>
          </w:rPr>
          <w:t>Evolution</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Gonzalez, J.P.J.</w:t>
      </w:r>
      <w:r w:rsidR="00F81221">
        <w:t xml:space="preserve"> and </w:t>
      </w:r>
      <w:r w:rsidRPr="00A428C3">
        <w:t>Editorial Board Member of Infection, Genetics</w:t>
      </w:r>
      <w:r w:rsidR="00F81221">
        <w:t xml:space="preserve"> and </w:t>
      </w:r>
      <w:r w:rsidRPr="00A428C3">
        <w:t>Evolution (2003), SARS: at least</w:t>
      </w:r>
      <w:r w:rsidR="00F81221">
        <w:t xml:space="preserve"> and </w:t>
      </w:r>
      <w:r w:rsidRPr="00A428C3">
        <w:t xml:space="preserve">at last, are we learning from the worst? </w:t>
      </w:r>
      <w:r w:rsidRPr="00A428C3">
        <w:rPr>
          <w:i/>
          <w:iCs/>
        </w:rPr>
        <w:t>Infection, Genetics</w:t>
      </w:r>
      <w:r w:rsidR="00F81221">
        <w:rPr>
          <w:i/>
          <w:iCs/>
        </w:rPr>
        <w:t xml:space="preserve"> and </w:t>
      </w:r>
      <w:r w:rsidRPr="00A428C3">
        <w:rPr>
          <w:i/>
          <w:iCs/>
        </w:rPr>
        <w:t>Evolution</w:t>
      </w:r>
      <w:r w:rsidRPr="00A428C3">
        <w:t xml:space="preserve">, </w:t>
      </w:r>
      <w:r w:rsidRPr="00A428C3">
        <w:rPr>
          <w:b/>
        </w:rPr>
        <w:t>3</w:t>
      </w:r>
      <w:r w:rsidRPr="00A428C3">
        <w:t xml:space="preserve"> (2), 83-85.</w:t>
      </w:r>
    </w:p>
    <w:p w:rsidR="00B95188" w:rsidRPr="00A428C3" w:rsidRDefault="00B95188" w:rsidP="00B95188">
      <w:pPr>
        <w:pStyle w:val="a0"/>
      </w:pPr>
      <w:r w:rsidRPr="00A428C3">
        <w:t xml:space="preserve">Full Text: </w:t>
      </w:r>
      <w:hyperlink r:id="rId1352" w:history="1">
        <w:r w:rsidRPr="00A428C3">
          <w:rPr>
            <w:rStyle w:val="a5"/>
          </w:rPr>
          <w:t>I\Inf Gen Evo3, 83.pdf</w:t>
        </w:r>
      </w:hyperlink>
    </w:p>
    <w:p w:rsidR="00B95188" w:rsidRPr="00A428C3" w:rsidRDefault="00B95188" w:rsidP="00B95188">
      <w:pPr>
        <w:pStyle w:val="1"/>
      </w:pPr>
      <w:r w:rsidRPr="00A428C3">
        <w:br w:type="page"/>
      </w:r>
      <w:bookmarkStart w:id="1003" w:name="_Toc186647857"/>
      <w:bookmarkStart w:id="1004" w:name="_Toc317161156"/>
      <w:r w:rsidRPr="00A428C3">
        <w:lastRenderedPageBreak/>
        <w:t>Title: Infection</w:t>
      </w:r>
      <w:r w:rsidR="00F81221">
        <w:t xml:space="preserve"> and </w:t>
      </w:r>
      <w:r w:rsidRPr="00A428C3">
        <w:t>Immunity</w:t>
      </w:r>
      <w:bookmarkEnd w:id="1003"/>
      <w:bookmarkEnd w:id="1004"/>
    </w:p>
    <w:p w:rsidR="00B95188" w:rsidRPr="00A428C3" w:rsidRDefault="00B95188" w:rsidP="00B72EF9">
      <w:pPr>
        <w:pStyle w:val="12"/>
      </w:pPr>
      <w:r w:rsidRPr="00A428C3">
        <w:t>Full Journal Title: Infection</w:t>
      </w:r>
      <w:r w:rsidR="00F81221">
        <w:t xml:space="preserve"> and </w:t>
      </w:r>
      <w:r w:rsidRPr="00A428C3">
        <w:t>Immunity</w:t>
      </w:r>
    </w:p>
    <w:p w:rsidR="00B95188" w:rsidRPr="00A428C3" w:rsidRDefault="00B95188" w:rsidP="00B72EF9">
      <w:pPr>
        <w:pStyle w:val="12"/>
      </w:pPr>
      <w:r w:rsidRPr="00A428C3">
        <w:t>ISO Abbreviated Title: Infect. Immun.</w:t>
      </w:r>
    </w:p>
    <w:p w:rsidR="00B95188" w:rsidRPr="00A428C3" w:rsidRDefault="00B95188" w:rsidP="00B72EF9">
      <w:pPr>
        <w:pStyle w:val="12"/>
      </w:pPr>
      <w:r w:rsidRPr="00A428C3">
        <w:t>JCR Abbreviated Title: Infec Immunity</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Menezes, J., Jondal, M., Leibold, W.</w:t>
      </w:r>
      <w:r w:rsidR="00F81221">
        <w:t xml:space="preserve"> and </w:t>
      </w:r>
      <w:r w:rsidRPr="00A428C3">
        <w:t>Dorval, G. (1976), Epstein-barr virus interactions with human lymphocyte subpopulations - virus adsorption, kinetics of expression of epstein-barr virus-associated nuclear antigen,</w:t>
      </w:r>
      <w:r w:rsidR="00F81221">
        <w:t xml:space="preserve"> and </w:t>
      </w:r>
      <w:r w:rsidRPr="00A428C3">
        <w:t xml:space="preserve">lymphocyte- transformation. </w:t>
      </w:r>
      <w:r w:rsidRPr="00A428C3">
        <w:rPr>
          <w:i/>
          <w:iCs/>
        </w:rPr>
        <w:t>Infection</w:t>
      </w:r>
      <w:r w:rsidR="00F81221">
        <w:rPr>
          <w:i/>
          <w:iCs/>
        </w:rPr>
        <w:t xml:space="preserve"> and </w:t>
      </w:r>
      <w:r w:rsidRPr="00A428C3">
        <w:rPr>
          <w:i/>
          <w:iCs/>
        </w:rPr>
        <w:t>Immunity</w:t>
      </w:r>
      <w:r w:rsidRPr="00A428C3">
        <w:t xml:space="preserve">, </w:t>
      </w:r>
      <w:r w:rsidRPr="00A428C3">
        <w:rPr>
          <w:b/>
        </w:rPr>
        <w:t>13</w:t>
      </w:r>
      <w:r w:rsidRPr="00A428C3">
        <w:t xml:space="preserve"> (2), 303-310.</w:t>
      </w:r>
    </w:p>
    <w:p w:rsidR="00B95188" w:rsidRPr="00A428C3" w:rsidRDefault="00B95188" w:rsidP="00B95188">
      <w:pPr>
        <w:pStyle w:val="1"/>
      </w:pPr>
      <w:r w:rsidRPr="00A428C3">
        <w:br w:type="page"/>
      </w:r>
      <w:bookmarkStart w:id="1005" w:name="_Toc487192723"/>
      <w:bookmarkStart w:id="1006" w:name="_Toc489709752"/>
      <w:bookmarkStart w:id="1007" w:name="_Toc490688047"/>
      <w:bookmarkStart w:id="1008" w:name="_Toc492812162"/>
      <w:bookmarkStart w:id="1009" w:name="_Toc186647858"/>
      <w:bookmarkStart w:id="1010" w:name="_Toc317161157"/>
      <w:r w:rsidRPr="00A428C3">
        <w:lastRenderedPageBreak/>
        <w:t xml:space="preserve">Title: </w:t>
      </w:r>
      <w:bookmarkEnd w:id="1005"/>
      <w:bookmarkEnd w:id="1006"/>
      <w:bookmarkEnd w:id="1007"/>
      <w:r w:rsidRPr="00A428C3">
        <w:t xml:space="preserve">Infectious Disease Clinics of </w:t>
      </w:r>
      <w:smartTag w:uri="urn:schemas-microsoft-com:office:smarttags" w:element="place">
        <w:r w:rsidRPr="00A428C3">
          <w:t>North America</w:t>
        </w:r>
      </w:smartTag>
      <w:bookmarkEnd w:id="1008"/>
      <w:bookmarkEnd w:id="1009"/>
      <w:bookmarkEnd w:id="1010"/>
    </w:p>
    <w:p w:rsidR="00B95188" w:rsidRPr="00996864" w:rsidRDefault="00B95188" w:rsidP="00996864">
      <w:pPr>
        <w:pStyle w:val="12"/>
      </w:pPr>
      <w:r w:rsidRPr="00996864">
        <w:t>Full Journal Title: Infectious Disease Clinics of North America</w:t>
      </w:r>
    </w:p>
    <w:p w:rsidR="00B95188" w:rsidRPr="00996864" w:rsidRDefault="00B95188" w:rsidP="00996864">
      <w:pPr>
        <w:pStyle w:val="12"/>
      </w:pPr>
      <w:r w:rsidRPr="00996864">
        <w:t>ISO Abbreviated Title: Infect. Dis. Clin. North Am.</w:t>
      </w:r>
    </w:p>
    <w:p w:rsidR="00B95188" w:rsidRPr="00996864" w:rsidRDefault="00B95188" w:rsidP="00996864">
      <w:pPr>
        <w:pStyle w:val="12"/>
      </w:pPr>
      <w:r w:rsidRPr="00996864">
        <w:t>JCR Abbreviated Title: Infect Dis Clin N Am</w:t>
      </w:r>
    </w:p>
    <w:p w:rsidR="00B95188" w:rsidRPr="00996864" w:rsidRDefault="00B95188" w:rsidP="00996864">
      <w:pPr>
        <w:pStyle w:val="12"/>
      </w:pPr>
      <w:r w:rsidRPr="00996864">
        <w:t>ISSN: 0891-5520</w:t>
      </w:r>
    </w:p>
    <w:p w:rsidR="00B95188" w:rsidRPr="00996864" w:rsidRDefault="00B95188" w:rsidP="00996864">
      <w:pPr>
        <w:pStyle w:val="12"/>
      </w:pPr>
      <w:r w:rsidRPr="00996864">
        <w:t>Issues/Year: 4</w:t>
      </w:r>
    </w:p>
    <w:p w:rsidR="00B95188" w:rsidRPr="00996864" w:rsidRDefault="00B95188" w:rsidP="00996864">
      <w:pPr>
        <w:pStyle w:val="12"/>
      </w:pPr>
      <w:r w:rsidRPr="00996864">
        <w:t>Journal Country/Territory: United States</w:t>
      </w:r>
    </w:p>
    <w:p w:rsidR="00B95188" w:rsidRPr="00996864" w:rsidRDefault="00B95188" w:rsidP="00996864">
      <w:pPr>
        <w:pStyle w:val="12"/>
      </w:pPr>
      <w:r w:rsidRPr="00996864">
        <w:t>Language: English</w:t>
      </w:r>
    </w:p>
    <w:p w:rsidR="00B95188" w:rsidRPr="00996864" w:rsidRDefault="00B95188" w:rsidP="00996864">
      <w:pPr>
        <w:pStyle w:val="12"/>
      </w:pPr>
      <w:r w:rsidRPr="00996864">
        <w:t>Publisher: W B Saunders Co</w:t>
      </w:r>
    </w:p>
    <w:p w:rsidR="00B95188" w:rsidRPr="00996864" w:rsidRDefault="00B95188" w:rsidP="00996864">
      <w:pPr>
        <w:pStyle w:val="12"/>
      </w:pPr>
      <w:r w:rsidRPr="00996864">
        <w:t>Publisher Address: Independence Square West Curtis Center, Ste 300, Philadelphia, PA 19106-339</w:t>
      </w:r>
    </w:p>
    <w:p w:rsidR="00B95188" w:rsidRPr="00996864" w:rsidRDefault="00B95188" w:rsidP="00996864">
      <w:pPr>
        <w:pStyle w:val="12"/>
      </w:pPr>
      <w:r w:rsidRPr="00996864">
        <w:t>Subject Categories:</w:t>
      </w:r>
    </w:p>
    <w:p w:rsidR="00B95188" w:rsidRPr="00996864" w:rsidRDefault="00B95188" w:rsidP="00996864">
      <w:pPr>
        <w:pStyle w:val="12"/>
      </w:pPr>
      <w:r w:rsidRPr="00996864">
        <w:t>Immunology Infectious Diseases: Impact Factor</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Holmberg</w:t>
          </w:r>
        </w:smartTag>
        <w:r w:rsidRPr="00A428C3">
          <w:t xml:space="preserve">, </w:t>
        </w:r>
        <w:smartTag w:uri="urn:schemas-microsoft-com:office:smarttags" w:element="State">
          <w:r w:rsidRPr="00A428C3">
            <w:t>S.D.</w:t>
          </w:r>
        </w:smartTag>
      </w:smartTag>
      <w:r w:rsidRPr="00A428C3">
        <w:t xml:space="preserve"> (1988), Vibrios</w:t>
      </w:r>
      <w:r w:rsidR="00F81221">
        <w:t xml:space="preserve"> and </w:t>
      </w:r>
      <w:r w:rsidRPr="00A428C3">
        <w:t xml:space="preserve">Aeromonas. </w:t>
      </w:r>
      <w:r w:rsidRPr="00A428C3">
        <w:rPr>
          <w:i/>
        </w:rPr>
        <w:t xml:space="preserve">Infectious Disease Clinics of </w:t>
      </w:r>
      <w:smartTag w:uri="urn:schemas-microsoft-com:office:smarttags" w:element="place">
        <w:r w:rsidRPr="00A428C3">
          <w:rPr>
            <w:i/>
          </w:rPr>
          <w:t>North America</w:t>
        </w:r>
      </w:smartTag>
      <w:r w:rsidRPr="00A428C3">
        <w:t xml:space="preserve">, </w:t>
      </w:r>
      <w:r w:rsidRPr="00A428C3">
        <w:rPr>
          <w:b/>
        </w:rPr>
        <w:t>2</w:t>
      </w:r>
      <w:r w:rsidRPr="00A428C3">
        <w:t xml:space="preserve"> (3), 655-676.</w:t>
      </w:r>
    </w:p>
    <w:p w:rsidR="00B95188" w:rsidRPr="00A428C3" w:rsidRDefault="00B95188" w:rsidP="00B95188">
      <w:pPr>
        <w:pStyle w:val="a0"/>
      </w:pPr>
      <w:r w:rsidRPr="00A428C3">
        <w:t xml:space="preserve">Abstract: There are many similarities in the Vibrionaceae that cause human illness in the </w:t>
      </w:r>
      <w:smartTag w:uri="urn:schemas-microsoft-com:office:smarttags" w:element="place">
        <w:smartTag w:uri="urn:schemas-microsoft-com:office:smarttags" w:element="country-region">
          <w:r w:rsidRPr="00A428C3">
            <w:t>United States</w:t>
          </w:r>
        </w:smartTag>
      </w:smartTag>
      <w:r w:rsidRPr="00A428C3">
        <w:t xml:space="preserve"> (see Table 1). Vibrios are characteristically indigenous to marine, estuarine,</w:t>
      </w:r>
      <w:r w:rsidR="00F81221">
        <w:t xml:space="preserve"> and </w:t>
      </w:r>
      <w:r w:rsidRPr="00A428C3">
        <w:t xml:space="preserve">brackish environments. They are distributed mainly in </w:t>
      </w:r>
      <w:smartTag w:uri="urn:schemas-microsoft-com:office:smarttags" w:element="place">
        <w:r w:rsidRPr="00A428C3">
          <w:t>Gulf of Mexico</w:t>
        </w:r>
      </w:smartTag>
      <w:r w:rsidRPr="00A428C3">
        <w:t xml:space="preserve"> coastal water,</w:t>
      </w:r>
      <w:r w:rsidR="00F81221">
        <w:t xml:space="preserve"> and </w:t>
      </w:r>
      <w:r w:rsidRPr="00A428C3">
        <w:t xml:space="preserve">these organisms </w:t>
      </w:r>
      <w:r w:rsidR="000352E7">
        <w:t>“</w:t>
      </w:r>
      <w:r w:rsidRPr="00A428C3">
        <w:t>bloom</w:t>
      </w:r>
      <w:r w:rsidR="000352E7">
        <w:t>”</w:t>
      </w:r>
      <w:r w:rsidRPr="00A428C3">
        <w:t xml:space="preserve"> when the water is warm. Outbreaks of disease in humans frequently occur in summer, coinciding with multiplication of vibrios in warm water. Sporadic cases</w:t>
      </w:r>
      <w:r w:rsidR="00F81221">
        <w:t xml:space="preserve"> and </w:t>
      </w:r>
      <w:r w:rsidRPr="00A428C3">
        <w:t xml:space="preserve">small outbreaks of cholera continue to occur in persons living on or near the </w:t>
      </w:r>
      <w:smartTag w:uri="urn:schemas-microsoft-com:office:smarttags" w:element="place">
        <w:r w:rsidRPr="00A428C3">
          <w:t>Gulf of Mexico</w:t>
        </w:r>
      </w:smartTag>
      <w:r w:rsidRPr="00A428C3">
        <w:t>, but infection in most persons is unrecognized. In fact, more serious</w:t>
      </w:r>
      <w:r w:rsidR="00F81221">
        <w:t xml:space="preserve"> and </w:t>
      </w:r>
      <w:r w:rsidRPr="00A428C3">
        <w:t>frequent illnesses result from V. vulnificus wound infections</w:t>
      </w:r>
      <w:r w:rsidR="00F81221">
        <w:t xml:space="preserve"> and </w:t>
      </w:r>
      <w:r w:rsidRPr="00A428C3">
        <w:t xml:space="preserve">from gastroenteritis caused by vibrios other than </w:t>
      </w:r>
      <w:r w:rsidRPr="00A428C3">
        <w:rPr>
          <w:i/>
        </w:rPr>
        <w:t>V. cholerae</w:t>
      </w:r>
      <w:r w:rsidRPr="00A428C3">
        <w:t xml:space="preserve"> 01. Underlying hepatic or neoplastic disease (especially leukemia) apparently increases the likelihood</w:t>
      </w:r>
      <w:r w:rsidR="00F81221">
        <w:t xml:space="preserve"> and </w:t>
      </w:r>
      <w:r w:rsidRPr="00A428C3">
        <w:t>severity of illnesses caused by V. vulnificus</w:t>
      </w:r>
      <w:r w:rsidR="00F81221">
        <w:t xml:space="preserve"> and </w:t>
      </w:r>
      <w:r w:rsidRPr="00A428C3">
        <w:t>Aeromonas. Some Vibrionaceae produce clinical illness by means of enterotoxins identical or similar to cholera toxin. For many others, hemolysins, cytotoxins,</w:t>
      </w:r>
      <w:r w:rsidR="00F81221">
        <w:t xml:space="preserve"> and </w:t>
      </w:r>
      <w:r w:rsidRPr="00A428C3">
        <w:t>other exotoxins are necessary to produce disease; the importance of these virulence factors often is not known or the importance of these virulence factors often is not known or is of doubtful significance. Also, purported pathogenicity as demonstrated by animal models, such as fluid accumulation in ligated ileal loops, is quite nonspecific</w:t>
      </w:r>
      <w:r w:rsidR="00F81221">
        <w:t xml:space="preserve"> and </w:t>
      </w:r>
      <w:r w:rsidRPr="00A428C3">
        <w:t>needs to be interpreted cautiously. For Plesiomonas, a mode of pathogenesis has not been discovered. Eating raw shellfish (frequently raw oysters) has been linked epidemiologically to enteric infections with most of these bacteria; foreign travel</w:t>
      </w:r>
      <w:r w:rsidR="00F81221">
        <w:t xml:space="preserve"> and </w:t>
      </w:r>
      <w:r w:rsidRPr="00A428C3">
        <w:t xml:space="preserve">exposure to seawater are other frequently observed epidemiologic associations with infection. Foreign travel, particularly to the Yucatan Peninsula of </w:t>
      </w:r>
      <w:r w:rsidRPr="00A428C3">
        <w:lastRenderedPageBreak/>
        <w:t xml:space="preserve">Mexico, has been strongly associated with the acquisition of non-01 </w:t>
      </w:r>
      <w:r w:rsidRPr="00A428C3">
        <w:rPr>
          <w:i/>
        </w:rPr>
        <w:t>V. cholerae</w:t>
      </w:r>
      <w:r w:rsidR="00F81221">
        <w:t xml:space="preserve"> and </w:t>
      </w:r>
      <w:r w:rsidRPr="00A428C3">
        <w:t xml:space="preserve">Plesiomonas organisms. Most Vibrionaceae in the </w:t>
      </w:r>
      <w:smartTag w:uri="urn:schemas-microsoft-com:office:smarttags" w:element="place">
        <w:smartTag w:uri="urn:schemas-microsoft-com:office:smarttags" w:element="country-region">
          <w:r w:rsidRPr="00A428C3">
            <w:t>United States</w:t>
          </w:r>
        </w:smartTag>
      </w:smartTag>
      <w:r w:rsidRPr="00A428C3">
        <w:t xml:space="preserve"> are susceptible in vitro-and illnesses from them are responsive-to tetracycline, trimethoprim-sulfamethoxazole,</w:t>
      </w:r>
      <w:r w:rsidR="00F81221">
        <w:t xml:space="preserve"> and </w:t>
      </w:r>
      <w:r w:rsidRPr="00A428C3">
        <w:t>other common antimicrobial agents. However, as for other bacteria that cause diarrhea, the main treatment for uncomplicated disease is the judicious replacement of fluids</w:t>
      </w:r>
      <w:r w:rsidR="00F81221">
        <w:t xml:space="preserve"> and </w:t>
      </w:r>
      <w:r w:rsidRPr="00A428C3">
        <w:t>electrolytes lost in diarrhea. A loose network of surveilance for these organisms comprises hospital</w:t>
      </w:r>
      <w:r w:rsidR="00F81221">
        <w:t xml:space="preserve"> and </w:t>
      </w:r>
      <w:r w:rsidRPr="00A428C3">
        <w:t>public health laboratories in Gulf coastal states that plate diarrheal stools on TCBS agar. As recognized pathogens are more assiduously screened for,</w:t>
      </w:r>
      <w:r w:rsidR="00F81221">
        <w:t xml:space="preserve"> and </w:t>
      </w:r>
      <w:r w:rsidRPr="00A428C3">
        <w:t>as newly identified vibrios are definitely included or excluded as enteric pathogens, the clinical importance of these members of the Vibrionaceae family should become clearer.</w:t>
      </w:r>
    </w:p>
    <w:p w:rsidR="00B95188" w:rsidRPr="00A428C3" w:rsidRDefault="00B95188" w:rsidP="00B95188">
      <w:pPr>
        <w:pStyle w:val="a0"/>
      </w:pPr>
      <w:r w:rsidRPr="00A428C3">
        <w:t>? Jamall, I.S.</w:t>
      </w:r>
      <w:r w:rsidR="00F81221">
        <w:t xml:space="preserve"> and </w:t>
      </w:r>
      <w:r w:rsidRPr="00A428C3">
        <w:t>Davis, B. (1991), Chemicals</w:t>
      </w:r>
      <w:r w:rsidR="00F81221">
        <w:t xml:space="preserve"> and </w:t>
      </w:r>
      <w:r w:rsidRPr="00A428C3">
        <w:t xml:space="preserve">environmentally caused diseases in developing countries. </w:t>
      </w:r>
      <w:r w:rsidRPr="00A428C3">
        <w:rPr>
          <w:i/>
        </w:rPr>
        <w:t xml:space="preserve">Infectious Disease Clinics of </w:t>
      </w:r>
      <w:smartTag w:uri="urn:schemas-microsoft-com:office:smarttags" w:element="place">
        <w:r w:rsidRPr="00A428C3">
          <w:rPr>
            <w:i/>
          </w:rPr>
          <w:t>North America</w:t>
        </w:r>
      </w:smartTag>
      <w:r w:rsidRPr="00A428C3">
        <w:t xml:space="preserve">, </w:t>
      </w:r>
      <w:r w:rsidRPr="00A428C3">
        <w:rPr>
          <w:b/>
        </w:rPr>
        <w:t>5</w:t>
      </w:r>
      <w:r w:rsidRPr="00A428C3">
        <w:t xml:space="preserve"> (2), 365-375.</w:t>
      </w:r>
    </w:p>
    <w:p w:rsidR="00B95188" w:rsidRPr="00A428C3" w:rsidRDefault="00B95188" w:rsidP="00B95188">
      <w:pPr>
        <w:pStyle w:val="a0"/>
      </w:pPr>
      <w:r w:rsidRPr="00A428C3">
        <w:t>Abstract: This chapter discusses international aspects of diseases resulting from exposure to chemical pollutants in the environment, with an emphasis on developing countries. These countries share many of the same problems of air, water,</w:t>
      </w:r>
      <w:r w:rsidR="00F81221">
        <w:t xml:space="preserve"> and </w:t>
      </w:r>
      <w:r w:rsidRPr="00A428C3">
        <w:t>pesticide pollution that face the more industrialized countries. In developing countries, however, the problems are compounded by a number of unique situations, viz., economic priorities, high burden of infectious diseases, impoverishment,</w:t>
      </w:r>
      <w:r w:rsidR="00F81221">
        <w:t xml:space="preserve"> and </w:t>
      </w:r>
      <w:r w:rsidRPr="00A428C3">
        <w:t>absence of a regulatory framework for the disposal of toxic chemicals. This discussion emphasizes the importance of interactions among toxicants, malnutrition,</w:t>
      </w:r>
      <w:r w:rsidR="00F81221">
        <w:t xml:space="preserve"> and </w:t>
      </w:r>
      <w:r w:rsidRPr="00A428C3">
        <w:t>infectious diseases for both urban</w:t>
      </w:r>
      <w:r w:rsidR="00F81221">
        <w:t xml:space="preserve"> and </w:t>
      </w:r>
      <w:r w:rsidRPr="00A428C3">
        <w:t xml:space="preserve">rural populations insofar as these interactions contribute to disease. Toxicants not only produce disease directly but also exacerbate diseases with other causes. Specific examples from developing countries demonstrate how human health effects from exposures to environmental chemicals can be assessed. While they do not strictly fall under the rubric of </w:t>
      </w:r>
      <w:r w:rsidR="000352E7">
        <w:t>“</w:t>
      </w:r>
      <w:r w:rsidRPr="00A428C3">
        <w:t xml:space="preserve">developing countries, </w:t>
      </w:r>
      <w:r w:rsidR="000352E7">
        <w:t>“</w:t>
      </w:r>
      <w:r w:rsidRPr="00A428C3">
        <w:t xml:space="preserve"> the public health consequences of inadequate control of environmental pollution in the East European countries should demonstrate the magnitude of the problem, except that in developing countries the public health consequence of environmental chemicals will be aggravated by the widespread malnutrition</w:t>
      </w:r>
      <w:r w:rsidR="00F81221">
        <w:t xml:space="preserve"> and </w:t>
      </w:r>
      <w:r w:rsidRPr="00A428C3">
        <w:t>high prevalence of infectious diseases. Much needs to be done before we can adequately quantify the contribution of environmental chemicals to morbidity</w:t>
      </w:r>
      <w:r w:rsidR="00F81221">
        <w:t xml:space="preserve"> and </w:t>
      </w:r>
      <w:r w:rsidRPr="00A428C3">
        <w:t>mortality in developing countries with the level of sophistication now evident in the charting of infectious diseases in these countries.</w:t>
      </w:r>
    </w:p>
    <w:p w:rsidR="00B95188" w:rsidRPr="00A428C3" w:rsidRDefault="00B95188" w:rsidP="00B95188">
      <w:pPr>
        <w:pStyle w:val="1"/>
      </w:pPr>
      <w:r w:rsidRPr="00586CD8">
        <w:br w:type="page"/>
      </w:r>
      <w:bookmarkStart w:id="1011" w:name="_Toc186647859"/>
      <w:bookmarkStart w:id="1012" w:name="_Toc317161158"/>
      <w:r w:rsidRPr="00A428C3">
        <w:lastRenderedPageBreak/>
        <w:t>Title: Infectious Diseases in Clinical Practic</w:t>
      </w:r>
      <w:r w:rsidRPr="00A428C3">
        <w:rPr>
          <w:iCs/>
        </w:rPr>
        <w:t>e</w:t>
      </w:r>
      <w:bookmarkEnd w:id="1011"/>
      <w:bookmarkEnd w:id="1012"/>
    </w:p>
    <w:p w:rsidR="00B95188" w:rsidRPr="00A428C3" w:rsidRDefault="00B95188" w:rsidP="00B72EF9">
      <w:pPr>
        <w:pStyle w:val="12"/>
      </w:pPr>
      <w:r w:rsidRPr="00A428C3">
        <w:t>Full Journal Title: Infectious Diseases in Clinical Practic</w:t>
      </w:r>
    </w:p>
    <w:p w:rsidR="00B95188" w:rsidRPr="00A428C3" w:rsidRDefault="00B95188" w:rsidP="00B72EF9">
      <w:pPr>
        <w:pStyle w:val="12"/>
      </w:pPr>
      <w:r w:rsidRPr="00A428C3">
        <w:t xml:space="preserve">ISO Abbreviated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Horn, D.L., Hewlett, D., Alfalla, C., Pella, P., Franchini, D., Peterson, S.</w:t>
      </w:r>
      <w:r w:rsidR="00F81221">
        <w:t xml:space="preserve"> and </w:t>
      </w:r>
      <w:r w:rsidRPr="00A428C3">
        <w:t>Opal, S.M. (1995), Limited Tolerance of of Ofloxacin</w:t>
      </w:r>
      <w:r w:rsidR="00F81221">
        <w:t xml:space="preserve"> and </w:t>
      </w:r>
      <w:r w:rsidRPr="00A428C3">
        <w:t xml:space="preserve">Pyrazinamide Prophylaxis in Health-Care Workers Following Exposure to Rifampin- Isoniazid-Streptomycin-Ethambutol-Resistant Tuberculosis. </w:t>
      </w:r>
      <w:r w:rsidRPr="00A428C3">
        <w:rPr>
          <w:i/>
          <w:iCs/>
        </w:rPr>
        <w:t>Infectious Diseases in Clinical Practice</w:t>
      </w:r>
      <w:r w:rsidRPr="00A428C3">
        <w:t xml:space="preserve">, </w:t>
      </w:r>
      <w:r w:rsidRPr="00A428C3">
        <w:rPr>
          <w:b/>
        </w:rPr>
        <w:t>4</w:t>
      </w:r>
      <w:r w:rsidRPr="00A428C3">
        <w:t xml:space="preserve"> (3), 219-225.</w:t>
      </w:r>
    </w:p>
    <w:p w:rsidR="00B95188" w:rsidRPr="00A428C3" w:rsidRDefault="00B95188" w:rsidP="00B95188">
      <w:pPr>
        <w:pStyle w:val="a0"/>
      </w:pPr>
      <w:r w:rsidRPr="00A428C3">
        <w:t>Abstract: late October 1991, nosocomial rifampin-isoniazid-streptomycin- ethambutol (RISE)-resistant tuberculosis began to spread in our institution. We investigated prophylaxis with ofloxacin</w:t>
      </w:r>
      <w:r w:rsidR="00F81221">
        <w:t xml:space="preserve"> and </w:t>
      </w:r>
      <w:r w:rsidRPr="00A428C3">
        <w:t>pyrazinamide for those health care workers whose tuberculin skin test converted after exposure to patients with RISE- resistant tuberculosis. Tolerance</w:t>
      </w:r>
      <w:r w:rsidR="00F81221">
        <w:t xml:space="preserve"> and </w:t>
      </w:r>
      <w:r w:rsidRPr="00A428C3">
        <w:t>completion rates for 16 such persons were compared with a group of 34 workers receiving isoniazid preventive therapy. In the first group, compliance was lower</w:t>
      </w:r>
      <w:r w:rsidR="00F81221">
        <w:t xml:space="preserve"> and </w:t>
      </w:r>
      <w:r w:rsidRPr="00A428C3">
        <w:t>adverse reactions were significantly more likely than in the isoniazid group. In the doses used, ofloxacin</w:t>
      </w:r>
      <w:r w:rsidR="00F81221">
        <w:t xml:space="preserve"> and </w:t>
      </w:r>
      <w:r w:rsidRPr="00A428C3">
        <w:t>pyrazinamide were poorly tolerated by health care workers in our institution. Because of the paucity of suitable alternatives, attempts at prophylaxis with a quinolone</w:t>
      </w:r>
      <w:r w:rsidR="00F81221">
        <w:t xml:space="preserve"> and </w:t>
      </w:r>
      <w:r w:rsidRPr="00A428C3">
        <w:t>pyrazinamide should still be considered. Alternative dosing regimens or other agents should be evaluated for preventive therapy for isoniazid-, multidrug-, or RISE-resistant tuberculosis</w:t>
      </w:r>
    </w:p>
    <w:p w:rsidR="00B95188" w:rsidRPr="00A428C3" w:rsidRDefault="00B95188" w:rsidP="00B95188">
      <w:pPr>
        <w:pStyle w:val="a0"/>
      </w:pPr>
      <w:r w:rsidRPr="00A428C3">
        <w:t xml:space="preserve">Keywords: AIDS, </w:t>
      </w:r>
      <w:r w:rsidRPr="00A428C3">
        <w:rPr>
          <w:i/>
          <w:iCs/>
        </w:rPr>
        <w:t>Mycobacterium tuberculosis</w:t>
      </w:r>
      <w:r w:rsidRPr="00A428C3">
        <w:t>, Ofloxacin, Outbreak, Patient, Transmission, Tuberculosis</w:t>
      </w:r>
    </w:p>
    <w:p w:rsidR="00B95188" w:rsidRPr="00A428C3" w:rsidRDefault="00B95188" w:rsidP="00B95188">
      <w:pPr>
        <w:pStyle w:val="1"/>
      </w:pPr>
      <w:r w:rsidRPr="00586CD8">
        <w:br w:type="page"/>
      </w:r>
      <w:bookmarkStart w:id="1013" w:name="_Toc186647860"/>
      <w:bookmarkStart w:id="1014" w:name="_Toc317161159"/>
      <w:r w:rsidRPr="00A428C3">
        <w:lastRenderedPageBreak/>
        <w:t>Title: Infections in Medicine</w:t>
      </w:r>
      <w:bookmarkEnd w:id="1013"/>
      <w:bookmarkEnd w:id="1014"/>
    </w:p>
    <w:p w:rsidR="00B95188" w:rsidRPr="00A428C3" w:rsidRDefault="00B95188" w:rsidP="00B72EF9">
      <w:pPr>
        <w:pStyle w:val="12"/>
      </w:pPr>
      <w:r w:rsidRPr="00A428C3">
        <w:t>Full Journal Title: Infections in Medicine</w:t>
      </w:r>
    </w:p>
    <w:p w:rsidR="00B95188" w:rsidRPr="00A428C3" w:rsidRDefault="00B95188" w:rsidP="00B72EF9">
      <w:pPr>
        <w:pStyle w:val="12"/>
      </w:pPr>
      <w:r w:rsidRPr="00A428C3">
        <w:t>ISO Abbreviated Title: Infect. Med.</w:t>
      </w:r>
    </w:p>
    <w:p w:rsidR="00B95188" w:rsidRPr="00A428C3" w:rsidRDefault="00B95188" w:rsidP="00B72EF9">
      <w:pPr>
        <w:pStyle w:val="12"/>
      </w:pPr>
      <w:r w:rsidRPr="00A428C3">
        <w:t>JCR Abbreviated Title: Infect Med</w:t>
      </w:r>
    </w:p>
    <w:p w:rsidR="00B95188" w:rsidRPr="00A428C3" w:rsidRDefault="00B95188" w:rsidP="00B72EF9">
      <w:pPr>
        <w:pStyle w:val="12"/>
      </w:pPr>
      <w:r w:rsidRPr="00A428C3">
        <w:t>ISSN: 0749-6524</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Elsevier Scp Communications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134 W 29th St</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10001-5304</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Infectious Diseases: Impact Factor 0.439, / (2001)</w:t>
      </w:r>
    </w:p>
    <w:p w:rsidR="00B95188" w:rsidRPr="00A428C3" w:rsidRDefault="00B95188" w:rsidP="00B95188">
      <w:pPr>
        <w:pStyle w:val="a0"/>
      </w:pPr>
      <w:r w:rsidRPr="00A428C3">
        <w:t xml:space="preserve">? Fox, S. (2003), SARS continues global spread. </w:t>
      </w:r>
      <w:r w:rsidRPr="00A428C3">
        <w:rPr>
          <w:i/>
          <w:iCs/>
        </w:rPr>
        <w:t>Infections in Medicine</w:t>
      </w:r>
      <w:r w:rsidRPr="00A428C3">
        <w:t xml:space="preserve">, </w:t>
      </w:r>
      <w:r w:rsidRPr="00A428C3">
        <w:rPr>
          <w:b/>
        </w:rPr>
        <w:t>20</w:t>
      </w:r>
      <w:r w:rsidRPr="00A428C3">
        <w:t xml:space="preserve"> (5), 217.</w:t>
      </w:r>
    </w:p>
    <w:p w:rsidR="00996864" w:rsidRPr="001A3D2B" w:rsidRDefault="00996864" w:rsidP="00996864">
      <w:pPr>
        <w:pStyle w:val="1"/>
      </w:pPr>
      <w:r w:rsidRPr="001A3D2B">
        <w:br w:type="page"/>
      </w:r>
      <w:bookmarkStart w:id="1015" w:name="_Toc317161160"/>
      <w:r w:rsidRPr="001A3D2B">
        <w:lastRenderedPageBreak/>
        <w:t xml:space="preserve">Title: </w:t>
      </w:r>
      <w:r w:rsidRPr="00E72746">
        <w:rPr>
          <w:iCs/>
        </w:rPr>
        <w:t>Inflammatory Bowel Diseases</w:t>
      </w:r>
      <w:bookmarkEnd w:id="1015"/>
    </w:p>
    <w:p w:rsidR="00996864" w:rsidRPr="001A3D2B" w:rsidRDefault="00996864" w:rsidP="00996864">
      <w:pPr>
        <w:pStyle w:val="12"/>
      </w:pPr>
      <w:r w:rsidRPr="001A3D2B">
        <w:t xml:space="preserve">Full Journal Title: </w:t>
      </w:r>
      <w:r w:rsidRPr="00E72746">
        <w:rPr>
          <w:iCs/>
        </w:rPr>
        <w:t>Inflammatory Bowel Diseases</w:t>
      </w:r>
    </w:p>
    <w:p w:rsidR="00996864" w:rsidRPr="001A3D2B" w:rsidRDefault="00996864" w:rsidP="00996864">
      <w:pPr>
        <w:pStyle w:val="12"/>
      </w:pPr>
      <w:r w:rsidRPr="001A3D2B">
        <w:t xml:space="preserve">ISO Abbreviated </w:t>
      </w:r>
    </w:p>
    <w:p w:rsidR="00996864" w:rsidRPr="001A3D2B" w:rsidRDefault="00996864" w:rsidP="00996864">
      <w:pPr>
        <w:pStyle w:val="12"/>
      </w:pPr>
      <w:r w:rsidRPr="001A3D2B">
        <w:t xml:space="preserve">JCR Abbreviated Title: </w:t>
      </w:r>
    </w:p>
    <w:p w:rsidR="00996864" w:rsidRPr="001A3D2B" w:rsidRDefault="00996864" w:rsidP="00996864">
      <w:pPr>
        <w:pStyle w:val="12"/>
      </w:pPr>
      <w:r w:rsidRPr="001A3D2B">
        <w:t xml:space="preserve">ISSN: </w:t>
      </w:r>
    </w:p>
    <w:p w:rsidR="00996864" w:rsidRPr="001A3D2B" w:rsidRDefault="00996864" w:rsidP="00996864">
      <w:pPr>
        <w:pStyle w:val="12"/>
      </w:pPr>
      <w:r w:rsidRPr="001A3D2B">
        <w:t xml:space="preserve">Issues/Year: </w:t>
      </w:r>
    </w:p>
    <w:p w:rsidR="00996864" w:rsidRPr="001A3D2B" w:rsidRDefault="00996864" w:rsidP="00996864">
      <w:pPr>
        <w:pStyle w:val="12"/>
      </w:pPr>
      <w:r w:rsidRPr="001A3D2B">
        <w:t xml:space="preserve">Journal Country/Territory: </w:t>
      </w:r>
    </w:p>
    <w:p w:rsidR="00996864" w:rsidRPr="001A3D2B" w:rsidRDefault="00996864" w:rsidP="00996864">
      <w:pPr>
        <w:pStyle w:val="12"/>
      </w:pPr>
      <w:r w:rsidRPr="001A3D2B">
        <w:t xml:space="preserve">Language: </w:t>
      </w:r>
    </w:p>
    <w:p w:rsidR="00996864" w:rsidRPr="001A3D2B" w:rsidRDefault="00996864" w:rsidP="00996864">
      <w:pPr>
        <w:pStyle w:val="12"/>
      </w:pPr>
      <w:r w:rsidRPr="001A3D2B">
        <w:t xml:space="preserve">Publisher: </w:t>
      </w:r>
    </w:p>
    <w:p w:rsidR="00996864" w:rsidRPr="001A3D2B" w:rsidRDefault="00996864" w:rsidP="00996864">
      <w:pPr>
        <w:pStyle w:val="12"/>
      </w:pPr>
      <w:r w:rsidRPr="001A3D2B">
        <w:t xml:space="preserve">Publisher Address: </w:t>
      </w:r>
    </w:p>
    <w:p w:rsidR="00996864" w:rsidRPr="001A3D2B" w:rsidRDefault="00996864" w:rsidP="00996864">
      <w:pPr>
        <w:pStyle w:val="12"/>
      </w:pPr>
      <w:r w:rsidRPr="001A3D2B">
        <w:t>Subject Categories:</w:t>
      </w:r>
    </w:p>
    <w:p w:rsidR="00996864" w:rsidRPr="001A3D2B" w:rsidRDefault="00996864" w:rsidP="00996864">
      <w:pPr>
        <w:pStyle w:val="12"/>
      </w:pPr>
      <w:r w:rsidRPr="001A3D2B">
        <w:t xml:space="preserve">: Impact Factor </w:t>
      </w:r>
    </w:p>
    <w:p w:rsidR="00996864" w:rsidRDefault="00996864" w:rsidP="00996864">
      <w:pPr>
        <w:pStyle w:val="a0"/>
        <w:rPr>
          <w:kern w:val="0"/>
        </w:rPr>
      </w:pPr>
      <w:r>
        <w:rPr>
          <w:rFonts w:hint="eastAsia"/>
          <w:kern w:val="0"/>
        </w:rPr>
        <w:t xml:space="preserve">? </w:t>
      </w:r>
      <w:r>
        <w:rPr>
          <w:kern w:val="0"/>
        </w:rPr>
        <w:t>Herfarth, H.H., Osterman, M.I., Isaacs, K.L., Lewis, J.D.</w:t>
      </w:r>
      <w:r w:rsidR="00F81221">
        <w:rPr>
          <w:kern w:val="0"/>
        </w:rPr>
        <w:t xml:space="preserve"> and </w:t>
      </w:r>
      <w:r>
        <w:rPr>
          <w:kern w:val="0"/>
        </w:rPr>
        <w:t xml:space="preserve">Sands, B.E. (2010), Efficacy of methotrexate in ulcerative colitis: Failure or promise. </w:t>
      </w:r>
      <w:r w:rsidRPr="00E72746">
        <w:rPr>
          <w:i/>
          <w:iCs/>
          <w:kern w:val="0"/>
        </w:rPr>
        <w:t>Inflammatory Bowel Diseases</w:t>
      </w:r>
      <w:r>
        <w:rPr>
          <w:kern w:val="0"/>
        </w:rPr>
        <w:t xml:space="preserve">, </w:t>
      </w:r>
      <w:r>
        <w:rPr>
          <w:b/>
          <w:bCs/>
          <w:kern w:val="0"/>
        </w:rPr>
        <w:t>16</w:t>
      </w:r>
      <w:r>
        <w:rPr>
          <w:kern w:val="0"/>
        </w:rPr>
        <w:t xml:space="preserve"> (8), 1421-1430.</w:t>
      </w:r>
    </w:p>
    <w:p w:rsidR="00D76E97" w:rsidRDefault="00D76E97" w:rsidP="00D76E97">
      <w:pPr>
        <w:pStyle w:val="a0"/>
        <w:rPr>
          <w:kern w:val="0"/>
        </w:rPr>
      </w:pPr>
      <w:r>
        <w:rPr>
          <w:rFonts w:hint="eastAsia"/>
          <w:kern w:val="0"/>
        </w:rPr>
        <w:t xml:space="preserve">Full Text: </w:t>
      </w:r>
      <w:hyperlink r:id="rId1353" w:history="1">
        <w:r w:rsidRPr="00793B99">
          <w:rPr>
            <w:rStyle w:val="a5"/>
            <w:kern w:val="0"/>
          </w:rPr>
          <w:t>2010\Inf Bow Dis16, 1421.pdf</w:t>
        </w:r>
      </w:hyperlink>
    </w:p>
    <w:p w:rsidR="00996864" w:rsidRDefault="00996864" w:rsidP="00996864">
      <w:pPr>
        <w:pStyle w:val="a0"/>
        <w:rPr>
          <w:kern w:val="0"/>
        </w:rPr>
      </w:pPr>
      <w:r>
        <w:rPr>
          <w:kern w:val="0"/>
        </w:rPr>
        <w:t>Abstract: Background: Low-dose methotrexate is a widely used</w:t>
      </w:r>
      <w:r w:rsidR="00F81221">
        <w:rPr>
          <w:kern w:val="0"/>
        </w:rPr>
        <w:t xml:space="preserve"> and </w:t>
      </w:r>
      <w:r>
        <w:rPr>
          <w:kern w:val="0"/>
        </w:rPr>
        <w:t>efficacious therapy in chronic inflammatory disorders such as psoriasis</w:t>
      </w:r>
      <w:r w:rsidR="00F81221">
        <w:rPr>
          <w:kern w:val="0"/>
        </w:rPr>
        <w:t xml:space="preserve"> and </w:t>
      </w:r>
      <w:r>
        <w:rPr>
          <w:kern w:val="0"/>
        </w:rPr>
        <w:t>rheumatoid arthritis. Prospective randomized controlled trials have demonstrated the efficacy of parenteral methotrexate in Crohn</w:t>
      </w:r>
      <w:r w:rsidR="000352E7">
        <w:rPr>
          <w:kern w:val="0"/>
        </w:rPr>
        <w:t>’</w:t>
      </w:r>
      <w:r>
        <w:rPr>
          <w:kern w:val="0"/>
        </w:rPr>
        <w:t>s disease (CD). We performed a systematic review of the efficacy of methotrexate in ulcerative colitis (UC)</w:t>
      </w:r>
      <w:r w:rsidR="00F81221">
        <w:rPr>
          <w:kern w:val="0"/>
        </w:rPr>
        <w:t xml:space="preserve"> and </w:t>
      </w:r>
      <w:r>
        <w:rPr>
          <w:kern w:val="0"/>
        </w:rPr>
        <w:t>discuss the results in the context of the known pharmacokinetics</w:t>
      </w:r>
      <w:r w:rsidR="00F81221">
        <w:rPr>
          <w:kern w:val="0"/>
        </w:rPr>
        <w:t xml:space="preserve"> and </w:t>
      </w:r>
      <w:r>
        <w:rPr>
          <w:kern w:val="0"/>
        </w:rPr>
        <w:t>adverse events of methotrexate therapy in inflammatory bowel diseases</w:t>
      </w:r>
      <w:r w:rsidR="00F81221">
        <w:rPr>
          <w:kern w:val="0"/>
        </w:rPr>
        <w:t xml:space="preserve"> and </w:t>
      </w:r>
      <w:r>
        <w:rPr>
          <w:kern w:val="0"/>
        </w:rPr>
        <w:t>other inflammatory conditions. Materials</w:t>
      </w:r>
      <w:r w:rsidR="00F81221">
        <w:rPr>
          <w:kern w:val="0"/>
        </w:rPr>
        <w:t xml:space="preserve"> and </w:t>
      </w:r>
      <w:r>
        <w:rPr>
          <w:kern w:val="0"/>
        </w:rPr>
        <w:t>Methods: We performed a systematic review of the literature in MEDLINE, EMBASE,</w:t>
      </w:r>
      <w:r w:rsidR="00F81221">
        <w:rPr>
          <w:kern w:val="0"/>
        </w:rPr>
        <w:t xml:space="preserve"> and </w:t>
      </w:r>
      <w:r>
        <w:rPr>
          <w:kern w:val="0"/>
        </w:rPr>
        <w:t>Web of Science. All publications describing patients with UC treated with methotrexate were included. Results: We identified 12 studies or retrospective case series</w:t>
      </w:r>
      <w:r w:rsidR="00F81221">
        <w:rPr>
          <w:kern w:val="0"/>
        </w:rPr>
        <w:t xml:space="preserve"> and </w:t>
      </w:r>
      <w:r>
        <w:rPr>
          <w:kern w:val="0"/>
        </w:rPr>
        <w:t>5 meeting abstracts that met the inclusion criteria. Only I study reported a prospective randomized placebo-controlled trial using methotrexate at a dose of 12.5 mg orally with no significant clinical benefit. However, the majority of uncontrolled retrospective analyses suggest a clinical response to methotrexate therapy in a range of 30%-80% when the drug is applied by parenteral route in doses between 20-25 mg. Conclusions: The only randomized controlled trial of methotrexate in UC employed oral dosing</w:t>
      </w:r>
      <w:r w:rsidR="00F81221">
        <w:rPr>
          <w:kern w:val="0"/>
        </w:rPr>
        <w:t xml:space="preserve"> and </w:t>
      </w:r>
      <w:r>
        <w:rPr>
          <w:kern w:val="0"/>
        </w:rPr>
        <w:t>doses lower than those shown to be effective in CD</w:t>
      </w:r>
      <w:r w:rsidR="00F81221">
        <w:rPr>
          <w:kern w:val="0"/>
        </w:rPr>
        <w:t xml:space="preserve"> and </w:t>
      </w:r>
      <w:r>
        <w:rPr>
          <w:kern w:val="0"/>
        </w:rPr>
        <w:t>did not demonstrate efficacy, whereas uncontrolled, retrospective studies using doses</w:t>
      </w:r>
      <w:r w:rsidR="00F81221">
        <w:rPr>
          <w:kern w:val="0"/>
        </w:rPr>
        <w:t xml:space="preserve"> and </w:t>
      </w:r>
      <w:r>
        <w:rPr>
          <w:kern w:val="0"/>
        </w:rPr>
        <w:t>routes of administration similar to those employed in CD suggest benefit. Well-designed, prospective, placebo-controlled trials of methotrexate in UC are needed.</w:t>
      </w:r>
    </w:p>
    <w:p w:rsidR="00996864" w:rsidRDefault="00996864" w:rsidP="00996864">
      <w:pPr>
        <w:pStyle w:val="a0"/>
        <w:rPr>
          <w:kern w:val="0"/>
        </w:rPr>
      </w:pPr>
      <w:r>
        <w:rPr>
          <w:kern w:val="0"/>
        </w:rPr>
        <w:lastRenderedPageBreak/>
        <w:t>Keywords: Case Series, Cd, Crohn</w:t>
      </w:r>
      <w:r w:rsidR="000352E7">
        <w:rPr>
          <w:kern w:val="0"/>
        </w:rPr>
        <w:t>’</w:t>
      </w:r>
      <w:r>
        <w:rPr>
          <w:kern w:val="0"/>
        </w:rPr>
        <w:t xml:space="preserve">S Disease, Disease, Double-Blind, Drug, Efficacy, Inflammatory Bowel Disease, Inflammatory-Bowel-Disease, Israeli Multicenter Trial, Literature, Low-Dose Methotrexate, Maintaining Remission, Methods, Methotrexate, </w:t>
      </w:r>
      <w:r w:rsidR="00D76E97">
        <w:rPr>
          <w:kern w:val="0"/>
        </w:rPr>
        <w:t>of</w:t>
      </w:r>
      <w:r>
        <w:rPr>
          <w:kern w:val="0"/>
        </w:rPr>
        <w:t>-the-Literature, Oral Methotrexate, Parenteral Methotrexate, Pediatric Crohns-Disease, Publications, Randomized Controlled Trial, Randomized Controlled Trials, Review, Rheumatoid-Arthritis, Science, Systematic, Systematic Review, Therapy, Ulcerative Colitis, Web of Science</w:t>
      </w:r>
    </w:p>
    <w:p w:rsidR="00D76E97" w:rsidRDefault="00D76E97" w:rsidP="00D76E97">
      <w:pPr>
        <w:pStyle w:val="a0"/>
        <w:rPr>
          <w:kern w:val="0"/>
          <w:szCs w:val="24"/>
        </w:rPr>
      </w:pPr>
      <w:r>
        <w:rPr>
          <w:rFonts w:hint="eastAsia"/>
          <w:kern w:val="0"/>
          <w:szCs w:val="24"/>
        </w:rPr>
        <w:t xml:space="preserve">? Khan, N., Abbas, A.M., Whang, N., Balart, L.A., Bazzano, L.A. and Kelly, T.N. (2012), Incidence of liver toxicity in inflammatory bowel disease patients treated with methotrexate: A meta-analysis of clinical trials. </w:t>
      </w:r>
      <w:r>
        <w:rPr>
          <w:rFonts w:hint="eastAsia"/>
          <w:i/>
          <w:iCs/>
          <w:kern w:val="0"/>
          <w:szCs w:val="24"/>
        </w:rPr>
        <w:t>Inflammatory Bowel Diseases</w:t>
      </w:r>
      <w:r>
        <w:rPr>
          <w:rFonts w:hint="eastAsia"/>
          <w:kern w:val="0"/>
          <w:szCs w:val="24"/>
        </w:rPr>
        <w:t xml:space="preserve">, </w:t>
      </w:r>
      <w:r>
        <w:rPr>
          <w:rFonts w:hint="eastAsia"/>
          <w:b/>
          <w:bCs/>
          <w:kern w:val="0"/>
          <w:szCs w:val="24"/>
        </w:rPr>
        <w:t>18</w:t>
      </w:r>
      <w:r>
        <w:rPr>
          <w:rFonts w:hint="eastAsia"/>
          <w:kern w:val="0"/>
          <w:szCs w:val="24"/>
        </w:rPr>
        <w:t xml:space="preserve"> (2), 359-367.</w:t>
      </w:r>
    </w:p>
    <w:p w:rsidR="00D76E97" w:rsidRDefault="00D76E97" w:rsidP="00D76E97">
      <w:pPr>
        <w:pStyle w:val="a0"/>
        <w:rPr>
          <w:kern w:val="0"/>
          <w:szCs w:val="24"/>
        </w:rPr>
      </w:pPr>
      <w:r>
        <w:rPr>
          <w:rFonts w:hint="eastAsia"/>
          <w:kern w:val="0"/>
          <w:szCs w:val="24"/>
        </w:rPr>
        <w:t xml:space="preserve">Full Text: </w:t>
      </w:r>
      <w:hyperlink r:id="rId1354" w:history="1">
        <w:r w:rsidRPr="00793B99">
          <w:rPr>
            <w:rStyle w:val="a5"/>
            <w:kern w:val="0"/>
            <w:szCs w:val="24"/>
          </w:rPr>
          <w:t>2012\Inf Bow Dis18, 359.pdf</w:t>
        </w:r>
      </w:hyperlink>
    </w:p>
    <w:p w:rsidR="00D76E97" w:rsidRDefault="00D76E97" w:rsidP="00D76E97">
      <w:pPr>
        <w:pStyle w:val="a0"/>
        <w:rPr>
          <w:kern w:val="0"/>
          <w:szCs w:val="24"/>
        </w:rPr>
      </w:pPr>
      <w:r>
        <w:rPr>
          <w:rFonts w:hint="eastAsia"/>
          <w:kern w:val="0"/>
          <w:szCs w:val="24"/>
        </w:rPr>
        <w:t>Abstract: Background: Crohn</w:t>
      </w:r>
      <w:r w:rsidR="000352E7">
        <w:rPr>
          <w:kern w:val="0"/>
          <w:szCs w:val="24"/>
        </w:rPr>
        <w:t>’</w:t>
      </w:r>
      <w:r>
        <w:rPr>
          <w:rFonts w:hint="eastAsia"/>
          <w:kern w:val="0"/>
          <w:szCs w:val="24"/>
        </w:rPr>
        <w:t>s disease and ulcerative colitis are chronic debilitating diseases for which there are multiple treatment options. There are limited data on methotrexate</w:t>
      </w:r>
      <w:r w:rsidR="000352E7">
        <w:rPr>
          <w:kern w:val="0"/>
          <w:szCs w:val="24"/>
        </w:rPr>
        <w:t>’</w:t>
      </w:r>
      <w:r>
        <w:rPr>
          <w:rFonts w:hint="eastAsia"/>
          <w:kern w:val="0"/>
          <w:szCs w:val="24"/>
        </w:rPr>
        <w:t>s efficacy and safety profile. Our aim was to estimate the hepatotoxicity associated with its use in inflammatory bowel diseases (IBDs). Methods: We systematically searched the Medline, Cochrane Library, Web of Science, and EMBASE databases and manually examined references in selected articles for trials that used methotrexate as a treatment for IBDs. Thirteen trials that fulfilled the inclusion and exclusion criteria were included in the meta-analysis. Information on trial and patient characteristics, use of methotrexate as well as other treatments or placebo, and levels of hepatic aminotransferase enzymes were abstracted by two independent investigators using a standardized form. A random effects model was used to pool the incidence rates of reported abnormalities in hepatic aminotransferases. Results: The pooled incidence rate of abnormal hepatic aminotransferase levels (defined as up to a 2-fold increase over the upper limit of the normal range) in patients treated with methotrexate for IBD was 1.4 per 100 person-months, while the rate of hepatotoxicity (defined as greater than a 2-fold over the upper limit of the normal range) was 0.9 per 100 person-months. The rate of withdrawal from treatment due to these abnormalities was 0.8 per 100 person-months. Conclusions: The incidence of methotrexate-related hepatotoxicity as measured by elevation in transaminases and drug withdrawal secondary to elevated transaminases is relatively low.</w:t>
      </w:r>
    </w:p>
    <w:p w:rsidR="00D76E97" w:rsidRDefault="00D76E97" w:rsidP="00D76E97">
      <w:pPr>
        <w:pStyle w:val="a0"/>
        <w:rPr>
          <w:kern w:val="0"/>
          <w:szCs w:val="24"/>
        </w:rPr>
      </w:pPr>
      <w:r>
        <w:rPr>
          <w:rFonts w:hint="eastAsia"/>
          <w:kern w:val="0"/>
          <w:szCs w:val="24"/>
        </w:rPr>
        <w:t>Keywords: Active Crohns-Disease, Articles, Azathioprine, Clinical Trials, Cochrane, Combining Infliximab, Crohn</w:t>
      </w:r>
      <w:r w:rsidR="000352E7">
        <w:rPr>
          <w:kern w:val="0"/>
          <w:szCs w:val="24"/>
        </w:rPr>
        <w:t>’</w:t>
      </w:r>
      <w:r>
        <w:rPr>
          <w:rFonts w:hint="eastAsia"/>
          <w:kern w:val="0"/>
          <w:szCs w:val="24"/>
        </w:rPr>
        <w:t xml:space="preserve">s Disease, Databases, Debilitating, Disease, Double-Blind, Drug, Efficacy, Embase, Incidence, Inflammatory Bowel Disease, Inflammatory Bowel Diseases, Israeli Multicenter Trial, Liver Aminotransferase, Low, Medline, Meta Analysis, Meta-Analysis, Methods, Methotrexate, Model, Normal, Patients, Profile, Remission, Resistant, Rheumatoid-Arthritis, Safety, </w:t>
      </w:r>
      <w:r>
        <w:rPr>
          <w:rFonts w:hint="eastAsia"/>
          <w:kern w:val="0"/>
          <w:szCs w:val="24"/>
        </w:rPr>
        <w:lastRenderedPageBreak/>
        <w:t>Science, Toxicity, Treatment, Ulcerative Colitis, Ulcerative-Colitis, Web of Science, Web-of-Science</w:t>
      </w:r>
    </w:p>
    <w:p w:rsidR="007F6B4A" w:rsidRPr="00A428C3" w:rsidRDefault="007F6B4A" w:rsidP="007F6B4A">
      <w:pPr>
        <w:pStyle w:val="1"/>
      </w:pPr>
      <w:r w:rsidRPr="00586CD8">
        <w:br w:type="page"/>
      </w:r>
      <w:bookmarkStart w:id="1016" w:name="_Toc317161161"/>
      <w:r w:rsidRPr="00A428C3">
        <w:lastRenderedPageBreak/>
        <w:t xml:space="preserve">Title: </w:t>
      </w:r>
      <w:r w:rsidRPr="007F6B4A">
        <w:rPr>
          <w:iCs/>
        </w:rPr>
        <w:t>Informacao &amp; Sociedade-Estudos</w:t>
      </w:r>
      <w:bookmarkEnd w:id="1016"/>
    </w:p>
    <w:p w:rsidR="007F6B4A" w:rsidRPr="00A428C3" w:rsidRDefault="007F6B4A" w:rsidP="00B72EF9">
      <w:pPr>
        <w:pStyle w:val="12"/>
      </w:pPr>
      <w:r w:rsidRPr="00A428C3">
        <w:t xml:space="preserve">Full Journal Title: </w:t>
      </w:r>
      <w:r w:rsidRPr="007F6B4A">
        <w:t>Informacao &amp; Sociedade-Estudos</w:t>
      </w:r>
    </w:p>
    <w:p w:rsidR="007F6B4A" w:rsidRPr="00A428C3" w:rsidRDefault="007F6B4A" w:rsidP="00B72EF9">
      <w:pPr>
        <w:pStyle w:val="12"/>
      </w:pPr>
      <w:r w:rsidRPr="00A428C3">
        <w:t xml:space="preserve">ISO Abbreviated </w:t>
      </w:r>
    </w:p>
    <w:p w:rsidR="007F6B4A" w:rsidRPr="00A428C3" w:rsidRDefault="007F6B4A" w:rsidP="00B72EF9">
      <w:pPr>
        <w:pStyle w:val="12"/>
      </w:pPr>
      <w:r w:rsidRPr="00A428C3">
        <w:t xml:space="preserve">JCR Abbreviated Title: </w:t>
      </w:r>
    </w:p>
    <w:p w:rsidR="007F6B4A" w:rsidRPr="00A428C3" w:rsidRDefault="007F6B4A" w:rsidP="00B72EF9">
      <w:pPr>
        <w:pStyle w:val="12"/>
      </w:pPr>
      <w:r w:rsidRPr="00A428C3">
        <w:t xml:space="preserve">ISSN: </w:t>
      </w:r>
    </w:p>
    <w:p w:rsidR="007F6B4A" w:rsidRPr="00A428C3" w:rsidRDefault="007F6B4A" w:rsidP="00B72EF9">
      <w:pPr>
        <w:pStyle w:val="12"/>
      </w:pPr>
      <w:r w:rsidRPr="00A428C3">
        <w:t xml:space="preserve">Issues/Year: </w:t>
      </w:r>
    </w:p>
    <w:p w:rsidR="007F6B4A" w:rsidRPr="00A428C3" w:rsidRDefault="007F6B4A" w:rsidP="00B72EF9">
      <w:pPr>
        <w:pStyle w:val="12"/>
      </w:pPr>
      <w:r w:rsidRPr="00A428C3">
        <w:t xml:space="preserve">Journal Country/Territory: </w:t>
      </w:r>
    </w:p>
    <w:p w:rsidR="007F6B4A" w:rsidRPr="00A428C3" w:rsidRDefault="007F6B4A" w:rsidP="00B72EF9">
      <w:pPr>
        <w:pStyle w:val="12"/>
      </w:pPr>
      <w:r w:rsidRPr="00A428C3">
        <w:t xml:space="preserve">Language: </w:t>
      </w:r>
    </w:p>
    <w:p w:rsidR="007F6B4A" w:rsidRPr="00A428C3" w:rsidRDefault="007F6B4A" w:rsidP="00B72EF9">
      <w:pPr>
        <w:pStyle w:val="12"/>
      </w:pPr>
      <w:r w:rsidRPr="00A428C3">
        <w:t xml:space="preserve">Publisher: </w:t>
      </w:r>
    </w:p>
    <w:p w:rsidR="007F6B4A" w:rsidRPr="00A428C3" w:rsidRDefault="007F6B4A" w:rsidP="00B72EF9">
      <w:pPr>
        <w:pStyle w:val="12"/>
      </w:pPr>
      <w:r w:rsidRPr="00A428C3">
        <w:t xml:space="preserve">Publisher Address: </w:t>
      </w:r>
    </w:p>
    <w:p w:rsidR="007F6B4A" w:rsidRPr="00A428C3" w:rsidRDefault="007F6B4A" w:rsidP="00B72EF9">
      <w:pPr>
        <w:pStyle w:val="12"/>
      </w:pPr>
      <w:r w:rsidRPr="00A428C3">
        <w:t>Subject Categories:</w:t>
      </w:r>
    </w:p>
    <w:p w:rsidR="007F6B4A" w:rsidRPr="00A428C3" w:rsidRDefault="007F6B4A" w:rsidP="00B72EF9">
      <w:pPr>
        <w:pStyle w:val="12"/>
      </w:pPr>
      <w:r w:rsidRPr="00A428C3">
        <w:t xml:space="preserve">: Impact Factor </w:t>
      </w:r>
    </w:p>
    <w:p w:rsidR="007F6B4A" w:rsidRDefault="007F6B4A" w:rsidP="007F6B4A">
      <w:pPr>
        <w:pStyle w:val="a0"/>
        <w:rPr>
          <w:kern w:val="0"/>
        </w:rPr>
      </w:pPr>
      <w:r>
        <w:rPr>
          <w:rFonts w:hint="eastAsia"/>
          <w:kern w:val="0"/>
        </w:rPr>
        <w:t xml:space="preserve">? </w:t>
      </w:r>
      <w:r>
        <w:rPr>
          <w:kern w:val="0"/>
        </w:rPr>
        <w:t>Graeml, A.R., Macada, M.A.</w:t>
      </w:r>
      <w:r w:rsidR="00F81221">
        <w:rPr>
          <w:kern w:val="0"/>
        </w:rPr>
        <w:t xml:space="preserve"> and </w:t>
      </w:r>
      <w:r>
        <w:rPr>
          <w:kern w:val="0"/>
        </w:rPr>
        <w:t>Rossoni, L. (2010), Intellectuals in social networks</w:t>
      </w:r>
      <w:r w:rsidR="00F81221">
        <w:rPr>
          <w:kern w:val="0"/>
        </w:rPr>
        <w:t xml:space="preserve"> and </w:t>
      </w:r>
      <w:r>
        <w:rPr>
          <w:kern w:val="0"/>
        </w:rPr>
        <w:t xml:space="preserve">information administration: Scientometric analysis of the period 1997-2006 abstract. </w:t>
      </w:r>
      <w:r w:rsidRPr="007F6B4A">
        <w:rPr>
          <w:i/>
          <w:iCs/>
          <w:kern w:val="0"/>
        </w:rPr>
        <w:t>Informacao &amp; Sociedade-Estudos</w:t>
      </w:r>
      <w:r>
        <w:rPr>
          <w:kern w:val="0"/>
        </w:rPr>
        <w:t xml:space="preserve">, </w:t>
      </w:r>
      <w:r>
        <w:rPr>
          <w:b/>
          <w:bCs/>
          <w:kern w:val="0"/>
        </w:rPr>
        <w:t>20</w:t>
      </w:r>
      <w:r>
        <w:rPr>
          <w:kern w:val="0"/>
        </w:rPr>
        <w:t xml:space="preserve"> (1), 95-110.</w:t>
      </w:r>
    </w:p>
    <w:p w:rsidR="007F6B4A" w:rsidRDefault="007F6B4A" w:rsidP="007F6B4A">
      <w:pPr>
        <w:pStyle w:val="a0"/>
        <w:rPr>
          <w:kern w:val="0"/>
        </w:rPr>
      </w:pPr>
      <w:r>
        <w:rPr>
          <w:kern w:val="0"/>
        </w:rPr>
        <w:t>Abstract: The purpose of this paper is to identify</w:t>
      </w:r>
      <w:r w:rsidR="00F81221">
        <w:rPr>
          <w:kern w:val="0"/>
        </w:rPr>
        <w:t xml:space="preserve"> and </w:t>
      </w:r>
      <w:r>
        <w:rPr>
          <w:kern w:val="0"/>
        </w:rPr>
        <w:t>analyze the social</w:t>
      </w:r>
      <w:r w:rsidR="00F81221">
        <w:rPr>
          <w:kern w:val="0"/>
        </w:rPr>
        <w:t xml:space="preserve"> and </w:t>
      </w:r>
      <w:r>
        <w:rPr>
          <w:kern w:val="0"/>
        </w:rPr>
        <w:t>intellectual networks in the field of Information Management, trying to understand the social conditioning to knowledge construction in the area. Having the bibliometric data from all papers published in the proceedings of Enanpad (the major yearly management academic conference in Brazil), from 1997 to 2006, scientometric analyses were developed about the academic profile of the Information Management field. Thus, social networks were built based on the authorship information</w:t>
      </w:r>
      <w:r w:rsidR="00F81221">
        <w:rPr>
          <w:kern w:val="0"/>
        </w:rPr>
        <w:t xml:space="preserve"> and </w:t>
      </w:r>
      <w:r>
        <w:rPr>
          <w:kern w:val="0"/>
        </w:rPr>
        <w:t>co-authorship networks, generated from the references adopted, in the proceedings. 339 papers were included in the study, involving 9287 references that were analyzed using UCINET 6</w:t>
      </w:r>
      <w:r w:rsidR="00F81221">
        <w:rPr>
          <w:kern w:val="0"/>
        </w:rPr>
        <w:t xml:space="preserve"> and </w:t>
      </w:r>
      <w:r>
        <w:rPr>
          <w:kern w:val="0"/>
        </w:rPr>
        <w:t>PAJEK 1.22 software. The social relationships had showed the existence of a still very fragmented co-authoring network,</w:t>
      </w:r>
      <w:r w:rsidR="00F81221">
        <w:rPr>
          <w:kern w:val="0"/>
        </w:rPr>
        <w:t xml:space="preserve"> and </w:t>
      </w:r>
      <w:r>
        <w:rPr>
          <w:kern w:val="0"/>
        </w:rPr>
        <w:t>the main post-graduation courses leading the structuring of the area. Besides, from the analysis of the co-citation network it was possible to identify what is main stream in the area</w:t>
      </w:r>
      <w:r w:rsidR="00F81221">
        <w:rPr>
          <w:kern w:val="0"/>
        </w:rPr>
        <w:t xml:space="preserve"> and </w:t>
      </w:r>
      <w:r>
        <w:rPr>
          <w:kern w:val="0"/>
        </w:rPr>
        <w:t>the relevant topics. Finally, the results made possible to state that the relationship among the researchers first, conditioned the individual intellectual preferences, but later (2002-2006) the influence were broader, conditioning the groups.</w:t>
      </w:r>
    </w:p>
    <w:p w:rsidR="007F6B4A" w:rsidRDefault="007F6B4A" w:rsidP="007F6B4A">
      <w:pPr>
        <w:pStyle w:val="a0"/>
        <w:rPr>
          <w:kern w:val="0"/>
        </w:rPr>
      </w:pPr>
      <w:r>
        <w:rPr>
          <w:kern w:val="0"/>
        </w:rPr>
        <w:t>Keywords: Authorship, Bibliometric, Bibliometric Data, Bibliometrics, Citation, Co-Authorship, Co-Citation, Collaboration, Groups, Intellectual Networks, Knowledge, Management, Networks, Researchers, Science, Scientometric, Scientometrics, Social Networks, Software, State, Topics</w:t>
      </w:r>
    </w:p>
    <w:p w:rsidR="00BB7579" w:rsidRDefault="00BB7579" w:rsidP="00BB7579">
      <w:pPr>
        <w:pStyle w:val="a0"/>
        <w:rPr>
          <w:kern w:val="0"/>
        </w:rPr>
      </w:pPr>
      <w:r>
        <w:rPr>
          <w:rFonts w:hint="eastAsia"/>
          <w:kern w:val="0"/>
        </w:rPr>
        <w:t xml:space="preserve">? </w:t>
      </w:r>
      <w:r>
        <w:rPr>
          <w:kern w:val="0"/>
        </w:rPr>
        <w:t>Vanz, S.A.D.</w:t>
      </w:r>
      <w:r w:rsidR="00F81221">
        <w:rPr>
          <w:kern w:val="0"/>
        </w:rPr>
        <w:t xml:space="preserve"> and </w:t>
      </w:r>
      <w:r>
        <w:rPr>
          <w:kern w:val="0"/>
        </w:rPr>
        <w:t>Stumpf, I.R.C. (2010), Procedures</w:t>
      </w:r>
      <w:r w:rsidR="00F81221">
        <w:rPr>
          <w:kern w:val="0"/>
        </w:rPr>
        <w:t xml:space="preserve"> and </w:t>
      </w:r>
      <w:r>
        <w:rPr>
          <w:kern w:val="0"/>
        </w:rPr>
        <w:t xml:space="preserve">Tools Applied to Bibliometric Studies. </w:t>
      </w:r>
      <w:r>
        <w:rPr>
          <w:i/>
          <w:iCs/>
          <w:kern w:val="0"/>
        </w:rPr>
        <w:t>Informacao &amp; Sociedade-Estudos</w:t>
      </w:r>
      <w:r>
        <w:rPr>
          <w:kern w:val="0"/>
        </w:rPr>
        <w:t xml:space="preserve">, </w:t>
      </w:r>
      <w:r>
        <w:rPr>
          <w:b/>
          <w:bCs/>
          <w:kern w:val="0"/>
        </w:rPr>
        <w:t>20</w:t>
      </w:r>
      <w:r>
        <w:rPr>
          <w:kern w:val="0"/>
        </w:rPr>
        <w:t xml:space="preserve"> (2), 67-75.</w:t>
      </w:r>
    </w:p>
    <w:p w:rsidR="00BB7579" w:rsidRDefault="00BB7579" w:rsidP="00BB7579">
      <w:pPr>
        <w:pStyle w:val="a0"/>
        <w:rPr>
          <w:kern w:val="0"/>
        </w:rPr>
      </w:pPr>
      <w:r>
        <w:rPr>
          <w:kern w:val="0"/>
        </w:rPr>
        <w:lastRenderedPageBreak/>
        <w:t>Abstract: Discusses the process of scientific prodution evaluation</w:t>
      </w:r>
      <w:r w:rsidR="00F81221">
        <w:rPr>
          <w:kern w:val="0"/>
        </w:rPr>
        <w:t xml:space="preserve"> and </w:t>
      </w:r>
      <w:r>
        <w:rPr>
          <w:kern w:val="0"/>
        </w:rPr>
        <w:t>the necessary development of indicators for this purpose. Presents sources for data collection for development of scientific production indicators</w:t>
      </w:r>
      <w:r w:rsidR="00F81221">
        <w:rPr>
          <w:kern w:val="0"/>
        </w:rPr>
        <w:t xml:space="preserve"> and </w:t>
      </w:r>
      <w:r>
        <w:rPr>
          <w:kern w:val="0"/>
        </w:rPr>
        <w:t>presents the procedures for cleaning/standardization</w:t>
      </w:r>
      <w:r w:rsidR="00F81221">
        <w:rPr>
          <w:kern w:val="0"/>
        </w:rPr>
        <w:t xml:space="preserve"> and </w:t>
      </w:r>
      <w:r>
        <w:rPr>
          <w:kern w:val="0"/>
        </w:rPr>
        <w:t>organization of bibliometric data. Describes free softwares for bibliometric analysis</w:t>
      </w:r>
      <w:r w:rsidR="00F81221">
        <w:rPr>
          <w:kern w:val="0"/>
        </w:rPr>
        <w:t xml:space="preserve"> and </w:t>
      </w:r>
      <w:r>
        <w:rPr>
          <w:kern w:val="0"/>
        </w:rPr>
        <w:t>the importance of using relative indicators. Discusses some procedures adopted by the international scientific community for multivariate analysis of bibliometric data.</w:t>
      </w:r>
    </w:p>
    <w:p w:rsidR="00BB7579" w:rsidRDefault="00BB7579" w:rsidP="00BB7579">
      <w:pPr>
        <w:pStyle w:val="a0"/>
        <w:rPr>
          <w:kern w:val="0"/>
        </w:rPr>
      </w:pPr>
      <w:r>
        <w:rPr>
          <w:kern w:val="0"/>
        </w:rPr>
        <w:t>Keywords: Analysis, Author Cocitation Analysis, Bibexcel, Bibliometric, Bibliometric Analysis, Bibliometrics, Brazil, Evaluation, Information, International Scientific Collaboration, Jaccard Index, Pearsons R, Production, Quantitative Analysis, Saltons Cosine, Science, Scientometrics, Similarities Measures, Similarity Measures</w:t>
      </w:r>
    </w:p>
    <w:p w:rsidR="00BB7579" w:rsidRDefault="00BB7579" w:rsidP="00BB7579">
      <w:pPr>
        <w:pStyle w:val="a0"/>
        <w:rPr>
          <w:kern w:val="0"/>
        </w:rPr>
      </w:pPr>
      <w:r>
        <w:rPr>
          <w:rFonts w:hint="eastAsia"/>
          <w:kern w:val="0"/>
        </w:rPr>
        <w:t xml:space="preserve">? </w:t>
      </w:r>
      <w:r>
        <w:rPr>
          <w:kern w:val="0"/>
        </w:rPr>
        <w:t>de Moura, A.M.M.</w:t>
      </w:r>
      <w:r w:rsidR="00F81221">
        <w:rPr>
          <w:kern w:val="0"/>
        </w:rPr>
        <w:t xml:space="preserve"> and </w:t>
      </w:r>
      <w:r>
        <w:rPr>
          <w:kern w:val="0"/>
        </w:rPr>
        <w:t>Caregnato, S.E. (2010), Co-classification between articles</w:t>
      </w:r>
      <w:r w:rsidR="00F81221">
        <w:rPr>
          <w:kern w:val="0"/>
        </w:rPr>
        <w:t xml:space="preserve"> and </w:t>
      </w:r>
      <w:r>
        <w:rPr>
          <w:kern w:val="0"/>
        </w:rPr>
        <w:t xml:space="preserve">patents: A study of the interaction between S &amp; T on Brazilian biotech. </w:t>
      </w:r>
      <w:r>
        <w:rPr>
          <w:i/>
          <w:iCs/>
          <w:kern w:val="0"/>
        </w:rPr>
        <w:t>Informacao &amp; Sociedade-Estudos</w:t>
      </w:r>
      <w:r>
        <w:rPr>
          <w:kern w:val="0"/>
        </w:rPr>
        <w:t xml:space="preserve">, </w:t>
      </w:r>
      <w:r>
        <w:rPr>
          <w:b/>
          <w:bCs/>
          <w:kern w:val="0"/>
        </w:rPr>
        <w:t>20</w:t>
      </w:r>
      <w:r>
        <w:rPr>
          <w:kern w:val="0"/>
        </w:rPr>
        <w:t xml:space="preserve"> (2), 119-132.</w:t>
      </w:r>
    </w:p>
    <w:p w:rsidR="00BB7579" w:rsidRDefault="00BB7579" w:rsidP="00BB7579">
      <w:pPr>
        <w:pStyle w:val="a0"/>
        <w:rPr>
          <w:kern w:val="0"/>
        </w:rPr>
      </w:pPr>
      <w:r>
        <w:rPr>
          <w:kern w:val="0"/>
        </w:rPr>
        <w:t>Abstract: The article examines the interaction between science</w:t>
      </w:r>
      <w:r w:rsidR="00F81221">
        <w:rPr>
          <w:kern w:val="0"/>
        </w:rPr>
        <w:t xml:space="preserve"> and </w:t>
      </w:r>
      <w:r>
        <w:rPr>
          <w:kern w:val="0"/>
        </w:rPr>
        <w:t>technology (S&amp;T) from a scientometrics perspective, using the technique of co-classification, also used in other studies. It aims at showing the transit of researchers</w:t>
      </w:r>
      <w:r w:rsidR="00F81221">
        <w:rPr>
          <w:kern w:val="0"/>
        </w:rPr>
        <w:t xml:space="preserve"> and </w:t>
      </w:r>
      <w:r>
        <w:rPr>
          <w:kern w:val="0"/>
        </w:rPr>
        <w:t>inventors from the area of Biotechnology in Brazil, from 2001 to 2005, through the scientific</w:t>
      </w:r>
      <w:r w:rsidR="00F81221">
        <w:rPr>
          <w:kern w:val="0"/>
        </w:rPr>
        <w:t xml:space="preserve"> and </w:t>
      </w:r>
      <w:r>
        <w:rPr>
          <w:kern w:val="0"/>
        </w:rPr>
        <w:t>technological spheres by means of the correlation between articles</w:t>
      </w:r>
      <w:r w:rsidR="00F81221">
        <w:rPr>
          <w:kern w:val="0"/>
        </w:rPr>
        <w:t xml:space="preserve"> and </w:t>
      </w:r>
      <w:r>
        <w:rPr>
          <w:kern w:val="0"/>
        </w:rPr>
        <w:t>patents of their own. The corpus is made up of 194 patents</w:t>
      </w:r>
      <w:r w:rsidR="00F81221">
        <w:rPr>
          <w:kern w:val="0"/>
        </w:rPr>
        <w:t xml:space="preserve"> and </w:t>
      </w:r>
      <w:r>
        <w:rPr>
          <w:kern w:val="0"/>
        </w:rPr>
        <w:t>2584 articles, collected from the INPI Applications for Patents database</w:t>
      </w:r>
      <w:r w:rsidR="00F81221">
        <w:rPr>
          <w:kern w:val="0"/>
        </w:rPr>
        <w:t xml:space="preserve"> and </w:t>
      </w:r>
      <w:r>
        <w:rPr>
          <w:kern w:val="0"/>
        </w:rPr>
        <w:t>the WebofScience, respectively. The correlation between the subjects of the articles</w:t>
      </w:r>
      <w:r w:rsidR="00F81221">
        <w:rPr>
          <w:kern w:val="0"/>
        </w:rPr>
        <w:t xml:space="preserve"> and </w:t>
      </w:r>
      <w:r>
        <w:rPr>
          <w:kern w:val="0"/>
        </w:rPr>
        <w:t>patents was done by a specialist in the area of biotechnology, by mapping the categories proposed by Glanzel</w:t>
      </w:r>
      <w:r w:rsidR="00F81221">
        <w:rPr>
          <w:kern w:val="0"/>
        </w:rPr>
        <w:t xml:space="preserve"> and </w:t>
      </w:r>
      <w:r>
        <w:rPr>
          <w:kern w:val="0"/>
        </w:rPr>
        <w:t>Schubert (2003)</w:t>
      </w:r>
      <w:r w:rsidR="00F81221">
        <w:rPr>
          <w:kern w:val="0"/>
        </w:rPr>
        <w:t xml:space="preserve"> and </w:t>
      </w:r>
      <w:r>
        <w:rPr>
          <w:kern w:val="0"/>
        </w:rPr>
        <w:t>the codes of the International Patent Classification (IPC). The results indicate the area of Biotechnology in Brazil is characterized by an interaction between S&amp;T, as shown by the co-classification between the two types of documents produced by the researchers, reaching a high percentage of interaction.</w:t>
      </w:r>
    </w:p>
    <w:p w:rsidR="00BB7579" w:rsidRDefault="00BB7579" w:rsidP="00BB7579">
      <w:pPr>
        <w:pStyle w:val="a0"/>
        <w:rPr>
          <w:kern w:val="0"/>
        </w:rPr>
      </w:pPr>
      <w:r>
        <w:rPr>
          <w:kern w:val="0"/>
        </w:rPr>
        <w:t>Keywords: 2001, Biotechnology, Co-Classification, Indicators, Interaction S&amp;T, Patent, Researchers, Science, Scientific Article, Scientometrics, Technology</w:t>
      </w:r>
    </w:p>
    <w:p w:rsidR="00040719" w:rsidRDefault="00040719" w:rsidP="00040719">
      <w:pPr>
        <w:pStyle w:val="a0"/>
        <w:rPr>
          <w:kern w:val="0"/>
        </w:rPr>
      </w:pPr>
      <w:r>
        <w:rPr>
          <w:rFonts w:hint="eastAsia"/>
          <w:kern w:val="0"/>
        </w:rPr>
        <w:t xml:space="preserve">? </w:t>
      </w:r>
      <w:r>
        <w:rPr>
          <w:kern w:val="0"/>
        </w:rPr>
        <w:t>Alvarado, R.U. (2010), Scientometric</w:t>
      </w:r>
      <w:r>
        <w:rPr>
          <w:rFonts w:hint="eastAsia"/>
          <w:kern w:val="0"/>
        </w:rPr>
        <w:t xml:space="preserve"> </w:t>
      </w:r>
      <w:r>
        <w:rPr>
          <w:kern w:val="0"/>
        </w:rPr>
        <w:t xml:space="preserve">as a scientific field. </w:t>
      </w:r>
      <w:r>
        <w:rPr>
          <w:i/>
          <w:iCs/>
          <w:kern w:val="0"/>
        </w:rPr>
        <w:t>Informacao &amp; Sociedade-Estudos</w:t>
      </w:r>
      <w:r>
        <w:rPr>
          <w:kern w:val="0"/>
        </w:rPr>
        <w:t xml:space="preserve">, </w:t>
      </w:r>
      <w:r>
        <w:rPr>
          <w:b/>
          <w:bCs/>
          <w:kern w:val="0"/>
        </w:rPr>
        <w:t>20</w:t>
      </w:r>
      <w:r>
        <w:rPr>
          <w:kern w:val="0"/>
        </w:rPr>
        <w:t xml:space="preserve"> (3), 41-62.</w:t>
      </w:r>
    </w:p>
    <w:p w:rsidR="00FA7D48" w:rsidRDefault="00FA7D48" w:rsidP="00040719">
      <w:pPr>
        <w:pStyle w:val="a0"/>
        <w:rPr>
          <w:kern w:val="0"/>
        </w:rPr>
      </w:pPr>
      <w:r>
        <w:rPr>
          <w:rFonts w:hint="eastAsia"/>
          <w:kern w:val="0"/>
        </w:rPr>
        <w:t xml:space="preserve">Full Text: </w:t>
      </w:r>
      <w:hyperlink r:id="rId1355" w:history="1">
        <w:r w:rsidRPr="00FA7D48">
          <w:rPr>
            <w:rStyle w:val="a5"/>
            <w:kern w:val="0"/>
          </w:rPr>
          <w:t>2010\Inf Soc-Est20, 41.pdf</w:t>
        </w:r>
      </w:hyperlink>
    </w:p>
    <w:p w:rsidR="00040719" w:rsidRDefault="00040719" w:rsidP="00040719">
      <w:pPr>
        <w:pStyle w:val="a0"/>
        <w:rPr>
          <w:kern w:val="0"/>
        </w:rPr>
      </w:pPr>
      <w:r>
        <w:rPr>
          <w:kern w:val="0"/>
        </w:rPr>
        <w:t>Abstract: It explores the possibility that both the elite of authors</w:t>
      </w:r>
      <w:r w:rsidR="00F81221">
        <w:rPr>
          <w:kern w:val="0"/>
        </w:rPr>
        <w:t xml:space="preserve"> and </w:t>
      </w:r>
      <w:r>
        <w:rPr>
          <w:kern w:val="0"/>
        </w:rPr>
        <w:t>those who are at research front, in the area of authors</w:t>
      </w:r>
      <w:r w:rsidR="000352E7">
        <w:rPr>
          <w:kern w:val="0"/>
        </w:rPr>
        <w:t>’</w:t>
      </w:r>
      <w:r>
        <w:rPr>
          <w:kern w:val="0"/>
        </w:rPr>
        <w:t xml:space="preserve"> productivity or Lotka</w:t>
      </w:r>
      <w:r w:rsidR="000352E7">
        <w:rPr>
          <w:kern w:val="0"/>
        </w:rPr>
        <w:t>’</w:t>
      </w:r>
      <w:r>
        <w:rPr>
          <w:kern w:val="0"/>
        </w:rPr>
        <w:t xml:space="preserve">s law, are the consequence of their position in the field of Bibliometrics. To achieve this purpose, we adopted the concepts of </w:t>
      </w:r>
      <w:r w:rsidR="000352E7">
        <w:rPr>
          <w:kern w:val="0"/>
        </w:rPr>
        <w:t>“</w:t>
      </w:r>
      <w:r>
        <w:rPr>
          <w:kern w:val="0"/>
        </w:rPr>
        <w:t>habitus</w:t>
      </w:r>
      <w:r w:rsidR="000352E7">
        <w:rPr>
          <w:kern w:val="0"/>
        </w:rPr>
        <w:t>”</w:t>
      </w:r>
      <w:r>
        <w:rPr>
          <w:kern w:val="0"/>
        </w:rPr>
        <w:t xml:space="preserve">, </w:t>
      </w:r>
      <w:r w:rsidR="000352E7">
        <w:rPr>
          <w:kern w:val="0"/>
        </w:rPr>
        <w:t>“</w:t>
      </w:r>
      <w:r>
        <w:rPr>
          <w:kern w:val="0"/>
        </w:rPr>
        <w:t>cultural capital</w:t>
      </w:r>
      <w:r w:rsidR="000352E7">
        <w:rPr>
          <w:kern w:val="0"/>
        </w:rPr>
        <w:t>”</w:t>
      </w:r>
      <w:r>
        <w:rPr>
          <w:kern w:val="0"/>
        </w:rPr>
        <w:t xml:space="preserve">, </w:t>
      </w:r>
      <w:r w:rsidR="000352E7">
        <w:rPr>
          <w:kern w:val="0"/>
        </w:rPr>
        <w:t>“</w:t>
      </w:r>
      <w:r>
        <w:rPr>
          <w:kern w:val="0"/>
        </w:rPr>
        <w:t>field</w:t>
      </w:r>
      <w:r w:rsidR="000352E7">
        <w:rPr>
          <w:kern w:val="0"/>
        </w:rPr>
        <w:t>”</w:t>
      </w:r>
      <w:r>
        <w:rPr>
          <w:kern w:val="0"/>
        </w:rPr>
        <w:t>,</w:t>
      </w:r>
      <w:r w:rsidR="00F81221">
        <w:rPr>
          <w:kern w:val="0"/>
        </w:rPr>
        <w:t xml:space="preserve"> and </w:t>
      </w:r>
      <w:r w:rsidR="000352E7">
        <w:rPr>
          <w:kern w:val="0"/>
        </w:rPr>
        <w:t>“</w:t>
      </w:r>
      <w:r>
        <w:rPr>
          <w:kern w:val="0"/>
        </w:rPr>
        <w:t>practice theory</w:t>
      </w:r>
      <w:r w:rsidR="000352E7">
        <w:rPr>
          <w:kern w:val="0"/>
        </w:rPr>
        <w:t>”</w:t>
      </w:r>
      <w:r>
        <w:rPr>
          <w:kern w:val="0"/>
        </w:rPr>
        <w:t>, developed by Pierre Bourdieu. When analyzing the formation of the elite</w:t>
      </w:r>
      <w:r w:rsidR="00F81221">
        <w:rPr>
          <w:kern w:val="0"/>
        </w:rPr>
        <w:t xml:space="preserve"> and </w:t>
      </w:r>
      <w:r>
        <w:rPr>
          <w:kern w:val="0"/>
        </w:rPr>
        <w:t xml:space="preserve">the research front from the perspective of the position occupied by authors, it appears that explanatory variables are the fact that authors devote themselves to </w:t>
      </w:r>
      <w:r>
        <w:rPr>
          <w:kern w:val="0"/>
        </w:rPr>
        <w:lastRenderedPageBreak/>
        <w:t>teaching as university professors. In addition, taking part in the editorial board of an academic journal, being director of a information center, or leader in an association or professional organization are variables that grant visibility, prestige</w:t>
      </w:r>
      <w:r w:rsidR="00F81221">
        <w:rPr>
          <w:kern w:val="0"/>
        </w:rPr>
        <w:t xml:space="preserve"> and </w:t>
      </w:r>
      <w:r>
        <w:rPr>
          <w:kern w:val="0"/>
        </w:rPr>
        <w:t>authority in the researched area, thence, likely to be cited. From the perspective of the habitus of the authors in the field of Bibliometrics, it was found that having obtained the academic degree of doctor, which somehow ensures the mastery of matrices that make it possible to have familiarity with the doxa of the area, as well as being trained in the statistical, mathematical</w:t>
      </w:r>
      <w:r w:rsidR="00F81221">
        <w:rPr>
          <w:kern w:val="0"/>
        </w:rPr>
        <w:t xml:space="preserve"> and </w:t>
      </w:r>
      <w:r>
        <w:rPr>
          <w:kern w:val="0"/>
        </w:rPr>
        <w:t>scientometric secrets are the variables with the greatest explicative chances.</w:t>
      </w:r>
    </w:p>
    <w:p w:rsidR="00040719" w:rsidRDefault="00040719" w:rsidP="00040719">
      <w:pPr>
        <w:pStyle w:val="a0"/>
        <w:rPr>
          <w:kern w:val="0"/>
        </w:rPr>
      </w:pPr>
      <w:r>
        <w:rPr>
          <w:kern w:val="0"/>
        </w:rPr>
        <w:t>Keywords: Association, Authors, Authors</w:t>
      </w:r>
      <w:r w:rsidR="000352E7">
        <w:rPr>
          <w:kern w:val="0"/>
        </w:rPr>
        <w:t>’</w:t>
      </w:r>
      <w:r>
        <w:rPr>
          <w:kern w:val="0"/>
        </w:rPr>
        <w:t xml:space="preserve"> Productivity, Bibliometrics, Cultural Capital, Field, Habitus, Infometrics, Information, Journal, Law, Lotka</w:t>
      </w:r>
      <w:r w:rsidR="000352E7">
        <w:rPr>
          <w:kern w:val="0"/>
        </w:rPr>
        <w:t>’</w:t>
      </w:r>
      <w:r>
        <w:rPr>
          <w:rFonts w:hint="eastAsia"/>
          <w:kern w:val="0"/>
        </w:rPr>
        <w:t>s</w:t>
      </w:r>
      <w:r>
        <w:rPr>
          <w:kern w:val="0"/>
        </w:rPr>
        <w:t xml:space="preserve"> Law, Organization, Productivity, Purpose, Research, Research Front, Scientometric, Scientometrics, Teaching, University, Visibility</w:t>
      </w:r>
    </w:p>
    <w:p w:rsidR="00484D22" w:rsidRPr="00A428C3" w:rsidRDefault="00484D22" w:rsidP="00484D22">
      <w:pPr>
        <w:pStyle w:val="1"/>
      </w:pPr>
      <w:r w:rsidRPr="00586CD8">
        <w:br w:type="page"/>
      </w:r>
      <w:bookmarkStart w:id="1017" w:name="_Toc317161162"/>
      <w:r w:rsidRPr="00A428C3">
        <w:lastRenderedPageBreak/>
        <w:t xml:space="preserve">Title: </w:t>
      </w:r>
      <w:r w:rsidRPr="00484D22">
        <w:rPr>
          <w:iCs/>
        </w:rPr>
        <w:t>Information Communication &amp; Society</w:t>
      </w:r>
      <w:bookmarkEnd w:id="1017"/>
    </w:p>
    <w:p w:rsidR="00484D22" w:rsidRPr="00A428C3" w:rsidRDefault="00484D22" w:rsidP="00484D22">
      <w:pPr>
        <w:pStyle w:val="12"/>
      </w:pPr>
      <w:r w:rsidRPr="00A428C3">
        <w:t xml:space="preserve">Full Journal Title: </w:t>
      </w:r>
      <w:r w:rsidRPr="00484D22">
        <w:rPr>
          <w:iCs/>
        </w:rPr>
        <w:t>Information Communication &amp; Society</w:t>
      </w:r>
    </w:p>
    <w:p w:rsidR="00484D22" w:rsidRPr="00A428C3" w:rsidRDefault="00484D22" w:rsidP="00484D22">
      <w:pPr>
        <w:pStyle w:val="12"/>
      </w:pPr>
      <w:r w:rsidRPr="00A428C3">
        <w:t xml:space="preserve">ISO Abbreviated </w:t>
      </w:r>
    </w:p>
    <w:p w:rsidR="00484D22" w:rsidRPr="00A428C3" w:rsidRDefault="00484D22" w:rsidP="00484D22">
      <w:pPr>
        <w:pStyle w:val="12"/>
      </w:pPr>
      <w:r w:rsidRPr="00A428C3">
        <w:t xml:space="preserve">JCR Abbreviated Title: </w:t>
      </w:r>
    </w:p>
    <w:p w:rsidR="00484D22" w:rsidRPr="00A428C3" w:rsidRDefault="00484D22" w:rsidP="00484D22">
      <w:pPr>
        <w:pStyle w:val="12"/>
      </w:pPr>
      <w:r w:rsidRPr="00A428C3">
        <w:t xml:space="preserve">ISSN: </w:t>
      </w:r>
    </w:p>
    <w:p w:rsidR="00484D22" w:rsidRPr="00A428C3" w:rsidRDefault="00484D22" w:rsidP="00484D22">
      <w:pPr>
        <w:pStyle w:val="12"/>
      </w:pPr>
      <w:r w:rsidRPr="00A428C3">
        <w:t xml:space="preserve">Issues/Year: </w:t>
      </w:r>
    </w:p>
    <w:p w:rsidR="00484D22" w:rsidRPr="00A428C3" w:rsidRDefault="00484D22" w:rsidP="00484D22">
      <w:pPr>
        <w:pStyle w:val="12"/>
      </w:pPr>
      <w:r w:rsidRPr="00A428C3">
        <w:t xml:space="preserve">Journal Country/Territory: </w:t>
      </w:r>
    </w:p>
    <w:p w:rsidR="00484D22" w:rsidRPr="00A428C3" w:rsidRDefault="00484D22" w:rsidP="00484D22">
      <w:pPr>
        <w:pStyle w:val="12"/>
      </w:pPr>
      <w:r w:rsidRPr="00A428C3">
        <w:t xml:space="preserve">Language: </w:t>
      </w:r>
    </w:p>
    <w:p w:rsidR="00484D22" w:rsidRPr="00A428C3" w:rsidRDefault="00484D22" w:rsidP="00484D22">
      <w:pPr>
        <w:pStyle w:val="12"/>
      </w:pPr>
      <w:r w:rsidRPr="00A428C3">
        <w:t xml:space="preserve">Publisher: </w:t>
      </w:r>
    </w:p>
    <w:p w:rsidR="00484D22" w:rsidRPr="00A428C3" w:rsidRDefault="00484D22" w:rsidP="00484D22">
      <w:pPr>
        <w:pStyle w:val="12"/>
      </w:pPr>
      <w:r w:rsidRPr="00A428C3">
        <w:t xml:space="preserve">Publisher Address: </w:t>
      </w:r>
    </w:p>
    <w:p w:rsidR="00484D22" w:rsidRPr="00A428C3" w:rsidRDefault="00484D22" w:rsidP="00484D22">
      <w:pPr>
        <w:pStyle w:val="12"/>
      </w:pPr>
      <w:r w:rsidRPr="00A428C3">
        <w:t>Subject Categories:</w:t>
      </w:r>
    </w:p>
    <w:p w:rsidR="00484D22" w:rsidRPr="00A428C3" w:rsidRDefault="00484D22" w:rsidP="00484D22">
      <w:pPr>
        <w:pStyle w:val="12"/>
      </w:pPr>
      <w:r w:rsidRPr="00A428C3">
        <w:t xml:space="preserve">: Impact Factor </w:t>
      </w:r>
    </w:p>
    <w:p w:rsidR="00484D22" w:rsidRDefault="00484D22" w:rsidP="00484D22">
      <w:pPr>
        <w:pStyle w:val="a0"/>
        <w:rPr>
          <w:kern w:val="0"/>
        </w:rPr>
      </w:pPr>
      <w:r>
        <w:rPr>
          <w:rFonts w:hint="eastAsia"/>
          <w:kern w:val="0"/>
        </w:rPr>
        <w:t xml:space="preserve">? </w:t>
      </w:r>
      <w:r>
        <w:rPr>
          <w:kern w:val="0"/>
        </w:rPr>
        <w:t>Raban, D.R., Gordon, A.</w:t>
      </w:r>
      <w:r w:rsidR="00F81221">
        <w:rPr>
          <w:kern w:val="0"/>
        </w:rPr>
        <w:t xml:space="preserve"> and </w:t>
      </w:r>
      <w:r>
        <w:rPr>
          <w:kern w:val="0"/>
        </w:rPr>
        <w:t xml:space="preserve">Geifman, D. (2011), The information society the development of a scientific specialty. </w:t>
      </w:r>
      <w:r w:rsidRPr="00484D22">
        <w:rPr>
          <w:i/>
          <w:iCs/>
          <w:kern w:val="0"/>
        </w:rPr>
        <w:t>Information Communication &amp; Society</w:t>
      </w:r>
      <w:r>
        <w:rPr>
          <w:kern w:val="0"/>
        </w:rPr>
        <w:t xml:space="preserve">, </w:t>
      </w:r>
      <w:r>
        <w:rPr>
          <w:b/>
          <w:bCs/>
          <w:kern w:val="0"/>
        </w:rPr>
        <w:t>14</w:t>
      </w:r>
      <w:r>
        <w:rPr>
          <w:kern w:val="0"/>
        </w:rPr>
        <w:t xml:space="preserve"> (3), 375-399.</w:t>
      </w:r>
    </w:p>
    <w:p w:rsidR="00484D22" w:rsidRDefault="00484D22" w:rsidP="00484D22">
      <w:pPr>
        <w:pStyle w:val="a0"/>
        <w:rPr>
          <w:kern w:val="0"/>
        </w:rPr>
      </w:pPr>
      <w:r>
        <w:rPr>
          <w:rFonts w:hint="eastAsia"/>
          <w:kern w:val="0"/>
        </w:rPr>
        <w:t xml:space="preserve">Full Text: </w:t>
      </w:r>
      <w:hyperlink r:id="rId1356" w:history="1">
        <w:r w:rsidRPr="00484D22">
          <w:rPr>
            <w:rStyle w:val="a5"/>
            <w:kern w:val="0"/>
          </w:rPr>
          <w:t>2011\Inf Com Soc14, 375.pdf</w:t>
        </w:r>
      </w:hyperlink>
    </w:p>
    <w:p w:rsidR="00484D22" w:rsidRDefault="00484D22" w:rsidP="00484D22">
      <w:pPr>
        <w:pStyle w:val="a0"/>
        <w:rPr>
          <w:kern w:val="0"/>
        </w:rPr>
      </w:pPr>
      <w:r>
        <w:rPr>
          <w:kern w:val="0"/>
        </w:rPr>
        <w:t>Abstract: This study explains the application of three bibliometric tools for the exploration of the maturity of the information society as a field of research. The authors discovered a disparity between the realization of the information society in everyday life</w:t>
      </w:r>
      <w:r w:rsidR="00F81221">
        <w:rPr>
          <w:kern w:val="0"/>
        </w:rPr>
        <w:t xml:space="preserve"> and </w:t>
      </w:r>
      <w:r>
        <w:rPr>
          <w:kern w:val="0"/>
        </w:rPr>
        <w:t>the state of the research in the area which is at a fairly early stage of evolving into a mature research discipline. Preliminary analysis of the data uncovers the three disciplinary foundations as Library</w:t>
      </w:r>
      <w:r w:rsidR="00F81221">
        <w:rPr>
          <w:kern w:val="0"/>
        </w:rPr>
        <w:t xml:space="preserve"> and </w:t>
      </w:r>
      <w:r>
        <w:rPr>
          <w:kern w:val="0"/>
        </w:rPr>
        <w:t>Information Science, Communication,</w:t>
      </w:r>
      <w:r w:rsidR="00F81221">
        <w:rPr>
          <w:kern w:val="0"/>
        </w:rPr>
        <w:t xml:space="preserve"> and </w:t>
      </w:r>
      <w:r>
        <w:rPr>
          <w:kern w:val="0"/>
        </w:rPr>
        <w:t>Information systems. The Bradford distribution reveals that the core of information society journals is not yet fully established. Journal citation</w:t>
      </w:r>
      <w:r w:rsidR="00F81221">
        <w:rPr>
          <w:kern w:val="0"/>
        </w:rPr>
        <w:t xml:space="preserve"> and </w:t>
      </w:r>
      <w:r>
        <w:rPr>
          <w:kern w:val="0"/>
        </w:rPr>
        <w:t>self-citation patterns lend further support for this</w:t>
      </w:r>
      <w:r w:rsidR="00F81221">
        <w:rPr>
          <w:kern w:val="0"/>
        </w:rPr>
        <w:t xml:space="preserve"> and </w:t>
      </w:r>
      <w:r>
        <w:rPr>
          <w:kern w:val="0"/>
        </w:rPr>
        <w:t>help identify which journals are firmly part of the core</w:t>
      </w:r>
      <w:r w:rsidR="00F81221">
        <w:rPr>
          <w:kern w:val="0"/>
        </w:rPr>
        <w:t xml:space="preserve"> and </w:t>
      </w:r>
      <w:r>
        <w:rPr>
          <w:kern w:val="0"/>
        </w:rPr>
        <w:t>which are less so. Finally, research collaboration patterns demonstrate that this area of research is moving towards disciplinary maturity. The paper concludes with some practical</w:t>
      </w:r>
      <w:r w:rsidR="00F81221">
        <w:rPr>
          <w:kern w:val="0"/>
        </w:rPr>
        <w:t xml:space="preserve"> and </w:t>
      </w:r>
      <w:r>
        <w:rPr>
          <w:kern w:val="0"/>
        </w:rPr>
        <w:t>academic recommendations.</w:t>
      </w:r>
    </w:p>
    <w:p w:rsidR="00484D22" w:rsidRDefault="00484D22" w:rsidP="00484D22">
      <w:pPr>
        <w:pStyle w:val="a0"/>
        <w:rPr>
          <w:kern w:val="0"/>
        </w:rPr>
      </w:pPr>
      <w:r>
        <w:rPr>
          <w:kern w:val="0"/>
        </w:rPr>
        <w:t>Keywords: Analysis, Application, Authors, Bibliometric, Bibliometric Analysis, Citation, Co-Authorship, Collaboration, Communication, Core</w:t>
      </w:r>
      <w:r w:rsidR="00F81221">
        <w:rPr>
          <w:kern w:val="0"/>
        </w:rPr>
        <w:t xml:space="preserve"> and </w:t>
      </w:r>
      <w:r>
        <w:rPr>
          <w:kern w:val="0"/>
        </w:rPr>
        <w:t>Peripheral Journals, Data, Disciplines, Disparity, Distribution, Field, Field Cohesiveness, Field Maturity, Information, Information Society, Journal, Journals, Library</w:t>
      </w:r>
      <w:r w:rsidR="00F81221">
        <w:rPr>
          <w:kern w:val="0"/>
        </w:rPr>
        <w:t xml:space="preserve"> and </w:t>
      </w:r>
      <w:r>
        <w:rPr>
          <w:kern w:val="0"/>
        </w:rPr>
        <w:t>Information Science, Life, Multiple Authorship, Patterns, Quality, Recommendations, Research, Research Collaboration, Science, Scientific Collaboration, Self-Citation, Society, State, Support, Systems</w:t>
      </w:r>
    </w:p>
    <w:p w:rsidR="006A6519" w:rsidRPr="00A428C3" w:rsidRDefault="006A6519" w:rsidP="006A6519">
      <w:pPr>
        <w:pStyle w:val="1"/>
      </w:pPr>
      <w:r w:rsidRPr="00586CD8">
        <w:br w:type="page"/>
      </w:r>
      <w:bookmarkStart w:id="1018" w:name="_Toc317161163"/>
      <w:r w:rsidRPr="00A428C3">
        <w:lastRenderedPageBreak/>
        <w:t xml:space="preserve">Title: </w:t>
      </w:r>
      <w:r w:rsidRPr="00484D22">
        <w:t>Information Communication &amp; Society</w:t>
      </w:r>
      <w:bookmarkEnd w:id="1018"/>
    </w:p>
    <w:p w:rsidR="006A6519" w:rsidRPr="00A428C3" w:rsidRDefault="006A6519" w:rsidP="006A6519">
      <w:pPr>
        <w:pStyle w:val="12"/>
      </w:pPr>
      <w:r w:rsidRPr="00A428C3">
        <w:t xml:space="preserve">Full Journal Title: </w:t>
      </w:r>
      <w:r w:rsidRPr="00484D22">
        <w:rPr>
          <w:iCs/>
        </w:rPr>
        <w:t>Information Communication &amp; Society</w:t>
      </w:r>
    </w:p>
    <w:p w:rsidR="006A6519" w:rsidRPr="00A428C3" w:rsidRDefault="006A6519" w:rsidP="006A6519">
      <w:pPr>
        <w:pStyle w:val="12"/>
      </w:pPr>
      <w:r w:rsidRPr="00A428C3">
        <w:t xml:space="preserve">ISO Abbreviated </w:t>
      </w:r>
    </w:p>
    <w:p w:rsidR="006A6519" w:rsidRPr="00A428C3" w:rsidRDefault="006A6519" w:rsidP="006A6519">
      <w:pPr>
        <w:pStyle w:val="12"/>
      </w:pPr>
      <w:r w:rsidRPr="00A428C3">
        <w:t xml:space="preserve">JCR Abbreviated Title: </w:t>
      </w:r>
    </w:p>
    <w:p w:rsidR="006A6519" w:rsidRPr="00A428C3" w:rsidRDefault="006A6519" w:rsidP="006A6519">
      <w:pPr>
        <w:pStyle w:val="12"/>
      </w:pPr>
      <w:r w:rsidRPr="00A428C3">
        <w:t xml:space="preserve">ISSN: </w:t>
      </w:r>
    </w:p>
    <w:p w:rsidR="006A6519" w:rsidRPr="00A428C3" w:rsidRDefault="006A6519" w:rsidP="006A6519">
      <w:pPr>
        <w:pStyle w:val="12"/>
      </w:pPr>
      <w:r w:rsidRPr="00A428C3">
        <w:t xml:space="preserve">Issues/Year: </w:t>
      </w:r>
    </w:p>
    <w:p w:rsidR="006A6519" w:rsidRPr="00A428C3" w:rsidRDefault="006A6519" w:rsidP="006A6519">
      <w:pPr>
        <w:pStyle w:val="12"/>
      </w:pPr>
      <w:r w:rsidRPr="00A428C3">
        <w:t xml:space="preserve">Journal Country/Territory: </w:t>
      </w:r>
    </w:p>
    <w:p w:rsidR="006A6519" w:rsidRPr="00A428C3" w:rsidRDefault="006A6519" w:rsidP="006A6519">
      <w:pPr>
        <w:pStyle w:val="12"/>
      </w:pPr>
      <w:r w:rsidRPr="00A428C3">
        <w:t xml:space="preserve">Language: </w:t>
      </w:r>
    </w:p>
    <w:p w:rsidR="006A6519" w:rsidRPr="00A428C3" w:rsidRDefault="006A6519" w:rsidP="006A6519">
      <w:pPr>
        <w:pStyle w:val="12"/>
      </w:pPr>
      <w:r w:rsidRPr="00A428C3">
        <w:t xml:space="preserve">Publisher: </w:t>
      </w:r>
    </w:p>
    <w:p w:rsidR="006A6519" w:rsidRPr="00A428C3" w:rsidRDefault="006A6519" w:rsidP="006A6519">
      <w:pPr>
        <w:pStyle w:val="12"/>
      </w:pPr>
      <w:r w:rsidRPr="00A428C3">
        <w:t xml:space="preserve">Publisher Address: </w:t>
      </w:r>
    </w:p>
    <w:p w:rsidR="006A6519" w:rsidRPr="00A428C3" w:rsidRDefault="006A6519" w:rsidP="006A6519">
      <w:pPr>
        <w:pStyle w:val="12"/>
      </w:pPr>
      <w:r w:rsidRPr="00A428C3">
        <w:t>Subject Categories:</w:t>
      </w:r>
    </w:p>
    <w:p w:rsidR="006A6519" w:rsidRPr="00A428C3" w:rsidRDefault="006A6519" w:rsidP="006A6519">
      <w:pPr>
        <w:pStyle w:val="12"/>
      </w:pPr>
      <w:r w:rsidRPr="00A428C3">
        <w:t xml:space="preserve">: Impact Factor </w:t>
      </w:r>
    </w:p>
    <w:p w:rsidR="006A6519" w:rsidRDefault="006A6519" w:rsidP="006A6519">
      <w:pPr>
        <w:pStyle w:val="a0"/>
        <w:rPr>
          <w:kern w:val="0"/>
        </w:rPr>
      </w:pPr>
      <w:r>
        <w:rPr>
          <w:rFonts w:hint="eastAsia"/>
          <w:kern w:val="0"/>
        </w:rPr>
        <w:t xml:space="preserve">? </w:t>
      </w:r>
      <w:r>
        <w:rPr>
          <w:kern w:val="0"/>
        </w:rPr>
        <w:t>Johnson, I.M. (2011), Bibliometrics</w:t>
      </w:r>
      <w:r w:rsidR="00F81221">
        <w:rPr>
          <w:kern w:val="0"/>
        </w:rPr>
        <w:t xml:space="preserve"> and </w:t>
      </w:r>
      <w:r>
        <w:rPr>
          <w:kern w:val="0"/>
        </w:rPr>
        <w:t xml:space="preserve">the brain dead. </w:t>
      </w:r>
      <w:r>
        <w:rPr>
          <w:i/>
          <w:iCs/>
          <w:kern w:val="0"/>
        </w:rPr>
        <w:t>Information Development</w:t>
      </w:r>
      <w:r>
        <w:rPr>
          <w:kern w:val="0"/>
        </w:rPr>
        <w:t xml:space="preserve">, </w:t>
      </w:r>
      <w:r>
        <w:rPr>
          <w:b/>
          <w:bCs/>
          <w:kern w:val="0"/>
        </w:rPr>
        <w:t>27</w:t>
      </w:r>
      <w:r>
        <w:rPr>
          <w:kern w:val="0"/>
        </w:rPr>
        <w:t xml:space="preserve"> (2), 92-93.</w:t>
      </w:r>
    </w:p>
    <w:p w:rsidR="006A6519" w:rsidRDefault="006A6519" w:rsidP="006A6519">
      <w:pPr>
        <w:pStyle w:val="a0"/>
        <w:rPr>
          <w:kern w:val="0"/>
        </w:rPr>
      </w:pPr>
      <w:r>
        <w:rPr>
          <w:rFonts w:hint="eastAsia"/>
          <w:kern w:val="0"/>
        </w:rPr>
        <w:t xml:space="preserve">Full Text: </w:t>
      </w:r>
      <w:hyperlink r:id="rId1357" w:history="1">
        <w:r w:rsidRPr="006A6519">
          <w:rPr>
            <w:rStyle w:val="a5"/>
            <w:kern w:val="0"/>
          </w:rPr>
          <w:t>2011\Inf Dev27, 92.pdf</w:t>
        </w:r>
      </w:hyperlink>
    </w:p>
    <w:p w:rsidR="006A6519" w:rsidRDefault="006A6519" w:rsidP="006A6519">
      <w:pPr>
        <w:pStyle w:val="a0"/>
        <w:rPr>
          <w:kern w:val="0"/>
        </w:rPr>
      </w:pPr>
      <w:r>
        <w:rPr>
          <w:kern w:val="0"/>
        </w:rPr>
        <w:t>Abstract: Many bibliometric</w:t>
      </w:r>
      <w:r w:rsidR="00F81221">
        <w:rPr>
          <w:kern w:val="0"/>
        </w:rPr>
        <w:t xml:space="preserve"> and </w:t>
      </w:r>
      <w:r>
        <w:rPr>
          <w:kern w:val="0"/>
        </w:rPr>
        <w:t>webometric studies are superficial, failing to explore the reasons underlying the phenomenon that they measure. Why do so many LIS researchers show so little curiosity about the context within which information is produced</w:t>
      </w:r>
      <w:r w:rsidR="00F81221">
        <w:rPr>
          <w:kern w:val="0"/>
        </w:rPr>
        <w:t xml:space="preserve"> and </w:t>
      </w:r>
      <w:r>
        <w:rPr>
          <w:kern w:val="0"/>
        </w:rPr>
        <w:t>used? Why do they neglect this opportunity to demonstrate the importance of information to development? What more do teachers need to communicate about the purpose of bibliometrics</w:t>
      </w:r>
      <w:r w:rsidR="00F81221">
        <w:rPr>
          <w:kern w:val="0"/>
        </w:rPr>
        <w:t xml:space="preserve"> and </w:t>
      </w:r>
      <w:r>
        <w:rPr>
          <w:kern w:val="0"/>
        </w:rPr>
        <w:t>how to apply them in an influential way?</w:t>
      </w:r>
    </w:p>
    <w:p w:rsidR="006A6519" w:rsidRDefault="006A6519" w:rsidP="006A6519">
      <w:pPr>
        <w:pStyle w:val="a0"/>
        <w:rPr>
          <w:kern w:val="0"/>
        </w:rPr>
      </w:pPr>
      <w:r>
        <w:rPr>
          <w:kern w:val="0"/>
        </w:rPr>
        <w:t>Keywords: Bibliometric, Bibliometrics, Development, Library</w:t>
      </w:r>
      <w:r w:rsidR="00F81221">
        <w:rPr>
          <w:kern w:val="0"/>
        </w:rPr>
        <w:t xml:space="preserve"> and </w:t>
      </w:r>
      <w:r>
        <w:rPr>
          <w:kern w:val="0"/>
        </w:rPr>
        <w:t>Information Science Research, Scientometrics, Webometrics</w:t>
      </w:r>
    </w:p>
    <w:p w:rsidR="00B95188" w:rsidRPr="00A428C3" w:rsidRDefault="00B95188" w:rsidP="00B95188">
      <w:pPr>
        <w:pStyle w:val="1"/>
      </w:pPr>
      <w:r w:rsidRPr="00586CD8">
        <w:br w:type="page"/>
      </w:r>
      <w:bookmarkStart w:id="1019" w:name="_Toc186647861"/>
      <w:bookmarkStart w:id="1020" w:name="_Toc317161164"/>
      <w:r w:rsidRPr="00A428C3">
        <w:lastRenderedPageBreak/>
        <w:t>Title: Information &amp; Management</w:t>
      </w:r>
      <w:bookmarkEnd w:id="1019"/>
      <w:bookmarkEnd w:id="1020"/>
    </w:p>
    <w:p w:rsidR="00B95188" w:rsidRPr="00344ACA" w:rsidRDefault="00B95188" w:rsidP="00B72EF9">
      <w:pPr>
        <w:pStyle w:val="12"/>
      </w:pPr>
      <w:r w:rsidRPr="00344ACA">
        <w:t xml:space="preserve">Full Journal Title: </w:t>
      </w:r>
      <w:hyperlink r:id="rId1358" w:history="1">
        <w:r w:rsidRPr="00344ACA">
          <w:rPr>
            <w:rStyle w:val="a5"/>
            <w:u w:val="none"/>
          </w:rPr>
          <w:t>Information &amp; Management</w:t>
        </w:r>
      </w:hyperlink>
    </w:p>
    <w:p w:rsidR="00B95188" w:rsidRPr="00344ACA" w:rsidRDefault="00B95188" w:rsidP="00B72EF9">
      <w:pPr>
        <w:pStyle w:val="12"/>
      </w:pPr>
      <w:r w:rsidRPr="00344ACA">
        <w:t>ISO Abbreviated Title: Inf. Manage.</w:t>
      </w:r>
    </w:p>
    <w:p w:rsidR="00B95188" w:rsidRPr="00344ACA" w:rsidRDefault="00B95188" w:rsidP="00B72EF9">
      <w:pPr>
        <w:pStyle w:val="12"/>
      </w:pPr>
      <w:r w:rsidRPr="00344ACA">
        <w:t>JCR Abbreviated Title: Inform Manage-Amster</w:t>
      </w:r>
    </w:p>
    <w:p w:rsidR="00B95188" w:rsidRPr="00344ACA" w:rsidRDefault="00B95188" w:rsidP="00B72EF9">
      <w:pPr>
        <w:pStyle w:val="12"/>
      </w:pPr>
      <w:r w:rsidRPr="00344ACA">
        <w:t>ISSN: 0378-7206</w:t>
      </w:r>
    </w:p>
    <w:p w:rsidR="00B95188" w:rsidRPr="00344ACA" w:rsidRDefault="00B95188" w:rsidP="00B72EF9">
      <w:pPr>
        <w:pStyle w:val="12"/>
      </w:pPr>
      <w:r w:rsidRPr="00344ACA">
        <w:t>Issues/Year: 12</w:t>
      </w:r>
    </w:p>
    <w:p w:rsidR="00B95188" w:rsidRPr="00344ACA" w:rsidRDefault="00B95188" w:rsidP="00B72EF9">
      <w:pPr>
        <w:pStyle w:val="12"/>
      </w:pPr>
      <w:r w:rsidRPr="00344ACA">
        <w:t>Journal Country/Territory: Netherlands</w:t>
      </w:r>
    </w:p>
    <w:p w:rsidR="00B95188" w:rsidRPr="00344ACA" w:rsidRDefault="00B95188" w:rsidP="00B72EF9">
      <w:pPr>
        <w:pStyle w:val="12"/>
      </w:pPr>
      <w:r w:rsidRPr="00344ACA">
        <w:t>Language: English</w:t>
      </w:r>
    </w:p>
    <w:p w:rsidR="00B95188" w:rsidRPr="00344ACA" w:rsidRDefault="00B95188" w:rsidP="00B72EF9">
      <w:pPr>
        <w:pStyle w:val="12"/>
      </w:pPr>
      <w:r w:rsidRPr="00344ACA">
        <w:t>Publisher: Elsevier Science BV</w:t>
      </w:r>
    </w:p>
    <w:p w:rsidR="00B95188" w:rsidRPr="00344ACA" w:rsidRDefault="00B95188" w:rsidP="00B72EF9">
      <w:pPr>
        <w:pStyle w:val="12"/>
      </w:pPr>
      <w:r w:rsidRPr="00344ACA">
        <w:t>Publisher Address: Po Box 211, 1000 Ae Amsterdam, Netherlands</w:t>
      </w:r>
    </w:p>
    <w:p w:rsidR="00B95188" w:rsidRPr="00344ACA" w:rsidRDefault="00B95188" w:rsidP="00B72EF9">
      <w:pPr>
        <w:pStyle w:val="12"/>
      </w:pPr>
      <w:r w:rsidRPr="00344ACA">
        <w:t>Subject Categories:</w:t>
      </w:r>
    </w:p>
    <w:p w:rsidR="00B95188" w:rsidRPr="00344ACA" w:rsidRDefault="00B95188" w:rsidP="00B72EF9">
      <w:pPr>
        <w:pStyle w:val="12"/>
      </w:pPr>
      <w:r w:rsidRPr="00344ACA">
        <w:t>Computer Science, Information Systems: Impact Factor 1.299, 14/77 (2002) SCI</w:t>
      </w:r>
    </w:p>
    <w:p w:rsidR="00B95188" w:rsidRPr="00344ACA" w:rsidRDefault="00B95188" w:rsidP="00B72EF9">
      <w:pPr>
        <w:pStyle w:val="12"/>
      </w:pPr>
      <w:r w:rsidRPr="00344ACA">
        <w:t>Information Science &amp; Library Science: Impact Factor 1.299, 7/55 (2002) SSCI</w:t>
      </w:r>
    </w:p>
    <w:p w:rsidR="00B95188" w:rsidRPr="00344ACA" w:rsidRDefault="00B95188" w:rsidP="00B72EF9">
      <w:pPr>
        <w:pStyle w:val="12"/>
      </w:pPr>
      <w:r w:rsidRPr="00344ACA">
        <w:t>Management: Impact Factor 1.299, 16/65 (2002) SSCI</w:t>
      </w:r>
    </w:p>
    <w:p w:rsidR="00CF5852" w:rsidRPr="001A3D2B" w:rsidRDefault="00CF5852" w:rsidP="00CF5852">
      <w:pPr>
        <w:pStyle w:val="a0"/>
      </w:pPr>
      <w:r w:rsidRPr="001A3D2B">
        <w:t>Suomi, R. (1993), On the nationality balance of authors</w:t>
      </w:r>
      <w:r w:rsidR="00F81221">
        <w:t xml:space="preserve"> and </w:t>
      </w:r>
      <w:r w:rsidRPr="001A3D2B">
        <w:t xml:space="preserve">references in selected MIS journals. </w:t>
      </w:r>
      <w:r w:rsidRPr="001A3D2B">
        <w:rPr>
          <w:i/>
          <w:iCs/>
        </w:rPr>
        <w:t>Information &amp; Management</w:t>
      </w:r>
      <w:r w:rsidRPr="001A3D2B">
        <w:t xml:space="preserve">, </w:t>
      </w:r>
      <w:r w:rsidRPr="001A3D2B">
        <w:rPr>
          <w:b/>
        </w:rPr>
        <w:t>24</w:t>
      </w:r>
      <w:r w:rsidRPr="001A3D2B">
        <w:t xml:space="preserve"> (6), 339-347.</w:t>
      </w:r>
    </w:p>
    <w:p w:rsidR="00CF5852" w:rsidRPr="001A3D2B" w:rsidRDefault="00CF5852" w:rsidP="00CF5852">
      <w:pPr>
        <w:pStyle w:val="a0"/>
      </w:pPr>
      <w:r w:rsidRPr="001A3D2B">
        <w:t xml:space="preserve">Full Text: </w:t>
      </w:r>
      <w:hyperlink r:id="rId1359" w:history="1">
        <w:r w:rsidRPr="001A3D2B">
          <w:rPr>
            <w:rStyle w:val="a5"/>
          </w:rPr>
          <w:t>1993\Inf Man24, 339.pdf</w:t>
        </w:r>
      </w:hyperlink>
    </w:p>
    <w:p w:rsidR="00CF5852" w:rsidRPr="001A3D2B" w:rsidRDefault="00CF5852" w:rsidP="00CF5852">
      <w:pPr>
        <w:pStyle w:val="a0"/>
      </w:pPr>
      <w:r w:rsidRPr="001A3D2B">
        <w:t>Abstract: Citation analysis is an established technique in literature analysis. It can be used to reveal citation patterns</w:t>
      </w:r>
      <w:r w:rsidR="00F81221">
        <w:t xml:space="preserve"> and </w:t>
      </w:r>
      <w:r w:rsidRPr="001A3D2B">
        <w:t>thus results stemming from the analysis, including co-citation patterns</w:t>
      </w:r>
      <w:r w:rsidR="00F81221">
        <w:t xml:space="preserve"> and </w:t>
      </w:r>
      <w:r w:rsidRPr="001A3D2B">
        <w:t>groupings of researchers, even reveal paradigmatic schools within a certain field. In this article, twelve major MIS journals –– six European</w:t>
      </w:r>
      <w:r w:rsidR="00F81221">
        <w:t xml:space="preserve"> and </w:t>
      </w:r>
      <w:r w:rsidRPr="001A3D2B">
        <w:t>six American –– are studied to find out whether there are any differences in author selection</w:t>
      </w:r>
      <w:r w:rsidR="00F81221">
        <w:t xml:space="preserve"> and </w:t>
      </w:r>
      <w:r w:rsidRPr="001A3D2B">
        <w:t>referencing patterns. It was discovered that the American MIS community is much more self-sustaining than the European one, which relies heavily on work by American authors. This points either to the superiority of the American MIS community, or the under-appreciation of foreign research, or possibly both. On the European side, the result might be interpreted as a sign of low-quality research, lack of self-esteem</w:t>
      </w:r>
      <w:r w:rsidR="00F81221">
        <w:t xml:space="preserve"> and </w:t>
      </w:r>
      <w:r w:rsidRPr="001A3D2B">
        <w:t>pride, or again both. Clear differences between the editorial policy of the journals can be discerned: some journals accept the American hegemony; some try to maintain a balance between contributions from different countries;</w:t>
      </w:r>
      <w:r w:rsidR="00F81221">
        <w:t xml:space="preserve"> and </w:t>
      </w:r>
      <w:r w:rsidRPr="001A3D2B">
        <w:t>some favour European research.</w:t>
      </w:r>
    </w:p>
    <w:p w:rsidR="007A23A3" w:rsidRDefault="007A23A3" w:rsidP="007A23A3">
      <w:pPr>
        <w:pStyle w:val="a0"/>
        <w:rPr>
          <w:kern w:val="0"/>
        </w:rPr>
      </w:pPr>
      <w:r>
        <w:rPr>
          <w:kern w:val="0"/>
        </w:rPr>
        <w:t>Keywords: Authors, Bibliometrics, Citation, Citation Analysis, Co-Citation, Co-Citation Analysis, Communication of Research, Diffusion of IS Research, Diffusion of MIS Research, IS Journal Orientation, IS Literature, IS Research, Journal Stratification, Journals, Literature, Management Information-Systems, MIS, MIS Journal Orientation, MIS Literature, Nationality Issues, Reference Analysis, Referencing, Research, Researchers</w:t>
      </w:r>
    </w:p>
    <w:p w:rsidR="00B95188" w:rsidRPr="00A428C3" w:rsidRDefault="00B95188" w:rsidP="00B95188">
      <w:pPr>
        <w:pStyle w:val="1"/>
      </w:pPr>
      <w:r w:rsidRPr="00586CD8">
        <w:br w:type="page"/>
      </w:r>
      <w:bookmarkStart w:id="1021" w:name="_Toc186647862"/>
      <w:bookmarkStart w:id="1022" w:name="_Toc317161165"/>
      <w:r w:rsidRPr="00A428C3">
        <w:lastRenderedPageBreak/>
        <w:t>Title: Information Processing &amp; Management</w:t>
      </w:r>
      <w:bookmarkEnd w:id="1021"/>
      <w:bookmarkEnd w:id="1022"/>
    </w:p>
    <w:p w:rsidR="00B95188" w:rsidRPr="00A428C3" w:rsidRDefault="00B95188" w:rsidP="00B72EF9">
      <w:pPr>
        <w:pStyle w:val="12"/>
      </w:pPr>
      <w:r w:rsidRPr="00A428C3">
        <w:t xml:space="preserve">Full Journal Title: </w:t>
      </w:r>
      <w:hyperlink r:id="rId1360" w:history="1">
        <w:hyperlink r:id="rId1361" w:history="1">
          <w:r w:rsidRPr="00A428C3">
            <w:rPr>
              <w:rStyle w:val="a5"/>
            </w:rPr>
            <w:t>Information Processing &amp; Management</w:t>
          </w:r>
        </w:hyperlink>
      </w:hyperlink>
    </w:p>
    <w:p w:rsidR="00B95188" w:rsidRPr="00A428C3" w:rsidRDefault="00B95188" w:rsidP="00B72EF9">
      <w:pPr>
        <w:pStyle w:val="12"/>
      </w:pPr>
      <w:r w:rsidRPr="00A428C3">
        <w:t>ISO Abbreviated Title: Inf. Process. Manage.</w:t>
      </w:r>
    </w:p>
    <w:p w:rsidR="00B95188" w:rsidRPr="00A428C3" w:rsidRDefault="00B95188" w:rsidP="00B72EF9">
      <w:pPr>
        <w:pStyle w:val="12"/>
      </w:pPr>
      <w:r w:rsidRPr="00A428C3">
        <w:t>JCR Abbreviated Title: Inform Process Manag</w:t>
      </w:r>
    </w:p>
    <w:p w:rsidR="00B95188" w:rsidRPr="00A428C3" w:rsidRDefault="00B95188" w:rsidP="00B72EF9">
      <w:pPr>
        <w:pStyle w:val="12"/>
      </w:pPr>
      <w:r w:rsidRPr="00A428C3">
        <w:t>ISSN: 0306-4573</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Pergamon-Elsevier Science Ltd</w:t>
      </w:r>
    </w:p>
    <w:p w:rsidR="00B95188" w:rsidRPr="00A428C3" w:rsidRDefault="00B95188" w:rsidP="00B72EF9">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Information Science &amp; Library Science: Impact Factor 1.877, 2/55 (2001); Impact Factor 1.506, 5/55 (2002) SSCI</w:t>
      </w:r>
    </w:p>
    <w:p w:rsidR="00B95188" w:rsidRPr="00A428C3" w:rsidRDefault="00B95188" w:rsidP="00B95188">
      <w:pPr>
        <w:pStyle w:val="a0"/>
      </w:pPr>
      <w:r w:rsidRPr="00A428C3">
        <w:t>Bourne, C.P. (1977), Frequency</w:t>
      </w:r>
      <w:r w:rsidR="00F81221">
        <w:t xml:space="preserve"> and </w:t>
      </w:r>
      <w:r w:rsidRPr="00A428C3">
        <w:t xml:space="preserve">impact of spelling errors in bibliographic data bases. </w:t>
      </w:r>
      <w:r w:rsidRPr="00A428C3">
        <w:rPr>
          <w:i/>
          <w:iCs/>
        </w:rPr>
        <w:t>Information Processing &amp; Management</w:t>
      </w:r>
      <w:r w:rsidRPr="00A428C3">
        <w:t xml:space="preserve">, </w:t>
      </w:r>
      <w:r w:rsidRPr="00A428C3">
        <w:rPr>
          <w:b/>
        </w:rPr>
        <w:t>13</w:t>
      </w:r>
      <w:r w:rsidRPr="00A428C3">
        <w:t xml:space="preserve"> (1), 1-12.</w:t>
      </w:r>
    </w:p>
    <w:p w:rsidR="00C245B0" w:rsidRPr="001A3D2B" w:rsidRDefault="00C245B0" w:rsidP="00C245B0">
      <w:pPr>
        <w:pStyle w:val="a0"/>
      </w:pPr>
      <w:r w:rsidRPr="001A3D2B">
        <w:t xml:space="preserve">Full Text: </w:t>
      </w:r>
      <w:hyperlink r:id="rId1362" w:history="1">
        <w:r w:rsidR="007D22A4" w:rsidRPr="007D22A4">
          <w:rPr>
            <w:rStyle w:val="a5"/>
          </w:rPr>
          <w:t>1960-80\Inf Pro Man13, 1.pdf</w:t>
        </w:r>
      </w:hyperlink>
    </w:p>
    <w:p w:rsidR="00B95188" w:rsidRPr="00A428C3" w:rsidRDefault="00B95188" w:rsidP="00B95188">
      <w:pPr>
        <w:pStyle w:val="a0"/>
      </w:pPr>
      <w:r w:rsidRPr="00A428C3">
        <w:t>Abstract: Using a composite sample of over 3600 index terms drawn from 11 different machine-readable bibliographic data bases, estimates were made of the spelling error frequencies of each of these data bases, as well as the frequency of posting to misspelled terms. The terms studied included assigned index terms as well as some terms from titles</w:t>
      </w:r>
      <w:r w:rsidR="00F81221">
        <w:t xml:space="preserve"> and </w:t>
      </w:r>
      <w:r w:rsidRPr="00A428C3">
        <w:t>abstracts. The frequency of index term misspellings ranged from a high of almost 23% for one data base to a low of less than 1/2% for another data base. The frequency of posting to misspelled terms ranged from about one posting in 8000 citations for one data base, to about one posting in 160 citations in another data base. The impact of these error rates is discussed for the tape supplier, tape user</w:t>
      </w:r>
      <w:r w:rsidR="00F81221">
        <w:t xml:space="preserve"> and </w:t>
      </w:r>
      <w:r w:rsidRPr="00A428C3">
        <w:t>end user. Some suggestions are given regarding search strategry.</w:t>
      </w:r>
    </w:p>
    <w:p w:rsidR="00B95188" w:rsidRPr="00A428C3" w:rsidRDefault="00B95188" w:rsidP="00B95188">
      <w:pPr>
        <w:pStyle w:val="a0"/>
      </w:pPr>
      <w:r w:rsidRPr="00A428C3">
        <w:t>Culnan, M.J. (1979), Literature</w:t>
      </w:r>
      <w:r w:rsidR="00F81221">
        <w:t xml:space="preserve"> and </w:t>
      </w:r>
      <w:r w:rsidRPr="00A428C3">
        <w:t xml:space="preserve">bibliometrics: Nicholas, D, Ritchie, M. Clive Bingley Ltd., </w:t>
      </w:r>
      <w:smartTag w:uri="urn:schemas-microsoft-com:office:smarttags" w:element="place">
        <w:smartTag w:uri="urn:schemas-microsoft-com:office:smarttags" w:element="City">
          <w:r w:rsidRPr="00A428C3">
            <w:t>London</w:t>
          </w:r>
        </w:smartTag>
      </w:smartTag>
      <w:r w:rsidRPr="00A428C3">
        <w:t xml:space="preserve"> 1978. 183 pp. (Published in the </w:t>
      </w:r>
      <w:smartTag w:uri="urn:schemas-microsoft-com:office:smarttags" w:element="country-region">
        <w:r w:rsidRPr="00A428C3">
          <w:t>United States</w:t>
        </w:r>
      </w:smartTag>
      <w:r w:rsidRPr="00A428C3">
        <w:t xml:space="preserve"> by Linnet Books, </w:t>
      </w:r>
      <w:smartTag w:uri="urn:schemas-microsoft-com:office:smarttags" w:element="place">
        <w:smartTag w:uri="urn:schemas-microsoft-com:office:smarttags" w:element="City">
          <w:r w:rsidRPr="00A428C3">
            <w:t>Hamden</w:t>
          </w:r>
        </w:smartTag>
        <w:r w:rsidRPr="00A428C3">
          <w:t xml:space="preserve">, </w:t>
        </w:r>
        <w:smartTag w:uri="urn:schemas-microsoft-com:office:smarttags" w:element="State">
          <w:r w:rsidRPr="00A428C3">
            <w:t>Connecticut</w:t>
          </w:r>
        </w:smartTag>
      </w:smartTag>
      <w:r w:rsidRPr="00A428C3">
        <w:t xml:space="preserve">.) </w:t>
      </w:r>
      <w:r w:rsidRPr="00A428C3">
        <w:rPr>
          <w:i/>
          <w:iCs/>
        </w:rPr>
        <w:t>Information Processing &amp; Management</w:t>
      </w:r>
      <w:r w:rsidRPr="00A428C3">
        <w:t xml:space="preserve">, </w:t>
      </w:r>
      <w:r w:rsidRPr="00A428C3">
        <w:rPr>
          <w:b/>
        </w:rPr>
        <w:t>15</w:t>
      </w:r>
      <w:r w:rsidRPr="00A428C3">
        <w:t xml:space="preserve"> (3), 170.</w:t>
      </w:r>
    </w:p>
    <w:p w:rsidR="00C245B0" w:rsidRPr="001A3D2B" w:rsidRDefault="00C245B0" w:rsidP="00C245B0">
      <w:pPr>
        <w:pStyle w:val="a0"/>
      </w:pPr>
      <w:r w:rsidRPr="001A3D2B">
        <w:t xml:space="preserve">Full Text: </w:t>
      </w:r>
      <w:hyperlink r:id="rId1363" w:history="1">
        <w:r w:rsidR="007D22A4" w:rsidRPr="007D22A4">
          <w:rPr>
            <w:rStyle w:val="a5"/>
          </w:rPr>
          <w:t>1960-80\Inf Pro Man15, 170.pdf</w:t>
        </w:r>
      </w:hyperlink>
    </w:p>
    <w:p w:rsidR="00C245B0" w:rsidRPr="001A3D2B" w:rsidRDefault="00C245B0" w:rsidP="00C245B0">
      <w:pPr>
        <w:pStyle w:val="a0"/>
      </w:pPr>
      <w:r w:rsidRPr="001A3D2B">
        <w:t xml:space="preserve">? Small, H. (1981), The relationship of information-science to the Social-Sciences - A co-citation analysis. </w:t>
      </w:r>
      <w:r w:rsidRPr="001A3D2B">
        <w:rPr>
          <w:i/>
          <w:iCs/>
        </w:rPr>
        <w:t>Information Processing &amp; Management</w:t>
      </w:r>
      <w:r w:rsidRPr="001A3D2B">
        <w:t xml:space="preserve">, </w:t>
      </w:r>
      <w:r w:rsidRPr="001A3D2B">
        <w:rPr>
          <w:b/>
          <w:bCs/>
        </w:rPr>
        <w:t>17</w:t>
      </w:r>
      <w:r w:rsidRPr="001A3D2B">
        <w:t xml:space="preserve"> (1), 39-50.</w:t>
      </w:r>
    </w:p>
    <w:p w:rsidR="00C245B0" w:rsidRPr="001A3D2B" w:rsidRDefault="00C245B0" w:rsidP="00C245B0">
      <w:pPr>
        <w:pStyle w:val="a0"/>
      </w:pPr>
      <w:r w:rsidRPr="001A3D2B">
        <w:t xml:space="preserve">Full Text: </w:t>
      </w:r>
      <w:hyperlink r:id="rId1364" w:history="1">
        <w:r w:rsidRPr="00C245B0">
          <w:rPr>
            <w:rStyle w:val="a5"/>
          </w:rPr>
          <w:t>1981\Inf Pro Man17, 39.pdf</w:t>
        </w:r>
      </w:hyperlink>
    </w:p>
    <w:p w:rsidR="00C245B0" w:rsidRPr="001A3D2B" w:rsidRDefault="00C245B0" w:rsidP="00C245B0">
      <w:pPr>
        <w:pStyle w:val="a0"/>
      </w:pPr>
      <w:r w:rsidRPr="001A3D2B">
        <w:t>Abstract: A co-citation cluster analysis of a three year (1975–1977) cumulation of the Social Sciences Citation Index is described,</w:t>
      </w:r>
      <w:r w:rsidR="00F81221">
        <w:t xml:space="preserve"> and </w:t>
      </w:r>
      <w:r w:rsidRPr="001A3D2B">
        <w:t xml:space="preserve">clusters of information science documents contained in this data-base are identified using a journal subset </w:t>
      </w:r>
      <w:r w:rsidRPr="001A3D2B">
        <w:lastRenderedPageBreak/>
        <w:t>concentration measure. The internal structure of the information science clusters is analyzed in terms of co-citations among clusters,</w:t>
      </w:r>
      <w:r w:rsidR="00F81221">
        <w:t xml:space="preserve"> and </w:t>
      </w:r>
      <w:r w:rsidRPr="001A3D2B">
        <w:t>external linkages to fields outside information science are explored. It is shown that clusters identified by the journal concentration method also cohere in a natural way through cluster co-citation. Conclusions are drawn regarding the relationship of information science to the social sciences,</w:t>
      </w:r>
      <w:r w:rsidR="00F81221">
        <w:t xml:space="preserve"> and </w:t>
      </w:r>
      <w:r w:rsidRPr="001A3D2B">
        <w:t>suggestions are made on how these data might be used in planning an agenda for research in the field.</w:t>
      </w:r>
    </w:p>
    <w:p w:rsidR="00C245B0" w:rsidRPr="001A3D2B" w:rsidRDefault="00C245B0" w:rsidP="00C245B0">
      <w:pPr>
        <w:pStyle w:val="a0"/>
      </w:pPr>
      <w:r w:rsidRPr="001A3D2B">
        <w:t>Hurt, C.D. (1983), A comparison of a bibliometric approach</w:t>
      </w:r>
      <w:r w:rsidR="00F81221">
        <w:t xml:space="preserve"> and </w:t>
      </w:r>
      <w:r w:rsidRPr="001A3D2B">
        <w:t xml:space="preserve">an historical approach to the identification of important literature. </w:t>
      </w:r>
      <w:r w:rsidRPr="001A3D2B">
        <w:rPr>
          <w:i/>
          <w:iCs/>
        </w:rPr>
        <w:t>Information Processing &amp; Management</w:t>
      </w:r>
      <w:r w:rsidRPr="001A3D2B">
        <w:t xml:space="preserve">, </w:t>
      </w:r>
      <w:r w:rsidRPr="001A3D2B">
        <w:rPr>
          <w:b/>
        </w:rPr>
        <w:t>19</w:t>
      </w:r>
      <w:r w:rsidRPr="001A3D2B">
        <w:t xml:space="preserve"> (3), 151-157.</w:t>
      </w:r>
    </w:p>
    <w:p w:rsidR="00C245B0" w:rsidRPr="001A3D2B" w:rsidRDefault="00C245B0" w:rsidP="00C245B0">
      <w:pPr>
        <w:pStyle w:val="a0"/>
      </w:pPr>
      <w:r w:rsidRPr="001A3D2B">
        <w:t xml:space="preserve">Full Text: </w:t>
      </w:r>
      <w:hyperlink r:id="rId1365" w:history="1">
        <w:r w:rsidRPr="001A3D2B">
          <w:rPr>
            <w:rStyle w:val="a5"/>
          </w:rPr>
          <w:t>1983\Inf Pro Man19, 151.pdf</w:t>
        </w:r>
      </w:hyperlink>
    </w:p>
    <w:p w:rsidR="00C245B0" w:rsidRPr="001A3D2B" w:rsidRDefault="00C245B0" w:rsidP="00C245B0">
      <w:pPr>
        <w:pStyle w:val="a0"/>
      </w:pPr>
      <w:r w:rsidRPr="001A3D2B">
        <w:t>Abstract: This study examines the problem of identification of important literature in a specific scientific area, quantum mechanics. An examination was conducted using two literature sets. The first set was identified using a bibliometric approach</w:t>
      </w:r>
      <w:r w:rsidR="00F81221">
        <w:t xml:space="preserve"> and </w:t>
      </w:r>
      <w:r w:rsidRPr="001A3D2B">
        <w:t>the second was identified using an historical approach. A gamma test of association was employed, resulting in a finding of no significant association between the two files of important literature. Particular attributes of the literature under examination were also studied. These tests supported the finding of no association. Validation testing was done to insure the integrity of the results. The major conclusion in the study was that the use of citation analysis alone or historica analysis alone will not result in the same set of literature being produced. Use of one method singly appears to be risky since the second method of selection produces an entirely different literature. Areas for further investigation of this problem are suggested.</w:t>
      </w:r>
    </w:p>
    <w:p w:rsidR="00C245B0" w:rsidRPr="001A3D2B" w:rsidRDefault="00C245B0" w:rsidP="00C245B0">
      <w:pPr>
        <w:pStyle w:val="a0"/>
      </w:pPr>
      <w:r w:rsidRPr="001A3D2B">
        <w:t>Keywords: Bibliometric</w:t>
      </w:r>
    </w:p>
    <w:p w:rsidR="00B95188" w:rsidRPr="00A428C3" w:rsidRDefault="00B95188" w:rsidP="00B95188">
      <w:pPr>
        <w:pStyle w:val="a0"/>
      </w:pPr>
      <w:r w:rsidRPr="00A428C3">
        <w:t>O</w:t>
      </w:r>
      <w:r w:rsidR="000352E7">
        <w:t>’</w:t>
      </w:r>
      <w:r w:rsidRPr="00A428C3">
        <w:t>Connor, J. (1983), Biomedical citing statements: Computer recognition</w:t>
      </w:r>
      <w:r w:rsidR="00F81221">
        <w:t xml:space="preserve"> and </w:t>
      </w:r>
      <w:r w:rsidRPr="00A428C3">
        <w:t xml:space="preserve">use to aid full-text retrieval. </w:t>
      </w:r>
      <w:r w:rsidRPr="00A428C3">
        <w:rPr>
          <w:i/>
          <w:iCs/>
        </w:rPr>
        <w:t>Information Processing &amp; Management</w:t>
      </w:r>
      <w:r w:rsidRPr="00A428C3">
        <w:t xml:space="preserve">, </w:t>
      </w:r>
      <w:r w:rsidRPr="00A428C3">
        <w:rPr>
          <w:b/>
        </w:rPr>
        <w:t>19</w:t>
      </w:r>
      <w:r w:rsidRPr="00A428C3">
        <w:t xml:space="preserve"> (6), 361-368.</w:t>
      </w:r>
    </w:p>
    <w:p w:rsidR="00C245B0" w:rsidRPr="001A3D2B" w:rsidRDefault="00C245B0" w:rsidP="00C245B0">
      <w:pPr>
        <w:pStyle w:val="a0"/>
      </w:pPr>
      <w:r w:rsidRPr="001A3D2B">
        <w:t xml:space="preserve">Full Text: </w:t>
      </w:r>
      <w:hyperlink r:id="rId1366" w:history="1">
        <w:r w:rsidRPr="001A3D2B">
          <w:rPr>
            <w:rStyle w:val="a5"/>
          </w:rPr>
          <w:t>1983\Inf Pro Man19, 361.pdf</w:t>
        </w:r>
      </w:hyperlink>
    </w:p>
    <w:p w:rsidR="00B95188" w:rsidRPr="00A428C3" w:rsidRDefault="00B95188" w:rsidP="00B95188">
      <w:pPr>
        <w:pStyle w:val="a0"/>
      </w:pPr>
      <w:r w:rsidRPr="00A428C3">
        <w:t>Abstract: Citing statements can be used to aid retrieval, to increase the efficiency of citation indexes</w:t>
      </w:r>
      <w:r w:rsidR="00F81221">
        <w:t xml:space="preserve"> and </w:t>
      </w:r>
      <w:r w:rsidRPr="00A428C3">
        <w:t>for the study of information flow</w:t>
      </w:r>
      <w:r w:rsidR="00F81221">
        <w:t xml:space="preserve"> and </w:t>
      </w:r>
      <w:r w:rsidRPr="00A428C3">
        <w:t>use. These uses are only feasible on a large scale if computers can identify citing statements within the texts of documents with reasonable accuracy.</w:t>
      </w:r>
    </w:p>
    <w:p w:rsidR="00B95188" w:rsidRPr="00A428C3" w:rsidRDefault="00B95188" w:rsidP="00B95188">
      <w:pPr>
        <w:pStyle w:val="a0"/>
      </w:pPr>
      <w:r w:rsidRPr="00A428C3">
        <w:t>Computer recognition of multi-sentence citing statements is not easy. Procedures developed for chemistry papers in an earlier experiment were tested on biomedical papers (dealing with various aspects of cancer)</w:t>
      </w:r>
      <w:r w:rsidR="00F81221">
        <w:t xml:space="preserve"> and </w:t>
      </w:r>
      <w:r w:rsidRPr="00A428C3">
        <w:t>were almost as successful. Specifically, (1) 78% of the words in computer-recognized citing statements were correctly attributable to the corresponding cited papers;</w:t>
      </w:r>
      <w:r w:rsidR="00F81221">
        <w:t xml:space="preserve"> and </w:t>
      </w:r>
      <w:r w:rsidRPr="00A428C3">
        <w:t>(2) the computer procedures missed 4% of the words in the actual citing statements. When the procedures were modified on the basis of those results</w:t>
      </w:r>
      <w:r w:rsidR="00F81221">
        <w:t xml:space="preserve"> and </w:t>
      </w:r>
      <w:r w:rsidRPr="00A428C3">
        <w:t>tested on a new sample of cancer papers the results were comparable: 72</w:t>
      </w:r>
      <w:r w:rsidR="00F81221">
        <w:t xml:space="preserve"> and </w:t>
      </w:r>
      <w:r w:rsidRPr="00A428C3">
        <w:t>3% respectively.</w:t>
      </w:r>
    </w:p>
    <w:p w:rsidR="00B95188" w:rsidRPr="00A428C3" w:rsidRDefault="00B95188" w:rsidP="00B95188">
      <w:pPr>
        <w:pStyle w:val="a0"/>
      </w:pPr>
      <w:r w:rsidRPr="00A428C3">
        <w:lastRenderedPageBreak/>
        <w:t xml:space="preserve">In an earlier experiment in use of full-text searching to retrieve answer-passages from cancer papers, recall in the </w:t>
      </w:r>
      <w:r w:rsidR="000352E7">
        <w:t>“</w:t>
      </w:r>
      <w:r w:rsidRPr="00A428C3">
        <w:t>test phase</w:t>
      </w:r>
      <w:r w:rsidR="000352E7">
        <w:t>”</w:t>
      </w:r>
      <w:r w:rsidRPr="00A428C3">
        <w:t xml:space="preserve"> averaged about 70%</w:t>
      </w:r>
      <w:r w:rsidR="00F81221">
        <w:t xml:space="preserve"> and </w:t>
      </w:r>
      <w:r w:rsidRPr="00A428C3">
        <w:t xml:space="preserve">the false retrieval rate was thirteen falsely retrieved </w:t>
      </w:r>
      <w:r w:rsidRPr="00A428C3">
        <w:rPr>
          <w:i/>
          <w:iCs/>
        </w:rPr>
        <w:t>sentences</w:t>
      </w:r>
      <w:r w:rsidRPr="00A428C3">
        <w:t xml:space="preserve"> per answer-paper retrieved. Unretrieved answer-papers in that experiment</w:t>
      </w:r>
      <w:r w:rsidR="000352E7">
        <w:t>’</w:t>
      </w:r>
      <w:r w:rsidRPr="00A428C3">
        <w:t xml:space="preserve">s </w:t>
      </w:r>
      <w:r w:rsidR="000352E7">
        <w:t>“</w:t>
      </w:r>
      <w:r w:rsidRPr="00A428C3">
        <w:t>development phase</w:t>
      </w:r>
      <w:r w:rsidR="000352E7">
        <w:t>”</w:t>
      </w:r>
      <w:r w:rsidRPr="00A428C3">
        <w:t>,</w:t>
      </w:r>
      <w:r w:rsidR="00F81221">
        <w:t xml:space="preserve"> and </w:t>
      </w:r>
      <w:r w:rsidRPr="00A428C3">
        <w:t>citing statements referring to them, were studied to develop computer procedures for using citing statements to increase recall. The procedures developed only produced slight recall increases for development phase answer-papers,</w:t>
      </w:r>
      <w:r w:rsidR="00F81221">
        <w:t xml:space="preserve"> and </w:t>
      </w:r>
      <w:r w:rsidRPr="00A428C3">
        <w:t>similarly for the test phase papers on which they were then tested. Specifically, the test phase results were the following: recall was increased from 70 to 74%,</w:t>
      </w:r>
      <w:r w:rsidR="00F81221">
        <w:t xml:space="preserve"> and </w:t>
      </w:r>
      <w:r w:rsidRPr="00A428C3">
        <w:t>there was no increase in false retrieval. This contrasts with an earlier experiment in which 50% recall of chemistry papers by search of index terms</w:t>
      </w:r>
      <w:r w:rsidR="00F81221">
        <w:t xml:space="preserve"> and </w:t>
      </w:r>
      <w:r w:rsidRPr="00A428C3">
        <w:t>abstract words was increased to 70% by the addition of words from citing statements. The difference may be because the average number of citing papers per unretrieved cancer paper was only six while that for chemistry papers was thirteen.</w:t>
      </w:r>
    </w:p>
    <w:p w:rsidR="007C57AF" w:rsidRDefault="007C57AF" w:rsidP="007C57AF">
      <w:pPr>
        <w:pStyle w:val="a0"/>
        <w:rPr>
          <w:szCs w:val="24"/>
        </w:rPr>
      </w:pPr>
      <w:r>
        <w:rPr>
          <w:rFonts w:hint="eastAsia"/>
          <w:szCs w:val="24"/>
        </w:rPr>
        <w:t>Notes: MModel</w:t>
      </w:r>
    </w:p>
    <w:p w:rsidR="00B95188" w:rsidRPr="00A428C3" w:rsidRDefault="00B95188" w:rsidP="00B95188">
      <w:pPr>
        <w:pStyle w:val="a0"/>
      </w:pPr>
      <w:r w:rsidRPr="00A428C3">
        <w:t>Brookes, B.C. (1984), Ranking techniques</w:t>
      </w:r>
      <w:r w:rsidR="00F81221">
        <w:t xml:space="preserve"> and </w:t>
      </w:r>
      <w:r w:rsidRPr="00A428C3">
        <w:t xml:space="preserve">the empirical log law. </w:t>
      </w:r>
      <w:r w:rsidRPr="00A428C3">
        <w:rPr>
          <w:i/>
          <w:iCs/>
        </w:rPr>
        <w:t>Information Processing &amp; Management</w:t>
      </w:r>
      <w:r w:rsidRPr="00A428C3">
        <w:t xml:space="preserve">, </w:t>
      </w:r>
      <w:r w:rsidRPr="00A428C3">
        <w:rPr>
          <w:b/>
        </w:rPr>
        <w:t>20</w:t>
      </w:r>
      <w:r w:rsidRPr="00A428C3">
        <w:t xml:space="preserve"> (1-2), 37-46.</w:t>
      </w:r>
    </w:p>
    <w:p w:rsidR="00C245B0" w:rsidRPr="001A3D2B" w:rsidRDefault="00C245B0" w:rsidP="00C245B0">
      <w:pPr>
        <w:pStyle w:val="a0"/>
      </w:pPr>
      <w:r w:rsidRPr="001A3D2B">
        <w:t xml:space="preserve">Full Text: </w:t>
      </w:r>
      <w:hyperlink r:id="rId1367" w:history="1">
        <w:r w:rsidRPr="001A3D2B">
          <w:rPr>
            <w:rStyle w:val="a5"/>
          </w:rPr>
          <w:t>1984\Inf Pro Man20, 37.pdf</w:t>
        </w:r>
      </w:hyperlink>
    </w:p>
    <w:p w:rsidR="00B95188" w:rsidRPr="00A428C3" w:rsidRDefault="00B95188" w:rsidP="00B95188">
      <w:pPr>
        <w:pStyle w:val="a0"/>
      </w:pPr>
      <w:r w:rsidRPr="00A428C3">
        <w:t>Abstract: Four empirical laws of bibliometrics––those of anomalous numbers, of Lotka, Zipf</w:t>
      </w:r>
      <w:r w:rsidR="00F81221">
        <w:t xml:space="preserve"> and </w:t>
      </w:r>
      <w:r w:rsidRPr="00A428C3">
        <w:t>Bradford, together with Laplace</w:t>
      </w:r>
      <w:r w:rsidR="000352E7">
        <w:t>’</w:t>
      </w:r>
      <w:r w:rsidRPr="00A428C3">
        <w:t xml:space="preserve">s notorious </w:t>
      </w:r>
      <w:r w:rsidR="000352E7">
        <w:t>“</w:t>
      </w:r>
      <w:r w:rsidRPr="00A428C3">
        <w:t>law of succession</w:t>
      </w:r>
      <w:r w:rsidR="000352E7">
        <w:t>”</w:t>
      </w:r>
      <w:r w:rsidR="00F81221">
        <w:t xml:space="preserve"> and </w:t>
      </w:r>
      <w:r w:rsidRPr="00A428C3">
        <w:t>de Solla Price</w:t>
      </w:r>
      <w:r w:rsidR="000352E7">
        <w:t>’</w:t>
      </w:r>
      <w:r w:rsidRPr="00A428C3">
        <w:t>s cumulative advantage distribution, are shown to be almost identical. Some of these laws are expressed as frequency distributions, some are frequency-ranked. A simple model which discriminates these various forms is described. It shows that the frequency forms conform with an inverse square law over the appropriate interval</w:t>
      </w:r>
      <w:r w:rsidR="00F81221">
        <w:t xml:space="preserve"> and </w:t>
      </w:r>
      <w:r w:rsidRPr="00A428C3">
        <w:t>that the equivalent rank distribution––the Log Law––has the Df</w:t>
      </w:r>
    </w:p>
    <w:p w:rsidR="00B95188" w:rsidRPr="00A428C3" w:rsidRDefault="00B95188" w:rsidP="00B95188">
      <w:pPr>
        <w:pStyle w:val="a0"/>
      </w:pPr>
      <w:r w:rsidRPr="00A428C3">
        <w:t>Q (r)=log</w:t>
      </w:r>
      <w:r w:rsidRPr="00A428C3">
        <w:rPr>
          <w:vertAlign w:val="subscript"/>
        </w:rPr>
        <w:t>b</w:t>
      </w:r>
      <w:r w:rsidRPr="00A428C3">
        <w:t>(r+l)</w:t>
      </w:r>
    </w:p>
    <w:p w:rsidR="00B95188" w:rsidRPr="00A428C3" w:rsidRDefault="00B95188" w:rsidP="00B95188">
      <w:pPr>
        <w:pStyle w:val="a0"/>
      </w:pPr>
      <w:r w:rsidRPr="00A428C3">
        <w:t>where b is the rank interval. It is further shown that frequency distributions discard empirical statistical information which the equivalent rank distributions retain for analysis. So that rank distributions offer theoretical advantages in this field. The paper concludes with comments on the analysis of the empirical hybrid forms which arise. The reduction of the above laws, empirical</w:t>
      </w:r>
      <w:r w:rsidR="00F81221">
        <w:t xml:space="preserve"> and </w:t>
      </w:r>
      <w:r w:rsidRPr="00A428C3">
        <w:t>hypothetical, to a single law is achieved by NOT equating the ordinals 1st, 2nd, 3rd, .... to the numbers 1, 2, 3, 4. as is commonly done.</w:t>
      </w:r>
    </w:p>
    <w:p w:rsidR="00B95188" w:rsidRPr="00A428C3" w:rsidRDefault="00B95188" w:rsidP="00B95188">
      <w:pPr>
        <w:pStyle w:val="a0"/>
      </w:pPr>
      <w:r w:rsidRPr="00A428C3">
        <w:t>Pao, M.L. (1985), Lotka</w:t>
      </w:r>
      <w:r w:rsidR="000352E7">
        <w:t>’</w:t>
      </w:r>
      <w:r w:rsidRPr="00A428C3">
        <w:t xml:space="preserve">s law: A testing procedure. </w:t>
      </w:r>
      <w:r w:rsidRPr="00A428C3">
        <w:rPr>
          <w:i/>
          <w:iCs/>
        </w:rPr>
        <w:t>Information Processing &amp; Management</w:t>
      </w:r>
      <w:r w:rsidRPr="00A428C3">
        <w:t xml:space="preserve">, </w:t>
      </w:r>
      <w:r w:rsidRPr="00A428C3">
        <w:rPr>
          <w:b/>
        </w:rPr>
        <w:t>21</w:t>
      </w:r>
      <w:r w:rsidRPr="00A428C3">
        <w:t xml:space="preserve"> (4), 305-320.</w:t>
      </w:r>
    </w:p>
    <w:p w:rsidR="00C245B0" w:rsidRPr="001A3D2B" w:rsidRDefault="00C245B0" w:rsidP="00C245B0">
      <w:pPr>
        <w:pStyle w:val="a0"/>
      </w:pPr>
      <w:r w:rsidRPr="001A3D2B">
        <w:t xml:space="preserve">Full Text: </w:t>
      </w:r>
      <w:hyperlink r:id="rId1368" w:history="1">
        <w:r w:rsidRPr="001A3D2B">
          <w:rPr>
            <w:rStyle w:val="a5"/>
          </w:rPr>
          <w:t>1985\Inf Pro Man21, 305.pdf</w:t>
        </w:r>
      </w:hyperlink>
    </w:p>
    <w:p w:rsidR="00B95188" w:rsidRPr="00A428C3" w:rsidRDefault="00B95188" w:rsidP="00B95188">
      <w:pPr>
        <w:pStyle w:val="a0"/>
      </w:pPr>
      <w:r w:rsidRPr="00A428C3">
        <w:t>Abstract: Instead of the commonly accepted inverse square law, Lotka</w:t>
      </w:r>
      <w:r w:rsidR="000352E7">
        <w:t>’</w:t>
      </w:r>
      <w:r w:rsidRPr="00A428C3">
        <w:t>s original formulation was based on a more general inverse power law: x</w:t>
      </w:r>
      <w:r w:rsidRPr="00A428C3">
        <w:rPr>
          <w:vertAlign w:val="superscript"/>
        </w:rPr>
        <w:t>n</w:t>
      </w:r>
      <w:r w:rsidRPr="00A428C3">
        <w:t>.y = c. The exponent</w:t>
      </w:r>
      <w:r w:rsidR="00F81221">
        <w:t xml:space="preserve"> </w:t>
      </w:r>
      <w:r w:rsidR="00F81221">
        <w:lastRenderedPageBreak/>
        <w:t xml:space="preserve">and </w:t>
      </w:r>
      <w:r w:rsidRPr="00A428C3">
        <w:t>the constant must be estimated from the given set of author productivity data. A step-by-step outline is presented for testing the applicability of Lotka</w:t>
      </w:r>
      <w:r w:rsidR="000352E7">
        <w:t>’</w:t>
      </w:r>
      <w:r w:rsidRPr="00A428C3">
        <w:t>s law. Steps include the computation of the values of the exponent</w:t>
      </w:r>
      <w:r w:rsidR="00F81221">
        <w:t xml:space="preserve"> and </w:t>
      </w:r>
      <w:r w:rsidRPr="00A428C3">
        <w:t>the constant based on Lotka</w:t>
      </w:r>
      <w:r w:rsidR="000352E7">
        <w:t>’</w:t>
      </w:r>
      <w:r w:rsidRPr="00A428C3">
        <w:t>s method,</w:t>
      </w:r>
      <w:r w:rsidR="00F81221">
        <w:t xml:space="preserve"> and </w:t>
      </w:r>
      <w:r w:rsidRPr="00A428C3">
        <w:t>the test for significance of the observed frequency distribution against the estimated theoretical distribution derived from Lotka</w:t>
      </w:r>
      <w:r w:rsidR="000352E7">
        <w:t>’</w:t>
      </w:r>
      <w:r w:rsidRPr="00A428C3">
        <w:t>s formula.</w:t>
      </w:r>
    </w:p>
    <w:p w:rsidR="00B95188" w:rsidRPr="00A428C3" w:rsidRDefault="00B95188" w:rsidP="00B95188">
      <w:pPr>
        <w:pStyle w:val="a0"/>
      </w:pPr>
      <w:r w:rsidRPr="00A428C3">
        <w:t>Pao, M.L.</w:t>
      </w:r>
      <w:r w:rsidR="00F81221">
        <w:t xml:space="preserve"> and </w:t>
      </w:r>
      <w:r w:rsidRPr="00A428C3">
        <w:t xml:space="preserve">McCreery, L. (1986), Bibliometric application of Markov Chains. </w:t>
      </w:r>
      <w:r w:rsidRPr="00A428C3">
        <w:rPr>
          <w:i/>
          <w:iCs/>
        </w:rPr>
        <w:t>Information Processing &amp; Management</w:t>
      </w:r>
      <w:r w:rsidRPr="00A428C3">
        <w:t xml:space="preserve">, </w:t>
      </w:r>
      <w:r w:rsidRPr="00A428C3">
        <w:rPr>
          <w:b/>
        </w:rPr>
        <w:t>22</w:t>
      </w:r>
      <w:r w:rsidRPr="00A428C3">
        <w:t xml:space="preserve"> (1), 7-17.</w:t>
      </w:r>
    </w:p>
    <w:p w:rsidR="00C245B0" w:rsidRPr="001A3D2B" w:rsidRDefault="00C245B0" w:rsidP="00C245B0">
      <w:pPr>
        <w:pStyle w:val="a0"/>
      </w:pPr>
      <w:r w:rsidRPr="001A3D2B">
        <w:t xml:space="preserve">Full Text: </w:t>
      </w:r>
      <w:hyperlink r:id="rId1369" w:history="1">
        <w:r w:rsidRPr="001A3D2B">
          <w:rPr>
            <w:rStyle w:val="a5"/>
          </w:rPr>
          <w:t>1986\Inf Pro Man22, 7.pdf</w:t>
        </w:r>
      </w:hyperlink>
    </w:p>
    <w:p w:rsidR="00C245B0" w:rsidRPr="001A3D2B" w:rsidRDefault="00C245B0" w:rsidP="00C245B0">
      <w:pPr>
        <w:pStyle w:val="a0"/>
      </w:pPr>
      <w:r w:rsidRPr="001A3D2B">
        <w:t>Abstract: A rudimentary description of Markov chains is presented in order to introduce its use to describe</w:t>
      </w:r>
      <w:r w:rsidR="00F81221">
        <w:t xml:space="preserve"> and </w:t>
      </w:r>
      <w:r w:rsidRPr="001A3D2B">
        <w:t>to predict authors</w:t>
      </w:r>
      <w:r w:rsidR="000352E7">
        <w:t>’</w:t>
      </w:r>
      <w:r w:rsidRPr="001A3D2B">
        <w:t xml:space="preserve"> movements among subareas of a discipline. Other possible applications are suggested.</w:t>
      </w:r>
    </w:p>
    <w:p w:rsidR="00C245B0" w:rsidRPr="001A3D2B" w:rsidRDefault="00C245B0" w:rsidP="00C245B0">
      <w:pPr>
        <w:pStyle w:val="a0"/>
      </w:pPr>
      <w:r w:rsidRPr="001A3D2B">
        <w:t>Tomer, C. (1986), A statistical assessment of two measures of citation: The impact factor</w:t>
      </w:r>
      <w:r w:rsidR="00F81221">
        <w:t xml:space="preserve"> and </w:t>
      </w:r>
      <w:r w:rsidRPr="001A3D2B">
        <w:t xml:space="preserve">the immediacy index. </w:t>
      </w:r>
      <w:r w:rsidRPr="001A3D2B">
        <w:rPr>
          <w:i/>
          <w:iCs/>
        </w:rPr>
        <w:t>Information Processing &amp; Management</w:t>
      </w:r>
      <w:r w:rsidRPr="001A3D2B">
        <w:t xml:space="preserve">, </w:t>
      </w:r>
      <w:r w:rsidRPr="001A3D2B">
        <w:rPr>
          <w:b/>
        </w:rPr>
        <w:t>22</w:t>
      </w:r>
      <w:r w:rsidRPr="001A3D2B">
        <w:t xml:space="preserve"> (3), 251-258.</w:t>
      </w:r>
    </w:p>
    <w:p w:rsidR="00C245B0" w:rsidRPr="001A3D2B" w:rsidRDefault="00C245B0" w:rsidP="00C245B0">
      <w:pPr>
        <w:pStyle w:val="a0"/>
      </w:pPr>
      <w:r w:rsidRPr="001A3D2B">
        <w:t xml:space="preserve">Full Text: </w:t>
      </w:r>
      <w:hyperlink r:id="rId1370" w:history="1">
        <w:r w:rsidRPr="001A3D2B">
          <w:rPr>
            <w:rStyle w:val="a5"/>
          </w:rPr>
          <w:t>1986\Inf Pro Man22, 251.pdf</w:t>
        </w:r>
      </w:hyperlink>
    </w:p>
    <w:p w:rsidR="00B95188" w:rsidRPr="00A428C3" w:rsidRDefault="00B95188" w:rsidP="00B95188">
      <w:pPr>
        <w:pStyle w:val="a0"/>
      </w:pPr>
      <w:r w:rsidRPr="00A428C3">
        <w:t>Abstract: The dynamics</w:t>
      </w:r>
      <w:r w:rsidR="00F81221">
        <w:t xml:space="preserve"> and </w:t>
      </w:r>
      <w:r w:rsidRPr="00A428C3">
        <w:t>internal structure of the system of scientific communication are greatly influenced by the varying quality of the primary journals in which scientific information is published. The analysis of citations is among the means by which policy-makers, scientists</w:t>
      </w:r>
      <w:r w:rsidR="00F81221">
        <w:t xml:space="preserve"> and </w:t>
      </w:r>
      <w:r w:rsidRPr="00A428C3">
        <w:t>librarians seek to achieve a greater understanding of the qualitative forces that affect formal communications in science. This paper reports the findings of an investigation which was conducted in order to determine if either the impact factor or the immediacy index––two derivative measures of citation formulated by Garfield</w:t>
      </w:r>
      <w:r w:rsidR="00F81221">
        <w:t xml:space="preserve"> and </w:t>
      </w:r>
      <w:r w:rsidRPr="00A428C3">
        <w:t>the Institute for Scientific Information––provide useful insights into the qualitative relations among scientific journals. The results of the investigation, which was concerned with the statistical characteristics of the relationships among the variables forming the basis for the two measures, indicate that the measures are not significant</w:t>
      </w:r>
      <w:r w:rsidR="00F81221">
        <w:t xml:space="preserve"> and </w:t>
      </w:r>
      <w:r w:rsidRPr="00A428C3">
        <w:t>that the order which either produces among a list of journals is not markedly different than that which is produced when such journals are ranked in terms of uncorrected rates of citation.</w:t>
      </w:r>
    </w:p>
    <w:p w:rsidR="007C57AF" w:rsidRDefault="007C57AF" w:rsidP="007C57AF">
      <w:pPr>
        <w:pStyle w:val="a0"/>
      </w:pPr>
      <w:r>
        <w:rPr>
          <w:rFonts w:hint="eastAsia"/>
        </w:rPr>
        <w:t>Notes: MModel</w:t>
      </w:r>
    </w:p>
    <w:p w:rsidR="00B95188" w:rsidRPr="00A428C3" w:rsidRDefault="00B95188" w:rsidP="00B95188">
      <w:pPr>
        <w:pStyle w:val="a0"/>
      </w:pPr>
      <w:r w:rsidRPr="00A428C3">
        <w:t>Nicholls, P.T. (1986), Empirical validation of Lotka</w:t>
      </w:r>
      <w:r w:rsidR="000352E7">
        <w:t>’</w:t>
      </w:r>
      <w:r w:rsidRPr="00A428C3">
        <w:t xml:space="preserve">s law. </w:t>
      </w:r>
      <w:r w:rsidRPr="00A428C3">
        <w:rPr>
          <w:i/>
          <w:iCs/>
        </w:rPr>
        <w:t>Information Processing &amp; Management</w:t>
      </w:r>
      <w:r w:rsidRPr="00A428C3">
        <w:t xml:space="preserve">, </w:t>
      </w:r>
      <w:r w:rsidRPr="00A428C3">
        <w:rPr>
          <w:b/>
        </w:rPr>
        <w:t>22</w:t>
      </w:r>
      <w:r w:rsidRPr="00A428C3">
        <w:t xml:space="preserve"> (5), 417-419.</w:t>
      </w:r>
    </w:p>
    <w:p w:rsidR="00C245B0" w:rsidRPr="001A3D2B" w:rsidRDefault="00C245B0" w:rsidP="00C245B0">
      <w:pPr>
        <w:pStyle w:val="a0"/>
      </w:pPr>
      <w:r w:rsidRPr="001A3D2B">
        <w:t xml:space="preserve">Full Text: </w:t>
      </w:r>
      <w:hyperlink r:id="rId1371" w:history="1">
        <w:r w:rsidRPr="001A3D2B">
          <w:rPr>
            <w:rStyle w:val="a5"/>
          </w:rPr>
          <w:t>1986\Inf Pro Man22, 417.pdf</w:t>
        </w:r>
      </w:hyperlink>
    </w:p>
    <w:p w:rsidR="00C245B0" w:rsidRPr="001A3D2B" w:rsidRDefault="00C245B0" w:rsidP="00C245B0">
      <w:pPr>
        <w:pStyle w:val="a0"/>
      </w:pPr>
      <w:r w:rsidRPr="001A3D2B">
        <w:t>Abstract: Two modifications to the Pao procedure for testing Lotka</w:t>
      </w:r>
      <w:r w:rsidR="000352E7">
        <w:t>’</w:t>
      </w:r>
      <w:r w:rsidRPr="001A3D2B">
        <w:t>s law are proposed</w:t>
      </w:r>
      <w:r w:rsidR="00F81221">
        <w:t xml:space="preserve"> and </w:t>
      </w:r>
      <w:r w:rsidRPr="001A3D2B">
        <w:t>applied to 15 samples drawn from the humanities, social sciences,</w:t>
      </w:r>
      <w:r w:rsidR="00F81221">
        <w:t xml:space="preserve"> and </w:t>
      </w:r>
      <w:r w:rsidRPr="001A3D2B">
        <w:t>sciences.</w:t>
      </w:r>
    </w:p>
    <w:p w:rsidR="00C245B0" w:rsidRPr="001A3D2B" w:rsidRDefault="00C245B0" w:rsidP="00C245B0">
      <w:pPr>
        <w:pStyle w:val="a0"/>
      </w:pPr>
      <w:r>
        <w:rPr>
          <w:rFonts w:hint="eastAsia"/>
        </w:rPr>
        <w:t xml:space="preserve">? </w:t>
      </w:r>
      <w:r w:rsidRPr="001A3D2B">
        <w:t>Tague, J.</w:t>
      </w:r>
      <w:r w:rsidR="00F81221">
        <w:t xml:space="preserve"> and </w:t>
      </w:r>
      <w:r w:rsidRPr="001A3D2B">
        <w:t>Nicholls, P. (1987), The maximal value of a Zipf size variable sampling properties</w:t>
      </w:r>
      <w:r w:rsidR="00F81221">
        <w:t xml:space="preserve"> and </w:t>
      </w:r>
      <w:r w:rsidRPr="001A3D2B">
        <w:t xml:space="preserve">relationship to other parameters. </w:t>
      </w:r>
      <w:r w:rsidRPr="001A3D2B">
        <w:rPr>
          <w:i/>
          <w:iCs/>
        </w:rPr>
        <w:t>Information Processing &amp; Management</w:t>
      </w:r>
      <w:r w:rsidRPr="001A3D2B">
        <w:t xml:space="preserve">, </w:t>
      </w:r>
      <w:r w:rsidRPr="001A3D2B">
        <w:rPr>
          <w:b/>
          <w:bCs/>
        </w:rPr>
        <w:t>23</w:t>
      </w:r>
      <w:r w:rsidRPr="001A3D2B">
        <w:t xml:space="preserve"> (3), 155-170.</w:t>
      </w:r>
    </w:p>
    <w:p w:rsidR="00C245B0" w:rsidRPr="001A3D2B" w:rsidRDefault="00C245B0" w:rsidP="00C245B0">
      <w:pPr>
        <w:pStyle w:val="a0"/>
      </w:pPr>
      <w:r w:rsidRPr="001A3D2B">
        <w:t xml:space="preserve">Full Text: </w:t>
      </w:r>
      <w:hyperlink r:id="rId1372" w:history="1">
        <w:r w:rsidRPr="001A3D2B">
          <w:rPr>
            <w:rStyle w:val="a5"/>
          </w:rPr>
          <w:t>1987\Inf Pro Man23, 155.pdf</w:t>
        </w:r>
      </w:hyperlink>
    </w:p>
    <w:p w:rsidR="00B95188" w:rsidRPr="00A428C3" w:rsidRDefault="00B95188" w:rsidP="00B95188">
      <w:pPr>
        <w:pStyle w:val="a0"/>
      </w:pPr>
      <w:r w:rsidRPr="00A428C3">
        <w:lastRenderedPageBreak/>
        <w:t>Abstract: Because the Zipf size-frequency distribution is used to so often as a mathematical model for bibliometric variables, it is important that the relationships among its parameters</w:t>
      </w:r>
      <w:r w:rsidR="00F81221">
        <w:t xml:space="preserve"> and </w:t>
      </w:r>
      <w:r w:rsidRPr="00A428C3">
        <w:t>its sampling properties be understood by investigators in this field. This paper examines these relationships</w:t>
      </w:r>
      <w:r w:rsidR="00F81221">
        <w:t xml:space="preserve"> and </w:t>
      </w:r>
      <w:r w:rsidRPr="00A428C3">
        <w:t>properties. In addition, it provides tables for the sampling distribution of the maximal value of a finite Zipf distribution</w:t>
      </w:r>
      <w:r w:rsidR="00F81221">
        <w:t xml:space="preserve"> and </w:t>
      </w:r>
      <w:r w:rsidRPr="00A428C3">
        <w:t>an approximation formula for confidence intervals. Confidence limits for the maximal value in a number of previous studies are determined.</w:t>
      </w:r>
    </w:p>
    <w:p w:rsidR="00B95188" w:rsidRPr="00A428C3" w:rsidRDefault="00B95188" w:rsidP="00B95188">
      <w:pPr>
        <w:pStyle w:val="a0"/>
      </w:pPr>
      <w:r w:rsidRPr="00A428C3">
        <w:t>Chen, Y.S.</w:t>
      </w:r>
      <w:r w:rsidR="00F81221">
        <w:t xml:space="preserve"> and </w:t>
      </w:r>
      <w:r w:rsidRPr="00A428C3">
        <w:t>Leimkuhler, F.F. (1987), Analysis of Zipf</w:t>
      </w:r>
      <w:r w:rsidR="000352E7">
        <w:t>’</w:t>
      </w:r>
      <w:r w:rsidRPr="00A428C3">
        <w:t xml:space="preserve">s law: An index approach. </w:t>
      </w:r>
      <w:r w:rsidRPr="00A428C3">
        <w:rPr>
          <w:i/>
          <w:iCs/>
        </w:rPr>
        <w:t>Information Processing &amp; Management</w:t>
      </w:r>
      <w:r w:rsidRPr="00A428C3">
        <w:t xml:space="preserve">, </w:t>
      </w:r>
      <w:r w:rsidRPr="00A428C3">
        <w:rPr>
          <w:b/>
        </w:rPr>
        <w:t>23</w:t>
      </w:r>
      <w:r w:rsidRPr="00A428C3">
        <w:t xml:space="preserve"> (3), 171-182.</w:t>
      </w:r>
    </w:p>
    <w:p w:rsidR="00C245B0" w:rsidRPr="001A3D2B" w:rsidRDefault="00C245B0" w:rsidP="00C245B0">
      <w:pPr>
        <w:pStyle w:val="a0"/>
      </w:pPr>
      <w:r w:rsidRPr="001A3D2B">
        <w:t xml:space="preserve">Full Text: </w:t>
      </w:r>
      <w:hyperlink r:id="rId1373" w:history="1">
        <w:r w:rsidRPr="001A3D2B">
          <w:rPr>
            <w:rStyle w:val="a5"/>
          </w:rPr>
          <w:t>1987\Inf Pro Man23, 171.pdf</w:t>
        </w:r>
      </w:hyperlink>
    </w:p>
    <w:p w:rsidR="00C245B0" w:rsidRPr="001A3D2B" w:rsidRDefault="00C245B0" w:rsidP="00C245B0">
      <w:pPr>
        <w:pStyle w:val="a0"/>
      </w:pPr>
      <w:r w:rsidRPr="001A3D2B">
        <w:t>Abstract: A rigorous analysis of Zipf</w:t>
      </w:r>
      <w:r w:rsidR="000352E7">
        <w:t>’</w:t>
      </w:r>
      <w:r w:rsidRPr="001A3D2B">
        <w:t>s law is made using an index for the sequence of observed values of the variables in a Zipf-type relationship. Three important properties relating rank, count,</w:t>
      </w:r>
      <w:r w:rsidR="00F81221">
        <w:t xml:space="preserve"> and </w:t>
      </w:r>
      <w:r w:rsidRPr="001A3D2B">
        <w:t>frequency are identified. Using this approach, the shape of Zipf-type curves can be described in terms of three distinct regions</w:t>
      </w:r>
      <w:r w:rsidR="00F81221">
        <w:t xml:space="preserve"> and </w:t>
      </w:r>
      <w:r w:rsidRPr="001A3D2B">
        <w:t>two parameters of the Mandelbrot-Zipf law. This result has considerable practical significance, since it provides rigorous foundations for the application of Zipf</w:t>
      </w:r>
      <w:r w:rsidR="000352E7">
        <w:t>’</w:t>
      </w:r>
      <w:r w:rsidRPr="001A3D2B">
        <w:t>s law.</w:t>
      </w:r>
    </w:p>
    <w:p w:rsidR="00C245B0" w:rsidRPr="001A3D2B" w:rsidRDefault="00C245B0" w:rsidP="00C245B0">
      <w:pPr>
        <w:pStyle w:val="a0"/>
      </w:pPr>
      <w:smartTag w:uri="urn:schemas-microsoft-com:office:smarttags" w:element="place">
        <w:smartTag w:uri="urn:schemas-microsoft-com:office:smarttags" w:element="City">
          <w:r w:rsidRPr="001A3D2B">
            <w:t>Burton</w:t>
          </w:r>
        </w:smartTag>
      </w:smartTag>
      <w:r w:rsidRPr="001A3D2B">
        <w:t xml:space="preserve">, H.D. (1988), Use of a virtual information system for bibliometric analysis. </w:t>
      </w:r>
      <w:r w:rsidRPr="001A3D2B">
        <w:rPr>
          <w:i/>
          <w:iCs/>
        </w:rPr>
        <w:t>Information Processing &amp; Management</w:t>
      </w:r>
      <w:r w:rsidRPr="001A3D2B">
        <w:t xml:space="preserve">, </w:t>
      </w:r>
      <w:r w:rsidRPr="001A3D2B">
        <w:rPr>
          <w:b/>
        </w:rPr>
        <w:t>24</w:t>
      </w:r>
      <w:r w:rsidRPr="001A3D2B">
        <w:t xml:space="preserve"> (1), 39-44.</w:t>
      </w:r>
    </w:p>
    <w:p w:rsidR="00C245B0" w:rsidRPr="001A3D2B" w:rsidRDefault="00C245B0" w:rsidP="00C245B0">
      <w:pPr>
        <w:pStyle w:val="a0"/>
      </w:pPr>
      <w:r w:rsidRPr="001A3D2B">
        <w:t xml:space="preserve">Full Text: </w:t>
      </w:r>
      <w:hyperlink r:id="rId1374" w:history="1">
        <w:r w:rsidRPr="001A3D2B">
          <w:rPr>
            <w:rStyle w:val="a5"/>
          </w:rPr>
          <w:t>1988\Inf Pro Man24, 39.pdf</w:t>
        </w:r>
      </w:hyperlink>
    </w:p>
    <w:p w:rsidR="00B95188" w:rsidRPr="00A428C3" w:rsidRDefault="00B95188" w:rsidP="00B95188">
      <w:pPr>
        <w:pStyle w:val="a0"/>
      </w:pPr>
      <w:r w:rsidRPr="00A428C3">
        <w:t>Abstract: This article defines</w:t>
      </w:r>
      <w:r w:rsidR="00F81221">
        <w:t xml:space="preserve"> and </w:t>
      </w:r>
      <w:r w:rsidRPr="00A428C3">
        <w:t>discusses bibliometrics, particularly as carried out in automated systems. The specific requirements to which the data should conform in order to support bibliometric analysis are detailed</w:t>
      </w:r>
      <w:r w:rsidR="00F81221">
        <w:t xml:space="preserve"> and </w:t>
      </w:r>
      <w:r w:rsidRPr="00A428C3">
        <w:t xml:space="preserve">explained. Examples of earlier bibliometric work are presented, followed by a discussion of efforts supported by the Intelligent Gateway of the </w:t>
      </w:r>
      <w:smartTag w:uri="urn:schemas-microsoft-com:office:smarttags" w:element="PlaceType">
        <w:r w:rsidRPr="00A428C3">
          <w:t>University</w:t>
        </w:r>
      </w:smartTag>
      <w:r w:rsidRPr="00A428C3">
        <w:t xml:space="preserve"> of California</w:t>
      </w:r>
      <w:r w:rsidR="000352E7">
        <w:t>’</w:t>
      </w:r>
      <w:r w:rsidRPr="00A428C3">
        <w:t>s Lawrence Livermore National Laboratory. Difficulties in doing manual analysis are discussed</w:t>
      </w:r>
      <w:r w:rsidR="00F81221">
        <w:t xml:space="preserve"> and </w:t>
      </w:r>
      <w:r w:rsidRPr="00A428C3">
        <w:t>the article concludes with a recommendation for greater use of this type of analysis via the increasingly available automated tools.</w:t>
      </w:r>
    </w:p>
    <w:p w:rsidR="007C57AF" w:rsidRDefault="007C57AF" w:rsidP="007C57AF">
      <w:pPr>
        <w:pStyle w:val="a0"/>
      </w:pPr>
      <w:r>
        <w:rPr>
          <w:rFonts w:hint="eastAsia"/>
        </w:rPr>
        <w:t>Notes: MModel</w:t>
      </w:r>
    </w:p>
    <w:p w:rsidR="00B95188" w:rsidRPr="00A428C3" w:rsidRDefault="00B95188" w:rsidP="00B95188">
      <w:pPr>
        <w:pStyle w:val="a0"/>
      </w:pPr>
      <w:r w:rsidRPr="00A428C3">
        <w:t>Nicholls, P.T. (1988), Price</w:t>
      </w:r>
      <w:r w:rsidR="000352E7">
        <w:t>’</w:t>
      </w:r>
      <w:r w:rsidRPr="00A428C3">
        <w:t>s square root law: Empirical validity</w:t>
      </w:r>
      <w:r w:rsidR="00F81221">
        <w:t xml:space="preserve"> and </w:t>
      </w:r>
      <w:r w:rsidRPr="00A428C3">
        <w:t>relation to Lotka</w:t>
      </w:r>
      <w:r w:rsidR="000352E7">
        <w:t>’</w:t>
      </w:r>
      <w:r w:rsidRPr="00A428C3">
        <w:t xml:space="preserve">s law. </w:t>
      </w:r>
      <w:r w:rsidRPr="00A428C3">
        <w:rPr>
          <w:i/>
          <w:iCs/>
        </w:rPr>
        <w:t>Information Processing &amp; Management</w:t>
      </w:r>
      <w:r w:rsidRPr="00A428C3">
        <w:t xml:space="preserve">, </w:t>
      </w:r>
      <w:r w:rsidRPr="00A428C3">
        <w:rPr>
          <w:b/>
        </w:rPr>
        <w:t>24</w:t>
      </w:r>
      <w:r w:rsidRPr="00A428C3">
        <w:t xml:space="preserve"> (4), 469-477.</w:t>
      </w:r>
    </w:p>
    <w:p w:rsidR="00C245B0" w:rsidRPr="001A3D2B" w:rsidRDefault="00C245B0" w:rsidP="00C245B0">
      <w:pPr>
        <w:pStyle w:val="a0"/>
      </w:pPr>
      <w:r w:rsidRPr="001A3D2B">
        <w:t xml:space="preserve">Full Text: </w:t>
      </w:r>
      <w:hyperlink r:id="rId1375" w:history="1">
        <w:r w:rsidRPr="001A3D2B">
          <w:rPr>
            <w:rStyle w:val="a5"/>
          </w:rPr>
          <w:t>1988\Inf Pro Man24, 469.pdf</w:t>
        </w:r>
      </w:hyperlink>
    </w:p>
    <w:p w:rsidR="00B95188" w:rsidRPr="00A428C3" w:rsidRDefault="00B95188" w:rsidP="00B95188">
      <w:pPr>
        <w:pStyle w:val="a0"/>
      </w:pPr>
      <w:r w:rsidRPr="00A428C3">
        <w:t>Abstract: Price</w:t>
      </w:r>
      <w:r w:rsidR="000352E7">
        <w:t>’</w:t>
      </w:r>
      <w:r w:rsidRPr="00A428C3">
        <w:t>s well-known square root law states that half of the literature on a subject will be contributed by the square root of the total number of authors publishing in that area. Price</w:t>
      </w:r>
      <w:r w:rsidR="000352E7">
        <w:t>’</w:t>
      </w:r>
      <w:r w:rsidRPr="00A428C3">
        <w:t>s contention is treated here as a hypothesis</w:t>
      </w:r>
      <w:r w:rsidR="00F81221">
        <w:t xml:space="preserve"> and </w:t>
      </w:r>
      <w:r w:rsidRPr="00A428C3">
        <w:t>assessed against the evidence presented by both empirical</w:t>
      </w:r>
      <w:r w:rsidR="00F81221">
        <w:t xml:space="preserve"> and </w:t>
      </w:r>
      <w:r w:rsidRPr="00A428C3">
        <w:t>simulated author productivity distributions. The results do not support the square root hypothesis. The problem with Price</w:t>
      </w:r>
      <w:r w:rsidR="000352E7">
        <w:t>’</w:t>
      </w:r>
      <w:r w:rsidRPr="00A428C3">
        <w:t>s original claim is traced to its basis in Lotka</w:t>
      </w:r>
      <w:r w:rsidR="000352E7">
        <w:t>’</w:t>
      </w:r>
      <w:r w:rsidRPr="00A428C3">
        <w:t xml:space="preserve">s law, which is considered as an inverse square law rather than as a generalized model taking variable parameter values. Varying parameter values engender a family of related, but systematically </w:t>
      </w:r>
      <w:r w:rsidRPr="00A428C3">
        <w:lastRenderedPageBreak/>
        <w:t>different, distributions in which the nature of inequality in publication productivity, including the size</w:t>
      </w:r>
      <w:r w:rsidR="00F81221">
        <w:t xml:space="preserve"> and </w:t>
      </w:r>
      <w:r w:rsidRPr="00A428C3">
        <w:t>relative contribution of the most prolific subset of authors, also varies.</w:t>
      </w:r>
    </w:p>
    <w:p w:rsidR="00B95188" w:rsidRPr="00A428C3" w:rsidRDefault="00B95188" w:rsidP="00B95188">
      <w:pPr>
        <w:pStyle w:val="a0"/>
      </w:pPr>
      <w:r w:rsidRPr="00A428C3">
        <w:t>Egghe, L. (1988), Mathematical relations between impact factors</w:t>
      </w:r>
      <w:r w:rsidR="00F81221">
        <w:t xml:space="preserve"> and </w:t>
      </w:r>
      <w:r w:rsidRPr="00A428C3">
        <w:t xml:space="preserve">average number of citations. </w:t>
      </w:r>
      <w:r w:rsidRPr="00A428C3">
        <w:rPr>
          <w:i/>
          <w:iCs/>
        </w:rPr>
        <w:t>Information Processing &amp; Management</w:t>
      </w:r>
      <w:r w:rsidRPr="00A428C3">
        <w:t xml:space="preserve">, </w:t>
      </w:r>
      <w:r w:rsidRPr="00A428C3">
        <w:rPr>
          <w:b/>
        </w:rPr>
        <w:t>24</w:t>
      </w:r>
      <w:r w:rsidRPr="00A428C3">
        <w:t xml:space="preserve"> (5), 567-576.</w:t>
      </w:r>
    </w:p>
    <w:p w:rsidR="00C245B0" w:rsidRPr="001A3D2B" w:rsidRDefault="00C245B0" w:rsidP="00C245B0">
      <w:pPr>
        <w:pStyle w:val="a0"/>
      </w:pPr>
      <w:r w:rsidRPr="001A3D2B">
        <w:t xml:space="preserve">Full Text: </w:t>
      </w:r>
      <w:hyperlink r:id="rId1376" w:history="1">
        <w:r w:rsidRPr="001A3D2B">
          <w:rPr>
            <w:rStyle w:val="a5"/>
          </w:rPr>
          <w:t>1988\Inf Pro Man24, 567.pdf</w:t>
        </w:r>
      </w:hyperlink>
    </w:p>
    <w:p w:rsidR="00B95188" w:rsidRPr="00A428C3" w:rsidRDefault="00B95188" w:rsidP="00B95188">
      <w:pPr>
        <w:pStyle w:val="a0"/>
      </w:pPr>
      <w:r w:rsidRPr="00A428C3">
        <w:t xml:space="preserve">Abstract: Instead of the two-year impact factor as used in the </w:t>
      </w:r>
      <w:r w:rsidRPr="00A428C3">
        <w:rPr>
          <w:i/>
          <w:iCs/>
        </w:rPr>
        <w:t>Journal Citation Reports</w:t>
      </w:r>
      <w:r w:rsidRPr="00A428C3">
        <w:t xml:space="preserve">, there is much m favor of using </w:t>
      </w:r>
      <w:r w:rsidRPr="00A428C3">
        <w:rPr>
          <w:i/>
          <w:iCs/>
        </w:rPr>
        <w:t>x</w:t>
      </w:r>
      <w:r w:rsidRPr="00A428C3">
        <w:t>-year impact factors (</w:t>
      </w:r>
      <w:r w:rsidRPr="00A428C3">
        <w:rPr>
          <w:i/>
          <w:iCs/>
        </w:rPr>
        <w:t>x</w:t>
      </w:r>
      <w:r w:rsidRPr="00A428C3">
        <w:t xml:space="preserve">&gt;0). These impact factors are studied as a function of </w:t>
      </w:r>
      <w:r w:rsidRPr="00A428C3">
        <w:rPr>
          <w:i/>
          <w:iCs/>
        </w:rPr>
        <w:t>x</w:t>
      </w:r>
      <w:r w:rsidR="00F81221">
        <w:t xml:space="preserve"> and </w:t>
      </w:r>
      <w:r w:rsidRPr="00A428C3">
        <w:t xml:space="preserve">compared with the average number of citations per paper to papers that appeared in the journal </w:t>
      </w:r>
      <w:r w:rsidRPr="00A428C3">
        <w:rPr>
          <w:i/>
          <w:iCs/>
        </w:rPr>
        <w:t>x</w:t>
      </w:r>
      <w:r w:rsidRPr="00A428C3">
        <w:t xml:space="preserve"> years ago. It is shown that both are equal if</w:t>
      </w:r>
      <w:r w:rsidR="00F81221">
        <w:t xml:space="preserve"> and </w:t>
      </w:r>
      <w:r w:rsidRPr="00A428C3">
        <w:t>only if the derivative of the impact-factor function is zero. Based on this, a simple classification of impact-factor curves versus mean citation curves is established</w:t>
      </w:r>
      <w:r w:rsidR="00F81221">
        <w:t xml:space="preserve"> and </w:t>
      </w:r>
      <w:r w:rsidRPr="00A428C3">
        <w:t>examples are given. These results are also applied to recent practical data that were obtained by Rousseau.</w:t>
      </w:r>
    </w:p>
    <w:p w:rsidR="00B95188" w:rsidRPr="00A428C3" w:rsidRDefault="00B95188" w:rsidP="00B95188">
      <w:pPr>
        <w:pStyle w:val="a0"/>
      </w:pPr>
      <w:r w:rsidRPr="00A428C3">
        <w:t>Hamers, L., Hemeryck, Y., Herweyers, G., Janssen, M., Keters, H., Rousseau, R.</w:t>
      </w:r>
      <w:r w:rsidR="00F81221">
        <w:t xml:space="preserve"> and </w:t>
      </w:r>
      <w:r w:rsidRPr="00A428C3">
        <w:t>Vanhoutte, A. (1989), Similarity measures in scientometric research: The Jaccard index versus Salton</w:t>
      </w:r>
      <w:r w:rsidR="000352E7">
        <w:t>’</w:t>
      </w:r>
      <w:r w:rsidRPr="00A428C3">
        <w:t xml:space="preserve">s cosine formula. </w:t>
      </w:r>
      <w:r w:rsidRPr="00A428C3">
        <w:rPr>
          <w:i/>
          <w:iCs/>
        </w:rPr>
        <w:t>Information Processing &amp; Management</w:t>
      </w:r>
      <w:r w:rsidRPr="00A428C3">
        <w:t xml:space="preserve">, </w:t>
      </w:r>
      <w:r w:rsidRPr="00A428C3">
        <w:rPr>
          <w:b/>
        </w:rPr>
        <w:t>25</w:t>
      </w:r>
      <w:r w:rsidRPr="00A428C3">
        <w:t xml:space="preserve"> (3), 315-318.</w:t>
      </w:r>
    </w:p>
    <w:p w:rsidR="00C245B0" w:rsidRPr="001A3D2B" w:rsidRDefault="00C245B0" w:rsidP="00C245B0">
      <w:pPr>
        <w:pStyle w:val="a0"/>
      </w:pPr>
      <w:r w:rsidRPr="001A3D2B">
        <w:t xml:space="preserve">Full Text: </w:t>
      </w:r>
      <w:hyperlink r:id="rId1377" w:history="1">
        <w:r w:rsidRPr="001A3D2B">
          <w:rPr>
            <w:rStyle w:val="a5"/>
          </w:rPr>
          <w:t>1989\Inf Pro Man25, 315.pdf</w:t>
        </w:r>
      </w:hyperlink>
    </w:p>
    <w:p w:rsidR="00C245B0" w:rsidRPr="001A3D2B" w:rsidRDefault="00C245B0" w:rsidP="00C245B0">
      <w:pPr>
        <w:pStyle w:val="a0"/>
      </w:pPr>
      <w:r w:rsidRPr="001A3D2B">
        <w:t>Abstract: It is shown that in most practical cases Salton</w:t>
      </w:r>
      <w:r w:rsidR="000352E7">
        <w:t>’</w:t>
      </w:r>
      <w:r w:rsidRPr="001A3D2B">
        <w:t>s cosine formula yields a numerical value that is twice Jaccard</w:t>
      </w:r>
      <w:r w:rsidR="000352E7">
        <w:t>’</w:t>
      </w:r>
      <w:r w:rsidRPr="001A3D2B">
        <w:t>s index.</w:t>
      </w:r>
    </w:p>
    <w:p w:rsidR="00E31452" w:rsidRDefault="00E31452" w:rsidP="00E31452">
      <w:pPr>
        <w:pStyle w:val="a0"/>
      </w:pPr>
      <w:r>
        <w:rPr>
          <w:rFonts w:hint="eastAsia"/>
        </w:rPr>
        <w:t>Notes: MModel</w:t>
      </w:r>
    </w:p>
    <w:p w:rsidR="00C245B0" w:rsidRPr="001A3D2B" w:rsidRDefault="00C245B0" w:rsidP="00C245B0">
      <w:pPr>
        <w:pStyle w:val="a0"/>
      </w:pPr>
      <w:r w:rsidRPr="001A3D2B">
        <w:t>Chen, Y.S. (1989), Analysis of Lotka</w:t>
      </w:r>
      <w:r w:rsidR="000352E7">
        <w:t>’</w:t>
      </w:r>
      <w:r w:rsidRPr="001A3D2B">
        <w:t xml:space="preserve">s law: The Simon-Yule approach. </w:t>
      </w:r>
      <w:r w:rsidRPr="001A3D2B">
        <w:rPr>
          <w:i/>
          <w:iCs/>
        </w:rPr>
        <w:t>Information Processing &amp; Management</w:t>
      </w:r>
      <w:r w:rsidRPr="001A3D2B">
        <w:t xml:space="preserve">, </w:t>
      </w:r>
      <w:r w:rsidRPr="001A3D2B">
        <w:rPr>
          <w:b/>
        </w:rPr>
        <w:t>25</w:t>
      </w:r>
      <w:r w:rsidRPr="001A3D2B">
        <w:t xml:space="preserve"> (5), 527-544.</w:t>
      </w:r>
    </w:p>
    <w:p w:rsidR="00C245B0" w:rsidRPr="001A3D2B" w:rsidRDefault="00C245B0" w:rsidP="00C245B0">
      <w:pPr>
        <w:pStyle w:val="a0"/>
      </w:pPr>
      <w:r w:rsidRPr="001A3D2B">
        <w:t xml:space="preserve">Full Text: </w:t>
      </w:r>
      <w:hyperlink r:id="rId1378" w:history="1">
        <w:r w:rsidRPr="001A3D2B">
          <w:rPr>
            <w:rStyle w:val="a5"/>
          </w:rPr>
          <w:t>1989\Inf Pro Man25, 527.pdf</w:t>
        </w:r>
      </w:hyperlink>
    </w:p>
    <w:p w:rsidR="00B95188" w:rsidRPr="00A428C3" w:rsidRDefault="00B95188" w:rsidP="00B95188">
      <w:pPr>
        <w:pStyle w:val="a0"/>
      </w:pPr>
      <w:r w:rsidRPr="00A428C3">
        <w:t>Abstract: A major difficulty in using the well-known Lotka</w:t>
      </w:r>
      <w:r w:rsidR="000352E7">
        <w:t>’</w:t>
      </w:r>
      <w:r w:rsidRPr="00A428C3">
        <w:t>s law in information science is in the estimation of parameters. In this paper, we argue that the difficulty arises from the misuse of goodness-of-fit tests. As an alternative, we adopt Simon</w:t>
      </w:r>
      <w:r w:rsidR="000352E7">
        <w:t>’</w:t>
      </w:r>
      <w:r w:rsidRPr="00A428C3">
        <w:t>s five-step modeling process for the study of Lotka</w:t>
      </w:r>
      <w:r w:rsidR="000352E7">
        <w:t>’</w:t>
      </w:r>
      <w:r w:rsidRPr="00A428C3">
        <w:t>s law. Three significant contributions can be identified. First, an index approach is used to identify a general formulation of Lotka</w:t>
      </w:r>
      <w:r w:rsidR="000352E7">
        <w:t>’</w:t>
      </w:r>
      <w:r w:rsidRPr="00A428C3">
        <w:t>s law. Second, a time series approach is used to identify two influential variables associated with the empirical data. Third, the constructive mechanism proposed by Simon is used to derive a distribution resembling the general formulation of Lotka</w:t>
      </w:r>
      <w:r w:rsidR="000352E7">
        <w:t>’</w:t>
      </w:r>
      <w:r w:rsidRPr="00A428C3">
        <w:t>s law. Further research on refining the constructive mechanism is suggested.</w:t>
      </w:r>
    </w:p>
    <w:p w:rsidR="00E31452" w:rsidRPr="00217FB1" w:rsidRDefault="00E31452" w:rsidP="00E31452">
      <w:pPr>
        <w:pStyle w:val="a0"/>
      </w:pPr>
      <w:r w:rsidRPr="00217FB1">
        <w:t>Notes: JJournal</w:t>
      </w:r>
    </w:p>
    <w:p w:rsidR="00B95188" w:rsidRPr="00A428C3" w:rsidRDefault="00B95188" w:rsidP="00B95188">
      <w:pPr>
        <w:pStyle w:val="a0"/>
      </w:pPr>
      <w:r w:rsidRPr="00A428C3">
        <w:t>Zmaić, L., Maričić, S.</w:t>
      </w:r>
      <w:r w:rsidR="00F81221">
        <w:t xml:space="preserve"> and </w:t>
      </w:r>
      <w:r w:rsidRPr="00A428C3">
        <w:t xml:space="preserve">Simeon, V. (1989), Visibility of peripheral journals through the Science Citation Index. </w:t>
      </w:r>
      <w:r w:rsidRPr="00A428C3">
        <w:rPr>
          <w:i/>
          <w:iCs/>
        </w:rPr>
        <w:t>Information Processing &amp; Management</w:t>
      </w:r>
      <w:r w:rsidRPr="00A428C3">
        <w:t xml:space="preserve">, </w:t>
      </w:r>
      <w:r w:rsidRPr="00A428C3">
        <w:rPr>
          <w:b/>
        </w:rPr>
        <w:t>25</w:t>
      </w:r>
      <w:r w:rsidRPr="00A428C3">
        <w:t xml:space="preserve"> (6), 713-719.</w:t>
      </w:r>
    </w:p>
    <w:p w:rsidR="00C245B0" w:rsidRPr="001A3D2B" w:rsidRDefault="00C245B0" w:rsidP="00C245B0">
      <w:pPr>
        <w:pStyle w:val="a0"/>
      </w:pPr>
      <w:r w:rsidRPr="001A3D2B">
        <w:t xml:space="preserve">Full Text: </w:t>
      </w:r>
      <w:hyperlink r:id="rId1379" w:history="1">
        <w:r w:rsidRPr="001A3D2B">
          <w:rPr>
            <w:rStyle w:val="a5"/>
          </w:rPr>
          <w:t>1989\Inf Pro Man25, 713.pdf</w:t>
        </w:r>
      </w:hyperlink>
    </w:p>
    <w:p w:rsidR="00B95188" w:rsidRPr="00A428C3" w:rsidRDefault="00B95188" w:rsidP="00B95188">
      <w:pPr>
        <w:pStyle w:val="a0"/>
      </w:pPr>
      <w:r w:rsidRPr="00A428C3">
        <w:lastRenderedPageBreak/>
        <w:t>Abstract: The effect of the inclusion of a journal into the SCI source journals selection on the journal</w:t>
      </w:r>
      <w:r w:rsidR="000352E7">
        <w:t>’</w:t>
      </w:r>
      <w:r w:rsidRPr="00A428C3">
        <w:t xml:space="preserve">s </w:t>
      </w:r>
      <w:r w:rsidR="000352E7">
        <w:t>“</w:t>
      </w:r>
      <w:r w:rsidRPr="00A428C3">
        <w:t>visibility</w:t>
      </w:r>
      <w:r w:rsidR="000352E7">
        <w:t>”</w:t>
      </w:r>
      <w:r w:rsidRPr="00A428C3">
        <w:t xml:space="preserve"> was studied by analyzing the number of independent citations of the articles published in two journals (</w:t>
      </w:r>
      <w:r w:rsidRPr="00A428C3">
        <w:rPr>
          <w:i/>
          <w:iCs/>
        </w:rPr>
        <w:t>Croatica Chemica Acta</w:t>
      </w:r>
      <w:r w:rsidRPr="00A428C3">
        <w:t xml:space="preserve"> (CCA)</w:t>
      </w:r>
      <w:r w:rsidR="00F81221">
        <w:t xml:space="preserve"> and </w:t>
      </w:r>
      <w:r w:rsidRPr="00A428C3">
        <w:rPr>
          <w:i/>
          <w:iCs/>
        </w:rPr>
        <w:t>Roczniki Chemii</w:t>
      </w:r>
      <w:r w:rsidRPr="00A428C3">
        <w:t xml:space="preserve">(RC)) in two periods. The </w:t>
      </w:r>
      <w:r w:rsidR="000352E7">
        <w:t>“</w:t>
      </w:r>
      <w:r w:rsidRPr="00A428C3">
        <w:t xml:space="preserve">echo factor, </w:t>
      </w:r>
      <w:r w:rsidR="000352E7">
        <w:t>“</w:t>
      </w:r>
      <w:r w:rsidRPr="00A428C3">
        <w:t xml:space="preserve"> i.e. the citation count normalized by the size of CCA</w:t>
      </w:r>
      <w:r w:rsidR="00F81221">
        <w:t xml:space="preserve"> and </w:t>
      </w:r>
      <w:r w:rsidRPr="00A428C3">
        <w:t>RC publication source pools</w:t>
      </w:r>
      <w:r w:rsidR="00F81221">
        <w:t xml:space="preserve"> and </w:t>
      </w:r>
      <w:r w:rsidRPr="00A428C3">
        <w:t>of SCI citing pool, did not show any increase upon the inclusion of either of the two journals into SCI selection: for CCA it even showed a decrease</w:t>
      </w:r>
      <w:r w:rsidR="00F81221">
        <w:t xml:space="preserve"> and </w:t>
      </w:r>
      <w:r w:rsidRPr="00A428C3">
        <w:t>for RC remained essentially constant. A statistically significant increase in the SCI citing pool, that took place around 1976, was also noticed.</w:t>
      </w:r>
    </w:p>
    <w:p w:rsidR="00B95188" w:rsidRPr="00A428C3" w:rsidRDefault="00B95188" w:rsidP="00B95188">
      <w:pPr>
        <w:pStyle w:val="a0"/>
      </w:pPr>
      <w:r w:rsidRPr="00A428C3">
        <w:t xml:space="preserve">Rousseau, R. (1989), Constraint propagation applied to citation analysis: An example. </w:t>
      </w:r>
      <w:r w:rsidRPr="00A428C3">
        <w:rPr>
          <w:i/>
          <w:iCs/>
        </w:rPr>
        <w:t>Information Processing &amp; Management</w:t>
      </w:r>
      <w:r w:rsidRPr="00A428C3">
        <w:t xml:space="preserve">, </w:t>
      </w:r>
      <w:r w:rsidRPr="00A428C3">
        <w:rPr>
          <w:b/>
        </w:rPr>
        <w:t>25</w:t>
      </w:r>
      <w:r w:rsidRPr="00A428C3">
        <w:t xml:space="preserve"> (6), 721-725.</w:t>
      </w:r>
    </w:p>
    <w:p w:rsidR="00C245B0" w:rsidRPr="001A3D2B" w:rsidRDefault="00C245B0" w:rsidP="00C245B0">
      <w:pPr>
        <w:pStyle w:val="a0"/>
      </w:pPr>
      <w:r w:rsidRPr="001A3D2B">
        <w:t xml:space="preserve">Full Text: </w:t>
      </w:r>
      <w:hyperlink r:id="rId1380" w:history="1">
        <w:r w:rsidRPr="001A3D2B">
          <w:rPr>
            <w:rStyle w:val="a5"/>
          </w:rPr>
          <w:t>1989\Inf Pro Man25, 721.pdf</w:t>
        </w:r>
      </w:hyperlink>
    </w:p>
    <w:p w:rsidR="00C245B0" w:rsidRPr="001A3D2B" w:rsidRDefault="00C245B0" w:rsidP="00C245B0">
      <w:pPr>
        <w:pStyle w:val="a0"/>
      </w:pPr>
      <w:r w:rsidRPr="001A3D2B">
        <w:t xml:space="preserve">Abstract: A simple numeric constraint-propagation technique is applied to impact factors of scientific </w:t>
      </w:r>
      <w:r w:rsidRPr="001A3D2B">
        <w:rPr>
          <w:bCs/>
        </w:rPr>
        <w:t>journals.</w:t>
      </w:r>
      <w:r w:rsidRPr="001A3D2B">
        <w:t xml:space="preserve"> This eliminates part of the irregular behavior of this </w:t>
      </w:r>
      <w:r w:rsidRPr="001A3D2B">
        <w:rPr>
          <w:bCs/>
        </w:rPr>
        <w:t>bibliometric</w:t>
      </w:r>
      <w:r w:rsidRPr="001A3D2B">
        <w:t xml:space="preserve"> measure.</w:t>
      </w:r>
    </w:p>
    <w:p w:rsidR="00C245B0" w:rsidRPr="001A3D2B" w:rsidRDefault="00C245B0" w:rsidP="00C245B0">
      <w:pPr>
        <w:pStyle w:val="a0"/>
      </w:pPr>
      <w:r w:rsidRPr="001A3D2B">
        <w:t>Qiu.L.W. (1990), An empirical examination of the existing models for Bradford</w:t>
      </w:r>
      <w:r w:rsidR="000352E7">
        <w:t>’</w:t>
      </w:r>
      <w:r w:rsidRPr="001A3D2B">
        <w:t xml:space="preserve">s law. </w:t>
      </w:r>
      <w:r w:rsidRPr="001A3D2B">
        <w:rPr>
          <w:i/>
          <w:iCs/>
        </w:rPr>
        <w:t>Information Processing &amp; Management</w:t>
      </w:r>
      <w:r w:rsidRPr="001A3D2B">
        <w:t xml:space="preserve">, </w:t>
      </w:r>
      <w:r w:rsidRPr="001A3D2B">
        <w:rPr>
          <w:b/>
          <w:bCs/>
        </w:rPr>
        <w:t>26</w:t>
      </w:r>
      <w:r w:rsidRPr="001A3D2B">
        <w:t xml:space="preserve"> (5), 655-672.</w:t>
      </w:r>
    </w:p>
    <w:p w:rsidR="00C245B0" w:rsidRPr="001A3D2B" w:rsidRDefault="00C245B0" w:rsidP="00C245B0">
      <w:pPr>
        <w:pStyle w:val="a0"/>
      </w:pPr>
      <w:r w:rsidRPr="001A3D2B">
        <w:t xml:space="preserve">Full Text: </w:t>
      </w:r>
      <w:hyperlink r:id="rId1381" w:history="1">
        <w:r w:rsidRPr="001A3D2B">
          <w:rPr>
            <w:rStyle w:val="a5"/>
          </w:rPr>
          <w:t>1990\Inf Pro Man26, 655.pdf</w:t>
        </w:r>
      </w:hyperlink>
    </w:p>
    <w:p w:rsidR="00B95188" w:rsidRPr="00A428C3" w:rsidRDefault="00B95188" w:rsidP="00B95188">
      <w:pPr>
        <w:pStyle w:val="a0"/>
      </w:pPr>
      <w:r w:rsidRPr="00A428C3">
        <w:t>Abstract: All the existing models for Bradford</w:t>
      </w:r>
      <w:r w:rsidR="000352E7">
        <w:t>’</w:t>
      </w:r>
      <w:r w:rsidRPr="00A428C3">
        <w:t>s law were summarized</w:t>
      </w:r>
      <w:r w:rsidR="00F81221">
        <w:t xml:space="preserve"> and </w:t>
      </w:r>
      <w:r w:rsidRPr="00A428C3">
        <w:t>classified into different categories (e.g., rank-frequency cumulative, rank-frequency noncumulative, size-frequency,</w:t>
      </w:r>
      <w:r w:rsidR="00F81221">
        <w:t xml:space="preserve"> and </w:t>
      </w:r>
      <w:r w:rsidRPr="00A428C3">
        <w:t>other forms). The relationships between some models were established by mathematical deduction. Nineteen data sets were used to estimate the parameters of the models</w:t>
      </w:r>
      <w:r w:rsidR="00F81221">
        <w:t xml:space="preserve"> and </w:t>
      </w:r>
      <w:r w:rsidRPr="00A428C3">
        <w:t>then goodness of fit tests were conducted to identify empirically the model in each category which can best describe the phenomenon of journal productivity.</w:t>
      </w:r>
    </w:p>
    <w:p w:rsidR="00B95188" w:rsidRPr="00A428C3" w:rsidRDefault="00B95188" w:rsidP="00B95188">
      <w:pPr>
        <w:pStyle w:val="a0"/>
      </w:pPr>
      <w:r w:rsidRPr="00A428C3">
        <w:t>Todorov, R.</w:t>
      </w:r>
      <w:r w:rsidR="00F81221">
        <w:t xml:space="preserve"> and </w:t>
      </w:r>
      <w:r w:rsidRPr="00A428C3">
        <w:t xml:space="preserve">Glaenzel, W. (1990), Computer bibliometrics for journal classification. </w:t>
      </w:r>
      <w:r w:rsidRPr="00A428C3">
        <w:rPr>
          <w:i/>
          <w:iCs/>
        </w:rPr>
        <w:t>Information Processing &amp; Management</w:t>
      </w:r>
      <w:r w:rsidRPr="00A428C3">
        <w:t xml:space="preserve">, </w:t>
      </w:r>
      <w:r w:rsidRPr="00A428C3">
        <w:rPr>
          <w:b/>
        </w:rPr>
        <w:t>26</w:t>
      </w:r>
      <w:r w:rsidRPr="00A428C3">
        <w:t xml:space="preserve"> (5), 673-680.</w:t>
      </w:r>
    </w:p>
    <w:p w:rsidR="00C245B0" w:rsidRPr="001A3D2B" w:rsidRDefault="00C245B0" w:rsidP="00C245B0">
      <w:pPr>
        <w:pStyle w:val="a0"/>
      </w:pPr>
      <w:r w:rsidRPr="001A3D2B">
        <w:t xml:space="preserve">Full Text: </w:t>
      </w:r>
      <w:hyperlink r:id="rId1382" w:history="1">
        <w:r w:rsidRPr="001A3D2B">
          <w:rPr>
            <w:rStyle w:val="a5"/>
          </w:rPr>
          <w:t>1990\Inf Pro Man26, 673.pdf</w:t>
        </w:r>
      </w:hyperlink>
    </w:p>
    <w:p w:rsidR="00B95188" w:rsidRPr="00A428C3" w:rsidRDefault="00B95188" w:rsidP="00B95188">
      <w:pPr>
        <w:pStyle w:val="a0"/>
      </w:pPr>
      <w:r w:rsidRPr="00A428C3">
        <w:t>Abstract: Data on article distributions over journal titles</w:t>
      </w:r>
      <w:r w:rsidR="00F81221">
        <w:t xml:space="preserve"> and </w:t>
      </w:r>
      <w:r w:rsidRPr="00A428C3">
        <w:t>subject subdivisions of a selected field could be extracted (on- or offline) from every bibliographic file including a classification scheme. On the basis of such data, journals could be subdivided into specialized, average, or general using an appropriate measure of dispersion (or concentration). To this end, Pratt</w:t>
      </w:r>
      <w:r w:rsidR="000352E7">
        <w:t>’</w:t>
      </w:r>
      <w:r w:rsidRPr="00A428C3">
        <w:t xml:space="preserve">s absolute measure of dispersion </w:t>
      </w:r>
      <w:r w:rsidRPr="00A428C3">
        <w:rPr>
          <w:i/>
          <w:iCs/>
        </w:rPr>
        <w:t>q</w:t>
      </w:r>
      <w:r w:rsidRPr="00A428C3">
        <w:t xml:space="preserve"> = </w:t>
      </w:r>
      <w:r w:rsidRPr="00A428C3">
        <w:sym w:font="Symbol" w:char="F073"/>
      </w:r>
      <w:r w:rsidRPr="00A428C3">
        <w:rPr>
          <w:vertAlign w:val="superscript"/>
        </w:rPr>
        <w:t>r</w:t>
      </w:r>
      <w:r w:rsidRPr="00A428C3">
        <w:t xml:space="preserve">* </w:t>
      </w:r>
      <w:r w:rsidRPr="00A428C3">
        <w:rPr>
          <w:i/>
          <w:iCs/>
        </w:rPr>
        <w:t>F</w:t>
      </w:r>
      <w:r w:rsidRPr="00A428C3">
        <w:rPr>
          <w:vertAlign w:val="subscript"/>
        </w:rPr>
        <w:t>r</w:t>
      </w:r>
      <w:r w:rsidRPr="00A428C3">
        <w:t xml:space="preserve">, is suggested, where the </w:t>
      </w:r>
      <w:r w:rsidRPr="00A428C3">
        <w:rPr>
          <w:i/>
          <w:iCs/>
        </w:rPr>
        <w:t>F</w:t>
      </w:r>
      <w:r w:rsidRPr="00A428C3">
        <w:rPr>
          <w:vertAlign w:val="subscript"/>
        </w:rPr>
        <w:t>r</w:t>
      </w:r>
      <w:r w:rsidRPr="00A428C3">
        <w:t xml:space="preserve">, represent the relative frequencies (in descending order) of articles from a given journal in the unidentified subject subdivisions with rank </w:t>
      </w:r>
      <w:r w:rsidRPr="00A428C3">
        <w:rPr>
          <w:i/>
          <w:iCs/>
        </w:rPr>
        <w:t>r</w:t>
      </w:r>
      <w:r w:rsidRPr="00A428C3">
        <w:t xml:space="preserve"> = 1, 2, ..., </w:t>
      </w:r>
      <w:r w:rsidRPr="00A428C3">
        <w:rPr>
          <w:i/>
          <w:iCs/>
        </w:rPr>
        <w:t>n</w:t>
      </w:r>
      <w:r w:rsidRPr="00A428C3">
        <w:t>. In order to separate specialized</w:t>
      </w:r>
      <w:r w:rsidR="00F81221">
        <w:t xml:space="preserve"> and </w:t>
      </w:r>
      <w:r w:rsidRPr="00A428C3">
        <w:t xml:space="preserve">general journals from average ones, it is assumed that each empirical </w:t>
      </w:r>
      <w:r w:rsidRPr="00A428C3">
        <w:rPr>
          <w:i/>
          <w:iCs/>
        </w:rPr>
        <w:t>q</w:t>
      </w:r>
      <w:r w:rsidRPr="00A428C3">
        <w:t xml:space="preserve">-value has a </w:t>
      </w:r>
      <w:r w:rsidR="000352E7">
        <w:t>‘</w:t>
      </w:r>
      <w:r w:rsidRPr="00A428C3">
        <w:t>random</w:t>
      </w:r>
      <w:r w:rsidR="000352E7">
        <w:t>’</w:t>
      </w:r>
      <w:r w:rsidRPr="00A428C3">
        <w:t xml:space="preserve"> deviation </w:t>
      </w:r>
      <w:r w:rsidRPr="00A428C3">
        <w:rPr>
          <w:i/>
          <w:iCs/>
        </w:rPr>
        <w:t>d</w:t>
      </w:r>
      <w:r w:rsidRPr="00A428C3">
        <w:t xml:space="preserve">. A w-statistic is introduced to test whether the </w:t>
      </w:r>
      <w:r w:rsidRPr="00A428C3">
        <w:rPr>
          <w:i/>
          <w:iCs/>
        </w:rPr>
        <w:t>q</w:t>
      </w:r>
      <w:r w:rsidRPr="00A428C3">
        <w:t xml:space="preserve">-values differ significantly from the average </w:t>
      </w:r>
      <w:r w:rsidRPr="00A428C3">
        <w:rPr>
          <w:i/>
          <w:iCs/>
        </w:rPr>
        <w:t>q</w:t>
      </w:r>
      <w:r w:rsidRPr="00A428C3">
        <w:rPr>
          <w:vertAlign w:val="subscript"/>
        </w:rPr>
        <w:t>av</w:t>
      </w:r>
      <w:r w:rsidRPr="00A428C3">
        <w:t xml:space="preserve"> on a specified confidence level, where </w:t>
      </w:r>
      <w:r w:rsidRPr="00A428C3">
        <w:rPr>
          <w:i/>
          <w:iCs/>
        </w:rPr>
        <w:t>w</w:t>
      </w:r>
      <w:r w:rsidRPr="00A428C3">
        <w:t xml:space="preserve"> = (</w:t>
      </w:r>
      <w:r w:rsidRPr="00A428C3">
        <w:rPr>
          <w:i/>
          <w:iCs/>
        </w:rPr>
        <w:t>q</w:t>
      </w:r>
      <w:r w:rsidRPr="00A428C3">
        <w:t xml:space="preserve"> –– </w:t>
      </w:r>
      <w:r w:rsidRPr="00A428C3">
        <w:rPr>
          <w:i/>
          <w:iCs/>
        </w:rPr>
        <w:t>q</w:t>
      </w:r>
      <w:r w:rsidRPr="00A428C3">
        <w:rPr>
          <w:i/>
          <w:iCs/>
          <w:vertAlign w:val="subscript"/>
        </w:rPr>
        <w:t>av</w:t>
      </w:r>
      <w:r w:rsidRPr="00A428C3">
        <w:t>)/</w:t>
      </w:r>
      <w:r w:rsidRPr="00A428C3">
        <w:rPr>
          <w:i/>
          <w:iCs/>
        </w:rPr>
        <w:t>d</w:t>
      </w:r>
      <w:r w:rsidRPr="00A428C3">
        <w:t xml:space="preserve">. In addition, a </w:t>
      </w:r>
      <w:r w:rsidRPr="00A428C3">
        <w:lastRenderedPageBreak/>
        <w:t xml:space="preserve">subject relative measure of dispersion </w:t>
      </w:r>
      <w:r w:rsidRPr="00A428C3">
        <w:rPr>
          <w:i/>
          <w:iCs/>
        </w:rPr>
        <w:t>Q</w:t>
      </w:r>
      <w:r w:rsidRPr="00A428C3">
        <w:t xml:space="preserve"> is used to determine which subdivisions are favored by which journals. Another </w:t>
      </w:r>
      <w:r w:rsidRPr="00A428C3">
        <w:rPr>
          <w:i/>
          <w:iCs/>
        </w:rPr>
        <w:t>w</w:t>
      </w:r>
      <w:r w:rsidRPr="00A428C3">
        <w:t xml:space="preserve">-statistic is proposed to test whether the </w:t>
      </w:r>
      <w:r w:rsidRPr="00A428C3">
        <w:rPr>
          <w:i/>
          <w:iCs/>
        </w:rPr>
        <w:t>Q</w:t>
      </w:r>
      <w:r w:rsidRPr="00A428C3">
        <w:t xml:space="preserve">-values differ significantly from </w:t>
      </w:r>
      <w:r w:rsidRPr="00A428C3">
        <w:rPr>
          <w:i/>
          <w:iCs/>
        </w:rPr>
        <w:t>Q</w:t>
      </w:r>
      <w:r w:rsidRPr="00A428C3">
        <w:rPr>
          <w:vertAlign w:val="subscript"/>
        </w:rPr>
        <w:t>s</w:t>
      </w:r>
      <w:r w:rsidRPr="00A428C3">
        <w:t xml:space="preserve"> (absolute measure of dispersion of the subject distribution). This bibliometric technique is applied to data from the 1984 INSPEC file. The results could help library staff</w:t>
      </w:r>
      <w:r w:rsidR="00F81221">
        <w:t xml:space="preserve"> and </w:t>
      </w:r>
      <w:r w:rsidRPr="00A428C3">
        <w:t>information scientists in classifying journals according to the two measures of article dispersion over subject subdivisions.</w:t>
      </w:r>
    </w:p>
    <w:p w:rsidR="00E31452" w:rsidRDefault="00E31452" w:rsidP="00E31452">
      <w:pPr>
        <w:pStyle w:val="a0"/>
      </w:pPr>
      <w:r>
        <w:rPr>
          <w:rFonts w:hint="eastAsia"/>
        </w:rPr>
        <w:t>Notes: MModel</w:t>
      </w:r>
    </w:p>
    <w:p w:rsidR="00B95188" w:rsidRPr="00A428C3" w:rsidRDefault="00B95188" w:rsidP="00B95188">
      <w:pPr>
        <w:pStyle w:val="a0"/>
      </w:pPr>
      <w:r w:rsidRPr="00A428C3">
        <w:t>Kinnucan, M.T.</w:t>
      </w:r>
      <w:r w:rsidR="00F81221">
        <w:t xml:space="preserve"> and </w:t>
      </w:r>
      <w:r w:rsidRPr="00A428C3">
        <w:t xml:space="preserve">Wolfram, D. (1990), Direct comparison of bibliometric models. </w:t>
      </w:r>
      <w:r w:rsidRPr="00A428C3">
        <w:rPr>
          <w:i/>
          <w:iCs/>
        </w:rPr>
        <w:t>Information Processing &amp; Management</w:t>
      </w:r>
      <w:r w:rsidRPr="00A428C3">
        <w:t xml:space="preserve">, </w:t>
      </w:r>
      <w:r w:rsidRPr="00A428C3">
        <w:rPr>
          <w:b/>
        </w:rPr>
        <w:t>26</w:t>
      </w:r>
      <w:r w:rsidRPr="00A428C3">
        <w:t xml:space="preserve"> (6), 777-790.</w:t>
      </w:r>
    </w:p>
    <w:p w:rsidR="00C245B0" w:rsidRPr="001A3D2B" w:rsidRDefault="00C245B0" w:rsidP="00C245B0">
      <w:pPr>
        <w:pStyle w:val="a0"/>
      </w:pPr>
      <w:r w:rsidRPr="001A3D2B">
        <w:t xml:space="preserve">Full Text: </w:t>
      </w:r>
      <w:hyperlink r:id="rId1383" w:history="1">
        <w:r w:rsidRPr="001A3D2B">
          <w:rPr>
            <w:rStyle w:val="a5"/>
          </w:rPr>
          <w:t>1990\Inf Pro Man26, 777.pdf</w:t>
        </w:r>
      </w:hyperlink>
    </w:p>
    <w:p w:rsidR="00B95188" w:rsidRPr="00A428C3" w:rsidRDefault="00B95188" w:rsidP="00B95188">
      <w:pPr>
        <w:pStyle w:val="a0"/>
      </w:pPr>
      <w:r w:rsidRPr="00A428C3">
        <w:t>Abstract: This study describes a technique for statistically comparing bibliometric models,</w:t>
      </w:r>
      <w:r w:rsidR="00F81221">
        <w:t xml:space="preserve"> and </w:t>
      </w:r>
      <w:r w:rsidRPr="00A428C3">
        <w:t>illustrates its use with three different examples. The technique is based on the idea of comparing full</w:t>
      </w:r>
      <w:r w:rsidR="00F81221">
        <w:t xml:space="preserve"> and </w:t>
      </w:r>
      <w:r w:rsidRPr="00A428C3">
        <w:t>restricted models as developed in analysis of variance, regression,</w:t>
      </w:r>
      <w:r w:rsidR="00F81221">
        <w:t xml:space="preserve"> and </w:t>
      </w:r>
      <w:r w:rsidRPr="00A428C3">
        <w:t>log-linear models. In bibliometrics, any two models where one is a special case of the other can be thought of as a full model</w:t>
      </w:r>
      <w:r w:rsidR="00F81221">
        <w:t xml:space="preserve"> and </w:t>
      </w:r>
      <w:r w:rsidRPr="00A428C3">
        <w:t>a restricted model. One can use the likelihood-ratio chi-square statistic, which has gained acceptance with log-linear models, as a test statistic to directly compare the full model</w:t>
      </w:r>
      <w:r w:rsidR="00F81221">
        <w:t xml:space="preserve"> and </w:t>
      </w:r>
      <w:r w:rsidRPr="00A428C3">
        <w:t>the restricted model. The first two examples involved Lotka</w:t>
      </w:r>
      <w:r w:rsidR="000352E7">
        <w:t>’</w:t>
      </w:r>
      <w:r w:rsidRPr="00A428C3">
        <w:t>s law. In the first example we investigated the feasibility of applying a single set of global parameter values to eight different author productivity distributions drawn from two different disciplines. In the second example we looked at whether or not a finite maximum productivity level was necessary as an additional parameter in Lotka-type models of author productivity. The final example compared three different forms of a model of library circulation frequencies.</w:t>
      </w:r>
    </w:p>
    <w:p w:rsidR="006F0227" w:rsidRDefault="006F0227" w:rsidP="006F0227">
      <w:pPr>
        <w:pStyle w:val="a0"/>
      </w:pPr>
      <w:r>
        <w:rPr>
          <w:rFonts w:hint="eastAsia"/>
        </w:rPr>
        <w:t>Notes: MModel</w:t>
      </w:r>
    </w:p>
    <w:p w:rsidR="00B95188" w:rsidRPr="00A428C3" w:rsidRDefault="00B95188" w:rsidP="00B95188">
      <w:pPr>
        <w:pStyle w:val="a0"/>
      </w:pPr>
      <w:r w:rsidRPr="00A428C3">
        <w:t>Nath, R.</w:t>
      </w:r>
      <w:r w:rsidR="00F81221">
        <w:t xml:space="preserve"> and </w:t>
      </w:r>
      <w:r w:rsidRPr="00A428C3">
        <w:t>Jackson, W.M. (1991), Productivity of management information systems researchers: Does Lotka</w:t>
      </w:r>
      <w:r w:rsidR="000352E7">
        <w:t>’</w:t>
      </w:r>
      <w:r w:rsidRPr="00A428C3">
        <w:t xml:space="preserve">s law apply? </w:t>
      </w:r>
      <w:r w:rsidRPr="00A428C3">
        <w:rPr>
          <w:i/>
          <w:iCs/>
        </w:rPr>
        <w:t>Information Processing &amp; Management</w:t>
      </w:r>
      <w:r w:rsidRPr="00A428C3">
        <w:t xml:space="preserve">, </w:t>
      </w:r>
      <w:r w:rsidRPr="00A428C3">
        <w:rPr>
          <w:b/>
        </w:rPr>
        <w:t>27</w:t>
      </w:r>
      <w:r w:rsidRPr="00A428C3">
        <w:t xml:space="preserve"> (2-3), 203-209.</w:t>
      </w:r>
    </w:p>
    <w:p w:rsidR="00C245B0" w:rsidRPr="001A3D2B" w:rsidRDefault="00C245B0" w:rsidP="00C245B0">
      <w:pPr>
        <w:pStyle w:val="a0"/>
      </w:pPr>
      <w:r w:rsidRPr="001A3D2B">
        <w:t xml:space="preserve">Full Text: </w:t>
      </w:r>
      <w:hyperlink r:id="rId1384" w:history="1">
        <w:r w:rsidRPr="001A3D2B">
          <w:rPr>
            <w:rStyle w:val="a5"/>
          </w:rPr>
          <w:t>1991\Inf Pro Man27, 203.pdf</w:t>
        </w:r>
      </w:hyperlink>
    </w:p>
    <w:p w:rsidR="00B95188" w:rsidRPr="00A428C3" w:rsidRDefault="00B95188" w:rsidP="00B95188">
      <w:pPr>
        <w:pStyle w:val="a0"/>
      </w:pPr>
      <w:r w:rsidRPr="00A428C3">
        <w:t>Abstract: By examining 899 Management Information Systems (MIS) research articles published in ten journals between 1975</w:t>
      </w:r>
      <w:r w:rsidR="00F81221">
        <w:t xml:space="preserve"> and </w:t>
      </w:r>
      <w:r w:rsidRPr="00A428C3">
        <w:t>1987, it is shown that while Lotka</w:t>
      </w:r>
      <w:r w:rsidR="000352E7">
        <w:t>’</w:t>
      </w:r>
      <w:r w:rsidRPr="00A428C3">
        <w:t>s inversesquare law relating the number of authors of papers to the number of papers written by each author does not apply, a generalized version of Lotka</w:t>
      </w:r>
      <w:r w:rsidR="000352E7">
        <w:t>’</w:t>
      </w:r>
      <w:r w:rsidRPr="00A428C3">
        <w:t>s law referred to as the inverse-power law fits remarkably well.</w:t>
      </w:r>
    </w:p>
    <w:p w:rsidR="00B95188" w:rsidRPr="00A428C3" w:rsidRDefault="00B95188" w:rsidP="00B95188">
      <w:pPr>
        <w:pStyle w:val="a0"/>
      </w:pPr>
      <w:r w:rsidRPr="00A428C3">
        <w:t>Keywords: Co-Citation Analysis, MIS, Science, Scientific Productivity</w:t>
      </w:r>
    </w:p>
    <w:p w:rsidR="00B95188" w:rsidRPr="00A428C3" w:rsidRDefault="00B95188" w:rsidP="00B95188">
      <w:pPr>
        <w:pStyle w:val="a0"/>
      </w:pPr>
      <w:r w:rsidRPr="00A428C3">
        <w:t xml:space="preserve">Tague-Sutcliffe, J. (1992), An introduction to informetrics. </w:t>
      </w:r>
      <w:r w:rsidRPr="00A428C3">
        <w:rPr>
          <w:i/>
          <w:iCs/>
        </w:rPr>
        <w:t>Information Processing &amp; Management</w:t>
      </w:r>
      <w:r w:rsidRPr="00A428C3">
        <w:t xml:space="preserve">, </w:t>
      </w:r>
      <w:r w:rsidRPr="00A428C3">
        <w:rPr>
          <w:b/>
        </w:rPr>
        <w:t>28</w:t>
      </w:r>
      <w:r w:rsidRPr="00A428C3">
        <w:t xml:space="preserve"> (1), 1-3.</w:t>
      </w:r>
    </w:p>
    <w:p w:rsidR="00C245B0" w:rsidRPr="001A3D2B" w:rsidRDefault="00C245B0" w:rsidP="00C245B0">
      <w:pPr>
        <w:pStyle w:val="a0"/>
      </w:pPr>
      <w:r w:rsidRPr="001A3D2B">
        <w:t xml:space="preserve">Full Text: </w:t>
      </w:r>
      <w:hyperlink r:id="rId1385" w:history="1">
        <w:r w:rsidRPr="001A3D2B">
          <w:rPr>
            <w:rStyle w:val="a5"/>
          </w:rPr>
          <w:t>1992\Inf Pro Man28, 1.pdf</w:t>
        </w:r>
      </w:hyperlink>
    </w:p>
    <w:p w:rsidR="00C245B0" w:rsidRPr="001A3D2B" w:rsidRDefault="00C245B0" w:rsidP="00C245B0">
      <w:pPr>
        <w:pStyle w:val="a0"/>
      </w:pPr>
      <w:r w:rsidRPr="001A3D2B">
        <w:lastRenderedPageBreak/>
        <w:t>Abstract: The scope</w:t>
      </w:r>
      <w:r w:rsidR="00F81221">
        <w:t xml:space="preserve"> and </w:t>
      </w:r>
      <w:r w:rsidRPr="001A3D2B">
        <w:t>significance of the field of informetrics is defined</w:t>
      </w:r>
      <w:r w:rsidR="00F81221">
        <w:t xml:space="preserve"> and </w:t>
      </w:r>
      <w:r w:rsidRPr="001A3D2B">
        <w:t>related to the earlier fields of bibliometrics</w:t>
      </w:r>
      <w:r w:rsidR="00F81221">
        <w:t xml:space="preserve"> and </w:t>
      </w:r>
      <w:r w:rsidRPr="001A3D2B">
        <w:t>scientometrics. The phenomena studied by informetricians are identified. The major contributors to the field in the past are described</w:t>
      </w:r>
      <w:r w:rsidR="00F81221">
        <w:t xml:space="preserve"> and </w:t>
      </w:r>
      <w:r w:rsidRPr="001A3D2B">
        <w:t>current emphases are related to the contributions in this Special Issue.</w:t>
      </w:r>
    </w:p>
    <w:p w:rsidR="00C245B0" w:rsidRPr="001A3D2B" w:rsidRDefault="00C245B0" w:rsidP="00C245B0">
      <w:pPr>
        <w:pStyle w:val="a0"/>
      </w:pPr>
      <w:r>
        <w:rPr>
          <w:rFonts w:hint="eastAsia"/>
        </w:rPr>
        <w:t xml:space="preserve">? </w:t>
      </w:r>
      <w:r w:rsidRPr="001A3D2B">
        <w:t xml:space="preserve">Sichel, H.S. (1992), Anatomy of the generalized inverse Gaussian-poisson distribution with special applications to bibliometric studies. </w:t>
      </w:r>
      <w:r w:rsidRPr="001A3D2B">
        <w:rPr>
          <w:i/>
          <w:iCs/>
        </w:rPr>
        <w:t>Information Processing &amp; Management</w:t>
      </w:r>
      <w:r w:rsidRPr="001A3D2B">
        <w:t xml:space="preserve">, </w:t>
      </w:r>
      <w:r w:rsidRPr="001A3D2B">
        <w:rPr>
          <w:b/>
          <w:bCs/>
        </w:rPr>
        <w:t>28</w:t>
      </w:r>
      <w:r w:rsidRPr="001A3D2B">
        <w:t xml:space="preserve"> (1), 5-17.</w:t>
      </w:r>
    </w:p>
    <w:p w:rsidR="00C245B0" w:rsidRPr="001A3D2B" w:rsidRDefault="00C245B0" w:rsidP="00C245B0">
      <w:pPr>
        <w:pStyle w:val="a0"/>
      </w:pPr>
      <w:r w:rsidRPr="001A3D2B">
        <w:t xml:space="preserve">Full Text: </w:t>
      </w:r>
      <w:hyperlink r:id="rId1386" w:history="1">
        <w:r w:rsidRPr="001A3D2B">
          <w:rPr>
            <w:rStyle w:val="a5"/>
          </w:rPr>
          <w:t>1992\Inf Pro Man28, 5.pdf</w:t>
        </w:r>
      </w:hyperlink>
    </w:p>
    <w:p w:rsidR="00B95188" w:rsidRPr="00A428C3" w:rsidRDefault="00B95188" w:rsidP="00B95188">
      <w:pPr>
        <w:pStyle w:val="a0"/>
      </w:pPr>
      <w:r w:rsidRPr="00A428C3">
        <w:t>Abstract: The vast number of observed bibliometric</w:t>
      </w:r>
      <w:r w:rsidR="00F81221">
        <w:t xml:space="preserve"> and </w:t>
      </w:r>
      <w:r w:rsidRPr="00A428C3">
        <w:t>scientometric datasets display a definite downward deviation from a straight line in the upper tail, when plotted in a double logarithmic coordinate grid. For this reason customary theoretical distribution laws are very poor representations of the observed phenomena. This disadvantage also extends to recently suggested models such as the Yule, the two-</w:t>
      </w:r>
      <w:r w:rsidR="00F81221">
        <w:t xml:space="preserve"> and </w:t>
      </w:r>
      <w:r w:rsidRPr="00A428C3">
        <w:t>the three-parameter Waring distributions. The main types of the GIGP distribution are described</w:t>
      </w:r>
      <w:r w:rsidR="00F81221">
        <w:t xml:space="preserve"> and </w:t>
      </w:r>
      <w:r w:rsidRPr="00A428C3">
        <w:t>two important limiting cases are discussed. The constrained minimum x2 method is developed for the estimation of the three parameters α, b,</w:t>
      </w:r>
      <w:r w:rsidR="00F81221">
        <w:t xml:space="preserve"> and </w:t>
      </w:r>
      <w:r w:rsidRPr="00A428C3">
        <w:t>γ. Finally it is argued that the Kolmogorov-Smirnov goodness-of-fit test is not applicable in the field of bibliometrics.</w:t>
      </w:r>
    </w:p>
    <w:p w:rsidR="00B95188" w:rsidRPr="00A428C3" w:rsidRDefault="00B95188" w:rsidP="00B95188">
      <w:pPr>
        <w:pStyle w:val="a0"/>
      </w:pPr>
      <w:r w:rsidRPr="00A428C3">
        <w:t>Burrell, Q.L. (1992), The Gini Index</w:t>
      </w:r>
      <w:r w:rsidR="00F81221">
        <w:t xml:space="preserve"> and </w:t>
      </w:r>
      <w:r w:rsidRPr="00A428C3">
        <w:t xml:space="preserve">the Leimkuhler Curve for Bibliometric Processes. </w:t>
      </w:r>
      <w:r w:rsidRPr="00A428C3">
        <w:rPr>
          <w:i/>
          <w:iCs/>
        </w:rPr>
        <w:t>Information Processing &amp; Management</w:t>
      </w:r>
      <w:r w:rsidRPr="00A428C3">
        <w:t xml:space="preserve">, </w:t>
      </w:r>
      <w:r w:rsidRPr="00A428C3">
        <w:rPr>
          <w:b/>
        </w:rPr>
        <w:t>28</w:t>
      </w:r>
      <w:r w:rsidRPr="00A428C3">
        <w:t xml:space="preserve"> (1), 19-33.</w:t>
      </w:r>
    </w:p>
    <w:p w:rsidR="00C245B0" w:rsidRPr="001A3D2B" w:rsidRDefault="00C245B0" w:rsidP="00C245B0">
      <w:pPr>
        <w:pStyle w:val="a0"/>
      </w:pPr>
      <w:r w:rsidRPr="001A3D2B">
        <w:t xml:space="preserve">Full Text: </w:t>
      </w:r>
      <w:hyperlink r:id="rId1387" w:history="1">
        <w:r w:rsidRPr="001A3D2B">
          <w:rPr>
            <w:rStyle w:val="a5"/>
          </w:rPr>
          <w:t>1992\Inf Pro Man28, 19.pdf</w:t>
        </w:r>
      </w:hyperlink>
    </w:p>
    <w:p w:rsidR="00B95188" w:rsidRPr="00A428C3" w:rsidRDefault="00B95188" w:rsidP="00B95188">
      <w:pPr>
        <w:pStyle w:val="a0"/>
      </w:pPr>
      <w:r w:rsidRPr="00A428C3">
        <w:t>Abstract: It has recently been emphasized that the Leimkuhler curve</w:t>
      </w:r>
      <w:r w:rsidR="00F81221">
        <w:t xml:space="preserve"> and </w:t>
      </w:r>
      <w:r w:rsidRPr="00A428C3">
        <w:t>the Gini index are valuable in giving respectively graphical</w:t>
      </w:r>
      <w:r w:rsidR="00F81221">
        <w:t xml:space="preserve"> and </w:t>
      </w:r>
      <w:r w:rsidRPr="00A428C3">
        <w:t>numerical summaries of the concentration of bibliometric distributions. In this paper these tools are further investigated from a probabilistic viewpoint. In particular, the importance of the time parameter</w:t>
      </w:r>
      <w:r w:rsidR="00F81221">
        <w:t xml:space="preserve"> and </w:t>
      </w:r>
      <w:r w:rsidRPr="00A428C3">
        <w:t xml:space="preserve">the special nature of the </w:t>
      </w:r>
      <w:r w:rsidR="000352E7">
        <w:t>“</w:t>
      </w:r>
      <w:r w:rsidRPr="00A428C3">
        <w:t>nonproducers</w:t>
      </w:r>
      <w:r w:rsidR="000352E7">
        <w:t>”</w:t>
      </w:r>
      <w:r w:rsidRPr="00A428C3">
        <w:t xml:space="preserve"> in bibliometric studies are highlighted.</w:t>
      </w:r>
    </w:p>
    <w:p w:rsidR="00B95188" w:rsidRPr="00A428C3" w:rsidRDefault="00B95188" w:rsidP="00B95188">
      <w:pPr>
        <w:pStyle w:val="a0"/>
      </w:pPr>
      <w:r w:rsidRPr="00A428C3">
        <w:t>Keywords: Bibliometric, Distributions, Model, Science</w:t>
      </w:r>
    </w:p>
    <w:p w:rsidR="00B95188" w:rsidRPr="00A428C3" w:rsidRDefault="00B95188" w:rsidP="00B95188">
      <w:pPr>
        <w:pStyle w:val="a0"/>
      </w:pPr>
      <w:r w:rsidRPr="00A428C3">
        <w:t>? Bekavac, A., Petrak, J.</w:t>
      </w:r>
      <w:r w:rsidR="00F81221">
        <w:t xml:space="preserve"> and </w:t>
      </w:r>
      <w:r w:rsidRPr="00A428C3">
        <w:t>Buneta, Z. (1994), Citation behavior</w:t>
      </w:r>
      <w:r w:rsidR="00F81221">
        <w:t xml:space="preserve"> and </w:t>
      </w:r>
      <w:r w:rsidRPr="00A428C3">
        <w:t xml:space="preserve">place of publication in the authors from the scientific periphery: A matter of quality. </w:t>
      </w:r>
      <w:r w:rsidRPr="00A428C3">
        <w:rPr>
          <w:i/>
          <w:iCs/>
        </w:rPr>
        <w:t>Information Processing &amp; Management</w:t>
      </w:r>
      <w:r w:rsidRPr="00A428C3">
        <w:t xml:space="preserve">, </w:t>
      </w:r>
      <w:r w:rsidRPr="00A428C3">
        <w:rPr>
          <w:b/>
        </w:rPr>
        <w:t>30</w:t>
      </w:r>
      <w:r w:rsidRPr="00A428C3">
        <w:t xml:space="preserve"> (1), 33-42.</w:t>
      </w:r>
    </w:p>
    <w:p w:rsidR="00C245B0" w:rsidRPr="001A3D2B" w:rsidRDefault="00C245B0" w:rsidP="00C245B0">
      <w:pPr>
        <w:pStyle w:val="a0"/>
      </w:pPr>
      <w:r w:rsidRPr="001A3D2B">
        <w:t xml:space="preserve">Full Text: </w:t>
      </w:r>
      <w:hyperlink r:id="rId1388" w:history="1">
        <w:r w:rsidRPr="001A3D2B">
          <w:rPr>
            <w:rStyle w:val="a5"/>
          </w:rPr>
          <w:t>1994\Inf Pro Man30, 33.pdf</w:t>
        </w:r>
      </w:hyperlink>
    </w:p>
    <w:p w:rsidR="00B95188" w:rsidRPr="00A428C3" w:rsidRDefault="00B95188" w:rsidP="00B95188">
      <w:pPr>
        <w:pStyle w:val="a0"/>
      </w:pPr>
      <w:r w:rsidRPr="00A428C3">
        <w:t>Abstract: This research examines the communication pattern of a selected group of Croatian scientists in the field of biomedicine related to citing articles published in domestic sources. It studies a possible difference in attitude of Croatian scientists toward domestic</w:t>
      </w:r>
      <w:r w:rsidR="00F81221">
        <w:t xml:space="preserve"> and </w:t>
      </w:r>
      <w:r w:rsidRPr="00A428C3">
        <w:t>international journals. The research included as analysis of references</w:t>
      </w:r>
      <w:r w:rsidR="00F81221">
        <w:t xml:space="preserve"> and </w:t>
      </w:r>
      <w:r w:rsidRPr="00A428C3">
        <w:t>a survey of authors. Using 1988</w:t>
      </w:r>
      <w:r w:rsidR="00F81221">
        <w:t xml:space="preserve"> and </w:t>
      </w:r>
      <w:r w:rsidRPr="00A428C3">
        <w:t>1989 Science Citation Index on compact disc, as well as a sample of domestic journals</w:t>
      </w:r>
      <w:r w:rsidR="00F81221">
        <w:t xml:space="preserve"> and </w:t>
      </w:r>
      <w:r w:rsidRPr="00A428C3">
        <w:t>domestic journals covered by Science Citation Index, we identified papers by Croatian authors</w:t>
      </w:r>
      <w:r w:rsidR="00F81221">
        <w:t xml:space="preserve"> and </w:t>
      </w:r>
      <w:r w:rsidRPr="00A428C3">
        <w:lastRenderedPageBreak/>
        <w:t>confirmed that the same authors apply different criteria in citing relevant literature, depending on the type (domestic or foreign) of the journal in which they are to publish their paper. Domestic literature is cited four times less often in foreign than in domestic journals, so there is a complete absence of national bias in citing earlier literature by the same authors. The relationship between citation behavior</w:t>
      </w:r>
      <w:r w:rsidR="00F81221">
        <w:t xml:space="preserve"> and </w:t>
      </w:r>
      <w:r w:rsidRPr="00A428C3">
        <w:t>place of publication could be related to the general approach of Croatian biomedical authors to domestic</w:t>
      </w:r>
      <w:r w:rsidR="00F81221">
        <w:t xml:space="preserve"> and </w:t>
      </w:r>
      <w:r w:rsidRPr="00A428C3">
        <w:t>international journals,</w:t>
      </w:r>
      <w:r w:rsidR="00F81221">
        <w:t xml:space="preserve"> and </w:t>
      </w:r>
      <w:r w:rsidRPr="00A428C3">
        <w:t>could be indicative of a poor quality of scientific papers published in domestic journals.</w:t>
      </w:r>
    </w:p>
    <w:p w:rsidR="00B95188" w:rsidRPr="00A428C3" w:rsidRDefault="00B95188" w:rsidP="00B95188">
      <w:pPr>
        <w:pStyle w:val="a0"/>
      </w:pPr>
      <w:r w:rsidRPr="00A428C3">
        <w:t>Keywords: Journals</w:t>
      </w:r>
    </w:p>
    <w:p w:rsidR="006F0227" w:rsidRDefault="006F0227" w:rsidP="006F0227">
      <w:pPr>
        <w:pStyle w:val="a0"/>
        <w:rPr>
          <w:szCs w:val="24"/>
        </w:rPr>
      </w:pPr>
      <w:r>
        <w:rPr>
          <w:rFonts w:hint="eastAsia"/>
          <w:szCs w:val="24"/>
        </w:rPr>
        <w:t>Notes: MModel</w:t>
      </w:r>
    </w:p>
    <w:p w:rsidR="00B95188" w:rsidRPr="00A428C3" w:rsidRDefault="00B95188" w:rsidP="00B95188">
      <w:pPr>
        <w:pStyle w:val="a0"/>
      </w:pPr>
      <w:r w:rsidRPr="00A428C3">
        <w:t xml:space="preserve">Stewart, J.A. (1994), The poisson-lognormal model for bibliometric/scientometric distributions. </w:t>
      </w:r>
      <w:r w:rsidRPr="00A428C3">
        <w:rPr>
          <w:i/>
          <w:iCs/>
        </w:rPr>
        <w:t>Information Processing &amp; Management</w:t>
      </w:r>
      <w:r w:rsidRPr="00A428C3">
        <w:t xml:space="preserve">, </w:t>
      </w:r>
      <w:r w:rsidRPr="00A428C3">
        <w:rPr>
          <w:b/>
        </w:rPr>
        <w:t>30</w:t>
      </w:r>
      <w:r w:rsidRPr="00A428C3">
        <w:t xml:space="preserve"> (2), 239-251.</w:t>
      </w:r>
    </w:p>
    <w:p w:rsidR="00C245B0" w:rsidRPr="001A3D2B" w:rsidRDefault="00C245B0" w:rsidP="00C245B0">
      <w:pPr>
        <w:pStyle w:val="a0"/>
      </w:pPr>
      <w:r w:rsidRPr="001A3D2B">
        <w:t xml:space="preserve">Full Text: </w:t>
      </w:r>
      <w:hyperlink r:id="rId1389" w:history="1">
        <w:r w:rsidRPr="001A3D2B">
          <w:rPr>
            <w:rStyle w:val="a5"/>
          </w:rPr>
          <w:t>1994\Inf Pro Man30, 239.pdf</w:t>
        </w:r>
      </w:hyperlink>
    </w:p>
    <w:p w:rsidR="00B95188" w:rsidRPr="00A428C3" w:rsidRDefault="00B95188" w:rsidP="00B95188">
      <w:pPr>
        <w:pStyle w:val="a0"/>
      </w:pPr>
      <w:r w:rsidRPr="00A428C3">
        <w:t xml:space="preserve">Abstract: The Poisson-lognormal model assumes that the intensity parameter of a Poisson process has a lognormal distribution in a sample of observations. This model can yield highly skewed, discrete distributions, but must be estimated by numerical methods. When applied to many of the empirical data sets related to the </w:t>
      </w:r>
      <w:r w:rsidR="000352E7">
        <w:t>‘</w:t>
      </w:r>
      <w:r w:rsidRPr="00A428C3">
        <w:t>laws</w:t>
      </w:r>
      <w:r w:rsidR="000352E7">
        <w:t>’</w:t>
      </w:r>
      <w:r w:rsidRPr="00A428C3">
        <w:t xml:space="preserve"> of Lotka, Bradford,</w:t>
      </w:r>
      <w:r w:rsidR="00F81221">
        <w:t xml:space="preserve"> and </w:t>
      </w:r>
      <w:r w:rsidRPr="00A428C3">
        <w:t xml:space="preserve">Zipf, this compound Poisson model produces good to excellent fits. Discussion includes possible </w:t>
      </w:r>
      <w:r w:rsidR="000352E7">
        <w:t>‘</w:t>
      </w:r>
      <w:r w:rsidRPr="00A428C3">
        <w:t>causal</w:t>
      </w:r>
      <w:r w:rsidR="000352E7">
        <w:t>’</w:t>
      </w:r>
      <w:r w:rsidRPr="00A428C3">
        <w:t xml:space="preserve"> processes</w:t>
      </w:r>
      <w:r w:rsidR="00F81221">
        <w:t xml:space="preserve"> and </w:t>
      </w:r>
      <w:r w:rsidRPr="00A428C3">
        <w:t>some implications for future bibliometric</w:t>
      </w:r>
      <w:r w:rsidR="00F81221">
        <w:t xml:space="preserve"> and </w:t>
      </w:r>
      <w:r w:rsidRPr="00A428C3">
        <w:t>scientometric studies.</w:t>
      </w:r>
    </w:p>
    <w:p w:rsidR="00B95188" w:rsidRPr="00A428C3" w:rsidRDefault="00B95188" w:rsidP="00B95188">
      <w:pPr>
        <w:pStyle w:val="a0"/>
      </w:pPr>
      <w:r w:rsidRPr="00A428C3">
        <w:t>Keywords: Bradford</w:t>
      </w:r>
      <w:r w:rsidR="000352E7">
        <w:t>’</w:t>
      </w:r>
      <w:r w:rsidRPr="00A428C3">
        <w:t>s Law, Citation Analysis, Index Approach, Inequality, Lotka</w:t>
      </w:r>
      <w:r w:rsidR="000352E7">
        <w:t>’</w:t>
      </w:r>
      <w:r w:rsidRPr="00A428C3">
        <w:t>s Law, Parameters, Science, Scientific Productivity, Zipf</w:t>
      </w:r>
      <w:r w:rsidR="000352E7">
        <w:t>’</w:t>
      </w:r>
      <w:r w:rsidRPr="00A428C3">
        <w:t>s Law</w:t>
      </w:r>
    </w:p>
    <w:p w:rsidR="00B95188" w:rsidRPr="00A428C3" w:rsidRDefault="00B95188" w:rsidP="00B95188">
      <w:pPr>
        <w:pStyle w:val="a0"/>
      </w:pPr>
      <w:r w:rsidRPr="00A428C3">
        <w:t>Bédécarrax, C.</w:t>
      </w:r>
      <w:r w:rsidR="00F81221">
        <w:t xml:space="preserve"> and </w:t>
      </w:r>
      <w:r w:rsidRPr="00A428C3">
        <w:t xml:space="preserve">Huot, C. (1994), A new methodology for systematic exploitation of technology databases. </w:t>
      </w:r>
      <w:r w:rsidRPr="00A428C3">
        <w:rPr>
          <w:i/>
          <w:iCs/>
        </w:rPr>
        <w:t>Information Processing &amp; Management</w:t>
      </w:r>
      <w:r w:rsidRPr="00A428C3">
        <w:t xml:space="preserve">, </w:t>
      </w:r>
      <w:r w:rsidRPr="00A428C3">
        <w:rPr>
          <w:b/>
        </w:rPr>
        <w:t>30</w:t>
      </w:r>
      <w:r w:rsidRPr="00A428C3">
        <w:t xml:space="preserve"> (3), 407-418.</w:t>
      </w:r>
    </w:p>
    <w:p w:rsidR="00C245B0" w:rsidRPr="001A3D2B" w:rsidRDefault="00C245B0" w:rsidP="00C245B0">
      <w:pPr>
        <w:pStyle w:val="a0"/>
      </w:pPr>
      <w:r w:rsidRPr="001A3D2B">
        <w:t xml:space="preserve">Full Text: </w:t>
      </w:r>
      <w:hyperlink r:id="rId1390" w:history="1">
        <w:r w:rsidRPr="001A3D2B">
          <w:rPr>
            <w:rStyle w:val="a5"/>
          </w:rPr>
          <w:t>1994\Inf Pro Man30, 407.pdf</w:t>
        </w:r>
      </w:hyperlink>
    </w:p>
    <w:p w:rsidR="00B95188" w:rsidRPr="00A428C3" w:rsidRDefault="00B95188" w:rsidP="00B95188">
      <w:pPr>
        <w:pStyle w:val="a0"/>
      </w:pPr>
      <w:r w:rsidRPr="00A428C3">
        <w:t>Abstract: Nowadays technology watch must be considered as a strategic tool for business enterprises. The increase of database volume has forced a change in information management. The purpose of this article is to explain how a mathematical data analysis method can help to transform sequential raw data into valuable information.</w:t>
      </w:r>
    </w:p>
    <w:p w:rsidR="00B95188" w:rsidRPr="00A428C3" w:rsidRDefault="00B95188" w:rsidP="00B95188">
      <w:pPr>
        <w:pStyle w:val="a0"/>
      </w:pPr>
      <w:r w:rsidRPr="00A428C3">
        <w:t>Keywords: Technology Watch, Relational Analysis, Patents, Bibliometrics, Database, Automatic Classification, Strategic Information</w:t>
      </w:r>
    </w:p>
    <w:p w:rsidR="006F0227" w:rsidRDefault="006F0227" w:rsidP="006F0227">
      <w:pPr>
        <w:pStyle w:val="a0"/>
      </w:pPr>
      <w:r>
        <w:rPr>
          <w:rFonts w:hint="eastAsia"/>
        </w:rPr>
        <w:t>Notes: MModel</w:t>
      </w:r>
    </w:p>
    <w:p w:rsidR="00B95188" w:rsidRPr="00A428C3" w:rsidRDefault="00B95188" w:rsidP="00B95188">
      <w:pPr>
        <w:pStyle w:val="a0"/>
      </w:pPr>
      <w:r w:rsidRPr="00A428C3">
        <w:t>Chen, Y.S., Chong, P.P.</w:t>
      </w:r>
      <w:r w:rsidR="00F81221">
        <w:t xml:space="preserve"> and </w:t>
      </w:r>
      <w:r w:rsidRPr="00A428C3">
        <w:t xml:space="preserve">Tong, M.Y. (1994), The Simon-Yule approach to bibliometric modeling. </w:t>
      </w:r>
      <w:r w:rsidRPr="00A428C3">
        <w:rPr>
          <w:i/>
          <w:iCs/>
        </w:rPr>
        <w:t>Information Processing &amp; Management</w:t>
      </w:r>
      <w:r w:rsidRPr="00A428C3">
        <w:t xml:space="preserve">, </w:t>
      </w:r>
      <w:r w:rsidRPr="00A428C3">
        <w:rPr>
          <w:b/>
        </w:rPr>
        <w:t>30</w:t>
      </w:r>
      <w:r w:rsidRPr="00A428C3">
        <w:t xml:space="preserve"> (4), 535-556.</w:t>
      </w:r>
    </w:p>
    <w:p w:rsidR="00C245B0" w:rsidRPr="001A3D2B" w:rsidRDefault="00C245B0" w:rsidP="00C245B0">
      <w:pPr>
        <w:pStyle w:val="a0"/>
      </w:pPr>
      <w:r w:rsidRPr="001A3D2B">
        <w:t xml:space="preserve">Full Text: </w:t>
      </w:r>
      <w:hyperlink r:id="rId1391" w:history="1">
        <w:r w:rsidRPr="001A3D2B">
          <w:rPr>
            <w:rStyle w:val="a5"/>
          </w:rPr>
          <w:t>1994\Inf Pro Man30, 535.pdf</w:t>
        </w:r>
      </w:hyperlink>
    </w:p>
    <w:p w:rsidR="00B95188" w:rsidRPr="00A428C3" w:rsidRDefault="00B95188" w:rsidP="00B95188">
      <w:pPr>
        <w:pStyle w:val="a0"/>
      </w:pPr>
      <w:r w:rsidRPr="00A428C3">
        <w:t>Abstract: Using an index approach to take into account the scattering pattern of the observed values, Chen</w:t>
      </w:r>
      <w:r w:rsidR="00F81221">
        <w:t xml:space="preserve"> and </w:t>
      </w:r>
      <w:r w:rsidRPr="00A428C3">
        <w:t>Leimkuhler showed that the three well-known bibliometric distributions (i.e., Lotka</w:t>
      </w:r>
      <w:r w:rsidR="000352E7">
        <w:t>’</w:t>
      </w:r>
      <w:r w:rsidRPr="00A428C3">
        <w:t>s law of scientific productivity, Bradford</w:t>
      </w:r>
      <w:r w:rsidR="000352E7">
        <w:t>’</w:t>
      </w:r>
      <w:r w:rsidRPr="00A428C3">
        <w:t xml:space="preserve">s law </w:t>
      </w:r>
      <w:r w:rsidRPr="00A428C3">
        <w:lastRenderedPageBreak/>
        <w:t>of bibliographic scattering,</w:t>
      </w:r>
      <w:r w:rsidR="00F81221">
        <w:t xml:space="preserve"> and </w:t>
      </w:r>
      <w:r w:rsidRPr="00A428C3">
        <w:t>Zipf</w:t>
      </w:r>
      <w:r w:rsidR="000352E7">
        <w:t>’</w:t>
      </w:r>
      <w:r w:rsidRPr="00A428C3">
        <w:t>s law of word frequency) are equivalent. Furthermore, Chen showed that Lotka</w:t>
      </w:r>
      <w:r w:rsidR="000352E7">
        <w:t>’</w:t>
      </w:r>
      <w:r w:rsidRPr="00A428C3">
        <w:t>s law can be derived from a generating mechanism (the Simon-Yule Model) proposed by Herbert A. Simon. In this paper, we use a simulation algorithm based on the Simon-Yule model to conduct computational experimentation on these three laws. The results indicate that the probability of a new entry (</w:t>
      </w:r>
      <w:r w:rsidRPr="00A428C3">
        <w:sym w:font="Symbol" w:char="F061"/>
      </w:r>
      <w:r w:rsidRPr="00A428C3">
        <w:t>), be it constant or decreasing, determines the characteristics of all three distributions.</w:t>
      </w:r>
    </w:p>
    <w:p w:rsidR="006F0227" w:rsidRPr="00217FB1" w:rsidRDefault="006F0227" w:rsidP="006F0227">
      <w:pPr>
        <w:pStyle w:val="a0"/>
      </w:pPr>
      <w:r w:rsidRPr="00217FB1">
        <w:t>Notes: TTopic</w:t>
      </w:r>
    </w:p>
    <w:p w:rsidR="00B95188" w:rsidRPr="00A428C3" w:rsidRDefault="00B95188" w:rsidP="00B95188">
      <w:pPr>
        <w:pStyle w:val="a0"/>
      </w:pPr>
      <w:r w:rsidRPr="00A428C3">
        <w:t xml:space="preserve">Zhang, H.Q. (1995), A bibliometric study on articles of medical librarianship. </w:t>
      </w:r>
      <w:r w:rsidRPr="00A428C3">
        <w:rPr>
          <w:i/>
          <w:iCs/>
        </w:rPr>
        <w:t>Information Processing &amp; Management</w:t>
      </w:r>
      <w:r w:rsidRPr="00A428C3">
        <w:t xml:space="preserve">, </w:t>
      </w:r>
      <w:r w:rsidRPr="00A428C3">
        <w:rPr>
          <w:b/>
        </w:rPr>
        <w:t>31</w:t>
      </w:r>
      <w:r w:rsidRPr="00A428C3">
        <w:t xml:space="preserve"> (4), 499-510.</w:t>
      </w:r>
    </w:p>
    <w:p w:rsidR="00C245B0" w:rsidRPr="001A3D2B" w:rsidRDefault="00C245B0" w:rsidP="00C245B0">
      <w:pPr>
        <w:pStyle w:val="a0"/>
      </w:pPr>
      <w:r w:rsidRPr="001A3D2B">
        <w:t xml:space="preserve">Full Text: </w:t>
      </w:r>
      <w:hyperlink r:id="rId1392" w:history="1">
        <w:r w:rsidRPr="001A3D2B">
          <w:rPr>
            <w:rStyle w:val="a5"/>
          </w:rPr>
          <w:t>1995\Inf Pro Man31, 499.pdf</w:t>
        </w:r>
      </w:hyperlink>
    </w:p>
    <w:p w:rsidR="00B95188" w:rsidRPr="00A428C3" w:rsidRDefault="00B95188" w:rsidP="00B95188">
      <w:pPr>
        <w:pStyle w:val="a0"/>
      </w:pPr>
      <w:r w:rsidRPr="00A428C3">
        <w:t xml:space="preserve">Abstract: Three medical library periodicals published in </w:t>
      </w:r>
      <w:smartTag w:uri="urn:schemas-microsoft-com:office:smarttags" w:element="country-region">
        <w:r w:rsidRPr="00A428C3">
          <w:t>China</w:t>
        </w:r>
      </w:smartTag>
      <w:r w:rsidRPr="00A428C3">
        <w:t>, Japan</w:t>
      </w:r>
      <w:r w:rsidR="00F81221">
        <w:t xml:space="preserve"> and </w:t>
      </w:r>
      <w:r w:rsidRPr="00A428C3">
        <w:t>U.S.A. were selected for this study. During the years 1990-1992, 36 issues, 410 articles,</w:t>
      </w:r>
      <w:r w:rsidR="00F81221">
        <w:t xml:space="preserve"> and </w:t>
      </w:r>
      <w:r w:rsidRPr="00A428C3">
        <w:t>2915 cited references were compared to find each country</w:t>
      </w:r>
      <w:r w:rsidR="000352E7">
        <w:t>’</w:t>
      </w:r>
      <w:r w:rsidRPr="00A428C3">
        <w:t>s trends of research in medical library</w:t>
      </w:r>
      <w:r w:rsidR="00F81221">
        <w:t xml:space="preserve"> and </w:t>
      </w:r>
      <w:r w:rsidRPr="00A428C3">
        <w:t>information services by way of a bibliometric method. The citation characteristics in the periodicals provided evidence that differences were likely attributable to the fact that the three periodicals were published in different countries.</w:t>
      </w:r>
    </w:p>
    <w:p w:rsidR="00B95188" w:rsidRPr="00A428C3" w:rsidRDefault="00B95188" w:rsidP="00B95188">
      <w:pPr>
        <w:pStyle w:val="a0"/>
      </w:pPr>
      <w:r w:rsidRPr="00A428C3">
        <w:t>Havemann, F. (1996), Changing publication behaviour of East</w:t>
      </w:r>
      <w:r w:rsidR="00F81221">
        <w:t xml:space="preserve"> and </w:t>
      </w:r>
      <w:r w:rsidRPr="00A428C3">
        <w:t>Central European scientists</w:t>
      </w:r>
      <w:r w:rsidR="00F81221">
        <w:t xml:space="preserve"> and </w:t>
      </w:r>
      <w:r w:rsidRPr="00A428C3">
        <w:t xml:space="preserve">the impact of their papers. </w:t>
      </w:r>
      <w:r w:rsidRPr="00A428C3">
        <w:rPr>
          <w:i/>
          <w:iCs/>
        </w:rPr>
        <w:t>Information Processing &amp; Management</w:t>
      </w:r>
      <w:r w:rsidRPr="00A428C3">
        <w:t xml:space="preserve">, </w:t>
      </w:r>
      <w:r w:rsidRPr="00A428C3">
        <w:rPr>
          <w:b/>
        </w:rPr>
        <w:t>32</w:t>
      </w:r>
      <w:r w:rsidRPr="00A428C3">
        <w:t xml:space="preserve"> (4), 489-496.</w:t>
      </w:r>
    </w:p>
    <w:p w:rsidR="00C245B0" w:rsidRPr="001A3D2B" w:rsidRDefault="00C245B0" w:rsidP="00C245B0">
      <w:pPr>
        <w:pStyle w:val="a0"/>
      </w:pPr>
      <w:r w:rsidRPr="001A3D2B">
        <w:t xml:space="preserve">Full Text: </w:t>
      </w:r>
      <w:hyperlink r:id="rId1393" w:history="1">
        <w:r w:rsidRPr="001A3D2B">
          <w:rPr>
            <w:rStyle w:val="a5"/>
          </w:rPr>
          <w:t>1996\Inf Pro Man32, 489.pdf</w:t>
        </w:r>
      </w:hyperlink>
    </w:p>
    <w:p w:rsidR="00B95188" w:rsidRPr="00A428C3" w:rsidRDefault="00B95188" w:rsidP="00B95188">
      <w:pPr>
        <w:pStyle w:val="a0"/>
      </w:pPr>
      <w:r w:rsidRPr="00A428C3">
        <w:t>Abstract: In the past many scientists in the former socialist countries could not always freely communicate with their Western colleagues. It was often difficult for them to publish in Western journals or to participate in international conferences if they were not held in the East. So some of their results were little known in the West. The flow of scientific information was restrained by political, financial</w:t>
      </w:r>
      <w:r w:rsidR="00F81221">
        <w:t xml:space="preserve"> and </w:t>
      </w:r>
      <w:r w:rsidRPr="00A428C3">
        <w:t>cultural barriers. Some barriers are lower today,</w:t>
      </w:r>
      <w:r w:rsidR="00F81221">
        <w:t xml:space="preserve"> and </w:t>
      </w:r>
      <w:r w:rsidRPr="00A428C3">
        <w:t xml:space="preserve">changing bibliometric indicators should reflect the transformation processes. How often, for example, Eastern scientists have published articles in leading international journals of their field could be an appropriate indicator. In the present study I have investigated for the period 1980-1994 the cases of the journals </w:t>
      </w:r>
      <w:r w:rsidRPr="00A428C3">
        <w:rPr>
          <w:i/>
          <w:iCs/>
        </w:rPr>
        <w:t>Physical Review A</w:t>
      </w:r>
      <w:r w:rsidRPr="00A428C3">
        <w:t xml:space="preserve">, </w:t>
      </w:r>
      <w:r w:rsidRPr="00A428C3">
        <w:rPr>
          <w:i/>
          <w:iCs/>
        </w:rPr>
        <w:t>B</w:t>
      </w:r>
      <w:r w:rsidRPr="00A428C3">
        <w:t xml:space="preserve">, </w:t>
      </w:r>
      <w:r w:rsidRPr="00A428C3">
        <w:rPr>
          <w:i/>
          <w:iCs/>
        </w:rPr>
        <w:t>C</w:t>
      </w:r>
      <w:r w:rsidRPr="00A428C3">
        <w:t xml:space="preserve">, </w:t>
      </w:r>
      <w:r w:rsidRPr="00A428C3">
        <w:rPr>
          <w:i/>
          <w:iCs/>
        </w:rPr>
        <w:t>D</w:t>
      </w:r>
      <w:r w:rsidRPr="00A428C3">
        <w:t>,</w:t>
      </w:r>
      <w:r w:rsidR="00F81221">
        <w:t xml:space="preserve"> and </w:t>
      </w:r>
      <w:r w:rsidRPr="00A428C3">
        <w:rPr>
          <w:i/>
          <w:iCs/>
        </w:rPr>
        <w:t>E</w:t>
      </w:r>
      <w:r w:rsidRPr="00A428C3">
        <w:t xml:space="preserve">, published in </w:t>
      </w:r>
      <w:smartTag w:uri="urn:schemas-microsoft-com:office:smarttags" w:element="place">
        <w:smartTag w:uri="urn:schemas-microsoft-com:office:smarttags" w:element="State">
          <w:r w:rsidRPr="00A428C3">
            <w:t>New York</w:t>
          </w:r>
        </w:smartTag>
      </w:smartTag>
      <w:r w:rsidRPr="00A428C3">
        <w:t>, to get an impression how the publication behaviour of East</w:t>
      </w:r>
      <w:r w:rsidR="00F81221">
        <w:t xml:space="preserve"> and </w:t>
      </w:r>
      <w:r w:rsidRPr="00A428C3">
        <w:t>Central European scientists has changed. Could Eastern research groups which changed their publication behaviour increase the impact of their papers? The citation rates of two groups of Russian physicists have been considered to yield an answer to this question.</w:t>
      </w:r>
    </w:p>
    <w:p w:rsidR="00B95188" w:rsidRPr="00A428C3" w:rsidRDefault="00B95188" w:rsidP="00B95188">
      <w:pPr>
        <w:pStyle w:val="a0"/>
      </w:pPr>
      <w:r w:rsidRPr="00A428C3">
        <w:t xml:space="preserve">Keywords: Natural Sciences Computing, Information Dissemination, Technical Presentations, Information Management, Information Analysis, Personnel, Information Services, European Scientists, Scientific Information, International </w:t>
      </w:r>
      <w:r w:rsidRPr="00A428C3">
        <w:lastRenderedPageBreak/>
        <w:t>Conferences, Publication</w:t>
      </w:r>
    </w:p>
    <w:p w:rsidR="00B95188" w:rsidRPr="00A428C3" w:rsidRDefault="00B95188" w:rsidP="00B95188">
      <w:pPr>
        <w:pStyle w:val="a0"/>
      </w:pPr>
      <w:r w:rsidRPr="00A428C3">
        <w:t>Bates, M.J. (1996), Document familiarity, relevance,</w:t>
      </w:r>
      <w:r w:rsidR="00F81221">
        <w:t xml:space="preserve"> and </w:t>
      </w:r>
      <w:r w:rsidRPr="00A428C3">
        <w:t>bradford</w:t>
      </w:r>
      <w:r w:rsidR="000352E7">
        <w:t>’</w:t>
      </w:r>
      <w:r w:rsidRPr="00A428C3">
        <w:t xml:space="preserve">s law: The getty online searching project report no. 5. </w:t>
      </w:r>
      <w:r w:rsidRPr="00A428C3">
        <w:rPr>
          <w:i/>
          <w:iCs/>
        </w:rPr>
        <w:t>Information Processing &amp; Management</w:t>
      </w:r>
      <w:r w:rsidRPr="00A428C3">
        <w:t xml:space="preserve">, </w:t>
      </w:r>
      <w:r w:rsidRPr="00A428C3">
        <w:rPr>
          <w:b/>
        </w:rPr>
        <w:t>32</w:t>
      </w:r>
      <w:r w:rsidRPr="00A428C3">
        <w:t xml:space="preserve"> (6), 697-707.</w:t>
      </w:r>
    </w:p>
    <w:p w:rsidR="00C245B0" w:rsidRPr="001A3D2B" w:rsidRDefault="00C245B0" w:rsidP="00C245B0">
      <w:pPr>
        <w:pStyle w:val="a0"/>
      </w:pPr>
      <w:r w:rsidRPr="001A3D2B">
        <w:t xml:space="preserve">Full Text: </w:t>
      </w:r>
      <w:hyperlink r:id="rId1394" w:history="1">
        <w:r w:rsidRPr="001A3D2B">
          <w:rPr>
            <w:rStyle w:val="a5"/>
          </w:rPr>
          <w:t>1996\Inf Pro Man32, 697.pdf</w:t>
        </w:r>
      </w:hyperlink>
    </w:p>
    <w:p w:rsidR="00B95188" w:rsidRPr="00A428C3" w:rsidRDefault="00B95188" w:rsidP="00B95188">
      <w:pPr>
        <w:pStyle w:val="a0"/>
      </w:pPr>
      <w:r w:rsidRPr="00A428C3">
        <w:t>Abstract: The Getty Online Searching Project studied the end-user searching behavior of 27 humanities scholars over a 2-year period. Surprising results were that a number of scholars anticipated––and found––that they were already familiar with a very high percentage of the records their searches retrieved. Previous familiarity with documents has been mentioned in discussion of relevance</w:t>
      </w:r>
      <w:r w:rsidR="00F81221">
        <w:t xml:space="preserve"> and </w:t>
      </w:r>
      <w:r w:rsidRPr="00A428C3">
        <w:t>information retrieval (IR) theory, but it has generally not been considered a significant factor. However, these experiences indicate that high document familiarity can be a significant factor in searching. Some implications are drawn regarding the impact of high document familiarity on relevance</w:t>
      </w:r>
      <w:r w:rsidR="00F81221">
        <w:t xml:space="preserve"> and </w:t>
      </w:r>
      <w:r w:rsidRPr="00A428C3">
        <w:t>IR theory. Finally, some speculations are made regarding high document familiarity</w:t>
      </w:r>
      <w:r w:rsidR="00F81221">
        <w:t xml:space="preserve"> and </w:t>
      </w:r>
      <w:r w:rsidRPr="00A428C3">
        <w:t>Bradford</w:t>
      </w:r>
      <w:r w:rsidR="000352E7">
        <w:t>’</w:t>
      </w:r>
      <w:r w:rsidRPr="00A428C3">
        <w:t>s Law.</w:t>
      </w:r>
    </w:p>
    <w:p w:rsidR="006F0227" w:rsidRDefault="006F0227" w:rsidP="006F0227">
      <w:pPr>
        <w:pStyle w:val="a0"/>
      </w:pPr>
      <w:r>
        <w:rPr>
          <w:rFonts w:hint="eastAsia"/>
        </w:rPr>
        <w:t>Notes: CCountry</w:t>
      </w:r>
    </w:p>
    <w:p w:rsidR="00B95188" w:rsidRPr="00A428C3" w:rsidRDefault="00B95188" w:rsidP="00B95188">
      <w:pPr>
        <w:pStyle w:val="a0"/>
      </w:pPr>
      <w:r w:rsidRPr="00A428C3">
        <w:t>Zhang, H.</w:t>
      </w:r>
      <w:r w:rsidR="00F81221">
        <w:t xml:space="preserve"> and </w:t>
      </w:r>
      <w:r w:rsidRPr="00A428C3">
        <w:t xml:space="preserve">Zhang, Y. (1997), Scientometric study on research performance in </w:t>
      </w:r>
      <w:smartTag w:uri="urn:schemas-microsoft-com:office:smarttags" w:element="place">
        <w:smartTag w:uri="urn:schemas-microsoft-com:office:smarttags" w:element="country-region">
          <w:r w:rsidRPr="00A428C3">
            <w:t>China</w:t>
          </w:r>
        </w:smartTag>
      </w:smartTag>
      <w:r w:rsidRPr="00A428C3">
        <w:t xml:space="preserve">. </w:t>
      </w:r>
      <w:r w:rsidRPr="00A428C3">
        <w:rPr>
          <w:i/>
          <w:iCs/>
        </w:rPr>
        <w:t>Information Processing &amp; Management</w:t>
      </w:r>
      <w:r w:rsidRPr="00A428C3">
        <w:t xml:space="preserve">, </w:t>
      </w:r>
      <w:r w:rsidRPr="00A428C3">
        <w:rPr>
          <w:b/>
        </w:rPr>
        <w:t>33</w:t>
      </w:r>
      <w:r w:rsidRPr="00A428C3">
        <w:t xml:space="preserve"> (1), 81-89.</w:t>
      </w:r>
    </w:p>
    <w:p w:rsidR="00C245B0" w:rsidRPr="001A3D2B" w:rsidRDefault="00C245B0" w:rsidP="00C245B0">
      <w:pPr>
        <w:pStyle w:val="a0"/>
      </w:pPr>
      <w:r w:rsidRPr="001A3D2B">
        <w:t xml:space="preserve">Full Text: </w:t>
      </w:r>
      <w:hyperlink r:id="rId1395" w:history="1">
        <w:r w:rsidRPr="001A3D2B">
          <w:rPr>
            <w:rStyle w:val="a5"/>
          </w:rPr>
          <w:t>1997\Inf Pro Man33, 81.pdf</w:t>
        </w:r>
      </w:hyperlink>
    </w:p>
    <w:p w:rsidR="00B95188" w:rsidRPr="00A428C3" w:rsidRDefault="00B95188" w:rsidP="00B95188">
      <w:pPr>
        <w:pStyle w:val="a0"/>
      </w:pPr>
      <w:r w:rsidRPr="00A428C3">
        <w:t>Abstract: Research performance in China has increased appreciably during the past few years, both in regard to relative output of publications</w:t>
      </w:r>
      <w:r w:rsidR="00F81221">
        <w:t xml:space="preserve"> and </w:t>
      </w:r>
      <w:r w:rsidRPr="00A428C3">
        <w:t>in their impact on the international research productivity. The purpose of this survey, based on the data recorded in the Science Citation Index (SCI) database between 1987</w:t>
      </w:r>
      <w:r w:rsidR="00F81221">
        <w:t xml:space="preserve"> and </w:t>
      </w:r>
      <w:r w:rsidRPr="00A428C3">
        <w:t>1993, is to study the research performance in the People</w:t>
      </w:r>
      <w:r w:rsidR="000352E7">
        <w:t>’</w:t>
      </w:r>
      <w:r w:rsidRPr="00A428C3">
        <w:t xml:space="preserve">s Republic of </w:t>
      </w:r>
      <w:smartTag w:uri="urn:schemas-microsoft-com:office:smarttags" w:element="place">
        <w:smartTag w:uri="urn:schemas-microsoft-com:office:smarttags" w:element="country-region">
          <w:r w:rsidRPr="00A428C3">
            <w:t>China</w:t>
          </w:r>
        </w:smartTag>
      </w:smartTag>
      <w:r w:rsidRPr="00A428C3">
        <w:t>. The 35, 087 papers published in domestic or foreign periodicals were selected for analysis</w:t>
      </w:r>
      <w:r w:rsidR="00F81221">
        <w:t xml:space="preserve"> and </w:t>
      </w:r>
      <w:r w:rsidRPr="00A428C3">
        <w:t>evaluation of the distribution of publications</w:t>
      </w:r>
      <w:r w:rsidR="00F81221">
        <w:t xml:space="preserve"> and </w:t>
      </w:r>
      <w:r w:rsidRPr="00A428C3">
        <w:t xml:space="preserve">citations, for the numerical characterization of research performance in </w:t>
      </w:r>
      <w:smartTag w:uri="urn:schemas-microsoft-com:office:smarttags" w:element="place">
        <w:smartTag w:uri="urn:schemas-microsoft-com:office:smarttags" w:element="country-region">
          <w:r w:rsidRPr="00A428C3">
            <w:t>China</w:t>
          </w:r>
        </w:smartTag>
      </w:smartTag>
      <w:r w:rsidRPr="00A428C3">
        <w:t>. The findings indicate that 17, 687 papers covered by the Source Indexes of the SCI in the period 1990-1992 had received 7944 citations in the year 1993</w:t>
      </w:r>
      <w:r w:rsidR="00F81221">
        <w:t xml:space="preserve"> and </w:t>
      </w:r>
      <w:r w:rsidRPr="00A428C3">
        <w:t>that the mean citation rate is 0.45. The number of cited papers is 4491</w:t>
      </w:r>
      <w:r w:rsidR="00F81221">
        <w:t xml:space="preserve"> and </w:t>
      </w:r>
      <w:r w:rsidRPr="00A428C3">
        <w:t>the proportion of cited papers to the total is 0.25.</w:t>
      </w:r>
    </w:p>
    <w:p w:rsidR="006F0227" w:rsidRDefault="006F0227" w:rsidP="006F0227">
      <w:pPr>
        <w:pStyle w:val="a0"/>
      </w:pPr>
      <w:r>
        <w:rPr>
          <w:rFonts w:hint="eastAsia"/>
        </w:rPr>
        <w:t>Notes: TTopic</w:t>
      </w:r>
    </w:p>
    <w:p w:rsidR="00B95188" w:rsidRPr="00A428C3" w:rsidRDefault="00B95188" w:rsidP="00B95188">
      <w:pPr>
        <w:pStyle w:val="a0"/>
      </w:pPr>
      <w:r w:rsidRPr="00A428C3">
        <w:t xml:space="preserve">Reid, E.O.F. (1997), Evolution of a body of knowledge: An analysis of terrorism research. </w:t>
      </w:r>
      <w:r w:rsidRPr="00A428C3">
        <w:rPr>
          <w:i/>
          <w:iCs/>
        </w:rPr>
        <w:t>Information Processing &amp; Management</w:t>
      </w:r>
      <w:r w:rsidRPr="00A428C3">
        <w:t xml:space="preserve">, </w:t>
      </w:r>
      <w:r w:rsidRPr="00A428C3">
        <w:rPr>
          <w:b/>
        </w:rPr>
        <w:t>33</w:t>
      </w:r>
      <w:r w:rsidRPr="00A428C3">
        <w:t xml:space="preserve"> (1), 91-106.</w:t>
      </w:r>
    </w:p>
    <w:p w:rsidR="00C245B0" w:rsidRPr="001A3D2B" w:rsidRDefault="00C245B0" w:rsidP="00C245B0">
      <w:pPr>
        <w:pStyle w:val="a0"/>
      </w:pPr>
      <w:r w:rsidRPr="001A3D2B">
        <w:t xml:space="preserve">Full Text: </w:t>
      </w:r>
      <w:hyperlink r:id="rId1396" w:history="1">
        <w:r w:rsidRPr="001A3D2B">
          <w:rPr>
            <w:rStyle w:val="a5"/>
          </w:rPr>
          <w:t>1997\Inf Pro Man33, 91.pdf</w:t>
        </w:r>
      </w:hyperlink>
    </w:p>
    <w:p w:rsidR="00B95188" w:rsidRPr="00A428C3" w:rsidRDefault="00B95188" w:rsidP="00B95188">
      <w:pPr>
        <w:pStyle w:val="a0"/>
      </w:pPr>
      <w:r w:rsidRPr="00A428C3">
        <w:t xml:space="preserve">Abstract: This study provides an analysis of the development of contemporary terrorism research in the </w:t>
      </w:r>
      <w:smartTag w:uri="urn:schemas-microsoft-com:office:smarttags" w:element="place">
        <w:smartTag w:uri="urn:schemas-microsoft-com:office:smarttags" w:element="country-region">
          <w:r w:rsidRPr="00A428C3">
            <w:t>United States</w:t>
          </w:r>
        </w:smartTag>
      </w:smartTag>
      <w:r w:rsidRPr="00A428C3">
        <w:t>. Using on-line bibliometrics, tracing</w:t>
      </w:r>
      <w:r w:rsidR="00F81221">
        <w:t xml:space="preserve"> and </w:t>
      </w:r>
      <w:r w:rsidRPr="00A428C3">
        <w:t>citation analysis, it explores how terrorism researchers interacted with other knowledge producers to shape the perception of terrorism. The results indicate that the research area was influenced directly by knowledge producers such as the media</w:t>
      </w:r>
      <w:r w:rsidR="00F81221">
        <w:t xml:space="preserve"> and </w:t>
      </w:r>
      <w:r w:rsidRPr="00A428C3">
        <w:t xml:space="preserve">the </w:t>
      </w:r>
      <w:smartTag w:uri="urn:schemas-microsoft-com:office:smarttags" w:element="place">
        <w:smartTag w:uri="urn:schemas-microsoft-com:office:smarttags" w:element="country-region">
          <w:r w:rsidRPr="00A428C3">
            <w:t>U.S.</w:t>
          </w:r>
        </w:smartTag>
      </w:smartTag>
      <w:r w:rsidRPr="00A428C3">
        <w:t xml:space="preserve"> </w:t>
      </w:r>
      <w:r w:rsidRPr="00A428C3">
        <w:lastRenderedPageBreak/>
        <w:t>government. They had major impacts on the definitions of terrorism, the types of data used in analysis,</w:t>
      </w:r>
      <w:r w:rsidR="00F81221">
        <w:t xml:space="preserve"> and </w:t>
      </w:r>
      <w:r w:rsidRPr="00A428C3">
        <w:t>the diffusion of ideas. This resulted in the creation of invisible colleges of pro-western terrorism researchers</w:t>
      </w:r>
      <w:r w:rsidR="00F81221">
        <w:t xml:space="preserve"> and </w:t>
      </w:r>
      <w:r w:rsidRPr="00A428C3">
        <w:t>generation of many terrorism studies from a one-sided perspective of terrorism from below (small insurgent groups).</w:t>
      </w:r>
    </w:p>
    <w:p w:rsidR="00B95188" w:rsidRPr="00A428C3" w:rsidRDefault="00B95188" w:rsidP="00B95188">
      <w:pPr>
        <w:pStyle w:val="a0"/>
      </w:pPr>
      <w:r w:rsidRPr="00A428C3">
        <w:t>Kostoff, R.N., Eberhartt H.J.</w:t>
      </w:r>
      <w:r w:rsidR="00F81221">
        <w:t xml:space="preserve"> and </w:t>
      </w:r>
      <w:r w:rsidRPr="00A428C3">
        <w:t>Toothman, D.R. (1998), Database tomography for technical intelligence: A roadmap of the near-earth space science</w:t>
      </w:r>
      <w:r w:rsidR="00F81221">
        <w:t xml:space="preserve"> and </w:t>
      </w:r>
      <w:r w:rsidRPr="00A428C3">
        <w:t xml:space="preserve">technology literature. </w:t>
      </w:r>
      <w:r w:rsidRPr="00A428C3">
        <w:rPr>
          <w:i/>
          <w:iCs/>
        </w:rPr>
        <w:t>Information Processing &amp; Management</w:t>
      </w:r>
      <w:r w:rsidRPr="00A428C3">
        <w:t xml:space="preserve">, </w:t>
      </w:r>
      <w:r w:rsidRPr="00A428C3">
        <w:rPr>
          <w:b/>
        </w:rPr>
        <w:t>34</w:t>
      </w:r>
      <w:r w:rsidRPr="00A428C3">
        <w:t xml:space="preserve"> (1), 69-85.</w:t>
      </w:r>
    </w:p>
    <w:p w:rsidR="00C245B0" w:rsidRPr="001A3D2B" w:rsidRDefault="00C245B0" w:rsidP="00C245B0">
      <w:pPr>
        <w:pStyle w:val="a0"/>
      </w:pPr>
      <w:r w:rsidRPr="001A3D2B">
        <w:t xml:space="preserve">Full Text: </w:t>
      </w:r>
      <w:hyperlink r:id="rId1397" w:history="1">
        <w:r w:rsidRPr="001A3D2B">
          <w:rPr>
            <w:rStyle w:val="a5"/>
          </w:rPr>
          <w:t>1998\Inf Pro Man34, 69.pdf</w:t>
        </w:r>
      </w:hyperlink>
    </w:p>
    <w:p w:rsidR="00B95188" w:rsidRPr="00A428C3" w:rsidRDefault="00B95188" w:rsidP="00B95188">
      <w:pPr>
        <w:pStyle w:val="a0"/>
      </w:pPr>
      <w:r w:rsidRPr="00A428C3">
        <w:t>Abstract: Database Tomography (DT) is a system which includes algorithms for extracting multi-word phrase frequencies</w:t>
      </w:r>
      <w:r w:rsidR="00F81221">
        <w:t xml:space="preserve"> and </w:t>
      </w:r>
      <w:r w:rsidRPr="00A428C3">
        <w:t>performing phrase proximity analyses (relating physical closeness of the multi-word technical phrases to thematic relationships) on any type of large textual database. As an illustration of the DT process applied to the published literature, DT was used to derive technical intelligence from a near-earth space (NES) database derived from the Science Citation Index</w:t>
      </w:r>
      <w:r w:rsidR="00F81221">
        <w:t xml:space="preserve"> and </w:t>
      </w:r>
      <w:r w:rsidRPr="00A428C3">
        <w:t>the Engineering Compendex. Phrase frequency analysis (the occurrence frequency of multi-word technical phrases) provided the pervasive technical themes of the space database,</w:t>
      </w:r>
      <w:r w:rsidR="00F81221">
        <w:t xml:space="preserve"> and </w:t>
      </w:r>
      <w:r w:rsidRPr="00A428C3">
        <w:t>the phrase proximity analysis provided the relationships among the pervasive technical themes. Bibliometric analysis of the NES literature supplemented the DT results by identifying: the recent most prolific NES authors; the journals which contain numerous NES papers; the institutions which produce numerous NES papers; the keywords most frequently specified by the NES authors; the authors whose works are cited most frequently in the NES papers;</w:t>
      </w:r>
      <w:r w:rsidR="00F81221">
        <w:t xml:space="preserve"> and </w:t>
      </w:r>
      <w:r w:rsidRPr="00A428C3">
        <w:t>the particular papers</w:t>
      </w:r>
      <w:r w:rsidR="00F81221">
        <w:t xml:space="preserve"> and </w:t>
      </w:r>
      <w:r w:rsidRPr="00A428C3">
        <w:t>journals cited most frequently in the NES papers.</w:t>
      </w:r>
    </w:p>
    <w:p w:rsidR="00B95188" w:rsidRPr="00A428C3" w:rsidRDefault="00B95188" w:rsidP="00B95188">
      <w:pPr>
        <w:pStyle w:val="a0"/>
      </w:pPr>
      <w:r w:rsidRPr="00A428C3">
        <w:t>Keywords: Database Systems, Computerized Tomography, Information Retrieval, Technology, Computational Linguistics, Text Processing, Database Tomography, Technical Intelligence, Near Earth Space Database, Phrase Frequency Analysis</w:t>
      </w:r>
    </w:p>
    <w:p w:rsidR="002503DB" w:rsidRDefault="002503DB" w:rsidP="002503DB">
      <w:pPr>
        <w:pStyle w:val="a0"/>
      </w:pPr>
      <w:r>
        <w:rPr>
          <w:rFonts w:hint="eastAsia"/>
        </w:rPr>
        <w:t>Notes: MModel</w:t>
      </w:r>
    </w:p>
    <w:p w:rsidR="00B95188" w:rsidRPr="00A428C3" w:rsidRDefault="00B95188" w:rsidP="00B95188">
      <w:pPr>
        <w:pStyle w:val="a0"/>
      </w:pPr>
      <w:r w:rsidRPr="00A428C3">
        <w:t>Gupta, B.M., Sharma, L.</w:t>
      </w:r>
      <w:r w:rsidR="00F81221">
        <w:t xml:space="preserve"> and </w:t>
      </w:r>
      <w:r w:rsidRPr="00A428C3">
        <w:t>Kumar, S. (1998), Literature growth</w:t>
      </w:r>
      <w:r w:rsidR="00F81221">
        <w:t xml:space="preserve"> and </w:t>
      </w:r>
      <w:r w:rsidRPr="00A428C3">
        <w:t xml:space="preserve">author productivity patterns in Indian Physics. </w:t>
      </w:r>
      <w:r w:rsidRPr="00A428C3">
        <w:rPr>
          <w:i/>
          <w:iCs/>
        </w:rPr>
        <w:t>Information Processing &amp; Management</w:t>
      </w:r>
      <w:r w:rsidRPr="00A428C3">
        <w:t xml:space="preserve">, </w:t>
      </w:r>
      <w:r w:rsidRPr="00A428C3">
        <w:rPr>
          <w:b/>
        </w:rPr>
        <w:t>34</w:t>
      </w:r>
      <w:r w:rsidRPr="00A428C3">
        <w:t xml:space="preserve"> (1), 121-131.</w:t>
      </w:r>
    </w:p>
    <w:p w:rsidR="00C245B0" w:rsidRPr="001A3D2B" w:rsidRDefault="00C245B0" w:rsidP="00C245B0">
      <w:pPr>
        <w:pStyle w:val="a0"/>
      </w:pPr>
      <w:r w:rsidRPr="001A3D2B">
        <w:t xml:space="preserve">Full Text: </w:t>
      </w:r>
      <w:hyperlink r:id="rId1398" w:history="1">
        <w:r w:rsidRPr="001A3D2B">
          <w:rPr>
            <w:rStyle w:val="a5"/>
          </w:rPr>
          <w:t>1998\Inf Pro Man34, 121.pdf</w:t>
        </w:r>
      </w:hyperlink>
    </w:p>
    <w:p w:rsidR="00B95188" w:rsidRPr="00A428C3" w:rsidRDefault="00B95188" w:rsidP="00B95188">
      <w:pPr>
        <w:pStyle w:val="a0"/>
      </w:pPr>
      <w:r w:rsidRPr="00A428C3">
        <w:t>Abstract: Studies the growth of Indian</w:t>
      </w:r>
      <w:r w:rsidR="00F81221">
        <w:t xml:space="preserve"> and </w:t>
      </w:r>
      <w:r w:rsidRPr="00A428C3">
        <w:t>World physics literature from 1900-50. Explores the applicability of selected technology diffusion models to the growth of literature in Indian</w:t>
      </w:r>
      <w:r w:rsidR="00F81221">
        <w:t xml:space="preserve"> and </w:t>
      </w:r>
      <w:r w:rsidRPr="00A428C3">
        <w:t>World physics. Focuses on the applicability</w:t>
      </w:r>
      <w:r w:rsidR="00F81221">
        <w:t xml:space="preserve"> and </w:t>
      </w:r>
      <w:r w:rsidRPr="00A428C3">
        <w:t>validity of two forms of Lotka</w:t>
      </w:r>
      <w:r w:rsidR="000352E7">
        <w:t>’</w:t>
      </w:r>
      <w:r w:rsidRPr="00A428C3">
        <w:t>s Law</w:t>
      </w:r>
      <w:r w:rsidR="00F81221">
        <w:t xml:space="preserve"> and </w:t>
      </w:r>
      <w:r w:rsidRPr="00A428C3">
        <w:t>negative binomial distribution model to the cumulative author productivity data on Indian physics. Looks at the linkages between inequality/concentration measures</w:t>
      </w:r>
      <w:r w:rsidR="00F81221">
        <w:t xml:space="preserve"> and </w:t>
      </w:r>
      <w:r w:rsidRPr="00A428C3">
        <w:t>development of Indian physics as a discipline. Explores the relevance</w:t>
      </w:r>
      <w:r w:rsidR="00F81221">
        <w:t xml:space="preserve"> and </w:t>
      </w:r>
      <w:r w:rsidRPr="00A428C3">
        <w:t xml:space="preserve">applicability of two well known generalisations, Price </w:t>
      </w:r>
      <w:r w:rsidRPr="00A428C3">
        <w:lastRenderedPageBreak/>
        <w:t>Square Root Law</w:t>
      </w:r>
      <w:r w:rsidR="00F81221">
        <w:t xml:space="preserve"> and </w:t>
      </w:r>
      <w:r w:rsidRPr="00A428C3">
        <w:t>80/20 Rule to the cumulative author productivity data on Indian physics. Studies the increase in the number of practitioners, at different productivity levels,</w:t>
      </w:r>
      <w:r w:rsidR="00F81221">
        <w:t xml:space="preserve"> and </w:t>
      </w:r>
      <w:r w:rsidRPr="00A428C3">
        <w:t>the emergence of core authors in Indian physics.</w:t>
      </w:r>
    </w:p>
    <w:p w:rsidR="00B95188" w:rsidRPr="00A428C3" w:rsidRDefault="00B95188" w:rsidP="00B95188">
      <w:pPr>
        <w:pStyle w:val="a0"/>
      </w:pPr>
      <w:r w:rsidRPr="00A428C3">
        <w:t>Tahai, A.</w:t>
      </w:r>
      <w:r w:rsidR="00F81221">
        <w:t xml:space="preserve"> and </w:t>
      </w:r>
      <w:r w:rsidRPr="00A428C3">
        <w:t xml:space="preserve">Rigsby, J.T. (1998), Information processing using citations to investigate journal influence in accounting. </w:t>
      </w:r>
      <w:r w:rsidRPr="00A428C3">
        <w:rPr>
          <w:i/>
          <w:iCs/>
        </w:rPr>
        <w:t>Information Processing &amp; Management</w:t>
      </w:r>
      <w:r w:rsidRPr="00A428C3">
        <w:t xml:space="preserve">, </w:t>
      </w:r>
      <w:r w:rsidRPr="00A428C3">
        <w:rPr>
          <w:b/>
        </w:rPr>
        <w:t>34</w:t>
      </w:r>
      <w:r w:rsidRPr="00A428C3">
        <w:t xml:space="preserve"> (2-3), 341-359.</w:t>
      </w:r>
    </w:p>
    <w:p w:rsidR="00C245B0" w:rsidRPr="001A3D2B" w:rsidRDefault="00C245B0" w:rsidP="00C245B0">
      <w:pPr>
        <w:pStyle w:val="a0"/>
      </w:pPr>
      <w:r w:rsidRPr="001A3D2B">
        <w:t xml:space="preserve">Full Text: </w:t>
      </w:r>
      <w:hyperlink r:id="rId1399" w:history="1">
        <w:r w:rsidRPr="001A3D2B">
          <w:rPr>
            <w:rStyle w:val="a5"/>
          </w:rPr>
          <w:t>1998\Inf Pro Man34, 341.pdf</w:t>
        </w:r>
      </w:hyperlink>
    </w:p>
    <w:p w:rsidR="00B95188" w:rsidRPr="00A428C3" w:rsidRDefault="00B95188" w:rsidP="00B95188">
      <w:pPr>
        <w:pStyle w:val="a0"/>
      </w:pPr>
      <w:r w:rsidRPr="00A428C3">
        <w:t xml:space="preserve">Abstract: The first objective of this study is to investigate the durability or </w:t>
      </w:r>
      <w:r w:rsidR="000352E7">
        <w:t>“</w:t>
      </w:r>
      <w:r w:rsidRPr="00A428C3">
        <w:t>staying power</w:t>
      </w:r>
      <w:r w:rsidR="000352E7">
        <w:t>”</w:t>
      </w:r>
      <w:r w:rsidRPr="00A428C3">
        <w:t xml:space="preserve"> of accounting research in representative scholarly journals by evaluating the extent</w:t>
      </w:r>
      <w:r w:rsidR="00F81221">
        <w:t xml:space="preserve"> and </w:t>
      </w:r>
      <w:r w:rsidRPr="00A428C3">
        <w:t>usage of previous literature in current literature. The value or durability of research can be represented by the pattern of citation vintages that typifies a body of literature. We use the generalized gamma distribution</w:t>
      </w:r>
      <w:r w:rsidR="00F81221">
        <w:t xml:space="preserve"> and </w:t>
      </w:r>
      <w:r w:rsidRPr="00A428C3">
        <w:t>its four nested models (exponential, Weibull, gamma,</w:t>
      </w:r>
      <w:r w:rsidR="00F81221">
        <w:t xml:space="preserve"> and </w:t>
      </w:r>
      <w:r w:rsidRPr="00A428C3">
        <w:t>log-normal) to determine a mean, median,</w:t>
      </w:r>
      <w:r w:rsidR="00F81221">
        <w:t xml:space="preserve"> and </w:t>
      </w:r>
      <w:r w:rsidRPr="00A428C3">
        <w:t>mode for citation age. A second</w:t>
      </w:r>
      <w:r w:rsidR="00F81221">
        <w:t xml:space="preserve"> and </w:t>
      </w:r>
      <w:r w:rsidRPr="00A428C3">
        <w:t>significant motivation of the study is to objectively rank the relative influence of journals on the accounting literature. Three variations of an impact factor are used to make this analysis. The first impact factor is based upon simple citation count using the proportional method, while the other two impact factors use the results of the time analysis of the data to improve the method of ranking through the emphasis of current publications.</w:t>
      </w:r>
    </w:p>
    <w:p w:rsidR="002503DB" w:rsidRDefault="002503DB" w:rsidP="002503DB">
      <w:pPr>
        <w:pStyle w:val="a0"/>
      </w:pPr>
      <w:r>
        <w:rPr>
          <w:rFonts w:hint="eastAsia"/>
        </w:rPr>
        <w:t>Notes: TTopic</w:t>
      </w:r>
    </w:p>
    <w:p w:rsidR="00B95188" w:rsidRPr="00A428C3" w:rsidRDefault="00B95188" w:rsidP="00B95188">
      <w:pPr>
        <w:pStyle w:val="a0"/>
      </w:pPr>
      <w:r w:rsidRPr="00A428C3">
        <w:t>Álvarez, P.</w:t>
      </w:r>
      <w:r w:rsidR="00F81221">
        <w:t xml:space="preserve"> and </w:t>
      </w:r>
      <w:r w:rsidRPr="00A428C3">
        <w:t xml:space="preserve">Pulgarín, A. (1998), Equating research production in different scientific fields. </w:t>
      </w:r>
      <w:r w:rsidRPr="00A428C3">
        <w:rPr>
          <w:i/>
          <w:iCs/>
        </w:rPr>
        <w:t>Information Processing &amp; Management</w:t>
      </w:r>
      <w:r w:rsidRPr="00A428C3">
        <w:t xml:space="preserve">, </w:t>
      </w:r>
      <w:r w:rsidRPr="00A428C3">
        <w:rPr>
          <w:b/>
        </w:rPr>
        <w:t>34</w:t>
      </w:r>
      <w:r w:rsidRPr="00A428C3">
        <w:t xml:space="preserve"> (4), 465-470.</w:t>
      </w:r>
    </w:p>
    <w:p w:rsidR="00C245B0" w:rsidRPr="001A3D2B" w:rsidRDefault="00C245B0" w:rsidP="00C245B0">
      <w:pPr>
        <w:pStyle w:val="a0"/>
      </w:pPr>
      <w:r w:rsidRPr="001A3D2B">
        <w:t xml:space="preserve">Full Text: </w:t>
      </w:r>
      <w:hyperlink r:id="rId1400" w:history="1">
        <w:r w:rsidRPr="001A3D2B">
          <w:rPr>
            <w:rStyle w:val="a5"/>
          </w:rPr>
          <w:t>1998\Inf Pro Man34, 465.pdf</w:t>
        </w:r>
      </w:hyperlink>
    </w:p>
    <w:p w:rsidR="00B95188" w:rsidRPr="00A428C3" w:rsidRDefault="00B95188" w:rsidP="00B95188">
      <w:pPr>
        <w:pStyle w:val="a0"/>
      </w:pPr>
      <w:r w:rsidRPr="00A428C3">
        <w:t>Abstract: Diffusion in a scientific field is regarded as the dissemination of knowledge, channeled through citations that are distributed over different periods of time</w:t>
      </w:r>
      <w:r w:rsidR="00F81221">
        <w:t xml:space="preserve"> and </w:t>
      </w:r>
      <w:r w:rsidRPr="00A428C3">
        <w:t>propagated by means of scientific journals. Here it is considered to be a latent variable defined by a particular set of items (the citations made in different fields)</w:t>
      </w:r>
      <w:r w:rsidR="00F81221">
        <w:t xml:space="preserve"> and </w:t>
      </w:r>
      <w:r w:rsidRPr="00A428C3">
        <w:t>the Quantum Measurement technique is used as an instrument for measuring that variable on an objective scale. The different scientific fields thereby equiparated according to their diffusion. The citations generated by articles belonging to these fields were collected from the SCI/SSCI JCR of ISI (Science Citation Index/Social Science Citation Index Journal Citation Reports of Institute for Scientific Information). The final result is an equivalence table of citations between the areas of research.</w:t>
      </w:r>
    </w:p>
    <w:p w:rsidR="00B95188" w:rsidRPr="00A428C3" w:rsidRDefault="00B95188" w:rsidP="00B95188">
      <w:pPr>
        <w:pStyle w:val="a0"/>
      </w:pPr>
      <w:r w:rsidRPr="00A428C3">
        <w:t>Keywords: Information Management, Publishing, Equivalence Classes, Natural Sciences Computing, Information Analysis, Scientific Journals, Quantum Measurement Technique, Equivalence Table</w:t>
      </w:r>
    </w:p>
    <w:p w:rsidR="002503DB" w:rsidRDefault="002503DB" w:rsidP="002503DB">
      <w:pPr>
        <w:pStyle w:val="a0"/>
      </w:pPr>
      <w:r>
        <w:rPr>
          <w:rFonts w:hint="eastAsia"/>
        </w:rPr>
        <w:t>Notes: MModel</w:t>
      </w:r>
    </w:p>
    <w:p w:rsidR="00B95188" w:rsidRPr="00A428C3" w:rsidRDefault="00B95188" w:rsidP="00B95188">
      <w:pPr>
        <w:pStyle w:val="a0"/>
      </w:pPr>
      <w:r w:rsidRPr="00A428C3">
        <w:t>Huber, J.C. (1998), The underlying process generating Lotka</w:t>
      </w:r>
      <w:r w:rsidR="000352E7">
        <w:t>’</w:t>
      </w:r>
      <w:r w:rsidRPr="00A428C3">
        <w:t>s law</w:t>
      </w:r>
      <w:r w:rsidR="00F81221">
        <w:t xml:space="preserve"> and </w:t>
      </w:r>
      <w:r w:rsidRPr="00A428C3">
        <w:t xml:space="preserve">the statistics of </w:t>
      </w:r>
      <w:r w:rsidRPr="00A428C3">
        <w:lastRenderedPageBreak/>
        <w:t xml:space="preserve">exceedances. </w:t>
      </w:r>
      <w:r w:rsidRPr="00A428C3">
        <w:rPr>
          <w:i/>
          <w:iCs/>
        </w:rPr>
        <w:t>Information Processing &amp; Management</w:t>
      </w:r>
      <w:r w:rsidRPr="00A428C3">
        <w:t xml:space="preserve">, </w:t>
      </w:r>
      <w:r w:rsidRPr="00A428C3">
        <w:rPr>
          <w:b/>
        </w:rPr>
        <w:t>34</w:t>
      </w:r>
      <w:r w:rsidRPr="00A428C3">
        <w:t xml:space="preserve"> (4), 471-487.</w:t>
      </w:r>
    </w:p>
    <w:p w:rsidR="00C245B0" w:rsidRPr="001A3D2B" w:rsidRDefault="00C245B0" w:rsidP="00C245B0">
      <w:pPr>
        <w:pStyle w:val="a0"/>
      </w:pPr>
      <w:r w:rsidRPr="001A3D2B">
        <w:t xml:space="preserve">Full Text: </w:t>
      </w:r>
      <w:hyperlink r:id="rId1401" w:history="1">
        <w:r w:rsidRPr="001A3D2B">
          <w:rPr>
            <w:rStyle w:val="a5"/>
          </w:rPr>
          <w:t>1998\Inf Pro Man34, 771.pdf</w:t>
        </w:r>
      </w:hyperlink>
    </w:p>
    <w:p w:rsidR="00B95188" w:rsidRPr="00A428C3" w:rsidRDefault="00B95188" w:rsidP="00B95188">
      <w:pPr>
        <w:pStyle w:val="a0"/>
      </w:pPr>
      <w:r w:rsidRPr="00A428C3">
        <w:t>Abstract: Lotka</w:t>
      </w:r>
      <w:r w:rsidR="000352E7">
        <w:t>’</w:t>
      </w:r>
      <w:r w:rsidRPr="00A428C3">
        <w:t>s Law is a widely observed distribution of authors of scholarly papers</w:t>
      </w:r>
      <w:r w:rsidR="00F81221">
        <w:t xml:space="preserve"> and </w:t>
      </w:r>
      <w:r w:rsidRPr="00A428C3">
        <w:t>patents. Numerous studies over the past seventy years have found Lotka</w:t>
      </w:r>
      <w:r w:rsidR="000352E7">
        <w:t>’</w:t>
      </w:r>
      <w:r w:rsidRPr="00A428C3">
        <w:t>s Law describes production in fields as diverse as chemistry, economics, history, information science, musicology, patents</w:t>
      </w:r>
      <w:r w:rsidR="00F81221">
        <w:t xml:space="preserve"> and </w:t>
      </w:r>
      <w:r w:rsidRPr="00A428C3">
        <w:t>psychology. But previously the parameters for Lotka</w:t>
      </w:r>
      <w:r w:rsidR="000352E7">
        <w:t>’</w:t>
      </w:r>
      <w:r w:rsidRPr="00A428C3">
        <w:t>s Law were not linked to variables that could be measured or estimated during an individual</w:t>
      </w:r>
      <w:r w:rsidR="000352E7">
        <w:t>’</w:t>
      </w:r>
      <w:r w:rsidRPr="00A428C3">
        <w:t>s career. Here we show that the statistics of exceedances generates Lotka</w:t>
      </w:r>
      <w:r w:rsidR="000352E7">
        <w:t>’</w:t>
      </w:r>
      <w:r w:rsidRPr="00A428C3">
        <w:t>s Law. Specifically, the Frequency of production (papers or patents per year)</w:t>
      </w:r>
      <w:r w:rsidR="00F81221">
        <w:t xml:space="preserve"> and </w:t>
      </w:r>
      <w:r w:rsidRPr="00A428C3">
        <w:t>Lifetime (career duration) are exponentially distributed random variables. Empirical, phenomenological</w:t>
      </w:r>
      <w:r w:rsidR="00F81221">
        <w:t xml:space="preserve"> and </w:t>
      </w:r>
      <w:r w:rsidRPr="00A428C3">
        <w:t>mathematical development shows that, when suitably weighted, the product of Frequency</w:t>
      </w:r>
      <w:r w:rsidR="00F81221">
        <w:t xml:space="preserve"> and </w:t>
      </w:r>
      <w:r w:rsidRPr="00A428C3">
        <w:t>Lifetime produces Lotka</w:t>
      </w:r>
      <w:r w:rsidR="000352E7">
        <w:t>’</w:t>
      </w:r>
      <w:r w:rsidRPr="00A428C3">
        <w:t>s Law.</w:t>
      </w:r>
    </w:p>
    <w:p w:rsidR="00B95188" w:rsidRPr="00A428C3" w:rsidRDefault="00B95188" w:rsidP="00B95188">
      <w:pPr>
        <w:pStyle w:val="a0"/>
      </w:pPr>
      <w:r w:rsidRPr="00A428C3">
        <w:t>Keywords: Development, Distribution, Distributions, Duration, Economics, History, Information, Information Science, Parameters, Patents, Precision, Process, Production, Productivity, Psychology, Publication, Science, Scientific Participation, Speed, Statistics</w:t>
      </w:r>
    </w:p>
    <w:p w:rsidR="002503DB" w:rsidRDefault="002503DB" w:rsidP="002503DB">
      <w:pPr>
        <w:pStyle w:val="a0"/>
      </w:pPr>
      <w:r>
        <w:rPr>
          <w:rFonts w:hint="eastAsia"/>
        </w:rPr>
        <w:t>Notes: MModel</w:t>
      </w:r>
    </w:p>
    <w:p w:rsidR="00B95188" w:rsidRPr="00A428C3" w:rsidRDefault="00B95188" w:rsidP="00B95188">
      <w:pPr>
        <w:pStyle w:val="a0"/>
      </w:pPr>
      <w:r w:rsidRPr="00A428C3">
        <w:t>Kumar, S., Sharma, P.</w:t>
      </w:r>
      <w:r w:rsidR="00F81221">
        <w:t xml:space="preserve"> and </w:t>
      </w:r>
      <w:r w:rsidRPr="00A428C3">
        <w:t>Garg, K.C. (1998), Lotka</w:t>
      </w:r>
      <w:r w:rsidR="000352E7">
        <w:t>’</w:t>
      </w:r>
      <w:r w:rsidRPr="00A428C3">
        <w:t>s law</w:t>
      </w:r>
      <w:r w:rsidR="00F81221">
        <w:t xml:space="preserve"> and </w:t>
      </w:r>
      <w:r w:rsidRPr="00A428C3">
        <w:t xml:space="preserve">institutional productivity. </w:t>
      </w:r>
      <w:r w:rsidRPr="00A428C3">
        <w:rPr>
          <w:i/>
          <w:iCs/>
        </w:rPr>
        <w:t>Information Processing &amp; Management</w:t>
      </w:r>
      <w:r w:rsidRPr="00A428C3">
        <w:t xml:space="preserve">, </w:t>
      </w:r>
      <w:r w:rsidRPr="00A428C3">
        <w:rPr>
          <w:b/>
        </w:rPr>
        <w:t>34</w:t>
      </w:r>
      <w:r w:rsidRPr="00A428C3">
        <w:t xml:space="preserve"> (6), 775-783.</w:t>
      </w:r>
    </w:p>
    <w:p w:rsidR="00C245B0" w:rsidRPr="001A3D2B" w:rsidRDefault="00C245B0" w:rsidP="00C245B0">
      <w:pPr>
        <w:pStyle w:val="a0"/>
      </w:pPr>
      <w:r w:rsidRPr="001A3D2B">
        <w:t xml:space="preserve">Full Text: </w:t>
      </w:r>
      <w:hyperlink r:id="rId1402" w:history="1">
        <w:r w:rsidRPr="001A3D2B">
          <w:rPr>
            <w:rStyle w:val="a5"/>
          </w:rPr>
          <w:t>1998\Inf Pro Man34, 775.pdf</w:t>
        </w:r>
      </w:hyperlink>
    </w:p>
    <w:p w:rsidR="00B95188" w:rsidRPr="00A428C3" w:rsidRDefault="00B95188" w:rsidP="00B95188">
      <w:pPr>
        <w:pStyle w:val="a0"/>
      </w:pPr>
      <w:r w:rsidRPr="00A428C3">
        <w:t>Abstract: The present study aims at determining the applicability of Lotka</w:t>
      </w:r>
      <w:r w:rsidR="000352E7">
        <w:t>’</w:t>
      </w:r>
      <w:r w:rsidRPr="00A428C3">
        <w:t>s law, negative binomial distribution</w:t>
      </w:r>
      <w:r w:rsidR="00F81221">
        <w:t xml:space="preserve"> and </w:t>
      </w:r>
      <w:r w:rsidRPr="00A428C3">
        <w:t>lognormal distribution for institutional productivity, in the same way as it is to authors</w:t>
      </w:r>
      <w:r w:rsidR="00F81221">
        <w:t xml:space="preserve"> and </w:t>
      </w:r>
      <w:r w:rsidRPr="00A428C3">
        <w:t>their productivity in the field of engineering sciences</w:t>
      </w:r>
      <w:r w:rsidR="00F81221">
        <w:t xml:space="preserve"> and </w:t>
      </w:r>
      <w:r w:rsidRPr="00A428C3">
        <w:t>the patents filed by industrial firms in laser S&amp;T. The study indicates that non of the three distributions are applicable for institutional productivity in engineering sciences. However, Lotka</w:t>
      </w:r>
      <w:r w:rsidR="000352E7">
        <w:t>’</w:t>
      </w:r>
      <w:r w:rsidRPr="00A428C3">
        <w:t>s law holds good for full as well as truncated set of data for the patents filed by industrial firms.</w:t>
      </w:r>
    </w:p>
    <w:p w:rsidR="00B95188" w:rsidRPr="00A428C3" w:rsidRDefault="00B95188" w:rsidP="00B95188">
      <w:pPr>
        <w:pStyle w:val="a0"/>
      </w:pPr>
      <w:r w:rsidRPr="00A428C3">
        <w:t>Keywords: Distribution, Distributions, Engineering, Industrial, Law, Lotka</w:t>
      </w:r>
      <w:r w:rsidR="000352E7">
        <w:t>’</w:t>
      </w:r>
      <w:r w:rsidRPr="00A428C3">
        <w:t xml:space="preserve">s </w:t>
      </w:r>
      <w:smartTag w:uri="urn:schemas-microsoft-com:office:smarttags" w:element="place">
        <w:smartTag w:uri="urn:schemas-microsoft-com:office:smarttags" w:element="City">
          <w:r w:rsidRPr="00A428C3">
            <w:t>Law</w:t>
          </w:r>
        </w:smartTag>
        <w:r w:rsidRPr="00A428C3">
          <w:t xml:space="preserve">, </w:t>
        </w:r>
        <w:smartTag w:uri="urn:schemas-microsoft-com:office:smarttags" w:element="country-region">
          <w:r w:rsidRPr="00A428C3">
            <w:t>Nigeria</w:t>
          </w:r>
        </w:smartTag>
      </w:smartTag>
      <w:r w:rsidRPr="00A428C3">
        <w:t>, Patents, Patterns, Productivity, Science, Sciences</w:t>
      </w:r>
    </w:p>
    <w:p w:rsidR="00B95188" w:rsidRPr="00A428C3" w:rsidRDefault="00B95188" w:rsidP="00B95188">
      <w:pPr>
        <w:pStyle w:val="a0"/>
      </w:pPr>
      <w:r w:rsidRPr="00A428C3">
        <w:t>Glänzel, W.</w:t>
      </w:r>
      <w:r w:rsidR="00F81221">
        <w:t xml:space="preserve"> and </w:t>
      </w:r>
      <w:r w:rsidRPr="00A428C3">
        <w:t>Schoepflin, U. (1999), A bibliometric study of reference literature in the sciences</w:t>
      </w:r>
      <w:r w:rsidR="00F81221">
        <w:t xml:space="preserve"> and </w:t>
      </w:r>
      <w:r w:rsidRPr="00A428C3">
        <w:t xml:space="preserve">social sciences. </w:t>
      </w:r>
      <w:r w:rsidRPr="00A428C3">
        <w:rPr>
          <w:i/>
          <w:iCs/>
        </w:rPr>
        <w:t>Information Processing &amp; Management</w:t>
      </w:r>
      <w:r w:rsidRPr="00A428C3">
        <w:t xml:space="preserve">, </w:t>
      </w:r>
      <w:r w:rsidRPr="00A428C3">
        <w:rPr>
          <w:b/>
        </w:rPr>
        <w:t>35</w:t>
      </w:r>
      <w:r w:rsidRPr="00A428C3">
        <w:t xml:space="preserve"> (1), 31-44.</w:t>
      </w:r>
    </w:p>
    <w:p w:rsidR="00C245B0" w:rsidRPr="001A3D2B" w:rsidRDefault="00C245B0" w:rsidP="00C245B0">
      <w:pPr>
        <w:pStyle w:val="a0"/>
      </w:pPr>
      <w:r w:rsidRPr="001A3D2B">
        <w:t xml:space="preserve">Full Text: </w:t>
      </w:r>
      <w:hyperlink r:id="rId1403" w:history="1">
        <w:r w:rsidRPr="001A3D2B">
          <w:rPr>
            <w:rStyle w:val="a5"/>
          </w:rPr>
          <w:t>1999\Inf Pro Man35, 31.pdf</w:t>
        </w:r>
      </w:hyperlink>
    </w:p>
    <w:p w:rsidR="00B95188" w:rsidRPr="00A428C3" w:rsidRDefault="00B95188" w:rsidP="00B95188">
      <w:pPr>
        <w:pStyle w:val="a0"/>
      </w:pPr>
      <w:r w:rsidRPr="00A428C3">
        <w:t>Abstract: In earlier papers the authors focused on differences in the ageing of journal literature in science</w:t>
      </w:r>
      <w:r w:rsidR="00F81221">
        <w:t xml:space="preserve"> and </w:t>
      </w:r>
      <w:r w:rsidRPr="00A428C3">
        <w:t>the social sciences. It was shown that for several fields</w:t>
      </w:r>
      <w:r w:rsidR="00F81221">
        <w:t xml:space="preserve"> and </w:t>
      </w:r>
      <w:r w:rsidRPr="00A428C3">
        <w:t xml:space="preserve">topics bibliometric standard indicators based on journal articles need to be modified in order to provide valid results. In fields where monographs, books or reports are important means of scientific information, standard models of scientific </w:t>
      </w:r>
      <w:r w:rsidRPr="00A428C3">
        <w:lastRenderedPageBreak/>
        <w:t>communication are not reflected by journal literature alone. To identify fields where the role of non-serial literature is considerable or critical in terms of bibliometric standard methods, the totality of the bibliographic citations indexed in the 1993 annual cumulation of the SCI</w:t>
      </w:r>
      <w:r w:rsidR="00F81221">
        <w:t xml:space="preserve"> and </w:t>
      </w:r>
      <w:r w:rsidRPr="00A428C3">
        <w:t xml:space="preserve">SSCI databases, have been processed. The analysis is based on three indicators, </w:t>
      </w:r>
      <w:r w:rsidRPr="00A428C3">
        <w:rPr>
          <w:i/>
          <w:iCs/>
        </w:rPr>
        <w:t>the</w:t>
      </w:r>
      <w:r w:rsidRPr="00A428C3">
        <w:t xml:space="preserve"> </w:t>
      </w:r>
      <w:r w:rsidRPr="00A428C3">
        <w:rPr>
          <w:i/>
          <w:iCs/>
        </w:rPr>
        <w:t>percentage of references to serials</w:t>
      </w:r>
      <w:r w:rsidRPr="00A428C3">
        <w:t xml:space="preserve">, </w:t>
      </w:r>
      <w:r w:rsidRPr="00A428C3">
        <w:rPr>
          <w:i/>
          <w:iCs/>
        </w:rPr>
        <w:t>the mean references age</w:t>
      </w:r>
      <w:r w:rsidRPr="00A428C3">
        <w:t>,</w:t>
      </w:r>
      <w:r w:rsidR="00F81221">
        <w:t xml:space="preserve"> and </w:t>
      </w:r>
      <w:r w:rsidRPr="00A428C3">
        <w:rPr>
          <w:i/>
          <w:iCs/>
        </w:rPr>
        <w:t>the</w:t>
      </w:r>
      <w:r w:rsidRPr="00A428C3">
        <w:t xml:space="preserve"> </w:t>
      </w:r>
      <w:r w:rsidRPr="00A428C3">
        <w:rPr>
          <w:i/>
          <w:iCs/>
        </w:rPr>
        <w:t>mean reference rate</w:t>
      </w:r>
      <w:r w:rsidRPr="00A428C3">
        <w:t>. Applications of these measures at different levels of aggregation (i.e., to journals in selected science</w:t>
      </w:r>
      <w:r w:rsidR="00F81221">
        <w:t xml:space="preserve"> and </w:t>
      </w:r>
      <w:r w:rsidRPr="00A428C3">
        <w:t>social science fields) lead to the following conclusions. 1. The percentage of references to serials proved to be a sensitive measure to characterise typical differences in the communication behaviour between the sciences</w:t>
      </w:r>
      <w:r w:rsidR="00F81221">
        <w:t xml:space="preserve"> and </w:t>
      </w:r>
      <w:r w:rsidRPr="00A428C3">
        <w:t>the social sciences. 2. However, there is an overlap zone which includes fields like mathematics, technology oriented science,</w:t>
      </w:r>
      <w:r w:rsidR="00F81221">
        <w:t xml:space="preserve"> and </w:t>
      </w:r>
      <w:r w:rsidRPr="00A428C3">
        <w:t>some social science areas. 3. In certain social sciences part of the information seems even to be originated in non-scientific sources: references to non-serials do not always represent monographs, pre-prints or reports. Consequently, the model of information transfer from scientific literature to scientific (journal) literature assumed by standard bibliometrics requires substantial revision before valid results can be expected through its application to social science areas.</w:t>
      </w:r>
    </w:p>
    <w:p w:rsidR="002503DB" w:rsidRPr="00217FB1" w:rsidRDefault="002503DB" w:rsidP="002503DB">
      <w:pPr>
        <w:pStyle w:val="a0"/>
      </w:pPr>
      <w:r w:rsidRPr="00217FB1">
        <w:t xml:space="preserve">Notes: </w:t>
      </w:r>
      <w:r>
        <w:rPr>
          <w:rFonts w:hint="eastAsia"/>
        </w:rPr>
        <w:t xml:space="preserve">TTopic, </w:t>
      </w:r>
      <w:r w:rsidRPr="00217FB1">
        <w:t>JJournal</w:t>
      </w:r>
    </w:p>
    <w:p w:rsidR="00B95188" w:rsidRPr="00A428C3" w:rsidRDefault="00B95188" w:rsidP="00B95188">
      <w:pPr>
        <w:pStyle w:val="a0"/>
      </w:pPr>
      <w:r w:rsidRPr="00A428C3">
        <w:t>Ding, Y., Chowdhury, G.G.</w:t>
      </w:r>
      <w:r w:rsidR="00F81221">
        <w:t xml:space="preserve"> and </w:t>
      </w:r>
      <w:r w:rsidRPr="00A428C3">
        <w:t xml:space="preserve">Foo, S. (2001), Bibliometric cartography of information retrieval research by using co-word analysis. </w:t>
      </w:r>
      <w:r w:rsidRPr="00A428C3">
        <w:rPr>
          <w:i/>
          <w:iCs/>
        </w:rPr>
        <w:t>Information Processing &amp; Management</w:t>
      </w:r>
      <w:r w:rsidRPr="00A428C3">
        <w:t xml:space="preserve">, </w:t>
      </w:r>
      <w:r w:rsidRPr="00A428C3">
        <w:rPr>
          <w:b/>
        </w:rPr>
        <w:t>37</w:t>
      </w:r>
      <w:r w:rsidRPr="00A428C3">
        <w:t xml:space="preserve"> (6), 817-842.</w:t>
      </w:r>
    </w:p>
    <w:p w:rsidR="00C245B0" w:rsidRPr="001A3D2B" w:rsidRDefault="00C245B0" w:rsidP="00C245B0">
      <w:pPr>
        <w:pStyle w:val="a0"/>
      </w:pPr>
      <w:r w:rsidRPr="001A3D2B">
        <w:t xml:space="preserve">Full Text: </w:t>
      </w:r>
      <w:hyperlink r:id="rId1404" w:history="1">
        <w:r w:rsidRPr="001A3D2B">
          <w:rPr>
            <w:rStyle w:val="a5"/>
          </w:rPr>
          <w:t>2001\Inf Pro Man37, 817.pdf</w:t>
        </w:r>
      </w:hyperlink>
    </w:p>
    <w:p w:rsidR="00B95188" w:rsidRPr="00A428C3" w:rsidRDefault="00B95188" w:rsidP="00B95188">
      <w:pPr>
        <w:pStyle w:val="a0"/>
      </w:pPr>
      <w:r w:rsidRPr="00A428C3">
        <w:t>Abstract: The aim of this study is to map the intellectual structure of the field of Information Retrieval (IR) during the period of 1987-1997. Co-word analysis was employed to reveal patterns</w:t>
      </w:r>
      <w:r w:rsidR="00F81221">
        <w:t xml:space="preserve"> and </w:t>
      </w:r>
      <w:r w:rsidRPr="00A428C3">
        <w:t>trends in the IR field by measuring the association strengths of terms representative of relevant publications or other texts produced in IR field. Data were collected from Science Citation Index (SCI)</w:t>
      </w:r>
      <w:r w:rsidR="00F81221">
        <w:t xml:space="preserve"> and </w:t>
      </w:r>
      <w:r w:rsidRPr="00A428C3">
        <w:t>Social Science Citation Index (SSCI) for the period of 1987-1997. In addition to the keywords added by the SCI</w:t>
      </w:r>
      <w:r w:rsidR="00F81221">
        <w:t xml:space="preserve"> and </w:t>
      </w:r>
      <w:r w:rsidRPr="00A428C3">
        <w:t>SSCI databases, other important keywords were extracted from titles</w:t>
      </w:r>
      <w:r w:rsidR="00F81221">
        <w:t xml:space="preserve"> and </w:t>
      </w:r>
      <w:r w:rsidRPr="00A428C3">
        <w:t>abstracts manually. These keywords were further standardized using vocabulary control tools. In order to trace the dynamic changes of the IR field, the whole 11-year period was further separated into two consecutive periods: 1987-1991</w:t>
      </w:r>
      <w:r w:rsidR="00F81221">
        <w:t xml:space="preserve"> and </w:t>
      </w:r>
      <w:r w:rsidRPr="00A428C3">
        <w:t>1992-1997. The results show that the IR field has some established research themes</w:t>
      </w:r>
      <w:r w:rsidR="00F81221">
        <w:t xml:space="preserve"> and </w:t>
      </w:r>
      <w:r w:rsidRPr="00A428C3">
        <w:t>it also changes rapidly to embrace new themes. (C) 2001 Elsevier Science Ltd. All rights reserved.</w:t>
      </w:r>
    </w:p>
    <w:p w:rsidR="00B95188" w:rsidRPr="00A428C3" w:rsidRDefault="00B95188" w:rsidP="00B95188">
      <w:pPr>
        <w:pStyle w:val="a0"/>
      </w:pPr>
      <w:r w:rsidRPr="00A428C3">
        <w:t>Keywords: Co-Word Analysis, Information Retrieval Research, Research Trends, Science Citation Index, Social Science Citation Index, Neural-Network Research, Science Maps, Scientometrics, Technology, Representations, Model</w:t>
      </w:r>
    </w:p>
    <w:p w:rsidR="002503DB" w:rsidRPr="00217FB1" w:rsidRDefault="002503DB" w:rsidP="002503DB">
      <w:pPr>
        <w:pStyle w:val="a0"/>
      </w:pPr>
      <w:r w:rsidRPr="00217FB1">
        <w:t>Notes: JJournal</w:t>
      </w:r>
    </w:p>
    <w:p w:rsidR="00B95188" w:rsidRPr="00A428C3" w:rsidRDefault="00B95188" w:rsidP="00B95188">
      <w:pPr>
        <w:pStyle w:val="a0"/>
      </w:pPr>
      <w:r w:rsidRPr="00A428C3">
        <w:lastRenderedPageBreak/>
        <w:t>He, Y.</w:t>
      </w:r>
      <w:r w:rsidR="00F81221">
        <w:t xml:space="preserve"> and </w:t>
      </w:r>
      <w:r w:rsidRPr="00A428C3">
        <w:t xml:space="preserve">Hui, S.C. (2002), Mining a Web Citation Database for author co-citation analysis. </w:t>
      </w:r>
      <w:r w:rsidRPr="00A428C3">
        <w:rPr>
          <w:i/>
          <w:iCs/>
        </w:rPr>
        <w:t>Information Processing &amp; Management</w:t>
      </w:r>
      <w:r w:rsidRPr="00A428C3">
        <w:t xml:space="preserve">, </w:t>
      </w:r>
      <w:r w:rsidRPr="00A428C3">
        <w:rPr>
          <w:b/>
        </w:rPr>
        <w:t>38</w:t>
      </w:r>
      <w:r w:rsidRPr="00A428C3">
        <w:t xml:space="preserve"> (4), 491-508.</w:t>
      </w:r>
    </w:p>
    <w:p w:rsidR="00C245B0" w:rsidRPr="001A3D2B" w:rsidRDefault="00C245B0" w:rsidP="00C245B0">
      <w:pPr>
        <w:pStyle w:val="a0"/>
      </w:pPr>
      <w:r w:rsidRPr="001A3D2B">
        <w:t xml:space="preserve">Full Text: </w:t>
      </w:r>
      <w:hyperlink r:id="rId1405" w:history="1">
        <w:r w:rsidRPr="001A3D2B">
          <w:rPr>
            <w:rStyle w:val="a5"/>
          </w:rPr>
          <w:t>2002\Inf Pro Man38, 491.pdf</w:t>
        </w:r>
      </w:hyperlink>
    </w:p>
    <w:p w:rsidR="00B95188" w:rsidRPr="00A428C3" w:rsidRDefault="00B95188" w:rsidP="00B95188">
      <w:pPr>
        <w:pStyle w:val="a0"/>
      </w:pPr>
      <w:r w:rsidRPr="00A428C3">
        <w:t>Abstract: Author co-citation analysis (ACA) has been widely used in bibliometrics as an analytical method in analyzing the intellectual structure of science studies. It can be used to identify authors from the same or similar research fields. However, such analysis method relies heavily on statistical tools to perform the analysis</w:t>
      </w:r>
      <w:r w:rsidR="00F81221">
        <w:t xml:space="preserve"> and </w:t>
      </w:r>
      <w:r w:rsidRPr="00A428C3">
        <w:t>requires human interpretation. Web Citation Database is a data warehouse used for storing citation indices of Web publications. In this paper, we propose a mining process to automate the ACA based on the Web Citation Database. The mining process uses agglomerative hierarchical clustering (AHC) as the mining technique for author clustering</w:t>
      </w:r>
      <w:r w:rsidR="00F81221">
        <w:t xml:space="preserve"> and </w:t>
      </w:r>
      <w:r w:rsidRPr="00A428C3">
        <w:t>multidimensional scaling (MDS) for displaying author cluster maps. The clustering results</w:t>
      </w:r>
      <w:r w:rsidR="00F81221">
        <w:t xml:space="preserve"> and </w:t>
      </w:r>
      <w:r w:rsidRPr="00A428C3">
        <w:t>author cluster map have been incorporated into a citation-based retrieval system known as PubSearch to support author retrieval of Web publications.</w:t>
      </w:r>
    </w:p>
    <w:p w:rsidR="00B95188" w:rsidRPr="00A428C3" w:rsidRDefault="00B95188" w:rsidP="00B95188">
      <w:pPr>
        <w:pStyle w:val="a0"/>
      </w:pPr>
      <w:r w:rsidRPr="00A428C3">
        <w:t>Keywords: Author Co-Citation Analysis, Data Mining, Web Citation Database, Intelligent Information Retrieval</w:t>
      </w:r>
    </w:p>
    <w:p w:rsidR="00B95188" w:rsidRPr="00A428C3" w:rsidRDefault="00B95188" w:rsidP="00B95188">
      <w:pPr>
        <w:pStyle w:val="a0"/>
      </w:pPr>
      <w:r w:rsidRPr="00A428C3">
        <w:t>Tsai, B.S. (2003), Information landscaping: Information mapping, charting, querying</w:t>
      </w:r>
      <w:r w:rsidR="00F81221">
        <w:t xml:space="preserve"> and </w:t>
      </w:r>
      <w:r w:rsidRPr="00A428C3">
        <w:t xml:space="preserve">reporting techniques for total quality knowledge management. </w:t>
      </w:r>
      <w:r w:rsidRPr="00A428C3">
        <w:rPr>
          <w:i/>
          <w:iCs/>
        </w:rPr>
        <w:t>Information Processing &amp; Management</w:t>
      </w:r>
      <w:r w:rsidRPr="00A428C3">
        <w:t xml:space="preserve">, </w:t>
      </w:r>
      <w:r w:rsidRPr="00A428C3">
        <w:rPr>
          <w:b/>
        </w:rPr>
        <w:t>39</w:t>
      </w:r>
      <w:r w:rsidRPr="00A428C3">
        <w:t xml:space="preserve"> (4), 639-664.</w:t>
      </w:r>
    </w:p>
    <w:p w:rsidR="00C245B0" w:rsidRPr="001A3D2B" w:rsidRDefault="00C245B0" w:rsidP="00C245B0">
      <w:pPr>
        <w:pStyle w:val="a0"/>
      </w:pPr>
      <w:r w:rsidRPr="001A3D2B">
        <w:t xml:space="preserve">Full Text: </w:t>
      </w:r>
      <w:hyperlink r:id="rId1406" w:history="1">
        <w:r w:rsidRPr="001A3D2B">
          <w:rPr>
            <w:rStyle w:val="a5"/>
          </w:rPr>
          <w:t>2003\Inf Pro Man39, 639.pdf</w:t>
        </w:r>
      </w:hyperlink>
    </w:p>
    <w:p w:rsidR="00B95188" w:rsidRPr="00A428C3" w:rsidRDefault="00B95188" w:rsidP="00B95188">
      <w:pPr>
        <w:pStyle w:val="a0"/>
      </w:pPr>
      <w:r w:rsidRPr="00A428C3">
        <w:t>Abstract: Information landscaping––an integration of information mapping, charting, querying</w:t>
      </w:r>
      <w:r w:rsidR="00F81221">
        <w:t xml:space="preserve"> and </w:t>
      </w:r>
      <w:r w:rsidRPr="00A428C3">
        <w:t>reporting techniques––has been developed to enable the construction of a total quality knowledge management system focusing on a particular subject information field. The techniques apply five major parameters of the Fuzzy commonality model (FCM) including unionization, quantity, continuity or stability, changeability,</w:t>
      </w:r>
      <w:r w:rsidR="00F81221">
        <w:t xml:space="preserve"> and </w:t>
      </w:r>
      <w:r w:rsidRPr="00A428C3">
        <w:t>critical probability, to construct a series of information maps (infomaps)</w:t>
      </w:r>
      <w:r w:rsidR="00F81221">
        <w:t xml:space="preserve"> and </w:t>
      </w:r>
      <w:r w:rsidRPr="00A428C3">
        <w:t>a set of chronological-statistical charts (infocharts). The infomaps</w:t>
      </w:r>
      <w:r w:rsidR="00F81221">
        <w:t xml:space="preserve"> and </w:t>
      </w:r>
      <w:r w:rsidRPr="00A428C3">
        <w:t>infocharts are used as the blueprints</w:t>
      </w:r>
      <w:r w:rsidR="00F81221">
        <w:t xml:space="preserve"> and </w:t>
      </w:r>
      <w:r w:rsidRPr="00A428C3">
        <w:t>navigation agents for building</w:t>
      </w:r>
      <w:r w:rsidR="00F81221">
        <w:t xml:space="preserve"> and </w:t>
      </w:r>
      <w:r w:rsidRPr="00A428C3">
        <w:t>developing a web-based subject experts depository</w:t>
      </w:r>
      <w:r w:rsidR="00F81221">
        <w:t xml:space="preserve"> and </w:t>
      </w:r>
      <w:r w:rsidRPr="00A428C3">
        <w:t>query–report system. Focusing on the subject experts/expertise, this system enables a researcher to expedite a query search through infomaps (qualitative reference)</w:t>
      </w:r>
      <w:r w:rsidR="00F81221">
        <w:t xml:space="preserve"> and </w:t>
      </w:r>
      <w:r w:rsidRPr="00A428C3">
        <w:t>infocharts (quantitative reference). The entropy measurement</w:t>
      </w:r>
      <w:r w:rsidR="00F81221">
        <w:t xml:space="preserve"> and </w:t>
      </w:r>
      <w:r w:rsidRPr="00A428C3">
        <w:t>the entropy constant (the square root of the average entropy measure) are calculated to compare with the critical probability of the FCM. This leads to the finding of a set of regression straight lines</w:t>
      </w:r>
      <w:r w:rsidR="00F81221">
        <w:t xml:space="preserve"> and </w:t>
      </w:r>
      <w:r w:rsidRPr="00A428C3">
        <w:t>the establishment of an information oscillogram. The tropics (upper limit, middle range, lower limit),</w:t>
      </w:r>
      <w:r w:rsidR="00F81221">
        <w:t xml:space="preserve"> and </w:t>
      </w:r>
      <w:r w:rsidRPr="00A428C3">
        <w:t>the potential/solstitial population</w:t>
      </w:r>
      <w:r w:rsidR="00F81221">
        <w:t xml:space="preserve"> and </w:t>
      </w:r>
      <w:r w:rsidRPr="00A428C3">
        <w:t>its growth rate within a subject information domain during a particular time period can be determined. They can effectively</w:t>
      </w:r>
      <w:r w:rsidR="00F81221">
        <w:t xml:space="preserve"> and </w:t>
      </w:r>
      <w:r w:rsidRPr="00A428C3">
        <w:t>efficiently guide librarians</w:t>
      </w:r>
      <w:r w:rsidR="00F81221">
        <w:t xml:space="preserve"> and </w:t>
      </w:r>
      <w:r w:rsidRPr="00A428C3">
        <w:t xml:space="preserve">information </w:t>
      </w:r>
      <w:r w:rsidRPr="00A428C3">
        <w:lastRenderedPageBreak/>
        <w:t>professionals towards the construction</w:t>
      </w:r>
      <w:r w:rsidR="00F81221">
        <w:t xml:space="preserve"> and </w:t>
      </w:r>
      <w:r w:rsidRPr="00A428C3">
        <w:t>the continuous development of an electronic collection. The cultivation of a virtual learning</w:t>
      </w:r>
      <w:r w:rsidR="00F81221">
        <w:t xml:space="preserve"> and </w:t>
      </w:r>
      <w:r w:rsidRPr="00A428C3">
        <w:t>referencing environment can also be created by utilizing this data.</w:t>
      </w:r>
    </w:p>
    <w:p w:rsidR="00B95188" w:rsidRPr="00A428C3" w:rsidRDefault="00B95188" w:rsidP="00B95188">
      <w:pPr>
        <w:pStyle w:val="a0"/>
      </w:pPr>
      <w:r w:rsidRPr="00A428C3">
        <w:t>Keywords: Bibliometrics</w:t>
      </w:r>
      <w:r w:rsidR="00F81221">
        <w:t xml:space="preserve"> and </w:t>
      </w:r>
      <w:r w:rsidRPr="00A428C3">
        <w:t>Informetrics, Citation Mining, Information Landscaping, Information Mapping, Knowledge Management</w:t>
      </w:r>
    </w:p>
    <w:p w:rsidR="00B95188" w:rsidRPr="00A428C3" w:rsidRDefault="00B95188" w:rsidP="00B95188">
      <w:pPr>
        <w:pStyle w:val="a0"/>
      </w:pPr>
      <w:r w:rsidRPr="00A428C3">
        <w:t>Lin, X., White, H.D.,</w:t>
      </w:r>
      <w:r w:rsidR="00F81221">
        <w:t xml:space="preserve"> and </w:t>
      </w:r>
      <w:r w:rsidRPr="00A428C3">
        <w:t xml:space="preserve">Buzydlowski, J. (2003), Real-time author co-citation mapping for online searching. </w:t>
      </w:r>
      <w:r w:rsidRPr="00A428C3">
        <w:rPr>
          <w:i/>
          <w:iCs/>
        </w:rPr>
        <w:t>Information Processing &amp; Management</w:t>
      </w:r>
      <w:r w:rsidRPr="00A428C3">
        <w:t xml:space="preserve">, </w:t>
      </w:r>
      <w:r w:rsidRPr="00A428C3">
        <w:rPr>
          <w:b/>
        </w:rPr>
        <w:t>39</w:t>
      </w:r>
      <w:r w:rsidRPr="00A428C3">
        <w:t xml:space="preserve"> (5), 689-706.</w:t>
      </w:r>
    </w:p>
    <w:p w:rsidR="00C245B0" w:rsidRPr="001A3D2B" w:rsidRDefault="00C245B0" w:rsidP="00C245B0">
      <w:pPr>
        <w:pStyle w:val="a0"/>
      </w:pPr>
      <w:r w:rsidRPr="001A3D2B">
        <w:t xml:space="preserve">Full Text: </w:t>
      </w:r>
      <w:hyperlink r:id="rId1407" w:history="1">
        <w:r w:rsidRPr="001A3D2B">
          <w:rPr>
            <w:rStyle w:val="a5"/>
          </w:rPr>
          <w:t>2003\Inf Pro Man39, 689.pdf</w:t>
        </w:r>
      </w:hyperlink>
    </w:p>
    <w:p w:rsidR="00B95188" w:rsidRPr="00A428C3" w:rsidRDefault="00B95188" w:rsidP="00B95188">
      <w:pPr>
        <w:pStyle w:val="a0"/>
      </w:pPr>
      <w:r w:rsidRPr="00A428C3">
        <w:t>Abstract: Author searching is traditionally based on the matching of name strings. Special characteristics of authors as personal names</w:t>
      </w:r>
      <w:r w:rsidR="00F81221">
        <w:t xml:space="preserve"> and </w:t>
      </w:r>
      <w:r w:rsidRPr="00A428C3">
        <w:t>subject indicators are not considered. This makes it difficult to identify a set of related authors or to group authors by subjects in retrieval systems. In this paper, we describe the design</w:t>
      </w:r>
      <w:r w:rsidR="00F81221">
        <w:t xml:space="preserve"> and </w:t>
      </w:r>
      <w:r w:rsidRPr="00A428C3">
        <w:t>implementation of a prototype visualization system to enhance author searching. The system, called AuthorLink, is based on author co-citation analysis</w:t>
      </w:r>
      <w:r w:rsidR="00F81221">
        <w:t xml:space="preserve"> and </w:t>
      </w:r>
      <w:r w:rsidRPr="00A428C3">
        <w:t>visualization mapping algorithms such as Kohonen</w:t>
      </w:r>
      <w:r w:rsidR="000352E7">
        <w:t>’</w:t>
      </w:r>
      <w:r w:rsidRPr="00A428C3">
        <w:t>s feature maps</w:t>
      </w:r>
      <w:r w:rsidR="00F81221">
        <w:t xml:space="preserve"> and </w:t>
      </w:r>
      <w:r w:rsidRPr="00A428C3">
        <w:t>Pathfinder networks. AuthorLink produces interactive author maps in real time from a database of 1.26 million records supplied by the Institute for Scientific Information. The maps show subject groupings</w:t>
      </w:r>
      <w:r w:rsidR="00F81221">
        <w:t xml:space="preserve"> and </w:t>
      </w:r>
      <w:r w:rsidRPr="00A428C3">
        <w:t>more fine-grained intellectual connections among authors. Through the interactive interface the user can take advantage of such information to refine queries</w:t>
      </w:r>
      <w:r w:rsidR="00F81221">
        <w:t xml:space="preserve"> and </w:t>
      </w:r>
      <w:r w:rsidRPr="00A428C3">
        <w:t>retrieve documents through point-and-click manipulation of the authors</w:t>
      </w:r>
      <w:r w:rsidR="000352E7">
        <w:t>’</w:t>
      </w:r>
      <w:r w:rsidRPr="00A428C3">
        <w:t xml:space="preserve"> names.</w:t>
      </w:r>
    </w:p>
    <w:p w:rsidR="00B95188" w:rsidRPr="00A428C3" w:rsidRDefault="00B95188" w:rsidP="00B95188">
      <w:pPr>
        <w:pStyle w:val="a0"/>
      </w:pPr>
      <w:r w:rsidRPr="00A428C3">
        <w:t>Keywords: Author Co-Citation Analysis, Information Retrieval Systems, Author Searching, Kohonen Feature Maps, Pathfinder Networks</w:t>
      </w:r>
    </w:p>
    <w:p w:rsidR="00B95188" w:rsidRPr="00A428C3" w:rsidRDefault="00B95188" w:rsidP="00B95188">
      <w:pPr>
        <w:pStyle w:val="a0"/>
      </w:pPr>
      <w:r w:rsidRPr="00A428C3">
        <w:t>Burrell, Q.L. (2003), Age-specific citation rates</w:t>
      </w:r>
      <w:r w:rsidR="00F81221">
        <w:t xml:space="preserve"> and </w:t>
      </w:r>
      <w:r w:rsidRPr="00A428C3">
        <w:t xml:space="preserve">the Egghe-Rao function. </w:t>
      </w:r>
      <w:r w:rsidRPr="00A428C3">
        <w:rPr>
          <w:i/>
          <w:iCs/>
        </w:rPr>
        <w:t>Information Processing &amp; Management</w:t>
      </w:r>
      <w:r w:rsidRPr="00A428C3">
        <w:t xml:space="preserve">, </w:t>
      </w:r>
      <w:r w:rsidRPr="00A428C3">
        <w:rPr>
          <w:b/>
        </w:rPr>
        <w:t>39</w:t>
      </w:r>
      <w:r w:rsidRPr="00A428C3">
        <w:t xml:space="preserve"> (5), 761-770.</w:t>
      </w:r>
    </w:p>
    <w:p w:rsidR="00C245B0" w:rsidRPr="001A3D2B" w:rsidRDefault="00C245B0" w:rsidP="00C245B0">
      <w:pPr>
        <w:pStyle w:val="a0"/>
      </w:pPr>
      <w:r w:rsidRPr="001A3D2B">
        <w:t xml:space="preserve">Full Text: </w:t>
      </w:r>
      <w:hyperlink r:id="rId1408" w:history="1">
        <w:r w:rsidRPr="001A3D2B">
          <w:rPr>
            <w:rStyle w:val="a5"/>
          </w:rPr>
          <w:t>2003\Inf Pro Man39, 761.pdf</w:t>
        </w:r>
      </w:hyperlink>
    </w:p>
    <w:p w:rsidR="00B95188" w:rsidRPr="00A428C3" w:rsidRDefault="00B95188" w:rsidP="00B95188">
      <w:pPr>
        <w:pStyle w:val="a0"/>
      </w:pPr>
      <w:r w:rsidRPr="00A428C3">
        <w:t>Abstract: Burrell (Scientometrics, 55 (2003) in press) has pointed out certain similarities between retrospective citation age studies</w:t>
      </w:r>
      <w:r w:rsidR="00F81221">
        <w:t xml:space="preserve"> and </w:t>
      </w:r>
      <w:r w:rsidRPr="00A428C3">
        <w:t>reliability theory. Here we extend these connections by considering the so-called failure rate function from reliability which is re-interpreted as the age-specific citation rate (ASCR). This is linked to earlier studies of retrospective citation distributions by Egghe</w:t>
      </w:r>
      <w:r w:rsidR="00F81221">
        <w:t xml:space="preserve"> and </w:t>
      </w:r>
      <w:r w:rsidRPr="00A428C3">
        <w:t>Ravichandra Rao (Information Processing</w:t>
      </w:r>
      <w:r w:rsidR="00F81221">
        <w:t xml:space="preserve"> and </w:t>
      </w:r>
      <w:r w:rsidRPr="00A428C3">
        <w:t>Management 28 (1992) 201) who introduced a function claimed to correspond to what they termed the (discrete time) obsolescence or ageing function. Further analysis reveals that their function is essentially one whose behaviour reflects that of the ASCR. (C) 2002 Elsevier Ltd. All rights reserved</w:t>
      </w:r>
    </w:p>
    <w:p w:rsidR="00B95188" w:rsidRPr="00A428C3" w:rsidRDefault="00B95188" w:rsidP="00B95188">
      <w:pPr>
        <w:pStyle w:val="a0"/>
      </w:pPr>
      <w:r w:rsidRPr="00A428C3">
        <w:t>Keywords: Age- Specific Citation Rate, Egghe-Rao Function, Failure Rate, Graphical Methods, Obsolescence, Retrospective Citation Age Distributions, Science</w:t>
      </w:r>
    </w:p>
    <w:p w:rsidR="00B95188" w:rsidRPr="00A428C3" w:rsidRDefault="00B95188" w:rsidP="00B95188">
      <w:pPr>
        <w:pStyle w:val="a0"/>
      </w:pPr>
      <w:r w:rsidRPr="00A428C3">
        <w:t>Liu, Z.M. (2003), Trends in transforming scholarly communication</w:t>
      </w:r>
      <w:r w:rsidR="00F81221">
        <w:t xml:space="preserve"> and </w:t>
      </w:r>
      <w:r w:rsidRPr="00A428C3">
        <w:t xml:space="preserve">their implications. </w:t>
      </w:r>
      <w:r w:rsidRPr="00A428C3">
        <w:rPr>
          <w:i/>
          <w:iCs/>
        </w:rPr>
        <w:t>Information Processing &amp; Management</w:t>
      </w:r>
      <w:r w:rsidRPr="00A428C3">
        <w:t xml:space="preserve">, </w:t>
      </w:r>
      <w:r w:rsidRPr="00A428C3">
        <w:rPr>
          <w:b/>
        </w:rPr>
        <w:t>39</w:t>
      </w:r>
      <w:r w:rsidRPr="00A428C3">
        <w:t xml:space="preserve"> (6), 889-898.</w:t>
      </w:r>
    </w:p>
    <w:p w:rsidR="00C245B0" w:rsidRPr="001A3D2B" w:rsidRDefault="00C245B0" w:rsidP="00C245B0">
      <w:pPr>
        <w:pStyle w:val="a0"/>
      </w:pPr>
      <w:r w:rsidRPr="001A3D2B">
        <w:lastRenderedPageBreak/>
        <w:t xml:space="preserve">Full Text: </w:t>
      </w:r>
      <w:hyperlink r:id="rId1409" w:history="1">
        <w:r w:rsidRPr="001A3D2B">
          <w:rPr>
            <w:rStyle w:val="a5"/>
          </w:rPr>
          <w:t>2003\Inf Pro Man39, 889.pdf</w:t>
        </w:r>
      </w:hyperlink>
    </w:p>
    <w:p w:rsidR="00B95188" w:rsidRPr="00A428C3" w:rsidRDefault="00B95188" w:rsidP="00B95188">
      <w:pPr>
        <w:pStyle w:val="a0"/>
      </w:pPr>
      <w:r w:rsidRPr="00A428C3">
        <w:t>Abstract: Scholarly communication is undergoing transformation under the confluence of many forces. The purpose of this article is to explore trends in transforming scholarly publishing</w:t>
      </w:r>
      <w:r w:rsidR="00F81221">
        <w:t xml:space="preserve"> and </w:t>
      </w:r>
      <w:r w:rsidRPr="00A428C3">
        <w:t>their implications. It examines how collaboration</w:t>
      </w:r>
      <w:r w:rsidR="00F81221">
        <w:t xml:space="preserve"> and </w:t>
      </w:r>
      <w:r w:rsidRPr="00A428C3">
        <w:t>volume of information production were changed over the past century. It also explores how older documents are used under today</w:t>
      </w:r>
      <w:r w:rsidR="000352E7">
        <w:t>’</w:t>
      </w:r>
      <w:r w:rsidRPr="00A428C3">
        <w:t>s network environment where new information is easily accessible. Understanding these trends would help us design more effective electronic scholarly publishing systems</w:t>
      </w:r>
      <w:r w:rsidR="00F81221">
        <w:t xml:space="preserve"> and </w:t>
      </w:r>
      <w:r w:rsidRPr="00A428C3">
        <w:t>digital libraries,</w:t>
      </w:r>
      <w:r w:rsidR="00F81221">
        <w:t xml:space="preserve"> and </w:t>
      </w:r>
      <w:r w:rsidRPr="00A428C3">
        <w:t>serve the needs of scholars more responsively.</w:t>
      </w:r>
    </w:p>
    <w:p w:rsidR="00B95188" w:rsidRPr="00A428C3" w:rsidRDefault="00B95188" w:rsidP="00B95188">
      <w:pPr>
        <w:pStyle w:val="a0"/>
      </w:pPr>
      <w:r w:rsidRPr="00A428C3">
        <w:t>Keywords: Scholarly Publishing, Authorship, Citation Analysis, Digital Library</w:t>
      </w:r>
    </w:p>
    <w:p w:rsidR="002503DB" w:rsidRDefault="002503DB" w:rsidP="002503DB">
      <w:pPr>
        <w:pStyle w:val="a0"/>
      </w:pPr>
      <w:r>
        <w:rPr>
          <w:rFonts w:hint="eastAsia"/>
        </w:rPr>
        <w:t>Notes: MModel</w:t>
      </w:r>
    </w:p>
    <w:p w:rsidR="00B95188" w:rsidRPr="00A428C3" w:rsidRDefault="00B95188" w:rsidP="00B95188">
      <w:pPr>
        <w:pStyle w:val="a0"/>
      </w:pPr>
      <w:r w:rsidRPr="00A428C3">
        <w:t>Pulgarín, A.</w:t>
      </w:r>
      <w:r w:rsidR="00F81221">
        <w:t xml:space="preserve"> and </w:t>
      </w:r>
      <w:r w:rsidRPr="00A428C3">
        <w:t xml:space="preserve">Gil-Leiva, </w:t>
      </w:r>
      <w:smartTag w:uri="urn:schemas-microsoft-com:office:smarttags" w:element="place">
        <w:r w:rsidRPr="00A428C3">
          <w:t>I.</w:t>
        </w:r>
      </w:smartTag>
      <w:r w:rsidRPr="00A428C3">
        <w:t xml:space="preserve"> (2004), Bibliometric analysis of the automatic indexing literature: 1956–2000. </w:t>
      </w:r>
      <w:r w:rsidRPr="00A428C3">
        <w:rPr>
          <w:i/>
          <w:iCs/>
        </w:rPr>
        <w:t>Information Processing &amp; Management</w:t>
      </w:r>
      <w:r w:rsidRPr="00A428C3">
        <w:t xml:space="preserve">, </w:t>
      </w:r>
      <w:r w:rsidRPr="00A428C3">
        <w:rPr>
          <w:b/>
        </w:rPr>
        <w:t>40</w:t>
      </w:r>
      <w:r w:rsidRPr="00A428C3">
        <w:t xml:space="preserve"> (2), 365-377.</w:t>
      </w:r>
    </w:p>
    <w:p w:rsidR="00C245B0" w:rsidRPr="001A3D2B" w:rsidRDefault="00C245B0" w:rsidP="00C245B0">
      <w:pPr>
        <w:pStyle w:val="a0"/>
      </w:pPr>
      <w:r w:rsidRPr="001A3D2B">
        <w:t xml:space="preserve">Full Text: </w:t>
      </w:r>
      <w:hyperlink r:id="rId1410" w:history="1">
        <w:r w:rsidRPr="001A3D2B">
          <w:rPr>
            <w:rStyle w:val="a5"/>
          </w:rPr>
          <w:t>2004\Inf Pro Man40, 365.pdf</w:t>
        </w:r>
      </w:hyperlink>
    </w:p>
    <w:p w:rsidR="00B95188" w:rsidRPr="00A428C3" w:rsidRDefault="00B95188" w:rsidP="00B95188">
      <w:pPr>
        <w:pStyle w:val="a0"/>
      </w:pPr>
      <w:r w:rsidRPr="00A428C3">
        <w:t>Abstract: We present a bibliometric study of a corpus of 839 bibliographic references about automatic indexing, covering the period 1956–2000. We analyse the distribution of authors</w:t>
      </w:r>
      <w:r w:rsidR="00F81221">
        <w:t xml:space="preserve"> and </w:t>
      </w:r>
      <w:r w:rsidRPr="00A428C3">
        <w:t>works, the obsolescence</w:t>
      </w:r>
      <w:r w:rsidR="00F81221">
        <w:t xml:space="preserve"> and </w:t>
      </w:r>
      <w:r w:rsidRPr="00A428C3">
        <w:t>its dispersion,</w:t>
      </w:r>
      <w:r w:rsidR="00F81221">
        <w:t xml:space="preserve"> and </w:t>
      </w:r>
      <w:r w:rsidRPr="00A428C3">
        <w:t>the distribution of the literature by topic, year,</w:t>
      </w:r>
      <w:r w:rsidR="00F81221">
        <w:t xml:space="preserve"> and </w:t>
      </w:r>
      <w:r w:rsidRPr="00A428C3">
        <w:t>source type. We conclude that: (i) there has been a constant interest on the part of researchers; (ii) the most studied topics were the techniques</w:t>
      </w:r>
      <w:r w:rsidR="00F81221">
        <w:t xml:space="preserve"> and </w:t>
      </w:r>
      <w:r w:rsidRPr="00A428C3">
        <w:t>methods employed</w:t>
      </w:r>
      <w:r w:rsidR="00F81221">
        <w:t xml:space="preserve"> and </w:t>
      </w:r>
      <w:r w:rsidRPr="00A428C3">
        <w:t>the general aspects of automatic indexing; (iii) the productivity of the authors does fit a Lotka distribution (</w:t>
      </w:r>
      <w:r w:rsidRPr="00A428C3">
        <w:rPr>
          <w:i/>
          <w:iCs/>
        </w:rPr>
        <w:t>D</w:t>
      </w:r>
      <w:r w:rsidRPr="00A428C3">
        <w:rPr>
          <w:vertAlign w:val="subscript"/>
        </w:rPr>
        <w:t>max</w:t>
      </w:r>
      <w:r w:rsidRPr="00A428C3">
        <w:t>=0.02</w:t>
      </w:r>
      <w:r w:rsidR="00F81221">
        <w:t xml:space="preserve"> and </w:t>
      </w:r>
      <w:r w:rsidRPr="00A428C3">
        <w:t>criticalvalue=0.054); (iv) the annual aging factor is 95%;</w:t>
      </w:r>
      <w:r w:rsidR="00F81221">
        <w:t xml:space="preserve"> and </w:t>
      </w:r>
      <w:r w:rsidRPr="00A428C3">
        <w:t>(v) the dispersion of the literature is low.</w:t>
      </w:r>
    </w:p>
    <w:p w:rsidR="00B95188" w:rsidRPr="00A428C3" w:rsidRDefault="00B95188" w:rsidP="00B95188">
      <w:pPr>
        <w:pStyle w:val="a0"/>
      </w:pPr>
      <w:r w:rsidRPr="00A428C3">
        <w:t>Keywords: Automatic Indexing, Scientific Output, Bibliometric Analysis, Bradford</w:t>
      </w:r>
      <w:r w:rsidR="000352E7">
        <w:t>’</w:t>
      </w:r>
      <w:r w:rsidRPr="00A428C3">
        <w:t>s Law, Obsolescence</w:t>
      </w:r>
    </w:p>
    <w:p w:rsidR="00B95188" w:rsidRPr="00A428C3" w:rsidRDefault="00B95188" w:rsidP="00B95188">
      <w:pPr>
        <w:pStyle w:val="a0"/>
      </w:pPr>
      <w:r w:rsidRPr="00A428C3">
        <w:t>Pulgarín, A.</w:t>
      </w:r>
      <w:r w:rsidR="00F81221">
        <w:t xml:space="preserve"> and </w:t>
      </w:r>
      <w:r w:rsidRPr="00A428C3">
        <w:t xml:space="preserve">Gil-Leiva, </w:t>
      </w:r>
      <w:smartTag w:uri="urn:schemas-microsoft-com:office:smarttags" w:element="place">
        <w:r w:rsidRPr="00A428C3">
          <w:t>I.</w:t>
        </w:r>
      </w:smartTag>
      <w:r w:rsidRPr="00A428C3">
        <w:t xml:space="preserve"> (2004), Finding similar academic Web sites with links, bibliometric couplings</w:t>
      </w:r>
      <w:r w:rsidR="00F81221">
        <w:t xml:space="preserve"> and </w:t>
      </w:r>
      <w:r w:rsidRPr="00A428C3">
        <w:t xml:space="preserve">colinks. </w:t>
      </w:r>
      <w:r w:rsidRPr="00A428C3">
        <w:rPr>
          <w:i/>
          <w:iCs/>
        </w:rPr>
        <w:t>Information Processing &amp; Management</w:t>
      </w:r>
      <w:r w:rsidRPr="00A428C3">
        <w:t xml:space="preserve">, </w:t>
      </w:r>
      <w:r w:rsidRPr="00A428C3">
        <w:rPr>
          <w:b/>
        </w:rPr>
        <w:t>40</w:t>
      </w:r>
      <w:r w:rsidRPr="00A428C3">
        <w:t xml:space="preserve"> (3), 515-526.</w:t>
      </w:r>
    </w:p>
    <w:p w:rsidR="00C245B0" w:rsidRPr="001A3D2B" w:rsidRDefault="00C245B0" w:rsidP="00C245B0">
      <w:pPr>
        <w:pStyle w:val="a0"/>
      </w:pPr>
      <w:r w:rsidRPr="001A3D2B">
        <w:t xml:space="preserve">Full Text: </w:t>
      </w:r>
      <w:hyperlink r:id="rId1411" w:history="1">
        <w:r w:rsidRPr="001A3D2B">
          <w:rPr>
            <w:rStyle w:val="a5"/>
          </w:rPr>
          <w:t>2004\Inf Pro Man40, 515.pdf</w:t>
        </w:r>
      </w:hyperlink>
    </w:p>
    <w:p w:rsidR="00B95188" w:rsidRPr="00A428C3" w:rsidRDefault="00B95188" w:rsidP="00B95188">
      <w:pPr>
        <w:pStyle w:val="a0"/>
      </w:pPr>
      <w:r w:rsidRPr="00A428C3">
        <w:t>Abstract: A common task in both Webmetrics</w:t>
      </w:r>
      <w:r w:rsidR="00F81221">
        <w:t xml:space="preserve"> and </w:t>
      </w:r>
      <w:r w:rsidRPr="00A428C3">
        <w:t>Web information retrieval is to identify a set of Web pages or sites that are similar in content. In this paper we assess the extent to which links, colinks</w:t>
      </w:r>
      <w:r w:rsidR="00F81221">
        <w:t xml:space="preserve"> and </w:t>
      </w:r>
      <w:r w:rsidRPr="00A428C3">
        <w:t>couplings can be used to identify similar Web sites. As an experiment, a random sample of 500 pairs of domains from the UK academic Web were taken</w:t>
      </w:r>
      <w:r w:rsidR="00F81221">
        <w:t xml:space="preserve"> and </w:t>
      </w:r>
      <w:r w:rsidRPr="00A428C3">
        <w:t xml:space="preserve">human assessments of site similarity, based upon content type, were compared against ratings for the three concepts. The results show that using a combination of all three gives the highest probability of identifying similar sites, but surprisingly this was only a marginal improvement over using links alone. Another unexpected result was that high values for either colink counts or couplings were associated with only a small increased likelihood of similarity. The </w:t>
      </w:r>
      <w:r w:rsidRPr="00A428C3">
        <w:lastRenderedPageBreak/>
        <w:t>principal advantage of using couplings</w:t>
      </w:r>
      <w:r w:rsidR="00F81221">
        <w:t xml:space="preserve"> and </w:t>
      </w:r>
      <w:r w:rsidRPr="00A428C3">
        <w:t>colinks was found to be greater coverage in terms of a much larger number of pairs of sites being connected by these measures, instead of increased probability of similarity. In information retrieval terminology, this is improved recall rather than improved precision.</w:t>
      </w:r>
    </w:p>
    <w:p w:rsidR="00B95188" w:rsidRPr="00A428C3" w:rsidRDefault="00B95188" w:rsidP="00B95188">
      <w:pPr>
        <w:pStyle w:val="a0"/>
      </w:pPr>
      <w:r w:rsidRPr="00A428C3">
        <w:t>Keywords: Document Clustering, Webmetrics, Web Information Retrieval</w:t>
      </w:r>
    </w:p>
    <w:p w:rsidR="00B95188" w:rsidRPr="00A428C3" w:rsidRDefault="00B95188" w:rsidP="00B95188">
      <w:pPr>
        <w:pStyle w:val="a0"/>
      </w:pPr>
      <w:r w:rsidRPr="00A428C3">
        <w:t>Lai, K.K.</w:t>
      </w:r>
      <w:r w:rsidR="00F81221">
        <w:t xml:space="preserve"> and </w:t>
      </w:r>
      <w:r w:rsidRPr="00A428C3">
        <w:t xml:space="preserve">Wu, S.J. (2005), Using the patent co-citation approach to establish a new patent classification system. </w:t>
      </w:r>
      <w:r w:rsidRPr="00A428C3">
        <w:rPr>
          <w:i/>
          <w:iCs/>
        </w:rPr>
        <w:t>Information Processing &amp; Management</w:t>
      </w:r>
      <w:r w:rsidRPr="00A428C3">
        <w:t xml:space="preserve">, </w:t>
      </w:r>
      <w:r w:rsidRPr="00A428C3">
        <w:rPr>
          <w:b/>
        </w:rPr>
        <w:t>41</w:t>
      </w:r>
      <w:r w:rsidRPr="00A428C3">
        <w:t xml:space="preserve"> (2), 313-330.</w:t>
      </w:r>
    </w:p>
    <w:p w:rsidR="00C245B0" w:rsidRPr="001A3D2B" w:rsidRDefault="00C245B0" w:rsidP="00C245B0">
      <w:pPr>
        <w:pStyle w:val="a0"/>
      </w:pPr>
      <w:r w:rsidRPr="001A3D2B">
        <w:t xml:space="preserve">Full Text: </w:t>
      </w:r>
      <w:hyperlink r:id="rId1412" w:history="1">
        <w:r w:rsidRPr="001A3D2B">
          <w:rPr>
            <w:rStyle w:val="a5"/>
          </w:rPr>
          <w:t>2005\Inf Pro Man41, 313.pdf</w:t>
        </w:r>
      </w:hyperlink>
    </w:p>
    <w:p w:rsidR="00B95188" w:rsidRPr="00A428C3" w:rsidRDefault="00B95188" w:rsidP="00B95188">
      <w:pPr>
        <w:pStyle w:val="a0"/>
      </w:pPr>
      <w:r w:rsidRPr="00A428C3">
        <w:t>Abstract: The paper proposes a new approach to create a patent classification system to replace the IPC or UPC system for conducting patent analysis</w:t>
      </w:r>
      <w:r w:rsidR="00F81221">
        <w:t xml:space="preserve"> and </w:t>
      </w:r>
      <w:r w:rsidRPr="00A428C3">
        <w:t>management. The new approach is based on co-citation analysis of bibliometrics. The traditional approach for management of patents, which is based on either the IPC or UPC, is too general to meet the needs of specific industries. In addition, some patents are placed in incorrect categories, making it difficult for enterprises to carry out R&amp;D planning, technology positioning, patent strategy-making</w:t>
      </w:r>
      <w:r w:rsidR="00F81221">
        <w:t xml:space="preserve"> and </w:t>
      </w:r>
      <w:r w:rsidRPr="00A428C3">
        <w:t>technology forecasting. Therefore, it is essential to develop a patent classification system that is adaptive to the characteristics of a specific industry. The analysis of this approach is divided into three phases. Phase I selects appropriate databases to conduct patent searches according to the subject</w:t>
      </w:r>
      <w:r w:rsidR="00F81221">
        <w:t xml:space="preserve"> and </w:t>
      </w:r>
      <w:r w:rsidRPr="00A428C3">
        <w:t>objective of this study</w:t>
      </w:r>
      <w:r w:rsidR="00F81221">
        <w:t xml:space="preserve"> and </w:t>
      </w:r>
      <w:r w:rsidRPr="00A428C3">
        <w:t>then select basic patents. Phase II uses the co-cited frequency of the basic patent pairs to assess their similarity. Phase III uses factor analysis to establish a classification system</w:t>
      </w:r>
      <w:r w:rsidR="00F81221">
        <w:t xml:space="preserve"> and </w:t>
      </w:r>
      <w:r w:rsidRPr="00A428C3">
        <w:t>assess the efficiency of the proposed approach. The main contribution of this approach is to develop a patent classification system based on patent similarities to assist patent manager in understanding the basic patents for a specific industry, the relationships among categories of technologies</w:t>
      </w:r>
      <w:r w:rsidR="00F81221">
        <w:t xml:space="preserve"> and </w:t>
      </w:r>
      <w:r w:rsidRPr="00A428C3">
        <w:t>the evolution of a technology category.</w:t>
      </w:r>
    </w:p>
    <w:p w:rsidR="00B95188" w:rsidRPr="00A428C3" w:rsidRDefault="00B95188" w:rsidP="00B95188">
      <w:pPr>
        <w:pStyle w:val="a0"/>
      </w:pPr>
      <w:r w:rsidRPr="00A428C3">
        <w:t>Keywords: Patent Management, Patent Classification System, Co-Citation, Bibliometrics</w:t>
      </w:r>
    </w:p>
    <w:p w:rsidR="00B95188" w:rsidRPr="00A428C3" w:rsidRDefault="00B95188" w:rsidP="00B95188">
      <w:pPr>
        <w:pStyle w:val="a0"/>
      </w:pPr>
      <w:r w:rsidRPr="00A428C3">
        <w:t>? Egghe, L. (2005), Expansion of the field of informetrics: Origins</w:t>
      </w:r>
      <w:r w:rsidR="00F81221">
        <w:t xml:space="preserve"> and </w:t>
      </w:r>
      <w:r w:rsidRPr="00A428C3">
        <w:t xml:space="preserve">consequences. </w:t>
      </w:r>
      <w:r w:rsidRPr="00A428C3">
        <w:rPr>
          <w:i/>
          <w:iCs/>
        </w:rPr>
        <w:t>Information Processing &amp; Management</w:t>
      </w:r>
      <w:r w:rsidRPr="00A428C3">
        <w:t xml:space="preserve">, </w:t>
      </w:r>
      <w:r w:rsidRPr="00A428C3">
        <w:rPr>
          <w:b/>
        </w:rPr>
        <w:t>41</w:t>
      </w:r>
      <w:r w:rsidRPr="00A428C3">
        <w:t xml:space="preserve"> (6), 1311-1316</w:t>
      </w:r>
    </w:p>
    <w:p w:rsidR="00B95188" w:rsidRPr="00A428C3" w:rsidRDefault="00B95188" w:rsidP="00B95188">
      <w:pPr>
        <w:pStyle w:val="a0"/>
        <w:rPr>
          <w:rFonts w:eastAsia="新細明體"/>
        </w:rPr>
      </w:pPr>
      <w:r w:rsidRPr="00A428C3">
        <w:t xml:space="preserve">Full Text: </w:t>
      </w:r>
      <w:hyperlink r:id="rId1413" w:history="1">
        <w:r w:rsidRPr="00A428C3">
          <w:rPr>
            <w:rStyle w:val="a5"/>
          </w:rPr>
          <w:t>2005\Inf Pro Man41, 1311.pdf</w:t>
        </w:r>
      </w:hyperlink>
    </w:p>
    <w:p w:rsidR="00B95188" w:rsidRPr="00A428C3" w:rsidRDefault="00B95188" w:rsidP="00B95188">
      <w:pPr>
        <w:pStyle w:val="a0"/>
      </w:pPr>
      <w:r w:rsidRPr="00A428C3">
        <w:t>Keywords: Authorship, Bibliometrics, Documents, Laws, Ordered Sets, Scientometrics, Strong Similarity Measures, World-Wide-Web</w:t>
      </w:r>
    </w:p>
    <w:p w:rsidR="00B95188" w:rsidRPr="00A428C3" w:rsidRDefault="00B95188" w:rsidP="00B95188">
      <w:pPr>
        <w:pStyle w:val="a0"/>
      </w:pPr>
      <w:r w:rsidRPr="00A428C3">
        <w:t>? Zhao, D.Z. (2005), Challenges of scholarly publications on the Web to the evaluation of science: A comparison of author visibility on the Web</w:t>
      </w:r>
      <w:r w:rsidR="00F81221">
        <w:t xml:space="preserve"> and </w:t>
      </w:r>
      <w:r w:rsidRPr="00A428C3">
        <w:t xml:space="preserve">in print journals. </w:t>
      </w:r>
      <w:r w:rsidRPr="00A428C3">
        <w:rPr>
          <w:i/>
          <w:iCs/>
        </w:rPr>
        <w:t>Information Processing &amp; Management</w:t>
      </w:r>
      <w:r w:rsidRPr="00A428C3">
        <w:t xml:space="preserve">, </w:t>
      </w:r>
      <w:r w:rsidRPr="00A428C3">
        <w:rPr>
          <w:b/>
        </w:rPr>
        <w:t>41</w:t>
      </w:r>
      <w:r w:rsidRPr="00A428C3">
        <w:t xml:space="preserve"> (6), 1403-1418.</w:t>
      </w:r>
    </w:p>
    <w:p w:rsidR="00B95188" w:rsidRPr="00A428C3" w:rsidRDefault="00B95188" w:rsidP="00B95188">
      <w:pPr>
        <w:pStyle w:val="a0"/>
        <w:rPr>
          <w:rFonts w:eastAsia="新細明體"/>
        </w:rPr>
      </w:pPr>
      <w:r w:rsidRPr="00A428C3">
        <w:t xml:space="preserve">Full Text: </w:t>
      </w:r>
      <w:hyperlink r:id="rId1414" w:history="1">
        <w:r w:rsidRPr="00A428C3">
          <w:rPr>
            <w:rStyle w:val="a5"/>
          </w:rPr>
          <w:t>2005\Inf Pro Man41, 1403.pdf</w:t>
        </w:r>
      </w:hyperlink>
    </w:p>
    <w:p w:rsidR="00B95188" w:rsidRPr="00A428C3" w:rsidRDefault="00B95188" w:rsidP="00B95188">
      <w:pPr>
        <w:pStyle w:val="a0"/>
      </w:pPr>
      <w:r w:rsidRPr="00A428C3">
        <w:t>Abstract: This article reveals different patterns of scholarly communication in the XML research field on the Web</w:t>
      </w:r>
      <w:r w:rsidR="00F81221">
        <w:t xml:space="preserve"> and </w:t>
      </w:r>
      <w:r w:rsidRPr="00A428C3">
        <w:t>in print journals in terms of author visibility,</w:t>
      </w:r>
      <w:r w:rsidR="00F81221">
        <w:t xml:space="preserve"> and </w:t>
      </w:r>
      <w:r w:rsidRPr="00A428C3">
        <w:lastRenderedPageBreak/>
        <w:t>challenges the common practice of exclusively using the ISI</w:t>
      </w:r>
      <w:r w:rsidR="000352E7">
        <w:t>’</w:t>
      </w:r>
      <w:r w:rsidRPr="00A428C3">
        <w:t>s databases to obtain citation counts as scientific performance indicators. Results from this study demonstrate both the importance</w:t>
      </w:r>
      <w:r w:rsidR="00F81221">
        <w:t xml:space="preserve"> and </w:t>
      </w:r>
      <w:r w:rsidRPr="00A428C3">
        <w:t>the feasibility of the use of multiple citation data sources in citation analysis studies of scholarly communication,</w:t>
      </w:r>
      <w:r w:rsidR="00F81221">
        <w:t xml:space="preserve"> and </w:t>
      </w:r>
      <w:r w:rsidRPr="00A428C3">
        <w:t xml:space="preserve">provide evidence for a developing </w:t>
      </w:r>
      <w:r w:rsidR="000352E7">
        <w:t>“</w:t>
      </w:r>
      <w:r w:rsidRPr="00A428C3">
        <w:t>two tier</w:t>
      </w:r>
      <w:r w:rsidR="000352E7">
        <w:t>”</w:t>
      </w:r>
      <w:r w:rsidRPr="00A428C3">
        <w:t xml:space="preserve"> scholarly communication system. (c) 2005 Elsevier Ltd. All rights reserved.</w:t>
      </w:r>
    </w:p>
    <w:p w:rsidR="00B95188" w:rsidRPr="00A428C3" w:rsidRDefault="00B95188" w:rsidP="00B95188">
      <w:pPr>
        <w:pStyle w:val="a0"/>
      </w:pPr>
      <w:r w:rsidRPr="00A428C3">
        <w:t>Keywords: Author Visibility, Bibliometrics, Citation, Citation Analysis, Citation Analysis, Evaluation, Impact, Information, Internet, Publications, Research, Scholarly Communication, Science Evaluation, Web Publishing, World-Wide-Web, XML</w:t>
      </w:r>
    </w:p>
    <w:p w:rsidR="00C245B0" w:rsidRPr="001A3D2B" w:rsidRDefault="00C245B0" w:rsidP="00C245B0">
      <w:pPr>
        <w:pStyle w:val="a0"/>
      </w:pPr>
      <w:r w:rsidRPr="001A3D2B">
        <w:t xml:space="preserve">? Rousseau, R. (2005), Conglomerates as a general framework for informetric research. </w:t>
      </w:r>
      <w:r w:rsidRPr="001A3D2B">
        <w:rPr>
          <w:i/>
          <w:iCs/>
        </w:rPr>
        <w:t>Information Processing &amp; Management</w:t>
      </w:r>
      <w:r w:rsidRPr="001A3D2B">
        <w:t xml:space="preserve">, </w:t>
      </w:r>
      <w:r w:rsidRPr="001A3D2B">
        <w:rPr>
          <w:b/>
        </w:rPr>
        <w:t>41</w:t>
      </w:r>
      <w:r w:rsidRPr="001A3D2B">
        <w:t xml:space="preserve"> (6), 1360-1368.</w:t>
      </w:r>
    </w:p>
    <w:p w:rsidR="00C245B0" w:rsidRPr="001A3D2B" w:rsidRDefault="00C245B0" w:rsidP="00C245B0">
      <w:pPr>
        <w:pStyle w:val="a0"/>
      </w:pPr>
      <w:r w:rsidRPr="001A3D2B">
        <w:t xml:space="preserve">Full Text: </w:t>
      </w:r>
      <w:hyperlink r:id="rId1415" w:history="1">
        <w:r w:rsidRPr="001A3D2B">
          <w:rPr>
            <w:rStyle w:val="a5"/>
          </w:rPr>
          <w:t>2005\Inf Pro Man41, 1360.pdf</w:t>
        </w:r>
      </w:hyperlink>
    </w:p>
    <w:p w:rsidR="00C245B0" w:rsidRPr="001A3D2B" w:rsidRDefault="00C245B0" w:rsidP="00C245B0">
      <w:pPr>
        <w:pStyle w:val="a0"/>
      </w:pPr>
      <w:r w:rsidRPr="001A3D2B">
        <w:t>Abstract: We introduce conglomerates as a general framework for informetric (and other) research. A conglomerate consists of two collections: a finite source collection</w:t>
      </w:r>
      <w:r w:rsidR="00F81221">
        <w:t xml:space="preserve"> and </w:t>
      </w:r>
      <w:r w:rsidRPr="001A3D2B">
        <w:t>a pool,</w:t>
      </w:r>
      <w:r w:rsidR="00F81221">
        <w:t xml:space="preserve"> and </w:t>
      </w:r>
      <w:r w:rsidRPr="001A3D2B">
        <w:t>two mappings: a source-item map</w:t>
      </w:r>
      <w:r w:rsidR="00F81221">
        <w:t xml:space="preserve"> and </w:t>
      </w:r>
      <w:r w:rsidRPr="001A3D2B">
        <w:t>a magnitude map. The ratio of the sum of all magnitudes of item-sets,</w:t>
      </w:r>
      <w:r w:rsidR="00F81221">
        <w:t xml:space="preserve"> and </w:t>
      </w:r>
      <w:r w:rsidRPr="001A3D2B">
        <w:t>the number of elements in the source collection is called the conglomerate ratio. It is a kind of average, generalizing the notion of an impact factor. The source-item relation of a conglomerate leads to a list of sources ranked according to the magnitude of their corresponding item-sets. This list, called a Zipf list, is the basic ingredient for all considerations related to power laws</w:t>
      </w:r>
      <w:r w:rsidR="00F81221">
        <w:t xml:space="preserve"> and </w:t>
      </w:r>
      <w:r w:rsidRPr="001A3D2B">
        <w:t>Lotkaian or Zipfian informetrics. Examples where this framework applies are: impact factors, including web impact factors, Bradford–Lotka type bibliographies, first-citation studies, word use, diffusion factors, elections</w:t>
      </w:r>
      <w:r w:rsidR="00F81221">
        <w:t xml:space="preserve"> and </w:t>
      </w:r>
      <w:r w:rsidRPr="001A3D2B">
        <w:t>even bestsellers lists.</w:t>
      </w:r>
    </w:p>
    <w:p w:rsidR="00C245B0" w:rsidRPr="001A3D2B" w:rsidRDefault="00C245B0" w:rsidP="00C245B0">
      <w:pPr>
        <w:pStyle w:val="a0"/>
      </w:pPr>
      <w:r w:rsidRPr="001A3D2B">
        <w:t>Keywords: Informetric Studies, Citation Analysis, Impact Factors, Power Laws, Inlinks, Social Networks, Collaboration, Demography, Writers, Diffusion, Elections</w:t>
      </w:r>
    </w:p>
    <w:p w:rsidR="00C245B0" w:rsidRPr="001A3D2B" w:rsidRDefault="00C245B0" w:rsidP="00C245B0">
      <w:pPr>
        <w:pStyle w:val="a0"/>
      </w:pPr>
      <w:r w:rsidRPr="001A3D2B">
        <w:t xml:space="preserve">? Shan, S. (2005), On the generalized Zipf distribution. Part I. </w:t>
      </w:r>
      <w:r w:rsidRPr="001A3D2B">
        <w:rPr>
          <w:i/>
          <w:iCs/>
        </w:rPr>
        <w:t>Information Processing &amp; Management</w:t>
      </w:r>
      <w:r w:rsidRPr="001A3D2B">
        <w:t xml:space="preserve">, </w:t>
      </w:r>
      <w:r w:rsidRPr="001A3D2B">
        <w:rPr>
          <w:b/>
        </w:rPr>
        <w:t>41</w:t>
      </w:r>
      <w:r w:rsidRPr="001A3D2B">
        <w:t xml:space="preserve"> (6), 1369-1386.</w:t>
      </w:r>
    </w:p>
    <w:p w:rsidR="00C245B0" w:rsidRPr="001A3D2B" w:rsidRDefault="00C245B0" w:rsidP="00C245B0">
      <w:pPr>
        <w:pStyle w:val="a0"/>
      </w:pPr>
      <w:r w:rsidRPr="001A3D2B">
        <w:t xml:space="preserve">Full Text: </w:t>
      </w:r>
      <w:hyperlink r:id="rId1416" w:history="1">
        <w:r w:rsidRPr="001A3D2B">
          <w:rPr>
            <w:rStyle w:val="a5"/>
          </w:rPr>
          <w:t>2005\Inf Pro Man41, 1369.pdf</w:t>
        </w:r>
      </w:hyperlink>
    </w:p>
    <w:p w:rsidR="00C245B0" w:rsidRPr="001A3D2B" w:rsidRDefault="00C245B0" w:rsidP="00C245B0">
      <w:pPr>
        <w:pStyle w:val="a0"/>
      </w:pPr>
      <w:r w:rsidRPr="001A3D2B">
        <w:t>Abstract: This article is concerned with a class of informetric distribution, a family of skew distributions found to describe a wide range of phenomena both within or outside of information sciences</w:t>
      </w:r>
      <w:r w:rsidR="00F81221">
        <w:t xml:space="preserve"> and </w:t>
      </w:r>
      <w:r w:rsidRPr="001A3D2B">
        <w:t>referred to as being of Zipf-type. A generalization of Zipf distribution (a size-frequency form of the Zipf</w:t>
      </w:r>
      <w:r w:rsidR="000352E7">
        <w:t>’</w:t>
      </w:r>
      <w:r w:rsidRPr="001A3D2B">
        <w:t>s law), named the generalized Zipf distribution, is introduced. Two main characterizations of the generalized Zipf distribution are obtained based on the proportionate hazard rate</w:t>
      </w:r>
      <w:r w:rsidR="00F81221">
        <w:t xml:space="preserve"> and </w:t>
      </w:r>
      <w:r w:rsidRPr="001A3D2B">
        <w:t>truncated moments. Finally, some asymptotic properties of the generalized Zipf distribution are investigated.</w:t>
      </w:r>
    </w:p>
    <w:p w:rsidR="00C245B0" w:rsidRPr="001A3D2B" w:rsidRDefault="00C245B0" w:rsidP="00C245B0">
      <w:pPr>
        <w:pStyle w:val="a0"/>
      </w:pPr>
      <w:r w:rsidRPr="001A3D2B">
        <w:t>? Lafouge, T.</w:t>
      </w:r>
      <w:r w:rsidR="00F81221">
        <w:t xml:space="preserve"> and </w:t>
      </w:r>
      <w:r w:rsidRPr="001A3D2B">
        <w:t>Prime-Claverie, C. (2005), Production</w:t>
      </w:r>
      <w:r w:rsidR="00F81221">
        <w:t xml:space="preserve"> and </w:t>
      </w:r>
      <w:r w:rsidRPr="001A3D2B">
        <w:t xml:space="preserve">use of information. </w:t>
      </w:r>
      <w:r w:rsidRPr="001A3D2B">
        <w:lastRenderedPageBreak/>
        <w:t>Characterization of informetric distributions using effort function</w:t>
      </w:r>
      <w:r w:rsidR="00F81221">
        <w:t xml:space="preserve"> and </w:t>
      </w:r>
      <w:r w:rsidRPr="001A3D2B">
        <w:t xml:space="preserve">density function: Exponential informetric process. </w:t>
      </w:r>
      <w:r w:rsidRPr="001A3D2B">
        <w:rPr>
          <w:i/>
          <w:iCs/>
        </w:rPr>
        <w:t>Information Processing &amp; Management</w:t>
      </w:r>
      <w:r w:rsidRPr="001A3D2B">
        <w:t xml:space="preserve">, </w:t>
      </w:r>
      <w:r w:rsidRPr="001A3D2B">
        <w:rPr>
          <w:b/>
        </w:rPr>
        <w:t>41</w:t>
      </w:r>
      <w:r w:rsidRPr="001A3D2B">
        <w:t xml:space="preserve"> (6), 1387-1394.</w:t>
      </w:r>
    </w:p>
    <w:p w:rsidR="00C245B0" w:rsidRPr="001A3D2B" w:rsidRDefault="00C245B0" w:rsidP="00C245B0">
      <w:pPr>
        <w:pStyle w:val="a0"/>
      </w:pPr>
      <w:r w:rsidRPr="001A3D2B">
        <w:t xml:space="preserve">Full Text: </w:t>
      </w:r>
      <w:hyperlink r:id="rId1417" w:history="1">
        <w:r w:rsidRPr="001A3D2B">
          <w:rPr>
            <w:rStyle w:val="a5"/>
          </w:rPr>
          <w:t>2005\Inf Pro Man41, 1387.pdf</w:t>
        </w:r>
      </w:hyperlink>
    </w:p>
    <w:p w:rsidR="00C245B0" w:rsidRPr="001A3D2B" w:rsidRDefault="00C245B0" w:rsidP="00C245B0">
      <w:pPr>
        <w:pStyle w:val="a0"/>
      </w:pPr>
      <w:r w:rsidRPr="001A3D2B">
        <w:t>Abstract: Statistical regularities observed in the production or use of information have been studied for a long time. In this article we define an exponential informetric process to formalize these stochastic process. It is defined by combining an effort function with a density function. Without using the powerful results of Price on the cumulative advantages process this characterization clarifies the principle of least effort. Some links between statistical theory of information</w:t>
      </w:r>
      <w:r w:rsidR="00F81221">
        <w:t xml:space="preserve"> and </w:t>
      </w:r>
      <w:r w:rsidRPr="001A3D2B">
        <w:t>some informetric distributions are enhanced.</w:t>
      </w:r>
    </w:p>
    <w:p w:rsidR="00C245B0" w:rsidRPr="001A3D2B" w:rsidRDefault="00C245B0" w:rsidP="00C245B0">
      <w:pPr>
        <w:pStyle w:val="a0"/>
      </w:pPr>
      <w:r w:rsidRPr="001A3D2B">
        <w:t>Keywords: Effort Function, Exponential Process, Entropy</w:t>
      </w:r>
    </w:p>
    <w:p w:rsidR="00C245B0" w:rsidRPr="001A3D2B" w:rsidRDefault="00C245B0" w:rsidP="00C245B0">
      <w:pPr>
        <w:pStyle w:val="a0"/>
      </w:pPr>
      <w:r w:rsidRPr="001A3D2B">
        <w:t>? Zhao, D.Z. (2005), Challenges of scholarly publications on the Web to the evaluation of science: A comparison of author visibility on the Web</w:t>
      </w:r>
      <w:r w:rsidR="00F81221">
        <w:t xml:space="preserve"> and </w:t>
      </w:r>
      <w:r w:rsidRPr="001A3D2B">
        <w:t xml:space="preserve">in print journals. </w:t>
      </w:r>
      <w:r w:rsidRPr="001A3D2B">
        <w:rPr>
          <w:i/>
          <w:iCs/>
        </w:rPr>
        <w:t>Information Processing &amp; Management</w:t>
      </w:r>
      <w:r w:rsidRPr="001A3D2B">
        <w:t xml:space="preserve">, </w:t>
      </w:r>
      <w:r w:rsidRPr="001A3D2B">
        <w:rPr>
          <w:b/>
          <w:bCs/>
        </w:rPr>
        <w:t>41</w:t>
      </w:r>
      <w:r w:rsidRPr="001A3D2B">
        <w:t xml:space="preserve"> (6), 1403-1418.</w:t>
      </w:r>
    </w:p>
    <w:p w:rsidR="00C245B0" w:rsidRPr="001A3D2B" w:rsidRDefault="00C245B0" w:rsidP="00C245B0">
      <w:pPr>
        <w:pStyle w:val="a0"/>
      </w:pPr>
      <w:r w:rsidRPr="001A3D2B">
        <w:t xml:space="preserve">Full Text: </w:t>
      </w:r>
      <w:hyperlink r:id="rId1418" w:history="1">
        <w:r w:rsidRPr="001A3D2B">
          <w:rPr>
            <w:rStyle w:val="a5"/>
          </w:rPr>
          <w:t>2005\Inf Pro Man41, 1403.pdf</w:t>
        </w:r>
      </w:hyperlink>
    </w:p>
    <w:p w:rsidR="00C245B0" w:rsidRPr="001A3D2B" w:rsidRDefault="00C245B0" w:rsidP="00C245B0">
      <w:pPr>
        <w:pStyle w:val="a0"/>
      </w:pPr>
      <w:r w:rsidRPr="001A3D2B">
        <w:t>Abstract: This article reveals different patterns of scholarly communication in the XML research field on the Web</w:t>
      </w:r>
      <w:r w:rsidR="00F81221">
        <w:t xml:space="preserve"> and </w:t>
      </w:r>
      <w:r w:rsidRPr="001A3D2B">
        <w:t>in print journals in terms of author visibility,</w:t>
      </w:r>
      <w:r w:rsidR="00F81221">
        <w:t xml:space="preserve"> and </w:t>
      </w:r>
      <w:r w:rsidRPr="001A3D2B">
        <w:t>challenges the common practice of exclusively using the ISI</w:t>
      </w:r>
      <w:r w:rsidR="000352E7">
        <w:t>’</w:t>
      </w:r>
      <w:r w:rsidRPr="001A3D2B">
        <w:t>s databases to obtain citation counts as scientific performance indicators. Results from this study demonstrate both the importance</w:t>
      </w:r>
      <w:r w:rsidR="00F81221">
        <w:t xml:space="preserve"> and </w:t>
      </w:r>
      <w:r w:rsidRPr="001A3D2B">
        <w:t>the feasibility of the use of multiple citation data sources in citation analysis studies of scholarly communication,</w:t>
      </w:r>
      <w:r w:rsidR="00F81221">
        <w:t xml:space="preserve"> and </w:t>
      </w:r>
      <w:r w:rsidRPr="001A3D2B">
        <w:t xml:space="preserve">provide evidence for a developing </w:t>
      </w:r>
      <w:r w:rsidR="000352E7">
        <w:t>‘</w:t>
      </w:r>
      <w:r w:rsidRPr="001A3D2B">
        <w:t>two tier</w:t>
      </w:r>
      <w:r w:rsidR="000352E7">
        <w:t>’</w:t>
      </w:r>
      <w:r w:rsidRPr="001A3D2B">
        <w:t xml:space="preserve"> scholarly communication system. (c) 2005 Elsevier Ltd. All rights reserved.</w:t>
      </w:r>
    </w:p>
    <w:p w:rsidR="00C245B0" w:rsidRPr="001A3D2B" w:rsidRDefault="00C245B0" w:rsidP="00C245B0">
      <w:pPr>
        <w:pStyle w:val="a0"/>
      </w:pPr>
      <w:r w:rsidRPr="001A3D2B">
        <w:t>Keywords: Author Visibility, Bibliometrics, Citation, Citation Analysis, Citation Analysis, Evaluation, Impact, Information, Internet, Publications, Research, Scholarly Communication, Science Evaluation, Web Publishing, World-Wide-Web, XML</w:t>
      </w:r>
    </w:p>
    <w:p w:rsidR="00B95188" w:rsidRPr="00A428C3" w:rsidRDefault="00B95188" w:rsidP="00B95188">
      <w:pPr>
        <w:pStyle w:val="a0"/>
      </w:pPr>
      <w:r w:rsidRPr="00A428C3">
        <w:t>? Kretschmer, H.</w:t>
      </w:r>
      <w:r w:rsidR="00F81221">
        <w:t xml:space="preserve"> and </w:t>
      </w:r>
      <w:r w:rsidRPr="00A428C3">
        <w:t xml:space="preserve">Aguillo, I.F. (2005), New indicators for gender studies in Web networks. </w:t>
      </w:r>
      <w:r w:rsidRPr="00A428C3">
        <w:rPr>
          <w:i/>
          <w:iCs/>
        </w:rPr>
        <w:t>Information Processing &amp; Management</w:t>
      </w:r>
      <w:r w:rsidRPr="00A428C3">
        <w:t xml:space="preserve">, </w:t>
      </w:r>
      <w:r w:rsidRPr="00A428C3">
        <w:rPr>
          <w:b/>
        </w:rPr>
        <w:t>41</w:t>
      </w:r>
      <w:r w:rsidRPr="00A428C3">
        <w:t xml:space="preserve"> (6), 1481-1494.</w:t>
      </w:r>
    </w:p>
    <w:p w:rsidR="00B95188" w:rsidRPr="00A428C3" w:rsidRDefault="00B95188" w:rsidP="00B95188">
      <w:pPr>
        <w:pStyle w:val="a0"/>
        <w:rPr>
          <w:rFonts w:eastAsia="新細明體"/>
        </w:rPr>
      </w:pPr>
      <w:r w:rsidRPr="00A428C3">
        <w:t xml:space="preserve">Full Text: </w:t>
      </w:r>
      <w:hyperlink r:id="rId1419" w:history="1">
        <w:r w:rsidRPr="00A428C3">
          <w:rPr>
            <w:rStyle w:val="a5"/>
          </w:rPr>
          <w:t>2005\Inf Pro Man41, 1481.pdf</w:t>
        </w:r>
      </w:hyperlink>
    </w:p>
    <w:p w:rsidR="00B95188" w:rsidRPr="00A428C3" w:rsidRDefault="00B95188" w:rsidP="00B95188">
      <w:pPr>
        <w:pStyle w:val="a0"/>
      </w:pPr>
      <w:r w:rsidRPr="00A428C3">
        <w:t>Abstract: New indicators for gender studies are introduced using the multi-authored publications of a set of 64 members of the COLLNET network. Considering the sample of 223 papers</w:t>
      </w:r>
      <w:r w:rsidR="00F81221">
        <w:t xml:space="preserve"> and </w:t>
      </w:r>
      <w:r w:rsidRPr="00A428C3">
        <w:t>their visibility on the Web, analyses were performed on the sets comprised of publications on the one hand</w:t>
      </w:r>
      <w:r w:rsidR="00F81221">
        <w:t xml:space="preserve"> and </w:t>
      </w:r>
      <w:r w:rsidRPr="00A428C3">
        <w:t>the authors (social network analysis) on the other. The indicators developed include: Gender co-operation; Web visibility rates</w:t>
      </w:r>
      <w:r w:rsidR="00F81221">
        <w:t xml:space="preserve"> and </w:t>
      </w:r>
      <w:r w:rsidRPr="00A428C3">
        <w:t xml:space="preserve">Gender centrality in networks. The co-operation among COLLNET members results in a publication set with a different pattern to other gender studies in science, which show low contribution rates of women in </w:t>
      </w:r>
      <w:r w:rsidRPr="00A428C3">
        <w:lastRenderedPageBreak/>
        <w:t>collaboration activities. In the sample the collaboration patterns of female COLLNET members are almost the same as their male counterparts. However, when considering only the arrangement of gender in the by-line of publications, this is in favour of men. Regarding average Web visibility rates, there are no differences dependent upon the arrangement of gender in publications with both male</w:t>
      </w:r>
      <w:r w:rsidR="00F81221">
        <w:t xml:space="preserve"> and </w:t>
      </w:r>
      <w:r w:rsidRPr="00A428C3">
        <w:t>female co-authors. However, the results also show strong gender differences in favour of publications with only male co-authors. The centrality of female actors in the networks is correlated with the central positions of women in the International Society for Scientometrics</w:t>
      </w:r>
      <w:r w:rsidR="00F81221">
        <w:t xml:space="preserve"> and </w:t>
      </w:r>
      <w:r w:rsidRPr="00A428C3">
        <w:t>Informetrics (ISSI), where they are leading either as presidents or organisers of its international conferences. It may well be that, with webometric methods</w:t>
      </w:r>
      <w:r w:rsidR="00F81221">
        <w:t xml:space="preserve"> and </w:t>
      </w:r>
      <w:r w:rsidRPr="00A428C3">
        <w:t>new indicators for gender studies, there is a real continuation of gender equality in COLLNET over time. (c) 2005 Published by Elsevier Ltd.</w:t>
      </w:r>
    </w:p>
    <w:p w:rsidR="00B95188" w:rsidRPr="00A428C3" w:rsidRDefault="00B95188" w:rsidP="00B95188">
      <w:pPr>
        <w:pStyle w:val="a0"/>
      </w:pPr>
      <w:r w:rsidRPr="00A428C3">
        <w:t>Keywords: Bibliometrics, Collaboration, Gender Studies, Network Analysis, Publication, Publications, Scientists, Social Network Analysis, Social Network Analysis (SNA), Web, Webometrics, Women</w:t>
      </w:r>
    </w:p>
    <w:p w:rsidR="00B95188" w:rsidRPr="00A428C3" w:rsidRDefault="00B95188" w:rsidP="00B95188">
      <w:pPr>
        <w:pStyle w:val="a0"/>
      </w:pPr>
      <w:r w:rsidRPr="00A428C3">
        <w:t xml:space="preserve">? Marshakova-Shaikevich, </w:t>
      </w:r>
      <w:smartTag w:uri="urn:schemas-microsoft-com:office:smarttags" w:element="place">
        <w:r w:rsidRPr="00A428C3">
          <w:t>I.</w:t>
        </w:r>
      </w:smartTag>
      <w:r w:rsidRPr="00A428C3">
        <w:t xml:space="preserve"> (2005), Bibliometric maps of field of science. </w:t>
      </w:r>
      <w:r w:rsidRPr="00A428C3">
        <w:rPr>
          <w:i/>
          <w:iCs/>
        </w:rPr>
        <w:t>Information Processing &amp; Management</w:t>
      </w:r>
      <w:r w:rsidRPr="00A428C3">
        <w:t xml:space="preserve">, </w:t>
      </w:r>
      <w:r w:rsidRPr="00A428C3">
        <w:rPr>
          <w:b/>
        </w:rPr>
        <w:t>41</w:t>
      </w:r>
      <w:r w:rsidRPr="00A428C3">
        <w:t xml:space="preserve"> (6), 1534-1547.</w:t>
      </w:r>
    </w:p>
    <w:p w:rsidR="00B95188" w:rsidRPr="00A428C3" w:rsidRDefault="00B95188" w:rsidP="00B95188">
      <w:pPr>
        <w:pStyle w:val="a0"/>
      </w:pPr>
      <w:r w:rsidRPr="00A428C3">
        <w:t xml:space="preserve">Full Text: </w:t>
      </w:r>
      <w:hyperlink r:id="rId1420" w:history="1">
        <w:r w:rsidRPr="00A428C3">
          <w:rPr>
            <w:rStyle w:val="a5"/>
          </w:rPr>
          <w:t>2005\Inf Pro Man41, 1534.pdf</w:t>
        </w:r>
      </w:hyperlink>
    </w:p>
    <w:p w:rsidR="00B95188" w:rsidRPr="00A428C3" w:rsidRDefault="00B95188" w:rsidP="00B95188">
      <w:pPr>
        <w:pStyle w:val="a0"/>
      </w:pPr>
      <w:r w:rsidRPr="00A428C3">
        <w:t>Abstract: The present paper is devoted to two directions in algorithmic classificatory procedures: the journal co-citation analysis as an example of citation networks</w:t>
      </w:r>
      <w:r w:rsidR="00F81221">
        <w:t xml:space="preserve"> and </w:t>
      </w:r>
      <w:r w:rsidRPr="00A428C3">
        <w:t>lexical analysis of keywords in the titles</w:t>
      </w:r>
      <w:r w:rsidR="00F81221">
        <w:t xml:space="preserve"> and </w:t>
      </w:r>
      <w:r w:rsidRPr="00A428C3">
        <w:t>texts. What is common to those approaches is the general idea of normalization of deviations of the observed data from the mathematical expectation. The application of the same formula leads to discovery of statistically significant links between objects (journals in one case, keywords — in the other). The results of the journal co-citation analysis are reflected in tables</w:t>
      </w:r>
      <w:r w:rsidR="00F81221">
        <w:t xml:space="preserve"> and </w:t>
      </w:r>
      <w:r w:rsidRPr="00A428C3">
        <w:t xml:space="preserve">map for field </w:t>
      </w:r>
      <w:r w:rsidR="000352E7">
        <w:t>“</w:t>
      </w:r>
      <w:r w:rsidRPr="00A428C3">
        <w:t>Women</w:t>
      </w:r>
      <w:r w:rsidR="000352E7">
        <w:t>’</w:t>
      </w:r>
      <w:r w:rsidRPr="00A428C3">
        <w:t>s Studies</w:t>
      </w:r>
      <w:r w:rsidR="000352E7">
        <w:t>”</w:t>
      </w:r>
      <w:r w:rsidR="00F81221">
        <w:t xml:space="preserve"> and </w:t>
      </w:r>
      <w:r w:rsidRPr="00A428C3">
        <w:t xml:space="preserve">for field </w:t>
      </w:r>
      <w:r w:rsidR="000352E7">
        <w:t>“</w:t>
      </w:r>
      <w:r w:rsidRPr="00A428C3">
        <w:t>Information Science</w:t>
      </w:r>
      <w:r w:rsidR="00F81221">
        <w:t xml:space="preserve"> and </w:t>
      </w:r>
      <w:r w:rsidRPr="00A428C3">
        <w:t>Library Science</w:t>
      </w:r>
      <w:r w:rsidR="000352E7">
        <w:t>”</w:t>
      </w:r>
      <w:r w:rsidRPr="00A428C3">
        <w:t>. An experimental attempt at establishing textual links between words was carried out on two samples from SSCI Data base: (1) EDUCATION</w:t>
      </w:r>
      <w:r w:rsidR="00F81221">
        <w:t xml:space="preserve"> and </w:t>
      </w:r>
      <w:r w:rsidRPr="00A428C3">
        <w:t>(2) ETHICS. The EDUCATION file included 2180 documents (of which 751 had abstracts); the ETHICS file included 807 documents (289 abstracts). Some examples of the results of this pilot study are given in tabular form . The binary links between words discovered in this way may form triplets or other groups with more than two member words.</w:t>
      </w:r>
    </w:p>
    <w:p w:rsidR="00B95188" w:rsidRPr="00A428C3" w:rsidRDefault="00B95188" w:rsidP="00B95188">
      <w:pPr>
        <w:pStyle w:val="a0"/>
      </w:pPr>
      <w:r w:rsidRPr="00A428C3">
        <w:t>Keywords: Journal Co-Citation Analysis, Lexical Analysis of Keywords, Network, JCR:SSE, SSCI</w:t>
      </w:r>
    </w:p>
    <w:p w:rsidR="00B95188" w:rsidRPr="00A428C3" w:rsidRDefault="00B95188" w:rsidP="00B95188">
      <w:pPr>
        <w:pStyle w:val="a0"/>
      </w:pPr>
      <w:r w:rsidRPr="00A428C3">
        <w:t>? Glenisson, P., Glänzel, W., Janssens, F.</w:t>
      </w:r>
      <w:r w:rsidR="00F81221">
        <w:t xml:space="preserve"> and </w:t>
      </w:r>
      <w:r w:rsidRPr="00A428C3">
        <w:t>De Moor, B. (2005), Combining full text</w:t>
      </w:r>
      <w:r w:rsidR="00F81221">
        <w:t xml:space="preserve"> and </w:t>
      </w:r>
      <w:r w:rsidRPr="00A428C3">
        <w:t xml:space="preserve">bibliometric information in mapping scientific disciplines. </w:t>
      </w:r>
      <w:r w:rsidRPr="00A428C3">
        <w:rPr>
          <w:i/>
          <w:iCs/>
        </w:rPr>
        <w:t>Information Processing &amp; Management</w:t>
      </w:r>
      <w:r w:rsidRPr="00A428C3">
        <w:t xml:space="preserve">, </w:t>
      </w:r>
      <w:r w:rsidRPr="00A428C3">
        <w:rPr>
          <w:b/>
        </w:rPr>
        <w:t>41</w:t>
      </w:r>
      <w:r w:rsidRPr="00A428C3">
        <w:t xml:space="preserve"> (6), </w:t>
      </w:r>
      <w:r w:rsidRPr="00A428C3">
        <w:rPr>
          <w:iCs/>
        </w:rPr>
        <w:t>1548-1572</w:t>
      </w:r>
      <w:r w:rsidRPr="00A428C3">
        <w:t>.</w:t>
      </w:r>
    </w:p>
    <w:p w:rsidR="00B95188" w:rsidRPr="00A428C3" w:rsidRDefault="00B95188" w:rsidP="00B95188">
      <w:pPr>
        <w:pStyle w:val="a0"/>
      </w:pPr>
      <w:r w:rsidRPr="00A428C3">
        <w:lastRenderedPageBreak/>
        <w:t xml:space="preserve">Full Text: </w:t>
      </w:r>
      <w:hyperlink r:id="rId1421" w:history="1">
        <w:r w:rsidRPr="00A428C3">
          <w:rPr>
            <w:rStyle w:val="a5"/>
          </w:rPr>
          <w:t>2005\Inf Pro Man41, 1548.pdf</w:t>
        </w:r>
      </w:hyperlink>
    </w:p>
    <w:p w:rsidR="00B95188" w:rsidRPr="00A428C3" w:rsidRDefault="00B95188" w:rsidP="00B95188">
      <w:pPr>
        <w:pStyle w:val="a0"/>
      </w:pPr>
      <w:r w:rsidRPr="00A428C3">
        <w:t>Abstract: In the present study results of an earlier pilot study by Glenisson, Glänzel</w:t>
      </w:r>
      <w:r w:rsidR="00F81221">
        <w:t xml:space="preserve"> and </w:t>
      </w:r>
      <w:r w:rsidRPr="00A428C3">
        <w:t>Persson are extended on the basis of larger sets of papers. Full text analysis</w:t>
      </w:r>
      <w:r w:rsidR="00F81221">
        <w:t xml:space="preserve"> and </w:t>
      </w:r>
      <w:r w:rsidRPr="00A428C3">
        <w:t>traditional bibliometric methods are serially combined to improve the efficiency of the two individual methods. The text mining methodology already introduced in the pilot study is applied to the complete publication year 2003 of the journal Scientometrics. Altogether 85 documents that can be considered research articles or notes have been selected for this exercise. The outcomes confirm the main results of the pilot study, namely, that such hybrid methodology can be applied to both research evaluation</w:t>
      </w:r>
      <w:r w:rsidR="00F81221">
        <w:t xml:space="preserve"> and </w:t>
      </w:r>
      <w:r w:rsidRPr="00A428C3">
        <w:t>information retrieval. Nevertheless, Scientometrics documents published in 2003 cover a much broader</w:t>
      </w:r>
      <w:r w:rsidR="00F81221">
        <w:t xml:space="preserve"> and </w:t>
      </w:r>
      <w:r w:rsidRPr="00A428C3">
        <w:t>more heterogeneous spectrum of bibliometrics</w:t>
      </w:r>
      <w:r w:rsidR="00F81221">
        <w:t xml:space="preserve"> and </w:t>
      </w:r>
      <w:r w:rsidRPr="00A428C3">
        <w:t>related research than those analysed in the pilot study. A modified subject classification based on the scheme used in an earlier study by Schoepflin</w:t>
      </w:r>
      <w:r w:rsidR="00F81221">
        <w:t xml:space="preserve"> and </w:t>
      </w:r>
      <w:r w:rsidRPr="00A428C3">
        <w:t>Glänzel has been applied for validation purposes.</w:t>
      </w:r>
    </w:p>
    <w:p w:rsidR="00B95188" w:rsidRPr="00A428C3" w:rsidRDefault="00B95188" w:rsidP="00B95188">
      <w:pPr>
        <w:pStyle w:val="a0"/>
      </w:pPr>
      <w:r w:rsidRPr="00A428C3">
        <w:t>Keywords: Algorithm, Automatic Indexing, Bibliometric, Bibliometrics, Chemistry, Cocitation, Evaluation, Field, Full Text Analysis, Journal, Mapping of Science, Publication, Research, Research Evaluation, Science Indicators, Text Mining, Text-Based Clustering, Word Analysis</w:t>
      </w:r>
    </w:p>
    <w:p w:rsidR="0056584E" w:rsidRPr="00217FB1" w:rsidRDefault="0056584E" w:rsidP="0056584E">
      <w:pPr>
        <w:pStyle w:val="a0"/>
      </w:pPr>
      <w:r>
        <w:rPr>
          <w:rFonts w:hint="eastAsia"/>
          <w:szCs w:val="24"/>
        </w:rPr>
        <w:t xml:space="preserve">? </w:t>
      </w:r>
      <w:r>
        <w:t>Chen</w:t>
      </w:r>
      <w:r>
        <w:rPr>
          <w:rFonts w:hint="eastAsia"/>
        </w:rPr>
        <w:t>,</w:t>
      </w:r>
      <w:r>
        <w:t xml:space="preserve"> C</w:t>
      </w:r>
      <w:r>
        <w:rPr>
          <w:rFonts w:hint="eastAsia"/>
        </w:rPr>
        <w:t>.</w:t>
      </w:r>
      <w:r>
        <w:t>J</w:t>
      </w:r>
      <w:r>
        <w:rPr>
          <w:rFonts w:hint="eastAsia"/>
        </w:rPr>
        <w:t>.</w:t>
      </w:r>
      <w:r w:rsidR="00F81221">
        <w:rPr>
          <w:rFonts w:hint="eastAsia"/>
        </w:rPr>
        <w:t xml:space="preserve"> and </w:t>
      </w:r>
      <w:r>
        <w:t>Huang</w:t>
      </w:r>
      <w:r>
        <w:rPr>
          <w:rFonts w:hint="eastAsia"/>
        </w:rPr>
        <w:t>,</w:t>
      </w:r>
      <w:r>
        <w:t xml:space="preserve"> C</w:t>
      </w:r>
      <w:r>
        <w:rPr>
          <w:rFonts w:hint="eastAsia"/>
        </w:rPr>
        <w:t>.</w:t>
      </w:r>
      <w:r>
        <w:t>C</w:t>
      </w:r>
      <w:r>
        <w:rPr>
          <w:rFonts w:hint="eastAsia"/>
        </w:rPr>
        <w:t>.</w:t>
      </w:r>
      <w:r w:rsidRPr="00217FB1">
        <w:t xml:space="preserve"> </w:t>
      </w:r>
      <w:r>
        <w:t>(</w:t>
      </w:r>
      <w:r w:rsidRPr="00217FB1">
        <w:t>200</w:t>
      </w:r>
      <w:r>
        <w:rPr>
          <w:rFonts w:hint="eastAsia"/>
        </w:rPr>
        <w:t>4</w:t>
      </w:r>
      <w:r w:rsidRPr="00217FB1">
        <w:t xml:space="preserve">), </w:t>
      </w:r>
      <w:r>
        <w:t>A multiple criteria evaluation of high-tech industries for the science-based industrial park in Taiwan</w:t>
      </w:r>
      <w:r w:rsidRPr="00217FB1">
        <w:t xml:space="preserve">. </w:t>
      </w:r>
      <w:r w:rsidRPr="00217FB1">
        <w:rPr>
          <w:i/>
          <w:iCs/>
        </w:rPr>
        <w:t>Information Processing &amp; Management</w:t>
      </w:r>
      <w:r w:rsidRPr="00217FB1">
        <w:t xml:space="preserve">, </w:t>
      </w:r>
      <w:r w:rsidRPr="00217FB1">
        <w:rPr>
          <w:b/>
          <w:bCs/>
        </w:rPr>
        <w:t>41</w:t>
      </w:r>
      <w:r w:rsidRPr="00217FB1">
        <w:t xml:space="preserve"> </w:t>
      </w:r>
      <w:r>
        <w:t>(</w:t>
      </w:r>
      <w:r>
        <w:rPr>
          <w:rFonts w:hint="eastAsia"/>
        </w:rPr>
        <w:t>7</w:t>
      </w:r>
      <w:r w:rsidRPr="00217FB1">
        <w:t xml:space="preserve">), </w:t>
      </w:r>
      <w:r>
        <w:t>839-851</w:t>
      </w:r>
      <w:r w:rsidRPr="00217FB1">
        <w:t>.</w:t>
      </w:r>
    </w:p>
    <w:p w:rsidR="0056584E" w:rsidRDefault="0056584E" w:rsidP="0056584E">
      <w:pPr>
        <w:pStyle w:val="a0"/>
      </w:pPr>
      <w:r>
        <w:t xml:space="preserve">Full Text: </w:t>
      </w:r>
      <w:hyperlink r:id="rId1422" w:history="1">
        <w:r w:rsidRPr="003863E6">
          <w:rPr>
            <w:rStyle w:val="a5"/>
          </w:rPr>
          <w:t>2004\Inf Pro Man41, 839.pdf</w:t>
        </w:r>
      </w:hyperlink>
    </w:p>
    <w:p w:rsidR="0056584E" w:rsidRDefault="0056584E" w:rsidP="0056584E">
      <w:pPr>
        <w:pStyle w:val="a0"/>
      </w:pPr>
      <w:r>
        <w:t>Abstract: Science-based industrial parks have been recognized as an effective way of promoting technology development, urban renewal,</w:t>
      </w:r>
      <w:r w:rsidR="00F81221">
        <w:t xml:space="preserve"> and </w:t>
      </w:r>
      <w:r>
        <w:t>economic growth. However, little has been done in discussing the selection strategy of high-tech industries to locate in such a park. As the space availability in the new park in Taiwan is limited, the selection of firms with higher efficiency</w:t>
      </w:r>
      <w:r w:rsidR="00F81221">
        <w:t xml:space="preserve"> and </w:t>
      </w:r>
      <w:r>
        <w:t>growth potential has become an important issue for the Taiwan government. Accordingly, this study adopted the AHP method to obtain professional</w:t>
      </w:r>
      <w:r w:rsidR="000352E7">
        <w:t>’</w:t>
      </w:r>
      <w:r>
        <w:t xml:space="preserve">s opinions on this issue. The effort resulted in seven evaluation criteria with one, the </w:t>
      </w:r>
      <w:r w:rsidR="000352E7">
        <w:t>“</w:t>
      </w:r>
      <w:r>
        <w:t>market potential</w:t>
      </w:r>
      <w:r w:rsidR="000352E7">
        <w:t>”</w:t>
      </w:r>
      <w:r>
        <w:t xml:space="preserve"> having the highest weight, followed by </w:t>
      </w:r>
      <w:r w:rsidR="000352E7">
        <w:t>“</w:t>
      </w:r>
      <w:r>
        <w:t>technology level</w:t>
      </w:r>
      <w:r w:rsidR="000352E7">
        <w:t>”</w:t>
      </w:r>
      <w:r w:rsidR="00F81221">
        <w:t xml:space="preserve"> and </w:t>
      </w:r>
      <w:r w:rsidR="000352E7">
        <w:t>“</w:t>
      </w:r>
      <w:r>
        <w:t>government policy</w:t>
      </w:r>
      <w:r w:rsidR="000352E7">
        <w:t>”</w:t>
      </w:r>
      <w:r>
        <w:t>. Biotechnology</w:t>
      </w:r>
      <w:r w:rsidR="00F81221">
        <w:t xml:space="preserve"> and </w:t>
      </w:r>
      <w:r>
        <w:t>photo-electronics were the two most favorable high-tech industries chosen for the introduction</w:t>
      </w:r>
      <w:r w:rsidR="00F81221">
        <w:t xml:space="preserve"> and </w:t>
      </w:r>
      <w:r>
        <w:t>development in the new park. A sensitivity analysis was carried out to determine the critical factors that affected the priority of the alternatives. (C) 2003 Published by Elsevier B.V.</w:t>
      </w:r>
    </w:p>
    <w:p w:rsidR="0056584E" w:rsidRPr="00217FB1" w:rsidRDefault="0056584E" w:rsidP="0056584E">
      <w:pPr>
        <w:pStyle w:val="a0"/>
      </w:pPr>
      <w:r>
        <w:t>Keywords: Science-Based Industrial Park, High-Tech Industry, Analytic Hierarchy Process, Sensitivity Analysis, Taiwan, AHP, Selection, System, Consistency, Innovation, Model</w:t>
      </w:r>
    </w:p>
    <w:p w:rsidR="00B95188" w:rsidRPr="00A428C3" w:rsidRDefault="00B95188" w:rsidP="00B95188">
      <w:pPr>
        <w:pStyle w:val="a0"/>
      </w:pPr>
      <w:r w:rsidRPr="00A428C3">
        <w:t xml:space="preserve">? Nicholson, S. (2006), The basis for bibliomining: Frameworks for bringing together </w:t>
      </w:r>
      <w:r w:rsidRPr="00A428C3">
        <w:lastRenderedPageBreak/>
        <w:t>usage-based data mining</w:t>
      </w:r>
      <w:r w:rsidR="00F81221">
        <w:t xml:space="preserve"> and </w:t>
      </w:r>
      <w:r w:rsidRPr="00A428C3">
        <w:t xml:space="preserve">bibliometrics through data warehousing in digital library services. </w:t>
      </w:r>
      <w:r w:rsidRPr="00A428C3">
        <w:rPr>
          <w:i/>
          <w:iCs/>
        </w:rPr>
        <w:t>Information Processing &amp; Management</w:t>
      </w:r>
      <w:r w:rsidRPr="00A428C3">
        <w:t xml:space="preserve">, </w:t>
      </w:r>
      <w:r w:rsidRPr="00A428C3">
        <w:rPr>
          <w:b/>
        </w:rPr>
        <w:t>42</w:t>
      </w:r>
      <w:r w:rsidRPr="00A428C3">
        <w:t xml:space="preserve"> (3), </w:t>
      </w:r>
      <w:r w:rsidRPr="00A428C3">
        <w:rPr>
          <w:iCs/>
        </w:rPr>
        <w:t>785-804</w:t>
      </w:r>
      <w:r w:rsidRPr="00A428C3">
        <w:t>.</w:t>
      </w:r>
    </w:p>
    <w:p w:rsidR="00B95188" w:rsidRPr="00A428C3" w:rsidRDefault="00B95188" w:rsidP="00B95188">
      <w:pPr>
        <w:pStyle w:val="a0"/>
      </w:pPr>
      <w:r w:rsidRPr="00A428C3">
        <w:t xml:space="preserve">Full Text: </w:t>
      </w:r>
      <w:hyperlink r:id="rId1423" w:history="1">
        <w:r w:rsidRPr="00A428C3">
          <w:rPr>
            <w:rStyle w:val="a5"/>
          </w:rPr>
          <w:t>2006\Inf Pro Man42, 785.pdf</w:t>
        </w:r>
      </w:hyperlink>
    </w:p>
    <w:p w:rsidR="00B95188" w:rsidRPr="00A428C3" w:rsidRDefault="00B95188" w:rsidP="00B95188">
      <w:pPr>
        <w:pStyle w:val="a0"/>
      </w:pPr>
      <w:r w:rsidRPr="00A428C3">
        <w:t>Abstract: Over the past few years, data mining has moved from corporations to other organizations. This paper looks at the integration of data mining in digital library services. First, bibliomining, or the combination of bibliometrics</w:t>
      </w:r>
      <w:r w:rsidR="00F81221">
        <w:t xml:space="preserve"> and </w:t>
      </w:r>
      <w:r w:rsidRPr="00A428C3">
        <w:t>data mining techniques to understand library services, is defined</w:t>
      </w:r>
      <w:r w:rsidR="00F81221">
        <w:t xml:space="preserve"> and </w:t>
      </w:r>
      <w:r w:rsidRPr="00A428C3">
        <w:t>the concept explored. Second, the conceptual frameworks for bibliomining from the viewpoint of the library decision-maker</w:t>
      </w:r>
      <w:r w:rsidR="00F81221">
        <w:t xml:space="preserve"> and </w:t>
      </w:r>
      <w:r w:rsidRPr="00A428C3">
        <w:t>the library researcher are presented</w:t>
      </w:r>
      <w:r w:rsidR="00F81221">
        <w:t xml:space="preserve"> and </w:t>
      </w:r>
      <w:r w:rsidRPr="00A428C3">
        <w:t>compared. Finally, a research agenda to resolve many of the common bibliomining issues</w:t>
      </w:r>
      <w:r w:rsidR="00F81221">
        <w:t xml:space="preserve"> and </w:t>
      </w:r>
      <w:r w:rsidRPr="00A428C3">
        <w:t>to move the field forward in a mindful manner is developed. The result is not only a roadmap for understanding the integration of data mining in digital library services, but also a template for other cross-discipline data mining researchers to follow for systematic exploration in their own subject domains.</w:t>
      </w:r>
    </w:p>
    <w:p w:rsidR="00B95188" w:rsidRPr="00A428C3" w:rsidRDefault="00B95188" w:rsidP="00B95188">
      <w:pPr>
        <w:pStyle w:val="a0"/>
      </w:pPr>
      <w:r w:rsidRPr="00A428C3">
        <w:t>Keywords: Bibliometrics, Bibliomining, Data Mining, Data Warehousing, Data-Mining, Digital Libraries, Evaluation, Library Evaluation, Library Measurement, Research, Scholarly Communication, Theory</w:t>
      </w:r>
    </w:p>
    <w:p w:rsidR="00B95188" w:rsidRPr="00A428C3" w:rsidRDefault="00B95188" w:rsidP="00B95188">
      <w:pPr>
        <w:pStyle w:val="a0"/>
      </w:pPr>
      <w:r w:rsidRPr="00A428C3">
        <w:t xml:space="preserve">? Guerrero-Bote, V.P., Zapico-Alonso, F., </w:t>
      </w:r>
      <w:smartTag w:uri="urn:schemas-microsoft-com:office:smarttags" w:element="place">
        <w:smartTag w:uri="urn:schemas-microsoft-com:office:smarttags" w:element="City">
          <w:r w:rsidRPr="00A428C3">
            <w:t>Espinosa-Calvo</w:t>
          </w:r>
        </w:smartTag>
        <w:r w:rsidRPr="00A428C3">
          <w:t xml:space="preserve">, </w:t>
        </w:r>
        <w:smartTag w:uri="urn:schemas-microsoft-com:office:smarttags" w:element="State">
          <w:r w:rsidRPr="00A428C3">
            <w:t>M.E.</w:t>
          </w:r>
        </w:smartTag>
      </w:smartTag>
      <w:r w:rsidRPr="00A428C3">
        <w:t>, Crisóstomo, R.G.</w:t>
      </w:r>
      <w:r w:rsidR="00F81221">
        <w:t xml:space="preserve"> and </w:t>
      </w:r>
      <w:r w:rsidRPr="00A428C3">
        <w:t xml:space="preserve">de Moya-Anegón, F. (2006), Binary Pathfinder: An improvement to the Pathfinder algorithm. </w:t>
      </w:r>
      <w:r w:rsidRPr="00A428C3">
        <w:rPr>
          <w:i/>
          <w:iCs/>
        </w:rPr>
        <w:t>Information Processing &amp; Management</w:t>
      </w:r>
      <w:r w:rsidRPr="00A428C3">
        <w:t xml:space="preserve">, </w:t>
      </w:r>
      <w:r w:rsidRPr="00A428C3">
        <w:rPr>
          <w:b/>
        </w:rPr>
        <w:t>42</w:t>
      </w:r>
      <w:r w:rsidRPr="00A428C3">
        <w:t xml:space="preserve"> (6), 1484-1490.</w:t>
      </w:r>
    </w:p>
    <w:p w:rsidR="00B95188" w:rsidRPr="00A428C3" w:rsidRDefault="00B95188" w:rsidP="00B95188">
      <w:pPr>
        <w:pStyle w:val="a0"/>
      </w:pPr>
      <w:r w:rsidRPr="00A428C3">
        <w:t xml:space="preserve">Full Text: </w:t>
      </w:r>
      <w:hyperlink r:id="rId1424" w:history="1">
        <w:r w:rsidRPr="00A428C3">
          <w:rPr>
            <w:rStyle w:val="a5"/>
          </w:rPr>
          <w:t>2006\Inf Pro Man42, 1484.pdf</w:t>
        </w:r>
      </w:hyperlink>
    </w:p>
    <w:p w:rsidR="00B95188" w:rsidRPr="00A428C3" w:rsidRDefault="00B95188" w:rsidP="00B95188">
      <w:pPr>
        <w:pStyle w:val="a0"/>
      </w:pPr>
      <w:r w:rsidRPr="00A428C3">
        <w:t>Abstract: The Pathfinder algorithm is widely used to prune social networks. The pruning maintains the geodesic distances between nodes. It has shown itself to be very useful in the analysis of, amongst others, citations in BIS (bibliometrics, informetrics,</w:t>
      </w:r>
      <w:r w:rsidR="00F81221">
        <w:t xml:space="preserve"> and </w:t>
      </w:r>
      <w:r w:rsidRPr="00A428C3">
        <w:t>scientometrics). It has even been proposed for the online display of the search results in an information retrieval system. However, its great time</w:t>
      </w:r>
      <w:r w:rsidR="00F81221">
        <w:t xml:space="preserve"> and </w:t>
      </w:r>
      <w:r w:rsidRPr="00A428C3">
        <w:t>space complexity limits its use in real-time applications</w:t>
      </w:r>
      <w:r w:rsidR="00F81221">
        <w:t xml:space="preserve"> and </w:t>
      </w:r>
      <w:r w:rsidRPr="00A428C3">
        <w:t>in networks of any considerable size.</w:t>
      </w:r>
    </w:p>
    <w:p w:rsidR="00B95188" w:rsidRPr="00A428C3" w:rsidRDefault="00B95188" w:rsidP="00B95188">
      <w:pPr>
        <w:pStyle w:val="a0"/>
      </w:pPr>
      <w:r w:rsidRPr="00A428C3">
        <w:t>The present work describes an improved algorithm with considerably reduced time</w:t>
      </w:r>
      <w:r w:rsidR="00F81221">
        <w:t xml:space="preserve"> and </w:t>
      </w:r>
      <w:r w:rsidRPr="00A428C3">
        <w:t>space complexity. Its lower execution costs thus increase its applicability both in real time</w:t>
      </w:r>
      <w:r w:rsidR="00F81221">
        <w:t xml:space="preserve"> and </w:t>
      </w:r>
      <w:r w:rsidRPr="00A428C3">
        <w:t>to large networks.</w:t>
      </w:r>
    </w:p>
    <w:p w:rsidR="00B95188" w:rsidRPr="00A428C3" w:rsidRDefault="00B95188" w:rsidP="00B95188">
      <w:pPr>
        <w:pStyle w:val="a0"/>
      </w:pPr>
      <w:r w:rsidRPr="00A428C3">
        <w:t>Keywords: Algorithm, Analysis, Applications, Bibliometrics, Citation Analysis, Citations, Cocitation, Costs, Information, Information Retrieval, Information Visualization, Networks, Pfnets, Scientometrics, Social, Social Networks</w:t>
      </w:r>
    </w:p>
    <w:p w:rsidR="00B95188" w:rsidRPr="00A428C3" w:rsidRDefault="00B95188" w:rsidP="00B95188">
      <w:pPr>
        <w:pStyle w:val="a0"/>
      </w:pPr>
      <w:r w:rsidRPr="00A428C3">
        <w:t>? Zitt, M.</w:t>
      </w:r>
      <w:r w:rsidR="00F81221">
        <w:t xml:space="preserve"> and </w:t>
      </w:r>
      <w:r w:rsidRPr="00A428C3">
        <w:t xml:space="preserve">Bassecoulard, E. (2006), Delineating complex scientific fields by an hybrid lexical-citation method: An application to nanosciences. </w:t>
      </w:r>
      <w:r w:rsidRPr="00A428C3">
        <w:rPr>
          <w:i/>
          <w:iCs/>
        </w:rPr>
        <w:t>Information Processing &amp; Management</w:t>
      </w:r>
      <w:r w:rsidRPr="00A428C3">
        <w:t xml:space="preserve">, </w:t>
      </w:r>
      <w:r w:rsidRPr="00A428C3">
        <w:rPr>
          <w:b/>
        </w:rPr>
        <w:t>42</w:t>
      </w:r>
      <w:r w:rsidRPr="00A428C3">
        <w:t xml:space="preserve"> (6), 1513-1531.</w:t>
      </w:r>
    </w:p>
    <w:p w:rsidR="00B95188" w:rsidRPr="00A428C3" w:rsidRDefault="00B95188" w:rsidP="00B95188">
      <w:pPr>
        <w:pStyle w:val="a0"/>
      </w:pPr>
      <w:r w:rsidRPr="00A428C3">
        <w:t xml:space="preserve">Full Text: </w:t>
      </w:r>
      <w:hyperlink r:id="rId1425" w:history="1">
        <w:r w:rsidRPr="00A428C3">
          <w:rPr>
            <w:rStyle w:val="a5"/>
          </w:rPr>
          <w:t>2006\Inf Pro Man42, 1513.pdf</w:t>
        </w:r>
      </w:hyperlink>
    </w:p>
    <w:p w:rsidR="00B95188" w:rsidRPr="00A428C3" w:rsidRDefault="00B95188" w:rsidP="00B95188">
      <w:pPr>
        <w:pStyle w:val="a0"/>
      </w:pPr>
      <w:r w:rsidRPr="00A428C3">
        <w:t xml:space="preserve">Abstract: Relevance of bibliometric indicators on scientific areas critically depends on </w:t>
      </w:r>
      <w:r w:rsidRPr="00A428C3">
        <w:lastRenderedPageBreak/>
        <w:t>the quality of their delineation. Macro-level studies, often based on a selected list of journals, accept a high degree of fuzziness. Micro-level studies rely on sets of individual articles in order to reduce noise</w:t>
      </w:r>
      <w:r w:rsidR="00F81221">
        <w:t xml:space="preserve"> and </w:t>
      </w:r>
      <w:r w:rsidRPr="00A428C3">
        <w:t xml:space="preserve">enhance precision of retrieval. The most usual information retrieval process is based on lexical queries with various levels of sophistication. In the experiment on Nanosciences reported here, this process was used as a first step, to delineate a </w:t>
      </w:r>
      <w:r w:rsidR="000352E7">
        <w:t>‘</w:t>
      </w:r>
      <w:r w:rsidRPr="00A428C3">
        <w:t>seed</w:t>
      </w:r>
      <w:r w:rsidR="000352E7">
        <w:t>’</w:t>
      </w:r>
      <w:r w:rsidRPr="00A428C3">
        <w:t xml:space="preserve"> of literature. It has strong limitations, especially for emerging or transversal fields. In a second step, the alternative approach of citation linkages, was used to expand the bibliography starting from lexical seed. The extension process presented is ruled by three parameters, two deal with the cited side (threshold on citation score,</w:t>
      </w:r>
      <w:r w:rsidR="00F81221">
        <w:t xml:space="preserve"> and </w:t>
      </w:r>
      <w:r w:rsidRPr="00A428C3">
        <w:t xml:space="preserve">specificity towards the field), one with the citing side (threshold on the number of relevant references) interplaying in the </w:t>
      </w:r>
      <w:r w:rsidR="000352E7">
        <w:t>‘</w:t>
      </w:r>
      <w:r w:rsidRPr="00A428C3">
        <w:t>referencing structure</w:t>
      </w:r>
      <w:r w:rsidR="000352E7">
        <w:t>’</w:t>
      </w:r>
      <w:r w:rsidRPr="00A428C3">
        <w:t xml:space="preserve"> function (RSF) introduced in a previous work. This type of combination proves effective for delineating the transversal field of Nanosciences. Further improvements of the method are discussed.</w:t>
      </w:r>
    </w:p>
    <w:p w:rsidR="00B95188" w:rsidRPr="00A428C3" w:rsidRDefault="00B95188" w:rsidP="00B95188">
      <w:pPr>
        <w:pStyle w:val="a0"/>
      </w:pPr>
      <w:r w:rsidRPr="00A428C3">
        <w:t>Keywords: Bibliometric, Bibliometric Indicators, Bibliometrics, Citation Network, Cocitation, Complex, Experiment, Function, Hybrid, Indicators, Information, Information Retrieval, Informetric Distributions, Laws, Levels, Lexical Query, Limitations, Nanosciences, Nanotechnology, Noise, Parameters, Patents, Process, Quality, Referencing, Science, Scientific Area Delineation, Seed, Specialties, Specificity, Structure, Systems, Threshold, Word Analysis</w:t>
      </w:r>
    </w:p>
    <w:p w:rsidR="00B95188" w:rsidRPr="00586CD8" w:rsidRDefault="00B95188" w:rsidP="00B95188">
      <w:pPr>
        <w:pStyle w:val="a0"/>
        <w:rPr>
          <w:kern w:val="2"/>
        </w:rPr>
      </w:pPr>
      <w:r w:rsidRPr="00586CD8">
        <w:rPr>
          <w:rFonts w:hint="eastAsia"/>
          <w:kern w:val="2"/>
        </w:rPr>
        <w:t xml:space="preserve">? </w:t>
      </w:r>
      <w:r w:rsidRPr="00586CD8">
        <w:rPr>
          <w:kern w:val="2"/>
        </w:rPr>
        <w:t>Tsay, M.Y. (2006), Journal self-citation study for semiconductor literature: Synchronous</w:t>
      </w:r>
      <w:r w:rsidR="00F81221">
        <w:rPr>
          <w:kern w:val="2"/>
        </w:rPr>
        <w:t xml:space="preserve"> and </w:t>
      </w:r>
      <w:r w:rsidRPr="00586CD8">
        <w:rPr>
          <w:kern w:val="2"/>
        </w:rPr>
        <w:t xml:space="preserve">diachronous approach. </w:t>
      </w:r>
      <w:r>
        <w:rPr>
          <w:i/>
          <w:iCs/>
          <w:kern w:val="0"/>
        </w:rPr>
        <w:t>Information Processing &amp; Management</w:t>
      </w:r>
      <w:r w:rsidRPr="00586CD8">
        <w:rPr>
          <w:kern w:val="2"/>
        </w:rPr>
        <w:t xml:space="preserve">, </w:t>
      </w:r>
      <w:r>
        <w:rPr>
          <w:b/>
          <w:bCs/>
          <w:kern w:val="0"/>
        </w:rPr>
        <w:t>42</w:t>
      </w:r>
      <w:r w:rsidRPr="00586CD8">
        <w:rPr>
          <w:kern w:val="2"/>
        </w:rPr>
        <w:t xml:space="preserve"> (6), 1567-1577.</w:t>
      </w:r>
    </w:p>
    <w:p w:rsidR="003E6083" w:rsidRPr="001A3D2B" w:rsidRDefault="003E6083" w:rsidP="003E6083">
      <w:pPr>
        <w:pStyle w:val="a0"/>
      </w:pPr>
      <w:r w:rsidRPr="001A3D2B">
        <w:t xml:space="preserve">Full Text: </w:t>
      </w:r>
      <w:hyperlink r:id="rId1426" w:history="1">
        <w:r w:rsidRPr="001A3D2B">
          <w:rPr>
            <w:rStyle w:val="a5"/>
          </w:rPr>
          <w:t>2006\Inf Pro Man42, 1567.pdf</w:t>
        </w:r>
      </w:hyperlink>
    </w:p>
    <w:p w:rsidR="00B95188" w:rsidRPr="00586CD8" w:rsidRDefault="00B95188" w:rsidP="00B95188">
      <w:pPr>
        <w:pStyle w:val="a0"/>
        <w:rPr>
          <w:kern w:val="2"/>
        </w:rPr>
      </w:pPr>
      <w:r w:rsidRPr="00586CD8">
        <w:rPr>
          <w:kern w:val="2"/>
        </w:rPr>
        <w:t>Abstract: The present study investigates the self-citations of the most productive semiconductor journals by synchronous (self-citing rate)</w:t>
      </w:r>
      <w:r w:rsidR="00F81221">
        <w:rPr>
          <w:kern w:val="2"/>
        </w:rPr>
        <w:t xml:space="preserve"> and </w:t>
      </w:r>
      <w:r w:rsidRPr="00586CD8">
        <w:rPr>
          <w:kern w:val="2"/>
        </w:rPr>
        <w:t>diachronous (self-cited rate) approaches. Journal</w:t>
      </w:r>
      <w:r w:rsidR="000352E7">
        <w:rPr>
          <w:kern w:val="2"/>
        </w:rPr>
        <w:t>’</w:t>
      </w:r>
      <w:r w:rsidRPr="00586CD8">
        <w:rPr>
          <w:kern w:val="2"/>
        </w:rPr>
        <w:t>s productivity of 100 most productive semiconductor journals was gathered from INSPEC database, 1978-1997 through OVID. Data of citation frequency were obtained from the Science Citation Index (SCI), Journal Citation Reports (JCR) 2001 CDROM edition by the title-by-title search. The self-citing</w:t>
      </w:r>
      <w:r w:rsidR="00F81221">
        <w:rPr>
          <w:kern w:val="2"/>
        </w:rPr>
        <w:t xml:space="preserve"> and </w:t>
      </w:r>
      <w:r w:rsidRPr="00586CD8">
        <w:rPr>
          <w:kern w:val="2"/>
        </w:rPr>
        <w:t>self-cited data were drawn from the Citing Journal Listing</w:t>
      </w:r>
      <w:r w:rsidR="00F81221">
        <w:rPr>
          <w:kern w:val="2"/>
        </w:rPr>
        <w:t xml:space="preserve"> and </w:t>
      </w:r>
      <w:r w:rsidRPr="00586CD8">
        <w:rPr>
          <w:kern w:val="2"/>
        </w:rPr>
        <w:t>the Cited Journal Listing of the JCR CDROM version 1990-2001. Self-citing</w:t>
      </w:r>
      <w:r w:rsidR="00F81221">
        <w:rPr>
          <w:kern w:val="2"/>
        </w:rPr>
        <w:t xml:space="preserve"> and </w:t>
      </w:r>
      <w:r w:rsidRPr="00586CD8">
        <w:rPr>
          <w:kern w:val="2"/>
        </w:rPr>
        <w:t>self-cited rates were determined by the method suggested by the JCR. Eighty-seven journals common to INSPEC</w:t>
      </w:r>
      <w:r w:rsidR="00F81221">
        <w:rPr>
          <w:kern w:val="2"/>
        </w:rPr>
        <w:t xml:space="preserve"> and </w:t>
      </w:r>
      <w:r w:rsidRPr="00586CD8">
        <w:rPr>
          <w:kern w:val="2"/>
        </w:rPr>
        <w:t>JCR in semiconductor were selected as the object of this study</w:t>
      </w:r>
      <w:r w:rsidR="00F81221">
        <w:rPr>
          <w:kern w:val="2"/>
        </w:rPr>
        <w:t xml:space="preserve"> and </w:t>
      </w:r>
      <w:r w:rsidRPr="00586CD8">
        <w:rPr>
          <w:kern w:val="2"/>
        </w:rPr>
        <w:t xml:space="preserve">were listed for statistical tests. The results of the present study demonstrate that high self-citing journals are usually older than low self-citing journals. In contrast to the self-citing data, the journal self-cited rate is not closely related to the publication year but reflects the characteristics of various journals. </w:t>
      </w:r>
      <w:r w:rsidRPr="00586CD8">
        <w:rPr>
          <w:kern w:val="2"/>
        </w:rPr>
        <w:lastRenderedPageBreak/>
        <w:t>Journals with a short time interval of publication are more possible with high self-citing</w:t>
      </w:r>
      <w:r w:rsidR="00F81221">
        <w:rPr>
          <w:kern w:val="2"/>
        </w:rPr>
        <w:t xml:space="preserve"> and </w:t>
      </w:r>
      <w:r w:rsidRPr="00586CD8">
        <w:rPr>
          <w:kern w:val="2"/>
        </w:rPr>
        <w:t>self-cited rates. Journals with higher self-citing rate tend to be more productive</w:t>
      </w:r>
      <w:r w:rsidR="00F81221">
        <w:rPr>
          <w:kern w:val="2"/>
        </w:rPr>
        <w:t xml:space="preserve"> and </w:t>
      </w:r>
      <w:r w:rsidRPr="00586CD8">
        <w:rPr>
          <w:kern w:val="2"/>
        </w:rPr>
        <w:t>receive more citation than journals with lower self-citing rate. The journal self-cited rate has no association with the number of articles that a journal published</w:t>
      </w:r>
      <w:r w:rsidR="00F81221">
        <w:rPr>
          <w:kern w:val="2"/>
        </w:rPr>
        <w:t xml:space="preserve"> and </w:t>
      </w:r>
      <w:r w:rsidRPr="00586CD8">
        <w:rPr>
          <w:kern w:val="2"/>
        </w:rPr>
        <w:t>the citation it received. A journal with a higher self-citing rate tends to be cited more by itself. The mean self-citing rate is 9.59%</w:t>
      </w:r>
      <w:r w:rsidR="00F81221">
        <w:rPr>
          <w:kern w:val="2"/>
        </w:rPr>
        <w:t xml:space="preserve"> and </w:t>
      </w:r>
      <w:r w:rsidRPr="00586CD8">
        <w:rPr>
          <w:kern w:val="2"/>
        </w:rPr>
        <w:t>the mean self-cited rate is 15.03%. There is a significant difference between self-citing</w:t>
      </w:r>
      <w:r w:rsidR="00F81221">
        <w:rPr>
          <w:kern w:val="2"/>
        </w:rPr>
        <w:t xml:space="preserve"> and </w:t>
      </w:r>
      <w:r w:rsidRPr="00586CD8">
        <w:rPr>
          <w:kern w:val="2"/>
        </w:rPr>
        <w:t>self-cited rates within the same set of journals. (c) 2006 Elsevier Ltd. All rights reserved.</w:t>
      </w:r>
    </w:p>
    <w:p w:rsidR="00B95188" w:rsidRPr="00586CD8" w:rsidRDefault="00B95188" w:rsidP="00B95188">
      <w:pPr>
        <w:pStyle w:val="a0"/>
        <w:rPr>
          <w:kern w:val="2"/>
        </w:rPr>
      </w:pPr>
      <w:r w:rsidRPr="00586CD8">
        <w:rPr>
          <w:kern w:val="2"/>
        </w:rPr>
        <w:t>Keywords: Analysis, Bibliometrics, Citation, Citation Analysis, Journal Self-Cited, Journal Self-Citing, Literature, Productivity, Science Citation Index, Self-Citation, Semiconductor Journals, Synchronous VS.</w:t>
      </w:r>
      <w:r w:rsidRPr="00586CD8">
        <w:rPr>
          <w:rFonts w:hint="eastAsia"/>
          <w:kern w:val="2"/>
        </w:rPr>
        <w:t xml:space="preserve"> </w:t>
      </w:r>
      <w:r w:rsidRPr="00586CD8">
        <w:rPr>
          <w:kern w:val="2"/>
        </w:rPr>
        <w:t>Diachronous</w:t>
      </w:r>
    </w:p>
    <w:p w:rsidR="0056584E" w:rsidRDefault="0056584E" w:rsidP="0056584E">
      <w:pPr>
        <w:pStyle w:val="a0"/>
      </w:pPr>
      <w:r>
        <w:rPr>
          <w:rFonts w:hint="eastAsia"/>
        </w:rPr>
        <w:t>Notes: CCountry</w:t>
      </w:r>
    </w:p>
    <w:p w:rsidR="00B95188" w:rsidRPr="00A428C3" w:rsidRDefault="00B95188" w:rsidP="00B95188">
      <w:pPr>
        <w:pStyle w:val="a0"/>
      </w:pPr>
      <w:r w:rsidRPr="00A428C3">
        <w:t xml:space="preserve">? Marshakova-Shaikevich, </w:t>
      </w:r>
      <w:smartTag w:uri="urn:schemas-microsoft-com:office:smarttags" w:element="place">
        <w:r w:rsidRPr="00A428C3">
          <w:t>I.</w:t>
        </w:r>
      </w:smartTag>
      <w:r w:rsidRPr="00A428C3">
        <w:t xml:space="preserve"> (2006), Scientific collaboration of new 10 EU countries in the field of social sciences. </w:t>
      </w:r>
      <w:r w:rsidRPr="00A428C3">
        <w:rPr>
          <w:i/>
          <w:iCs/>
        </w:rPr>
        <w:t>Information Processing &amp; Management</w:t>
      </w:r>
      <w:r w:rsidRPr="00A428C3">
        <w:t xml:space="preserve">, </w:t>
      </w:r>
      <w:r w:rsidRPr="00A428C3">
        <w:rPr>
          <w:b/>
        </w:rPr>
        <w:t>42</w:t>
      </w:r>
      <w:r w:rsidRPr="00A428C3">
        <w:t xml:space="preserve"> (6), 1592-1598.</w:t>
      </w:r>
    </w:p>
    <w:p w:rsidR="00B95188" w:rsidRPr="00A428C3" w:rsidRDefault="00B95188" w:rsidP="00B95188">
      <w:pPr>
        <w:pStyle w:val="a0"/>
      </w:pPr>
      <w:r w:rsidRPr="00A428C3">
        <w:t xml:space="preserve">Full Text: </w:t>
      </w:r>
      <w:hyperlink r:id="rId1427" w:history="1">
        <w:r w:rsidRPr="00A428C3">
          <w:rPr>
            <w:rStyle w:val="a5"/>
          </w:rPr>
          <w:t>2006\Inf Pro Man42, 1592.pdf</w:t>
        </w:r>
      </w:hyperlink>
    </w:p>
    <w:p w:rsidR="00B95188" w:rsidRPr="00A428C3" w:rsidRDefault="00B95188" w:rsidP="00B95188">
      <w:pPr>
        <w:pStyle w:val="a0"/>
      </w:pPr>
      <w:r w:rsidRPr="00A428C3">
        <w:t>Abstract: The paper presents bibliometric analysis of scientific collaboration of new 10 countries EU in the field of social sciences. Material for this analysis was drawn from DB SSCI. The states as wholes are considered here as participants of collaboration. The results are mapped in a chart of counter to country links.</w:t>
      </w:r>
    </w:p>
    <w:p w:rsidR="00B95188" w:rsidRPr="00A428C3" w:rsidRDefault="00B95188" w:rsidP="00B95188">
      <w:pPr>
        <w:pStyle w:val="a0"/>
      </w:pPr>
      <w:r w:rsidRPr="00A428C3">
        <w:t>Keywords: Analysis, Bibliometric, Bibliometric Analysis, Collaboration, EU, New 10 EU Countries, Paper, Sciences, Scientific Collaboration, Social, Social Sciences</w:t>
      </w:r>
    </w:p>
    <w:p w:rsidR="0056584E" w:rsidRDefault="0056584E" w:rsidP="0056584E">
      <w:pPr>
        <w:pStyle w:val="a0"/>
      </w:pPr>
      <w:r>
        <w:rPr>
          <w:rFonts w:hint="eastAsia"/>
        </w:rPr>
        <w:t>Notes: TTopic</w:t>
      </w:r>
    </w:p>
    <w:p w:rsidR="00B95188" w:rsidRPr="00586CD8" w:rsidRDefault="00B95188" w:rsidP="00B95188">
      <w:pPr>
        <w:pStyle w:val="a0"/>
        <w:rPr>
          <w:kern w:val="2"/>
        </w:rPr>
      </w:pPr>
      <w:r w:rsidRPr="00586CD8">
        <w:rPr>
          <w:rFonts w:hint="eastAsia"/>
          <w:kern w:val="2"/>
        </w:rPr>
        <w:t xml:space="preserve">? </w:t>
      </w:r>
      <w:r w:rsidRPr="00586CD8">
        <w:rPr>
          <w:kern w:val="2"/>
        </w:rPr>
        <w:t>Janssens, F., Leta, J., Glanzel, W.</w:t>
      </w:r>
      <w:r w:rsidR="00F81221">
        <w:rPr>
          <w:kern w:val="2"/>
        </w:rPr>
        <w:t xml:space="preserve"> and </w:t>
      </w:r>
      <w:r w:rsidRPr="00586CD8">
        <w:rPr>
          <w:kern w:val="2"/>
        </w:rPr>
        <w:t>De Moor, B. (2006), Towards mapping library</w:t>
      </w:r>
      <w:r w:rsidR="00F81221">
        <w:rPr>
          <w:kern w:val="2"/>
        </w:rPr>
        <w:t xml:space="preserve"> and </w:t>
      </w:r>
      <w:r w:rsidRPr="00586CD8">
        <w:rPr>
          <w:kern w:val="2"/>
        </w:rPr>
        <w:t xml:space="preserve">information science. </w:t>
      </w:r>
      <w:r>
        <w:rPr>
          <w:i/>
          <w:iCs/>
          <w:kern w:val="0"/>
        </w:rPr>
        <w:t>Information Processing &amp; Management</w:t>
      </w:r>
      <w:r w:rsidRPr="00586CD8">
        <w:rPr>
          <w:kern w:val="2"/>
        </w:rPr>
        <w:t xml:space="preserve">, </w:t>
      </w:r>
      <w:r>
        <w:rPr>
          <w:b/>
          <w:bCs/>
          <w:kern w:val="0"/>
        </w:rPr>
        <w:t>42</w:t>
      </w:r>
      <w:r w:rsidRPr="00586CD8">
        <w:rPr>
          <w:kern w:val="2"/>
        </w:rPr>
        <w:t xml:space="preserve"> (6), 1614-1642.</w:t>
      </w:r>
    </w:p>
    <w:p w:rsidR="00B95188" w:rsidRPr="00A428C3" w:rsidRDefault="00B95188" w:rsidP="00B95188">
      <w:pPr>
        <w:pStyle w:val="a0"/>
      </w:pPr>
      <w:r w:rsidRPr="00A428C3">
        <w:t xml:space="preserve">Full Text: </w:t>
      </w:r>
      <w:hyperlink r:id="rId1428" w:history="1">
        <w:r w:rsidRPr="00A428C3">
          <w:rPr>
            <w:rStyle w:val="a5"/>
          </w:rPr>
          <w:t>2006\Inf Pro Man42, 1614.pdf</w:t>
        </w:r>
      </w:hyperlink>
    </w:p>
    <w:p w:rsidR="00B95188" w:rsidRPr="00A428C3" w:rsidRDefault="00B95188" w:rsidP="00B95188">
      <w:pPr>
        <w:pStyle w:val="a0"/>
      </w:pPr>
      <w:r w:rsidRPr="00A428C3">
        <w:t>Abstract: In an earlier study by the authors, full-text analysis</w:t>
      </w:r>
      <w:r w:rsidR="00F81221">
        <w:t xml:space="preserve"> and </w:t>
      </w:r>
      <w:r w:rsidRPr="00A428C3">
        <w:t>traditional bibliometric methods were combined to map research papers published in the journal Scientometrics. The main objective was to develop appropriate techniques of full-text analysis</w:t>
      </w:r>
      <w:r w:rsidR="00F81221">
        <w:t xml:space="preserve"> and </w:t>
      </w:r>
      <w:r w:rsidRPr="00A428C3">
        <w:t>to improve the efficiency of the individual methods in the mapping of science. The number of papers was, however, rather limited. In the present study, we extend the quantitative linguistic part of the previous studies to a set of five journals representing the field of Library</w:t>
      </w:r>
      <w:r w:rsidR="00F81221">
        <w:t xml:space="preserve"> and </w:t>
      </w:r>
      <w:r w:rsidRPr="00A428C3">
        <w:t>Information Science (LIS). Almost 1000 articles</w:t>
      </w:r>
      <w:r w:rsidR="00F81221">
        <w:t xml:space="preserve"> and </w:t>
      </w:r>
      <w:r w:rsidRPr="00A428C3">
        <w:t>notes published in the period 2002–2004 have been selected for this exercise. The optimum solution for clustering LIS is found for six clusters. The combination of different mapping techniques, applied to the full text of scientific publications, results in a characteristic tripod pattern. Besides two clusters in bibliometrics, one cluster in information retrieval</w:t>
      </w:r>
      <w:r w:rsidR="00F81221">
        <w:t xml:space="preserve"> and </w:t>
      </w:r>
      <w:r w:rsidRPr="00A428C3">
        <w:t>one containing general issues, webometrics</w:t>
      </w:r>
      <w:r w:rsidR="00F81221">
        <w:t xml:space="preserve"> and </w:t>
      </w:r>
      <w:r w:rsidRPr="00A428C3">
        <w:t xml:space="preserve">patent studies are identified as small but emerging clusters </w:t>
      </w:r>
      <w:r w:rsidRPr="00A428C3">
        <w:lastRenderedPageBreak/>
        <w:t>within LIS. The study is concluded with the analysis of cluster representations by the selected journals.</w:t>
      </w:r>
    </w:p>
    <w:p w:rsidR="00B95188" w:rsidRPr="00A428C3" w:rsidRDefault="00B95188" w:rsidP="00B95188">
      <w:pPr>
        <w:pStyle w:val="a0"/>
      </w:pPr>
      <w:r w:rsidRPr="00A428C3">
        <w:t>Keywords: Algorithm, Analysis, Bibliometric, Bibliometric Methods, Bibliometrics, Cluster, Clusters, Co-Word Analysis, Cocitation Analysis, Combining Full-Text, Efficiency, Exercise, Field, Full-Text Analysis, General, Indicators, Information, Information Retrieval, Information Science, Library</w:t>
      </w:r>
      <w:r w:rsidR="00F81221">
        <w:t xml:space="preserve"> and </w:t>
      </w:r>
      <w:r w:rsidRPr="00A428C3">
        <w:t>Information Science, Mapping, Mapping of Science, Methods, Neural-Network Research, Publications, Research, Retrieval, Science, Scientific Publications, Scientometrics, Techniques, Text-Based Clustering, Validation, Webometrics</w:t>
      </w:r>
    </w:p>
    <w:p w:rsidR="00B95188" w:rsidRPr="00586CD8" w:rsidRDefault="00B95188" w:rsidP="00B95188">
      <w:pPr>
        <w:pStyle w:val="a0"/>
        <w:rPr>
          <w:kern w:val="2"/>
        </w:rPr>
      </w:pPr>
      <w:r w:rsidRPr="00586CD8">
        <w:rPr>
          <w:rFonts w:hint="eastAsia"/>
          <w:kern w:val="2"/>
        </w:rPr>
        <w:t xml:space="preserve">? </w:t>
      </w:r>
      <w:r w:rsidRPr="00586CD8">
        <w:rPr>
          <w:kern w:val="2"/>
        </w:rPr>
        <w:t>Braun, T.</w:t>
      </w:r>
      <w:r w:rsidR="00F81221">
        <w:rPr>
          <w:kern w:val="2"/>
        </w:rPr>
        <w:t xml:space="preserve"> and </w:t>
      </w:r>
      <w:r w:rsidRPr="00586CD8">
        <w:rPr>
          <w:kern w:val="2"/>
        </w:rPr>
        <w:t xml:space="preserve">Diospatonyi, I. (2006), Gatekeeping in the international journal literature of chemistry. </w:t>
      </w:r>
      <w:r>
        <w:rPr>
          <w:i/>
          <w:iCs/>
          <w:kern w:val="0"/>
        </w:rPr>
        <w:t>Information Processing &amp; Management</w:t>
      </w:r>
      <w:r w:rsidRPr="00586CD8">
        <w:rPr>
          <w:kern w:val="2"/>
        </w:rPr>
        <w:t xml:space="preserve">, </w:t>
      </w:r>
      <w:r>
        <w:rPr>
          <w:b/>
          <w:bCs/>
          <w:kern w:val="0"/>
        </w:rPr>
        <w:t>42</w:t>
      </w:r>
      <w:r w:rsidRPr="00586CD8">
        <w:rPr>
          <w:kern w:val="2"/>
        </w:rPr>
        <w:t xml:space="preserve"> (6), 1652-1656</w:t>
      </w:r>
    </w:p>
    <w:p w:rsidR="003E6083" w:rsidRPr="001A3D2B" w:rsidRDefault="003E6083" w:rsidP="003E6083">
      <w:pPr>
        <w:pStyle w:val="a0"/>
      </w:pPr>
      <w:r w:rsidRPr="001A3D2B">
        <w:t xml:space="preserve">Full Text: </w:t>
      </w:r>
      <w:hyperlink r:id="rId1429" w:history="1">
        <w:r w:rsidRPr="001A3D2B">
          <w:rPr>
            <w:rStyle w:val="a5"/>
          </w:rPr>
          <w:t>2006\Inf Pro Man42, 1652.pdf</w:t>
        </w:r>
      </w:hyperlink>
    </w:p>
    <w:p w:rsidR="00B95188" w:rsidRPr="00586CD8" w:rsidRDefault="00B95188" w:rsidP="00B95188">
      <w:pPr>
        <w:pStyle w:val="a0"/>
        <w:rPr>
          <w:kern w:val="2"/>
        </w:rPr>
      </w:pPr>
      <w:r w:rsidRPr="00586CD8">
        <w:rPr>
          <w:kern w:val="2"/>
        </w:rPr>
        <w:t>Keywords: 27 Science Areas, Chemistry, Citation Impact, Fields, Gatekeeping, Indicators, Life Sciences, Literature, National Performances, Nations, Publication Output, Ranking, Scientific Wealth, Scientometric Weight, World Science</w:t>
      </w:r>
    </w:p>
    <w:p w:rsidR="00B95188" w:rsidRPr="00A428C3" w:rsidRDefault="00B95188" w:rsidP="00B95188">
      <w:pPr>
        <w:pStyle w:val="a0"/>
      </w:pPr>
      <w:r w:rsidRPr="00A428C3">
        <w:t xml:space="preserve">? Sanz-Casado, E., Suárez-Balseiro, C., Iribarren-Maestro, I., Ramírez-de Santa </w:t>
      </w:r>
      <w:smartTag w:uri="urn:schemas-microsoft-com:office:smarttags" w:element="place">
        <w:smartTag w:uri="urn:schemas-microsoft-com:office:smarttags" w:element="City">
          <w:r w:rsidRPr="00A428C3">
            <w:t>Pau</w:t>
          </w:r>
        </w:smartTag>
      </w:smartTag>
      <w:r w:rsidRPr="00A428C3">
        <w:t>, M.</w:t>
      </w:r>
      <w:r w:rsidR="00F81221">
        <w:t xml:space="preserve"> and </w:t>
      </w:r>
      <w:r w:rsidRPr="00A428C3">
        <w:t xml:space="preserve">de Pedro-Cuesta, J. (2007), Bibliometric mapping of scientific research on prion diseases, 1973–2002. </w:t>
      </w:r>
      <w:r w:rsidRPr="00A428C3">
        <w:rPr>
          <w:i/>
          <w:iCs/>
        </w:rPr>
        <w:t>Information Processing &amp; Management</w:t>
      </w:r>
      <w:r w:rsidRPr="00A428C3">
        <w:t xml:space="preserve">, </w:t>
      </w:r>
      <w:r w:rsidRPr="00A428C3">
        <w:rPr>
          <w:b/>
        </w:rPr>
        <w:t>43</w:t>
      </w:r>
      <w:r w:rsidRPr="00A428C3">
        <w:t xml:space="preserve"> (1), 273-284.</w:t>
      </w:r>
    </w:p>
    <w:p w:rsidR="00B95188" w:rsidRPr="00A428C3" w:rsidRDefault="00B95188" w:rsidP="00B95188">
      <w:pPr>
        <w:pStyle w:val="a0"/>
      </w:pPr>
      <w:r w:rsidRPr="00A428C3">
        <w:t xml:space="preserve">Full Text: </w:t>
      </w:r>
      <w:hyperlink r:id="rId1430" w:history="1">
        <w:r w:rsidRPr="00A428C3">
          <w:rPr>
            <w:rStyle w:val="a5"/>
          </w:rPr>
          <w:t>2007\Inf Pro Man43, 273.pdf</w:t>
        </w:r>
      </w:hyperlink>
    </w:p>
    <w:p w:rsidR="00B95188" w:rsidRPr="00A428C3" w:rsidRDefault="00B95188" w:rsidP="00B95188">
      <w:pPr>
        <w:pStyle w:val="a0"/>
      </w:pPr>
      <w:r w:rsidRPr="00A428C3">
        <w:t>Abstract: The purpose of the present study is to analyse</w:t>
      </w:r>
      <w:r w:rsidR="00F81221">
        <w:t xml:space="preserve"> and </w:t>
      </w:r>
      <w:r w:rsidRPr="00A428C3">
        <w:t>map the trends in research on prion diseases by applying bibliometric tools to the scientific literature published between 1973</w:t>
      </w:r>
      <w:r w:rsidR="00F81221">
        <w:t xml:space="preserve"> and </w:t>
      </w:r>
      <w:r w:rsidRPr="00A428C3">
        <w:t>2002. The data for the study were obtained from the Medline database. The aim is to determine the volume of scientific output in the above period, the countries involved</w:t>
      </w:r>
      <w:r w:rsidR="00F81221">
        <w:t xml:space="preserve"> and </w:t>
      </w:r>
      <w:r w:rsidRPr="00A428C3">
        <w:t>the trends in the subject matters addressed. Significant growth is observed in scientific production since 1991</w:t>
      </w:r>
      <w:r w:rsidR="00F81221">
        <w:t xml:space="preserve"> and </w:t>
      </w:r>
      <w:r w:rsidRPr="00A428C3">
        <w:t xml:space="preserve">particularly in the period 1996–2001. The countries found to have the highest output are the </w:t>
      </w:r>
      <w:smartTag w:uri="urn:schemas-microsoft-com:office:smarttags" w:element="country-region">
        <w:r w:rsidRPr="00A428C3">
          <w:t>United States</w:t>
        </w:r>
      </w:smartTag>
      <w:r w:rsidRPr="00A428C3">
        <w:t xml:space="preserve">, the </w:t>
      </w:r>
      <w:smartTag w:uri="urn:schemas-microsoft-com:office:smarttags" w:element="country-region">
        <w:r w:rsidRPr="00A428C3">
          <w:t>United Kingdom</w:t>
        </w:r>
      </w:smartTag>
      <w:r w:rsidRPr="00A428C3">
        <w:t xml:space="preserve">, </w:t>
      </w:r>
      <w:smartTag w:uri="urn:schemas-microsoft-com:office:smarttags" w:element="country-region">
        <w:r w:rsidRPr="00A428C3">
          <w:t>Japan</w:t>
        </w:r>
      </w:smartTag>
      <w:r w:rsidRPr="00A428C3">
        <w:t>, France</w:t>
      </w:r>
      <w:r w:rsidR="00F81221">
        <w:t xml:space="preserve"> and </w:t>
      </w:r>
      <w:r w:rsidRPr="00A428C3">
        <w:t>Germany. The collaboration networks established by scientists are also analysed in this study, as well as the evolution in the subject matters addressed in the papers they published, that are observed to remain essentially constant in the three sub-periods into which the study is divided.</w:t>
      </w:r>
    </w:p>
    <w:p w:rsidR="00B95188" w:rsidRPr="00A428C3" w:rsidRDefault="00B95188" w:rsidP="00B95188">
      <w:pPr>
        <w:pStyle w:val="a0"/>
      </w:pPr>
      <w:r w:rsidRPr="00A428C3">
        <w:t>Keywords: Bibliometric, Bibliometric Mapping, Cartography, Collaboration, Collaboration Networks, Diseases, Evolution, France, Germany, Growth, Japan, Mapping, Output, Prion Disease, Production, Research, Science, Scientific Production, Technology, Tools, Trends, United Kingdom, United States</w:t>
      </w:r>
    </w:p>
    <w:p w:rsidR="003E6083" w:rsidRPr="001A3D2B" w:rsidRDefault="003E6083" w:rsidP="003E6083">
      <w:pPr>
        <w:pStyle w:val="a0"/>
      </w:pPr>
      <w:r w:rsidRPr="001A3D2B">
        <w:t xml:space="preserve">? Walters, W.H. (2007), Google Scholar coverage of a multidisciplinary field. </w:t>
      </w:r>
      <w:r w:rsidRPr="001A3D2B">
        <w:rPr>
          <w:i/>
          <w:iCs/>
        </w:rPr>
        <w:t>Information Processing &amp; Management</w:t>
      </w:r>
      <w:r w:rsidRPr="001A3D2B">
        <w:t xml:space="preserve">, </w:t>
      </w:r>
      <w:r w:rsidRPr="001A3D2B">
        <w:rPr>
          <w:b/>
          <w:bCs/>
        </w:rPr>
        <w:t>43</w:t>
      </w:r>
      <w:r w:rsidRPr="001A3D2B">
        <w:t xml:space="preserve"> (4), 1121-1132.</w:t>
      </w:r>
    </w:p>
    <w:p w:rsidR="003E6083" w:rsidRPr="001A3D2B" w:rsidRDefault="003E6083" w:rsidP="003E6083">
      <w:pPr>
        <w:pStyle w:val="a0"/>
      </w:pPr>
      <w:r w:rsidRPr="001A3D2B">
        <w:t xml:space="preserve">Full Text: </w:t>
      </w:r>
      <w:hyperlink r:id="rId1431" w:history="1">
        <w:r w:rsidRPr="001A3D2B">
          <w:rPr>
            <w:rStyle w:val="a5"/>
          </w:rPr>
          <w:t>2007\Inf Pro Man43, 1121.pdf</w:t>
        </w:r>
      </w:hyperlink>
    </w:p>
    <w:p w:rsidR="003E6083" w:rsidRPr="001A3D2B" w:rsidRDefault="003E6083" w:rsidP="003E6083">
      <w:pPr>
        <w:pStyle w:val="a0"/>
      </w:pPr>
      <w:r w:rsidRPr="001A3D2B">
        <w:t>Abstract: This paper evaluates the content of Google Scholar</w:t>
      </w:r>
      <w:r w:rsidR="00F81221">
        <w:t xml:space="preserve"> and </w:t>
      </w:r>
      <w:r w:rsidRPr="001A3D2B">
        <w:t xml:space="preserve">seven other databases (Academic Search Elite, AgeLine, ArticleFirst, GEOBASE, POPLINE, Social </w:t>
      </w:r>
      <w:r w:rsidRPr="001A3D2B">
        <w:lastRenderedPageBreak/>
        <w:t>Sciences Abstracts,</w:t>
      </w:r>
      <w:r w:rsidR="00F81221">
        <w:t xml:space="preserve"> and </w:t>
      </w:r>
      <w:r w:rsidRPr="001A3D2B">
        <w:t>Social Sciences Citation Index) within the multidisciplinary subject area of later-life migration. Each database is evaluated with reference to a set of 155 core articles selected in advance-the most important studies of later-life migration published from 1990 to 2000. Of the eight databases, Google Scholar indexes the greatest number of core articles (93%)</w:t>
      </w:r>
      <w:r w:rsidR="00F81221">
        <w:t xml:space="preserve"> and </w:t>
      </w:r>
      <w:r w:rsidRPr="001A3D2B">
        <w:t>provides the most uniform publisher</w:t>
      </w:r>
      <w:r w:rsidR="00F81221">
        <w:t xml:space="preserve"> and </w:t>
      </w:r>
      <w:r w:rsidRPr="001A3D2B">
        <w:t>date coverage. It covers 27% more core articles than the second-ranked database (SSCI)</w:t>
      </w:r>
      <w:r w:rsidR="00F81221">
        <w:t xml:space="preserve"> and </w:t>
      </w:r>
      <w:r w:rsidRPr="001A3D2B">
        <w:t>2.4 times as many as the lowest-ranked database (GEOBASE). At the same time, a substantial proportion of the citations provided by Google Scholar are incomplete (32%) or presented without abstracts (33%). (c) 2006 Elsevier Ltd. All rights reserved.</w:t>
      </w:r>
    </w:p>
    <w:p w:rsidR="003E6083" w:rsidRPr="001A3D2B" w:rsidRDefault="003E6083" w:rsidP="003E6083">
      <w:pPr>
        <w:pStyle w:val="a0"/>
      </w:pPr>
      <w:r w:rsidRPr="001A3D2B">
        <w:t>Keywords: Citations, Coverage, Database, Databases, Field, Migration, Multidisciplinary, Rights, SSCI</w:t>
      </w:r>
    </w:p>
    <w:p w:rsidR="003E6083" w:rsidRPr="001A3D2B" w:rsidRDefault="003E6083" w:rsidP="003E6083">
      <w:pPr>
        <w:pStyle w:val="a0"/>
      </w:pPr>
      <w:r w:rsidRPr="001A3D2B">
        <w:t>? Rokaya, M., Atlam, E., Fuketa, M., Dorji, T.C.</w:t>
      </w:r>
      <w:r w:rsidR="00F81221">
        <w:t xml:space="preserve"> and </w:t>
      </w:r>
      <w:r w:rsidRPr="001A3D2B">
        <w:t xml:space="preserve">Aoe, J.I. (2008), Ranking of field association terms using Co-word analysis. </w:t>
      </w:r>
      <w:r w:rsidRPr="001A3D2B">
        <w:rPr>
          <w:i/>
          <w:iCs/>
        </w:rPr>
        <w:t>Information Processing &amp; Management</w:t>
      </w:r>
      <w:r w:rsidRPr="001A3D2B">
        <w:t xml:space="preserve">, </w:t>
      </w:r>
      <w:r w:rsidRPr="001A3D2B">
        <w:rPr>
          <w:b/>
          <w:bCs/>
        </w:rPr>
        <w:t>44</w:t>
      </w:r>
      <w:r w:rsidRPr="001A3D2B">
        <w:t xml:space="preserve"> (2), 738-755.</w:t>
      </w:r>
    </w:p>
    <w:p w:rsidR="003E6083" w:rsidRPr="001A3D2B" w:rsidRDefault="003E6083" w:rsidP="003E6083">
      <w:pPr>
        <w:pStyle w:val="a0"/>
      </w:pPr>
      <w:r w:rsidRPr="001A3D2B">
        <w:t xml:space="preserve">Full Text: </w:t>
      </w:r>
      <w:hyperlink r:id="rId1432" w:history="1">
        <w:r w:rsidRPr="001A3D2B">
          <w:rPr>
            <w:rStyle w:val="a5"/>
            <w:szCs w:val="24"/>
          </w:rPr>
          <w:t>2008\Inf Pro Man44, 738.pdf</w:t>
        </w:r>
      </w:hyperlink>
    </w:p>
    <w:p w:rsidR="003E6083" w:rsidRPr="001A3D2B" w:rsidRDefault="003E6083" w:rsidP="003E6083">
      <w:pPr>
        <w:pStyle w:val="a0"/>
      </w:pPr>
      <w:r w:rsidRPr="001A3D2B">
        <w:t>Abstract: Information retrieval involves finding some desired information in a store of information or a database. In this paper, Co-word analysis will be used to achieve a ranking of a selected sample of FA terms. Based on this ranking a better arranging of search results can be achieved. Experimental results achieved using 41 MB of data (7660 documents) in the field of sports. The corpus was collected from CNN newspaper, sports field. This corpus was chosen to be distributed over 11 subfields of the field sports from the experimental results, the average precision increased by 18.3% after applying the proposed arranging scheme depending on the absolute frequency to count the terms weights,</w:t>
      </w:r>
      <w:r w:rsidR="00F81221">
        <w:t xml:space="preserve"> and </w:t>
      </w:r>
      <w:r w:rsidRPr="001A3D2B">
        <w:t xml:space="preserve">the average precision increased by 17.2% after applying the proposed arranging scheme depending on a formula based on </w:t>
      </w:r>
      <w:r w:rsidR="000352E7">
        <w:t>“</w:t>
      </w:r>
      <w:r w:rsidRPr="001A3D2B">
        <w:t>TF*IDF</w:t>
      </w:r>
      <w:r w:rsidR="000352E7">
        <w:t>”</w:t>
      </w:r>
      <w:r w:rsidRPr="001A3D2B">
        <w:t xml:space="preserve"> to count the terms weights. (c) 2007 Elsevier Ltd. All rights reserved.</w:t>
      </w:r>
    </w:p>
    <w:p w:rsidR="003E6083" w:rsidRPr="001A3D2B" w:rsidRDefault="003E6083" w:rsidP="003E6083">
      <w:pPr>
        <w:pStyle w:val="a0"/>
      </w:pPr>
      <w:r w:rsidRPr="001A3D2B">
        <w:t>Keywords: Absolute Frequency, Analysis, Association, Bibliometric, Co-Word Analysis, Data, Database, Distributed, Experimental, Fa Terms, Field, Information, Information Retrieval, Information-Retrieval, MAR, MB, Precision, Ranking, Rights, Scientometrics, Term Weight, Tf*Idf, Word Co-Occurrence</w:t>
      </w:r>
    </w:p>
    <w:p w:rsidR="00B95188" w:rsidRPr="0035706D" w:rsidRDefault="00B95188" w:rsidP="00B95188">
      <w:pPr>
        <w:pStyle w:val="a0"/>
        <w:rPr>
          <w:kern w:val="0"/>
          <w:szCs w:val="24"/>
        </w:rPr>
      </w:pPr>
      <w:r>
        <w:rPr>
          <w:rFonts w:hint="eastAsia"/>
          <w:kern w:val="0"/>
          <w:szCs w:val="24"/>
        </w:rPr>
        <w:t xml:space="preserve">? </w:t>
      </w:r>
      <w:r w:rsidRPr="0035706D">
        <w:rPr>
          <w:kern w:val="0"/>
          <w:szCs w:val="24"/>
        </w:rPr>
        <w:t>Egghe, L.</w:t>
      </w:r>
      <w:r w:rsidR="00F81221">
        <w:rPr>
          <w:kern w:val="0"/>
          <w:szCs w:val="24"/>
        </w:rPr>
        <w:t xml:space="preserve"> and </w:t>
      </w:r>
      <w:r w:rsidRPr="0035706D">
        <w:rPr>
          <w:kern w:val="0"/>
          <w:szCs w:val="24"/>
        </w:rPr>
        <w:t xml:space="preserve">Rousseau, R. (2008), An h-index weighted by citation impact. </w:t>
      </w:r>
      <w:r w:rsidRPr="0035706D">
        <w:rPr>
          <w:i/>
          <w:iCs/>
          <w:kern w:val="0"/>
          <w:szCs w:val="24"/>
        </w:rPr>
        <w:t>Information Processing &amp; Management</w:t>
      </w:r>
      <w:r w:rsidRPr="0035706D">
        <w:rPr>
          <w:kern w:val="0"/>
          <w:szCs w:val="24"/>
        </w:rPr>
        <w:t xml:space="preserve">, </w:t>
      </w:r>
      <w:r w:rsidRPr="0035706D">
        <w:rPr>
          <w:b/>
          <w:bCs/>
          <w:kern w:val="0"/>
          <w:szCs w:val="24"/>
        </w:rPr>
        <w:t>44</w:t>
      </w:r>
      <w:r w:rsidRPr="0035706D">
        <w:rPr>
          <w:kern w:val="0"/>
          <w:szCs w:val="24"/>
        </w:rPr>
        <w:t xml:space="preserve"> (2), 770-780.</w:t>
      </w:r>
    </w:p>
    <w:p w:rsidR="00B95188" w:rsidRDefault="00B95188" w:rsidP="00B95188">
      <w:pPr>
        <w:pStyle w:val="a0"/>
        <w:rPr>
          <w:kern w:val="0"/>
          <w:szCs w:val="24"/>
        </w:rPr>
      </w:pPr>
      <w:r>
        <w:rPr>
          <w:rFonts w:hint="eastAsia"/>
          <w:kern w:val="0"/>
          <w:szCs w:val="24"/>
        </w:rPr>
        <w:t xml:space="preserve">Full Text: </w:t>
      </w:r>
      <w:hyperlink r:id="rId1433" w:history="1">
        <w:r w:rsidRPr="0054404B">
          <w:rPr>
            <w:rStyle w:val="a5"/>
            <w:kern w:val="0"/>
            <w:szCs w:val="24"/>
          </w:rPr>
          <w:t>2008\Inf Pro Man44, 770.pdf</w:t>
        </w:r>
      </w:hyperlink>
    </w:p>
    <w:p w:rsidR="00B95188" w:rsidRPr="0035706D" w:rsidRDefault="00B95188" w:rsidP="00B95188">
      <w:pPr>
        <w:pStyle w:val="a0"/>
        <w:rPr>
          <w:kern w:val="0"/>
          <w:szCs w:val="24"/>
        </w:rPr>
      </w:pPr>
      <w:r w:rsidRPr="0035706D">
        <w:rPr>
          <w:kern w:val="0"/>
          <w:szCs w:val="24"/>
        </w:rPr>
        <w:t>Abstract: An h-type index is proposed which depends on the obtained citations of articles belonging to the h-core. This weighted h-index, denoted as h., is presented in a continuous setting</w:t>
      </w:r>
      <w:r w:rsidR="00F81221">
        <w:rPr>
          <w:kern w:val="0"/>
          <w:szCs w:val="24"/>
        </w:rPr>
        <w:t xml:space="preserve"> and </w:t>
      </w:r>
      <w:r w:rsidRPr="0035706D">
        <w:rPr>
          <w:kern w:val="0"/>
          <w:szCs w:val="24"/>
        </w:rPr>
        <w:t>in a discrete one. It is shown that in a continuous setting the new index enjoys many good properties. In the discrete setting some small deviations from the ideal may occur. (c) 2007 Elsevier Ltd. All rights reserved.</w:t>
      </w:r>
    </w:p>
    <w:p w:rsidR="00B95188" w:rsidRDefault="00B95188" w:rsidP="00B95188">
      <w:pPr>
        <w:pStyle w:val="a0"/>
      </w:pPr>
      <w:r w:rsidRPr="0035706D">
        <w:rPr>
          <w:kern w:val="0"/>
        </w:rPr>
        <w:lastRenderedPageBreak/>
        <w:t>Keywords: Citation</w:t>
      </w:r>
      <w:r>
        <w:rPr>
          <w:kern w:val="0"/>
        </w:rPr>
        <w:t xml:space="preserve">, </w:t>
      </w:r>
      <w:r w:rsidRPr="0035706D">
        <w:rPr>
          <w:kern w:val="0"/>
        </w:rPr>
        <w:t>Citations</w:t>
      </w:r>
      <w:r>
        <w:rPr>
          <w:kern w:val="0"/>
        </w:rPr>
        <w:t xml:space="preserve">, </w:t>
      </w:r>
      <w:r w:rsidRPr="0035706D">
        <w:rPr>
          <w:kern w:val="0"/>
        </w:rPr>
        <w:t>Discrete</w:t>
      </w:r>
      <w:r w:rsidR="00F81221">
        <w:rPr>
          <w:kern w:val="0"/>
        </w:rPr>
        <w:t xml:space="preserve"> and </w:t>
      </w:r>
      <w:r w:rsidRPr="0035706D">
        <w:rPr>
          <w:kern w:val="0"/>
        </w:rPr>
        <w:t>Continuous Approach</w:t>
      </w:r>
      <w:r>
        <w:rPr>
          <w:kern w:val="0"/>
        </w:rPr>
        <w:t xml:space="preserve">, </w:t>
      </w:r>
      <w:r>
        <w:rPr>
          <w:rFonts w:hint="eastAsia"/>
          <w:kern w:val="0"/>
        </w:rPr>
        <w:t>h</w:t>
      </w:r>
      <w:r w:rsidRPr="0035706D">
        <w:rPr>
          <w:kern w:val="0"/>
        </w:rPr>
        <w:t xml:space="preserve"> Index</w:t>
      </w:r>
      <w:r>
        <w:rPr>
          <w:kern w:val="0"/>
        </w:rPr>
        <w:t xml:space="preserve">, </w:t>
      </w:r>
      <w:r>
        <w:rPr>
          <w:rFonts w:hint="eastAsia"/>
          <w:kern w:val="0"/>
        </w:rPr>
        <w:t>h</w:t>
      </w:r>
      <w:r w:rsidRPr="0035706D">
        <w:rPr>
          <w:kern w:val="0"/>
        </w:rPr>
        <w:t>-Index</w:t>
      </w:r>
      <w:r>
        <w:rPr>
          <w:kern w:val="0"/>
        </w:rPr>
        <w:t xml:space="preserve">, </w:t>
      </w:r>
      <w:r>
        <w:rPr>
          <w:rFonts w:hint="eastAsia"/>
          <w:kern w:val="0"/>
        </w:rPr>
        <w:t>h</w:t>
      </w:r>
      <w:r w:rsidRPr="0035706D">
        <w:rPr>
          <w:kern w:val="0"/>
        </w:rPr>
        <w:t>-Type Indices</w:t>
      </w:r>
      <w:r>
        <w:rPr>
          <w:kern w:val="0"/>
        </w:rPr>
        <w:t xml:space="preserve">, </w:t>
      </w:r>
      <w:r w:rsidRPr="0035706D">
        <w:rPr>
          <w:kern w:val="0"/>
        </w:rPr>
        <w:t>Power Law Model</w:t>
      </w:r>
      <w:r>
        <w:rPr>
          <w:kern w:val="0"/>
        </w:rPr>
        <w:t xml:space="preserve">, </w:t>
      </w:r>
      <w:r w:rsidRPr="0035706D">
        <w:rPr>
          <w:kern w:val="0"/>
        </w:rPr>
        <w:t>Rights</w:t>
      </w:r>
      <w:r>
        <w:rPr>
          <w:kern w:val="0"/>
        </w:rPr>
        <w:t xml:space="preserve">, </w:t>
      </w:r>
      <w:r w:rsidRPr="0035706D">
        <w:rPr>
          <w:kern w:val="0"/>
        </w:rPr>
        <w:t>Small</w:t>
      </w:r>
      <w:r>
        <w:rPr>
          <w:kern w:val="0"/>
        </w:rPr>
        <w:t xml:space="preserve">, </w:t>
      </w:r>
      <w:r w:rsidRPr="0035706D">
        <w:rPr>
          <w:kern w:val="0"/>
        </w:rPr>
        <w:t xml:space="preserve">Weighted </w:t>
      </w:r>
      <w:r>
        <w:rPr>
          <w:rFonts w:hint="eastAsia"/>
          <w:kern w:val="0"/>
        </w:rPr>
        <w:t>h</w:t>
      </w:r>
      <w:r w:rsidRPr="0035706D">
        <w:rPr>
          <w:kern w:val="0"/>
        </w:rPr>
        <w:t>-Index</w:t>
      </w:r>
    </w:p>
    <w:p w:rsidR="005C0A3C" w:rsidRPr="003862C4" w:rsidRDefault="005C0A3C" w:rsidP="005C0A3C">
      <w:pPr>
        <w:pStyle w:val="a0"/>
      </w:pPr>
      <w:r w:rsidRPr="00D55BF2">
        <w:rPr>
          <w:rFonts w:hint="eastAsia"/>
        </w:rPr>
        <w:t xml:space="preserve">? </w:t>
      </w:r>
      <w:r w:rsidRPr="00D55BF2">
        <w:t>Ma, N., Guan, J.C.</w:t>
      </w:r>
      <w:r w:rsidR="00F81221">
        <w:t xml:space="preserve"> and </w:t>
      </w:r>
      <w:r w:rsidRPr="00D55BF2">
        <w:t xml:space="preserve">Zhao, Y. (2008), Bringing PageRank to the citation analysis. </w:t>
      </w:r>
      <w:r w:rsidRPr="00CE7517">
        <w:rPr>
          <w:i/>
          <w:iCs/>
        </w:rPr>
        <w:t>Information Processing &amp; Management</w:t>
      </w:r>
      <w:r w:rsidRPr="00D55BF2">
        <w:t xml:space="preserve">, </w:t>
      </w:r>
      <w:r w:rsidRPr="00551655">
        <w:rPr>
          <w:b/>
          <w:bCs/>
        </w:rPr>
        <w:t>44</w:t>
      </w:r>
      <w:r w:rsidRPr="003862C4">
        <w:t xml:space="preserve"> (2), 800-810.</w:t>
      </w:r>
    </w:p>
    <w:p w:rsidR="005C0A3C" w:rsidRPr="003862C4" w:rsidRDefault="005C0A3C" w:rsidP="005C0A3C">
      <w:pPr>
        <w:pStyle w:val="a0"/>
      </w:pPr>
      <w:r w:rsidRPr="003862C4">
        <w:rPr>
          <w:rFonts w:hint="eastAsia"/>
        </w:rPr>
        <w:t xml:space="preserve">Full Text: </w:t>
      </w:r>
      <w:hyperlink r:id="rId1434" w:history="1">
        <w:r w:rsidRPr="008D00D0">
          <w:rPr>
            <w:rStyle w:val="a5"/>
            <w:szCs w:val="24"/>
          </w:rPr>
          <w:t>2008\Inf Pro Man44, 800.pdf</w:t>
        </w:r>
      </w:hyperlink>
    </w:p>
    <w:p w:rsidR="005C0A3C" w:rsidRPr="003862C4" w:rsidRDefault="005C0A3C" w:rsidP="005C0A3C">
      <w:pPr>
        <w:pStyle w:val="a0"/>
      </w:pPr>
      <w:r w:rsidRPr="003862C4">
        <w:t>Abstract: The paper attempts to provide an alternative method for measuring the importance of scientific papers based on the Google</w:t>
      </w:r>
      <w:r w:rsidR="000352E7">
        <w:t>’</w:t>
      </w:r>
      <w:r w:rsidRPr="003862C4">
        <w:t>s PageRank. The method is a meaningful extension of the common integer counting of citations</w:t>
      </w:r>
      <w:r w:rsidR="00F81221">
        <w:t xml:space="preserve"> and </w:t>
      </w:r>
      <w:r w:rsidRPr="003862C4">
        <w:t>is then experimented for bringing PageRank to the citation analysis in a large citation network. It offers a more integrated picture of the publications</w:t>
      </w:r>
      <w:r w:rsidR="000352E7">
        <w:t>’</w:t>
      </w:r>
      <w:r w:rsidRPr="003862C4">
        <w:t xml:space="preserve"> influence in a specific field. We firstly calculate the PageRanks of scientific papers. The distributional characteristics</w:t>
      </w:r>
      <w:r w:rsidR="00F81221">
        <w:t xml:space="preserve"> and </w:t>
      </w:r>
      <w:r w:rsidRPr="003862C4">
        <w:t>comparison with the traditionally used number of citations are then analyzed in detail. Furthermore, the PageRank is implemented in the evaluation of research influence for several countries in the field of Biochemistry</w:t>
      </w:r>
      <w:r w:rsidR="00F81221">
        <w:t xml:space="preserve"> and </w:t>
      </w:r>
      <w:r w:rsidRPr="003862C4">
        <w:t>Molecular Biology during the time period of 2000-2005. Finally, some advantages of bringing PageRank to the citation analysis are concluded. (c) 2007 Elsevier Ltd. All rights reserved.</w:t>
      </w:r>
    </w:p>
    <w:p w:rsidR="005C0A3C" w:rsidRPr="003862C4" w:rsidRDefault="005C0A3C" w:rsidP="005C0A3C">
      <w:pPr>
        <w:pStyle w:val="a0"/>
      </w:pPr>
      <w:r w:rsidRPr="003862C4">
        <w:t>Keywords: Alternative, Analysis, Basic Research, Bibliometric Analysis, Characteristics, China, Citation, Citation Analysis, Citation Network, Citations, Comparison, Evaluation, Field, Indicators, Internal Citations, MAR, Molecular-Biology, Network, Pagerank, Papers, Publications, Research, Research Performance, Rights, Science, Scientific Publications</w:t>
      </w:r>
    </w:p>
    <w:p w:rsidR="009A255D" w:rsidRDefault="009A255D" w:rsidP="009A255D">
      <w:pPr>
        <w:pStyle w:val="a0"/>
        <w:rPr>
          <w:kern w:val="0"/>
          <w:szCs w:val="24"/>
        </w:rPr>
      </w:pPr>
      <w:r>
        <w:rPr>
          <w:rFonts w:hint="eastAsia"/>
          <w:kern w:val="0"/>
          <w:szCs w:val="24"/>
        </w:rPr>
        <w:t xml:space="preserve">? </w:t>
      </w:r>
      <w:r>
        <w:rPr>
          <w:kern w:val="0"/>
          <w:szCs w:val="24"/>
        </w:rPr>
        <w:t>Jiao, Q.G., Onwuegbuzie, A.J.</w:t>
      </w:r>
      <w:r w:rsidR="00F81221">
        <w:rPr>
          <w:kern w:val="0"/>
          <w:szCs w:val="24"/>
        </w:rPr>
        <w:t xml:space="preserve"> and </w:t>
      </w:r>
      <w:r>
        <w:rPr>
          <w:kern w:val="0"/>
          <w:szCs w:val="24"/>
        </w:rPr>
        <w:t>Waytowich, V.L. (2008), The relationship between citation errors</w:t>
      </w:r>
      <w:r w:rsidR="00F81221">
        <w:rPr>
          <w:kern w:val="0"/>
          <w:szCs w:val="24"/>
        </w:rPr>
        <w:t xml:space="preserve"> and </w:t>
      </w:r>
      <w:r>
        <w:rPr>
          <w:kern w:val="0"/>
          <w:szCs w:val="24"/>
        </w:rPr>
        <w:t xml:space="preserve">library anxiety: An empirical study of doctoral students in education. </w:t>
      </w:r>
      <w:r>
        <w:rPr>
          <w:i/>
          <w:iCs/>
          <w:kern w:val="0"/>
          <w:szCs w:val="24"/>
        </w:rPr>
        <w:t>Information Processing &amp; Management</w:t>
      </w:r>
      <w:r>
        <w:rPr>
          <w:kern w:val="0"/>
          <w:szCs w:val="24"/>
        </w:rPr>
        <w:t xml:space="preserve">, </w:t>
      </w:r>
      <w:r>
        <w:rPr>
          <w:b/>
          <w:bCs/>
          <w:kern w:val="0"/>
          <w:szCs w:val="24"/>
        </w:rPr>
        <w:t>44</w:t>
      </w:r>
      <w:r>
        <w:rPr>
          <w:kern w:val="0"/>
          <w:szCs w:val="24"/>
        </w:rPr>
        <w:t xml:space="preserve"> (2), 948-956.</w:t>
      </w:r>
    </w:p>
    <w:p w:rsidR="009A255D" w:rsidRPr="001A3D2B" w:rsidRDefault="009A255D" w:rsidP="009A255D">
      <w:pPr>
        <w:pStyle w:val="a0"/>
      </w:pPr>
      <w:r w:rsidRPr="001A3D2B">
        <w:t xml:space="preserve">Full Text: </w:t>
      </w:r>
      <w:hyperlink r:id="rId1435" w:history="1">
        <w:r w:rsidRPr="009A255D">
          <w:rPr>
            <w:rStyle w:val="a5"/>
          </w:rPr>
          <w:t>2008\Inf Pro Man44, 948.pdf</w:t>
        </w:r>
      </w:hyperlink>
    </w:p>
    <w:p w:rsidR="009A255D" w:rsidRDefault="009A255D" w:rsidP="009A255D">
      <w:pPr>
        <w:pStyle w:val="a0"/>
        <w:rPr>
          <w:kern w:val="0"/>
          <w:szCs w:val="24"/>
        </w:rPr>
      </w:pPr>
      <w:r>
        <w:rPr>
          <w:kern w:val="0"/>
          <w:szCs w:val="24"/>
        </w:rPr>
        <w:t>Abstract: The present study investigated whether levels of library anxiety predict simultaneously the citation error rate</w:t>
      </w:r>
      <w:r w:rsidR="00F81221">
        <w:rPr>
          <w:kern w:val="0"/>
          <w:szCs w:val="24"/>
        </w:rPr>
        <w:t xml:space="preserve"> and </w:t>
      </w:r>
      <w:r>
        <w:rPr>
          <w:kern w:val="0"/>
          <w:szCs w:val="24"/>
        </w:rPr>
        <w:t>quality of reference lists in doctoral dissertation proposals among 93 doctoral students in education. This study was unique for at least two reasons. First, it was one of the first studies to examine bibliographic citation inaccuracies in doctoral research proposals. Second, the current investigation was one of the first to investigate the psychological characteristics of doctoral students who commit such errors. A canonical correlation analysis revealed a multivariate relationship between levels of library anxiety</w:t>
      </w:r>
      <w:r w:rsidR="00F81221">
        <w:rPr>
          <w:kern w:val="0"/>
          <w:szCs w:val="24"/>
        </w:rPr>
        <w:t xml:space="preserve"> and </w:t>
      </w:r>
      <w:r>
        <w:rPr>
          <w:kern w:val="0"/>
          <w:szCs w:val="24"/>
        </w:rPr>
        <w:t>both the citation error rate</w:t>
      </w:r>
      <w:r w:rsidR="00F81221">
        <w:rPr>
          <w:kern w:val="0"/>
          <w:szCs w:val="24"/>
        </w:rPr>
        <w:t xml:space="preserve"> and </w:t>
      </w:r>
      <w:r>
        <w:rPr>
          <w:kern w:val="0"/>
          <w:szCs w:val="24"/>
        </w:rPr>
        <w:t>quality of reference lists. This finding suggests that level of library anxiety plays an important role in students</w:t>
      </w:r>
      <w:r w:rsidR="000352E7">
        <w:rPr>
          <w:kern w:val="0"/>
          <w:szCs w:val="24"/>
        </w:rPr>
        <w:t>’</w:t>
      </w:r>
      <w:r>
        <w:rPr>
          <w:kern w:val="0"/>
          <w:szCs w:val="24"/>
        </w:rPr>
        <w:t xml:space="preserve"> ability to construct accurate reference lists. The implications of these findings are discussed. Published by Elsevier Ltd.</w:t>
      </w:r>
    </w:p>
    <w:p w:rsidR="009A255D" w:rsidRDefault="009A255D" w:rsidP="009A255D">
      <w:pPr>
        <w:pStyle w:val="a0"/>
        <w:rPr>
          <w:kern w:val="0"/>
          <w:szCs w:val="24"/>
        </w:rPr>
      </w:pPr>
      <w:r>
        <w:rPr>
          <w:kern w:val="0"/>
          <w:szCs w:val="24"/>
        </w:rPr>
        <w:t xml:space="preserve">Keywords: Accuracy, Analysis, Anxiety, Bibliographic Errors, Canonical Analysis, Characteristics, Citation, Citation Error, Citation Errors, Correlation, Correlation </w:t>
      </w:r>
      <w:r>
        <w:rPr>
          <w:kern w:val="0"/>
          <w:szCs w:val="24"/>
        </w:rPr>
        <w:lastRenderedPageBreak/>
        <w:t>Analysis, Education, Error, Error Rate, Errors, First, Graduate Students, Investigation, Journals, Library Anxiety, Mar, Multivariate, Quality, Quality of, Reference, Reference Lists, Research, Role, Students</w:t>
      </w:r>
    </w:p>
    <w:p w:rsidR="0056584E" w:rsidRDefault="0056584E" w:rsidP="0056584E">
      <w:pPr>
        <w:pStyle w:val="a0"/>
        <w:rPr>
          <w:kern w:val="0"/>
          <w:szCs w:val="24"/>
        </w:rPr>
      </w:pPr>
      <w:r>
        <w:rPr>
          <w:rFonts w:hint="eastAsia"/>
          <w:kern w:val="0"/>
          <w:szCs w:val="24"/>
        </w:rPr>
        <w:t xml:space="preserve">? </w:t>
      </w:r>
      <w:r>
        <w:rPr>
          <w:kern w:val="0"/>
          <w:szCs w:val="24"/>
        </w:rPr>
        <w:t>Tsakonas, G.</w:t>
      </w:r>
      <w:r w:rsidR="00F81221">
        <w:rPr>
          <w:kern w:val="0"/>
          <w:szCs w:val="24"/>
        </w:rPr>
        <w:t xml:space="preserve"> and </w:t>
      </w:r>
      <w:r>
        <w:rPr>
          <w:kern w:val="0"/>
          <w:szCs w:val="24"/>
        </w:rPr>
        <w:t>Papatheodorou, C. (2008), Exploring usefulness</w:t>
      </w:r>
      <w:r w:rsidR="00F81221">
        <w:rPr>
          <w:kern w:val="0"/>
          <w:szCs w:val="24"/>
        </w:rPr>
        <w:t xml:space="preserve"> and </w:t>
      </w:r>
      <w:r>
        <w:rPr>
          <w:kern w:val="0"/>
          <w:szCs w:val="24"/>
        </w:rPr>
        <w:t xml:space="preserve">usability in the evaluation of open access digital libraries. </w:t>
      </w:r>
      <w:r>
        <w:rPr>
          <w:i/>
          <w:iCs/>
          <w:kern w:val="0"/>
          <w:szCs w:val="24"/>
        </w:rPr>
        <w:t>Information Processing &amp; Management</w:t>
      </w:r>
      <w:r>
        <w:rPr>
          <w:kern w:val="0"/>
          <w:szCs w:val="24"/>
        </w:rPr>
        <w:t xml:space="preserve">, </w:t>
      </w:r>
      <w:r>
        <w:rPr>
          <w:b/>
          <w:bCs/>
          <w:kern w:val="0"/>
          <w:szCs w:val="24"/>
        </w:rPr>
        <w:t>44</w:t>
      </w:r>
      <w:r>
        <w:rPr>
          <w:kern w:val="0"/>
          <w:szCs w:val="24"/>
        </w:rPr>
        <w:t xml:space="preserve"> (3), 1234-1250.</w:t>
      </w:r>
    </w:p>
    <w:p w:rsidR="0056584E" w:rsidRDefault="0056584E" w:rsidP="0056584E">
      <w:pPr>
        <w:pStyle w:val="a0"/>
      </w:pPr>
      <w:r w:rsidRPr="003862C4">
        <w:rPr>
          <w:rFonts w:hint="eastAsia"/>
        </w:rPr>
        <w:t xml:space="preserve">Full Text: </w:t>
      </w:r>
      <w:hyperlink r:id="rId1436" w:history="1">
        <w:r w:rsidR="009A255D" w:rsidRPr="009A255D">
          <w:rPr>
            <w:rStyle w:val="a5"/>
          </w:rPr>
          <w:t>2008\Inf Pro Man44, 1234.pdf</w:t>
        </w:r>
      </w:hyperlink>
    </w:p>
    <w:p w:rsidR="0056584E" w:rsidRDefault="0056584E" w:rsidP="0056584E">
      <w:pPr>
        <w:pStyle w:val="a0"/>
        <w:rPr>
          <w:kern w:val="0"/>
          <w:szCs w:val="24"/>
        </w:rPr>
      </w:pPr>
      <w:r>
        <w:rPr>
          <w:kern w:val="0"/>
          <w:szCs w:val="24"/>
        </w:rPr>
        <w:t>Abstract: Advances in the publishing world have emerged new models of digital library development. Open access publishing modes are expanding their presence</w:t>
      </w:r>
      <w:r w:rsidR="00F81221">
        <w:rPr>
          <w:kern w:val="0"/>
          <w:szCs w:val="24"/>
        </w:rPr>
        <w:t xml:space="preserve"> and </w:t>
      </w:r>
      <w:r>
        <w:rPr>
          <w:kern w:val="0"/>
          <w:szCs w:val="24"/>
        </w:rPr>
        <w:t>realize the digital library idea in various means. While user-centered evaluation of digital libraries has drawn considerable attention during the last years, these systems are currently viewed from the publishing, economic</w:t>
      </w:r>
      <w:r w:rsidR="00F81221">
        <w:rPr>
          <w:kern w:val="0"/>
          <w:szCs w:val="24"/>
        </w:rPr>
        <w:t xml:space="preserve"> and </w:t>
      </w:r>
      <w:r>
        <w:rPr>
          <w:kern w:val="0"/>
          <w:szCs w:val="24"/>
        </w:rPr>
        <w:t>scientometric perspectives. The present study explores the concepts of usefulness</w:t>
      </w:r>
      <w:r w:rsidR="00F81221">
        <w:rPr>
          <w:kern w:val="0"/>
          <w:szCs w:val="24"/>
        </w:rPr>
        <w:t xml:space="preserve"> and </w:t>
      </w:r>
      <w:r>
        <w:rPr>
          <w:kern w:val="0"/>
          <w:szCs w:val="24"/>
        </w:rPr>
        <w:t>usability in the evaluation of an e-print archive. The results demonstrate that several attributes of usefulness, such as the level</w:t>
      </w:r>
      <w:r w:rsidR="00F81221">
        <w:rPr>
          <w:kern w:val="0"/>
          <w:szCs w:val="24"/>
        </w:rPr>
        <w:t xml:space="preserve"> and </w:t>
      </w:r>
      <w:r>
        <w:rPr>
          <w:kern w:val="0"/>
          <w:szCs w:val="24"/>
        </w:rPr>
        <w:t>the relevance of information,</w:t>
      </w:r>
      <w:r w:rsidR="00F81221">
        <w:rPr>
          <w:kern w:val="0"/>
          <w:szCs w:val="24"/>
        </w:rPr>
        <w:t xml:space="preserve"> and </w:t>
      </w:r>
      <w:r>
        <w:rPr>
          <w:kern w:val="0"/>
          <w:szCs w:val="24"/>
        </w:rPr>
        <w:t>usability, such as easiness of use</w:t>
      </w:r>
      <w:r w:rsidR="00F81221">
        <w:rPr>
          <w:kern w:val="0"/>
          <w:szCs w:val="24"/>
        </w:rPr>
        <w:t xml:space="preserve"> and </w:t>
      </w:r>
      <w:r>
        <w:rPr>
          <w:kern w:val="0"/>
          <w:szCs w:val="24"/>
        </w:rPr>
        <w:t>learnability, as well as functionalities commonly met in these systems, affect user interaction</w:t>
      </w:r>
      <w:r w:rsidR="00F81221">
        <w:rPr>
          <w:kern w:val="0"/>
          <w:szCs w:val="24"/>
        </w:rPr>
        <w:t xml:space="preserve"> and </w:t>
      </w:r>
      <w:r>
        <w:rPr>
          <w:kern w:val="0"/>
          <w:szCs w:val="24"/>
        </w:rPr>
        <w:t>satisfaction. (C) 2007 Elsevier Ltd. All rights reserved.</w:t>
      </w:r>
    </w:p>
    <w:p w:rsidR="0056584E" w:rsidRDefault="0056584E" w:rsidP="0056584E">
      <w:pPr>
        <w:pStyle w:val="a0"/>
        <w:rPr>
          <w:kern w:val="0"/>
          <w:szCs w:val="24"/>
        </w:rPr>
      </w:pPr>
      <w:r>
        <w:rPr>
          <w:kern w:val="0"/>
          <w:szCs w:val="24"/>
        </w:rPr>
        <w:t>Keywords: Access, Attitudes, Behavior, Context, Criteria, Databases, Design, Development, Digital Libraries, Digital Libraries Evaluation, E-Prints, Evaluation, Information-Retrieval, Interaction, Libraries, Open Access, Publishing, Search Engines, Usability, Usefulness, Users, Web</w:t>
      </w:r>
    </w:p>
    <w:p w:rsidR="005C0A3C" w:rsidRPr="003862C4" w:rsidRDefault="005C0A3C" w:rsidP="005C0A3C">
      <w:pPr>
        <w:pStyle w:val="a0"/>
      </w:pPr>
      <w:r w:rsidRPr="00D55BF2">
        <w:rPr>
          <w:rFonts w:hint="eastAsia"/>
        </w:rPr>
        <w:t xml:space="preserve">? </w:t>
      </w:r>
      <w:r>
        <w:t>Burrell</w:t>
      </w:r>
      <w:r>
        <w:rPr>
          <w:rFonts w:hint="eastAsia"/>
        </w:rPr>
        <w:t>, Q.L.</w:t>
      </w:r>
      <w:r w:rsidRPr="00D55BF2">
        <w:t xml:space="preserve"> (2008), </w:t>
      </w:r>
      <w:r>
        <w:t>Extending Lotkaian informetrics</w:t>
      </w:r>
      <w:r w:rsidRPr="00D55BF2">
        <w:t xml:space="preserve">. </w:t>
      </w:r>
      <w:r w:rsidRPr="00CE7517">
        <w:rPr>
          <w:i/>
          <w:iCs/>
        </w:rPr>
        <w:t>Information Processing &amp; Management</w:t>
      </w:r>
      <w:r w:rsidRPr="00D55BF2">
        <w:t xml:space="preserve">, </w:t>
      </w:r>
      <w:r w:rsidRPr="00551655">
        <w:rPr>
          <w:b/>
          <w:bCs/>
        </w:rPr>
        <w:t>44</w:t>
      </w:r>
      <w:r w:rsidRPr="003862C4">
        <w:t xml:space="preserve"> (</w:t>
      </w:r>
      <w:r>
        <w:rPr>
          <w:rFonts w:hint="eastAsia"/>
        </w:rPr>
        <w:t>5</w:t>
      </w:r>
      <w:r w:rsidRPr="003862C4">
        <w:t xml:space="preserve">), </w:t>
      </w:r>
      <w:r>
        <w:t>1794-1807</w:t>
      </w:r>
      <w:r w:rsidRPr="003862C4">
        <w:t>.</w:t>
      </w:r>
    </w:p>
    <w:p w:rsidR="005C0A3C" w:rsidRDefault="005C0A3C" w:rsidP="005C0A3C">
      <w:pPr>
        <w:pStyle w:val="a0"/>
      </w:pPr>
      <w:r w:rsidRPr="003862C4">
        <w:rPr>
          <w:rFonts w:hint="eastAsia"/>
        </w:rPr>
        <w:t xml:space="preserve">Full Text: </w:t>
      </w:r>
      <w:hyperlink r:id="rId1437" w:history="1">
        <w:r w:rsidRPr="00BF0073">
          <w:rPr>
            <w:rStyle w:val="a5"/>
          </w:rPr>
          <w:t>2008\Inf Pro Man44, 1794.pdf</w:t>
        </w:r>
      </w:hyperlink>
    </w:p>
    <w:p w:rsidR="005C0A3C" w:rsidRDefault="005C0A3C" w:rsidP="005C0A3C">
      <w:pPr>
        <w:pStyle w:val="a0"/>
      </w:pPr>
      <w:r>
        <w:t>Abstract</w:t>
      </w:r>
      <w:r>
        <w:rPr>
          <w:rFonts w:hint="eastAsia"/>
        </w:rPr>
        <w:t xml:space="preserve">: </w:t>
      </w:r>
      <w:r>
        <w:t>The continuous version of the Lotka distribution, more generally referred to outside of informetrics as the Pareto distribution, has long enjoyed a central position in the theoretical development of informetrics despite several reported drawbacks in modelling empirical data distributions, most particularly that the inverse power form seems mainly to be evident only in the upper tails. We give a number of published examples graphically illustrating this shortcoming. In seeking to overcome this, we here draw attention to an intuitively reasonable generalization of the Pareto distribution, namely the Pareto type II distribution, of which we consider two versions. We describe its basic properties</w:t>
      </w:r>
      <w:r w:rsidR="00F81221">
        <w:t xml:space="preserve"> and </w:t>
      </w:r>
      <w:r>
        <w:t>some statistical features together with concentration aspects</w:t>
      </w:r>
      <w:r w:rsidR="00F81221">
        <w:t xml:space="preserve"> and </w:t>
      </w:r>
      <w:r>
        <w:t>argue that, at least in qualitative terms, it is better able to describe many observed informetric phenomena over the full range of the distribution. Suggestions for further investigations, including truncated</w:t>
      </w:r>
      <w:r w:rsidR="00F81221">
        <w:t xml:space="preserve"> and </w:t>
      </w:r>
      <w:r>
        <w:t>time-dependent versions, are also given.</w:t>
      </w:r>
    </w:p>
    <w:p w:rsidR="005C0A3C" w:rsidRPr="00BF0073" w:rsidRDefault="005C0A3C" w:rsidP="005C0A3C">
      <w:pPr>
        <w:pStyle w:val="a0"/>
      </w:pPr>
      <w:r>
        <w:t>Keywords: Lotkaian Informetrics, Pareto Type II Distribution, Statistical Estimation Methods, Concentration Measures</w:t>
      </w:r>
    </w:p>
    <w:p w:rsidR="005C0A3C" w:rsidRDefault="005C0A3C" w:rsidP="005C0A3C">
      <w:pPr>
        <w:pStyle w:val="a0"/>
        <w:rPr>
          <w:kern w:val="0"/>
          <w:szCs w:val="24"/>
        </w:rPr>
      </w:pPr>
      <w:r>
        <w:rPr>
          <w:rFonts w:hint="eastAsia"/>
          <w:kern w:val="0"/>
          <w:szCs w:val="24"/>
        </w:rPr>
        <w:lastRenderedPageBreak/>
        <w:t xml:space="preserve">? </w:t>
      </w:r>
      <w:r>
        <w:rPr>
          <w:kern w:val="0"/>
          <w:szCs w:val="24"/>
        </w:rPr>
        <w:t xml:space="preserve">Frandsen, T.F. (2009), The integration of open access journals in the scholarly communication system: Three science fields. </w:t>
      </w:r>
      <w:r>
        <w:rPr>
          <w:i/>
          <w:iCs/>
          <w:kern w:val="0"/>
          <w:szCs w:val="24"/>
        </w:rPr>
        <w:t>Information Processing &amp; Management</w:t>
      </w:r>
      <w:r>
        <w:rPr>
          <w:kern w:val="0"/>
          <w:szCs w:val="24"/>
        </w:rPr>
        <w:t xml:space="preserve">, </w:t>
      </w:r>
      <w:r>
        <w:rPr>
          <w:b/>
          <w:bCs/>
          <w:kern w:val="0"/>
          <w:szCs w:val="24"/>
        </w:rPr>
        <w:t>45</w:t>
      </w:r>
      <w:r>
        <w:rPr>
          <w:kern w:val="0"/>
          <w:szCs w:val="24"/>
        </w:rPr>
        <w:t xml:space="preserve"> (1), 131-141.</w:t>
      </w:r>
    </w:p>
    <w:p w:rsidR="005C0A3C" w:rsidRDefault="005C0A3C" w:rsidP="005C0A3C">
      <w:pPr>
        <w:pStyle w:val="a0"/>
      </w:pPr>
      <w:r w:rsidRPr="003862C4">
        <w:rPr>
          <w:rFonts w:hint="eastAsia"/>
        </w:rPr>
        <w:t xml:space="preserve">Full Text: </w:t>
      </w:r>
      <w:hyperlink r:id="rId1438" w:history="1">
        <w:r w:rsidRPr="00A6382D">
          <w:rPr>
            <w:rStyle w:val="a5"/>
          </w:rPr>
          <w:t>2009\Inf Pro Man45, 131.pdf</w:t>
        </w:r>
      </w:hyperlink>
    </w:p>
    <w:p w:rsidR="005C0A3C" w:rsidRDefault="005C0A3C" w:rsidP="005C0A3C">
      <w:pPr>
        <w:pStyle w:val="a0"/>
        <w:rPr>
          <w:kern w:val="0"/>
          <w:szCs w:val="24"/>
        </w:rPr>
      </w:pPr>
      <w:r>
        <w:rPr>
          <w:kern w:val="0"/>
          <w:szCs w:val="24"/>
        </w:rPr>
        <w:t>Abstract: The greatest number of open access journals (OAJs) is found in the sciences</w:t>
      </w:r>
      <w:r w:rsidR="00F81221">
        <w:rPr>
          <w:kern w:val="0"/>
          <w:szCs w:val="24"/>
        </w:rPr>
        <w:t xml:space="preserve"> and </w:t>
      </w:r>
      <w:r>
        <w:rPr>
          <w:kern w:val="0"/>
          <w:szCs w:val="24"/>
        </w:rPr>
        <w:t>their influence is growing. However, there are only a few studies on the acceptance</w:t>
      </w:r>
      <w:r w:rsidR="00F81221">
        <w:rPr>
          <w:kern w:val="0"/>
          <w:szCs w:val="24"/>
        </w:rPr>
        <w:t xml:space="preserve"> and </w:t>
      </w:r>
      <w:r>
        <w:rPr>
          <w:kern w:val="0"/>
          <w:szCs w:val="24"/>
        </w:rPr>
        <w:t>thereby integration of these OAJs in the scholarly communication system. Even fewer studies provide insight into the differences across disciplines. This study is an analysis of the citing behaviour in journals within three science fields: biology, mathematics,</w:t>
      </w:r>
      <w:r w:rsidR="00F81221">
        <w:rPr>
          <w:kern w:val="0"/>
          <w:szCs w:val="24"/>
        </w:rPr>
        <w:t xml:space="preserve"> and </w:t>
      </w:r>
      <w:r>
        <w:rPr>
          <w:kern w:val="0"/>
          <w:szCs w:val="24"/>
        </w:rPr>
        <w:t>pharmacy</w:t>
      </w:r>
      <w:r w:rsidR="00F81221">
        <w:rPr>
          <w:kern w:val="0"/>
          <w:szCs w:val="24"/>
        </w:rPr>
        <w:t xml:space="preserve"> and </w:t>
      </w:r>
      <w:r>
        <w:rPr>
          <w:kern w:val="0"/>
          <w:szCs w:val="24"/>
        </w:rPr>
        <w:t>pharmacology. It is a statistical analysis of OAJs as well as non-OAJs including both the citing</w:t>
      </w:r>
      <w:r w:rsidR="00F81221">
        <w:rPr>
          <w:kern w:val="0"/>
          <w:szCs w:val="24"/>
        </w:rPr>
        <w:t xml:space="preserve"> and </w:t>
      </w:r>
      <w:r>
        <w:rPr>
          <w:kern w:val="0"/>
          <w:szCs w:val="24"/>
        </w:rPr>
        <w:t>cited side of the journal to journal citations. The multivariate linear regression reveals many similarities in citing behaviour across fields</w:t>
      </w:r>
      <w:r w:rsidR="00F81221">
        <w:rPr>
          <w:kern w:val="0"/>
          <w:szCs w:val="24"/>
        </w:rPr>
        <w:t xml:space="preserve"> and </w:t>
      </w:r>
      <w:r>
        <w:rPr>
          <w:kern w:val="0"/>
          <w:szCs w:val="24"/>
        </w:rPr>
        <w:t>media. But it also points to great differences in the integration of OAJs. The integration of OAJs in the scholarly communication system varies considerably across fields. The implications for bibliometric research are discussed. (C) 2008 Elsevier Ltd. All rights reserved.</w:t>
      </w:r>
    </w:p>
    <w:p w:rsidR="005C0A3C" w:rsidRDefault="005C0A3C" w:rsidP="005C0A3C">
      <w:pPr>
        <w:pStyle w:val="a0"/>
        <w:rPr>
          <w:kern w:val="0"/>
          <w:szCs w:val="24"/>
        </w:rPr>
      </w:pPr>
      <w:r>
        <w:rPr>
          <w:kern w:val="0"/>
          <w:szCs w:val="24"/>
        </w:rPr>
        <w:t>Keywords: Acceptance, Access, Analysis, Behaviour, Bibliometric, Bibliometric Analysis, Bibliometric Research, Bibliometrics, Biology, Citation Analysis, Citations, Communication, Disciplines, Field Differences, Impact, Influence, Insight, Integration, Internet, Journal, Journal Citations, Journals, Linear Regression, Linear-Regression, Mathematics, Matter, Media, Multivariate, Open, Open Access, Open Access Journals, Pharmacology, Pharmacy, Publications, Regression, Research, Rights, Scholarly Communication, Science, Sciences, Self-Citations, Statistical, Statistical Analysis, Web</w:t>
      </w:r>
    </w:p>
    <w:p w:rsidR="005C0A3C" w:rsidRDefault="005C0A3C" w:rsidP="005C0A3C">
      <w:pPr>
        <w:pStyle w:val="a0"/>
        <w:rPr>
          <w:kern w:val="0"/>
          <w:szCs w:val="24"/>
        </w:rPr>
      </w:pPr>
      <w:r>
        <w:rPr>
          <w:rFonts w:hint="eastAsia"/>
          <w:kern w:val="0"/>
          <w:szCs w:val="24"/>
        </w:rPr>
        <w:t xml:space="preserve">? </w:t>
      </w:r>
      <w:r>
        <w:rPr>
          <w:kern w:val="0"/>
          <w:szCs w:val="24"/>
        </w:rPr>
        <w:t xml:space="preserve">Egghe, L. (2009), Mathematical study of h-index sequences. </w:t>
      </w:r>
      <w:r>
        <w:rPr>
          <w:i/>
          <w:iCs/>
          <w:kern w:val="0"/>
          <w:szCs w:val="24"/>
        </w:rPr>
        <w:t>Information Processing &amp; Management</w:t>
      </w:r>
      <w:r>
        <w:rPr>
          <w:kern w:val="0"/>
          <w:szCs w:val="24"/>
        </w:rPr>
        <w:t xml:space="preserve">, </w:t>
      </w:r>
      <w:r>
        <w:rPr>
          <w:b/>
          <w:bCs/>
          <w:kern w:val="0"/>
          <w:szCs w:val="24"/>
        </w:rPr>
        <w:t>45</w:t>
      </w:r>
      <w:r>
        <w:rPr>
          <w:kern w:val="0"/>
          <w:szCs w:val="24"/>
        </w:rPr>
        <w:t xml:space="preserve"> (2), 288-297.</w:t>
      </w:r>
    </w:p>
    <w:p w:rsidR="005C0A3C" w:rsidRDefault="005C0A3C" w:rsidP="005C0A3C">
      <w:pPr>
        <w:pStyle w:val="a0"/>
      </w:pPr>
      <w:r w:rsidRPr="003862C4">
        <w:rPr>
          <w:rFonts w:hint="eastAsia"/>
        </w:rPr>
        <w:t xml:space="preserve">Full Text: </w:t>
      </w:r>
      <w:hyperlink r:id="rId1439" w:history="1">
        <w:r w:rsidRPr="00DF478D">
          <w:rPr>
            <w:rStyle w:val="a5"/>
          </w:rPr>
          <w:t>2009\Inf Pro Man45, 288.pdf</w:t>
        </w:r>
      </w:hyperlink>
    </w:p>
    <w:p w:rsidR="005C0A3C" w:rsidRDefault="005C0A3C" w:rsidP="005C0A3C">
      <w:pPr>
        <w:pStyle w:val="a0"/>
        <w:rPr>
          <w:kern w:val="0"/>
          <w:szCs w:val="24"/>
        </w:rPr>
      </w:pPr>
      <w:r>
        <w:rPr>
          <w:kern w:val="0"/>
          <w:szCs w:val="24"/>
        </w:rPr>
        <w:t>Abstract: This paper studies mathematical properties of h-index sequences as developed by Liang [Liang, L (2006). h-Inclex sequence</w:t>
      </w:r>
      <w:r w:rsidR="00F81221">
        <w:rPr>
          <w:kern w:val="0"/>
          <w:szCs w:val="24"/>
        </w:rPr>
        <w:t xml:space="preserve"> and </w:t>
      </w:r>
      <w:r>
        <w:rPr>
          <w:kern w:val="0"/>
          <w:szCs w:val="24"/>
        </w:rPr>
        <w:t>h-index matrix: Constructions</w:t>
      </w:r>
      <w:r w:rsidR="00F81221">
        <w:rPr>
          <w:kern w:val="0"/>
          <w:szCs w:val="24"/>
        </w:rPr>
        <w:t xml:space="preserve"> and </w:t>
      </w:r>
      <w:r>
        <w:rPr>
          <w:kern w:val="0"/>
          <w:szCs w:val="24"/>
        </w:rPr>
        <w:t>applications. Scientometrics, 69(1),153-1591. For practical reasons, Liming studies such sequences where the time goes backwards while it is more logical to use the time going forward (real career periods). Both type of h-index sequences are studied here</w:t>
      </w:r>
      <w:r w:rsidR="00F81221">
        <w:rPr>
          <w:kern w:val="0"/>
          <w:szCs w:val="24"/>
        </w:rPr>
        <w:t xml:space="preserve"> and </w:t>
      </w:r>
      <w:r>
        <w:rPr>
          <w:kern w:val="0"/>
          <w:szCs w:val="24"/>
        </w:rPr>
        <w:t>their interrelations are revealed. We show cases where these sequences are convex, linear</w:t>
      </w:r>
      <w:r w:rsidR="00F81221">
        <w:rPr>
          <w:kern w:val="0"/>
          <w:szCs w:val="24"/>
        </w:rPr>
        <w:t xml:space="preserve"> and </w:t>
      </w:r>
      <w:r>
        <w:rPr>
          <w:kern w:val="0"/>
          <w:szCs w:val="24"/>
        </w:rPr>
        <w:t>concave. We also show that, when one of the sequences is convex then the other one is concave, showing that the reverse-time sequence, in general, cannot be used to derive similar properties of the (difficult to obtain) forward time sequence. We show that both sequences are the same if</w:t>
      </w:r>
      <w:r w:rsidR="00F81221">
        <w:rPr>
          <w:kern w:val="0"/>
          <w:szCs w:val="24"/>
        </w:rPr>
        <w:t xml:space="preserve"> and </w:t>
      </w:r>
      <w:r>
        <w:rPr>
          <w:kern w:val="0"/>
          <w:szCs w:val="24"/>
        </w:rPr>
        <w:t>only if the author produces the same number of papers per year. If the author produces an increasing number of papers per year, then Liang</w:t>
      </w:r>
      <w:r w:rsidR="000352E7">
        <w:rPr>
          <w:kern w:val="0"/>
          <w:szCs w:val="24"/>
        </w:rPr>
        <w:t>’</w:t>
      </w:r>
      <w:r>
        <w:rPr>
          <w:kern w:val="0"/>
          <w:szCs w:val="24"/>
        </w:rPr>
        <w:t xml:space="preserve">s h-sequences are above the </w:t>
      </w:r>
      <w:r w:rsidR="000352E7">
        <w:rPr>
          <w:kern w:val="0"/>
          <w:szCs w:val="24"/>
        </w:rPr>
        <w:t>“</w:t>
      </w:r>
      <w:r>
        <w:rPr>
          <w:kern w:val="0"/>
          <w:szCs w:val="24"/>
        </w:rPr>
        <w:t>normal</w:t>
      </w:r>
      <w:r w:rsidR="000352E7">
        <w:rPr>
          <w:kern w:val="0"/>
          <w:szCs w:val="24"/>
        </w:rPr>
        <w:t>”</w:t>
      </w:r>
      <w:r>
        <w:rPr>
          <w:kern w:val="0"/>
          <w:szCs w:val="24"/>
        </w:rPr>
        <w:t xml:space="preserve"> ones. </w:t>
      </w:r>
      <w:r>
        <w:rPr>
          <w:kern w:val="0"/>
          <w:szCs w:val="24"/>
        </w:rPr>
        <w:lastRenderedPageBreak/>
        <w:t>All these results are also valid for g-</w:t>
      </w:r>
      <w:r w:rsidR="00F81221">
        <w:rPr>
          <w:kern w:val="0"/>
          <w:szCs w:val="24"/>
        </w:rPr>
        <w:t xml:space="preserve"> and </w:t>
      </w:r>
      <w:r>
        <w:rPr>
          <w:kern w:val="0"/>
          <w:szCs w:val="24"/>
        </w:rPr>
        <w:t>R-sequences. The results are confirmed by the h, g-</w:t>
      </w:r>
      <w:r w:rsidR="00F81221">
        <w:rPr>
          <w:kern w:val="0"/>
          <w:szCs w:val="24"/>
        </w:rPr>
        <w:t xml:space="preserve"> and </w:t>
      </w:r>
      <w:r>
        <w:rPr>
          <w:kern w:val="0"/>
          <w:szCs w:val="24"/>
        </w:rPr>
        <w:t>R-sequences (forward</w:t>
      </w:r>
      <w:r w:rsidR="00F81221">
        <w:rPr>
          <w:kern w:val="0"/>
          <w:szCs w:val="24"/>
        </w:rPr>
        <w:t xml:space="preserve"> and </w:t>
      </w:r>
      <w:r>
        <w:rPr>
          <w:kern w:val="0"/>
          <w:szCs w:val="24"/>
        </w:rPr>
        <w:t>reverse time) of the author. (C) 2008 Elsevier Ltd. All rights reserved.</w:t>
      </w:r>
    </w:p>
    <w:p w:rsidR="005C0A3C" w:rsidRDefault="005C0A3C" w:rsidP="005C0A3C">
      <w:pPr>
        <w:pStyle w:val="a0"/>
        <w:rPr>
          <w:kern w:val="0"/>
          <w:szCs w:val="24"/>
        </w:rPr>
      </w:pPr>
      <w:r>
        <w:rPr>
          <w:kern w:val="0"/>
          <w:szCs w:val="24"/>
        </w:rPr>
        <w:t xml:space="preserve">Keywords: Cases, Dependent Lotkaian Informetrics, Developed, </w:t>
      </w:r>
      <w:r>
        <w:rPr>
          <w:rFonts w:hint="eastAsia"/>
          <w:kern w:val="0"/>
          <w:szCs w:val="24"/>
        </w:rPr>
        <w:t>g</w:t>
      </w:r>
      <w:r>
        <w:rPr>
          <w:kern w:val="0"/>
          <w:szCs w:val="24"/>
        </w:rPr>
        <w:t xml:space="preserve">-Index Sequence, General, </w:t>
      </w:r>
      <w:r>
        <w:rPr>
          <w:rFonts w:hint="eastAsia"/>
          <w:kern w:val="0"/>
          <w:szCs w:val="24"/>
        </w:rPr>
        <w:t>h</w:t>
      </w:r>
      <w:r>
        <w:rPr>
          <w:kern w:val="0"/>
          <w:szCs w:val="24"/>
        </w:rPr>
        <w:t xml:space="preserve"> Index, </w:t>
      </w:r>
      <w:r>
        <w:rPr>
          <w:rFonts w:hint="eastAsia"/>
          <w:kern w:val="0"/>
          <w:szCs w:val="24"/>
        </w:rPr>
        <w:t>h</w:t>
      </w:r>
      <w:r>
        <w:rPr>
          <w:kern w:val="0"/>
          <w:szCs w:val="24"/>
        </w:rPr>
        <w:t xml:space="preserve">-Index, </w:t>
      </w:r>
      <w:r>
        <w:rPr>
          <w:rFonts w:hint="eastAsia"/>
          <w:kern w:val="0"/>
          <w:szCs w:val="24"/>
        </w:rPr>
        <w:t>h</w:t>
      </w:r>
      <w:r>
        <w:rPr>
          <w:kern w:val="0"/>
          <w:szCs w:val="24"/>
        </w:rPr>
        <w:t>-Index Sequence, Hirsch-Index, MAR, Matrix, Model, Papers, R-Index Sequence, R-Sequences, Reverse Time, Rights, Scientometrics, Sequence, Time, Web of Science (WoS)</w:t>
      </w:r>
    </w:p>
    <w:p w:rsidR="005C0A3C" w:rsidRDefault="005C0A3C" w:rsidP="005C0A3C">
      <w:pPr>
        <w:pStyle w:val="a0"/>
        <w:rPr>
          <w:kern w:val="0"/>
        </w:rPr>
      </w:pPr>
      <w:r>
        <w:rPr>
          <w:rFonts w:hint="eastAsia"/>
          <w:kern w:val="0"/>
        </w:rPr>
        <w:t xml:space="preserve">? </w:t>
      </w:r>
      <w:r>
        <w:rPr>
          <w:kern w:val="0"/>
        </w:rPr>
        <w:t>Suárez-Balseiro, C., García-Zorita, C.</w:t>
      </w:r>
      <w:r w:rsidR="00F81221">
        <w:rPr>
          <w:kern w:val="0"/>
        </w:rPr>
        <w:t xml:space="preserve"> and </w:t>
      </w:r>
      <w:r>
        <w:rPr>
          <w:kern w:val="0"/>
        </w:rPr>
        <w:t>Sanz-Casado, E. (2009), Multi-authorship</w:t>
      </w:r>
      <w:r w:rsidR="00F81221">
        <w:rPr>
          <w:kern w:val="0"/>
        </w:rPr>
        <w:t xml:space="preserve"> and </w:t>
      </w:r>
      <w:r>
        <w:rPr>
          <w:kern w:val="0"/>
        </w:rPr>
        <w:t xml:space="preserve">its impact on the visibility of research from Puerto Rico. </w:t>
      </w:r>
      <w:r>
        <w:rPr>
          <w:i/>
          <w:iCs/>
          <w:kern w:val="0"/>
        </w:rPr>
        <w:t>Information Processing &amp; Management</w:t>
      </w:r>
      <w:r>
        <w:rPr>
          <w:kern w:val="0"/>
        </w:rPr>
        <w:t xml:space="preserve">, </w:t>
      </w:r>
      <w:r>
        <w:rPr>
          <w:b/>
          <w:bCs/>
          <w:kern w:val="0"/>
        </w:rPr>
        <w:t>45</w:t>
      </w:r>
      <w:r>
        <w:rPr>
          <w:kern w:val="0"/>
        </w:rPr>
        <w:t xml:space="preserve"> (4), 469-476.</w:t>
      </w:r>
    </w:p>
    <w:p w:rsidR="005C0A3C" w:rsidRDefault="005C0A3C" w:rsidP="005C0A3C">
      <w:pPr>
        <w:pStyle w:val="a0"/>
      </w:pPr>
      <w:r w:rsidRPr="003862C4">
        <w:rPr>
          <w:rFonts w:hint="eastAsia"/>
        </w:rPr>
        <w:t xml:space="preserve">Full Text: </w:t>
      </w:r>
      <w:hyperlink r:id="rId1440" w:history="1">
        <w:r w:rsidRPr="005C0A3C">
          <w:rPr>
            <w:rStyle w:val="a5"/>
          </w:rPr>
          <w:t>2009\Inf Pro Man45, 469.pdf</w:t>
        </w:r>
      </w:hyperlink>
    </w:p>
    <w:p w:rsidR="005C0A3C" w:rsidRDefault="005C0A3C" w:rsidP="005C0A3C">
      <w:pPr>
        <w:pStyle w:val="a0"/>
        <w:rPr>
          <w:kern w:val="0"/>
        </w:rPr>
      </w:pPr>
      <w:r>
        <w:rPr>
          <w:kern w:val="0"/>
        </w:rPr>
        <w:t>Abstract: The impact of the existence</w:t>
      </w:r>
      <w:r w:rsidR="00F81221">
        <w:rPr>
          <w:kern w:val="0"/>
        </w:rPr>
        <w:t xml:space="preserve"> and </w:t>
      </w:r>
      <w:r>
        <w:rPr>
          <w:kern w:val="0"/>
        </w:rPr>
        <w:t>nature of multi-authorship on the visibility of research results is a relevant issue in the framework of the monitoring</w:t>
      </w:r>
      <w:r w:rsidR="00F81221">
        <w:rPr>
          <w:kern w:val="0"/>
        </w:rPr>
        <w:t xml:space="preserve"> and </w:t>
      </w:r>
      <w:r>
        <w:rPr>
          <w:kern w:val="0"/>
        </w:rPr>
        <w:t>evaluation of scientific performance. Multi-authorship involving researchers from different institutions is a growing trend typical of today</w:t>
      </w:r>
      <w:r w:rsidR="000352E7">
        <w:rPr>
          <w:kern w:val="0"/>
        </w:rPr>
        <w:t>’</w:t>
      </w:r>
      <w:r>
        <w:rPr>
          <w:kern w:val="0"/>
        </w:rPr>
        <w:t>s social, economic</w:t>
      </w:r>
      <w:r w:rsidR="00F81221">
        <w:rPr>
          <w:kern w:val="0"/>
        </w:rPr>
        <w:t xml:space="preserve"> and </w:t>
      </w:r>
      <w:r>
        <w:rPr>
          <w:kern w:val="0"/>
        </w:rPr>
        <w:t>political development</w:t>
      </w:r>
      <w:r w:rsidR="00F81221">
        <w:rPr>
          <w:kern w:val="0"/>
        </w:rPr>
        <w:t xml:space="preserve"> and </w:t>
      </w:r>
      <w:r>
        <w:rPr>
          <w:kern w:val="0"/>
        </w:rPr>
        <w:t xml:space="preserve">an expression of the so-called </w:t>
      </w:r>
      <w:r w:rsidR="000352E7">
        <w:rPr>
          <w:kern w:val="0"/>
        </w:rPr>
        <w:t>“</w:t>
      </w:r>
      <w:r>
        <w:rPr>
          <w:kern w:val="0"/>
        </w:rPr>
        <w:t>internationalization of science</w:t>
      </w:r>
      <w:r w:rsidR="000352E7">
        <w:rPr>
          <w:kern w:val="0"/>
        </w:rPr>
        <w:t>”</w:t>
      </w:r>
      <w:r>
        <w:rPr>
          <w:kern w:val="0"/>
        </w:rPr>
        <w:t>. This paper analyzes how the establishment of scientific relationships</w:t>
      </w:r>
      <w:r w:rsidR="00F81221">
        <w:rPr>
          <w:kern w:val="0"/>
        </w:rPr>
        <w:t xml:space="preserve"> and </w:t>
      </w:r>
      <w:r>
        <w:rPr>
          <w:kern w:val="0"/>
        </w:rPr>
        <w:t>the local or international nature of such relationships affect the visibility of the research results published by the community of researchers affiliated with Puerto Rican institutions. Multi-dimensional indicators</w:t>
      </w:r>
      <w:r w:rsidR="00F81221">
        <w:rPr>
          <w:kern w:val="0"/>
        </w:rPr>
        <w:t xml:space="preserve"> and </w:t>
      </w:r>
      <w:r>
        <w:rPr>
          <w:kern w:val="0"/>
        </w:rPr>
        <w:t>multivariate analysis techniques, specifically Factorial Correspondence Analysis (FCA), were used to analyze</w:t>
      </w:r>
      <w:r w:rsidR="00F81221">
        <w:rPr>
          <w:kern w:val="0"/>
        </w:rPr>
        <w:t xml:space="preserve"> and </w:t>
      </w:r>
      <w:r>
        <w:rPr>
          <w:kern w:val="0"/>
        </w:rPr>
        <w:t>represent the visibility of the papers published in mainstream scientific journals. The results of the study show that the establishment</w:t>
      </w:r>
      <w:r w:rsidR="00F81221">
        <w:rPr>
          <w:kern w:val="0"/>
        </w:rPr>
        <w:t xml:space="preserve"> and </w:t>
      </w:r>
      <w:r>
        <w:rPr>
          <w:kern w:val="0"/>
        </w:rPr>
        <w:t>furtherance of local</w:t>
      </w:r>
      <w:r w:rsidR="00F81221">
        <w:rPr>
          <w:kern w:val="0"/>
        </w:rPr>
        <w:t xml:space="preserve"> and </w:t>
      </w:r>
      <w:r>
        <w:rPr>
          <w:kern w:val="0"/>
        </w:rPr>
        <w:t>international co-authorship favour the visibility of the papers published</w:t>
      </w:r>
      <w:r w:rsidR="00F81221">
        <w:rPr>
          <w:kern w:val="0"/>
        </w:rPr>
        <w:t xml:space="preserve"> and </w:t>
      </w:r>
      <w:r>
        <w:rPr>
          <w:kern w:val="0"/>
        </w:rPr>
        <w:t>consequently can be regarded to be a valid strategy in the context of the research</w:t>
      </w:r>
      <w:r w:rsidR="00F81221">
        <w:rPr>
          <w:kern w:val="0"/>
        </w:rPr>
        <w:t xml:space="preserve"> and </w:t>
      </w:r>
      <w:r>
        <w:rPr>
          <w:kern w:val="0"/>
        </w:rPr>
        <w:t>development effort in Puerto Rico. (C) 2009 Elsevier Ltd. All rights reserved.</w:t>
      </w:r>
    </w:p>
    <w:p w:rsidR="005C0A3C" w:rsidRDefault="005C0A3C" w:rsidP="005C0A3C">
      <w:pPr>
        <w:pStyle w:val="a0"/>
        <w:rPr>
          <w:kern w:val="0"/>
        </w:rPr>
      </w:pPr>
      <w:r>
        <w:rPr>
          <w:kern w:val="0"/>
        </w:rPr>
        <w:t>Keywords: Bibliometrics, Evaluation, Indicators, International Collaboration, Puerto Rico, Research, Research Visibility, Scientific Cooperation, Visibility</w:t>
      </w:r>
    </w:p>
    <w:p w:rsidR="00E319CB" w:rsidRDefault="00E319CB" w:rsidP="00E319CB">
      <w:pPr>
        <w:pStyle w:val="a0"/>
        <w:rPr>
          <w:kern w:val="0"/>
        </w:rPr>
      </w:pPr>
      <w:r>
        <w:rPr>
          <w:rFonts w:hint="eastAsia"/>
          <w:kern w:val="0"/>
        </w:rPr>
        <w:t xml:space="preserve">? </w:t>
      </w:r>
      <w:r>
        <w:rPr>
          <w:kern w:val="0"/>
        </w:rPr>
        <w:t>Janssens, F., Zhang, L., De Moor, B.</w:t>
      </w:r>
      <w:r w:rsidR="00F81221">
        <w:rPr>
          <w:kern w:val="0"/>
        </w:rPr>
        <w:t xml:space="preserve"> and </w:t>
      </w:r>
      <w:r>
        <w:rPr>
          <w:kern w:val="0"/>
        </w:rPr>
        <w:t>Glänzel, W. (2009), Hybrid clustering for validation</w:t>
      </w:r>
      <w:r w:rsidR="00F81221">
        <w:rPr>
          <w:kern w:val="0"/>
        </w:rPr>
        <w:t xml:space="preserve"> and </w:t>
      </w:r>
      <w:r>
        <w:rPr>
          <w:kern w:val="0"/>
        </w:rPr>
        <w:t xml:space="preserve">improvement of subject-classification schemes. </w:t>
      </w:r>
      <w:r>
        <w:rPr>
          <w:i/>
          <w:iCs/>
          <w:kern w:val="0"/>
        </w:rPr>
        <w:t>Information Processing &amp; Management</w:t>
      </w:r>
      <w:r>
        <w:rPr>
          <w:kern w:val="0"/>
        </w:rPr>
        <w:t xml:space="preserve">, </w:t>
      </w:r>
      <w:r>
        <w:rPr>
          <w:b/>
          <w:bCs/>
          <w:kern w:val="0"/>
        </w:rPr>
        <w:t>45</w:t>
      </w:r>
      <w:r>
        <w:rPr>
          <w:kern w:val="0"/>
        </w:rPr>
        <w:t xml:space="preserve"> (6), 683-702.</w:t>
      </w:r>
    </w:p>
    <w:p w:rsidR="00E319CB" w:rsidRDefault="00E319CB" w:rsidP="00E319CB">
      <w:pPr>
        <w:pStyle w:val="a0"/>
      </w:pPr>
      <w:r w:rsidRPr="003862C4">
        <w:rPr>
          <w:rFonts w:hint="eastAsia"/>
        </w:rPr>
        <w:t xml:space="preserve">Full Text: </w:t>
      </w:r>
      <w:hyperlink r:id="rId1441" w:history="1">
        <w:r w:rsidRPr="00B913D3">
          <w:rPr>
            <w:rStyle w:val="a5"/>
          </w:rPr>
          <w:t>2009\Inf Pro Man45, 683.pdf</w:t>
        </w:r>
      </w:hyperlink>
    </w:p>
    <w:p w:rsidR="00E319CB" w:rsidRDefault="00E319CB" w:rsidP="00E319CB">
      <w:pPr>
        <w:pStyle w:val="a0"/>
        <w:rPr>
          <w:kern w:val="0"/>
        </w:rPr>
      </w:pPr>
      <w:r>
        <w:rPr>
          <w:kern w:val="0"/>
        </w:rPr>
        <w:t xml:space="preserve">Abstract: A hybrid text/citation-based method is used to cluster journals covered by the Web of Science database in the period 2002-2006. The objective is to use this clustering to validate and, if possible, to improve existing journal-based subject-classification schemes. Cross-citation links are determined on an item-by-paper procedure for individual papers assigned to the corresponding journal. Text mining for the textual component is based on the same principle; textual characteristics of individual papers are attributed to the journals in which they have </w:t>
      </w:r>
      <w:r>
        <w:rPr>
          <w:kern w:val="0"/>
        </w:rPr>
        <w:lastRenderedPageBreak/>
        <w:t>been published. In a first step, the 22-field subject-classification scheme of the Essential Science Indicators (ESI) is evaluated</w:t>
      </w:r>
      <w:r w:rsidR="00F81221">
        <w:rPr>
          <w:kern w:val="0"/>
        </w:rPr>
        <w:t xml:space="preserve"> and </w:t>
      </w:r>
      <w:r>
        <w:rPr>
          <w:kern w:val="0"/>
        </w:rPr>
        <w:t>visualised. In a second step, the hybrid clustering method is applied to classify the about 8300 journals meeting the selection criteria concerning continuity, size</w:t>
      </w:r>
      <w:r w:rsidR="00F81221">
        <w:rPr>
          <w:kern w:val="0"/>
        </w:rPr>
        <w:t xml:space="preserve"> and </w:t>
      </w:r>
      <w:r>
        <w:rPr>
          <w:kern w:val="0"/>
        </w:rPr>
        <w:t>impact. The hybrid method proves superior to its two components when applied separately. The choice of 22 clusters also allows a direct field-to-cluster comparison,</w:t>
      </w:r>
      <w:r w:rsidR="00F81221">
        <w:rPr>
          <w:kern w:val="0"/>
        </w:rPr>
        <w:t xml:space="preserve"> and </w:t>
      </w:r>
      <w:r>
        <w:rPr>
          <w:kern w:val="0"/>
        </w:rPr>
        <w:t xml:space="preserve">we substantiate that the science areas resulting from cluster analysis form a more coherent structure than the </w:t>
      </w:r>
      <w:r w:rsidR="000352E7">
        <w:rPr>
          <w:kern w:val="0"/>
        </w:rPr>
        <w:t>“</w:t>
      </w:r>
      <w:r>
        <w:rPr>
          <w:kern w:val="0"/>
        </w:rPr>
        <w:t>intellectual</w:t>
      </w:r>
      <w:r w:rsidR="000352E7">
        <w:rPr>
          <w:kern w:val="0"/>
        </w:rPr>
        <w:t>”</w:t>
      </w:r>
      <w:r>
        <w:rPr>
          <w:kern w:val="0"/>
        </w:rPr>
        <w:t xml:space="preserve"> reference scheme, the ESI subject scheme. Moreover, the textual component of the hybrid method allows labelling the clusters using cognitive characteristics, while the citation component allows visualising the cross-citation graph</w:t>
      </w:r>
      <w:r w:rsidR="00F81221">
        <w:rPr>
          <w:kern w:val="0"/>
        </w:rPr>
        <w:t xml:space="preserve"> and </w:t>
      </w:r>
      <w:r>
        <w:rPr>
          <w:kern w:val="0"/>
        </w:rPr>
        <w:t xml:space="preserve">determining representative journals suggested by the PageRank algorithm. Finally, the analysis of journal </w:t>
      </w:r>
      <w:r w:rsidR="000352E7">
        <w:rPr>
          <w:kern w:val="0"/>
        </w:rPr>
        <w:t>‘</w:t>
      </w:r>
      <w:r>
        <w:rPr>
          <w:kern w:val="0"/>
        </w:rPr>
        <w:t>migration</w:t>
      </w:r>
      <w:r w:rsidR="000352E7">
        <w:rPr>
          <w:kern w:val="0"/>
        </w:rPr>
        <w:t>’</w:t>
      </w:r>
      <w:r>
        <w:rPr>
          <w:kern w:val="0"/>
        </w:rPr>
        <w:t xml:space="preserve"> allows the improvement of existing classification schemes on the basis of the concordance between fields</w:t>
      </w:r>
      <w:r w:rsidR="00F81221">
        <w:rPr>
          <w:kern w:val="0"/>
        </w:rPr>
        <w:t xml:space="preserve"> and </w:t>
      </w:r>
      <w:r>
        <w:rPr>
          <w:kern w:val="0"/>
        </w:rPr>
        <w:t>clusters. (C) 2009 Elsevier Ltd. All rights reserved.</w:t>
      </w:r>
    </w:p>
    <w:p w:rsidR="00E319CB" w:rsidRDefault="00E319CB" w:rsidP="00E319CB">
      <w:pPr>
        <w:pStyle w:val="a0"/>
        <w:rPr>
          <w:kern w:val="0"/>
          <w:szCs w:val="24"/>
        </w:rPr>
      </w:pPr>
      <w:r>
        <w:rPr>
          <w:kern w:val="0"/>
          <w:szCs w:val="24"/>
        </w:rPr>
        <w:t>Keywords: Combined Cocitation, Combining Full-Text, Documents, Hybrid Clustering, Impact, Information-Science, Journal Cross-Citation, Mapping of Science, Migration, Subject Classification, Word Analysis</w:t>
      </w:r>
    </w:p>
    <w:p w:rsidR="00327CC1" w:rsidRDefault="00327CC1" w:rsidP="00327CC1">
      <w:pPr>
        <w:pStyle w:val="a0"/>
        <w:rPr>
          <w:kern w:val="0"/>
        </w:rPr>
      </w:pPr>
      <w:r>
        <w:rPr>
          <w:rFonts w:hint="eastAsia"/>
          <w:kern w:val="0"/>
        </w:rPr>
        <w:t xml:space="preserve">? </w:t>
      </w:r>
      <w:r>
        <w:t>Berendt,</w:t>
      </w:r>
      <w:r w:rsidRPr="00327CC1">
        <w:t xml:space="preserve"> </w:t>
      </w:r>
      <w:r>
        <w:t>B.</w:t>
      </w:r>
      <w:r>
        <w:rPr>
          <w:rFonts w:hint="eastAsia"/>
        </w:rPr>
        <w:t>,</w:t>
      </w:r>
      <w:r>
        <w:t xml:space="preserve"> Krause,</w:t>
      </w:r>
      <w:r w:rsidRPr="00327CC1">
        <w:t xml:space="preserve"> </w:t>
      </w:r>
      <w:r>
        <w:t>B.</w:t>
      </w:r>
      <w:r w:rsidR="00F81221">
        <w:rPr>
          <w:rFonts w:hint="eastAsia"/>
        </w:rPr>
        <w:t xml:space="preserve"> and </w:t>
      </w:r>
      <w:r>
        <w:t>Kolbe-Nusser</w:t>
      </w:r>
      <w:r w:rsidRPr="00327CC1">
        <w:t xml:space="preserve"> </w:t>
      </w:r>
      <w:r>
        <w:t>S.</w:t>
      </w:r>
      <w:r>
        <w:rPr>
          <w:kern w:val="0"/>
        </w:rPr>
        <w:t xml:space="preserve"> (20</w:t>
      </w:r>
      <w:r>
        <w:rPr>
          <w:rFonts w:hint="eastAsia"/>
          <w:kern w:val="0"/>
        </w:rPr>
        <w:t>10</w:t>
      </w:r>
      <w:r>
        <w:rPr>
          <w:kern w:val="0"/>
        </w:rPr>
        <w:t xml:space="preserve">), </w:t>
      </w:r>
      <w:r>
        <w:t>Intelligent scientific authoring tools: Interactive data mining for constructive uses of citation networks</w:t>
      </w:r>
      <w:r>
        <w:rPr>
          <w:kern w:val="0"/>
        </w:rPr>
        <w:t xml:space="preserve">. </w:t>
      </w:r>
      <w:r>
        <w:rPr>
          <w:i/>
          <w:iCs/>
          <w:kern w:val="0"/>
        </w:rPr>
        <w:t>Information Processing &amp; Management</w:t>
      </w:r>
      <w:r>
        <w:rPr>
          <w:kern w:val="0"/>
        </w:rPr>
        <w:t xml:space="preserve">, </w:t>
      </w:r>
      <w:r>
        <w:rPr>
          <w:b/>
          <w:bCs/>
          <w:kern w:val="0"/>
        </w:rPr>
        <w:t>4</w:t>
      </w:r>
      <w:r>
        <w:rPr>
          <w:rFonts w:hint="eastAsia"/>
          <w:b/>
          <w:bCs/>
          <w:kern w:val="0"/>
        </w:rPr>
        <w:t>6</w:t>
      </w:r>
      <w:r>
        <w:rPr>
          <w:kern w:val="0"/>
        </w:rPr>
        <w:t xml:space="preserve"> (</w:t>
      </w:r>
      <w:r>
        <w:rPr>
          <w:rFonts w:hint="eastAsia"/>
          <w:kern w:val="0"/>
        </w:rPr>
        <w:t>1</w:t>
      </w:r>
      <w:r>
        <w:rPr>
          <w:kern w:val="0"/>
        </w:rPr>
        <w:t xml:space="preserve">), </w:t>
      </w:r>
      <w:r>
        <w:rPr>
          <w:rFonts w:hint="eastAsia"/>
          <w:kern w:val="0"/>
        </w:rPr>
        <w:t>1-10</w:t>
      </w:r>
      <w:r>
        <w:rPr>
          <w:kern w:val="0"/>
        </w:rPr>
        <w:t>.</w:t>
      </w:r>
    </w:p>
    <w:p w:rsidR="00327CC1" w:rsidRDefault="00327CC1" w:rsidP="00327CC1">
      <w:pPr>
        <w:pStyle w:val="a0"/>
      </w:pPr>
      <w:r w:rsidRPr="003862C4">
        <w:rPr>
          <w:rFonts w:hint="eastAsia"/>
        </w:rPr>
        <w:t xml:space="preserve">Full Text: </w:t>
      </w:r>
      <w:hyperlink r:id="rId1442" w:history="1">
        <w:r w:rsidRPr="00327CC1">
          <w:rPr>
            <w:rStyle w:val="a5"/>
          </w:rPr>
          <w:t>2010\Inf Pro Man46, 1.pdf</w:t>
        </w:r>
      </w:hyperlink>
    </w:p>
    <w:p w:rsidR="00327CC1" w:rsidRDefault="00327CC1" w:rsidP="00327CC1">
      <w:pPr>
        <w:pStyle w:val="a0"/>
      </w:pPr>
      <w:r>
        <w:t>Abstract</w:t>
      </w:r>
      <w:r>
        <w:rPr>
          <w:rFonts w:hint="eastAsia"/>
        </w:rPr>
        <w:t xml:space="preserve">: </w:t>
      </w:r>
      <w:r>
        <w:t>Many powerful methods</w:t>
      </w:r>
      <w:r w:rsidR="00F81221">
        <w:t xml:space="preserve"> and </w:t>
      </w:r>
      <w:r>
        <w:t>tools exist for extracting meaning from scientific publications, their texts,</w:t>
      </w:r>
      <w:r w:rsidR="00F81221">
        <w:t xml:space="preserve"> and </w:t>
      </w:r>
      <w:r>
        <w:t>their citation links. However, existing proposals often neglect a fundamental aspect of learning: that understanding</w:t>
      </w:r>
      <w:r w:rsidR="00F81221">
        <w:t xml:space="preserve"> and </w:t>
      </w:r>
      <w:r>
        <w:t>learning require an active</w:t>
      </w:r>
      <w:r w:rsidR="00F81221">
        <w:t xml:space="preserve"> and </w:t>
      </w:r>
      <w:r>
        <w:t>constructive exploration of a domain. In this paper, we describe a new method</w:t>
      </w:r>
      <w:r w:rsidR="00F81221">
        <w:t xml:space="preserve"> and </w:t>
      </w:r>
      <w:r>
        <w:t>a tool that use data mining</w:t>
      </w:r>
      <w:r w:rsidR="00F81221">
        <w:t xml:space="preserve"> and </w:t>
      </w:r>
      <w:r>
        <w:t>interactivity to turn the typical search</w:t>
      </w:r>
      <w:r w:rsidR="00F81221">
        <w:t xml:space="preserve"> and </w:t>
      </w:r>
      <w:r>
        <w:t>retrieve dialogue, in which the user asks questions</w:t>
      </w:r>
      <w:r w:rsidR="00F81221">
        <w:t xml:space="preserve"> and </w:t>
      </w:r>
      <w:r>
        <w:t>a system gives answers, into a dialogue that also involves sense-making, in which the user has to become active by constructing a bibliography</w:t>
      </w:r>
      <w:r w:rsidR="00F81221">
        <w:t xml:space="preserve"> and </w:t>
      </w:r>
      <w:r>
        <w:t>a domain model of the search term(s). This model starts from an automatically generated</w:t>
      </w:r>
      <w:r w:rsidR="00F81221">
        <w:t xml:space="preserve"> and </w:t>
      </w:r>
      <w:r>
        <w:t>annotated clustering solution that is iteratively modified by users. The tool is part of an integrated authoring system covering all phases from search through reading</w:t>
      </w:r>
      <w:r w:rsidR="00F81221">
        <w:t xml:space="preserve"> and </w:t>
      </w:r>
      <w:r>
        <w:t>sense-making to writing. Two evaluation studies demonstrate the usability of this interactive</w:t>
      </w:r>
      <w:r w:rsidR="00F81221">
        <w:t xml:space="preserve"> and </w:t>
      </w:r>
      <w:r>
        <w:t>constructive approach,</w:t>
      </w:r>
      <w:r w:rsidR="00F81221">
        <w:t xml:space="preserve"> and </w:t>
      </w:r>
      <w:r>
        <w:t>they show that clusters</w:t>
      </w:r>
      <w:r w:rsidR="00F81221">
        <w:t xml:space="preserve"> and </w:t>
      </w:r>
      <w:r>
        <w:t>groups represent identifiable sub-topics.</w:t>
      </w:r>
    </w:p>
    <w:p w:rsidR="00327CC1" w:rsidRDefault="00327CC1" w:rsidP="00327CC1">
      <w:pPr>
        <w:pStyle w:val="a0"/>
      </w:pPr>
      <w:r>
        <w:t>Keywords: [H.2.8] Database Management – Database Applications – Data Mining, [H.3.7] Information Storage</w:t>
      </w:r>
      <w:r w:rsidR="00F81221">
        <w:t xml:space="preserve"> and </w:t>
      </w:r>
      <w:r>
        <w:t>Retrieval – Digital Libraries – User Issues, [H.3.3] Information Storage</w:t>
      </w:r>
      <w:r w:rsidR="00F81221">
        <w:t xml:space="preserve"> and </w:t>
      </w:r>
      <w:r>
        <w:t>Retrieval – Information Search</w:t>
      </w:r>
      <w:r w:rsidR="00F81221">
        <w:t xml:space="preserve"> and </w:t>
      </w:r>
      <w:r>
        <w:t>Retrieval – Search Process, Information Filtering, [H.3.5] Information Storage</w:t>
      </w:r>
      <w:r w:rsidR="00F81221">
        <w:t xml:space="preserve"> and </w:t>
      </w:r>
      <w:r>
        <w:t>Retrieval – Online Information Services – Web-Based Services, [K.3.2] Computers</w:t>
      </w:r>
      <w:r w:rsidR="00F81221">
        <w:t xml:space="preserve"> and </w:t>
      </w:r>
      <w:r>
        <w:t xml:space="preserve">Education – </w:t>
      </w:r>
      <w:r>
        <w:lastRenderedPageBreak/>
        <w:t>Computer</w:t>
      </w:r>
      <w:r w:rsidR="00F81221">
        <w:t xml:space="preserve"> and </w:t>
      </w:r>
      <w:r>
        <w:t>Information Science Education – Literacy, Citation Analysis</w:t>
      </w:r>
    </w:p>
    <w:p w:rsidR="0087032A" w:rsidRDefault="0087032A" w:rsidP="0087032A">
      <w:pPr>
        <w:pStyle w:val="a0"/>
        <w:rPr>
          <w:kern w:val="0"/>
        </w:rPr>
      </w:pPr>
      <w:r>
        <w:rPr>
          <w:rFonts w:hint="eastAsia"/>
          <w:kern w:val="0"/>
        </w:rPr>
        <w:t xml:space="preserve">? </w:t>
      </w:r>
      <w:r>
        <w:rPr>
          <w:kern w:val="0"/>
        </w:rPr>
        <w:t xml:space="preserve">Franceschet, M. (2011), The skewness of computer science. </w:t>
      </w:r>
      <w:r>
        <w:rPr>
          <w:i/>
          <w:iCs/>
          <w:kern w:val="0"/>
        </w:rPr>
        <w:t>Information Processing &amp; Management</w:t>
      </w:r>
      <w:r>
        <w:rPr>
          <w:kern w:val="0"/>
        </w:rPr>
        <w:t xml:space="preserve">, </w:t>
      </w:r>
      <w:r>
        <w:rPr>
          <w:b/>
          <w:bCs/>
          <w:kern w:val="0"/>
        </w:rPr>
        <w:t>47</w:t>
      </w:r>
      <w:r>
        <w:rPr>
          <w:kern w:val="0"/>
        </w:rPr>
        <w:t xml:space="preserve"> (1), 117-124.</w:t>
      </w:r>
    </w:p>
    <w:p w:rsidR="0087032A" w:rsidRDefault="0087032A" w:rsidP="0087032A">
      <w:pPr>
        <w:pStyle w:val="a0"/>
      </w:pPr>
      <w:r w:rsidRPr="003862C4">
        <w:rPr>
          <w:rFonts w:hint="eastAsia"/>
        </w:rPr>
        <w:t xml:space="preserve">Full Text: </w:t>
      </w:r>
      <w:hyperlink r:id="rId1443" w:history="1">
        <w:r w:rsidRPr="0087032A">
          <w:rPr>
            <w:rStyle w:val="a5"/>
          </w:rPr>
          <w:t>2010\Inf Pro Man47, 117.pdf</w:t>
        </w:r>
      </w:hyperlink>
    </w:p>
    <w:p w:rsidR="0087032A" w:rsidRDefault="0087032A" w:rsidP="0087032A">
      <w:pPr>
        <w:pStyle w:val="a0"/>
        <w:rPr>
          <w:kern w:val="0"/>
        </w:rPr>
      </w:pPr>
      <w:r>
        <w:rPr>
          <w:kern w:val="0"/>
        </w:rPr>
        <w:t>Abstract: Computer science is a relatively young discipline combining science, engineering,</w:t>
      </w:r>
      <w:r w:rsidR="00F81221">
        <w:rPr>
          <w:kern w:val="0"/>
        </w:rPr>
        <w:t xml:space="preserve"> and </w:t>
      </w:r>
      <w:r>
        <w:rPr>
          <w:kern w:val="0"/>
        </w:rPr>
        <w:t>mathematics. The main flavors of computer science research involve the theoretical development of conceptual models for the different aspects of computing</w:t>
      </w:r>
      <w:r w:rsidR="00F81221">
        <w:rPr>
          <w:kern w:val="0"/>
        </w:rPr>
        <w:t xml:space="preserve"> and </w:t>
      </w:r>
      <w:r>
        <w:rPr>
          <w:kern w:val="0"/>
        </w:rPr>
        <w:t>the more applicative building of software artifacts</w:t>
      </w:r>
      <w:r w:rsidR="00F81221">
        <w:rPr>
          <w:kern w:val="0"/>
        </w:rPr>
        <w:t xml:space="preserve"> and </w:t>
      </w:r>
      <w:r>
        <w:rPr>
          <w:kern w:val="0"/>
        </w:rPr>
        <w:t>assessment of their properties. In the computer science publication culture, conferences are an important vehicle to quickly move ideas,</w:t>
      </w:r>
      <w:r w:rsidR="00F81221">
        <w:rPr>
          <w:kern w:val="0"/>
        </w:rPr>
        <w:t xml:space="preserve"> and </w:t>
      </w:r>
      <w:r>
        <w:rPr>
          <w:kern w:val="0"/>
        </w:rPr>
        <w:t>journals often publish deeper versions of papers already presented at conferences. These peculiarities of the discipline make computer science an original research field within the sciences, and, therefore, the assessment of classical bibliometric laws is particularly important for this field. In this paper, we study the skewness of the distribution of citations to papers published in computer science publication venues (journals</w:t>
      </w:r>
      <w:r w:rsidR="00F81221">
        <w:rPr>
          <w:kern w:val="0"/>
        </w:rPr>
        <w:t xml:space="preserve"> and </w:t>
      </w:r>
      <w:r>
        <w:rPr>
          <w:kern w:val="0"/>
        </w:rPr>
        <w:t>conferences). We find that the skewness in the distribution of mean citedness of different venues combines with the asymmetry in citedness of articles in each venue, resulting in a highly asymmetric citation distribution with a power law tail. Furthermore, the skewness of conference publications is more pronounced than the asymmetry of journal papers. Finally, the impact of journal papers, as measured with bibliometric indicators, largely dominates that of proceeding papers. (C) 2010 Elsevier Ltd. All rights reserved.</w:t>
      </w:r>
    </w:p>
    <w:p w:rsidR="0087032A" w:rsidRDefault="0087032A" w:rsidP="0087032A">
      <w:pPr>
        <w:pStyle w:val="a0"/>
        <w:rPr>
          <w:kern w:val="0"/>
        </w:rPr>
      </w:pPr>
      <w:r>
        <w:rPr>
          <w:kern w:val="0"/>
        </w:rPr>
        <w:t xml:space="preserve">Keywords: Bibliometric, Bibliometric Indicators, Citation, Citation Distributions, Citations, Development, Distributions, Field, </w:t>
      </w:r>
      <w:r>
        <w:rPr>
          <w:rFonts w:hint="eastAsia"/>
          <w:kern w:val="0"/>
        </w:rPr>
        <w:t>h</w:t>
      </w:r>
      <w:r>
        <w:rPr>
          <w:kern w:val="0"/>
        </w:rPr>
        <w:t>-Index, Indicators, Journal, Journals, Mathematics, Models, Output, Power Law, Power Law Distributions, Properties, Publication, Publications, Random Networks, Research, Research Evaluation, Science, Science Research, Sciences, Scientific Impact, Software</w:t>
      </w:r>
    </w:p>
    <w:p w:rsidR="0087032A" w:rsidRDefault="0087032A" w:rsidP="0087032A">
      <w:pPr>
        <w:pStyle w:val="a0"/>
        <w:rPr>
          <w:kern w:val="0"/>
        </w:rPr>
      </w:pPr>
      <w:r>
        <w:rPr>
          <w:rFonts w:hint="eastAsia"/>
          <w:kern w:val="0"/>
        </w:rPr>
        <w:t xml:space="preserve">? </w:t>
      </w:r>
      <w:r>
        <w:rPr>
          <w:kern w:val="0"/>
        </w:rPr>
        <w:t>Yan, E.J.</w:t>
      </w:r>
      <w:r w:rsidR="00F81221">
        <w:rPr>
          <w:kern w:val="0"/>
        </w:rPr>
        <w:t xml:space="preserve"> and </w:t>
      </w:r>
      <w:r>
        <w:rPr>
          <w:kern w:val="0"/>
        </w:rPr>
        <w:t xml:space="preserve">Ding, Y. (2011), Discovering author impact: A PageRank perspective. </w:t>
      </w:r>
      <w:r>
        <w:rPr>
          <w:i/>
          <w:iCs/>
          <w:kern w:val="0"/>
        </w:rPr>
        <w:t>Information Processing &amp; Management</w:t>
      </w:r>
      <w:r>
        <w:rPr>
          <w:kern w:val="0"/>
        </w:rPr>
        <w:t xml:space="preserve">, </w:t>
      </w:r>
      <w:r>
        <w:rPr>
          <w:b/>
          <w:bCs/>
          <w:kern w:val="0"/>
        </w:rPr>
        <w:t>47</w:t>
      </w:r>
      <w:r>
        <w:rPr>
          <w:kern w:val="0"/>
        </w:rPr>
        <w:t xml:space="preserve"> (1), 125-134.</w:t>
      </w:r>
    </w:p>
    <w:p w:rsidR="0087032A" w:rsidRDefault="0087032A" w:rsidP="0087032A">
      <w:pPr>
        <w:pStyle w:val="a0"/>
      </w:pPr>
      <w:r w:rsidRPr="003862C4">
        <w:rPr>
          <w:rFonts w:hint="eastAsia"/>
        </w:rPr>
        <w:t xml:space="preserve">Full Text: </w:t>
      </w:r>
      <w:hyperlink r:id="rId1444" w:history="1">
        <w:r w:rsidRPr="00A735D5">
          <w:rPr>
            <w:rStyle w:val="a5"/>
          </w:rPr>
          <w:t>2010\Inf Pro Man47, 125.pdf</w:t>
        </w:r>
      </w:hyperlink>
    </w:p>
    <w:p w:rsidR="0087032A" w:rsidRDefault="0087032A" w:rsidP="0087032A">
      <w:pPr>
        <w:pStyle w:val="a0"/>
        <w:rPr>
          <w:kern w:val="0"/>
        </w:rPr>
      </w:pPr>
      <w:r>
        <w:rPr>
          <w:kern w:val="0"/>
        </w:rPr>
        <w:t>Abstract: This article provides an alternative perspective for measuring author impact by applying PageRank algorithm to a coauthorship network. A weighted PageRank algorithm considering citation</w:t>
      </w:r>
      <w:r w:rsidR="00F81221">
        <w:rPr>
          <w:kern w:val="0"/>
        </w:rPr>
        <w:t xml:space="preserve"> and </w:t>
      </w:r>
      <w:r>
        <w:rPr>
          <w:kern w:val="0"/>
        </w:rPr>
        <w:t>coauthorship network topology is proposed. We test this algorithm under different damping factors by evaluating author impact in the informetrics research community. In addition, we also compare this weighted PageRank with the h-index, citation,</w:t>
      </w:r>
      <w:r w:rsidR="00F81221">
        <w:rPr>
          <w:kern w:val="0"/>
        </w:rPr>
        <w:t xml:space="preserve"> and </w:t>
      </w:r>
      <w:r>
        <w:rPr>
          <w:kern w:val="0"/>
        </w:rPr>
        <w:t>program committee (PC) membership of the International Society for Scientometrics</w:t>
      </w:r>
      <w:r w:rsidR="00F81221">
        <w:rPr>
          <w:kern w:val="0"/>
        </w:rPr>
        <w:t xml:space="preserve"> and </w:t>
      </w:r>
      <w:r>
        <w:rPr>
          <w:kern w:val="0"/>
        </w:rPr>
        <w:t>Informetrics (ISSI) conferences. Findings show that this weighted PageRank algorithm provides reliable results in measuring author impact. (C) 2010 Elsevier Ltd. All rights reserved.</w:t>
      </w:r>
    </w:p>
    <w:p w:rsidR="0087032A" w:rsidRDefault="0087032A" w:rsidP="0087032A">
      <w:pPr>
        <w:pStyle w:val="a0"/>
        <w:rPr>
          <w:kern w:val="0"/>
        </w:rPr>
      </w:pPr>
      <w:r>
        <w:rPr>
          <w:kern w:val="0"/>
        </w:rPr>
        <w:t xml:space="preserve">Keywords: Algorithm, Author, Bibliometrics, Citation, Coauthorship, h Index, h-Index, </w:t>
      </w:r>
      <w:r>
        <w:rPr>
          <w:kern w:val="0"/>
        </w:rPr>
        <w:lastRenderedPageBreak/>
        <w:t>Informetrics, Informetrics, Network, Networks, Pagerank, Publications, Research, Scientometrics</w:t>
      </w:r>
    </w:p>
    <w:p w:rsidR="0087032A" w:rsidRDefault="0087032A" w:rsidP="0087032A">
      <w:pPr>
        <w:pStyle w:val="a0"/>
        <w:rPr>
          <w:kern w:val="0"/>
        </w:rPr>
      </w:pPr>
      <w:r>
        <w:rPr>
          <w:rFonts w:hint="eastAsia"/>
          <w:kern w:val="0"/>
        </w:rPr>
        <w:t xml:space="preserve">? </w:t>
      </w:r>
      <w:r>
        <w:rPr>
          <w:kern w:val="0"/>
        </w:rPr>
        <w:t>Wainer, J., de Oliveira, H.P.</w:t>
      </w:r>
      <w:r w:rsidR="00F81221">
        <w:rPr>
          <w:kern w:val="0"/>
        </w:rPr>
        <w:t xml:space="preserve"> and </w:t>
      </w:r>
      <w:r>
        <w:rPr>
          <w:kern w:val="0"/>
        </w:rPr>
        <w:t xml:space="preserve">Anido, R. (2011), Patterns of bibliographic references in the ACM published papers. </w:t>
      </w:r>
      <w:r>
        <w:rPr>
          <w:i/>
          <w:iCs/>
          <w:kern w:val="0"/>
        </w:rPr>
        <w:t>Information Processing &amp; Management</w:t>
      </w:r>
      <w:r>
        <w:rPr>
          <w:kern w:val="0"/>
        </w:rPr>
        <w:t xml:space="preserve">, </w:t>
      </w:r>
      <w:r>
        <w:rPr>
          <w:b/>
          <w:bCs/>
          <w:kern w:val="0"/>
        </w:rPr>
        <w:t>47</w:t>
      </w:r>
      <w:r>
        <w:rPr>
          <w:kern w:val="0"/>
        </w:rPr>
        <w:t xml:space="preserve"> (1), 135-142.</w:t>
      </w:r>
    </w:p>
    <w:p w:rsidR="0087032A" w:rsidRDefault="0087032A" w:rsidP="0087032A">
      <w:pPr>
        <w:pStyle w:val="a0"/>
      </w:pPr>
      <w:r w:rsidRPr="003862C4">
        <w:rPr>
          <w:rFonts w:hint="eastAsia"/>
        </w:rPr>
        <w:t xml:space="preserve">Full Text: </w:t>
      </w:r>
      <w:hyperlink r:id="rId1445" w:history="1">
        <w:r w:rsidRPr="00A735D5">
          <w:rPr>
            <w:rStyle w:val="a5"/>
          </w:rPr>
          <w:t>2010\Inf Pro Man47, 135.pdf</w:t>
        </w:r>
      </w:hyperlink>
    </w:p>
    <w:p w:rsidR="0087032A" w:rsidRDefault="0087032A" w:rsidP="0087032A">
      <w:pPr>
        <w:pStyle w:val="a0"/>
        <w:rPr>
          <w:kern w:val="0"/>
        </w:rPr>
      </w:pPr>
      <w:r>
        <w:rPr>
          <w:kern w:val="0"/>
        </w:rPr>
        <w:t>Abstract: This paper analyzes the bibliographic references made by all papers published by ACM in 2006. Both an automatic classification of all references</w:t>
      </w:r>
      <w:r w:rsidR="00F81221">
        <w:rPr>
          <w:kern w:val="0"/>
        </w:rPr>
        <w:t xml:space="preserve"> and </w:t>
      </w:r>
      <w:r>
        <w:rPr>
          <w:kern w:val="0"/>
        </w:rPr>
        <w:t>a human classification of a random sample of them resulted that around 40% of the references are to conference proceedings papers, around 30% are to journal papers,</w:t>
      </w:r>
      <w:r w:rsidR="00F81221">
        <w:rPr>
          <w:kern w:val="0"/>
        </w:rPr>
        <w:t xml:space="preserve"> and </w:t>
      </w:r>
      <w:r>
        <w:rPr>
          <w:kern w:val="0"/>
        </w:rPr>
        <w:t>around 8% are to books. Among the other types of documents. standards</w:t>
      </w:r>
      <w:r w:rsidR="00F81221">
        <w:rPr>
          <w:kern w:val="0"/>
        </w:rPr>
        <w:t xml:space="preserve"> and </w:t>
      </w:r>
      <w:r>
        <w:rPr>
          <w:kern w:val="0"/>
        </w:rPr>
        <w:t>RFC correspond to 3% of the references, technical</w:t>
      </w:r>
      <w:r w:rsidR="00F81221">
        <w:rPr>
          <w:kern w:val="0"/>
        </w:rPr>
        <w:t xml:space="preserve"> and </w:t>
      </w:r>
      <w:r>
        <w:rPr>
          <w:kern w:val="0"/>
        </w:rPr>
        <w:t>other reports correspond to 4%,</w:t>
      </w:r>
      <w:r w:rsidR="00F81221">
        <w:rPr>
          <w:kern w:val="0"/>
        </w:rPr>
        <w:t xml:space="preserve"> and </w:t>
      </w:r>
      <w:r>
        <w:rPr>
          <w:kern w:val="0"/>
        </w:rPr>
        <w:t>other Web references to 3%. Among the documents cited at least 10 times by the 2006 ACM papers, 41% are conferences papers, 37% are books,</w:t>
      </w:r>
      <w:r w:rsidR="00F81221">
        <w:rPr>
          <w:kern w:val="0"/>
        </w:rPr>
        <w:t xml:space="preserve"> and </w:t>
      </w:r>
      <w:r>
        <w:rPr>
          <w:kern w:val="0"/>
        </w:rPr>
        <w:t>16% are journal papers. (C) 2010 Elsevier Ltd. All rights reserved.</w:t>
      </w:r>
    </w:p>
    <w:p w:rsidR="0087032A" w:rsidRDefault="0087032A" w:rsidP="0087032A">
      <w:pPr>
        <w:pStyle w:val="a0"/>
        <w:rPr>
          <w:kern w:val="0"/>
        </w:rPr>
      </w:pPr>
      <w:r>
        <w:rPr>
          <w:kern w:val="0"/>
        </w:rPr>
        <w:t>Keywords: Bibliometrics, Citation Analysis, Citations, Computer Science, Computer-Science, Conference Papers, Journal, References</w:t>
      </w:r>
    </w:p>
    <w:p w:rsidR="00F715C5" w:rsidRDefault="00F715C5" w:rsidP="00F715C5">
      <w:pPr>
        <w:pStyle w:val="a0"/>
        <w:rPr>
          <w:kern w:val="0"/>
        </w:rPr>
      </w:pPr>
      <w:r>
        <w:rPr>
          <w:rFonts w:hint="eastAsia"/>
          <w:kern w:val="0"/>
        </w:rPr>
        <w:t xml:space="preserve">? </w:t>
      </w:r>
      <w:r>
        <w:rPr>
          <w:kern w:val="0"/>
        </w:rPr>
        <w:t>Levitt, J.M.</w:t>
      </w:r>
      <w:r w:rsidR="00F81221">
        <w:rPr>
          <w:kern w:val="0"/>
        </w:rPr>
        <w:t xml:space="preserve"> and </w:t>
      </w:r>
      <w:r>
        <w:rPr>
          <w:kern w:val="0"/>
        </w:rPr>
        <w:t xml:space="preserve">Thelwall, M. (2011), A combined bibliometric indicator to predict article impact. </w:t>
      </w:r>
      <w:r>
        <w:rPr>
          <w:i/>
          <w:iCs/>
          <w:kern w:val="0"/>
        </w:rPr>
        <w:t>Information Processing &amp; Management</w:t>
      </w:r>
      <w:r>
        <w:rPr>
          <w:kern w:val="0"/>
        </w:rPr>
        <w:t xml:space="preserve">, </w:t>
      </w:r>
      <w:r>
        <w:rPr>
          <w:b/>
          <w:bCs/>
          <w:kern w:val="0"/>
        </w:rPr>
        <w:t>47</w:t>
      </w:r>
      <w:r>
        <w:rPr>
          <w:kern w:val="0"/>
        </w:rPr>
        <w:t xml:space="preserve"> (2), 300-308.</w:t>
      </w:r>
    </w:p>
    <w:p w:rsidR="00F715C5" w:rsidRPr="001A3D2B" w:rsidRDefault="00F715C5" w:rsidP="00F715C5">
      <w:pPr>
        <w:pStyle w:val="a0"/>
      </w:pPr>
      <w:r w:rsidRPr="001A3D2B">
        <w:t xml:space="preserve">Full Text: </w:t>
      </w:r>
      <w:hyperlink r:id="rId1446" w:history="1">
        <w:r w:rsidRPr="00F715C5">
          <w:rPr>
            <w:rStyle w:val="a5"/>
          </w:rPr>
          <w:t>2011\Inf Pro Man47, 300.pdf</w:t>
        </w:r>
      </w:hyperlink>
    </w:p>
    <w:p w:rsidR="00F715C5" w:rsidRDefault="00F715C5" w:rsidP="00F715C5">
      <w:pPr>
        <w:pStyle w:val="a0"/>
        <w:rPr>
          <w:kern w:val="0"/>
        </w:rPr>
      </w:pPr>
      <w:r>
        <w:rPr>
          <w:kern w:val="0"/>
        </w:rPr>
        <w:t>Abstract: In both the UK</w:t>
      </w:r>
      <w:r w:rsidR="00F81221">
        <w:rPr>
          <w:kern w:val="0"/>
        </w:rPr>
        <w:t xml:space="preserve"> and </w:t>
      </w:r>
      <w:r>
        <w:rPr>
          <w:kern w:val="0"/>
        </w:rPr>
        <w:t>Australia there has been a recent move to use citation analysis in the evaluation of the research of individuals. In particular, the future UK Research Excellence Framework (REF), proposes using citation data in the research evaluation of articles published as recently as the year prior to the evaluation. In response to this move, this research develops an indicator at the level of individual articles that, when normalized, can supplement peer review. The new hybrid indicator is the weighted sum of two indicators in common usage: the article</w:t>
      </w:r>
      <w:r w:rsidR="000352E7">
        <w:rPr>
          <w:kern w:val="0"/>
        </w:rPr>
        <w:t>’</w:t>
      </w:r>
      <w:r>
        <w:rPr>
          <w:kern w:val="0"/>
        </w:rPr>
        <w:t>s total number of citations in a citation window,</w:t>
      </w:r>
      <w:r w:rsidR="00F81221">
        <w:rPr>
          <w:kern w:val="0"/>
        </w:rPr>
        <w:t xml:space="preserve"> and </w:t>
      </w:r>
      <w:r>
        <w:rPr>
          <w:kern w:val="0"/>
        </w:rPr>
        <w:t>the Impact Factor of the journal in which the article was published. This research compares this new indicator with the article</w:t>
      </w:r>
      <w:r w:rsidR="000352E7">
        <w:rPr>
          <w:kern w:val="0"/>
        </w:rPr>
        <w:t>’</w:t>
      </w:r>
      <w:r>
        <w:rPr>
          <w:kern w:val="0"/>
        </w:rPr>
        <w:t>s total number of citations in a longer citation window (the standard indicator of article impact). For citation windows of 0 or 1 years, the correlation of the simplified weighted sum with long-term citation is substantially higher than the correlation of the standard indicator of article citation with long-term citation. Moreover, for citation windows of as long as 3 years the standard indicator of citation correlates significantly with the month of publication, in that articles published earlier in the year are on average more highly cited than those published later in the year. By contrast, the skewing of the simplified weighted sum towards articles published early in the year is considerably less than that of the standard indicator. (C) 2010 Elsevier Ltd. All rights reserved.</w:t>
      </w:r>
    </w:p>
    <w:p w:rsidR="00F715C5" w:rsidRDefault="00F715C5" w:rsidP="00F715C5">
      <w:pPr>
        <w:pStyle w:val="a0"/>
        <w:rPr>
          <w:kern w:val="0"/>
        </w:rPr>
      </w:pPr>
      <w:r>
        <w:rPr>
          <w:kern w:val="0"/>
        </w:rPr>
        <w:lastRenderedPageBreak/>
        <w:t>Keywords: Analysis, Archaeology, Assessment Exercise Ratings, Australia, Bibliometric, Bibliometric Indicator, Bibliometrics, Citation, Citation Analysis, Citation Counts, Citations, Correlates, Correlation, Data, Evaluation, Grants, Hybrid, Impact, Impact Factor, Index, Indicator, Indicators, Journal, Journal Impact, Long Term, Long-Term, Mar, Output, Peer Review, Peer-Review, Publication, Rae, Recent, Ref, Research, Research Evaluation, Research Impact, Review, Rights, Science, Standard, UK, University</w:t>
      </w:r>
    </w:p>
    <w:p w:rsidR="004303F2" w:rsidRDefault="004303F2" w:rsidP="004303F2">
      <w:pPr>
        <w:pStyle w:val="a0"/>
        <w:rPr>
          <w:kern w:val="0"/>
          <w:szCs w:val="24"/>
        </w:rPr>
      </w:pPr>
      <w:r>
        <w:rPr>
          <w:rFonts w:hint="eastAsia"/>
          <w:kern w:val="0"/>
          <w:szCs w:val="24"/>
        </w:rPr>
        <w:t xml:space="preserve">? </w:t>
      </w:r>
      <w:r>
        <w:rPr>
          <w:kern w:val="0"/>
          <w:szCs w:val="24"/>
        </w:rPr>
        <w:t xml:space="preserve">Rorissa, A. and Yuan, X.J. (2012), Visualizing and mapping the intellectual structure of information retrieval. </w:t>
      </w:r>
      <w:r>
        <w:rPr>
          <w:i/>
          <w:iCs/>
          <w:kern w:val="0"/>
          <w:szCs w:val="24"/>
        </w:rPr>
        <w:t>Information Processing &amp; Management</w:t>
      </w:r>
      <w:r>
        <w:rPr>
          <w:kern w:val="0"/>
          <w:szCs w:val="24"/>
        </w:rPr>
        <w:t xml:space="preserve">, </w:t>
      </w:r>
      <w:r>
        <w:rPr>
          <w:b/>
          <w:bCs/>
          <w:kern w:val="0"/>
          <w:szCs w:val="24"/>
        </w:rPr>
        <w:t>48</w:t>
      </w:r>
      <w:r>
        <w:rPr>
          <w:kern w:val="0"/>
          <w:szCs w:val="24"/>
        </w:rPr>
        <w:t xml:space="preserve"> (1), 120-135.</w:t>
      </w:r>
    </w:p>
    <w:p w:rsidR="004303F2" w:rsidRPr="001A3D2B" w:rsidRDefault="004303F2" w:rsidP="004303F2">
      <w:pPr>
        <w:pStyle w:val="a0"/>
      </w:pPr>
      <w:r w:rsidRPr="001A3D2B">
        <w:t xml:space="preserve">Full Text: </w:t>
      </w:r>
      <w:hyperlink r:id="rId1447" w:history="1">
        <w:r w:rsidRPr="004303F2">
          <w:rPr>
            <w:rStyle w:val="a5"/>
          </w:rPr>
          <w:t>2012\Inf Pro Man48, 120.pdf</w:t>
        </w:r>
      </w:hyperlink>
    </w:p>
    <w:p w:rsidR="004303F2" w:rsidRDefault="004303F2" w:rsidP="004303F2">
      <w:pPr>
        <w:pStyle w:val="a0"/>
        <w:rPr>
          <w:kern w:val="0"/>
          <w:szCs w:val="24"/>
        </w:rPr>
      </w:pPr>
      <w:r>
        <w:rPr>
          <w:kern w:val="0"/>
          <w:szCs w:val="24"/>
        </w:rPr>
        <w:t>Abstract: Information retrieval is a long established subfield of library and information science. Since its inception in the early- to mid -1950s, it has grown as a result, in part, of well-regarded retrieval system evaluation exercises/campaigns, the proliferation of Web search engines, and the expansion of digital libraries. Although researchers have examined the intellectual structure and nature of the general field of library and information science, the same cannot be said about the subfield of information retrieval. We address that in this work by sketching the information retrieval intellectual landscape through visualizations of citation behaviors. Citation data for 10 years (2000-2009) were retrieved from the Web of Science and analyzed using existing visualization techniques. Our results address information retrieval</w:t>
      </w:r>
      <w:r w:rsidR="000352E7">
        <w:rPr>
          <w:kern w:val="0"/>
          <w:szCs w:val="24"/>
        </w:rPr>
        <w:t>’</w:t>
      </w:r>
      <w:r>
        <w:rPr>
          <w:kern w:val="0"/>
          <w:szCs w:val="24"/>
        </w:rPr>
        <w:t>s co-authorship network, highly productive authors, highly cited journals and papers, author-assigned keywords, active institutions, and the import of ideas from other disciplines. (C) 2011 Elsevier Ltd. All rights reserved.</w:t>
      </w:r>
    </w:p>
    <w:p w:rsidR="004303F2" w:rsidRDefault="004303F2" w:rsidP="004303F2">
      <w:pPr>
        <w:pStyle w:val="a0"/>
        <w:rPr>
          <w:kern w:val="0"/>
          <w:szCs w:val="24"/>
        </w:rPr>
      </w:pPr>
      <w:r>
        <w:rPr>
          <w:kern w:val="0"/>
          <w:szCs w:val="24"/>
        </w:rPr>
        <w:t>Keywords: Articles, Author Cocitation Analysis, Authors, Bibliometric Analysis, Bibliometrics, Citation, Citation Analysis, Co-Authorship, Coauthorship, Collaboration, Digital Libraries, Domain Analysis, Evaluation, Google Scholar, Highly-Cited, Impact, Information, Information Retrieval, Information Science, Information-Retrieval, Informetrics, Intellectual Structure, Journals, Library, Mapping, Network, Networks, Papers, Researchers, Science, Scientists, Visualization, Web of Science</w:t>
      </w:r>
    </w:p>
    <w:p w:rsidR="00B95188" w:rsidRPr="00A428C3" w:rsidRDefault="00B95188" w:rsidP="00B95188">
      <w:pPr>
        <w:pStyle w:val="1"/>
      </w:pPr>
      <w:r w:rsidRPr="00586CD8">
        <w:br w:type="page"/>
      </w:r>
      <w:bookmarkStart w:id="1023" w:name="_Toc186647863"/>
      <w:bookmarkStart w:id="1024" w:name="_Toc317161166"/>
      <w:r w:rsidRPr="00A428C3">
        <w:lastRenderedPageBreak/>
        <w:t>Title: Information Research</w:t>
      </w:r>
      <w:bookmarkEnd w:id="1023"/>
      <w:bookmarkEnd w:id="1024"/>
    </w:p>
    <w:p w:rsidR="00B95188" w:rsidRPr="00A428C3" w:rsidRDefault="00B95188" w:rsidP="00B72EF9">
      <w:pPr>
        <w:pStyle w:val="12"/>
      </w:pPr>
      <w:r w:rsidRPr="00A428C3">
        <w:t xml:space="preserve">Full Journal Title: </w:t>
      </w:r>
      <w:hyperlink r:id="rId1448" w:history="1">
        <w:r w:rsidRPr="00A428C3">
          <w:rPr>
            <w:rStyle w:val="a5"/>
          </w:rPr>
          <w:t>Information Research</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ISSN: 1368-1613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Koehler, W., Aguilar, P., Finarelli, S., Gaunce, C., Hatchette, S., Heydon, R., McEwen, E., Mahsetky-Poolaw, W., Melson, C.T., Patterson, R., Stahl, M., Walker, M.A., Wall, J.A.</w:t>
      </w:r>
      <w:r w:rsidR="00F81221">
        <w:t xml:space="preserve"> and </w:t>
      </w:r>
      <w:r w:rsidRPr="00A428C3">
        <w:t>Wingfield, G. (2000), A bibliometric analysis of select information science print</w:t>
      </w:r>
      <w:r w:rsidR="00F81221">
        <w:t xml:space="preserve"> and </w:t>
      </w:r>
      <w:r w:rsidRPr="00A428C3">
        <w:t xml:space="preserve">electronic journals in the 1990s. </w:t>
      </w:r>
      <w:r w:rsidRPr="00A428C3">
        <w:rPr>
          <w:i/>
          <w:iCs/>
        </w:rPr>
        <w:t>Information Research</w:t>
      </w:r>
      <w:r w:rsidRPr="00A428C3">
        <w:t xml:space="preserve">, </w:t>
      </w:r>
      <w:r w:rsidRPr="00A428C3">
        <w:rPr>
          <w:b/>
        </w:rPr>
        <w:t>6</w:t>
      </w:r>
      <w:r w:rsidRPr="00A428C3">
        <w:t xml:space="preserve"> (1).</w:t>
      </w:r>
    </w:p>
    <w:p w:rsidR="00B95188" w:rsidRPr="00A428C3" w:rsidRDefault="00B95188" w:rsidP="00B95188">
      <w:pPr>
        <w:pStyle w:val="a0"/>
      </w:pPr>
      <w:r w:rsidRPr="00A428C3">
        <w:t xml:space="preserve">Full Text: </w:t>
      </w:r>
      <w:hyperlink r:id="rId1449" w:history="1">
        <w:r w:rsidRPr="00A428C3">
          <w:rPr>
            <w:rStyle w:val="a5"/>
          </w:rPr>
          <w:t>I\Inf Res6 (1).pdf</w:t>
        </w:r>
      </w:hyperlink>
    </w:p>
    <w:p w:rsidR="00B95188" w:rsidRPr="00A428C3" w:rsidRDefault="00B95188" w:rsidP="00B95188">
      <w:pPr>
        <w:pStyle w:val="a0"/>
      </w:pPr>
      <w:r w:rsidRPr="00A428C3">
        <w:t>How to cite this paper:</w:t>
      </w:r>
    </w:p>
    <w:p w:rsidR="00B95188" w:rsidRPr="00A428C3" w:rsidRDefault="00B95188" w:rsidP="00B95188">
      <w:pPr>
        <w:pStyle w:val="a0"/>
      </w:pPr>
      <w:r w:rsidRPr="00A428C3">
        <w:t>Koehler, Wallace</w:t>
      </w:r>
      <w:r w:rsidR="00F81221">
        <w:t xml:space="preserve"> and </w:t>
      </w:r>
      <w:r w:rsidRPr="00A428C3">
        <w:t xml:space="preserve">others. (2000) </w:t>
      </w:r>
      <w:r w:rsidR="000352E7">
        <w:t>“</w:t>
      </w:r>
      <w:r w:rsidRPr="00A428C3">
        <w:t>A bibliometric analysis of select information science print</w:t>
      </w:r>
      <w:r w:rsidR="00F81221">
        <w:t xml:space="preserve"> and </w:t>
      </w:r>
      <w:r w:rsidRPr="00A428C3">
        <w:t>electronic journals in the 1990s</w:t>
      </w:r>
      <w:r w:rsidR="000352E7">
        <w:t>”</w:t>
      </w:r>
      <w:r w:rsidRPr="00A428C3">
        <w:t>. Information Research, 6(1) Available at: http://InformationR.net/ir/6-1/paper88.html</w:t>
      </w:r>
    </w:p>
    <w:p w:rsidR="00B95188" w:rsidRPr="00A428C3" w:rsidRDefault="00B95188" w:rsidP="00B95188">
      <w:pPr>
        <w:pStyle w:val="a0"/>
      </w:pPr>
      <w:r w:rsidRPr="00A428C3">
        <w:t>Abstract: This paper examines three e-journals</w:t>
      </w:r>
      <w:r w:rsidR="00F81221">
        <w:t xml:space="preserve"> and </w:t>
      </w:r>
      <w:r w:rsidRPr="00A428C3">
        <w:t>one paper journal begun in the 1990s within the information science genre. In addition, these journals are compared to what is perhaps the leading information science journal, one that has been published continuously for fifty years. The journals we examine are CyberMetrics, Information Research, the Journal of Internet Cataloging, Libres,</w:t>
      </w:r>
      <w:r w:rsidR="00F81221">
        <w:t xml:space="preserve"> and </w:t>
      </w:r>
      <w:r w:rsidRPr="00A428C3">
        <w:t>the Journal of the American Society for Information Science. We find that there are a number of important differences among the journals. These include frequency of publication, publication size, number of authors,</w:t>
      </w:r>
      <w:r w:rsidR="00F81221">
        <w:t xml:space="preserve"> and </w:t>
      </w:r>
      <w:r w:rsidRPr="00A428C3">
        <w:t>the funding status of articles. We also find differences among journals for distributions of authors by gender</w:t>
      </w:r>
      <w:r w:rsidR="00F81221">
        <w:t xml:space="preserve"> and </w:t>
      </w:r>
      <w:r w:rsidRPr="00A428C3">
        <w:t xml:space="preserve">corporate authors by region. Some of the regional differences can be explained by journal maturation -- the more mature the journal the greater the dispersion. We also find that women are more likely to publish in the newer journals than in JASIS. The fact that a journal is or is not an e-journal does not appear to affect its presence or </w:t>
      </w:r>
      <w:r w:rsidR="000352E7">
        <w:t>“</w:t>
      </w:r>
      <w:r w:rsidRPr="00A428C3">
        <w:t>behaviour</w:t>
      </w:r>
      <w:r w:rsidR="000352E7">
        <w:t>”</w:t>
      </w:r>
      <w:r w:rsidRPr="00A428C3">
        <w:t xml:space="preserve"> as an information science journal.</w:t>
      </w:r>
    </w:p>
    <w:p w:rsidR="00B95188" w:rsidRPr="00A428C3" w:rsidRDefault="00B95188" w:rsidP="00B95188">
      <w:pPr>
        <w:pStyle w:val="a0"/>
      </w:pPr>
      <w:r w:rsidRPr="00A428C3">
        <w:t>Jacobs, D. (2001), A bibliometric study of the publication patterns of scientists in South Africa 1992-96, with particular reference to status</w:t>
      </w:r>
      <w:r w:rsidR="00F81221">
        <w:t xml:space="preserve"> and </w:t>
      </w:r>
      <w:r w:rsidRPr="00A428C3">
        <w:t xml:space="preserve">funding. </w:t>
      </w:r>
      <w:r w:rsidRPr="00A428C3">
        <w:rPr>
          <w:i/>
          <w:iCs/>
        </w:rPr>
        <w:t xml:space="preserve">Information </w:t>
      </w:r>
      <w:r w:rsidRPr="00A428C3">
        <w:rPr>
          <w:i/>
          <w:iCs/>
        </w:rPr>
        <w:lastRenderedPageBreak/>
        <w:t>Research</w:t>
      </w:r>
      <w:r w:rsidRPr="00A428C3">
        <w:t xml:space="preserve">, </w:t>
      </w:r>
      <w:r w:rsidRPr="00A428C3">
        <w:rPr>
          <w:b/>
        </w:rPr>
        <w:t>6</w:t>
      </w:r>
      <w:r w:rsidRPr="00A428C3">
        <w:t xml:space="preserve"> (3).</w:t>
      </w:r>
    </w:p>
    <w:p w:rsidR="00B95188" w:rsidRPr="00A428C3" w:rsidRDefault="00B95188" w:rsidP="00B95188">
      <w:pPr>
        <w:pStyle w:val="a0"/>
      </w:pPr>
      <w:r w:rsidRPr="00A428C3">
        <w:t xml:space="preserve">Full Text: </w:t>
      </w:r>
      <w:hyperlink r:id="rId1450" w:history="1">
        <w:r w:rsidRPr="00A428C3">
          <w:rPr>
            <w:rStyle w:val="a5"/>
          </w:rPr>
          <w:t>I\Inf Res6 (3).pdf</w:t>
        </w:r>
      </w:hyperlink>
    </w:p>
    <w:p w:rsidR="00B95188" w:rsidRPr="00A428C3" w:rsidRDefault="00B95188" w:rsidP="00B95188">
      <w:pPr>
        <w:pStyle w:val="a0"/>
      </w:pPr>
      <w:r w:rsidRPr="00A428C3">
        <w:t>How to cite this paper:</w:t>
      </w:r>
    </w:p>
    <w:p w:rsidR="00B95188" w:rsidRPr="00A428C3" w:rsidRDefault="00B95188" w:rsidP="00B95188">
      <w:pPr>
        <w:pStyle w:val="a0"/>
      </w:pPr>
      <w:r w:rsidRPr="00A428C3">
        <w:t xml:space="preserve">Jacobs, Daisy (2001) </w:t>
      </w:r>
      <w:r w:rsidR="000352E7">
        <w:t>“</w:t>
      </w:r>
      <w:r w:rsidRPr="00A428C3">
        <w:t>A bibliometric study of the publication patterns of scientists in South Africa 1992-96, with particular reference to status</w:t>
      </w:r>
      <w:r w:rsidR="00F81221">
        <w:t xml:space="preserve"> and </w:t>
      </w:r>
      <w:r w:rsidRPr="00A428C3">
        <w:t>funding.</w:t>
      </w:r>
      <w:r w:rsidR="000352E7">
        <w:t>”</w:t>
      </w:r>
      <w:r w:rsidRPr="00A428C3">
        <w:t xml:space="preserve"> Information Research, 6(3) Available at: http://InformationR.net/6-2/paper104.html</w:t>
      </w:r>
    </w:p>
    <w:p w:rsidR="00B95188" w:rsidRPr="00A428C3" w:rsidRDefault="00B95188" w:rsidP="00B95188">
      <w:pPr>
        <w:pStyle w:val="a0"/>
      </w:pPr>
      <w:r w:rsidRPr="00A428C3">
        <w:t>Abstract: This paper is a bibliometric study of the publication patterns of a selected group of academic</w:t>
      </w:r>
      <w:r w:rsidR="00F81221">
        <w:t xml:space="preserve"> and </w:t>
      </w:r>
      <w:r w:rsidRPr="00A428C3">
        <w:t xml:space="preserve">research scientists of ten universities of </w:t>
      </w:r>
      <w:smartTag w:uri="urn:schemas-microsoft-com:office:smarttags" w:element="place">
        <w:smartTag w:uri="urn:schemas-microsoft-com:office:smarttags" w:element="country-region">
          <w:r w:rsidRPr="00A428C3">
            <w:t>South Africa</w:t>
          </w:r>
        </w:smartTag>
      </w:smartTag>
      <w:r w:rsidRPr="00A428C3">
        <w:t xml:space="preserve"> for a period of five years, 1992-96. The subject fields surveyed are Physics, Chemistry, Plant</w:t>
      </w:r>
      <w:r w:rsidR="00F81221">
        <w:t xml:space="preserve"> and </w:t>
      </w:r>
      <w:r w:rsidRPr="00A428C3">
        <w:t>animal Sciences,</w:t>
      </w:r>
      <w:r w:rsidR="00F81221">
        <w:t xml:space="preserve"> and </w:t>
      </w:r>
      <w:r w:rsidRPr="00A428C3">
        <w:t>Microbiology/Biochemistry. These ten universities vary considerably with respect to standards of education, quantity of research</w:t>
      </w:r>
      <w:r w:rsidR="00F81221">
        <w:t xml:space="preserve"> and </w:t>
      </w:r>
      <w:r w:rsidRPr="00A428C3">
        <w:t>publication</w:t>
      </w:r>
      <w:r w:rsidR="00F81221">
        <w:t xml:space="preserve"> and </w:t>
      </w:r>
      <w:r w:rsidRPr="00A428C3">
        <w:t>overall progress. The general purpose of the study is 1) to determine whether academic status</w:t>
      </w:r>
      <w:r w:rsidR="00F81221">
        <w:t xml:space="preserve"> and </w:t>
      </w:r>
      <w:r w:rsidRPr="00A428C3">
        <w:t>prestige have any impact on the level of productivity, 2) to study the productivity within different areas of science, 3) to investigate whether or not the level of funding and/or the prospects of getting funded has any influence on the level of productivity in each area of science</w:t>
      </w:r>
      <w:r w:rsidR="00F81221">
        <w:t xml:space="preserve"> and </w:t>
      </w:r>
      <w:r w:rsidRPr="00A428C3">
        <w:t>their pattern of publication. The study collected two sets of data through a scientometric analysis of science citation index</w:t>
      </w:r>
      <w:r w:rsidR="00F81221">
        <w:t xml:space="preserve"> and </w:t>
      </w:r>
      <w:r w:rsidRPr="00A428C3">
        <w:t>a questionnaire. The study demonstrates that there is a direct relationship between status</w:t>
      </w:r>
      <w:r w:rsidR="00F81221">
        <w:t xml:space="preserve"> and </w:t>
      </w:r>
      <w:r w:rsidRPr="00A428C3">
        <w:t>publication productivity. The study further shows that there are significant differences in productivity between areas of sciences but that there is no direct relationship between institutional funding</w:t>
      </w:r>
      <w:r w:rsidR="00F81221">
        <w:t xml:space="preserve"> and </w:t>
      </w:r>
      <w:r w:rsidRPr="00A428C3">
        <w:t>productivity.</w:t>
      </w:r>
    </w:p>
    <w:p w:rsidR="00B95188" w:rsidRPr="00A428C3" w:rsidRDefault="00B95188" w:rsidP="00B95188">
      <w:pPr>
        <w:pStyle w:val="a0"/>
      </w:pPr>
      <w:r w:rsidRPr="00A428C3">
        <w:t xml:space="preserve">Hawkins, D.T. (2001), Bibliometrics of electronic journals in information science. </w:t>
      </w:r>
      <w:r w:rsidRPr="00A428C3">
        <w:rPr>
          <w:i/>
          <w:iCs/>
        </w:rPr>
        <w:t>Information Research</w:t>
      </w:r>
      <w:r w:rsidRPr="00A428C3">
        <w:t xml:space="preserve">, </w:t>
      </w:r>
      <w:r w:rsidRPr="00A428C3">
        <w:rPr>
          <w:b/>
        </w:rPr>
        <w:t>7</w:t>
      </w:r>
      <w:r w:rsidRPr="00A428C3">
        <w:t xml:space="preserve"> (1).</w:t>
      </w:r>
    </w:p>
    <w:p w:rsidR="00B95188" w:rsidRPr="00A428C3" w:rsidRDefault="00B95188" w:rsidP="00B95188">
      <w:pPr>
        <w:pStyle w:val="a0"/>
      </w:pPr>
      <w:r w:rsidRPr="00A428C3">
        <w:t xml:space="preserve">Full Text: </w:t>
      </w:r>
      <w:hyperlink r:id="rId1451" w:history="1">
        <w:r w:rsidRPr="00A428C3">
          <w:rPr>
            <w:rStyle w:val="a5"/>
          </w:rPr>
          <w:t>I\Inf Res7 (1).pdf</w:t>
        </w:r>
      </w:hyperlink>
    </w:p>
    <w:p w:rsidR="00B95188" w:rsidRPr="00A428C3" w:rsidRDefault="00B95188" w:rsidP="00B95188">
      <w:pPr>
        <w:pStyle w:val="a0"/>
      </w:pPr>
      <w:r w:rsidRPr="00A428C3">
        <w:t>How to cite this paper:</w:t>
      </w:r>
    </w:p>
    <w:p w:rsidR="00B95188" w:rsidRPr="00A428C3" w:rsidRDefault="00B95188" w:rsidP="00B95188">
      <w:pPr>
        <w:pStyle w:val="a0"/>
        <w:rPr>
          <w:rFonts w:eastAsia="新細明體"/>
        </w:rPr>
      </w:pPr>
      <w:r w:rsidRPr="00A428C3">
        <w:t xml:space="preserve">Hawkins, Donald T. (2001) </w:t>
      </w:r>
      <w:r w:rsidR="000352E7">
        <w:t>“</w:t>
      </w:r>
      <w:r w:rsidRPr="00A428C3">
        <w:t>Bibliometrics of electronic journals in information science</w:t>
      </w:r>
      <w:r w:rsidR="000352E7">
        <w:t>”</w:t>
      </w:r>
      <w:r w:rsidRPr="00A428C3">
        <w:t xml:space="preserve"> Information Research, 7(1) [Available at http://InformationR.net/ir/7-1/paper120.html]</w:t>
      </w:r>
    </w:p>
    <w:p w:rsidR="00B95188" w:rsidRPr="00A428C3" w:rsidRDefault="00B95188" w:rsidP="00B95188">
      <w:pPr>
        <w:pStyle w:val="a0"/>
      </w:pPr>
      <w:r w:rsidRPr="00A428C3">
        <w:t>Abstract: The bibliometric characteristics of electronic journals (e-journals) covering the field of information science have been studied. Twenty-eight e-journals were identified</w:t>
      </w:r>
      <w:r w:rsidR="00F81221">
        <w:t xml:space="preserve"> and </w:t>
      </w:r>
      <w:r w:rsidRPr="00A428C3">
        <w:t xml:space="preserve">ranked by number of articles on the subject they published. A </w:t>
      </w:r>
      <w:smartTag w:uri="urn:schemas-microsoft-com:office:smarttags" w:element="place">
        <w:r w:rsidRPr="00A428C3">
          <w:t>Bradford</w:t>
        </w:r>
      </w:smartTag>
      <w:r w:rsidRPr="00A428C3">
        <w:t xml:space="preserve"> plot revealed that the core is not well developed yet, but it will likely contain six journals. The publication of information science articles in e-journals began about 1990. In 1995 (the starting date for this study), a modest 26 articles appeared, but publication has now risen to approximately 250 articles per year. The most prolific authors are identified. The vast majority of them are located in the </w:t>
      </w:r>
      <w:smartTag w:uri="urn:schemas-microsoft-com:office:smarttags" w:element="country-region">
        <w:r w:rsidRPr="00A428C3">
          <w:t>United States</w:t>
        </w:r>
      </w:smartTag>
      <w:r w:rsidRPr="00A428C3">
        <w:t xml:space="preserve"> or </w:t>
      </w:r>
      <w:smartTag w:uri="urn:schemas-microsoft-com:office:smarttags" w:element="place">
        <w:smartTag w:uri="urn:schemas-microsoft-com:office:smarttags" w:element="country-region">
          <w:r w:rsidRPr="00A428C3">
            <w:t>United Kingdom</w:t>
          </w:r>
        </w:smartTag>
      </w:smartTag>
      <w:r w:rsidRPr="00A428C3">
        <w:t xml:space="preserve">. Only 26 articles have authors from more than one country, showing that electronic technology has not yet strongly influenced international collaboration. About 2/3 of the articles originate in academic </w:t>
      </w:r>
      <w:r w:rsidRPr="00A428C3">
        <w:lastRenderedPageBreak/>
        <w:t>institutions. Common topics of e-journal articles in information science include electronic information, electronic publishing, virtual (digital) libraries, information search</w:t>
      </w:r>
      <w:r w:rsidR="00F81221">
        <w:t xml:space="preserve"> and </w:t>
      </w:r>
      <w:r w:rsidRPr="00A428C3">
        <w:t>retrieval,</w:t>
      </w:r>
      <w:r w:rsidR="00F81221">
        <w:t xml:space="preserve"> and </w:t>
      </w:r>
      <w:r w:rsidRPr="00A428C3">
        <w:t>use of the Internet. Seven online databases cover these e-journals; Information Science Abstracts is the only one to cover all 28 journals,</w:t>
      </w:r>
      <w:r w:rsidR="00F81221">
        <w:t xml:space="preserve"> and </w:t>
      </w:r>
      <w:r w:rsidRPr="00A428C3">
        <w:t>it has the highest number of abstracts from them - over 1,100.</w:t>
      </w:r>
    </w:p>
    <w:p w:rsidR="00B95188" w:rsidRPr="00586CD8" w:rsidRDefault="00B95188" w:rsidP="00B95188">
      <w:pPr>
        <w:pStyle w:val="1"/>
      </w:pPr>
      <w:r w:rsidRPr="00586CD8">
        <w:br w:type="page"/>
      </w:r>
      <w:bookmarkStart w:id="1025" w:name="_Toc186647864"/>
      <w:bookmarkStart w:id="1026" w:name="_Toc317161167"/>
      <w:r w:rsidRPr="00A428C3">
        <w:lastRenderedPageBreak/>
        <w:t xml:space="preserve">Title: </w:t>
      </w:r>
      <w:bookmarkEnd w:id="1025"/>
      <w:r w:rsidR="00B47C10" w:rsidRPr="00B47C10">
        <w:rPr>
          <w:iCs/>
          <w:szCs w:val="24"/>
        </w:rPr>
        <w:t>Information Research-An International Electronic Journal</w:t>
      </w:r>
      <w:bookmarkEnd w:id="1026"/>
    </w:p>
    <w:p w:rsidR="00B95188" w:rsidRPr="00A428C3" w:rsidRDefault="00B95188" w:rsidP="00B72EF9">
      <w:pPr>
        <w:pStyle w:val="12"/>
      </w:pPr>
      <w:r w:rsidRPr="00A428C3">
        <w:t xml:space="preserve">Full Journal Title: </w:t>
      </w:r>
      <w:hyperlink r:id="rId1452" w:history="1">
        <w:r w:rsidR="00B47C10">
          <w:rPr>
            <w:rStyle w:val="a5"/>
          </w:rPr>
          <w:t>Information Research</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ISSN: 1368-1613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62580C" w:rsidRDefault="0062580C" w:rsidP="0062580C">
      <w:pPr>
        <w:pStyle w:val="a0"/>
        <w:rPr>
          <w:kern w:val="0"/>
          <w:szCs w:val="24"/>
        </w:rPr>
      </w:pPr>
      <w:r>
        <w:rPr>
          <w:rFonts w:hint="eastAsia"/>
          <w:kern w:val="0"/>
          <w:szCs w:val="24"/>
        </w:rPr>
        <w:t xml:space="preserve">? </w:t>
      </w:r>
      <w:r>
        <w:rPr>
          <w:kern w:val="0"/>
          <w:szCs w:val="24"/>
        </w:rPr>
        <w:t>de Arenas, J.L., Santillán-Rivero, E., Arenas, M.</w:t>
      </w:r>
      <w:r w:rsidR="00F81221">
        <w:rPr>
          <w:kern w:val="0"/>
          <w:szCs w:val="24"/>
        </w:rPr>
        <w:t xml:space="preserve"> and </w:t>
      </w:r>
      <w:r>
        <w:rPr>
          <w:kern w:val="0"/>
          <w:szCs w:val="24"/>
        </w:rPr>
        <w:t xml:space="preserve">Valles, J. (2003), Performance of Mexican scholarship recipients in the production of scientific knowledge - From bibliometrics to scientific policy? </w:t>
      </w:r>
      <w:r>
        <w:rPr>
          <w:i/>
          <w:iCs/>
          <w:kern w:val="0"/>
          <w:szCs w:val="24"/>
        </w:rPr>
        <w:t>Information Research</w:t>
      </w:r>
      <w:r>
        <w:rPr>
          <w:kern w:val="0"/>
          <w:szCs w:val="24"/>
        </w:rPr>
        <w:t xml:space="preserve">, </w:t>
      </w:r>
      <w:r>
        <w:rPr>
          <w:b/>
          <w:bCs/>
          <w:kern w:val="0"/>
          <w:szCs w:val="24"/>
        </w:rPr>
        <w:t>8</w:t>
      </w:r>
      <w:r>
        <w:rPr>
          <w:rFonts w:hint="eastAsia"/>
          <w:kern w:val="0"/>
          <w:szCs w:val="24"/>
        </w:rPr>
        <w:t xml:space="preserve"> (</w:t>
      </w:r>
      <w:r>
        <w:rPr>
          <w:kern w:val="0"/>
          <w:szCs w:val="24"/>
        </w:rPr>
        <w:t>2</w:t>
      </w:r>
      <w:r>
        <w:rPr>
          <w:rFonts w:hint="eastAsia"/>
          <w:kern w:val="0"/>
          <w:szCs w:val="24"/>
        </w:rPr>
        <w:t xml:space="preserve">), </w:t>
      </w:r>
      <w:r w:rsidRPr="001A3D2B">
        <w:t>Article Number:</w:t>
      </w:r>
      <w:r w:rsidRPr="007E253C">
        <w:rPr>
          <w:kern w:val="0"/>
          <w:szCs w:val="24"/>
        </w:rPr>
        <w:t xml:space="preserve"> 147</w:t>
      </w:r>
      <w:r>
        <w:rPr>
          <w:kern w:val="0"/>
          <w:szCs w:val="24"/>
        </w:rPr>
        <w:t>.</w:t>
      </w:r>
    </w:p>
    <w:p w:rsidR="0062580C" w:rsidRDefault="0062580C" w:rsidP="0062580C">
      <w:pPr>
        <w:pStyle w:val="a0"/>
        <w:rPr>
          <w:kern w:val="0"/>
          <w:szCs w:val="24"/>
        </w:rPr>
      </w:pPr>
      <w:r>
        <w:rPr>
          <w:rFonts w:hint="eastAsia"/>
          <w:kern w:val="0"/>
          <w:szCs w:val="24"/>
        </w:rPr>
        <w:t xml:space="preserve">Full Text: </w:t>
      </w:r>
      <w:hyperlink r:id="rId1453" w:history="1">
        <w:r w:rsidRPr="00B47C10">
          <w:rPr>
            <w:rStyle w:val="a5"/>
            <w:kern w:val="0"/>
            <w:szCs w:val="24"/>
          </w:rPr>
          <w:t>2003\Inf Res8, 147.pdf</w:t>
        </w:r>
      </w:hyperlink>
    </w:p>
    <w:p w:rsidR="0062580C" w:rsidRDefault="0062580C" w:rsidP="0062580C">
      <w:pPr>
        <w:pStyle w:val="a0"/>
        <w:rPr>
          <w:kern w:val="0"/>
          <w:szCs w:val="24"/>
        </w:rPr>
      </w:pPr>
      <w:r>
        <w:rPr>
          <w:kern w:val="0"/>
          <w:szCs w:val="24"/>
        </w:rPr>
        <w:t>Abstract: During recent decades, several actions have been taken to build up Mexico</w:t>
      </w:r>
      <w:r w:rsidR="000352E7">
        <w:rPr>
          <w:kern w:val="0"/>
          <w:szCs w:val="24"/>
        </w:rPr>
        <w:t>’</w:t>
      </w:r>
      <w:r>
        <w:rPr>
          <w:kern w:val="0"/>
          <w:szCs w:val="24"/>
        </w:rPr>
        <w:t>s science manpower base. Thousands of scholarships have been awarded to Mexicans to pursue postgraduate studies abroad. However, the number of PhD-holders the country expected to have by the beginning of the third millenniumm is still low despite the large amount of money the country has been investing in the training of doctoral students: $US 250,000 each. Therefore, we attempted to analyse the performance of the 1995 Mexican scholarship recipients awarded by the National Council for Science</w:t>
      </w:r>
      <w:r w:rsidR="00F81221">
        <w:rPr>
          <w:kern w:val="0"/>
          <w:szCs w:val="24"/>
        </w:rPr>
        <w:t xml:space="preserve"> and </w:t>
      </w:r>
      <w:r>
        <w:rPr>
          <w:kern w:val="0"/>
          <w:szCs w:val="24"/>
        </w:rPr>
        <w:t>Technology of Mexico for study abroad in all disciplines, assuming that many of them will contribute to the development of the Mexican science base after taking their knowledge back home. The visibility of the 680 study-abroad scholarship recipients was measured through the ISI Web of Science. The esteem measure was obtained from Mexico</w:t>
      </w:r>
      <w:r w:rsidR="000352E7">
        <w:rPr>
          <w:kern w:val="0"/>
          <w:szCs w:val="24"/>
        </w:rPr>
        <w:t>’</w:t>
      </w:r>
      <w:r>
        <w:rPr>
          <w:kern w:val="0"/>
          <w:szCs w:val="24"/>
        </w:rPr>
        <w:t>s National Researchers</w:t>
      </w:r>
      <w:r w:rsidR="000352E7">
        <w:rPr>
          <w:kern w:val="0"/>
          <w:szCs w:val="24"/>
        </w:rPr>
        <w:t>’</w:t>
      </w:r>
      <w:r>
        <w:rPr>
          <w:kern w:val="0"/>
          <w:szCs w:val="24"/>
        </w:rPr>
        <w:t xml:space="preserve"> System (SNI) the Mexican government recognition - data. As little or nothing is known about the performance of the Mexican government scholarship programme, this study provides information pertinent to this complex</w:t>
      </w:r>
      <w:r w:rsidR="00F81221">
        <w:rPr>
          <w:kern w:val="0"/>
          <w:szCs w:val="24"/>
        </w:rPr>
        <w:t xml:space="preserve"> and </w:t>
      </w:r>
      <w:r>
        <w:rPr>
          <w:kern w:val="0"/>
          <w:szCs w:val="24"/>
        </w:rPr>
        <w:t>controversial issue. The data reveals facts that might stimulate rethinking of the national science policy regarding support for doctoral training.</w:t>
      </w:r>
    </w:p>
    <w:p w:rsidR="0062580C" w:rsidRDefault="0062580C" w:rsidP="0062580C">
      <w:pPr>
        <w:pStyle w:val="a0"/>
        <w:rPr>
          <w:kern w:val="0"/>
          <w:szCs w:val="24"/>
        </w:rPr>
      </w:pPr>
      <w:r>
        <w:rPr>
          <w:kern w:val="0"/>
          <w:szCs w:val="24"/>
        </w:rPr>
        <w:t>Keywords: Bibliometrics, Development, Knowledge, Mexico, Scholarship, Science, Scientific Policy, Visibility, Web of Science</w:t>
      </w:r>
    </w:p>
    <w:p w:rsidR="0062580C" w:rsidRPr="001A3D2B" w:rsidRDefault="0062580C" w:rsidP="0062580C">
      <w:pPr>
        <w:pStyle w:val="a0"/>
        <w:rPr>
          <w:kern w:val="0"/>
          <w:szCs w:val="24"/>
        </w:rPr>
      </w:pPr>
      <w:r w:rsidRPr="001A3D2B">
        <w:rPr>
          <w:kern w:val="0"/>
          <w:szCs w:val="24"/>
        </w:rPr>
        <w:t xml:space="preserve">? Thelwall, M. (2003), What is this link doing here? Beginning a fine-grained process of </w:t>
      </w:r>
      <w:r w:rsidRPr="001A3D2B">
        <w:rPr>
          <w:kern w:val="0"/>
          <w:szCs w:val="24"/>
        </w:rPr>
        <w:lastRenderedPageBreak/>
        <w:t xml:space="preserve">identifying reasons for academic hyperlink creation. </w:t>
      </w:r>
      <w:r>
        <w:rPr>
          <w:i/>
          <w:iCs/>
          <w:kern w:val="0"/>
          <w:szCs w:val="24"/>
        </w:rPr>
        <w:t>Information Research</w:t>
      </w:r>
      <w:r w:rsidRPr="001A3D2B">
        <w:rPr>
          <w:kern w:val="0"/>
          <w:szCs w:val="24"/>
        </w:rPr>
        <w:t xml:space="preserve">, </w:t>
      </w:r>
      <w:r w:rsidRPr="001A3D2B">
        <w:rPr>
          <w:b/>
          <w:bCs/>
          <w:kern w:val="0"/>
          <w:szCs w:val="24"/>
        </w:rPr>
        <w:t>8</w:t>
      </w:r>
      <w:r>
        <w:rPr>
          <w:rFonts w:hint="eastAsia"/>
          <w:kern w:val="0"/>
          <w:szCs w:val="24"/>
        </w:rPr>
        <w:t xml:space="preserve"> (</w:t>
      </w:r>
      <w:r w:rsidRPr="001A3D2B">
        <w:rPr>
          <w:kern w:val="0"/>
          <w:szCs w:val="24"/>
        </w:rPr>
        <w:t>3</w:t>
      </w:r>
      <w:r>
        <w:rPr>
          <w:rFonts w:hint="eastAsia"/>
          <w:kern w:val="0"/>
          <w:szCs w:val="24"/>
        </w:rPr>
        <w:t xml:space="preserve">), </w:t>
      </w:r>
      <w:r w:rsidRPr="001A3D2B">
        <w:t>Article Number:</w:t>
      </w:r>
      <w:r>
        <w:rPr>
          <w:rFonts w:hint="eastAsia"/>
        </w:rPr>
        <w:t xml:space="preserve"> </w:t>
      </w:r>
      <w:r>
        <w:rPr>
          <w:rFonts w:hint="eastAsia"/>
          <w:kern w:val="0"/>
          <w:szCs w:val="24"/>
        </w:rPr>
        <w:t>151</w:t>
      </w:r>
      <w:r w:rsidRPr="001A3D2B">
        <w:rPr>
          <w:kern w:val="0"/>
          <w:szCs w:val="24"/>
        </w:rPr>
        <w:t>.</w:t>
      </w:r>
    </w:p>
    <w:p w:rsidR="0062580C" w:rsidRDefault="0062580C" w:rsidP="0062580C">
      <w:pPr>
        <w:pStyle w:val="a0"/>
        <w:rPr>
          <w:kern w:val="0"/>
          <w:szCs w:val="24"/>
        </w:rPr>
      </w:pPr>
      <w:r>
        <w:rPr>
          <w:rFonts w:hint="eastAsia"/>
          <w:kern w:val="0"/>
          <w:szCs w:val="24"/>
        </w:rPr>
        <w:t xml:space="preserve">Full Text: </w:t>
      </w:r>
      <w:hyperlink r:id="rId1454" w:history="1">
        <w:r w:rsidRPr="00B47C10">
          <w:rPr>
            <w:rStyle w:val="a5"/>
            <w:kern w:val="0"/>
            <w:szCs w:val="24"/>
          </w:rPr>
          <w:t>2003\Inf Res8, 151.pdf</w:t>
        </w:r>
      </w:hyperlink>
    </w:p>
    <w:p w:rsidR="0062580C" w:rsidRPr="001A3D2B" w:rsidRDefault="0062580C" w:rsidP="0062580C">
      <w:pPr>
        <w:pStyle w:val="a0"/>
        <w:rPr>
          <w:kern w:val="0"/>
          <w:szCs w:val="24"/>
        </w:rPr>
      </w:pPr>
      <w:r w:rsidRPr="001A3D2B">
        <w:rPr>
          <w:kern w:val="0"/>
          <w:szCs w:val="24"/>
        </w:rPr>
        <w:t>Abstract: Analogies between Web links</w:t>
      </w:r>
      <w:r w:rsidR="00F81221">
        <w:rPr>
          <w:kern w:val="0"/>
          <w:szCs w:val="24"/>
        </w:rPr>
        <w:t xml:space="preserve"> and </w:t>
      </w:r>
      <w:r w:rsidRPr="001A3D2B">
        <w:rPr>
          <w:kern w:val="0"/>
          <w:szCs w:val="24"/>
        </w:rPr>
        <w:t>citations have been used in information retrieval to improve search engine query matching</w:t>
      </w:r>
      <w:r w:rsidR="00F81221">
        <w:rPr>
          <w:kern w:val="0"/>
          <w:szCs w:val="24"/>
        </w:rPr>
        <w:t xml:space="preserve"> and </w:t>
      </w:r>
      <w:r w:rsidRPr="001A3D2B">
        <w:rPr>
          <w:kern w:val="0"/>
          <w:szCs w:val="24"/>
        </w:rPr>
        <w:t>in information science to develop link metrics for academic</w:t>
      </w:r>
      <w:r w:rsidR="00F81221">
        <w:rPr>
          <w:kern w:val="0"/>
          <w:szCs w:val="24"/>
        </w:rPr>
        <w:t xml:space="preserve"> and </w:t>
      </w:r>
      <w:r w:rsidRPr="001A3D2B">
        <w:rPr>
          <w:kern w:val="0"/>
          <w:szCs w:val="24"/>
        </w:rPr>
        <w:t>other Web spaces. The purpose of this paper is to begin a fine-grained process of differentiating between creation motivations for links in academic Web sites</w:t>
      </w:r>
      <w:r w:rsidR="00F81221">
        <w:rPr>
          <w:kern w:val="0"/>
          <w:szCs w:val="24"/>
        </w:rPr>
        <w:t xml:space="preserve"> and </w:t>
      </w:r>
      <w:r w:rsidRPr="001A3D2B">
        <w:rPr>
          <w:kern w:val="0"/>
          <w:szCs w:val="24"/>
        </w:rPr>
        <w:t>citations in journals on the basis that they are very different phenomena. A sample of 100 random inter-site links to UK university home pages was used as a starting point for a qualitative exploration</w:t>
      </w:r>
      <w:r w:rsidR="00F81221">
        <w:rPr>
          <w:kern w:val="0"/>
          <w:szCs w:val="24"/>
        </w:rPr>
        <w:t xml:space="preserve"> and </w:t>
      </w:r>
      <w:r w:rsidRPr="001A3D2B">
        <w:rPr>
          <w:kern w:val="0"/>
          <w:szCs w:val="24"/>
        </w:rPr>
        <w:t xml:space="preserve">four new types of motivation are postulated. The term </w:t>
      </w:r>
      <w:r w:rsidR="000352E7">
        <w:rPr>
          <w:kern w:val="0"/>
          <w:szCs w:val="24"/>
        </w:rPr>
        <w:t>‘</w:t>
      </w:r>
      <w:r w:rsidRPr="001A3D2B">
        <w:rPr>
          <w:kern w:val="0"/>
          <w:szCs w:val="24"/>
        </w:rPr>
        <w:t>ownership</w:t>
      </w:r>
      <w:r w:rsidR="000352E7">
        <w:rPr>
          <w:kern w:val="0"/>
          <w:szCs w:val="24"/>
        </w:rPr>
        <w:t>’</w:t>
      </w:r>
      <w:r w:rsidRPr="001A3D2B">
        <w:rPr>
          <w:kern w:val="0"/>
          <w:szCs w:val="24"/>
        </w:rPr>
        <w:t xml:space="preserve"> is coined for links acknowledging authorship or co-authorship of are source, </w:t>
      </w:r>
      <w:r w:rsidR="000352E7">
        <w:rPr>
          <w:kern w:val="0"/>
          <w:szCs w:val="24"/>
        </w:rPr>
        <w:t>‘</w:t>
      </w:r>
      <w:r w:rsidRPr="001A3D2B">
        <w:rPr>
          <w:kern w:val="0"/>
          <w:szCs w:val="24"/>
        </w:rPr>
        <w:t>social</w:t>
      </w:r>
      <w:r w:rsidR="000352E7">
        <w:rPr>
          <w:kern w:val="0"/>
          <w:szCs w:val="24"/>
        </w:rPr>
        <w:t>’</w:t>
      </w:r>
      <w:r w:rsidRPr="001A3D2B">
        <w:rPr>
          <w:kern w:val="0"/>
          <w:szCs w:val="24"/>
        </w:rPr>
        <w:t xml:space="preserve"> for links with a primarily social reinforcement role, </w:t>
      </w:r>
      <w:r w:rsidR="000352E7">
        <w:rPr>
          <w:kern w:val="0"/>
          <w:szCs w:val="24"/>
        </w:rPr>
        <w:t>‘</w:t>
      </w:r>
      <w:r w:rsidRPr="001A3D2B">
        <w:rPr>
          <w:kern w:val="0"/>
          <w:szCs w:val="24"/>
        </w:rPr>
        <w:t>general navigational</w:t>
      </w:r>
      <w:r w:rsidR="000352E7">
        <w:rPr>
          <w:kern w:val="0"/>
          <w:szCs w:val="24"/>
        </w:rPr>
        <w:t>’</w:t>
      </w:r>
      <w:r w:rsidRPr="001A3D2B">
        <w:rPr>
          <w:kern w:val="0"/>
          <w:szCs w:val="24"/>
        </w:rPr>
        <w:t xml:space="preserve"> for those with a general information navigation function</w:t>
      </w:r>
      <w:r w:rsidR="00F81221">
        <w:rPr>
          <w:kern w:val="0"/>
          <w:szCs w:val="24"/>
        </w:rPr>
        <w:t xml:space="preserve"> and </w:t>
      </w:r>
      <w:r w:rsidR="000352E7">
        <w:rPr>
          <w:kern w:val="0"/>
          <w:szCs w:val="24"/>
        </w:rPr>
        <w:t>‘</w:t>
      </w:r>
      <w:r w:rsidRPr="001A3D2B">
        <w:rPr>
          <w:kern w:val="0"/>
          <w:szCs w:val="24"/>
        </w:rPr>
        <w:t>gratuitous</w:t>
      </w:r>
      <w:r w:rsidR="000352E7">
        <w:rPr>
          <w:kern w:val="0"/>
          <w:szCs w:val="24"/>
        </w:rPr>
        <w:t>’</w:t>
      </w:r>
      <w:r w:rsidRPr="001A3D2B">
        <w:rPr>
          <w:kern w:val="0"/>
          <w:szCs w:val="24"/>
        </w:rPr>
        <w:t xml:space="preserve"> for those that serve no communication function at all. It is argued that all of these form a role unique to the Web, albeit in varying degrees. Compared to citer motivations they are relatively trivial</w:t>
      </w:r>
      <w:r w:rsidR="00F81221">
        <w:rPr>
          <w:kern w:val="0"/>
          <w:szCs w:val="24"/>
        </w:rPr>
        <w:t xml:space="preserve"> and </w:t>
      </w:r>
      <w:r w:rsidRPr="001A3D2B">
        <w:rPr>
          <w:kern w:val="0"/>
          <w:szCs w:val="24"/>
        </w:rPr>
        <w:t>instead of being primarily socio-cognitive, none are cognitive</w:t>
      </w:r>
      <w:r w:rsidR="00F81221">
        <w:rPr>
          <w:kern w:val="0"/>
          <w:szCs w:val="24"/>
        </w:rPr>
        <w:t xml:space="preserve"> and </w:t>
      </w:r>
      <w:r w:rsidRPr="001A3D2B">
        <w:rPr>
          <w:kern w:val="0"/>
          <w:szCs w:val="24"/>
        </w:rPr>
        <w:t>the gratuitous are not even social.</w:t>
      </w:r>
    </w:p>
    <w:p w:rsidR="0062580C" w:rsidRPr="001A3D2B" w:rsidRDefault="0062580C" w:rsidP="0062580C">
      <w:pPr>
        <w:pStyle w:val="a0"/>
        <w:rPr>
          <w:kern w:val="0"/>
          <w:szCs w:val="24"/>
        </w:rPr>
      </w:pPr>
      <w:r w:rsidRPr="001A3D2B">
        <w:rPr>
          <w:kern w:val="0"/>
          <w:szCs w:val="24"/>
        </w:rPr>
        <w:t>Keywords: Authorship, Behavior, Bibliometrics, Challenges, Citations, Coauthorship, Communication, Documentation, Information, Information Retrieval, Information Science, Journals, Network, Science, Self-Citation, Web Impact Factors, World-Wide-Web</w:t>
      </w:r>
    </w:p>
    <w:p w:rsidR="0062580C" w:rsidRPr="001A3D2B" w:rsidRDefault="0062580C" w:rsidP="0062580C">
      <w:pPr>
        <w:pStyle w:val="a0"/>
        <w:rPr>
          <w:kern w:val="0"/>
          <w:szCs w:val="24"/>
        </w:rPr>
      </w:pPr>
      <w:r>
        <w:rPr>
          <w:kern w:val="0"/>
          <w:szCs w:val="24"/>
        </w:rPr>
        <w:t>? Sanz-Casado, E., Martí</w:t>
      </w:r>
      <w:r w:rsidRPr="001A3D2B">
        <w:rPr>
          <w:kern w:val="0"/>
          <w:szCs w:val="24"/>
        </w:rPr>
        <w:t>n-Moreno, C., Garc</w:t>
      </w:r>
      <w:r>
        <w:rPr>
          <w:kern w:val="0"/>
          <w:szCs w:val="24"/>
        </w:rPr>
        <w:t>í</w:t>
      </w:r>
      <w:r w:rsidRPr="001A3D2B">
        <w:rPr>
          <w:kern w:val="0"/>
          <w:szCs w:val="24"/>
        </w:rPr>
        <w:t>a-Zorita, C.</w:t>
      </w:r>
      <w:r w:rsidR="00F81221">
        <w:rPr>
          <w:kern w:val="0"/>
          <w:szCs w:val="24"/>
        </w:rPr>
        <w:t xml:space="preserve"> and </w:t>
      </w:r>
      <w:r w:rsidRPr="001A3D2B">
        <w:rPr>
          <w:kern w:val="0"/>
          <w:szCs w:val="24"/>
        </w:rPr>
        <w:t>Lascurain-S</w:t>
      </w:r>
      <w:r>
        <w:rPr>
          <w:kern w:val="0"/>
          <w:szCs w:val="24"/>
        </w:rPr>
        <w:t>á</w:t>
      </w:r>
      <w:r w:rsidRPr="001A3D2B">
        <w:rPr>
          <w:kern w:val="0"/>
          <w:szCs w:val="24"/>
        </w:rPr>
        <w:t xml:space="preserve">nchez, M.L. (2004), Study of interdisciplinarity in chemistry research based on the production of Puerto Rican scientists 1992-2001. </w:t>
      </w:r>
      <w:r>
        <w:rPr>
          <w:i/>
          <w:iCs/>
          <w:kern w:val="0"/>
          <w:szCs w:val="24"/>
        </w:rPr>
        <w:t>Information Research</w:t>
      </w:r>
      <w:r w:rsidRPr="001A3D2B">
        <w:rPr>
          <w:kern w:val="0"/>
          <w:szCs w:val="24"/>
        </w:rPr>
        <w:t xml:space="preserve">, </w:t>
      </w:r>
      <w:r w:rsidRPr="001A3D2B">
        <w:rPr>
          <w:b/>
          <w:bCs/>
          <w:kern w:val="0"/>
          <w:szCs w:val="24"/>
        </w:rPr>
        <w:t>9</w:t>
      </w:r>
      <w:r>
        <w:rPr>
          <w:rFonts w:hint="eastAsia"/>
          <w:kern w:val="0"/>
          <w:szCs w:val="24"/>
        </w:rPr>
        <w:t xml:space="preserve"> (</w:t>
      </w:r>
      <w:r w:rsidRPr="001A3D2B">
        <w:rPr>
          <w:kern w:val="0"/>
          <w:szCs w:val="24"/>
        </w:rPr>
        <w:t>4</w:t>
      </w:r>
      <w:r>
        <w:rPr>
          <w:rFonts w:hint="eastAsia"/>
          <w:kern w:val="0"/>
          <w:szCs w:val="24"/>
        </w:rPr>
        <w:t xml:space="preserve">), </w:t>
      </w:r>
      <w:r w:rsidRPr="001A3D2B">
        <w:t>Article Number:</w:t>
      </w:r>
      <w:r>
        <w:rPr>
          <w:rFonts w:hint="eastAsia"/>
          <w:kern w:val="0"/>
          <w:szCs w:val="24"/>
        </w:rPr>
        <w:t xml:space="preserve"> 182</w:t>
      </w:r>
      <w:r w:rsidRPr="001A3D2B">
        <w:rPr>
          <w:kern w:val="0"/>
          <w:szCs w:val="24"/>
        </w:rPr>
        <w:t>.</w:t>
      </w:r>
    </w:p>
    <w:p w:rsidR="0062580C" w:rsidRDefault="0062580C" w:rsidP="0062580C">
      <w:pPr>
        <w:pStyle w:val="a0"/>
        <w:rPr>
          <w:kern w:val="0"/>
          <w:szCs w:val="24"/>
        </w:rPr>
      </w:pPr>
      <w:r>
        <w:rPr>
          <w:rFonts w:hint="eastAsia"/>
          <w:kern w:val="0"/>
          <w:szCs w:val="24"/>
        </w:rPr>
        <w:t xml:space="preserve">Full Text: </w:t>
      </w:r>
      <w:hyperlink r:id="rId1455" w:history="1">
        <w:r w:rsidRPr="00D77167">
          <w:rPr>
            <w:rStyle w:val="a5"/>
            <w:kern w:val="0"/>
            <w:szCs w:val="24"/>
          </w:rPr>
          <w:t>2004\Inf Res9, 182.pdf</w:t>
        </w:r>
      </w:hyperlink>
    </w:p>
    <w:p w:rsidR="0062580C" w:rsidRPr="001A3D2B" w:rsidRDefault="0062580C" w:rsidP="0062580C">
      <w:pPr>
        <w:pStyle w:val="a0"/>
        <w:rPr>
          <w:kern w:val="0"/>
          <w:szCs w:val="24"/>
        </w:rPr>
      </w:pPr>
      <w:r w:rsidRPr="001A3D2B">
        <w:rPr>
          <w:kern w:val="0"/>
          <w:szCs w:val="24"/>
        </w:rPr>
        <w:t>Abstract: Determining the role played by interdisciplinarity in the generation of knowledge is a very fertile line of research in which synergies among different fields of science can be identified</w:t>
      </w:r>
      <w:r w:rsidR="00F81221">
        <w:rPr>
          <w:kern w:val="0"/>
          <w:szCs w:val="24"/>
        </w:rPr>
        <w:t xml:space="preserve"> and </w:t>
      </w:r>
      <w:r w:rsidRPr="001A3D2B">
        <w:rPr>
          <w:kern w:val="0"/>
          <w:szCs w:val="24"/>
        </w:rPr>
        <w:t>their impact on research efficiency ascertained. A number of methods may be used to explore interdisciplinarity, from the sociological approach to those requiring the application of bibliometric indicators. In this paper, a bibliometric analysis of the research conducted by scientists with the Chemistry Department at the University of Puerto Rico was run on the basis of the subject matter of citing</w:t>
      </w:r>
      <w:r w:rsidR="00F81221">
        <w:rPr>
          <w:kern w:val="0"/>
          <w:szCs w:val="24"/>
        </w:rPr>
        <w:t xml:space="preserve"> and </w:t>
      </w:r>
      <w:r w:rsidRPr="001A3D2B">
        <w:rPr>
          <w:kern w:val="0"/>
          <w:szCs w:val="24"/>
        </w:rPr>
        <w:t xml:space="preserve">cited papers, in order to ascertain how interdisciplinarity affects certain aspects of research, such as collaboration or visibility. The data used for this paper were taken from the Science Citation Index database, which lists the most significant contributions made by these scientists, along with the respective bibliographic references. The study revealed the existence of scientific areas that are highly dependent on the knowledge generated in the specific area itself. A positive, </w:t>
      </w:r>
      <w:r w:rsidRPr="001A3D2B">
        <w:rPr>
          <w:kern w:val="0"/>
          <w:szCs w:val="24"/>
        </w:rPr>
        <w:lastRenderedPageBreak/>
        <w:t>albeit weak, correlation was also observed between research interdisciplinarity</w:t>
      </w:r>
      <w:r w:rsidR="00F81221">
        <w:rPr>
          <w:kern w:val="0"/>
          <w:szCs w:val="24"/>
        </w:rPr>
        <w:t xml:space="preserve"> and </w:t>
      </w:r>
      <w:r w:rsidRPr="001A3D2B">
        <w:rPr>
          <w:kern w:val="0"/>
          <w:szCs w:val="24"/>
        </w:rPr>
        <w:t>collaboration between researchers</w:t>
      </w:r>
      <w:r w:rsidR="00F81221">
        <w:rPr>
          <w:kern w:val="0"/>
          <w:szCs w:val="24"/>
        </w:rPr>
        <w:t xml:space="preserve"> and </w:t>
      </w:r>
      <w:r w:rsidRPr="001A3D2B">
        <w:rPr>
          <w:kern w:val="0"/>
          <w:szCs w:val="24"/>
        </w:rPr>
        <w:t>institutions. Interdisciplinarity was not found to have any effect, however, on the visibility of research papers or to be correlated with international collaboration.</w:t>
      </w:r>
    </w:p>
    <w:p w:rsidR="0062580C" w:rsidRPr="001A3D2B" w:rsidRDefault="0062580C" w:rsidP="0062580C">
      <w:pPr>
        <w:pStyle w:val="a0"/>
        <w:rPr>
          <w:kern w:val="0"/>
          <w:szCs w:val="24"/>
        </w:rPr>
      </w:pPr>
      <w:r w:rsidRPr="001A3D2B">
        <w:rPr>
          <w:kern w:val="0"/>
          <w:szCs w:val="24"/>
        </w:rPr>
        <w:t>Keywords: Analysis, Bibliometric, Bibliometric Analysis, Bibliometric Indicators, Chemistry, Citation, Citation Index, Collaboration, Database, Impact, Indicators, Interdisciplinarity, Knowledge, Papers, Research, Science, Science Citation Index, University, Visibility</w:t>
      </w:r>
    </w:p>
    <w:p w:rsidR="0062580C" w:rsidRPr="00A428C3" w:rsidRDefault="0062580C" w:rsidP="0062580C">
      <w:pPr>
        <w:pStyle w:val="a0"/>
      </w:pPr>
      <w:r w:rsidRPr="00A428C3">
        <w:t>? McKechnie, L.E.F., Goodall, G.R., Lajoie-Paquette, D.</w:t>
      </w:r>
      <w:r w:rsidR="00F81221">
        <w:t xml:space="preserve"> and </w:t>
      </w:r>
      <w:r w:rsidRPr="00A428C3">
        <w:t>Julien, H. (2005), How human information behaviour researchers use each other</w:t>
      </w:r>
      <w:r w:rsidR="000352E7">
        <w:t>’</w:t>
      </w:r>
      <w:r w:rsidRPr="00A428C3">
        <w:t xml:space="preserve">s work: A basic citation analysis study. </w:t>
      </w:r>
      <w:r>
        <w:rPr>
          <w:i/>
          <w:iCs/>
        </w:rPr>
        <w:t>Information Research</w:t>
      </w:r>
      <w:r w:rsidRPr="00A428C3">
        <w:t xml:space="preserve">, </w:t>
      </w:r>
      <w:r w:rsidRPr="00A428C3">
        <w:rPr>
          <w:b/>
        </w:rPr>
        <w:t>10</w:t>
      </w:r>
      <w:r>
        <w:rPr>
          <w:rFonts w:hint="eastAsia"/>
        </w:rPr>
        <w:t xml:space="preserve"> (</w:t>
      </w:r>
      <w:r w:rsidRPr="00A428C3">
        <w:t>2</w:t>
      </w:r>
      <w:r>
        <w:rPr>
          <w:rFonts w:hint="eastAsia"/>
        </w:rPr>
        <w:t xml:space="preserve">), </w:t>
      </w:r>
      <w:r w:rsidRPr="001A3D2B">
        <w:t>Article Number:</w:t>
      </w:r>
      <w:r>
        <w:rPr>
          <w:rFonts w:hint="eastAsia"/>
          <w:kern w:val="0"/>
          <w:szCs w:val="24"/>
        </w:rPr>
        <w:t xml:space="preserve"> </w:t>
      </w:r>
      <w:r>
        <w:rPr>
          <w:rFonts w:hint="eastAsia"/>
        </w:rPr>
        <w:t>220</w:t>
      </w:r>
      <w:r w:rsidRPr="00A428C3">
        <w:t>.</w:t>
      </w:r>
    </w:p>
    <w:p w:rsidR="0062580C" w:rsidRPr="00A428C3" w:rsidRDefault="0062580C" w:rsidP="0062580C">
      <w:pPr>
        <w:pStyle w:val="a0"/>
      </w:pPr>
      <w:r w:rsidRPr="00A428C3">
        <w:t xml:space="preserve">Full Text: </w:t>
      </w:r>
      <w:hyperlink r:id="rId1456" w:history="1">
        <w:r w:rsidRPr="00B47C10">
          <w:rPr>
            <w:rStyle w:val="a5"/>
          </w:rPr>
          <w:t>2005\Inf Res10, 220.pdf</w:t>
        </w:r>
      </w:hyperlink>
    </w:p>
    <w:p w:rsidR="0062580C" w:rsidRPr="001A3D2B" w:rsidRDefault="0062580C" w:rsidP="0062580C">
      <w:pPr>
        <w:pStyle w:val="a0"/>
      </w:pPr>
      <w:r w:rsidRPr="001A3D2B">
        <w:t>Abstract: Introduction. The purpose of this study was to determine if</w:t>
      </w:r>
      <w:r w:rsidR="00F81221">
        <w:t xml:space="preserve"> and </w:t>
      </w:r>
      <w:r w:rsidRPr="001A3D2B">
        <w:t xml:space="preserve">how human information behaviour (HIB) research is used by others. Method. Using ISI Web of Knowledge, a citation analysis was conducted on 155 English-language HIB articles published from 1993 to </w:t>
      </w:r>
      <w:smartTag w:uri="urn:schemas-microsoft-com:office:smarttags" w:element="chmetcnv">
        <w:smartTagPr>
          <w:attr w:name="UnitName" w:val="in"/>
          <w:attr w:name="SourceValue" w:val="2000"/>
          <w:attr w:name="HasSpace" w:val="True"/>
          <w:attr w:name="Negative" w:val="False"/>
          <w:attr w:name="NumberType" w:val="1"/>
          <w:attr w:name="TCSC" w:val="0"/>
        </w:smartTagPr>
        <w:r w:rsidRPr="001A3D2B">
          <w:t>2000 in</w:t>
        </w:r>
      </w:smartTag>
      <w:r w:rsidRPr="001A3D2B">
        <w:t xml:space="preserve"> six prominent LIS journals. The bibliometric core of 12 papers was identified. Content analysis was performed on papers citing the core (n = 377) to determine how the papers were cited. A domain visualization was constructed of the citing relationships within the entire corpus. Analysis. Citation analysis, content analysis</w:t>
      </w:r>
      <w:r w:rsidR="00F81221">
        <w:t xml:space="preserve"> and </w:t>
      </w:r>
      <w:r w:rsidRPr="001A3D2B">
        <w:t>social network analysis were used to analyse the data. Results. HIB literature is being cited, primarily (81.5%) by LIS authors. Fields outside of LIS citing HIB articles include engineering, psychology, education</w:t>
      </w:r>
      <w:r w:rsidR="00F81221">
        <w:t xml:space="preserve"> and </w:t>
      </w:r>
      <w:r w:rsidRPr="001A3D2B">
        <w:t>medicine. Papers were cited generally (36.0%), for findings (28.5%)</w:t>
      </w:r>
      <w:r w:rsidR="00F81221">
        <w:t xml:space="preserve"> and </w:t>
      </w:r>
      <w:r w:rsidRPr="001A3D2B">
        <w:t>for theory (25.3%) with few citations for method (6.0%). The domain visualization depicted a clear core of HIB scholarship surrounded by a periphery of largely uncited literature. Conclusion. HIB literature is yet to have a significant impact on other disciplines. It appears to be a second stage discipline, marked by theoretical consistency</w:t>
      </w:r>
      <w:r w:rsidR="00F81221">
        <w:t xml:space="preserve"> and </w:t>
      </w:r>
      <w:r w:rsidRPr="001A3D2B">
        <w:t>exponential growth in publications</w:t>
      </w:r>
      <w:r w:rsidR="00F81221">
        <w:t xml:space="preserve"> and </w:t>
      </w:r>
      <w:r w:rsidRPr="001A3D2B">
        <w:t>new researchers. More attention should be paid to writing</w:t>
      </w:r>
      <w:r w:rsidR="00F81221">
        <w:t xml:space="preserve"> and </w:t>
      </w:r>
      <w:r w:rsidRPr="001A3D2B">
        <w:t>citation practices to allow HIB literature to become a rich guide to the act of doing HIB research.</w:t>
      </w:r>
    </w:p>
    <w:p w:rsidR="0062580C" w:rsidRPr="001A3D2B" w:rsidRDefault="0062580C" w:rsidP="0062580C">
      <w:pPr>
        <w:pStyle w:val="a0"/>
      </w:pPr>
      <w:r w:rsidRPr="001A3D2B">
        <w:t>Keywords: Bibliometric, Bibliometrics, Citation, Citation Analysis, Citations, History, Image Retrieval, ISI, Journals, Library, Lis, Needs, Network, Network Analysis, Patterns, Performance, Perspective, Publications, Research, Scholarship, Science Research, Seeking, Social Network Analysis, Theory</w:t>
      </w:r>
    </w:p>
    <w:p w:rsidR="0062580C" w:rsidRPr="001A3D2B" w:rsidRDefault="0062580C" w:rsidP="0062580C">
      <w:pPr>
        <w:pStyle w:val="a0"/>
      </w:pPr>
      <w:r w:rsidRPr="001A3D2B">
        <w:t>Schlögl, C. (2005), Information</w:t>
      </w:r>
      <w:r w:rsidR="00F81221">
        <w:t xml:space="preserve"> and </w:t>
      </w:r>
      <w:r w:rsidRPr="001A3D2B">
        <w:t>knowledge management: Dimensions</w:t>
      </w:r>
      <w:r w:rsidR="00F81221">
        <w:t xml:space="preserve"> and </w:t>
      </w:r>
      <w:r w:rsidRPr="001A3D2B">
        <w:t xml:space="preserve">approaches. </w:t>
      </w:r>
      <w:r>
        <w:rPr>
          <w:i/>
          <w:iCs/>
        </w:rPr>
        <w:t>Information Research</w:t>
      </w:r>
      <w:r w:rsidRPr="001A3D2B">
        <w:t xml:space="preserve">, </w:t>
      </w:r>
      <w:r w:rsidRPr="001A3D2B">
        <w:rPr>
          <w:b/>
          <w:bCs/>
        </w:rPr>
        <w:t>10</w:t>
      </w:r>
      <w:r w:rsidRPr="001A3D2B">
        <w:t xml:space="preserve"> (4), Article Number: 235.</w:t>
      </w:r>
    </w:p>
    <w:p w:rsidR="0062580C" w:rsidRPr="001A3D2B" w:rsidRDefault="0062580C" w:rsidP="0062580C">
      <w:pPr>
        <w:pStyle w:val="a0"/>
      </w:pPr>
      <w:r w:rsidRPr="001A3D2B">
        <w:t xml:space="preserve">Full Text: </w:t>
      </w:r>
      <w:hyperlink r:id="rId1457" w:history="1">
        <w:r w:rsidRPr="00D77167">
          <w:rPr>
            <w:rStyle w:val="a5"/>
          </w:rPr>
          <w:t>2005\Inf Res10, 235.pdf</w:t>
        </w:r>
      </w:hyperlink>
    </w:p>
    <w:p w:rsidR="0062580C" w:rsidRPr="001A3D2B" w:rsidRDefault="0062580C" w:rsidP="0062580C">
      <w:pPr>
        <w:pStyle w:val="a0"/>
      </w:pPr>
      <w:r w:rsidRPr="001A3D2B">
        <w:t>Abstract: Introduction. Though literature on information</w:t>
      </w:r>
      <w:r w:rsidR="00F81221">
        <w:t xml:space="preserve"> and </w:t>
      </w:r>
      <w:r w:rsidRPr="001A3D2B">
        <w:t xml:space="preserve">knowledge management is vast, there is much confusion concerning the meaning of these terms. Hence, this </w:t>
      </w:r>
      <w:r w:rsidRPr="001A3D2B">
        <w:lastRenderedPageBreak/>
        <w:t>article should give some orientation</w:t>
      </w:r>
      <w:r w:rsidR="00F81221">
        <w:t xml:space="preserve"> and </w:t>
      </w:r>
      <w:r w:rsidRPr="001A3D2B">
        <w:t>work out the main aspects of information</w:t>
      </w:r>
      <w:r w:rsidR="00F81221">
        <w:t xml:space="preserve"> and </w:t>
      </w:r>
      <w:r w:rsidRPr="001A3D2B">
        <w:t>knowledge management. Method. An author co-citation analysis, which identified the main dimensions of information management, forms the basis of the study of literature. In it, the main aspects of information management are further refined. Furthermore, it will be investigated if the concept of knowledge management adds anything to information management,</w:t>
      </w:r>
      <w:r w:rsidR="00F81221">
        <w:t xml:space="preserve"> and </w:t>
      </w:r>
      <w:r w:rsidRPr="001A3D2B">
        <w:t>if so what it is. Analysis. Data for analysis were retrieved from Science Citation Index</w:t>
      </w:r>
      <w:r w:rsidR="00F81221">
        <w:t xml:space="preserve"> and </w:t>
      </w:r>
      <w:r w:rsidRPr="001A3D2B">
        <w:t>Social Science Citation Index. Though the literature review is based on the quantitative results of the bibliometric analysis</w:t>
      </w:r>
      <w:r w:rsidR="00F81221">
        <w:t xml:space="preserve"> and </w:t>
      </w:r>
      <w:r w:rsidRPr="001A3D2B">
        <w:t>has tried to consider the most prominent publications, some degree of subjectivism cannot be excluded. Results. As a result of analysis, a distinction can be made between content</w:t>
      </w:r>
      <w:r w:rsidR="00F81221">
        <w:t xml:space="preserve"> and </w:t>
      </w:r>
      <w:r w:rsidRPr="001A3D2B">
        <w:t>technology-oriented information management approaches. According to the literature review, technology-oriented information management includes data management, information technology management</w:t>
      </w:r>
      <w:r w:rsidR="00F81221">
        <w:t xml:space="preserve"> and </w:t>
      </w:r>
      <w:r w:rsidRPr="001A3D2B">
        <w:t>strategic information technology management. The main emphasis of these approaches is the effective</w:t>
      </w:r>
      <w:r w:rsidR="00F81221">
        <w:t xml:space="preserve"> and </w:t>
      </w:r>
      <w:r w:rsidRPr="001A3D2B">
        <w:t>efficient use of information technology. In contrast, content-oriented approaches focus on information</w:t>
      </w:r>
      <w:r w:rsidR="00F81221">
        <w:t xml:space="preserve"> and </w:t>
      </w:r>
      <w:r w:rsidRPr="001A3D2B">
        <w:t>its use. They can be distinguished in records management, provision of external information, human-centered information management,</w:t>
      </w:r>
      <w:r w:rsidR="00F81221">
        <w:t xml:space="preserve"> and </w:t>
      </w:r>
      <w:r w:rsidRPr="001A3D2B">
        <w:t>information resources management. The reading of the literature on knowledge management reveals, that this term is either used synonymously for information management or for the management of work practices with the goal of improving the generation of new knowledge</w:t>
      </w:r>
      <w:r w:rsidR="00F81221">
        <w:t xml:space="preserve"> and </w:t>
      </w:r>
      <w:r w:rsidRPr="001A3D2B">
        <w:t>the sharing of existing knowledge. Conclusions This article identifies various aspects that are embraced by the terms information management</w:t>
      </w:r>
      <w:r w:rsidR="00F81221">
        <w:t xml:space="preserve"> and </w:t>
      </w:r>
      <w:r w:rsidRPr="001A3D2B">
        <w:t>knowledge management. Thus, it should contribute to more terminological clarity</w:t>
      </w:r>
      <w:r w:rsidR="00F81221">
        <w:t xml:space="preserve"> and </w:t>
      </w:r>
      <w:r w:rsidRPr="001A3D2B">
        <w:t>finally improve communication both in science</w:t>
      </w:r>
      <w:r w:rsidR="00F81221">
        <w:t xml:space="preserve"> and </w:t>
      </w:r>
      <w:r w:rsidRPr="001A3D2B">
        <w:t>in professional practice.</w:t>
      </w:r>
    </w:p>
    <w:p w:rsidR="0062580C" w:rsidRPr="001A3D2B" w:rsidRDefault="0062580C" w:rsidP="0062580C">
      <w:pPr>
        <w:pStyle w:val="a0"/>
      </w:pPr>
      <w:r w:rsidRPr="001A3D2B">
        <w:t>Keywords: Analysis, Bibliometric, Bibliometric Analysis, Communication, Competitive Advantage, Concept, Evolution, Goal, Information, Information Management, Information Technology, IRM, Knowledge, Knowledge Management, Literature Review, Made, Management, Meaning, Orientation, Performance, Practice, Professional Practice, Publications, Resource-Management, Review, Science, Science Citation Index, Systems, Technology</w:t>
      </w:r>
    </w:p>
    <w:p w:rsidR="0062580C" w:rsidRPr="001A3D2B" w:rsidRDefault="0062580C" w:rsidP="0062580C">
      <w:pPr>
        <w:pStyle w:val="a0"/>
      </w:pPr>
      <w:r w:rsidRPr="001A3D2B">
        <w:t xml:space="preserve">? </w:t>
      </w:r>
      <w:r>
        <w:rPr>
          <w:szCs w:val="19"/>
        </w:rPr>
        <w:t>de Arenas, J.L., Rodríguez, J.V., Gó</w:t>
      </w:r>
      <w:r w:rsidRPr="001A3D2B">
        <w:rPr>
          <w:szCs w:val="19"/>
        </w:rPr>
        <w:t>mez, J.A.</w:t>
      </w:r>
      <w:r w:rsidR="00F81221">
        <w:rPr>
          <w:szCs w:val="19"/>
        </w:rPr>
        <w:t xml:space="preserve"> and </w:t>
      </w:r>
      <w:r w:rsidRPr="001A3D2B">
        <w:rPr>
          <w:szCs w:val="19"/>
        </w:rPr>
        <w:t>Arenas, M.</w:t>
      </w:r>
      <w:r w:rsidRPr="001A3D2B">
        <w:t xml:space="preserve"> (2005), </w:t>
      </w:r>
      <w:r w:rsidRPr="001A3D2B">
        <w:rPr>
          <w:szCs w:val="19"/>
        </w:rPr>
        <w:t>Communication of knowledge. Skill of the university professors?</w:t>
      </w:r>
      <w:r w:rsidRPr="001A3D2B">
        <w:t xml:space="preserve"> </w:t>
      </w:r>
      <w:r>
        <w:rPr>
          <w:i/>
          <w:iCs/>
        </w:rPr>
        <w:t>Information Research</w:t>
      </w:r>
      <w:r w:rsidRPr="001A3D2B">
        <w:t xml:space="preserve">, </w:t>
      </w:r>
      <w:r w:rsidRPr="001A3D2B">
        <w:rPr>
          <w:b/>
          <w:bCs/>
        </w:rPr>
        <w:t>11</w:t>
      </w:r>
      <w:r w:rsidRPr="001A3D2B">
        <w:t xml:space="preserve"> (1), Article Number:</w:t>
      </w:r>
      <w:r w:rsidRPr="001A3D2B">
        <w:rPr>
          <w:szCs w:val="19"/>
        </w:rPr>
        <w:t xml:space="preserve"> 243</w:t>
      </w:r>
      <w:r w:rsidRPr="001A3D2B">
        <w:t>.</w:t>
      </w:r>
    </w:p>
    <w:p w:rsidR="0062580C" w:rsidRPr="001A3D2B" w:rsidRDefault="0062580C" w:rsidP="0062580C">
      <w:pPr>
        <w:pStyle w:val="a0"/>
      </w:pPr>
      <w:r w:rsidRPr="001A3D2B">
        <w:t xml:space="preserve">Full Text: </w:t>
      </w:r>
      <w:hyperlink r:id="rId1458" w:history="1">
        <w:r w:rsidRPr="00BB269D">
          <w:rPr>
            <w:rStyle w:val="a5"/>
          </w:rPr>
          <w:t>2005\Inf Res11, 243.pdf</w:t>
        </w:r>
      </w:hyperlink>
    </w:p>
    <w:p w:rsidR="0062580C" w:rsidRPr="001A3D2B" w:rsidRDefault="0062580C" w:rsidP="0062580C">
      <w:pPr>
        <w:pStyle w:val="a0"/>
      </w:pPr>
      <w:r w:rsidRPr="001A3D2B">
        <w:t>Abstract: Introduction: All fully information literate people possess a series of skills that are associated with the ability to perform research. University faculty are no exception.</w:t>
      </w:r>
    </w:p>
    <w:p w:rsidR="0062580C" w:rsidRPr="001A3D2B" w:rsidRDefault="0062580C" w:rsidP="0062580C">
      <w:pPr>
        <w:pStyle w:val="a0"/>
        <w:rPr>
          <w:szCs w:val="19"/>
        </w:rPr>
      </w:pPr>
      <w:r w:rsidRPr="001A3D2B">
        <w:rPr>
          <w:szCs w:val="19"/>
        </w:rPr>
        <w:t xml:space="preserve">Objective: In order to determine to what extent academics of the </w:t>
      </w:r>
      <w:smartTag w:uri="urn:schemas-microsoft-com:office:smarttags" w:element="place">
        <w:smartTag w:uri="urn:schemas-microsoft-com:office:smarttags" w:element="PlaceType">
          <w:r w:rsidRPr="001A3D2B">
            <w:rPr>
              <w:szCs w:val="19"/>
            </w:rPr>
            <w:t>University</w:t>
          </w:r>
        </w:smartTag>
        <w:r w:rsidRPr="001A3D2B">
          <w:rPr>
            <w:szCs w:val="19"/>
          </w:rPr>
          <w:t xml:space="preserve"> of </w:t>
        </w:r>
        <w:smartTag w:uri="urn:schemas-microsoft-com:office:smarttags" w:element="PlaceName">
          <w:r w:rsidRPr="001A3D2B">
            <w:rPr>
              <w:szCs w:val="19"/>
            </w:rPr>
            <w:t>Murcia</w:t>
          </w:r>
        </w:smartTag>
      </w:smartTag>
      <w:r w:rsidRPr="001A3D2B">
        <w:rPr>
          <w:szCs w:val="19"/>
        </w:rPr>
        <w:t xml:space="preserve"> </w:t>
      </w:r>
      <w:r w:rsidRPr="001A3D2B">
        <w:rPr>
          <w:szCs w:val="19"/>
        </w:rPr>
        <w:lastRenderedPageBreak/>
        <w:t>are fully information literate we look at their research performance measured through their published papers in mainstream journals from 1994 to 2001.</w:t>
      </w:r>
    </w:p>
    <w:p w:rsidR="0062580C" w:rsidRPr="001A3D2B" w:rsidRDefault="0062580C" w:rsidP="0062580C">
      <w:pPr>
        <w:pStyle w:val="a0"/>
        <w:rPr>
          <w:szCs w:val="19"/>
        </w:rPr>
      </w:pPr>
      <w:r w:rsidRPr="001A3D2B">
        <w:rPr>
          <w:szCs w:val="19"/>
        </w:rPr>
        <w:t xml:space="preserve">Methods: We used the three databases of the Web of Science to identify the output of the </w:t>
      </w:r>
      <w:smartTag w:uri="urn:schemas-microsoft-com:office:smarttags" w:element="place">
        <w:smartTag w:uri="urn:schemas-microsoft-com:office:smarttags" w:element="PlaceType">
          <w:r w:rsidRPr="001A3D2B">
            <w:rPr>
              <w:szCs w:val="19"/>
            </w:rPr>
            <w:t>University</w:t>
          </w:r>
        </w:smartTag>
        <w:r w:rsidRPr="001A3D2B">
          <w:rPr>
            <w:szCs w:val="19"/>
          </w:rPr>
          <w:t xml:space="preserve"> of </w:t>
        </w:r>
        <w:smartTag w:uri="urn:schemas-microsoft-com:office:smarttags" w:element="PlaceName">
          <w:r w:rsidRPr="001A3D2B">
            <w:rPr>
              <w:szCs w:val="19"/>
            </w:rPr>
            <w:t>Murcia</w:t>
          </w:r>
        </w:smartTag>
      </w:smartTag>
      <w:r w:rsidRPr="001A3D2B">
        <w:rPr>
          <w:szCs w:val="19"/>
        </w:rPr>
        <w:t xml:space="preserve"> faculty. We also used the Journal Citation Reports to assign their subject category to published papers.</w:t>
      </w:r>
    </w:p>
    <w:p w:rsidR="0062580C" w:rsidRPr="001A3D2B" w:rsidRDefault="0062580C" w:rsidP="0062580C">
      <w:pPr>
        <w:pStyle w:val="a0"/>
        <w:rPr>
          <w:szCs w:val="19"/>
        </w:rPr>
      </w:pPr>
      <w:r w:rsidRPr="001A3D2B">
        <w:rPr>
          <w:szCs w:val="19"/>
        </w:rPr>
        <w:t>Results: We identified indexed papers published in mainstream journals. Articles covered by A&amp;HCI were few, while papers indexed by SSCI remained constant over the studied period. SCI indexed 1,923 papers from 1994 to 2001; 72% of them were cited. Most papers were published in English by faculty working in centres related to the biological sciences. Disciplines that showed more activity were chemistry, biochemistry &amp; molecular biology</w:t>
      </w:r>
      <w:r w:rsidR="00F81221">
        <w:rPr>
          <w:szCs w:val="19"/>
        </w:rPr>
        <w:t xml:space="preserve"> and </w:t>
      </w:r>
      <w:r w:rsidRPr="001A3D2B">
        <w:rPr>
          <w:szCs w:val="19"/>
        </w:rPr>
        <w:t>neurosciences.</w:t>
      </w:r>
    </w:p>
    <w:p w:rsidR="0062580C" w:rsidRPr="001A3D2B" w:rsidRDefault="0062580C" w:rsidP="0062580C">
      <w:pPr>
        <w:pStyle w:val="a0"/>
      </w:pPr>
      <w:r w:rsidRPr="001A3D2B">
        <w:rPr>
          <w:szCs w:val="19"/>
        </w:rPr>
        <w:t xml:space="preserve">Conclusions: We were aware that the databases we used are criticised by their biases. However, we gather evidence that academics of the </w:t>
      </w:r>
      <w:smartTag w:uri="urn:schemas-microsoft-com:office:smarttags" w:element="place">
        <w:smartTag w:uri="urn:schemas-microsoft-com:office:smarttags" w:element="PlaceType">
          <w:r w:rsidRPr="001A3D2B">
            <w:rPr>
              <w:szCs w:val="19"/>
            </w:rPr>
            <w:t>University</w:t>
          </w:r>
        </w:smartTag>
        <w:r w:rsidRPr="001A3D2B">
          <w:rPr>
            <w:szCs w:val="19"/>
          </w:rPr>
          <w:t xml:space="preserve"> of </w:t>
        </w:r>
        <w:smartTag w:uri="urn:schemas-microsoft-com:office:smarttags" w:element="PlaceName">
          <w:r w:rsidRPr="001A3D2B">
            <w:rPr>
              <w:szCs w:val="19"/>
            </w:rPr>
            <w:t>Murcia</w:t>
          </w:r>
        </w:smartTag>
      </w:smartTag>
      <w:r w:rsidRPr="001A3D2B">
        <w:rPr>
          <w:szCs w:val="19"/>
        </w:rPr>
        <w:t xml:space="preserve"> carry out research mainly in the hard sciences. Also, that academics are information literate: their output is published in mainstream journals, i.e. they have overcome the barriers of knowledge generation</w:t>
      </w:r>
      <w:r w:rsidR="00F81221">
        <w:rPr>
          <w:szCs w:val="19"/>
        </w:rPr>
        <w:t xml:space="preserve"> and </w:t>
      </w:r>
      <w:r w:rsidRPr="001A3D2B">
        <w:rPr>
          <w:szCs w:val="19"/>
        </w:rPr>
        <w:t>science communication.</w:t>
      </w:r>
    </w:p>
    <w:p w:rsidR="0062580C" w:rsidRPr="001A3D2B" w:rsidRDefault="0062580C" w:rsidP="0062580C">
      <w:pPr>
        <w:pStyle w:val="a0"/>
      </w:pPr>
      <w:bookmarkStart w:id="1027" w:name="abs"/>
      <w:r w:rsidRPr="001A3D2B">
        <w:t>? Arroyo-Alonso, A., Pulgarín, A.</w:t>
      </w:r>
      <w:r w:rsidR="00F81221">
        <w:t xml:space="preserve"> and </w:t>
      </w:r>
      <w:r w:rsidRPr="001A3D2B">
        <w:t xml:space="preserve">Gil-Leiva, </w:t>
      </w:r>
      <w:smartTag w:uri="urn:schemas-microsoft-com:office:smarttags" w:element="place">
        <w:r w:rsidRPr="001A3D2B">
          <w:t>I.</w:t>
        </w:r>
      </w:smartTag>
      <w:r w:rsidRPr="001A3D2B">
        <w:t xml:space="preserve"> (2005), Scientometric study of the scientific collaboration in the Polytechnic University of Valencia, Spain. </w:t>
      </w:r>
      <w:r>
        <w:rPr>
          <w:i/>
          <w:iCs/>
        </w:rPr>
        <w:t>Information Research</w:t>
      </w:r>
      <w:r w:rsidRPr="001A3D2B">
        <w:t xml:space="preserve">, </w:t>
      </w:r>
      <w:r w:rsidRPr="001A3D2B">
        <w:rPr>
          <w:b/>
        </w:rPr>
        <w:t>11</w:t>
      </w:r>
      <w:r w:rsidRPr="001A3D2B">
        <w:t xml:space="preserve"> (1), Article Number: 245.</w:t>
      </w:r>
    </w:p>
    <w:p w:rsidR="0062580C" w:rsidRPr="001A3D2B" w:rsidRDefault="0062580C" w:rsidP="0062580C">
      <w:pPr>
        <w:pStyle w:val="a0"/>
      </w:pPr>
      <w:r w:rsidRPr="001A3D2B">
        <w:t xml:space="preserve">Full Text: </w:t>
      </w:r>
      <w:hyperlink r:id="rId1459" w:history="1">
        <w:r w:rsidRPr="00BB269D">
          <w:rPr>
            <w:rStyle w:val="a5"/>
          </w:rPr>
          <w:t>2005\Inf Res11, 245.pdf</w:t>
        </w:r>
      </w:hyperlink>
    </w:p>
    <w:p w:rsidR="0062580C" w:rsidRPr="001A3D2B" w:rsidRDefault="0062580C" w:rsidP="0062580C">
      <w:pPr>
        <w:pStyle w:val="a0"/>
      </w:pPr>
      <w:r w:rsidRPr="001A3D2B">
        <w:t>Abstract: Introduction. The paper considers the characteristics of the scientific collaboration in the Polytechnic University of Valencia (UPV) in order to identify the degree of cooperation among the authors, organizations</w:t>
      </w:r>
      <w:r w:rsidR="00F81221">
        <w:t xml:space="preserve"> and </w:t>
      </w:r>
      <w:r w:rsidRPr="001A3D2B">
        <w:t>countries that collaborate with UPV.</w:t>
      </w:r>
    </w:p>
    <w:p w:rsidR="0062580C" w:rsidRPr="001A3D2B" w:rsidRDefault="0062580C" w:rsidP="0062580C">
      <w:pPr>
        <w:pStyle w:val="a0"/>
      </w:pPr>
      <w:r w:rsidRPr="001A3D2B">
        <w:t>Method. A scientometric study of papers submitted to journals</w:t>
      </w:r>
      <w:r w:rsidR="00F81221">
        <w:t xml:space="preserve"> and </w:t>
      </w:r>
      <w:r w:rsidRPr="001A3D2B">
        <w:t>conferences by UPV between 1973</w:t>
      </w:r>
      <w:r w:rsidR="00F81221">
        <w:t xml:space="preserve"> and </w:t>
      </w:r>
      <w:r w:rsidRPr="001A3D2B">
        <w:t>2001 was carried out. The study reviewed a total of 213 national</w:t>
      </w:r>
      <w:r w:rsidR="00F81221">
        <w:t xml:space="preserve"> and </w:t>
      </w:r>
      <w:r w:rsidRPr="001A3D2B">
        <w:t>international data bases, 5464 journal papers</w:t>
      </w:r>
      <w:r w:rsidR="00F81221">
        <w:t xml:space="preserve"> and </w:t>
      </w:r>
      <w:r w:rsidRPr="001A3D2B">
        <w:t>1111 conference papers.</w:t>
      </w:r>
    </w:p>
    <w:p w:rsidR="0062580C" w:rsidRPr="001A3D2B" w:rsidRDefault="0062580C" w:rsidP="0062580C">
      <w:pPr>
        <w:pStyle w:val="a0"/>
      </w:pPr>
      <w:r w:rsidRPr="001A3D2B">
        <w:t xml:space="preserve">Analysis. A quantitative analysis of the data collected, following the organization of the references with the program </w:t>
      </w:r>
      <w:r w:rsidR="000352E7">
        <w:t>‘</w:t>
      </w:r>
      <w:r w:rsidRPr="001A3D2B">
        <w:t>Reference Manager</w:t>
      </w:r>
      <w:r w:rsidR="000352E7">
        <w:t>’</w:t>
      </w:r>
      <w:r w:rsidRPr="001A3D2B">
        <w:t>.</w:t>
      </w:r>
    </w:p>
    <w:p w:rsidR="0062580C" w:rsidRPr="001A3D2B" w:rsidRDefault="0062580C" w:rsidP="0062580C">
      <w:pPr>
        <w:pStyle w:val="a0"/>
      </w:pPr>
      <w:r w:rsidRPr="001A3D2B">
        <w:t>Results. The results show a high percentage of scientific collaboration of UPV. They indicate that the scientific collaboration</w:t>
      </w:r>
      <w:r w:rsidR="00F81221">
        <w:t xml:space="preserve"> and </w:t>
      </w:r>
      <w:r w:rsidRPr="001A3D2B">
        <w:t>visibility are directly related. Similar results are obtained in the case of the international cooperation.</w:t>
      </w:r>
    </w:p>
    <w:p w:rsidR="0062580C" w:rsidRPr="001A3D2B" w:rsidRDefault="0062580C" w:rsidP="0062580C">
      <w:pPr>
        <w:pStyle w:val="a0"/>
      </w:pPr>
      <w:r w:rsidRPr="001A3D2B">
        <w:t>Conclusions. The UPV displays a rate of collaboration greater than 86%, in general,</w:t>
      </w:r>
      <w:r w:rsidR="00F81221">
        <w:t xml:space="preserve"> and </w:t>
      </w:r>
      <w:r w:rsidRPr="001A3D2B">
        <w:t>40%internationally 40%. It has collaborated with 576 institutions in 51 different countries.</w:t>
      </w:r>
    </w:p>
    <w:bookmarkEnd w:id="1027"/>
    <w:p w:rsidR="0062580C" w:rsidRPr="001A3D2B" w:rsidRDefault="0062580C" w:rsidP="0062580C">
      <w:pPr>
        <w:pStyle w:val="a0"/>
      </w:pPr>
      <w:r w:rsidRPr="001A3D2B">
        <w:t>Keywords: Citation, Co-Authorship, Cooperation, Multiple Authorship, Patterns, Productivity, Science</w:t>
      </w:r>
    </w:p>
    <w:p w:rsidR="0062580C" w:rsidRPr="001A3D2B" w:rsidRDefault="0062580C" w:rsidP="0062580C">
      <w:pPr>
        <w:pStyle w:val="a0"/>
      </w:pPr>
      <w:r w:rsidRPr="001A3D2B">
        <w:t>? Oppenheim, C.</w:t>
      </w:r>
      <w:r w:rsidR="00F81221">
        <w:t xml:space="preserve"> and </w:t>
      </w:r>
      <w:r w:rsidRPr="001A3D2B">
        <w:t>Summers, M.A.C. (2008), Citation counts</w:t>
      </w:r>
      <w:r w:rsidR="00F81221">
        <w:t xml:space="preserve"> and </w:t>
      </w:r>
      <w:r w:rsidRPr="001A3D2B">
        <w:t xml:space="preserve">the Research Assessment Exercise, part VI: Unit of assessment 67 (music). </w:t>
      </w:r>
      <w:r w:rsidRPr="00BB269D">
        <w:rPr>
          <w:i/>
        </w:rPr>
        <w:t>Information Research</w:t>
      </w:r>
      <w:r w:rsidRPr="001A3D2B">
        <w:t xml:space="preserve">, </w:t>
      </w:r>
      <w:r w:rsidRPr="001A3D2B">
        <w:rPr>
          <w:b/>
        </w:rPr>
        <w:lastRenderedPageBreak/>
        <w:t>13</w:t>
      </w:r>
      <w:r w:rsidRPr="001A3D2B">
        <w:t xml:space="preserve"> (2), Article Number: 342.</w:t>
      </w:r>
    </w:p>
    <w:p w:rsidR="0062580C" w:rsidRPr="001A3D2B" w:rsidRDefault="0062580C" w:rsidP="0062580C">
      <w:pPr>
        <w:pStyle w:val="a0"/>
      </w:pPr>
      <w:r>
        <w:t xml:space="preserve">Full Text: </w:t>
      </w:r>
      <w:hyperlink r:id="rId1460" w:history="1">
        <w:r w:rsidRPr="00BB269D">
          <w:rPr>
            <w:rStyle w:val="a5"/>
          </w:rPr>
          <w:t>2008\Inf Res13, 342.pdf</w:t>
        </w:r>
      </w:hyperlink>
    </w:p>
    <w:p w:rsidR="0062580C" w:rsidRPr="001A3D2B" w:rsidRDefault="0062580C" w:rsidP="0062580C">
      <w:pPr>
        <w:pStyle w:val="a0"/>
      </w:pPr>
      <w:r w:rsidRPr="001A3D2B">
        <w:t>Abstract: Introduction. This study aimed to explore research assessment within the field of music and, specifically, to investigate whether citation counting could be used to replace or inform the peer review system currently in use in the UK. Method. A citation analysis of academics submitted for peer review in Unit of Assessment 67 in the 2001 Research Assessment Exercise was performed using the Arts</w:t>
      </w:r>
      <w:r w:rsidR="00F81221">
        <w:t xml:space="preserve"> and </w:t>
      </w:r>
      <w:r w:rsidRPr="001A3D2B">
        <w:t>Humanities Citation Index</w:t>
      </w:r>
      <w:r w:rsidR="00F81221">
        <w:t xml:space="preserve"> and </w:t>
      </w:r>
      <w:r w:rsidRPr="001A3D2B">
        <w:t>checked for correlations with the Assessment scores. A Spearman rank order correlation coefficient test was used to assess the significance of correlations between citations</w:t>
      </w:r>
      <w:r w:rsidR="00F81221">
        <w:t xml:space="preserve"> and </w:t>
      </w:r>
      <w:r w:rsidRPr="001A3D2B">
        <w:t>scores. Results. At a departmental level, citation counts correlated strongly with scores awarded by the Assessment Exercise. A weaker correlation was found between scores</w:t>
      </w:r>
      <w:r w:rsidR="00F81221">
        <w:t xml:space="preserve"> and </w:t>
      </w:r>
      <w:r w:rsidRPr="001A3D2B">
        <w:t>individual counts. The correlations were significant at the 0.01% level. Types of submission were analysed</w:t>
      </w:r>
      <w:r w:rsidR="00F81221">
        <w:t xml:space="preserve"> and </w:t>
      </w:r>
      <w:r w:rsidRPr="001A3D2B">
        <w:t>trends were found within the author group. However, the Arts</w:t>
      </w:r>
      <w:r w:rsidR="00F81221">
        <w:t xml:space="preserve"> and </w:t>
      </w:r>
      <w:r w:rsidRPr="001A3D2B">
        <w:t>Humanities Citation Index was found to be unrepresentative of music research activity in UK universities due to its choice of source material. Conclusion. The Arts</w:t>
      </w:r>
      <w:r w:rsidR="00F81221">
        <w:t xml:space="preserve"> and </w:t>
      </w:r>
      <w:r w:rsidRPr="001A3D2B">
        <w:t>Humanities Citation Index alone is not a suitable data source for citation analysis in the field of music. However, if an alternative data source could be found, there is potential for the use of citation analysis in research assessment in music.</w:t>
      </w:r>
    </w:p>
    <w:p w:rsidR="0062580C" w:rsidRPr="001A3D2B" w:rsidRDefault="0062580C" w:rsidP="0062580C">
      <w:pPr>
        <w:pStyle w:val="a0"/>
      </w:pPr>
      <w:r w:rsidRPr="001A3D2B">
        <w:t>Keywords: Alternative, Analysis, Archaeology, Arts</w:t>
      </w:r>
      <w:r w:rsidR="00F81221">
        <w:t xml:space="preserve"> and </w:t>
      </w:r>
      <w:r w:rsidRPr="001A3D2B">
        <w:t>Humanities Citation Index, Assessment, Authors, Bibliometric Methods, Choice, Citation, Citation Analysis, Citation Counts, Citations, Correlation, Correlation Coefficient, Correlations, Data, Field, Library, Peer Review, Peer-Review, Potential, Rank, Rankings, Ratings, Research, Research Assessment, Review, Significance, Source, Trends, UK, Universities</w:t>
      </w:r>
    </w:p>
    <w:p w:rsidR="0062580C" w:rsidRPr="001A3D2B" w:rsidRDefault="0062580C" w:rsidP="0062580C">
      <w:pPr>
        <w:pStyle w:val="a0"/>
        <w:rPr>
          <w:kern w:val="0"/>
        </w:rPr>
      </w:pPr>
      <w:r w:rsidRPr="001A3D2B">
        <w:rPr>
          <w:kern w:val="0"/>
        </w:rPr>
        <w:t>? Jarneving, B. (2009), The publication activity of Region Vastra Gotaland: A bibliometric study of an administrative</w:t>
      </w:r>
      <w:r w:rsidR="00F81221">
        <w:rPr>
          <w:kern w:val="0"/>
        </w:rPr>
        <w:t xml:space="preserve"> and </w:t>
      </w:r>
      <w:r w:rsidRPr="001A3D2B">
        <w:rPr>
          <w:kern w:val="0"/>
        </w:rPr>
        <w:t xml:space="preserve">political Swedish region during the period 1998-2006. </w:t>
      </w:r>
      <w:r>
        <w:rPr>
          <w:i/>
          <w:iCs/>
          <w:kern w:val="0"/>
        </w:rPr>
        <w:t>Information Research</w:t>
      </w:r>
      <w:r w:rsidRPr="001A3D2B">
        <w:rPr>
          <w:kern w:val="0"/>
        </w:rPr>
        <w:t xml:space="preserve">, </w:t>
      </w:r>
      <w:r w:rsidRPr="001A3D2B">
        <w:rPr>
          <w:b/>
          <w:bCs/>
          <w:kern w:val="0"/>
        </w:rPr>
        <w:t>14</w:t>
      </w:r>
      <w:r w:rsidRPr="001A3D2B">
        <w:rPr>
          <w:kern w:val="0"/>
        </w:rPr>
        <w:t xml:space="preserve"> (2), </w:t>
      </w:r>
      <w:r w:rsidRPr="001A3D2B">
        <w:t>Article Number: 397.</w:t>
      </w:r>
    </w:p>
    <w:p w:rsidR="0062580C" w:rsidRPr="001A3D2B" w:rsidRDefault="0062580C" w:rsidP="0062580C">
      <w:pPr>
        <w:pStyle w:val="a0"/>
      </w:pPr>
      <w:r>
        <w:t>Full Text:</w:t>
      </w:r>
      <w:r>
        <w:rPr>
          <w:rFonts w:hint="eastAsia"/>
        </w:rPr>
        <w:t xml:space="preserve"> </w:t>
      </w:r>
      <w:hyperlink r:id="rId1461" w:history="1">
        <w:r w:rsidRPr="00BB269D">
          <w:rPr>
            <w:rStyle w:val="a5"/>
          </w:rPr>
          <w:t>2009\Inf Res14, 397.pdf</w:t>
        </w:r>
      </w:hyperlink>
    </w:p>
    <w:p w:rsidR="0062580C" w:rsidRPr="001A3D2B" w:rsidRDefault="0062580C" w:rsidP="0062580C">
      <w:pPr>
        <w:pStyle w:val="a0"/>
        <w:rPr>
          <w:kern w:val="0"/>
        </w:rPr>
      </w:pPr>
      <w:r w:rsidRPr="001A3D2B">
        <w:rPr>
          <w:kern w:val="0"/>
        </w:rPr>
        <w:t>Abstract: Introduction. A descriptive bibliometric study on a sub-national level with the aim to map a Swedish region</w:t>
      </w:r>
      <w:r w:rsidR="000352E7">
        <w:rPr>
          <w:kern w:val="0"/>
        </w:rPr>
        <w:t>’</w:t>
      </w:r>
      <w:r w:rsidRPr="001A3D2B">
        <w:rPr>
          <w:kern w:val="0"/>
        </w:rPr>
        <w:t>s visibility</w:t>
      </w:r>
      <w:r w:rsidR="00F81221">
        <w:rPr>
          <w:kern w:val="0"/>
        </w:rPr>
        <w:t xml:space="preserve"> and </w:t>
      </w:r>
      <w:r w:rsidRPr="001A3D2B">
        <w:rPr>
          <w:kern w:val="0"/>
        </w:rPr>
        <w:t>research collaboration during the observation period 1998-2006 was conducted. Method. Indicators</w:t>
      </w:r>
      <w:r w:rsidR="00F81221">
        <w:rPr>
          <w:kern w:val="0"/>
        </w:rPr>
        <w:t xml:space="preserve"> and </w:t>
      </w:r>
      <w:r w:rsidRPr="001A3D2B">
        <w:rPr>
          <w:kern w:val="0"/>
        </w:rPr>
        <w:t>measures of research performance were constructed on basis of national standards. Results. Results show that the citation</w:t>
      </w:r>
      <w:r w:rsidR="00F81221">
        <w:rPr>
          <w:kern w:val="0"/>
        </w:rPr>
        <w:t xml:space="preserve"> and </w:t>
      </w:r>
      <w:r w:rsidRPr="001A3D2B">
        <w:rPr>
          <w:kern w:val="0"/>
        </w:rPr>
        <w:t>publication patterns basically mirrored the national science</w:t>
      </w:r>
      <w:r w:rsidR="00F81221">
        <w:rPr>
          <w:kern w:val="0"/>
        </w:rPr>
        <w:t xml:space="preserve"> and </w:t>
      </w:r>
      <w:r w:rsidRPr="001A3D2B">
        <w:rPr>
          <w:kern w:val="0"/>
        </w:rPr>
        <w:t>technology system, though some deviations were observed. The more influential science</w:t>
      </w:r>
      <w:r w:rsidR="00F81221">
        <w:rPr>
          <w:kern w:val="0"/>
        </w:rPr>
        <w:t xml:space="preserve"> and </w:t>
      </w:r>
      <w:r w:rsidRPr="001A3D2B">
        <w:rPr>
          <w:kern w:val="0"/>
        </w:rPr>
        <w:t>technology fields were identified along with their more active regional producers of published research. A publication profile of the region was generated as well as a mapping of the balance between productivity</w:t>
      </w:r>
      <w:r w:rsidR="00F81221">
        <w:rPr>
          <w:kern w:val="0"/>
        </w:rPr>
        <w:t xml:space="preserve"> and </w:t>
      </w:r>
      <w:r w:rsidRPr="001A3D2B">
        <w:rPr>
          <w:kern w:val="0"/>
        </w:rPr>
        <w:t>citation impact. Applying a research typology, different types of joint publishing</w:t>
      </w:r>
      <w:r w:rsidR="00F81221">
        <w:rPr>
          <w:kern w:val="0"/>
        </w:rPr>
        <w:t xml:space="preserve"> and </w:t>
      </w:r>
      <w:r w:rsidRPr="001A3D2B">
        <w:rPr>
          <w:kern w:val="0"/>
        </w:rPr>
        <w:t xml:space="preserve">their </w:t>
      </w:r>
      <w:r w:rsidRPr="001A3D2B">
        <w:rPr>
          <w:kern w:val="0"/>
        </w:rPr>
        <w:lastRenderedPageBreak/>
        <w:t>relations to research areas were explored. Conclusions. The results are primarily of interest for local research policy but also of interest for a wider audience as a suggested method approach for similar regional assessment tasks.</w:t>
      </w:r>
    </w:p>
    <w:p w:rsidR="0062580C" w:rsidRPr="001A3D2B" w:rsidRDefault="0062580C" w:rsidP="0062580C">
      <w:pPr>
        <w:pStyle w:val="a0"/>
        <w:rPr>
          <w:kern w:val="0"/>
        </w:rPr>
      </w:pPr>
      <w:r w:rsidRPr="001A3D2B">
        <w:rPr>
          <w:kern w:val="0"/>
        </w:rPr>
        <w:t>Keywords: Assessment, Bibliometric Study, Collaboration, Impact, Indicators, Output, Policy, Research, Research Areas, Science, Technology, Visibility</w:t>
      </w:r>
    </w:p>
    <w:p w:rsidR="0062580C" w:rsidRPr="001A3D2B" w:rsidRDefault="0062580C" w:rsidP="0062580C">
      <w:pPr>
        <w:pStyle w:val="a0"/>
      </w:pPr>
      <w:r w:rsidRPr="001A3D2B">
        <w:rPr>
          <w:kern w:val="0"/>
        </w:rPr>
        <w:t>? Ardanuy, J., Urbano, C.</w:t>
      </w:r>
      <w:r w:rsidR="00F81221">
        <w:rPr>
          <w:kern w:val="0"/>
        </w:rPr>
        <w:t xml:space="preserve"> and </w:t>
      </w:r>
      <w:r w:rsidRPr="001A3D2B">
        <w:rPr>
          <w:kern w:val="0"/>
        </w:rPr>
        <w:t>Quintana, L. (2009), The evolution of recent research on Catalan literature through the production of PhD theses: A bibliometric</w:t>
      </w:r>
      <w:r w:rsidR="00F81221">
        <w:rPr>
          <w:kern w:val="0"/>
        </w:rPr>
        <w:t xml:space="preserve"> and </w:t>
      </w:r>
      <w:r w:rsidRPr="001A3D2B">
        <w:rPr>
          <w:kern w:val="0"/>
        </w:rPr>
        <w:t xml:space="preserve">social network analysis. </w:t>
      </w:r>
      <w:r>
        <w:rPr>
          <w:i/>
          <w:iCs/>
          <w:kern w:val="0"/>
        </w:rPr>
        <w:t>Information Research</w:t>
      </w:r>
      <w:r w:rsidRPr="001A3D2B">
        <w:rPr>
          <w:kern w:val="0"/>
        </w:rPr>
        <w:t xml:space="preserve">, </w:t>
      </w:r>
      <w:r w:rsidRPr="001A3D2B">
        <w:rPr>
          <w:b/>
          <w:bCs/>
          <w:kern w:val="0"/>
        </w:rPr>
        <w:t>14</w:t>
      </w:r>
      <w:r w:rsidRPr="001A3D2B">
        <w:rPr>
          <w:kern w:val="0"/>
        </w:rPr>
        <w:t xml:space="preserve"> (2), </w:t>
      </w:r>
      <w:r w:rsidRPr="001A3D2B">
        <w:t>Article Number: 404.</w:t>
      </w:r>
    </w:p>
    <w:p w:rsidR="0062580C" w:rsidRPr="001A3D2B" w:rsidRDefault="0062580C" w:rsidP="0062580C">
      <w:pPr>
        <w:pStyle w:val="a0"/>
      </w:pPr>
      <w:r>
        <w:t>Full Text:</w:t>
      </w:r>
      <w:r>
        <w:rPr>
          <w:rFonts w:hint="eastAsia"/>
        </w:rPr>
        <w:t xml:space="preserve"> </w:t>
      </w:r>
      <w:hyperlink r:id="rId1462" w:history="1">
        <w:r w:rsidRPr="00BB269D">
          <w:rPr>
            <w:rStyle w:val="a5"/>
          </w:rPr>
          <w:t>2009\Inf Res14, 404.pdf</w:t>
        </w:r>
      </w:hyperlink>
    </w:p>
    <w:p w:rsidR="0062580C" w:rsidRPr="001A3D2B" w:rsidRDefault="0062580C" w:rsidP="0062580C">
      <w:pPr>
        <w:pStyle w:val="a0"/>
        <w:rPr>
          <w:kern w:val="0"/>
        </w:rPr>
      </w:pPr>
      <w:r w:rsidRPr="001A3D2B">
        <w:rPr>
          <w:kern w:val="0"/>
        </w:rPr>
        <w:t>Abstract: Introduction. This paper studies the situation of research on Catalan literature between 1976</w:t>
      </w:r>
      <w:r w:rsidR="00F81221">
        <w:rPr>
          <w:kern w:val="0"/>
        </w:rPr>
        <w:t xml:space="preserve"> and </w:t>
      </w:r>
      <w:r w:rsidRPr="001A3D2B">
        <w:rPr>
          <w:kern w:val="0"/>
        </w:rPr>
        <w:t>2003 by carrying out a bibliometric</w:t>
      </w:r>
      <w:r w:rsidR="00F81221">
        <w:rPr>
          <w:kern w:val="0"/>
        </w:rPr>
        <w:t xml:space="preserve"> and </w:t>
      </w:r>
      <w:r w:rsidRPr="001A3D2B">
        <w:rPr>
          <w:kern w:val="0"/>
        </w:rPr>
        <w:t>social network analysis of PhD theses defended in Spain. It has a dual aim: to present interesting results for the discipline</w:t>
      </w:r>
      <w:r w:rsidR="00F81221">
        <w:rPr>
          <w:kern w:val="0"/>
        </w:rPr>
        <w:t xml:space="preserve"> and </w:t>
      </w:r>
      <w:r w:rsidRPr="001A3D2B">
        <w:rPr>
          <w:kern w:val="0"/>
        </w:rPr>
        <w:t>to demonstrate the methodological efficacy of scientometric tools in the humanities, a field in which they are often neglected due to the difficulty of gathering data. Method. The analysis was performed on 151 records obtained from the TESEO database of PhD theses. The quantitative estimates include the use of the UCINET</w:t>
      </w:r>
      <w:r w:rsidR="00F81221">
        <w:rPr>
          <w:kern w:val="0"/>
        </w:rPr>
        <w:t xml:space="preserve"> and </w:t>
      </w:r>
      <w:r w:rsidRPr="001A3D2B">
        <w:rPr>
          <w:kern w:val="0"/>
        </w:rPr>
        <w:t>Pajek software packages. Authority control was performed on the records. Analysis. Descriptive statistics were used to describe the sample</w:t>
      </w:r>
      <w:r w:rsidR="00F81221">
        <w:rPr>
          <w:kern w:val="0"/>
        </w:rPr>
        <w:t xml:space="preserve"> and </w:t>
      </w:r>
      <w:r w:rsidRPr="001A3D2B">
        <w:rPr>
          <w:kern w:val="0"/>
        </w:rPr>
        <w:t>the distribution of responses to each question. Sex differences on key questions were analysed using the Chi-squared test. Results. The value of the figures obtained is demonstrated. The information obtained on the topic</w:t>
      </w:r>
      <w:r w:rsidR="00F81221">
        <w:rPr>
          <w:kern w:val="0"/>
        </w:rPr>
        <w:t xml:space="preserve"> and </w:t>
      </w:r>
      <w:r w:rsidRPr="001A3D2B">
        <w:rPr>
          <w:kern w:val="0"/>
        </w:rPr>
        <w:t>the periods studied in the theses,</w:t>
      </w:r>
      <w:r w:rsidR="00F81221">
        <w:rPr>
          <w:kern w:val="0"/>
        </w:rPr>
        <w:t xml:space="preserve"> and </w:t>
      </w:r>
      <w:r w:rsidRPr="001A3D2B">
        <w:rPr>
          <w:kern w:val="0"/>
        </w:rPr>
        <w:t>on the actors involved (doctoral students, thesis supervisors</w:t>
      </w:r>
      <w:r w:rsidR="00F81221">
        <w:rPr>
          <w:kern w:val="0"/>
        </w:rPr>
        <w:t xml:space="preserve"> and </w:t>
      </w:r>
      <w:r w:rsidRPr="001A3D2B">
        <w:rPr>
          <w:kern w:val="0"/>
        </w:rPr>
        <w:t>members of defence committees), provide important insights into the mechanisms of humanities disciplines. The main research tendencies of Catalan literature are identified. It is observed that the composition of members of the thesis defence committees follows Lotka</w:t>
      </w:r>
      <w:r w:rsidR="000352E7">
        <w:rPr>
          <w:kern w:val="0"/>
        </w:rPr>
        <w:t>’</w:t>
      </w:r>
      <w:r w:rsidRPr="001A3D2B">
        <w:rPr>
          <w:kern w:val="0"/>
        </w:rPr>
        <w:t>s Law. Conclusions. Bibliometric analysis</w:t>
      </w:r>
      <w:r w:rsidR="00F81221">
        <w:rPr>
          <w:kern w:val="0"/>
        </w:rPr>
        <w:t xml:space="preserve"> and </w:t>
      </w:r>
      <w:r w:rsidRPr="001A3D2B">
        <w:rPr>
          <w:kern w:val="0"/>
        </w:rPr>
        <w:t>social network analysis may be especially useful in the humanities</w:t>
      </w:r>
      <w:r w:rsidR="00F81221">
        <w:rPr>
          <w:kern w:val="0"/>
        </w:rPr>
        <w:t xml:space="preserve"> and </w:t>
      </w:r>
      <w:r w:rsidRPr="001A3D2B">
        <w:rPr>
          <w:kern w:val="0"/>
        </w:rPr>
        <w:t>in other fields which are lacking in scientometric data in comparison with the experimental sciences.</w:t>
      </w:r>
    </w:p>
    <w:p w:rsidR="0062580C" w:rsidRPr="001A3D2B" w:rsidRDefault="0062580C" w:rsidP="0062580C">
      <w:pPr>
        <w:pStyle w:val="a0"/>
        <w:rPr>
          <w:kern w:val="0"/>
        </w:rPr>
      </w:pPr>
      <w:r w:rsidRPr="001A3D2B">
        <w:rPr>
          <w:kern w:val="0"/>
        </w:rPr>
        <w:t>Keywords: Authors, Betweenness, Bibliometric Analysis, Centrality, Graphs, Research, Science, Spain, Statistics</w:t>
      </w:r>
    </w:p>
    <w:p w:rsidR="0062580C" w:rsidRPr="001A3D2B" w:rsidRDefault="0062580C" w:rsidP="0062580C">
      <w:pPr>
        <w:pStyle w:val="a0"/>
        <w:rPr>
          <w:kern w:val="0"/>
        </w:rPr>
      </w:pPr>
      <w:r>
        <w:rPr>
          <w:kern w:val="0"/>
        </w:rPr>
        <w:t>? Orduña-Malea, E.</w:t>
      </w:r>
      <w:r w:rsidR="00F81221">
        <w:rPr>
          <w:kern w:val="0"/>
        </w:rPr>
        <w:t xml:space="preserve"> and </w:t>
      </w:r>
      <w:r>
        <w:rPr>
          <w:kern w:val="0"/>
        </w:rPr>
        <w:t>Ontalba-Ruipé</w:t>
      </w:r>
      <w:r w:rsidRPr="001A3D2B">
        <w:rPr>
          <w:kern w:val="0"/>
        </w:rPr>
        <w:t xml:space="preserve">rez, J.A. (2009), Proposal for metric indicators for social news solicitors: Analysis of the Spanish digital press in Meneame. </w:t>
      </w:r>
      <w:r>
        <w:rPr>
          <w:i/>
          <w:iCs/>
          <w:kern w:val="0"/>
        </w:rPr>
        <w:t>Information Research</w:t>
      </w:r>
      <w:r w:rsidRPr="001A3D2B">
        <w:rPr>
          <w:kern w:val="0"/>
        </w:rPr>
        <w:t xml:space="preserve">, </w:t>
      </w:r>
      <w:r w:rsidRPr="001A3D2B">
        <w:rPr>
          <w:b/>
          <w:bCs/>
          <w:kern w:val="0"/>
        </w:rPr>
        <w:t>14</w:t>
      </w:r>
      <w:r w:rsidRPr="001A3D2B">
        <w:rPr>
          <w:kern w:val="0"/>
        </w:rPr>
        <w:t xml:space="preserve"> (3), </w:t>
      </w:r>
      <w:r w:rsidRPr="001A3D2B">
        <w:t>Article Number: 406</w:t>
      </w:r>
      <w:r w:rsidRPr="001A3D2B">
        <w:rPr>
          <w:kern w:val="0"/>
        </w:rPr>
        <w:t>.</w:t>
      </w:r>
    </w:p>
    <w:p w:rsidR="0062580C" w:rsidRPr="001A3D2B" w:rsidRDefault="0062580C" w:rsidP="0062580C">
      <w:pPr>
        <w:pStyle w:val="a0"/>
      </w:pPr>
      <w:r>
        <w:t>Full Text:</w:t>
      </w:r>
      <w:r>
        <w:rPr>
          <w:rFonts w:hint="eastAsia"/>
        </w:rPr>
        <w:t xml:space="preserve"> </w:t>
      </w:r>
      <w:hyperlink r:id="rId1463" w:history="1">
        <w:r w:rsidRPr="009A309D">
          <w:rPr>
            <w:rStyle w:val="a5"/>
          </w:rPr>
          <w:t>2009\Inf Res14, 406.pdf</w:t>
        </w:r>
      </w:hyperlink>
    </w:p>
    <w:p w:rsidR="0062580C" w:rsidRPr="001A3D2B" w:rsidRDefault="0062580C" w:rsidP="0062580C">
      <w:pPr>
        <w:pStyle w:val="a0"/>
        <w:rPr>
          <w:kern w:val="0"/>
        </w:rPr>
      </w:pPr>
      <w:r w:rsidRPr="001A3D2B">
        <w:rPr>
          <w:kern w:val="0"/>
        </w:rPr>
        <w:t>Abstract: Introduction. Social bookmarking sites such as Digg, Meneame, etc. have become a reference for the digital press. Therefore, news producers wish to position themselves in such systems to gain visibility</w:t>
      </w:r>
      <w:r w:rsidR="00F81221">
        <w:rPr>
          <w:kern w:val="0"/>
        </w:rPr>
        <w:t xml:space="preserve"> and </w:t>
      </w:r>
      <w:r w:rsidRPr="001A3D2B">
        <w:rPr>
          <w:kern w:val="0"/>
        </w:rPr>
        <w:t>to increase traffic to their Websites. This paper proposes two bibliometric indicators to calculate the presence</w:t>
      </w:r>
      <w:r w:rsidR="00F81221">
        <w:rPr>
          <w:kern w:val="0"/>
        </w:rPr>
        <w:t xml:space="preserve"> and </w:t>
      </w:r>
      <w:r w:rsidRPr="001A3D2B">
        <w:rPr>
          <w:kern w:val="0"/>
        </w:rPr>
        <w:t>impact of the press in social bookmarking systems, providing both qualitative</w:t>
      </w:r>
      <w:r w:rsidR="00F81221">
        <w:rPr>
          <w:kern w:val="0"/>
        </w:rPr>
        <w:t xml:space="preserve"> and </w:t>
      </w:r>
      <w:r w:rsidRPr="001A3D2B">
        <w:rPr>
          <w:kern w:val="0"/>
        </w:rPr>
        <w:lastRenderedPageBreak/>
        <w:t>quantitative measures. Method. The Weighted Comments Impact (ICP) is proposed as an indicator of the impact of a news medium over a month,</w:t>
      </w:r>
      <w:r w:rsidR="00F81221">
        <w:rPr>
          <w:kern w:val="0"/>
        </w:rPr>
        <w:t xml:space="preserve"> and </w:t>
      </w:r>
      <w:r w:rsidRPr="001A3D2B">
        <w:rPr>
          <w:kern w:val="0"/>
        </w:rPr>
        <w:t>the Media Power Factor (FPM) is proposed as an indicator of the overall impact of a news medium over a month. To validate these parameters, a longitudinal retrospective descriptive analysis of the content of news sent to the Meneame social bookmarking site over sixteen months has been carried out. Results. The validation of the Weighted Comments Impact shows that the digital medium which has reached the highest average value is El Pais, followed by 20 Minutos</w:t>
      </w:r>
      <w:r w:rsidR="00F81221">
        <w:rPr>
          <w:kern w:val="0"/>
        </w:rPr>
        <w:t xml:space="preserve"> and </w:t>
      </w:r>
      <w:r w:rsidRPr="001A3D2B">
        <w:rPr>
          <w:kern w:val="0"/>
        </w:rPr>
        <w:t>El Mundo, which is consistent with the overall ranking of comments received. The validation of the Media Power Factor, however, indicates that 20 Minutos is the digital newspaper with the highest value, followed by El Pais</w:t>
      </w:r>
      <w:r w:rsidR="00F81221">
        <w:rPr>
          <w:kern w:val="0"/>
        </w:rPr>
        <w:t xml:space="preserve"> and </w:t>
      </w:r>
      <w:r w:rsidRPr="001A3D2B">
        <w:rPr>
          <w:kern w:val="0"/>
        </w:rPr>
        <w:t>El Mundo. Conclusions. The main finding of this study is that the parameters.</w:t>
      </w:r>
    </w:p>
    <w:p w:rsidR="0062580C" w:rsidRPr="001A3D2B" w:rsidRDefault="0062580C" w:rsidP="0062580C">
      <w:pPr>
        <w:pStyle w:val="a0"/>
        <w:rPr>
          <w:kern w:val="0"/>
        </w:rPr>
      </w:pPr>
      <w:r w:rsidRPr="001A3D2B">
        <w:rPr>
          <w:kern w:val="0"/>
        </w:rPr>
        <w:t>Keywords: Bibliometric Indicators, Index, Indicators, Visibility, Web</w:t>
      </w:r>
    </w:p>
    <w:p w:rsidR="00815D75" w:rsidRDefault="00815D75" w:rsidP="00815D75">
      <w:pPr>
        <w:pStyle w:val="a0"/>
        <w:rPr>
          <w:kern w:val="0"/>
        </w:rPr>
      </w:pPr>
      <w:r>
        <w:rPr>
          <w:rFonts w:hint="eastAsia"/>
          <w:kern w:val="0"/>
        </w:rPr>
        <w:t xml:space="preserve">? </w:t>
      </w:r>
      <w:r>
        <w:rPr>
          <w:kern w:val="0"/>
        </w:rPr>
        <w:t>López-Herrera, A.G., Cobo, M.J., Herrera-Viedma, E., Herrera, F., Bailón-Moreno, R.</w:t>
      </w:r>
      <w:r w:rsidR="00F81221">
        <w:rPr>
          <w:kern w:val="0"/>
        </w:rPr>
        <w:t xml:space="preserve"> and </w:t>
      </w:r>
      <w:r>
        <w:rPr>
          <w:kern w:val="0"/>
        </w:rPr>
        <w:t>Jiménez-Contreras, E. (2009), Visualization</w:t>
      </w:r>
      <w:r w:rsidR="00F81221">
        <w:rPr>
          <w:kern w:val="0"/>
        </w:rPr>
        <w:t xml:space="preserve"> and </w:t>
      </w:r>
      <w:r>
        <w:rPr>
          <w:kern w:val="0"/>
        </w:rPr>
        <w:t xml:space="preserve">evolution of the scientific structure of fuzzy sets research in Spain. </w:t>
      </w:r>
      <w:r>
        <w:rPr>
          <w:i/>
          <w:iCs/>
          <w:kern w:val="0"/>
        </w:rPr>
        <w:t>Information Research-An International Electronic Journal</w:t>
      </w:r>
      <w:r>
        <w:rPr>
          <w:kern w:val="0"/>
        </w:rPr>
        <w:t xml:space="preserve">, </w:t>
      </w:r>
      <w:r>
        <w:rPr>
          <w:b/>
          <w:bCs/>
          <w:kern w:val="0"/>
        </w:rPr>
        <w:t>14</w:t>
      </w:r>
      <w:r>
        <w:rPr>
          <w:kern w:val="0"/>
        </w:rPr>
        <w:t xml:space="preserve"> (4</w:t>
      </w:r>
      <w:r>
        <w:rPr>
          <w:rFonts w:hint="eastAsia"/>
          <w:kern w:val="0"/>
        </w:rPr>
        <w:t>)</w:t>
      </w:r>
      <w:r w:rsidRPr="001A3D2B">
        <w:rPr>
          <w:kern w:val="0"/>
        </w:rPr>
        <w:t xml:space="preserve">, </w:t>
      </w:r>
      <w:r w:rsidRPr="001A3D2B">
        <w:t>Article Number: 4</w:t>
      </w:r>
      <w:r>
        <w:rPr>
          <w:rFonts w:hint="eastAsia"/>
        </w:rPr>
        <w:t>21</w:t>
      </w:r>
      <w:r>
        <w:rPr>
          <w:kern w:val="0"/>
        </w:rPr>
        <w:t>.</w:t>
      </w:r>
    </w:p>
    <w:p w:rsidR="00815D75" w:rsidRPr="001A3D2B" w:rsidRDefault="00815D75" w:rsidP="00815D75">
      <w:pPr>
        <w:pStyle w:val="a0"/>
      </w:pPr>
      <w:r>
        <w:t>Full Text:</w:t>
      </w:r>
      <w:r>
        <w:rPr>
          <w:rFonts w:hint="eastAsia"/>
        </w:rPr>
        <w:t xml:space="preserve"> </w:t>
      </w:r>
      <w:r w:rsidR="00F82AAC">
        <w:rPr>
          <w:rFonts w:hint="eastAsia"/>
        </w:rPr>
        <w:t>2009\</w:t>
      </w:r>
      <w:r w:rsidRPr="009F2453">
        <w:t>Inf Res14, 4</w:t>
      </w:r>
      <w:r>
        <w:rPr>
          <w:rFonts w:hint="eastAsia"/>
        </w:rPr>
        <w:t>21</w:t>
      </w:r>
      <w:r w:rsidRPr="009F2453">
        <w:t>.pdf</w:t>
      </w:r>
    </w:p>
    <w:p w:rsidR="00815D75" w:rsidRDefault="00815D75" w:rsidP="00815D75">
      <w:pPr>
        <w:pStyle w:val="a0"/>
        <w:rPr>
          <w:kern w:val="0"/>
        </w:rPr>
      </w:pPr>
      <w:r>
        <w:rPr>
          <w:kern w:val="0"/>
        </w:rPr>
        <w:t>Abstract: Introduction. Presents the first bibliometric study on the evolution of the fuzzy sets theory field. It is specially focused on the research carried out by the Spanish comunity. Method. The CoPalRed software, for network analysis,</w:t>
      </w:r>
      <w:r w:rsidR="00F81221">
        <w:rPr>
          <w:kern w:val="0"/>
        </w:rPr>
        <w:t xml:space="preserve"> and </w:t>
      </w:r>
      <w:r>
        <w:rPr>
          <w:kern w:val="0"/>
        </w:rPr>
        <w:t>the co-word analysis technique are used. Analysis. Bibliometric maps showing the main associations among the main concepts in the field are provided for the periods 1965-1993, 1994-1998, 1999-2003</w:t>
      </w:r>
      <w:r w:rsidR="00F81221">
        <w:rPr>
          <w:kern w:val="0"/>
        </w:rPr>
        <w:t xml:space="preserve"> and </w:t>
      </w:r>
      <w:r>
        <w:rPr>
          <w:kern w:val="0"/>
        </w:rPr>
        <w:t>2004-2008. Results. The bibliometric maps obtained provide insight into the structure of the fuzzy sets theory research in the Spanish community, visualize the research subfields,</w:t>
      </w:r>
      <w:r w:rsidR="00F81221">
        <w:rPr>
          <w:kern w:val="0"/>
        </w:rPr>
        <w:t xml:space="preserve"> and </w:t>
      </w:r>
      <w:r>
        <w:rPr>
          <w:kern w:val="0"/>
        </w:rPr>
        <w:t>show the existing relationships between those subfields. Furthermore, we compare the Spanish community with other countries (the USA</w:t>
      </w:r>
      <w:r w:rsidR="00F81221">
        <w:rPr>
          <w:kern w:val="0"/>
        </w:rPr>
        <w:t xml:space="preserve"> and </w:t>
      </w:r>
      <w:r>
        <w:rPr>
          <w:kern w:val="0"/>
        </w:rPr>
        <w:t>Canada; the UK</w:t>
      </w:r>
      <w:r w:rsidR="00F81221">
        <w:rPr>
          <w:kern w:val="0"/>
        </w:rPr>
        <w:t xml:space="preserve"> and </w:t>
      </w:r>
      <w:r>
        <w:rPr>
          <w:kern w:val="0"/>
        </w:rPr>
        <w:t>Germany;</w:t>
      </w:r>
      <w:r w:rsidR="00F81221">
        <w:rPr>
          <w:kern w:val="0"/>
        </w:rPr>
        <w:t xml:space="preserve"> and </w:t>
      </w:r>
      <w:r>
        <w:rPr>
          <w:kern w:val="0"/>
        </w:rPr>
        <w:t>Japan</w:t>
      </w:r>
      <w:r w:rsidR="00F81221">
        <w:rPr>
          <w:kern w:val="0"/>
        </w:rPr>
        <w:t xml:space="preserve"> and </w:t>
      </w:r>
      <w:r>
        <w:rPr>
          <w:kern w:val="0"/>
        </w:rPr>
        <w:t>Peoples Republic of China). Conclusions. As a result of the analysis, a complete study of the evolution of the Spanish fuzzy sets community</w:t>
      </w:r>
      <w:r w:rsidR="00F81221">
        <w:rPr>
          <w:kern w:val="0"/>
        </w:rPr>
        <w:t xml:space="preserve"> and </w:t>
      </w:r>
      <w:r>
        <w:rPr>
          <w:kern w:val="0"/>
        </w:rPr>
        <w:t>an analysis of its international importance are presented.</w:t>
      </w:r>
    </w:p>
    <w:p w:rsidR="00815D75" w:rsidRDefault="00815D75" w:rsidP="00815D75">
      <w:pPr>
        <w:pStyle w:val="a0"/>
        <w:rPr>
          <w:kern w:val="0"/>
        </w:rPr>
      </w:pPr>
      <w:r>
        <w:rPr>
          <w:kern w:val="0"/>
        </w:rPr>
        <w:t>Keywords: Bibliometric, Bibliometric Study, Chemistry, China, Classification, Co-Word Analysis, Group Decision-Making, Information, Logic, Model, Network Analysis, Preference Relations, Priority Vector, Research, Software, Spain, Surfactants, Theory, UK, USA</w:t>
      </w:r>
    </w:p>
    <w:p w:rsidR="00F82AAC" w:rsidRDefault="00F82AAC" w:rsidP="00F82AAC">
      <w:pPr>
        <w:pStyle w:val="a0"/>
        <w:rPr>
          <w:kern w:val="0"/>
        </w:rPr>
      </w:pPr>
      <w:r>
        <w:rPr>
          <w:rFonts w:hint="eastAsia"/>
          <w:kern w:val="0"/>
        </w:rPr>
        <w:t xml:space="preserve">? </w:t>
      </w:r>
      <w:r>
        <w:rPr>
          <w:kern w:val="0"/>
        </w:rPr>
        <w:t xml:space="preserve">Thelwall, M. (2010), Webometrics: Emergent or doomed? </w:t>
      </w:r>
      <w:r>
        <w:rPr>
          <w:i/>
          <w:iCs/>
          <w:kern w:val="0"/>
        </w:rPr>
        <w:t>Information Research-An International Electronic Journal</w:t>
      </w:r>
      <w:r>
        <w:rPr>
          <w:kern w:val="0"/>
        </w:rPr>
        <w:t xml:space="preserve">, </w:t>
      </w:r>
      <w:r>
        <w:rPr>
          <w:b/>
          <w:bCs/>
          <w:kern w:val="0"/>
        </w:rPr>
        <w:t>15</w:t>
      </w:r>
      <w:r>
        <w:rPr>
          <w:kern w:val="0"/>
        </w:rPr>
        <w:t xml:space="preserve"> (4</w:t>
      </w:r>
      <w:r>
        <w:rPr>
          <w:rFonts w:hint="eastAsia"/>
          <w:kern w:val="0"/>
        </w:rPr>
        <w:t xml:space="preserve">), </w:t>
      </w:r>
      <w:r>
        <w:rPr>
          <w:kern w:val="0"/>
        </w:rPr>
        <w:t>Article Number: colis713.</w:t>
      </w:r>
    </w:p>
    <w:p w:rsidR="00F82AAC" w:rsidRPr="001A3D2B" w:rsidRDefault="00F82AAC" w:rsidP="00F82AAC">
      <w:pPr>
        <w:pStyle w:val="a0"/>
      </w:pPr>
      <w:r>
        <w:t>Full Text:</w:t>
      </w:r>
      <w:r>
        <w:rPr>
          <w:rFonts w:hint="eastAsia"/>
        </w:rPr>
        <w:t xml:space="preserve"> 2010\</w:t>
      </w:r>
      <w:r w:rsidRPr="009F2453">
        <w:t>Inf Res1</w:t>
      </w:r>
      <w:r>
        <w:rPr>
          <w:rFonts w:hint="eastAsia"/>
        </w:rPr>
        <w:t>5</w:t>
      </w:r>
      <w:r w:rsidRPr="009F2453">
        <w:t xml:space="preserve">, </w:t>
      </w:r>
      <w:r>
        <w:rPr>
          <w:kern w:val="0"/>
        </w:rPr>
        <w:t>colis713</w:t>
      </w:r>
      <w:r w:rsidRPr="009F2453">
        <w:t>.pdf</w:t>
      </w:r>
    </w:p>
    <w:p w:rsidR="00F82AAC" w:rsidRDefault="00F82AAC" w:rsidP="00F82AAC">
      <w:pPr>
        <w:pStyle w:val="a0"/>
        <w:rPr>
          <w:kern w:val="0"/>
        </w:rPr>
      </w:pPr>
      <w:r>
        <w:rPr>
          <w:kern w:val="0"/>
        </w:rPr>
        <w:t xml:space="preserve">Abstract: Introduction. For some years bibliometric studies have identified webometrics </w:t>
      </w:r>
      <w:r>
        <w:rPr>
          <w:kern w:val="0"/>
        </w:rPr>
        <w:lastRenderedPageBreak/>
        <w:t>as one of the largest information science fields. Nevertheless, most published webometric research is relatively theoretical and, as a new research field, seems unlikely to survive unless it is useful in some way. In general it is very important for academics to identify hot research topics</w:t>
      </w:r>
      <w:r w:rsidR="00F81221">
        <w:rPr>
          <w:kern w:val="0"/>
        </w:rPr>
        <w:t xml:space="preserve"> and </w:t>
      </w:r>
      <w:r>
        <w:rPr>
          <w:kern w:val="0"/>
        </w:rPr>
        <w:t>avoid unpromising ones</w:t>
      </w:r>
      <w:r w:rsidR="00F81221">
        <w:rPr>
          <w:kern w:val="0"/>
        </w:rPr>
        <w:t xml:space="preserve"> and </w:t>
      </w:r>
      <w:r>
        <w:rPr>
          <w:kern w:val="0"/>
        </w:rPr>
        <w:t>so methods are needed to help this identification process. Method. This article uses citation analysis</w:t>
      </w:r>
      <w:r w:rsidR="00F81221">
        <w:rPr>
          <w:kern w:val="0"/>
        </w:rPr>
        <w:t xml:space="preserve"> and </w:t>
      </w:r>
      <w:r>
        <w:rPr>
          <w:kern w:val="0"/>
        </w:rPr>
        <w:t>a survey of webometricians to assess the extent to which webometrics has found applications outside of its parent discipline. Results. The results suggest that there has been a turn towards applied webometrics with several externally-financed studies being contracted. Moreover, there is a significant amount of citation of webometrics research by disciplines outside information science, including computing, communication science</w:t>
      </w:r>
      <w:r w:rsidR="00F81221">
        <w:rPr>
          <w:kern w:val="0"/>
        </w:rPr>
        <w:t xml:space="preserve"> and </w:t>
      </w:r>
      <w:r>
        <w:rPr>
          <w:kern w:val="0"/>
        </w:rPr>
        <w:t>health. Nevertheless, it seems that the potential user base for current webometric techniques is wider still, creating a need for awareness-raising. Conclusions. Whilst webometrics already has several claims to usefulness, there is still progress to be made.</w:t>
      </w:r>
    </w:p>
    <w:p w:rsidR="00F82AAC" w:rsidRDefault="00F82AAC" w:rsidP="00F82AAC">
      <w:pPr>
        <w:pStyle w:val="a0"/>
        <w:rPr>
          <w:kern w:val="0"/>
        </w:rPr>
      </w:pPr>
      <w:r>
        <w:rPr>
          <w:kern w:val="0"/>
        </w:rPr>
        <w:t>Keywords: Academic Web, Analysis, Bibliometric, Bibliometric Studies, Citation, Citation Analysis, Citations, Communication, Exploration, Field, General, Google Scholar, Health, Identification, Information, Information Science, Information-Science, Links, Methods, Potential, Progress, Research, Science, Search Engines, Sites, Survey, Techniques, Web Impact Factors, Webometrics</w:t>
      </w:r>
    </w:p>
    <w:p w:rsidR="00F82AAC" w:rsidRDefault="00F82AAC" w:rsidP="00F82AAC">
      <w:pPr>
        <w:pStyle w:val="a0"/>
        <w:rPr>
          <w:kern w:val="0"/>
        </w:rPr>
      </w:pPr>
      <w:r>
        <w:rPr>
          <w:rFonts w:hint="eastAsia"/>
          <w:kern w:val="0"/>
        </w:rPr>
        <w:t xml:space="preserve">? </w:t>
      </w:r>
      <w:r>
        <w:rPr>
          <w:kern w:val="0"/>
        </w:rPr>
        <w:t>Tomic, T. (2010), The philosophy of information as an underlying</w:t>
      </w:r>
      <w:r w:rsidR="00F81221">
        <w:rPr>
          <w:kern w:val="0"/>
        </w:rPr>
        <w:t xml:space="preserve"> and </w:t>
      </w:r>
      <w:r>
        <w:rPr>
          <w:kern w:val="0"/>
        </w:rPr>
        <w:t xml:space="preserve">unifying theory of information science. </w:t>
      </w:r>
      <w:r>
        <w:rPr>
          <w:i/>
          <w:iCs/>
          <w:kern w:val="0"/>
        </w:rPr>
        <w:t>Information Research-An International Electronic Journal</w:t>
      </w:r>
      <w:r>
        <w:rPr>
          <w:kern w:val="0"/>
        </w:rPr>
        <w:t xml:space="preserve">, </w:t>
      </w:r>
      <w:r>
        <w:rPr>
          <w:b/>
          <w:bCs/>
          <w:kern w:val="0"/>
        </w:rPr>
        <w:t>15</w:t>
      </w:r>
      <w:r>
        <w:rPr>
          <w:kern w:val="0"/>
        </w:rPr>
        <w:t xml:space="preserve"> (4</w:t>
      </w:r>
      <w:r>
        <w:rPr>
          <w:rFonts w:hint="eastAsia"/>
          <w:kern w:val="0"/>
        </w:rPr>
        <w:t xml:space="preserve">), </w:t>
      </w:r>
      <w:r>
        <w:rPr>
          <w:kern w:val="0"/>
        </w:rPr>
        <w:t>Article Number: colis714</w:t>
      </w:r>
      <w:r>
        <w:rPr>
          <w:rFonts w:hint="eastAsia"/>
          <w:kern w:val="0"/>
        </w:rPr>
        <w:t>.</w:t>
      </w:r>
    </w:p>
    <w:p w:rsidR="00F82AAC" w:rsidRPr="001A3D2B" w:rsidRDefault="00F82AAC" w:rsidP="00F82AAC">
      <w:pPr>
        <w:pStyle w:val="a0"/>
      </w:pPr>
      <w:r>
        <w:t>Full Text:</w:t>
      </w:r>
      <w:r>
        <w:rPr>
          <w:rFonts w:hint="eastAsia"/>
        </w:rPr>
        <w:t xml:space="preserve"> 2010\</w:t>
      </w:r>
      <w:r w:rsidRPr="009F2453">
        <w:t>Inf Res1</w:t>
      </w:r>
      <w:r>
        <w:rPr>
          <w:rFonts w:hint="eastAsia"/>
        </w:rPr>
        <w:t>5</w:t>
      </w:r>
      <w:r w:rsidRPr="009F2453">
        <w:t xml:space="preserve">, </w:t>
      </w:r>
      <w:r>
        <w:rPr>
          <w:kern w:val="0"/>
        </w:rPr>
        <w:t>colis714</w:t>
      </w:r>
      <w:r w:rsidRPr="009F2453">
        <w:t>.pdf</w:t>
      </w:r>
    </w:p>
    <w:p w:rsidR="00F82AAC" w:rsidRDefault="00F82AAC" w:rsidP="00F82AAC">
      <w:pPr>
        <w:pStyle w:val="a0"/>
        <w:rPr>
          <w:kern w:val="0"/>
        </w:rPr>
      </w:pPr>
      <w:r>
        <w:rPr>
          <w:kern w:val="0"/>
        </w:rPr>
        <w:t>Abstract: Introduction. Philosophical analyses of theoretical principles underlying these sub-domains reveal philosophy of information as underlying meta-theory of information science. Method. Conceptual research on the knowledge sub-domains in information science</w:t>
      </w:r>
      <w:r w:rsidR="00F81221">
        <w:rPr>
          <w:kern w:val="0"/>
        </w:rPr>
        <w:t xml:space="preserve"> and </w:t>
      </w:r>
      <w:r>
        <w:rPr>
          <w:kern w:val="0"/>
        </w:rPr>
        <w:t>philosophy</w:t>
      </w:r>
      <w:r w:rsidR="00F81221">
        <w:rPr>
          <w:kern w:val="0"/>
        </w:rPr>
        <w:t xml:space="preserve"> and </w:t>
      </w:r>
      <w:r>
        <w:rPr>
          <w:kern w:val="0"/>
        </w:rPr>
        <w:t>analysis of their mutual connection. Analysis. Similarities between conceptual cores</w:t>
      </w:r>
      <w:r w:rsidR="00F81221">
        <w:rPr>
          <w:kern w:val="0"/>
        </w:rPr>
        <w:t xml:space="preserve"> and </w:t>
      </w:r>
      <w:r>
        <w:rPr>
          <w:kern w:val="0"/>
        </w:rPr>
        <w:t>research questions of the two fields have been investigated. The consequent methods</w:t>
      </w:r>
      <w:r w:rsidR="00F81221">
        <w:rPr>
          <w:kern w:val="0"/>
        </w:rPr>
        <w:t xml:space="preserve"> and </w:t>
      </w:r>
      <w:r>
        <w:rPr>
          <w:kern w:val="0"/>
        </w:rPr>
        <w:t>knowledge domains of philosophy of information have been studied. Results. As the underlying theory, philosophy of information discovers philosophical questions in all of the information sub-domains studied. In information retrieval, it studies ontological</w:t>
      </w:r>
      <w:r w:rsidR="00F81221">
        <w:rPr>
          <w:kern w:val="0"/>
        </w:rPr>
        <w:t xml:space="preserve"> and </w:t>
      </w:r>
      <w:r>
        <w:rPr>
          <w:kern w:val="0"/>
        </w:rPr>
        <w:t>epistemological. Knowledge organization implements philosophy of language. Theories of information management actualize classical epistemological issues in the context of organizational knowledge. Studies of information behaviour benefit from argumentation theory. Philosophical analyses may possibly investigate how the concrete rules of bibliometric models influence conceptions</w:t>
      </w:r>
      <w:r w:rsidR="00F81221">
        <w:rPr>
          <w:kern w:val="0"/>
        </w:rPr>
        <w:t xml:space="preserve"> and </w:t>
      </w:r>
      <w:r>
        <w:rPr>
          <w:kern w:val="0"/>
        </w:rPr>
        <w:t>evaluations of knowledge. The sub-domain of information literacy is significantly compatible with philosophical conceptions</w:t>
      </w:r>
      <w:r w:rsidR="00F81221">
        <w:rPr>
          <w:kern w:val="0"/>
        </w:rPr>
        <w:t xml:space="preserve"> and </w:t>
      </w:r>
      <w:r>
        <w:rPr>
          <w:kern w:val="0"/>
        </w:rPr>
        <w:t xml:space="preserve">techniques of critical thinking. Conclusions. As </w:t>
      </w:r>
      <w:r>
        <w:rPr>
          <w:kern w:val="0"/>
        </w:rPr>
        <w:lastRenderedPageBreak/>
        <w:t>underlying</w:t>
      </w:r>
      <w:r w:rsidR="00F81221">
        <w:rPr>
          <w:kern w:val="0"/>
        </w:rPr>
        <w:t xml:space="preserve"> and </w:t>
      </w:r>
      <w:r>
        <w:rPr>
          <w:kern w:val="0"/>
        </w:rPr>
        <w:t>unifying theory of information science, philosophy of information implements advanced abilities of critical thinking in the sub-domains, with respect to the role that information technology</w:t>
      </w:r>
      <w:r w:rsidR="00F81221">
        <w:rPr>
          <w:kern w:val="0"/>
        </w:rPr>
        <w:t xml:space="preserve"> and </w:t>
      </w:r>
      <w:r>
        <w:rPr>
          <w:kern w:val="0"/>
        </w:rPr>
        <w:t>the resulting knowledge structures, codes, languages</w:t>
      </w:r>
      <w:r w:rsidR="00F81221">
        <w:rPr>
          <w:kern w:val="0"/>
        </w:rPr>
        <w:t xml:space="preserve"> and </w:t>
      </w:r>
      <w:r>
        <w:rPr>
          <w:kern w:val="0"/>
        </w:rPr>
        <w:t>systems might have for the development of mind</w:t>
      </w:r>
      <w:r w:rsidR="00F81221">
        <w:rPr>
          <w:kern w:val="0"/>
        </w:rPr>
        <w:t xml:space="preserve"> and </w:t>
      </w:r>
      <w:r>
        <w:rPr>
          <w:kern w:val="0"/>
        </w:rPr>
        <w:t>world.</w:t>
      </w:r>
    </w:p>
    <w:p w:rsidR="00F82AAC" w:rsidRDefault="00F82AAC" w:rsidP="00F82AAC">
      <w:pPr>
        <w:pStyle w:val="a0"/>
        <w:rPr>
          <w:kern w:val="0"/>
        </w:rPr>
      </w:pPr>
      <w:r>
        <w:rPr>
          <w:kern w:val="0"/>
        </w:rPr>
        <w:t>Keywords: Analyses, Analysis, Behaviour, Bibliometric, Concrete, Context, Development, Information, Information Retrieval, Information Science, Information Technology, Knowledge, Knowledge Domains, Languages, Management, Methods, Models, Ontologies, Organization, Organizational, Philosophy, Principles, Research, Retrieval, Role, Science, Systems, Techniques, Technology, Theory, World</w:t>
      </w:r>
    </w:p>
    <w:p w:rsidR="00F82AAC" w:rsidRDefault="00F82AAC" w:rsidP="00F82AAC">
      <w:pPr>
        <w:pStyle w:val="a0"/>
        <w:rPr>
          <w:kern w:val="0"/>
        </w:rPr>
      </w:pPr>
      <w:r>
        <w:rPr>
          <w:rFonts w:hint="eastAsia"/>
          <w:kern w:val="0"/>
        </w:rPr>
        <w:t xml:space="preserve">? </w:t>
      </w:r>
      <w:r>
        <w:rPr>
          <w:kern w:val="0"/>
        </w:rPr>
        <w:t xml:space="preserve">Thelwall, M. (2010), Webometrics: Emergent or doomed? </w:t>
      </w:r>
      <w:r>
        <w:rPr>
          <w:i/>
          <w:iCs/>
          <w:kern w:val="0"/>
        </w:rPr>
        <w:t>Information Research-An International Electronic Journal</w:t>
      </w:r>
      <w:r>
        <w:rPr>
          <w:kern w:val="0"/>
        </w:rPr>
        <w:t xml:space="preserve">, </w:t>
      </w:r>
      <w:r>
        <w:rPr>
          <w:b/>
          <w:bCs/>
          <w:kern w:val="0"/>
        </w:rPr>
        <w:t>15</w:t>
      </w:r>
      <w:r>
        <w:rPr>
          <w:kern w:val="0"/>
        </w:rPr>
        <w:t xml:space="preserve"> (4</w:t>
      </w:r>
      <w:r>
        <w:rPr>
          <w:rFonts w:hint="eastAsia"/>
          <w:kern w:val="0"/>
        </w:rPr>
        <w:t xml:space="preserve">), </w:t>
      </w:r>
      <w:r>
        <w:rPr>
          <w:kern w:val="0"/>
        </w:rPr>
        <w:t>Article Number: colis713.</w:t>
      </w:r>
    </w:p>
    <w:p w:rsidR="00F82AAC" w:rsidRPr="001A3D2B" w:rsidRDefault="00F82AAC" w:rsidP="00F82AAC">
      <w:pPr>
        <w:pStyle w:val="a0"/>
      </w:pPr>
      <w:r>
        <w:t>Full Text:</w:t>
      </w:r>
      <w:r>
        <w:rPr>
          <w:rFonts w:hint="eastAsia"/>
        </w:rPr>
        <w:t xml:space="preserve"> 2010\</w:t>
      </w:r>
      <w:r w:rsidRPr="009F2453">
        <w:t>Inf Res1</w:t>
      </w:r>
      <w:r>
        <w:rPr>
          <w:rFonts w:hint="eastAsia"/>
        </w:rPr>
        <w:t>5</w:t>
      </w:r>
      <w:r w:rsidRPr="009F2453">
        <w:t xml:space="preserve">, </w:t>
      </w:r>
      <w:r>
        <w:rPr>
          <w:kern w:val="0"/>
        </w:rPr>
        <w:t>colis713</w:t>
      </w:r>
      <w:r w:rsidRPr="009F2453">
        <w:t>.pdf</w:t>
      </w:r>
    </w:p>
    <w:p w:rsidR="00F82AAC" w:rsidRDefault="00F82AAC" w:rsidP="00F82AAC">
      <w:pPr>
        <w:pStyle w:val="a0"/>
        <w:rPr>
          <w:kern w:val="0"/>
        </w:rPr>
      </w:pPr>
      <w:r>
        <w:rPr>
          <w:kern w:val="0"/>
        </w:rPr>
        <w:t>Abstract: Introduction. For some years bibliometric studies have identified webometrics as one of the largest information science fields. Nevertheless, most published webometric research is relatively theoretical and, as a new research field, seems unlikely to survive unless it is useful in some way. In general it is very important for academics to identify hot research topics</w:t>
      </w:r>
      <w:r w:rsidR="00F81221">
        <w:rPr>
          <w:kern w:val="0"/>
        </w:rPr>
        <w:t xml:space="preserve"> and </w:t>
      </w:r>
      <w:r>
        <w:rPr>
          <w:kern w:val="0"/>
        </w:rPr>
        <w:t>avoid unpromising ones</w:t>
      </w:r>
      <w:r w:rsidR="00F81221">
        <w:rPr>
          <w:kern w:val="0"/>
        </w:rPr>
        <w:t xml:space="preserve"> and </w:t>
      </w:r>
      <w:r>
        <w:rPr>
          <w:kern w:val="0"/>
        </w:rPr>
        <w:t>so methods are needed to help this identification process. Method. This article uses citation analysis</w:t>
      </w:r>
      <w:r w:rsidR="00F81221">
        <w:rPr>
          <w:kern w:val="0"/>
        </w:rPr>
        <w:t xml:space="preserve"> and </w:t>
      </w:r>
      <w:r>
        <w:rPr>
          <w:kern w:val="0"/>
        </w:rPr>
        <w:t>a survey of webometricians to assess the extent to which webometrics has found applications outside of its parent discipline. Results. The results suggest that there has been a turn towards applied webometrics with several externally-financed studies being contracted. Moreover, there is a significant amount of citation of webometrics research by disciplines outside information science, including computing, communication science</w:t>
      </w:r>
      <w:r w:rsidR="00F81221">
        <w:rPr>
          <w:kern w:val="0"/>
        </w:rPr>
        <w:t xml:space="preserve"> and </w:t>
      </w:r>
      <w:r>
        <w:rPr>
          <w:kern w:val="0"/>
        </w:rPr>
        <w:t>health. Nevertheless, it seems that the potential user base for current webometric techniques is wider still, creating a need for awareness-raising. Conclusions. Whilst webometrics already has several claims to usefulness, there is still progress to be made.</w:t>
      </w:r>
    </w:p>
    <w:p w:rsidR="00F82AAC" w:rsidRDefault="00F82AAC" w:rsidP="00F82AAC">
      <w:pPr>
        <w:pStyle w:val="a0"/>
        <w:rPr>
          <w:kern w:val="0"/>
        </w:rPr>
      </w:pPr>
      <w:r>
        <w:rPr>
          <w:kern w:val="0"/>
        </w:rPr>
        <w:t>Keywords: Academic Web, Analysis, Bibliometric, Bibliometric Studies, Citation, Citation Analysis, Citations, Communication, Exploration, Field, General, Google Scholar, Health, Identification, Information, Information Science, Information-Science, Links, Methods, Potential, Progress, Research, Science, Search Engines, Sites, Survey, Techniques, Web Impact Factors, Webometrics</w:t>
      </w:r>
    </w:p>
    <w:p w:rsidR="00F82AAC" w:rsidRDefault="00F82AAC" w:rsidP="00F82AAC">
      <w:pPr>
        <w:pStyle w:val="a0"/>
        <w:rPr>
          <w:kern w:val="0"/>
        </w:rPr>
      </w:pPr>
      <w:r>
        <w:rPr>
          <w:rFonts w:hint="eastAsia"/>
          <w:kern w:val="0"/>
        </w:rPr>
        <w:t xml:space="preserve">? </w:t>
      </w:r>
      <w:r>
        <w:rPr>
          <w:kern w:val="0"/>
        </w:rPr>
        <w:t>Tomic, T. (2010), The philosophy of information as an underlying</w:t>
      </w:r>
      <w:r w:rsidR="00F81221">
        <w:rPr>
          <w:kern w:val="0"/>
        </w:rPr>
        <w:t xml:space="preserve"> and </w:t>
      </w:r>
      <w:r>
        <w:rPr>
          <w:kern w:val="0"/>
        </w:rPr>
        <w:t xml:space="preserve">unifying theory of information science. </w:t>
      </w:r>
      <w:r>
        <w:rPr>
          <w:i/>
          <w:iCs/>
          <w:kern w:val="0"/>
        </w:rPr>
        <w:t>Information Research-An International Electronic Journal</w:t>
      </w:r>
      <w:r>
        <w:rPr>
          <w:kern w:val="0"/>
        </w:rPr>
        <w:t xml:space="preserve">, </w:t>
      </w:r>
      <w:r>
        <w:rPr>
          <w:b/>
          <w:bCs/>
          <w:kern w:val="0"/>
        </w:rPr>
        <w:t>15</w:t>
      </w:r>
      <w:r>
        <w:rPr>
          <w:kern w:val="0"/>
        </w:rPr>
        <w:t xml:space="preserve"> (4</w:t>
      </w:r>
      <w:r>
        <w:rPr>
          <w:rFonts w:hint="eastAsia"/>
          <w:kern w:val="0"/>
        </w:rPr>
        <w:t xml:space="preserve">), </w:t>
      </w:r>
      <w:r>
        <w:rPr>
          <w:kern w:val="0"/>
        </w:rPr>
        <w:t>Article Number: colis714</w:t>
      </w:r>
      <w:r>
        <w:rPr>
          <w:rFonts w:hint="eastAsia"/>
          <w:kern w:val="0"/>
        </w:rPr>
        <w:t>.</w:t>
      </w:r>
    </w:p>
    <w:p w:rsidR="00F82AAC" w:rsidRPr="001A3D2B" w:rsidRDefault="00F82AAC" w:rsidP="00F82AAC">
      <w:pPr>
        <w:pStyle w:val="a0"/>
      </w:pPr>
      <w:r>
        <w:t>Full Text:</w:t>
      </w:r>
      <w:r>
        <w:rPr>
          <w:rFonts w:hint="eastAsia"/>
        </w:rPr>
        <w:t xml:space="preserve"> 2010\</w:t>
      </w:r>
      <w:r w:rsidRPr="009F2453">
        <w:t>Inf Res1</w:t>
      </w:r>
      <w:r>
        <w:rPr>
          <w:rFonts w:hint="eastAsia"/>
        </w:rPr>
        <w:t>5</w:t>
      </w:r>
      <w:r w:rsidRPr="009F2453">
        <w:t xml:space="preserve">, </w:t>
      </w:r>
      <w:r>
        <w:rPr>
          <w:kern w:val="0"/>
        </w:rPr>
        <w:t>colis714</w:t>
      </w:r>
      <w:r w:rsidRPr="009F2453">
        <w:t>.pdf</w:t>
      </w:r>
    </w:p>
    <w:p w:rsidR="00F82AAC" w:rsidRDefault="00F82AAC" w:rsidP="00F82AAC">
      <w:pPr>
        <w:pStyle w:val="a0"/>
        <w:rPr>
          <w:kern w:val="0"/>
        </w:rPr>
      </w:pPr>
      <w:r>
        <w:rPr>
          <w:kern w:val="0"/>
        </w:rPr>
        <w:t xml:space="preserve">Abstract: Introduction. Philosophical analyses of theoretical principles underlying these sub-domains reveal philosophy of information as underlying meta-theory of information science. Method. Conceptual research on the knowledge sub-domains in </w:t>
      </w:r>
      <w:r>
        <w:rPr>
          <w:kern w:val="0"/>
        </w:rPr>
        <w:lastRenderedPageBreak/>
        <w:t>information science</w:t>
      </w:r>
      <w:r w:rsidR="00F81221">
        <w:rPr>
          <w:kern w:val="0"/>
        </w:rPr>
        <w:t xml:space="preserve"> and </w:t>
      </w:r>
      <w:r>
        <w:rPr>
          <w:kern w:val="0"/>
        </w:rPr>
        <w:t>philosophy</w:t>
      </w:r>
      <w:r w:rsidR="00F81221">
        <w:rPr>
          <w:kern w:val="0"/>
        </w:rPr>
        <w:t xml:space="preserve"> and </w:t>
      </w:r>
      <w:r>
        <w:rPr>
          <w:kern w:val="0"/>
        </w:rPr>
        <w:t>analysis of their mutual connection. Analysis. Similarities between conceptual cores</w:t>
      </w:r>
      <w:r w:rsidR="00F81221">
        <w:rPr>
          <w:kern w:val="0"/>
        </w:rPr>
        <w:t xml:space="preserve"> and </w:t>
      </w:r>
      <w:r>
        <w:rPr>
          <w:kern w:val="0"/>
        </w:rPr>
        <w:t>research questions of the two fields have been investigated. The consequent methods</w:t>
      </w:r>
      <w:r w:rsidR="00F81221">
        <w:rPr>
          <w:kern w:val="0"/>
        </w:rPr>
        <w:t xml:space="preserve"> and </w:t>
      </w:r>
      <w:r>
        <w:rPr>
          <w:kern w:val="0"/>
        </w:rPr>
        <w:t>knowledge domains of philosophy of information have been studied. Results. As the underlying theory, philosophy of information discovers philosophical questions in all of the information sub-domains studied. In information retrieval, it studies ontological</w:t>
      </w:r>
      <w:r w:rsidR="00F81221">
        <w:rPr>
          <w:kern w:val="0"/>
        </w:rPr>
        <w:t xml:space="preserve"> and </w:t>
      </w:r>
      <w:r>
        <w:rPr>
          <w:kern w:val="0"/>
        </w:rPr>
        <w:t>epistemological. Knowledge organization implements philosophy of language. Theories of information management actualize classical epistemological issues in the context of organizational knowledge. Studies of information behaviour benefit from argumentation theory. Philosophical analyses may possibly investigate how the concrete rules of bibliometric models influence conceptions</w:t>
      </w:r>
      <w:r w:rsidR="00F81221">
        <w:rPr>
          <w:kern w:val="0"/>
        </w:rPr>
        <w:t xml:space="preserve"> and </w:t>
      </w:r>
      <w:r>
        <w:rPr>
          <w:kern w:val="0"/>
        </w:rPr>
        <w:t>evaluations of knowledge. The sub-domain of information literacy is significantly compatible with philosophical conceptions</w:t>
      </w:r>
      <w:r w:rsidR="00F81221">
        <w:rPr>
          <w:kern w:val="0"/>
        </w:rPr>
        <w:t xml:space="preserve"> and </w:t>
      </w:r>
      <w:r>
        <w:rPr>
          <w:kern w:val="0"/>
        </w:rPr>
        <w:t>techniques of critical thinking. Conclusions. As underlying</w:t>
      </w:r>
      <w:r w:rsidR="00F81221">
        <w:rPr>
          <w:kern w:val="0"/>
        </w:rPr>
        <w:t xml:space="preserve"> and </w:t>
      </w:r>
      <w:r>
        <w:rPr>
          <w:kern w:val="0"/>
        </w:rPr>
        <w:t>unifying theory of information science, philosophy of information implements advanced abilities of critical thinking in the sub-domains, with respect to the role that information technology</w:t>
      </w:r>
      <w:r w:rsidR="00F81221">
        <w:rPr>
          <w:kern w:val="0"/>
        </w:rPr>
        <w:t xml:space="preserve"> and </w:t>
      </w:r>
      <w:r>
        <w:rPr>
          <w:kern w:val="0"/>
        </w:rPr>
        <w:t>the resulting knowledge structures, codes, languages</w:t>
      </w:r>
      <w:r w:rsidR="00F81221">
        <w:rPr>
          <w:kern w:val="0"/>
        </w:rPr>
        <w:t xml:space="preserve"> and </w:t>
      </w:r>
      <w:r>
        <w:rPr>
          <w:kern w:val="0"/>
        </w:rPr>
        <w:t>systems might have for the development of mind</w:t>
      </w:r>
      <w:r w:rsidR="00F81221">
        <w:rPr>
          <w:kern w:val="0"/>
        </w:rPr>
        <w:t xml:space="preserve"> and </w:t>
      </w:r>
      <w:r>
        <w:rPr>
          <w:kern w:val="0"/>
        </w:rPr>
        <w:t>world.</w:t>
      </w:r>
    </w:p>
    <w:p w:rsidR="00F82AAC" w:rsidRDefault="00F82AAC" w:rsidP="00F82AAC">
      <w:pPr>
        <w:pStyle w:val="a0"/>
        <w:rPr>
          <w:kern w:val="0"/>
        </w:rPr>
      </w:pPr>
      <w:r>
        <w:rPr>
          <w:kern w:val="0"/>
        </w:rPr>
        <w:t>Keywords: Analyses, Analysis, Behaviour, Bibliometric, Concrete, Context, Development, Information, Information Retrieval, Information Science, Information Technology, Knowledge, Knowledge Domains, Languages, Management, Methods, Models, Ontologies, Organization, Organizational, Philosophy, Principles, Research, Retrieval, Role, Science, Systems, Techniques, Technology, Theory, World</w:t>
      </w:r>
    </w:p>
    <w:p w:rsidR="009A1C18" w:rsidRPr="00A428C3" w:rsidRDefault="009A1C18" w:rsidP="009A1C18">
      <w:pPr>
        <w:pStyle w:val="1"/>
      </w:pPr>
      <w:r w:rsidRPr="00A428C3">
        <w:br w:type="page"/>
      </w:r>
      <w:bookmarkStart w:id="1028" w:name="_Toc317161168"/>
      <w:r w:rsidRPr="00A428C3">
        <w:lastRenderedPageBreak/>
        <w:t xml:space="preserve">Title: </w:t>
      </w:r>
      <w:r w:rsidRPr="009A1C18">
        <w:rPr>
          <w:iCs/>
          <w:szCs w:val="24"/>
        </w:rPr>
        <w:t>Information for Responsible Fisheries: Libraries as Mediators, Proceedings</w:t>
      </w:r>
      <w:bookmarkEnd w:id="1028"/>
    </w:p>
    <w:p w:rsidR="009A1C18" w:rsidRPr="00A428C3" w:rsidRDefault="009A1C18" w:rsidP="009A1C18">
      <w:pPr>
        <w:pStyle w:val="12"/>
      </w:pPr>
      <w:r w:rsidRPr="00A428C3">
        <w:t xml:space="preserve">Full Journal Title: </w:t>
      </w:r>
      <w:r w:rsidRPr="009A1C18">
        <w:rPr>
          <w:iCs/>
        </w:rPr>
        <w:t>Information for Responsible Fisheries: Libraries as Mediators, Proceedings</w:t>
      </w:r>
    </w:p>
    <w:p w:rsidR="009A1C18" w:rsidRPr="00A428C3" w:rsidRDefault="009A1C18" w:rsidP="009A1C18">
      <w:pPr>
        <w:pStyle w:val="12"/>
      </w:pPr>
      <w:r w:rsidRPr="00A428C3">
        <w:t xml:space="preserve">ISO Abbreviated Title: </w:t>
      </w:r>
    </w:p>
    <w:p w:rsidR="009A1C18" w:rsidRPr="00A428C3" w:rsidRDefault="009A1C18" w:rsidP="009A1C18">
      <w:pPr>
        <w:pStyle w:val="12"/>
      </w:pPr>
      <w:r w:rsidRPr="00A428C3">
        <w:t>JCR Abbreviated Title:</w:t>
      </w:r>
    </w:p>
    <w:p w:rsidR="009A1C18" w:rsidRPr="00A428C3" w:rsidRDefault="009A1C18" w:rsidP="009A1C18">
      <w:pPr>
        <w:pStyle w:val="12"/>
      </w:pPr>
      <w:r>
        <w:t xml:space="preserve">ISSN: </w:t>
      </w:r>
    </w:p>
    <w:p w:rsidR="009A1C18" w:rsidRPr="00A428C3" w:rsidRDefault="009A1C18" w:rsidP="009A1C18">
      <w:pPr>
        <w:pStyle w:val="12"/>
      </w:pPr>
      <w:r w:rsidRPr="00A428C3">
        <w:t xml:space="preserve">Issues/Year: </w:t>
      </w:r>
    </w:p>
    <w:p w:rsidR="009A1C18" w:rsidRPr="00A428C3" w:rsidRDefault="009A1C18" w:rsidP="009A1C18">
      <w:pPr>
        <w:pStyle w:val="12"/>
      </w:pPr>
      <w:r>
        <w:t>Journal Country/Territory:</w:t>
      </w:r>
      <w:r w:rsidRPr="00A428C3">
        <w:t xml:space="preserve"> </w:t>
      </w:r>
    </w:p>
    <w:p w:rsidR="009A1C18" w:rsidRPr="00A428C3" w:rsidRDefault="009A1C18" w:rsidP="009A1C18">
      <w:pPr>
        <w:pStyle w:val="12"/>
      </w:pPr>
      <w:r w:rsidRPr="00A428C3">
        <w:t xml:space="preserve">Language: </w:t>
      </w:r>
    </w:p>
    <w:p w:rsidR="009A1C18" w:rsidRPr="00A428C3" w:rsidRDefault="009A1C18" w:rsidP="009A1C18">
      <w:pPr>
        <w:pStyle w:val="12"/>
      </w:pPr>
      <w:r w:rsidRPr="00A428C3">
        <w:t xml:space="preserve">Publisher: </w:t>
      </w:r>
    </w:p>
    <w:p w:rsidR="009A1C18" w:rsidRPr="00A428C3" w:rsidRDefault="009A1C18" w:rsidP="009A1C18">
      <w:pPr>
        <w:pStyle w:val="12"/>
      </w:pPr>
      <w:r w:rsidRPr="00A428C3">
        <w:t xml:space="preserve">Publisher Address: </w:t>
      </w:r>
    </w:p>
    <w:p w:rsidR="009A1C18" w:rsidRPr="00A428C3" w:rsidRDefault="009A1C18" w:rsidP="009A1C18">
      <w:pPr>
        <w:pStyle w:val="12"/>
      </w:pPr>
      <w:r w:rsidRPr="00A428C3">
        <w:t>Subject Categories:</w:t>
      </w:r>
    </w:p>
    <w:p w:rsidR="009A1C18" w:rsidRPr="00A428C3" w:rsidRDefault="009A1C18" w:rsidP="009A1C18">
      <w:pPr>
        <w:pStyle w:val="12"/>
      </w:pPr>
      <w:r w:rsidRPr="00A428C3">
        <w:t xml:space="preserve">: Impact Factor </w:t>
      </w:r>
    </w:p>
    <w:p w:rsidR="009A1C18" w:rsidRDefault="009A1C18" w:rsidP="009A1C18">
      <w:pPr>
        <w:pStyle w:val="a0"/>
        <w:rPr>
          <w:kern w:val="0"/>
          <w:szCs w:val="24"/>
        </w:rPr>
      </w:pPr>
      <w:r>
        <w:rPr>
          <w:rFonts w:hint="eastAsia"/>
          <w:kern w:val="0"/>
          <w:szCs w:val="24"/>
        </w:rPr>
        <w:t xml:space="preserve">? </w:t>
      </w:r>
      <w:r>
        <w:rPr>
          <w:kern w:val="0"/>
          <w:szCs w:val="24"/>
        </w:rPr>
        <w:t>Di Cesare, R.</w:t>
      </w:r>
      <w:r w:rsidR="00F81221">
        <w:rPr>
          <w:kern w:val="0"/>
          <w:szCs w:val="24"/>
        </w:rPr>
        <w:t xml:space="preserve"> and </w:t>
      </w:r>
      <w:r>
        <w:rPr>
          <w:kern w:val="0"/>
          <w:szCs w:val="24"/>
        </w:rPr>
        <w:t>Ruggieri, R. (2006), The evaluation of Grey Literature using bibliometric indicators</w:t>
      </w:r>
      <w:r>
        <w:rPr>
          <w:rFonts w:hint="eastAsia"/>
          <w:kern w:val="0"/>
          <w:szCs w:val="24"/>
        </w:rPr>
        <w:t>:</w:t>
      </w:r>
      <w:r>
        <w:rPr>
          <w:kern w:val="0"/>
          <w:szCs w:val="24"/>
        </w:rPr>
        <w:t xml:space="preserve"> A methodological proposal. </w:t>
      </w:r>
      <w:r>
        <w:rPr>
          <w:i/>
          <w:iCs/>
          <w:kern w:val="0"/>
          <w:szCs w:val="24"/>
        </w:rPr>
        <w:t>Information for Responsible Fisheries: Libraries as Mediators, Proceedings</w:t>
      </w:r>
      <w:r>
        <w:rPr>
          <w:kern w:val="0"/>
          <w:szCs w:val="24"/>
        </w:rPr>
        <w:t>, 57-63.</w:t>
      </w:r>
    </w:p>
    <w:p w:rsidR="009A1C18" w:rsidRDefault="009A1C18" w:rsidP="009A1C18">
      <w:pPr>
        <w:pStyle w:val="a0"/>
        <w:rPr>
          <w:kern w:val="0"/>
          <w:szCs w:val="24"/>
        </w:rPr>
      </w:pPr>
      <w:r>
        <w:rPr>
          <w:kern w:val="0"/>
          <w:szCs w:val="24"/>
        </w:rPr>
        <w:t>Abstract: Grey Literature (GL), defined as material in print</w:t>
      </w:r>
      <w:r w:rsidR="00F81221">
        <w:rPr>
          <w:kern w:val="0"/>
          <w:szCs w:val="24"/>
        </w:rPr>
        <w:t xml:space="preserve"> and </w:t>
      </w:r>
      <w:r>
        <w:rPr>
          <w:kern w:val="0"/>
          <w:szCs w:val="24"/>
        </w:rPr>
        <w:t>electronic format not readily available through regular market channels or not widely distributed, has received increasing attention in the last decade. Widespread agreement exists on its importance as an information source. However, problems related to the actual use of GL have not been adequately investigated. This paper proposes a methodology to analyze the use of GL in bibliographic references of journal articles, already applied in some disciplinary fields (Physics, 1994, Agricultural economics, 1995; Demography &amp; Computer sciences, 2004). In order to verify to what extent GL contributes to scientific work, we use bibliometric indicators (frequency of GL use, frequency of GL citing), similar to the ones widely used for conventional literature. A specific bibliometric indicator, that seems useful for measuring GL impact namely the intensity of GL citing, i.e., the average frequency of GL references per article containing GL, is described. Moreover, the potential use of the impact factor as an indicator of variability in GL use is considered. The issues connected with the difficulty of locating</w:t>
      </w:r>
      <w:r w:rsidR="00F81221">
        <w:rPr>
          <w:kern w:val="0"/>
          <w:szCs w:val="24"/>
        </w:rPr>
        <w:t xml:space="preserve"> and </w:t>
      </w:r>
      <w:r>
        <w:rPr>
          <w:kern w:val="0"/>
          <w:szCs w:val="24"/>
        </w:rPr>
        <w:t>identifying citations to GL are also briefly discussed.</w:t>
      </w:r>
    </w:p>
    <w:p w:rsidR="009A1C18" w:rsidRDefault="009A1C18" w:rsidP="009A1C18">
      <w:pPr>
        <w:pStyle w:val="a0"/>
        <w:rPr>
          <w:kern w:val="0"/>
          <w:szCs w:val="24"/>
        </w:rPr>
      </w:pPr>
      <w:r>
        <w:rPr>
          <w:kern w:val="0"/>
          <w:szCs w:val="24"/>
        </w:rPr>
        <w:t>Keywords: Bibliometric Indicators, Citation, Citations, Impact Factor, Journal, Literature</w:t>
      </w:r>
    </w:p>
    <w:p w:rsidR="00575181" w:rsidRPr="00A428C3" w:rsidRDefault="00575181" w:rsidP="00575181">
      <w:pPr>
        <w:pStyle w:val="1"/>
      </w:pPr>
      <w:r w:rsidRPr="00A428C3">
        <w:br w:type="page"/>
      </w:r>
      <w:bookmarkStart w:id="1029" w:name="_Toc317161169"/>
      <w:r w:rsidRPr="00A428C3">
        <w:lastRenderedPageBreak/>
        <w:t xml:space="preserve">Title: </w:t>
      </w:r>
      <w:r w:rsidRPr="00575181">
        <w:rPr>
          <w:iCs/>
        </w:rPr>
        <w:t>Information Retrieval</w:t>
      </w:r>
      <w:bookmarkEnd w:id="1029"/>
    </w:p>
    <w:p w:rsidR="00575181" w:rsidRPr="00A428C3" w:rsidRDefault="00575181" w:rsidP="00B72EF9">
      <w:pPr>
        <w:pStyle w:val="12"/>
      </w:pPr>
      <w:r w:rsidRPr="00A428C3">
        <w:t xml:space="preserve">Full Journal Title: </w:t>
      </w:r>
      <w:hyperlink r:id="rId1464" w:history="1">
        <w:r w:rsidRPr="00575181">
          <w:rPr>
            <w:rStyle w:val="a5"/>
            <w:iCs/>
          </w:rPr>
          <w:t>Information Retrieval</w:t>
        </w:r>
      </w:hyperlink>
    </w:p>
    <w:p w:rsidR="00575181" w:rsidRPr="00A428C3" w:rsidRDefault="00575181" w:rsidP="00B72EF9">
      <w:pPr>
        <w:pStyle w:val="12"/>
      </w:pPr>
      <w:r w:rsidRPr="00A428C3">
        <w:t xml:space="preserve">ISO Abbreviated Title: </w:t>
      </w:r>
    </w:p>
    <w:p w:rsidR="00575181" w:rsidRPr="00A428C3" w:rsidRDefault="00575181" w:rsidP="00B72EF9">
      <w:pPr>
        <w:pStyle w:val="12"/>
      </w:pPr>
      <w:r w:rsidRPr="00A428C3">
        <w:t>JCR Abbreviated Title:</w:t>
      </w:r>
    </w:p>
    <w:p w:rsidR="00575181" w:rsidRPr="00A428C3" w:rsidRDefault="00575181" w:rsidP="00B72EF9">
      <w:pPr>
        <w:pStyle w:val="12"/>
      </w:pPr>
      <w:r>
        <w:t xml:space="preserve">ISSN: </w:t>
      </w:r>
    </w:p>
    <w:p w:rsidR="00575181" w:rsidRPr="00A428C3" w:rsidRDefault="00575181" w:rsidP="00B72EF9">
      <w:pPr>
        <w:pStyle w:val="12"/>
      </w:pPr>
      <w:r w:rsidRPr="00A428C3">
        <w:t xml:space="preserve">Issues/Year: </w:t>
      </w:r>
    </w:p>
    <w:p w:rsidR="00575181" w:rsidRPr="00A428C3" w:rsidRDefault="00575181" w:rsidP="00B72EF9">
      <w:pPr>
        <w:pStyle w:val="12"/>
      </w:pPr>
      <w:r>
        <w:t>Journal Country/Territory:</w:t>
      </w:r>
      <w:r w:rsidRPr="00A428C3">
        <w:t xml:space="preserve"> </w:t>
      </w:r>
    </w:p>
    <w:p w:rsidR="00575181" w:rsidRPr="00A428C3" w:rsidRDefault="00575181" w:rsidP="00B72EF9">
      <w:pPr>
        <w:pStyle w:val="12"/>
      </w:pPr>
      <w:r w:rsidRPr="00A428C3">
        <w:t xml:space="preserve">Language: </w:t>
      </w:r>
    </w:p>
    <w:p w:rsidR="00575181" w:rsidRPr="00A428C3" w:rsidRDefault="00575181" w:rsidP="00B72EF9">
      <w:pPr>
        <w:pStyle w:val="12"/>
      </w:pPr>
      <w:r w:rsidRPr="00A428C3">
        <w:t xml:space="preserve">Publisher: </w:t>
      </w:r>
    </w:p>
    <w:p w:rsidR="00575181" w:rsidRPr="00A428C3" w:rsidRDefault="00575181" w:rsidP="00B72EF9">
      <w:pPr>
        <w:pStyle w:val="12"/>
      </w:pPr>
      <w:r w:rsidRPr="00A428C3">
        <w:t xml:space="preserve">Publisher Address: </w:t>
      </w:r>
    </w:p>
    <w:p w:rsidR="00575181" w:rsidRPr="00A428C3" w:rsidRDefault="00575181" w:rsidP="00B72EF9">
      <w:pPr>
        <w:pStyle w:val="12"/>
      </w:pPr>
      <w:r w:rsidRPr="00A428C3">
        <w:t>Subject Categories:</w:t>
      </w:r>
    </w:p>
    <w:p w:rsidR="00575181" w:rsidRPr="00A428C3" w:rsidRDefault="00575181" w:rsidP="00B72EF9">
      <w:pPr>
        <w:pStyle w:val="12"/>
      </w:pPr>
      <w:r w:rsidRPr="00A428C3">
        <w:t xml:space="preserve">: Impact Factor </w:t>
      </w:r>
    </w:p>
    <w:p w:rsidR="00575181" w:rsidRDefault="00575181" w:rsidP="00575181">
      <w:pPr>
        <w:pStyle w:val="a0"/>
        <w:rPr>
          <w:kern w:val="0"/>
        </w:rPr>
      </w:pPr>
      <w:r>
        <w:rPr>
          <w:rFonts w:hint="eastAsia"/>
          <w:kern w:val="0"/>
        </w:rPr>
        <w:t xml:space="preserve">? </w:t>
      </w:r>
      <w:r>
        <w:rPr>
          <w:kern w:val="0"/>
        </w:rPr>
        <w:t>Couto, T., Ziviani, N., Calado, P., Cristo, M., Goncalves, M., de Moura, E.S.</w:t>
      </w:r>
      <w:r w:rsidR="00F81221">
        <w:rPr>
          <w:kern w:val="0"/>
        </w:rPr>
        <w:t xml:space="preserve"> and </w:t>
      </w:r>
      <w:r>
        <w:rPr>
          <w:kern w:val="0"/>
        </w:rPr>
        <w:t xml:space="preserve">Brandao, W. (2010), Classifying documents with link-based bibliometric measures. </w:t>
      </w:r>
      <w:r w:rsidRPr="00575181">
        <w:rPr>
          <w:i/>
          <w:iCs/>
          <w:kern w:val="0"/>
        </w:rPr>
        <w:t>Information Retrieval</w:t>
      </w:r>
      <w:r>
        <w:rPr>
          <w:kern w:val="0"/>
        </w:rPr>
        <w:t xml:space="preserve">, </w:t>
      </w:r>
      <w:r>
        <w:rPr>
          <w:b/>
          <w:bCs/>
          <w:kern w:val="0"/>
        </w:rPr>
        <w:t>13</w:t>
      </w:r>
      <w:r>
        <w:rPr>
          <w:kern w:val="0"/>
        </w:rPr>
        <w:t xml:space="preserve"> (4), 315-345.</w:t>
      </w:r>
    </w:p>
    <w:p w:rsidR="00575181" w:rsidRDefault="00575181" w:rsidP="00575181">
      <w:pPr>
        <w:pStyle w:val="a0"/>
        <w:rPr>
          <w:kern w:val="0"/>
        </w:rPr>
      </w:pPr>
      <w:r>
        <w:rPr>
          <w:rFonts w:hint="eastAsia"/>
          <w:kern w:val="0"/>
        </w:rPr>
        <w:t xml:space="preserve">Full Text: </w:t>
      </w:r>
      <w:hyperlink r:id="rId1465" w:history="1">
        <w:r w:rsidRPr="00575181">
          <w:rPr>
            <w:rStyle w:val="a5"/>
            <w:kern w:val="0"/>
          </w:rPr>
          <w:t>2010\Inf Ret13, 315.pdf</w:t>
        </w:r>
      </w:hyperlink>
    </w:p>
    <w:p w:rsidR="00575181" w:rsidRDefault="00575181" w:rsidP="00575181">
      <w:pPr>
        <w:pStyle w:val="a0"/>
        <w:rPr>
          <w:kern w:val="0"/>
        </w:rPr>
      </w:pPr>
      <w:r>
        <w:rPr>
          <w:kern w:val="0"/>
        </w:rPr>
        <w:t>Abstract: Automatic document classification can be used to organize documents in a digital library, construct on-line directories, improve the precision of web searching, or help the interactions between user</w:t>
      </w:r>
      <w:r w:rsidR="00F81221">
        <w:rPr>
          <w:kern w:val="0"/>
        </w:rPr>
        <w:t xml:space="preserve"> and </w:t>
      </w:r>
      <w:r>
        <w:rPr>
          <w:kern w:val="0"/>
        </w:rPr>
        <w:t>search engines. In this paper we explore how linkage information inherent to different document collections can be used to enhance the effectiveness of classification algorithms. We have experimented with three link-based bibliometric measures, co-citation, bibliographic coupling</w:t>
      </w:r>
      <w:r w:rsidR="00F81221">
        <w:rPr>
          <w:kern w:val="0"/>
        </w:rPr>
        <w:t xml:space="preserve"> and </w:t>
      </w:r>
      <w:r>
        <w:rPr>
          <w:kern w:val="0"/>
        </w:rPr>
        <w:t>Amsler, on three different document collections: a digital library of computer science papers, a web directory</w:t>
      </w:r>
      <w:r w:rsidR="00F81221">
        <w:rPr>
          <w:kern w:val="0"/>
        </w:rPr>
        <w:t xml:space="preserve"> and </w:t>
      </w:r>
      <w:r>
        <w:rPr>
          <w:kern w:val="0"/>
        </w:rPr>
        <w:t>an on-line encyclopedia. Results show that both hyperlink</w:t>
      </w:r>
      <w:r w:rsidR="00F81221">
        <w:rPr>
          <w:kern w:val="0"/>
        </w:rPr>
        <w:t xml:space="preserve"> and </w:t>
      </w:r>
      <w:r>
        <w:rPr>
          <w:kern w:val="0"/>
        </w:rPr>
        <w:t>citation information can be used to learn reliable</w:t>
      </w:r>
      <w:r w:rsidR="00F81221">
        <w:rPr>
          <w:kern w:val="0"/>
        </w:rPr>
        <w:t xml:space="preserve"> and </w:t>
      </w:r>
      <w:r>
        <w:rPr>
          <w:kern w:val="0"/>
        </w:rPr>
        <w:t>effective classifiers based on a kNN classifier. In one of the test collections used, we obtained improvements of up to 69.8% of macro-averaged F (1) over the traditional text-based kNN classifier, considered as the baseline measure in our experiments. We also present alternative ways of combining bibliometric based classifiers with text based classifiers. Finally, we conducted studies to analyze the situation in which the bibliometric-based classifiers failed</w:t>
      </w:r>
      <w:r w:rsidR="00F81221">
        <w:rPr>
          <w:kern w:val="0"/>
        </w:rPr>
        <w:t xml:space="preserve"> and </w:t>
      </w:r>
      <w:r>
        <w:rPr>
          <w:kern w:val="0"/>
        </w:rPr>
        <w:t>show that in such cases it is hard to reach consensus regarding the correct classes, even for human judges.</w:t>
      </w:r>
    </w:p>
    <w:p w:rsidR="00575181" w:rsidRDefault="00575181" w:rsidP="00575181">
      <w:pPr>
        <w:pStyle w:val="a0"/>
        <w:rPr>
          <w:kern w:val="0"/>
        </w:rPr>
      </w:pPr>
      <w:r>
        <w:rPr>
          <w:kern w:val="0"/>
        </w:rPr>
        <w:t>Keywords: Classification, Cocitation, Digital Libraries, Information, Links, Model, Retrieval, Text Classification, Web, Web Directories</w:t>
      </w:r>
    </w:p>
    <w:p w:rsidR="00B95188" w:rsidRPr="00A428C3" w:rsidRDefault="00B95188" w:rsidP="00B95188">
      <w:pPr>
        <w:pStyle w:val="1"/>
      </w:pPr>
      <w:r w:rsidRPr="00A428C3">
        <w:br w:type="page"/>
      </w:r>
      <w:bookmarkStart w:id="1030" w:name="_Toc186647865"/>
      <w:bookmarkStart w:id="1031" w:name="_Toc317161170"/>
      <w:r w:rsidRPr="00A428C3">
        <w:lastRenderedPageBreak/>
        <w:t xml:space="preserve">Title: </w:t>
      </w:r>
      <w:r w:rsidRPr="00A428C3">
        <w:rPr>
          <w:szCs w:val="12"/>
        </w:rPr>
        <w:t>Information Science</w:t>
      </w:r>
      <w:bookmarkEnd w:id="1030"/>
      <w:bookmarkEnd w:id="1031"/>
    </w:p>
    <w:p w:rsidR="00B95188" w:rsidRPr="00A428C3" w:rsidRDefault="00B95188" w:rsidP="00B72EF9">
      <w:pPr>
        <w:pStyle w:val="12"/>
      </w:pPr>
      <w:r w:rsidRPr="00A428C3">
        <w:t xml:space="preserve">Full Journal Title: </w:t>
      </w:r>
      <w:hyperlink r:id="rId1466" w:history="1">
        <w:r w:rsidRPr="00A428C3">
          <w:rPr>
            <w:rStyle w:val="a5"/>
            <w:szCs w:val="12"/>
          </w:rPr>
          <w:t>Information Science</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ISSN: 1007-7634</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Zhang, M.W. (2000), Bibliometric analysis of medical literature in </w:t>
      </w:r>
      <w:smartTag w:uri="urn:schemas-microsoft-com:office:smarttags" w:element="place">
        <w:smartTag w:uri="urn:schemas-microsoft-com:office:smarttags" w:element="PlaceName">
          <w:r w:rsidRPr="00A428C3">
            <w:t>Harbin</w:t>
          </w:r>
        </w:smartTag>
        <w:r w:rsidRPr="00A428C3">
          <w:t xml:space="preserve"> </w:t>
        </w:r>
        <w:smartTag w:uri="urn:schemas-microsoft-com:office:smarttags" w:element="PlaceName">
          <w:r w:rsidRPr="00A428C3">
            <w:t>Medial</w:t>
          </w:r>
        </w:smartTag>
        <w:r w:rsidRPr="00A428C3">
          <w:t xml:space="preserve"> </w:t>
        </w:r>
        <w:smartTag w:uri="urn:schemas-microsoft-com:office:smarttags" w:element="PlaceType">
          <w:r w:rsidRPr="00A428C3">
            <w:t>University</w:t>
          </w:r>
        </w:smartTag>
      </w:smartTag>
      <w:r w:rsidRPr="00A428C3">
        <w:t xml:space="preserve">. </w:t>
      </w:r>
      <w:r w:rsidRPr="00A428C3">
        <w:rPr>
          <w:i/>
        </w:rPr>
        <w:t>Information Science</w:t>
      </w:r>
      <w:r w:rsidRPr="00A428C3">
        <w:t xml:space="preserve">, </w:t>
      </w:r>
      <w:r w:rsidRPr="00A428C3">
        <w:rPr>
          <w:b/>
        </w:rPr>
        <w:t>18</w:t>
      </w:r>
      <w:r w:rsidRPr="00A428C3">
        <w:t xml:space="preserve"> (2), 177-179.</w:t>
      </w:r>
    </w:p>
    <w:p w:rsidR="00B95188" w:rsidRPr="00A428C3" w:rsidRDefault="00B95188" w:rsidP="00B95188">
      <w:pPr>
        <w:pStyle w:val="a0"/>
      </w:pPr>
      <w:r w:rsidRPr="00A428C3">
        <w:t xml:space="preserve">Full Text: </w:t>
      </w:r>
      <w:hyperlink r:id="rId1467" w:history="1">
        <w:r w:rsidRPr="00A428C3">
          <w:rPr>
            <w:rStyle w:val="a5"/>
          </w:rPr>
          <w:t>2000\Inf Sci18, 177.pdf</w:t>
        </w:r>
      </w:hyperlink>
    </w:p>
    <w:p w:rsidR="00B95188" w:rsidRPr="00A428C3" w:rsidRDefault="00B95188" w:rsidP="00B95188">
      <w:pPr>
        <w:pStyle w:val="a0"/>
      </w:pPr>
      <w:r w:rsidRPr="00A428C3">
        <w:t xml:space="preserve">Abstract: Based on </w:t>
      </w:r>
      <w:r w:rsidR="000352E7">
        <w:t>“</w:t>
      </w:r>
      <w:r w:rsidRPr="00A428C3">
        <w:t>Chinese Biomedical Literature CD - ROM Database</w:t>
      </w:r>
      <w:r w:rsidR="000352E7">
        <w:t>”</w:t>
      </w:r>
      <w:r w:rsidR="00F81221">
        <w:t xml:space="preserve"> and </w:t>
      </w:r>
      <w:r w:rsidR="000352E7">
        <w:t>“</w:t>
      </w:r>
      <w:r w:rsidRPr="00A428C3">
        <w:t>MEDLINE CD - ROM Database</w:t>
      </w:r>
      <w:r w:rsidR="000352E7">
        <w:t>”</w:t>
      </w:r>
      <w:r w:rsidRPr="00A428C3">
        <w:t xml:space="preserve">, this paper has made bibliometric analysis from various angles of papers written by </w:t>
      </w:r>
      <w:smartTag w:uri="urn:schemas-microsoft-com:office:smarttags" w:element="PlaceName">
        <w:r w:rsidRPr="00A428C3">
          <w:t>Harbin</w:t>
        </w:r>
      </w:smartTag>
      <w:r w:rsidRPr="00A428C3">
        <w:t xml:space="preserve"> </w:t>
      </w:r>
      <w:smartTag w:uri="urn:schemas-microsoft-com:office:smarttags" w:element="PlaceName">
        <w:r w:rsidRPr="00A428C3">
          <w:t>Medical</w:t>
        </w:r>
      </w:smartTag>
      <w:r w:rsidRPr="00A428C3">
        <w:t xml:space="preserve"> University</w:t>
      </w:r>
      <w:r w:rsidR="00F81221">
        <w:t xml:space="preserve"> and </w:t>
      </w:r>
      <w:r w:rsidRPr="00A428C3">
        <w:t xml:space="preserve">published in </w:t>
      </w:r>
      <w:r w:rsidR="000352E7">
        <w:t>“</w:t>
      </w:r>
      <w:r w:rsidRPr="00A428C3">
        <w:t>Zhong Hua</w:t>
      </w:r>
      <w:r w:rsidR="000352E7">
        <w:t>”</w:t>
      </w:r>
      <w:r w:rsidRPr="00A428C3">
        <w:t xml:space="preserve"> Series Journals.</w:t>
      </w:r>
    </w:p>
    <w:p w:rsidR="00B95188" w:rsidRPr="00A428C3" w:rsidRDefault="00B95188" w:rsidP="00B95188">
      <w:pPr>
        <w:pStyle w:val="a0"/>
      </w:pPr>
      <w:r w:rsidRPr="00A428C3">
        <w:t>Keywords: Medical Literature Bibliometric Analysis</w:t>
      </w:r>
    </w:p>
    <w:p w:rsidR="00B95188" w:rsidRPr="00A428C3" w:rsidRDefault="00B95188" w:rsidP="00B95188">
      <w:pPr>
        <w:pStyle w:val="a0"/>
      </w:pPr>
      <w:r w:rsidRPr="00A428C3">
        <w:t>? Zhang, M.G</w:t>
      </w:r>
      <w:r w:rsidRPr="00A428C3">
        <w:rPr>
          <w:szCs w:val="12"/>
        </w:rPr>
        <w:t>.</w:t>
      </w:r>
      <w:r w:rsidRPr="00A428C3">
        <w:t xml:space="preserve"> (2000), Statistics research of cited frequency of Journal of </w:t>
      </w:r>
      <w:smartTag w:uri="urn:schemas-microsoft-com:office:smarttags" w:element="place">
        <w:smartTag w:uri="urn:schemas-microsoft-com:office:smarttags" w:element="PlaceName">
          <w:r w:rsidRPr="00A428C3">
            <w:t>Haerbin</w:t>
          </w:r>
        </w:smartTag>
        <w:r w:rsidRPr="00A428C3">
          <w:t xml:space="preserve"> </w:t>
        </w:r>
        <w:smartTag w:uri="urn:schemas-microsoft-com:office:smarttags" w:element="PlaceName">
          <w:r w:rsidRPr="00A428C3">
            <w:t>Medical</w:t>
          </w:r>
        </w:smartTag>
        <w:r w:rsidRPr="00A428C3">
          <w:t xml:space="preserve"> </w:t>
        </w:r>
        <w:smartTag w:uri="urn:schemas-microsoft-com:office:smarttags" w:element="PlaceType">
          <w:r w:rsidRPr="00A428C3">
            <w:t>University</w:t>
          </w:r>
        </w:smartTag>
      </w:smartTag>
      <w:r w:rsidRPr="00A428C3">
        <w:t>.</w:t>
      </w:r>
      <w:r w:rsidRPr="00A428C3">
        <w:rPr>
          <w:szCs w:val="12"/>
        </w:rPr>
        <w:t xml:space="preserve"> </w:t>
      </w:r>
      <w:r w:rsidRPr="00A428C3">
        <w:rPr>
          <w:i/>
          <w:szCs w:val="12"/>
        </w:rPr>
        <w:t>Information Science</w:t>
      </w:r>
      <w:r w:rsidRPr="00A428C3">
        <w:t xml:space="preserve">, </w:t>
      </w:r>
      <w:r w:rsidRPr="00A428C3">
        <w:rPr>
          <w:b/>
        </w:rPr>
        <w:t>18</w:t>
      </w:r>
      <w:r w:rsidRPr="00A428C3">
        <w:t xml:space="preserve"> (8), 758-761.</w:t>
      </w:r>
    </w:p>
    <w:p w:rsidR="00B95188" w:rsidRPr="00A428C3" w:rsidRDefault="00B95188" w:rsidP="00B95188">
      <w:pPr>
        <w:pStyle w:val="a0"/>
      </w:pPr>
      <w:r w:rsidRPr="00A428C3">
        <w:t xml:space="preserve">Full Text: </w:t>
      </w:r>
      <w:hyperlink r:id="rId1468" w:history="1">
        <w:r w:rsidRPr="00A428C3">
          <w:rPr>
            <w:rStyle w:val="a5"/>
          </w:rPr>
          <w:t>2000\Inf Sci18, 758.pdf</w:t>
        </w:r>
      </w:hyperlink>
    </w:p>
    <w:p w:rsidR="00B95188" w:rsidRPr="00A428C3" w:rsidRDefault="00B95188" w:rsidP="00B95188">
      <w:pPr>
        <w:pStyle w:val="a0"/>
      </w:pPr>
      <w:r w:rsidRPr="00A428C3">
        <w:t>Abstract: By making use of CSCD, bibliometric research on Journal of Harbin Medical University (HMU) cited by Chinese scientific</w:t>
      </w:r>
      <w:r w:rsidR="00F81221">
        <w:t xml:space="preserve"> and </w:t>
      </w:r>
      <w:r w:rsidRPr="00A428C3">
        <w:t xml:space="preserve">technical journals was made in this paper.Moreover, Journal of HMU was comprehensively evaluated based on the result. </w:t>
      </w:r>
    </w:p>
    <w:p w:rsidR="00B95188" w:rsidRPr="00A428C3" w:rsidRDefault="00B95188" w:rsidP="00B95188">
      <w:pPr>
        <w:pStyle w:val="a0"/>
      </w:pPr>
      <w:r w:rsidRPr="00A428C3">
        <w:t xml:space="preserve">Keywords: CSCD Journal of </w:t>
      </w:r>
      <w:smartTag w:uri="urn:schemas-microsoft-com:office:smarttags" w:element="place">
        <w:smartTag w:uri="urn:schemas-microsoft-com:office:smarttags" w:element="PlaceName">
          <w:r w:rsidRPr="00A428C3">
            <w:t>Haerbin</w:t>
          </w:r>
        </w:smartTag>
        <w:r w:rsidRPr="00A428C3">
          <w:t xml:space="preserve"> </w:t>
        </w:r>
        <w:smartTag w:uri="urn:schemas-microsoft-com:office:smarttags" w:element="PlaceName">
          <w:r w:rsidRPr="00A428C3">
            <w:t>Medical</w:t>
          </w:r>
        </w:smartTag>
        <w:r w:rsidRPr="00A428C3">
          <w:t xml:space="preserve"> </w:t>
        </w:r>
        <w:smartTag w:uri="urn:schemas-microsoft-com:office:smarttags" w:element="PlaceType">
          <w:r w:rsidRPr="00A428C3">
            <w:t>University</w:t>
          </w:r>
        </w:smartTag>
      </w:smartTag>
      <w:r w:rsidRPr="00A428C3">
        <w:t xml:space="preserve"> Cited frequencey impact factor</w:t>
      </w:r>
    </w:p>
    <w:p w:rsidR="00B95188" w:rsidRPr="00A428C3" w:rsidRDefault="00B95188" w:rsidP="00B95188">
      <w:pPr>
        <w:pStyle w:val="a0"/>
      </w:pPr>
      <w:r w:rsidRPr="00A428C3">
        <w:t>? Zhang, M.W. (2000), The investigation</w:t>
      </w:r>
      <w:r w:rsidR="00F81221">
        <w:t xml:space="preserve"> and </w:t>
      </w:r>
      <w:r w:rsidRPr="00A428C3">
        <w:t xml:space="preserve">research of core teacher construction in the firsth affiliated hospital of hmu by making use of CSCD. </w:t>
      </w:r>
      <w:r w:rsidRPr="00A428C3">
        <w:rPr>
          <w:i/>
        </w:rPr>
        <w:t>Information Science</w:t>
      </w:r>
      <w:r w:rsidRPr="00A428C3">
        <w:t xml:space="preserve">, </w:t>
      </w:r>
      <w:r w:rsidRPr="00A428C3">
        <w:rPr>
          <w:b/>
        </w:rPr>
        <w:t>18</w:t>
      </w:r>
      <w:r w:rsidRPr="00A428C3">
        <w:t xml:space="preserve"> (10), 927-930.</w:t>
      </w:r>
    </w:p>
    <w:p w:rsidR="00B95188" w:rsidRPr="00A428C3" w:rsidRDefault="00B95188" w:rsidP="00B95188">
      <w:pPr>
        <w:pStyle w:val="a0"/>
      </w:pPr>
      <w:r w:rsidRPr="00A428C3">
        <w:t xml:space="preserve">Full Text: </w:t>
      </w:r>
      <w:hyperlink r:id="rId1469" w:history="1">
        <w:r w:rsidRPr="00A428C3">
          <w:rPr>
            <w:rStyle w:val="a5"/>
          </w:rPr>
          <w:t>2000\Inf Sci18, 927.pdf</w:t>
        </w:r>
      </w:hyperlink>
    </w:p>
    <w:p w:rsidR="00B95188" w:rsidRPr="00A428C3" w:rsidRDefault="00B95188" w:rsidP="00B95188">
      <w:pPr>
        <w:pStyle w:val="a0"/>
      </w:pPr>
      <w:r w:rsidRPr="00A428C3">
        <w:t>Abstract: By making use of CSCD to investigate the academic articles</w:t>
      </w:r>
      <w:r w:rsidR="00F81221">
        <w:t xml:space="preserve"> and </w:t>
      </w:r>
      <w:r w:rsidRPr="00A428C3">
        <w:t xml:space="preserve">related citation in the first affiliated </w:t>
      </w:r>
      <w:smartTag w:uri="urn:schemas-microsoft-com:office:smarttags" w:element="place">
        <w:smartTag w:uri="urn:schemas-microsoft-com:office:smarttags" w:element="PlaceType">
          <w:r w:rsidRPr="00A428C3">
            <w:t>hospital</w:t>
          </w:r>
        </w:smartTag>
        <w:r w:rsidRPr="00A428C3">
          <w:t xml:space="preserve"> of </w:t>
        </w:r>
        <w:smartTag w:uri="urn:schemas-microsoft-com:office:smarttags" w:element="PlaceName">
          <w:r w:rsidRPr="00A428C3">
            <w:t>Harbin Medical</w:t>
          </w:r>
        </w:smartTag>
      </w:smartTag>
      <w:r w:rsidRPr="00A428C3">
        <w:t xml:space="preserve"> University,some significant results are expected in this paper</w:t>
      </w:r>
      <w:r w:rsidR="00F81221">
        <w:t xml:space="preserve"> and </w:t>
      </w:r>
      <w:r w:rsidRPr="00A428C3">
        <w:t>further evaluation was made on the basis of them.</w:t>
      </w:r>
    </w:p>
    <w:p w:rsidR="00B95188" w:rsidRPr="00A428C3" w:rsidRDefault="00B95188" w:rsidP="00B95188">
      <w:pPr>
        <w:pStyle w:val="a0"/>
      </w:pPr>
      <w:r w:rsidRPr="00A428C3">
        <w:lastRenderedPageBreak/>
        <w:t>Keywords: CSCD Bibliometric Analysis Citation Analysis Cited Frequency</w:t>
      </w:r>
    </w:p>
    <w:p w:rsidR="00B95188" w:rsidRPr="00A428C3" w:rsidRDefault="00B95188" w:rsidP="00B95188">
      <w:pPr>
        <w:pStyle w:val="a0"/>
      </w:pPr>
      <w:r w:rsidRPr="00A428C3">
        <w:t>? Chen, W.J. (2001), Comparison between bibliometric method</w:t>
      </w:r>
      <w:r w:rsidR="00F81221">
        <w:t xml:space="preserve"> and </w:t>
      </w:r>
      <w:r w:rsidRPr="00A428C3">
        <w:t xml:space="preserve">content analysis method. </w:t>
      </w:r>
      <w:r w:rsidRPr="00A428C3">
        <w:rPr>
          <w:i/>
        </w:rPr>
        <w:t>Information Science</w:t>
      </w:r>
      <w:r w:rsidRPr="00A428C3">
        <w:t xml:space="preserve">, </w:t>
      </w:r>
      <w:r w:rsidRPr="00A428C3">
        <w:rPr>
          <w:b/>
        </w:rPr>
        <w:t>19</w:t>
      </w:r>
      <w:r w:rsidRPr="00A428C3">
        <w:t xml:space="preserve"> (8), 884-886.</w:t>
      </w:r>
    </w:p>
    <w:p w:rsidR="00B95188" w:rsidRPr="00A428C3" w:rsidRDefault="00B95188" w:rsidP="00B95188">
      <w:pPr>
        <w:pStyle w:val="a0"/>
      </w:pPr>
      <w:r w:rsidRPr="00A428C3">
        <w:t xml:space="preserve">Full Text: </w:t>
      </w:r>
      <w:hyperlink r:id="rId1470" w:history="1">
        <w:r w:rsidRPr="00A428C3">
          <w:rPr>
            <w:rStyle w:val="a5"/>
          </w:rPr>
          <w:t>2001\Inf Sci19, 884.pdf</w:t>
        </w:r>
      </w:hyperlink>
    </w:p>
    <w:p w:rsidR="00B95188" w:rsidRPr="00A428C3" w:rsidRDefault="00B95188" w:rsidP="00B95188">
      <w:pPr>
        <w:pStyle w:val="a0"/>
      </w:pPr>
      <w:r w:rsidRPr="00A428C3">
        <w:t>Abstract: Bibliometric method</w:t>
      </w:r>
      <w:r w:rsidR="00F81221">
        <w:t xml:space="preserve"> and </w:t>
      </w:r>
      <w:r w:rsidRPr="00A428C3">
        <w:t>content analysis method are all quantitative research method, but there are many differences between them on research objects, methodology base, application range</w:t>
      </w:r>
      <w:r w:rsidR="00F81221">
        <w:t xml:space="preserve"> and </w:t>
      </w:r>
      <w:r w:rsidRPr="00A428C3">
        <w:t>so on.</w:t>
      </w:r>
    </w:p>
    <w:p w:rsidR="00B95188" w:rsidRPr="00A428C3" w:rsidRDefault="00B95188" w:rsidP="00B95188">
      <w:pPr>
        <w:pStyle w:val="a0"/>
      </w:pPr>
      <w:r w:rsidRPr="00A428C3">
        <w:t>? Lan, X.Y.</w:t>
      </w:r>
      <w:r w:rsidR="00F81221">
        <w:t xml:space="preserve"> and </w:t>
      </w:r>
      <w:r w:rsidRPr="00A428C3">
        <w:t>Zhang, Y.W</w:t>
      </w:r>
      <w:r w:rsidRPr="00A428C3">
        <w:rPr>
          <w:szCs w:val="12"/>
        </w:rPr>
        <w:t>.</w:t>
      </w:r>
      <w:r w:rsidRPr="00A428C3">
        <w:t xml:space="preserve"> (2002), A statistical analysis on papers</w:t>
      </w:r>
      <w:r>
        <w:t>,</w:t>
      </w:r>
      <w:r w:rsidRPr="00A428C3">
        <w:t xml:space="preserve"> authors</w:t>
      </w:r>
      <w:r w:rsidR="00F81221">
        <w:t xml:space="preserve"> and </w:t>
      </w:r>
      <w:r w:rsidRPr="00A428C3">
        <w:t>quotations in library</w:t>
      </w:r>
      <w:r w:rsidR="00F81221">
        <w:t xml:space="preserve"> and </w:t>
      </w:r>
      <w:r w:rsidRPr="00A428C3">
        <w:t>information service in 2000.</w:t>
      </w:r>
      <w:r w:rsidRPr="00A428C3">
        <w:rPr>
          <w:szCs w:val="12"/>
        </w:rPr>
        <w:t xml:space="preserve"> </w:t>
      </w:r>
      <w:r w:rsidRPr="00A428C3">
        <w:rPr>
          <w:i/>
          <w:szCs w:val="12"/>
        </w:rPr>
        <w:t>Information Science</w:t>
      </w:r>
      <w:r w:rsidRPr="00A428C3">
        <w:t xml:space="preserve">, </w:t>
      </w:r>
      <w:r w:rsidRPr="00A428C3">
        <w:rPr>
          <w:b/>
        </w:rPr>
        <w:t>20</w:t>
      </w:r>
      <w:r w:rsidRPr="00A428C3">
        <w:t xml:space="preserve"> (5), 493-496</w:t>
      </w:r>
      <w:r>
        <w:rPr>
          <w:rFonts w:hint="eastAsia"/>
        </w:rPr>
        <w:t>,</w:t>
      </w:r>
    </w:p>
    <w:p w:rsidR="00B95188" w:rsidRPr="00A428C3" w:rsidRDefault="00B95188" w:rsidP="00B95188">
      <w:pPr>
        <w:pStyle w:val="a0"/>
      </w:pPr>
      <w:r w:rsidRPr="00A428C3">
        <w:t xml:space="preserve">Full Text: </w:t>
      </w:r>
      <w:hyperlink r:id="rId1471" w:history="1">
        <w:r w:rsidRPr="00A428C3">
          <w:rPr>
            <w:rStyle w:val="a5"/>
          </w:rPr>
          <w:t>2002\Inf Sci20, 493.pdf</w:t>
        </w:r>
      </w:hyperlink>
    </w:p>
    <w:p w:rsidR="00B95188" w:rsidRPr="00A428C3" w:rsidRDefault="00B95188" w:rsidP="00B95188">
      <w:pPr>
        <w:pStyle w:val="a0"/>
      </w:pPr>
      <w:r w:rsidRPr="00A428C3">
        <w:t>Abstract: Applying bibliometric statistical methods to count</w:t>
      </w:r>
      <w:r w:rsidR="00F81221">
        <w:t xml:space="preserve"> and </w:t>
      </w:r>
      <w:r w:rsidRPr="00A428C3">
        <w:t>analyses the papers</w:t>
      </w:r>
      <w:r>
        <w:rPr>
          <w:rFonts w:hint="eastAsia"/>
        </w:rPr>
        <w:t xml:space="preserve">, </w:t>
      </w:r>
      <w:r w:rsidRPr="00A428C3">
        <w:t>authors</w:t>
      </w:r>
      <w:r w:rsidR="00F81221">
        <w:t xml:space="preserve"> and </w:t>
      </w:r>
      <w:r w:rsidRPr="00A428C3">
        <w:t>quotations delivered in Library</w:t>
      </w:r>
      <w:r w:rsidR="00F81221">
        <w:t xml:space="preserve"> and </w:t>
      </w:r>
      <w:r w:rsidRPr="00A428C3">
        <w:t>Information Service in 2000, the characteristics of those papers</w:t>
      </w:r>
      <w:r>
        <w:rPr>
          <w:rFonts w:hint="eastAsia"/>
        </w:rPr>
        <w:t xml:space="preserve">, </w:t>
      </w:r>
      <w:r w:rsidRPr="00A428C3">
        <w:t>author</w:t>
      </w:r>
      <w:r>
        <w:t>s</w:t>
      </w:r>
      <w:r w:rsidR="00F81221">
        <w:t xml:space="preserve"> and </w:t>
      </w:r>
      <w:r>
        <w:t>quotations are expounded.</w:t>
      </w:r>
    </w:p>
    <w:p w:rsidR="00B95188" w:rsidRPr="00A428C3" w:rsidRDefault="00B95188" w:rsidP="00B95188">
      <w:pPr>
        <w:pStyle w:val="a0"/>
      </w:pPr>
      <w:r w:rsidRPr="00A428C3">
        <w:t>Keywords: Library</w:t>
      </w:r>
      <w:r w:rsidR="00F81221">
        <w:t xml:space="preserve"> and </w:t>
      </w:r>
      <w:r w:rsidRPr="00A428C3">
        <w:t>Information Service Papers Analysis Authors Analysis Quotations Analysis Statistical Analysis</w:t>
      </w:r>
    </w:p>
    <w:p w:rsidR="00B95188" w:rsidRPr="00A428C3" w:rsidRDefault="00B95188" w:rsidP="00B95188">
      <w:pPr>
        <w:pStyle w:val="a0"/>
      </w:pPr>
      <w:r w:rsidRPr="00A428C3">
        <w:t>? Lan, X.Y.</w:t>
      </w:r>
      <w:r w:rsidR="00F81221">
        <w:t xml:space="preserve"> and </w:t>
      </w:r>
      <w:r w:rsidRPr="00A428C3">
        <w:t>Zhang, Y.W</w:t>
      </w:r>
      <w:r w:rsidRPr="00A428C3">
        <w:rPr>
          <w:szCs w:val="12"/>
        </w:rPr>
        <w:t>.</w:t>
      </w:r>
      <w:r w:rsidRPr="00A428C3">
        <w:t xml:space="preserve"> (2002), A quantitative analysis of the papers on digital library in </w:t>
      </w:r>
      <w:smartTag w:uri="urn:schemas-microsoft-com:office:smarttags" w:element="place">
        <w:smartTag w:uri="urn:schemas-microsoft-com:office:smarttags" w:element="country-region">
          <w:r w:rsidRPr="00A428C3">
            <w:t>China</w:t>
          </w:r>
        </w:smartTag>
      </w:smartTag>
      <w:r w:rsidRPr="00A428C3">
        <w:t>.</w:t>
      </w:r>
      <w:r w:rsidRPr="00A428C3">
        <w:rPr>
          <w:szCs w:val="12"/>
        </w:rPr>
        <w:t xml:space="preserve"> </w:t>
      </w:r>
      <w:r w:rsidRPr="00A428C3">
        <w:rPr>
          <w:i/>
          <w:szCs w:val="12"/>
        </w:rPr>
        <w:t>Information Science</w:t>
      </w:r>
      <w:r w:rsidRPr="00A428C3">
        <w:t xml:space="preserve">, </w:t>
      </w:r>
      <w:r w:rsidRPr="00A428C3">
        <w:rPr>
          <w:b/>
        </w:rPr>
        <w:t>20</w:t>
      </w:r>
      <w:r w:rsidRPr="00A428C3">
        <w:t xml:space="preserve"> (6), 595-598</w:t>
      </w:r>
    </w:p>
    <w:p w:rsidR="00B95188" w:rsidRPr="00A428C3" w:rsidRDefault="00B95188" w:rsidP="00B95188">
      <w:pPr>
        <w:pStyle w:val="a0"/>
      </w:pPr>
      <w:r w:rsidRPr="00A428C3">
        <w:t xml:space="preserve">Full Text: </w:t>
      </w:r>
      <w:hyperlink r:id="rId1472" w:history="1">
        <w:r w:rsidRPr="00A428C3">
          <w:rPr>
            <w:rStyle w:val="a5"/>
          </w:rPr>
          <w:t>2002\Inf Sci20, 595.pdf</w:t>
        </w:r>
      </w:hyperlink>
    </w:p>
    <w:p w:rsidR="00B95188" w:rsidRPr="00A428C3" w:rsidRDefault="00B95188" w:rsidP="00B95188">
      <w:pPr>
        <w:pStyle w:val="a0"/>
      </w:pPr>
      <w:r w:rsidRPr="00A428C3">
        <w:t>Abstract: By means of bibliometric methods the 663 papers on digital library study issued in 22 coreperiodicals in library &amp; information science from 1994 to 2001 are quantitatively analyzed in terms of time</w:t>
      </w:r>
      <w:r w:rsidR="00F81221">
        <w:t xml:space="preserve"> and </w:t>
      </w:r>
      <w:r w:rsidRPr="00A428C3">
        <w:t>space distribution, content distribution, author distribution</w:t>
      </w:r>
      <w:r w:rsidR="00F81221">
        <w:t xml:space="preserve"> and </w:t>
      </w:r>
      <w:r w:rsidRPr="00A428C3">
        <w:t>citation distribution.Some relevant problems existing in digital library study in our country are also discu</w:t>
      </w:r>
      <w:r>
        <w:t>ssed.</w:t>
      </w:r>
    </w:p>
    <w:p w:rsidR="00B95188" w:rsidRPr="00A428C3" w:rsidRDefault="00B95188" w:rsidP="00B95188">
      <w:pPr>
        <w:pStyle w:val="a0"/>
      </w:pPr>
      <w:r w:rsidRPr="00A428C3">
        <w:t>Keywords: Digital Library Virtual Library Electronic Library Bibliometrics</w:t>
      </w:r>
    </w:p>
    <w:p w:rsidR="00B95188" w:rsidRPr="00A428C3" w:rsidRDefault="00B95188" w:rsidP="00B95188">
      <w:pPr>
        <w:pStyle w:val="a0"/>
      </w:pPr>
      <w:r w:rsidRPr="00A428C3">
        <w:t xml:space="preserve">? </w:t>
      </w:r>
      <w:r w:rsidRPr="00A428C3">
        <w:rPr>
          <w:lang w:eastAsia="zh-CN"/>
        </w:rPr>
        <w:t>Lü</w:t>
      </w:r>
      <w:r w:rsidRPr="00A428C3">
        <w:t>,</w:t>
      </w:r>
      <w:r w:rsidRPr="00A428C3">
        <w:rPr>
          <w:lang w:eastAsia="zh-CN"/>
        </w:rPr>
        <w:t xml:space="preserve"> F</w:t>
      </w:r>
      <w:r w:rsidRPr="00A428C3">
        <w:rPr>
          <w:szCs w:val="12"/>
        </w:rPr>
        <w:t>.</w:t>
      </w:r>
      <w:r w:rsidRPr="00A428C3">
        <w:t xml:space="preserve"> (2003), </w:t>
      </w:r>
      <w:r w:rsidRPr="00A428C3">
        <w:rPr>
          <w:lang w:eastAsia="zh-CN"/>
        </w:rPr>
        <w:t>A statistical analyses on papers</w:t>
      </w:r>
      <w:r>
        <w:t>,</w:t>
      </w:r>
      <w:r w:rsidRPr="00A428C3">
        <w:rPr>
          <w:lang w:eastAsia="zh-CN"/>
        </w:rPr>
        <w:t xml:space="preserve"> authors</w:t>
      </w:r>
      <w:r w:rsidR="00F81221">
        <w:rPr>
          <w:lang w:eastAsia="zh-CN"/>
        </w:rPr>
        <w:t xml:space="preserve"> and </w:t>
      </w:r>
      <w:r w:rsidRPr="00A428C3">
        <w:rPr>
          <w:lang w:eastAsia="zh-CN"/>
        </w:rPr>
        <w:t>quotations in Information Science in 2001</w:t>
      </w:r>
      <w:r w:rsidRPr="00A428C3">
        <w:t>.</w:t>
      </w:r>
      <w:r w:rsidRPr="00A428C3">
        <w:rPr>
          <w:szCs w:val="12"/>
        </w:rPr>
        <w:t xml:space="preserve"> </w:t>
      </w:r>
      <w:r w:rsidRPr="00A428C3">
        <w:rPr>
          <w:i/>
          <w:szCs w:val="12"/>
        </w:rPr>
        <w:t>Information Science</w:t>
      </w:r>
      <w:r w:rsidRPr="00A428C3">
        <w:t xml:space="preserve">, </w:t>
      </w:r>
      <w:r w:rsidRPr="00A428C3">
        <w:rPr>
          <w:b/>
        </w:rPr>
        <w:t>21</w:t>
      </w:r>
      <w:r w:rsidRPr="00A428C3">
        <w:t xml:space="preserve"> (11), 2173-2175</w:t>
      </w:r>
      <w:r>
        <w:rPr>
          <w:rFonts w:hint="eastAsia"/>
        </w:rPr>
        <w:t>.</w:t>
      </w:r>
    </w:p>
    <w:p w:rsidR="00B95188" w:rsidRPr="00A428C3" w:rsidRDefault="00B95188" w:rsidP="00B95188">
      <w:pPr>
        <w:pStyle w:val="a0"/>
      </w:pPr>
      <w:r w:rsidRPr="00A428C3">
        <w:t xml:space="preserve">Full Text: </w:t>
      </w:r>
      <w:hyperlink r:id="rId1473" w:history="1">
        <w:r w:rsidRPr="00A428C3">
          <w:rPr>
            <w:rStyle w:val="a5"/>
          </w:rPr>
          <w:t>2003\Inf Sci21, 2173.pdf</w:t>
        </w:r>
      </w:hyperlink>
    </w:p>
    <w:p w:rsidR="00B95188" w:rsidRPr="00A428C3" w:rsidRDefault="00B95188" w:rsidP="00B95188">
      <w:pPr>
        <w:pStyle w:val="a0"/>
      </w:pPr>
      <w:r w:rsidRPr="00A428C3">
        <w:rPr>
          <w:lang w:eastAsia="zh-CN"/>
        </w:rPr>
        <w:t>Abstract: Applying bibliometric statistical methods to count</w:t>
      </w:r>
      <w:r w:rsidR="00F81221">
        <w:rPr>
          <w:lang w:eastAsia="zh-CN"/>
        </w:rPr>
        <w:t xml:space="preserve"> and </w:t>
      </w:r>
      <w:r w:rsidRPr="00A428C3">
        <w:rPr>
          <w:lang w:eastAsia="zh-CN"/>
        </w:rPr>
        <w:t>analyses the papers</w:t>
      </w:r>
      <w:r>
        <w:rPr>
          <w:rFonts w:hint="eastAsia"/>
        </w:rPr>
        <w:t xml:space="preserve">, </w:t>
      </w:r>
      <w:r w:rsidRPr="00A428C3">
        <w:rPr>
          <w:lang w:eastAsia="zh-CN"/>
        </w:rPr>
        <w:t>authors</w:t>
      </w:r>
      <w:r w:rsidR="00F81221">
        <w:rPr>
          <w:lang w:eastAsia="zh-CN"/>
        </w:rPr>
        <w:t xml:space="preserve"> and </w:t>
      </w:r>
      <w:r w:rsidRPr="00A428C3">
        <w:rPr>
          <w:lang w:eastAsia="zh-CN"/>
        </w:rPr>
        <w:t>quotations delivered in Information Science in 2001, the characteristics of those papers</w:t>
      </w:r>
      <w:r>
        <w:rPr>
          <w:rFonts w:hint="eastAsia"/>
        </w:rPr>
        <w:t xml:space="preserve">, </w:t>
      </w:r>
      <w:r w:rsidRPr="00A428C3">
        <w:rPr>
          <w:lang w:eastAsia="zh-CN"/>
        </w:rPr>
        <w:t>author</w:t>
      </w:r>
      <w:r>
        <w:rPr>
          <w:lang w:eastAsia="zh-CN"/>
        </w:rPr>
        <w:t>s</w:t>
      </w:r>
      <w:r w:rsidR="00F81221">
        <w:rPr>
          <w:lang w:eastAsia="zh-CN"/>
        </w:rPr>
        <w:t xml:space="preserve"> and </w:t>
      </w:r>
      <w:r>
        <w:rPr>
          <w:lang w:eastAsia="zh-CN"/>
        </w:rPr>
        <w:t>quotations are expounded.</w:t>
      </w:r>
    </w:p>
    <w:p w:rsidR="00B95188" w:rsidRPr="00A428C3" w:rsidRDefault="00B95188" w:rsidP="00B95188">
      <w:pPr>
        <w:pStyle w:val="a0"/>
      </w:pPr>
      <w:r w:rsidRPr="00A428C3">
        <w:rPr>
          <w:lang w:eastAsia="zh-CN"/>
        </w:rPr>
        <w:t>Keywords: Information Science Papers Analyses Authors Anlyses Quotations Analyses Statistical Analyses</w:t>
      </w:r>
    </w:p>
    <w:p w:rsidR="00B95188" w:rsidRPr="00A428C3" w:rsidRDefault="00B95188" w:rsidP="00B95188">
      <w:pPr>
        <w:pStyle w:val="a0"/>
      </w:pPr>
      <w:r w:rsidRPr="00A428C3">
        <w:t xml:space="preserve">? </w:t>
      </w:r>
      <w:r w:rsidRPr="00A428C3">
        <w:rPr>
          <w:lang w:eastAsia="zh-CN"/>
        </w:rPr>
        <w:t>Cao</w:t>
      </w:r>
      <w:r w:rsidRPr="00A428C3">
        <w:t>,</w:t>
      </w:r>
      <w:r w:rsidRPr="00A428C3">
        <w:rPr>
          <w:lang w:eastAsia="zh-CN"/>
        </w:rPr>
        <w:t xml:space="preserve"> Y</w:t>
      </w:r>
      <w:r w:rsidRPr="00A428C3">
        <w:rPr>
          <w:szCs w:val="12"/>
        </w:rPr>
        <w:t>.</w:t>
      </w:r>
      <w:r w:rsidRPr="00A428C3">
        <w:t xml:space="preserve"> (2004), </w:t>
      </w:r>
      <w:r w:rsidRPr="00A428C3">
        <w:rPr>
          <w:lang w:eastAsia="zh-CN"/>
        </w:rPr>
        <w:t xml:space="preserve">A bibliometric analysis on intellectual property of digital library in </w:t>
      </w:r>
      <w:smartTag w:uri="urn:schemas-microsoft-com:office:smarttags" w:element="place">
        <w:smartTag w:uri="urn:schemas-microsoft-com:office:smarttags" w:element="country-region">
          <w:r w:rsidRPr="00A428C3">
            <w:rPr>
              <w:lang w:eastAsia="zh-CN"/>
            </w:rPr>
            <w:t>China</w:t>
          </w:r>
        </w:smartTag>
      </w:smartTag>
      <w:r w:rsidRPr="00A428C3">
        <w:t>.</w:t>
      </w:r>
      <w:r w:rsidRPr="00A428C3">
        <w:rPr>
          <w:szCs w:val="12"/>
        </w:rPr>
        <w:t xml:space="preserve"> </w:t>
      </w:r>
      <w:r w:rsidRPr="00A428C3">
        <w:rPr>
          <w:i/>
          <w:szCs w:val="12"/>
        </w:rPr>
        <w:t>Information Science</w:t>
      </w:r>
      <w:r w:rsidRPr="00A428C3">
        <w:t xml:space="preserve">, </w:t>
      </w:r>
      <w:r w:rsidRPr="00A428C3">
        <w:rPr>
          <w:b/>
        </w:rPr>
        <w:t>22</w:t>
      </w:r>
      <w:r w:rsidRPr="00A428C3">
        <w:t xml:space="preserve"> (3), 315-317</w:t>
      </w:r>
      <w:r>
        <w:rPr>
          <w:rFonts w:hint="eastAsia"/>
        </w:rPr>
        <w:t>.</w:t>
      </w:r>
    </w:p>
    <w:p w:rsidR="00B95188" w:rsidRPr="00A428C3" w:rsidRDefault="00B95188" w:rsidP="00B95188">
      <w:pPr>
        <w:pStyle w:val="a0"/>
      </w:pPr>
      <w:r w:rsidRPr="00A428C3">
        <w:t xml:space="preserve">Full Text: </w:t>
      </w:r>
      <w:hyperlink r:id="rId1474" w:history="1">
        <w:r w:rsidRPr="00A428C3">
          <w:rPr>
            <w:rStyle w:val="a5"/>
          </w:rPr>
          <w:t>2004\Inf Sci22, 315.pdf</w:t>
        </w:r>
      </w:hyperlink>
    </w:p>
    <w:p w:rsidR="00B95188" w:rsidRPr="00A428C3" w:rsidRDefault="00B95188" w:rsidP="00B95188">
      <w:pPr>
        <w:pStyle w:val="a0"/>
      </w:pPr>
      <w:r w:rsidRPr="00A428C3">
        <w:rPr>
          <w:lang w:eastAsia="zh-CN"/>
        </w:rPr>
        <w:t>Abstract: This paper uses the bibliometrics method for electronic resources investigates</w:t>
      </w:r>
      <w:r w:rsidR="00F81221">
        <w:rPr>
          <w:lang w:eastAsia="zh-CN"/>
        </w:rPr>
        <w:t xml:space="preserve"> and </w:t>
      </w:r>
      <w:r w:rsidRPr="00A428C3">
        <w:rPr>
          <w:lang w:eastAsia="zh-CN"/>
        </w:rPr>
        <w:t xml:space="preserve">analyzes the status of study on intellectual property of digital library in China in four aspects of the number of document increasing with year, periodical distributing, </w:t>
      </w:r>
      <w:r w:rsidRPr="00A428C3">
        <w:rPr>
          <w:lang w:eastAsia="zh-CN"/>
        </w:rPr>
        <w:lastRenderedPageBreak/>
        <w:t>authors, ins</w:t>
      </w:r>
      <w:r>
        <w:rPr>
          <w:lang w:eastAsia="zh-CN"/>
        </w:rPr>
        <w:t>titutions</w:t>
      </w:r>
      <w:r w:rsidR="00F81221">
        <w:rPr>
          <w:lang w:eastAsia="zh-CN"/>
        </w:rPr>
        <w:t xml:space="preserve"> and </w:t>
      </w:r>
      <w:r>
        <w:rPr>
          <w:lang w:eastAsia="zh-CN"/>
        </w:rPr>
        <w:t>document content.</w:t>
      </w:r>
    </w:p>
    <w:p w:rsidR="00B95188" w:rsidRPr="00A428C3" w:rsidRDefault="00B95188" w:rsidP="00B95188">
      <w:pPr>
        <w:pStyle w:val="a0"/>
      </w:pPr>
      <w:r w:rsidRPr="00A428C3">
        <w:rPr>
          <w:lang w:eastAsia="zh-CN"/>
        </w:rPr>
        <w:t>Keywords: Digital library Intellectual Property Bibliometrics</w:t>
      </w:r>
    </w:p>
    <w:p w:rsidR="00B95188" w:rsidRPr="00A428C3" w:rsidRDefault="00B95188" w:rsidP="00B95188">
      <w:pPr>
        <w:pStyle w:val="a0"/>
      </w:pPr>
      <w:r w:rsidRPr="00A428C3">
        <w:t>Keywords: Bibliometric Method Content Analysis Method Comparison</w:t>
      </w:r>
    </w:p>
    <w:p w:rsidR="00B95188" w:rsidRPr="00A428C3" w:rsidRDefault="00B95188" w:rsidP="00B95188">
      <w:pPr>
        <w:pStyle w:val="a0"/>
      </w:pPr>
      <w:r w:rsidRPr="00A428C3">
        <w:t xml:space="preserve">? </w:t>
      </w:r>
      <w:r w:rsidRPr="00A428C3">
        <w:rPr>
          <w:lang w:eastAsia="zh-CN"/>
        </w:rPr>
        <w:t>Dong</w:t>
      </w:r>
      <w:r w:rsidRPr="00A428C3">
        <w:t>,</w:t>
      </w:r>
      <w:r w:rsidRPr="00A428C3">
        <w:rPr>
          <w:lang w:eastAsia="zh-CN"/>
        </w:rPr>
        <w:t xml:space="preserve"> X</w:t>
      </w:r>
      <w:r w:rsidRPr="00A428C3">
        <w:t>.</w:t>
      </w:r>
      <w:r w:rsidRPr="00A428C3">
        <w:rPr>
          <w:lang w:eastAsia="zh-CN"/>
        </w:rPr>
        <w:t>Y</w:t>
      </w:r>
      <w:r w:rsidRPr="00A428C3">
        <w:rPr>
          <w:szCs w:val="12"/>
        </w:rPr>
        <w:t>.</w:t>
      </w:r>
      <w:r w:rsidRPr="00A428C3">
        <w:t xml:space="preserve"> (2004), </w:t>
      </w:r>
      <w:r w:rsidRPr="00A428C3">
        <w:rPr>
          <w:lang w:eastAsia="zh-CN"/>
        </w:rPr>
        <w:t>A statistical analyses on papers</w:t>
      </w:r>
      <w:r>
        <w:t>,</w:t>
      </w:r>
      <w:r w:rsidRPr="00A428C3">
        <w:rPr>
          <w:lang w:eastAsia="zh-CN"/>
        </w:rPr>
        <w:t xml:space="preserve"> authors</w:t>
      </w:r>
      <w:r w:rsidR="00F81221">
        <w:rPr>
          <w:lang w:eastAsia="zh-CN"/>
        </w:rPr>
        <w:t xml:space="preserve"> and </w:t>
      </w:r>
      <w:r w:rsidRPr="00A428C3">
        <w:rPr>
          <w:lang w:eastAsia="zh-CN"/>
        </w:rPr>
        <w:t>quotations in Information Science in 2003</w:t>
      </w:r>
      <w:r w:rsidRPr="00A428C3">
        <w:t>.</w:t>
      </w:r>
      <w:r w:rsidRPr="00A428C3">
        <w:rPr>
          <w:szCs w:val="12"/>
        </w:rPr>
        <w:t xml:space="preserve"> </w:t>
      </w:r>
      <w:r w:rsidRPr="00A428C3">
        <w:rPr>
          <w:i/>
          <w:szCs w:val="12"/>
        </w:rPr>
        <w:t>Information Science</w:t>
      </w:r>
      <w:r w:rsidRPr="00A428C3">
        <w:t xml:space="preserve">, </w:t>
      </w:r>
      <w:r w:rsidRPr="00A428C3">
        <w:rPr>
          <w:b/>
        </w:rPr>
        <w:t>22</w:t>
      </w:r>
      <w:r w:rsidRPr="00A428C3">
        <w:t xml:space="preserve"> (5), 551-553</w:t>
      </w:r>
      <w:r>
        <w:rPr>
          <w:rFonts w:hint="eastAsia"/>
        </w:rPr>
        <w:t>.</w:t>
      </w:r>
    </w:p>
    <w:p w:rsidR="00B95188" w:rsidRPr="00A428C3" w:rsidRDefault="00B95188" w:rsidP="00B95188">
      <w:pPr>
        <w:pStyle w:val="a0"/>
      </w:pPr>
      <w:r w:rsidRPr="00A428C3">
        <w:t xml:space="preserve">Full Text: </w:t>
      </w:r>
      <w:hyperlink r:id="rId1475" w:history="1">
        <w:r w:rsidRPr="00A428C3">
          <w:rPr>
            <w:rStyle w:val="a5"/>
          </w:rPr>
          <w:t>2004\Inf Sci22, 551.pdf</w:t>
        </w:r>
      </w:hyperlink>
    </w:p>
    <w:p w:rsidR="00B95188" w:rsidRPr="00A428C3" w:rsidRDefault="00B95188" w:rsidP="00B95188">
      <w:pPr>
        <w:pStyle w:val="a0"/>
      </w:pPr>
      <w:r w:rsidRPr="00A428C3">
        <w:rPr>
          <w:lang w:eastAsia="zh-CN"/>
        </w:rPr>
        <w:t>Abstract: Applying bibliometric statistical methods to count</w:t>
      </w:r>
      <w:r w:rsidR="00F81221">
        <w:rPr>
          <w:lang w:eastAsia="zh-CN"/>
        </w:rPr>
        <w:t xml:space="preserve"> and </w:t>
      </w:r>
      <w:r w:rsidRPr="00A428C3">
        <w:rPr>
          <w:lang w:eastAsia="zh-CN"/>
        </w:rPr>
        <w:t>analyses the papers?authors</w:t>
      </w:r>
      <w:r w:rsidR="00F81221">
        <w:rPr>
          <w:lang w:eastAsia="zh-CN"/>
        </w:rPr>
        <w:t xml:space="preserve"> and </w:t>
      </w:r>
      <w:r w:rsidRPr="00A428C3">
        <w:rPr>
          <w:lang w:eastAsia="zh-CN"/>
        </w:rPr>
        <w:t>quotations delivered information science in 2003, the characteristics of those papers</w:t>
      </w:r>
      <w:r>
        <w:rPr>
          <w:rFonts w:hint="eastAsia"/>
        </w:rPr>
        <w:t xml:space="preserve">, </w:t>
      </w:r>
      <w:r w:rsidRPr="00A428C3">
        <w:rPr>
          <w:lang w:eastAsia="zh-CN"/>
        </w:rPr>
        <w:t>author</w:t>
      </w:r>
      <w:r>
        <w:rPr>
          <w:lang w:eastAsia="zh-CN"/>
        </w:rPr>
        <w:t>s</w:t>
      </w:r>
      <w:r w:rsidR="00F81221">
        <w:rPr>
          <w:lang w:eastAsia="zh-CN"/>
        </w:rPr>
        <w:t xml:space="preserve"> and </w:t>
      </w:r>
      <w:r>
        <w:rPr>
          <w:lang w:eastAsia="zh-CN"/>
        </w:rPr>
        <w:t>quotations are expounded.</w:t>
      </w:r>
    </w:p>
    <w:p w:rsidR="00B95188" w:rsidRPr="00A428C3" w:rsidRDefault="00B95188" w:rsidP="00B95188">
      <w:pPr>
        <w:pStyle w:val="a0"/>
      </w:pPr>
      <w:r w:rsidRPr="00A428C3">
        <w:rPr>
          <w:lang w:eastAsia="zh-CN"/>
        </w:rPr>
        <w:t>Keywords: Information Science Papers Analyses Authors Analyses Quotations Analyses Statistical Analyses</w:t>
      </w:r>
    </w:p>
    <w:p w:rsidR="00B95188" w:rsidRPr="00A428C3" w:rsidRDefault="00B95188" w:rsidP="00B95188">
      <w:pPr>
        <w:pStyle w:val="a0"/>
      </w:pPr>
      <w:r w:rsidRPr="00A428C3">
        <w:t xml:space="preserve">? </w:t>
      </w:r>
      <w:r w:rsidRPr="00A428C3">
        <w:rPr>
          <w:lang w:eastAsia="zh-CN"/>
        </w:rPr>
        <w:t>Wang</w:t>
      </w:r>
      <w:r w:rsidRPr="00A428C3">
        <w:t>,</w:t>
      </w:r>
      <w:r w:rsidRPr="00A428C3">
        <w:rPr>
          <w:lang w:eastAsia="zh-CN"/>
        </w:rPr>
        <w:t xml:space="preserve"> S</w:t>
      </w:r>
      <w:r w:rsidRPr="00A428C3">
        <w:t>.</w:t>
      </w:r>
      <w:r w:rsidRPr="00A428C3">
        <w:rPr>
          <w:lang w:eastAsia="zh-CN"/>
        </w:rPr>
        <w:t>Q</w:t>
      </w:r>
      <w:r w:rsidRPr="00A428C3">
        <w:rPr>
          <w:szCs w:val="12"/>
        </w:rPr>
        <w:t>.</w:t>
      </w:r>
      <w:r w:rsidRPr="00A428C3">
        <w:t xml:space="preserve"> (2005), </w:t>
      </w:r>
      <w:r w:rsidRPr="00A428C3">
        <w:rPr>
          <w:lang w:eastAsia="zh-CN"/>
        </w:rPr>
        <w:t>A quantitative analysis on information resources in the network environment</w:t>
      </w:r>
      <w:r w:rsidRPr="00A428C3">
        <w:t>.</w:t>
      </w:r>
      <w:r w:rsidRPr="00A428C3">
        <w:rPr>
          <w:szCs w:val="12"/>
        </w:rPr>
        <w:t xml:space="preserve"> </w:t>
      </w:r>
      <w:r w:rsidRPr="00A428C3">
        <w:rPr>
          <w:i/>
          <w:szCs w:val="12"/>
        </w:rPr>
        <w:t>Information Science</w:t>
      </w:r>
      <w:r w:rsidRPr="00A428C3">
        <w:t xml:space="preserve">, </w:t>
      </w:r>
      <w:r w:rsidRPr="00A428C3">
        <w:rPr>
          <w:b/>
        </w:rPr>
        <w:t>23</w:t>
      </w:r>
      <w:r w:rsidRPr="00A428C3">
        <w:t xml:space="preserve"> (2), 205-207</w:t>
      </w:r>
    </w:p>
    <w:p w:rsidR="00B95188" w:rsidRPr="00A428C3" w:rsidRDefault="00B95188" w:rsidP="00B95188">
      <w:pPr>
        <w:pStyle w:val="a0"/>
      </w:pPr>
      <w:r w:rsidRPr="00A428C3">
        <w:t xml:space="preserve">Full Text: </w:t>
      </w:r>
      <w:hyperlink r:id="rId1476" w:history="1">
        <w:r w:rsidRPr="00A428C3">
          <w:rPr>
            <w:rStyle w:val="a5"/>
          </w:rPr>
          <w:t>2005\Inf Sci23, 207.pdf</w:t>
        </w:r>
      </w:hyperlink>
    </w:p>
    <w:p w:rsidR="00B95188" w:rsidRPr="00A428C3" w:rsidRDefault="00B95188" w:rsidP="00B95188">
      <w:pPr>
        <w:pStyle w:val="a0"/>
      </w:pPr>
      <w:r w:rsidRPr="00A428C3">
        <w:rPr>
          <w:lang w:eastAsia="zh-CN"/>
        </w:rPr>
        <w:t>Abstract: Applying bibliometric statistical methods, the paper counts up the papers on information resources in the networked environment delivered in 1999 to 2003</w:t>
      </w:r>
      <w:r w:rsidR="00F81221">
        <w:rPr>
          <w:lang w:eastAsia="zh-CN"/>
        </w:rPr>
        <w:t xml:space="preserve"> and </w:t>
      </w:r>
      <w:r w:rsidRPr="00A428C3">
        <w:rPr>
          <w:lang w:eastAsia="zh-CN"/>
        </w:rPr>
        <w:t>makes a comparatively</w:t>
      </w:r>
      <w:r w:rsidR="00F81221">
        <w:rPr>
          <w:lang w:eastAsia="zh-CN"/>
        </w:rPr>
        <w:t xml:space="preserve"> and </w:t>
      </w:r>
      <w:r w:rsidRPr="00A428C3">
        <w:rPr>
          <w:lang w:eastAsia="zh-CN"/>
        </w:rPr>
        <w:t>integratedly analysis on the distribution of time, journals, the characteristics of thesis</w:t>
      </w:r>
      <w:r w:rsidR="00F81221">
        <w:rPr>
          <w:lang w:eastAsia="zh-CN"/>
        </w:rPr>
        <w:t xml:space="preserve"> and </w:t>
      </w:r>
      <w:r w:rsidRPr="00A428C3">
        <w:rPr>
          <w:lang w:eastAsia="zh-CN"/>
        </w:rPr>
        <w:t>the fund projects,</w:t>
      </w:r>
      <w:r w:rsidR="00F81221">
        <w:rPr>
          <w:lang w:eastAsia="zh-CN"/>
        </w:rPr>
        <w:t xml:space="preserve"> and </w:t>
      </w:r>
      <w:r w:rsidRPr="00A428C3">
        <w:rPr>
          <w:lang w:eastAsia="zh-CN"/>
        </w:rPr>
        <w:t>the regional distribution of the papers</w:t>
      </w:r>
      <w:r w:rsidR="00F81221">
        <w:rPr>
          <w:lang w:eastAsia="zh-CN"/>
        </w:rPr>
        <w:t xml:space="preserve"> and </w:t>
      </w:r>
      <w:r>
        <w:rPr>
          <w:lang w:eastAsia="zh-CN"/>
        </w:rPr>
        <w:t>their correspondin authors.</w:t>
      </w:r>
    </w:p>
    <w:p w:rsidR="00B95188" w:rsidRPr="00A428C3" w:rsidRDefault="00B95188" w:rsidP="00B95188">
      <w:pPr>
        <w:pStyle w:val="a0"/>
      </w:pPr>
      <w:r w:rsidRPr="00A428C3">
        <w:rPr>
          <w:lang w:eastAsia="zh-CN"/>
        </w:rPr>
        <w:t>Keywords: Networked Environment, Information Resources, Quantitative Analysis</w:t>
      </w:r>
    </w:p>
    <w:p w:rsidR="00B95188" w:rsidRPr="00A428C3" w:rsidRDefault="00B95188" w:rsidP="00B95188">
      <w:pPr>
        <w:pStyle w:val="a0"/>
      </w:pPr>
      <w:r w:rsidRPr="00A428C3">
        <w:t xml:space="preserve">? </w:t>
      </w:r>
      <w:r w:rsidRPr="00A428C3">
        <w:rPr>
          <w:lang w:eastAsia="zh-CN"/>
        </w:rPr>
        <w:t>Dong</w:t>
      </w:r>
      <w:r w:rsidRPr="00A428C3">
        <w:t>,</w:t>
      </w:r>
      <w:r w:rsidRPr="00A428C3">
        <w:rPr>
          <w:lang w:eastAsia="zh-CN"/>
        </w:rPr>
        <w:t xml:space="preserve"> W</w:t>
      </w:r>
      <w:r w:rsidRPr="00A428C3">
        <w:t>.</w:t>
      </w:r>
      <w:r w:rsidRPr="00A428C3">
        <w:rPr>
          <w:lang w:eastAsia="zh-CN"/>
        </w:rPr>
        <w:t>Y</w:t>
      </w:r>
      <w:r w:rsidRPr="00A428C3">
        <w:t>.</w:t>
      </w:r>
      <w:r w:rsidR="00F81221">
        <w:t xml:space="preserve"> and </w:t>
      </w:r>
      <w:r w:rsidRPr="00A428C3">
        <w:rPr>
          <w:lang w:eastAsia="zh-CN"/>
        </w:rPr>
        <w:t>Yuan</w:t>
      </w:r>
      <w:r w:rsidRPr="00A428C3">
        <w:t>,</w:t>
      </w:r>
      <w:r w:rsidRPr="00A428C3">
        <w:rPr>
          <w:lang w:eastAsia="zh-CN"/>
        </w:rPr>
        <w:t xml:space="preserve"> S</w:t>
      </w:r>
      <w:r w:rsidRPr="00A428C3">
        <w:t>.</w:t>
      </w:r>
      <w:r w:rsidRPr="00A428C3">
        <w:rPr>
          <w:lang w:eastAsia="zh-CN"/>
        </w:rPr>
        <w:t>B</w:t>
      </w:r>
      <w:r w:rsidRPr="00A428C3">
        <w:rPr>
          <w:szCs w:val="12"/>
        </w:rPr>
        <w:t>.</w:t>
      </w:r>
      <w:r w:rsidRPr="00A428C3">
        <w:t xml:space="preserve"> (2005), </w:t>
      </w:r>
      <w:r w:rsidRPr="00A428C3">
        <w:rPr>
          <w:lang w:eastAsia="zh-CN"/>
        </w:rPr>
        <w:t>Theses, authors</w:t>
      </w:r>
      <w:r w:rsidR="00F81221">
        <w:rPr>
          <w:lang w:eastAsia="zh-CN"/>
        </w:rPr>
        <w:t xml:space="preserve"> and </w:t>
      </w:r>
      <w:r w:rsidRPr="00A428C3">
        <w:rPr>
          <w:lang w:eastAsia="zh-CN"/>
        </w:rPr>
        <w:t>quotation Analysis of Information Science from 2002 to 2004</w:t>
      </w:r>
      <w:r w:rsidRPr="00A428C3">
        <w:t>.</w:t>
      </w:r>
      <w:r w:rsidRPr="00A428C3">
        <w:rPr>
          <w:szCs w:val="12"/>
        </w:rPr>
        <w:t xml:space="preserve"> </w:t>
      </w:r>
      <w:r w:rsidRPr="00A428C3">
        <w:rPr>
          <w:i/>
          <w:szCs w:val="12"/>
        </w:rPr>
        <w:t>Information Science</w:t>
      </w:r>
      <w:r w:rsidRPr="00A428C3">
        <w:t xml:space="preserve">, </w:t>
      </w:r>
      <w:r w:rsidRPr="00A428C3">
        <w:rPr>
          <w:b/>
        </w:rPr>
        <w:t>23</w:t>
      </w:r>
      <w:r w:rsidRPr="00A428C3">
        <w:t xml:space="preserve"> (9), 1349-1352</w:t>
      </w:r>
    </w:p>
    <w:p w:rsidR="00B95188" w:rsidRPr="00A428C3" w:rsidRDefault="00B95188" w:rsidP="00B95188">
      <w:pPr>
        <w:pStyle w:val="a0"/>
      </w:pPr>
      <w:r w:rsidRPr="00A428C3">
        <w:t xml:space="preserve">Full Text: </w:t>
      </w:r>
      <w:hyperlink r:id="rId1477" w:history="1">
        <w:r w:rsidRPr="00A428C3">
          <w:rPr>
            <w:rStyle w:val="a5"/>
          </w:rPr>
          <w:t>2005\Inf Sci23, 1349.pdf</w:t>
        </w:r>
      </w:hyperlink>
    </w:p>
    <w:p w:rsidR="00B95188" w:rsidRPr="00A428C3" w:rsidRDefault="00B95188" w:rsidP="00B95188">
      <w:pPr>
        <w:pStyle w:val="a0"/>
      </w:pPr>
      <w:r w:rsidRPr="00A428C3">
        <w:rPr>
          <w:lang w:eastAsia="zh-CN"/>
        </w:rPr>
        <w:t>Abstract: Using the bibliometric statistical methods, this paper selects 1223 theses from Information Science published from 2002 to 2004, makes a statistic analysis of its theses</w:t>
      </w:r>
      <w:r>
        <w:rPr>
          <w:rFonts w:hint="eastAsia"/>
        </w:rPr>
        <w:t>,</w:t>
      </w:r>
      <w:r w:rsidRPr="00A428C3">
        <w:rPr>
          <w:lang w:eastAsia="zh-CN"/>
        </w:rPr>
        <w:t xml:space="preserve"> authors</w:t>
      </w:r>
      <w:r w:rsidR="00F81221">
        <w:rPr>
          <w:lang w:eastAsia="zh-CN"/>
        </w:rPr>
        <w:t xml:space="preserve"> and </w:t>
      </w:r>
      <w:r w:rsidRPr="00A428C3">
        <w:rPr>
          <w:lang w:eastAsia="zh-CN"/>
        </w:rPr>
        <w:t>citation, then gets the law</w:t>
      </w:r>
      <w:r w:rsidR="00F81221">
        <w:rPr>
          <w:lang w:eastAsia="zh-CN"/>
        </w:rPr>
        <w:t xml:space="preserve"> and </w:t>
      </w:r>
      <w:r w:rsidRPr="00A428C3">
        <w:rPr>
          <w:lang w:eastAsia="zh-CN"/>
        </w:rPr>
        <w:t>characteristic of t</w:t>
      </w:r>
      <w:r>
        <w:rPr>
          <w:lang w:eastAsia="zh-CN"/>
        </w:rPr>
        <w:t>his magazine in recent 3 years.</w:t>
      </w:r>
    </w:p>
    <w:p w:rsidR="00B95188" w:rsidRPr="00A428C3" w:rsidRDefault="00B95188" w:rsidP="00B95188">
      <w:pPr>
        <w:pStyle w:val="a0"/>
      </w:pPr>
      <w:r w:rsidRPr="00A428C3">
        <w:rPr>
          <w:lang w:eastAsia="zh-CN"/>
        </w:rPr>
        <w:t>Keywords: Information Science, Theses Analysis, Author Analysis, Citation Analysis, Statistic Analysis</w:t>
      </w:r>
    </w:p>
    <w:p w:rsidR="00B95188" w:rsidRPr="00A428C3" w:rsidRDefault="00B95188" w:rsidP="00B95188">
      <w:pPr>
        <w:pStyle w:val="a0"/>
      </w:pPr>
      <w:r w:rsidRPr="00A428C3">
        <w:t xml:space="preserve">? </w:t>
      </w:r>
      <w:r w:rsidRPr="00A428C3">
        <w:rPr>
          <w:lang w:eastAsia="zh-CN"/>
        </w:rPr>
        <w:t>Wang</w:t>
      </w:r>
      <w:r w:rsidRPr="00A428C3">
        <w:t>,</w:t>
      </w:r>
      <w:r w:rsidRPr="00A428C3">
        <w:rPr>
          <w:lang w:eastAsia="zh-CN"/>
        </w:rPr>
        <w:t xml:space="preserve"> D</w:t>
      </w:r>
      <w:r w:rsidRPr="00A428C3">
        <w:rPr>
          <w:szCs w:val="12"/>
        </w:rPr>
        <w:t>.</w:t>
      </w:r>
      <w:r w:rsidRPr="00A428C3">
        <w:t xml:space="preserve"> (2006), </w:t>
      </w:r>
      <w:r w:rsidRPr="00A428C3">
        <w:rPr>
          <w:lang w:eastAsia="zh-CN"/>
        </w:rPr>
        <w:t>Statistical Analysis of Theses on Consult in LISA Database</w:t>
      </w:r>
      <w:r w:rsidRPr="00A428C3">
        <w:t>.</w:t>
      </w:r>
      <w:r w:rsidRPr="00A428C3">
        <w:rPr>
          <w:szCs w:val="12"/>
        </w:rPr>
        <w:t xml:space="preserve"> </w:t>
      </w:r>
      <w:r w:rsidRPr="00A428C3">
        <w:rPr>
          <w:i/>
          <w:szCs w:val="12"/>
        </w:rPr>
        <w:t>Information Science</w:t>
      </w:r>
      <w:r w:rsidRPr="00A428C3">
        <w:t xml:space="preserve">, </w:t>
      </w:r>
      <w:r w:rsidRPr="00A428C3">
        <w:rPr>
          <w:b/>
        </w:rPr>
        <w:t>24</w:t>
      </w:r>
      <w:r w:rsidRPr="00A428C3">
        <w:t xml:space="preserve"> (8), 1253-1257</w:t>
      </w:r>
      <w:r>
        <w:rPr>
          <w:rFonts w:hint="eastAsia"/>
        </w:rPr>
        <w:t>.</w:t>
      </w:r>
    </w:p>
    <w:p w:rsidR="00B95188" w:rsidRPr="00A428C3" w:rsidRDefault="00B95188" w:rsidP="00B95188">
      <w:pPr>
        <w:pStyle w:val="a0"/>
      </w:pPr>
      <w:r w:rsidRPr="00A428C3">
        <w:t xml:space="preserve">Full Text: </w:t>
      </w:r>
      <w:hyperlink r:id="rId1478" w:history="1">
        <w:r w:rsidRPr="00A428C3">
          <w:rPr>
            <w:rStyle w:val="a5"/>
          </w:rPr>
          <w:t>2006\Inf Sci24, 1253.pdf</w:t>
        </w:r>
      </w:hyperlink>
    </w:p>
    <w:p w:rsidR="00B95188" w:rsidRPr="00A428C3" w:rsidRDefault="00B95188" w:rsidP="00B95188">
      <w:pPr>
        <w:pStyle w:val="a0"/>
        <w:rPr>
          <w:lang w:eastAsia="zh-CN"/>
        </w:rPr>
      </w:pPr>
      <w:r w:rsidRPr="00A428C3">
        <w:rPr>
          <w:lang w:eastAsia="zh-CN"/>
        </w:rPr>
        <w:t xml:space="preserve">Abstract: Based on the theses about consulting in the database of LISA, this paper using the bibliometric statistical methods, make a statistical analysis of the theses, including literature number </w:t>
      </w:r>
      <w:r w:rsidRPr="00A428C3">
        <w:rPr>
          <w:lang w:eastAsia="zh-CN"/>
        </w:rPr>
        <w:t>、</w:t>
      </w:r>
      <w:r w:rsidRPr="00A428C3">
        <w:rPr>
          <w:lang w:eastAsia="zh-CN"/>
        </w:rPr>
        <w:t>author</w:t>
      </w:r>
      <w:r w:rsidRPr="00A428C3">
        <w:rPr>
          <w:lang w:eastAsia="zh-CN"/>
        </w:rPr>
        <w:t>、</w:t>
      </w:r>
      <w:r w:rsidRPr="00A428C3">
        <w:rPr>
          <w:lang w:eastAsia="zh-CN"/>
        </w:rPr>
        <w:t>language</w:t>
      </w:r>
      <w:r w:rsidRPr="00A428C3">
        <w:rPr>
          <w:lang w:eastAsia="zh-CN"/>
        </w:rPr>
        <w:t>、</w:t>
      </w:r>
      <w:r w:rsidRPr="00A428C3">
        <w:rPr>
          <w:lang w:eastAsia="zh-CN"/>
        </w:rPr>
        <w:t>journal</w:t>
      </w:r>
      <w:r w:rsidR="00F81221">
        <w:rPr>
          <w:lang w:eastAsia="zh-CN"/>
        </w:rPr>
        <w:t xml:space="preserve"> and </w:t>
      </w:r>
      <w:r w:rsidRPr="00A428C3">
        <w:rPr>
          <w:lang w:eastAsia="zh-CN"/>
        </w:rPr>
        <w:t>theme, hoping to supply some reference</w:t>
      </w:r>
      <w:r w:rsidR="00F81221">
        <w:rPr>
          <w:lang w:eastAsia="zh-CN"/>
        </w:rPr>
        <w:t xml:space="preserve"> and </w:t>
      </w:r>
      <w:r w:rsidRPr="00A428C3">
        <w:rPr>
          <w:lang w:eastAsia="zh-CN"/>
        </w:rPr>
        <w:t xml:space="preserve">inspiration to the research, especially cast some important enlightments on home research on these respects from now on. </w:t>
      </w:r>
    </w:p>
    <w:p w:rsidR="00B95188" w:rsidRPr="00A428C3" w:rsidRDefault="00B95188" w:rsidP="00B95188">
      <w:pPr>
        <w:pStyle w:val="a0"/>
      </w:pPr>
      <w:r w:rsidRPr="00A428C3">
        <w:rPr>
          <w:lang w:eastAsia="zh-CN"/>
        </w:rPr>
        <w:t>Keywords: Consult, LISA, Statistical Analysis</w:t>
      </w:r>
    </w:p>
    <w:p w:rsidR="00B95188" w:rsidRDefault="00B95188" w:rsidP="00B95188">
      <w:pPr>
        <w:pStyle w:val="a0"/>
      </w:pPr>
      <w:r>
        <w:t>?</w:t>
      </w:r>
      <w:r w:rsidRPr="00217FB1">
        <w:t xml:space="preserve"> </w:t>
      </w:r>
      <w:r w:rsidRPr="004350C6">
        <w:rPr>
          <w:lang w:eastAsia="zh-CN"/>
        </w:rPr>
        <w:t>Zhu</w:t>
      </w:r>
      <w:r>
        <w:rPr>
          <w:rFonts w:hint="eastAsia"/>
        </w:rPr>
        <w:t>,</w:t>
      </w:r>
      <w:r w:rsidRPr="004350C6">
        <w:rPr>
          <w:lang w:eastAsia="zh-CN"/>
        </w:rPr>
        <w:t xml:space="preserve"> L</w:t>
      </w:r>
      <w:r>
        <w:rPr>
          <w:rFonts w:hint="eastAsia"/>
          <w:szCs w:val="12"/>
        </w:rPr>
        <w:t>.</w:t>
      </w:r>
      <w:r w:rsidRPr="00F621CE">
        <w:t xml:space="preserve"> (</w:t>
      </w:r>
      <w:r>
        <w:rPr>
          <w:rFonts w:hint="eastAsia"/>
        </w:rPr>
        <w:t>2006</w:t>
      </w:r>
      <w:r w:rsidRPr="00F621CE">
        <w:t xml:space="preserve">), </w:t>
      </w:r>
      <w:r w:rsidRPr="004350C6">
        <w:rPr>
          <w:lang w:eastAsia="zh-CN"/>
        </w:rPr>
        <w:t>Web Impact Factors:</w:t>
      </w:r>
      <w:r>
        <w:rPr>
          <w:rFonts w:hint="eastAsia"/>
        </w:rPr>
        <w:t xml:space="preserve"> </w:t>
      </w:r>
      <w:r w:rsidRPr="004350C6">
        <w:rPr>
          <w:lang w:eastAsia="zh-CN"/>
        </w:rPr>
        <w:t>The index of quantitative analysis for WEB site</w:t>
      </w:r>
      <w:r w:rsidRPr="00F621CE">
        <w:t>.</w:t>
      </w:r>
      <w:r w:rsidRPr="00661FB7">
        <w:rPr>
          <w:szCs w:val="12"/>
        </w:rPr>
        <w:t xml:space="preserve"> </w:t>
      </w:r>
      <w:r w:rsidRPr="00661FB7">
        <w:rPr>
          <w:i/>
          <w:szCs w:val="12"/>
        </w:rPr>
        <w:lastRenderedPageBreak/>
        <w:t>Information Science</w:t>
      </w:r>
      <w:r w:rsidRPr="00F621CE">
        <w:t xml:space="preserve">, </w:t>
      </w:r>
      <w:r>
        <w:rPr>
          <w:rFonts w:hint="eastAsia"/>
          <w:b/>
          <w:bCs/>
          <w:kern w:val="0"/>
        </w:rPr>
        <w:t>24</w:t>
      </w:r>
      <w:r w:rsidRPr="00F621CE">
        <w:t xml:space="preserve"> (</w:t>
      </w:r>
      <w:r>
        <w:rPr>
          <w:rFonts w:hint="eastAsia"/>
        </w:rPr>
        <w:t>8</w:t>
      </w:r>
      <w:r w:rsidRPr="00F621CE">
        <w:t xml:space="preserve">), </w:t>
      </w:r>
      <w:r>
        <w:rPr>
          <w:rFonts w:hint="eastAsia"/>
        </w:rPr>
        <w:t>1269-1274</w:t>
      </w:r>
    </w:p>
    <w:p w:rsidR="00B95188" w:rsidRPr="00A428C3" w:rsidRDefault="00B95188" w:rsidP="00B95188">
      <w:pPr>
        <w:pStyle w:val="a0"/>
      </w:pPr>
      <w:r w:rsidRPr="00A428C3">
        <w:t xml:space="preserve">Full Text: </w:t>
      </w:r>
      <w:hyperlink r:id="rId1479" w:history="1">
        <w:r w:rsidRPr="00A428C3">
          <w:rPr>
            <w:rStyle w:val="a5"/>
            <w:szCs w:val="12"/>
          </w:rPr>
          <w:t>2006\Inf Sci24, 1269.pdf</w:t>
        </w:r>
      </w:hyperlink>
    </w:p>
    <w:p w:rsidR="00B95188" w:rsidRPr="00A428C3" w:rsidRDefault="00B95188" w:rsidP="00B95188">
      <w:pPr>
        <w:pStyle w:val="a0"/>
        <w:rPr>
          <w:lang w:eastAsia="zh-CN"/>
        </w:rPr>
      </w:pPr>
      <w:r w:rsidRPr="00A428C3">
        <w:rPr>
          <w:lang w:eastAsia="zh-CN"/>
        </w:rPr>
        <w:t>Abstract: This paper reviews how this linkbased metric has been developed, enhanced</w:t>
      </w:r>
      <w:r w:rsidR="00F81221">
        <w:rPr>
          <w:lang w:eastAsia="zh-CN"/>
        </w:rPr>
        <w:t xml:space="preserve"> and </w:t>
      </w:r>
      <w:r w:rsidRPr="00A428C3">
        <w:rPr>
          <w:lang w:eastAsia="zh-CN"/>
        </w:rPr>
        <w:t>applied.Not only has the metric itself undergone improvement but also the relevant data collection techniques have been enhanced.</w:t>
      </w:r>
      <w:r>
        <w:rPr>
          <w:rFonts w:hint="eastAsia"/>
        </w:rPr>
        <w:t xml:space="preserve"> </w:t>
      </w:r>
      <w:r w:rsidRPr="00A428C3">
        <w:rPr>
          <w:lang w:eastAsia="zh-CN"/>
        </w:rPr>
        <w:t>WIFs have also been validated by significant correlations with traditional research measures.Bibliometric techniques have been further applied to the Web</w:t>
      </w:r>
      <w:r w:rsidR="00F81221">
        <w:rPr>
          <w:lang w:eastAsia="zh-CN"/>
        </w:rPr>
        <w:t xml:space="preserve"> and </w:t>
      </w:r>
      <w:r w:rsidRPr="00A428C3">
        <w:rPr>
          <w:lang w:eastAsia="zh-CN"/>
        </w:rPr>
        <w:t xml:space="preserve">patterns that might have otherwise been ignored have been found from hyperlinks.This paper concludes with some suggestions for future research... </w:t>
      </w:r>
    </w:p>
    <w:p w:rsidR="00B95188" w:rsidRPr="00A428C3" w:rsidRDefault="00B95188" w:rsidP="00B95188">
      <w:pPr>
        <w:pStyle w:val="a0"/>
      </w:pPr>
      <w:r w:rsidRPr="00A428C3">
        <w:rPr>
          <w:lang w:eastAsia="zh-CN"/>
        </w:rPr>
        <w:t>Keywords: Internet, Webometric Studies, Hyperlinks, Web Impact Factors, Wif</w:t>
      </w:r>
    </w:p>
    <w:p w:rsidR="0031722D" w:rsidRPr="00A428C3" w:rsidRDefault="0031722D" w:rsidP="0031722D">
      <w:pPr>
        <w:pStyle w:val="1"/>
      </w:pPr>
      <w:r w:rsidRPr="00A428C3">
        <w:br w:type="page"/>
      </w:r>
      <w:bookmarkStart w:id="1032" w:name="_Toc238863018"/>
      <w:bookmarkStart w:id="1033" w:name="_Toc317161171"/>
      <w:r w:rsidRPr="00A428C3">
        <w:lastRenderedPageBreak/>
        <w:t xml:space="preserve">Title: </w:t>
      </w:r>
      <w:r w:rsidRPr="00EB2A20">
        <w:rPr>
          <w:szCs w:val="24"/>
        </w:rPr>
        <w:t>Information Sciences</w:t>
      </w:r>
      <w:bookmarkEnd w:id="1032"/>
      <w:bookmarkEnd w:id="1033"/>
    </w:p>
    <w:p w:rsidR="0031722D" w:rsidRPr="00A428C3" w:rsidRDefault="0031722D" w:rsidP="00B72EF9">
      <w:pPr>
        <w:pStyle w:val="12"/>
      </w:pPr>
      <w:r w:rsidRPr="00A428C3">
        <w:t xml:space="preserve">Full Journal Title: </w:t>
      </w:r>
      <w:hyperlink r:id="rId1480" w:history="1">
        <w:r w:rsidRPr="009B3DAB">
          <w:rPr>
            <w:rStyle w:val="a5"/>
          </w:rPr>
          <w:t>Information Sciences</w:t>
        </w:r>
      </w:hyperlink>
    </w:p>
    <w:p w:rsidR="0031722D" w:rsidRPr="00A428C3" w:rsidRDefault="0031722D" w:rsidP="00B72EF9">
      <w:pPr>
        <w:pStyle w:val="12"/>
      </w:pPr>
      <w:r w:rsidRPr="00A428C3">
        <w:t xml:space="preserve">ISO Abbreviated Title: </w:t>
      </w:r>
    </w:p>
    <w:p w:rsidR="0031722D" w:rsidRPr="00A428C3" w:rsidRDefault="0031722D" w:rsidP="00B72EF9">
      <w:pPr>
        <w:pStyle w:val="12"/>
      </w:pPr>
      <w:r w:rsidRPr="00A428C3">
        <w:t>JCR Abbreviated Title:</w:t>
      </w:r>
    </w:p>
    <w:p w:rsidR="0031722D" w:rsidRPr="00A428C3" w:rsidRDefault="0031722D" w:rsidP="00B72EF9">
      <w:pPr>
        <w:pStyle w:val="12"/>
      </w:pPr>
      <w:r w:rsidRPr="00A428C3">
        <w:t xml:space="preserve">ISSN: </w:t>
      </w:r>
    </w:p>
    <w:p w:rsidR="0031722D" w:rsidRPr="00A428C3" w:rsidRDefault="0031722D" w:rsidP="00B72EF9">
      <w:pPr>
        <w:pStyle w:val="12"/>
      </w:pPr>
      <w:r w:rsidRPr="00A428C3">
        <w:t xml:space="preserve">Issues/Year: </w:t>
      </w:r>
    </w:p>
    <w:p w:rsidR="0031722D" w:rsidRPr="00A428C3" w:rsidRDefault="00FB5623" w:rsidP="00B72EF9">
      <w:pPr>
        <w:pStyle w:val="12"/>
      </w:pPr>
      <w:r>
        <w:t>Journal Country/Territory:</w:t>
      </w:r>
      <w:r w:rsidR="0031722D">
        <w:t xml:space="preserve"> </w:t>
      </w:r>
    </w:p>
    <w:p w:rsidR="0031722D" w:rsidRPr="00A428C3" w:rsidRDefault="0031722D" w:rsidP="00B72EF9">
      <w:pPr>
        <w:pStyle w:val="12"/>
      </w:pPr>
      <w:r w:rsidRPr="00A428C3">
        <w:t xml:space="preserve">Language: </w:t>
      </w:r>
    </w:p>
    <w:p w:rsidR="0031722D" w:rsidRPr="00A428C3" w:rsidRDefault="0031722D" w:rsidP="00B72EF9">
      <w:pPr>
        <w:pStyle w:val="12"/>
      </w:pPr>
      <w:r w:rsidRPr="00A428C3">
        <w:t xml:space="preserve">Publisher: </w:t>
      </w:r>
    </w:p>
    <w:p w:rsidR="0031722D" w:rsidRPr="00A428C3" w:rsidRDefault="0031722D" w:rsidP="00B72EF9">
      <w:pPr>
        <w:pStyle w:val="12"/>
      </w:pPr>
      <w:r w:rsidRPr="00A428C3">
        <w:t xml:space="preserve">Publisher Address: </w:t>
      </w:r>
    </w:p>
    <w:p w:rsidR="0031722D" w:rsidRPr="00A428C3" w:rsidRDefault="0031722D" w:rsidP="00B72EF9">
      <w:pPr>
        <w:pStyle w:val="12"/>
      </w:pPr>
      <w:r w:rsidRPr="00A428C3">
        <w:t>Subject Categories:</w:t>
      </w:r>
    </w:p>
    <w:p w:rsidR="0031722D" w:rsidRPr="00A428C3" w:rsidRDefault="0031722D" w:rsidP="00B72EF9">
      <w:pPr>
        <w:pStyle w:val="12"/>
      </w:pPr>
      <w:r w:rsidRPr="00A428C3">
        <w:t xml:space="preserve">: Impact Factor </w:t>
      </w:r>
    </w:p>
    <w:p w:rsidR="0031722D" w:rsidRDefault="0031722D" w:rsidP="0031722D">
      <w:pPr>
        <w:pStyle w:val="a0"/>
        <w:rPr>
          <w:kern w:val="0"/>
          <w:szCs w:val="24"/>
        </w:rPr>
      </w:pPr>
      <w:r>
        <w:rPr>
          <w:rFonts w:hint="eastAsia"/>
          <w:kern w:val="0"/>
          <w:szCs w:val="24"/>
        </w:rPr>
        <w:t xml:space="preserve">? </w:t>
      </w:r>
      <w:r>
        <w:rPr>
          <w:kern w:val="0"/>
          <w:szCs w:val="24"/>
        </w:rPr>
        <w:t xml:space="preserve">Guo, G.M. (2007), A computer-aided bibliometric system to article ranked lists in interdisciplinar generate core subjects. </w:t>
      </w:r>
      <w:r w:rsidRPr="00EB2A20">
        <w:rPr>
          <w:i/>
          <w:iCs/>
          <w:kern w:val="0"/>
          <w:szCs w:val="24"/>
        </w:rPr>
        <w:t>Information Sciences</w:t>
      </w:r>
      <w:r>
        <w:rPr>
          <w:kern w:val="0"/>
          <w:szCs w:val="24"/>
        </w:rPr>
        <w:t xml:space="preserve">, </w:t>
      </w:r>
      <w:r>
        <w:rPr>
          <w:b/>
          <w:bCs/>
          <w:kern w:val="0"/>
          <w:szCs w:val="24"/>
        </w:rPr>
        <w:t>177</w:t>
      </w:r>
      <w:r>
        <w:rPr>
          <w:kern w:val="0"/>
          <w:szCs w:val="24"/>
        </w:rPr>
        <w:t xml:space="preserve"> (17), 3539-3556.</w:t>
      </w:r>
    </w:p>
    <w:p w:rsidR="0031722D" w:rsidRDefault="0031722D" w:rsidP="0031722D">
      <w:pPr>
        <w:pStyle w:val="a0"/>
        <w:rPr>
          <w:kern w:val="0"/>
          <w:szCs w:val="24"/>
        </w:rPr>
      </w:pPr>
      <w:r>
        <w:rPr>
          <w:rFonts w:hint="eastAsia"/>
          <w:kern w:val="0"/>
          <w:szCs w:val="24"/>
        </w:rPr>
        <w:t xml:space="preserve">Full Text: </w:t>
      </w:r>
      <w:hyperlink r:id="rId1481" w:history="1">
        <w:r w:rsidRPr="00E56110">
          <w:rPr>
            <w:rStyle w:val="a5"/>
            <w:kern w:val="0"/>
            <w:szCs w:val="24"/>
          </w:rPr>
          <w:t>2007\Inf Sci177, 3539.pdf</w:t>
        </w:r>
      </w:hyperlink>
    </w:p>
    <w:p w:rsidR="0031722D" w:rsidRDefault="0031722D" w:rsidP="0031722D">
      <w:pPr>
        <w:pStyle w:val="a0"/>
        <w:rPr>
          <w:kern w:val="0"/>
          <w:szCs w:val="24"/>
        </w:rPr>
      </w:pPr>
      <w:r>
        <w:rPr>
          <w:kern w:val="0"/>
          <w:szCs w:val="24"/>
        </w:rPr>
        <w:t>Abstract: Due to the tremendous increase</w:t>
      </w:r>
      <w:r w:rsidR="00F81221">
        <w:rPr>
          <w:kern w:val="0"/>
          <w:szCs w:val="24"/>
        </w:rPr>
        <w:t xml:space="preserve"> and </w:t>
      </w:r>
      <w:r>
        <w:rPr>
          <w:kern w:val="0"/>
          <w:szCs w:val="24"/>
        </w:rPr>
        <w:t>variations in serial publications, the impact of every peer-reviewed paper on different subjects is varying continually. Domain experts or researchers want to keep track of those latest</w:t>
      </w:r>
      <w:r w:rsidR="00F81221">
        <w:rPr>
          <w:kern w:val="0"/>
          <w:szCs w:val="24"/>
        </w:rPr>
        <w:t xml:space="preserve"> and </w:t>
      </w:r>
      <w:r>
        <w:rPr>
          <w:kern w:val="0"/>
          <w:szCs w:val="24"/>
        </w:rPr>
        <w:t>highly cited peer-reviewed papers: however they are finding it difficult to update or collect their subject core paper lists regularly</w:t>
      </w:r>
      <w:r w:rsidR="00F81221">
        <w:rPr>
          <w:kern w:val="0"/>
          <w:szCs w:val="24"/>
        </w:rPr>
        <w:t xml:space="preserve"> and </w:t>
      </w:r>
      <w:r>
        <w:rPr>
          <w:kern w:val="0"/>
          <w:szCs w:val="24"/>
        </w:rPr>
        <w:t>accurately. The evaluation of serial papers for generating</w:t>
      </w:r>
      <w:r w:rsidR="00F81221">
        <w:rPr>
          <w:kern w:val="0"/>
          <w:szCs w:val="24"/>
        </w:rPr>
        <w:t xml:space="preserve"> and </w:t>
      </w:r>
      <w:r>
        <w:rPr>
          <w:kern w:val="0"/>
          <w:szCs w:val="24"/>
        </w:rPr>
        <w:t>ranking core paper lists on different subjects becomes a very challenging task for scholars or librarians. Therefore, a computer-aided bibliometric system (CABS) was developed to generate a core article ranked list automatically. Four indicators - subject reference cited counts, subject total cited Counts. subject reference period impact</w:t>
      </w:r>
      <w:r w:rsidR="00F81221">
        <w:rPr>
          <w:kern w:val="0"/>
          <w:szCs w:val="24"/>
        </w:rPr>
        <w:t xml:space="preserve"> and </w:t>
      </w:r>
      <w:r>
        <w:rPr>
          <w:kern w:val="0"/>
          <w:szCs w:val="24"/>
        </w:rPr>
        <w:t>subject reference cited history - were proposed to generate a subject core article ranking list. Seven different subjects including E-commerce. Data Mining, Supply Chain, Image Processing, Enterprise Resource Planning, Microarray</w:t>
      </w:r>
      <w:r w:rsidR="00F81221">
        <w:rPr>
          <w:kern w:val="0"/>
          <w:szCs w:val="24"/>
        </w:rPr>
        <w:t xml:space="preserve"> and </w:t>
      </w:r>
      <w:r>
        <w:rPr>
          <w:kern w:val="0"/>
          <w:szCs w:val="24"/>
        </w:rPr>
        <w:t>Expert Systems were used as samples. The turning point (TP) was proposed to determine the core article area in the paper citation analysis. The TP patterns observed were that all TPs had the same rate for four different subjects. The usage of TP patterns can also be used to verify the experimental results. This study provides experimental evidence to disprove three myths. Myth 1: the top papers on a subject (for instance, the top 10 papers) were all submitted to (S)SCI journals. Myth 2: the highly cited papers (cited counts &gt;4) on interdisciplinary subjects were almost submitted to (S)SCI journals. Myth 3: the articles published in the top journals on a subject would be highly cited. (c) 2007 Elsevier Inc. All rights reserved.</w:t>
      </w:r>
    </w:p>
    <w:p w:rsidR="0031722D" w:rsidRDefault="0031722D" w:rsidP="0031722D">
      <w:pPr>
        <w:pStyle w:val="a0"/>
        <w:rPr>
          <w:kern w:val="0"/>
          <w:szCs w:val="24"/>
        </w:rPr>
      </w:pPr>
      <w:r>
        <w:rPr>
          <w:kern w:val="0"/>
          <w:szCs w:val="24"/>
        </w:rPr>
        <w:lastRenderedPageBreak/>
        <w:t>Keywords: Analysis, Bibliometric, Bibliometrics, Citation, Citation Analysis, Developed, E-Commerce, Evaluation, Evidence, Experimental, Experts, History, Image, Impact, Indicators, Interdisciplinary, Journals, Mining, Paper Ranking, Papers, Peer-Reviewed, Publications, Ranking, Reference, Rights, Scientometrics, Self-Citation</w:t>
      </w:r>
    </w:p>
    <w:p w:rsidR="00565BAB" w:rsidRDefault="00565BAB" w:rsidP="00565BAB">
      <w:pPr>
        <w:pStyle w:val="a0"/>
        <w:rPr>
          <w:kern w:val="0"/>
        </w:rPr>
      </w:pPr>
      <w:r>
        <w:rPr>
          <w:kern w:val="0"/>
        </w:rPr>
        <w:t>? Papavlasopoulos, S., Poulos, M., Korfiatis, N.</w:t>
      </w:r>
      <w:r w:rsidR="00F81221">
        <w:rPr>
          <w:kern w:val="0"/>
        </w:rPr>
        <w:t xml:space="preserve"> and </w:t>
      </w:r>
      <w:r>
        <w:rPr>
          <w:kern w:val="0"/>
        </w:rPr>
        <w:t>Bokos, G. (2010), A non-linear index to evaluate a journal</w:t>
      </w:r>
      <w:r w:rsidR="000352E7">
        <w:rPr>
          <w:kern w:val="0"/>
        </w:rPr>
        <w:t>’</w:t>
      </w:r>
      <w:r>
        <w:rPr>
          <w:kern w:val="0"/>
        </w:rPr>
        <w:t xml:space="preserve">s scientific impact. </w:t>
      </w:r>
      <w:r>
        <w:rPr>
          <w:i/>
          <w:iCs/>
          <w:kern w:val="0"/>
        </w:rPr>
        <w:t>Information Sciences</w:t>
      </w:r>
      <w:r>
        <w:rPr>
          <w:kern w:val="0"/>
        </w:rPr>
        <w:t xml:space="preserve">, </w:t>
      </w:r>
      <w:r>
        <w:rPr>
          <w:b/>
          <w:bCs/>
          <w:kern w:val="0"/>
        </w:rPr>
        <w:t>180</w:t>
      </w:r>
      <w:r>
        <w:rPr>
          <w:kern w:val="0"/>
        </w:rPr>
        <w:t xml:space="preserve"> (11), 2156-2175.</w:t>
      </w:r>
    </w:p>
    <w:p w:rsidR="00565BAB" w:rsidRDefault="00565BAB" w:rsidP="00565BAB">
      <w:pPr>
        <w:pStyle w:val="a0"/>
        <w:rPr>
          <w:kern w:val="0"/>
          <w:szCs w:val="24"/>
        </w:rPr>
      </w:pPr>
      <w:r>
        <w:rPr>
          <w:kern w:val="0"/>
          <w:szCs w:val="24"/>
        </w:rPr>
        <w:t>Full Text: 2010\Inf Sci180, 2156.pdf</w:t>
      </w:r>
    </w:p>
    <w:p w:rsidR="00565BAB" w:rsidRDefault="00565BAB" w:rsidP="00565BAB">
      <w:pPr>
        <w:pStyle w:val="a0"/>
        <w:rPr>
          <w:kern w:val="0"/>
        </w:rPr>
      </w:pPr>
      <w:r>
        <w:rPr>
          <w:kern w:val="0"/>
        </w:rPr>
        <w:t>Abstract: The purpose of this study is to define a bibliometric indicator of the scientific impact of a journal, which combines objectivity with the ability to bridge many different bibliometric factors</w:t>
      </w:r>
      <w:r w:rsidR="00F81221">
        <w:rPr>
          <w:kern w:val="0"/>
        </w:rPr>
        <w:t xml:space="preserve"> and </w:t>
      </w:r>
      <w:r>
        <w:rPr>
          <w:kern w:val="0"/>
        </w:rPr>
        <w:t>in particular the side factors presented along with celebrated ISI impact factor. The particular goal is to determine a standard threshold value in which an independent self-organizing system will decide the correlation between this value</w:t>
      </w:r>
      <w:r w:rsidR="00F81221">
        <w:rPr>
          <w:kern w:val="0"/>
        </w:rPr>
        <w:t xml:space="preserve"> and </w:t>
      </w:r>
      <w:r>
        <w:rPr>
          <w:kern w:val="0"/>
        </w:rPr>
        <w:t xml:space="preserve">the impact factor of a journal. We name this factor </w:t>
      </w:r>
      <w:r w:rsidR="000352E7">
        <w:rPr>
          <w:kern w:val="0"/>
        </w:rPr>
        <w:t>“</w:t>
      </w:r>
      <w:r>
        <w:rPr>
          <w:kern w:val="0"/>
        </w:rPr>
        <w:t>Cited Distance Factor (CDF)</w:t>
      </w:r>
      <w:r w:rsidR="000352E7">
        <w:rPr>
          <w:kern w:val="0"/>
        </w:rPr>
        <w:t>”</w:t>
      </w:r>
      <w:r w:rsidR="00F81221">
        <w:rPr>
          <w:kern w:val="0"/>
        </w:rPr>
        <w:t xml:space="preserve"> and </w:t>
      </w:r>
      <w:r>
        <w:rPr>
          <w:kern w:val="0"/>
        </w:rPr>
        <w:t>it is extracted via a well-fitted, recurrent Elman neural network. For a case study of this implementation we used a dataset of all journals of cell biology, ranking them according to the impact factor from the Web of Science Database</w:t>
      </w:r>
      <w:r w:rsidR="00F81221">
        <w:rPr>
          <w:kern w:val="0"/>
        </w:rPr>
        <w:t xml:space="preserve"> and </w:t>
      </w:r>
      <w:r>
        <w:rPr>
          <w:kern w:val="0"/>
        </w:rPr>
        <w:t>then comparing the rank according to the cited distance. For clarity reasons we also compare the cited distance factor with already known measures</w:t>
      </w:r>
      <w:r w:rsidR="00F81221">
        <w:rPr>
          <w:kern w:val="0"/>
        </w:rPr>
        <w:t xml:space="preserve"> and </w:t>
      </w:r>
      <w:r>
        <w:rPr>
          <w:kern w:val="0"/>
        </w:rPr>
        <w:t>especially with the recently introduced eigenfactor of the institute of scientific information (ISI). (C) 2010 Elsevier Inc. All rights reserved.</w:t>
      </w:r>
    </w:p>
    <w:p w:rsidR="00565BAB" w:rsidRDefault="00565BAB" w:rsidP="00565BAB">
      <w:pPr>
        <w:pStyle w:val="a0"/>
        <w:rPr>
          <w:kern w:val="0"/>
        </w:rPr>
      </w:pPr>
      <w:r>
        <w:rPr>
          <w:kern w:val="0"/>
        </w:rPr>
        <w:t>Keywords: Bibliometric, Bibliometrics, Biology, Citations, Elman Neural Network, Impact, Impact Factor, Information, ISI, Journal, Journals, Neural-Networks, Ranking, Science, Scientific Information, Semantic Classification, System, Units, Web of Science</w:t>
      </w:r>
    </w:p>
    <w:p w:rsidR="0018232B" w:rsidRDefault="0018232B" w:rsidP="0018232B">
      <w:pPr>
        <w:pStyle w:val="a0"/>
        <w:rPr>
          <w:kern w:val="0"/>
          <w:szCs w:val="24"/>
        </w:rPr>
      </w:pPr>
      <w:r>
        <w:rPr>
          <w:rFonts w:hint="eastAsia"/>
          <w:kern w:val="0"/>
          <w:szCs w:val="24"/>
        </w:rPr>
        <w:t xml:space="preserve">? </w:t>
      </w:r>
      <w:r w:rsidRPr="0018232B">
        <w:rPr>
          <w:kern w:val="0"/>
          <w:szCs w:val="24"/>
        </w:rPr>
        <w:t>Papavlasopoulos,</w:t>
      </w:r>
      <w:r>
        <w:rPr>
          <w:rFonts w:hint="eastAsia"/>
          <w:kern w:val="0"/>
          <w:szCs w:val="24"/>
        </w:rPr>
        <w:t xml:space="preserve"> S.,</w:t>
      </w:r>
      <w:r w:rsidRPr="0018232B">
        <w:rPr>
          <w:kern w:val="0"/>
          <w:szCs w:val="24"/>
        </w:rPr>
        <w:t xml:space="preserve"> Poulos,</w:t>
      </w:r>
      <w:r>
        <w:rPr>
          <w:rFonts w:hint="eastAsia"/>
          <w:kern w:val="0"/>
          <w:szCs w:val="24"/>
        </w:rPr>
        <w:t xml:space="preserve"> M.,</w:t>
      </w:r>
      <w:r>
        <w:rPr>
          <w:kern w:val="0"/>
          <w:szCs w:val="24"/>
        </w:rPr>
        <w:t xml:space="preserve"> </w:t>
      </w:r>
      <w:r w:rsidRPr="0018232B">
        <w:rPr>
          <w:kern w:val="0"/>
          <w:szCs w:val="24"/>
        </w:rPr>
        <w:t>Korfiatis,</w:t>
      </w:r>
      <w:r>
        <w:rPr>
          <w:rFonts w:hint="eastAsia"/>
          <w:kern w:val="0"/>
          <w:szCs w:val="24"/>
        </w:rPr>
        <w:t xml:space="preserve"> N.</w:t>
      </w:r>
      <w:r w:rsidR="00F81221">
        <w:rPr>
          <w:rFonts w:hint="eastAsia"/>
          <w:kern w:val="0"/>
          <w:szCs w:val="24"/>
        </w:rPr>
        <w:t xml:space="preserve"> and </w:t>
      </w:r>
      <w:r w:rsidRPr="0018232B">
        <w:rPr>
          <w:kern w:val="0"/>
          <w:szCs w:val="24"/>
        </w:rPr>
        <w:t>Bokos</w:t>
      </w:r>
      <w:r>
        <w:rPr>
          <w:rFonts w:hint="eastAsia"/>
          <w:kern w:val="0"/>
          <w:szCs w:val="24"/>
        </w:rPr>
        <w:t>, G.</w:t>
      </w:r>
      <w:r>
        <w:rPr>
          <w:kern w:val="0"/>
          <w:szCs w:val="24"/>
        </w:rPr>
        <w:t xml:space="preserve"> (20</w:t>
      </w:r>
      <w:r>
        <w:rPr>
          <w:rFonts w:hint="eastAsia"/>
          <w:kern w:val="0"/>
          <w:szCs w:val="24"/>
        </w:rPr>
        <w:t>10</w:t>
      </w:r>
      <w:r>
        <w:rPr>
          <w:kern w:val="0"/>
          <w:szCs w:val="24"/>
        </w:rPr>
        <w:t xml:space="preserve">), </w:t>
      </w:r>
      <w:r w:rsidRPr="0018232B">
        <w:rPr>
          <w:kern w:val="0"/>
          <w:szCs w:val="24"/>
        </w:rPr>
        <w:t>A non-linear index to evaluate a journal</w:t>
      </w:r>
      <w:r w:rsidR="000352E7">
        <w:rPr>
          <w:kern w:val="0"/>
          <w:szCs w:val="24"/>
        </w:rPr>
        <w:t>’</w:t>
      </w:r>
      <w:r w:rsidRPr="0018232B">
        <w:rPr>
          <w:kern w:val="0"/>
          <w:szCs w:val="24"/>
        </w:rPr>
        <w:t>s scientific impact</w:t>
      </w:r>
      <w:r>
        <w:rPr>
          <w:kern w:val="0"/>
          <w:szCs w:val="24"/>
        </w:rPr>
        <w:t xml:space="preserve">. </w:t>
      </w:r>
      <w:r w:rsidRPr="00EB2A20">
        <w:rPr>
          <w:i/>
          <w:iCs/>
          <w:kern w:val="0"/>
          <w:szCs w:val="24"/>
        </w:rPr>
        <w:t>Information Sciences</w:t>
      </w:r>
      <w:r>
        <w:rPr>
          <w:kern w:val="0"/>
          <w:szCs w:val="24"/>
        </w:rPr>
        <w:t xml:space="preserve">, </w:t>
      </w:r>
      <w:r>
        <w:rPr>
          <w:b/>
          <w:bCs/>
          <w:kern w:val="0"/>
          <w:szCs w:val="24"/>
        </w:rPr>
        <w:t>1</w:t>
      </w:r>
      <w:r>
        <w:rPr>
          <w:rFonts w:hint="eastAsia"/>
          <w:b/>
          <w:bCs/>
          <w:kern w:val="0"/>
          <w:szCs w:val="24"/>
        </w:rPr>
        <w:t>80</w:t>
      </w:r>
      <w:r>
        <w:rPr>
          <w:kern w:val="0"/>
          <w:szCs w:val="24"/>
        </w:rPr>
        <w:t xml:space="preserve"> (17), </w:t>
      </w:r>
      <w:r w:rsidRPr="0018232B">
        <w:rPr>
          <w:kern w:val="0"/>
          <w:szCs w:val="24"/>
        </w:rPr>
        <w:t>2156-2175</w:t>
      </w:r>
      <w:r>
        <w:rPr>
          <w:kern w:val="0"/>
          <w:szCs w:val="24"/>
        </w:rPr>
        <w:t>.</w:t>
      </w:r>
    </w:p>
    <w:p w:rsidR="0018232B" w:rsidRDefault="0018232B" w:rsidP="0018232B">
      <w:pPr>
        <w:pStyle w:val="a0"/>
        <w:rPr>
          <w:kern w:val="0"/>
          <w:szCs w:val="24"/>
        </w:rPr>
      </w:pPr>
      <w:r>
        <w:rPr>
          <w:rFonts w:hint="eastAsia"/>
          <w:kern w:val="0"/>
          <w:szCs w:val="24"/>
        </w:rPr>
        <w:t xml:space="preserve">Full Text: </w:t>
      </w:r>
      <w:hyperlink r:id="rId1482" w:history="1">
        <w:r w:rsidRPr="0018232B">
          <w:rPr>
            <w:rStyle w:val="a5"/>
            <w:kern w:val="0"/>
            <w:szCs w:val="24"/>
          </w:rPr>
          <w:t>2010\Inf Sci180, 2156.pdf</w:t>
        </w:r>
      </w:hyperlink>
    </w:p>
    <w:p w:rsidR="0018232B" w:rsidRPr="0018232B" w:rsidRDefault="0018232B" w:rsidP="0018232B">
      <w:pPr>
        <w:pStyle w:val="a0"/>
        <w:rPr>
          <w:kern w:val="0"/>
          <w:szCs w:val="24"/>
        </w:rPr>
      </w:pPr>
      <w:r w:rsidRPr="0018232B">
        <w:rPr>
          <w:kern w:val="0"/>
          <w:szCs w:val="24"/>
        </w:rPr>
        <w:t>Abstract</w:t>
      </w:r>
      <w:r>
        <w:rPr>
          <w:rFonts w:hint="eastAsia"/>
          <w:kern w:val="0"/>
          <w:szCs w:val="24"/>
        </w:rPr>
        <w:t xml:space="preserve">: </w:t>
      </w:r>
      <w:r w:rsidRPr="0018232B">
        <w:rPr>
          <w:kern w:val="0"/>
          <w:szCs w:val="24"/>
        </w:rPr>
        <w:t>The purpose of this study is to define a bibliometric indicator of the scientific impact of a journal, which combines objectivity with the ability to bridge many different bibliometric factors</w:t>
      </w:r>
      <w:r w:rsidR="00F81221">
        <w:rPr>
          <w:kern w:val="0"/>
          <w:szCs w:val="24"/>
        </w:rPr>
        <w:t xml:space="preserve"> and </w:t>
      </w:r>
      <w:r w:rsidRPr="0018232B">
        <w:rPr>
          <w:kern w:val="0"/>
          <w:szCs w:val="24"/>
        </w:rPr>
        <w:t>in particular the side factors presented along with celebrated ISI impact factor. The particular goal is to determine a standard threshold value in which an independent self-organizing system will decide the correlation between this value</w:t>
      </w:r>
      <w:r w:rsidR="00F81221">
        <w:rPr>
          <w:kern w:val="0"/>
          <w:szCs w:val="24"/>
        </w:rPr>
        <w:t xml:space="preserve"> and </w:t>
      </w:r>
      <w:r w:rsidRPr="0018232B">
        <w:rPr>
          <w:kern w:val="0"/>
          <w:szCs w:val="24"/>
        </w:rPr>
        <w:t xml:space="preserve">the impact factor of a journal. We name this factor </w:t>
      </w:r>
      <w:r w:rsidR="000352E7">
        <w:rPr>
          <w:kern w:val="0"/>
          <w:szCs w:val="24"/>
        </w:rPr>
        <w:t>“</w:t>
      </w:r>
      <w:r w:rsidRPr="0018232B">
        <w:rPr>
          <w:kern w:val="0"/>
          <w:szCs w:val="24"/>
        </w:rPr>
        <w:t>Cited Distance Factor (CDF)</w:t>
      </w:r>
      <w:r w:rsidR="000352E7">
        <w:rPr>
          <w:kern w:val="0"/>
          <w:szCs w:val="24"/>
        </w:rPr>
        <w:t>”</w:t>
      </w:r>
      <w:r w:rsidR="00F81221">
        <w:rPr>
          <w:kern w:val="0"/>
          <w:szCs w:val="24"/>
        </w:rPr>
        <w:t xml:space="preserve"> and </w:t>
      </w:r>
      <w:r w:rsidRPr="0018232B">
        <w:rPr>
          <w:kern w:val="0"/>
          <w:szCs w:val="24"/>
        </w:rPr>
        <w:t xml:space="preserve">it is extracted via a well-fitted, recurrent Elman neural network. For a case study of this implementation we used a dataset of all journals of cell biology, ranking them according to the impact factor from the Web of Science </w:t>
      </w:r>
      <w:r w:rsidRPr="0018232B">
        <w:rPr>
          <w:kern w:val="0"/>
          <w:szCs w:val="24"/>
        </w:rPr>
        <w:lastRenderedPageBreak/>
        <w:t>Database</w:t>
      </w:r>
      <w:r w:rsidR="00F81221">
        <w:rPr>
          <w:kern w:val="0"/>
          <w:szCs w:val="24"/>
        </w:rPr>
        <w:t xml:space="preserve"> and </w:t>
      </w:r>
      <w:r w:rsidRPr="0018232B">
        <w:rPr>
          <w:kern w:val="0"/>
          <w:szCs w:val="24"/>
        </w:rPr>
        <w:t>then comparing the rank according to the cited distance. For clarity reasons we also compare the cited distance factor with already known measures</w:t>
      </w:r>
      <w:r w:rsidR="00F81221">
        <w:rPr>
          <w:kern w:val="0"/>
          <w:szCs w:val="24"/>
        </w:rPr>
        <w:t xml:space="preserve"> and </w:t>
      </w:r>
      <w:r w:rsidRPr="0018232B">
        <w:rPr>
          <w:kern w:val="0"/>
          <w:szCs w:val="24"/>
        </w:rPr>
        <w:t>especially with the recently introduced eigenfactor of the institute of scientific information (ISI).</w:t>
      </w:r>
    </w:p>
    <w:p w:rsidR="0018232B" w:rsidRDefault="0018232B" w:rsidP="0018232B">
      <w:pPr>
        <w:pStyle w:val="a0"/>
        <w:rPr>
          <w:kern w:val="0"/>
          <w:szCs w:val="24"/>
        </w:rPr>
      </w:pPr>
      <w:r w:rsidRPr="0018232B">
        <w:rPr>
          <w:kern w:val="0"/>
          <w:szCs w:val="24"/>
        </w:rPr>
        <w:t>Keywords: Bibliometrics</w:t>
      </w:r>
      <w:r>
        <w:rPr>
          <w:kern w:val="0"/>
          <w:szCs w:val="24"/>
        </w:rPr>
        <w:t>,</w:t>
      </w:r>
      <w:r w:rsidRPr="0018232B">
        <w:rPr>
          <w:kern w:val="0"/>
          <w:szCs w:val="24"/>
        </w:rPr>
        <w:t xml:space="preserve"> Semantic Classification</w:t>
      </w:r>
      <w:r>
        <w:rPr>
          <w:kern w:val="0"/>
          <w:szCs w:val="24"/>
        </w:rPr>
        <w:t>,</w:t>
      </w:r>
      <w:r w:rsidRPr="0018232B">
        <w:rPr>
          <w:kern w:val="0"/>
          <w:szCs w:val="24"/>
        </w:rPr>
        <w:t xml:space="preserve"> Elman Neural Network</w:t>
      </w:r>
      <w:r>
        <w:rPr>
          <w:kern w:val="0"/>
          <w:szCs w:val="24"/>
        </w:rPr>
        <w:t>,</w:t>
      </w:r>
      <w:r w:rsidRPr="0018232B">
        <w:rPr>
          <w:kern w:val="0"/>
          <w:szCs w:val="24"/>
        </w:rPr>
        <w:t xml:space="preserve"> Impact Factor</w:t>
      </w:r>
    </w:p>
    <w:p w:rsidR="00C83368" w:rsidRDefault="00C83368" w:rsidP="00C83368">
      <w:pPr>
        <w:pStyle w:val="a0"/>
        <w:rPr>
          <w:kern w:val="0"/>
        </w:rPr>
      </w:pPr>
      <w:r>
        <w:rPr>
          <w:rFonts w:hint="eastAsia"/>
          <w:kern w:val="0"/>
        </w:rPr>
        <w:t xml:space="preserve">? </w:t>
      </w:r>
      <w:r>
        <w:rPr>
          <w:kern w:val="0"/>
        </w:rPr>
        <w:t xml:space="preserve">Szymanski, B.K., de la Rosa, J.L. and Krishnamoorthy, M. (2012), An Internet measure of the value of citations. </w:t>
      </w:r>
      <w:r>
        <w:rPr>
          <w:i/>
          <w:iCs/>
          <w:kern w:val="0"/>
        </w:rPr>
        <w:t>Information Sciences</w:t>
      </w:r>
      <w:r>
        <w:rPr>
          <w:kern w:val="0"/>
        </w:rPr>
        <w:t xml:space="preserve">, </w:t>
      </w:r>
      <w:r>
        <w:rPr>
          <w:b/>
          <w:bCs/>
          <w:kern w:val="0"/>
        </w:rPr>
        <w:t>185</w:t>
      </w:r>
      <w:r>
        <w:rPr>
          <w:kern w:val="0"/>
        </w:rPr>
        <w:t xml:space="preserve"> (1), 18-31.</w:t>
      </w:r>
    </w:p>
    <w:p w:rsidR="00C83368" w:rsidRDefault="00C83368" w:rsidP="00C83368">
      <w:pPr>
        <w:pStyle w:val="a0"/>
        <w:rPr>
          <w:kern w:val="0"/>
          <w:szCs w:val="24"/>
        </w:rPr>
      </w:pPr>
      <w:r>
        <w:rPr>
          <w:rFonts w:hint="eastAsia"/>
          <w:kern w:val="0"/>
          <w:szCs w:val="24"/>
        </w:rPr>
        <w:t xml:space="preserve">Full Text: </w:t>
      </w:r>
      <w:hyperlink r:id="rId1483" w:history="1">
        <w:r w:rsidRPr="00C83368">
          <w:rPr>
            <w:rStyle w:val="a5"/>
            <w:kern w:val="0"/>
            <w:szCs w:val="24"/>
          </w:rPr>
          <w:t>2012\Inf Sci185, 18.pdf</w:t>
        </w:r>
      </w:hyperlink>
    </w:p>
    <w:p w:rsidR="00C83368" w:rsidRDefault="00C83368" w:rsidP="00C83368">
      <w:pPr>
        <w:pStyle w:val="a0"/>
        <w:rPr>
          <w:kern w:val="0"/>
        </w:rPr>
      </w:pPr>
      <w:r>
        <w:rPr>
          <w:kern w:val="0"/>
        </w:rPr>
        <w:t>Abstract: A new method for computing the value of citations is introduced and compared with the PageRank algorithm for author ranking. In our proposed approach, the value of each publication is expressed in CENTs (sCientific currENcy Tokens). The publication</w:t>
      </w:r>
      <w:r w:rsidR="000352E7">
        <w:rPr>
          <w:kern w:val="0"/>
        </w:rPr>
        <w:t>’</w:t>
      </w:r>
      <w:r>
        <w:rPr>
          <w:kern w:val="0"/>
        </w:rPr>
        <w:t>s value is then divided by the number of citations made by that publication to yield a value for each citation. As citations are the acknowledgements of the work by authors other than oneself (indicating that it has been useful), self-citations count as zero in acknowledged citation value. Circular citations, a generalized type of self-citation, are considered to have a reduced acknowledged citation value. Finally, we propose a modification of the h-index to define it as the largest integer such that the i-th publication (on the list of publications sorted by their value in CENTs) is worth more than i CENTs. This new index, termed the i-index or i(2) in short, appears to be a more precise measure of the impact of publications and their authors</w:t>
      </w:r>
      <w:r w:rsidR="000352E7">
        <w:rPr>
          <w:kern w:val="0"/>
        </w:rPr>
        <w:t>’</w:t>
      </w:r>
      <w:r>
        <w:rPr>
          <w:kern w:val="0"/>
        </w:rPr>
        <w:t xml:space="preserve"> productivity than the h-index. (C) 2011 Elsevier Inc. All rights reserved.</w:t>
      </w:r>
    </w:p>
    <w:p w:rsidR="00C83368" w:rsidRDefault="00C83368" w:rsidP="00C83368">
      <w:pPr>
        <w:pStyle w:val="a0"/>
        <w:rPr>
          <w:kern w:val="0"/>
        </w:rPr>
      </w:pPr>
      <w:r>
        <w:rPr>
          <w:kern w:val="0"/>
        </w:rPr>
        <w:t xml:space="preserve">Keywords: Algorithm, Author, Author Ranking, Authors, Bibliometrics, Citation, Citation Analysis, Citations, </w:t>
      </w:r>
      <w:r>
        <w:rPr>
          <w:rFonts w:hint="eastAsia"/>
          <w:kern w:val="0"/>
        </w:rPr>
        <w:t>h</w:t>
      </w:r>
      <w:r>
        <w:rPr>
          <w:kern w:val="0"/>
        </w:rPr>
        <w:t xml:space="preserve"> Index, </w:t>
      </w:r>
      <w:r>
        <w:rPr>
          <w:rFonts w:hint="eastAsia"/>
          <w:kern w:val="0"/>
        </w:rPr>
        <w:t>h</w:t>
      </w:r>
      <w:r>
        <w:rPr>
          <w:kern w:val="0"/>
        </w:rPr>
        <w:t>-Index, Impact, Impact Factor, Internet, Modification, Pagerank, Pagerank, Productivity, Publication, Publications, Ranking, Scientometrics, Self-Citation</w:t>
      </w:r>
    </w:p>
    <w:p w:rsidR="00B95188" w:rsidRPr="00586CD8" w:rsidRDefault="00B95188" w:rsidP="00B95188">
      <w:pPr>
        <w:pStyle w:val="1"/>
      </w:pPr>
      <w:r w:rsidRPr="00586CD8">
        <w:br w:type="page"/>
      </w:r>
      <w:bookmarkStart w:id="1034" w:name="_Toc186647866"/>
      <w:bookmarkStart w:id="1035" w:name="_Toc317161172"/>
      <w:r w:rsidRPr="00A428C3">
        <w:lastRenderedPageBreak/>
        <w:t>Title: Information Scientist</w:t>
      </w:r>
      <w:bookmarkEnd w:id="1034"/>
      <w:bookmarkEnd w:id="1035"/>
    </w:p>
    <w:p w:rsidR="00B95188" w:rsidRPr="00A428C3" w:rsidRDefault="00B95188" w:rsidP="00B72EF9">
      <w:pPr>
        <w:pStyle w:val="12"/>
      </w:pPr>
      <w:r w:rsidRPr="00A428C3">
        <w:t>Full Journal Title: Information Scientist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Aiyepeku, W.O. (1975), Bibliometrics in information-science curricula. </w:t>
      </w:r>
      <w:r w:rsidRPr="00A428C3">
        <w:rPr>
          <w:i/>
          <w:iCs/>
        </w:rPr>
        <w:t>Information Scientist</w:t>
      </w:r>
      <w:r w:rsidRPr="00A428C3">
        <w:t xml:space="preserve">, </w:t>
      </w:r>
      <w:r w:rsidRPr="00A428C3">
        <w:rPr>
          <w:b/>
        </w:rPr>
        <w:t>9</w:t>
      </w:r>
      <w:r w:rsidRPr="00A428C3">
        <w:t xml:space="preserve"> (1), 29-34.</w:t>
      </w:r>
    </w:p>
    <w:p w:rsidR="00845E52" w:rsidRPr="00F621CE" w:rsidRDefault="00845E52" w:rsidP="00845E52">
      <w:pPr>
        <w:pStyle w:val="1"/>
      </w:pPr>
      <w:r w:rsidRPr="00F621CE">
        <w:br w:type="page"/>
      </w:r>
      <w:bookmarkStart w:id="1036" w:name="_Toc317161173"/>
      <w:r w:rsidRPr="00217FB1">
        <w:lastRenderedPageBreak/>
        <w:t>Title: Information Society</w:t>
      </w:r>
      <w:bookmarkEnd w:id="1036"/>
    </w:p>
    <w:p w:rsidR="00845E52" w:rsidRPr="00217FB1" w:rsidRDefault="00845E52" w:rsidP="00B72EF9">
      <w:pPr>
        <w:pStyle w:val="12"/>
      </w:pPr>
      <w:r w:rsidRPr="00217FB1">
        <w:t>Full Journal Title:</w:t>
      </w:r>
      <w:r w:rsidRPr="00164E58">
        <w:t xml:space="preserve"> </w:t>
      </w:r>
      <w:r w:rsidRPr="00217FB1">
        <w:t>Information Society</w:t>
      </w:r>
    </w:p>
    <w:p w:rsidR="00845E52" w:rsidRPr="00217FB1" w:rsidRDefault="00845E52" w:rsidP="00B72EF9">
      <w:pPr>
        <w:pStyle w:val="12"/>
      </w:pPr>
      <w:r w:rsidRPr="00217FB1">
        <w:t xml:space="preserve">ISO Abbreviated Title: </w:t>
      </w:r>
    </w:p>
    <w:p w:rsidR="00845E52" w:rsidRPr="00217FB1" w:rsidRDefault="00845E52" w:rsidP="00B72EF9">
      <w:pPr>
        <w:pStyle w:val="12"/>
      </w:pPr>
      <w:r w:rsidRPr="00217FB1">
        <w:t>JCR Abbreviated Title</w:t>
      </w:r>
      <w:r>
        <w:t>:</w:t>
      </w:r>
    </w:p>
    <w:p w:rsidR="00845E52" w:rsidRPr="00217FB1" w:rsidRDefault="00845E52" w:rsidP="00B72EF9">
      <w:pPr>
        <w:pStyle w:val="12"/>
      </w:pPr>
      <w:r w:rsidRPr="00217FB1">
        <w:t xml:space="preserve">ISSN: </w:t>
      </w:r>
    </w:p>
    <w:p w:rsidR="00845E52" w:rsidRPr="00217FB1" w:rsidRDefault="00845E52" w:rsidP="00B72EF9">
      <w:pPr>
        <w:pStyle w:val="12"/>
      </w:pPr>
      <w:r w:rsidRPr="00217FB1">
        <w:t xml:space="preserve">Issues/Year: </w:t>
      </w:r>
    </w:p>
    <w:p w:rsidR="00845E52" w:rsidRPr="00217FB1" w:rsidRDefault="00FB5623" w:rsidP="00B72EF9">
      <w:pPr>
        <w:pStyle w:val="12"/>
      </w:pPr>
      <w:r>
        <w:t>Journal Country/Territory:</w:t>
      </w:r>
      <w:r w:rsidR="00845E52">
        <w:t xml:space="preserve"> </w:t>
      </w:r>
    </w:p>
    <w:p w:rsidR="00845E52" w:rsidRPr="00217FB1" w:rsidRDefault="00845E52" w:rsidP="00B72EF9">
      <w:pPr>
        <w:pStyle w:val="12"/>
      </w:pPr>
      <w:r w:rsidRPr="00217FB1">
        <w:t xml:space="preserve">Language: </w:t>
      </w:r>
    </w:p>
    <w:p w:rsidR="00845E52" w:rsidRPr="00217FB1" w:rsidRDefault="00845E52" w:rsidP="00B72EF9">
      <w:pPr>
        <w:pStyle w:val="12"/>
      </w:pPr>
      <w:r w:rsidRPr="00217FB1">
        <w:t xml:space="preserve">Publisher: </w:t>
      </w:r>
    </w:p>
    <w:p w:rsidR="00845E52" w:rsidRPr="00217FB1" w:rsidRDefault="00845E52" w:rsidP="00B72EF9">
      <w:pPr>
        <w:pStyle w:val="12"/>
      </w:pPr>
      <w:r w:rsidRPr="00217FB1">
        <w:t xml:space="preserve">Publisher Address: </w:t>
      </w:r>
    </w:p>
    <w:p w:rsidR="00845E52" w:rsidRPr="00217FB1" w:rsidRDefault="00845E52" w:rsidP="00B72EF9">
      <w:pPr>
        <w:pStyle w:val="12"/>
      </w:pPr>
      <w:r w:rsidRPr="00217FB1">
        <w:t>Subject Categories:</w:t>
      </w:r>
    </w:p>
    <w:p w:rsidR="00845E52" w:rsidRPr="00217FB1" w:rsidRDefault="00845E52" w:rsidP="00B72EF9">
      <w:pPr>
        <w:pStyle w:val="12"/>
      </w:pPr>
      <w:r w:rsidRPr="00217FB1">
        <w:t xml:space="preserve">: Impact Factor </w:t>
      </w:r>
    </w:p>
    <w:p w:rsidR="00845E52" w:rsidRDefault="00845E52" w:rsidP="00845E52">
      <w:pPr>
        <w:pStyle w:val="a0"/>
        <w:rPr>
          <w:kern w:val="0"/>
          <w:szCs w:val="24"/>
        </w:rPr>
      </w:pPr>
      <w:r>
        <w:rPr>
          <w:rFonts w:hint="eastAsia"/>
          <w:kern w:val="0"/>
          <w:szCs w:val="24"/>
        </w:rPr>
        <w:t xml:space="preserve">? </w:t>
      </w:r>
      <w:r>
        <w:rPr>
          <w:kern w:val="0"/>
          <w:szCs w:val="24"/>
        </w:rPr>
        <w:t>Cronin, B.</w:t>
      </w:r>
      <w:r w:rsidR="00F81221">
        <w:rPr>
          <w:kern w:val="0"/>
          <w:szCs w:val="24"/>
        </w:rPr>
        <w:t xml:space="preserve"> and </w:t>
      </w:r>
      <w:r>
        <w:rPr>
          <w:kern w:val="0"/>
          <w:szCs w:val="24"/>
        </w:rPr>
        <w:t>Shaw, D. (2007), Peers</w:t>
      </w:r>
      <w:r w:rsidR="00F81221">
        <w:rPr>
          <w:kern w:val="0"/>
          <w:szCs w:val="24"/>
        </w:rPr>
        <w:t xml:space="preserve"> and </w:t>
      </w:r>
      <w:r>
        <w:rPr>
          <w:kern w:val="0"/>
          <w:szCs w:val="24"/>
        </w:rPr>
        <w:t xml:space="preserve">spheres of influence: Situating Rob Kling. </w:t>
      </w:r>
      <w:r>
        <w:rPr>
          <w:i/>
          <w:iCs/>
          <w:kern w:val="0"/>
          <w:szCs w:val="24"/>
        </w:rPr>
        <w:t>Information Society</w:t>
      </w:r>
      <w:r>
        <w:rPr>
          <w:kern w:val="0"/>
          <w:szCs w:val="24"/>
        </w:rPr>
        <w:t xml:space="preserve">, </w:t>
      </w:r>
      <w:r>
        <w:rPr>
          <w:b/>
          <w:bCs/>
          <w:kern w:val="0"/>
          <w:szCs w:val="24"/>
        </w:rPr>
        <w:t>23</w:t>
      </w:r>
      <w:r>
        <w:rPr>
          <w:kern w:val="0"/>
          <w:szCs w:val="24"/>
        </w:rPr>
        <w:t xml:space="preserve"> (4), 221-233.</w:t>
      </w:r>
    </w:p>
    <w:p w:rsidR="00845E52" w:rsidRDefault="00845E52" w:rsidP="00845E52">
      <w:pPr>
        <w:pStyle w:val="a0"/>
        <w:rPr>
          <w:kern w:val="0"/>
          <w:szCs w:val="24"/>
        </w:rPr>
      </w:pPr>
      <w:r>
        <w:rPr>
          <w:kern w:val="0"/>
          <w:szCs w:val="24"/>
        </w:rPr>
        <w:t>Abstract: In this article we employ a number of bibliometric techniques to capture Rob Kling</w:t>
      </w:r>
      <w:r w:rsidR="000352E7">
        <w:rPr>
          <w:kern w:val="0"/>
          <w:szCs w:val="24"/>
        </w:rPr>
        <w:t>’</w:t>
      </w:r>
      <w:r>
        <w:rPr>
          <w:kern w:val="0"/>
          <w:szCs w:val="24"/>
        </w:rPr>
        <w:t>s intellectual impact</w:t>
      </w:r>
      <w:r w:rsidR="00F81221">
        <w:rPr>
          <w:kern w:val="0"/>
          <w:szCs w:val="24"/>
        </w:rPr>
        <w:t xml:space="preserve"> and </w:t>
      </w:r>
      <w:r>
        <w:rPr>
          <w:kern w:val="0"/>
          <w:szCs w:val="24"/>
        </w:rPr>
        <w:t>influences over the course of his varied career. We analyze his many publications in terms of type, topic, impact,</w:t>
      </w:r>
      <w:r w:rsidR="00F81221">
        <w:rPr>
          <w:kern w:val="0"/>
          <w:szCs w:val="24"/>
        </w:rPr>
        <w:t xml:space="preserve"> and </w:t>
      </w:r>
      <w:r>
        <w:rPr>
          <w:kern w:val="0"/>
          <w:szCs w:val="24"/>
        </w:rPr>
        <w:t>rate of co-authorship. We provide a detailed deconstruction of his citation identity (all those scholars whom he cited)</w:t>
      </w:r>
      <w:r w:rsidR="00F81221">
        <w:rPr>
          <w:kern w:val="0"/>
          <w:szCs w:val="24"/>
        </w:rPr>
        <w:t xml:space="preserve"> and </w:t>
      </w:r>
      <w:r>
        <w:rPr>
          <w:kern w:val="0"/>
          <w:szCs w:val="24"/>
        </w:rPr>
        <w:t>also his citation image makers (all those scholars who cited his work). In addition, we analyze acknowledgment data to gain deeper insights into the sociocognitive networks that sustained,</w:t>
      </w:r>
      <w:r w:rsidR="00F81221">
        <w:rPr>
          <w:kern w:val="0"/>
          <w:szCs w:val="24"/>
        </w:rPr>
        <w:t xml:space="preserve"> and </w:t>
      </w:r>
      <w:r>
        <w:rPr>
          <w:kern w:val="0"/>
          <w:szCs w:val="24"/>
        </w:rPr>
        <w:t>were sustained by Kling throughout his career.</w:t>
      </w:r>
    </w:p>
    <w:p w:rsidR="00845E52" w:rsidRDefault="00845E52" w:rsidP="00845E52">
      <w:pPr>
        <w:pStyle w:val="a0"/>
        <w:rPr>
          <w:kern w:val="0"/>
          <w:szCs w:val="24"/>
        </w:rPr>
      </w:pPr>
      <w:r>
        <w:rPr>
          <w:kern w:val="0"/>
          <w:szCs w:val="24"/>
        </w:rPr>
        <w:t>Keywords: Acknowledgment, Bibliometric, Citation, Citation Analysis, Co-Authorship, Coauthorship, Collaboration, Impact, Publications, Scholarly Communication, Social Informatics, Social Networks</w:t>
      </w:r>
    </w:p>
    <w:p w:rsidR="00B95188" w:rsidRPr="00217FB1" w:rsidRDefault="00B95188" w:rsidP="00B95188">
      <w:pPr>
        <w:pStyle w:val="1"/>
      </w:pPr>
      <w:r w:rsidRPr="00217FB1">
        <w:br w:type="page"/>
      </w:r>
      <w:bookmarkStart w:id="1037" w:name="_Toc317161174"/>
      <w:r w:rsidRPr="00217FB1">
        <w:lastRenderedPageBreak/>
        <w:t xml:space="preserve">Title: </w:t>
      </w:r>
      <w:r w:rsidRPr="0054404B">
        <w:t>Information-An International Interdisciplinary Journal</w:t>
      </w:r>
      <w:bookmarkEnd w:id="1037"/>
    </w:p>
    <w:p w:rsidR="00B95188" w:rsidRPr="00217FB1" w:rsidRDefault="00B95188" w:rsidP="00B72EF9">
      <w:pPr>
        <w:pStyle w:val="12"/>
      </w:pPr>
      <w:r w:rsidRPr="00217FB1">
        <w:t xml:space="preserve">Full Journal Title: </w:t>
      </w:r>
      <w:hyperlink r:id="rId1484" w:history="1">
        <w:r w:rsidRPr="00D82625">
          <w:rPr>
            <w:rStyle w:val="a5"/>
          </w:rPr>
          <w:t>Information-An International Interdisciplinary Journal</w:t>
        </w:r>
      </w:hyperlink>
    </w:p>
    <w:p w:rsidR="00D55740" w:rsidRDefault="00D55740" w:rsidP="00D55740">
      <w:pPr>
        <w:pStyle w:val="12"/>
      </w:pPr>
      <w:r>
        <w:t>ISO Abbrev. Title: Information</w:t>
      </w:r>
    </w:p>
    <w:p w:rsidR="00D55740" w:rsidRDefault="00D55740" w:rsidP="00D55740">
      <w:pPr>
        <w:pStyle w:val="12"/>
      </w:pPr>
      <w:r>
        <w:t>JCR Abbrev. Title: Information-Tokyo</w:t>
      </w:r>
    </w:p>
    <w:p w:rsidR="00D55740" w:rsidRDefault="00D55740" w:rsidP="00D55740">
      <w:pPr>
        <w:pStyle w:val="12"/>
      </w:pPr>
      <w:r>
        <w:t>ISSN: 1343-4500</w:t>
      </w:r>
    </w:p>
    <w:p w:rsidR="00D55740" w:rsidRDefault="00D55740" w:rsidP="00D55740">
      <w:pPr>
        <w:pStyle w:val="12"/>
      </w:pPr>
      <w:r>
        <w:t>Issues/Year: 6</w:t>
      </w:r>
    </w:p>
    <w:p w:rsidR="00D55740" w:rsidRDefault="00D55740" w:rsidP="00D55740">
      <w:pPr>
        <w:pStyle w:val="12"/>
      </w:pPr>
      <w:r>
        <w:t>Language: English</w:t>
      </w:r>
    </w:p>
    <w:p w:rsidR="00D55740" w:rsidRDefault="00D55740" w:rsidP="00D55740">
      <w:pPr>
        <w:pStyle w:val="12"/>
      </w:pPr>
      <w:r>
        <w:t>Journal Country/Territory: Japan</w:t>
      </w:r>
    </w:p>
    <w:p w:rsidR="00D55740" w:rsidRDefault="00D55740" w:rsidP="00D55740">
      <w:pPr>
        <w:pStyle w:val="12"/>
      </w:pPr>
      <w:r>
        <w:t>Publisher: Int Information Inst</w:t>
      </w:r>
    </w:p>
    <w:p w:rsidR="00D55740" w:rsidRDefault="00D55740" w:rsidP="00D55740">
      <w:pPr>
        <w:pStyle w:val="12"/>
      </w:pPr>
      <w:r>
        <w:t>Publisher Address: Fac Eng, Hosei Univ, Koganei, Tokyo 184-8584, Japan</w:t>
      </w:r>
    </w:p>
    <w:p w:rsidR="00D55740" w:rsidRDefault="00D55740" w:rsidP="00D55740">
      <w:pPr>
        <w:pStyle w:val="12"/>
      </w:pPr>
      <w:r>
        <w:t>Subject Categories:</w:t>
      </w:r>
    </w:p>
    <w:p w:rsidR="00B95188" w:rsidRDefault="00D55740" w:rsidP="00B72EF9">
      <w:pPr>
        <w:pStyle w:val="12"/>
      </w:pPr>
      <w:r>
        <w:t>Engineering, Multidisciplinary</w:t>
      </w:r>
      <w:r w:rsidR="00B95188" w:rsidRPr="00217FB1">
        <w:t xml:space="preserve">: Impact Factor </w:t>
      </w:r>
      <w:r w:rsidR="003351F0">
        <w:rPr>
          <w:rFonts w:hint="eastAsia"/>
        </w:rPr>
        <w:t>0.099, 71/79 (2009)</w:t>
      </w:r>
    </w:p>
    <w:p w:rsidR="007D2E74" w:rsidRDefault="007D2E74" w:rsidP="007D2E74">
      <w:pPr>
        <w:pStyle w:val="a0"/>
      </w:pPr>
      <w:r w:rsidRPr="00D55BF2">
        <w:rPr>
          <w:rFonts w:hint="eastAsia"/>
        </w:rPr>
        <w:t xml:space="preserve">? </w:t>
      </w:r>
      <w:r w:rsidRPr="00D55BF2">
        <w:t>Kwon, O., Seo, J., Noh, K., Kim, J., Kim, J.S.</w:t>
      </w:r>
      <w:r w:rsidR="00F81221">
        <w:t xml:space="preserve"> and </w:t>
      </w:r>
      <w:r w:rsidRPr="00D55BF2">
        <w:t xml:space="preserve">Shin, S.Y. (2007), Categorizing influential patents using bibliometric analysis of patent citations network. </w:t>
      </w:r>
      <w:r w:rsidRPr="00CE7517">
        <w:rPr>
          <w:i/>
          <w:iCs/>
        </w:rPr>
        <w:t>Information-An International Interdisciplinary Journal</w:t>
      </w:r>
      <w:r w:rsidRPr="00D55BF2">
        <w:t xml:space="preserve">, </w:t>
      </w:r>
      <w:r w:rsidRPr="00551655">
        <w:rPr>
          <w:b/>
          <w:bCs/>
        </w:rPr>
        <w:t>10</w:t>
      </w:r>
      <w:r w:rsidRPr="003862C4">
        <w:t xml:space="preserve"> (3), 313-326.</w:t>
      </w:r>
    </w:p>
    <w:p w:rsidR="00D82625" w:rsidRPr="003862C4" w:rsidRDefault="00D82625" w:rsidP="007D2E74">
      <w:pPr>
        <w:pStyle w:val="a0"/>
      </w:pPr>
      <w:r>
        <w:rPr>
          <w:rFonts w:hint="eastAsia"/>
        </w:rPr>
        <w:t xml:space="preserve">Full Text: </w:t>
      </w:r>
      <w:r w:rsidR="006F2A2F">
        <w:rPr>
          <w:rFonts w:hint="eastAsia"/>
        </w:rPr>
        <w:t>2007\</w:t>
      </w:r>
      <w:r>
        <w:rPr>
          <w:iCs/>
        </w:rPr>
        <w:t>Inf-Int Int J</w:t>
      </w:r>
      <w:r w:rsidRPr="00D82625">
        <w:rPr>
          <w:bCs/>
        </w:rPr>
        <w:t>10</w:t>
      </w:r>
      <w:r w:rsidRPr="003862C4">
        <w:t>, 313</w:t>
      </w:r>
      <w:r>
        <w:rPr>
          <w:rFonts w:hint="eastAsia"/>
        </w:rPr>
        <w:t>.pdf</w:t>
      </w:r>
    </w:p>
    <w:p w:rsidR="007D2E74" w:rsidRPr="003862C4" w:rsidRDefault="007D2E74" w:rsidP="007D2E74">
      <w:pPr>
        <w:pStyle w:val="a0"/>
      </w:pPr>
      <w:r w:rsidRPr="003862C4">
        <w:t>Abstract: Recently, research for network has been actively progressing. Internet, bio-metabolic,</w:t>
      </w:r>
      <w:r w:rsidR="00F81221">
        <w:t xml:space="preserve"> and </w:t>
      </w:r>
      <w:r w:rsidRPr="003862C4">
        <w:t>coauthor networks of scientific thesis has a decreasing distribution to power law. However, researches on network utilizing patent information have not been very active. It suggests the method calculating large sparse matrix by supercomputer, examining patent network distribution by bibliographic coupling</w:t>
      </w:r>
      <w:r w:rsidR="00F81221">
        <w:t xml:space="preserve"> and </w:t>
      </w:r>
      <w:r w:rsidRPr="003862C4">
        <w:t>co-citation,</w:t>
      </w:r>
      <w:r w:rsidR="00F81221">
        <w:t xml:space="preserve"> and </w:t>
      </w:r>
      <w:r w:rsidRPr="003862C4">
        <w:t>identifying influential patents. The majority of studies, which are targeted to find Hub patents, are using the number of forward citation of patents. Yet the most recent technological convergences among different fields have been enforced,</w:t>
      </w:r>
      <w:r w:rsidR="00F81221">
        <w:t xml:space="preserve"> and </w:t>
      </w:r>
      <w:r w:rsidRPr="003862C4">
        <w:t>the development of this fusion technology has been rapidly progressing. Therefore the forward citation of patent occurs in the applicable field of technologies as well as in other fields of technology; the method to find influential patents within the applicable field of technology is using only the number of forward citation of patents that may cause severe distortions. This study will explore three types of influential patents by minimizing the distortion phenomenon accompanied by the number of patent forward citation. To serve this purpose, the patent classification method is using bibliographic coupling</w:t>
      </w:r>
      <w:r w:rsidR="00F81221">
        <w:t xml:space="preserve"> and </w:t>
      </w:r>
      <w:r w:rsidRPr="003862C4">
        <w:t>co-citation analysis used in knowledge search.</w:t>
      </w:r>
    </w:p>
    <w:p w:rsidR="007D2E74" w:rsidRPr="003862C4" w:rsidRDefault="007D2E74" w:rsidP="007D2E74">
      <w:pPr>
        <w:pStyle w:val="a0"/>
      </w:pPr>
      <w:r w:rsidRPr="003862C4">
        <w:t xml:space="preserve">Keywords: Analysis, Bibliographic Coupling, Bibliometric, Bibliometric Analysis, Citation, Citations, Classification, Co-Citation, Co-Citation Analysis, Cocitation, Development, Distribution, Field, Fusion, Influential Patent Search, Information, Internet, Knowledge, Law, Matrix, Network, Networks, Patent, Patent Citations, </w:t>
      </w:r>
      <w:r w:rsidRPr="003862C4">
        <w:lastRenderedPageBreak/>
        <w:t>Patents, Power, Power Law, Purpose, Research, Technologies, Technology</w:t>
      </w:r>
    </w:p>
    <w:p w:rsidR="007D2E74" w:rsidRPr="003862C4" w:rsidRDefault="007D2E74" w:rsidP="007D2E74">
      <w:pPr>
        <w:pStyle w:val="a0"/>
      </w:pPr>
      <w:r w:rsidRPr="003862C4">
        <w:rPr>
          <w:rFonts w:hint="eastAsia"/>
        </w:rPr>
        <w:t xml:space="preserve">? </w:t>
      </w:r>
      <w:r w:rsidRPr="003862C4">
        <w:t>Lee, H.J., Kang, J.</w:t>
      </w:r>
      <w:r w:rsidR="00F81221">
        <w:t xml:space="preserve"> and </w:t>
      </w:r>
      <w:r w:rsidRPr="003862C4">
        <w:t xml:space="preserve">Moon, Y. (2007), Network analysis of solar cell-related patent information. </w:t>
      </w:r>
      <w:r w:rsidRPr="00CE7517">
        <w:rPr>
          <w:i/>
          <w:iCs/>
        </w:rPr>
        <w:t>Information-An International Interdisciplinary Journal</w:t>
      </w:r>
      <w:r w:rsidRPr="00D55BF2">
        <w:t xml:space="preserve">, </w:t>
      </w:r>
      <w:r w:rsidRPr="00551655">
        <w:rPr>
          <w:b/>
          <w:bCs/>
        </w:rPr>
        <w:t>10</w:t>
      </w:r>
      <w:r w:rsidRPr="003862C4">
        <w:t xml:space="preserve"> (3), 351-363.</w:t>
      </w:r>
    </w:p>
    <w:p w:rsidR="00D82625" w:rsidRPr="003862C4" w:rsidRDefault="00D82625" w:rsidP="00D82625">
      <w:pPr>
        <w:pStyle w:val="a0"/>
      </w:pPr>
      <w:r>
        <w:rPr>
          <w:rFonts w:hint="eastAsia"/>
        </w:rPr>
        <w:t xml:space="preserve">Full Text: </w:t>
      </w:r>
      <w:r w:rsidR="006F2A2F">
        <w:rPr>
          <w:rFonts w:hint="eastAsia"/>
        </w:rPr>
        <w:t>2007\</w:t>
      </w:r>
      <w:r>
        <w:rPr>
          <w:iCs/>
        </w:rPr>
        <w:t>Inf-Int Int J</w:t>
      </w:r>
      <w:r w:rsidRPr="00D82625">
        <w:rPr>
          <w:bCs/>
        </w:rPr>
        <w:t>10</w:t>
      </w:r>
      <w:r w:rsidRPr="003862C4">
        <w:t>, 3</w:t>
      </w:r>
      <w:r>
        <w:rPr>
          <w:rFonts w:hint="eastAsia"/>
        </w:rPr>
        <w:t>51.pdf</w:t>
      </w:r>
    </w:p>
    <w:p w:rsidR="007D2E74" w:rsidRPr="003862C4" w:rsidRDefault="007D2E74" w:rsidP="007D2E74">
      <w:pPr>
        <w:pStyle w:val="a0"/>
      </w:pPr>
      <w:r w:rsidRPr="003862C4">
        <w:t>Abstract: In this paper, the result of quantitative analysis on solar cell-related patent information is provided. The analysis covers basic quantitative analysis on bibliometric information such as patent counts, patent assignees, inventors,</w:t>
      </w:r>
      <w:r w:rsidR="00F81221">
        <w:t xml:space="preserve"> and </w:t>
      </w:r>
      <w:r w:rsidRPr="003862C4">
        <w:t>network analysis on patent assignees</w:t>
      </w:r>
      <w:r w:rsidR="00F81221">
        <w:t xml:space="preserve"> and </w:t>
      </w:r>
      <w:r w:rsidRPr="003862C4">
        <w:t>inventors. Co-patenting pattern</w:t>
      </w:r>
      <w:r w:rsidR="00F81221">
        <w:t xml:space="preserve"> and </w:t>
      </w:r>
      <w:r w:rsidRPr="003862C4">
        <w:t>other results such as evolution of networks were found from patent assignee</w:t>
      </w:r>
      <w:r w:rsidR="00F81221">
        <w:t xml:space="preserve"> and </w:t>
      </w:r>
      <w:r w:rsidRPr="003862C4">
        <w:t>inventor network analysis. The patent data were collected from DWPI (Derwent World Patent Index(R)) database.</w:t>
      </w:r>
    </w:p>
    <w:p w:rsidR="007D2E74" w:rsidRPr="003862C4" w:rsidRDefault="007D2E74" w:rsidP="007D2E74">
      <w:pPr>
        <w:pStyle w:val="a0"/>
      </w:pPr>
      <w:r w:rsidRPr="003862C4">
        <w:t>Keywords: Analysis, Bibliometric, Data, Database, Evolution, Information, Network, Network Analysis, Networks, Patent, Pattern, Quantitative Analysis, Similarity, Solar Cell</w:t>
      </w:r>
    </w:p>
    <w:p w:rsidR="00B95188" w:rsidRDefault="00B95188" w:rsidP="00B95188">
      <w:pPr>
        <w:pStyle w:val="a0"/>
        <w:rPr>
          <w:kern w:val="0"/>
          <w:szCs w:val="24"/>
        </w:rPr>
      </w:pPr>
      <w:r>
        <w:rPr>
          <w:rFonts w:hint="eastAsia"/>
          <w:kern w:val="0"/>
          <w:szCs w:val="24"/>
        </w:rPr>
        <w:t xml:space="preserve">? </w:t>
      </w:r>
      <w:r w:rsidRPr="0035706D">
        <w:rPr>
          <w:kern w:val="0"/>
          <w:szCs w:val="24"/>
        </w:rPr>
        <w:t>Kim, W.J.</w:t>
      </w:r>
      <w:r w:rsidR="00F81221">
        <w:rPr>
          <w:kern w:val="0"/>
          <w:szCs w:val="24"/>
        </w:rPr>
        <w:t xml:space="preserve"> and </w:t>
      </w:r>
      <w:r w:rsidRPr="0035706D">
        <w:rPr>
          <w:kern w:val="0"/>
          <w:szCs w:val="24"/>
        </w:rPr>
        <w:t>Seo, J. (2007), Evaluation of an individual</w:t>
      </w:r>
      <w:r w:rsidR="000352E7">
        <w:rPr>
          <w:kern w:val="0"/>
          <w:szCs w:val="24"/>
        </w:rPr>
        <w:t>’</w:t>
      </w:r>
      <w:r w:rsidRPr="0035706D">
        <w:rPr>
          <w:kern w:val="0"/>
          <w:szCs w:val="24"/>
        </w:rPr>
        <w:t xml:space="preserve">s scientific productivity using author rank. </w:t>
      </w:r>
      <w:r w:rsidRPr="0035706D">
        <w:rPr>
          <w:i/>
          <w:iCs/>
          <w:kern w:val="0"/>
          <w:szCs w:val="24"/>
        </w:rPr>
        <w:t>Information-An International Interdisciplinary Journal</w:t>
      </w:r>
      <w:r w:rsidRPr="0035706D">
        <w:rPr>
          <w:kern w:val="0"/>
          <w:szCs w:val="24"/>
        </w:rPr>
        <w:t xml:space="preserve">, </w:t>
      </w:r>
      <w:r w:rsidRPr="0035706D">
        <w:rPr>
          <w:b/>
          <w:bCs/>
          <w:kern w:val="0"/>
          <w:szCs w:val="24"/>
        </w:rPr>
        <w:t>10</w:t>
      </w:r>
      <w:r w:rsidRPr="0035706D">
        <w:rPr>
          <w:kern w:val="0"/>
          <w:szCs w:val="24"/>
        </w:rPr>
        <w:t xml:space="preserve"> (3), 365-372.</w:t>
      </w:r>
    </w:p>
    <w:p w:rsidR="00D82625" w:rsidRPr="003862C4" w:rsidRDefault="00D82625" w:rsidP="00D82625">
      <w:pPr>
        <w:pStyle w:val="a0"/>
      </w:pPr>
      <w:r>
        <w:rPr>
          <w:rFonts w:hint="eastAsia"/>
        </w:rPr>
        <w:t xml:space="preserve">Full Text: </w:t>
      </w:r>
      <w:r w:rsidR="006F2A2F">
        <w:rPr>
          <w:rFonts w:hint="eastAsia"/>
        </w:rPr>
        <w:t>2007\</w:t>
      </w:r>
      <w:r>
        <w:rPr>
          <w:iCs/>
        </w:rPr>
        <w:t>Inf-Int Int J</w:t>
      </w:r>
      <w:r w:rsidRPr="00D82625">
        <w:rPr>
          <w:bCs/>
        </w:rPr>
        <w:t>10</w:t>
      </w:r>
      <w:r w:rsidRPr="003862C4">
        <w:t>, 3</w:t>
      </w:r>
      <w:r>
        <w:rPr>
          <w:rFonts w:hint="eastAsia"/>
        </w:rPr>
        <w:t>65.pdf</w:t>
      </w:r>
    </w:p>
    <w:p w:rsidR="00B95188" w:rsidRPr="0035706D" w:rsidRDefault="00B95188" w:rsidP="00B95188">
      <w:pPr>
        <w:pStyle w:val="a0"/>
        <w:rPr>
          <w:kern w:val="0"/>
          <w:szCs w:val="24"/>
        </w:rPr>
      </w:pPr>
      <w:r w:rsidRPr="0035706D">
        <w:rPr>
          <w:kern w:val="0"/>
          <w:szCs w:val="24"/>
        </w:rPr>
        <w:t>Abstract: There are many measuring tool to evaluate individual</w:t>
      </w:r>
      <w:r w:rsidR="000352E7">
        <w:rPr>
          <w:kern w:val="0"/>
          <w:szCs w:val="24"/>
        </w:rPr>
        <w:t>’</w:t>
      </w:r>
      <w:r w:rsidRPr="0035706D">
        <w:rPr>
          <w:kern w:val="0"/>
          <w:szCs w:val="24"/>
        </w:rPr>
        <w:t>s or institutional scientific productivity using scientific articles based on bibliometrics. Especially succeeding discussions are accomplished at an trial for individual</w:t>
      </w:r>
      <w:r w:rsidR="000352E7">
        <w:rPr>
          <w:kern w:val="0"/>
          <w:szCs w:val="24"/>
        </w:rPr>
        <w:t>’</w:t>
      </w:r>
      <w:r w:rsidRPr="0035706D">
        <w:rPr>
          <w:kern w:val="0"/>
          <w:szCs w:val="24"/>
        </w:rPr>
        <w:t>s scientific productivity after Hirsch</w:t>
      </w:r>
      <w:r w:rsidR="000352E7">
        <w:rPr>
          <w:kern w:val="0"/>
          <w:szCs w:val="24"/>
        </w:rPr>
        <w:t>’</w:t>
      </w:r>
      <w:r w:rsidRPr="0035706D">
        <w:rPr>
          <w:kern w:val="0"/>
          <w:szCs w:val="24"/>
        </w:rPr>
        <w:t>s 2005 proposal using h-index.</w:t>
      </w:r>
      <w:r w:rsidR="00F81221">
        <w:rPr>
          <w:kern w:val="0"/>
          <w:szCs w:val="24"/>
        </w:rPr>
        <w:t xml:space="preserve"> and </w:t>
      </w:r>
      <w:r w:rsidRPr="0035706D">
        <w:rPr>
          <w:kern w:val="0"/>
          <w:szCs w:val="24"/>
        </w:rPr>
        <w:t>there are many succeeding discussions</w:t>
      </w:r>
      <w:r w:rsidR="00F81221">
        <w:rPr>
          <w:kern w:val="0"/>
          <w:szCs w:val="24"/>
        </w:rPr>
        <w:t xml:space="preserve"> and </w:t>
      </w:r>
      <w:r w:rsidRPr="0035706D">
        <w:rPr>
          <w:kern w:val="0"/>
          <w:szCs w:val="24"/>
        </w:rPr>
        <w:t>applications to evaluate journals, articles</w:t>
      </w:r>
      <w:r w:rsidR="00F81221">
        <w:rPr>
          <w:kern w:val="0"/>
          <w:szCs w:val="24"/>
        </w:rPr>
        <w:t xml:space="preserve"> and </w:t>
      </w:r>
      <w:r w:rsidRPr="0035706D">
        <w:rPr>
          <w:kern w:val="0"/>
          <w:szCs w:val="24"/>
        </w:rPr>
        <w:t>qualitative level of researchers using h-index, g-index, y-index. But these indices have a same indices without regard to first author-or other co-author if a article has a same number of citations. This research aims to propose K-index integrated between these indices</w:t>
      </w:r>
      <w:r w:rsidR="00F81221">
        <w:rPr>
          <w:kern w:val="0"/>
          <w:szCs w:val="24"/>
        </w:rPr>
        <w:t xml:space="preserve"> and </w:t>
      </w:r>
      <w:r w:rsidRPr="0035706D">
        <w:rPr>
          <w:kern w:val="0"/>
          <w:szCs w:val="24"/>
        </w:rPr>
        <w:t>author rank.</w:t>
      </w:r>
    </w:p>
    <w:p w:rsidR="00B95188" w:rsidRPr="00217FB1" w:rsidRDefault="00B95188" w:rsidP="00B95188">
      <w:pPr>
        <w:pStyle w:val="a0"/>
      </w:pPr>
      <w:r w:rsidRPr="0035706D">
        <w:rPr>
          <w:kern w:val="0"/>
        </w:rPr>
        <w:t>Keywords: Author Evaluation</w:t>
      </w:r>
      <w:r>
        <w:rPr>
          <w:kern w:val="0"/>
        </w:rPr>
        <w:t xml:space="preserve">, </w:t>
      </w:r>
      <w:r w:rsidRPr="0035706D">
        <w:rPr>
          <w:kern w:val="0"/>
        </w:rPr>
        <w:t>Bibliometrics</w:t>
      </w:r>
      <w:r>
        <w:rPr>
          <w:kern w:val="0"/>
        </w:rPr>
        <w:t xml:space="preserve">, </w:t>
      </w:r>
      <w:r w:rsidRPr="0035706D">
        <w:rPr>
          <w:kern w:val="0"/>
        </w:rPr>
        <w:t>Citations</w:t>
      </w:r>
      <w:r>
        <w:rPr>
          <w:kern w:val="0"/>
        </w:rPr>
        <w:t xml:space="preserve">, </w:t>
      </w:r>
      <w:r w:rsidRPr="0035706D">
        <w:rPr>
          <w:kern w:val="0"/>
        </w:rPr>
        <w:t>Co-Author</w:t>
      </w:r>
      <w:r>
        <w:rPr>
          <w:kern w:val="0"/>
        </w:rPr>
        <w:t xml:space="preserve">, </w:t>
      </w:r>
      <w:r w:rsidRPr="0035706D">
        <w:rPr>
          <w:kern w:val="0"/>
        </w:rPr>
        <w:t>First</w:t>
      </w:r>
      <w:r>
        <w:rPr>
          <w:kern w:val="0"/>
        </w:rPr>
        <w:t xml:space="preserve">, </w:t>
      </w:r>
      <w:r w:rsidR="00D82625">
        <w:rPr>
          <w:rFonts w:hint="eastAsia"/>
          <w:kern w:val="0"/>
        </w:rPr>
        <w:t>g</w:t>
      </w:r>
      <w:r w:rsidRPr="0035706D">
        <w:rPr>
          <w:kern w:val="0"/>
        </w:rPr>
        <w:t xml:space="preserve"> Index</w:t>
      </w:r>
      <w:r>
        <w:rPr>
          <w:kern w:val="0"/>
        </w:rPr>
        <w:t xml:space="preserve">, </w:t>
      </w:r>
      <w:r w:rsidR="00D82625">
        <w:rPr>
          <w:rFonts w:hint="eastAsia"/>
          <w:kern w:val="0"/>
        </w:rPr>
        <w:t>g</w:t>
      </w:r>
      <w:r w:rsidRPr="0035706D">
        <w:rPr>
          <w:kern w:val="0"/>
        </w:rPr>
        <w:t>-Index</w:t>
      </w:r>
      <w:r>
        <w:rPr>
          <w:kern w:val="0"/>
        </w:rPr>
        <w:t xml:space="preserve">, </w:t>
      </w:r>
      <w:r>
        <w:rPr>
          <w:rFonts w:hint="eastAsia"/>
          <w:kern w:val="0"/>
        </w:rPr>
        <w:t>h</w:t>
      </w:r>
      <w:r w:rsidRPr="0035706D">
        <w:rPr>
          <w:kern w:val="0"/>
        </w:rPr>
        <w:t xml:space="preserve"> Index</w:t>
      </w:r>
      <w:r>
        <w:rPr>
          <w:kern w:val="0"/>
        </w:rPr>
        <w:t xml:space="preserve">, </w:t>
      </w:r>
      <w:r>
        <w:rPr>
          <w:rFonts w:hint="eastAsia"/>
          <w:kern w:val="0"/>
        </w:rPr>
        <w:t>h</w:t>
      </w:r>
      <w:r w:rsidRPr="0035706D">
        <w:rPr>
          <w:kern w:val="0"/>
        </w:rPr>
        <w:t>-Index</w:t>
      </w:r>
      <w:r>
        <w:rPr>
          <w:kern w:val="0"/>
        </w:rPr>
        <w:t xml:space="preserve">, </w:t>
      </w:r>
      <w:r w:rsidRPr="0035706D">
        <w:rPr>
          <w:kern w:val="0"/>
        </w:rPr>
        <w:t>Index</w:t>
      </w:r>
      <w:r>
        <w:rPr>
          <w:kern w:val="0"/>
        </w:rPr>
        <w:t xml:space="preserve">, </w:t>
      </w:r>
      <w:r w:rsidRPr="0035706D">
        <w:rPr>
          <w:kern w:val="0"/>
        </w:rPr>
        <w:t>Journals</w:t>
      </w:r>
      <w:r>
        <w:rPr>
          <w:kern w:val="0"/>
        </w:rPr>
        <w:t xml:space="preserve">, </w:t>
      </w:r>
      <w:r w:rsidR="00D82625" w:rsidRPr="0035706D">
        <w:rPr>
          <w:kern w:val="0"/>
        </w:rPr>
        <w:t>KG</w:t>
      </w:r>
      <w:r w:rsidRPr="0035706D">
        <w:rPr>
          <w:kern w:val="0"/>
        </w:rPr>
        <w:t>-Index</w:t>
      </w:r>
      <w:r>
        <w:rPr>
          <w:kern w:val="0"/>
        </w:rPr>
        <w:t xml:space="preserve">, </w:t>
      </w:r>
      <w:r w:rsidR="00D82625" w:rsidRPr="0035706D">
        <w:rPr>
          <w:kern w:val="0"/>
        </w:rPr>
        <w:t>KH</w:t>
      </w:r>
      <w:r w:rsidRPr="0035706D">
        <w:rPr>
          <w:kern w:val="0"/>
        </w:rPr>
        <w:t>-Index</w:t>
      </w:r>
      <w:r>
        <w:rPr>
          <w:kern w:val="0"/>
        </w:rPr>
        <w:t xml:space="preserve">, </w:t>
      </w:r>
      <w:r w:rsidRPr="0035706D">
        <w:rPr>
          <w:kern w:val="0"/>
        </w:rPr>
        <w:t>Outcome Evaluation</w:t>
      </w:r>
      <w:r>
        <w:rPr>
          <w:kern w:val="0"/>
        </w:rPr>
        <w:t xml:space="preserve">, </w:t>
      </w:r>
      <w:r w:rsidRPr="0035706D">
        <w:rPr>
          <w:kern w:val="0"/>
        </w:rPr>
        <w:t>Qualitative</w:t>
      </w:r>
      <w:r>
        <w:rPr>
          <w:kern w:val="0"/>
        </w:rPr>
        <w:t xml:space="preserve">, </w:t>
      </w:r>
      <w:r w:rsidRPr="0035706D">
        <w:rPr>
          <w:kern w:val="0"/>
        </w:rPr>
        <w:t>Rank</w:t>
      </w:r>
      <w:r>
        <w:rPr>
          <w:kern w:val="0"/>
        </w:rPr>
        <w:t xml:space="preserve">, </w:t>
      </w:r>
      <w:r w:rsidRPr="0035706D">
        <w:rPr>
          <w:kern w:val="0"/>
        </w:rPr>
        <w:t>Research</w:t>
      </w:r>
      <w:r>
        <w:rPr>
          <w:kern w:val="0"/>
        </w:rPr>
        <w:t xml:space="preserve">, </w:t>
      </w:r>
      <w:r w:rsidRPr="0035706D">
        <w:rPr>
          <w:kern w:val="0"/>
        </w:rPr>
        <w:t>Trial</w:t>
      </w:r>
    </w:p>
    <w:p w:rsidR="00236772" w:rsidRDefault="00236772" w:rsidP="00236772">
      <w:pPr>
        <w:pStyle w:val="a0"/>
        <w:rPr>
          <w:kern w:val="0"/>
        </w:rPr>
      </w:pPr>
      <w:r>
        <w:rPr>
          <w:rFonts w:hint="eastAsia"/>
          <w:kern w:val="0"/>
        </w:rPr>
        <w:t xml:space="preserve">? </w:t>
      </w:r>
      <w:r>
        <w:rPr>
          <w:kern w:val="0"/>
        </w:rPr>
        <w:t>Ahn, S., Kang, J.</w:t>
      </w:r>
      <w:r w:rsidR="00F81221">
        <w:rPr>
          <w:kern w:val="0"/>
        </w:rPr>
        <w:t xml:space="preserve"> and </w:t>
      </w:r>
      <w:r>
        <w:rPr>
          <w:kern w:val="0"/>
        </w:rPr>
        <w:t xml:space="preserve">Lee, H.J. (2011), Research trends in condensed matter physics based on bibliometric analysis. </w:t>
      </w:r>
      <w:r>
        <w:rPr>
          <w:i/>
          <w:iCs/>
          <w:kern w:val="0"/>
        </w:rPr>
        <w:t>Information-An International Interdisciplinary Journal</w:t>
      </w:r>
      <w:r>
        <w:rPr>
          <w:kern w:val="0"/>
        </w:rPr>
        <w:t xml:space="preserve">, </w:t>
      </w:r>
      <w:r>
        <w:rPr>
          <w:b/>
          <w:bCs/>
          <w:kern w:val="0"/>
        </w:rPr>
        <w:t>14</w:t>
      </w:r>
      <w:r>
        <w:rPr>
          <w:kern w:val="0"/>
        </w:rPr>
        <w:t xml:space="preserve"> (5), 1745-1760.</w:t>
      </w:r>
    </w:p>
    <w:p w:rsidR="00236772" w:rsidRPr="003862C4" w:rsidRDefault="00236772" w:rsidP="00236772">
      <w:pPr>
        <w:pStyle w:val="a0"/>
      </w:pPr>
      <w:r>
        <w:rPr>
          <w:rFonts w:hint="eastAsia"/>
        </w:rPr>
        <w:t>Full Text: 2011\</w:t>
      </w:r>
      <w:r>
        <w:rPr>
          <w:iCs/>
        </w:rPr>
        <w:t>Inf-Int Int J</w:t>
      </w:r>
      <w:r w:rsidRPr="00D82625">
        <w:rPr>
          <w:bCs/>
        </w:rPr>
        <w:t>1</w:t>
      </w:r>
      <w:r>
        <w:rPr>
          <w:rFonts w:hint="eastAsia"/>
          <w:bCs/>
        </w:rPr>
        <w:t>4</w:t>
      </w:r>
      <w:r w:rsidRPr="003862C4">
        <w:t xml:space="preserve">, </w:t>
      </w:r>
      <w:r>
        <w:rPr>
          <w:rFonts w:hint="eastAsia"/>
        </w:rPr>
        <w:t>1745.pdf</w:t>
      </w:r>
    </w:p>
    <w:p w:rsidR="00236772" w:rsidRDefault="00236772" w:rsidP="00236772">
      <w:pPr>
        <w:pStyle w:val="a0"/>
        <w:rPr>
          <w:kern w:val="0"/>
        </w:rPr>
      </w:pPr>
      <w:r>
        <w:rPr>
          <w:kern w:val="0"/>
        </w:rPr>
        <w:t>Abstract: in this paper the research trends in condensed matter physics are investigated based on bibliometric analysis of journal articles collected from the Web of Science (WoS) database for the selected 37 main journals. The analyses are performed from the journal articles published between 1996</w:t>
      </w:r>
      <w:r w:rsidR="00F81221">
        <w:rPr>
          <w:kern w:val="0"/>
        </w:rPr>
        <w:t xml:space="preserve"> and </w:t>
      </w:r>
      <w:r>
        <w:rPr>
          <w:kern w:val="0"/>
        </w:rPr>
        <w:t xml:space="preserve">2005 on the aspects of megatrend, </w:t>
      </w:r>
      <w:r>
        <w:rPr>
          <w:kern w:val="0"/>
        </w:rPr>
        <w:lastRenderedPageBreak/>
        <w:t>country, research institute, research level</w:t>
      </w:r>
      <w:r w:rsidR="00F81221">
        <w:rPr>
          <w:kern w:val="0"/>
        </w:rPr>
        <w:t xml:space="preserve"> and </w:t>
      </w:r>
      <w:r>
        <w:rPr>
          <w:kern w:val="0"/>
        </w:rPr>
        <w:t>global collaboration network. The research result covers the qualitative analysis based on impact factor</w:t>
      </w:r>
      <w:r w:rsidR="00F81221">
        <w:rPr>
          <w:kern w:val="0"/>
        </w:rPr>
        <w:t xml:space="preserve"> and </w:t>
      </w:r>
      <w:r>
        <w:rPr>
          <w:kern w:val="0"/>
        </w:rPr>
        <w:t>citation as well as the basic quantitative analysis. The result of this study was provided to the policy makers as a complementary material of guidelines for science &amp; technology.</w:t>
      </w:r>
    </w:p>
    <w:p w:rsidR="00236772" w:rsidRDefault="00236772" w:rsidP="00236772">
      <w:pPr>
        <w:pStyle w:val="a0"/>
        <w:rPr>
          <w:kern w:val="0"/>
        </w:rPr>
      </w:pPr>
      <w:r>
        <w:rPr>
          <w:kern w:val="0"/>
        </w:rPr>
        <w:t>Keywords: Analysis, Bibliometric, Bibliometric Analysis, Citation, Collaboration, Condensed Matter Physics, Guidelines, Impact, Impact Factor, Journal, Journal Article, Journals, Physics, Policy, Quantitative, Research, Research Trends, Science, Trends, Web of Science, WOS</w:t>
      </w:r>
    </w:p>
    <w:p w:rsidR="00B95188" w:rsidRPr="00A428C3" w:rsidRDefault="00B95188" w:rsidP="00B95188">
      <w:pPr>
        <w:pStyle w:val="1"/>
      </w:pPr>
      <w:r w:rsidRPr="00A428C3">
        <w:br w:type="page"/>
      </w:r>
      <w:bookmarkStart w:id="1038" w:name="_Toc159556278"/>
      <w:bookmarkStart w:id="1039" w:name="_Toc186647867"/>
      <w:bookmarkStart w:id="1040" w:name="_Toc317161175"/>
      <w:r w:rsidRPr="00A428C3">
        <w:lastRenderedPageBreak/>
        <w:t xml:space="preserve">Title: </w:t>
      </w:r>
      <w:bookmarkEnd w:id="1038"/>
      <w:r w:rsidRPr="00A428C3">
        <w:t>Information</w:t>
      </w:r>
      <w:r w:rsidR="00F81221">
        <w:t xml:space="preserve"> and </w:t>
      </w:r>
      <w:r w:rsidRPr="00A428C3">
        <w:t>Software Technology</w:t>
      </w:r>
      <w:bookmarkEnd w:id="1039"/>
      <w:bookmarkEnd w:id="1040"/>
    </w:p>
    <w:p w:rsidR="00B95188" w:rsidRPr="00A428C3" w:rsidRDefault="00B95188" w:rsidP="00B72EF9">
      <w:pPr>
        <w:pStyle w:val="12"/>
      </w:pPr>
      <w:r w:rsidRPr="00A428C3">
        <w:t xml:space="preserve">Full Journal Title: </w:t>
      </w:r>
      <w:hyperlink r:id="rId1485" w:history="1">
        <w:r w:rsidRPr="00A428C3">
          <w:rPr>
            <w:rStyle w:val="a5"/>
          </w:rPr>
          <w:t>Information</w:t>
        </w:r>
        <w:r w:rsidR="00F81221">
          <w:rPr>
            <w:rStyle w:val="a5"/>
          </w:rPr>
          <w:t xml:space="preserve"> and </w:t>
        </w:r>
        <w:r w:rsidRPr="00A428C3">
          <w:rPr>
            <w:rStyle w:val="a5"/>
          </w:rPr>
          <w:t>Software Technology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4F01A3" w:rsidRDefault="004F01A3" w:rsidP="004F01A3">
      <w:pPr>
        <w:pStyle w:val="a0"/>
        <w:rPr>
          <w:kern w:val="0"/>
        </w:rPr>
      </w:pPr>
      <w:r>
        <w:rPr>
          <w:rFonts w:hint="eastAsia"/>
          <w:kern w:val="0"/>
        </w:rPr>
        <w:t xml:space="preserve">? </w:t>
      </w:r>
      <w:r>
        <w:rPr>
          <w:kern w:val="0"/>
        </w:rPr>
        <w:t xml:space="preserve">Wohlin, C. (2005), Most cited journal articles in software engineering. </w:t>
      </w:r>
      <w:r>
        <w:rPr>
          <w:i/>
          <w:iCs/>
          <w:kern w:val="0"/>
        </w:rPr>
        <w:t>Information and Software Technology</w:t>
      </w:r>
      <w:r>
        <w:rPr>
          <w:kern w:val="0"/>
        </w:rPr>
        <w:t xml:space="preserve">, </w:t>
      </w:r>
      <w:r>
        <w:rPr>
          <w:b/>
          <w:bCs/>
          <w:kern w:val="0"/>
        </w:rPr>
        <w:t>47</w:t>
      </w:r>
      <w:r>
        <w:rPr>
          <w:kern w:val="0"/>
        </w:rPr>
        <w:t xml:space="preserve"> (15), 955</w:t>
      </w:r>
      <w:r w:rsidR="00D96BD1">
        <w:rPr>
          <w:rFonts w:hint="eastAsia"/>
          <w:kern w:val="0"/>
        </w:rPr>
        <w:t>.</w:t>
      </w:r>
    </w:p>
    <w:p w:rsidR="004F01A3" w:rsidRPr="001A3D2B" w:rsidRDefault="004F01A3" w:rsidP="004F01A3">
      <w:pPr>
        <w:pStyle w:val="a0"/>
      </w:pPr>
      <w:r w:rsidRPr="001A3D2B">
        <w:t xml:space="preserve">Full Text: </w:t>
      </w:r>
      <w:hyperlink r:id="rId1486" w:history="1">
        <w:r w:rsidRPr="004F01A3">
          <w:rPr>
            <w:rStyle w:val="a5"/>
          </w:rPr>
          <w:t>2005\Inf Sof Tec47, 955.pdf</w:t>
        </w:r>
      </w:hyperlink>
    </w:p>
    <w:p w:rsidR="004F01A3" w:rsidRDefault="004F01A3" w:rsidP="004F01A3">
      <w:pPr>
        <w:pStyle w:val="a0"/>
        <w:rPr>
          <w:kern w:val="0"/>
        </w:rPr>
      </w:pPr>
      <w:r>
        <w:rPr>
          <w:kern w:val="0"/>
        </w:rPr>
        <w:t>Keywords: Journal, Software, Software Engineering</w:t>
      </w:r>
    </w:p>
    <w:p w:rsidR="0012422D" w:rsidRPr="00A428C3" w:rsidRDefault="0012422D" w:rsidP="0012422D">
      <w:pPr>
        <w:pStyle w:val="a0"/>
      </w:pPr>
      <w:r w:rsidRPr="00A428C3">
        <w:t>? Wohlin, C. (200</w:t>
      </w:r>
      <w:r>
        <w:rPr>
          <w:rFonts w:hint="eastAsia"/>
        </w:rPr>
        <w:t>5</w:t>
      </w:r>
      <w:r w:rsidRPr="00A428C3">
        <w:t xml:space="preserve">), </w:t>
      </w:r>
      <w:r>
        <w:t>An analysis of the most cited articles in software engineering journals - 1999</w:t>
      </w:r>
      <w:r w:rsidRPr="00A428C3">
        <w:t xml:space="preserve">. </w:t>
      </w:r>
      <w:r w:rsidRPr="00A428C3">
        <w:rPr>
          <w:i/>
        </w:rPr>
        <w:t>Information</w:t>
      </w:r>
      <w:r w:rsidR="00F81221">
        <w:rPr>
          <w:i/>
        </w:rPr>
        <w:t xml:space="preserve"> and </w:t>
      </w:r>
      <w:r w:rsidRPr="00A428C3">
        <w:rPr>
          <w:i/>
        </w:rPr>
        <w:t>Software Technology</w:t>
      </w:r>
      <w:r w:rsidRPr="00A428C3">
        <w:t xml:space="preserve">, </w:t>
      </w:r>
      <w:r w:rsidRPr="00A428C3">
        <w:rPr>
          <w:b/>
        </w:rPr>
        <w:t>4</w:t>
      </w:r>
      <w:r>
        <w:rPr>
          <w:rFonts w:hint="eastAsia"/>
          <w:b/>
        </w:rPr>
        <w:t>7</w:t>
      </w:r>
      <w:r w:rsidRPr="00A428C3">
        <w:t xml:space="preserve"> (1</w:t>
      </w:r>
      <w:r>
        <w:rPr>
          <w:rFonts w:hint="eastAsia"/>
        </w:rPr>
        <w:t>5</w:t>
      </w:r>
      <w:r w:rsidRPr="00A428C3">
        <w:t xml:space="preserve">), </w:t>
      </w:r>
      <w:r>
        <w:t>957-964</w:t>
      </w:r>
      <w:r w:rsidRPr="00A428C3">
        <w:t>.</w:t>
      </w:r>
    </w:p>
    <w:p w:rsidR="0012422D" w:rsidRDefault="0012422D" w:rsidP="0012422D">
      <w:pPr>
        <w:pStyle w:val="a0"/>
      </w:pPr>
      <w:r w:rsidRPr="00A428C3">
        <w:t xml:space="preserve">Full Text: </w:t>
      </w:r>
      <w:hyperlink r:id="rId1487" w:history="1">
        <w:r w:rsidR="00A76A1B" w:rsidRPr="00A76A1B">
          <w:rPr>
            <w:rStyle w:val="a5"/>
          </w:rPr>
          <w:t>2005\Inf Sof Tec47, 957.pdf</w:t>
        </w:r>
      </w:hyperlink>
    </w:p>
    <w:p w:rsidR="0012422D" w:rsidRPr="00A428C3" w:rsidRDefault="0012422D" w:rsidP="0012422D">
      <w:pPr>
        <w:pStyle w:val="a0"/>
      </w:pPr>
      <w:r>
        <w:t>Abstract: Citations</w:t>
      </w:r>
      <w:r w:rsidR="00F81221">
        <w:t xml:space="preserve"> and </w:t>
      </w:r>
      <w:r>
        <w:t>related work are crucial in any research to position the work</w:t>
      </w:r>
      <w:r w:rsidR="00F81221">
        <w:t xml:space="preserve"> and </w:t>
      </w:r>
      <w:r>
        <w:t>to build on the work of others. A high citation count is an indication of the influence of specific articles. The importance of citations means that it is interesting to analyze which articles are cited the most. Such an analysis has been conducted using the ISI Web of Science to identify the most cited software engineering journal articles published in 1999. The objective of the analysis is to identify</w:t>
      </w:r>
      <w:r w:rsidR="00F81221">
        <w:t xml:space="preserve"> and </w:t>
      </w:r>
      <w:r>
        <w:t>list the articles that have influenced others the most as measured by citation count. An understanding of which research is viewed as most valuable to build upon may provide valuable insights into what research to focus on now</w:t>
      </w:r>
      <w:r w:rsidR="00F81221">
        <w:t xml:space="preserve"> and </w:t>
      </w:r>
      <w:r>
        <w:t>in the future. Based on the analysis, a list of the 20 most cited articles is presented here. The intention of the analysis is twofold. First, to actually show the most cited articles,</w:t>
      </w:r>
      <w:r w:rsidR="00F81221">
        <w:t xml:space="preserve"> and </w:t>
      </w:r>
      <w:r>
        <w:t>second, to invite the authors of the most cited articles in 1999 to contribute to a special issue of Information</w:t>
      </w:r>
      <w:r w:rsidR="00F81221">
        <w:t xml:space="preserve"> and </w:t>
      </w:r>
      <w:r>
        <w:t>Software Technology. Five invited authors have accepted the invitation</w:t>
      </w:r>
      <w:r w:rsidR="00F81221">
        <w:t xml:space="preserve"> and </w:t>
      </w:r>
      <w:r>
        <w:t>their articles are appearing in this special issue. Moreover, the research topics</w:t>
      </w:r>
      <w:r w:rsidR="00F81221">
        <w:t xml:space="preserve"> and </w:t>
      </w:r>
      <w:r>
        <w:t>methods of the most cited articles in 1999 are compared with those from the most cited articles in 1994 to provide a picture of similarities</w:t>
      </w:r>
      <w:r w:rsidR="00F81221">
        <w:t xml:space="preserve"> and </w:t>
      </w:r>
      <w:r>
        <w:t>differences between the years. (c) 2005 Elsevier B.V. All rights reserved.</w:t>
      </w:r>
    </w:p>
    <w:p w:rsidR="004F01A3" w:rsidRDefault="004F01A3" w:rsidP="004F01A3">
      <w:pPr>
        <w:pStyle w:val="a0"/>
        <w:rPr>
          <w:kern w:val="0"/>
        </w:rPr>
      </w:pPr>
      <w:r>
        <w:rPr>
          <w:rFonts w:hint="eastAsia"/>
          <w:kern w:val="0"/>
        </w:rPr>
        <w:t xml:space="preserve">? </w:t>
      </w:r>
      <w:r>
        <w:rPr>
          <w:kern w:val="0"/>
        </w:rPr>
        <w:t xml:space="preserve">Wohlin, C., Elbaum, S. and Shepperd, M. (2007), Most cited journal articles in </w:t>
      </w:r>
      <w:r>
        <w:rPr>
          <w:kern w:val="0"/>
        </w:rPr>
        <w:lastRenderedPageBreak/>
        <w:t xml:space="preserve">software engineering. </w:t>
      </w:r>
      <w:r>
        <w:rPr>
          <w:i/>
          <w:iCs/>
          <w:kern w:val="0"/>
        </w:rPr>
        <w:t>Information and Software Technology</w:t>
      </w:r>
      <w:r>
        <w:rPr>
          <w:kern w:val="0"/>
        </w:rPr>
        <w:t xml:space="preserve">, </w:t>
      </w:r>
      <w:r>
        <w:rPr>
          <w:b/>
          <w:bCs/>
          <w:kern w:val="0"/>
        </w:rPr>
        <w:t>49</w:t>
      </w:r>
      <w:r>
        <w:rPr>
          <w:kern w:val="0"/>
        </w:rPr>
        <w:t xml:space="preserve"> (1), 1</w:t>
      </w:r>
      <w:r>
        <w:rPr>
          <w:rFonts w:hint="eastAsia"/>
          <w:kern w:val="0"/>
        </w:rPr>
        <w:t>.</w:t>
      </w:r>
    </w:p>
    <w:p w:rsidR="004F01A3" w:rsidRPr="001A3D2B" w:rsidRDefault="004F01A3" w:rsidP="004F01A3">
      <w:pPr>
        <w:pStyle w:val="a0"/>
      </w:pPr>
      <w:r w:rsidRPr="001A3D2B">
        <w:t xml:space="preserve">Full Text: </w:t>
      </w:r>
      <w:hyperlink r:id="rId1488" w:history="1">
        <w:r w:rsidRPr="004F01A3">
          <w:rPr>
            <w:rStyle w:val="a5"/>
          </w:rPr>
          <w:t>2007\Inf Sof Tec49, 1.pdf</w:t>
        </w:r>
      </w:hyperlink>
    </w:p>
    <w:p w:rsidR="004F01A3" w:rsidRDefault="004F01A3" w:rsidP="004F01A3">
      <w:pPr>
        <w:pStyle w:val="a0"/>
        <w:rPr>
          <w:kern w:val="0"/>
        </w:rPr>
      </w:pPr>
      <w:r>
        <w:rPr>
          <w:kern w:val="0"/>
        </w:rPr>
        <w:t>Keywords: Journal, Software, Software Engineering</w:t>
      </w:r>
    </w:p>
    <w:p w:rsidR="00B95188" w:rsidRPr="00A428C3" w:rsidRDefault="00B95188" w:rsidP="00B95188">
      <w:pPr>
        <w:pStyle w:val="a0"/>
      </w:pPr>
      <w:r w:rsidRPr="00A428C3">
        <w:t xml:space="preserve">Wohlin, C. (2007), An analysis of the most cited articles in software engineering journals - 2000. </w:t>
      </w:r>
      <w:r w:rsidRPr="00A428C3">
        <w:rPr>
          <w:i/>
        </w:rPr>
        <w:t>Information</w:t>
      </w:r>
      <w:r w:rsidR="00F81221">
        <w:rPr>
          <w:i/>
        </w:rPr>
        <w:t xml:space="preserve"> and </w:t>
      </w:r>
      <w:r w:rsidRPr="00A428C3">
        <w:rPr>
          <w:i/>
        </w:rPr>
        <w:t>Software Technology</w:t>
      </w:r>
      <w:r w:rsidRPr="00A428C3">
        <w:t xml:space="preserve">, </w:t>
      </w:r>
      <w:r w:rsidRPr="00A428C3">
        <w:rPr>
          <w:b/>
        </w:rPr>
        <w:t>49</w:t>
      </w:r>
      <w:r w:rsidRPr="00A428C3">
        <w:t xml:space="preserve"> (1), 2-11.</w:t>
      </w:r>
    </w:p>
    <w:p w:rsidR="00B95188" w:rsidRPr="00A428C3" w:rsidRDefault="00B95188" w:rsidP="00B95188">
      <w:pPr>
        <w:pStyle w:val="a0"/>
      </w:pPr>
      <w:r w:rsidRPr="00A428C3">
        <w:t xml:space="preserve">Full Text: </w:t>
      </w:r>
      <w:hyperlink r:id="rId1489" w:history="1">
        <w:r w:rsidRPr="00A428C3">
          <w:rPr>
            <w:rStyle w:val="a5"/>
          </w:rPr>
          <w:t>2007\Inf Sof Tec49, 2.pdf</w:t>
        </w:r>
      </w:hyperlink>
    </w:p>
    <w:p w:rsidR="00B95188" w:rsidRPr="00A428C3" w:rsidRDefault="00B95188" w:rsidP="00B95188">
      <w:pPr>
        <w:pStyle w:val="a0"/>
      </w:pPr>
      <w:r w:rsidRPr="00A428C3">
        <w:t>Abstract: Citations</w:t>
      </w:r>
      <w:r w:rsidR="00F81221">
        <w:t xml:space="preserve"> and </w:t>
      </w:r>
      <w:r w:rsidRPr="00A428C3">
        <w:t>related work are crucial in any research to position the work</w:t>
      </w:r>
      <w:r w:rsidR="00F81221">
        <w:t xml:space="preserve"> and </w:t>
      </w:r>
      <w:r w:rsidRPr="00A428C3">
        <w:t>to build on the work of others. A high citation count is an indication of the influence of specific articles. The importance of citations means that it is interesting to analyze which articles are cited the most. Such an analysis has been conducted using the ISI Web of Science to identify the most cited software engineering journal articles published in 2000. The objective of the analysis is to identify</w:t>
      </w:r>
      <w:r w:rsidR="00F81221">
        <w:t xml:space="preserve"> and </w:t>
      </w:r>
      <w:r w:rsidRPr="00A428C3">
        <w:t>list the articles that have influenced others the most as measured by citation count. An understanding of which research is viewed by the research community as most valuable to build upon may provide valuable insights into what research to focus on now</w:t>
      </w:r>
      <w:r w:rsidR="00F81221">
        <w:t xml:space="preserve"> and </w:t>
      </w:r>
      <w:r w:rsidRPr="00A428C3">
        <w:t>in the future. Based on the analysis, a list of the 20 most cited articles is presented here. The intention of the analysis is twofold. First, to identify the most cited articles,</w:t>
      </w:r>
      <w:r w:rsidR="00F81221">
        <w:t xml:space="preserve"> and </w:t>
      </w:r>
      <w:r w:rsidRPr="00A428C3">
        <w:t>second, to invite the authors of the most cited articles in 2000 to contribute to a special issue of Information</w:t>
      </w:r>
      <w:r w:rsidR="00F81221">
        <w:t xml:space="preserve"> and </w:t>
      </w:r>
      <w:r w:rsidRPr="00A428C3">
        <w:t>Software Technology. Five authors have accepted the invitation</w:t>
      </w:r>
      <w:r w:rsidR="00F81221">
        <w:t xml:space="preserve"> and </w:t>
      </w:r>
      <w:r w:rsidRPr="00A428C3">
        <w:t>their articles appear in this special issue. Moreover, an analysis of the most cited software engineering journal articles in the last 20 years is presented. The presentation includes both the most cited articles in absolute numbers</w:t>
      </w:r>
      <w:r w:rsidR="00F81221">
        <w:t xml:space="preserve"> and </w:t>
      </w:r>
      <w:r w:rsidRPr="00A428C3">
        <w:t>the most cited articles when looking at the average number of citations per year. The article describing the SPIN model checker by G.J. Holzmann published in 1997 is first on both these lists.</w:t>
      </w:r>
    </w:p>
    <w:p w:rsidR="00B95188" w:rsidRPr="00A428C3" w:rsidRDefault="00B95188" w:rsidP="00B95188">
      <w:pPr>
        <w:pStyle w:val="a0"/>
      </w:pPr>
      <w:r w:rsidRPr="00A428C3">
        <w:t>Keywords: Analysis, Bibliometric Research, Citations, Community, Importance, ISI, Model, Position, Research, Software, Software Engineering, Spin</w:t>
      </w:r>
    </w:p>
    <w:p w:rsidR="004F01A3" w:rsidRDefault="004F01A3" w:rsidP="004F01A3">
      <w:pPr>
        <w:pStyle w:val="a0"/>
        <w:rPr>
          <w:kern w:val="0"/>
        </w:rPr>
      </w:pPr>
      <w:r>
        <w:rPr>
          <w:rFonts w:hint="eastAsia"/>
          <w:kern w:val="0"/>
        </w:rPr>
        <w:t xml:space="preserve">? </w:t>
      </w:r>
      <w:r>
        <w:rPr>
          <w:kern w:val="0"/>
        </w:rPr>
        <w:t xml:space="preserve">Wohlin, C. (2008), Introduction to section most cited journal articles in software engineering. </w:t>
      </w:r>
      <w:r>
        <w:rPr>
          <w:i/>
          <w:iCs/>
          <w:kern w:val="0"/>
        </w:rPr>
        <w:t>Information and Software Technology</w:t>
      </w:r>
      <w:r>
        <w:rPr>
          <w:kern w:val="0"/>
        </w:rPr>
        <w:t xml:space="preserve">, </w:t>
      </w:r>
      <w:r>
        <w:rPr>
          <w:b/>
          <w:bCs/>
          <w:kern w:val="0"/>
        </w:rPr>
        <w:t>50</w:t>
      </w:r>
      <w:r>
        <w:rPr>
          <w:kern w:val="0"/>
        </w:rPr>
        <w:t xml:space="preserve"> (1-2), 2</w:t>
      </w:r>
      <w:r>
        <w:rPr>
          <w:rFonts w:hint="eastAsia"/>
          <w:kern w:val="0"/>
        </w:rPr>
        <w:t>.</w:t>
      </w:r>
    </w:p>
    <w:p w:rsidR="004F01A3" w:rsidRDefault="004F01A3" w:rsidP="004F01A3">
      <w:pPr>
        <w:pStyle w:val="a0"/>
      </w:pPr>
      <w:r>
        <w:rPr>
          <w:rFonts w:hint="eastAsia"/>
        </w:rPr>
        <w:t xml:space="preserve">Full Text: </w:t>
      </w:r>
      <w:hyperlink r:id="rId1490" w:history="1">
        <w:r w:rsidRPr="004F01A3">
          <w:rPr>
            <w:rStyle w:val="a5"/>
          </w:rPr>
          <w:t>2008\Inf Sof Tec50, 2.pdf</w:t>
        </w:r>
      </w:hyperlink>
    </w:p>
    <w:p w:rsidR="004F01A3" w:rsidRDefault="004F01A3" w:rsidP="004F01A3">
      <w:pPr>
        <w:pStyle w:val="a0"/>
        <w:rPr>
          <w:kern w:val="0"/>
        </w:rPr>
      </w:pPr>
      <w:r>
        <w:rPr>
          <w:kern w:val="0"/>
        </w:rPr>
        <w:t>Keywords: Journal, Software, Software Engineering</w:t>
      </w:r>
    </w:p>
    <w:p w:rsidR="00873262" w:rsidRDefault="00873262" w:rsidP="00873262">
      <w:pPr>
        <w:pStyle w:val="a0"/>
        <w:rPr>
          <w:kern w:val="0"/>
          <w:szCs w:val="24"/>
        </w:rPr>
      </w:pPr>
      <w:r>
        <w:rPr>
          <w:rFonts w:hint="eastAsia"/>
          <w:kern w:val="0"/>
          <w:szCs w:val="24"/>
        </w:rPr>
        <w:t xml:space="preserve">? </w:t>
      </w:r>
      <w:r>
        <w:rPr>
          <w:kern w:val="0"/>
          <w:szCs w:val="24"/>
        </w:rPr>
        <w:t xml:space="preserve">Wohlin, C. (2008), An analysis of the most cited articles in software engineering journals - 2001. </w:t>
      </w:r>
      <w:r>
        <w:rPr>
          <w:i/>
          <w:iCs/>
          <w:kern w:val="0"/>
          <w:szCs w:val="24"/>
        </w:rPr>
        <w:t>Information</w:t>
      </w:r>
      <w:r w:rsidR="00F81221">
        <w:rPr>
          <w:i/>
          <w:iCs/>
          <w:kern w:val="0"/>
          <w:szCs w:val="24"/>
        </w:rPr>
        <w:t xml:space="preserve"> and </w:t>
      </w:r>
      <w:r>
        <w:rPr>
          <w:i/>
          <w:iCs/>
          <w:kern w:val="0"/>
          <w:szCs w:val="24"/>
        </w:rPr>
        <w:t>Software Technology</w:t>
      </w:r>
      <w:r>
        <w:rPr>
          <w:kern w:val="0"/>
          <w:szCs w:val="24"/>
        </w:rPr>
        <w:t xml:space="preserve">, </w:t>
      </w:r>
      <w:r>
        <w:rPr>
          <w:b/>
          <w:bCs/>
          <w:kern w:val="0"/>
          <w:szCs w:val="24"/>
        </w:rPr>
        <w:t>50</w:t>
      </w:r>
      <w:r>
        <w:rPr>
          <w:kern w:val="0"/>
          <w:szCs w:val="24"/>
        </w:rPr>
        <w:t xml:space="preserve"> (1-2), 3-9.</w:t>
      </w:r>
    </w:p>
    <w:p w:rsidR="0012422D" w:rsidRDefault="0012422D" w:rsidP="0012422D">
      <w:pPr>
        <w:pStyle w:val="a0"/>
      </w:pPr>
      <w:r>
        <w:rPr>
          <w:rFonts w:hint="eastAsia"/>
        </w:rPr>
        <w:t xml:space="preserve">Full Text: </w:t>
      </w:r>
      <w:hyperlink r:id="rId1491" w:history="1">
        <w:r w:rsidR="00A76A1B" w:rsidRPr="00A76A1B">
          <w:rPr>
            <w:rStyle w:val="a5"/>
          </w:rPr>
          <w:t>2008\Inf Sof Tec50, 3.pdf</w:t>
        </w:r>
      </w:hyperlink>
    </w:p>
    <w:p w:rsidR="00873262" w:rsidRDefault="00873262" w:rsidP="00873262">
      <w:pPr>
        <w:pStyle w:val="a0"/>
        <w:rPr>
          <w:kern w:val="0"/>
          <w:szCs w:val="24"/>
        </w:rPr>
      </w:pPr>
      <w:r>
        <w:rPr>
          <w:kern w:val="0"/>
          <w:szCs w:val="24"/>
        </w:rPr>
        <w:t>Abstract: Citations</w:t>
      </w:r>
      <w:r w:rsidR="00F81221">
        <w:rPr>
          <w:kern w:val="0"/>
          <w:szCs w:val="24"/>
        </w:rPr>
        <w:t xml:space="preserve"> and </w:t>
      </w:r>
      <w:r>
        <w:rPr>
          <w:kern w:val="0"/>
          <w:szCs w:val="24"/>
        </w:rPr>
        <w:t>related work are crucial in any research to position the work</w:t>
      </w:r>
      <w:r w:rsidR="00F81221">
        <w:rPr>
          <w:kern w:val="0"/>
          <w:szCs w:val="24"/>
        </w:rPr>
        <w:t xml:space="preserve"> and </w:t>
      </w:r>
      <w:r>
        <w:rPr>
          <w:kern w:val="0"/>
          <w:szCs w:val="24"/>
        </w:rPr>
        <w:t xml:space="preserve">to build on the work of others. A high citation count is an indication of the influence of specific articles. The importance of citations means that it is interesting to analyze which articles are cited the most. Such an analysis has been conducted using the ISI Web of Science to identify the most cited software engineering journal articles </w:t>
      </w:r>
      <w:r>
        <w:rPr>
          <w:kern w:val="0"/>
          <w:szCs w:val="24"/>
        </w:rPr>
        <w:lastRenderedPageBreak/>
        <w:t>published in 2001. The objective of the analysis is to identify</w:t>
      </w:r>
      <w:r w:rsidR="00F81221">
        <w:rPr>
          <w:kern w:val="0"/>
          <w:szCs w:val="24"/>
        </w:rPr>
        <w:t xml:space="preserve"> and </w:t>
      </w:r>
      <w:r>
        <w:rPr>
          <w:kern w:val="0"/>
          <w:szCs w:val="24"/>
        </w:rPr>
        <w:t>list the articles that have influenced others the most as measured by citation count. An understanding of which research is viewed by the research community as most valuable to build upon may provide valuable insights into what research to focus on now</w:t>
      </w:r>
      <w:r w:rsidR="00F81221">
        <w:rPr>
          <w:kern w:val="0"/>
          <w:szCs w:val="24"/>
        </w:rPr>
        <w:t xml:space="preserve"> and </w:t>
      </w:r>
      <w:r>
        <w:rPr>
          <w:kern w:val="0"/>
          <w:szCs w:val="24"/>
        </w:rPr>
        <w:t>in the future. Based on the analysis, a list of the 20 most cited articles is presented here. The intention of the analysis is twofold. First, to identify the most cited articles,</w:t>
      </w:r>
      <w:r w:rsidR="00F81221">
        <w:rPr>
          <w:kern w:val="0"/>
          <w:szCs w:val="24"/>
        </w:rPr>
        <w:t xml:space="preserve"> and </w:t>
      </w:r>
      <w:r>
        <w:rPr>
          <w:kern w:val="0"/>
          <w:szCs w:val="24"/>
        </w:rPr>
        <w:t>second, to invite the authors of the most cited articles in 2001 to contribute to a special section of Information</w:t>
      </w:r>
      <w:r w:rsidR="00F81221">
        <w:rPr>
          <w:kern w:val="0"/>
          <w:szCs w:val="24"/>
        </w:rPr>
        <w:t xml:space="preserve"> and </w:t>
      </w:r>
      <w:r>
        <w:rPr>
          <w:kern w:val="0"/>
          <w:szCs w:val="24"/>
        </w:rPr>
        <w:t>Software Technology. Three authors have accepted the invitation</w:t>
      </w:r>
      <w:r w:rsidR="00F81221">
        <w:rPr>
          <w:kern w:val="0"/>
          <w:szCs w:val="24"/>
        </w:rPr>
        <w:t xml:space="preserve"> and </w:t>
      </w:r>
      <w:r>
        <w:rPr>
          <w:kern w:val="0"/>
          <w:szCs w:val="24"/>
        </w:rPr>
        <w:t>their articles appear in this special section. Moreover, an analysis has been conducted regarding which authors are most productive in terms of software engineering journal publications. The latter analysis focuses on the publications in the last 20 years, which is intended as a complement to last year</w:t>
      </w:r>
      <w:r w:rsidR="000352E7">
        <w:rPr>
          <w:kern w:val="0"/>
          <w:szCs w:val="24"/>
        </w:rPr>
        <w:t>’</w:t>
      </w:r>
      <w:r>
        <w:rPr>
          <w:kern w:val="0"/>
          <w:szCs w:val="24"/>
        </w:rPr>
        <w:t>s analysis focusing on the most cited articles in the last 20 years [C. Wohlin, An Analysis of the Most Cited Articles in Software Engineering Journals - 2007, Information</w:t>
      </w:r>
      <w:r w:rsidR="00F81221">
        <w:rPr>
          <w:kern w:val="0"/>
          <w:szCs w:val="24"/>
        </w:rPr>
        <w:t xml:space="preserve"> and </w:t>
      </w:r>
      <w:r>
        <w:rPr>
          <w:kern w:val="0"/>
          <w:szCs w:val="24"/>
        </w:rPr>
        <w:t>Software Technology 49 (1) 2-11]. The most productive author in the last 20 years is Professor Victor Basili. (c) 2007 Elsevier B.V. All rights reserved.</w:t>
      </w:r>
    </w:p>
    <w:p w:rsidR="00873262" w:rsidRDefault="00873262" w:rsidP="00873262">
      <w:pPr>
        <w:pStyle w:val="a0"/>
        <w:rPr>
          <w:kern w:val="0"/>
          <w:szCs w:val="24"/>
        </w:rPr>
      </w:pPr>
      <w:r>
        <w:rPr>
          <w:kern w:val="0"/>
          <w:szCs w:val="24"/>
        </w:rPr>
        <w:t>Keywords: Authors, Bibliometric Research, Citation, Citations, Indication, Journal Articles, Journals, Publications, Research, Science, Software Engineering, Web Of Science</w:t>
      </w:r>
    </w:p>
    <w:p w:rsidR="001E07EF" w:rsidRDefault="001E07EF" w:rsidP="001E07EF">
      <w:pPr>
        <w:pStyle w:val="a0"/>
        <w:rPr>
          <w:kern w:val="0"/>
        </w:rPr>
      </w:pPr>
      <w:r>
        <w:rPr>
          <w:rFonts w:hint="eastAsia"/>
          <w:kern w:val="0"/>
        </w:rPr>
        <w:t xml:space="preserve">? </w:t>
      </w:r>
      <w:r>
        <w:rPr>
          <w:kern w:val="0"/>
        </w:rPr>
        <w:t xml:space="preserve">Wohlin, C. (2009), Introduction to section most cited journal articles in Software Engineering. </w:t>
      </w:r>
      <w:r>
        <w:rPr>
          <w:i/>
          <w:iCs/>
          <w:kern w:val="0"/>
        </w:rPr>
        <w:t>Information</w:t>
      </w:r>
      <w:r w:rsidR="00F81221">
        <w:rPr>
          <w:i/>
          <w:iCs/>
          <w:kern w:val="0"/>
        </w:rPr>
        <w:t xml:space="preserve"> and </w:t>
      </w:r>
      <w:r>
        <w:rPr>
          <w:i/>
          <w:iCs/>
          <w:kern w:val="0"/>
        </w:rPr>
        <w:t>Software Technology</w:t>
      </w:r>
      <w:r>
        <w:rPr>
          <w:kern w:val="0"/>
        </w:rPr>
        <w:t xml:space="preserve">, </w:t>
      </w:r>
      <w:r>
        <w:rPr>
          <w:b/>
          <w:bCs/>
          <w:kern w:val="0"/>
        </w:rPr>
        <w:t>51</w:t>
      </w:r>
      <w:r>
        <w:rPr>
          <w:kern w:val="0"/>
        </w:rPr>
        <w:t xml:space="preserve"> (1), 1</w:t>
      </w:r>
      <w:r>
        <w:rPr>
          <w:rFonts w:hint="eastAsia"/>
          <w:kern w:val="0"/>
        </w:rPr>
        <w:t>.</w:t>
      </w:r>
    </w:p>
    <w:p w:rsidR="001E07EF" w:rsidRPr="001A3D2B" w:rsidRDefault="001E07EF" w:rsidP="001E07EF">
      <w:pPr>
        <w:pStyle w:val="a0"/>
      </w:pPr>
      <w:r w:rsidRPr="001A3D2B">
        <w:t xml:space="preserve">Full Text: </w:t>
      </w:r>
      <w:hyperlink r:id="rId1492" w:history="1">
        <w:r w:rsidRPr="008D17DC">
          <w:rPr>
            <w:rStyle w:val="a5"/>
          </w:rPr>
          <w:t>2009\Inf Sof Tec51, 1.pdf</w:t>
        </w:r>
      </w:hyperlink>
    </w:p>
    <w:p w:rsidR="001E07EF" w:rsidRDefault="001E07EF" w:rsidP="001E07EF">
      <w:pPr>
        <w:pStyle w:val="a0"/>
        <w:rPr>
          <w:kern w:val="0"/>
        </w:rPr>
      </w:pPr>
      <w:r>
        <w:rPr>
          <w:kern w:val="0"/>
        </w:rPr>
        <w:t>Keywords: Journal</w:t>
      </w:r>
    </w:p>
    <w:p w:rsidR="007D2E74" w:rsidRDefault="007D2E74" w:rsidP="007D2E74">
      <w:pPr>
        <w:pStyle w:val="a0"/>
        <w:rPr>
          <w:kern w:val="0"/>
          <w:szCs w:val="24"/>
        </w:rPr>
      </w:pPr>
      <w:r>
        <w:rPr>
          <w:rFonts w:hint="eastAsia"/>
          <w:kern w:val="0"/>
          <w:szCs w:val="24"/>
        </w:rPr>
        <w:t xml:space="preserve">? </w:t>
      </w:r>
      <w:r>
        <w:rPr>
          <w:kern w:val="0"/>
          <w:szCs w:val="24"/>
        </w:rPr>
        <w:t xml:space="preserve">Wohlin, C. (2009), An analysis of the most cited articles in software engineering journals-2002. </w:t>
      </w:r>
      <w:r>
        <w:rPr>
          <w:i/>
          <w:iCs/>
          <w:kern w:val="0"/>
          <w:szCs w:val="24"/>
        </w:rPr>
        <w:t>Information</w:t>
      </w:r>
      <w:r w:rsidR="00F81221">
        <w:rPr>
          <w:i/>
          <w:iCs/>
          <w:kern w:val="0"/>
          <w:szCs w:val="24"/>
        </w:rPr>
        <w:t xml:space="preserve"> and </w:t>
      </w:r>
      <w:r>
        <w:rPr>
          <w:i/>
          <w:iCs/>
          <w:kern w:val="0"/>
          <w:szCs w:val="24"/>
        </w:rPr>
        <w:t>Software Technology</w:t>
      </w:r>
      <w:r>
        <w:rPr>
          <w:kern w:val="0"/>
          <w:szCs w:val="24"/>
        </w:rPr>
        <w:t xml:space="preserve">, </w:t>
      </w:r>
      <w:r>
        <w:rPr>
          <w:b/>
          <w:bCs/>
          <w:kern w:val="0"/>
          <w:szCs w:val="24"/>
        </w:rPr>
        <w:t>51</w:t>
      </w:r>
      <w:r>
        <w:rPr>
          <w:kern w:val="0"/>
          <w:szCs w:val="24"/>
        </w:rPr>
        <w:t xml:space="preserve"> (1), 2-6.</w:t>
      </w:r>
    </w:p>
    <w:p w:rsidR="007D2E74" w:rsidRDefault="007D2E74" w:rsidP="007D2E74">
      <w:pPr>
        <w:pStyle w:val="a0"/>
      </w:pPr>
      <w:r>
        <w:rPr>
          <w:rFonts w:hint="eastAsia"/>
        </w:rPr>
        <w:t xml:space="preserve">Full Text: </w:t>
      </w:r>
      <w:hyperlink r:id="rId1493" w:history="1">
        <w:r w:rsidR="0012422D" w:rsidRPr="0012422D">
          <w:rPr>
            <w:rStyle w:val="a5"/>
          </w:rPr>
          <w:t>2009\Inf Sof Tec51, 2.pdf</w:t>
        </w:r>
      </w:hyperlink>
    </w:p>
    <w:p w:rsidR="007D2E74" w:rsidRDefault="007D2E74" w:rsidP="007D2E74">
      <w:pPr>
        <w:pStyle w:val="a0"/>
        <w:rPr>
          <w:kern w:val="0"/>
          <w:szCs w:val="24"/>
        </w:rPr>
      </w:pPr>
      <w:r>
        <w:rPr>
          <w:kern w:val="0"/>
          <w:szCs w:val="24"/>
        </w:rPr>
        <w:t>Abstract: Citations</w:t>
      </w:r>
      <w:r w:rsidR="00F81221">
        <w:rPr>
          <w:kern w:val="0"/>
          <w:szCs w:val="24"/>
        </w:rPr>
        <w:t xml:space="preserve"> and </w:t>
      </w:r>
      <w:r>
        <w:rPr>
          <w:kern w:val="0"/>
          <w:szCs w:val="24"/>
        </w:rPr>
        <w:t>related work are crucial in any research to position the work</w:t>
      </w:r>
      <w:r w:rsidR="00F81221">
        <w:rPr>
          <w:kern w:val="0"/>
          <w:szCs w:val="24"/>
        </w:rPr>
        <w:t xml:space="preserve"> and </w:t>
      </w:r>
      <w:r>
        <w:rPr>
          <w:kern w:val="0"/>
          <w:szCs w:val="24"/>
        </w:rPr>
        <w:t>to build on the work of others. A high citation count is an indication of the influence of specific articles. The importance of citations means that it is interesting to analyze which articles are cited the most. Such an analysis has been conducted using the ISI Web of Science to identify the most cited software engineering journal articles published in 2002. The objective of the analysis is to identify</w:t>
      </w:r>
      <w:r w:rsidR="00F81221">
        <w:rPr>
          <w:kern w:val="0"/>
          <w:szCs w:val="24"/>
        </w:rPr>
        <w:t xml:space="preserve"> and </w:t>
      </w:r>
      <w:r>
        <w:rPr>
          <w:kern w:val="0"/>
          <w:szCs w:val="24"/>
        </w:rPr>
        <w:t>list the articles that have influenced others the most as measured by citation count. An understanding of which research is viewed by the research community as most valuable to build upon may provide valuable insights into what research to focus on now</w:t>
      </w:r>
      <w:r w:rsidR="00F81221">
        <w:rPr>
          <w:kern w:val="0"/>
          <w:szCs w:val="24"/>
        </w:rPr>
        <w:t xml:space="preserve"> and </w:t>
      </w:r>
      <w:r>
        <w:rPr>
          <w:kern w:val="0"/>
          <w:szCs w:val="24"/>
        </w:rPr>
        <w:t>in the future. Based on the analysis, a list of the 20 most cited articles is presented here. The intention of the analysis is twofold. First, to identify the most cited articles,</w:t>
      </w:r>
      <w:r w:rsidR="00F81221">
        <w:rPr>
          <w:kern w:val="0"/>
          <w:szCs w:val="24"/>
        </w:rPr>
        <w:t xml:space="preserve"> and </w:t>
      </w:r>
      <w:r>
        <w:rPr>
          <w:kern w:val="0"/>
          <w:szCs w:val="24"/>
        </w:rPr>
        <w:t xml:space="preserve">second, to invite the authors of the most cited articles in 2002 to contribute to a </w:t>
      </w:r>
      <w:r>
        <w:rPr>
          <w:kern w:val="0"/>
          <w:szCs w:val="24"/>
        </w:rPr>
        <w:lastRenderedPageBreak/>
        <w:t>special section of Information</w:t>
      </w:r>
      <w:r w:rsidR="00F81221">
        <w:rPr>
          <w:kern w:val="0"/>
          <w:szCs w:val="24"/>
        </w:rPr>
        <w:t xml:space="preserve"> and </w:t>
      </w:r>
      <w:r>
        <w:rPr>
          <w:kern w:val="0"/>
          <w:szCs w:val="24"/>
        </w:rPr>
        <w:t>Software Technology. Six authors have accepted the invitation</w:t>
      </w:r>
      <w:r w:rsidR="00F81221">
        <w:rPr>
          <w:kern w:val="0"/>
          <w:szCs w:val="24"/>
        </w:rPr>
        <w:t xml:space="preserve"> and </w:t>
      </w:r>
      <w:r>
        <w:rPr>
          <w:kern w:val="0"/>
          <w:szCs w:val="24"/>
        </w:rPr>
        <w:t>their articles appear in this special section. (C) 2008 Elsevier B.V. All rights reserved.</w:t>
      </w:r>
    </w:p>
    <w:p w:rsidR="007D2E74" w:rsidRDefault="007D2E74" w:rsidP="007D2E74">
      <w:pPr>
        <w:pStyle w:val="a0"/>
        <w:rPr>
          <w:kern w:val="0"/>
          <w:szCs w:val="24"/>
        </w:rPr>
      </w:pPr>
      <w:r>
        <w:rPr>
          <w:kern w:val="0"/>
          <w:szCs w:val="24"/>
        </w:rPr>
        <w:t>Keywords: Analysis, Authors, Bibliometrics, Citation, Citation Analysis, Citation Count, Citations, Community, Engineering, Indication, Influence, Intention, ISI, ISI Web of Science, Journal, Journal Articles, Objective, Research, Rights, Science, Scientometrics, SI, Software, Software Engineering, Understanding, Web of Science, Work</w:t>
      </w:r>
    </w:p>
    <w:p w:rsidR="00B95188" w:rsidRPr="00586CD8" w:rsidRDefault="00B95188" w:rsidP="00B95188">
      <w:pPr>
        <w:pStyle w:val="1"/>
      </w:pPr>
      <w:r w:rsidRPr="00586CD8">
        <w:br w:type="page"/>
      </w:r>
      <w:bookmarkStart w:id="1041" w:name="_Toc186647868"/>
      <w:bookmarkStart w:id="1042" w:name="_Toc317161176"/>
      <w:r w:rsidRPr="00A428C3">
        <w:lastRenderedPageBreak/>
        <w:t>Title: The Information Society</w:t>
      </w:r>
      <w:bookmarkEnd w:id="1041"/>
      <w:bookmarkEnd w:id="1042"/>
    </w:p>
    <w:p w:rsidR="00B95188" w:rsidRPr="00A428C3" w:rsidRDefault="00B95188" w:rsidP="00B72EF9">
      <w:pPr>
        <w:pStyle w:val="12"/>
      </w:pPr>
      <w:r w:rsidRPr="00A428C3">
        <w:t>Full Journal Title: The Information Society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Palmer, C.L.</w:t>
      </w:r>
      <w:r w:rsidR="00F81221">
        <w:t xml:space="preserve"> and </w:t>
      </w:r>
      <w:r w:rsidRPr="00A428C3">
        <w:t xml:space="preserve">Malone, C.K. (2001), Elaborate isolation: Metastructures of knowledge about women. </w:t>
      </w:r>
      <w:r w:rsidRPr="00A428C3">
        <w:rPr>
          <w:i/>
          <w:iCs/>
        </w:rPr>
        <w:t>The Information Society</w:t>
      </w:r>
      <w:r w:rsidRPr="00A428C3">
        <w:t xml:space="preserve">, </w:t>
      </w:r>
      <w:r w:rsidRPr="00A428C3">
        <w:rPr>
          <w:b/>
        </w:rPr>
        <w:t>17</w:t>
      </w:r>
      <w:r w:rsidRPr="00A428C3">
        <w:t xml:space="preserve"> (3), 179-194.</w:t>
      </w:r>
    </w:p>
    <w:p w:rsidR="00B95188" w:rsidRPr="00A428C3" w:rsidRDefault="00B95188" w:rsidP="00B95188">
      <w:pPr>
        <w:pStyle w:val="a0"/>
      </w:pPr>
      <w:r w:rsidRPr="00A428C3">
        <w:t xml:space="preserve">Abstract: This paper examines the category of </w:t>
      </w:r>
      <w:r w:rsidR="000352E7">
        <w:t>“</w:t>
      </w:r>
      <w:r w:rsidRPr="00A428C3">
        <w:t>Woman</w:t>
      </w:r>
      <w:r w:rsidR="000352E7">
        <w:t>”</w:t>
      </w:r>
      <w:r w:rsidRPr="00A428C3">
        <w:t xml:space="preserve"> within the metastructure of a system of knowledge organization. We trace the subject scheme used to list books about women in a standard bibliographic guide over the first three-quarters of the twentieth century.Building on the feminist critique of subject representation, our analysis documents how the category was continually constructed over time, providing evidence of multiplication, isolation,</w:t>
      </w:r>
      <w:r w:rsidR="00F81221">
        <w:t xml:space="preserve"> and </w:t>
      </w:r>
      <w:r w:rsidRPr="00A428C3">
        <w:t>confusion in the process. The outcome is a framework that fails to capture the complex nature of knowledge about women</w:t>
      </w:r>
      <w:r w:rsidR="00F81221">
        <w:t xml:space="preserve"> and </w:t>
      </w:r>
      <w:r w:rsidRPr="00A428C3">
        <w:t>conceals relationships to the larger body of knowledge. The case of this legacy system exemplifies problems associated with representing the complexity</w:t>
      </w:r>
      <w:r w:rsidR="00F81221">
        <w:t xml:space="preserve"> and </w:t>
      </w:r>
      <w:r w:rsidRPr="00A428C3">
        <w:t>integration of knowledge</w:t>
      </w:r>
      <w:r w:rsidR="00F81221">
        <w:t xml:space="preserve"> and </w:t>
      </w:r>
      <w:r w:rsidRPr="00A428C3">
        <w:t>provides a basis for considering the potential residual impacts of current information organization</w:t>
      </w:r>
      <w:r w:rsidR="00F81221">
        <w:t xml:space="preserve"> and </w:t>
      </w:r>
      <w:r w:rsidRPr="00A428C3">
        <w:t>navigation systems.</w:t>
      </w:r>
    </w:p>
    <w:p w:rsidR="00B95188" w:rsidRPr="00A428C3" w:rsidRDefault="00B95188" w:rsidP="00B95188">
      <w:pPr>
        <w:pStyle w:val="a0"/>
      </w:pPr>
      <w:r w:rsidRPr="00A428C3">
        <w:t>Keywords: Feminist Theory Knowledge Organization Metastructure Subject Access Subject Representation</w:t>
      </w:r>
    </w:p>
    <w:p w:rsidR="00B95188" w:rsidRPr="00A428C3" w:rsidRDefault="00B95188" w:rsidP="00B95188">
      <w:pPr>
        <w:pStyle w:val="1"/>
      </w:pPr>
      <w:r w:rsidRPr="00586CD8">
        <w:br w:type="page"/>
      </w:r>
      <w:bookmarkStart w:id="1043" w:name="_Toc186647869"/>
      <w:bookmarkStart w:id="1044" w:name="_Toc317161177"/>
      <w:r w:rsidRPr="00A428C3">
        <w:lastRenderedPageBreak/>
        <w:t>Title: Information Storage</w:t>
      </w:r>
      <w:r w:rsidR="00F81221">
        <w:t xml:space="preserve"> and </w:t>
      </w:r>
      <w:r w:rsidRPr="00A428C3">
        <w:t>Retrieval</w:t>
      </w:r>
      <w:bookmarkEnd w:id="1043"/>
      <w:bookmarkEnd w:id="1044"/>
    </w:p>
    <w:p w:rsidR="00B95188" w:rsidRPr="00A428C3" w:rsidRDefault="0058734C" w:rsidP="00B72EF9">
      <w:pPr>
        <w:pStyle w:val="12"/>
      </w:pPr>
      <w:hyperlink r:id="rId1494" w:history="1">
        <w:r w:rsidR="00B95188" w:rsidRPr="00A428C3">
          <w:t xml:space="preserve">Continued as </w:t>
        </w:r>
        <w:hyperlink r:id="rId1495" w:history="1">
          <w:r w:rsidR="00B95188" w:rsidRPr="00A428C3">
            <w:rPr>
              <w:rStyle w:val="a5"/>
            </w:rPr>
            <w:t>Information Processing &amp; Management</w:t>
          </w:r>
        </w:hyperlink>
      </w:hyperlink>
    </w:p>
    <w:p w:rsidR="00B95188" w:rsidRPr="00A428C3" w:rsidRDefault="00B95188" w:rsidP="00B72EF9">
      <w:pPr>
        <w:pStyle w:val="12"/>
      </w:pPr>
      <w:r w:rsidRPr="00A428C3">
        <w:t xml:space="preserve">Full Journal Title: </w:t>
      </w:r>
      <w:hyperlink r:id="rId1496" w:history="1">
        <w:r w:rsidRPr="00A428C3">
          <w:rPr>
            <w:rStyle w:val="a5"/>
          </w:rPr>
          <w:t>Information Storage</w:t>
        </w:r>
        <w:r w:rsidR="00F81221">
          <w:rPr>
            <w:rStyle w:val="a5"/>
          </w:rPr>
          <w:t xml:space="preserve"> and </w:t>
        </w:r>
        <w:r w:rsidRPr="00A428C3">
          <w:rPr>
            <w:rStyle w:val="a5"/>
          </w:rPr>
          <w:t>Retrieval</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Kessler, M.M. (1963), Bibliographic coupling extended in time: Ten case histories. </w:t>
      </w:r>
      <w:r w:rsidRPr="00A428C3">
        <w:rPr>
          <w:i/>
          <w:iCs/>
        </w:rPr>
        <w:t>Information Storage</w:t>
      </w:r>
      <w:r w:rsidR="00F81221">
        <w:rPr>
          <w:i/>
          <w:iCs/>
        </w:rPr>
        <w:t xml:space="preserve"> and </w:t>
      </w:r>
      <w:r w:rsidRPr="00A428C3">
        <w:rPr>
          <w:i/>
          <w:iCs/>
        </w:rPr>
        <w:t>Retrieval</w:t>
      </w:r>
      <w:r w:rsidRPr="00A428C3">
        <w:t xml:space="preserve">, </w:t>
      </w:r>
      <w:r w:rsidRPr="00A428C3">
        <w:rPr>
          <w:b/>
        </w:rPr>
        <w:t>1</w:t>
      </w:r>
      <w:r w:rsidRPr="00A428C3">
        <w:t xml:space="preserve"> (4), 169-187.</w:t>
      </w:r>
    </w:p>
    <w:p w:rsidR="00B95188" w:rsidRPr="00A428C3" w:rsidRDefault="00B95188" w:rsidP="00B95188">
      <w:pPr>
        <w:pStyle w:val="a0"/>
      </w:pPr>
      <w:r w:rsidRPr="00A428C3">
        <w:t xml:space="preserve">Full Text: </w:t>
      </w:r>
      <w:hyperlink r:id="rId1497" w:history="1">
        <w:r w:rsidRPr="00A428C3">
          <w:rPr>
            <w:rStyle w:val="a5"/>
          </w:rPr>
          <w:t>1960-80\Inf Sto Ret7, 169.pdf</w:t>
        </w:r>
      </w:hyperlink>
    </w:p>
    <w:p w:rsidR="00B95188" w:rsidRPr="00A428C3" w:rsidRDefault="00B95188" w:rsidP="00B95188">
      <w:pPr>
        <w:pStyle w:val="a0"/>
      </w:pPr>
      <w:r w:rsidRPr="00A428C3">
        <w:t xml:space="preserve">Abstract: The methods of bibliographic coupling were applied to 8186 papers in thirty-five volumes of the </w:t>
      </w:r>
      <w:r w:rsidRPr="00A428C3">
        <w:rPr>
          <w:i/>
          <w:iCs/>
        </w:rPr>
        <w:t>Physical Review</w:t>
      </w:r>
      <w:r w:rsidRPr="00A428C3">
        <w:t xml:space="preserve"> (Vol. 77, 1950 to Vol. 111, 1958). The results are reported in the form of ten case histories. Each case was chosen to illustrate a problem in information retrieval.</w:t>
      </w:r>
    </w:p>
    <w:p w:rsidR="00B95188" w:rsidRPr="00A428C3" w:rsidRDefault="00B95188" w:rsidP="00B95188">
      <w:pPr>
        <w:pStyle w:val="a0"/>
      </w:pPr>
      <w:r w:rsidRPr="00A428C3">
        <w:t>Zunde, P.</w:t>
      </w:r>
      <w:r w:rsidR="00F81221">
        <w:t xml:space="preserve"> and </w:t>
      </w:r>
      <w:r w:rsidRPr="00A428C3">
        <w:t xml:space="preserve">Slamecka, V. (1971), Predictive models of scientific progress. </w:t>
      </w:r>
      <w:r w:rsidRPr="00A428C3">
        <w:rPr>
          <w:i/>
          <w:iCs/>
        </w:rPr>
        <w:t>Information Storage</w:t>
      </w:r>
      <w:r w:rsidR="00F81221">
        <w:rPr>
          <w:i/>
          <w:iCs/>
        </w:rPr>
        <w:t xml:space="preserve"> and </w:t>
      </w:r>
      <w:r w:rsidRPr="00A428C3">
        <w:rPr>
          <w:i/>
          <w:iCs/>
        </w:rPr>
        <w:t>Retrieval</w:t>
      </w:r>
      <w:r w:rsidRPr="00A428C3">
        <w:t xml:space="preserve">, </w:t>
      </w:r>
      <w:r w:rsidRPr="00A428C3">
        <w:rPr>
          <w:b/>
        </w:rPr>
        <w:t>7</w:t>
      </w:r>
      <w:r w:rsidRPr="00A428C3">
        <w:t xml:space="preserve"> (3), 103-109.</w:t>
      </w:r>
    </w:p>
    <w:p w:rsidR="00B95188" w:rsidRPr="00A428C3" w:rsidRDefault="00B95188" w:rsidP="00B95188">
      <w:pPr>
        <w:pStyle w:val="a0"/>
      </w:pPr>
      <w:r w:rsidRPr="00A428C3">
        <w:t xml:space="preserve">Full Text: </w:t>
      </w:r>
      <w:hyperlink r:id="rId1498" w:history="1">
        <w:r w:rsidR="007D22A4" w:rsidRPr="007D22A4">
          <w:rPr>
            <w:rStyle w:val="a5"/>
          </w:rPr>
          <w:t>1960-80\Inf Sto Ret7, 103.pdf</w:t>
        </w:r>
      </w:hyperlink>
    </w:p>
    <w:p w:rsidR="00B95188" w:rsidRPr="00A428C3" w:rsidRDefault="00B95188" w:rsidP="00B95188">
      <w:pPr>
        <w:pStyle w:val="a0"/>
      </w:pPr>
      <w:r w:rsidRPr="00A428C3">
        <w:t>Abstract: Progress in science is essentially determined by the stimulating effects of information accumulation</w:t>
      </w:r>
      <w:r w:rsidR="00F81221">
        <w:t xml:space="preserve"> and </w:t>
      </w:r>
      <w:r w:rsidRPr="00A428C3">
        <w:t>transfer. Hence dynamic characteristics of information flow together with the structural properties of the flow network in the society should be indicative of the major thrusts of science progress as well as of its rate of development.</w:t>
      </w:r>
    </w:p>
    <w:p w:rsidR="00B95188" w:rsidRPr="00A428C3" w:rsidRDefault="00B95188" w:rsidP="00B95188">
      <w:pPr>
        <w:pStyle w:val="a0"/>
      </w:pPr>
      <w:r w:rsidRPr="00A428C3">
        <w:t>In this paper, a Markov chain model of science development is proposed</w:t>
      </w:r>
      <w:r w:rsidR="00F81221">
        <w:t xml:space="preserve"> and </w:t>
      </w:r>
      <w:r w:rsidRPr="00A428C3">
        <w:t>described. It is based on the assumption that the most recent thrusts of scientific inquiry exert a decisive influence on the trends of the next immediate stage of development of science. The application of this model is demonstrated on a sample of citation data in social science. The analysis of this data in terms of the proposed model shows a clear tendency of shifting emphasis of scientific inquiry from science</w:t>
      </w:r>
      <w:r w:rsidR="00F81221">
        <w:t xml:space="preserve"> and </w:t>
      </w:r>
      <w:r w:rsidRPr="00A428C3">
        <w:t>technology to social science subjects.</w:t>
      </w:r>
    </w:p>
    <w:p w:rsidR="00B95188" w:rsidRPr="00A428C3" w:rsidRDefault="00B95188" w:rsidP="00B95188">
      <w:pPr>
        <w:pStyle w:val="a0"/>
      </w:pPr>
      <w:r w:rsidRPr="00A428C3">
        <w:t>Saracevic, T. (1971), Five years, five volumes</w:t>
      </w:r>
      <w:r w:rsidR="00F81221">
        <w:t xml:space="preserve"> and </w:t>
      </w:r>
      <w:r w:rsidRPr="00A428C3">
        <w:t>2345 pages of the annual review of information science</w:t>
      </w:r>
      <w:r w:rsidR="00F81221">
        <w:t xml:space="preserve"> and </w:t>
      </w:r>
      <w:r w:rsidRPr="00A428C3">
        <w:t xml:space="preserve">technology. </w:t>
      </w:r>
      <w:r w:rsidRPr="00A428C3">
        <w:rPr>
          <w:i/>
          <w:iCs/>
        </w:rPr>
        <w:t>Information Storage</w:t>
      </w:r>
      <w:r w:rsidR="00F81221">
        <w:rPr>
          <w:i/>
          <w:iCs/>
        </w:rPr>
        <w:t xml:space="preserve"> and </w:t>
      </w:r>
      <w:r w:rsidRPr="00A428C3">
        <w:rPr>
          <w:i/>
          <w:iCs/>
        </w:rPr>
        <w:t>Retrieval</w:t>
      </w:r>
      <w:r w:rsidRPr="00A428C3">
        <w:t xml:space="preserve">, </w:t>
      </w:r>
      <w:r w:rsidRPr="00A428C3">
        <w:rPr>
          <w:b/>
        </w:rPr>
        <w:t>7</w:t>
      </w:r>
      <w:r w:rsidRPr="00A428C3">
        <w:t xml:space="preserve"> (3), </w:t>
      </w:r>
      <w:r w:rsidRPr="00A428C3">
        <w:lastRenderedPageBreak/>
        <w:t>127-139.</w:t>
      </w:r>
    </w:p>
    <w:p w:rsidR="00B95188" w:rsidRPr="00A428C3" w:rsidRDefault="00B95188" w:rsidP="00B95188">
      <w:pPr>
        <w:pStyle w:val="a0"/>
      </w:pPr>
      <w:r w:rsidRPr="00A428C3">
        <w:t xml:space="preserve">Full Text: </w:t>
      </w:r>
      <w:hyperlink r:id="rId1499" w:history="1">
        <w:r w:rsidR="007D22A4" w:rsidRPr="007D22A4">
          <w:rPr>
            <w:rStyle w:val="a5"/>
          </w:rPr>
          <w:t>1960-80\Inf Sto Ret7, 127.pdf</w:t>
        </w:r>
      </w:hyperlink>
    </w:p>
    <w:p w:rsidR="00B95188" w:rsidRPr="00A428C3" w:rsidRDefault="00B95188" w:rsidP="00B95188">
      <w:pPr>
        <w:pStyle w:val="a0"/>
      </w:pPr>
      <w:smartTag w:uri="urn:schemas-microsoft-com:office:smarttags" w:element="place">
        <w:smartTag w:uri="urn:schemas-microsoft-com:office:smarttags" w:element="City">
          <w:r w:rsidRPr="00A428C3">
            <w:t>Cuadra</w:t>
          </w:r>
        </w:smartTag>
        <w:r w:rsidRPr="00A428C3">
          <w:t xml:space="preserve">, </w:t>
        </w:r>
        <w:smartTag w:uri="urn:schemas-microsoft-com:office:smarttags" w:element="country-region">
          <w:r w:rsidRPr="00A428C3">
            <w:t>C.A.</w:t>
          </w:r>
        </w:smartTag>
      </w:smartTag>
      <w:r w:rsidRPr="00A428C3">
        <w:t xml:space="preserve"> (1971), Comments on: Five years, five volumes</w:t>
      </w:r>
      <w:r w:rsidR="00F81221">
        <w:t xml:space="preserve"> and </w:t>
      </w:r>
      <w:r w:rsidRPr="00A428C3">
        <w:t>2345 pages of the annual review of information science</w:t>
      </w:r>
      <w:r w:rsidR="00F81221">
        <w:t xml:space="preserve"> and </w:t>
      </w:r>
      <w:r w:rsidRPr="00A428C3">
        <w:t>technology by Tefko Saracevic: Annual Review of Information Science</w:t>
      </w:r>
      <w:r w:rsidR="00F81221">
        <w:t xml:space="preserve"> and </w:t>
      </w:r>
      <w:r w:rsidRPr="00A428C3">
        <w:t xml:space="preserve">Technology. </w:t>
      </w:r>
      <w:r w:rsidRPr="00A428C3">
        <w:rPr>
          <w:i/>
          <w:iCs/>
        </w:rPr>
        <w:t>Information Storage</w:t>
      </w:r>
      <w:r w:rsidR="00F81221">
        <w:rPr>
          <w:i/>
          <w:iCs/>
        </w:rPr>
        <w:t xml:space="preserve"> and </w:t>
      </w:r>
      <w:r w:rsidRPr="00A428C3">
        <w:rPr>
          <w:i/>
          <w:iCs/>
        </w:rPr>
        <w:t>Retrieval</w:t>
      </w:r>
      <w:r w:rsidRPr="00A428C3">
        <w:t xml:space="preserve">, </w:t>
      </w:r>
      <w:r w:rsidRPr="00A428C3">
        <w:rPr>
          <w:b/>
        </w:rPr>
        <w:t>7</w:t>
      </w:r>
      <w:r w:rsidRPr="00A428C3">
        <w:t xml:space="preserve"> (3), 141-146.</w:t>
      </w:r>
    </w:p>
    <w:p w:rsidR="007D22A4" w:rsidRPr="001A3D2B" w:rsidRDefault="007D22A4" w:rsidP="007D22A4">
      <w:pPr>
        <w:pStyle w:val="a0"/>
      </w:pPr>
      <w:r w:rsidRPr="001A3D2B">
        <w:t xml:space="preserve">Full Text: </w:t>
      </w:r>
      <w:hyperlink r:id="rId1500" w:history="1">
        <w:r w:rsidRPr="00183AAE">
          <w:rPr>
            <w:rStyle w:val="a5"/>
          </w:rPr>
          <w:t>1960-80\Inf Sto Ret7, 141.pdf</w:t>
        </w:r>
      </w:hyperlink>
    </w:p>
    <w:p w:rsidR="00B95188" w:rsidRPr="00A428C3" w:rsidRDefault="00B95188" w:rsidP="00B95188">
      <w:pPr>
        <w:pStyle w:val="a0"/>
      </w:pPr>
      <w:r w:rsidRPr="00A428C3">
        <w:t>Borenius, G.</w:t>
      </w:r>
      <w:r w:rsidR="00F81221">
        <w:t xml:space="preserve"> and </w:t>
      </w:r>
      <w:r w:rsidRPr="00A428C3">
        <w:t xml:space="preserve">Schwarz, S. (1972), Remarks on the use of citation data in predictive models of scientific activity. </w:t>
      </w:r>
      <w:r w:rsidRPr="00A428C3">
        <w:rPr>
          <w:i/>
          <w:iCs/>
        </w:rPr>
        <w:t>Information Storage</w:t>
      </w:r>
      <w:r w:rsidR="00F81221">
        <w:rPr>
          <w:i/>
          <w:iCs/>
        </w:rPr>
        <w:t xml:space="preserve"> and </w:t>
      </w:r>
      <w:r w:rsidRPr="00A428C3">
        <w:rPr>
          <w:i/>
          <w:iCs/>
        </w:rPr>
        <w:t>Retrieval</w:t>
      </w:r>
      <w:r w:rsidRPr="00A428C3">
        <w:t xml:space="preserve">, </w:t>
      </w:r>
      <w:r w:rsidRPr="00A428C3">
        <w:rPr>
          <w:b/>
        </w:rPr>
        <w:t>8</w:t>
      </w:r>
      <w:r w:rsidRPr="00A428C3">
        <w:t xml:space="preserve"> (4), 171-175.</w:t>
      </w:r>
    </w:p>
    <w:p w:rsidR="007D22A4" w:rsidRPr="001A3D2B" w:rsidRDefault="007D22A4" w:rsidP="007D22A4">
      <w:pPr>
        <w:pStyle w:val="a0"/>
      </w:pPr>
      <w:r w:rsidRPr="001A3D2B">
        <w:t xml:space="preserve">Full Text: </w:t>
      </w:r>
      <w:hyperlink r:id="rId1501" w:history="1">
        <w:r w:rsidRPr="00183AAE">
          <w:rPr>
            <w:rStyle w:val="a5"/>
          </w:rPr>
          <w:t>1960-80\Inf Sto Ret8, 171.pdf</w:t>
        </w:r>
      </w:hyperlink>
    </w:p>
    <w:p w:rsidR="00B95188" w:rsidRPr="00A428C3" w:rsidRDefault="00B95188" w:rsidP="00B95188">
      <w:pPr>
        <w:pStyle w:val="a0"/>
      </w:pPr>
      <w:r w:rsidRPr="00A428C3">
        <w:t>Abstract: The relations between data, information</w:t>
      </w:r>
      <w:r w:rsidR="00F81221">
        <w:t xml:space="preserve"> and </w:t>
      </w:r>
      <w:r w:rsidRPr="00A428C3">
        <w:t xml:space="preserve">prediction are discussed with reference to a suggested Markov model for forecasting of the structure of scientific activity. A conclusion is that the output of mathematical operations, i.e. the predicted </w:t>
      </w:r>
      <w:r w:rsidR="000352E7">
        <w:t>“</w:t>
      </w:r>
      <w:r w:rsidRPr="00A428C3">
        <w:t>state</w:t>
      </w:r>
      <w:r w:rsidR="000352E7">
        <w:t>”</w:t>
      </w:r>
      <w:r w:rsidRPr="00A428C3">
        <w:t xml:space="preserve"> or activity distribution, is not related to the input as a deductive or probabilistic consequence of its real information content, but rather to information attributed to the data by assumptions inherent in the method.</w:t>
      </w:r>
    </w:p>
    <w:p w:rsidR="00B95188" w:rsidRPr="00A428C3" w:rsidRDefault="00B95188" w:rsidP="00B95188">
      <w:pPr>
        <w:pStyle w:val="a0"/>
      </w:pPr>
      <w:r w:rsidRPr="00A428C3">
        <w:t>This is a general difficulty in futures studies, namely that the openness of explanation of a phenomenon effectively limits the possibilities to extend the understanding of systems behaviour into predictive statements.</w:t>
      </w:r>
    </w:p>
    <w:p w:rsidR="00B95188" w:rsidRPr="00A428C3" w:rsidRDefault="00B95188" w:rsidP="00B95188">
      <w:pPr>
        <w:pStyle w:val="a0"/>
      </w:pPr>
      <w:r w:rsidRPr="00A428C3">
        <w:t xml:space="preserve">Weinberg, B.H. (1974), Bibliographic coupling: A review. </w:t>
      </w:r>
      <w:r w:rsidRPr="00A428C3">
        <w:rPr>
          <w:i/>
          <w:iCs/>
        </w:rPr>
        <w:t>Information Storage</w:t>
      </w:r>
      <w:r w:rsidR="00F81221">
        <w:rPr>
          <w:i/>
          <w:iCs/>
        </w:rPr>
        <w:t xml:space="preserve"> and </w:t>
      </w:r>
      <w:r w:rsidRPr="00A428C3">
        <w:rPr>
          <w:i/>
          <w:iCs/>
        </w:rPr>
        <w:t>Retrieval</w:t>
      </w:r>
      <w:r w:rsidRPr="00A428C3">
        <w:t xml:space="preserve">, </w:t>
      </w:r>
      <w:r w:rsidRPr="00A428C3">
        <w:rPr>
          <w:b/>
        </w:rPr>
        <w:t>10</w:t>
      </w:r>
      <w:r w:rsidRPr="00A428C3">
        <w:t xml:space="preserve"> (5-6), 189-196.</w:t>
      </w:r>
    </w:p>
    <w:p w:rsidR="007D22A4" w:rsidRPr="001A3D2B" w:rsidRDefault="007D22A4" w:rsidP="007D22A4">
      <w:pPr>
        <w:pStyle w:val="a0"/>
      </w:pPr>
      <w:r w:rsidRPr="001A3D2B">
        <w:t xml:space="preserve">Full Text: </w:t>
      </w:r>
      <w:hyperlink r:id="rId1502" w:history="1">
        <w:r w:rsidRPr="00183AAE">
          <w:rPr>
            <w:rStyle w:val="a5"/>
          </w:rPr>
          <w:t>1960-80\Inf Sto Ret10, 189.pdf</w:t>
        </w:r>
      </w:hyperlink>
    </w:p>
    <w:p w:rsidR="00B95188" w:rsidRPr="00A428C3" w:rsidRDefault="00B95188" w:rsidP="00B95188">
      <w:pPr>
        <w:pStyle w:val="a0"/>
      </w:pPr>
      <w:r w:rsidRPr="00A428C3">
        <w:t>Abstract:The theory</w:t>
      </w:r>
      <w:r w:rsidR="00F81221">
        <w:t xml:space="preserve"> and </w:t>
      </w:r>
      <w:r w:rsidRPr="00A428C3">
        <w:t>practical applications of bibliographic coupling are reviewed. The reviewer takes issue with the use of bibliographic coupling for information retrieval</w:t>
      </w:r>
      <w:r w:rsidR="00F81221">
        <w:t xml:space="preserve"> and </w:t>
      </w:r>
      <w:r w:rsidRPr="00A428C3">
        <w:t>automatic classification on logical grounds,</w:t>
      </w:r>
      <w:r w:rsidR="00F81221">
        <w:t xml:space="preserve"> and </w:t>
      </w:r>
      <w:r w:rsidRPr="00A428C3">
        <w:t>for reasons relating to uncontrolled citation practices. The usefulness of the procedure for the study of the science of science</w:t>
      </w:r>
      <w:r w:rsidR="00F81221">
        <w:t xml:space="preserve"> and </w:t>
      </w:r>
      <w:r w:rsidRPr="00A428C3">
        <w:t>bibliometrics is granted.</w:t>
      </w:r>
    </w:p>
    <w:p w:rsidR="00B02776" w:rsidRPr="00A428C3" w:rsidRDefault="00B02776" w:rsidP="00B02776">
      <w:pPr>
        <w:pStyle w:val="a0"/>
      </w:pPr>
      <w:r w:rsidRPr="00A428C3">
        <w:t xml:space="preserve">Rosenberg, B. (1974), Understanding scientific literatures: A bibliometric approach: Joseph C. Donhue. MIT Press, </w:t>
      </w:r>
      <w:smartTag w:uri="urn:schemas-microsoft-com:office:smarttags" w:element="place">
        <w:smartTag w:uri="urn:schemas-microsoft-com:office:smarttags" w:element="City">
          <w:r w:rsidRPr="00A428C3">
            <w:t>Cambridge</w:t>
          </w:r>
        </w:smartTag>
        <w:r w:rsidRPr="00A428C3">
          <w:t xml:space="preserve">, </w:t>
        </w:r>
        <w:smartTag w:uri="urn:schemas-microsoft-com:office:smarttags" w:element="State">
          <w:r w:rsidRPr="00A428C3">
            <w:t>Mass.</w:t>
          </w:r>
        </w:smartTag>
      </w:smartTag>
      <w:r w:rsidRPr="00A428C3">
        <w:t xml:space="preserve">, 1973. 101 pp. $10.00. ISBN 0-262-04049-5. </w:t>
      </w:r>
      <w:r w:rsidRPr="00A428C3">
        <w:rPr>
          <w:i/>
          <w:iCs/>
        </w:rPr>
        <w:t>Information Storage</w:t>
      </w:r>
      <w:r w:rsidR="00F81221">
        <w:rPr>
          <w:i/>
          <w:iCs/>
        </w:rPr>
        <w:t xml:space="preserve"> and </w:t>
      </w:r>
      <w:r w:rsidRPr="00A428C3">
        <w:rPr>
          <w:i/>
          <w:iCs/>
        </w:rPr>
        <w:t>Retrieval</w:t>
      </w:r>
      <w:r w:rsidRPr="00A428C3">
        <w:t xml:space="preserve">, </w:t>
      </w:r>
      <w:r w:rsidRPr="00A428C3">
        <w:rPr>
          <w:b/>
        </w:rPr>
        <w:t>10</w:t>
      </w:r>
      <w:r w:rsidRPr="00A428C3">
        <w:t xml:space="preserve"> (11-12), 420-421.</w:t>
      </w:r>
    </w:p>
    <w:p w:rsidR="00B02776" w:rsidRPr="00A428C3" w:rsidRDefault="00B02776" w:rsidP="00B02776">
      <w:pPr>
        <w:pStyle w:val="a0"/>
      </w:pPr>
      <w:r w:rsidRPr="00A428C3">
        <w:t xml:space="preserve">Full Text: </w:t>
      </w:r>
      <w:hyperlink r:id="rId1503" w:history="1">
        <w:r w:rsidRPr="00A428C3">
          <w:rPr>
            <w:rStyle w:val="a5"/>
          </w:rPr>
          <w:t>I\Inf Sto Ret10, 420.pdf</w:t>
        </w:r>
      </w:hyperlink>
    </w:p>
    <w:p w:rsidR="00B95188" w:rsidRPr="00A428C3" w:rsidRDefault="00B95188" w:rsidP="00B95188">
      <w:pPr>
        <w:pStyle w:val="1"/>
      </w:pPr>
      <w:r w:rsidRPr="00586CD8">
        <w:br w:type="page"/>
      </w:r>
      <w:bookmarkStart w:id="1045" w:name="_Toc186647870"/>
      <w:bookmarkStart w:id="1046" w:name="_Toc317161178"/>
      <w:r w:rsidRPr="00A428C3">
        <w:lastRenderedPageBreak/>
        <w:t xml:space="preserve">Title: </w:t>
      </w:r>
      <w:r w:rsidRPr="00A428C3">
        <w:rPr>
          <w:szCs w:val="12"/>
        </w:rPr>
        <w:t>Information Studies: Theory &amp; Application</w:t>
      </w:r>
      <w:bookmarkEnd w:id="1045"/>
      <w:bookmarkEnd w:id="1046"/>
    </w:p>
    <w:p w:rsidR="00B95188" w:rsidRPr="00A428C3" w:rsidRDefault="00B95188" w:rsidP="00B72EF9">
      <w:pPr>
        <w:pStyle w:val="12"/>
      </w:pPr>
      <w:r w:rsidRPr="00A428C3">
        <w:t xml:space="preserve">Full Journal Title: </w:t>
      </w:r>
      <w:hyperlink r:id="rId1504" w:history="1">
        <w:r w:rsidRPr="00A428C3">
          <w:rPr>
            <w:rStyle w:val="a5"/>
            <w:szCs w:val="12"/>
          </w:rPr>
          <w:t>Information Studies: Theory &amp; Application</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1000-7490</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Publisher:</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Zhu, L. (2003), Quantitative analysis of research papers on information policies &amp; regulations in </w:t>
      </w:r>
      <w:smartTag w:uri="urn:schemas-microsoft-com:office:smarttags" w:element="place">
        <w:smartTag w:uri="urn:schemas-microsoft-com:office:smarttags" w:element="country-region">
          <w:r w:rsidRPr="00A428C3">
            <w:t>China</w:t>
          </w:r>
        </w:smartTag>
      </w:smartTag>
      <w:r w:rsidRPr="00A428C3">
        <w:t xml:space="preserve"> since 1990s. </w:t>
      </w:r>
      <w:r w:rsidRPr="00A428C3">
        <w:rPr>
          <w:i/>
        </w:rPr>
        <w:t>Information Studies: Theory &amp; Application</w:t>
      </w:r>
      <w:r w:rsidRPr="00A428C3">
        <w:t xml:space="preserve">, </w:t>
      </w:r>
      <w:r w:rsidRPr="00A428C3">
        <w:rPr>
          <w:b/>
        </w:rPr>
        <w:t>26</w:t>
      </w:r>
      <w:r w:rsidRPr="00A428C3">
        <w:t xml:space="preserve"> (4), 371-375.</w:t>
      </w:r>
    </w:p>
    <w:p w:rsidR="00B95188" w:rsidRPr="00A428C3" w:rsidRDefault="00B95188" w:rsidP="00B95188">
      <w:pPr>
        <w:pStyle w:val="a0"/>
      </w:pPr>
      <w:r w:rsidRPr="00A428C3">
        <w:t xml:space="preserve">Full Text: </w:t>
      </w:r>
      <w:hyperlink r:id="rId1505" w:history="1">
        <w:r w:rsidRPr="00A428C3">
          <w:rPr>
            <w:rStyle w:val="a5"/>
          </w:rPr>
          <w:t>2003\Inf Stu The App26, 371.pdf</w:t>
        </w:r>
      </w:hyperlink>
    </w:p>
    <w:p w:rsidR="00B95188" w:rsidRPr="00A428C3" w:rsidRDefault="00B95188" w:rsidP="00B95188">
      <w:pPr>
        <w:pStyle w:val="a0"/>
      </w:pPr>
      <w:r w:rsidRPr="00A428C3">
        <w:t>Abstract: In order to grasp the present situation of researches on information policies</w:t>
      </w:r>
      <w:r w:rsidR="00F81221">
        <w:t xml:space="preserve"> and </w:t>
      </w:r>
      <w:r w:rsidRPr="00A428C3">
        <w:t>regulations,this paper makes a statistical analysis of the articles relating to information policies</w:t>
      </w:r>
      <w:r w:rsidR="00F81221">
        <w:t xml:space="preserve"> and </w:t>
      </w:r>
      <w:r w:rsidRPr="00A428C3">
        <w:t>regulations</w:t>
      </w:r>
      <w:r w:rsidR="00F81221">
        <w:t xml:space="preserve"> and </w:t>
      </w:r>
      <w:r w:rsidRPr="00A428C3">
        <w:t xml:space="preserve">issued from 1999 to </w:t>
      </w:r>
      <w:smartTag w:uri="urn:schemas-microsoft-com:office:smarttags" w:element="chmetcnv">
        <w:smartTagPr>
          <w:attr w:name="TCSC" w:val="0"/>
          <w:attr w:name="NumberType" w:val="1"/>
          <w:attr w:name="Negative" w:val="False"/>
          <w:attr w:name="HasSpace" w:val="True"/>
          <w:attr w:name="SourceValue" w:val="2001"/>
          <w:attr w:name="UnitName" w:val="in"/>
        </w:smartTagPr>
        <w:r w:rsidRPr="00A428C3">
          <w:t>2001 in</w:t>
        </w:r>
      </w:smartTag>
      <w:r w:rsidRPr="00A428C3">
        <w:t xml:space="preserve"> China by using the method of bibliometrics,including time distribution,space distribution,content,author</w:t>
      </w:r>
      <w:r w:rsidR="00F81221">
        <w:t xml:space="preserve"> and </w:t>
      </w:r>
      <w:r w:rsidRPr="00A428C3">
        <w:t>citations</w:t>
      </w:r>
    </w:p>
    <w:p w:rsidR="00B95188" w:rsidRPr="00A428C3" w:rsidRDefault="00B95188" w:rsidP="00B95188">
      <w:pPr>
        <w:pStyle w:val="a0"/>
      </w:pPr>
      <w:r w:rsidRPr="00A428C3">
        <w:t xml:space="preserve">Keywords: Information Policy, Regulation, Development Study, </w:t>
      </w:r>
      <w:smartTag w:uri="urn:schemas-microsoft-com:office:smarttags" w:element="place">
        <w:smartTag w:uri="urn:schemas-microsoft-com:office:smarttags" w:element="City">
          <w:r w:rsidRPr="00A428C3">
            <w:t>Bibliometric Method</w:t>
          </w:r>
        </w:smartTag>
        <w:r w:rsidRPr="00A428C3">
          <w:t xml:space="preserve">, </w:t>
        </w:r>
        <w:smartTag w:uri="urn:schemas-microsoft-com:office:smarttags" w:element="country-region">
          <w:r w:rsidRPr="00A428C3">
            <w:t>China</w:t>
          </w:r>
        </w:smartTag>
      </w:smartTag>
    </w:p>
    <w:p w:rsidR="00427CBC" w:rsidRPr="00A428C3" w:rsidRDefault="00427CBC" w:rsidP="00427CBC">
      <w:pPr>
        <w:pStyle w:val="a0"/>
      </w:pPr>
      <w:r w:rsidRPr="00A428C3">
        <w:t xml:space="preserve">? </w:t>
      </w:r>
      <w:r w:rsidRPr="00427CBC">
        <w:rPr>
          <w:rFonts w:hint="eastAsia"/>
        </w:rPr>
        <w:t>Zhao</w:t>
      </w:r>
      <w:r>
        <w:rPr>
          <w:rFonts w:hint="eastAsia"/>
        </w:rPr>
        <w:t>,</w:t>
      </w:r>
      <w:r w:rsidRPr="00427CBC">
        <w:rPr>
          <w:rFonts w:hint="eastAsia"/>
        </w:rPr>
        <w:t xml:space="preserve"> X</w:t>
      </w:r>
      <w:r>
        <w:rPr>
          <w:rFonts w:hint="eastAsia"/>
        </w:rPr>
        <w:t>.</w:t>
      </w:r>
      <w:r w:rsidRPr="00A428C3">
        <w:t xml:space="preserve"> (200</w:t>
      </w:r>
      <w:r>
        <w:rPr>
          <w:rFonts w:hint="eastAsia"/>
        </w:rPr>
        <w:t>9</w:t>
      </w:r>
      <w:r w:rsidRPr="00A428C3">
        <w:t xml:space="preserve">), </w:t>
      </w:r>
      <w:r w:rsidRPr="00427CBC">
        <w:rPr>
          <w:rFonts w:hint="eastAsia"/>
        </w:rPr>
        <w:t xml:space="preserve">Characteristic </w:t>
      </w:r>
      <w:r w:rsidRPr="00427CBC">
        <w:t>study of a new journal citation evaluation indicat</w:t>
      </w:r>
      <w:r w:rsidRPr="00427CBC">
        <w:rPr>
          <w:rFonts w:hint="eastAsia"/>
        </w:rPr>
        <w:t xml:space="preserve">or Eigenfactor </w:t>
      </w:r>
      <w:r>
        <w:rPr>
          <w:rFonts w:hint="eastAsia"/>
        </w:rPr>
        <w:t xml:space="preserve">- </w:t>
      </w:r>
      <w:r w:rsidRPr="00427CBC">
        <w:rPr>
          <w:rFonts w:hint="eastAsia"/>
        </w:rPr>
        <w:t xml:space="preserve">Base on Chinese </w:t>
      </w:r>
      <w:r w:rsidRPr="00427CBC">
        <w:t>periodical</w:t>
      </w:r>
      <w:r w:rsidR="000352E7">
        <w:t>’</w:t>
      </w:r>
      <w:r w:rsidRPr="00427CBC">
        <w:t>s data</w:t>
      </w:r>
      <w:r w:rsidRPr="00A428C3">
        <w:t xml:space="preserve">. </w:t>
      </w:r>
      <w:r w:rsidRPr="00A428C3">
        <w:rPr>
          <w:i/>
        </w:rPr>
        <w:t>Information Studies: Theory &amp; Application</w:t>
      </w:r>
      <w:r w:rsidRPr="00A428C3">
        <w:t xml:space="preserve">, </w:t>
      </w:r>
      <w:r>
        <w:rPr>
          <w:rFonts w:hint="eastAsia"/>
          <w:b/>
        </w:rPr>
        <w:t>32</w:t>
      </w:r>
      <w:r w:rsidRPr="00A428C3">
        <w:t xml:space="preserve"> (</w:t>
      </w:r>
      <w:r>
        <w:rPr>
          <w:rFonts w:hint="eastAsia"/>
        </w:rPr>
        <w:t>8</w:t>
      </w:r>
      <w:r w:rsidRPr="00A428C3">
        <w:t xml:space="preserve">), </w:t>
      </w:r>
      <w:r>
        <w:rPr>
          <w:rFonts w:hint="eastAsia"/>
        </w:rPr>
        <w:t>53-56</w:t>
      </w:r>
      <w:r w:rsidRPr="00A428C3">
        <w:t>.</w:t>
      </w:r>
    </w:p>
    <w:p w:rsidR="00427CBC" w:rsidRDefault="00427CBC" w:rsidP="00427CBC">
      <w:pPr>
        <w:pStyle w:val="a0"/>
      </w:pPr>
      <w:r w:rsidRPr="00A428C3">
        <w:t xml:space="preserve">Full Text: </w:t>
      </w:r>
      <w:hyperlink r:id="rId1506" w:history="1">
        <w:r w:rsidRPr="00427CBC">
          <w:rPr>
            <w:rStyle w:val="a5"/>
          </w:rPr>
          <w:t>2009\Inf Stu The App32, 53.pdf</w:t>
        </w:r>
      </w:hyperlink>
    </w:p>
    <w:p w:rsidR="00427CBC" w:rsidRDefault="00427CBC" w:rsidP="00427CBC">
      <w:pPr>
        <w:pStyle w:val="a0"/>
      </w:pPr>
      <w:r w:rsidRPr="00427CBC">
        <w:rPr>
          <w:rFonts w:hint="eastAsia"/>
        </w:rPr>
        <w:t>Abstract</w:t>
      </w:r>
      <w:r>
        <w:rPr>
          <w:rFonts w:hint="eastAsia"/>
        </w:rPr>
        <w:t>:</w:t>
      </w:r>
      <w:r w:rsidRPr="00427CBC">
        <w:rPr>
          <w:rFonts w:hint="eastAsia"/>
        </w:rPr>
        <w:t xml:space="preserve"> Taking </w:t>
      </w:r>
      <w:r w:rsidR="00513C1A" w:rsidRPr="00427CBC">
        <w:t xml:space="preserve">Chinese </w:t>
      </w:r>
      <w:r w:rsidRPr="00427CBC">
        <w:rPr>
          <w:rFonts w:hint="eastAsia"/>
        </w:rPr>
        <w:t>periodica</w:t>
      </w:r>
      <w:r w:rsidRPr="00427CBC">
        <w:t>l as example, I combine with the correlation analysis</w:t>
      </w:r>
      <w:r w:rsidR="00F81221">
        <w:t xml:space="preserve"> and </w:t>
      </w:r>
      <w:r w:rsidRPr="00427CBC">
        <w:t xml:space="preserve">factor analysis to investigate the relationship between a new journal citation evaluation indicator </w:t>
      </w:r>
      <w:r w:rsidR="00513C1A" w:rsidRPr="00427CBC">
        <w:t>Eigenfactor</w:t>
      </w:r>
      <w:r w:rsidR="00F81221">
        <w:t xml:space="preserve"> and </w:t>
      </w:r>
      <w:r w:rsidRPr="00427CBC">
        <w:t>other main indexes of journal evaluation. Moreover, the advantages</w:t>
      </w:r>
      <w:r w:rsidR="00F81221">
        <w:t xml:space="preserve"> and </w:t>
      </w:r>
      <w:r w:rsidRPr="00427CBC">
        <w:t>shortcoming</w:t>
      </w:r>
      <w:r w:rsidRPr="00427CBC">
        <w:rPr>
          <w:rFonts w:hint="eastAsia"/>
        </w:rPr>
        <w:t>s of Eigenfactor are discussed.</w:t>
      </w:r>
    </w:p>
    <w:p w:rsidR="00427CBC" w:rsidRPr="00A428C3" w:rsidRDefault="00427CBC" w:rsidP="00427CBC">
      <w:pPr>
        <w:pStyle w:val="a0"/>
      </w:pPr>
      <w:r>
        <w:t>Key</w:t>
      </w:r>
      <w:r w:rsidRPr="00427CBC">
        <w:t>words</w:t>
      </w:r>
      <w:r>
        <w:t xml:space="preserve">: </w:t>
      </w:r>
      <w:r w:rsidRPr="00427CBC">
        <w:t>Eigenfactor, Journal Evaluation, Citation Analysis, Informetrics, Chinese Periodical</w:t>
      </w:r>
    </w:p>
    <w:p w:rsidR="005C0A3C" w:rsidRDefault="005C0A3C" w:rsidP="005C0A3C">
      <w:pPr>
        <w:pStyle w:val="1"/>
      </w:pPr>
      <w:r w:rsidRPr="00F621CE">
        <w:br w:type="page"/>
      </w:r>
      <w:bookmarkStart w:id="1047" w:name="_Toc317161179"/>
      <w:r>
        <w:lastRenderedPageBreak/>
        <w:t xml:space="preserve">Title: </w:t>
      </w:r>
      <w:r w:rsidRPr="00612BC0">
        <w:rPr>
          <w:iCs/>
        </w:rPr>
        <w:t>Information Systems in the Changing ERA: Theory</w:t>
      </w:r>
      <w:r w:rsidR="00F81221">
        <w:rPr>
          <w:iCs/>
        </w:rPr>
        <w:t xml:space="preserve"> and </w:t>
      </w:r>
      <w:r w:rsidRPr="00612BC0">
        <w:rPr>
          <w:iCs/>
        </w:rPr>
        <w:t>Practice</w:t>
      </w:r>
      <w:bookmarkEnd w:id="1047"/>
    </w:p>
    <w:p w:rsidR="005C0A3C" w:rsidRDefault="005C0A3C" w:rsidP="00B72EF9">
      <w:pPr>
        <w:pStyle w:val="12"/>
      </w:pPr>
      <w:r>
        <w:t xml:space="preserve">Full Journal Title: </w:t>
      </w:r>
      <w:r w:rsidRPr="00612BC0">
        <w:t>Information Systems in the Changing ERA: Theory</w:t>
      </w:r>
      <w:r w:rsidR="00F81221">
        <w:t xml:space="preserve"> and </w:t>
      </w:r>
      <w:r w:rsidRPr="00612BC0">
        <w:t>Practice</w:t>
      </w:r>
    </w:p>
    <w:p w:rsidR="005C0A3C" w:rsidRPr="00335942" w:rsidRDefault="005C0A3C" w:rsidP="00B72EF9">
      <w:pPr>
        <w:pStyle w:val="12"/>
      </w:pPr>
      <w:r w:rsidRPr="00335942">
        <w:t xml:space="preserve">ISO Abbreviated Title: </w:t>
      </w:r>
    </w:p>
    <w:p w:rsidR="005C0A3C" w:rsidRPr="00335942" w:rsidRDefault="005C0A3C" w:rsidP="00B72EF9">
      <w:pPr>
        <w:pStyle w:val="12"/>
      </w:pPr>
      <w:r w:rsidRPr="00335942">
        <w:t>JCR Abbreviated Title</w:t>
      </w:r>
      <w:r>
        <w:t>:</w:t>
      </w:r>
      <w:r w:rsidRPr="00335942">
        <w:t xml:space="preserve"> </w:t>
      </w:r>
    </w:p>
    <w:p w:rsidR="005C0A3C" w:rsidRPr="008C6216" w:rsidRDefault="005C0A3C" w:rsidP="00B72EF9">
      <w:pPr>
        <w:pStyle w:val="12"/>
      </w:pPr>
      <w:r w:rsidRPr="00335942">
        <w:t>ISS</w:t>
      </w:r>
      <w:r w:rsidRPr="008C6216">
        <w:t xml:space="preserve">N: </w:t>
      </w:r>
    </w:p>
    <w:p w:rsidR="005C0A3C" w:rsidRPr="008C6216" w:rsidRDefault="005C0A3C" w:rsidP="00B72EF9">
      <w:pPr>
        <w:pStyle w:val="12"/>
      </w:pPr>
      <w:r w:rsidRPr="008C6216">
        <w:t xml:space="preserve">Issues/Year: </w:t>
      </w:r>
    </w:p>
    <w:p w:rsidR="005C0A3C" w:rsidRPr="00335942" w:rsidRDefault="005C0A3C" w:rsidP="00B72EF9">
      <w:pPr>
        <w:pStyle w:val="12"/>
      </w:pPr>
      <w:r w:rsidRPr="008C6216">
        <w:t xml:space="preserve">Journal </w:t>
      </w:r>
      <w:r w:rsidRPr="00335942">
        <w:t>Country/Territory:</w:t>
      </w:r>
    </w:p>
    <w:p w:rsidR="005C0A3C" w:rsidRPr="00335942" w:rsidRDefault="005C0A3C" w:rsidP="00B72EF9">
      <w:pPr>
        <w:pStyle w:val="12"/>
      </w:pPr>
      <w:r w:rsidRPr="00335942">
        <w:t xml:space="preserve">Language: </w:t>
      </w:r>
    </w:p>
    <w:p w:rsidR="005C0A3C" w:rsidRPr="00335942" w:rsidRDefault="005C0A3C" w:rsidP="00B72EF9">
      <w:pPr>
        <w:pStyle w:val="12"/>
      </w:pPr>
      <w:r w:rsidRPr="00335942">
        <w:t>Publisher:</w:t>
      </w:r>
    </w:p>
    <w:p w:rsidR="005C0A3C" w:rsidRPr="00335942" w:rsidRDefault="005C0A3C" w:rsidP="00B72EF9">
      <w:pPr>
        <w:pStyle w:val="12"/>
      </w:pPr>
      <w:r w:rsidRPr="00335942">
        <w:t xml:space="preserve">Publisher Address: </w:t>
      </w:r>
    </w:p>
    <w:p w:rsidR="005C0A3C" w:rsidRPr="00335942" w:rsidRDefault="005C0A3C" w:rsidP="00B72EF9">
      <w:pPr>
        <w:pStyle w:val="12"/>
      </w:pPr>
      <w:r w:rsidRPr="00335942">
        <w:t>Subject Categories:</w:t>
      </w:r>
    </w:p>
    <w:p w:rsidR="005C0A3C" w:rsidRDefault="005C0A3C" w:rsidP="00B72EF9">
      <w:pPr>
        <w:pStyle w:val="12"/>
      </w:pPr>
      <w:r w:rsidRPr="00335942">
        <w:rPr>
          <w:rFonts w:hint="eastAsia"/>
        </w:rPr>
        <w:t>:</w:t>
      </w:r>
      <w:r w:rsidRPr="00335942">
        <w:t xml:space="preserve"> </w:t>
      </w:r>
      <w:r>
        <w:t>Impact Factor</w:t>
      </w:r>
      <w:r>
        <w:rPr>
          <w:rFonts w:hint="eastAsia"/>
        </w:rPr>
        <w:t xml:space="preserve"> </w:t>
      </w:r>
    </w:p>
    <w:p w:rsidR="005C0A3C" w:rsidRDefault="005C0A3C" w:rsidP="005C0A3C">
      <w:pPr>
        <w:pStyle w:val="a0"/>
        <w:rPr>
          <w:kern w:val="0"/>
        </w:rPr>
      </w:pPr>
      <w:r>
        <w:rPr>
          <w:rFonts w:hint="eastAsia"/>
          <w:kern w:val="0"/>
        </w:rPr>
        <w:t xml:space="preserve">? </w:t>
      </w:r>
      <w:r>
        <w:rPr>
          <w:kern w:val="0"/>
        </w:rPr>
        <w:t>Zhang, Y.C.</w:t>
      </w:r>
      <w:r w:rsidR="00F81221">
        <w:rPr>
          <w:kern w:val="0"/>
        </w:rPr>
        <w:t xml:space="preserve"> and </w:t>
      </w:r>
      <w:r>
        <w:rPr>
          <w:kern w:val="0"/>
        </w:rPr>
        <w:t xml:space="preserve">Liu, K.C. (2009), A bibliometric study on organisational semiotics literatures. </w:t>
      </w:r>
      <w:r w:rsidRPr="00612BC0">
        <w:rPr>
          <w:i/>
          <w:iCs/>
          <w:kern w:val="0"/>
        </w:rPr>
        <w:t>Information Systems in the Changing ERA: Theory</w:t>
      </w:r>
      <w:r w:rsidR="00F81221">
        <w:rPr>
          <w:i/>
          <w:iCs/>
          <w:kern w:val="0"/>
        </w:rPr>
        <w:t xml:space="preserve"> and </w:t>
      </w:r>
      <w:r w:rsidRPr="00612BC0">
        <w:rPr>
          <w:i/>
          <w:iCs/>
          <w:kern w:val="0"/>
        </w:rPr>
        <w:t>Practice</w:t>
      </w:r>
      <w:r>
        <w:rPr>
          <w:kern w:val="0"/>
        </w:rPr>
        <w:t>, 33-39.</w:t>
      </w:r>
    </w:p>
    <w:p w:rsidR="005C0A3C" w:rsidRDefault="005C0A3C" w:rsidP="005C0A3C">
      <w:pPr>
        <w:pStyle w:val="a0"/>
        <w:rPr>
          <w:kern w:val="0"/>
        </w:rPr>
      </w:pPr>
      <w:r>
        <w:rPr>
          <w:kern w:val="0"/>
        </w:rPr>
        <w:t>Abstract: Since it came into being in the early 1990s, Organisational Semiotics (OS) has attracted quite a few academics carrying out research, both on the principle itself</w:t>
      </w:r>
      <w:r w:rsidR="00F81221">
        <w:rPr>
          <w:kern w:val="0"/>
        </w:rPr>
        <w:t xml:space="preserve"> and </w:t>
      </w:r>
      <w:r>
        <w:rPr>
          <w:kern w:val="0"/>
        </w:rPr>
        <w:t>on its application. Bibilometric can be used to find out active researchers</w:t>
      </w:r>
      <w:r w:rsidR="00F81221">
        <w:rPr>
          <w:kern w:val="0"/>
        </w:rPr>
        <w:t xml:space="preserve"> and </w:t>
      </w:r>
      <w:r>
        <w:rPr>
          <w:kern w:val="0"/>
        </w:rPr>
        <w:t>major research topics concerning OS. This study is based on 146 papers published between 1999</w:t>
      </w:r>
      <w:r w:rsidR="00F81221">
        <w:rPr>
          <w:kern w:val="0"/>
        </w:rPr>
        <w:t xml:space="preserve"> and </w:t>
      </w:r>
      <w:r>
        <w:rPr>
          <w:kern w:val="0"/>
        </w:rPr>
        <w:t>2007 at annual international workshops</w:t>
      </w:r>
      <w:r w:rsidR="00F81221">
        <w:rPr>
          <w:kern w:val="0"/>
        </w:rPr>
        <w:t xml:space="preserve"> and </w:t>
      </w:r>
      <w:r>
        <w:rPr>
          <w:kern w:val="0"/>
        </w:rPr>
        <w:t>conferences concerning OS. The information about authors, author affiliations</w:t>
      </w:r>
      <w:r w:rsidR="00F81221">
        <w:rPr>
          <w:kern w:val="0"/>
        </w:rPr>
        <w:t xml:space="preserve"> and </w:t>
      </w:r>
      <w:r>
        <w:rPr>
          <w:kern w:val="0"/>
        </w:rPr>
        <w:t>keywords are coded into a database. Statistical analysis reveals the most prolific researchers</w:t>
      </w:r>
      <w:r w:rsidR="00F81221">
        <w:rPr>
          <w:kern w:val="0"/>
        </w:rPr>
        <w:t xml:space="preserve"> and </w:t>
      </w:r>
      <w:r>
        <w:rPr>
          <w:kern w:val="0"/>
        </w:rPr>
        <w:t>institutions most actively involved with OS research,</w:t>
      </w:r>
      <w:r w:rsidR="00F81221">
        <w:rPr>
          <w:kern w:val="0"/>
        </w:rPr>
        <w:t xml:space="preserve"> and </w:t>
      </w:r>
      <w:r>
        <w:rPr>
          <w:kern w:val="0"/>
        </w:rPr>
        <w:t>the most researched topics. A program is developed in a multi-agent programmable modelling environment. By employing the program, the associations between research institutes</w:t>
      </w:r>
      <w:r w:rsidR="00F81221">
        <w:rPr>
          <w:kern w:val="0"/>
        </w:rPr>
        <w:t xml:space="preserve"> and </w:t>
      </w:r>
      <w:r>
        <w:rPr>
          <w:kern w:val="0"/>
        </w:rPr>
        <w:t>the co-occurrence of the research topics are investigated; maps visualizing those associations</w:t>
      </w:r>
      <w:r w:rsidR="00F81221">
        <w:rPr>
          <w:kern w:val="0"/>
        </w:rPr>
        <w:t xml:space="preserve"> and </w:t>
      </w:r>
      <w:r>
        <w:rPr>
          <w:kern w:val="0"/>
        </w:rPr>
        <w:t>co-occurrences are generated.</w:t>
      </w:r>
    </w:p>
    <w:p w:rsidR="005C0A3C" w:rsidRDefault="005C0A3C" w:rsidP="005C0A3C">
      <w:pPr>
        <w:pStyle w:val="a0"/>
        <w:rPr>
          <w:kern w:val="0"/>
        </w:rPr>
      </w:pPr>
      <w:r>
        <w:rPr>
          <w:kern w:val="0"/>
        </w:rPr>
        <w:t>Keywords: Academic Community, Bibliometric, Literature Survey, Organisational Semiotics, Research</w:t>
      </w:r>
    </w:p>
    <w:p w:rsidR="00F97C2C" w:rsidRPr="001A3D2B" w:rsidRDefault="00F97C2C" w:rsidP="00F97C2C">
      <w:pPr>
        <w:pStyle w:val="1"/>
      </w:pPr>
      <w:r w:rsidRPr="001A3D2B">
        <w:br w:type="page"/>
      </w:r>
      <w:bookmarkStart w:id="1048" w:name="_Toc317161180"/>
      <w:r w:rsidRPr="001A3D2B">
        <w:lastRenderedPageBreak/>
        <w:t xml:space="preserve">Title: </w:t>
      </w:r>
      <w:r w:rsidRPr="00580B8C">
        <w:rPr>
          <w:iCs/>
        </w:rPr>
        <w:t>Information Systems Management</w:t>
      </w:r>
      <w:bookmarkEnd w:id="1048"/>
    </w:p>
    <w:p w:rsidR="00F97C2C" w:rsidRPr="001A3D2B" w:rsidRDefault="00F97C2C" w:rsidP="00F97C2C">
      <w:pPr>
        <w:pStyle w:val="12"/>
      </w:pPr>
      <w:r w:rsidRPr="001A3D2B">
        <w:t xml:space="preserve">Full Journal Title: </w:t>
      </w:r>
      <w:r w:rsidRPr="00580B8C">
        <w:rPr>
          <w:iCs/>
        </w:rPr>
        <w:t>Information Systems Management</w:t>
      </w:r>
    </w:p>
    <w:p w:rsidR="00F97C2C" w:rsidRPr="001A3D2B" w:rsidRDefault="00F97C2C" w:rsidP="00F97C2C">
      <w:pPr>
        <w:pStyle w:val="12"/>
      </w:pPr>
      <w:r w:rsidRPr="001A3D2B">
        <w:t xml:space="preserve">ISO Abbreviated Title: </w:t>
      </w:r>
    </w:p>
    <w:p w:rsidR="00F97C2C" w:rsidRPr="001A3D2B" w:rsidRDefault="00F97C2C" w:rsidP="00F97C2C">
      <w:pPr>
        <w:pStyle w:val="12"/>
      </w:pPr>
      <w:r w:rsidRPr="001A3D2B">
        <w:t xml:space="preserve">JCR Abbreviated Title: </w:t>
      </w:r>
    </w:p>
    <w:p w:rsidR="00F97C2C" w:rsidRPr="001A3D2B" w:rsidRDefault="00F97C2C" w:rsidP="00F97C2C">
      <w:pPr>
        <w:pStyle w:val="12"/>
      </w:pPr>
      <w:r>
        <w:t xml:space="preserve">ISSN: </w:t>
      </w:r>
    </w:p>
    <w:p w:rsidR="00F97C2C" w:rsidRPr="001A3D2B" w:rsidRDefault="00F97C2C" w:rsidP="00F97C2C">
      <w:pPr>
        <w:pStyle w:val="12"/>
      </w:pPr>
      <w:r w:rsidRPr="001A3D2B">
        <w:t xml:space="preserve">Issues/Year: </w:t>
      </w:r>
    </w:p>
    <w:p w:rsidR="00F97C2C" w:rsidRPr="001A3D2B" w:rsidRDefault="00F97C2C" w:rsidP="00F97C2C">
      <w:pPr>
        <w:pStyle w:val="12"/>
      </w:pPr>
      <w:r w:rsidRPr="001A3D2B">
        <w:t>Journal Country/Territory:</w:t>
      </w:r>
    </w:p>
    <w:p w:rsidR="00F97C2C" w:rsidRPr="001A3D2B" w:rsidRDefault="00F97C2C" w:rsidP="00F97C2C">
      <w:pPr>
        <w:pStyle w:val="12"/>
      </w:pPr>
      <w:r w:rsidRPr="001A3D2B">
        <w:t xml:space="preserve">Language: </w:t>
      </w:r>
    </w:p>
    <w:p w:rsidR="00F97C2C" w:rsidRPr="001A3D2B" w:rsidRDefault="00F97C2C" w:rsidP="00F97C2C">
      <w:pPr>
        <w:pStyle w:val="12"/>
      </w:pPr>
      <w:r w:rsidRPr="001A3D2B">
        <w:t>Publisher:</w:t>
      </w:r>
    </w:p>
    <w:p w:rsidR="00F97C2C" w:rsidRPr="001A3D2B" w:rsidRDefault="00F97C2C" w:rsidP="00F97C2C">
      <w:pPr>
        <w:pStyle w:val="12"/>
      </w:pPr>
      <w:r w:rsidRPr="001A3D2B">
        <w:t xml:space="preserve">Publisher Address: </w:t>
      </w:r>
    </w:p>
    <w:p w:rsidR="00F97C2C" w:rsidRPr="001A3D2B" w:rsidRDefault="00F97C2C" w:rsidP="00F97C2C">
      <w:pPr>
        <w:pStyle w:val="12"/>
      </w:pPr>
      <w:r w:rsidRPr="001A3D2B">
        <w:t>Subject Categories:</w:t>
      </w:r>
    </w:p>
    <w:p w:rsidR="00F97C2C" w:rsidRPr="001A3D2B" w:rsidRDefault="00F97C2C" w:rsidP="00F97C2C">
      <w:pPr>
        <w:pStyle w:val="12"/>
      </w:pPr>
      <w:r w:rsidRPr="001A3D2B">
        <w:t xml:space="preserve">: Impact Factor </w:t>
      </w:r>
    </w:p>
    <w:p w:rsidR="00F97C2C" w:rsidRDefault="00F97C2C" w:rsidP="00F97C2C">
      <w:pPr>
        <w:pStyle w:val="a0"/>
        <w:rPr>
          <w:kern w:val="0"/>
        </w:rPr>
      </w:pPr>
      <w:r>
        <w:rPr>
          <w:rFonts w:hint="eastAsia"/>
          <w:kern w:val="0"/>
        </w:rPr>
        <w:t xml:space="preserve">? </w:t>
      </w:r>
      <w:r>
        <w:rPr>
          <w:kern w:val="0"/>
        </w:rPr>
        <w:t>Dwivedi, Y.K., Venkitachalam, K., Sharif, A.M., Al-Karaghouli, W.</w:t>
      </w:r>
      <w:r w:rsidR="00F81221">
        <w:rPr>
          <w:kern w:val="0"/>
        </w:rPr>
        <w:t xml:space="preserve"> and </w:t>
      </w:r>
      <w:r>
        <w:rPr>
          <w:kern w:val="0"/>
        </w:rPr>
        <w:t>Weerakkody, V. (2011), Research trends in knowledge management: Analyzing the past</w:t>
      </w:r>
      <w:r w:rsidR="00F81221">
        <w:rPr>
          <w:kern w:val="0"/>
        </w:rPr>
        <w:t xml:space="preserve"> and </w:t>
      </w:r>
      <w:r>
        <w:rPr>
          <w:kern w:val="0"/>
        </w:rPr>
        <w:t xml:space="preserve">predicting the future. </w:t>
      </w:r>
      <w:r w:rsidRPr="00580B8C">
        <w:rPr>
          <w:i/>
          <w:iCs/>
          <w:kern w:val="0"/>
        </w:rPr>
        <w:t>Information Systems Management</w:t>
      </w:r>
      <w:r>
        <w:rPr>
          <w:kern w:val="0"/>
        </w:rPr>
        <w:t xml:space="preserve">, </w:t>
      </w:r>
      <w:r>
        <w:rPr>
          <w:b/>
          <w:bCs/>
          <w:kern w:val="0"/>
        </w:rPr>
        <w:t>28</w:t>
      </w:r>
      <w:r>
        <w:rPr>
          <w:kern w:val="0"/>
        </w:rPr>
        <w:t xml:space="preserve"> (1), 43-56.</w:t>
      </w:r>
    </w:p>
    <w:p w:rsidR="00F97C2C" w:rsidRDefault="00F97C2C" w:rsidP="00F97C2C">
      <w:pPr>
        <w:pStyle w:val="a0"/>
        <w:rPr>
          <w:kern w:val="0"/>
        </w:rPr>
      </w:pPr>
      <w:r>
        <w:rPr>
          <w:rFonts w:hint="eastAsia"/>
          <w:kern w:val="0"/>
        </w:rPr>
        <w:t xml:space="preserve">Full Text: </w:t>
      </w:r>
      <w:hyperlink r:id="rId1507" w:history="1">
        <w:r w:rsidRPr="00580B8C">
          <w:rPr>
            <w:rStyle w:val="a5"/>
            <w:kern w:val="0"/>
          </w:rPr>
          <w:t>2011\Inf Sys Man28, 43.pdf</w:t>
        </w:r>
      </w:hyperlink>
    </w:p>
    <w:p w:rsidR="00F97C2C" w:rsidRDefault="00F97C2C" w:rsidP="00F97C2C">
      <w:pPr>
        <w:pStyle w:val="a0"/>
        <w:rPr>
          <w:kern w:val="0"/>
        </w:rPr>
      </w:pPr>
      <w:r>
        <w:rPr>
          <w:kern w:val="0"/>
        </w:rPr>
        <w:t>Abstract: Through a meta-data analysis of the literature over a 34-year period, this article aims to provide a review</w:t>
      </w:r>
      <w:r w:rsidR="00F81221">
        <w:rPr>
          <w:kern w:val="0"/>
        </w:rPr>
        <w:t xml:space="preserve"> and </w:t>
      </w:r>
      <w:r>
        <w:rPr>
          <w:kern w:val="0"/>
        </w:rPr>
        <w:t>investigation into the knowledge management field in terms of how the domain is represented along a number of dimensions including unit of analysis, research paradigm employed,</w:t>
      </w:r>
      <w:r w:rsidR="00F81221">
        <w:rPr>
          <w:kern w:val="0"/>
        </w:rPr>
        <w:t xml:space="preserve"> and </w:t>
      </w:r>
      <w:r>
        <w:rPr>
          <w:kern w:val="0"/>
        </w:rPr>
        <w:t>the research topics/issues investigated. Information on a series of variables was extracted after conducting a review of 1,043 articles on KM, published in various peer-reviewed journals between 1974-2008. The findings suggest that a combination of positivist, empirical, conceptual/descriptive,</w:t>
      </w:r>
      <w:r w:rsidR="00F81221">
        <w:rPr>
          <w:kern w:val="0"/>
        </w:rPr>
        <w:t xml:space="preserve"> and </w:t>
      </w:r>
      <w:r>
        <w:rPr>
          <w:kern w:val="0"/>
        </w:rPr>
        <w:t>multi-method approaches have been predominantly used in the area. Organizational as well as systems</w:t>
      </w:r>
      <w:r w:rsidR="00F81221">
        <w:rPr>
          <w:kern w:val="0"/>
        </w:rPr>
        <w:t xml:space="preserve"> and </w:t>
      </w:r>
      <w:r>
        <w:rPr>
          <w:kern w:val="0"/>
        </w:rPr>
        <w:t>environmental context-based KM research were found to be the most widely published topics within the KM domain. Further, the authors identified literature gaps that require more exploration</w:t>
      </w:r>
      <w:r w:rsidR="00F81221">
        <w:rPr>
          <w:kern w:val="0"/>
        </w:rPr>
        <w:t xml:space="preserve"> and </w:t>
      </w:r>
      <w:r>
        <w:rPr>
          <w:kern w:val="0"/>
        </w:rPr>
        <w:t>conceptual refinement in the context of knowledge management research.</w:t>
      </w:r>
    </w:p>
    <w:p w:rsidR="00F97C2C" w:rsidRDefault="00F97C2C" w:rsidP="00F97C2C">
      <w:pPr>
        <w:pStyle w:val="a0"/>
        <w:rPr>
          <w:kern w:val="0"/>
        </w:rPr>
      </w:pPr>
      <w:r>
        <w:rPr>
          <w:kern w:val="0"/>
        </w:rPr>
        <w:t>Keywords: Adoption, Analysis, Authors, Bibliometric Analysis, Bibliometric Analysis, Context, Environmental, Field, Information-Systems, Investigation, Issues, Journals, Knowledge, Knowledge Management, Literature, Management, Meta-Analysis, Paradigm, Peer Reviewed Journals, Peer-Reviewed, Profile, Research, Research Trends, Review, Strategy, Systems</w:t>
      </w:r>
    </w:p>
    <w:p w:rsidR="00B95188" w:rsidRPr="00A428C3" w:rsidRDefault="00B95188" w:rsidP="00B95188">
      <w:pPr>
        <w:pStyle w:val="1"/>
      </w:pPr>
      <w:r w:rsidRPr="00586CD8">
        <w:br w:type="page"/>
      </w:r>
      <w:bookmarkStart w:id="1049" w:name="_Toc186647871"/>
      <w:bookmarkStart w:id="1050" w:name="_Toc317161181"/>
      <w:r w:rsidRPr="00A428C3">
        <w:lastRenderedPageBreak/>
        <w:t>Title: Information Systems Research</w:t>
      </w:r>
      <w:bookmarkEnd w:id="1049"/>
      <w:bookmarkEnd w:id="1050"/>
    </w:p>
    <w:p w:rsidR="00B95188" w:rsidRPr="00A428C3" w:rsidRDefault="00B95188" w:rsidP="00B72EF9">
      <w:pPr>
        <w:pStyle w:val="12"/>
      </w:pPr>
      <w:r w:rsidRPr="00A428C3">
        <w:t xml:space="preserve">Full Journal Title: </w:t>
      </w:r>
      <w:hyperlink r:id="rId1508" w:history="1">
        <w:r w:rsidRPr="00A428C3">
          <w:rPr>
            <w:rStyle w:val="a5"/>
          </w:rPr>
          <w:t>Information Systems Research</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1047-7047</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Publisher:</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Valacich, J.S., Fuller, M.A., Schneider, C.</w:t>
      </w:r>
      <w:r w:rsidR="00F81221">
        <w:t xml:space="preserve"> and </w:t>
      </w:r>
      <w:r w:rsidRPr="00A428C3">
        <w:t>Dennis, A.R. (2006), Issues</w:t>
      </w:r>
      <w:r w:rsidR="00F81221">
        <w:t xml:space="preserve"> and </w:t>
      </w:r>
      <w:r w:rsidRPr="00A428C3">
        <w:t xml:space="preserve">opinions - Publication opportunities in premier business outlets: How level is the playing field? </w:t>
      </w:r>
      <w:r w:rsidRPr="00A428C3">
        <w:rPr>
          <w:i/>
        </w:rPr>
        <w:t>Information Systems Research</w:t>
      </w:r>
      <w:r w:rsidRPr="00A428C3">
        <w:t xml:space="preserve">, </w:t>
      </w:r>
      <w:r w:rsidRPr="00A428C3">
        <w:rPr>
          <w:b/>
        </w:rPr>
        <w:t>17</w:t>
      </w:r>
      <w:r w:rsidRPr="00A428C3">
        <w:t xml:space="preserve"> (2), 107-125.</w:t>
      </w:r>
    </w:p>
    <w:p w:rsidR="00B95188" w:rsidRPr="00A428C3" w:rsidRDefault="00B95188" w:rsidP="00B95188">
      <w:pPr>
        <w:pStyle w:val="a0"/>
      </w:pPr>
      <w:r w:rsidRPr="00A428C3">
        <w:t xml:space="preserve">Full Text: </w:t>
      </w:r>
      <w:hyperlink r:id="rId1509" w:history="1">
        <w:r w:rsidRPr="00A428C3">
          <w:rPr>
            <w:rStyle w:val="a5"/>
          </w:rPr>
          <w:t>2006\Inf Sys Res17, 107.pdf</w:t>
        </w:r>
      </w:hyperlink>
    </w:p>
    <w:p w:rsidR="00B95188" w:rsidRPr="00A428C3" w:rsidRDefault="00B95188" w:rsidP="00B95188">
      <w:pPr>
        <w:pStyle w:val="a0"/>
      </w:pPr>
      <w:r w:rsidRPr="00A428C3">
        <w:rPr>
          <w:rStyle w:val="a4"/>
        </w:rPr>
        <w:t>Abstract: This paper reports an analysis of the proportion of faculty publishing articles</w:t>
      </w:r>
      <w:r w:rsidRPr="00A428C3">
        <w:t xml:space="preserve"> in premier business journals (i.e., the ratio of authors of premier business journal articles to total faculty of a discipline) across the disciplines of accounting, finance, management, marketing,</w:t>
      </w:r>
      <w:r w:rsidR="00F81221">
        <w:t xml:space="preserve"> and </w:t>
      </w:r>
      <w:r w:rsidRPr="00A428C3">
        <w:t>information systems (IS) for the years 1994-2003. This analysis revealed that over this period the management discipline had on average the highest proportion of faculty publishing in premier journals (12.7 authors per 100 management faculty), followed by finance (9.4 authors per 100 faculty), marketing (9.2 authors per 100 faculty), IS (5.5 authors per 100 faculty),</w:t>
      </w:r>
      <w:r w:rsidR="00F81221">
        <w:t xml:space="preserve"> and </w:t>
      </w:r>
      <w:r w:rsidRPr="00A428C3">
        <w:t>accounting (4.8 authors per 100 faculty). A further analysis examined these ratios for the different disciplines over time, finding that the ratios of authors to faculty have actually decreased for the disciplines of marketing</w:t>
      </w:r>
      <w:r w:rsidR="00F81221">
        <w:t xml:space="preserve"> and </w:t>
      </w:r>
      <w:r w:rsidRPr="00A428C3">
        <w:t>IS over this time period but have remained stable for the disciplines of accounting, management,</w:t>
      </w:r>
      <w:r w:rsidR="00F81221">
        <w:t xml:space="preserve"> and </w:t>
      </w:r>
      <w:r w:rsidRPr="00A428C3">
        <w:t>finance. Given steady growth in faculty size of all disciplines, the proportion of faculty publishing articles in premier journals in 2003 for all disciplines is lower than their 10-year averages, with IS having the lowest proportion in 2003. A sensitivity analysis reveals that without substantial changes that would allow more IS faculty to publish in the premier journals (e.g., by increasing publication cycles, number of premier outlets;</w:t>
      </w:r>
      <w:r w:rsidR="00F81221">
        <w:t xml:space="preserve"> and </w:t>
      </w:r>
      <w:r w:rsidRPr="00A428C3">
        <w:t>so on), IS will continue to lag far below the average of other disciplines. The implications of these findings for IS researchers, for institutions</w:t>
      </w:r>
      <w:r w:rsidR="00F81221">
        <w:t xml:space="preserve"> and </w:t>
      </w:r>
      <w:r w:rsidRPr="00A428C3">
        <w:t>administrators of IS programs,</w:t>
      </w:r>
      <w:r w:rsidR="00F81221">
        <w:t xml:space="preserve"> and </w:t>
      </w:r>
      <w:r w:rsidRPr="00A428C3">
        <w:t>for the IS academic discipline are examined. Based on these implications, recommendations for the IS discipline are presented.</w:t>
      </w:r>
    </w:p>
    <w:p w:rsidR="00B95188" w:rsidRPr="00A428C3" w:rsidRDefault="00B95188" w:rsidP="00B95188">
      <w:pPr>
        <w:pStyle w:val="a0"/>
      </w:pPr>
      <w:r w:rsidRPr="00A428C3">
        <w:lastRenderedPageBreak/>
        <w:t>Keywords: Academic, Academic Discipline, Academic Promotion, Analysis, Averages, Discipline, Diversity, Empirical-Research, Faculty, Finance, Growth, Inequity, Information, Information-Systems Research, Institutions, Management, Paper, Promotion, Publication, Publishing, Recommendations, Relative Deprivation, Relevance, Research Journals, Research Standards, Scientometrics, Sensitivity, Sensitivity Analysis, Tenure</w:t>
      </w:r>
    </w:p>
    <w:p w:rsidR="00265F76" w:rsidRDefault="00265F76" w:rsidP="00265F76">
      <w:pPr>
        <w:pStyle w:val="a0"/>
        <w:rPr>
          <w:kern w:val="0"/>
        </w:rPr>
      </w:pPr>
      <w:r>
        <w:rPr>
          <w:rFonts w:hint="eastAsia"/>
          <w:kern w:val="0"/>
        </w:rPr>
        <w:t xml:space="preserve">? </w:t>
      </w:r>
      <w:r>
        <w:rPr>
          <w:kern w:val="0"/>
        </w:rPr>
        <w:t>Raghuram, S., Tuertscher, P.</w:t>
      </w:r>
      <w:r w:rsidR="00F81221">
        <w:rPr>
          <w:kern w:val="0"/>
        </w:rPr>
        <w:t xml:space="preserve"> and </w:t>
      </w:r>
      <w:r>
        <w:rPr>
          <w:kern w:val="0"/>
        </w:rPr>
        <w:t xml:space="preserve">Garud, R. (2010), Mapping the field of virtual work: A Cocitation analysis. </w:t>
      </w:r>
      <w:r>
        <w:rPr>
          <w:i/>
          <w:iCs/>
          <w:kern w:val="0"/>
        </w:rPr>
        <w:t>Information Systems Research</w:t>
      </w:r>
      <w:r>
        <w:rPr>
          <w:kern w:val="0"/>
        </w:rPr>
        <w:t xml:space="preserve">, </w:t>
      </w:r>
      <w:r>
        <w:rPr>
          <w:b/>
          <w:bCs/>
          <w:kern w:val="0"/>
        </w:rPr>
        <w:t>21</w:t>
      </w:r>
      <w:r>
        <w:rPr>
          <w:kern w:val="0"/>
        </w:rPr>
        <w:t xml:space="preserve"> (4), 983-999.</w:t>
      </w:r>
    </w:p>
    <w:p w:rsidR="00265F76" w:rsidRPr="001A3D2B" w:rsidRDefault="00265F76" w:rsidP="00265F76">
      <w:pPr>
        <w:pStyle w:val="a0"/>
      </w:pPr>
      <w:r w:rsidRPr="001A3D2B">
        <w:t xml:space="preserve">Full Text: </w:t>
      </w:r>
      <w:hyperlink r:id="rId1510" w:history="1">
        <w:r w:rsidRPr="00265F76">
          <w:rPr>
            <w:rStyle w:val="a5"/>
          </w:rPr>
          <w:t>2010\Inf Sys Res21, 983.pdf</w:t>
        </w:r>
      </w:hyperlink>
    </w:p>
    <w:p w:rsidR="00265F76" w:rsidRDefault="00265F76" w:rsidP="00265F76">
      <w:pPr>
        <w:pStyle w:val="a0"/>
        <w:rPr>
          <w:kern w:val="0"/>
        </w:rPr>
      </w:pPr>
      <w:r>
        <w:rPr>
          <w:kern w:val="0"/>
        </w:rPr>
        <w:t>Abstract: Interest in the area of virtual work continues to increase with articles being written from different disciplinary perspectives-e. g., information systems (IS), management, psychology,</w:t>
      </w:r>
      <w:r w:rsidR="00F81221">
        <w:rPr>
          <w:kern w:val="0"/>
        </w:rPr>
        <w:t xml:space="preserve"> and </w:t>
      </w:r>
      <w:r>
        <w:rPr>
          <w:kern w:val="0"/>
        </w:rPr>
        <w:t>transportation. In this paper, we map research on virtual work to (a) understand the intellectual base from which this field has emerged, (b) explore how this field has evolved over time,</w:t>
      </w:r>
      <w:r w:rsidR="00F81221">
        <w:rPr>
          <w:kern w:val="0"/>
        </w:rPr>
        <w:t xml:space="preserve"> and </w:t>
      </w:r>
      <w:r>
        <w:rPr>
          <w:kern w:val="0"/>
        </w:rPr>
        <w:t>(c) identify clusters of research themes that have emerged over time</w:t>
      </w:r>
      <w:r w:rsidR="00F81221">
        <w:rPr>
          <w:kern w:val="0"/>
        </w:rPr>
        <w:t xml:space="preserve"> and </w:t>
      </w:r>
      <w:r>
        <w:rPr>
          <w:kern w:val="0"/>
        </w:rPr>
        <w:t>the relationships between them. Specifically, we use cocitation analysis of research published in all social science disciplines to map the field at three points in time-1995, 2000,</w:t>
      </w:r>
      <w:r w:rsidR="00F81221">
        <w:rPr>
          <w:kern w:val="0"/>
        </w:rPr>
        <w:t xml:space="preserve"> and </w:t>
      </w:r>
      <w:r>
        <w:rPr>
          <w:kern w:val="0"/>
        </w:rPr>
        <w:t xml:space="preserve">2006. Our results show that the field has grown from 9 research clusters in 1995 to 16 in 2006. A comparison across these maps suggests that research in the cluster of </w:t>
      </w:r>
      <w:r w:rsidR="000352E7">
        <w:rPr>
          <w:kern w:val="0"/>
        </w:rPr>
        <w:t>“</w:t>
      </w:r>
      <w:r>
        <w:rPr>
          <w:kern w:val="0"/>
        </w:rPr>
        <w:t>virtual teams</w:t>
      </w:r>
      <w:r w:rsidR="000352E7">
        <w:rPr>
          <w:kern w:val="0"/>
        </w:rPr>
        <w:t>”</w:t>
      </w:r>
      <w:r>
        <w:rPr>
          <w:kern w:val="0"/>
        </w:rPr>
        <w:t xml:space="preserve"> has gained significance even as research in some earlier clusters such as </w:t>
      </w:r>
      <w:r w:rsidR="000352E7">
        <w:rPr>
          <w:kern w:val="0"/>
        </w:rPr>
        <w:t>“</w:t>
      </w:r>
      <w:r>
        <w:rPr>
          <w:kern w:val="0"/>
        </w:rPr>
        <w:t>urban planning</w:t>
      </w:r>
      <w:r w:rsidR="00F81221">
        <w:rPr>
          <w:kern w:val="0"/>
        </w:rPr>
        <w:t xml:space="preserve"> and </w:t>
      </w:r>
      <w:r>
        <w:rPr>
          <w:kern w:val="0"/>
        </w:rPr>
        <w:t>transportation</w:t>
      </w:r>
      <w:r w:rsidR="000352E7">
        <w:rPr>
          <w:kern w:val="0"/>
        </w:rPr>
        <w:t>”</w:t>
      </w:r>
      <w:r>
        <w:rPr>
          <w:kern w:val="0"/>
        </w:rPr>
        <w:t xml:space="preserve"> has lost ground. Our longitudinal analysis identifies relevant concepts, theories,</w:t>
      </w:r>
      <w:r w:rsidR="00F81221">
        <w:rPr>
          <w:kern w:val="0"/>
        </w:rPr>
        <w:t xml:space="preserve"> and </w:t>
      </w:r>
      <w:r>
        <w:rPr>
          <w:kern w:val="0"/>
        </w:rPr>
        <w:t>methodologies that have emerged in the field of virtual work. This analysis can help interested researchers identify how they may want to contribute to the field of virtual work-by adding to popular clusters, by enriching emerging smaller clusters, or by acting as bridges across clusters.</w:t>
      </w:r>
    </w:p>
    <w:p w:rsidR="00265F76" w:rsidRDefault="00265F76" w:rsidP="00265F76">
      <w:pPr>
        <w:pStyle w:val="a0"/>
        <w:rPr>
          <w:kern w:val="0"/>
        </w:rPr>
      </w:pPr>
      <w:r>
        <w:rPr>
          <w:kern w:val="0"/>
        </w:rPr>
        <w:t>Keywords: Analysis, At-Home, Bibliometric Analysis, Cluster, Cocitation, Collaboration, Communication, Comparison, Context, Electronic Mail, Field, Identification, Information, Information Systems, IS, Longitudinal, Longitudinal Analysis, Management, Methodologies, Organization, Patterns, Planning, Psychology, Research, Science, Scientific Literature, Significance, Social, Systems, Teams, Transportation, Virtual Teams, Virtual Work, Work</w:t>
      </w:r>
    </w:p>
    <w:p w:rsidR="00B95188" w:rsidRPr="00A428C3" w:rsidRDefault="00B95188" w:rsidP="00B95188">
      <w:pPr>
        <w:pStyle w:val="1"/>
      </w:pPr>
      <w:r w:rsidRPr="00586CD8">
        <w:br w:type="page"/>
      </w:r>
      <w:bookmarkStart w:id="1051" w:name="_Toc186647872"/>
      <w:bookmarkStart w:id="1052" w:name="_Toc317161182"/>
      <w:r w:rsidRPr="00A428C3">
        <w:lastRenderedPageBreak/>
        <w:t>Title: Information Technology</w:t>
      </w:r>
      <w:r w:rsidR="00F81221">
        <w:t xml:space="preserve"> and </w:t>
      </w:r>
      <w:r w:rsidRPr="00A428C3">
        <w:t>Libraries</w:t>
      </w:r>
      <w:bookmarkEnd w:id="1051"/>
      <w:bookmarkEnd w:id="1052"/>
    </w:p>
    <w:p w:rsidR="00B95188" w:rsidRPr="00A428C3" w:rsidRDefault="00B95188" w:rsidP="00B72EF9">
      <w:pPr>
        <w:pStyle w:val="12"/>
      </w:pPr>
      <w:r w:rsidRPr="00A428C3">
        <w:t xml:space="preserve">Full Journal Title: </w:t>
      </w:r>
      <w:hyperlink r:id="rId1511" w:history="1">
        <w:r w:rsidRPr="00A428C3">
          <w:rPr>
            <w:rStyle w:val="a5"/>
          </w:rPr>
          <w:t>Information Technology</w:t>
        </w:r>
        <w:r w:rsidR="00F81221">
          <w:rPr>
            <w:rStyle w:val="a5"/>
          </w:rPr>
          <w:t xml:space="preserve"> and </w:t>
        </w:r>
        <w:r w:rsidRPr="00A428C3">
          <w:rPr>
            <w:rStyle w:val="a5"/>
          </w:rPr>
          <w:t>Libraries</w:t>
        </w:r>
      </w:hyperlink>
    </w:p>
    <w:p w:rsidR="00B95188" w:rsidRPr="00A428C3" w:rsidRDefault="00B95188" w:rsidP="00B72EF9">
      <w:pPr>
        <w:pStyle w:val="12"/>
      </w:pPr>
      <w:r w:rsidRPr="00A428C3">
        <w:t>ISO Abbreviated Title: Inf. Technol. Libr.</w:t>
      </w:r>
    </w:p>
    <w:p w:rsidR="00B95188" w:rsidRPr="00A428C3" w:rsidRDefault="00B95188" w:rsidP="00B72EF9">
      <w:pPr>
        <w:pStyle w:val="12"/>
      </w:pPr>
      <w:r w:rsidRPr="00A428C3">
        <w:t>JCR Abbreviated Title: Inform Technol Libr</w:t>
      </w:r>
    </w:p>
    <w:p w:rsidR="00B95188" w:rsidRPr="00A428C3" w:rsidRDefault="00B95188" w:rsidP="00B72EF9">
      <w:pPr>
        <w:pStyle w:val="12"/>
      </w:pPr>
      <w:r w:rsidRPr="00A428C3">
        <w:t>ISSN: 0730-9295</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Amer Library Assoc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50 E Huron St</w:t>
          </w:r>
        </w:smartTag>
        <w:r w:rsidRPr="00A428C3">
          <w:t xml:space="preserve">, </w:t>
        </w:r>
        <w:smartTag w:uri="urn:schemas-microsoft-com:office:smarttags" w:element="City">
          <w:r w:rsidRPr="00A428C3">
            <w:t>Chicago</w:t>
          </w:r>
        </w:smartTag>
        <w:r w:rsidRPr="00A428C3">
          <w:t xml:space="preserve">, </w:t>
        </w:r>
        <w:smartTag w:uri="urn:schemas-microsoft-com:office:smarttags" w:element="State">
          <w:r w:rsidRPr="00A428C3">
            <w:t>IL</w:t>
          </w:r>
        </w:smartTag>
        <w:r w:rsidRPr="00A428C3">
          <w:t xml:space="preserve"> </w:t>
        </w:r>
        <w:smartTag w:uri="urn:schemas-microsoft-com:office:smarttags" w:element="PostalCode">
          <w:r w:rsidRPr="00A428C3">
            <w:t>60611</w:t>
          </w:r>
        </w:smartTag>
      </w:smartTag>
    </w:p>
    <w:p w:rsidR="00B95188" w:rsidRPr="00A428C3" w:rsidRDefault="00B95188" w:rsidP="00B72EF9">
      <w:pPr>
        <w:pStyle w:val="12"/>
      </w:pPr>
      <w:r w:rsidRPr="00A428C3">
        <w:t>Subject Categories:</w:t>
      </w:r>
    </w:p>
    <w:p w:rsidR="00B95188" w:rsidRPr="00845E52" w:rsidRDefault="00B95188" w:rsidP="00B72EF9">
      <w:pPr>
        <w:pStyle w:val="12"/>
      </w:pPr>
      <w:r w:rsidRPr="00845E52">
        <w:t>Information Science &amp; Library Science: Impact Factor 0.200, 45/55 (2003) SSCI</w:t>
      </w:r>
    </w:p>
    <w:p w:rsidR="00845E52" w:rsidRDefault="00845E52" w:rsidP="00845E52">
      <w:pPr>
        <w:pStyle w:val="a0"/>
        <w:rPr>
          <w:kern w:val="0"/>
          <w:szCs w:val="24"/>
        </w:rPr>
      </w:pPr>
      <w:r>
        <w:rPr>
          <w:rFonts w:hint="eastAsia"/>
          <w:kern w:val="0"/>
          <w:szCs w:val="24"/>
        </w:rPr>
        <w:t xml:space="preserve">? </w:t>
      </w:r>
      <w:r>
        <w:rPr>
          <w:kern w:val="0"/>
          <w:szCs w:val="24"/>
        </w:rPr>
        <w:t>Lipetz, B.A. (1989), Informetrics 87/88 - Select Proceedings of the 1St International-Conference on Bibliometrics</w:t>
      </w:r>
      <w:r w:rsidR="00F81221">
        <w:rPr>
          <w:kern w:val="0"/>
          <w:szCs w:val="24"/>
        </w:rPr>
        <w:t xml:space="preserve"> and </w:t>
      </w:r>
      <w:r>
        <w:rPr>
          <w:kern w:val="0"/>
          <w:szCs w:val="24"/>
        </w:rPr>
        <w:t>the Theoretical Aspects of Information-Retrieval, Diepenbeek, Belgium, 25-28 August 1987 - Egghe,</w:t>
      </w:r>
      <w:r>
        <w:rPr>
          <w:rFonts w:hint="eastAsia"/>
          <w:kern w:val="0"/>
          <w:szCs w:val="24"/>
        </w:rPr>
        <w:t xml:space="preserve"> </w:t>
      </w:r>
      <w:r>
        <w:rPr>
          <w:kern w:val="0"/>
          <w:szCs w:val="24"/>
        </w:rPr>
        <w:t>L, Rousseau,</w:t>
      </w:r>
      <w:r>
        <w:rPr>
          <w:rFonts w:hint="eastAsia"/>
          <w:kern w:val="0"/>
          <w:szCs w:val="24"/>
        </w:rPr>
        <w:t xml:space="preserve"> </w:t>
      </w:r>
      <w:r>
        <w:rPr>
          <w:kern w:val="0"/>
          <w:szCs w:val="24"/>
        </w:rPr>
        <w:t xml:space="preserve">R. </w:t>
      </w:r>
      <w:r>
        <w:rPr>
          <w:i/>
          <w:iCs/>
          <w:kern w:val="0"/>
          <w:szCs w:val="24"/>
        </w:rPr>
        <w:t>Information Technology</w:t>
      </w:r>
      <w:r w:rsidR="00F81221">
        <w:rPr>
          <w:i/>
          <w:iCs/>
          <w:kern w:val="0"/>
          <w:szCs w:val="24"/>
        </w:rPr>
        <w:t xml:space="preserve"> and </w:t>
      </w:r>
      <w:r>
        <w:rPr>
          <w:i/>
          <w:iCs/>
          <w:kern w:val="0"/>
          <w:szCs w:val="24"/>
        </w:rPr>
        <w:t>Libraries</w:t>
      </w:r>
      <w:r>
        <w:rPr>
          <w:kern w:val="0"/>
          <w:szCs w:val="24"/>
        </w:rPr>
        <w:t xml:space="preserve">, </w:t>
      </w:r>
      <w:r>
        <w:rPr>
          <w:b/>
          <w:bCs/>
          <w:kern w:val="0"/>
          <w:szCs w:val="24"/>
        </w:rPr>
        <w:t>8</w:t>
      </w:r>
      <w:r>
        <w:rPr>
          <w:kern w:val="0"/>
          <w:szCs w:val="24"/>
        </w:rPr>
        <w:t xml:space="preserve"> (4), 453-454</w:t>
      </w:r>
    </w:p>
    <w:p w:rsidR="00845E52" w:rsidRDefault="00845E52" w:rsidP="00845E52">
      <w:pPr>
        <w:pStyle w:val="a0"/>
        <w:rPr>
          <w:kern w:val="0"/>
          <w:szCs w:val="24"/>
        </w:rPr>
      </w:pPr>
      <w:r>
        <w:rPr>
          <w:kern w:val="0"/>
          <w:szCs w:val="24"/>
        </w:rPr>
        <w:t>Keywords: Bibliometrics</w:t>
      </w:r>
    </w:p>
    <w:p w:rsidR="00B95188" w:rsidRPr="00A428C3" w:rsidRDefault="00B95188" w:rsidP="00B95188">
      <w:pPr>
        <w:pStyle w:val="a0"/>
      </w:pPr>
      <w:r w:rsidRPr="00A428C3">
        <w:t>Nicholson, S. (2003), The bibliomining process: Data warehousing</w:t>
      </w:r>
      <w:r w:rsidR="00F81221">
        <w:t xml:space="preserve"> and </w:t>
      </w:r>
      <w:r w:rsidRPr="00A428C3">
        <w:t xml:space="preserve">data mining for library decision making. </w:t>
      </w:r>
      <w:r w:rsidRPr="00A428C3">
        <w:rPr>
          <w:i/>
          <w:iCs/>
        </w:rPr>
        <w:t>Information Technology</w:t>
      </w:r>
      <w:r w:rsidR="00F81221">
        <w:rPr>
          <w:i/>
          <w:iCs/>
        </w:rPr>
        <w:t xml:space="preserve"> and </w:t>
      </w:r>
      <w:r w:rsidRPr="00A428C3">
        <w:rPr>
          <w:i/>
          <w:iCs/>
        </w:rPr>
        <w:t>Libraries</w:t>
      </w:r>
      <w:r w:rsidRPr="00A428C3">
        <w:t xml:space="preserve">, </w:t>
      </w:r>
      <w:r w:rsidRPr="00A428C3">
        <w:rPr>
          <w:b/>
        </w:rPr>
        <w:t>22</w:t>
      </w:r>
      <w:r w:rsidRPr="00A428C3">
        <w:t xml:space="preserve"> (4), 146-151.</w:t>
      </w:r>
    </w:p>
    <w:p w:rsidR="00B95188" w:rsidRPr="00A428C3" w:rsidRDefault="00B95188" w:rsidP="00B95188">
      <w:pPr>
        <w:pStyle w:val="a0"/>
      </w:pPr>
      <w:r w:rsidRPr="00A428C3">
        <w:t xml:space="preserve">Full Text: </w:t>
      </w:r>
      <w:hyperlink r:id="rId1512" w:history="1">
        <w:r w:rsidRPr="00A428C3">
          <w:rPr>
            <w:rStyle w:val="a5"/>
          </w:rPr>
          <w:t>I\Inf Tec Lib22, 146.pdf</w:t>
        </w:r>
      </w:hyperlink>
    </w:p>
    <w:p w:rsidR="00B95188" w:rsidRPr="00A428C3" w:rsidRDefault="00B95188" w:rsidP="00B95188">
      <w:pPr>
        <w:pStyle w:val="a0"/>
      </w:pPr>
      <w:r w:rsidRPr="00A428C3">
        <w:t>Abstract: Bibliomining, or data mining for libraries, is the application of data mining</w:t>
      </w:r>
      <w:r w:rsidR="00F81221">
        <w:t xml:space="preserve"> and </w:t>
      </w:r>
      <w:r w:rsidRPr="00A428C3">
        <w:t>bibliometric tools to data produced from library services. This article outlines the bibliomining process with emphasis on data warehousing issues. Methods for cleaning</w:t>
      </w:r>
      <w:r w:rsidR="00F81221">
        <w:t xml:space="preserve"> and </w:t>
      </w:r>
      <w:r w:rsidRPr="00A428C3">
        <w:t>anonymizing library data are presented with examples.</w:t>
      </w:r>
    </w:p>
    <w:p w:rsidR="00B95188" w:rsidRPr="00A428C3" w:rsidRDefault="00B95188" w:rsidP="00B95188">
      <w:pPr>
        <w:pStyle w:val="a0"/>
      </w:pPr>
      <w:r w:rsidRPr="00A428C3">
        <w:t xml:space="preserve">? Wormell, </w:t>
      </w:r>
      <w:smartTag w:uri="urn:schemas-microsoft-com:office:smarttags" w:element="place">
        <w:r w:rsidRPr="00A428C3">
          <w:t>I.</w:t>
        </w:r>
      </w:smartTag>
      <w:r w:rsidRPr="00A428C3">
        <w:t xml:space="preserve"> (2003), Matching subject portals with the research environment. </w:t>
      </w:r>
      <w:r w:rsidRPr="00A428C3">
        <w:rPr>
          <w:i/>
          <w:iCs/>
        </w:rPr>
        <w:t>Information Technology</w:t>
      </w:r>
      <w:r w:rsidR="00F81221">
        <w:rPr>
          <w:i/>
          <w:iCs/>
        </w:rPr>
        <w:t xml:space="preserve"> and </w:t>
      </w:r>
      <w:r w:rsidRPr="00A428C3">
        <w:rPr>
          <w:i/>
          <w:iCs/>
        </w:rPr>
        <w:t>Libraries</w:t>
      </w:r>
      <w:r w:rsidRPr="00A428C3">
        <w:t xml:space="preserve">, </w:t>
      </w:r>
      <w:r w:rsidRPr="00A428C3">
        <w:rPr>
          <w:b/>
        </w:rPr>
        <w:t>22</w:t>
      </w:r>
      <w:r w:rsidRPr="00A428C3">
        <w:t xml:space="preserve"> (4), 158-164.</w:t>
      </w:r>
    </w:p>
    <w:p w:rsidR="00B95188" w:rsidRPr="00A428C3" w:rsidRDefault="00B95188" w:rsidP="00B95188">
      <w:pPr>
        <w:pStyle w:val="a0"/>
      </w:pPr>
      <w:r w:rsidRPr="00A428C3">
        <w:t xml:space="preserve">Full Text: </w:t>
      </w:r>
      <w:hyperlink r:id="rId1513" w:history="1">
        <w:r w:rsidRPr="00A428C3">
          <w:rPr>
            <w:rStyle w:val="a5"/>
          </w:rPr>
          <w:t>2003\Inf Tec Lib22, 158.pdf</w:t>
        </w:r>
      </w:hyperlink>
    </w:p>
    <w:p w:rsidR="00B95188" w:rsidRPr="00A428C3" w:rsidRDefault="00B95188" w:rsidP="00B95188">
      <w:pPr>
        <w:pStyle w:val="a0"/>
      </w:pPr>
      <w:r w:rsidRPr="00A428C3">
        <w:t>Abstract: This article presents methods for testing the usefulness of bibliometric methods for the evaluation of information resources located at subject portals. Two subject portals for social sciences have been selected as objects for the study: Sam Webb at Gothenburg University Library in Sweden</w:t>
      </w:r>
      <w:r w:rsidR="00F81221">
        <w:t xml:space="preserve"> and </w:t>
      </w:r>
      <w:r w:rsidRPr="00A428C3">
        <w:t xml:space="preserve">Bisigate at the Aarhus Business School Library, </w:t>
      </w:r>
      <w:smartTag w:uri="urn:schemas-microsoft-com:office:smarttags" w:element="place">
        <w:smartTag w:uri="urn:schemas-microsoft-com:office:smarttags" w:element="country-region">
          <w:r w:rsidRPr="00A428C3">
            <w:t>Denmark</w:t>
          </w:r>
        </w:smartTag>
      </w:smartTag>
      <w:r w:rsidRPr="00A428C3">
        <w:t>. To show how to capture the local users</w:t>
      </w:r>
      <w:r w:rsidR="000352E7">
        <w:t>’</w:t>
      </w:r>
      <w:r w:rsidRPr="00A428C3">
        <w:t xml:space="preserve"> views</w:t>
      </w:r>
      <w:r w:rsidR="00F81221">
        <w:t xml:space="preserve"> and </w:t>
      </w:r>
      <w:r w:rsidRPr="00A428C3">
        <w:t xml:space="preserve">requirements in the development of portals, this article explores the results of the analyses targeting one of the selected institutions, </w:t>
      </w:r>
      <w:smartTag w:uri="urn:schemas-microsoft-com:office:smarttags" w:element="PlaceName">
        <w:r w:rsidRPr="00A428C3">
          <w:t>Gothenburg</w:t>
        </w:r>
      </w:smartTag>
      <w:r w:rsidRPr="00A428C3">
        <w:t xml:space="preserve"> University</w:t>
      </w:r>
      <w:r w:rsidR="000352E7">
        <w:t>’</w:t>
      </w:r>
      <w:r w:rsidRPr="00A428C3">
        <w:t>s Department of Political Sciences. The study produced various types of lists as well as maps for monitoring the research</w:t>
      </w:r>
      <w:r w:rsidR="00F81221">
        <w:t xml:space="preserve"> and </w:t>
      </w:r>
      <w:r w:rsidRPr="00A428C3">
        <w:t>publication pattern of the department. These reports allow exploration</w:t>
      </w:r>
      <w:r w:rsidR="00F81221">
        <w:t xml:space="preserve"> and </w:t>
      </w:r>
      <w:r w:rsidRPr="00A428C3">
        <w:t xml:space="preserve">visualization of the research results of the institution in </w:t>
      </w:r>
      <w:r w:rsidRPr="00A428C3">
        <w:lastRenderedPageBreak/>
        <w:t>a form that is easy to read</w:t>
      </w:r>
      <w:r w:rsidR="00F81221">
        <w:t xml:space="preserve"> and </w:t>
      </w:r>
      <w:r w:rsidRPr="00A428C3">
        <w:t>understand for portal users. The content of the lists</w:t>
      </w:r>
      <w:r w:rsidR="00F81221">
        <w:t xml:space="preserve"> and </w:t>
      </w:r>
      <w:r w:rsidRPr="00A428C3">
        <w:t>maps was designed to provide information about which journals are relevant for the ongoing research activities in the department,</w:t>
      </w:r>
      <w:r w:rsidR="00F81221">
        <w:t xml:space="preserve"> and </w:t>
      </w:r>
      <w:r w:rsidRPr="00A428C3">
        <w:t>to identify useful links to professional institutions, organizations, persons, most cited publications,</w:t>
      </w:r>
      <w:r w:rsidR="00F81221">
        <w:t xml:space="preserve"> and </w:t>
      </w:r>
      <w:r w:rsidRPr="00A428C3">
        <w:t>authors. The study gathered quantitative data to measure how well the information resources of the portals match the research profile of the institutions.</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Garfield</w:t>
          </w:r>
        </w:smartTag>
      </w:smartTag>
      <w:r w:rsidRPr="00A428C3">
        <w:t>, E., Pudovkin, A.I.</w:t>
      </w:r>
      <w:r w:rsidR="00F81221">
        <w:t xml:space="preserve"> and </w:t>
      </w:r>
      <w:r w:rsidRPr="00A428C3">
        <w:t>Istomin, V.S. (2003), Mapping the output of topical searches in the Web of Knowledge</w:t>
      </w:r>
      <w:r w:rsidR="00F81221">
        <w:t xml:space="preserve"> and </w:t>
      </w:r>
      <w:r w:rsidRPr="00A428C3">
        <w:t xml:space="preserve">the case of Watson-Crick. </w:t>
      </w:r>
      <w:r w:rsidRPr="00A428C3">
        <w:rPr>
          <w:i/>
          <w:iCs/>
        </w:rPr>
        <w:t>Information Technology</w:t>
      </w:r>
      <w:r w:rsidR="00F81221">
        <w:rPr>
          <w:i/>
          <w:iCs/>
        </w:rPr>
        <w:t xml:space="preserve"> and </w:t>
      </w:r>
      <w:r w:rsidRPr="00A428C3">
        <w:rPr>
          <w:i/>
          <w:iCs/>
        </w:rPr>
        <w:t>Libraries</w:t>
      </w:r>
      <w:r w:rsidRPr="00A428C3">
        <w:t xml:space="preserve">, </w:t>
      </w:r>
      <w:r w:rsidRPr="00A428C3">
        <w:rPr>
          <w:b/>
        </w:rPr>
        <w:t>22</w:t>
      </w:r>
      <w:r w:rsidRPr="00A428C3">
        <w:t xml:space="preserve"> (4), 183-187.</w:t>
      </w:r>
    </w:p>
    <w:p w:rsidR="00B95188" w:rsidRPr="00A428C3" w:rsidRDefault="00B95188" w:rsidP="00B95188">
      <w:pPr>
        <w:pStyle w:val="a0"/>
      </w:pPr>
      <w:r w:rsidRPr="00A428C3">
        <w:t xml:space="preserve">Full Text: </w:t>
      </w:r>
      <w:hyperlink r:id="rId1514" w:history="1">
        <w:r w:rsidRPr="00A428C3">
          <w:rPr>
            <w:rStyle w:val="a5"/>
          </w:rPr>
          <w:t>2003\Inf Tec Lib22, 183.pdf</w:t>
        </w:r>
      </w:hyperlink>
    </w:p>
    <w:p w:rsidR="00B95188" w:rsidRPr="00A428C3" w:rsidRDefault="00B95188" w:rsidP="00B95188">
      <w:pPr>
        <w:pStyle w:val="a0"/>
      </w:pPr>
      <w:r w:rsidRPr="00A428C3">
        <w:t>Abstract: HistCite(TM) is a system that generates chronological maps of subject (topical) collections resulting from searches of the Institute for Scientific Information Web of Science (WoS) or Science Citation Index, Social Sciences Citation Index,</w:t>
      </w:r>
      <w:r w:rsidR="00F81221">
        <w:t xml:space="preserve"> and </w:t>
      </w:r>
      <w:r w:rsidRPr="00A428C3">
        <w:t>Arts</w:t>
      </w:r>
      <w:r w:rsidR="00F81221">
        <w:t xml:space="preserve"> and </w:t>
      </w:r>
      <w:r w:rsidRPr="00A428C3">
        <w:t>Humanities Citation Index on CD-ROM. WoS export files are created in which all cited references for source documents are captured. These bibliographic collections are processed by HistCite, which generates chronological tables as well as historiographs that highlight the most-cited works in</w:t>
      </w:r>
      <w:r w:rsidR="00F81221">
        <w:t xml:space="preserve"> and </w:t>
      </w:r>
      <w:r w:rsidRPr="00A428C3">
        <w:t>outside the collection. Articles citing the 1953 primordial Watson-Crick paper on the structure of DNA will be used as a demonstration. Real-time dynamic genealogical historiographs will be shown. HistCite also includes a module for detecting</w:t>
      </w:r>
      <w:r w:rsidR="00F81221">
        <w:t xml:space="preserve"> and </w:t>
      </w:r>
      <w:r w:rsidRPr="00A428C3">
        <w:t>editing errors or variations in cited references. Export Files of five thousand or more records are processed in minutes on a PC. Ideally the system will be used to help the searcher quickly identify the most significant work on a topic</w:t>
      </w:r>
      <w:r w:rsidR="00F81221">
        <w:t xml:space="preserve"> and </w:t>
      </w:r>
      <w:r w:rsidRPr="00A428C3">
        <w:t>enable the searcher to trace its year-by-year historical development.</w:t>
      </w:r>
    </w:p>
    <w:p w:rsidR="00B95188" w:rsidRPr="00A428C3" w:rsidRDefault="00B95188" w:rsidP="00B95188">
      <w:pPr>
        <w:pStyle w:val="a0"/>
      </w:pPr>
      <w:r w:rsidRPr="00A428C3">
        <w:t>Keywords: Science</w:t>
      </w:r>
    </w:p>
    <w:p w:rsidR="00B95188" w:rsidRPr="00A428C3" w:rsidRDefault="00B95188" w:rsidP="00B95188">
      <w:pPr>
        <w:pStyle w:val="1"/>
      </w:pPr>
      <w:r w:rsidRPr="00586CD8">
        <w:br w:type="page"/>
      </w:r>
      <w:bookmarkStart w:id="1053" w:name="_Toc186647873"/>
      <w:bookmarkStart w:id="1054" w:name="_Toc317161183"/>
      <w:r w:rsidRPr="00A428C3">
        <w:lastRenderedPageBreak/>
        <w:t>Title: Ingenieria Quimica</w:t>
      </w:r>
      <w:bookmarkEnd w:id="1053"/>
      <w:bookmarkEnd w:id="1054"/>
    </w:p>
    <w:p w:rsidR="00B95188" w:rsidRPr="00A428C3" w:rsidRDefault="00B95188" w:rsidP="00B72EF9">
      <w:pPr>
        <w:pStyle w:val="12"/>
      </w:pPr>
      <w:r w:rsidRPr="00A428C3">
        <w:t>Full Journal Title: Ingenieria Quimica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Aspirot, R., Ohanian, M., Hermida, S.</w:t>
      </w:r>
      <w:r w:rsidR="00F81221">
        <w:t xml:space="preserve"> and </w:t>
      </w:r>
      <w:r w:rsidRPr="00A428C3">
        <w:t xml:space="preserve">Bussi, J. (2000), Preparation of adsorbents material from agricultural byproducts. </w:t>
      </w:r>
      <w:r w:rsidRPr="00A428C3">
        <w:rPr>
          <w:i/>
          <w:iCs/>
        </w:rPr>
        <w:t>Ingenieria Quimica</w:t>
      </w:r>
      <w:r w:rsidR="00F7093F">
        <w:t xml:space="preserve">, </w:t>
      </w:r>
      <w:r w:rsidR="00F7093F" w:rsidRPr="00F7093F">
        <w:rPr>
          <w:b/>
        </w:rPr>
        <w:t>17</w:t>
      </w:r>
      <w:r w:rsidRPr="00A428C3">
        <w:t>, 38-44.</w:t>
      </w:r>
    </w:p>
    <w:p w:rsidR="00B95188" w:rsidRPr="00A428C3" w:rsidRDefault="00B95188" w:rsidP="00B95188">
      <w:pPr>
        <w:pStyle w:val="a0"/>
      </w:pPr>
      <w:r w:rsidRPr="00A428C3">
        <w:t>Abstract: Rice husk</w:t>
      </w:r>
      <w:r w:rsidR="00F81221">
        <w:t xml:space="preserve"> and </w:t>
      </w:r>
      <w:r w:rsidRPr="00A428C3">
        <w:t>wood sawdust display adsorbent properties permitting them to retain metalic ions on its surface. Their adsorbent capacity can be modified</w:t>
      </w:r>
      <w:r w:rsidR="00F81221">
        <w:t xml:space="preserve"> and </w:t>
      </w:r>
      <w:r w:rsidRPr="00A428C3">
        <w:t>in some cases improved by simple pretreatment operations. Pretreatment with hot diluted sodium hydroxide leads to the best behavior Copper ions adsorption both on rice husk</w:t>
      </w:r>
      <w:r w:rsidR="00F81221">
        <w:t xml:space="preserve"> and </w:t>
      </w:r>
      <w:r w:rsidRPr="00A428C3">
        <w:t>sawdust fits a Langmuir adsorption model. Chromium adsorption depends markedly on pH of the solution. The separation of small amounts of metals in aqueous solution by using these solids can take place with efficiencies higher than 90%</w:t>
      </w:r>
    </w:p>
    <w:p w:rsidR="00B95188" w:rsidRPr="00A428C3" w:rsidRDefault="00B95188" w:rsidP="00B95188">
      <w:pPr>
        <w:pStyle w:val="a0"/>
      </w:pPr>
      <w:r w:rsidRPr="00A428C3">
        <w:t>Keywords: Adsorbent, Adsorbents, Adsorption, Removal, Sawdust, Sorption, Wood</w:t>
      </w:r>
    </w:p>
    <w:p w:rsidR="00B95188" w:rsidRPr="00A428C3" w:rsidRDefault="00B95188" w:rsidP="00B95188">
      <w:pPr>
        <w:pStyle w:val="a0"/>
      </w:pPr>
      <w:r w:rsidRPr="00A428C3">
        <w:t>? Carmona, M.E.R., Da Silva, M.A.P.</w:t>
      </w:r>
      <w:r w:rsidR="00F81221">
        <w:t xml:space="preserve"> and </w:t>
      </w:r>
      <w:r w:rsidRPr="00A428C3">
        <w:t>Leite, S.G.F. (2000), Bloadsorption of Cr</w:t>
      </w:r>
      <w:r w:rsidRPr="00A428C3">
        <w:rPr>
          <w:vertAlign w:val="superscript"/>
        </w:rPr>
        <w:t>3+</w:t>
      </w:r>
      <w:r w:rsidR="00F81221">
        <w:t xml:space="preserve"> and </w:t>
      </w:r>
      <w:r w:rsidRPr="00A428C3">
        <w:t>Cr</w:t>
      </w:r>
      <w:r w:rsidRPr="00A428C3">
        <w:rPr>
          <w:vertAlign w:val="superscript"/>
        </w:rPr>
        <w:t>6+</w:t>
      </w:r>
      <w:r w:rsidRPr="00A428C3">
        <w:t xml:space="preserve"> using residual yeast from beer breweries. </w:t>
      </w:r>
      <w:r w:rsidRPr="00A428C3">
        <w:rPr>
          <w:i/>
          <w:iCs/>
        </w:rPr>
        <w:t>Ingenieria Quimica</w:t>
      </w:r>
      <w:r w:rsidR="00F7093F">
        <w:t xml:space="preserve">, </w:t>
      </w:r>
      <w:r w:rsidRPr="00F7093F">
        <w:rPr>
          <w:b/>
        </w:rPr>
        <w:t>24</w:t>
      </w:r>
      <w:r w:rsidRPr="00A428C3">
        <w:t>, 53-65.</w:t>
      </w:r>
    </w:p>
    <w:p w:rsidR="00B95188" w:rsidRPr="00A428C3" w:rsidRDefault="00B95188" w:rsidP="00B95188">
      <w:pPr>
        <w:pStyle w:val="a0"/>
      </w:pPr>
      <w:r w:rsidRPr="00A428C3">
        <w:t>Abstract: The sorption of Cr</w:t>
      </w:r>
      <w:r w:rsidRPr="00A428C3">
        <w:rPr>
          <w:vertAlign w:val="superscript"/>
        </w:rPr>
        <w:t>3+</w:t>
      </w:r>
      <w:r w:rsidR="00F81221">
        <w:t xml:space="preserve"> and </w:t>
      </w:r>
      <w:r w:rsidRPr="00A428C3">
        <w:t>Cr</w:t>
      </w:r>
      <w:r w:rsidRPr="00A428C3">
        <w:rPr>
          <w:vertAlign w:val="superscript"/>
        </w:rPr>
        <w:t>6+</w:t>
      </w:r>
      <w:r w:rsidRPr="00A428C3">
        <w:t xml:space="preserve"> on residual </w:t>
      </w:r>
      <w:r w:rsidRPr="00A428C3">
        <w:rPr>
          <w:i/>
          <w:iCs/>
        </w:rPr>
        <w:t>Saccharomyces cerevisiae</w:t>
      </w:r>
      <w:r w:rsidRPr="00A428C3">
        <w:t xml:space="preserve"> yeas from the beer industry, was studied in relation to pH, metallic concentration in the sorption solution, bioadsorbent concentration</w:t>
      </w:r>
      <w:r w:rsidR="00F81221">
        <w:t xml:space="preserve"> and </w:t>
      </w:r>
      <w:r w:rsidRPr="00A428C3">
        <w:t>adsorption time.</w:t>
      </w:r>
    </w:p>
    <w:p w:rsidR="00B95188" w:rsidRPr="00A428C3" w:rsidRDefault="00B95188" w:rsidP="00B95188">
      <w:pPr>
        <w:pStyle w:val="a0"/>
      </w:pPr>
      <w:r w:rsidRPr="00A428C3">
        <w:t>The optimum time of the process was found by determining the bioadsorption kinetic, where it was found that the appropriate time for the biosorption runs was 12 hours.</w:t>
      </w:r>
    </w:p>
    <w:p w:rsidR="00B95188" w:rsidRPr="00A428C3" w:rsidRDefault="00B95188" w:rsidP="00B95188">
      <w:pPr>
        <w:pStyle w:val="a0"/>
      </w:pPr>
      <w:r w:rsidRPr="00A428C3">
        <w:t>Using experimental design of the surface response with rotatable, orthogonal star type, the effect of each one of the variables</w:t>
      </w:r>
      <w:r w:rsidR="00F81221">
        <w:t xml:space="preserve"> and </w:t>
      </w:r>
      <w:r w:rsidRPr="00A428C3">
        <w:t>their interactions was evaluated, it was determined that the pH had the most influence, followed by the concentration of the metal. The concentration of the biosorbent did not affect the process substantially. Experimental design was used to optimize the bioadsorption process related to the previously mentioned variables, a maximum value of 35% Cr</w:t>
      </w:r>
      <w:r w:rsidRPr="00A428C3">
        <w:rPr>
          <w:vertAlign w:val="superscript"/>
        </w:rPr>
        <w:t>3+</w:t>
      </w:r>
      <w:r w:rsidRPr="00A428C3">
        <w:t xml:space="preserve"> y 39% Cr</w:t>
      </w:r>
      <w:r w:rsidRPr="00A428C3">
        <w:rPr>
          <w:vertAlign w:val="superscript"/>
        </w:rPr>
        <w:t>6+</w:t>
      </w:r>
      <w:r w:rsidRPr="00A428C3">
        <w:t xml:space="preserve"> remotion in the following conditions: pH (4.34, 1.66), </w:t>
      </w:r>
      <w:smartTag w:uri="urn:schemas-microsoft-com:office:smarttags" w:element="chmetcnv">
        <w:smartTagPr>
          <w:attr w:name="TCSC" w:val="0"/>
          <w:attr w:name="NumberType" w:val="1"/>
          <w:attr w:name="Negative" w:val="False"/>
          <w:attr w:name="HasSpace" w:val="True"/>
          <w:attr w:name="SourceValue" w:val="5.68"/>
          <w:attr w:name="UnitName" w:val="g"/>
        </w:smartTagPr>
        <w:r w:rsidRPr="00A428C3">
          <w:t>5.68 g</w:t>
        </w:r>
      </w:smartTag>
      <w:r w:rsidRPr="00A428C3">
        <w:t>/L of biosorbent concentration</w:t>
      </w:r>
      <w:r w:rsidR="00F81221">
        <w:t xml:space="preserve"> </w:t>
      </w:r>
      <w:r w:rsidR="00F81221">
        <w:lastRenderedPageBreak/>
        <w:t xml:space="preserve">and </w:t>
      </w:r>
      <w:r w:rsidRPr="00A428C3">
        <w:t>(280, 139) ppm of metallic concentration.</w:t>
      </w:r>
    </w:p>
    <w:p w:rsidR="00B95188" w:rsidRPr="00A428C3" w:rsidRDefault="00B95188" w:rsidP="00B95188">
      <w:pPr>
        <w:pStyle w:val="a0"/>
      </w:pPr>
      <w:r w:rsidRPr="00A428C3">
        <w:t>With the optimum values of pH, the biosorption concentration isotherm was built between 30</w:t>
      </w:r>
      <w:r w:rsidR="00F81221">
        <w:t xml:space="preserve"> and </w:t>
      </w:r>
      <w:r w:rsidRPr="00A428C3">
        <w:t>300 ppm of initial metallic concentration. The maximum capacity was 8</w:t>
      </w:r>
      <w:r w:rsidR="00F81221">
        <w:t xml:space="preserve"> and </w:t>
      </w:r>
      <w:r w:rsidRPr="00A428C3">
        <w:t>20 mg of metal / g of biosorbent respectively.</w:t>
      </w:r>
    </w:p>
    <w:p w:rsidR="00B95188" w:rsidRPr="00A428C3" w:rsidRDefault="00B95188" w:rsidP="00B95188">
      <w:pPr>
        <w:pStyle w:val="a0"/>
      </w:pPr>
      <w:r w:rsidRPr="00A428C3">
        <w:t>Keywords: Saccharomyces-Cerevisiae, Phanerochaete-Chrysosporium, Industrial Effluents, Aqueous-Solutions, Heavy-Metals, Biosorption, Removal, Biosorbent, Chromium(III), Cadmium</w:t>
      </w:r>
    </w:p>
    <w:p w:rsidR="00310A62" w:rsidRDefault="00310A62" w:rsidP="00310A62">
      <w:pPr>
        <w:pStyle w:val="a0"/>
        <w:rPr>
          <w:kern w:val="0"/>
        </w:rPr>
      </w:pPr>
      <w:r>
        <w:rPr>
          <w:rFonts w:hint="eastAsia"/>
          <w:kern w:val="0"/>
        </w:rPr>
        <w:t xml:space="preserve">? </w:t>
      </w:r>
      <w:r>
        <w:rPr>
          <w:kern w:val="0"/>
        </w:rPr>
        <w:t>Rojas-Sola, J.I.</w:t>
      </w:r>
      <w:r w:rsidR="00F81221">
        <w:rPr>
          <w:kern w:val="0"/>
        </w:rPr>
        <w:t xml:space="preserve"> and </w:t>
      </w:r>
      <w:r>
        <w:rPr>
          <w:kern w:val="0"/>
        </w:rPr>
        <w:t>San-Antonio-Gomez, C. (2010), Bibliometric analysis of uruguayan scientific publications in the engineering, chemical</w:t>
      </w:r>
      <w:r w:rsidR="00F81221">
        <w:rPr>
          <w:kern w:val="0"/>
        </w:rPr>
        <w:t xml:space="preserve"> and </w:t>
      </w:r>
      <w:r>
        <w:rPr>
          <w:kern w:val="0"/>
        </w:rPr>
        <w:t xml:space="preserve">Web of Science category (1997-2008). </w:t>
      </w:r>
      <w:r>
        <w:rPr>
          <w:i/>
          <w:iCs/>
          <w:kern w:val="0"/>
        </w:rPr>
        <w:t>Ingenieria Quimica</w:t>
      </w:r>
      <w:r w:rsidR="00F7093F">
        <w:rPr>
          <w:kern w:val="0"/>
        </w:rPr>
        <w:t xml:space="preserve">, </w:t>
      </w:r>
      <w:r w:rsidR="00F7093F" w:rsidRPr="00F7093F">
        <w:rPr>
          <w:b/>
          <w:kern w:val="0"/>
        </w:rPr>
        <w:t>38</w:t>
      </w:r>
      <w:r>
        <w:rPr>
          <w:kern w:val="0"/>
        </w:rPr>
        <w:t>, 33-37</w:t>
      </w:r>
      <w:r>
        <w:rPr>
          <w:rFonts w:hint="eastAsia"/>
          <w:kern w:val="0"/>
        </w:rPr>
        <w:t>.</w:t>
      </w:r>
    </w:p>
    <w:p w:rsidR="005E7047" w:rsidRDefault="005E7047" w:rsidP="005E7047">
      <w:pPr>
        <w:pStyle w:val="a0"/>
        <w:rPr>
          <w:kern w:val="0"/>
        </w:rPr>
      </w:pPr>
      <w:r>
        <w:rPr>
          <w:rFonts w:hint="eastAsia"/>
          <w:kern w:val="0"/>
        </w:rPr>
        <w:t xml:space="preserve">Full Text: </w:t>
      </w:r>
      <w:hyperlink r:id="rId1515" w:history="1">
        <w:r w:rsidRPr="00E04BCA">
          <w:rPr>
            <w:rStyle w:val="a5"/>
            <w:kern w:val="0"/>
          </w:rPr>
          <w:t>2010\Ing Qui38, 33.pdf</w:t>
        </w:r>
      </w:hyperlink>
    </w:p>
    <w:p w:rsidR="00F7093F" w:rsidRDefault="00F7093F" w:rsidP="00F7093F">
      <w:pPr>
        <w:pStyle w:val="a0"/>
        <w:rPr>
          <w:kern w:val="0"/>
        </w:rPr>
      </w:pPr>
      <w:r>
        <w:rPr>
          <w:kern w:val="0"/>
        </w:rPr>
        <w:t>Keywords: Bibliometric, Indicators, Publications, Science, Web of Science</w:t>
      </w:r>
    </w:p>
    <w:p w:rsidR="00A02F25" w:rsidRPr="00A428C3" w:rsidRDefault="00A02F25" w:rsidP="00A02F25">
      <w:pPr>
        <w:pStyle w:val="1"/>
      </w:pPr>
      <w:r w:rsidRPr="00586CD8">
        <w:br w:type="page"/>
      </w:r>
      <w:bookmarkStart w:id="1055" w:name="_Toc317161184"/>
      <w:r w:rsidRPr="00A428C3">
        <w:lastRenderedPageBreak/>
        <w:t xml:space="preserve">Title: </w:t>
      </w:r>
      <w:r>
        <w:t>Inhalation Toxicology</w:t>
      </w:r>
      <w:bookmarkEnd w:id="1055"/>
    </w:p>
    <w:p w:rsidR="00A02F25" w:rsidRPr="00A428C3" w:rsidRDefault="00A02F25" w:rsidP="00B72EF9">
      <w:pPr>
        <w:pStyle w:val="12"/>
      </w:pPr>
      <w:r w:rsidRPr="00A428C3">
        <w:t xml:space="preserve">Full Journal Title: </w:t>
      </w:r>
      <w:hyperlink r:id="rId1516" w:history="1">
        <w:r w:rsidRPr="00A02F25">
          <w:rPr>
            <w:rStyle w:val="a5"/>
          </w:rPr>
          <w:t>Inhalation Toxicology</w:t>
        </w:r>
      </w:hyperlink>
    </w:p>
    <w:p w:rsidR="00A02F25" w:rsidRPr="00A428C3" w:rsidRDefault="00A02F25" w:rsidP="00B72EF9">
      <w:pPr>
        <w:pStyle w:val="12"/>
      </w:pPr>
      <w:r w:rsidRPr="00A428C3">
        <w:t xml:space="preserve">ISO Abbreviated Title: </w:t>
      </w:r>
    </w:p>
    <w:p w:rsidR="00A02F25" w:rsidRPr="00A428C3" w:rsidRDefault="00A02F25" w:rsidP="00B72EF9">
      <w:pPr>
        <w:pStyle w:val="12"/>
      </w:pPr>
      <w:r w:rsidRPr="00A428C3">
        <w:t>JCR Abbreviated Title</w:t>
      </w:r>
      <w:r>
        <w:t>:</w:t>
      </w:r>
      <w:r w:rsidRPr="00A428C3">
        <w:t xml:space="preserve"> </w:t>
      </w:r>
    </w:p>
    <w:p w:rsidR="00A02F25" w:rsidRPr="00A428C3" w:rsidRDefault="00A02F25" w:rsidP="00B72EF9">
      <w:pPr>
        <w:pStyle w:val="12"/>
      </w:pPr>
      <w:r w:rsidRPr="00A428C3">
        <w:t xml:space="preserve">ISSN: </w:t>
      </w:r>
    </w:p>
    <w:p w:rsidR="00A02F25" w:rsidRPr="00A428C3" w:rsidRDefault="00A02F25" w:rsidP="00B72EF9">
      <w:pPr>
        <w:pStyle w:val="12"/>
      </w:pPr>
      <w:r w:rsidRPr="00A428C3">
        <w:t xml:space="preserve">Issues/Year: </w:t>
      </w:r>
    </w:p>
    <w:p w:rsidR="00A02F25" w:rsidRPr="00A428C3" w:rsidRDefault="00A02F25" w:rsidP="00B72EF9">
      <w:pPr>
        <w:pStyle w:val="12"/>
      </w:pPr>
      <w:r>
        <w:t xml:space="preserve">Journal Country/Territory: </w:t>
      </w:r>
    </w:p>
    <w:p w:rsidR="00A02F25" w:rsidRPr="00A428C3" w:rsidRDefault="00A02F25" w:rsidP="00B72EF9">
      <w:pPr>
        <w:pStyle w:val="12"/>
      </w:pPr>
      <w:r w:rsidRPr="00A428C3">
        <w:t xml:space="preserve">Language: </w:t>
      </w:r>
    </w:p>
    <w:p w:rsidR="00A02F25" w:rsidRPr="00A428C3" w:rsidRDefault="00A02F25" w:rsidP="00B72EF9">
      <w:pPr>
        <w:pStyle w:val="12"/>
      </w:pPr>
      <w:r w:rsidRPr="00A428C3">
        <w:t xml:space="preserve">Publisher: </w:t>
      </w:r>
    </w:p>
    <w:p w:rsidR="00A02F25" w:rsidRPr="00A428C3" w:rsidRDefault="00A02F25" w:rsidP="00B72EF9">
      <w:pPr>
        <w:pStyle w:val="12"/>
      </w:pPr>
      <w:r w:rsidRPr="00A428C3">
        <w:t xml:space="preserve">Publisher Address: </w:t>
      </w:r>
    </w:p>
    <w:p w:rsidR="00A02F25" w:rsidRPr="00A428C3" w:rsidRDefault="00A02F25" w:rsidP="00B72EF9">
      <w:pPr>
        <w:pStyle w:val="12"/>
      </w:pPr>
      <w:r w:rsidRPr="00A428C3">
        <w:t>Subject Categories:</w:t>
      </w:r>
    </w:p>
    <w:p w:rsidR="00A02F25" w:rsidRPr="00A428C3" w:rsidRDefault="00A02F25" w:rsidP="00B72EF9">
      <w:pPr>
        <w:pStyle w:val="12"/>
      </w:pPr>
      <w:r w:rsidRPr="00A428C3">
        <w:t xml:space="preserve">: Impact Factor </w:t>
      </w:r>
    </w:p>
    <w:p w:rsidR="00A02F25" w:rsidRDefault="00A02F25" w:rsidP="00A02F25">
      <w:pPr>
        <w:pStyle w:val="a0"/>
      </w:pPr>
      <w:r w:rsidRPr="009919E4">
        <w:rPr>
          <w:rFonts w:hint="eastAsia"/>
        </w:rPr>
        <w:t xml:space="preserve">? </w:t>
      </w:r>
      <w:r>
        <w:t>Qiu</w:t>
      </w:r>
      <w:r>
        <w:rPr>
          <w:rFonts w:hint="eastAsia"/>
        </w:rPr>
        <w:t>,</w:t>
      </w:r>
      <w:r>
        <w:t xml:space="preserve"> H</w:t>
      </w:r>
      <w:r>
        <w:rPr>
          <w:rFonts w:hint="eastAsia"/>
        </w:rPr>
        <w:t>.</w:t>
      </w:r>
      <w:r w:rsidR="00F81221">
        <w:rPr>
          <w:rFonts w:hint="eastAsia"/>
        </w:rPr>
        <w:t xml:space="preserve"> and </w:t>
      </w:r>
      <w:r>
        <w:t>Chen</w:t>
      </w:r>
      <w:r>
        <w:rPr>
          <w:rFonts w:hint="eastAsia"/>
        </w:rPr>
        <w:t>,</w:t>
      </w:r>
      <w:r>
        <w:t xml:space="preserve"> Y</w:t>
      </w:r>
      <w:r>
        <w:rPr>
          <w:rFonts w:hint="eastAsia"/>
        </w:rPr>
        <w:t>.</w:t>
      </w:r>
      <w:r>
        <w:t>F</w:t>
      </w:r>
      <w:r>
        <w:rPr>
          <w:rFonts w:hint="eastAsia"/>
        </w:rPr>
        <w:t>.</w:t>
      </w:r>
      <w:r w:rsidRPr="009919E4">
        <w:t xml:space="preserve"> (20</w:t>
      </w:r>
      <w:r>
        <w:rPr>
          <w:rFonts w:hint="eastAsia"/>
        </w:rPr>
        <w:t>09</w:t>
      </w:r>
      <w:r w:rsidRPr="009919E4">
        <w:t xml:space="preserve">), </w:t>
      </w:r>
      <w:r>
        <w:t>Bibliometric analysis of nicotine research in China during the period of 1991 to 2007</w:t>
      </w:r>
      <w:r w:rsidRPr="009919E4">
        <w:t xml:space="preserve">. </w:t>
      </w:r>
      <w:r w:rsidRPr="00A02F25">
        <w:rPr>
          <w:i/>
        </w:rPr>
        <w:t>Inhalation Toxicology</w:t>
      </w:r>
      <w:r w:rsidRPr="009919E4">
        <w:t xml:space="preserve">, </w:t>
      </w:r>
      <w:r>
        <w:rPr>
          <w:rFonts w:hint="eastAsia"/>
          <w:b/>
          <w:bCs/>
        </w:rPr>
        <w:t>21</w:t>
      </w:r>
      <w:r>
        <w:rPr>
          <w:rFonts w:hint="eastAsia"/>
          <w:bCs/>
        </w:rPr>
        <w:t xml:space="preserve"> (8-11)</w:t>
      </w:r>
      <w:r w:rsidRPr="009919E4">
        <w:t xml:space="preserve">, </w:t>
      </w:r>
      <w:r>
        <w:t>965-971</w:t>
      </w:r>
      <w:r w:rsidRPr="009919E4">
        <w:t>.</w:t>
      </w:r>
    </w:p>
    <w:p w:rsidR="00A02F25" w:rsidRDefault="00A02F25" w:rsidP="00A02F25">
      <w:pPr>
        <w:pStyle w:val="a0"/>
      </w:pPr>
      <w:r>
        <w:rPr>
          <w:rFonts w:hint="eastAsia"/>
        </w:rPr>
        <w:t xml:space="preserve">Full Text: </w:t>
      </w:r>
      <w:hyperlink r:id="rId1517" w:history="1">
        <w:r w:rsidR="00C84017" w:rsidRPr="00C84017">
          <w:rPr>
            <w:rStyle w:val="a5"/>
          </w:rPr>
          <w:t>2009\Inh Tox21, 965.pdf</w:t>
        </w:r>
      </w:hyperlink>
    </w:p>
    <w:p w:rsidR="00A02F25" w:rsidRDefault="00A02F25" w:rsidP="00A02F25">
      <w:pPr>
        <w:pStyle w:val="a0"/>
      </w:pPr>
      <w:r>
        <w:t>Abstract: With the widespread exposure of people to nicotine through recreational use of tobacco products, research into nicotine has attracted increasing attention. Tobacco smoking is by far the most important cause of lung cancer. As the world</w:t>
      </w:r>
      <w:r w:rsidR="000352E7">
        <w:t>’</w:t>
      </w:r>
      <w:r>
        <w:t>s largest producer</w:t>
      </w:r>
      <w:r w:rsidR="00F81221">
        <w:t xml:space="preserve"> and </w:t>
      </w:r>
      <w:r>
        <w:t xml:space="preserve">consumer of tobacco products, China bears a large proportion of the global burden of smoking-related disease; therefore, information on nicotine publications should be collected to formulate future research policy. In the present study, we investigated nicotine-related research articles published by Chinese authors that were indexed in the Science Citation Index (SCI) from 1991 to 2007. An indicator </w:t>
      </w:r>
      <w:r w:rsidR="000352E7">
        <w:t>“</w:t>
      </w:r>
      <w:r>
        <w:t>citations per publication</w:t>
      </w:r>
      <w:r w:rsidR="000352E7">
        <w:t>”</w:t>
      </w:r>
      <w:r>
        <w:t xml:space="preserve"> (CPP) was used in the study to evaluate the impact of journals, articles,</w:t>
      </w:r>
      <w:r w:rsidR="00F81221">
        <w:t xml:space="preserve"> and </w:t>
      </w:r>
      <w:r>
        <w:t>institutes. The quantity of publications has increased at a quicker pace than the worldwide trend. Article visibility, measured as the frequency of being cited, also increased during the period. However, the overall quality of articles, based on the impact factor of journals publishing those articles, dropped behind the worldwide average level. There has been an increase in international collaboration, mainly with researchers in the USA. The average CPP of international co-authorship articles was higher than that of single country publications. Besides the USA, nicotine research in China will benefit from more collaboration with Taiwan, England,</w:t>
      </w:r>
      <w:r w:rsidR="00F81221">
        <w:t xml:space="preserve"> and </w:t>
      </w:r>
      <w:r>
        <w:t>Germany. Some 110 of 264 articles were published by a single institute,</w:t>
      </w:r>
      <w:r w:rsidR="00F81221">
        <w:t xml:space="preserve"> and </w:t>
      </w:r>
      <w:r>
        <w:t>the top six institutes were compared from various angles. Seventy-two subject categories were covered,</w:t>
      </w:r>
      <w:r w:rsidR="00F81221">
        <w:t xml:space="preserve"> and </w:t>
      </w:r>
      <w:r>
        <w:t>trends (in terms of both quantity</w:t>
      </w:r>
      <w:r w:rsidR="00F81221">
        <w:t xml:space="preserve"> and </w:t>
      </w:r>
      <w:r>
        <w:t>quality) of nicotine research in China were compared with worldwide trends. In addition, analysis of keywords in both nicotine</w:t>
      </w:r>
      <w:r w:rsidR="00F81221">
        <w:t xml:space="preserve"> and </w:t>
      </w:r>
      <w:r>
        <w:t xml:space="preserve">lung cancer research </w:t>
      </w:r>
      <w:r>
        <w:lastRenderedPageBreak/>
        <w:t>fields was applied to indicate research interests. Mutual cooperation among multiple disciplines needs further strengthening.</w:t>
      </w:r>
    </w:p>
    <w:p w:rsidR="00A02F25" w:rsidRPr="009919E4" w:rsidRDefault="00A02F25" w:rsidP="00A02F25">
      <w:pPr>
        <w:pStyle w:val="a0"/>
      </w:pPr>
      <w:r>
        <w:t>Keywords: Smoking, Addiction</w:t>
      </w:r>
    </w:p>
    <w:p w:rsidR="008764E4" w:rsidRPr="00A428C3" w:rsidRDefault="008764E4" w:rsidP="008764E4">
      <w:pPr>
        <w:pStyle w:val="1"/>
      </w:pPr>
      <w:r w:rsidRPr="00586CD8">
        <w:br w:type="page"/>
      </w:r>
      <w:bookmarkStart w:id="1056" w:name="_Toc317161185"/>
      <w:r w:rsidRPr="00A428C3">
        <w:lastRenderedPageBreak/>
        <w:t xml:space="preserve">Title: </w:t>
      </w:r>
      <w:r w:rsidRPr="008764E4">
        <w:rPr>
          <w:iCs/>
        </w:rPr>
        <w:t>Injury-International Journal of the Care of the Injured</w:t>
      </w:r>
      <w:bookmarkEnd w:id="1056"/>
    </w:p>
    <w:p w:rsidR="008764E4" w:rsidRPr="00A428C3" w:rsidRDefault="008764E4" w:rsidP="008764E4">
      <w:pPr>
        <w:pStyle w:val="12"/>
      </w:pPr>
      <w:r w:rsidRPr="00A428C3">
        <w:t xml:space="preserve">Full Journal Title: </w:t>
      </w:r>
      <w:r w:rsidRPr="008764E4">
        <w:rPr>
          <w:iCs/>
        </w:rPr>
        <w:t>Injury-International Journal of the Care of the Injured</w:t>
      </w:r>
    </w:p>
    <w:p w:rsidR="008764E4" w:rsidRPr="00A428C3" w:rsidRDefault="008764E4" w:rsidP="008764E4">
      <w:pPr>
        <w:pStyle w:val="12"/>
      </w:pPr>
      <w:r w:rsidRPr="00A428C3">
        <w:t xml:space="preserve">ISO Abbreviated Title: </w:t>
      </w:r>
    </w:p>
    <w:p w:rsidR="008764E4" w:rsidRPr="00A428C3" w:rsidRDefault="008764E4" w:rsidP="008764E4">
      <w:pPr>
        <w:pStyle w:val="12"/>
      </w:pPr>
      <w:r w:rsidRPr="00A428C3">
        <w:t>JCR Abbreviated Title</w:t>
      </w:r>
      <w:r>
        <w:t>:</w:t>
      </w:r>
      <w:r w:rsidRPr="00A428C3">
        <w:t xml:space="preserve"> </w:t>
      </w:r>
    </w:p>
    <w:p w:rsidR="008764E4" w:rsidRPr="00A428C3" w:rsidRDefault="008764E4" w:rsidP="008764E4">
      <w:pPr>
        <w:pStyle w:val="12"/>
      </w:pPr>
      <w:r w:rsidRPr="00A428C3">
        <w:t xml:space="preserve">ISSN: </w:t>
      </w:r>
    </w:p>
    <w:p w:rsidR="008764E4" w:rsidRPr="00A428C3" w:rsidRDefault="008764E4" w:rsidP="008764E4">
      <w:pPr>
        <w:pStyle w:val="12"/>
      </w:pPr>
      <w:r w:rsidRPr="00A428C3">
        <w:t xml:space="preserve">Issues/Year: </w:t>
      </w:r>
    </w:p>
    <w:p w:rsidR="008764E4" w:rsidRPr="00A428C3" w:rsidRDefault="008764E4" w:rsidP="008764E4">
      <w:pPr>
        <w:pStyle w:val="12"/>
      </w:pPr>
      <w:r>
        <w:t xml:space="preserve">Journal Country/Territory: </w:t>
      </w:r>
    </w:p>
    <w:p w:rsidR="008764E4" w:rsidRPr="00A428C3" w:rsidRDefault="008764E4" w:rsidP="008764E4">
      <w:pPr>
        <w:pStyle w:val="12"/>
      </w:pPr>
      <w:r w:rsidRPr="00A428C3">
        <w:t xml:space="preserve">Language: </w:t>
      </w:r>
    </w:p>
    <w:p w:rsidR="008764E4" w:rsidRPr="00A428C3" w:rsidRDefault="008764E4" w:rsidP="008764E4">
      <w:pPr>
        <w:pStyle w:val="12"/>
      </w:pPr>
      <w:r w:rsidRPr="00A428C3">
        <w:t xml:space="preserve">Publisher: </w:t>
      </w:r>
    </w:p>
    <w:p w:rsidR="008764E4" w:rsidRPr="00A428C3" w:rsidRDefault="008764E4" w:rsidP="008764E4">
      <w:pPr>
        <w:pStyle w:val="12"/>
      </w:pPr>
      <w:r w:rsidRPr="00A428C3">
        <w:t xml:space="preserve">Publisher Address: </w:t>
      </w:r>
    </w:p>
    <w:p w:rsidR="008764E4" w:rsidRPr="00A428C3" w:rsidRDefault="008764E4" w:rsidP="008764E4">
      <w:pPr>
        <w:pStyle w:val="12"/>
      </w:pPr>
      <w:r w:rsidRPr="00A428C3">
        <w:t>Subject Categories:</w:t>
      </w:r>
    </w:p>
    <w:p w:rsidR="008764E4" w:rsidRPr="00A428C3" w:rsidRDefault="008764E4" w:rsidP="008764E4">
      <w:pPr>
        <w:pStyle w:val="12"/>
      </w:pPr>
      <w:r w:rsidRPr="00A428C3">
        <w:t xml:space="preserve">: Impact Factor </w:t>
      </w:r>
    </w:p>
    <w:p w:rsidR="008764E4" w:rsidRDefault="008764E4" w:rsidP="008764E4">
      <w:pPr>
        <w:pStyle w:val="a0"/>
        <w:rPr>
          <w:kern w:val="0"/>
        </w:rPr>
      </w:pPr>
      <w:r>
        <w:rPr>
          <w:kern w:val="0"/>
        </w:rPr>
        <w:t xml:space="preserve">? Beswick, A. and Blom, A.W. (2011), Bone graft substitutes in hip revision surgery: A comprehensive overview. </w:t>
      </w:r>
      <w:r w:rsidRPr="008764E4">
        <w:rPr>
          <w:i/>
          <w:iCs/>
          <w:kern w:val="0"/>
        </w:rPr>
        <w:t>Injury-International Journal of the Care of the Injured</w:t>
      </w:r>
      <w:r>
        <w:rPr>
          <w:kern w:val="0"/>
        </w:rPr>
        <w:t xml:space="preserve">, </w:t>
      </w:r>
      <w:r>
        <w:rPr>
          <w:b/>
          <w:bCs/>
          <w:kern w:val="0"/>
        </w:rPr>
        <w:t>42</w:t>
      </w:r>
      <w:r>
        <w:rPr>
          <w:kern w:val="0"/>
        </w:rPr>
        <w:t>, S40-S46.</w:t>
      </w:r>
    </w:p>
    <w:p w:rsidR="008764E4" w:rsidRDefault="008764E4" w:rsidP="008764E4">
      <w:pPr>
        <w:pStyle w:val="a0"/>
        <w:rPr>
          <w:kern w:val="0"/>
        </w:rPr>
      </w:pPr>
      <w:r>
        <w:rPr>
          <w:rFonts w:hint="eastAsia"/>
          <w:kern w:val="0"/>
        </w:rPr>
        <w:t xml:space="preserve">Full Text: </w:t>
      </w:r>
      <w:hyperlink r:id="rId1518" w:history="1">
        <w:r w:rsidR="007C12CA" w:rsidRPr="007C12CA">
          <w:rPr>
            <w:rStyle w:val="a5"/>
            <w:kern w:val="0"/>
          </w:rPr>
          <w:t>2011\Inj-Int J Car Inj42, S40.pdf</w:t>
        </w:r>
      </w:hyperlink>
    </w:p>
    <w:p w:rsidR="008764E4" w:rsidRDefault="008764E4" w:rsidP="008764E4">
      <w:pPr>
        <w:pStyle w:val="a0"/>
        <w:rPr>
          <w:kern w:val="0"/>
        </w:rPr>
      </w:pPr>
      <w:r>
        <w:rPr>
          <w:kern w:val="0"/>
        </w:rPr>
        <w:t xml:space="preserve">Abstract: Introduction: Total hip replacement is increasingly used to treat diseased and damaged joints. With time, some joint replacements may require revision, mainly because of instability and mechanical loosening, and this is of particularly significance to younger patients. A major problem in revision surgery is the loss of bone stock and the consequent difficulty in reconstructing a stable joint. Loss of bone stock has been widely treated using bone autografts and allografts but supplies are limited. Use of bone graft substitutes in combination with, or as a substitute for, human bone is a possible alternative. Aim: To identify empirical studies of bone graft substitutes in hip revision surgery. Methods: Systematic review based on Cochrane and MOOSE methods. We searched MEDLINE and EMBASE to December 2010 with terms relating to hip replacement and bone graft substitutes, and checked key citations in ISI Web of Science and reference lists. We considered all human studies irrespective of study design. Results: Searches identified 397 articles. Screening of abstracts and full text articles identified 7 studies reporting outcomes of bone-graft substitute combined with autograft or allograft, and 6 studies reporting outcomes of bone graft substitute exclusively. One economic evaluation compared costs of femoral head banking with costs of bone graft substitutes. No randomised controlled trials evaluating bone graft substitute effectiveness were identified. Studies generally included small numbers of patients with a follow up too short to assess outcomes relating to implant survival. However, excepting those based on glass ceramic, ceramic bone graft substitutes show promise as an alternative </w:t>
      </w:r>
      <w:r>
        <w:rPr>
          <w:kern w:val="0"/>
        </w:rPr>
        <w:lastRenderedPageBreak/>
        <w:t>to use of exclusive autograft or allograft. In the case of calcium phosphate ceramic bone graft substitute, potential cost savings were evident. Conclusion: With increased allograft shortage, bone graft substitutes will be required in hip revision surgery. However, appropriately designed randomised controlled trials are required to compare use of existing and new bone graft substitutes with established practice. As well as prosthesis related outcomes, studies should explore the patient experience of revision hip replacement with bone graft substitute material. (C) 2011 Elsevier Ltd. All rights reserved.</w:t>
      </w:r>
    </w:p>
    <w:p w:rsidR="008764E4" w:rsidRDefault="008764E4" w:rsidP="008764E4">
      <w:pPr>
        <w:pStyle w:val="a0"/>
        <w:rPr>
          <w:kern w:val="0"/>
        </w:rPr>
      </w:pPr>
      <w:r>
        <w:rPr>
          <w:kern w:val="0"/>
        </w:rPr>
        <w:t>Keywords: Acetabulum, Allograft, Author, Bone, Bone Graft, Bone Substitute, Calcium, Citations, Cochrane, Costs, Design, Effectiveness, Embase, England, Epidemiology, Evaluation, Follow-Up, Hip Replacement, Human, Hydroxyapatite, Impaction, Implant, ISI, ISI Web of Science, Joint, Knee Arthroplasty, Medline, Methods, Osteoarthritis, Outcomes, Overview, Patient Experience, Patients, Phosphate, Practice, Prosthesis, Replacement, Review, Science, Screening, Surgery, Survival, Systematic, Systematic Review, United-States, Web of Science</w:t>
      </w:r>
    </w:p>
    <w:p w:rsidR="009A1C18" w:rsidRPr="00A428C3" w:rsidRDefault="009A1C18" w:rsidP="009A1C18">
      <w:pPr>
        <w:pStyle w:val="1"/>
      </w:pPr>
      <w:r w:rsidRPr="00586CD8">
        <w:br w:type="page"/>
      </w:r>
      <w:bookmarkStart w:id="1057" w:name="_Toc317161186"/>
      <w:r w:rsidRPr="00A428C3">
        <w:lastRenderedPageBreak/>
        <w:t xml:space="preserve">Title: </w:t>
      </w:r>
      <w:r w:rsidRPr="00FB47D8">
        <w:rPr>
          <w:iCs/>
          <w:szCs w:val="24"/>
        </w:rPr>
        <w:t>Injury Prevention</w:t>
      </w:r>
      <w:bookmarkEnd w:id="1057"/>
    </w:p>
    <w:p w:rsidR="009A1C18" w:rsidRPr="00A428C3" w:rsidRDefault="009A1C18" w:rsidP="009A1C18">
      <w:pPr>
        <w:pStyle w:val="12"/>
      </w:pPr>
      <w:r w:rsidRPr="00A428C3">
        <w:t xml:space="preserve">Full Journal Title: </w:t>
      </w:r>
      <w:r w:rsidRPr="00FB47D8">
        <w:rPr>
          <w:iCs/>
        </w:rPr>
        <w:t>Injury Prevention</w:t>
      </w:r>
    </w:p>
    <w:p w:rsidR="009A1C18" w:rsidRPr="00A428C3" w:rsidRDefault="009A1C18" w:rsidP="009A1C18">
      <w:pPr>
        <w:pStyle w:val="12"/>
      </w:pPr>
      <w:r w:rsidRPr="00A428C3">
        <w:t xml:space="preserve">ISO Abbreviated Title: </w:t>
      </w:r>
    </w:p>
    <w:p w:rsidR="009A1C18" w:rsidRPr="00A428C3" w:rsidRDefault="009A1C18" w:rsidP="009A1C18">
      <w:pPr>
        <w:pStyle w:val="12"/>
      </w:pPr>
      <w:r w:rsidRPr="00A428C3">
        <w:t>JCR Abbreviated Title</w:t>
      </w:r>
      <w:r>
        <w:t>:</w:t>
      </w:r>
      <w:r w:rsidRPr="00A428C3">
        <w:t xml:space="preserve"> </w:t>
      </w:r>
    </w:p>
    <w:p w:rsidR="009A1C18" w:rsidRPr="00A428C3" w:rsidRDefault="009A1C18" w:rsidP="009A1C18">
      <w:pPr>
        <w:pStyle w:val="12"/>
      </w:pPr>
      <w:r w:rsidRPr="00A428C3">
        <w:t xml:space="preserve">ISSN: </w:t>
      </w:r>
    </w:p>
    <w:p w:rsidR="009A1C18" w:rsidRPr="00A428C3" w:rsidRDefault="009A1C18" w:rsidP="009A1C18">
      <w:pPr>
        <w:pStyle w:val="12"/>
      </w:pPr>
      <w:r w:rsidRPr="00A428C3">
        <w:t xml:space="preserve">Issues/Year: </w:t>
      </w:r>
    </w:p>
    <w:p w:rsidR="009A1C18" w:rsidRPr="00A428C3" w:rsidRDefault="009A1C18" w:rsidP="009A1C18">
      <w:pPr>
        <w:pStyle w:val="12"/>
      </w:pPr>
      <w:r>
        <w:t xml:space="preserve">Journal Country/Territory: </w:t>
      </w:r>
    </w:p>
    <w:p w:rsidR="009A1C18" w:rsidRPr="00A428C3" w:rsidRDefault="009A1C18" w:rsidP="009A1C18">
      <w:pPr>
        <w:pStyle w:val="12"/>
      </w:pPr>
      <w:r w:rsidRPr="00A428C3">
        <w:t xml:space="preserve">Language: </w:t>
      </w:r>
    </w:p>
    <w:p w:rsidR="009A1C18" w:rsidRPr="00A428C3" w:rsidRDefault="009A1C18" w:rsidP="009A1C18">
      <w:pPr>
        <w:pStyle w:val="12"/>
      </w:pPr>
      <w:r w:rsidRPr="00A428C3">
        <w:t xml:space="preserve">Publisher: </w:t>
      </w:r>
    </w:p>
    <w:p w:rsidR="009A1C18" w:rsidRPr="00A428C3" w:rsidRDefault="009A1C18" w:rsidP="009A1C18">
      <w:pPr>
        <w:pStyle w:val="12"/>
      </w:pPr>
      <w:r w:rsidRPr="00A428C3">
        <w:t xml:space="preserve">Publisher Address: </w:t>
      </w:r>
    </w:p>
    <w:p w:rsidR="009A1C18" w:rsidRPr="00A428C3" w:rsidRDefault="009A1C18" w:rsidP="009A1C18">
      <w:pPr>
        <w:pStyle w:val="12"/>
      </w:pPr>
      <w:r w:rsidRPr="00A428C3">
        <w:t>Subject Categories:</w:t>
      </w:r>
    </w:p>
    <w:p w:rsidR="009A1C18" w:rsidRPr="00A428C3" w:rsidRDefault="009A1C18" w:rsidP="009A1C18">
      <w:pPr>
        <w:pStyle w:val="12"/>
      </w:pPr>
      <w:r w:rsidRPr="00A428C3">
        <w:t xml:space="preserve">: Impact Factor </w:t>
      </w:r>
    </w:p>
    <w:p w:rsidR="009A1C18" w:rsidRDefault="009A1C18" w:rsidP="009A1C18">
      <w:pPr>
        <w:pStyle w:val="a0"/>
        <w:rPr>
          <w:kern w:val="0"/>
          <w:szCs w:val="24"/>
        </w:rPr>
      </w:pPr>
      <w:r>
        <w:rPr>
          <w:rFonts w:hint="eastAsia"/>
          <w:kern w:val="0"/>
          <w:szCs w:val="24"/>
        </w:rPr>
        <w:t xml:space="preserve">? </w:t>
      </w:r>
      <w:r>
        <w:rPr>
          <w:kern w:val="0"/>
          <w:szCs w:val="24"/>
        </w:rPr>
        <w:t>Bunn, F., Collier, T., Frost, C., Ker, K., Roberts, I.</w:t>
      </w:r>
      <w:r w:rsidR="00F81221">
        <w:rPr>
          <w:kern w:val="0"/>
          <w:szCs w:val="24"/>
        </w:rPr>
        <w:t xml:space="preserve"> and </w:t>
      </w:r>
      <w:r>
        <w:rPr>
          <w:kern w:val="0"/>
          <w:szCs w:val="24"/>
        </w:rPr>
        <w:t>Wentz, R. (2003), Traffic calming for the prevention of road traffic injuries: Systematic review</w:t>
      </w:r>
      <w:r w:rsidR="00F81221">
        <w:rPr>
          <w:kern w:val="0"/>
          <w:szCs w:val="24"/>
        </w:rPr>
        <w:t xml:space="preserve"> and </w:t>
      </w:r>
      <w:r>
        <w:rPr>
          <w:kern w:val="0"/>
          <w:szCs w:val="24"/>
        </w:rPr>
        <w:t xml:space="preserve">meta-analysis. </w:t>
      </w:r>
      <w:r w:rsidRPr="00FB47D8">
        <w:rPr>
          <w:i/>
          <w:iCs/>
          <w:kern w:val="0"/>
          <w:szCs w:val="24"/>
        </w:rPr>
        <w:t>Injury Prevention</w:t>
      </w:r>
      <w:r>
        <w:rPr>
          <w:kern w:val="0"/>
          <w:szCs w:val="24"/>
        </w:rPr>
        <w:t xml:space="preserve">, </w:t>
      </w:r>
      <w:r>
        <w:rPr>
          <w:b/>
          <w:bCs/>
          <w:kern w:val="0"/>
          <w:szCs w:val="24"/>
        </w:rPr>
        <w:t>9</w:t>
      </w:r>
      <w:r>
        <w:rPr>
          <w:kern w:val="0"/>
          <w:szCs w:val="24"/>
        </w:rPr>
        <w:t xml:space="preserve"> (3), 200-204.</w:t>
      </w:r>
    </w:p>
    <w:p w:rsidR="009A1C18" w:rsidRDefault="009A1C18" w:rsidP="009A1C18">
      <w:pPr>
        <w:pStyle w:val="a0"/>
        <w:rPr>
          <w:kern w:val="0"/>
          <w:szCs w:val="24"/>
        </w:rPr>
      </w:pPr>
      <w:r>
        <w:rPr>
          <w:rFonts w:hint="eastAsia"/>
          <w:kern w:val="0"/>
          <w:szCs w:val="24"/>
        </w:rPr>
        <w:t xml:space="preserve">Full Text: </w:t>
      </w:r>
      <w:hyperlink r:id="rId1519" w:history="1">
        <w:r w:rsidRPr="009A1C18">
          <w:rPr>
            <w:rStyle w:val="a5"/>
            <w:kern w:val="0"/>
            <w:szCs w:val="24"/>
          </w:rPr>
          <w:t>2003\Inj Pre9, 200.pdf</w:t>
        </w:r>
      </w:hyperlink>
    </w:p>
    <w:p w:rsidR="009A1C18" w:rsidRDefault="009A1C18" w:rsidP="009A1C18">
      <w:pPr>
        <w:pStyle w:val="a0"/>
        <w:rPr>
          <w:kern w:val="0"/>
          <w:szCs w:val="24"/>
        </w:rPr>
      </w:pPr>
      <w:r>
        <w:rPr>
          <w:kern w:val="0"/>
          <w:szCs w:val="24"/>
        </w:rPr>
        <w:t>Abstract: Objective: To assess whether area-wide traffic calming schemes can reduce road crash related deaths</w:t>
      </w:r>
      <w:r w:rsidR="00F81221">
        <w:rPr>
          <w:kern w:val="0"/>
          <w:szCs w:val="24"/>
        </w:rPr>
        <w:t xml:space="preserve"> and </w:t>
      </w:r>
      <w:r>
        <w:rPr>
          <w:kern w:val="0"/>
          <w:szCs w:val="24"/>
        </w:rPr>
        <w:t>injuries. Design: Systematic review</w:t>
      </w:r>
      <w:r w:rsidR="00F81221">
        <w:rPr>
          <w:kern w:val="0"/>
          <w:szCs w:val="24"/>
        </w:rPr>
        <w:t xml:space="preserve"> and </w:t>
      </w:r>
      <w:r>
        <w:rPr>
          <w:kern w:val="0"/>
          <w:szCs w:val="24"/>
        </w:rPr>
        <w:t>meta-analysis. Data sources: Cochrane Injuries Group Specialised Register, Cochrane Central Register of Controlled Trials, Medline, EMBASE, Sociological Abstracts Science (and social science) citation index, National Technical Information service, Psychlit, Transport Research Information Service, International Road Research Documentation,</w:t>
      </w:r>
      <w:r w:rsidR="00F81221">
        <w:rPr>
          <w:kern w:val="0"/>
          <w:szCs w:val="24"/>
        </w:rPr>
        <w:t xml:space="preserve"> and </w:t>
      </w:r>
      <w:r>
        <w:rPr>
          <w:kern w:val="0"/>
          <w:szCs w:val="24"/>
        </w:rPr>
        <w:t>Transdoc,</w:t>
      </w:r>
      <w:r w:rsidR="00F81221">
        <w:rPr>
          <w:kern w:val="0"/>
          <w:szCs w:val="24"/>
        </w:rPr>
        <w:t xml:space="preserve"> and </w:t>
      </w:r>
      <w:r>
        <w:rPr>
          <w:kern w:val="0"/>
          <w:szCs w:val="24"/>
        </w:rPr>
        <w:t>web sites of road safety organisation were searched; experts were contacted, conference proceedings were handsearched,</w:t>
      </w:r>
      <w:r w:rsidR="00F81221">
        <w:rPr>
          <w:kern w:val="0"/>
          <w:szCs w:val="24"/>
        </w:rPr>
        <w:t xml:space="preserve"> and </w:t>
      </w:r>
      <w:r>
        <w:rPr>
          <w:kern w:val="0"/>
          <w:szCs w:val="24"/>
        </w:rPr>
        <w:t>relevant reference lists were checked. Inclusion criteria: Randomised controlled trials,</w:t>
      </w:r>
      <w:r w:rsidR="00F81221">
        <w:rPr>
          <w:kern w:val="0"/>
          <w:szCs w:val="24"/>
        </w:rPr>
        <w:t xml:space="preserve"> and </w:t>
      </w:r>
      <w:r>
        <w:rPr>
          <w:kern w:val="0"/>
          <w:szCs w:val="24"/>
        </w:rPr>
        <w:t>controlled before/after studies of area-wide traffic calming schemes designed to discourage</w:t>
      </w:r>
      <w:r w:rsidR="00F81221">
        <w:rPr>
          <w:kern w:val="0"/>
          <w:szCs w:val="24"/>
        </w:rPr>
        <w:t xml:space="preserve"> and </w:t>
      </w:r>
      <w:r>
        <w:rPr>
          <w:kern w:val="0"/>
          <w:szCs w:val="24"/>
        </w:rPr>
        <w:t>slow down through traffic on residential roads. Methods: Data were collected on road user deaths, injuries,</w:t>
      </w:r>
      <w:r w:rsidR="00F81221">
        <w:rPr>
          <w:kern w:val="0"/>
          <w:szCs w:val="24"/>
        </w:rPr>
        <w:t xml:space="preserve"> and </w:t>
      </w:r>
      <w:r>
        <w:rPr>
          <w:kern w:val="0"/>
          <w:szCs w:val="24"/>
        </w:rPr>
        <w:t>traffic crashes. For each study rate ratios were calculated, the ratio of event rates before</w:t>
      </w:r>
      <w:r w:rsidR="00F81221">
        <w:rPr>
          <w:kern w:val="0"/>
          <w:szCs w:val="24"/>
        </w:rPr>
        <w:t xml:space="preserve"> and </w:t>
      </w:r>
      <w:r>
        <w:rPr>
          <w:kern w:val="0"/>
          <w:szCs w:val="24"/>
        </w:rPr>
        <w:t>after intervention in the traffic calmed area divided by the corresponding ratio of event rates in the control area, which were pooled to give an overall estimate using a random effects model. Findings: Sixteen controlled before/after studies met our inclusion criteria. Eight studies reported the number of road user deaths: pooled rate ratio 0.63 (95% confidence interval (CI) 0.14 to 2.59). Sixteen studies reported the number of injuries (fatal</w:t>
      </w:r>
      <w:r w:rsidR="00F81221">
        <w:rPr>
          <w:kern w:val="0"/>
          <w:szCs w:val="24"/>
        </w:rPr>
        <w:t xml:space="preserve"> and </w:t>
      </w:r>
      <w:r>
        <w:rPr>
          <w:kern w:val="0"/>
          <w:szCs w:val="24"/>
        </w:rPr>
        <w:t>non-fatal): pooled rate ratio 0.89 (95% CI 0.80 to 1.00). All studies were in high income countries. Conclusion: Area-wide traffic calming in towns</w:t>
      </w:r>
      <w:r w:rsidR="00F81221">
        <w:rPr>
          <w:kern w:val="0"/>
          <w:szCs w:val="24"/>
        </w:rPr>
        <w:t xml:space="preserve"> and </w:t>
      </w:r>
      <w:r>
        <w:rPr>
          <w:kern w:val="0"/>
          <w:szCs w:val="24"/>
        </w:rPr>
        <w:t xml:space="preserve">cities has the potential to reduce road traffic injuries. However, further rigorous evaluations of </w:t>
      </w:r>
      <w:r>
        <w:rPr>
          <w:kern w:val="0"/>
          <w:szCs w:val="24"/>
        </w:rPr>
        <w:lastRenderedPageBreak/>
        <w:t>this intervention are needed, especially in low</w:t>
      </w:r>
      <w:r w:rsidR="00F81221">
        <w:rPr>
          <w:kern w:val="0"/>
          <w:szCs w:val="24"/>
        </w:rPr>
        <w:t xml:space="preserve"> and </w:t>
      </w:r>
      <w:r>
        <w:rPr>
          <w:kern w:val="0"/>
          <w:szCs w:val="24"/>
        </w:rPr>
        <w:t>middle income countries.</w:t>
      </w:r>
    </w:p>
    <w:p w:rsidR="009A1C18" w:rsidRDefault="009A1C18" w:rsidP="009A1C18">
      <w:pPr>
        <w:pStyle w:val="a0"/>
        <w:rPr>
          <w:kern w:val="0"/>
          <w:szCs w:val="24"/>
        </w:rPr>
      </w:pPr>
      <w:r>
        <w:rPr>
          <w:kern w:val="0"/>
          <w:szCs w:val="24"/>
        </w:rPr>
        <w:t>Keywords: Citation Index, Prevention, Review, Systematic Review</w:t>
      </w:r>
    </w:p>
    <w:p w:rsidR="00565BAB" w:rsidRDefault="00565BAB" w:rsidP="00565BAB">
      <w:pPr>
        <w:pStyle w:val="a0"/>
        <w:rPr>
          <w:kern w:val="0"/>
        </w:rPr>
      </w:pPr>
      <w:r>
        <w:rPr>
          <w:kern w:val="0"/>
        </w:rPr>
        <w:t>? Karkhaneh, M., Kalenga, J.C., Hagel, B.E.</w:t>
      </w:r>
      <w:r w:rsidR="00F81221">
        <w:rPr>
          <w:kern w:val="0"/>
        </w:rPr>
        <w:t xml:space="preserve"> and </w:t>
      </w:r>
      <w:r>
        <w:rPr>
          <w:kern w:val="0"/>
        </w:rPr>
        <w:t xml:space="preserve">Rowe, B.H. (2006), Effectiveness of bicycle helmet legislation to increase helmet use: A systematic review. </w:t>
      </w:r>
      <w:r>
        <w:rPr>
          <w:i/>
          <w:iCs/>
          <w:kern w:val="0"/>
        </w:rPr>
        <w:t>Injury Prevention</w:t>
      </w:r>
      <w:r>
        <w:rPr>
          <w:kern w:val="0"/>
        </w:rPr>
        <w:t xml:space="preserve">, </w:t>
      </w:r>
      <w:r>
        <w:rPr>
          <w:b/>
          <w:bCs/>
          <w:kern w:val="0"/>
        </w:rPr>
        <w:t>12</w:t>
      </w:r>
      <w:r>
        <w:rPr>
          <w:kern w:val="0"/>
        </w:rPr>
        <w:t xml:space="preserve"> (2), 76-82.</w:t>
      </w:r>
    </w:p>
    <w:p w:rsidR="00565BAB" w:rsidRDefault="00565BAB" w:rsidP="00565BAB">
      <w:pPr>
        <w:pStyle w:val="a0"/>
        <w:rPr>
          <w:kern w:val="0"/>
          <w:szCs w:val="24"/>
        </w:rPr>
      </w:pPr>
      <w:r>
        <w:rPr>
          <w:kern w:val="0"/>
          <w:szCs w:val="24"/>
        </w:rPr>
        <w:t>Full Text: 2006\Inj Pre12, 76.pdf</w:t>
      </w:r>
    </w:p>
    <w:p w:rsidR="00565BAB" w:rsidRDefault="00565BAB" w:rsidP="00565BAB">
      <w:pPr>
        <w:pStyle w:val="a0"/>
        <w:rPr>
          <w:kern w:val="0"/>
        </w:rPr>
      </w:pPr>
      <w:r>
        <w:rPr>
          <w:kern w:val="0"/>
        </w:rPr>
        <w:t>Abstract: Background: Head injuries related to bicycle use are common</w:t>
      </w:r>
      <w:r w:rsidR="00F81221">
        <w:rPr>
          <w:kern w:val="0"/>
        </w:rPr>
        <w:t xml:space="preserve"> and </w:t>
      </w:r>
      <w:r>
        <w:rPr>
          <w:kern w:val="0"/>
        </w:rPr>
        <w:t>can be serious. They can be prevented or reduced in severity with helmet use; however, education has resulted in modest helmet use in most developed countries. Helmet legislation has been proposed as a method to increase helmet wearing; while this social intervention is thought to be effective, no systematic review has been performed. Objectives: This review evaluates the scientific evidence for helmet use following legislation to identify the effectiveness of legislative interventions to increase bicycle helmet use among all age groups. Search strategy: Comprehensive searches of CENTRAL, MEDLINE, EMBASE, CINAHL, Web of Science, British Education Index, LILACS Database, TRIS (Transport Research Information Service), the grey literature, reference lists,</w:t>
      </w:r>
      <w:r w:rsidR="00F81221">
        <w:rPr>
          <w:kern w:val="0"/>
        </w:rPr>
        <w:t xml:space="preserve"> and </w:t>
      </w:r>
      <w:r>
        <w:rPr>
          <w:kern w:val="0"/>
        </w:rPr>
        <w:t>communication with authors was performed to identify eligible studies. Selection criteria: Eligible studies for this review were community based investigations including cohort studies, controlled before-after studies, interrupted time series studies, non-equivalent control group studies Data collection</w:t>
      </w:r>
      <w:r w:rsidR="00F81221">
        <w:rPr>
          <w:kern w:val="0"/>
        </w:rPr>
        <w:t xml:space="preserve"> and </w:t>
      </w:r>
      <w:r>
        <w:rPr>
          <w:kern w:val="0"/>
        </w:rPr>
        <w:t>analysis: Two reviewers extracted the data regarding the percentage of helmet use before</w:t>
      </w:r>
      <w:r w:rsidR="00F81221">
        <w:rPr>
          <w:kern w:val="0"/>
        </w:rPr>
        <w:t xml:space="preserve"> and </w:t>
      </w:r>
      <w:r>
        <w:rPr>
          <w:kern w:val="0"/>
        </w:rPr>
        <w:t>after legislation from each study. Individual</w:t>
      </w:r>
      <w:r w:rsidR="00F81221">
        <w:rPr>
          <w:kern w:val="0"/>
        </w:rPr>
        <w:t xml:space="preserve"> and </w:t>
      </w:r>
      <w:r>
        <w:rPr>
          <w:kern w:val="0"/>
        </w:rPr>
        <w:t>pooled odds ratios were calculated along with 95% confidence intervals. Main results: Out of 86 prescreened articles, 25 were potentially relevant to the topic</w:t>
      </w:r>
      <w:r w:rsidR="00F81221">
        <w:rPr>
          <w:kern w:val="0"/>
        </w:rPr>
        <w:t xml:space="preserve"> and </w:t>
      </w:r>
      <w:r>
        <w:rPr>
          <w:kern w:val="0"/>
        </w:rPr>
        <w:t>11 were finally included in the review. of 11 studies, eight were published articles, two were published reports,</w:t>
      </w:r>
      <w:r w:rsidR="00F81221">
        <w:rPr>
          <w:kern w:val="0"/>
        </w:rPr>
        <w:t xml:space="preserve"> and </w:t>
      </w:r>
      <w:r>
        <w:rPr>
          <w:kern w:val="0"/>
        </w:rPr>
        <w:t>one was an unpublished article. One additional survey was incorporated following personal communication with the author. While the baseline rate of helmet use among these studies varied between 4%</w:t>
      </w:r>
      <w:r w:rsidR="00F81221">
        <w:rPr>
          <w:kern w:val="0"/>
        </w:rPr>
        <w:t xml:space="preserve"> and </w:t>
      </w:r>
      <w:r>
        <w:rPr>
          <w:kern w:val="0"/>
        </w:rPr>
        <w:t>59%, after legislation this range changed to 37%</w:t>
      </w:r>
      <w:r w:rsidR="00F81221">
        <w:rPr>
          <w:kern w:val="0"/>
        </w:rPr>
        <w:t xml:space="preserve"> and </w:t>
      </w:r>
      <w:r>
        <w:rPr>
          <w:kern w:val="0"/>
        </w:rPr>
        <w:t>91%. Helmet wearing proportions increased less than 10% in one study, 10 - 30% in four studies,</w:t>
      </w:r>
      <w:r w:rsidR="00F81221">
        <w:rPr>
          <w:kern w:val="0"/>
        </w:rPr>
        <w:t xml:space="preserve"> and </w:t>
      </w:r>
      <w:r>
        <w:rPr>
          <w:kern w:val="0"/>
        </w:rPr>
        <w:t>more than 30% in seven studies. While the effectiveness of bicycle helmet legislation varied (n = 11 studies; OR range: 1.2-22), all studies demonstrated higher proportions of helmet use following legislation, particularly when the law was targeted to a specific age group. Conclusions: Legislation increased helmet use among cyclists, particularly younger age groups</w:t>
      </w:r>
      <w:r w:rsidR="00F81221">
        <w:rPr>
          <w:kern w:val="0"/>
        </w:rPr>
        <w:t xml:space="preserve"> and </w:t>
      </w:r>
      <w:r>
        <w:rPr>
          <w:kern w:val="0"/>
        </w:rPr>
        <w:t>those with low pre- intervention helmet wearing proportions. These results support legislative interventions in populations without helmet legislation.</w:t>
      </w:r>
    </w:p>
    <w:p w:rsidR="00565BAB" w:rsidRDefault="00565BAB" w:rsidP="00565BAB">
      <w:pPr>
        <w:pStyle w:val="a0"/>
        <w:rPr>
          <w:kern w:val="0"/>
        </w:rPr>
      </w:pPr>
      <w:r>
        <w:rPr>
          <w:kern w:val="0"/>
        </w:rPr>
        <w:t xml:space="preserve">Keywords: Analysis, Australia, Author, Authors, Campaign, Children, Cohort Studies, Communication, Confidence Intervals, Control, Education, Effectiveness, Embase, Florida, Head-Injuries, Intervention, Interventions, Literature, Medline, Promotion, </w:t>
      </w:r>
      <w:r>
        <w:rPr>
          <w:kern w:val="0"/>
        </w:rPr>
        <w:lastRenderedPageBreak/>
        <w:t>Research, Review, Science, Search Strategy, Social, State-Law, Strategy, Survey, Systematic, Systematic Review, Trauma, Victoria, Web of Science</w:t>
      </w:r>
    </w:p>
    <w:p w:rsidR="00565BAB" w:rsidRDefault="00565BAB" w:rsidP="00565BAB">
      <w:pPr>
        <w:pStyle w:val="a0"/>
        <w:rPr>
          <w:kern w:val="0"/>
        </w:rPr>
      </w:pPr>
      <w:r>
        <w:rPr>
          <w:kern w:val="0"/>
        </w:rPr>
        <w:t>? Lawrence, D.W. (2008), What is lost when searching only one literature database for articles relevant to injury prevention</w:t>
      </w:r>
      <w:r w:rsidR="00F81221">
        <w:rPr>
          <w:kern w:val="0"/>
        </w:rPr>
        <w:t xml:space="preserve"> and </w:t>
      </w:r>
      <w:r>
        <w:rPr>
          <w:kern w:val="0"/>
        </w:rPr>
        <w:t xml:space="preserve">safety promotion? </w:t>
      </w:r>
      <w:r>
        <w:rPr>
          <w:i/>
          <w:iCs/>
          <w:kern w:val="0"/>
        </w:rPr>
        <w:t>Injury Prevention</w:t>
      </w:r>
      <w:r>
        <w:rPr>
          <w:kern w:val="0"/>
        </w:rPr>
        <w:t xml:space="preserve">, </w:t>
      </w:r>
      <w:r>
        <w:rPr>
          <w:b/>
          <w:bCs/>
          <w:kern w:val="0"/>
        </w:rPr>
        <w:t>14</w:t>
      </w:r>
      <w:r>
        <w:rPr>
          <w:kern w:val="0"/>
        </w:rPr>
        <w:t xml:space="preserve"> (6), 401-404.</w:t>
      </w:r>
    </w:p>
    <w:p w:rsidR="00565BAB" w:rsidRDefault="00565BAB" w:rsidP="00565BAB">
      <w:pPr>
        <w:pStyle w:val="a0"/>
        <w:rPr>
          <w:kern w:val="0"/>
          <w:szCs w:val="24"/>
        </w:rPr>
      </w:pPr>
      <w:r>
        <w:rPr>
          <w:kern w:val="0"/>
          <w:szCs w:val="24"/>
        </w:rPr>
        <w:t>Full Text: 2008\Inj Pre14, 401.pdf</w:t>
      </w:r>
    </w:p>
    <w:p w:rsidR="00565BAB" w:rsidRDefault="00565BAB" w:rsidP="00565BAB">
      <w:pPr>
        <w:pStyle w:val="a0"/>
        <w:rPr>
          <w:kern w:val="0"/>
        </w:rPr>
      </w:pPr>
      <w:r>
        <w:rPr>
          <w:kern w:val="0"/>
        </w:rPr>
        <w:t>Abstract: Objective: To assess what is lost if only one literature database is searched for articles relevant to injury prevention</w:t>
      </w:r>
      <w:r w:rsidR="00F81221">
        <w:rPr>
          <w:kern w:val="0"/>
        </w:rPr>
        <w:t xml:space="preserve"> and </w:t>
      </w:r>
      <w:r>
        <w:rPr>
          <w:kern w:val="0"/>
        </w:rPr>
        <w:t>safety promotion (IPSP) topics. Method: Serial textword (keyword, free-text) searches using multiple synonym terms for five key IPSP topics (bicycle-related brain injuries, ethanol-impaired driving, house fires, road rage,</w:t>
      </w:r>
      <w:r w:rsidR="00F81221">
        <w:rPr>
          <w:kern w:val="0"/>
        </w:rPr>
        <w:t xml:space="preserve"> and </w:t>
      </w:r>
      <w:r>
        <w:rPr>
          <w:kern w:val="0"/>
        </w:rPr>
        <w:t>suicidal behaviors among adolescents) were conducted in four of the bibliographic databases that are most used by IPSP professionals: EMBASE, MEDLINE, PsycINFO,</w:t>
      </w:r>
      <w:r w:rsidR="00F81221">
        <w:rPr>
          <w:kern w:val="0"/>
        </w:rPr>
        <w:t xml:space="preserve"> and </w:t>
      </w:r>
      <w:r>
        <w:rPr>
          <w:kern w:val="0"/>
        </w:rPr>
        <w:t>Web of Science. Through a systematic procedure, an inventory of articles on each topic in each database was conducted to identify the total unduplicated count of all articles on each topic, the number of articles unique to each database,</w:t>
      </w:r>
      <w:r w:rsidR="00F81221">
        <w:rPr>
          <w:kern w:val="0"/>
        </w:rPr>
        <w:t xml:space="preserve"> and </w:t>
      </w:r>
      <w:r>
        <w:rPr>
          <w:kern w:val="0"/>
        </w:rPr>
        <w:t>the articles available if only one database is searched. Results: No single database included all of the relevant articles on any topic,</w:t>
      </w:r>
      <w:r w:rsidR="00F81221">
        <w:rPr>
          <w:kern w:val="0"/>
        </w:rPr>
        <w:t xml:space="preserve"> and </w:t>
      </w:r>
      <w:r>
        <w:rPr>
          <w:kern w:val="0"/>
        </w:rPr>
        <w:t>the database with the broadest coverage differed by topic. A search of only one literature database will return 16.7-81.5% (median 43.4%) of the available articles on any of five key IPSP topics. Each database contributed unique articles to the total bibliography for each topic. Conclusion: A literature search performed in only one database will, on average, lead to a loss of more than half of the available literature on a topic.</w:t>
      </w:r>
    </w:p>
    <w:p w:rsidR="00565BAB" w:rsidRDefault="00565BAB" w:rsidP="00565BAB">
      <w:pPr>
        <w:pStyle w:val="a0"/>
        <w:rPr>
          <w:kern w:val="0"/>
        </w:rPr>
      </w:pPr>
      <w:r>
        <w:rPr>
          <w:kern w:val="0"/>
        </w:rPr>
        <w:t>Keywords: Adolescents, Bibliographic, Bibliographic Databases, Bibliography, Brain, Brain Injuries, Coverage, Databases, Driving, Embase, Index, Injury, Injury Prevention, Interventions, Journal Articles, Lead, Literature, Medline, Online Databases, Prevention, Promotion, Randomized Controlled-Trials, Rehabilitation, Safety, Science, Systematic, Systematic Reviews, Topics, Web of Science</w:t>
      </w:r>
    </w:p>
    <w:p w:rsidR="00565BAB" w:rsidRDefault="00565BAB" w:rsidP="00565BAB">
      <w:pPr>
        <w:pStyle w:val="a0"/>
        <w:rPr>
          <w:kern w:val="0"/>
        </w:rPr>
      </w:pPr>
      <w:r>
        <w:rPr>
          <w:kern w:val="0"/>
        </w:rPr>
        <w:t>? Cusimano, M.D.</w:t>
      </w:r>
      <w:r w:rsidR="00F81221">
        <w:rPr>
          <w:kern w:val="0"/>
        </w:rPr>
        <w:t xml:space="preserve"> and </w:t>
      </w:r>
      <w:r>
        <w:rPr>
          <w:kern w:val="0"/>
        </w:rPr>
        <w:t>Sameem, M. (2011), The effectiveness of middle</w:t>
      </w:r>
      <w:r w:rsidR="00F81221">
        <w:rPr>
          <w:kern w:val="0"/>
        </w:rPr>
        <w:t xml:space="preserve"> and </w:t>
      </w:r>
      <w:r>
        <w:rPr>
          <w:kern w:val="0"/>
        </w:rPr>
        <w:t xml:space="preserve">high school-based suicide prevention programmes for adolescents: A systematic review. </w:t>
      </w:r>
      <w:r>
        <w:rPr>
          <w:i/>
          <w:iCs/>
          <w:kern w:val="0"/>
        </w:rPr>
        <w:t>Injury Prevention</w:t>
      </w:r>
      <w:r>
        <w:rPr>
          <w:kern w:val="0"/>
        </w:rPr>
        <w:t xml:space="preserve">, </w:t>
      </w:r>
      <w:r>
        <w:rPr>
          <w:b/>
          <w:bCs/>
          <w:kern w:val="0"/>
        </w:rPr>
        <w:t>17</w:t>
      </w:r>
      <w:r>
        <w:rPr>
          <w:kern w:val="0"/>
        </w:rPr>
        <w:t xml:space="preserve"> (1), 43-49.</w:t>
      </w:r>
    </w:p>
    <w:p w:rsidR="00565BAB" w:rsidRDefault="00565BAB" w:rsidP="00565BAB">
      <w:pPr>
        <w:pStyle w:val="a0"/>
        <w:rPr>
          <w:kern w:val="0"/>
          <w:szCs w:val="24"/>
        </w:rPr>
      </w:pPr>
      <w:r>
        <w:rPr>
          <w:kern w:val="0"/>
          <w:szCs w:val="24"/>
        </w:rPr>
        <w:t>Full Text: 2011\Inj Pre17, 43.pdf</w:t>
      </w:r>
    </w:p>
    <w:p w:rsidR="00565BAB" w:rsidRDefault="00565BAB" w:rsidP="00565BAB">
      <w:pPr>
        <w:pStyle w:val="a0"/>
        <w:rPr>
          <w:kern w:val="0"/>
        </w:rPr>
      </w:pPr>
      <w:r>
        <w:rPr>
          <w:kern w:val="0"/>
        </w:rPr>
        <w:t>Abstract: Objective To assess the effectiveness of middle</w:t>
      </w:r>
      <w:r w:rsidR="00F81221">
        <w:rPr>
          <w:kern w:val="0"/>
        </w:rPr>
        <w:t xml:space="preserve"> and </w:t>
      </w:r>
      <w:r>
        <w:rPr>
          <w:kern w:val="0"/>
        </w:rPr>
        <w:t>high school-based suicide prevention curricula. Data sources The following were searched: Ovid MEDLINE(R) in-process</w:t>
      </w:r>
      <w:r w:rsidR="00F81221">
        <w:rPr>
          <w:kern w:val="0"/>
        </w:rPr>
        <w:t xml:space="preserve"> and </w:t>
      </w:r>
      <w:r>
        <w:rPr>
          <w:kern w:val="0"/>
        </w:rPr>
        <w:t>other non-indexed citations</w:t>
      </w:r>
      <w:r w:rsidR="00F81221">
        <w:rPr>
          <w:kern w:val="0"/>
        </w:rPr>
        <w:t xml:space="preserve"> and </w:t>
      </w:r>
      <w:r>
        <w:rPr>
          <w:kern w:val="0"/>
        </w:rPr>
        <w:t>Ovid MEDLINE(R), Ovid Healthstar, CINAHL, PsycINFO, all EBM reviews-Cochrane DSR, ACP Journal Club, DARE, CCTR, CMR, HTA,</w:t>
      </w:r>
      <w:r w:rsidR="00F81221">
        <w:rPr>
          <w:kern w:val="0"/>
        </w:rPr>
        <w:t xml:space="preserve"> and </w:t>
      </w:r>
      <w:r>
        <w:rPr>
          <w:kern w:val="0"/>
        </w:rPr>
        <w:t>NHSEED,</w:t>
      </w:r>
      <w:r w:rsidR="00F81221">
        <w:rPr>
          <w:kern w:val="0"/>
        </w:rPr>
        <w:t xml:space="preserve"> and </w:t>
      </w:r>
      <w:r>
        <w:rPr>
          <w:kern w:val="0"/>
        </w:rPr>
        <w:t>the ISI Web of Science, until October 2009; government web pages for statistics</w:t>
      </w:r>
      <w:r w:rsidR="00F81221">
        <w:rPr>
          <w:kern w:val="0"/>
        </w:rPr>
        <w:t xml:space="preserve"> and </w:t>
      </w:r>
      <w:r>
        <w:rPr>
          <w:kern w:val="0"/>
        </w:rPr>
        <w:t xml:space="preserve">other demographic data in countries where they were available; citation lists of relevant articles. Review methods Randomised controlled studies, interrupted time series analyses with a concurrent comparison </w:t>
      </w:r>
      <w:r>
        <w:rPr>
          <w:kern w:val="0"/>
        </w:rPr>
        <w:lastRenderedPageBreak/>
        <w:t>group, studies with follow-up examinations (post-test questionnaires</w:t>
      </w:r>
      <w:r w:rsidR="00F81221">
        <w:rPr>
          <w:kern w:val="0"/>
        </w:rPr>
        <w:t xml:space="preserve"> and </w:t>
      </w:r>
      <w:r>
        <w:rPr>
          <w:kern w:val="0"/>
        </w:rPr>
        <w:t>monitoring suicide rates),</w:t>
      </w:r>
      <w:r w:rsidR="00F81221">
        <w:rPr>
          <w:kern w:val="0"/>
        </w:rPr>
        <w:t xml:space="preserve"> and </w:t>
      </w:r>
      <w:r>
        <w:rPr>
          <w:kern w:val="0"/>
        </w:rPr>
        <w:t>middle to high school-based curriculum studies, including both male</w:t>
      </w:r>
      <w:r w:rsidR="00F81221">
        <w:rPr>
          <w:kern w:val="0"/>
        </w:rPr>
        <w:t xml:space="preserve"> and </w:t>
      </w:r>
      <w:r>
        <w:rPr>
          <w:kern w:val="0"/>
        </w:rPr>
        <w:t>female participants, were included. Results 36 potentially relevant studies were identified, eight of which met the inclusion criteria. Overall, statistically significant improvements were noted in knowledge, attitude,</w:t>
      </w:r>
      <w:r w:rsidR="00F81221">
        <w:rPr>
          <w:kern w:val="0"/>
        </w:rPr>
        <w:t xml:space="preserve"> and </w:t>
      </w:r>
      <w:r>
        <w:rPr>
          <w:kern w:val="0"/>
        </w:rPr>
        <w:t>help-seeking behaviour. A decrease in self reported ideation was reported in two studies. None reported on suicide rates. Conclusion Although evidence exists that school-based programmes to prevent suicide among adolescents improve knowledge, attitudes,</w:t>
      </w:r>
      <w:r w:rsidR="00F81221">
        <w:rPr>
          <w:kern w:val="0"/>
        </w:rPr>
        <w:t xml:space="preserve"> and </w:t>
      </w:r>
      <w:r>
        <w:rPr>
          <w:kern w:val="0"/>
        </w:rPr>
        <w:t>help-seeking behaviours, no evidence yet exists that these prevention programmes reduce suicide rates. Further well designed, controlled research is required before such programmes are instituted broadly to populations at risk.</w:t>
      </w:r>
    </w:p>
    <w:p w:rsidR="00565BAB" w:rsidRDefault="00565BAB" w:rsidP="00565BAB">
      <w:pPr>
        <w:pStyle w:val="a0"/>
        <w:rPr>
          <w:kern w:val="0"/>
        </w:rPr>
      </w:pPr>
      <w:r>
        <w:rPr>
          <w:kern w:val="0"/>
        </w:rPr>
        <w:t>Keywords: Adolescents, Attitude, Citation, Citations, Controlled Studies, Effectiveness, Follow-Up, Impact, ISI, Journal, Knowledge, Monitoring, Prevention, Questionnaires, Research, Review, Risk, Science, Statistics, Systematic, Systematic Review, Web of Science</w:t>
      </w:r>
    </w:p>
    <w:p w:rsidR="004A39FF" w:rsidRPr="00A428C3" w:rsidRDefault="004A39FF" w:rsidP="004A39FF">
      <w:pPr>
        <w:pStyle w:val="1"/>
      </w:pPr>
      <w:r w:rsidRPr="00586CD8">
        <w:br w:type="page"/>
      </w:r>
      <w:bookmarkStart w:id="1058" w:name="_Toc317161187"/>
      <w:r w:rsidRPr="00A428C3">
        <w:lastRenderedPageBreak/>
        <w:t xml:space="preserve">Title: </w:t>
      </w:r>
      <w:r w:rsidR="009F4051" w:rsidRPr="009F4051">
        <w:rPr>
          <w:iCs/>
          <w:szCs w:val="24"/>
        </w:rPr>
        <w:t>Innovation-Management Policy &amp; Practice</w:t>
      </w:r>
      <w:bookmarkEnd w:id="1058"/>
    </w:p>
    <w:p w:rsidR="004A39FF" w:rsidRPr="00A428C3" w:rsidRDefault="004A39FF" w:rsidP="00B72EF9">
      <w:pPr>
        <w:pStyle w:val="12"/>
      </w:pPr>
      <w:r w:rsidRPr="00A428C3">
        <w:t xml:space="preserve">Full Journal Title: </w:t>
      </w:r>
      <w:r w:rsidR="009F4051" w:rsidRPr="009F4051">
        <w:t>Innovation-Management Policy &amp; Practice</w:t>
      </w:r>
    </w:p>
    <w:p w:rsidR="004A39FF" w:rsidRPr="00A428C3" w:rsidRDefault="004A39FF" w:rsidP="00B72EF9">
      <w:pPr>
        <w:pStyle w:val="12"/>
      </w:pPr>
      <w:r w:rsidRPr="00A428C3">
        <w:t xml:space="preserve">ISO Abbreviated Title: </w:t>
      </w:r>
    </w:p>
    <w:p w:rsidR="004A39FF" w:rsidRPr="00A428C3" w:rsidRDefault="004A39FF" w:rsidP="00B72EF9">
      <w:pPr>
        <w:pStyle w:val="12"/>
      </w:pPr>
      <w:r w:rsidRPr="00A428C3">
        <w:t>JCR Abbreviated Title</w:t>
      </w:r>
      <w:r>
        <w:t>:</w:t>
      </w:r>
      <w:r w:rsidRPr="00A428C3">
        <w:t xml:space="preserve"> </w:t>
      </w:r>
    </w:p>
    <w:p w:rsidR="004A39FF" w:rsidRPr="00A428C3" w:rsidRDefault="004A39FF" w:rsidP="00B72EF9">
      <w:pPr>
        <w:pStyle w:val="12"/>
      </w:pPr>
      <w:r w:rsidRPr="00A428C3">
        <w:t xml:space="preserve">ISSN: </w:t>
      </w:r>
    </w:p>
    <w:p w:rsidR="004A39FF" w:rsidRPr="00A428C3" w:rsidRDefault="004A39FF" w:rsidP="00B72EF9">
      <w:pPr>
        <w:pStyle w:val="12"/>
      </w:pPr>
      <w:r w:rsidRPr="00A428C3">
        <w:t xml:space="preserve">Issues/Year: </w:t>
      </w:r>
    </w:p>
    <w:p w:rsidR="004A39FF" w:rsidRPr="00A428C3" w:rsidRDefault="004A39FF" w:rsidP="00B72EF9">
      <w:pPr>
        <w:pStyle w:val="12"/>
      </w:pPr>
      <w:r>
        <w:t xml:space="preserve">Journal Country/Territory: </w:t>
      </w:r>
    </w:p>
    <w:p w:rsidR="004A39FF" w:rsidRPr="00A428C3" w:rsidRDefault="004A39FF" w:rsidP="00B72EF9">
      <w:pPr>
        <w:pStyle w:val="12"/>
      </w:pPr>
      <w:r w:rsidRPr="00A428C3">
        <w:t xml:space="preserve">Language: </w:t>
      </w:r>
    </w:p>
    <w:p w:rsidR="004A39FF" w:rsidRPr="00A428C3" w:rsidRDefault="004A39FF" w:rsidP="00B72EF9">
      <w:pPr>
        <w:pStyle w:val="12"/>
      </w:pPr>
      <w:r w:rsidRPr="00A428C3">
        <w:t xml:space="preserve">Publisher: </w:t>
      </w:r>
    </w:p>
    <w:p w:rsidR="004A39FF" w:rsidRPr="00A428C3" w:rsidRDefault="004A39FF" w:rsidP="00B72EF9">
      <w:pPr>
        <w:pStyle w:val="12"/>
      </w:pPr>
      <w:r w:rsidRPr="00A428C3">
        <w:t xml:space="preserve">Publisher Address: </w:t>
      </w:r>
    </w:p>
    <w:p w:rsidR="004A39FF" w:rsidRPr="00A428C3" w:rsidRDefault="004A39FF" w:rsidP="00B72EF9">
      <w:pPr>
        <w:pStyle w:val="12"/>
      </w:pPr>
      <w:r w:rsidRPr="00A428C3">
        <w:t>Subject Categories:</w:t>
      </w:r>
    </w:p>
    <w:p w:rsidR="004A39FF" w:rsidRPr="00A428C3" w:rsidRDefault="004A39FF" w:rsidP="00B72EF9">
      <w:pPr>
        <w:pStyle w:val="12"/>
      </w:pPr>
      <w:r w:rsidRPr="00A428C3">
        <w:t xml:space="preserve">: Impact Factor </w:t>
      </w:r>
    </w:p>
    <w:p w:rsidR="004A39FF" w:rsidRDefault="004A39FF" w:rsidP="004A39FF">
      <w:pPr>
        <w:pStyle w:val="a0"/>
        <w:rPr>
          <w:kern w:val="0"/>
          <w:szCs w:val="24"/>
        </w:rPr>
      </w:pPr>
      <w:r>
        <w:rPr>
          <w:rFonts w:hint="eastAsia"/>
          <w:kern w:val="0"/>
          <w:szCs w:val="24"/>
        </w:rPr>
        <w:t xml:space="preserve">? </w:t>
      </w:r>
      <w:r>
        <w:rPr>
          <w:kern w:val="0"/>
          <w:szCs w:val="24"/>
        </w:rPr>
        <w:t>Lee, P.C.</w:t>
      </w:r>
      <w:r w:rsidR="00F81221">
        <w:rPr>
          <w:kern w:val="0"/>
          <w:szCs w:val="24"/>
        </w:rPr>
        <w:t xml:space="preserve"> and </w:t>
      </w:r>
      <w:r>
        <w:rPr>
          <w:kern w:val="0"/>
          <w:szCs w:val="24"/>
        </w:rPr>
        <w:t>Su, H.N. (2010), Investigating the structure of regional innovation system research through keyword co-occurrence</w:t>
      </w:r>
      <w:r w:rsidR="00F81221">
        <w:rPr>
          <w:kern w:val="0"/>
          <w:szCs w:val="24"/>
        </w:rPr>
        <w:t xml:space="preserve"> and </w:t>
      </w:r>
      <w:r>
        <w:rPr>
          <w:kern w:val="0"/>
          <w:szCs w:val="24"/>
        </w:rPr>
        <w:t xml:space="preserve">social network analysis. </w:t>
      </w:r>
      <w:r w:rsidRPr="009F4051">
        <w:rPr>
          <w:i/>
          <w:iCs/>
          <w:kern w:val="0"/>
          <w:szCs w:val="24"/>
        </w:rPr>
        <w:t>Innovation-Management Policy &amp; Practice</w:t>
      </w:r>
      <w:r>
        <w:rPr>
          <w:kern w:val="0"/>
          <w:szCs w:val="24"/>
        </w:rPr>
        <w:t xml:space="preserve">, </w:t>
      </w:r>
      <w:r>
        <w:rPr>
          <w:b/>
          <w:bCs/>
          <w:kern w:val="0"/>
          <w:szCs w:val="24"/>
        </w:rPr>
        <w:t>12</w:t>
      </w:r>
      <w:r>
        <w:rPr>
          <w:kern w:val="0"/>
          <w:szCs w:val="24"/>
        </w:rPr>
        <w:t xml:space="preserve"> (1), 26-40.</w:t>
      </w:r>
    </w:p>
    <w:p w:rsidR="004A39FF" w:rsidRDefault="004A39FF" w:rsidP="004A39FF">
      <w:pPr>
        <w:pStyle w:val="a0"/>
        <w:rPr>
          <w:kern w:val="0"/>
          <w:szCs w:val="24"/>
        </w:rPr>
      </w:pPr>
      <w:r>
        <w:rPr>
          <w:kern w:val="0"/>
          <w:szCs w:val="24"/>
        </w:rPr>
        <w:t>Abstract: Research on regional innovation systems (RIS) has evolved into a widely used analytical framework generating the empirical foundation for innovation policy making. The purpose of this research is to shed light on network-based author keyword analysis by integrating social network analysis</w:t>
      </w:r>
      <w:r w:rsidR="00F81221">
        <w:rPr>
          <w:kern w:val="0"/>
          <w:szCs w:val="24"/>
        </w:rPr>
        <w:t xml:space="preserve"> and </w:t>
      </w:r>
      <w:r>
        <w:rPr>
          <w:kern w:val="0"/>
          <w:szCs w:val="24"/>
        </w:rPr>
        <w:t>bibliometric analysis on the development of RIS research. A total of 432 papers belonging to 36 countries, 276 research institutes,</w:t>
      </w:r>
      <w:r w:rsidR="00F81221">
        <w:rPr>
          <w:kern w:val="0"/>
          <w:szCs w:val="24"/>
        </w:rPr>
        <w:t xml:space="preserve"> and </w:t>
      </w:r>
      <w:r>
        <w:rPr>
          <w:kern w:val="0"/>
          <w:szCs w:val="24"/>
        </w:rPr>
        <w:t>comprising 1165 keywords, are retrieved from the Web of Science databases for network construction</w:t>
      </w:r>
      <w:r w:rsidR="00F81221">
        <w:rPr>
          <w:kern w:val="0"/>
          <w:szCs w:val="24"/>
        </w:rPr>
        <w:t xml:space="preserve"> and </w:t>
      </w:r>
      <w:r>
        <w:rPr>
          <w:kern w:val="0"/>
          <w:szCs w:val="24"/>
        </w:rPr>
        <w:t>analysis. The obtained network in this study is capable of providing visual</w:t>
      </w:r>
      <w:r w:rsidR="00F81221">
        <w:rPr>
          <w:kern w:val="0"/>
          <w:szCs w:val="24"/>
        </w:rPr>
        <w:t xml:space="preserve"> and </w:t>
      </w:r>
      <w:r>
        <w:rPr>
          <w:kern w:val="0"/>
          <w:szCs w:val="24"/>
        </w:rPr>
        <w:t>quantitative insights into the publication trends or knowledge evolution of RIS. Network actors chosen in this study include country, research institute, first author,</w:t>
      </w:r>
      <w:r w:rsidR="00F81221">
        <w:rPr>
          <w:kern w:val="0"/>
          <w:szCs w:val="24"/>
        </w:rPr>
        <w:t xml:space="preserve"> and </w:t>
      </w:r>
      <w:r>
        <w:rPr>
          <w:kern w:val="0"/>
          <w:szCs w:val="24"/>
        </w:rPr>
        <w:t>keywords. These constitute four types of networks defined in this study: three research focus parallelship (RFP) networks (RFP-country network, RFP-institute network, RFP-author network)</w:t>
      </w:r>
      <w:r w:rsidR="00F81221">
        <w:rPr>
          <w:kern w:val="0"/>
          <w:szCs w:val="24"/>
        </w:rPr>
        <w:t xml:space="preserve"> and </w:t>
      </w:r>
      <w:r>
        <w:rPr>
          <w:kern w:val="0"/>
          <w:szCs w:val="24"/>
        </w:rPr>
        <w:t>one keyword co-occurrence (KCO) network.</w:t>
      </w:r>
    </w:p>
    <w:p w:rsidR="004A39FF" w:rsidRDefault="004A39FF" w:rsidP="004A39FF">
      <w:pPr>
        <w:pStyle w:val="a0"/>
        <w:rPr>
          <w:kern w:val="0"/>
          <w:szCs w:val="24"/>
        </w:rPr>
      </w:pPr>
      <w:r>
        <w:rPr>
          <w:kern w:val="0"/>
          <w:szCs w:val="24"/>
        </w:rPr>
        <w:t>Keywords: Centrality, Keyword Co-Occurrence Network, Knowledge Map, Network Theory, Publication, Regional Innovation System, Research Focus Parallelship Network</w:t>
      </w:r>
    </w:p>
    <w:p w:rsidR="0031722D" w:rsidRPr="00A428C3" w:rsidRDefault="0031722D" w:rsidP="0031722D">
      <w:pPr>
        <w:pStyle w:val="1"/>
      </w:pPr>
      <w:r w:rsidRPr="00586CD8">
        <w:br w:type="page"/>
      </w:r>
      <w:bookmarkStart w:id="1059" w:name="_Toc238863026"/>
      <w:bookmarkStart w:id="1060" w:name="_Toc317161188"/>
      <w:r w:rsidRPr="00A428C3">
        <w:lastRenderedPageBreak/>
        <w:t xml:space="preserve">Title: </w:t>
      </w:r>
      <w:r w:rsidRPr="00103D3C">
        <w:t>Innovation Policy</w:t>
      </w:r>
      <w:r w:rsidR="00F81221">
        <w:t xml:space="preserve"> and </w:t>
      </w:r>
      <w:r w:rsidRPr="00103D3C">
        <w:t>the Economy</w:t>
      </w:r>
      <w:bookmarkEnd w:id="1059"/>
      <w:bookmarkEnd w:id="1060"/>
    </w:p>
    <w:p w:rsidR="0031722D" w:rsidRPr="00A428C3" w:rsidRDefault="0031722D" w:rsidP="00B72EF9">
      <w:pPr>
        <w:pStyle w:val="12"/>
      </w:pPr>
      <w:r w:rsidRPr="00A428C3">
        <w:t xml:space="preserve">Full Journal Title: </w:t>
      </w:r>
      <w:r w:rsidRPr="009919E4">
        <w:t>Innovation Policy</w:t>
      </w:r>
      <w:r w:rsidR="00F81221">
        <w:t xml:space="preserve"> and </w:t>
      </w:r>
      <w:r w:rsidRPr="009919E4">
        <w:t>the Economy</w:t>
      </w:r>
    </w:p>
    <w:p w:rsidR="0031722D" w:rsidRPr="00A428C3" w:rsidRDefault="0031722D" w:rsidP="00B72EF9">
      <w:pPr>
        <w:pStyle w:val="12"/>
      </w:pPr>
      <w:r w:rsidRPr="00A428C3">
        <w:t xml:space="preserve">ISO Abbreviated Title: </w:t>
      </w:r>
    </w:p>
    <w:p w:rsidR="0031722D" w:rsidRPr="00A428C3" w:rsidRDefault="0031722D" w:rsidP="00B72EF9">
      <w:pPr>
        <w:pStyle w:val="12"/>
      </w:pPr>
      <w:r w:rsidRPr="00A428C3">
        <w:t>JCR Abbreviated Title</w:t>
      </w:r>
      <w:r>
        <w:t>:</w:t>
      </w:r>
      <w:r w:rsidRPr="00A428C3">
        <w:t xml:space="preserve"> </w:t>
      </w:r>
    </w:p>
    <w:p w:rsidR="0031722D" w:rsidRPr="00A428C3" w:rsidRDefault="0031722D" w:rsidP="00B72EF9">
      <w:pPr>
        <w:pStyle w:val="12"/>
      </w:pPr>
      <w:r w:rsidRPr="00A428C3">
        <w:t xml:space="preserve">ISSN: </w:t>
      </w:r>
    </w:p>
    <w:p w:rsidR="0031722D" w:rsidRPr="00A428C3" w:rsidRDefault="0031722D" w:rsidP="00B72EF9">
      <w:pPr>
        <w:pStyle w:val="12"/>
      </w:pPr>
      <w:r w:rsidRPr="00A428C3">
        <w:t xml:space="preserve">Issues/Year: </w:t>
      </w:r>
    </w:p>
    <w:p w:rsidR="0031722D" w:rsidRPr="00A428C3" w:rsidRDefault="00FB5623" w:rsidP="00B72EF9">
      <w:pPr>
        <w:pStyle w:val="12"/>
      </w:pPr>
      <w:r>
        <w:t>Journal Country/Territory:</w:t>
      </w:r>
      <w:r w:rsidR="0031722D">
        <w:t xml:space="preserve"> </w:t>
      </w:r>
    </w:p>
    <w:p w:rsidR="0031722D" w:rsidRPr="00A428C3" w:rsidRDefault="0031722D" w:rsidP="00B72EF9">
      <w:pPr>
        <w:pStyle w:val="12"/>
      </w:pPr>
      <w:r w:rsidRPr="00A428C3">
        <w:t xml:space="preserve">Language: </w:t>
      </w:r>
    </w:p>
    <w:p w:rsidR="0031722D" w:rsidRPr="00A428C3" w:rsidRDefault="0031722D" w:rsidP="00B72EF9">
      <w:pPr>
        <w:pStyle w:val="12"/>
      </w:pPr>
      <w:r w:rsidRPr="00A428C3">
        <w:t xml:space="preserve">Publisher: </w:t>
      </w:r>
    </w:p>
    <w:p w:rsidR="0031722D" w:rsidRPr="00A428C3" w:rsidRDefault="0031722D" w:rsidP="00B72EF9">
      <w:pPr>
        <w:pStyle w:val="12"/>
      </w:pPr>
      <w:r w:rsidRPr="00A428C3">
        <w:t xml:space="preserve">Publisher Address: </w:t>
      </w:r>
    </w:p>
    <w:p w:rsidR="0031722D" w:rsidRPr="00A428C3" w:rsidRDefault="0031722D" w:rsidP="00B72EF9">
      <w:pPr>
        <w:pStyle w:val="12"/>
      </w:pPr>
      <w:r w:rsidRPr="00A428C3">
        <w:t>Subject Categories:</w:t>
      </w:r>
    </w:p>
    <w:p w:rsidR="0031722D" w:rsidRPr="00A428C3" w:rsidRDefault="0031722D" w:rsidP="00B72EF9">
      <w:pPr>
        <w:pStyle w:val="12"/>
      </w:pPr>
      <w:r w:rsidRPr="00A428C3">
        <w:t xml:space="preserve">: Impact Factor </w:t>
      </w:r>
    </w:p>
    <w:p w:rsidR="0031722D" w:rsidRPr="009919E4" w:rsidRDefault="0031722D" w:rsidP="0031722D">
      <w:pPr>
        <w:pStyle w:val="a0"/>
      </w:pPr>
      <w:r w:rsidRPr="009919E4">
        <w:rPr>
          <w:rFonts w:hint="eastAsia"/>
        </w:rPr>
        <w:t xml:space="preserve">? </w:t>
      </w:r>
      <w:r w:rsidRPr="009919E4">
        <w:t>Murray, F.</w:t>
      </w:r>
      <w:r w:rsidR="00F81221">
        <w:t xml:space="preserve"> and </w:t>
      </w:r>
      <w:r w:rsidRPr="009919E4">
        <w:t xml:space="preserve">Stern, S. (2006), When ideas are not free: The impact of patents on scientific research. </w:t>
      </w:r>
      <w:r w:rsidRPr="009919E4">
        <w:rPr>
          <w:i/>
          <w:iCs/>
        </w:rPr>
        <w:t>Inn</w:t>
      </w:r>
      <w:r w:rsidR="006B7713">
        <w:rPr>
          <w:i/>
          <w:iCs/>
        </w:rPr>
        <w:t>ovation Policy</w:t>
      </w:r>
      <w:r w:rsidR="00F81221">
        <w:rPr>
          <w:i/>
          <w:iCs/>
        </w:rPr>
        <w:t xml:space="preserve"> and </w:t>
      </w:r>
      <w:r w:rsidR="006B7713">
        <w:rPr>
          <w:i/>
          <w:iCs/>
        </w:rPr>
        <w:t>the Economy</w:t>
      </w:r>
      <w:r w:rsidRPr="009919E4">
        <w:t xml:space="preserve">, </w:t>
      </w:r>
      <w:r w:rsidRPr="009919E4">
        <w:rPr>
          <w:b/>
          <w:bCs/>
        </w:rPr>
        <w:t>7</w:t>
      </w:r>
      <w:r w:rsidRPr="009919E4">
        <w:t>, 33-69.</w:t>
      </w:r>
    </w:p>
    <w:p w:rsidR="0031722D" w:rsidRPr="009919E4" w:rsidRDefault="0031722D" w:rsidP="0031722D">
      <w:pPr>
        <w:pStyle w:val="a0"/>
      </w:pPr>
      <w:r w:rsidRPr="009919E4">
        <w:t>Abstract: This chapter describes the impact of formal intellectual property rights on the production</w:t>
      </w:r>
      <w:r w:rsidR="00F81221">
        <w:t xml:space="preserve"> and </w:t>
      </w:r>
      <w:r w:rsidRPr="009919E4">
        <w:t xml:space="preserve">diffusion of </w:t>
      </w:r>
      <w:r w:rsidR="000352E7">
        <w:t>“</w:t>
      </w:r>
      <w:r w:rsidRPr="009919E4">
        <w:t>dual knowledge</w:t>
      </w:r>
      <w:r w:rsidR="000352E7">
        <w:t>”</w:t>
      </w:r>
      <w:r w:rsidRPr="009919E4">
        <w:t>-ideas that are simultaneously of value as a scientific discovery</w:t>
      </w:r>
      <w:r w:rsidR="00F81221">
        <w:t xml:space="preserve"> and </w:t>
      </w:r>
      <w:r w:rsidRPr="009919E4">
        <w:t>as a useful, inventive construct. We argue that a great deal of knowledge generated in academia, particularly in the life sciences, falls into this category (sometimes referred to as Pasteur</w:t>
      </w:r>
      <w:r w:rsidR="000352E7">
        <w:t>’</w:t>
      </w:r>
      <w:r w:rsidRPr="009919E4">
        <w:t>s Quadrant). The production</w:t>
      </w:r>
      <w:r w:rsidR="00F81221">
        <w:t xml:space="preserve"> and </w:t>
      </w:r>
      <w:r w:rsidRPr="009919E4">
        <w:t>diffusion of dual purpose knowledge challenges the premise of most science policy analysis, which is implicitly based on a clear separation between basic scientific knowledge</w:t>
      </w:r>
      <w:r w:rsidR="00F81221">
        <w:t xml:space="preserve"> and </w:t>
      </w:r>
      <w:r w:rsidRPr="009919E4">
        <w:t>applied knowledge useful in the development of new technology. Instead, dual knowledge simultaneously makes both a basic</w:t>
      </w:r>
      <w:r w:rsidR="00F81221">
        <w:t xml:space="preserve"> and </w:t>
      </w:r>
      <w:r w:rsidRPr="009919E4">
        <w:t>an applied contribution. We review qualitative</w:t>
      </w:r>
      <w:r w:rsidR="00F81221">
        <w:t xml:space="preserve"> and </w:t>
      </w:r>
      <w:r w:rsidRPr="009919E4">
        <w:t>quantitative evidence relating to the policy challenges raised by the production</w:t>
      </w:r>
      <w:r w:rsidR="00F81221">
        <w:t xml:space="preserve"> and </w:t>
      </w:r>
      <w:r w:rsidRPr="009919E4">
        <w:t>dissemination of dual knowledge, highlighting three broad findings. First, rather than facing a fundamental tradeoff between applied research</w:t>
      </w:r>
      <w:r w:rsidR="00F81221">
        <w:t xml:space="preserve"> and </w:t>
      </w:r>
      <w:r w:rsidRPr="009919E4">
        <w:t>more fundamental scientific knowledge, research agencies can</w:t>
      </w:r>
      <w:r w:rsidR="00F81221">
        <w:t xml:space="preserve"> and </w:t>
      </w:r>
      <w:r w:rsidRPr="009919E4">
        <w:t>do invest in dual purpose knowledge. Indeed, the dual purpose knowledge framework suggests a distinct rationale for public sector involvement in the funding</w:t>
      </w:r>
      <w:r w:rsidR="00F81221">
        <w:t xml:space="preserve"> and </w:t>
      </w:r>
      <w:r w:rsidRPr="009919E4">
        <w:t>conduct of research: the social impact of a given piece of knowledge may be enhanced when knowledge is produced</w:t>
      </w:r>
      <w:r w:rsidR="00F81221">
        <w:t xml:space="preserve"> and </w:t>
      </w:r>
      <w:r w:rsidRPr="009919E4">
        <w:t>disclosed in accordance with the norms of the scientific research community (particularly compared to secrecy). Second, we suggest that, within Pasteur</w:t>
      </w:r>
      <w:r w:rsidR="000352E7">
        <w:t>’</w:t>
      </w:r>
      <w:r w:rsidRPr="009919E4">
        <w:t>s Quadrant, the increased use of formal IPR seems to be significantly shaping the structure,conduct</w:t>
      </w:r>
      <w:r w:rsidR="00F81221">
        <w:t xml:space="preserve"> and </w:t>
      </w:r>
      <w:r w:rsidRPr="009919E4">
        <w:t>performance of both university</w:t>
      </w:r>
      <w:r w:rsidR="00F81221">
        <w:t xml:space="preserve"> and </w:t>
      </w:r>
      <w:r w:rsidRPr="009919E4">
        <w:t>industry researchers. On the one hand, from the perspective of individual researchers, patenting does not seem to come at the expense of scientific publication,</w:t>
      </w:r>
      <w:r w:rsidR="00F81221">
        <w:t xml:space="preserve"> and </w:t>
      </w:r>
      <w:r w:rsidRPr="009919E4">
        <w:t xml:space="preserve">both respond to the process of scientific discovery. There is some </w:t>
      </w:r>
      <w:r w:rsidRPr="009919E4">
        <w:lastRenderedPageBreak/>
        <w:t xml:space="preserve">evidence, however, that patent grant may reduce the extent of use of knowledge: the citation rate to a scientific article describing a dual-purpose discovery experiences a modest decline after patent rights are granted over that knowledge. Finally, the impact of patents may be indirect; rather than directly impacting behavior through patent enforcement, scientific conduct may be affected through related mechanisms such as material transfer agreements. Not simply a legal document within a seamless web of cooperation, nor a bludgeon to stop scientific progress in its tracks, patents seem to be changing the </w:t>
      </w:r>
      <w:r w:rsidR="000352E7">
        <w:t>“</w:t>
      </w:r>
      <w:r w:rsidRPr="009919E4">
        <w:t>rules of the game</w:t>
      </w:r>
      <w:r w:rsidR="000352E7">
        <w:t>”</w:t>
      </w:r>
      <w:r w:rsidRPr="009919E4">
        <w:t xml:space="preserve"> for scientific exchange, cooperation,</w:t>
      </w:r>
      <w:r w:rsidR="00F81221">
        <w:t xml:space="preserve"> and </w:t>
      </w:r>
      <w:r w:rsidRPr="009919E4">
        <w:t>credit.</w:t>
      </w:r>
    </w:p>
    <w:p w:rsidR="0031722D" w:rsidRPr="009919E4" w:rsidRDefault="0031722D" w:rsidP="0031722D">
      <w:pPr>
        <w:pStyle w:val="a0"/>
      </w:pPr>
      <w:r w:rsidRPr="009919E4">
        <w:t>Keywords: Analysis, Behavior, Biotechnology, Citation, Community, Cooperation, Deficiency Syndrome AIDS, Development, Diffusion, Discovery, Economics, Enforcement, Enzymatic Amplification, Evidence, Extreme Thermophile, Framework, Funding, Growth, Impact, Intellectual Property, Knowledge, Legal, Life, Life Sciences, Mechanisms, Norms, Patent, Patents, Performance, Policy, Policy Analysis, Progress, Property, Property Rights, Public, Public Sector, Publication, Purpose, Qualitative, Research, Retroviruses HTLV-III, Review, Rights, Science, Science Policy, Sciences, Scientific Progress, Scientific Research, Sector, Separation, Social, Technology, Thermus-Aquaticus, University, Value, Web</w:t>
      </w:r>
    </w:p>
    <w:p w:rsidR="006B7713" w:rsidRPr="00A428C3" w:rsidRDefault="006B7713" w:rsidP="006B7713">
      <w:pPr>
        <w:pStyle w:val="1"/>
      </w:pPr>
      <w:r w:rsidRPr="00586CD8">
        <w:br w:type="page"/>
      </w:r>
      <w:bookmarkStart w:id="1061" w:name="_Toc317161189"/>
      <w:r w:rsidRPr="00A428C3">
        <w:lastRenderedPageBreak/>
        <w:t xml:space="preserve">Title: </w:t>
      </w:r>
      <w:r w:rsidRPr="006B7713">
        <w:rPr>
          <w:iCs/>
          <w:szCs w:val="24"/>
        </w:rPr>
        <w:t>Innovations in Education</w:t>
      </w:r>
      <w:r w:rsidR="00F81221">
        <w:rPr>
          <w:iCs/>
          <w:szCs w:val="24"/>
        </w:rPr>
        <w:t xml:space="preserve"> and </w:t>
      </w:r>
      <w:r w:rsidRPr="006B7713">
        <w:rPr>
          <w:iCs/>
          <w:szCs w:val="24"/>
        </w:rPr>
        <w:t>Teaching International</w:t>
      </w:r>
      <w:bookmarkEnd w:id="1061"/>
    </w:p>
    <w:p w:rsidR="006B7713" w:rsidRPr="00A428C3" w:rsidRDefault="006B7713" w:rsidP="006B7713">
      <w:pPr>
        <w:pStyle w:val="12"/>
      </w:pPr>
      <w:r w:rsidRPr="00A428C3">
        <w:t xml:space="preserve">Full Journal Title: </w:t>
      </w:r>
      <w:r w:rsidRPr="006B7713">
        <w:rPr>
          <w:iCs/>
        </w:rPr>
        <w:t>Innovations in Education</w:t>
      </w:r>
      <w:r w:rsidR="00F81221">
        <w:rPr>
          <w:iCs/>
        </w:rPr>
        <w:t xml:space="preserve"> and </w:t>
      </w:r>
      <w:r w:rsidRPr="006B7713">
        <w:rPr>
          <w:iCs/>
        </w:rPr>
        <w:t>Teaching International</w:t>
      </w:r>
    </w:p>
    <w:p w:rsidR="006B7713" w:rsidRPr="00A428C3" w:rsidRDefault="006B7713" w:rsidP="006B7713">
      <w:pPr>
        <w:pStyle w:val="12"/>
      </w:pPr>
      <w:r w:rsidRPr="00A428C3">
        <w:t xml:space="preserve">ISO Abbreviated Title: </w:t>
      </w:r>
    </w:p>
    <w:p w:rsidR="006B7713" w:rsidRPr="00A428C3" w:rsidRDefault="006B7713" w:rsidP="006B7713">
      <w:pPr>
        <w:pStyle w:val="12"/>
      </w:pPr>
      <w:r w:rsidRPr="00A428C3">
        <w:t>JCR Abbreviated Title</w:t>
      </w:r>
      <w:r>
        <w:t>:</w:t>
      </w:r>
      <w:r w:rsidRPr="00A428C3">
        <w:t xml:space="preserve"> </w:t>
      </w:r>
    </w:p>
    <w:p w:rsidR="006B7713" w:rsidRPr="00A428C3" w:rsidRDefault="006B7713" w:rsidP="006B7713">
      <w:pPr>
        <w:pStyle w:val="12"/>
      </w:pPr>
      <w:r w:rsidRPr="00A428C3">
        <w:t xml:space="preserve">ISSN: </w:t>
      </w:r>
    </w:p>
    <w:p w:rsidR="006B7713" w:rsidRPr="00A428C3" w:rsidRDefault="006B7713" w:rsidP="006B7713">
      <w:pPr>
        <w:pStyle w:val="12"/>
      </w:pPr>
      <w:r w:rsidRPr="00A428C3">
        <w:t xml:space="preserve">Issues/Year: </w:t>
      </w:r>
    </w:p>
    <w:p w:rsidR="006B7713" w:rsidRPr="00A428C3" w:rsidRDefault="006B7713" w:rsidP="006B7713">
      <w:pPr>
        <w:pStyle w:val="12"/>
      </w:pPr>
      <w:r>
        <w:t xml:space="preserve">Journal Country/Territory: </w:t>
      </w:r>
    </w:p>
    <w:p w:rsidR="006B7713" w:rsidRPr="00A428C3" w:rsidRDefault="006B7713" w:rsidP="006B7713">
      <w:pPr>
        <w:pStyle w:val="12"/>
      </w:pPr>
      <w:r w:rsidRPr="00A428C3">
        <w:t xml:space="preserve">Language: </w:t>
      </w:r>
    </w:p>
    <w:p w:rsidR="006B7713" w:rsidRPr="00A428C3" w:rsidRDefault="006B7713" w:rsidP="006B7713">
      <w:pPr>
        <w:pStyle w:val="12"/>
      </w:pPr>
      <w:r w:rsidRPr="00A428C3">
        <w:t xml:space="preserve">Publisher: </w:t>
      </w:r>
    </w:p>
    <w:p w:rsidR="006B7713" w:rsidRPr="00A428C3" w:rsidRDefault="006B7713" w:rsidP="006B7713">
      <w:pPr>
        <w:pStyle w:val="12"/>
      </w:pPr>
      <w:r w:rsidRPr="00A428C3">
        <w:t xml:space="preserve">Publisher Address: </w:t>
      </w:r>
    </w:p>
    <w:p w:rsidR="006B7713" w:rsidRPr="00A428C3" w:rsidRDefault="006B7713" w:rsidP="006B7713">
      <w:pPr>
        <w:pStyle w:val="12"/>
      </w:pPr>
      <w:r w:rsidRPr="00A428C3">
        <w:t>Subject Categories:</w:t>
      </w:r>
    </w:p>
    <w:p w:rsidR="006B7713" w:rsidRPr="00A428C3" w:rsidRDefault="006B7713" w:rsidP="006B7713">
      <w:pPr>
        <w:pStyle w:val="12"/>
      </w:pPr>
      <w:r w:rsidRPr="00A428C3">
        <w:t xml:space="preserve">: Impact Factor </w:t>
      </w:r>
    </w:p>
    <w:p w:rsidR="006B7713" w:rsidRDefault="006B7713" w:rsidP="006B7713">
      <w:pPr>
        <w:pStyle w:val="a0"/>
        <w:rPr>
          <w:kern w:val="0"/>
          <w:szCs w:val="24"/>
        </w:rPr>
      </w:pPr>
      <w:r>
        <w:rPr>
          <w:kern w:val="0"/>
          <w:szCs w:val="24"/>
        </w:rPr>
        <w:t>? Su, F.</w:t>
      </w:r>
      <w:r w:rsidR="00F81221">
        <w:rPr>
          <w:kern w:val="0"/>
          <w:szCs w:val="24"/>
        </w:rPr>
        <w:t xml:space="preserve"> and </w:t>
      </w:r>
      <w:r>
        <w:rPr>
          <w:kern w:val="0"/>
          <w:szCs w:val="24"/>
        </w:rPr>
        <w:t xml:space="preserve">Beaumont, C. (2010), Evaluating the use of a wiki for collaborative learning. </w:t>
      </w:r>
      <w:r w:rsidRPr="006B7713">
        <w:rPr>
          <w:i/>
          <w:iCs/>
          <w:kern w:val="0"/>
          <w:szCs w:val="24"/>
        </w:rPr>
        <w:t>Innovations in Education</w:t>
      </w:r>
      <w:r w:rsidR="00F81221">
        <w:rPr>
          <w:i/>
          <w:iCs/>
          <w:kern w:val="0"/>
          <w:szCs w:val="24"/>
        </w:rPr>
        <w:t xml:space="preserve"> and </w:t>
      </w:r>
      <w:r w:rsidRPr="006B7713">
        <w:rPr>
          <w:i/>
          <w:iCs/>
          <w:kern w:val="0"/>
          <w:szCs w:val="24"/>
        </w:rPr>
        <w:t>Teaching International</w:t>
      </w:r>
      <w:r>
        <w:rPr>
          <w:kern w:val="0"/>
          <w:szCs w:val="24"/>
        </w:rPr>
        <w:t xml:space="preserve">, </w:t>
      </w:r>
      <w:r>
        <w:rPr>
          <w:b/>
          <w:bCs/>
          <w:kern w:val="0"/>
          <w:szCs w:val="24"/>
        </w:rPr>
        <w:t>47</w:t>
      </w:r>
      <w:r>
        <w:rPr>
          <w:kern w:val="0"/>
          <w:szCs w:val="24"/>
        </w:rPr>
        <w:t xml:space="preserve"> (4), 417-431.</w:t>
      </w:r>
    </w:p>
    <w:p w:rsidR="006B7713" w:rsidRDefault="006B7713" w:rsidP="006B7713">
      <w:pPr>
        <w:pStyle w:val="a0"/>
        <w:rPr>
          <w:kern w:val="0"/>
          <w:szCs w:val="24"/>
        </w:rPr>
      </w:pPr>
      <w:r>
        <w:rPr>
          <w:kern w:val="0"/>
          <w:szCs w:val="24"/>
        </w:rPr>
        <w:t>Abstract: A wiki is able to provide a learning environment which is closely aligned with the social-constructivist approach</w:t>
      </w:r>
      <w:r w:rsidR="00F81221">
        <w:rPr>
          <w:kern w:val="0"/>
          <w:szCs w:val="24"/>
        </w:rPr>
        <w:t xml:space="preserve"> and </w:t>
      </w:r>
      <w:r>
        <w:rPr>
          <w:kern w:val="0"/>
          <w:szCs w:val="24"/>
        </w:rPr>
        <w:t>is more natural than many tools where open collaboration</w:t>
      </w:r>
      <w:r w:rsidR="00F81221">
        <w:rPr>
          <w:kern w:val="0"/>
          <w:szCs w:val="24"/>
        </w:rPr>
        <w:t xml:space="preserve"> and </w:t>
      </w:r>
      <w:r>
        <w:rPr>
          <w:kern w:val="0"/>
          <w:szCs w:val="24"/>
        </w:rPr>
        <w:t>the exchange of ideas are important. This case study analyses</w:t>
      </w:r>
      <w:r w:rsidR="00F81221">
        <w:rPr>
          <w:kern w:val="0"/>
          <w:szCs w:val="24"/>
        </w:rPr>
        <w:t xml:space="preserve"> and </w:t>
      </w:r>
      <w:r>
        <w:rPr>
          <w:kern w:val="0"/>
          <w:szCs w:val="24"/>
        </w:rPr>
        <w:t>evaluates essential aspects for the successful deployment of a wiki in a higher education setting using Salmon</w:t>
      </w:r>
      <w:r w:rsidR="000352E7">
        <w:rPr>
          <w:kern w:val="0"/>
          <w:szCs w:val="24"/>
        </w:rPr>
        <w:t>’</w:t>
      </w:r>
      <w:r>
        <w:rPr>
          <w:kern w:val="0"/>
          <w:szCs w:val="24"/>
        </w:rPr>
        <w:t>s five-stage e-learning framework. Indicators of the learning benefits were determined by qualitative analysis of students</w:t>
      </w:r>
      <w:r w:rsidR="000352E7">
        <w:rPr>
          <w:kern w:val="0"/>
          <w:szCs w:val="24"/>
        </w:rPr>
        <w:t>’</w:t>
      </w:r>
      <w:r>
        <w:rPr>
          <w:kern w:val="0"/>
          <w:szCs w:val="24"/>
        </w:rPr>
        <w:t xml:space="preserve"> wiki contributions. Students</w:t>
      </w:r>
      <w:r w:rsidR="000352E7">
        <w:rPr>
          <w:kern w:val="0"/>
          <w:szCs w:val="24"/>
        </w:rPr>
        <w:t>’</w:t>
      </w:r>
      <w:r>
        <w:rPr>
          <w:kern w:val="0"/>
          <w:szCs w:val="24"/>
        </w:rPr>
        <w:t xml:space="preserve"> perceptions were captured through interviews</w:t>
      </w:r>
      <w:r w:rsidR="00F81221">
        <w:rPr>
          <w:kern w:val="0"/>
          <w:szCs w:val="24"/>
        </w:rPr>
        <w:t xml:space="preserve"> and </w:t>
      </w:r>
      <w:r>
        <w:rPr>
          <w:kern w:val="0"/>
          <w:szCs w:val="24"/>
        </w:rPr>
        <w:t>questionnaires at the start</w:t>
      </w:r>
      <w:r w:rsidR="00F81221">
        <w:rPr>
          <w:kern w:val="0"/>
          <w:szCs w:val="24"/>
        </w:rPr>
        <w:t xml:space="preserve"> and </w:t>
      </w:r>
      <w:r>
        <w:rPr>
          <w:kern w:val="0"/>
          <w:szCs w:val="24"/>
        </w:rPr>
        <w:t>end of the project, thereby providing indicators of their motivation towards this method of learning. Our results suggest that a wiki can promote effective collaborative learning</w:t>
      </w:r>
      <w:r w:rsidR="00F81221">
        <w:rPr>
          <w:kern w:val="0"/>
          <w:szCs w:val="24"/>
        </w:rPr>
        <w:t xml:space="preserve"> and </w:t>
      </w:r>
      <w:r>
        <w:rPr>
          <w:kern w:val="0"/>
          <w:szCs w:val="24"/>
        </w:rPr>
        <w:t>confidence in formative self</w:t>
      </w:r>
      <w:r w:rsidR="00F81221">
        <w:rPr>
          <w:kern w:val="0"/>
          <w:szCs w:val="24"/>
        </w:rPr>
        <w:t xml:space="preserve"> and </w:t>
      </w:r>
      <w:r>
        <w:rPr>
          <w:kern w:val="0"/>
          <w:szCs w:val="24"/>
        </w:rPr>
        <w:t>peer assessment by facilitating rapid feedback, vicarious learning through observing others</w:t>
      </w:r>
      <w:r w:rsidR="000352E7">
        <w:rPr>
          <w:kern w:val="0"/>
          <w:szCs w:val="24"/>
        </w:rPr>
        <w:t>’</w:t>
      </w:r>
      <w:r>
        <w:rPr>
          <w:kern w:val="0"/>
          <w:szCs w:val="24"/>
        </w:rPr>
        <w:t xml:space="preserve"> contributions</w:t>
      </w:r>
      <w:r w:rsidR="00F81221">
        <w:rPr>
          <w:kern w:val="0"/>
          <w:szCs w:val="24"/>
        </w:rPr>
        <w:t xml:space="preserve"> and </w:t>
      </w:r>
      <w:r>
        <w:rPr>
          <w:kern w:val="0"/>
          <w:szCs w:val="24"/>
        </w:rPr>
        <w:t>easy navigation</w:t>
      </w:r>
      <w:r w:rsidR="00F81221">
        <w:rPr>
          <w:kern w:val="0"/>
          <w:szCs w:val="24"/>
        </w:rPr>
        <w:t xml:space="preserve"> and </w:t>
      </w:r>
      <w:r>
        <w:rPr>
          <w:kern w:val="0"/>
          <w:szCs w:val="24"/>
        </w:rPr>
        <w:t>tracking facilities. Student authorship was also encouraged. Issues identified included providing easy access to the wiki, lack of personalisation, possible vandalism</w:t>
      </w:r>
      <w:r w:rsidR="00F81221">
        <w:rPr>
          <w:kern w:val="0"/>
          <w:szCs w:val="24"/>
        </w:rPr>
        <w:t xml:space="preserve"> and </w:t>
      </w:r>
      <w:r>
        <w:rPr>
          <w:kern w:val="0"/>
          <w:szCs w:val="24"/>
        </w:rPr>
        <w:t>plagiarism. Also, students with learning difficulties might require extra help</w:t>
      </w:r>
      <w:r w:rsidR="00F81221">
        <w:rPr>
          <w:kern w:val="0"/>
          <w:szCs w:val="24"/>
        </w:rPr>
        <w:t xml:space="preserve"> and </w:t>
      </w:r>
      <w:r>
        <w:rPr>
          <w:kern w:val="0"/>
          <w:szCs w:val="24"/>
        </w:rPr>
        <w:t>take longer to familiarise themselves with this new e-learning environment.</w:t>
      </w:r>
    </w:p>
    <w:p w:rsidR="006B7713" w:rsidRDefault="006B7713" w:rsidP="006B7713">
      <w:pPr>
        <w:pStyle w:val="a0"/>
        <w:rPr>
          <w:kern w:val="0"/>
          <w:szCs w:val="24"/>
        </w:rPr>
      </w:pPr>
      <w:r>
        <w:rPr>
          <w:kern w:val="0"/>
          <w:szCs w:val="24"/>
        </w:rPr>
        <w:t>Keywords: Assessment, Authorship, Collaboration, E-Learning, Education, Environment, Feedback, Higher Education, Indicators, Learning, Plagiarism, Questionnaires, Social Constructivism, Students, Wiki</w:t>
      </w:r>
    </w:p>
    <w:p w:rsidR="00B95188" w:rsidRPr="00A428C3" w:rsidRDefault="00B95188" w:rsidP="00B95188">
      <w:pPr>
        <w:pStyle w:val="1"/>
      </w:pPr>
      <w:r w:rsidRPr="00586CD8">
        <w:br w:type="page"/>
      </w:r>
      <w:bookmarkStart w:id="1062" w:name="_Toc492812158"/>
      <w:bookmarkStart w:id="1063" w:name="_Toc186647874"/>
      <w:bookmarkStart w:id="1064" w:name="_Toc317161190"/>
      <w:r w:rsidRPr="00A428C3">
        <w:lastRenderedPageBreak/>
        <w:t>Title: Inorganic Chemistry</w:t>
      </w:r>
      <w:bookmarkEnd w:id="1062"/>
      <w:bookmarkEnd w:id="1063"/>
      <w:bookmarkEnd w:id="1064"/>
    </w:p>
    <w:p w:rsidR="00B95188" w:rsidRPr="00060FD3" w:rsidRDefault="00B95188" w:rsidP="00B72EF9">
      <w:pPr>
        <w:pStyle w:val="12"/>
      </w:pPr>
      <w:r w:rsidRPr="00060FD3">
        <w:t>Full Journal Title: Inorganic Chemistry</w:t>
      </w:r>
    </w:p>
    <w:p w:rsidR="00B95188" w:rsidRPr="00060FD3" w:rsidRDefault="00B95188" w:rsidP="00B72EF9">
      <w:pPr>
        <w:pStyle w:val="12"/>
      </w:pPr>
      <w:r w:rsidRPr="00060FD3">
        <w:t>ISO Abbreviated Title: Inorg. Chem.</w:t>
      </w:r>
    </w:p>
    <w:p w:rsidR="00B95188" w:rsidRPr="00060FD3" w:rsidRDefault="00B95188" w:rsidP="00B72EF9">
      <w:pPr>
        <w:pStyle w:val="12"/>
      </w:pPr>
      <w:r w:rsidRPr="00060FD3">
        <w:t>JCR Abbreviated Title: Inorg Chem</w:t>
      </w:r>
    </w:p>
    <w:p w:rsidR="00B95188" w:rsidRPr="00060FD3" w:rsidRDefault="00B95188" w:rsidP="00B72EF9">
      <w:pPr>
        <w:pStyle w:val="12"/>
      </w:pPr>
      <w:r w:rsidRPr="00060FD3">
        <w:t>ISSN: 0020-1669</w:t>
      </w:r>
    </w:p>
    <w:p w:rsidR="00B95188" w:rsidRPr="00060FD3" w:rsidRDefault="00B95188" w:rsidP="00B72EF9">
      <w:pPr>
        <w:pStyle w:val="12"/>
      </w:pPr>
      <w:r w:rsidRPr="00060FD3">
        <w:t>Issues/Year: 26</w:t>
      </w:r>
    </w:p>
    <w:p w:rsidR="00B95188" w:rsidRPr="00060FD3" w:rsidRDefault="00B95188" w:rsidP="00B72EF9">
      <w:pPr>
        <w:pStyle w:val="12"/>
      </w:pPr>
      <w:r w:rsidRPr="00060FD3">
        <w:t>Journal Country/Territory: United States</w:t>
      </w:r>
    </w:p>
    <w:p w:rsidR="00B95188" w:rsidRPr="00060FD3" w:rsidRDefault="00B95188" w:rsidP="00B72EF9">
      <w:pPr>
        <w:pStyle w:val="12"/>
      </w:pPr>
      <w:r w:rsidRPr="00060FD3">
        <w:t>Language: English</w:t>
      </w:r>
    </w:p>
    <w:p w:rsidR="00B95188" w:rsidRPr="00060FD3" w:rsidRDefault="00B95188" w:rsidP="00B72EF9">
      <w:pPr>
        <w:pStyle w:val="12"/>
      </w:pPr>
      <w:r w:rsidRPr="00060FD3">
        <w:t>Publisher: Amer Chemical Soc</w:t>
      </w:r>
    </w:p>
    <w:p w:rsidR="00B95188" w:rsidRPr="00060FD3" w:rsidRDefault="00B95188" w:rsidP="00B72EF9">
      <w:pPr>
        <w:pStyle w:val="12"/>
      </w:pPr>
      <w:r w:rsidRPr="00060FD3">
        <w:t>Publisher Address: 1155 16th St, NW, Washington, DC 20036</w:t>
      </w:r>
    </w:p>
    <w:p w:rsidR="00B95188" w:rsidRPr="00060FD3" w:rsidRDefault="00B95188" w:rsidP="00B72EF9">
      <w:pPr>
        <w:pStyle w:val="12"/>
      </w:pPr>
      <w:r w:rsidRPr="00060FD3">
        <w:t>Subject Categories:</w:t>
      </w:r>
    </w:p>
    <w:p w:rsidR="00B95188" w:rsidRPr="00060FD3" w:rsidRDefault="00B95188" w:rsidP="00B72EF9">
      <w:pPr>
        <w:pStyle w:val="12"/>
      </w:pPr>
      <w:r w:rsidRPr="00060FD3">
        <w:t>Chemistry, Inorganic &amp; Nuclear: Impact Factor</w:t>
      </w:r>
    </w:p>
    <w:p w:rsidR="00B95188" w:rsidRPr="00A428C3" w:rsidRDefault="00B95188" w:rsidP="00B95188">
      <w:pPr>
        <w:pStyle w:val="a0"/>
      </w:pPr>
      <w:r w:rsidRPr="00A428C3">
        <w:t>Polyakov, V.R., Sharma, V., Crankshaw, C.L.</w:t>
      </w:r>
      <w:r w:rsidR="00F81221">
        <w:t xml:space="preserve"> and </w:t>
      </w:r>
      <w:r w:rsidRPr="00A428C3">
        <w:t>Piwnica-Worms, D. (1998), Synthesis, molecular structure,</w:t>
      </w:r>
      <w:r w:rsidR="00F81221">
        <w:t xml:space="preserve"> and </w:t>
      </w:r>
      <w:r w:rsidRPr="00A428C3">
        <w:t xml:space="preserve">properties of a neutral Schiff base phenolic complex of magnesium. </w:t>
      </w:r>
      <w:r w:rsidRPr="00A428C3">
        <w:rPr>
          <w:i/>
        </w:rPr>
        <w:t>Inorganic Chemistry</w:t>
      </w:r>
      <w:r w:rsidRPr="00A428C3">
        <w:t xml:space="preserve">, </w:t>
      </w:r>
      <w:r w:rsidRPr="00A428C3">
        <w:rPr>
          <w:b/>
        </w:rPr>
        <w:t>37</w:t>
      </w:r>
      <w:r w:rsidRPr="00A428C3">
        <w:t xml:space="preserve"> (18), 4740-4742.</w:t>
      </w:r>
    </w:p>
    <w:p w:rsidR="00B95188" w:rsidRPr="00A428C3" w:rsidRDefault="00B95188" w:rsidP="00B95188">
      <w:pPr>
        <w:pStyle w:val="a0"/>
      </w:pPr>
      <w:r w:rsidRPr="00A428C3">
        <w:t xml:space="preserve">Full Text: </w:t>
      </w:r>
      <w:hyperlink r:id="rId1520" w:history="1">
        <w:r w:rsidRPr="00A428C3">
          <w:rPr>
            <w:rStyle w:val="a5"/>
          </w:rPr>
          <w:t>I\Ino Che378, 4740.pdf</w:t>
        </w:r>
      </w:hyperlink>
    </w:p>
    <w:p w:rsidR="00B95188" w:rsidRPr="00A428C3" w:rsidRDefault="00B95188" w:rsidP="00B95188">
      <w:pPr>
        <w:pStyle w:val="a0"/>
      </w:pPr>
      <w:r w:rsidRPr="00A428C3">
        <w:t>Keywords: Resistance P-Glycoprotein, Multidrug-Resistance, In-Vitro, Coordination, Expression, Reversal, Cancer, Metal, Ions, Mg</w:t>
      </w:r>
    </w:p>
    <w:p w:rsidR="00060FD3" w:rsidRPr="00A428C3" w:rsidRDefault="00060FD3" w:rsidP="00060FD3">
      <w:pPr>
        <w:pStyle w:val="1"/>
      </w:pPr>
      <w:r w:rsidRPr="00586CD8">
        <w:br w:type="page"/>
      </w:r>
      <w:bookmarkStart w:id="1065" w:name="_Toc317161191"/>
      <w:r w:rsidRPr="00A428C3">
        <w:lastRenderedPageBreak/>
        <w:t xml:space="preserve">Title: </w:t>
      </w:r>
      <w:r w:rsidRPr="00060FD3">
        <w:rPr>
          <w:iCs/>
        </w:rPr>
        <w:t>Inorganic Chemistry Communications</w:t>
      </w:r>
      <w:bookmarkEnd w:id="1065"/>
    </w:p>
    <w:p w:rsidR="00060FD3" w:rsidRPr="00A428C3" w:rsidRDefault="00060FD3" w:rsidP="00B72EF9">
      <w:pPr>
        <w:pStyle w:val="12"/>
      </w:pPr>
      <w:r w:rsidRPr="00A428C3">
        <w:t xml:space="preserve">Full Journal Title: </w:t>
      </w:r>
      <w:r w:rsidRPr="00060FD3">
        <w:t>Inorganic Chemistry Communications</w:t>
      </w:r>
    </w:p>
    <w:p w:rsidR="00060FD3" w:rsidRPr="00A428C3" w:rsidRDefault="00060FD3" w:rsidP="00B72EF9">
      <w:pPr>
        <w:pStyle w:val="12"/>
      </w:pPr>
      <w:r w:rsidRPr="00A428C3">
        <w:t xml:space="preserve">ISO Abbreviated Title: </w:t>
      </w:r>
    </w:p>
    <w:p w:rsidR="00060FD3" w:rsidRPr="00A428C3" w:rsidRDefault="00060FD3" w:rsidP="00B72EF9">
      <w:pPr>
        <w:pStyle w:val="12"/>
      </w:pPr>
      <w:r w:rsidRPr="00A428C3">
        <w:t>JCR Abbreviated Title</w:t>
      </w:r>
      <w:r>
        <w:t>:</w:t>
      </w:r>
      <w:r w:rsidRPr="00A428C3">
        <w:t xml:space="preserve"> </w:t>
      </w:r>
    </w:p>
    <w:p w:rsidR="00060FD3" w:rsidRPr="00A428C3" w:rsidRDefault="00060FD3" w:rsidP="00B72EF9">
      <w:pPr>
        <w:pStyle w:val="12"/>
      </w:pPr>
      <w:r w:rsidRPr="00A428C3">
        <w:t xml:space="preserve">ISSN: </w:t>
      </w:r>
    </w:p>
    <w:p w:rsidR="00060FD3" w:rsidRPr="00A428C3" w:rsidRDefault="00060FD3" w:rsidP="00B72EF9">
      <w:pPr>
        <w:pStyle w:val="12"/>
      </w:pPr>
      <w:r w:rsidRPr="00A428C3">
        <w:t xml:space="preserve">Issues/Year: </w:t>
      </w:r>
    </w:p>
    <w:p w:rsidR="00060FD3" w:rsidRPr="00A428C3" w:rsidRDefault="00060FD3" w:rsidP="00B72EF9">
      <w:pPr>
        <w:pStyle w:val="12"/>
      </w:pPr>
      <w:r>
        <w:t xml:space="preserve">Journal Country/Territory: </w:t>
      </w:r>
    </w:p>
    <w:p w:rsidR="00060FD3" w:rsidRPr="00A428C3" w:rsidRDefault="00060FD3" w:rsidP="00B72EF9">
      <w:pPr>
        <w:pStyle w:val="12"/>
      </w:pPr>
      <w:r w:rsidRPr="00A428C3">
        <w:t xml:space="preserve">Language: </w:t>
      </w:r>
    </w:p>
    <w:p w:rsidR="00060FD3" w:rsidRPr="00A428C3" w:rsidRDefault="00060FD3" w:rsidP="00B72EF9">
      <w:pPr>
        <w:pStyle w:val="12"/>
      </w:pPr>
      <w:r w:rsidRPr="00A428C3">
        <w:t xml:space="preserve">Publisher: </w:t>
      </w:r>
    </w:p>
    <w:p w:rsidR="00060FD3" w:rsidRPr="00A428C3" w:rsidRDefault="00060FD3" w:rsidP="00B72EF9">
      <w:pPr>
        <w:pStyle w:val="12"/>
      </w:pPr>
      <w:r w:rsidRPr="00A428C3">
        <w:t xml:space="preserve">Publisher Address: </w:t>
      </w:r>
    </w:p>
    <w:p w:rsidR="00060FD3" w:rsidRPr="00A428C3" w:rsidRDefault="00060FD3" w:rsidP="00B72EF9">
      <w:pPr>
        <w:pStyle w:val="12"/>
      </w:pPr>
      <w:r w:rsidRPr="00A428C3">
        <w:t>Subject Categories:</w:t>
      </w:r>
    </w:p>
    <w:p w:rsidR="00060FD3" w:rsidRPr="00A428C3" w:rsidRDefault="00060FD3" w:rsidP="00B72EF9">
      <w:pPr>
        <w:pStyle w:val="12"/>
      </w:pPr>
      <w:r w:rsidRPr="00A428C3">
        <w:t xml:space="preserve">: Impact Factor </w:t>
      </w:r>
    </w:p>
    <w:p w:rsidR="00060FD3" w:rsidRDefault="00060FD3" w:rsidP="00060FD3">
      <w:pPr>
        <w:pStyle w:val="a0"/>
        <w:rPr>
          <w:kern w:val="0"/>
        </w:rPr>
      </w:pPr>
      <w:r>
        <w:rPr>
          <w:rFonts w:hint="eastAsia"/>
          <w:kern w:val="0"/>
        </w:rPr>
        <w:t xml:space="preserve">? </w:t>
      </w:r>
      <w:r>
        <w:rPr>
          <w:kern w:val="0"/>
        </w:rPr>
        <w:t>Guerra, D.L., Viana, R.R.</w:t>
      </w:r>
      <w:r w:rsidR="00F81221">
        <w:rPr>
          <w:kern w:val="0"/>
        </w:rPr>
        <w:t xml:space="preserve"> and </w:t>
      </w:r>
      <w:r>
        <w:rPr>
          <w:kern w:val="0"/>
        </w:rPr>
        <w:t xml:space="preserve">Airoldi, C. (2009), Immobilization of 5-amino-1,3,4-thiadiazole-thiol onto analogue of heulandite for divalent toxic metals removal. </w:t>
      </w:r>
      <w:r w:rsidRPr="00060FD3">
        <w:rPr>
          <w:i/>
          <w:iCs/>
          <w:kern w:val="0"/>
        </w:rPr>
        <w:t>Inorganic Chemistry Communications</w:t>
      </w:r>
      <w:r>
        <w:rPr>
          <w:kern w:val="0"/>
        </w:rPr>
        <w:t xml:space="preserve">, </w:t>
      </w:r>
      <w:r>
        <w:rPr>
          <w:b/>
          <w:bCs/>
          <w:kern w:val="0"/>
        </w:rPr>
        <w:t>12</w:t>
      </w:r>
      <w:r>
        <w:rPr>
          <w:kern w:val="0"/>
        </w:rPr>
        <w:t xml:space="preserve"> (11), 1145-1149.</w:t>
      </w:r>
    </w:p>
    <w:p w:rsidR="00060FD3" w:rsidRDefault="00060FD3" w:rsidP="00060FD3">
      <w:pPr>
        <w:pStyle w:val="a0"/>
        <w:rPr>
          <w:kern w:val="0"/>
        </w:rPr>
      </w:pPr>
      <w:r>
        <w:rPr>
          <w:kern w:val="0"/>
        </w:rPr>
        <w:t>Full Text:</w:t>
      </w:r>
      <w:r w:rsidRPr="00B025C1">
        <w:t xml:space="preserve"> </w:t>
      </w:r>
      <w:hyperlink r:id="rId1521" w:history="1">
        <w:r w:rsidRPr="00143828">
          <w:rPr>
            <w:rStyle w:val="a5"/>
          </w:rPr>
          <w:t>2009\Ino Che Com12, 1145.pdf</w:t>
        </w:r>
      </w:hyperlink>
    </w:p>
    <w:p w:rsidR="00060FD3" w:rsidRDefault="00060FD3" w:rsidP="00060FD3">
      <w:pPr>
        <w:pStyle w:val="a0"/>
        <w:rPr>
          <w:kern w:val="0"/>
        </w:rPr>
      </w:pPr>
      <w:r>
        <w:rPr>
          <w:kern w:val="0"/>
        </w:rPr>
        <w:t>Abstract: The compound 5-amino-1,3,4-thiadiazole-thiol was anchored onto analogue of heulandite by heterogeneous route. The original (HEU)</w:t>
      </w:r>
      <w:r w:rsidR="00F81221">
        <w:rPr>
          <w:kern w:val="0"/>
        </w:rPr>
        <w:t xml:space="preserve"> and </w:t>
      </w:r>
      <w:r>
        <w:rPr>
          <w:kern w:val="0"/>
        </w:rPr>
        <w:t>modified heulandite (HEUATT) samples were characterized through elemental analysis</w:t>
      </w:r>
      <w:r w:rsidR="00F81221">
        <w:rPr>
          <w:kern w:val="0"/>
        </w:rPr>
        <w:t xml:space="preserve"> and </w:t>
      </w:r>
      <w:r>
        <w:rPr>
          <w:kern w:val="0"/>
        </w:rPr>
        <w:t>nuclear magnetic nuclei of carbon-13</w:t>
      </w:r>
      <w:r w:rsidR="00F81221">
        <w:rPr>
          <w:kern w:val="0"/>
        </w:rPr>
        <w:t xml:space="preserve"> and </w:t>
      </w:r>
      <w:r>
        <w:rPr>
          <w:kern w:val="0"/>
        </w:rPr>
        <w:t>silicon-29. The ability of these materials to remove Mn(II), Zn(II)</w:t>
      </w:r>
      <w:r w:rsidR="00F81221">
        <w:rPr>
          <w:kern w:val="0"/>
        </w:rPr>
        <w:t xml:space="preserve"> and </w:t>
      </w:r>
      <w:r>
        <w:rPr>
          <w:kern w:val="0"/>
        </w:rPr>
        <w:t>Pb(II) from aqueous solution was followed by a series of adsorption isotherms adjusted to a Sips equation. To achieve the best adsorption conditions the influence of pH</w:t>
      </w:r>
      <w:r w:rsidR="00F81221">
        <w:rPr>
          <w:kern w:val="0"/>
        </w:rPr>
        <w:t xml:space="preserve"> and </w:t>
      </w:r>
      <w:r>
        <w:rPr>
          <w:kern w:val="0"/>
        </w:rPr>
        <w:t>contact time were investigated. Based on the capacity of adsorption of HEUATT to interact with metal ions, the following results were obtained 13.0, 10.1</w:t>
      </w:r>
      <w:r w:rsidR="00F81221">
        <w:rPr>
          <w:kern w:val="0"/>
        </w:rPr>
        <w:t xml:space="preserve"> and </w:t>
      </w:r>
      <w:r>
        <w:rPr>
          <w:kern w:val="0"/>
        </w:rPr>
        <w:t>7.4 mmol g(-1) for Pb(II), Zn(II)</w:t>
      </w:r>
      <w:r w:rsidR="00F81221">
        <w:rPr>
          <w:kern w:val="0"/>
        </w:rPr>
        <w:t xml:space="preserve"> and </w:t>
      </w:r>
      <w:r>
        <w:rPr>
          <w:kern w:val="0"/>
        </w:rPr>
        <w:t>Mn(II), respectively, reflecting a maximum adsorption order of Pb(II) &gt; Zn(II) &gt; Mn(II). The energetic effects caused by metal cation adsorption were determined through calorimetric titrations. (c) 2009 Published by Elsevier B.V.</w:t>
      </w:r>
    </w:p>
    <w:p w:rsidR="00060FD3" w:rsidRDefault="00060FD3" w:rsidP="00060FD3">
      <w:pPr>
        <w:pStyle w:val="a0"/>
        <w:rPr>
          <w:kern w:val="0"/>
        </w:rPr>
      </w:pPr>
      <w:r>
        <w:rPr>
          <w:kern w:val="0"/>
        </w:rPr>
        <w:t xml:space="preserve">Keywords: Acid, Adsorption, Adsorption, Adsorption Isotherms, Analysis, Aqueous Solution, Aqueous Waste, Calorimetry, Capacity, Cation, Contact Time, Europium(III), Heulandite, Immobilization, Intercalation, Ions, Isotherms, Magadiite, Magnetic, Metal, Metal Ions, Metals, Metals Removal, Modified, Nov, Pb(II), </w:t>
      </w:r>
      <w:r>
        <w:rPr>
          <w:rFonts w:hint="eastAsia"/>
          <w:kern w:val="0"/>
        </w:rPr>
        <w:t>p</w:t>
      </w:r>
      <w:r>
        <w:rPr>
          <w:kern w:val="0"/>
        </w:rPr>
        <w:t>H, Removal, Route, Silica-Gel, Solution, Sorption, Thermodynamic, Thorium(IV), Toxic, Toxic Metals, Zn(II)</w:t>
      </w:r>
    </w:p>
    <w:p w:rsidR="00B95188" w:rsidRPr="00A428C3" w:rsidRDefault="00B95188" w:rsidP="00B95188">
      <w:pPr>
        <w:pStyle w:val="1"/>
      </w:pPr>
      <w:r w:rsidRPr="00586CD8">
        <w:br w:type="page"/>
      </w:r>
      <w:bookmarkStart w:id="1066" w:name="_Toc455569477"/>
      <w:bookmarkStart w:id="1067" w:name="_Toc487190719"/>
      <w:bookmarkStart w:id="1068" w:name="_Toc487882224"/>
      <w:bookmarkStart w:id="1069" w:name="_Toc490688048"/>
      <w:bookmarkStart w:id="1070" w:name="_Toc492812159"/>
      <w:bookmarkStart w:id="1071" w:name="_Toc186647875"/>
      <w:bookmarkStart w:id="1072" w:name="_Toc317161192"/>
      <w:r w:rsidRPr="00A428C3">
        <w:lastRenderedPageBreak/>
        <w:t>Title: Inorganic Chemistry</w:t>
      </w:r>
      <w:r w:rsidR="00F81221">
        <w:t xml:space="preserve"> and </w:t>
      </w:r>
      <w:r w:rsidRPr="00A428C3">
        <w:t>the Earth, Chemical Resources, their extraction, Use</w:t>
      </w:r>
      <w:r w:rsidR="00F81221">
        <w:t xml:space="preserve"> and </w:t>
      </w:r>
      <w:r w:rsidRPr="00A428C3">
        <w:t>Environmental Impact</w:t>
      </w:r>
      <w:bookmarkEnd w:id="1066"/>
      <w:bookmarkEnd w:id="1067"/>
      <w:bookmarkEnd w:id="1068"/>
      <w:bookmarkEnd w:id="1069"/>
      <w:bookmarkEnd w:id="1070"/>
      <w:bookmarkEnd w:id="1071"/>
      <w:bookmarkEnd w:id="1072"/>
    </w:p>
    <w:p w:rsidR="00B95188" w:rsidRPr="00A428C3" w:rsidRDefault="00B95188" w:rsidP="00B95188">
      <w:pPr>
        <w:pStyle w:val="a0"/>
      </w:pPr>
      <w:r w:rsidRPr="00A428C3">
        <w:t xml:space="preserve">Pergammon, </w:t>
      </w:r>
      <w:smartTag w:uri="urn:schemas-microsoft-com:office:smarttags" w:element="place">
        <w:smartTag w:uri="urn:schemas-microsoft-com:office:smarttags" w:element="City">
          <w:r w:rsidRPr="00A428C3">
            <w:t>Oxford</w:t>
          </w:r>
        </w:smartTag>
      </w:smartTag>
    </w:p>
    <w:p w:rsidR="00B95188" w:rsidRPr="00A428C3" w:rsidRDefault="00B95188" w:rsidP="00B95188">
      <w:pPr>
        <w:pStyle w:val="a0"/>
      </w:pPr>
      <w:bookmarkStart w:id="1073" w:name="Fergusson"/>
      <w:r w:rsidRPr="00A428C3">
        <w:t>Fergusson</w:t>
      </w:r>
      <w:bookmarkEnd w:id="1073"/>
      <w:r w:rsidRPr="00A428C3">
        <w:t xml:space="preserve">, J.E. (1982), </w:t>
      </w:r>
      <w:r w:rsidRPr="00A428C3">
        <w:rPr>
          <w:i/>
        </w:rPr>
        <w:t>Inorganic Chemistry</w:t>
      </w:r>
      <w:r w:rsidR="00F81221">
        <w:rPr>
          <w:i/>
        </w:rPr>
        <w:t xml:space="preserve"> and </w:t>
      </w:r>
      <w:r w:rsidRPr="00A428C3">
        <w:rPr>
          <w:i/>
        </w:rPr>
        <w:t>the Earth</w:t>
      </w:r>
      <w:r w:rsidRPr="00A428C3">
        <w:rPr>
          <w:iCs/>
        </w:rPr>
        <w:t xml:space="preserve">, </w:t>
      </w:r>
      <w:r w:rsidRPr="00A428C3">
        <w:rPr>
          <w:i/>
        </w:rPr>
        <w:t>Chemical Resources</w:t>
      </w:r>
      <w:r w:rsidRPr="00A428C3">
        <w:rPr>
          <w:iCs/>
        </w:rPr>
        <w:t xml:space="preserve">, </w:t>
      </w:r>
      <w:r w:rsidRPr="00A428C3">
        <w:rPr>
          <w:i/>
        </w:rPr>
        <w:t>Their Extraction</w:t>
      </w:r>
      <w:r w:rsidRPr="00A428C3">
        <w:rPr>
          <w:iCs/>
        </w:rPr>
        <w:t xml:space="preserve">, </w:t>
      </w:r>
      <w:r w:rsidRPr="00A428C3">
        <w:rPr>
          <w:i/>
        </w:rPr>
        <w:t>Use</w:t>
      </w:r>
      <w:r w:rsidR="00F81221">
        <w:rPr>
          <w:i/>
        </w:rPr>
        <w:t xml:space="preserve"> and </w:t>
      </w:r>
      <w:r w:rsidRPr="00A428C3">
        <w:rPr>
          <w:i/>
        </w:rPr>
        <w:t>Environmental Impact</w:t>
      </w:r>
      <w:r w:rsidRPr="00A428C3">
        <w:t>, Pergammon Press, Oxford, New York, Toronto, Sydney, Paris</w:t>
      </w:r>
      <w:r w:rsidR="00F81221">
        <w:t xml:space="preserve"> and </w:t>
      </w:r>
      <w:r w:rsidRPr="00A428C3">
        <w:t>Frankfurt.</w:t>
      </w:r>
    </w:p>
    <w:p w:rsidR="00B95188" w:rsidRPr="00A428C3" w:rsidRDefault="00B95188" w:rsidP="00B95188">
      <w:pPr>
        <w:pStyle w:val="1"/>
      </w:pPr>
      <w:r w:rsidRPr="00A428C3">
        <w:br w:type="page"/>
      </w:r>
      <w:bookmarkStart w:id="1074" w:name="_Toc455569478"/>
      <w:bookmarkStart w:id="1075" w:name="_Toc487190720"/>
      <w:bookmarkStart w:id="1076" w:name="_Toc487882225"/>
      <w:bookmarkStart w:id="1077" w:name="_Toc490688049"/>
      <w:bookmarkStart w:id="1078" w:name="_Toc492812160"/>
      <w:bookmarkStart w:id="1079" w:name="_Toc186647876"/>
      <w:bookmarkStart w:id="1080" w:name="_Toc317161193"/>
      <w:r w:rsidRPr="00A428C3">
        <w:lastRenderedPageBreak/>
        <w:t>Title: Inorganica Chimica Acta</w:t>
      </w:r>
      <w:bookmarkEnd w:id="1074"/>
      <w:bookmarkEnd w:id="1075"/>
      <w:bookmarkEnd w:id="1076"/>
      <w:bookmarkEnd w:id="1077"/>
      <w:bookmarkEnd w:id="1078"/>
      <w:bookmarkEnd w:id="1079"/>
      <w:bookmarkEnd w:id="1080"/>
    </w:p>
    <w:p w:rsidR="00B95188" w:rsidRPr="00A428C3" w:rsidRDefault="00B95188" w:rsidP="00B72EF9">
      <w:pPr>
        <w:pStyle w:val="12"/>
      </w:pPr>
      <w:r w:rsidRPr="00A428C3">
        <w:t xml:space="preserve">Full Journal Title: </w:t>
      </w:r>
      <w:hyperlink r:id="rId1522" w:history="1">
        <w:r w:rsidRPr="00A428C3">
          <w:rPr>
            <w:rStyle w:val="a5"/>
          </w:rPr>
          <w:t>Inorganica Chimica Acta</w:t>
        </w:r>
      </w:hyperlink>
    </w:p>
    <w:p w:rsidR="00B95188" w:rsidRPr="00A428C3" w:rsidRDefault="00B95188" w:rsidP="00B72EF9">
      <w:pPr>
        <w:pStyle w:val="12"/>
      </w:pPr>
      <w:r w:rsidRPr="00A428C3">
        <w:t>ISO Abbreviated Title: Inorg. Chim. Acta</w:t>
      </w:r>
    </w:p>
    <w:p w:rsidR="00B95188" w:rsidRPr="00A428C3" w:rsidRDefault="00B95188" w:rsidP="00B72EF9">
      <w:pPr>
        <w:pStyle w:val="12"/>
      </w:pPr>
      <w:r w:rsidRPr="00A428C3">
        <w:t>JCR Abbreviated Title: Inorg Chim Acta</w:t>
      </w:r>
    </w:p>
    <w:p w:rsidR="00B95188" w:rsidRPr="00A428C3" w:rsidRDefault="00B95188" w:rsidP="00B72EF9">
      <w:pPr>
        <w:pStyle w:val="12"/>
      </w:pPr>
      <w:r w:rsidRPr="00A428C3">
        <w:t>ISSN: 0020-1693</w:t>
      </w:r>
    </w:p>
    <w:p w:rsidR="00B95188" w:rsidRPr="00A428C3" w:rsidRDefault="00B95188" w:rsidP="00B72EF9">
      <w:pPr>
        <w:pStyle w:val="12"/>
      </w:pPr>
      <w:r w:rsidRPr="00A428C3">
        <w:t>Issues/Year: 24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Switzerland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Elsevier Science SA</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564</w:t>
        </w:r>
      </w:smartTag>
      <w:r w:rsidRPr="00A428C3">
        <w:t xml:space="preserve">, 1001 </w:t>
      </w:r>
      <w:smartTag w:uri="urn:schemas-microsoft-com:office:smarttags" w:element="place">
        <w:smartTag w:uri="urn:schemas-microsoft-com:office:smarttags" w:element="City">
          <w:r w:rsidRPr="00A428C3">
            <w:t>Lausanne</w:t>
          </w:r>
        </w:smartTag>
        <w:r w:rsidRPr="00A428C3">
          <w:t xml:space="preserve">, </w:t>
        </w:r>
        <w:smartTag w:uri="urn:schemas-microsoft-com:office:smarttags" w:element="country-region">
          <w:r w:rsidRPr="00A428C3">
            <w:t>Switzerland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Inorganic &amp; Nuclear: Impact Factor 1.295, 18/37 (1999); Impact Factor 1.200, 18/38 (2000); Impact Factor 1.394, 18/42 (2001); Impact Factor 1.554 (2004)</w:t>
      </w:r>
    </w:p>
    <w:p w:rsidR="00B95188" w:rsidRPr="00A428C3" w:rsidRDefault="00B95188" w:rsidP="00B95188">
      <w:pPr>
        <w:pStyle w:val="a0"/>
      </w:pPr>
      <w:smartTag w:uri="urn:schemas-microsoft-com:office:smarttags" w:element="place">
        <w:r w:rsidRPr="00A428C3">
          <w:t>Adams</w:t>
        </w:r>
      </w:smartTag>
      <w:r w:rsidRPr="00A428C3">
        <w:t>, H., Bailey, N.A., Fenton, D.E.</w:t>
      </w:r>
      <w:r w:rsidR="00F81221">
        <w:t xml:space="preserve"> and </w:t>
      </w:r>
      <w:r w:rsidRPr="00A428C3">
        <w:t xml:space="preserve">Ho, Y.S. (1993), A polymeric tetraimine Schiff-base macrocyclic complex of silver(I). </w:t>
      </w:r>
      <w:r w:rsidRPr="00A428C3">
        <w:rPr>
          <w:i/>
        </w:rPr>
        <w:t>Inorganica Chimica Acta</w:t>
      </w:r>
      <w:r w:rsidRPr="00A428C3">
        <w:t xml:space="preserve">, </w:t>
      </w:r>
      <w:r w:rsidRPr="00A428C3">
        <w:rPr>
          <w:b/>
        </w:rPr>
        <w:t>212</w:t>
      </w:r>
      <w:r w:rsidRPr="00A428C3">
        <w:t xml:space="preserve"> (1-2), 65-68.</w:t>
      </w:r>
    </w:p>
    <w:p w:rsidR="00B95188" w:rsidRPr="00A428C3" w:rsidRDefault="00B95188" w:rsidP="00B95188">
      <w:pPr>
        <w:pStyle w:val="a0"/>
      </w:pPr>
      <w:r w:rsidRPr="00A428C3">
        <w:t xml:space="preserve">Full Text: </w:t>
      </w:r>
      <w:hyperlink r:id="rId1523" w:history="1">
        <w:r w:rsidRPr="00A428C3">
          <w:rPr>
            <w:rStyle w:val="a5"/>
          </w:rPr>
          <w:t>I\Ino Chi Act212, 65.pdf</w:t>
        </w:r>
      </w:hyperlink>
    </w:p>
    <w:p w:rsidR="00B95188" w:rsidRPr="00A428C3" w:rsidRDefault="00B95188" w:rsidP="00B95188">
      <w:pPr>
        <w:pStyle w:val="a0"/>
      </w:pPr>
      <w:r w:rsidRPr="00A428C3">
        <w:t>Abstract: Silver(I)-templated cyclocondensation of pyridine-2, 6-dicarbaldehyde</w:t>
      </w:r>
      <w:r w:rsidR="00F81221">
        <w:t xml:space="preserve"> and </w:t>
      </w:r>
      <w:r w:rsidRPr="00A428C3">
        <w:t xml:space="preserve">3-oxa-1, 5-diaminopentane yields a dinuclear silver(I) complex of the </w:t>
      </w:r>
      <w:r w:rsidR="000352E7">
        <w:t>‘</w:t>
      </w:r>
      <w:r w:rsidRPr="00A428C3">
        <w:t>2+2</w:t>
      </w:r>
      <w:r w:rsidR="000352E7">
        <w:t>’</w:t>
      </w:r>
      <w:r w:rsidRPr="00A428C3">
        <w:t xml:space="preserve"> tetraimine Schiff base macrocycle L1. The crystal structure of the complex recrystallised from acetonitrile shows the product of recrystallisation to be polymeric with cyano-linked dimers being further associated through silver...silver interactions.</w:t>
      </w:r>
    </w:p>
    <w:p w:rsidR="00B95188" w:rsidRPr="00A428C3" w:rsidRDefault="00B95188" w:rsidP="00B95188">
      <w:pPr>
        <w:pStyle w:val="a0"/>
      </w:pPr>
      <w:r w:rsidRPr="00A428C3">
        <w:t>Keywords: Crystal-Structures, Metal-Complexes, Copper(II), Ligand</w:t>
      </w:r>
    </w:p>
    <w:p w:rsidR="00B95188" w:rsidRPr="00A428C3" w:rsidRDefault="00B95188" w:rsidP="00B95188">
      <w:pPr>
        <w:pStyle w:val="a0"/>
      </w:pPr>
      <w:r w:rsidRPr="00A428C3">
        <w:t>Bailey, N.A., Debarbarin, C.O.R., Fenton, D.E., Ho, Y.S.</w:t>
      </w:r>
      <w:r w:rsidR="00F81221">
        <w:t xml:space="preserve"> and </w:t>
      </w:r>
      <w:r w:rsidRPr="00A428C3">
        <w:t>Humber, G.J. (1995), The synthesis</w:t>
      </w:r>
      <w:r w:rsidR="00F81221">
        <w:t xml:space="preserve"> and </w:t>
      </w:r>
      <w:r w:rsidRPr="00A428C3">
        <w:t xml:space="preserve">crystal-structure of a cerium(III) complex of 2,6-bis (2-formylphenoxymethyl)pyridine. </w:t>
      </w:r>
      <w:r w:rsidRPr="00A428C3">
        <w:rPr>
          <w:i/>
        </w:rPr>
        <w:t>Inorganica Chimica Acta</w:t>
      </w:r>
      <w:r w:rsidRPr="00A428C3">
        <w:t xml:space="preserve">, </w:t>
      </w:r>
      <w:r w:rsidRPr="00A428C3">
        <w:rPr>
          <w:b/>
        </w:rPr>
        <w:t>232</w:t>
      </w:r>
      <w:r w:rsidRPr="00A428C3">
        <w:t xml:space="preserve"> (1-2), 227-230.</w:t>
      </w:r>
    </w:p>
    <w:p w:rsidR="00B95188" w:rsidRPr="00A428C3" w:rsidRDefault="00B95188" w:rsidP="00B95188">
      <w:pPr>
        <w:pStyle w:val="a0"/>
      </w:pPr>
      <w:r w:rsidRPr="00A428C3">
        <w:t xml:space="preserve">Full Text: </w:t>
      </w:r>
      <w:hyperlink r:id="rId1524" w:history="1">
        <w:r w:rsidRPr="00A428C3">
          <w:rPr>
            <w:rStyle w:val="a5"/>
          </w:rPr>
          <w:t>I\Ino Chi Act232, 227.pdf</w:t>
        </w:r>
      </w:hyperlink>
    </w:p>
    <w:p w:rsidR="00B95188" w:rsidRPr="00A428C3" w:rsidRDefault="00B95188" w:rsidP="00B95188">
      <w:pPr>
        <w:pStyle w:val="a0"/>
      </w:pPr>
      <w:r w:rsidRPr="00A428C3">
        <w:t>Abstract: The synthesis</w:t>
      </w:r>
      <w:r w:rsidR="00F81221">
        <w:t xml:space="preserve"> and </w:t>
      </w:r>
      <w:r w:rsidRPr="00A428C3">
        <w:t>X-ray crystal structure of a ten-coordinate cerium(III) nitrate complex of 2,6-bis[2-formylphenoxymethyl]pyridine is reported.</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City">
          <w:r w:rsidRPr="00A428C3">
            <w:t>Crystal</w:t>
          </w:r>
        </w:smartTag>
      </w:smartTag>
      <w:r w:rsidRPr="00A428C3">
        <w:t xml:space="preserve"> Structures, Cerium Complexes, Macrocyclic Ligand Complexes</w:t>
      </w:r>
    </w:p>
    <w:p w:rsidR="00B95188" w:rsidRPr="00A428C3" w:rsidRDefault="00B95188" w:rsidP="00B95188">
      <w:pPr>
        <w:pStyle w:val="a0"/>
      </w:pPr>
      <w:r w:rsidRPr="00A428C3">
        <w:t>Schubert, A. (1996), The portrait of a journal as reflected in its publications, references</w:t>
      </w:r>
      <w:r w:rsidR="00F81221">
        <w:t xml:space="preserve"> and </w:t>
      </w:r>
      <w:r w:rsidRPr="00A428C3">
        <w:t xml:space="preserve">citations: Inorganica Chimica Acta, 1990-1994. </w:t>
      </w:r>
      <w:r w:rsidRPr="00A428C3">
        <w:rPr>
          <w:i/>
        </w:rPr>
        <w:t>Inorganica Chimica Acta</w:t>
      </w:r>
      <w:r w:rsidRPr="00A428C3">
        <w:t xml:space="preserve">, </w:t>
      </w:r>
      <w:r w:rsidRPr="00A428C3">
        <w:rPr>
          <w:b/>
        </w:rPr>
        <w:t>253</w:t>
      </w:r>
      <w:r w:rsidRPr="00A428C3">
        <w:t xml:space="preserve"> (2), 111-118.</w:t>
      </w:r>
    </w:p>
    <w:p w:rsidR="00B95188" w:rsidRPr="00A428C3" w:rsidRDefault="00B95188" w:rsidP="00B95188">
      <w:pPr>
        <w:pStyle w:val="a0"/>
      </w:pPr>
      <w:r w:rsidRPr="00A428C3">
        <w:t xml:space="preserve">Full Text: </w:t>
      </w:r>
      <w:hyperlink r:id="rId1525" w:history="1">
        <w:r w:rsidRPr="00A428C3">
          <w:rPr>
            <w:rStyle w:val="a5"/>
          </w:rPr>
          <w:t>I\Ino Chi Act253, 111.pdf</w:t>
        </w:r>
      </w:hyperlink>
    </w:p>
    <w:p w:rsidR="00B95188" w:rsidRPr="00A428C3" w:rsidRDefault="00B95188" w:rsidP="00B95188">
      <w:pPr>
        <w:pStyle w:val="a0"/>
      </w:pPr>
      <w:r w:rsidRPr="00A428C3">
        <w:t xml:space="preserve">Abstract: Scientometric techniques have been used to help sketch a portrait of the journal Inorganica Chimica Acta during the period 1990-1994. An attempt is made not only to reveal some of the so far hidden features of the journal but also to give </w:t>
      </w:r>
      <w:r w:rsidRPr="00A428C3">
        <w:lastRenderedPageBreak/>
        <w:t>some hints on how to improve its visibility</w:t>
      </w:r>
      <w:r w:rsidR="00F81221">
        <w:t xml:space="preserve"> and </w:t>
      </w:r>
      <w:r w:rsidRPr="00A428C3">
        <w:t>prestige in the future.</w:t>
      </w:r>
    </w:p>
    <w:p w:rsidR="00B95188" w:rsidRPr="00A428C3" w:rsidRDefault="00B95188" w:rsidP="00B95188">
      <w:pPr>
        <w:pStyle w:val="a0"/>
      </w:pPr>
      <w:r w:rsidRPr="00A428C3">
        <w:t>Keywords: Science</w:t>
      </w:r>
    </w:p>
    <w:p w:rsidR="00B95188" w:rsidRPr="00A428C3" w:rsidRDefault="00B95188" w:rsidP="00B95188">
      <w:pPr>
        <w:pStyle w:val="a0"/>
      </w:pPr>
      <w:smartTag w:uri="urn:schemas-microsoft-com:office:smarttags" w:element="City">
        <w:r w:rsidRPr="00A428C3">
          <w:t>Bayse</w:t>
        </w:r>
      </w:smartTag>
      <w:r w:rsidRPr="00A428C3">
        <w:t>, C.A.</w:t>
      </w:r>
      <w:r w:rsidR="00F81221">
        <w:t xml:space="preserve"> and </w:t>
      </w:r>
      <w:r w:rsidRPr="00A428C3">
        <w:t>Hall, M.B. (1997), Pseudo second-order Jahn-Teller effects</w:t>
      </w:r>
      <w:r w:rsidR="00F81221">
        <w:t xml:space="preserve"> and </w:t>
      </w:r>
      <w:r w:rsidRPr="00A428C3">
        <w:t xml:space="preserve">symmetry considerations in transition metal polyhydride complexes. </w:t>
      </w:r>
      <w:r w:rsidRPr="00A428C3">
        <w:rPr>
          <w:i/>
        </w:rPr>
        <w:t>Inorganica Chimica Acta</w:t>
      </w:r>
      <w:r w:rsidRPr="00A428C3">
        <w:t xml:space="preserve">, </w:t>
      </w:r>
      <w:r w:rsidRPr="00A428C3">
        <w:rPr>
          <w:b/>
        </w:rPr>
        <w:t>259</w:t>
      </w:r>
      <w:r w:rsidRPr="00A428C3">
        <w:t xml:space="preserve"> (1-2), 179-184.</w:t>
      </w:r>
    </w:p>
    <w:p w:rsidR="00B95188" w:rsidRPr="00A428C3" w:rsidRDefault="00B95188" w:rsidP="00B95188">
      <w:pPr>
        <w:pStyle w:val="a0"/>
      </w:pPr>
      <w:r w:rsidRPr="00A428C3">
        <w:t xml:space="preserve">Full Text: </w:t>
      </w:r>
      <w:hyperlink r:id="rId1526" w:history="1">
        <w:r w:rsidRPr="00A428C3">
          <w:rPr>
            <w:rStyle w:val="a5"/>
          </w:rPr>
          <w:t>I\Ino Chi Act259, 179.pdf</w:t>
        </w:r>
      </w:hyperlink>
    </w:p>
    <w:p w:rsidR="00B95188" w:rsidRPr="00A428C3" w:rsidRDefault="00B95188" w:rsidP="00B95188">
      <w:pPr>
        <w:pStyle w:val="a0"/>
      </w:pPr>
      <w:r w:rsidRPr="00A428C3">
        <w:t>Abstract: Pseudo second-order Jahn-Teller distortions are proposed to explain why the equatorial hydride ligands in a series of cyclopentadienyl metal polyhydrides (Cp*ReH6, Cp*OsH5, Cp*IrH4) bend away from the Cp ring at such large angles. Restricted Hartree-Fock (RHF) geometry optimizations on models of these complexes where the Cp* ring has been replaced by a hydride reproduce these large distortions. Walsh diagrams</w:t>
      </w:r>
      <w:r w:rsidR="00F81221">
        <w:t xml:space="preserve"> and </w:t>
      </w:r>
      <w:r w:rsidRPr="00A428C3">
        <w:t>Mulliken populations have been used to show that the stability provided by distortion results from maximizing the overlap population between the hydride s orbitals</w:t>
      </w:r>
      <w:r w:rsidR="00F81221">
        <w:t xml:space="preserve"> and </w:t>
      </w:r>
      <w:r w:rsidRPr="00A428C3">
        <w:t>the metal d orbitals. This study also includes a comparison of previous work on the structures of d(0) MH6 complexes with our work on d(2) MH6 complexes. We found that an occupied d orbital has a significant effect on the geometry of this type of molecule due to the change in hybridization on the metal from sd(5) to spd(4). Symmetry arguments are demonstrated as a means to predict the low energy geometries of these complexes.</w:t>
      </w:r>
    </w:p>
    <w:p w:rsidR="00B95188" w:rsidRPr="00A428C3" w:rsidRDefault="00B95188" w:rsidP="00B95188">
      <w:pPr>
        <w:pStyle w:val="a0"/>
      </w:pPr>
      <w:r w:rsidRPr="00A428C3">
        <w:t>Keywords: Jahn-Teller Effects, Transition Metal Complexes, Polyhydride Complexes</w:t>
      </w:r>
    </w:p>
    <w:p w:rsidR="00B95188" w:rsidRPr="00A428C3" w:rsidRDefault="00B95188" w:rsidP="00B95188">
      <w:pPr>
        <w:pStyle w:val="a0"/>
      </w:pPr>
      <w:r w:rsidRPr="00A428C3">
        <w:t>Schubert, A.P.</w:t>
      </w:r>
      <w:r w:rsidR="00F81221">
        <w:t xml:space="preserve"> and </w:t>
      </w:r>
      <w:r w:rsidRPr="00A428C3">
        <w:t>Schubert, G.A. (1997), Inorganica Chimica Acta: its publications, references</w:t>
      </w:r>
      <w:r w:rsidR="00F81221">
        <w:t xml:space="preserve"> and </w:t>
      </w:r>
      <w:r w:rsidRPr="00A428C3">
        <w:t xml:space="preserve">citations. An update for 1995-1996. </w:t>
      </w:r>
      <w:r w:rsidRPr="00A428C3">
        <w:rPr>
          <w:i/>
        </w:rPr>
        <w:t>Inorganica Chimica Acta</w:t>
      </w:r>
      <w:r w:rsidRPr="00A428C3">
        <w:t xml:space="preserve">, </w:t>
      </w:r>
      <w:r w:rsidRPr="00A428C3">
        <w:rPr>
          <w:b/>
        </w:rPr>
        <w:t>266</w:t>
      </w:r>
      <w:r w:rsidRPr="00A428C3">
        <w:t xml:space="preserve"> (2), 125-133.</w:t>
      </w:r>
    </w:p>
    <w:p w:rsidR="00B95188" w:rsidRPr="00A428C3" w:rsidRDefault="00B95188" w:rsidP="00B95188">
      <w:pPr>
        <w:pStyle w:val="a0"/>
      </w:pPr>
      <w:r w:rsidRPr="00A428C3">
        <w:t xml:space="preserve">Full Text: </w:t>
      </w:r>
      <w:hyperlink r:id="rId1527" w:history="1">
        <w:r w:rsidRPr="00A428C3">
          <w:rPr>
            <w:rStyle w:val="a5"/>
          </w:rPr>
          <w:t>I\Ino Chi Act266, 125.pdf</w:t>
        </w:r>
      </w:hyperlink>
    </w:p>
    <w:p w:rsidR="00B95188" w:rsidRPr="00A428C3" w:rsidRDefault="00B95188" w:rsidP="00B95188">
      <w:pPr>
        <w:pStyle w:val="a0"/>
      </w:pPr>
      <w:r w:rsidRPr="00A428C3">
        <w:t>Abstract: Scientometric techniques have been used to characterize the journal Inorganica Chimica Acta during the 1995-1996 period. The results are compared to those of a previous study for the 1990-1994 period, with attempts to pinpoint characteristic trends</w:t>
      </w:r>
      <w:r w:rsidR="00F81221">
        <w:t xml:space="preserve"> and </w:t>
      </w:r>
      <w:r w:rsidRPr="00A428C3">
        <w:t xml:space="preserve">patterns. An epistemological analysis based on title words is used to locate </w:t>
      </w:r>
      <w:r w:rsidR="000352E7">
        <w:t>‘</w:t>
      </w:r>
      <w:r w:rsidRPr="00A428C3">
        <w:t>creative foci</w:t>
      </w:r>
      <w:r w:rsidR="000352E7">
        <w:t>’</w:t>
      </w:r>
      <w:r w:rsidRPr="00A428C3">
        <w:t xml:space="preserve"> of research. (C) 1997 Elsevier Science S.A.</w:t>
      </w:r>
    </w:p>
    <w:p w:rsidR="0009713E" w:rsidRDefault="0009713E" w:rsidP="0009713E">
      <w:pPr>
        <w:pStyle w:val="a0"/>
        <w:rPr>
          <w:kern w:val="0"/>
        </w:rPr>
      </w:pPr>
      <w:r>
        <w:rPr>
          <w:kern w:val="0"/>
        </w:rPr>
        <w:t>? Belyakova, L.A., Shvets, O.M.</w:t>
      </w:r>
      <w:r w:rsidR="00F81221">
        <w:rPr>
          <w:kern w:val="0"/>
        </w:rPr>
        <w:t xml:space="preserve"> and </w:t>
      </w:r>
      <w:r>
        <w:rPr>
          <w:kern w:val="0"/>
        </w:rPr>
        <w:t xml:space="preserve">Lyashenko, D.Y. (2009), Formation of the nanostructure on a silica surface as mercury(II) ions adsorption sites. </w:t>
      </w:r>
      <w:r>
        <w:rPr>
          <w:i/>
          <w:iCs/>
          <w:kern w:val="0"/>
        </w:rPr>
        <w:t>Inorganica Chimica Acta</w:t>
      </w:r>
      <w:r>
        <w:rPr>
          <w:kern w:val="0"/>
        </w:rPr>
        <w:t xml:space="preserve">, </w:t>
      </w:r>
      <w:r>
        <w:rPr>
          <w:b/>
          <w:bCs/>
          <w:kern w:val="0"/>
        </w:rPr>
        <w:t>362</w:t>
      </w:r>
      <w:r>
        <w:rPr>
          <w:kern w:val="0"/>
        </w:rPr>
        <w:t xml:space="preserve"> (7), 2222-2230.</w:t>
      </w:r>
    </w:p>
    <w:p w:rsidR="0009713E" w:rsidRDefault="0009713E" w:rsidP="0009713E">
      <w:pPr>
        <w:pStyle w:val="a0"/>
        <w:rPr>
          <w:kern w:val="2"/>
        </w:rPr>
      </w:pPr>
      <w:r w:rsidRPr="00FC7835">
        <w:t xml:space="preserve">Full Text: </w:t>
      </w:r>
      <w:hyperlink r:id="rId1528" w:history="1">
        <w:r w:rsidRPr="00974816">
          <w:rPr>
            <w:rStyle w:val="a5"/>
          </w:rPr>
          <w:t>2009\Ino Chi Act362, 2222.pdf</w:t>
        </w:r>
      </w:hyperlink>
    </w:p>
    <w:p w:rsidR="0009713E" w:rsidRDefault="0009713E" w:rsidP="0009713E">
      <w:pPr>
        <w:pStyle w:val="a0"/>
        <w:rPr>
          <w:kern w:val="0"/>
        </w:rPr>
      </w:pPr>
      <w:r>
        <w:rPr>
          <w:kern w:val="0"/>
        </w:rPr>
        <w:t>Abstract: The present work investigates the adsorptive interactions of Hg(II) ions with hydroxylated silica, amino-propylsilica</w:t>
      </w:r>
      <w:r w:rsidR="00F81221">
        <w:rPr>
          <w:kern w:val="0"/>
        </w:rPr>
        <w:t xml:space="preserve"> and </w:t>
      </w:r>
      <w:r>
        <w:rPr>
          <w:kern w:val="0"/>
        </w:rPr>
        <w:t>silica chemically modified by beta-cyclodextrin in aqueous medium. Batch adsorption studies were carried out with various agitation time</w:t>
      </w:r>
      <w:r w:rsidR="00F81221">
        <w:rPr>
          <w:kern w:val="0"/>
        </w:rPr>
        <w:t xml:space="preserve"> and </w:t>
      </w:r>
      <w:r>
        <w:rPr>
          <w:kern w:val="0"/>
        </w:rPr>
        <w:t>mercury(II) concentration. The maximum adsorption was observed within 15-30 min of agitation. The kinetics of the interactions, tested with model of Lagergren for pseudo-first</w:t>
      </w:r>
      <w:r w:rsidR="00F81221">
        <w:rPr>
          <w:kern w:val="0"/>
        </w:rPr>
        <w:t xml:space="preserve"> and </w:t>
      </w:r>
      <w:r>
        <w:rPr>
          <w:kern w:val="0"/>
        </w:rPr>
        <w:t xml:space="preserve">pseudo-second order equations, showed </w:t>
      </w:r>
      <w:r>
        <w:rPr>
          <w:kern w:val="0"/>
        </w:rPr>
        <w:lastRenderedPageBreak/>
        <w:t xml:space="preserve">better agreement with first order kinetics (k(1) = 3.4±0.2 to 5.9±0.3 min (1)). The adsorption data gave good fits with Langmuir isotherms. The results have shown that beta-cyclodextrin-containing adsorbent has the largest adsorption specificity to Hg(II) : K-L = 14400±700 L/mg. </w:t>
      </w:r>
      <w:r w:rsidR="000352E7">
        <w:rPr>
          <w:kern w:val="0"/>
        </w:rPr>
        <w:t>“</w:t>
      </w:r>
      <w:r>
        <w:rPr>
          <w:kern w:val="0"/>
        </w:rPr>
        <w:t>beta-Cyclodextrin-NO</w:t>
      </w:r>
      <w:r w:rsidRPr="0073505C">
        <w:rPr>
          <w:kern w:val="0"/>
          <w:vertAlign w:val="subscript"/>
        </w:rPr>
        <w:t>3</w:t>
      </w:r>
      <w:r w:rsidRPr="00855FB0">
        <w:rPr>
          <w:kern w:val="0"/>
          <w:vertAlign w:val="superscript"/>
        </w:rPr>
        <w:t>-</w:t>
      </w:r>
      <w:r w:rsidR="000352E7">
        <w:rPr>
          <w:kern w:val="0"/>
        </w:rPr>
        <w:t>”</w:t>
      </w:r>
      <w:r>
        <w:rPr>
          <w:kern w:val="0"/>
        </w:rPr>
        <w:t xml:space="preserve"> inclusion complexes with ratio 1: 1</w:t>
      </w:r>
      <w:r w:rsidR="00F81221">
        <w:rPr>
          <w:kern w:val="0"/>
        </w:rPr>
        <w:t xml:space="preserve"> and </w:t>
      </w:r>
      <w:r>
        <w:rPr>
          <w:kern w:val="0"/>
        </w:rPr>
        <w:t>super molecules with composition C</w:t>
      </w:r>
      <w:r w:rsidRPr="0073505C">
        <w:rPr>
          <w:kern w:val="0"/>
          <w:vertAlign w:val="subscript"/>
        </w:rPr>
        <w:t>42</w:t>
      </w:r>
      <w:r>
        <w:rPr>
          <w:kern w:val="0"/>
        </w:rPr>
        <w:t>H</w:t>
      </w:r>
      <w:r w:rsidRPr="0073505C">
        <w:rPr>
          <w:kern w:val="0"/>
          <w:vertAlign w:val="subscript"/>
        </w:rPr>
        <w:t>70</w:t>
      </w:r>
      <w:r>
        <w:rPr>
          <w:kern w:val="0"/>
        </w:rPr>
        <w:t>O</w:t>
      </w:r>
      <w:r w:rsidRPr="0073505C">
        <w:rPr>
          <w:kern w:val="0"/>
          <w:vertAlign w:val="subscript"/>
        </w:rPr>
        <w:t>35</w:t>
      </w:r>
      <w:r>
        <w:rPr>
          <w:kern w:val="0"/>
        </w:rPr>
        <w:t xml:space="preserve"> center dot 3Hg(NO</w:t>
      </w:r>
      <w:r w:rsidRPr="0073505C">
        <w:rPr>
          <w:kern w:val="0"/>
          <w:vertAlign w:val="subscript"/>
        </w:rPr>
        <w:t>3</w:t>
      </w:r>
      <w:r>
        <w:rPr>
          <w:kern w:val="0"/>
        </w:rPr>
        <w:t>)</w:t>
      </w:r>
      <w:r>
        <w:rPr>
          <w:kern w:val="0"/>
          <w:vertAlign w:val="subscript"/>
        </w:rPr>
        <w:t>2</w:t>
      </w:r>
      <w:r>
        <w:rPr>
          <w:kern w:val="0"/>
        </w:rPr>
        <w:t xml:space="preserve"> are formed on the surface of beta-cyclodextrin-containing silica. (c) 2008 Elsevier B.V. All rights reserved.</w:t>
      </w:r>
    </w:p>
    <w:p w:rsidR="0009713E" w:rsidRDefault="0009713E" w:rsidP="0009713E">
      <w:pPr>
        <w:pStyle w:val="a0"/>
        <w:rPr>
          <w:kern w:val="0"/>
        </w:rPr>
      </w:pPr>
      <w:r>
        <w:rPr>
          <w:kern w:val="0"/>
        </w:rPr>
        <w:t>Keywords: Acid, Adsorption, Beta-Cyclodextrin, Beta-Cyclodextrin, Immobilization, Inclusion Complex, Inclusion Complex, Mercury(II), Separation, Silica Surface, Systems</w:t>
      </w:r>
    </w:p>
    <w:p w:rsidR="00B95188" w:rsidRPr="00A428C3" w:rsidRDefault="00B95188" w:rsidP="00B95188">
      <w:pPr>
        <w:pStyle w:val="1"/>
      </w:pPr>
      <w:r w:rsidRPr="00586CD8">
        <w:br w:type="page"/>
      </w:r>
      <w:bookmarkStart w:id="1081" w:name="_Toc492812161"/>
      <w:bookmarkStart w:id="1082" w:name="_Toc186647877"/>
      <w:bookmarkStart w:id="1083" w:name="_Toc317161194"/>
      <w:r w:rsidRPr="00A428C3">
        <w:lastRenderedPageBreak/>
        <w:t>Title: Inorganica Chimica Acta-Bioinorganic Chemistry</w:t>
      </w:r>
      <w:bookmarkEnd w:id="1081"/>
      <w:bookmarkEnd w:id="1082"/>
      <w:bookmarkEnd w:id="1083"/>
    </w:p>
    <w:p w:rsidR="00B95188" w:rsidRPr="00A428C3" w:rsidRDefault="00B95188" w:rsidP="00B72EF9">
      <w:pPr>
        <w:pStyle w:val="12"/>
      </w:pPr>
      <w:r w:rsidRPr="00A428C3">
        <w:t>Full Journal Title: Inorganica Chimica Acta-Bioinorganic Chemistry</w:t>
      </w:r>
    </w:p>
    <w:p w:rsidR="00B95188" w:rsidRPr="00A428C3" w:rsidRDefault="00B95188" w:rsidP="00B72EF9">
      <w:pPr>
        <w:pStyle w:val="12"/>
      </w:pPr>
      <w:r w:rsidRPr="00A428C3">
        <w:t>ISO Abbreviated Title: Inorg. Chim. A-Bioinor.</w:t>
      </w:r>
    </w:p>
    <w:p w:rsidR="00B95188" w:rsidRPr="00A428C3" w:rsidRDefault="00B95188" w:rsidP="00B72EF9">
      <w:pPr>
        <w:pStyle w:val="12"/>
      </w:pPr>
      <w:r w:rsidRPr="00A428C3">
        <w:t>JCR Abbreviated Title: Inorg Chim A-Bioinor</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95188">
      <w:pPr>
        <w:pStyle w:val="a0"/>
      </w:pPr>
      <w:r w:rsidRPr="00A428C3">
        <w:t>? Goodgame, D.M.L., Page, C.J.</w:t>
      </w:r>
      <w:r w:rsidR="00F81221">
        <w:t xml:space="preserve"> and </w:t>
      </w:r>
      <w:r w:rsidRPr="00A428C3">
        <w:t>Williams, D.J. (1988), Potential multifunctional anti-cancer metal-complexes. 1. Synthesis</w:t>
      </w:r>
      <w:r w:rsidR="00F81221">
        <w:t xml:space="preserve"> and </w:t>
      </w:r>
      <w:r w:rsidRPr="00A428C3">
        <w:t xml:space="preserve">x-ray structural studies of some dinuclear rhodium(II) carboxylatecomplexes with diamine-substituted acridine ligands in terminal coordination positions. </w:t>
      </w:r>
      <w:r w:rsidRPr="00A428C3">
        <w:rPr>
          <w:i/>
        </w:rPr>
        <w:t>Inorganica Chimica Acta-Bioinorganic Chemistry</w:t>
      </w:r>
      <w:r w:rsidRPr="00A428C3">
        <w:t xml:space="preserve">, </w:t>
      </w:r>
      <w:r w:rsidRPr="00A428C3">
        <w:rPr>
          <w:b/>
        </w:rPr>
        <w:t>153</w:t>
      </w:r>
      <w:r w:rsidRPr="00A428C3">
        <w:t xml:space="preserve"> (4), 219-225.</w:t>
      </w:r>
    </w:p>
    <w:p w:rsidR="00B95188" w:rsidRPr="00A428C3" w:rsidRDefault="00B95188" w:rsidP="00B95188">
      <w:pPr>
        <w:pStyle w:val="1"/>
      </w:pPr>
      <w:r w:rsidRPr="00586CD8">
        <w:br w:type="page"/>
      </w:r>
      <w:bookmarkStart w:id="1084" w:name="_Toc186647878"/>
      <w:bookmarkStart w:id="1085" w:name="_Toc317161195"/>
      <w:r w:rsidRPr="00A428C3">
        <w:lastRenderedPageBreak/>
        <w:t>Title: Insect Science</w:t>
      </w:r>
      <w:r w:rsidR="00F81221">
        <w:t xml:space="preserve"> and </w:t>
      </w:r>
      <w:r w:rsidRPr="00A428C3">
        <w:t>Its Application</w:t>
      </w:r>
      <w:bookmarkEnd w:id="1084"/>
      <w:bookmarkEnd w:id="1085"/>
    </w:p>
    <w:p w:rsidR="00B95188" w:rsidRPr="00A428C3" w:rsidRDefault="00B95188" w:rsidP="00B72EF9">
      <w:pPr>
        <w:pStyle w:val="12"/>
      </w:pPr>
      <w:r w:rsidRPr="00A428C3">
        <w:t>Full Journal Title: Insect Science</w:t>
      </w:r>
      <w:r w:rsidR="00F81221">
        <w:t xml:space="preserve"> and </w:t>
      </w:r>
      <w:r w:rsidRPr="00A428C3">
        <w:t>Its Application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0191-9040</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95188">
      <w:pPr>
        <w:pStyle w:val="a0"/>
      </w:pPr>
      <w:r w:rsidRPr="00A428C3">
        <w:t xml:space="preserve">? Alabi, G.A. (1984), </w:t>
      </w:r>
      <w:smartTag w:uri="urn:schemas-microsoft-com:office:smarttags" w:element="place">
        <w:r w:rsidRPr="00A428C3">
          <w:t>Bradford</w:t>
        </w:r>
      </w:smartTag>
      <w:r w:rsidRPr="00A428C3">
        <w:t xml:space="preserve"> law</w:t>
      </w:r>
      <w:r w:rsidR="00F81221">
        <w:t xml:space="preserve"> and </w:t>
      </w:r>
      <w:r w:rsidRPr="00A428C3">
        <w:t xml:space="preserve">the Nigerian entomological literature. </w:t>
      </w:r>
      <w:r w:rsidRPr="00A428C3">
        <w:rPr>
          <w:i/>
          <w:iCs/>
        </w:rPr>
        <w:t>Insect Science</w:t>
      </w:r>
      <w:r w:rsidR="00F81221">
        <w:rPr>
          <w:i/>
          <w:iCs/>
        </w:rPr>
        <w:t xml:space="preserve"> and </w:t>
      </w:r>
      <w:r w:rsidRPr="00A428C3">
        <w:rPr>
          <w:i/>
          <w:iCs/>
        </w:rPr>
        <w:t>Its Application</w:t>
      </w:r>
      <w:r w:rsidRPr="00A428C3">
        <w:t xml:space="preserve">, </w:t>
      </w:r>
      <w:r w:rsidRPr="00A428C3">
        <w:rPr>
          <w:b/>
        </w:rPr>
        <w:t>5</w:t>
      </w:r>
      <w:r w:rsidRPr="00A428C3">
        <w:t xml:space="preserve"> (1), 7-11.</w:t>
      </w:r>
    </w:p>
    <w:p w:rsidR="00B95188" w:rsidRDefault="00B95188" w:rsidP="00B95188">
      <w:pPr>
        <w:pStyle w:val="a0"/>
      </w:pPr>
      <w:r w:rsidRPr="00A428C3">
        <w:t>? Thompson, G. (1992), An analysis of the growth of African trypanosomiasis research between 1900</w:t>
      </w:r>
      <w:r w:rsidR="00F81221">
        <w:t xml:space="preserve"> and </w:t>
      </w:r>
      <w:r w:rsidRPr="00A428C3">
        <w:t xml:space="preserve">1985. </w:t>
      </w:r>
      <w:r w:rsidRPr="00A428C3">
        <w:rPr>
          <w:i/>
          <w:iCs/>
        </w:rPr>
        <w:t>Insect Science</w:t>
      </w:r>
      <w:r w:rsidR="00F81221">
        <w:rPr>
          <w:i/>
          <w:iCs/>
        </w:rPr>
        <w:t xml:space="preserve"> and </w:t>
      </w:r>
      <w:r w:rsidRPr="00A428C3">
        <w:rPr>
          <w:i/>
          <w:iCs/>
        </w:rPr>
        <w:t>Its Application</w:t>
      </w:r>
      <w:r w:rsidRPr="00A428C3">
        <w:t xml:space="preserve">, </w:t>
      </w:r>
      <w:r w:rsidRPr="00A428C3">
        <w:rPr>
          <w:b/>
        </w:rPr>
        <w:t>13</w:t>
      </w:r>
      <w:r w:rsidRPr="00A428C3">
        <w:t xml:space="preserve"> (3), 399-409.</w:t>
      </w:r>
    </w:p>
    <w:p w:rsidR="00070241" w:rsidRPr="00A428C3" w:rsidRDefault="00070241" w:rsidP="00B95188">
      <w:pPr>
        <w:pStyle w:val="a0"/>
      </w:pPr>
      <w:r>
        <w:rPr>
          <w:rFonts w:hint="eastAsia"/>
          <w:iCs/>
        </w:rPr>
        <w:t>Full Text: 1992\</w:t>
      </w:r>
      <w:r w:rsidRPr="00070241">
        <w:rPr>
          <w:iCs/>
        </w:rPr>
        <w:t>In</w:t>
      </w:r>
      <w:r>
        <w:rPr>
          <w:iCs/>
        </w:rPr>
        <w:t>s Sci Its App</w:t>
      </w:r>
      <w:r w:rsidRPr="00070241">
        <w:t>13</w:t>
      </w:r>
      <w:r w:rsidRPr="00A428C3">
        <w:t>, 399</w:t>
      </w:r>
      <w:r>
        <w:rPr>
          <w:rFonts w:hint="eastAsia"/>
        </w:rPr>
        <w:t>.pdf</w:t>
      </w:r>
    </w:p>
    <w:p w:rsidR="00B95188" w:rsidRPr="00A428C3" w:rsidRDefault="00B95188" w:rsidP="00B95188">
      <w:pPr>
        <w:pStyle w:val="a0"/>
      </w:pPr>
      <w:r w:rsidRPr="00A428C3">
        <w:t>Abstract: The purpose of this study is to elucidate the production dynamics, growth characteristics</w:t>
      </w:r>
      <w:r w:rsidR="00F81221">
        <w:t xml:space="preserve"> and </w:t>
      </w:r>
      <w:r w:rsidRPr="00A428C3">
        <w:t>trends of African trypanosomiasis research (ATREP) literature between 1900</w:t>
      </w:r>
      <w:r w:rsidR="00F81221">
        <w:t xml:space="preserve"> and </w:t>
      </w:r>
      <w:r w:rsidRPr="00A428C3">
        <w:t>1985 through graphical methods. The data analysed comprised 5139 articles from Tropical Diseases Bulletin</w:t>
      </w:r>
      <w:r w:rsidR="00F81221">
        <w:t xml:space="preserve"> and </w:t>
      </w:r>
      <w:r w:rsidRPr="00A428C3">
        <w:t>Tsetse</w:t>
      </w:r>
      <w:r w:rsidR="00F81221">
        <w:t xml:space="preserve"> and </w:t>
      </w:r>
      <w:r w:rsidRPr="00A428C3">
        <w:t>Trypanosomiasis Information Quarterly. Counting technique was employed in sorting the articles according to yearly production</w:t>
      </w:r>
      <w:r w:rsidR="00F81221">
        <w:t xml:space="preserve"> and </w:t>
      </w:r>
      <w:r w:rsidRPr="00A428C3">
        <w:t>respective subject disciplines. The bibliometric ranks of the disciplines were determined based on (1) the total output</w:t>
      </w:r>
      <w:r w:rsidR="00F81221">
        <w:t xml:space="preserve"> and </w:t>
      </w:r>
      <w:r w:rsidRPr="00A428C3">
        <w:t>(2) the average decennial relative changes (Rc) in publications between 1936</w:t>
      </w:r>
      <w:r w:rsidR="00F81221">
        <w:t xml:space="preserve"> and </w:t>
      </w:r>
      <w:r w:rsidRPr="00A428C3">
        <w:t xml:space="preserve">1985 using 1936/45 as the base decade. The results show that the growth is neither linear nor logistic but exponential with an average 39.5-year doubling time. A marked feature is the occurrence of high </w:t>
      </w:r>
      <w:r w:rsidR="000352E7">
        <w:t>“</w:t>
      </w:r>
      <w:r w:rsidRPr="00A428C3">
        <w:t>epidemic</w:t>
      </w:r>
      <w:r w:rsidR="000352E7">
        <w:t>”</w:t>
      </w:r>
      <w:r w:rsidRPr="00A428C3">
        <w:t xml:space="preserve"> peaks between 1910-1914</w:t>
      </w:r>
      <w:r w:rsidR="00F81221">
        <w:t xml:space="preserve"> and </w:t>
      </w:r>
      <w:r w:rsidRPr="00A428C3">
        <w:t>1979-1985, a state in which publications were produced at relatively high level probably due to new discoveries or research orientation;</w:t>
      </w:r>
      <w:r w:rsidR="00F81221">
        <w:t xml:space="preserve"> and </w:t>
      </w:r>
      <w:r w:rsidRPr="00A428C3">
        <w:t>hence capable of quickly infecting a large number of scientists enhancing productivity. There was also a low level of activity from 1914 which lasted for about 22 years. The foundation disciplines for African Trypanosomiasis Research Programme (ATREP) are entomology</w:t>
      </w:r>
      <w:r w:rsidR="00F81221">
        <w:t xml:space="preserve"> and </w:t>
      </w:r>
      <w:r w:rsidRPr="00A428C3">
        <w:t>parasitology. Entomology had the highest bibliometric rank followed by parasitology. However, the Rc factors indicate that greater attention, as depicted by publication outburst, was given to physiology, immunology, biochemistry,</w:t>
      </w:r>
      <w:r w:rsidR="00F81221">
        <w:t xml:space="preserve"> and </w:t>
      </w:r>
      <w:r w:rsidRPr="00A428C3">
        <w:t xml:space="preserve">epidemiology between 1976-1985 than had been before. In spite of its consistently higher output, entomology exhibited the greatest fluctuating growth </w:t>
      </w:r>
      <w:r w:rsidRPr="00A428C3">
        <w:lastRenderedPageBreak/>
        <w:t>trend than all the other components. A possible explanation for this behaviour was ventured.</w:t>
      </w:r>
    </w:p>
    <w:p w:rsidR="00B95188" w:rsidRPr="00A428C3" w:rsidRDefault="00B95188" w:rsidP="00B95188">
      <w:pPr>
        <w:pStyle w:val="1"/>
      </w:pPr>
      <w:r w:rsidRPr="00A428C3">
        <w:br w:type="page"/>
      </w:r>
      <w:bookmarkStart w:id="1086" w:name="_Toc487190721"/>
      <w:bookmarkStart w:id="1087" w:name="_Toc487882226"/>
      <w:bookmarkStart w:id="1088" w:name="_Toc490688050"/>
      <w:bookmarkStart w:id="1089" w:name="_Toc492812163"/>
      <w:bookmarkStart w:id="1090" w:name="_Toc186647879"/>
      <w:bookmarkStart w:id="1091" w:name="_Toc317161196"/>
      <w:r w:rsidRPr="00A428C3">
        <w:lastRenderedPageBreak/>
        <w:t>Title: Institue of Chemical Engineering Research Event-European Conference Young Research Chemical Engineering, 1st</w:t>
      </w:r>
      <w:bookmarkEnd w:id="1086"/>
      <w:bookmarkEnd w:id="1087"/>
      <w:bookmarkEnd w:id="1088"/>
      <w:bookmarkEnd w:id="1089"/>
      <w:bookmarkEnd w:id="1090"/>
      <w:bookmarkEnd w:id="1091"/>
    </w:p>
    <w:p w:rsidR="00B95188" w:rsidRPr="00A428C3" w:rsidRDefault="00B95188" w:rsidP="00B95188">
      <w:pPr>
        <w:pStyle w:val="a0"/>
      </w:pPr>
      <w:r w:rsidRPr="00A428C3">
        <w:t>? Shen, X., Bousher, A.</w:t>
      </w:r>
      <w:r w:rsidR="00F81221">
        <w:t xml:space="preserve"> and </w:t>
      </w:r>
      <w:r w:rsidRPr="00A428C3">
        <w:t>Edyvean, R.G.J. (1995), Color removal from a waste effluent by combined use of Fe(II), lime</w:t>
      </w:r>
      <w:r w:rsidR="00F81221">
        <w:t xml:space="preserve"> and </w:t>
      </w:r>
      <w:r w:rsidRPr="00A428C3">
        <w:t xml:space="preserve">bone charcoal. </w:t>
      </w:r>
      <w:r w:rsidRPr="00A428C3">
        <w:rPr>
          <w:i/>
        </w:rPr>
        <w:t>Institue of Chemical Engineering Research Event-European Conference Young Research Chemical Engineering</w:t>
      </w:r>
      <w:r w:rsidRPr="00A428C3">
        <w:rPr>
          <w:iCs/>
        </w:rPr>
        <w:t xml:space="preserve">, </w:t>
      </w:r>
      <w:r w:rsidRPr="00A428C3">
        <w:rPr>
          <w:i/>
        </w:rPr>
        <w:t>1st</w:t>
      </w:r>
      <w:r w:rsidRPr="00A428C3">
        <w:t xml:space="preserve">, </w:t>
      </w:r>
      <w:r w:rsidRPr="00A428C3">
        <w:rPr>
          <w:b/>
        </w:rPr>
        <w:t>1</w:t>
      </w:r>
      <w:r w:rsidRPr="00A428C3">
        <w:t>, 469-471.</w:t>
      </w:r>
    </w:p>
    <w:p w:rsidR="00B95188" w:rsidRPr="00A428C3" w:rsidRDefault="00B95188" w:rsidP="00B95188">
      <w:pPr>
        <w:pStyle w:val="1"/>
      </w:pPr>
      <w:r w:rsidRPr="00A428C3">
        <w:br w:type="page"/>
      </w:r>
      <w:bookmarkStart w:id="1092" w:name="_Toc455569479"/>
      <w:bookmarkStart w:id="1093" w:name="_Toc487190722"/>
      <w:bookmarkStart w:id="1094" w:name="_Toc487882227"/>
      <w:bookmarkStart w:id="1095" w:name="_Toc490688051"/>
      <w:bookmarkStart w:id="1096" w:name="_Toc492812164"/>
      <w:bookmarkStart w:id="1097" w:name="_Toc186647880"/>
      <w:bookmarkStart w:id="1098" w:name="_Toc317161197"/>
      <w:r w:rsidRPr="00A428C3">
        <w:lastRenderedPageBreak/>
        <w:t xml:space="preserve">Title: Institution of Chemical Engineers. Symposium Series: Use of Energy in </w:t>
      </w:r>
      <w:smartTag w:uri="urn:schemas-microsoft-com:office:smarttags" w:element="country-region">
        <w:r w:rsidRPr="00A428C3">
          <w:t>Northern Ireland</w:t>
        </w:r>
      </w:smartTag>
      <w:r w:rsidRPr="00A428C3">
        <w:t xml:space="preserve">, </w:t>
      </w:r>
      <w:smartTag w:uri="urn:schemas-microsoft-com:office:smarttags" w:element="place">
        <w:smartTag w:uri="urn:schemas-microsoft-com:office:smarttags" w:element="City">
          <w:r w:rsidRPr="00A428C3">
            <w:t>Belfast</w:t>
          </w:r>
        </w:smartTag>
      </w:smartTag>
      <w:bookmarkEnd w:id="1092"/>
      <w:bookmarkEnd w:id="1093"/>
      <w:bookmarkEnd w:id="1094"/>
      <w:bookmarkEnd w:id="1095"/>
      <w:bookmarkEnd w:id="1096"/>
      <w:bookmarkEnd w:id="1097"/>
      <w:bookmarkEnd w:id="1098"/>
    </w:p>
    <w:p w:rsidR="00B95188" w:rsidRPr="00A428C3" w:rsidRDefault="00B95188" w:rsidP="00B95188">
      <w:pPr>
        <w:pStyle w:val="a0"/>
      </w:pPr>
      <w:r w:rsidRPr="00A428C3">
        <w:t xml:space="preserve">(Inst. Chem. </w:t>
      </w:r>
      <w:smartTag w:uri="urn:schemas-microsoft-com:office:smarttags" w:element="place">
        <w:smartTag w:uri="urn:schemas-microsoft-com:office:smarttags" w:element="country-region">
          <w:r w:rsidRPr="00A428C3">
            <w:t>Eng.</w:t>
          </w:r>
        </w:smartTag>
      </w:smartTag>
      <w:r w:rsidRPr="00A428C3">
        <w:t xml:space="preserve"> Symp. Ser.; </w:t>
      </w:r>
      <w:smartTag w:uri="urn:schemas-microsoft-com:office:smarttags" w:element="place">
        <w:r w:rsidRPr="00A428C3">
          <w:t>I.</w:t>
        </w:r>
      </w:smartTag>
      <w:r w:rsidRPr="00A428C3">
        <w:t xml:space="preserve"> Chem. E. Symp. Ser.)</w:t>
      </w:r>
    </w:p>
    <w:p w:rsidR="00B95188" w:rsidRPr="00A428C3" w:rsidRDefault="00B95188" w:rsidP="00B95188">
      <w:pPr>
        <w:pStyle w:val="a0"/>
      </w:pPr>
      <w:r w:rsidRPr="00A428C3">
        <w:t xml:space="preserve">McKay, G. (1978), The fuel situation in </w:t>
      </w:r>
      <w:smartTag w:uri="urn:schemas-microsoft-com:office:smarttags" w:element="place">
        <w:smartTag w:uri="urn:schemas-microsoft-com:office:smarttags" w:element="country-region">
          <w:r w:rsidRPr="00A428C3">
            <w:t>Northern Ireland</w:t>
          </w:r>
        </w:smartTag>
      </w:smartTag>
      <w:r w:rsidRPr="00A428C3">
        <w:t xml:space="preserve">. The Institution of Chemical Engineers Proceedings of the Symposium: Use of Energy in </w:t>
      </w:r>
      <w:smartTag w:uri="urn:schemas-microsoft-com:office:smarttags" w:element="country-region">
        <w:r w:rsidRPr="00A428C3">
          <w:t>Northern Ireland</w:t>
        </w:r>
      </w:smartTag>
      <w:r w:rsidRPr="00A428C3">
        <w:rPr>
          <w:iCs/>
        </w:rPr>
        <w:t xml:space="preserve">, </w:t>
      </w:r>
      <w:smartTag w:uri="urn:schemas-microsoft-com:office:smarttags" w:element="place">
        <w:smartTag w:uri="urn:schemas-microsoft-com:office:smarttags" w:element="City">
          <w:r w:rsidRPr="00A428C3">
            <w:t>Belfast</w:t>
          </w:r>
        </w:smartTag>
      </w:smartTag>
      <w:r w:rsidRPr="00A428C3">
        <w:t xml:space="preserve">, </w:t>
      </w:r>
      <w:r w:rsidRPr="00A428C3">
        <w:rPr>
          <w:b/>
        </w:rPr>
        <w:t>September</w:t>
      </w:r>
      <w:r w:rsidRPr="00A428C3">
        <w:t>, 1-21.</w:t>
      </w:r>
    </w:p>
    <w:p w:rsidR="00B95188" w:rsidRPr="00A428C3" w:rsidRDefault="00B95188" w:rsidP="00B95188">
      <w:pPr>
        <w:pStyle w:val="a0"/>
      </w:pPr>
      <w:r w:rsidRPr="00A428C3">
        <w:t>McKay, G.</w:t>
      </w:r>
      <w:r w:rsidR="00F81221">
        <w:t xml:space="preserve"> and </w:t>
      </w:r>
      <w:r w:rsidRPr="00A428C3">
        <w:t>Sweeney, A.G. (1979), Diffusion</w:t>
      </w:r>
      <w:r w:rsidR="00F81221">
        <w:t xml:space="preserve"> and </w:t>
      </w:r>
      <w:r w:rsidRPr="00A428C3">
        <w:t xml:space="preserve">surface processes during colour removal from effluent by carbon adsorption. </w:t>
      </w:r>
      <w:r w:rsidRPr="00A428C3">
        <w:rPr>
          <w:i/>
        </w:rPr>
        <w:t>Yorkshire Branch of the Institution of Chemical Engineers Proceedings of the Symposium: Solids/Liquids Separation Practice</w:t>
      </w:r>
      <w:r w:rsidRPr="00A428C3">
        <w:rPr>
          <w:iCs/>
        </w:rPr>
        <w:t xml:space="preserve">, </w:t>
      </w:r>
      <w:smartTag w:uri="urn:schemas-microsoft-com:office:smarttags" w:element="place">
        <w:r w:rsidRPr="00A428C3">
          <w:rPr>
            <w:i/>
          </w:rPr>
          <w:t>Leeds</w:t>
        </w:r>
      </w:smartTag>
      <w:r w:rsidRPr="00A428C3">
        <w:t xml:space="preserve">, </w:t>
      </w:r>
      <w:r w:rsidRPr="00A428C3">
        <w:rPr>
          <w:b/>
        </w:rPr>
        <w:t>March</w:t>
      </w:r>
      <w:r w:rsidRPr="00A428C3">
        <w:t>, 175-194.</w:t>
      </w:r>
    </w:p>
    <w:p w:rsidR="00B95188" w:rsidRPr="00A428C3" w:rsidRDefault="00B95188" w:rsidP="00B95188">
      <w:pPr>
        <w:pStyle w:val="a0"/>
      </w:pPr>
      <w:r w:rsidRPr="00A428C3">
        <w:t>McKay, G., Allen, S.J.</w:t>
      </w:r>
      <w:r w:rsidR="00F81221">
        <w:t xml:space="preserve"> and </w:t>
      </w:r>
      <w:r w:rsidRPr="00A428C3">
        <w:t>Poots, V.J.P. (1980), Colour removal from effluent using peat: Batch</w:t>
      </w:r>
      <w:r w:rsidR="00F81221">
        <w:t xml:space="preserve"> and </w:t>
      </w:r>
      <w:r w:rsidRPr="00A428C3">
        <w:t xml:space="preserve">fixed bed studies. </w:t>
      </w:r>
      <w:r w:rsidRPr="00A428C3">
        <w:rPr>
          <w:i/>
        </w:rPr>
        <w:t>Institution of Chemical Engineers. Symposium Series</w:t>
      </w:r>
      <w:r w:rsidRPr="00A428C3">
        <w:rPr>
          <w:iCs/>
        </w:rPr>
        <w:t xml:space="preserve">, </w:t>
      </w:r>
      <w:smartTag w:uri="urn:schemas-microsoft-com:office:smarttags" w:element="place">
        <w:smartTag w:uri="urn:schemas-microsoft-com:office:smarttags" w:element="City">
          <w:r w:rsidRPr="00A428C3">
            <w:rPr>
              <w:i/>
            </w:rPr>
            <w:t>Dublin</w:t>
          </w:r>
        </w:smartTag>
      </w:smartTag>
      <w:r w:rsidRPr="00A428C3">
        <w:t xml:space="preserve">, </w:t>
      </w:r>
      <w:r w:rsidRPr="00A428C3">
        <w:rPr>
          <w:b/>
        </w:rPr>
        <w:t>59</w:t>
      </w:r>
      <w:r w:rsidRPr="00A428C3">
        <w:t>, 8:2/1-8:2/14.</w:t>
      </w:r>
    </w:p>
    <w:p w:rsidR="00B95188" w:rsidRPr="00A428C3" w:rsidRDefault="00B95188" w:rsidP="00B95188">
      <w:pPr>
        <w:pStyle w:val="a0"/>
      </w:pPr>
      <w:r w:rsidRPr="00A428C3">
        <w:t>McKay, G. (1981), A fixed bed adsorption model using peat for colour removal. Institution of Chemical Engineers. Symposium Series: 2nd World Congress of Chemical Engineering</w:t>
      </w:r>
      <w:r w:rsidRPr="00A428C3">
        <w:rPr>
          <w:iCs/>
        </w:rPr>
        <w:t xml:space="preserve">, </w:t>
      </w:r>
      <w:smartTag w:uri="urn:schemas-microsoft-com:office:smarttags" w:element="place">
        <w:smartTag w:uri="urn:schemas-microsoft-com:office:smarttags" w:element="City">
          <w:r w:rsidRPr="00A428C3">
            <w:t>Montreal</w:t>
          </w:r>
        </w:smartTag>
      </w:smartTag>
      <w:r w:rsidRPr="00A428C3">
        <w:t xml:space="preserve">, </w:t>
      </w:r>
      <w:r w:rsidRPr="00A428C3">
        <w:rPr>
          <w:b/>
        </w:rPr>
        <w:t>6</w:t>
      </w:r>
      <w:r w:rsidRPr="00A428C3">
        <w:t>, 153-157.</w:t>
      </w:r>
    </w:p>
    <w:p w:rsidR="00B95188" w:rsidRPr="00A428C3" w:rsidRDefault="00B95188" w:rsidP="00B95188">
      <w:pPr>
        <w:pStyle w:val="a0"/>
      </w:pPr>
      <w:r w:rsidRPr="00A428C3">
        <w:t>Aga, J., Allen, S.J., Bino, M.J., McConvey, I.F. McKay, G., Otterburn, M.S.</w:t>
      </w:r>
      <w:r w:rsidR="00F81221">
        <w:t xml:space="preserve"> and </w:t>
      </w:r>
      <w:r w:rsidRPr="00A428C3">
        <w:t>Sweeney, A.G. (1983), The design of fixed bed adsorption systems for the treatment of coloured</w:t>
      </w:r>
      <w:r w:rsidR="00F81221">
        <w:t xml:space="preserve"> and </w:t>
      </w:r>
      <w:r w:rsidRPr="00A428C3">
        <w:t xml:space="preserve">colourless organics in effluents. </w:t>
      </w:r>
      <w:r w:rsidRPr="00A428C3">
        <w:rPr>
          <w:i/>
        </w:rPr>
        <w:t>Institution of Chemical Engineers. Symposium Series</w:t>
      </w:r>
      <w:r w:rsidRPr="00A428C3">
        <w:t xml:space="preserve">, </w:t>
      </w:r>
      <w:r w:rsidRPr="00A428C3">
        <w:rPr>
          <w:b/>
        </w:rPr>
        <w:t>77</w:t>
      </w:r>
      <w:r w:rsidRPr="00A428C3">
        <w:t>, 217-232.</w:t>
      </w:r>
    </w:p>
    <w:p w:rsidR="00B95188" w:rsidRPr="00A428C3" w:rsidRDefault="00B95188" w:rsidP="00B95188">
      <w:pPr>
        <w:pStyle w:val="a0"/>
      </w:pPr>
      <w:r w:rsidRPr="00A428C3">
        <w:t xml:space="preserve">McKay, G. (1983), Energy management in the process industry. </w:t>
      </w:r>
      <w:r w:rsidRPr="00A428C3">
        <w:rPr>
          <w:i/>
        </w:rPr>
        <w:t>Institution of Chemical Engineers. Symposium Series:Branch Meeting</w:t>
      </w:r>
      <w:r w:rsidRPr="00A428C3">
        <w:rPr>
          <w:iCs/>
        </w:rPr>
        <w:t xml:space="preserve">, </w:t>
      </w:r>
      <w:smartTag w:uri="urn:schemas-microsoft-com:office:smarttags" w:element="place">
        <w:smartTag w:uri="urn:schemas-microsoft-com:office:smarttags" w:element="City">
          <w:r w:rsidRPr="00A428C3">
            <w:rPr>
              <w:i/>
            </w:rPr>
            <w:t>Dublin</w:t>
          </w:r>
        </w:smartTag>
      </w:smartTag>
      <w:r w:rsidRPr="00A428C3">
        <w:t xml:space="preserve">, </w:t>
      </w:r>
      <w:r w:rsidRPr="00A428C3">
        <w:rPr>
          <w:b/>
        </w:rPr>
        <w:t>September</w:t>
      </w:r>
      <w:r w:rsidRPr="00A428C3">
        <w:t>, 1-16.</w:t>
      </w:r>
    </w:p>
    <w:p w:rsidR="00B95188" w:rsidRPr="00A428C3" w:rsidRDefault="00B95188" w:rsidP="00B95188">
      <w:pPr>
        <w:pStyle w:val="a0"/>
      </w:pPr>
      <w:r w:rsidRPr="00A428C3">
        <w:t>Allen, S.J., McKay, G.</w:t>
      </w:r>
      <w:r w:rsidR="00F81221">
        <w:t xml:space="preserve"> and </w:t>
      </w:r>
      <w:r w:rsidRPr="00A428C3">
        <w:t xml:space="preserve">Poots, V.J.P. (1986), The sorption of dyes onto in fixed beds. </w:t>
      </w:r>
      <w:r w:rsidRPr="00A428C3">
        <w:rPr>
          <w:i/>
        </w:rPr>
        <w:t>Institution of Chemical Engineers. Symposium Series: Effluent Treatment</w:t>
      </w:r>
      <w:r w:rsidR="00F81221">
        <w:rPr>
          <w:i/>
        </w:rPr>
        <w:t xml:space="preserve"> and </w:t>
      </w:r>
      <w:r w:rsidRPr="00A428C3">
        <w:rPr>
          <w:i/>
        </w:rPr>
        <w:t>Disposal</w:t>
      </w:r>
      <w:r w:rsidRPr="00A428C3">
        <w:rPr>
          <w:iCs/>
        </w:rPr>
        <w:t xml:space="preserve">, </w:t>
      </w:r>
      <w:smartTag w:uri="urn:schemas-microsoft-com:office:smarttags" w:element="place">
        <w:r w:rsidRPr="00A428C3">
          <w:rPr>
            <w:i/>
          </w:rPr>
          <w:t>Bradford</w:t>
        </w:r>
      </w:smartTag>
      <w:r w:rsidRPr="00A428C3">
        <w:t xml:space="preserve">, </w:t>
      </w:r>
      <w:r w:rsidRPr="00A428C3">
        <w:rPr>
          <w:b/>
        </w:rPr>
        <w:t>53</w:t>
      </w:r>
      <w:r w:rsidRPr="00A428C3">
        <w:t>, 199-210.</w:t>
      </w:r>
    </w:p>
    <w:p w:rsidR="00623864" w:rsidRPr="001A3D2B" w:rsidRDefault="00623864" w:rsidP="00623864">
      <w:pPr>
        <w:pStyle w:val="1"/>
      </w:pPr>
      <w:r>
        <w:br w:type="page"/>
      </w:r>
      <w:bookmarkStart w:id="1099" w:name="_Toc317161198"/>
      <w:r w:rsidRPr="001A3D2B">
        <w:lastRenderedPageBreak/>
        <w:t xml:space="preserve">Title: </w:t>
      </w:r>
      <w:r w:rsidRPr="00733472">
        <w:t>Insula-Revista de Letras y Ciencias Humanas</w:t>
      </w:r>
      <w:bookmarkEnd w:id="1099"/>
    </w:p>
    <w:p w:rsidR="00623864" w:rsidRPr="001A3D2B" w:rsidRDefault="00623864" w:rsidP="00623864">
      <w:pPr>
        <w:pStyle w:val="12"/>
      </w:pPr>
      <w:r w:rsidRPr="001A3D2B">
        <w:t xml:space="preserve">Full Journal Title: </w:t>
      </w:r>
      <w:r w:rsidRPr="00733472">
        <w:t>Insula-Revista de Letras y Ciencias Humanas</w:t>
      </w:r>
    </w:p>
    <w:p w:rsidR="00623864" w:rsidRPr="001A3D2B" w:rsidRDefault="00623864" w:rsidP="00623864">
      <w:pPr>
        <w:pStyle w:val="12"/>
      </w:pPr>
      <w:r w:rsidRPr="001A3D2B">
        <w:t xml:space="preserve">ISO Abbreviated Title: </w:t>
      </w:r>
    </w:p>
    <w:p w:rsidR="00623864" w:rsidRPr="001A3D2B" w:rsidRDefault="00623864" w:rsidP="00623864">
      <w:pPr>
        <w:pStyle w:val="12"/>
      </w:pPr>
      <w:r w:rsidRPr="001A3D2B">
        <w:t xml:space="preserve">JCR Abbreviated Title: </w:t>
      </w:r>
    </w:p>
    <w:p w:rsidR="00623864" w:rsidRPr="001A3D2B" w:rsidRDefault="00623864" w:rsidP="00623864">
      <w:pPr>
        <w:pStyle w:val="12"/>
      </w:pPr>
      <w:r w:rsidRPr="001A3D2B">
        <w:t xml:space="preserve">ISSN: </w:t>
      </w:r>
    </w:p>
    <w:p w:rsidR="00623864" w:rsidRPr="001A3D2B" w:rsidRDefault="00623864" w:rsidP="00623864">
      <w:pPr>
        <w:pStyle w:val="12"/>
      </w:pPr>
      <w:r w:rsidRPr="001A3D2B">
        <w:t xml:space="preserve">Issues/Year: </w:t>
      </w:r>
    </w:p>
    <w:p w:rsidR="00623864" w:rsidRPr="001A3D2B" w:rsidRDefault="00623864" w:rsidP="00623864">
      <w:pPr>
        <w:pStyle w:val="12"/>
      </w:pPr>
      <w:r w:rsidRPr="001A3D2B">
        <w:t xml:space="preserve">Journal Country/Territory: </w:t>
      </w:r>
    </w:p>
    <w:p w:rsidR="00623864" w:rsidRPr="001A3D2B" w:rsidRDefault="00623864" w:rsidP="00623864">
      <w:pPr>
        <w:pStyle w:val="12"/>
      </w:pPr>
      <w:r w:rsidRPr="001A3D2B">
        <w:t xml:space="preserve">Language: </w:t>
      </w:r>
    </w:p>
    <w:p w:rsidR="00623864" w:rsidRPr="001A3D2B" w:rsidRDefault="00623864" w:rsidP="00623864">
      <w:pPr>
        <w:pStyle w:val="12"/>
      </w:pPr>
      <w:r w:rsidRPr="001A3D2B">
        <w:t xml:space="preserve">Publisher: </w:t>
      </w:r>
    </w:p>
    <w:p w:rsidR="00623864" w:rsidRPr="001A3D2B" w:rsidRDefault="00623864" w:rsidP="00623864">
      <w:pPr>
        <w:pStyle w:val="12"/>
      </w:pPr>
      <w:r w:rsidRPr="001A3D2B">
        <w:t xml:space="preserve">Publisher Address: </w:t>
      </w:r>
    </w:p>
    <w:p w:rsidR="00623864" w:rsidRPr="001A3D2B" w:rsidRDefault="00623864" w:rsidP="00623864">
      <w:pPr>
        <w:pStyle w:val="12"/>
      </w:pPr>
      <w:r w:rsidRPr="001A3D2B">
        <w:t>Subject Categories:</w:t>
      </w:r>
    </w:p>
    <w:p w:rsidR="00623864" w:rsidRDefault="00623864" w:rsidP="00623864">
      <w:pPr>
        <w:pStyle w:val="a0"/>
        <w:rPr>
          <w:kern w:val="0"/>
        </w:rPr>
      </w:pPr>
      <w:r>
        <w:rPr>
          <w:rFonts w:hint="eastAsia"/>
          <w:kern w:val="0"/>
        </w:rPr>
        <w:t xml:space="preserve">? </w:t>
      </w:r>
      <w:r>
        <w:rPr>
          <w:kern w:val="0"/>
        </w:rPr>
        <w:t xml:space="preserve">[Anon]. (2009), Cited Bibliography. </w:t>
      </w:r>
      <w:r>
        <w:rPr>
          <w:i/>
          <w:iCs/>
          <w:kern w:val="0"/>
        </w:rPr>
        <w:t>Insula-Revista de Letras y Ciencias Humanas</w:t>
      </w:r>
      <w:r>
        <w:rPr>
          <w:kern w:val="0"/>
        </w:rPr>
        <w:t xml:space="preserve">, </w:t>
      </w:r>
      <w:r>
        <w:rPr>
          <w:b/>
          <w:bCs/>
          <w:kern w:val="0"/>
        </w:rPr>
        <w:t>64</w:t>
      </w:r>
      <w:r>
        <w:rPr>
          <w:kern w:val="0"/>
        </w:rPr>
        <w:t xml:space="preserve"> (751-52), 44</w:t>
      </w:r>
      <w:r>
        <w:rPr>
          <w:rFonts w:hint="eastAsia"/>
          <w:kern w:val="0"/>
        </w:rPr>
        <w:t>.</w:t>
      </w:r>
    </w:p>
    <w:p w:rsidR="00623864" w:rsidRDefault="00623864" w:rsidP="00623864">
      <w:pPr>
        <w:pStyle w:val="a0"/>
        <w:rPr>
          <w:kern w:val="0"/>
        </w:rPr>
      </w:pPr>
      <w:r>
        <w:rPr>
          <w:rFonts w:hint="eastAsia"/>
          <w:kern w:val="0"/>
        </w:rPr>
        <w:t>Full Text: 2009\</w:t>
      </w:r>
      <w:r w:rsidRPr="00733472">
        <w:rPr>
          <w:kern w:val="0"/>
        </w:rPr>
        <w:t>Ins-Rev Let y Cie Hum64, 44</w:t>
      </w:r>
      <w:r>
        <w:rPr>
          <w:rFonts w:hint="eastAsia"/>
          <w:kern w:val="0"/>
        </w:rPr>
        <w:t>.pdf</w:t>
      </w:r>
    </w:p>
    <w:p w:rsidR="00E00DFE" w:rsidRPr="001A3D2B" w:rsidRDefault="00E00DFE" w:rsidP="00E00DFE">
      <w:pPr>
        <w:pStyle w:val="1"/>
      </w:pPr>
      <w:r w:rsidRPr="001A3D2B">
        <w:br w:type="page"/>
      </w:r>
      <w:bookmarkStart w:id="1100" w:name="_Toc317161199"/>
      <w:r w:rsidRPr="001A3D2B">
        <w:lastRenderedPageBreak/>
        <w:t xml:space="preserve">Title: </w:t>
      </w:r>
      <w:r w:rsidRPr="006826DC">
        <w:rPr>
          <w:iCs/>
        </w:rPr>
        <w:t>In</w:t>
      </w:r>
      <w:r>
        <w:rPr>
          <w:rFonts w:hint="eastAsia"/>
          <w:iCs/>
        </w:rPr>
        <w:t>T</w:t>
      </w:r>
      <w:r w:rsidRPr="006826DC">
        <w:rPr>
          <w:iCs/>
        </w:rPr>
        <w:t>ech</w:t>
      </w:r>
      <w:bookmarkEnd w:id="1100"/>
    </w:p>
    <w:p w:rsidR="00E00DFE" w:rsidRPr="001A3D2B" w:rsidRDefault="00E00DFE" w:rsidP="00B72EF9">
      <w:pPr>
        <w:pStyle w:val="12"/>
      </w:pPr>
      <w:r w:rsidRPr="001A3D2B">
        <w:t xml:space="preserve">Full Journal Title: </w:t>
      </w:r>
      <w:r w:rsidRPr="006826DC">
        <w:rPr>
          <w:iCs/>
        </w:rPr>
        <w:t>In</w:t>
      </w:r>
      <w:r>
        <w:rPr>
          <w:rFonts w:hint="eastAsia"/>
          <w:iCs/>
        </w:rPr>
        <w:t>T</w:t>
      </w:r>
      <w:r w:rsidRPr="006826DC">
        <w:rPr>
          <w:iCs/>
        </w:rPr>
        <w:t>ech</w:t>
      </w:r>
    </w:p>
    <w:p w:rsidR="00E00DFE" w:rsidRPr="001A3D2B" w:rsidRDefault="00E00DFE" w:rsidP="00B72EF9">
      <w:pPr>
        <w:pStyle w:val="12"/>
      </w:pPr>
      <w:r w:rsidRPr="001A3D2B">
        <w:t xml:space="preserve">ISO Abbreviated Title: </w:t>
      </w:r>
      <w:r w:rsidRPr="006826DC">
        <w:rPr>
          <w:iCs/>
        </w:rPr>
        <w:t>In</w:t>
      </w:r>
      <w:r>
        <w:rPr>
          <w:rFonts w:hint="eastAsia"/>
          <w:iCs/>
        </w:rPr>
        <w:t>T</w:t>
      </w:r>
      <w:r w:rsidRPr="006826DC">
        <w:rPr>
          <w:iCs/>
        </w:rPr>
        <w:t>ech</w:t>
      </w:r>
    </w:p>
    <w:p w:rsidR="00E00DFE" w:rsidRPr="001A3D2B" w:rsidRDefault="00E00DFE" w:rsidP="00B72EF9">
      <w:pPr>
        <w:pStyle w:val="12"/>
      </w:pPr>
      <w:r w:rsidRPr="001A3D2B">
        <w:t xml:space="preserve">JCR Abbreviated Title: </w:t>
      </w:r>
      <w:r w:rsidRPr="006826DC">
        <w:rPr>
          <w:iCs/>
        </w:rPr>
        <w:t>In</w:t>
      </w:r>
      <w:r>
        <w:rPr>
          <w:rFonts w:hint="eastAsia"/>
          <w:iCs/>
        </w:rPr>
        <w:t>T</w:t>
      </w:r>
      <w:r w:rsidRPr="006826DC">
        <w:rPr>
          <w:iCs/>
        </w:rPr>
        <w:t>ech</w:t>
      </w:r>
    </w:p>
    <w:p w:rsidR="00E00DFE" w:rsidRPr="001A3D2B" w:rsidRDefault="00E00DFE" w:rsidP="00B72EF9">
      <w:pPr>
        <w:pStyle w:val="12"/>
      </w:pPr>
      <w:r w:rsidRPr="001A3D2B">
        <w:t xml:space="preserve">ISSN: </w:t>
      </w:r>
      <w:r w:rsidRPr="006826DC">
        <w:t>0192-303X</w:t>
      </w:r>
    </w:p>
    <w:p w:rsidR="00E00DFE" w:rsidRPr="001A3D2B" w:rsidRDefault="00E00DFE" w:rsidP="00B72EF9">
      <w:pPr>
        <w:pStyle w:val="12"/>
      </w:pPr>
      <w:r w:rsidRPr="001A3D2B">
        <w:t xml:space="preserve">Issues/Year: </w:t>
      </w:r>
    </w:p>
    <w:p w:rsidR="00E00DFE" w:rsidRPr="001A3D2B" w:rsidRDefault="00E00DFE" w:rsidP="00B72EF9">
      <w:pPr>
        <w:pStyle w:val="12"/>
      </w:pPr>
      <w:r w:rsidRPr="001A3D2B">
        <w:t xml:space="preserve">Journal Country/Territory: </w:t>
      </w:r>
    </w:p>
    <w:p w:rsidR="00E00DFE" w:rsidRPr="001A3D2B" w:rsidRDefault="00E00DFE" w:rsidP="00B72EF9">
      <w:pPr>
        <w:pStyle w:val="12"/>
      </w:pPr>
      <w:r w:rsidRPr="001A3D2B">
        <w:t xml:space="preserve">Language: </w:t>
      </w:r>
    </w:p>
    <w:p w:rsidR="00E00DFE" w:rsidRPr="001A3D2B" w:rsidRDefault="00E00DFE" w:rsidP="00B72EF9">
      <w:pPr>
        <w:pStyle w:val="12"/>
      </w:pPr>
      <w:r w:rsidRPr="001A3D2B">
        <w:t xml:space="preserve">Publisher: </w:t>
      </w:r>
    </w:p>
    <w:p w:rsidR="00E00DFE" w:rsidRPr="001A3D2B" w:rsidRDefault="00E00DFE" w:rsidP="00B72EF9">
      <w:pPr>
        <w:pStyle w:val="12"/>
      </w:pPr>
      <w:r w:rsidRPr="001A3D2B">
        <w:t xml:space="preserve">Publisher Address: </w:t>
      </w:r>
    </w:p>
    <w:p w:rsidR="00E00DFE" w:rsidRPr="001A3D2B" w:rsidRDefault="00E00DFE" w:rsidP="00B72EF9">
      <w:pPr>
        <w:pStyle w:val="12"/>
      </w:pPr>
      <w:r w:rsidRPr="001A3D2B">
        <w:t xml:space="preserve">Subject Categories: </w:t>
      </w:r>
    </w:p>
    <w:p w:rsidR="00E00DFE" w:rsidRPr="001A3D2B" w:rsidRDefault="00E00DFE" w:rsidP="00B72EF9">
      <w:pPr>
        <w:pStyle w:val="12"/>
      </w:pPr>
      <w:r w:rsidRPr="001A3D2B">
        <w:t xml:space="preserve">: Impact Factor </w:t>
      </w:r>
    </w:p>
    <w:p w:rsidR="00E00DFE" w:rsidRDefault="00E00DFE" w:rsidP="00E00DFE">
      <w:pPr>
        <w:pStyle w:val="a0"/>
        <w:rPr>
          <w:kern w:val="0"/>
        </w:rPr>
      </w:pPr>
      <w:r>
        <w:rPr>
          <w:rFonts w:hint="eastAsia"/>
          <w:kern w:val="0"/>
        </w:rPr>
        <w:t xml:space="preserve">? </w:t>
      </w:r>
      <w:r>
        <w:rPr>
          <w:kern w:val="0"/>
        </w:rPr>
        <w:t>Yoder, J. (2000), Who was first? Author</w:t>
      </w:r>
      <w:r w:rsidR="000352E7">
        <w:rPr>
          <w:kern w:val="0"/>
        </w:rPr>
        <w:t>’</w:t>
      </w:r>
      <w:r>
        <w:rPr>
          <w:kern w:val="0"/>
        </w:rPr>
        <w:t xml:space="preserve">s response. </w:t>
      </w:r>
      <w:r w:rsidRPr="006826DC">
        <w:rPr>
          <w:i/>
          <w:iCs/>
          <w:kern w:val="0"/>
        </w:rPr>
        <w:t>In</w:t>
      </w:r>
      <w:r>
        <w:rPr>
          <w:rFonts w:hint="eastAsia"/>
          <w:i/>
          <w:iCs/>
          <w:kern w:val="0"/>
        </w:rPr>
        <w:t>T</w:t>
      </w:r>
      <w:r w:rsidRPr="006826DC">
        <w:rPr>
          <w:i/>
          <w:iCs/>
          <w:kern w:val="0"/>
        </w:rPr>
        <w:t>ech</w:t>
      </w:r>
      <w:r>
        <w:rPr>
          <w:kern w:val="0"/>
        </w:rPr>
        <w:t xml:space="preserve">, </w:t>
      </w:r>
      <w:r>
        <w:rPr>
          <w:b/>
          <w:bCs/>
          <w:kern w:val="0"/>
        </w:rPr>
        <w:t>47</w:t>
      </w:r>
      <w:r>
        <w:rPr>
          <w:kern w:val="0"/>
        </w:rPr>
        <w:t xml:space="preserve"> (9), 14</w:t>
      </w:r>
      <w:r>
        <w:rPr>
          <w:rFonts w:hint="eastAsia"/>
          <w:kern w:val="0"/>
        </w:rPr>
        <w:t>.</w:t>
      </w:r>
    </w:p>
    <w:p w:rsidR="00E00DFE" w:rsidRDefault="00E00DFE" w:rsidP="00E00DFE">
      <w:pPr>
        <w:pStyle w:val="a0"/>
        <w:rPr>
          <w:kern w:val="0"/>
        </w:rPr>
      </w:pPr>
      <w:r>
        <w:rPr>
          <w:rFonts w:hint="eastAsia"/>
          <w:kern w:val="0"/>
        </w:rPr>
        <w:t xml:space="preserve">Full Text: </w:t>
      </w:r>
      <w:r w:rsidRPr="006826DC">
        <w:rPr>
          <w:iCs/>
          <w:kern w:val="0"/>
        </w:rPr>
        <w:t>Intech</w:t>
      </w:r>
      <w:r w:rsidRPr="006826DC">
        <w:rPr>
          <w:bCs/>
          <w:kern w:val="0"/>
        </w:rPr>
        <w:t>47</w:t>
      </w:r>
      <w:r>
        <w:rPr>
          <w:kern w:val="0"/>
        </w:rPr>
        <w:t>, 14</w:t>
      </w:r>
      <w:r>
        <w:rPr>
          <w:rFonts w:hint="eastAsia"/>
          <w:kern w:val="0"/>
        </w:rPr>
        <w:t>.pdf</w:t>
      </w:r>
    </w:p>
    <w:p w:rsidR="004F01A3" w:rsidRPr="001A3D2B" w:rsidRDefault="004F01A3" w:rsidP="004F01A3">
      <w:pPr>
        <w:pStyle w:val="1"/>
      </w:pPr>
      <w:r w:rsidRPr="001A3D2B">
        <w:br w:type="page"/>
      </w:r>
      <w:bookmarkStart w:id="1101" w:name="_Toc317161200"/>
      <w:r w:rsidRPr="001A3D2B">
        <w:lastRenderedPageBreak/>
        <w:t xml:space="preserve">Title: </w:t>
      </w:r>
      <w:r w:rsidRPr="00F80750">
        <w:rPr>
          <w:iCs/>
        </w:rPr>
        <w:t>Intellect</w:t>
      </w:r>
      <w:bookmarkEnd w:id="1101"/>
    </w:p>
    <w:p w:rsidR="004F01A3" w:rsidRPr="001A3D2B" w:rsidRDefault="004F01A3" w:rsidP="004F01A3">
      <w:pPr>
        <w:pStyle w:val="12"/>
      </w:pPr>
      <w:r w:rsidRPr="001A3D2B">
        <w:t xml:space="preserve">Full Journal Title: </w:t>
      </w:r>
      <w:r w:rsidRPr="00F80750">
        <w:rPr>
          <w:iCs/>
        </w:rPr>
        <w:t>Intellect</w:t>
      </w:r>
    </w:p>
    <w:p w:rsidR="004F01A3" w:rsidRPr="001A3D2B" w:rsidRDefault="004F01A3" w:rsidP="004F01A3">
      <w:pPr>
        <w:pStyle w:val="12"/>
      </w:pPr>
      <w:r w:rsidRPr="001A3D2B">
        <w:t xml:space="preserve">ISO Abbreviated Title: </w:t>
      </w:r>
      <w:r w:rsidRPr="00F80750">
        <w:rPr>
          <w:iCs/>
        </w:rPr>
        <w:t>Intellect</w:t>
      </w:r>
    </w:p>
    <w:p w:rsidR="004F01A3" w:rsidRPr="001A3D2B" w:rsidRDefault="004F01A3" w:rsidP="004F01A3">
      <w:pPr>
        <w:pStyle w:val="12"/>
      </w:pPr>
      <w:r w:rsidRPr="001A3D2B">
        <w:t xml:space="preserve">JCR Abbreviated Title: </w:t>
      </w:r>
      <w:r w:rsidRPr="00F80750">
        <w:rPr>
          <w:iCs/>
        </w:rPr>
        <w:t>Intellect</w:t>
      </w:r>
    </w:p>
    <w:p w:rsidR="004F01A3" w:rsidRPr="001A3D2B" w:rsidRDefault="004F01A3" w:rsidP="004F01A3">
      <w:pPr>
        <w:pStyle w:val="12"/>
      </w:pPr>
      <w:r w:rsidRPr="001A3D2B">
        <w:t xml:space="preserve">ISSN: </w:t>
      </w:r>
    </w:p>
    <w:p w:rsidR="004F01A3" w:rsidRPr="001A3D2B" w:rsidRDefault="004F01A3" w:rsidP="004F01A3">
      <w:pPr>
        <w:pStyle w:val="12"/>
      </w:pPr>
      <w:r w:rsidRPr="001A3D2B">
        <w:t xml:space="preserve">Issues/Year: </w:t>
      </w:r>
    </w:p>
    <w:p w:rsidR="004F01A3" w:rsidRPr="001A3D2B" w:rsidRDefault="004F01A3" w:rsidP="004F01A3">
      <w:pPr>
        <w:pStyle w:val="12"/>
      </w:pPr>
      <w:r w:rsidRPr="001A3D2B">
        <w:t xml:space="preserve">Journal Country/Territory: </w:t>
      </w:r>
    </w:p>
    <w:p w:rsidR="004F01A3" w:rsidRPr="001A3D2B" w:rsidRDefault="004F01A3" w:rsidP="004F01A3">
      <w:pPr>
        <w:pStyle w:val="12"/>
      </w:pPr>
      <w:r w:rsidRPr="001A3D2B">
        <w:t xml:space="preserve">Language: </w:t>
      </w:r>
    </w:p>
    <w:p w:rsidR="004F01A3" w:rsidRPr="001A3D2B" w:rsidRDefault="004F01A3" w:rsidP="004F01A3">
      <w:pPr>
        <w:pStyle w:val="12"/>
      </w:pPr>
      <w:r w:rsidRPr="001A3D2B">
        <w:t xml:space="preserve">Publisher: </w:t>
      </w:r>
    </w:p>
    <w:p w:rsidR="004F01A3" w:rsidRPr="001A3D2B" w:rsidRDefault="004F01A3" w:rsidP="004F01A3">
      <w:pPr>
        <w:pStyle w:val="12"/>
      </w:pPr>
      <w:r w:rsidRPr="001A3D2B">
        <w:t xml:space="preserve">Publisher Address: </w:t>
      </w:r>
    </w:p>
    <w:p w:rsidR="004F01A3" w:rsidRPr="001A3D2B" w:rsidRDefault="004F01A3" w:rsidP="004F01A3">
      <w:pPr>
        <w:pStyle w:val="12"/>
      </w:pPr>
      <w:r w:rsidRPr="001A3D2B">
        <w:t xml:space="preserve">Subject Categories: </w:t>
      </w:r>
    </w:p>
    <w:p w:rsidR="004F01A3" w:rsidRPr="001A3D2B" w:rsidRDefault="004F01A3" w:rsidP="004F01A3">
      <w:pPr>
        <w:pStyle w:val="12"/>
      </w:pPr>
      <w:r w:rsidRPr="001A3D2B">
        <w:t xml:space="preserve">: Impact Factor </w:t>
      </w:r>
    </w:p>
    <w:p w:rsidR="004F01A3" w:rsidRDefault="004F01A3" w:rsidP="004F01A3">
      <w:pPr>
        <w:pStyle w:val="a0"/>
        <w:rPr>
          <w:kern w:val="0"/>
        </w:rPr>
      </w:pPr>
      <w:r>
        <w:rPr>
          <w:rFonts w:hint="eastAsia"/>
          <w:kern w:val="0"/>
        </w:rPr>
        <w:t xml:space="preserve">? </w:t>
      </w:r>
      <w:r>
        <w:rPr>
          <w:kern w:val="0"/>
        </w:rPr>
        <w:t xml:space="preserve">Lindeman, L.W. (1973), 5 most cited reasons for faculty unionization. </w:t>
      </w:r>
      <w:r w:rsidRPr="00F80750">
        <w:rPr>
          <w:i/>
          <w:iCs/>
          <w:kern w:val="0"/>
        </w:rPr>
        <w:t>Intellect</w:t>
      </w:r>
      <w:r>
        <w:rPr>
          <w:kern w:val="0"/>
        </w:rPr>
        <w:t xml:space="preserve">, </w:t>
      </w:r>
      <w:r>
        <w:rPr>
          <w:b/>
          <w:bCs/>
          <w:kern w:val="0"/>
        </w:rPr>
        <w:t>102</w:t>
      </w:r>
      <w:r>
        <w:rPr>
          <w:kern w:val="0"/>
        </w:rPr>
        <w:t xml:space="preserve"> (2352), 85-88</w:t>
      </w:r>
      <w:r>
        <w:rPr>
          <w:rFonts w:hint="eastAsia"/>
          <w:kern w:val="0"/>
        </w:rPr>
        <w:t>.</w:t>
      </w:r>
    </w:p>
    <w:p w:rsidR="003B2C1E" w:rsidRPr="00A428C3" w:rsidRDefault="003B2C1E" w:rsidP="003B2C1E">
      <w:pPr>
        <w:pStyle w:val="1"/>
      </w:pPr>
      <w:r w:rsidRPr="00A01AA4">
        <w:br w:type="page"/>
      </w:r>
      <w:bookmarkStart w:id="1102" w:name="_Toc317161201"/>
      <w:r w:rsidRPr="00A428C3">
        <w:lastRenderedPageBreak/>
        <w:t xml:space="preserve">Title: </w:t>
      </w:r>
      <w:r w:rsidRPr="001E6972">
        <w:rPr>
          <w:iCs/>
        </w:rPr>
        <w:t>Intelligence</w:t>
      </w:r>
      <w:bookmarkEnd w:id="1102"/>
    </w:p>
    <w:p w:rsidR="003B2C1E" w:rsidRPr="00DB6990" w:rsidRDefault="003B2C1E" w:rsidP="00B72EF9">
      <w:pPr>
        <w:pStyle w:val="12"/>
      </w:pPr>
      <w:r w:rsidRPr="00DB6990">
        <w:t>Full Jou</w:t>
      </w:r>
      <w:r>
        <w:t xml:space="preserve">rnal Title: </w:t>
      </w:r>
      <w:hyperlink r:id="rId1529" w:history="1">
        <w:r w:rsidRPr="00612BC0">
          <w:rPr>
            <w:rStyle w:val="a5"/>
          </w:rPr>
          <w:t>Intelligence</w:t>
        </w:r>
      </w:hyperlink>
    </w:p>
    <w:p w:rsidR="003B2C1E" w:rsidRPr="00DB6990" w:rsidRDefault="003B2C1E" w:rsidP="00B72EF9">
      <w:pPr>
        <w:pStyle w:val="12"/>
      </w:pPr>
      <w:r w:rsidRPr="00DB6990">
        <w:t>I</w:t>
      </w:r>
      <w:r>
        <w:t xml:space="preserve">SO Abbreviated Title: </w:t>
      </w:r>
      <w:r w:rsidR="004F01A3" w:rsidRPr="001E6972">
        <w:rPr>
          <w:iCs/>
        </w:rPr>
        <w:t>Intelligence</w:t>
      </w:r>
    </w:p>
    <w:p w:rsidR="003B2C1E" w:rsidRPr="00DB6990" w:rsidRDefault="003B2C1E" w:rsidP="00B72EF9">
      <w:pPr>
        <w:pStyle w:val="12"/>
      </w:pPr>
      <w:r w:rsidRPr="00DB6990">
        <w:t>JCR Abbreviated T</w:t>
      </w:r>
      <w:r>
        <w:t xml:space="preserve">itle: </w:t>
      </w:r>
      <w:r w:rsidR="004F01A3" w:rsidRPr="001E6972">
        <w:rPr>
          <w:iCs/>
        </w:rPr>
        <w:t>Intelligence</w:t>
      </w:r>
    </w:p>
    <w:p w:rsidR="003B2C1E" w:rsidRPr="00DB6990" w:rsidRDefault="003B2C1E" w:rsidP="00B72EF9">
      <w:pPr>
        <w:pStyle w:val="12"/>
      </w:pPr>
      <w:r>
        <w:t xml:space="preserve">ISSN: </w:t>
      </w:r>
    </w:p>
    <w:p w:rsidR="003B2C1E" w:rsidRPr="00DB6990" w:rsidRDefault="003B2C1E" w:rsidP="00B72EF9">
      <w:pPr>
        <w:pStyle w:val="12"/>
      </w:pPr>
      <w:r>
        <w:t xml:space="preserve">Issues/Year: </w:t>
      </w:r>
    </w:p>
    <w:p w:rsidR="003B2C1E" w:rsidRPr="00DB6990" w:rsidRDefault="003B2C1E" w:rsidP="00B72EF9">
      <w:pPr>
        <w:pStyle w:val="12"/>
      </w:pPr>
      <w:r>
        <w:t xml:space="preserve">Journal Country/Territory: </w:t>
      </w:r>
    </w:p>
    <w:p w:rsidR="003B2C1E" w:rsidRPr="00DB6990" w:rsidRDefault="003B2C1E" w:rsidP="00B72EF9">
      <w:pPr>
        <w:pStyle w:val="12"/>
      </w:pPr>
      <w:r w:rsidRPr="00DB6990">
        <w:t xml:space="preserve">Language: </w:t>
      </w:r>
    </w:p>
    <w:p w:rsidR="003B2C1E" w:rsidRPr="00DB6990" w:rsidRDefault="003B2C1E" w:rsidP="00B72EF9">
      <w:pPr>
        <w:pStyle w:val="12"/>
      </w:pPr>
      <w:r w:rsidRPr="00DB6990">
        <w:t xml:space="preserve">Publisher: </w:t>
      </w:r>
    </w:p>
    <w:p w:rsidR="003B2C1E" w:rsidRPr="00DB6990" w:rsidRDefault="003B2C1E" w:rsidP="00B72EF9">
      <w:pPr>
        <w:pStyle w:val="12"/>
      </w:pPr>
      <w:r w:rsidRPr="00DB6990">
        <w:t xml:space="preserve">Publisher Address: </w:t>
      </w:r>
    </w:p>
    <w:p w:rsidR="003B2C1E" w:rsidRPr="00DB6990" w:rsidRDefault="003B2C1E" w:rsidP="00B72EF9">
      <w:pPr>
        <w:pStyle w:val="12"/>
      </w:pPr>
      <w:r w:rsidRPr="00DB6990">
        <w:t xml:space="preserve">Subject Categories: </w:t>
      </w:r>
    </w:p>
    <w:p w:rsidR="003B2C1E" w:rsidRPr="00DB6990" w:rsidRDefault="003B2C1E" w:rsidP="00B72EF9">
      <w:pPr>
        <w:pStyle w:val="12"/>
      </w:pPr>
      <w:r w:rsidRPr="00DB6990">
        <w:t xml:space="preserve">: Impact Factor </w:t>
      </w:r>
    </w:p>
    <w:p w:rsidR="003B2C1E" w:rsidRDefault="003B2C1E" w:rsidP="003B2C1E">
      <w:pPr>
        <w:pStyle w:val="a0"/>
        <w:rPr>
          <w:kern w:val="0"/>
        </w:rPr>
      </w:pPr>
      <w:r>
        <w:rPr>
          <w:rFonts w:hint="eastAsia"/>
          <w:kern w:val="0"/>
        </w:rPr>
        <w:t xml:space="preserve">? </w:t>
      </w:r>
      <w:r>
        <w:rPr>
          <w:kern w:val="0"/>
        </w:rPr>
        <w:t xml:space="preserve">Wicherts, J.M. (2009), The impact of papers published in </w:t>
      </w:r>
      <w:r>
        <w:rPr>
          <w:i/>
          <w:iCs/>
          <w:kern w:val="0"/>
        </w:rPr>
        <w:t>Intelligence</w:t>
      </w:r>
      <w:r>
        <w:rPr>
          <w:kern w:val="0"/>
        </w:rPr>
        <w:t xml:space="preserve"> 1977-2007</w:t>
      </w:r>
      <w:r w:rsidR="00F81221">
        <w:rPr>
          <w:kern w:val="0"/>
        </w:rPr>
        <w:t xml:space="preserve"> and </w:t>
      </w:r>
      <w:r>
        <w:rPr>
          <w:kern w:val="0"/>
        </w:rPr>
        <w:t xml:space="preserve">an overview of the citation classics. </w:t>
      </w:r>
      <w:r>
        <w:rPr>
          <w:i/>
          <w:iCs/>
          <w:kern w:val="0"/>
        </w:rPr>
        <w:t>Intelligence</w:t>
      </w:r>
      <w:r>
        <w:rPr>
          <w:kern w:val="0"/>
        </w:rPr>
        <w:t xml:space="preserve">, </w:t>
      </w:r>
      <w:r>
        <w:rPr>
          <w:b/>
          <w:bCs/>
          <w:kern w:val="0"/>
        </w:rPr>
        <w:t>37</w:t>
      </w:r>
      <w:r>
        <w:rPr>
          <w:kern w:val="0"/>
        </w:rPr>
        <w:t xml:space="preserve"> (5), 443-446.</w:t>
      </w:r>
    </w:p>
    <w:p w:rsidR="003B2C1E" w:rsidRDefault="003B2C1E" w:rsidP="003B2C1E">
      <w:pPr>
        <w:pStyle w:val="a0"/>
        <w:rPr>
          <w:kern w:val="0"/>
        </w:rPr>
      </w:pPr>
      <w:r>
        <w:rPr>
          <w:rFonts w:hint="eastAsia"/>
          <w:kern w:val="0"/>
        </w:rPr>
        <w:t xml:space="preserve">Full Text: </w:t>
      </w:r>
      <w:hyperlink r:id="rId1530" w:history="1">
        <w:r w:rsidRPr="00612BC0">
          <w:rPr>
            <w:rStyle w:val="a5"/>
            <w:kern w:val="0"/>
          </w:rPr>
          <w:t>2009\Intelligence37, 443.pdf</w:t>
        </w:r>
      </w:hyperlink>
    </w:p>
    <w:p w:rsidR="005C0A3C" w:rsidRDefault="005C0A3C" w:rsidP="005C0A3C">
      <w:pPr>
        <w:pStyle w:val="a0"/>
        <w:rPr>
          <w:kern w:val="0"/>
        </w:rPr>
      </w:pPr>
      <w:r>
        <w:rPr>
          <w:kern w:val="0"/>
        </w:rPr>
        <w:t>Abstract: This editorial discusses the impact of the journal of Intelligence between 1977</w:t>
      </w:r>
      <w:r w:rsidR="00F81221">
        <w:rPr>
          <w:kern w:val="0"/>
        </w:rPr>
        <w:t xml:space="preserve"> and </w:t>
      </w:r>
      <w:r>
        <w:rPr>
          <w:kern w:val="0"/>
        </w:rPr>
        <w:t>2007. The impact factor of Intelligence has been increasing over the past decade,</w:t>
      </w:r>
      <w:r w:rsidR="00F81221">
        <w:rPr>
          <w:kern w:val="0"/>
        </w:rPr>
        <w:t xml:space="preserve"> and </w:t>
      </w:r>
      <w:r>
        <w:rPr>
          <w:kern w:val="0"/>
        </w:rPr>
        <w:t>currently stands at 3.27. This relatively high impact factor reflects the influence of the journal in the science of individual differences in cognitive abilities. Typical articles published in Intelligence are cited between four</w:t>
      </w:r>
      <w:r w:rsidR="00F81221">
        <w:rPr>
          <w:kern w:val="0"/>
        </w:rPr>
        <w:t xml:space="preserve"> and </w:t>
      </w:r>
      <w:r>
        <w:rPr>
          <w:kern w:val="0"/>
        </w:rPr>
        <w:t>ten times. The 25 most cited papers in Intelligence are described. The work published in Intelligence is widely cited</w:t>
      </w:r>
      <w:r w:rsidR="00F81221">
        <w:rPr>
          <w:kern w:val="0"/>
        </w:rPr>
        <w:t xml:space="preserve"> and </w:t>
      </w:r>
      <w:r>
        <w:rPr>
          <w:kern w:val="0"/>
        </w:rPr>
        <w:t>reflects nicely the multi-disciplinary nature of the field. (C) 2009 Elsevier Inc. All rights reserved.</w:t>
      </w:r>
    </w:p>
    <w:p w:rsidR="005C0A3C" w:rsidRDefault="005C0A3C" w:rsidP="005C0A3C">
      <w:pPr>
        <w:pStyle w:val="a0"/>
        <w:rPr>
          <w:kern w:val="0"/>
        </w:rPr>
      </w:pPr>
      <w:r>
        <w:rPr>
          <w:kern w:val="0"/>
        </w:rPr>
        <w:t>Keywords: Age, Attention, Citation Analysis, Complexity, Emotional Intelligence, General Intelligence, Impact Factor, Model, Reasoning Ability, Scientific Impact, Scientometrics, Short-Term-Memory, Speed, Working-Memory Capacity</w:t>
      </w:r>
    </w:p>
    <w:p w:rsidR="00845E52" w:rsidRPr="00A428C3" w:rsidRDefault="00845E52" w:rsidP="00845E52">
      <w:pPr>
        <w:pStyle w:val="1"/>
      </w:pPr>
      <w:r w:rsidRPr="00A01AA4">
        <w:br w:type="page"/>
      </w:r>
      <w:bookmarkStart w:id="1103" w:name="_Toc234328502"/>
      <w:bookmarkStart w:id="1104" w:name="_Toc317161202"/>
      <w:r w:rsidRPr="00A428C3">
        <w:lastRenderedPageBreak/>
        <w:t xml:space="preserve">Title: </w:t>
      </w:r>
      <w:r w:rsidRPr="001E6972">
        <w:rPr>
          <w:iCs/>
        </w:rPr>
        <w:t>Intelligence</w:t>
      </w:r>
      <w:r w:rsidR="00F81221">
        <w:rPr>
          <w:iCs/>
        </w:rPr>
        <w:t xml:space="preserve"> and </w:t>
      </w:r>
      <w:r w:rsidRPr="001E6972">
        <w:rPr>
          <w:iCs/>
        </w:rPr>
        <w:t>Security Informatics</w:t>
      </w:r>
      <w:bookmarkEnd w:id="1103"/>
      <w:bookmarkEnd w:id="1104"/>
    </w:p>
    <w:p w:rsidR="00845E52" w:rsidRPr="00DB6990" w:rsidRDefault="00845E52" w:rsidP="00B72EF9">
      <w:pPr>
        <w:pStyle w:val="12"/>
      </w:pPr>
      <w:r w:rsidRPr="00DB6990">
        <w:t>Full Jou</w:t>
      </w:r>
      <w:r>
        <w:t xml:space="preserve">rnal Title: </w:t>
      </w:r>
      <w:r w:rsidRPr="00134F36">
        <w:t>Intelligence</w:t>
      </w:r>
      <w:r w:rsidR="00F81221">
        <w:t xml:space="preserve"> and </w:t>
      </w:r>
      <w:r w:rsidRPr="00134F36">
        <w:t>Security Informatics</w:t>
      </w:r>
    </w:p>
    <w:p w:rsidR="00845E52" w:rsidRPr="00DB6990" w:rsidRDefault="00845E52" w:rsidP="00B72EF9">
      <w:pPr>
        <w:pStyle w:val="12"/>
      </w:pPr>
      <w:r w:rsidRPr="00DB6990">
        <w:t>I</w:t>
      </w:r>
      <w:r>
        <w:t xml:space="preserve">SO Abbreviated Title: </w:t>
      </w:r>
    </w:p>
    <w:p w:rsidR="00845E52" w:rsidRPr="00DB6990" w:rsidRDefault="00845E52" w:rsidP="00B72EF9">
      <w:pPr>
        <w:pStyle w:val="12"/>
      </w:pPr>
      <w:r w:rsidRPr="00DB6990">
        <w:t>JCR Abbreviated T</w:t>
      </w:r>
      <w:r>
        <w:t xml:space="preserve">itle: </w:t>
      </w:r>
    </w:p>
    <w:p w:rsidR="00845E52" w:rsidRPr="00DB6990" w:rsidRDefault="00845E52" w:rsidP="00B72EF9">
      <w:pPr>
        <w:pStyle w:val="12"/>
      </w:pPr>
      <w:r>
        <w:t xml:space="preserve">ISSN: </w:t>
      </w:r>
    </w:p>
    <w:p w:rsidR="00845E52" w:rsidRPr="00DB6990" w:rsidRDefault="00845E52" w:rsidP="00B72EF9">
      <w:pPr>
        <w:pStyle w:val="12"/>
      </w:pPr>
      <w:r>
        <w:t xml:space="preserve">Issues/Year: </w:t>
      </w:r>
    </w:p>
    <w:p w:rsidR="00845E52" w:rsidRPr="00DB6990" w:rsidRDefault="00FB5623" w:rsidP="00B72EF9">
      <w:pPr>
        <w:pStyle w:val="12"/>
      </w:pPr>
      <w:r>
        <w:t>Journal Country/Territory:</w:t>
      </w:r>
      <w:r w:rsidR="00845E52">
        <w:t xml:space="preserve"> </w:t>
      </w:r>
    </w:p>
    <w:p w:rsidR="00845E52" w:rsidRPr="00DB6990" w:rsidRDefault="00845E52" w:rsidP="00B72EF9">
      <w:pPr>
        <w:pStyle w:val="12"/>
      </w:pPr>
      <w:r w:rsidRPr="00DB6990">
        <w:t xml:space="preserve">Language: </w:t>
      </w:r>
    </w:p>
    <w:p w:rsidR="00845E52" w:rsidRPr="00DB6990" w:rsidRDefault="00845E52" w:rsidP="00B72EF9">
      <w:pPr>
        <w:pStyle w:val="12"/>
      </w:pPr>
      <w:r w:rsidRPr="00DB6990">
        <w:t xml:space="preserve">Publisher: </w:t>
      </w:r>
    </w:p>
    <w:p w:rsidR="00845E52" w:rsidRPr="00DB6990" w:rsidRDefault="00845E52" w:rsidP="00B72EF9">
      <w:pPr>
        <w:pStyle w:val="12"/>
      </w:pPr>
      <w:r w:rsidRPr="00DB6990">
        <w:t xml:space="preserve">Publisher Address: </w:t>
      </w:r>
    </w:p>
    <w:p w:rsidR="00845E52" w:rsidRPr="00DB6990" w:rsidRDefault="00845E52" w:rsidP="00B72EF9">
      <w:pPr>
        <w:pStyle w:val="12"/>
      </w:pPr>
      <w:r w:rsidRPr="00DB6990">
        <w:t xml:space="preserve">Subject Categories: </w:t>
      </w:r>
    </w:p>
    <w:p w:rsidR="00845E52" w:rsidRPr="00DB6990" w:rsidRDefault="00845E52" w:rsidP="00B72EF9">
      <w:pPr>
        <w:pStyle w:val="12"/>
      </w:pPr>
      <w:r w:rsidRPr="00DB6990">
        <w:t xml:space="preserve">: Impact Factor </w:t>
      </w:r>
    </w:p>
    <w:p w:rsidR="00845E52" w:rsidRPr="00134F36" w:rsidRDefault="00845E52" w:rsidP="00845E52">
      <w:pPr>
        <w:pStyle w:val="a0"/>
      </w:pPr>
      <w:r w:rsidRPr="00134F36">
        <w:rPr>
          <w:rFonts w:hint="eastAsia"/>
        </w:rPr>
        <w:t xml:space="preserve">? </w:t>
      </w:r>
      <w:r w:rsidRPr="00134F36">
        <w:t>Lu, C.C., Jen, W.Y.</w:t>
      </w:r>
      <w:r w:rsidR="00F81221">
        <w:t xml:space="preserve"> and </w:t>
      </w:r>
      <w:r w:rsidRPr="00134F36">
        <w:t>Chang, W.P. (2007), Trends in computer crime</w:t>
      </w:r>
      <w:r w:rsidR="00F81221">
        <w:t xml:space="preserve"> and </w:t>
      </w:r>
      <w:r w:rsidRPr="00134F36">
        <w:t xml:space="preserve">cybercrime research during the period 1974-2006: A bibliometric approach. </w:t>
      </w:r>
      <w:r w:rsidRPr="00134F36">
        <w:rPr>
          <w:i/>
          <w:iCs/>
        </w:rPr>
        <w:t>Intelligence</w:t>
      </w:r>
      <w:r w:rsidR="00F81221">
        <w:rPr>
          <w:i/>
          <w:iCs/>
        </w:rPr>
        <w:t xml:space="preserve"> and </w:t>
      </w:r>
      <w:r w:rsidRPr="00134F36">
        <w:rPr>
          <w:i/>
          <w:iCs/>
        </w:rPr>
        <w:t>Security Informatics</w:t>
      </w:r>
      <w:r w:rsidRPr="00134F36">
        <w:t xml:space="preserve">, </w:t>
      </w:r>
      <w:r w:rsidRPr="00134F36">
        <w:rPr>
          <w:b/>
          <w:bCs/>
        </w:rPr>
        <w:t>4430</w:t>
      </w:r>
      <w:r w:rsidRPr="00134F36">
        <w:t>, 244-250.</w:t>
      </w:r>
    </w:p>
    <w:p w:rsidR="00845E52" w:rsidRPr="00134F36" w:rsidRDefault="00845E52" w:rsidP="00845E52">
      <w:pPr>
        <w:pStyle w:val="a0"/>
      </w:pPr>
      <w:r w:rsidRPr="00134F36">
        <w:t>Abstract: The aim of this study is to explore trends in computer crime</w:t>
      </w:r>
      <w:r w:rsidR="00F81221">
        <w:t xml:space="preserve"> and </w:t>
      </w:r>
      <w:r w:rsidRPr="00134F36">
        <w:t>cybercrime research from 1974 to 2006. All publications for this analysis were drawn from the ISI Web of Science, the Science Citation Index (SCI),</w:t>
      </w:r>
      <w:r w:rsidR="00F81221">
        <w:t xml:space="preserve"> and </w:t>
      </w:r>
      <w:r w:rsidRPr="00134F36">
        <w:t>the Social Science Citation Index (SSCI). The ISI Web of Science is considered a powerful</w:t>
      </w:r>
      <w:r w:rsidR="00F81221">
        <w:t xml:space="preserve"> and </w:t>
      </w:r>
      <w:r w:rsidRPr="00134F36">
        <w:t>relatively accurate tool in bibliometric studies. About 292 papers related to computer crime</w:t>
      </w:r>
      <w:r w:rsidR="00F81221">
        <w:t xml:space="preserve"> and </w:t>
      </w:r>
      <w:r w:rsidRPr="00134F36">
        <w:t>cybercrime were published during this period. The greatest number of these papers was written in English,</w:t>
      </w:r>
      <w:r w:rsidR="00F81221">
        <w:t xml:space="preserve"> and </w:t>
      </w:r>
      <w:r w:rsidRPr="00134F36">
        <w:t>the annual output increased significantly after 2003. In the period under study, most papers originated in the USA. Approximately 57% of the publications were articles,</w:t>
      </w:r>
      <w:r w:rsidR="00F81221">
        <w:t xml:space="preserve"> and </w:t>
      </w:r>
      <w:r w:rsidRPr="00134F36">
        <w:t>72% of these articles had single authors. More bibliometric analyses are described in this study, which shows a high scientific production of articles on computer crime</w:t>
      </w:r>
      <w:r w:rsidR="00F81221">
        <w:t xml:space="preserve"> and </w:t>
      </w:r>
      <w:r w:rsidRPr="00134F36">
        <w:t>cybercrime publications.</w:t>
      </w:r>
    </w:p>
    <w:p w:rsidR="00845E52" w:rsidRPr="00134F36" w:rsidRDefault="00845E52" w:rsidP="00845E52">
      <w:pPr>
        <w:pStyle w:val="a0"/>
      </w:pPr>
      <w:r w:rsidRPr="00134F36">
        <w:t>Keywords: 1974-2006, Analyses, Analysis, Approach, Authors, Bibliometric, Bibliometric Analyses, Bibliometric Studies, Citation, Computer, Crime, ISI, ISI Web of Science, Papers, Production, Publications, Research, SCI, Science Citation Index, Scientific Production, Social Science Citation Index, SSCI, Tool, Trends, USA, Web of Science</w:t>
      </w:r>
    </w:p>
    <w:p w:rsidR="00B95188" w:rsidRPr="00A428C3" w:rsidRDefault="00845E52" w:rsidP="00845E52">
      <w:pPr>
        <w:pStyle w:val="1"/>
      </w:pPr>
      <w:r w:rsidRPr="00A01AA4">
        <w:br w:type="page"/>
      </w:r>
      <w:bookmarkStart w:id="1105" w:name="_Toc317161203"/>
      <w:r w:rsidR="00B95188" w:rsidRPr="00A428C3">
        <w:lastRenderedPageBreak/>
        <w:t xml:space="preserve">Title: </w:t>
      </w:r>
      <w:r w:rsidR="00B95188" w:rsidRPr="007D4D61">
        <w:rPr>
          <w:iCs/>
        </w:rPr>
        <w:t>Intensive Care Medicine</w:t>
      </w:r>
      <w:bookmarkEnd w:id="1105"/>
    </w:p>
    <w:p w:rsidR="00B95188" w:rsidRPr="00DB6990" w:rsidRDefault="00B95188" w:rsidP="00B72EF9">
      <w:pPr>
        <w:pStyle w:val="12"/>
      </w:pPr>
      <w:r w:rsidRPr="00DB6990">
        <w:t>Full Jou</w:t>
      </w:r>
      <w:r>
        <w:t xml:space="preserve">rnal Title: </w:t>
      </w:r>
      <w:hyperlink r:id="rId1531" w:history="1">
        <w:r w:rsidRPr="007D4D61">
          <w:rPr>
            <w:rStyle w:val="a5"/>
            <w:iCs/>
          </w:rPr>
          <w:t>Intensive Care Medicine</w:t>
        </w:r>
      </w:hyperlink>
    </w:p>
    <w:p w:rsidR="00B95188" w:rsidRPr="00DB6990" w:rsidRDefault="00B95188" w:rsidP="00B72EF9">
      <w:pPr>
        <w:pStyle w:val="12"/>
      </w:pPr>
      <w:r w:rsidRPr="00DB6990">
        <w:t>I</w:t>
      </w:r>
      <w:r>
        <w:t xml:space="preserve">SO Abbreviated Title: </w:t>
      </w:r>
    </w:p>
    <w:p w:rsidR="00B95188" w:rsidRPr="00DB6990" w:rsidRDefault="00B95188" w:rsidP="00B72EF9">
      <w:pPr>
        <w:pStyle w:val="12"/>
      </w:pPr>
      <w:r w:rsidRPr="00DB6990">
        <w:t>JCR Abbreviated T</w:t>
      </w:r>
      <w:r>
        <w:t xml:space="preserve">itle: </w:t>
      </w:r>
    </w:p>
    <w:p w:rsidR="00B95188" w:rsidRPr="00DB6990" w:rsidRDefault="00B95188" w:rsidP="00B72EF9">
      <w:pPr>
        <w:pStyle w:val="12"/>
      </w:pPr>
      <w:r>
        <w:t xml:space="preserve">ISSN: </w:t>
      </w:r>
      <w:r w:rsidRPr="007D4D61">
        <w:t>0342-4642</w:t>
      </w:r>
    </w:p>
    <w:p w:rsidR="00B95188" w:rsidRPr="00DB6990" w:rsidRDefault="00B95188" w:rsidP="00B72EF9">
      <w:pPr>
        <w:pStyle w:val="12"/>
      </w:pPr>
      <w:r>
        <w:t xml:space="preserve">Issues/Year: </w:t>
      </w:r>
    </w:p>
    <w:p w:rsidR="00B95188" w:rsidRPr="00DB6990" w:rsidRDefault="00B95188" w:rsidP="00B72EF9">
      <w:pPr>
        <w:pStyle w:val="12"/>
      </w:pPr>
      <w:r w:rsidRPr="00DB6990">
        <w:t xml:space="preserve">Journal Country/Territory: </w:t>
      </w:r>
    </w:p>
    <w:p w:rsidR="00B95188" w:rsidRPr="00DB6990" w:rsidRDefault="00B95188" w:rsidP="00B72EF9">
      <w:pPr>
        <w:pStyle w:val="12"/>
      </w:pPr>
      <w:r w:rsidRPr="00DB6990">
        <w:t xml:space="preserve">Language: </w:t>
      </w:r>
    </w:p>
    <w:p w:rsidR="00B95188" w:rsidRPr="00DB6990" w:rsidRDefault="00B95188" w:rsidP="00B72EF9">
      <w:pPr>
        <w:pStyle w:val="12"/>
      </w:pPr>
      <w:r w:rsidRPr="00DB6990">
        <w:t xml:space="preserve">Publisher: </w:t>
      </w:r>
    </w:p>
    <w:p w:rsidR="00B95188" w:rsidRPr="00DB6990" w:rsidRDefault="00B95188" w:rsidP="00B72EF9">
      <w:pPr>
        <w:pStyle w:val="12"/>
      </w:pPr>
      <w:r w:rsidRPr="00DB6990">
        <w:t xml:space="preserve">Publisher Address: </w:t>
      </w:r>
    </w:p>
    <w:p w:rsidR="00B95188" w:rsidRPr="00DB6990" w:rsidRDefault="00B95188" w:rsidP="00B72EF9">
      <w:pPr>
        <w:pStyle w:val="12"/>
      </w:pPr>
      <w:r w:rsidRPr="00DB6990">
        <w:t xml:space="preserve">Subject Categories: </w:t>
      </w:r>
    </w:p>
    <w:p w:rsidR="00B95188" w:rsidRPr="00DB6990" w:rsidRDefault="00B95188" w:rsidP="00B72EF9">
      <w:pPr>
        <w:pStyle w:val="12"/>
      </w:pPr>
      <w:r w:rsidRPr="00DB6990">
        <w:t xml:space="preserve">: Impact Factor </w:t>
      </w:r>
    </w:p>
    <w:p w:rsidR="00B95188" w:rsidRPr="00586CD8" w:rsidRDefault="00B95188" w:rsidP="00B95188">
      <w:pPr>
        <w:pStyle w:val="a0"/>
        <w:rPr>
          <w:kern w:val="2"/>
        </w:rPr>
      </w:pPr>
      <w:r w:rsidRPr="00586CD8">
        <w:rPr>
          <w:rFonts w:hint="eastAsia"/>
          <w:kern w:val="2"/>
        </w:rPr>
        <w:t xml:space="preserve">? </w:t>
      </w:r>
      <w:r w:rsidRPr="00586CD8">
        <w:rPr>
          <w:kern w:val="2"/>
        </w:rPr>
        <w:t>Baltussen, A.</w:t>
      </w:r>
      <w:r w:rsidR="00F81221">
        <w:rPr>
          <w:kern w:val="2"/>
        </w:rPr>
        <w:t xml:space="preserve"> and </w:t>
      </w:r>
      <w:r w:rsidRPr="00586CD8">
        <w:rPr>
          <w:kern w:val="2"/>
        </w:rPr>
        <w:t xml:space="preserve">Kindler, C.H. (2004), Citation classics in critical care medicine. </w:t>
      </w:r>
      <w:r w:rsidRPr="007D4D61">
        <w:rPr>
          <w:i/>
          <w:iCs/>
          <w:kern w:val="0"/>
        </w:rPr>
        <w:t>Intensive Care Medicine</w:t>
      </w:r>
      <w:r w:rsidRPr="00586CD8">
        <w:rPr>
          <w:kern w:val="2"/>
        </w:rPr>
        <w:t xml:space="preserve">, </w:t>
      </w:r>
      <w:r>
        <w:rPr>
          <w:b/>
          <w:bCs/>
          <w:kern w:val="0"/>
        </w:rPr>
        <w:t>30</w:t>
      </w:r>
      <w:r w:rsidRPr="00586CD8">
        <w:rPr>
          <w:kern w:val="2"/>
        </w:rPr>
        <w:t xml:space="preserve"> (5), 902-910.</w:t>
      </w:r>
    </w:p>
    <w:p w:rsidR="00B95188" w:rsidRPr="00586CD8" w:rsidRDefault="00B95188" w:rsidP="00B95188">
      <w:pPr>
        <w:pStyle w:val="a0"/>
        <w:rPr>
          <w:kern w:val="2"/>
        </w:rPr>
      </w:pPr>
      <w:r w:rsidRPr="00586CD8">
        <w:rPr>
          <w:rFonts w:hint="eastAsia"/>
          <w:kern w:val="2"/>
        </w:rPr>
        <w:t xml:space="preserve">Full Text: </w:t>
      </w:r>
      <w:hyperlink r:id="rId1532" w:history="1">
        <w:r w:rsidRPr="00DB65DE">
          <w:rPr>
            <w:rStyle w:val="a5"/>
            <w:kern w:val="0"/>
          </w:rPr>
          <w:t>2004\Int Car Med30, 902.pdf</w:t>
        </w:r>
      </w:hyperlink>
    </w:p>
    <w:p w:rsidR="00B95188" w:rsidRPr="00586CD8" w:rsidRDefault="00B95188" w:rsidP="00B95188">
      <w:pPr>
        <w:pStyle w:val="a0"/>
        <w:rPr>
          <w:kern w:val="2"/>
        </w:rPr>
      </w:pPr>
      <w:r w:rsidRPr="00586CD8">
        <w:rPr>
          <w:kern w:val="2"/>
        </w:rPr>
        <w:t>Abstract: Objective. The number of citations an article receives after its publication reflects its impact on the scientific community. Our purpose was to identify</w:t>
      </w:r>
      <w:r w:rsidR="00F81221">
        <w:rPr>
          <w:kern w:val="2"/>
        </w:rPr>
        <w:t xml:space="preserve"> and </w:t>
      </w:r>
      <w:r w:rsidRPr="00586CD8">
        <w:rPr>
          <w:kern w:val="2"/>
        </w:rPr>
        <w:t>examine the characteristics of the most frequently cited articles in the field of critical care medicine. Design. The 74 top-cited articles in critical care journals were identified by a computer search using the database of the Science Citation Index Expanded (SCI-EXPANDED, 1945 to present)</w:t>
      </w:r>
      <w:r w:rsidR="00F81221">
        <w:rPr>
          <w:kern w:val="2"/>
        </w:rPr>
        <w:t xml:space="preserve"> and </w:t>
      </w:r>
      <w:r w:rsidRPr="00586CD8">
        <w:rPr>
          <w:kern w:val="2"/>
        </w:rPr>
        <w:t xml:space="preserve">the Web of SCIENCE. The 45 top-cited critical care articles in all other biomedical journals were identified using the database SciSearch (1974 to present) with the key word </w:t>
      </w:r>
      <w:r w:rsidR="000352E7">
        <w:rPr>
          <w:kern w:val="2"/>
        </w:rPr>
        <w:t>“</w:t>
      </w:r>
      <w:r w:rsidRPr="00586CD8">
        <w:rPr>
          <w:kern w:val="2"/>
        </w:rPr>
        <w:t>Critical Care</w:t>
      </w:r>
      <w:r w:rsidR="000352E7">
        <w:rPr>
          <w:kern w:val="2"/>
        </w:rPr>
        <w:t>”</w:t>
      </w:r>
      <w:r w:rsidRPr="00586CD8">
        <w:rPr>
          <w:kern w:val="2"/>
        </w:rPr>
        <w:t>. Results. The most cited articles received 3402</w:t>
      </w:r>
      <w:r w:rsidR="00F81221">
        <w:rPr>
          <w:kern w:val="2"/>
        </w:rPr>
        <w:t xml:space="preserve"> and </w:t>
      </w:r>
      <w:r w:rsidRPr="00586CD8">
        <w:rPr>
          <w:kern w:val="2"/>
        </w:rPr>
        <w:t>2860 citations, respectively. The citation classics in critical care journals were published between 1968</w:t>
      </w:r>
      <w:r w:rsidR="00F81221">
        <w:rPr>
          <w:kern w:val="2"/>
        </w:rPr>
        <w:t xml:space="preserve"> and </w:t>
      </w:r>
      <w:r w:rsidRPr="00586CD8">
        <w:rPr>
          <w:kern w:val="2"/>
        </w:rPr>
        <w:t>1999 in six high-impact journals, led by Critical Care Medicine (37 articles), followed by the Journal of Trauma (21),</w:t>
      </w:r>
      <w:r w:rsidR="00F81221">
        <w:rPr>
          <w:kern w:val="2"/>
        </w:rPr>
        <w:t xml:space="preserve"> and </w:t>
      </w:r>
      <w:r w:rsidRPr="00586CD8">
        <w:rPr>
          <w:kern w:val="2"/>
        </w:rPr>
        <w:t>American Journal of Respiratory</w:t>
      </w:r>
      <w:r w:rsidR="00F81221">
        <w:rPr>
          <w:kern w:val="2"/>
        </w:rPr>
        <w:t xml:space="preserve"> and </w:t>
      </w:r>
      <w:r w:rsidRPr="00586CD8">
        <w:rPr>
          <w:kern w:val="2"/>
        </w:rPr>
        <w:t>Critical Care Medicine (9). Seventy articles were original publications, two were reviews or guidelines,</w:t>
      </w:r>
      <w:r w:rsidR="00F81221">
        <w:rPr>
          <w:kern w:val="2"/>
        </w:rPr>
        <w:t xml:space="preserve"> and </w:t>
      </w:r>
      <w:r w:rsidRPr="00586CD8">
        <w:rPr>
          <w:kern w:val="2"/>
        </w:rPr>
        <w:t>two were editorials. The top 45 classic articles in non-critical care journals were published in 13 different journals, led by the New England Journal of Medicine (11 articles), followed by JAMA</w:t>
      </w:r>
      <w:r w:rsidR="00F81221">
        <w:rPr>
          <w:kern w:val="2"/>
        </w:rPr>
        <w:t xml:space="preserve"> and </w:t>
      </w:r>
      <w:r w:rsidRPr="00586CD8">
        <w:rPr>
          <w:kern w:val="2"/>
        </w:rPr>
        <w:t>Lancet (6 articles each). The United States of America contributed most of the classic articles. Pathophysiology of the lung, sepsis</w:t>
      </w:r>
      <w:r w:rsidR="00F81221">
        <w:rPr>
          <w:kern w:val="2"/>
        </w:rPr>
        <w:t xml:space="preserve"> and </w:t>
      </w:r>
      <w:r w:rsidRPr="00586CD8">
        <w:rPr>
          <w:kern w:val="2"/>
        </w:rPr>
        <w:t>scoring systems were the primary focus of classic publications. Conclusions. Our analysis gives a historical perspective on the scientific progress of critical care medicine</w:t>
      </w:r>
      <w:r w:rsidR="00F81221">
        <w:rPr>
          <w:kern w:val="2"/>
        </w:rPr>
        <w:t xml:space="preserve"> and </w:t>
      </w:r>
      <w:r w:rsidRPr="00586CD8">
        <w:rPr>
          <w:kern w:val="2"/>
        </w:rPr>
        <w:t>allows for recognition of important advances in this specialty.</w:t>
      </w:r>
    </w:p>
    <w:p w:rsidR="00B95188" w:rsidRPr="00586CD8" w:rsidRDefault="00B95188" w:rsidP="00B95188">
      <w:pPr>
        <w:pStyle w:val="a0"/>
        <w:rPr>
          <w:kern w:val="2"/>
        </w:rPr>
      </w:pPr>
      <w:r w:rsidRPr="00586CD8">
        <w:rPr>
          <w:kern w:val="2"/>
        </w:rPr>
        <w:t xml:space="preserve">Keywords: Analysis, Archives, Biomedical, Biomedical Journals, Care, Citation, </w:t>
      </w:r>
      <w:r w:rsidRPr="00586CD8">
        <w:rPr>
          <w:kern w:val="2"/>
        </w:rPr>
        <w:lastRenderedPageBreak/>
        <w:t>Citation Analysis, Citation Classics, Citations, Community, Critical Care, Critical Care Medicine, Database, England, Guidelines, Journal Impact Factors, Journals, Landmark Article, Lung, Medicine, Most-Cited Articles, Primary, Publication, Publications, Science, Science Citation Index, Scientific Progress, Scientometrics, Specialty, United States</w:t>
      </w:r>
    </w:p>
    <w:p w:rsidR="00565BAB" w:rsidRDefault="00565BAB" w:rsidP="00565BAB">
      <w:pPr>
        <w:pStyle w:val="a0"/>
        <w:rPr>
          <w:kern w:val="0"/>
        </w:rPr>
      </w:pPr>
      <w:r>
        <w:rPr>
          <w:kern w:val="0"/>
        </w:rPr>
        <w:t>? Brusselaers, N., Monstrey, S., Colpaert, K., Decruyenaere, J., Blot, S.I.</w:t>
      </w:r>
      <w:r w:rsidR="00F81221">
        <w:rPr>
          <w:kern w:val="0"/>
        </w:rPr>
        <w:t xml:space="preserve"> and </w:t>
      </w:r>
      <w:r>
        <w:rPr>
          <w:kern w:val="0"/>
        </w:rPr>
        <w:t>Hoste, E.A.J. (2010), Outcome of acute kidney injury in severe burns: A systematic review</w:t>
      </w:r>
      <w:r w:rsidR="00F81221">
        <w:rPr>
          <w:kern w:val="0"/>
        </w:rPr>
        <w:t xml:space="preserve"> and </w:t>
      </w:r>
      <w:r>
        <w:rPr>
          <w:kern w:val="0"/>
        </w:rPr>
        <w:t xml:space="preserve">meta-analysis. </w:t>
      </w:r>
      <w:r>
        <w:rPr>
          <w:i/>
          <w:iCs/>
          <w:kern w:val="0"/>
        </w:rPr>
        <w:t>Intensive Care Medicine</w:t>
      </w:r>
      <w:r>
        <w:rPr>
          <w:kern w:val="0"/>
        </w:rPr>
        <w:t xml:space="preserve">, </w:t>
      </w:r>
      <w:r>
        <w:rPr>
          <w:b/>
          <w:bCs/>
          <w:kern w:val="0"/>
        </w:rPr>
        <w:t>36</w:t>
      </w:r>
      <w:r>
        <w:rPr>
          <w:kern w:val="0"/>
        </w:rPr>
        <w:t xml:space="preserve"> (6), 915-925.</w:t>
      </w:r>
    </w:p>
    <w:p w:rsidR="00565BAB" w:rsidRDefault="00565BAB" w:rsidP="00565BAB">
      <w:pPr>
        <w:pStyle w:val="a0"/>
      </w:pPr>
      <w:r>
        <w:t>Full Text: 2010\Int Car Med36, 915.pdf</w:t>
      </w:r>
    </w:p>
    <w:p w:rsidR="00565BAB" w:rsidRDefault="00565BAB" w:rsidP="00565BAB">
      <w:pPr>
        <w:pStyle w:val="a0"/>
        <w:rPr>
          <w:kern w:val="0"/>
        </w:rPr>
      </w:pPr>
      <w:r>
        <w:rPr>
          <w:kern w:val="0"/>
        </w:rPr>
        <w:t>Abstract: The main objective of this review was to analyse the prevalence</w:t>
      </w:r>
      <w:r w:rsidR="00F81221">
        <w:rPr>
          <w:kern w:val="0"/>
        </w:rPr>
        <w:t xml:space="preserve"> and </w:t>
      </w:r>
      <w:r>
        <w:rPr>
          <w:kern w:val="0"/>
        </w:rPr>
        <w:t>outcome of acute kidney injury (AKI) in patients with severe burn injury. AKI is a common complication in patients with severe burn injury</w:t>
      </w:r>
      <w:r w:rsidR="00F81221">
        <w:rPr>
          <w:kern w:val="0"/>
        </w:rPr>
        <w:t xml:space="preserve"> and </w:t>
      </w:r>
      <w:r>
        <w:rPr>
          <w:kern w:val="0"/>
        </w:rPr>
        <w:t xml:space="preserve">one of the major causes of death (often combined with other organ dysfunctions). Several definitions of AKI have been used, but the RIFLE </w:t>
      </w:r>
      <w:r w:rsidR="000352E7">
        <w:rPr>
          <w:kern w:val="0"/>
        </w:rPr>
        <w:t>‘</w:t>
      </w:r>
      <w:r>
        <w:rPr>
          <w:kern w:val="0"/>
        </w:rPr>
        <w:t>consensus</w:t>
      </w:r>
      <w:r w:rsidR="000352E7">
        <w:rPr>
          <w:kern w:val="0"/>
        </w:rPr>
        <w:t>’</w:t>
      </w:r>
      <w:r>
        <w:rPr>
          <w:kern w:val="0"/>
        </w:rPr>
        <w:t xml:space="preserve"> classification is nowadays considered the gold standard, enabling a more objective comparison of populations. We performed a systematic literature search (1960-2009), involving PUBMED, the Web of Science, the search engine Google (TM)</w:t>
      </w:r>
      <w:r w:rsidR="00F81221">
        <w:rPr>
          <w:kern w:val="0"/>
        </w:rPr>
        <w:t xml:space="preserve"> and </w:t>
      </w:r>
      <w:r>
        <w:rPr>
          <w:kern w:val="0"/>
        </w:rPr>
        <w:t>textbooks. Reference lists</w:t>
      </w:r>
      <w:r w:rsidR="00F81221">
        <w:rPr>
          <w:kern w:val="0"/>
        </w:rPr>
        <w:t xml:space="preserve"> and </w:t>
      </w:r>
      <w:r>
        <w:rPr>
          <w:kern w:val="0"/>
        </w:rPr>
        <w:t>the Science Citation Index search were also consulted. Attributable mortality was assessed by performing a meta-analysis. This search yielded 57 articles</w:t>
      </w:r>
      <w:r w:rsidR="00F81221">
        <w:rPr>
          <w:kern w:val="0"/>
        </w:rPr>
        <w:t xml:space="preserve"> and </w:t>
      </w:r>
      <w:r>
        <w:rPr>
          <w:kern w:val="0"/>
        </w:rPr>
        <w:t>abstracts with relevant epidemiologic data of AKI in the burn population. of these, 30 contained complete mortality data of the burn</w:t>
      </w:r>
      <w:r w:rsidR="00F81221">
        <w:rPr>
          <w:kern w:val="0"/>
        </w:rPr>
        <w:t xml:space="preserve"> and </w:t>
      </w:r>
      <w:r>
        <w:rPr>
          <w:kern w:val="0"/>
        </w:rPr>
        <w:t>control population, which revealed a 3- to 6-fold higher mortality for AKI patients in univariate analysis, depending on the applied definition. When defined by the RIFLE consensus classification, AKI occurred in one quarter of patients with severe burn injury (median mortality of 34.9%),</w:t>
      </w:r>
      <w:r w:rsidR="00F81221">
        <w:rPr>
          <w:kern w:val="0"/>
        </w:rPr>
        <w:t xml:space="preserve"> and </w:t>
      </w:r>
      <w:r>
        <w:rPr>
          <w:kern w:val="0"/>
        </w:rPr>
        <w:t>when defined by the need for renal replacement therapy (RRT), AKI occurred in 3% (median mortality of 80%). The prevalence of AKI slightly increased, but AKI-RRT decreased. However, the outcome in both groups improved. Despite the wide variation of the analysed burn populations</w:t>
      </w:r>
      <w:r w:rsidR="00F81221">
        <w:rPr>
          <w:kern w:val="0"/>
        </w:rPr>
        <w:t xml:space="preserve"> and </w:t>
      </w:r>
      <w:r>
        <w:rPr>
          <w:kern w:val="0"/>
        </w:rPr>
        <w:t>definitions of AKI, this review clearly showed that AKI remains prevalent</w:t>
      </w:r>
      <w:r w:rsidR="00F81221">
        <w:rPr>
          <w:kern w:val="0"/>
        </w:rPr>
        <w:t xml:space="preserve"> and </w:t>
      </w:r>
      <w:r>
        <w:rPr>
          <w:kern w:val="0"/>
        </w:rPr>
        <w:t>is associated with increased mortality in patients with severe burn injury.</w:t>
      </w:r>
    </w:p>
    <w:p w:rsidR="00565BAB" w:rsidRDefault="00565BAB" w:rsidP="00565BAB">
      <w:pPr>
        <w:pStyle w:val="a0"/>
        <w:rPr>
          <w:kern w:val="0"/>
        </w:rPr>
      </w:pPr>
      <w:r>
        <w:rPr>
          <w:kern w:val="0"/>
        </w:rPr>
        <w:t>Keywords: Acute Kidney Injury, Acute-Renal-Failure, Analysis, Burns, Citation, Continuous Venovenous Hemofiltration, Control, Critically-Ill Patients, Definitions, Hospital Mortality, Injury, Intensive-Care-Unit, Literature, Meta-Analysis, Military Casualties, Mortality, Multicenter Evaluation, Multiple Organ Dysfunction, Outcome, Prevalence, Pubmed, Replacement Therapy, Review, Rifle Criteria, Science, Science Citation Index, Systematic, Systematic Review, Textbooks, Therapy, Thermal Injury, Web of Science</w:t>
      </w:r>
    </w:p>
    <w:p w:rsidR="00525537" w:rsidRPr="00A428C3" w:rsidRDefault="00525537" w:rsidP="00525537">
      <w:pPr>
        <w:pStyle w:val="1"/>
      </w:pPr>
      <w:r w:rsidRPr="00A01AA4">
        <w:br w:type="page"/>
      </w:r>
      <w:bookmarkStart w:id="1106" w:name="_Toc317161204"/>
      <w:r w:rsidRPr="00A428C3">
        <w:lastRenderedPageBreak/>
        <w:t xml:space="preserve">Title: </w:t>
      </w:r>
      <w:r w:rsidRPr="00525537">
        <w:rPr>
          <w:iCs/>
        </w:rPr>
        <w:t>Inter-Asia Cultural Studies</w:t>
      </w:r>
      <w:bookmarkEnd w:id="1106"/>
    </w:p>
    <w:p w:rsidR="00525537" w:rsidRPr="00DB6990" w:rsidRDefault="00525537" w:rsidP="00B72EF9">
      <w:pPr>
        <w:pStyle w:val="12"/>
      </w:pPr>
      <w:r w:rsidRPr="00DB6990">
        <w:t>Full Jou</w:t>
      </w:r>
      <w:r>
        <w:t xml:space="preserve">rnal Title: </w:t>
      </w:r>
      <w:hyperlink r:id="rId1533" w:history="1">
        <w:r w:rsidRPr="00525537">
          <w:rPr>
            <w:rStyle w:val="a5"/>
            <w:iCs/>
          </w:rPr>
          <w:t>Inter-Asia Cultural Studies</w:t>
        </w:r>
      </w:hyperlink>
    </w:p>
    <w:p w:rsidR="00525537" w:rsidRPr="00DB6990" w:rsidRDefault="00525537" w:rsidP="00B72EF9">
      <w:pPr>
        <w:pStyle w:val="12"/>
      </w:pPr>
      <w:r w:rsidRPr="00DB6990">
        <w:t>I</w:t>
      </w:r>
      <w:r>
        <w:t xml:space="preserve">SO Abbreviated Title: </w:t>
      </w:r>
    </w:p>
    <w:p w:rsidR="00525537" w:rsidRPr="00DB6990" w:rsidRDefault="00525537" w:rsidP="00B72EF9">
      <w:pPr>
        <w:pStyle w:val="12"/>
      </w:pPr>
      <w:r w:rsidRPr="00DB6990">
        <w:t>JCR Abbreviated T</w:t>
      </w:r>
      <w:r>
        <w:t xml:space="preserve">itle: </w:t>
      </w:r>
    </w:p>
    <w:p w:rsidR="00525537" w:rsidRPr="00DB6990" w:rsidRDefault="00525537" w:rsidP="00B72EF9">
      <w:pPr>
        <w:pStyle w:val="12"/>
      </w:pPr>
      <w:r>
        <w:t xml:space="preserve">ISSN: </w:t>
      </w:r>
    </w:p>
    <w:p w:rsidR="00525537" w:rsidRPr="00DB6990" w:rsidRDefault="00525537" w:rsidP="00B72EF9">
      <w:pPr>
        <w:pStyle w:val="12"/>
      </w:pPr>
      <w:r>
        <w:t xml:space="preserve">Issues/Year: </w:t>
      </w:r>
    </w:p>
    <w:p w:rsidR="00525537" w:rsidRPr="00DB6990" w:rsidRDefault="00525537" w:rsidP="00B72EF9">
      <w:pPr>
        <w:pStyle w:val="12"/>
      </w:pPr>
      <w:r w:rsidRPr="00DB6990">
        <w:t xml:space="preserve">Journal Country/Territory: </w:t>
      </w:r>
    </w:p>
    <w:p w:rsidR="00525537" w:rsidRPr="00DB6990" w:rsidRDefault="00525537" w:rsidP="00B72EF9">
      <w:pPr>
        <w:pStyle w:val="12"/>
      </w:pPr>
      <w:r w:rsidRPr="00DB6990">
        <w:t xml:space="preserve">Language: </w:t>
      </w:r>
    </w:p>
    <w:p w:rsidR="00525537" w:rsidRPr="00DB6990" w:rsidRDefault="00525537" w:rsidP="00B72EF9">
      <w:pPr>
        <w:pStyle w:val="12"/>
      </w:pPr>
      <w:r w:rsidRPr="00DB6990">
        <w:t xml:space="preserve">Publisher: </w:t>
      </w:r>
    </w:p>
    <w:p w:rsidR="00525537" w:rsidRPr="00DB6990" w:rsidRDefault="00525537" w:rsidP="00B72EF9">
      <w:pPr>
        <w:pStyle w:val="12"/>
      </w:pPr>
      <w:r w:rsidRPr="00DB6990">
        <w:t xml:space="preserve">Publisher Address: </w:t>
      </w:r>
    </w:p>
    <w:p w:rsidR="00525537" w:rsidRPr="00DB6990" w:rsidRDefault="00525537" w:rsidP="00B72EF9">
      <w:pPr>
        <w:pStyle w:val="12"/>
      </w:pPr>
      <w:r w:rsidRPr="00DB6990">
        <w:t xml:space="preserve">Subject Categories: </w:t>
      </w:r>
    </w:p>
    <w:p w:rsidR="00525537" w:rsidRPr="00DB6990" w:rsidRDefault="00525537" w:rsidP="00B72EF9">
      <w:pPr>
        <w:pStyle w:val="12"/>
      </w:pPr>
      <w:r w:rsidRPr="00DB6990">
        <w:t xml:space="preserve">: Impact Factor </w:t>
      </w:r>
    </w:p>
    <w:p w:rsidR="00525537" w:rsidRDefault="00525537" w:rsidP="00525537">
      <w:pPr>
        <w:pStyle w:val="a0"/>
        <w:rPr>
          <w:kern w:val="0"/>
        </w:rPr>
      </w:pPr>
      <w:r>
        <w:rPr>
          <w:rFonts w:hint="eastAsia"/>
          <w:kern w:val="0"/>
        </w:rPr>
        <w:t xml:space="preserve">? </w:t>
      </w:r>
      <w:r>
        <w:rPr>
          <w:kern w:val="0"/>
        </w:rPr>
        <w:t>Chen, K.H.</w:t>
      </w:r>
      <w:r w:rsidR="00F81221">
        <w:rPr>
          <w:kern w:val="0"/>
        </w:rPr>
        <w:t xml:space="preserve"> and </w:t>
      </w:r>
      <w:r>
        <w:rPr>
          <w:kern w:val="0"/>
        </w:rPr>
        <w:t xml:space="preserve">Chien, S.Y.S. (2009), Knowledge production in the ERA of neo-liberal globalization: Reflections on the changing academic conditions in Taiwan. </w:t>
      </w:r>
      <w:r w:rsidRPr="00525537">
        <w:rPr>
          <w:i/>
          <w:iCs/>
          <w:kern w:val="0"/>
        </w:rPr>
        <w:t>Inter-Asia Cultural Studies</w:t>
      </w:r>
      <w:r>
        <w:rPr>
          <w:kern w:val="0"/>
        </w:rPr>
        <w:t xml:space="preserve">, </w:t>
      </w:r>
      <w:r>
        <w:rPr>
          <w:b/>
          <w:bCs/>
          <w:kern w:val="0"/>
        </w:rPr>
        <w:t>10</w:t>
      </w:r>
      <w:r>
        <w:rPr>
          <w:kern w:val="0"/>
        </w:rPr>
        <w:t xml:space="preserve"> (2), 206-228.</w:t>
      </w:r>
    </w:p>
    <w:p w:rsidR="00525537" w:rsidRDefault="00525537" w:rsidP="00525537">
      <w:pPr>
        <w:pStyle w:val="a0"/>
        <w:rPr>
          <w:kern w:val="0"/>
        </w:rPr>
      </w:pPr>
      <w:r>
        <w:rPr>
          <w:rFonts w:hint="eastAsia"/>
          <w:kern w:val="0"/>
        </w:rPr>
        <w:t xml:space="preserve">Full Text: </w:t>
      </w:r>
      <w:hyperlink r:id="rId1534" w:history="1">
        <w:r w:rsidRPr="00525537">
          <w:rPr>
            <w:rStyle w:val="a5"/>
            <w:kern w:val="0"/>
          </w:rPr>
          <w:t>2009\Int-Asi Cul Stu10, 206.pdf</w:t>
        </w:r>
      </w:hyperlink>
    </w:p>
    <w:p w:rsidR="00525537" w:rsidRDefault="00525537" w:rsidP="00525537">
      <w:pPr>
        <w:pStyle w:val="a0"/>
        <w:rPr>
          <w:kern w:val="0"/>
        </w:rPr>
      </w:pPr>
      <w:r>
        <w:rPr>
          <w:kern w:val="0"/>
        </w:rPr>
        <w:t>Abstract: This essay is an intervention to interrupt the blind adoption of the Social Science Citation Index (SSCI) by Taiwan</w:t>
      </w:r>
      <w:r w:rsidR="000352E7">
        <w:rPr>
          <w:kern w:val="0"/>
        </w:rPr>
        <w:t>’</w:t>
      </w:r>
      <w:r>
        <w:rPr>
          <w:kern w:val="0"/>
        </w:rPr>
        <w:t>s academic regime to evaluate scholarly work. Situating the changing local conditions of knowledge production in the larger context of neo-liberal globalization, we trace the trajectory of implementing the new evaluation system</w:t>
      </w:r>
      <w:r w:rsidR="00F81221">
        <w:rPr>
          <w:kern w:val="0"/>
        </w:rPr>
        <w:t xml:space="preserve"> and </w:t>
      </w:r>
      <w:r>
        <w:rPr>
          <w:kern w:val="0"/>
        </w:rPr>
        <w:t xml:space="preserve">then pinpoint the critical impacts on intellectual work in this wave of </w:t>
      </w:r>
      <w:r w:rsidR="000352E7">
        <w:rPr>
          <w:kern w:val="0"/>
        </w:rPr>
        <w:t>‘</w:t>
      </w:r>
      <w:r>
        <w:rPr>
          <w:kern w:val="0"/>
        </w:rPr>
        <w:t>internationalizing</w:t>
      </w:r>
      <w:r w:rsidR="000352E7">
        <w:rPr>
          <w:kern w:val="0"/>
        </w:rPr>
        <w:t>’</w:t>
      </w:r>
      <w:r>
        <w:rPr>
          <w:kern w:val="0"/>
        </w:rPr>
        <w:t xml:space="preserve"> research</w:t>
      </w:r>
      <w:r w:rsidR="00F81221">
        <w:rPr>
          <w:kern w:val="0"/>
        </w:rPr>
        <w:t xml:space="preserve"> and </w:t>
      </w:r>
      <w:r>
        <w:rPr>
          <w:kern w:val="0"/>
        </w:rPr>
        <w:t>publication promoted by the state bureaucracy. We argue for an alternative vision of globalization that is locally grounded, multiculturally nurturing</w:t>
      </w:r>
      <w:r w:rsidR="00F81221">
        <w:rPr>
          <w:kern w:val="0"/>
        </w:rPr>
        <w:t xml:space="preserve"> and </w:t>
      </w:r>
      <w:r>
        <w:rPr>
          <w:kern w:val="0"/>
        </w:rPr>
        <w:t>democratically driven.</w:t>
      </w:r>
    </w:p>
    <w:p w:rsidR="00525537" w:rsidRDefault="00525537" w:rsidP="00525537">
      <w:pPr>
        <w:pStyle w:val="a0"/>
        <w:rPr>
          <w:kern w:val="0"/>
        </w:rPr>
      </w:pPr>
      <w:r>
        <w:rPr>
          <w:kern w:val="0"/>
        </w:rPr>
        <w:t>Keywords: Academic, Citation, Evaluation, Globalization, Knowledge, Neo-Liberal, Professionalism, Research, Science, SSCI</w:t>
      </w:r>
    </w:p>
    <w:p w:rsidR="00B95188" w:rsidRPr="00A428C3" w:rsidRDefault="00B95188" w:rsidP="00B95188">
      <w:pPr>
        <w:pStyle w:val="1"/>
      </w:pPr>
      <w:r w:rsidRPr="00A428C3">
        <w:br w:type="page"/>
      </w:r>
      <w:bookmarkStart w:id="1107" w:name="_Toc43634598"/>
      <w:bookmarkStart w:id="1108" w:name="_Toc81215778"/>
      <w:bookmarkStart w:id="1109" w:name="_Toc128823334"/>
      <w:bookmarkStart w:id="1110" w:name="_Toc186647881"/>
      <w:bookmarkStart w:id="1111" w:name="_Toc487190723"/>
      <w:bookmarkStart w:id="1112" w:name="_Toc487882228"/>
      <w:bookmarkStart w:id="1113" w:name="_Toc490688052"/>
      <w:bookmarkStart w:id="1114" w:name="_Toc492812165"/>
      <w:bookmarkStart w:id="1115" w:name="_Toc317161205"/>
      <w:r w:rsidRPr="00A428C3">
        <w:lastRenderedPageBreak/>
        <w:t>Title: Interciencia</w:t>
      </w:r>
      <w:bookmarkEnd w:id="1107"/>
      <w:bookmarkEnd w:id="1108"/>
      <w:bookmarkEnd w:id="1109"/>
      <w:bookmarkEnd w:id="1110"/>
      <w:bookmarkEnd w:id="1115"/>
    </w:p>
    <w:p w:rsidR="00B95188" w:rsidRPr="00A428C3" w:rsidRDefault="00B95188" w:rsidP="00B72EF9">
      <w:pPr>
        <w:pStyle w:val="12"/>
      </w:pPr>
      <w:r w:rsidRPr="00A428C3">
        <w:t xml:space="preserve">Full Journal Title: </w:t>
      </w:r>
      <w:hyperlink r:id="rId1535" w:history="1">
        <w:r w:rsidRPr="00A428C3">
          <w:rPr>
            <w:rStyle w:val="a5"/>
          </w:rPr>
          <w:t>Interciencia</w:t>
        </w:r>
      </w:hyperlink>
    </w:p>
    <w:p w:rsidR="00B95188" w:rsidRPr="00A428C3" w:rsidRDefault="00B95188" w:rsidP="00B72EF9">
      <w:pPr>
        <w:pStyle w:val="12"/>
      </w:pPr>
      <w:r w:rsidRPr="00A428C3">
        <w:t>ISO Abbreviated Title: Interciencia</w:t>
      </w:r>
    </w:p>
    <w:p w:rsidR="00B95188" w:rsidRPr="00A428C3" w:rsidRDefault="00B95188" w:rsidP="00B72EF9">
      <w:pPr>
        <w:pStyle w:val="12"/>
      </w:pPr>
      <w:r w:rsidRPr="00A428C3">
        <w:t>JCR Abbreviated Title: Interciencia</w:t>
      </w:r>
    </w:p>
    <w:p w:rsidR="00B95188" w:rsidRPr="00A428C3" w:rsidRDefault="00B95188" w:rsidP="00B72EF9">
      <w:pPr>
        <w:pStyle w:val="12"/>
      </w:pPr>
      <w:r w:rsidRPr="00A428C3">
        <w:t>ISSN: 0378-1844</w:t>
      </w:r>
    </w:p>
    <w:p w:rsidR="00B95188" w:rsidRPr="00A428C3" w:rsidRDefault="00B95188" w:rsidP="00B72EF9">
      <w:pPr>
        <w:pStyle w:val="12"/>
      </w:pPr>
      <w:r w:rsidRPr="00A428C3">
        <w:t>Issues/Year: 6</w:t>
      </w:r>
    </w:p>
    <w:p w:rsidR="00B95188" w:rsidRPr="00A428C3" w:rsidRDefault="00FB5623" w:rsidP="00B72EF9">
      <w:pPr>
        <w:pStyle w:val="12"/>
      </w:pPr>
      <w:r>
        <w:t>Journal Country/Territory:</w:t>
      </w:r>
      <w:r w:rsidR="00B95188" w:rsidRPr="00A428C3">
        <w:t xml:space="preserve"> </w:t>
      </w:r>
      <w:smartTag w:uri="urn:schemas-microsoft-com:office:smarttags" w:element="place">
        <w:smartTag w:uri="urn:schemas-microsoft-com:office:smarttags" w:element="country-region">
          <w:r w:rsidR="00B95188" w:rsidRPr="00A428C3">
            <w:t>Venezuela</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Interciencia</w:t>
      </w:r>
    </w:p>
    <w:p w:rsidR="00B95188" w:rsidRPr="00A428C3" w:rsidRDefault="00B95188" w:rsidP="00B72EF9">
      <w:pPr>
        <w:pStyle w:val="12"/>
      </w:pPr>
      <w:r w:rsidRPr="00A428C3">
        <w:t xml:space="preserve">Publisher Address: Apartado 51842, </w:t>
      </w:r>
      <w:smartTag w:uri="urn:schemas-microsoft-com:office:smarttags" w:element="City">
        <w:r w:rsidRPr="00A428C3">
          <w:t>Caracas</w:t>
        </w:r>
      </w:smartTag>
      <w:r w:rsidRPr="00A428C3">
        <w:t xml:space="preserve"> </w:t>
      </w:r>
      <w:smartTag w:uri="urn:schemas-microsoft-com:office:smarttags" w:element="chmetcnv">
        <w:smartTagPr>
          <w:attr w:name="TCSC" w:val="0"/>
          <w:attr w:name="NumberType" w:val="1"/>
          <w:attr w:name="Negative" w:val="False"/>
          <w:attr w:name="HasSpace" w:val="False"/>
          <w:attr w:name="SourceValue" w:val="1050"/>
          <w:attr w:name="UnitName" w:val="a"/>
        </w:smartTagPr>
        <w:r w:rsidRPr="00A428C3">
          <w:t>1050A</w:t>
        </w:r>
      </w:smartTag>
      <w:r w:rsidRPr="00A428C3">
        <w:t xml:space="preserve">, </w:t>
      </w:r>
      <w:smartTag w:uri="urn:schemas-microsoft-com:office:smarttags" w:element="place">
        <w:smartTag w:uri="urn:schemas-microsoft-com:office:smarttags" w:element="country-region">
          <w:r w:rsidRPr="00A428C3">
            <w:t>Venezuela</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Multidisciplinary Sciences: Impact Factor 0.366, 25/49 (2000); Impact Factor 0.192, / (2001)</w:t>
      </w:r>
    </w:p>
    <w:p w:rsidR="00B95188" w:rsidRPr="00A428C3" w:rsidRDefault="00B95188" w:rsidP="00B95188">
      <w:pPr>
        <w:pStyle w:val="a0"/>
      </w:pPr>
      <w:r w:rsidRPr="00A428C3">
        <w:t>? Frame, J.D. (1977), Mainstream research in Latin America</w:t>
      </w:r>
      <w:r w:rsidR="00F81221">
        <w:t xml:space="preserve"> and </w:t>
      </w:r>
      <w:r w:rsidRPr="00A428C3">
        <w:t xml:space="preserve">the Caribean. </w:t>
      </w:r>
      <w:r w:rsidRPr="00A428C3">
        <w:rPr>
          <w:i/>
          <w:iCs/>
        </w:rPr>
        <w:t>Interciencia</w:t>
      </w:r>
      <w:r w:rsidRPr="00A428C3">
        <w:t xml:space="preserve">, </w:t>
      </w:r>
      <w:r w:rsidRPr="00A428C3">
        <w:rPr>
          <w:b/>
        </w:rPr>
        <w:t>16</w:t>
      </w:r>
      <w:r w:rsidRPr="00A428C3">
        <w:t xml:space="preserve"> (2), 143-146.</w:t>
      </w:r>
    </w:p>
    <w:p w:rsidR="00B95188" w:rsidRPr="00A428C3" w:rsidRDefault="00B95188" w:rsidP="00B95188">
      <w:pPr>
        <w:pStyle w:val="a0"/>
      </w:pPr>
      <w:r w:rsidRPr="00A428C3">
        <w:t xml:space="preserve">? Vessuri, H.M.C. (1991), Recent perspectives in the social study of science. </w:t>
      </w:r>
      <w:r w:rsidRPr="00A428C3">
        <w:rPr>
          <w:i/>
          <w:iCs/>
        </w:rPr>
        <w:t>Interciencia</w:t>
      </w:r>
      <w:r w:rsidRPr="00A428C3">
        <w:t xml:space="preserve">, </w:t>
      </w:r>
      <w:r w:rsidRPr="00A428C3">
        <w:rPr>
          <w:b/>
        </w:rPr>
        <w:t>16</w:t>
      </w:r>
      <w:r w:rsidRPr="00A428C3">
        <w:t xml:space="preserve"> (2), 60-68.</w:t>
      </w:r>
    </w:p>
    <w:p w:rsidR="00B95188" w:rsidRPr="00A428C3" w:rsidRDefault="00B95188" w:rsidP="00B95188">
      <w:pPr>
        <w:pStyle w:val="a0"/>
      </w:pPr>
      <w:r w:rsidRPr="00A428C3">
        <w:t>Abstract: The 1970s were characterized by an anti-Mertonian bend, the post-Kuhnian re-establishment of the linkages between sociology of science</w:t>
      </w:r>
      <w:r w:rsidR="00F81221">
        <w:t xml:space="preserve"> and </w:t>
      </w:r>
      <w:r w:rsidRPr="00A428C3">
        <w:t>sociology of knowledge, the exposure by the ethno-methodologists of the wealth of collective manoeuvres through which objects are constructed, both in daily life as in science, the diversification of rationality according to the objects</w:t>
      </w:r>
      <w:r w:rsidR="00F81221">
        <w:t xml:space="preserve"> and </w:t>
      </w:r>
      <w:r w:rsidRPr="00A428C3">
        <w:t>circumstances to which it applies, the Habermasian enquire into the orientations of knowledge</w:t>
      </w:r>
      <w:r w:rsidR="00F81221">
        <w:t xml:space="preserve"> and </w:t>
      </w:r>
      <w:r w:rsidRPr="00A428C3">
        <w:t>the very sense of objectivity. Such intellectual climate favoured the emergence of several research lines more or less tangential with the Mertonian tradition, which sought to renew both the theory</w:t>
      </w:r>
      <w:r w:rsidR="00F81221">
        <w:t xml:space="preserve"> and </w:t>
      </w:r>
      <w:r w:rsidRPr="00A428C3">
        <w:t xml:space="preserve">practice in the sociological analysis of scientific activity. The present essay reviews some of those approaches. Among the interrogations of the intellectual agenda of sociology of science in the 80s there was that of the nature of human knowledge in general, rather than of scientific knowledge in particular. Scientific knowledge is not treated </w:t>
      </w:r>
      <w:r w:rsidR="000352E7">
        <w:t>“</w:t>
      </w:r>
      <w:r w:rsidRPr="00A428C3">
        <w:t>a priori</w:t>
      </w:r>
      <w:r w:rsidR="000352E7">
        <w:t>”</w:t>
      </w:r>
      <w:r w:rsidRPr="00A428C3">
        <w:t xml:space="preserve"> as epistemologically special. Science is perceived as sociologically interesting justly because it appears as the canonical example of knowledge and, or because it is an institution producing knowledge that is easily accessible, for it displays openly a good portion of its production processes. Direct observation of the real scientific work-place (often, although not necessarily the laboratory) allows to explore the microsociological dimension. Frequently characterized by a methodological constructivism, studies examine the processes by means of which the objects of knowledge are constituted in science. We bring out </w:t>
      </w:r>
      <w:r w:rsidRPr="00A428C3">
        <w:lastRenderedPageBreak/>
        <w:t>affinities of the recent production in the field of scientific</w:t>
      </w:r>
      <w:r w:rsidR="00F81221">
        <w:t xml:space="preserve"> and </w:t>
      </w:r>
      <w:r w:rsidRPr="00A428C3">
        <w:t>technical disciplines with the characteristic approaches of the sociologists of science, although in general the latter were more concerned with exploring the social bases of discovery, considering that the macro dimensions of disciplines made more difficult their handling. However, the new perception of scientific</w:t>
      </w:r>
      <w:r w:rsidR="00F81221">
        <w:t xml:space="preserve"> and </w:t>
      </w:r>
      <w:r w:rsidRPr="00A428C3">
        <w:t>technical disciplines as political institutions that delimit areas of academic territory, distribute privileges</w:t>
      </w:r>
      <w:r w:rsidR="00F81221">
        <w:t xml:space="preserve"> and </w:t>
      </w:r>
      <w:r w:rsidRPr="00A428C3">
        <w:t>responsibilities of expert knowledge</w:t>
      </w:r>
      <w:r w:rsidR="00F81221">
        <w:t xml:space="preserve"> and </w:t>
      </w:r>
      <w:r w:rsidRPr="00A428C3">
        <w:t>structure the claims over resources, embodied as they are in university departments, professional societies</w:t>
      </w:r>
      <w:r w:rsidR="00F81221">
        <w:t xml:space="preserve"> and </w:t>
      </w:r>
      <w:r w:rsidRPr="00A428C3">
        <w:t>informal market relations between producers</w:t>
      </w:r>
      <w:r w:rsidR="00F81221">
        <w:t xml:space="preserve"> and </w:t>
      </w:r>
      <w:r w:rsidRPr="00A428C3">
        <w:t>consumers of knowledge, allow to glimpse an eventual synthesis which may facilitate a better understanding of the dynamics of scientific advance. Aspects of scientometrics are considered as subproducts of the conceptual</w:t>
      </w:r>
      <w:r w:rsidR="00F81221">
        <w:t xml:space="preserve"> and </w:t>
      </w:r>
      <w:r w:rsidRPr="00A428C3">
        <w:t>empirical development of sociology of science. In particular, we touch on problems of good for whom? with regard to science indicators</w:t>
      </w:r>
      <w:r w:rsidR="00F81221">
        <w:t xml:space="preserve"> and </w:t>
      </w:r>
      <w:r w:rsidRPr="00A428C3">
        <w:t>of the under-representation of scientific activity of the developing countries in current scientometrics. The work ends with some reflections upon the perspectives of research for the future.</w:t>
      </w:r>
    </w:p>
    <w:p w:rsidR="00B95188" w:rsidRPr="00A428C3" w:rsidRDefault="00B95188" w:rsidP="00B95188">
      <w:pPr>
        <w:pStyle w:val="a0"/>
      </w:pPr>
      <w:r w:rsidRPr="00A428C3">
        <w:t>Keywords: Countries, Discovery, History, Indicators, Knowledge, Professional, Research, Reviews, Science, Scientometrics, Sociology, Sociology of Knowledge, Sociology of Science, State, University</w:t>
      </w:r>
    </w:p>
    <w:p w:rsidR="00B95188" w:rsidRPr="00A428C3" w:rsidRDefault="00B95188" w:rsidP="00B95188">
      <w:pPr>
        <w:pStyle w:val="a0"/>
      </w:pPr>
      <w:r w:rsidRPr="00A428C3">
        <w:t>? Demeis, L., Machado, R.D.P., Fonseca, L., Lustosa, P.</w:t>
      </w:r>
      <w:r w:rsidR="00F81221">
        <w:t xml:space="preserve"> and </w:t>
      </w:r>
      <w:r w:rsidRPr="00A428C3">
        <w:t>Caldeira, M.T. (1992), Scientometrics</w:t>
      </w:r>
      <w:r w:rsidR="00F81221">
        <w:t xml:space="preserve"> and </w:t>
      </w:r>
      <w:r w:rsidRPr="00A428C3">
        <w:t xml:space="preserve">peer evaluation. </w:t>
      </w:r>
      <w:r w:rsidRPr="00A428C3">
        <w:rPr>
          <w:i/>
          <w:iCs/>
        </w:rPr>
        <w:t>Interciencia</w:t>
      </w:r>
      <w:r w:rsidRPr="00A428C3">
        <w:t xml:space="preserve">, </w:t>
      </w:r>
      <w:r w:rsidRPr="00A428C3">
        <w:rPr>
          <w:b/>
        </w:rPr>
        <w:t>17</w:t>
      </w:r>
      <w:r w:rsidRPr="00A428C3">
        <w:t xml:space="preserve"> (1), 40-43.</w:t>
      </w:r>
    </w:p>
    <w:p w:rsidR="004236A0" w:rsidRDefault="004236A0" w:rsidP="004236A0">
      <w:pPr>
        <w:pStyle w:val="a0"/>
      </w:pPr>
      <w:r>
        <w:t>Full Text: 1992\Interciencia17, 40.pdf</w:t>
      </w:r>
    </w:p>
    <w:p w:rsidR="00B95188" w:rsidRPr="00A428C3" w:rsidRDefault="00B95188" w:rsidP="00B95188">
      <w:pPr>
        <w:pStyle w:val="a0"/>
      </w:pPr>
      <w:r w:rsidRPr="00A428C3">
        <w:t>Abstract: This work describes a correlation between scientometric data</w:t>
      </w:r>
      <w:r w:rsidR="00F81221">
        <w:t xml:space="preserve"> and </w:t>
      </w:r>
      <w:r w:rsidRPr="00A428C3">
        <w:t>peer ranking carried out among 40 Brazilian researchers responsible for 54% of all papers published by Brazilians in the fields of biochemistry</w:t>
      </w:r>
      <w:r w:rsidR="00F81221">
        <w:t xml:space="preserve"> and </w:t>
      </w:r>
      <w:r w:rsidRPr="00A428C3">
        <w:t>molecular biology, in the last ten years. Scientists were rated by their peers on a four-point scale being four the highest level. Evaluation was based on formal</w:t>
      </w:r>
      <w:r w:rsidR="00F81221">
        <w:t xml:space="preserve"> and </w:t>
      </w:r>
      <w:r w:rsidRPr="00A428C3">
        <w:t>informal professional contacts over a number of years, within the scientific community. Scores awarded independently by the 19 raters showed remarkable agreement even for self-evaluation,</w:t>
      </w:r>
      <w:r w:rsidR="00F81221">
        <w:t xml:space="preserve"> and </w:t>
      </w:r>
      <w:r w:rsidRPr="00A428C3">
        <w:t>there was evidence of a strong sense of hierarchy. There was also a great correlation between this ranking</w:t>
      </w:r>
      <w:r w:rsidR="00F81221">
        <w:t xml:space="preserve"> and </w:t>
      </w:r>
      <w:r w:rsidRPr="00A428C3">
        <w:t>scientometric data (number of publications, citations</w:t>
      </w:r>
      <w:r w:rsidR="00F81221">
        <w:t xml:space="preserve"> and </w:t>
      </w:r>
      <w:r w:rsidRPr="00A428C3">
        <w:t>total impact factor). From these results, some tentative conclusions can be drawn about talent</w:t>
      </w:r>
      <w:r w:rsidR="00F81221">
        <w:t xml:space="preserve"> and </w:t>
      </w:r>
      <w:r w:rsidRPr="00A428C3">
        <w:t>revolutionary thinking in scientific research. Scientometric data are proposed as a complementary tool for scientific evaluation.</w:t>
      </w:r>
    </w:p>
    <w:p w:rsidR="00B95188" w:rsidRPr="00A428C3" w:rsidRDefault="00B95188" w:rsidP="00B95188">
      <w:pPr>
        <w:pStyle w:val="a0"/>
      </w:pPr>
      <w:r w:rsidRPr="00A428C3">
        <w:t>Keywords: Biology, Citations, Evaluation, Impact, Impact Factor, Impact-Factor, Molecular Biology, Papers, Professional, Publications, Research, Researchers, Science, Scientific Evaluation</w:t>
      </w:r>
    </w:p>
    <w:p w:rsidR="00B95188" w:rsidRPr="00A428C3" w:rsidRDefault="00B95188" w:rsidP="00B95188">
      <w:pPr>
        <w:pStyle w:val="a0"/>
      </w:pPr>
      <w:r w:rsidRPr="00A428C3">
        <w:t>? Fernandez, M.T., Gomez, I.</w:t>
      </w:r>
      <w:r w:rsidR="00F81221">
        <w:t xml:space="preserve"> and </w:t>
      </w:r>
      <w:r w:rsidRPr="00A428C3">
        <w:t xml:space="preserve">Sebastian, J. (1998), Scientific cooperation of Latin </w:t>
      </w:r>
      <w:r w:rsidRPr="00A428C3">
        <w:lastRenderedPageBreak/>
        <w:t xml:space="preserve">American countries through bibliometrics indicators. </w:t>
      </w:r>
      <w:r w:rsidRPr="00A428C3">
        <w:rPr>
          <w:i/>
          <w:iCs/>
        </w:rPr>
        <w:t>Interciencia</w:t>
      </w:r>
      <w:r w:rsidRPr="00A428C3">
        <w:t xml:space="preserve">, </w:t>
      </w:r>
      <w:r w:rsidRPr="00A428C3">
        <w:rPr>
          <w:b/>
        </w:rPr>
        <w:t>23</w:t>
      </w:r>
      <w:r w:rsidRPr="00A428C3">
        <w:t xml:space="preserve"> (6), 328-</w:t>
      </w:r>
      <w:r w:rsidR="004236A0">
        <w:rPr>
          <w:rFonts w:hint="eastAsia"/>
        </w:rPr>
        <w:t>337</w:t>
      </w:r>
      <w:r w:rsidRPr="00A428C3">
        <w:t>.</w:t>
      </w:r>
    </w:p>
    <w:p w:rsidR="004236A0" w:rsidRDefault="004236A0" w:rsidP="004236A0">
      <w:pPr>
        <w:pStyle w:val="a0"/>
      </w:pPr>
      <w:r>
        <w:t xml:space="preserve">Full Text: </w:t>
      </w:r>
      <w:hyperlink r:id="rId1536" w:history="1">
        <w:r>
          <w:rPr>
            <w:rStyle w:val="a5"/>
          </w:rPr>
          <w:t>1998\Interciencia23, 328.pdf</w:t>
        </w:r>
      </w:hyperlink>
    </w:p>
    <w:p w:rsidR="00B95188" w:rsidRPr="00A428C3" w:rsidRDefault="00B95188" w:rsidP="00B95188">
      <w:pPr>
        <w:pStyle w:val="a0"/>
      </w:pPr>
      <w:r w:rsidRPr="00A428C3">
        <w:t>Abstract: The international scientific cooperation between Latin American countries, the European Union</w:t>
      </w:r>
      <w:r w:rsidR="00F81221">
        <w:t xml:space="preserve"> and </w:t>
      </w:r>
      <w:r w:rsidRPr="00A428C3">
        <w:t xml:space="preserve">the </w:t>
      </w:r>
      <w:smartTag w:uri="urn:schemas-microsoft-com:office:smarttags" w:element="place">
        <w:smartTag w:uri="urn:schemas-microsoft-com:office:smarttags" w:element="country-region">
          <w:r w:rsidRPr="00A428C3">
            <w:t>United States</w:t>
          </w:r>
        </w:smartTag>
      </w:smartTag>
      <w:r w:rsidRPr="00A428C3">
        <w:t xml:space="preserve"> have been studied through their publications in the Science Citation Index. A total of 17,473 documents coauthored between 1991-95 has been analysed. Bibliometric indicators were used to identify the collaboration patterns of each Latin American country, productivity, principal subject of the cooperation</w:t>
      </w:r>
      <w:r w:rsidR="00F81221">
        <w:t xml:space="preserve"> and </w:t>
      </w:r>
      <w:r w:rsidRPr="00A428C3">
        <w:t xml:space="preserve">partners. As a whole, coauthored papers amount to 32% of mainstream scientific articles of </w:t>
      </w:r>
      <w:smartTag w:uri="urn:schemas-microsoft-com:office:smarttags" w:element="place">
        <w:r w:rsidRPr="00A428C3">
          <w:t>Latin America</w:t>
        </w:r>
      </w:smartTag>
      <w:r w:rsidRPr="00A428C3">
        <w:t xml:space="preserve"> although a great heterogeneity can be observed. </w:t>
      </w:r>
      <w:smartTag w:uri="urn:schemas-microsoft-com:office:smarttags" w:element="country-region">
        <w:r w:rsidRPr="00A428C3">
          <w:t>Brazil</w:t>
        </w:r>
      </w:smartTag>
      <w:r w:rsidRPr="00A428C3">
        <w:t xml:space="preserve">, </w:t>
      </w:r>
      <w:smartTag w:uri="urn:schemas-microsoft-com:office:smarttags" w:element="country-region">
        <w:r w:rsidRPr="00A428C3">
          <w:t>Argentina</w:t>
        </w:r>
      </w:smartTag>
      <w:r w:rsidRPr="00A428C3">
        <w:t xml:space="preserve">, </w:t>
      </w:r>
      <w:smartTag w:uri="urn:schemas-microsoft-com:office:smarttags" w:element="country-region">
        <w:r w:rsidRPr="00A428C3">
          <w:t>Mexico</w:t>
        </w:r>
      </w:smartTag>
      <w:r w:rsidRPr="00A428C3">
        <w:t xml:space="preserve">, </w:t>
      </w:r>
      <w:smartTag w:uri="urn:schemas-microsoft-com:office:smarttags" w:element="country-region">
        <w:r w:rsidRPr="00A428C3">
          <w:t>Chile</w:t>
        </w:r>
      </w:smartTag>
      <w:r w:rsidRPr="00A428C3">
        <w:t>, Venezuela</w:t>
      </w:r>
      <w:r w:rsidR="00F81221">
        <w:t xml:space="preserve"> and </w:t>
      </w:r>
      <w:r w:rsidRPr="00A428C3">
        <w:t>Colombia account for more than 95% of the copublished articles. Around 44% of the copublications have been with USA</w:t>
      </w:r>
      <w:r w:rsidR="00F81221">
        <w:t xml:space="preserve"> and </w:t>
      </w:r>
      <w:r w:rsidRPr="00A428C3">
        <w:t>another 44% with EU, while copublications among Latin American countries represent 5,4%</w:t>
      </w:r>
      <w:r w:rsidR="00F81221">
        <w:t xml:space="preserve"> and </w:t>
      </w:r>
      <w:r w:rsidRPr="00A428C3">
        <w:t>6,6% joint publications with the three regions. The most frequent case was the coauthorship between two countries (15,298 documents). Collaborative papers have grown along the period studied, particularly multilateral collaborations. Physics, including Astrophysics, Biomedicine, Clinical Medicine</w:t>
      </w:r>
      <w:r w:rsidR="00F81221">
        <w:t xml:space="preserve"> and </w:t>
      </w:r>
      <w:r w:rsidRPr="00A428C3">
        <w:t>Agriculture were the fields that present higher collboration rates.</w:t>
      </w:r>
    </w:p>
    <w:p w:rsidR="00B95188" w:rsidRPr="00A428C3" w:rsidRDefault="00B95188" w:rsidP="00B95188">
      <w:pPr>
        <w:pStyle w:val="a0"/>
      </w:pPr>
      <w:r w:rsidRPr="00A428C3">
        <w:t>Keywords: Bibliometrics, Collaboration, Countries, European Union, Impact, Indicators, International Collaboration, Latin America, Mexico, Papers, Patterns, Productivity, Publications, Scientific Cooperation, United States, World Science</w:t>
      </w:r>
    </w:p>
    <w:p w:rsidR="00B95188" w:rsidRPr="00A428C3" w:rsidRDefault="00B95188" w:rsidP="00B95188">
      <w:pPr>
        <w:pStyle w:val="a0"/>
      </w:pPr>
      <w:r w:rsidRPr="00A428C3">
        <w:t>? Martin-Sempere, M.J., Rey, J.</w:t>
      </w:r>
      <w:r w:rsidR="00F81221">
        <w:t xml:space="preserve"> and </w:t>
      </w:r>
      <w:r w:rsidRPr="00A428C3">
        <w:t>Plaza, L.M. (1999), Temporary mobility of scientists</w:t>
      </w:r>
      <w:r w:rsidR="00F81221">
        <w:t xml:space="preserve"> and </w:t>
      </w:r>
      <w:r w:rsidRPr="00A428C3">
        <w:t xml:space="preserve">international cooperation sabbatics from Latin America in </w:t>
      </w:r>
      <w:smartTag w:uri="urn:schemas-microsoft-com:office:smarttags" w:element="place">
        <w:smartTag w:uri="urn:schemas-microsoft-com:office:smarttags" w:element="country-region">
          <w:r w:rsidRPr="00A428C3">
            <w:t>Spain</w:t>
          </w:r>
        </w:smartTag>
      </w:smartTag>
      <w:r w:rsidRPr="00A428C3">
        <w:t xml:space="preserve">. </w:t>
      </w:r>
      <w:r w:rsidRPr="00A428C3">
        <w:rPr>
          <w:i/>
          <w:iCs/>
        </w:rPr>
        <w:t>Interciencia</w:t>
      </w:r>
      <w:r w:rsidRPr="00A428C3">
        <w:t xml:space="preserve">, </w:t>
      </w:r>
      <w:r w:rsidRPr="00A428C3">
        <w:rPr>
          <w:b/>
        </w:rPr>
        <w:t>24</w:t>
      </w:r>
      <w:r w:rsidRPr="00A428C3">
        <w:t xml:space="preserve"> (2), 107-</w:t>
      </w:r>
      <w:r w:rsidR="004236A0">
        <w:rPr>
          <w:rFonts w:hint="eastAsia"/>
        </w:rPr>
        <w:t>111</w:t>
      </w:r>
      <w:r w:rsidRPr="00A428C3">
        <w:t>.</w:t>
      </w:r>
    </w:p>
    <w:p w:rsidR="004236A0" w:rsidRDefault="004236A0" w:rsidP="004236A0">
      <w:pPr>
        <w:pStyle w:val="a0"/>
      </w:pPr>
      <w:r>
        <w:t xml:space="preserve">Full Text: </w:t>
      </w:r>
      <w:hyperlink r:id="rId1537" w:history="1">
        <w:r w:rsidRPr="004236A0">
          <w:rPr>
            <w:rStyle w:val="a5"/>
          </w:rPr>
          <w:t>1999\Interciencia24, 107.pdf</w:t>
        </w:r>
      </w:hyperlink>
    </w:p>
    <w:p w:rsidR="00B95188" w:rsidRPr="00A428C3" w:rsidRDefault="00B95188" w:rsidP="00B95188">
      <w:pPr>
        <w:pStyle w:val="a0"/>
      </w:pPr>
      <w:r w:rsidRPr="00A428C3">
        <w:t>Abstract: The scientific relationships between Latin American countries</w:t>
      </w:r>
      <w:r w:rsidR="00F81221">
        <w:t xml:space="preserve"> and </w:t>
      </w:r>
      <w:r w:rsidRPr="00A428C3">
        <w:t xml:space="preserve">Spain have been analyzed. The study considers two main topics: the stay of Latinoamerican fellows in </w:t>
      </w:r>
      <w:smartTag w:uri="urn:schemas-microsoft-com:office:smarttags" w:element="place">
        <w:smartTag w:uri="urn:schemas-microsoft-com:office:smarttags" w:element="country-region">
          <w:r w:rsidRPr="00A428C3">
            <w:t>Spain</w:t>
          </w:r>
        </w:smartTag>
      </w:smartTag>
      <w:r w:rsidRPr="00A428C3">
        <w:t xml:space="preserve"> granted by the Spanish sabbatical Program within the framework of the R&amp;D National Plan</w:t>
      </w:r>
      <w:r w:rsidR="00F81221">
        <w:t xml:space="preserve"> and </w:t>
      </w:r>
      <w:r w:rsidRPr="00A428C3">
        <w:t>their coauthored papers with Spanish scientists during the period 1984-1994. The number of Latin American sabbatics</w:t>
      </w:r>
      <w:r w:rsidR="00F81221">
        <w:t xml:space="preserve"> and </w:t>
      </w:r>
      <w:r w:rsidRPr="00A428C3">
        <w:t>the scientific output resulting from their research collaboration with Spanish scientists have been considered in older to evaluate to what extent the mentioned Spanish Program is visible in Latin American countries as well as its effectiveness in terms of scientific output resulting from joint research. As a whole, fellows from Latin American countries are growing along the nineties. A slightly higher number of researchers coming from Argentina</w:t>
      </w:r>
      <w:r w:rsidR="00F81221">
        <w:t xml:space="preserve"> and </w:t>
      </w:r>
      <w:r w:rsidRPr="00A428C3">
        <w:t>Mexico can be observed. Special attention has been paid to the analysis of copublications. Bibliometric indicators were used to identify collaboration between Latin American researchers</w:t>
      </w:r>
      <w:r w:rsidR="00F81221">
        <w:t xml:space="preserve"> and </w:t>
      </w:r>
      <w:r w:rsidRPr="00A428C3">
        <w:t>their Spanish colleagues</w:t>
      </w:r>
      <w:r w:rsidR="00F81221">
        <w:t xml:space="preserve"> and </w:t>
      </w:r>
      <w:r w:rsidRPr="00A428C3">
        <w:t xml:space="preserve">their continuity of cooperative works after the stays. Results from the study reveal </w:t>
      </w:r>
      <w:r w:rsidRPr="00A428C3">
        <w:lastRenderedPageBreak/>
        <w:t>that such mobility actions indices an enhancement of the bilateral scientific relations between Spain</w:t>
      </w:r>
      <w:r w:rsidR="00F81221">
        <w:t xml:space="preserve"> and </w:t>
      </w:r>
      <w:r w:rsidRPr="00A428C3">
        <w:t>Latin America.</w:t>
      </w:r>
    </w:p>
    <w:p w:rsidR="00B95188" w:rsidRPr="00A428C3" w:rsidRDefault="00B95188" w:rsidP="00B95188">
      <w:pPr>
        <w:pStyle w:val="a0"/>
      </w:pPr>
      <w:r w:rsidRPr="00A428C3">
        <w:t xml:space="preserve">Keywords: Collaboration, Countries, Indicators, International Cooperation, </w:t>
      </w:r>
      <w:smartTag w:uri="urn:schemas-microsoft-com:office:smarttags" w:element="country-region">
        <w:r w:rsidRPr="00A428C3">
          <w:t>Mexico</w:t>
        </w:r>
      </w:smartTag>
      <w:r w:rsidRPr="00A428C3">
        <w:t xml:space="preserve">, Performance, R&amp;D, Research, Research Collaboration, Researchers, Scientific </w:t>
      </w:r>
      <w:smartTag w:uri="urn:schemas-microsoft-com:office:smarttags" w:element="place">
        <w:smartTag w:uri="urn:schemas-microsoft-com:office:smarttags" w:element="City">
          <w:r w:rsidRPr="00A428C3">
            <w:t>Output</w:t>
          </w:r>
        </w:smartTag>
        <w:r w:rsidRPr="00A428C3">
          <w:t xml:space="preserve">, </w:t>
        </w:r>
        <w:smartTag w:uri="urn:schemas-microsoft-com:office:smarttags" w:element="country-region">
          <w:r w:rsidRPr="00A428C3">
            <w:t>Spain</w:t>
          </w:r>
        </w:smartTag>
      </w:smartTag>
      <w:r w:rsidRPr="00A428C3">
        <w:t>, Spanish</w:t>
      </w:r>
    </w:p>
    <w:p w:rsidR="00B95188" w:rsidRPr="00A428C3" w:rsidRDefault="00B95188" w:rsidP="00B95188">
      <w:pPr>
        <w:pStyle w:val="a0"/>
      </w:pPr>
      <w:r w:rsidRPr="00A428C3">
        <w:t>? Niaz, M. (2000), Investigation</w:t>
      </w:r>
      <w:r w:rsidR="00F81221">
        <w:t xml:space="preserve"> and </w:t>
      </w:r>
      <w:r w:rsidRPr="00A428C3">
        <w:t xml:space="preserve">the wealth of a nation. </w:t>
      </w:r>
      <w:r w:rsidRPr="00A428C3">
        <w:rPr>
          <w:i/>
          <w:iCs/>
        </w:rPr>
        <w:t>Interciencia</w:t>
      </w:r>
      <w:r w:rsidRPr="00A428C3">
        <w:t xml:space="preserve">, </w:t>
      </w:r>
      <w:r w:rsidRPr="00A428C3">
        <w:rPr>
          <w:b/>
        </w:rPr>
        <w:t>25</w:t>
      </w:r>
      <w:r w:rsidRPr="00A428C3">
        <w:t xml:space="preserve"> (1), 37-40.</w:t>
      </w:r>
    </w:p>
    <w:p w:rsidR="00053358" w:rsidRDefault="00053358" w:rsidP="00053358">
      <w:pPr>
        <w:pStyle w:val="a0"/>
      </w:pPr>
      <w:r>
        <w:t xml:space="preserve">Full Text: </w:t>
      </w:r>
      <w:hyperlink r:id="rId1538" w:history="1">
        <w:r w:rsidRPr="00053358">
          <w:rPr>
            <w:rStyle w:val="a5"/>
          </w:rPr>
          <w:t>200</w:t>
        </w:r>
        <w:r w:rsidRPr="00053358">
          <w:rPr>
            <w:rStyle w:val="a5"/>
            <w:rFonts w:hint="eastAsia"/>
          </w:rPr>
          <w:t>0</w:t>
        </w:r>
        <w:r w:rsidRPr="00053358">
          <w:rPr>
            <w:rStyle w:val="a5"/>
          </w:rPr>
          <w:t>\Interciencia</w:t>
        </w:r>
        <w:r w:rsidRPr="00053358">
          <w:rPr>
            <w:rStyle w:val="a5"/>
            <w:rFonts w:hint="eastAsia"/>
          </w:rPr>
          <w:t>25</w:t>
        </w:r>
        <w:r w:rsidRPr="00053358">
          <w:rPr>
            <w:rStyle w:val="a5"/>
          </w:rPr>
          <w:t xml:space="preserve">, </w:t>
        </w:r>
        <w:r w:rsidRPr="00053358">
          <w:rPr>
            <w:rStyle w:val="a5"/>
            <w:rFonts w:hint="eastAsia"/>
          </w:rPr>
          <w:t>37</w:t>
        </w:r>
        <w:r w:rsidRPr="00053358">
          <w:rPr>
            <w:rStyle w:val="a5"/>
          </w:rPr>
          <w:t>.pdf</w:t>
        </w:r>
      </w:hyperlink>
    </w:p>
    <w:p w:rsidR="00B95188" w:rsidRPr="00A428C3" w:rsidRDefault="00B95188" w:rsidP="00B95188">
      <w:pPr>
        <w:pStyle w:val="a0"/>
      </w:pPr>
      <w:r w:rsidRPr="00A428C3">
        <w:t>Abstract: The object of this study is to demonstrate the importance for university professors of publishing in peer reviewed journals that are indexed in Science Citation Index. The role of such publications is emphasized in economic development</w:t>
      </w:r>
      <w:r w:rsidR="00F81221">
        <w:t xml:space="preserve"> and </w:t>
      </w:r>
      <w:r w:rsidRPr="00A428C3">
        <w:t>generation of the wealth of a nation. It is important that the investigator has the liberty to choose between applied or basic research. It is concluded that the evaluation of university professors must include sufficient incentives for research.</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country-region">
          <w:r w:rsidRPr="00A428C3">
            <w:t>Venezuela</w:t>
          </w:r>
        </w:smartTag>
      </w:smartTag>
      <w:r w:rsidRPr="00A428C3">
        <w:t>, Productivity, Promotion, Program</w:t>
      </w:r>
    </w:p>
    <w:p w:rsidR="00B95188" w:rsidRPr="00A428C3" w:rsidRDefault="00B95188" w:rsidP="00B95188">
      <w:pPr>
        <w:pStyle w:val="a0"/>
      </w:pPr>
      <w:r w:rsidRPr="00A428C3">
        <w:t>? Collazo-Reyes, F.</w:t>
      </w:r>
      <w:r w:rsidR="00F81221">
        <w:t xml:space="preserve"> and </w:t>
      </w:r>
      <w:r w:rsidRPr="00A428C3">
        <w:t>Luna-Morales, M.E. (2002), Mexican elementary particle physics: Organization, scientific production</w:t>
      </w:r>
      <w:r w:rsidR="00F81221">
        <w:t xml:space="preserve"> and </w:t>
      </w:r>
      <w:r w:rsidRPr="00A428C3">
        <w:t xml:space="preserve">growth. </w:t>
      </w:r>
      <w:r w:rsidRPr="00A428C3">
        <w:rPr>
          <w:i/>
          <w:iCs/>
        </w:rPr>
        <w:t>Interciencia</w:t>
      </w:r>
      <w:r w:rsidRPr="00A428C3">
        <w:t xml:space="preserve">, </w:t>
      </w:r>
      <w:r w:rsidRPr="00A428C3">
        <w:rPr>
          <w:b/>
        </w:rPr>
        <w:t>27</w:t>
      </w:r>
      <w:r w:rsidRPr="00A428C3">
        <w:t xml:space="preserve"> (7), 347-</w:t>
      </w:r>
      <w:r w:rsidR="004236A0">
        <w:rPr>
          <w:rFonts w:hint="eastAsia"/>
        </w:rPr>
        <w:t>353</w:t>
      </w:r>
      <w:r w:rsidRPr="00A428C3">
        <w:t>.</w:t>
      </w:r>
    </w:p>
    <w:p w:rsidR="00D777EF" w:rsidRPr="001A3D2B" w:rsidRDefault="00D777EF" w:rsidP="00D777EF">
      <w:pPr>
        <w:pStyle w:val="a0"/>
      </w:pPr>
      <w:r>
        <w:rPr>
          <w:rFonts w:hint="eastAsia"/>
        </w:rPr>
        <w:t xml:space="preserve">Full Text: </w:t>
      </w:r>
      <w:hyperlink r:id="rId1539" w:history="1">
        <w:r w:rsidRPr="00D777EF">
          <w:rPr>
            <w:rStyle w:val="a5"/>
          </w:rPr>
          <w:t>2002\Interciencia27, 347.pdf</w:t>
        </w:r>
      </w:hyperlink>
    </w:p>
    <w:p w:rsidR="00B95188" w:rsidRPr="00A428C3" w:rsidRDefault="00B95188" w:rsidP="00B95188">
      <w:pPr>
        <w:pStyle w:val="a0"/>
      </w:pPr>
      <w:r w:rsidRPr="00A428C3">
        <w:t>Abstract: A bibliometric analysis of the contribution to fields</w:t>
      </w:r>
      <w:r w:rsidR="00F81221">
        <w:t xml:space="preserve"> and </w:t>
      </w:r>
      <w:r w:rsidRPr="00A428C3">
        <w:t>elementary particles physics by Mexican institutions is performed, using the SLAC-SPIRES-HEP database for the period 1971-2000. The analysis elaborates on aspects concerning their organization, production</w:t>
      </w:r>
      <w:r w:rsidR="00F81221">
        <w:t xml:space="preserve"> and </w:t>
      </w:r>
      <w:r w:rsidRPr="00A428C3">
        <w:t>growth, through the identification of the institutions with research programs connected to this area, their stratification by production levels, periods of contribution</w:t>
      </w:r>
      <w:r w:rsidR="00F81221">
        <w:t xml:space="preserve"> and </w:t>
      </w:r>
      <w:r w:rsidRPr="00A428C3">
        <w:t>geographic organization. Central tendency measures of published papers are analyzed. The growth</w:t>
      </w:r>
      <w:r w:rsidR="00F81221">
        <w:t xml:space="preserve"> and </w:t>
      </w:r>
      <w:r w:rsidRPr="00A428C3">
        <w:t>future evolution were analyzed by polynomial</w:t>
      </w:r>
      <w:r w:rsidR="00F81221">
        <w:t xml:space="preserve"> and </w:t>
      </w:r>
      <w:r w:rsidRPr="00A428C3">
        <w:t>exponential curve-fitting</w:t>
      </w:r>
      <w:r w:rsidR="00F81221">
        <w:t xml:space="preserve"> and </w:t>
      </w:r>
      <w:r w:rsidRPr="00A428C3">
        <w:t>correlation proofs, as was the stratified growth per decade, institutions</w:t>
      </w:r>
      <w:r w:rsidR="00F81221">
        <w:t xml:space="preserve"> and </w:t>
      </w:r>
      <w:r w:rsidRPr="00A428C3">
        <w:t>research groups.</w:t>
      </w:r>
    </w:p>
    <w:p w:rsidR="00B95188" w:rsidRPr="00A428C3" w:rsidRDefault="00B95188" w:rsidP="00B95188">
      <w:pPr>
        <w:pStyle w:val="a0"/>
      </w:pPr>
      <w:r w:rsidRPr="00A428C3">
        <w:t>Keywords: Bibliometric, Bibliometric Analysis, Cern, Contribution, Evolution, Future-Prospects, High-Energy Physics, Past Performance, Research, Scientific Production</w:t>
      </w:r>
    </w:p>
    <w:p w:rsidR="00B95188" w:rsidRPr="00A428C3" w:rsidRDefault="00B95188" w:rsidP="00B95188">
      <w:pPr>
        <w:pStyle w:val="a0"/>
      </w:pPr>
      <w:r w:rsidRPr="00A428C3">
        <w:t>? Jaffe, K. (2005), Science, religion</w:t>
      </w:r>
      <w:r w:rsidR="00F81221">
        <w:t xml:space="preserve"> and </w:t>
      </w:r>
      <w:r w:rsidRPr="00A428C3">
        <w:t xml:space="preserve">economic development. </w:t>
      </w:r>
      <w:r w:rsidRPr="00A428C3">
        <w:rPr>
          <w:i/>
          <w:iCs/>
        </w:rPr>
        <w:t>Interciencia</w:t>
      </w:r>
      <w:r w:rsidRPr="00A428C3">
        <w:t xml:space="preserve">, </w:t>
      </w:r>
      <w:r w:rsidRPr="00A428C3">
        <w:rPr>
          <w:b/>
        </w:rPr>
        <w:t>30</w:t>
      </w:r>
      <w:r w:rsidRPr="00A428C3">
        <w:t xml:space="preserve"> (6), 370-373.</w:t>
      </w:r>
    </w:p>
    <w:p w:rsidR="00D777EF" w:rsidRPr="001A3D2B" w:rsidRDefault="00D777EF" w:rsidP="00D777EF">
      <w:pPr>
        <w:pStyle w:val="a0"/>
      </w:pPr>
      <w:r>
        <w:rPr>
          <w:rFonts w:hint="eastAsia"/>
        </w:rPr>
        <w:t xml:space="preserve">Full Text: </w:t>
      </w:r>
      <w:hyperlink r:id="rId1540" w:history="1">
        <w:r w:rsidRPr="00BD64B9">
          <w:rPr>
            <w:rStyle w:val="a5"/>
          </w:rPr>
          <w:t>2005\Interciencia30, 370.pdf</w:t>
        </w:r>
      </w:hyperlink>
    </w:p>
    <w:p w:rsidR="00B95188" w:rsidRPr="00A428C3" w:rsidRDefault="00B95188" w:rsidP="00B95188">
      <w:pPr>
        <w:pStyle w:val="a0"/>
      </w:pPr>
      <w:r w:rsidRPr="00A428C3">
        <w:t>Abstract: The correlations between scientometric indices, macroeconomic variables</w:t>
      </w:r>
      <w:r w:rsidR="00F81221">
        <w:t xml:space="preserve"> and </w:t>
      </w:r>
      <w:r w:rsidRPr="00A428C3">
        <w:t>results from attitude polls in different countries were explored. The results show that a minimum threshold of economic development (around GDP Per capita of 1000US$) is required for science</w:t>
      </w:r>
      <w:r w:rsidR="00F81221">
        <w:t xml:space="preserve"> and </w:t>
      </w:r>
      <w:r w:rsidRPr="00A428C3">
        <w:t xml:space="preserve">the economy of a country to interact. Above that threshold, a Positive interaction can be observed between economic development. scientific </w:t>
      </w:r>
      <w:r w:rsidRPr="00A428C3">
        <w:lastRenderedPageBreak/>
        <w:t>development</w:t>
      </w:r>
      <w:r w:rsidR="00F81221">
        <w:t xml:space="preserve"> and </w:t>
      </w:r>
      <w:r w:rsidRPr="00A428C3">
        <w:t>tolerant moral-religions attitudes. The way these interactions occur remains to be uncovered.</w:t>
      </w:r>
    </w:p>
    <w:p w:rsidR="00B95188" w:rsidRPr="00A428C3" w:rsidRDefault="00B95188" w:rsidP="00B95188">
      <w:pPr>
        <w:pStyle w:val="a0"/>
      </w:pPr>
      <w:r w:rsidRPr="00A428C3">
        <w:t>Keywords: Development, Economic Development, Nations, Religious Attitudes, Scientific Progress, Scientometric, Scientometries</w:t>
      </w:r>
    </w:p>
    <w:p w:rsidR="00B95188" w:rsidRPr="00A428C3" w:rsidRDefault="00B95188" w:rsidP="00B95188">
      <w:pPr>
        <w:pStyle w:val="a0"/>
      </w:pPr>
      <w:r w:rsidRPr="00A428C3">
        <w:t>? Aguillo, I.F., Granadino, B.</w:t>
      </w:r>
      <w:r w:rsidR="00F81221">
        <w:t xml:space="preserve"> and </w:t>
      </w:r>
      <w:r w:rsidRPr="00A428C3">
        <w:t xml:space="preserve">Llamas, G. (2005), Web positioning of the university system in </w:t>
      </w:r>
      <w:smartTag w:uri="urn:schemas-microsoft-com:office:smarttags" w:element="place">
        <w:r w:rsidRPr="00A428C3">
          <w:t>Latin America</w:t>
        </w:r>
      </w:smartTag>
      <w:r w:rsidRPr="00A428C3">
        <w:t xml:space="preserve">. </w:t>
      </w:r>
      <w:r w:rsidRPr="00A428C3">
        <w:rPr>
          <w:i/>
          <w:iCs/>
        </w:rPr>
        <w:t>Interciencia</w:t>
      </w:r>
      <w:r w:rsidRPr="00A428C3">
        <w:t xml:space="preserve">, </w:t>
      </w:r>
      <w:r w:rsidRPr="00A428C3">
        <w:rPr>
          <w:b/>
        </w:rPr>
        <w:t>30</w:t>
      </w:r>
      <w:r w:rsidRPr="00A428C3">
        <w:t xml:space="preserve"> (12), 735-</w:t>
      </w:r>
      <w:r w:rsidR="00053358">
        <w:rPr>
          <w:rFonts w:hint="eastAsia"/>
        </w:rPr>
        <w:t>738</w:t>
      </w:r>
      <w:r w:rsidRPr="00A428C3">
        <w:t>.</w:t>
      </w:r>
    </w:p>
    <w:p w:rsidR="00D777EF" w:rsidRPr="001A3D2B" w:rsidRDefault="00D777EF" w:rsidP="00D777EF">
      <w:pPr>
        <w:pStyle w:val="a0"/>
      </w:pPr>
      <w:r>
        <w:rPr>
          <w:rFonts w:hint="eastAsia"/>
        </w:rPr>
        <w:t xml:space="preserve">Full Text: </w:t>
      </w:r>
      <w:hyperlink r:id="rId1541" w:history="1">
        <w:r w:rsidRPr="00D777EF">
          <w:rPr>
            <w:rStyle w:val="a5"/>
          </w:rPr>
          <w:t>2005\Interciencia30, 735.pdf</w:t>
        </w:r>
      </w:hyperlink>
    </w:p>
    <w:p w:rsidR="00B95188" w:rsidRPr="00A428C3" w:rsidRDefault="00B95188" w:rsidP="00B95188">
      <w:pPr>
        <w:pStyle w:val="a0"/>
      </w:pPr>
      <w:r w:rsidRPr="00A428C3">
        <w:t>Abstract: A cybermetric analysis of the Latin-American university sector was carried out as part of a series of analysis related to the measurement of the web visibility</w:t>
      </w:r>
      <w:r w:rsidR="00F81221">
        <w:t xml:space="preserve"> and </w:t>
      </w:r>
      <w:r w:rsidRPr="00A428C3">
        <w:t>impact of R&amp;D institutions. As in previous studies, search engines were used for data extraction but focusing on obtaining ranked lists ordered by link-based algorithms. The Google PageRank was used as a visibility indicator of the Latin-American universities. The relative position of the universities in the list of web pages with higher PageRank dominance was computed both for national</w:t>
      </w:r>
      <w:r w:rsidR="00F81221">
        <w:t xml:space="preserve"> and </w:t>
      </w:r>
      <w:r w:rsidRPr="00A428C3">
        <w:t>idiomatic webspaces. The results showed an important</w:t>
      </w:r>
      <w:r w:rsidR="00F81221">
        <w:t xml:space="preserve"> and </w:t>
      </w:r>
      <w:r w:rsidRPr="00A428C3">
        <w:t>significant web presence of university pages in all Latin American countries, although there was a wide range in relative percentage. The larger</w:t>
      </w:r>
      <w:r w:rsidR="00F81221">
        <w:t xml:space="preserve"> and </w:t>
      </w:r>
      <w:r w:rsidRPr="00A428C3">
        <w:t>richer countries, with a well-structured public</w:t>
      </w:r>
      <w:r w:rsidR="00F81221">
        <w:t xml:space="preserve"> and </w:t>
      </w:r>
      <w:r w:rsidRPr="00A428C3">
        <w:t xml:space="preserve">private university system, are better represented on the web. However, small institutions, generally of private nature, are also among the most visible in countries like </w:t>
      </w:r>
      <w:smartTag w:uri="urn:schemas-microsoft-com:office:smarttags" w:element="country-region">
        <w:r w:rsidRPr="00A428C3">
          <w:t>Mexico</w:t>
        </w:r>
      </w:smartTag>
      <w:r w:rsidRPr="00A428C3">
        <w:t>, Brazil</w:t>
      </w:r>
      <w:r w:rsidR="00F81221">
        <w:t xml:space="preserve"> and </w:t>
      </w:r>
      <w:r w:rsidRPr="00A428C3">
        <w:t>Colombia. Thus, the Latin-American university sector has a great importance to vertebrate the web in the region. Moreover, the best positions are coincident with data obtained from bibliometric indicators. Brazilian universities have a large participation in the Portuguese web pages.</w:t>
      </w:r>
    </w:p>
    <w:p w:rsidR="00B95188" w:rsidRPr="00A428C3" w:rsidRDefault="00B95188" w:rsidP="00B95188">
      <w:pPr>
        <w:pStyle w:val="a0"/>
      </w:pPr>
      <w:r w:rsidRPr="00A428C3">
        <w:t>Keywords: Analysis, Bibliometric, Bibliometric Indicators, Brazil, Colombia, Extraction, Impact, Impact Factors, Importance, Indicator, Indicators, Institutions, Latin America, Measurement, Mexico, Participation, Position, Range, Universities, Visibility, Web Pages</w:t>
      </w:r>
    </w:p>
    <w:p w:rsidR="00B95188" w:rsidRPr="00A428C3" w:rsidRDefault="00B95188" w:rsidP="00B95188">
      <w:pPr>
        <w:pStyle w:val="a0"/>
      </w:pPr>
      <w:r w:rsidRPr="00A428C3">
        <w:t>? Sancho, R., Morillo, F., De Filippo, D., Gomez, I.</w:t>
      </w:r>
      <w:r w:rsidR="00F81221">
        <w:t xml:space="preserve"> and </w:t>
      </w:r>
      <w:r w:rsidRPr="00A428C3">
        <w:t xml:space="preserve">Fernandez, M.T. (2006), Indicators of inter-center scientific co-operation in Latin American countries. </w:t>
      </w:r>
      <w:r w:rsidRPr="00A428C3">
        <w:rPr>
          <w:i/>
          <w:iCs/>
        </w:rPr>
        <w:t>Interciencia</w:t>
      </w:r>
      <w:r w:rsidRPr="00A428C3">
        <w:t xml:space="preserve">, </w:t>
      </w:r>
      <w:r w:rsidRPr="00A428C3">
        <w:rPr>
          <w:b/>
        </w:rPr>
        <w:t>31</w:t>
      </w:r>
      <w:r w:rsidRPr="00A428C3">
        <w:t xml:space="preserve"> (4), 284-292.</w:t>
      </w:r>
    </w:p>
    <w:p w:rsidR="00C506D4" w:rsidRPr="001A3D2B" w:rsidRDefault="00C506D4" w:rsidP="00C506D4">
      <w:pPr>
        <w:pStyle w:val="a0"/>
      </w:pPr>
      <w:r>
        <w:rPr>
          <w:rFonts w:hint="eastAsia"/>
        </w:rPr>
        <w:t xml:space="preserve">Full Text: </w:t>
      </w:r>
      <w:hyperlink r:id="rId1542" w:history="1">
        <w:r w:rsidRPr="00D55F88">
          <w:rPr>
            <w:rStyle w:val="a5"/>
          </w:rPr>
          <w:t>2006\Interciencia31, 284.pdf</w:t>
        </w:r>
      </w:hyperlink>
    </w:p>
    <w:p w:rsidR="00B95188" w:rsidRPr="00A428C3" w:rsidRDefault="00B95188" w:rsidP="00B95188">
      <w:pPr>
        <w:pStyle w:val="a0"/>
      </w:pPr>
      <w:r w:rsidRPr="00A428C3">
        <w:t>Abstract: Indicators of scientific cooperation from 24 Latin American</w:t>
      </w:r>
      <w:r w:rsidR="00F81221">
        <w:t xml:space="preserve"> and </w:t>
      </w:r>
      <w:r w:rsidRPr="00A428C3">
        <w:t xml:space="preserve">Caribbean countries were obtained through the study of their mainstream publications signed by scientists from two or more institutions from Latin American countries, or outside </w:t>
      </w:r>
      <w:smartTag w:uri="urn:schemas-microsoft-com:office:smarttags" w:element="place">
        <w:r w:rsidRPr="00A428C3">
          <w:t>Latin America</w:t>
        </w:r>
      </w:smartTag>
      <w:r w:rsidRPr="00A428C3">
        <w:t>, during the period 1999-2002, using co-authorship bibliometric analysis. Three types of cooperation, national, regional</w:t>
      </w:r>
      <w:r w:rsidR="00F81221">
        <w:t xml:space="preserve"> and </w:t>
      </w:r>
      <w:r w:rsidRPr="00A428C3">
        <w:t>international were established, distinguishing between bilateral</w:t>
      </w:r>
      <w:r w:rsidR="00F81221">
        <w:t xml:space="preserve"> and </w:t>
      </w:r>
      <w:r w:rsidRPr="00A428C3">
        <w:t>trilateral front large scientific networks of 6 or more countries. For each country, thematic areas with the largest presence were analyzed in relation to the type of co-operation</w:t>
      </w:r>
      <w:r w:rsidR="00F81221">
        <w:t xml:space="preserve"> and </w:t>
      </w:r>
      <w:r w:rsidRPr="00A428C3">
        <w:t xml:space="preserve">size of networks. </w:t>
      </w:r>
      <w:r w:rsidRPr="00A428C3">
        <w:lastRenderedPageBreak/>
        <w:t>Cooperative research work represents 65% of the total output</w:t>
      </w:r>
      <w:r w:rsidR="00F81221">
        <w:t xml:space="preserve"> and </w:t>
      </w:r>
      <w:r w:rsidRPr="00A428C3">
        <w:t>grows each year particularly international cooperation; on the contrary, regional cooperation is very scarce. The most productive countries show a relatively lower international co-operation than that of countries with a smaller scientific production. The evolution of collaboration habits from 1991-1995 to 1999-2002 is analyzed.</w:t>
      </w:r>
    </w:p>
    <w:p w:rsidR="00B95188" w:rsidRPr="00A428C3" w:rsidRDefault="00B95188" w:rsidP="00B95188">
      <w:pPr>
        <w:pStyle w:val="a0"/>
      </w:pPr>
      <w:r w:rsidRPr="00A428C3">
        <w:t>Keywords: Analysis, Authored Papers, Bibliometric, Bibliometric Analysis, Bilateral, Caribbean, Citation, Co-Authorship, Collaboration, Evolution, Front, Impact, Institutions, Latin America, Output, Production, Publications, Regional, Research, Research Collaboration, Research Work, Scientific Networks, Scientific Production</w:t>
      </w:r>
    </w:p>
    <w:p w:rsidR="00970786" w:rsidRDefault="00970786" w:rsidP="00970786">
      <w:pPr>
        <w:pStyle w:val="a0"/>
      </w:pPr>
      <w:r w:rsidRPr="00A428C3">
        <w:t xml:space="preserve">? </w:t>
      </w:r>
      <w:r>
        <w:t>Bolivar</w:t>
      </w:r>
      <w:r>
        <w:rPr>
          <w:rFonts w:hint="eastAsia"/>
        </w:rPr>
        <w:t>,</w:t>
      </w:r>
      <w:r>
        <w:t xml:space="preserve"> R</w:t>
      </w:r>
      <w:r>
        <w:rPr>
          <w:rFonts w:hint="eastAsia"/>
        </w:rPr>
        <w:t>.,</w:t>
      </w:r>
      <w:r>
        <w:t xml:space="preserve"> Mostany</w:t>
      </w:r>
      <w:r>
        <w:rPr>
          <w:rFonts w:hint="eastAsia"/>
        </w:rPr>
        <w:t>,</w:t>
      </w:r>
      <w:r>
        <w:t xml:space="preserve"> J</w:t>
      </w:r>
      <w:r>
        <w:rPr>
          <w:rFonts w:hint="eastAsia"/>
        </w:rPr>
        <w:t>.</w:t>
      </w:r>
      <w:r w:rsidR="00F81221">
        <w:rPr>
          <w:rFonts w:hint="eastAsia"/>
        </w:rPr>
        <w:t xml:space="preserve"> and </w:t>
      </w:r>
      <w:r>
        <w:t>Garcia</w:t>
      </w:r>
      <w:r>
        <w:rPr>
          <w:rFonts w:hint="eastAsia"/>
        </w:rPr>
        <w:t>,</w:t>
      </w:r>
      <w:r>
        <w:t xml:space="preserve"> M</w:t>
      </w:r>
      <w:r>
        <w:rPr>
          <w:rFonts w:hint="eastAsia"/>
        </w:rPr>
        <w:t>.</w:t>
      </w:r>
      <w:r>
        <w:t>D</w:t>
      </w:r>
      <w:r>
        <w:rPr>
          <w:rFonts w:hint="eastAsia"/>
        </w:rPr>
        <w:t>.</w:t>
      </w:r>
      <w:r w:rsidRPr="00A428C3">
        <w:t xml:space="preserve"> (2006), </w:t>
      </w:r>
      <w:r>
        <w:t>Petroleum versus alternative energy sources. A future dilemma</w:t>
      </w:r>
      <w:r w:rsidRPr="00A428C3">
        <w:t xml:space="preserve">. </w:t>
      </w:r>
      <w:r w:rsidRPr="00A428C3">
        <w:rPr>
          <w:i/>
          <w:iCs/>
        </w:rPr>
        <w:t>Interciencia</w:t>
      </w:r>
      <w:r w:rsidRPr="00A428C3">
        <w:t xml:space="preserve">, </w:t>
      </w:r>
      <w:r w:rsidRPr="00A428C3">
        <w:rPr>
          <w:b/>
        </w:rPr>
        <w:t>31</w:t>
      </w:r>
      <w:r w:rsidRPr="00A428C3">
        <w:t xml:space="preserve"> (</w:t>
      </w:r>
      <w:r>
        <w:rPr>
          <w:rFonts w:hint="eastAsia"/>
        </w:rPr>
        <w:t>10</w:t>
      </w:r>
      <w:r w:rsidRPr="00A428C3">
        <w:t xml:space="preserve">), </w:t>
      </w:r>
      <w:r>
        <w:t>704-711</w:t>
      </w:r>
      <w:r w:rsidRPr="00A428C3">
        <w:t>.</w:t>
      </w:r>
    </w:p>
    <w:p w:rsidR="00C506D4" w:rsidRPr="001A3D2B" w:rsidRDefault="00C506D4" w:rsidP="00C506D4">
      <w:pPr>
        <w:pStyle w:val="a0"/>
      </w:pPr>
      <w:r>
        <w:rPr>
          <w:rFonts w:hint="eastAsia"/>
        </w:rPr>
        <w:t xml:space="preserve">Full Text: </w:t>
      </w:r>
      <w:hyperlink r:id="rId1543" w:history="1">
        <w:r w:rsidRPr="00C506D4">
          <w:rPr>
            <w:rStyle w:val="a5"/>
          </w:rPr>
          <w:t>2006\Interciencia31, 704.pdf</w:t>
        </w:r>
      </w:hyperlink>
    </w:p>
    <w:p w:rsidR="00970786" w:rsidRPr="00970786" w:rsidRDefault="00970786" w:rsidP="00970786">
      <w:pPr>
        <w:pStyle w:val="a0"/>
      </w:pPr>
      <w:r>
        <w:t>Abstract: There are evidences that point out towards a permanent oil crisis. In accordance with this premise, the following issues are analyzed: 1) The origin of the higher energy demand; the consumption per region</w:t>
      </w:r>
      <w:r w:rsidR="00F81221">
        <w:t xml:space="preserve"> and </w:t>
      </w:r>
      <w:r>
        <w:t>per habitant, as well as the motorization per region will be shown</w:t>
      </w:r>
      <w:r w:rsidR="00F81221">
        <w:t xml:space="preserve"> and </w:t>
      </w:r>
      <w:r>
        <w:t>compared with those from the USA. The effects of the developing economies on this aspect will be evaluated. 2) The characteristics of the oil business vs its growing demand, as well as the proven reserves</w:t>
      </w:r>
      <w:r w:rsidR="00F81221">
        <w:t xml:space="preserve"> and </w:t>
      </w:r>
      <w:r>
        <w:t>the refining business. 3) The opinions</w:t>
      </w:r>
      <w:r w:rsidR="00F81221">
        <w:t xml:space="preserve"> and </w:t>
      </w:r>
      <w:r>
        <w:t>strategies of some oil companies (Shell, Chevron, Exxon-Mobil y BP) on this matter Two possible solutions to the oil crisis in the short-medium term are pointed out: heavy/extra-heavy oil</w:t>
      </w:r>
      <w:r w:rsidR="00F81221">
        <w:t xml:space="preserve"> and </w:t>
      </w:r>
      <w:r>
        <w:t>methane hydrate exploitation. Emphasis should be placed on education</w:t>
      </w:r>
      <w:r w:rsidR="00F81221">
        <w:t xml:space="preserve"> and </w:t>
      </w:r>
      <w:r>
        <w:t>R&amp;D in alternative energy sources, as well as in the substitution of the current use of petroleum by the custom of a nomadic society. The importance of the oil</w:t>
      </w:r>
      <w:r w:rsidR="00F81221">
        <w:t xml:space="preserve"> and </w:t>
      </w:r>
      <w:r>
        <w:t>alternative energy sources dilemma will become more important in the medium</w:t>
      </w:r>
      <w:r w:rsidR="00F81221">
        <w:t xml:space="preserve"> and </w:t>
      </w:r>
      <w:r>
        <w:t>long term. The fuel cell technology</w:t>
      </w:r>
      <w:r w:rsidR="00F81221">
        <w:t xml:space="preserve"> and </w:t>
      </w:r>
      <w:r>
        <w:t xml:space="preserve">the </w:t>
      </w:r>
      <w:r w:rsidR="000352E7">
        <w:t>“</w:t>
      </w:r>
      <w:r>
        <w:t>long term American strategy</w:t>
      </w:r>
      <w:r w:rsidR="000352E7">
        <w:t>”</w:t>
      </w:r>
      <w:r>
        <w:t>, as well as the alternative European Community projects, are discussed. An eclectic position about the energy source diversification as a solution to the permanent energy crisis is offered,</w:t>
      </w:r>
      <w:r w:rsidR="00F81221">
        <w:t xml:space="preserve"> and </w:t>
      </w:r>
      <w:r>
        <w:t>a possible energetic strategy for the long term is commented.</w:t>
      </w:r>
    </w:p>
    <w:p w:rsidR="00720326" w:rsidRDefault="00720326" w:rsidP="00720326">
      <w:pPr>
        <w:pStyle w:val="a0"/>
        <w:rPr>
          <w:kern w:val="0"/>
          <w:szCs w:val="24"/>
        </w:rPr>
      </w:pPr>
      <w:r>
        <w:rPr>
          <w:rFonts w:hint="eastAsia"/>
          <w:kern w:val="0"/>
          <w:szCs w:val="24"/>
        </w:rPr>
        <w:t xml:space="preserve">? </w:t>
      </w:r>
      <w:r>
        <w:rPr>
          <w:kern w:val="0"/>
          <w:szCs w:val="24"/>
        </w:rPr>
        <w:t>Packer, A.L.</w:t>
      </w:r>
      <w:r w:rsidR="00F81221">
        <w:rPr>
          <w:kern w:val="0"/>
          <w:szCs w:val="24"/>
        </w:rPr>
        <w:t xml:space="preserve"> and </w:t>
      </w:r>
      <w:r>
        <w:rPr>
          <w:kern w:val="0"/>
          <w:szCs w:val="24"/>
        </w:rPr>
        <w:t xml:space="preserve">Meneghini, R. (2007), Learning to communicate science in developing countries. </w:t>
      </w:r>
      <w:r>
        <w:rPr>
          <w:i/>
          <w:iCs/>
          <w:kern w:val="0"/>
          <w:szCs w:val="24"/>
        </w:rPr>
        <w:t>Interciencia</w:t>
      </w:r>
      <w:r>
        <w:rPr>
          <w:kern w:val="0"/>
          <w:szCs w:val="24"/>
        </w:rPr>
        <w:t xml:space="preserve">, </w:t>
      </w:r>
      <w:r>
        <w:rPr>
          <w:b/>
          <w:bCs/>
          <w:kern w:val="0"/>
          <w:szCs w:val="24"/>
        </w:rPr>
        <w:t>32</w:t>
      </w:r>
      <w:r>
        <w:rPr>
          <w:kern w:val="0"/>
          <w:szCs w:val="24"/>
        </w:rPr>
        <w:t xml:space="preserve"> (9), 643-647.</w:t>
      </w:r>
    </w:p>
    <w:p w:rsidR="00C506D4" w:rsidRPr="001A3D2B" w:rsidRDefault="00C506D4" w:rsidP="00C506D4">
      <w:pPr>
        <w:pStyle w:val="a0"/>
      </w:pPr>
      <w:r>
        <w:rPr>
          <w:rFonts w:hint="eastAsia"/>
        </w:rPr>
        <w:t xml:space="preserve">Full Text: </w:t>
      </w:r>
      <w:hyperlink r:id="rId1544" w:history="1">
        <w:r w:rsidRPr="00C506D4">
          <w:rPr>
            <w:rStyle w:val="a5"/>
          </w:rPr>
          <w:t>2007\Interciencia32, 643.pdf</w:t>
        </w:r>
      </w:hyperlink>
    </w:p>
    <w:p w:rsidR="00720326" w:rsidRDefault="00720326" w:rsidP="00720326">
      <w:pPr>
        <w:pStyle w:val="a0"/>
        <w:rPr>
          <w:kern w:val="0"/>
          <w:szCs w:val="24"/>
        </w:rPr>
      </w:pPr>
      <w:r>
        <w:rPr>
          <w:kern w:val="0"/>
          <w:szCs w:val="24"/>
        </w:rPr>
        <w:t>Abstract: Good quality science has been produced in developing countries, as shown by the number of papers published in prestigious journals. However the competence to produce good journals in these countries has lagged behind for several reasons, particularly the establishment of an international publishing system relying on the increasing value attributed to the ISI-JCR journal ranking, a view adopted by authors worldwide</w:t>
      </w:r>
      <w:r w:rsidR="00F81221">
        <w:rPr>
          <w:kern w:val="0"/>
          <w:szCs w:val="24"/>
        </w:rPr>
        <w:t xml:space="preserve"> and </w:t>
      </w:r>
      <w:r>
        <w:rPr>
          <w:kern w:val="0"/>
          <w:szCs w:val="24"/>
        </w:rPr>
        <w:t>by funding</w:t>
      </w:r>
      <w:r w:rsidR="00F81221">
        <w:rPr>
          <w:kern w:val="0"/>
          <w:szCs w:val="24"/>
        </w:rPr>
        <w:t xml:space="preserve"> and </w:t>
      </w:r>
      <w:r>
        <w:rPr>
          <w:kern w:val="0"/>
          <w:szCs w:val="24"/>
        </w:rPr>
        <w:t xml:space="preserve">evaluation systems. Developing countries became </w:t>
      </w:r>
      <w:r>
        <w:rPr>
          <w:kern w:val="0"/>
          <w:szCs w:val="24"/>
        </w:rPr>
        <w:lastRenderedPageBreak/>
        <w:t>integrated to this international context</w:t>
      </w:r>
      <w:r w:rsidR="00F81221">
        <w:rPr>
          <w:kern w:val="0"/>
          <w:szCs w:val="24"/>
        </w:rPr>
        <w:t xml:space="preserve"> and </w:t>
      </w:r>
      <w:r>
        <w:rPr>
          <w:kern w:val="0"/>
          <w:szCs w:val="24"/>
        </w:rPr>
        <w:t>the efforts to produce good local journals can be pinpointed to individual initiatives that in most cases failed to progress. One important consequence of this gap is that dealing with the peer review procedure, a major instrument to produce good journals</w:t>
      </w:r>
      <w:r w:rsidR="00F81221">
        <w:rPr>
          <w:kern w:val="0"/>
          <w:szCs w:val="24"/>
        </w:rPr>
        <w:t xml:space="preserve"> and </w:t>
      </w:r>
      <w:r>
        <w:rPr>
          <w:kern w:val="0"/>
          <w:szCs w:val="24"/>
        </w:rPr>
        <w:t>to foster scientific progress, is a limited experience in developing countries. Under this scenery an enterprise that began in Brazil in 1997</w:t>
      </w:r>
      <w:r w:rsidR="00F81221">
        <w:rPr>
          <w:kern w:val="0"/>
          <w:szCs w:val="24"/>
        </w:rPr>
        <w:t xml:space="preserve"> and </w:t>
      </w:r>
      <w:r>
        <w:rPr>
          <w:kern w:val="0"/>
          <w:szCs w:val="24"/>
        </w:rPr>
        <w:t>thereafter spread over twelve other Iberoamerican countries is discussed in the light of recent data. SciELO (Scientific Electronic Library Online) is a program fundamentally supported by public funding, aimed at launching online the best existing journals in several countries, in an open access mode, based on peer-reviewing</w:t>
      </w:r>
      <w:r w:rsidR="00F81221">
        <w:rPr>
          <w:kern w:val="0"/>
          <w:szCs w:val="24"/>
        </w:rPr>
        <w:t xml:space="preserve"> and </w:t>
      </w:r>
      <w:r>
        <w:rPr>
          <w:kern w:val="0"/>
          <w:szCs w:val="24"/>
        </w:rPr>
        <w:t>bibliometric/scientometric analysis for the purpose of journal indexation</w:t>
      </w:r>
      <w:r w:rsidR="00F81221">
        <w:rPr>
          <w:kern w:val="0"/>
          <w:szCs w:val="24"/>
        </w:rPr>
        <w:t xml:space="preserve"> and </w:t>
      </w:r>
      <w:r>
        <w:rPr>
          <w:kern w:val="0"/>
          <w:szCs w:val="24"/>
        </w:rPr>
        <w:t>maintenance in its database. SciELO covers the functions of a meta-publisher</w:t>
      </w:r>
      <w:r w:rsidR="00F81221">
        <w:rPr>
          <w:kern w:val="0"/>
          <w:szCs w:val="24"/>
        </w:rPr>
        <w:t xml:space="preserve"> and </w:t>
      </w:r>
      <w:r>
        <w:rPr>
          <w:kern w:val="0"/>
          <w:szCs w:val="24"/>
        </w:rPr>
        <w:t>aims to operate in accordance with the open access movement, rendering scientific knowledge more widely available. The data presented show encouraging evidences that a new auspicious panorama is being established in the context of producing scientific journals in Brazil.</w:t>
      </w:r>
    </w:p>
    <w:p w:rsidR="00720326" w:rsidRDefault="00720326" w:rsidP="00720326">
      <w:pPr>
        <w:pStyle w:val="a0"/>
        <w:rPr>
          <w:kern w:val="0"/>
          <w:szCs w:val="24"/>
        </w:rPr>
      </w:pPr>
      <w:r>
        <w:rPr>
          <w:kern w:val="0"/>
          <w:szCs w:val="24"/>
        </w:rPr>
        <w:t>Keywords: Access, Analysis, Authors, Brazil, Countries, Database, Developing Countries, Evaluation, Funding, Journals, Journals, Knowledge, Open Access, Papers, Peer Review, Peer-Review, Publication, Publishing, Quality, Ranking, Scielo, Scielo, Science, Scientific Journals, System, Visibility</w:t>
      </w:r>
    </w:p>
    <w:p w:rsidR="00C506D4" w:rsidRPr="001A3D2B" w:rsidRDefault="00C506D4" w:rsidP="00C506D4">
      <w:pPr>
        <w:pStyle w:val="a0"/>
        <w:rPr>
          <w:kern w:val="0"/>
          <w:szCs w:val="24"/>
        </w:rPr>
      </w:pPr>
      <w:r>
        <w:rPr>
          <w:kern w:val="0"/>
          <w:szCs w:val="24"/>
        </w:rPr>
        <w:t>? Michá</w:t>
      </w:r>
      <w:r w:rsidRPr="001A3D2B">
        <w:rPr>
          <w:kern w:val="0"/>
          <w:szCs w:val="24"/>
        </w:rPr>
        <w:t>n, L., Russell, J.M., Pereyra, A.S., Cruset, A.L.</w:t>
      </w:r>
      <w:r w:rsidR="00F81221">
        <w:rPr>
          <w:kern w:val="0"/>
          <w:szCs w:val="24"/>
        </w:rPr>
        <w:t xml:space="preserve"> and </w:t>
      </w:r>
      <w:r w:rsidRPr="001A3D2B">
        <w:rPr>
          <w:kern w:val="0"/>
          <w:szCs w:val="24"/>
        </w:rPr>
        <w:t>Beltr</w:t>
      </w:r>
      <w:r>
        <w:rPr>
          <w:kern w:val="0"/>
          <w:szCs w:val="24"/>
        </w:rPr>
        <w:t>á</w:t>
      </w:r>
      <w:r w:rsidRPr="001A3D2B">
        <w:rPr>
          <w:kern w:val="0"/>
          <w:szCs w:val="24"/>
        </w:rPr>
        <w:t xml:space="preserve">n, C.L. (2008), Analysis of the state of systematics in Latin America. </w:t>
      </w:r>
      <w:r w:rsidRPr="001A3D2B">
        <w:rPr>
          <w:i/>
          <w:iCs/>
          <w:kern w:val="0"/>
          <w:szCs w:val="24"/>
        </w:rPr>
        <w:t>Interciencia</w:t>
      </w:r>
      <w:r w:rsidRPr="001A3D2B">
        <w:rPr>
          <w:kern w:val="0"/>
          <w:szCs w:val="24"/>
        </w:rPr>
        <w:t xml:space="preserve">, </w:t>
      </w:r>
      <w:r w:rsidRPr="001A3D2B">
        <w:rPr>
          <w:b/>
          <w:bCs/>
          <w:kern w:val="0"/>
          <w:szCs w:val="24"/>
        </w:rPr>
        <w:t>33</w:t>
      </w:r>
      <w:r w:rsidRPr="001A3D2B">
        <w:rPr>
          <w:kern w:val="0"/>
          <w:szCs w:val="24"/>
        </w:rPr>
        <w:t xml:space="preserve"> (10), 754-761.</w:t>
      </w:r>
    </w:p>
    <w:p w:rsidR="00C506D4" w:rsidRPr="001A3D2B" w:rsidRDefault="00C506D4" w:rsidP="00C506D4">
      <w:pPr>
        <w:pStyle w:val="a0"/>
      </w:pPr>
      <w:r>
        <w:rPr>
          <w:rFonts w:hint="eastAsia"/>
        </w:rPr>
        <w:t xml:space="preserve">Full Text: </w:t>
      </w:r>
      <w:hyperlink r:id="rId1545" w:history="1">
        <w:r w:rsidRPr="00D55F88">
          <w:rPr>
            <w:rStyle w:val="a5"/>
          </w:rPr>
          <w:t>2008\Interciencia33, 754.pdf</w:t>
        </w:r>
      </w:hyperlink>
    </w:p>
    <w:p w:rsidR="00720326" w:rsidRDefault="00720326" w:rsidP="00720326">
      <w:pPr>
        <w:pStyle w:val="a0"/>
        <w:rPr>
          <w:kern w:val="0"/>
          <w:szCs w:val="24"/>
        </w:rPr>
      </w:pPr>
      <w:r>
        <w:rPr>
          <w:kern w:val="0"/>
          <w:szCs w:val="24"/>
        </w:rPr>
        <w:t>Abstract: In order to have a regional vision of the development of systematics in Latin America during the last three decades, the results of a scientometric analysis based on 11185 documents on this thence published in 411 journals fiom 1976 to 2006</w:t>
      </w:r>
      <w:r w:rsidR="00F81221">
        <w:rPr>
          <w:kern w:val="0"/>
          <w:szCs w:val="24"/>
        </w:rPr>
        <w:t xml:space="preserve"> and </w:t>
      </w:r>
      <w:r>
        <w:rPr>
          <w:kern w:val="0"/>
          <w:szCs w:val="24"/>
        </w:rPr>
        <w:t>obtained from the Periodica data base are presented. The current state of the discipline in the region is described, a detailed analysis about the articles, countries, main lines of study, taxonomic groups, topics, format, type of document, content</w:t>
      </w:r>
      <w:r w:rsidR="00F81221">
        <w:rPr>
          <w:kern w:val="0"/>
          <w:szCs w:val="24"/>
        </w:rPr>
        <w:t xml:space="preserve"> and </w:t>
      </w:r>
      <w:r>
        <w:rPr>
          <w:kern w:val="0"/>
          <w:szCs w:val="24"/>
        </w:rPr>
        <w:t>language is carried out,</w:t>
      </w:r>
      <w:r w:rsidR="00F81221">
        <w:rPr>
          <w:kern w:val="0"/>
          <w:szCs w:val="24"/>
        </w:rPr>
        <w:t xml:space="preserve"> and </w:t>
      </w:r>
      <w:r>
        <w:rPr>
          <w:kern w:val="0"/>
          <w:szCs w:val="24"/>
        </w:rPr>
        <w:t>the information is contextualized. The specialized production on systematics produced</w:t>
      </w:r>
      <w:r w:rsidR="00F81221">
        <w:rPr>
          <w:kern w:val="0"/>
          <w:szCs w:val="24"/>
        </w:rPr>
        <w:t xml:space="preserve"> and </w:t>
      </w:r>
      <w:r>
        <w:rPr>
          <w:kern w:val="0"/>
          <w:szCs w:val="24"/>
        </w:rPr>
        <w:t>published in local journals was notable</w:t>
      </w:r>
      <w:r w:rsidR="00F81221">
        <w:rPr>
          <w:kern w:val="0"/>
          <w:szCs w:val="24"/>
        </w:rPr>
        <w:t xml:space="preserve"> and </w:t>
      </w:r>
      <w:r>
        <w:rPr>
          <w:kern w:val="0"/>
          <w:szCs w:val="24"/>
        </w:rPr>
        <w:t>remained stable after the 80</w:t>
      </w:r>
      <w:r w:rsidR="000352E7">
        <w:rPr>
          <w:kern w:val="0"/>
          <w:szCs w:val="24"/>
        </w:rPr>
        <w:t>’</w:t>
      </w:r>
      <w:r>
        <w:rPr>
          <w:kern w:val="0"/>
          <w:szCs w:val="24"/>
        </w:rPr>
        <w:t>s, mainly in Mexico, Brazil</w:t>
      </w:r>
      <w:r w:rsidR="00F81221">
        <w:rPr>
          <w:kern w:val="0"/>
          <w:szCs w:val="24"/>
        </w:rPr>
        <w:t xml:space="preserve"> and </w:t>
      </w:r>
      <w:r>
        <w:rPr>
          <w:kern w:val="0"/>
          <w:szCs w:val="24"/>
        </w:rPr>
        <w:t>Argentina. The contents have been published primarily, in Spanish</w:t>
      </w:r>
      <w:r w:rsidR="00F81221">
        <w:rPr>
          <w:kern w:val="0"/>
          <w:szCs w:val="24"/>
        </w:rPr>
        <w:t xml:space="preserve"> and </w:t>
      </w:r>
      <w:r>
        <w:rPr>
          <w:kern w:val="0"/>
          <w:szCs w:val="24"/>
        </w:rPr>
        <w:t>mainly in the form of articles. They dealt mostly with descriptive taxonomy</w:t>
      </w:r>
      <w:r w:rsidR="00F81221">
        <w:rPr>
          <w:kern w:val="0"/>
          <w:szCs w:val="24"/>
        </w:rPr>
        <w:t xml:space="preserve"> and </w:t>
      </w:r>
      <w:r>
        <w:rPr>
          <w:kern w:val="0"/>
          <w:szCs w:val="24"/>
        </w:rPr>
        <w:t>were related to ecology, anatomy, histology</w:t>
      </w:r>
      <w:r w:rsidR="00F81221">
        <w:rPr>
          <w:kern w:val="0"/>
          <w:szCs w:val="24"/>
        </w:rPr>
        <w:t xml:space="preserve"> and </w:t>
      </w:r>
      <w:r>
        <w:rPr>
          <w:kern w:val="0"/>
          <w:szCs w:val="24"/>
        </w:rPr>
        <w:t>aquatic biology. The most represented groups were insects</w:t>
      </w:r>
      <w:r w:rsidR="00F81221">
        <w:rPr>
          <w:kern w:val="0"/>
          <w:szCs w:val="24"/>
        </w:rPr>
        <w:t xml:space="preserve"> and </w:t>
      </w:r>
      <w:r>
        <w:rPr>
          <w:kern w:val="0"/>
          <w:szCs w:val="24"/>
        </w:rPr>
        <w:t>angiosperms. A call is made for the urgent need of systematizing, the literature about Latin American taxa.</w:t>
      </w:r>
    </w:p>
    <w:p w:rsidR="00720326" w:rsidRDefault="00720326" w:rsidP="00720326">
      <w:pPr>
        <w:pStyle w:val="a0"/>
        <w:rPr>
          <w:kern w:val="0"/>
          <w:szCs w:val="24"/>
        </w:rPr>
      </w:pPr>
      <w:r>
        <w:rPr>
          <w:kern w:val="0"/>
          <w:szCs w:val="24"/>
        </w:rPr>
        <w:t xml:space="preserve">Keywords: America, American, Analysis, Anatomy, Argentina, Biology, Brazil, Content, Countries, Coverage, Data, Data Base, Databases, Development, Ecology, Groups, Histology, Information, Insects, Journals, Language, Latin America, Latin </w:t>
      </w:r>
      <w:r>
        <w:rPr>
          <w:kern w:val="0"/>
          <w:szCs w:val="24"/>
        </w:rPr>
        <w:lastRenderedPageBreak/>
        <w:t>American, Literature, Local, Mexico, Patterns, Production, Publications, Regional, Revista, Science, Scientometric, Scientometric Analysis, Spanish, State, Taxonomy</w:t>
      </w:r>
    </w:p>
    <w:p w:rsidR="00393A9C" w:rsidRDefault="00393A9C" w:rsidP="00393A9C">
      <w:pPr>
        <w:pStyle w:val="a0"/>
        <w:rPr>
          <w:kern w:val="0"/>
          <w:szCs w:val="24"/>
        </w:rPr>
      </w:pPr>
      <w:r>
        <w:rPr>
          <w:rFonts w:hint="eastAsia"/>
          <w:kern w:val="0"/>
          <w:szCs w:val="24"/>
        </w:rPr>
        <w:t xml:space="preserve">? </w:t>
      </w:r>
      <w:r>
        <w:rPr>
          <w:kern w:val="0"/>
          <w:szCs w:val="24"/>
        </w:rPr>
        <w:t>Mijac, V.</w:t>
      </w:r>
      <w:r w:rsidR="00F81221">
        <w:rPr>
          <w:kern w:val="0"/>
          <w:szCs w:val="24"/>
        </w:rPr>
        <w:t xml:space="preserve"> and </w:t>
      </w:r>
      <w:r>
        <w:rPr>
          <w:kern w:val="0"/>
          <w:szCs w:val="24"/>
        </w:rPr>
        <w:t xml:space="preserve">Ryder, E. (2009), Bibliometric analysis of research publications on parasitology in Venezuela (2002-2007). </w:t>
      </w:r>
      <w:r>
        <w:rPr>
          <w:i/>
          <w:iCs/>
          <w:kern w:val="0"/>
          <w:szCs w:val="24"/>
        </w:rPr>
        <w:t>Interciencia</w:t>
      </w:r>
      <w:r>
        <w:rPr>
          <w:kern w:val="0"/>
          <w:szCs w:val="24"/>
        </w:rPr>
        <w:t xml:space="preserve">, </w:t>
      </w:r>
      <w:r>
        <w:rPr>
          <w:b/>
          <w:bCs/>
          <w:kern w:val="0"/>
          <w:szCs w:val="24"/>
        </w:rPr>
        <w:t>34</w:t>
      </w:r>
      <w:r>
        <w:rPr>
          <w:kern w:val="0"/>
          <w:szCs w:val="24"/>
        </w:rPr>
        <w:t xml:space="preserve"> (2), 140-146.</w:t>
      </w:r>
    </w:p>
    <w:p w:rsidR="00E14432" w:rsidRPr="001A3D2B" w:rsidRDefault="00E14432" w:rsidP="00E14432">
      <w:pPr>
        <w:pStyle w:val="a0"/>
      </w:pPr>
      <w:r>
        <w:rPr>
          <w:rFonts w:hint="eastAsia"/>
        </w:rPr>
        <w:t xml:space="preserve">Full Text: </w:t>
      </w:r>
      <w:hyperlink r:id="rId1546" w:history="1">
        <w:r w:rsidRPr="00E14432">
          <w:rPr>
            <w:rStyle w:val="a5"/>
          </w:rPr>
          <w:t>2009\Interciencia34, 140.pdf</w:t>
        </w:r>
      </w:hyperlink>
    </w:p>
    <w:p w:rsidR="00720326" w:rsidRDefault="00720326" w:rsidP="00720326">
      <w:pPr>
        <w:pStyle w:val="a0"/>
        <w:rPr>
          <w:kern w:val="0"/>
          <w:szCs w:val="24"/>
        </w:rPr>
      </w:pPr>
      <w:r>
        <w:rPr>
          <w:kern w:val="0"/>
          <w:szCs w:val="24"/>
        </w:rPr>
        <w:t>Abstract: The aim of this work was to revise, through Internet data bases (PubMed/MEDLINE, Scielo</w:t>
      </w:r>
      <w:r w:rsidR="00F81221">
        <w:rPr>
          <w:kern w:val="0"/>
          <w:szCs w:val="24"/>
        </w:rPr>
        <w:t xml:space="preserve"> and </w:t>
      </w:r>
      <w:r>
        <w:rPr>
          <w:kern w:val="0"/>
          <w:szCs w:val="24"/>
        </w:rPr>
        <w:t>LILACS) the research papers on parasitosis in Venezuela, published in national</w:t>
      </w:r>
      <w:r w:rsidR="00F81221">
        <w:rPr>
          <w:kern w:val="0"/>
          <w:szCs w:val="24"/>
        </w:rPr>
        <w:t xml:space="preserve"> and </w:t>
      </w:r>
      <w:r>
        <w:rPr>
          <w:kern w:val="0"/>
          <w:szCs w:val="24"/>
        </w:rPr>
        <w:t>foreign journals, between 2000</w:t>
      </w:r>
      <w:r w:rsidR="00F81221">
        <w:rPr>
          <w:kern w:val="0"/>
          <w:szCs w:val="24"/>
        </w:rPr>
        <w:t xml:space="preserve"> and </w:t>
      </w:r>
      <w:r>
        <w:rPr>
          <w:kern w:val="0"/>
          <w:szCs w:val="24"/>
        </w:rPr>
        <w:t>2007. Keywords used were Venezuela + parasitosis</w:t>
      </w:r>
      <w:r w:rsidR="00F81221">
        <w:rPr>
          <w:kern w:val="0"/>
          <w:szCs w:val="24"/>
        </w:rPr>
        <w:t xml:space="preserve"> and </w:t>
      </w:r>
      <w:r>
        <w:rPr>
          <w:kern w:val="0"/>
          <w:szCs w:val="24"/>
        </w:rPr>
        <w:t>specific parasites + Venezuela. One hundred sixty two papers were found, published in 56 journals, mostly (61.1%) in English. Venezuelan journals published 51 papers (31.5%), mainly Investigacion Clinica (15; 29.5%)</w:t>
      </w:r>
      <w:r w:rsidR="00F81221">
        <w:rPr>
          <w:kern w:val="0"/>
          <w:szCs w:val="24"/>
        </w:rPr>
        <w:t xml:space="preserve"> and </w:t>
      </w:r>
      <w:r>
        <w:rPr>
          <w:kern w:val="0"/>
          <w:szCs w:val="24"/>
        </w:rPr>
        <w:t>Kasmera (12; 23.6%), with percentages similar to those in high impact journals as American Journal of Tropical Medicine</w:t>
      </w:r>
      <w:r w:rsidR="00F81221">
        <w:rPr>
          <w:kern w:val="0"/>
          <w:szCs w:val="24"/>
        </w:rPr>
        <w:t xml:space="preserve"> and </w:t>
      </w:r>
      <w:r>
        <w:rPr>
          <w:kern w:val="0"/>
          <w:szCs w:val="24"/>
        </w:rPr>
        <w:t>Hygiene,</w:t>
      </w:r>
      <w:r w:rsidR="00F81221">
        <w:rPr>
          <w:kern w:val="0"/>
          <w:szCs w:val="24"/>
        </w:rPr>
        <w:t xml:space="preserve"> and </w:t>
      </w:r>
      <w:r>
        <w:rPr>
          <w:kern w:val="0"/>
          <w:szCs w:val="24"/>
        </w:rPr>
        <w:t>Memorias del Instituto Oswaldo Cruz. The institution responsible for most of the papers was the Universidad Central de Venezuela (UCV) with 41 communications (14.7%). In 15 papers (9.2%), the responsible institution was foreign, but the studied sample came from Venezuela. The most studied area (58%) was Epidemiology. The parasites more frequently studied were the tisular protozoa (41.9%), leading to 28 reports on Trypanosome. The papers on intestinal protozoa were variable, with similar species numbers. Among arthropods the most studied were Anopheles, Tityus</w:t>
      </w:r>
      <w:r w:rsidR="00F81221">
        <w:rPr>
          <w:kern w:val="0"/>
          <w:szCs w:val="24"/>
        </w:rPr>
        <w:t xml:space="preserve"> and </w:t>
      </w:r>
      <w:r>
        <w:rPr>
          <w:kern w:val="0"/>
          <w:szCs w:val="24"/>
        </w:rPr>
        <w:t>Lutzomyia. It was found that the productivity in the area of Parasitology in Venezuela was stable during the period analyzed, that local journals contained an important amount of the papers, that the most productive institution was UCV, that papers on tisular protozoa predominated but most parasites</w:t>
      </w:r>
      <w:r w:rsidR="00F81221">
        <w:rPr>
          <w:kern w:val="0"/>
          <w:szCs w:val="24"/>
        </w:rPr>
        <w:t xml:space="preserve"> and </w:t>
      </w:r>
      <w:r>
        <w:rPr>
          <w:kern w:val="0"/>
          <w:szCs w:val="24"/>
        </w:rPr>
        <w:t>their vectors were represented.</w:t>
      </w:r>
    </w:p>
    <w:p w:rsidR="00720326" w:rsidRDefault="00720326" w:rsidP="00720326">
      <w:pPr>
        <w:pStyle w:val="a0"/>
        <w:rPr>
          <w:kern w:val="0"/>
          <w:szCs w:val="24"/>
        </w:rPr>
      </w:pPr>
      <w:r>
        <w:rPr>
          <w:kern w:val="0"/>
          <w:szCs w:val="24"/>
        </w:rPr>
        <w:t>Keywords: American, Bibliometric, Bibliometric Analysis, Communications, Countries, Data, Disease, Epidemiology, Foreign, Health, Impact, Infection, Institution, Internet, Journals, Local, National, Papers, Productivity, Research, Scientific Production, Spanish, Species, Venezuela, Work</w:t>
      </w:r>
    </w:p>
    <w:p w:rsidR="0096020E" w:rsidRDefault="0096020E" w:rsidP="0096020E">
      <w:pPr>
        <w:pStyle w:val="a0"/>
        <w:rPr>
          <w:kern w:val="0"/>
        </w:rPr>
      </w:pPr>
      <w:r>
        <w:rPr>
          <w:rFonts w:hint="eastAsia"/>
          <w:kern w:val="0"/>
        </w:rPr>
        <w:t xml:space="preserve">? </w:t>
      </w:r>
      <w:r>
        <w:rPr>
          <w:kern w:val="0"/>
        </w:rPr>
        <w:t>Rojas-Sola, J.I.</w:t>
      </w:r>
      <w:r w:rsidR="00F81221">
        <w:rPr>
          <w:kern w:val="0"/>
        </w:rPr>
        <w:t xml:space="preserve"> and </w:t>
      </w:r>
      <w:r>
        <w:rPr>
          <w:kern w:val="0"/>
        </w:rPr>
        <w:t xml:space="preserve">Jorda-Albinana, B. (2009), Bibliometric analysis of </w:t>
      </w:r>
      <w:r w:rsidR="00575C97">
        <w:rPr>
          <w:kern w:val="0"/>
        </w:rPr>
        <w:t xml:space="preserve">Venezuelan </w:t>
      </w:r>
      <w:r>
        <w:rPr>
          <w:kern w:val="0"/>
        </w:rPr>
        <w:t xml:space="preserve">publications in the computer sciences category of the JCR data base (1997-2007). </w:t>
      </w:r>
      <w:r>
        <w:rPr>
          <w:i/>
          <w:iCs/>
          <w:kern w:val="0"/>
        </w:rPr>
        <w:t>Interciencia</w:t>
      </w:r>
      <w:r>
        <w:rPr>
          <w:kern w:val="0"/>
        </w:rPr>
        <w:t xml:space="preserve">, </w:t>
      </w:r>
      <w:r>
        <w:rPr>
          <w:b/>
          <w:bCs/>
          <w:kern w:val="0"/>
        </w:rPr>
        <w:t>34</w:t>
      </w:r>
      <w:r>
        <w:rPr>
          <w:kern w:val="0"/>
        </w:rPr>
        <w:t xml:space="preserve"> (10), 689-695.</w:t>
      </w:r>
    </w:p>
    <w:p w:rsidR="00E14432" w:rsidRPr="001A3D2B" w:rsidRDefault="00E14432" w:rsidP="00E14432">
      <w:pPr>
        <w:pStyle w:val="a0"/>
      </w:pPr>
      <w:r>
        <w:rPr>
          <w:rFonts w:hint="eastAsia"/>
        </w:rPr>
        <w:t xml:space="preserve">Full Text: </w:t>
      </w:r>
      <w:hyperlink r:id="rId1547" w:history="1">
        <w:r w:rsidRPr="00401CB2">
          <w:rPr>
            <w:rStyle w:val="a5"/>
          </w:rPr>
          <w:t>2009\Interciencia34, 689.pdf</w:t>
        </w:r>
      </w:hyperlink>
    </w:p>
    <w:p w:rsidR="0096020E" w:rsidRDefault="0096020E" w:rsidP="0096020E">
      <w:pPr>
        <w:pStyle w:val="a0"/>
        <w:rPr>
          <w:kern w:val="0"/>
        </w:rPr>
      </w:pPr>
      <w:r>
        <w:rPr>
          <w:kern w:val="0"/>
        </w:rPr>
        <w:t>Abstract: The objective of this study was to review, through the JCR database in the Web of Science (ISI), the scientific production in the Computer Science subject category in Venezuela</w:t>
      </w:r>
      <w:r w:rsidR="00F81221">
        <w:rPr>
          <w:kern w:val="0"/>
        </w:rPr>
        <w:t xml:space="preserve"> and </w:t>
      </w:r>
      <w:r>
        <w:rPr>
          <w:kern w:val="0"/>
        </w:rPr>
        <w:t>published in international journals with impact factor between the years 1997</w:t>
      </w:r>
      <w:r w:rsidR="00F81221">
        <w:rPr>
          <w:kern w:val="0"/>
        </w:rPr>
        <w:t xml:space="preserve"> and </w:t>
      </w:r>
      <w:r>
        <w:rPr>
          <w:kern w:val="0"/>
        </w:rPr>
        <w:t xml:space="preserve">2007. We found 181 articles in all 95 journals, all of them in English. Four universities aggregate 93.92% of the entire university scientific output: Universidad Simon, Bolivar (USB), Universidad de los Andes </w:t>
      </w:r>
      <w:r>
        <w:rPr>
          <w:kern w:val="0"/>
        </w:rPr>
        <w:lastRenderedPageBreak/>
        <w:t>(ULA), Universidad Central de Venezuela (UCV)</w:t>
      </w:r>
      <w:r w:rsidR="00F81221">
        <w:rPr>
          <w:kern w:val="0"/>
        </w:rPr>
        <w:t xml:space="preserve"> and </w:t>
      </w:r>
      <w:r>
        <w:rPr>
          <w:kern w:val="0"/>
        </w:rPr>
        <w:t>La Universidad del Zulia (LUZ), USB standing out with 57 items (32.95%)</w:t>
      </w:r>
      <w:r w:rsidR="00F81221">
        <w:rPr>
          <w:kern w:val="0"/>
        </w:rPr>
        <w:t xml:space="preserve"> and </w:t>
      </w:r>
      <w:r>
        <w:rPr>
          <w:kern w:val="0"/>
        </w:rPr>
        <w:t>a remarkable increase in scientific output from 2005 having been observed. However, in terms of impact factor outstands ULA. Research institutions only accounted for 7.73% of all the scientific analysis. A remarkable international collaboration is also highlighted.</w:t>
      </w:r>
    </w:p>
    <w:p w:rsidR="0096020E" w:rsidRDefault="0096020E" w:rsidP="0096020E">
      <w:pPr>
        <w:pStyle w:val="a0"/>
        <w:rPr>
          <w:kern w:val="0"/>
        </w:rPr>
      </w:pPr>
      <w:r>
        <w:rPr>
          <w:kern w:val="0"/>
        </w:rPr>
        <w:t xml:space="preserve">Keywords: Bibliometric, Bibliometric Analysis, Impact, Impact Factor, Impact Factors, Indicators, </w:t>
      </w:r>
      <w:r w:rsidR="00EC3BF1">
        <w:rPr>
          <w:kern w:val="0"/>
        </w:rPr>
        <w:t>ISI</w:t>
      </w:r>
      <w:r>
        <w:rPr>
          <w:kern w:val="0"/>
        </w:rPr>
        <w:t>, Journals, Research, Scientific Production, Tomography, Universities, Web of Science</w:t>
      </w:r>
    </w:p>
    <w:p w:rsidR="0096020E" w:rsidRDefault="0096020E" w:rsidP="0096020E">
      <w:pPr>
        <w:pStyle w:val="a0"/>
        <w:rPr>
          <w:kern w:val="0"/>
        </w:rPr>
      </w:pPr>
      <w:r>
        <w:rPr>
          <w:rFonts w:hint="eastAsia"/>
          <w:kern w:val="0"/>
        </w:rPr>
        <w:t xml:space="preserve">? </w:t>
      </w:r>
      <w:r>
        <w:rPr>
          <w:kern w:val="0"/>
        </w:rPr>
        <w:t>Ricker, M., Hernandez, H.M.</w:t>
      </w:r>
      <w:r w:rsidR="00F81221">
        <w:rPr>
          <w:kern w:val="0"/>
        </w:rPr>
        <w:t xml:space="preserve"> and </w:t>
      </w:r>
      <w:r>
        <w:rPr>
          <w:kern w:val="0"/>
        </w:rPr>
        <w:t>Daly, D.C. (2009), Measuring scientists</w:t>
      </w:r>
      <w:r w:rsidR="000352E7">
        <w:rPr>
          <w:kern w:val="0"/>
        </w:rPr>
        <w:t>’</w:t>
      </w:r>
      <w:r>
        <w:rPr>
          <w:kern w:val="0"/>
        </w:rPr>
        <w:t xml:space="preserve"> performance: </w:t>
      </w:r>
      <w:r w:rsidR="00435BD4">
        <w:rPr>
          <w:kern w:val="0"/>
        </w:rPr>
        <w:t xml:space="preserve">A </w:t>
      </w:r>
      <w:r>
        <w:rPr>
          <w:kern w:val="0"/>
        </w:rPr>
        <w:t xml:space="preserve">view from organismal biologists. </w:t>
      </w:r>
      <w:r>
        <w:rPr>
          <w:i/>
          <w:iCs/>
          <w:kern w:val="0"/>
        </w:rPr>
        <w:t>Interciencia</w:t>
      </w:r>
      <w:r>
        <w:rPr>
          <w:kern w:val="0"/>
        </w:rPr>
        <w:t xml:space="preserve">, </w:t>
      </w:r>
      <w:r>
        <w:rPr>
          <w:b/>
          <w:bCs/>
          <w:kern w:val="0"/>
        </w:rPr>
        <w:t>34</w:t>
      </w:r>
      <w:r>
        <w:rPr>
          <w:kern w:val="0"/>
        </w:rPr>
        <w:t xml:space="preserve"> (11), 830-835.</w:t>
      </w:r>
    </w:p>
    <w:p w:rsidR="003D78F7" w:rsidRDefault="003D78F7" w:rsidP="003D78F7">
      <w:pPr>
        <w:pStyle w:val="a0"/>
      </w:pPr>
      <w:r>
        <w:t xml:space="preserve">Full Text: </w:t>
      </w:r>
      <w:hyperlink r:id="rId1548" w:history="1">
        <w:r>
          <w:rPr>
            <w:rStyle w:val="a5"/>
          </w:rPr>
          <w:t>2009\Interciencia34, 830.pdf</w:t>
        </w:r>
      </w:hyperlink>
    </w:p>
    <w:p w:rsidR="0096020E" w:rsidRDefault="0096020E" w:rsidP="0096020E">
      <w:pPr>
        <w:pStyle w:val="a0"/>
        <w:rPr>
          <w:kern w:val="0"/>
        </w:rPr>
      </w:pPr>
      <w:r>
        <w:rPr>
          <w:kern w:val="0"/>
        </w:rPr>
        <w:t>Abstract: Increasingly, academic evaluations quantify performance in science by giving higher rank to scientists (as well as journals</w:t>
      </w:r>
      <w:r w:rsidR="00F81221">
        <w:rPr>
          <w:kern w:val="0"/>
        </w:rPr>
        <w:t xml:space="preserve"> and </w:t>
      </w:r>
      <w:r>
        <w:rPr>
          <w:kern w:val="0"/>
        </w:rPr>
        <w:t>institutions) who publish more articles</w:t>
      </w:r>
      <w:r w:rsidR="00F81221">
        <w:rPr>
          <w:kern w:val="0"/>
        </w:rPr>
        <w:t xml:space="preserve"> and </w:t>
      </w:r>
      <w:r>
        <w:rPr>
          <w:kern w:val="0"/>
        </w:rPr>
        <w:t>have more citations. In Mexico, for example, a centralized federal agency uses such bibliometric statistics for evaluating the performance of all Mexican scientists. In this article we caution against using this form of evaluation as an almost exclusive tool of measuring</w:t>
      </w:r>
      <w:r w:rsidR="00F81221">
        <w:rPr>
          <w:kern w:val="0"/>
        </w:rPr>
        <w:t xml:space="preserve"> and </w:t>
      </w:r>
      <w:r>
        <w:rPr>
          <w:kern w:val="0"/>
        </w:rPr>
        <w:t>comparing scientists</w:t>
      </w:r>
      <w:r w:rsidR="000352E7">
        <w:rPr>
          <w:kern w:val="0"/>
        </w:rPr>
        <w:t>’</w:t>
      </w:r>
      <w:r>
        <w:rPr>
          <w:kern w:val="0"/>
        </w:rPr>
        <w:t xml:space="preserve"> performance. We argue that from an economic viewpoint, maximizing the number of journal articles</w:t>
      </w:r>
      <w:r w:rsidR="00F81221">
        <w:rPr>
          <w:kern w:val="0"/>
        </w:rPr>
        <w:t xml:space="preserve"> and </w:t>
      </w:r>
      <w:r>
        <w:rPr>
          <w:kern w:val="0"/>
        </w:rPr>
        <w:t>their citations does not necessarily correspond to the preferences</w:t>
      </w:r>
      <w:r w:rsidR="00F81221">
        <w:rPr>
          <w:kern w:val="0"/>
        </w:rPr>
        <w:t xml:space="preserve"> and </w:t>
      </w:r>
      <w:r>
        <w:rPr>
          <w:kern w:val="0"/>
        </w:rPr>
        <w:t>needs of society. The traditional peer review process is much better suited for that purpose,</w:t>
      </w:r>
      <w:r w:rsidR="00F81221">
        <w:rPr>
          <w:kern w:val="0"/>
        </w:rPr>
        <w:t xml:space="preserve"> and </w:t>
      </w:r>
      <w:r>
        <w:rPr>
          <w:kern w:val="0"/>
        </w:rPr>
        <w:t xml:space="preserve">we propose </w:t>
      </w:r>
      <w:r w:rsidR="000352E7">
        <w:rPr>
          <w:kern w:val="0"/>
        </w:rPr>
        <w:t>“</w:t>
      </w:r>
      <w:r>
        <w:rPr>
          <w:kern w:val="0"/>
        </w:rPr>
        <w:t>rule-based peer review</w:t>
      </w:r>
      <w:r w:rsidR="000352E7">
        <w:rPr>
          <w:kern w:val="0"/>
        </w:rPr>
        <w:t>”</w:t>
      </w:r>
      <w:r>
        <w:rPr>
          <w:kern w:val="0"/>
        </w:rPr>
        <w:t xml:space="preserve"> for evaluating a large number of scientists.</w:t>
      </w:r>
    </w:p>
    <w:p w:rsidR="0096020E" w:rsidRDefault="0096020E" w:rsidP="0096020E">
      <w:pPr>
        <w:pStyle w:val="a0"/>
        <w:rPr>
          <w:kern w:val="0"/>
        </w:rPr>
      </w:pPr>
      <w:r>
        <w:rPr>
          <w:kern w:val="0"/>
        </w:rPr>
        <w:t xml:space="preserve">Keywords: Academic Evaluation, Authors, Bibliometric, Citation Statistics, Citations, Evaluation, Impact Factor, Indicators, Journals, Mexico, Model, Peer Review, Publication, Quality, Science, Sistema Nacional de Investigadores, </w:t>
      </w:r>
      <w:r w:rsidR="009678E6">
        <w:rPr>
          <w:kern w:val="0"/>
        </w:rPr>
        <w:t>SNI</w:t>
      </w:r>
      <w:r>
        <w:rPr>
          <w:kern w:val="0"/>
        </w:rPr>
        <w:t>, Taxonomy</w:t>
      </w:r>
    </w:p>
    <w:p w:rsidR="009678E6" w:rsidRDefault="009678E6" w:rsidP="009678E6">
      <w:pPr>
        <w:pStyle w:val="a0"/>
        <w:rPr>
          <w:kern w:val="0"/>
        </w:rPr>
      </w:pPr>
      <w:r>
        <w:rPr>
          <w:rFonts w:hint="eastAsia"/>
          <w:kern w:val="0"/>
        </w:rPr>
        <w:t xml:space="preserve">? </w:t>
      </w:r>
      <w:r>
        <w:rPr>
          <w:kern w:val="0"/>
        </w:rPr>
        <w:t>Meneghini, R.</w:t>
      </w:r>
      <w:r w:rsidR="00F81221">
        <w:rPr>
          <w:kern w:val="0"/>
        </w:rPr>
        <w:t xml:space="preserve"> and </w:t>
      </w:r>
      <w:r>
        <w:rPr>
          <w:kern w:val="0"/>
        </w:rPr>
        <w:t>Packer, A.L. (2010), The extent of multidisciplinary authorship of articles on scientometrics</w:t>
      </w:r>
      <w:r w:rsidR="00F81221">
        <w:rPr>
          <w:kern w:val="0"/>
        </w:rPr>
        <w:t xml:space="preserve"> and </w:t>
      </w:r>
      <w:r>
        <w:rPr>
          <w:kern w:val="0"/>
        </w:rPr>
        <w:t xml:space="preserve">bibliometrics in Brazil. </w:t>
      </w:r>
      <w:r>
        <w:rPr>
          <w:i/>
          <w:iCs/>
          <w:kern w:val="0"/>
        </w:rPr>
        <w:t>Interciencia</w:t>
      </w:r>
      <w:r>
        <w:rPr>
          <w:kern w:val="0"/>
        </w:rPr>
        <w:t xml:space="preserve">, </w:t>
      </w:r>
      <w:r>
        <w:rPr>
          <w:b/>
          <w:bCs/>
          <w:kern w:val="0"/>
        </w:rPr>
        <w:t>35</w:t>
      </w:r>
      <w:r>
        <w:rPr>
          <w:kern w:val="0"/>
        </w:rPr>
        <w:t xml:space="preserve"> (7), 510-514.</w:t>
      </w:r>
    </w:p>
    <w:p w:rsidR="00EC3BF1" w:rsidRPr="001A3D2B" w:rsidRDefault="00EC3BF1" w:rsidP="00EC3BF1">
      <w:pPr>
        <w:pStyle w:val="a0"/>
      </w:pPr>
      <w:r>
        <w:rPr>
          <w:rFonts w:hint="eastAsia"/>
        </w:rPr>
        <w:t xml:space="preserve">Full Text: </w:t>
      </w:r>
      <w:hyperlink r:id="rId1549" w:history="1">
        <w:r w:rsidR="003D78F7" w:rsidRPr="003D78F7">
          <w:rPr>
            <w:rStyle w:val="a5"/>
          </w:rPr>
          <w:t>2010\Interciencia35, 510.pdf</w:t>
        </w:r>
      </w:hyperlink>
    </w:p>
    <w:p w:rsidR="009678E6" w:rsidRDefault="009678E6" w:rsidP="009678E6">
      <w:pPr>
        <w:pStyle w:val="a0"/>
        <w:rPr>
          <w:kern w:val="0"/>
        </w:rPr>
      </w:pPr>
      <w:r>
        <w:rPr>
          <w:kern w:val="0"/>
        </w:rPr>
        <w:t>Abstract: The publications in scientometrics</w:t>
      </w:r>
      <w:r w:rsidR="00F81221">
        <w:rPr>
          <w:kern w:val="0"/>
        </w:rPr>
        <w:t xml:space="preserve"> and </w:t>
      </w:r>
      <w:r>
        <w:rPr>
          <w:kern w:val="0"/>
        </w:rPr>
        <w:t>bibliometrics with Brazilian authorship expanded exponentially in the 1990-2006 period, reaching 13 times in the Web of Science database</w:t>
      </w:r>
      <w:r w:rsidR="00F81221">
        <w:rPr>
          <w:kern w:val="0"/>
        </w:rPr>
        <w:t xml:space="preserve"> and </w:t>
      </w:r>
      <w:r>
        <w:rPr>
          <w:kern w:val="0"/>
        </w:rPr>
        <w:t>19.5 times in the Google Scholar database. This increase is rather superior to that of the total Brazilian scientific production in the same time period (5.6 times in the Web of Science). Some characteristics to be noticed in this rise are: 1) The total number of articles during this period was 197; in that, 78% were published in 57 Brazilian journals</w:t>
      </w:r>
      <w:r w:rsidR="00F81221">
        <w:rPr>
          <w:kern w:val="0"/>
        </w:rPr>
        <w:t xml:space="preserve"> and </w:t>
      </w:r>
      <w:r>
        <w:rPr>
          <w:kern w:val="0"/>
        </w:rPr>
        <w:t>22% in 13 international journals. 2) The national</w:t>
      </w:r>
      <w:r w:rsidR="00F81221">
        <w:rPr>
          <w:kern w:val="0"/>
        </w:rPr>
        <w:t xml:space="preserve"> and </w:t>
      </w:r>
      <w:r>
        <w:rPr>
          <w:kern w:val="0"/>
        </w:rPr>
        <w:t>international articles averaged 4.3</w:t>
      </w:r>
      <w:r w:rsidR="00F81221">
        <w:rPr>
          <w:kern w:val="0"/>
        </w:rPr>
        <w:t xml:space="preserve"> and </w:t>
      </w:r>
      <w:r>
        <w:rPr>
          <w:kern w:val="0"/>
        </w:rPr>
        <w:t>5.9 citations/article, respectively; two journals stood out among these, the national Ciencia da Informacao (44 articles averaging 6.7 citations/article)</w:t>
      </w:r>
      <w:r w:rsidR="00F81221">
        <w:rPr>
          <w:kern w:val="0"/>
        </w:rPr>
        <w:t xml:space="preserve"> and </w:t>
      </w:r>
      <w:r>
        <w:rPr>
          <w:kern w:val="0"/>
        </w:rPr>
        <w:t xml:space="preserve">the international Scientometrics (32 articles averaging 6.2 citations/article). 3) The articles encompass an impressive participation of authors from areas other than information science; only one-fourth of the authors </w:t>
      </w:r>
      <w:r>
        <w:rPr>
          <w:kern w:val="0"/>
        </w:rPr>
        <w:lastRenderedPageBreak/>
        <w:t>are bound to the information science field, the remaining ones being distributed among the areas of humanities/business administration, biology/biomedicine, health</w:t>
      </w:r>
      <w:r w:rsidR="00F81221">
        <w:rPr>
          <w:kern w:val="0"/>
        </w:rPr>
        <w:t xml:space="preserve"> and </w:t>
      </w:r>
      <w:r>
        <w:rPr>
          <w:kern w:val="0"/>
        </w:rPr>
        <w:t>hard sciences. The occurrence of adventitious authors at this level of multidisciplinarity is uncommon in science. However, the possible benefits of such patterns are not clear in view of a fragmented intercommunication among the authors, as noticed through the citations. The advantages of changing this trend</w:t>
      </w:r>
      <w:r w:rsidR="00F81221">
        <w:rPr>
          <w:kern w:val="0"/>
        </w:rPr>
        <w:t xml:space="preserve"> and </w:t>
      </w:r>
      <w:r>
        <w:rPr>
          <w:kern w:val="0"/>
        </w:rPr>
        <w:t>of using other scientometric</w:t>
      </w:r>
      <w:r w:rsidR="00F81221">
        <w:rPr>
          <w:kern w:val="0"/>
        </w:rPr>
        <w:t xml:space="preserve"> and </w:t>
      </w:r>
      <w:r>
        <w:rPr>
          <w:kern w:val="0"/>
        </w:rPr>
        <w:t>bibliometric databases, such as SciELO, to avoid an almost exclusive use of the Web of Science database, are discussed.</w:t>
      </w:r>
    </w:p>
    <w:p w:rsidR="009678E6" w:rsidRDefault="009678E6" w:rsidP="009678E6">
      <w:pPr>
        <w:pStyle w:val="a0"/>
        <w:rPr>
          <w:kern w:val="0"/>
        </w:rPr>
      </w:pPr>
      <w:r>
        <w:rPr>
          <w:kern w:val="0"/>
        </w:rPr>
        <w:t>Keywords: Authorship, Bibliometrics, Citation, Citations, h Index, Infometrics, Information Science, Publication, Publications, SciELO, Science, Scientometrics, Web, Web of Science</w:t>
      </w:r>
    </w:p>
    <w:p w:rsidR="00EC3BF1" w:rsidRDefault="00EC3BF1" w:rsidP="00EC3BF1">
      <w:pPr>
        <w:pStyle w:val="a0"/>
        <w:rPr>
          <w:kern w:val="0"/>
          <w:szCs w:val="24"/>
        </w:rPr>
      </w:pPr>
      <w:r>
        <w:rPr>
          <w:rFonts w:hint="eastAsia"/>
          <w:kern w:val="0"/>
          <w:szCs w:val="24"/>
        </w:rPr>
        <w:t xml:space="preserve">? </w:t>
      </w:r>
      <w:r>
        <w:rPr>
          <w:kern w:val="0"/>
          <w:szCs w:val="24"/>
        </w:rPr>
        <w:t>Rojas-Sola, J.I.</w:t>
      </w:r>
      <w:r w:rsidR="00F81221">
        <w:rPr>
          <w:kern w:val="0"/>
          <w:szCs w:val="24"/>
        </w:rPr>
        <w:t xml:space="preserve"> and </w:t>
      </w:r>
      <w:r>
        <w:rPr>
          <w:kern w:val="0"/>
          <w:szCs w:val="24"/>
        </w:rPr>
        <w:t xml:space="preserve">Jorda-Albinana, B. (2010), Bibliometric analysis of Venezuelan scientific publications in the ecology category of the Web of Science database (1997-2008). </w:t>
      </w:r>
      <w:r>
        <w:rPr>
          <w:i/>
          <w:iCs/>
          <w:kern w:val="0"/>
          <w:szCs w:val="24"/>
        </w:rPr>
        <w:t>Interciencia</w:t>
      </w:r>
      <w:r>
        <w:rPr>
          <w:kern w:val="0"/>
          <w:szCs w:val="24"/>
        </w:rPr>
        <w:t xml:space="preserve">, </w:t>
      </w:r>
      <w:r>
        <w:rPr>
          <w:b/>
          <w:bCs/>
          <w:kern w:val="0"/>
          <w:szCs w:val="24"/>
        </w:rPr>
        <w:t>35</w:t>
      </w:r>
      <w:r>
        <w:rPr>
          <w:kern w:val="0"/>
          <w:szCs w:val="24"/>
        </w:rPr>
        <w:t xml:space="preserve"> (8), 619-623.</w:t>
      </w:r>
    </w:p>
    <w:p w:rsidR="003D78F7" w:rsidRDefault="003D78F7" w:rsidP="003D78F7">
      <w:pPr>
        <w:pStyle w:val="a0"/>
      </w:pPr>
      <w:r>
        <w:t xml:space="preserve">Full Text: </w:t>
      </w:r>
      <w:hyperlink r:id="rId1550" w:history="1">
        <w:r>
          <w:rPr>
            <w:rStyle w:val="a5"/>
          </w:rPr>
          <w:t>2010\Interciencia35, 619.pdf</w:t>
        </w:r>
      </w:hyperlink>
    </w:p>
    <w:p w:rsidR="00EC3BF1" w:rsidRDefault="00EC3BF1" w:rsidP="00EC3BF1">
      <w:pPr>
        <w:pStyle w:val="a0"/>
        <w:rPr>
          <w:kern w:val="0"/>
          <w:szCs w:val="24"/>
        </w:rPr>
      </w:pPr>
      <w:r>
        <w:rPr>
          <w:kern w:val="0"/>
          <w:szCs w:val="24"/>
        </w:rPr>
        <w:t>Abstract: The Venezuelan scientific production in the Ecology subject category in the Web of Science (WoS) database,</w:t>
      </w:r>
      <w:r w:rsidR="00F81221">
        <w:rPr>
          <w:kern w:val="0"/>
          <w:szCs w:val="24"/>
        </w:rPr>
        <w:t xml:space="preserve"> and </w:t>
      </w:r>
      <w:r>
        <w:rPr>
          <w:kern w:val="0"/>
          <w:szCs w:val="24"/>
        </w:rPr>
        <w:t>published in international journals with impact factor between 1997</w:t>
      </w:r>
      <w:r w:rsidR="00F81221">
        <w:rPr>
          <w:kern w:val="0"/>
          <w:szCs w:val="24"/>
        </w:rPr>
        <w:t xml:space="preserve"> and </w:t>
      </w:r>
      <w:r>
        <w:rPr>
          <w:kern w:val="0"/>
          <w:szCs w:val="24"/>
        </w:rPr>
        <w:t>2008, was reviewed at an institutional level. A total of 644 articles in 56 journals, mostly in Spanish</w:t>
      </w:r>
      <w:r w:rsidR="00F81221">
        <w:rPr>
          <w:kern w:val="0"/>
          <w:szCs w:val="24"/>
        </w:rPr>
        <w:t xml:space="preserve"> and </w:t>
      </w:r>
      <w:r>
        <w:rPr>
          <w:kern w:val="0"/>
          <w:szCs w:val="24"/>
        </w:rPr>
        <w:t>English were found. Three universities</w:t>
      </w:r>
      <w:r w:rsidR="00F81221">
        <w:rPr>
          <w:kern w:val="0"/>
          <w:szCs w:val="24"/>
        </w:rPr>
        <w:t xml:space="preserve"> and </w:t>
      </w:r>
      <w:r>
        <w:rPr>
          <w:kern w:val="0"/>
          <w:szCs w:val="24"/>
        </w:rPr>
        <w:t>a research institution (Universidad Central de Venezuela, Universidad Simon Bolivar, Universidad de Los Andes</w:t>
      </w:r>
      <w:r w:rsidR="00F81221">
        <w:rPr>
          <w:kern w:val="0"/>
          <w:szCs w:val="24"/>
        </w:rPr>
        <w:t xml:space="preserve"> and </w:t>
      </w:r>
      <w:r>
        <w:rPr>
          <w:kern w:val="0"/>
          <w:szCs w:val="24"/>
        </w:rPr>
        <w:t>the Instituto Venezolano de Investigaciones Cientificas) aggregate 96,58% of all science production registered in that database in Ecology, standing out the Universidad Central de Venezuela with 229 articles (35.56%). An increase in scientific production was found until 2006, after which there is a marked decline. In terms of impact factor, the Instituto Venezolano de Investigaciones Cientificas outstands, followed by the Universidad de Los Andes. A high international collaboration, mainly with researchers from the USA, is also highlighted.</w:t>
      </w:r>
    </w:p>
    <w:p w:rsidR="00EC3BF1" w:rsidRDefault="00EC3BF1" w:rsidP="00EC3BF1">
      <w:pPr>
        <w:pStyle w:val="a0"/>
        <w:rPr>
          <w:kern w:val="0"/>
          <w:szCs w:val="24"/>
        </w:rPr>
      </w:pPr>
      <w:r>
        <w:rPr>
          <w:kern w:val="0"/>
          <w:szCs w:val="24"/>
        </w:rPr>
        <w:t>Keywords: Impact Factors, Indicators</w:t>
      </w:r>
    </w:p>
    <w:p w:rsidR="003652F4" w:rsidRDefault="003652F4" w:rsidP="003652F4">
      <w:pPr>
        <w:pStyle w:val="a0"/>
        <w:rPr>
          <w:kern w:val="0"/>
          <w:szCs w:val="24"/>
        </w:rPr>
      </w:pPr>
      <w:r>
        <w:rPr>
          <w:kern w:val="0"/>
          <w:szCs w:val="24"/>
        </w:rPr>
        <w:t xml:space="preserve">? Wasserman, J.C. (2010), Ethical aspects of scientific texts. </w:t>
      </w:r>
      <w:r>
        <w:rPr>
          <w:i/>
          <w:iCs/>
          <w:kern w:val="0"/>
          <w:szCs w:val="24"/>
        </w:rPr>
        <w:t>Interciencia</w:t>
      </w:r>
      <w:r>
        <w:rPr>
          <w:kern w:val="0"/>
          <w:szCs w:val="24"/>
        </w:rPr>
        <w:t xml:space="preserve">, </w:t>
      </w:r>
      <w:r>
        <w:rPr>
          <w:b/>
          <w:bCs/>
          <w:kern w:val="0"/>
          <w:szCs w:val="24"/>
        </w:rPr>
        <w:t>36</w:t>
      </w:r>
      <w:r>
        <w:rPr>
          <w:kern w:val="0"/>
          <w:szCs w:val="24"/>
        </w:rPr>
        <w:t xml:space="preserve"> (6), 466-472.</w:t>
      </w:r>
    </w:p>
    <w:p w:rsidR="003652F4" w:rsidRPr="001A3D2B" w:rsidRDefault="003652F4" w:rsidP="003652F4">
      <w:pPr>
        <w:pStyle w:val="a0"/>
      </w:pPr>
      <w:r>
        <w:rPr>
          <w:rFonts w:hint="eastAsia"/>
        </w:rPr>
        <w:t xml:space="preserve">Full Text: </w:t>
      </w:r>
      <w:r w:rsidR="00053358">
        <w:rPr>
          <w:kern w:val="0"/>
        </w:rPr>
        <w:t>2010\Interciencia36, 466.pdf</w:t>
      </w:r>
    </w:p>
    <w:p w:rsidR="003652F4" w:rsidRDefault="003652F4" w:rsidP="003652F4">
      <w:pPr>
        <w:pStyle w:val="a0"/>
        <w:rPr>
          <w:kern w:val="0"/>
          <w:szCs w:val="24"/>
        </w:rPr>
      </w:pPr>
      <w:r>
        <w:rPr>
          <w:kern w:val="0"/>
          <w:szCs w:val="24"/>
        </w:rPr>
        <w:t>Abstract: Ethics in the scientific writing has been scarcely discussed, mainly in Latin-American countries,</w:t>
      </w:r>
      <w:r w:rsidR="00F81221">
        <w:rPr>
          <w:kern w:val="0"/>
          <w:szCs w:val="24"/>
        </w:rPr>
        <w:t xml:space="preserve"> and </w:t>
      </w:r>
      <w:r>
        <w:rPr>
          <w:kern w:val="0"/>
          <w:szCs w:val="24"/>
        </w:rPr>
        <w:t>thanks to the lack of agreement each researcher or research group establish their own ethics. Therefore, whenever students want to get included, they have to follow those criteria, regardless of its fairness. Furthermore, these ethical concepts are not formally transferred,</w:t>
      </w:r>
      <w:r w:rsidR="00F81221">
        <w:rPr>
          <w:kern w:val="0"/>
          <w:szCs w:val="24"/>
        </w:rPr>
        <w:t xml:space="preserve"> and </w:t>
      </w:r>
      <w:r>
        <w:rPr>
          <w:kern w:val="0"/>
          <w:szCs w:val="24"/>
        </w:rPr>
        <w:t xml:space="preserve">the participants of the research group have to learn them for experience that is frequently a bitter one. This article aims to start a discussion on the ethics of the scientific text that delimits </w:t>
      </w:r>
      <w:r>
        <w:rPr>
          <w:kern w:val="0"/>
          <w:szCs w:val="24"/>
        </w:rPr>
        <w:lastRenderedPageBreak/>
        <w:t>behaviors in the field of scientific publications. The text reports cases of plagiarism where the purpose of copying was evident, as well as situations where the lack of awareness about the rules leads the authors to ethic flaws. The principles of ethics in the scientific text are also discussed,</w:t>
      </w:r>
      <w:r w:rsidR="00F81221">
        <w:rPr>
          <w:kern w:val="0"/>
          <w:szCs w:val="24"/>
        </w:rPr>
        <w:t xml:space="preserve"> and </w:t>
      </w:r>
      <w:r>
        <w:rPr>
          <w:kern w:val="0"/>
          <w:szCs w:val="24"/>
        </w:rPr>
        <w:t>how these principles warrant the credibility of the scientific work. The originality of the scientific text is defined as a fundamental concept that drives the citation process. The property of the scientific work is further discussed, outlining the criteria that should drive the choice of those which may participate as coauthors or those who merely contributed to the work. The dialog between colleagues is established as a key procedure for the mitigation of the conflicts and, finally, situations are presented where dishonesty seems a natural path in academic</w:t>
      </w:r>
      <w:r w:rsidR="00F81221">
        <w:rPr>
          <w:kern w:val="0"/>
          <w:szCs w:val="24"/>
        </w:rPr>
        <w:t xml:space="preserve"> and </w:t>
      </w:r>
      <w:r>
        <w:rPr>
          <w:kern w:val="0"/>
          <w:szCs w:val="24"/>
        </w:rPr>
        <w:t xml:space="preserve">non-academic environments where the </w:t>
      </w:r>
      <w:r w:rsidR="000352E7">
        <w:rPr>
          <w:kern w:val="0"/>
          <w:szCs w:val="24"/>
        </w:rPr>
        <w:t>“</w:t>
      </w:r>
      <w:r>
        <w:rPr>
          <w:kern w:val="0"/>
          <w:szCs w:val="24"/>
        </w:rPr>
        <w:t>goals justify the means</w:t>
      </w:r>
      <w:r w:rsidR="000352E7">
        <w:rPr>
          <w:kern w:val="0"/>
          <w:szCs w:val="24"/>
        </w:rPr>
        <w:t>”</w:t>
      </w:r>
      <w:r>
        <w:rPr>
          <w:kern w:val="0"/>
          <w:szCs w:val="24"/>
        </w:rPr>
        <w:t>.</w:t>
      </w:r>
    </w:p>
    <w:p w:rsidR="003652F4" w:rsidRDefault="003652F4" w:rsidP="003652F4">
      <w:pPr>
        <w:pStyle w:val="a0"/>
        <w:rPr>
          <w:kern w:val="0"/>
          <w:szCs w:val="24"/>
        </w:rPr>
      </w:pPr>
      <w:r>
        <w:rPr>
          <w:kern w:val="0"/>
          <w:szCs w:val="24"/>
        </w:rPr>
        <w:t>Keywords: Authors, Citation, Ethics, Originality, Plagiarism, Publications, Research, Scientific Publications, Students, Writing</w:t>
      </w:r>
    </w:p>
    <w:p w:rsidR="00CF125E" w:rsidRPr="00A428C3" w:rsidRDefault="00CF125E" w:rsidP="00CF125E">
      <w:pPr>
        <w:pStyle w:val="1"/>
      </w:pPr>
      <w:r w:rsidRPr="00A428C3">
        <w:br w:type="page"/>
      </w:r>
      <w:bookmarkStart w:id="1116" w:name="_Toc317161206"/>
      <w:r w:rsidRPr="00A428C3">
        <w:lastRenderedPageBreak/>
        <w:t xml:space="preserve">Title: </w:t>
      </w:r>
      <w:r w:rsidRPr="000F625F">
        <w:t>Interdisciplinary Science Reviews</w:t>
      </w:r>
      <w:bookmarkEnd w:id="1116"/>
    </w:p>
    <w:p w:rsidR="00CF125E" w:rsidRPr="00A428C3" w:rsidRDefault="00CF125E" w:rsidP="00B72EF9">
      <w:pPr>
        <w:pStyle w:val="12"/>
      </w:pPr>
      <w:r w:rsidRPr="00A428C3">
        <w:t xml:space="preserve">Full Journal Title: </w:t>
      </w:r>
      <w:r w:rsidRPr="000F625F">
        <w:t>Interdisciplinary Science Reviews</w:t>
      </w:r>
    </w:p>
    <w:p w:rsidR="00CF125E" w:rsidRPr="00A428C3" w:rsidRDefault="00CF125E" w:rsidP="00B72EF9">
      <w:pPr>
        <w:pStyle w:val="12"/>
      </w:pPr>
      <w:r w:rsidRPr="00A428C3">
        <w:t xml:space="preserve">ISO Abbreviated Title: </w:t>
      </w:r>
    </w:p>
    <w:p w:rsidR="00CF125E" w:rsidRPr="00A428C3" w:rsidRDefault="00CF125E" w:rsidP="00B72EF9">
      <w:pPr>
        <w:pStyle w:val="12"/>
      </w:pPr>
      <w:r w:rsidRPr="00A428C3">
        <w:t>JCR Abbreviated Title</w:t>
      </w:r>
      <w:r>
        <w:t>:</w:t>
      </w:r>
      <w:r w:rsidRPr="00A428C3">
        <w:t xml:space="preserve"> </w:t>
      </w:r>
    </w:p>
    <w:p w:rsidR="00CF125E" w:rsidRPr="00A428C3" w:rsidRDefault="00CF125E" w:rsidP="00B72EF9">
      <w:pPr>
        <w:pStyle w:val="12"/>
      </w:pPr>
      <w:r>
        <w:t xml:space="preserve">ISSN: </w:t>
      </w:r>
    </w:p>
    <w:p w:rsidR="00CF125E" w:rsidRPr="00A428C3" w:rsidRDefault="00CF125E" w:rsidP="00B72EF9">
      <w:pPr>
        <w:pStyle w:val="12"/>
      </w:pPr>
      <w:r w:rsidRPr="00A428C3">
        <w:t xml:space="preserve">Issues/Year: </w:t>
      </w:r>
    </w:p>
    <w:p w:rsidR="00CF125E" w:rsidRPr="00A428C3" w:rsidRDefault="00FB5623" w:rsidP="00B72EF9">
      <w:pPr>
        <w:pStyle w:val="12"/>
      </w:pPr>
      <w:r>
        <w:t>Journal Country/Territory:</w:t>
      </w:r>
      <w:r w:rsidR="00CF125E">
        <w:t xml:space="preserve"> </w:t>
      </w:r>
    </w:p>
    <w:p w:rsidR="00CF125E" w:rsidRPr="00A428C3" w:rsidRDefault="00CF125E" w:rsidP="00B72EF9">
      <w:pPr>
        <w:pStyle w:val="12"/>
      </w:pPr>
      <w:r w:rsidRPr="00A428C3">
        <w:t xml:space="preserve">Language: </w:t>
      </w:r>
    </w:p>
    <w:p w:rsidR="00CF125E" w:rsidRPr="00A428C3" w:rsidRDefault="00CF125E" w:rsidP="00B72EF9">
      <w:pPr>
        <w:pStyle w:val="12"/>
      </w:pPr>
      <w:r w:rsidRPr="00A428C3">
        <w:t xml:space="preserve">Publisher: </w:t>
      </w:r>
    </w:p>
    <w:p w:rsidR="00CF125E" w:rsidRPr="00A428C3" w:rsidRDefault="00CF125E" w:rsidP="00B72EF9">
      <w:pPr>
        <w:pStyle w:val="12"/>
      </w:pPr>
      <w:r w:rsidRPr="00A428C3">
        <w:t xml:space="preserve">Publisher Address: </w:t>
      </w:r>
    </w:p>
    <w:p w:rsidR="00CF125E" w:rsidRPr="00A428C3" w:rsidRDefault="00CF125E" w:rsidP="00B72EF9">
      <w:pPr>
        <w:pStyle w:val="12"/>
      </w:pPr>
      <w:r w:rsidRPr="00A428C3">
        <w:t>Subject Categories:</w:t>
      </w:r>
    </w:p>
    <w:p w:rsidR="00CF125E" w:rsidRPr="00A428C3" w:rsidRDefault="00CF125E" w:rsidP="00B72EF9">
      <w:pPr>
        <w:pStyle w:val="12"/>
      </w:pPr>
      <w:r w:rsidRPr="00A428C3">
        <w:t xml:space="preserve">: Impact Factor </w:t>
      </w:r>
    </w:p>
    <w:p w:rsidR="00CF125E" w:rsidRDefault="00CF125E" w:rsidP="00CF125E">
      <w:pPr>
        <w:pStyle w:val="a0"/>
        <w:rPr>
          <w:kern w:val="0"/>
          <w:szCs w:val="24"/>
        </w:rPr>
      </w:pPr>
      <w:r>
        <w:rPr>
          <w:rFonts w:hint="eastAsia"/>
          <w:kern w:val="0"/>
          <w:szCs w:val="24"/>
        </w:rPr>
        <w:t xml:space="preserve">? </w:t>
      </w:r>
      <w:r>
        <w:rPr>
          <w:kern w:val="0"/>
          <w:szCs w:val="24"/>
        </w:rPr>
        <w:t>Yagi, E., Badash, L.</w:t>
      </w:r>
      <w:r w:rsidR="00F81221">
        <w:rPr>
          <w:kern w:val="0"/>
          <w:szCs w:val="24"/>
        </w:rPr>
        <w:t xml:space="preserve"> and </w:t>
      </w:r>
      <w:r>
        <w:rPr>
          <w:kern w:val="0"/>
          <w:szCs w:val="24"/>
        </w:rPr>
        <w:t>Beaver, D.D. (1996), Derek J. de S. Price (1922-83) - Historian of science</w:t>
      </w:r>
      <w:r w:rsidR="00F81221">
        <w:rPr>
          <w:kern w:val="0"/>
          <w:szCs w:val="24"/>
        </w:rPr>
        <w:t xml:space="preserve"> and </w:t>
      </w:r>
      <w:r>
        <w:rPr>
          <w:kern w:val="0"/>
          <w:szCs w:val="24"/>
        </w:rPr>
        <w:t xml:space="preserve">herald of scientometrics. </w:t>
      </w:r>
      <w:r>
        <w:rPr>
          <w:i/>
          <w:iCs/>
          <w:kern w:val="0"/>
          <w:szCs w:val="24"/>
        </w:rPr>
        <w:t>Interdisciplinary Science Reviews</w:t>
      </w:r>
      <w:r>
        <w:rPr>
          <w:kern w:val="0"/>
          <w:szCs w:val="24"/>
        </w:rPr>
        <w:t xml:space="preserve">, </w:t>
      </w:r>
      <w:r>
        <w:rPr>
          <w:b/>
          <w:bCs/>
          <w:kern w:val="0"/>
          <w:szCs w:val="24"/>
        </w:rPr>
        <w:t>21</w:t>
      </w:r>
      <w:r>
        <w:rPr>
          <w:kern w:val="0"/>
          <w:szCs w:val="24"/>
        </w:rPr>
        <w:t xml:space="preserve"> (1), 64-84.</w:t>
      </w:r>
    </w:p>
    <w:p w:rsidR="00CF125E" w:rsidRDefault="00CF125E" w:rsidP="00CF125E">
      <w:pPr>
        <w:pStyle w:val="a0"/>
        <w:rPr>
          <w:kern w:val="0"/>
          <w:szCs w:val="24"/>
        </w:rPr>
      </w:pPr>
      <w:r>
        <w:rPr>
          <w:kern w:val="0"/>
          <w:szCs w:val="24"/>
        </w:rPr>
        <w:t>Abstract: The 1960s, a golden age for academia in the USA, witnessed an unparallelled expansion of disciplines, among them the history of science</w:t>
      </w:r>
      <w:r w:rsidR="00F81221">
        <w:rPr>
          <w:kern w:val="0"/>
          <w:szCs w:val="24"/>
        </w:rPr>
        <w:t xml:space="preserve"> and </w:t>
      </w:r>
      <w:r>
        <w:rPr>
          <w:kern w:val="0"/>
          <w:szCs w:val="24"/>
        </w:rPr>
        <w:t>quantitative studies of science. A major pioneer in developing those fields was Derek Price, whose leadership of Yale University</w:t>
      </w:r>
      <w:r w:rsidR="000352E7">
        <w:rPr>
          <w:kern w:val="0"/>
          <w:szCs w:val="24"/>
        </w:rPr>
        <w:t>’</w:t>
      </w:r>
      <w:r>
        <w:rPr>
          <w:kern w:val="0"/>
          <w:szCs w:val="24"/>
        </w:rPr>
        <w:t>s newly created Department of History of Science</w:t>
      </w:r>
      <w:r w:rsidR="00F81221">
        <w:rPr>
          <w:kern w:val="0"/>
          <w:szCs w:val="24"/>
        </w:rPr>
        <w:t xml:space="preserve"> and </w:t>
      </w:r>
      <w:r>
        <w:rPr>
          <w:kern w:val="0"/>
          <w:szCs w:val="24"/>
        </w:rPr>
        <w:t>Medicine helped to bring national prominence to research about science</w:t>
      </w:r>
      <w:r w:rsidR="00F81221">
        <w:rPr>
          <w:kern w:val="0"/>
          <w:szCs w:val="24"/>
        </w:rPr>
        <w:t xml:space="preserve"> and </w:t>
      </w:r>
      <w:r>
        <w:rPr>
          <w:kern w:val="0"/>
          <w:szCs w:val="24"/>
        </w:rPr>
        <w:t>scientists. Price</w:t>
      </w:r>
      <w:r w:rsidR="000352E7">
        <w:rPr>
          <w:kern w:val="0"/>
          <w:szCs w:val="24"/>
        </w:rPr>
        <w:t>’</w:t>
      </w:r>
      <w:r>
        <w:rPr>
          <w:kern w:val="0"/>
          <w:szCs w:val="24"/>
        </w:rPr>
        <w:t>s legacy to the history of science, science policy,</w:t>
      </w:r>
      <w:r w:rsidR="00F81221">
        <w:rPr>
          <w:kern w:val="0"/>
          <w:szCs w:val="24"/>
        </w:rPr>
        <w:t xml:space="preserve"> and </w:t>
      </w:r>
      <w:r>
        <w:rPr>
          <w:kern w:val="0"/>
          <w:szCs w:val="24"/>
        </w:rPr>
        <w:t>scientometrics continues to be influential today. Three of Price</w:t>
      </w:r>
      <w:r w:rsidR="000352E7">
        <w:rPr>
          <w:kern w:val="0"/>
          <w:szCs w:val="24"/>
        </w:rPr>
        <w:t>’</w:t>
      </w:r>
      <w:r>
        <w:rPr>
          <w:kern w:val="0"/>
          <w:szCs w:val="24"/>
        </w:rPr>
        <w:t>s students recall the chemistry of the first years of the department,</w:t>
      </w:r>
      <w:r w:rsidR="00F81221">
        <w:rPr>
          <w:kern w:val="0"/>
          <w:szCs w:val="24"/>
        </w:rPr>
        <w:t xml:space="preserve"> and </w:t>
      </w:r>
      <w:r>
        <w:rPr>
          <w:kern w:val="0"/>
          <w:szCs w:val="24"/>
        </w:rPr>
        <w:t>reflect on their experiences with Price the scholar, teacher,</w:t>
      </w:r>
      <w:r w:rsidR="00F81221">
        <w:rPr>
          <w:kern w:val="0"/>
          <w:szCs w:val="24"/>
        </w:rPr>
        <w:t xml:space="preserve"> and </w:t>
      </w:r>
      <w:r>
        <w:rPr>
          <w:kern w:val="0"/>
          <w:szCs w:val="24"/>
        </w:rPr>
        <w:t>mentor.</w:t>
      </w:r>
    </w:p>
    <w:p w:rsidR="00CF125E" w:rsidRDefault="00CF125E" w:rsidP="00CF125E">
      <w:pPr>
        <w:pStyle w:val="a0"/>
        <w:rPr>
          <w:kern w:val="0"/>
          <w:szCs w:val="24"/>
        </w:rPr>
      </w:pPr>
      <w:r>
        <w:rPr>
          <w:kern w:val="0"/>
          <w:szCs w:val="24"/>
        </w:rPr>
        <w:t>Keywords: Chemistry, History, History of Science, Research, Science, Scientometrics</w:t>
      </w:r>
    </w:p>
    <w:p w:rsidR="00CF125E" w:rsidRDefault="00CF125E" w:rsidP="00CF125E">
      <w:pPr>
        <w:pStyle w:val="a0"/>
        <w:rPr>
          <w:kern w:val="0"/>
          <w:szCs w:val="24"/>
        </w:rPr>
      </w:pPr>
      <w:r>
        <w:rPr>
          <w:rFonts w:hint="eastAsia"/>
          <w:kern w:val="0"/>
          <w:szCs w:val="24"/>
        </w:rPr>
        <w:t xml:space="preserve">? </w:t>
      </w:r>
      <w:r>
        <w:rPr>
          <w:kern w:val="0"/>
          <w:szCs w:val="24"/>
        </w:rPr>
        <w:t>Wilson, C.S.</w:t>
      </w:r>
      <w:r w:rsidR="00F81221">
        <w:rPr>
          <w:kern w:val="0"/>
          <w:szCs w:val="24"/>
        </w:rPr>
        <w:t xml:space="preserve"> and </w:t>
      </w:r>
      <w:r>
        <w:rPr>
          <w:kern w:val="0"/>
          <w:szCs w:val="24"/>
        </w:rPr>
        <w:t>Osareh, F. (2003), Science</w:t>
      </w:r>
      <w:r w:rsidR="00F81221">
        <w:rPr>
          <w:kern w:val="0"/>
          <w:szCs w:val="24"/>
        </w:rPr>
        <w:t xml:space="preserve"> and </w:t>
      </w:r>
      <w:r>
        <w:rPr>
          <w:kern w:val="0"/>
          <w:szCs w:val="24"/>
        </w:rPr>
        <w:t xml:space="preserve">research in Iran: a scientometric study. </w:t>
      </w:r>
      <w:r>
        <w:rPr>
          <w:i/>
          <w:iCs/>
          <w:kern w:val="0"/>
          <w:szCs w:val="24"/>
        </w:rPr>
        <w:t>Interdisciplinary Science Reviews</w:t>
      </w:r>
      <w:r>
        <w:rPr>
          <w:kern w:val="0"/>
          <w:szCs w:val="24"/>
        </w:rPr>
        <w:t xml:space="preserve">, </w:t>
      </w:r>
      <w:r>
        <w:rPr>
          <w:b/>
          <w:bCs/>
          <w:kern w:val="0"/>
          <w:szCs w:val="24"/>
        </w:rPr>
        <w:t>28</w:t>
      </w:r>
      <w:r>
        <w:rPr>
          <w:kern w:val="0"/>
          <w:szCs w:val="24"/>
        </w:rPr>
        <w:t xml:space="preserve"> (1), 26-37.</w:t>
      </w:r>
    </w:p>
    <w:p w:rsidR="00CF125E" w:rsidRDefault="00CF125E" w:rsidP="00CF125E">
      <w:pPr>
        <w:pStyle w:val="a0"/>
        <w:rPr>
          <w:kern w:val="0"/>
          <w:szCs w:val="24"/>
        </w:rPr>
      </w:pPr>
      <w:r>
        <w:rPr>
          <w:kern w:val="0"/>
          <w:szCs w:val="24"/>
        </w:rPr>
        <w:t>Abstract: Indicators of science</w:t>
      </w:r>
      <w:r w:rsidR="00F81221">
        <w:rPr>
          <w:kern w:val="0"/>
          <w:szCs w:val="24"/>
        </w:rPr>
        <w:t xml:space="preserve"> and </w:t>
      </w:r>
      <w:r>
        <w:rPr>
          <w:kern w:val="0"/>
          <w:szCs w:val="24"/>
        </w:rPr>
        <w:t>technology (S&amp;T) activity often disadvantage developing countries, due, in part, to incomplete compilation of statistics or to the examination of indicators in isolation. Among the major indicators of S&amp;T activity are research</w:t>
      </w:r>
      <w:r w:rsidR="00F81221">
        <w:rPr>
          <w:kern w:val="0"/>
          <w:szCs w:val="24"/>
        </w:rPr>
        <w:t xml:space="preserve"> and </w:t>
      </w:r>
      <w:r>
        <w:rPr>
          <w:kern w:val="0"/>
          <w:szCs w:val="24"/>
        </w:rPr>
        <w:t>development (R&amp;D) expenditures</w:t>
      </w:r>
      <w:r w:rsidR="00F81221">
        <w:rPr>
          <w:kern w:val="0"/>
          <w:szCs w:val="24"/>
        </w:rPr>
        <w:t xml:space="preserve"> and </w:t>
      </w:r>
      <w:r>
        <w:rPr>
          <w:kern w:val="0"/>
          <w:szCs w:val="24"/>
        </w:rPr>
        <w:t>their relationship to gross domestic product, numbers of personnel involved in S&amp;T research, scientific publication output</w:t>
      </w:r>
      <w:r w:rsidR="00F81221">
        <w:rPr>
          <w:kern w:val="0"/>
          <w:szCs w:val="24"/>
        </w:rPr>
        <w:t xml:space="preserve"> and </w:t>
      </w:r>
      <w:r>
        <w:rPr>
          <w:kern w:val="0"/>
          <w:szCs w:val="24"/>
        </w:rPr>
        <w:t>rankings by scientific discipline,</w:t>
      </w:r>
      <w:r w:rsidR="00F81221">
        <w:rPr>
          <w:kern w:val="0"/>
          <w:szCs w:val="24"/>
        </w:rPr>
        <w:t xml:space="preserve"> and </w:t>
      </w:r>
      <w:r>
        <w:rPr>
          <w:kern w:val="0"/>
          <w:szCs w:val="24"/>
        </w:rPr>
        <w:t xml:space="preserve">numbers of patents registered in the international patent systems. A </w:t>
      </w:r>
      <w:r w:rsidR="000352E7">
        <w:rPr>
          <w:kern w:val="0"/>
          <w:szCs w:val="24"/>
        </w:rPr>
        <w:t>‘</w:t>
      </w:r>
      <w:r>
        <w:rPr>
          <w:kern w:val="0"/>
          <w:szCs w:val="24"/>
        </w:rPr>
        <w:t>composite index of S&amp;T capacity</w:t>
      </w:r>
      <w:r w:rsidR="000352E7">
        <w:rPr>
          <w:kern w:val="0"/>
          <w:szCs w:val="24"/>
        </w:rPr>
        <w:t>’</w:t>
      </w:r>
      <w:r>
        <w:rPr>
          <w:kern w:val="0"/>
          <w:szCs w:val="24"/>
        </w:rPr>
        <w:t xml:space="preserve"> developed by researchers at the Rand Corporation is described</w:t>
      </w:r>
      <w:r w:rsidR="00F81221">
        <w:rPr>
          <w:kern w:val="0"/>
          <w:szCs w:val="24"/>
        </w:rPr>
        <w:t xml:space="preserve"> and </w:t>
      </w:r>
      <w:r>
        <w:rPr>
          <w:kern w:val="0"/>
          <w:szCs w:val="24"/>
        </w:rPr>
        <w:t>applied comparatively. We have compiled data on Iranian S&amp;T activity under the following headings: R&amp;D expenditure, population</w:t>
      </w:r>
      <w:r w:rsidR="00F81221">
        <w:rPr>
          <w:kern w:val="0"/>
          <w:szCs w:val="24"/>
        </w:rPr>
        <w:t xml:space="preserve"> and </w:t>
      </w:r>
      <w:r>
        <w:rPr>
          <w:kern w:val="0"/>
          <w:szCs w:val="24"/>
        </w:rPr>
        <w:t xml:space="preserve">educational profile, academic personnel, </w:t>
      </w:r>
      <w:r>
        <w:rPr>
          <w:kern w:val="0"/>
          <w:szCs w:val="24"/>
        </w:rPr>
        <w:lastRenderedPageBreak/>
        <w:t>R&amp;D personnel. A scientometric analysis of Iranian S&amp;T publications using the Science Citation Index is presented,</w:t>
      </w:r>
      <w:r w:rsidR="00F81221">
        <w:rPr>
          <w:kern w:val="0"/>
          <w:szCs w:val="24"/>
        </w:rPr>
        <w:t xml:space="preserve"> and </w:t>
      </w:r>
      <w:r>
        <w:rPr>
          <w:kern w:val="0"/>
          <w:szCs w:val="24"/>
        </w:rPr>
        <w:t>possible shortcomings of this approach discussed. All findings are reported, analysed,</w:t>
      </w:r>
      <w:r w:rsidR="00F81221">
        <w:rPr>
          <w:kern w:val="0"/>
          <w:szCs w:val="24"/>
        </w:rPr>
        <w:t xml:space="preserve"> and </w:t>
      </w:r>
      <w:r>
        <w:rPr>
          <w:kern w:val="0"/>
          <w:szCs w:val="24"/>
        </w:rPr>
        <w:t>discussed with reference to the various compilations of S&amp;T indicators</w:t>
      </w:r>
      <w:r w:rsidR="00F81221">
        <w:rPr>
          <w:kern w:val="0"/>
          <w:szCs w:val="24"/>
        </w:rPr>
        <w:t xml:space="preserve"> and </w:t>
      </w:r>
      <w:r>
        <w:rPr>
          <w:kern w:val="0"/>
          <w:szCs w:val="24"/>
        </w:rPr>
        <w:t>to our earlier studies on Iranian scientific publications. In particular we analyse annual distributions of world</w:t>
      </w:r>
      <w:r w:rsidR="00F81221">
        <w:rPr>
          <w:kern w:val="0"/>
          <w:szCs w:val="24"/>
        </w:rPr>
        <w:t xml:space="preserve"> and </w:t>
      </w:r>
      <w:r>
        <w:rPr>
          <w:kern w:val="0"/>
          <w:szCs w:val="24"/>
        </w:rPr>
        <w:t>Iranian S&amp;T publications, international collaboration of Iranian scientists, journals where Iranian scientists publish</w:t>
      </w:r>
      <w:r w:rsidR="00F81221">
        <w:rPr>
          <w:kern w:val="0"/>
          <w:szCs w:val="24"/>
        </w:rPr>
        <w:t xml:space="preserve"> and </w:t>
      </w:r>
      <w:r>
        <w:rPr>
          <w:kern w:val="0"/>
          <w:szCs w:val="24"/>
        </w:rPr>
        <w:t>journals they cite, the most productive Iranian scientists</w:t>
      </w:r>
      <w:r w:rsidR="00F81221">
        <w:rPr>
          <w:kern w:val="0"/>
          <w:szCs w:val="24"/>
        </w:rPr>
        <w:t xml:space="preserve"> and </w:t>
      </w:r>
      <w:r>
        <w:rPr>
          <w:kern w:val="0"/>
          <w:szCs w:val="24"/>
        </w:rPr>
        <w:t>the extent of their influence nationally</w:t>
      </w:r>
      <w:r w:rsidR="00F81221">
        <w:rPr>
          <w:kern w:val="0"/>
          <w:szCs w:val="24"/>
        </w:rPr>
        <w:t xml:space="preserve"> and </w:t>
      </w:r>
      <w:r>
        <w:rPr>
          <w:kern w:val="0"/>
          <w:szCs w:val="24"/>
        </w:rPr>
        <w:t>internationally,</w:t>
      </w:r>
      <w:r w:rsidR="00F81221">
        <w:rPr>
          <w:kern w:val="0"/>
          <w:szCs w:val="24"/>
        </w:rPr>
        <w:t xml:space="preserve"> and </w:t>
      </w:r>
      <w:r>
        <w:rPr>
          <w:kern w:val="0"/>
          <w:szCs w:val="24"/>
        </w:rPr>
        <w:t>S&amp;T subject areas in which Iranian scientists excel. We conclude with comments</w:t>
      </w:r>
      <w:r w:rsidR="00F81221">
        <w:rPr>
          <w:kern w:val="0"/>
          <w:szCs w:val="24"/>
        </w:rPr>
        <w:t xml:space="preserve"> and </w:t>
      </w:r>
      <w:r>
        <w:rPr>
          <w:kern w:val="0"/>
          <w:szCs w:val="24"/>
        </w:rPr>
        <w:t>suggestions for the continued development of Iran</w:t>
      </w:r>
      <w:r w:rsidR="000352E7">
        <w:rPr>
          <w:kern w:val="0"/>
          <w:szCs w:val="24"/>
        </w:rPr>
        <w:t>’</w:t>
      </w:r>
      <w:r>
        <w:rPr>
          <w:kern w:val="0"/>
          <w:szCs w:val="24"/>
        </w:rPr>
        <w:t>s ST capacity.</w:t>
      </w:r>
    </w:p>
    <w:p w:rsidR="00CF125E" w:rsidRPr="000F625F" w:rsidRDefault="00CF125E" w:rsidP="00CF125E">
      <w:pPr>
        <w:pStyle w:val="a0"/>
        <w:rPr>
          <w:kern w:val="0"/>
          <w:szCs w:val="24"/>
        </w:rPr>
      </w:pPr>
      <w:r>
        <w:rPr>
          <w:kern w:val="0"/>
          <w:szCs w:val="24"/>
        </w:rPr>
        <w:t>Keywords: Analysis, Citation, Citation Index, Collaboration, Countries, Developing Countries, Development, Indicators, Iran, Journals, Patent, Patents, Publication, Publications, Research, Research</w:t>
      </w:r>
      <w:r w:rsidR="00F81221">
        <w:rPr>
          <w:kern w:val="0"/>
          <w:szCs w:val="24"/>
        </w:rPr>
        <w:t xml:space="preserve"> and </w:t>
      </w:r>
      <w:r>
        <w:rPr>
          <w:kern w:val="0"/>
          <w:szCs w:val="24"/>
        </w:rPr>
        <w:t>Development, Science, Science</w:t>
      </w:r>
      <w:r w:rsidR="00F81221">
        <w:rPr>
          <w:kern w:val="0"/>
          <w:szCs w:val="24"/>
        </w:rPr>
        <w:t xml:space="preserve"> and </w:t>
      </w:r>
      <w:r>
        <w:rPr>
          <w:kern w:val="0"/>
          <w:szCs w:val="24"/>
        </w:rPr>
        <w:t>Technology, Science Citation Index, Scientific Publications, Scientometric Analysis, Statistics, Technology</w:t>
      </w:r>
    </w:p>
    <w:p w:rsidR="0031722D" w:rsidRPr="00A428C3" w:rsidRDefault="0031722D" w:rsidP="0031722D">
      <w:pPr>
        <w:pStyle w:val="1"/>
      </w:pPr>
      <w:r w:rsidRPr="00A428C3">
        <w:br w:type="page"/>
      </w:r>
      <w:bookmarkStart w:id="1117" w:name="_Toc238863032"/>
      <w:bookmarkStart w:id="1118" w:name="_Toc317161207"/>
      <w:r w:rsidRPr="00A428C3">
        <w:lastRenderedPageBreak/>
        <w:t xml:space="preserve">Title: </w:t>
      </w:r>
      <w:r w:rsidRPr="000F1166">
        <w:t>Interfaces</w:t>
      </w:r>
      <w:bookmarkEnd w:id="1117"/>
      <w:bookmarkEnd w:id="1118"/>
    </w:p>
    <w:p w:rsidR="0031722D" w:rsidRPr="00A428C3" w:rsidRDefault="0031722D" w:rsidP="00B72EF9">
      <w:pPr>
        <w:pStyle w:val="12"/>
      </w:pPr>
      <w:r w:rsidRPr="00A428C3">
        <w:t xml:space="preserve">Full Journal Title: </w:t>
      </w:r>
      <w:r w:rsidRPr="002B6D13">
        <w:t>Interfaces</w:t>
      </w:r>
    </w:p>
    <w:p w:rsidR="0031722D" w:rsidRPr="00A428C3" w:rsidRDefault="0031722D" w:rsidP="00B72EF9">
      <w:pPr>
        <w:pStyle w:val="12"/>
      </w:pPr>
      <w:r w:rsidRPr="00A428C3">
        <w:t xml:space="preserve">ISO Abbreviated Title: </w:t>
      </w:r>
    </w:p>
    <w:p w:rsidR="0031722D" w:rsidRPr="00A428C3" w:rsidRDefault="0031722D" w:rsidP="00B72EF9">
      <w:pPr>
        <w:pStyle w:val="12"/>
      </w:pPr>
      <w:r w:rsidRPr="00A428C3">
        <w:t>JCR Abbreviated Title</w:t>
      </w:r>
      <w:r>
        <w:t>:</w:t>
      </w:r>
      <w:r w:rsidRPr="00A428C3">
        <w:t xml:space="preserve"> </w:t>
      </w:r>
    </w:p>
    <w:p w:rsidR="0031722D" w:rsidRPr="00A428C3" w:rsidRDefault="0031722D" w:rsidP="00B72EF9">
      <w:pPr>
        <w:pStyle w:val="12"/>
      </w:pPr>
      <w:r>
        <w:t xml:space="preserve">ISSN: </w:t>
      </w:r>
      <w:r w:rsidRPr="000F1166">
        <w:t>0092-2102</w:t>
      </w:r>
    </w:p>
    <w:p w:rsidR="0031722D" w:rsidRPr="00A428C3" w:rsidRDefault="0031722D" w:rsidP="00B72EF9">
      <w:pPr>
        <w:pStyle w:val="12"/>
      </w:pPr>
      <w:r w:rsidRPr="00A428C3">
        <w:t xml:space="preserve">Issues/Year: </w:t>
      </w:r>
    </w:p>
    <w:p w:rsidR="0031722D" w:rsidRPr="00A428C3" w:rsidRDefault="00FB5623" w:rsidP="00B72EF9">
      <w:pPr>
        <w:pStyle w:val="12"/>
      </w:pPr>
      <w:r>
        <w:t>Journal Country/Territory:</w:t>
      </w:r>
      <w:r w:rsidR="0031722D">
        <w:t xml:space="preserve"> </w:t>
      </w:r>
    </w:p>
    <w:p w:rsidR="0031722D" w:rsidRPr="00A428C3" w:rsidRDefault="0031722D" w:rsidP="00B72EF9">
      <w:pPr>
        <w:pStyle w:val="12"/>
      </w:pPr>
      <w:r w:rsidRPr="00A428C3">
        <w:t xml:space="preserve">Language: </w:t>
      </w:r>
    </w:p>
    <w:p w:rsidR="0031722D" w:rsidRPr="00A428C3" w:rsidRDefault="0031722D" w:rsidP="00B72EF9">
      <w:pPr>
        <w:pStyle w:val="12"/>
      </w:pPr>
      <w:r w:rsidRPr="00A428C3">
        <w:t xml:space="preserve">Publisher: </w:t>
      </w:r>
    </w:p>
    <w:p w:rsidR="0031722D" w:rsidRPr="00A428C3" w:rsidRDefault="0031722D" w:rsidP="00B72EF9">
      <w:pPr>
        <w:pStyle w:val="12"/>
      </w:pPr>
      <w:r w:rsidRPr="00A428C3">
        <w:t xml:space="preserve">Publisher Address: </w:t>
      </w:r>
    </w:p>
    <w:p w:rsidR="0031722D" w:rsidRPr="00A428C3" w:rsidRDefault="0031722D" w:rsidP="00B72EF9">
      <w:pPr>
        <w:pStyle w:val="12"/>
      </w:pPr>
      <w:r w:rsidRPr="00A428C3">
        <w:t>Subject Categories:</w:t>
      </w:r>
    </w:p>
    <w:p w:rsidR="0031722D" w:rsidRPr="00A428C3" w:rsidRDefault="0031722D" w:rsidP="00B72EF9">
      <w:pPr>
        <w:pStyle w:val="12"/>
      </w:pPr>
      <w:r w:rsidRPr="00A428C3">
        <w:t xml:space="preserve">: Impact Factor </w:t>
      </w:r>
    </w:p>
    <w:p w:rsidR="0031722D" w:rsidRPr="002B6D13" w:rsidRDefault="0031722D" w:rsidP="0031722D">
      <w:pPr>
        <w:pStyle w:val="a0"/>
      </w:pPr>
      <w:r w:rsidRPr="002B6D13">
        <w:rPr>
          <w:rFonts w:hint="eastAsia"/>
        </w:rPr>
        <w:t xml:space="preserve">? </w:t>
      </w:r>
      <w:r w:rsidRPr="002B6D13">
        <w:t>Wright, M.</w:t>
      </w:r>
      <w:r w:rsidR="00F81221">
        <w:t xml:space="preserve"> and </w:t>
      </w:r>
      <w:r w:rsidRPr="002B6D13">
        <w:t xml:space="preserve">Armstrong, J.S. (2008), The ombudsman: Verification of citations: Fawlty towers of knowledge? </w:t>
      </w:r>
      <w:r w:rsidRPr="002B6D13">
        <w:rPr>
          <w:i/>
          <w:iCs/>
        </w:rPr>
        <w:t>Interfaces</w:t>
      </w:r>
      <w:r w:rsidRPr="002B6D13">
        <w:t xml:space="preserve">, </w:t>
      </w:r>
      <w:r w:rsidRPr="002B6D13">
        <w:rPr>
          <w:b/>
          <w:bCs/>
        </w:rPr>
        <w:t>38</w:t>
      </w:r>
      <w:r w:rsidRPr="002B6D13">
        <w:t xml:space="preserve"> (2), 125-132.</w:t>
      </w:r>
    </w:p>
    <w:p w:rsidR="0031722D" w:rsidRPr="002B6D13" w:rsidRDefault="0031722D" w:rsidP="0031722D">
      <w:pPr>
        <w:pStyle w:val="a0"/>
      </w:pPr>
      <w:r w:rsidRPr="002B6D13">
        <w:rPr>
          <w:rFonts w:hint="eastAsia"/>
        </w:rPr>
        <w:t xml:space="preserve">Full Text: </w:t>
      </w:r>
      <w:hyperlink r:id="rId1551" w:history="1">
        <w:r w:rsidRPr="00FF52E5">
          <w:rPr>
            <w:rStyle w:val="a5"/>
          </w:rPr>
          <w:t>2008\Interfaces38, 125.pdf</w:t>
        </w:r>
      </w:hyperlink>
    </w:p>
    <w:p w:rsidR="0031722D" w:rsidRPr="002B6D13" w:rsidRDefault="0031722D" w:rsidP="0031722D">
      <w:pPr>
        <w:pStyle w:val="a0"/>
      </w:pPr>
      <w:r w:rsidRPr="002B6D13">
        <w:t>Abstract: The prevalence of faulty citations impedes the growth of scientific knowledge. Faulty citations include omissions of relevant papers, incorrect references,</w:t>
      </w:r>
      <w:r w:rsidR="00F81221">
        <w:t xml:space="preserve"> and </w:t>
      </w:r>
      <w:r w:rsidRPr="002B6D13">
        <w:t xml:space="preserve">quotation errors that misreport findings. We discuss key studies in these areas. We then examine citations to </w:t>
      </w:r>
      <w:r w:rsidR="000352E7">
        <w:t>“</w:t>
      </w:r>
      <w:r w:rsidRPr="002B6D13">
        <w:t>Estimating nonresponse bias in mail surveys,</w:t>
      </w:r>
      <w:r w:rsidR="000352E7">
        <w:t>”</w:t>
      </w:r>
      <w:r w:rsidRPr="002B6D13">
        <w:t xml:space="preserve"> one of the most frequently cited papers from the Journal of Marketing Research, to illustrate these issues. This paper is especially useful in testing for quotation errors because it provides specific operational recommendations on adjusting for nonresponse bias; therefore, it allows us to determine whether the citing papers properly used the findings. By any number of measures, those doing survey research fail to cite this paper and, presumably, make inadequate adjustments for nonresponse bias. Furthermore, even when the paper was cited, 49 of the 50 studies that we examined reported its findings improperly. The inappropriate use of statistical-significance testing led researchers to conclude that nonresponse bias was not present in 76 percent of the studies in our sample. Only one of the studies in the sample made any adjustment for it. Judging from the original paper, we estimate that the study researchers should have predicted nonresponse bias</w:t>
      </w:r>
      <w:r w:rsidR="00F81221">
        <w:t xml:space="preserve"> and </w:t>
      </w:r>
      <w:r w:rsidRPr="002B6D13">
        <w:t>adjusted for 148 variables. In this case, the faulty citations seem to have arisen either because the authors did not read the original paper or because they did not fully understand its implications. To address the problem of omissions, we recommend that journals include a section on their websites to list all relevant papers that have been overlooked</w:t>
      </w:r>
      <w:r w:rsidR="00F81221">
        <w:t xml:space="preserve"> and </w:t>
      </w:r>
      <w:r w:rsidRPr="002B6D13">
        <w:t xml:space="preserve">show how the omitted paper relates to the published paper. In general, authors should routinely verify the accuracy of their sources by reading the cited papers. For substantive </w:t>
      </w:r>
      <w:r w:rsidRPr="002B6D13">
        <w:lastRenderedPageBreak/>
        <w:t>findings, they should attempt to contact the authors for conformation or clarification of the results</w:t>
      </w:r>
      <w:r w:rsidR="00F81221">
        <w:t xml:space="preserve"> and </w:t>
      </w:r>
      <w:r w:rsidRPr="002B6D13">
        <w:t>methods. This would also provide them with the opportunity to enquire about other relevant references. Journal editors should require that authors sign statements that they have read the cited papers and, when appropriate, have attempted to verify the citations.</w:t>
      </w:r>
    </w:p>
    <w:p w:rsidR="0031722D" w:rsidRPr="00127700" w:rsidRDefault="0031722D" w:rsidP="0031722D">
      <w:pPr>
        <w:pStyle w:val="a0"/>
      </w:pPr>
      <w:r w:rsidRPr="00127700">
        <w:t>Keywords: Accuracy, Adjustment, Authors, Bias, Citation Errors, Citations, Contact, Errors, Evidence-Based Research, General, Growth, Hawthorne, Journals, Knowledge, Methods, Nonresponse Bias, Papers, Prevalence, Quotation, Quotation Accuracy, Quotation Errors, Reading, Recommendations, References, Research, Sources, Survey, Survey Research, Surveys, Testing</w:t>
      </w:r>
    </w:p>
    <w:p w:rsidR="00023AB0" w:rsidRPr="002B6D13" w:rsidRDefault="00023AB0" w:rsidP="00023AB0">
      <w:pPr>
        <w:pStyle w:val="a0"/>
      </w:pPr>
      <w:r w:rsidRPr="002B6D13">
        <w:rPr>
          <w:rFonts w:hint="eastAsia"/>
        </w:rPr>
        <w:t xml:space="preserve">? </w:t>
      </w:r>
      <w:r>
        <w:t>Martin</w:t>
      </w:r>
      <w:r>
        <w:rPr>
          <w:rFonts w:hint="eastAsia"/>
        </w:rPr>
        <w:t>,</w:t>
      </w:r>
      <w:r>
        <w:t xml:space="preserve"> B</w:t>
      </w:r>
      <w:r>
        <w:rPr>
          <w:rFonts w:hint="eastAsia"/>
        </w:rPr>
        <w:t>.</w:t>
      </w:r>
      <w:r w:rsidRPr="002B6D13">
        <w:t xml:space="preserve"> (2008), </w:t>
      </w:r>
      <w:r>
        <w:t>Comment: Citation shortcomings: Peccadilloes or plagiarism?</w:t>
      </w:r>
      <w:r w:rsidRPr="002B6D13">
        <w:t xml:space="preserve"> </w:t>
      </w:r>
      <w:r w:rsidRPr="002B6D13">
        <w:rPr>
          <w:i/>
          <w:iCs/>
        </w:rPr>
        <w:t>Interfaces</w:t>
      </w:r>
      <w:r w:rsidRPr="002B6D13">
        <w:t xml:space="preserve">, </w:t>
      </w:r>
      <w:r w:rsidRPr="002B6D13">
        <w:rPr>
          <w:b/>
          <w:bCs/>
        </w:rPr>
        <w:t>38</w:t>
      </w:r>
      <w:r w:rsidRPr="002B6D13">
        <w:t xml:space="preserve"> (2), </w:t>
      </w:r>
      <w:r>
        <w:t>136-137</w:t>
      </w:r>
      <w:r w:rsidRPr="002B6D13">
        <w:t>.</w:t>
      </w:r>
    </w:p>
    <w:p w:rsidR="00023AB0" w:rsidRDefault="00023AB0" w:rsidP="00023AB0">
      <w:pPr>
        <w:pStyle w:val="a0"/>
      </w:pPr>
      <w:r w:rsidRPr="002B6D13">
        <w:rPr>
          <w:rFonts w:hint="eastAsia"/>
        </w:rPr>
        <w:t xml:space="preserve">Full Text: </w:t>
      </w:r>
      <w:hyperlink r:id="rId1552" w:history="1">
        <w:r w:rsidRPr="00023AB0">
          <w:rPr>
            <w:rStyle w:val="a5"/>
          </w:rPr>
          <w:t>2008\Interfaces38, 136.pdf</w:t>
        </w:r>
      </w:hyperlink>
    </w:p>
    <w:p w:rsidR="001218C0" w:rsidRDefault="001218C0" w:rsidP="001218C0">
      <w:pPr>
        <w:pStyle w:val="a0"/>
        <w:rPr>
          <w:kern w:val="0"/>
        </w:rPr>
      </w:pPr>
      <w:r>
        <w:rPr>
          <w:rFonts w:hint="eastAsia"/>
          <w:kern w:val="0"/>
        </w:rPr>
        <w:t xml:space="preserve">? </w:t>
      </w:r>
      <w:r>
        <w:rPr>
          <w:kern w:val="0"/>
        </w:rPr>
        <w:t>Hamrick, T.A., Fricker, R.D.</w:t>
      </w:r>
      <w:r w:rsidR="00F81221">
        <w:rPr>
          <w:kern w:val="0"/>
        </w:rPr>
        <w:t xml:space="preserve"> and </w:t>
      </w:r>
      <w:r>
        <w:rPr>
          <w:kern w:val="0"/>
        </w:rPr>
        <w:t xml:space="preserve">Brown, G.G. (2010), Assessing what distinguishes highly cited from less-cited papers published in interfaces. </w:t>
      </w:r>
      <w:r>
        <w:rPr>
          <w:i/>
          <w:iCs/>
          <w:kern w:val="0"/>
        </w:rPr>
        <w:t>Interfaces</w:t>
      </w:r>
      <w:r>
        <w:rPr>
          <w:kern w:val="0"/>
        </w:rPr>
        <w:t xml:space="preserve">, </w:t>
      </w:r>
      <w:r>
        <w:rPr>
          <w:b/>
          <w:bCs/>
          <w:kern w:val="0"/>
        </w:rPr>
        <w:t>40</w:t>
      </w:r>
      <w:r>
        <w:rPr>
          <w:kern w:val="0"/>
        </w:rPr>
        <w:t xml:space="preserve"> (6), 454-464.</w:t>
      </w:r>
    </w:p>
    <w:p w:rsidR="001218C0" w:rsidRDefault="001218C0" w:rsidP="001218C0">
      <w:pPr>
        <w:pStyle w:val="a0"/>
      </w:pPr>
      <w:r w:rsidRPr="002B6D13">
        <w:rPr>
          <w:rFonts w:hint="eastAsia"/>
        </w:rPr>
        <w:t xml:space="preserve">Full Text: </w:t>
      </w:r>
      <w:hyperlink r:id="rId1553" w:history="1">
        <w:r w:rsidRPr="001218C0">
          <w:rPr>
            <w:rStyle w:val="a5"/>
          </w:rPr>
          <w:t>2010\Interfaces40, 454.pdf</w:t>
        </w:r>
      </w:hyperlink>
    </w:p>
    <w:p w:rsidR="001218C0" w:rsidRDefault="001218C0" w:rsidP="001218C0">
      <w:pPr>
        <w:pStyle w:val="a0"/>
        <w:rPr>
          <w:kern w:val="0"/>
        </w:rPr>
      </w:pPr>
      <w:r>
        <w:rPr>
          <w:kern w:val="0"/>
        </w:rPr>
        <w:t>Abstract: We evaluate what distinguishes a highly cited Interfaces paper from other Interfaces papers that are cited less often. Citations are used to acknowledge prior relevant research, to document sources of information,</w:t>
      </w:r>
      <w:r w:rsidR="00F81221">
        <w:rPr>
          <w:kern w:val="0"/>
        </w:rPr>
        <w:t xml:space="preserve"> and </w:t>
      </w:r>
      <w:r>
        <w:rPr>
          <w:kern w:val="0"/>
        </w:rPr>
        <w:t>to substantiate claims. As such, citations play a key role in the evolution of knowledge. More recently, citations are also being used to quantify the impact of papers</w:t>
      </w:r>
      <w:r w:rsidR="00F81221">
        <w:rPr>
          <w:kern w:val="0"/>
        </w:rPr>
        <w:t xml:space="preserve"> and </w:t>
      </w:r>
      <w:r>
        <w:rPr>
          <w:kern w:val="0"/>
        </w:rPr>
        <w:t>journals, a practice not without controversy, but one that motivates our work here. We find that Edelman competition papers, longer papers, tutorials, papers with larger numbers of references to prior literature,</w:t>
      </w:r>
      <w:r w:rsidR="00F81221">
        <w:rPr>
          <w:kern w:val="0"/>
        </w:rPr>
        <w:t xml:space="preserve"> and </w:t>
      </w:r>
      <w:r>
        <w:rPr>
          <w:kern w:val="0"/>
        </w:rPr>
        <w:t xml:space="preserve">papers with a larger number of </w:t>
      </w:r>
      <w:r w:rsidR="000352E7">
        <w:rPr>
          <w:kern w:val="0"/>
        </w:rPr>
        <w:t>“</w:t>
      </w:r>
      <w:r>
        <w:rPr>
          <w:kern w:val="0"/>
        </w:rPr>
        <w:t>callouts</w:t>
      </w:r>
      <w:r w:rsidR="000352E7">
        <w:rPr>
          <w:kern w:val="0"/>
        </w:rPr>
        <w:t>”</w:t>
      </w:r>
      <w:r>
        <w:rPr>
          <w:kern w:val="0"/>
        </w:rPr>
        <w:t xml:space="preserve"> (a feature no longer used by Interfaces) tend to have a higher number of citations.</w:t>
      </w:r>
    </w:p>
    <w:p w:rsidR="001218C0" w:rsidRDefault="001218C0" w:rsidP="001218C0">
      <w:pPr>
        <w:pStyle w:val="a0"/>
        <w:rPr>
          <w:kern w:val="0"/>
        </w:rPr>
      </w:pPr>
      <w:r>
        <w:rPr>
          <w:kern w:val="0"/>
        </w:rPr>
        <w:t>Keywords: Bibliometrics, Citation, Citation, Citations, Citing Behavior, Continue, Evolution, Highly-Cited, Impact, Impact Factor, Index, Journals, Literature, Old Papers, Reasons, References, Research</w:t>
      </w:r>
    </w:p>
    <w:p w:rsidR="00B95188" w:rsidRPr="00A428C3" w:rsidRDefault="00CF125E" w:rsidP="00CF125E">
      <w:pPr>
        <w:pStyle w:val="1"/>
      </w:pPr>
      <w:r w:rsidRPr="00A428C3">
        <w:br w:type="page"/>
      </w:r>
      <w:bookmarkStart w:id="1119" w:name="_Toc186647882"/>
      <w:bookmarkStart w:id="1120" w:name="_Toc317161208"/>
      <w:r w:rsidR="00B95188" w:rsidRPr="00A428C3">
        <w:lastRenderedPageBreak/>
        <w:t>Title: Interlending &amp; Document Supply</w:t>
      </w:r>
      <w:bookmarkEnd w:id="1119"/>
      <w:bookmarkEnd w:id="1120"/>
    </w:p>
    <w:p w:rsidR="00B95188" w:rsidRPr="00A428C3" w:rsidRDefault="00B95188" w:rsidP="00B72EF9">
      <w:pPr>
        <w:pStyle w:val="12"/>
      </w:pPr>
      <w:r w:rsidRPr="00A428C3">
        <w:t xml:space="preserve">Full Journal Title: </w:t>
      </w:r>
      <w:hyperlink r:id="rId1554" w:history="1">
        <w:r w:rsidRPr="00A428C3">
          <w:rPr>
            <w:rStyle w:val="a5"/>
          </w:rPr>
          <w:t>Interlending &amp; Document Supply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0264-1615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Weech, T.L. (2002), Back to the future - when resource sharing seemed to work. The rise</w:t>
      </w:r>
      <w:r w:rsidR="00F81221">
        <w:t xml:space="preserve"> and </w:t>
      </w:r>
      <w:r w:rsidRPr="00A428C3">
        <w:t xml:space="preserve">fall of a successful consortial resource sharing network. </w:t>
      </w:r>
      <w:r w:rsidRPr="00A428C3">
        <w:rPr>
          <w:i/>
          <w:iCs/>
        </w:rPr>
        <w:t>Interlending &amp; Document Supply</w:t>
      </w:r>
      <w:r w:rsidRPr="00A428C3">
        <w:t xml:space="preserve">, </w:t>
      </w:r>
      <w:r w:rsidRPr="00A428C3">
        <w:rPr>
          <w:b/>
        </w:rPr>
        <w:t>30</w:t>
      </w:r>
      <w:r w:rsidRPr="00A428C3">
        <w:t xml:space="preserve"> (2), 80-86.</w:t>
      </w:r>
    </w:p>
    <w:p w:rsidR="00B95188" w:rsidRPr="00A428C3" w:rsidRDefault="00B95188" w:rsidP="00B95188">
      <w:pPr>
        <w:pStyle w:val="a0"/>
      </w:pPr>
      <w:r w:rsidRPr="00A428C3">
        <w:t xml:space="preserve">Full Text: </w:t>
      </w:r>
      <w:hyperlink r:id="rId1555" w:history="1">
        <w:r w:rsidRPr="00A428C3">
          <w:rPr>
            <w:rStyle w:val="a5"/>
          </w:rPr>
          <w:t>I\Int Doc Sup30, 80.pdf</w:t>
        </w:r>
      </w:hyperlink>
    </w:p>
    <w:p w:rsidR="00B95188" w:rsidRPr="00A428C3" w:rsidRDefault="00B95188" w:rsidP="00B95188">
      <w:pPr>
        <w:pStyle w:val="a0"/>
      </w:pPr>
      <w:r w:rsidRPr="00A428C3">
        <w:t xml:space="preserve">Abstract: In the early 1980s the state of </w:t>
      </w:r>
      <w:smartTag w:uri="urn:schemas-microsoft-com:office:smarttags" w:element="place">
        <w:smartTag w:uri="urn:schemas-microsoft-com:office:smarttags" w:element="State">
          <w:r w:rsidRPr="00A428C3">
            <w:t>Illinois</w:t>
          </w:r>
        </w:smartTag>
      </w:smartTag>
      <w:r w:rsidRPr="00A428C3">
        <w:t xml:space="preserve"> formed a state-wide resource sharing consortium under a state network called ILLINET, founded on an OCLC-based bibliographic database</w:t>
      </w:r>
      <w:r w:rsidR="00F81221">
        <w:t xml:space="preserve"> and </w:t>
      </w:r>
      <w:r w:rsidRPr="00A428C3">
        <w:t>a consortium of 18 regional library systems. This consortium successfully supported resource sharing among all types of library for nearly 15 years. In the mid-1990s, financial</w:t>
      </w:r>
      <w:r w:rsidR="00F81221">
        <w:t xml:space="preserve"> and </w:t>
      </w:r>
      <w:r w:rsidRPr="00A428C3">
        <w:t>technical developments led to the dissolving of the consortium</w:t>
      </w:r>
      <w:r w:rsidR="00F81221">
        <w:t xml:space="preserve"> and </w:t>
      </w:r>
      <w:r w:rsidRPr="00A428C3">
        <w:t>the realignment of some of its major academic library members with other academic libraries outside the original group. Thus what was once considered a model for the future of multi-type library consortia became a dysfunctional</w:t>
      </w:r>
      <w:r w:rsidR="00F81221">
        <w:t xml:space="preserve"> and </w:t>
      </w:r>
      <w:r w:rsidRPr="00A428C3">
        <w:t>non-operative organisation. This paper examines the financial, political,</w:t>
      </w:r>
      <w:r w:rsidR="00F81221">
        <w:t xml:space="preserve"> and </w:t>
      </w:r>
      <w:r w:rsidRPr="00A428C3">
        <w:t>technical factors that led to these changes</w:t>
      </w:r>
      <w:r w:rsidR="00F81221">
        <w:t xml:space="preserve"> and </w:t>
      </w:r>
      <w:r w:rsidRPr="00A428C3">
        <w:t>assesses the short-</w:t>
      </w:r>
      <w:r w:rsidR="00F81221">
        <w:t xml:space="preserve"> and </w:t>
      </w:r>
      <w:r w:rsidRPr="00A428C3">
        <w:t>long-term impacts on resource sharing for users of the original consortium. Other similar resource sharing consortia models are examined</w:t>
      </w:r>
      <w:r w:rsidR="00F81221">
        <w:t xml:space="preserve"> and </w:t>
      </w:r>
      <w:r w:rsidRPr="00A428C3">
        <w:t xml:space="preserve">compared with the </w:t>
      </w:r>
      <w:smartTag w:uri="urn:schemas-microsoft-com:office:smarttags" w:element="place">
        <w:smartTag w:uri="urn:schemas-microsoft-com:office:smarttags" w:element="State">
          <w:r w:rsidRPr="00A428C3">
            <w:t>Illinois</w:t>
          </w:r>
        </w:smartTag>
      </w:smartTag>
      <w:r w:rsidRPr="00A428C3">
        <w:t xml:space="preserve"> experience. Possible lessons</w:t>
      </w:r>
      <w:r w:rsidR="00F81221">
        <w:t xml:space="preserve"> and </w:t>
      </w:r>
      <w:r w:rsidRPr="00A428C3">
        <w:t>implications are discussed</w:t>
      </w:r>
      <w:r w:rsidR="00F81221">
        <w:t xml:space="preserve"> and </w:t>
      </w:r>
      <w:r w:rsidRPr="00A428C3">
        <w:t>possible outcomes listed.</w:t>
      </w:r>
    </w:p>
    <w:p w:rsidR="00B95188" w:rsidRPr="00A428C3" w:rsidRDefault="00B95188" w:rsidP="00B95188">
      <w:pPr>
        <w:pStyle w:val="a0"/>
      </w:pPr>
      <w:r w:rsidRPr="00A428C3">
        <w:t xml:space="preserve">? Meadows, J. (2005), A practical line in bibliometrics. </w:t>
      </w:r>
      <w:r w:rsidRPr="00A428C3">
        <w:rPr>
          <w:i/>
          <w:iCs/>
        </w:rPr>
        <w:t>Interlending &amp; Document Supply</w:t>
      </w:r>
      <w:r w:rsidRPr="00A428C3">
        <w:t xml:space="preserve">, </w:t>
      </w:r>
      <w:r w:rsidRPr="00A428C3">
        <w:rPr>
          <w:b/>
        </w:rPr>
        <w:t>33</w:t>
      </w:r>
      <w:r w:rsidRPr="00A428C3">
        <w:t xml:space="preserve"> (2), 90-94.</w:t>
      </w:r>
    </w:p>
    <w:p w:rsidR="00B95188" w:rsidRPr="00A428C3" w:rsidRDefault="00B95188" w:rsidP="00B95188">
      <w:pPr>
        <w:pStyle w:val="a0"/>
      </w:pPr>
      <w:r w:rsidRPr="00A428C3">
        <w:t xml:space="preserve">Full Text: </w:t>
      </w:r>
      <w:hyperlink r:id="rId1556" w:history="1">
        <w:r w:rsidRPr="00A428C3">
          <w:rPr>
            <w:rStyle w:val="a5"/>
          </w:rPr>
          <w:t>2005\Int Doc Sup33, 90.pdf</w:t>
        </w:r>
      </w:hyperlink>
    </w:p>
    <w:p w:rsidR="00B95188" w:rsidRPr="00A428C3" w:rsidRDefault="00B95188" w:rsidP="00B95188">
      <w:pPr>
        <w:pStyle w:val="a0"/>
      </w:pPr>
      <w:r w:rsidRPr="00A428C3">
        <w:t>Abstract: Purpose - The purpose of this article is to describe Maurice Line</w:t>
      </w:r>
      <w:r w:rsidR="000352E7">
        <w:t>’</w:t>
      </w:r>
      <w:r w:rsidRPr="00A428C3">
        <w:t>s continuing interest in bibliometrics</w:t>
      </w:r>
      <w:r w:rsidR="00F81221">
        <w:t xml:space="preserve"> and </w:t>
      </w:r>
      <w:r w:rsidRPr="00A428C3">
        <w:t>in its possible application to library problems since the 1970s. He has especially emphasized two strands. One is the concept of obsolescence</w:t>
      </w:r>
      <w:r w:rsidR="00F81221">
        <w:t xml:space="preserve"> and </w:t>
      </w:r>
      <w:r w:rsidRPr="00A428C3">
        <w:t xml:space="preserve">how it applies in practice. The other is citation studies of the social sciences, </w:t>
      </w:r>
      <w:r w:rsidRPr="00A428C3">
        <w:lastRenderedPageBreak/>
        <w:t>which tend to have been ignored in comparison with the sciences. He has particularly explored the limitations that need to be taken into account when trying to apply bibliometric ideas in practical contexts. Design, methodology, approach - An analysis of Line</w:t>
      </w:r>
      <w:r w:rsidR="000352E7">
        <w:t>’</w:t>
      </w:r>
      <w:r w:rsidRPr="00A428C3">
        <w:t>s publications on bibliometrics led to a selection of major themes in his writings. A subsequent study of the publications of others who wrote on this topic over the same period provided a framework for assessing his work. Findings - Maurice Line played an important role in the development of this area of bibliometrics, though he slightly modified some of his early ideas as time has passed. Originality, value - Provides a background to Maurice Line</w:t>
      </w:r>
      <w:r w:rsidR="000352E7">
        <w:t>’</w:t>
      </w:r>
      <w:r w:rsidRPr="00A428C3">
        <w:t>s interest in bibliometrics since the 1970s.</w:t>
      </w:r>
    </w:p>
    <w:p w:rsidR="00B95188" w:rsidRPr="00A428C3" w:rsidRDefault="00B95188" w:rsidP="00B95188">
      <w:pPr>
        <w:pStyle w:val="a0"/>
      </w:pPr>
      <w:r w:rsidRPr="00A428C3">
        <w:t>Keywords: Bibliometric, Bibliometrics, Citation, Development, Growth, Half-Life, Information Science, Obsolescence, Obsolescence, Publications, Sciences, Serials, Size, Social-Science Literature, Time</w:t>
      </w:r>
    </w:p>
    <w:p w:rsidR="00CF125E" w:rsidRDefault="00CF125E" w:rsidP="00CF125E">
      <w:pPr>
        <w:pStyle w:val="a0"/>
        <w:rPr>
          <w:kern w:val="0"/>
          <w:szCs w:val="24"/>
        </w:rPr>
      </w:pPr>
      <w:r>
        <w:rPr>
          <w:rFonts w:hint="eastAsia"/>
          <w:kern w:val="0"/>
          <w:szCs w:val="24"/>
        </w:rPr>
        <w:t xml:space="preserve">? </w:t>
      </w:r>
      <w:r>
        <w:rPr>
          <w:kern w:val="0"/>
          <w:szCs w:val="24"/>
        </w:rPr>
        <w:t>Bensman, S.J. (2007), Donald J. Urquhart</w:t>
      </w:r>
      <w:r w:rsidR="00F81221">
        <w:rPr>
          <w:kern w:val="0"/>
          <w:szCs w:val="24"/>
        </w:rPr>
        <w:t xml:space="preserve"> and </w:t>
      </w:r>
      <w:r>
        <w:rPr>
          <w:kern w:val="0"/>
          <w:szCs w:val="24"/>
        </w:rPr>
        <w:t xml:space="preserve">the integration of science with librarianship: Part 1. </w:t>
      </w:r>
      <w:r>
        <w:rPr>
          <w:i/>
          <w:iCs/>
          <w:kern w:val="0"/>
          <w:szCs w:val="24"/>
        </w:rPr>
        <w:t>Interlending &amp; Document Supply</w:t>
      </w:r>
      <w:r>
        <w:rPr>
          <w:kern w:val="0"/>
          <w:szCs w:val="24"/>
        </w:rPr>
        <w:t xml:space="preserve">, </w:t>
      </w:r>
      <w:r>
        <w:rPr>
          <w:b/>
          <w:bCs/>
          <w:kern w:val="0"/>
          <w:szCs w:val="24"/>
        </w:rPr>
        <w:t>35</w:t>
      </w:r>
      <w:r>
        <w:rPr>
          <w:kern w:val="0"/>
          <w:szCs w:val="24"/>
        </w:rPr>
        <w:t xml:space="preserve"> (2), 74-84.</w:t>
      </w:r>
    </w:p>
    <w:p w:rsidR="00CF125E" w:rsidRDefault="00CF125E" w:rsidP="00CF125E">
      <w:pPr>
        <w:pStyle w:val="a0"/>
        <w:rPr>
          <w:kern w:val="0"/>
          <w:szCs w:val="24"/>
        </w:rPr>
      </w:pPr>
      <w:r>
        <w:rPr>
          <w:kern w:val="0"/>
          <w:szCs w:val="24"/>
        </w:rPr>
        <w:t>Abstract: Purpose - The purpose of this article is to analyze the historical significance of Donald J. Urquhart, who established the National Lending Library for Science</w:t>
      </w:r>
      <w:r w:rsidR="00F81221">
        <w:rPr>
          <w:kern w:val="0"/>
          <w:szCs w:val="24"/>
        </w:rPr>
        <w:t xml:space="preserve"> and </w:t>
      </w:r>
      <w:r>
        <w:rPr>
          <w:kern w:val="0"/>
          <w:szCs w:val="24"/>
        </w:rPr>
        <w:t>Technology (NLL) that later was merged into the British Library Lending Division (BLLD), now called the British Library Document Supply Centre (BLDSC). Design/methodology/approach - The paper presents a short history of the probabilistic revolution, particularly as it developed in the UK in the form of biometric statistics due to Darwin</w:t>
      </w:r>
      <w:r w:rsidR="000352E7">
        <w:rPr>
          <w:kern w:val="0"/>
          <w:szCs w:val="24"/>
        </w:rPr>
        <w:t>’</w:t>
      </w:r>
      <w:r>
        <w:rPr>
          <w:kern w:val="0"/>
          <w:szCs w:val="24"/>
        </w:rPr>
        <w:t>s theory of evolution. It focuses on the overthrow of the normal paradigm, according to which frequency distributions in nature</w:t>
      </w:r>
      <w:r w:rsidR="00F81221">
        <w:rPr>
          <w:kern w:val="0"/>
          <w:szCs w:val="24"/>
        </w:rPr>
        <w:t xml:space="preserve"> and </w:t>
      </w:r>
      <w:r>
        <w:rPr>
          <w:kern w:val="0"/>
          <w:szCs w:val="24"/>
        </w:rPr>
        <w:t>society conform to the normal law of error. The paper discusses the importance of the Poisson distribution</w:t>
      </w:r>
      <w:r w:rsidR="00F81221">
        <w:rPr>
          <w:kern w:val="0"/>
          <w:szCs w:val="24"/>
        </w:rPr>
        <w:t xml:space="preserve"> and </w:t>
      </w:r>
      <w:r>
        <w:rPr>
          <w:kern w:val="0"/>
          <w:szCs w:val="24"/>
        </w:rPr>
        <w:t>its utilization in the construction of stochastic models that better describe reality. Here the focus is on the compound Poisson distribution in the form of the negative binomial distribution (NBD). The paper then shows how Urquhart extended the probabilistic revolution to librarianship by using the Poisson as the probabilistic model in his analyses of the 1956 external loans made by the Science Museum Library (SML) as well as in his management of the scientific</w:t>
      </w:r>
      <w:r w:rsidR="00F81221">
        <w:rPr>
          <w:kern w:val="0"/>
          <w:szCs w:val="24"/>
        </w:rPr>
        <w:t xml:space="preserve"> and </w:t>
      </w:r>
      <w:r>
        <w:rPr>
          <w:kern w:val="0"/>
          <w:szCs w:val="24"/>
        </w:rPr>
        <w:t>technical (sci/tech) journal collection of the NLL. Thanks to this, Urquhart can be considered as playing a pivotal role in the creation of bibliometrics or the statistical bases of modern library</w:t>
      </w:r>
      <w:r w:rsidR="00F81221">
        <w:rPr>
          <w:kern w:val="0"/>
          <w:szCs w:val="24"/>
        </w:rPr>
        <w:t xml:space="preserve"> and </w:t>
      </w:r>
      <w:r>
        <w:rPr>
          <w:kern w:val="0"/>
          <w:szCs w:val="24"/>
        </w:rPr>
        <w:t>information science. The paper relates how Urquhart</w:t>
      </w:r>
      <w:r w:rsidR="000352E7">
        <w:rPr>
          <w:kern w:val="0"/>
          <w:szCs w:val="24"/>
        </w:rPr>
        <w:t>’</w:t>
      </w:r>
      <w:r>
        <w:rPr>
          <w:kern w:val="0"/>
          <w:szCs w:val="24"/>
        </w:rPr>
        <w:t>s son</w:t>
      </w:r>
      <w:r w:rsidR="00F81221">
        <w:rPr>
          <w:kern w:val="0"/>
          <w:szCs w:val="24"/>
        </w:rPr>
        <w:t xml:space="preserve"> and </w:t>
      </w:r>
      <w:r>
        <w:rPr>
          <w:kern w:val="0"/>
          <w:szCs w:val="24"/>
        </w:rPr>
        <w:t>daughter-in-law, John A.</w:t>
      </w:r>
      <w:r w:rsidR="00F81221">
        <w:rPr>
          <w:kern w:val="0"/>
          <w:szCs w:val="24"/>
        </w:rPr>
        <w:t xml:space="preserve"> and </w:t>
      </w:r>
      <w:r>
        <w:rPr>
          <w:kern w:val="0"/>
          <w:szCs w:val="24"/>
        </w:rPr>
        <w:t>Norma C. Urquhart, completed Urquhart</w:t>
      </w:r>
      <w:r w:rsidR="000352E7">
        <w:rPr>
          <w:kern w:val="0"/>
          <w:szCs w:val="24"/>
        </w:rPr>
        <w:t>’</w:t>
      </w:r>
      <w:r>
        <w:rPr>
          <w:kern w:val="0"/>
          <w:szCs w:val="24"/>
        </w:rPr>
        <w:t>s probabilistic breakthrough by advancing for the first time the NBD as the model for library use in a study executed at the University of Newcastle upon Tyne, connecting bibliometrics with biometrics. It concludes with a discussion of Urquhart</w:t>
      </w:r>
      <w:r w:rsidR="000352E7">
        <w:rPr>
          <w:kern w:val="0"/>
          <w:szCs w:val="24"/>
        </w:rPr>
        <w:t>’</w:t>
      </w:r>
      <w:r>
        <w:rPr>
          <w:kern w:val="0"/>
          <w:szCs w:val="24"/>
        </w:rPr>
        <w:t>s Law</w:t>
      </w:r>
      <w:r w:rsidR="00F81221">
        <w:rPr>
          <w:kern w:val="0"/>
          <w:szCs w:val="24"/>
        </w:rPr>
        <w:t xml:space="preserve"> and </w:t>
      </w:r>
      <w:r>
        <w:rPr>
          <w:kern w:val="0"/>
          <w:szCs w:val="24"/>
        </w:rPr>
        <w:t xml:space="preserve">its probabilistic implications for the use of sci/tech journals in a library system. Findings - By being the first librarian to apply probability to the analysis of sci/tech </w:t>
      </w:r>
      <w:r>
        <w:rPr>
          <w:kern w:val="0"/>
          <w:szCs w:val="24"/>
        </w:rPr>
        <w:lastRenderedPageBreak/>
        <w:t>journal use, Urquhart was instrumental in the creation of modern library</w:t>
      </w:r>
      <w:r w:rsidR="00F81221">
        <w:rPr>
          <w:kern w:val="0"/>
          <w:szCs w:val="24"/>
        </w:rPr>
        <w:t xml:space="preserve"> and </w:t>
      </w:r>
      <w:r>
        <w:rPr>
          <w:kern w:val="0"/>
          <w:szCs w:val="24"/>
        </w:rPr>
        <w:t>information science. His findings force a probabilistic re-conceptualization of sci/tech journal use in a library system that has great implications for the transition of sci/tech journals from locally held paper copies to shared electronic databases. Originality/value - Urquhart</w:t>
      </w:r>
      <w:r w:rsidR="000352E7">
        <w:rPr>
          <w:kern w:val="0"/>
          <w:szCs w:val="24"/>
        </w:rPr>
        <w:t>’</w:t>
      </w:r>
      <w:r>
        <w:rPr>
          <w:kern w:val="0"/>
          <w:szCs w:val="24"/>
        </w:rPr>
        <w:t>s significance is considered from the perspective of the development of science as a whole as well as library</w:t>
      </w:r>
      <w:r w:rsidR="00F81221">
        <w:rPr>
          <w:kern w:val="0"/>
          <w:szCs w:val="24"/>
        </w:rPr>
        <w:t xml:space="preserve"> and </w:t>
      </w:r>
      <w:r>
        <w:rPr>
          <w:kern w:val="0"/>
          <w:szCs w:val="24"/>
        </w:rPr>
        <w:t>information science in particular.</w:t>
      </w:r>
    </w:p>
    <w:p w:rsidR="00CF125E" w:rsidRDefault="00CF125E" w:rsidP="00CF125E">
      <w:pPr>
        <w:pStyle w:val="a0"/>
        <w:rPr>
          <w:kern w:val="0"/>
          <w:szCs w:val="24"/>
        </w:rPr>
      </w:pPr>
      <w:r>
        <w:rPr>
          <w:kern w:val="0"/>
          <w:szCs w:val="24"/>
        </w:rPr>
        <w:t>Keywords: Analysis, Bibliometrics, Databases, Development, Distributions, Document Delivery, Formulation, History, Information Science, Information-Science, Interlending, Journals, Librarianship, Library</w:t>
      </w:r>
      <w:r w:rsidR="00F81221">
        <w:rPr>
          <w:kern w:val="0"/>
          <w:szCs w:val="24"/>
        </w:rPr>
        <w:t xml:space="preserve"> and </w:t>
      </w:r>
      <w:r>
        <w:rPr>
          <w:kern w:val="0"/>
          <w:szCs w:val="24"/>
        </w:rPr>
        <w:t>Information Science, Management, National-Lending-Library, Probability, Probability Theory, Science, Sciences, Serials, Statistics, System, Technical Journal Collections, Technology, Theory, University, Urquharts Law</w:t>
      </w:r>
    </w:p>
    <w:p w:rsidR="00CF125E" w:rsidRDefault="00CF125E" w:rsidP="00CF125E">
      <w:pPr>
        <w:pStyle w:val="a0"/>
        <w:rPr>
          <w:kern w:val="0"/>
          <w:szCs w:val="24"/>
        </w:rPr>
      </w:pPr>
      <w:r>
        <w:rPr>
          <w:rFonts w:hint="eastAsia"/>
          <w:kern w:val="0"/>
          <w:szCs w:val="24"/>
        </w:rPr>
        <w:t xml:space="preserve">? </w:t>
      </w:r>
      <w:r>
        <w:rPr>
          <w:kern w:val="0"/>
          <w:szCs w:val="24"/>
        </w:rPr>
        <w:t>Bensman, S.J. (2007), Donald J. Urquhart</w:t>
      </w:r>
      <w:r w:rsidR="00F81221">
        <w:rPr>
          <w:kern w:val="0"/>
          <w:szCs w:val="24"/>
        </w:rPr>
        <w:t xml:space="preserve"> and </w:t>
      </w:r>
      <w:r>
        <w:rPr>
          <w:kern w:val="0"/>
          <w:szCs w:val="24"/>
        </w:rPr>
        <w:t xml:space="preserve">the integration of science with librarianship: Part 2. </w:t>
      </w:r>
      <w:r>
        <w:rPr>
          <w:i/>
          <w:iCs/>
          <w:kern w:val="0"/>
          <w:szCs w:val="24"/>
        </w:rPr>
        <w:t>Interlending &amp; Document Supply</w:t>
      </w:r>
      <w:r>
        <w:rPr>
          <w:kern w:val="0"/>
          <w:szCs w:val="24"/>
        </w:rPr>
        <w:t xml:space="preserve">, </w:t>
      </w:r>
      <w:r>
        <w:rPr>
          <w:b/>
          <w:bCs/>
          <w:kern w:val="0"/>
          <w:szCs w:val="24"/>
        </w:rPr>
        <w:t>35</w:t>
      </w:r>
      <w:r>
        <w:rPr>
          <w:kern w:val="0"/>
          <w:szCs w:val="24"/>
        </w:rPr>
        <w:t xml:space="preserve"> (3), 124-130.</w:t>
      </w:r>
    </w:p>
    <w:p w:rsidR="00CF125E" w:rsidRDefault="00CF125E" w:rsidP="00CF125E">
      <w:pPr>
        <w:pStyle w:val="a0"/>
        <w:rPr>
          <w:kern w:val="0"/>
          <w:szCs w:val="24"/>
        </w:rPr>
      </w:pPr>
      <w:r>
        <w:rPr>
          <w:kern w:val="0"/>
          <w:szCs w:val="24"/>
        </w:rPr>
        <w:t>Abstract: Purpose - To analyze the historical significance of Donald J. Urquhart, who established the National Lending Library for Science</w:t>
      </w:r>
      <w:r w:rsidR="00F81221">
        <w:rPr>
          <w:kern w:val="0"/>
          <w:szCs w:val="24"/>
        </w:rPr>
        <w:t xml:space="preserve"> and </w:t>
      </w:r>
      <w:r>
        <w:rPr>
          <w:kern w:val="0"/>
          <w:szCs w:val="24"/>
        </w:rPr>
        <w:t>Technology (NLL) which later was merged into the British Library Lending Division (BLLD), now called the British Library Document Supply Centre (BLDSC). His significance will be considered from the perspective of the development of science as a whole as well as library</w:t>
      </w:r>
      <w:r w:rsidR="00F81221">
        <w:rPr>
          <w:kern w:val="0"/>
          <w:szCs w:val="24"/>
        </w:rPr>
        <w:t xml:space="preserve"> and </w:t>
      </w:r>
      <w:r>
        <w:rPr>
          <w:kern w:val="0"/>
          <w:szCs w:val="24"/>
        </w:rPr>
        <w:t>information science in particular. Design/methodology/approach - The paper presents a short history of the probabilistic revolution, particularly as it developed in Britain in the form of biometric statistics due to Darwin</w:t>
      </w:r>
      <w:r w:rsidR="000352E7">
        <w:rPr>
          <w:kern w:val="0"/>
          <w:szCs w:val="24"/>
        </w:rPr>
        <w:t>’</w:t>
      </w:r>
      <w:r>
        <w:rPr>
          <w:kern w:val="0"/>
          <w:szCs w:val="24"/>
        </w:rPr>
        <w:t>s theory of evolution. It focuses on the overthrow of the normal paradigm, according to which frequency distributions in nature</w:t>
      </w:r>
      <w:r w:rsidR="00F81221">
        <w:rPr>
          <w:kern w:val="0"/>
          <w:szCs w:val="24"/>
        </w:rPr>
        <w:t xml:space="preserve"> and </w:t>
      </w:r>
      <w:r>
        <w:rPr>
          <w:kern w:val="0"/>
          <w:szCs w:val="24"/>
        </w:rPr>
        <w:t>society conform to the normal law of error. The paper discusses the importance of the Poisson distribution</w:t>
      </w:r>
      <w:r w:rsidR="00F81221">
        <w:rPr>
          <w:kern w:val="0"/>
          <w:szCs w:val="24"/>
        </w:rPr>
        <w:t xml:space="preserve"> and </w:t>
      </w:r>
      <w:r>
        <w:rPr>
          <w:kern w:val="0"/>
          <w:szCs w:val="24"/>
        </w:rPr>
        <w:t>its utilization in the construction of stochastic models that better describe reality. Here the focus is on the compound Poisson distribution in the form of the negative binomial distribution (NBD). The paper then shows how Urquhart extended the probabilistic revolution to librarianship by using the Poisson as the probabilistic model in his analyses of the 1956 external loans made by the Science Museum Library (SML) as well as in his management of the scientific</w:t>
      </w:r>
      <w:r w:rsidR="00F81221">
        <w:rPr>
          <w:kern w:val="0"/>
          <w:szCs w:val="24"/>
        </w:rPr>
        <w:t xml:space="preserve"> and </w:t>
      </w:r>
      <w:r>
        <w:rPr>
          <w:kern w:val="0"/>
          <w:szCs w:val="24"/>
        </w:rPr>
        <w:t>technical (sci/tech) journal collection of the NLL. Due to this, Urquhart can be considered as playing a pivotal role in the creation of bibliometrics or the statistical bases of modern library</w:t>
      </w:r>
      <w:r w:rsidR="00F81221">
        <w:rPr>
          <w:kern w:val="0"/>
          <w:szCs w:val="24"/>
        </w:rPr>
        <w:t xml:space="preserve"> and </w:t>
      </w:r>
      <w:r>
        <w:rPr>
          <w:kern w:val="0"/>
          <w:szCs w:val="24"/>
        </w:rPr>
        <w:t>information science. The paper relates how Urquhart</w:t>
      </w:r>
      <w:r w:rsidR="000352E7">
        <w:rPr>
          <w:kern w:val="0"/>
          <w:szCs w:val="24"/>
        </w:rPr>
        <w:t>’</w:t>
      </w:r>
      <w:r>
        <w:rPr>
          <w:kern w:val="0"/>
          <w:szCs w:val="24"/>
        </w:rPr>
        <w:t>s son</w:t>
      </w:r>
      <w:r w:rsidR="00F81221">
        <w:rPr>
          <w:kern w:val="0"/>
          <w:szCs w:val="24"/>
        </w:rPr>
        <w:t xml:space="preserve"> and </w:t>
      </w:r>
      <w:r>
        <w:rPr>
          <w:kern w:val="0"/>
          <w:szCs w:val="24"/>
        </w:rPr>
        <w:t>daughter-in-law, John A.</w:t>
      </w:r>
      <w:r w:rsidR="00F81221">
        <w:rPr>
          <w:kern w:val="0"/>
          <w:szCs w:val="24"/>
        </w:rPr>
        <w:t xml:space="preserve"> and </w:t>
      </w:r>
      <w:r>
        <w:rPr>
          <w:kern w:val="0"/>
          <w:szCs w:val="24"/>
        </w:rPr>
        <w:t>Norma C. Urquhart, completed Urquhart</w:t>
      </w:r>
      <w:r w:rsidR="000352E7">
        <w:rPr>
          <w:kern w:val="0"/>
          <w:szCs w:val="24"/>
        </w:rPr>
        <w:t>’</w:t>
      </w:r>
      <w:r>
        <w:rPr>
          <w:kern w:val="0"/>
          <w:szCs w:val="24"/>
        </w:rPr>
        <w:t>s probabilistic breakthrough by advancing for the first time the NBD as the model for library use in a study done at the University of Newcastle upon Tyne, connecting bibliometrics with biometrics. It concludes with a discussion of Urquhart</w:t>
      </w:r>
      <w:r w:rsidR="000352E7">
        <w:rPr>
          <w:kern w:val="0"/>
          <w:szCs w:val="24"/>
        </w:rPr>
        <w:t>’</w:t>
      </w:r>
      <w:r>
        <w:rPr>
          <w:kern w:val="0"/>
          <w:szCs w:val="24"/>
        </w:rPr>
        <w:t>s Law</w:t>
      </w:r>
      <w:r w:rsidR="00F81221">
        <w:rPr>
          <w:kern w:val="0"/>
          <w:szCs w:val="24"/>
        </w:rPr>
        <w:t xml:space="preserve"> and </w:t>
      </w:r>
      <w:r>
        <w:rPr>
          <w:kern w:val="0"/>
          <w:szCs w:val="24"/>
        </w:rPr>
        <w:t xml:space="preserve">its probabilistic implications for the use of sci/tech </w:t>
      </w:r>
      <w:r>
        <w:rPr>
          <w:kern w:val="0"/>
          <w:szCs w:val="24"/>
        </w:rPr>
        <w:lastRenderedPageBreak/>
        <w:t>journals in a library system. Findings - By being the first librarian to apply probability to the analysis of sci/tech journal use, Urquhart was instrumental in the creation of modern library</w:t>
      </w:r>
      <w:r w:rsidR="00F81221">
        <w:rPr>
          <w:kern w:val="0"/>
          <w:szCs w:val="24"/>
        </w:rPr>
        <w:t xml:space="preserve"> and </w:t>
      </w:r>
      <w:r>
        <w:rPr>
          <w:kern w:val="0"/>
          <w:szCs w:val="24"/>
        </w:rPr>
        <w:t>information science. His findings force a probabilistic re-conceptualization of sci/tech journal use in a library system that has great implications for the transition of sci/tech journals from locally held paper copies to shared electronic databases. Originality/value - This is the second part of an article describing the seminal contribution of Donald Urquhart to the development of document supply in the UK</w:t>
      </w:r>
      <w:r w:rsidR="00F81221">
        <w:rPr>
          <w:kern w:val="0"/>
          <w:szCs w:val="24"/>
        </w:rPr>
        <w:t xml:space="preserve"> and </w:t>
      </w:r>
      <w:r>
        <w:rPr>
          <w:kern w:val="0"/>
          <w:szCs w:val="24"/>
        </w:rPr>
        <w:t>internationally.</w:t>
      </w:r>
    </w:p>
    <w:p w:rsidR="00CF125E" w:rsidRDefault="00CF125E" w:rsidP="00CF125E">
      <w:pPr>
        <w:pStyle w:val="a0"/>
        <w:rPr>
          <w:kern w:val="0"/>
          <w:szCs w:val="24"/>
        </w:rPr>
      </w:pPr>
      <w:r>
        <w:rPr>
          <w:kern w:val="0"/>
          <w:szCs w:val="24"/>
        </w:rPr>
        <w:t>Keywords: Analysis, Bibliometrics, Databases, Development, Distributions, Document Delivery, History, Information Science, Information-Science, Interlending, Journals, Library</w:t>
      </w:r>
      <w:r w:rsidR="00F81221">
        <w:rPr>
          <w:kern w:val="0"/>
          <w:szCs w:val="24"/>
        </w:rPr>
        <w:t xml:space="preserve"> and </w:t>
      </w:r>
      <w:r>
        <w:rPr>
          <w:kern w:val="0"/>
          <w:szCs w:val="24"/>
        </w:rPr>
        <w:t>Information Science, Management, Mathematical Contributions, National-Lending-Library, Probability, Probability Theory, Science, Serials, Skew Variation, Statistics, System, Technical Journal Collections, Technology, Theory, University, Urquharts Law</w:t>
      </w:r>
    </w:p>
    <w:p w:rsidR="00B95188" w:rsidRPr="00A428C3" w:rsidRDefault="00B95188" w:rsidP="00B95188">
      <w:pPr>
        <w:pStyle w:val="1"/>
      </w:pPr>
      <w:r w:rsidRPr="00A428C3">
        <w:br w:type="page"/>
      </w:r>
      <w:bookmarkStart w:id="1121" w:name="_Toc186647883"/>
      <w:bookmarkStart w:id="1122" w:name="_Toc317161209"/>
      <w:r w:rsidRPr="00A428C3">
        <w:lastRenderedPageBreak/>
        <w:t>Title: Internal Medicine</w:t>
      </w:r>
      <w:bookmarkEnd w:id="1121"/>
      <w:bookmarkEnd w:id="1122"/>
    </w:p>
    <w:p w:rsidR="00B95188" w:rsidRPr="00A428C3" w:rsidRDefault="00B95188" w:rsidP="00B72EF9">
      <w:pPr>
        <w:pStyle w:val="12"/>
      </w:pPr>
      <w:r w:rsidRPr="00A428C3">
        <w:t xml:space="preserve">Full Journal Title: </w:t>
      </w:r>
      <w:hyperlink r:id="rId1557" w:history="1">
        <w:r w:rsidRPr="00800E3D">
          <w:rPr>
            <w:rStyle w:val="a5"/>
          </w:rPr>
          <w:t>Internal Medicine</w:t>
        </w:r>
      </w:hyperlink>
    </w:p>
    <w:p w:rsidR="00AD6FFD" w:rsidRPr="001A3D2B" w:rsidRDefault="00AD6FFD" w:rsidP="00B72EF9">
      <w:pPr>
        <w:pStyle w:val="12"/>
      </w:pPr>
      <w:r w:rsidRPr="001A3D2B">
        <w:t xml:space="preserve">ISO Abbreviated Title: </w:t>
      </w:r>
      <w:r>
        <w:t>Intern. Med.</w:t>
      </w:r>
    </w:p>
    <w:p w:rsidR="00AD6FFD" w:rsidRPr="001A3D2B" w:rsidRDefault="00AD6FFD" w:rsidP="00B72EF9">
      <w:pPr>
        <w:pStyle w:val="12"/>
      </w:pPr>
      <w:r w:rsidRPr="001A3D2B">
        <w:t xml:space="preserve">JCR Abbreviated Title: </w:t>
      </w:r>
      <w:r>
        <w:t>Internal Med</w:t>
      </w:r>
    </w:p>
    <w:p w:rsidR="00AD6FFD" w:rsidRDefault="00AD6FFD" w:rsidP="00B72EF9">
      <w:pPr>
        <w:pStyle w:val="12"/>
      </w:pPr>
      <w:r>
        <w:t>ISSN: 0918-2918</w:t>
      </w:r>
    </w:p>
    <w:p w:rsidR="00AD6FFD" w:rsidRDefault="00AD6FFD" w:rsidP="00B72EF9">
      <w:pPr>
        <w:pStyle w:val="12"/>
      </w:pPr>
      <w:r>
        <w:t>Issues/Year: 12</w:t>
      </w:r>
    </w:p>
    <w:p w:rsidR="00AD6FFD" w:rsidRDefault="00AD6FFD" w:rsidP="00B72EF9">
      <w:pPr>
        <w:pStyle w:val="12"/>
      </w:pPr>
      <w:r>
        <w:t>Language: English</w:t>
      </w:r>
    </w:p>
    <w:p w:rsidR="00AD6FFD" w:rsidRDefault="00AD6FFD" w:rsidP="00B72EF9">
      <w:pPr>
        <w:pStyle w:val="12"/>
      </w:pPr>
      <w:r>
        <w:t>Journal Country/Territory: Japan</w:t>
      </w:r>
    </w:p>
    <w:p w:rsidR="00AD6FFD" w:rsidRDefault="00AD6FFD" w:rsidP="00B72EF9">
      <w:pPr>
        <w:pStyle w:val="12"/>
      </w:pPr>
      <w:r>
        <w:t>Publisher: Japan Soc Internal Medicine</w:t>
      </w:r>
    </w:p>
    <w:p w:rsidR="00AD6FFD" w:rsidRDefault="00AD6FFD" w:rsidP="00B72EF9">
      <w:pPr>
        <w:pStyle w:val="12"/>
      </w:pPr>
      <w:r>
        <w:t>Publisher Address: 34-3 3-Chome Hongo Bunkyo-Ku, Tokyo 113, Japan</w:t>
      </w:r>
    </w:p>
    <w:p w:rsidR="00AD6FFD" w:rsidRDefault="00AD6FFD" w:rsidP="00B72EF9">
      <w:pPr>
        <w:pStyle w:val="12"/>
      </w:pPr>
      <w:r>
        <w:t>Subject Categories:</w:t>
      </w:r>
    </w:p>
    <w:p w:rsidR="00AD6FFD" w:rsidRPr="001A3D2B" w:rsidRDefault="00AD6FFD" w:rsidP="00B72EF9">
      <w:pPr>
        <w:pStyle w:val="12"/>
      </w:pPr>
      <w:r>
        <w:t>Medicine, General &amp; Internal</w:t>
      </w:r>
      <w:r w:rsidRPr="001A3D2B">
        <w:t xml:space="preserve">: Impact Factor </w:t>
      </w:r>
      <w:r>
        <w:rPr>
          <w:rFonts w:hint="eastAsia"/>
        </w:rPr>
        <w:t>1.040, 72/132 (2009)</w:t>
      </w:r>
    </w:p>
    <w:p w:rsidR="00B95188" w:rsidRDefault="00B95188" w:rsidP="00B95188">
      <w:pPr>
        <w:pStyle w:val="a0"/>
      </w:pPr>
      <w:r w:rsidRPr="00A428C3">
        <w:t>? Fukui, T.</w:t>
      </w:r>
      <w:r w:rsidR="00F81221">
        <w:t xml:space="preserve"> and </w:t>
      </w:r>
      <w:r w:rsidRPr="00A428C3">
        <w:t>Rahman, M. (2002), Contribution of research in basic</w:t>
      </w:r>
      <w:r w:rsidR="00F81221">
        <w:t xml:space="preserve"> and </w:t>
      </w:r>
      <w:r w:rsidRPr="00A428C3">
        <w:t xml:space="preserve">clinical sciences in </w:t>
      </w:r>
      <w:smartTag w:uri="urn:schemas-microsoft-com:office:smarttags" w:element="place">
        <w:smartTag w:uri="urn:schemas-microsoft-com:office:smarttags" w:element="country-region">
          <w:r w:rsidRPr="00A428C3">
            <w:t>Japan</w:t>
          </w:r>
        </w:smartTag>
      </w:smartTag>
      <w:r w:rsidRPr="00A428C3">
        <w:t xml:space="preserve">. </w:t>
      </w:r>
      <w:r w:rsidRPr="00A428C3">
        <w:rPr>
          <w:i/>
          <w:iCs/>
        </w:rPr>
        <w:t>Internal Medicine</w:t>
      </w:r>
      <w:r w:rsidRPr="00A428C3">
        <w:t xml:space="preserve">, </w:t>
      </w:r>
      <w:r w:rsidRPr="00A428C3">
        <w:rPr>
          <w:b/>
        </w:rPr>
        <w:t>41</w:t>
      </w:r>
      <w:r w:rsidRPr="00A428C3">
        <w:t xml:space="preserve"> (8), 626-628.</w:t>
      </w:r>
    </w:p>
    <w:p w:rsidR="00800E3D" w:rsidRPr="00A428C3" w:rsidRDefault="00800E3D" w:rsidP="00B95188">
      <w:pPr>
        <w:pStyle w:val="a0"/>
      </w:pPr>
      <w:r>
        <w:rPr>
          <w:rFonts w:hint="eastAsia"/>
        </w:rPr>
        <w:t xml:space="preserve">Full Text: </w:t>
      </w:r>
      <w:hyperlink r:id="rId1558" w:history="1">
        <w:r w:rsidRPr="00800E3D">
          <w:rPr>
            <w:rStyle w:val="a5"/>
          </w:rPr>
          <w:t>2002\Int Med41, 626.pdf</w:t>
        </w:r>
      </w:hyperlink>
    </w:p>
    <w:p w:rsidR="00B95188" w:rsidRPr="00A428C3" w:rsidRDefault="00B95188" w:rsidP="00B95188">
      <w:pPr>
        <w:pStyle w:val="a0"/>
      </w:pPr>
      <w:r w:rsidRPr="00A428C3">
        <w:t>Abstract: Objective To investigate the degree of Japan</w:t>
      </w:r>
      <w:r w:rsidR="000352E7">
        <w:t>’</w:t>
      </w:r>
      <w:r w:rsidRPr="00A428C3">
        <w:t>s contribution in basic</w:t>
      </w:r>
      <w:r w:rsidR="00F81221">
        <w:t xml:space="preserve"> and </w:t>
      </w:r>
      <w:r w:rsidRPr="00A428C3">
        <w:t>clinical research in the last decade.</w:t>
      </w:r>
    </w:p>
    <w:p w:rsidR="00B95188" w:rsidRPr="00A428C3" w:rsidRDefault="00B95188" w:rsidP="00B95188">
      <w:pPr>
        <w:pStyle w:val="a0"/>
      </w:pPr>
      <w:r w:rsidRPr="00A428C3">
        <w:t>Methods Original articles published in 1990</w:t>
      </w:r>
      <w:smartTag w:uri="urn:schemas-microsoft-com:office:smarttags" w:element="chmetcnv">
        <w:smartTagPr>
          <w:attr w:name="TCSC" w:val="0"/>
          <w:attr w:name="NumberType" w:val="1"/>
          <w:attr w:name="Negative" w:val="True"/>
          <w:attr w:name="HasSpace" w:val="True"/>
          <w:attr w:name="SourceValue" w:val="2000"/>
          <w:attr w:name="UnitName" w:val="in"/>
        </w:smartTagPr>
        <w:r w:rsidRPr="00A428C3">
          <w:t>-2000 in</w:t>
        </w:r>
      </w:smartTag>
      <w:r w:rsidRPr="00A428C3">
        <w:t xml:space="preserve"> highly reputed basic</w:t>
      </w:r>
      <w:r w:rsidR="00F81221">
        <w:t xml:space="preserve"> and </w:t>
      </w:r>
      <w:r w:rsidRPr="00A428C3">
        <w:t>clinical journals were accessed through MEDLINE database. The number of articles having affiliation with a Japanese institution was counted separately for basic</w:t>
      </w:r>
      <w:r w:rsidR="00F81221">
        <w:t xml:space="preserve"> and </w:t>
      </w:r>
      <w:r w:rsidRPr="00A428C3">
        <w:t>clinical journals.</w:t>
      </w:r>
    </w:p>
    <w:p w:rsidR="00B95188" w:rsidRPr="00A428C3" w:rsidRDefault="00B95188" w:rsidP="00B95188">
      <w:pPr>
        <w:pStyle w:val="a0"/>
      </w:pPr>
      <w:r w:rsidRPr="00A428C3">
        <w:t>Results Of total articles, Japan</w:t>
      </w:r>
      <w:r w:rsidR="000352E7">
        <w:t>’</w:t>
      </w:r>
      <w:r w:rsidRPr="00A428C3">
        <w:t>s contributions in basic</w:t>
      </w:r>
      <w:r w:rsidR="00F81221">
        <w:t xml:space="preserve"> and </w:t>
      </w:r>
      <w:r w:rsidRPr="00A428C3">
        <w:t>clinical research were 3.1 %</w:t>
      </w:r>
      <w:r w:rsidR="00F81221">
        <w:t xml:space="preserve"> and </w:t>
      </w:r>
      <w:r w:rsidRPr="00A428C3">
        <w:t>0.7 %, respectively (p=0.0001). The recent increase in the contribution was significant for basic research (p=0.01), but not for clinical research (p=0.91).</w:t>
      </w:r>
    </w:p>
    <w:p w:rsidR="00B95188" w:rsidRPr="00A428C3" w:rsidRDefault="00B95188" w:rsidP="00B95188">
      <w:pPr>
        <w:pStyle w:val="a0"/>
      </w:pPr>
      <w:r w:rsidRPr="00A428C3">
        <w:t xml:space="preserve">Conclusion The barriers to boosting high quality clinical research in </w:t>
      </w:r>
      <w:smartTag w:uri="urn:schemas-microsoft-com:office:smarttags" w:element="place">
        <w:smartTag w:uri="urn:schemas-microsoft-com:office:smarttags" w:element="country-region">
          <w:r w:rsidRPr="00A428C3">
            <w:t>Japan</w:t>
          </w:r>
        </w:smartTag>
      </w:smartTag>
      <w:r w:rsidRPr="00A428C3">
        <w:t xml:space="preserve"> should be determined</w:t>
      </w:r>
      <w:r w:rsidR="00F81221">
        <w:t xml:space="preserve"> and </w:t>
      </w:r>
      <w:r w:rsidRPr="00A428C3">
        <w:t>accordingly appropriate measures should be taken forthwith.</w:t>
      </w:r>
    </w:p>
    <w:p w:rsidR="00B95188" w:rsidRPr="00A428C3" w:rsidRDefault="00B95188" w:rsidP="00B95188">
      <w:pPr>
        <w:pStyle w:val="a0"/>
      </w:pPr>
      <w:r w:rsidRPr="00A428C3">
        <w:t>Keywords: MEDLINE, Medical Journal</w:t>
      </w:r>
    </w:p>
    <w:p w:rsidR="00800E3D" w:rsidRDefault="00800E3D" w:rsidP="00800E3D">
      <w:pPr>
        <w:pStyle w:val="a0"/>
        <w:rPr>
          <w:kern w:val="0"/>
        </w:rPr>
      </w:pPr>
      <w:r>
        <w:rPr>
          <w:rFonts w:hint="eastAsia"/>
          <w:kern w:val="0"/>
        </w:rPr>
        <w:t xml:space="preserve">? </w:t>
      </w:r>
      <w:r>
        <w:rPr>
          <w:kern w:val="0"/>
        </w:rPr>
        <w:t>Yuan, W.Z., Yang, K.H., Ma, B., Li, Y.M., Guan, Q.L., Wang, D.H.</w:t>
      </w:r>
      <w:r w:rsidR="00F81221">
        <w:rPr>
          <w:kern w:val="0"/>
        </w:rPr>
        <w:t xml:space="preserve"> and </w:t>
      </w:r>
      <w:r>
        <w:rPr>
          <w:kern w:val="0"/>
        </w:rPr>
        <w:t xml:space="preserve">Yang, L.J. (2009), Moxifloxacin-based triple therapy versus clarithromycin-based triple therapy for first-line treatment of helicobacter pylori infection: A meta-analysis of randomized controlled trials. </w:t>
      </w:r>
      <w:r>
        <w:rPr>
          <w:i/>
          <w:iCs/>
          <w:kern w:val="0"/>
        </w:rPr>
        <w:t>Internal Medicine</w:t>
      </w:r>
      <w:r>
        <w:rPr>
          <w:kern w:val="0"/>
        </w:rPr>
        <w:t xml:space="preserve">, </w:t>
      </w:r>
      <w:r>
        <w:rPr>
          <w:b/>
          <w:bCs/>
          <w:kern w:val="0"/>
        </w:rPr>
        <w:t>48</w:t>
      </w:r>
      <w:r>
        <w:rPr>
          <w:kern w:val="0"/>
        </w:rPr>
        <w:t xml:space="preserve"> (24), 2069-2076.</w:t>
      </w:r>
    </w:p>
    <w:p w:rsidR="00800E3D" w:rsidRPr="00A428C3" w:rsidRDefault="00800E3D" w:rsidP="00800E3D">
      <w:pPr>
        <w:pStyle w:val="a0"/>
      </w:pPr>
      <w:r>
        <w:rPr>
          <w:rFonts w:hint="eastAsia"/>
        </w:rPr>
        <w:t xml:space="preserve">Full Text: </w:t>
      </w:r>
      <w:hyperlink r:id="rId1559" w:history="1">
        <w:r w:rsidRPr="008F184A">
          <w:rPr>
            <w:rStyle w:val="a5"/>
          </w:rPr>
          <w:t>2009\Int Med48, 2069.pdf</w:t>
        </w:r>
      </w:hyperlink>
    </w:p>
    <w:p w:rsidR="00800E3D" w:rsidRDefault="00800E3D" w:rsidP="00800E3D">
      <w:pPr>
        <w:pStyle w:val="a0"/>
        <w:rPr>
          <w:kern w:val="0"/>
        </w:rPr>
      </w:pPr>
      <w:r>
        <w:rPr>
          <w:kern w:val="0"/>
        </w:rPr>
        <w:t>Abstract: Background Moxifloxacin-based triple therapy has been suggested as an alternative first line therapy to clarithromycin-based triple therapy for Helicobacter pylori infection. Aims To systematically review the efficacy</w:t>
      </w:r>
      <w:r w:rsidR="00F81221">
        <w:rPr>
          <w:kern w:val="0"/>
        </w:rPr>
        <w:t xml:space="preserve"> and </w:t>
      </w:r>
      <w:r>
        <w:rPr>
          <w:kern w:val="0"/>
        </w:rPr>
        <w:t>tolerance of moxifloxacin-based triple therapy,</w:t>
      </w:r>
      <w:r w:rsidR="00F81221">
        <w:rPr>
          <w:kern w:val="0"/>
        </w:rPr>
        <w:t xml:space="preserve"> and </w:t>
      </w:r>
      <w:r>
        <w:rPr>
          <w:kern w:val="0"/>
        </w:rPr>
        <w:t xml:space="preserve">to conduct a meta-analysis of studies comparing this regimen with clarithromycin-based triple therapy. Methods A search </w:t>
      </w:r>
      <w:r>
        <w:rPr>
          <w:kern w:val="0"/>
        </w:rPr>
        <w:lastRenderedPageBreak/>
        <w:t>of The Cochrane Library, PUBMED, EMBASE, EBM Review databases, Science Citation Index Expanded,</w:t>
      </w:r>
      <w:r w:rsidR="00F81221">
        <w:rPr>
          <w:kern w:val="0"/>
        </w:rPr>
        <w:t xml:space="preserve"> and </w:t>
      </w:r>
      <w:r>
        <w:rPr>
          <w:kern w:val="0"/>
        </w:rPr>
        <w:t>CMB (Chinese Biomedical Literature Database) was performed. Randomized controlled trials comparing moxifloxacin-based triple therapy to gold standard triple therapy in the first-line treatment of Helicobacter pylori infection were selected for meta-analysis. Relative risk was used as a measure of the effect of the two above-mentioned regimens with a fixed-effects model using the methods of DerSimonian</w:t>
      </w:r>
      <w:r w:rsidR="00F81221">
        <w:rPr>
          <w:kern w:val="0"/>
        </w:rPr>
        <w:t xml:space="preserve"> and </w:t>
      </w:r>
      <w:r>
        <w:rPr>
          <w:kern w:val="0"/>
        </w:rPr>
        <w:t>Laird. Results Four randomized controlled trials totaling 772 patients were included. The meta-analysis showed that the mean eradication rate was 84.1 (318/378) in the moxifloxacin-based triple therapy group</w:t>
      </w:r>
      <w:r w:rsidR="00F81221">
        <w:rPr>
          <w:kern w:val="0"/>
        </w:rPr>
        <w:t xml:space="preserve"> and </w:t>
      </w:r>
      <w:r>
        <w:rPr>
          <w:kern w:val="0"/>
        </w:rPr>
        <w:t>73.6 (290/394) in the clarithromycin-based triple therapy group; there was statistical significance between the two groups (RR, 1.13; 95% CI, 1.01, 1.27; P=0.04). There were no statistically significant difference in the overall side effects (RR, 0.61; 95% CI, 0.25, 1.48; P&lt;0.28). Conclusions Moxifloxacin-based triple therapy is more effective</w:t>
      </w:r>
      <w:r w:rsidR="00F81221">
        <w:rPr>
          <w:kern w:val="0"/>
        </w:rPr>
        <w:t xml:space="preserve"> and </w:t>
      </w:r>
      <w:r>
        <w:rPr>
          <w:kern w:val="0"/>
        </w:rPr>
        <w:t>does not increase the incidence of overall side effects compared to clarithromycin-based triple therapy in the treatment of H. pylori infection.</w:t>
      </w:r>
    </w:p>
    <w:p w:rsidR="00800E3D" w:rsidRDefault="00800E3D" w:rsidP="00800E3D">
      <w:pPr>
        <w:pStyle w:val="a0"/>
        <w:rPr>
          <w:kern w:val="0"/>
        </w:rPr>
      </w:pPr>
      <w:r>
        <w:rPr>
          <w:kern w:val="0"/>
        </w:rPr>
        <w:t>Keywords: 2nd-Line Treatment, Amoxicillin, Antibiotic-Resistance, Antimicrobial Resistance, Citation, Clarithromycin, Clinical-Trials, Database, Developing-Country, Eradication, First-Line Treatment, Groups, Helicobacter Pylori, Lansoprazole, Levofloxacin, Literature, Meta-Analysis, Moxifloxacin, Quadruple Therapy, Review, Science Citation Index, Treatment</w:t>
      </w:r>
    </w:p>
    <w:p w:rsidR="0036592D" w:rsidRPr="0089679A" w:rsidRDefault="0036592D" w:rsidP="0036592D">
      <w:pPr>
        <w:pStyle w:val="a0"/>
        <w:rPr>
          <w:kern w:val="0"/>
        </w:rPr>
      </w:pPr>
      <w:r>
        <w:rPr>
          <w:rFonts w:hint="eastAsia"/>
        </w:rPr>
        <w:t xml:space="preserve">? </w:t>
      </w:r>
      <w:r w:rsidRPr="0089679A">
        <w:rPr>
          <w:kern w:val="0"/>
        </w:rPr>
        <w:t>Yuan, W.Z., Li, Y.M., Guan, Q.L., Yang, K.H., Jiang, L., Wang, D.H.</w:t>
      </w:r>
      <w:r w:rsidR="00F81221">
        <w:rPr>
          <w:kern w:val="0"/>
        </w:rPr>
        <w:t xml:space="preserve"> and </w:t>
      </w:r>
      <w:r w:rsidRPr="0089679A">
        <w:rPr>
          <w:kern w:val="0"/>
        </w:rPr>
        <w:t xml:space="preserve">Yang, L.J. (2010), Is </w:t>
      </w:r>
      <w:r w:rsidRPr="0089679A">
        <w:t>antimicrobial susceptibility testing necessary before first-line treatme</w:t>
      </w:r>
      <w:r w:rsidRPr="0089679A">
        <w:rPr>
          <w:kern w:val="0"/>
        </w:rPr>
        <w:t xml:space="preserve">nt for </w:t>
      </w:r>
      <w:r w:rsidRPr="00B25896">
        <w:rPr>
          <w:i/>
          <w:kern w:val="0"/>
        </w:rPr>
        <w:t>Helicobacter pylori</w:t>
      </w:r>
      <w:r>
        <w:rPr>
          <w:kern w:val="0"/>
        </w:rPr>
        <w:t xml:space="preserve"> Infection? </w:t>
      </w:r>
      <w:r w:rsidRPr="0089679A">
        <w:rPr>
          <w:kern w:val="0"/>
        </w:rPr>
        <w:t xml:space="preserve">Meta-analysis of </w:t>
      </w:r>
      <w:r w:rsidRPr="0089679A">
        <w:t>randomized controlled tri</w:t>
      </w:r>
      <w:r w:rsidRPr="0089679A">
        <w:rPr>
          <w:kern w:val="0"/>
        </w:rPr>
        <w:t xml:space="preserve">als. </w:t>
      </w:r>
      <w:r w:rsidRPr="0089679A">
        <w:rPr>
          <w:i/>
          <w:iCs/>
          <w:kern w:val="0"/>
        </w:rPr>
        <w:t>Internal Medicine</w:t>
      </w:r>
      <w:r w:rsidRPr="0089679A">
        <w:rPr>
          <w:kern w:val="0"/>
        </w:rPr>
        <w:t xml:space="preserve">, </w:t>
      </w:r>
      <w:r w:rsidRPr="0089679A">
        <w:rPr>
          <w:b/>
          <w:bCs/>
          <w:kern w:val="0"/>
        </w:rPr>
        <w:t>49</w:t>
      </w:r>
      <w:r w:rsidRPr="0089679A">
        <w:rPr>
          <w:kern w:val="0"/>
        </w:rPr>
        <w:t xml:space="preserve"> (12), 1103-1109.</w:t>
      </w:r>
    </w:p>
    <w:p w:rsidR="0036592D" w:rsidRPr="00A428C3" w:rsidRDefault="0036592D" w:rsidP="0036592D">
      <w:pPr>
        <w:pStyle w:val="a0"/>
      </w:pPr>
      <w:r>
        <w:rPr>
          <w:rFonts w:hint="eastAsia"/>
        </w:rPr>
        <w:t xml:space="preserve">Full Text: </w:t>
      </w:r>
      <w:hyperlink r:id="rId1560" w:history="1">
        <w:r w:rsidRPr="00B25896">
          <w:rPr>
            <w:rStyle w:val="a5"/>
          </w:rPr>
          <w:t>2010\Int Med49, 1103.pdf</w:t>
        </w:r>
      </w:hyperlink>
    </w:p>
    <w:p w:rsidR="0036592D" w:rsidRPr="0089679A" w:rsidRDefault="0036592D" w:rsidP="0036592D">
      <w:pPr>
        <w:pStyle w:val="a0"/>
        <w:rPr>
          <w:kern w:val="0"/>
        </w:rPr>
      </w:pPr>
      <w:r w:rsidRPr="0089679A">
        <w:rPr>
          <w:kern w:val="0"/>
        </w:rPr>
        <w:t>Abstract: Background With the wide use of antibiotics, antibiotic-resistant Helicobacter pylori strains are becoming increasingly prevalent. It has been hypothesized that culture-guided therapy might help to increase treatment success. But the effects</w:t>
      </w:r>
      <w:r w:rsidR="00F81221">
        <w:rPr>
          <w:kern w:val="0"/>
        </w:rPr>
        <w:t xml:space="preserve"> and </w:t>
      </w:r>
      <w:r w:rsidRPr="0089679A">
        <w:rPr>
          <w:kern w:val="0"/>
        </w:rPr>
        <w:t>the costs still remain controversial. Aims To systematically review the efficacy</w:t>
      </w:r>
      <w:r w:rsidR="00F81221">
        <w:rPr>
          <w:kern w:val="0"/>
        </w:rPr>
        <w:t xml:space="preserve"> and </w:t>
      </w:r>
      <w:r w:rsidRPr="0089679A">
        <w:rPr>
          <w:kern w:val="0"/>
        </w:rPr>
        <w:t>the cost of culture-guided triple therapy, compared to standard triple regimen for first-line treatment of Helicobacter pylori infection. Methods A search of the Cochrane Library, PubMed, EMBASE, Science Citation Index Expanded</w:t>
      </w:r>
      <w:r w:rsidR="00F81221">
        <w:rPr>
          <w:kern w:val="0"/>
        </w:rPr>
        <w:t xml:space="preserve"> and </w:t>
      </w:r>
      <w:r w:rsidRPr="0089679A">
        <w:rPr>
          <w:kern w:val="0"/>
        </w:rPr>
        <w:t>CBM was performed. Randomized controlled trials comparing culture-guided triple therapy to standard triple therapy in the first-line treatment of Helicobacter pylori infection were selected for meta-analysis. Relative risk was used as a measure of the effect of two regimens mentioned above with a fixed-effects model using the methods of DerSimonian</w:t>
      </w:r>
      <w:r w:rsidR="00F81221">
        <w:rPr>
          <w:kern w:val="0"/>
        </w:rPr>
        <w:t xml:space="preserve"> and </w:t>
      </w:r>
      <w:r w:rsidRPr="0089679A">
        <w:rPr>
          <w:kern w:val="0"/>
        </w:rPr>
        <w:t xml:space="preserve">Laird. Results Five randomized controlled trials totaling 701 patients were included. The meta-analysis showed that culture-guided </w:t>
      </w:r>
      <w:r w:rsidRPr="0089679A">
        <w:rPr>
          <w:kern w:val="0"/>
        </w:rPr>
        <w:lastRenderedPageBreak/>
        <w:t>triple therapy was superior referring to a higher eradication rate from intention-to-treat analyses (RR, 0.84; 95% CI, 0.77, 0.90; p&lt;0.00001)</w:t>
      </w:r>
      <w:r w:rsidR="00F81221">
        <w:rPr>
          <w:kern w:val="0"/>
        </w:rPr>
        <w:t xml:space="preserve"> and </w:t>
      </w:r>
      <w:r w:rsidRPr="0089679A">
        <w:rPr>
          <w:kern w:val="0"/>
        </w:rPr>
        <w:t>a lower overall cost. Conclusion Culture-guided triple therapy was more effective than standard triple therapy for first-line treatment of Helicobacter pylori infection. Based on the only paper focused on the overall cost, the culture-guided triple therapy was also more cost saving. Antimicrobial susceptibility testing is necessary before first-line treatment for Helicobacter pylori infection.</w:t>
      </w:r>
    </w:p>
    <w:p w:rsidR="0036592D" w:rsidRPr="0089679A" w:rsidRDefault="0036592D" w:rsidP="0036592D">
      <w:pPr>
        <w:pStyle w:val="a0"/>
        <w:rPr>
          <w:kern w:val="0"/>
        </w:rPr>
      </w:pPr>
      <w:r w:rsidRPr="0089679A">
        <w:t>Keywords: Antibiotics</w:t>
      </w:r>
      <w:r>
        <w:t xml:space="preserve">, </w:t>
      </w:r>
      <w:r w:rsidRPr="0089679A">
        <w:t>Citation</w:t>
      </w:r>
      <w:r>
        <w:t xml:space="preserve">, </w:t>
      </w:r>
      <w:r w:rsidRPr="0089679A">
        <w:t>Clarithromycin</w:t>
      </w:r>
      <w:r>
        <w:t xml:space="preserve">, </w:t>
      </w:r>
      <w:r w:rsidRPr="0089679A">
        <w:t>Consensus Conference</w:t>
      </w:r>
      <w:r>
        <w:t xml:space="preserve">, </w:t>
      </w:r>
      <w:r w:rsidRPr="0089679A">
        <w:t>Costs</w:t>
      </w:r>
      <w:r>
        <w:t xml:space="preserve">, </w:t>
      </w:r>
      <w:r w:rsidRPr="0089679A">
        <w:t>Culture-Guided Triple Therapy</w:t>
      </w:r>
      <w:r>
        <w:t xml:space="preserve">, </w:t>
      </w:r>
      <w:r w:rsidRPr="0089679A">
        <w:t>Effects</w:t>
      </w:r>
      <w:r>
        <w:t xml:space="preserve">, </w:t>
      </w:r>
      <w:r w:rsidRPr="0089679A">
        <w:t>Eradication Therapy</w:t>
      </w:r>
      <w:r>
        <w:t xml:space="preserve">, </w:t>
      </w:r>
      <w:r w:rsidRPr="0089679A">
        <w:t>First-Line Treatment</w:t>
      </w:r>
      <w:r>
        <w:t xml:space="preserve">, </w:t>
      </w:r>
      <w:r w:rsidRPr="0089679A">
        <w:t>Helicobacter Pylori</w:t>
      </w:r>
      <w:r>
        <w:t xml:space="preserve">, </w:t>
      </w:r>
      <w:r w:rsidRPr="0089679A">
        <w:t>Meta-Analysis</w:t>
      </w:r>
      <w:r>
        <w:t xml:space="preserve">, </w:t>
      </w:r>
      <w:r w:rsidRPr="0089679A">
        <w:t>Methods</w:t>
      </w:r>
      <w:r>
        <w:t xml:space="preserve">, </w:t>
      </w:r>
      <w:r w:rsidRPr="0089679A">
        <w:t>Model</w:t>
      </w:r>
      <w:r>
        <w:t xml:space="preserve">, </w:t>
      </w:r>
      <w:r w:rsidRPr="0089679A">
        <w:t>Overall Cost</w:t>
      </w:r>
      <w:r>
        <w:t xml:space="preserve">, </w:t>
      </w:r>
      <w:r w:rsidRPr="0089679A">
        <w:t>Peptic-Ulcer</w:t>
      </w:r>
      <w:r>
        <w:t xml:space="preserve">, </w:t>
      </w:r>
      <w:r w:rsidRPr="0089679A">
        <w:t>Pretreatment Antibiotic-Resistance</w:t>
      </w:r>
      <w:r>
        <w:t xml:space="preserve">, </w:t>
      </w:r>
      <w:r w:rsidRPr="0089679A">
        <w:t>Proton-Pump Inhibitor</w:t>
      </w:r>
      <w:r>
        <w:t xml:space="preserve">, </w:t>
      </w:r>
      <w:r w:rsidRPr="0089679A">
        <w:t>Pubmed</w:t>
      </w:r>
      <w:r>
        <w:t xml:space="preserve">, </w:t>
      </w:r>
      <w:r w:rsidRPr="0089679A">
        <w:t>Randomized Controlled Trials</w:t>
      </w:r>
      <w:r>
        <w:t xml:space="preserve">, </w:t>
      </w:r>
      <w:r w:rsidRPr="0089679A">
        <w:t>Review</w:t>
      </w:r>
      <w:r>
        <w:t xml:space="preserve">, </w:t>
      </w:r>
      <w:r w:rsidRPr="0089679A">
        <w:t>Risk</w:t>
      </w:r>
      <w:r>
        <w:t xml:space="preserve">, </w:t>
      </w:r>
      <w:r w:rsidRPr="0089679A">
        <w:t>Risk-Factors</w:t>
      </w:r>
      <w:r>
        <w:t xml:space="preserve">, </w:t>
      </w:r>
      <w:r w:rsidRPr="0089679A">
        <w:t>Science</w:t>
      </w:r>
      <w:r>
        <w:t xml:space="preserve">, </w:t>
      </w:r>
      <w:r w:rsidRPr="0089679A">
        <w:t>Science Citation Index</w:t>
      </w:r>
      <w:r>
        <w:t xml:space="preserve">, </w:t>
      </w:r>
      <w:r w:rsidRPr="0089679A">
        <w:t>Standard Triple Therapy</w:t>
      </w:r>
      <w:r>
        <w:t xml:space="preserve">, </w:t>
      </w:r>
      <w:r w:rsidRPr="0089679A">
        <w:t>Success</w:t>
      </w:r>
      <w:r>
        <w:t xml:space="preserve">, </w:t>
      </w:r>
      <w:r w:rsidRPr="0089679A">
        <w:t>Therapy</w:t>
      </w:r>
      <w:r>
        <w:t xml:space="preserve">, </w:t>
      </w:r>
      <w:r w:rsidRPr="0089679A">
        <w:t>Treatment</w:t>
      </w:r>
      <w:r>
        <w:t xml:space="preserve">, </w:t>
      </w:r>
      <w:r w:rsidRPr="0089679A">
        <w:t>Treatment Failures</w:t>
      </w:r>
      <w:r>
        <w:t xml:space="preserve">, </w:t>
      </w:r>
      <w:r w:rsidRPr="0089679A">
        <w:t>Triple Therapy</w:t>
      </w:r>
      <w:r>
        <w:t xml:space="preserve">, </w:t>
      </w:r>
      <w:r w:rsidRPr="0089679A">
        <w:t>United-States</w:t>
      </w:r>
    </w:p>
    <w:p w:rsidR="00AD6FFD" w:rsidRDefault="00AD6FFD" w:rsidP="00AD6FFD">
      <w:pPr>
        <w:pStyle w:val="a0"/>
        <w:rPr>
          <w:kern w:val="0"/>
        </w:rPr>
      </w:pPr>
      <w:r>
        <w:rPr>
          <w:rFonts w:hint="eastAsia"/>
          <w:kern w:val="0"/>
        </w:rPr>
        <w:t xml:space="preserve">? </w:t>
      </w:r>
      <w:r w:rsidRPr="00AD6FFD">
        <w:t>Ho, Y.S.</w:t>
      </w:r>
      <w:r w:rsidRPr="00AD6FFD">
        <w:rPr>
          <w:rFonts w:hint="eastAsia"/>
        </w:rPr>
        <w:t>,</w:t>
      </w:r>
      <w:r>
        <w:rPr>
          <w:rFonts w:hint="eastAsia"/>
        </w:rPr>
        <w:t xml:space="preserve"> </w:t>
      </w:r>
      <w:r w:rsidRPr="00F652A7">
        <w:t xml:space="preserve">Satoh, </w:t>
      </w:r>
      <w:r>
        <w:rPr>
          <w:rFonts w:hint="eastAsia"/>
        </w:rPr>
        <w:t>H.</w:t>
      </w:r>
      <w:r w:rsidR="00F81221">
        <w:rPr>
          <w:rFonts w:hint="eastAsia"/>
        </w:rPr>
        <w:t xml:space="preserve"> and </w:t>
      </w:r>
      <w:r w:rsidRPr="00F652A7">
        <w:t>Lin</w:t>
      </w:r>
      <w:r>
        <w:rPr>
          <w:rFonts w:hint="eastAsia"/>
        </w:rPr>
        <w:t>, S.Y.</w:t>
      </w:r>
      <w:r w:rsidRPr="0025572F">
        <w:t xml:space="preserve"> (20</w:t>
      </w:r>
      <w:r>
        <w:rPr>
          <w:rFonts w:hint="eastAsia"/>
        </w:rPr>
        <w:t>10</w:t>
      </w:r>
      <w:r w:rsidRPr="0025572F">
        <w:t xml:space="preserve">), </w:t>
      </w:r>
      <w:r w:rsidRPr="00F652A7">
        <w:t>Japan</w:t>
      </w:r>
      <w:r>
        <w:rPr>
          <w:rFonts w:eastAsiaTheme="minorEastAsia" w:hint="eastAsia"/>
          <w:lang w:eastAsia="zh-CN"/>
        </w:rPr>
        <w:t>ese</w:t>
      </w:r>
      <w:r w:rsidRPr="00F652A7">
        <w:t xml:space="preserve"> lung cancer research trends</w:t>
      </w:r>
      <w:r w:rsidR="00F81221">
        <w:t xml:space="preserve"> and </w:t>
      </w:r>
      <w:r w:rsidRPr="00F652A7">
        <w:t>performances in Science Citation Index</w:t>
      </w:r>
      <w:r w:rsidRPr="0025572F">
        <w:t xml:space="preserve">. </w:t>
      </w:r>
      <w:r w:rsidRPr="00112250">
        <w:rPr>
          <w:i/>
          <w:kern w:val="0"/>
        </w:rPr>
        <w:t>Internal Medicine</w:t>
      </w:r>
      <w:r w:rsidRPr="00F219CA">
        <w:t>,</w:t>
      </w:r>
      <w:r>
        <w:rPr>
          <w:rFonts w:hint="eastAsia"/>
        </w:rPr>
        <w:t xml:space="preserve"> </w:t>
      </w:r>
      <w:r w:rsidR="008C252C">
        <w:rPr>
          <w:rFonts w:hint="eastAsia"/>
          <w:b/>
          <w:bCs/>
          <w:kern w:val="0"/>
        </w:rPr>
        <w:t>49</w:t>
      </w:r>
      <w:r>
        <w:rPr>
          <w:kern w:val="0"/>
        </w:rPr>
        <w:t xml:space="preserve"> (</w:t>
      </w:r>
      <w:r w:rsidR="008C252C">
        <w:rPr>
          <w:rFonts w:hint="eastAsia"/>
          <w:kern w:val="0"/>
        </w:rPr>
        <w:t>20</w:t>
      </w:r>
      <w:r>
        <w:rPr>
          <w:kern w:val="0"/>
        </w:rPr>
        <w:t>)</w:t>
      </w:r>
      <w:r w:rsidR="0040614B">
        <w:rPr>
          <w:rFonts w:hint="eastAsia"/>
        </w:rPr>
        <w:t xml:space="preserve">, </w:t>
      </w:r>
      <w:r w:rsidR="0040614B" w:rsidRPr="006449EB">
        <w:t>2219-2228</w:t>
      </w:r>
      <w:r>
        <w:rPr>
          <w:kern w:val="0"/>
        </w:rPr>
        <w:t>.</w:t>
      </w:r>
    </w:p>
    <w:p w:rsidR="008C252C" w:rsidRDefault="008C252C" w:rsidP="008C252C">
      <w:pPr>
        <w:pStyle w:val="a0"/>
      </w:pPr>
      <w:r>
        <w:rPr>
          <w:rFonts w:hint="eastAsia"/>
        </w:rPr>
        <w:t>Full Text:</w:t>
      </w:r>
      <w:r w:rsidR="0040614B">
        <w:rPr>
          <w:rFonts w:hint="eastAsia"/>
        </w:rPr>
        <w:t xml:space="preserve"> </w:t>
      </w:r>
      <w:hyperlink r:id="rId1561" w:history="1">
        <w:r w:rsidR="0040614B" w:rsidRPr="0040614B">
          <w:rPr>
            <w:rStyle w:val="a5"/>
          </w:rPr>
          <w:t>2010\Int Med49, 2219.pdf</w:t>
        </w:r>
      </w:hyperlink>
      <w:r w:rsidR="0040614B">
        <w:rPr>
          <w:rFonts w:hint="eastAsia"/>
        </w:rPr>
        <w:t>;</w:t>
      </w:r>
      <w:r>
        <w:rPr>
          <w:rFonts w:hint="eastAsia"/>
        </w:rPr>
        <w:t xml:space="preserve"> </w:t>
      </w:r>
      <w:hyperlink r:id="rId1562" w:history="1">
        <w:r w:rsidRPr="001E2FBB">
          <w:rPr>
            <w:rStyle w:val="a5"/>
          </w:rPr>
          <w:t>2010\Int Med49-Ho.pdf</w:t>
        </w:r>
      </w:hyperlink>
    </w:p>
    <w:p w:rsidR="0040614B" w:rsidRDefault="0040614B" w:rsidP="0040614B">
      <w:pPr>
        <w:pStyle w:val="a0"/>
      </w:pPr>
      <w:r>
        <w:rPr>
          <w:rFonts w:hint="eastAsia"/>
        </w:rPr>
        <w:t xml:space="preserve">Abstract: </w:t>
      </w:r>
      <w:r>
        <w:t>Objective This study was undertaken to explore a bibliometric approach to quantitatively assess current research</w:t>
      </w:r>
      <w:r>
        <w:rPr>
          <w:rFonts w:hint="eastAsia"/>
        </w:rPr>
        <w:t xml:space="preserve"> </w:t>
      </w:r>
      <w:r>
        <w:t>trends in lung cancer in Japan, using the related literature in the Science Citation Index (SCI) database</w:t>
      </w:r>
      <w:r>
        <w:rPr>
          <w:rFonts w:hint="eastAsia"/>
        </w:rPr>
        <w:t xml:space="preserve"> </w:t>
      </w:r>
      <w:r>
        <w:t>from 1991 to 2008.</w:t>
      </w:r>
      <w:r>
        <w:rPr>
          <w:rFonts w:hint="eastAsia"/>
        </w:rPr>
        <w:t xml:space="preserve"> </w:t>
      </w:r>
      <w:r>
        <w:t>Materials</w:t>
      </w:r>
      <w:r w:rsidR="00F81221">
        <w:t xml:space="preserve"> and </w:t>
      </w:r>
      <w:r>
        <w:t>Methods Articles were analyzed by the scientific output</w:t>
      </w:r>
      <w:r w:rsidR="00F81221">
        <w:t xml:space="preserve"> and </w:t>
      </w:r>
      <w:r>
        <w:t>research performances of individuals,</w:t>
      </w:r>
      <w:r>
        <w:rPr>
          <w:rFonts w:hint="eastAsia"/>
        </w:rPr>
        <w:t xml:space="preserve"> </w:t>
      </w:r>
      <w:r>
        <w:t>institutes,</w:t>
      </w:r>
      <w:r w:rsidR="00F81221">
        <w:t xml:space="preserve"> and </w:t>
      </w:r>
      <w:r>
        <w:t>collaborative countries with Japan. Distribution of words in the article title, author</w:t>
      </w:r>
      <w:r>
        <w:rPr>
          <w:rFonts w:hint="eastAsia"/>
        </w:rPr>
        <w:t xml:space="preserve"> </w:t>
      </w:r>
      <w:r>
        <w:t>keywords,</w:t>
      </w:r>
      <w:r w:rsidR="00F81221">
        <w:t xml:space="preserve"> and </w:t>
      </w:r>
      <w:r>
        <w:t>KeyWords Plus in different periods was applied to evaluate research trends by the frequency</w:t>
      </w:r>
      <w:r>
        <w:rPr>
          <w:rFonts w:hint="eastAsia"/>
        </w:rPr>
        <w:t xml:space="preserve"> </w:t>
      </w:r>
      <w:r>
        <w:t>of keywords used.</w:t>
      </w:r>
      <w:r>
        <w:rPr>
          <w:rFonts w:hint="eastAsia"/>
        </w:rPr>
        <w:t xml:space="preserve"> </w:t>
      </w:r>
      <w:r>
        <w:t>Results Keyword analysis indicated that there has been a strategy to connect molecular biology with clinical</w:t>
      </w:r>
      <w:r>
        <w:rPr>
          <w:rFonts w:hint="eastAsia"/>
        </w:rPr>
        <w:t xml:space="preserve"> </w:t>
      </w:r>
      <w:r>
        <w:t>practice. Researchers in Japan have published high impact articles related to non-small cell</w:t>
      </w:r>
      <w:r w:rsidR="00F81221">
        <w:t xml:space="preserve"> and </w:t>
      </w:r>
      <w:r>
        <w:t>small cell</w:t>
      </w:r>
      <w:r>
        <w:rPr>
          <w:rFonts w:hint="eastAsia"/>
        </w:rPr>
        <w:t xml:space="preserve"> </w:t>
      </w:r>
      <w:r>
        <w:t>lung cancer.</w:t>
      </w:r>
      <w:r>
        <w:rPr>
          <w:rFonts w:hint="eastAsia"/>
        </w:rPr>
        <w:t xml:space="preserve"> </w:t>
      </w:r>
      <w:r>
        <w:t>Conclusion Finally, this study highlights the topics in lung cancer research that are becoming popular in</w:t>
      </w:r>
      <w:r>
        <w:rPr>
          <w:rFonts w:hint="eastAsia"/>
        </w:rPr>
        <w:t xml:space="preserve"> </w:t>
      </w:r>
      <w:r>
        <w:t>Japan.</w:t>
      </w:r>
    </w:p>
    <w:p w:rsidR="00625661" w:rsidRDefault="00625661" w:rsidP="00625661">
      <w:pPr>
        <w:pStyle w:val="a0"/>
        <w:rPr>
          <w:kern w:val="0"/>
          <w:szCs w:val="24"/>
        </w:rPr>
      </w:pPr>
      <w:r>
        <w:rPr>
          <w:kern w:val="0"/>
          <w:szCs w:val="24"/>
        </w:rPr>
        <w:t>Keywords: Analysis, Articles, Author, Bibliometric, Biology, Cancer, Cancer Research, Carcinoma, Cisplatin, Citation, Combination, Concurrent, Distribution, Gefitinib, Japan, Keyword, Literature, Lung Cancer, Metaanalysis, Mutations, Performance, Phase-III, Research, Research Trends, SCI, Science Citation Index, Scientific Output, Scientometrics, Sequential Thoracic Radiotherapy, System, Web of Science</w:t>
      </w:r>
    </w:p>
    <w:p w:rsidR="005848C0" w:rsidRDefault="005848C0" w:rsidP="005848C0">
      <w:pPr>
        <w:pStyle w:val="a0"/>
        <w:rPr>
          <w:kern w:val="0"/>
        </w:rPr>
      </w:pPr>
      <w:r>
        <w:rPr>
          <w:kern w:val="0"/>
        </w:rPr>
        <w:t xml:space="preserve">? Li, Y.Y. (2011), Endothelial nitric oxide synthase G894T gene polymorphism and essential hypertension in the Chinese population: A meta-analysis involving 11,248 subjects. </w:t>
      </w:r>
      <w:r>
        <w:rPr>
          <w:i/>
          <w:iCs/>
          <w:kern w:val="0"/>
        </w:rPr>
        <w:t>Internal Medicine</w:t>
      </w:r>
      <w:r>
        <w:rPr>
          <w:kern w:val="0"/>
        </w:rPr>
        <w:t xml:space="preserve">, </w:t>
      </w:r>
      <w:r>
        <w:rPr>
          <w:b/>
          <w:bCs/>
          <w:kern w:val="0"/>
        </w:rPr>
        <w:t>50</w:t>
      </w:r>
      <w:r>
        <w:rPr>
          <w:kern w:val="0"/>
        </w:rPr>
        <w:t xml:space="preserve"> (19), 2099-2106.</w:t>
      </w:r>
    </w:p>
    <w:p w:rsidR="005848C0" w:rsidRDefault="005848C0" w:rsidP="005848C0">
      <w:pPr>
        <w:pStyle w:val="a0"/>
      </w:pPr>
      <w:r>
        <w:rPr>
          <w:rFonts w:hint="eastAsia"/>
        </w:rPr>
        <w:t xml:space="preserve">Full Text: </w:t>
      </w:r>
      <w:hyperlink r:id="rId1563" w:history="1">
        <w:r w:rsidRPr="001413F9">
          <w:rPr>
            <w:rStyle w:val="a5"/>
          </w:rPr>
          <w:t>2011\Int Med50, 2099.pdf</w:t>
        </w:r>
      </w:hyperlink>
    </w:p>
    <w:p w:rsidR="005848C0" w:rsidRDefault="005848C0" w:rsidP="005848C0">
      <w:pPr>
        <w:pStyle w:val="a0"/>
        <w:rPr>
          <w:kern w:val="0"/>
        </w:rPr>
      </w:pPr>
      <w:r>
        <w:rPr>
          <w:kern w:val="0"/>
        </w:rPr>
        <w:t xml:space="preserve">Abstract: Background The endothelial nitric oxide synthase (eNOS) G894T gene </w:t>
      </w:r>
      <w:r>
        <w:rPr>
          <w:kern w:val="0"/>
        </w:rPr>
        <w:lastRenderedPageBreak/>
        <w:t>polymorphism has been suggested to be linked to the risk of essential hypertension (EH), however the results are still debatable. Objective and Methods To assess the association between eNOS G894T gene polymorphism and EH, such electronic databases as Pubmed, Embase, Web of Science, China Biological Medicine Database (CBMD) and China National Knowledge Infrastructure (CNKI) were searched. The selection criteria were as follows: a) Evaluation of the association of eNOS G894T gene polymorphism and EH. b) EH diagnosis in compliance with EH diagnosis criteria of the World Health Organization (WHO) in 1999. c) The study results were in line with the Hardy-Weinberg equilibrium (HWE). In 23 separate studies with 11,248 subjects the relation between eNOS G894T gene polymorphism and EH was analyzed by current meta-analysis. Random effect model was used to calculate the pooled odds ratio (ORs) and its corresponding 95% confidence interval (95% CI). Results In this eNOS G894T gene polymorphism and EH meta-analysis in the Chinese population, the distribution of T allele frequency was 0.154 for EH group and 0.128 for the control group. A significant association was found between G894T gene polymorphism and EH (p=0.0007). The pooled or for the distribution frequency of T allele was 1.33 (95% CI: 1.13-1.56, P(heterogeneity) &lt;0.00001). In the stratified analysis by ethnicity, there was a significant association in Han subgroup (p=0.005). The pooled or for the distribution frequency of T allele was 1.31 (95% CI: 1.09-1.59, P(heterogeneity) &lt;0.00001). No significant increased risk for EH was found in the non-Han subgroup (p=0.08). Conclusion In the current meta-analysis, T allele of eNOS G894T gene was suggested to be related to the increased risk of EH in the Chinese population, particularly in those of Han ethnicity.</w:t>
      </w:r>
    </w:p>
    <w:p w:rsidR="005848C0" w:rsidRDefault="005848C0" w:rsidP="005848C0">
      <w:pPr>
        <w:pStyle w:val="a0"/>
        <w:rPr>
          <w:kern w:val="0"/>
        </w:rPr>
      </w:pPr>
      <w:r>
        <w:rPr>
          <w:kern w:val="0"/>
        </w:rPr>
        <w:t>Keywords: Analysis, Association, Bias, China, Compliance, Control, Database, Databases, Diagnosis, Endothelial Nitric Oxide Synthase, Equilibrium, Ethnicity, Evaluation, Frequency, G894T, Gene Polymorphism, Han Chinese, Health, Hypertension, Knowledge, Meta Analysis, Meta-Analysis, Methods, Model, Polymorphism, Ratio, Risk, Science, Web of Science, WHO</w:t>
      </w:r>
    </w:p>
    <w:p w:rsidR="00E01018" w:rsidRPr="00217FB1" w:rsidRDefault="00E01018" w:rsidP="00E01018">
      <w:pPr>
        <w:pStyle w:val="1"/>
      </w:pPr>
      <w:r w:rsidRPr="00217FB1">
        <w:br w:type="page"/>
      </w:r>
      <w:bookmarkStart w:id="1123" w:name="_Toc317161210"/>
      <w:r w:rsidRPr="00217FB1">
        <w:lastRenderedPageBreak/>
        <w:t xml:space="preserve">Title: </w:t>
      </w:r>
      <w:r w:rsidRPr="00E01018">
        <w:rPr>
          <w:iCs/>
        </w:rPr>
        <w:t>Internal Medicine Journal</w:t>
      </w:r>
      <w:bookmarkEnd w:id="1123"/>
    </w:p>
    <w:p w:rsidR="00E01018" w:rsidRPr="00217FB1" w:rsidRDefault="00E01018" w:rsidP="00B72EF9">
      <w:pPr>
        <w:pStyle w:val="12"/>
      </w:pPr>
      <w:r w:rsidRPr="00217FB1">
        <w:t xml:space="preserve">Full Journal Title: </w:t>
      </w:r>
      <w:hyperlink r:id="rId1564" w:history="1">
        <w:r w:rsidRPr="00E01018">
          <w:rPr>
            <w:rStyle w:val="a5"/>
            <w:iCs/>
          </w:rPr>
          <w:t>Internal Medicine Journal</w:t>
        </w:r>
      </w:hyperlink>
    </w:p>
    <w:p w:rsidR="00E01018" w:rsidRPr="00217FB1" w:rsidRDefault="00E01018" w:rsidP="00B72EF9">
      <w:pPr>
        <w:pStyle w:val="12"/>
      </w:pPr>
      <w:r w:rsidRPr="00217FB1">
        <w:t xml:space="preserve">ISO Abbreviated Title: </w:t>
      </w:r>
    </w:p>
    <w:p w:rsidR="00E01018" w:rsidRPr="00217FB1" w:rsidRDefault="00E01018" w:rsidP="00B72EF9">
      <w:pPr>
        <w:pStyle w:val="12"/>
      </w:pPr>
      <w:r w:rsidRPr="00217FB1">
        <w:t>JCR Abbreviated Title</w:t>
      </w:r>
      <w:r>
        <w:t>:</w:t>
      </w:r>
      <w:r w:rsidRPr="00217FB1">
        <w:t xml:space="preserve"> </w:t>
      </w:r>
    </w:p>
    <w:p w:rsidR="00E01018" w:rsidRPr="00FF15F2" w:rsidRDefault="00E01018" w:rsidP="00B72EF9">
      <w:pPr>
        <w:pStyle w:val="12"/>
      </w:pPr>
      <w:r>
        <w:t xml:space="preserve">ISSN: </w:t>
      </w:r>
    </w:p>
    <w:p w:rsidR="00E01018" w:rsidRPr="00217FB1" w:rsidRDefault="00E01018" w:rsidP="00B72EF9">
      <w:pPr>
        <w:pStyle w:val="12"/>
      </w:pPr>
      <w:r w:rsidRPr="00217FB1">
        <w:t xml:space="preserve">Issues/Year: </w:t>
      </w:r>
    </w:p>
    <w:p w:rsidR="00E01018" w:rsidRPr="00217FB1" w:rsidRDefault="00E01018" w:rsidP="00B72EF9">
      <w:pPr>
        <w:pStyle w:val="12"/>
      </w:pPr>
      <w:r>
        <w:t xml:space="preserve">Journal Country/Territory: </w:t>
      </w:r>
    </w:p>
    <w:p w:rsidR="00E01018" w:rsidRPr="00217FB1" w:rsidRDefault="00E01018" w:rsidP="00B72EF9">
      <w:pPr>
        <w:pStyle w:val="12"/>
      </w:pPr>
      <w:r w:rsidRPr="00217FB1">
        <w:t xml:space="preserve">Language: </w:t>
      </w:r>
    </w:p>
    <w:p w:rsidR="00E01018" w:rsidRPr="00217FB1" w:rsidRDefault="00E01018" w:rsidP="00B72EF9">
      <w:pPr>
        <w:pStyle w:val="12"/>
      </w:pPr>
      <w:r w:rsidRPr="00217FB1">
        <w:t xml:space="preserve">Publisher: </w:t>
      </w:r>
    </w:p>
    <w:p w:rsidR="00E01018" w:rsidRPr="00217FB1" w:rsidRDefault="00E01018" w:rsidP="00B72EF9">
      <w:pPr>
        <w:pStyle w:val="12"/>
      </w:pPr>
      <w:r w:rsidRPr="00217FB1">
        <w:t xml:space="preserve">Publisher Address: </w:t>
      </w:r>
    </w:p>
    <w:p w:rsidR="00E01018" w:rsidRPr="00217FB1" w:rsidRDefault="00E01018" w:rsidP="00B72EF9">
      <w:pPr>
        <w:pStyle w:val="12"/>
      </w:pPr>
      <w:r w:rsidRPr="00217FB1">
        <w:t>Subject Categories:</w:t>
      </w:r>
    </w:p>
    <w:p w:rsidR="00E01018" w:rsidRPr="00217FB1" w:rsidRDefault="00E01018" w:rsidP="00B72EF9">
      <w:pPr>
        <w:pStyle w:val="12"/>
      </w:pPr>
      <w:r w:rsidRPr="00217FB1">
        <w:t>: Impact Factor</w:t>
      </w:r>
    </w:p>
    <w:p w:rsidR="00E01018" w:rsidRDefault="00E01018" w:rsidP="00E01018">
      <w:pPr>
        <w:pStyle w:val="a0"/>
        <w:rPr>
          <w:kern w:val="0"/>
        </w:rPr>
      </w:pPr>
      <w:r>
        <w:rPr>
          <w:rFonts w:hint="eastAsia"/>
          <w:kern w:val="0"/>
        </w:rPr>
        <w:t xml:space="preserve">? </w:t>
      </w:r>
      <w:r>
        <w:rPr>
          <w:kern w:val="0"/>
        </w:rPr>
        <w:t>Falagas, M.E., Kouranos, V.D., Michalopoulos, A., Rodopoulou, S.P., Batsiou, M.A.</w:t>
      </w:r>
      <w:r w:rsidR="00F81221">
        <w:rPr>
          <w:kern w:val="0"/>
        </w:rPr>
        <w:t xml:space="preserve"> and </w:t>
      </w:r>
      <w:r>
        <w:rPr>
          <w:kern w:val="0"/>
        </w:rPr>
        <w:t>Karageorgopoulos, D.E. (2010), Comparison of the distribution of citations received by articles published in high, moderate,</w:t>
      </w:r>
      <w:r w:rsidR="00F81221">
        <w:rPr>
          <w:kern w:val="0"/>
        </w:rPr>
        <w:t xml:space="preserve"> and </w:t>
      </w:r>
      <w:r>
        <w:rPr>
          <w:kern w:val="0"/>
        </w:rPr>
        <w:t xml:space="preserve">low impact factor journals in clinical medicine. </w:t>
      </w:r>
      <w:r w:rsidRPr="00E01018">
        <w:rPr>
          <w:i/>
          <w:iCs/>
          <w:kern w:val="0"/>
        </w:rPr>
        <w:t>Internal Medicine Journal</w:t>
      </w:r>
      <w:r>
        <w:rPr>
          <w:kern w:val="0"/>
        </w:rPr>
        <w:t xml:space="preserve">, </w:t>
      </w:r>
      <w:r>
        <w:rPr>
          <w:b/>
          <w:bCs/>
          <w:kern w:val="0"/>
        </w:rPr>
        <w:t>40</w:t>
      </w:r>
      <w:r>
        <w:rPr>
          <w:kern w:val="0"/>
        </w:rPr>
        <w:t xml:space="preserve"> (8), 587-591.</w:t>
      </w:r>
    </w:p>
    <w:p w:rsidR="00E01018" w:rsidRDefault="00E01018" w:rsidP="00E01018">
      <w:pPr>
        <w:pStyle w:val="a0"/>
        <w:rPr>
          <w:kern w:val="0"/>
        </w:rPr>
      </w:pPr>
      <w:r>
        <w:rPr>
          <w:rFonts w:hint="eastAsia"/>
          <w:kern w:val="0"/>
        </w:rPr>
        <w:t xml:space="preserve">Full Text: </w:t>
      </w:r>
      <w:hyperlink r:id="rId1565" w:history="1">
        <w:r w:rsidRPr="00E01018">
          <w:rPr>
            <w:rStyle w:val="a5"/>
            <w:kern w:val="0"/>
          </w:rPr>
          <w:t>2010\Int Med J40, 587.pdf</w:t>
        </w:r>
      </w:hyperlink>
    </w:p>
    <w:p w:rsidR="00E01018" w:rsidRDefault="00E01018" w:rsidP="00E01018">
      <w:pPr>
        <w:pStyle w:val="a0"/>
        <w:rPr>
          <w:kern w:val="0"/>
        </w:rPr>
      </w:pPr>
      <w:r>
        <w:rPr>
          <w:kern w:val="0"/>
        </w:rPr>
        <w:t>Abstract: Background: Whether the journal impact factor (JIF) indicator reflects the number of citations to an average article of a journal in different subject categories is controversial. We sought to further investigate this issue in general</w:t>
      </w:r>
      <w:r w:rsidR="00F81221">
        <w:rPr>
          <w:kern w:val="0"/>
        </w:rPr>
        <w:t xml:space="preserve"> and </w:t>
      </w:r>
      <w:r>
        <w:rPr>
          <w:kern w:val="0"/>
        </w:rPr>
        <w:t>internal medicine journals. Methods: We selected to evaluate three journals of the above subject category, in each of three different JIF levels (high: 15.5-28.6, moderate: 4.4-4.9</w:t>
      </w:r>
      <w:r w:rsidR="00F81221">
        <w:rPr>
          <w:kern w:val="0"/>
        </w:rPr>
        <w:t xml:space="preserve"> and </w:t>
      </w:r>
      <w:r>
        <w:rPr>
          <w:kern w:val="0"/>
        </w:rPr>
        <w:t>low: 1.6). Using the Scopus database, we retrieved the original research articles (after detailed screening)</w:t>
      </w:r>
      <w:r w:rsidR="00F81221">
        <w:rPr>
          <w:kern w:val="0"/>
        </w:rPr>
        <w:t xml:space="preserve"> and </w:t>
      </w:r>
      <w:r>
        <w:rPr>
          <w:kern w:val="0"/>
        </w:rPr>
        <w:t>review articles (as classified by Scopus) that were published in the selected journals in 2005 along with the number of citations they received in 2006</w:t>
      </w:r>
      <w:r w:rsidR="00F81221">
        <w:rPr>
          <w:kern w:val="0"/>
        </w:rPr>
        <w:t xml:space="preserve"> and </w:t>
      </w:r>
      <w:r>
        <w:rPr>
          <w:kern w:val="0"/>
        </w:rPr>
        <w:t>2007. We pooled the citations for articles of the same type in journals with the same JIF level into distinct variables. Results: There was no marked association between the distribution of citations per article published in general medical journals</w:t>
      </w:r>
      <w:r w:rsidR="00F81221">
        <w:rPr>
          <w:kern w:val="0"/>
        </w:rPr>
        <w:t xml:space="preserve"> and </w:t>
      </w:r>
      <w:r>
        <w:rPr>
          <w:kern w:val="0"/>
        </w:rPr>
        <w:t>their JIF. All distributions studied were skewed to the right (higher number of citations). Specifically, 16-22% of the original research articles accounted for 50% of the total citations to this type of article for all three categories of studied journals; 34-37% of original research articles accounted for 75% of citations. The respective values for review articles were 12-18%</w:t>
      </w:r>
      <w:r w:rsidR="00F81221">
        <w:rPr>
          <w:kern w:val="0"/>
        </w:rPr>
        <w:t xml:space="preserve"> and </w:t>
      </w:r>
      <w:r>
        <w:rPr>
          <w:kern w:val="0"/>
        </w:rPr>
        <w:t>29-39%. Conclusion: The distribution of citations received by articles published in high, moderate</w:t>
      </w:r>
      <w:r w:rsidR="00F81221">
        <w:rPr>
          <w:kern w:val="0"/>
        </w:rPr>
        <w:t xml:space="preserve"> and </w:t>
      </w:r>
      <w:r>
        <w:rPr>
          <w:kern w:val="0"/>
        </w:rPr>
        <w:t>low impact factor journals in clinical medicine seems similar. The JIF is not an accurate indicator of the citations the average article receives; articles published in low impact factor journals can still be highly cited</w:t>
      </w:r>
      <w:r w:rsidR="00F81221">
        <w:rPr>
          <w:kern w:val="0"/>
        </w:rPr>
        <w:t xml:space="preserve"> and </w:t>
      </w:r>
      <w:r>
        <w:rPr>
          <w:kern w:val="0"/>
        </w:rPr>
        <w:t>vice versa.</w:t>
      </w:r>
    </w:p>
    <w:p w:rsidR="00E01018" w:rsidRDefault="00E01018" w:rsidP="00E01018">
      <w:pPr>
        <w:pStyle w:val="a0"/>
        <w:rPr>
          <w:kern w:val="0"/>
        </w:rPr>
      </w:pPr>
      <w:r>
        <w:rPr>
          <w:kern w:val="0"/>
        </w:rPr>
        <w:lastRenderedPageBreak/>
        <w:t>Keywords: Bibliographic Database, Bibliometrics, Citation Analysis, Publication, Research, Statistical Distribution</w:t>
      </w:r>
    </w:p>
    <w:p w:rsidR="0001673D" w:rsidRPr="00217FB1" w:rsidRDefault="0001673D" w:rsidP="0001673D">
      <w:pPr>
        <w:pStyle w:val="1"/>
      </w:pPr>
      <w:r w:rsidRPr="00217FB1">
        <w:br w:type="page"/>
      </w:r>
      <w:bookmarkStart w:id="1124" w:name="_Toc317161211"/>
      <w:r w:rsidRPr="00217FB1">
        <w:lastRenderedPageBreak/>
        <w:t xml:space="preserve">Title: </w:t>
      </w:r>
      <w:r w:rsidRPr="00A86EAB">
        <w:t>International Applied Mechanics</w:t>
      </w:r>
      <w:bookmarkEnd w:id="1124"/>
    </w:p>
    <w:p w:rsidR="0001673D" w:rsidRPr="00217FB1" w:rsidRDefault="0001673D" w:rsidP="00B72EF9">
      <w:pPr>
        <w:pStyle w:val="12"/>
      </w:pPr>
      <w:r w:rsidRPr="00217FB1">
        <w:t xml:space="preserve">Full Journal Title: </w:t>
      </w:r>
      <w:r w:rsidRPr="00A86EAB">
        <w:t>International Applied Mechanics</w:t>
      </w:r>
    </w:p>
    <w:p w:rsidR="0001673D" w:rsidRPr="00217FB1" w:rsidRDefault="0001673D" w:rsidP="00B72EF9">
      <w:pPr>
        <w:pStyle w:val="12"/>
      </w:pPr>
      <w:r w:rsidRPr="00217FB1">
        <w:t xml:space="preserve">ISO Abbreviated Title: </w:t>
      </w:r>
    </w:p>
    <w:p w:rsidR="0001673D" w:rsidRPr="00217FB1" w:rsidRDefault="0001673D" w:rsidP="00B72EF9">
      <w:pPr>
        <w:pStyle w:val="12"/>
      </w:pPr>
      <w:r w:rsidRPr="00217FB1">
        <w:t>JCR Abbreviated Title</w:t>
      </w:r>
      <w:r>
        <w:t>:</w:t>
      </w:r>
      <w:r w:rsidRPr="00217FB1">
        <w:t xml:space="preserve"> </w:t>
      </w:r>
    </w:p>
    <w:p w:rsidR="0001673D" w:rsidRPr="00FF15F2" w:rsidRDefault="0001673D" w:rsidP="00B72EF9">
      <w:pPr>
        <w:pStyle w:val="12"/>
      </w:pPr>
      <w:r>
        <w:t xml:space="preserve">ISSN: </w:t>
      </w:r>
    </w:p>
    <w:p w:rsidR="0001673D" w:rsidRDefault="0001673D" w:rsidP="00B72EF9">
      <w:pPr>
        <w:pStyle w:val="12"/>
      </w:pPr>
      <w:r w:rsidRPr="00194D40">
        <w:t>IDS Number: BN07M</w:t>
      </w:r>
    </w:p>
    <w:p w:rsidR="0001673D" w:rsidRPr="00217FB1" w:rsidRDefault="0001673D" w:rsidP="00B72EF9">
      <w:pPr>
        <w:pStyle w:val="12"/>
      </w:pPr>
      <w:r w:rsidRPr="00217FB1">
        <w:t xml:space="preserve">Issues/Year: </w:t>
      </w:r>
    </w:p>
    <w:p w:rsidR="0001673D" w:rsidRPr="00217FB1" w:rsidRDefault="00FB5623" w:rsidP="00B72EF9">
      <w:pPr>
        <w:pStyle w:val="12"/>
      </w:pPr>
      <w:r>
        <w:t>Journal Country/Territory:</w:t>
      </w:r>
      <w:r w:rsidR="0001673D">
        <w:t xml:space="preserve"> </w:t>
      </w:r>
    </w:p>
    <w:p w:rsidR="0001673D" w:rsidRPr="00217FB1" w:rsidRDefault="0001673D" w:rsidP="00B72EF9">
      <w:pPr>
        <w:pStyle w:val="12"/>
      </w:pPr>
      <w:r w:rsidRPr="00217FB1">
        <w:t xml:space="preserve">Language: </w:t>
      </w:r>
    </w:p>
    <w:p w:rsidR="0001673D" w:rsidRPr="00217FB1" w:rsidRDefault="0001673D" w:rsidP="00B72EF9">
      <w:pPr>
        <w:pStyle w:val="12"/>
      </w:pPr>
      <w:r w:rsidRPr="00217FB1">
        <w:t xml:space="preserve">Publisher: </w:t>
      </w:r>
    </w:p>
    <w:p w:rsidR="0001673D" w:rsidRPr="00217FB1" w:rsidRDefault="0001673D" w:rsidP="00B72EF9">
      <w:pPr>
        <w:pStyle w:val="12"/>
      </w:pPr>
      <w:r w:rsidRPr="00217FB1">
        <w:t xml:space="preserve">Publisher Address: </w:t>
      </w:r>
    </w:p>
    <w:p w:rsidR="0001673D" w:rsidRPr="00217FB1" w:rsidRDefault="0001673D" w:rsidP="00B72EF9">
      <w:pPr>
        <w:pStyle w:val="12"/>
      </w:pPr>
      <w:r w:rsidRPr="00217FB1">
        <w:t>Subject Categories:</w:t>
      </w:r>
    </w:p>
    <w:p w:rsidR="0001673D" w:rsidRPr="00217FB1" w:rsidRDefault="0001673D" w:rsidP="00B72EF9">
      <w:pPr>
        <w:pStyle w:val="12"/>
      </w:pPr>
      <w:r w:rsidRPr="00217FB1">
        <w:t>: Impact Factor</w:t>
      </w:r>
    </w:p>
    <w:p w:rsidR="0001673D" w:rsidRDefault="0001673D" w:rsidP="0001673D">
      <w:pPr>
        <w:pStyle w:val="a0"/>
        <w:rPr>
          <w:kern w:val="0"/>
        </w:rPr>
      </w:pPr>
      <w:r>
        <w:rPr>
          <w:rFonts w:hint="eastAsia"/>
          <w:kern w:val="0"/>
        </w:rPr>
        <w:t xml:space="preserve">? </w:t>
      </w:r>
      <w:r>
        <w:rPr>
          <w:kern w:val="0"/>
        </w:rPr>
        <w:t>Guz, A.N., Rushchitsky, J.J.</w:t>
      </w:r>
      <w:r w:rsidR="00F81221">
        <w:rPr>
          <w:kern w:val="0"/>
        </w:rPr>
        <w:t xml:space="preserve"> and </w:t>
      </w:r>
      <w:r>
        <w:rPr>
          <w:kern w:val="0"/>
        </w:rPr>
        <w:t xml:space="preserve">Chernyshenko, I.S. (2005), On a modern philosophy of evaluating scientific publications. </w:t>
      </w:r>
      <w:r w:rsidRPr="00A86EAB">
        <w:rPr>
          <w:i/>
          <w:iCs/>
          <w:kern w:val="0"/>
        </w:rPr>
        <w:t>International Applied Mechanics</w:t>
      </w:r>
      <w:r>
        <w:rPr>
          <w:kern w:val="0"/>
        </w:rPr>
        <w:t xml:space="preserve">, </w:t>
      </w:r>
      <w:r>
        <w:rPr>
          <w:b/>
          <w:bCs/>
          <w:kern w:val="0"/>
        </w:rPr>
        <w:t>41</w:t>
      </w:r>
      <w:r>
        <w:rPr>
          <w:kern w:val="0"/>
        </w:rPr>
        <w:t xml:space="preserve"> (10), 1085-</w:t>
      </w:r>
      <w:r w:rsidR="00FC0AB0">
        <w:rPr>
          <w:rFonts w:hint="eastAsia"/>
          <w:kern w:val="0"/>
        </w:rPr>
        <w:t>1091</w:t>
      </w:r>
      <w:r>
        <w:rPr>
          <w:kern w:val="0"/>
        </w:rPr>
        <w:t>.</w:t>
      </w:r>
    </w:p>
    <w:p w:rsidR="0001673D" w:rsidRDefault="0001673D" w:rsidP="0001673D">
      <w:pPr>
        <w:pStyle w:val="a0"/>
        <w:rPr>
          <w:kern w:val="0"/>
        </w:rPr>
      </w:pPr>
      <w:r>
        <w:rPr>
          <w:rFonts w:hint="eastAsia"/>
          <w:kern w:val="0"/>
        </w:rPr>
        <w:t xml:space="preserve">Full Text: </w:t>
      </w:r>
      <w:hyperlink r:id="rId1566" w:history="1">
        <w:r w:rsidR="00FC0AB0" w:rsidRPr="00FC0AB0">
          <w:rPr>
            <w:rStyle w:val="a5"/>
            <w:kern w:val="0"/>
          </w:rPr>
          <w:t>2005\Int App Mec41, 1085.pdf</w:t>
        </w:r>
      </w:hyperlink>
    </w:p>
    <w:p w:rsidR="0001673D" w:rsidRDefault="0001673D" w:rsidP="0001673D">
      <w:pPr>
        <w:pStyle w:val="a0"/>
        <w:rPr>
          <w:kern w:val="0"/>
        </w:rPr>
      </w:pPr>
      <w:r>
        <w:rPr>
          <w:kern w:val="0"/>
        </w:rPr>
        <w:t>Abstract: Current approaches to the citation analysis of scientific publications are outlined. Science Citation Index, Impact Factor, Immediacy Index,</w:t>
      </w:r>
      <w:r w:rsidR="00F81221">
        <w:rPr>
          <w:kern w:val="0"/>
        </w:rPr>
        <w:t xml:space="preserve"> and </w:t>
      </w:r>
      <w:r>
        <w:rPr>
          <w:kern w:val="0"/>
        </w:rPr>
        <w:t>the selection procedure for Essential Science Indicators-a relatively new citation analysis tool-are described. The new citation evaluation tool has yet not been discussed adequately by mechanicians.</w:t>
      </w:r>
    </w:p>
    <w:p w:rsidR="0001673D" w:rsidRDefault="0001673D" w:rsidP="0001673D">
      <w:pPr>
        <w:pStyle w:val="a0"/>
        <w:rPr>
          <w:kern w:val="0"/>
        </w:rPr>
      </w:pPr>
      <w:r>
        <w:rPr>
          <w:kern w:val="0"/>
        </w:rPr>
        <w:t>Keywords: Analysis, Bodies, Citation, Citation Analysis, Composites, Elastic-Waves, Essential Science Indicators, Evaluation, Fracture-Mechanics, Immediacy Index, Impact Factor, Laws, Liquid, Modern Philosophy, Parameters, Propagation, Publications, Science Citation Index, Scientific Publication, Stability, Thermoviscoplastic Deformation</w:t>
      </w:r>
    </w:p>
    <w:p w:rsidR="00B95188" w:rsidRPr="00A428C3" w:rsidRDefault="00B95188" w:rsidP="00B95188">
      <w:pPr>
        <w:pStyle w:val="1"/>
      </w:pPr>
      <w:r w:rsidRPr="00A428C3">
        <w:br w:type="page"/>
      </w:r>
      <w:bookmarkStart w:id="1125" w:name="_Toc186647884"/>
      <w:bookmarkStart w:id="1126" w:name="_Toc317161212"/>
      <w:r w:rsidRPr="00A428C3">
        <w:lastRenderedPageBreak/>
        <w:t>Title: International Archives of Occupational</w:t>
      </w:r>
      <w:r w:rsidR="00F81221">
        <w:t xml:space="preserve"> and </w:t>
      </w:r>
      <w:r w:rsidRPr="00A428C3">
        <w:t>Environmental Health</w:t>
      </w:r>
      <w:bookmarkEnd w:id="1111"/>
      <w:bookmarkEnd w:id="1112"/>
      <w:bookmarkEnd w:id="1113"/>
      <w:bookmarkEnd w:id="1114"/>
      <w:bookmarkEnd w:id="1125"/>
      <w:bookmarkEnd w:id="1126"/>
    </w:p>
    <w:p w:rsidR="00B95188" w:rsidRPr="00A428C3" w:rsidRDefault="00B95188" w:rsidP="00B72EF9">
      <w:pPr>
        <w:pStyle w:val="12"/>
      </w:pPr>
      <w:r w:rsidRPr="00A428C3">
        <w:t xml:space="preserve">Full Journal Title: </w:t>
      </w:r>
      <w:hyperlink r:id="rId1567" w:history="1">
        <w:r w:rsidRPr="00A428C3">
          <w:rPr>
            <w:rStyle w:val="a5"/>
          </w:rPr>
          <w:t>International Archives of Occupational</w:t>
        </w:r>
        <w:r w:rsidR="00F81221">
          <w:rPr>
            <w:rStyle w:val="a5"/>
          </w:rPr>
          <w:t xml:space="preserve"> and </w:t>
        </w:r>
        <w:r w:rsidRPr="00A428C3">
          <w:rPr>
            <w:rStyle w:val="a5"/>
          </w:rPr>
          <w:t>Environmental Health</w:t>
        </w:r>
      </w:hyperlink>
    </w:p>
    <w:p w:rsidR="00B95188" w:rsidRPr="00A428C3" w:rsidRDefault="00B95188" w:rsidP="00B72EF9">
      <w:pPr>
        <w:pStyle w:val="12"/>
      </w:pPr>
      <w:r w:rsidRPr="00A428C3">
        <w:t>ISO Abbreviated Title: Int. Arch. Occup. Environ. Health</w:t>
      </w:r>
    </w:p>
    <w:p w:rsidR="00B95188" w:rsidRPr="00A428C3" w:rsidRDefault="00B95188" w:rsidP="00B72EF9">
      <w:pPr>
        <w:pStyle w:val="12"/>
      </w:pPr>
      <w:r w:rsidRPr="00A428C3">
        <w:t>JCR Abbreviated Title: Int Arch Occ Env Hea</w:t>
      </w:r>
    </w:p>
    <w:p w:rsidR="00B95188" w:rsidRPr="00A428C3" w:rsidRDefault="00B95188" w:rsidP="00B72EF9">
      <w:pPr>
        <w:pStyle w:val="12"/>
      </w:pPr>
      <w:r w:rsidRPr="00A428C3">
        <w:t>ISSN: 0340-0131</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Springer Verlag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Public, Environmental &amp; Occupational Health:</w:t>
      </w:r>
      <w:r w:rsidRPr="00A428C3">
        <w:rPr>
          <w:color w:val="008000"/>
        </w:rPr>
        <w:t xml:space="preserve"> Impact Factor 1.167, 45/85</w:t>
      </w:r>
    </w:p>
    <w:p w:rsidR="00B95188" w:rsidRPr="00A428C3" w:rsidRDefault="00B95188" w:rsidP="00B95188">
      <w:pPr>
        <w:pStyle w:val="a0"/>
      </w:pPr>
      <w:r w:rsidRPr="00A428C3">
        <w:t xml:space="preserve">? Zielhuis, R.L. (1982), Standards for chemical-quality of drinking-water: A critical-assessment.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50</w:t>
      </w:r>
      <w:r w:rsidRPr="00A428C3">
        <w:t xml:space="preserve"> (2), 113-130.</w:t>
      </w:r>
    </w:p>
    <w:p w:rsidR="00B95188" w:rsidRPr="00A428C3" w:rsidRDefault="00B95188" w:rsidP="00B95188">
      <w:pPr>
        <w:pStyle w:val="a0"/>
      </w:pPr>
      <w:r w:rsidRPr="00A428C3">
        <w:t>? Aono, H.</w:t>
      </w:r>
      <w:r w:rsidR="00F81221">
        <w:t xml:space="preserve"> and </w:t>
      </w:r>
      <w:r w:rsidRPr="00A428C3">
        <w:t>Araki, S. (1988), Circadian rhythms in the urinary excretion of heavy metals</w:t>
      </w:r>
      <w:r w:rsidR="00F81221">
        <w:t xml:space="preserve"> and </w:t>
      </w:r>
      <w:r w:rsidRPr="00A428C3">
        <w:t xml:space="preserve">organic substances in metal workers in relation to renal excretory mechanism: Profile analysis.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60</w:t>
      </w:r>
      <w:r w:rsidRPr="00A428C3">
        <w:t xml:space="preserve"> (1), 1-6.</w:t>
      </w:r>
    </w:p>
    <w:p w:rsidR="00B95188" w:rsidRPr="00A428C3" w:rsidRDefault="00B95188" w:rsidP="00B95188">
      <w:pPr>
        <w:pStyle w:val="a0"/>
      </w:pPr>
      <w:r w:rsidRPr="00A428C3">
        <w:t>Abstract: Circadian rhythms in the urinary excretion of eleven heavy metals</w:t>
      </w:r>
      <w:r w:rsidR="00F81221">
        <w:t xml:space="preserve"> and </w:t>
      </w:r>
      <w:r w:rsidRPr="00A428C3">
        <w:t>organic substances were examined under free, water-restrictive</w:t>
      </w:r>
      <w:r w:rsidR="00F81221">
        <w:t xml:space="preserve"> and </w:t>
      </w:r>
      <w:r w:rsidRPr="00A428C3">
        <w:t>water-loading conditions for 6 d (2 d for each of the three conditions) in twenty metal workers exposed to lead, zinc</w:t>
      </w:r>
      <w:r w:rsidR="00F81221">
        <w:t xml:space="preserve"> and </w:t>
      </w:r>
      <w:r w:rsidRPr="00A428C3">
        <w:t>copper. Circadian rhythms were found for all heavy metals</w:t>
      </w:r>
      <w:r w:rsidR="00F81221">
        <w:t xml:space="preserve"> and </w:t>
      </w:r>
      <w:r w:rsidRPr="00A428C3">
        <w:t>organic substances as well as for urinary flow (UF) rate, creatinine (Cn)</w:t>
      </w:r>
      <w:r w:rsidR="00F81221">
        <w:t xml:space="preserve"> and </w:t>
      </w:r>
      <w:r w:rsidRPr="00A428C3">
        <w:t>total urinary solutes (TUS). The Cn rhythm was significantly unparallel to the UF rhythm under the water-loading condition, indicating that the two rhythms were essentially different from each other. Circadian rhythms of the eleven urinary substances were then related to the Cn</w:t>
      </w:r>
      <w:r w:rsidR="00F81221">
        <w:t xml:space="preserve"> and </w:t>
      </w:r>
      <w:r w:rsidRPr="00A428C3">
        <w:t>UF rhythms, using profile analysis. The results indicated that the rhythms in the manganese, chromium, copper</w:t>
      </w:r>
      <w:r w:rsidR="00F81221">
        <w:t xml:space="preserve"> and </w:t>
      </w:r>
      <w:r w:rsidRPr="00A428C3">
        <w:t>beta-2-microglobulin excretion depend on the Cn rhythm, i.e. the rhythm of glomerular filtration; the rhythms in the hippuric acid, delta-aminolevulinic acid</w:t>
      </w:r>
      <w:r w:rsidR="00F81221">
        <w:t xml:space="preserve"> and </w:t>
      </w:r>
      <w:r w:rsidRPr="00A428C3">
        <w:t>TUS excretion are on the UF rhythm, i.e. the rhythm of reabsorption by the distal tubule</w:t>
      </w:r>
      <w:r w:rsidR="00F81221">
        <w:t xml:space="preserve"> and </w:t>
      </w:r>
      <w:r w:rsidRPr="00A428C3">
        <w:t>collecting duct. On the other hand, the rhythms in the lead, inorganic mercury, cadmium, zinc</w:t>
      </w:r>
      <w:r w:rsidR="00F81221">
        <w:t xml:space="preserve"> and </w:t>
      </w:r>
      <w:r w:rsidRPr="00A428C3">
        <w:t>coproporphyrin excretion were considered as reflecting complex renal excretory mechanisms.</w:t>
      </w:r>
    </w:p>
    <w:p w:rsidR="00B95188" w:rsidRPr="00A428C3" w:rsidRDefault="00B95188" w:rsidP="00B95188">
      <w:pPr>
        <w:pStyle w:val="a0"/>
      </w:pPr>
      <w:r w:rsidRPr="00A428C3">
        <w:t>? van Wijnen, J.H.</w:t>
      </w:r>
      <w:r w:rsidR="00F81221">
        <w:t xml:space="preserve"> and </w:t>
      </w:r>
      <w:r w:rsidRPr="00A428C3">
        <w:t xml:space="preserve">Stijkel, A. (1988), Health risk assessment of residents living on </w:t>
      </w:r>
      <w:r w:rsidRPr="00A428C3">
        <w:lastRenderedPageBreak/>
        <w:t xml:space="preserve">harbour sludge.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61</w:t>
      </w:r>
      <w:r w:rsidRPr="00A428C3">
        <w:t xml:space="preserve"> (1-2), 77-87.</w:t>
      </w:r>
    </w:p>
    <w:p w:rsidR="00B95188" w:rsidRPr="00A428C3" w:rsidRDefault="00B95188" w:rsidP="00B95188">
      <w:pPr>
        <w:pStyle w:val="a0"/>
      </w:pPr>
      <w:r w:rsidRPr="00A428C3">
        <w:t>Abstract: A modelled approach for the assessment of exposure</w:t>
      </w:r>
      <w:r w:rsidR="00F81221">
        <w:t xml:space="preserve"> and </w:t>
      </w:r>
      <w:r w:rsidRPr="00A428C3">
        <w:t>health risks in a case of soil pollution with an unknown but probably large number of potential contaminants is presented. In 1983 the Steendijkpolder, a housing estate of about 800 houses, an agglomeration of schools</w:t>
      </w:r>
      <w:r w:rsidR="00F81221">
        <w:t xml:space="preserve"> and </w:t>
      </w:r>
      <w:r w:rsidRPr="00A428C3">
        <w:t>a tennis hall was built directly on a 4-m-thick layer of harbour sludge. The sludge originated from around 20 harbour basins in Rotterdam</w:t>
      </w:r>
      <w:r w:rsidR="00F81221">
        <w:t xml:space="preserve"> and </w:t>
      </w:r>
      <w:r w:rsidRPr="00A428C3">
        <w:t>the industrial area around the Nieuwe Waterweg. In the soil organic solvents, PAH</w:t>
      </w:r>
      <w:r w:rsidR="000352E7">
        <w:t>’</w:t>
      </w:r>
      <w:r w:rsidRPr="00A428C3">
        <w:t>s, aldrin, dieldrin, isodrin, telodrin</w:t>
      </w:r>
      <w:r w:rsidR="00F81221">
        <w:t xml:space="preserve"> and </w:t>
      </w:r>
      <w:r w:rsidRPr="00A428C3">
        <w:t>several heavy metals were found to be present as contaminants. Not all contaminants, including a number of halogenated compounds, were identified. The investigation of the other relevant environmental compartments in this situation, e.g. drinking-water, indoor-air</w:t>
      </w:r>
      <w:r w:rsidR="00F81221">
        <w:t xml:space="preserve"> and </w:t>
      </w:r>
      <w:r w:rsidRPr="00A428C3">
        <w:t>home grown vegetables showed that soil ingestion was the predominant route of intake of contaminants. Therefore the exposure of infants (age: 2-3 years) was calculated. The calculated intake of PAH by soil ingestion was around half the average intake of PAH in the daily diet. The extra exposure to drins (a group of cyclodiene insecticides) due to soil ingestion</w:t>
      </w:r>
      <w:r w:rsidR="00F81221">
        <w:t xml:space="preserve"> and </w:t>
      </w:r>
      <w:r w:rsidRPr="00A428C3">
        <w:t>inhaled contaminated indoor air was calculated to exceed twice the Acceptable Daily Intake (ADI) of dieldrin. The calculated maximal intake of Pb by soil ingestion exceeded the average intake of Pb in the daily diet by around 1.4 times. The maximal intake by soil ingestion of the other identified contaminants was relatively low. It was concluded that with the present knowledge the calculated exposure would not result in observable health damage.</w:t>
      </w:r>
    </w:p>
    <w:p w:rsidR="00B95188" w:rsidRPr="00A428C3" w:rsidRDefault="00B95188" w:rsidP="00B95188">
      <w:pPr>
        <w:pStyle w:val="a0"/>
      </w:pPr>
      <w:r w:rsidRPr="00A428C3">
        <w:t>? Ogata, M.</w:t>
      </w:r>
      <w:r w:rsidR="00F81221">
        <w:t xml:space="preserve"> and </w:t>
      </w:r>
      <w:r w:rsidRPr="00A428C3">
        <w:t>Taguchi, T. (1988), Simultaneous determination of urinary creatinine</w:t>
      </w:r>
      <w:r w:rsidR="00F81221">
        <w:t xml:space="preserve"> and </w:t>
      </w:r>
      <w:r w:rsidRPr="00A428C3">
        <w:t>metabolites of toluene, xylene, styrene, ethylbenzene</w:t>
      </w:r>
      <w:r w:rsidR="00F81221">
        <w:t xml:space="preserve"> and </w:t>
      </w:r>
      <w:r w:rsidRPr="00A428C3">
        <w:t xml:space="preserve">phenol by automated high performance liquid chromatography.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61</w:t>
      </w:r>
      <w:r w:rsidRPr="00A428C3">
        <w:t xml:space="preserve"> (1-2), 131-140.</w:t>
      </w:r>
    </w:p>
    <w:p w:rsidR="00B95188" w:rsidRPr="00A428C3" w:rsidRDefault="00B95188" w:rsidP="00B95188">
      <w:pPr>
        <w:pStyle w:val="a0"/>
      </w:pPr>
      <w:r w:rsidRPr="00A428C3">
        <w:t>Abstract: An attempt was made to establish a method for the direct determination of urinary concentrations of creatinine, hippuric acid, methylhippuric acid</w:t>
      </w:r>
      <w:r w:rsidR="00F81221">
        <w:t xml:space="preserve"> and </w:t>
      </w:r>
      <w:r w:rsidRPr="00A428C3">
        <w:t>mandelic acid by automated high performance liquid chromatography (HPLC). Urine was diluted with distilled water or mobile phase, then the mixture was centrifuged</w:t>
      </w:r>
      <w:r w:rsidR="00F81221">
        <w:t xml:space="preserve"> and </w:t>
      </w:r>
      <w:r w:rsidRPr="00A428C3">
        <w:t>the supernatant was injected into HPLC. A stainless-steel column packed with octadecyl silanized silicate was used,</w:t>
      </w:r>
      <w:r w:rsidR="00F81221">
        <w:t xml:space="preserve"> and </w:t>
      </w:r>
      <w:r w:rsidRPr="00A428C3">
        <w:t>the mobile phase was a solution of [</w:t>
      </w:r>
      <w:smartTag w:uri="urn:schemas-microsoft-com:office:smarttags" w:element="chmetcnv">
        <w:smartTagPr>
          <w:attr w:name="TCSC" w:val="0"/>
          <w:attr w:name="NumberType" w:val="1"/>
          <w:attr w:name="Negative" w:val="False"/>
          <w:attr w:name="HasSpace" w:val="True"/>
          <w:attr w:name="SourceValue" w:val="20"/>
          <w:attr w:name="UnitName" w:val="mm"/>
        </w:smartTagPr>
        <w:r w:rsidRPr="00A428C3">
          <w:t>20 mM</w:t>
        </w:r>
      </w:smartTag>
      <w:r w:rsidRPr="00A428C3">
        <w:t xml:space="preserve"> potassium phosphate monobasic containing </w:t>
      </w:r>
      <w:smartTag w:uri="urn:schemas-microsoft-com:office:smarttags" w:element="chmetcnv">
        <w:smartTagPr>
          <w:attr w:name="TCSC" w:val="0"/>
          <w:attr w:name="NumberType" w:val="1"/>
          <w:attr w:name="Negative" w:val="False"/>
          <w:attr w:name="HasSpace" w:val="True"/>
          <w:attr w:name="SourceValue" w:val="3"/>
          <w:attr w:name="UnitName" w:val="mm"/>
        </w:smartTagPr>
        <w:r w:rsidRPr="00A428C3">
          <w:t>3 mM</w:t>
        </w:r>
      </w:smartTag>
      <w:r w:rsidRPr="00A428C3">
        <w:t xml:space="preserve"> sodium 1-decanesulfonate]/acetonitrile (85/15). Another HPLC method for the determination of urinary concentration of phenol, metabolites of benzene and/or phenol is also described. Phenyl sulfate</w:t>
      </w:r>
      <w:r w:rsidR="00F81221">
        <w:t xml:space="preserve"> and </w:t>
      </w:r>
      <w:r w:rsidRPr="00A428C3">
        <w:t>phenyl glucuronide in urine were hydrolyzed enzymatically into phenol. The hydrolyzed mixture was injected into HPLC with the ODS column. The mobile phase was a solution of [</w:t>
      </w:r>
      <w:smartTag w:uri="urn:schemas-microsoft-com:office:smarttags" w:element="chmetcnv">
        <w:smartTagPr>
          <w:attr w:name="TCSC" w:val="0"/>
          <w:attr w:name="NumberType" w:val="1"/>
          <w:attr w:name="Negative" w:val="False"/>
          <w:attr w:name="HasSpace" w:val="True"/>
          <w:attr w:name="SourceValue" w:val="20"/>
          <w:attr w:name="UnitName" w:val="mm"/>
        </w:smartTagPr>
        <w:r w:rsidRPr="00A428C3">
          <w:t>20 mM</w:t>
        </w:r>
      </w:smartTag>
      <w:r w:rsidRPr="00A428C3">
        <w:t xml:space="preserve"> potassium phosphate </w:t>
      </w:r>
      <w:r w:rsidRPr="00A428C3">
        <w:lastRenderedPageBreak/>
        <w:t xml:space="preserve">monobasic containing </w:t>
      </w:r>
      <w:smartTag w:uri="urn:schemas-microsoft-com:office:smarttags" w:element="chmetcnv">
        <w:smartTagPr>
          <w:attr w:name="TCSC" w:val="0"/>
          <w:attr w:name="NumberType" w:val="1"/>
          <w:attr w:name="Negative" w:val="False"/>
          <w:attr w:name="HasSpace" w:val="True"/>
          <w:attr w:name="SourceValue" w:val="1"/>
          <w:attr w:name="UnitName" w:val="mm"/>
        </w:smartTagPr>
        <w:r w:rsidRPr="00A428C3">
          <w:t>1 mM</w:t>
        </w:r>
      </w:smartTag>
      <w:r w:rsidRPr="00A428C3">
        <w:t xml:space="preserve"> sodium 1-decanesulfonate]/acetonitrile (85/15). The ratio of hippuric acid (HA) concentration to creatinine concentration determined by the urine of students after physical exercise was similar to that before exercise. Moreover, the coefficient of correlation found between the toluene concentration in a workshop</w:t>
      </w:r>
      <w:r w:rsidR="00F81221">
        <w:t xml:space="preserve"> and </w:t>
      </w:r>
      <w:r w:rsidRPr="00A428C3">
        <w:t>the HA concentration in workers</w:t>
      </w:r>
      <w:r w:rsidR="000352E7">
        <w:t>’</w:t>
      </w:r>
      <w:r w:rsidRPr="00A428C3">
        <w:t xml:space="preserve"> urine, corrected for creatinine, was higher than that obtained between the toluene concentration</w:t>
      </w:r>
      <w:r w:rsidR="00F81221">
        <w:t xml:space="preserve"> and </w:t>
      </w:r>
      <w:r w:rsidRPr="00A428C3">
        <w:t>the uncorrected HA concentration. For assays on stored urine samples, urine was spotted on filter paper, dried</w:t>
      </w:r>
      <w:r w:rsidR="00F81221">
        <w:t xml:space="preserve"> and </w:t>
      </w:r>
      <w:r w:rsidRPr="00A428C3">
        <w:t>kept several weeks,</w:t>
      </w:r>
      <w:r w:rsidR="00F81221">
        <w:t xml:space="preserve"> and </w:t>
      </w:r>
      <w:r w:rsidRPr="00A428C3">
        <w:t>then MA, HA, o-MHA, m-MHA</w:t>
      </w:r>
      <w:r w:rsidR="00F81221">
        <w:t xml:space="preserve"> and </w:t>
      </w:r>
      <w:r w:rsidRPr="00A428C3">
        <w:t>creatinine in the filter paper were eluted with 50% methanol</w:t>
      </w:r>
      <w:r w:rsidR="00F81221">
        <w:t xml:space="preserve"> and </w:t>
      </w:r>
      <w:r w:rsidRPr="00A428C3">
        <w:t>their concentrations determined by HPLC.</w:t>
      </w:r>
    </w:p>
    <w:p w:rsidR="00B95188" w:rsidRPr="00A428C3" w:rsidRDefault="00B95188" w:rsidP="00B95188">
      <w:pPr>
        <w:pStyle w:val="a0"/>
      </w:pPr>
      <w:r w:rsidRPr="00A428C3">
        <w:t>? Andersen, I.</w:t>
      </w:r>
      <w:r w:rsidR="00F81221">
        <w:t xml:space="preserve"> and </w:t>
      </w:r>
      <w:r w:rsidRPr="00A428C3">
        <w:t xml:space="preserve">Svenes, K.B. (1989), Determination of nickel in lung specimens of thirty-nine autopsied nickel workers.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61</w:t>
      </w:r>
      <w:r w:rsidRPr="00A428C3">
        <w:t xml:space="preserve"> (4), 289-295.</w:t>
      </w:r>
    </w:p>
    <w:p w:rsidR="00B95188" w:rsidRPr="00A428C3" w:rsidRDefault="00B95188" w:rsidP="00B95188">
      <w:pPr>
        <w:pStyle w:val="a0"/>
      </w:pPr>
      <w:r w:rsidRPr="00A428C3">
        <w:t>Abstract: Lung specimens from 39 nickel refinery workers autopsied during the period from 1978 to, 1984 were analyzed for nickel. Fifteen of the workers were employed in the Roasting</w:t>
      </w:r>
      <w:r w:rsidR="00F81221">
        <w:t xml:space="preserve"> and </w:t>
      </w:r>
      <w:r w:rsidRPr="00A428C3">
        <w:t>Smelting Department, where exposure to nickel was predominantly in the form of nickel-copper oxides, Ni</w:t>
      </w:r>
      <w:r w:rsidRPr="00A428C3">
        <w:rPr>
          <w:vertAlign w:val="subscript"/>
        </w:rPr>
        <w:t>3</w:t>
      </w:r>
      <w:r w:rsidRPr="00A428C3">
        <w:t>S</w:t>
      </w:r>
      <w:r w:rsidRPr="00A428C3">
        <w:rPr>
          <w:vertAlign w:val="subscript"/>
        </w:rPr>
        <w:t>2</w:t>
      </w:r>
      <w:r w:rsidR="00F81221">
        <w:t xml:space="preserve"> and </w:t>
      </w:r>
      <w:r w:rsidRPr="00A428C3">
        <w:t>metallic dust. The remaining 24 men worked in the Electrolysis Department. Exposure in this group was considered to be mostly to the water-soluble compounds, NiSO</w:t>
      </w:r>
      <w:r w:rsidRPr="00A428C3">
        <w:rPr>
          <w:vertAlign w:val="subscript"/>
        </w:rPr>
        <w:t>4</w:t>
      </w:r>
      <w:r w:rsidR="00F81221">
        <w:t xml:space="preserve"> and </w:t>
      </w:r>
      <w:r w:rsidRPr="00A428C3">
        <w:t>NiCl</w:t>
      </w:r>
      <w:r w:rsidRPr="00A428C3">
        <w:rPr>
          <w:vertAlign w:val="subscript"/>
        </w:rPr>
        <w:t>2</w:t>
      </w:r>
      <w:r w:rsidRPr="00A428C3">
        <w:t>, but also to a lesser degree to water-insoluble nickel compounds such as nickel-copper oxides</w:t>
      </w:r>
      <w:r w:rsidR="00F81221">
        <w:t xml:space="preserve"> and </w:t>
      </w:r>
      <w:r w:rsidRPr="00A428C3">
        <w:t>sulphides. The arithmetic mean±SD for nickel concentration in lung tissues expressed in micrograms g</w:t>
      </w:r>
      <w:r w:rsidRPr="00A428C3">
        <w:rPr>
          <w:vertAlign w:val="superscript"/>
        </w:rPr>
        <w:t>-1</w:t>
      </w:r>
      <w:r w:rsidRPr="00A428C3">
        <w:t>dry wt for the 39 workers was 150±280. In the workers employed in the Roasting</w:t>
      </w:r>
      <w:r w:rsidR="00F81221">
        <w:t xml:space="preserve"> and </w:t>
      </w:r>
      <w:r w:rsidRPr="00A428C3">
        <w:t>Smelting Department, the average nickel concentration was 330±380; for those who worked in the Electrolysis Department it was 34±48. Lung tissue from 16 autopsied persons not connected with the refinery had an average nickel concentration of 0.76±0.39. Statistical analysis based on log-normal distributions of the measured nickel concentrations allowed three major conclusions to be formulated (1) nickel refinery workers exhibit elevated nickel levels in lung tissues at autopsy; (2) workers of the Electrolysis Department</w:t>
      </w:r>
      <w:r w:rsidR="00F81221">
        <w:t xml:space="preserve"> and </w:t>
      </w:r>
      <w:r w:rsidRPr="00A428C3">
        <w:t>the Roasting Smelting Department constitute distinct groups with respect to the accumulation of nickel in lung tissue; (3) workers who were diagnosed to have lung cancer had the same lung nickel concentrations at autopsy as those who died of other causes.</w:t>
      </w:r>
    </w:p>
    <w:p w:rsidR="00B95188" w:rsidRPr="00A428C3" w:rsidRDefault="00B95188" w:rsidP="00B95188">
      <w:pPr>
        <w:pStyle w:val="a0"/>
      </w:pPr>
      <w:r w:rsidRPr="00A428C3">
        <w:t>? Harada, N., Yoshida, I.</w:t>
      </w:r>
      <w:r w:rsidR="00F81221">
        <w:t xml:space="preserve"> and </w:t>
      </w:r>
      <w:r w:rsidRPr="00A428C3">
        <w:t>Kimura, K. (1989), Heart rate variation</w:t>
      </w:r>
      <w:r w:rsidR="00F81221">
        <w:t xml:space="preserve"> and </w:t>
      </w:r>
      <w:r w:rsidRPr="00A428C3">
        <w:t xml:space="preserve">serum dopamine-beta-hydroxylase activity in workers exposed to vibration.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61</w:t>
      </w:r>
      <w:r w:rsidRPr="00A428C3">
        <w:t xml:space="preserve"> (6), 369-373.</w:t>
      </w:r>
    </w:p>
    <w:p w:rsidR="00B95188" w:rsidRPr="00A428C3" w:rsidRDefault="00B95188" w:rsidP="00B95188">
      <w:pPr>
        <w:pStyle w:val="a0"/>
      </w:pPr>
      <w:r w:rsidRPr="00A428C3">
        <w:t>Abstract: Tests of autonomic nervous function were conducted on 38 workers who had been exposed to vibration [16: VWF (+) group, 22: VWF (-) group, VWF: vibration-induced white finger]</w:t>
      </w:r>
      <w:r w:rsidR="00F81221">
        <w:t xml:space="preserve"> and </w:t>
      </w:r>
      <w:r w:rsidRPr="00A428C3">
        <w:t xml:space="preserve">17 workers who had not been exposed to </w:t>
      </w:r>
      <w:r w:rsidRPr="00A428C3">
        <w:lastRenderedPageBreak/>
        <w:t>vibration (control group). Measurements were made of R-R interval variation of the electrocardiogram at rest</w:t>
      </w:r>
      <w:r w:rsidR="00F81221">
        <w:t xml:space="preserve"> and </w:t>
      </w:r>
      <w:r w:rsidRPr="00A428C3">
        <w:t>during deep breathing,</w:t>
      </w:r>
      <w:r w:rsidR="00F81221">
        <w:t xml:space="preserve"> and </w:t>
      </w:r>
      <w:r w:rsidRPr="00A428C3">
        <w:t>serum dopamine-beta-hydroxylase (DBH) activity during an immersion test of the hand in 10 degrees C water. Heart-rate variation related to respiratory arrhythmia indicates parasympathetic activity,</w:t>
      </w:r>
      <w:r w:rsidR="00F81221">
        <w:t xml:space="preserve"> and </w:t>
      </w:r>
      <w:r w:rsidRPr="00A428C3">
        <w:t>serum DBH activity is regarded as an indicator of sympathetic activity. The variations in the R-R interval during deep breathing were smallest in the VWF (+) group, followed by the VWF (-) group (P less than 0.05</w:t>
      </w:r>
      <w:r w:rsidR="00F81221">
        <w:t xml:space="preserve"> and </w:t>
      </w:r>
      <w:r w:rsidRPr="00A428C3">
        <w:t>P less than 0.01, compared with the control group). The DBH activity of the VWF (+) group was larger than those of the VWF (-) group</w:t>
      </w:r>
      <w:r w:rsidR="00F81221">
        <w:t xml:space="preserve"> and </w:t>
      </w:r>
      <w:r w:rsidRPr="00A428C3">
        <w:t>the control group, however, the differences were small</w:t>
      </w:r>
      <w:r w:rsidR="00F81221">
        <w:t xml:space="preserve"> and </w:t>
      </w:r>
      <w:r w:rsidRPr="00A428C3">
        <w:t>not statistically significant. The reduced R-R interval variations in the VWF (+)</w:t>
      </w:r>
      <w:r w:rsidR="00F81221">
        <w:t xml:space="preserve"> and </w:t>
      </w:r>
      <w:r w:rsidRPr="00A428C3">
        <w:t>the VWF (-) groups support the hypothesis that autonomic nervous function can be affected by exposure to vibration. The change of DBH activity induced by cold exposure may be an unsuitable index of sympathetic tone. Further study of the autonomic nervous function in workers with vibration syndrome is recommended.</w:t>
      </w:r>
    </w:p>
    <w:p w:rsidR="00B95188" w:rsidRPr="00A428C3" w:rsidRDefault="00B95188" w:rsidP="00B95188">
      <w:pPr>
        <w:pStyle w:val="a0"/>
      </w:pPr>
      <w:r w:rsidRPr="00A428C3">
        <w:t>? Nakamoto, M. (1990), Responses of sympathetic nervous system to cold exposure in vibration syndrome subjects</w:t>
      </w:r>
      <w:r w:rsidR="00F81221">
        <w:t xml:space="preserve"> and </w:t>
      </w:r>
      <w:r w:rsidRPr="00A428C3">
        <w:t xml:space="preserve">age-matched healthy controls.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62</w:t>
      </w:r>
      <w:r w:rsidRPr="00A428C3">
        <w:t xml:space="preserve"> (2), 177-181.</w:t>
      </w:r>
    </w:p>
    <w:p w:rsidR="00B95188" w:rsidRPr="00A428C3" w:rsidRDefault="00B95188" w:rsidP="00B95188">
      <w:pPr>
        <w:pStyle w:val="a0"/>
      </w:pPr>
      <w:r w:rsidRPr="00A428C3">
        <w:t>Abstract: Plasma norepinephrine</w:t>
      </w:r>
      <w:r w:rsidR="00F81221">
        <w:t xml:space="preserve"> and </w:t>
      </w:r>
      <w:r w:rsidRPr="00A428C3">
        <w:t>epinephrine in vibration syndrome subjects</w:t>
      </w:r>
      <w:r w:rsidR="00F81221">
        <w:t xml:space="preserve"> and </w:t>
      </w:r>
      <w:r w:rsidRPr="00A428C3">
        <w:t>age-matched healthy controls were measured for the purpose of estimating the responsibility of the sympathetic nervous system to cold exposure. In preliminary experiment, it was confirmed that cold air exposure of the whole body was more suitable than one-hand immersion in cold water. In the main experiment, 195 subjects were examined. Sixty-five subjects had vibration syndrome with vibration-induced white finger (VWF + group)</w:t>
      </w:r>
      <w:r w:rsidR="00F81221">
        <w:t xml:space="preserve"> and </w:t>
      </w:r>
      <w:r w:rsidRPr="00A428C3">
        <w:t>65 subjects had vibration syndrome without VWF (VWF-group)</w:t>
      </w:r>
      <w:r w:rsidR="00F81221">
        <w:t xml:space="preserve"> and </w:t>
      </w:r>
      <w:r w:rsidRPr="00A428C3">
        <w:t>65 controls had no symptoms (control group). In the three groups, plasma norepinephrine levels increased during cold air exposure of whole body at 7 degrees±1.5 degrees C. Blood pressure increased</w:t>
      </w:r>
      <w:r w:rsidR="00F81221">
        <w:t xml:space="preserve"> and </w:t>
      </w:r>
      <w:r w:rsidRPr="00A428C3">
        <w:t>skin temperature decreased during cold exposure. Percent increase of norepinephrine in the VWF+ group was the highest while that in VWF-group followed</w:t>
      </w:r>
      <w:r w:rsidR="00F81221">
        <w:t xml:space="preserve"> and </w:t>
      </w:r>
      <w:r w:rsidRPr="00A428C3">
        <w:t>that in the control group was the lowest. This whole-body response of the sympathetic nervous system to cold conditions reflected the VWF which are characteristic symptoms of vibration syndrome. Excluding the effects of shivering</w:t>
      </w:r>
      <w:r w:rsidR="00F81221">
        <w:t xml:space="preserve"> and </w:t>
      </w:r>
      <w:r w:rsidRPr="00A428C3">
        <w:t>a cold feeling under cold conditions, it was confirmed that the sympathetic nervous system in vibration syndrome is activated more than in the controls. These results suggest that vibration exposure to hand</w:t>
      </w:r>
      <w:r w:rsidR="00F81221">
        <w:t xml:space="preserve"> and </w:t>
      </w:r>
      <w:r w:rsidRPr="00A428C3">
        <w:t>arm affects the sympathetic nervous system.</w:t>
      </w:r>
    </w:p>
    <w:p w:rsidR="00B95188" w:rsidRPr="00A428C3" w:rsidRDefault="00B95188" w:rsidP="00B95188">
      <w:pPr>
        <w:pStyle w:val="a0"/>
      </w:pPr>
      <w:r w:rsidRPr="00A428C3">
        <w:t>? Ogata, M.</w:t>
      </w:r>
      <w:r w:rsidR="00F81221">
        <w:t xml:space="preserve"> and </w:t>
      </w:r>
      <w:r w:rsidRPr="00A428C3">
        <w:t>Iwamoto, T. (1990), Enzymatic assay of formic acid</w:t>
      </w:r>
      <w:r w:rsidR="00F81221">
        <w:t xml:space="preserve"> and </w:t>
      </w:r>
      <w:r w:rsidRPr="00A428C3">
        <w:t xml:space="preserve">gas chromatography of methanol for urinary biological monitoring of exposure to methanol.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62</w:t>
      </w:r>
      <w:r w:rsidRPr="00A428C3">
        <w:t xml:space="preserve"> (3), </w:t>
      </w:r>
      <w:r w:rsidRPr="00A428C3">
        <w:lastRenderedPageBreak/>
        <w:t>227-232.</w:t>
      </w:r>
    </w:p>
    <w:p w:rsidR="00B95188" w:rsidRPr="00A428C3" w:rsidRDefault="00B95188" w:rsidP="00B95188">
      <w:pPr>
        <w:pStyle w:val="a0"/>
      </w:pPr>
      <w:r w:rsidRPr="00A428C3">
        <w:t>Abstract: An enzymatic assay method for the determination of urinary formic acid is described. Formic acid in urine was cleaved to carbon dioxide</w:t>
      </w:r>
      <w:r w:rsidR="00F81221">
        <w:t xml:space="preserve"> and </w:t>
      </w:r>
      <w:r w:rsidRPr="00A428C3">
        <w:t>water by formic acid dehydrogenase, whereby NAD+ was converted to NADH, which reacted with INT (p-iodonitrotetrazolium violet) in the presence of NAD-diaphorase. The color thus produced was determined at 500 nm. In addition, a simple gas chromatographic method of urinary formic acid is described, in which head space gas of formic acid methylester was applied into the wide bore column. The urinary formic acid concentrations by the enzymatic method agreed well with that by the gas chromatographic method. A simple gas chromatographic method for urinary methanol assay is also described. Acetonitrile was added to an equal volume of urine containing methanol. After centrifugation, the supernatant was injected into gas chromatography (GC). The peaks of urinary methanol</w:t>
      </w:r>
      <w:r w:rsidR="00F81221">
        <w:t xml:space="preserve"> and </w:t>
      </w:r>
      <w:r w:rsidRPr="00A428C3">
        <w:t>ethanol were separated by GC. Formic acid</w:t>
      </w:r>
      <w:r w:rsidR="00F81221">
        <w:t xml:space="preserve"> and </w:t>
      </w:r>
      <w:r w:rsidRPr="00A428C3">
        <w:t>methanol in urine of unexposed healthy subjects</w:t>
      </w:r>
      <w:r w:rsidR="00F81221">
        <w:t xml:space="preserve"> and </w:t>
      </w:r>
      <w:r w:rsidRPr="00A428C3">
        <w:t>workers exposed to methanol were analyzed by the colorimetric</w:t>
      </w:r>
      <w:r w:rsidR="00F81221">
        <w:t xml:space="preserve"> and </w:t>
      </w:r>
      <w:r w:rsidRPr="00A428C3">
        <w:t>gas chromatographic methods. Geometric mean concentrations of urinary formic acid</w:t>
      </w:r>
      <w:r w:rsidR="00F81221">
        <w:t xml:space="preserve"> and </w:t>
      </w:r>
      <w:r w:rsidRPr="00A428C3">
        <w:t>methanol in the healthy subjects were 7.82 mg/g creatinine</w:t>
      </w:r>
      <w:r w:rsidR="00F81221">
        <w:t xml:space="preserve"> and </w:t>
      </w:r>
      <w:r w:rsidRPr="00A428C3">
        <w:t>1.34 mg/l, respectively. The concentration ratio of formic acid to methanol in the urine of the workers exposed to methanol was calculated to be 3.67±2.10, which agreed with the ratio under a controlled exposure experiment. A slower excretion of formic acid than that of methanol in the urine of a volunteer was also observed.</w:t>
      </w:r>
    </w:p>
    <w:p w:rsidR="00B95188" w:rsidRPr="00A428C3" w:rsidRDefault="00B95188" w:rsidP="00B95188">
      <w:pPr>
        <w:pStyle w:val="a0"/>
      </w:pPr>
      <w:r w:rsidRPr="00A428C3">
        <w:t>? Araki, S., Sata, F.</w:t>
      </w:r>
      <w:r w:rsidR="00F81221">
        <w:t xml:space="preserve"> and </w:t>
      </w:r>
      <w:r w:rsidRPr="00A428C3">
        <w:t xml:space="preserve">Murata, K. (1990), Adjustment for urinary flow rate: An improved approach to biological monitoring.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62</w:t>
      </w:r>
      <w:r w:rsidRPr="00A428C3">
        <w:t xml:space="preserve"> (6), 471-477.</w:t>
      </w:r>
    </w:p>
    <w:p w:rsidR="00B95188" w:rsidRPr="00A428C3" w:rsidRDefault="00B95188" w:rsidP="00B95188">
      <w:pPr>
        <w:pStyle w:val="a0"/>
      </w:pPr>
      <w:r w:rsidRPr="00A428C3">
        <w:t>Abstract: The use of urinary monitoring in medical surveillance programs in industry requires the development of an accurate</w:t>
      </w:r>
      <w:r w:rsidR="00F81221">
        <w:t xml:space="preserve"> and </w:t>
      </w:r>
      <w:r w:rsidRPr="00A428C3">
        <w:t>unbiased index of urinary concentrations of occupational toxins. To examine the effects of urinary flow rate on adjusted</w:t>
      </w:r>
      <w:r w:rsidR="00F81221">
        <w:t xml:space="preserve"> and </w:t>
      </w:r>
      <w:r w:rsidRPr="00A428C3">
        <w:t>non-adjusted urinary excretion of 11 heavy metals</w:t>
      </w:r>
      <w:r w:rsidR="00F81221">
        <w:t xml:space="preserve"> and </w:t>
      </w:r>
      <w:r w:rsidRPr="00A428C3">
        <w:t>organic substances, 19 metal-foundry workers were studied during four time periods of the day under conditions of water restriction</w:t>
      </w:r>
      <w:r w:rsidR="00F81221">
        <w:t xml:space="preserve"> and </w:t>
      </w:r>
      <w:r w:rsidRPr="00A428C3">
        <w:t>loading. The results indicate that urinary flow rate significantly affects not only the non-adjusted urinary concentration for all substances, but also affects timed excretion as well as concentrations adjusted to urinary specific gravity</w:t>
      </w:r>
      <w:r w:rsidR="00F81221">
        <w:t xml:space="preserve"> and </w:t>
      </w:r>
      <w:r w:rsidRPr="00A428C3">
        <w:t>to urinary creatinine during any time period of the day. On the other hand, the concentration adjusted to urinary flow rate (UF-adjusted concentration) is independent by definition of urinary flow; therefore, this adjustment is applicable for highly diluted</w:t>
      </w:r>
      <w:r w:rsidR="00F81221">
        <w:t xml:space="preserve"> and </w:t>
      </w:r>
      <w:r w:rsidRPr="00A428C3">
        <w:t>highly concentrated urine samples without repetition of urine collection. It is concluded that UF-adjusted concentration is a useful index for the measurement of most urinary substances, while adjustments to urinary specific gravity</w:t>
      </w:r>
      <w:r w:rsidR="00F81221">
        <w:t xml:space="preserve"> and </w:t>
      </w:r>
      <w:r w:rsidRPr="00A428C3">
        <w:t xml:space="preserve">to urinary creatinine concentration have only limited </w:t>
      </w:r>
      <w:r w:rsidRPr="00A428C3">
        <w:lastRenderedPageBreak/>
        <w:t>utility in evaluating toxin levels in spot urine samples.</w:t>
      </w:r>
    </w:p>
    <w:p w:rsidR="00B95188" w:rsidRPr="00A428C3" w:rsidRDefault="00B95188" w:rsidP="00B95188">
      <w:pPr>
        <w:pStyle w:val="a0"/>
      </w:pPr>
      <w:r w:rsidRPr="00A428C3">
        <w:t>? Sakakibara, H., Hashiguchi, T., Furuta, M., Kondo, T., Miyao, M.</w:t>
      </w:r>
      <w:r w:rsidR="00F81221">
        <w:t xml:space="preserve"> and </w:t>
      </w:r>
      <w:r w:rsidRPr="00A428C3">
        <w:t xml:space="preserve">Yamada, S. (1991), Circulatory disturbances of the foot in vibration syndrome.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63</w:t>
      </w:r>
      <w:r w:rsidRPr="00A428C3">
        <w:t xml:space="preserve"> (2), 145-148.</w:t>
      </w:r>
    </w:p>
    <w:p w:rsidR="00B95188" w:rsidRPr="00A428C3" w:rsidRDefault="00B95188" w:rsidP="00B95188">
      <w:pPr>
        <w:pStyle w:val="a0"/>
      </w:pPr>
      <w:r w:rsidRPr="00A428C3">
        <w:t>Abstract: Circulatory disturbances of the foot in patients with vibration syndrome were studied by measuring the skin temperature of both index fingers</w:t>
      </w:r>
      <w:r w:rsidR="00F81221">
        <w:t xml:space="preserve"> and </w:t>
      </w:r>
      <w:r w:rsidRPr="00A428C3">
        <w:t>great toes through a 3-min immersion of the right foot in cold water at 10 degrees C. Subjects included 11 patients with vibration-induced white finger (VWF) [VWF (+) group], 12 patients without VWF [VWF (-) group],</w:t>
      </w:r>
      <w:r w:rsidR="00F81221">
        <w:t xml:space="preserve"> and </w:t>
      </w:r>
      <w:r w:rsidRPr="00A428C3">
        <w:t>20 healthy referents not exposed to vibration. Patients were all male chain saw operators who had scarcely been exposed to vibration of the foot. The prevalence of coldness felt in the upper</w:t>
      </w:r>
      <w:r w:rsidR="00F81221">
        <w:t xml:space="preserve"> and </w:t>
      </w:r>
      <w:r w:rsidRPr="00A428C3">
        <w:t>lower extremities was greater than 90% in the VWF (+) group, about 60% in the VWF (-) group,</w:t>
      </w:r>
      <w:r w:rsidR="00F81221">
        <w:t xml:space="preserve"> and </w:t>
      </w:r>
      <w:r w:rsidRPr="00A428C3">
        <w:t>less than 10% in the referents. The extent of the coldness was greatest in the VWF (+) group. The skin temperature of both fingers</w:t>
      </w:r>
      <w:r w:rsidR="00F81221">
        <w:t xml:space="preserve"> and </w:t>
      </w:r>
      <w:r w:rsidRPr="00A428C3">
        <w:t>toes was lowest in the VWF (+) group, somewhat higher in the VWF (-) group,</w:t>
      </w:r>
      <w:r w:rsidR="00F81221">
        <w:t xml:space="preserve"> and </w:t>
      </w:r>
      <w:r w:rsidRPr="00A428C3">
        <w:t>highest in the referents both before</w:t>
      </w:r>
      <w:r w:rsidR="00F81221">
        <w:t xml:space="preserve"> and </w:t>
      </w:r>
      <w:r w:rsidRPr="00A428C3">
        <w:t>after immersion. These findings indicate that patients with vibration syndrome, especially those with VWF, have circulatory disturbances in the foot as well as in the hand. The disturbances in the foot may be related to long-term repeated vasoconstriction in the foot induced by hand-arm vibration through the sympathetic nervous system.</w:t>
      </w:r>
    </w:p>
    <w:p w:rsidR="00B95188" w:rsidRPr="00A428C3" w:rsidRDefault="00B95188" w:rsidP="00B95188">
      <w:pPr>
        <w:pStyle w:val="a0"/>
      </w:pPr>
      <w:r w:rsidRPr="00A428C3">
        <w:t>? Karjalainen, S., Kerttula, R.</w:t>
      </w:r>
      <w:r w:rsidR="00F81221">
        <w:t xml:space="preserve"> and </w:t>
      </w:r>
      <w:r w:rsidRPr="00A428C3">
        <w:t>Pukkala, E. (1992), Cancer risk among workers at a copper nickel smelter</w:t>
      </w:r>
      <w:r w:rsidR="00F81221">
        <w:t xml:space="preserve"> and </w:t>
      </w:r>
      <w:r w:rsidRPr="00A428C3">
        <w:t xml:space="preserve">nickel refinery in </w:t>
      </w:r>
      <w:smartTag w:uri="urn:schemas-microsoft-com:office:smarttags" w:element="place">
        <w:smartTag w:uri="urn:schemas-microsoft-com:office:smarttags" w:element="country-region">
          <w:r w:rsidRPr="00A428C3">
            <w:t>Finland</w:t>
          </w:r>
        </w:smartTag>
      </w:smartTag>
      <w:r w:rsidRPr="00A428C3">
        <w:t xml:space="preserve">.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63</w:t>
      </w:r>
      <w:r w:rsidRPr="00A428C3">
        <w:t xml:space="preserve"> (8), 547-551.</w:t>
      </w:r>
    </w:p>
    <w:p w:rsidR="00B95188" w:rsidRPr="00A428C3" w:rsidRDefault="00B95188" w:rsidP="00B95188">
      <w:pPr>
        <w:pStyle w:val="a0"/>
      </w:pPr>
      <w:r w:rsidRPr="00A428C3">
        <w:t>? Angerer, J., Heinzow, B., Reimann, D.O., Knorz, W.</w:t>
      </w:r>
      <w:r w:rsidR="00F81221">
        <w:t xml:space="preserve"> and </w:t>
      </w:r>
      <w:r w:rsidRPr="00A428C3">
        <w:t xml:space="preserve">Lehnert, G. (1992), Internal exposure to organic-substances in a municipal waste incinerator.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64</w:t>
      </w:r>
      <w:r w:rsidRPr="00A428C3">
        <w:t xml:space="preserve"> (4), 265-273.</w:t>
      </w:r>
    </w:p>
    <w:p w:rsidR="00B95188" w:rsidRPr="00A428C3" w:rsidRDefault="00B95188" w:rsidP="00B95188">
      <w:pPr>
        <w:pStyle w:val="a0"/>
      </w:pPr>
      <w:r w:rsidRPr="00A428C3">
        <w:t>? Liou, S.H., Wu, T.N., Chiang, H.C., Yang, G.Y., Wu, Y.Q., Lai, J.S., Ho, S.T., Guo, Y.L., Ko, Y.C.</w:t>
      </w:r>
      <w:r w:rsidR="00F81221">
        <w:t xml:space="preserve"> and </w:t>
      </w:r>
      <w:r w:rsidRPr="00A428C3">
        <w:t xml:space="preserve">Chang, P.Y. (1994), Blood lead levels in the general population of Taiwan, Republic of China.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66</w:t>
      </w:r>
      <w:r w:rsidRPr="00A428C3">
        <w:t xml:space="preserve"> (4), 255-260.</w:t>
      </w:r>
    </w:p>
    <w:p w:rsidR="00B95188" w:rsidRPr="00A428C3" w:rsidRDefault="00B95188" w:rsidP="00B95188">
      <w:pPr>
        <w:pStyle w:val="a0"/>
      </w:pPr>
      <w:r w:rsidRPr="00A428C3">
        <w:t xml:space="preserve">Abstract: The purpose of this study was to investigate the environmental lead exposure of the general population in </w:t>
      </w:r>
      <w:smartTag w:uri="urn:schemas-microsoft-com:office:smarttags" w:element="place">
        <w:smartTag w:uri="urn:schemas-microsoft-com:office:smarttags" w:element="country-region">
          <w:r w:rsidRPr="00A428C3">
            <w:t>Taiwan</w:t>
          </w:r>
        </w:smartTag>
      </w:smartTag>
      <w:r w:rsidRPr="00A428C3">
        <w:t xml:space="preserve">. A total of 2919 residents of </w:t>
      </w:r>
      <w:smartTag w:uri="urn:schemas-microsoft-com:office:smarttags" w:element="place">
        <w:smartTag w:uri="urn:schemas-microsoft-com:office:smarttags" w:element="country-region">
          <w:r w:rsidRPr="00A428C3">
            <w:t>Taiwan</w:t>
          </w:r>
        </w:smartTag>
      </w:smartTag>
      <w:r w:rsidRPr="00A428C3">
        <w:t xml:space="preserve"> were selected by multistage sampling methods. The participants were characterized by questionnaires</w:t>
      </w:r>
      <w:r w:rsidR="00F81221">
        <w:t xml:space="preserve"> and </w:t>
      </w:r>
      <w:r w:rsidRPr="00A428C3">
        <w:t>10 ml venous blood was collected for blood lead measurement. A quality assurance/quality control program was designed during the analysis of blood lead levels. The mean blood lead level of 2719 residents without occupational lead exposure was 8.29±5.92 micrograms/dl. After adjustment for age</w:t>
      </w:r>
      <w:r w:rsidR="00F81221">
        <w:t xml:space="preserve"> and </w:t>
      </w:r>
      <w:r w:rsidRPr="00A428C3">
        <w:t xml:space="preserve">sex distribution to the </w:t>
      </w:r>
      <w:smartTag w:uri="urn:schemas-microsoft-com:office:smarttags" w:element="place">
        <w:smartTag w:uri="urn:schemas-microsoft-com:office:smarttags" w:element="country-region">
          <w:r w:rsidRPr="00A428C3">
            <w:t>Taiwan</w:t>
          </w:r>
        </w:smartTag>
      </w:smartTag>
      <w:r w:rsidRPr="00A428C3">
        <w:t xml:space="preserve"> general population, the mean blood lead level was 8.10 micrograms/dl. Adjusted for an 11% underestimation of blood lead levels among the six laboratories, </w:t>
      </w:r>
      <w:r w:rsidRPr="00A428C3">
        <w:lastRenderedPageBreak/>
        <w:t>the mean blood lead level was estimated to be 8.99 micrograms/dl. This study also found that blood lead levels were associated with personal characteristics, i.e., gender, ethnic group, education level; lifestyle factors, i.e., smoking, alcohol consumption, sources of drinking water;</w:t>
      </w:r>
      <w:r w:rsidR="00F81221">
        <w:t xml:space="preserve"> and </w:t>
      </w:r>
      <w:r w:rsidRPr="00A428C3">
        <w:t>residential location, i.e., levels of urbanization, distance of house from the road. However, age, floor of residence, milk consumption, betel nut consumption,</w:t>
      </w:r>
      <w:r w:rsidR="00F81221">
        <w:t xml:space="preserve"> and </w:t>
      </w:r>
      <w:r w:rsidRPr="00A428C3">
        <w:t xml:space="preserve">Chinese herbal drug consumption were not found to be associated with blood lead levels. These results show that blood lead levels in </w:t>
      </w:r>
      <w:smartTag w:uri="urn:schemas-microsoft-com:office:smarttags" w:element="place">
        <w:smartTag w:uri="urn:schemas-microsoft-com:office:smarttags" w:element="country-region">
          <w:r w:rsidRPr="00A428C3">
            <w:t>Taiwan</w:t>
          </w:r>
        </w:smartTag>
      </w:smartTag>
      <w:r w:rsidRPr="00A428C3">
        <w:t xml:space="preserve"> residents were not higher than in most developed</w:t>
      </w:r>
      <w:r w:rsidR="00F81221">
        <w:t xml:space="preserve"> and </w:t>
      </w:r>
      <w:r w:rsidRPr="00A428C3">
        <w:t xml:space="preserve">developing countries. Environmental lead pollution does not seem to be a serious problem in </w:t>
      </w:r>
      <w:smartTag w:uri="urn:schemas-microsoft-com:office:smarttags" w:element="place">
        <w:smartTag w:uri="urn:schemas-microsoft-com:office:smarttags" w:element="country-region">
          <w:r w:rsidRPr="00A428C3">
            <w:t>Taiwan</w:t>
          </w:r>
        </w:smartTag>
      </w:smartTag>
      <w:r w:rsidRPr="00A428C3">
        <w:t>.</w:t>
      </w:r>
    </w:p>
    <w:p w:rsidR="00B95188" w:rsidRPr="00A428C3" w:rsidRDefault="00B95188" w:rsidP="00B95188">
      <w:pPr>
        <w:pStyle w:val="a0"/>
      </w:pPr>
      <w:r w:rsidRPr="00A428C3">
        <w:t>? Sata, F., Araki, S., Yokoyama, K.</w:t>
      </w:r>
      <w:r w:rsidR="00F81221">
        <w:t xml:space="preserve"> and </w:t>
      </w:r>
      <w:r w:rsidRPr="00A428C3">
        <w:t>Murata, K. (1995), Adjustment of creatinine-adjusted values in urine to urinary flow rate: A study of eleven heavy metals</w:t>
      </w:r>
      <w:r w:rsidR="00F81221">
        <w:t xml:space="preserve"> and </w:t>
      </w:r>
      <w:r w:rsidRPr="00A428C3">
        <w:t xml:space="preserve">organic substances.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68</w:t>
      </w:r>
      <w:r w:rsidRPr="00A428C3">
        <w:t xml:space="preserve"> (1), 64-68.</w:t>
      </w:r>
    </w:p>
    <w:p w:rsidR="00B95188" w:rsidRPr="00A428C3" w:rsidRDefault="00B95188" w:rsidP="00B95188">
      <w:pPr>
        <w:pStyle w:val="a0"/>
      </w:pPr>
      <w:r w:rsidRPr="00A428C3">
        <w:t>Abstract: The use of urinary monitoring in medical surveillance programs in industry requires development of an accurate</w:t>
      </w:r>
      <w:r w:rsidR="00F81221">
        <w:t xml:space="preserve"> and </w:t>
      </w:r>
      <w:r w:rsidRPr="00A428C3">
        <w:t>unbiased index of urinary concentrations of occupational toxins. To examine the effects of urinary flow (UF) rate on the standard creatinine (Cn)-adjusted value</w:t>
      </w:r>
      <w:r w:rsidR="00F81221">
        <w:t xml:space="preserve"> and </w:t>
      </w:r>
      <w:r w:rsidRPr="00A428C3">
        <w:t>the UF-and Cn-adjusted values according to Greenberg</w:t>
      </w:r>
      <w:r w:rsidR="00F81221">
        <w:t xml:space="preserve"> and </w:t>
      </w:r>
      <w:r w:rsidRPr="00A428C3">
        <w:t>Levine</w:t>
      </w:r>
      <w:r w:rsidR="00F81221">
        <w:t xml:space="preserve"> and </w:t>
      </w:r>
      <w:r w:rsidRPr="00A428C3">
        <w:t>to Araki et al. for 11 heavy metals</w:t>
      </w:r>
      <w:r w:rsidR="00F81221">
        <w:t xml:space="preserve"> and </w:t>
      </w:r>
      <w:r w:rsidRPr="00A428C3">
        <w:t>organic substances, 19 metal-foundry workers aged 34-59 years (mean 48), who had been exposed to lead, zinc,</w:t>
      </w:r>
      <w:r w:rsidR="00F81221">
        <w:t xml:space="preserve"> and </w:t>
      </w:r>
      <w:r w:rsidRPr="00A428C3">
        <w:t>copper for 2-17 (mean 10) years, were studied during four periods of the day under water-free, water-restrictive</w:t>
      </w:r>
      <w:r w:rsidR="00F81221">
        <w:t xml:space="preserve"> and </w:t>
      </w:r>
      <w:r w:rsidRPr="00A428C3">
        <w:t>water-loading conditions for 6 days. The blood lead concentrations of the 19 workers ranged from 22 to 59 (mean 38) micrograms/dl. The results indicated that there was no significant UF effect on the UF-and Cn-adjusted values of Araki et al. for all urinary substances except mercury</w:t>
      </w:r>
      <w:r w:rsidR="00F81221">
        <w:t xml:space="preserve"> and </w:t>
      </w:r>
      <w:r w:rsidRPr="00A428C3">
        <w:t>coproporphyrin. On the other hand, the UF-and Cn-adjusted value of Greenberg</w:t>
      </w:r>
      <w:r w:rsidR="00F81221">
        <w:t xml:space="preserve"> and </w:t>
      </w:r>
      <w:r w:rsidRPr="00A428C3">
        <w:t>Levine was positively correlated with UF rate for all urinary substances,</w:t>
      </w:r>
      <w:r w:rsidR="00F81221">
        <w:t xml:space="preserve"> and </w:t>
      </w:r>
      <w:r w:rsidRPr="00A428C3">
        <w:t>the standard Cn-adjusted value was either positively or inversely correlated with UF rate for many urinary substances. Therefore, the UF-and Cn-adjusted value of Araki et al. is considered to be applicable to the measurement of most urinary substances under conditions of wide variation in UF rate.</w:t>
      </w:r>
    </w:p>
    <w:p w:rsidR="00B95188" w:rsidRPr="00A428C3" w:rsidRDefault="00B95188" w:rsidP="00B95188">
      <w:pPr>
        <w:pStyle w:val="a0"/>
      </w:pPr>
      <w:r w:rsidRPr="00A428C3">
        <w:t>? Liou, S.H., Wu, T.N., Chiang, H.C., Yang, T., Yang, G.Y., Wu, Y.Q., Lai, J.S., Ho, S.T., Guo, Y.L., Ko, Y.C., Ko, K.N.</w:t>
      </w:r>
      <w:r w:rsidR="00F81221">
        <w:t xml:space="preserve"> and </w:t>
      </w:r>
      <w:r w:rsidRPr="00A428C3">
        <w:t xml:space="preserve">Chang, P.Y. (1996), Three-year survey of blood lead levels in 8828 Taiwanese adults.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68</w:t>
      </w:r>
      <w:r w:rsidRPr="00A428C3">
        <w:t xml:space="preserve"> (2), 80-87.</w:t>
      </w:r>
    </w:p>
    <w:p w:rsidR="00B95188" w:rsidRPr="00A428C3" w:rsidRDefault="00B95188" w:rsidP="00B95188">
      <w:pPr>
        <w:pStyle w:val="a0"/>
      </w:pPr>
      <w:r w:rsidRPr="00A428C3">
        <w:t>Abstract: The purpose of this study was to investigate environmental lead exposure in the general Taiwanese population. A total of 8828 Taiwanese adults selected by a multistage sampling method were investigated. Characteristics of the participants were ascertained by questionnaire</w:t>
      </w:r>
      <w:r w:rsidR="00F81221">
        <w:t xml:space="preserve"> and </w:t>
      </w:r>
      <w:r w:rsidRPr="00A428C3">
        <w:t xml:space="preserve">10 ml venous blood was drawn by </w:t>
      </w:r>
      <w:r w:rsidRPr="00A428C3">
        <w:rPr>
          <w:iCs/>
        </w:rPr>
        <w:t>Public Health Nurses. T</w:t>
      </w:r>
      <w:r w:rsidRPr="00A428C3">
        <w:t xml:space="preserve">he blood specimens were distributed to six laboratories for blood </w:t>
      </w:r>
      <w:r w:rsidRPr="00A428C3">
        <w:lastRenderedPageBreak/>
        <w:t>lead level (BLL) measurement. A quality control program was applied during the analysis of the BLLs in order to improve precision</w:t>
      </w:r>
      <w:r w:rsidR="00F81221">
        <w:t xml:space="preserve"> and </w:t>
      </w:r>
      <w:r w:rsidRPr="00A428C3">
        <w:t>accuracy. The arithmetic mean BLL of the 8828 Taiwanese adults was 7.70±5.23 micrograms/dl, with a maximal level of 69.1 micrograms/dl. The median was 6.5 micrograms/dl</w:t>
      </w:r>
      <w:r w:rsidR="00F81221">
        <w:t xml:space="preserve"> and </w:t>
      </w:r>
      <w:r w:rsidRPr="00A428C3">
        <w:t>the 90th percentile was 14.0 micrograms/dl. After logarithmic transformation, the geometric mean was 1.84±0.67 microgram/dl. This study also found that elevated BLLs were associated with certain personal characteristics, i.e., gender, ethnic group,</w:t>
      </w:r>
      <w:r w:rsidR="00F81221">
        <w:t xml:space="preserve"> and </w:t>
      </w:r>
      <w:r w:rsidRPr="00A428C3">
        <w:t>education level; life-style factors, such as smoking, alcohol consumption, Chinese herbal drug consumption, milk consumption,</w:t>
      </w:r>
      <w:r w:rsidR="00F81221">
        <w:t xml:space="preserve"> and </w:t>
      </w:r>
      <w:r w:rsidRPr="00A428C3">
        <w:t>sources of drinking water; residential location, i.e., level of urbanization;</w:t>
      </w:r>
      <w:r w:rsidR="00F81221">
        <w:t xml:space="preserve"> and </w:t>
      </w:r>
      <w:r w:rsidRPr="00A428C3">
        <w:t>occupational history of lead exposure. However, age, floor level of residence, distance from house to road,</w:t>
      </w:r>
      <w:r w:rsidR="00F81221">
        <w:t xml:space="preserve"> and </w:t>
      </w:r>
      <w:r w:rsidRPr="00A428C3">
        <w:t>betel nut consumption were not associated with elevated BLLs. These results showed that BLLs in the Taiwanese population were not higher than those in developed</w:t>
      </w:r>
      <w:r w:rsidR="00F81221">
        <w:t xml:space="preserve"> and </w:t>
      </w:r>
      <w:r w:rsidRPr="00A428C3">
        <w:t>developing countries. Most of the influencing factors were also found in other studies; however, local factors such as ethnic group, Chinese herbal drug consumption,</w:t>
      </w:r>
      <w:r w:rsidR="00F81221">
        <w:t xml:space="preserve"> and </w:t>
      </w:r>
      <w:r w:rsidRPr="00A428C3">
        <w:t xml:space="preserve">sources of drinking water are important considerations in </w:t>
      </w:r>
      <w:smartTag w:uri="urn:schemas-microsoft-com:office:smarttags" w:element="place">
        <w:smartTag w:uri="urn:schemas-microsoft-com:office:smarttags" w:element="country-region">
          <w:r w:rsidRPr="00A428C3">
            <w:t>Taiwan</w:t>
          </w:r>
        </w:smartTag>
      </w:smartTag>
      <w:r w:rsidRPr="00A428C3">
        <w:t xml:space="preserve"> when examining ways to prevent overexposure to lead in the general population.</w:t>
      </w:r>
    </w:p>
    <w:p w:rsidR="00B95188" w:rsidRPr="00A428C3" w:rsidRDefault="00B95188" w:rsidP="00B95188">
      <w:pPr>
        <w:pStyle w:val="a0"/>
      </w:pPr>
      <w:r w:rsidRPr="00A428C3">
        <w:t xml:space="preserve">? Byrd, D.M., Roegner, M.L., </w:t>
      </w:r>
      <w:smartTag w:uri="urn:schemas-microsoft-com:office:smarttags" w:element="City">
        <w:r w:rsidRPr="00A428C3">
          <w:t>Griffiths</w:t>
        </w:r>
      </w:smartTag>
      <w:r w:rsidRPr="00A428C3">
        <w:t xml:space="preserve">, J.C., Lamm, S.H., Grumski, K.S., </w:t>
      </w:r>
      <w:smartTag w:uri="urn:schemas-microsoft-com:office:smarttags" w:element="place">
        <w:smartTag w:uri="urn:schemas-microsoft-com:office:smarttags" w:element="City">
          <w:r w:rsidRPr="00A428C3">
            <w:t>Wilson</w:t>
          </w:r>
        </w:smartTag>
      </w:smartTag>
      <w:r w:rsidRPr="00A428C3">
        <w:t>, R.</w:t>
      </w:r>
      <w:r w:rsidR="00F81221">
        <w:t xml:space="preserve"> and </w:t>
      </w:r>
      <w:r w:rsidRPr="00A428C3">
        <w:t xml:space="preserve">Lai, S.H. (1996), Carcinogenic risks of inorganic arsenic in perspective. </w:t>
      </w:r>
      <w:r w:rsidRPr="00A428C3">
        <w:rPr>
          <w:i/>
          <w:iCs/>
        </w:rPr>
        <w:t>International Archives of Occupational</w:t>
      </w:r>
      <w:r w:rsidR="00F81221">
        <w:rPr>
          <w:i/>
          <w:iCs/>
        </w:rPr>
        <w:t xml:space="preserve"> and </w:t>
      </w:r>
      <w:r w:rsidRPr="00A428C3">
        <w:rPr>
          <w:i/>
          <w:iCs/>
        </w:rPr>
        <w:t>Environmental Health</w:t>
      </w:r>
      <w:r w:rsidRPr="00A428C3">
        <w:t xml:space="preserve">, </w:t>
      </w:r>
      <w:r w:rsidRPr="00A428C3">
        <w:rPr>
          <w:b/>
        </w:rPr>
        <w:t>68</w:t>
      </w:r>
      <w:r w:rsidRPr="00A428C3">
        <w:t xml:space="preserve"> (6), 484-494.</w:t>
      </w:r>
    </w:p>
    <w:p w:rsidR="00B95188" w:rsidRPr="00A428C3" w:rsidRDefault="00B95188" w:rsidP="00B95188">
      <w:pPr>
        <w:pStyle w:val="a0"/>
      </w:pPr>
      <w:r w:rsidRPr="00A428C3">
        <w:t>Abstract: Induction of cancer by inorganic arsenic occurs inconsistently between species</w:t>
      </w:r>
      <w:r w:rsidR="00F81221">
        <w:t xml:space="preserve"> and </w:t>
      </w:r>
      <w:r w:rsidRPr="00A428C3">
        <w:t>between routes of exposure,</w:t>
      </w:r>
      <w:r w:rsidR="00F81221">
        <w:t xml:space="preserve"> and </w:t>
      </w:r>
      <w:r w:rsidRPr="00A428C3">
        <w:t>it exhibits different dose-response relationships between different target organs. Inhaled or ingested arsenic causes cancer in humans but not in other species. Inhaled arsenic primarily induces lung cancer, whereas ingested arsenic induces cancer at multiple sites, including the skin</w:t>
      </w:r>
      <w:r w:rsidR="00F81221">
        <w:t xml:space="preserve"> and </w:t>
      </w:r>
      <w:r w:rsidRPr="00A428C3">
        <w:t>various other organs. Cancer potency appears to vary by route of exposure (ingestion or inhalation)</w:t>
      </w:r>
      <w:r w:rsidR="00F81221">
        <w:t xml:space="preserve"> and </w:t>
      </w:r>
      <w:r w:rsidRPr="00A428C3">
        <w:t>by organ site,</w:t>
      </w:r>
      <w:r w:rsidR="00F81221">
        <w:t xml:space="preserve"> and </w:t>
      </w:r>
      <w:r w:rsidRPr="00A428C3">
        <w:t>increases markedly at higher exposures in some instances. To understand what might explain these inconsistencies, we reviewed several hypotheses about the mechanism of cancer induction by arsenic. Arsenic disposition does not provide satisfactory explanations. Induction of cell proliferation by arsenic is a mechanism of carcinogenesis that is biologically plausible</w:t>
      </w:r>
      <w:r w:rsidR="00F81221">
        <w:t xml:space="preserve"> and </w:t>
      </w:r>
      <w:r w:rsidRPr="00A428C3">
        <w:t>compatible with differential effects for species or differential dose rates for organ sites. The presence of other carcinogens, or risk modifiers, at levels that correlate with arsenic in drinking water supplies, may be a factor in all three inconsistencies: interspecies specificity, organ sensitivity to route of administration,</w:t>
      </w:r>
      <w:r w:rsidR="00F81221">
        <w:t xml:space="preserve"> and </w:t>
      </w:r>
      <w:r w:rsidRPr="00A428C3">
        <w:t>organ sensitivity to dose rate.</w:t>
      </w:r>
    </w:p>
    <w:p w:rsidR="00B95188" w:rsidRPr="00A428C3" w:rsidRDefault="00B95188" w:rsidP="00B95188">
      <w:pPr>
        <w:pStyle w:val="a0"/>
      </w:pPr>
      <w:r w:rsidRPr="00A428C3">
        <w:t xml:space="preserve">Keywords: Drinking-Water, Well Water, Dimethylarsinic Acid, Blackfoot Disease, Cancer, Mice, Reduction, Toxicity, </w:t>
      </w:r>
      <w:smartTag w:uri="urn:schemas-microsoft-com:office:smarttags" w:element="place">
        <w:smartTag w:uri="urn:schemas-microsoft-com:office:smarttags" w:element="City">
          <w:r w:rsidRPr="00A428C3">
            <w:t>Exposure</w:t>
          </w:r>
        </w:smartTag>
        <w:r w:rsidRPr="00A428C3">
          <w:t xml:space="preserve">, </w:t>
        </w:r>
        <w:smartTag w:uri="urn:schemas-microsoft-com:office:smarttags" w:element="country-region">
          <w:r w:rsidRPr="00A428C3">
            <w:t>Taiwan</w:t>
          </w:r>
        </w:smartTag>
      </w:smartTag>
    </w:p>
    <w:p w:rsidR="00B95188" w:rsidRPr="00A428C3" w:rsidRDefault="00B95188" w:rsidP="00B95188">
      <w:pPr>
        <w:pStyle w:val="a0"/>
      </w:pPr>
      <w:r w:rsidRPr="00A428C3">
        <w:t>Buchet, J.P.</w:t>
      </w:r>
      <w:r w:rsidR="00F81221">
        <w:t xml:space="preserve"> and </w:t>
      </w:r>
      <w:r w:rsidRPr="00A428C3">
        <w:t xml:space="preserve">Lison, D. (1998), Mortality by cancer in groups of the Belgian </w:t>
      </w:r>
      <w:r w:rsidRPr="00A428C3">
        <w:lastRenderedPageBreak/>
        <w:t xml:space="preserve">population with a moderately increased intake of arsenic. </w:t>
      </w:r>
      <w:r w:rsidRPr="00A428C3">
        <w:rPr>
          <w:i/>
        </w:rPr>
        <w:t>International Archives of Occupational</w:t>
      </w:r>
      <w:r w:rsidR="00F81221">
        <w:rPr>
          <w:i/>
        </w:rPr>
        <w:t xml:space="preserve"> and </w:t>
      </w:r>
      <w:r w:rsidRPr="00A428C3">
        <w:rPr>
          <w:i/>
        </w:rPr>
        <w:t>Environmental Health</w:t>
      </w:r>
      <w:r w:rsidRPr="00A428C3">
        <w:t xml:space="preserve">, </w:t>
      </w:r>
      <w:r w:rsidRPr="00A428C3">
        <w:rPr>
          <w:b/>
        </w:rPr>
        <w:t>71</w:t>
      </w:r>
      <w:r w:rsidRPr="00A428C3">
        <w:t xml:space="preserve"> (2), 125-130.</w:t>
      </w:r>
    </w:p>
    <w:p w:rsidR="00B95188" w:rsidRPr="00A428C3" w:rsidRDefault="00B95188" w:rsidP="00B95188">
      <w:pPr>
        <w:pStyle w:val="a0"/>
      </w:pPr>
      <w:r w:rsidRPr="00A428C3">
        <w:t xml:space="preserve">Full Text: </w:t>
      </w:r>
      <w:hyperlink r:id="rId1568" w:history="1">
        <w:r w:rsidRPr="00A428C3">
          <w:rPr>
            <w:rStyle w:val="a5"/>
          </w:rPr>
          <w:t>I\Int Arc Occ Env Hea71, 125.pdf</w:t>
        </w:r>
      </w:hyperlink>
    </w:p>
    <w:p w:rsidR="00B95188" w:rsidRPr="00A428C3" w:rsidRDefault="00B95188" w:rsidP="00B95188">
      <w:pPr>
        <w:pStyle w:val="a0"/>
      </w:pPr>
      <w:r w:rsidRPr="00A428C3">
        <w:t>Abstract: OBJECT: The dose-response relationship for lung carcinoma</w:t>
      </w:r>
      <w:r w:rsidR="00F81221">
        <w:t xml:space="preserve"> and </w:t>
      </w:r>
      <w:r w:rsidRPr="00A428C3">
        <w:t>other cancers at low doses of As is highly uncertain because it is based on modeling data collected in populations with a high daily intake of the element. The finding of a slightly increased exposure to arsenic in certain groups of the Belgian general population prompted us to examine whether this had repercussions on the causes of mortality.</w:t>
      </w:r>
    </w:p>
    <w:p w:rsidR="00B95188" w:rsidRPr="00A428C3" w:rsidRDefault="00B95188" w:rsidP="00B95188">
      <w:pPr>
        <w:pStyle w:val="a0"/>
      </w:pPr>
      <w:r w:rsidRPr="00A428C3">
        <w:t>METHOD: Statistics of mortality by causes with a possible link to exposure to the element (standardized mortality ratio) were analyzed in groups of the Belgian population previously shown to have been exposed to As from natural (drinking water) and/or industrial (nonferrous metal smelter emissions) sources.</w:t>
      </w:r>
    </w:p>
    <w:p w:rsidR="00B95188" w:rsidRPr="00A428C3" w:rsidRDefault="00B95188" w:rsidP="00B95188">
      <w:pPr>
        <w:pStyle w:val="a0"/>
      </w:pPr>
      <w:r w:rsidRPr="00A428C3">
        <w:t>RESULTS: A moderately increased absorption of As, leading to a 3-to 4-fold higher urinary excretion (35 micrograms/day as compared with 6-10 micrograms As/day in nonexposed subjects) did not enhance the mortality by diseases of the nervous system, liver</w:t>
      </w:r>
      <w:r w:rsidR="00F81221">
        <w:t xml:space="preserve"> and </w:t>
      </w:r>
      <w:r w:rsidRPr="00A428C3">
        <w:t>heart,</w:t>
      </w:r>
      <w:r w:rsidR="00F81221">
        <w:t xml:space="preserve"> and </w:t>
      </w:r>
      <w:r w:rsidRPr="00A428C3">
        <w:t>cancers. An increase in mortality by lung cancer, however, was observed in men but not women living around zinc smelters</w:t>
      </w:r>
      <w:r w:rsidR="00F81221">
        <w:t xml:space="preserve"> and </w:t>
      </w:r>
      <w:r w:rsidRPr="00A428C3">
        <w:t>might be related to past occupational exposure and/or smoking habits.</w:t>
      </w:r>
    </w:p>
    <w:p w:rsidR="00B95188" w:rsidRPr="00A428C3" w:rsidRDefault="00B95188" w:rsidP="00B95188">
      <w:pPr>
        <w:pStyle w:val="a0"/>
      </w:pPr>
      <w:r w:rsidRPr="00A428C3">
        <w:t>CONCLUSION: A low to moderate level of environmental exposure to inorganic arsenic (0.3 microgram As/m</w:t>
      </w:r>
      <w:r w:rsidRPr="00A428C3">
        <w:rPr>
          <w:vertAlign w:val="superscript"/>
        </w:rPr>
        <w:t>3</w:t>
      </w:r>
      <w:r w:rsidRPr="00A428C3">
        <w:t xml:space="preserve"> of air; 20-50 micrograms As/l of drinking water) does not seem to affect the causes of mortality, suggesting in particular nonlinearity of the dose-response relationship for arsenic</w:t>
      </w:r>
      <w:r w:rsidR="00F81221">
        <w:t xml:space="preserve"> and </w:t>
      </w:r>
      <w:r w:rsidRPr="00A428C3">
        <w:t>cancer.</w:t>
      </w:r>
    </w:p>
    <w:p w:rsidR="00B95188" w:rsidRPr="00A428C3" w:rsidRDefault="00B95188" w:rsidP="00B95188">
      <w:pPr>
        <w:pStyle w:val="a0"/>
      </w:pPr>
      <w:r w:rsidRPr="00A428C3">
        <w:t>Anderson, L. (1999), History of CAIA</w:t>
      </w:r>
      <w:r w:rsidR="00F81221">
        <w:t xml:space="preserve"> and </w:t>
      </w:r>
      <w:r w:rsidRPr="00A428C3">
        <w:t>responsible care in South Africa</w:t>
      </w:r>
      <w:r w:rsidR="00F81221">
        <w:t xml:space="preserve"> and </w:t>
      </w:r>
      <w:r w:rsidRPr="00A428C3">
        <w:t xml:space="preserve">current initiatives. </w:t>
      </w:r>
      <w:r w:rsidRPr="00A428C3">
        <w:rPr>
          <w:i/>
          <w:iCs/>
        </w:rPr>
        <w:t>International Archives of Occupational</w:t>
      </w:r>
      <w:r w:rsidR="00F81221">
        <w:rPr>
          <w:i/>
          <w:iCs/>
        </w:rPr>
        <w:t xml:space="preserve"> and </w:t>
      </w:r>
      <w:r w:rsidRPr="00A428C3">
        <w:rPr>
          <w:i/>
          <w:iCs/>
        </w:rPr>
        <w:t>Environmental Health</w:t>
      </w:r>
      <w:r w:rsidRPr="00A428C3">
        <w:t xml:space="preserve">, </w:t>
      </w:r>
      <w:r w:rsidRPr="00A428C3">
        <w:rPr>
          <w:b/>
        </w:rPr>
        <w:t>72</w:t>
      </w:r>
      <w:r w:rsidRPr="00A428C3">
        <w:t>, M5-M7, Suppl.</w:t>
      </w:r>
    </w:p>
    <w:p w:rsidR="00B95188" w:rsidRPr="00A428C3" w:rsidRDefault="00B95188" w:rsidP="00B95188">
      <w:pPr>
        <w:pStyle w:val="a0"/>
      </w:pPr>
      <w:r w:rsidRPr="00A428C3">
        <w:t xml:space="preserve">Full Text: </w:t>
      </w:r>
      <w:hyperlink r:id="rId1569" w:history="1">
        <w:r w:rsidRPr="00A428C3">
          <w:rPr>
            <w:rStyle w:val="a5"/>
          </w:rPr>
          <w:t>I\Int Arc Occ Env Hea72, M5.pdf</w:t>
        </w:r>
      </w:hyperlink>
    </w:p>
    <w:p w:rsidR="00B95188" w:rsidRPr="00A428C3" w:rsidRDefault="00B95188" w:rsidP="00B95188">
      <w:pPr>
        <w:pStyle w:val="a0"/>
      </w:pPr>
      <w:r w:rsidRPr="00A428C3">
        <w:t>Schuckmann, F. (1999), Occupational</w:t>
      </w:r>
      <w:r w:rsidR="00F81221">
        <w:t xml:space="preserve"> and </w:t>
      </w:r>
      <w:r w:rsidRPr="00A428C3">
        <w:t xml:space="preserve">environmental medicine: A component of responsible care in the chemical industry. </w:t>
      </w:r>
      <w:r w:rsidRPr="00A428C3">
        <w:rPr>
          <w:i/>
          <w:iCs/>
        </w:rPr>
        <w:t>International Archives of Occupational</w:t>
      </w:r>
      <w:r w:rsidR="00F81221">
        <w:rPr>
          <w:i/>
          <w:iCs/>
        </w:rPr>
        <w:t xml:space="preserve"> and </w:t>
      </w:r>
      <w:r w:rsidRPr="00A428C3">
        <w:rPr>
          <w:i/>
          <w:iCs/>
        </w:rPr>
        <w:t>Environmental Health</w:t>
      </w:r>
      <w:r w:rsidRPr="00A428C3">
        <w:t xml:space="preserve">, </w:t>
      </w:r>
      <w:r w:rsidRPr="00A428C3">
        <w:rPr>
          <w:b/>
        </w:rPr>
        <w:t>72</w:t>
      </w:r>
      <w:r w:rsidRPr="00A428C3">
        <w:t>, M8-M10, Suppl.</w:t>
      </w:r>
    </w:p>
    <w:p w:rsidR="00B95188" w:rsidRPr="00A428C3" w:rsidRDefault="00B95188" w:rsidP="00B95188">
      <w:pPr>
        <w:pStyle w:val="a0"/>
      </w:pPr>
      <w:r w:rsidRPr="00A428C3">
        <w:t xml:space="preserve">Full Text: </w:t>
      </w:r>
      <w:hyperlink r:id="rId1570" w:history="1">
        <w:r w:rsidRPr="00A428C3">
          <w:rPr>
            <w:rStyle w:val="a5"/>
          </w:rPr>
          <w:t>I\Int Arc Occ Env Hea72, M8.pdf</w:t>
        </w:r>
      </w:hyperlink>
    </w:p>
    <w:p w:rsidR="00B95188" w:rsidRPr="00A428C3" w:rsidRDefault="00B95188" w:rsidP="00B95188">
      <w:pPr>
        <w:pStyle w:val="a0"/>
        <w:rPr>
          <w:rFonts w:eastAsia="Arial Unicode MS"/>
        </w:rPr>
      </w:pPr>
      <w:r w:rsidRPr="00A428C3">
        <w:t>Abstract: Safety, environmental protection</w:t>
      </w:r>
      <w:r w:rsidR="00F81221">
        <w:t xml:space="preserve"> and </w:t>
      </w:r>
      <w:r w:rsidRPr="00A428C3">
        <w:t xml:space="preserve">health are the three key elements of the responsible fare program of the chemical industry in </w:t>
      </w:r>
      <w:smartTag w:uri="urn:schemas-microsoft-com:office:smarttags" w:element="place">
        <w:r w:rsidRPr="00A428C3">
          <w:t>Europe</w:t>
        </w:r>
      </w:smartTag>
      <w:r w:rsidRPr="00A428C3">
        <w:t>. A paper concerning these points has just been published by CEFIC. Health protection focuses on three target groups: workers, neighborhood residents</w:t>
      </w:r>
      <w:r w:rsidR="00F81221">
        <w:t xml:space="preserve"> and </w:t>
      </w:r>
      <w:r w:rsidRPr="00A428C3">
        <w:t>customers. With regard to health protection of the, workers occupational medical prevention plays the central role. In addition, acute treatment, documentation</w:t>
      </w:r>
      <w:r w:rsidR="00F81221">
        <w:t xml:space="preserve"> and </w:t>
      </w:r>
      <w:r w:rsidRPr="00A428C3">
        <w:t>evaluation of the data, risk management</w:t>
      </w:r>
      <w:r w:rsidR="00F81221">
        <w:t xml:space="preserve"> and </w:t>
      </w:r>
      <w:r w:rsidRPr="00A428C3">
        <w:t>special preventive programs are of significance.</w:t>
      </w:r>
    </w:p>
    <w:p w:rsidR="00B95188" w:rsidRPr="00A428C3" w:rsidRDefault="00B95188" w:rsidP="00B95188">
      <w:pPr>
        <w:pStyle w:val="a0"/>
      </w:pPr>
      <w:r w:rsidRPr="00A428C3">
        <w:t xml:space="preserve">The protection of the neighborhood residents includes a well-functioning management </w:t>
      </w:r>
      <w:r w:rsidRPr="00A428C3">
        <w:lastRenderedPageBreak/>
        <w:t>of chemical plant incidents</w:t>
      </w:r>
      <w:r w:rsidR="00F81221">
        <w:t xml:space="preserve"> and </w:t>
      </w:r>
      <w:r w:rsidRPr="00A428C3">
        <w:t>effective, open risk communication. Consumer protection in general means the professional information including the provision of special expertise or scientific documentation concerning particular products. The advantages of responsible care, especially health protection, benefits the workers as well as the employer, the residents in the neighborhood</w:t>
      </w:r>
      <w:r w:rsidR="00F81221">
        <w:t xml:space="preserve"> and </w:t>
      </w:r>
      <w:r w:rsidRPr="00A428C3">
        <w:t>the customers. Logically these advantages should be expressed in performance measures. This includes process, outcome</w:t>
      </w:r>
      <w:r w:rsidR="00F81221">
        <w:t xml:space="preserve"> and </w:t>
      </w:r>
      <w:r w:rsidRPr="00A428C3">
        <w:t>impact evaluation.</w:t>
      </w:r>
    </w:p>
    <w:p w:rsidR="00B95188" w:rsidRPr="00A428C3" w:rsidRDefault="00B95188" w:rsidP="00B95188">
      <w:pPr>
        <w:pStyle w:val="a0"/>
      </w:pPr>
      <w:r w:rsidRPr="00A428C3">
        <w:t>Occupational</w:t>
      </w:r>
      <w:r w:rsidR="00F81221">
        <w:t xml:space="preserve"> and </w:t>
      </w:r>
      <w:r w:rsidRPr="00A428C3">
        <w:t>environmental medicine is increasingly facing the question of cost/benefit analysis. The answer is certainly difficult, because it is dependent on national</w:t>
      </w:r>
      <w:r w:rsidR="00F81221">
        <w:t xml:space="preserve"> and </w:t>
      </w:r>
      <w:r w:rsidRPr="00A428C3">
        <w:t>cultural factors as well as specific legal regulation. Therefore exact documentation in the held of health protection is of great importance.</w:t>
      </w:r>
    </w:p>
    <w:p w:rsidR="00B95188" w:rsidRPr="00A428C3" w:rsidRDefault="00B95188" w:rsidP="00B95188">
      <w:pPr>
        <w:pStyle w:val="a0"/>
      </w:pPr>
      <w:r w:rsidRPr="00A428C3">
        <w:t>Keywords: Environmental Health, Employees</w:t>
      </w:r>
      <w:r w:rsidR="000352E7">
        <w:t>’</w:t>
      </w:r>
      <w:r w:rsidRPr="00A428C3">
        <w:t xml:space="preserve"> Health Service, Occupational Health Service</w:t>
      </w:r>
    </w:p>
    <w:p w:rsidR="0031722D" w:rsidRPr="00217FB1" w:rsidRDefault="0031722D" w:rsidP="0031722D">
      <w:pPr>
        <w:pStyle w:val="1"/>
      </w:pPr>
      <w:r w:rsidRPr="00217FB1">
        <w:br w:type="page"/>
      </w:r>
      <w:bookmarkStart w:id="1127" w:name="_Toc238863035"/>
      <w:bookmarkStart w:id="1128" w:name="_Toc317161213"/>
      <w:r w:rsidRPr="00217FB1">
        <w:lastRenderedPageBreak/>
        <w:t xml:space="preserve">Title: </w:t>
      </w:r>
      <w:r w:rsidRPr="00194D40">
        <w:t>International Association of Marine Science Libraries</w:t>
      </w:r>
      <w:r w:rsidR="00F81221">
        <w:t xml:space="preserve"> and </w:t>
      </w:r>
      <w:r w:rsidRPr="00194D40">
        <w:t>Information</w:t>
      </w:r>
      <w:bookmarkEnd w:id="1127"/>
      <w:bookmarkEnd w:id="1128"/>
    </w:p>
    <w:p w:rsidR="0031722D" w:rsidRPr="00217FB1" w:rsidRDefault="0031722D" w:rsidP="00B72EF9">
      <w:pPr>
        <w:pStyle w:val="12"/>
      </w:pPr>
      <w:r w:rsidRPr="00217FB1">
        <w:t xml:space="preserve">Full Journal Title: </w:t>
      </w:r>
      <w:r w:rsidRPr="00194D40">
        <w:t>International Association of Marine Science Libraries</w:t>
      </w:r>
      <w:r w:rsidR="00F81221">
        <w:t xml:space="preserve"> and </w:t>
      </w:r>
      <w:r w:rsidRPr="00194D40">
        <w:t>Information</w:t>
      </w:r>
    </w:p>
    <w:p w:rsidR="0031722D" w:rsidRPr="00217FB1" w:rsidRDefault="0031722D" w:rsidP="00B72EF9">
      <w:pPr>
        <w:pStyle w:val="12"/>
      </w:pPr>
      <w:r w:rsidRPr="00217FB1">
        <w:t xml:space="preserve">ISO Abbreviated Title: </w:t>
      </w:r>
    </w:p>
    <w:p w:rsidR="0031722D" w:rsidRPr="00217FB1" w:rsidRDefault="0031722D" w:rsidP="00B72EF9">
      <w:pPr>
        <w:pStyle w:val="12"/>
      </w:pPr>
      <w:r w:rsidRPr="00217FB1">
        <w:t>JCR Abbreviated Title</w:t>
      </w:r>
      <w:r>
        <w:t>:</w:t>
      </w:r>
      <w:r w:rsidRPr="00217FB1">
        <w:t xml:space="preserve"> </w:t>
      </w:r>
    </w:p>
    <w:p w:rsidR="0031722D" w:rsidRPr="00FF15F2" w:rsidRDefault="0031722D" w:rsidP="00B72EF9">
      <w:pPr>
        <w:pStyle w:val="12"/>
      </w:pPr>
      <w:r>
        <w:t xml:space="preserve">ISSN: </w:t>
      </w:r>
    </w:p>
    <w:p w:rsidR="0031722D" w:rsidRDefault="0031722D" w:rsidP="00B72EF9">
      <w:pPr>
        <w:pStyle w:val="12"/>
      </w:pPr>
      <w:r w:rsidRPr="00194D40">
        <w:t>IDS Number: BN07M</w:t>
      </w:r>
    </w:p>
    <w:p w:rsidR="0031722D" w:rsidRPr="00217FB1" w:rsidRDefault="0031722D" w:rsidP="00B72EF9">
      <w:pPr>
        <w:pStyle w:val="12"/>
      </w:pPr>
      <w:r w:rsidRPr="00217FB1">
        <w:t xml:space="preserve">Issues/Year: </w:t>
      </w:r>
    </w:p>
    <w:p w:rsidR="0031722D" w:rsidRPr="00217FB1" w:rsidRDefault="00FB5623" w:rsidP="00B72EF9">
      <w:pPr>
        <w:pStyle w:val="12"/>
      </w:pPr>
      <w:r>
        <w:t>Journal Country/Territory:</w:t>
      </w:r>
      <w:r w:rsidR="0031722D">
        <w:t xml:space="preserve"> </w:t>
      </w:r>
    </w:p>
    <w:p w:rsidR="0031722D" w:rsidRPr="00217FB1" w:rsidRDefault="0031722D" w:rsidP="00B72EF9">
      <w:pPr>
        <w:pStyle w:val="12"/>
      </w:pPr>
      <w:r w:rsidRPr="00217FB1">
        <w:t xml:space="preserve">Language: </w:t>
      </w:r>
    </w:p>
    <w:p w:rsidR="0031722D" w:rsidRPr="00217FB1" w:rsidRDefault="0031722D" w:rsidP="00B72EF9">
      <w:pPr>
        <w:pStyle w:val="12"/>
      </w:pPr>
      <w:r w:rsidRPr="00217FB1">
        <w:t xml:space="preserve">Publisher: </w:t>
      </w:r>
    </w:p>
    <w:p w:rsidR="0031722D" w:rsidRPr="00217FB1" w:rsidRDefault="0031722D" w:rsidP="00B72EF9">
      <w:pPr>
        <w:pStyle w:val="12"/>
      </w:pPr>
      <w:r w:rsidRPr="00217FB1">
        <w:t xml:space="preserve">Publisher Address: </w:t>
      </w:r>
    </w:p>
    <w:p w:rsidR="0031722D" w:rsidRPr="00217FB1" w:rsidRDefault="0031722D" w:rsidP="00B72EF9">
      <w:pPr>
        <w:pStyle w:val="12"/>
      </w:pPr>
      <w:r w:rsidRPr="00217FB1">
        <w:t>Subject Categories:</w:t>
      </w:r>
    </w:p>
    <w:p w:rsidR="0031722D" w:rsidRPr="00217FB1" w:rsidRDefault="0031722D" w:rsidP="00B72EF9">
      <w:pPr>
        <w:pStyle w:val="12"/>
      </w:pPr>
      <w:r w:rsidRPr="00217FB1">
        <w:t>: Impact Factor</w:t>
      </w:r>
    </w:p>
    <w:p w:rsidR="0031722D" w:rsidRPr="00430811" w:rsidRDefault="0031722D" w:rsidP="0031722D">
      <w:pPr>
        <w:pStyle w:val="a0"/>
      </w:pPr>
      <w:r w:rsidRPr="00430811">
        <w:rPr>
          <w:rFonts w:hint="eastAsia"/>
        </w:rPr>
        <w:t xml:space="preserve">? </w:t>
      </w:r>
      <w:r w:rsidRPr="00430811">
        <w:t>McPhail, A.S.</w:t>
      </w:r>
      <w:r w:rsidR="00F81221">
        <w:t xml:space="preserve"> and </w:t>
      </w:r>
      <w:r w:rsidRPr="00430811">
        <w:t>Crampton, M. (1999), FISHLIT, a review of NISC South Africa</w:t>
      </w:r>
      <w:r w:rsidR="000352E7">
        <w:t>’</w:t>
      </w:r>
      <w:r w:rsidRPr="00430811">
        <w:t xml:space="preserve">s aquatic sciences database. </w:t>
      </w:r>
      <w:r w:rsidRPr="00194D40">
        <w:rPr>
          <w:i/>
          <w:iCs/>
        </w:rPr>
        <w:t>International Association of Marine Science Libraries</w:t>
      </w:r>
      <w:r w:rsidR="00F81221">
        <w:rPr>
          <w:i/>
          <w:iCs/>
        </w:rPr>
        <w:t xml:space="preserve"> and </w:t>
      </w:r>
      <w:r w:rsidRPr="00194D40">
        <w:rPr>
          <w:i/>
          <w:iCs/>
        </w:rPr>
        <w:t>Information</w:t>
      </w:r>
      <w:r w:rsidRPr="00430811">
        <w:t>, 155-166.</w:t>
      </w:r>
    </w:p>
    <w:p w:rsidR="0031722D" w:rsidRPr="00430811" w:rsidRDefault="0031722D" w:rsidP="0031722D">
      <w:pPr>
        <w:pStyle w:val="a0"/>
      </w:pPr>
      <w:r w:rsidRPr="00430811">
        <w:t>Abstract: FISHLIT, a bibliographic database on fish fisheries</w:t>
      </w:r>
      <w:r w:rsidR="00F81221">
        <w:t xml:space="preserve"> and </w:t>
      </w:r>
      <w:r w:rsidRPr="00430811">
        <w:t>aquaculture produced by NISC South Africa, has been in existence since 1985</w:t>
      </w:r>
      <w:r w:rsidR="00F81221">
        <w:t xml:space="preserve"> and </w:t>
      </w:r>
      <w:r w:rsidRPr="00430811">
        <w:t>is currently available on CD-ROM, being included on the NISC publications Aquatic Biology, Aquaculture</w:t>
      </w:r>
      <w:r w:rsidR="00F81221">
        <w:t xml:space="preserve"> and </w:t>
      </w:r>
      <w:r w:rsidRPr="00430811">
        <w:t>Fisheries Resources,</w:t>
      </w:r>
      <w:r w:rsidR="00F81221">
        <w:t xml:space="preserve"> and </w:t>
      </w:r>
      <w:r w:rsidRPr="00430811">
        <w:t>Fish</w:t>
      </w:r>
      <w:r w:rsidR="00F81221">
        <w:t xml:space="preserve"> and </w:t>
      </w:r>
      <w:r w:rsidRPr="00430811">
        <w:t>Fisheries Worldwide,</w:t>
      </w:r>
      <w:r w:rsidR="00F81221">
        <w:t xml:space="preserve"> and </w:t>
      </w:r>
      <w:r w:rsidRPr="00430811">
        <w:t>the lnternet. An historical account of the design</w:t>
      </w:r>
      <w:r w:rsidR="00F81221">
        <w:t xml:space="preserve"> and </w:t>
      </w:r>
      <w:r w:rsidRPr="00430811">
        <w:t>development of FISHLIT, including a description of the data structure, database size</w:t>
      </w:r>
      <w:r w:rsidR="00F81221">
        <w:t xml:space="preserve"> and </w:t>
      </w:r>
      <w:r w:rsidRPr="00430811">
        <w:t>growth, is provided. A breakdown of source material, for example scientific articles, reports, popular articles</w:t>
      </w:r>
      <w:r w:rsidR="00F81221">
        <w:t xml:space="preserve"> and </w:t>
      </w:r>
      <w:r w:rsidRPr="00430811">
        <w:t>books, is given, as well as the grey literature indexed, a notable strength of this database. A bibliometric analysis is made of the two anthology CD-ROM titles on which FISHLIT is published in terms of subject coverage</w:t>
      </w:r>
      <w:r w:rsidR="00F81221">
        <w:t xml:space="preserve"> and </w:t>
      </w:r>
      <w:r w:rsidRPr="00430811">
        <w:t>numbers of records. Topic coverage is graphically presented</w:t>
      </w:r>
      <w:r w:rsidR="00F81221">
        <w:t xml:space="preserve"> and </w:t>
      </w:r>
      <w:r w:rsidRPr="00430811">
        <w:t>the application of FISHLIT to areas of aquatic science, such as ichthyology, aquaculture</w:t>
      </w:r>
      <w:r w:rsidR="00F81221">
        <w:t xml:space="preserve"> and </w:t>
      </w:r>
      <w:r w:rsidRPr="00430811">
        <w:t>fisheries management, is discussed. Comparisons are drawn between FISHLIT</w:t>
      </w:r>
      <w:r w:rsidR="00F81221">
        <w:t xml:space="preserve"> and </w:t>
      </w:r>
      <w:r w:rsidRPr="00430811">
        <w:t>other currently available aquatic science databases.</w:t>
      </w:r>
    </w:p>
    <w:p w:rsidR="0031722D" w:rsidRPr="00430811" w:rsidRDefault="0031722D" w:rsidP="0031722D">
      <w:pPr>
        <w:pStyle w:val="a0"/>
      </w:pPr>
      <w:r w:rsidRPr="00430811">
        <w:t xml:space="preserve">Keywords: Africa, Analysis, Application, Aquaculture, Aquatic Science, Bibliographic Database, Bibliometric, Bibliometric Analysis, CD-ROM, Coverage, Data, Data Collection, Data Structure, Database, Database Production, Databases, Design, Development, Fish, Fisheries, Fisheries Management, Growth, Information Technology, Literature, Management, Publications, Records, Resources, Review, </w:t>
      </w:r>
      <w:r w:rsidRPr="00430811">
        <w:lastRenderedPageBreak/>
        <w:t>Science, Sciences, Size, Source, South Africa, Strength, Structure</w:t>
      </w:r>
    </w:p>
    <w:p w:rsidR="00C632D8" w:rsidRPr="00A428C3" w:rsidRDefault="00C632D8" w:rsidP="00C632D8">
      <w:pPr>
        <w:pStyle w:val="1"/>
      </w:pPr>
      <w:r w:rsidRPr="00A428C3">
        <w:br w:type="page"/>
      </w:r>
      <w:bookmarkStart w:id="1129" w:name="_Toc238863037"/>
      <w:bookmarkStart w:id="1130" w:name="_Toc317161214"/>
      <w:r w:rsidRPr="00A428C3">
        <w:lastRenderedPageBreak/>
        <w:t xml:space="preserve">Title: </w:t>
      </w:r>
      <w:r w:rsidRPr="00773882">
        <w:t>2006 1st International Conference on Digital Information Management</w:t>
      </w:r>
      <w:bookmarkEnd w:id="1129"/>
      <w:bookmarkEnd w:id="1130"/>
    </w:p>
    <w:p w:rsidR="00C632D8" w:rsidRPr="00A428C3" w:rsidRDefault="00C632D8" w:rsidP="00B72EF9">
      <w:pPr>
        <w:pStyle w:val="12"/>
      </w:pPr>
      <w:r w:rsidRPr="00A428C3">
        <w:t xml:space="preserve">Full Journal Title: </w:t>
      </w:r>
      <w:r w:rsidRPr="00773882">
        <w:t>2006 1st International Conference on Digital Information Management</w:t>
      </w:r>
    </w:p>
    <w:p w:rsidR="00C632D8" w:rsidRPr="00A428C3" w:rsidRDefault="00C632D8" w:rsidP="00B72EF9">
      <w:pPr>
        <w:pStyle w:val="12"/>
      </w:pPr>
      <w:r w:rsidRPr="00A428C3">
        <w:t xml:space="preserve">ISO Abbreviated Title: </w:t>
      </w:r>
    </w:p>
    <w:p w:rsidR="00C632D8" w:rsidRPr="00A428C3" w:rsidRDefault="00C632D8" w:rsidP="00B72EF9">
      <w:pPr>
        <w:pStyle w:val="12"/>
      </w:pPr>
      <w:r w:rsidRPr="00A428C3">
        <w:t xml:space="preserve">JCR Abbreviated Title: </w:t>
      </w:r>
    </w:p>
    <w:p w:rsidR="00C632D8" w:rsidRPr="00A428C3" w:rsidRDefault="00C632D8" w:rsidP="00B72EF9">
      <w:pPr>
        <w:pStyle w:val="12"/>
      </w:pPr>
      <w:r w:rsidRPr="00A428C3">
        <w:t xml:space="preserve">ISSN: </w:t>
      </w:r>
    </w:p>
    <w:p w:rsidR="00C632D8" w:rsidRPr="00A428C3" w:rsidRDefault="00C632D8" w:rsidP="00B72EF9">
      <w:pPr>
        <w:pStyle w:val="12"/>
      </w:pPr>
      <w:r w:rsidRPr="00A428C3">
        <w:t xml:space="preserve">Issues/Year: </w:t>
      </w:r>
    </w:p>
    <w:p w:rsidR="00C632D8" w:rsidRPr="00A428C3" w:rsidRDefault="00C632D8" w:rsidP="00B72EF9">
      <w:pPr>
        <w:pStyle w:val="12"/>
      </w:pPr>
      <w:r w:rsidRPr="00A428C3">
        <w:t xml:space="preserve">Journal Country/Territory: </w:t>
      </w:r>
    </w:p>
    <w:p w:rsidR="00C632D8" w:rsidRPr="00A428C3" w:rsidRDefault="00C632D8" w:rsidP="00B72EF9">
      <w:pPr>
        <w:pStyle w:val="12"/>
      </w:pPr>
      <w:r w:rsidRPr="00A428C3">
        <w:t xml:space="preserve">Language: </w:t>
      </w:r>
    </w:p>
    <w:p w:rsidR="00C632D8" w:rsidRPr="00A428C3" w:rsidRDefault="00C632D8" w:rsidP="00B72EF9">
      <w:pPr>
        <w:pStyle w:val="12"/>
      </w:pPr>
      <w:r w:rsidRPr="00A428C3">
        <w:t xml:space="preserve">Publisher: </w:t>
      </w:r>
    </w:p>
    <w:p w:rsidR="00C632D8" w:rsidRPr="00A428C3" w:rsidRDefault="00C632D8" w:rsidP="00B72EF9">
      <w:pPr>
        <w:pStyle w:val="12"/>
      </w:pPr>
      <w:r w:rsidRPr="00A428C3">
        <w:t xml:space="preserve">Publisher Address: </w:t>
      </w:r>
    </w:p>
    <w:p w:rsidR="00C632D8" w:rsidRPr="00A428C3" w:rsidRDefault="00C632D8" w:rsidP="00B72EF9">
      <w:pPr>
        <w:pStyle w:val="12"/>
      </w:pPr>
      <w:r w:rsidRPr="00A428C3">
        <w:t>Subject Categories:</w:t>
      </w:r>
    </w:p>
    <w:p w:rsidR="00C632D8" w:rsidRPr="003005A7" w:rsidRDefault="00C632D8" w:rsidP="00C632D8">
      <w:pPr>
        <w:pStyle w:val="a0"/>
      </w:pPr>
      <w:r w:rsidRPr="003005A7">
        <w:rPr>
          <w:rFonts w:hint="eastAsia"/>
        </w:rPr>
        <w:t xml:space="preserve">? </w:t>
      </w:r>
      <w:r w:rsidRPr="003005A7">
        <w:t>Kretschmer, H.</w:t>
      </w:r>
      <w:r w:rsidR="00F81221">
        <w:t xml:space="preserve"> and </w:t>
      </w:r>
      <w:r w:rsidRPr="003005A7">
        <w:t>Kretschmer, T. (2006), Application of a new centrality measure for social network analysis to Bibliometric</w:t>
      </w:r>
      <w:r w:rsidR="00F81221">
        <w:t xml:space="preserve"> and </w:t>
      </w:r>
      <w:r w:rsidRPr="003005A7">
        <w:t xml:space="preserve">webometric data. </w:t>
      </w:r>
      <w:r w:rsidRPr="003005A7">
        <w:rPr>
          <w:i/>
          <w:iCs/>
        </w:rPr>
        <w:t>2006 1st International Conference on Digital Information Management</w:t>
      </w:r>
      <w:r w:rsidRPr="003005A7">
        <w:t>, 199-204.</w:t>
      </w:r>
    </w:p>
    <w:p w:rsidR="00C632D8" w:rsidRPr="003005A7" w:rsidRDefault="00C632D8" w:rsidP="00C632D8">
      <w:pPr>
        <w:pStyle w:val="a0"/>
      </w:pPr>
      <w:r w:rsidRPr="003005A7">
        <w:t>Abstract: There is a, rapid increase of network analysis in several scientific disciplines beginning some decades ago. In the literature there are few studies on networks with weighted ties since they not only need more complex formulas but need a process of quantification when quantitative empirical data are not directly available. However quantitative empirical data are directly available under the condition of using bibliometric or webometric data. In conclusion a new Complex Measure of the Degree Centrality is introduced including weighted ties possible for use of the analysis of co-authorship or citation networks. Both co-authorship relations</w:t>
      </w:r>
      <w:r w:rsidR="00F81221">
        <w:t xml:space="preserve"> and </w:t>
      </w:r>
      <w:r w:rsidRPr="003005A7">
        <w:t>citations are well quantified data (weighted ties). This new measure is applied to a bibliographic co-authorship network</w:t>
      </w:r>
      <w:r w:rsidR="00F81221">
        <w:t xml:space="preserve"> and </w:t>
      </w:r>
      <w:r w:rsidRPr="003005A7">
        <w:t>its reflection on the Web as an example. The new measures of degree centrality show the whole network on the Web has a more centralized structure than the bibliographic network.</w:t>
      </w:r>
    </w:p>
    <w:p w:rsidR="00C23F8D" w:rsidRPr="001A3D2B" w:rsidRDefault="00C23F8D" w:rsidP="00C23F8D">
      <w:pPr>
        <w:pStyle w:val="1"/>
      </w:pPr>
      <w:r w:rsidRPr="001A3D2B">
        <w:br w:type="page"/>
      </w:r>
      <w:bookmarkStart w:id="1131" w:name="_Toc317161215"/>
      <w:r w:rsidRPr="001A3D2B">
        <w:lastRenderedPageBreak/>
        <w:t xml:space="preserve">Title: </w:t>
      </w:r>
      <w:r>
        <w:t>2009 17th International Conference on Geoinformatics, Vols 1</w:t>
      </w:r>
      <w:r w:rsidR="00F81221">
        <w:t xml:space="preserve"> and </w:t>
      </w:r>
      <w:r>
        <w:t>2</w:t>
      </w:r>
      <w:bookmarkEnd w:id="1131"/>
    </w:p>
    <w:p w:rsidR="00C23F8D" w:rsidRPr="001A3D2B" w:rsidRDefault="00C23F8D" w:rsidP="00B72EF9">
      <w:pPr>
        <w:pStyle w:val="12"/>
      </w:pPr>
      <w:r w:rsidRPr="001A3D2B">
        <w:t xml:space="preserve">Full Journal Title: </w:t>
      </w:r>
      <w:r>
        <w:t>2009 17th International Conference on Geoinformatics, Vols 1</w:t>
      </w:r>
      <w:r w:rsidR="00F81221">
        <w:t xml:space="preserve"> and </w:t>
      </w:r>
      <w:r>
        <w:t>2</w:t>
      </w:r>
    </w:p>
    <w:p w:rsidR="00C23F8D" w:rsidRPr="001A3D2B" w:rsidRDefault="00C23F8D" w:rsidP="00B72EF9">
      <w:pPr>
        <w:pStyle w:val="12"/>
      </w:pPr>
      <w:r w:rsidRPr="001A3D2B">
        <w:t xml:space="preserve">ISO Abbreviated Title: </w:t>
      </w:r>
    </w:p>
    <w:p w:rsidR="00C23F8D" w:rsidRPr="001A3D2B" w:rsidRDefault="00C23F8D" w:rsidP="00B72EF9">
      <w:pPr>
        <w:pStyle w:val="12"/>
      </w:pPr>
      <w:r w:rsidRPr="001A3D2B">
        <w:t xml:space="preserve">JCR Abbreviated Title: </w:t>
      </w:r>
    </w:p>
    <w:p w:rsidR="00C23F8D" w:rsidRPr="001A3D2B" w:rsidRDefault="00C23F8D" w:rsidP="00B72EF9">
      <w:pPr>
        <w:pStyle w:val="12"/>
      </w:pPr>
      <w:r w:rsidRPr="001A3D2B">
        <w:t xml:space="preserve">ISSN: </w:t>
      </w:r>
    </w:p>
    <w:p w:rsidR="00C23F8D" w:rsidRPr="001A3D2B" w:rsidRDefault="00C23F8D" w:rsidP="00B72EF9">
      <w:pPr>
        <w:pStyle w:val="12"/>
      </w:pPr>
      <w:r w:rsidRPr="001A3D2B">
        <w:t xml:space="preserve">Issues/Year: </w:t>
      </w:r>
    </w:p>
    <w:p w:rsidR="00C23F8D" w:rsidRPr="001A3D2B" w:rsidRDefault="00C23F8D" w:rsidP="00B72EF9">
      <w:pPr>
        <w:pStyle w:val="12"/>
      </w:pPr>
      <w:r w:rsidRPr="001A3D2B">
        <w:t xml:space="preserve">Journal Country/Territory: </w:t>
      </w:r>
    </w:p>
    <w:p w:rsidR="00C23F8D" w:rsidRPr="001A3D2B" w:rsidRDefault="00C23F8D" w:rsidP="00B72EF9">
      <w:pPr>
        <w:pStyle w:val="12"/>
      </w:pPr>
      <w:r w:rsidRPr="001A3D2B">
        <w:t xml:space="preserve">Language: </w:t>
      </w:r>
    </w:p>
    <w:p w:rsidR="00C23F8D" w:rsidRPr="001A3D2B" w:rsidRDefault="00C23F8D" w:rsidP="00B72EF9">
      <w:pPr>
        <w:pStyle w:val="12"/>
      </w:pPr>
      <w:r w:rsidRPr="001A3D2B">
        <w:t xml:space="preserve">Publisher: </w:t>
      </w:r>
    </w:p>
    <w:p w:rsidR="00C23F8D" w:rsidRPr="001A3D2B" w:rsidRDefault="00C23F8D" w:rsidP="00B72EF9">
      <w:pPr>
        <w:pStyle w:val="12"/>
      </w:pPr>
      <w:r w:rsidRPr="001A3D2B">
        <w:t xml:space="preserve">Publisher Address: </w:t>
      </w:r>
    </w:p>
    <w:p w:rsidR="00C23F8D" w:rsidRPr="001A3D2B" w:rsidRDefault="00C23F8D" w:rsidP="00B72EF9">
      <w:pPr>
        <w:pStyle w:val="12"/>
      </w:pPr>
      <w:r w:rsidRPr="001A3D2B">
        <w:t>Subject Categories:</w:t>
      </w:r>
    </w:p>
    <w:p w:rsidR="00C23F8D" w:rsidRDefault="00C23F8D" w:rsidP="00C23F8D">
      <w:pPr>
        <w:pStyle w:val="a0"/>
      </w:pPr>
      <w:r w:rsidRPr="001A3D2B">
        <w:t xml:space="preserve">? </w:t>
      </w:r>
      <w:r>
        <w:t>Chen</w:t>
      </w:r>
      <w:r>
        <w:rPr>
          <w:rFonts w:hint="eastAsia"/>
        </w:rPr>
        <w:t>,</w:t>
      </w:r>
      <w:r>
        <w:t xml:space="preserve"> Z</w:t>
      </w:r>
      <w:r>
        <w:rPr>
          <w:rFonts w:hint="eastAsia"/>
        </w:rPr>
        <w:t>.</w:t>
      </w:r>
      <w:r>
        <w:t>Q</w:t>
      </w:r>
      <w:r>
        <w:rPr>
          <w:rFonts w:hint="eastAsia"/>
        </w:rPr>
        <w:t>.</w:t>
      </w:r>
      <w:r w:rsidR="00F81221">
        <w:rPr>
          <w:rFonts w:hint="eastAsia"/>
        </w:rPr>
        <w:t xml:space="preserve"> and </w:t>
      </w:r>
      <w:r>
        <w:t>Chen</w:t>
      </w:r>
      <w:r>
        <w:rPr>
          <w:rFonts w:hint="eastAsia"/>
        </w:rPr>
        <w:t>,</w:t>
      </w:r>
      <w:r>
        <w:t xml:space="preserve"> J</w:t>
      </w:r>
      <w:r>
        <w:rPr>
          <w:rFonts w:hint="eastAsia"/>
        </w:rPr>
        <w:t>.</w:t>
      </w:r>
      <w:r>
        <w:t>F</w:t>
      </w:r>
      <w:r>
        <w:rPr>
          <w:rFonts w:hint="eastAsia"/>
        </w:rPr>
        <w:t>.</w:t>
      </w:r>
      <w:r w:rsidRPr="001A3D2B">
        <w:t xml:space="preserve"> (200</w:t>
      </w:r>
      <w:r>
        <w:rPr>
          <w:rFonts w:hint="eastAsia"/>
        </w:rPr>
        <w:t>9</w:t>
      </w:r>
      <w:r w:rsidRPr="001A3D2B">
        <w:t xml:space="preserve">), </w:t>
      </w:r>
      <w:r>
        <w:t>Geostatistical analysis on human impact indexes for land use/cover in Fujian Province</w:t>
      </w:r>
      <w:r w:rsidR="00F81221">
        <w:t xml:space="preserve"> and </w:t>
      </w:r>
      <w:r>
        <w:t>Fuzhou City</w:t>
      </w:r>
      <w:r w:rsidRPr="001A3D2B">
        <w:t xml:space="preserve">. </w:t>
      </w:r>
      <w:r w:rsidRPr="004926F6">
        <w:rPr>
          <w:i/>
        </w:rPr>
        <w:t>2009 17th International Conference on Geoinformatics, Vols 1</w:t>
      </w:r>
      <w:r w:rsidR="00F81221">
        <w:rPr>
          <w:i/>
        </w:rPr>
        <w:t xml:space="preserve"> and </w:t>
      </w:r>
      <w:r w:rsidRPr="004926F6">
        <w:rPr>
          <w:i/>
        </w:rPr>
        <w:t>2</w:t>
      </w:r>
      <w:r w:rsidRPr="004926F6">
        <w:rPr>
          <w:rFonts w:hint="eastAsia"/>
          <w:iCs/>
        </w:rPr>
        <w:t>,</w:t>
      </w:r>
      <w:r>
        <w:rPr>
          <w:rFonts w:hint="eastAsia"/>
        </w:rPr>
        <w:t xml:space="preserve"> (Edited by </w:t>
      </w:r>
      <w:r>
        <w:t>Di</w:t>
      </w:r>
      <w:r>
        <w:rPr>
          <w:rFonts w:hint="eastAsia"/>
        </w:rPr>
        <w:t>,</w:t>
      </w:r>
      <w:r>
        <w:t xml:space="preserve"> L</w:t>
      </w:r>
      <w:r>
        <w:rPr>
          <w:rFonts w:hint="eastAsia"/>
        </w:rPr>
        <w:t>.</w:t>
      </w:r>
      <w:r w:rsidR="00F81221">
        <w:rPr>
          <w:rFonts w:hint="eastAsia"/>
        </w:rPr>
        <w:t xml:space="preserve"> and </w:t>
      </w:r>
      <w:r>
        <w:t>Chen</w:t>
      </w:r>
      <w:r>
        <w:rPr>
          <w:rFonts w:hint="eastAsia"/>
        </w:rPr>
        <w:t>,</w:t>
      </w:r>
      <w:r>
        <w:t xml:space="preserve"> A</w:t>
      </w:r>
      <w:r>
        <w:rPr>
          <w:rFonts w:hint="eastAsia"/>
        </w:rPr>
        <w:t>.),</w:t>
      </w:r>
      <w:r w:rsidRPr="001A3D2B">
        <w:t xml:space="preserve"> </w:t>
      </w:r>
      <w:r>
        <w:t>1084-1087</w:t>
      </w:r>
      <w:r w:rsidRPr="001A3D2B">
        <w:t>.</w:t>
      </w:r>
    </w:p>
    <w:p w:rsidR="00C23F8D" w:rsidRDefault="00C23F8D" w:rsidP="00C23F8D">
      <w:pPr>
        <w:pStyle w:val="a0"/>
      </w:pPr>
      <w:r>
        <w:t>Abstract: Land use/cover change (LUCC) is an important component of global change research. Based on Geostatistics</w:t>
      </w:r>
      <w:r w:rsidR="00F81221">
        <w:t xml:space="preserve"> and </w:t>
      </w:r>
      <w:r>
        <w:t>taking the TM images in 1985</w:t>
      </w:r>
      <w:r w:rsidR="00F81221">
        <w:t xml:space="preserve"> and </w:t>
      </w:r>
      <w:r>
        <w:t>ASTER images in 2002 in Fujian Province, the TM images in 1988</w:t>
      </w:r>
      <w:r w:rsidR="00F81221">
        <w:t xml:space="preserve"> and </w:t>
      </w:r>
      <w:r>
        <w:t>the ASTER images in 2004 in Fuzhou City as the data sources, the present paper built the human impact indexes, compiled the human impact indexes maps</w:t>
      </w:r>
      <w:r w:rsidR="00F81221">
        <w:t xml:space="preserve"> and </w:t>
      </w:r>
      <w:r>
        <w:t>the human impact indexes change maps, calculated the parameters of semivariograms. The results showed that the human impact indexes</w:t>
      </w:r>
      <w:r w:rsidR="00F81221">
        <w:t xml:space="preserve"> and </w:t>
      </w:r>
      <w:r>
        <w:t>change had directionalities, the trends of main land use/cover types, all types</w:t>
      </w:r>
      <w:r w:rsidR="00F81221">
        <w:t xml:space="preserve"> and </w:t>
      </w:r>
      <w:r>
        <w:t>change types were approximately NE-SW in Fujian Province</w:t>
      </w:r>
      <w:r w:rsidR="00F81221">
        <w:t xml:space="preserve"> and </w:t>
      </w:r>
      <w:r>
        <w:t>NW-SE in Fuzhou City using Standard Deviational Ellipse, the trends were consistent with the topographies respectively. The structural variance/sill ratio of human impact indexes was 88.96% in Fujian Province, 81.05% in Fuzhou City, the nugget/sill ratio was 11.04%</w:t>
      </w:r>
      <w:r w:rsidR="00F81221">
        <w:t xml:space="preserve"> and </w:t>
      </w:r>
      <w:r>
        <w:t>18.95% respectively suggesting the intrinsic factors which were mainly nature factors such as topography were the dominant composition in the land use/cover pattern. The structural variance/sill ratio of human impact indexes change was 42.19% in Fujian Province, 42.17% in Fuzhou City, the nugget/sill ratio was 57.81%</w:t>
      </w:r>
      <w:r w:rsidR="00F81221">
        <w:t xml:space="preserve"> and </w:t>
      </w:r>
      <w:r>
        <w:t>57.83% respectively suggesting the intrinsic</w:t>
      </w:r>
      <w:r w:rsidR="00F81221">
        <w:t xml:space="preserve"> and </w:t>
      </w:r>
      <w:r>
        <w:t>extrinsic factors influenced the change of land use/cover simultaneously. The structural variance/sill ratio of human impact indexes</w:t>
      </w:r>
      <w:r w:rsidR="00F81221">
        <w:t xml:space="preserve"> and </w:t>
      </w:r>
      <w:r>
        <w:t>change in Fuzhou City were smaller than the ones in Fujian Province respectively which showed scale had important impact on the human impact indexes</w:t>
      </w:r>
      <w:r w:rsidR="00F81221">
        <w:t xml:space="preserve"> and </w:t>
      </w:r>
      <w:r>
        <w:t>change.</w:t>
      </w:r>
    </w:p>
    <w:p w:rsidR="00C23F8D" w:rsidRPr="001A3D2B" w:rsidRDefault="00C23F8D" w:rsidP="00C23F8D">
      <w:pPr>
        <w:pStyle w:val="a0"/>
      </w:pPr>
      <w:r>
        <w:t>Keywords: LUCC, Geostatistics, Human Impact Indexes, Fujian Province, Fuzhou City</w:t>
      </w:r>
    </w:p>
    <w:p w:rsidR="00B95188" w:rsidRPr="00A428C3" w:rsidRDefault="00B95188" w:rsidP="00B95188">
      <w:pPr>
        <w:pStyle w:val="1"/>
      </w:pPr>
      <w:r w:rsidRPr="00A428C3">
        <w:br w:type="page"/>
      </w:r>
      <w:bookmarkStart w:id="1132" w:name="_Toc518780859"/>
      <w:bookmarkStart w:id="1133" w:name="_Toc186647885"/>
      <w:bookmarkStart w:id="1134" w:name="_Toc317161216"/>
      <w:r w:rsidRPr="00A428C3">
        <w:lastRenderedPageBreak/>
        <w:t>Title: International Biodeterioration</w:t>
      </w:r>
      <w:bookmarkEnd w:id="1132"/>
      <w:bookmarkEnd w:id="1133"/>
      <w:bookmarkEnd w:id="1134"/>
    </w:p>
    <w:p w:rsidR="00B95188" w:rsidRPr="00A428C3" w:rsidRDefault="00B95188" w:rsidP="00B72EF9">
      <w:pPr>
        <w:pStyle w:val="12"/>
      </w:pPr>
      <w:r w:rsidRPr="00A428C3">
        <w:t>Full Journal Title: International Biodeterioration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95188">
      <w:pPr>
        <w:pStyle w:val="a0"/>
      </w:pPr>
      <w:r w:rsidRPr="00A428C3">
        <w:t>? Ortegacalvo, J.J., Hernandezmarine, M.</w:t>
      </w:r>
      <w:r w:rsidR="00F81221">
        <w:t xml:space="preserve"> and </w:t>
      </w:r>
      <w:r w:rsidRPr="00A428C3">
        <w:t>Saizjimenez, C. (1991), Biodeterioration of building-materials by cyanobacteria</w:t>
      </w:r>
      <w:r w:rsidR="00F81221">
        <w:t xml:space="preserve"> and </w:t>
      </w:r>
      <w:r w:rsidRPr="00A428C3">
        <w:t xml:space="preserve">algae. </w:t>
      </w:r>
      <w:r w:rsidRPr="00A428C3">
        <w:rPr>
          <w:i/>
        </w:rPr>
        <w:t>International Biodeterioration</w:t>
      </w:r>
      <w:r w:rsidRPr="00A428C3">
        <w:t xml:space="preserve">, </w:t>
      </w:r>
      <w:r w:rsidRPr="00A428C3">
        <w:rPr>
          <w:b/>
        </w:rPr>
        <w:t>28</w:t>
      </w:r>
      <w:r w:rsidRPr="00A428C3">
        <w:t xml:space="preserve"> (1-4), 165-185.</w:t>
      </w:r>
    </w:p>
    <w:p w:rsidR="00B95188" w:rsidRPr="00A428C3" w:rsidRDefault="00B95188" w:rsidP="00B95188">
      <w:pPr>
        <w:pStyle w:val="a0"/>
      </w:pPr>
      <w:r w:rsidRPr="00A428C3">
        <w:t>Abstract: A study of the presence of cyanobacteria</w:t>
      </w:r>
      <w:r w:rsidR="00F81221">
        <w:t xml:space="preserve"> and </w:t>
      </w:r>
      <w:r w:rsidRPr="00A428C3">
        <w:t xml:space="preserve">algae in different building materials from </w:t>
      </w:r>
      <w:smartTag w:uri="urn:schemas-microsoft-com:office:smarttags" w:element="country-region">
        <w:r w:rsidRPr="00A428C3">
          <w:t>Spain</w:t>
        </w:r>
      </w:smartTag>
      <w:r w:rsidRPr="00A428C3">
        <w:t xml:space="preserve"> (</w:t>
      </w:r>
      <w:smartTag w:uri="urn:schemas-microsoft-com:office:smarttags" w:element="City">
        <w:r w:rsidRPr="00A428C3">
          <w:t>Salamanca</w:t>
        </w:r>
      </w:smartTag>
      <w:r w:rsidRPr="00A428C3">
        <w:t>, Seville</w:t>
      </w:r>
      <w:r w:rsidR="00F81221">
        <w:t xml:space="preserve"> and </w:t>
      </w:r>
      <w:r w:rsidRPr="00A428C3">
        <w:t>Toledo Cathedrals)</w:t>
      </w:r>
      <w:r w:rsidR="00F81221">
        <w:t xml:space="preserve"> and </w:t>
      </w:r>
      <w:r w:rsidRPr="00A428C3">
        <w:t>Sweden (Lund Cathedral)</w:t>
      </w:r>
      <w:r w:rsidR="00F81221">
        <w:t xml:space="preserve"> and </w:t>
      </w:r>
      <w:r w:rsidRPr="00A428C3">
        <w:t>their possible relation to the stone decay was accomplished. Colonization of stone with the cyanobacterium Microcoleus vaginatus</w:t>
      </w:r>
      <w:r w:rsidR="00F81221">
        <w:t xml:space="preserve"> and </w:t>
      </w:r>
      <w:r w:rsidRPr="00A428C3">
        <w:t>the chlorophyte Klebsormidium flaccidium was also induced in the laboratory. In both field</w:t>
      </w:r>
      <w:r w:rsidR="00F81221">
        <w:t xml:space="preserve"> and </w:t>
      </w:r>
      <w:r w:rsidRPr="00A428C3">
        <w:t>laboratory samples, the microbial film, spontaneously detached, showed on its reverse side the presence of grains removed from the stone surface, thus causing mechanical deterioration on the colonized materials.</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Griffin</w:t>
          </w:r>
        </w:smartTag>
      </w:smartTag>
      <w:r w:rsidRPr="00A428C3">
        <w:t>, P.S., Indictor, N.</w:t>
      </w:r>
      <w:r w:rsidR="00F81221">
        <w:t xml:space="preserve"> and </w:t>
      </w:r>
      <w:r w:rsidRPr="00A428C3">
        <w:t>Koestler, R.J. (1991), The biodeterioration of stone-A review of deterioration mechanisms, conservation case-histories,</w:t>
      </w:r>
      <w:r w:rsidR="00F81221">
        <w:t xml:space="preserve"> and </w:t>
      </w:r>
      <w:r w:rsidRPr="00A428C3">
        <w:t xml:space="preserve">treatment. </w:t>
      </w:r>
      <w:r w:rsidRPr="00A428C3">
        <w:rPr>
          <w:i/>
        </w:rPr>
        <w:t>International Biodeterioration</w:t>
      </w:r>
      <w:r w:rsidRPr="00A428C3">
        <w:t xml:space="preserve">, </w:t>
      </w:r>
      <w:r w:rsidRPr="00A428C3">
        <w:rPr>
          <w:b/>
        </w:rPr>
        <w:t>28</w:t>
      </w:r>
      <w:r w:rsidRPr="00A428C3">
        <w:t xml:space="preserve"> (1-4), 187-207.</w:t>
      </w:r>
    </w:p>
    <w:p w:rsidR="00B95188" w:rsidRPr="00A428C3" w:rsidRDefault="00B95188" w:rsidP="00B95188">
      <w:pPr>
        <w:pStyle w:val="a0"/>
      </w:pPr>
      <w:r w:rsidRPr="00A428C3">
        <w:t>Abstract: Several aspects of the biodeterioration of stone are reviewed, including general deterioration mechanism, deterioration attributed to specific biological organisms, conservation case histories,</w:t>
      </w:r>
      <w:r w:rsidR="00F81221">
        <w:t xml:space="preserve"> and </w:t>
      </w:r>
      <w:r w:rsidRPr="00A428C3">
        <w:t>treatment options. The literature is cited with emphasis on historic monuments.</w:t>
      </w:r>
    </w:p>
    <w:p w:rsidR="00B95188" w:rsidRPr="00A428C3" w:rsidRDefault="00B95188" w:rsidP="00B95188">
      <w:pPr>
        <w:pStyle w:val="1"/>
      </w:pPr>
      <w:r w:rsidRPr="00A428C3">
        <w:br w:type="page"/>
      </w:r>
      <w:bookmarkStart w:id="1135" w:name="_Toc487190724"/>
      <w:bookmarkStart w:id="1136" w:name="_Toc487882229"/>
      <w:bookmarkStart w:id="1137" w:name="_Toc490688053"/>
      <w:bookmarkStart w:id="1138" w:name="_Toc492812166"/>
      <w:bookmarkStart w:id="1139" w:name="_Toc186647886"/>
      <w:bookmarkStart w:id="1140" w:name="_Toc317161217"/>
      <w:r w:rsidRPr="00A428C3">
        <w:lastRenderedPageBreak/>
        <w:t>Title: International Biodeterioration &amp; Biodegradation</w:t>
      </w:r>
      <w:bookmarkEnd w:id="1135"/>
      <w:bookmarkEnd w:id="1136"/>
      <w:bookmarkEnd w:id="1137"/>
      <w:bookmarkEnd w:id="1138"/>
      <w:bookmarkEnd w:id="1139"/>
      <w:bookmarkEnd w:id="1140"/>
    </w:p>
    <w:p w:rsidR="00B95188" w:rsidRPr="00055391" w:rsidRDefault="00B95188" w:rsidP="00B72EF9">
      <w:pPr>
        <w:pStyle w:val="12"/>
      </w:pPr>
      <w:r w:rsidRPr="00055391">
        <w:t xml:space="preserve">Full Journal Title: </w:t>
      </w:r>
      <w:hyperlink r:id="rId1571" w:history="1">
        <w:r w:rsidRPr="00055391">
          <w:rPr>
            <w:rStyle w:val="a5"/>
          </w:rPr>
          <w:t>International Biodeterioration &amp; Biodegradation</w:t>
        </w:r>
      </w:hyperlink>
    </w:p>
    <w:p w:rsidR="00B95188" w:rsidRPr="00055391" w:rsidRDefault="00B95188" w:rsidP="00B72EF9">
      <w:pPr>
        <w:pStyle w:val="12"/>
      </w:pPr>
      <w:r w:rsidRPr="00055391">
        <w:t>ISO Abbreviated Title: Int. Biodeterior. Biodegrad.</w:t>
      </w:r>
    </w:p>
    <w:p w:rsidR="00B95188" w:rsidRPr="00055391" w:rsidRDefault="00B95188" w:rsidP="00B72EF9">
      <w:pPr>
        <w:pStyle w:val="12"/>
      </w:pPr>
      <w:r w:rsidRPr="00055391">
        <w:t>JCR Abbreviated Title: Int Biodeter Biodegr</w:t>
      </w:r>
    </w:p>
    <w:p w:rsidR="00B95188" w:rsidRPr="00055391" w:rsidRDefault="00B95188" w:rsidP="00B72EF9">
      <w:pPr>
        <w:pStyle w:val="12"/>
      </w:pPr>
      <w:r w:rsidRPr="00055391">
        <w:t>ISSN: 0964-8305</w:t>
      </w:r>
    </w:p>
    <w:p w:rsidR="00B95188" w:rsidRPr="00055391" w:rsidRDefault="00B95188" w:rsidP="00B72EF9">
      <w:pPr>
        <w:pStyle w:val="12"/>
      </w:pPr>
      <w:r w:rsidRPr="00055391">
        <w:t>Issues/Year: 8</w:t>
      </w:r>
    </w:p>
    <w:p w:rsidR="00B95188" w:rsidRPr="00055391" w:rsidRDefault="00B95188" w:rsidP="00B72EF9">
      <w:pPr>
        <w:pStyle w:val="12"/>
      </w:pPr>
      <w:r w:rsidRPr="00055391">
        <w:t>Journal Country/Territory: England</w:t>
      </w:r>
    </w:p>
    <w:p w:rsidR="00B95188" w:rsidRPr="00055391" w:rsidRDefault="00B95188" w:rsidP="00B72EF9">
      <w:pPr>
        <w:pStyle w:val="12"/>
      </w:pPr>
      <w:r w:rsidRPr="00055391">
        <w:t>Language: English</w:t>
      </w:r>
    </w:p>
    <w:p w:rsidR="00B95188" w:rsidRPr="00055391" w:rsidRDefault="00B95188" w:rsidP="00B72EF9">
      <w:pPr>
        <w:pStyle w:val="12"/>
      </w:pPr>
      <w:r w:rsidRPr="00055391">
        <w:t>Publisher: Elsevier Sci Ltd</w:t>
      </w:r>
    </w:p>
    <w:p w:rsidR="00B95188" w:rsidRPr="00055391" w:rsidRDefault="00B95188" w:rsidP="00B72EF9">
      <w:pPr>
        <w:pStyle w:val="12"/>
      </w:pPr>
      <w:r w:rsidRPr="00055391">
        <w:t>Publisher Address: The Boulevard, Langford Lane, Kidlington, Oxford OX5 1GB, Oxon, England</w:t>
      </w:r>
    </w:p>
    <w:p w:rsidR="00B95188" w:rsidRPr="00055391" w:rsidRDefault="00B95188" w:rsidP="00B72EF9">
      <w:pPr>
        <w:pStyle w:val="12"/>
      </w:pPr>
      <w:r w:rsidRPr="00055391">
        <w:t>Subject Categories:</w:t>
      </w:r>
    </w:p>
    <w:p w:rsidR="00B95188" w:rsidRPr="00055391" w:rsidRDefault="00B95188" w:rsidP="00B72EF9">
      <w:pPr>
        <w:pStyle w:val="12"/>
      </w:pPr>
      <w:r w:rsidRPr="00055391">
        <w:t>Biotechnology &amp; Applied Microbiology: Impact Factor</w:t>
      </w:r>
    </w:p>
    <w:p w:rsidR="00B95188" w:rsidRPr="00055391" w:rsidRDefault="00B95188" w:rsidP="00B72EF9">
      <w:pPr>
        <w:pStyle w:val="12"/>
      </w:pPr>
      <w:r w:rsidRPr="00055391">
        <w:t>Environmental Sciences: Impact Factor 0.568, 85/126 (1999); Impact Factor 0.698, 68/127 (2000)</w:t>
      </w:r>
    </w:p>
    <w:p w:rsidR="00B95188" w:rsidRPr="00A428C3" w:rsidRDefault="00B95188" w:rsidP="00B95188">
      <w:pPr>
        <w:pStyle w:val="a0"/>
      </w:pPr>
      <w:r w:rsidRPr="00A428C3">
        <w:t>Wainwright, M., Ali, T.A.</w:t>
      </w:r>
      <w:r w:rsidR="00F81221">
        <w:t xml:space="preserve"> and </w:t>
      </w:r>
      <w:r w:rsidRPr="00A428C3">
        <w:t xml:space="preserve">Barakah, F. (1993), A review of the role of oligotrophic microorganisms in biodeterioration. </w:t>
      </w:r>
      <w:r w:rsidRPr="00A428C3">
        <w:rPr>
          <w:i/>
        </w:rPr>
        <w:t>International Biodeterioration &amp; Biodegradation</w:t>
      </w:r>
      <w:r w:rsidRPr="00A428C3">
        <w:t xml:space="preserve">, </w:t>
      </w:r>
      <w:r w:rsidRPr="00A428C3">
        <w:rPr>
          <w:b/>
        </w:rPr>
        <w:t>31</w:t>
      </w:r>
      <w:r w:rsidRPr="00A428C3">
        <w:t xml:space="preserve"> (1), 1-13.</w:t>
      </w:r>
    </w:p>
    <w:p w:rsidR="00B95188" w:rsidRPr="00A428C3" w:rsidRDefault="00B95188" w:rsidP="00B95188">
      <w:pPr>
        <w:pStyle w:val="a0"/>
      </w:pPr>
      <w:r w:rsidRPr="00A428C3">
        <w:t xml:space="preserve">Full Text: </w:t>
      </w:r>
      <w:hyperlink r:id="rId1572" w:history="1">
        <w:r w:rsidRPr="00A428C3">
          <w:rPr>
            <w:rStyle w:val="a5"/>
          </w:rPr>
          <w:t>I\Int Bio Bio31, 1.pdf</w:t>
        </w:r>
      </w:hyperlink>
    </w:p>
    <w:p w:rsidR="00B95188" w:rsidRPr="00A428C3" w:rsidRDefault="00B95188" w:rsidP="00B95188">
      <w:pPr>
        <w:pStyle w:val="a0"/>
      </w:pPr>
      <w:r w:rsidRPr="00A428C3">
        <w:t>Abstract: Oligotrophic micro-organisms including many bacteria</w:t>
      </w:r>
      <w:r w:rsidR="00F81221">
        <w:t xml:space="preserve"> and </w:t>
      </w:r>
      <w:r w:rsidRPr="00A428C3">
        <w:t>fungi are able to grow in low concentrations or the apparent absence of nutrients by scavenging from the atmosphere or substratum on which they grow. As a result, oligotrophs often contaminate seemingly nutrient-free liquids</w:t>
      </w:r>
      <w:r w:rsidR="00F81221">
        <w:t xml:space="preserve"> and </w:t>
      </w:r>
      <w:r w:rsidRPr="00A428C3">
        <w:t>surfaces such as metals</w:t>
      </w:r>
      <w:r w:rsidR="00F81221">
        <w:t xml:space="preserve"> and </w:t>
      </w:r>
      <w:r w:rsidRPr="00A428C3">
        <w:t>glass. Oligotrophy allows for initial substrate colonization without immediate substrate utilization although this may follow once the organism has become established. Oligotrophic micro-organisms cause a number of problems associated with biocontamination</w:t>
      </w:r>
      <w:r w:rsidR="00F81221">
        <w:t xml:space="preserve"> and </w:t>
      </w:r>
      <w:r w:rsidRPr="00A428C3">
        <w:t>biodeterioration, e.g contaminate bottled drinking water</w:t>
      </w:r>
      <w:r w:rsidR="00F81221">
        <w:t xml:space="preserve"> and </w:t>
      </w:r>
      <w:r w:rsidRPr="00A428C3">
        <w:t>colonize solid surfaces such as glass, metals</w:t>
      </w:r>
      <w:r w:rsidR="00F81221">
        <w:t xml:space="preserve"> and </w:t>
      </w:r>
      <w:r w:rsidRPr="00A428C3">
        <w:t>electronic components. The aim of this review is to highlight the pan played by oligotrophs in biocontamination</w:t>
      </w:r>
      <w:r w:rsidR="00F81221">
        <w:t xml:space="preserve"> and </w:t>
      </w:r>
      <w:r w:rsidRPr="00A428C3">
        <w:t>biodeterioration.</w:t>
      </w:r>
    </w:p>
    <w:p w:rsidR="00B95188" w:rsidRPr="00A428C3" w:rsidRDefault="00B95188" w:rsidP="00B95188">
      <w:pPr>
        <w:pStyle w:val="a0"/>
      </w:pPr>
      <w:r w:rsidRPr="00A428C3">
        <w:t xml:space="preserve">Keywords: Fungal Contamination, Inorganic Medium, Growth, Water, </w:t>
      </w:r>
      <w:r w:rsidRPr="00A428C3">
        <w:rPr>
          <w:i/>
          <w:iCs/>
        </w:rPr>
        <w:t>Pseudomonas</w:t>
      </w:r>
      <w:r w:rsidRPr="00A428C3">
        <w:t>, Sandstone, Bacterial</w:t>
      </w:r>
    </w:p>
    <w:p w:rsidR="00B95188" w:rsidRPr="00A428C3" w:rsidRDefault="00B95188" w:rsidP="00B95188">
      <w:pPr>
        <w:pStyle w:val="a0"/>
      </w:pPr>
      <w:r w:rsidRPr="00A428C3">
        <w:t xml:space="preserve">Eccles, H. (1995), Removal of heavy metals from effluent streams: Why select a biological process? </w:t>
      </w:r>
      <w:r w:rsidRPr="00A428C3">
        <w:rPr>
          <w:i/>
        </w:rPr>
        <w:t>International Biodeterioration &amp; Biodegradation</w:t>
      </w:r>
      <w:r w:rsidRPr="00A428C3">
        <w:t xml:space="preserve">, </w:t>
      </w:r>
      <w:r w:rsidRPr="00A428C3">
        <w:rPr>
          <w:b/>
        </w:rPr>
        <w:t>35</w:t>
      </w:r>
      <w:r w:rsidRPr="00A428C3">
        <w:t xml:space="preserve"> (1-3), 5-16.</w:t>
      </w:r>
    </w:p>
    <w:p w:rsidR="00B95188" w:rsidRPr="00A428C3" w:rsidRDefault="00B95188" w:rsidP="00B95188">
      <w:pPr>
        <w:pStyle w:val="a0"/>
      </w:pPr>
      <w:r w:rsidRPr="00A428C3">
        <w:t xml:space="preserve">Full Text: </w:t>
      </w:r>
      <w:hyperlink r:id="rId1573" w:history="1">
        <w:r w:rsidRPr="00A428C3">
          <w:rPr>
            <w:rStyle w:val="a5"/>
          </w:rPr>
          <w:t>I\Int Bio Bio35, 5.pdf</w:t>
        </w:r>
      </w:hyperlink>
    </w:p>
    <w:p w:rsidR="00B95188" w:rsidRPr="00A428C3" w:rsidRDefault="00B95188" w:rsidP="00B95188">
      <w:pPr>
        <w:pStyle w:val="a0"/>
      </w:pPr>
      <w:r w:rsidRPr="00A428C3">
        <w:t>Abstract: The paper addresses the use of biosorptive, bioaccumulative</w:t>
      </w:r>
      <w:r w:rsidR="00F81221">
        <w:t xml:space="preserve"> and </w:t>
      </w:r>
      <w:r w:rsidRPr="00A428C3">
        <w:t xml:space="preserve">other separative technologies for the removal/recovery of metals from liquid effluents. The </w:t>
      </w:r>
      <w:r w:rsidRPr="00A428C3">
        <w:lastRenderedPageBreak/>
        <w:t>reasons for selecting more conventional chemical treatments are reviewed whilst the advantages of a biosorptive process compared with a bioaccumulative one are described. Comparative costs for biosorptive processes with ion exchange</w:t>
      </w:r>
      <w:r w:rsidR="00F81221">
        <w:t xml:space="preserve"> and </w:t>
      </w:r>
      <w:r w:rsidRPr="00A428C3">
        <w:t>chemical precipitation using either lime or caustic soda are predicted. It is proposed that these costs, although indicative, are sufficiently accurate to justify further evaluation of bioprocesses. More definitive costs will be achieved by the use of multidisciplinary groups,</w:t>
      </w:r>
      <w:r w:rsidR="00F81221">
        <w:t xml:space="preserve"> and </w:t>
      </w:r>
      <w:r w:rsidRPr="00A428C3">
        <w:t>will ensure the true potential for metal biosorption/bioaccumulation is achieved. (C) 1995 Elsevier Science Ltd. All rights reserved.</w:t>
      </w:r>
    </w:p>
    <w:p w:rsidR="00B95188" w:rsidRPr="00A428C3" w:rsidRDefault="00B95188" w:rsidP="00B95188">
      <w:pPr>
        <w:pStyle w:val="a0"/>
      </w:pPr>
      <w:r w:rsidRPr="00A428C3">
        <w:t xml:space="preserve">White, C., </w:t>
      </w:r>
      <w:smartTag w:uri="urn:schemas-microsoft-com:office:smarttags" w:element="City">
        <w:r w:rsidRPr="00A428C3">
          <w:t>Wilkinson</w:t>
        </w:r>
      </w:smartTag>
      <w:r w:rsidRPr="00A428C3">
        <w:t>, S.C.</w:t>
      </w:r>
      <w:r w:rsidR="00F81221">
        <w:t xml:space="preserve"> and </w:t>
      </w:r>
      <w:r w:rsidRPr="00A428C3">
        <w:t>Gadd, G.M. (1995), The role of microorganisms in biosorption of toxic metals</w:t>
      </w:r>
      <w:r w:rsidR="00F81221">
        <w:t xml:space="preserve"> and </w:t>
      </w:r>
      <w:r w:rsidRPr="00A428C3">
        <w:t xml:space="preserve">radionuclides. </w:t>
      </w:r>
      <w:r w:rsidRPr="00A428C3">
        <w:rPr>
          <w:i/>
        </w:rPr>
        <w:t>International Biodeterioration &amp; Biodegradation</w:t>
      </w:r>
      <w:r w:rsidRPr="00A428C3">
        <w:t xml:space="preserve">, </w:t>
      </w:r>
      <w:r w:rsidRPr="00A428C3">
        <w:rPr>
          <w:b/>
        </w:rPr>
        <w:t>35</w:t>
      </w:r>
      <w:r w:rsidRPr="00A428C3">
        <w:t xml:space="preserve"> (1-3), 17-40.</w:t>
      </w:r>
    </w:p>
    <w:p w:rsidR="00B95188" w:rsidRPr="00A428C3" w:rsidRDefault="00B95188" w:rsidP="00B95188">
      <w:pPr>
        <w:pStyle w:val="a0"/>
      </w:pPr>
      <w:r w:rsidRPr="00A428C3">
        <w:t xml:space="preserve">Full Text: </w:t>
      </w:r>
      <w:hyperlink r:id="rId1574" w:history="1">
        <w:r w:rsidRPr="00A428C3">
          <w:rPr>
            <w:rStyle w:val="a5"/>
          </w:rPr>
          <w:t>I\Int Bio Bio35, 17.pdf</w:t>
        </w:r>
      </w:hyperlink>
    </w:p>
    <w:p w:rsidR="00B95188" w:rsidRPr="00A428C3" w:rsidRDefault="00B95188" w:rsidP="00B95188">
      <w:pPr>
        <w:pStyle w:val="a0"/>
      </w:pPr>
      <w:r w:rsidRPr="00A428C3">
        <w:t>Abstract: A multiplicity of physico-chemical</w:t>
      </w:r>
      <w:r w:rsidR="00F81221">
        <w:t xml:space="preserve"> and </w:t>
      </w:r>
      <w:r w:rsidRPr="00A428C3">
        <w:t>biological mechanisms determine the removal of toxic metals, metalloids</w:t>
      </w:r>
      <w:r w:rsidR="00F81221">
        <w:t xml:space="preserve"> and </w:t>
      </w:r>
      <w:r w:rsidRPr="00A428C3">
        <w:t xml:space="preserve">radionuclides from contaminated wastes. Physico-chemical mechanisms of removal, which may be encompassed by the general term </w:t>
      </w:r>
      <w:r w:rsidR="000352E7">
        <w:t>“</w:t>
      </w:r>
      <w:r w:rsidRPr="00A428C3">
        <w:t>biosorption</w:t>
      </w:r>
      <w:r w:rsidR="000352E7">
        <w:t>”</w:t>
      </w:r>
      <w:r w:rsidRPr="00A428C3">
        <w:t>, include adsorption, ion exchange</w:t>
      </w:r>
      <w:r w:rsidR="00F81221">
        <w:t xml:space="preserve"> and </w:t>
      </w:r>
      <w:r w:rsidRPr="00A428C3">
        <w:t>entrapment which are features of living</w:t>
      </w:r>
      <w:r w:rsidR="00F81221">
        <w:t xml:space="preserve"> and </w:t>
      </w:r>
      <w:r w:rsidRPr="00A428C3">
        <w:t>dead biomass as well as derived products. In living cells, biosorption can be directly</w:t>
      </w:r>
      <w:r w:rsidR="00F81221">
        <w:t xml:space="preserve"> and </w:t>
      </w:r>
      <w:r w:rsidRPr="00A428C3">
        <w:t>indirectly influenced by metabolism. Metabolism-dependent mechanisms of metal removal which occur in living microorganisms include metal precipitation as sulphides, complexation by siderophores</w:t>
      </w:r>
      <w:r w:rsidR="00F81221">
        <w:t xml:space="preserve"> and </w:t>
      </w:r>
      <w:r w:rsidRPr="00A428C3">
        <w:t>other metabolites, sequestration by metal-binding proteins</w:t>
      </w:r>
      <w:r w:rsidR="00F81221">
        <w:t xml:space="preserve"> and </w:t>
      </w:r>
      <w:r w:rsidRPr="00A428C3">
        <w:t>peptides, transport</w:t>
      </w:r>
      <w:r w:rsidR="00F81221">
        <w:t xml:space="preserve"> and </w:t>
      </w:r>
      <w:r w:rsidRPr="00A428C3">
        <w:t>intracellular compartmentation. In addition, transformations of metal species can occur resulting in oxidation, reduction or methylation. For metalloids such as selenium, two main transformation mechanisms are the reduction of oxyanions to elemental forms,</w:t>
      </w:r>
      <w:r w:rsidR="00F81221">
        <w:t xml:space="preserve"> and </w:t>
      </w:r>
      <w:r w:rsidRPr="00A428C3">
        <w:t>methylation to methylated derivatives which are volatilized. Such mechanisms are important components of natural biogeochemical cycles for metals</w:t>
      </w:r>
      <w:r w:rsidR="00F81221">
        <w:t xml:space="preserve"> and </w:t>
      </w:r>
      <w:r w:rsidRPr="00A428C3">
        <w:t>metalloids as well as being of potential application for bioremediation.</w:t>
      </w:r>
    </w:p>
    <w:p w:rsidR="00B95188" w:rsidRPr="00A428C3" w:rsidRDefault="00B95188" w:rsidP="00B95188">
      <w:pPr>
        <w:pStyle w:val="a0"/>
      </w:pPr>
      <w:r w:rsidRPr="00A428C3">
        <w:t>Tsezos, M., Remoudaki, E.</w:t>
      </w:r>
      <w:r w:rsidR="00F81221">
        <w:t xml:space="preserve"> and </w:t>
      </w:r>
      <w:r w:rsidRPr="00A428C3">
        <w:t>Angelatou, V. (1995), A systematic study on equilibrium</w:t>
      </w:r>
      <w:r w:rsidR="00F81221">
        <w:t xml:space="preserve"> and </w:t>
      </w:r>
      <w:r w:rsidRPr="00A428C3">
        <w:t>kinetics of biosorptive accumulation: The case of Ag</w:t>
      </w:r>
      <w:r w:rsidR="00F81221">
        <w:t xml:space="preserve"> and </w:t>
      </w:r>
      <w:r w:rsidRPr="00A428C3">
        <w:t xml:space="preserve">Ni. </w:t>
      </w:r>
      <w:r w:rsidRPr="00A428C3">
        <w:rPr>
          <w:i/>
        </w:rPr>
        <w:t>International Biodeterioration &amp; Biodegradation</w:t>
      </w:r>
      <w:r w:rsidRPr="00A428C3">
        <w:t xml:space="preserve">, </w:t>
      </w:r>
      <w:r w:rsidRPr="00A428C3">
        <w:rPr>
          <w:b/>
        </w:rPr>
        <w:t>35</w:t>
      </w:r>
      <w:r w:rsidRPr="00A428C3">
        <w:t xml:space="preserve"> (1-3), 129-153.</w:t>
      </w:r>
    </w:p>
    <w:p w:rsidR="00B95188" w:rsidRPr="00A428C3" w:rsidRDefault="00B95188" w:rsidP="00B95188">
      <w:pPr>
        <w:pStyle w:val="a0"/>
      </w:pPr>
      <w:r w:rsidRPr="00A428C3">
        <w:t xml:space="preserve">Full Text: </w:t>
      </w:r>
      <w:hyperlink r:id="rId1575" w:history="1">
        <w:r w:rsidRPr="00A428C3">
          <w:rPr>
            <w:rStyle w:val="a5"/>
          </w:rPr>
          <w:t>I\Int Bio Bio35, 129.pdf</w:t>
        </w:r>
      </w:hyperlink>
    </w:p>
    <w:p w:rsidR="00B95188" w:rsidRPr="00A428C3" w:rsidRDefault="00B95188" w:rsidP="00B95188">
      <w:pPr>
        <w:pStyle w:val="a0"/>
      </w:pPr>
      <w:r w:rsidRPr="00A428C3">
        <w:t>Abstract: Biosorptive metal uptake capacities have been quantitatively evaluated through a systematic experimental approach for silver</w:t>
      </w:r>
      <w:r w:rsidR="00F81221">
        <w:t xml:space="preserve"> and </w:t>
      </w:r>
      <w:r w:rsidRPr="00A428C3">
        <w:t>nickel</w:t>
      </w:r>
      <w:r w:rsidR="00F81221">
        <w:t xml:space="preserve"> and </w:t>
      </w:r>
      <w:r w:rsidRPr="00A428C3">
        <w:t>six selected strains of microbial biomass. Strains MB 127</w:t>
      </w:r>
      <w:r w:rsidR="00F81221">
        <w:t xml:space="preserve"> and </w:t>
      </w:r>
      <w:r w:rsidRPr="00A428C3">
        <w:t xml:space="preserve">BP 7/26 have been identified to be the most efficient for silver sequestering. Biosorption of nickel by the strains tested is generally low. Overall kinetic experiments have been performed for the determination of the necessary contact time for the attainment of equilibrium. </w:t>
      </w:r>
      <w:r w:rsidRPr="00A428C3">
        <w:lastRenderedPageBreak/>
        <w:t>Systematic desorption experiments have shown that biosorption of silver</w:t>
      </w:r>
      <w:r w:rsidR="00F81221">
        <w:t xml:space="preserve"> and </w:t>
      </w:r>
      <w:r w:rsidRPr="00A428C3">
        <w:t>nickel by the strains tested is irreversible under the conditions examined. Simultaneous considerations of hydrolysis behaviour, chemical coordination,</w:t>
      </w:r>
      <w:r w:rsidR="00F81221">
        <w:t xml:space="preserve"> and </w:t>
      </w:r>
      <w:r w:rsidRPr="00A428C3">
        <w:t>stereochemical</w:t>
      </w:r>
      <w:r w:rsidR="00F81221">
        <w:t xml:space="preserve"> and </w:t>
      </w:r>
      <w:r w:rsidRPr="00A428C3">
        <w:t>redox characteristics have been proven to be very helpful in understanding the observed differences between silver</w:t>
      </w:r>
      <w:r w:rsidR="00F81221">
        <w:t xml:space="preserve"> and </w:t>
      </w:r>
      <w:r w:rsidRPr="00A428C3">
        <w:t>nickel biosorptive performances.</w:t>
      </w:r>
    </w:p>
    <w:p w:rsidR="00B95188" w:rsidRPr="00A428C3" w:rsidRDefault="00B95188" w:rsidP="00B95188">
      <w:pPr>
        <w:pStyle w:val="a0"/>
      </w:pPr>
      <w:r w:rsidRPr="00A428C3">
        <w:t xml:space="preserve">Keywords: </w:t>
      </w:r>
      <w:r w:rsidRPr="00A428C3">
        <w:rPr>
          <w:i/>
        </w:rPr>
        <w:t>Bacillus-Subtilis</w:t>
      </w:r>
      <w:r w:rsidRPr="00A428C3">
        <w:t xml:space="preserve">, </w:t>
      </w:r>
      <w:r w:rsidRPr="00A428C3">
        <w:rPr>
          <w:i/>
          <w:iCs/>
        </w:rPr>
        <w:t>Rhizopus-arrhizus</w:t>
      </w:r>
      <w:r w:rsidRPr="00A428C3">
        <w:t>, Cell-Walls, Metals, Binding, Adsorption, Biomass, Ions</w:t>
      </w:r>
    </w:p>
    <w:p w:rsidR="00B95188" w:rsidRPr="00A428C3" w:rsidRDefault="00B95188" w:rsidP="00B95188">
      <w:pPr>
        <w:pStyle w:val="a0"/>
      </w:pPr>
      <w:r w:rsidRPr="00A428C3">
        <w:t>Delgado, A., Barreiros, M.A.</w:t>
      </w:r>
      <w:r w:rsidR="00F81221">
        <w:t xml:space="preserve"> and </w:t>
      </w:r>
      <w:r w:rsidRPr="00A428C3">
        <w:t xml:space="preserve">Novais, J.M. (1996), Heavy metal biosorption by the mycelium of fusarium flocciferum. </w:t>
      </w:r>
      <w:r w:rsidRPr="00A428C3">
        <w:rPr>
          <w:i/>
        </w:rPr>
        <w:t>International Biodeterioration &amp; Biodegradation</w:t>
      </w:r>
      <w:r w:rsidRPr="00A428C3">
        <w:t xml:space="preserve">, </w:t>
      </w:r>
      <w:r w:rsidRPr="00A428C3">
        <w:rPr>
          <w:b/>
        </w:rPr>
        <w:t>37</w:t>
      </w:r>
      <w:r w:rsidRPr="00A428C3">
        <w:t xml:space="preserve"> (3-4), 239.</w:t>
      </w:r>
    </w:p>
    <w:p w:rsidR="00B95188" w:rsidRPr="00A428C3" w:rsidRDefault="00B95188" w:rsidP="00B95188">
      <w:pPr>
        <w:pStyle w:val="a0"/>
      </w:pPr>
      <w:r w:rsidRPr="00A428C3">
        <w:t xml:space="preserve">Full Text: </w:t>
      </w:r>
      <w:hyperlink r:id="rId1576" w:history="1">
        <w:r w:rsidRPr="00A428C3">
          <w:rPr>
            <w:rStyle w:val="a5"/>
          </w:rPr>
          <w:t>I\Int Bio Bio37, 239.pdf</w:t>
        </w:r>
      </w:hyperlink>
    </w:p>
    <w:p w:rsidR="00B95188" w:rsidRPr="00A428C3" w:rsidRDefault="00B95188" w:rsidP="00B95188">
      <w:pPr>
        <w:pStyle w:val="a0"/>
      </w:pPr>
      <w:r w:rsidRPr="00A428C3">
        <w:t xml:space="preserve">Abstract: The biosorption capacity of dead biomass of </w:t>
      </w:r>
      <w:r w:rsidRPr="00A428C3">
        <w:rPr>
          <w:i/>
          <w:iCs/>
        </w:rPr>
        <w:t>Fusarium flocciferum</w:t>
      </w:r>
      <w:r w:rsidRPr="00A428C3">
        <w:t xml:space="preserve"> was studied for Cu, Cd</w:t>
      </w:r>
      <w:r w:rsidR="00F81221">
        <w:t xml:space="preserve"> and </w:t>
      </w:r>
      <w:r w:rsidRPr="00A428C3">
        <w:t xml:space="preserve">Ni. It was verified that Langmuir isotherm describes well the biosorption of these metals, although copper had shown a more irregular behaviour. The metal/biomass affinity followed the order Cd &gt; Ni &gt; Cu, based on estimated </w:t>
      </w:r>
      <w:r w:rsidRPr="00A428C3">
        <w:rPr>
          <w:i/>
          <w:iCs/>
        </w:rPr>
        <w:t>Q</w:t>
      </w:r>
      <w:r w:rsidRPr="00A428C3">
        <w:rPr>
          <w:vertAlign w:val="subscript"/>
        </w:rPr>
        <w:t>max</w:t>
      </w:r>
      <w:r w:rsidRPr="00A428C3">
        <w:t>. These values, expressed as mg metal/100 mg biomass, are 20.4 for Cd, 5.2 for Ni</w:t>
      </w:r>
      <w:r w:rsidR="00F81221">
        <w:t xml:space="preserve"> and </w:t>
      </w:r>
      <w:r w:rsidRPr="00A428C3">
        <w:t>2.3 for Cu.</w:t>
      </w:r>
    </w:p>
    <w:p w:rsidR="00B95188" w:rsidRPr="00A428C3" w:rsidRDefault="00B95188" w:rsidP="00B95188">
      <w:pPr>
        <w:pStyle w:val="a0"/>
      </w:pPr>
      <w:r w:rsidRPr="00A428C3">
        <w:t>The pH was found to be the most important factor: the removal capacity was shown to increase with pH, for all ions, but the upper limit of working pH was limited by hydroxide precipitation. It was verified that the equilibrium was achieved within a few seconds, revealing the absence of diffusional barriers</w:t>
      </w:r>
      <w:r w:rsidR="00F81221">
        <w:t xml:space="preserve"> and </w:t>
      </w:r>
      <w:r w:rsidRPr="00A428C3">
        <w:t>the importance of surface components of fungal walls in the phenomenon. Biomass concentration also has a significant effect: biosorption markedly decreases as biomass concentration increases. Several treatments were tried in the preparation of the biomass (acids, bases, detergents</w:t>
      </w:r>
      <w:r w:rsidR="00F81221">
        <w:t xml:space="preserve"> and </w:t>
      </w:r>
      <w:r w:rsidRPr="00A428C3">
        <w:t>heat). The higher values were obtained with autoclaved</w:t>
      </w:r>
      <w:r w:rsidR="00F81221">
        <w:t xml:space="preserve"> and </w:t>
      </w:r>
      <w:r w:rsidRPr="00A428C3">
        <w:t>dried powdered mycelia. No significant differences were found for metal affinity in mycelia with incubation periods from 24 h to 4 days, but, older cultures (5-14 days) showed a decrease in the adsorption capacity.</w:t>
      </w:r>
    </w:p>
    <w:p w:rsidR="00B95188" w:rsidRPr="00A428C3" w:rsidRDefault="00B95188" w:rsidP="00B95188">
      <w:pPr>
        <w:pStyle w:val="a0"/>
      </w:pPr>
      <w:r w:rsidRPr="00A428C3">
        <w:rPr>
          <w:i/>
          <w:iCs/>
        </w:rPr>
        <w:t>Fusarium flocciferum</w:t>
      </w:r>
      <w:r w:rsidRPr="00A428C3">
        <w:t xml:space="preserve"> dried biomass seems to be adequate for the removal of valuable metals such as cadmium</w:t>
      </w:r>
      <w:r w:rsidR="00F81221">
        <w:t xml:space="preserve"> and </w:t>
      </w:r>
      <w:r w:rsidRPr="00A428C3">
        <w:t>nickel from industrial effluents. However, as the metal recovery</w:t>
      </w:r>
      <w:r w:rsidR="00F81221">
        <w:t xml:space="preserve"> and </w:t>
      </w:r>
      <w:r w:rsidRPr="00A428C3">
        <w:t>recycling is an imperious need for its industrial application, elution</w:t>
      </w:r>
      <w:r w:rsidR="00F81221">
        <w:t xml:space="preserve"> and </w:t>
      </w:r>
      <w:r w:rsidRPr="00A428C3">
        <w:t>biosorbent half-life period studies should be undertaken.</w:t>
      </w:r>
    </w:p>
    <w:p w:rsidR="00B95188" w:rsidRPr="00A428C3" w:rsidRDefault="00B95188" w:rsidP="00B95188">
      <w:pPr>
        <w:pStyle w:val="a0"/>
      </w:pPr>
      <w:r w:rsidRPr="00A428C3">
        <w:t>Teixeira, J.A.</w:t>
      </w:r>
      <w:r w:rsidR="00F81221">
        <w:t xml:space="preserve"> and </w:t>
      </w:r>
      <w:r w:rsidRPr="00A428C3">
        <w:t xml:space="preserve">Manuela Araújo, M. (1996), Chromium removal from industrial effluents using biopolymer gel beads. </w:t>
      </w:r>
      <w:r w:rsidRPr="00A428C3">
        <w:rPr>
          <w:i/>
        </w:rPr>
        <w:t>International Biodeterioration &amp; Biodegradation</w:t>
      </w:r>
      <w:r w:rsidRPr="00A428C3">
        <w:t xml:space="preserve">, </w:t>
      </w:r>
      <w:r w:rsidRPr="00A428C3">
        <w:rPr>
          <w:b/>
        </w:rPr>
        <w:t>37</w:t>
      </w:r>
      <w:r w:rsidRPr="00A428C3">
        <w:t xml:space="preserve"> (3-4), 239.</w:t>
      </w:r>
    </w:p>
    <w:p w:rsidR="00B95188" w:rsidRPr="00A428C3" w:rsidRDefault="00B95188" w:rsidP="00B95188">
      <w:pPr>
        <w:pStyle w:val="a0"/>
      </w:pPr>
      <w:r w:rsidRPr="00A428C3">
        <w:t xml:space="preserve">Full Text: </w:t>
      </w:r>
      <w:hyperlink r:id="rId1577" w:history="1">
        <w:r w:rsidRPr="00A428C3">
          <w:rPr>
            <w:rStyle w:val="a5"/>
          </w:rPr>
          <w:t>I\Int Bio Bio37, 239.pdf</w:t>
        </w:r>
      </w:hyperlink>
    </w:p>
    <w:p w:rsidR="00B95188" w:rsidRPr="00A428C3" w:rsidRDefault="00B95188" w:rsidP="00B95188">
      <w:pPr>
        <w:pStyle w:val="a0"/>
      </w:pPr>
      <w:r w:rsidRPr="00A428C3">
        <w:t xml:space="preserve">Abstract: Biosorption of heavy metals from aqueous effluents is a remediation technology suitable for the treatment of high flow effluents with low metal concentrations. Metal removal from waste waters is made, traditionally using </w:t>
      </w:r>
      <w:r w:rsidRPr="00A428C3">
        <w:lastRenderedPageBreak/>
        <w:t>processes as precipitation, adsorption, electrochemical systems, ion exchange</w:t>
      </w:r>
      <w:r w:rsidR="00F81221">
        <w:t xml:space="preserve"> and </w:t>
      </w:r>
      <w:r w:rsidRPr="00A428C3">
        <w:t>solvent extraction. Recently, the utilization of biopolymers such as alginates</w:t>
      </w:r>
      <w:r w:rsidR="00F81221">
        <w:t xml:space="preserve"> and </w:t>
      </w:r>
      <w:r w:rsidRPr="00A428C3">
        <w:t>carrageenans for metal removal has been a matter of great interest.</w:t>
      </w:r>
    </w:p>
    <w:p w:rsidR="00B95188" w:rsidRPr="00A428C3" w:rsidRDefault="00B95188" w:rsidP="00B95188">
      <w:pPr>
        <w:pStyle w:val="a0"/>
      </w:pPr>
      <w:r w:rsidRPr="00A428C3">
        <w:t>Liquid effluents with high contents of trivalent chromium are obtained in the tannery industries, due to the utilization of chromium during processing. As a consequence, it is important to develop mechanisms for an efficient removal of chromium from tannery industries effluents. In this work, results describing the removal of trivalent chromium from aqueous solutions using alginate gel beads are presented. Sorption isotherms as well as the effect of temperature</w:t>
      </w:r>
      <w:r w:rsidR="00F81221">
        <w:t xml:space="preserve"> and </w:t>
      </w:r>
      <w:r w:rsidRPr="00A428C3">
        <w:t>pH on the mechanisms of chromium removal are presented. The kinetics of sorption are also evaluated</w:t>
      </w:r>
      <w:r w:rsidR="00F81221">
        <w:t xml:space="preserve"> and </w:t>
      </w:r>
      <w:r w:rsidRPr="00A428C3">
        <w:t>a corresponding model is developed. Finally, a methodology for trivalent chromium removal with alginate is proposed. This method includes two steps: in the first one, chromium is removed by using it as an agent for alginate bead formation (for chromium concentrations above 300 mg</w:t>
      </w:r>
      <w:r w:rsidRPr="00A428C3">
        <w:rPr>
          <w:vertAlign w:val="superscript"/>
        </w:rPr>
        <w:t>-1</w:t>
      </w:r>
      <w:r w:rsidRPr="00A428C3">
        <w:t>); afterwards, the obtained solution is placed in contact with previously formed calcium alginate beads for removal of the remaining chromium.</w:t>
      </w:r>
    </w:p>
    <w:p w:rsidR="00B95188" w:rsidRPr="00A428C3" w:rsidRDefault="00B95188" w:rsidP="00B95188">
      <w:pPr>
        <w:pStyle w:val="a0"/>
      </w:pPr>
      <w:r w:rsidRPr="00A428C3">
        <w:t>Diels, L., Van Roy, S., Hooyberghs, L., Tsezos, M., Pümpel, T., Glombitza, F., Hummel, A.</w:t>
      </w:r>
      <w:r w:rsidR="00F81221">
        <w:t xml:space="preserve"> and </w:t>
      </w:r>
      <w:r w:rsidRPr="00A428C3">
        <w:t>Eckard, L. (1996), Heavy metal biosorption</w:t>
      </w:r>
      <w:r w:rsidR="00F81221">
        <w:t xml:space="preserve"> and </w:t>
      </w:r>
      <w:r w:rsidRPr="00A428C3">
        <w:t xml:space="preserve">bioprecipitation by </w:t>
      </w:r>
      <w:r w:rsidRPr="00A428C3">
        <w:rPr>
          <w:i/>
          <w:iCs/>
        </w:rPr>
        <w:t>Alcaligenes eutrophus</w:t>
      </w:r>
      <w:r w:rsidRPr="00A428C3">
        <w:t xml:space="preserve"> ER121. </w:t>
      </w:r>
      <w:r w:rsidRPr="00A428C3">
        <w:rPr>
          <w:i/>
        </w:rPr>
        <w:t>International Biodeterioration &amp; Biodegradation</w:t>
      </w:r>
      <w:r w:rsidRPr="00A428C3">
        <w:t xml:space="preserve">, </w:t>
      </w:r>
      <w:r w:rsidRPr="00A428C3">
        <w:rPr>
          <w:b/>
        </w:rPr>
        <w:t>37</w:t>
      </w:r>
      <w:r w:rsidRPr="00A428C3">
        <w:t xml:space="preserve"> (3-4), 241.</w:t>
      </w:r>
    </w:p>
    <w:p w:rsidR="00B95188" w:rsidRPr="00A428C3" w:rsidRDefault="00B95188" w:rsidP="00B95188">
      <w:pPr>
        <w:pStyle w:val="a0"/>
      </w:pPr>
      <w:r w:rsidRPr="00A428C3">
        <w:t xml:space="preserve">Full Text: </w:t>
      </w:r>
      <w:hyperlink r:id="rId1578" w:history="1">
        <w:r w:rsidRPr="00A428C3">
          <w:rPr>
            <w:rStyle w:val="a5"/>
          </w:rPr>
          <w:t>I\Int Bio Bio37, 241.pdf</w:t>
        </w:r>
      </w:hyperlink>
    </w:p>
    <w:p w:rsidR="00B95188" w:rsidRPr="00A428C3" w:rsidRDefault="00B95188" w:rsidP="00B95188">
      <w:pPr>
        <w:pStyle w:val="a0"/>
      </w:pPr>
      <w:r w:rsidRPr="00A428C3">
        <w:t xml:space="preserve">Abstract: The heavy metal biosorption capacity of </w:t>
      </w:r>
      <w:r w:rsidRPr="00A428C3">
        <w:rPr>
          <w:i/>
          <w:iCs/>
        </w:rPr>
        <w:t>Alcaligenes eutrophus</w:t>
      </w:r>
      <w:r w:rsidRPr="00A428C3">
        <w:t xml:space="preserve"> ER121 is influenced by several factors. The strain bears three plasmids encoding a proton/cation chemiosmotic efflux system allowing the formation of high metal concentrations around the cells. Zinc ions induce the formation of one or two extra outer membrane proteins</w:t>
      </w:r>
      <w:r w:rsidR="00F81221">
        <w:t xml:space="preserve"> and </w:t>
      </w:r>
      <w:r w:rsidRPr="00A428C3">
        <w:t>influence the cellular charge as calculated by electrophoretic mobility measurements.</w:t>
      </w:r>
    </w:p>
    <w:p w:rsidR="00B95188" w:rsidRPr="00A428C3" w:rsidRDefault="00B95188" w:rsidP="00B95188">
      <w:pPr>
        <w:pStyle w:val="a0"/>
      </w:pPr>
      <w:r w:rsidRPr="00A428C3">
        <w:t xml:space="preserve">On the other hand extracellular polysaccharides seem to be involved in the adsorption of silver, which is not influenced by the former mentioned extra outer membrane proteins. </w:t>
      </w:r>
      <w:r w:rsidRPr="00A428C3">
        <w:rPr>
          <w:i/>
          <w:iCs/>
        </w:rPr>
        <w:t>A. eutrophus</w:t>
      </w:r>
      <w:r w:rsidRPr="00A428C3">
        <w:t xml:space="preserve"> ER121 shows a metal biosorption specificity.</w:t>
      </w:r>
    </w:p>
    <w:p w:rsidR="00B95188" w:rsidRPr="00A428C3" w:rsidRDefault="00B95188" w:rsidP="00B95188">
      <w:pPr>
        <w:pStyle w:val="a0"/>
      </w:pPr>
      <w:r w:rsidRPr="00A428C3">
        <w:t>Merroun, M.L., Ben Omar, N., González-Muñoz, M.T.</w:t>
      </w:r>
      <w:r w:rsidR="00F81221">
        <w:t xml:space="preserve"> and </w:t>
      </w:r>
      <w:r w:rsidRPr="00A428C3">
        <w:t xml:space="preserve">Arias, J.M. (1996), Removal of lead from aqueous solutions by </w:t>
      </w:r>
      <w:r w:rsidRPr="00A428C3">
        <w:rPr>
          <w:i/>
          <w:iCs/>
        </w:rPr>
        <w:t xml:space="preserve">Myxococcus </w:t>
      </w:r>
      <w:smartTag w:uri="urn:schemas-microsoft-com:office:smarttags" w:element="place">
        <w:smartTag w:uri="urn:schemas-microsoft-com:office:smarttags" w:element="City">
          <w:r w:rsidRPr="00A428C3">
            <w:rPr>
              <w:i/>
              <w:iCs/>
            </w:rPr>
            <w:t>xanthus</w:t>
          </w:r>
        </w:smartTag>
      </w:smartTag>
      <w:r w:rsidRPr="00A428C3">
        <w:t xml:space="preserve">. </w:t>
      </w:r>
      <w:r w:rsidRPr="00A428C3">
        <w:rPr>
          <w:i/>
        </w:rPr>
        <w:t>International Biodeterioration &amp; Biodegradation</w:t>
      </w:r>
      <w:r w:rsidRPr="00A428C3">
        <w:t xml:space="preserve">, </w:t>
      </w:r>
      <w:r w:rsidRPr="00A428C3">
        <w:rPr>
          <w:b/>
        </w:rPr>
        <w:t>37</w:t>
      </w:r>
      <w:r w:rsidRPr="00A428C3">
        <w:t xml:space="preserve"> (3-4), 241.</w:t>
      </w:r>
    </w:p>
    <w:p w:rsidR="00B95188" w:rsidRPr="00A428C3" w:rsidRDefault="00B95188" w:rsidP="00B95188">
      <w:pPr>
        <w:pStyle w:val="a0"/>
      </w:pPr>
      <w:r w:rsidRPr="00A428C3">
        <w:t xml:space="preserve">Full Text: </w:t>
      </w:r>
      <w:hyperlink r:id="rId1579" w:history="1">
        <w:r w:rsidRPr="00A428C3">
          <w:rPr>
            <w:rStyle w:val="a5"/>
          </w:rPr>
          <w:t>I\Int Bio Bio37, 241.pdf</w:t>
        </w:r>
      </w:hyperlink>
    </w:p>
    <w:p w:rsidR="00B95188" w:rsidRPr="00A428C3" w:rsidRDefault="00B95188" w:rsidP="00B95188">
      <w:pPr>
        <w:pStyle w:val="a0"/>
      </w:pPr>
      <w:r w:rsidRPr="00A428C3">
        <w:t>Abstract: The use of biological materials for heavy-metal removal</w:t>
      </w:r>
      <w:r w:rsidR="00F81221">
        <w:t xml:space="preserve"> and </w:t>
      </w:r>
      <w:r w:rsidRPr="00A428C3">
        <w:t>recovery technologies has gained widespread credibility during recent years, because of the good performance</w:t>
      </w:r>
      <w:r w:rsidR="00F81221">
        <w:t xml:space="preserve"> and </w:t>
      </w:r>
      <w:r w:rsidRPr="00A428C3">
        <w:t>low cost of this complex material. The natural affinity of biological compounds for metallic elements could contribute to economically purifying waste water loaded with heavy metals.</w:t>
      </w:r>
    </w:p>
    <w:p w:rsidR="00B95188" w:rsidRPr="00A428C3" w:rsidRDefault="00B95188" w:rsidP="00B95188">
      <w:pPr>
        <w:pStyle w:val="a0"/>
      </w:pPr>
      <w:r w:rsidRPr="00A428C3">
        <w:lastRenderedPageBreak/>
        <w:t xml:space="preserve">The present study indicates that </w:t>
      </w:r>
      <w:r w:rsidRPr="00A428C3">
        <w:rPr>
          <w:i/>
          <w:iCs/>
        </w:rPr>
        <w:t xml:space="preserve">Myxococcus </w:t>
      </w:r>
      <w:smartTag w:uri="urn:schemas-microsoft-com:office:smarttags" w:element="place">
        <w:smartTag w:uri="urn:schemas-microsoft-com:office:smarttags" w:element="City">
          <w:r w:rsidRPr="00A428C3">
            <w:rPr>
              <w:i/>
              <w:iCs/>
            </w:rPr>
            <w:t>xanthus</w:t>
          </w:r>
        </w:smartTag>
      </w:smartTag>
      <w:r w:rsidRPr="00A428C3">
        <w:t xml:space="preserve"> biomass has the capacity for efficient biosorption of Pb</w:t>
      </w:r>
      <w:r w:rsidRPr="00A428C3">
        <w:rPr>
          <w:vertAlign w:val="superscript"/>
        </w:rPr>
        <w:t>2+</w:t>
      </w:r>
      <w:r w:rsidRPr="00A428C3">
        <w:t xml:space="preserve">, being able to accumulate up to </w:t>
      </w:r>
      <w:smartTag w:uri="urn:schemas-microsoft-com:office:smarttags" w:element="chmetcnv">
        <w:smartTagPr>
          <w:attr w:name="TCSC" w:val="0"/>
          <w:attr w:name="NumberType" w:val="1"/>
          <w:attr w:name="Negative" w:val="False"/>
          <w:attr w:name="HasSpace" w:val="True"/>
          <w:attr w:name="SourceValue" w:val="1.039"/>
          <w:attr w:name="UnitName" w:val="mm"/>
        </w:smartTagPr>
        <w:r w:rsidRPr="00A428C3">
          <w:t>1.039 mM</w:t>
        </w:r>
      </w:smartTag>
      <w:r w:rsidRPr="00A428C3">
        <w:t xml:space="preserve"> of Pb</w:t>
      </w:r>
      <w:r w:rsidRPr="00A428C3">
        <w:rPr>
          <w:vertAlign w:val="superscript"/>
        </w:rPr>
        <w:t>2+</w:t>
      </w:r>
      <w:r w:rsidRPr="00A428C3">
        <w:t xml:space="preserve"> per gram of biomass. For Pb</w:t>
      </w:r>
      <w:r w:rsidRPr="00A428C3">
        <w:rPr>
          <w:vertAlign w:val="superscript"/>
        </w:rPr>
        <w:t>2+</w:t>
      </w:r>
      <w:r w:rsidRPr="00A428C3">
        <w:t xml:space="preserve"> concentration of 0.3 to </w:t>
      </w:r>
      <w:smartTag w:uri="urn:schemas-microsoft-com:office:smarttags" w:element="chmetcnv">
        <w:smartTagPr>
          <w:attr w:name="TCSC" w:val="0"/>
          <w:attr w:name="NumberType" w:val="1"/>
          <w:attr w:name="Negative" w:val="False"/>
          <w:attr w:name="HasSpace" w:val="True"/>
          <w:attr w:name="SourceValue" w:val="0.5"/>
          <w:attr w:name="UnitName" w:val="mm"/>
        </w:smartTagPr>
        <w:r w:rsidRPr="00A428C3">
          <w:t>0.5 mM</w:t>
        </w:r>
      </w:smartTag>
      <w:r w:rsidRPr="00A428C3">
        <w:t>, between 83.17</w:t>
      </w:r>
      <w:r w:rsidR="00F81221">
        <w:t xml:space="preserve"> and </w:t>
      </w:r>
      <w:r w:rsidRPr="00A428C3">
        <w:t>93.21% of the Pb</w:t>
      </w:r>
      <w:r w:rsidRPr="00A428C3">
        <w:rPr>
          <w:vertAlign w:val="superscript"/>
        </w:rPr>
        <w:t>2+</w:t>
      </w:r>
      <w:r w:rsidRPr="00A428C3">
        <w:t xml:space="preserve"> was adsorbed from the solution. The adsorption rate was relatively rapid, reaching equilibrium after 5 to 10 min. In addition, the pH influenced biosorption, pH 5.5 promoting maximum uptake.</w:t>
      </w:r>
    </w:p>
    <w:p w:rsidR="00B95188" w:rsidRPr="00A428C3" w:rsidRDefault="00B95188" w:rsidP="00B95188">
      <w:pPr>
        <w:pStyle w:val="a0"/>
      </w:pPr>
      <w:r w:rsidRPr="00A428C3">
        <w:t>Allison, K., Edyvean, R.G.J.</w:t>
      </w:r>
      <w:r w:rsidR="00F81221">
        <w:t xml:space="preserve"> and </w:t>
      </w:r>
      <w:r w:rsidRPr="00A428C3">
        <w:t xml:space="preserve">Wales, D.S. (1996), Biosorption of metal ions by microfungal biomass. </w:t>
      </w:r>
      <w:r w:rsidRPr="00A428C3">
        <w:rPr>
          <w:i/>
        </w:rPr>
        <w:t>International Biodeterioration &amp; Biodegradation</w:t>
      </w:r>
      <w:r w:rsidRPr="00A428C3">
        <w:t xml:space="preserve">, </w:t>
      </w:r>
      <w:r w:rsidRPr="00A428C3">
        <w:rPr>
          <w:b/>
        </w:rPr>
        <w:t>37</w:t>
      </w:r>
      <w:r w:rsidRPr="00A428C3">
        <w:t xml:space="preserve"> (3-4), 242.</w:t>
      </w:r>
    </w:p>
    <w:p w:rsidR="00B95188" w:rsidRPr="00A428C3" w:rsidRDefault="00B95188" w:rsidP="00B95188">
      <w:pPr>
        <w:pStyle w:val="a0"/>
      </w:pPr>
      <w:r w:rsidRPr="00A428C3">
        <w:t xml:space="preserve">Full Text: </w:t>
      </w:r>
      <w:hyperlink r:id="rId1580" w:history="1">
        <w:r w:rsidRPr="00A428C3">
          <w:rPr>
            <w:rStyle w:val="a5"/>
          </w:rPr>
          <w:t>I\Int Bio Bio37, 242.pdf</w:t>
        </w:r>
      </w:hyperlink>
    </w:p>
    <w:p w:rsidR="00B95188" w:rsidRPr="00A428C3" w:rsidRDefault="00B95188" w:rsidP="00B95188">
      <w:pPr>
        <w:pStyle w:val="a0"/>
      </w:pPr>
      <w:r w:rsidRPr="00A428C3">
        <w:t>Microfungal biomass has the ability to chelate toxic</w:t>
      </w:r>
      <w:r w:rsidR="00F81221">
        <w:t xml:space="preserve"> and </w:t>
      </w:r>
      <w:r w:rsidRPr="00A428C3">
        <w:t>valuable metal ions (e.g. cadmium</w:t>
      </w:r>
      <w:r w:rsidR="00F81221">
        <w:t xml:space="preserve"> and </w:t>
      </w:r>
      <w:r w:rsidRPr="00A428C3">
        <w:t>silver) from dilute aqueous solutions,</w:t>
      </w:r>
      <w:r w:rsidR="00F81221">
        <w:t xml:space="preserve"> and </w:t>
      </w:r>
      <w:r w:rsidRPr="00A428C3">
        <w:t>thus has the potential for removal of metal ions from industrial waste water streams. However the specific mechanisms by which fungal biomass removes metal ions from aqueous solutions are not well understood.</w:t>
      </w:r>
    </w:p>
    <w:p w:rsidR="00B95188" w:rsidRPr="00A428C3" w:rsidRDefault="00B95188" w:rsidP="00B95188">
      <w:pPr>
        <w:pStyle w:val="a0"/>
      </w:pPr>
      <w:r w:rsidRPr="00A428C3">
        <w:t>The aim of this work has been to study the mechanisms active in biosorption of cadmium</w:t>
      </w:r>
      <w:r w:rsidR="00F81221">
        <w:t xml:space="preserve"> and </w:t>
      </w:r>
      <w:r w:rsidRPr="00A428C3">
        <w:t>silver ions by two fungi (</w:t>
      </w:r>
      <w:r w:rsidRPr="00A428C3">
        <w:rPr>
          <w:i/>
          <w:iCs/>
        </w:rPr>
        <w:t>Rhizomucor miehei</w:t>
      </w:r>
      <w:r w:rsidR="00F81221">
        <w:t xml:space="preserve"> and </w:t>
      </w:r>
      <w:r w:rsidR="00B20869" w:rsidRPr="00B20869">
        <w:rPr>
          <w:i/>
          <w:iCs/>
        </w:rPr>
        <w:t>Aspergillus niger</w:t>
      </w:r>
      <w:r w:rsidRPr="00A428C3">
        <w:t>). The cell walls of these microfungi were sequentially extracted by a range of chemicals</w:t>
      </w:r>
      <w:r w:rsidR="00F81221">
        <w:t xml:space="preserve"> and </w:t>
      </w:r>
      <w:r w:rsidRPr="00A428C3">
        <w:t>changes in biosorptive ability monitored by the construction of adsorption isotherms for each cell wall fraction. Since there is some discussion over the applicability of such models to this kind of data, a range of models were used. The chemical composition of the cell wall fractions was also monitored, in an attempt to correlate changes in biosorptive efficiency with specific polysaccharide components.</w:t>
      </w:r>
    </w:p>
    <w:p w:rsidR="00B95188" w:rsidRPr="00A428C3" w:rsidRDefault="00B95188" w:rsidP="00B95188">
      <w:pPr>
        <w:pStyle w:val="a0"/>
      </w:pPr>
      <w:r w:rsidRPr="00A428C3">
        <w:t>Tsezos, M., Remoudaki, E.</w:t>
      </w:r>
      <w:r w:rsidR="00F81221">
        <w:t xml:space="preserve"> and </w:t>
      </w:r>
      <w:r w:rsidRPr="00A428C3">
        <w:t xml:space="preserve">Angelatou, V. (1996), A Study of the Effects of Competing Ions on the Biosorption of Metals. </w:t>
      </w:r>
      <w:r w:rsidRPr="00A428C3">
        <w:rPr>
          <w:i/>
        </w:rPr>
        <w:t>International Biodeterioration &amp; Biodegradation</w:t>
      </w:r>
      <w:r w:rsidRPr="00A428C3">
        <w:t xml:space="preserve">, </w:t>
      </w:r>
      <w:r w:rsidRPr="00A428C3">
        <w:rPr>
          <w:b/>
        </w:rPr>
        <w:t>38</w:t>
      </w:r>
      <w:r w:rsidRPr="00A428C3">
        <w:t xml:space="preserve"> (1), 19-29.</w:t>
      </w:r>
    </w:p>
    <w:p w:rsidR="00B95188" w:rsidRPr="00A428C3" w:rsidRDefault="00B95188" w:rsidP="00B95188">
      <w:pPr>
        <w:pStyle w:val="a0"/>
      </w:pPr>
      <w:r w:rsidRPr="00A428C3">
        <w:t xml:space="preserve">Full Text: </w:t>
      </w:r>
      <w:hyperlink r:id="rId1581" w:history="1">
        <w:r w:rsidRPr="00A428C3">
          <w:rPr>
            <w:rStyle w:val="a5"/>
          </w:rPr>
          <w:t>I\Int Bio Bio38, 19.pdf</w:t>
        </w:r>
      </w:hyperlink>
    </w:p>
    <w:p w:rsidR="00B95188" w:rsidRPr="00A428C3" w:rsidRDefault="00B95188" w:rsidP="00B95188">
      <w:pPr>
        <w:pStyle w:val="a0"/>
      </w:pPr>
      <w:r w:rsidRPr="00A428C3">
        <w:t>Abstract: The effects of ionic competition in the biosorption of metals have been studied for the metals palladium, gold, uranium, yttrium, silver</w:t>
      </w:r>
      <w:r w:rsidR="00F81221">
        <w:t xml:space="preserve"> and </w:t>
      </w:r>
      <w:r w:rsidRPr="00A428C3">
        <w:t>nickel on the basis of their Pearson classification using biomass from two strains of bacteria. The selection of appropriate pairs of metals permitted the examination of combinations of metals representative of each class (A, B, borderline). The biosorption results obtained from solutions containing each pair of metals have been compared to the corresponding single metal biosorption results. Our results have shown that elements belonging to either the hard or soft classes exhibited competition effects among members of their class. Borderline elements were affected by the presence of either hard or soft elements. This work suggests that Pearson</w:t>
      </w:r>
      <w:r w:rsidR="000352E7">
        <w:t>’</w:t>
      </w:r>
      <w:r w:rsidRPr="00A428C3">
        <w:t>s reasoning is a useful tool. However, a more detailed examination of metal solutions (hydrolysis behaviour, stereochemical)</w:t>
      </w:r>
      <w:r w:rsidR="00F81221">
        <w:t xml:space="preserve"> </w:t>
      </w:r>
      <w:r w:rsidR="00F81221">
        <w:lastRenderedPageBreak/>
        <w:t xml:space="preserve">and </w:t>
      </w:r>
      <w:r w:rsidRPr="00A428C3">
        <w:t>biomass characteristics is necessary for the proper understanding of the ionic competition effects. (C) 1996 Elsevier Science Ltd. All rights reserved.</w:t>
      </w:r>
    </w:p>
    <w:p w:rsidR="00B95188" w:rsidRPr="00A428C3" w:rsidRDefault="00B95188" w:rsidP="00B95188">
      <w:pPr>
        <w:pStyle w:val="a0"/>
      </w:pPr>
      <w:r w:rsidRPr="00A428C3">
        <w:t>Cabrera, F., López, R., Martinez-Bordiú, A., de Lome, E.D.</w:t>
      </w:r>
      <w:r w:rsidR="00F81221">
        <w:t xml:space="preserve"> and </w:t>
      </w:r>
      <w:r w:rsidRPr="00A428C3">
        <w:t xml:space="preserve">Murillo, J.M. (1996), Land treatment of olive oil mill wastewater. </w:t>
      </w:r>
      <w:r w:rsidRPr="00A428C3">
        <w:rPr>
          <w:i/>
        </w:rPr>
        <w:t>International Biodeterioration &amp; Biodegradation</w:t>
      </w:r>
      <w:r w:rsidRPr="00A428C3">
        <w:t xml:space="preserve">, </w:t>
      </w:r>
      <w:r w:rsidRPr="00A428C3">
        <w:rPr>
          <w:b/>
        </w:rPr>
        <w:t>38</w:t>
      </w:r>
      <w:r w:rsidRPr="00A428C3">
        <w:t xml:space="preserve"> (3-4), 215-225.</w:t>
      </w:r>
    </w:p>
    <w:p w:rsidR="00B95188" w:rsidRPr="00A428C3" w:rsidRDefault="00B95188" w:rsidP="00B95188">
      <w:pPr>
        <w:pStyle w:val="a0"/>
      </w:pPr>
      <w:r w:rsidRPr="00A428C3">
        <w:t xml:space="preserve">Full Text: </w:t>
      </w:r>
      <w:hyperlink r:id="rId1582" w:history="1">
        <w:r w:rsidRPr="00A428C3">
          <w:rPr>
            <w:rStyle w:val="a5"/>
          </w:rPr>
          <w:t>I\Int Bio Bio38, 215.pdf</w:t>
        </w:r>
      </w:hyperlink>
    </w:p>
    <w:p w:rsidR="00B95188" w:rsidRPr="00A428C3" w:rsidRDefault="00B95188" w:rsidP="00B95188">
      <w:pPr>
        <w:pStyle w:val="a0"/>
      </w:pPr>
      <w:r w:rsidRPr="00A428C3">
        <w:t>Abstract: Experiments carried out in lysimeters filled with two calcareous clayey soils (ca 40% CaCO</w:t>
      </w:r>
      <w:r w:rsidRPr="00A428C3">
        <w:rPr>
          <w:vertAlign w:val="subscript"/>
        </w:rPr>
        <w:t>3</w:t>
      </w:r>
      <w:r w:rsidRPr="00A428C3">
        <w:t xml:space="preserve">; ca 40% clay), showed that a </w:t>
      </w:r>
      <w:smartTag w:uri="urn:schemas-microsoft-com:office:smarttags" w:element="chmetcnv">
        <w:smartTagPr>
          <w:attr w:name="TCSC" w:val="0"/>
          <w:attr w:name="NumberType" w:val="1"/>
          <w:attr w:name="Negative" w:val="False"/>
          <w:attr w:name="HasSpace" w:val="False"/>
          <w:attr w:name="SourceValue" w:val="2"/>
          <w:attr w:name="UnitName" w:val="m"/>
        </w:smartTagPr>
        <w:r w:rsidRPr="00A428C3">
          <w:t>2m</w:t>
        </w:r>
      </w:smartTag>
      <w:r w:rsidRPr="00A428C3">
        <w:t xml:space="preserve"> layer of soil almost completely removed the organic</w:t>
      </w:r>
      <w:r w:rsidR="00F81221">
        <w:t xml:space="preserve"> and </w:t>
      </w:r>
      <w:r w:rsidRPr="00A428C3">
        <w:t>inorganic components of olive oil mill wastewater (OMW) when it was applied in doses of 5000</w:t>
      </w:r>
      <w:smartTag w:uri="urn:schemas-microsoft-com:office:smarttags" w:element="chmetcnv">
        <w:smartTagPr>
          <w:attr w:name="TCSC" w:val="0"/>
          <w:attr w:name="NumberType" w:val="1"/>
          <w:attr w:name="Negative" w:val="True"/>
          <w:attr w:name="HasSpace" w:val="True"/>
          <w:attr w:name="SourceValue" w:val="10000"/>
          <w:attr w:name="UnitName" w:val="m3"/>
        </w:smartTagPr>
        <w:r w:rsidRPr="00A428C3">
          <w:t>-10000 m</w:t>
        </w:r>
        <w:smartTag w:uri="urn:schemas-microsoft-com:office:smarttags" w:element="chmetcnv">
          <w:smartTagPr>
            <w:attr w:name="TCSC" w:val="0"/>
            <w:attr w:name="NumberType" w:val="1"/>
            <w:attr w:name="Negative" w:val="False"/>
            <w:attr w:name="HasSpace" w:val="False"/>
            <w:attr w:name="SourceValue" w:val="3"/>
            <w:attr w:name="UnitName" w:val="ha"/>
          </w:smartTagPr>
          <w:r w:rsidRPr="00A428C3">
            <w:rPr>
              <w:vertAlign w:val="superscript"/>
            </w:rPr>
            <w:t>3</w:t>
          </w:r>
        </w:smartTag>
      </w:smartTag>
      <w:r w:rsidRPr="00A428C3">
        <w:t>ha</w:t>
      </w:r>
      <w:r w:rsidRPr="00A428C3">
        <w:rPr>
          <w:vertAlign w:val="superscript"/>
        </w:rPr>
        <w:t>-1</w:t>
      </w:r>
      <w:r w:rsidRPr="00A428C3">
        <w:t xml:space="preserve"> year</w:t>
      </w:r>
      <w:r w:rsidRPr="00A428C3">
        <w:rPr>
          <w:vertAlign w:val="superscript"/>
        </w:rPr>
        <w:t>-1</w:t>
      </w:r>
      <w:r w:rsidRPr="00A428C3">
        <w:t xml:space="preserve">. This efficiency was maintained for at least 2 years. In field experiments, the application of OMW to one of these soils during three successive years at an annual rate of up to </w:t>
      </w:r>
      <w:smartTag w:uri="urn:schemas-microsoft-com:office:smarttags" w:element="chmetcnv">
        <w:smartTagPr>
          <w:attr w:name="TCSC" w:val="0"/>
          <w:attr w:name="NumberType" w:val="1"/>
          <w:attr w:name="Negative" w:val="False"/>
          <w:attr w:name="HasSpace" w:val="False"/>
          <w:attr w:name="SourceValue" w:val="6000"/>
          <w:attr w:name="UnitName" w:val="m3"/>
        </w:smartTagPr>
        <w:r w:rsidRPr="00A428C3">
          <w:t>6000m</w:t>
        </w:r>
        <w:smartTag w:uri="urn:schemas-microsoft-com:office:smarttags" w:element="chmetcnv">
          <w:smartTagPr>
            <w:attr w:name="TCSC" w:val="0"/>
            <w:attr w:name="NumberType" w:val="1"/>
            <w:attr w:name="Negative" w:val="False"/>
            <w:attr w:name="HasSpace" w:val="False"/>
            <w:attr w:name="SourceValue" w:val="3"/>
            <w:attr w:name="UnitName" w:val="ha"/>
          </w:smartTagPr>
          <w:r w:rsidRPr="00A428C3">
            <w:rPr>
              <w:vertAlign w:val="superscript"/>
            </w:rPr>
            <w:t>3</w:t>
          </w:r>
        </w:smartTag>
      </w:smartTag>
      <w:r w:rsidRPr="00A428C3">
        <w:t>ha</w:t>
      </w:r>
      <w:r w:rsidRPr="00A428C3">
        <w:rPr>
          <w:vertAlign w:val="superscript"/>
        </w:rPr>
        <w:t>-1</w:t>
      </w:r>
      <w:r w:rsidRPr="00A428C3">
        <w:t xml:space="preserve"> caused changes in some chemical properties of the soil, especially in the upper layer (0</w:t>
      </w:r>
      <w:smartTag w:uri="urn:schemas-microsoft-com:office:smarttags" w:element="chmetcnv">
        <w:smartTagPr>
          <w:attr w:name="TCSC" w:val="0"/>
          <w:attr w:name="NumberType" w:val="1"/>
          <w:attr w:name="Negative" w:val="True"/>
          <w:attr w:name="HasSpace" w:val="False"/>
          <w:attr w:name="SourceValue" w:val="50"/>
          <w:attr w:name="UnitName" w:val="cm"/>
        </w:smartTagPr>
        <w:r w:rsidRPr="00A428C3">
          <w:t>-50cm</w:t>
        </w:r>
      </w:smartTag>
      <w:r w:rsidRPr="00A428C3">
        <w:t>). Concentrations of soil organic matter, Kjeldahl N, soluble NO</w:t>
      </w:r>
      <w:r w:rsidRPr="00A428C3">
        <w:rPr>
          <w:vertAlign w:val="subscript"/>
        </w:rPr>
        <w:t>3</w:t>
      </w:r>
      <w:r w:rsidR="00F81221">
        <w:t xml:space="preserve"> and </w:t>
      </w:r>
      <w:r w:rsidRPr="00A428C3">
        <w:t>available P increased enhancing soil fertility. On the other hand, soil electrical conductivity</w:t>
      </w:r>
      <w:r w:rsidR="00F81221">
        <w:t xml:space="preserve"> and </w:t>
      </w:r>
      <w:r w:rsidRPr="00A428C3">
        <w:t>sodium adsorption ratio also increased but below the levels representing salinization or sodification hazard for the soil. Furthermore, leaching of Na</w:t>
      </w:r>
      <w:r w:rsidRPr="00A428C3">
        <w:rPr>
          <w:vertAlign w:val="superscript"/>
        </w:rPr>
        <w:t>+</w:t>
      </w:r>
      <w:r w:rsidR="00F81221">
        <w:t xml:space="preserve"> and </w:t>
      </w:r>
      <w:r w:rsidRPr="00A428C3">
        <w:t>NO</w:t>
      </w:r>
      <w:r w:rsidRPr="00A428C3">
        <w:rPr>
          <w:vertAlign w:val="subscript"/>
        </w:rPr>
        <w:t>3</w:t>
      </w:r>
      <w:r w:rsidRPr="00A428C3">
        <w:t xml:space="preserve"> below the Im layer were detected.</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City">
          <w:r w:rsidRPr="00A428C3">
            <w:t>Water</w:t>
          </w:r>
        </w:smartTag>
        <w:r w:rsidRPr="00A428C3">
          <w:t xml:space="preserve">, </w:t>
        </w:r>
        <w:smartTag w:uri="urn:schemas-microsoft-com:office:smarttags" w:element="country-region">
          <w:r w:rsidRPr="00A428C3">
            <w:t>Spain</w:t>
          </w:r>
        </w:smartTag>
      </w:smartTag>
    </w:p>
    <w:p w:rsidR="00B95188" w:rsidRPr="00A428C3" w:rsidRDefault="00B95188" w:rsidP="00B95188">
      <w:pPr>
        <w:pStyle w:val="a0"/>
      </w:pPr>
      <w:r w:rsidRPr="00A428C3">
        <w:t>González-Muñoz, M.T., Merroun, M.L., Ben Omar, N.</w:t>
      </w:r>
      <w:r w:rsidR="00F81221">
        <w:t xml:space="preserve"> and </w:t>
      </w:r>
      <w:r w:rsidRPr="00A428C3">
        <w:t xml:space="preserve">Arias, J.M. (1997), Biosorption of uranium by </w:t>
      </w:r>
      <w:r w:rsidRPr="00A428C3">
        <w:rPr>
          <w:i/>
          <w:iCs/>
        </w:rPr>
        <w:t xml:space="preserve">Myxococcus </w:t>
      </w:r>
      <w:smartTag w:uri="urn:schemas-microsoft-com:office:smarttags" w:element="place">
        <w:smartTag w:uri="urn:schemas-microsoft-com:office:smarttags" w:element="City">
          <w:r w:rsidRPr="00A428C3">
            <w:rPr>
              <w:i/>
              <w:iCs/>
            </w:rPr>
            <w:t>xanthus</w:t>
          </w:r>
        </w:smartTag>
      </w:smartTag>
      <w:r w:rsidRPr="00A428C3">
        <w:t xml:space="preserve">. </w:t>
      </w:r>
      <w:r w:rsidRPr="00A428C3">
        <w:rPr>
          <w:i/>
        </w:rPr>
        <w:t>International Biodeterioration &amp; Biodegradation</w:t>
      </w:r>
      <w:r w:rsidRPr="00A428C3">
        <w:t xml:space="preserve">, </w:t>
      </w:r>
      <w:r w:rsidRPr="00A428C3">
        <w:rPr>
          <w:b/>
        </w:rPr>
        <w:t>40</w:t>
      </w:r>
      <w:r w:rsidRPr="00A428C3">
        <w:t xml:space="preserve"> (2-4), 107-114.</w:t>
      </w:r>
    </w:p>
    <w:p w:rsidR="00B95188" w:rsidRPr="00A428C3" w:rsidRDefault="00B95188" w:rsidP="00B95188">
      <w:pPr>
        <w:pStyle w:val="a0"/>
      </w:pPr>
      <w:r w:rsidRPr="00A428C3">
        <w:t xml:space="preserve">Full Text: </w:t>
      </w:r>
      <w:hyperlink r:id="rId1583" w:history="1">
        <w:r w:rsidRPr="00A428C3">
          <w:rPr>
            <w:rStyle w:val="a5"/>
          </w:rPr>
          <w:t>I\Int Bio Bio40, 107.pdf</w:t>
        </w:r>
      </w:hyperlink>
    </w:p>
    <w:p w:rsidR="00B95188" w:rsidRPr="00A428C3" w:rsidRDefault="00B95188" w:rsidP="00B95188">
      <w:pPr>
        <w:pStyle w:val="a0"/>
      </w:pPr>
      <w:r w:rsidRPr="00A428C3">
        <w:t xml:space="preserve">Abstract: This paper deals with uranium biosorption by </w:t>
      </w:r>
      <w:r w:rsidRPr="00A428C3">
        <w:rPr>
          <w:i/>
          <w:iCs/>
        </w:rPr>
        <w:t xml:space="preserve">Myxococcus </w:t>
      </w:r>
      <w:smartTag w:uri="urn:schemas-microsoft-com:office:smarttags" w:element="place">
        <w:smartTag w:uri="urn:schemas-microsoft-com:office:smarttags" w:element="City">
          <w:r w:rsidRPr="00A428C3">
            <w:rPr>
              <w:i/>
              <w:iCs/>
            </w:rPr>
            <w:t>xanthus</w:t>
          </w:r>
        </w:smartTag>
      </w:smartTag>
      <w:r w:rsidRPr="00A428C3">
        <w:t xml:space="preserve"> biomass in which dry biomass, accumulating up to </w:t>
      </w:r>
      <w:smartTag w:uri="urn:schemas-microsoft-com:office:smarttags" w:element="chmetcnv">
        <w:smartTagPr>
          <w:attr w:name="TCSC" w:val="0"/>
          <w:attr w:name="NumberType" w:val="1"/>
          <w:attr w:name="Negative" w:val="False"/>
          <w:attr w:name="HasSpace" w:val="True"/>
          <w:attr w:name="SourceValue" w:val="2.4"/>
          <w:attr w:name="UnitName" w:val="mm"/>
        </w:smartTagPr>
        <w:r w:rsidRPr="00A428C3">
          <w:t>2.4 mM</w:t>
        </w:r>
      </w:smartTag>
      <w:r w:rsidRPr="00A428C3">
        <w:t xml:space="preserve"> of uranium g</w:t>
      </w:r>
      <w:r w:rsidRPr="00A428C3">
        <w:rPr>
          <w:vertAlign w:val="superscript"/>
        </w:rPr>
        <w:t>-1</w:t>
      </w:r>
      <w:r w:rsidRPr="00A428C3">
        <w:t>, is demonstrated to be a more efficient biosorbent than wet biomass. For uranium concentrations of 0.1</w:t>
      </w:r>
      <w:smartTag w:uri="urn:schemas-microsoft-com:office:smarttags" w:element="chmetcnv">
        <w:smartTagPr>
          <w:attr w:name="TCSC" w:val="0"/>
          <w:attr w:name="NumberType" w:val="1"/>
          <w:attr w:name="Negative" w:val="True"/>
          <w:attr w:name="HasSpace" w:val="True"/>
          <w:attr w:name="SourceValue" w:val="0.3"/>
          <w:attr w:name="UnitName" w:val="mm"/>
        </w:smartTagPr>
        <w:r w:rsidRPr="00A428C3">
          <w:t>-0.3 mM</w:t>
        </w:r>
      </w:smartTag>
      <w:r w:rsidRPr="00A428C3">
        <w:t>, between 95.79%</w:t>
      </w:r>
      <w:r w:rsidR="00F81221">
        <w:t xml:space="preserve"> and </w:t>
      </w:r>
      <w:r w:rsidRPr="00A428C3">
        <w:t>95.99% of the uranium was taken up from the solution. Dry biomass biosorption was found to be relatively rapid, reaching equilibrium after 5-10 min. In addition, the pH influenced biosorption, pH 4.5 promoting maximum uptake. It was also established that the biosorbed uranium is located on the cellular wall</w:t>
      </w:r>
      <w:r w:rsidR="00F81221">
        <w:t xml:space="preserve"> and </w:t>
      </w:r>
      <w:r w:rsidRPr="00A428C3">
        <w:t xml:space="preserve">within the extracellular mucopolysaccharide of this microorganism. Furthermore, using sodium carbonate as a desorbent agent, 80.82% of the biosorbed uranium could be recovered. The results obtained indicate the possible utilization of </w:t>
      </w:r>
      <w:r w:rsidRPr="00A428C3">
        <w:rPr>
          <w:i/>
          <w:iCs/>
        </w:rPr>
        <w:t xml:space="preserve">M. </w:t>
      </w:r>
      <w:smartTag w:uri="urn:schemas-microsoft-com:office:smarttags" w:element="place">
        <w:smartTag w:uri="urn:schemas-microsoft-com:office:smarttags" w:element="City">
          <w:r w:rsidRPr="00A428C3">
            <w:rPr>
              <w:i/>
              <w:iCs/>
            </w:rPr>
            <w:t>xanthus</w:t>
          </w:r>
        </w:smartTag>
      </w:smartTag>
      <w:r w:rsidRPr="00A428C3">
        <w:t xml:space="preserve"> biomass to solve some problems of the water contaminated by uranium.</w:t>
      </w:r>
    </w:p>
    <w:p w:rsidR="00B95188" w:rsidRPr="00A428C3" w:rsidRDefault="00B95188" w:rsidP="00B95188">
      <w:pPr>
        <w:pStyle w:val="a0"/>
      </w:pPr>
      <w:r w:rsidRPr="00A428C3">
        <w:t xml:space="preserve">Keywords: Uranium, Sorption, Microorganisms, Biomass, pH Effects, Polysaccharides, Sodium Compounds, </w:t>
      </w:r>
      <w:r w:rsidRPr="00A428C3">
        <w:rPr>
          <w:i/>
          <w:iCs/>
        </w:rPr>
        <w:t>Myxococcus Xanthus</w:t>
      </w:r>
      <w:r w:rsidRPr="00A428C3">
        <w:t>, Biosorption, Sodium Carbonate</w:t>
      </w:r>
    </w:p>
    <w:p w:rsidR="00B95188" w:rsidRPr="00A428C3" w:rsidRDefault="00B95188" w:rsidP="00B95188">
      <w:pPr>
        <w:pStyle w:val="a0"/>
      </w:pPr>
      <w:r w:rsidRPr="00A428C3">
        <w:t xml:space="preserve">Moreira, M.T., </w:t>
      </w:r>
      <w:smartTag w:uri="urn:schemas-microsoft-com:office:smarttags" w:element="place">
        <w:smartTag w:uri="urn:schemas-microsoft-com:office:smarttags" w:element="City">
          <w:r w:rsidRPr="00A428C3">
            <w:t>Palma</w:t>
          </w:r>
        </w:smartTag>
      </w:smartTag>
      <w:r w:rsidRPr="00A428C3">
        <w:t>, C., Feijoo, G.</w:t>
      </w:r>
      <w:r w:rsidR="00F81221">
        <w:t xml:space="preserve"> and </w:t>
      </w:r>
      <w:r w:rsidRPr="00A428C3">
        <w:t xml:space="preserve">Lema, J.M. (1997), Decolorization of ion-exchange effluents derived from sugar-mill operations by </w:t>
      </w:r>
      <w:r w:rsidRPr="00A428C3">
        <w:rPr>
          <w:i/>
          <w:iCs/>
        </w:rPr>
        <w:t>Bjerkandera</w:t>
      </w:r>
      <w:r w:rsidRPr="00A428C3">
        <w:t xml:space="preserve"> sp. BOS55. </w:t>
      </w:r>
      <w:r w:rsidRPr="00A428C3">
        <w:rPr>
          <w:i/>
        </w:rPr>
        <w:t>International Biodeterioration &amp; Biodegradation</w:t>
      </w:r>
      <w:r w:rsidRPr="00A428C3">
        <w:t xml:space="preserve">, </w:t>
      </w:r>
      <w:r w:rsidRPr="00A428C3">
        <w:rPr>
          <w:b/>
        </w:rPr>
        <w:t>40</w:t>
      </w:r>
      <w:r w:rsidRPr="00A428C3">
        <w:t xml:space="preserve"> (2-4), 125-129.</w:t>
      </w:r>
    </w:p>
    <w:p w:rsidR="00B95188" w:rsidRPr="00A428C3" w:rsidRDefault="00B95188" w:rsidP="00B95188">
      <w:pPr>
        <w:pStyle w:val="a0"/>
      </w:pPr>
      <w:r w:rsidRPr="00A428C3">
        <w:lastRenderedPageBreak/>
        <w:t xml:space="preserve">Full Text: </w:t>
      </w:r>
      <w:hyperlink r:id="rId1584" w:history="1">
        <w:r w:rsidRPr="00A428C3">
          <w:rPr>
            <w:rStyle w:val="a5"/>
          </w:rPr>
          <w:t>I\Int Bio Bio40, 125.pdf</w:t>
        </w:r>
      </w:hyperlink>
    </w:p>
    <w:p w:rsidR="00B95188" w:rsidRPr="00A428C3" w:rsidRDefault="00B95188" w:rsidP="00B95188">
      <w:pPr>
        <w:pStyle w:val="a0"/>
      </w:pPr>
      <w:r w:rsidRPr="00A428C3">
        <w:t xml:space="preserve">Abstract: The decolorization of ion-exchange effluents derived from sugar-mill operations by </w:t>
      </w:r>
      <w:r w:rsidRPr="00A428C3">
        <w:rPr>
          <w:i/>
          <w:iCs/>
        </w:rPr>
        <w:t>Bjerkandera</w:t>
      </w:r>
      <w:r w:rsidRPr="00A428C3">
        <w:t xml:space="preserve"> sp. BOS55 has been studied. Bjerkandera sp. BOS55 was selected as a possible effective microorganism because of its high ligninolytic activity enabling the degradation of toxic pollutants. Fungal biomass in pellet form allowed a good decolorization up to 78% after 8 days of incubation. Pellets remain uncolored after the treatment,</w:t>
      </w:r>
      <w:r w:rsidR="00F81221">
        <w:t xml:space="preserve"> and </w:t>
      </w:r>
      <w:r w:rsidRPr="00A428C3">
        <w:t>no adsorption of chromophoric groups on mycelia was observed. This suggests that a biological transformation affecting the chemical composition of such compounds took place. Molecular weight distribution indicated a polymerization of chromophoric groups after fungal treatment. (C) 1997 Elsevier Science Ltd. All rights reserved.</w:t>
      </w:r>
    </w:p>
    <w:p w:rsidR="00B95188" w:rsidRPr="00A428C3" w:rsidRDefault="00B95188" w:rsidP="00B95188">
      <w:pPr>
        <w:pStyle w:val="a0"/>
      </w:pPr>
      <w:r w:rsidRPr="00A428C3">
        <w:t>Keywords: Phanerochaete-Chrysosporium, Peroxidase</w:t>
      </w:r>
    </w:p>
    <w:p w:rsidR="00B95188" w:rsidRPr="00A428C3" w:rsidRDefault="00B95188" w:rsidP="00B95188">
      <w:pPr>
        <w:pStyle w:val="a0"/>
      </w:pPr>
      <w:r w:rsidRPr="00A428C3">
        <w:t>Sar, P., Kazy, S.K., Asthana, R.K.</w:t>
      </w:r>
      <w:r w:rsidR="00F81221">
        <w:t xml:space="preserve"> and </w:t>
      </w:r>
      <w:r w:rsidRPr="00A428C3">
        <w:t>Singh, S.P. (1999), Metal adsorption</w:t>
      </w:r>
      <w:r w:rsidR="00F81221">
        <w:t xml:space="preserve"> and </w:t>
      </w:r>
      <w:r w:rsidRPr="00A428C3">
        <w:t xml:space="preserve">desorption by lyophilized </w:t>
      </w:r>
      <w:r w:rsidRPr="00A428C3">
        <w:rPr>
          <w:i/>
          <w:iCs/>
        </w:rPr>
        <w:t>Pseudomonas aeruginosa</w:t>
      </w:r>
      <w:r w:rsidRPr="00A428C3">
        <w:t xml:space="preserve">. </w:t>
      </w:r>
      <w:r w:rsidRPr="00A428C3">
        <w:rPr>
          <w:i/>
        </w:rPr>
        <w:t>International Biodeterioration &amp; Biodegradation</w:t>
      </w:r>
      <w:r w:rsidRPr="00A428C3">
        <w:t xml:space="preserve">, </w:t>
      </w:r>
      <w:r w:rsidRPr="00A428C3">
        <w:rPr>
          <w:b/>
        </w:rPr>
        <w:t>44</w:t>
      </w:r>
      <w:r w:rsidRPr="00A428C3">
        <w:t xml:space="preserve"> (2-3), 101-110.</w:t>
      </w:r>
    </w:p>
    <w:p w:rsidR="00B95188" w:rsidRPr="00A428C3" w:rsidRDefault="00B95188" w:rsidP="00B95188">
      <w:pPr>
        <w:pStyle w:val="a0"/>
      </w:pPr>
      <w:r w:rsidRPr="00A428C3">
        <w:t xml:space="preserve">Full Text: </w:t>
      </w:r>
      <w:hyperlink r:id="rId1585" w:history="1">
        <w:r w:rsidRPr="00A428C3">
          <w:rPr>
            <w:rStyle w:val="a5"/>
          </w:rPr>
          <w:t>I\Int Bio Bio44, 101.pdf</w:t>
        </w:r>
      </w:hyperlink>
    </w:p>
    <w:p w:rsidR="00B95188" w:rsidRPr="00A428C3" w:rsidRDefault="00B95188" w:rsidP="00B95188">
      <w:pPr>
        <w:pStyle w:val="a0"/>
      </w:pPr>
      <w:r w:rsidRPr="00A428C3">
        <w:t>Abstract: Biosorption of nickel (Ni</w:t>
      </w:r>
      <w:r w:rsidRPr="00A428C3">
        <w:rPr>
          <w:vertAlign w:val="superscript"/>
        </w:rPr>
        <w:t>2+</w:t>
      </w:r>
      <w:r w:rsidRPr="00A428C3">
        <w:t>)</w:t>
      </w:r>
      <w:r w:rsidR="00F81221">
        <w:t xml:space="preserve"> and </w:t>
      </w:r>
      <w:r w:rsidRPr="00A428C3">
        <w:t>copper (Cu</w:t>
      </w:r>
      <w:r w:rsidRPr="00A428C3">
        <w:rPr>
          <w:vertAlign w:val="superscript"/>
        </w:rPr>
        <w:t>2+</w:t>
      </w:r>
      <w:r w:rsidRPr="00A428C3">
        <w:t xml:space="preserve">) by lyophilized </w:t>
      </w:r>
      <w:r w:rsidRPr="00A428C3">
        <w:rPr>
          <w:i/>
          <w:iCs/>
        </w:rPr>
        <w:t>Pseudomonas aeruginosa</w:t>
      </w:r>
      <w:r w:rsidRPr="00A428C3">
        <w:t xml:space="preserve"> cells was investigated based on Freundlich isotherm. Bacterial biomass showed significant sorption of both Ni (265 mg g</w:t>
      </w:r>
      <w:r w:rsidRPr="00A428C3">
        <w:rPr>
          <w:vertAlign w:val="superscript"/>
        </w:rPr>
        <w:t>−1</w:t>
      </w:r>
      <w:r w:rsidRPr="00A428C3">
        <w:t>) or Cu (137.6 mg g</w:t>
      </w:r>
      <w:r w:rsidRPr="00A428C3">
        <w:rPr>
          <w:vertAlign w:val="superscript"/>
        </w:rPr>
        <w:t>−1</w:t>
      </w:r>
      <w:r w:rsidRPr="00A428C3">
        <w:t>),</w:t>
      </w:r>
      <w:r w:rsidR="00F81221">
        <w:t xml:space="preserve"> and </w:t>
      </w:r>
      <w:r w:rsidRPr="00A428C3">
        <w:t>was also superior over the cation exchanger, IRA 400 (98 mg Ni g</w:t>
      </w:r>
      <w:r w:rsidRPr="00A428C3">
        <w:rPr>
          <w:vertAlign w:val="superscript"/>
        </w:rPr>
        <w:t>−1</w:t>
      </w:r>
      <w:r w:rsidRPr="00A428C3">
        <w:t xml:space="preserve"> or 26.6 mg Cu g</w:t>
      </w:r>
      <w:r w:rsidRPr="00A428C3">
        <w:rPr>
          <w:vertAlign w:val="superscript"/>
        </w:rPr>
        <w:t>−1</w:t>
      </w:r>
      <w:r w:rsidRPr="00A428C3">
        <w:t>). Metal binding by the test organism was a fast saturating, pH-dependent process. The optimum pH for Cu adsorption was 7.0</w:t>
      </w:r>
      <w:r w:rsidR="00F81221">
        <w:t xml:space="preserve"> and </w:t>
      </w:r>
      <w:r w:rsidRPr="00A428C3">
        <w:t>for Ni 8.0. X-ray diffraction studies revealed that both cations were deposited on the cell predominantly as phosphide crystals. The participation of carboxyl, carbonyl,</w:t>
      </w:r>
      <w:r w:rsidR="00F81221">
        <w:t xml:space="preserve"> and </w:t>
      </w:r>
      <w:r w:rsidRPr="00A428C3">
        <w:t>phosphoryl groups along with H-bonding in metal sorption was evident in IR spectra. Biomass pretreatment by agents like NaOH, NH</w:t>
      </w:r>
      <w:r w:rsidRPr="00A428C3">
        <w:rPr>
          <w:vertAlign w:val="subscript"/>
        </w:rPr>
        <w:t>4</w:t>
      </w:r>
      <w:r w:rsidRPr="00A428C3">
        <w:t>OH or toluene enhanced the metal loading capacity, whereas, oven heating (</w:t>
      </w:r>
      <w:smartTag w:uri="urn:schemas-microsoft-com:office:smarttags" w:element="chmetcnv">
        <w:smartTagPr>
          <w:attr w:name="TCSC" w:val="0"/>
          <w:attr w:name="NumberType" w:val="1"/>
          <w:attr w:name="Negative" w:val="False"/>
          <w:attr w:name="HasSpace" w:val="False"/>
          <w:attr w:name="SourceValue" w:val="80"/>
          <w:attr w:name="UnitName" w:val="ﾰC"/>
        </w:smartTagPr>
        <w:r w:rsidRPr="00A428C3">
          <w:t>80°C</w:t>
        </w:r>
      </w:smartTag>
      <w:r w:rsidRPr="00A428C3">
        <w:t>), autoclaving (</w:t>
      </w:r>
      <w:smartTag w:uri="urn:schemas-microsoft-com:office:smarttags" w:element="chmetcnv">
        <w:smartTagPr>
          <w:attr w:name="TCSC" w:val="0"/>
          <w:attr w:name="NumberType" w:val="1"/>
          <w:attr w:name="Negative" w:val="False"/>
          <w:attr w:name="HasSpace" w:val="False"/>
          <w:attr w:name="SourceValue" w:val="120"/>
          <w:attr w:name="UnitName" w:val="ﾰC"/>
        </w:smartTagPr>
        <w:r w:rsidRPr="00A428C3">
          <w:t>120°C</w:t>
        </w:r>
      </w:smartTag>
      <w:r w:rsidRPr="00A428C3">
        <w:t xml:space="preserve">, </w:t>
      </w:r>
      <w:smartTag w:uri="urn:schemas-microsoft-com:office:smarttags" w:element="chmetcnv">
        <w:smartTagPr>
          <w:attr w:name="TCSC" w:val="0"/>
          <w:attr w:name="NumberType" w:val="1"/>
          <w:attr w:name="Negative" w:val="False"/>
          <w:attr w:name="HasSpace" w:val="True"/>
          <w:attr w:name="SourceValue" w:val="15"/>
          <w:attr w:name="UnitName" w:val="lb"/>
        </w:smartTagPr>
        <w:r w:rsidRPr="00A428C3">
          <w:t>15 lb</w:t>
        </w:r>
      </w:smartTag>
      <w:r w:rsidRPr="00A428C3">
        <w:t xml:space="preserve"> (in.</w:t>
      </w:r>
      <w:r w:rsidRPr="00A428C3">
        <w:rPr>
          <w:vertAlign w:val="superscript"/>
        </w:rPr>
        <w:t>2</w:t>
      </w:r>
      <w:r w:rsidRPr="00A428C3">
        <w:t>)</w:t>
      </w:r>
      <w:r w:rsidRPr="00A428C3">
        <w:rPr>
          <w:vertAlign w:val="superscript"/>
        </w:rPr>
        <w:t>−1</w:t>
      </w:r>
      <w:r w:rsidRPr="00A428C3">
        <w:t>), acid, detergent</w:t>
      </w:r>
      <w:r w:rsidR="00F81221">
        <w:t xml:space="preserve"> and </w:t>
      </w:r>
      <w:r w:rsidRPr="00A428C3">
        <w:t>acetone treatments were inhibitory. In bimetallic combination, Na, K or Ca increased sorption of Ni as well as Cu in contrast to Cd or Pb. Mineral acids (HCl, H</w:t>
      </w:r>
      <w:r w:rsidRPr="00A428C3">
        <w:rPr>
          <w:vertAlign w:val="subscript"/>
        </w:rPr>
        <w:t>2</w:t>
      </w:r>
      <w:r w:rsidRPr="00A428C3">
        <w:t>SO</w:t>
      </w:r>
      <w:r w:rsidRPr="00A428C3">
        <w:rPr>
          <w:vertAlign w:val="subscript"/>
        </w:rPr>
        <w:t>4</w:t>
      </w:r>
      <w:r w:rsidR="00F81221">
        <w:t xml:space="preserve"> and </w:t>
      </w:r>
      <w:r w:rsidRPr="00A428C3">
        <w:t>HNO</w:t>
      </w:r>
      <w:r w:rsidRPr="00A428C3">
        <w:rPr>
          <w:vertAlign w:val="subscript"/>
        </w:rPr>
        <w:t>3</w:t>
      </w:r>
      <w:r w:rsidRPr="00A428C3">
        <w:t>)</w:t>
      </w:r>
      <w:r w:rsidR="00F81221">
        <w:t xml:space="preserve"> and </w:t>
      </w:r>
      <w:r w:rsidRPr="00A428C3">
        <w:t>NTA could recover more than 75% (on average) Ni or Cu adsorbed on the biomass. Calcium carbonate (</w:t>
      </w:r>
      <w:smartTag w:uri="urn:schemas-microsoft-com:office:smarttags" w:element="chmetcnv">
        <w:smartTagPr>
          <w:attr w:name="TCSC" w:val="0"/>
          <w:attr w:name="NumberType" w:val="1"/>
          <w:attr w:name="Negative" w:val="False"/>
          <w:attr w:name="HasSpace" w:val="True"/>
          <w:attr w:name="SourceValue" w:val="10"/>
          <w:attr w:name="UnitName" w:val="mm"/>
        </w:smartTagPr>
        <w:r w:rsidRPr="00A428C3">
          <w:t>10 mM</w:t>
        </w:r>
      </w:smartTag>
      <w:r w:rsidRPr="00A428C3">
        <w:t>) was efficient in Ni desorption (71%) compared to Cu (57%). Noticeably sodium carbonate remained specific for Cu remobilization (88%) than Ni (21%). The data are in favour of deployment of the test biomass as an efficient metal removal/recovery system. (C) 1999 Elsevier Science Ltd. All rights reserved.</w:t>
      </w:r>
    </w:p>
    <w:p w:rsidR="00B95188" w:rsidRPr="00A428C3" w:rsidRDefault="00B95188" w:rsidP="00B95188">
      <w:pPr>
        <w:pStyle w:val="a0"/>
      </w:pPr>
      <w:r w:rsidRPr="00A428C3">
        <w:t>Chen, B.Y., Utgikar, V.P., Harmon, S.M., Tabak, H.H., Bishop, D.F.</w:t>
      </w:r>
      <w:r w:rsidR="00F81221">
        <w:t xml:space="preserve"> and </w:t>
      </w:r>
      <w:r w:rsidRPr="00A428C3">
        <w:t>Govind, R. (2000), Studies on biosorption of zinc(II)</w:t>
      </w:r>
      <w:r w:rsidR="00F81221">
        <w:t xml:space="preserve"> and </w:t>
      </w:r>
      <w:r w:rsidRPr="00A428C3">
        <w:t xml:space="preserve">copper(II) on </w:t>
      </w:r>
      <w:r w:rsidRPr="00A428C3">
        <w:rPr>
          <w:i/>
          <w:iCs/>
        </w:rPr>
        <w:t>Desulfovibrio desulfuricans</w:t>
      </w:r>
      <w:r w:rsidRPr="00A428C3">
        <w:t xml:space="preserve">. </w:t>
      </w:r>
      <w:r w:rsidRPr="00A428C3">
        <w:rPr>
          <w:i/>
        </w:rPr>
        <w:t>International Biodeterioration &amp; Biodegradation</w:t>
      </w:r>
      <w:r w:rsidRPr="00A428C3">
        <w:t xml:space="preserve">, </w:t>
      </w:r>
      <w:r w:rsidRPr="00A428C3">
        <w:rPr>
          <w:b/>
        </w:rPr>
        <w:t>46</w:t>
      </w:r>
      <w:r w:rsidRPr="00A428C3">
        <w:t xml:space="preserve"> (1), 11-18.</w:t>
      </w:r>
    </w:p>
    <w:p w:rsidR="00B95188" w:rsidRPr="00A428C3" w:rsidRDefault="00B95188" w:rsidP="00B95188">
      <w:pPr>
        <w:pStyle w:val="a0"/>
      </w:pPr>
      <w:r w:rsidRPr="00A428C3">
        <w:t xml:space="preserve">Full Text: </w:t>
      </w:r>
      <w:hyperlink r:id="rId1586" w:history="1">
        <w:r w:rsidRPr="00A428C3">
          <w:rPr>
            <w:rStyle w:val="a5"/>
          </w:rPr>
          <w:t>I\Int Bio Bio46, 11.pdf</w:t>
        </w:r>
      </w:hyperlink>
    </w:p>
    <w:p w:rsidR="00B95188" w:rsidRPr="00A428C3" w:rsidRDefault="00B95188" w:rsidP="00B95188">
      <w:pPr>
        <w:pStyle w:val="a0"/>
      </w:pPr>
      <w:r w:rsidRPr="00A428C3">
        <w:lastRenderedPageBreak/>
        <w:t>Abstract: The objectives of these studies are to determine the equilibrium concentration</w:t>
      </w:r>
      <w:r w:rsidR="00F81221">
        <w:t xml:space="preserve"> and </w:t>
      </w:r>
      <w:r w:rsidRPr="00A428C3">
        <w:t>kinetics of metal sorption on sulfate-reducing bacteria (SRB) isolates. Adsorption establishes the net reversible cellular metal uptake</w:t>
      </w:r>
      <w:r w:rsidR="00F81221">
        <w:t xml:space="preserve"> and </w:t>
      </w:r>
      <w:r w:rsidRPr="00A428C3">
        <w:t>is related to SRB metal toxicity</w:t>
      </w:r>
      <w:r w:rsidR="00F81221">
        <w:t xml:space="preserve"> and </w:t>
      </w:r>
      <w:r w:rsidRPr="00A428C3">
        <w:t>the effects of environmental factors. Results from biosorption equilibria</w:t>
      </w:r>
      <w:r w:rsidR="00F81221">
        <w:t xml:space="preserve"> and </w:t>
      </w:r>
      <w:r w:rsidRPr="00A428C3">
        <w:t>kinetics of copper(II)</w:t>
      </w:r>
      <w:r w:rsidR="00F81221">
        <w:t xml:space="preserve"> and </w:t>
      </w:r>
      <w:r w:rsidRPr="00A428C3">
        <w:t>zinc(II) ions on Desulfovibrio desulfuricans</w:t>
      </w:r>
      <w:r w:rsidR="00F81221">
        <w:t xml:space="preserve"> and </w:t>
      </w:r>
      <w:r w:rsidRPr="00A428C3">
        <w:t>the effects of adsorption of these metals on SRB are discussed. Adsorption studies were conducted using stationary phase cells with equilibrium uptake at 24 h</w:t>
      </w:r>
      <w:r w:rsidR="00F81221">
        <w:t xml:space="preserve"> and </w:t>
      </w:r>
      <w:r w:rsidRPr="00A428C3">
        <w:t>pHs in the range of 4-7. Equilibrium adsorption in milligram of metal/g dry cell for copper(II) of 2.03 (pH 4.0)</w:t>
      </w:r>
      <w:r w:rsidR="00F81221">
        <w:t xml:space="preserve"> and </w:t>
      </w:r>
      <w:r w:rsidRPr="00A428C3">
        <w:t>16.7 (pH 5.0)</w:t>
      </w:r>
      <w:r w:rsidR="00F81221">
        <w:t xml:space="preserve"> and </w:t>
      </w:r>
      <w:r w:rsidRPr="00A428C3">
        <w:t>zinc(II) of 6.40 (pH 5.5), 13.8 (pH 6.0), 39.2 (pH 6.2)</w:t>
      </w:r>
      <w:r w:rsidR="00F81221">
        <w:t xml:space="preserve"> and </w:t>
      </w:r>
      <w:r w:rsidRPr="00A428C3">
        <w:t>49.6 (pH 6.6) was measured experimentally. Negligible biosorption of copper</w:t>
      </w:r>
      <w:r w:rsidR="00F81221">
        <w:t xml:space="preserve"> and </w:t>
      </w:r>
      <w:r w:rsidRPr="00A428C3">
        <w:t>zinc was found below pH 4.0, with metal sorption increasing within a limited range of pH mainly due to the neutral and/or deprotonated state of binding ligands on cell walls. Competition of metal ions during biosorption was investigated by conducting sorption experiments with Zn(II) using potassium phosphate buffer (KP)</w:t>
      </w:r>
      <w:r w:rsidR="00F81221">
        <w:t xml:space="preserve"> and </w:t>
      </w:r>
      <w:r w:rsidRPr="00A428C3">
        <w:t>deionized/distilled water. Zn(II) sorption capacity was lower in KP buffer than deionized water due to competition from potassium ions. Scanning Electron Microscope micrographs indicated that metal biosorption on SRB may be related to the production of extracellular polymeric substance (e.g., polysaccharide). Published by Elsevier Science Ltd.</w:t>
      </w:r>
    </w:p>
    <w:p w:rsidR="00B95188" w:rsidRPr="00A428C3" w:rsidRDefault="00B95188" w:rsidP="00B95188">
      <w:pPr>
        <w:pStyle w:val="a0"/>
      </w:pPr>
      <w:r w:rsidRPr="00A428C3">
        <w:t xml:space="preserve">Keywords: </w:t>
      </w:r>
      <w:r w:rsidRPr="00A428C3">
        <w:rPr>
          <w:i/>
          <w:iCs/>
        </w:rPr>
        <w:t>Pseudomonas-Aeruginosa</w:t>
      </w:r>
      <w:r w:rsidRPr="00A428C3">
        <w:t xml:space="preserve"> Pu21, Reduction, Biomass, Cadmium, Lead</w:t>
      </w:r>
    </w:p>
    <w:p w:rsidR="00B95188" w:rsidRPr="00A428C3" w:rsidRDefault="00B95188" w:rsidP="00B95188">
      <w:pPr>
        <w:pStyle w:val="a0"/>
      </w:pPr>
      <w:r w:rsidRPr="00A428C3">
        <w:t>Utgikar, V., Chen, B.Y., Tabak, H.H., Bishop, D.F.</w:t>
      </w:r>
      <w:r w:rsidR="00F81221">
        <w:t xml:space="preserve"> and </w:t>
      </w:r>
      <w:r w:rsidRPr="00A428C3">
        <w:t xml:space="preserve">Govind, R. (2000), Treatment of acid mine drainage: </w:t>
      </w:r>
      <w:smartTag w:uri="urn:schemas-microsoft-com:office:smarttags" w:element="place">
        <w:r w:rsidRPr="00A428C3">
          <w:t>I.</w:t>
        </w:r>
      </w:smartTag>
      <w:r w:rsidRPr="00A428C3">
        <w:t xml:space="preserve"> Equilibrium biosorption of zinc</w:t>
      </w:r>
      <w:r w:rsidR="00F81221">
        <w:t xml:space="preserve"> and </w:t>
      </w:r>
      <w:r w:rsidRPr="00A428C3">
        <w:t xml:space="preserve">copper on non-viable activated sludge. </w:t>
      </w:r>
      <w:r w:rsidRPr="00A428C3">
        <w:rPr>
          <w:i/>
        </w:rPr>
        <w:t>International Biodeterioration &amp; Biodegradation</w:t>
      </w:r>
      <w:r w:rsidRPr="00A428C3">
        <w:t xml:space="preserve">, </w:t>
      </w:r>
      <w:r w:rsidRPr="00A428C3">
        <w:rPr>
          <w:b/>
        </w:rPr>
        <w:t>46</w:t>
      </w:r>
      <w:r w:rsidRPr="00A428C3">
        <w:t xml:space="preserve"> (1), 19-28.</w:t>
      </w:r>
    </w:p>
    <w:p w:rsidR="00B95188" w:rsidRPr="00A428C3" w:rsidRDefault="00B95188" w:rsidP="00B95188">
      <w:pPr>
        <w:pStyle w:val="a0"/>
      </w:pPr>
      <w:r w:rsidRPr="00A428C3">
        <w:t xml:space="preserve">Full Text: </w:t>
      </w:r>
      <w:hyperlink r:id="rId1587" w:history="1">
        <w:r w:rsidRPr="00A428C3">
          <w:rPr>
            <w:rStyle w:val="a5"/>
          </w:rPr>
          <w:t>I\Int Bio Bio46, 19.pdf</w:t>
        </w:r>
      </w:hyperlink>
    </w:p>
    <w:p w:rsidR="00B95188" w:rsidRPr="00A428C3" w:rsidRDefault="00B95188" w:rsidP="00B95188">
      <w:pPr>
        <w:pStyle w:val="a0"/>
        <w:rPr>
          <w:rFonts w:eastAsia="Arial Unicode MS"/>
        </w:rPr>
      </w:pPr>
      <w:r w:rsidRPr="00A428C3">
        <w:t>Abstract: Biosorption is potentially attractive technology for treatment of acid mine drainage for separation/recovery of metal ions</w:t>
      </w:r>
      <w:r w:rsidR="00F81221">
        <w:t xml:space="preserve"> and </w:t>
      </w:r>
      <w:r w:rsidRPr="00A428C3">
        <w:t>mitigation of their toxicity to sulfate reducing bacteria. This study describes the equilibrium biosorption of Zn(II)</w:t>
      </w:r>
      <w:r w:rsidR="00F81221">
        <w:t xml:space="preserve"> and </w:t>
      </w:r>
      <w:r w:rsidRPr="00A428C3">
        <w:t>Cu(II) by nonviable activated sludge in a packed column adsorber. The Zn(II) uptake capacity of unconditioned sludge (not subjected to processing other than drying) was found to decrease in repeated adsorption-desorption cycles, declining by a factor greater than 20 from cycle 1 to cycle 6, Equilibrium uptake of metals by dried sludge conditioned by exposure to deionized water at a pH corresponding to that of the feed solution showed a strong pH dependence</w:t>
      </w:r>
      <w:r w:rsidR="00F81221">
        <w:t xml:space="preserve"> and </w:t>
      </w:r>
      <w:r w:rsidRPr="00A428C3">
        <w:t>was modeled using the Langmuir adsorption isotherm. Equilibrium metal uptakes from solutions containing single metal ion were 2.5 mg g(dry biomass)</w:t>
      </w:r>
      <w:r w:rsidRPr="00A428C3">
        <w:rPr>
          <w:vertAlign w:val="superscript"/>
        </w:rPr>
        <w:t>-1</w:t>
      </w:r>
      <w:r w:rsidR="00F81221">
        <w:t xml:space="preserve"> and </w:t>
      </w:r>
      <w:r w:rsidRPr="00A428C3">
        <w:t>3.4 mg g(dry biomass)</w:t>
      </w:r>
      <w:r w:rsidRPr="00A428C3">
        <w:rPr>
          <w:vertAlign w:val="superscript"/>
        </w:rPr>
        <w:t>-1</w:t>
      </w:r>
      <w:r w:rsidRPr="00A428C3">
        <w:t xml:space="preserve"> for Zn(II),</w:t>
      </w:r>
      <w:r w:rsidR="00F81221">
        <w:t xml:space="preserve"> and </w:t>
      </w:r>
      <w:r w:rsidRPr="00A428C3">
        <w:t>1.9 mg g(dry biomass)</w:t>
      </w:r>
      <w:r w:rsidRPr="00A428C3">
        <w:rPr>
          <w:vertAlign w:val="superscript"/>
        </w:rPr>
        <w:t>-1</w:t>
      </w:r>
      <w:r w:rsidR="00F81221">
        <w:t xml:space="preserve"> and </w:t>
      </w:r>
      <w:r w:rsidRPr="00A428C3">
        <w:t>5.9 mg g(dry biomass)</w:t>
      </w:r>
      <w:r w:rsidRPr="00A428C3">
        <w:rPr>
          <w:vertAlign w:val="superscript"/>
        </w:rPr>
        <w:t>-1</w:t>
      </w:r>
      <w:r w:rsidRPr="00A428C3">
        <w:t xml:space="preserve"> for Cu(II) at pH 3.0</w:t>
      </w:r>
      <w:r w:rsidR="00F81221">
        <w:t xml:space="preserve"> and </w:t>
      </w:r>
      <w:r w:rsidRPr="00A428C3">
        <w:t>3.8, respectively. Equilibrium uptakes from binary mixtures were 30% lower than single component solution uptakes for both metals, indicating some competition between the two metals. No hysteresis was detected between adsorption</w:t>
      </w:r>
      <w:r w:rsidR="00F81221">
        <w:t xml:space="preserve"> and </w:t>
      </w:r>
      <w:r w:rsidRPr="00A428C3">
        <w:t xml:space="preserve">desorption </w:t>
      </w:r>
      <w:r w:rsidRPr="00A428C3">
        <w:lastRenderedPageBreak/>
        <w:t>equilibria. Anion concentration</w:t>
      </w:r>
      <w:r w:rsidR="00F81221">
        <w:t xml:space="preserve"> and </w:t>
      </w:r>
      <w:r w:rsidRPr="00A428C3">
        <w:t>pH measurements indicated that simultaneous sorption of metal cation</w:t>
      </w:r>
      <w:r w:rsidR="00F81221">
        <w:t xml:space="preserve"> and </w:t>
      </w:r>
      <w:r w:rsidRPr="00A428C3">
        <w:t>sulfate anion was probably occurring at pH 3.0, while proton exchange predominated at pH 3.8. Results of the study point to the usefulness of non-viable activated sludge as a biosorbent for recovery/separation of metal ions from acid mine drainages. Published by Elsevier Science Ltd.</w:t>
      </w:r>
    </w:p>
    <w:p w:rsidR="00B95188" w:rsidRPr="00A428C3" w:rsidRDefault="00B95188" w:rsidP="00B95188">
      <w:pPr>
        <w:pStyle w:val="a0"/>
      </w:pPr>
      <w:r w:rsidRPr="00A428C3">
        <w:t xml:space="preserve">Keywords: Heavy-Metal Biosorption, </w:t>
      </w:r>
      <w:r w:rsidRPr="00A428C3">
        <w:rPr>
          <w:i/>
          <w:iCs/>
        </w:rPr>
        <w:t>Pseudomonas-Aeruginosa</w:t>
      </w:r>
      <w:r w:rsidRPr="00A428C3">
        <w:t xml:space="preserve"> PU21, Sulfate Reduction, Toxic Metals, Biomass, Removal, Cadmium, Cells, Adsorption, Bacteria</w:t>
      </w:r>
    </w:p>
    <w:p w:rsidR="00B95188" w:rsidRPr="00A428C3" w:rsidRDefault="00B95188" w:rsidP="00B95188">
      <w:pPr>
        <w:pStyle w:val="a0"/>
      </w:pPr>
      <w:r w:rsidRPr="00A428C3">
        <w:t xml:space="preserve">Omar, H.H. (2002), Bioremoval of zinc ions by </w:t>
      </w:r>
      <w:r w:rsidRPr="00A428C3">
        <w:rPr>
          <w:i/>
          <w:iCs/>
        </w:rPr>
        <w:t>Scenedesmus obliquus</w:t>
      </w:r>
      <w:r w:rsidR="00F81221">
        <w:t xml:space="preserve"> and </w:t>
      </w:r>
      <w:r w:rsidRPr="00A428C3">
        <w:rPr>
          <w:i/>
          <w:iCs/>
        </w:rPr>
        <w:t>Scenedesmus quadricauda</w:t>
      </w:r>
      <w:r w:rsidR="00F81221">
        <w:t xml:space="preserve"> and </w:t>
      </w:r>
      <w:r w:rsidRPr="00A428C3">
        <w:t>its effect on growth</w:t>
      </w:r>
      <w:r w:rsidR="00F81221">
        <w:t xml:space="preserve"> and </w:t>
      </w:r>
      <w:r w:rsidRPr="00A428C3">
        <w:t xml:space="preserve">metabolism. </w:t>
      </w:r>
      <w:r w:rsidRPr="00A428C3">
        <w:rPr>
          <w:i/>
        </w:rPr>
        <w:t>International Biodeterioration &amp; Biodegradation</w:t>
      </w:r>
      <w:r w:rsidRPr="00A428C3">
        <w:t xml:space="preserve">, </w:t>
      </w:r>
      <w:r w:rsidRPr="00A428C3">
        <w:rPr>
          <w:b/>
        </w:rPr>
        <w:t>50</w:t>
      </w:r>
      <w:r w:rsidRPr="00A428C3">
        <w:t xml:space="preserve"> (2), 95-100.</w:t>
      </w:r>
    </w:p>
    <w:p w:rsidR="00B95188" w:rsidRPr="00A428C3" w:rsidRDefault="00B95188" w:rsidP="00B95188">
      <w:pPr>
        <w:pStyle w:val="a0"/>
      </w:pPr>
      <w:r w:rsidRPr="00A428C3">
        <w:t xml:space="preserve">Full Text: </w:t>
      </w:r>
      <w:hyperlink r:id="rId1588" w:history="1">
        <w:r w:rsidRPr="00A428C3">
          <w:rPr>
            <w:rStyle w:val="a5"/>
          </w:rPr>
          <w:t>I\Int Bio Bio50, 95.pdf</w:t>
        </w:r>
      </w:hyperlink>
    </w:p>
    <w:p w:rsidR="00B95188" w:rsidRPr="00A428C3" w:rsidRDefault="00B95188" w:rsidP="00B95188">
      <w:pPr>
        <w:pStyle w:val="a0"/>
      </w:pPr>
      <w:r w:rsidRPr="00A428C3">
        <w:t xml:space="preserve">Abstract: Zinc biosorption by two green algae, </w:t>
      </w:r>
      <w:r w:rsidRPr="00A428C3">
        <w:rPr>
          <w:i/>
          <w:iCs/>
        </w:rPr>
        <w:t>Scenedesmus obliquus</w:t>
      </w:r>
      <w:r w:rsidR="00F81221">
        <w:t xml:space="preserve"> and </w:t>
      </w:r>
      <w:r w:rsidRPr="00A428C3">
        <w:rPr>
          <w:i/>
          <w:iCs/>
        </w:rPr>
        <w:t>Scenedesmus quadricauda</w:t>
      </w:r>
      <w:r w:rsidRPr="00A428C3">
        <w:t>, was investigated. Data show that, at concentrates between 0.5</w:t>
      </w:r>
      <w:r w:rsidR="00F81221">
        <w:t xml:space="preserve"> and </w:t>
      </w:r>
      <w:r w:rsidRPr="00A428C3">
        <w:t xml:space="preserve">8 ppm, zinc adsorption by algae increased with increasing metal ion concentration. The maximum specific adsorptive capacity of zinc ions obtained from the Langmuir adsorption isotherms was higher for </w:t>
      </w:r>
      <w:r w:rsidRPr="00A428C3">
        <w:rPr>
          <w:i/>
          <w:iCs/>
        </w:rPr>
        <w:t>S. obliquus</w:t>
      </w:r>
      <w:r w:rsidRPr="00A428C3">
        <w:t xml:space="preserve"> (6.67)</w:t>
      </w:r>
      <w:r w:rsidR="00F81221">
        <w:t xml:space="preserve"> and </w:t>
      </w:r>
      <w:r w:rsidRPr="00A428C3">
        <w:t xml:space="preserve">lower for </w:t>
      </w:r>
      <w:r w:rsidRPr="00A428C3">
        <w:rPr>
          <w:i/>
          <w:iCs/>
        </w:rPr>
        <w:t>S. quadricauda</w:t>
      </w:r>
      <w:r w:rsidRPr="00A428C3">
        <w:t xml:space="preserve"> (5.03). These </w:t>
      </w:r>
      <w:r w:rsidRPr="00A428C3">
        <w:rPr>
          <w:i/>
          <w:iCs/>
        </w:rPr>
        <w:t>S. obliquus</w:t>
      </w:r>
      <w:r w:rsidRPr="00A428C3">
        <w:t xml:space="preserve"> appears to be more efficient than </w:t>
      </w:r>
      <w:r w:rsidRPr="00A428C3">
        <w:rPr>
          <w:i/>
          <w:iCs/>
        </w:rPr>
        <w:t>S. quadricauda</w:t>
      </w:r>
      <w:r w:rsidRPr="00A428C3">
        <w:t xml:space="preserve"> for removing zinc ions. However, the affinity constant of zinc on the biomass of both algae were 0.19</w:t>
      </w:r>
      <w:r w:rsidR="00F81221">
        <w:t xml:space="preserve"> and </w:t>
      </w:r>
      <w:r w:rsidRPr="00A428C3">
        <w:t xml:space="preserve">0.27 indicating that </w:t>
      </w:r>
      <w:r w:rsidRPr="00A428C3">
        <w:rPr>
          <w:i/>
          <w:iCs/>
        </w:rPr>
        <w:t>S. obliquus</w:t>
      </w:r>
      <w:r w:rsidRPr="00A428C3">
        <w:t xml:space="preserve"> is more tolerant to zinc phytotoxicity than </w:t>
      </w:r>
      <w:r w:rsidRPr="00A428C3">
        <w:rPr>
          <w:i/>
          <w:iCs/>
        </w:rPr>
        <w:t>S. quadricauda</w:t>
      </w:r>
      <w:r w:rsidRPr="00A428C3">
        <w:t>. Algal growth, pigment fractions, total amino acids,</w:t>
      </w:r>
      <w:r w:rsidR="00F81221">
        <w:t xml:space="preserve"> and </w:t>
      </w:r>
      <w:r w:rsidRPr="00A428C3">
        <w:t>the activities of some phosphatases enzyme (acid phosphatase, alkaline phosphatase,</w:t>
      </w:r>
      <w:r w:rsidR="00F81221">
        <w:t xml:space="preserve"> and </w:t>
      </w:r>
      <w:r w:rsidRPr="00A428C3">
        <w:t>ATPase) in the algal cells were measured in the exponential growth phase after exposure to various concentrations of zinc. Lower concentrations of zinc increased dry weight, chlorophyll a, b, carotenoids,</w:t>
      </w:r>
      <w:r w:rsidR="00F81221">
        <w:t xml:space="preserve"> and </w:t>
      </w:r>
      <w:r w:rsidRPr="00A428C3">
        <w:t>total amino acid contents in both algae. On the other hand, higher concentrations of zinc were inhibitory for growth</w:t>
      </w:r>
      <w:r w:rsidR="00F81221">
        <w:t xml:space="preserve"> and </w:t>
      </w:r>
      <w:r w:rsidRPr="00A428C3">
        <w:t>the other metabolic activities.</w:t>
      </w:r>
    </w:p>
    <w:p w:rsidR="00B95188" w:rsidRPr="00A428C3" w:rsidRDefault="00B95188" w:rsidP="00B95188">
      <w:pPr>
        <w:pStyle w:val="a0"/>
      </w:pPr>
      <w:r w:rsidRPr="00A428C3">
        <w:t>Keywords: Zinc, Green Algae, Growth, Amino Acids, Phosphatase, Metal Biosorption</w:t>
      </w:r>
    </w:p>
    <w:p w:rsidR="00B95188" w:rsidRPr="00A428C3" w:rsidRDefault="00B95188" w:rsidP="00B95188">
      <w:pPr>
        <w:pStyle w:val="a0"/>
      </w:pPr>
      <w:r w:rsidRPr="00A428C3">
        <w:t>Dostalek, P., Patzak, M.</w:t>
      </w:r>
      <w:r w:rsidR="00F81221">
        <w:t xml:space="preserve"> and </w:t>
      </w:r>
      <w:r w:rsidRPr="00A428C3">
        <w:t xml:space="preserve">Matejka, P. (2002), Influence of specific growth limitation on biosorption of heavy metals by </w:t>
      </w:r>
      <w:r w:rsidRPr="00A428C3">
        <w:rPr>
          <w:i/>
          <w:iCs/>
        </w:rPr>
        <w:t>Saccharomyces cerevisiae</w:t>
      </w:r>
      <w:r w:rsidRPr="00A428C3">
        <w:t xml:space="preserve">. </w:t>
      </w:r>
      <w:r w:rsidRPr="00A428C3">
        <w:rPr>
          <w:i/>
        </w:rPr>
        <w:t>International Biodeterioration &amp; Biodegradation</w:t>
      </w:r>
      <w:r w:rsidRPr="00A428C3">
        <w:t xml:space="preserve">, </w:t>
      </w:r>
      <w:r w:rsidRPr="00A428C3">
        <w:rPr>
          <w:b/>
        </w:rPr>
        <w:t>54</w:t>
      </w:r>
      <w:r w:rsidRPr="00A428C3">
        <w:t xml:space="preserve"> (2-3), 203-207.</w:t>
      </w:r>
    </w:p>
    <w:p w:rsidR="00B95188" w:rsidRPr="00A428C3" w:rsidRDefault="00B95188" w:rsidP="00B95188">
      <w:pPr>
        <w:pStyle w:val="a0"/>
      </w:pPr>
      <w:r w:rsidRPr="00A428C3">
        <w:t xml:space="preserve">Full Text: </w:t>
      </w:r>
      <w:hyperlink r:id="rId1589" w:history="1">
        <w:r w:rsidRPr="00A428C3">
          <w:rPr>
            <w:rStyle w:val="a5"/>
          </w:rPr>
          <w:t>I\Int Bio Bio54, 203.pdf</w:t>
        </w:r>
      </w:hyperlink>
    </w:p>
    <w:p w:rsidR="00B95188" w:rsidRPr="00A428C3" w:rsidRDefault="00B95188" w:rsidP="00B95188">
      <w:pPr>
        <w:pStyle w:val="a0"/>
      </w:pPr>
      <w:r w:rsidRPr="00A428C3">
        <w:t>Abstract: Biosorption of Cd</w:t>
      </w:r>
      <w:r w:rsidRPr="00A428C3">
        <w:rPr>
          <w:vertAlign w:val="superscript"/>
        </w:rPr>
        <w:t>2+</w:t>
      </w:r>
      <w:r w:rsidRPr="00A428C3">
        <w:t>, Cu</w:t>
      </w:r>
      <w:r w:rsidRPr="00A428C3">
        <w:rPr>
          <w:vertAlign w:val="superscript"/>
        </w:rPr>
        <w:t>2+</w:t>
      </w:r>
      <w:r w:rsidR="00F81221">
        <w:t xml:space="preserve"> and </w:t>
      </w:r>
      <w:r w:rsidRPr="00A428C3">
        <w:t>Ag</w:t>
      </w:r>
      <w:r w:rsidRPr="00A428C3">
        <w:rPr>
          <w:vertAlign w:val="superscript"/>
        </w:rPr>
        <w:t>+</w:t>
      </w:r>
      <w:r w:rsidRPr="00A428C3">
        <w:t xml:space="preserve"> ions by C-, N-, P-, S-, Mg-</w:t>
      </w:r>
      <w:r w:rsidR="00F81221">
        <w:t xml:space="preserve"> and </w:t>
      </w:r>
      <w:r w:rsidRPr="00A428C3">
        <w:t xml:space="preserve">K-limited cells of </w:t>
      </w:r>
      <w:r w:rsidRPr="00A428C3">
        <w:rPr>
          <w:i/>
          <w:iCs/>
        </w:rPr>
        <w:t>Saccharomyces cerevisiae</w:t>
      </w:r>
      <w:r w:rsidRPr="00A428C3">
        <w:t xml:space="preserve"> was examined. Raman spectroscopy</w:t>
      </w:r>
      <w:r w:rsidR="00F81221">
        <w:t xml:space="preserve"> and </w:t>
      </w:r>
      <w:r w:rsidRPr="00A428C3">
        <w:t>analysis of elemental composition were used to identify differences between individual yeast cultures. K-, Mg-</w:t>
      </w:r>
      <w:r w:rsidR="00F81221">
        <w:t xml:space="preserve"> and </w:t>
      </w:r>
      <w:r w:rsidRPr="00A428C3">
        <w:t>C-limited cells accumulated the greatest amounts of Cd</w:t>
      </w:r>
      <w:r w:rsidRPr="00A428C3">
        <w:rPr>
          <w:vertAlign w:val="superscript"/>
        </w:rPr>
        <w:t>2+</w:t>
      </w:r>
      <w:r w:rsidRPr="00A428C3">
        <w:t xml:space="preserve"> ions. The greatest amount of Cu</w:t>
      </w:r>
      <w:r w:rsidRPr="00A428C3">
        <w:rPr>
          <w:vertAlign w:val="superscript"/>
        </w:rPr>
        <w:t>2+</w:t>
      </w:r>
      <w:r w:rsidRPr="00A428C3">
        <w:t xml:space="preserve"> ions was bound by biomass grown in K-limited medium. P-limited cells bound the greatest amount of Ag</w:t>
      </w:r>
      <w:r w:rsidRPr="00A428C3">
        <w:rPr>
          <w:vertAlign w:val="superscript"/>
        </w:rPr>
        <w:t>+</w:t>
      </w:r>
      <w:r w:rsidRPr="00A428C3">
        <w:t xml:space="preserve"> ions, but in contrast they had the lowest sorption capacity for Cd</w:t>
      </w:r>
      <w:r w:rsidRPr="00A428C3">
        <w:rPr>
          <w:vertAlign w:val="superscript"/>
        </w:rPr>
        <w:t>2+</w:t>
      </w:r>
      <w:r w:rsidRPr="00A428C3">
        <w:t xml:space="preserve"> ions. The smallest amounts of Cu</w:t>
      </w:r>
      <w:r w:rsidRPr="00A428C3">
        <w:rPr>
          <w:vertAlign w:val="superscript"/>
        </w:rPr>
        <w:t>2+</w:t>
      </w:r>
      <w:r w:rsidR="00F81221">
        <w:t xml:space="preserve"> and </w:t>
      </w:r>
      <w:r w:rsidRPr="00A428C3">
        <w:t>Ag</w:t>
      </w:r>
      <w:r w:rsidRPr="00A428C3">
        <w:rPr>
          <w:vertAlign w:val="superscript"/>
        </w:rPr>
        <w:t>+</w:t>
      </w:r>
      <w:r w:rsidRPr="00A428C3">
        <w:t xml:space="preserve"> ions was bound by biomass grown in S-limited medium.</w:t>
      </w:r>
    </w:p>
    <w:p w:rsidR="00B95188" w:rsidRPr="00A428C3" w:rsidRDefault="00B95188" w:rsidP="00B95188">
      <w:pPr>
        <w:pStyle w:val="a0"/>
      </w:pPr>
      <w:r w:rsidRPr="00A428C3">
        <w:lastRenderedPageBreak/>
        <w:t>Keywords: FT Raman Spectroscopy, Elemental Analysis, Biosorption, Continuous Cultivation, Yeast, Cadmium, Silver, Copper</w:t>
      </w:r>
    </w:p>
    <w:p w:rsidR="00B95188" w:rsidRPr="00A428C3" w:rsidRDefault="00B95188" w:rsidP="00B95188">
      <w:pPr>
        <w:pStyle w:val="a0"/>
      </w:pPr>
      <w:r w:rsidRPr="00A428C3">
        <w:t>Marseaut, S., Debourg, A., Dostálek, P., Votruba, J., Kuncová, G.</w:t>
      </w:r>
      <w:r w:rsidR="00F81221">
        <w:t xml:space="preserve"> and </w:t>
      </w:r>
      <w:r w:rsidRPr="00A428C3">
        <w:t xml:space="preserve">Tobin, J.M. (2004), A silica matrix biosorbent of cadmium. </w:t>
      </w:r>
      <w:r w:rsidRPr="00A428C3">
        <w:rPr>
          <w:i/>
        </w:rPr>
        <w:t>International Biodeterioration &amp; Biodegradation</w:t>
      </w:r>
      <w:r w:rsidRPr="00A428C3">
        <w:t xml:space="preserve">, </w:t>
      </w:r>
      <w:r w:rsidRPr="00A428C3">
        <w:rPr>
          <w:b/>
        </w:rPr>
        <w:t>54</w:t>
      </w:r>
      <w:r w:rsidRPr="00A428C3">
        <w:t xml:space="preserve"> (2-3), 209-214.</w:t>
      </w:r>
    </w:p>
    <w:p w:rsidR="00B95188" w:rsidRPr="00A428C3" w:rsidRDefault="00B95188" w:rsidP="00B95188">
      <w:pPr>
        <w:pStyle w:val="a0"/>
      </w:pPr>
      <w:r w:rsidRPr="00A428C3">
        <w:t xml:space="preserve">Full Text: </w:t>
      </w:r>
      <w:hyperlink r:id="rId1590" w:history="1">
        <w:r w:rsidRPr="00A428C3">
          <w:rPr>
            <w:rStyle w:val="a5"/>
          </w:rPr>
          <w:t>I\Int Bio Bio54, 209.pdf</w:t>
        </w:r>
      </w:hyperlink>
    </w:p>
    <w:p w:rsidR="00B95188" w:rsidRPr="00A428C3" w:rsidRDefault="00B95188" w:rsidP="00B95188">
      <w:pPr>
        <w:pStyle w:val="a0"/>
      </w:pPr>
      <w:r w:rsidRPr="00A428C3">
        <w:t>Abstract: In the process of preparation of a non-toxic metal biosorbent by entrapment of yeast cells in silica matrix by sol–gel technique, the homogeneity of yeast cell dispersion</w:t>
      </w:r>
      <w:r w:rsidR="00F81221">
        <w:t xml:space="preserve"> and </w:t>
      </w:r>
      <w:r w:rsidRPr="00A428C3">
        <w:t>prevention of precipitation during tetraethoxysilane pre-polymerization were found to be the parameters substantially influencing the sorption capacity for Cd</w:t>
      </w:r>
      <w:r w:rsidRPr="00A428C3">
        <w:rPr>
          <w:vertAlign w:val="superscript"/>
        </w:rPr>
        <w:t>2+</w:t>
      </w:r>
      <w:r w:rsidRPr="00A428C3">
        <w:t xml:space="preserve">. Ultrasonic treatment of cell walls increased the sorption capacity by 25% as a result of the suppression of their agglomeration. Precipitation during tetraethoxysilane (TEOS) pre-polymerization was tracked by measurement of light absorbance at </w:t>
      </w:r>
      <w:r w:rsidRPr="00A428C3">
        <w:sym w:font="Symbol" w:char="F06C"/>
      </w:r>
      <w:r w:rsidRPr="00A428C3">
        <w:t>=600 nm. The biosorbent formed from pre-polymer with a light absorbance of 0.3 had 50% less sorption capacity than that with an absorbance of 0.05. Modification of the TEOS:methanol:water ratio in the range from 1:10:8 to 1:10:40</w:t>
      </w:r>
      <w:r w:rsidR="00F81221">
        <w:t xml:space="preserve"> and </w:t>
      </w:r>
      <w:r w:rsidRPr="00A428C3">
        <w:t>specific surface between 210</w:t>
      </w:r>
      <w:r w:rsidR="00F81221">
        <w:t xml:space="preserve"> and </w:t>
      </w:r>
      <w:smartTag w:uri="urn:schemas-microsoft-com:office:smarttags" w:element="chmetcnv">
        <w:smartTagPr>
          <w:attr w:name="TCSC" w:val="0"/>
          <w:attr w:name="NumberType" w:val="1"/>
          <w:attr w:name="Negative" w:val="False"/>
          <w:attr w:name="HasSpace" w:val="True"/>
          <w:attr w:name="SourceValue" w:val="390"/>
          <w:attr w:name="UnitName" w:val="m2"/>
        </w:smartTagPr>
        <w:r w:rsidRPr="00A428C3">
          <w:t>390 m</w:t>
        </w:r>
        <w:smartTag w:uri="urn:schemas-microsoft-com:office:smarttags" w:element="chmetcnv">
          <w:smartTagPr>
            <w:attr w:name="TCSC" w:val="0"/>
            <w:attr w:name="NumberType" w:val="1"/>
            <w:attr w:name="Negative" w:val="False"/>
            <w:attr w:name="HasSpace" w:val="True"/>
            <w:attr w:name="SourceValue" w:val="2"/>
            <w:attr w:name="UnitName" w:val="g"/>
          </w:smartTagPr>
          <w:r w:rsidRPr="00A428C3">
            <w:rPr>
              <w:vertAlign w:val="superscript"/>
            </w:rPr>
            <w:t>2</w:t>
          </w:r>
        </w:smartTag>
      </w:smartTag>
      <w:r w:rsidRPr="00A428C3">
        <w:t xml:space="preserve"> g</w:t>
      </w:r>
      <w:r w:rsidRPr="00A428C3">
        <w:rPr>
          <w:vertAlign w:val="superscript"/>
        </w:rPr>
        <w:t>−1</w:t>
      </w:r>
      <w:r w:rsidRPr="00A428C3">
        <w:t xml:space="preserve"> influenced the sorption capacity of biosorbents only within the limits of experimental error. The sorption capacity per unit weight of biosorbent was proportional to the yeast cell wall content. The content could be increased up to a cell walls:SiO</w:t>
      </w:r>
      <w:r w:rsidRPr="00A428C3">
        <w:rPr>
          <w:vertAlign w:val="subscript"/>
        </w:rPr>
        <w:t>2</w:t>
      </w:r>
      <w:r w:rsidRPr="00A428C3">
        <w:t xml:space="preserve"> ratio</w:t>
      </w:r>
      <w:r w:rsidRPr="00A428C3">
        <w:sym w:font="Symbol" w:char="F040"/>
      </w:r>
      <w:r w:rsidRPr="00A428C3">
        <w:t>1.5 (w/w). Biosorbent with higher cell wall content was fragile</w:t>
      </w:r>
      <w:r w:rsidR="00F81221">
        <w:t xml:space="preserve"> and </w:t>
      </w:r>
      <w:r w:rsidRPr="00A428C3">
        <w:t>friable. Biosorbents were shaped by crushing</w:t>
      </w:r>
      <w:r w:rsidR="00F81221">
        <w:t xml:space="preserve"> and </w:t>
      </w:r>
      <w:r w:rsidRPr="00A428C3">
        <w:t>regular particles were prepared by moulding into millimetre-scale cylindrical moulds. In this shaping process, the loss of biosorbent mixture was small</w:t>
      </w:r>
      <w:r w:rsidR="00F81221">
        <w:t xml:space="preserve"> and </w:t>
      </w:r>
      <w:r w:rsidRPr="00A428C3">
        <w:t>the process could easily be scaled up. Using a mathematical model of a packed-bed adsorber, taking into account axial dispersion</w:t>
      </w:r>
      <w:r w:rsidR="00F81221">
        <w:t xml:space="preserve"> and </w:t>
      </w:r>
      <w:r w:rsidRPr="00A428C3">
        <w:t>mass transfer resistance the break-through curve for crushed</w:t>
      </w:r>
      <w:r w:rsidR="00F81221">
        <w:t xml:space="preserve"> and </w:t>
      </w:r>
      <w:r w:rsidRPr="00A428C3">
        <w:t>moulded biosorbent was predicted with high fidelity.</w:t>
      </w:r>
    </w:p>
    <w:p w:rsidR="00B95188" w:rsidRPr="00A428C3" w:rsidRDefault="00B95188" w:rsidP="00B95188">
      <w:pPr>
        <w:pStyle w:val="a0"/>
      </w:pPr>
      <w:r w:rsidRPr="00A428C3">
        <w:t>Keywords: Sol–Gel, Biosorption, Cadmium, Column, Yeast, Cell Wall, Polysaccharides, Encapsulation</w:t>
      </w:r>
    </w:p>
    <w:p w:rsidR="002E075A" w:rsidRDefault="002E075A" w:rsidP="002E075A">
      <w:pPr>
        <w:pStyle w:val="a0"/>
        <w:rPr>
          <w:kern w:val="0"/>
        </w:rPr>
      </w:pPr>
      <w:r>
        <w:rPr>
          <w:kern w:val="0"/>
        </w:rPr>
        <w:t xml:space="preserve">? </w:t>
      </w:r>
      <w:r w:rsidRPr="002E075A">
        <w:rPr>
          <w:kern w:val="0"/>
        </w:rPr>
        <w:t>Pandey</w:t>
      </w:r>
      <w:r>
        <w:rPr>
          <w:rFonts w:hint="eastAsia"/>
          <w:kern w:val="0"/>
        </w:rPr>
        <w:t>,</w:t>
      </w:r>
      <w:r w:rsidRPr="002E075A">
        <w:rPr>
          <w:kern w:val="0"/>
        </w:rPr>
        <w:t xml:space="preserve"> A</w:t>
      </w:r>
      <w:r>
        <w:rPr>
          <w:rFonts w:hint="eastAsia"/>
          <w:kern w:val="0"/>
        </w:rPr>
        <w:t>.,</w:t>
      </w:r>
      <w:r w:rsidRPr="002E075A">
        <w:rPr>
          <w:kern w:val="0"/>
        </w:rPr>
        <w:t xml:space="preserve"> Singh</w:t>
      </w:r>
      <w:r>
        <w:rPr>
          <w:rFonts w:hint="eastAsia"/>
          <w:kern w:val="0"/>
        </w:rPr>
        <w:t>,</w:t>
      </w:r>
      <w:r w:rsidRPr="002E075A">
        <w:rPr>
          <w:kern w:val="0"/>
        </w:rPr>
        <w:t xml:space="preserve"> P</w:t>
      </w:r>
      <w:r>
        <w:rPr>
          <w:rFonts w:hint="eastAsia"/>
          <w:kern w:val="0"/>
        </w:rPr>
        <w:t>.</w:t>
      </w:r>
      <w:r w:rsidR="00F81221">
        <w:rPr>
          <w:rFonts w:hint="eastAsia"/>
          <w:kern w:val="0"/>
        </w:rPr>
        <w:t xml:space="preserve"> and </w:t>
      </w:r>
      <w:r w:rsidRPr="002E075A">
        <w:rPr>
          <w:kern w:val="0"/>
        </w:rPr>
        <w:t>Iyengar</w:t>
      </w:r>
      <w:r>
        <w:rPr>
          <w:rFonts w:hint="eastAsia"/>
          <w:kern w:val="0"/>
        </w:rPr>
        <w:t>,</w:t>
      </w:r>
      <w:r w:rsidRPr="002E075A">
        <w:rPr>
          <w:kern w:val="0"/>
        </w:rPr>
        <w:t xml:space="preserve"> L</w:t>
      </w:r>
      <w:r>
        <w:rPr>
          <w:rFonts w:hint="eastAsia"/>
          <w:kern w:val="0"/>
        </w:rPr>
        <w:t>.</w:t>
      </w:r>
      <w:r>
        <w:rPr>
          <w:kern w:val="0"/>
        </w:rPr>
        <w:t xml:space="preserve"> (200</w:t>
      </w:r>
      <w:r>
        <w:rPr>
          <w:rFonts w:hint="eastAsia"/>
          <w:kern w:val="0"/>
        </w:rPr>
        <w:t>7</w:t>
      </w:r>
      <w:r>
        <w:rPr>
          <w:kern w:val="0"/>
        </w:rPr>
        <w:t xml:space="preserve">), </w:t>
      </w:r>
      <w:r w:rsidRPr="002E075A">
        <w:rPr>
          <w:kern w:val="0"/>
        </w:rPr>
        <w:t>Bacterial decolorization</w:t>
      </w:r>
      <w:r w:rsidR="00F81221">
        <w:rPr>
          <w:kern w:val="0"/>
        </w:rPr>
        <w:t xml:space="preserve"> and </w:t>
      </w:r>
      <w:r w:rsidRPr="002E075A">
        <w:rPr>
          <w:kern w:val="0"/>
        </w:rPr>
        <w:t>degradation of azo dyes</w:t>
      </w:r>
      <w:r>
        <w:rPr>
          <w:kern w:val="0"/>
        </w:rPr>
        <w:t xml:space="preserve">. </w:t>
      </w:r>
      <w:r>
        <w:rPr>
          <w:i/>
          <w:iCs/>
          <w:kern w:val="0"/>
        </w:rPr>
        <w:t>International Biodeterioration &amp; Biodegradation</w:t>
      </w:r>
      <w:r>
        <w:rPr>
          <w:kern w:val="0"/>
        </w:rPr>
        <w:t xml:space="preserve">, </w:t>
      </w:r>
      <w:r>
        <w:rPr>
          <w:rFonts w:hint="eastAsia"/>
          <w:b/>
          <w:bCs/>
          <w:kern w:val="0"/>
        </w:rPr>
        <w:t>59</w:t>
      </w:r>
      <w:r>
        <w:rPr>
          <w:kern w:val="0"/>
        </w:rPr>
        <w:t xml:space="preserve"> (</w:t>
      </w:r>
      <w:r>
        <w:rPr>
          <w:rFonts w:hint="eastAsia"/>
          <w:kern w:val="0"/>
        </w:rPr>
        <w:t>2</w:t>
      </w:r>
      <w:r>
        <w:rPr>
          <w:kern w:val="0"/>
        </w:rPr>
        <w:t xml:space="preserve">), </w:t>
      </w:r>
      <w:r w:rsidRPr="002E075A">
        <w:rPr>
          <w:kern w:val="0"/>
        </w:rPr>
        <w:t>73-84</w:t>
      </w:r>
      <w:r>
        <w:rPr>
          <w:kern w:val="0"/>
        </w:rPr>
        <w:t>.</w:t>
      </w:r>
    </w:p>
    <w:p w:rsidR="002E075A" w:rsidRDefault="002E075A" w:rsidP="002E075A">
      <w:pPr>
        <w:pStyle w:val="a0"/>
        <w:rPr>
          <w:kern w:val="0"/>
        </w:rPr>
      </w:pPr>
      <w:r>
        <w:rPr>
          <w:rFonts w:hint="eastAsia"/>
          <w:kern w:val="0"/>
        </w:rPr>
        <w:t xml:space="preserve">Full Text: </w:t>
      </w:r>
      <w:hyperlink r:id="rId1591" w:history="1">
        <w:r w:rsidR="00E800E6" w:rsidRPr="00E800E6">
          <w:rPr>
            <w:rStyle w:val="a5"/>
            <w:kern w:val="0"/>
          </w:rPr>
          <w:t>2007\Int Bio Bio59, 73.pdf</w:t>
        </w:r>
      </w:hyperlink>
    </w:p>
    <w:p w:rsidR="002E075A" w:rsidRPr="002E075A" w:rsidRDefault="002E075A" w:rsidP="002E075A">
      <w:pPr>
        <w:pStyle w:val="a0"/>
        <w:rPr>
          <w:kern w:val="0"/>
        </w:rPr>
      </w:pPr>
      <w:r w:rsidRPr="002E075A">
        <w:rPr>
          <w:kern w:val="0"/>
        </w:rPr>
        <w:t>Abstract: Azo compounds constitute the largest</w:t>
      </w:r>
      <w:r w:rsidR="00F81221">
        <w:rPr>
          <w:kern w:val="0"/>
        </w:rPr>
        <w:t xml:space="preserve"> and </w:t>
      </w:r>
      <w:r w:rsidRPr="002E075A">
        <w:rPr>
          <w:kern w:val="0"/>
        </w:rPr>
        <w:t>the most diverse group of synthetic dyes</w:t>
      </w:r>
      <w:r w:rsidR="00F81221">
        <w:rPr>
          <w:kern w:val="0"/>
        </w:rPr>
        <w:t xml:space="preserve"> and </w:t>
      </w:r>
      <w:r w:rsidRPr="002E075A">
        <w:rPr>
          <w:kern w:val="0"/>
        </w:rPr>
        <w:t>are widely used in a number of industries such as textile, food, cosmetics</w:t>
      </w:r>
      <w:r w:rsidR="00F81221">
        <w:rPr>
          <w:kern w:val="0"/>
        </w:rPr>
        <w:t xml:space="preserve"> and </w:t>
      </w:r>
      <w:r w:rsidRPr="002E075A">
        <w:rPr>
          <w:kern w:val="0"/>
        </w:rPr>
        <w:t>paper printing. They are generally recalcitrant to biodegradation due to their xenobiotic nature. However microorganisms, being highly versatile, have developed enzyme systems for the decolorization</w:t>
      </w:r>
      <w:r w:rsidR="00F81221">
        <w:rPr>
          <w:kern w:val="0"/>
        </w:rPr>
        <w:t xml:space="preserve"> and </w:t>
      </w:r>
      <w:r w:rsidRPr="002E075A">
        <w:rPr>
          <w:kern w:val="0"/>
        </w:rPr>
        <w:t xml:space="preserve">mineralization of azo dyes under certain environmental conditions. Several genera of Basidomycetes have been shown to mineralize azo dyes. Reductive cleavage of azo bond, leading to the formation of </w:t>
      </w:r>
      <w:r w:rsidRPr="002E075A">
        <w:rPr>
          <w:kern w:val="0"/>
        </w:rPr>
        <w:lastRenderedPageBreak/>
        <w:t>aromatic amines, is the initial reaction during the bacterial metabolism of azo dyes. Anaerobic/anoxic azo dye decolorization by several mixed</w:t>
      </w:r>
      <w:r w:rsidR="00F81221">
        <w:rPr>
          <w:kern w:val="0"/>
        </w:rPr>
        <w:t xml:space="preserve"> and </w:t>
      </w:r>
      <w:r w:rsidRPr="002E075A">
        <w:rPr>
          <w:kern w:val="0"/>
        </w:rPr>
        <w:t>pure bacterial cultures have been reported. Under these conditions, this reaction is nonspecific with respect to organisms as well as dyes. Various mechanisms, which include enzymatic as well as low molecular weight redox mediators, have been proposed for this non-specific reductive cleavage. Only few aerobic bacterial strains that can utilize azo dyes as growth substrates have been isolated. These organisms generally have a narrow substrate range. Degradation of aromatic amines depends on their chemical structure</w:t>
      </w:r>
      <w:r w:rsidR="00F81221">
        <w:rPr>
          <w:kern w:val="0"/>
        </w:rPr>
        <w:t xml:space="preserve"> and </w:t>
      </w:r>
      <w:r w:rsidRPr="002E075A">
        <w:rPr>
          <w:kern w:val="0"/>
        </w:rPr>
        <w:t>the conditions. It is now known that simple aromatic amines can be mineralized under methanogenic conditions. Sulfonated aromatic amines, on the other hand, are resistant</w:t>
      </w:r>
      <w:r w:rsidR="00F81221">
        <w:rPr>
          <w:kern w:val="0"/>
        </w:rPr>
        <w:t xml:space="preserve"> and </w:t>
      </w:r>
      <w:r w:rsidRPr="002E075A">
        <w:rPr>
          <w:kern w:val="0"/>
        </w:rPr>
        <w:t>require specialized aerobic microbial consortia for their mineralization. This review is focused on the bacterial decolorization of azo dyes</w:t>
      </w:r>
      <w:r w:rsidR="00F81221">
        <w:rPr>
          <w:kern w:val="0"/>
        </w:rPr>
        <w:t xml:space="preserve"> and </w:t>
      </w:r>
      <w:r w:rsidRPr="002E075A">
        <w:rPr>
          <w:kern w:val="0"/>
        </w:rPr>
        <w:t>mineralization of aromatic amines, as well as the application of these processes for the treatment of azo-dye-containing wastewaters. (c) 2006 Els</w:t>
      </w:r>
      <w:r>
        <w:rPr>
          <w:kern w:val="0"/>
        </w:rPr>
        <w:t>evier Ltd. All rights reserved.</w:t>
      </w:r>
    </w:p>
    <w:p w:rsidR="002E075A" w:rsidRDefault="002E075A" w:rsidP="002E075A">
      <w:pPr>
        <w:pStyle w:val="a0"/>
        <w:rPr>
          <w:kern w:val="0"/>
        </w:rPr>
      </w:pPr>
      <w:r w:rsidRPr="002E075A">
        <w:rPr>
          <w:kern w:val="0"/>
        </w:rPr>
        <w:t>Keywords: Azo Dyes</w:t>
      </w:r>
      <w:r>
        <w:rPr>
          <w:kern w:val="0"/>
        </w:rPr>
        <w:t>,</w:t>
      </w:r>
      <w:r w:rsidRPr="002E075A">
        <w:rPr>
          <w:kern w:val="0"/>
        </w:rPr>
        <w:t xml:space="preserve"> Decolorization</w:t>
      </w:r>
      <w:r>
        <w:rPr>
          <w:kern w:val="0"/>
        </w:rPr>
        <w:t>,</w:t>
      </w:r>
      <w:r w:rsidRPr="002E075A">
        <w:rPr>
          <w:kern w:val="0"/>
        </w:rPr>
        <w:t xml:space="preserve"> Biodegradation</w:t>
      </w:r>
      <w:r>
        <w:rPr>
          <w:kern w:val="0"/>
        </w:rPr>
        <w:t>,</w:t>
      </w:r>
      <w:r w:rsidRPr="002E075A">
        <w:rPr>
          <w:kern w:val="0"/>
        </w:rPr>
        <w:t xml:space="preserve"> Aromatic Amines</w:t>
      </w:r>
      <w:r>
        <w:rPr>
          <w:kern w:val="0"/>
        </w:rPr>
        <w:t>,</w:t>
      </w:r>
      <w:r w:rsidRPr="002E075A">
        <w:rPr>
          <w:kern w:val="0"/>
        </w:rPr>
        <w:t xml:space="preserve"> Anaerobic/Aerobic Treatment</w:t>
      </w:r>
      <w:r>
        <w:rPr>
          <w:kern w:val="0"/>
        </w:rPr>
        <w:t>,</w:t>
      </w:r>
      <w:r w:rsidRPr="002E075A">
        <w:rPr>
          <w:kern w:val="0"/>
        </w:rPr>
        <w:t xml:space="preserve"> Textile Waste-Water</w:t>
      </w:r>
      <w:r>
        <w:rPr>
          <w:kern w:val="0"/>
        </w:rPr>
        <w:t>,</w:t>
      </w:r>
      <w:r w:rsidRPr="002E075A">
        <w:rPr>
          <w:kern w:val="0"/>
        </w:rPr>
        <w:t xml:space="preserve"> Anaerobic Granular Sludge</w:t>
      </w:r>
      <w:r>
        <w:rPr>
          <w:kern w:val="0"/>
        </w:rPr>
        <w:t>,</w:t>
      </w:r>
      <w:r w:rsidRPr="002E075A">
        <w:rPr>
          <w:kern w:val="0"/>
        </w:rPr>
        <w:t xml:space="preserve"> Reactive Dyebath Effluent</w:t>
      </w:r>
      <w:r>
        <w:rPr>
          <w:kern w:val="0"/>
        </w:rPr>
        <w:t>,</w:t>
      </w:r>
      <w:r w:rsidRPr="002E075A">
        <w:rPr>
          <w:kern w:val="0"/>
        </w:rPr>
        <w:t xml:space="preserve"> Fast Blue S5R</w:t>
      </w:r>
      <w:r>
        <w:rPr>
          <w:kern w:val="0"/>
        </w:rPr>
        <w:t>,</w:t>
      </w:r>
      <w:r w:rsidRPr="002E075A">
        <w:rPr>
          <w:kern w:val="0"/>
        </w:rPr>
        <w:t xml:space="preserve"> Aromatic-Amines</w:t>
      </w:r>
      <w:r>
        <w:rPr>
          <w:kern w:val="0"/>
        </w:rPr>
        <w:t>,</w:t>
      </w:r>
      <w:r w:rsidRPr="002E075A">
        <w:rPr>
          <w:kern w:val="0"/>
        </w:rPr>
        <w:t xml:space="preserve"> Microbial Decolorization</w:t>
      </w:r>
      <w:r>
        <w:rPr>
          <w:kern w:val="0"/>
        </w:rPr>
        <w:t>,</w:t>
      </w:r>
      <w:r w:rsidRPr="002E075A">
        <w:rPr>
          <w:kern w:val="0"/>
        </w:rPr>
        <w:t xml:space="preserve"> Pseudomonas-Aeruginosa</w:t>
      </w:r>
      <w:r>
        <w:rPr>
          <w:kern w:val="0"/>
        </w:rPr>
        <w:t>,</w:t>
      </w:r>
      <w:r w:rsidRPr="002E075A">
        <w:rPr>
          <w:kern w:val="0"/>
        </w:rPr>
        <w:t xml:space="preserve"> Redox Mediator</w:t>
      </w:r>
      <w:r>
        <w:rPr>
          <w:kern w:val="0"/>
        </w:rPr>
        <w:t>,</w:t>
      </w:r>
      <w:r w:rsidRPr="002E075A">
        <w:rPr>
          <w:kern w:val="0"/>
        </w:rPr>
        <w:t xml:space="preserve"> Orange</w:t>
      </w:r>
      <w:r>
        <w:rPr>
          <w:kern w:val="0"/>
        </w:rPr>
        <w:t>-II, Naphthalenesulfonic Acids</w:t>
      </w:r>
    </w:p>
    <w:p w:rsidR="002E075A" w:rsidRDefault="002E075A" w:rsidP="002E075A">
      <w:pPr>
        <w:pStyle w:val="a0"/>
        <w:rPr>
          <w:kern w:val="0"/>
        </w:rPr>
      </w:pPr>
      <w:r>
        <w:rPr>
          <w:kern w:val="0"/>
        </w:rPr>
        <w:t>? Anjaneya, O., Santoshkumar, M., Anand, S.N.</w:t>
      </w:r>
      <w:r w:rsidR="00F81221">
        <w:rPr>
          <w:kern w:val="0"/>
        </w:rPr>
        <w:t xml:space="preserve"> and </w:t>
      </w:r>
      <w:r>
        <w:rPr>
          <w:kern w:val="0"/>
        </w:rPr>
        <w:t xml:space="preserve">Karegoudar, T.B. (2009), Biosorption of acid violet dye from aqueous solutions using native biomass of a new isolate of </w:t>
      </w:r>
      <w:r w:rsidRPr="00565AFC">
        <w:rPr>
          <w:i/>
          <w:kern w:val="0"/>
        </w:rPr>
        <w:t xml:space="preserve">Penicillium </w:t>
      </w:r>
      <w:r w:rsidRPr="00565AFC">
        <w:rPr>
          <w:kern w:val="0"/>
        </w:rPr>
        <w:t>sp</w:t>
      </w:r>
      <w:r>
        <w:rPr>
          <w:kern w:val="0"/>
        </w:rPr>
        <w:t xml:space="preserve">. </w:t>
      </w:r>
      <w:r>
        <w:rPr>
          <w:i/>
          <w:iCs/>
          <w:kern w:val="0"/>
        </w:rPr>
        <w:t>International Biodeterioration &amp; Biodegradation</w:t>
      </w:r>
      <w:r>
        <w:rPr>
          <w:kern w:val="0"/>
        </w:rPr>
        <w:t xml:space="preserve">, </w:t>
      </w:r>
      <w:r>
        <w:rPr>
          <w:b/>
          <w:bCs/>
          <w:kern w:val="0"/>
        </w:rPr>
        <w:t>63</w:t>
      </w:r>
      <w:r>
        <w:rPr>
          <w:kern w:val="0"/>
        </w:rPr>
        <w:t xml:space="preserve"> (6), 782-787.</w:t>
      </w:r>
    </w:p>
    <w:p w:rsidR="002E075A" w:rsidRDefault="002E075A" w:rsidP="002E075A">
      <w:pPr>
        <w:pStyle w:val="a0"/>
        <w:rPr>
          <w:kern w:val="0"/>
        </w:rPr>
      </w:pPr>
      <w:r>
        <w:rPr>
          <w:rFonts w:hint="eastAsia"/>
          <w:kern w:val="0"/>
        </w:rPr>
        <w:t xml:space="preserve">Full Text: </w:t>
      </w:r>
      <w:hyperlink r:id="rId1592" w:history="1">
        <w:r w:rsidRPr="0060555E">
          <w:rPr>
            <w:rStyle w:val="a5"/>
            <w:kern w:val="0"/>
          </w:rPr>
          <w:t>2009\Int Bio Bio63, 782.pdf</w:t>
        </w:r>
      </w:hyperlink>
    </w:p>
    <w:p w:rsidR="00F56C2B" w:rsidRDefault="00F56C2B" w:rsidP="00F56C2B">
      <w:pPr>
        <w:pStyle w:val="a0"/>
        <w:rPr>
          <w:kern w:val="0"/>
        </w:rPr>
      </w:pPr>
      <w:r>
        <w:rPr>
          <w:kern w:val="0"/>
        </w:rPr>
        <w:t xml:space="preserve">Abstract: Laboratory investigation of the potential use of </w:t>
      </w:r>
      <w:r w:rsidRPr="0060555E">
        <w:rPr>
          <w:i/>
          <w:kern w:val="0"/>
        </w:rPr>
        <w:t>Penicillium</w:t>
      </w:r>
      <w:r>
        <w:rPr>
          <w:kern w:val="0"/>
        </w:rPr>
        <w:t xml:space="preserve"> sp. as biosorbent for the removal of acid violet dye from aqueous solution was studied with respect to pH, temperature, biosorbent, initial dye concentrations. </w:t>
      </w:r>
      <w:r w:rsidRPr="0060555E">
        <w:rPr>
          <w:i/>
          <w:kern w:val="0"/>
        </w:rPr>
        <w:t>Penicillium</w:t>
      </w:r>
      <w:r>
        <w:rPr>
          <w:kern w:val="0"/>
        </w:rPr>
        <w:t xml:space="preserve"> sp. decolourizes acid violet (30 mg l</w:t>
      </w:r>
      <w:r>
        <w:rPr>
          <w:kern w:val="0"/>
          <w:vertAlign w:val="superscript"/>
        </w:rPr>
        <w:t>-1</w:t>
      </w:r>
      <w:r>
        <w:rPr>
          <w:kern w:val="0"/>
        </w:rPr>
        <w:t>) within 12 h agitation of 150 rpm at pH 5.7</w:t>
      </w:r>
      <w:r w:rsidR="00F81221">
        <w:rPr>
          <w:kern w:val="0"/>
        </w:rPr>
        <w:t xml:space="preserve"> and </w:t>
      </w:r>
      <w:r>
        <w:rPr>
          <w:kern w:val="0"/>
        </w:rPr>
        <w:t>temperature of 35 degrees C. The pellets exhibited a high dye adsorption capacity (5.88 mg g</w:t>
      </w:r>
      <w:r>
        <w:rPr>
          <w:kern w:val="0"/>
          <w:vertAlign w:val="superscript"/>
        </w:rPr>
        <w:t>-1</w:t>
      </w:r>
      <w:r>
        <w:rPr>
          <w:kern w:val="0"/>
        </w:rPr>
        <w:t>) for acid violet dye over a pH range (4-9); the maximum adsorption was obtained at pH 5.7. The increase of temperature favored biosorption for acid violet, but the optimum temperature was 35 C. Adsorption kinetic data were tested using pseudo-first-order, pseudo-second-order</w:t>
      </w:r>
      <w:r w:rsidR="00F81221">
        <w:rPr>
          <w:kern w:val="0"/>
        </w:rPr>
        <w:t xml:space="preserve"> and </w:t>
      </w:r>
      <w:r>
        <w:rPr>
          <w:kern w:val="0"/>
        </w:rPr>
        <w:t>kinetic studies showed that the biosorption process follows pseudo-first-order rate kinetics with an average rate constant of 0.312 min</w:t>
      </w:r>
      <w:r>
        <w:rPr>
          <w:kern w:val="0"/>
          <w:vertAlign w:val="superscript"/>
        </w:rPr>
        <w:t>-1</w:t>
      </w:r>
      <w:r>
        <w:rPr>
          <w:kern w:val="0"/>
        </w:rPr>
        <w:t>. Isotherm experiments were conducted to determine the sorbent-desorption behavior of examined dye from aqueous solutions using Langmuir</w:t>
      </w:r>
      <w:r w:rsidR="00F81221">
        <w:rPr>
          <w:kern w:val="0"/>
        </w:rPr>
        <w:t xml:space="preserve"> and </w:t>
      </w:r>
      <w:r>
        <w:rPr>
          <w:kern w:val="0"/>
        </w:rPr>
        <w:t>Freundlich equations. Langmuir parameter indicated a maximum adsorption capacity of 4.32 mg g</w:t>
      </w:r>
      <w:r>
        <w:rPr>
          <w:kern w:val="0"/>
          <w:vertAlign w:val="superscript"/>
        </w:rPr>
        <w:t>-1</w:t>
      </w:r>
      <w:r>
        <w:rPr>
          <w:kern w:val="0"/>
        </w:rPr>
        <w:t xml:space="preserve"> for acid violet</w:t>
      </w:r>
      <w:r w:rsidR="00F81221">
        <w:rPr>
          <w:kern w:val="0"/>
        </w:rPr>
        <w:t xml:space="preserve"> and </w:t>
      </w:r>
      <w:r>
        <w:rPr>
          <w:kern w:val="0"/>
        </w:rPr>
        <w:t xml:space="preserve">R-L value of 0.377. Linear plot of log q(e) vs log C-e shows that </w:t>
      </w:r>
      <w:r>
        <w:rPr>
          <w:kern w:val="0"/>
        </w:rPr>
        <w:lastRenderedPageBreak/>
        <w:t>applicability of Freundlich adsorption isotherm model. These results suggest that this fungus can be used in biotreatment process as biosorbent for acid dyes. (C) 2009 Elsevier Ltd. All rights reserved.</w:t>
      </w:r>
    </w:p>
    <w:p w:rsidR="00F56C2B" w:rsidRDefault="00F56C2B" w:rsidP="00F56C2B">
      <w:pPr>
        <w:pStyle w:val="a0"/>
        <w:rPr>
          <w:kern w:val="0"/>
        </w:rPr>
      </w:pPr>
      <w:r>
        <w:rPr>
          <w:kern w:val="0"/>
        </w:rPr>
        <w:t>Keywords: Acid Dyes, Acid Violet, Adsorption, Adsorption Capacity, Adsorption Isotherm, Adsorption Isotherm Model, Adsorption Kinetic, Agitation, Aqueous Solution, Aqueous Solutions, Behavior, Biomass, Biosorbent, Biosorption, Capacity, Data, Decolorization, Dye, Dye Adsorption, Dyes, Experiments, Freundlich, Freundlich Adsorption Isotherm, Fungus, Investigation, Isotherm, Isotherm Model, Kinetic, Kinetic Studies, Kinetics, Langmuir, Methylene-Blue, Model, Penicillium sp., pH, Potential, Pseudo First Order, Pseudo Second Order, Pseudo-First-Order, Pseudo-Second-Order, Rate Constant, Rate Kinetics, Removal, Rights, Solution, Solutions, Temperature, Value</w:t>
      </w:r>
    </w:p>
    <w:p w:rsidR="0053757F" w:rsidRDefault="0053757F" w:rsidP="0053757F">
      <w:pPr>
        <w:pStyle w:val="a0"/>
        <w:rPr>
          <w:kern w:val="0"/>
        </w:rPr>
      </w:pPr>
      <w:r>
        <w:rPr>
          <w:rFonts w:hint="eastAsia"/>
          <w:kern w:val="0"/>
        </w:rPr>
        <w:t xml:space="preserve">? </w:t>
      </w:r>
      <w:r>
        <w:rPr>
          <w:kern w:val="0"/>
        </w:rPr>
        <w:t>Joo, J.H., Hassan, S.H.A.</w:t>
      </w:r>
      <w:r w:rsidR="00F81221">
        <w:rPr>
          <w:kern w:val="0"/>
        </w:rPr>
        <w:t xml:space="preserve"> and </w:t>
      </w:r>
      <w:r>
        <w:rPr>
          <w:kern w:val="0"/>
        </w:rPr>
        <w:t>Oh, S.E. (2010), Comparative study of biosorption of Zn</w:t>
      </w:r>
      <w:r w:rsidRPr="001B3724">
        <w:rPr>
          <w:kern w:val="0"/>
          <w:vertAlign w:val="superscript"/>
        </w:rPr>
        <w:t>2+</w:t>
      </w:r>
      <w:r>
        <w:rPr>
          <w:kern w:val="0"/>
        </w:rPr>
        <w:t xml:space="preserve"> by </w:t>
      </w:r>
      <w:r w:rsidRPr="001B3724">
        <w:rPr>
          <w:i/>
          <w:kern w:val="0"/>
        </w:rPr>
        <w:t>Pseudomonas aeruginosa</w:t>
      </w:r>
      <w:r w:rsidR="00F81221">
        <w:rPr>
          <w:kern w:val="0"/>
        </w:rPr>
        <w:t xml:space="preserve"> and </w:t>
      </w:r>
      <w:r w:rsidRPr="001B3724">
        <w:rPr>
          <w:i/>
          <w:kern w:val="0"/>
        </w:rPr>
        <w:t>Bacillus cereus</w:t>
      </w:r>
      <w:r>
        <w:rPr>
          <w:kern w:val="0"/>
        </w:rPr>
        <w:t xml:space="preserve">. </w:t>
      </w:r>
      <w:r>
        <w:rPr>
          <w:i/>
          <w:iCs/>
          <w:kern w:val="0"/>
        </w:rPr>
        <w:t>International Biodeterioration &amp; Biodegradation</w:t>
      </w:r>
      <w:r>
        <w:rPr>
          <w:kern w:val="0"/>
        </w:rPr>
        <w:t xml:space="preserve">, </w:t>
      </w:r>
      <w:r>
        <w:rPr>
          <w:b/>
          <w:bCs/>
          <w:kern w:val="0"/>
        </w:rPr>
        <w:t>64</w:t>
      </w:r>
      <w:r>
        <w:rPr>
          <w:kern w:val="0"/>
        </w:rPr>
        <w:t xml:space="preserve"> (8), 734-741.</w:t>
      </w:r>
    </w:p>
    <w:p w:rsidR="0053757F" w:rsidRPr="00F219CA" w:rsidRDefault="0053757F" w:rsidP="0053757F">
      <w:pPr>
        <w:pStyle w:val="a0"/>
      </w:pPr>
      <w:r w:rsidRPr="00F219CA">
        <w:t xml:space="preserve">Full Text: </w:t>
      </w:r>
      <w:hyperlink r:id="rId1593" w:history="1">
        <w:r w:rsidRPr="00486461">
          <w:rPr>
            <w:rStyle w:val="a5"/>
          </w:rPr>
          <w:t>2010\Int Bio Bio64, 734.pdf</w:t>
        </w:r>
      </w:hyperlink>
    </w:p>
    <w:p w:rsidR="0053757F" w:rsidRDefault="0053757F" w:rsidP="0053757F">
      <w:pPr>
        <w:pStyle w:val="a0"/>
        <w:rPr>
          <w:kern w:val="0"/>
        </w:rPr>
      </w:pPr>
      <w:r>
        <w:rPr>
          <w:kern w:val="0"/>
        </w:rPr>
        <w:t>Abstract: Pseudomonas aeruginosa ASU 6a (Gram-negative)</w:t>
      </w:r>
      <w:r w:rsidR="00F81221">
        <w:rPr>
          <w:kern w:val="0"/>
        </w:rPr>
        <w:t xml:space="preserve"> and </w:t>
      </w:r>
      <w:r>
        <w:rPr>
          <w:kern w:val="0"/>
        </w:rPr>
        <w:t>Bacillus cereus AUMC B52 (Gram-positive) were used as an inexpensive</w:t>
      </w:r>
      <w:r w:rsidR="00F81221">
        <w:rPr>
          <w:kern w:val="0"/>
        </w:rPr>
        <w:t xml:space="preserve"> and </w:t>
      </w:r>
      <w:r>
        <w:rPr>
          <w:kern w:val="0"/>
        </w:rPr>
        <w:t>efficient biosorbent for Zn (II) removal from aqueous solutions. The effects of various physicochemical factors on Zn(II) biosorption such as pH - 1.0-7.0, initial metal concentration 0.0-200 mg/L,</w:t>
      </w:r>
      <w:r w:rsidR="00F81221">
        <w:rPr>
          <w:kern w:val="0"/>
        </w:rPr>
        <w:t xml:space="preserve"> and </w:t>
      </w:r>
      <w:r>
        <w:rPr>
          <w:kern w:val="0"/>
        </w:rPr>
        <w:t>contact time - 0-60.0 min were studied. The optimum pH for Zn(II) removal was 6.0, while the optimal contact time was 30 min at 30º C by the two bacterial species. The nature of the biosorbents</w:t>
      </w:r>
      <w:r w:rsidR="00F81221">
        <w:rPr>
          <w:kern w:val="0"/>
        </w:rPr>
        <w:t xml:space="preserve"> and </w:t>
      </w:r>
      <w:r>
        <w:rPr>
          <w:kern w:val="0"/>
        </w:rPr>
        <w:t>metal ion interactions were evaluated by Fourier transform infrared (FTIR) spectroscopy. FTIR analysis of bacterial biomass revealed the presence of amino, carboxyl, hydroxyl,</w:t>
      </w:r>
      <w:r w:rsidR="00F81221">
        <w:rPr>
          <w:kern w:val="0"/>
        </w:rPr>
        <w:t xml:space="preserve"> and </w:t>
      </w:r>
      <w:r>
        <w:rPr>
          <w:kern w:val="0"/>
        </w:rPr>
        <w:t>carbonyl groups, which are likely responsible for the biosorption of Zn(II). The Gram-negative bacterium showed more zinc biosorption compared to the Gram-positive bacterium. The maximum adsorption capacities by P. aeruginosa ASU 6a</w:t>
      </w:r>
      <w:r w:rsidR="00F81221">
        <w:rPr>
          <w:kern w:val="0"/>
        </w:rPr>
        <w:t xml:space="preserve"> and </w:t>
      </w:r>
      <w:r>
        <w:rPr>
          <w:kern w:val="0"/>
        </w:rPr>
        <w:t>B. cereus AUMC B52 calculated from Langmuir adsorption isotherms were 83.3</w:t>
      </w:r>
      <w:r w:rsidR="00F81221">
        <w:rPr>
          <w:kern w:val="0"/>
        </w:rPr>
        <w:t xml:space="preserve"> and </w:t>
      </w:r>
      <w:r>
        <w:rPr>
          <w:kern w:val="0"/>
        </w:rPr>
        <w:t>66.6 mg/g, respectively. The adsorption isotherms fitted well with both the Langmuir</w:t>
      </w:r>
      <w:r w:rsidR="00F81221">
        <w:rPr>
          <w:kern w:val="0"/>
        </w:rPr>
        <w:t xml:space="preserve"> and </w:t>
      </w:r>
      <w:r>
        <w:rPr>
          <w:kern w:val="0"/>
        </w:rPr>
        <w:t>Freundlich isotherm models with high values of correlation coefficient (r(2) &gt; 0.97). The biosorption kinetic data were properly fitted well with the pseudo-second-order kinetic model. (C) 2010 Elsevier Ltd. All rights reserved.</w:t>
      </w:r>
    </w:p>
    <w:p w:rsidR="0053757F" w:rsidRPr="00486461" w:rsidRDefault="0053757F" w:rsidP="0053757F">
      <w:pPr>
        <w:pStyle w:val="a0"/>
        <w:rPr>
          <w:kern w:val="0"/>
        </w:rPr>
      </w:pPr>
      <w:r>
        <w:rPr>
          <w:kern w:val="0"/>
        </w:rPr>
        <w:t xml:space="preserve">Keywords: Adsorption, Adsorption Capacities, Adsorption Isotherms, Analysis, Aqueous Solutions, Aqueous-Solutions, Assiut City, B.Cereus, Bacillus, Bacillus Cereus, Bacterium, Biomass, Biosorbent, Biosorbents, Biosorption, Biosorption Kinetic, Cadmium, Concentration, Copper, Correlation, Correlation Coefficient, Data, Escherichia-Coli, Freundlich, Freundlich Isotherm, FTIR, FTIR Analysis, Heavy Metals, Heavy-Metal Resistant, Isotherm, Isotherms, Kinetic, Kinetic Model, </w:t>
      </w:r>
      <w:r>
        <w:rPr>
          <w:kern w:val="0"/>
        </w:rPr>
        <w:lastRenderedPageBreak/>
        <w:t>Langmuir, Metal, Model, Models, P, P.</w:t>
      </w:r>
      <w:r>
        <w:rPr>
          <w:rFonts w:hint="eastAsia"/>
          <w:kern w:val="0"/>
        </w:rPr>
        <w:t xml:space="preserve"> </w:t>
      </w:r>
      <w:r>
        <w:rPr>
          <w:kern w:val="0"/>
        </w:rPr>
        <w:t xml:space="preserve">aeruginosa, </w:t>
      </w:r>
      <w:r>
        <w:rPr>
          <w:rFonts w:hint="eastAsia"/>
          <w:kern w:val="0"/>
        </w:rPr>
        <w:t>p</w:t>
      </w:r>
      <w:r>
        <w:rPr>
          <w:kern w:val="0"/>
        </w:rPr>
        <w:t>H, Pseudo Second Order, Pseudo-Second Order, Pseudo-Second-Order, Pseudo-Second-Order Kinetic Model, Pseudomonas Aeruginosa, Removal, Rights, Solutions, Species, Spectroscopy, Waste-Water, Zinc, Zn</w:t>
      </w:r>
      <w:r w:rsidRPr="001B3724">
        <w:rPr>
          <w:kern w:val="0"/>
          <w:vertAlign w:val="superscript"/>
        </w:rPr>
        <w:t>2+</w:t>
      </w:r>
    </w:p>
    <w:p w:rsidR="0086551D" w:rsidRDefault="0086551D" w:rsidP="0086551D">
      <w:pPr>
        <w:pStyle w:val="a0"/>
        <w:rPr>
          <w:kern w:val="0"/>
        </w:rPr>
      </w:pPr>
      <w:r>
        <w:rPr>
          <w:kern w:val="0"/>
        </w:rPr>
        <w:t>? Javanbakht, V., Zilouei, H.</w:t>
      </w:r>
      <w:r w:rsidR="00F81221">
        <w:rPr>
          <w:kern w:val="0"/>
        </w:rPr>
        <w:t xml:space="preserve"> and </w:t>
      </w:r>
      <w:r>
        <w:rPr>
          <w:kern w:val="0"/>
        </w:rPr>
        <w:t xml:space="preserve">Karimi, K. (2011), Lead biosorption by different morphologies of fungus </w:t>
      </w:r>
      <w:r w:rsidRPr="008E5352">
        <w:rPr>
          <w:i/>
          <w:kern w:val="0"/>
        </w:rPr>
        <w:t>Mucor indicus</w:t>
      </w:r>
      <w:r>
        <w:rPr>
          <w:kern w:val="0"/>
        </w:rPr>
        <w:t xml:space="preserve">. </w:t>
      </w:r>
      <w:r>
        <w:rPr>
          <w:i/>
          <w:iCs/>
          <w:kern w:val="0"/>
        </w:rPr>
        <w:t>International Biodeterioration &amp; Biodegradation</w:t>
      </w:r>
      <w:r>
        <w:rPr>
          <w:kern w:val="0"/>
        </w:rPr>
        <w:t xml:space="preserve">, </w:t>
      </w:r>
      <w:r>
        <w:rPr>
          <w:b/>
          <w:bCs/>
          <w:kern w:val="0"/>
        </w:rPr>
        <w:t>65</w:t>
      </w:r>
      <w:r>
        <w:rPr>
          <w:kern w:val="0"/>
        </w:rPr>
        <w:t xml:space="preserve"> (2), 294-300.</w:t>
      </w:r>
    </w:p>
    <w:p w:rsidR="0086551D" w:rsidRDefault="0086551D" w:rsidP="0086551D">
      <w:pPr>
        <w:pStyle w:val="a0"/>
        <w:rPr>
          <w:kern w:val="0"/>
        </w:rPr>
      </w:pPr>
      <w:r w:rsidRPr="007D79E8">
        <w:rPr>
          <w:kern w:val="0"/>
        </w:rPr>
        <w:t>Full Text:</w:t>
      </w:r>
      <w:r>
        <w:rPr>
          <w:kern w:val="0"/>
        </w:rPr>
        <w:t xml:space="preserve"> </w:t>
      </w:r>
      <w:hyperlink r:id="rId1594" w:history="1">
        <w:r w:rsidRPr="00361BD0">
          <w:rPr>
            <w:rStyle w:val="a5"/>
            <w:kern w:val="0"/>
          </w:rPr>
          <w:t>2011\Int Bio Bio65, 294.pdf</w:t>
        </w:r>
      </w:hyperlink>
    </w:p>
    <w:p w:rsidR="0086551D" w:rsidRDefault="0086551D" w:rsidP="0086551D">
      <w:pPr>
        <w:pStyle w:val="a0"/>
        <w:rPr>
          <w:kern w:val="0"/>
        </w:rPr>
      </w:pPr>
      <w:r>
        <w:rPr>
          <w:kern w:val="0"/>
        </w:rPr>
        <w:t>Abstract: Biosorption characteristics of Pb</w:t>
      </w:r>
      <w:r w:rsidRPr="00A04858">
        <w:rPr>
          <w:kern w:val="0"/>
          <w:vertAlign w:val="superscript"/>
        </w:rPr>
        <w:t>+2</w:t>
      </w:r>
      <w:r>
        <w:rPr>
          <w:kern w:val="0"/>
        </w:rPr>
        <w:t xml:space="preserve"> ions from aqueous solution were investigated using fungus Mucor indicus biomass treated with NaOH. Biosorption was measured as a function of biomass morphology, pH, biomass concentration, contact time,</w:t>
      </w:r>
      <w:r w:rsidR="00F81221">
        <w:rPr>
          <w:kern w:val="0"/>
        </w:rPr>
        <w:t xml:space="preserve"> and </w:t>
      </w:r>
      <w:r>
        <w:rPr>
          <w:kern w:val="0"/>
        </w:rPr>
        <w:t>metal concentration. The morphology of M. indicus biomass was manipulated towards filamentous or yeast-like forms. The highest</w:t>
      </w:r>
      <w:r w:rsidR="00F81221">
        <w:rPr>
          <w:kern w:val="0"/>
        </w:rPr>
        <w:t xml:space="preserve"> and </w:t>
      </w:r>
      <w:r>
        <w:rPr>
          <w:kern w:val="0"/>
        </w:rPr>
        <w:t>lowest biosorption capacities were observed for purely filamentous</w:t>
      </w:r>
      <w:r w:rsidR="00F81221">
        <w:rPr>
          <w:kern w:val="0"/>
        </w:rPr>
        <w:t xml:space="preserve"> and </w:t>
      </w:r>
      <w:r>
        <w:rPr>
          <w:kern w:val="0"/>
        </w:rPr>
        <w:t>yeast-like forms, respectively. Models of Langmuir, Freundlich, Temkin,</w:t>
      </w:r>
      <w:r w:rsidR="00F81221">
        <w:rPr>
          <w:kern w:val="0"/>
        </w:rPr>
        <w:t xml:space="preserve"> and </w:t>
      </w:r>
      <w:r>
        <w:rPr>
          <w:kern w:val="0"/>
        </w:rPr>
        <w:t>Scachard were applied to describe adsorption isotherm</w:t>
      </w:r>
      <w:r w:rsidR="00F81221">
        <w:rPr>
          <w:kern w:val="0"/>
        </w:rPr>
        <w:t xml:space="preserve"> and </w:t>
      </w:r>
      <w:r>
        <w:rPr>
          <w:kern w:val="0"/>
        </w:rPr>
        <w:t>fitted appropriately. Biosorption kinetics was successfully described using Ho</w:t>
      </w:r>
      <w:r w:rsidR="000352E7">
        <w:rPr>
          <w:kern w:val="0"/>
        </w:rPr>
        <w:t>’</w:t>
      </w:r>
      <w:r>
        <w:rPr>
          <w:kern w:val="0"/>
        </w:rPr>
        <w:t>s pseudo-second-order model. Maximum</w:t>
      </w:r>
      <w:r w:rsidR="00F81221">
        <w:rPr>
          <w:kern w:val="0"/>
        </w:rPr>
        <w:t xml:space="preserve"> and </w:t>
      </w:r>
      <w:r>
        <w:rPr>
          <w:kern w:val="0"/>
        </w:rPr>
        <w:t>minimum values of biosorption capacity of Pb2+ were 22.1</w:t>
      </w:r>
      <w:r w:rsidR="00F81221">
        <w:rPr>
          <w:kern w:val="0"/>
        </w:rPr>
        <w:t xml:space="preserve"> and </w:t>
      </w:r>
      <w:r>
        <w:rPr>
          <w:kern w:val="0"/>
        </w:rPr>
        <w:t>12.1 mg g(-1) for purely filamentous</w:t>
      </w:r>
      <w:r w:rsidR="00F81221">
        <w:rPr>
          <w:kern w:val="0"/>
        </w:rPr>
        <w:t xml:space="preserve"> and </w:t>
      </w:r>
      <w:r>
        <w:rPr>
          <w:kern w:val="0"/>
        </w:rPr>
        <w:t>yeast-like morphologies, respectively. Increasing pH resulted in higher biosorption of Pb+2 ions up to pH 5.5. Biosorption capacity of individual Pb+2 ions was reduced in the presence of other metal ions in bi- or multi-metal ion experiments. Metal ions adsorption by the biomass could be eluted effectively with HNO</w:t>
      </w:r>
      <w:r w:rsidRPr="00361BD0">
        <w:rPr>
          <w:kern w:val="0"/>
          <w:vertAlign w:val="subscript"/>
        </w:rPr>
        <w:t>3</w:t>
      </w:r>
      <w:r>
        <w:rPr>
          <w:kern w:val="0"/>
        </w:rPr>
        <w:t>. (C) 2010 Elsevier Ltd. All rights reserved.</w:t>
      </w:r>
    </w:p>
    <w:p w:rsidR="0086551D" w:rsidRDefault="0086551D" w:rsidP="0086551D">
      <w:pPr>
        <w:pStyle w:val="a0"/>
        <w:rPr>
          <w:kern w:val="0"/>
        </w:rPr>
      </w:pPr>
      <w:r>
        <w:rPr>
          <w:kern w:val="0"/>
        </w:rPr>
        <w:t>Keywords: Adsorption, Adsorption Isotherm, Adsorption Kinetic, Aqueous-Solution, Biosorption, Cadmium, Cd(II), Copper, Equilibrium, Freundlich, Heavy-Metal Ions, Heavy-Metal Removal, Ions, Isotherm, Kinetics, Langmuir, Lead, Metal Ions, Morphology, Mucor Indicus, Pb(II), pH, Rouxii Biomass, Sludge</w:t>
      </w:r>
    </w:p>
    <w:p w:rsidR="00DE799C" w:rsidRDefault="00DE799C" w:rsidP="00DE799C">
      <w:pPr>
        <w:pStyle w:val="a0"/>
        <w:rPr>
          <w:kern w:val="0"/>
        </w:rPr>
      </w:pPr>
      <w:r>
        <w:rPr>
          <w:rFonts w:hint="eastAsia"/>
          <w:kern w:val="0"/>
        </w:rPr>
        <w:t xml:space="preserve">? </w:t>
      </w:r>
      <w:r>
        <w:rPr>
          <w:kern w:val="0"/>
        </w:rPr>
        <w:t>Mona, S., Kaushik, A.</w:t>
      </w:r>
      <w:r w:rsidR="00F81221">
        <w:rPr>
          <w:kern w:val="0"/>
        </w:rPr>
        <w:t xml:space="preserve"> and </w:t>
      </w:r>
      <w:r>
        <w:rPr>
          <w:kern w:val="0"/>
        </w:rPr>
        <w:t xml:space="preserve">Kaushik, C.P. (2011), Biosorption of chromium(VI) by spent cyanobacterial biomass from a hydrogen fermentor using Box-Behnken model. </w:t>
      </w:r>
      <w:r>
        <w:rPr>
          <w:i/>
          <w:iCs/>
          <w:kern w:val="0"/>
        </w:rPr>
        <w:t>International Biodeterioration &amp; Biodegradation</w:t>
      </w:r>
      <w:r>
        <w:rPr>
          <w:kern w:val="0"/>
        </w:rPr>
        <w:t xml:space="preserve">, </w:t>
      </w:r>
      <w:r>
        <w:rPr>
          <w:b/>
          <w:bCs/>
          <w:kern w:val="0"/>
        </w:rPr>
        <w:t>65</w:t>
      </w:r>
      <w:r>
        <w:rPr>
          <w:kern w:val="0"/>
        </w:rPr>
        <w:t xml:space="preserve"> (4), 656-663.</w:t>
      </w:r>
    </w:p>
    <w:p w:rsidR="00DE799C" w:rsidRPr="001A3D2B" w:rsidRDefault="00DE799C" w:rsidP="00DE799C">
      <w:pPr>
        <w:pStyle w:val="a0"/>
        <w:rPr>
          <w:kern w:val="0"/>
        </w:rPr>
      </w:pPr>
      <w:r w:rsidRPr="001A3D2B">
        <w:rPr>
          <w:kern w:val="0"/>
        </w:rPr>
        <w:t xml:space="preserve">Full Text: </w:t>
      </w:r>
      <w:hyperlink r:id="rId1595" w:history="1">
        <w:r w:rsidRPr="00DE799C">
          <w:rPr>
            <w:rStyle w:val="a5"/>
            <w:kern w:val="0"/>
          </w:rPr>
          <w:t>2011\Int Bio Bio65, 656.pdf</w:t>
        </w:r>
      </w:hyperlink>
    </w:p>
    <w:p w:rsidR="00DE799C" w:rsidRDefault="00DE799C" w:rsidP="00DE799C">
      <w:pPr>
        <w:pStyle w:val="a0"/>
        <w:rPr>
          <w:kern w:val="0"/>
        </w:rPr>
      </w:pPr>
      <w:r>
        <w:rPr>
          <w:kern w:val="0"/>
        </w:rPr>
        <w:t>Abstract: The study explores utilization of waste cyanobacterial biomass of Nostoc linckia from a lab-scale hydrogen fermentor for the biosorption of Cr(VI) from aqueous solution. The biomass immobilized in alginate beads was used for removal of the metal in batch mode optimizing the process conditions adopting response surface methodology (RSM). Kinetic studies were done to get useful information on the rate of chromium adsorption onto the cyanobacterial biomass, which was found to follow pseudo second-order model. Four important process parameters including initial metal concentration (10-100 mg/L), pH (2-6), temperature (25-45 degrees C)</w:t>
      </w:r>
      <w:r w:rsidR="00F81221">
        <w:rPr>
          <w:kern w:val="0"/>
        </w:rPr>
        <w:t xml:space="preserve"> </w:t>
      </w:r>
      <w:r w:rsidR="00F81221">
        <w:rPr>
          <w:kern w:val="0"/>
        </w:rPr>
        <w:lastRenderedPageBreak/>
        <w:t xml:space="preserve">and </w:t>
      </w:r>
      <w:r>
        <w:rPr>
          <w:kern w:val="0"/>
        </w:rPr>
        <w:t>cyanobacterial dose (0.1-2.0 g) were optimized to obtain the best response of Cr(VI) removal using the statistical Box-Behnken design. The response surface data indicated maximum Cr(VI) biosorption at pH 2-4 with different initial concentrations of the metal in the aqueous solution. The biosorbent could remove 80-90% chromium from solutions with initial metal concentration of 10-55 mg/L Involvement of the surface characteristics of the biomass was studied through its scanning electron micrographs</w:t>
      </w:r>
      <w:r w:rsidR="00F81221">
        <w:rPr>
          <w:kern w:val="0"/>
        </w:rPr>
        <w:t xml:space="preserve"> and </w:t>
      </w:r>
      <w:r>
        <w:rPr>
          <w:kern w:val="0"/>
        </w:rPr>
        <w:t>Fourier transform infrared (FTIR) analysis. (C) 2011 Elsevier Ltd. All rights reserved.</w:t>
      </w:r>
    </w:p>
    <w:p w:rsidR="00DE799C" w:rsidRDefault="00DE799C" w:rsidP="00DE799C">
      <w:pPr>
        <w:pStyle w:val="a0"/>
        <w:rPr>
          <w:kern w:val="0"/>
        </w:rPr>
      </w:pPr>
      <w:r>
        <w:rPr>
          <w:kern w:val="0"/>
        </w:rPr>
        <w:t>Keywords: Adsorption, Aqueous-Solution, Batch, Biosorption, Box-Behnken Model, Chromium (VI), Column, Copper, Cr(VI), Cyanobacterium, Information, Ions, Methodology, Microalgae, Model, Optimization, Process Optimization, Pseudo-Second-Order, Removal, Statistical, Surface Methodological Approach, Waste Biomass</w:t>
      </w:r>
    </w:p>
    <w:p w:rsidR="00B95188" w:rsidRPr="00A428C3" w:rsidRDefault="00B95188" w:rsidP="00B95188">
      <w:pPr>
        <w:pStyle w:val="1"/>
      </w:pPr>
      <w:r w:rsidRPr="00A428C3">
        <w:br w:type="page"/>
      </w:r>
      <w:bookmarkStart w:id="1141" w:name="_Toc186647887"/>
      <w:bookmarkStart w:id="1142" w:name="_Toc317161218"/>
      <w:r w:rsidRPr="00A428C3">
        <w:lastRenderedPageBreak/>
        <w:t>Title: International Biohydrometallurgy Symposium</w:t>
      </w:r>
      <w:bookmarkEnd w:id="1141"/>
      <w:bookmarkEnd w:id="1142"/>
    </w:p>
    <w:p w:rsidR="00B95188" w:rsidRPr="00A428C3" w:rsidRDefault="00B95188" w:rsidP="00B95188">
      <w:pPr>
        <w:pStyle w:val="a0"/>
      </w:pPr>
      <w:r w:rsidRPr="00A428C3">
        <w:t xml:space="preserve">Volesky, B. (2001), Biosorption: Application aspects - Process modeling tools. </w:t>
      </w:r>
      <w:r w:rsidRPr="00A428C3">
        <w:rPr>
          <w:i/>
          <w:iCs/>
        </w:rPr>
        <w:t>International Biohydrometallurgy Symposium</w:t>
      </w:r>
      <w:r w:rsidRPr="00A428C3">
        <w:t xml:space="preserve">: </w:t>
      </w:r>
      <w:r w:rsidRPr="00A428C3">
        <w:rPr>
          <w:i/>
          <w:iCs/>
        </w:rPr>
        <w:t>The Scientific Knowledge for Technology</w:t>
      </w:r>
      <w:r w:rsidR="00F81221">
        <w:rPr>
          <w:i/>
          <w:iCs/>
        </w:rPr>
        <w:t xml:space="preserve"> and </w:t>
      </w:r>
      <w:r w:rsidRPr="00A428C3">
        <w:rPr>
          <w:i/>
          <w:iCs/>
        </w:rPr>
        <w:t>Sustainable Development</w:t>
      </w:r>
      <w:r w:rsidRPr="00A428C3">
        <w:t xml:space="preserve">, Ouro Preto, Minas Gerais, </w:t>
      </w:r>
      <w:smartTag w:uri="urn:schemas-microsoft-com:office:smarttags" w:element="place">
        <w:smartTag w:uri="urn:schemas-microsoft-com:office:smarttags" w:element="country-region">
          <w:r w:rsidRPr="00A428C3">
            <w:t>Brazil</w:t>
          </w:r>
        </w:smartTag>
      </w:smartTag>
      <w:r w:rsidRPr="00A428C3">
        <w:t xml:space="preserve">, </w:t>
      </w:r>
      <w:r w:rsidRPr="00A428C3">
        <w:rPr>
          <w:b/>
        </w:rPr>
        <w:t>September 16-19</w:t>
      </w:r>
      <w:r w:rsidRPr="00A428C3">
        <w:t>, 69-80.</w:t>
      </w:r>
    </w:p>
    <w:p w:rsidR="00B95188" w:rsidRPr="00A428C3" w:rsidRDefault="00B95188" w:rsidP="00B95188">
      <w:pPr>
        <w:pStyle w:val="a0"/>
      </w:pPr>
      <w:r w:rsidRPr="00A428C3">
        <w:t xml:space="preserve">Full Text: </w:t>
      </w:r>
      <w:hyperlink r:id="rId1596" w:history="1">
        <w:r w:rsidRPr="00A428C3">
          <w:rPr>
            <w:rStyle w:val="a5"/>
          </w:rPr>
          <w:t>I\Int Bio Sym, 69.pdf</w:t>
        </w:r>
      </w:hyperlink>
    </w:p>
    <w:p w:rsidR="00B95188" w:rsidRPr="00A428C3" w:rsidRDefault="00B95188" w:rsidP="00B95188">
      <w:pPr>
        <w:pStyle w:val="a0"/>
      </w:pPr>
      <w:r w:rsidRPr="00A428C3">
        <w:t>Yun, Y.S., Niu, H.</w:t>
      </w:r>
      <w:r w:rsidR="00F81221">
        <w:t xml:space="preserve"> and </w:t>
      </w:r>
      <w:r w:rsidRPr="00A428C3">
        <w:t xml:space="preserve">Volesky, B. (2001), The effect of impurities on metal biosorption. </w:t>
      </w:r>
      <w:r w:rsidRPr="00A428C3">
        <w:rPr>
          <w:i/>
          <w:iCs/>
        </w:rPr>
        <w:t>International Biohydrometallurgy Symposium</w:t>
      </w:r>
      <w:r w:rsidRPr="00A428C3">
        <w:t xml:space="preserve">: </w:t>
      </w:r>
      <w:r w:rsidRPr="00A428C3">
        <w:rPr>
          <w:i/>
          <w:iCs/>
        </w:rPr>
        <w:t>The Scientific Knowledge for Technology</w:t>
      </w:r>
      <w:r w:rsidR="00F81221">
        <w:rPr>
          <w:i/>
          <w:iCs/>
        </w:rPr>
        <w:t xml:space="preserve"> and </w:t>
      </w:r>
      <w:r w:rsidRPr="00A428C3">
        <w:rPr>
          <w:i/>
          <w:iCs/>
        </w:rPr>
        <w:t>Sustainable Development</w:t>
      </w:r>
      <w:r w:rsidRPr="00A428C3">
        <w:t xml:space="preserve">, Ouro Preto, Minas Gerais, </w:t>
      </w:r>
      <w:smartTag w:uri="urn:schemas-microsoft-com:office:smarttags" w:element="place">
        <w:smartTag w:uri="urn:schemas-microsoft-com:office:smarttags" w:element="country-region">
          <w:r w:rsidRPr="00A428C3">
            <w:t>Brazil</w:t>
          </w:r>
        </w:smartTag>
      </w:smartTag>
      <w:r w:rsidRPr="00A428C3">
        <w:t xml:space="preserve">, </w:t>
      </w:r>
      <w:r w:rsidRPr="00A428C3">
        <w:rPr>
          <w:b/>
        </w:rPr>
        <w:t>September 16-19</w:t>
      </w:r>
      <w:r w:rsidRPr="00A428C3">
        <w:t>, 181-187.</w:t>
      </w:r>
    </w:p>
    <w:p w:rsidR="00B95188" w:rsidRPr="00A428C3" w:rsidRDefault="00B95188" w:rsidP="00B95188">
      <w:pPr>
        <w:pStyle w:val="a0"/>
      </w:pPr>
      <w:r w:rsidRPr="00A428C3">
        <w:t xml:space="preserve">Full Text: </w:t>
      </w:r>
      <w:hyperlink r:id="rId1597" w:history="1">
        <w:r w:rsidRPr="00A428C3">
          <w:rPr>
            <w:rStyle w:val="a5"/>
          </w:rPr>
          <w:t>I\Int Bio Sym, 181.pdf</w:t>
        </w:r>
      </w:hyperlink>
    </w:p>
    <w:p w:rsidR="00B95188" w:rsidRPr="00A428C3" w:rsidRDefault="00B95188" w:rsidP="00B95188">
      <w:pPr>
        <w:pStyle w:val="a0"/>
      </w:pPr>
      <w:r w:rsidRPr="00A428C3">
        <w:t>Niu, H.</w:t>
      </w:r>
      <w:r w:rsidR="00F81221">
        <w:t xml:space="preserve"> and </w:t>
      </w:r>
      <w:r w:rsidRPr="00A428C3">
        <w:t xml:space="preserve">Volesky, B. (2001), Biosorption of anionic metal complexes. </w:t>
      </w:r>
      <w:r w:rsidRPr="00A428C3">
        <w:rPr>
          <w:i/>
          <w:iCs/>
        </w:rPr>
        <w:t>International Biohydrometallurgy Symposium</w:t>
      </w:r>
      <w:r w:rsidRPr="00A428C3">
        <w:t xml:space="preserve">: </w:t>
      </w:r>
      <w:r w:rsidRPr="00A428C3">
        <w:rPr>
          <w:i/>
          <w:iCs/>
        </w:rPr>
        <w:t>The Scientific Knowledge for Technology</w:t>
      </w:r>
      <w:r w:rsidR="00F81221">
        <w:rPr>
          <w:i/>
          <w:iCs/>
        </w:rPr>
        <w:t xml:space="preserve"> and </w:t>
      </w:r>
      <w:r w:rsidRPr="00A428C3">
        <w:rPr>
          <w:i/>
          <w:iCs/>
        </w:rPr>
        <w:t>Sustainable Development</w:t>
      </w:r>
      <w:r w:rsidRPr="00A428C3">
        <w:t xml:space="preserve">, Ouro Preto, Minas Gerais, </w:t>
      </w:r>
      <w:smartTag w:uri="urn:schemas-microsoft-com:office:smarttags" w:element="place">
        <w:smartTag w:uri="urn:schemas-microsoft-com:office:smarttags" w:element="country-region">
          <w:r w:rsidRPr="00A428C3">
            <w:t>Brazil</w:t>
          </w:r>
        </w:smartTag>
      </w:smartTag>
      <w:r w:rsidRPr="00A428C3">
        <w:t xml:space="preserve">, </w:t>
      </w:r>
      <w:r w:rsidRPr="00A428C3">
        <w:rPr>
          <w:b/>
        </w:rPr>
        <w:t>September 16-19</w:t>
      </w:r>
      <w:r w:rsidRPr="00A428C3">
        <w:t>, 189-197.</w:t>
      </w:r>
    </w:p>
    <w:p w:rsidR="00B95188" w:rsidRPr="00A428C3" w:rsidRDefault="00B95188" w:rsidP="00B95188">
      <w:pPr>
        <w:pStyle w:val="a0"/>
      </w:pPr>
      <w:r w:rsidRPr="00A428C3">
        <w:t xml:space="preserve">Full Text: </w:t>
      </w:r>
      <w:hyperlink r:id="rId1598" w:history="1">
        <w:r w:rsidRPr="00A428C3">
          <w:rPr>
            <w:rStyle w:val="a5"/>
          </w:rPr>
          <w:t>I\Int Bio Sym, 189.pdf</w:t>
        </w:r>
      </w:hyperlink>
    </w:p>
    <w:p w:rsidR="0044433B" w:rsidRPr="001A3D2B" w:rsidRDefault="0044433B" w:rsidP="0044433B">
      <w:pPr>
        <w:pStyle w:val="1"/>
      </w:pPr>
      <w:r w:rsidRPr="001A3D2B">
        <w:br w:type="page"/>
      </w:r>
      <w:bookmarkStart w:id="1143" w:name="_Toc317161219"/>
      <w:r w:rsidRPr="001A3D2B">
        <w:lastRenderedPageBreak/>
        <w:t xml:space="preserve">Title: </w:t>
      </w:r>
      <w:r w:rsidRPr="00243B55">
        <w:rPr>
          <w:iCs/>
        </w:rPr>
        <w:t>International Business Review</w:t>
      </w:r>
      <w:bookmarkEnd w:id="1143"/>
    </w:p>
    <w:p w:rsidR="0044433B" w:rsidRPr="001A3D2B" w:rsidRDefault="0044433B" w:rsidP="00B72EF9">
      <w:pPr>
        <w:pStyle w:val="12"/>
      </w:pPr>
      <w:r w:rsidRPr="001A3D2B">
        <w:t xml:space="preserve">Full Journal Title: </w:t>
      </w:r>
      <w:hyperlink r:id="rId1599" w:history="1">
        <w:r w:rsidRPr="00243B55">
          <w:rPr>
            <w:rStyle w:val="a5"/>
            <w:iCs/>
          </w:rPr>
          <w:t>International Business Review</w:t>
        </w:r>
      </w:hyperlink>
    </w:p>
    <w:p w:rsidR="0044433B" w:rsidRPr="001A3D2B" w:rsidRDefault="0044433B" w:rsidP="00B72EF9">
      <w:pPr>
        <w:pStyle w:val="12"/>
      </w:pPr>
      <w:r w:rsidRPr="001A3D2B">
        <w:t xml:space="preserve">ISO Abbreviated Title: </w:t>
      </w:r>
    </w:p>
    <w:p w:rsidR="0044433B" w:rsidRPr="001A3D2B" w:rsidRDefault="0044433B" w:rsidP="00B72EF9">
      <w:pPr>
        <w:pStyle w:val="12"/>
      </w:pPr>
      <w:r w:rsidRPr="001A3D2B">
        <w:t xml:space="preserve">JCR Abbreviated Title: </w:t>
      </w:r>
    </w:p>
    <w:p w:rsidR="0044433B" w:rsidRPr="001A3D2B" w:rsidRDefault="0044433B" w:rsidP="00B72EF9">
      <w:pPr>
        <w:pStyle w:val="12"/>
      </w:pPr>
      <w:r w:rsidRPr="001A3D2B">
        <w:t xml:space="preserve">ISSN: </w:t>
      </w:r>
    </w:p>
    <w:p w:rsidR="0044433B" w:rsidRPr="001A3D2B" w:rsidRDefault="0044433B" w:rsidP="00B72EF9">
      <w:pPr>
        <w:pStyle w:val="12"/>
      </w:pPr>
      <w:r w:rsidRPr="001A3D2B">
        <w:t xml:space="preserve">Issues/Year: </w:t>
      </w:r>
    </w:p>
    <w:p w:rsidR="0044433B" w:rsidRPr="001A3D2B" w:rsidRDefault="0044433B" w:rsidP="00B72EF9">
      <w:pPr>
        <w:pStyle w:val="12"/>
      </w:pPr>
      <w:r w:rsidRPr="001A3D2B">
        <w:t xml:space="preserve">Journal Country/Territory: </w:t>
      </w:r>
    </w:p>
    <w:p w:rsidR="0044433B" w:rsidRPr="001A3D2B" w:rsidRDefault="0044433B" w:rsidP="00B72EF9">
      <w:pPr>
        <w:pStyle w:val="12"/>
      </w:pPr>
      <w:r w:rsidRPr="001A3D2B">
        <w:t xml:space="preserve">Language: </w:t>
      </w:r>
    </w:p>
    <w:p w:rsidR="0044433B" w:rsidRPr="001A3D2B" w:rsidRDefault="0044433B" w:rsidP="00B72EF9">
      <w:pPr>
        <w:pStyle w:val="12"/>
      </w:pPr>
      <w:r w:rsidRPr="001A3D2B">
        <w:t xml:space="preserve">Publisher: </w:t>
      </w:r>
    </w:p>
    <w:p w:rsidR="0044433B" w:rsidRPr="001A3D2B" w:rsidRDefault="0044433B" w:rsidP="00B72EF9">
      <w:pPr>
        <w:pStyle w:val="12"/>
      </w:pPr>
      <w:r w:rsidRPr="001A3D2B">
        <w:t xml:space="preserve">Publisher Address: </w:t>
      </w:r>
    </w:p>
    <w:p w:rsidR="0044433B" w:rsidRPr="001A3D2B" w:rsidRDefault="0044433B" w:rsidP="00B72EF9">
      <w:pPr>
        <w:pStyle w:val="12"/>
      </w:pPr>
      <w:r w:rsidRPr="001A3D2B">
        <w:t>Subject Categories:</w:t>
      </w:r>
    </w:p>
    <w:p w:rsidR="0044433B" w:rsidRPr="001A3D2B" w:rsidRDefault="0044433B" w:rsidP="00B72EF9">
      <w:pPr>
        <w:pStyle w:val="12"/>
      </w:pPr>
      <w:r w:rsidRPr="001A3D2B">
        <w:t>: Impact Factor</w:t>
      </w:r>
    </w:p>
    <w:p w:rsidR="0044433B" w:rsidRDefault="0044433B" w:rsidP="0044433B">
      <w:pPr>
        <w:pStyle w:val="a0"/>
        <w:rPr>
          <w:kern w:val="0"/>
        </w:rPr>
      </w:pPr>
      <w:r>
        <w:rPr>
          <w:rFonts w:hint="eastAsia"/>
          <w:kern w:val="0"/>
        </w:rPr>
        <w:t xml:space="preserve">? </w:t>
      </w:r>
      <w:r>
        <w:rPr>
          <w:kern w:val="0"/>
        </w:rPr>
        <w:t>Fetscherin, M., Voss, H.</w:t>
      </w:r>
      <w:r w:rsidR="00F81221">
        <w:rPr>
          <w:kern w:val="0"/>
        </w:rPr>
        <w:t xml:space="preserve"> and </w:t>
      </w:r>
      <w:r>
        <w:rPr>
          <w:kern w:val="0"/>
        </w:rPr>
        <w:t xml:space="preserve">Gugler, P. (2010), 30 Years of foreign direct investment to China: An interdisciplinary literature review. </w:t>
      </w:r>
      <w:r w:rsidRPr="00243B55">
        <w:rPr>
          <w:i/>
          <w:iCs/>
          <w:kern w:val="0"/>
        </w:rPr>
        <w:t>International Business Review</w:t>
      </w:r>
      <w:r>
        <w:rPr>
          <w:kern w:val="0"/>
        </w:rPr>
        <w:t xml:space="preserve">, </w:t>
      </w:r>
      <w:r>
        <w:rPr>
          <w:b/>
          <w:bCs/>
          <w:kern w:val="0"/>
        </w:rPr>
        <w:t>19</w:t>
      </w:r>
      <w:r>
        <w:rPr>
          <w:kern w:val="0"/>
        </w:rPr>
        <w:t xml:space="preserve"> (3), 235-246.</w:t>
      </w:r>
    </w:p>
    <w:p w:rsidR="0044433B" w:rsidRDefault="0044433B" w:rsidP="0044433B">
      <w:pPr>
        <w:pStyle w:val="a0"/>
        <w:rPr>
          <w:kern w:val="0"/>
        </w:rPr>
      </w:pPr>
      <w:r>
        <w:rPr>
          <w:rFonts w:hint="eastAsia"/>
          <w:kern w:val="0"/>
        </w:rPr>
        <w:t xml:space="preserve">Full Text: </w:t>
      </w:r>
      <w:hyperlink r:id="rId1600" w:history="1">
        <w:r w:rsidRPr="00243B55">
          <w:rPr>
            <w:rStyle w:val="a5"/>
            <w:kern w:val="0"/>
          </w:rPr>
          <w:t>2010\Int Bus Rev19, 235.pdf</w:t>
        </w:r>
      </w:hyperlink>
    </w:p>
    <w:p w:rsidR="0044433B" w:rsidRDefault="0044433B" w:rsidP="0044433B">
      <w:pPr>
        <w:pStyle w:val="a0"/>
        <w:rPr>
          <w:kern w:val="0"/>
        </w:rPr>
      </w:pPr>
      <w:r>
        <w:rPr>
          <w:kern w:val="0"/>
        </w:rPr>
        <w:t>Abstract: The purpose of this paper is to examine how scholarly research on foreign direct investment (FDI) to the People</w:t>
      </w:r>
      <w:r w:rsidR="000352E7">
        <w:rPr>
          <w:kern w:val="0"/>
        </w:rPr>
        <w:t>’</w:t>
      </w:r>
      <w:r>
        <w:rPr>
          <w:kern w:val="0"/>
        </w:rPr>
        <w:t>s Republic of China has evolved</w:t>
      </w:r>
      <w:r w:rsidR="00F81221">
        <w:rPr>
          <w:kern w:val="0"/>
        </w:rPr>
        <w:t xml:space="preserve"> and </w:t>
      </w:r>
      <w:r>
        <w:rPr>
          <w:kern w:val="0"/>
        </w:rPr>
        <w:t>been shaped using bibliometrics analysis of 422 journal articles published in 151 journals between 1979</w:t>
      </w:r>
      <w:r w:rsidR="00F81221">
        <w:rPr>
          <w:kern w:val="0"/>
        </w:rPr>
        <w:t xml:space="preserve"> and </w:t>
      </w:r>
      <w:r>
        <w:rPr>
          <w:kern w:val="0"/>
        </w:rPr>
        <w:t>2008 on that topic. The literature is dominated by the fields of Economics, followed by Business</w:t>
      </w:r>
      <w:r w:rsidR="00F81221">
        <w:rPr>
          <w:kern w:val="0"/>
        </w:rPr>
        <w:t xml:space="preserve"> and </w:t>
      </w:r>
      <w:r>
        <w:rPr>
          <w:kern w:val="0"/>
        </w:rPr>
        <w:t>Management. Planning</w:t>
      </w:r>
      <w:r w:rsidR="00F81221">
        <w:rPr>
          <w:kern w:val="0"/>
        </w:rPr>
        <w:t xml:space="preserve"> and </w:t>
      </w:r>
      <w:r>
        <w:rPr>
          <w:kern w:val="0"/>
        </w:rPr>
        <w:t>Development</w:t>
      </w:r>
      <w:r w:rsidR="00F81221">
        <w:rPr>
          <w:kern w:val="0"/>
        </w:rPr>
        <w:t xml:space="preserve"> and </w:t>
      </w:r>
      <w:r>
        <w:rPr>
          <w:kern w:val="0"/>
        </w:rPr>
        <w:t>International Relations, which together account for 95% of all publications. Ten percent of the most productive journals are responsible for 40% of all publications</w:t>
      </w:r>
      <w:r w:rsidR="00F81221">
        <w:rPr>
          <w:kern w:val="0"/>
        </w:rPr>
        <w:t xml:space="preserve"> and </w:t>
      </w:r>
      <w:r>
        <w:rPr>
          <w:kern w:val="0"/>
        </w:rPr>
        <w:t>63% of all citations received. By means of citation mapping, four main research streams have been identified: (1) the motives</w:t>
      </w:r>
      <w:r w:rsidR="00F81221">
        <w:rPr>
          <w:kern w:val="0"/>
        </w:rPr>
        <w:t xml:space="preserve"> and </w:t>
      </w:r>
      <w:r>
        <w:rPr>
          <w:kern w:val="0"/>
        </w:rPr>
        <w:t xml:space="preserve">determinants of FDI to China; (2) </w:t>
      </w:r>
      <w:r w:rsidR="000352E7">
        <w:rPr>
          <w:kern w:val="0"/>
        </w:rPr>
        <w:t>‘</w:t>
      </w:r>
      <w:r>
        <w:rPr>
          <w:kern w:val="0"/>
        </w:rPr>
        <w:t>inside</w:t>
      </w:r>
      <w:r w:rsidR="000352E7">
        <w:rPr>
          <w:kern w:val="0"/>
        </w:rPr>
        <w:t>’</w:t>
      </w:r>
      <w:r>
        <w:rPr>
          <w:kern w:val="0"/>
        </w:rPr>
        <w:t xml:space="preserve"> the multinational enterprise (MNE); (3) the impact of MNE activities:</w:t>
      </w:r>
      <w:r w:rsidR="00F81221">
        <w:rPr>
          <w:kern w:val="0"/>
        </w:rPr>
        <w:t xml:space="preserve"> and </w:t>
      </w:r>
      <w:r>
        <w:rPr>
          <w:kern w:val="0"/>
        </w:rPr>
        <w:t>(4) policy implications for the host country. Emerging research streams have been identified as the effects of inward FDI on (i) corporate social responsibility attitudes of domestic</w:t>
      </w:r>
      <w:r w:rsidR="00F81221">
        <w:rPr>
          <w:kern w:val="0"/>
        </w:rPr>
        <w:t xml:space="preserve"> and </w:t>
      </w:r>
      <w:r>
        <w:rPr>
          <w:kern w:val="0"/>
        </w:rPr>
        <w:t>foreign firms, (ii) environmental</w:t>
      </w:r>
      <w:r w:rsidR="00F81221">
        <w:rPr>
          <w:kern w:val="0"/>
        </w:rPr>
        <w:t xml:space="preserve"> and </w:t>
      </w:r>
      <w:r>
        <w:rPr>
          <w:kern w:val="0"/>
        </w:rPr>
        <w:t>climate issues, (iii) the institutional</w:t>
      </w:r>
      <w:r w:rsidR="00F81221">
        <w:rPr>
          <w:kern w:val="0"/>
        </w:rPr>
        <w:t xml:space="preserve"> and </w:t>
      </w:r>
      <w:r>
        <w:rPr>
          <w:kern w:val="0"/>
        </w:rPr>
        <w:t>societal transformation of China,</w:t>
      </w:r>
      <w:r w:rsidR="00F81221">
        <w:rPr>
          <w:kern w:val="0"/>
        </w:rPr>
        <w:t xml:space="preserve"> and </w:t>
      </w:r>
      <w:r>
        <w:rPr>
          <w:kern w:val="0"/>
        </w:rPr>
        <w:t>(iv) the emergence of Chinese MNEs</w:t>
      </w:r>
      <w:r w:rsidR="00F81221">
        <w:rPr>
          <w:kern w:val="0"/>
        </w:rPr>
        <w:t xml:space="preserve"> and </w:t>
      </w:r>
      <w:r>
        <w:rPr>
          <w:kern w:val="0"/>
        </w:rPr>
        <w:t>its impact on the operations of foreign MNEs in China. (C) 2009 Elsevier Ltd. All rights reserved.</w:t>
      </w:r>
    </w:p>
    <w:p w:rsidR="0044433B" w:rsidRDefault="0044433B" w:rsidP="0044433B">
      <w:pPr>
        <w:pStyle w:val="a0"/>
        <w:rPr>
          <w:kern w:val="0"/>
        </w:rPr>
      </w:pPr>
      <w:r>
        <w:rPr>
          <w:kern w:val="0"/>
        </w:rPr>
        <w:t xml:space="preserve">Keywords: Activities, Articles, Bibliometric Analysis, Bibliometrics, China, Citation, Citation Map, Citations, Climate, Determinants, Development, Economic-Development, Economics, Effects, Elsevier, Entry, FDI, Foreign Direct Investment, Impact, Interdisciplinary, International, International-Business Research, Joint Ventures, Journal, Journals, Literature, Literature Review, Location, </w:t>
      </w:r>
      <w:r>
        <w:rPr>
          <w:kern w:val="0"/>
        </w:rPr>
        <w:lastRenderedPageBreak/>
        <w:t>Management, Mapping, Multinational-Enterprise, People</w:t>
      </w:r>
      <w:r w:rsidR="000352E7">
        <w:rPr>
          <w:kern w:val="0"/>
        </w:rPr>
        <w:t>’</w:t>
      </w:r>
      <w:r>
        <w:rPr>
          <w:rFonts w:hint="eastAsia"/>
          <w:kern w:val="0"/>
        </w:rPr>
        <w:t>s</w:t>
      </w:r>
      <w:r>
        <w:rPr>
          <w:kern w:val="0"/>
        </w:rPr>
        <w:t xml:space="preserve"> Republic of China, Performance, Policy, Publications, Research, Review, Streams, Topic, Transformation</w:t>
      </w:r>
    </w:p>
    <w:p w:rsidR="00B95188" w:rsidRPr="00A428C3" w:rsidRDefault="00B95188" w:rsidP="00B95188">
      <w:pPr>
        <w:pStyle w:val="1"/>
      </w:pPr>
      <w:r w:rsidRPr="00A428C3">
        <w:br w:type="page"/>
      </w:r>
      <w:bookmarkStart w:id="1144" w:name="_Toc186647888"/>
      <w:bookmarkStart w:id="1145" w:name="_Toc317161220"/>
      <w:r w:rsidRPr="00A428C3">
        <w:lastRenderedPageBreak/>
        <w:t>Title: International Chemical Engineering</w:t>
      </w:r>
      <w:bookmarkEnd w:id="1144"/>
      <w:bookmarkEnd w:id="1145"/>
    </w:p>
    <w:p w:rsidR="00B95188" w:rsidRPr="002B6890" w:rsidRDefault="00B95188" w:rsidP="002B6890">
      <w:pPr>
        <w:pStyle w:val="12"/>
      </w:pPr>
      <w:r w:rsidRPr="002B6890">
        <w:t>Full Journal Title: International Chemical Engineering</w:t>
      </w:r>
    </w:p>
    <w:p w:rsidR="00B95188" w:rsidRPr="002B6890" w:rsidRDefault="00B95188" w:rsidP="002B6890">
      <w:pPr>
        <w:pStyle w:val="12"/>
      </w:pPr>
      <w:r w:rsidRPr="002B6890">
        <w:t xml:space="preserve">ISO Abbreviated Title: </w:t>
      </w:r>
    </w:p>
    <w:p w:rsidR="00B95188" w:rsidRPr="002B6890" w:rsidRDefault="00B95188" w:rsidP="002B6890">
      <w:pPr>
        <w:pStyle w:val="12"/>
      </w:pPr>
      <w:r w:rsidRPr="002B6890">
        <w:t>JCR Abbreviated Title: Int Chem Eng</w:t>
      </w:r>
    </w:p>
    <w:p w:rsidR="00B95188" w:rsidRPr="002B6890" w:rsidRDefault="00B95188" w:rsidP="002B6890">
      <w:pPr>
        <w:pStyle w:val="12"/>
      </w:pPr>
      <w:r w:rsidRPr="002B6890">
        <w:t xml:space="preserve">ISSN: </w:t>
      </w:r>
    </w:p>
    <w:p w:rsidR="00B95188" w:rsidRPr="002B6890" w:rsidRDefault="00B95188" w:rsidP="002B6890">
      <w:pPr>
        <w:pStyle w:val="12"/>
      </w:pPr>
      <w:r w:rsidRPr="002B6890">
        <w:t xml:space="preserve">Issues/Year: </w:t>
      </w:r>
    </w:p>
    <w:p w:rsidR="00B95188" w:rsidRPr="002B6890" w:rsidRDefault="00B95188" w:rsidP="002B6890">
      <w:pPr>
        <w:pStyle w:val="12"/>
      </w:pPr>
      <w:r w:rsidRPr="002B6890">
        <w:t xml:space="preserve">Journal Country/Territory: </w:t>
      </w:r>
    </w:p>
    <w:p w:rsidR="00B95188" w:rsidRPr="002B6890" w:rsidRDefault="00B95188" w:rsidP="002B6890">
      <w:pPr>
        <w:pStyle w:val="12"/>
      </w:pPr>
      <w:r w:rsidRPr="002B6890">
        <w:t xml:space="preserve">Language: </w:t>
      </w:r>
    </w:p>
    <w:p w:rsidR="00B95188" w:rsidRPr="002B6890" w:rsidRDefault="00B95188" w:rsidP="002B6890">
      <w:pPr>
        <w:pStyle w:val="12"/>
      </w:pPr>
      <w:r w:rsidRPr="002B6890">
        <w:t xml:space="preserve">Publisher: </w:t>
      </w:r>
    </w:p>
    <w:p w:rsidR="00B95188" w:rsidRPr="002B6890" w:rsidRDefault="00B95188" w:rsidP="002B6890">
      <w:pPr>
        <w:pStyle w:val="12"/>
      </w:pPr>
      <w:r w:rsidRPr="002B6890">
        <w:t xml:space="preserve">Publisher Address: </w:t>
      </w:r>
    </w:p>
    <w:p w:rsidR="00B95188" w:rsidRPr="002B6890" w:rsidRDefault="00B95188" w:rsidP="002B6890">
      <w:pPr>
        <w:pStyle w:val="12"/>
      </w:pPr>
      <w:r w:rsidRPr="002B6890">
        <w:t>Subject Categories:</w:t>
      </w:r>
    </w:p>
    <w:p w:rsidR="00B95188" w:rsidRPr="002B6890" w:rsidRDefault="00B95188" w:rsidP="002B6890">
      <w:pPr>
        <w:pStyle w:val="12"/>
      </w:pPr>
      <w:r w:rsidRPr="002B6890">
        <w:t>Thermodynamics Mechanics: Impact Factor</w:t>
      </w:r>
    </w:p>
    <w:p w:rsidR="00B95188" w:rsidRPr="00A428C3" w:rsidRDefault="00B95188" w:rsidP="00B95188">
      <w:pPr>
        <w:pStyle w:val="a0"/>
      </w:pPr>
      <w:r w:rsidRPr="00A428C3">
        <w:t>? Todes, O.M.</w:t>
      </w:r>
      <w:r w:rsidR="00F81221">
        <w:t xml:space="preserve"> and </w:t>
      </w:r>
      <w:r w:rsidRPr="00A428C3">
        <w:t>Lezin, Y.S. (1967), Dynamics of continous adsorption</w:t>
      </w:r>
      <w:r w:rsidR="00F81221">
        <w:t xml:space="preserve"> and </w:t>
      </w:r>
      <w:r w:rsidRPr="00A428C3">
        <w:t xml:space="preserve">desorption in a fluidized bed with a non-linear isotherm. </w:t>
      </w:r>
      <w:r w:rsidRPr="00A428C3">
        <w:rPr>
          <w:i/>
          <w:iCs/>
        </w:rPr>
        <w:t>International Chemical Engineering</w:t>
      </w:r>
      <w:r w:rsidRPr="00A428C3">
        <w:t xml:space="preserve">, </w:t>
      </w:r>
      <w:r w:rsidRPr="00A428C3">
        <w:rPr>
          <w:b/>
        </w:rPr>
        <w:t>7</w:t>
      </w:r>
      <w:r w:rsidRPr="00A428C3">
        <w:t xml:space="preserve"> (4), 577-??.</w:t>
      </w:r>
    </w:p>
    <w:p w:rsidR="002B6890" w:rsidRPr="00A428C3" w:rsidRDefault="002B6890" w:rsidP="002B6890">
      <w:pPr>
        <w:pStyle w:val="a0"/>
      </w:pPr>
      <w:r w:rsidRPr="00A428C3">
        <w:t xml:space="preserve">? Niac, G. (1967), Kinetic method for determination of adsorption isotherms. </w:t>
      </w:r>
      <w:r w:rsidRPr="00A428C3">
        <w:rPr>
          <w:i/>
          <w:iCs/>
        </w:rPr>
        <w:t>International Chemical Engineering</w:t>
      </w:r>
      <w:r w:rsidRPr="00A428C3">
        <w:t xml:space="preserve">, </w:t>
      </w:r>
      <w:r w:rsidRPr="00A428C3">
        <w:rPr>
          <w:b/>
        </w:rPr>
        <w:t>7</w:t>
      </w:r>
      <w:r w:rsidRPr="00A428C3">
        <w:t xml:space="preserve"> (4), 666-??.</w:t>
      </w:r>
    </w:p>
    <w:p w:rsidR="002B6890" w:rsidRDefault="002B6890" w:rsidP="002B6890">
      <w:pPr>
        <w:pStyle w:val="a0"/>
      </w:pPr>
      <w:r>
        <w:rPr>
          <w:rFonts w:hint="eastAsia"/>
        </w:rPr>
        <w:t>Notes: highly cited</w:t>
      </w:r>
    </w:p>
    <w:p w:rsidR="002B6890" w:rsidRDefault="002B6890" w:rsidP="002B6890">
      <w:pPr>
        <w:pStyle w:val="a0"/>
      </w:pPr>
      <w:r w:rsidRPr="00A428C3">
        <w:t xml:space="preserve">? </w:t>
      </w:r>
      <w:r>
        <w:t>Gnielinski, V</w:t>
      </w:r>
      <w:r>
        <w:rPr>
          <w:rFonts w:hint="eastAsia"/>
        </w:rPr>
        <w:t>.</w:t>
      </w:r>
      <w:r w:rsidRPr="00A428C3">
        <w:t xml:space="preserve"> (19</w:t>
      </w:r>
      <w:r>
        <w:rPr>
          <w:rFonts w:hint="eastAsia"/>
        </w:rPr>
        <w:t>76</w:t>
      </w:r>
      <w:r w:rsidRPr="00A428C3">
        <w:t xml:space="preserve">), </w:t>
      </w:r>
      <w:r>
        <w:t>New equations for heat and mass-transfer in turbulent pipe and channel flow</w:t>
      </w:r>
      <w:r w:rsidRPr="00A428C3">
        <w:t xml:space="preserve">. </w:t>
      </w:r>
      <w:r w:rsidRPr="00A428C3">
        <w:rPr>
          <w:i/>
          <w:iCs/>
        </w:rPr>
        <w:t>International Chemical Engineering</w:t>
      </w:r>
      <w:r w:rsidRPr="00A428C3">
        <w:t xml:space="preserve">, </w:t>
      </w:r>
      <w:r>
        <w:rPr>
          <w:rFonts w:hint="eastAsia"/>
          <w:b/>
        </w:rPr>
        <w:t>16</w:t>
      </w:r>
      <w:r w:rsidRPr="00A428C3">
        <w:t xml:space="preserve"> (</w:t>
      </w:r>
      <w:r>
        <w:rPr>
          <w:rFonts w:hint="eastAsia"/>
        </w:rPr>
        <w:t>2</w:t>
      </w:r>
      <w:r w:rsidRPr="00A428C3">
        <w:t xml:space="preserve">), </w:t>
      </w:r>
      <w:r>
        <w:t>359-368</w:t>
      </w:r>
      <w:r w:rsidRPr="00A428C3">
        <w:t>.</w:t>
      </w:r>
    </w:p>
    <w:p w:rsidR="00B95188" w:rsidRPr="00A428C3" w:rsidRDefault="00B95188" w:rsidP="00B95188">
      <w:pPr>
        <w:pStyle w:val="1"/>
      </w:pPr>
      <w:r w:rsidRPr="00A428C3">
        <w:br w:type="page"/>
      </w:r>
      <w:bookmarkStart w:id="1146" w:name="_Toc186647889"/>
      <w:bookmarkStart w:id="1147" w:name="_Toc317161221"/>
      <w:r w:rsidRPr="00A428C3">
        <w:lastRenderedPageBreak/>
        <w:t xml:space="preserve">Title: </w:t>
      </w:r>
      <w:r w:rsidRPr="00A428C3">
        <w:rPr>
          <w:iCs/>
        </w:rPr>
        <w:t>International Classification</w:t>
      </w:r>
      <w:bookmarkEnd w:id="1146"/>
      <w:bookmarkEnd w:id="1147"/>
    </w:p>
    <w:p w:rsidR="00B95188" w:rsidRPr="00C01996" w:rsidRDefault="00B95188" w:rsidP="00B72EF9">
      <w:pPr>
        <w:pStyle w:val="12"/>
      </w:pPr>
      <w:r w:rsidRPr="00C01996">
        <w:t>Full Journal Title: International Classification</w:t>
      </w:r>
    </w:p>
    <w:p w:rsidR="00B95188" w:rsidRPr="00C01996" w:rsidRDefault="00B95188" w:rsidP="00B72EF9">
      <w:pPr>
        <w:pStyle w:val="12"/>
      </w:pPr>
      <w:r w:rsidRPr="00C01996">
        <w:t xml:space="preserve">ISO Abbreviated Title: </w:t>
      </w:r>
    </w:p>
    <w:p w:rsidR="00B95188" w:rsidRPr="00C01996" w:rsidRDefault="00B95188" w:rsidP="00B72EF9">
      <w:pPr>
        <w:pStyle w:val="12"/>
      </w:pPr>
      <w:r w:rsidRPr="00C01996">
        <w:t xml:space="preserve">JCR Abbreviated Title: </w:t>
      </w:r>
    </w:p>
    <w:p w:rsidR="00B95188" w:rsidRPr="00C01996" w:rsidRDefault="00B95188" w:rsidP="00B72EF9">
      <w:pPr>
        <w:pStyle w:val="12"/>
      </w:pPr>
      <w:r w:rsidRPr="00C01996">
        <w:t xml:space="preserve">ISSN: </w:t>
      </w:r>
    </w:p>
    <w:p w:rsidR="00B95188" w:rsidRPr="00C01996" w:rsidRDefault="00B95188" w:rsidP="00B72EF9">
      <w:pPr>
        <w:pStyle w:val="12"/>
      </w:pPr>
      <w:r w:rsidRPr="00C01996">
        <w:t xml:space="preserve">Issues/Year: </w:t>
      </w:r>
    </w:p>
    <w:p w:rsidR="00B95188" w:rsidRPr="00C01996" w:rsidRDefault="00B95188" w:rsidP="00B72EF9">
      <w:pPr>
        <w:pStyle w:val="12"/>
      </w:pPr>
      <w:r w:rsidRPr="00C01996">
        <w:t xml:space="preserve">Journal Country/Territory: </w:t>
      </w:r>
    </w:p>
    <w:p w:rsidR="00B95188" w:rsidRPr="00C01996" w:rsidRDefault="00B95188" w:rsidP="00B72EF9">
      <w:pPr>
        <w:pStyle w:val="12"/>
      </w:pPr>
      <w:r w:rsidRPr="00C01996">
        <w:t xml:space="preserve">Language: </w:t>
      </w:r>
    </w:p>
    <w:p w:rsidR="00B95188" w:rsidRPr="00C01996" w:rsidRDefault="00B95188" w:rsidP="00B72EF9">
      <w:pPr>
        <w:pStyle w:val="12"/>
      </w:pPr>
      <w:r w:rsidRPr="00C01996">
        <w:t xml:space="preserve">Publisher: </w:t>
      </w:r>
    </w:p>
    <w:p w:rsidR="00B95188" w:rsidRPr="00C01996" w:rsidRDefault="00B95188" w:rsidP="00B72EF9">
      <w:pPr>
        <w:pStyle w:val="12"/>
      </w:pPr>
      <w:r w:rsidRPr="00C01996">
        <w:t xml:space="preserve">Publisher Address: </w:t>
      </w:r>
    </w:p>
    <w:p w:rsidR="00B95188" w:rsidRPr="00C01996" w:rsidRDefault="00B95188" w:rsidP="00B72EF9">
      <w:pPr>
        <w:pStyle w:val="12"/>
      </w:pPr>
      <w:r w:rsidRPr="00C01996">
        <w:t>Subject Categories:</w:t>
      </w:r>
    </w:p>
    <w:p w:rsidR="00B95188" w:rsidRPr="00C01996" w:rsidRDefault="00B95188" w:rsidP="00B72EF9">
      <w:pPr>
        <w:pStyle w:val="12"/>
      </w:pPr>
      <w:r w:rsidRPr="00C01996">
        <w:t>Thermodynamics Mechanics: Impact Factor</w:t>
      </w:r>
    </w:p>
    <w:p w:rsidR="00777F95" w:rsidRPr="00A428C3" w:rsidRDefault="00777F95" w:rsidP="00777F95">
      <w:pPr>
        <w:pStyle w:val="a0"/>
      </w:pPr>
      <w:r w:rsidRPr="00A428C3">
        <w:t>? (1976), Scientometrics</w:t>
      </w:r>
      <w:r w:rsidR="00F81221">
        <w:t xml:space="preserve"> and </w:t>
      </w:r>
      <w:r w:rsidRPr="00A428C3">
        <w:t xml:space="preserve">bibliometrics - Idis-Conference, Jan 1976. </w:t>
      </w:r>
      <w:r w:rsidRPr="00A428C3">
        <w:rPr>
          <w:i/>
          <w:iCs/>
        </w:rPr>
        <w:t>International Classification</w:t>
      </w:r>
      <w:r w:rsidRPr="00A428C3">
        <w:t xml:space="preserve">, </w:t>
      </w:r>
      <w:r w:rsidRPr="00A428C3">
        <w:rPr>
          <w:b/>
        </w:rPr>
        <w:t>3</w:t>
      </w:r>
      <w:r w:rsidRPr="00A428C3">
        <w:t xml:space="preserve"> (1), 35.</w:t>
      </w:r>
    </w:p>
    <w:p w:rsidR="00777F95" w:rsidRDefault="00777F95" w:rsidP="00777F95">
      <w:pPr>
        <w:pStyle w:val="a0"/>
      </w:pPr>
      <w:r w:rsidRPr="00A428C3">
        <w:t xml:space="preserve">? </w:t>
      </w:r>
      <w:r>
        <w:t>Henzler</w:t>
      </w:r>
      <w:r>
        <w:rPr>
          <w:rFonts w:hint="eastAsia"/>
        </w:rPr>
        <w:t>,</w:t>
      </w:r>
      <w:r>
        <w:t xml:space="preserve"> R</w:t>
      </w:r>
      <w:r>
        <w:rPr>
          <w:rFonts w:hint="eastAsia"/>
        </w:rPr>
        <w:t>.</w:t>
      </w:r>
      <w:r>
        <w:t>G</w:t>
      </w:r>
      <w:r>
        <w:rPr>
          <w:rFonts w:hint="eastAsia"/>
        </w:rPr>
        <w:t>.</w:t>
      </w:r>
      <w:r w:rsidRPr="00A428C3">
        <w:t xml:space="preserve"> (197</w:t>
      </w:r>
      <w:r>
        <w:rPr>
          <w:rFonts w:hint="eastAsia"/>
        </w:rPr>
        <w:t>8</w:t>
      </w:r>
      <w:r w:rsidRPr="00A428C3">
        <w:t xml:space="preserve">), </w:t>
      </w:r>
      <w:r>
        <w:t>Free or controlled vocabularies</w:t>
      </w:r>
      <w:r w:rsidRPr="00A428C3">
        <w:t xml:space="preserve">. </w:t>
      </w:r>
      <w:r w:rsidRPr="00A428C3">
        <w:rPr>
          <w:i/>
          <w:iCs/>
        </w:rPr>
        <w:t>International Classification</w:t>
      </w:r>
      <w:r w:rsidRPr="00A428C3">
        <w:t xml:space="preserve">, </w:t>
      </w:r>
      <w:r>
        <w:rPr>
          <w:rFonts w:hint="eastAsia"/>
          <w:b/>
        </w:rPr>
        <w:t>5</w:t>
      </w:r>
      <w:r w:rsidRPr="00A428C3">
        <w:t xml:space="preserve"> (1), </w:t>
      </w:r>
      <w:r>
        <w:rPr>
          <w:rFonts w:hint="eastAsia"/>
        </w:rPr>
        <w:t>21-??</w:t>
      </w:r>
      <w:r w:rsidRPr="00A428C3">
        <w:t>.</w:t>
      </w:r>
    </w:p>
    <w:p w:rsidR="00B95188" w:rsidRPr="00A428C3" w:rsidRDefault="00B95188" w:rsidP="00B95188">
      <w:pPr>
        <w:pStyle w:val="1"/>
      </w:pPr>
      <w:r w:rsidRPr="00A428C3">
        <w:br w:type="page"/>
      </w:r>
      <w:bookmarkStart w:id="1148" w:name="_Toc487190725"/>
      <w:bookmarkStart w:id="1149" w:name="_Toc487882230"/>
      <w:bookmarkStart w:id="1150" w:name="_Toc490688054"/>
      <w:bookmarkStart w:id="1151" w:name="_Toc492812167"/>
      <w:bookmarkStart w:id="1152" w:name="_Toc186647890"/>
      <w:bookmarkStart w:id="1153" w:name="_Toc317161222"/>
      <w:r w:rsidRPr="00A428C3">
        <w:lastRenderedPageBreak/>
        <w:t>Title: International Communications in Heat</w:t>
      </w:r>
      <w:r w:rsidR="00F81221">
        <w:t xml:space="preserve"> and </w:t>
      </w:r>
      <w:r w:rsidRPr="00A428C3">
        <w:t>Mass Transfer</w:t>
      </w:r>
      <w:bookmarkEnd w:id="1148"/>
      <w:bookmarkEnd w:id="1149"/>
      <w:bookmarkEnd w:id="1150"/>
      <w:bookmarkEnd w:id="1151"/>
      <w:bookmarkEnd w:id="1152"/>
      <w:bookmarkEnd w:id="1153"/>
    </w:p>
    <w:p w:rsidR="00B95188" w:rsidRPr="00A428C3" w:rsidRDefault="00B95188" w:rsidP="00B72EF9">
      <w:pPr>
        <w:pStyle w:val="12"/>
      </w:pPr>
      <w:r w:rsidRPr="00A428C3">
        <w:t xml:space="preserve">Full Journal Title: </w:t>
      </w:r>
      <w:hyperlink r:id="rId1601" w:history="1">
        <w:r w:rsidRPr="00A428C3">
          <w:rPr>
            <w:rStyle w:val="a5"/>
          </w:rPr>
          <w:t>International Communications in Heat</w:t>
        </w:r>
        <w:r w:rsidR="00F81221">
          <w:rPr>
            <w:rStyle w:val="a5"/>
          </w:rPr>
          <w:t xml:space="preserve"> and </w:t>
        </w:r>
        <w:r w:rsidRPr="00A428C3">
          <w:rPr>
            <w:rStyle w:val="a5"/>
          </w:rPr>
          <w:t>Mass Transfer</w:t>
        </w:r>
      </w:hyperlink>
    </w:p>
    <w:p w:rsidR="00B95188" w:rsidRPr="00A428C3" w:rsidRDefault="00B95188" w:rsidP="00B72EF9">
      <w:pPr>
        <w:pStyle w:val="12"/>
      </w:pPr>
      <w:r w:rsidRPr="00A428C3">
        <w:t>ISO Abbreviated Title: Int. Commun. Heat Mass Transf.</w:t>
      </w:r>
    </w:p>
    <w:p w:rsidR="00B95188" w:rsidRPr="00A428C3" w:rsidRDefault="00B95188" w:rsidP="00B72EF9">
      <w:pPr>
        <w:pStyle w:val="12"/>
      </w:pPr>
      <w:r w:rsidRPr="00A428C3">
        <w:t>JCR Abbreviated Title: Int Commun Heat Mass</w:t>
      </w:r>
    </w:p>
    <w:p w:rsidR="00B95188" w:rsidRPr="00A428C3" w:rsidRDefault="00B95188" w:rsidP="00B72EF9">
      <w:pPr>
        <w:pStyle w:val="12"/>
      </w:pPr>
      <w:r w:rsidRPr="00A428C3">
        <w:t>ISSN: 0735-1933</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Pergamon-Elsevier Science Ltd</w:t>
      </w:r>
    </w:p>
    <w:p w:rsidR="00B95188" w:rsidRPr="00A428C3" w:rsidRDefault="00B95188" w:rsidP="00B72EF9">
      <w:pPr>
        <w:pStyle w:val="12"/>
      </w:pPr>
      <w:r w:rsidRPr="00A428C3">
        <w:t xml:space="preserve">Publisher Address: The Boulevard, </w:t>
      </w:r>
      <w:smartTag w:uri="urn:schemas-microsoft-com:office:smarttags" w:element="Street">
        <w:smartTag w:uri="urn:schemas-microsoft-com:office:smarttags" w:element="address">
          <w:r w:rsidRPr="00A428C3">
            <w:t>Langford Lane</w:t>
          </w:r>
        </w:smartTag>
      </w:smartTag>
      <w:r w:rsidRPr="00A428C3">
        <w:t xml:space="preserve">, Kidlington, </w:t>
      </w:r>
      <w:smartTag w:uri="urn:schemas-microsoft-com:office:smarttags" w:element="City">
        <w:r w:rsidRPr="00A428C3">
          <w:t>Oxford</w:t>
        </w:r>
      </w:smartTag>
      <w:r w:rsidRPr="00A428C3">
        <w:t xml:space="preserve"> OX5 1GB,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Thermodynamics: Impact Factor 0.708, 27/42 (2006)</w:t>
      </w:r>
    </w:p>
    <w:p w:rsidR="00B95188" w:rsidRPr="00A428C3" w:rsidRDefault="00B95188" w:rsidP="00B72EF9">
      <w:pPr>
        <w:pStyle w:val="12"/>
      </w:pPr>
      <w:r w:rsidRPr="00A428C3">
        <w:rPr>
          <w:szCs w:val="19"/>
        </w:rPr>
        <w:t>Mechanics</w:t>
      </w:r>
      <w:r w:rsidRPr="00A428C3">
        <w:t xml:space="preserve"> Impact Factor 0.708, 64/109 (2006)</w:t>
      </w:r>
    </w:p>
    <w:p w:rsidR="00B95188" w:rsidRPr="00A428C3" w:rsidRDefault="00B95188" w:rsidP="00B95188">
      <w:pPr>
        <w:pStyle w:val="a0"/>
      </w:pPr>
      <w:r w:rsidRPr="00A428C3">
        <w:t>? Carvalho, Jr., J.A.</w:t>
      </w:r>
      <w:r w:rsidR="00F81221">
        <w:t xml:space="preserve"> and </w:t>
      </w:r>
      <w:r w:rsidRPr="00A428C3">
        <w:t>Gotaç, P.R. (1993), Heat</w:t>
      </w:r>
      <w:r w:rsidR="00F81221">
        <w:t xml:space="preserve"> and </w:t>
      </w:r>
      <w:r w:rsidRPr="00A428C3">
        <w:t xml:space="preserve">mass-balance analysis of an incinerator for aqueous wastes. </w:t>
      </w:r>
      <w:r w:rsidRPr="00A428C3">
        <w:rPr>
          <w:i/>
        </w:rPr>
        <w:t>International Communications in Heat</w:t>
      </w:r>
      <w:r w:rsidR="00F81221">
        <w:rPr>
          <w:i/>
        </w:rPr>
        <w:t xml:space="preserve"> and </w:t>
      </w:r>
      <w:r w:rsidRPr="00A428C3">
        <w:rPr>
          <w:i/>
        </w:rPr>
        <w:t>Mass Transfer</w:t>
      </w:r>
      <w:r w:rsidRPr="00A428C3">
        <w:t xml:space="preserve">, </w:t>
      </w:r>
      <w:r w:rsidRPr="00A428C3">
        <w:rPr>
          <w:b/>
        </w:rPr>
        <w:t>20</w:t>
      </w:r>
      <w:r w:rsidRPr="00A428C3">
        <w:t xml:space="preserve"> (4), 535-544.</w:t>
      </w:r>
    </w:p>
    <w:p w:rsidR="00B95188" w:rsidRPr="00A428C3" w:rsidRDefault="00B95188" w:rsidP="00B95188">
      <w:pPr>
        <w:pStyle w:val="a0"/>
      </w:pPr>
      <w:r w:rsidRPr="00A428C3">
        <w:t xml:space="preserve">Full Text: </w:t>
      </w:r>
      <w:hyperlink r:id="rId1602" w:history="1">
        <w:r w:rsidRPr="00A428C3">
          <w:rPr>
            <w:rStyle w:val="a5"/>
          </w:rPr>
          <w:t>I\Int Com Hea Mas Tra20, 535.pdf</w:t>
        </w:r>
      </w:hyperlink>
    </w:p>
    <w:p w:rsidR="00B95188" w:rsidRPr="00A428C3" w:rsidRDefault="00B95188" w:rsidP="00B95188">
      <w:pPr>
        <w:pStyle w:val="a0"/>
      </w:pPr>
      <w:r w:rsidRPr="00A428C3">
        <w:t>Abstract: We present an analysis of incinerators for 100% aqueous wastes in which an energy balance is performed for a general C</w:t>
      </w:r>
      <w:r w:rsidRPr="00A428C3">
        <w:rPr>
          <w:vertAlign w:val="subscript"/>
        </w:rPr>
        <w:t>m</w:t>
      </w:r>
      <w:r w:rsidRPr="00A428C3">
        <w:t>H</w:t>
      </w:r>
      <w:r w:rsidRPr="00A428C3">
        <w:rPr>
          <w:vertAlign w:val="subscript"/>
        </w:rPr>
        <w:t>n</w:t>
      </w:r>
      <w:r w:rsidRPr="00A428C3">
        <w:t>O</w:t>
      </w:r>
      <w:r w:rsidRPr="00A428C3">
        <w:rPr>
          <w:vertAlign w:val="subscript"/>
        </w:rPr>
        <w:t>p</w:t>
      </w:r>
      <w:r w:rsidRPr="00A428C3">
        <w:t>S</w:t>
      </w:r>
      <w:r w:rsidRPr="00A428C3">
        <w:rPr>
          <w:vertAlign w:val="subscript"/>
        </w:rPr>
        <w:t>q</w:t>
      </w:r>
      <w:r w:rsidRPr="00A428C3">
        <w:t>N</w:t>
      </w:r>
      <w:r w:rsidRPr="00A428C3">
        <w:rPr>
          <w:vertAlign w:val="subscript"/>
        </w:rPr>
        <w:t>r</w:t>
      </w:r>
      <w:r w:rsidRPr="00A428C3">
        <w:t xml:space="preserve"> type auxiliary fuel. General equations relating design temperatures</w:t>
      </w:r>
      <w:r w:rsidR="00F81221">
        <w:t xml:space="preserve"> and </w:t>
      </w:r>
      <w:r w:rsidRPr="00A428C3">
        <w:t>residence times to wastes/fuel ratios</w:t>
      </w:r>
      <w:r w:rsidR="00F81221">
        <w:t xml:space="preserve"> and </w:t>
      </w:r>
      <w:r w:rsidRPr="00A428C3">
        <w:t>excess air are developed. The methodology is applied to the use of oil or natural gas as auxiliary fuels.</w:t>
      </w:r>
    </w:p>
    <w:p w:rsidR="001630C2" w:rsidRPr="00A428C3" w:rsidRDefault="001630C2" w:rsidP="001630C2">
      <w:pPr>
        <w:pStyle w:val="1"/>
      </w:pPr>
      <w:r w:rsidRPr="00A428C3">
        <w:br w:type="page"/>
      </w:r>
      <w:bookmarkStart w:id="1154" w:name="_Toc317161223"/>
      <w:r w:rsidRPr="00A428C3">
        <w:lastRenderedPageBreak/>
        <w:t xml:space="preserve">Title: </w:t>
      </w:r>
      <w:r w:rsidRPr="001630C2">
        <w:t>2nd International Conference on Bioinformatics</w:t>
      </w:r>
      <w:r w:rsidR="00F81221">
        <w:t xml:space="preserve"> and </w:t>
      </w:r>
      <w:r w:rsidRPr="001630C2">
        <w:t>Biomedical Engineering</w:t>
      </w:r>
      <w:bookmarkEnd w:id="1154"/>
    </w:p>
    <w:p w:rsidR="001630C2" w:rsidRPr="00C01996" w:rsidRDefault="001630C2" w:rsidP="00B72EF9">
      <w:pPr>
        <w:pStyle w:val="12"/>
      </w:pPr>
      <w:r w:rsidRPr="00C01996">
        <w:t xml:space="preserve">Full Journal Title: </w:t>
      </w:r>
      <w:r w:rsidRPr="001630C2">
        <w:t>2nd International Conference on Bioinformatics</w:t>
      </w:r>
      <w:r w:rsidR="00F81221">
        <w:t xml:space="preserve"> and </w:t>
      </w:r>
      <w:r w:rsidRPr="001630C2">
        <w:t>Biomedical Engineering</w:t>
      </w:r>
    </w:p>
    <w:p w:rsidR="001630C2" w:rsidRPr="00C01996" w:rsidRDefault="001630C2" w:rsidP="00B72EF9">
      <w:pPr>
        <w:pStyle w:val="12"/>
      </w:pPr>
      <w:r w:rsidRPr="00C01996">
        <w:t xml:space="preserve">ISO Abbreviated Title: </w:t>
      </w:r>
    </w:p>
    <w:p w:rsidR="001630C2" w:rsidRPr="00C01996" w:rsidRDefault="001630C2" w:rsidP="00B72EF9">
      <w:pPr>
        <w:pStyle w:val="12"/>
      </w:pPr>
      <w:r w:rsidRPr="00C01996">
        <w:t xml:space="preserve">JCR Abbreviated Title: </w:t>
      </w:r>
    </w:p>
    <w:p w:rsidR="001630C2" w:rsidRPr="00C01996" w:rsidRDefault="001630C2" w:rsidP="00B72EF9">
      <w:pPr>
        <w:pStyle w:val="12"/>
      </w:pPr>
      <w:r w:rsidRPr="00C01996">
        <w:t xml:space="preserve">ISSN: </w:t>
      </w:r>
    </w:p>
    <w:p w:rsidR="001630C2" w:rsidRPr="00C01996" w:rsidRDefault="001630C2" w:rsidP="00B72EF9">
      <w:pPr>
        <w:pStyle w:val="12"/>
      </w:pPr>
      <w:r w:rsidRPr="00C01996">
        <w:t xml:space="preserve">Issues/Year: </w:t>
      </w:r>
    </w:p>
    <w:p w:rsidR="001630C2" w:rsidRPr="00C01996" w:rsidRDefault="001630C2" w:rsidP="00B72EF9">
      <w:pPr>
        <w:pStyle w:val="12"/>
      </w:pPr>
      <w:r w:rsidRPr="00C01996">
        <w:t xml:space="preserve">Journal Country/Territory: </w:t>
      </w:r>
    </w:p>
    <w:p w:rsidR="001630C2" w:rsidRPr="00C01996" w:rsidRDefault="001630C2" w:rsidP="00B72EF9">
      <w:pPr>
        <w:pStyle w:val="12"/>
      </w:pPr>
      <w:r w:rsidRPr="00C01996">
        <w:t xml:space="preserve">Language: </w:t>
      </w:r>
    </w:p>
    <w:p w:rsidR="001630C2" w:rsidRPr="00C01996" w:rsidRDefault="001630C2" w:rsidP="00B72EF9">
      <w:pPr>
        <w:pStyle w:val="12"/>
      </w:pPr>
      <w:r w:rsidRPr="00C01996">
        <w:t xml:space="preserve">Publisher: </w:t>
      </w:r>
    </w:p>
    <w:p w:rsidR="001630C2" w:rsidRPr="00C01996" w:rsidRDefault="001630C2" w:rsidP="00B72EF9">
      <w:pPr>
        <w:pStyle w:val="12"/>
      </w:pPr>
      <w:r w:rsidRPr="00C01996">
        <w:t xml:space="preserve">Publisher Address: </w:t>
      </w:r>
    </w:p>
    <w:p w:rsidR="001630C2" w:rsidRPr="00C01996" w:rsidRDefault="001630C2" w:rsidP="00B72EF9">
      <w:pPr>
        <w:pStyle w:val="12"/>
      </w:pPr>
      <w:r w:rsidRPr="00C01996">
        <w:t>Subject Categories:</w:t>
      </w:r>
    </w:p>
    <w:p w:rsidR="001630C2" w:rsidRPr="00C01996" w:rsidRDefault="001630C2" w:rsidP="00B72EF9">
      <w:pPr>
        <w:pStyle w:val="12"/>
      </w:pPr>
      <w:r w:rsidRPr="00C01996">
        <w:t>: Impact Factor</w:t>
      </w:r>
    </w:p>
    <w:p w:rsidR="001630C2" w:rsidRDefault="001630C2" w:rsidP="001630C2">
      <w:pPr>
        <w:pStyle w:val="a0"/>
        <w:rPr>
          <w:kern w:val="0"/>
        </w:rPr>
      </w:pPr>
      <w:r>
        <w:rPr>
          <w:rFonts w:hint="eastAsia"/>
          <w:kern w:val="0"/>
        </w:rPr>
        <w:t xml:space="preserve">? </w:t>
      </w:r>
      <w:r w:rsidRPr="001630C2">
        <w:rPr>
          <w:kern w:val="0"/>
        </w:rPr>
        <w:t>Chen, Y.N.</w:t>
      </w:r>
      <w:r>
        <w:rPr>
          <w:kern w:val="0"/>
        </w:rPr>
        <w:t>, Chai, L.</w:t>
      </w:r>
      <w:r w:rsidRPr="001630C2">
        <w:rPr>
          <w:kern w:val="0"/>
        </w:rPr>
        <w:t>Y.</w:t>
      </w:r>
      <w:r>
        <w:rPr>
          <w:kern w:val="0"/>
        </w:rPr>
        <w:t>, Yang, Z.</w:t>
      </w:r>
      <w:r w:rsidRPr="001630C2">
        <w:rPr>
          <w:kern w:val="0"/>
        </w:rPr>
        <w:t>H.</w:t>
      </w:r>
      <w:r w:rsidR="00F81221">
        <w:rPr>
          <w:rFonts w:hint="eastAsia"/>
          <w:kern w:val="0"/>
        </w:rPr>
        <w:t xml:space="preserve"> and </w:t>
      </w:r>
      <w:r>
        <w:rPr>
          <w:kern w:val="0"/>
        </w:rPr>
        <w:t>Wang, Y.</w:t>
      </w:r>
      <w:r w:rsidRPr="001630C2">
        <w:rPr>
          <w:kern w:val="0"/>
        </w:rPr>
        <w:t>Y.</w:t>
      </w:r>
      <w:r>
        <w:rPr>
          <w:kern w:val="0"/>
        </w:rPr>
        <w:t xml:space="preserve"> (20</w:t>
      </w:r>
      <w:r>
        <w:rPr>
          <w:rFonts w:hint="eastAsia"/>
          <w:kern w:val="0"/>
        </w:rPr>
        <w:t>08</w:t>
      </w:r>
      <w:r>
        <w:rPr>
          <w:kern w:val="0"/>
        </w:rPr>
        <w:t xml:space="preserve">), </w:t>
      </w:r>
      <w:r w:rsidRPr="001630C2">
        <w:rPr>
          <w:kern w:val="0"/>
        </w:rPr>
        <w:t>Biosorption kinetics</w:t>
      </w:r>
      <w:r w:rsidR="00F81221">
        <w:rPr>
          <w:kern w:val="0"/>
        </w:rPr>
        <w:t xml:space="preserve"> and </w:t>
      </w:r>
      <w:r w:rsidRPr="001630C2">
        <w:rPr>
          <w:kern w:val="0"/>
        </w:rPr>
        <w:t>thermodynamics of arsenate</w:t>
      </w:r>
      <w:r w:rsidR="00F81221">
        <w:rPr>
          <w:kern w:val="0"/>
        </w:rPr>
        <w:t xml:space="preserve"> and </w:t>
      </w:r>
      <w:r w:rsidRPr="001630C2">
        <w:rPr>
          <w:kern w:val="0"/>
        </w:rPr>
        <w:t>arsenite on spent grains</w:t>
      </w:r>
      <w:r>
        <w:rPr>
          <w:kern w:val="0"/>
        </w:rPr>
        <w:t xml:space="preserve">. </w:t>
      </w:r>
      <w:r w:rsidRPr="001630C2">
        <w:rPr>
          <w:i/>
          <w:kern w:val="0"/>
        </w:rPr>
        <w:t>2nd International Conference on Bioinformatics</w:t>
      </w:r>
      <w:r w:rsidR="00F81221">
        <w:rPr>
          <w:i/>
          <w:kern w:val="0"/>
        </w:rPr>
        <w:t xml:space="preserve"> and </w:t>
      </w:r>
      <w:r w:rsidRPr="001630C2">
        <w:rPr>
          <w:i/>
          <w:kern w:val="0"/>
        </w:rPr>
        <w:t>Biomedical Engineering</w:t>
      </w:r>
      <w:r>
        <w:rPr>
          <w:kern w:val="0"/>
        </w:rPr>
        <w:t xml:space="preserve">, </w:t>
      </w:r>
      <w:r>
        <w:rPr>
          <w:b/>
          <w:bCs/>
          <w:kern w:val="0"/>
        </w:rPr>
        <w:t>17</w:t>
      </w:r>
      <w:r>
        <w:rPr>
          <w:kern w:val="0"/>
        </w:rPr>
        <w:t xml:space="preserve">, </w:t>
      </w:r>
      <w:r w:rsidRPr="001630C2">
        <w:rPr>
          <w:kern w:val="0"/>
        </w:rPr>
        <w:t>3260-3263</w:t>
      </w:r>
      <w:r>
        <w:rPr>
          <w:kern w:val="0"/>
        </w:rPr>
        <w:t>.</w:t>
      </w:r>
    </w:p>
    <w:p w:rsidR="001630C2" w:rsidRPr="001630C2" w:rsidRDefault="001630C2" w:rsidP="001630C2">
      <w:pPr>
        <w:pStyle w:val="a0"/>
        <w:rPr>
          <w:kern w:val="0"/>
        </w:rPr>
      </w:pPr>
      <w:r>
        <w:rPr>
          <w:kern w:val="0"/>
        </w:rPr>
        <w:t>Abstract</w:t>
      </w:r>
      <w:r>
        <w:rPr>
          <w:rFonts w:hint="eastAsia"/>
          <w:kern w:val="0"/>
        </w:rPr>
        <w:t xml:space="preserve">: </w:t>
      </w:r>
      <w:r w:rsidRPr="001630C2">
        <w:rPr>
          <w:kern w:val="0"/>
        </w:rPr>
        <w:t>The biosorption of arsenate</w:t>
      </w:r>
      <w:r w:rsidR="00F81221">
        <w:rPr>
          <w:kern w:val="0"/>
        </w:rPr>
        <w:t xml:space="preserve"> and </w:t>
      </w:r>
      <w:r w:rsidRPr="001630C2">
        <w:rPr>
          <w:kern w:val="0"/>
        </w:rPr>
        <w:t>arsenite from aqueous solutions by spent grains, a by-product of the brewing process, was investigated. The effects of solution pH, contact time</w:t>
      </w:r>
      <w:r w:rsidR="00F81221">
        <w:rPr>
          <w:kern w:val="0"/>
        </w:rPr>
        <w:t xml:space="preserve"> and </w:t>
      </w:r>
      <w:r w:rsidRPr="001630C2">
        <w:rPr>
          <w:kern w:val="0"/>
        </w:rPr>
        <w:t>temperature were studied in batch experiments. The initial removal is rapid</w:t>
      </w:r>
      <w:r w:rsidR="00F81221">
        <w:rPr>
          <w:kern w:val="0"/>
        </w:rPr>
        <w:t xml:space="preserve"> and </w:t>
      </w:r>
      <w:r w:rsidRPr="001630C2">
        <w:rPr>
          <w:kern w:val="0"/>
        </w:rPr>
        <w:t>equilibrium was established in less than 180 min. Good correlation coefficients were obtained for the pseudo second-order kinetic model. The enthalpy of sorption was exothermic</w:t>
      </w:r>
      <w:r w:rsidR="00F81221">
        <w:rPr>
          <w:kern w:val="0"/>
        </w:rPr>
        <w:t xml:space="preserve"> and </w:t>
      </w:r>
      <w:r w:rsidRPr="001630C2">
        <w:rPr>
          <w:kern w:val="0"/>
        </w:rPr>
        <w:t>the increase in As(III) removal was larger than that of As(V) over the same rise in temperature. Spent grains are a potential biosorbent for the removal of As(V)</w:t>
      </w:r>
      <w:r w:rsidR="00F81221">
        <w:rPr>
          <w:kern w:val="0"/>
        </w:rPr>
        <w:t xml:space="preserve"> and </w:t>
      </w:r>
      <w:r w:rsidRPr="001630C2">
        <w:rPr>
          <w:kern w:val="0"/>
        </w:rPr>
        <w:t>As(III) from the effluent of metallurgical industry. © 2008 IEEE.</w:t>
      </w:r>
    </w:p>
    <w:p w:rsidR="001630C2" w:rsidRDefault="001630C2" w:rsidP="001630C2">
      <w:pPr>
        <w:pStyle w:val="a0"/>
        <w:rPr>
          <w:kern w:val="0"/>
        </w:rPr>
      </w:pPr>
      <w:r>
        <w:rPr>
          <w:kern w:val="0"/>
        </w:rPr>
        <w:t xml:space="preserve">Keywords: </w:t>
      </w:r>
      <w:r w:rsidRPr="001630C2">
        <w:rPr>
          <w:kern w:val="0"/>
        </w:rPr>
        <w:t>Arsenate</w:t>
      </w:r>
      <w:r>
        <w:rPr>
          <w:kern w:val="0"/>
        </w:rPr>
        <w:t>,</w:t>
      </w:r>
      <w:r w:rsidRPr="001630C2">
        <w:rPr>
          <w:kern w:val="0"/>
        </w:rPr>
        <w:t xml:space="preserve"> Arsenite</w:t>
      </w:r>
      <w:r>
        <w:rPr>
          <w:kern w:val="0"/>
        </w:rPr>
        <w:t>,</w:t>
      </w:r>
      <w:r w:rsidRPr="001630C2">
        <w:rPr>
          <w:kern w:val="0"/>
        </w:rPr>
        <w:t xml:space="preserve"> Biosorption</w:t>
      </w:r>
      <w:r>
        <w:rPr>
          <w:kern w:val="0"/>
        </w:rPr>
        <w:t>,</w:t>
      </w:r>
      <w:r w:rsidRPr="001630C2">
        <w:rPr>
          <w:kern w:val="0"/>
        </w:rPr>
        <w:t xml:space="preserve"> Spent Grains</w:t>
      </w:r>
    </w:p>
    <w:p w:rsidR="001630C2" w:rsidRPr="00A428C3" w:rsidRDefault="001630C2" w:rsidP="001630C2">
      <w:pPr>
        <w:pStyle w:val="1"/>
      </w:pPr>
      <w:r w:rsidRPr="00A428C3">
        <w:br w:type="page"/>
      </w:r>
      <w:bookmarkStart w:id="1155" w:name="_Toc317161224"/>
      <w:r w:rsidRPr="00A428C3">
        <w:lastRenderedPageBreak/>
        <w:t xml:space="preserve">Title: </w:t>
      </w:r>
      <w:r w:rsidRPr="00C01996">
        <w:rPr>
          <w:iCs/>
        </w:rPr>
        <w:t>IChEAP-9: 9</w:t>
      </w:r>
      <w:r w:rsidRPr="00C01996">
        <w:rPr>
          <w:rFonts w:hint="eastAsia"/>
          <w:iCs/>
        </w:rPr>
        <w:t>th</w:t>
      </w:r>
      <w:r w:rsidRPr="00C01996">
        <w:rPr>
          <w:iCs/>
        </w:rPr>
        <w:t xml:space="preserve"> International Conference on Chemical</w:t>
      </w:r>
      <w:r w:rsidR="00F81221">
        <w:rPr>
          <w:iCs/>
        </w:rPr>
        <w:t xml:space="preserve"> and </w:t>
      </w:r>
      <w:r w:rsidRPr="00C01996">
        <w:rPr>
          <w:iCs/>
        </w:rPr>
        <w:t>Process Engineering</w:t>
      </w:r>
      <w:bookmarkEnd w:id="1155"/>
    </w:p>
    <w:p w:rsidR="001630C2" w:rsidRPr="00C01996" w:rsidRDefault="001630C2" w:rsidP="00B72EF9">
      <w:pPr>
        <w:pStyle w:val="12"/>
      </w:pPr>
      <w:r w:rsidRPr="00C01996">
        <w:t>Full Journal Title: IChEAP-9: 9</w:t>
      </w:r>
      <w:r w:rsidRPr="00C01996">
        <w:rPr>
          <w:rFonts w:hint="eastAsia"/>
        </w:rPr>
        <w:t>th</w:t>
      </w:r>
      <w:r w:rsidRPr="00C01996">
        <w:t xml:space="preserve"> International Conference on Chemical</w:t>
      </w:r>
      <w:r w:rsidR="00F81221">
        <w:t xml:space="preserve"> and </w:t>
      </w:r>
      <w:r w:rsidRPr="00C01996">
        <w:t>Process Engineering</w:t>
      </w:r>
    </w:p>
    <w:p w:rsidR="001630C2" w:rsidRPr="00C01996" w:rsidRDefault="001630C2" w:rsidP="00B72EF9">
      <w:pPr>
        <w:pStyle w:val="12"/>
      </w:pPr>
      <w:r w:rsidRPr="00C01996">
        <w:t xml:space="preserve">ISO Abbreviated Title: </w:t>
      </w:r>
    </w:p>
    <w:p w:rsidR="001630C2" w:rsidRPr="00C01996" w:rsidRDefault="001630C2" w:rsidP="00B72EF9">
      <w:pPr>
        <w:pStyle w:val="12"/>
      </w:pPr>
      <w:r w:rsidRPr="00C01996">
        <w:t xml:space="preserve">JCR Abbreviated Title: </w:t>
      </w:r>
    </w:p>
    <w:p w:rsidR="001630C2" w:rsidRPr="00C01996" w:rsidRDefault="001630C2" w:rsidP="00B72EF9">
      <w:pPr>
        <w:pStyle w:val="12"/>
      </w:pPr>
      <w:r w:rsidRPr="00C01996">
        <w:t xml:space="preserve">ISSN: </w:t>
      </w:r>
    </w:p>
    <w:p w:rsidR="001630C2" w:rsidRPr="00C01996" w:rsidRDefault="001630C2" w:rsidP="00B72EF9">
      <w:pPr>
        <w:pStyle w:val="12"/>
      </w:pPr>
      <w:r w:rsidRPr="00C01996">
        <w:t xml:space="preserve">Issues/Year: </w:t>
      </w:r>
    </w:p>
    <w:p w:rsidR="001630C2" w:rsidRPr="00C01996" w:rsidRDefault="001630C2" w:rsidP="00B72EF9">
      <w:pPr>
        <w:pStyle w:val="12"/>
      </w:pPr>
      <w:r w:rsidRPr="00C01996">
        <w:t xml:space="preserve">Journal Country/Territory: </w:t>
      </w:r>
    </w:p>
    <w:p w:rsidR="001630C2" w:rsidRPr="00C01996" w:rsidRDefault="001630C2" w:rsidP="00B72EF9">
      <w:pPr>
        <w:pStyle w:val="12"/>
      </w:pPr>
      <w:r w:rsidRPr="00C01996">
        <w:t xml:space="preserve">Language: </w:t>
      </w:r>
    </w:p>
    <w:p w:rsidR="001630C2" w:rsidRPr="00C01996" w:rsidRDefault="001630C2" w:rsidP="00B72EF9">
      <w:pPr>
        <w:pStyle w:val="12"/>
      </w:pPr>
      <w:r w:rsidRPr="00C01996">
        <w:t xml:space="preserve">Publisher: </w:t>
      </w:r>
    </w:p>
    <w:p w:rsidR="001630C2" w:rsidRPr="00C01996" w:rsidRDefault="001630C2" w:rsidP="00B72EF9">
      <w:pPr>
        <w:pStyle w:val="12"/>
      </w:pPr>
      <w:r w:rsidRPr="00C01996">
        <w:t xml:space="preserve">Publisher Address: </w:t>
      </w:r>
    </w:p>
    <w:p w:rsidR="001630C2" w:rsidRPr="00C01996" w:rsidRDefault="001630C2" w:rsidP="00B72EF9">
      <w:pPr>
        <w:pStyle w:val="12"/>
      </w:pPr>
      <w:r w:rsidRPr="00C01996">
        <w:t>Subject Categories:</w:t>
      </w:r>
    </w:p>
    <w:p w:rsidR="001630C2" w:rsidRPr="00C01996" w:rsidRDefault="001630C2" w:rsidP="00B72EF9">
      <w:pPr>
        <w:pStyle w:val="12"/>
      </w:pPr>
      <w:r w:rsidRPr="00C01996">
        <w:t>: Impact Factor</w:t>
      </w:r>
    </w:p>
    <w:p w:rsidR="001630C2" w:rsidRDefault="001630C2" w:rsidP="001630C2">
      <w:pPr>
        <w:pStyle w:val="a0"/>
        <w:rPr>
          <w:kern w:val="0"/>
        </w:rPr>
      </w:pPr>
      <w:r>
        <w:rPr>
          <w:rFonts w:hint="eastAsia"/>
          <w:kern w:val="0"/>
        </w:rPr>
        <w:t xml:space="preserve">? </w:t>
      </w:r>
      <w:r>
        <w:rPr>
          <w:kern w:val="0"/>
        </w:rPr>
        <w:t>Pragono, R., Vu, L.T.T., Hourigan, J.A., Durham, R.J.</w:t>
      </w:r>
      <w:r w:rsidR="00F81221">
        <w:rPr>
          <w:kern w:val="0"/>
        </w:rPr>
        <w:t xml:space="preserve"> and </w:t>
      </w:r>
      <w:r>
        <w:rPr>
          <w:kern w:val="0"/>
        </w:rPr>
        <w:t xml:space="preserve">Sleigh, R.W. (2009), Sorption kinetics of riboflavin from lactose solutions in chromatography columns. </w:t>
      </w:r>
      <w:r w:rsidRPr="00C01996">
        <w:rPr>
          <w:i/>
          <w:iCs/>
          <w:kern w:val="0"/>
        </w:rPr>
        <w:t>IChEAP-9: 9</w:t>
      </w:r>
      <w:r w:rsidRPr="00C01996">
        <w:rPr>
          <w:rFonts w:hint="eastAsia"/>
          <w:i/>
          <w:iCs/>
          <w:kern w:val="0"/>
        </w:rPr>
        <w:t>th</w:t>
      </w:r>
      <w:r w:rsidRPr="00C01996">
        <w:rPr>
          <w:i/>
          <w:iCs/>
          <w:kern w:val="0"/>
        </w:rPr>
        <w:t xml:space="preserve"> International Conference on Chemical</w:t>
      </w:r>
      <w:r w:rsidR="00F81221">
        <w:rPr>
          <w:i/>
          <w:iCs/>
          <w:kern w:val="0"/>
        </w:rPr>
        <w:t xml:space="preserve"> and </w:t>
      </w:r>
      <w:r w:rsidRPr="00C01996">
        <w:rPr>
          <w:i/>
          <w:iCs/>
          <w:kern w:val="0"/>
        </w:rPr>
        <w:t>Process Engineering</w:t>
      </w:r>
      <w:r>
        <w:rPr>
          <w:i/>
          <w:iCs/>
          <w:kern w:val="0"/>
        </w:rPr>
        <w:t>, Pts 1-3</w:t>
      </w:r>
      <w:r>
        <w:rPr>
          <w:kern w:val="0"/>
        </w:rPr>
        <w:t xml:space="preserve">, </w:t>
      </w:r>
      <w:r>
        <w:rPr>
          <w:b/>
          <w:bCs/>
          <w:kern w:val="0"/>
        </w:rPr>
        <w:t>17</w:t>
      </w:r>
      <w:r>
        <w:rPr>
          <w:kern w:val="0"/>
        </w:rPr>
        <w:t>, 933-938.</w:t>
      </w:r>
    </w:p>
    <w:p w:rsidR="001630C2" w:rsidRDefault="001630C2" w:rsidP="001630C2">
      <w:pPr>
        <w:pStyle w:val="a0"/>
        <w:rPr>
          <w:kern w:val="0"/>
        </w:rPr>
      </w:pPr>
      <w:r>
        <w:rPr>
          <w:kern w:val="0"/>
        </w:rPr>
        <w:t>Abstract: The sorption of riboflavin by Amberlite FPX66 resin was studied using downward flow of riboflavin containing solutions through packed columns at different temperatures</w:t>
      </w:r>
      <w:r w:rsidR="00F81221">
        <w:rPr>
          <w:kern w:val="0"/>
        </w:rPr>
        <w:t xml:space="preserve"> and </w:t>
      </w:r>
      <w:r>
        <w:rPr>
          <w:kern w:val="0"/>
        </w:rPr>
        <w:t>flow rates. In recycled batch mode, the adsorption rate followed the pseudo-first-order kinetic model at a low temperature</w:t>
      </w:r>
      <w:r w:rsidR="00F81221">
        <w:rPr>
          <w:kern w:val="0"/>
        </w:rPr>
        <w:t xml:space="preserve"> and </w:t>
      </w:r>
      <w:r>
        <w:rPr>
          <w:kern w:val="0"/>
        </w:rPr>
        <w:t>the pseudo-second-order model at a higher temperature. During the initial stage of a continuous run the adsorption processes followed the zero-order model. The intra-particle diffusivity D was found to increase linearly with increasing adsorbent/sorbate ratio</w:t>
      </w:r>
      <w:r w:rsidR="00F81221">
        <w:rPr>
          <w:kern w:val="0"/>
        </w:rPr>
        <w:t xml:space="preserve"> and </w:t>
      </w:r>
      <w:r>
        <w:rPr>
          <w:kern w:val="0"/>
        </w:rPr>
        <w:t>flow rates</w:t>
      </w:r>
      <w:r w:rsidR="00F81221">
        <w:rPr>
          <w:kern w:val="0"/>
        </w:rPr>
        <w:t xml:space="preserve"> and </w:t>
      </w:r>
      <w:r>
        <w:rPr>
          <w:kern w:val="0"/>
        </w:rPr>
        <w:t>decreased in lactose solution compared to lactose-free solution. Continuous sorption was superior, removing 1.5 times more riboflavin than the batch mode after two hours.</w:t>
      </w:r>
    </w:p>
    <w:p w:rsidR="001630C2" w:rsidRDefault="001630C2" w:rsidP="001630C2">
      <w:pPr>
        <w:pStyle w:val="a0"/>
        <w:rPr>
          <w:kern w:val="0"/>
        </w:rPr>
      </w:pPr>
      <w:r>
        <w:rPr>
          <w:kern w:val="0"/>
        </w:rPr>
        <w:t>Keywords: Adsorption, Adsorption Rate, Batch, Batch Mode, Equilibrium, Flow, Kinetic, Kinetic Model, Kinetics, Lactose, Low Temperature, Mode, Model, Pseudo First Order, Pseudo Second Order, Pseudo-First-Order, Pseudo-Second-Order, Pseudo-Second-Order Model, Rates, Removal, Resin, Resins, Solution, Solutions, Sorption, Sugar, Temperature</w:t>
      </w:r>
    </w:p>
    <w:p w:rsidR="00CF4243" w:rsidRPr="00A428C3" w:rsidRDefault="00CF4243" w:rsidP="00CF4243">
      <w:pPr>
        <w:pStyle w:val="1"/>
      </w:pPr>
      <w:r w:rsidRPr="00A428C3">
        <w:br w:type="page"/>
      </w:r>
      <w:bookmarkStart w:id="1156" w:name="_Toc317161225"/>
      <w:r w:rsidRPr="00A428C3">
        <w:lastRenderedPageBreak/>
        <w:t xml:space="preserve">Title: </w:t>
      </w:r>
      <w:r w:rsidRPr="00CF4243">
        <w:rPr>
          <w:kern w:val="2"/>
        </w:rPr>
        <w:t>International Conference on Communication Technology Proceedings</w:t>
      </w:r>
      <w:bookmarkEnd w:id="1156"/>
    </w:p>
    <w:p w:rsidR="00CF4243" w:rsidRPr="00C01996" w:rsidRDefault="00CF4243" w:rsidP="00B72EF9">
      <w:pPr>
        <w:pStyle w:val="12"/>
      </w:pPr>
      <w:r w:rsidRPr="00C01996">
        <w:t xml:space="preserve">Full Journal Title: </w:t>
      </w:r>
      <w:hyperlink r:id="rId1603" w:history="1">
        <w:r w:rsidRPr="00CF4243">
          <w:rPr>
            <w:rStyle w:val="a5"/>
            <w:kern w:val="2"/>
          </w:rPr>
          <w:t>International Conference on Communication Technology Proceedings</w:t>
        </w:r>
      </w:hyperlink>
    </w:p>
    <w:p w:rsidR="00CF4243" w:rsidRPr="00C01996" w:rsidRDefault="00CF4243" w:rsidP="00B72EF9">
      <w:pPr>
        <w:pStyle w:val="12"/>
      </w:pPr>
      <w:r w:rsidRPr="00C01996">
        <w:t xml:space="preserve">ISO Abbreviated Title: </w:t>
      </w:r>
    </w:p>
    <w:p w:rsidR="00CF4243" w:rsidRPr="00C01996" w:rsidRDefault="00CF4243" w:rsidP="00B72EF9">
      <w:pPr>
        <w:pStyle w:val="12"/>
      </w:pPr>
      <w:r w:rsidRPr="00C01996">
        <w:t xml:space="preserve">JCR Abbreviated Title: </w:t>
      </w:r>
    </w:p>
    <w:p w:rsidR="00CF4243" w:rsidRPr="00C01996" w:rsidRDefault="00CF4243" w:rsidP="00B72EF9">
      <w:pPr>
        <w:pStyle w:val="12"/>
      </w:pPr>
      <w:r w:rsidRPr="00C01996">
        <w:t xml:space="preserve">ISSN: </w:t>
      </w:r>
    </w:p>
    <w:p w:rsidR="00CF4243" w:rsidRPr="00C01996" w:rsidRDefault="00CF4243" w:rsidP="00B72EF9">
      <w:pPr>
        <w:pStyle w:val="12"/>
      </w:pPr>
      <w:r w:rsidRPr="00C01996">
        <w:t xml:space="preserve">Issues/Year: </w:t>
      </w:r>
    </w:p>
    <w:p w:rsidR="00CF4243" w:rsidRPr="00C01996" w:rsidRDefault="00CF4243" w:rsidP="00B72EF9">
      <w:pPr>
        <w:pStyle w:val="12"/>
      </w:pPr>
      <w:r w:rsidRPr="00C01996">
        <w:t xml:space="preserve">Journal Country/Territory: </w:t>
      </w:r>
    </w:p>
    <w:p w:rsidR="00CF4243" w:rsidRPr="00C01996" w:rsidRDefault="00CF4243" w:rsidP="00B72EF9">
      <w:pPr>
        <w:pStyle w:val="12"/>
      </w:pPr>
      <w:r w:rsidRPr="00C01996">
        <w:t xml:space="preserve">Language: </w:t>
      </w:r>
    </w:p>
    <w:p w:rsidR="00CF4243" w:rsidRPr="00C01996" w:rsidRDefault="00CF4243" w:rsidP="00B72EF9">
      <w:pPr>
        <w:pStyle w:val="12"/>
      </w:pPr>
      <w:r w:rsidRPr="00C01996">
        <w:t xml:space="preserve">Publisher: </w:t>
      </w:r>
    </w:p>
    <w:p w:rsidR="00CF4243" w:rsidRPr="00C01996" w:rsidRDefault="00CF4243" w:rsidP="00B72EF9">
      <w:pPr>
        <w:pStyle w:val="12"/>
      </w:pPr>
      <w:r w:rsidRPr="00C01996">
        <w:t xml:space="preserve">Publisher Address: </w:t>
      </w:r>
    </w:p>
    <w:p w:rsidR="00CF4243" w:rsidRPr="00C01996" w:rsidRDefault="00CF4243" w:rsidP="00B72EF9">
      <w:pPr>
        <w:pStyle w:val="12"/>
      </w:pPr>
      <w:r w:rsidRPr="00C01996">
        <w:t>Subject Categories:</w:t>
      </w:r>
    </w:p>
    <w:p w:rsidR="00CF4243" w:rsidRPr="00C01996" w:rsidRDefault="00CF4243" w:rsidP="00B72EF9">
      <w:pPr>
        <w:pStyle w:val="12"/>
      </w:pPr>
      <w:r w:rsidRPr="00C01996">
        <w:t>: Impact Factor</w:t>
      </w:r>
    </w:p>
    <w:p w:rsidR="00CF4243" w:rsidRDefault="00CF4243" w:rsidP="00CF4243">
      <w:pPr>
        <w:pStyle w:val="a0"/>
        <w:rPr>
          <w:kern w:val="2"/>
        </w:rPr>
      </w:pPr>
      <w:r w:rsidRPr="00586CD8">
        <w:rPr>
          <w:rFonts w:hint="eastAsia"/>
          <w:kern w:val="2"/>
        </w:rPr>
        <w:t xml:space="preserve">? </w:t>
      </w:r>
      <w:r w:rsidRPr="00CF4243">
        <w:rPr>
          <w:kern w:val="2"/>
        </w:rPr>
        <w:t>Wu</w:t>
      </w:r>
      <w:r>
        <w:rPr>
          <w:rFonts w:hint="eastAsia"/>
          <w:kern w:val="2"/>
        </w:rPr>
        <w:t>,</w:t>
      </w:r>
      <w:r w:rsidRPr="00CF4243">
        <w:rPr>
          <w:kern w:val="2"/>
        </w:rPr>
        <w:t xml:space="preserve"> H</w:t>
      </w:r>
      <w:r>
        <w:rPr>
          <w:rFonts w:hint="eastAsia"/>
          <w:kern w:val="2"/>
        </w:rPr>
        <w:t>.</w:t>
      </w:r>
      <w:r w:rsidRPr="00CF4243">
        <w:rPr>
          <w:kern w:val="2"/>
        </w:rPr>
        <w:t>Q</w:t>
      </w:r>
      <w:r>
        <w:rPr>
          <w:rFonts w:hint="eastAsia"/>
          <w:kern w:val="2"/>
        </w:rPr>
        <w:t>.</w:t>
      </w:r>
      <w:r w:rsidRPr="00586CD8">
        <w:rPr>
          <w:kern w:val="2"/>
        </w:rPr>
        <w:t xml:space="preserve"> (200</w:t>
      </w:r>
      <w:r>
        <w:rPr>
          <w:rFonts w:hint="eastAsia"/>
          <w:kern w:val="2"/>
        </w:rPr>
        <w:t>0</w:t>
      </w:r>
      <w:r w:rsidRPr="00586CD8">
        <w:rPr>
          <w:kern w:val="2"/>
        </w:rPr>
        <w:t xml:space="preserve">), </w:t>
      </w:r>
      <w:r w:rsidRPr="00CF4243">
        <w:rPr>
          <w:kern w:val="2"/>
        </w:rPr>
        <w:t>The progress of communication technology subject of hi-tech research development plan of China</w:t>
      </w:r>
      <w:r w:rsidRPr="00586CD8">
        <w:rPr>
          <w:kern w:val="2"/>
        </w:rPr>
        <w:t>.</w:t>
      </w:r>
      <w:r>
        <w:rPr>
          <w:rFonts w:hint="eastAsia"/>
          <w:kern w:val="2"/>
        </w:rPr>
        <w:t xml:space="preserve"> </w:t>
      </w:r>
      <w:r>
        <w:rPr>
          <w:kern w:val="2"/>
        </w:rPr>
        <w:t>I</w:t>
      </w:r>
      <w:r>
        <w:rPr>
          <w:rFonts w:hint="eastAsia"/>
          <w:kern w:val="2"/>
        </w:rPr>
        <w:t>n</w:t>
      </w:r>
      <w:r w:rsidRPr="00586CD8">
        <w:rPr>
          <w:kern w:val="2"/>
        </w:rPr>
        <w:t xml:space="preserve"> </w:t>
      </w:r>
      <w:r w:rsidRPr="00CF4243">
        <w:rPr>
          <w:i/>
          <w:kern w:val="2"/>
        </w:rPr>
        <w:t>International Conference on Communication Technology Proceedings</w:t>
      </w:r>
      <w:r>
        <w:rPr>
          <w:rFonts w:hint="eastAsia"/>
          <w:kern w:val="2"/>
        </w:rPr>
        <w:t xml:space="preserve">, </w:t>
      </w:r>
      <w:r>
        <w:rPr>
          <w:rFonts w:hint="eastAsia"/>
          <w:b/>
          <w:kern w:val="2"/>
        </w:rPr>
        <w:t>1</w:t>
      </w:r>
      <w:r>
        <w:rPr>
          <w:rFonts w:hint="eastAsia"/>
          <w:kern w:val="2"/>
        </w:rPr>
        <w:t>,</w:t>
      </w:r>
      <w:r w:rsidRPr="00586CD8">
        <w:rPr>
          <w:kern w:val="2"/>
        </w:rPr>
        <w:t xml:space="preserve"> </w:t>
      </w:r>
      <w:r>
        <w:rPr>
          <w:rFonts w:hint="eastAsia"/>
          <w:kern w:val="2"/>
        </w:rPr>
        <w:t>3-4</w:t>
      </w:r>
      <w:r w:rsidRPr="00586CD8">
        <w:rPr>
          <w:kern w:val="2"/>
        </w:rPr>
        <w:t>.</w:t>
      </w:r>
    </w:p>
    <w:p w:rsidR="00B619E3" w:rsidRDefault="00B619E3" w:rsidP="00CF4243">
      <w:pPr>
        <w:pStyle w:val="a0"/>
        <w:rPr>
          <w:kern w:val="2"/>
        </w:rPr>
      </w:pPr>
      <w:r>
        <w:rPr>
          <w:rFonts w:hint="eastAsia"/>
          <w:kern w:val="2"/>
        </w:rPr>
        <w:t xml:space="preserve">Full Text: </w:t>
      </w:r>
      <w:hyperlink r:id="rId1604" w:history="1">
        <w:r w:rsidRPr="00B619E3">
          <w:rPr>
            <w:rStyle w:val="a5"/>
            <w:kern w:val="2"/>
          </w:rPr>
          <w:t>2000\Int Con Com Tec Pro1, 3.pdf</w:t>
        </w:r>
      </w:hyperlink>
    </w:p>
    <w:p w:rsidR="00CF4243" w:rsidRDefault="00CF4243" w:rsidP="00CF4243">
      <w:pPr>
        <w:pStyle w:val="a0"/>
        <w:rPr>
          <w:kern w:val="2"/>
        </w:rPr>
      </w:pPr>
      <w:r w:rsidRPr="00CF4243">
        <w:rPr>
          <w:kern w:val="2"/>
        </w:rPr>
        <w:t>Abstract</w:t>
      </w:r>
      <w:r>
        <w:rPr>
          <w:rFonts w:hint="eastAsia"/>
          <w:kern w:val="2"/>
        </w:rPr>
        <w:t xml:space="preserve">: </w:t>
      </w:r>
      <w:r w:rsidRPr="00CF4243">
        <w:rPr>
          <w:kern w:val="2"/>
        </w:rPr>
        <w:t>Summary form only given. In 1986, China put a high-technology research development plan, named the 863 plan, into operation. The subject of communication technology was formally included into the 863 plan in 1992,</w:t>
      </w:r>
      <w:r w:rsidR="00F81221">
        <w:rPr>
          <w:kern w:val="2"/>
        </w:rPr>
        <w:t xml:space="preserve"> and </w:t>
      </w:r>
      <w:r w:rsidRPr="00CF4243">
        <w:rPr>
          <w:kern w:val="2"/>
        </w:rPr>
        <w:t>the research projects were put into operation in 1993. It has undergone three research phases: phase I (1993-1995); the key technology of BIP-ISDN (broadband intelligent personalized</w:t>
      </w:r>
      <w:r w:rsidR="00F81221">
        <w:rPr>
          <w:kern w:val="2"/>
        </w:rPr>
        <w:t xml:space="preserve"> and </w:t>
      </w:r>
      <w:r w:rsidRPr="00CF4243">
        <w:rPr>
          <w:kern w:val="2"/>
        </w:rPr>
        <w:t>integrated services digital network) are its main objectives,</w:t>
      </w:r>
      <w:r w:rsidR="00F81221">
        <w:rPr>
          <w:kern w:val="2"/>
        </w:rPr>
        <w:t xml:space="preserve"> and </w:t>
      </w:r>
      <w:r w:rsidRPr="00CF4243">
        <w:rPr>
          <w:kern w:val="2"/>
        </w:rPr>
        <w:t>R&amp;D projects are arranged according to the four sub-subjects: communication network</w:t>
      </w:r>
      <w:r w:rsidR="00F81221">
        <w:rPr>
          <w:kern w:val="2"/>
        </w:rPr>
        <w:t xml:space="preserve"> and </w:t>
      </w:r>
      <w:r w:rsidRPr="00CF4243">
        <w:rPr>
          <w:kern w:val="2"/>
        </w:rPr>
        <w:t>switching technology, optical fiber communication technology, personalized communication technology,</w:t>
      </w:r>
      <w:r w:rsidR="00F81221">
        <w:rPr>
          <w:kern w:val="2"/>
        </w:rPr>
        <w:t xml:space="preserve"> and </w:t>
      </w:r>
      <w:r w:rsidRPr="00CF4243">
        <w:rPr>
          <w:kern w:val="2"/>
        </w:rPr>
        <w:t>multimedia communication technology; phase II (1996-1998); R&amp;D projects are also arranged according to the above four sub-subjects; phase III (1999-2000); the main directions of attack are broadband IP service node</w:t>
      </w:r>
      <w:r w:rsidR="00F81221">
        <w:rPr>
          <w:kern w:val="2"/>
        </w:rPr>
        <w:t xml:space="preserve"> and </w:t>
      </w:r>
      <w:r w:rsidRPr="00CF4243">
        <w:rPr>
          <w:kern w:val="2"/>
        </w:rPr>
        <w:t>application system-based IP. After reviewing the research achievements in communication technology</w:t>
      </w:r>
      <w:r w:rsidR="00F81221">
        <w:rPr>
          <w:kern w:val="2"/>
        </w:rPr>
        <w:t xml:space="preserve"> and </w:t>
      </w:r>
      <w:r w:rsidRPr="00CF4243">
        <w:rPr>
          <w:kern w:val="2"/>
        </w:rPr>
        <w:t>introducing the research projects in progress</w:t>
      </w:r>
      <w:r w:rsidR="00F81221">
        <w:rPr>
          <w:kern w:val="2"/>
        </w:rPr>
        <w:t xml:space="preserve"> and </w:t>
      </w:r>
      <w:r w:rsidRPr="00CF4243">
        <w:rPr>
          <w:kern w:val="2"/>
        </w:rPr>
        <w:t>their key technologies, this paper presents the research direction of communication technology for the S-863 plan, which will start in 2001 after the 863 plan</w:t>
      </w:r>
      <w:r>
        <w:rPr>
          <w:rFonts w:hint="eastAsia"/>
          <w:kern w:val="2"/>
        </w:rPr>
        <w:t>.</w:t>
      </w:r>
    </w:p>
    <w:p w:rsidR="00B95188" w:rsidRPr="00A428C3" w:rsidRDefault="00B95188" w:rsidP="00B95188">
      <w:pPr>
        <w:pStyle w:val="1"/>
      </w:pPr>
      <w:r w:rsidRPr="00A428C3">
        <w:br w:type="page"/>
      </w:r>
      <w:bookmarkStart w:id="1157" w:name="_Toc317161226"/>
      <w:r w:rsidRPr="00A428C3">
        <w:lastRenderedPageBreak/>
        <w:t xml:space="preserve">Title: </w:t>
      </w:r>
      <w:r w:rsidRPr="0054180A">
        <w:rPr>
          <w:iCs/>
        </w:rPr>
        <w:t xml:space="preserve">2007 International Conference on Convergence Information Technology - ICCIT </w:t>
      </w:r>
      <w:r w:rsidR="000352E7">
        <w:rPr>
          <w:iCs/>
        </w:rPr>
        <w:t>‘</w:t>
      </w:r>
      <w:r w:rsidRPr="0054180A">
        <w:rPr>
          <w:iCs/>
        </w:rPr>
        <w:t>07</w:t>
      </w:r>
      <w:bookmarkEnd w:id="1157"/>
    </w:p>
    <w:p w:rsidR="00B95188" w:rsidRPr="00586CD8" w:rsidRDefault="00B95188" w:rsidP="00B95188">
      <w:pPr>
        <w:pStyle w:val="a0"/>
        <w:rPr>
          <w:kern w:val="2"/>
        </w:rPr>
      </w:pPr>
      <w:r w:rsidRPr="00586CD8">
        <w:rPr>
          <w:rFonts w:hint="eastAsia"/>
          <w:kern w:val="2"/>
        </w:rPr>
        <w:t xml:space="preserve">? </w:t>
      </w:r>
      <w:r w:rsidRPr="00586CD8">
        <w:rPr>
          <w:kern w:val="2"/>
        </w:rPr>
        <w:t>Jung, J., Chul-Mo, K.</w:t>
      </w:r>
      <w:r w:rsidR="00F81221">
        <w:rPr>
          <w:kern w:val="2"/>
        </w:rPr>
        <w:t xml:space="preserve"> and </w:t>
      </w:r>
      <w:r w:rsidRPr="00586CD8">
        <w:rPr>
          <w:kern w:val="2"/>
        </w:rPr>
        <w:t xml:space="preserve">Geun-Sik, J. (2007), A divide-and-conquer approach to detecting latent community of practice from virtual organizations. </w:t>
      </w:r>
      <w:r>
        <w:rPr>
          <w:i/>
          <w:iCs/>
          <w:kern w:val="0"/>
        </w:rPr>
        <w:t xml:space="preserve">2007 International Conference on Convergence Information Technology - ICCIT </w:t>
      </w:r>
      <w:r w:rsidR="000352E7">
        <w:rPr>
          <w:i/>
          <w:iCs/>
          <w:kern w:val="0"/>
        </w:rPr>
        <w:t>‘</w:t>
      </w:r>
      <w:r>
        <w:rPr>
          <w:i/>
          <w:iCs/>
          <w:kern w:val="0"/>
        </w:rPr>
        <w:t>07</w:t>
      </w:r>
      <w:r w:rsidRPr="00586CD8">
        <w:rPr>
          <w:kern w:val="2"/>
        </w:rPr>
        <w:t>, 129-134.</w:t>
      </w:r>
    </w:p>
    <w:p w:rsidR="00B95188" w:rsidRPr="00586CD8" w:rsidRDefault="00B95188" w:rsidP="00B95188">
      <w:pPr>
        <w:pStyle w:val="a0"/>
        <w:rPr>
          <w:kern w:val="2"/>
        </w:rPr>
      </w:pPr>
      <w:r w:rsidRPr="00586CD8">
        <w:rPr>
          <w:kern w:val="2"/>
        </w:rPr>
        <w:t xml:space="preserve">Abstract: Social network analysis methods have been exploited to support efficient collaborations in virtual organizations. However, a social network within a virtual organization is simply assumed to be homogeneous, i.e., all linkages between actors are contextually identical. For example, in bibliometrics, all linkages on a network are identical to </w:t>
      </w:r>
      <w:r w:rsidR="000352E7">
        <w:rPr>
          <w:kern w:val="2"/>
        </w:rPr>
        <w:t>“</w:t>
      </w:r>
      <w:r w:rsidRPr="00586CD8">
        <w:rPr>
          <w:kern w:val="2"/>
        </w:rPr>
        <w:t>co- authoring</w:t>
      </w:r>
      <w:r w:rsidR="000352E7">
        <w:rPr>
          <w:kern w:val="2"/>
        </w:rPr>
        <w:t>”</w:t>
      </w:r>
      <w:r w:rsidRPr="00586CD8">
        <w:rPr>
          <w:kern w:val="2"/>
        </w:rPr>
        <w:t xml:space="preserve"> relationship between the actors. In this paper, we focus on integrating multiple social networks of which relationships between actors are heterogeneous. It makes a new relationship between two actors in different social networks possible to be discovered. In particular, we show how to detect latent community of practice from the multiple networks by measuring semantic centrality of actors. Thereby, we propose a divide-and-conquer approach based on the context matching algorithm, which is capable of separating the multiple social networks, with respect to the contexts of practice. We also take into account the relationships between topological features</w:t>
      </w:r>
      <w:r w:rsidR="00F81221">
        <w:rPr>
          <w:kern w:val="2"/>
        </w:rPr>
        <w:t xml:space="preserve"> and </w:t>
      </w:r>
      <w:r w:rsidRPr="00586CD8">
        <w:rPr>
          <w:kern w:val="2"/>
        </w:rPr>
        <w:t>the labels by statistical co-occurrence analysis.</w:t>
      </w:r>
    </w:p>
    <w:p w:rsidR="00B95188" w:rsidRPr="00586CD8" w:rsidRDefault="00B95188" w:rsidP="00B95188">
      <w:pPr>
        <w:pStyle w:val="a0"/>
        <w:rPr>
          <w:kern w:val="2"/>
        </w:rPr>
      </w:pPr>
      <w:r w:rsidRPr="00586CD8">
        <w:rPr>
          <w:kern w:val="2"/>
        </w:rPr>
        <w:t>Keywords: Algorithm, Analysis, Bibliometrics, Community, Methods, Network, Network Analysis, Practice, Social Networks</w:t>
      </w:r>
    </w:p>
    <w:p w:rsidR="0079712C" w:rsidRPr="00A428C3" w:rsidRDefault="0079712C" w:rsidP="0079712C">
      <w:pPr>
        <w:pStyle w:val="1"/>
      </w:pPr>
      <w:r w:rsidRPr="00A428C3">
        <w:br w:type="page"/>
      </w:r>
      <w:bookmarkStart w:id="1158" w:name="_Toc238870501"/>
      <w:bookmarkStart w:id="1159" w:name="_Toc317161227"/>
      <w:r w:rsidRPr="00A428C3">
        <w:lastRenderedPageBreak/>
        <w:t xml:space="preserve">Title: </w:t>
      </w:r>
      <w:r w:rsidRPr="00635EC2">
        <w:t>Preprints. 2nd International Conference on the Effective Use of CD-ROM Databases</w:t>
      </w:r>
      <w:bookmarkEnd w:id="1158"/>
      <w:bookmarkEnd w:id="1159"/>
    </w:p>
    <w:p w:rsidR="0079712C" w:rsidRPr="00A428C3" w:rsidRDefault="0079712C" w:rsidP="00B72EF9">
      <w:pPr>
        <w:pStyle w:val="12"/>
      </w:pPr>
      <w:r w:rsidRPr="00A428C3">
        <w:t>Full Journal Title:</w:t>
      </w:r>
      <w:r>
        <w:rPr>
          <w:rFonts w:hint="eastAsia"/>
        </w:rPr>
        <w:t xml:space="preserve"> </w:t>
      </w:r>
      <w:r w:rsidRPr="00635EC2">
        <w:t>Preprints. 2nd International Conference on the Effective Use of CD-ROM Databases</w:t>
      </w:r>
    </w:p>
    <w:p w:rsidR="0079712C" w:rsidRPr="00A428C3" w:rsidRDefault="0079712C" w:rsidP="00B72EF9">
      <w:pPr>
        <w:pStyle w:val="12"/>
      </w:pPr>
      <w:r w:rsidRPr="00A428C3">
        <w:t xml:space="preserve">ISO Abbreviated Title: </w:t>
      </w:r>
    </w:p>
    <w:p w:rsidR="0079712C" w:rsidRPr="00A428C3" w:rsidRDefault="0079712C" w:rsidP="00B72EF9">
      <w:pPr>
        <w:pStyle w:val="12"/>
      </w:pPr>
      <w:r w:rsidRPr="00A428C3">
        <w:t xml:space="preserve">JCR Abbreviated Title: </w:t>
      </w:r>
    </w:p>
    <w:p w:rsidR="0079712C" w:rsidRPr="00A428C3" w:rsidRDefault="0079712C" w:rsidP="00B72EF9">
      <w:pPr>
        <w:pStyle w:val="12"/>
      </w:pPr>
      <w:r w:rsidRPr="00A428C3">
        <w:t xml:space="preserve">ISSN: </w:t>
      </w:r>
    </w:p>
    <w:p w:rsidR="0079712C" w:rsidRPr="00A428C3" w:rsidRDefault="0079712C" w:rsidP="00B72EF9">
      <w:pPr>
        <w:pStyle w:val="12"/>
      </w:pPr>
      <w:r w:rsidRPr="00A428C3">
        <w:t xml:space="preserve">Issues/Year: </w:t>
      </w:r>
    </w:p>
    <w:p w:rsidR="0079712C" w:rsidRPr="00A428C3" w:rsidRDefault="0079712C" w:rsidP="00B72EF9">
      <w:pPr>
        <w:pStyle w:val="12"/>
      </w:pPr>
      <w:r w:rsidRPr="00A428C3">
        <w:t xml:space="preserve">Journal Country/Territory: </w:t>
      </w:r>
    </w:p>
    <w:p w:rsidR="0079712C" w:rsidRPr="00A428C3" w:rsidRDefault="0079712C" w:rsidP="00B72EF9">
      <w:pPr>
        <w:pStyle w:val="12"/>
      </w:pPr>
      <w:r w:rsidRPr="00A428C3">
        <w:t xml:space="preserve">Language: </w:t>
      </w:r>
    </w:p>
    <w:p w:rsidR="0079712C" w:rsidRPr="00A428C3" w:rsidRDefault="0079712C" w:rsidP="00B72EF9">
      <w:pPr>
        <w:pStyle w:val="12"/>
      </w:pPr>
      <w:r w:rsidRPr="00A428C3">
        <w:t xml:space="preserve">Publisher: </w:t>
      </w:r>
    </w:p>
    <w:p w:rsidR="0079712C" w:rsidRPr="00A428C3" w:rsidRDefault="0079712C" w:rsidP="00B72EF9">
      <w:pPr>
        <w:pStyle w:val="12"/>
      </w:pPr>
      <w:r w:rsidRPr="00A428C3">
        <w:t xml:space="preserve">Publisher Address: </w:t>
      </w:r>
    </w:p>
    <w:p w:rsidR="0079712C" w:rsidRPr="00A428C3" w:rsidRDefault="0079712C" w:rsidP="00B72EF9">
      <w:pPr>
        <w:pStyle w:val="12"/>
      </w:pPr>
      <w:r w:rsidRPr="00A428C3">
        <w:t>Subject Categories:</w:t>
      </w:r>
    </w:p>
    <w:p w:rsidR="0079712C" w:rsidRPr="00587C67" w:rsidRDefault="0079712C" w:rsidP="0079712C">
      <w:pPr>
        <w:pStyle w:val="a0"/>
      </w:pPr>
      <w:r w:rsidRPr="00587C67">
        <w:t xml:space="preserve">? Jones, S. (1990), The electronic era of information delivery: Challenges for the information industry. </w:t>
      </w:r>
      <w:r w:rsidRPr="00587C67">
        <w:rPr>
          <w:i/>
          <w:iCs/>
        </w:rPr>
        <w:t>Preprints. 2nd International Conference on the Effective Use of CD-ROM Databases</w:t>
      </w:r>
      <w:r w:rsidRPr="00587C67">
        <w:t>, 44-49.</w:t>
      </w:r>
    </w:p>
    <w:p w:rsidR="0079712C" w:rsidRPr="00587C67" w:rsidRDefault="0079712C" w:rsidP="0079712C">
      <w:pPr>
        <w:pStyle w:val="a0"/>
      </w:pPr>
      <w:r w:rsidRPr="00587C67">
        <w:t>Abstract: In 1988 ISI introduced its first product on compact disc, the Science Citation Index Compact Disc Edition. Since then ISI has released another CD product, the Social Sciences Citation Index Compact Disc Edition,</w:t>
      </w:r>
      <w:r w:rsidR="00F81221">
        <w:t xml:space="preserve"> and </w:t>
      </w:r>
      <w:r w:rsidRPr="00587C67">
        <w:t>six separate editions of Current Contents on Diskette. The paper reviews some of the challenging issues which this rapid entrance into the electronic era presented to an information company.</w:t>
      </w:r>
    </w:p>
    <w:p w:rsidR="0079712C" w:rsidRPr="00587C67" w:rsidRDefault="0079712C" w:rsidP="0079712C">
      <w:pPr>
        <w:pStyle w:val="a0"/>
      </w:pPr>
      <w:r w:rsidRPr="00587C67">
        <w:t>Keywords: CD, Delivery, First, Information, ISI, Reviews, Science Citation Index</w:t>
      </w:r>
    </w:p>
    <w:p w:rsidR="00B95188" w:rsidRPr="00A428C3" w:rsidRDefault="00B95188" w:rsidP="00B95188">
      <w:pPr>
        <w:pStyle w:val="1"/>
      </w:pPr>
      <w:r w:rsidRPr="00A428C3">
        <w:br w:type="page"/>
      </w:r>
      <w:bookmarkStart w:id="1160" w:name="_Toc186647891"/>
      <w:bookmarkStart w:id="1161" w:name="_Toc317161228"/>
      <w:r w:rsidRPr="00A428C3">
        <w:lastRenderedPageBreak/>
        <w:t xml:space="preserve">Title: </w:t>
      </w:r>
      <w:r w:rsidRPr="00586CD8">
        <w:t>6th International Conference &amp; Exhibition on Chemistry in Industry (CHEMINDIX 2004)</w:t>
      </w:r>
      <w:bookmarkEnd w:id="1160"/>
      <w:bookmarkEnd w:id="1161"/>
    </w:p>
    <w:p w:rsidR="00B95188" w:rsidRPr="00A428C3" w:rsidRDefault="00B95188" w:rsidP="00B95188">
      <w:pPr>
        <w:pStyle w:val="a0"/>
      </w:pPr>
      <w:r w:rsidRPr="00A428C3">
        <w:t xml:space="preserve">? </w:t>
      </w:r>
      <w:r w:rsidRPr="00A428C3">
        <w:rPr>
          <w:szCs w:val="16"/>
        </w:rPr>
        <w:t>Belaadi, S.</w:t>
      </w:r>
      <w:r w:rsidRPr="00A428C3">
        <w:t xml:space="preserve"> (2004), </w:t>
      </w:r>
      <w:r w:rsidRPr="00A428C3">
        <w:rPr>
          <w:szCs w:val="16"/>
        </w:rPr>
        <w:t>Removal of color from wastewaters by bisorption</w:t>
      </w:r>
      <w:r w:rsidRPr="00A428C3">
        <w:t xml:space="preserve">. </w:t>
      </w:r>
      <w:r w:rsidRPr="00A428C3">
        <w:rPr>
          <w:i/>
          <w:iCs/>
          <w:szCs w:val="21"/>
        </w:rPr>
        <w:t>6th International Conference &amp; Exhibition on Chemistry in Industry</w:t>
      </w:r>
      <w:r w:rsidRPr="00A428C3">
        <w:t xml:space="preserve">, </w:t>
      </w:r>
      <w:smartTag w:uri="urn:schemas-microsoft-com:office:smarttags" w:element="City">
        <w:r w:rsidRPr="00A428C3">
          <w:t>Manama</w:t>
        </w:r>
      </w:smartTag>
      <w:r w:rsidRPr="00A428C3">
        <w:t xml:space="preserve">, </w:t>
      </w:r>
      <w:smartTag w:uri="urn:schemas-microsoft-com:office:smarttags" w:element="place">
        <w:smartTag w:uri="urn:schemas-microsoft-com:office:smarttags" w:element="PlaceType">
          <w:r w:rsidRPr="00A428C3">
            <w:t>Kingdom</w:t>
          </w:r>
        </w:smartTag>
        <w:r w:rsidRPr="00A428C3">
          <w:t xml:space="preserve"> of </w:t>
        </w:r>
        <w:smartTag w:uri="urn:schemas-microsoft-com:office:smarttags" w:element="PlaceName">
          <w:r w:rsidRPr="00A428C3">
            <w:t>Bahrain</w:t>
          </w:r>
        </w:smartTag>
      </w:smartTag>
      <w:r w:rsidRPr="00A428C3">
        <w:t>, September 27-29, 2004.</w:t>
      </w:r>
    </w:p>
    <w:p w:rsidR="00B95188" w:rsidRPr="00A428C3" w:rsidRDefault="00B95188" w:rsidP="00B95188">
      <w:pPr>
        <w:pStyle w:val="a0"/>
      </w:pPr>
      <w:r w:rsidRPr="00A428C3">
        <w:t xml:space="preserve">Full Text: </w:t>
      </w:r>
      <w:hyperlink r:id="rId1605" w:history="1">
        <w:r w:rsidRPr="00A428C3">
          <w:rPr>
            <w:rStyle w:val="a5"/>
          </w:rPr>
          <w:t>2004\Int Con Exh Che Ind.pdf</w:t>
        </w:r>
      </w:hyperlink>
    </w:p>
    <w:p w:rsidR="0079712C" w:rsidRPr="00A428C3" w:rsidRDefault="0079712C" w:rsidP="0079712C">
      <w:pPr>
        <w:pStyle w:val="1"/>
      </w:pPr>
      <w:r w:rsidRPr="00A428C3">
        <w:br w:type="page"/>
      </w:r>
      <w:bookmarkStart w:id="1162" w:name="_Toc238870503"/>
      <w:bookmarkStart w:id="1163" w:name="_Toc317161229"/>
      <w:r w:rsidRPr="00A428C3">
        <w:lastRenderedPageBreak/>
        <w:t xml:space="preserve">Title: </w:t>
      </w:r>
      <w:r w:rsidRPr="000233E9">
        <w:t>Ninth International Conference on Grey Literature, GL9 Conference Proceedings - Grey Foundations in Information Landscape</w:t>
      </w:r>
      <w:bookmarkEnd w:id="1162"/>
      <w:bookmarkEnd w:id="1163"/>
    </w:p>
    <w:p w:rsidR="0079712C" w:rsidRDefault="0079712C" w:rsidP="00B72EF9">
      <w:pPr>
        <w:pStyle w:val="12"/>
      </w:pPr>
      <w:r>
        <w:t xml:space="preserve">Full Journal Title: </w:t>
      </w:r>
      <w:r w:rsidRPr="00872AE2">
        <w:t>Ninth International Conference on Grey Literature, GL9 Conference Proceedings - Grey Foundations in Information Landscape</w:t>
      </w:r>
    </w:p>
    <w:p w:rsidR="0079712C" w:rsidRDefault="0079712C" w:rsidP="00B72EF9">
      <w:pPr>
        <w:pStyle w:val="12"/>
      </w:pPr>
      <w:r>
        <w:t xml:space="preserve">ISO Abbreviated Title: </w:t>
      </w:r>
    </w:p>
    <w:p w:rsidR="0079712C" w:rsidRDefault="0079712C" w:rsidP="00B72EF9">
      <w:pPr>
        <w:pStyle w:val="12"/>
      </w:pPr>
      <w:r>
        <w:t xml:space="preserve">JCR Abbreviated Title: </w:t>
      </w:r>
    </w:p>
    <w:p w:rsidR="0079712C" w:rsidRDefault="0079712C" w:rsidP="00B72EF9">
      <w:pPr>
        <w:pStyle w:val="12"/>
      </w:pPr>
      <w:r>
        <w:t xml:space="preserve">ISSN: </w:t>
      </w:r>
      <w:r w:rsidRPr="000233E9">
        <w:t>1386-2316</w:t>
      </w:r>
    </w:p>
    <w:p w:rsidR="0079712C" w:rsidRDefault="0079712C" w:rsidP="00B72EF9">
      <w:pPr>
        <w:pStyle w:val="12"/>
      </w:pPr>
      <w:r>
        <w:t xml:space="preserve">Issues/Year: </w:t>
      </w:r>
    </w:p>
    <w:p w:rsidR="0079712C" w:rsidRDefault="00FB5623" w:rsidP="00B72EF9">
      <w:pPr>
        <w:pStyle w:val="12"/>
      </w:pPr>
      <w:r>
        <w:t>Journal Country/Territory:</w:t>
      </w:r>
      <w:r w:rsidR="0079712C">
        <w:t xml:space="preserve"> </w:t>
      </w:r>
    </w:p>
    <w:p w:rsidR="0079712C" w:rsidRDefault="0079712C" w:rsidP="00B72EF9">
      <w:pPr>
        <w:pStyle w:val="12"/>
      </w:pPr>
      <w:r>
        <w:t xml:space="preserve">Language: </w:t>
      </w:r>
    </w:p>
    <w:p w:rsidR="0079712C" w:rsidRDefault="0079712C" w:rsidP="00B72EF9">
      <w:pPr>
        <w:pStyle w:val="12"/>
      </w:pPr>
      <w:r>
        <w:t xml:space="preserve">Publisher: </w:t>
      </w:r>
    </w:p>
    <w:p w:rsidR="0079712C" w:rsidRDefault="0079712C" w:rsidP="00B72EF9">
      <w:pPr>
        <w:pStyle w:val="12"/>
      </w:pPr>
      <w:r>
        <w:t xml:space="preserve">Publisher Address: </w:t>
      </w:r>
    </w:p>
    <w:p w:rsidR="0079712C" w:rsidRDefault="0079712C" w:rsidP="00B72EF9">
      <w:pPr>
        <w:pStyle w:val="12"/>
      </w:pPr>
      <w:r>
        <w:t xml:space="preserve">Subject Categories: </w:t>
      </w:r>
    </w:p>
    <w:p w:rsidR="0079712C" w:rsidRDefault="0079712C" w:rsidP="00B72EF9">
      <w:pPr>
        <w:pStyle w:val="12"/>
      </w:pPr>
      <w:r>
        <w:t>: Impact Factor</w:t>
      </w:r>
    </w:p>
    <w:p w:rsidR="0079712C" w:rsidRDefault="0079712C" w:rsidP="0079712C">
      <w:pPr>
        <w:pStyle w:val="a0"/>
        <w:rPr>
          <w:kern w:val="0"/>
          <w:szCs w:val="24"/>
        </w:rPr>
      </w:pPr>
      <w:r>
        <w:rPr>
          <w:kern w:val="0"/>
          <w:szCs w:val="24"/>
        </w:rPr>
        <w:t>? Di Cesare, R., Luzi, D.</w:t>
      </w:r>
      <w:r w:rsidR="00F81221">
        <w:rPr>
          <w:kern w:val="0"/>
          <w:szCs w:val="24"/>
        </w:rPr>
        <w:t xml:space="preserve"> and </w:t>
      </w:r>
      <w:r>
        <w:rPr>
          <w:kern w:val="0"/>
          <w:szCs w:val="24"/>
        </w:rPr>
        <w:t xml:space="preserve">Ruggieri, R. (2008), The impact of Grey Literature in the web environment: A citation analysis using Google Scholar. </w:t>
      </w:r>
      <w:r>
        <w:rPr>
          <w:i/>
          <w:iCs/>
          <w:kern w:val="0"/>
          <w:szCs w:val="24"/>
        </w:rPr>
        <w:t>Ninth International Conference on Grey Literature, GL9 Conference Proceedings - Grey Foundations in Information Landscape</w:t>
      </w:r>
      <w:r>
        <w:rPr>
          <w:kern w:val="0"/>
          <w:szCs w:val="24"/>
        </w:rPr>
        <w:t xml:space="preserve">, </w:t>
      </w:r>
      <w:r w:rsidRPr="00C20F3A">
        <w:rPr>
          <w:b/>
          <w:bCs/>
          <w:kern w:val="0"/>
          <w:szCs w:val="24"/>
        </w:rPr>
        <w:t>9</w:t>
      </w:r>
      <w:r>
        <w:rPr>
          <w:kern w:val="0"/>
          <w:szCs w:val="24"/>
        </w:rPr>
        <w:t>, 49-63</w:t>
      </w:r>
      <w:r>
        <w:rPr>
          <w:rFonts w:hint="eastAsia"/>
          <w:kern w:val="0"/>
          <w:szCs w:val="24"/>
        </w:rPr>
        <w:t>.</w:t>
      </w:r>
    </w:p>
    <w:p w:rsidR="0079712C" w:rsidRDefault="0079712C" w:rsidP="0079712C">
      <w:pPr>
        <w:pStyle w:val="a0"/>
        <w:rPr>
          <w:kern w:val="0"/>
          <w:szCs w:val="24"/>
        </w:rPr>
      </w:pPr>
      <w:r>
        <w:rPr>
          <w:kern w:val="0"/>
          <w:szCs w:val="24"/>
        </w:rPr>
        <w:t>Keywords: Analysis, Bibliometrics, Citation, Citation Analysis, Demographers, Environment, Google, Google Scholar, Impact, Indexes, Web</w:t>
      </w:r>
    </w:p>
    <w:p w:rsidR="0079712C" w:rsidRDefault="0079712C" w:rsidP="0079712C">
      <w:pPr>
        <w:pStyle w:val="a0"/>
        <w:rPr>
          <w:kern w:val="0"/>
          <w:szCs w:val="24"/>
        </w:rPr>
      </w:pPr>
      <w:r>
        <w:rPr>
          <w:kern w:val="0"/>
          <w:szCs w:val="24"/>
        </w:rPr>
        <w:t xml:space="preserve">? Schopfel, J. (2008), Grey literature on bilingualism in Belgium. </w:t>
      </w:r>
      <w:r>
        <w:rPr>
          <w:i/>
          <w:iCs/>
          <w:kern w:val="0"/>
          <w:szCs w:val="24"/>
        </w:rPr>
        <w:t>Ninth International Conference on Grey Literature, GL9 Conference Proceedings - Grey Foundations in Information Landscape</w:t>
      </w:r>
      <w:r>
        <w:rPr>
          <w:kern w:val="0"/>
          <w:szCs w:val="24"/>
        </w:rPr>
        <w:t xml:space="preserve">, </w:t>
      </w:r>
      <w:r w:rsidRPr="00C20F3A">
        <w:rPr>
          <w:b/>
          <w:bCs/>
          <w:kern w:val="0"/>
          <w:szCs w:val="24"/>
        </w:rPr>
        <w:t>9</w:t>
      </w:r>
      <w:r>
        <w:rPr>
          <w:kern w:val="0"/>
          <w:szCs w:val="24"/>
        </w:rPr>
        <w:t>, 65-73.</w:t>
      </w:r>
    </w:p>
    <w:p w:rsidR="0079712C" w:rsidRDefault="0079712C" w:rsidP="0079712C">
      <w:pPr>
        <w:pStyle w:val="a0"/>
        <w:rPr>
          <w:kern w:val="0"/>
          <w:szCs w:val="24"/>
        </w:rPr>
      </w:pPr>
      <w:r>
        <w:rPr>
          <w:kern w:val="0"/>
          <w:szCs w:val="24"/>
        </w:rPr>
        <w:t>Abstract: Because of the town Antwerp host of the GL9 conference</w:t>
      </w:r>
      <w:r w:rsidR="00F81221">
        <w:rPr>
          <w:kern w:val="0"/>
          <w:szCs w:val="24"/>
        </w:rPr>
        <w:t xml:space="preserve"> and </w:t>
      </w:r>
      <w:r>
        <w:rPr>
          <w:kern w:val="0"/>
          <w:szCs w:val="24"/>
        </w:rPr>
        <w:t>because of our own former scientific experience we selected the field of bilingualism for a study on the importance of grey literature in social sciences</w:t>
      </w:r>
      <w:r w:rsidR="00F81221">
        <w:rPr>
          <w:kern w:val="0"/>
          <w:szCs w:val="24"/>
        </w:rPr>
        <w:t xml:space="preserve"> and </w:t>
      </w:r>
      <w:r>
        <w:rPr>
          <w:kern w:val="0"/>
          <w:szCs w:val="24"/>
        </w:rPr>
        <w:t>humanities. The study is meant to be an additional contribution to comparable scientometric analyses on the distribution of types of publications in different scientific domains. Bilingualism, the learning</w:t>
      </w:r>
      <w:r w:rsidR="00F81221">
        <w:rPr>
          <w:kern w:val="0"/>
          <w:szCs w:val="24"/>
        </w:rPr>
        <w:t xml:space="preserve"> and </w:t>
      </w:r>
      <w:r>
        <w:rPr>
          <w:kern w:val="0"/>
          <w:szCs w:val="24"/>
        </w:rPr>
        <w:t>use of two or more languages, is a linguistic, social, educational</w:t>
      </w:r>
      <w:r w:rsidR="00F81221">
        <w:rPr>
          <w:kern w:val="0"/>
          <w:szCs w:val="24"/>
        </w:rPr>
        <w:t xml:space="preserve"> and </w:t>
      </w:r>
      <w:r>
        <w:rPr>
          <w:kern w:val="0"/>
          <w:szCs w:val="24"/>
        </w:rPr>
        <w:t>psychological reality for many people</w:t>
      </w:r>
      <w:r w:rsidR="00F81221">
        <w:rPr>
          <w:kern w:val="0"/>
          <w:szCs w:val="24"/>
        </w:rPr>
        <w:t xml:space="preserve"> and </w:t>
      </w:r>
      <w:r>
        <w:rPr>
          <w:kern w:val="0"/>
          <w:szCs w:val="24"/>
        </w:rPr>
        <w:t>most countries. In the heart of Europe, Belgium, a country with two cultural</w:t>
      </w:r>
      <w:r w:rsidR="00F81221">
        <w:rPr>
          <w:kern w:val="0"/>
          <w:szCs w:val="24"/>
        </w:rPr>
        <w:t xml:space="preserve"> and </w:t>
      </w:r>
      <w:r>
        <w:rPr>
          <w:kern w:val="0"/>
          <w:szCs w:val="24"/>
        </w:rPr>
        <w:t>linguistic populations, with immigration, international business</w:t>
      </w:r>
      <w:r w:rsidR="00F81221">
        <w:rPr>
          <w:kern w:val="0"/>
          <w:szCs w:val="24"/>
        </w:rPr>
        <w:t xml:space="preserve"> and </w:t>
      </w:r>
      <w:r>
        <w:rPr>
          <w:kern w:val="0"/>
          <w:szCs w:val="24"/>
        </w:rPr>
        <w:t>institutions, is particularly confronted with this reality. Reaction to</w:t>
      </w:r>
      <w:r w:rsidR="00F81221">
        <w:rPr>
          <w:kern w:val="0"/>
          <w:szCs w:val="24"/>
        </w:rPr>
        <w:t xml:space="preserve"> and </w:t>
      </w:r>
      <w:r>
        <w:rPr>
          <w:kern w:val="0"/>
          <w:szCs w:val="24"/>
        </w:rPr>
        <w:t>part of its multicultural society, Belgium developed since many years a significant interdisciplinary research activity in the field of bilingualism. The particularity of our study is twofold: First, the research on bilingualism is interdisciplinary, at the crossroad of linguistics, sociology, psychology</w:t>
      </w:r>
      <w:r w:rsidR="00F81221">
        <w:rPr>
          <w:kern w:val="0"/>
          <w:szCs w:val="24"/>
        </w:rPr>
        <w:t xml:space="preserve"> and </w:t>
      </w:r>
      <w:r>
        <w:rPr>
          <w:kern w:val="0"/>
          <w:szCs w:val="24"/>
        </w:rPr>
        <w:lastRenderedPageBreak/>
        <w:t>educational sciences, each domain presenting its own vectors of publication</w:t>
      </w:r>
      <w:r w:rsidR="00F81221">
        <w:rPr>
          <w:kern w:val="0"/>
          <w:szCs w:val="24"/>
        </w:rPr>
        <w:t xml:space="preserve"> and </w:t>
      </w:r>
      <w:r>
        <w:rPr>
          <w:kern w:val="0"/>
          <w:szCs w:val="24"/>
        </w:rPr>
        <w:t>communication. Second, while most of the previous studies on the importance of grey literature are citation analyses, our study is based on search results from databases, catalogues, open archives</w:t>
      </w:r>
      <w:r w:rsidR="00F81221">
        <w:rPr>
          <w:kern w:val="0"/>
          <w:szCs w:val="24"/>
        </w:rPr>
        <w:t xml:space="preserve"> and </w:t>
      </w:r>
      <w:r>
        <w:rPr>
          <w:kern w:val="0"/>
          <w:szCs w:val="24"/>
        </w:rPr>
        <w:t>search engines.</w:t>
      </w:r>
    </w:p>
    <w:p w:rsidR="0079712C" w:rsidRDefault="0079712C" w:rsidP="0079712C">
      <w:pPr>
        <w:pStyle w:val="a0"/>
        <w:rPr>
          <w:kern w:val="0"/>
          <w:szCs w:val="24"/>
        </w:rPr>
      </w:pPr>
      <w:r>
        <w:rPr>
          <w:kern w:val="0"/>
          <w:szCs w:val="24"/>
        </w:rPr>
        <w:t>Keywords: Activity, Analyses, Belgium, Bilingualism, Business, Citation, Communication, Contribution, Country, Cultural, Databases, Developed, Distribution, Europe, Experience, Field, Grey Literature, Heart, Host, Humanities, Immigration, Institutions, Interdisciplinary, Interdisciplinary Research, International, International Business, Languages, Learning, Linguistics, Literature, Multicultural, Multicultural Society, Open, Populations, Psychological, Psychology, Publication, Publications, Reality, Research, Sciences, Scientometric, Search, Social, Social Sciences, Society, Sociology</w:t>
      </w:r>
    </w:p>
    <w:p w:rsidR="0079712C" w:rsidRPr="00872AE2" w:rsidRDefault="0079712C" w:rsidP="0079712C">
      <w:pPr>
        <w:pStyle w:val="a0"/>
      </w:pPr>
      <w:r w:rsidRPr="00872AE2">
        <w:rPr>
          <w:rFonts w:hint="eastAsia"/>
        </w:rPr>
        <w:t xml:space="preserve">? </w:t>
      </w:r>
      <w:r w:rsidRPr="00872AE2">
        <w:t>de Blaaij, C. (2008), The use of grey literature in historical journals</w:t>
      </w:r>
      <w:r w:rsidR="00F81221">
        <w:t xml:space="preserve"> and </w:t>
      </w:r>
      <w:r w:rsidRPr="00872AE2">
        <w:t>historical research: A bibliometric</w:t>
      </w:r>
      <w:r w:rsidR="00F81221">
        <w:t xml:space="preserve"> and </w:t>
      </w:r>
      <w:r w:rsidRPr="00872AE2">
        <w:t xml:space="preserve">qualitative approach. </w:t>
      </w:r>
      <w:r w:rsidRPr="00872AE2">
        <w:rPr>
          <w:i/>
          <w:iCs/>
        </w:rPr>
        <w:t>Ninth International Conference on Grey Literature, GL9 Conference Proceedings - Grey Foundations in Information Landscape</w:t>
      </w:r>
      <w:r w:rsidRPr="00872AE2">
        <w:t xml:space="preserve">, </w:t>
      </w:r>
      <w:r w:rsidRPr="00872AE2">
        <w:rPr>
          <w:b/>
          <w:bCs/>
        </w:rPr>
        <w:t>9</w:t>
      </w:r>
      <w:r w:rsidRPr="00872AE2">
        <w:t>, 74-79.</w:t>
      </w:r>
    </w:p>
    <w:p w:rsidR="0079712C" w:rsidRPr="00872AE2" w:rsidRDefault="0079712C" w:rsidP="0079712C">
      <w:pPr>
        <w:pStyle w:val="a0"/>
      </w:pPr>
      <w:r w:rsidRPr="00872AE2">
        <w:t xml:space="preserve">Abstract: Grey literature is generally accepted as an important part of scholarly communication especially in the </w:t>
      </w:r>
      <w:r w:rsidR="000352E7">
        <w:t>“</w:t>
      </w:r>
      <w:r w:rsidRPr="00872AE2">
        <w:t>hard</w:t>
      </w:r>
      <w:r w:rsidR="000352E7">
        <w:t>”</w:t>
      </w:r>
      <w:r w:rsidRPr="00872AE2">
        <w:t xml:space="preserve"> sciences. Since little is known about the use</w:t>
      </w:r>
      <w:r w:rsidR="00F81221">
        <w:t xml:space="preserve"> and </w:t>
      </w:r>
      <w:r w:rsidRPr="00872AE2">
        <w:t>nature of grey literature in the humanities</w:t>
      </w:r>
      <w:r w:rsidR="00F81221">
        <w:t xml:space="preserve"> and </w:t>
      </w:r>
      <w:r w:rsidRPr="00872AE2">
        <w:t>specifically in the discipline of history, a systematic analysis was done to characterize the bibliographic references appearing in ten core history journals. Methods: references from all research articles published in ten core history journals in 2005 were analyzed - five printed</w:t>
      </w:r>
      <w:r w:rsidR="00F81221">
        <w:t xml:space="preserve"> and </w:t>
      </w:r>
      <w:r w:rsidRPr="00872AE2">
        <w:t>five Open Access history journals - to determine the portion of references from grey literature. The Open Access history journals are free available on the internet. The references were analyzed</w:t>
      </w:r>
      <w:r w:rsidR="00F81221">
        <w:t xml:space="preserve"> and </w:t>
      </w:r>
      <w:r w:rsidRPr="00872AE2">
        <w:t>categorized according to the type of publication. The uses of grey literature in printed versus Open Access versions were compared. It will be shown that grey literature as a primary source will be less important than in STM journals. Surprisingly the role of grey literature is of significance in Open Access history journals. The printed history journals show opposed results. Supplementary to grey literature is the development of the format of grey literature as aggregated historical datasets. These datasets are electronically available</w:t>
      </w:r>
      <w:r w:rsidR="00F81221">
        <w:t xml:space="preserve"> and </w:t>
      </w:r>
      <w:r w:rsidRPr="00872AE2">
        <w:t>will have an important influence on historical research if historians will get more confident in using these sources.</w:t>
      </w:r>
    </w:p>
    <w:p w:rsidR="0079712C" w:rsidRDefault="0079712C" w:rsidP="0079712C">
      <w:pPr>
        <w:pStyle w:val="a0"/>
        <w:rPr>
          <w:kern w:val="0"/>
          <w:szCs w:val="24"/>
        </w:rPr>
      </w:pPr>
      <w:r>
        <w:rPr>
          <w:kern w:val="0"/>
          <w:szCs w:val="24"/>
        </w:rPr>
        <w:t>Keywords: Access, Analysis, Approach, Bibliometric, Communication, Development, Grey Literature, History, Humanities, Influence, Internet, Journals, Literature, Primary, Publication, Qualitative, Qualitative Approach, References, Research, Role, Scholarly Communication, Sciences, Significance, Source, Sources, STM, Systematic</w:t>
      </w:r>
    </w:p>
    <w:p w:rsidR="00B95188" w:rsidRPr="00A428C3" w:rsidRDefault="00B95188" w:rsidP="00B95188">
      <w:pPr>
        <w:pStyle w:val="1"/>
      </w:pPr>
      <w:r w:rsidRPr="00A428C3">
        <w:br w:type="page"/>
      </w:r>
      <w:bookmarkStart w:id="1164" w:name="_Toc317161230"/>
      <w:r w:rsidRPr="00A428C3">
        <w:lastRenderedPageBreak/>
        <w:t xml:space="preserve">Title: </w:t>
      </w:r>
      <w:r w:rsidRPr="002D2861">
        <w:rPr>
          <w:iCs/>
        </w:rPr>
        <w:t>2007 IEEE International Conference on Industrial Engineering</w:t>
      </w:r>
      <w:r w:rsidR="00F81221">
        <w:rPr>
          <w:iCs/>
        </w:rPr>
        <w:t xml:space="preserve"> and </w:t>
      </w:r>
      <w:r w:rsidRPr="002D2861">
        <w:rPr>
          <w:iCs/>
        </w:rPr>
        <w:t>Engineering Management</w:t>
      </w:r>
      <w:bookmarkEnd w:id="1164"/>
    </w:p>
    <w:p w:rsidR="00655D5A" w:rsidRDefault="00655D5A" w:rsidP="00B72EF9">
      <w:pPr>
        <w:pStyle w:val="12"/>
      </w:pPr>
      <w:r>
        <w:t xml:space="preserve">Full Journal Title: </w:t>
      </w:r>
      <w:r w:rsidRPr="002D2861">
        <w:t>2007 IEEE International Conference on Industrial Engineering</w:t>
      </w:r>
      <w:r w:rsidR="00F81221">
        <w:t xml:space="preserve"> and </w:t>
      </w:r>
      <w:r w:rsidRPr="002D2861">
        <w:t>Engineering Management</w:t>
      </w:r>
    </w:p>
    <w:p w:rsidR="00655D5A" w:rsidRDefault="00655D5A" w:rsidP="00B72EF9">
      <w:pPr>
        <w:pStyle w:val="12"/>
      </w:pPr>
      <w:r>
        <w:t xml:space="preserve">ISO Abbreviated Title: </w:t>
      </w:r>
    </w:p>
    <w:p w:rsidR="00655D5A" w:rsidRDefault="00655D5A" w:rsidP="00B72EF9">
      <w:pPr>
        <w:pStyle w:val="12"/>
      </w:pPr>
      <w:r>
        <w:t xml:space="preserve">JCR Abbreviated Title: </w:t>
      </w:r>
    </w:p>
    <w:p w:rsidR="00655D5A" w:rsidRDefault="00655D5A" w:rsidP="00B72EF9">
      <w:pPr>
        <w:pStyle w:val="12"/>
      </w:pPr>
      <w:r>
        <w:t xml:space="preserve">ISSN: </w:t>
      </w:r>
    </w:p>
    <w:p w:rsidR="00655D5A" w:rsidRDefault="00655D5A" w:rsidP="00B72EF9">
      <w:pPr>
        <w:pStyle w:val="12"/>
      </w:pPr>
      <w:r>
        <w:t xml:space="preserve">Issues/Year: </w:t>
      </w:r>
    </w:p>
    <w:p w:rsidR="00655D5A" w:rsidRDefault="00655D5A" w:rsidP="00B72EF9">
      <w:pPr>
        <w:pStyle w:val="12"/>
      </w:pPr>
      <w:r>
        <w:t xml:space="preserve">Journal Country/Territory: </w:t>
      </w:r>
    </w:p>
    <w:p w:rsidR="00655D5A" w:rsidRDefault="00655D5A" w:rsidP="00B72EF9">
      <w:pPr>
        <w:pStyle w:val="12"/>
      </w:pPr>
      <w:r>
        <w:t xml:space="preserve">Language: </w:t>
      </w:r>
    </w:p>
    <w:p w:rsidR="00655D5A" w:rsidRDefault="00655D5A" w:rsidP="00B72EF9">
      <w:pPr>
        <w:pStyle w:val="12"/>
      </w:pPr>
      <w:r>
        <w:t xml:space="preserve">Publisher: </w:t>
      </w:r>
    </w:p>
    <w:p w:rsidR="00655D5A" w:rsidRDefault="00655D5A" w:rsidP="00B72EF9">
      <w:pPr>
        <w:pStyle w:val="12"/>
      </w:pPr>
      <w:r>
        <w:t xml:space="preserve">Publisher Address: </w:t>
      </w:r>
    </w:p>
    <w:p w:rsidR="00655D5A" w:rsidRDefault="00655D5A" w:rsidP="00B72EF9">
      <w:pPr>
        <w:pStyle w:val="12"/>
      </w:pPr>
      <w:r>
        <w:t xml:space="preserve">Subject Categories: </w:t>
      </w:r>
    </w:p>
    <w:p w:rsidR="00655D5A" w:rsidRDefault="00655D5A" w:rsidP="00B72EF9">
      <w:pPr>
        <w:pStyle w:val="12"/>
      </w:pPr>
      <w:r>
        <w:t>: Impact Factor</w:t>
      </w:r>
    </w:p>
    <w:p w:rsidR="00B95188" w:rsidRPr="00586CD8" w:rsidRDefault="00B95188" w:rsidP="00B95188">
      <w:pPr>
        <w:pStyle w:val="a0"/>
        <w:rPr>
          <w:kern w:val="2"/>
        </w:rPr>
      </w:pPr>
      <w:r w:rsidRPr="00586CD8">
        <w:rPr>
          <w:rFonts w:hint="eastAsia"/>
          <w:kern w:val="2"/>
        </w:rPr>
        <w:t xml:space="preserve">? </w:t>
      </w:r>
      <w:r w:rsidRPr="00586CD8">
        <w:rPr>
          <w:kern w:val="2"/>
        </w:rPr>
        <w:t xml:space="preserve">Pilkington, A. (2007), Engineering management or management of technology? A bibliometric study of IEEE TEM. </w:t>
      </w:r>
      <w:r>
        <w:rPr>
          <w:i/>
          <w:iCs/>
          <w:kern w:val="0"/>
        </w:rPr>
        <w:t>2007 IEEE International Conference on Industrial Engineering</w:t>
      </w:r>
      <w:r w:rsidR="00F81221">
        <w:rPr>
          <w:i/>
          <w:iCs/>
          <w:kern w:val="0"/>
        </w:rPr>
        <w:t xml:space="preserve"> and </w:t>
      </w:r>
      <w:r>
        <w:rPr>
          <w:i/>
          <w:iCs/>
          <w:kern w:val="0"/>
        </w:rPr>
        <w:t>Engineering Management, Vols 1-4</w:t>
      </w:r>
      <w:r w:rsidRPr="00586CD8">
        <w:rPr>
          <w:kern w:val="2"/>
        </w:rPr>
        <w:t>, 2106-2109.</w:t>
      </w:r>
    </w:p>
    <w:p w:rsidR="00B95188" w:rsidRPr="00586CD8" w:rsidRDefault="00B95188" w:rsidP="00B95188">
      <w:pPr>
        <w:pStyle w:val="a0"/>
        <w:rPr>
          <w:kern w:val="2"/>
        </w:rPr>
      </w:pPr>
      <w:r w:rsidRPr="00586CD8">
        <w:rPr>
          <w:kern w:val="2"/>
        </w:rPr>
        <w:t>Abstract: We tend to use the terms engineering management (EM)</w:t>
      </w:r>
      <w:r w:rsidR="00F81221">
        <w:rPr>
          <w:kern w:val="2"/>
        </w:rPr>
        <w:t xml:space="preserve"> and </w:t>
      </w:r>
      <w:r w:rsidRPr="00586CD8">
        <w:rPr>
          <w:kern w:val="2"/>
        </w:rPr>
        <w:t>management of technology (MOT) interchangeably. This paper tries to examine what these mean through a bibliometric study of IEEE Transactions on Engineering Management. As well as introducing bibliometric ideas, network analysis tools identify</w:t>
      </w:r>
      <w:r w:rsidR="00F81221">
        <w:rPr>
          <w:kern w:val="2"/>
        </w:rPr>
        <w:t xml:space="preserve"> and </w:t>
      </w:r>
      <w:r w:rsidRPr="00586CD8">
        <w:rPr>
          <w:kern w:val="2"/>
        </w:rPr>
        <w:t>explore central concepts covered by EM/MOT</w:t>
      </w:r>
      <w:r w:rsidR="00F81221">
        <w:rPr>
          <w:kern w:val="2"/>
        </w:rPr>
        <w:t xml:space="preserve"> and </w:t>
      </w:r>
      <w:r w:rsidRPr="00586CD8">
        <w:rPr>
          <w:kern w:val="2"/>
        </w:rPr>
        <w:t>their inter-relationships. Specific results to be presented will cover different levels of analysis</w:t>
      </w:r>
      <w:r w:rsidR="00F81221">
        <w:rPr>
          <w:kern w:val="2"/>
        </w:rPr>
        <w:t xml:space="preserve"> and </w:t>
      </w:r>
      <w:r w:rsidRPr="00586CD8">
        <w:rPr>
          <w:kern w:val="2"/>
        </w:rPr>
        <w:t>so show different dimensions which can be extracted form citation data: Co-word terms from article keywords used to identify themes Journal title co-citation network: link MOT to other disciplines Individual publications co-citation networks used to show concentrations of underlying themes</w:t>
      </w:r>
      <w:r w:rsidR="00F81221">
        <w:rPr>
          <w:kern w:val="2"/>
        </w:rPr>
        <w:t xml:space="preserve"> and </w:t>
      </w:r>
      <w:r w:rsidRPr="00586CD8">
        <w:rPr>
          <w:kern w:val="2"/>
        </w:rPr>
        <w:t>how they relate Citation patterns of publication titles show that MOT appears dominant in IEEE TEM</w:t>
      </w:r>
      <w:r w:rsidR="00F81221">
        <w:rPr>
          <w:kern w:val="2"/>
        </w:rPr>
        <w:t xml:space="preserve"> and </w:t>
      </w:r>
      <w:r w:rsidRPr="00586CD8">
        <w:rPr>
          <w:kern w:val="2"/>
        </w:rPr>
        <w:t>the discipline has a bridging role in integrating ideas from several distinct areas including innovation, NPD, strategy, organisation science</w:t>
      </w:r>
      <w:r w:rsidR="00F81221">
        <w:rPr>
          <w:kern w:val="2"/>
        </w:rPr>
        <w:t xml:space="preserve"> and </w:t>
      </w:r>
      <w:r w:rsidRPr="00586CD8">
        <w:rPr>
          <w:kern w:val="2"/>
        </w:rPr>
        <w:t>management science. The analysis further suggests that MOT essentially relates to the firm rather than policy.</w:t>
      </w:r>
    </w:p>
    <w:p w:rsidR="00B95188" w:rsidRPr="00586CD8" w:rsidRDefault="00B95188" w:rsidP="00B95188">
      <w:pPr>
        <w:pStyle w:val="a0"/>
        <w:rPr>
          <w:kern w:val="2"/>
        </w:rPr>
      </w:pPr>
      <w:r w:rsidRPr="00586CD8">
        <w:rPr>
          <w:kern w:val="2"/>
        </w:rPr>
        <w:t>Keywords: Analysis, Bibliometric, Bibliometric Study, Citation, Co-Citation, Cocitation, Innovation, Management, Network, Network Analysis, Policy, Publication, Publications, Science, Technology, TEM</w:t>
      </w:r>
    </w:p>
    <w:p w:rsidR="00655D5A" w:rsidRPr="00A428C3" w:rsidRDefault="00655D5A" w:rsidP="00655D5A">
      <w:pPr>
        <w:pStyle w:val="1"/>
      </w:pPr>
      <w:r w:rsidRPr="00A428C3">
        <w:br w:type="page"/>
      </w:r>
      <w:bookmarkStart w:id="1165" w:name="_Toc317161231"/>
      <w:r w:rsidRPr="00A428C3">
        <w:lastRenderedPageBreak/>
        <w:t xml:space="preserve">Title: </w:t>
      </w:r>
      <w:r w:rsidRPr="00C847BD">
        <w:rPr>
          <w:iCs/>
        </w:rPr>
        <w:t>IEEM: 2008 International Conference on Industrial Engineering</w:t>
      </w:r>
      <w:r w:rsidR="00F81221">
        <w:rPr>
          <w:iCs/>
        </w:rPr>
        <w:t xml:space="preserve"> and </w:t>
      </w:r>
      <w:r w:rsidRPr="00C847BD">
        <w:rPr>
          <w:iCs/>
        </w:rPr>
        <w:t>Engineering Management</w:t>
      </w:r>
      <w:bookmarkEnd w:id="1165"/>
    </w:p>
    <w:p w:rsidR="00655D5A" w:rsidRDefault="00655D5A" w:rsidP="00B72EF9">
      <w:pPr>
        <w:pStyle w:val="12"/>
      </w:pPr>
      <w:r>
        <w:t xml:space="preserve">Full Journal Title: </w:t>
      </w:r>
      <w:r w:rsidRPr="00C847BD">
        <w:t>IEEM: 2008 International Conference on Industrial Engineering</w:t>
      </w:r>
      <w:r w:rsidR="00F81221">
        <w:t xml:space="preserve"> and </w:t>
      </w:r>
      <w:r w:rsidRPr="00C847BD">
        <w:t>Engineering Management</w:t>
      </w:r>
    </w:p>
    <w:p w:rsidR="00655D5A" w:rsidRDefault="00655D5A" w:rsidP="00B72EF9">
      <w:pPr>
        <w:pStyle w:val="12"/>
      </w:pPr>
      <w:r>
        <w:t xml:space="preserve">ISO Abbreviated Title: </w:t>
      </w:r>
    </w:p>
    <w:p w:rsidR="00655D5A" w:rsidRDefault="00655D5A" w:rsidP="00B72EF9">
      <w:pPr>
        <w:pStyle w:val="12"/>
      </w:pPr>
      <w:r>
        <w:t xml:space="preserve">JCR Abbreviated Title: </w:t>
      </w:r>
    </w:p>
    <w:p w:rsidR="00655D5A" w:rsidRDefault="00655D5A" w:rsidP="00B72EF9">
      <w:pPr>
        <w:pStyle w:val="12"/>
      </w:pPr>
      <w:r>
        <w:t xml:space="preserve">ISSN: </w:t>
      </w:r>
    </w:p>
    <w:p w:rsidR="00655D5A" w:rsidRDefault="00655D5A" w:rsidP="00B72EF9">
      <w:pPr>
        <w:pStyle w:val="12"/>
      </w:pPr>
      <w:r>
        <w:t xml:space="preserve">Issues/Year: </w:t>
      </w:r>
    </w:p>
    <w:p w:rsidR="00655D5A" w:rsidRDefault="00655D5A" w:rsidP="00B72EF9">
      <w:pPr>
        <w:pStyle w:val="12"/>
      </w:pPr>
      <w:r>
        <w:t xml:space="preserve">Journal Country/Territory: </w:t>
      </w:r>
    </w:p>
    <w:p w:rsidR="00655D5A" w:rsidRDefault="00655D5A" w:rsidP="00B72EF9">
      <w:pPr>
        <w:pStyle w:val="12"/>
      </w:pPr>
      <w:r>
        <w:t xml:space="preserve">Language: </w:t>
      </w:r>
    </w:p>
    <w:p w:rsidR="00655D5A" w:rsidRDefault="00655D5A" w:rsidP="00B72EF9">
      <w:pPr>
        <w:pStyle w:val="12"/>
      </w:pPr>
      <w:r>
        <w:t xml:space="preserve">Publisher: </w:t>
      </w:r>
    </w:p>
    <w:p w:rsidR="00655D5A" w:rsidRDefault="00655D5A" w:rsidP="00B72EF9">
      <w:pPr>
        <w:pStyle w:val="12"/>
      </w:pPr>
      <w:r>
        <w:t xml:space="preserve">Publisher Address: </w:t>
      </w:r>
    </w:p>
    <w:p w:rsidR="00655D5A" w:rsidRDefault="00655D5A" w:rsidP="00B72EF9">
      <w:pPr>
        <w:pStyle w:val="12"/>
      </w:pPr>
      <w:r>
        <w:t xml:space="preserve">Subject Categories: </w:t>
      </w:r>
    </w:p>
    <w:p w:rsidR="00655D5A" w:rsidRDefault="00655D5A" w:rsidP="00B72EF9">
      <w:pPr>
        <w:pStyle w:val="12"/>
      </w:pPr>
      <w:r>
        <w:t>: Impact Factor</w:t>
      </w:r>
    </w:p>
    <w:p w:rsidR="00655D5A" w:rsidRDefault="00655D5A" w:rsidP="00655D5A">
      <w:pPr>
        <w:pStyle w:val="a0"/>
        <w:rPr>
          <w:kern w:val="0"/>
        </w:rPr>
      </w:pPr>
      <w:r>
        <w:rPr>
          <w:rFonts w:hint="eastAsia"/>
          <w:kern w:val="0"/>
        </w:rPr>
        <w:t xml:space="preserve">? </w:t>
      </w:r>
      <w:r>
        <w:rPr>
          <w:kern w:val="0"/>
        </w:rPr>
        <w:t>Jarvenpaa, H.</w:t>
      </w:r>
      <w:r w:rsidR="00F81221">
        <w:rPr>
          <w:kern w:val="0"/>
        </w:rPr>
        <w:t xml:space="preserve"> and </w:t>
      </w:r>
      <w:r>
        <w:rPr>
          <w:kern w:val="0"/>
        </w:rPr>
        <w:t xml:space="preserve">Makinen, S.J. (2008), Empirically detecting the hype cycle with the life cycle indicators: An exploratory analysis of three technologies. </w:t>
      </w:r>
      <w:r w:rsidRPr="00C847BD">
        <w:rPr>
          <w:i/>
          <w:iCs/>
          <w:kern w:val="0"/>
        </w:rPr>
        <w:t>IEEM: 2008 International Conference on Industrial Engineering</w:t>
      </w:r>
      <w:r w:rsidR="00F81221">
        <w:rPr>
          <w:i/>
          <w:iCs/>
          <w:kern w:val="0"/>
        </w:rPr>
        <w:t xml:space="preserve"> and </w:t>
      </w:r>
      <w:r w:rsidRPr="00C847BD">
        <w:rPr>
          <w:i/>
          <w:iCs/>
          <w:kern w:val="0"/>
        </w:rPr>
        <w:t>Engineering Management</w:t>
      </w:r>
      <w:r>
        <w:rPr>
          <w:i/>
          <w:iCs/>
          <w:kern w:val="0"/>
        </w:rPr>
        <w:t>, Vols 1-3</w:t>
      </w:r>
      <w:r>
        <w:rPr>
          <w:kern w:val="0"/>
        </w:rPr>
        <w:t>, 12-16.</w:t>
      </w:r>
    </w:p>
    <w:p w:rsidR="00655D5A" w:rsidRDefault="00655D5A" w:rsidP="00655D5A">
      <w:pPr>
        <w:pStyle w:val="a0"/>
        <w:rPr>
          <w:kern w:val="0"/>
        </w:rPr>
      </w:pPr>
      <w:r>
        <w:rPr>
          <w:kern w:val="0"/>
        </w:rPr>
        <w:t>Abstract: Hype Cycle is a popular graphic representation of the level of maturity, adoption</w:t>
      </w:r>
      <w:r w:rsidR="00F81221">
        <w:rPr>
          <w:kern w:val="0"/>
        </w:rPr>
        <w:t xml:space="preserve"> and </w:t>
      </w:r>
      <w:r>
        <w:rPr>
          <w:kern w:val="0"/>
        </w:rPr>
        <w:t>business application of a technology, originally introduced by Gartner Research</w:t>
      </w:r>
      <w:r w:rsidR="000352E7">
        <w:rPr>
          <w:kern w:val="0"/>
        </w:rPr>
        <w:t>’</w:t>
      </w:r>
      <w:r>
        <w:rPr>
          <w:kern w:val="0"/>
        </w:rPr>
        <w:t>s Jackie Fenn. Despite its popularity, the verification or relation to theoretical frameworks is to a large extent missing in current research literature. This paper presents some possible theoretically based conceptualizations</w:t>
      </w:r>
      <w:r w:rsidR="00F81221">
        <w:rPr>
          <w:kern w:val="0"/>
        </w:rPr>
        <w:t xml:space="preserve"> and </w:t>
      </w:r>
      <w:r>
        <w:rPr>
          <w:kern w:val="0"/>
        </w:rPr>
        <w:t>definitions regarding the Hype Cycle. In addition, a bibliometric study of the existence of the Hype Cycle in terms of technology life cycle indicators, specifically in applied research</w:t>
      </w:r>
      <w:r w:rsidR="00F81221">
        <w:rPr>
          <w:kern w:val="0"/>
        </w:rPr>
        <w:t xml:space="preserve"> and </w:t>
      </w:r>
      <w:r>
        <w:rPr>
          <w:kern w:val="0"/>
        </w:rPr>
        <w:t>application phases, was carried out.</w:t>
      </w:r>
    </w:p>
    <w:p w:rsidR="00655D5A" w:rsidRDefault="00655D5A" w:rsidP="00655D5A">
      <w:pPr>
        <w:pStyle w:val="a0"/>
        <w:rPr>
          <w:kern w:val="0"/>
        </w:rPr>
      </w:pPr>
      <w:r>
        <w:rPr>
          <w:kern w:val="0"/>
        </w:rPr>
        <w:t>Keywords: Bibliometric Study, Hype Cycle, Indicators, Research, Technological Evolution, Technology Life Cycle</w:t>
      </w:r>
    </w:p>
    <w:p w:rsidR="00655D5A" w:rsidRDefault="00655D5A" w:rsidP="00655D5A">
      <w:pPr>
        <w:pStyle w:val="a0"/>
        <w:rPr>
          <w:kern w:val="0"/>
        </w:rPr>
      </w:pPr>
      <w:r>
        <w:rPr>
          <w:rFonts w:hint="eastAsia"/>
          <w:kern w:val="0"/>
        </w:rPr>
        <w:t xml:space="preserve">? </w:t>
      </w:r>
      <w:r>
        <w:rPr>
          <w:kern w:val="0"/>
        </w:rPr>
        <w:t xml:space="preserve">Pilkington, A. (2008), Modelling the Diffusion of Innovation Management Theory using S-curves. </w:t>
      </w:r>
      <w:r>
        <w:rPr>
          <w:i/>
          <w:iCs/>
          <w:kern w:val="0"/>
        </w:rPr>
        <w:t>IEEM: 2008 International Conference on Industrial Engineering</w:t>
      </w:r>
      <w:r w:rsidR="00F81221">
        <w:rPr>
          <w:i/>
          <w:iCs/>
          <w:kern w:val="0"/>
        </w:rPr>
        <w:t xml:space="preserve"> and </w:t>
      </w:r>
      <w:r>
        <w:rPr>
          <w:i/>
          <w:iCs/>
          <w:kern w:val="0"/>
        </w:rPr>
        <w:t>Engineering Management, Vols 1-3</w:t>
      </w:r>
      <w:r>
        <w:rPr>
          <w:kern w:val="0"/>
        </w:rPr>
        <w:t>, 920-924.</w:t>
      </w:r>
    </w:p>
    <w:p w:rsidR="00655D5A" w:rsidRDefault="00655D5A" w:rsidP="00655D5A">
      <w:pPr>
        <w:pStyle w:val="a0"/>
        <w:rPr>
          <w:kern w:val="0"/>
        </w:rPr>
      </w:pPr>
      <w:r>
        <w:rPr>
          <w:kern w:val="0"/>
        </w:rPr>
        <w:t>Abstract: This paper explores the suitability of using diffusion S-curves to describe</w:t>
      </w:r>
      <w:r w:rsidR="00F81221">
        <w:rPr>
          <w:kern w:val="0"/>
        </w:rPr>
        <w:t xml:space="preserve"> and </w:t>
      </w:r>
      <w:r>
        <w:rPr>
          <w:kern w:val="0"/>
        </w:rPr>
        <w:t>compare the diffusion of citations within the innovation management discipline. There is some debate as to how to extend the existing measures of bibliometrics</w:t>
      </w:r>
      <w:r w:rsidR="00F81221">
        <w:rPr>
          <w:kern w:val="0"/>
        </w:rPr>
        <w:t xml:space="preserve"> and </w:t>
      </w:r>
      <w:r>
        <w:rPr>
          <w:kern w:val="0"/>
        </w:rPr>
        <w:t>modelling instead of indexes is just one option being explored. The ISI Citation data on the ten leading journals in the innovation management field are modelled</w:t>
      </w:r>
      <w:r w:rsidR="00F81221">
        <w:rPr>
          <w:kern w:val="0"/>
        </w:rPr>
        <w:t xml:space="preserve"> and </w:t>
      </w:r>
      <w:r>
        <w:rPr>
          <w:kern w:val="0"/>
        </w:rPr>
        <w:t xml:space="preserve">compared using a wide range of distributions. The resulting grouping of journals </w:t>
      </w:r>
      <w:r>
        <w:rPr>
          <w:kern w:val="0"/>
        </w:rPr>
        <w:lastRenderedPageBreak/>
        <w:t>appears to be a useful proxy for academic-practitioner involvement</w:t>
      </w:r>
      <w:r w:rsidR="00F81221">
        <w:rPr>
          <w:kern w:val="0"/>
        </w:rPr>
        <w:t xml:space="preserve"> and </w:t>
      </w:r>
      <w:r>
        <w:rPr>
          <w:kern w:val="0"/>
        </w:rPr>
        <w:t>warrants further investigation. The finding that the three-parameter Inverse Gaussian is the best fit to the data extends the understanding of this process.</w:t>
      </w:r>
    </w:p>
    <w:p w:rsidR="00655D5A" w:rsidRDefault="00655D5A" w:rsidP="00655D5A">
      <w:pPr>
        <w:pStyle w:val="a0"/>
        <w:rPr>
          <w:kern w:val="0"/>
        </w:rPr>
      </w:pPr>
      <w:r>
        <w:rPr>
          <w:kern w:val="0"/>
        </w:rPr>
        <w:t>Keywords: Bibliometrics, Citation, Citations, Diffusion, Impact, Innovation Management, Management, S-Curve, Scientific Journals</w:t>
      </w:r>
    </w:p>
    <w:p w:rsidR="0079712C" w:rsidRPr="00634D1A" w:rsidRDefault="0079712C" w:rsidP="0079712C">
      <w:pPr>
        <w:pStyle w:val="1"/>
      </w:pPr>
      <w:r w:rsidRPr="00634D1A">
        <w:br w:type="page"/>
      </w:r>
      <w:bookmarkStart w:id="1166" w:name="_Toc238870508"/>
      <w:bookmarkStart w:id="1167" w:name="_Toc317161232"/>
      <w:r w:rsidRPr="00634D1A">
        <w:lastRenderedPageBreak/>
        <w:t xml:space="preserve">Title: </w:t>
      </w:r>
      <w:r w:rsidRPr="00D623FC">
        <w:t>Seventh Conference of the International Society for Scientometrics</w:t>
      </w:r>
      <w:r w:rsidR="00F81221">
        <w:t xml:space="preserve"> and </w:t>
      </w:r>
      <w:r w:rsidRPr="00D623FC">
        <w:t>Informetrics, Proceedings - 1999</w:t>
      </w:r>
      <w:bookmarkEnd w:id="1166"/>
      <w:bookmarkEnd w:id="1167"/>
    </w:p>
    <w:p w:rsidR="0079712C" w:rsidRDefault="0079712C" w:rsidP="00B72EF9">
      <w:pPr>
        <w:pStyle w:val="12"/>
      </w:pPr>
      <w:r>
        <w:t xml:space="preserve">Full Journal Title: </w:t>
      </w:r>
      <w:r w:rsidRPr="00560B4F">
        <w:t>Seventh Conference of the International Society for Scientometrics</w:t>
      </w:r>
      <w:r w:rsidR="00F81221">
        <w:t xml:space="preserve"> and </w:t>
      </w:r>
      <w:r w:rsidRPr="00560B4F">
        <w:t>Informetrics, Proceedings - 1999</w:t>
      </w:r>
    </w:p>
    <w:p w:rsidR="0079712C" w:rsidRDefault="0079712C" w:rsidP="00B72EF9">
      <w:pPr>
        <w:pStyle w:val="12"/>
      </w:pPr>
      <w:r>
        <w:t xml:space="preserve">ISO Abbreviated Title: </w:t>
      </w:r>
    </w:p>
    <w:p w:rsidR="0079712C" w:rsidRDefault="0079712C" w:rsidP="00B72EF9">
      <w:pPr>
        <w:pStyle w:val="12"/>
      </w:pPr>
      <w:r>
        <w:t xml:space="preserve">JCR Abbreviated Title: </w:t>
      </w:r>
    </w:p>
    <w:p w:rsidR="0079712C" w:rsidRDefault="0079712C" w:rsidP="00B72EF9">
      <w:pPr>
        <w:pStyle w:val="12"/>
      </w:pPr>
      <w:r>
        <w:t xml:space="preserve">ISBN: </w:t>
      </w:r>
    </w:p>
    <w:p w:rsidR="0079712C" w:rsidRDefault="0079712C" w:rsidP="00B72EF9">
      <w:pPr>
        <w:pStyle w:val="12"/>
      </w:pPr>
      <w:r>
        <w:t xml:space="preserve">ISSN: </w:t>
      </w:r>
    </w:p>
    <w:p w:rsidR="0079712C" w:rsidRDefault="0079712C" w:rsidP="00B72EF9">
      <w:pPr>
        <w:pStyle w:val="12"/>
      </w:pPr>
      <w:r>
        <w:t xml:space="preserve">Issues/Year: </w:t>
      </w:r>
    </w:p>
    <w:p w:rsidR="0079712C" w:rsidRDefault="00FB5623" w:rsidP="00B72EF9">
      <w:pPr>
        <w:pStyle w:val="12"/>
      </w:pPr>
      <w:r>
        <w:t>Journal Country/Territory:</w:t>
      </w:r>
      <w:r w:rsidR="0079712C">
        <w:t xml:space="preserve"> </w:t>
      </w:r>
    </w:p>
    <w:p w:rsidR="0079712C" w:rsidRDefault="0079712C" w:rsidP="00B72EF9">
      <w:pPr>
        <w:pStyle w:val="12"/>
      </w:pPr>
      <w:r>
        <w:t xml:space="preserve">Language: </w:t>
      </w:r>
    </w:p>
    <w:p w:rsidR="0079712C" w:rsidRDefault="0079712C" w:rsidP="00B72EF9">
      <w:pPr>
        <w:pStyle w:val="12"/>
      </w:pPr>
      <w:r>
        <w:t xml:space="preserve">Publisher: </w:t>
      </w:r>
    </w:p>
    <w:p w:rsidR="0079712C" w:rsidRDefault="0079712C" w:rsidP="00B72EF9">
      <w:pPr>
        <w:pStyle w:val="12"/>
      </w:pPr>
      <w:r>
        <w:t xml:space="preserve">Publisher Address: </w:t>
      </w:r>
    </w:p>
    <w:p w:rsidR="0079712C" w:rsidRDefault="0079712C" w:rsidP="00B72EF9">
      <w:pPr>
        <w:pStyle w:val="12"/>
      </w:pPr>
      <w:r>
        <w:t xml:space="preserve">Subject Categories: </w:t>
      </w:r>
    </w:p>
    <w:p w:rsidR="0079712C" w:rsidRDefault="0079712C" w:rsidP="00B72EF9">
      <w:pPr>
        <w:pStyle w:val="12"/>
      </w:pPr>
      <w:r>
        <w:t>: Impact Factor</w:t>
      </w:r>
    </w:p>
    <w:p w:rsidR="0079712C" w:rsidRPr="00560B4F" w:rsidRDefault="0079712C" w:rsidP="0079712C">
      <w:pPr>
        <w:pStyle w:val="a0"/>
      </w:pPr>
      <w:r w:rsidRPr="00560B4F">
        <w:rPr>
          <w:rFonts w:hint="eastAsia"/>
        </w:rPr>
        <w:t>Notes: JJournal</w:t>
      </w:r>
    </w:p>
    <w:p w:rsidR="0079712C" w:rsidRPr="00560B4F" w:rsidRDefault="0079712C" w:rsidP="0079712C">
      <w:pPr>
        <w:pStyle w:val="a0"/>
      </w:pPr>
      <w:r w:rsidRPr="00560B4F">
        <w:rPr>
          <w:rFonts w:hint="eastAsia"/>
        </w:rPr>
        <w:t xml:space="preserve">? </w:t>
      </w:r>
      <w:r w:rsidRPr="00560B4F">
        <w:t>Tiew, W.S.</w:t>
      </w:r>
      <w:r w:rsidR="00F81221">
        <w:t xml:space="preserve"> and </w:t>
      </w:r>
      <w:r w:rsidRPr="00560B4F">
        <w:t xml:space="preserve">Sen, B.K. (1999), Acknowledgement patterns in research articles: A bibliometric study based on </w:t>
      </w:r>
      <w:r w:rsidRPr="00560B4F">
        <w:rPr>
          <w:i/>
          <w:iCs/>
        </w:rPr>
        <w:t>Journal of Natural Rubber Research</w:t>
      </w:r>
      <w:r w:rsidRPr="00560B4F">
        <w:t xml:space="preserve"> 1986-1997. </w:t>
      </w:r>
      <w:r w:rsidRPr="00560B4F">
        <w:rPr>
          <w:i/>
          <w:iCs/>
        </w:rPr>
        <w:t>Seventh Conference of the International Society for Scientometrics</w:t>
      </w:r>
      <w:r w:rsidR="00F81221">
        <w:rPr>
          <w:i/>
          <w:iCs/>
        </w:rPr>
        <w:t xml:space="preserve"> and </w:t>
      </w:r>
      <w:r w:rsidRPr="00560B4F">
        <w:rPr>
          <w:i/>
          <w:iCs/>
        </w:rPr>
        <w:t>Informetrics, Proceedings - 1999</w:t>
      </w:r>
      <w:r w:rsidRPr="00560B4F">
        <w:t>, 488-497.</w:t>
      </w:r>
    </w:p>
    <w:p w:rsidR="0079712C" w:rsidRPr="00560B4F" w:rsidRDefault="0079712C" w:rsidP="0079712C">
      <w:pPr>
        <w:pStyle w:val="a0"/>
      </w:pPr>
      <w:r w:rsidRPr="00560B4F">
        <w:t>Abstract: Analyses the acknowledgements included in the research articles</w:t>
      </w:r>
      <w:r w:rsidR="00F81221">
        <w:t xml:space="preserve"> and </w:t>
      </w:r>
      <w:r w:rsidRPr="00560B4F">
        <w:t>short communications published in Journal of Natural Rubber Research (1986-1997) in respect of types: frequency of occurrence, individuals acknowledged, etc. Results indicate that 74% items contain acknowledgements; average acknowledgements per item is 2.2; the most common type of acknowledgments relates to technical support. Peer interactive communication account for 44% of the total acknowledgements. The result of the study substantiates the earlier findings that a small number of individuals an highly acknowledged</w:t>
      </w:r>
      <w:r w:rsidR="00F81221">
        <w:t xml:space="preserve"> and </w:t>
      </w:r>
      <w:r w:rsidRPr="00560B4F">
        <w:t>the rest are acknowledged infrequently.</w:t>
      </w:r>
    </w:p>
    <w:p w:rsidR="0079712C" w:rsidRPr="00560B4F" w:rsidRDefault="0079712C" w:rsidP="0079712C">
      <w:pPr>
        <w:pStyle w:val="a0"/>
      </w:pPr>
      <w:r w:rsidRPr="00560B4F">
        <w:t>Keywords: Bibliometric, Bibliometric Study, Communication, Communications, Research, Respect, Small, Support</w:t>
      </w:r>
    </w:p>
    <w:p w:rsidR="00F552B7" w:rsidRPr="00634D1A" w:rsidRDefault="00F552B7" w:rsidP="00F552B7">
      <w:pPr>
        <w:pStyle w:val="1"/>
      </w:pPr>
      <w:r w:rsidRPr="00634D1A">
        <w:br w:type="page"/>
      </w:r>
      <w:bookmarkStart w:id="1168" w:name="_Toc317161233"/>
      <w:r w:rsidRPr="00634D1A">
        <w:lastRenderedPageBreak/>
        <w:t xml:space="preserve">Title: </w:t>
      </w:r>
      <w:r w:rsidRPr="00F552B7">
        <w:rPr>
          <w:szCs w:val="24"/>
        </w:rPr>
        <w:t>International Conference on Innovations in Information Technology</w:t>
      </w:r>
      <w:bookmarkEnd w:id="1168"/>
    </w:p>
    <w:p w:rsidR="00F552B7" w:rsidRDefault="00F552B7" w:rsidP="00B72EF9">
      <w:pPr>
        <w:pStyle w:val="12"/>
      </w:pPr>
      <w:r>
        <w:t xml:space="preserve">Full Journal Title: </w:t>
      </w:r>
      <w:r w:rsidRPr="00F552B7">
        <w:t>International Conference on Innovations in Information Technology</w:t>
      </w:r>
    </w:p>
    <w:p w:rsidR="00F552B7" w:rsidRDefault="00F552B7" w:rsidP="00B72EF9">
      <w:pPr>
        <w:pStyle w:val="12"/>
      </w:pPr>
      <w:r>
        <w:t xml:space="preserve">ISO Abbreviated Title: </w:t>
      </w:r>
    </w:p>
    <w:p w:rsidR="00F552B7" w:rsidRDefault="00F552B7" w:rsidP="00B72EF9">
      <w:pPr>
        <w:pStyle w:val="12"/>
      </w:pPr>
      <w:r>
        <w:t xml:space="preserve">JCR Abbreviated Title: </w:t>
      </w:r>
    </w:p>
    <w:p w:rsidR="00F552B7" w:rsidRDefault="00F552B7" w:rsidP="00B72EF9">
      <w:pPr>
        <w:pStyle w:val="12"/>
      </w:pPr>
      <w:r>
        <w:t xml:space="preserve">ISBN: </w:t>
      </w:r>
    </w:p>
    <w:p w:rsidR="00F552B7" w:rsidRDefault="00F552B7" w:rsidP="00B72EF9">
      <w:pPr>
        <w:pStyle w:val="12"/>
      </w:pPr>
      <w:r>
        <w:t xml:space="preserve">ISSN: </w:t>
      </w:r>
    </w:p>
    <w:p w:rsidR="00F552B7" w:rsidRDefault="00F552B7" w:rsidP="00B72EF9">
      <w:pPr>
        <w:pStyle w:val="12"/>
      </w:pPr>
      <w:r>
        <w:t xml:space="preserve">Issues/Year: </w:t>
      </w:r>
    </w:p>
    <w:p w:rsidR="00F552B7" w:rsidRDefault="00F552B7" w:rsidP="00B72EF9">
      <w:pPr>
        <w:pStyle w:val="12"/>
      </w:pPr>
      <w:r>
        <w:t xml:space="preserve">Journal Country/Territory: </w:t>
      </w:r>
    </w:p>
    <w:p w:rsidR="00F552B7" w:rsidRDefault="00F552B7" w:rsidP="00B72EF9">
      <w:pPr>
        <w:pStyle w:val="12"/>
      </w:pPr>
      <w:r>
        <w:t xml:space="preserve">Language: </w:t>
      </w:r>
    </w:p>
    <w:p w:rsidR="00F552B7" w:rsidRDefault="00F552B7" w:rsidP="00B72EF9">
      <w:pPr>
        <w:pStyle w:val="12"/>
      </w:pPr>
      <w:r>
        <w:t xml:space="preserve">Publisher: </w:t>
      </w:r>
    </w:p>
    <w:p w:rsidR="00F552B7" w:rsidRDefault="00F552B7" w:rsidP="00B72EF9">
      <w:pPr>
        <w:pStyle w:val="12"/>
      </w:pPr>
      <w:r>
        <w:t xml:space="preserve">Publisher Address: </w:t>
      </w:r>
    </w:p>
    <w:p w:rsidR="00F552B7" w:rsidRDefault="00F552B7" w:rsidP="00B72EF9">
      <w:pPr>
        <w:pStyle w:val="12"/>
      </w:pPr>
      <w:r>
        <w:t xml:space="preserve">Subject Categories: </w:t>
      </w:r>
    </w:p>
    <w:p w:rsidR="00F552B7" w:rsidRDefault="00F552B7" w:rsidP="00B72EF9">
      <w:pPr>
        <w:pStyle w:val="12"/>
      </w:pPr>
      <w:r>
        <w:t>: Impact Factor</w:t>
      </w:r>
    </w:p>
    <w:p w:rsidR="00F552B7" w:rsidRPr="00522E20" w:rsidRDefault="00F552B7" w:rsidP="00F552B7">
      <w:pPr>
        <w:pStyle w:val="a0"/>
        <w:rPr>
          <w:szCs w:val="24"/>
        </w:rPr>
      </w:pPr>
      <w:r>
        <w:rPr>
          <w:rFonts w:hint="eastAsia"/>
          <w:szCs w:val="24"/>
        </w:rPr>
        <w:t xml:space="preserve">? </w:t>
      </w:r>
      <w:r w:rsidRPr="00522E20">
        <w:rPr>
          <w:szCs w:val="24"/>
        </w:rPr>
        <w:t>Woon, W.L., Henschel, A.</w:t>
      </w:r>
      <w:r w:rsidR="00F81221">
        <w:rPr>
          <w:szCs w:val="24"/>
        </w:rPr>
        <w:t xml:space="preserve"> and </w:t>
      </w:r>
      <w:r w:rsidRPr="00522E20">
        <w:rPr>
          <w:szCs w:val="24"/>
        </w:rPr>
        <w:t>Madnick, S. (2009), A framework for technology forecasting</w:t>
      </w:r>
      <w:r w:rsidR="00F81221">
        <w:rPr>
          <w:szCs w:val="24"/>
        </w:rPr>
        <w:t xml:space="preserve"> and </w:t>
      </w:r>
      <w:r w:rsidRPr="00522E20">
        <w:rPr>
          <w:szCs w:val="24"/>
        </w:rPr>
        <w:t xml:space="preserve">visualization. </w:t>
      </w:r>
      <w:r w:rsidRPr="00F552B7">
        <w:rPr>
          <w:i/>
          <w:szCs w:val="24"/>
        </w:rPr>
        <w:t>International Conference on Innovations in Information Technology</w:t>
      </w:r>
      <w:r w:rsidRPr="00522E20">
        <w:rPr>
          <w:szCs w:val="24"/>
        </w:rPr>
        <w:t>, 201-205.</w:t>
      </w:r>
    </w:p>
    <w:p w:rsidR="00F552B7" w:rsidRPr="00522E20" w:rsidRDefault="00F552B7" w:rsidP="00F552B7">
      <w:pPr>
        <w:pStyle w:val="a0"/>
        <w:rPr>
          <w:szCs w:val="24"/>
        </w:rPr>
      </w:pPr>
      <w:r w:rsidRPr="00522E20">
        <w:rPr>
          <w:szCs w:val="24"/>
        </w:rPr>
        <w:t>Abstract: This paper presents a novel framework for supporting the development of well-informed research policies</w:t>
      </w:r>
      <w:r w:rsidR="00F81221">
        <w:rPr>
          <w:szCs w:val="24"/>
        </w:rPr>
        <w:t xml:space="preserve"> and </w:t>
      </w:r>
      <w:r w:rsidRPr="00522E20">
        <w:rPr>
          <w:szCs w:val="24"/>
        </w:rPr>
        <w:t>plans. The proposed methodology is based on the use of bibliometrics; i.e., analysis is conducted using information regarding trends</w:t>
      </w:r>
      <w:r w:rsidR="00F81221">
        <w:rPr>
          <w:szCs w:val="24"/>
        </w:rPr>
        <w:t xml:space="preserve"> and </w:t>
      </w:r>
      <w:r w:rsidRPr="00522E20">
        <w:rPr>
          <w:szCs w:val="24"/>
        </w:rPr>
        <w:t>patterns of publication. While using bibliometric techniques in this way is not a new idea, the proposed approach extends previous studies in a number of important ways. Firstly, instead of being purely exploratory; the focus of our research has been on developing techniques for detecting technologies that are in the early growth phase, characterized by a rapid increase in the number of relevant publications. Secondly, to increase the reliability of the forecasting effort, we propose the use of automatically generated keyword taxonomies, allowing the growth potentials of subordinate technologies to be aggregated into the overall potential of larger technology categories. A proof-of-concept implementation of each component of the framework is presented,</w:t>
      </w:r>
      <w:r w:rsidR="00F81221">
        <w:rPr>
          <w:szCs w:val="24"/>
        </w:rPr>
        <w:t xml:space="preserve"> and </w:t>
      </w:r>
      <w:r w:rsidRPr="00522E20">
        <w:rPr>
          <w:szCs w:val="24"/>
        </w:rPr>
        <w:t>is used to study the domain of renewable energy technologies. Results from this analysis are presented</w:t>
      </w:r>
      <w:r w:rsidR="00F81221">
        <w:rPr>
          <w:szCs w:val="24"/>
        </w:rPr>
        <w:t xml:space="preserve"> and </w:t>
      </w:r>
      <w:r w:rsidRPr="00522E20">
        <w:rPr>
          <w:szCs w:val="24"/>
        </w:rPr>
        <w:t>discussed.</w:t>
      </w:r>
    </w:p>
    <w:p w:rsidR="00F552B7" w:rsidRPr="00522E20" w:rsidRDefault="00F552B7" w:rsidP="00F552B7">
      <w:pPr>
        <w:pStyle w:val="a0"/>
        <w:rPr>
          <w:szCs w:val="24"/>
        </w:rPr>
      </w:pPr>
      <w:r w:rsidRPr="00522E20">
        <w:rPr>
          <w:szCs w:val="24"/>
        </w:rPr>
        <w:t>Keywords: Analysis</w:t>
      </w:r>
      <w:r>
        <w:rPr>
          <w:szCs w:val="24"/>
        </w:rPr>
        <w:t xml:space="preserve">, </w:t>
      </w:r>
      <w:r w:rsidRPr="00522E20">
        <w:rPr>
          <w:szCs w:val="24"/>
        </w:rPr>
        <w:t>Bibliometric</w:t>
      </w:r>
      <w:r>
        <w:rPr>
          <w:szCs w:val="24"/>
        </w:rPr>
        <w:t xml:space="preserve">, </w:t>
      </w:r>
      <w:r w:rsidRPr="00522E20">
        <w:rPr>
          <w:szCs w:val="24"/>
        </w:rPr>
        <w:t>Bibliometric Analysis</w:t>
      </w:r>
      <w:r>
        <w:rPr>
          <w:szCs w:val="24"/>
        </w:rPr>
        <w:t xml:space="preserve">, </w:t>
      </w:r>
      <w:r w:rsidRPr="00522E20">
        <w:rPr>
          <w:szCs w:val="24"/>
        </w:rPr>
        <w:t>Bibliometrics</w:t>
      </w:r>
      <w:r>
        <w:rPr>
          <w:szCs w:val="24"/>
        </w:rPr>
        <w:t xml:space="preserve">, </w:t>
      </w:r>
      <w:r w:rsidRPr="00522E20">
        <w:rPr>
          <w:szCs w:val="24"/>
        </w:rPr>
        <w:t>Emerging Technologies</w:t>
      </w:r>
      <w:r>
        <w:rPr>
          <w:szCs w:val="24"/>
        </w:rPr>
        <w:t xml:space="preserve">, </w:t>
      </w:r>
      <w:r w:rsidRPr="00522E20">
        <w:rPr>
          <w:szCs w:val="24"/>
        </w:rPr>
        <w:t>Forecasting</w:t>
      </w:r>
      <w:r>
        <w:rPr>
          <w:szCs w:val="24"/>
        </w:rPr>
        <w:t xml:space="preserve">, </w:t>
      </w:r>
      <w:r w:rsidRPr="00522E20">
        <w:rPr>
          <w:szCs w:val="24"/>
        </w:rPr>
        <w:t>Growth</w:t>
      </w:r>
      <w:r>
        <w:rPr>
          <w:szCs w:val="24"/>
        </w:rPr>
        <w:t xml:space="preserve">, </w:t>
      </w:r>
      <w:r w:rsidRPr="00522E20">
        <w:rPr>
          <w:szCs w:val="24"/>
        </w:rPr>
        <w:t>Publication</w:t>
      </w:r>
      <w:r>
        <w:rPr>
          <w:szCs w:val="24"/>
        </w:rPr>
        <w:t xml:space="preserve">, </w:t>
      </w:r>
      <w:r w:rsidRPr="00522E20">
        <w:rPr>
          <w:szCs w:val="24"/>
        </w:rPr>
        <w:t>Publications</w:t>
      </w:r>
      <w:r>
        <w:rPr>
          <w:szCs w:val="24"/>
        </w:rPr>
        <w:t xml:space="preserve">, </w:t>
      </w:r>
      <w:r w:rsidRPr="00522E20">
        <w:rPr>
          <w:szCs w:val="24"/>
        </w:rPr>
        <w:t>Renewable Energy</w:t>
      </w:r>
      <w:r>
        <w:rPr>
          <w:szCs w:val="24"/>
        </w:rPr>
        <w:t xml:space="preserve">, </w:t>
      </w:r>
      <w:r w:rsidRPr="00522E20">
        <w:rPr>
          <w:szCs w:val="24"/>
        </w:rPr>
        <w:t>Research</w:t>
      </w:r>
      <w:r>
        <w:rPr>
          <w:szCs w:val="24"/>
        </w:rPr>
        <w:t xml:space="preserve">, </w:t>
      </w:r>
      <w:r w:rsidRPr="00522E20">
        <w:rPr>
          <w:szCs w:val="24"/>
        </w:rPr>
        <w:t>Science</w:t>
      </w:r>
      <w:r>
        <w:rPr>
          <w:szCs w:val="24"/>
        </w:rPr>
        <w:t xml:space="preserve">, </w:t>
      </w:r>
      <w:r w:rsidRPr="00522E20">
        <w:rPr>
          <w:szCs w:val="24"/>
        </w:rPr>
        <w:t>Technology</w:t>
      </w:r>
    </w:p>
    <w:p w:rsidR="0079712C" w:rsidRPr="00634D1A" w:rsidRDefault="0079712C" w:rsidP="0079712C">
      <w:pPr>
        <w:pStyle w:val="1"/>
      </w:pPr>
      <w:r w:rsidRPr="00634D1A">
        <w:br w:type="page"/>
      </w:r>
      <w:bookmarkStart w:id="1169" w:name="_Toc238870509"/>
      <w:bookmarkStart w:id="1170" w:name="_Toc317161234"/>
      <w:r w:rsidRPr="00634D1A">
        <w:lastRenderedPageBreak/>
        <w:t xml:space="preserve">Title: </w:t>
      </w:r>
      <w:r w:rsidRPr="00332274">
        <w:t>ISSI 2005: Proceedings of the 10th International Conference of the International Society for Scientometrics</w:t>
      </w:r>
      <w:r w:rsidR="00F81221">
        <w:t xml:space="preserve"> and </w:t>
      </w:r>
      <w:r w:rsidRPr="00332274">
        <w:t>Informetrics</w:t>
      </w:r>
      <w:bookmarkEnd w:id="1169"/>
      <w:bookmarkEnd w:id="1170"/>
    </w:p>
    <w:p w:rsidR="0079712C" w:rsidRDefault="0079712C" w:rsidP="00B72EF9">
      <w:pPr>
        <w:pStyle w:val="12"/>
      </w:pPr>
      <w:r>
        <w:t xml:space="preserve">Full Journal Title: </w:t>
      </w:r>
      <w:r w:rsidRPr="00756FF2">
        <w:t>ISSI 2005: Proceedings of the 10th International Conference of the International Society for Scientometrics</w:t>
      </w:r>
      <w:r w:rsidR="00F81221">
        <w:t xml:space="preserve"> and </w:t>
      </w:r>
      <w:r w:rsidRPr="00756FF2">
        <w:t>Informetrics</w:t>
      </w:r>
    </w:p>
    <w:p w:rsidR="0079712C" w:rsidRDefault="0079712C" w:rsidP="00B72EF9">
      <w:pPr>
        <w:pStyle w:val="12"/>
      </w:pPr>
      <w:r>
        <w:t xml:space="preserve">ISO Abbreviated Title: </w:t>
      </w:r>
    </w:p>
    <w:p w:rsidR="0079712C" w:rsidRDefault="0079712C" w:rsidP="00B72EF9">
      <w:pPr>
        <w:pStyle w:val="12"/>
      </w:pPr>
      <w:r>
        <w:t xml:space="preserve">JCR Abbreviated Title: </w:t>
      </w:r>
    </w:p>
    <w:p w:rsidR="0079712C" w:rsidRDefault="0079712C" w:rsidP="00B72EF9">
      <w:pPr>
        <w:pStyle w:val="12"/>
      </w:pPr>
      <w:r>
        <w:t>IDS Number: BDC93</w:t>
      </w:r>
    </w:p>
    <w:p w:rsidR="0079712C" w:rsidRDefault="0079712C" w:rsidP="00B72EF9">
      <w:pPr>
        <w:pStyle w:val="12"/>
      </w:pPr>
      <w:r>
        <w:t>ISBN: 91-7140-339-6</w:t>
      </w:r>
    </w:p>
    <w:p w:rsidR="0079712C" w:rsidRDefault="0079712C" w:rsidP="00B72EF9">
      <w:pPr>
        <w:pStyle w:val="12"/>
      </w:pPr>
      <w:r>
        <w:t xml:space="preserve">ISSN: </w:t>
      </w:r>
    </w:p>
    <w:p w:rsidR="0079712C" w:rsidRDefault="0079712C" w:rsidP="00B72EF9">
      <w:pPr>
        <w:pStyle w:val="12"/>
      </w:pPr>
      <w:r>
        <w:t xml:space="preserve">Issues/Year: </w:t>
      </w:r>
    </w:p>
    <w:p w:rsidR="0079712C" w:rsidRDefault="00FB5623" w:rsidP="00B72EF9">
      <w:pPr>
        <w:pStyle w:val="12"/>
      </w:pPr>
      <w:r>
        <w:t>Journal Country/Territory:</w:t>
      </w:r>
      <w:r w:rsidR="0079712C">
        <w:t xml:space="preserve"> </w:t>
      </w:r>
    </w:p>
    <w:p w:rsidR="0079712C" w:rsidRDefault="0079712C" w:rsidP="00B72EF9">
      <w:pPr>
        <w:pStyle w:val="12"/>
      </w:pPr>
      <w:r>
        <w:t xml:space="preserve">Language: </w:t>
      </w:r>
    </w:p>
    <w:p w:rsidR="0079712C" w:rsidRDefault="0079712C" w:rsidP="00B72EF9">
      <w:pPr>
        <w:pStyle w:val="12"/>
      </w:pPr>
      <w:r>
        <w:t xml:space="preserve">Publisher: </w:t>
      </w:r>
    </w:p>
    <w:p w:rsidR="0079712C" w:rsidRDefault="0079712C" w:rsidP="00B72EF9">
      <w:pPr>
        <w:pStyle w:val="12"/>
      </w:pPr>
      <w:r>
        <w:t xml:space="preserve">Publisher Address: </w:t>
      </w:r>
    </w:p>
    <w:p w:rsidR="0079712C" w:rsidRDefault="0079712C" w:rsidP="00B72EF9">
      <w:pPr>
        <w:pStyle w:val="12"/>
      </w:pPr>
      <w:r>
        <w:t xml:space="preserve">Subject Categories: </w:t>
      </w:r>
    </w:p>
    <w:p w:rsidR="0079712C" w:rsidRDefault="0079712C" w:rsidP="00B72EF9">
      <w:pPr>
        <w:pStyle w:val="12"/>
      </w:pPr>
      <w:r>
        <w:t>: Impact Factor</w:t>
      </w:r>
    </w:p>
    <w:p w:rsidR="00987D22" w:rsidRPr="00756FF2" w:rsidRDefault="00987D22" w:rsidP="00987D22">
      <w:pPr>
        <w:pStyle w:val="a0"/>
      </w:pPr>
      <w:r w:rsidRPr="00756FF2">
        <w:t>? Wilson, C.S. (2005), General analyses of cancer research publications in Australian states using the science</w:t>
      </w:r>
      <w:r w:rsidR="00F81221">
        <w:t xml:space="preserve"> and </w:t>
      </w:r>
      <w:r w:rsidRPr="00756FF2">
        <w:t xml:space="preserve">social science citation indexes. </w:t>
      </w:r>
      <w:r w:rsidRPr="00756FF2">
        <w:rPr>
          <w:i/>
          <w:iCs/>
        </w:rPr>
        <w:t>ISSI 2005: Proceedings of the 10th International Conference of the International Society for Scientometrics</w:t>
      </w:r>
      <w:r w:rsidR="00F81221">
        <w:rPr>
          <w:i/>
          <w:iCs/>
        </w:rPr>
        <w:t xml:space="preserve"> and </w:t>
      </w:r>
      <w:r w:rsidRPr="00756FF2">
        <w:rPr>
          <w:i/>
          <w:iCs/>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rsidRPr="00D1132D">
        <w:rPr>
          <w:rFonts w:eastAsia="SimSun"/>
          <w:lang w:eastAsia="zh-CN"/>
        </w:rPr>
        <w:t xml:space="preserve"> </w:t>
      </w:r>
      <w:r w:rsidRPr="00EF18C1">
        <w:rPr>
          <w:rFonts w:eastAsia="SimSun"/>
          <w:lang w:eastAsia="zh-CN"/>
        </w:rPr>
        <w:t>Karolinska University Press,</w:t>
      </w:r>
      <w:r>
        <w:t xml:space="preserve"> Stockholm, Sweden</w:t>
      </w:r>
      <w:r w:rsidRPr="00756FF2">
        <w:t xml:space="preserve">, </w:t>
      </w:r>
      <w:r w:rsidRPr="00756FF2">
        <w:rPr>
          <w:b/>
          <w:bCs/>
        </w:rPr>
        <w:t>1</w:t>
      </w:r>
      <w:r w:rsidRPr="00756FF2">
        <w:t xml:space="preserve"> (2), 168-176.</w:t>
      </w:r>
    </w:p>
    <w:p w:rsidR="00987D22" w:rsidRPr="00756FF2" w:rsidRDefault="00987D22" w:rsidP="00987D22">
      <w:pPr>
        <w:pStyle w:val="a0"/>
      </w:pPr>
      <w:r w:rsidRPr="00756FF2">
        <w:t>Abstract: This research measures the quantity, quality</w:t>
      </w:r>
      <w:r w:rsidR="00F81221">
        <w:t xml:space="preserve"> and </w:t>
      </w:r>
      <w:r w:rsidRPr="00756FF2">
        <w:t>extent of international collaboration of cancer research publications in Australian states from 1994-1998 through citation analysis. Journal publications (with at least one Australian author) of the cancer literature from Science Citation Index</w:t>
      </w:r>
      <w:r w:rsidR="00F81221">
        <w:t xml:space="preserve"> and </w:t>
      </w:r>
      <w:r w:rsidRPr="00756FF2">
        <w:t>Social Sciences Citation Index were analyzed. For the five-year period, New South Wales (NSW) produced the most publications (31%), slightly ahead of Victoria (VIC) with 29%; Queensland (QLD) ranked third (14%)</w:t>
      </w:r>
      <w:r w:rsidR="00F81221">
        <w:t xml:space="preserve"> and </w:t>
      </w:r>
      <w:r w:rsidRPr="00756FF2">
        <w:t>South Australia (SA) fourth with 11%. However, as measured by mean journal impact factor, the publications from NSW were of overall lower quality than those from VIC, SA, QLD,</w:t>
      </w:r>
      <w:r w:rsidR="00F81221">
        <w:t xml:space="preserve"> and </w:t>
      </w:r>
      <w:r w:rsidRPr="00756FF2">
        <w:t>from Australia as a whole. When standardized for quality against the national average,</w:t>
      </w:r>
      <w:r w:rsidR="00F81221">
        <w:t xml:space="preserve"> and </w:t>
      </w:r>
      <w:r w:rsidRPr="00756FF2">
        <w:t>adjusted for state size, the publication output of the four larger states are ranked in order: SA &gt;&gt; VIC &gt;&gt; QLD &gt; NSW. Four measures of international collaboration on publications were investigated as measures of quality; the degree of collaboration with the USA</w:t>
      </w:r>
      <w:r w:rsidR="00F81221">
        <w:t xml:space="preserve"> and </w:t>
      </w:r>
      <w:r w:rsidRPr="00756FF2">
        <w:t xml:space="preserve">England broadly support the IF rankings. At a minimum, these results suggest that the relevant Australian State authorities, should initiate more extensive analyses of </w:t>
      </w:r>
      <w:r w:rsidRPr="00756FF2">
        <w:lastRenderedPageBreak/>
        <w:t>an apparent deficiency in the overall quality of their states</w:t>
      </w:r>
      <w:r w:rsidR="000352E7">
        <w:t>’</w:t>
      </w:r>
      <w:r w:rsidRPr="00756FF2">
        <w:t xml:space="preserve"> cancer research, with the view to greater, or more selective, support.</w:t>
      </w:r>
    </w:p>
    <w:p w:rsidR="00987D22" w:rsidRPr="00756FF2" w:rsidRDefault="00987D22" w:rsidP="00987D22">
      <w:pPr>
        <w:pStyle w:val="a0"/>
      </w:pPr>
      <w:r w:rsidRPr="00756FF2">
        <w:t>Keywords: Analyses, Analysis, Australia, Australian, Cancer, Citation, Citation Analysis, Citation Indexes, Collaboration, England, Impact, Impact Factor, International, Journal, Journal Impact, Journal Impact Factor, Literature, Minimum, New South Wales, Publication, Publications, Quality, Quality of, Rankings, Research, Science, Science Citation Index, Size, Social, South Australia, State, Support, USA</w:t>
      </w:r>
    </w:p>
    <w:p w:rsidR="00987D22" w:rsidRDefault="00987D22" w:rsidP="00987D22">
      <w:pPr>
        <w:pStyle w:val="a0"/>
        <w:rPr>
          <w:kern w:val="0"/>
        </w:rPr>
      </w:pPr>
      <w:r>
        <w:rPr>
          <w:kern w:val="0"/>
        </w:rPr>
        <w:t>? Huang, M.H.</w:t>
      </w:r>
      <w:r w:rsidR="00F81221">
        <w:rPr>
          <w:kern w:val="0"/>
        </w:rPr>
        <w:t xml:space="preserve"> and </w:t>
      </w:r>
      <w:r>
        <w:rPr>
          <w:kern w:val="0"/>
        </w:rPr>
        <w:t xml:space="preserve">Chang, H.W. (2005), Research evaluation of research-oriented Universities in Taiwan. </w:t>
      </w:r>
      <w:r>
        <w:rPr>
          <w:i/>
          <w:iCs/>
          <w:kern w:val="0"/>
        </w:rPr>
        <w:t>ISSI 2005: Proceedings of the 10th International Conference of the International Society for Scientometrics</w:t>
      </w:r>
      <w:r w:rsidR="00F81221">
        <w:rPr>
          <w:i/>
          <w:iCs/>
          <w:kern w:val="0"/>
        </w:rPr>
        <w:t xml:space="preserve"> and </w:t>
      </w:r>
      <w:r>
        <w:rPr>
          <w:i/>
          <w:iCs/>
          <w:kern w:val="0"/>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rsidRPr="00D1132D">
        <w:rPr>
          <w:rFonts w:eastAsia="SimSun"/>
          <w:lang w:eastAsia="zh-CN"/>
        </w:rPr>
        <w:t xml:space="preserve"> </w:t>
      </w:r>
      <w:r w:rsidRPr="00EF18C1">
        <w:rPr>
          <w:rFonts w:eastAsia="SimSun"/>
          <w:lang w:eastAsia="zh-CN"/>
        </w:rPr>
        <w:t>Karolinska University Press,</w:t>
      </w:r>
      <w:r>
        <w:t xml:space="preserve"> Stockholm, Sweden</w:t>
      </w:r>
      <w:r w:rsidRPr="00B8101F">
        <w:t xml:space="preserve">, </w:t>
      </w:r>
      <w:r>
        <w:rPr>
          <w:rFonts w:hint="eastAsia"/>
          <w:b/>
        </w:rPr>
        <w:t>1-2</w:t>
      </w:r>
      <w:r>
        <w:rPr>
          <w:rFonts w:hint="eastAsia"/>
        </w:rPr>
        <w:t>,</w:t>
      </w:r>
      <w:r>
        <w:rPr>
          <w:kern w:val="0"/>
        </w:rPr>
        <w:t xml:space="preserve"> 247-250.</w:t>
      </w:r>
    </w:p>
    <w:p w:rsidR="00987D22" w:rsidRDefault="00987D22" w:rsidP="00987D22">
      <w:pPr>
        <w:pStyle w:val="a0"/>
        <w:rPr>
          <w:kern w:val="0"/>
        </w:rPr>
      </w:pPr>
      <w:r>
        <w:rPr>
          <w:kern w:val="0"/>
        </w:rPr>
        <w:t>Abstract: This paper uses ISI Essential Science Indicators (ESI) database to investigate the academic performance of seven research-oriented universities in Taiwan from both the quantitative</w:t>
      </w:r>
      <w:r w:rsidR="00F81221">
        <w:rPr>
          <w:kern w:val="0"/>
        </w:rPr>
        <w:t xml:space="preserve"> and </w:t>
      </w:r>
      <w:r>
        <w:rPr>
          <w:kern w:val="0"/>
        </w:rPr>
        <w:t>qualitative perspectives. It collects research data for I I years from 1993 to 2003. The performance indicators applied in this study includes the number of papers, the number of citations, the average citations per paper, the number of highly cited papers, the number of hot papers,</w:t>
      </w:r>
      <w:r w:rsidR="00F81221">
        <w:rPr>
          <w:kern w:val="0"/>
        </w:rPr>
        <w:t xml:space="preserve"> and </w:t>
      </w:r>
      <w:r>
        <w:rPr>
          <w:kern w:val="0"/>
        </w:rPr>
        <w:t>the number of core papers. The research performance</w:t>
      </w:r>
      <w:r w:rsidR="00F81221">
        <w:rPr>
          <w:kern w:val="0"/>
        </w:rPr>
        <w:t xml:space="preserve"> and </w:t>
      </w:r>
      <w:r>
        <w:rPr>
          <w:kern w:val="0"/>
        </w:rPr>
        <w:t>strength of those universities are revealed in this study. It finds that National Taiwan University leads among these seven research-oriented universities. However, individual university still shows strengths in various specific fields.</w:t>
      </w:r>
    </w:p>
    <w:p w:rsidR="00987D22" w:rsidRDefault="00987D22" w:rsidP="00987D22">
      <w:pPr>
        <w:pStyle w:val="a0"/>
        <w:rPr>
          <w:kern w:val="0"/>
        </w:rPr>
      </w:pPr>
      <w:r>
        <w:rPr>
          <w:kern w:val="0"/>
        </w:rPr>
        <w:t>Keywords: Citations, Essential Science Indicators, Evaluation, Highly Cited Papers, Indicators, Research, Research Performance, Universities</w:t>
      </w:r>
    </w:p>
    <w:p w:rsidR="00987D22" w:rsidRDefault="00987D22" w:rsidP="00987D22">
      <w:pPr>
        <w:pStyle w:val="a0"/>
      </w:pPr>
      <w:r>
        <w:rPr>
          <w:rFonts w:hint="eastAsia"/>
        </w:rPr>
        <w:t xml:space="preserve">? </w:t>
      </w:r>
      <w:r w:rsidRPr="00EF18C1">
        <w:rPr>
          <w:rFonts w:eastAsia="SimSun"/>
          <w:lang w:eastAsia="zh-CN"/>
        </w:rPr>
        <w:t>Jin,</w:t>
      </w:r>
      <w:r w:rsidRPr="00EF18C1">
        <w:rPr>
          <w:rFonts w:eastAsia="SimSun" w:hint="eastAsia"/>
          <w:lang w:eastAsia="zh-CN"/>
        </w:rPr>
        <w:t xml:space="preserve"> </w:t>
      </w:r>
      <w:r w:rsidRPr="00EF18C1">
        <w:rPr>
          <w:rFonts w:eastAsia="SimSun"/>
          <w:lang w:eastAsia="zh-CN"/>
        </w:rPr>
        <w:t>B.</w:t>
      </w:r>
      <w:r w:rsidR="00F81221">
        <w:rPr>
          <w:rFonts w:eastAsia="SimSun" w:hint="eastAsia"/>
          <w:lang w:eastAsia="zh-CN"/>
        </w:rPr>
        <w:t xml:space="preserve"> and </w:t>
      </w:r>
      <w:r w:rsidRPr="00EF18C1">
        <w:rPr>
          <w:rFonts w:eastAsia="SimSun"/>
          <w:lang w:eastAsia="zh-CN"/>
        </w:rPr>
        <w:t>Rousseau.</w:t>
      </w:r>
      <w:r w:rsidRPr="00EF18C1">
        <w:rPr>
          <w:rFonts w:eastAsia="SimSun" w:hint="eastAsia"/>
          <w:lang w:eastAsia="zh-CN"/>
        </w:rPr>
        <w:t xml:space="preserve"> </w:t>
      </w:r>
      <w:r w:rsidRPr="00EF18C1">
        <w:rPr>
          <w:rFonts w:eastAsia="SimSun"/>
          <w:lang w:eastAsia="zh-CN"/>
        </w:rPr>
        <w:t>R</w:t>
      </w:r>
      <w:r w:rsidRPr="00EF18C1">
        <w:rPr>
          <w:rFonts w:eastAsia="SimSun" w:hint="eastAsia"/>
          <w:lang w:eastAsia="zh-CN"/>
        </w:rPr>
        <w:t>.</w:t>
      </w:r>
      <w:r>
        <w:t xml:space="preserve"> </w:t>
      </w:r>
      <w:r>
        <w:rPr>
          <w:rFonts w:hint="eastAsia"/>
        </w:rPr>
        <w:t>(</w:t>
      </w:r>
      <w:r>
        <w:t>2005</w:t>
      </w:r>
      <w:r>
        <w:rPr>
          <w:rFonts w:hint="eastAsia"/>
        </w:rPr>
        <w:t>),</w:t>
      </w:r>
      <w:r>
        <w:t xml:space="preserve"> </w:t>
      </w:r>
      <w:r w:rsidRPr="00EF18C1">
        <w:rPr>
          <w:rFonts w:eastAsia="SimSun"/>
          <w:lang w:eastAsia="zh-CN"/>
        </w:rPr>
        <w:t>China</w:t>
      </w:r>
      <w:r w:rsidR="000352E7">
        <w:rPr>
          <w:rFonts w:eastAsia="SimSun"/>
          <w:lang w:eastAsia="zh-CN"/>
        </w:rPr>
        <w:t>’</w:t>
      </w:r>
      <w:r w:rsidRPr="00EF18C1">
        <w:rPr>
          <w:rFonts w:eastAsia="SimSun"/>
          <w:lang w:eastAsia="zh-CN"/>
        </w:rPr>
        <w:t>s quantitative expansion phase: Exponential growth but low impact</w:t>
      </w:r>
      <w:r>
        <w:t xml:space="preserve">. </w:t>
      </w:r>
      <w:r w:rsidRPr="00B27D4C">
        <w:rPr>
          <w:i/>
        </w:rPr>
        <w:t>ISSI 2005: Proceedings of the 10th International Conference of the International Society for Scientometrics</w:t>
      </w:r>
      <w:r w:rsidR="00F81221">
        <w:rPr>
          <w:i/>
        </w:rPr>
        <w:t xml:space="preserve"> and </w:t>
      </w:r>
      <w:r w:rsidRPr="00B27D4C">
        <w:rPr>
          <w:i/>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t xml:space="preserve"> </w:t>
      </w:r>
      <w:r w:rsidRPr="00EF18C1">
        <w:rPr>
          <w:rFonts w:eastAsia="SimSun"/>
          <w:lang w:eastAsia="zh-CN"/>
        </w:rPr>
        <w:t>Karolinska University Press,</w:t>
      </w:r>
      <w:r>
        <w:rPr>
          <w:rFonts w:eastAsiaTheme="minorEastAsia" w:hint="eastAsia"/>
        </w:rPr>
        <w:t xml:space="preserve"> </w:t>
      </w:r>
      <w:r>
        <w:t xml:space="preserve">Stockholm, Sweden, </w:t>
      </w:r>
      <w:r>
        <w:rPr>
          <w:rFonts w:hint="eastAsia"/>
          <w:b/>
        </w:rPr>
        <w:t>1-2</w:t>
      </w:r>
      <w:r>
        <w:rPr>
          <w:rFonts w:hint="eastAsia"/>
        </w:rPr>
        <w:t>,</w:t>
      </w:r>
      <w:r>
        <w:t xml:space="preserve"> </w:t>
      </w:r>
      <w:r w:rsidRPr="00EF18C1">
        <w:rPr>
          <w:rFonts w:eastAsia="SimSun"/>
          <w:lang w:eastAsia="zh-CN"/>
        </w:rPr>
        <w:t>362-370</w:t>
      </w:r>
      <w:r>
        <w:t>.</w:t>
      </w:r>
    </w:p>
    <w:p w:rsidR="00987D22" w:rsidRDefault="00987D22" w:rsidP="00987D22">
      <w:pPr>
        <w:pStyle w:val="a0"/>
      </w:pPr>
      <w:r>
        <w:rPr>
          <w:rFonts w:hint="eastAsia"/>
        </w:rPr>
        <w:t xml:space="preserve">? </w:t>
      </w:r>
      <w:r>
        <w:t>Moed, H</w:t>
      </w:r>
      <w:r>
        <w:rPr>
          <w:rFonts w:hint="eastAsia"/>
        </w:rPr>
        <w:t>.</w:t>
      </w:r>
      <w:r>
        <w:t xml:space="preserve">F. </w:t>
      </w:r>
      <w:r>
        <w:rPr>
          <w:rFonts w:hint="eastAsia"/>
        </w:rPr>
        <w:t>(</w:t>
      </w:r>
      <w:r>
        <w:t>2005</w:t>
      </w:r>
      <w:r>
        <w:rPr>
          <w:rFonts w:hint="eastAsia"/>
        </w:rPr>
        <w:t>),</w:t>
      </w:r>
      <w:r>
        <w:t xml:space="preserve"> Citation analysis in research evaluation. </w:t>
      </w:r>
      <w:r w:rsidRPr="00B27D4C">
        <w:rPr>
          <w:i/>
        </w:rPr>
        <w:t>ISSI 2005: Proceedings of the 10th International Conference of the International Society for Scientometrics</w:t>
      </w:r>
      <w:r w:rsidR="00F81221">
        <w:rPr>
          <w:i/>
        </w:rPr>
        <w:t xml:space="preserve"> and </w:t>
      </w:r>
      <w:r w:rsidRPr="00B27D4C">
        <w:rPr>
          <w:i/>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t xml:space="preserve"> </w:t>
      </w:r>
      <w:r w:rsidRPr="00EF18C1">
        <w:rPr>
          <w:rFonts w:eastAsia="SimSun"/>
          <w:lang w:eastAsia="zh-CN"/>
        </w:rPr>
        <w:t>Karolinska University Press,</w:t>
      </w:r>
      <w:r>
        <w:rPr>
          <w:rFonts w:eastAsiaTheme="minorEastAsia" w:hint="eastAsia"/>
        </w:rPr>
        <w:t xml:space="preserve"> </w:t>
      </w:r>
      <w:r>
        <w:t xml:space="preserve">Stockholm, Sweden, </w:t>
      </w:r>
      <w:r>
        <w:rPr>
          <w:rFonts w:hint="eastAsia"/>
          <w:b/>
        </w:rPr>
        <w:t>1-2</w:t>
      </w:r>
      <w:r>
        <w:rPr>
          <w:rFonts w:hint="eastAsia"/>
        </w:rPr>
        <w:t>,</w:t>
      </w:r>
      <w:r>
        <w:t xml:space="preserve"> 437-441.</w:t>
      </w:r>
    </w:p>
    <w:p w:rsidR="00987D22" w:rsidRDefault="00987D22" w:rsidP="00987D22">
      <w:pPr>
        <w:pStyle w:val="a0"/>
        <w:rPr>
          <w:kern w:val="0"/>
        </w:rPr>
      </w:pPr>
      <w:r>
        <w:rPr>
          <w:rFonts w:hint="eastAsia"/>
          <w:kern w:val="0"/>
        </w:rPr>
        <w:t xml:space="preserve">? </w:t>
      </w:r>
      <w:r>
        <w:rPr>
          <w:kern w:val="0"/>
        </w:rPr>
        <w:t xml:space="preserve">Ajiferuke, I. (2005), Inter-University collaboration in Canada. </w:t>
      </w:r>
      <w:r>
        <w:rPr>
          <w:i/>
          <w:iCs/>
          <w:kern w:val="0"/>
        </w:rPr>
        <w:t>ISSI 2005: Proceedings of the 10th International Conference of the International Society for Scientometrics</w:t>
      </w:r>
      <w:r w:rsidR="00F81221">
        <w:rPr>
          <w:i/>
          <w:iCs/>
          <w:kern w:val="0"/>
        </w:rPr>
        <w:t xml:space="preserve"> and </w:t>
      </w:r>
      <w:r>
        <w:rPr>
          <w:i/>
          <w:iCs/>
          <w:kern w:val="0"/>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t xml:space="preserve"> </w:t>
      </w:r>
      <w:r w:rsidRPr="00EF18C1">
        <w:rPr>
          <w:rFonts w:eastAsia="SimSun"/>
          <w:lang w:eastAsia="zh-CN"/>
        </w:rPr>
        <w:t>Karolinska University Press,</w:t>
      </w:r>
      <w:r>
        <w:rPr>
          <w:rFonts w:eastAsiaTheme="minorEastAsia" w:hint="eastAsia"/>
        </w:rPr>
        <w:t xml:space="preserve"> </w:t>
      </w:r>
      <w:r>
        <w:t>Stockholm, Sweden</w:t>
      </w:r>
      <w:r>
        <w:rPr>
          <w:rFonts w:hint="eastAsia"/>
        </w:rPr>
        <w:t>,</w:t>
      </w:r>
      <w:r w:rsidRPr="00B8101F">
        <w:t xml:space="preserve"> </w:t>
      </w:r>
      <w:r>
        <w:rPr>
          <w:rFonts w:hint="eastAsia"/>
          <w:b/>
        </w:rPr>
        <w:t>1-2</w:t>
      </w:r>
      <w:r>
        <w:rPr>
          <w:rFonts w:hint="eastAsia"/>
        </w:rPr>
        <w:t>,</w:t>
      </w:r>
      <w:r>
        <w:rPr>
          <w:kern w:val="0"/>
        </w:rPr>
        <w:t xml:space="preserve"> 527-533.</w:t>
      </w:r>
    </w:p>
    <w:p w:rsidR="00987D22" w:rsidRDefault="00987D22" w:rsidP="00987D22">
      <w:pPr>
        <w:pStyle w:val="a0"/>
        <w:rPr>
          <w:kern w:val="0"/>
        </w:rPr>
      </w:pPr>
      <w:r>
        <w:rPr>
          <w:kern w:val="0"/>
        </w:rPr>
        <w:t>Abstract: This study examines the extent of inter-institutional collaboration between scholars in the 48 major Canadian universities,</w:t>
      </w:r>
      <w:r w:rsidR="00F81221">
        <w:rPr>
          <w:kern w:val="0"/>
        </w:rPr>
        <w:t xml:space="preserve"> and </w:t>
      </w:r>
      <w:r>
        <w:rPr>
          <w:kern w:val="0"/>
        </w:rPr>
        <w:t>also determines the factors that influence such collaboration. Documents included in the Science Citation Index Expanded, Social Science Citation Index,</w:t>
      </w:r>
      <w:r w:rsidR="00F81221">
        <w:rPr>
          <w:kern w:val="0"/>
        </w:rPr>
        <w:t xml:space="preserve"> and </w:t>
      </w:r>
      <w:r>
        <w:rPr>
          <w:kern w:val="0"/>
        </w:rPr>
        <w:t xml:space="preserve">Arts &amp; Humanities Citation Index of </w:t>
      </w:r>
      <w:r>
        <w:rPr>
          <w:kern w:val="0"/>
        </w:rPr>
        <w:lastRenderedPageBreak/>
        <w:t>the online ISI</w:t>
      </w:r>
      <w:r w:rsidR="000352E7">
        <w:rPr>
          <w:kern w:val="0"/>
        </w:rPr>
        <w:t>’</w:t>
      </w:r>
      <w:r>
        <w:rPr>
          <w:kern w:val="0"/>
        </w:rPr>
        <w:t>s Web of Science database for the period 1990- October 31, 2003 were used as sources of data for the study. Making use of the author</w:t>
      </w:r>
      <w:r w:rsidR="000352E7">
        <w:rPr>
          <w:kern w:val="0"/>
        </w:rPr>
        <w:t>’</w:t>
      </w:r>
      <w:r>
        <w:rPr>
          <w:kern w:val="0"/>
        </w:rPr>
        <w:t>s affiliation field, we were able to determine the number of publications coauthored by scholars in each pair of universities. Multiple regression analysis was used to determine the influence of factors such as geographical distance, province, language, time zone, age,</w:t>
      </w:r>
      <w:r w:rsidR="00F81221">
        <w:rPr>
          <w:kern w:val="0"/>
        </w:rPr>
        <w:t xml:space="preserve"> and </w:t>
      </w:r>
      <w:r>
        <w:rPr>
          <w:kern w:val="0"/>
        </w:rPr>
        <w:t>peer group on collaboration. Only province</w:t>
      </w:r>
      <w:r w:rsidR="00F81221">
        <w:rPr>
          <w:kern w:val="0"/>
        </w:rPr>
        <w:t xml:space="preserve"> and </w:t>
      </w:r>
      <w:r>
        <w:rPr>
          <w:kern w:val="0"/>
        </w:rPr>
        <w:t>peer group were included in the final regression model.</w:t>
      </w:r>
    </w:p>
    <w:p w:rsidR="00987D22" w:rsidRDefault="00987D22" w:rsidP="00987D22">
      <w:pPr>
        <w:pStyle w:val="a0"/>
        <w:rPr>
          <w:kern w:val="0"/>
        </w:rPr>
      </w:pPr>
      <w:r>
        <w:rPr>
          <w:kern w:val="0"/>
        </w:rPr>
        <w:t>Keywords: Model, Quality, Science, Scientific Collaboration</w:t>
      </w:r>
    </w:p>
    <w:p w:rsidR="00987D22" w:rsidRDefault="00987D22" w:rsidP="00987D22">
      <w:pPr>
        <w:pStyle w:val="a0"/>
        <w:rPr>
          <w:kern w:val="0"/>
        </w:rPr>
      </w:pPr>
      <w:r>
        <w:rPr>
          <w:rFonts w:hint="eastAsia"/>
          <w:kern w:val="0"/>
        </w:rPr>
        <w:t xml:space="preserve">? </w:t>
      </w:r>
      <w:r>
        <w:rPr>
          <w:kern w:val="0"/>
        </w:rPr>
        <w:t>Lariviere, V., Gingras, Y.</w:t>
      </w:r>
      <w:r w:rsidR="00F81221">
        <w:rPr>
          <w:kern w:val="0"/>
        </w:rPr>
        <w:t xml:space="preserve"> and </w:t>
      </w:r>
      <w:r>
        <w:rPr>
          <w:kern w:val="0"/>
        </w:rPr>
        <w:t>Archambault, E. (2005), Comparative analysis of networks of collaboration of Canadian researchers in the natural sciences, social sciences</w:t>
      </w:r>
      <w:r w:rsidR="00F81221">
        <w:rPr>
          <w:kern w:val="0"/>
        </w:rPr>
        <w:t xml:space="preserve"> and </w:t>
      </w:r>
      <w:r>
        <w:rPr>
          <w:kern w:val="0"/>
        </w:rPr>
        <w:t xml:space="preserve">the humanities. </w:t>
      </w:r>
      <w:r>
        <w:rPr>
          <w:i/>
          <w:iCs/>
          <w:kern w:val="0"/>
        </w:rPr>
        <w:t>ISSI 2005: Proceedings of the 10th International Conference of the International Society for Scientometrics</w:t>
      </w:r>
      <w:r w:rsidR="00F81221">
        <w:rPr>
          <w:i/>
          <w:iCs/>
          <w:kern w:val="0"/>
        </w:rPr>
        <w:t xml:space="preserve"> and </w:t>
      </w:r>
      <w:r>
        <w:rPr>
          <w:i/>
          <w:iCs/>
          <w:kern w:val="0"/>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t xml:space="preserve"> </w:t>
      </w:r>
      <w:r w:rsidRPr="00EF18C1">
        <w:rPr>
          <w:rFonts w:eastAsia="SimSun"/>
          <w:lang w:eastAsia="zh-CN"/>
        </w:rPr>
        <w:t>Karolinska University Press,</w:t>
      </w:r>
      <w:r>
        <w:rPr>
          <w:rFonts w:eastAsiaTheme="minorEastAsia" w:hint="eastAsia"/>
        </w:rPr>
        <w:t xml:space="preserve"> </w:t>
      </w:r>
      <w:r>
        <w:t>Stockholm, Sweden</w:t>
      </w:r>
      <w:r w:rsidRPr="00B8101F">
        <w:t xml:space="preserve">, </w:t>
      </w:r>
      <w:r>
        <w:rPr>
          <w:rFonts w:hint="eastAsia"/>
          <w:b/>
        </w:rPr>
        <w:t>1-2</w:t>
      </w:r>
      <w:r>
        <w:rPr>
          <w:rFonts w:hint="eastAsia"/>
        </w:rPr>
        <w:t>,</w:t>
      </w:r>
      <w:r>
        <w:rPr>
          <w:kern w:val="0"/>
        </w:rPr>
        <w:t xml:space="preserve"> 565-574.</w:t>
      </w:r>
    </w:p>
    <w:p w:rsidR="00987D22" w:rsidRDefault="00987D22" w:rsidP="00987D22">
      <w:pPr>
        <w:pStyle w:val="a0"/>
        <w:rPr>
          <w:kern w:val="0"/>
        </w:rPr>
      </w:pPr>
      <w:r>
        <w:rPr>
          <w:kern w:val="0"/>
        </w:rPr>
        <w:t>Abstract: A basic dichotomy is generally made between publication practices in the natural sciences</w:t>
      </w:r>
      <w:r w:rsidR="00F81221">
        <w:rPr>
          <w:kern w:val="0"/>
        </w:rPr>
        <w:t xml:space="preserve"> and </w:t>
      </w:r>
      <w:r>
        <w:rPr>
          <w:kern w:val="0"/>
        </w:rPr>
        <w:t>engineering (NSE)</w:t>
      </w:r>
      <w:r w:rsidR="00F81221">
        <w:rPr>
          <w:kern w:val="0"/>
        </w:rPr>
        <w:t xml:space="preserve"> and </w:t>
      </w:r>
      <w:r>
        <w:rPr>
          <w:kern w:val="0"/>
        </w:rPr>
        <w:t>social sciences</w:t>
      </w:r>
      <w:r w:rsidR="00F81221">
        <w:rPr>
          <w:kern w:val="0"/>
        </w:rPr>
        <w:t xml:space="preserve"> and </w:t>
      </w:r>
      <w:r>
        <w:rPr>
          <w:kern w:val="0"/>
        </w:rPr>
        <w:t>humanities (SSH). However, while researchers in the NSE share lots of common practices with researchers in SSH, the spectrum of practices is broader in the latter. Drawing data from the CDROM versions of the Science Citation Index, Social Science Citation Index</w:t>
      </w:r>
      <w:r w:rsidR="00F81221">
        <w:rPr>
          <w:kern w:val="0"/>
        </w:rPr>
        <w:t xml:space="preserve"> and </w:t>
      </w:r>
      <w:r>
        <w:rPr>
          <w:kern w:val="0"/>
        </w:rPr>
        <w:t>the Arts &amp; Humanities Citation Index from 1980 to 2002, this paper analyses collaboration in the SSH compared to the NSE. We show that, contrary to a widely held belief, researchers in the social sciences</w:t>
      </w:r>
      <w:r w:rsidR="00F81221">
        <w:rPr>
          <w:kern w:val="0"/>
        </w:rPr>
        <w:t xml:space="preserve"> and </w:t>
      </w:r>
      <w:r>
        <w:rPr>
          <w:kern w:val="0"/>
        </w:rPr>
        <w:t>the humanities have distinct collaborative practices. In fact, collaborative activities of researchers in the social sciences are more comparable to those of researchers in the NSE than to scholars in the humanities. Also, we see that language</w:t>
      </w:r>
      <w:r w:rsidR="00F81221">
        <w:rPr>
          <w:kern w:val="0"/>
        </w:rPr>
        <w:t xml:space="preserve"> and </w:t>
      </w:r>
      <w:r>
        <w:rPr>
          <w:kern w:val="0"/>
        </w:rPr>
        <w:t>cultural proximity influences the choice of collaborators in the SSH, but also in the NSE.</w:t>
      </w:r>
    </w:p>
    <w:p w:rsidR="00987D22" w:rsidRDefault="00987D22" w:rsidP="00987D22">
      <w:pPr>
        <w:pStyle w:val="a0"/>
        <w:rPr>
          <w:kern w:val="0"/>
        </w:rPr>
      </w:pPr>
      <w:r>
        <w:rPr>
          <w:kern w:val="0"/>
        </w:rPr>
        <w:t>Keywords: Behavioral-Sciences, Bibliometric Indicators, International-Cooperation, Producers, Research Performance, SCI, Sociology Citation Index</w:t>
      </w:r>
    </w:p>
    <w:p w:rsidR="00987D22" w:rsidRPr="00B8101F" w:rsidRDefault="00987D22" w:rsidP="00987D22">
      <w:pPr>
        <w:pStyle w:val="a0"/>
      </w:pPr>
      <w:r w:rsidRPr="00B8101F">
        <w:rPr>
          <w:rFonts w:hint="eastAsia"/>
        </w:rPr>
        <w:t xml:space="preserve">? </w:t>
      </w:r>
      <w:r w:rsidRPr="00B8101F">
        <w:t>Robert, C., Wilson, C.S., Gaudy, J.F.</w:t>
      </w:r>
      <w:r w:rsidR="00F81221">
        <w:t xml:space="preserve"> and </w:t>
      </w:r>
      <w:r w:rsidRPr="00B8101F">
        <w:t>Arreto, C.D. (2005), Scientornetric analysis of the 2003 sleep research literature in medicine</w:t>
      </w:r>
      <w:r w:rsidR="00F81221">
        <w:t xml:space="preserve"> and </w:t>
      </w:r>
      <w:r w:rsidRPr="00B8101F">
        <w:t xml:space="preserve">biology. </w:t>
      </w:r>
      <w:r w:rsidRPr="00B8101F">
        <w:rPr>
          <w:i/>
          <w:iCs/>
        </w:rPr>
        <w:t>ISSI 2005: Proceedings of the 10th International Conference of the International Society for Scientometrics</w:t>
      </w:r>
      <w:r w:rsidR="00F81221">
        <w:rPr>
          <w:i/>
          <w:iCs/>
        </w:rPr>
        <w:t xml:space="preserve"> and </w:t>
      </w:r>
      <w:r w:rsidRPr="00B8101F">
        <w:rPr>
          <w:i/>
          <w:iCs/>
        </w:rPr>
        <w:t>Informetrics</w:t>
      </w:r>
      <w:r>
        <w:t xml:space="preserve"> </w:t>
      </w:r>
      <w:r>
        <w:rPr>
          <w:rFonts w:hint="eastAsia"/>
        </w:rPr>
        <w:t>(</w:t>
      </w:r>
      <w:r>
        <w:t>edited by Ingwersen, P</w:t>
      </w:r>
      <w:r>
        <w:rPr>
          <w:rFonts w:hint="eastAsia"/>
        </w:rPr>
        <w:t>.</w:t>
      </w:r>
      <w:r w:rsidR="00F81221">
        <w:rPr>
          <w:rFonts w:hint="eastAsia"/>
        </w:rPr>
        <w:t xml:space="preserve"> and </w:t>
      </w:r>
      <w:r>
        <w:t>Larsen, B.</w:t>
      </w:r>
      <w:r>
        <w:rPr>
          <w:rFonts w:hint="eastAsia"/>
        </w:rPr>
        <w:t>),</w:t>
      </w:r>
      <w:r w:rsidRPr="00D1132D">
        <w:rPr>
          <w:rFonts w:eastAsia="SimSun"/>
          <w:lang w:eastAsia="zh-CN"/>
        </w:rPr>
        <w:t xml:space="preserve"> </w:t>
      </w:r>
      <w:r w:rsidRPr="00EF18C1">
        <w:rPr>
          <w:rFonts w:eastAsia="SimSun"/>
          <w:lang w:eastAsia="zh-CN"/>
        </w:rPr>
        <w:t>Karolinska University Press,</w:t>
      </w:r>
      <w:r>
        <w:t xml:space="preserve"> Stockholm, Sweden</w:t>
      </w:r>
      <w:r w:rsidRPr="00B8101F">
        <w:t xml:space="preserve">, </w:t>
      </w:r>
      <w:r>
        <w:rPr>
          <w:rFonts w:hint="eastAsia"/>
          <w:b/>
        </w:rPr>
        <w:t>1-2</w:t>
      </w:r>
      <w:r>
        <w:rPr>
          <w:rFonts w:hint="eastAsia"/>
        </w:rPr>
        <w:t xml:space="preserve">, </w:t>
      </w:r>
      <w:r w:rsidRPr="00B8101F">
        <w:t>604-614.</w:t>
      </w:r>
    </w:p>
    <w:p w:rsidR="00987D22" w:rsidRPr="00B8101F" w:rsidRDefault="00987D22" w:rsidP="00987D22">
      <w:pPr>
        <w:pStyle w:val="a0"/>
      </w:pPr>
      <w:r w:rsidRPr="00B8101F">
        <w:t>Abstract: The distribution of journal articles published in 2003 involving sleep research in the fields of medicine</w:t>
      </w:r>
      <w:r w:rsidR="00F81221">
        <w:t xml:space="preserve"> and </w:t>
      </w:r>
      <w:r w:rsidRPr="00B8101F">
        <w:t>biology from the ISI (Institute for Scientific Information) Current Content databases was analysed. The following parameters were considered: the number of articles per country, the average journal impact factor of each country, the ISI journal subject category,</w:t>
      </w:r>
      <w:r w:rsidR="00F81221">
        <w:t xml:space="preserve"> and </w:t>
      </w:r>
      <w:r w:rsidRPr="00B8101F">
        <w:t>the top producing countries</w:t>
      </w:r>
      <w:r w:rsidR="000352E7">
        <w:t>’</w:t>
      </w:r>
      <w:r w:rsidRPr="00B8101F">
        <w:t xml:space="preserve"> populations</w:t>
      </w:r>
      <w:r w:rsidR="00F81221">
        <w:t xml:space="preserve"> and </w:t>
      </w:r>
      <w:r w:rsidRPr="00B8101F">
        <w:t xml:space="preserve">gross domestic products. Among the 2325 articles considered - authored (or </w:t>
      </w:r>
      <w:r w:rsidRPr="00B8101F">
        <w:lastRenderedPageBreak/>
        <w:t>co-authored) by researchers from 66 countries the six most prolific were the USA, Germany, Japan, The United Kingdom, France</w:t>
      </w:r>
      <w:r w:rsidR="00F81221">
        <w:t xml:space="preserve"> and </w:t>
      </w:r>
      <w:r w:rsidRPr="00B8101F">
        <w:t>Canada; other publishing countries, in decreasing order of productivity, include Italy, Australia,</w:t>
      </w:r>
      <w:r w:rsidR="00F81221">
        <w:t xml:space="preserve"> and </w:t>
      </w:r>
      <w:r w:rsidRPr="00B8101F">
        <w:t>The Netherlands. Comparisons between the USA</w:t>
      </w:r>
      <w:r w:rsidR="00F81221">
        <w:t xml:space="preserve"> and </w:t>
      </w:r>
      <w:r w:rsidRPr="00B8101F">
        <w:t>the European Union (EU) countries,</w:t>
      </w:r>
      <w:r w:rsidR="00F81221">
        <w:t xml:space="preserve"> and </w:t>
      </w:r>
      <w:r w:rsidRPr="00B8101F">
        <w:t>the journal distribution of sleep publications among the subdisciplines of the life sciences</w:t>
      </w:r>
      <w:r w:rsidR="00F81221">
        <w:t xml:space="preserve"> and </w:t>
      </w:r>
      <w:r w:rsidRPr="00B8101F">
        <w:t>clinical medicine are also presented.</w:t>
      </w:r>
    </w:p>
    <w:p w:rsidR="00987D22" w:rsidRPr="00B8101F" w:rsidRDefault="00987D22" w:rsidP="00987D22">
      <w:pPr>
        <w:pStyle w:val="a0"/>
      </w:pPr>
      <w:r w:rsidRPr="00B8101F">
        <w:t>Keywords: Analysis, Australia, Bibliometric Analysis, Biology, Canada, Clinical, Country, Databases, Distribution, EU, European Union, European-Union, France, Germany, Impact, Impact Factor, Institute for Scientific Information, ISI, Italy, Japan, Journal, Journal Articles, Journal Impact, Journal Impact Factor, Journals, Life, Life Sciences, Literature, Medicine, Netherlands, Neuroscience, Output, Populations, Productivity, Publications, Publishing, Research, Science, Sciences, Sleep, The Netherlands, United Kingdom, USA</w:t>
      </w:r>
    </w:p>
    <w:p w:rsidR="005006F6" w:rsidRPr="00634D1A" w:rsidRDefault="005006F6" w:rsidP="005006F6">
      <w:pPr>
        <w:pStyle w:val="1"/>
      </w:pPr>
      <w:r w:rsidRPr="00634D1A">
        <w:br w:type="page"/>
      </w:r>
      <w:bookmarkStart w:id="1171" w:name="_Toc245917631"/>
      <w:bookmarkStart w:id="1172" w:name="_Toc317161235"/>
      <w:r w:rsidRPr="00634D1A">
        <w:lastRenderedPageBreak/>
        <w:t xml:space="preserve">Title: </w:t>
      </w:r>
      <w:r w:rsidRPr="00590FA5">
        <w:rPr>
          <w:iCs/>
        </w:rPr>
        <w:t>Proceedings of ISSI 2007: 11</w:t>
      </w:r>
      <w:r>
        <w:rPr>
          <w:rFonts w:hint="eastAsia"/>
          <w:iCs/>
        </w:rPr>
        <w:t>t</w:t>
      </w:r>
      <w:r w:rsidRPr="00590FA5">
        <w:rPr>
          <w:iCs/>
        </w:rPr>
        <w:t>h International Conference of the International Society for Scientometrics</w:t>
      </w:r>
      <w:r w:rsidR="00F81221">
        <w:rPr>
          <w:iCs/>
        </w:rPr>
        <w:t xml:space="preserve"> and </w:t>
      </w:r>
      <w:r w:rsidRPr="00590FA5">
        <w:rPr>
          <w:iCs/>
        </w:rPr>
        <w:t>Informetrics</w:t>
      </w:r>
      <w:bookmarkEnd w:id="1171"/>
      <w:bookmarkEnd w:id="1172"/>
    </w:p>
    <w:p w:rsidR="005006F6" w:rsidRDefault="005006F6" w:rsidP="00B72EF9">
      <w:pPr>
        <w:pStyle w:val="12"/>
      </w:pPr>
      <w:r>
        <w:t xml:space="preserve">Full Journal Title: </w:t>
      </w:r>
      <w:r w:rsidRPr="005E57FA">
        <w:t>Proceedings of ISSI 2007: 11</w:t>
      </w:r>
      <w:r>
        <w:rPr>
          <w:rFonts w:hint="eastAsia"/>
        </w:rPr>
        <w:t>t</w:t>
      </w:r>
      <w:r w:rsidRPr="005E57FA">
        <w:t>h International Conference of the International Society for Scientometrics</w:t>
      </w:r>
      <w:r w:rsidR="00F81221">
        <w:t xml:space="preserve"> and </w:t>
      </w:r>
      <w:r w:rsidRPr="005E57FA">
        <w:t>Informetrics</w:t>
      </w:r>
    </w:p>
    <w:p w:rsidR="005006F6" w:rsidRDefault="005006F6" w:rsidP="00B72EF9">
      <w:pPr>
        <w:pStyle w:val="12"/>
      </w:pPr>
      <w:r>
        <w:t xml:space="preserve">ISO Abbreviated Title: </w:t>
      </w:r>
    </w:p>
    <w:p w:rsidR="005006F6" w:rsidRDefault="005006F6" w:rsidP="00B72EF9">
      <w:pPr>
        <w:pStyle w:val="12"/>
      </w:pPr>
      <w:r>
        <w:t xml:space="preserve">JCR Abbreviated Title: </w:t>
      </w:r>
    </w:p>
    <w:p w:rsidR="005006F6" w:rsidRDefault="005006F6" w:rsidP="00B72EF9">
      <w:pPr>
        <w:pStyle w:val="12"/>
      </w:pPr>
      <w:r>
        <w:t xml:space="preserve">ISSN: </w:t>
      </w:r>
    </w:p>
    <w:p w:rsidR="005006F6" w:rsidRDefault="005006F6" w:rsidP="00B72EF9">
      <w:pPr>
        <w:pStyle w:val="12"/>
      </w:pPr>
      <w:r>
        <w:t xml:space="preserve">Issues/Year: </w:t>
      </w:r>
    </w:p>
    <w:p w:rsidR="005006F6" w:rsidRDefault="005006F6" w:rsidP="00B72EF9">
      <w:pPr>
        <w:pStyle w:val="12"/>
      </w:pPr>
      <w:r>
        <w:t xml:space="preserve">Journal Country/Territory: </w:t>
      </w:r>
    </w:p>
    <w:p w:rsidR="005006F6" w:rsidRDefault="005006F6" w:rsidP="00B72EF9">
      <w:pPr>
        <w:pStyle w:val="12"/>
      </w:pPr>
      <w:r>
        <w:t xml:space="preserve">Language: </w:t>
      </w:r>
    </w:p>
    <w:p w:rsidR="005006F6" w:rsidRDefault="005006F6" w:rsidP="00B72EF9">
      <w:pPr>
        <w:pStyle w:val="12"/>
      </w:pPr>
      <w:r>
        <w:t xml:space="preserve">Publisher: </w:t>
      </w:r>
    </w:p>
    <w:p w:rsidR="005006F6" w:rsidRDefault="005006F6" w:rsidP="00B72EF9">
      <w:pPr>
        <w:pStyle w:val="12"/>
      </w:pPr>
      <w:r>
        <w:t xml:space="preserve">Publisher Address: </w:t>
      </w:r>
    </w:p>
    <w:p w:rsidR="005006F6" w:rsidRDefault="005006F6" w:rsidP="00B72EF9">
      <w:pPr>
        <w:pStyle w:val="12"/>
      </w:pPr>
      <w:r>
        <w:t xml:space="preserve">Subject Categories: </w:t>
      </w:r>
    </w:p>
    <w:p w:rsidR="005006F6" w:rsidRDefault="005006F6" w:rsidP="00B72EF9">
      <w:pPr>
        <w:pStyle w:val="12"/>
      </w:pPr>
      <w:r>
        <w:t>: Impact Factor</w:t>
      </w:r>
    </w:p>
    <w:p w:rsidR="00886924" w:rsidRPr="00F27C18" w:rsidRDefault="00886924" w:rsidP="00886924">
      <w:pPr>
        <w:pStyle w:val="a0"/>
        <w:rPr>
          <w:szCs w:val="24"/>
        </w:rPr>
      </w:pPr>
      <w:r w:rsidRPr="00F27C18">
        <w:t>? Archambault, E.</w:t>
      </w:r>
      <w:r w:rsidR="00F81221">
        <w:t xml:space="preserve"> and </w:t>
      </w:r>
      <w:r w:rsidRPr="00F27C18">
        <w:t>Lariviere, V. (2007), Origins of measures of journal impact: Historical contingencies</w:t>
      </w:r>
      <w:r w:rsidR="00F81221">
        <w:t xml:space="preserve"> and </w:t>
      </w:r>
      <w:r w:rsidRPr="00F27C18">
        <w:t xml:space="preserve">their consequences on current use. </w:t>
      </w:r>
      <w:r w:rsidRPr="001A3D2B">
        <w:rPr>
          <w:i/>
          <w:iCs/>
        </w:rPr>
        <w:t>Proceedings of ISSI 2007: 11th International Conference of the International Society for Scientometrics</w:t>
      </w:r>
      <w:r w:rsidR="00F81221">
        <w:rPr>
          <w:i/>
          <w:iCs/>
        </w:rPr>
        <w:t xml:space="preserve"> and </w:t>
      </w:r>
      <w:r w:rsidRPr="001A3D2B">
        <w:rPr>
          <w:i/>
          <w:iCs/>
        </w:rPr>
        <w:t>Informetrics</w:t>
      </w:r>
      <w:r w:rsidRPr="00EE0D23">
        <w:t>,</w:t>
      </w:r>
      <w:r>
        <w:rPr>
          <w:rFonts w:hint="eastAsia"/>
        </w:rPr>
        <w:t xml:space="preserve"> </w:t>
      </w:r>
      <w:r>
        <w:rPr>
          <w:rFonts w:hint="eastAsia"/>
          <w:b/>
        </w:rPr>
        <w:t>1-2</w:t>
      </w:r>
      <w:r>
        <w:rPr>
          <w:rFonts w:hint="eastAsia"/>
        </w:rPr>
        <w:t>,</w:t>
      </w:r>
      <w:r w:rsidRPr="00EE0D23">
        <w:t xml:space="preserve"> </w:t>
      </w:r>
      <w:r w:rsidRPr="00F27C18">
        <w:rPr>
          <w:szCs w:val="24"/>
        </w:rPr>
        <w:t>45-51.</w:t>
      </w:r>
    </w:p>
    <w:p w:rsidR="00886924" w:rsidRPr="00F27C18" w:rsidRDefault="00886924" w:rsidP="00886924">
      <w:pPr>
        <w:pStyle w:val="a0"/>
        <w:rPr>
          <w:szCs w:val="24"/>
        </w:rPr>
      </w:pPr>
      <w:r w:rsidRPr="00F27C18">
        <w:rPr>
          <w:szCs w:val="24"/>
        </w:rPr>
        <w:t>Abstract: This paper examines the genesis of journal impact measures</w:t>
      </w:r>
      <w:r w:rsidR="00F81221">
        <w:rPr>
          <w:szCs w:val="24"/>
        </w:rPr>
        <w:t xml:space="preserve"> and </w:t>
      </w:r>
      <w:r w:rsidRPr="00F27C18">
        <w:rPr>
          <w:szCs w:val="24"/>
        </w:rPr>
        <w:t>how their evolution culminated in the journal impact factor (JIF) produced by the Institute for Scientific Information. The paper shows how the form of the JIF, which is the result of historically contingent choices rather than a carefully chosen</w:t>
      </w:r>
      <w:r w:rsidR="00F81221">
        <w:rPr>
          <w:szCs w:val="24"/>
        </w:rPr>
        <w:t xml:space="preserve"> and </w:t>
      </w:r>
      <w:r w:rsidRPr="00F27C18">
        <w:rPr>
          <w:szCs w:val="24"/>
        </w:rPr>
        <w:t>tested set of features, affected its subsequent use, misuse,</w:t>
      </w:r>
      <w:r w:rsidR="00F81221">
        <w:rPr>
          <w:szCs w:val="24"/>
        </w:rPr>
        <w:t xml:space="preserve"> and </w:t>
      </w:r>
      <w:r w:rsidRPr="00F27C18">
        <w:rPr>
          <w:szCs w:val="24"/>
        </w:rPr>
        <w:t>manipulation by researchers, journal editors,</w:t>
      </w:r>
      <w:r w:rsidR="00F81221">
        <w:rPr>
          <w:szCs w:val="24"/>
        </w:rPr>
        <w:t xml:space="preserve"> and </w:t>
      </w:r>
      <w:r w:rsidRPr="00F27C18">
        <w:rPr>
          <w:szCs w:val="24"/>
        </w:rPr>
        <w:t>bibliometricians.</w:t>
      </w:r>
    </w:p>
    <w:p w:rsidR="00886924" w:rsidRPr="00F27C18" w:rsidRDefault="00886924" w:rsidP="00886924">
      <w:pPr>
        <w:pStyle w:val="a0"/>
        <w:rPr>
          <w:szCs w:val="24"/>
        </w:rPr>
      </w:pPr>
      <w:r w:rsidRPr="00F27C18">
        <w:rPr>
          <w:szCs w:val="24"/>
        </w:rPr>
        <w:t>Keywords: Contingencies, Evolution, History, Impact, Impact Factor, Institute for Scientific Information, Journal, Journal Editors, Journal Impact, Journal Impact Factor, Performance, Science, Subject Categories</w:t>
      </w:r>
    </w:p>
    <w:p w:rsidR="005006F6" w:rsidRPr="00C739E0" w:rsidRDefault="005006F6" w:rsidP="005006F6">
      <w:pPr>
        <w:pStyle w:val="a0"/>
      </w:pPr>
      <w:r w:rsidRPr="00C739E0">
        <w:t>? Chen, L., Pan, Y.T., Ma, Z., Su, C.</w:t>
      </w:r>
      <w:r w:rsidR="00F81221">
        <w:t xml:space="preserve"> and </w:t>
      </w:r>
      <w:r w:rsidRPr="00C739E0">
        <w:t>Wu, Y.S. (2007), A comparative study between international</w:t>
      </w:r>
      <w:r w:rsidR="00F81221">
        <w:t xml:space="preserve"> and </w:t>
      </w:r>
      <w:r w:rsidRPr="00C739E0">
        <w:t>domestic interdisciplinary journals</w:t>
      </w:r>
      <w:r w:rsidR="00F81221">
        <w:t xml:space="preserve"> and </w:t>
      </w:r>
      <w:r w:rsidRPr="00C739E0">
        <w:t>specialty journals: A trial analysis of medical journals, philosophy journals</w:t>
      </w:r>
      <w:r w:rsidR="00F81221">
        <w:t xml:space="preserve"> and </w:t>
      </w:r>
      <w:r w:rsidRPr="00C739E0">
        <w:t xml:space="preserve">journals in philosophy of medicines. </w:t>
      </w:r>
      <w:r w:rsidRPr="00CE7517">
        <w:rPr>
          <w:i/>
          <w:iCs/>
        </w:rPr>
        <w:t>Proceedings of ISSI 2007: 11</w:t>
      </w:r>
      <w:r>
        <w:rPr>
          <w:rFonts w:hint="eastAsia"/>
          <w:i/>
          <w:iCs/>
        </w:rPr>
        <w:t>t</w:t>
      </w:r>
      <w:r w:rsidRPr="00CE7517">
        <w:rPr>
          <w:i/>
          <w:iCs/>
        </w:rPr>
        <w:t>h International Conference of the International Society for Scientometrics</w:t>
      </w:r>
      <w:r w:rsidR="00F81221">
        <w:rPr>
          <w:i/>
          <w:iCs/>
        </w:rPr>
        <w:t xml:space="preserve"> and </w:t>
      </w:r>
      <w:r w:rsidRPr="00CE7517">
        <w:rPr>
          <w:i/>
          <w:iCs/>
        </w:rPr>
        <w:t>Informetrics</w:t>
      </w:r>
      <w:r w:rsidRPr="00C739E0">
        <w:t xml:space="preserve">, </w:t>
      </w:r>
      <w:r w:rsidRPr="00A813C9">
        <w:rPr>
          <w:rFonts w:hint="eastAsia"/>
          <w:b/>
        </w:rPr>
        <w:t>1-2</w:t>
      </w:r>
      <w:r>
        <w:rPr>
          <w:rFonts w:hint="eastAsia"/>
        </w:rPr>
        <w:t xml:space="preserve">, </w:t>
      </w:r>
      <w:r w:rsidRPr="00C739E0">
        <w:t>201-206.</w:t>
      </w:r>
    </w:p>
    <w:p w:rsidR="005006F6" w:rsidRPr="00C739E0" w:rsidRDefault="005006F6" w:rsidP="005006F6">
      <w:pPr>
        <w:pStyle w:val="a0"/>
      </w:pPr>
      <w:r w:rsidRPr="00C739E0">
        <w:t>Abstract: Through the analysis of 17 international</w:t>
      </w:r>
      <w:r w:rsidR="00F81221">
        <w:t xml:space="preserve"> and </w:t>
      </w:r>
      <w:r w:rsidRPr="00C739E0">
        <w:t>domestic journals, this paper is to find the development trend of philosophy of medicine by using scientometric methods</w:t>
      </w:r>
      <w:r w:rsidR="00F81221">
        <w:t xml:space="preserve"> and </w:t>
      </w:r>
      <w:r w:rsidRPr="00C739E0">
        <w:t>visualization tool. The 17 journals include medical journals, philosophy journals, as well as journals bridging medicine</w:t>
      </w:r>
      <w:r w:rsidR="00F81221">
        <w:t xml:space="preserve"> and </w:t>
      </w:r>
      <w:r w:rsidRPr="00C739E0">
        <w:t xml:space="preserve">philosophy. The analysis involves </w:t>
      </w:r>
      <w:r w:rsidRPr="00C739E0">
        <w:lastRenderedPageBreak/>
        <w:t>such indicators as the Citing Half-Life</w:t>
      </w:r>
      <w:r w:rsidR="00F81221">
        <w:t xml:space="preserve"> and </w:t>
      </w:r>
      <w:r w:rsidRPr="00C739E0">
        <w:t>author affiliation. From the citation network maps derived from citation matrix, one can observe the development trend in philosophy of medicine,</w:t>
      </w:r>
      <w:r w:rsidR="00F81221">
        <w:t xml:space="preserve"> and </w:t>
      </w:r>
      <w:r w:rsidRPr="00C739E0">
        <w:t>the changing role played by philosophy or medicine in the development of an interdisciplinary field, namely philosophy of medicine.</w:t>
      </w:r>
    </w:p>
    <w:p w:rsidR="005006F6" w:rsidRPr="00C739E0" w:rsidRDefault="005006F6" w:rsidP="005006F6">
      <w:pPr>
        <w:pStyle w:val="a0"/>
      </w:pPr>
      <w:r w:rsidRPr="00C739E0">
        <w:t>Keywords: Affiliation, Analysis, Citation, Citation Network, Comparative Study, Development, Field, Indicators, Interdisciplinary, International, Journals, Matrix, Medical, Medical Journals, Medicine, Methods, Network, Philosophy, Philosophy of Medicine, Role, Scientometric, Specialty, Trend, Trial, Visualization</w:t>
      </w:r>
    </w:p>
    <w:p w:rsidR="00886924" w:rsidRPr="005335A3" w:rsidRDefault="00886924" w:rsidP="00886924">
      <w:pPr>
        <w:pStyle w:val="a0"/>
      </w:pPr>
      <w:r w:rsidRPr="0070510C">
        <w:rPr>
          <w:rFonts w:hint="eastAsia"/>
        </w:rPr>
        <w:t xml:space="preserve">? </w:t>
      </w:r>
      <w:r w:rsidRPr="0070510C">
        <w:t>Romero, A.G., Cortes, J.N., Escudero, C., Lopez, J.A.F.</w:t>
      </w:r>
      <w:r w:rsidR="00F81221">
        <w:t xml:space="preserve"> and </w:t>
      </w:r>
      <w:r w:rsidRPr="0070510C">
        <w:t>Moreno, J.A.C. (2007), Measuring the contribution of clinical trials to bibliometric indicators: Citations</w:t>
      </w:r>
      <w:r w:rsidR="00F81221">
        <w:t xml:space="preserve"> and </w:t>
      </w:r>
      <w:r w:rsidRPr="0070510C">
        <w:t xml:space="preserve">Journal Impact Factor (R). </w:t>
      </w:r>
      <w:r w:rsidRPr="001A3D2B">
        <w:rPr>
          <w:i/>
          <w:iCs/>
        </w:rPr>
        <w:t>Proceedings of ISSI 2007: 11th International Conference of the International Society for Scientometrics</w:t>
      </w:r>
      <w:r w:rsidR="00F81221">
        <w:rPr>
          <w:i/>
          <w:iCs/>
        </w:rPr>
        <w:t xml:space="preserve"> and </w:t>
      </w:r>
      <w:r w:rsidRPr="001A3D2B">
        <w:rPr>
          <w:i/>
          <w:iCs/>
        </w:rPr>
        <w:t>Informetrics</w:t>
      </w:r>
      <w:r w:rsidRPr="00EE0D23">
        <w:t>,</w:t>
      </w:r>
      <w:r>
        <w:rPr>
          <w:rFonts w:hint="eastAsia"/>
        </w:rPr>
        <w:t xml:space="preserve"> </w:t>
      </w:r>
      <w:r>
        <w:rPr>
          <w:rFonts w:hint="eastAsia"/>
          <w:b/>
        </w:rPr>
        <w:t>1-2</w:t>
      </w:r>
      <w:r>
        <w:rPr>
          <w:rFonts w:hint="eastAsia"/>
        </w:rPr>
        <w:t>,</w:t>
      </w:r>
      <w:r w:rsidRPr="00EE0D23">
        <w:t xml:space="preserve"> </w:t>
      </w:r>
      <w:r w:rsidRPr="005335A3">
        <w:t>300-304.</w:t>
      </w:r>
    </w:p>
    <w:p w:rsidR="00886924" w:rsidRPr="005335A3" w:rsidRDefault="00886924" w:rsidP="00886924">
      <w:pPr>
        <w:pStyle w:val="a0"/>
      </w:pPr>
      <w:r w:rsidRPr="005335A3">
        <w:t>Abstract: Clinical trials play a relevant role in the development of new drugs. After a clinical trial has been carried out, its results are usually published in scientific journals. These papers receive a significant number of citations that can affect the scores for indicators such as the Journal Impact Factor (R) or the h-index. However, there is a criticism with this practice especially because around 3/4 of the clinical trials are funded by industry that can use this channel to promote their products. In addition, the Frascati Manual (OECD) establishes that clinical trials must be considered as part of product development</w:t>
      </w:r>
      <w:r w:rsidR="00F81221">
        <w:t xml:space="preserve"> and </w:t>
      </w:r>
      <w:r w:rsidRPr="005335A3">
        <w:t>not research activities. We have established two main research questions: (i) Are clinical trials cited significantly more than other papers? (ii) To what extent are Journal Impact Factors modified by citations to clinical trials? We use the database from Thomson-ISI Web of Science (R) jointly with Medline to answer these questions. Our preliminary results suggest the following remarks. Firstly, the clinical trials are significantly more cited than other papers. Secondly, the Impact Factors are significantly reduced if we do not take into account the clinical trials. We believe that this information could be useful for the Research Policy decision makers.</w:t>
      </w:r>
    </w:p>
    <w:p w:rsidR="00886924" w:rsidRPr="005335A3" w:rsidRDefault="00886924" w:rsidP="00886924">
      <w:pPr>
        <w:pStyle w:val="a0"/>
      </w:pPr>
      <w:r w:rsidRPr="005335A3">
        <w:t xml:space="preserve">Keywords: Affect, Bibliometric, Bibliometric Indicators, Citation, Citations, Clinical, Clinical Trial, Clinical Trials, Contribution, Database, Decision, Development, Drugs, </w:t>
      </w:r>
      <w:r w:rsidRPr="005335A3">
        <w:rPr>
          <w:rFonts w:hint="eastAsia"/>
        </w:rPr>
        <w:t>h</w:t>
      </w:r>
      <w:r w:rsidRPr="005335A3">
        <w:t xml:space="preserve"> Index, </w:t>
      </w:r>
      <w:r w:rsidRPr="005335A3">
        <w:rPr>
          <w:rFonts w:hint="eastAsia"/>
        </w:rPr>
        <w:t>h</w:t>
      </w:r>
      <w:r w:rsidRPr="005335A3">
        <w:t>-Index, Impact, Impact Factor, Indicators, Industry, Information, Journal Impact Factor, Journals, Medical Journals, Modified, OECD, Papers, Pharmaceutical Companies, Play, Practice, Research, Research Questions, Role, Scientific Journals, Trial, Web of Science</w:t>
      </w:r>
    </w:p>
    <w:p w:rsidR="005006F6" w:rsidRPr="005A6E29" w:rsidRDefault="005006F6" w:rsidP="005006F6">
      <w:pPr>
        <w:pStyle w:val="a0"/>
      </w:pPr>
      <w:r w:rsidRPr="005A6E29">
        <w:rPr>
          <w:rFonts w:hint="eastAsia"/>
        </w:rPr>
        <w:t xml:space="preserve">? </w:t>
      </w:r>
      <w:r w:rsidRPr="005A6E29">
        <w:t>Liu, Y.X.</w:t>
      </w:r>
      <w:r w:rsidR="00F81221">
        <w:t xml:space="preserve"> and </w:t>
      </w:r>
      <w:r w:rsidRPr="005A6E29">
        <w:t>Rousseau, R. (2007), Hirsch-type indices</w:t>
      </w:r>
      <w:r w:rsidR="00F81221">
        <w:t xml:space="preserve"> and </w:t>
      </w:r>
      <w:r w:rsidRPr="005A6E29">
        <w:t xml:space="preserve">library management: The case of Tongji University Library. </w:t>
      </w:r>
      <w:r w:rsidRPr="00CE7517">
        <w:rPr>
          <w:i/>
          <w:iCs/>
        </w:rPr>
        <w:t>Proceedings of ISSI 2007: 11</w:t>
      </w:r>
      <w:r>
        <w:rPr>
          <w:rFonts w:hint="eastAsia"/>
          <w:i/>
          <w:iCs/>
        </w:rPr>
        <w:t>t</w:t>
      </w:r>
      <w:r w:rsidRPr="00CE7517">
        <w:rPr>
          <w:i/>
          <w:iCs/>
        </w:rPr>
        <w:t>h International Conference of the International Society for Scientometrics</w:t>
      </w:r>
      <w:r w:rsidR="00F81221">
        <w:rPr>
          <w:i/>
          <w:iCs/>
        </w:rPr>
        <w:t xml:space="preserve"> and </w:t>
      </w:r>
      <w:r w:rsidRPr="00CE7517">
        <w:rPr>
          <w:i/>
          <w:iCs/>
        </w:rPr>
        <w:t>Informetrics</w:t>
      </w:r>
      <w:r w:rsidRPr="00C739E0">
        <w:t xml:space="preserve">, </w:t>
      </w:r>
      <w:r w:rsidRPr="00A813C9">
        <w:rPr>
          <w:rFonts w:hint="eastAsia"/>
          <w:b/>
        </w:rPr>
        <w:t>1-2</w:t>
      </w:r>
      <w:r>
        <w:rPr>
          <w:rFonts w:hint="eastAsia"/>
        </w:rPr>
        <w:t xml:space="preserve">, </w:t>
      </w:r>
      <w:r w:rsidRPr="005A6E29">
        <w:t>514-522.</w:t>
      </w:r>
    </w:p>
    <w:p w:rsidR="005006F6" w:rsidRPr="005A6E29" w:rsidRDefault="005006F6" w:rsidP="005006F6">
      <w:pPr>
        <w:pStyle w:val="a0"/>
      </w:pPr>
      <w:r w:rsidRPr="005A6E29">
        <w:t xml:space="preserve">Abstract: Hirsch-type indices are applied in a library management context. In this article </w:t>
      </w:r>
      <w:r w:rsidRPr="005A6E29">
        <w:lastRenderedPageBreak/>
        <w:t>quantitative, statistical approaches as well as a qualitative discussion are used to study the case of Tongji University Library. A comparison is made between the properties of different Hirsch-type indices. It is further shown that Hirsch-type indices can illuminate the reading interests of readers as shown by their use of a library</w:t>
      </w:r>
      <w:r w:rsidR="000352E7">
        <w:t>’</w:t>
      </w:r>
      <w:r w:rsidRPr="005A6E29">
        <w:t>s collection, hence expanding the field of application of such indicators.</w:t>
      </w:r>
    </w:p>
    <w:p w:rsidR="005006F6" w:rsidRPr="005A6E29" w:rsidRDefault="005006F6" w:rsidP="005006F6">
      <w:pPr>
        <w:pStyle w:val="a0"/>
      </w:pPr>
      <w:r w:rsidRPr="005A6E29">
        <w:t>Keywords: Application, Collection, Comparison, Context, Field, g-Index, h-(2)-Index, h-Index, Hirsch Index, Indicators, Indices, Inequality Measurement, Interests, Library Management, Management, Model, Qualitative, Ranking, Reading, Reading Interests, Scientists</w:t>
      </w:r>
    </w:p>
    <w:p w:rsidR="005006F6" w:rsidRPr="00C739E0" w:rsidRDefault="005006F6" w:rsidP="005006F6">
      <w:pPr>
        <w:pStyle w:val="a0"/>
      </w:pPr>
      <w:r w:rsidRPr="00C739E0">
        <w:t>? Markusova, V., Jansz, M., Libkind, I.</w:t>
      </w:r>
      <w:r w:rsidR="00F81221">
        <w:t xml:space="preserve"> and </w:t>
      </w:r>
      <w:r w:rsidRPr="00C739E0">
        <w:t xml:space="preserve">Varshavsky, A. (2007), Trends in Russian research output in Post-soviet Era. </w:t>
      </w:r>
      <w:r w:rsidRPr="00CE7517">
        <w:rPr>
          <w:i/>
          <w:iCs/>
        </w:rPr>
        <w:t>Proceedings of ISSI 2007: 11</w:t>
      </w:r>
      <w:r>
        <w:rPr>
          <w:rFonts w:hint="eastAsia"/>
          <w:i/>
          <w:iCs/>
        </w:rPr>
        <w:t>t</w:t>
      </w:r>
      <w:r w:rsidRPr="00CE7517">
        <w:rPr>
          <w:i/>
          <w:iCs/>
        </w:rPr>
        <w:t>h International Conference of the International Society for Scientometrics</w:t>
      </w:r>
      <w:r w:rsidR="00F81221">
        <w:rPr>
          <w:i/>
          <w:iCs/>
        </w:rPr>
        <w:t xml:space="preserve"> and </w:t>
      </w:r>
      <w:r w:rsidRPr="00CE7517">
        <w:rPr>
          <w:i/>
          <w:iCs/>
        </w:rPr>
        <w:t>Informetrics</w:t>
      </w:r>
      <w:r w:rsidRPr="00C739E0">
        <w:t xml:space="preserve">, </w:t>
      </w:r>
      <w:r w:rsidRPr="00A813C9">
        <w:rPr>
          <w:rFonts w:hint="eastAsia"/>
          <w:b/>
        </w:rPr>
        <w:t>1-2</w:t>
      </w:r>
      <w:r>
        <w:rPr>
          <w:rFonts w:hint="eastAsia"/>
        </w:rPr>
        <w:t xml:space="preserve">, </w:t>
      </w:r>
      <w:r w:rsidRPr="00C739E0">
        <w:t>542-551.</w:t>
      </w:r>
    </w:p>
    <w:p w:rsidR="005006F6" w:rsidRPr="00C739E0" w:rsidRDefault="005006F6" w:rsidP="005006F6">
      <w:pPr>
        <w:pStyle w:val="a0"/>
      </w:pPr>
      <w:r w:rsidRPr="00C739E0">
        <w:t>Abstract: Recently, the Russian government has ordered evaluation</w:t>
      </w:r>
      <w:r w:rsidR="00F81221">
        <w:t xml:space="preserve"> and </w:t>
      </w:r>
      <w:r w:rsidRPr="00C739E0">
        <w:t>reform of the basic research system. As a consequence, the number of research staff at the Russian Academy of Sciences will be reduced by 20% by 2007. The basis for research evaluation</w:t>
      </w:r>
      <w:r w:rsidR="00F81221">
        <w:t xml:space="preserve"> and </w:t>
      </w:r>
      <w:r w:rsidRPr="00C739E0">
        <w:t>institute budgeting will be bibliometric indicators. In view of these changes we look at the Russian publication output</w:t>
      </w:r>
      <w:r w:rsidR="00F81221">
        <w:t xml:space="preserve"> and </w:t>
      </w:r>
      <w:r w:rsidRPr="00C739E0">
        <w:t>argue that (1) publication output</w:t>
      </w:r>
      <w:r w:rsidR="00F81221">
        <w:t xml:space="preserve"> and </w:t>
      </w:r>
      <w:r w:rsidRPr="00C739E0">
        <w:t>citedness have to be considered in relation to the level of expenditure on R &amp; D; (2) bibliometric indicators depend strongly on the database used (ISI</w:t>
      </w:r>
      <w:r w:rsidR="000352E7">
        <w:t>’</w:t>
      </w:r>
      <w:r w:rsidRPr="00C739E0">
        <w:t>s databases are biased)</w:t>
      </w:r>
      <w:r w:rsidR="00F81221">
        <w:t xml:space="preserve"> and </w:t>
      </w:r>
      <w:r w:rsidRPr="00C739E0">
        <w:t xml:space="preserve">their interpretation can be confusing; better coverage of Russian publications or a Russian Science Citation Index are needed. Also, research results are communicated in more ways than paper publications. (3) policy makers have misused ISI statistics to demonstrate </w:t>
      </w:r>
      <w:r w:rsidR="000352E7">
        <w:t>“</w:t>
      </w:r>
      <w:r w:rsidRPr="00C739E0">
        <w:t>a low level</w:t>
      </w:r>
      <w:r w:rsidR="000352E7">
        <w:t>”</w:t>
      </w:r>
      <w:r w:rsidRPr="00C739E0">
        <w:t xml:space="preserve"> of Russian R &amp; D. Our paper is a part of a project designed to trace R &amp; D development in a transition economy</w:t>
      </w:r>
      <w:r w:rsidR="00F81221">
        <w:t xml:space="preserve"> and </w:t>
      </w:r>
      <w:r w:rsidRPr="00C739E0">
        <w:t>knowledge transfer from basic research to innovation. Results of our project shed light on science policy</w:t>
      </w:r>
      <w:r w:rsidR="00F81221">
        <w:t xml:space="preserve"> and </w:t>
      </w:r>
      <w:r w:rsidRPr="00C739E0">
        <w:t>the social issues due to the indiscriminate introduction of quantitative indicators.</w:t>
      </w:r>
    </w:p>
    <w:p w:rsidR="005006F6" w:rsidRPr="00C739E0" w:rsidRDefault="005006F6" w:rsidP="005006F6">
      <w:pPr>
        <w:pStyle w:val="a0"/>
      </w:pPr>
      <w:r w:rsidRPr="00C739E0">
        <w:t>Keywords: Bibliometric, Bibliometric Indicators, Changes, Coverage, Database, Databases, Development, Economy, Evaluation, Indicators, Innovation, ISI, Knowledge, Policy, Publication, Publications, Reform, Research, Research Evaluation, Research Results, Science, Science Citation Index, Science Policy, Social, Statistics</w:t>
      </w:r>
    </w:p>
    <w:p w:rsidR="00886924" w:rsidRPr="00F27C18" w:rsidRDefault="00886924" w:rsidP="00886924">
      <w:pPr>
        <w:pStyle w:val="a0"/>
        <w:rPr>
          <w:szCs w:val="24"/>
        </w:rPr>
      </w:pPr>
      <w:r w:rsidRPr="00F27C18">
        <w:rPr>
          <w:szCs w:val="24"/>
        </w:rPr>
        <w:t>? Nabiullin, A.A. (2007), Emergence of a new discipline in the earth sciences: Bibliometric analysis of photogrammetry</w:t>
      </w:r>
      <w:r w:rsidR="00F81221">
        <w:rPr>
          <w:szCs w:val="24"/>
        </w:rPr>
        <w:t xml:space="preserve"> and </w:t>
      </w:r>
      <w:r w:rsidRPr="00F27C18">
        <w:rPr>
          <w:szCs w:val="24"/>
        </w:rPr>
        <w:t xml:space="preserve">remote sensing literature. </w:t>
      </w:r>
      <w:r w:rsidRPr="001A3D2B">
        <w:rPr>
          <w:i/>
          <w:iCs/>
        </w:rPr>
        <w:t>Proceedings of ISSI 2007: 11th International Conference of the International Society for Scientometrics</w:t>
      </w:r>
      <w:r w:rsidR="00F81221">
        <w:rPr>
          <w:i/>
          <w:iCs/>
        </w:rPr>
        <w:t xml:space="preserve"> and </w:t>
      </w:r>
      <w:r w:rsidRPr="001A3D2B">
        <w:rPr>
          <w:i/>
          <w:iCs/>
        </w:rPr>
        <w:t>Informetrics</w:t>
      </w:r>
      <w:r w:rsidRPr="00EE0D23">
        <w:t>,</w:t>
      </w:r>
      <w:r>
        <w:rPr>
          <w:rFonts w:hint="eastAsia"/>
        </w:rPr>
        <w:t xml:space="preserve"> </w:t>
      </w:r>
      <w:r>
        <w:rPr>
          <w:rFonts w:hint="eastAsia"/>
          <w:b/>
        </w:rPr>
        <w:t>1-2</w:t>
      </w:r>
      <w:r>
        <w:rPr>
          <w:rFonts w:hint="eastAsia"/>
        </w:rPr>
        <w:t>,</w:t>
      </w:r>
      <w:r w:rsidRPr="00EE0D23">
        <w:t xml:space="preserve"> </w:t>
      </w:r>
      <w:r w:rsidRPr="00F27C18">
        <w:rPr>
          <w:szCs w:val="24"/>
        </w:rPr>
        <w:t>594-598.</w:t>
      </w:r>
    </w:p>
    <w:p w:rsidR="00886924" w:rsidRPr="00F27C18" w:rsidRDefault="00886924" w:rsidP="00886924">
      <w:pPr>
        <w:pStyle w:val="a0"/>
        <w:rPr>
          <w:szCs w:val="24"/>
        </w:rPr>
      </w:pPr>
      <w:r w:rsidRPr="00F27C18">
        <w:rPr>
          <w:szCs w:val="24"/>
        </w:rPr>
        <w:t>Abstract: Remote sensing science is a rapidly growing field of the Earth sciences. Since its emergence</w:t>
      </w:r>
      <w:r w:rsidR="00F81221">
        <w:rPr>
          <w:szCs w:val="24"/>
        </w:rPr>
        <w:t xml:space="preserve"> and </w:t>
      </w:r>
      <w:r w:rsidRPr="00F27C18">
        <w:rPr>
          <w:szCs w:val="24"/>
        </w:rPr>
        <w:t xml:space="preserve">to the present day an extensive volume of literature has been </w:t>
      </w:r>
      <w:r w:rsidRPr="00F27C18">
        <w:rPr>
          <w:szCs w:val="24"/>
        </w:rPr>
        <w:lastRenderedPageBreak/>
        <w:t>published which traces wide application of remote sensing in human activities. According to the ISI Web of Science in 1965-2005 more than 19,000 papers were published on remote sensing. A number of papers grew exponentially with a doubling period of about 6 years. Notwithstanding all specialized journals there are a lot more remote sensing papers published in a vast list of source titles (LIP to 350 journals). Only 25% of the retrieved papers are published in 10 journals which ISI is assigned to a subject category of remote sensing. The time line of remote sensing periodicals issued in 19081995 shows an exponential growth with a doubling period of about 15 years. After 1995 there is a prominent deviation from the exponential curve which shows the demand saturation for specialized journals. The revealed features are discussed in terms of dynamics</w:t>
      </w:r>
      <w:r w:rsidR="00F81221">
        <w:rPr>
          <w:szCs w:val="24"/>
        </w:rPr>
        <w:t xml:space="preserve"> and </w:t>
      </w:r>
      <w:r w:rsidRPr="00F27C18">
        <w:rPr>
          <w:szCs w:val="24"/>
        </w:rPr>
        <w:t>impact of remote sensing in the current Earth sciences development.</w:t>
      </w:r>
    </w:p>
    <w:p w:rsidR="00886924" w:rsidRPr="00F27C18" w:rsidRDefault="00886924" w:rsidP="00886924">
      <w:pPr>
        <w:pStyle w:val="a0"/>
        <w:rPr>
          <w:szCs w:val="24"/>
        </w:rPr>
      </w:pPr>
      <w:r w:rsidRPr="00F27C18">
        <w:rPr>
          <w:szCs w:val="24"/>
        </w:rPr>
        <w:t>Keywords: Analysis, Application, Bibliometric, Bibliometric Analysis, Demand, Development, Dynamics, Earth Sciences, Emergence, Field, Growth, Human, Human Activities, Impact, ISI, ISI Web of Science, Journals, Literature, Papers, Periodicals, Remote Sensing, Remote Sensing Literature, Remote-Sensing, Saturation, Science, Sciences, Source, Volume, Web of Science</w:t>
      </w:r>
    </w:p>
    <w:p w:rsidR="00886924" w:rsidRDefault="00886924" w:rsidP="00886924">
      <w:pPr>
        <w:pStyle w:val="a0"/>
        <w:rPr>
          <w:kern w:val="0"/>
        </w:rPr>
      </w:pPr>
      <w:r>
        <w:rPr>
          <w:rFonts w:hint="eastAsia"/>
          <w:kern w:val="0"/>
        </w:rPr>
        <w:t xml:space="preserve">? </w:t>
      </w:r>
      <w:r>
        <w:rPr>
          <w:kern w:val="0"/>
        </w:rPr>
        <w:t>Pouris, A.</w:t>
      </w:r>
      <w:r w:rsidR="00F81221">
        <w:rPr>
          <w:kern w:val="0"/>
        </w:rPr>
        <w:t xml:space="preserve"> and </w:t>
      </w:r>
      <w:r>
        <w:rPr>
          <w:kern w:val="0"/>
        </w:rPr>
        <w:t>Pouris, A. (2007), The state of science</w:t>
      </w:r>
      <w:r w:rsidR="00F81221">
        <w:rPr>
          <w:kern w:val="0"/>
        </w:rPr>
        <w:t xml:space="preserve"> and </w:t>
      </w:r>
      <w:r>
        <w:rPr>
          <w:kern w:val="0"/>
        </w:rPr>
        <w:t xml:space="preserve">technology in Africa (2000-2004): A scientometric assessment. </w:t>
      </w:r>
      <w:r w:rsidRPr="001A3D2B">
        <w:rPr>
          <w:i/>
          <w:iCs/>
        </w:rPr>
        <w:t>Proceedings of ISSI 2007: 11th International Conference of the International Society for Scientometrics</w:t>
      </w:r>
      <w:r w:rsidR="00F81221">
        <w:rPr>
          <w:i/>
          <w:iCs/>
        </w:rPr>
        <w:t xml:space="preserve"> and </w:t>
      </w:r>
      <w:r w:rsidRPr="001A3D2B">
        <w:rPr>
          <w:i/>
          <w:iCs/>
        </w:rPr>
        <w:t>Informetrics</w:t>
      </w:r>
      <w:r w:rsidRPr="00EE0D23">
        <w:t>,</w:t>
      </w:r>
      <w:r>
        <w:rPr>
          <w:rFonts w:hint="eastAsia"/>
        </w:rPr>
        <w:t xml:space="preserve"> </w:t>
      </w:r>
      <w:r>
        <w:rPr>
          <w:rFonts w:hint="eastAsia"/>
          <w:b/>
        </w:rPr>
        <w:t>1-2</w:t>
      </w:r>
      <w:r>
        <w:rPr>
          <w:rFonts w:hint="eastAsia"/>
        </w:rPr>
        <w:t>,</w:t>
      </w:r>
      <w:r>
        <w:rPr>
          <w:kern w:val="0"/>
        </w:rPr>
        <w:t xml:space="preserve"> 619-630.</w:t>
      </w:r>
    </w:p>
    <w:p w:rsidR="00886924" w:rsidRDefault="00886924" w:rsidP="00886924">
      <w:pPr>
        <w:pStyle w:val="a0"/>
        <w:rPr>
          <w:kern w:val="0"/>
        </w:rPr>
      </w:pPr>
      <w:r>
        <w:rPr>
          <w:kern w:val="0"/>
        </w:rPr>
        <w:t>Abstract: This article reports for first time the state of science</w:t>
      </w:r>
      <w:r w:rsidR="00F81221">
        <w:rPr>
          <w:kern w:val="0"/>
        </w:rPr>
        <w:t xml:space="preserve"> and </w:t>
      </w:r>
      <w:r>
        <w:rPr>
          <w:kern w:val="0"/>
        </w:rPr>
        <w:t>technology in the African Continent on the basis of two scientometric indicators - number of research publications</w:t>
      </w:r>
      <w:r w:rsidR="00F81221">
        <w:rPr>
          <w:kern w:val="0"/>
        </w:rPr>
        <w:t xml:space="preserve"> and </w:t>
      </w:r>
      <w:r>
        <w:rPr>
          <w:kern w:val="0"/>
        </w:rPr>
        <w:t>number of patents awarded. We suggest that the effort covers partially the need for monitoring indicators for the Continent. Our analysis shows that Africa produced 68 945 publications over the 2000-2004 period or 1.8% of the World</w:t>
      </w:r>
      <w:r w:rsidR="000352E7">
        <w:rPr>
          <w:kern w:val="0"/>
        </w:rPr>
        <w:t>’</w:t>
      </w:r>
      <w:r>
        <w:rPr>
          <w:kern w:val="0"/>
        </w:rPr>
        <w:t>s publications. In comparison India produced 2.4%</w:t>
      </w:r>
      <w:r w:rsidR="00F81221">
        <w:rPr>
          <w:kern w:val="0"/>
        </w:rPr>
        <w:t xml:space="preserve"> and </w:t>
      </w:r>
      <w:r>
        <w:rPr>
          <w:kern w:val="0"/>
        </w:rPr>
        <w:t>Latin America 3.5% of the World</w:t>
      </w:r>
      <w:r w:rsidR="000352E7">
        <w:rPr>
          <w:kern w:val="0"/>
        </w:rPr>
        <w:t>’</w:t>
      </w:r>
      <w:r>
        <w:rPr>
          <w:kern w:val="0"/>
        </w:rPr>
        <w:t>s research. More detailed analysis reveals that research in Africa is concentrated in just two countries - South Africa</w:t>
      </w:r>
      <w:r w:rsidR="00F81221">
        <w:rPr>
          <w:kern w:val="0"/>
        </w:rPr>
        <w:t xml:space="preserve"> and </w:t>
      </w:r>
      <w:r>
        <w:rPr>
          <w:kern w:val="0"/>
        </w:rPr>
        <w:t>Egypt. These two counties produce just above 50% of the Continent</w:t>
      </w:r>
      <w:r w:rsidR="000352E7">
        <w:rPr>
          <w:kern w:val="0"/>
        </w:rPr>
        <w:t>’</w:t>
      </w:r>
      <w:r>
        <w:rPr>
          <w:kern w:val="0"/>
        </w:rPr>
        <w:t>s publications</w:t>
      </w:r>
      <w:r w:rsidR="00F81221">
        <w:rPr>
          <w:kern w:val="0"/>
        </w:rPr>
        <w:t xml:space="preserve"> and </w:t>
      </w:r>
      <w:r>
        <w:rPr>
          <w:kern w:val="0"/>
        </w:rPr>
        <w:t>the top 8 countries produce above 80% of the Continent</w:t>
      </w:r>
      <w:r w:rsidR="000352E7">
        <w:rPr>
          <w:kern w:val="0"/>
        </w:rPr>
        <w:t>’</w:t>
      </w:r>
      <w:r>
        <w:rPr>
          <w:kern w:val="0"/>
        </w:rPr>
        <w:t>s research. Disciplinary analysis reveals that few African countries have the minimum number of scientists required for the functioning of a scientific discipline. Examination of the Continent</w:t>
      </w:r>
      <w:r w:rsidR="000352E7">
        <w:rPr>
          <w:kern w:val="0"/>
        </w:rPr>
        <w:t>’</w:t>
      </w:r>
      <w:r>
        <w:rPr>
          <w:kern w:val="0"/>
        </w:rPr>
        <w:t>s inventive profile, as manifested in patents, indicates that Africa produces less than one thousand of the world</w:t>
      </w:r>
      <w:r w:rsidR="000352E7">
        <w:rPr>
          <w:kern w:val="0"/>
        </w:rPr>
        <w:t>’</w:t>
      </w:r>
      <w:r>
        <w:rPr>
          <w:kern w:val="0"/>
        </w:rPr>
        <w:t>s inventions. Furthermore 88% of the Continent</w:t>
      </w:r>
      <w:r w:rsidR="000352E7">
        <w:rPr>
          <w:kern w:val="0"/>
        </w:rPr>
        <w:t>’</w:t>
      </w:r>
      <w:r>
        <w:rPr>
          <w:kern w:val="0"/>
        </w:rPr>
        <w:t>s inventive activity in concentrated in South Africa. On the basis of the recent declarations on the importance of science</w:t>
      </w:r>
      <w:r w:rsidR="00F81221">
        <w:rPr>
          <w:kern w:val="0"/>
        </w:rPr>
        <w:t xml:space="preserve"> and </w:t>
      </w:r>
      <w:r>
        <w:rPr>
          <w:kern w:val="0"/>
        </w:rPr>
        <w:t>technology for development we suggest that the African Governments should pay particular attention in developing their national research systems.</w:t>
      </w:r>
    </w:p>
    <w:p w:rsidR="00886924" w:rsidRDefault="00886924" w:rsidP="00886924">
      <w:pPr>
        <w:pStyle w:val="a0"/>
        <w:rPr>
          <w:kern w:val="0"/>
        </w:rPr>
      </w:pPr>
      <w:r>
        <w:rPr>
          <w:kern w:val="0"/>
        </w:rPr>
        <w:lastRenderedPageBreak/>
        <w:t>Keywords: Africa, Assessment, Latin America, Patents, Publications, Research, Science, Science</w:t>
      </w:r>
      <w:r w:rsidR="00F81221">
        <w:rPr>
          <w:kern w:val="0"/>
        </w:rPr>
        <w:t xml:space="preserve"> and </w:t>
      </w:r>
      <w:r>
        <w:rPr>
          <w:kern w:val="0"/>
        </w:rPr>
        <w:t>Technology, Scientometric Indicators, South Africa, Technology</w:t>
      </w:r>
    </w:p>
    <w:p w:rsidR="005006F6" w:rsidRPr="00C739E0" w:rsidRDefault="005006F6" w:rsidP="005006F6">
      <w:pPr>
        <w:pStyle w:val="a0"/>
      </w:pPr>
      <w:r w:rsidRPr="00C739E0">
        <w:t>? Tijssen, R.J.W.</w:t>
      </w:r>
      <w:r w:rsidR="00F81221">
        <w:t xml:space="preserve"> and </w:t>
      </w:r>
      <w:r w:rsidRPr="00C739E0">
        <w:t>Van Leeuwen, T.N. (2007), Research cooperation within Europe: Bibliometric views of geographical trends</w:t>
      </w:r>
      <w:r w:rsidR="00F81221">
        <w:t xml:space="preserve"> and </w:t>
      </w:r>
      <w:r w:rsidRPr="00C739E0">
        <w:t xml:space="preserve">integration processes. </w:t>
      </w:r>
      <w:r w:rsidRPr="00CE7517">
        <w:rPr>
          <w:i/>
          <w:iCs/>
        </w:rPr>
        <w:t>Proceedings of ISSI 2007: 11</w:t>
      </w:r>
      <w:r>
        <w:rPr>
          <w:rFonts w:hint="eastAsia"/>
          <w:i/>
          <w:iCs/>
        </w:rPr>
        <w:t>t</w:t>
      </w:r>
      <w:r w:rsidRPr="00CE7517">
        <w:rPr>
          <w:i/>
          <w:iCs/>
        </w:rPr>
        <w:t>h International Conference of the International Society for Scientometrics</w:t>
      </w:r>
      <w:r w:rsidR="00F81221">
        <w:rPr>
          <w:i/>
          <w:iCs/>
        </w:rPr>
        <w:t xml:space="preserve"> and </w:t>
      </w:r>
      <w:r w:rsidRPr="00CE7517">
        <w:rPr>
          <w:i/>
          <w:iCs/>
        </w:rPr>
        <w:t>Informetrics</w:t>
      </w:r>
      <w:r w:rsidRPr="00C739E0">
        <w:t xml:space="preserve">, </w:t>
      </w:r>
      <w:r w:rsidRPr="00A813C9">
        <w:rPr>
          <w:rFonts w:hint="eastAsia"/>
          <w:b/>
        </w:rPr>
        <w:t>1-2</w:t>
      </w:r>
      <w:r>
        <w:rPr>
          <w:rFonts w:hint="eastAsia"/>
        </w:rPr>
        <w:t xml:space="preserve">, </w:t>
      </w:r>
      <w:r w:rsidRPr="00C739E0">
        <w:t>740-744.</w:t>
      </w:r>
    </w:p>
    <w:p w:rsidR="005006F6" w:rsidRPr="00C739E0" w:rsidRDefault="005006F6" w:rsidP="005006F6">
      <w:pPr>
        <w:pStyle w:val="a0"/>
      </w:pPr>
      <w:r w:rsidRPr="00C739E0">
        <w:t>Abstract: This paper presents the first results of an on-going research project devoted to the geography of European science, more specifically to identifying</w:t>
      </w:r>
      <w:r w:rsidR="00F81221">
        <w:t xml:space="preserve"> and </w:t>
      </w:r>
      <w:r w:rsidRPr="00C739E0">
        <w:t>analyzing structural determinants of international scientific cooperation within Europe. The empirical data are extracted from co-authored research publications by scientists</w:t>
      </w:r>
      <w:r w:rsidR="00F81221">
        <w:t xml:space="preserve"> and </w:t>
      </w:r>
      <w:r w:rsidRPr="00C739E0">
        <w:t>scholars located in different European countries</w:t>
      </w:r>
      <w:r w:rsidR="00F81221">
        <w:t xml:space="preserve"> and </w:t>
      </w:r>
      <w:r w:rsidRPr="00C739E0">
        <w:t>regions. The preliminary results disclose underlying patterns</w:t>
      </w:r>
      <w:r w:rsidR="00F81221">
        <w:t xml:space="preserve"> and </w:t>
      </w:r>
      <w:r w:rsidRPr="00C739E0">
        <w:t>developments within international scientific cooperation during the years 2000-2005 at the level of three country blocks (i.e. EU-15 member states, New EU-25 member states, EU acceding countries</w:t>
      </w:r>
      <w:r w:rsidR="00F81221">
        <w:t xml:space="preserve"> and </w:t>
      </w:r>
      <w:r w:rsidRPr="00C739E0">
        <w:t>candidate countries), individual countries,</w:t>
      </w:r>
      <w:r w:rsidR="00F81221">
        <w:t xml:space="preserve"> and </w:t>
      </w:r>
      <w:r w:rsidRPr="00C739E0">
        <w:t>the level of NUTS2 regions (provinces). We find that intra-European cooperation has increased very significantly, largely following the general trends towards further internationalization of science. The European Union is also characterized by a complex</w:t>
      </w:r>
      <w:r w:rsidR="00F81221">
        <w:t xml:space="preserve"> and </w:t>
      </w:r>
      <w:r w:rsidRPr="00C739E0">
        <w:t>highly dynamic system of research cooperation between its various member states</w:t>
      </w:r>
      <w:r w:rsidR="00F81221">
        <w:t xml:space="preserve"> and </w:t>
      </w:r>
      <w:r w:rsidRPr="00C739E0">
        <w:t>candidate member states. Data at the regional level provide new insights into underlying patterns</w:t>
      </w:r>
      <w:r w:rsidR="00F81221">
        <w:t xml:space="preserve"> and </w:t>
      </w:r>
      <w:r w:rsidRPr="00C739E0">
        <w:t>trends, such as the pronounced role of the United Kingdom</w:t>
      </w:r>
      <w:r w:rsidR="00F81221">
        <w:t xml:space="preserve"> and </w:t>
      </w:r>
      <w:r w:rsidRPr="00C739E0">
        <w:t>Paris (France) as drivers of research partnering within the European landscape.</w:t>
      </w:r>
    </w:p>
    <w:p w:rsidR="005006F6" w:rsidRPr="00C739E0" w:rsidRDefault="005006F6" w:rsidP="005006F6">
      <w:pPr>
        <w:pStyle w:val="a0"/>
      </w:pPr>
      <w:r w:rsidRPr="00C739E0">
        <w:t>Keywords: Cooperation, Country, Data, Dynamic, EU, Europe, European Union, First, France, General, Integration, International, Internationalization, Landscape, Publications, Regional, Research, Role, Science, Scientific Cooperation, Trends, United Kingdom</w:t>
      </w:r>
    </w:p>
    <w:p w:rsidR="005006F6" w:rsidRPr="00C739E0" w:rsidRDefault="005006F6" w:rsidP="005006F6">
      <w:pPr>
        <w:pStyle w:val="a0"/>
      </w:pPr>
      <w:r w:rsidRPr="00C739E0">
        <w:t xml:space="preserve">? Uzun, A. (2007), Recent trends in renewable energy research: A bibliometric perspective. </w:t>
      </w:r>
      <w:r w:rsidRPr="00CE7517">
        <w:rPr>
          <w:i/>
          <w:iCs/>
        </w:rPr>
        <w:t>Proceedings of ISSI 2007: 11</w:t>
      </w:r>
      <w:r>
        <w:rPr>
          <w:rFonts w:hint="eastAsia"/>
          <w:i/>
          <w:iCs/>
        </w:rPr>
        <w:t>t</w:t>
      </w:r>
      <w:r w:rsidRPr="00CE7517">
        <w:rPr>
          <w:i/>
          <w:iCs/>
        </w:rPr>
        <w:t>h International Conference of the International Society for Scientometrics</w:t>
      </w:r>
      <w:r w:rsidR="00F81221">
        <w:rPr>
          <w:i/>
          <w:iCs/>
        </w:rPr>
        <w:t xml:space="preserve"> and </w:t>
      </w:r>
      <w:r w:rsidRPr="00CE7517">
        <w:rPr>
          <w:i/>
          <w:iCs/>
        </w:rPr>
        <w:t>Informetrics</w:t>
      </w:r>
      <w:r w:rsidRPr="00C739E0">
        <w:t xml:space="preserve">, </w:t>
      </w:r>
      <w:r w:rsidRPr="00A813C9">
        <w:rPr>
          <w:rFonts w:hint="eastAsia"/>
          <w:b/>
        </w:rPr>
        <w:t>1-2</w:t>
      </w:r>
      <w:r>
        <w:rPr>
          <w:rFonts w:hint="eastAsia"/>
        </w:rPr>
        <w:t xml:space="preserve">, </w:t>
      </w:r>
      <w:r w:rsidRPr="00C739E0">
        <w:t>944-945.</w:t>
      </w:r>
    </w:p>
    <w:p w:rsidR="005006F6" w:rsidRPr="00C739E0" w:rsidRDefault="005006F6" w:rsidP="005006F6">
      <w:pPr>
        <w:pStyle w:val="a0"/>
      </w:pPr>
      <w:r w:rsidRPr="00C739E0">
        <w:t>Keywords: Bibliometric, Energy, Renewable Energy, Research, Trends</w:t>
      </w:r>
    </w:p>
    <w:p w:rsidR="00CF4560" w:rsidRPr="001A3D2B" w:rsidRDefault="00CF4560" w:rsidP="00CF4560">
      <w:pPr>
        <w:pStyle w:val="1"/>
      </w:pPr>
      <w:r w:rsidRPr="001A3D2B">
        <w:br w:type="page"/>
      </w:r>
      <w:bookmarkStart w:id="1173" w:name="_Toc246165308"/>
      <w:bookmarkStart w:id="1174" w:name="_Toc253444501"/>
      <w:bookmarkStart w:id="1175" w:name="_Toc317161236"/>
      <w:r w:rsidRPr="001A3D2B">
        <w:lastRenderedPageBreak/>
        <w:t xml:space="preserve">Title: </w:t>
      </w:r>
      <w:r w:rsidRPr="001A3D2B">
        <w:rPr>
          <w:iCs/>
        </w:rPr>
        <w:t>Proceedings of ISSI 2009</w:t>
      </w:r>
      <w:r>
        <w:rPr>
          <w:rFonts w:hint="eastAsia"/>
          <w:iCs/>
        </w:rPr>
        <w:t>:</w:t>
      </w:r>
      <w:r w:rsidRPr="001A3D2B">
        <w:rPr>
          <w:iCs/>
        </w:rPr>
        <w:t xml:space="preserve"> 12th International Conference of the International Society for Scientometrics</w:t>
      </w:r>
      <w:r w:rsidR="00F81221">
        <w:rPr>
          <w:iCs/>
        </w:rPr>
        <w:t xml:space="preserve"> and </w:t>
      </w:r>
      <w:r w:rsidRPr="001A3D2B">
        <w:rPr>
          <w:iCs/>
        </w:rPr>
        <w:t>Informetrics</w:t>
      </w:r>
      <w:bookmarkEnd w:id="1173"/>
      <w:bookmarkEnd w:id="1174"/>
      <w:bookmarkEnd w:id="1175"/>
    </w:p>
    <w:p w:rsidR="00CF4560" w:rsidRPr="001A3D2B" w:rsidRDefault="00CF4560" w:rsidP="00B72EF9">
      <w:pPr>
        <w:pStyle w:val="12"/>
      </w:pPr>
      <w:r w:rsidRPr="001A3D2B">
        <w:t>Full Journal Title: Proceedings of ISSI 2009</w:t>
      </w:r>
      <w:r>
        <w:rPr>
          <w:rFonts w:hint="eastAsia"/>
        </w:rPr>
        <w:t>:</w:t>
      </w:r>
      <w:r w:rsidRPr="001A3D2B">
        <w:t xml:space="preserve"> 12th International Conference of the International Society for Scientometrics</w:t>
      </w:r>
      <w:r w:rsidR="00F81221">
        <w:t xml:space="preserve"> and </w:t>
      </w:r>
      <w:r w:rsidRPr="001A3D2B">
        <w:t>Informetrics</w:t>
      </w:r>
    </w:p>
    <w:p w:rsidR="00CF4560" w:rsidRPr="001A3D2B" w:rsidRDefault="00CF4560" w:rsidP="00B72EF9">
      <w:pPr>
        <w:pStyle w:val="12"/>
      </w:pPr>
      <w:r w:rsidRPr="001A3D2B">
        <w:t xml:space="preserve">ISO Abbreviated Title: </w:t>
      </w:r>
    </w:p>
    <w:p w:rsidR="00CF4560" w:rsidRPr="001A3D2B" w:rsidRDefault="00CF4560" w:rsidP="00B72EF9">
      <w:pPr>
        <w:pStyle w:val="12"/>
      </w:pPr>
      <w:r w:rsidRPr="001A3D2B">
        <w:t xml:space="preserve">JCR Abbreviated Title: </w:t>
      </w:r>
    </w:p>
    <w:p w:rsidR="00CF4560" w:rsidRPr="001A3D2B" w:rsidRDefault="00CF4560" w:rsidP="00B72EF9">
      <w:pPr>
        <w:pStyle w:val="12"/>
      </w:pPr>
      <w:r w:rsidRPr="001A3D2B">
        <w:t xml:space="preserve">ISSN: </w:t>
      </w:r>
    </w:p>
    <w:p w:rsidR="00CF4560" w:rsidRPr="001A3D2B" w:rsidRDefault="00CF4560" w:rsidP="00B72EF9">
      <w:pPr>
        <w:pStyle w:val="12"/>
      </w:pPr>
      <w:r w:rsidRPr="001A3D2B">
        <w:t xml:space="preserve">ISBN: </w:t>
      </w:r>
    </w:p>
    <w:p w:rsidR="00CF4560" w:rsidRPr="001A3D2B" w:rsidRDefault="00CF4560" w:rsidP="00B72EF9">
      <w:pPr>
        <w:pStyle w:val="12"/>
      </w:pPr>
      <w:r w:rsidRPr="001A3D2B">
        <w:t xml:space="preserve">Issues/Year: </w:t>
      </w:r>
    </w:p>
    <w:p w:rsidR="00CF4560" w:rsidRPr="001A3D2B" w:rsidRDefault="00CF4560" w:rsidP="00B72EF9">
      <w:pPr>
        <w:pStyle w:val="12"/>
      </w:pPr>
      <w:r w:rsidRPr="001A3D2B">
        <w:t xml:space="preserve">Journal Country/Territory: </w:t>
      </w:r>
    </w:p>
    <w:p w:rsidR="00CF4560" w:rsidRPr="001A3D2B" w:rsidRDefault="00CF4560" w:rsidP="00B72EF9">
      <w:pPr>
        <w:pStyle w:val="12"/>
      </w:pPr>
      <w:r w:rsidRPr="001A3D2B">
        <w:t xml:space="preserve">Language: </w:t>
      </w:r>
    </w:p>
    <w:p w:rsidR="00CF4560" w:rsidRPr="001A3D2B" w:rsidRDefault="00CF4560" w:rsidP="00B72EF9">
      <w:pPr>
        <w:pStyle w:val="12"/>
      </w:pPr>
      <w:r w:rsidRPr="001A3D2B">
        <w:t xml:space="preserve">Publisher: </w:t>
      </w:r>
    </w:p>
    <w:p w:rsidR="00CF4560" w:rsidRPr="001A3D2B" w:rsidRDefault="00CF4560" w:rsidP="00B72EF9">
      <w:pPr>
        <w:pStyle w:val="12"/>
      </w:pPr>
      <w:r w:rsidRPr="001A3D2B">
        <w:t xml:space="preserve">Publisher Address: </w:t>
      </w:r>
    </w:p>
    <w:p w:rsidR="00CF4560" w:rsidRPr="001A3D2B" w:rsidRDefault="00CF4560" w:rsidP="00B72EF9">
      <w:pPr>
        <w:pStyle w:val="12"/>
      </w:pPr>
      <w:r w:rsidRPr="001A3D2B">
        <w:t xml:space="preserve">Subject Categories: </w:t>
      </w:r>
    </w:p>
    <w:p w:rsidR="00CF4560" w:rsidRPr="001A3D2B" w:rsidRDefault="00CF4560" w:rsidP="00B72EF9">
      <w:pPr>
        <w:pStyle w:val="12"/>
      </w:pPr>
      <w:r w:rsidRPr="001A3D2B">
        <w:t>: Impact Factor</w:t>
      </w:r>
    </w:p>
    <w:p w:rsidR="00CF4560" w:rsidRPr="001A3D2B" w:rsidRDefault="00CF4560" w:rsidP="00CF4560">
      <w:pPr>
        <w:pStyle w:val="a0"/>
        <w:rPr>
          <w:kern w:val="0"/>
        </w:rPr>
      </w:pPr>
      <w:r w:rsidRPr="001A3D2B">
        <w:rPr>
          <w:kern w:val="0"/>
        </w:rPr>
        <w:t>? Astrom, F.</w:t>
      </w:r>
      <w:r w:rsidR="00F81221">
        <w:rPr>
          <w:kern w:val="0"/>
        </w:rPr>
        <w:t xml:space="preserve"> and </w:t>
      </w:r>
      <w:r w:rsidRPr="001A3D2B">
        <w:rPr>
          <w:kern w:val="0"/>
        </w:rPr>
        <w:t>Sandor, A. (2009), Models of scholarly communication</w:t>
      </w:r>
      <w:r w:rsidR="00F81221">
        <w:rPr>
          <w:kern w:val="0"/>
        </w:rPr>
        <w:t xml:space="preserve"> and </w:t>
      </w:r>
      <w:r w:rsidRPr="001A3D2B">
        <w:rPr>
          <w:kern w:val="0"/>
        </w:rPr>
        <w:t xml:space="preserve">citation analysis.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10-21.</w:t>
      </w:r>
    </w:p>
    <w:p w:rsidR="00CF4560" w:rsidRPr="001A3D2B" w:rsidRDefault="00CF4560" w:rsidP="00CF4560">
      <w:pPr>
        <w:pStyle w:val="a0"/>
        <w:rPr>
          <w:kern w:val="0"/>
        </w:rPr>
      </w:pPr>
      <w:r w:rsidRPr="001A3D2B">
        <w:rPr>
          <w:kern w:val="0"/>
        </w:rPr>
        <w:t>Abstract: Informetric/bibliometric analyses have to a large extent been relying on an assumption that research is essentially cumulative in its nature, which is not the least visible in the rational for using citation analyses to assess quality of research. However, when reviewing both the theoretical literature on how research is organized</w:t>
      </w:r>
      <w:r w:rsidR="00F81221">
        <w:rPr>
          <w:kern w:val="0"/>
        </w:rPr>
        <w:t xml:space="preserve"> and </w:t>
      </w:r>
      <w:r w:rsidRPr="001A3D2B">
        <w:rPr>
          <w:kern w:val="0"/>
        </w:rPr>
        <w:t>studies analyzing the structures of research fields through informetric mapping methods, it becomes clear that cumulative organization is just one category of several ways of organizing research</w:t>
      </w:r>
      <w:r w:rsidR="00F81221">
        <w:rPr>
          <w:kern w:val="0"/>
        </w:rPr>
        <w:t xml:space="preserve"> and </w:t>
      </w:r>
      <w:r w:rsidRPr="001A3D2B">
        <w:rPr>
          <w:kern w:val="0"/>
        </w:rPr>
        <w:t>scholarly communication, Consequently, the way the role of citations is interpreted in research assessment has to be revised. Based on the review of previous research, this paper suggests a model for categorizing different modes of scholarly communication. We test this model through three different kinds of semantic labelling analyses on abstracts</w:t>
      </w:r>
      <w:r w:rsidR="00F81221">
        <w:rPr>
          <w:kern w:val="0"/>
        </w:rPr>
        <w:t xml:space="preserve"> and </w:t>
      </w:r>
      <w:r w:rsidRPr="001A3D2B">
        <w:rPr>
          <w:kern w:val="0"/>
        </w:rPr>
        <w:t>research papers from the fields of biomedicine, computer science</w:t>
      </w:r>
      <w:r w:rsidR="00F81221">
        <w:rPr>
          <w:kern w:val="0"/>
        </w:rPr>
        <w:t xml:space="preserve"> and </w:t>
      </w:r>
      <w:r w:rsidRPr="001A3D2B">
        <w:rPr>
          <w:kern w:val="0"/>
        </w:rPr>
        <w:t>educational research. The model proposed suggests three main categories of scholarly communication: cumulative, negotiating</w:t>
      </w:r>
      <w:r w:rsidR="00F81221">
        <w:rPr>
          <w:kern w:val="0"/>
        </w:rPr>
        <w:t xml:space="preserve"> and </w:t>
      </w:r>
      <w:r w:rsidRPr="001A3D2B">
        <w:rPr>
          <w:kern w:val="0"/>
        </w:rPr>
        <w:t>distinctive;</w:t>
      </w:r>
      <w:r w:rsidR="00F81221">
        <w:rPr>
          <w:kern w:val="0"/>
        </w:rPr>
        <w:t xml:space="preserve"> and </w:t>
      </w:r>
      <w:r w:rsidRPr="001A3D2B">
        <w:rPr>
          <w:kern w:val="0"/>
        </w:rPr>
        <w:t>when matching the labels identified in the semantic analysis to the three categories, we find evidence of the three different ways of communicating research that supports the model.</w:t>
      </w:r>
    </w:p>
    <w:p w:rsidR="00CF4560" w:rsidRPr="001A3D2B" w:rsidRDefault="00CF4560" w:rsidP="00CF4560">
      <w:pPr>
        <w:pStyle w:val="a0"/>
        <w:rPr>
          <w:kern w:val="0"/>
        </w:rPr>
      </w:pPr>
      <w:r w:rsidRPr="001A3D2B">
        <w:rPr>
          <w:kern w:val="0"/>
        </w:rPr>
        <w:t>Keywords: Author Cocitation, Information, Intellectual Structure, Science</w:t>
      </w:r>
    </w:p>
    <w:p w:rsidR="00CF4560" w:rsidRPr="001A3D2B" w:rsidRDefault="00CF4560" w:rsidP="00CF4560">
      <w:pPr>
        <w:pStyle w:val="a0"/>
        <w:rPr>
          <w:kern w:val="0"/>
        </w:rPr>
      </w:pPr>
      <w:r w:rsidRPr="001A3D2B">
        <w:rPr>
          <w:kern w:val="0"/>
        </w:rPr>
        <w:t>? Gomes, J.A.N.F.</w:t>
      </w:r>
      <w:r w:rsidR="00F81221">
        <w:rPr>
          <w:kern w:val="0"/>
        </w:rPr>
        <w:t xml:space="preserve"> and </w:t>
      </w:r>
      <w:r w:rsidRPr="001A3D2B">
        <w:rPr>
          <w:kern w:val="0"/>
        </w:rPr>
        <w:t xml:space="preserve">Vieira, E.S. (2009), How to improve the citation impact of a </w:t>
      </w:r>
      <w:r w:rsidRPr="001A3D2B">
        <w:rPr>
          <w:kern w:val="0"/>
        </w:rPr>
        <w:lastRenderedPageBreak/>
        <w:t>paper: Choice of journal, co-authors</w:t>
      </w:r>
      <w:r w:rsidR="00F81221">
        <w:rPr>
          <w:kern w:val="0"/>
        </w:rPr>
        <w:t xml:space="preserve"> and </w:t>
      </w:r>
      <w:r w:rsidRPr="001A3D2B">
        <w:rPr>
          <w:kern w:val="0"/>
        </w:rPr>
        <w:t xml:space="preserve">institutional addresses.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31-39.</w:t>
      </w:r>
    </w:p>
    <w:p w:rsidR="00CF4560" w:rsidRPr="001A3D2B" w:rsidRDefault="00CF4560" w:rsidP="00CF4560">
      <w:pPr>
        <w:pStyle w:val="a0"/>
        <w:rPr>
          <w:kern w:val="0"/>
        </w:rPr>
      </w:pPr>
      <w:r w:rsidRPr="001A3D2B">
        <w:rPr>
          <w:kern w:val="0"/>
        </w:rPr>
        <w:t>Abstract: This paper attempts at correlating the citation impact of Physics</w:t>
      </w:r>
      <w:r w:rsidR="00F81221">
        <w:rPr>
          <w:kern w:val="0"/>
        </w:rPr>
        <w:t xml:space="preserve"> and </w:t>
      </w:r>
      <w:r w:rsidRPr="001A3D2B">
        <w:rPr>
          <w:kern w:val="0"/>
        </w:rPr>
        <w:t>Chemistry documents in the Web of Science with some parameters of the source, namely the impact factor of the journal, the number of co-authors</w:t>
      </w:r>
      <w:r w:rsidR="00F81221">
        <w:rPr>
          <w:kern w:val="0"/>
        </w:rPr>
        <w:t xml:space="preserve"> and </w:t>
      </w:r>
      <w:r w:rsidRPr="001A3D2B">
        <w:rPr>
          <w:kern w:val="0"/>
        </w:rPr>
        <w:t>the number of institutional addresses. After a comparison of the distribution functions of the 5-year citations of the 2004 Physics</w:t>
      </w:r>
      <w:r w:rsidR="00F81221">
        <w:rPr>
          <w:kern w:val="0"/>
        </w:rPr>
        <w:t xml:space="preserve"> and </w:t>
      </w:r>
      <w:r w:rsidRPr="001A3D2B">
        <w:rPr>
          <w:kern w:val="0"/>
        </w:rPr>
        <w:t>Chemistry documents, a detailed study of the correlation between the citation counts</w:t>
      </w:r>
      <w:r w:rsidR="00F81221">
        <w:rPr>
          <w:kern w:val="0"/>
        </w:rPr>
        <w:t xml:space="preserve"> and </w:t>
      </w:r>
      <w:r w:rsidRPr="001A3D2B">
        <w:rPr>
          <w:kern w:val="0"/>
        </w:rPr>
        <w:t>the three parameters above is presented. There is a striking similarity between the properties found for Physics</w:t>
      </w:r>
      <w:r w:rsidR="00F81221">
        <w:rPr>
          <w:kern w:val="0"/>
        </w:rPr>
        <w:t xml:space="preserve"> and </w:t>
      </w:r>
      <w:r w:rsidRPr="001A3D2B">
        <w:rPr>
          <w:kern w:val="0"/>
        </w:rPr>
        <w:t>Chemistry but for the occurrence of a small but meaningful number of Physics documents with an extremely high number of co-authors</w:t>
      </w:r>
      <w:r w:rsidR="00F81221">
        <w:rPr>
          <w:kern w:val="0"/>
        </w:rPr>
        <w:t xml:space="preserve"> and </w:t>
      </w:r>
      <w:r w:rsidRPr="001A3D2B">
        <w:rPr>
          <w:kern w:val="0"/>
        </w:rPr>
        <w:t>institutional addresses. The average number of citations may double as the number of co-authors increases within its more common range.</w:t>
      </w:r>
    </w:p>
    <w:p w:rsidR="00CF4560" w:rsidRPr="001A3D2B" w:rsidRDefault="00CF4560" w:rsidP="00CF4560">
      <w:pPr>
        <w:pStyle w:val="a0"/>
        <w:rPr>
          <w:kern w:val="0"/>
        </w:rPr>
      </w:pPr>
      <w:r w:rsidRPr="001A3D2B">
        <w:rPr>
          <w:kern w:val="0"/>
        </w:rPr>
        <w:t>Keywords: Bibliometrics, Google-Scholar, Science, Scientific Collaboration, Scopus, Web</w:t>
      </w:r>
    </w:p>
    <w:p w:rsidR="00CF4560" w:rsidRPr="001A3D2B" w:rsidRDefault="00CF4560" w:rsidP="00CF4560">
      <w:pPr>
        <w:pStyle w:val="a0"/>
        <w:rPr>
          <w:kern w:val="0"/>
        </w:rPr>
      </w:pPr>
      <w:r w:rsidRPr="001A3D2B">
        <w:rPr>
          <w:kern w:val="0"/>
        </w:rPr>
        <w:t>? Pislyakov, V.</w:t>
      </w:r>
      <w:r w:rsidR="00F81221">
        <w:rPr>
          <w:kern w:val="0"/>
        </w:rPr>
        <w:t xml:space="preserve"> and </w:t>
      </w:r>
      <w:r w:rsidRPr="001A3D2B">
        <w:rPr>
          <w:kern w:val="0"/>
        </w:rPr>
        <w:t xml:space="preserve">Dyachenko, E. (2009), Citation expectations: Are they realized? Study of the Matthew Index for Russian papers published abroad.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52-58.</w:t>
      </w:r>
    </w:p>
    <w:p w:rsidR="00CF4560" w:rsidRPr="001A3D2B" w:rsidRDefault="00CF4560" w:rsidP="00CF4560">
      <w:pPr>
        <w:pStyle w:val="a0"/>
        <w:rPr>
          <w:kern w:val="0"/>
        </w:rPr>
      </w:pPr>
      <w:r w:rsidRPr="001A3D2B">
        <w:rPr>
          <w:kern w:val="0"/>
        </w:rPr>
        <w:t xml:space="preserve">Abstract: We consider the </w:t>
      </w:r>
      <w:r w:rsidR="000352E7">
        <w:rPr>
          <w:kern w:val="0"/>
        </w:rPr>
        <w:t>“</w:t>
      </w:r>
      <w:r w:rsidRPr="001A3D2B">
        <w:rPr>
          <w:kern w:val="0"/>
        </w:rPr>
        <w:t>Matthew effect</w:t>
      </w:r>
      <w:r w:rsidR="000352E7">
        <w:rPr>
          <w:kern w:val="0"/>
        </w:rPr>
        <w:t>”</w:t>
      </w:r>
      <w:r w:rsidRPr="001A3D2B">
        <w:rPr>
          <w:kern w:val="0"/>
        </w:rPr>
        <w:t xml:space="preserve"> in the citation process which leads to reallocation (or misallocation) of the citations received by scientific papers within the same journals. The case when such reallocation correlates with a country where an author works is investigated. Russian papers in chemistry</w:t>
      </w:r>
      <w:r w:rsidR="00F81221">
        <w:rPr>
          <w:kern w:val="0"/>
        </w:rPr>
        <w:t xml:space="preserve"> and </w:t>
      </w:r>
      <w:r w:rsidRPr="001A3D2B">
        <w:rPr>
          <w:kern w:val="0"/>
        </w:rPr>
        <w:t xml:space="preserve">physics published abroad were examined. We found that in both disciplines in about 60% of journals Russian papers are cited less than an average one. However, if we consider each discipline as a whole, citedness of a Russian paper in physics will be on the average level, while chemistry publications receive about 16% citations less than one may expect from the citedness of the journals where they appear. Moreover, Russian chemistry papers mostly become undercited in the leading journals of the field. Characteristics of a </w:t>
      </w:r>
      <w:r w:rsidR="000352E7">
        <w:rPr>
          <w:kern w:val="0"/>
        </w:rPr>
        <w:t>“</w:t>
      </w:r>
      <w:r w:rsidRPr="001A3D2B">
        <w:rPr>
          <w:kern w:val="0"/>
        </w:rPr>
        <w:t>Matthew index</w:t>
      </w:r>
      <w:r w:rsidR="000352E7">
        <w:rPr>
          <w:kern w:val="0"/>
        </w:rPr>
        <w:t>”</w:t>
      </w:r>
      <w:r w:rsidRPr="001A3D2B">
        <w:rPr>
          <w:kern w:val="0"/>
        </w:rPr>
        <w:t xml:space="preserve"> indicator</w:t>
      </w:r>
      <w:r w:rsidR="00F81221">
        <w:rPr>
          <w:kern w:val="0"/>
        </w:rPr>
        <w:t xml:space="preserve"> and </w:t>
      </w:r>
      <w:r w:rsidRPr="001A3D2B">
        <w:rPr>
          <w:kern w:val="0"/>
        </w:rPr>
        <w:t>its significance for scientometric studies are also discussed.</w:t>
      </w:r>
    </w:p>
    <w:p w:rsidR="00CF4560" w:rsidRPr="001A3D2B" w:rsidRDefault="00CF4560" w:rsidP="00CF4560">
      <w:pPr>
        <w:pStyle w:val="a0"/>
        <w:rPr>
          <w:kern w:val="0"/>
        </w:rPr>
      </w:pPr>
      <w:r w:rsidRPr="001A3D2B">
        <w:rPr>
          <w:kern w:val="0"/>
        </w:rPr>
        <w:t>Keywords: Competition, Core Journals, Countries, Impact, Indicators, Science</w:t>
      </w:r>
    </w:p>
    <w:p w:rsidR="00CF4560" w:rsidRPr="001A3D2B" w:rsidRDefault="00CF4560" w:rsidP="00CF4560">
      <w:pPr>
        <w:pStyle w:val="a0"/>
        <w:rPr>
          <w:kern w:val="0"/>
        </w:rPr>
      </w:pPr>
      <w:r w:rsidRPr="001A3D2B">
        <w:rPr>
          <w:kern w:val="0"/>
        </w:rPr>
        <w:t>? Kajikawa, Y., Fujimoto, S., Takeda, Y., Sakata, I.</w:t>
      </w:r>
      <w:r w:rsidR="00F81221">
        <w:rPr>
          <w:kern w:val="0"/>
        </w:rPr>
        <w:t xml:space="preserve"> and </w:t>
      </w:r>
      <w:r w:rsidRPr="001A3D2B">
        <w:rPr>
          <w:kern w:val="0"/>
        </w:rPr>
        <w:t xml:space="preserve">Matsushima, K. (2009), Detection of emerging research fronts in solar cell research.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71-79.</w:t>
      </w:r>
    </w:p>
    <w:p w:rsidR="00CF4560" w:rsidRPr="001A3D2B" w:rsidRDefault="00CF4560" w:rsidP="00CF4560">
      <w:pPr>
        <w:pStyle w:val="a0"/>
        <w:rPr>
          <w:kern w:val="0"/>
        </w:rPr>
      </w:pPr>
      <w:r w:rsidRPr="001A3D2B">
        <w:rPr>
          <w:kern w:val="0"/>
        </w:rPr>
        <w:t>Abstract: Science</w:t>
      </w:r>
      <w:r w:rsidR="00F81221">
        <w:rPr>
          <w:kern w:val="0"/>
        </w:rPr>
        <w:t xml:space="preserve"> and </w:t>
      </w:r>
      <w:r w:rsidRPr="001A3D2B">
        <w:rPr>
          <w:kern w:val="0"/>
        </w:rPr>
        <w:t>technology (S&amp;T) roadmaps are an attractive tool in R&amp;D management,</w:t>
      </w:r>
      <w:r w:rsidR="00F81221">
        <w:rPr>
          <w:kern w:val="0"/>
        </w:rPr>
        <w:t xml:space="preserve"> and </w:t>
      </w:r>
      <w:r w:rsidRPr="001A3D2B">
        <w:rPr>
          <w:kern w:val="0"/>
        </w:rPr>
        <w:t xml:space="preserve">have been widely used during the past decade. S&amp;T roadmaps are </w:t>
      </w:r>
      <w:r w:rsidRPr="001A3D2B">
        <w:rPr>
          <w:kern w:val="0"/>
        </w:rPr>
        <w:lastRenderedPageBreak/>
        <w:t>typically constructed by gathering</w:t>
      </w:r>
      <w:r w:rsidR="00F81221">
        <w:rPr>
          <w:kern w:val="0"/>
        </w:rPr>
        <w:t xml:space="preserve"> and </w:t>
      </w:r>
      <w:r w:rsidRPr="001A3D2B">
        <w:rPr>
          <w:kern w:val="0"/>
        </w:rPr>
        <w:t>stimulating expert</w:t>
      </w:r>
      <w:r w:rsidR="000352E7">
        <w:rPr>
          <w:kern w:val="0"/>
        </w:rPr>
        <w:t>’</w:t>
      </w:r>
      <w:r w:rsidRPr="001A3D2B">
        <w:rPr>
          <w:kern w:val="0"/>
        </w:rPr>
        <w:t>s opinion, but roadmapping is time-consuming</w:t>
      </w:r>
      <w:r w:rsidR="00F81221">
        <w:rPr>
          <w:kern w:val="0"/>
        </w:rPr>
        <w:t xml:space="preserve"> and </w:t>
      </w:r>
      <w:r w:rsidRPr="001A3D2B">
        <w:rPr>
          <w:kern w:val="0"/>
        </w:rPr>
        <w:t>subjective,</w:t>
      </w:r>
      <w:r w:rsidR="00F81221">
        <w:rPr>
          <w:kern w:val="0"/>
        </w:rPr>
        <w:t xml:space="preserve"> and </w:t>
      </w:r>
      <w:r w:rsidRPr="001A3D2B">
        <w:rPr>
          <w:kern w:val="0"/>
        </w:rPr>
        <w:t>therefore computer-based approach is expected to supplement expert-based approach. In this paper, we proposed</w:t>
      </w:r>
      <w:r w:rsidR="00F81221">
        <w:rPr>
          <w:kern w:val="0"/>
        </w:rPr>
        <w:t xml:space="preserve"> and </w:t>
      </w:r>
      <w:r w:rsidRPr="001A3D2B">
        <w:rPr>
          <w:kern w:val="0"/>
        </w:rPr>
        <w:t>demonstrated that the computer-based approach using citation network analysis can be used to depict technology trend,</w:t>
      </w:r>
      <w:r w:rsidR="00F81221">
        <w:rPr>
          <w:kern w:val="0"/>
        </w:rPr>
        <w:t xml:space="preserve"> and </w:t>
      </w:r>
      <w:r w:rsidRPr="001A3D2B">
        <w:rPr>
          <w:kern w:val="0"/>
        </w:rPr>
        <w:t>build the first draft of S&amp;T roadmaps. We perform a case study in solar cell research. We analyzed citation network of energy</w:t>
      </w:r>
      <w:r w:rsidR="00F81221">
        <w:rPr>
          <w:kern w:val="0"/>
        </w:rPr>
        <w:t xml:space="preserve"> and </w:t>
      </w:r>
      <w:r w:rsidRPr="001A3D2B">
        <w:rPr>
          <w:kern w:val="0"/>
        </w:rPr>
        <w:t>solar cell research by clustering the network, visualized the overall structures, extracted emerging research domains there,</w:t>
      </w:r>
      <w:r w:rsidR="00F81221">
        <w:rPr>
          <w:kern w:val="0"/>
        </w:rPr>
        <w:t xml:space="preserve"> and </w:t>
      </w:r>
      <w:r w:rsidRPr="001A3D2B">
        <w:rPr>
          <w:kern w:val="0"/>
        </w:rPr>
        <w:t>track emerging research domains in it by citation network analysis. The possibility</w:t>
      </w:r>
      <w:r w:rsidR="00F81221">
        <w:rPr>
          <w:kern w:val="0"/>
        </w:rPr>
        <w:t xml:space="preserve"> and </w:t>
      </w:r>
      <w:r w:rsidRPr="001A3D2B">
        <w:rPr>
          <w:kern w:val="0"/>
        </w:rPr>
        <w:t>limitation of our approach to roadmapping was discussed. We compared our results by citation network analysis with the existing solar cell roadmap,</w:t>
      </w:r>
      <w:r w:rsidR="00F81221">
        <w:rPr>
          <w:kern w:val="0"/>
        </w:rPr>
        <w:t xml:space="preserve"> and </w:t>
      </w:r>
      <w:r w:rsidRPr="001A3D2B">
        <w:rPr>
          <w:kern w:val="0"/>
        </w:rPr>
        <w:t>showed that citation-based approach can complement expert-based approach.</w:t>
      </w:r>
    </w:p>
    <w:p w:rsidR="00CF4560" w:rsidRPr="001A3D2B" w:rsidRDefault="00CF4560" w:rsidP="00CF4560">
      <w:pPr>
        <w:pStyle w:val="a0"/>
        <w:rPr>
          <w:kern w:val="0"/>
        </w:rPr>
      </w:pPr>
      <w:r w:rsidRPr="001A3D2B">
        <w:rPr>
          <w:kern w:val="0"/>
        </w:rPr>
        <w:t>Keywords: Bibliometrics, Database Tomography, Energy Research, Roadmaps, Science, Technology, Tracking</w:t>
      </w:r>
    </w:p>
    <w:p w:rsidR="00CF4560" w:rsidRPr="001A3D2B" w:rsidRDefault="00CF4560" w:rsidP="00CF4560">
      <w:pPr>
        <w:pStyle w:val="a0"/>
        <w:rPr>
          <w:kern w:val="0"/>
        </w:rPr>
      </w:pPr>
      <w:r w:rsidRPr="001A3D2B">
        <w:rPr>
          <w:kern w:val="0"/>
        </w:rPr>
        <w:t>? Archambault, E., Caruso, J., Cote, G.</w:t>
      </w:r>
      <w:r w:rsidR="00F81221">
        <w:rPr>
          <w:kern w:val="0"/>
        </w:rPr>
        <w:t xml:space="preserve"> and </w:t>
      </w:r>
      <w:r w:rsidRPr="001A3D2B">
        <w:rPr>
          <w:kern w:val="0"/>
        </w:rPr>
        <w:t xml:space="preserve">Lariviere, V. (2009), Bibliometric analysis of leading countries in energy research.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80-91.</w:t>
      </w:r>
    </w:p>
    <w:p w:rsidR="00CF4560" w:rsidRPr="001A3D2B" w:rsidRDefault="00CF4560" w:rsidP="00CF4560">
      <w:pPr>
        <w:pStyle w:val="a0"/>
        <w:rPr>
          <w:kern w:val="0"/>
        </w:rPr>
      </w:pPr>
      <w:r w:rsidRPr="001A3D2B">
        <w:rPr>
          <w:kern w:val="0"/>
        </w:rPr>
        <w:t>Abstract: Given our growing dependence on energy, it is relevant to examine how to define, measure,</w:t>
      </w:r>
      <w:r w:rsidR="00F81221">
        <w:rPr>
          <w:kern w:val="0"/>
        </w:rPr>
        <w:t xml:space="preserve"> and </w:t>
      </w:r>
      <w:r w:rsidRPr="001A3D2B">
        <w:rPr>
          <w:kern w:val="0"/>
        </w:rPr>
        <w:t>assess energy research</w:t>
      </w:r>
      <w:r w:rsidR="00F81221">
        <w:rPr>
          <w:kern w:val="0"/>
        </w:rPr>
        <w:t xml:space="preserve"> and </w:t>
      </w:r>
      <w:r w:rsidRPr="001A3D2B">
        <w:rPr>
          <w:kern w:val="0"/>
        </w:rPr>
        <w:t>development. This study discusses the use of bibliometric methods for examining the evolution of energy research at the world level</w:t>
      </w:r>
      <w:r w:rsidR="00F81221">
        <w:rPr>
          <w:kern w:val="0"/>
        </w:rPr>
        <w:t xml:space="preserve"> and </w:t>
      </w:r>
      <w:r w:rsidRPr="001A3D2B">
        <w:rPr>
          <w:kern w:val="0"/>
        </w:rPr>
        <w:t>in leading countries. The originality of the proposed method lies in the use of a several-pronged approach to delineating the field: seeding a keyword set with the output of research organisations in the field, augmenting this dataset with specialized journals, papers selected on the grounds of number of references made to a basic dataset</w:t>
      </w:r>
      <w:r w:rsidR="00F81221">
        <w:rPr>
          <w:kern w:val="0"/>
        </w:rPr>
        <w:t xml:space="preserve"> and </w:t>
      </w:r>
      <w:r w:rsidRPr="001A3D2B">
        <w:rPr>
          <w:kern w:val="0"/>
        </w:rPr>
        <w:t>papers selected on the basis of citations received from papers in that basic dataset. This strategy results in both high recall</w:t>
      </w:r>
      <w:r w:rsidR="00F81221">
        <w:rPr>
          <w:kern w:val="0"/>
        </w:rPr>
        <w:t xml:space="preserve"> and </w:t>
      </w:r>
      <w:r w:rsidRPr="001A3D2B">
        <w:rPr>
          <w:kern w:val="0"/>
        </w:rPr>
        <w:t>high precision. Results show that scientific output in energy research has doubled since 1996. Among leading countries, China has demonstrated a stupendous growth rate, specialization in the field,</w:t>
      </w:r>
      <w:r w:rsidR="00F81221">
        <w:rPr>
          <w:kern w:val="0"/>
        </w:rPr>
        <w:t xml:space="preserve"> and </w:t>
      </w:r>
      <w:r w:rsidRPr="001A3D2B">
        <w:rPr>
          <w:kern w:val="0"/>
        </w:rPr>
        <w:t>immense scientific output. In contrast, many English-speaking countries (with the exception of Canada, which performs above the world average) are not performing as strongly,</w:t>
      </w:r>
      <w:r w:rsidR="00F81221">
        <w:rPr>
          <w:kern w:val="0"/>
        </w:rPr>
        <w:t xml:space="preserve"> and </w:t>
      </w:r>
      <w:r w:rsidRPr="001A3D2B">
        <w:rPr>
          <w:kern w:val="0"/>
        </w:rPr>
        <w:t>some of the traditionally well established countries in energy R&amp;D (e. g., the US</w:t>
      </w:r>
      <w:r w:rsidR="00F81221">
        <w:rPr>
          <w:kern w:val="0"/>
        </w:rPr>
        <w:t xml:space="preserve"> and </w:t>
      </w:r>
      <w:r w:rsidRPr="001A3D2B">
        <w:rPr>
          <w:kern w:val="0"/>
        </w:rPr>
        <w:t>Japan) are progressively losing ground.</w:t>
      </w:r>
    </w:p>
    <w:p w:rsidR="00CF4560" w:rsidRPr="001A3D2B" w:rsidRDefault="00CF4560" w:rsidP="00CF4560">
      <w:pPr>
        <w:pStyle w:val="a0"/>
        <w:rPr>
          <w:kern w:val="0"/>
        </w:rPr>
      </w:pPr>
      <w:r w:rsidRPr="001A3D2B">
        <w:rPr>
          <w:kern w:val="0"/>
        </w:rPr>
        <w:t>Keywords: Impact, Investment, Research-and-Development</w:t>
      </w:r>
    </w:p>
    <w:p w:rsidR="00CF4560" w:rsidRPr="001A3D2B" w:rsidRDefault="00CF4560" w:rsidP="00CF4560">
      <w:pPr>
        <w:pStyle w:val="a0"/>
        <w:rPr>
          <w:kern w:val="0"/>
        </w:rPr>
      </w:pPr>
      <w:r w:rsidRPr="001A3D2B">
        <w:rPr>
          <w:kern w:val="0"/>
        </w:rPr>
        <w:t>? Jacobs, D.</w:t>
      </w:r>
      <w:r w:rsidR="00F81221">
        <w:rPr>
          <w:kern w:val="0"/>
        </w:rPr>
        <w:t xml:space="preserve"> and </w:t>
      </w:r>
      <w:r w:rsidRPr="001A3D2B">
        <w:rPr>
          <w:kern w:val="0"/>
        </w:rPr>
        <w:t xml:space="preserve">Mutula, S.M. (2009), Public health research in selected African countries: A bibliometric analysis of the literature.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92-96.</w:t>
      </w:r>
    </w:p>
    <w:p w:rsidR="00CF4560" w:rsidRPr="001A3D2B" w:rsidRDefault="00CF4560" w:rsidP="00CF4560">
      <w:pPr>
        <w:pStyle w:val="a0"/>
        <w:rPr>
          <w:kern w:val="0"/>
        </w:rPr>
      </w:pPr>
      <w:r w:rsidRPr="001A3D2B">
        <w:rPr>
          <w:kern w:val="0"/>
        </w:rPr>
        <w:t xml:space="preserve">Abstract: The purpose of this study was to conduct a quantitative analysis of Public </w:t>
      </w:r>
      <w:r w:rsidRPr="001A3D2B">
        <w:rPr>
          <w:kern w:val="0"/>
        </w:rPr>
        <w:lastRenderedPageBreak/>
        <w:t>Health research output in selected African countries. The comparative analyses for 13 countries, namely; Algeria, Botswana, Ghana, Kenya, Lesotho, Namibia, Nigeria, South Africa, Swaziland, Tanzania, Uganda, Zambia,</w:t>
      </w:r>
      <w:r w:rsidR="00F81221">
        <w:rPr>
          <w:kern w:val="0"/>
        </w:rPr>
        <w:t xml:space="preserve"> and </w:t>
      </w:r>
      <w:r w:rsidRPr="001A3D2B">
        <w:rPr>
          <w:kern w:val="0"/>
        </w:rPr>
        <w:t>Zimbabwe for the period of 1995-2005. The data was collected by using Dialog database on Public Health to identify the literature distribution by country descriptor. Microsoft Excel was used to analyse the data for the production distribution throughout the period of study. A total of 50 874 documents were collected from the respective countries for the period of the study. The study gives both a quantitative</w:t>
      </w:r>
      <w:r w:rsidR="00F81221">
        <w:rPr>
          <w:kern w:val="0"/>
        </w:rPr>
        <w:t xml:space="preserve"> and </w:t>
      </w:r>
      <w:r w:rsidRPr="001A3D2B">
        <w:rPr>
          <w:kern w:val="0"/>
        </w:rPr>
        <w:t>qualitative analysis of development</w:t>
      </w:r>
      <w:r w:rsidR="00F81221">
        <w:rPr>
          <w:kern w:val="0"/>
        </w:rPr>
        <w:t xml:space="preserve"> and </w:t>
      </w:r>
      <w:r w:rsidRPr="001A3D2B">
        <w:rPr>
          <w:kern w:val="0"/>
        </w:rPr>
        <w:t>growth in the countries under study in the field of public health. South Africa produced most publications 14690(29%), much ahead of all other African countries. Nigeria 6835 (13%) is the next country that produced much in the area of public health. Kenya 5890 (11.6%), Tanzania 5266 (10.2%)</w:t>
      </w:r>
      <w:r w:rsidR="00F81221">
        <w:rPr>
          <w:kern w:val="0"/>
        </w:rPr>
        <w:t xml:space="preserve"> and </w:t>
      </w:r>
      <w:r w:rsidRPr="001A3D2B">
        <w:rPr>
          <w:kern w:val="0"/>
        </w:rPr>
        <w:t>Uganda 5167 (10.2%), were following in their research output in this area.</w:t>
      </w:r>
    </w:p>
    <w:p w:rsidR="00CF4560" w:rsidRPr="001A3D2B" w:rsidRDefault="00CF4560" w:rsidP="00CF4560">
      <w:pPr>
        <w:pStyle w:val="a0"/>
        <w:rPr>
          <w:kern w:val="0"/>
        </w:rPr>
      </w:pPr>
      <w:r w:rsidRPr="001A3D2B">
        <w:rPr>
          <w:kern w:val="0"/>
        </w:rPr>
        <w:t>Keywords: Literature</w:t>
      </w:r>
    </w:p>
    <w:p w:rsidR="00CF4560" w:rsidRPr="001A3D2B" w:rsidRDefault="00CF4560" w:rsidP="00CF4560">
      <w:pPr>
        <w:pStyle w:val="a0"/>
        <w:rPr>
          <w:kern w:val="0"/>
        </w:rPr>
      </w:pPr>
      <w:r w:rsidRPr="001A3D2B">
        <w:rPr>
          <w:kern w:val="0"/>
        </w:rPr>
        <w:t>? Aguillo, I.F., Bar-Ilan, J., Levene, M.</w:t>
      </w:r>
      <w:r w:rsidR="00F81221">
        <w:rPr>
          <w:kern w:val="0"/>
        </w:rPr>
        <w:t xml:space="preserve"> and </w:t>
      </w:r>
      <w:r w:rsidRPr="001A3D2B">
        <w:rPr>
          <w:kern w:val="0"/>
        </w:rPr>
        <w:t xml:space="preserve">Ortega, J.L. (2009), Comparing university rankings.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97-107.</w:t>
      </w:r>
    </w:p>
    <w:p w:rsidR="00CF4560" w:rsidRPr="001A3D2B" w:rsidRDefault="00CF4560" w:rsidP="00CF4560">
      <w:pPr>
        <w:pStyle w:val="a0"/>
        <w:rPr>
          <w:kern w:val="0"/>
        </w:rPr>
      </w:pPr>
      <w:r w:rsidRPr="001A3D2B">
        <w:rPr>
          <w:kern w:val="0"/>
        </w:rPr>
        <w:t>Abstract: Recently there is increasing interest in university rankings. Annual rankings of world universities are published by QS for the Times Higher Education Supplement, the Shanghai Jiao Tong University, the Higher Education</w:t>
      </w:r>
      <w:r w:rsidR="00F81221">
        <w:rPr>
          <w:kern w:val="0"/>
        </w:rPr>
        <w:t xml:space="preserve"> and </w:t>
      </w:r>
      <w:r w:rsidRPr="001A3D2B">
        <w:rPr>
          <w:kern w:val="0"/>
        </w:rPr>
        <w:t>Accreditation Council of Taiwan</w:t>
      </w:r>
      <w:r w:rsidR="00F81221">
        <w:rPr>
          <w:kern w:val="0"/>
        </w:rPr>
        <w:t xml:space="preserve"> and </w:t>
      </w:r>
      <w:r w:rsidRPr="001A3D2B">
        <w:rPr>
          <w:kern w:val="0"/>
        </w:rPr>
        <w:t>rankings based on Web visibility by the Cybermetrics Lab at CSIC. In this paper we compare the rankings using a set of similarity measures. For the rankings that are being published for a number of years we also examine longitudinal patterns. The rankings limited to European universities are compared to the ranking of the Centre for Science</w:t>
      </w:r>
      <w:r w:rsidR="00F81221">
        <w:rPr>
          <w:kern w:val="0"/>
        </w:rPr>
        <w:t xml:space="preserve"> and </w:t>
      </w:r>
      <w:r w:rsidRPr="001A3D2B">
        <w:rPr>
          <w:kern w:val="0"/>
        </w:rPr>
        <w:t>Technology Studies at Leiden University. The findings show that there are reasonable similarities between the rankings, even though each applies a different methodology. The biggest differences are between the rankings provided by the QS-Times Higher Education Supplement</w:t>
      </w:r>
      <w:r w:rsidR="00F81221">
        <w:rPr>
          <w:kern w:val="0"/>
        </w:rPr>
        <w:t xml:space="preserve"> and </w:t>
      </w:r>
      <w:r w:rsidRPr="001A3D2B">
        <w:rPr>
          <w:kern w:val="0"/>
        </w:rPr>
        <w:t>the Ranking Web of the CSIC Cybermetrics Lab. The highest similarities were observed between the Taiwanese</w:t>
      </w:r>
      <w:r w:rsidR="00F81221">
        <w:rPr>
          <w:kern w:val="0"/>
        </w:rPr>
        <w:t xml:space="preserve"> and </w:t>
      </w:r>
      <w:r w:rsidRPr="001A3D2B">
        <w:rPr>
          <w:kern w:val="0"/>
        </w:rPr>
        <w:t>the Leiden rankings from European universities. Overall the similarities are increased when the comparison is limited to the European universities.</w:t>
      </w:r>
    </w:p>
    <w:p w:rsidR="00CF4560" w:rsidRPr="001A3D2B" w:rsidRDefault="00CF4560" w:rsidP="00CF4560">
      <w:pPr>
        <w:pStyle w:val="a0"/>
        <w:rPr>
          <w:kern w:val="0"/>
        </w:rPr>
      </w:pPr>
      <w:r w:rsidRPr="001A3D2B">
        <w:rPr>
          <w:kern w:val="0"/>
        </w:rPr>
        <w:t>Keywords: Bibliometric Methods, Rankings</w:t>
      </w:r>
    </w:p>
    <w:p w:rsidR="00CF4560" w:rsidRPr="001A3D2B" w:rsidRDefault="00CF4560" w:rsidP="00CF4560">
      <w:pPr>
        <w:pStyle w:val="a0"/>
        <w:rPr>
          <w:kern w:val="0"/>
        </w:rPr>
      </w:pPr>
      <w:r w:rsidRPr="001A3D2B">
        <w:rPr>
          <w:kern w:val="0"/>
        </w:rPr>
        <w:t xml:space="preserve">? Leydesdorff, L. (2009), How are new citation-based journal indicators adding to the bibliometric toolbox?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108-119.</w:t>
      </w:r>
    </w:p>
    <w:p w:rsidR="00CF4560" w:rsidRPr="001A3D2B" w:rsidRDefault="00CF4560" w:rsidP="00CF4560">
      <w:pPr>
        <w:pStyle w:val="a0"/>
        <w:rPr>
          <w:kern w:val="0"/>
        </w:rPr>
      </w:pPr>
      <w:r w:rsidRPr="001A3D2B">
        <w:rPr>
          <w:kern w:val="0"/>
        </w:rPr>
        <w:t>Abstract: The launching of Scopus</w:t>
      </w:r>
      <w:r w:rsidR="00F81221">
        <w:rPr>
          <w:kern w:val="0"/>
        </w:rPr>
        <w:t xml:space="preserve"> and </w:t>
      </w:r>
      <w:r w:rsidRPr="001A3D2B">
        <w:rPr>
          <w:kern w:val="0"/>
        </w:rPr>
        <w:t>Google Scholar,</w:t>
      </w:r>
      <w:r w:rsidR="00F81221">
        <w:rPr>
          <w:kern w:val="0"/>
        </w:rPr>
        <w:t xml:space="preserve"> and </w:t>
      </w:r>
      <w:r w:rsidRPr="001A3D2B">
        <w:rPr>
          <w:kern w:val="0"/>
        </w:rPr>
        <w:t>methodological developments in Social Network Analysis have made many more indicators for evaluating journals available than the traditional Impact Factor, Cited Halflife,</w:t>
      </w:r>
      <w:r w:rsidR="00F81221">
        <w:rPr>
          <w:kern w:val="0"/>
        </w:rPr>
        <w:t xml:space="preserve"> and </w:t>
      </w:r>
      <w:r w:rsidRPr="001A3D2B">
        <w:rPr>
          <w:kern w:val="0"/>
        </w:rPr>
        <w:lastRenderedPageBreak/>
        <w:t>Immediacy Index of the ISI. In this study, these new indicators are compared with one another</w:t>
      </w:r>
      <w:r w:rsidR="00F81221">
        <w:rPr>
          <w:kern w:val="0"/>
        </w:rPr>
        <w:t xml:space="preserve"> and </w:t>
      </w:r>
      <w:r w:rsidRPr="001A3D2B">
        <w:rPr>
          <w:kern w:val="0"/>
        </w:rPr>
        <w:t>with the older ones. Do the various indicators measure new dimensions of the citation networks, or are they highly correlated among them? Are they robust</w:t>
      </w:r>
      <w:r w:rsidR="00F81221">
        <w:rPr>
          <w:kern w:val="0"/>
        </w:rPr>
        <w:t xml:space="preserve"> and </w:t>
      </w:r>
      <w:r w:rsidRPr="001A3D2B">
        <w:rPr>
          <w:kern w:val="0"/>
        </w:rPr>
        <w:t>relatively stable over time? Two main dimensions are distinguished-size</w:t>
      </w:r>
      <w:r w:rsidR="00F81221">
        <w:rPr>
          <w:kern w:val="0"/>
        </w:rPr>
        <w:t xml:space="preserve"> and </w:t>
      </w:r>
      <w:r w:rsidRPr="001A3D2B">
        <w:rPr>
          <w:kern w:val="0"/>
        </w:rPr>
        <w:t>impact-which together shape influence. The H-index combines the two dimensions</w:t>
      </w:r>
      <w:r w:rsidR="00F81221">
        <w:rPr>
          <w:kern w:val="0"/>
        </w:rPr>
        <w:t xml:space="preserve"> and </w:t>
      </w:r>
      <w:r w:rsidRPr="001A3D2B">
        <w:rPr>
          <w:kern w:val="0"/>
        </w:rPr>
        <w:t>can also be considered as an indicator of reach (like Indegree). PageRank is mainly an indicator of size, but has important interactions with centrality measures. The Scimago Journal Ranking (SJR) indicator provides an alternative to the Journal Impact Factor, but the computation is less easy.</w:t>
      </w:r>
    </w:p>
    <w:p w:rsidR="00CF4560" w:rsidRPr="001A3D2B" w:rsidRDefault="00CF4560" w:rsidP="00CF4560">
      <w:pPr>
        <w:pStyle w:val="a0"/>
        <w:rPr>
          <w:kern w:val="0"/>
        </w:rPr>
      </w:pPr>
      <w:r w:rsidRPr="001A3D2B">
        <w:rPr>
          <w:kern w:val="0"/>
        </w:rPr>
        <w:t>Keywords: Betweenness, Centrality, Impact Factor, Index, Individuals, Networks, Science</w:t>
      </w:r>
    </w:p>
    <w:p w:rsidR="00CF4560" w:rsidRPr="001A3D2B" w:rsidRDefault="00CF4560" w:rsidP="00CF4560">
      <w:pPr>
        <w:pStyle w:val="a0"/>
        <w:rPr>
          <w:kern w:val="0"/>
        </w:rPr>
      </w:pPr>
      <w:r w:rsidRPr="001A3D2B">
        <w:rPr>
          <w:kern w:val="0"/>
        </w:rPr>
        <w:t>? Glanzel, W. (2009), The role of the h-index</w:t>
      </w:r>
      <w:r w:rsidR="00F81221">
        <w:rPr>
          <w:kern w:val="0"/>
        </w:rPr>
        <w:t xml:space="preserve"> and </w:t>
      </w:r>
      <w:r w:rsidRPr="001A3D2B">
        <w:rPr>
          <w:kern w:val="0"/>
        </w:rPr>
        <w:t>the characteristic scores</w:t>
      </w:r>
      <w:r w:rsidR="00F81221">
        <w:rPr>
          <w:kern w:val="0"/>
        </w:rPr>
        <w:t xml:space="preserve"> and </w:t>
      </w:r>
      <w:r w:rsidRPr="001A3D2B">
        <w:rPr>
          <w:kern w:val="0"/>
        </w:rPr>
        <w:t xml:space="preserve">scales in testing the tail properties of scientometric distributions.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120-130.</w:t>
      </w:r>
    </w:p>
    <w:p w:rsidR="00CF4560" w:rsidRPr="001A3D2B" w:rsidRDefault="00CF4560" w:rsidP="00CF4560">
      <w:pPr>
        <w:pStyle w:val="a0"/>
        <w:rPr>
          <w:kern w:val="0"/>
        </w:rPr>
      </w:pPr>
      <w:r w:rsidRPr="001A3D2B">
        <w:rPr>
          <w:kern w:val="0"/>
        </w:rPr>
        <w:t>Abstract: The tail properties of scientometric distributions are studied in the light of the h-index</w:t>
      </w:r>
      <w:r w:rsidR="00F81221">
        <w:rPr>
          <w:kern w:val="0"/>
        </w:rPr>
        <w:t xml:space="preserve"> and </w:t>
      </w:r>
      <w:r w:rsidRPr="001A3D2B">
        <w:rPr>
          <w:kern w:val="0"/>
        </w:rPr>
        <w:t>the characteristic scores</w:t>
      </w:r>
      <w:r w:rsidR="00F81221">
        <w:rPr>
          <w:kern w:val="0"/>
        </w:rPr>
        <w:t xml:space="preserve"> and </w:t>
      </w:r>
      <w:r w:rsidRPr="001A3D2B">
        <w:rPr>
          <w:kern w:val="0"/>
        </w:rPr>
        <w:t>scales. A statistical test for the h-core is presented</w:t>
      </w:r>
      <w:r w:rsidR="00F81221">
        <w:rPr>
          <w:kern w:val="0"/>
        </w:rPr>
        <w:t xml:space="preserve"> and </w:t>
      </w:r>
      <w:r w:rsidRPr="001A3D2B">
        <w:rPr>
          <w:kern w:val="0"/>
        </w:rPr>
        <w:t>illustrated using the example of four selected authors. Finally, the mathematical relationship between the h-index</w:t>
      </w:r>
      <w:r w:rsidR="00F81221">
        <w:rPr>
          <w:kern w:val="0"/>
        </w:rPr>
        <w:t xml:space="preserve"> and </w:t>
      </w:r>
      <w:r w:rsidRPr="001A3D2B">
        <w:rPr>
          <w:kern w:val="0"/>
        </w:rPr>
        <w:t>characteristic scores</w:t>
      </w:r>
      <w:r w:rsidR="00F81221">
        <w:rPr>
          <w:kern w:val="0"/>
        </w:rPr>
        <w:t xml:space="preserve"> and </w:t>
      </w:r>
      <w:r w:rsidRPr="001A3D2B">
        <w:rPr>
          <w:kern w:val="0"/>
        </w:rPr>
        <w:t>scales is analysed. The results give new insights into important properties of rank-frequency</w:t>
      </w:r>
      <w:r w:rsidR="00F81221">
        <w:rPr>
          <w:kern w:val="0"/>
        </w:rPr>
        <w:t xml:space="preserve"> and </w:t>
      </w:r>
      <w:r w:rsidRPr="001A3D2B">
        <w:rPr>
          <w:kern w:val="0"/>
        </w:rPr>
        <w:t>extreme-value statistics derived from scientometric</w:t>
      </w:r>
      <w:r w:rsidR="00F81221">
        <w:rPr>
          <w:kern w:val="0"/>
        </w:rPr>
        <w:t xml:space="preserve"> and </w:t>
      </w:r>
      <w:r w:rsidRPr="001A3D2B">
        <w:rPr>
          <w:kern w:val="0"/>
        </w:rPr>
        <w:t>informetric processes.</w:t>
      </w:r>
    </w:p>
    <w:p w:rsidR="00CF4560" w:rsidRPr="001A3D2B" w:rsidRDefault="00CF4560" w:rsidP="00CF4560">
      <w:pPr>
        <w:pStyle w:val="a0"/>
        <w:rPr>
          <w:kern w:val="0"/>
        </w:rPr>
      </w:pPr>
      <w:r w:rsidRPr="001A3D2B">
        <w:rPr>
          <w:kern w:val="0"/>
        </w:rPr>
        <w:t>Keywords: Citation Impact, Indicators, Journals</w:t>
      </w:r>
    </w:p>
    <w:p w:rsidR="00CF4560" w:rsidRPr="001A3D2B" w:rsidRDefault="00CF4560" w:rsidP="00CF4560">
      <w:pPr>
        <w:pStyle w:val="a0"/>
        <w:rPr>
          <w:kern w:val="0"/>
        </w:rPr>
      </w:pPr>
      <w:r w:rsidRPr="001A3D2B">
        <w:rPr>
          <w:kern w:val="0"/>
        </w:rPr>
        <w:t>? Su, J.Y.</w:t>
      </w:r>
      <w:r w:rsidR="00F81221">
        <w:rPr>
          <w:kern w:val="0"/>
        </w:rPr>
        <w:t xml:space="preserve"> and </w:t>
      </w:r>
      <w:r w:rsidRPr="001A3D2B">
        <w:rPr>
          <w:kern w:val="0"/>
        </w:rPr>
        <w:t xml:space="preserve">Zhou, C.L. (2009), Literature-based multidiscipline knowledge discovery: A new application of bibliometrics.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165-172.</w:t>
      </w:r>
    </w:p>
    <w:p w:rsidR="00CF4560" w:rsidRPr="001A3D2B" w:rsidRDefault="00CF4560" w:rsidP="00CF4560">
      <w:pPr>
        <w:pStyle w:val="a0"/>
        <w:rPr>
          <w:kern w:val="0"/>
        </w:rPr>
      </w:pPr>
      <w:r w:rsidRPr="001A3D2B">
        <w:rPr>
          <w:kern w:val="0"/>
        </w:rPr>
        <w:t>Abstract: We present a new application of bibliometrics, Literature-based Multidiscipline Knowledge Discovery (LMKD), which is quite different from the well known literature-based knowledge discovery method given by Don R. Swanson. The goal of LMKD is to discover new, potentially meaningful academic visions</w:t>
      </w:r>
      <w:r w:rsidR="00F81221">
        <w:rPr>
          <w:kern w:val="0"/>
        </w:rPr>
        <w:t xml:space="preserve"> and </w:t>
      </w:r>
      <w:r w:rsidRPr="001A3D2B">
        <w:rPr>
          <w:kern w:val="0"/>
        </w:rPr>
        <w:t>relations among given disciplines, by mining bibliographic databases (here we take the case of CSSCI). By using LMKD method, we can try to find the similarities</w:t>
      </w:r>
      <w:r w:rsidR="00F81221">
        <w:rPr>
          <w:kern w:val="0"/>
        </w:rPr>
        <w:t xml:space="preserve"> and </w:t>
      </w:r>
      <w:r w:rsidRPr="001A3D2B">
        <w:rPr>
          <w:kern w:val="0"/>
        </w:rPr>
        <w:t>differences between two research regions</w:t>
      </w:r>
      <w:r w:rsidR="00F81221">
        <w:rPr>
          <w:kern w:val="0"/>
        </w:rPr>
        <w:t xml:space="preserve"> and </w:t>
      </w:r>
      <w:r w:rsidRPr="001A3D2B">
        <w:rPr>
          <w:kern w:val="0"/>
        </w:rPr>
        <w:t>the nature of the disciplines</w:t>
      </w:r>
      <w:r w:rsidR="000352E7">
        <w:rPr>
          <w:kern w:val="0"/>
        </w:rPr>
        <w:t>’</w:t>
      </w:r>
      <w:r w:rsidRPr="001A3D2B">
        <w:rPr>
          <w:kern w:val="0"/>
        </w:rPr>
        <w:t xml:space="preserve"> relationship will be known clearly. As a discovery method, LMKD can be used in a more widely research area than other literature-based discovery methods.</w:t>
      </w:r>
    </w:p>
    <w:p w:rsidR="00CF4560" w:rsidRPr="001A3D2B" w:rsidRDefault="00CF4560" w:rsidP="00CF4560">
      <w:pPr>
        <w:pStyle w:val="a0"/>
        <w:rPr>
          <w:kern w:val="0"/>
        </w:rPr>
      </w:pPr>
      <w:r w:rsidRPr="001A3D2B">
        <w:rPr>
          <w:kern w:val="0"/>
        </w:rPr>
        <w:t>Keywords: Bibliometrics, Connections, Fish-Oil, Generating Hypotheses, Implicit, Lrd, Magnesium, Medical Literatures, Migraine, Potential Treatments, Raynauds</w:t>
      </w:r>
    </w:p>
    <w:p w:rsidR="00CF4560" w:rsidRPr="001A3D2B" w:rsidRDefault="00CF4560" w:rsidP="00CF4560">
      <w:pPr>
        <w:pStyle w:val="a0"/>
        <w:rPr>
          <w:kern w:val="0"/>
        </w:rPr>
      </w:pPr>
      <w:r w:rsidRPr="001A3D2B">
        <w:rPr>
          <w:kern w:val="0"/>
        </w:rPr>
        <w:t>? Zhang, L., Janssens, F., Liang, L.M.</w:t>
      </w:r>
      <w:r w:rsidR="00F81221">
        <w:rPr>
          <w:kern w:val="0"/>
        </w:rPr>
        <w:t xml:space="preserve"> and </w:t>
      </w:r>
      <w:r w:rsidRPr="001A3D2B">
        <w:rPr>
          <w:kern w:val="0"/>
        </w:rPr>
        <w:t xml:space="preserve">Glanzel, W. (2009), Hybrid clustering analysis for mapping large scientific domains. </w:t>
      </w:r>
      <w:r w:rsidRPr="001A3D2B">
        <w:rPr>
          <w:i/>
          <w:iCs/>
          <w:kern w:val="0"/>
        </w:rPr>
        <w:t>Proceedings of ISSI 2009</w:t>
      </w:r>
      <w:r>
        <w:rPr>
          <w:rFonts w:hint="eastAsia"/>
          <w:i/>
          <w:iCs/>
          <w:kern w:val="0"/>
        </w:rPr>
        <w:t>:</w:t>
      </w:r>
      <w:r w:rsidRPr="001A3D2B">
        <w:rPr>
          <w:i/>
          <w:iCs/>
          <w:kern w:val="0"/>
        </w:rPr>
        <w:t xml:space="preserve"> 12th </w:t>
      </w:r>
      <w:r w:rsidRPr="001A3D2B">
        <w:rPr>
          <w:i/>
          <w:iCs/>
          <w:kern w:val="0"/>
        </w:rPr>
        <w:lastRenderedPageBreak/>
        <w:t>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178-188.</w:t>
      </w:r>
    </w:p>
    <w:p w:rsidR="00CF4560" w:rsidRPr="001A3D2B" w:rsidRDefault="00CF4560" w:rsidP="00CF4560">
      <w:pPr>
        <w:pStyle w:val="a0"/>
        <w:rPr>
          <w:kern w:val="0"/>
        </w:rPr>
      </w:pPr>
      <w:r w:rsidRPr="001A3D2B">
        <w:rPr>
          <w:kern w:val="0"/>
        </w:rPr>
        <w:t>Abstract: A hybrid clustering method combining cross-citation</w:t>
      </w:r>
      <w:r w:rsidR="00F81221">
        <w:rPr>
          <w:kern w:val="0"/>
        </w:rPr>
        <w:t xml:space="preserve"> and </w:t>
      </w:r>
      <w:r w:rsidRPr="001A3D2B">
        <w:rPr>
          <w:kern w:val="0"/>
        </w:rPr>
        <w:t>textual analysis is applied to cluster more than 8,000 journals covered in the Web of Science (2002-2006). Unlike in a previous study where we assumed 22 clusters for comparison with the 22 fields according to the classification scheme of Thomson</w:t>
      </w:r>
      <w:r w:rsidR="000352E7">
        <w:rPr>
          <w:kern w:val="0"/>
        </w:rPr>
        <w:t>’</w:t>
      </w:r>
      <w:r w:rsidRPr="001A3D2B">
        <w:rPr>
          <w:kern w:val="0"/>
        </w:rPr>
        <w:t>s Essential Science Indicators, this study uses a 7 clusters solution, which is one of the candidate results obtained from the clustering process. Based on an agglomerative hierarchical clustering algorithm, all the journals under study have been clustered into 7 large scientific domains. The evaluation of the obtained clustering provides consistent results as considered from the cognitive perspective</w:t>
      </w:r>
      <w:r w:rsidR="00F81221">
        <w:rPr>
          <w:kern w:val="0"/>
        </w:rPr>
        <w:t xml:space="preserve"> and </w:t>
      </w:r>
      <w:r w:rsidRPr="001A3D2B">
        <w:rPr>
          <w:kern w:val="0"/>
        </w:rPr>
        <w:t>the most characteristic terms, which are obtained from the textual component of the classification process, giving a clear description of each individual cluster. The cross-citation network visualises the citation relations among clusters</w:t>
      </w:r>
      <w:r w:rsidR="00F81221">
        <w:rPr>
          <w:kern w:val="0"/>
        </w:rPr>
        <w:t xml:space="preserve"> and </w:t>
      </w:r>
      <w:r w:rsidRPr="001A3D2B">
        <w:rPr>
          <w:kern w:val="0"/>
        </w:rPr>
        <w:t>the asymmetric links reflect the direction of information flow among journals</w:t>
      </w:r>
      <w:r w:rsidR="00F81221">
        <w:rPr>
          <w:kern w:val="0"/>
        </w:rPr>
        <w:t xml:space="preserve"> and </w:t>
      </w:r>
      <w:r w:rsidRPr="001A3D2B">
        <w:rPr>
          <w:kern w:val="0"/>
        </w:rPr>
        <w:t>clusters. Several indicators including PageRank, strong links</w:t>
      </w:r>
      <w:r w:rsidR="00F81221">
        <w:rPr>
          <w:kern w:val="0"/>
        </w:rPr>
        <w:t xml:space="preserve"> and </w:t>
      </w:r>
      <w:r w:rsidRPr="001A3D2B">
        <w:rPr>
          <w:kern w:val="0"/>
        </w:rPr>
        <w:t>entropy are used to identify</w:t>
      </w:r>
      <w:r w:rsidR="00F81221">
        <w:rPr>
          <w:kern w:val="0"/>
        </w:rPr>
        <w:t xml:space="preserve"> and </w:t>
      </w:r>
      <w:r w:rsidRPr="001A3D2B">
        <w:rPr>
          <w:kern w:val="0"/>
        </w:rPr>
        <w:t>analyse representative journals of each cluster.</w:t>
      </w:r>
    </w:p>
    <w:p w:rsidR="00CF4560" w:rsidRPr="001A3D2B" w:rsidRDefault="00CF4560" w:rsidP="00CF4560">
      <w:pPr>
        <w:pStyle w:val="a0"/>
        <w:rPr>
          <w:kern w:val="0"/>
        </w:rPr>
      </w:pPr>
      <w:r w:rsidRPr="001A3D2B">
        <w:rPr>
          <w:kern w:val="0"/>
        </w:rPr>
        <w:t>Keywords: Cocitation, Combining Full-Text, Indicators, Information-Science, Journal-Citation-Reports, Maps, Networks</w:t>
      </w:r>
    </w:p>
    <w:p w:rsidR="00CF4560" w:rsidRPr="001A3D2B" w:rsidRDefault="00CF4560" w:rsidP="00CF4560">
      <w:pPr>
        <w:pStyle w:val="a0"/>
        <w:rPr>
          <w:kern w:val="0"/>
        </w:rPr>
      </w:pPr>
      <w:r w:rsidRPr="001A3D2B">
        <w:rPr>
          <w:kern w:val="0"/>
        </w:rPr>
        <w:t>? Tseng, Y.H., Lee, Y.Y.</w:t>
      </w:r>
      <w:r w:rsidR="00F81221">
        <w:rPr>
          <w:kern w:val="0"/>
        </w:rPr>
        <w:t xml:space="preserve"> and </w:t>
      </w:r>
      <w:r w:rsidRPr="001A3D2B">
        <w:rPr>
          <w:kern w:val="0"/>
        </w:rPr>
        <w:t>Chan, T.Y. (2009), Term mining for relation visualization</w:t>
      </w:r>
      <w:r w:rsidR="00F81221">
        <w:rPr>
          <w:kern w:val="0"/>
        </w:rPr>
        <w:t xml:space="preserve"> and </w:t>
      </w:r>
      <w:r w:rsidRPr="001A3D2B">
        <w:rPr>
          <w:kern w:val="0"/>
        </w:rPr>
        <w:t xml:space="preserve">exploration: The case of agricultural news reports in Taiwan.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189-205.</w:t>
      </w:r>
    </w:p>
    <w:p w:rsidR="00CF4560" w:rsidRPr="001A3D2B" w:rsidRDefault="00CF4560" w:rsidP="00CF4560">
      <w:pPr>
        <w:pStyle w:val="a0"/>
        <w:rPr>
          <w:kern w:val="0"/>
        </w:rPr>
      </w:pPr>
      <w:r w:rsidRPr="001A3D2B">
        <w:rPr>
          <w:kern w:val="0"/>
        </w:rPr>
        <w:t>Abstract: An efficient term mining method to build a general term network is presented for term relation visualization</w:t>
      </w:r>
      <w:r w:rsidR="00F81221">
        <w:rPr>
          <w:kern w:val="0"/>
        </w:rPr>
        <w:t xml:space="preserve"> and </w:t>
      </w:r>
      <w:r w:rsidRPr="001A3D2B">
        <w:rPr>
          <w:kern w:val="0"/>
        </w:rPr>
        <w:t>exploration. Terms from each document in the corpus are first identified. They are subject to an analysis for their association weights, which are accumulated over all the documents. The resulting term association matrix is used to build a general term network. A set of terms having similar attributes can then be given to extract the desired sub-network from the general term network for visualization. This analysis scenario based on the collective terms of the same type enables evidence-based relation exploration. Our application examples show that term relations, be it causality, coupling, or others, can be effectively revealed</w:t>
      </w:r>
      <w:r w:rsidR="00F81221">
        <w:rPr>
          <w:kern w:val="0"/>
        </w:rPr>
        <w:t xml:space="preserve"> and </w:t>
      </w:r>
      <w:r w:rsidRPr="001A3D2B">
        <w:rPr>
          <w:kern w:val="0"/>
        </w:rPr>
        <w:t>verified by the underlying corpus. This work contributes by presenting an efficient</w:t>
      </w:r>
      <w:r w:rsidR="00F81221">
        <w:rPr>
          <w:kern w:val="0"/>
        </w:rPr>
        <w:t xml:space="preserve"> and </w:t>
      </w:r>
      <w:r w:rsidRPr="001A3D2B">
        <w:rPr>
          <w:kern w:val="0"/>
        </w:rPr>
        <w:t>effective term-relationship mining method</w:t>
      </w:r>
      <w:r w:rsidR="00F81221">
        <w:rPr>
          <w:kern w:val="0"/>
        </w:rPr>
        <w:t xml:space="preserve"> and </w:t>
      </w:r>
      <w:r w:rsidRPr="001A3D2B">
        <w:rPr>
          <w:kern w:val="0"/>
        </w:rPr>
        <w:t>extending the applicability of term networks to a broader range of informetric tasks.</w:t>
      </w:r>
    </w:p>
    <w:p w:rsidR="00CF4560" w:rsidRPr="001A3D2B" w:rsidRDefault="00CF4560" w:rsidP="00CF4560">
      <w:pPr>
        <w:pStyle w:val="a0"/>
        <w:rPr>
          <w:kern w:val="0"/>
        </w:rPr>
      </w:pPr>
      <w:r w:rsidRPr="001A3D2B">
        <w:rPr>
          <w:kern w:val="0"/>
        </w:rPr>
        <w:t>Keywords: Bibliometrics, Emerging Technologies, Tracking</w:t>
      </w:r>
    </w:p>
    <w:p w:rsidR="00CF4560" w:rsidRPr="001A3D2B" w:rsidRDefault="00CF4560" w:rsidP="00CF4560">
      <w:pPr>
        <w:pStyle w:val="a0"/>
        <w:rPr>
          <w:kern w:val="0"/>
        </w:rPr>
      </w:pPr>
      <w:r w:rsidRPr="001A3D2B">
        <w:rPr>
          <w:kern w:val="0"/>
        </w:rPr>
        <w:t xml:space="preserve">? Sivertsen, G. (2009), A bibliometric funding model based on a national research information system.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264</w:t>
      </w:r>
    </w:p>
    <w:p w:rsidR="00CF4560" w:rsidRPr="001A3D2B" w:rsidRDefault="00CF4560" w:rsidP="00CF4560">
      <w:pPr>
        <w:pStyle w:val="a0"/>
        <w:rPr>
          <w:kern w:val="0"/>
        </w:rPr>
      </w:pPr>
      <w:r w:rsidRPr="001A3D2B">
        <w:rPr>
          <w:kern w:val="0"/>
        </w:rPr>
        <w:lastRenderedPageBreak/>
        <w:t xml:space="preserve">? White, H.D. (2009), Some new tests of relevance theory in information science.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275-285.</w:t>
      </w:r>
    </w:p>
    <w:p w:rsidR="00CF4560" w:rsidRPr="001A3D2B" w:rsidRDefault="00CF4560" w:rsidP="00CF4560">
      <w:pPr>
        <w:pStyle w:val="a0"/>
        <w:rPr>
          <w:kern w:val="0"/>
        </w:rPr>
      </w:pPr>
      <w:r w:rsidRPr="001A3D2B">
        <w:rPr>
          <w:kern w:val="0"/>
        </w:rPr>
        <w:t>Abstract: A central idea in D. Sperber &amp; D. Wilson</w:t>
      </w:r>
      <w:r w:rsidR="000352E7">
        <w:rPr>
          <w:kern w:val="0"/>
        </w:rPr>
        <w:t>’</w:t>
      </w:r>
      <w:r w:rsidRPr="001A3D2B">
        <w:rPr>
          <w:kern w:val="0"/>
        </w:rPr>
        <w:t>s relevance theory is that an individual</w:t>
      </w:r>
      <w:r w:rsidR="000352E7">
        <w:rPr>
          <w:kern w:val="0"/>
        </w:rPr>
        <w:t>’</w:t>
      </w:r>
      <w:r w:rsidRPr="001A3D2B">
        <w:rPr>
          <w:kern w:val="0"/>
        </w:rPr>
        <w:t>s sense of the relevance of an input in a context varies directly with its cognitive effects</w:t>
      </w:r>
      <w:r w:rsidR="00F81221">
        <w:rPr>
          <w:kern w:val="0"/>
        </w:rPr>
        <w:t xml:space="preserve"> and </w:t>
      </w:r>
      <w:r w:rsidRPr="001A3D2B">
        <w:rPr>
          <w:kern w:val="0"/>
        </w:rPr>
        <w:t>inversely with its ease of processing in that context. H. D. White has argued that this idea has an objective analogue in information science-the tf*idf (term frequency, inverse document frequency) formula used to weight indexing terms in document retrieval. Here, tf*idf is used to weight terms from five bibliometric distributions in the context of the seed terms that generated them. The distributions include the descriptors co-assigned with a descriptor, the descriptors</w:t>
      </w:r>
      <w:r w:rsidR="00F81221">
        <w:rPr>
          <w:kern w:val="0"/>
        </w:rPr>
        <w:t xml:space="preserve"> and </w:t>
      </w:r>
      <w:r w:rsidRPr="001A3D2B">
        <w:rPr>
          <w:kern w:val="0"/>
        </w:rPr>
        <w:t>identifiers assigned to an author, two examples of cited authors</w:t>
      </w:r>
      <w:r w:rsidR="00F81221">
        <w:rPr>
          <w:kern w:val="0"/>
        </w:rPr>
        <w:t xml:space="preserve"> and </w:t>
      </w:r>
      <w:r w:rsidRPr="001A3D2B">
        <w:rPr>
          <w:kern w:val="0"/>
        </w:rPr>
        <w:t>their co-citees,</w:t>
      </w:r>
      <w:r w:rsidR="00F81221">
        <w:rPr>
          <w:kern w:val="0"/>
        </w:rPr>
        <w:t xml:space="preserve"> and </w:t>
      </w:r>
      <w:r w:rsidRPr="001A3D2B">
        <w:rPr>
          <w:kern w:val="0"/>
        </w:rPr>
        <w:t>the books</w:t>
      </w:r>
      <w:r w:rsidR="00F81221">
        <w:rPr>
          <w:kern w:val="0"/>
        </w:rPr>
        <w:t xml:space="preserve"> and </w:t>
      </w:r>
      <w:r w:rsidRPr="001A3D2B">
        <w:rPr>
          <w:kern w:val="0"/>
        </w:rPr>
        <w:t>journals cited with a famous book, The Structure of Scientific Revolutions. In each case, the highest-ranked terms are contrasted with lowest-ranked terms. Clear qualitative differences between the sets of terms are intuitively well-explained by relevance theory.</w:t>
      </w:r>
    </w:p>
    <w:p w:rsidR="00CF4560" w:rsidRPr="001A3D2B" w:rsidRDefault="00CF4560" w:rsidP="00CF4560">
      <w:pPr>
        <w:pStyle w:val="a0"/>
        <w:rPr>
          <w:kern w:val="0"/>
        </w:rPr>
      </w:pPr>
      <w:r w:rsidRPr="001A3D2B">
        <w:rPr>
          <w:kern w:val="0"/>
        </w:rPr>
        <w:t>Keywords: Combining Bibliometrics, Retrieval</w:t>
      </w:r>
    </w:p>
    <w:p w:rsidR="00CF4560" w:rsidRPr="001A3D2B" w:rsidRDefault="00CF4560" w:rsidP="00CF4560">
      <w:pPr>
        <w:pStyle w:val="a0"/>
        <w:rPr>
          <w:kern w:val="0"/>
        </w:rPr>
      </w:pPr>
      <w:r w:rsidRPr="001A3D2B">
        <w:rPr>
          <w:kern w:val="0"/>
        </w:rPr>
        <w:t>? Sanz-Casado, E., Iribarren-Maestro, I., Garcia-Zorita, C., Efrain-Garcia, P.</w:t>
      </w:r>
      <w:r w:rsidR="00F81221">
        <w:rPr>
          <w:kern w:val="0"/>
        </w:rPr>
        <w:t xml:space="preserve"> and </w:t>
      </w:r>
      <w:r w:rsidRPr="001A3D2B">
        <w:rPr>
          <w:kern w:val="0"/>
        </w:rPr>
        <w:t>Sanchez-Gil, S. (2009), Are productivity, impact</w:t>
      </w:r>
      <w:r w:rsidR="00F81221">
        <w:rPr>
          <w:kern w:val="0"/>
        </w:rPr>
        <w:t xml:space="preserve"> and </w:t>
      </w:r>
      <w:r w:rsidRPr="001A3D2B">
        <w:rPr>
          <w:kern w:val="0"/>
        </w:rPr>
        <w:t xml:space="preserve">visibility indicators appropriate for measuring the quality of research conducted in universities?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286-290.</w:t>
      </w:r>
    </w:p>
    <w:p w:rsidR="00CF4560" w:rsidRPr="001A3D2B" w:rsidRDefault="00CF4560" w:rsidP="00CF4560">
      <w:pPr>
        <w:pStyle w:val="a0"/>
        <w:rPr>
          <w:kern w:val="0"/>
        </w:rPr>
      </w:pPr>
      <w:r w:rsidRPr="001A3D2B">
        <w:rPr>
          <w:kern w:val="0"/>
        </w:rPr>
        <w:t>Abstract: The outcome of scientific activity conducted by universities materializes in a number of ways, including publications, the research projects, the attainment of scientific repute</w:t>
      </w:r>
      <w:r w:rsidR="00F81221">
        <w:rPr>
          <w:kern w:val="0"/>
        </w:rPr>
        <w:t xml:space="preserve"> and </w:t>
      </w:r>
      <w:r w:rsidRPr="001A3D2B">
        <w:rPr>
          <w:kern w:val="0"/>
        </w:rPr>
        <w:t>the PhD theses awarded. This communication contains the preliminary results of a research project designed to evaluate the quality of Spanish public universities</w:t>
      </w:r>
      <w:r w:rsidR="000352E7">
        <w:rPr>
          <w:kern w:val="0"/>
        </w:rPr>
        <w:t>’</w:t>
      </w:r>
      <w:r w:rsidRPr="001A3D2B">
        <w:rPr>
          <w:kern w:val="0"/>
        </w:rPr>
        <w:t xml:space="preserve"> scientific activity on the grounds of a wide range of indicators that take into consideration most of the aspects involved in this activity. The objective sought here was to determine the relationship between bibliometric indicators for productivity, impact</w:t>
      </w:r>
      <w:r w:rsidR="00F81221">
        <w:rPr>
          <w:kern w:val="0"/>
        </w:rPr>
        <w:t xml:space="preserve"> and </w:t>
      </w:r>
      <w:r w:rsidRPr="001A3D2B">
        <w:rPr>
          <w:kern w:val="0"/>
        </w:rPr>
        <w:t>visibility</w:t>
      </w:r>
      <w:r w:rsidR="00F81221">
        <w:rPr>
          <w:kern w:val="0"/>
        </w:rPr>
        <w:t xml:space="preserve"> and </w:t>
      </w:r>
      <w:r w:rsidRPr="001A3D2B">
        <w:rPr>
          <w:kern w:val="0"/>
        </w:rPr>
        <w:t>indicators of scientific repute, external funding</w:t>
      </w:r>
      <w:r w:rsidR="00F81221">
        <w:rPr>
          <w:kern w:val="0"/>
        </w:rPr>
        <w:t xml:space="preserve"> and </w:t>
      </w:r>
      <w:r w:rsidRPr="001A3D2B">
        <w:rPr>
          <w:kern w:val="0"/>
        </w:rPr>
        <w:t>researcher training capacity in Spanish public universities. The present study was based on a review of Spanish public universities</w:t>
      </w:r>
      <w:r w:rsidR="000352E7">
        <w:rPr>
          <w:kern w:val="0"/>
        </w:rPr>
        <w:t>’</w:t>
      </w:r>
      <w:r w:rsidRPr="001A3D2B">
        <w:rPr>
          <w:kern w:val="0"/>
        </w:rPr>
        <w:t xml:space="preserve"> scientific activity in 2002-2006. The relationships between indicators were computed in terms of the determination coefficient (R-2), which measures the percentage of data variability that can be explained by such associations. The results revealed that bibliometric indicators are only scantly related to other measures of scientific activity relevant to university research.</w:t>
      </w:r>
    </w:p>
    <w:p w:rsidR="00CF4560" w:rsidRPr="001A3D2B" w:rsidRDefault="00CF4560" w:rsidP="00CF4560">
      <w:pPr>
        <w:pStyle w:val="a0"/>
        <w:rPr>
          <w:kern w:val="0"/>
        </w:rPr>
      </w:pPr>
      <w:r w:rsidRPr="001A3D2B">
        <w:rPr>
          <w:kern w:val="0"/>
        </w:rPr>
        <w:t>Keywords: Bibliometric Methods</w:t>
      </w:r>
    </w:p>
    <w:p w:rsidR="00CF4560" w:rsidRPr="001A3D2B" w:rsidRDefault="00CF4560" w:rsidP="00CF4560">
      <w:pPr>
        <w:pStyle w:val="a0"/>
        <w:rPr>
          <w:kern w:val="0"/>
        </w:rPr>
      </w:pPr>
      <w:r w:rsidRPr="001A3D2B">
        <w:rPr>
          <w:kern w:val="0"/>
        </w:rPr>
        <w:t>? Ruiz, C.F., Bonilla, R., Chavarro, D.A., Orozco, L.A., Zarama, R.</w:t>
      </w:r>
      <w:r w:rsidR="00F81221">
        <w:rPr>
          <w:kern w:val="0"/>
        </w:rPr>
        <w:t xml:space="preserve"> and </w:t>
      </w:r>
      <w:r w:rsidRPr="001A3D2B">
        <w:rPr>
          <w:kern w:val="0"/>
        </w:rPr>
        <w:t xml:space="preserve">Polanco, X. </w:t>
      </w:r>
      <w:r w:rsidRPr="001A3D2B">
        <w:rPr>
          <w:kern w:val="0"/>
        </w:rPr>
        <w:lastRenderedPageBreak/>
        <w:t>(2009), Efficiency measurement of research groups using data envelopment analysis</w:t>
      </w:r>
      <w:r w:rsidR="00F81221">
        <w:rPr>
          <w:kern w:val="0"/>
        </w:rPr>
        <w:t xml:space="preserve"> and </w:t>
      </w:r>
      <w:r w:rsidRPr="001A3D2B">
        <w:rPr>
          <w:kern w:val="0"/>
        </w:rPr>
        <w:t xml:space="preserve">bayesian networks.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296-300.</w:t>
      </w:r>
    </w:p>
    <w:p w:rsidR="00CF4560" w:rsidRPr="001A3D2B" w:rsidRDefault="00CF4560" w:rsidP="00CF4560">
      <w:pPr>
        <w:pStyle w:val="a0"/>
        <w:rPr>
          <w:kern w:val="0"/>
        </w:rPr>
      </w:pPr>
      <w:r w:rsidRPr="001A3D2B">
        <w:rPr>
          <w:kern w:val="0"/>
        </w:rPr>
        <w:t>Abstract: Applications of non-parametric frontier production methods such as Data Envelopment Analysis (DEA) have gained popularity</w:t>
      </w:r>
      <w:r w:rsidR="00F81221">
        <w:rPr>
          <w:kern w:val="0"/>
        </w:rPr>
        <w:t xml:space="preserve"> and </w:t>
      </w:r>
      <w:r w:rsidRPr="001A3D2B">
        <w:rPr>
          <w:kern w:val="0"/>
        </w:rPr>
        <w:t>recognition in scientometrics. DEA seems to be a useful method to assess efficiency of research units in different fields of knowledge or disciplines. However, the relations between DEA results</w:t>
      </w:r>
      <w:r w:rsidR="00F81221">
        <w:rPr>
          <w:kern w:val="0"/>
        </w:rPr>
        <w:t xml:space="preserve"> and </w:t>
      </w:r>
      <w:r w:rsidRPr="001A3D2B">
        <w:rPr>
          <w:kern w:val="0"/>
        </w:rPr>
        <w:t>the underlying structure of scientific production of each discipline have not been fully explored. Although there are works that mention the importance to perform studies by scientific disciplines, they do not show how to take into account these differences in the analysis. These studies tend to homogenize the behavior of different communities of practice. In this paper we propose a framework to perform inferences about DEA efficiencies, recognizing the underlying structure of each discipline by means of Bayesian Network (BN) analysis. Two different DEA extensions are applied to calculate the efficiency of research groups, one called CCRO</w:t>
      </w:r>
      <w:r w:rsidR="00F81221">
        <w:rPr>
          <w:kern w:val="0"/>
        </w:rPr>
        <w:t xml:space="preserve"> and </w:t>
      </w:r>
      <w:r w:rsidRPr="001A3D2B">
        <w:rPr>
          <w:kern w:val="0"/>
        </w:rPr>
        <w:t>the other Cross Efficiency (CE). A BN model is proposed as a method to analyze the results obtained from DEA. BNs allow us to recognize peculiarities of each discipline in terms of scientific production</w:t>
      </w:r>
      <w:r w:rsidR="00F81221">
        <w:rPr>
          <w:kern w:val="0"/>
        </w:rPr>
        <w:t xml:space="preserve"> and </w:t>
      </w:r>
      <w:r w:rsidRPr="001A3D2B">
        <w:rPr>
          <w:kern w:val="0"/>
        </w:rPr>
        <w:t>the efficiency frontier. Moreover, BNs bring insight about the relationships between production variables</w:t>
      </w:r>
      <w:r w:rsidR="00F81221">
        <w:rPr>
          <w:kern w:val="0"/>
        </w:rPr>
        <w:t xml:space="preserve"> and </w:t>
      </w:r>
      <w:r w:rsidRPr="001A3D2B">
        <w:rPr>
          <w:kern w:val="0"/>
        </w:rPr>
        <w:t>their impact in each discipline.</w:t>
      </w:r>
    </w:p>
    <w:p w:rsidR="00CF4560" w:rsidRPr="001A3D2B" w:rsidRDefault="00CF4560" w:rsidP="00CF4560">
      <w:pPr>
        <w:pStyle w:val="a0"/>
        <w:rPr>
          <w:kern w:val="0"/>
        </w:rPr>
      </w:pPr>
      <w:r w:rsidRPr="001A3D2B">
        <w:rPr>
          <w:kern w:val="0"/>
        </w:rPr>
        <w:t>Keywords: Impact, Indicators, Performance, Research-And-Development</w:t>
      </w:r>
    </w:p>
    <w:p w:rsidR="00CF4560" w:rsidRPr="001A3D2B" w:rsidRDefault="00CF4560" w:rsidP="00CF4560">
      <w:pPr>
        <w:pStyle w:val="a0"/>
        <w:rPr>
          <w:kern w:val="0"/>
        </w:rPr>
      </w:pPr>
      <w:r w:rsidRPr="001A3D2B">
        <w:rPr>
          <w:kern w:val="0"/>
        </w:rPr>
        <w:t>? Campbell, D., Picard-Aitken, M., Cote, G., Macaluso, B., Robitaille, J.P., Bastien, N., Laframboise, M.C., Lebeau, L.M., Mirabel, P., Lariviere, V.</w:t>
      </w:r>
      <w:r w:rsidR="00F81221">
        <w:rPr>
          <w:kern w:val="0"/>
        </w:rPr>
        <w:t xml:space="preserve"> and </w:t>
      </w:r>
      <w:r w:rsidRPr="001A3D2B">
        <w:rPr>
          <w:kern w:val="0"/>
        </w:rPr>
        <w:t xml:space="preserve">Archambault, E. (2009), Bibliometrics as a performance measurement tool for research evaluation: The case of research funded by the National Cancer Institute of Canada.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301-312.</w:t>
      </w:r>
    </w:p>
    <w:p w:rsidR="00CF4560" w:rsidRPr="001A3D2B" w:rsidRDefault="00CF4560" w:rsidP="00CF4560">
      <w:pPr>
        <w:pStyle w:val="a0"/>
        <w:rPr>
          <w:kern w:val="0"/>
        </w:rPr>
      </w:pPr>
      <w:r w:rsidRPr="001A3D2B">
        <w:rPr>
          <w:kern w:val="0"/>
        </w:rPr>
        <w:t>Abstract: As bibliometric indicators are objective, reliable</w:t>
      </w:r>
      <w:r w:rsidR="00F81221">
        <w:rPr>
          <w:kern w:val="0"/>
        </w:rPr>
        <w:t xml:space="preserve"> and </w:t>
      </w:r>
      <w:r w:rsidRPr="001A3D2B">
        <w:rPr>
          <w:kern w:val="0"/>
        </w:rPr>
        <w:t xml:space="preserve">cost-effective measures of peer-reviewed research outputs, they are expected to play an increasingly important role in research assessment as well as in the management of research, including supporting the selection of projects eligible to receive financial support. This paper presents the results of a project where bibliometrics was used as a performance measurement tool to supplement the evaluation of the National Cancer Institute of Canada (NCIC) funding program. The following questions were addressed: (1) Has the NCIC peer-review process been successful in selecting outstanding Canadian researchers in cancer research? (2) Has NCIC funding contributed to increasing the scientific performance of the papers authored by the researchers it supported? (3) How do NCIC-supported researchers compare to their US counterparts that received support from the US National Cancer Institute (NCI)? </w:t>
      </w:r>
      <w:r w:rsidRPr="001A3D2B">
        <w:rPr>
          <w:kern w:val="0"/>
        </w:rPr>
        <w:lastRenderedPageBreak/>
        <w:t>Citation analysis data provide evidence that the NCIC supported scientists who stand out among Canadian cancer researchers</w:t>
      </w:r>
      <w:r w:rsidR="00F81221">
        <w:rPr>
          <w:kern w:val="0"/>
        </w:rPr>
        <w:t xml:space="preserve"> and </w:t>
      </w:r>
      <w:r w:rsidRPr="001A3D2B">
        <w:rPr>
          <w:kern w:val="0"/>
        </w:rPr>
        <w:t>that NCIC funding had a positive effect on the scientific impact of papers authored by the researchers it supported. Results also show that, although NCIC researchers have less scientific impact than NCI researchers, they are more cited than the US</w:t>
      </w:r>
      <w:r w:rsidR="00F81221">
        <w:rPr>
          <w:kern w:val="0"/>
        </w:rPr>
        <w:t xml:space="preserve"> and </w:t>
      </w:r>
      <w:r w:rsidRPr="001A3D2B">
        <w:rPr>
          <w:kern w:val="0"/>
        </w:rPr>
        <w:t>Canadian average.</w:t>
      </w:r>
    </w:p>
    <w:p w:rsidR="00CF4560" w:rsidRPr="001A3D2B" w:rsidRDefault="00CF4560" w:rsidP="00CF4560">
      <w:pPr>
        <w:pStyle w:val="a0"/>
        <w:rPr>
          <w:kern w:val="0"/>
        </w:rPr>
      </w:pPr>
      <w:r w:rsidRPr="001A3D2B">
        <w:rPr>
          <w:kern w:val="0"/>
        </w:rPr>
        <w:t>Keywords: Bibliometrics, Citation, Indicators, Journals</w:t>
      </w:r>
    </w:p>
    <w:p w:rsidR="00CF4560" w:rsidRPr="001A3D2B" w:rsidRDefault="00CF4560" w:rsidP="00CF4560">
      <w:pPr>
        <w:pStyle w:val="a0"/>
        <w:rPr>
          <w:kern w:val="0"/>
        </w:rPr>
      </w:pPr>
      <w:r w:rsidRPr="001A3D2B">
        <w:rPr>
          <w:kern w:val="0"/>
        </w:rPr>
        <w:t>? Manganote, E.</w:t>
      </w:r>
      <w:r w:rsidR="00F81221">
        <w:rPr>
          <w:kern w:val="0"/>
        </w:rPr>
        <w:t xml:space="preserve"> and </w:t>
      </w:r>
      <w:r w:rsidRPr="001A3D2B">
        <w:rPr>
          <w:kern w:val="0"/>
        </w:rPr>
        <w:t>Schulz, P. (2009), English versus native languages in humanities</w:t>
      </w:r>
      <w:r w:rsidR="00F81221">
        <w:rPr>
          <w:kern w:val="0"/>
        </w:rPr>
        <w:t xml:space="preserve"> and </w:t>
      </w:r>
      <w:r w:rsidRPr="001A3D2B">
        <w:rPr>
          <w:kern w:val="0"/>
        </w:rPr>
        <w:t>social sciences publications: Time evolution, choices</w:t>
      </w:r>
      <w:r w:rsidR="00F81221">
        <w:rPr>
          <w:kern w:val="0"/>
        </w:rPr>
        <w:t xml:space="preserve"> and </w:t>
      </w:r>
      <w:r w:rsidRPr="001A3D2B">
        <w:rPr>
          <w:kern w:val="0"/>
        </w:rPr>
        <w:t xml:space="preserve">geopolitical issues.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325-329.</w:t>
      </w:r>
    </w:p>
    <w:p w:rsidR="00CF4560" w:rsidRPr="001A3D2B" w:rsidRDefault="00CF4560" w:rsidP="00CF4560">
      <w:pPr>
        <w:pStyle w:val="a0"/>
        <w:rPr>
          <w:kern w:val="0"/>
        </w:rPr>
      </w:pPr>
      <w:r w:rsidRPr="001A3D2B">
        <w:rPr>
          <w:kern w:val="0"/>
        </w:rPr>
        <w:t>Abstract: In this paper we discuss the language option used in indexed publication in non anglophilic countries, according to the knowledge field. Initially, as expected from various preceding studies, we see the overwhelming use of English in most fields. The scenario becomes more involved in social sciences</w:t>
      </w:r>
      <w:r w:rsidR="00F81221">
        <w:rPr>
          <w:kern w:val="0"/>
        </w:rPr>
        <w:t xml:space="preserve"> and </w:t>
      </w:r>
      <w:r w:rsidRPr="001A3D2B">
        <w:rPr>
          <w:kern w:val="0"/>
        </w:rPr>
        <w:t>humanities, particularly when other publications items than articles are considered. Here we focus on book reviews published in journals indexed in the Web of Science from ISI Thomson-Reuters. Furthermore, within this scenario different countries show different time evolution of language choice in the elected publication class (book reviews). These time evolutions, sometimes favoring English against native languages, seem to be influenced by a variety of factors.</w:t>
      </w:r>
    </w:p>
    <w:p w:rsidR="00CF4560" w:rsidRPr="001A3D2B" w:rsidRDefault="00CF4560" w:rsidP="00CF4560">
      <w:pPr>
        <w:pStyle w:val="a0"/>
        <w:rPr>
          <w:kern w:val="0"/>
        </w:rPr>
      </w:pPr>
      <w:r w:rsidRPr="001A3D2B">
        <w:rPr>
          <w:kern w:val="0"/>
        </w:rPr>
        <w:t>? Vasconcelos, S., Sorenson, M., Batista, P., Ana, M.S.</w:t>
      </w:r>
      <w:r w:rsidR="00F81221">
        <w:rPr>
          <w:kern w:val="0"/>
        </w:rPr>
        <w:t xml:space="preserve"> and </w:t>
      </w:r>
      <w:r w:rsidRPr="001A3D2B">
        <w:rPr>
          <w:kern w:val="0"/>
        </w:rPr>
        <w:t>Leta, J. (2009), The effect of the linguistic landscape of today</w:t>
      </w:r>
      <w:r w:rsidR="000352E7">
        <w:rPr>
          <w:kern w:val="0"/>
        </w:rPr>
        <w:t>’</w:t>
      </w:r>
      <w:r w:rsidRPr="001A3D2B">
        <w:rPr>
          <w:kern w:val="0"/>
        </w:rPr>
        <w:t xml:space="preserve">s science on the performance indicators of researchers from a Latin American country: A trend for the region?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330-337.</w:t>
      </w:r>
    </w:p>
    <w:p w:rsidR="00CF4560" w:rsidRPr="001A3D2B" w:rsidRDefault="00CF4560" w:rsidP="00CF4560">
      <w:pPr>
        <w:pStyle w:val="a0"/>
        <w:rPr>
          <w:kern w:val="0"/>
        </w:rPr>
      </w:pPr>
      <w:r w:rsidRPr="001A3D2B">
        <w:rPr>
          <w:kern w:val="0"/>
        </w:rPr>
        <w:t>Abstract: The scientific databases that are most used nowadays confirm the prevalence of English as the language of today</w:t>
      </w:r>
      <w:r w:rsidR="000352E7">
        <w:rPr>
          <w:kern w:val="0"/>
        </w:rPr>
        <w:t>’</w:t>
      </w:r>
      <w:r w:rsidRPr="001A3D2B">
        <w:rPr>
          <w:kern w:val="0"/>
        </w:rPr>
        <w:t>s science. The effect of this linguistic landscape, however, has only recently been the focus of scientometric studies. Here we correlate language competence</w:t>
      </w:r>
      <w:r w:rsidR="00F81221">
        <w:rPr>
          <w:kern w:val="0"/>
        </w:rPr>
        <w:t xml:space="preserve"> and </w:t>
      </w:r>
      <w:r w:rsidRPr="001A3D2B">
        <w:rPr>
          <w:kern w:val="0"/>
        </w:rPr>
        <w:t>research performance, focusing on the writing skills of Brazilian researchers</w:t>
      </w:r>
      <w:r w:rsidR="00F81221">
        <w:rPr>
          <w:kern w:val="0"/>
        </w:rPr>
        <w:t xml:space="preserve"> and </w:t>
      </w:r>
      <w:r w:rsidRPr="001A3D2B">
        <w:rPr>
          <w:kern w:val="0"/>
        </w:rPr>
        <w:t>their publication output in English-, Portuguese-, Spanish-, French-,</w:t>
      </w:r>
      <w:r w:rsidR="00F81221">
        <w:rPr>
          <w:kern w:val="0"/>
        </w:rPr>
        <w:t xml:space="preserve"> and </w:t>
      </w:r>
      <w:r w:rsidRPr="001A3D2B">
        <w:rPr>
          <w:kern w:val="0"/>
        </w:rPr>
        <w:t>German-language journals. We also compare performance indicators such as number of papers (Nps)</w:t>
      </w:r>
      <w:r w:rsidR="00F81221">
        <w:rPr>
          <w:kern w:val="0"/>
        </w:rPr>
        <w:t xml:space="preserve"> and </w:t>
      </w:r>
      <w:r w:rsidRPr="001A3D2B">
        <w:rPr>
          <w:kern w:val="0"/>
        </w:rPr>
        <w:t>citations (Ncs) for English</w:t>
      </w:r>
      <w:r w:rsidR="00F81221">
        <w:rPr>
          <w:kern w:val="0"/>
        </w:rPr>
        <w:t xml:space="preserve"> and </w:t>
      </w:r>
      <w:r w:rsidRPr="001A3D2B">
        <w:rPr>
          <w:kern w:val="0"/>
        </w:rPr>
        <w:t>French writing skills. A significant correlation was found between English proficiency</w:t>
      </w:r>
      <w:r w:rsidR="00F81221">
        <w:rPr>
          <w:kern w:val="0"/>
        </w:rPr>
        <w:t xml:space="preserve"> and </w:t>
      </w:r>
      <w:r w:rsidRPr="001A3D2B">
        <w:rPr>
          <w:kern w:val="0"/>
        </w:rPr>
        <w:t>publication output for English-language journals, but not Portuguese-, Spanish-, French-or German-language journals. Additionally, there was a correlation of writing skills in English (but not in French) with Nps</w:t>
      </w:r>
      <w:r w:rsidR="00F81221">
        <w:rPr>
          <w:kern w:val="0"/>
        </w:rPr>
        <w:t xml:space="preserve"> and </w:t>
      </w:r>
      <w:r w:rsidRPr="001A3D2B">
        <w:rPr>
          <w:kern w:val="0"/>
        </w:rPr>
        <w:t>Ncs for publications in the Web of Science; higher Nps</w:t>
      </w:r>
      <w:r w:rsidR="00F81221">
        <w:rPr>
          <w:kern w:val="0"/>
        </w:rPr>
        <w:t xml:space="preserve"> and </w:t>
      </w:r>
      <w:r w:rsidRPr="001A3D2B">
        <w:rPr>
          <w:kern w:val="0"/>
        </w:rPr>
        <w:t xml:space="preserve">Ncs were found for researchers with </w:t>
      </w:r>
      <w:r w:rsidR="000352E7">
        <w:rPr>
          <w:kern w:val="0"/>
        </w:rPr>
        <w:t>“</w:t>
      </w:r>
      <w:r w:rsidRPr="001A3D2B">
        <w:rPr>
          <w:kern w:val="0"/>
        </w:rPr>
        <w:t>good writing skills</w:t>
      </w:r>
      <w:r w:rsidR="000352E7">
        <w:rPr>
          <w:kern w:val="0"/>
        </w:rPr>
        <w:t>”</w:t>
      </w:r>
      <w:r w:rsidRPr="001A3D2B">
        <w:rPr>
          <w:kern w:val="0"/>
        </w:rPr>
        <w:t xml:space="preserve"> in English. Our results suggest that a linguistic factor underlies the research performance of Brazilian researchers. Accordingly, other Latin American countries </w:t>
      </w:r>
      <w:r w:rsidRPr="001A3D2B">
        <w:rPr>
          <w:kern w:val="0"/>
        </w:rPr>
        <w:lastRenderedPageBreak/>
        <w:t>should assess the effect of this linguistic issue on their research communities. We propose to create a network of scientometricians, linguists</w:t>
      </w:r>
      <w:r w:rsidR="00F81221">
        <w:rPr>
          <w:kern w:val="0"/>
        </w:rPr>
        <w:t xml:space="preserve"> and </w:t>
      </w:r>
      <w:r w:rsidRPr="001A3D2B">
        <w:rPr>
          <w:kern w:val="0"/>
        </w:rPr>
        <w:t>educators in Latin America to evaluate whether a similar trend prevails in other countries of the region.</w:t>
      </w:r>
    </w:p>
    <w:p w:rsidR="00CF4560" w:rsidRPr="001A3D2B" w:rsidRDefault="00CF4560" w:rsidP="00CF4560">
      <w:pPr>
        <w:pStyle w:val="a0"/>
        <w:rPr>
          <w:kern w:val="0"/>
        </w:rPr>
      </w:pPr>
      <w:r w:rsidRPr="001A3D2B">
        <w:rPr>
          <w:kern w:val="0"/>
        </w:rPr>
        <w:t>Keywords: Authors, English, Language, Publications</w:t>
      </w:r>
    </w:p>
    <w:p w:rsidR="00CF4560" w:rsidRPr="001A3D2B" w:rsidRDefault="00CF4560" w:rsidP="00CF4560">
      <w:pPr>
        <w:pStyle w:val="a0"/>
        <w:rPr>
          <w:kern w:val="0"/>
        </w:rPr>
      </w:pPr>
      <w:r w:rsidRPr="001A3D2B">
        <w:rPr>
          <w:kern w:val="0"/>
        </w:rPr>
        <w:t>? Markusova, V., Jansz, M., Libkind, A., Libkind, I.</w:t>
      </w:r>
      <w:r w:rsidR="00F81221">
        <w:rPr>
          <w:kern w:val="0"/>
        </w:rPr>
        <w:t xml:space="preserve"> and </w:t>
      </w:r>
      <w:r w:rsidRPr="001A3D2B">
        <w:rPr>
          <w:kern w:val="0"/>
        </w:rPr>
        <w:t xml:space="preserve">Terekhov, A. (2009), A bibliometric study of Russian R&amp;D on nanotechnology.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354-358.</w:t>
      </w:r>
    </w:p>
    <w:p w:rsidR="00CF4560" w:rsidRPr="001A3D2B" w:rsidRDefault="00CF4560" w:rsidP="00CF4560">
      <w:pPr>
        <w:pStyle w:val="a0"/>
        <w:rPr>
          <w:kern w:val="0"/>
        </w:rPr>
      </w:pPr>
      <w:r w:rsidRPr="001A3D2B">
        <w:rPr>
          <w:kern w:val="0"/>
        </w:rPr>
        <w:t>Abstract: Russia has a tradition of high-quality basic research on nanotechnology. A bilbiometric study confirmed that Russian R&amp;D in this field is still strong, but the trend is that its positon is weakening. A patent search, concentrating on two major nanomaterials topics, fullerenes</w:t>
      </w:r>
      <w:r w:rsidR="00F81221">
        <w:rPr>
          <w:kern w:val="0"/>
        </w:rPr>
        <w:t xml:space="preserve"> and </w:t>
      </w:r>
      <w:r w:rsidRPr="001A3D2B">
        <w:rPr>
          <w:kern w:val="0"/>
        </w:rPr>
        <w:t>nanotubes, revealed that there is a substantial basis for innovative applications, but also cause for concern.</w:t>
      </w:r>
    </w:p>
    <w:p w:rsidR="00CF4560" w:rsidRPr="001A3D2B" w:rsidRDefault="00CF4560" w:rsidP="00CF4560">
      <w:pPr>
        <w:pStyle w:val="a0"/>
        <w:rPr>
          <w:kern w:val="0"/>
        </w:rPr>
      </w:pPr>
      <w:r w:rsidRPr="001A3D2B">
        <w:rPr>
          <w:kern w:val="0"/>
        </w:rPr>
        <w:t>Keywords: Nanotechnology, Science</w:t>
      </w:r>
    </w:p>
    <w:p w:rsidR="00CF4560" w:rsidRPr="001A3D2B" w:rsidRDefault="00CF4560" w:rsidP="00CF4560">
      <w:pPr>
        <w:pStyle w:val="a0"/>
        <w:rPr>
          <w:kern w:val="0"/>
        </w:rPr>
      </w:pPr>
      <w:r w:rsidRPr="001A3D2B">
        <w:rPr>
          <w:kern w:val="0"/>
        </w:rPr>
        <w:t>? Shelton, R.D.</w:t>
      </w:r>
      <w:r w:rsidR="00F81221">
        <w:rPr>
          <w:kern w:val="0"/>
        </w:rPr>
        <w:t xml:space="preserve"> and </w:t>
      </w:r>
      <w:r w:rsidRPr="001A3D2B">
        <w:rPr>
          <w:kern w:val="0"/>
        </w:rPr>
        <w:t>Foland, P. (2009), The race for world leadership of science</w:t>
      </w:r>
      <w:r w:rsidR="00F81221">
        <w:rPr>
          <w:kern w:val="0"/>
        </w:rPr>
        <w:t xml:space="preserve"> and </w:t>
      </w:r>
      <w:r w:rsidRPr="001A3D2B">
        <w:rPr>
          <w:kern w:val="0"/>
        </w:rPr>
        <w:t>technology: Status</w:t>
      </w:r>
      <w:r w:rsidR="00F81221">
        <w:rPr>
          <w:kern w:val="0"/>
        </w:rPr>
        <w:t xml:space="preserve"> and </w:t>
      </w:r>
      <w:r w:rsidRPr="001A3D2B">
        <w:rPr>
          <w:kern w:val="0"/>
        </w:rPr>
        <w:t xml:space="preserve">forecasts.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369-380.</w:t>
      </w:r>
    </w:p>
    <w:p w:rsidR="00CF4560" w:rsidRPr="001A3D2B" w:rsidRDefault="00CF4560" w:rsidP="00CF4560">
      <w:pPr>
        <w:pStyle w:val="a0"/>
        <w:rPr>
          <w:kern w:val="0"/>
        </w:rPr>
      </w:pPr>
      <w:r w:rsidRPr="001A3D2B">
        <w:rPr>
          <w:kern w:val="0"/>
        </w:rPr>
        <w:t>Abstract: The US</w:t>
      </w:r>
      <w:r w:rsidR="00F81221">
        <w:rPr>
          <w:kern w:val="0"/>
        </w:rPr>
        <w:t xml:space="preserve"> and </w:t>
      </w:r>
      <w:r w:rsidRPr="001A3D2B">
        <w:rPr>
          <w:kern w:val="0"/>
        </w:rPr>
        <w:t>EU have been vying for leadership of science</w:t>
      </w:r>
      <w:r w:rsidR="00F81221">
        <w:rPr>
          <w:kern w:val="0"/>
        </w:rPr>
        <w:t xml:space="preserve"> and </w:t>
      </w:r>
      <w:r w:rsidRPr="001A3D2B">
        <w:rPr>
          <w:kern w:val="0"/>
        </w:rPr>
        <w:t>technology; now they are being overtaken by the People</w:t>
      </w:r>
      <w:r w:rsidR="000352E7">
        <w:rPr>
          <w:kern w:val="0"/>
        </w:rPr>
        <w:t>’</w:t>
      </w:r>
      <w:r w:rsidRPr="001A3D2B">
        <w:rPr>
          <w:kern w:val="0"/>
        </w:rPr>
        <w:t>s Republic of China. The US is now leading in most input indicators, but the EU has taken the lead in important outputs. While the PRC remains behind in most indicators, its incredible progress from being underdeveloped during the Cultural Revolution to being a contender in this race is almost unprecedented. Qualitative assessment of fields of research</w:t>
      </w:r>
      <w:r w:rsidR="00F81221">
        <w:rPr>
          <w:kern w:val="0"/>
        </w:rPr>
        <w:t xml:space="preserve"> and </w:t>
      </w:r>
      <w:r w:rsidRPr="001A3D2B">
        <w:rPr>
          <w:kern w:val="0"/>
        </w:rPr>
        <w:t>development, based on recent expert review studies, confirm that many Chinese labs have made rapid progress. Extrapolations from the current status</w:t>
      </w:r>
      <w:r w:rsidR="00F81221">
        <w:rPr>
          <w:kern w:val="0"/>
        </w:rPr>
        <w:t xml:space="preserve"> and </w:t>
      </w:r>
      <w:r w:rsidRPr="001A3D2B">
        <w:rPr>
          <w:kern w:val="0"/>
        </w:rPr>
        <w:t>recent rates of change suggest that China will soon rival the others as a scientific superpower in many indicators. Further, a formal forecast of national publication shares can now be made, perhaps for the first time. The input to the model is a country</w:t>
      </w:r>
      <w:r w:rsidR="000352E7">
        <w:rPr>
          <w:kern w:val="0"/>
        </w:rPr>
        <w:t>’</w:t>
      </w:r>
      <w:r w:rsidRPr="001A3D2B">
        <w:rPr>
          <w:kern w:val="0"/>
        </w:rPr>
        <w:t>s share of world R&amp;D investment. If current trends in investment continue, the US</w:t>
      </w:r>
      <w:r w:rsidR="00F81221">
        <w:rPr>
          <w:kern w:val="0"/>
        </w:rPr>
        <w:t xml:space="preserve"> and </w:t>
      </w:r>
      <w:r w:rsidRPr="001A3D2B">
        <w:rPr>
          <w:kern w:val="0"/>
        </w:rPr>
        <w:t>EU are forecast to continue to decline, while the PRC is expected to near parity with them within ten years in the Science Citation Index. Some confirmation comes from other databases-China has already passed the US in Inspec</w:t>
      </w:r>
      <w:r w:rsidR="00F81221">
        <w:rPr>
          <w:kern w:val="0"/>
        </w:rPr>
        <w:t xml:space="preserve"> and </w:t>
      </w:r>
      <w:r w:rsidRPr="001A3D2B">
        <w:rPr>
          <w:kern w:val="0"/>
        </w:rPr>
        <w:t>Compendex.</w:t>
      </w:r>
    </w:p>
    <w:p w:rsidR="00CF4560" w:rsidRPr="001A3D2B" w:rsidRDefault="00CF4560" w:rsidP="00CF4560">
      <w:pPr>
        <w:pStyle w:val="a0"/>
        <w:rPr>
          <w:kern w:val="0"/>
        </w:rPr>
      </w:pPr>
      <w:r w:rsidRPr="001A3D2B">
        <w:rPr>
          <w:kern w:val="0"/>
        </w:rPr>
        <w:t>Keywords: China, EU, Indicators, System</w:t>
      </w:r>
    </w:p>
    <w:p w:rsidR="00CF4560" w:rsidRPr="001A3D2B" w:rsidRDefault="00CF4560" w:rsidP="00CF4560">
      <w:pPr>
        <w:pStyle w:val="a0"/>
        <w:rPr>
          <w:kern w:val="0"/>
        </w:rPr>
      </w:pPr>
      <w:r w:rsidRPr="001A3D2B">
        <w:rPr>
          <w:kern w:val="0"/>
        </w:rPr>
        <w:t>? Aksnes, D.W.</w:t>
      </w:r>
      <w:r w:rsidR="00F81221">
        <w:rPr>
          <w:kern w:val="0"/>
        </w:rPr>
        <w:t xml:space="preserve"> and </w:t>
      </w:r>
      <w:r w:rsidRPr="001A3D2B">
        <w:rPr>
          <w:kern w:val="0"/>
        </w:rPr>
        <w:t>Sivertsen, G. (2009), A macro-study of scientific productivity</w:t>
      </w:r>
      <w:r w:rsidR="00F81221">
        <w:rPr>
          <w:kern w:val="0"/>
        </w:rPr>
        <w:t xml:space="preserve"> and </w:t>
      </w:r>
      <w:r w:rsidRPr="001A3D2B">
        <w:rPr>
          <w:kern w:val="0"/>
        </w:rPr>
        <w:t>publication patterns across all scientific</w:t>
      </w:r>
      <w:r w:rsidR="00F81221">
        <w:rPr>
          <w:kern w:val="0"/>
        </w:rPr>
        <w:t xml:space="preserve"> and </w:t>
      </w:r>
      <w:r w:rsidRPr="001A3D2B">
        <w:rPr>
          <w:kern w:val="0"/>
        </w:rPr>
        <w:t xml:space="preserve">scholarly disciplines.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394-398.</w:t>
      </w:r>
    </w:p>
    <w:p w:rsidR="00CF4560" w:rsidRPr="001A3D2B" w:rsidRDefault="00CF4560" w:rsidP="00CF4560">
      <w:pPr>
        <w:pStyle w:val="a0"/>
        <w:rPr>
          <w:kern w:val="0"/>
        </w:rPr>
      </w:pPr>
      <w:r w:rsidRPr="001A3D2B">
        <w:rPr>
          <w:kern w:val="0"/>
        </w:rPr>
        <w:t xml:space="preserve">Abstract: The study includes all disciplines in the humanities, social sciences, health </w:t>
      </w:r>
      <w:r w:rsidRPr="001A3D2B">
        <w:rPr>
          <w:kern w:val="0"/>
        </w:rPr>
        <w:lastRenderedPageBreak/>
        <w:t>sciences, natural sciences</w:t>
      </w:r>
      <w:r w:rsidR="00F81221">
        <w:rPr>
          <w:kern w:val="0"/>
        </w:rPr>
        <w:t xml:space="preserve"> and </w:t>
      </w:r>
      <w:r w:rsidRPr="001A3D2B">
        <w:rPr>
          <w:kern w:val="0"/>
        </w:rPr>
        <w:t>engineering at Norway</w:t>
      </w:r>
      <w:r w:rsidR="000352E7">
        <w:rPr>
          <w:kern w:val="0"/>
        </w:rPr>
        <w:t>’</w:t>
      </w:r>
      <w:r w:rsidRPr="001A3D2B">
        <w:rPr>
          <w:kern w:val="0"/>
        </w:rPr>
        <w:t>s four major universities (Oslo, Bergen, Trondheim,</w:t>
      </w:r>
      <w:r w:rsidR="00F81221">
        <w:rPr>
          <w:kern w:val="0"/>
        </w:rPr>
        <w:t xml:space="preserve"> and </w:t>
      </w:r>
      <w:r w:rsidRPr="001A3D2B">
        <w:rPr>
          <w:kern w:val="0"/>
        </w:rPr>
        <w:t>Tromso). The study is based on a database containing complete data at the level of individuals for scientific/scholarly publishing at the higher education institutions in Norway in the three year period 2005-2007. The purpose of the study is to gain knowledge about differences between disciplines with regard to three parameters that are all known to be important when assessing</w:t>
      </w:r>
      <w:r w:rsidR="00F81221">
        <w:rPr>
          <w:kern w:val="0"/>
        </w:rPr>
        <w:t xml:space="preserve"> and </w:t>
      </w:r>
      <w:r w:rsidRPr="001A3D2B">
        <w:rPr>
          <w:kern w:val="0"/>
        </w:rPr>
        <w:t>comparing publication output at universities: 1. The relative importance of publication types (articles in journals/series, articles in books,</w:t>
      </w:r>
      <w:r w:rsidR="00F81221">
        <w:rPr>
          <w:kern w:val="0"/>
        </w:rPr>
        <w:t xml:space="preserve"> and </w:t>
      </w:r>
      <w:r w:rsidRPr="001A3D2B">
        <w:rPr>
          <w:kern w:val="0"/>
        </w:rPr>
        <w:t>books) 2. The degree of coverage of the publications output on ISI Web of Science 3. Average productivity</w:t>
      </w:r>
      <w:r w:rsidR="00F81221">
        <w:rPr>
          <w:kern w:val="0"/>
        </w:rPr>
        <w:t xml:space="preserve"> and </w:t>
      </w:r>
      <w:r w:rsidRPr="001A3D2B">
        <w:rPr>
          <w:kern w:val="0"/>
        </w:rPr>
        <w:t>productivity differences among faculty staff.</w:t>
      </w:r>
    </w:p>
    <w:p w:rsidR="00CF4560" w:rsidRPr="001A3D2B" w:rsidRDefault="00CF4560" w:rsidP="00CF4560">
      <w:pPr>
        <w:pStyle w:val="a0"/>
        <w:rPr>
          <w:kern w:val="0"/>
        </w:rPr>
      </w:pPr>
      <w:r w:rsidRPr="001A3D2B">
        <w:rPr>
          <w:kern w:val="0"/>
        </w:rPr>
        <w:t xml:space="preserve">? Bar-Ilan, J. (2009), Web of Science with the Conference Proceedings Citation Indexes - The case of computer science.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399-409.</w:t>
      </w:r>
    </w:p>
    <w:p w:rsidR="00CF4560" w:rsidRPr="001A3D2B" w:rsidRDefault="00CF4560" w:rsidP="00CF4560">
      <w:pPr>
        <w:pStyle w:val="a0"/>
        <w:rPr>
          <w:kern w:val="0"/>
        </w:rPr>
      </w:pPr>
      <w:r w:rsidRPr="001A3D2B">
        <w:rPr>
          <w:kern w:val="0"/>
        </w:rPr>
        <w:t>Abstract: In September 2008 Thomson Reuters added to the ISI Web of Science (WOS) the Conference Proceedings Citation Indexes in Science</w:t>
      </w:r>
      <w:r w:rsidR="00F81221">
        <w:rPr>
          <w:kern w:val="0"/>
        </w:rPr>
        <w:t xml:space="preserve"> and </w:t>
      </w:r>
      <w:r w:rsidRPr="001A3D2B">
        <w:rPr>
          <w:kern w:val="0"/>
        </w:rPr>
        <w:t>in the Social Sciences</w:t>
      </w:r>
      <w:r w:rsidR="00F81221">
        <w:rPr>
          <w:kern w:val="0"/>
        </w:rPr>
        <w:t xml:space="preserve"> and </w:t>
      </w:r>
      <w:r w:rsidRPr="001A3D2B">
        <w:rPr>
          <w:kern w:val="0"/>
        </w:rPr>
        <w:t>Humanities. This paper examines how this change affects the publication</w:t>
      </w:r>
      <w:r w:rsidR="00F81221">
        <w:rPr>
          <w:kern w:val="0"/>
        </w:rPr>
        <w:t xml:space="preserve"> and </w:t>
      </w:r>
      <w:r w:rsidRPr="001A3D2B">
        <w:rPr>
          <w:kern w:val="0"/>
        </w:rPr>
        <w:t>citation counts of highly cited computer scientists. Computer science is a field where proceedings are a major publication venue. The results show that most of the highly cited publications of the sampled researchers are journal publications, but these highly cited items receive more than 40% of their citations from proceedings papers. The paper also discusses issues related to double-counting, i.e., when a given work is published both in a proceedings</w:t>
      </w:r>
      <w:r w:rsidR="00F81221">
        <w:rPr>
          <w:kern w:val="0"/>
        </w:rPr>
        <w:t xml:space="preserve"> and </w:t>
      </w:r>
      <w:r w:rsidRPr="001A3D2B">
        <w:rPr>
          <w:kern w:val="0"/>
        </w:rPr>
        <w:t>later on as a journal paper.</w:t>
      </w:r>
    </w:p>
    <w:p w:rsidR="00CF4560" w:rsidRPr="001A3D2B" w:rsidRDefault="00CF4560" w:rsidP="00CF4560">
      <w:pPr>
        <w:pStyle w:val="a0"/>
        <w:rPr>
          <w:kern w:val="0"/>
        </w:rPr>
      </w:pPr>
      <w:r w:rsidRPr="001A3D2B">
        <w:rPr>
          <w:kern w:val="0"/>
        </w:rPr>
        <w:t>Keywords: h-Index</w:t>
      </w:r>
    </w:p>
    <w:p w:rsidR="00CF4560" w:rsidRPr="001A3D2B" w:rsidRDefault="00CF4560" w:rsidP="00CF4560">
      <w:pPr>
        <w:pStyle w:val="a0"/>
        <w:rPr>
          <w:kern w:val="0"/>
        </w:rPr>
      </w:pPr>
      <w:r w:rsidRPr="001A3D2B">
        <w:rPr>
          <w:kern w:val="0"/>
        </w:rPr>
        <w:t>? van Leeuwen, T.N.</w:t>
      </w:r>
      <w:r w:rsidR="00F81221">
        <w:rPr>
          <w:kern w:val="0"/>
        </w:rPr>
        <w:t xml:space="preserve"> and </w:t>
      </w:r>
      <w:r w:rsidRPr="001A3D2B">
        <w:rPr>
          <w:kern w:val="0"/>
        </w:rPr>
        <w:t xml:space="preserve">Medina, C.C. (2009), Redefining the field of economics: Improving field normalization for the application of bibliometric techniques in the field of economics.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410-420.</w:t>
      </w:r>
    </w:p>
    <w:p w:rsidR="00CF4560" w:rsidRPr="001A3D2B" w:rsidRDefault="00CF4560" w:rsidP="00CF4560">
      <w:pPr>
        <w:pStyle w:val="a0"/>
        <w:rPr>
          <w:kern w:val="0"/>
        </w:rPr>
      </w:pPr>
      <w:r w:rsidRPr="001A3D2B">
        <w:rPr>
          <w:kern w:val="0"/>
        </w:rPr>
        <w:t>Abstract: Field normalization,</w:t>
      </w:r>
      <w:r w:rsidR="00F81221">
        <w:rPr>
          <w:kern w:val="0"/>
        </w:rPr>
        <w:t xml:space="preserve"> and </w:t>
      </w:r>
      <w:r w:rsidRPr="001A3D2B">
        <w:rPr>
          <w:kern w:val="0"/>
        </w:rPr>
        <w:t>its effect of bibliometric indicators is a widely discussed topic among bibliometricians. It is not the necessity of field normalization around which the debate evolves, but the way how to field normalize bibliometric indicators. In this paper the authors present the results of a study in which publication data of a large disciplinary database in economics (EconLit) is combined with the multidisciplinary citation indexes produced by Thomson Scientific. Main purpose of the study is to investigate whether it would be possible to combine the classification scheme of the economics database with the advantages of the citation indexes (both multiple addresses</w:t>
      </w:r>
      <w:r w:rsidR="00F81221">
        <w:rPr>
          <w:kern w:val="0"/>
        </w:rPr>
        <w:t xml:space="preserve"> and </w:t>
      </w:r>
      <w:r w:rsidRPr="001A3D2B">
        <w:rPr>
          <w:kern w:val="0"/>
        </w:rPr>
        <w:t>citation data), in order to improve the possible applicability of the citation indexes in research performance studies in the field of economics</w:t>
      </w:r>
      <w:r w:rsidR="00F81221">
        <w:rPr>
          <w:kern w:val="0"/>
        </w:rPr>
        <w:t xml:space="preserve"> and </w:t>
      </w:r>
      <w:r w:rsidRPr="001A3D2B">
        <w:rPr>
          <w:kern w:val="0"/>
        </w:rPr>
        <w:t xml:space="preserve">its periphery. The authors show the starting points of both database, the outcome of the </w:t>
      </w:r>
      <w:r w:rsidRPr="001A3D2B">
        <w:rPr>
          <w:kern w:val="0"/>
        </w:rPr>
        <w:lastRenderedPageBreak/>
        <w:t>matching</w:t>
      </w:r>
      <w:r w:rsidR="00F81221">
        <w:rPr>
          <w:kern w:val="0"/>
        </w:rPr>
        <w:t xml:space="preserve"> and </w:t>
      </w:r>
      <w:r w:rsidRPr="001A3D2B">
        <w:rPr>
          <w:kern w:val="0"/>
        </w:rPr>
        <w:t>combining of both sets of publications, the effects of EconLit field classification in terms of differences in impact levels. The study clearly shows that research performance exercises conducted in the field of economics would benefit from the labeling of publications in the citation indexes with a more detailed classification scheme as found in EconLit.</w:t>
      </w:r>
    </w:p>
    <w:p w:rsidR="00CF4560" w:rsidRPr="001A3D2B" w:rsidRDefault="00CF4560" w:rsidP="00CF4560">
      <w:pPr>
        <w:pStyle w:val="a0"/>
        <w:rPr>
          <w:kern w:val="0"/>
        </w:rPr>
      </w:pPr>
      <w:r w:rsidRPr="001A3D2B">
        <w:rPr>
          <w:kern w:val="0"/>
        </w:rPr>
        <w:t>Keywords: Core Journals, Departments, Indicators, Performance, Publications, Rankings</w:t>
      </w:r>
    </w:p>
    <w:p w:rsidR="00CF4560" w:rsidRPr="001A3D2B" w:rsidRDefault="00CF4560" w:rsidP="00CF4560">
      <w:pPr>
        <w:pStyle w:val="a0"/>
        <w:rPr>
          <w:kern w:val="0"/>
        </w:rPr>
      </w:pPr>
      <w:r w:rsidRPr="001A3D2B">
        <w:rPr>
          <w:kern w:val="0"/>
        </w:rPr>
        <w:t xml:space="preserve">? Zuccala, A. (2009), Poverty research in a science for development policy context.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421-425.</w:t>
      </w:r>
    </w:p>
    <w:p w:rsidR="00CF4560" w:rsidRPr="001A3D2B" w:rsidRDefault="00CF4560" w:rsidP="00CF4560">
      <w:pPr>
        <w:pStyle w:val="a0"/>
        <w:rPr>
          <w:kern w:val="0"/>
        </w:rPr>
      </w:pPr>
      <w:r w:rsidRPr="001A3D2B">
        <w:rPr>
          <w:kern w:val="0"/>
        </w:rPr>
        <w:t>Abstract: This study examines the state of poverty/hunger research 1975-2008 (ISI Web of Science)</w:t>
      </w:r>
      <w:r w:rsidR="00F81221">
        <w:rPr>
          <w:kern w:val="0"/>
        </w:rPr>
        <w:t xml:space="preserve"> and </w:t>
      </w:r>
      <w:r w:rsidRPr="001A3D2B">
        <w:rPr>
          <w:kern w:val="0"/>
        </w:rPr>
        <w:t>relates this to the Netherlands Organisation for Scientific Research (NWO)-WOTRO Science for Global Development Strategy Plan 2007-2010. International studies concerning poverty/hunger (1975-2008) have grown steadily in the fields of Health &amp; Medicine</w:t>
      </w:r>
      <w:r w:rsidR="00F81221">
        <w:rPr>
          <w:kern w:val="0"/>
        </w:rPr>
        <w:t xml:space="preserve"> and </w:t>
      </w:r>
      <w:r w:rsidRPr="001A3D2B">
        <w:rPr>
          <w:kern w:val="0"/>
        </w:rPr>
        <w:t>Development &amp; Planning since 1975, but the most impressive growth is in the field of Environmental Studies. We evaluate the Dutch scientific community</w:t>
      </w:r>
      <w:r w:rsidR="000352E7">
        <w:rPr>
          <w:kern w:val="0"/>
        </w:rPr>
        <w:t>’</w:t>
      </w:r>
      <w:r w:rsidRPr="001A3D2B">
        <w:rPr>
          <w:kern w:val="0"/>
        </w:rPr>
        <w:t>s contribution</w:t>
      </w:r>
      <w:r w:rsidR="00F81221">
        <w:rPr>
          <w:kern w:val="0"/>
        </w:rPr>
        <w:t xml:space="preserve"> and </w:t>
      </w:r>
      <w:r w:rsidRPr="001A3D2B">
        <w:rPr>
          <w:kern w:val="0"/>
        </w:rPr>
        <w:t>propose a strategy for agenda setting</w:t>
      </w:r>
      <w:r w:rsidR="00F81221">
        <w:rPr>
          <w:kern w:val="0"/>
        </w:rPr>
        <w:t xml:space="preserve"> and </w:t>
      </w:r>
      <w:r w:rsidRPr="001A3D2B">
        <w:rPr>
          <w:kern w:val="0"/>
        </w:rPr>
        <w:t>monitoring future problem-areas for new research.</w:t>
      </w:r>
    </w:p>
    <w:p w:rsidR="00CF4560" w:rsidRPr="001A3D2B" w:rsidRDefault="00CF4560" w:rsidP="00CF4560">
      <w:pPr>
        <w:pStyle w:val="a0"/>
        <w:rPr>
          <w:kern w:val="0"/>
        </w:rPr>
      </w:pPr>
      <w:r w:rsidRPr="001A3D2B">
        <w:rPr>
          <w:kern w:val="0"/>
        </w:rPr>
        <w:t>Keywords: International</w:t>
      </w:r>
    </w:p>
    <w:p w:rsidR="00CF4560" w:rsidRPr="001A3D2B" w:rsidRDefault="00CF4560" w:rsidP="00CF4560">
      <w:pPr>
        <w:pStyle w:val="a0"/>
        <w:rPr>
          <w:kern w:val="0"/>
        </w:rPr>
      </w:pPr>
      <w:r w:rsidRPr="001A3D2B">
        <w:rPr>
          <w:kern w:val="0"/>
        </w:rPr>
        <w:t xml:space="preserve">? Zhao, D. (2009), Does funded research have higher impact?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426-430.</w:t>
      </w:r>
    </w:p>
    <w:p w:rsidR="00CF4560" w:rsidRPr="001A3D2B" w:rsidRDefault="00CF4560" w:rsidP="00CF4560">
      <w:pPr>
        <w:pStyle w:val="a0"/>
        <w:rPr>
          <w:kern w:val="0"/>
        </w:rPr>
      </w:pPr>
      <w:r w:rsidRPr="001A3D2B">
        <w:rPr>
          <w:kern w:val="0"/>
        </w:rPr>
        <w:t>Abstract: This paper reports a bibliometric study of the impact</w:t>
      </w:r>
      <w:r w:rsidR="00F81221">
        <w:rPr>
          <w:kern w:val="0"/>
        </w:rPr>
        <w:t xml:space="preserve"> and </w:t>
      </w:r>
      <w:r w:rsidRPr="001A3D2B">
        <w:rPr>
          <w:kern w:val="0"/>
        </w:rPr>
        <w:t>characteristics of funded research in the library</w:t>
      </w:r>
      <w:r w:rsidR="00F81221">
        <w:rPr>
          <w:kern w:val="0"/>
        </w:rPr>
        <w:t xml:space="preserve"> and </w:t>
      </w:r>
      <w:r w:rsidRPr="001A3D2B">
        <w:rPr>
          <w:kern w:val="0"/>
        </w:rPr>
        <w:t>information science (LIS) field as compared with non-funded research. It is found that the impact of funded research as indicated by citation counts was significantly higher than that of non-funded research. Funding of LIS research reported in core LIS journals was biased towards the information retrieval (IR) area, especially research on IR systems. Scholars from outside LIS contributed heavily to funded research.</w:t>
      </w:r>
    </w:p>
    <w:p w:rsidR="00CF4560" w:rsidRPr="001A3D2B" w:rsidRDefault="00CF4560" w:rsidP="00CF4560">
      <w:pPr>
        <w:pStyle w:val="a0"/>
        <w:rPr>
          <w:kern w:val="0"/>
        </w:rPr>
      </w:pPr>
      <w:r w:rsidRPr="001A3D2B">
        <w:rPr>
          <w:kern w:val="0"/>
        </w:rPr>
        <w:t>Keywords: Information-Science, Journals, Scientific Collaboration</w:t>
      </w:r>
    </w:p>
    <w:p w:rsidR="00CF4560" w:rsidRPr="001A3D2B" w:rsidRDefault="00CF4560" w:rsidP="00CF4560">
      <w:pPr>
        <w:pStyle w:val="a0"/>
        <w:rPr>
          <w:kern w:val="0"/>
        </w:rPr>
      </w:pPr>
      <w:r w:rsidRPr="001A3D2B">
        <w:rPr>
          <w:kern w:val="0"/>
        </w:rPr>
        <w:t xml:space="preserve">? Schneider, J.W. (2009), Mapping of cross-reference activity between journals by use of multidimensional unfolding: Implications for mapping studies.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443-454.</w:t>
      </w:r>
    </w:p>
    <w:p w:rsidR="00CF4560" w:rsidRPr="001A3D2B" w:rsidRDefault="00CF4560" w:rsidP="00CF4560">
      <w:pPr>
        <w:pStyle w:val="a0"/>
        <w:rPr>
          <w:kern w:val="0"/>
        </w:rPr>
      </w:pPr>
      <w:r w:rsidRPr="001A3D2B">
        <w:rPr>
          <w:kern w:val="0"/>
        </w:rPr>
        <w:t>Abstract: The present paper explores simultaneous modelling of cross-reference activity between journals by use of asymmetric proximities</w:t>
      </w:r>
      <w:r w:rsidR="00F81221">
        <w:rPr>
          <w:kern w:val="0"/>
        </w:rPr>
        <w:t xml:space="preserve"> and </w:t>
      </w:r>
      <w:r w:rsidRPr="001A3D2B">
        <w:rPr>
          <w:kern w:val="0"/>
        </w:rPr>
        <w:t>multidimensional unfolding. We thereby model</w:t>
      </w:r>
      <w:r w:rsidR="00F81221">
        <w:rPr>
          <w:kern w:val="0"/>
        </w:rPr>
        <w:t xml:space="preserve"> and </w:t>
      </w:r>
      <w:r w:rsidRPr="001A3D2B">
        <w:rPr>
          <w:kern w:val="0"/>
        </w:rPr>
        <w:t>map both citing</w:t>
      </w:r>
      <w:r w:rsidR="00F81221">
        <w:rPr>
          <w:kern w:val="0"/>
        </w:rPr>
        <w:t xml:space="preserve"> and </w:t>
      </w:r>
      <w:r w:rsidRPr="001A3D2B">
        <w:rPr>
          <w:kern w:val="0"/>
        </w:rPr>
        <w:t>cited relations between journals in a common space. This enables a more comprehensive comparison of the journal</w:t>
      </w:r>
      <w:r w:rsidR="000352E7">
        <w:rPr>
          <w:kern w:val="0"/>
        </w:rPr>
        <w:t>’</w:t>
      </w:r>
      <w:r w:rsidRPr="001A3D2B">
        <w:rPr>
          <w:kern w:val="0"/>
        </w:rPr>
        <w:t>s dual roles of citing</w:t>
      </w:r>
      <w:r w:rsidR="00F81221">
        <w:rPr>
          <w:kern w:val="0"/>
        </w:rPr>
        <w:t xml:space="preserve"> and </w:t>
      </w:r>
      <w:r w:rsidRPr="001A3D2B">
        <w:rPr>
          <w:kern w:val="0"/>
        </w:rPr>
        <w:t xml:space="preserve">being cited in a reference network. We examine the set of journals </w:t>
      </w:r>
      <w:r w:rsidRPr="001A3D2B">
        <w:rPr>
          <w:kern w:val="0"/>
        </w:rPr>
        <w:lastRenderedPageBreak/>
        <w:t>most often used to delimit information science in mapping studies, in order to demonstrate the need for exploratory data analyses. The general findings of the study include the ability of unfolding analysis to identify specialized journals</w:t>
      </w:r>
      <w:r w:rsidR="00F81221">
        <w:rPr>
          <w:kern w:val="0"/>
        </w:rPr>
        <w:t xml:space="preserve"> and </w:t>
      </w:r>
      <w:r w:rsidRPr="001A3D2B">
        <w:rPr>
          <w:kern w:val="0"/>
        </w:rPr>
        <w:t>the influence of publication activity in mapping studies.</w:t>
      </w:r>
    </w:p>
    <w:p w:rsidR="00CF4560" w:rsidRPr="001A3D2B" w:rsidRDefault="00CF4560" w:rsidP="00CF4560">
      <w:pPr>
        <w:pStyle w:val="a0"/>
        <w:rPr>
          <w:kern w:val="0"/>
        </w:rPr>
      </w:pPr>
      <w:r w:rsidRPr="001A3D2B">
        <w:rPr>
          <w:kern w:val="0"/>
        </w:rPr>
        <w:t>Keywords: Author Cocitation Analysis, Information-Science, Scientometric Transaction Matrices</w:t>
      </w:r>
    </w:p>
    <w:p w:rsidR="00CF4560" w:rsidRPr="001A3D2B" w:rsidRDefault="00CF4560" w:rsidP="00CF4560">
      <w:pPr>
        <w:pStyle w:val="a0"/>
        <w:rPr>
          <w:kern w:val="0"/>
        </w:rPr>
      </w:pPr>
      <w:r w:rsidRPr="001A3D2B">
        <w:rPr>
          <w:kern w:val="0"/>
        </w:rPr>
        <w:t>? Schlogl, C.</w:t>
      </w:r>
      <w:r w:rsidR="00F81221">
        <w:rPr>
          <w:kern w:val="0"/>
        </w:rPr>
        <w:t xml:space="preserve"> and </w:t>
      </w:r>
      <w:r w:rsidRPr="001A3D2B">
        <w:rPr>
          <w:kern w:val="0"/>
        </w:rPr>
        <w:t xml:space="preserve">Gorraiz, J. (2009), Global usage vs. global citation metrics using science direct pharmacology journals.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455-459.</w:t>
      </w:r>
    </w:p>
    <w:p w:rsidR="00CF4560" w:rsidRPr="001A3D2B" w:rsidRDefault="00CF4560" w:rsidP="00CF4560">
      <w:pPr>
        <w:pStyle w:val="a0"/>
        <w:rPr>
          <w:kern w:val="0"/>
        </w:rPr>
      </w:pPr>
      <w:r w:rsidRPr="001A3D2B">
        <w:rPr>
          <w:kern w:val="0"/>
        </w:rPr>
        <w:t>Abstract: In our study we investigate similarities</w:t>
      </w:r>
      <w:r w:rsidR="00F81221">
        <w:rPr>
          <w:kern w:val="0"/>
        </w:rPr>
        <w:t xml:space="preserve"> and </w:t>
      </w:r>
      <w:r w:rsidRPr="001A3D2B">
        <w:rPr>
          <w:kern w:val="0"/>
        </w:rPr>
        <w:t>differences of usage</w:t>
      </w:r>
      <w:r w:rsidR="00F81221">
        <w:rPr>
          <w:kern w:val="0"/>
        </w:rPr>
        <w:t xml:space="preserve"> and </w:t>
      </w:r>
      <w:r w:rsidRPr="001A3D2B">
        <w:rPr>
          <w:kern w:val="0"/>
        </w:rPr>
        <w:t>citation metrics for pharmacology journals using data from Science Direct, Web of Science</w:t>
      </w:r>
      <w:r w:rsidR="00F81221">
        <w:rPr>
          <w:kern w:val="0"/>
        </w:rPr>
        <w:t xml:space="preserve"> and </w:t>
      </w:r>
      <w:r w:rsidRPr="001A3D2B">
        <w:rPr>
          <w:kern w:val="0"/>
        </w:rPr>
        <w:t>Journal Citation Reports. Our preliminary results show that the number of downloads have increased more than fivefold between 2001</w:t>
      </w:r>
      <w:r w:rsidR="00F81221">
        <w:rPr>
          <w:kern w:val="0"/>
        </w:rPr>
        <w:t xml:space="preserve"> and </w:t>
      </w:r>
      <w:r w:rsidRPr="001A3D2B">
        <w:rPr>
          <w:kern w:val="0"/>
        </w:rPr>
        <w:t>2006. In our analyses at journal level we found a high correlation between citation</w:t>
      </w:r>
      <w:r w:rsidR="00F81221">
        <w:rPr>
          <w:kern w:val="0"/>
        </w:rPr>
        <w:t xml:space="preserve"> and </w:t>
      </w:r>
      <w:r w:rsidRPr="001A3D2B">
        <w:rPr>
          <w:kern w:val="0"/>
        </w:rPr>
        <w:t>download frequencies but differences in obsolescence characteristics. Also the download patterns on a paper-by-paper basis for five journals reveal that articles published in recent years have the highest download requests immediately after they are available electronically. However, the age distribution is different for articles of older volumes which might be due to the strong increase in e-journal use during the investigation period. A more detailed analysis comparing monthly distributions of downloads</w:t>
      </w:r>
      <w:r w:rsidR="00F81221">
        <w:rPr>
          <w:kern w:val="0"/>
        </w:rPr>
        <w:t xml:space="preserve"> and </w:t>
      </w:r>
      <w:r w:rsidRPr="001A3D2B">
        <w:rPr>
          <w:kern w:val="0"/>
        </w:rPr>
        <w:t>citations suggests that citations have an effect on downloads for highly cited papers even a few years after their publication.</w:t>
      </w:r>
    </w:p>
    <w:p w:rsidR="00CF4560" w:rsidRPr="001A3D2B" w:rsidRDefault="00CF4560" w:rsidP="00CF4560">
      <w:pPr>
        <w:pStyle w:val="a0"/>
        <w:rPr>
          <w:kern w:val="0"/>
        </w:rPr>
      </w:pPr>
      <w:r w:rsidRPr="001A3D2B">
        <w:rPr>
          <w:kern w:val="0"/>
        </w:rPr>
        <w:t>Keywords: Information</w:t>
      </w:r>
    </w:p>
    <w:p w:rsidR="00CF4560" w:rsidRPr="001A3D2B" w:rsidRDefault="00CF4560" w:rsidP="00CF4560">
      <w:pPr>
        <w:pStyle w:val="a0"/>
        <w:rPr>
          <w:kern w:val="0"/>
        </w:rPr>
      </w:pPr>
      <w:r w:rsidRPr="001A3D2B">
        <w:rPr>
          <w:kern w:val="0"/>
        </w:rPr>
        <w:t>? Rafols, I.</w:t>
      </w:r>
      <w:r w:rsidR="00F81221">
        <w:rPr>
          <w:kern w:val="0"/>
        </w:rPr>
        <w:t xml:space="preserve"> and </w:t>
      </w:r>
      <w:r w:rsidRPr="001A3D2B">
        <w:rPr>
          <w:kern w:val="0"/>
        </w:rPr>
        <w:t>Leydesdorff, L. (2009), Content-based</w:t>
      </w:r>
      <w:r w:rsidR="00F81221">
        <w:rPr>
          <w:kern w:val="0"/>
        </w:rPr>
        <w:t xml:space="preserve"> and </w:t>
      </w:r>
      <w:r w:rsidRPr="001A3D2B">
        <w:rPr>
          <w:kern w:val="0"/>
        </w:rPr>
        <w:t>algorithmic classifications of journals: Perspectives on the dynamics of scientific communication</w:t>
      </w:r>
      <w:r w:rsidR="00F81221">
        <w:rPr>
          <w:kern w:val="0"/>
        </w:rPr>
        <w:t xml:space="preserve"> and </w:t>
      </w:r>
      <w:r w:rsidRPr="001A3D2B">
        <w:rPr>
          <w:kern w:val="0"/>
        </w:rPr>
        <w:t xml:space="preserve">indexer effects.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460-471.</w:t>
      </w:r>
    </w:p>
    <w:p w:rsidR="00CF4560" w:rsidRPr="001A3D2B" w:rsidRDefault="00CF4560" w:rsidP="00CF4560">
      <w:pPr>
        <w:pStyle w:val="a0"/>
        <w:rPr>
          <w:kern w:val="0"/>
        </w:rPr>
      </w:pPr>
      <w:r w:rsidRPr="001A3D2B">
        <w:rPr>
          <w:kern w:val="0"/>
        </w:rPr>
        <w:t>Abstract: The aggregated journal-journal citation matrix-based on the Journal Citation Reports (JCR) of the Science Citation Index-can be decomposed by indexers and/or algorithmically. In this study, we test the results of two recently available algorithms for the decomposition of large matrices against two content-based classifications of journals: the ISI Subject Categories</w:t>
      </w:r>
      <w:r w:rsidR="00F81221">
        <w:rPr>
          <w:kern w:val="0"/>
        </w:rPr>
        <w:t xml:space="preserve"> and </w:t>
      </w:r>
      <w:r w:rsidRPr="001A3D2B">
        <w:rPr>
          <w:kern w:val="0"/>
        </w:rPr>
        <w:t xml:space="preserve">the field/subfield classification of Glanzel &amp; Schubert (2003). The content-based schemes allow for the attribution of more than a single category to a journal, whereas the algorithms maximize the ratio of within-category citations over between-category citations. By adding categories, indexers generate between-category citations, which may enrich the database, for example, in the case of inter-disciplinary developments. Algorithmic decompositions, on the other hand, are more heavily skewed towards a relatively small number of </w:t>
      </w:r>
      <w:r w:rsidRPr="001A3D2B">
        <w:rPr>
          <w:kern w:val="0"/>
        </w:rPr>
        <w:lastRenderedPageBreak/>
        <w:t>categories, while this is deliberately counter-acted upon in the case of content-based classifications. Because of the indexer effects, science policy studies</w:t>
      </w:r>
      <w:r w:rsidR="00F81221">
        <w:rPr>
          <w:kern w:val="0"/>
        </w:rPr>
        <w:t xml:space="preserve"> and </w:t>
      </w:r>
      <w:r w:rsidRPr="001A3D2B">
        <w:rPr>
          <w:kern w:val="0"/>
        </w:rPr>
        <w:t>the sociology of science should be careful when using content-based classifications, which are made for bibliographic disclosure,</w:t>
      </w:r>
      <w:r w:rsidR="00F81221">
        <w:rPr>
          <w:kern w:val="0"/>
        </w:rPr>
        <w:t xml:space="preserve"> and </w:t>
      </w:r>
      <w:r w:rsidRPr="001A3D2B">
        <w:rPr>
          <w:kern w:val="0"/>
        </w:rPr>
        <w:t>not for the purpose of analyzing latent structures in scientific communications. Despite the large differences among them, the four classification schemes enable us to generate surprisingly similar maps of science at the global level.</w:t>
      </w:r>
    </w:p>
    <w:p w:rsidR="00CF4560" w:rsidRPr="001A3D2B" w:rsidRDefault="00CF4560" w:rsidP="00CF4560">
      <w:pPr>
        <w:pStyle w:val="a0"/>
        <w:rPr>
          <w:kern w:val="0"/>
        </w:rPr>
      </w:pPr>
      <w:r w:rsidRPr="001A3D2B">
        <w:rPr>
          <w:kern w:val="0"/>
        </w:rPr>
        <w:t>Keywords: Interdisciplinarity, Map, Science</w:t>
      </w:r>
    </w:p>
    <w:p w:rsidR="00CF4560" w:rsidRPr="001A3D2B" w:rsidRDefault="00CF4560" w:rsidP="00CF4560">
      <w:pPr>
        <w:pStyle w:val="a0"/>
        <w:rPr>
          <w:kern w:val="0"/>
        </w:rPr>
      </w:pPr>
      <w:r w:rsidRPr="001A3D2B">
        <w:rPr>
          <w:kern w:val="0"/>
        </w:rPr>
        <w:t>? Tsay, M.Y. (2009), The Relationship between journal self-citation</w:t>
      </w:r>
      <w:r w:rsidR="00F81221">
        <w:rPr>
          <w:kern w:val="0"/>
        </w:rPr>
        <w:t xml:space="preserve"> and </w:t>
      </w:r>
      <w:r w:rsidRPr="001A3D2B">
        <w:rPr>
          <w:kern w:val="0"/>
        </w:rPr>
        <w:t xml:space="preserve">other scientometric data for some subjects of the social sciences.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472-481.</w:t>
      </w:r>
    </w:p>
    <w:p w:rsidR="00CF4560" w:rsidRPr="001A3D2B" w:rsidRDefault="00CF4560" w:rsidP="00CF4560">
      <w:pPr>
        <w:pStyle w:val="a0"/>
        <w:rPr>
          <w:kern w:val="0"/>
        </w:rPr>
      </w:pPr>
      <w:r w:rsidRPr="001A3D2B">
        <w:rPr>
          <w:kern w:val="0"/>
        </w:rPr>
        <w:t>Abstract: The present study analyzes</w:t>
      </w:r>
      <w:r w:rsidR="00F81221">
        <w:rPr>
          <w:kern w:val="0"/>
        </w:rPr>
        <w:t xml:space="preserve"> and </w:t>
      </w:r>
      <w:r w:rsidRPr="001A3D2B">
        <w:rPr>
          <w:kern w:val="0"/>
        </w:rPr>
        <w:t>compares the journal self-citation (both self-citing rate</w:t>
      </w:r>
      <w:r w:rsidR="00F81221">
        <w:rPr>
          <w:kern w:val="0"/>
        </w:rPr>
        <w:t xml:space="preserve"> and </w:t>
      </w:r>
      <w:r w:rsidRPr="001A3D2B">
        <w:rPr>
          <w:kern w:val="0"/>
        </w:rPr>
        <w:t>self-cited rate)</w:t>
      </w:r>
      <w:r w:rsidR="00F81221">
        <w:rPr>
          <w:kern w:val="0"/>
        </w:rPr>
        <w:t xml:space="preserve"> and </w:t>
      </w:r>
      <w:r w:rsidRPr="001A3D2B">
        <w:rPr>
          <w:kern w:val="0"/>
        </w:rPr>
        <w:t>other scientometric data for journals of economics, psychology</w:t>
      </w:r>
      <w:r w:rsidR="00F81221">
        <w:rPr>
          <w:kern w:val="0"/>
        </w:rPr>
        <w:t xml:space="preserve"> and </w:t>
      </w:r>
      <w:r w:rsidRPr="001A3D2B">
        <w:rPr>
          <w:kern w:val="0"/>
        </w:rPr>
        <w:t>political science from SSCI Journal Citation Reports on the Web 2005. The correlation between each of the nine pairs of two self-citation data</w:t>
      </w:r>
      <w:r w:rsidR="00F81221">
        <w:rPr>
          <w:kern w:val="0"/>
        </w:rPr>
        <w:t xml:space="preserve"> and </w:t>
      </w:r>
      <w:r w:rsidRPr="001A3D2B">
        <w:rPr>
          <w:kern w:val="0"/>
        </w:rPr>
        <w:t>four kinds of scientometric data, i.e. source item, citation count, impact factor</w:t>
      </w:r>
      <w:r w:rsidR="00F81221">
        <w:rPr>
          <w:kern w:val="0"/>
        </w:rPr>
        <w:t xml:space="preserve"> and </w:t>
      </w:r>
      <w:r w:rsidRPr="001A3D2B">
        <w:rPr>
          <w:kern w:val="0"/>
        </w:rPr>
        <w:t>cited half-life is examined based on the Pearson correlation tests. The Fisher</w:t>
      </w:r>
      <w:r w:rsidR="000352E7">
        <w:rPr>
          <w:kern w:val="0"/>
        </w:rPr>
        <w:t>’</w:t>
      </w:r>
      <w:r w:rsidRPr="001A3D2B">
        <w:rPr>
          <w:kern w:val="0"/>
        </w:rPr>
        <w:t>s Z-transform is employed to test the significant difference between the Pearson correlation coefficient for each pair of scientometric data from the three subject areas. The significance of mean difference of each scientometric data was examined by the Tukey tests within the ANOVA. The similarities</w:t>
      </w:r>
      <w:r w:rsidR="00F81221">
        <w:rPr>
          <w:kern w:val="0"/>
        </w:rPr>
        <w:t xml:space="preserve"> and </w:t>
      </w:r>
      <w:r w:rsidRPr="001A3D2B">
        <w:rPr>
          <w:kern w:val="0"/>
        </w:rPr>
        <w:t>differences in scientometric data among the three disciplines are identified.</w:t>
      </w:r>
    </w:p>
    <w:p w:rsidR="00CF4560" w:rsidRPr="001A3D2B" w:rsidRDefault="00CF4560" w:rsidP="00CF4560">
      <w:pPr>
        <w:pStyle w:val="a0"/>
        <w:rPr>
          <w:kern w:val="0"/>
        </w:rPr>
      </w:pPr>
      <w:r w:rsidRPr="001A3D2B">
        <w:rPr>
          <w:kern w:val="0"/>
        </w:rPr>
        <w:t>Keywords: Impact</w:t>
      </w:r>
    </w:p>
    <w:p w:rsidR="00CF4560" w:rsidRPr="001A3D2B" w:rsidRDefault="00CF4560" w:rsidP="00CF4560">
      <w:pPr>
        <w:pStyle w:val="a0"/>
        <w:rPr>
          <w:kern w:val="0"/>
        </w:rPr>
      </w:pPr>
      <w:r w:rsidRPr="001A3D2B">
        <w:rPr>
          <w:kern w:val="0"/>
        </w:rPr>
        <w:t>? Mugnaini, R., Leta, J., Goldbaum, M., Castro, R.C.F., Tardelli, A.O.</w:t>
      </w:r>
      <w:r w:rsidR="00F81221">
        <w:rPr>
          <w:kern w:val="0"/>
        </w:rPr>
        <w:t xml:space="preserve"> and </w:t>
      </w:r>
      <w:r w:rsidRPr="001A3D2B">
        <w:rPr>
          <w:kern w:val="0"/>
        </w:rPr>
        <w:t>Packer, A.L. (2009), The weight of local journals in Latin America</w:t>
      </w:r>
      <w:r w:rsidR="00F81221">
        <w:rPr>
          <w:kern w:val="0"/>
        </w:rPr>
        <w:t xml:space="preserve"> and </w:t>
      </w:r>
      <w:r w:rsidRPr="001A3D2B">
        <w:rPr>
          <w:kern w:val="0"/>
        </w:rPr>
        <w:t xml:space="preserve">Caribbean research on epidemiology.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482-486.</w:t>
      </w:r>
    </w:p>
    <w:p w:rsidR="00CF4560" w:rsidRPr="001A3D2B" w:rsidRDefault="00CF4560" w:rsidP="00CF4560">
      <w:pPr>
        <w:pStyle w:val="a0"/>
        <w:rPr>
          <w:kern w:val="0"/>
        </w:rPr>
      </w:pPr>
      <w:r w:rsidRPr="001A3D2B">
        <w:rPr>
          <w:kern w:val="0"/>
        </w:rPr>
        <w:t>Abstract: The present study aims to measure the weight of Latin American</w:t>
      </w:r>
      <w:r w:rsidR="00F81221">
        <w:rPr>
          <w:kern w:val="0"/>
        </w:rPr>
        <w:t xml:space="preserve"> and </w:t>
      </w:r>
      <w:r w:rsidRPr="001A3D2B">
        <w:rPr>
          <w:kern w:val="0"/>
        </w:rPr>
        <w:t>Caribbean (LA&amp;C) journals in the regional research on epidemiology throughout the 1992-2006 period. The analysis was carried out upon the 304,875 articles retrieved from MEDLINE,. Bradford</w:t>
      </w:r>
      <w:r w:rsidR="000352E7">
        <w:rPr>
          <w:kern w:val="0"/>
        </w:rPr>
        <w:t>’</w:t>
      </w:r>
      <w:r w:rsidRPr="001A3D2B">
        <w:rPr>
          <w:kern w:val="0"/>
        </w:rPr>
        <w:t>s zones of dispersion were used to determine epidemiology core journals as well as to compare affiliation country</w:t>
      </w:r>
      <w:r w:rsidR="00F81221">
        <w:rPr>
          <w:kern w:val="0"/>
        </w:rPr>
        <w:t xml:space="preserve"> and </w:t>
      </w:r>
      <w:r w:rsidRPr="001A3D2B">
        <w:rPr>
          <w:kern w:val="0"/>
        </w:rPr>
        <w:t>country of publication. Results were analyzed considering the total number of articles on epidemiology from the whole MEDLINE database</w:t>
      </w:r>
      <w:r w:rsidR="00F81221">
        <w:rPr>
          <w:kern w:val="0"/>
        </w:rPr>
        <w:t xml:space="preserve"> and </w:t>
      </w:r>
      <w:r w:rsidRPr="001A3D2B">
        <w:rPr>
          <w:kern w:val="0"/>
        </w:rPr>
        <w:t>that authored by LA&amp;C researchers. The analysis showed that regional research is been published in a larger number of journals in recent times. In the process of disseminating regional research on epidemiology, most of LA&amp;C researchers seek domestic journals rather than international ones, probably due to regional similarities on cultural</w:t>
      </w:r>
      <w:r w:rsidR="00F81221">
        <w:rPr>
          <w:kern w:val="0"/>
        </w:rPr>
        <w:t xml:space="preserve"> and </w:t>
      </w:r>
      <w:r w:rsidRPr="001A3D2B">
        <w:rPr>
          <w:kern w:val="0"/>
        </w:rPr>
        <w:t xml:space="preserve">social aspects </w:t>
      </w:r>
      <w:r w:rsidRPr="001A3D2B">
        <w:rPr>
          <w:kern w:val="0"/>
        </w:rPr>
        <w:lastRenderedPageBreak/>
        <w:t>as well as on health conditions. Such scenario suggests that LA&amp;C researchers are exchanging more among themselves, thus, getting more knowledge (or at least, diffusing more) about shared conditions</w:t>
      </w:r>
      <w:r w:rsidR="00F81221">
        <w:rPr>
          <w:kern w:val="0"/>
        </w:rPr>
        <w:t xml:space="preserve"> and </w:t>
      </w:r>
      <w:r w:rsidRPr="001A3D2B">
        <w:rPr>
          <w:kern w:val="0"/>
        </w:rPr>
        <w:t>problems.</w:t>
      </w:r>
    </w:p>
    <w:p w:rsidR="00CF4560" w:rsidRPr="001A3D2B" w:rsidRDefault="00CF4560" w:rsidP="00CF4560">
      <w:pPr>
        <w:pStyle w:val="a0"/>
        <w:rPr>
          <w:kern w:val="0"/>
        </w:rPr>
      </w:pPr>
      <w:r w:rsidRPr="001A3D2B">
        <w:rPr>
          <w:kern w:val="0"/>
        </w:rPr>
        <w:t>Keywords: Bibliometric Analysis, Health</w:t>
      </w:r>
    </w:p>
    <w:p w:rsidR="00CF4560" w:rsidRPr="001A3D2B" w:rsidRDefault="00CF4560" w:rsidP="00CF4560">
      <w:pPr>
        <w:pStyle w:val="a0"/>
        <w:rPr>
          <w:kern w:val="0"/>
        </w:rPr>
      </w:pPr>
      <w:r w:rsidRPr="001A3D2B">
        <w:rPr>
          <w:kern w:val="0"/>
        </w:rPr>
        <w:t>? Chen, Y.W., Yang, Z.P.</w:t>
      </w:r>
      <w:r w:rsidR="00F81221">
        <w:rPr>
          <w:kern w:val="0"/>
        </w:rPr>
        <w:t xml:space="preserve"> and </w:t>
      </w:r>
      <w:r w:rsidRPr="001A3D2B">
        <w:rPr>
          <w:kern w:val="0"/>
        </w:rPr>
        <w:t xml:space="preserve">Fang, S. (2009), A comparative study on the biotechnology patents of CAS, China.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528-537.</w:t>
      </w:r>
    </w:p>
    <w:p w:rsidR="00CF4560" w:rsidRPr="001A3D2B" w:rsidRDefault="00CF4560" w:rsidP="00CF4560">
      <w:pPr>
        <w:pStyle w:val="a0"/>
        <w:rPr>
          <w:kern w:val="0"/>
        </w:rPr>
      </w:pPr>
      <w:r w:rsidRPr="001A3D2B">
        <w:rPr>
          <w:kern w:val="0"/>
        </w:rPr>
        <w:t>Abstract: The purpose of this article is to compare the biotechnology patent filing statistics of CAS to CNRS, MIT</w:t>
      </w:r>
      <w:r w:rsidR="00F81221">
        <w:rPr>
          <w:kern w:val="0"/>
        </w:rPr>
        <w:t xml:space="preserve"> and </w:t>
      </w:r>
      <w:r w:rsidRPr="001A3D2B">
        <w:rPr>
          <w:kern w:val="0"/>
        </w:rPr>
        <w:t>MPI in DII covering a time period of 1985-2005 by scientometrics methods. The analysis was classified based on applications numbers, technical fields, times cited, countries, group intensity</w:t>
      </w:r>
      <w:r w:rsidR="00F81221">
        <w:rPr>
          <w:kern w:val="0"/>
        </w:rPr>
        <w:t xml:space="preserve"> and </w:t>
      </w:r>
      <w:r w:rsidRPr="001A3D2B">
        <w:rPr>
          <w:kern w:val="0"/>
        </w:rPr>
        <w:t>associative intensity. This paper also introduced the Relative Intensity (RI) indicator to visualize the relative intensity of times cited, family members, inventors</w:t>
      </w:r>
      <w:r w:rsidR="00F81221">
        <w:rPr>
          <w:kern w:val="0"/>
        </w:rPr>
        <w:t xml:space="preserve"> and </w:t>
      </w:r>
      <w:r w:rsidRPr="001A3D2B">
        <w:rPr>
          <w:kern w:val="0"/>
        </w:rPr>
        <w:t>associative intensity between assignees among the four institutions. As a result of this paper, although CAS had the largest number of patents applications among the four institutions, the strength of intellectual property protection of CAS was weaker than that of the other three institutions. Firstly, compared to CNRS, MIT</w:t>
      </w:r>
      <w:r w:rsidR="00F81221">
        <w:rPr>
          <w:kern w:val="0"/>
        </w:rPr>
        <w:t xml:space="preserve"> and </w:t>
      </w:r>
      <w:r w:rsidRPr="001A3D2B">
        <w:rPr>
          <w:kern w:val="0"/>
        </w:rPr>
        <w:t>MPI, CAS had mainly paid its attention to its native land protection for its intellectual property but less in overseas. Although CAS had also applied the biotechnology patents in 24 countries, CAS</w:t>
      </w:r>
      <w:r w:rsidR="000352E7">
        <w:rPr>
          <w:kern w:val="0"/>
        </w:rPr>
        <w:t>’</w:t>
      </w:r>
      <w:r w:rsidRPr="001A3D2B">
        <w:rPr>
          <w:kern w:val="0"/>
        </w:rPr>
        <w:t>s average numbers per family was only 1.12, which was much lower than other three institutions. Secondly, the RI (ANA/N) indicated that the associative activity of CAS was worse than the other three institutions. These characters also had been found in the indicators of group intensity</w:t>
      </w:r>
      <w:r w:rsidR="00F81221">
        <w:rPr>
          <w:kern w:val="0"/>
        </w:rPr>
        <w:t xml:space="preserve"> and </w:t>
      </w:r>
      <w:r w:rsidRPr="001A3D2B">
        <w:rPr>
          <w:kern w:val="0"/>
        </w:rPr>
        <w:t>times cited. We hope this paper could be effective for the CAS to make powerful measures to prompt its biotechnology innovations capabilities</w:t>
      </w:r>
      <w:r w:rsidR="00F81221">
        <w:rPr>
          <w:kern w:val="0"/>
        </w:rPr>
        <w:t xml:space="preserve"> and </w:t>
      </w:r>
      <w:r w:rsidRPr="001A3D2B">
        <w:rPr>
          <w:kern w:val="0"/>
        </w:rPr>
        <w:t>broaden its global protection strength.</w:t>
      </w:r>
    </w:p>
    <w:p w:rsidR="00CF4560" w:rsidRPr="001A3D2B" w:rsidRDefault="00CF4560" w:rsidP="00CF4560">
      <w:pPr>
        <w:pStyle w:val="a0"/>
        <w:rPr>
          <w:kern w:val="0"/>
        </w:rPr>
      </w:pPr>
      <w:r w:rsidRPr="001A3D2B">
        <w:rPr>
          <w:kern w:val="0"/>
        </w:rPr>
        <w:t>Keywords: Examiner Citations, Knowledge Flows</w:t>
      </w:r>
    </w:p>
    <w:p w:rsidR="00CF4560" w:rsidRPr="001A3D2B" w:rsidRDefault="00CF4560" w:rsidP="00CF4560">
      <w:pPr>
        <w:pStyle w:val="a0"/>
        <w:rPr>
          <w:kern w:val="0"/>
        </w:rPr>
      </w:pPr>
      <w:r w:rsidRPr="001A3D2B">
        <w:rPr>
          <w:kern w:val="0"/>
        </w:rPr>
        <w:t>? Yuan, J.P., Yue, W.P., Su, C., Wu, Z., Pan, Y.T., Ma, N., Hu, Z.Y., Shi, F., Yu, Z.L.</w:t>
      </w:r>
      <w:r w:rsidR="00F81221">
        <w:rPr>
          <w:kern w:val="0"/>
        </w:rPr>
        <w:t xml:space="preserve"> and </w:t>
      </w:r>
      <w:r w:rsidRPr="001A3D2B">
        <w:rPr>
          <w:kern w:val="0"/>
        </w:rPr>
        <w:t>Wu, Y.S. (2009), Patent activity on water pollution</w:t>
      </w:r>
      <w:r w:rsidR="00F81221">
        <w:rPr>
          <w:kern w:val="0"/>
        </w:rPr>
        <w:t xml:space="preserve"> and </w:t>
      </w:r>
      <w:r w:rsidRPr="001A3D2B">
        <w:rPr>
          <w:kern w:val="0"/>
        </w:rPr>
        <w:t xml:space="preserve">treatment in China - A scientometric perspective.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 xml:space="preserve">, </w:t>
      </w:r>
      <w:r w:rsidRPr="001A3D2B">
        <w:rPr>
          <w:b/>
          <w:iCs/>
          <w:kern w:val="0"/>
        </w:rPr>
        <w:t>1</w:t>
      </w:r>
      <w:r w:rsidRPr="001A3D2B">
        <w:rPr>
          <w:iCs/>
          <w:kern w:val="0"/>
        </w:rPr>
        <w:t xml:space="preserve">, </w:t>
      </w:r>
      <w:r w:rsidRPr="001A3D2B">
        <w:rPr>
          <w:kern w:val="0"/>
        </w:rPr>
        <w:t>538-542.</w:t>
      </w:r>
    </w:p>
    <w:p w:rsidR="00CF4560" w:rsidRPr="001A3D2B" w:rsidRDefault="00CF4560" w:rsidP="00CF4560">
      <w:pPr>
        <w:pStyle w:val="a0"/>
        <w:rPr>
          <w:kern w:val="0"/>
        </w:rPr>
      </w:pPr>
      <w:r w:rsidRPr="001A3D2B">
        <w:rPr>
          <w:kern w:val="0"/>
        </w:rPr>
        <w:t>Abstract: This research intends to study the patent activity on water pollution</w:t>
      </w:r>
      <w:r w:rsidR="00F81221">
        <w:rPr>
          <w:kern w:val="0"/>
        </w:rPr>
        <w:t xml:space="preserve"> and </w:t>
      </w:r>
      <w:r w:rsidRPr="001A3D2B">
        <w:rPr>
          <w:kern w:val="0"/>
        </w:rPr>
        <w:t>treatment in China. Data were collected from Derwent World Patents Index between 1985</w:t>
      </w:r>
      <w:r w:rsidR="00F81221">
        <w:rPr>
          <w:kern w:val="0"/>
        </w:rPr>
        <w:t xml:space="preserve"> and </w:t>
      </w:r>
      <w:r w:rsidRPr="001A3D2B">
        <w:rPr>
          <w:kern w:val="0"/>
        </w:rPr>
        <w:t>May 2008. Total volume of patents, technology focus, assignee sector,</w:t>
      </w:r>
      <w:r w:rsidR="00F81221">
        <w:rPr>
          <w:kern w:val="0"/>
        </w:rPr>
        <w:t xml:space="preserve"> and </w:t>
      </w:r>
      <w:r w:rsidRPr="001A3D2B">
        <w:rPr>
          <w:kern w:val="0"/>
        </w:rPr>
        <w:t>the comparison with triadic patents are analyzed. It is found that patents on water pollution</w:t>
      </w:r>
      <w:r w:rsidR="00F81221">
        <w:rPr>
          <w:kern w:val="0"/>
        </w:rPr>
        <w:t xml:space="preserve"> and </w:t>
      </w:r>
      <w:r w:rsidRPr="001A3D2B">
        <w:rPr>
          <w:kern w:val="0"/>
        </w:rPr>
        <w:t>treatment applied in China has grown by 200-fold. However, the number of high quality triadic patents with priority country of China remains small. Nevertheless, China</w:t>
      </w:r>
      <w:r w:rsidR="000352E7">
        <w:rPr>
          <w:kern w:val="0"/>
        </w:rPr>
        <w:t>’</w:t>
      </w:r>
      <w:r w:rsidRPr="001A3D2B">
        <w:rPr>
          <w:kern w:val="0"/>
        </w:rPr>
        <w:t>s technology focuses on water pollution</w:t>
      </w:r>
      <w:r w:rsidR="00F81221">
        <w:rPr>
          <w:kern w:val="0"/>
        </w:rPr>
        <w:t xml:space="preserve"> and </w:t>
      </w:r>
      <w:r w:rsidRPr="001A3D2B">
        <w:rPr>
          <w:kern w:val="0"/>
        </w:rPr>
        <w:t xml:space="preserve">treatment seem to </w:t>
      </w:r>
      <w:r w:rsidRPr="001A3D2B">
        <w:rPr>
          <w:kern w:val="0"/>
        </w:rPr>
        <w:lastRenderedPageBreak/>
        <w:t>parallel global</w:t>
      </w:r>
      <w:r w:rsidR="00F81221">
        <w:rPr>
          <w:kern w:val="0"/>
        </w:rPr>
        <w:t xml:space="preserve"> and </w:t>
      </w:r>
      <w:r w:rsidRPr="001A3D2B">
        <w:rPr>
          <w:kern w:val="0"/>
        </w:rPr>
        <w:t>triadic patent trends. Furthermore, except for individual patent assignees, both Chinese universities</w:t>
      </w:r>
      <w:r w:rsidR="00F81221">
        <w:rPr>
          <w:kern w:val="0"/>
        </w:rPr>
        <w:t xml:space="preserve"> and </w:t>
      </w:r>
      <w:r w:rsidRPr="001A3D2B">
        <w:rPr>
          <w:kern w:val="0"/>
        </w:rPr>
        <w:t>enterprises play an important role in patent activity of water pollution</w:t>
      </w:r>
      <w:r w:rsidR="00F81221">
        <w:rPr>
          <w:kern w:val="0"/>
        </w:rPr>
        <w:t xml:space="preserve"> and </w:t>
      </w:r>
      <w:r w:rsidRPr="001A3D2B">
        <w:rPr>
          <w:kern w:val="0"/>
        </w:rPr>
        <w:t>treatment. This research provides a comprehensive picture of China</w:t>
      </w:r>
      <w:r w:rsidR="000352E7">
        <w:rPr>
          <w:kern w:val="0"/>
        </w:rPr>
        <w:t>’</w:t>
      </w:r>
      <w:r w:rsidRPr="001A3D2B">
        <w:rPr>
          <w:kern w:val="0"/>
        </w:rPr>
        <w:t>s innovation capability in the area of water pollution</w:t>
      </w:r>
      <w:r w:rsidR="00F81221">
        <w:rPr>
          <w:kern w:val="0"/>
        </w:rPr>
        <w:t xml:space="preserve"> and </w:t>
      </w:r>
      <w:r w:rsidRPr="001A3D2B">
        <w:rPr>
          <w:kern w:val="0"/>
        </w:rPr>
        <w:t>treatment. It will help China</w:t>
      </w:r>
      <w:r w:rsidR="000352E7">
        <w:rPr>
          <w:kern w:val="0"/>
        </w:rPr>
        <w:t>’</w:t>
      </w:r>
      <w:r w:rsidRPr="001A3D2B">
        <w:rPr>
          <w:kern w:val="0"/>
        </w:rPr>
        <w:t>s local governments to increase their regional S&amp;T capability</w:t>
      </w:r>
      <w:r w:rsidR="00F81221">
        <w:rPr>
          <w:kern w:val="0"/>
        </w:rPr>
        <w:t xml:space="preserve"> and </w:t>
      </w:r>
      <w:r w:rsidRPr="001A3D2B">
        <w:rPr>
          <w:kern w:val="0"/>
        </w:rPr>
        <w:t>will provide support to strengthen strategic planning</w:t>
      </w:r>
      <w:r w:rsidR="00F81221">
        <w:rPr>
          <w:kern w:val="0"/>
        </w:rPr>
        <w:t xml:space="preserve"> and </w:t>
      </w:r>
      <w:r w:rsidRPr="001A3D2B">
        <w:rPr>
          <w:kern w:val="0"/>
        </w:rPr>
        <w:t>science decision-making in China.</w:t>
      </w:r>
    </w:p>
    <w:p w:rsidR="00CF4560" w:rsidRPr="001A3D2B" w:rsidRDefault="00CF4560" w:rsidP="00CF4560">
      <w:pPr>
        <w:pStyle w:val="a0"/>
        <w:rPr>
          <w:kern w:val="0"/>
        </w:rPr>
      </w:pPr>
      <w:r w:rsidRPr="001A3D2B">
        <w:rPr>
          <w:kern w:val="0"/>
        </w:rPr>
        <w:t>? Lin, D.M., Chen, C.M.</w:t>
      </w:r>
      <w:r w:rsidR="00F81221">
        <w:rPr>
          <w:kern w:val="0"/>
        </w:rPr>
        <w:t xml:space="preserve"> and </w:t>
      </w:r>
      <w:r w:rsidRPr="001A3D2B">
        <w:rPr>
          <w:kern w:val="0"/>
        </w:rPr>
        <w:t xml:space="preserve">Liu, Z.Y. (2009), Statistical characteristics of an evolving co-citation network: The distribution of betweenness centrality. </w:t>
      </w:r>
      <w:r w:rsidRPr="001A3D2B">
        <w:rPr>
          <w:i/>
          <w:iCs/>
          <w:kern w:val="0"/>
        </w:rPr>
        <w:t>Proceedings of ISSI 2009</w:t>
      </w:r>
      <w:r>
        <w:rPr>
          <w:rFonts w:hint="eastAsia"/>
          <w:i/>
          <w:iCs/>
          <w:kern w:val="0"/>
        </w:rPr>
        <w:t>:</w:t>
      </w:r>
      <w:r w:rsidRPr="001A3D2B">
        <w:rPr>
          <w:i/>
          <w:iCs/>
          <w:kern w:val="0"/>
        </w:rPr>
        <w:t xml:space="preserve"> 12th International Conference of the International Society for Scientometrics</w:t>
      </w:r>
      <w:r w:rsidR="00F81221">
        <w:rPr>
          <w:i/>
          <w:iCs/>
          <w:kern w:val="0"/>
        </w:rPr>
        <w:t xml:space="preserve"> and </w:t>
      </w:r>
      <w:r w:rsidRPr="001A3D2B">
        <w:rPr>
          <w:i/>
          <w:iCs/>
          <w:kern w:val="0"/>
        </w:rPr>
        <w:t>Informetrics</w:t>
      </w:r>
      <w:r w:rsidRPr="001A3D2B">
        <w:rPr>
          <w:iCs/>
          <w:kern w:val="0"/>
        </w:rPr>
        <w:t>,</w:t>
      </w:r>
      <w:r w:rsidRPr="001A3D2B">
        <w:rPr>
          <w:kern w:val="0"/>
        </w:rPr>
        <w:t xml:space="preserve"> </w:t>
      </w:r>
      <w:r w:rsidRPr="001A3D2B">
        <w:rPr>
          <w:b/>
          <w:kern w:val="0"/>
        </w:rPr>
        <w:t>2</w:t>
      </w:r>
      <w:r w:rsidRPr="001A3D2B">
        <w:rPr>
          <w:kern w:val="0"/>
        </w:rPr>
        <w:t>, 552-560.</w:t>
      </w:r>
    </w:p>
    <w:p w:rsidR="00CF4560" w:rsidRPr="001A3D2B" w:rsidRDefault="00CF4560" w:rsidP="00CF4560">
      <w:pPr>
        <w:pStyle w:val="a0"/>
        <w:rPr>
          <w:kern w:val="0"/>
        </w:rPr>
      </w:pPr>
      <w:r w:rsidRPr="001A3D2B">
        <w:rPr>
          <w:kern w:val="0"/>
        </w:rPr>
        <w:t>Abstract: We investigate statistical characteristics of an evolving co-citation network, primarily in term of the dynamics of betweenness centrality measures, we generate co-citation network of papers published in journal of Scientometrics. Our study shows that the overall co-citation network is a small-world</w:t>
      </w:r>
      <w:r w:rsidR="00F81221">
        <w:rPr>
          <w:kern w:val="0"/>
        </w:rPr>
        <w:t xml:space="preserve"> and </w:t>
      </w:r>
      <w:r w:rsidRPr="001A3D2B">
        <w:rPr>
          <w:kern w:val="0"/>
        </w:rPr>
        <w:t>scale-free network. The co-citation network has a relatively small number of nodes with high betweenness centrality, most nodes have low betweeness centrality scores. Furthermore, the betweenness centrality distribution of the co-citation network follows segmented Zipf-Pareto distribution. We found a tendency that high betweenness centrality measures tend to reduce over time.</w:t>
      </w:r>
    </w:p>
    <w:p w:rsidR="00CF4560" w:rsidRPr="001A3D2B" w:rsidRDefault="00CF4560" w:rsidP="00CF4560">
      <w:pPr>
        <w:pStyle w:val="a0"/>
        <w:rPr>
          <w:kern w:val="0"/>
        </w:rPr>
      </w:pPr>
      <w:r w:rsidRPr="001A3D2B">
        <w:rPr>
          <w:kern w:val="0"/>
        </w:rPr>
        <w:t>Keywords: Algorithm, Science, Scientific Literature, Word Analysis</w:t>
      </w:r>
    </w:p>
    <w:p w:rsidR="00CF4560" w:rsidRPr="001A3D2B" w:rsidRDefault="00CF4560" w:rsidP="00CF4560">
      <w:pPr>
        <w:pStyle w:val="a0"/>
        <w:rPr>
          <w:kern w:val="0"/>
        </w:rPr>
      </w:pPr>
      <w:r w:rsidRPr="001A3D2B">
        <w:rPr>
          <w:kern w:val="0"/>
        </w:rPr>
        <w:t>? Lariviere, V., Macaluso, B., Archambault, E.</w:t>
      </w:r>
      <w:r w:rsidR="00F81221">
        <w:rPr>
          <w:kern w:val="0"/>
        </w:rPr>
        <w:t xml:space="preserve"> and </w:t>
      </w:r>
      <w:r w:rsidRPr="001A3D2B">
        <w:rPr>
          <w:kern w:val="0"/>
        </w:rPr>
        <w:t>Gingras, Y. (2009), Which scientific elite? On the concentration of funding, productivity</w:t>
      </w:r>
      <w:r w:rsidR="00F81221">
        <w:rPr>
          <w:kern w:val="0"/>
        </w:rPr>
        <w:t xml:space="preserve"> and </w:t>
      </w:r>
      <w:r w:rsidRPr="001A3D2B">
        <w:rPr>
          <w:kern w:val="0"/>
        </w:rPr>
        <w:t xml:space="preserve">citations.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576-586.</w:t>
      </w:r>
    </w:p>
    <w:p w:rsidR="00CF4560" w:rsidRPr="001A3D2B" w:rsidRDefault="00CF4560" w:rsidP="00CF4560">
      <w:pPr>
        <w:pStyle w:val="a0"/>
        <w:rPr>
          <w:kern w:val="0"/>
        </w:rPr>
      </w:pPr>
      <w:r w:rsidRPr="001A3D2B">
        <w:rPr>
          <w:kern w:val="0"/>
        </w:rPr>
        <w:t>Abstract: Using a very large population of university professors</w:t>
      </w:r>
      <w:r w:rsidR="00F81221">
        <w:rPr>
          <w:kern w:val="0"/>
        </w:rPr>
        <w:t xml:space="preserve"> and </w:t>
      </w:r>
      <w:r w:rsidRPr="001A3D2B">
        <w:rPr>
          <w:kern w:val="0"/>
        </w:rPr>
        <w:t>researchers (N= 13,479), this paper analyses the concentration of funding, papers</w:t>
      </w:r>
      <w:r w:rsidR="00F81221">
        <w:rPr>
          <w:kern w:val="0"/>
        </w:rPr>
        <w:t xml:space="preserve"> and </w:t>
      </w:r>
      <w:r w:rsidRPr="001A3D2B">
        <w:rPr>
          <w:kern w:val="0"/>
        </w:rPr>
        <w:t>citations at the level of individual researchers. It shows that each of these distributions is different: citations being the most concentrated, followed by funding, papers published</w:t>
      </w:r>
      <w:r w:rsidR="00F81221">
        <w:rPr>
          <w:kern w:val="0"/>
        </w:rPr>
        <w:t xml:space="preserve"> and </w:t>
      </w:r>
      <w:r w:rsidRPr="001A3D2B">
        <w:rPr>
          <w:kern w:val="0"/>
        </w:rPr>
        <w:t>finally number of funded projects. Concentration measures also vary between fields, social sciences</w:t>
      </w:r>
      <w:r w:rsidR="00F81221">
        <w:rPr>
          <w:kern w:val="0"/>
        </w:rPr>
        <w:t xml:space="preserve"> and </w:t>
      </w:r>
      <w:r w:rsidRPr="001A3D2B">
        <w:rPr>
          <w:kern w:val="0"/>
        </w:rPr>
        <w:t>humanities being generally the most concentrated. The paper also shows that the correspondence between the elites defined by each of these measures is limited. In fact, only 3.2% of the researchers are in the top 10% on all indicators, while about 20% are in the top 10% in at least one of the indicators. The paper concludes with a discussion on the causes of these observed differences</w:t>
      </w:r>
      <w:r w:rsidR="00F81221">
        <w:rPr>
          <w:kern w:val="0"/>
        </w:rPr>
        <w:t xml:space="preserve"> and </w:t>
      </w:r>
      <w:r w:rsidRPr="001A3D2B">
        <w:rPr>
          <w:kern w:val="0"/>
        </w:rPr>
        <w:t>formulates a few hypotheses.</w:t>
      </w:r>
    </w:p>
    <w:p w:rsidR="00CF4560" w:rsidRPr="001A3D2B" w:rsidRDefault="00CF4560" w:rsidP="00CF4560">
      <w:pPr>
        <w:pStyle w:val="a0"/>
        <w:rPr>
          <w:kern w:val="0"/>
        </w:rPr>
      </w:pPr>
      <w:r w:rsidRPr="001A3D2B">
        <w:rPr>
          <w:kern w:val="0"/>
        </w:rPr>
        <w:t>Keywords: Bibliometric Indicators, Humanities, Ortega Hypothesis, Publication, Social-Sciences</w:t>
      </w:r>
    </w:p>
    <w:p w:rsidR="00CF4560" w:rsidRPr="001A3D2B" w:rsidRDefault="00CF4560" w:rsidP="00CF4560">
      <w:pPr>
        <w:pStyle w:val="a0"/>
        <w:rPr>
          <w:kern w:val="0"/>
        </w:rPr>
      </w:pPr>
      <w:r w:rsidRPr="001A3D2B">
        <w:rPr>
          <w:kern w:val="0"/>
        </w:rPr>
        <w:t>? Larsen, P.O.</w:t>
      </w:r>
      <w:r w:rsidR="00F81221">
        <w:rPr>
          <w:kern w:val="0"/>
        </w:rPr>
        <w:t xml:space="preserve"> and </w:t>
      </w:r>
      <w:r w:rsidRPr="001A3D2B">
        <w:rPr>
          <w:kern w:val="0"/>
        </w:rPr>
        <w:t>von Ins, M. (2009), The steady growth of scientific publication</w:t>
      </w:r>
      <w:r w:rsidR="00F81221">
        <w:rPr>
          <w:kern w:val="0"/>
        </w:rPr>
        <w:t xml:space="preserve"> and </w:t>
      </w:r>
      <w:r w:rsidRPr="001A3D2B">
        <w:rPr>
          <w:kern w:val="0"/>
        </w:rPr>
        <w:lastRenderedPageBreak/>
        <w:t xml:space="preserve">the declining coverage provided by Science Citation Index.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597-606.</w:t>
      </w:r>
    </w:p>
    <w:p w:rsidR="00CF4560" w:rsidRPr="001A3D2B" w:rsidRDefault="00CF4560" w:rsidP="00CF4560">
      <w:pPr>
        <w:pStyle w:val="a0"/>
        <w:rPr>
          <w:kern w:val="0"/>
        </w:rPr>
      </w:pPr>
      <w:r w:rsidRPr="001A3D2B">
        <w:rPr>
          <w:kern w:val="0"/>
        </w:rPr>
        <w:t>Abstract: The growth rate of scientific publication has been studied from 1907 to 2007 using available data from a number of databases, including the expanded version of the Science Citation Index (SCIE). Traditional scientific publishing, that is publication in peer-reviewed journals, is still increasing although there are big differences between fields. There are no indications that the growth rate has decreased in the last fifty years. At the same time publication using new channels, for example conference proceedings, open archives</w:t>
      </w:r>
      <w:r w:rsidR="00F81221">
        <w:rPr>
          <w:kern w:val="0"/>
        </w:rPr>
        <w:t xml:space="preserve"> and </w:t>
      </w:r>
      <w:r w:rsidRPr="001A3D2B">
        <w:rPr>
          <w:kern w:val="0"/>
        </w:rPr>
        <w:t>home pages, is growing fast. The growth rate for SCIE is smaller than for comparable databases. This means that SCIE is covering a decreasing part of the traditional scientific literature. There are also clear indications that the coverage of SCIE is especially low in some of the scientific areas with the highest growth rate, including computer science</w:t>
      </w:r>
      <w:r w:rsidR="00F81221">
        <w:rPr>
          <w:kern w:val="0"/>
        </w:rPr>
        <w:t xml:space="preserve"> and </w:t>
      </w:r>
      <w:r w:rsidRPr="001A3D2B">
        <w:rPr>
          <w:kern w:val="0"/>
        </w:rPr>
        <w:t>engineering sciences. The role of conference proceedings, open access archives</w:t>
      </w:r>
      <w:r w:rsidR="00F81221">
        <w:rPr>
          <w:kern w:val="0"/>
        </w:rPr>
        <w:t xml:space="preserve"> and </w:t>
      </w:r>
      <w:r w:rsidRPr="001A3D2B">
        <w:rPr>
          <w:kern w:val="0"/>
        </w:rPr>
        <w:t>publications published on the net is increasing, especially in scientific fields with high growth rates, but this is only partially reflected in the databases. It is therefore problematic that SCIE has been used</w:t>
      </w:r>
      <w:r w:rsidR="00F81221">
        <w:rPr>
          <w:kern w:val="0"/>
        </w:rPr>
        <w:t xml:space="preserve"> and </w:t>
      </w:r>
      <w:r w:rsidRPr="001A3D2B">
        <w:rPr>
          <w:kern w:val="0"/>
        </w:rPr>
        <w:t>is used as the dominant source for science indicators based on publication</w:t>
      </w:r>
      <w:r w:rsidR="00F81221">
        <w:rPr>
          <w:kern w:val="0"/>
        </w:rPr>
        <w:t xml:space="preserve"> and </w:t>
      </w:r>
      <w:r w:rsidRPr="001A3D2B">
        <w:rPr>
          <w:kern w:val="0"/>
        </w:rPr>
        <w:t>citation numbers.</w:t>
      </w:r>
    </w:p>
    <w:p w:rsidR="00CF4560" w:rsidRPr="001A3D2B" w:rsidRDefault="00CF4560" w:rsidP="00CF4560">
      <w:pPr>
        <w:pStyle w:val="a0"/>
        <w:rPr>
          <w:kern w:val="0"/>
        </w:rPr>
      </w:pPr>
      <w:r w:rsidRPr="001A3D2B">
        <w:rPr>
          <w:kern w:val="0"/>
        </w:rPr>
        <w:t>Keywords: Google Scholar</w:t>
      </w:r>
    </w:p>
    <w:p w:rsidR="00CF4560" w:rsidRPr="001A3D2B" w:rsidRDefault="00CF4560" w:rsidP="00CF4560">
      <w:pPr>
        <w:pStyle w:val="a0"/>
        <w:rPr>
          <w:kern w:val="0"/>
        </w:rPr>
      </w:pPr>
      <w:r w:rsidRPr="001A3D2B">
        <w:rPr>
          <w:kern w:val="0"/>
        </w:rPr>
        <w:t>? Borner, K., Huang, B.N., Linnemeier, M., Duhon, R.J., Phillips, P., Ma, N.N.L., Zoss, A., Guo, H.N.</w:t>
      </w:r>
      <w:r w:rsidR="00F81221">
        <w:rPr>
          <w:kern w:val="0"/>
        </w:rPr>
        <w:t xml:space="preserve"> and </w:t>
      </w:r>
      <w:r w:rsidRPr="001A3D2B">
        <w:rPr>
          <w:kern w:val="0"/>
        </w:rPr>
        <w:t>Price, M.A. (2009), Rete-Netzwerk-Red: Analyzing</w:t>
      </w:r>
      <w:r w:rsidR="00F81221">
        <w:rPr>
          <w:kern w:val="0"/>
        </w:rPr>
        <w:t xml:space="preserve"> and </w:t>
      </w:r>
      <w:r w:rsidRPr="001A3D2B">
        <w:rPr>
          <w:kern w:val="0"/>
        </w:rPr>
        <w:t xml:space="preserve">visualizing scholarly networks using the network workbench tool.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619-630.</w:t>
      </w:r>
    </w:p>
    <w:p w:rsidR="00CF4560" w:rsidRPr="001A3D2B" w:rsidRDefault="00CF4560" w:rsidP="00CF4560">
      <w:pPr>
        <w:pStyle w:val="a0"/>
        <w:rPr>
          <w:kern w:val="0"/>
        </w:rPr>
      </w:pPr>
      <w:r w:rsidRPr="001A3D2B">
        <w:rPr>
          <w:kern w:val="0"/>
        </w:rPr>
        <w:t>Abstract: The enormous increase in digital scholarly data</w:t>
      </w:r>
      <w:r w:rsidR="00F81221">
        <w:rPr>
          <w:kern w:val="0"/>
        </w:rPr>
        <w:t xml:space="preserve"> and </w:t>
      </w:r>
      <w:r w:rsidRPr="001A3D2B">
        <w:rPr>
          <w:kern w:val="0"/>
        </w:rPr>
        <w:t>computing power combined with recent advances in text mining, linguistics, network science,</w:t>
      </w:r>
      <w:r w:rsidR="00F81221">
        <w:rPr>
          <w:kern w:val="0"/>
        </w:rPr>
        <w:t xml:space="preserve"> and </w:t>
      </w:r>
      <w:r w:rsidRPr="001A3D2B">
        <w:rPr>
          <w:kern w:val="0"/>
        </w:rPr>
        <w:t>scientometrics make it possible to scientifically study the structure</w:t>
      </w:r>
      <w:r w:rsidR="00F81221">
        <w:rPr>
          <w:kern w:val="0"/>
        </w:rPr>
        <w:t xml:space="preserve"> and </w:t>
      </w:r>
      <w:r w:rsidRPr="001A3D2B">
        <w:rPr>
          <w:kern w:val="0"/>
        </w:rPr>
        <w:t>evolution of science on a large scale. This paper discusses the challenges of this `BIG science of science</w:t>
      </w:r>
      <w:r w:rsidR="000352E7">
        <w:rPr>
          <w:kern w:val="0"/>
        </w:rPr>
        <w:t>’</w:t>
      </w:r>
      <w:r w:rsidRPr="001A3D2B">
        <w:rPr>
          <w:kern w:val="0"/>
        </w:rPr>
        <w:t xml:space="preserve"> - also called `computational scientometrics</w:t>
      </w:r>
      <w:r w:rsidR="000352E7">
        <w:rPr>
          <w:kern w:val="0"/>
        </w:rPr>
        <w:t>’</w:t>
      </w:r>
      <w:r w:rsidRPr="001A3D2B">
        <w:rPr>
          <w:kern w:val="0"/>
        </w:rPr>
        <w:t xml:space="preserve"> research - in terms of data access, algorithm scalability, repeatability, as well as result communication</w:t>
      </w:r>
      <w:r w:rsidR="00F81221">
        <w:rPr>
          <w:kern w:val="0"/>
        </w:rPr>
        <w:t xml:space="preserve"> and </w:t>
      </w:r>
      <w:r w:rsidRPr="001A3D2B">
        <w:rPr>
          <w:kern w:val="0"/>
        </w:rPr>
        <w:t>interpretation. It then introduces two infrastructures: (1) the Scholarly Database (SDB) (http://sdb.slis.indiana.edu), which provides free online access to 20 million scholarly records papers, patents,</w:t>
      </w:r>
      <w:r w:rsidR="00F81221">
        <w:rPr>
          <w:kern w:val="0"/>
        </w:rPr>
        <w:t xml:space="preserve"> and </w:t>
      </w:r>
      <w:r w:rsidRPr="001A3D2B">
        <w:rPr>
          <w:kern w:val="0"/>
        </w:rPr>
        <w:t>funding awards which can be cross-searched</w:t>
      </w:r>
      <w:r w:rsidR="00F81221">
        <w:rPr>
          <w:kern w:val="0"/>
        </w:rPr>
        <w:t xml:space="preserve"> and </w:t>
      </w:r>
      <w:r w:rsidRPr="001A3D2B">
        <w:rPr>
          <w:kern w:val="0"/>
        </w:rPr>
        <w:t>downloaded as dumps,</w:t>
      </w:r>
      <w:r w:rsidR="00F81221">
        <w:rPr>
          <w:kern w:val="0"/>
        </w:rPr>
        <w:t xml:space="preserve"> and </w:t>
      </w:r>
      <w:r w:rsidRPr="001A3D2B">
        <w:rPr>
          <w:kern w:val="0"/>
        </w:rPr>
        <w:t>(2) Scientometrics-relevant plug-ins of the open-source Network Workbench (NWB) Tool (http://nwb.slis.indiana.edu). The utility of these infrastructures is then exemplarily demonstrated in three studies: a comparison of the funding portfolios</w:t>
      </w:r>
      <w:r w:rsidR="00F81221">
        <w:rPr>
          <w:kern w:val="0"/>
        </w:rPr>
        <w:t xml:space="preserve"> and </w:t>
      </w:r>
      <w:r w:rsidRPr="001A3D2B">
        <w:rPr>
          <w:kern w:val="0"/>
        </w:rPr>
        <w:t>co-investigator networks of different universities, an examination of paper-citation</w:t>
      </w:r>
      <w:r w:rsidR="00F81221">
        <w:rPr>
          <w:kern w:val="0"/>
        </w:rPr>
        <w:t xml:space="preserve"> and </w:t>
      </w:r>
      <w:r w:rsidRPr="001A3D2B">
        <w:rPr>
          <w:kern w:val="0"/>
        </w:rPr>
        <w:t xml:space="preserve">co-author networks of major </w:t>
      </w:r>
      <w:r w:rsidRPr="001A3D2B">
        <w:rPr>
          <w:kern w:val="0"/>
        </w:rPr>
        <w:lastRenderedPageBreak/>
        <w:t>network science researchers,</w:t>
      </w:r>
      <w:r w:rsidR="00F81221">
        <w:rPr>
          <w:kern w:val="0"/>
        </w:rPr>
        <w:t xml:space="preserve"> and </w:t>
      </w:r>
      <w:r w:rsidRPr="001A3D2B">
        <w:rPr>
          <w:kern w:val="0"/>
        </w:rPr>
        <w:t>an analysis of topic bursts in streams of text. The paper concludes with a discussion of related work that aims to provide practically useful</w:t>
      </w:r>
      <w:r w:rsidR="00F81221">
        <w:rPr>
          <w:kern w:val="0"/>
        </w:rPr>
        <w:t xml:space="preserve"> and </w:t>
      </w:r>
      <w:r w:rsidRPr="001A3D2B">
        <w:rPr>
          <w:kern w:val="0"/>
        </w:rPr>
        <w:t>theoretically grounded cyberinfrastructure in support of computational scientometrics research, practice,</w:t>
      </w:r>
      <w:r w:rsidR="00F81221">
        <w:rPr>
          <w:kern w:val="0"/>
        </w:rPr>
        <w:t xml:space="preserve"> and </w:t>
      </w:r>
      <w:r w:rsidRPr="001A3D2B">
        <w:rPr>
          <w:kern w:val="0"/>
        </w:rPr>
        <w:t>education.</w:t>
      </w:r>
    </w:p>
    <w:p w:rsidR="00CF4560" w:rsidRPr="001A3D2B" w:rsidRDefault="00CF4560" w:rsidP="00CF4560">
      <w:pPr>
        <w:pStyle w:val="a0"/>
        <w:rPr>
          <w:kern w:val="0"/>
        </w:rPr>
      </w:pPr>
      <w:r w:rsidRPr="001A3D2B">
        <w:rPr>
          <w:kern w:val="0"/>
        </w:rPr>
        <w:t>? Strotmann, A., Zhao, D.Z.</w:t>
      </w:r>
      <w:r w:rsidR="00F81221">
        <w:rPr>
          <w:kern w:val="0"/>
        </w:rPr>
        <w:t xml:space="preserve"> and </w:t>
      </w:r>
      <w:r w:rsidRPr="001A3D2B">
        <w:rPr>
          <w:kern w:val="0"/>
        </w:rPr>
        <w:t xml:space="preserve">Bubela, T. (2009), A multi-database approach to field delineation.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631-635.</w:t>
      </w:r>
    </w:p>
    <w:p w:rsidR="00CF4560" w:rsidRPr="001A3D2B" w:rsidRDefault="00CF4560" w:rsidP="00CF4560">
      <w:pPr>
        <w:pStyle w:val="a0"/>
        <w:rPr>
          <w:kern w:val="0"/>
        </w:rPr>
      </w:pPr>
      <w:r w:rsidRPr="001A3D2B">
        <w:rPr>
          <w:kern w:val="0"/>
        </w:rPr>
        <w:t>Abstract: Bibliometric studies have long relied on single citation databases as data sources for their field delineation phase, although a few have gone so far as to compare results obtained through the use of several databases separately. In this paper we report on an effort to systematically combine a number of databases to collect metadata records for the literature that defines a research field. In three case studies, we have combined information retrieved from PubMed with metadata from Scopus,</w:t>
      </w:r>
      <w:r w:rsidR="00F81221">
        <w:rPr>
          <w:kern w:val="0"/>
        </w:rPr>
        <w:t xml:space="preserve"> and </w:t>
      </w:r>
      <w:r w:rsidRPr="001A3D2B">
        <w:rPr>
          <w:kern w:val="0"/>
        </w:rPr>
        <w:t>employed the NCBI Entrez Genes database to delineate research areas. At the core of the multi-database field delineation approach that we describe are: first, a method for matching full records back</w:t>
      </w:r>
      <w:r w:rsidR="00F81221">
        <w:rPr>
          <w:kern w:val="0"/>
        </w:rPr>
        <w:t xml:space="preserve"> and </w:t>
      </w:r>
      <w:r w:rsidRPr="001A3D2B">
        <w:rPr>
          <w:kern w:val="0"/>
        </w:rPr>
        <w:t>forth between the Scopus</w:t>
      </w:r>
      <w:r w:rsidR="00F81221">
        <w:rPr>
          <w:kern w:val="0"/>
        </w:rPr>
        <w:t xml:space="preserve"> and </w:t>
      </w:r>
      <w:r w:rsidRPr="001A3D2B">
        <w:rPr>
          <w:kern w:val="0"/>
        </w:rPr>
        <w:t>PubMed databases (95% or higher match rate) augmented by a method for matching Scopus cited references to PubMed records (90% success rate);</w:t>
      </w:r>
      <w:r w:rsidR="00F81221">
        <w:rPr>
          <w:kern w:val="0"/>
        </w:rPr>
        <w:t xml:space="preserve"> and </w:t>
      </w:r>
      <w:r w:rsidRPr="001A3D2B">
        <w:rPr>
          <w:kern w:val="0"/>
        </w:rPr>
        <w:t>second, the wealth of information</w:t>
      </w:r>
      <w:r w:rsidR="00F81221">
        <w:rPr>
          <w:kern w:val="0"/>
        </w:rPr>
        <w:t xml:space="preserve"> and </w:t>
      </w:r>
      <w:r w:rsidRPr="001A3D2B">
        <w:rPr>
          <w:kern w:val="0"/>
        </w:rPr>
        <w:t>services available from NCBI that is connected to individual PubMed records through its various Entrez database connections. Our approach allows us to combine strengths</w:t>
      </w:r>
      <w:r w:rsidR="00F81221">
        <w:rPr>
          <w:kern w:val="0"/>
        </w:rPr>
        <w:t xml:space="preserve"> and </w:t>
      </w:r>
      <w:r w:rsidRPr="001A3D2B">
        <w:rPr>
          <w:kern w:val="0"/>
        </w:rPr>
        <w:t>overcome weaknesses of multiple databases, for an excellent coverage of the target area - interdisciplinary biomedical research.</w:t>
      </w:r>
    </w:p>
    <w:p w:rsidR="00CF4560" w:rsidRPr="001A3D2B" w:rsidRDefault="00CF4560" w:rsidP="00CF4560">
      <w:pPr>
        <w:pStyle w:val="a0"/>
        <w:rPr>
          <w:kern w:val="0"/>
        </w:rPr>
      </w:pPr>
      <w:r w:rsidRPr="001A3D2B">
        <w:rPr>
          <w:kern w:val="0"/>
        </w:rPr>
        <w:t>? Russell, J.M., Ainsworth, S.</w:t>
      </w:r>
      <w:r w:rsidR="00F81221">
        <w:rPr>
          <w:kern w:val="0"/>
        </w:rPr>
        <w:t xml:space="preserve"> and </w:t>
      </w:r>
      <w:r w:rsidRPr="001A3D2B">
        <w:rPr>
          <w:kern w:val="0"/>
        </w:rPr>
        <w:t>az-Aguilar, J. (2009), Visibility in internet of the scientific production</w:t>
      </w:r>
      <w:r w:rsidR="00F81221">
        <w:rPr>
          <w:kern w:val="0"/>
        </w:rPr>
        <w:t xml:space="preserve"> and </w:t>
      </w:r>
      <w:r w:rsidRPr="001A3D2B">
        <w:rPr>
          <w:kern w:val="0"/>
        </w:rPr>
        <w:t xml:space="preserve">activities of the National Autonomous University of Mexico (UNAM) Research Institutes.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675-686.</w:t>
      </w:r>
    </w:p>
    <w:p w:rsidR="00CF4560" w:rsidRPr="001A3D2B" w:rsidRDefault="00CF4560" w:rsidP="00CF4560">
      <w:pPr>
        <w:pStyle w:val="a0"/>
        <w:rPr>
          <w:kern w:val="0"/>
        </w:rPr>
      </w:pPr>
      <w:r w:rsidRPr="001A3D2B">
        <w:rPr>
          <w:kern w:val="0"/>
        </w:rPr>
        <w:t>Abstract: In the present study we determine to what extent the scientific production</w:t>
      </w:r>
      <w:r w:rsidR="00F81221">
        <w:rPr>
          <w:kern w:val="0"/>
        </w:rPr>
        <w:t xml:space="preserve"> and </w:t>
      </w:r>
      <w:r w:rsidRPr="001A3D2B">
        <w:rPr>
          <w:kern w:val="0"/>
        </w:rPr>
        <w:t>research activities of a group of National Autonomous University of Mexico (UNAM) research institutes in the sciences, social sciences</w:t>
      </w:r>
      <w:r w:rsidR="00F81221">
        <w:rPr>
          <w:kern w:val="0"/>
        </w:rPr>
        <w:t xml:space="preserve"> and </w:t>
      </w:r>
      <w:r w:rsidRPr="001A3D2B">
        <w:rPr>
          <w:kern w:val="0"/>
        </w:rPr>
        <w:t>humanities are visible on the Internet. We do this by analysing the relevant information content</w:t>
      </w:r>
      <w:r w:rsidR="00F81221">
        <w:rPr>
          <w:kern w:val="0"/>
        </w:rPr>
        <w:t xml:space="preserve"> and </w:t>
      </w:r>
      <w:r w:rsidRPr="001A3D2B">
        <w:rPr>
          <w:kern w:val="0"/>
        </w:rPr>
        <w:t>dynamics on their websites</w:t>
      </w:r>
      <w:r w:rsidR="00F81221">
        <w:rPr>
          <w:kern w:val="0"/>
        </w:rPr>
        <w:t xml:space="preserve"> and </w:t>
      </w:r>
      <w:r w:rsidRPr="001A3D2B">
        <w:rPr>
          <w:kern w:val="0"/>
        </w:rPr>
        <w:t>by comparing institutional listings of scientific production between 2005</w:t>
      </w:r>
      <w:r w:rsidR="00F81221">
        <w:rPr>
          <w:kern w:val="0"/>
        </w:rPr>
        <w:t xml:space="preserve"> and </w:t>
      </w:r>
      <w:r w:rsidRPr="001A3D2B">
        <w:rPr>
          <w:kern w:val="0"/>
        </w:rPr>
        <w:t>2006, with papers reported in the international, multidisciplinary online services of the Web of Science</w:t>
      </w:r>
      <w:r w:rsidR="00F81221">
        <w:rPr>
          <w:kern w:val="0"/>
        </w:rPr>
        <w:t xml:space="preserve"> and </w:t>
      </w:r>
      <w:r w:rsidRPr="001A3D2B">
        <w:rPr>
          <w:kern w:val="0"/>
        </w:rPr>
        <w:t>Scopus, as well as in Clase</w:t>
      </w:r>
      <w:r w:rsidR="00F81221">
        <w:rPr>
          <w:kern w:val="0"/>
        </w:rPr>
        <w:t xml:space="preserve"> and </w:t>
      </w:r>
      <w:r w:rsidRPr="001A3D2B">
        <w:rPr>
          <w:kern w:val="0"/>
        </w:rPr>
        <w:t>Periodica which cover production in Latin American journals. Findings indicate general poor visibility of research activities</w:t>
      </w:r>
      <w:r w:rsidR="00F81221">
        <w:rPr>
          <w:kern w:val="0"/>
        </w:rPr>
        <w:t xml:space="preserve"> and </w:t>
      </w:r>
      <w:r w:rsidRPr="001A3D2B">
        <w:rPr>
          <w:kern w:val="0"/>
        </w:rPr>
        <w:t>production in the institutional websites with only limited access to full text articles. Websites of the institutes in the sciences score better than those in the humanities</w:t>
      </w:r>
      <w:r w:rsidR="00F81221">
        <w:rPr>
          <w:kern w:val="0"/>
        </w:rPr>
        <w:t xml:space="preserve"> and </w:t>
      </w:r>
      <w:r w:rsidRPr="001A3D2B">
        <w:rPr>
          <w:kern w:val="0"/>
        </w:rPr>
        <w:t xml:space="preserve">social sciences where book publication is an important research output. Official publication lists in the form of annual reports </w:t>
      </w:r>
      <w:r w:rsidRPr="001A3D2B">
        <w:rPr>
          <w:kern w:val="0"/>
        </w:rPr>
        <w:lastRenderedPageBreak/>
        <w:t>were found not to accurately represent production with additional papers attributed to the different institutions appearing in commercial databases. It is suggested that more effort should be directed towards improving the information content</w:t>
      </w:r>
      <w:r w:rsidR="00F81221">
        <w:rPr>
          <w:kern w:val="0"/>
        </w:rPr>
        <w:t xml:space="preserve"> and </w:t>
      </w:r>
      <w:r w:rsidRPr="001A3D2B">
        <w:rPr>
          <w:kern w:val="0"/>
        </w:rPr>
        <w:t>access to research data on these institutional websites, possibly through linkage to an UNAM repository.</w:t>
      </w:r>
    </w:p>
    <w:p w:rsidR="00CF4560" w:rsidRPr="001A3D2B" w:rsidRDefault="00CF4560" w:rsidP="00CF4560">
      <w:pPr>
        <w:pStyle w:val="a0"/>
        <w:rPr>
          <w:kern w:val="0"/>
        </w:rPr>
      </w:pPr>
      <w:r w:rsidRPr="001A3D2B">
        <w:rPr>
          <w:kern w:val="0"/>
        </w:rPr>
        <w:t>? Arencibia-Jorge, R.</w:t>
      </w:r>
      <w:r w:rsidR="00F81221">
        <w:rPr>
          <w:kern w:val="0"/>
        </w:rPr>
        <w:t xml:space="preserve"> and </w:t>
      </w:r>
      <w:r w:rsidRPr="001A3D2B">
        <w:rPr>
          <w:kern w:val="0"/>
        </w:rPr>
        <w:t xml:space="preserve">de Moya-Anegon, F. (2009), Cuban scientific production in SCOPUS 1996-2007: A scientometric approach using the Scimago journal &amp; country rank.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687-691.</w:t>
      </w:r>
    </w:p>
    <w:p w:rsidR="00CF4560" w:rsidRPr="001A3D2B" w:rsidRDefault="00CF4560" w:rsidP="00CF4560">
      <w:pPr>
        <w:pStyle w:val="a0"/>
        <w:rPr>
          <w:kern w:val="0"/>
        </w:rPr>
      </w:pPr>
      <w:r w:rsidRPr="001A3D2B">
        <w:rPr>
          <w:kern w:val="0"/>
        </w:rPr>
        <w:t>Abstract: The current paper presents a scientometric study of the Cuban scientific production in SCOPUS during the period 1996-2007, using socio-economic indicators combined with the bibliometric indicators supported by the SCImago Journal &amp; Country Rank. The results presented in this paper confirmed the possibility to use SCOPUS to obtain an objective picture of the Cuban Science behaviour during the last twelve years. The SCImago Journal &amp; Country Rank, in this case, offered an important set of indicators. The combination of these indicators with those related to socio-economic aspects of activities in Science</w:t>
      </w:r>
      <w:r w:rsidR="00F81221">
        <w:rPr>
          <w:kern w:val="0"/>
        </w:rPr>
        <w:t xml:space="preserve"> and </w:t>
      </w:r>
      <w:r w:rsidRPr="001A3D2B">
        <w:rPr>
          <w:kern w:val="0"/>
        </w:rPr>
        <w:t>Technology, allow the authors to present the state</w:t>
      </w:r>
      <w:r w:rsidR="00F81221">
        <w:rPr>
          <w:kern w:val="0"/>
        </w:rPr>
        <w:t xml:space="preserve"> and </w:t>
      </w:r>
      <w:r w:rsidRPr="001A3D2B">
        <w:rPr>
          <w:kern w:val="0"/>
        </w:rPr>
        <w:t>evolution of the Cuban Science system during the period 1996-2007. Although is too early to draw any definitive conclusion about the behaviour of the indicators, the research observed an increasing growth of the Cuban scientific production during the whole period analyzed, which is in correspondence to the country efforts</w:t>
      </w:r>
      <w:r w:rsidR="00F81221">
        <w:rPr>
          <w:kern w:val="0"/>
        </w:rPr>
        <w:t xml:space="preserve"> and </w:t>
      </w:r>
      <w:r w:rsidRPr="001A3D2B">
        <w:rPr>
          <w:kern w:val="0"/>
        </w:rPr>
        <w:t>expenditures in Research</w:t>
      </w:r>
      <w:r w:rsidR="00F81221">
        <w:rPr>
          <w:kern w:val="0"/>
        </w:rPr>
        <w:t xml:space="preserve"> and </w:t>
      </w:r>
      <w:r w:rsidRPr="001A3D2B">
        <w:rPr>
          <w:kern w:val="0"/>
        </w:rPr>
        <w:t>Development activities.</w:t>
      </w:r>
    </w:p>
    <w:p w:rsidR="00CF4560" w:rsidRPr="001A3D2B" w:rsidRDefault="00CF4560" w:rsidP="00CF4560">
      <w:pPr>
        <w:pStyle w:val="a0"/>
        <w:rPr>
          <w:kern w:val="0"/>
        </w:rPr>
      </w:pPr>
      <w:r w:rsidRPr="001A3D2B">
        <w:rPr>
          <w:kern w:val="0"/>
        </w:rPr>
        <w:t>Keywords: Science, Scopus</w:t>
      </w:r>
    </w:p>
    <w:p w:rsidR="00CF4560" w:rsidRPr="001A3D2B" w:rsidRDefault="00CF4560" w:rsidP="00CF4560">
      <w:pPr>
        <w:pStyle w:val="a0"/>
        <w:rPr>
          <w:kern w:val="0"/>
        </w:rPr>
      </w:pPr>
      <w:r w:rsidRPr="001A3D2B">
        <w:rPr>
          <w:kern w:val="0"/>
        </w:rPr>
        <w:t xml:space="preserve">? Ingwersen, P. (2009), Brazil research in selected scientific areas: Trends 1981-2005.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692-696.</w:t>
      </w:r>
    </w:p>
    <w:p w:rsidR="00CF4560" w:rsidRPr="001A3D2B" w:rsidRDefault="00CF4560" w:rsidP="00CF4560">
      <w:pPr>
        <w:pStyle w:val="a0"/>
        <w:rPr>
          <w:kern w:val="0"/>
        </w:rPr>
      </w:pPr>
      <w:r w:rsidRPr="001A3D2B">
        <w:rPr>
          <w:kern w:val="0"/>
        </w:rPr>
        <w:t>Abstract: The paper analyses the general development of research in Brazil, 1981-2005</w:t>
      </w:r>
      <w:r w:rsidR="00F81221">
        <w:rPr>
          <w:kern w:val="0"/>
        </w:rPr>
        <w:t xml:space="preserve"> and </w:t>
      </w:r>
      <w:r w:rsidRPr="001A3D2B">
        <w:rPr>
          <w:kern w:val="0"/>
        </w:rPr>
        <w:t>compares to Mexico, Republic of South Africa (RSA)</w:t>
      </w:r>
      <w:r w:rsidR="00F81221">
        <w:rPr>
          <w:kern w:val="0"/>
        </w:rPr>
        <w:t xml:space="preserve"> and </w:t>
      </w:r>
      <w:r w:rsidRPr="001A3D2B">
        <w:rPr>
          <w:kern w:val="0"/>
        </w:rPr>
        <w:t>the world. Publications from 15 research areas</w:t>
      </w:r>
      <w:r w:rsidR="00F81221">
        <w:rPr>
          <w:kern w:val="0"/>
        </w:rPr>
        <w:t xml:space="preserve"> and </w:t>
      </w:r>
      <w:r w:rsidRPr="001A3D2B">
        <w:rPr>
          <w:kern w:val="0"/>
        </w:rPr>
        <w:t>their citations are analyzed for the three countries covering two five-year periods 1996-2005. The paper applies publication growth as well as Citedness</w:t>
      </w:r>
      <w:r w:rsidR="00F81221">
        <w:rPr>
          <w:kern w:val="0"/>
        </w:rPr>
        <w:t xml:space="preserve"> and </w:t>
      </w:r>
      <w:r w:rsidRPr="001A3D2B">
        <w:rPr>
          <w:kern w:val="0"/>
        </w:rPr>
        <w:t>Field Crown Indicators (FCI). Results show that across all research fields, including the Social Sciences, from 1996 the absolute citation impact of Brazil</w:t>
      </w:r>
      <w:r w:rsidR="00F81221">
        <w:rPr>
          <w:kern w:val="0"/>
        </w:rPr>
        <w:t xml:space="preserve"> and </w:t>
      </w:r>
      <w:r w:rsidRPr="001A3D2B">
        <w:rPr>
          <w:kern w:val="0"/>
        </w:rPr>
        <w:t>Mexico are alike, steadily increasing,</w:t>
      </w:r>
      <w:r w:rsidR="00F81221">
        <w:rPr>
          <w:kern w:val="0"/>
        </w:rPr>
        <w:t xml:space="preserve"> and </w:t>
      </w:r>
      <w:r w:rsidRPr="001A3D2B">
        <w:rPr>
          <w:kern w:val="0"/>
        </w:rPr>
        <w:t>just below that of RSA. Publication growth patterns for Brazil</w:t>
      </w:r>
      <w:r w:rsidR="00F81221">
        <w:rPr>
          <w:kern w:val="0"/>
        </w:rPr>
        <w:t xml:space="preserve"> and </w:t>
      </w:r>
      <w:r w:rsidRPr="001A3D2B">
        <w:rPr>
          <w:kern w:val="0"/>
        </w:rPr>
        <w:t xml:space="preserve">Mexico are identical, with a vast increase since 1991. In contrast, RSA follows the global growth rate. From 1996 to 2005 both Latin American countries almost doubles their research publications in English, probably influencing the growth in relative citation impact, as measured by FCI analyses across the 15 selected areas (Brazil FCI 1996-00: .44; 2001-05:.63; </w:t>
      </w:r>
      <w:r w:rsidRPr="001A3D2B">
        <w:rPr>
          <w:kern w:val="0"/>
        </w:rPr>
        <w:lastRenderedPageBreak/>
        <w:t>Mexico FCI 1996-00: .58; 2001-05:.64). Simultaneously the publication profile of Brazil becomes more global, whilst Mexico</w:t>
      </w:r>
      <w:r w:rsidR="000352E7">
        <w:rPr>
          <w:kern w:val="0"/>
        </w:rPr>
        <w:t>’</w:t>
      </w:r>
      <w:r w:rsidRPr="001A3D2B">
        <w:rPr>
          <w:kern w:val="0"/>
        </w:rPr>
        <w:t>s</w:t>
      </w:r>
      <w:r w:rsidR="00F81221">
        <w:rPr>
          <w:kern w:val="0"/>
        </w:rPr>
        <w:t xml:space="preserve"> and </w:t>
      </w:r>
      <w:r w:rsidRPr="001A3D2B">
        <w:rPr>
          <w:kern w:val="0"/>
        </w:rPr>
        <w:t>RSA</w:t>
      </w:r>
      <w:r w:rsidR="000352E7">
        <w:rPr>
          <w:kern w:val="0"/>
        </w:rPr>
        <w:t>’</w:t>
      </w:r>
      <w:r w:rsidRPr="001A3D2B">
        <w:rPr>
          <w:kern w:val="0"/>
        </w:rPr>
        <w:t>s profiles become isolated. Citedness analyses show a significant correspondence to the FCI developments of Brazil, Mexico</w:t>
      </w:r>
      <w:r w:rsidR="00F81221">
        <w:rPr>
          <w:kern w:val="0"/>
        </w:rPr>
        <w:t xml:space="preserve"> and </w:t>
      </w:r>
      <w:r w:rsidRPr="001A3D2B">
        <w:rPr>
          <w:kern w:val="0"/>
        </w:rPr>
        <w:t>RSA.</w:t>
      </w:r>
    </w:p>
    <w:p w:rsidR="00CF4560" w:rsidRPr="001A3D2B" w:rsidRDefault="00CF4560" w:rsidP="00CF4560">
      <w:pPr>
        <w:pStyle w:val="a0"/>
        <w:rPr>
          <w:kern w:val="0"/>
        </w:rPr>
      </w:pPr>
      <w:r w:rsidRPr="001A3D2B">
        <w:rPr>
          <w:kern w:val="0"/>
        </w:rPr>
        <w:t>Keywords: Bibliometric Analysis, Science</w:t>
      </w:r>
    </w:p>
    <w:p w:rsidR="00CF4560" w:rsidRPr="001A3D2B" w:rsidRDefault="00CF4560" w:rsidP="00CF4560">
      <w:pPr>
        <w:pStyle w:val="a0"/>
        <w:rPr>
          <w:kern w:val="0"/>
        </w:rPr>
      </w:pPr>
      <w:r w:rsidRPr="001A3D2B">
        <w:rPr>
          <w:kern w:val="0"/>
        </w:rPr>
        <w:t xml:space="preserve">? Basu, A. (2009), A bibliometric overview of current publications by overseas Indians using searches based on some common Indian names.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697-701.</w:t>
      </w:r>
    </w:p>
    <w:p w:rsidR="00CF4560" w:rsidRPr="001A3D2B" w:rsidRDefault="00CF4560" w:rsidP="00CF4560">
      <w:pPr>
        <w:pStyle w:val="a0"/>
        <w:rPr>
          <w:kern w:val="0"/>
        </w:rPr>
      </w:pPr>
      <w:r w:rsidRPr="001A3D2B">
        <w:rPr>
          <w:kern w:val="0"/>
        </w:rPr>
        <w:t>Abstract: Highly educated Indians in science, medicine</w:t>
      </w:r>
      <w:r w:rsidR="00F81221">
        <w:rPr>
          <w:kern w:val="0"/>
        </w:rPr>
        <w:t xml:space="preserve"> and </w:t>
      </w:r>
      <w:r w:rsidRPr="001A3D2B">
        <w:rPr>
          <w:kern w:val="0"/>
        </w:rPr>
        <w:t>engineering have migrated to other countries over several years. Many, currently engaged in research in their adopted countries, could constitute a potential knowledge resource for India that has not been adequately mapped. The country of origin of diaspora authors can be correctly identified through characteristic ethnic names, unique to the country of origin. The large number of ethnic names poses a challenge for complete retrieval,</w:t>
      </w:r>
      <w:r w:rsidR="00F81221">
        <w:rPr>
          <w:kern w:val="0"/>
        </w:rPr>
        <w:t xml:space="preserve"> and </w:t>
      </w:r>
      <w:r w:rsidRPr="001A3D2B">
        <w:rPr>
          <w:kern w:val="0"/>
        </w:rPr>
        <w:t>omissions are inevitable. Using 50 commonly occurring Indian names, we have retrieved a large sample of 23723 Indian diaspora documents indexed in SCI-E for 2007. Names not unique to India were dropped. These 50 names successfully retrieved 53.6% of the SCI-E output from India in 2007. Analyzing by document type, research area,</w:t>
      </w:r>
      <w:r w:rsidR="00F81221">
        <w:rPr>
          <w:kern w:val="0"/>
        </w:rPr>
        <w:t xml:space="preserve"> and </w:t>
      </w:r>
      <w:r w:rsidRPr="001A3D2B">
        <w:rPr>
          <w:kern w:val="0"/>
        </w:rPr>
        <w:t>country/institution of location/collaboration we get a bibliometric overview of current publications by overseas Indians,</w:t>
      </w:r>
      <w:r w:rsidR="00F81221">
        <w:rPr>
          <w:kern w:val="0"/>
        </w:rPr>
        <w:t xml:space="preserve"> and </w:t>
      </w:r>
      <w:r w:rsidRPr="001A3D2B">
        <w:rPr>
          <w:kern w:val="0"/>
        </w:rPr>
        <w:t>compare with broad characteristics of Indian publications. We infer that current publication output of overseas Indians (of which 65% is from the US) could be of the same order as that from India, but with significant differences in the emphasis on research areas. Many authors are either located in, or collaborating with prestigious foreign institutions, primarily in the US.</w:t>
      </w:r>
    </w:p>
    <w:p w:rsidR="00CF4560" w:rsidRPr="001A3D2B" w:rsidRDefault="00CF4560" w:rsidP="00CF4560">
      <w:pPr>
        <w:pStyle w:val="a0"/>
        <w:rPr>
          <w:kern w:val="0"/>
        </w:rPr>
      </w:pPr>
      <w:r w:rsidRPr="001A3D2B">
        <w:rPr>
          <w:kern w:val="0"/>
        </w:rPr>
        <w:t>Keywords: Science</w:t>
      </w:r>
    </w:p>
    <w:p w:rsidR="00CF4560" w:rsidRPr="001A3D2B" w:rsidRDefault="00CF4560" w:rsidP="00CF4560">
      <w:pPr>
        <w:pStyle w:val="a0"/>
        <w:rPr>
          <w:kern w:val="0"/>
        </w:rPr>
      </w:pPr>
      <w:r w:rsidRPr="001A3D2B">
        <w:rPr>
          <w:kern w:val="0"/>
        </w:rPr>
        <w:t>? Mahbuba, D.</w:t>
      </w:r>
      <w:r w:rsidR="00F81221">
        <w:rPr>
          <w:kern w:val="0"/>
        </w:rPr>
        <w:t xml:space="preserve"> and </w:t>
      </w:r>
      <w:r w:rsidRPr="001A3D2B">
        <w:rPr>
          <w:kern w:val="0"/>
        </w:rPr>
        <w:t>Rousseau, R. (2009), Scientific research in the Indian subcontinent: Comparing Bangladesh, Pakistan</w:t>
      </w:r>
      <w:r w:rsidR="00F81221">
        <w:rPr>
          <w:kern w:val="0"/>
        </w:rPr>
        <w:t xml:space="preserve"> and </w:t>
      </w:r>
      <w:r w:rsidRPr="001A3D2B">
        <w:rPr>
          <w:kern w:val="0"/>
        </w:rPr>
        <w:t xml:space="preserve">Sri Lanka with India.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702-713.</w:t>
      </w:r>
    </w:p>
    <w:p w:rsidR="00CF4560" w:rsidRPr="001A3D2B" w:rsidRDefault="00CF4560" w:rsidP="00CF4560">
      <w:pPr>
        <w:pStyle w:val="a0"/>
        <w:rPr>
          <w:kern w:val="0"/>
        </w:rPr>
      </w:pPr>
      <w:r w:rsidRPr="001A3D2B">
        <w:rPr>
          <w:kern w:val="0"/>
        </w:rPr>
        <w:t>Abstract: As part of a research program to analyse research in Bangladesh we provide a comparison between research indicators related to India, Bangladesh, Pakistan</w:t>
      </w:r>
      <w:r w:rsidR="00F81221">
        <w:rPr>
          <w:kern w:val="0"/>
        </w:rPr>
        <w:t xml:space="preserve"> and </w:t>
      </w:r>
      <w:r w:rsidRPr="001A3D2B">
        <w:rPr>
          <w:kern w:val="0"/>
        </w:rPr>
        <w:t>Sri Lanka. In this investigation we make use of Web of Science (WoS) data as well as Scopus data (using the SCImago website). It is shown that the number of publications of these countries is sometimes best described by an exponential curve, sometimes a power law</w:t>
      </w:r>
      <w:r w:rsidR="00F81221">
        <w:rPr>
          <w:kern w:val="0"/>
        </w:rPr>
        <w:t xml:space="preserve"> and </w:t>
      </w:r>
      <w:r w:rsidRPr="001A3D2B">
        <w:rPr>
          <w:kern w:val="0"/>
        </w:rPr>
        <w:t>sometimes a linear relation. Special attention is given to the evolution of country h-indices. It is shown that in relative terms Sri Lanka is the strongest country of the four.</w:t>
      </w:r>
    </w:p>
    <w:p w:rsidR="00CF4560" w:rsidRPr="001A3D2B" w:rsidRDefault="00CF4560" w:rsidP="00CF4560">
      <w:pPr>
        <w:pStyle w:val="a0"/>
        <w:rPr>
          <w:kern w:val="0"/>
        </w:rPr>
      </w:pPr>
      <w:r w:rsidRPr="001A3D2B">
        <w:rPr>
          <w:kern w:val="0"/>
        </w:rPr>
        <w:lastRenderedPageBreak/>
        <w:t>Keywords: Asia, Collaboration, Science</w:t>
      </w:r>
    </w:p>
    <w:p w:rsidR="00CF4560" w:rsidRPr="001A3D2B" w:rsidRDefault="00CF4560" w:rsidP="00CF4560">
      <w:pPr>
        <w:pStyle w:val="a0"/>
        <w:rPr>
          <w:kern w:val="0"/>
        </w:rPr>
      </w:pPr>
      <w:r w:rsidRPr="001A3D2B">
        <w:rPr>
          <w:kern w:val="0"/>
        </w:rPr>
        <w:t>? Hayashi, C.R.M., Rothberg, D.</w:t>
      </w:r>
      <w:r w:rsidR="00F81221">
        <w:rPr>
          <w:kern w:val="0"/>
        </w:rPr>
        <w:t xml:space="preserve"> and </w:t>
      </w:r>
      <w:r w:rsidRPr="001A3D2B">
        <w:rPr>
          <w:kern w:val="0"/>
        </w:rPr>
        <w:t>Hayashi, M.C.P.I. (2009), E-Democracy</w:t>
      </w:r>
      <w:r w:rsidR="00F81221">
        <w:rPr>
          <w:kern w:val="0"/>
        </w:rPr>
        <w:t xml:space="preserve"> and </w:t>
      </w:r>
      <w:r w:rsidRPr="001A3D2B">
        <w:rPr>
          <w:kern w:val="0"/>
        </w:rPr>
        <w:t xml:space="preserve">certified scientific knowledge in Brazil: Applied scientometrics to assess health policy debate.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714-718.</w:t>
      </w:r>
    </w:p>
    <w:p w:rsidR="00CF4560" w:rsidRPr="001A3D2B" w:rsidRDefault="00CF4560" w:rsidP="00CF4560">
      <w:pPr>
        <w:pStyle w:val="a0"/>
        <w:rPr>
          <w:kern w:val="0"/>
        </w:rPr>
      </w:pPr>
      <w:r w:rsidRPr="001A3D2B">
        <w:rPr>
          <w:kern w:val="0"/>
        </w:rPr>
        <w:t>Abstract: Innovations such as online public consultations denote a promising advance, but with results which have not been properly studied up to this moment in Brazil. One of the goals of this research in progress is to assess the usage of certified scientific knowledge to sustain perspectives both from the Brazilian government, in the documents on health policies subjected to consultation from 2003 to 2008,</w:t>
      </w:r>
      <w:r w:rsidR="00F81221">
        <w:rPr>
          <w:kern w:val="0"/>
        </w:rPr>
        <w:t xml:space="preserve"> and </w:t>
      </w:r>
      <w:r w:rsidRPr="001A3D2B">
        <w:rPr>
          <w:kern w:val="0"/>
        </w:rPr>
        <w:t>from the comments posted by contributors, with a Bibliometrics / Scientometrics study to verify ranking, frequency</w:t>
      </w:r>
      <w:r w:rsidR="00F81221">
        <w:rPr>
          <w:kern w:val="0"/>
        </w:rPr>
        <w:t xml:space="preserve"> and </w:t>
      </w:r>
      <w:r w:rsidRPr="001A3D2B">
        <w:rPr>
          <w:kern w:val="0"/>
        </w:rPr>
        <w:t>distribution of sources</w:t>
      </w:r>
      <w:r w:rsidR="00F81221">
        <w:rPr>
          <w:kern w:val="0"/>
        </w:rPr>
        <w:t xml:space="preserve"> and </w:t>
      </w:r>
      <w:r w:rsidRPr="001A3D2B">
        <w:rPr>
          <w:kern w:val="0"/>
        </w:rPr>
        <w:t>show areas of greater interest to government branches, individuals, institutions</w:t>
      </w:r>
      <w:r w:rsidR="00F81221">
        <w:rPr>
          <w:kern w:val="0"/>
        </w:rPr>
        <w:t xml:space="preserve"> and </w:t>
      </w:r>
      <w:r w:rsidRPr="001A3D2B">
        <w:rPr>
          <w:kern w:val="0"/>
        </w:rPr>
        <w:t>social groups. The analysis has counted so far 278 citations of scientific works published from 1948 to 2008; 60% (167) of them referred to works published in the last 9 years (2000-2008). The citation of fresh scientific achievements seemed to be preferred as a way of giving credibility to an argument in online debates created by tools of digital democracy. Books, book chapters</w:t>
      </w:r>
      <w:r w:rsidR="00F81221">
        <w:rPr>
          <w:kern w:val="0"/>
        </w:rPr>
        <w:t xml:space="preserve"> and </w:t>
      </w:r>
      <w:r w:rsidRPr="001A3D2B">
        <w:rPr>
          <w:kern w:val="0"/>
        </w:rPr>
        <w:t>journal articles represent 67% (186) of the sample, which indicates that the usual means of academic scientific communication were preferred, rather than official sources. English was the language of the majority of the cited journal articles.</w:t>
      </w:r>
    </w:p>
    <w:p w:rsidR="00CF4560" w:rsidRPr="001A3D2B" w:rsidRDefault="00CF4560" w:rsidP="00CF4560">
      <w:pPr>
        <w:pStyle w:val="a0"/>
        <w:rPr>
          <w:kern w:val="0"/>
        </w:rPr>
      </w:pPr>
      <w:r w:rsidRPr="001A3D2B">
        <w:rPr>
          <w:kern w:val="0"/>
        </w:rPr>
        <w:t>Keywords: Bibliometrics</w:t>
      </w:r>
    </w:p>
    <w:p w:rsidR="00CF4560" w:rsidRPr="001A3D2B" w:rsidRDefault="00CF4560" w:rsidP="00CF4560">
      <w:pPr>
        <w:pStyle w:val="a0"/>
        <w:rPr>
          <w:kern w:val="0"/>
        </w:rPr>
      </w:pPr>
      <w:r w:rsidRPr="001A3D2B">
        <w:rPr>
          <w:kern w:val="0"/>
        </w:rPr>
        <w:t xml:space="preserve">? Sandstrom, U. (2009), Cognitive bias in peer review: a new approach.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742-746.</w:t>
      </w:r>
    </w:p>
    <w:p w:rsidR="00CF4560" w:rsidRPr="001A3D2B" w:rsidRDefault="00CF4560" w:rsidP="00CF4560">
      <w:pPr>
        <w:pStyle w:val="a0"/>
        <w:rPr>
          <w:kern w:val="0"/>
        </w:rPr>
      </w:pPr>
      <w:r w:rsidRPr="001A3D2B">
        <w:rPr>
          <w:kern w:val="0"/>
        </w:rPr>
        <w:t>Abstract: The concept of cognitive similarity, developed by Travis</w:t>
      </w:r>
      <w:r w:rsidR="00F81221">
        <w:rPr>
          <w:kern w:val="0"/>
        </w:rPr>
        <w:t xml:space="preserve"> and </w:t>
      </w:r>
      <w:r w:rsidRPr="001A3D2B">
        <w:rPr>
          <w:kern w:val="0"/>
        </w:rPr>
        <w:t>Collins (1991), is the starting point for this paper. We suggest that cognitive similarity is detectable through bibliometric analysis using bibliographic coupling (Kessler, 1963) or, as an alternative, noun phrases in title</w:t>
      </w:r>
      <w:r w:rsidR="00F81221">
        <w:rPr>
          <w:kern w:val="0"/>
        </w:rPr>
        <w:t xml:space="preserve"> and </w:t>
      </w:r>
      <w:r w:rsidRPr="001A3D2B">
        <w:rPr>
          <w:kern w:val="0"/>
        </w:rPr>
        <w:t>abstract. Connected to this hypothesis is the possibility of cognitive bias in peer review. If academics tend to give higher scores to research with which the reviewer has a cognitive similarity there is a situation of cognitive bias. The design of the research project is described</w:t>
      </w:r>
      <w:r w:rsidR="00F81221">
        <w:rPr>
          <w:kern w:val="0"/>
        </w:rPr>
        <w:t xml:space="preserve"> and </w:t>
      </w:r>
      <w:r w:rsidRPr="001A3D2B">
        <w:rPr>
          <w:kern w:val="0"/>
        </w:rPr>
        <w:t>the data sources available are discussed. With data on applicants</w:t>
      </w:r>
      <w:r w:rsidR="00F81221">
        <w:rPr>
          <w:kern w:val="0"/>
        </w:rPr>
        <w:t xml:space="preserve"> and </w:t>
      </w:r>
      <w:r w:rsidRPr="001A3D2B">
        <w:rPr>
          <w:kern w:val="0"/>
        </w:rPr>
        <w:t>reviewers,</w:t>
      </w:r>
      <w:r w:rsidR="00F81221">
        <w:rPr>
          <w:kern w:val="0"/>
        </w:rPr>
        <w:t xml:space="preserve"> and </w:t>
      </w:r>
      <w:r w:rsidRPr="001A3D2B">
        <w:rPr>
          <w:kern w:val="0"/>
        </w:rPr>
        <w:t>complemented with bibliometric identification of each individuals publications, this project will potentially give an essential contribution to our understanding of the peer review process.</w:t>
      </w:r>
    </w:p>
    <w:p w:rsidR="00CF4560" w:rsidRPr="001A3D2B" w:rsidRDefault="00CF4560" w:rsidP="00CF4560">
      <w:pPr>
        <w:pStyle w:val="a0"/>
        <w:rPr>
          <w:kern w:val="0"/>
        </w:rPr>
      </w:pPr>
      <w:r w:rsidRPr="001A3D2B">
        <w:rPr>
          <w:kern w:val="0"/>
        </w:rPr>
        <w:t>Keywords: Assessments, Bibliometric Analysis, Decisions, Nepotism, Review, Science</w:t>
      </w:r>
    </w:p>
    <w:p w:rsidR="00CF4560" w:rsidRPr="001A3D2B" w:rsidRDefault="00CF4560" w:rsidP="00CF4560">
      <w:pPr>
        <w:pStyle w:val="a0"/>
        <w:rPr>
          <w:kern w:val="0"/>
        </w:rPr>
      </w:pPr>
      <w:r w:rsidRPr="001A3D2B">
        <w:rPr>
          <w:kern w:val="0"/>
        </w:rPr>
        <w:t>? Levitt, J.M., Thelwall, M.</w:t>
      </w:r>
      <w:r w:rsidR="00F81221">
        <w:rPr>
          <w:kern w:val="0"/>
        </w:rPr>
        <w:t xml:space="preserve"> and </w:t>
      </w:r>
      <w:r w:rsidRPr="001A3D2B">
        <w:rPr>
          <w:kern w:val="0"/>
        </w:rPr>
        <w:t xml:space="preserve">Oppenheim, C. (2009), Is the higher citation of collaborative research the same in every country: A case study of economics. </w:t>
      </w:r>
      <w:r>
        <w:rPr>
          <w:i/>
          <w:iCs/>
          <w:kern w:val="0"/>
        </w:rPr>
        <w:lastRenderedPageBreak/>
        <w:t>Proceedings of ISSI 2009: 12th International Conference of the International Society for Scientometrics</w:t>
      </w:r>
      <w:r w:rsidR="00F81221">
        <w:rPr>
          <w:i/>
          <w:iCs/>
          <w:kern w:val="0"/>
        </w:rPr>
        <w:t xml:space="preserve"> and </w:t>
      </w:r>
      <w:r>
        <w:rPr>
          <w:i/>
          <w:iCs/>
          <w:kern w:val="0"/>
        </w:rPr>
        <w:t>Informetrics</w:t>
      </w:r>
      <w:r w:rsidRPr="001A3D2B">
        <w:rPr>
          <w:kern w:val="0"/>
        </w:rPr>
        <w:t xml:space="preserve">, </w:t>
      </w:r>
      <w:r w:rsidRPr="008F3BF5">
        <w:rPr>
          <w:b/>
          <w:kern w:val="0"/>
        </w:rPr>
        <w:t>2</w:t>
      </w:r>
      <w:r w:rsidRPr="001A3D2B">
        <w:rPr>
          <w:kern w:val="0"/>
        </w:rPr>
        <w:t>, 759-763.</w:t>
      </w:r>
    </w:p>
    <w:p w:rsidR="00CF4560" w:rsidRPr="001A3D2B" w:rsidRDefault="00CF4560" w:rsidP="00CF4560">
      <w:pPr>
        <w:pStyle w:val="a0"/>
        <w:rPr>
          <w:kern w:val="0"/>
        </w:rPr>
      </w:pPr>
      <w:r w:rsidRPr="001A3D2B">
        <w:rPr>
          <w:kern w:val="0"/>
        </w:rPr>
        <w:t>Abstract: Many studies have found a positive association between high citation</w:t>
      </w:r>
      <w:r w:rsidR="00F81221">
        <w:rPr>
          <w:kern w:val="0"/>
        </w:rPr>
        <w:t xml:space="preserve"> and </w:t>
      </w:r>
      <w:r w:rsidRPr="001A3D2B">
        <w:rPr>
          <w:kern w:val="0"/>
        </w:rPr>
        <w:t>collaboration, in that collaborative research is in general more highly cited than non-collaborative research. This paper describes an investigation into the extent to which the association between high citation</w:t>
      </w:r>
      <w:r w:rsidR="00F81221">
        <w:rPr>
          <w:kern w:val="0"/>
        </w:rPr>
        <w:t xml:space="preserve"> and </w:t>
      </w:r>
      <w:r w:rsidRPr="001A3D2B">
        <w:rPr>
          <w:kern w:val="0"/>
        </w:rPr>
        <w:t>collaboration for Economics articles published in 2000 varies from country to country</w:t>
      </w:r>
      <w:r w:rsidR="00F81221">
        <w:rPr>
          <w:kern w:val="0"/>
        </w:rPr>
        <w:t xml:space="preserve"> and </w:t>
      </w:r>
      <w:r w:rsidRPr="001A3D2B">
        <w:rPr>
          <w:kern w:val="0"/>
        </w:rPr>
        <w:t>depends on the choice of indicator of citation level. Using data from the Social Science Citation index (SSCI), it compares for 18 countries</w:t>
      </w:r>
      <w:r w:rsidR="00F81221">
        <w:rPr>
          <w:kern w:val="0"/>
        </w:rPr>
        <w:t xml:space="preserve"> and </w:t>
      </w:r>
      <w:r w:rsidRPr="001A3D2B">
        <w:rPr>
          <w:kern w:val="0"/>
        </w:rPr>
        <w:t>4 indicators of citation level the citation levels of the collaborative articles with the citation levels of the non-collaborative articles. The main findings are that: (a) for every country</w:t>
      </w:r>
      <w:r w:rsidR="00F81221">
        <w:rPr>
          <w:kern w:val="0"/>
        </w:rPr>
        <w:t xml:space="preserve"> and </w:t>
      </w:r>
      <w:r w:rsidRPr="001A3D2B">
        <w:rPr>
          <w:kern w:val="0"/>
        </w:rPr>
        <w:t>every indicator the citation level of the collaborative articles is at least as high as that for the non-collaborative articles, (b) for each indicator there is considerable variation in the extent to which collaborative articles are more highly cited than the non-collaborative articles,</w:t>
      </w:r>
      <w:r w:rsidR="00F81221">
        <w:rPr>
          <w:kern w:val="0"/>
        </w:rPr>
        <w:t xml:space="preserve"> and </w:t>
      </w:r>
      <w:r w:rsidRPr="001A3D2B">
        <w:rPr>
          <w:kern w:val="0"/>
        </w:rPr>
        <w:t>(c) for some countries the extent to which the collaborative articles are more highly cited varies very substantially from indicator to indicator.</w:t>
      </w:r>
    </w:p>
    <w:p w:rsidR="00CF4560" w:rsidRPr="001A3D2B" w:rsidRDefault="00CF4560" w:rsidP="00CF4560">
      <w:pPr>
        <w:pStyle w:val="a0"/>
        <w:rPr>
          <w:kern w:val="0"/>
        </w:rPr>
      </w:pPr>
      <w:r w:rsidRPr="001A3D2B">
        <w:rPr>
          <w:kern w:val="0"/>
        </w:rPr>
        <w:t>Keywords: Articles, Citation Index, Indicators, Networks, Science</w:t>
      </w:r>
    </w:p>
    <w:p w:rsidR="00CF4560" w:rsidRPr="001A3D2B" w:rsidRDefault="00CF4560" w:rsidP="00CF4560">
      <w:pPr>
        <w:pStyle w:val="a0"/>
        <w:rPr>
          <w:kern w:val="0"/>
        </w:rPr>
      </w:pPr>
      <w:r w:rsidRPr="001A3D2B">
        <w:rPr>
          <w:kern w:val="0"/>
        </w:rPr>
        <w:t>? Penteado, R.D.</w:t>
      </w:r>
      <w:r w:rsidR="00F81221">
        <w:rPr>
          <w:kern w:val="0"/>
        </w:rPr>
        <w:t xml:space="preserve"> and </w:t>
      </w:r>
      <w:r w:rsidRPr="001A3D2B">
        <w:rPr>
          <w:kern w:val="0"/>
        </w:rPr>
        <w:t>Avila, A.F.D. (2009), A scientometric analysis of Embrapa</w:t>
      </w:r>
      <w:r w:rsidR="000352E7">
        <w:rPr>
          <w:kern w:val="0"/>
        </w:rPr>
        <w:t>’</w:t>
      </w:r>
      <w:r w:rsidRPr="001A3D2B">
        <w:rPr>
          <w:kern w:val="0"/>
        </w:rPr>
        <w:t xml:space="preserve">s Brazil Web of Science articles from 1977 to 2006.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786-797.</w:t>
      </w:r>
    </w:p>
    <w:p w:rsidR="00CF4560" w:rsidRPr="001A3D2B" w:rsidRDefault="00CF4560" w:rsidP="00CF4560">
      <w:pPr>
        <w:pStyle w:val="a0"/>
        <w:rPr>
          <w:kern w:val="0"/>
        </w:rPr>
      </w:pPr>
      <w:r w:rsidRPr="001A3D2B">
        <w:rPr>
          <w:kern w:val="0"/>
        </w:rPr>
        <w:t>Abstract: This article studies, using the technique of bibliometrical analysis, Brazilian Agricultural Research Corporation - Embrapa</w:t>
      </w:r>
      <w:r w:rsidR="000352E7">
        <w:rPr>
          <w:kern w:val="0"/>
        </w:rPr>
        <w:t>’</w:t>
      </w:r>
      <w:r w:rsidRPr="001A3D2B">
        <w:rPr>
          <w:kern w:val="0"/>
        </w:rPr>
        <w:t>s research centers participation in the journals that were indexed in the Web of Science (WOS) database, from 1977 to 2006. First we analyze the performance of the research centers, followed by the journals which published these articles</w:t>
      </w:r>
      <w:r w:rsidR="00F81221">
        <w:rPr>
          <w:kern w:val="0"/>
        </w:rPr>
        <w:t xml:space="preserve"> and </w:t>
      </w:r>
      <w:r w:rsidRPr="001A3D2B">
        <w:rPr>
          <w:kern w:val="0"/>
        </w:rPr>
        <w:t>finally the partnerships with the institutions that had carried out this scientific work with Embrapa. The results indicated that Embrapa is among the top ten Brazilian institutions to lead in the volume of scientific articles published in indexed WOS journals. They also indicate the relevance of the adoption of a goals</w:t>
      </w:r>
      <w:r w:rsidR="00F81221">
        <w:rPr>
          <w:kern w:val="0"/>
        </w:rPr>
        <w:t xml:space="preserve"> and </w:t>
      </w:r>
      <w:r w:rsidRPr="001A3D2B">
        <w:rPr>
          <w:kern w:val="0"/>
        </w:rPr>
        <w:t>results system by an institution of Sc,T&amp;I</w:t>
      </w:r>
      <w:r w:rsidR="00F81221">
        <w:rPr>
          <w:kern w:val="0"/>
        </w:rPr>
        <w:t xml:space="preserve"> and </w:t>
      </w:r>
      <w:r w:rsidRPr="001A3D2B">
        <w:rPr>
          <w:kern w:val="0"/>
        </w:rPr>
        <w:t>the need to select strategies to establish partnerships, select journals in accordance with the institutional stated mission</w:t>
      </w:r>
      <w:r w:rsidR="00F81221">
        <w:rPr>
          <w:kern w:val="0"/>
        </w:rPr>
        <w:t xml:space="preserve"> and </w:t>
      </w:r>
      <w:r w:rsidRPr="001A3D2B">
        <w:rPr>
          <w:kern w:val="0"/>
        </w:rPr>
        <w:t>standardize theirs authors affiliations, in order to facilitate the identification</w:t>
      </w:r>
      <w:r w:rsidR="00F81221">
        <w:rPr>
          <w:kern w:val="0"/>
        </w:rPr>
        <w:t xml:space="preserve"> and </w:t>
      </w:r>
      <w:r w:rsidRPr="001A3D2B">
        <w:rPr>
          <w:kern w:val="0"/>
        </w:rPr>
        <w:t>improve their scores.</w:t>
      </w:r>
    </w:p>
    <w:p w:rsidR="00CF4560" w:rsidRPr="001A3D2B" w:rsidRDefault="00CF4560" w:rsidP="00CF4560">
      <w:pPr>
        <w:pStyle w:val="a0"/>
        <w:rPr>
          <w:kern w:val="0"/>
        </w:rPr>
      </w:pPr>
      <w:r w:rsidRPr="001A3D2B">
        <w:rPr>
          <w:kern w:val="0"/>
        </w:rPr>
        <w:t>? Ajiferuke, I.</w:t>
      </w:r>
      <w:r w:rsidR="00F81221">
        <w:rPr>
          <w:kern w:val="0"/>
        </w:rPr>
        <w:t xml:space="preserve"> and </w:t>
      </w:r>
      <w:r w:rsidRPr="001A3D2B">
        <w:rPr>
          <w:kern w:val="0"/>
        </w:rPr>
        <w:t>Wolfram, D. (2009), Citer analysis as a measure of research impact: Library</w:t>
      </w:r>
      <w:r w:rsidR="00F81221">
        <w:rPr>
          <w:kern w:val="0"/>
        </w:rPr>
        <w:t xml:space="preserve"> and </w:t>
      </w:r>
      <w:r w:rsidRPr="001A3D2B">
        <w:rPr>
          <w:kern w:val="0"/>
        </w:rPr>
        <w:t xml:space="preserve">information science as a case study.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798-808.</w:t>
      </w:r>
    </w:p>
    <w:p w:rsidR="00CF4560" w:rsidRPr="001A3D2B" w:rsidRDefault="00CF4560" w:rsidP="00CF4560">
      <w:pPr>
        <w:pStyle w:val="a0"/>
        <w:rPr>
          <w:kern w:val="0"/>
        </w:rPr>
      </w:pPr>
      <w:r w:rsidRPr="001A3D2B">
        <w:rPr>
          <w:kern w:val="0"/>
        </w:rPr>
        <w:t>Abstract: The investigators studied author research impact using the number of citers an author</w:t>
      </w:r>
      <w:r w:rsidR="000352E7">
        <w:rPr>
          <w:kern w:val="0"/>
        </w:rPr>
        <w:t>’</w:t>
      </w:r>
      <w:r w:rsidRPr="001A3D2B">
        <w:rPr>
          <w:kern w:val="0"/>
        </w:rPr>
        <w:t xml:space="preserve">s research is able to attract, as opposed to the more traditional measure of </w:t>
      </w:r>
      <w:r w:rsidRPr="001A3D2B">
        <w:rPr>
          <w:kern w:val="0"/>
        </w:rPr>
        <w:lastRenderedPageBreak/>
        <w:t>citations. A focus on citers provides a complementary measure of an author</w:t>
      </w:r>
      <w:r w:rsidR="000352E7">
        <w:rPr>
          <w:kern w:val="0"/>
        </w:rPr>
        <w:t>’</w:t>
      </w:r>
      <w:r w:rsidRPr="001A3D2B">
        <w:rPr>
          <w:kern w:val="0"/>
        </w:rPr>
        <w:t>s reach or influence in a field, whereas citations, although possibly numerous, may not reflect this reach, particularly if many citations are received from a small number of citers. In this exploratory study, Web of Science was used to tally citer</w:t>
      </w:r>
      <w:r w:rsidR="00F81221">
        <w:rPr>
          <w:kern w:val="0"/>
        </w:rPr>
        <w:t xml:space="preserve"> and </w:t>
      </w:r>
      <w:r w:rsidRPr="001A3D2B">
        <w:rPr>
          <w:kern w:val="0"/>
        </w:rPr>
        <w:t>citation-based counts for 25 highly cited researchers in information studies in the United States</w:t>
      </w:r>
      <w:r w:rsidR="00F81221">
        <w:rPr>
          <w:kern w:val="0"/>
        </w:rPr>
        <w:t xml:space="preserve"> and </w:t>
      </w:r>
      <w:r w:rsidRPr="001A3D2B">
        <w:rPr>
          <w:kern w:val="0"/>
        </w:rPr>
        <w:t>26 highly cited researchers from the United Kingdom. Outcomes of the tallies using several different measures, including an introduced ch-index, were used to determine whether differences arise in author rankings when using citer-based versus citation-based counts. The findings indicate a strong correlation between some citation</w:t>
      </w:r>
      <w:r w:rsidR="00F81221">
        <w:rPr>
          <w:kern w:val="0"/>
        </w:rPr>
        <w:t xml:space="preserve"> and </w:t>
      </w:r>
      <w:r w:rsidRPr="001A3D2B">
        <w:rPr>
          <w:kern w:val="0"/>
        </w:rPr>
        <w:t>citer-based measures, but not with others. The findings of the study have implications for the way authors</w:t>
      </w:r>
      <w:r w:rsidR="000352E7">
        <w:rPr>
          <w:kern w:val="0"/>
        </w:rPr>
        <w:t>’</w:t>
      </w:r>
      <w:r w:rsidRPr="001A3D2B">
        <w:rPr>
          <w:kern w:val="0"/>
        </w:rPr>
        <w:t xml:space="preserve"> research impact may be assessed.</w:t>
      </w:r>
    </w:p>
    <w:p w:rsidR="00CF4560" w:rsidRPr="001A3D2B" w:rsidRDefault="00CF4560" w:rsidP="00CF4560">
      <w:pPr>
        <w:pStyle w:val="a0"/>
        <w:rPr>
          <w:kern w:val="0"/>
        </w:rPr>
      </w:pPr>
      <w:r w:rsidRPr="001A3D2B">
        <w:rPr>
          <w:kern w:val="0"/>
        </w:rPr>
        <w:t>Keywords: Citation Analysis, h-Index, Ideas</w:t>
      </w:r>
    </w:p>
    <w:p w:rsidR="00CF4560" w:rsidRPr="001A3D2B" w:rsidRDefault="00CF4560" w:rsidP="00CF4560">
      <w:pPr>
        <w:pStyle w:val="a0"/>
        <w:rPr>
          <w:kern w:val="0"/>
        </w:rPr>
      </w:pPr>
      <w:r w:rsidRPr="001A3D2B">
        <w:rPr>
          <w:kern w:val="0"/>
        </w:rPr>
        <w:t>? Meneghini, R.</w:t>
      </w:r>
      <w:r w:rsidR="00F81221">
        <w:rPr>
          <w:kern w:val="0"/>
        </w:rPr>
        <w:t xml:space="preserve"> and </w:t>
      </w:r>
      <w:r w:rsidRPr="001A3D2B">
        <w:rPr>
          <w:kern w:val="0"/>
        </w:rPr>
        <w:t>Packer, A. (2009), The extent of multidisciplinary authorship of articles on scientometrics</w:t>
      </w:r>
      <w:r w:rsidR="00F81221">
        <w:rPr>
          <w:kern w:val="0"/>
        </w:rPr>
        <w:t xml:space="preserve"> and </w:t>
      </w:r>
      <w:r w:rsidRPr="001A3D2B">
        <w:rPr>
          <w:kern w:val="0"/>
        </w:rPr>
        <w:t xml:space="preserve">bibliometrics in Brazil.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809-816.</w:t>
      </w:r>
    </w:p>
    <w:p w:rsidR="00CF4560" w:rsidRPr="001A3D2B" w:rsidRDefault="00CF4560" w:rsidP="00CF4560">
      <w:pPr>
        <w:pStyle w:val="a0"/>
        <w:rPr>
          <w:kern w:val="0"/>
        </w:rPr>
      </w:pPr>
      <w:r w:rsidRPr="001A3D2B">
        <w:rPr>
          <w:kern w:val="0"/>
        </w:rPr>
        <w:t>Abstract: The publications in scientometrics with Brazilian authorship expanded exponentially in the 1990-2006 period, reaching 13 times in the Web of Science database</w:t>
      </w:r>
      <w:r w:rsidR="00F81221">
        <w:rPr>
          <w:kern w:val="0"/>
        </w:rPr>
        <w:t xml:space="preserve"> and </w:t>
      </w:r>
      <w:r w:rsidRPr="001A3D2B">
        <w:rPr>
          <w:kern w:val="0"/>
        </w:rPr>
        <w:t>19.5 times in the Google Scholar database. This increase is rather superior to that of the total Brazilian scientific production in the same time period. Some characteristics to be noticed in this rise are: (1) the total number of articles during this period was 197; in that, 78% were published in 57 Brazilian journals</w:t>
      </w:r>
      <w:r w:rsidR="00F81221">
        <w:rPr>
          <w:kern w:val="0"/>
        </w:rPr>
        <w:t xml:space="preserve"> and </w:t>
      </w:r>
      <w:r w:rsidRPr="001A3D2B">
        <w:rPr>
          <w:kern w:val="0"/>
        </w:rPr>
        <w:t>22% in 13 international journals; (2) the national</w:t>
      </w:r>
      <w:r w:rsidR="00F81221">
        <w:rPr>
          <w:kern w:val="0"/>
        </w:rPr>
        <w:t xml:space="preserve"> and </w:t>
      </w:r>
      <w:r w:rsidRPr="001A3D2B">
        <w:rPr>
          <w:kern w:val="0"/>
        </w:rPr>
        <w:t>international articles averaged 4.3</w:t>
      </w:r>
      <w:r w:rsidR="00F81221">
        <w:rPr>
          <w:kern w:val="0"/>
        </w:rPr>
        <w:t xml:space="preserve"> and </w:t>
      </w:r>
      <w:r w:rsidRPr="001A3D2B">
        <w:rPr>
          <w:kern w:val="0"/>
        </w:rPr>
        <w:t>5.9 citations/article, respectively. Two journals stood out among these - the national Ciencia da Informacao</w:t>
      </w:r>
      <w:r w:rsidR="00F81221">
        <w:rPr>
          <w:kern w:val="0"/>
        </w:rPr>
        <w:t xml:space="preserve"> and </w:t>
      </w:r>
      <w:r w:rsidRPr="001A3D2B">
        <w:rPr>
          <w:kern w:val="0"/>
        </w:rPr>
        <w:t>the international Scientometrics; (3) the articles encompass an impressive participation of authors from areas other than information science. The occurrence of adventitious authors at this level of multidisciplinarity is uncommon in science. However, the possible benefits of such pattern are not clear in view of a fragmented intercommunication among the authors, as noticed by the citations. The advantages of improving the intercommunicability among authors</w:t>
      </w:r>
      <w:r w:rsidR="00F81221">
        <w:rPr>
          <w:kern w:val="0"/>
        </w:rPr>
        <w:t xml:space="preserve"> and </w:t>
      </w:r>
      <w:r w:rsidRPr="001A3D2B">
        <w:rPr>
          <w:kern w:val="0"/>
        </w:rPr>
        <w:t>of using other scientometric</w:t>
      </w:r>
      <w:r w:rsidR="00F81221">
        <w:rPr>
          <w:kern w:val="0"/>
        </w:rPr>
        <w:t xml:space="preserve"> and </w:t>
      </w:r>
      <w:r w:rsidRPr="001A3D2B">
        <w:rPr>
          <w:kern w:val="0"/>
        </w:rPr>
        <w:t>bibliometric databases, such as SciELO, to avoid an almost exclusive use of the Web of Science database, are discussed.</w:t>
      </w:r>
    </w:p>
    <w:p w:rsidR="00CF4560" w:rsidRPr="001A3D2B" w:rsidRDefault="00CF4560" w:rsidP="00CF4560">
      <w:pPr>
        <w:pStyle w:val="a0"/>
        <w:rPr>
          <w:kern w:val="0"/>
        </w:rPr>
      </w:pPr>
      <w:r w:rsidRPr="001A3D2B">
        <w:rPr>
          <w:kern w:val="0"/>
        </w:rPr>
        <w:t>Keywords: Bibliometrics, Publication, Science</w:t>
      </w:r>
    </w:p>
    <w:p w:rsidR="00CF4560" w:rsidRPr="001A3D2B" w:rsidRDefault="00CF4560" w:rsidP="00CF4560">
      <w:pPr>
        <w:pStyle w:val="a0"/>
        <w:rPr>
          <w:kern w:val="0"/>
        </w:rPr>
      </w:pPr>
      <w:r w:rsidRPr="001A3D2B">
        <w:rPr>
          <w:kern w:val="0"/>
        </w:rPr>
        <w:t>? Costas, R., van Leeuwen, T.N.</w:t>
      </w:r>
      <w:r w:rsidR="00F81221">
        <w:rPr>
          <w:kern w:val="0"/>
        </w:rPr>
        <w:t xml:space="preserve"> and </w:t>
      </w:r>
      <w:r w:rsidRPr="001A3D2B">
        <w:rPr>
          <w:kern w:val="0"/>
        </w:rPr>
        <w:t xml:space="preserve">Bordons, M. (2009), A bibliometric methodology for supporting research assessment at individual level: A classification approach.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817-828.</w:t>
      </w:r>
    </w:p>
    <w:p w:rsidR="00CF4560" w:rsidRPr="001A3D2B" w:rsidRDefault="00CF4560" w:rsidP="00CF4560">
      <w:pPr>
        <w:pStyle w:val="a0"/>
        <w:rPr>
          <w:kern w:val="0"/>
        </w:rPr>
      </w:pPr>
      <w:r w:rsidRPr="001A3D2B">
        <w:rPr>
          <w:kern w:val="0"/>
        </w:rPr>
        <w:t xml:space="preserve">Abstract: This paper describes a general methodology for conducting bibliometric analyses at the micro-level. It combines several indicators grouped into three factors </w:t>
      </w:r>
      <w:r w:rsidRPr="001A3D2B">
        <w:rPr>
          <w:kern w:val="0"/>
        </w:rPr>
        <w:lastRenderedPageBreak/>
        <w:t>or dimensions which describe different aspects of scientific performance. Different profiles of scientists are described according to their research performance in each dimension. Some results based on the outcomes of the methodology applied to the study of CSIC scientists in three thematic areas in Spain are presented. The main advantages</w:t>
      </w:r>
      <w:r w:rsidR="00F81221">
        <w:rPr>
          <w:kern w:val="0"/>
        </w:rPr>
        <w:t xml:space="preserve"> and </w:t>
      </w:r>
      <w:r w:rsidRPr="001A3D2B">
        <w:rPr>
          <w:kern w:val="0"/>
        </w:rPr>
        <w:t>possibilities of the methodology for supporting research assessment</w:t>
      </w:r>
      <w:r w:rsidR="00F81221">
        <w:rPr>
          <w:kern w:val="0"/>
        </w:rPr>
        <w:t xml:space="preserve"> and </w:t>
      </w:r>
      <w:r w:rsidRPr="001A3D2B">
        <w:rPr>
          <w:kern w:val="0"/>
        </w:rPr>
        <w:t>management are pointed out. The classification approach proposed can be a useful tool for exploring potential determinants of research success.</w:t>
      </w:r>
    </w:p>
    <w:p w:rsidR="00CF4560" w:rsidRPr="001A3D2B" w:rsidRDefault="00CF4560" w:rsidP="00CF4560">
      <w:pPr>
        <w:pStyle w:val="a0"/>
        <w:rPr>
          <w:kern w:val="0"/>
        </w:rPr>
      </w:pPr>
      <w:r w:rsidRPr="001A3D2B">
        <w:rPr>
          <w:kern w:val="0"/>
        </w:rPr>
        <w:t>Keywords: Databases, h-Index, Impact, Indicators, Micro Level, Output, Productivity, Program, Scientific Performance, System</w:t>
      </w:r>
    </w:p>
    <w:p w:rsidR="00CF4560" w:rsidRPr="001A3D2B" w:rsidRDefault="00CF4560" w:rsidP="00CF4560">
      <w:pPr>
        <w:pStyle w:val="a0"/>
        <w:rPr>
          <w:kern w:val="0"/>
        </w:rPr>
      </w:pPr>
      <w:r w:rsidRPr="001A3D2B">
        <w:rPr>
          <w:kern w:val="0"/>
        </w:rPr>
        <w:t>? Schiebel, E.</w:t>
      </w:r>
      <w:r w:rsidR="00F81221">
        <w:rPr>
          <w:kern w:val="0"/>
        </w:rPr>
        <w:t xml:space="preserve"> and </w:t>
      </w:r>
      <w:r w:rsidRPr="001A3D2B">
        <w:rPr>
          <w:kern w:val="0"/>
        </w:rPr>
        <w:t xml:space="preserve">Gorraiz, J. (2009), How to organize a conference using bibliometrics?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829-840.</w:t>
      </w:r>
    </w:p>
    <w:p w:rsidR="00CF4560" w:rsidRPr="001A3D2B" w:rsidRDefault="00CF4560" w:rsidP="00CF4560">
      <w:pPr>
        <w:pStyle w:val="a0"/>
        <w:rPr>
          <w:kern w:val="0"/>
        </w:rPr>
      </w:pPr>
      <w:r w:rsidRPr="001A3D2B">
        <w:rPr>
          <w:kern w:val="0"/>
        </w:rPr>
        <w:t>Abstract: The success of the organization of an international conference depends in a big extent on a considerable number of controversial decisions. Many of them are taken considering expert opinions, but some others are still based on more or less subjective criteria. In this study, we suggest</w:t>
      </w:r>
      <w:r w:rsidR="00F81221">
        <w:rPr>
          <w:kern w:val="0"/>
        </w:rPr>
        <w:t xml:space="preserve"> and </w:t>
      </w:r>
      <w:r w:rsidRPr="001A3D2B">
        <w:rPr>
          <w:kern w:val="0"/>
        </w:rPr>
        <w:t>document that the inclusion of bibliometric</w:t>
      </w:r>
      <w:r w:rsidR="00F81221">
        <w:rPr>
          <w:kern w:val="0"/>
        </w:rPr>
        <w:t xml:space="preserve"> and </w:t>
      </w:r>
      <w:r w:rsidRPr="001A3D2B">
        <w:rPr>
          <w:kern w:val="0"/>
        </w:rPr>
        <w:t>scientometric methods does not only facilitate the organization of a conference but also contribute to support</w:t>
      </w:r>
      <w:r w:rsidR="00F81221">
        <w:rPr>
          <w:kern w:val="0"/>
        </w:rPr>
        <w:t xml:space="preserve"> and </w:t>
      </w:r>
      <w:r w:rsidRPr="001A3D2B">
        <w:rPr>
          <w:kern w:val="0"/>
        </w:rPr>
        <w:t>legitimate the decisions taken by its organizers. Bibliometric indicators</w:t>
      </w:r>
      <w:r w:rsidR="00F81221">
        <w:rPr>
          <w:kern w:val="0"/>
        </w:rPr>
        <w:t xml:space="preserve"> and </w:t>
      </w:r>
      <w:r w:rsidRPr="001A3D2B">
        <w:rPr>
          <w:kern w:val="0"/>
        </w:rPr>
        <w:t>methods improve the quality of the selection process</w:t>
      </w:r>
      <w:r w:rsidR="00F81221">
        <w:rPr>
          <w:kern w:val="0"/>
        </w:rPr>
        <w:t xml:space="preserve"> and </w:t>
      </w:r>
      <w:r w:rsidRPr="001A3D2B">
        <w:rPr>
          <w:kern w:val="0"/>
        </w:rPr>
        <w:t>introduce a broader view for the application of consolidated criteria. Additionally, mapping techniques appear as very adequate instruments for the assignment of contributions to the reviewers</w:t>
      </w:r>
      <w:r w:rsidR="00F81221">
        <w:rPr>
          <w:kern w:val="0"/>
        </w:rPr>
        <w:t xml:space="preserve"> and </w:t>
      </w:r>
      <w:r w:rsidRPr="001A3D2B">
        <w:rPr>
          <w:kern w:val="0"/>
        </w:rPr>
        <w:t>for the compilation of the sessions resulting in the final programme. Finally, we recommend their use in the organization of conferences independent of their subject.</w:t>
      </w:r>
    </w:p>
    <w:p w:rsidR="00CF4560" w:rsidRPr="001A3D2B" w:rsidRDefault="00CF4560" w:rsidP="00CF4560">
      <w:pPr>
        <w:pStyle w:val="a0"/>
        <w:rPr>
          <w:kern w:val="0"/>
        </w:rPr>
      </w:pPr>
      <w:r w:rsidRPr="001A3D2B">
        <w:rPr>
          <w:kern w:val="0"/>
        </w:rPr>
        <w:t>Keywords: Bibliometrics</w:t>
      </w:r>
    </w:p>
    <w:p w:rsidR="00CF4560" w:rsidRPr="001A3D2B" w:rsidRDefault="00CF4560" w:rsidP="00CF4560">
      <w:pPr>
        <w:pStyle w:val="a0"/>
        <w:rPr>
          <w:kern w:val="0"/>
        </w:rPr>
      </w:pPr>
      <w:r w:rsidRPr="001A3D2B">
        <w:rPr>
          <w:kern w:val="0"/>
        </w:rPr>
        <w:t>? Glaser, J.</w:t>
      </w:r>
      <w:r w:rsidR="00F81221">
        <w:rPr>
          <w:kern w:val="0"/>
        </w:rPr>
        <w:t xml:space="preserve"> and </w:t>
      </w:r>
      <w:r w:rsidRPr="001A3D2B">
        <w:rPr>
          <w:kern w:val="0"/>
        </w:rPr>
        <w:t xml:space="preserve">Laudel, G. (2009), Identifying individual research trails.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841-845.</w:t>
      </w:r>
    </w:p>
    <w:p w:rsidR="00CF4560" w:rsidRPr="001A3D2B" w:rsidRDefault="00CF4560" w:rsidP="00CF4560">
      <w:pPr>
        <w:pStyle w:val="a0"/>
        <w:rPr>
          <w:kern w:val="0"/>
        </w:rPr>
      </w:pPr>
      <w:r w:rsidRPr="001A3D2B">
        <w:rPr>
          <w:kern w:val="0"/>
        </w:rPr>
        <w:t>Abstract: This paper reports the development of bibliometric methods for the analysis of individual research trails. The demand for such methods arose in projects that used qualitative interviews for obtaining data on the content of the interviewee</w:t>
      </w:r>
      <w:r w:rsidR="000352E7">
        <w:rPr>
          <w:kern w:val="0"/>
        </w:rPr>
        <w:t>’</w:t>
      </w:r>
      <w:r w:rsidRPr="001A3D2B">
        <w:rPr>
          <w:kern w:val="0"/>
        </w:rPr>
        <w:t>s research. The part of the interview that explores the evolution of the interviewee</w:t>
      </w:r>
      <w:r w:rsidR="000352E7">
        <w:rPr>
          <w:kern w:val="0"/>
        </w:rPr>
        <w:t>’</w:t>
      </w:r>
      <w:r w:rsidRPr="001A3D2B">
        <w:rPr>
          <w:kern w:val="0"/>
        </w:rPr>
        <w:t xml:space="preserve">s </w:t>
      </w:r>
      <w:r w:rsidR="000352E7">
        <w:rPr>
          <w:kern w:val="0"/>
        </w:rPr>
        <w:t>“</w:t>
      </w:r>
      <w:r w:rsidRPr="001A3D2B">
        <w:rPr>
          <w:kern w:val="0"/>
        </w:rPr>
        <w:t>research trail</w:t>
      </w:r>
      <w:r w:rsidR="000352E7">
        <w:rPr>
          <w:kern w:val="0"/>
        </w:rPr>
        <w:t>”</w:t>
      </w:r>
      <w:r w:rsidRPr="001A3D2B">
        <w:rPr>
          <w:kern w:val="0"/>
        </w:rPr>
        <w:t xml:space="preserve"> - the sequence of topics addressed</w:t>
      </w:r>
      <w:r w:rsidR="00F81221">
        <w:rPr>
          <w:kern w:val="0"/>
        </w:rPr>
        <w:t xml:space="preserve"> and </w:t>
      </w:r>
      <w:r w:rsidRPr="001A3D2B">
        <w:rPr>
          <w:kern w:val="0"/>
        </w:rPr>
        <w:t>methods used as it unfolds over time-can be based on bibliometric analyses of the oeuvre of the interviewee. For fields with sufficient ISI coverage, all publications by an interviewee were downloaded</w:t>
      </w:r>
      <w:r w:rsidR="00F81221">
        <w:rPr>
          <w:kern w:val="0"/>
        </w:rPr>
        <w:t xml:space="preserve"> and </w:t>
      </w:r>
      <w:r w:rsidRPr="001A3D2B">
        <w:rPr>
          <w:kern w:val="0"/>
        </w:rPr>
        <w:t>their reference lists automatically searched for shared references</w:t>
      </w:r>
      <w:r w:rsidR="00F81221">
        <w:rPr>
          <w:kern w:val="0"/>
        </w:rPr>
        <w:t xml:space="preserve"> and </w:t>
      </w:r>
      <w:r w:rsidRPr="001A3D2B">
        <w:rPr>
          <w:kern w:val="0"/>
        </w:rPr>
        <w:t>self-citations. In fields with insufficient ISI coverage, title</w:t>
      </w:r>
      <w:r w:rsidR="00F81221">
        <w:rPr>
          <w:kern w:val="0"/>
        </w:rPr>
        <w:t xml:space="preserve"> and </w:t>
      </w:r>
      <w:r w:rsidRPr="001A3D2B">
        <w:rPr>
          <w:kern w:val="0"/>
        </w:rPr>
        <w:t>abstract keywords were identified</w:t>
      </w:r>
      <w:r w:rsidR="00F81221">
        <w:rPr>
          <w:kern w:val="0"/>
        </w:rPr>
        <w:t xml:space="preserve"> and </w:t>
      </w:r>
      <w:r w:rsidRPr="001A3D2B">
        <w:rPr>
          <w:kern w:val="0"/>
        </w:rPr>
        <w:t xml:space="preserve">compared. On the basis of this information, networks were drawn manually by adding links according to decreasing strength until most publications </w:t>
      </w:r>
      <w:r w:rsidRPr="001A3D2B">
        <w:rPr>
          <w:kern w:val="0"/>
        </w:rPr>
        <w:lastRenderedPageBreak/>
        <w:t>were linked but clusters could still be distinguished. The resulting networks fulfilled their role as stimuli for discussions about interviewees</w:t>
      </w:r>
      <w:r w:rsidR="000352E7">
        <w:rPr>
          <w:kern w:val="0"/>
        </w:rPr>
        <w:t>’</w:t>
      </w:r>
      <w:r w:rsidRPr="001A3D2B">
        <w:rPr>
          <w:kern w:val="0"/>
        </w:rPr>
        <w:t xml:space="preserve"> research biographies. Although the networks did not need to be correct in order to stimulate responses, many of them were. Together with the interview process, the networks enabled the identification of actual</w:t>
      </w:r>
      <w:r w:rsidR="00F81221">
        <w:rPr>
          <w:kern w:val="0"/>
        </w:rPr>
        <w:t xml:space="preserve"> and </w:t>
      </w:r>
      <w:r w:rsidRPr="001A3D2B">
        <w:rPr>
          <w:kern w:val="0"/>
        </w:rPr>
        <w:t>latent research trails. Currently, the analysis of oeuvres with latent semantic analysis is tested. The resulting networks will be compared to the results of bibliographic coupling</w:t>
      </w:r>
      <w:r w:rsidR="00F81221">
        <w:rPr>
          <w:kern w:val="0"/>
        </w:rPr>
        <w:t xml:space="preserve"> and </w:t>
      </w:r>
      <w:r w:rsidRPr="001A3D2B">
        <w:rPr>
          <w:kern w:val="0"/>
        </w:rPr>
        <w:t>to the information obtained from interviews.</w:t>
      </w:r>
    </w:p>
    <w:p w:rsidR="00CF4560" w:rsidRPr="001A3D2B" w:rsidRDefault="00CF4560" w:rsidP="00CF4560">
      <w:pPr>
        <w:pStyle w:val="a0"/>
        <w:rPr>
          <w:kern w:val="0"/>
        </w:rPr>
      </w:pPr>
      <w:r w:rsidRPr="001A3D2B">
        <w:rPr>
          <w:kern w:val="0"/>
        </w:rPr>
        <w:t>? Sandstrom, U.</w:t>
      </w:r>
      <w:r w:rsidR="00F81221">
        <w:rPr>
          <w:kern w:val="0"/>
        </w:rPr>
        <w:t xml:space="preserve"> and </w:t>
      </w:r>
      <w:r w:rsidRPr="001A3D2B">
        <w:rPr>
          <w:kern w:val="0"/>
        </w:rPr>
        <w:t xml:space="preserve">Sandstrom, E. (2009), Meeting the micro-level challenges: Bibliometrics at the individual level.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846-856.</w:t>
      </w:r>
    </w:p>
    <w:p w:rsidR="00CF4560" w:rsidRPr="001A3D2B" w:rsidRDefault="00CF4560" w:rsidP="00CF4560">
      <w:pPr>
        <w:pStyle w:val="a0"/>
        <w:rPr>
          <w:kern w:val="0"/>
        </w:rPr>
      </w:pPr>
      <w:r w:rsidRPr="001A3D2B">
        <w:rPr>
          <w:kern w:val="0"/>
        </w:rPr>
        <w:t>Abstract: The aim of this paper is to demonstrate a method for bibliometric evaluation of individuals, i.e. research staff currently employed within a university department or other knowledge organisations with research purposes. Based on methods for citation analysis</w:t>
      </w:r>
      <w:r w:rsidR="00F81221">
        <w:rPr>
          <w:kern w:val="0"/>
        </w:rPr>
        <w:t xml:space="preserve"> and </w:t>
      </w:r>
      <w:r w:rsidRPr="001A3D2B">
        <w:rPr>
          <w:kern w:val="0"/>
        </w:rPr>
        <w:t xml:space="preserve">methods for clustering of papers into research lines </w:t>
      </w:r>
      <w:r w:rsidR="002F1E82">
        <w:rPr>
          <w:kern w:val="0"/>
        </w:rPr>
        <w:t>(</w:t>
      </w:r>
      <w:r w:rsidRPr="001A3D2B">
        <w:rPr>
          <w:kern w:val="0"/>
        </w:rPr>
        <w:t>using bibliographic coupling) we present an analysis of one researcher in three dimensions: 1) publication</w:t>
      </w:r>
      <w:r w:rsidR="00F81221">
        <w:rPr>
          <w:kern w:val="0"/>
        </w:rPr>
        <w:t xml:space="preserve"> and </w:t>
      </w:r>
      <w:r w:rsidRPr="001A3D2B">
        <w:rPr>
          <w:kern w:val="0"/>
        </w:rPr>
        <w:t>citation indicators; 2) publication profile,</w:t>
      </w:r>
      <w:r w:rsidR="00F81221">
        <w:rPr>
          <w:kern w:val="0"/>
        </w:rPr>
        <w:t xml:space="preserve"> and </w:t>
      </w:r>
      <w:r w:rsidRPr="001A3D2B">
        <w:rPr>
          <w:kern w:val="0"/>
        </w:rPr>
        <w:t>3) research lines. One of the features of the method is the benchmark against other researchers within the same research line, i.e. researchers that use the same references and, accordingly, are active in the same field of research. The paper suggests this method as a means to avoid the fallacies of evaluation solely dependent on sub-field categories in the Web of Science in advanced citation analysis. The method was used in a Research Assessment Exercise accomplished in the autumn of 2008 at Royal Institute of Technology.</w:t>
      </w:r>
    </w:p>
    <w:p w:rsidR="00CF4560" w:rsidRPr="001A3D2B" w:rsidRDefault="00CF4560" w:rsidP="00CF4560">
      <w:pPr>
        <w:pStyle w:val="a0"/>
        <w:rPr>
          <w:kern w:val="0"/>
        </w:rPr>
      </w:pPr>
      <w:r w:rsidRPr="001A3D2B">
        <w:rPr>
          <w:kern w:val="0"/>
        </w:rPr>
        <w:t>Keywords: Bibliometrics, Citation, Indicators, Research-Front</w:t>
      </w:r>
    </w:p>
    <w:p w:rsidR="00CF4560" w:rsidRPr="001A3D2B" w:rsidRDefault="00CF4560" w:rsidP="00CF4560">
      <w:pPr>
        <w:pStyle w:val="a0"/>
        <w:rPr>
          <w:kern w:val="0"/>
        </w:rPr>
      </w:pPr>
      <w:r w:rsidRPr="001A3D2B">
        <w:rPr>
          <w:kern w:val="0"/>
        </w:rPr>
        <w:t>? Ahlgren, P.</w:t>
      </w:r>
      <w:r w:rsidR="00F81221">
        <w:rPr>
          <w:kern w:val="0"/>
        </w:rPr>
        <w:t xml:space="preserve"> and </w:t>
      </w:r>
      <w:r w:rsidRPr="001A3D2B">
        <w:rPr>
          <w:kern w:val="0"/>
        </w:rPr>
        <w:t>Colliander, C. (2009), Textual content, cited references, similarity order,</w:t>
      </w:r>
      <w:r w:rsidR="00F81221">
        <w:rPr>
          <w:kern w:val="0"/>
        </w:rPr>
        <w:t xml:space="preserve"> and </w:t>
      </w:r>
      <w:r w:rsidRPr="001A3D2B">
        <w:rPr>
          <w:kern w:val="0"/>
        </w:rPr>
        <w:t xml:space="preserve">clustering: An experimental study in the context of science mapping.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862-873.</w:t>
      </w:r>
    </w:p>
    <w:p w:rsidR="00CF4560" w:rsidRPr="001A3D2B" w:rsidRDefault="00CF4560" w:rsidP="00CF4560">
      <w:pPr>
        <w:pStyle w:val="a0"/>
        <w:rPr>
          <w:kern w:val="0"/>
        </w:rPr>
      </w:pPr>
      <w:r w:rsidRPr="001A3D2B">
        <w:rPr>
          <w:kern w:val="0"/>
        </w:rPr>
        <w:t>Abstract: This paper deals with document-document similarity approaches, the issue of similarity order,</w:t>
      </w:r>
      <w:r w:rsidR="00F81221">
        <w:rPr>
          <w:kern w:val="0"/>
        </w:rPr>
        <w:t xml:space="preserve"> and </w:t>
      </w:r>
      <w:r w:rsidRPr="001A3D2B">
        <w:rPr>
          <w:kern w:val="0"/>
        </w:rPr>
        <w:t>clustering methods, in the context of science mapping. Using two data sets of bibliographic records, associated with the fields of information retrieval</w:t>
      </w:r>
      <w:r w:rsidR="00F81221">
        <w:rPr>
          <w:kern w:val="0"/>
        </w:rPr>
        <w:t xml:space="preserve"> and </w:t>
      </w:r>
      <w:r w:rsidRPr="001A3D2B">
        <w:rPr>
          <w:kern w:val="0"/>
        </w:rPr>
        <w:t>scientometrics, we investigate how well two document-document similarity approaches, a text-based approach</w:t>
      </w:r>
      <w:r w:rsidR="00F81221">
        <w:rPr>
          <w:kern w:val="0"/>
        </w:rPr>
        <w:t xml:space="preserve"> and </w:t>
      </w:r>
      <w:r w:rsidRPr="001A3D2B">
        <w:rPr>
          <w:kern w:val="0"/>
        </w:rPr>
        <w:t>bibliographic coupling, agree with ground truth classifications (obtained by subject experts), under first-order</w:t>
      </w:r>
      <w:r w:rsidR="00F81221">
        <w:rPr>
          <w:kern w:val="0"/>
        </w:rPr>
        <w:t xml:space="preserve"> and </w:t>
      </w:r>
      <w:r w:rsidRPr="001A3D2B">
        <w:rPr>
          <w:kern w:val="0"/>
        </w:rPr>
        <w:t>second-order similarities,</w:t>
      </w:r>
      <w:r w:rsidR="00F81221">
        <w:rPr>
          <w:kern w:val="0"/>
        </w:rPr>
        <w:t xml:space="preserve"> and </w:t>
      </w:r>
      <w:r w:rsidRPr="001A3D2B">
        <w:rPr>
          <w:kern w:val="0"/>
        </w:rPr>
        <w:t>under four different clustering methods. The clustering methods are average linkage, complete linkage, Ward</w:t>
      </w:r>
      <w:r w:rsidR="000352E7">
        <w:rPr>
          <w:kern w:val="0"/>
        </w:rPr>
        <w:t>’</w:t>
      </w:r>
      <w:r w:rsidRPr="001A3D2B">
        <w:rPr>
          <w:kern w:val="0"/>
        </w:rPr>
        <w:t>s method</w:t>
      </w:r>
      <w:r w:rsidR="00F81221">
        <w:rPr>
          <w:kern w:val="0"/>
        </w:rPr>
        <w:t xml:space="preserve"> and </w:t>
      </w:r>
      <w:r w:rsidRPr="001A3D2B">
        <w:rPr>
          <w:kern w:val="0"/>
        </w:rPr>
        <w:t>consensus clustering. The performance of first-order</w:t>
      </w:r>
      <w:r w:rsidR="00F81221">
        <w:rPr>
          <w:kern w:val="0"/>
        </w:rPr>
        <w:t xml:space="preserve"> and </w:t>
      </w:r>
      <w:r w:rsidRPr="001A3D2B">
        <w:rPr>
          <w:kern w:val="0"/>
        </w:rPr>
        <w:t>second-order similarities is compared within the two document-document similarity approaches,</w:t>
      </w:r>
      <w:r w:rsidR="00F81221">
        <w:rPr>
          <w:kern w:val="0"/>
        </w:rPr>
        <w:t xml:space="preserve"> and </w:t>
      </w:r>
      <w:r w:rsidRPr="001A3D2B">
        <w:rPr>
          <w:kern w:val="0"/>
        </w:rPr>
        <w:t xml:space="preserve">under each clustering </w:t>
      </w:r>
      <w:r w:rsidRPr="001A3D2B">
        <w:rPr>
          <w:kern w:val="0"/>
        </w:rPr>
        <w:lastRenderedPageBreak/>
        <w:t>method. We also compare the performance of the clustering methods. The results show that the text-based approach consistently outperformed bibliographic coupling with regard to the information retrieval data set, but performed consistently worse than the latter approach regarding the scientometrics data set. For the similarity order issue, second-order similarities performed better than first-order in 12 out of 16 cases. Average linkage had the best overall performance among the clustering methods, followed by consensus clustering. The main conclusion of the study is that second-order similarities seem to be a better choice than first-order in the science mapping context.</w:t>
      </w:r>
    </w:p>
    <w:p w:rsidR="00CF4560" w:rsidRPr="001A3D2B" w:rsidRDefault="00CF4560" w:rsidP="00CF4560">
      <w:pPr>
        <w:pStyle w:val="a0"/>
        <w:rPr>
          <w:kern w:val="0"/>
        </w:rPr>
      </w:pPr>
      <w:r w:rsidRPr="001A3D2B">
        <w:rPr>
          <w:kern w:val="0"/>
        </w:rPr>
        <w:t>Keywords: Classification, Information-Science</w:t>
      </w:r>
    </w:p>
    <w:p w:rsidR="00CF4560" w:rsidRPr="001A3D2B" w:rsidRDefault="00CF4560" w:rsidP="00CF4560">
      <w:pPr>
        <w:pStyle w:val="a0"/>
        <w:rPr>
          <w:kern w:val="0"/>
        </w:rPr>
      </w:pPr>
      <w:r w:rsidRPr="001A3D2B">
        <w:rPr>
          <w:kern w:val="0"/>
        </w:rPr>
        <w:t>? van Eck, N.J.</w:t>
      </w:r>
      <w:r w:rsidR="00F81221">
        <w:rPr>
          <w:kern w:val="0"/>
        </w:rPr>
        <w:t xml:space="preserve"> and </w:t>
      </w:r>
      <w:r w:rsidRPr="001A3D2B">
        <w:rPr>
          <w:kern w:val="0"/>
        </w:rPr>
        <w:t xml:space="preserve">Waltman, L. (2009), VOSviewer: A computer program for bibliometric mapping.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886-897.</w:t>
      </w:r>
    </w:p>
    <w:p w:rsidR="00CF4560" w:rsidRPr="001A3D2B" w:rsidRDefault="00CF4560" w:rsidP="00CF4560">
      <w:pPr>
        <w:pStyle w:val="a0"/>
        <w:rPr>
          <w:kern w:val="0"/>
        </w:rPr>
      </w:pPr>
      <w:r w:rsidRPr="001A3D2B">
        <w:rPr>
          <w:kern w:val="0"/>
        </w:rPr>
        <w:t>Abstract: We present VOSviewer, a computer program that we have developed for constructing</w:t>
      </w:r>
      <w:r w:rsidR="00F81221">
        <w:rPr>
          <w:kern w:val="0"/>
        </w:rPr>
        <w:t xml:space="preserve"> and </w:t>
      </w:r>
      <w:r w:rsidRPr="001A3D2B">
        <w:rPr>
          <w:kern w:val="0"/>
        </w:rPr>
        <w:t>viewing bibliometric maps. VOSviewer combines the VOS mapping technique</w:t>
      </w:r>
      <w:r w:rsidR="00F81221">
        <w:rPr>
          <w:kern w:val="0"/>
        </w:rPr>
        <w:t xml:space="preserve"> and </w:t>
      </w:r>
      <w:r w:rsidRPr="001A3D2B">
        <w:rPr>
          <w:kern w:val="0"/>
        </w:rPr>
        <w:t>an advanced viewer into a single easy-to-use computer program that is freely available to the bibliometric research community. Our aim in this paper is to provide an overview of the functionality of VOSviewer</w:t>
      </w:r>
      <w:r w:rsidR="00F81221">
        <w:rPr>
          <w:kern w:val="0"/>
        </w:rPr>
        <w:t xml:space="preserve"> and </w:t>
      </w:r>
      <w:r w:rsidRPr="001A3D2B">
        <w:rPr>
          <w:kern w:val="0"/>
        </w:rPr>
        <w:t>to elaborate on the technical implementation of specific parts of the program.</w:t>
      </w:r>
    </w:p>
    <w:p w:rsidR="00CF4560" w:rsidRPr="001A3D2B" w:rsidRDefault="00CF4560" w:rsidP="00CF4560">
      <w:pPr>
        <w:pStyle w:val="a0"/>
        <w:rPr>
          <w:kern w:val="0"/>
        </w:rPr>
      </w:pPr>
      <w:r w:rsidRPr="001A3D2B">
        <w:rPr>
          <w:kern w:val="0"/>
        </w:rPr>
        <w:t>Keywords: Computational Intelligence Field, Graphs, Maps, Pathfinder Networks, Science</w:t>
      </w:r>
    </w:p>
    <w:p w:rsidR="00CF4560" w:rsidRPr="001A3D2B" w:rsidRDefault="00CF4560" w:rsidP="00CF4560">
      <w:pPr>
        <w:pStyle w:val="a0"/>
        <w:rPr>
          <w:kern w:val="0"/>
        </w:rPr>
      </w:pPr>
      <w:r w:rsidRPr="001A3D2B">
        <w:rPr>
          <w:kern w:val="0"/>
        </w:rPr>
        <w:t>? Aleixandre-Benavent, R., onso-Arroyo, A., Bolanos-Pizarro, M., Gonzalez-Alcaide, G.</w:t>
      </w:r>
      <w:r w:rsidR="00F81221">
        <w:rPr>
          <w:kern w:val="0"/>
        </w:rPr>
        <w:t xml:space="preserve"> and </w:t>
      </w:r>
      <w:r w:rsidRPr="001A3D2B">
        <w:rPr>
          <w:kern w:val="0"/>
        </w:rPr>
        <w:t xml:space="preserve">Valderrama-Zurian, J.C. (2009), Eponymy in bibliometric language.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898-899.</w:t>
      </w:r>
    </w:p>
    <w:p w:rsidR="00CF4560" w:rsidRPr="001A3D2B" w:rsidRDefault="00CF4560" w:rsidP="00CF4560">
      <w:pPr>
        <w:pStyle w:val="a0"/>
        <w:rPr>
          <w:kern w:val="0"/>
        </w:rPr>
      </w:pPr>
      <w:r w:rsidRPr="001A3D2B">
        <w:rPr>
          <w:kern w:val="0"/>
        </w:rPr>
        <w:t>? Carlsson, H.</w:t>
      </w:r>
      <w:r w:rsidR="00F81221">
        <w:rPr>
          <w:kern w:val="0"/>
        </w:rPr>
        <w:t xml:space="preserve"> and </w:t>
      </w:r>
      <w:r w:rsidRPr="001A3D2B">
        <w:rPr>
          <w:kern w:val="0"/>
        </w:rPr>
        <w:t xml:space="preserve">Noyons, E.C.M. (2009), Field delineation using medical subject headings (MeSH) - An alternative way to aggregate data in the Web of Science.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914-915.</w:t>
      </w:r>
    </w:p>
    <w:p w:rsidR="00CF4560" w:rsidRPr="001A3D2B" w:rsidRDefault="00CF4560" w:rsidP="00CF4560">
      <w:pPr>
        <w:pStyle w:val="a0"/>
        <w:rPr>
          <w:kern w:val="0"/>
        </w:rPr>
      </w:pPr>
      <w:r w:rsidRPr="001A3D2B">
        <w:rPr>
          <w:kern w:val="0"/>
        </w:rPr>
        <w:t>Abstract: Field delineation is important in bibliometrics. Particularly when measuring scientific performance, the demarcation of the area, to which a science actor belongs, is of the greatest importance. This paper present a method based on searches on Boolean combinations of medical subject headings (MeSH-terms) in a combined Web of Science (WoS)-Medline database. The construction of the MeSH area definitions is described</w:t>
      </w:r>
      <w:r w:rsidR="00F81221">
        <w:rPr>
          <w:kern w:val="0"/>
        </w:rPr>
        <w:t xml:space="preserve"> and </w:t>
      </w:r>
      <w:r w:rsidRPr="001A3D2B">
        <w:rPr>
          <w:kern w:val="0"/>
        </w:rPr>
        <w:t>recall is discussed</w:t>
      </w:r>
      <w:r w:rsidR="00F81221">
        <w:rPr>
          <w:kern w:val="0"/>
        </w:rPr>
        <w:t xml:space="preserve"> and </w:t>
      </w:r>
      <w:r w:rsidRPr="001A3D2B">
        <w:rPr>
          <w:kern w:val="0"/>
        </w:rPr>
        <w:t>compared to other methods.</w:t>
      </w:r>
    </w:p>
    <w:p w:rsidR="00CF4560" w:rsidRPr="001A3D2B" w:rsidRDefault="00CF4560" w:rsidP="00CF4560">
      <w:pPr>
        <w:pStyle w:val="a0"/>
        <w:rPr>
          <w:kern w:val="0"/>
        </w:rPr>
      </w:pPr>
      <w:r w:rsidRPr="001A3D2B">
        <w:rPr>
          <w:kern w:val="0"/>
        </w:rPr>
        <w:t>Keywords: Bibliometrics</w:t>
      </w:r>
    </w:p>
    <w:p w:rsidR="00CF4560" w:rsidRPr="001A3D2B" w:rsidRDefault="00CF4560" w:rsidP="00CF4560">
      <w:pPr>
        <w:pStyle w:val="a0"/>
        <w:rPr>
          <w:kern w:val="0"/>
        </w:rPr>
      </w:pPr>
      <w:r w:rsidRPr="001A3D2B">
        <w:rPr>
          <w:kern w:val="0"/>
        </w:rPr>
        <w:t>? Fachin, G.R.B.</w:t>
      </w:r>
      <w:r w:rsidR="00F81221">
        <w:rPr>
          <w:kern w:val="0"/>
        </w:rPr>
        <w:t xml:space="preserve"> and </w:t>
      </w:r>
      <w:r w:rsidRPr="001A3D2B">
        <w:rPr>
          <w:kern w:val="0"/>
        </w:rPr>
        <w:t>dos Santos, R.N.M. (2009), Scientific communication</w:t>
      </w:r>
      <w:r w:rsidR="00F81221">
        <w:rPr>
          <w:kern w:val="0"/>
        </w:rPr>
        <w:t xml:space="preserve"> and </w:t>
      </w:r>
      <w:r w:rsidRPr="001A3D2B">
        <w:rPr>
          <w:kern w:val="0"/>
        </w:rPr>
        <w:t>ontology: A bibliometric analysis of the library</w:t>
      </w:r>
      <w:r w:rsidR="00F81221">
        <w:rPr>
          <w:kern w:val="0"/>
        </w:rPr>
        <w:t xml:space="preserve"> and </w:t>
      </w:r>
      <w:r w:rsidRPr="001A3D2B">
        <w:rPr>
          <w:kern w:val="0"/>
        </w:rPr>
        <w:t xml:space="preserve">Information Science Abstracts (LISA). </w:t>
      </w:r>
      <w:r>
        <w:rPr>
          <w:i/>
          <w:iCs/>
          <w:kern w:val="0"/>
        </w:rPr>
        <w:t xml:space="preserve">Proceedings of ISSI 2009: 12th International Conference of the </w:t>
      </w:r>
      <w:r>
        <w:rPr>
          <w:i/>
          <w:iCs/>
          <w:kern w:val="0"/>
        </w:rPr>
        <w:lastRenderedPageBreak/>
        <w:t>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926-927.</w:t>
      </w:r>
    </w:p>
    <w:p w:rsidR="00CF4560" w:rsidRPr="001A3D2B" w:rsidRDefault="00CF4560" w:rsidP="00CF4560">
      <w:pPr>
        <w:pStyle w:val="a0"/>
        <w:rPr>
          <w:kern w:val="0"/>
        </w:rPr>
      </w:pPr>
      <w:r w:rsidRPr="001A3D2B">
        <w:rPr>
          <w:kern w:val="0"/>
        </w:rPr>
        <w:t>? Laurens, P., Cadiou, Y.</w:t>
      </w:r>
      <w:r w:rsidR="00F81221">
        <w:rPr>
          <w:kern w:val="0"/>
        </w:rPr>
        <w:t xml:space="preserve"> and </w:t>
      </w:r>
      <w:r w:rsidRPr="001A3D2B">
        <w:rPr>
          <w:kern w:val="0"/>
        </w:rPr>
        <w:t>Larrue, P. (2009), ISSI2009 Bibliometric profiling of participants of the sixth framework programme for research</w:t>
      </w:r>
      <w:r w:rsidR="00F81221">
        <w:rPr>
          <w:kern w:val="0"/>
        </w:rPr>
        <w:t xml:space="preserve"> and </w:t>
      </w:r>
      <w:r w:rsidRPr="001A3D2B">
        <w:rPr>
          <w:kern w:val="0"/>
        </w:rPr>
        <w:t xml:space="preserve">technological development (FP6) of the European Union.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956-957.</w:t>
      </w:r>
    </w:p>
    <w:p w:rsidR="00CF4560" w:rsidRPr="001A3D2B" w:rsidRDefault="00CF4560" w:rsidP="00CF4560">
      <w:pPr>
        <w:pStyle w:val="a0"/>
        <w:rPr>
          <w:kern w:val="0"/>
        </w:rPr>
      </w:pPr>
      <w:r w:rsidRPr="001A3D2B">
        <w:rPr>
          <w:kern w:val="0"/>
        </w:rPr>
        <w:t>? Laville, F., Topin, J.C., Roth, C.</w:t>
      </w:r>
      <w:r w:rsidR="00F81221">
        <w:rPr>
          <w:kern w:val="0"/>
        </w:rPr>
        <w:t xml:space="preserve"> and </w:t>
      </w:r>
      <w:r w:rsidRPr="001A3D2B">
        <w:rPr>
          <w:kern w:val="0"/>
        </w:rPr>
        <w:t>Sechet, P. (2009), Combining bibliometric issues</w:t>
      </w:r>
      <w:r w:rsidR="00F81221">
        <w:rPr>
          <w:kern w:val="0"/>
        </w:rPr>
        <w:t xml:space="preserve"> and </w:t>
      </w:r>
      <w:r w:rsidRPr="001A3D2B">
        <w:rPr>
          <w:kern w:val="0"/>
        </w:rPr>
        <w:t xml:space="preserve">descriptive information to produce a database of national ST&amp;I systems: The curie plus approach.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960-961.</w:t>
      </w:r>
    </w:p>
    <w:p w:rsidR="00CF4560" w:rsidRPr="001A3D2B" w:rsidRDefault="00CF4560" w:rsidP="00CF4560">
      <w:pPr>
        <w:pStyle w:val="a0"/>
        <w:rPr>
          <w:kern w:val="0"/>
        </w:rPr>
      </w:pPr>
      <w:r w:rsidRPr="001A3D2B">
        <w:rPr>
          <w:kern w:val="0"/>
        </w:rPr>
        <w:t xml:space="preserve">? Lewison, G. (2009), Financial acknowledgements on the Web of Science: A new resource for bibliometric analysis.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968-969.</w:t>
      </w:r>
    </w:p>
    <w:p w:rsidR="00CF4560" w:rsidRPr="001A3D2B" w:rsidRDefault="00CF4560" w:rsidP="00CF4560">
      <w:pPr>
        <w:pStyle w:val="a0"/>
        <w:rPr>
          <w:kern w:val="0"/>
        </w:rPr>
      </w:pPr>
      <w:r w:rsidRPr="001A3D2B">
        <w:rPr>
          <w:kern w:val="0"/>
        </w:rPr>
        <w:t xml:space="preserve">? Rummler, G. (2009), Characterizing the dissemination of </w:t>
      </w:r>
      <w:r w:rsidR="000352E7">
        <w:rPr>
          <w:kern w:val="0"/>
        </w:rPr>
        <w:t>“</w:t>
      </w:r>
      <w:r w:rsidRPr="001A3D2B">
        <w:rPr>
          <w:kern w:val="0"/>
        </w:rPr>
        <w:t>bibliometrics</w:t>
      </w:r>
      <w:r w:rsidR="000352E7">
        <w:rPr>
          <w:kern w:val="0"/>
        </w:rPr>
        <w:t>”</w:t>
      </w:r>
      <w:r w:rsidRPr="001A3D2B">
        <w:rPr>
          <w:kern w:val="0"/>
        </w:rPr>
        <w:t xml:space="preserve"> in Brazilian biomedical journals from 1992 to 2007.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988-989.</w:t>
      </w:r>
    </w:p>
    <w:p w:rsidR="00CF4560" w:rsidRPr="001A3D2B" w:rsidRDefault="00CF4560" w:rsidP="00CF4560">
      <w:pPr>
        <w:pStyle w:val="a0"/>
        <w:rPr>
          <w:kern w:val="0"/>
        </w:rPr>
      </w:pPr>
      <w:r w:rsidRPr="001A3D2B">
        <w:rPr>
          <w:kern w:val="0"/>
        </w:rPr>
        <w:t>Keywords: Diffusion</w:t>
      </w:r>
    </w:p>
    <w:p w:rsidR="00CF4560" w:rsidRPr="001A3D2B" w:rsidRDefault="00CF4560" w:rsidP="00CF4560">
      <w:pPr>
        <w:pStyle w:val="a0"/>
        <w:rPr>
          <w:kern w:val="0"/>
        </w:rPr>
      </w:pPr>
      <w:r w:rsidRPr="001A3D2B">
        <w:rPr>
          <w:kern w:val="0"/>
        </w:rPr>
        <w:t>? Strehl, L.</w:t>
      </w:r>
      <w:r w:rsidR="00F81221">
        <w:rPr>
          <w:kern w:val="0"/>
        </w:rPr>
        <w:t xml:space="preserve"> and </w:t>
      </w:r>
      <w:r w:rsidRPr="001A3D2B">
        <w:rPr>
          <w:kern w:val="0"/>
        </w:rPr>
        <w:t>Stumpf, I.R.C. (2009), The impact of Brazilian scientific articles published in domestic</w:t>
      </w:r>
      <w:r w:rsidR="00F81221">
        <w:rPr>
          <w:kern w:val="0"/>
        </w:rPr>
        <w:t xml:space="preserve"> and </w:t>
      </w:r>
      <w:r w:rsidRPr="001A3D2B">
        <w:rPr>
          <w:kern w:val="0"/>
        </w:rPr>
        <w:t xml:space="preserve">foreign journals indexed in Web of Science.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994-995.</w:t>
      </w:r>
    </w:p>
    <w:p w:rsidR="00CF4560" w:rsidRPr="001A3D2B" w:rsidRDefault="00CF4560" w:rsidP="00CF4560">
      <w:pPr>
        <w:pStyle w:val="a0"/>
        <w:rPr>
          <w:kern w:val="0"/>
        </w:rPr>
      </w:pPr>
      <w:r w:rsidRPr="001A3D2B">
        <w:rPr>
          <w:kern w:val="0"/>
        </w:rPr>
        <w:t>? Tunger, D.</w:t>
      </w:r>
      <w:r w:rsidR="00F81221">
        <w:rPr>
          <w:kern w:val="0"/>
        </w:rPr>
        <w:t xml:space="preserve"> and </w:t>
      </w:r>
      <w:r w:rsidRPr="001A3D2B">
        <w:rPr>
          <w:kern w:val="0"/>
        </w:rPr>
        <w:t>Haustein, S. (2009), Bibliometric analysis of the Asia-Pacific research area: Issues</w:t>
      </w:r>
      <w:r w:rsidR="00F81221">
        <w:rPr>
          <w:kern w:val="0"/>
        </w:rPr>
        <w:t xml:space="preserve"> and </w:t>
      </w:r>
      <w:r w:rsidRPr="001A3D2B">
        <w:rPr>
          <w:kern w:val="0"/>
        </w:rPr>
        <w:t xml:space="preserve">results.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996-997.</w:t>
      </w:r>
    </w:p>
    <w:p w:rsidR="00CF4560" w:rsidRPr="001A3D2B" w:rsidRDefault="00CF4560" w:rsidP="00CF4560">
      <w:pPr>
        <w:pStyle w:val="a0"/>
        <w:rPr>
          <w:kern w:val="0"/>
        </w:rPr>
      </w:pPr>
      <w:r w:rsidRPr="001A3D2B">
        <w:rPr>
          <w:kern w:val="0"/>
        </w:rPr>
        <w:t>? Waltman, L.</w:t>
      </w:r>
      <w:r w:rsidR="00F81221">
        <w:rPr>
          <w:kern w:val="0"/>
        </w:rPr>
        <w:t xml:space="preserve"> and </w:t>
      </w:r>
      <w:r w:rsidRPr="001A3D2B">
        <w:rPr>
          <w:kern w:val="0"/>
        </w:rPr>
        <w:t xml:space="preserve">van Eck, N.J. (2009), A taxonomy of bibliometric performance indicators based on the property of consistency. </w:t>
      </w:r>
      <w:r>
        <w:rPr>
          <w:i/>
          <w:iCs/>
          <w:kern w:val="0"/>
        </w:rPr>
        <w:t>Proceedings of ISSI 2009: 12th International Conference of the International Society for Scientometrics</w:t>
      </w:r>
      <w:r w:rsidR="00F81221">
        <w:rPr>
          <w:i/>
          <w:iCs/>
          <w:kern w:val="0"/>
        </w:rPr>
        <w:t xml:space="preserve"> and </w:t>
      </w:r>
      <w:r>
        <w:rPr>
          <w:i/>
          <w:iCs/>
          <w:kern w:val="0"/>
        </w:rPr>
        <w:t>Informetrics</w:t>
      </w:r>
      <w:r w:rsidRPr="001A3D2B">
        <w:rPr>
          <w:iCs/>
          <w:kern w:val="0"/>
        </w:rPr>
        <w:t>,</w:t>
      </w:r>
      <w:r w:rsidRPr="001A3D2B">
        <w:rPr>
          <w:kern w:val="0"/>
        </w:rPr>
        <w:t xml:space="preserve"> </w:t>
      </w:r>
      <w:r w:rsidRPr="001A3D2B">
        <w:rPr>
          <w:b/>
          <w:kern w:val="0"/>
        </w:rPr>
        <w:t>2</w:t>
      </w:r>
      <w:r w:rsidRPr="001A3D2B">
        <w:rPr>
          <w:kern w:val="0"/>
        </w:rPr>
        <w:t>, 1002-1003.</w:t>
      </w:r>
    </w:p>
    <w:p w:rsidR="00CF4560" w:rsidRPr="001A3D2B" w:rsidRDefault="00CF4560" w:rsidP="00CF4560">
      <w:pPr>
        <w:pStyle w:val="a0"/>
        <w:rPr>
          <w:kern w:val="0"/>
        </w:rPr>
      </w:pPr>
      <w:r w:rsidRPr="001A3D2B">
        <w:rPr>
          <w:kern w:val="0"/>
        </w:rPr>
        <w:t>Keywords: Index</w:t>
      </w:r>
    </w:p>
    <w:p w:rsidR="0079712C" w:rsidRPr="00A428C3" w:rsidRDefault="0079712C" w:rsidP="0079712C">
      <w:pPr>
        <w:pStyle w:val="1"/>
      </w:pPr>
      <w:r w:rsidRPr="00A428C3">
        <w:br w:type="page"/>
      </w:r>
      <w:bookmarkStart w:id="1176" w:name="_Toc238870511"/>
      <w:bookmarkStart w:id="1177" w:name="_Toc317161237"/>
      <w:r w:rsidRPr="00A428C3">
        <w:lastRenderedPageBreak/>
        <w:t xml:space="preserve">Title: </w:t>
      </w:r>
      <w:r w:rsidRPr="000233E9">
        <w:t>2008 IEEE International Conference on Management of Innovation</w:t>
      </w:r>
      <w:r w:rsidR="00F81221">
        <w:t xml:space="preserve"> and </w:t>
      </w:r>
      <w:r w:rsidRPr="000233E9">
        <w:t>Technology</w:t>
      </w:r>
      <w:bookmarkEnd w:id="1176"/>
      <w:bookmarkEnd w:id="1177"/>
    </w:p>
    <w:p w:rsidR="0079712C" w:rsidRDefault="0079712C" w:rsidP="00B72EF9">
      <w:pPr>
        <w:pStyle w:val="12"/>
      </w:pPr>
      <w:r>
        <w:t xml:space="preserve">Full Journal Title: </w:t>
      </w:r>
      <w:r w:rsidRPr="00872AE2">
        <w:t>2008 IEEE International Conference on Management of Innovation</w:t>
      </w:r>
      <w:r w:rsidR="00F81221">
        <w:t xml:space="preserve"> and </w:t>
      </w:r>
      <w:r w:rsidRPr="00872AE2">
        <w:t>Technology</w:t>
      </w:r>
    </w:p>
    <w:p w:rsidR="0079712C" w:rsidRDefault="0079712C" w:rsidP="00B72EF9">
      <w:pPr>
        <w:pStyle w:val="12"/>
      </w:pPr>
      <w:r>
        <w:t xml:space="preserve">ISO Abbreviated Title: </w:t>
      </w:r>
    </w:p>
    <w:p w:rsidR="0079712C" w:rsidRDefault="0079712C" w:rsidP="00B72EF9">
      <w:pPr>
        <w:pStyle w:val="12"/>
      </w:pPr>
      <w:r>
        <w:t xml:space="preserve">JCR Abbreviated Title: </w:t>
      </w:r>
    </w:p>
    <w:p w:rsidR="0079712C" w:rsidRDefault="0079712C" w:rsidP="00B72EF9">
      <w:pPr>
        <w:pStyle w:val="12"/>
      </w:pPr>
      <w:r>
        <w:t xml:space="preserve">ISSN: </w:t>
      </w:r>
    </w:p>
    <w:p w:rsidR="0079712C" w:rsidRDefault="0079712C" w:rsidP="00B72EF9">
      <w:pPr>
        <w:pStyle w:val="12"/>
      </w:pPr>
      <w:r w:rsidRPr="000233E9">
        <w:t>ISBN: 978-1-4244-2329-3</w:t>
      </w:r>
    </w:p>
    <w:p w:rsidR="0079712C" w:rsidRDefault="0079712C" w:rsidP="00B72EF9">
      <w:pPr>
        <w:pStyle w:val="12"/>
      </w:pPr>
      <w:r>
        <w:t xml:space="preserve">Issues/Year: </w:t>
      </w:r>
    </w:p>
    <w:p w:rsidR="0079712C" w:rsidRDefault="00FB5623" w:rsidP="00B72EF9">
      <w:pPr>
        <w:pStyle w:val="12"/>
      </w:pPr>
      <w:r>
        <w:t>Journal Country/Territory:</w:t>
      </w:r>
      <w:r w:rsidR="0079712C">
        <w:t xml:space="preserve"> </w:t>
      </w:r>
    </w:p>
    <w:p w:rsidR="0079712C" w:rsidRDefault="0079712C" w:rsidP="00B72EF9">
      <w:pPr>
        <w:pStyle w:val="12"/>
      </w:pPr>
      <w:r>
        <w:t xml:space="preserve">Language: </w:t>
      </w:r>
    </w:p>
    <w:p w:rsidR="0079712C" w:rsidRDefault="0079712C" w:rsidP="00B72EF9">
      <w:pPr>
        <w:pStyle w:val="12"/>
      </w:pPr>
      <w:r>
        <w:t xml:space="preserve">Publisher: </w:t>
      </w:r>
    </w:p>
    <w:p w:rsidR="0079712C" w:rsidRDefault="0079712C" w:rsidP="00B72EF9">
      <w:pPr>
        <w:pStyle w:val="12"/>
      </w:pPr>
      <w:r>
        <w:t xml:space="preserve">Publisher Address: </w:t>
      </w:r>
    </w:p>
    <w:p w:rsidR="0079712C" w:rsidRDefault="0079712C" w:rsidP="00B72EF9">
      <w:pPr>
        <w:pStyle w:val="12"/>
      </w:pPr>
      <w:r>
        <w:t xml:space="preserve">Subject Categories: </w:t>
      </w:r>
    </w:p>
    <w:p w:rsidR="0079712C" w:rsidRDefault="0079712C" w:rsidP="00B72EF9">
      <w:pPr>
        <w:pStyle w:val="12"/>
      </w:pPr>
      <w:r>
        <w:t>: Impact Factor</w:t>
      </w:r>
    </w:p>
    <w:p w:rsidR="0079712C" w:rsidRPr="00872AE2" w:rsidRDefault="0079712C" w:rsidP="0079712C">
      <w:pPr>
        <w:pStyle w:val="a0"/>
      </w:pPr>
      <w:r w:rsidRPr="00872AE2">
        <w:rPr>
          <w:rFonts w:hint="eastAsia"/>
        </w:rPr>
        <w:t xml:space="preserve">? </w:t>
      </w:r>
      <w:r w:rsidRPr="00872AE2">
        <w:t>Gerdsri, N.</w:t>
      </w:r>
      <w:r w:rsidR="00F81221">
        <w:t xml:space="preserve"> and </w:t>
      </w:r>
      <w:r w:rsidRPr="00872AE2">
        <w:t>Daim, T.U. (2008), Generating intelligence on the research</w:t>
      </w:r>
      <w:r w:rsidR="00F81221">
        <w:t xml:space="preserve"> and </w:t>
      </w:r>
      <w:r w:rsidRPr="00872AE2">
        <w:t>development progress of emerging technologies using patent</w:t>
      </w:r>
      <w:r w:rsidR="00F81221">
        <w:t xml:space="preserve"> and </w:t>
      </w:r>
      <w:r w:rsidRPr="00872AE2">
        <w:t xml:space="preserve">publication information. </w:t>
      </w:r>
      <w:r w:rsidRPr="00872AE2">
        <w:rPr>
          <w:i/>
          <w:iCs/>
        </w:rPr>
        <w:t>2008 IEEE International Conference on Management of Innovation</w:t>
      </w:r>
      <w:r w:rsidR="00F81221">
        <w:rPr>
          <w:i/>
          <w:iCs/>
        </w:rPr>
        <w:t xml:space="preserve"> and </w:t>
      </w:r>
      <w:r w:rsidRPr="00872AE2">
        <w:rPr>
          <w:i/>
          <w:iCs/>
        </w:rPr>
        <w:t>Technology</w:t>
      </w:r>
      <w:r w:rsidRPr="00872AE2">
        <w:t xml:space="preserve">, </w:t>
      </w:r>
      <w:r w:rsidRPr="00872AE2">
        <w:rPr>
          <w:b/>
          <w:bCs/>
        </w:rPr>
        <w:t>1-3</w:t>
      </w:r>
      <w:r w:rsidRPr="00872AE2">
        <w:t>, 1-6.</w:t>
      </w:r>
    </w:p>
    <w:p w:rsidR="0079712C" w:rsidRPr="00872AE2" w:rsidRDefault="0079712C" w:rsidP="0079712C">
      <w:pPr>
        <w:pStyle w:val="a0"/>
      </w:pPr>
      <w:r w:rsidRPr="00872AE2">
        <w:t>Abstract: It is critical for technology-driven organizations to have access to intelligence on the progress of research</w:t>
      </w:r>
      <w:r w:rsidR="00F81221">
        <w:t xml:space="preserve"> and </w:t>
      </w:r>
      <w:r w:rsidRPr="00872AE2">
        <w:t>development (R&amp;D) in public or private laboratories. Technology forecasting methods can be useful in these cases if there is a history of performance. However the traditional forecasting methods can not be used effectively for predicting the prospects of emerging technologies as historical information for any particular emerging technology is limited due to the short time of its appearance. The bibliometric</w:t>
      </w:r>
      <w:r w:rsidR="00F81221">
        <w:t xml:space="preserve"> and </w:t>
      </w:r>
      <w:r w:rsidRPr="00872AE2">
        <w:t>patent analysis approach presented in this paper allows researchers to generate intelligence on emerging technologies supported by the wealth of today</w:t>
      </w:r>
      <w:r w:rsidR="000352E7">
        <w:t>’</w:t>
      </w:r>
      <w:r w:rsidRPr="00872AE2">
        <w:t>s public electronic information database. Furthermore, this paper also emphasizes the needs for technology managers to be aware of a time lag among different scientific indicators.</w:t>
      </w:r>
    </w:p>
    <w:p w:rsidR="0079712C" w:rsidRPr="00872AE2" w:rsidRDefault="0079712C" w:rsidP="0079712C">
      <w:pPr>
        <w:pStyle w:val="a0"/>
      </w:pPr>
      <w:r w:rsidRPr="00872AE2">
        <w:t>Keywords: Access, Analysis, Approach, Bibliometric, Bibliometric Analysis, Bibliometrics, Cases, Database, Database Tomography, Development, Emerging, Emerging Technologies, Forecasting, History, Impact, Indicators, Industry, Information, Innovation, Intelligence, Managers, Methods, Needs, Opportunities, Organizations, Patent, Patent Analysis, Performance, Progress, Public, R&amp;D, R&amp;D Management, Research, Research</w:t>
      </w:r>
      <w:r w:rsidR="00F81221">
        <w:t xml:space="preserve"> and </w:t>
      </w:r>
      <w:r w:rsidRPr="00872AE2">
        <w:t>Development, Science, Technological Intelligence, Technologies, Technology, Technology Forecasting, Time, US, Wealth</w:t>
      </w:r>
    </w:p>
    <w:p w:rsidR="0079712C" w:rsidRPr="00217FB1" w:rsidRDefault="0079712C" w:rsidP="0079712C">
      <w:pPr>
        <w:pStyle w:val="1"/>
      </w:pPr>
      <w:r w:rsidRPr="00217FB1">
        <w:br w:type="page"/>
      </w:r>
      <w:bookmarkStart w:id="1178" w:name="_Toc238870513"/>
      <w:bookmarkStart w:id="1179" w:name="_Toc317161238"/>
      <w:r w:rsidRPr="00217FB1">
        <w:lastRenderedPageBreak/>
        <w:t>Title:</w:t>
      </w:r>
      <w:r>
        <w:rPr>
          <w:rFonts w:hint="eastAsia"/>
        </w:rPr>
        <w:t xml:space="preserve"> </w:t>
      </w:r>
      <w:r w:rsidRPr="00B85F7B">
        <w:t>8th International Conference on Scientometrics</w:t>
      </w:r>
      <w:r w:rsidR="00F81221">
        <w:t xml:space="preserve"> and </w:t>
      </w:r>
      <w:r w:rsidRPr="00B85F7B">
        <w:t>Informetrics</w:t>
      </w:r>
      <w:bookmarkEnd w:id="1178"/>
      <w:bookmarkEnd w:id="1179"/>
    </w:p>
    <w:p w:rsidR="0079712C" w:rsidRPr="00217FB1" w:rsidRDefault="0079712C" w:rsidP="00B72EF9">
      <w:pPr>
        <w:pStyle w:val="12"/>
      </w:pPr>
      <w:r w:rsidRPr="00217FB1">
        <w:t xml:space="preserve">Full Journal Title: </w:t>
      </w:r>
      <w:r w:rsidRPr="00781016">
        <w:t>8th International Conference on Scientometrics</w:t>
      </w:r>
      <w:r w:rsidR="00F81221">
        <w:t xml:space="preserve"> and </w:t>
      </w:r>
      <w:r w:rsidRPr="00781016">
        <w:t>Informetrics</w:t>
      </w:r>
    </w:p>
    <w:p w:rsidR="0079712C" w:rsidRPr="00217FB1" w:rsidRDefault="0079712C" w:rsidP="00B72EF9">
      <w:pPr>
        <w:pStyle w:val="12"/>
      </w:pPr>
      <w:r w:rsidRPr="00217FB1">
        <w:t xml:space="preserve">ISO Abbreviated Title: </w:t>
      </w:r>
    </w:p>
    <w:p w:rsidR="0079712C" w:rsidRPr="00217FB1" w:rsidRDefault="0079712C" w:rsidP="00B72EF9">
      <w:pPr>
        <w:pStyle w:val="12"/>
      </w:pPr>
      <w:r w:rsidRPr="00217FB1">
        <w:t>JCR Abbreviated Title</w:t>
      </w:r>
      <w:r>
        <w:t>:</w:t>
      </w:r>
      <w:r w:rsidRPr="00217FB1">
        <w:t xml:space="preserve"> </w:t>
      </w:r>
    </w:p>
    <w:p w:rsidR="0079712C" w:rsidRPr="00217FB1" w:rsidRDefault="0079712C" w:rsidP="00B72EF9">
      <w:pPr>
        <w:pStyle w:val="12"/>
      </w:pPr>
      <w:r>
        <w:t xml:space="preserve">ISSN: </w:t>
      </w:r>
    </w:p>
    <w:p w:rsidR="0079712C" w:rsidRPr="00217FB1" w:rsidRDefault="0079712C" w:rsidP="00B72EF9">
      <w:pPr>
        <w:pStyle w:val="12"/>
      </w:pPr>
      <w:r w:rsidRPr="00217FB1">
        <w:t xml:space="preserve">Issues/Year: </w:t>
      </w:r>
    </w:p>
    <w:p w:rsidR="0079712C" w:rsidRPr="00217FB1" w:rsidRDefault="00FB5623" w:rsidP="00B72EF9">
      <w:pPr>
        <w:pStyle w:val="12"/>
      </w:pPr>
      <w:r>
        <w:t>Journal Country/Territory:</w:t>
      </w:r>
      <w:r w:rsidR="0079712C">
        <w:t xml:space="preserve"> </w:t>
      </w:r>
    </w:p>
    <w:p w:rsidR="0079712C" w:rsidRPr="00217FB1" w:rsidRDefault="0079712C" w:rsidP="00B72EF9">
      <w:pPr>
        <w:pStyle w:val="12"/>
      </w:pPr>
      <w:r w:rsidRPr="00217FB1">
        <w:t xml:space="preserve">Language: </w:t>
      </w:r>
    </w:p>
    <w:p w:rsidR="0079712C" w:rsidRPr="00217FB1" w:rsidRDefault="0079712C" w:rsidP="00B72EF9">
      <w:pPr>
        <w:pStyle w:val="12"/>
      </w:pPr>
      <w:r w:rsidRPr="00217FB1">
        <w:t xml:space="preserve">Publisher: </w:t>
      </w:r>
    </w:p>
    <w:p w:rsidR="0079712C" w:rsidRPr="00217FB1" w:rsidRDefault="0079712C" w:rsidP="00B72EF9">
      <w:pPr>
        <w:pStyle w:val="12"/>
      </w:pPr>
      <w:r w:rsidRPr="00217FB1">
        <w:t xml:space="preserve">Publisher Address: </w:t>
      </w:r>
    </w:p>
    <w:p w:rsidR="0079712C" w:rsidRPr="00217FB1" w:rsidRDefault="0079712C" w:rsidP="00B72EF9">
      <w:pPr>
        <w:pStyle w:val="12"/>
      </w:pPr>
      <w:r w:rsidRPr="00217FB1">
        <w:t>Subject Categories:</w:t>
      </w:r>
    </w:p>
    <w:p w:rsidR="0079712C" w:rsidRPr="00217FB1" w:rsidRDefault="0079712C" w:rsidP="00B72EF9">
      <w:pPr>
        <w:pStyle w:val="12"/>
      </w:pPr>
      <w:r w:rsidRPr="00217FB1">
        <w:t xml:space="preserve">: Impact Factor </w:t>
      </w:r>
    </w:p>
    <w:p w:rsidR="0079712C" w:rsidRPr="00781016" w:rsidRDefault="0079712C" w:rsidP="0079712C">
      <w:pPr>
        <w:pStyle w:val="a0"/>
      </w:pPr>
      <w:r w:rsidRPr="00781016">
        <w:rPr>
          <w:rFonts w:hint="eastAsia"/>
        </w:rPr>
        <w:t xml:space="preserve">? </w:t>
      </w:r>
      <w:r w:rsidRPr="00781016">
        <w:t>Glanzel, W.</w:t>
      </w:r>
      <w:r w:rsidR="00F81221">
        <w:t xml:space="preserve"> and </w:t>
      </w:r>
      <w:r w:rsidRPr="00781016">
        <w:t xml:space="preserve">Moed, H.F. (2001), Journal impact measures in bibliometric research: A state-of-the-art report. </w:t>
      </w:r>
      <w:r w:rsidRPr="00781016">
        <w:rPr>
          <w:i/>
          <w:iCs/>
        </w:rPr>
        <w:t>8th International Conference on Scientometrics</w:t>
      </w:r>
      <w:r w:rsidR="00F81221">
        <w:rPr>
          <w:i/>
          <w:iCs/>
        </w:rPr>
        <w:t xml:space="preserve"> and </w:t>
      </w:r>
      <w:r w:rsidRPr="00781016">
        <w:rPr>
          <w:i/>
          <w:iCs/>
        </w:rPr>
        <w:t>Informetrics, Vols 1</w:t>
      </w:r>
      <w:r w:rsidR="00F81221">
        <w:rPr>
          <w:i/>
          <w:iCs/>
        </w:rPr>
        <w:t xml:space="preserve"> and </w:t>
      </w:r>
      <w:r w:rsidRPr="00781016">
        <w:rPr>
          <w:i/>
          <w:iCs/>
        </w:rPr>
        <w:t>2 - Issi-2001, Proceedings</w:t>
      </w:r>
      <w:r w:rsidRPr="00781016">
        <w:t>, 3-5</w:t>
      </w:r>
      <w:r w:rsidRPr="00781016">
        <w:rPr>
          <w:rFonts w:hint="eastAsia"/>
        </w:rPr>
        <w:t>.</w:t>
      </w:r>
    </w:p>
    <w:p w:rsidR="0079712C" w:rsidRPr="00781016" w:rsidRDefault="0079712C" w:rsidP="0079712C">
      <w:pPr>
        <w:pStyle w:val="a0"/>
      </w:pPr>
      <w:r w:rsidRPr="00781016">
        <w:t>Keywords: Bibliometric, Bibliometric Research, Impact, Research</w:t>
      </w:r>
    </w:p>
    <w:p w:rsidR="0074515A" w:rsidRPr="00634D1A" w:rsidRDefault="0074515A" w:rsidP="0074515A">
      <w:pPr>
        <w:pStyle w:val="1"/>
      </w:pPr>
      <w:r w:rsidRPr="00634D1A">
        <w:br w:type="page"/>
      </w:r>
      <w:bookmarkStart w:id="1180" w:name="_Toc317161239"/>
      <w:r w:rsidRPr="00634D1A">
        <w:lastRenderedPageBreak/>
        <w:t>Title:</w:t>
      </w:r>
      <w:r w:rsidRPr="00667848">
        <w:rPr>
          <w:szCs w:val="24"/>
        </w:rPr>
        <w:t xml:space="preserve"> </w:t>
      </w:r>
      <w:r w:rsidRPr="0074515A">
        <w:rPr>
          <w:iCs/>
          <w:szCs w:val="24"/>
        </w:rPr>
        <w:t>2007 International Conference on Wireless Communications, Networking</w:t>
      </w:r>
      <w:r w:rsidR="00F81221">
        <w:rPr>
          <w:iCs/>
          <w:szCs w:val="24"/>
        </w:rPr>
        <w:t xml:space="preserve"> and </w:t>
      </w:r>
      <w:r w:rsidRPr="0074515A">
        <w:rPr>
          <w:iCs/>
          <w:szCs w:val="24"/>
        </w:rPr>
        <w:t>Mobile Computing</w:t>
      </w:r>
      <w:bookmarkEnd w:id="1180"/>
    </w:p>
    <w:p w:rsidR="0074515A" w:rsidRDefault="0074515A" w:rsidP="00B72EF9">
      <w:pPr>
        <w:pStyle w:val="12"/>
      </w:pPr>
      <w:r>
        <w:t xml:space="preserve">Full Journal Title: </w:t>
      </w:r>
      <w:r w:rsidRPr="0074515A">
        <w:t>2007 International Conference on Wireless Communications, Networking</w:t>
      </w:r>
      <w:r w:rsidR="00F81221">
        <w:t xml:space="preserve"> and </w:t>
      </w:r>
      <w:r w:rsidRPr="0074515A">
        <w:t>Mobile Computing</w:t>
      </w:r>
    </w:p>
    <w:p w:rsidR="0074515A" w:rsidRDefault="0074515A" w:rsidP="00B72EF9">
      <w:pPr>
        <w:pStyle w:val="12"/>
      </w:pPr>
      <w:r>
        <w:t xml:space="preserve">ISO Abbreviated Title: </w:t>
      </w:r>
    </w:p>
    <w:p w:rsidR="0074515A" w:rsidRDefault="0074515A" w:rsidP="00B72EF9">
      <w:pPr>
        <w:pStyle w:val="12"/>
      </w:pPr>
      <w:r>
        <w:t xml:space="preserve">JCR Abbreviated Title: </w:t>
      </w:r>
    </w:p>
    <w:p w:rsidR="0074515A" w:rsidRDefault="0074515A" w:rsidP="00B72EF9">
      <w:pPr>
        <w:pStyle w:val="12"/>
      </w:pPr>
      <w:r>
        <w:t xml:space="preserve">ISBN: </w:t>
      </w:r>
    </w:p>
    <w:p w:rsidR="0074515A" w:rsidRDefault="0074515A" w:rsidP="00B72EF9">
      <w:pPr>
        <w:pStyle w:val="12"/>
      </w:pPr>
      <w:r>
        <w:t xml:space="preserve">ISSN: </w:t>
      </w:r>
    </w:p>
    <w:p w:rsidR="0074515A" w:rsidRDefault="0074515A" w:rsidP="00B72EF9">
      <w:pPr>
        <w:pStyle w:val="12"/>
      </w:pPr>
      <w:r>
        <w:t xml:space="preserve">Issues/Year: </w:t>
      </w:r>
    </w:p>
    <w:p w:rsidR="0074515A" w:rsidRDefault="0074515A" w:rsidP="00B72EF9">
      <w:pPr>
        <w:pStyle w:val="12"/>
      </w:pPr>
      <w:r>
        <w:t xml:space="preserve">Journal Country/Territory: </w:t>
      </w:r>
    </w:p>
    <w:p w:rsidR="0074515A" w:rsidRDefault="0074515A" w:rsidP="00B72EF9">
      <w:pPr>
        <w:pStyle w:val="12"/>
      </w:pPr>
      <w:r>
        <w:t xml:space="preserve">Language: </w:t>
      </w:r>
    </w:p>
    <w:p w:rsidR="0074515A" w:rsidRDefault="0074515A" w:rsidP="00B72EF9">
      <w:pPr>
        <w:pStyle w:val="12"/>
      </w:pPr>
      <w:r>
        <w:t xml:space="preserve">Publisher: </w:t>
      </w:r>
    </w:p>
    <w:p w:rsidR="0074515A" w:rsidRDefault="0074515A" w:rsidP="00B72EF9">
      <w:pPr>
        <w:pStyle w:val="12"/>
      </w:pPr>
      <w:r>
        <w:t xml:space="preserve">Publisher Address: </w:t>
      </w:r>
    </w:p>
    <w:p w:rsidR="0074515A" w:rsidRDefault="0074515A" w:rsidP="00B72EF9">
      <w:pPr>
        <w:pStyle w:val="12"/>
      </w:pPr>
      <w:r>
        <w:t xml:space="preserve">Subject Categories: </w:t>
      </w:r>
    </w:p>
    <w:p w:rsidR="0074515A" w:rsidRDefault="0074515A" w:rsidP="00B72EF9">
      <w:pPr>
        <w:pStyle w:val="12"/>
      </w:pPr>
      <w:r>
        <w:t>: Impact Factor</w:t>
      </w:r>
    </w:p>
    <w:p w:rsidR="0074515A" w:rsidRDefault="0074515A" w:rsidP="0074515A">
      <w:pPr>
        <w:pStyle w:val="a0"/>
        <w:rPr>
          <w:kern w:val="0"/>
          <w:szCs w:val="24"/>
        </w:rPr>
      </w:pPr>
      <w:r>
        <w:rPr>
          <w:rFonts w:hint="eastAsia"/>
          <w:kern w:val="0"/>
          <w:szCs w:val="24"/>
        </w:rPr>
        <w:t xml:space="preserve">? </w:t>
      </w:r>
      <w:r>
        <w:rPr>
          <w:kern w:val="0"/>
          <w:szCs w:val="24"/>
        </w:rPr>
        <w:t>Wang, X.G., Ma, F.C., Wang, J.C.</w:t>
      </w:r>
      <w:r w:rsidR="00F81221">
        <w:rPr>
          <w:kern w:val="0"/>
          <w:szCs w:val="24"/>
        </w:rPr>
        <w:t xml:space="preserve"> and </w:t>
      </w:r>
      <w:r>
        <w:rPr>
          <w:kern w:val="0"/>
          <w:szCs w:val="24"/>
        </w:rPr>
        <w:t xml:space="preserve">Hu, C. (2007), The </w:t>
      </w:r>
      <w:r w:rsidR="000352E7">
        <w:rPr>
          <w:kern w:val="0"/>
          <w:szCs w:val="24"/>
        </w:rPr>
        <w:t>“</w:t>
      </w:r>
      <w:r>
        <w:rPr>
          <w:kern w:val="0"/>
          <w:szCs w:val="24"/>
        </w:rPr>
        <w:t>small-world</w:t>
      </w:r>
      <w:r w:rsidR="000352E7">
        <w:rPr>
          <w:kern w:val="0"/>
          <w:szCs w:val="24"/>
        </w:rPr>
        <w:t>”</w:t>
      </w:r>
      <w:r>
        <w:rPr>
          <w:kern w:val="0"/>
          <w:szCs w:val="24"/>
        </w:rPr>
        <w:t xml:space="preserve"> characteristic of author co-words network. </w:t>
      </w:r>
      <w:r w:rsidRPr="0074515A">
        <w:rPr>
          <w:i/>
          <w:iCs/>
          <w:kern w:val="0"/>
          <w:szCs w:val="24"/>
        </w:rPr>
        <w:t>2007 International Conference on Wireless Communications, Networking</w:t>
      </w:r>
      <w:r w:rsidR="00F81221">
        <w:rPr>
          <w:i/>
          <w:iCs/>
          <w:kern w:val="0"/>
          <w:szCs w:val="24"/>
        </w:rPr>
        <w:t xml:space="preserve"> and </w:t>
      </w:r>
      <w:r w:rsidRPr="0074515A">
        <w:rPr>
          <w:i/>
          <w:iCs/>
          <w:kern w:val="0"/>
          <w:szCs w:val="24"/>
        </w:rPr>
        <w:t>Mobile Computing</w:t>
      </w:r>
      <w:r w:rsidRPr="003938AD">
        <w:rPr>
          <w:iCs/>
          <w:kern w:val="0"/>
          <w:szCs w:val="24"/>
        </w:rPr>
        <w:t xml:space="preserve">, </w:t>
      </w:r>
      <w:r w:rsidRPr="003938AD">
        <w:rPr>
          <w:b/>
          <w:iCs/>
          <w:kern w:val="0"/>
          <w:szCs w:val="24"/>
        </w:rPr>
        <w:t>1-15</w:t>
      </w:r>
      <w:r>
        <w:rPr>
          <w:kern w:val="0"/>
          <w:szCs w:val="24"/>
        </w:rPr>
        <w:t>, 3717-3720.</w:t>
      </w:r>
    </w:p>
    <w:p w:rsidR="0074515A" w:rsidRDefault="0074515A" w:rsidP="0074515A">
      <w:pPr>
        <w:pStyle w:val="a0"/>
        <w:rPr>
          <w:kern w:val="0"/>
          <w:szCs w:val="24"/>
        </w:rPr>
      </w:pPr>
      <w:r>
        <w:rPr>
          <w:kern w:val="0"/>
          <w:szCs w:val="24"/>
        </w:rPr>
        <w:t>Abstract: The co-words network of the author key words is a knowledge network mapped according to the co-occurrence phenomenon of key words in a number of papers. It reflects the relation among multiple vocabulary conceptions</w:t>
      </w:r>
      <w:r w:rsidR="00F81221">
        <w:rPr>
          <w:kern w:val="0"/>
          <w:szCs w:val="24"/>
        </w:rPr>
        <w:t xml:space="preserve"> and </w:t>
      </w:r>
      <w:r>
        <w:rPr>
          <w:kern w:val="0"/>
          <w:szCs w:val="24"/>
        </w:rPr>
        <w:t>also represents the structure of scientific research, With the social network analysis technology, the structural analysis of co-words network showy that the average distance is 2.814</w:t>
      </w:r>
      <w:r w:rsidR="00F81221">
        <w:rPr>
          <w:kern w:val="0"/>
          <w:szCs w:val="24"/>
        </w:rPr>
        <w:t xml:space="preserve"> and </w:t>
      </w:r>
      <w:r>
        <w:rPr>
          <w:kern w:val="0"/>
          <w:szCs w:val="24"/>
        </w:rPr>
        <w:t>the clustering coefficient is 0.735, demonstrating the obvious existence of small-world characteristic.</w:t>
      </w:r>
    </w:p>
    <w:p w:rsidR="0074515A" w:rsidRDefault="0074515A" w:rsidP="0074515A">
      <w:pPr>
        <w:pStyle w:val="a0"/>
        <w:rPr>
          <w:kern w:val="0"/>
          <w:szCs w:val="24"/>
        </w:rPr>
      </w:pPr>
      <w:r>
        <w:rPr>
          <w:kern w:val="0"/>
          <w:szCs w:val="24"/>
        </w:rPr>
        <w:t>Keywords: Author Keywords, Clustering, Co-Occurrence, Co-Words Network, Knowledge, Knowledge Network, Network Analysis, Research, Scientific Research, Small-World, Social Network Analysis, Technology, Vocabulary</w:t>
      </w:r>
    </w:p>
    <w:p w:rsidR="0079712C" w:rsidRPr="00634D1A" w:rsidRDefault="0079712C" w:rsidP="0079712C">
      <w:pPr>
        <w:pStyle w:val="1"/>
      </w:pPr>
      <w:r w:rsidRPr="00634D1A">
        <w:br w:type="page"/>
      </w:r>
      <w:bookmarkStart w:id="1181" w:name="_Toc238870506"/>
      <w:bookmarkStart w:id="1182" w:name="_Toc317161240"/>
      <w:r w:rsidRPr="00634D1A">
        <w:lastRenderedPageBreak/>
        <w:t>Title:</w:t>
      </w:r>
      <w:r w:rsidRPr="00667848">
        <w:rPr>
          <w:szCs w:val="24"/>
        </w:rPr>
        <w:t xml:space="preserve"> 2008 4th International Conference on Wireless Communications, Networking</w:t>
      </w:r>
      <w:r w:rsidR="00F81221">
        <w:rPr>
          <w:szCs w:val="24"/>
        </w:rPr>
        <w:t xml:space="preserve"> and </w:t>
      </w:r>
      <w:r w:rsidRPr="00667848">
        <w:rPr>
          <w:szCs w:val="24"/>
        </w:rPr>
        <w:t>Mobile Computing</w:t>
      </w:r>
      <w:bookmarkEnd w:id="1181"/>
      <w:bookmarkEnd w:id="1182"/>
    </w:p>
    <w:p w:rsidR="0079712C" w:rsidRDefault="0079712C" w:rsidP="00B72EF9">
      <w:pPr>
        <w:pStyle w:val="12"/>
      </w:pPr>
      <w:r>
        <w:t xml:space="preserve">Full Journal Title: </w:t>
      </w:r>
      <w:r w:rsidRPr="00667848">
        <w:t>2008 4th International Conference on Wireless Communications, Networking</w:t>
      </w:r>
      <w:r w:rsidR="00F81221">
        <w:t xml:space="preserve"> and </w:t>
      </w:r>
      <w:r w:rsidRPr="00667848">
        <w:t>Mobile Computing</w:t>
      </w:r>
    </w:p>
    <w:p w:rsidR="0079712C" w:rsidRDefault="0079712C" w:rsidP="00B72EF9">
      <w:pPr>
        <w:pStyle w:val="12"/>
      </w:pPr>
      <w:r>
        <w:t xml:space="preserve">ISO Abbreviated Title: </w:t>
      </w:r>
    </w:p>
    <w:p w:rsidR="0079712C" w:rsidRDefault="0079712C" w:rsidP="00B72EF9">
      <w:pPr>
        <w:pStyle w:val="12"/>
      </w:pPr>
      <w:r>
        <w:t xml:space="preserve">JCR Abbreviated Title: </w:t>
      </w:r>
    </w:p>
    <w:p w:rsidR="0079712C" w:rsidRDefault="0079712C" w:rsidP="00B72EF9">
      <w:pPr>
        <w:pStyle w:val="12"/>
      </w:pPr>
      <w:r>
        <w:t xml:space="preserve">ISBN: </w:t>
      </w:r>
    </w:p>
    <w:p w:rsidR="0079712C" w:rsidRDefault="0079712C" w:rsidP="00B72EF9">
      <w:pPr>
        <w:pStyle w:val="12"/>
      </w:pPr>
      <w:r>
        <w:t xml:space="preserve">ISSN: </w:t>
      </w:r>
    </w:p>
    <w:p w:rsidR="0079712C" w:rsidRDefault="0079712C" w:rsidP="00B72EF9">
      <w:pPr>
        <w:pStyle w:val="12"/>
      </w:pPr>
      <w:r>
        <w:t xml:space="preserve">Issues/Year: </w:t>
      </w:r>
    </w:p>
    <w:p w:rsidR="0079712C" w:rsidRDefault="00FB5623" w:rsidP="00B72EF9">
      <w:pPr>
        <w:pStyle w:val="12"/>
      </w:pPr>
      <w:r>
        <w:t>Journal Country/Territory:</w:t>
      </w:r>
      <w:r w:rsidR="0079712C">
        <w:t xml:space="preserve"> </w:t>
      </w:r>
    </w:p>
    <w:p w:rsidR="0079712C" w:rsidRDefault="0079712C" w:rsidP="00B72EF9">
      <w:pPr>
        <w:pStyle w:val="12"/>
      </w:pPr>
      <w:r>
        <w:t xml:space="preserve">Language: </w:t>
      </w:r>
    </w:p>
    <w:p w:rsidR="0079712C" w:rsidRDefault="0079712C" w:rsidP="00B72EF9">
      <w:pPr>
        <w:pStyle w:val="12"/>
      </w:pPr>
      <w:r>
        <w:t xml:space="preserve">Publisher: </w:t>
      </w:r>
    </w:p>
    <w:p w:rsidR="0079712C" w:rsidRDefault="0079712C" w:rsidP="00B72EF9">
      <w:pPr>
        <w:pStyle w:val="12"/>
      </w:pPr>
      <w:r>
        <w:t xml:space="preserve">Publisher Address: </w:t>
      </w:r>
    </w:p>
    <w:p w:rsidR="0079712C" w:rsidRDefault="0079712C" w:rsidP="00B72EF9">
      <w:pPr>
        <w:pStyle w:val="12"/>
      </w:pPr>
      <w:r>
        <w:t xml:space="preserve">Subject Categories: </w:t>
      </w:r>
    </w:p>
    <w:p w:rsidR="0079712C" w:rsidRDefault="0079712C" w:rsidP="00B72EF9">
      <w:pPr>
        <w:pStyle w:val="12"/>
      </w:pPr>
      <w:r>
        <w:t>: Impact Factor</w:t>
      </w:r>
    </w:p>
    <w:p w:rsidR="0079712C" w:rsidRDefault="0079712C" w:rsidP="0079712C">
      <w:pPr>
        <w:pStyle w:val="a0"/>
        <w:rPr>
          <w:kern w:val="0"/>
          <w:szCs w:val="24"/>
        </w:rPr>
      </w:pPr>
      <w:r>
        <w:rPr>
          <w:rFonts w:hint="eastAsia"/>
          <w:kern w:val="0"/>
          <w:szCs w:val="24"/>
        </w:rPr>
        <w:t xml:space="preserve">? </w:t>
      </w:r>
      <w:r>
        <w:rPr>
          <w:kern w:val="0"/>
          <w:szCs w:val="24"/>
        </w:rPr>
        <w:t>Zhong, Q.Y.</w:t>
      </w:r>
      <w:r w:rsidR="00F81221">
        <w:rPr>
          <w:kern w:val="0"/>
          <w:szCs w:val="24"/>
        </w:rPr>
        <w:t xml:space="preserve"> and </w:t>
      </w:r>
      <w:r>
        <w:rPr>
          <w:kern w:val="0"/>
          <w:szCs w:val="24"/>
        </w:rPr>
        <w:t xml:space="preserve">Song, J. (2008), The developing trend research of knowledge management overseas based on word frequency analysis. </w:t>
      </w:r>
      <w:r w:rsidRPr="00667848">
        <w:rPr>
          <w:i/>
          <w:iCs/>
          <w:kern w:val="0"/>
          <w:szCs w:val="24"/>
        </w:rPr>
        <w:t>2008 4th International Conference on Wireless Communications, Networking</w:t>
      </w:r>
      <w:r w:rsidR="00F81221">
        <w:rPr>
          <w:i/>
          <w:iCs/>
          <w:kern w:val="0"/>
          <w:szCs w:val="24"/>
        </w:rPr>
        <w:t xml:space="preserve"> and </w:t>
      </w:r>
      <w:r w:rsidRPr="00667848">
        <w:rPr>
          <w:i/>
          <w:iCs/>
          <w:kern w:val="0"/>
          <w:szCs w:val="24"/>
        </w:rPr>
        <w:t>Mobile Computing</w:t>
      </w:r>
      <w:r>
        <w:rPr>
          <w:rFonts w:hint="eastAsia"/>
          <w:kern w:val="0"/>
          <w:szCs w:val="24"/>
        </w:rPr>
        <w:t xml:space="preserve">, </w:t>
      </w:r>
      <w:r w:rsidRPr="00667848">
        <w:rPr>
          <w:b/>
          <w:bCs/>
          <w:kern w:val="0"/>
          <w:szCs w:val="24"/>
        </w:rPr>
        <w:t>1-31</w:t>
      </w:r>
      <w:r>
        <w:rPr>
          <w:kern w:val="0"/>
          <w:szCs w:val="24"/>
        </w:rPr>
        <w:t>, 11529-11532.</w:t>
      </w:r>
    </w:p>
    <w:p w:rsidR="0079712C" w:rsidRDefault="0079712C" w:rsidP="0079712C">
      <w:pPr>
        <w:pStyle w:val="a0"/>
        <w:rPr>
          <w:kern w:val="0"/>
          <w:szCs w:val="24"/>
        </w:rPr>
      </w:pPr>
      <w:r>
        <w:rPr>
          <w:kern w:val="0"/>
          <w:szCs w:val="24"/>
        </w:rPr>
        <w:t>Abstract: This paper draws on word frequency analysis, a bibliometric methodology to examine KM research overseas from 1990 to 2006</w:t>
      </w:r>
      <w:r w:rsidR="00F81221">
        <w:rPr>
          <w:kern w:val="0"/>
          <w:szCs w:val="24"/>
        </w:rPr>
        <w:t xml:space="preserve"> and </w:t>
      </w:r>
      <w:r>
        <w:rPr>
          <w:kern w:val="0"/>
          <w:szCs w:val="24"/>
        </w:rPr>
        <w:t>to study the developing trend of knowledge management. The results reveal that the intellectual structure has five aspects including management strategy, organizational change, process, technology</w:t>
      </w:r>
      <w:r w:rsidR="00F81221">
        <w:rPr>
          <w:kern w:val="0"/>
          <w:szCs w:val="24"/>
        </w:rPr>
        <w:t xml:space="preserve"> and </w:t>
      </w:r>
      <w:r>
        <w:rPr>
          <w:kern w:val="0"/>
          <w:szCs w:val="24"/>
        </w:rPr>
        <w:t>application; currently, researchers are focusing on sustained competitive advantage</w:t>
      </w:r>
      <w:r w:rsidR="00F81221">
        <w:rPr>
          <w:kern w:val="0"/>
          <w:szCs w:val="24"/>
        </w:rPr>
        <w:t xml:space="preserve"> and </w:t>
      </w:r>
      <w:r>
        <w:rPr>
          <w:kern w:val="0"/>
          <w:szCs w:val="24"/>
        </w:rPr>
        <w:t>organizational performance</w:t>
      </w:r>
      <w:r w:rsidR="00393A9C">
        <w:rPr>
          <w:rFonts w:hint="eastAsia"/>
          <w:kern w:val="0"/>
          <w:szCs w:val="24"/>
        </w:rPr>
        <w:t>;</w:t>
      </w:r>
      <w:r>
        <w:rPr>
          <w:kern w:val="0"/>
          <w:szCs w:val="24"/>
        </w:rPr>
        <w:t xml:space="preserve"> but the future topics would be more focus on dynamic capabilities, competitive advantage, absorptive capacity</w:t>
      </w:r>
      <w:r w:rsidR="00F81221">
        <w:rPr>
          <w:kern w:val="0"/>
          <w:szCs w:val="24"/>
        </w:rPr>
        <w:t xml:space="preserve"> and </w:t>
      </w:r>
      <w:r>
        <w:rPr>
          <w:kern w:val="0"/>
          <w:szCs w:val="24"/>
        </w:rPr>
        <w:t>strategic alliances.</w:t>
      </w:r>
    </w:p>
    <w:p w:rsidR="0079712C" w:rsidRDefault="0079712C" w:rsidP="0079712C">
      <w:pPr>
        <w:pStyle w:val="a0"/>
        <w:rPr>
          <w:kern w:val="0"/>
          <w:szCs w:val="24"/>
        </w:rPr>
      </w:pPr>
      <w:r>
        <w:rPr>
          <w:kern w:val="0"/>
          <w:szCs w:val="24"/>
        </w:rPr>
        <w:t>Keywords: Alliances, Analysis, Application, Bibliometric, Capabilities, Capacity, Change, Competitive, Competitive Advantage, Developing, Developing Trend, Dynamic, Intellectual Structure, KM, Knowledge, Knowledge Management, Management, Methodology, Organizational, Organizational Change, Organizational Performance, Overseas, Performance, Process, Research, Research Focus, Strategic, Strategy, Structure, Technology, Trend</w:t>
      </w:r>
    </w:p>
    <w:p w:rsidR="00250403" w:rsidRDefault="00250403" w:rsidP="00250403">
      <w:pPr>
        <w:pStyle w:val="1"/>
      </w:pPr>
      <w:r>
        <w:br w:type="page"/>
      </w:r>
      <w:bookmarkStart w:id="1183" w:name="_Toc234328469"/>
      <w:bookmarkStart w:id="1184" w:name="_Toc317161241"/>
      <w:r>
        <w:lastRenderedPageBreak/>
        <w:t xml:space="preserve">Title: </w:t>
      </w:r>
      <w:r w:rsidRPr="00CA473D">
        <w:rPr>
          <w:iCs/>
        </w:rPr>
        <w:t>IEEE Transactions on Engineering Management</w:t>
      </w:r>
      <w:bookmarkEnd w:id="1183"/>
      <w:bookmarkEnd w:id="1184"/>
    </w:p>
    <w:p w:rsidR="00250403" w:rsidRPr="000E2B90" w:rsidRDefault="00250403" w:rsidP="00B72EF9">
      <w:pPr>
        <w:pStyle w:val="12"/>
      </w:pPr>
      <w:r w:rsidRPr="00E46814">
        <w:t>Full Journal Titl</w:t>
      </w:r>
      <w:r w:rsidRPr="000E2B90">
        <w:t xml:space="preserve">e: </w:t>
      </w:r>
      <w:r w:rsidRPr="005E57FA">
        <w:t>IEEE Transactions on Engineering Management</w:t>
      </w:r>
    </w:p>
    <w:p w:rsidR="00250403" w:rsidRPr="000E2B90" w:rsidRDefault="00250403" w:rsidP="00B72EF9">
      <w:pPr>
        <w:pStyle w:val="12"/>
      </w:pPr>
      <w:r w:rsidRPr="000E2B90">
        <w:t xml:space="preserve">ISO Abbreviated Title: </w:t>
      </w:r>
    </w:p>
    <w:p w:rsidR="00250403" w:rsidRPr="000E2B90" w:rsidRDefault="00250403" w:rsidP="00B72EF9">
      <w:pPr>
        <w:pStyle w:val="12"/>
      </w:pPr>
      <w:r w:rsidRPr="000E2B90">
        <w:t>JCR Abbreviated Title</w:t>
      </w:r>
      <w:r>
        <w:t>:</w:t>
      </w:r>
      <w:r w:rsidRPr="000E2B90">
        <w:t xml:space="preserve"> </w:t>
      </w:r>
    </w:p>
    <w:p w:rsidR="00250403" w:rsidRPr="000E2B90" w:rsidRDefault="00250403" w:rsidP="00B72EF9">
      <w:pPr>
        <w:pStyle w:val="12"/>
      </w:pPr>
      <w:r w:rsidRPr="000E2B90">
        <w:t xml:space="preserve">ISSN: </w:t>
      </w:r>
    </w:p>
    <w:p w:rsidR="00250403" w:rsidRPr="00E46814" w:rsidRDefault="00250403" w:rsidP="00B72EF9">
      <w:pPr>
        <w:pStyle w:val="12"/>
      </w:pPr>
      <w:r w:rsidRPr="00E46814">
        <w:t xml:space="preserve">Issues/Year: </w:t>
      </w:r>
    </w:p>
    <w:p w:rsidR="00250403" w:rsidRPr="00E46814" w:rsidRDefault="00FB5623" w:rsidP="00B72EF9">
      <w:pPr>
        <w:pStyle w:val="12"/>
      </w:pPr>
      <w:r>
        <w:t>Journal Country/Territory:</w:t>
      </w:r>
      <w:r w:rsidR="00250403">
        <w:t xml:space="preserve"> </w:t>
      </w:r>
    </w:p>
    <w:p w:rsidR="00250403" w:rsidRPr="00E46814" w:rsidRDefault="00250403" w:rsidP="00B72EF9">
      <w:pPr>
        <w:pStyle w:val="12"/>
      </w:pPr>
      <w:r w:rsidRPr="00E46814">
        <w:t xml:space="preserve">Language: </w:t>
      </w:r>
    </w:p>
    <w:p w:rsidR="00250403" w:rsidRPr="00E46814" w:rsidRDefault="00250403" w:rsidP="00B72EF9">
      <w:pPr>
        <w:pStyle w:val="12"/>
      </w:pPr>
      <w:r w:rsidRPr="00E46814">
        <w:t xml:space="preserve">Publisher: </w:t>
      </w:r>
    </w:p>
    <w:p w:rsidR="00250403" w:rsidRPr="00E46814" w:rsidRDefault="00250403" w:rsidP="00B72EF9">
      <w:pPr>
        <w:pStyle w:val="12"/>
      </w:pPr>
      <w:r w:rsidRPr="00E46814">
        <w:t xml:space="preserve">Publisher Address: </w:t>
      </w:r>
    </w:p>
    <w:p w:rsidR="00250403" w:rsidRDefault="00250403" w:rsidP="00B72EF9">
      <w:pPr>
        <w:pStyle w:val="12"/>
      </w:pPr>
      <w:r w:rsidRPr="00E46814">
        <w:t xml:space="preserve">Subject Categories: </w:t>
      </w:r>
    </w:p>
    <w:p w:rsidR="00250403" w:rsidRDefault="00250403" w:rsidP="00B72EF9">
      <w:pPr>
        <w:pStyle w:val="12"/>
      </w:pPr>
      <w:r>
        <w:rPr>
          <w:rFonts w:hint="eastAsia"/>
        </w:rPr>
        <w:t xml:space="preserve">: </w:t>
      </w:r>
      <w:r>
        <w:t>Impact Factor</w:t>
      </w:r>
    </w:p>
    <w:p w:rsidR="00250403" w:rsidRPr="00C739E0" w:rsidRDefault="00250403" w:rsidP="00250403">
      <w:pPr>
        <w:pStyle w:val="a0"/>
      </w:pPr>
      <w:r w:rsidRPr="00AD327B">
        <w:rPr>
          <w:rFonts w:hint="eastAsia"/>
        </w:rPr>
        <w:t xml:space="preserve">? </w:t>
      </w:r>
      <w:r w:rsidRPr="00AD327B">
        <w:t>Kostoff, R.N.</w:t>
      </w:r>
      <w:r w:rsidR="00F81221">
        <w:t xml:space="preserve"> and </w:t>
      </w:r>
      <w:r w:rsidRPr="00AD327B">
        <w:t>Scaller, R.R. (2001), Science</w:t>
      </w:r>
      <w:r w:rsidR="00F81221">
        <w:t xml:space="preserve"> and </w:t>
      </w:r>
      <w:r w:rsidRPr="00AD327B">
        <w:t xml:space="preserve">technology roadmaps. </w:t>
      </w:r>
      <w:r w:rsidRPr="00CE7517">
        <w:rPr>
          <w:i/>
          <w:iCs/>
        </w:rPr>
        <w:t>IEEE Transactions on Engineering Management</w:t>
      </w:r>
      <w:r w:rsidRPr="00AD327B">
        <w:t xml:space="preserve">, </w:t>
      </w:r>
      <w:r w:rsidRPr="00551655">
        <w:rPr>
          <w:b/>
          <w:bCs/>
        </w:rPr>
        <w:t>48</w:t>
      </w:r>
      <w:r w:rsidRPr="00C739E0">
        <w:t xml:space="preserve"> (2), 132-143.</w:t>
      </w:r>
    </w:p>
    <w:p w:rsidR="00250403" w:rsidRPr="00C739E0" w:rsidRDefault="00250403" w:rsidP="00250403">
      <w:pPr>
        <w:pStyle w:val="a0"/>
      </w:pPr>
      <w:r w:rsidRPr="00C739E0">
        <w:rPr>
          <w:rFonts w:hint="eastAsia"/>
        </w:rPr>
        <w:t>F</w:t>
      </w:r>
      <w:r w:rsidRPr="00C739E0">
        <w:t>u</w:t>
      </w:r>
      <w:r w:rsidRPr="00C739E0">
        <w:rPr>
          <w:rFonts w:hint="eastAsia"/>
        </w:rPr>
        <w:t xml:space="preserve">ll Text: </w:t>
      </w:r>
      <w:hyperlink r:id="rId1606" w:history="1">
        <w:r w:rsidRPr="00DF02B2">
          <w:rPr>
            <w:rStyle w:val="a5"/>
          </w:rPr>
          <w:t>2001\IEEE Tra Eng Man48, 132.pdf</w:t>
        </w:r>
      </w:hyperlink>
    </w:p>
    <w:p w:rsidR="00250403" w:rsidRPr="00C739E0" w:rsidRDefault="00250403" w:rsidP="00250403">
      <w:pPr>
        <w:pStyle w:val="a0"/>
      </w:pPr>
      <w:r w:rsidRPr="00C739E0">
        <w:t>Abstract: Science</w:t>
      </w:r>
      <w:r w:rsidR="00F81221">
        <w:t xml:space="preserve"> and </w:t>
      </w:r>
      <w:r w:rsidRPr="00C739E0">
        <w:t>technology (S&amp;T) roadmaps are used in industry, government,</w:t>
      </w:r>
      <w:r w:rsidR="00F81221">
        <w:t xml:space="preserve"> and </w:t>
      </w:r>
      <w:r w:rsidRPr="00C739E0">
        <w:t>academia to portray the structural relationships among science, technology</w:t>
      </w:r>
      <w:r w:rsidR="00F81221">
        <w:t xml:space="preserve"> and </w:t>
      </w:r>
      <w:r w:rsidRPr="00C739E0">
        <w:t>applications. Roadmaps are employed as decision aids to improve coordination of activities</w:t>
      </w:r>
      <w:r w:rsidR="00F81221">
        <w:t xml:space="preserve"> and </w:t>
      </w:r>
      <w:r w:rsidRPr="00C739E0">
        <w:t>resources in increasingly complex</w:t>
      </w:r>
      <w:r w:rsidR="00F81221">
        <w:t xml:space="preserve"> and </w:t>
      </w:r>
      <w:r w:rsidRPr="00C739E0">
        <w:t>uncertain environments. Specific uses of roadmaps include: S&amp;T management including strategy, planning, executing, reviewing,</w:t>
      </w:r>
      <w:r w:rsidR="00F81221">
        <w:t xml:space="preserve"> and </w:t>
      </w:r>
      <w:r w:rsidRPr="00C739E0">
        <w:t>transitioning; S&amp;T marketing; enhancing communications among researchers, technologists, product managers, suppliers, users,</w:t>
      </w:r>
      <w:r w:rsidR="00F81221">
        <w:t xml:space="preserve"> and </w:t>
      </w:r>
      <w:r w:rsidRPr="00C739E0">
        <w:t>other stakeholders; identifying gaps</w:t>
      </w:r>
      <w:r w:rsidR="00F81221">
        <w:t xml:space="preserve"> and </w:t>
      </w:r>
      <w:r w:rsidRPr="00C739E0">
        <w:t>opportunities in S&amp;T programs;</w:t>
      </w:r>
      <w:r w:rsidR="00F81221">
        <w:t xml:space="preserve"> and </w:t>
      </w:r>
      <w:r w:rsidRPr="00C739E0">
        <w:t>identifying obstacles to rapid</w:t>
      </w:r>
      <w:r w:rsidR="00F81221">
        <w:t xml:space="preserve"> and </w:t>
      </w:r>
      <w:r w:rsidRPr="00C739E0">
        <w:t>low-cost product development. S&amp;T managers also use roadmaps to help identify those S&amp;T areas that have high potential promise,</w:t>
      </w:r>
      <w:r w:rsidR="00F81221">
        <w:t xml:space="preserve"> and </w:t>
      </w:r>
      <w:r w:rsidRPr="00C739E0">
        <w:t>to accelerate the transfer of the S&amp;T to eventual products, However, there has been little attention paid to the practice of roadmapping in the published literature. This paper is a first attempt to bring some common definition to roadmapping practices</w:t>
      </w:r>
      <w:r w:rsidR="00F81221">
        <w:t xml:space="preserve"> and </w:t>
      </w:r>
      <w:r w:rsidRPr="00C739E0">
        <w:t>display the underlying unity of seemingly fragmented roadmap approaches. The paper begins with generic roadmap definitions, including a taxonomy of roadmaps that attempts to better classify</w:t>
      </w:r>
      <w:r w:rsidR="00F81221">
        <w:t xml:space="preserve"> and </w:t>
      </w:r>
      <w:r w:rsidRPr="00C739E0">
        <w:t>unify the broad spectrum of roadmap objectives</w:t>
      </w:r>
      <w:r w:rsidR="00F81221">
        <w:t xml:space="preserve"> and </w:t>
      </w:r>
      <w:r w:rsidRPr="00C739E0">
        <w:t>uses. Characteristics of retrospective</w:t>
      </w:r>
      <w:r w:rsidR="00F81221">
        <w:t xml:space="preserve"> and </w:t>
      </w:r>
      <w:r w:rsidRPr="00C739E0">
        <w:t>prospective roadmaps are then identified</w:t>
      </w:r>
      <w:r w:rsidR="00F81221">
        <w:t xml:space="preserve"> and </w:t>
      </w:r>
      <w:r w:rsidRPr="00C739E0">
        <w:t>analyzed, as well as summary characteristics of bibliometric-based S&amp;T mapping techniques. The roadmap construction process, including fundamental principles for constructing high-quality roadmaps, is presented in detail.</w:t>
      </w:r>
    </w:p>
    <w:p w:rsidR="00250403" w:rsidRPr="00C739E0" w:rsidRDefault="00250403" w:rsidP="00250403">
      <w:pPr>
        <w:pStyle w:val="a0"/>
      </w:pPr>
      <w:r w:rsidRPr="00C739E0">
        <w:t xml:space="preserve">Keywords: AIDS, Characteristics, Communications, Construction, Decision, Development, First, Literature, Management, Mapping, Marketing, Planning, </w:t>
      </w:r>
      <w:r w:rsidRPr="00C739E0">
        <w:lastRenderedPageBreak/>
        <w:t>Potential, Practice, Practices, Principles, Prospective, Roadmaps, Science, Stakeholders, Taxonomy, Techniques, Technology</w:t>
      </w:r>
    </w:p>
    <w:p w:rsidR="00E54D43" w:rsidRPr="00A428C3" w:rsidRDefault="00E54D43" w:rsidP="00E54D43">
      <w:pPr>
        <w:pStyle w:val="1"/>
      </w:pPr>
      <w:r>
        <w:br w:type="page"/>
      </w:r>
      <w:bookmarkStart w:id="1185" w:name="_Toc317161242"/>
      <w:r w:rsidRPr="00A428C3">
        <w:lastRenderedPageBreak/>
        <w:t xml:space="preserve">Title: </w:t>
      </w:r>
      <w:r w:rsidRPr="00E54D43">
        <w:rPr>
          <w:iCs/>
          <w:szCs w:val="24"/>
        </w:rPr>
        <w:t>Information Visualization</w:t>
      </w:r>
      <w:bookmarkEnd w:id="1185"/>
    </w:p>
    <w:p w:rsidR="00E54D43" w:rsidRPr="001A3D2B" w:rsidRDefault="00E54D43" w:rsidP="00B72EF9">
      <w:pPr>
        <w:pStyle w:val="12"/>
      </w:pPr>
      <w:r w:rsidRPr="001A3D2B">
        <w:t xml:space="preserve">Full Journal Title: </w:t>
      </w:r>
      <w:r w:rsidRPr="00E54D43">
        <w:t>Information Visualization</w:t>
      </w:r>
    </w:p>
    <w:p w:rsidR="00E54D43" w:rsidRPr="001A3D2B" w:rsidRDefault="00E54D43" w:rsidP="00B72EF9">
      <w:pPr>
        <w:pStyle w:val="12"/>
      </w:pPr>
      <w:r w:rsidRPr="001A3D2B">
        <w:t xml:space="preserve">ISO Abbreviated Title: </w:t>
      </w:r>
    </w:p>
    <w:p w:rsidR="00E54D43" w:rsidRPr="001A3D2B" w:rsidRDefault="00E54D43" w:rsidP="00B72EF9">
      <w:pPr>
        <w:pStyle w:val="12"/>
      </w:pPr>
      <w:r w:rsidRPr="001A3D2B">
        <w:t xml:space="preserve">JCR Abbreviated Title: </w:t>
      </w:r>
    </w:p>
    <w:p w:rsidR="00E54D43" w:rsidRPr="001A3D2B" w:rsidRDefault="00E54D43" w:rsidP="00B72EF9">
      <w:pPr>
        <w:pStyle w:val="12"/>
      </w:pPr>
      <w:r w:rsidRPr="001A3D2B">
        <w:t xml:space="preserve">ISSN: </w:t>
      </w:r>
      <w:r w:rsidRPr="00E54D43">
        <w:t>1473-8716</w:t>
      </w:r>
    </w:p>
    <w:p w:rsidR="00E54D43" w:rsidRPr="001A3D2B" w:rsidRDefault="00E54D43" w:rsidP="00B72EF9">
      <w:pPr>
        <w:pStyle w:val="12"/>
      </w:pPr>
      <w:r w:rsidRPr="001A3D2B">
        <w:t xml:space="preserve">Issues/Year: </w:t>
      </w:r>
    </w:p>
    <w:p w:rsidR="00E54D43" w:rsidRPr="001A3D2B" w:rsidRDefault="00E54D43" w:rsidP="00B72EF9">
      <w:pPr>
        <w:pStyle w:val="12"/>
      </w:pPr>
      <w:r w:rsidRPr="001A3D2B">
        <w:t xml:space="preserve">Journal Country/Territory: </w:t>
      </w:r>
    </w:p>
    <w:p w:rsidR="00E54D43" w:rsidRPr="001A3D2B" w:rsidRDefault="00E54D43" w:rsidP="00B72EF9">
      <w:pPr>
        <w:pStyle w:val="12"/>
      </w:pPr>
      <w:r w:rsidRPr="001A3D2B">
        <w:t xml:space="preserve">Language: </w:t>
      </w:r>
    </w:p>
    <w:p w:rsidR="00E54D43" w:rsidRPr="001A3D2B" w:rsidRDefault="00E54D43" w:rsidP="00B72EF9">
      <w:pPr>
        <w:pStyle w:val="12"/>
      </w:pPr>
      <w:r w:rsidRPr="001A3D2B">
        <w:t xml:space="preserve">Publisher: </w:t>
      </w:r>
    </w:p>
    <w:p w:rsidR="00E54D43" w:rsidRPr="001A3D2B" w:rsidRDefault="00E54D43" w:rsidP="00B72EF9">
      <w:pPr>
        <w:pStyle w:val="12"/>
      </w:pPr>
      <w:r w:rsidRPr="001A3D2B">
        <w:t xml:space="preserve">Publisher Address: </w:t>
      </w:r>
    </w:p>
    <w:p w:rsidR="00E54D43" w:rsidRPr="001A3D2B" w:rsidRDefault="00E54D43" w:rsidP="00B72EF9">
      <w:pPr>
        <w:pStyle w:val="12"/>
      </w:pPr>
      <w:r w:rsidRPr="001A3D2B">
        <w:t xml:space="preserve">Subject Categories: </w:t>
      </w:r>
    </w:p>
    <w:p w:rsidR="00E54D43" w:rsidRPr="001A3D2B" w:rsidRDefault="00E54D43" w:rsidP="00B72EF9">
      <w:pPr>
        <w:pStyle w:val="12"/>
      </w:pPr>
      <w:r w:rsidRPr="001A3D2B">
        <w:t>: Impact Factor</w:t>
      </w:r>
    </w:p>
    <w:p w:rsidR="00E54D43" w:rsidRDefault="00E54D43" w:rsidP="00E54D43">
      <w:pPr>
        <w:pStyle w:val="a0"/>
        <w:rPr>
          <w:kern w:val="0"/>
          <w:szCs w:val="24"/>
        </w:rPr>
      </w:pPr>
      <w:r>
        <w:rPr>
          <w:rFonts w:hint="eastAsia"/>
          <w:kern w:val="0"/>
          <w:szCs w:val="24"/>
        </w:rPr>
        <w:t xml:space="preserve">? </w:t>
      </w:r>
      <w:r>
        <w:rPr>
          <w:kern w:val="0"/>
          <w:szCs w:val="24"/>
        </w:rPr>
        <w:t>Chinchilla-Rodriguez, Z., Vargas-Quesada, B., Hassan-Montero, Y., Gonzalez-Molina, A.</w:t>
      </w:r>
      <w:r w:rsidR="00F81221">
        <w:rPr>
          <w:kern w:val="0"/>
          <w:szCs w:val="24"/>
        </w:rPr>
        <w:t xml:space="preserve"> and </w:t>
      </w:r>
      <w:r>
        <w:rPr>
          <w:kern w:val="0"/>
          <w:szCs w:val="24"/>
        </w:rPr>
        <w:t xml:space="preserve">Moya-Anegon, F. (2010), New approach to the visualization of international scientific collaboration. </w:t>
      </w:r>
      <w:r w:rsidRPr="00E54D43">
        <w:rPr>
          <w:i/>
          <w:iCs/>
          <w:kern w:val="0"/>
          <w:szCs w:val="24"/>
        </w:rPr>
        <w:t>Information Visualization</w:t>
      </w:r>
      <w:r>
        <w:rPr>
          <w:kern w:val="0"/>
          <w:szCs w:val="24"/>
        </w:rPr>
        <w:t xml:space="preserve">, </w:t>
      </w:r>
      <w:r>
        <w:rPr>
          <w:b/>
          <w:bCs/>
          <w:kern w:val="0"/>
          <w:szCs w:val="24"/>
        </w:rPr>
        <w:t>9</w:t>
      </w:r>
      <w:r>
        <w:rPr>
          <w:kern w:val="0"/>
          <w:szCs w:val="24"/>
        </w:rPr>
        <w:t xml:space="preserve"> (4), 277-287.</w:t>
      </w:r>
    </w:p>
    <w:p w:rsidR="00E54D43" w:rsidRDefault="00E54D43" w:rsidP="00E54D43">
      <w:pPr>
        <w:pStyle w:val="a0"/>
        <w:rPr>
          <w:kern w:val="0"/>
          <w:szCs w:val="24"/>
        </w:rPr>
      </w:pPr>
      <w:r>
        <w:rPr>
          <w:kern w:val="0"/>
          <w:szCs w:val="24"/>
        </w:rPr>
        <w:t>Abstract: In this study, visual representations are created in order to analyze different aspects of scientific collaboration at the international level. The main objective is to identify the international facet of research by following the flow of knowledge as expressed by the number of scientific publications,</w:t>
      </w:r>
      <w:r w:rsidR="00F81221">
        <w:rPr>
          <w:kern w:val="0"/>
          <w:szCs w:val="24"/>
        </w:rPr>
        <w:t xml:space="preserve"> and </w:t>
      </w:r>
      <w:r>
        <w:rPr>
          <w:kern w:val="0"/>
          <w:szCs w:val="24"/>
        </w:rPr>
        <w:t>then establishes the main geographical axes of output, showing the interrelationships of the domain, the intensity of these relations,</w:t>
      </w:r>
      <w:r w:rsidR="00F81221">
        <w:rPr>
          <w:kern w:val="0"/>
          <w:szCs w:val="24"/>
        </w:rPr>
        <w:t xml:space="preserve"> and </w:t>
      </w:r>
      <w:r>
        <w:rPr>
          <w:kern w:val="0"/>
          <w:szCs w:val="24"/>
        </w:rPr>
        <w:t>how the different types of collaboration are reflected in terms of visibility. Thus, the methodology has a twofold application, allowing us to detect significant differences that help characterize patterns of behaviour of a geographical system of output, along with the generation of representations that serve as interfaces for domain analysis</w:t>
      </w:r>
      <w:r w:rsidR="00F81221">
        <w:rPr>
          <w:kern w:val="0"/>
          <w:szCs w:val="24"/>
        </w:rPr>
        <w:t xml:space="preserve"> and </w:t>
      </w:r>
      <w:r>
        <w:rPr>
          <w:kern w:val="0"/>
          <w:szCs w:val="24"/>
        </w:rPr>
        <w:t>information retrieval. Information Visualization (2010) 9, 277-287. doi:10.1057/ivs.2009.31; published online 3 December 2009.</w:t>
      </w:r>
    </w:p>
    <w:p w:rsidR="00E54D43" w:rsidRDefault="00E54D43" w:rsidP="00E54D43">
      <w:pPr>
        <w:pStyle w:val="a0"/>
        <w:rPr>
          <w:kern w:val="0"/>
          <w:szCs w:val="24"/>
        </w:rPr>
      </w:pPr>
      <w:r>
        <w:rPr>
          <w:kern w:val="0"/>
          <w:szCs w:val="24"/>
        </w:rPr>
        <w:t>Keywords: Analysis, Bibliometric Indicators, Citations, Co-Authorship, Cooperation, Growth, Impact Factor, Index, Indicators, Information Retrieval, Information Visualization, International Collaboration Networks, Output, Patterns, Publications, References, Research, Research Performance, Science, Scientific Collaboration, Scientific Publications, System, Universities</w:t>
      </w:r>
    </w:p>
    <w:p w:rsidR="00B95188" w:rsidRPr="00A428C3" w:rsidRDefault="00250403" w:rsidP="00250403">
      <w:pPr>
        <w:pStyle w:val="1"/>
      </w:pPr>
      <w:r>
        <w:br w:type="page"/>
      </w:r>
      <w:bookmarkStart w:id="1186" w:name="_Toc317161243"/>
      <w:r w:rsidR="00B95188" w:rsidRPr="00A428C3">
        <w:lastRenderedPageBreak/>
        <w:t xml:space="preserve">Title: </w:t>
      </w:r>
      <w:r w:rsidR="00B95188" w:rsidRPr="00B305DF">
        <w:rPr>
          <w:iCs/>
        </w:rPr>
        <w:t>2007 11th International Conference on Information Visualization</w:t>
      </w:r>
      <w:bookmarkEnd w:id="1186"/>
    </w:p>
    <w:p w:rsidR="00E54D43" w:rsidRPr="001A3D2B" w:rsidRDefault="00E54D43" w:rsidP="00B72EF9">
      <w:pPr>
        <w:pStyle w:val="12"/>
      </w:pPr>
      <w:r w:rsidRPr="001A3D2B">
        <w:t>Full Journal Title: 2007 11th International Conference on Information Visualization</w:t>
      </w:r>
    </w:p>
    <w:p w:rsidR="00E54D43" w:rsidRPr="001A3D2B" w:rsidRDefault="00E54D43" w:rsidP="00B72EF9">
      <w:pPr>
        <w:pStyle w:val="12"/>
      </w:pPr>
      <w:r w:rsidRPr="001A3D2B">
        <w:t xml:space="preserve">ISO Abbreviated Title: </w:t>
      </w:r>
    </w:p>
    <w:p w:rsidR="00E54D43" w:rsidRPr="001A3D2B" w:rsidRDefault="00E54D43" w:rsidP="00B72EF9">
      <w:pPr>
        <w:pStyle w:val="12"/>
      </w:pPr>
      <w:r w:rsidRPr="001A3D2B">
        <w:t xml:space="preserve">JCR Abbreviated Title: </w:t>
      </w:r>
    </w:p>
    <w:p w:rsidR="00E54D43" w:rsidRPr="001A3D2B" w:rsidRDefault="00E54D43" w:rsidP="00B72EF9">
      <w:pPr>
        <w:pStyle w:val="12"/>
      </w:pPr>
      <w:r w:rsidRPr="001A3D2B">
        <w:t xml:space="preserve">ISSN: </w:t>
      </w:r>
    </w:p>
    <w:p w:rsidR="00E54D43" w:rsidRPr="001A3D2B" w:rsidRDefault="00E54D43" w:rsidP="00B72EF9">
      <w:pPr>
        <w:pStyle w:val="12"/>
      </w:pPr>
      <w:r w:rsidRPr="001A3D2B">
        <w:t xml:space="preserve">Issues/Year: </w:t>
      </w:r>
    </w:p>
    <w:p w:rsidR="00E54D43" w:rsidRPr="001A3D2B" w:rsidRDefault="00E54D43" w:rsidP="00B72EF9">
      <w:pPr>
        <w:pStyle w:val="12"/>
      </w:pPr>
      <w:r w:rsidRPr="001A3D2B">
        <w:t xml:space="preserve">Journal Country/Territory: </w:t>
      </w:r>
    </w:p>
    <w:p w:rsidR="00E54D43" w:rsidRPr="001A3D2B" w:rsidRDefault="00E54D43" w:rsidP="00B72EF9">
      <w:pPr>
        <w:pStyle w:val="12"/>
      </w:pPr>
      <w:r w:rsidRPr="001A3D2B">
        <w:t xml:space="preserve">Language: </w:t>
      </w:r>
    </w:p>
    <w:p w:rsidR="00E54D43" w:rsidRPr="001A3D2B" w:rsidRDefault="00E54D43" w:rsidP="00B72EF9">
      <w:pPr>
        <w:pStyle w:val="12"/>
      </w:pPr>
      <w:r w:rsidRPr="001A3D2B">
        <w:t xml:space="preserve">Publisher: </w:t>
      </w:r>
    </w:p>
    <w:p w:rsidR="00E54D43" w:rsidRPr="001A3D2B" w:rsidRDefault="00E54D43" w:rsidP="00B72EF9">
      <w:pPr>
        <w:pStyle w:val="12"/>
      </w:pPr>
      <w:r w:rsidRPr="001A3D2B">
        <w:t xml:space="preserve">Publisher Address: </w:t>
      </w:r>
    </w:p>
    <w:p w:rsidR="00E54D43" w:rsidRPr="001A3D2B" w:rsidRDefault="00E54D43" w:rsidP="00B72EF9">
      <w:pPr>
        <w:pStyle w:val="12"/>
      </w:pPr>
      <w:r w:rsidRPr="001A3D2B">
        <w:t xml:space="preserve">Subject Categories: </w:t>
      </w:r>
    </w:p>
    <w:p w:rsidR="00E54D43" w:rsidRPr="001A3D2B" w:rsidRDefault="00E54D43" w:rsidP="00B72EF9">
      <w:pPr>
        <w:pStyle w:val="12"/>
      </w:pPr>
      <w:r w:rsidRPr="001A3D2B">
        <w:t>: Impact Factor</w:t>
      </w:r>
    </w:p>
    <w:p w:rsidR="00B95188" w:rsidRPr="00586CD8" w:rsidRDefault="00B95188" w:rsidP="00B95188">
      <w:pPr>
        <w:pStyle w:val="a0"/>
        <w:rPr>
          <w:kern w:val="2"/>
        </w:rPr>
      </w:pPr>
      <w:r w:rsidRPr="00586CD8">
        <w:rPr>
          <w:rFonts w:hint="eastAsia"/>
          <w:kern w:val="2"/>
        </w:rPr>
        <w:t xml:space="preserve">? </w:t>
      </w:r>
      <w:r w:rsidRPr="00586CD8">
        <w:rPr>
          <w:kern w:val="2"/>
        </w:rPr>
        <w:t>Saka, A.</w:t>
      </w:r>
      <w:r w:rsidR="00F81221">
        <w:rPr>
          <w:kern w:val="2"/>
        </w:rPr>
        <w:t xml:space="preserve"> and </w:t>
      </w:r>
      <w:r w:rsidRPr="00586CD8">
        <w:rPr>
          <w:kern w:val="2"/>
        </w:rPr>
        <w:t xml:space="preserve">Igami, M. (2007), Mapping modern science using co-citation analysis. </w:t>
      </w:r>
      <w:r>
        <w:rPr>
          <w:i/>
          <w:iCs/>
          <w:kern w:val="0"/>
        </w:rPr>
        <w:t>2007 11th International Conference on Information Visualization</w:t>
      </w:r>
      <w:r w:rsidRPr="00586CD8">
        <w:rPr>
          <w:kern w:val="2"/>
        </w:rPr>
        <w:t>, 427-432.</w:t>
      </w:r>
    </w:p>
    <w:p w:rsidR="00B95188" w:rsidRPr="00586CD8" w:rsidRDefault="00B95188" w:rsidP="00B95188">
      <w:pPr>
        <w:pStyle w:val="a0"/>
        <w:rPr>
          <w:kern w:val="2"/>
        </w:rPr>
      </w:pPr>
      <w:r w:rsidRPr="00586CD8">
        <w:rPr>
          <w:kern w:val="2"/>
        </w:rPr>
        <w:t xml:space="preserve">Abstract: Bibliometric analysis is used as a measuring activity technique for basic research. There are many country level analyses of trends in scientific publications. These analyses give us an understanding of the macro-scale character of scientific activities. However, it is difficult to capture the qualitative evolution of scientific activities through them. In this regard, a meso-scale analysis of science activities, i.e., analysis of </w:t>
      </w:r>
      <w:r w:rsidR="000352E7">
        <w:rPr>
          <w:kern w:val="2"/>
        </w:rPr>
        <w:t>“</w:t>
      </w:r>
      <w:r w:rsidRPr="00586CD8">
        <w:rPr>
          <w:kern w:val="2"/>
        </w:rPr>
        <w:t>research areas</w:t>
      </w:r>
      <w:r w:rsidR="000352E7">
        <w:rPr>
          <w:kern w:val="2"/>
        </w:rPr>
        <w:t>”</w:t>
      </w:r>
      <w:r w:rsidRPr="00586CD8">
        <w:rPr>
          <w:kern w:val="2"/>
        </w:rPr>
        <w:t>, is suitable for grasping qualitative changes in scientific activities. In this study, we develop a new method for mapping science at the research area level. Our method consists of two parts: constructing research areas from scientific publications</w:t>
      </w:r>
      <w:r w:rsidR="00F81221">
        <w:rPr>
          <w:kern w:val="2"/>
        </w:rPr>
        <w:t xml:space="preserve"> and </w:t>
      </w:r>
      <w:r w:rsidRPr="00586CD8">
        <w:rPr>
          <w:kern w:val="2"/>
        </w:rPr>
        <w:t>content analysis by experts. Research areas are explored through a co-citation analysis,</w:t>
      </w:r>
      <w:r w:rsidR="00F81221">
        <w:rPr>
          <w:kern w:val="2"/>
        </w:rPr>
        <w:t xml:space="preserve"> and </w:t>
      </w:r>
      <w:r w:rsidRPr="00586CD8">
        <w:rPr>
          <w:kern w:val="2"/>
        </w:rPr>
        <w:t>a map of science was generated to analyze how research areas relate to each other. This method contributes to endeavours to understand</w:t>
      </w:r>
      <w:r w:rsidR="00F81221">
        <w:rPr>
          <w:kern w:val="2"/>
        </w:rPr>
        <w:t xml:space="preserve"> and </w:t>
      </w:r>
      <w:r w:rsidRPr="00586CD8">
        <w:rPr>
          <w:kern w:val="2"/>
        </w:rPr>
        <w:t>track the changing nature of science.</w:t>
      </w:r>
    </w:p>
    <w:p w:rsidR="00B95188" w:rsidRPr="00586CD8" w:rsidRDefault="00B95188" w:rsidP="00B95188">
      <w:pPr>
        <w:pStyle w:val="a0"/>
        <w:rPr>
          <w:kern w:val="2"/>
        </w:rPr>
      </w:pPr>
      <w:r w:rsidRPr="00586CD8">
        <w:rPr>
          <w:kern w:val="2"/>
        </w:rPr>
        <w:t>Keywords: Analysis, Bibliometric Analysis, Changes, Co-Citation, Co-Citation Analysis, Cocitation, Evolution, Publications, Qualitative, Research, Science, Scientific Publications, Trends, Understanding</w:t>
      </w:r>
    </w:p>
    <w:p w:rsidR="00B95188" w:rsidRPr="00586CD8" w:rsidRDefault="00B95188" w:rsidP="00B95188">
      <w:pPr>
        <w:pStyle w:val="a0"/>
        <w:rPr>
          <w:kern w:val="2"/>
        </w:rPr>
      </w:pPr>
      <w:r w:rsidRPr="00586CD8">
        <w:rPr>
          <w:rFonts w:hint="eastAsia"/>
          <w:kern w:val="2"/>
        </w:rPr>
        <w:t xml:space="preserve">? </w:t>
      </w:r>
      <w:r w:rsidRPr="00586CD8">
        <w:rPr>
          <w:kern w:val="2"/>
        </w:rPr>
        <w:t>LaRowe, G., Ichise, R.</w:t>
      </w:r>
      <w:r w:rsidR="00F81221">
        <w:rPr>
          <w:kern w:val="2"/>
        </w:rPr>
        <w:t xml:space="preserve"> and </w:t>
      </w:r>
      <w:r w:rsidRPr="00586CD8">
        <w:rPr>
          <w:kern w:val="2"/>
        </w:rPr>
        <w:t xml:space="preserve">Borner, K. (2007), Analysis of Japanese information systems co-authorship data. </w:t>
      </w:r>
      <w:r>
        <w:rPr>
          <w:i/>
          <w:iCs/>
          <w:kern w:val="0"/>
        </w:rPr>
        <w:t>2007 11th International Conference on Information Visualization</w:t>
      </w:r>
      <w:r w:rsidRPr="00586CD8">
        <w:rPr>
          <w:kern w:val="2"/>
        </w:rPr>
        <w:t>, 433-438.</w:t>
      </w:r>
    </w:p>
    <w:p w:rsidR="00B95188" w:rsidRPr="00586CD8" w:rsidRDefault="00B95188" w:rsidP="00B95188">
      <w:pPr>
        <w:pStyle w:val="a0"/>
        <w:rPr>
          <w:kern w:val="2"/>
        </w:rPr>
      </w:pPr>
      <w:r w:rsidRPr="00586CD8">
        <w:rPr>
          <w:kern w:val="2"/>
        </w:rPr>
        <w:t>Abstract: This paper reports a bibliometric analysis of evolving co-author networks. Using 5,009 articles covering the years 1993 to 2005 from Transactions D. (Information Systems) of the Institute of Electronics Information</w:t>
      </w:r>
      <w:r w:rsidR="00F81221">
        <w:rPr>
          <w:kern w:val="2"/>
        </w:rPr>
        <w:t xml:space="preserve"> and </w:t>
      </w:r>
      <w:r w:rsidRPr="00586CD8">
        <w:rPr>
          <w:kern w:val="2"/>
        </w:rPr>
        <w:t xml:space="preserve">Communication Engineers (IEICE), we attempt to compare the network </w:t>
      </w:r>
      <w:r w:rsidRPr="00586CD8">
        <w:rPr>
          <w:kern w:val="2"/>
        </w:rPr>
        <w:lastRenderedPageBreak/>
        <w:t>characteristics for each year, the co-author network characteristics for the entire time span,</w:t>
      </w:r>
      <w:r w:rsidR="00F81221">
        <w:rPr>
          <w:kern w:val="2"/>
        </w:rPr>
        <w:t xml:space="preserve"> and </w:t>
      </w:r>
      <w:r w:rsidRPr="00586CD8">
        <w:rPr>
          <w:kern w:val="2"/>
        </w:rPr>
        <w:t>the four major components of the entire data set. Finally, we analyze each of these in contrast to extant co-authorship network data</w:t>
      </w:r>
      <w:r w:rsidR="00F81221">
        <w:rPr>
          <w:kern w:val="2"/>
        </w:rPr>
        <w:t xml:space="preserve"> and </w:t>
      </w:r>
      <w:r w:rsidRPr="00586CD8">
        <w:rPr>
          <w:kern w:val="2"/>
        </w:rPr>
        <w:t>find that the pattern of co-authorship within Information Systems does not change significantly over this time period.</w:t>
      </w:r>
    </w:p>
    <w:p w:rsidR="00B95188" w:rsidRPr="00586CD8" w:rsidRDefault="00B95188" w:rsidP="00B95188">
      <w:pPr>
        <w:pStyle w:val="a0"/>
        <w:rPr>
          <w:kern w:val="2"/>
        </w:rPr>
      </w:pPr>
      <w:r w:rsidRPr="00586CD8">
        <w:rPr>
          <w:kern w:val="2"/>
        </w:rPr>
        <w:t>Keywords: Analysis, Bibliometric, Bibliometric Analysis, Co-Authorship, Coauthorship, Information, Information Systems, Network</w:t>
      </w:r>
    </w:p>
    <w:p w:rsidR="00B95188" w:rsidRPr="00A428C3" w:rsidRDefault="00B95188" w:rsidP="00B95188">
      <w:pPr>
        <w:pStyle w:val="1"/>
      </w:pPr>
      <w:r w:rsidRPr="00A428C3">
        <w:br w:type="page"/>
      </w:r>
      <w:bookmarkStart w:id="1187" w:name="_Toc317161244"/>
      <w:r w:rsidRPr="00A428C3">
        <w:lastRenderedPageBreak/>
        <w:t xml:space="preserve">Title: </w:t>
      </w:r>
      <w:r w:rsidRPr="00096806">
        <w:rPr>
          <w:iCs/>
        </w:rPr>
        <w:t>2007 International Conference on Management Science</w:t>
      </w:r>
      <w:r w:rsidR="00F81221">
        <w:rPr>
          <w:iCs/>
        </w:rPr>
        <w:t xml:space="preserve"> and </w:t>
      </w:r>
      <w:r w:rsidRPr="00096806">
        <w:rPr>
          <w:iCs/>
        </w:rPr>
        <w:t>Engineering</w:t>
      </w:r>
      <w:bookmarkEnd w:id="1187"/>
    </w:p>
    <w:p w:rsidR="00B95188" w:rsidRPr="00586CD8" w:rsidRDefault="00B95188" w:rsidP="00B95188">
      <w:pPr>
        <w:pStyle w:val="a0"/>
        <w:rPr>
          <w:kern w:val="2"/>
        </w:rPr>
      </w:pPr>
      <w:r w:rsidRPr="00586CD8">
        <w:rPr>
          <w:rFonts w:hint="eastAsia"/>
          <w:kern w:val="2"/>
        </w:rPr>
        <w:t xml:space="preserve">? </w:t>
      </w:r>
      <w:r w:rsidRPr="00586CD8">
        <w:rPr>
          <w:kern w:val="2"/>
        </w:rPr>
        <w:t>Luan, C., Hou, H., Wang, X.</w:t>
      </w:r>
      <w:r w:rsidR="00F81221">
        <w:rPr>
          <w:kern w:val="2"/>
        </w:rPr>
        <w:t xml:space="preserve"> and </w:t>
      </w:r>
      <w:r w:rsidRPr="00586CD8">
        <w:rPr>
          <w:kern w:val="2"/>
        </w:rPr>
        <w:t>Liu, Z. (2007), Study on the structure of inventors</w:t>
      </w:r>
      <w:r w:rsidR="000352E7">
        <w:rPr>
          <w:kern w:val="2"/>
        </w:rPr>
        <w:t>’</w:t>
      </w:r>
      <w:r w:rsidRPr="00586CD8">
        <w:rPr>
          <w:kern w:val="2"/>
        </w:rPr>
        <w:t xml:space="preserve"> collaboration networks in the field of international digital information transmission in 2006. </w:t>
      </w:r>
      <w:r>
        <w:rPr>
          <w:i/>
          <w:iCs/>
          <w:kern w:val="0"/>
        </w:rPr>
        <w:t>2007 International Conference on Management Science</w:t>
      </w:r>
      <w:r w:rsidR="00F81221">
        <w:rPr>
          <w:i/>
          <w:iCs/>
          <w:kern w:val="0"/>
        </w:rPr>
        <w:t xml:space="preserve"> and </w:t>
      </w:r>
      <w:r>
        <w:rPr>
          <w:i/>
          <w:iCs/>
          <w:kern w:val="0"/>
        </w:rPr>
        <w:t>Engineering</w:t>
      </w:r>
      <w:r w:rsidRPr="00586CD8">
        <w:rPr>
          <w:kern w:val="2"/>
        </w:rPr>
        <w:t>, 71-78.</w:t>
      </w:r>
    </w:p>
    <w:p w:rsidR="00B95188" w:rsidRPr="00586CD8" w:rsidRDefault="00B95188" w:rsidP="00B95188">
      <w:pPr>
        <w:pStyle w:val="a0"/>
        <w:rPr>
          <w:kern w:val="2"/>
        </w:rPr>
      </w:pPr>
      <w:r w:rsidRPr="00586CD8">
        <w:rPr>
          <w:kern w:val="2"/>
        </w:rPr>
        <w:t>Abstract: Scientometric study on international inventors</w:t>
      </w:r>
      <w:r w:rsidR="000352E7">
        <w:rPr>
          <w:kern w:val="2"/>
        </w:rPr>
        <w:t>’</w:t>
      </w:r>
      <w:r w:rsidRPr="00586CD8">
        <w:rPr>
          <w:kern w:val="2"/>
        </w:rPr>
        <w:t xml:space="preserve"> collaboration networks in the technological field of digital information transmission is investigated at the level of individuals by using bibliographic data of all patent documents published in Derwent Innovation Index (DII) retrieved from Web of Knowledge (WOK) in 2006. Combined analysis of social network analysis (SNA), co-occurrence analysis</w:t>
      </w:r>
      <w:r w:rsidR="00F81221">
        <w:rPr>
          <w:kern w:val="2"/>
        </w:rPr>
        <w:t xml:space="preserve"> and </w:t>
      </w:r>
      <w:r w:rsidRPr="00586CD8">
        <w:rPr>
          <w:kern w:val="2"/>
        </w:rPr>
        <w:t>cluster analysis is explored to reveal: (1) The higher the NrmNetwork Centralization of a network is, the lower the average output of the inventors is in the inventors</w:t>
      </w:r>
      <w:r w:rsidR="000352E7">
        <w:rPr>
          <w:kern w:val="2"/>
        </w:rPr>
        <w:t>’</w:t>
      </w:r>
      <w:r w:rsidRPr="00586CD8">
        <w:rPr>
          <w:kern w:val="2"/>
        </w:rPr>
        <w:t xml:space="preserve"> collaboration network in the technological field of digital information transmission (DIT); (2) Generally, the less components there are in a network, the higher average output of the inventors in the network is; (3) Generally, the bigger scale of a connecting network is, the higher average output of the inventors is in DIT; (4) The shorter the average distance of a network is, the higher the average output of the inventors in the network is; (5) It is concluded that the suitable density of the networks is good for the inventors to improve their output.</w:t>
      </w:r>
    </w:p>
    <w:p w:rsidR="00B95188" w:rsidRPr="00586CD8" w:rsidRDefault="00B95188" w:rsidP="00B95188">
      <w:pPr>
        <w:pStyle w:val="a0"/>
        <w:rPr>
          <w:kern w:val="2"/>
        </w:rPr>
      </w:pPr>
      <w:r w:rsidRPr="00586CD8">
        <w:rPr>
          <w:kern w:val="2"/>
        </w:rPr>
        <w:t>Keywords: Analysis, Cluster Analysis, Collaboration, Collaboration Networks, Information, International, Network, Network Analysis, Patent, Social Network Analysis, Structure</w:t>
      </w:r>
    </w:p>
    <w:p w:rsidR="00B95188" w:rsidRPr="00586CD8" w:rsidRDefault="00B95188" w:rsidP="00B95188">
      <w:pPr>
        <w:pStyle w:val="a0"/>
        <w:rPr>
          <w:kern w:val="2"/>
        </w:rPr>
      </w:pPr>
      <w:r w:rsidRPr="00586CD8">
        <w:rPr>
          <w:rFonts w:hint="eastAsia"/>
          <w:kern w:val="2"/>
        </w:rPr>
        <w:t xml:space="preserve">? </w:t>
      </w:r>
      <w:r w:rsidRPr="00586CD8">
        <w:rPr>
          <w:kern w:val="2"/>
        </w:rPr>
        <w:t xml:space="preserve">Wang, J., Huang, L., Li, </w:t>
      </w:r>
      <w:r w:rsidRPr="00586CD8">
        <w:rPr>
          <w:rFonts w:hint="eastAsia"/>
          <w:kern w:val="2"/>
        </w:rPr>
        <w:t>J</w:t>
      </w:r>
      <w:r w:rsidRPr="00586CD8">
        <w:rPr>
          <w:kern w:val="2"/>
        </w:rPr>
        <w:t>.</w:t>
      </w:r>
      <w:r w:rsidR="00F81221">
        <w:rPr>
          <w:kern w:val="2"/>
        </w:rPr>
        <w:t xml:space="preserve"> and </w:t>
      </w:r>
      <w:r w:rsidRPr="00586CD8">
        <w:rPr>
          <w:kern w:val="2"/>
        </w:rPr>
        <w:t xml:space="preserve">Lu, W. (2007), An integrated method for commercialization potential evaluation of emerging technology based on TFA. </w:t>
      </w:r>
      <w:r>
        <w:rPr>
          <w:i/>
          <w:iCs/>
          <w:kern w:val="0"/>
        </w:rPr>
        <w:t>2007 International Conference on Management Science</w:t>
      </w:r>
      <w:r w:rsidR="00F81221">
        <w:rPr>
          <w:i/>
          <w:iCs/>
          <w:kern w:val="0"/>
        </w:rPr>
        <w:t xml:space="preserve"> and </w:t>
      </w:r>
      <w:r>
        <w:rPr>
          <w:i/>
          <w:iCs/>
          <w:kern w:val="0"/>
        </w:rPr>
        <w:t>Engineering</w:t>
      </w:r>
      <w:r w:rsidRPr="00586CD8">
        <w:rPr>
          <w:kern w:val="2"/>
        </w:rPr>
        <w:t>, 2140-2145.</w:t>
      </w:r>
    </w:p>
    <w:p w:rsidR="00B95188" w:rsidRPr="00586CD8" w:rsidRDefault="00B95188" w:rsidP="00B95188">
      <w:pPr>
        <w:pStyle w:val="a0"/>
        <w:rPr>
          <w:kern w:val="2"/>
        </w:rPr>
      </w:pPr>
      <w:r w:rsidRPr="00586CD8">
        <w:rPr>
          <w:kern w:val="2"/>
        </w:rPr>
        <w:t>Abstract: Emerging technologies pose considerable challenges for classical technology assessment. Decision-making more</w:t>
      </w:r>
      <w:r w:rsidR="00F81221">
        <w:rPr>
          <w:kern w:val="2"/>
        </w:rPr>
        <w:t xml:space="preserve"> and </w:t>
      </w:r>
      <w:r w:rsidRPr="00586CD8">
        <w:rPr>
          <w:kern w:val="2"/>
        </w:rPr>
        <w:t>more requires the information on the potential consequences of the advent of new technologies before they are widely industrialized. So technology forecasting experts have already achieved the mutual recognition of the commercialization potential evaluation of emerging technologies should be operated at the early stages. This paper proposes an integrated method for commercialization potential evaluation of emerging technologies by using technology future analysis. The proposed integrated method combined the subjective judgment</w:t>
      </w:r>
      <w:r w:rsidR="00F81221">
        <w:rPr>
          <w:kern w:val="2"/>
        </w:rPr>
        <w:t xml:space="preserve"> and </w:t>
      </w:r>
      <w:r w:rsidRPr="00586CD8">
        <w:rPr>
          <w:kern w:val="2"/>
        </w:rPr>
        <w:t>objective perspectives, which is to make the primary selection of large amount of emerging technology options using the tools for the subjective judgment, such as, nominal group analysis; ANP,</w:t>
      </w:r>
      <w:r w:rsidR="00F81221">
        <w:rPr>
          <w:kern w:val="2"/>
        </w:rPr>
        <w:t xml:space="preserve"> and </w:t>
      </w:r>
      <w:r w:rsidRPr="00586CD8">
        <w:rPr>
          <w:kern w:val="2"/>
        </w:rPr>
        <w:t xml:space="preserve">the stakeholder analysis; then, to provide </w:t>
      </w:r>
      <w:r w:rsidRPr="00586CD8">
        <w:rPr>
          <w:kern w:val="2"/>
        </w:rPr>
        <w:lastRenderedPageBreak/>
        <w:t>reasoning via objective facts for emerging technologies selected at the primary stage using the tools for the objective judgment, such as, bibliometrics analysis</w:t>
      </w:r>
      <w:r w:rsidR="00F81221">
        <w:rPr>
          <w:kern w:val="2"/>
        </w:rPr>
        <w:t xml:space="preserve"> and </w:t>
      </w:r>
      <w:r w:rsidRPr="00586CD8">
        <w:rPr>
          <w:kern w:val="2"/>
        </w:rPr>
        <w:t>patent analysis. The overall framework</w:t>
      </w:r>
      <w:r w:rsidR="00F81221">
        <w:rPr>
          <w:kern w:val="2"/>
        </w:rPr>
        <w:t xml:space="preserve"> and </w:t>
      </w:r>
      <w:r w:rsidRPr="00586CD8">
        <w:rPr>
          <w:kern w:val="2"/>
        </w:rPr>
        <w:t>detailed procedures are illustrated at last.</w:t>
      </w:r>
    </w:p>
    <w:p w:rsidR="00B95188" w:rsidRPr="00586CD8" w:rsidRDefault="00B95188" w:rsidP="00B95188">
      <w:pPr>
        <w:pStyle w:val="a0"/>
        <w:rPr>
          <w:kern w:val="2"/>
        </w:rPr>
      </w:pPr>
      <w:r w:rsidRPr="00586CD8">
        <w:rPr>
          <w:kern w:val="2"/>
        </w:rPr>
        <w:t>Keywords: Analysis, Assessment, Bibliometrics, Emerging Technologies, Evaluation, Forecasting, Framework, Information, Patent, Patent Analysis, Potential, Primary, Procedures, Reasoning, Technologies, Technology, Technology Assessment</w:t>
      </w:r>
    </w:p>
    <w:p w:rsidR="00B95188" w:rsidRPr="00A428C3" w:rsidRDefault="00B95188" w:rsidP="00B95188">
      <w:pPr>
        <w:pStyle w:val="1"/>
      </w:pPr>
      <w:r w:rsidRPr="00A428C3">
        <w:br w:type="page"/>
      </w:r>
      <w:bookmarkStart w:id="1188" w:name="_Toc186647892"/>
      <w:bookmarkStart w:id="1189" w:name="_Toc317161245"/>
      <w:r w:rsidRPr="00A428C3">
        <w:lastRenderedPageBreak/>
        <w:t>Title: 7</w:t>
      </w:r>
      <w:r w:rsidRPr="00A428C3">
        <w:rPr>
          <w:vertAlign w:val="superscript"/>
        </w:rPr>
        <w:t>th</w:t>
      </w:r>
      <w:r w:rsidRPr="00A428C3">
        <w:t xml:space="preserve"> International Conference on Wetland Systems for Water Pollution Control</w:t>
      </w:r>
      <w:bookmarkEnd w:id="1188"/>
      <w:bookmarkEnd w:id="1189"/>
    </w:p>
    <w:p w:rsidR="00B95188" w:rsidRPr="00A428C3" w:rsidRDefault="00B95188" w:rsidP="00B95188">
      <w:pPr>
        <w:pStyle w:val="a0"/>
      </w:pPr>
      <w:r w:rsidRPr="00A428C3">
        <w:t xml:space="preserve">Dierks, S. (2000), Investigation of copper adsorption to peat using the simple metal sorption model. </w:t>
      </w:r>
      <w:r w:rsidRPr="00A428C3">
        <w:rPr>
          <w:i/>
          <w:iCs/>
        </w:rPr>
        <w:t>7</w:t>
      </w:r>
      <w:r w:rsidRPr="00A428C3">
        <w:rPr>
          <w:i/>
          <w:iCs/>
          <w:vertAlign w:val="superscript"/>
        </w:rPr>
        <w:t>th</w:t>
      </w:r>
      <w:r w:rsidRPr="00A428C3">
        <w:rPr>
          <w:i/>
          <w:iCs/>
        </w:rPr>
        <w:t xml:space="preserve"> International Conference on Wetland Systems for Water Pollution Control</w:t>
      </w:r>
      <w:r w:rsidRPr="00A428C3">
        <w:t xml:space="preserve">, </w:t>
      </w:r>
      <w:smartTag w:uri="urn:schemas-microsoft-com:office:smarttags" w:element="place">
        <w:smartTag w:uri="urn:schemas-microsoft-com:office:smarttags" w:element="City">
          <w:r w:rsidRPr="00A428C3">
            <w:t>Lake Buena Vista</w:t>
          </w:r>
        </w:smartTag>
        <w:r w:rsidRPr="00A428C3">
          <w:t xml:space="preserve">, </w:t>
        </w:r>
        <w:smartTag w:uri="urn:schemas-microsoft-com:office:smarttags" w:element="State">
          <w:r w:rsidRPr="00A428C3">
            <w:t>Florida</w:t>
          </w:r>
        </w:smartTag>
        <w:r w:rsidRPr="00A428C3">
          <w:t xml:space="preserve">, </w:t>
        </w:r>
        <w:smartTag w:uri="urn:schemas-microsoft-com:office:smarttags" w:element="country-region">
          <w:r w:rsidRPr="00A428C3">
            <w:t>USA</w:t>
          </w:r>
        </w:smartTag>
      </w:smartTag>
      <w:r w:rsidRPr="00A428C3">
        <w:t>, November 11-16, 2000.</w:t>
      </w:r>
    </w:p>
    <w:p w:rsidR="00B95188" w:rsidRPr="00A428C3" w:rsidRDefault="00B95188" w:rsidP="00B95188">
      <w:pPr>
        <w:pStyle w:val="a0"/>
      </w:pPr>
      <w:r w:rsidRPr="00A428C3">
        <w:t xml:space="preserve">Full Text: </w:t>
      </w:r>
      <w:hyperlink r:id="rId1607" w:history="1">
        <w:r w:rsidRPr="00A428C3">
          <w:rPr>
            <w:rStyle w:val="a5"/>
          </w:rPr>
          <w:t>I\Int Con Wet Sys Wat Pol Con, 1.pdf</w:t>
        </w:r>
      </w:hyperlink>
    </w:p>
    <w:p w:rsidR="00B95188" w:rsidRPr="00A428C3" w:rsidRDefault="00B95188" w:rsidP="00B95188">
      <w:pPr>
        <w:pStyle w:val="1"/>
      </w:pPr>
      <w:r w:rsidRPr="00A428C3">
        <w:br w:type="page"/>
      </w:r>
      <w:bookmarkStart w:id="1190" w:name="_Toc455569480"/>
      <w:bookmarkStart w:id="1191" w:name="_Toc487190726"/>
      <w:bookmarkStart w:id="1192" w:name="_Toc487882231"/>
      <w:bookmarkStart w:id="1193" w:name="_Toc490688055"/>
      <w:bookmarkStart w:id="1194" w:name="_Toc492812168"/>
      <w:bookmarkStart w:id="1195" w:name="_Toc186647893"/>
      <w:bookmarkStart w:id="1196" w:name="_Toc317161246"/>
      <w:r w:rsidRPr="00A428C3">
        <w:lastRenderedPageBreak/>
        <w:t>Title: International Congress on Advances in Nonimpact Printing Technologies ISandT</w:t>
      </w:r>
      <w:r w:rsidR="000352E7">
        <w:t>’</w:t>
      </w:r>
      <w:r w:rsidRPr="00A428C3">
        <w:t>S Eleventh International Congress on Advances in Non-Impact Printing Technologies ISandT Final Program</w:t>
      </w:r>
      <w:r w:rsidR="00F81221">
        <w:t xml:space="preserve"> and </w:t>
      </w:r>
      <w:r w:rsidRPr="00A428C3">
        <w:t>Proceedings</w:t>
      </w:r>
      <w:bookmarkEnd w:id="1190"/>
      <w:bookmarkEnd w:id="1191"/>
      <w:bookmarkEnd w:id="1192"/>
      <w:bookmarkEnd w:id="1193"/>
      <w:bookmarkEnd w:id="1194"/>
      <w:bookmarkEnd w:id="1195"/>
      <w:bookmarkEnd w:id="1196"/>
    </w:p>
    <w:p w:rsidR="00B95188" w:rsidRPr="00A428C3" w:rsidRDefault="00B95188" w:rsidP="00B95188">
      <w:pPr>
        <w:pStyle w:val="a0"/>
      </w:pPr>
      <w:r w:rsidRPr="00A428C3">
        <w:t>? Burberry, M.S., Tutt, L.W.</w:t>
      </w:r>
      <w:r w:rsidR="00F81221">
        <w:t xml:space="preserve"> and </w:t>
      </w:r>
      <w:r w:rsidRPr="00A428C3">
        <w:t>Henzel, R.P. (1995), Laser dye ablation vs laser dye removal. IS</w:t>
      </w:r>
      <w:r w:rsidR="00F81221">
        <w:rPr>
          <w:rFonts w:hint="eastAsia"/>
        </w:rPr>
        <w:t xml:space="preserve"> and </w:t>
      </w:r>
      <w:r w:rsidRPr="00A428C3">
        <w:t>T</w:t>
      </w:r>
      <w:r w:rsidR="000352E7">
        <w:t>’</w:t>
      </w:r>
      <w:r w:rsidRPr="00A428C3">
        <w:t>S Eleventh International Congress on Advances in Non-Impact Printing Technologies IS</w:t>
      </w:r>
      <w:r w:rsidR="00F81221">
        <w:rPr>
          <w:rFonts w:hint="eastAsia"/>
        </w:rPr>
        <w:t xml:space="preserve"> and </w:t>
      </w:r>
      <w:r w:rsidRPr="00A428C3">
        <w:t>T Final Program</w:t>
      </w:r>
      <w:r w:rsidR="00F81221">
        <w:t xml:space="preserve"> and </w:t>
      </w:r>
      <w:r w:rsidRPr="00A428C3">
        <w:t xml:space="preserve">Proceedings, </w:t>
      </w:r>
      <w:r w:rsidRPr="00A428C3">
        <w:rPr>
          <w:b/>
        </w:rPr>
        <w:t>11</w:t>
      </w:r>
      <w:r w:rsidRPr="00A428C3">
        <w:t>, 312-315.</w:t>
      </w:r>
    </w:p>
    <w:p w:rsidR="003652F4" w:rsidRPr="00217FB1" w:rsidRDefault="003652F4" w:rsidP="003652F4">
      <w:pPr>
        <w:pStyle w:val="1"/>
      </w:pPr>
      <w:r>
        <w:br w:type="page"/>
      </w:r>
      <w:bookmarkStart w:id="1197" w:name="_Toc293644248"/>
      <w:bookmarkStart w:id="1198" w:name="_Toc317161247"/>
      <w:r>
        <w:lastRenderedPageBreak/>
        <w:t xml:space="preserve">Title: </w:t>
      </w:r>
      <w:bookmarkEnd w:id="1197"/>
      <w:r w:rsidRPr="003652F4">
        <w:rPr>
          <w:iCs/>
          <w:szCs w:val="24"/>
        </w:rPr>
        <w:t>International Dairy Journal</w:t>
      </w:r>
      <w:bookmarkEnd w:id="1198"/>
    </w:p>
    <w:p w:rsidR="003652F4" w:rsidRPr="00217FB1" w:rsidRDefault="003652F4" w:rsidP="003652F4">
      <w:pPr>
        <w:pStyle w:val="12"/>
      </w:pPr>
      <w:r w:rsidRPr="00217FB1">
        <w:t xml:space="preserve">Full Journal Title: </w:t>
      </w:r>
      <w:r w:rsidRPr="003652F4">
        <w:rPr>
          <w:iCs/>
        </w:rPr>
        <w:t>International Dairy Journal</w:t>
      </w:r>
    </w:p>
    <w:p w:rsidR="003652F4" w:rsidRPr="00217FB1" w:rsidRDefault="003652F4" w:rsidP="003652F4">
      <w:pPr>
        <w:pStyle w:val="12"/>
      </w:pPr>
      <w:r w:rsidRPr="00217FB1">
        <w:t xml:space="preserve">ISO Abbreviated Title: </w:t>
      </w:r>
    </w:p>
    <w:p w:rsidR="003652F4" w:rsidRPr="00217FB1" w:rsidRDefault="003652F4" w:rsidP="003652F4">
      <w:pPr>
        <w:pStyle w:val="12"/>
      </w:pPr>
      <w:r w:rsidRPr="00217FB1">
        <w:t>JCR Abbreviated Title</w:t>
      </w:r>
      <w:r>
        <w:t>:</w:t>
      </w:r>
      <w:r w:rsidRPr="00217FB1">
        <w:t xml:space="preserve"> </w:t>
      </w:r>
    </w:p>
    <w:p w:rsidR="003652F4" w:rsidRPr="00217FB1" w:rsidRDefault="003652F4" w:rsidP="003652F4">
      <w:pPr>
        <w:pStyle w:val="12"/>
      </w:pPr>
      <w:r>
        <w:t xml:space="preserve">ISSN: </w:t>
      </w:r>
    </w:p>
    <w:p w:rsidR="003652F4" w:rsidRPr="00217FB1" w:rsidRDefault="003652F4" w:rsidP="003652F4">
      <w:pPr>
        <w:pStyle w:val="12"/>
      </w:pPr>
      <w:r w:rsidRPr="00217FB1">
        <w:t xml:space="preserve">Issues/Year: </w:t>
      </w:r>
    </w:p>
    <w:p w:rsidR="003652F4" w:rsidRPr="00217FB1" w:rsidRDefault="003652F4" w:rsidP="003652F4">
      <w:pPr>
        <w:pStyle w:val="12"/>
      </w:pPr>
      <w:r>
        <w:t xml:space="preserve">Journal Country/Territory: </w:t>
      </w:r>
    </w:p>
    <w:p w:rsidR="003652F4" w:rsidRPr="00217FB1" w:rsidRDefault="003652F4" w:rsidP="003652F4">
      <w:pPr>
        <w:pStyle w:val="12"/>
      </w:pPr>
      <w:r w:rsidRPr="00217FB1">
        <w:t xml:space="preserve">Language: </w:t>
      </w:r>
    </w:p>
    <w:p w:rsidR="003652F4" w:rsidRPr="00217FB1" w:rsidRDefault="003652F4" w:rsidP="003652F4">
      <w:pPr>
        <w:pStyle w:val="12"/>
      </w:pPr>
      <w:r w:rsidRPr="00217FB1">
        <w:t xml:space="preserve">Publisher: </w:t>
      </w:r>
    </w:p>
    <w:p w:rsidR="003652F4" w:rsidRPr="00217FB1" w:rsidRDefault="003652F4" w:rsidP="003652F4">
      <w:pPr>
        <w:pStyle w:val="12"/>
      </w:pPr>
      <w:r w:rsidRPr="00217FB1">
        <w:t xml:space="preserve">Publisher Address: </w:t>
      </w:r>
    </w:p>
    <w:p w:rsidR="003652F4" w:rsidRPr="00217FB1" w:rsidRDefault="003652F4" w:rsidP="003652F4">
      <w:pPr>
        <w:pStyle w:val="12"/>
      </w:pPr>
      <w:r w:rsidRPr="00217FB1">
        <w:t>Subject Categories:</w:t>
      </w:r>
    </w:p>
    <w:p w:rsidR="003652F4" w:rsidRPr="00217FB1" w:rsidRDefault="003652F4" w:rsidP="003652F4">
      <w:pPr>
        <w:pStyle w:val="12"/>
      </w:pPr>
      <w:r w:rsidRPr="00217FB1">
        <w:t xml:space="preserve">: Impact Factor </w:t>
      </w:r>
    </w:p>
    <w:p w:rsidR="003652F4" w:rsidRDefault="003652F4" w:rsidP="003652F4">
      <w:pPr>
        <w:pStyle w:val="a0"/>
        <w:rPr>
          <w:kern w:val="0"/>
          <w:szCs w:val="24"/>
        </w:rPr>
      </w:pPr>
      <w:r>
        <w:rPr>
          <w:kern w:val="0"/>
          <w:szCs w:val="24"/>
        </w:rPr>
        <w:t>? Jelen, P., Dejmek, P., Everett, D., Kelly, A., Roupas, P., Smith, D.</w:t>
      </w:r>
      <w:r w:rsidR="00F81221">
        <w:rPr>
          <w:kern w:val="0"/>
          <w:szCs w:val="24"/>
        </w:rPr>
        <w:t xml:space="preserve"> and </w:t>
      </w:r>
      <w:r>
        <w:rPr>
          <w:kern w:val="0"/>
          <w:szCs w:val="24"/>
        </w:rPr>
        <w:t xml:space="preserve">Coolbear, T. (2011), The next decade of </w:t>
      </w:r>
      <w:r w:rsidRPr="006D7298">
        <w:rPr>
          <w:i/>
          <w:kern w:val="0"/>
          <w:szCs w:val="24"/>
        </w:rPr>
        <w:t>International Dairy Journal</w:t>
      </w:r>
      <w:r>
        <w:rPr>
          <w:kern w:val="0"/>
          <w:szCs w:val="24"/>
        </w:rPr>
        <w:t xml:space="preserve"> in the electronic age of scientific publishing. </w:t>
      </w:r>
      <w:r w:rsidRPr="003652F4">
        <w:rPr>
          <w:i/>
          <w:iCs/>
          <w:kern w:val="0"/>
          <w:szCs w:val="24"/>
        </w:rPr>
        <w:t>International Dairy Journal</w:t>
      </w:r>
      <w:r>
        <w:rPr>
          <w:kern w:val="0"/>
          <w:szCs w:val="24"/>
        </w:rPr>
        <w:t xml:space="preserve">, </w:t>
      </w:r>
      <w:r>
        <w:rPr>
          <w:b/>
          <w:bCs/>
          <w:kern w:val="0"/>
          <w:szCs w:val="24"/>
        </w:rPr>
        <w:t>21</w:t>
      </w:r>
      <w:r>
        <w:rPr>
          <w:kern w:val="0"/>
          <w:szCs w:val="24"/>
        </w:rPr>
        <w:t xml:space="preserve"> (1), 1-2.</w:t>
      </w:r>
    </w:p>
    <w:p w:rsidR="003652F4" w:rsidRDefault="003652F4" w:rsidP="003652F4">
      <w:pPr>
        <w:pStyle w:val="a0"/>
        <w:rPr>
          <w:kern w:val="0"/>
          <w:szCs w:val="24"/>
        </w:rPr>
      </w:pPr>
      <w:r>
        <w:rPr>
          <w:kern w:val="0"/>
          <w:szCs w:val="24"/>
        </w:rPr>
        <w:t>Keywords: Plagiarism, Publishing</w:t>
      </w:r>
    </w:p>
    <w:p w:rsidR="00B95188" w:rsidRPr="00A428C3" w:rsidRDefault="00B95188" w:rsidP="00B95188">
      <w:pPr>
        <w:pStyle w:val="1"/>
      </w:pPr>
      <w:r w:rsidRPr="00A428C3">
        <w:br w:type="page"/>
      </w:r>
      <w:bookmarkStart w:id="1199" w:name="_Toc487192725"/>
      <w:bookmarkStart w:id="1200" w:name="_Toc489709754"/>
      <w:bookmarkStart w:id="1201" w:name="_Toc490688056"/>
      <w:bookmarkStart w:id="1202" w:name="_Toc492812169"/>
      <w:bookmarkStart w:id="1203" w:name="_Toc186647894"/>
      <w:bookmarkStart w:id="1204" w:name="_Toc317161248"/>
      <w:r w:rsidRPr="00A428C3">
        <w:lastRenderedPageBreak/>
        <w:t>Title: International Dental Journal</w:t>
      </w:r>
      <w:bookmarkEnd w:id="1199"/>
      <w:bookmarkEnd w:id="1200"/>
      <w:bookmarkEnd w:id="1201"/>
      <w:bookmarkEnd w:id="1202"/>
      <w:bookmarkEnd w:id="1203"/>
      <w:bookmarkEnd w:id="1204"/>
    </w:p>
    <w:p w:rsidR="00B95188" w:rsidRPr="00393A9C" w:rsidRDefault="00B95188" w:rsidP="00B72EF9">
      <w:pPr>
        <w:pStyle w:val="12"/>
      </w:pPr>
      <w:r w:rsidRPr="00393A9C">
        <w:t xml:space="preserve">Full Journal Title: </w:t>
      </w:r>
      <w:hyperlink r:id="rId1608" w:history="1">
        <w:r w:rsidRPr="00D52031">
          <w:rPr>
            <w:rStyle w:val="a5"/>
          </w:rPr>
          <w:t>International Dental Journal</w:t>
        </w:r>
      </w:hyperlink>
    </w:p>
    <w:p w:rsidR="00B95188" w:rsidRPr="00393A9C" w:rsidRDefault="00B95188" w:rsidP="00B72EF9">
      <w:pPr>
        <w:pStyle w:val="12"/>
      </w:pPr>
      <w:r w:rsidRPr="00393A9C">
        <w:t>ISO Abbreviated Title: Int. Dent. J.</w:t>
      </w:r>
    </w:p>
    <w:p w:rsidR="00B95188" w:rsidRPr="00393A9C" w:rsidRDefault="00B95188" w:rsidP="00B72EF9">
      <w:pPr>
        <w:pStyle w:val="12"/>
      </w:pPr>
      <w:r w:rsidRPr="00393A9C">
        <w:t>JCR Abbreviated Title: Int Dent J</w:t>
      </w:r>
    </w:p>
    <w:p w:rsidR="00B95188" w:rsidRPr="00393A9C" w:rsidRDefault="00B95188" w:rsidP="00B72EF9">
      <w:pPr>
        <w:pStyle w:val="12"/>
      </w:pPr>
      <w:r w:rsidRPr="00393A9C">
        <w:t>ISSN: 0020-6539</w:t>
      </w:r>
    </w:p>
    <w:p w:rsidR="00B95188" w:rsidRPr="00393A9C" w:rsidRDefault="00B95188" w:rsidP="00B72EF9">
      <w:pPr>
        <w:pStyle w:val="12"/>
      </w:pPr>
      <w:r w:rsidRPr="00393A9C">
        <w:t>Issues/Year: 6</w:t>
      </w:r>
    </w:p>
    <w:p w:rsidR="00B95188" w:rsidRPr="00393A9C" w:rsidRDefault="00B95188" w:rsidP="00B72EF9">
      <w:pPr>
        <w:pStyle w:val="12"/>
      </w:pPr>
      <w:r w:rsidRPr="00393A9C">
        <w:t>Journal Country/Territory: England</w:t>
      </w:r>
    </w:p>
    <w:p w:rsidR="00B95188" w:rsidRPr="00393A9C" w:rsidRDefault="00B95188" w:rsidP="00B72EF9">
      <w:pPr>
        <w:pStyle w:val="12"/>
      </w:pPr>
      <w:r w:rsidRPr="00393A9C">
        <w:t>Language: English</w:t>
      </w:r>
    </w:p>
    <w:p w:rsidR="00B95188" w:rsidRPr="00393A9C" w:rsidRDefault="00B95188" w:rsidP="00B72EF9">
      <w:pPr>
        <w:pStyle w:val="12"/>
      </w:pPr>
      <w:r w:rsidRPr="00393A9C">
        <w:t>Publisher: F D I World Dental Press Ltd</w:t>
      </w:r>
    </w:p>
    <w:p w:rsidR="00B95188" w:rsidRPr="00393A9C" w:rsidRDefault="00B95188" w:rsidP="00B72EF9">
      <w:pPr>
        <w:pStyle w:val="12"/>
      </w:pPr>
      <w:r w:rsidRPr="00393A9C">
        <w:t>Publisher Address: 7 Carlisle St, London W1V 5RG, England</w:t>
      </w:r>
    </w:p>
    <w:p w:rsidR="00B95188" w:rsidRPr="00393A9C" w:rsidRDefault="00B95188" w:rsidP="00B72EF9">
      <w:pPr>
        <w:pStyle w:val="12"/>
      </w:pPr>
      <w:r w:rsidRPr="00393A9C">
        <w:t>Subject Categories:</w:t>
      </w:r>
    </w:p>
    <w:p w:rsidR="00B95188" w:rsidRPr="00393A9C" w:rsidRDefault="00B95188" w:rsidP="00B72EF9">
      <w:pPr>
        <w:pStyle w:val="12"/>
      </w:pPr>
      <w:r w:rsidRPr="00393A9C">
        <w:t>Dentistry, Oral Surgery &amp; Medicine: Impact Factor 0.713, / (2001)</w:t>
      </w:r>
    </w:p>
    <w:p w:rsidR="00B95188" w:rsidRPr="00393A9C" w:rsidRDefault="00B95188" w:rsidP="00B72EF9">
      <w:pPr>
        <w:pStyle w:val="12"/>
      </w:pPr>
      <w:r w:rsidRPr="00393A9C">
        <w:t>Dentistry, Oral Surgery &amp; Medicine: Impact Factor 0.713, / (2001)</w:t>
      </w:r>
    </w:p>
    <w:p w:rsidR="00B95188" w:rsidRPr="00A428C3" w:rsidRDefault="00B95188" w:rsidP="00B95188">
      <w:pPr>
        <w:pStyle w:val="a0"/>
      </w:pPr>
      <w:r w:rsidRPr="00A428C3">
        <w:t>? Pankhurst, C.L., Johnson, N.W.</w:t>
      </w:r>
      <w:r w:rsidR="00F81221">
        <w:t xml:space="preserve"> and </w:t>
      </w:r>
      <w:r w:rsidRPr="00A428C3">
        <w:t xml:space="preserve">Woods, R.G. (1998), Microbial contamination of dental unit waterlines: The scientific argument. </w:t>
      </w:r>
      <w:r w:rsidRPr="00A428C3">
        <w:rPr>
          <w:i/>
          <w:iCs/>
        </w:rPr>
        <w:t>International Dental Journal</w:t>
      </w:r>
      <w:r w:rsidRPr="00A428C3">
        <w:t xml:space="preserve">, </w:t>
      </w:r>
      <w:r w:rsidRPr="00A428C3">
        <w:rPr>
          <w:b/>
        </w:rPr>
        <w:t>48</w:t>
      </w:r>
      <w:r w:rsidRPr="00A428C3">
        <w:t xml:space="preserve"> (4), 359-368.</w:t>
      </w:r>
    </w:p>
    <w:p w:rsidR="00D52031" w:rsidRDefault="00D52031" w:rsidP="00D52031">
      <w:pPr>
        <w:pStyle w:val="a0"/>
        <w:rPr>
          <w:kern w:val="0"/>
        </w:rPr>
      </w:pPr>
      <w:r>
        <w:rPr>
          <w:rFonts w:hint="eastAsia"/>
          <w:kern w:val="0"/>
        </w:rPr>
        <w:t xml:space="preserve">Full Text: </w:t>
      </w:r>
      <w:hyperlink r:id="rId1609" w:history="1">
        <w:r w:rsidRPr="00D52031">
          <w:rPr>
            <w:rStyle w:val="a5"/>
            <w:kern w:val="0"/>
          </w:rPr>
          <w:t>1998\Int Den J48, 359.pdf</w:t>
        </w:r>
      </w:hyperlink>
    </w:p>
    <w:p w:rsidR="00B95188" w:rsidRPr="00A428C3" w:rsidRDefault="00B95188" w:rsidP="00B95188">
      <w:pPr>
        <w:pStyle w:val="a0"/>
      </w:pPr>
      <w:r w:rsidRPr="00A428C3">
        <w:t>Abstract: The quality of dental unit water is of considerable importance since patients</w:t>
      </w:r>
      <w:r w:rsidR="00F81221">
        <w:t xml:space="preserve"> and </w:t>
      </w:r>
      <w:r w:rsidRPr="00A428C3">
        <w:t>dental staff are regularly exposed to water</w:t>
      </w:r>
      <w:r w:rsidR="00F81221">
        <w:t xml:space="preserve"> and </w:t>
      </w:r>
      <w:r w:rsidRPr="00A428C3">
        <w:t>aerosols generated from the dental unit. The unique feature of dental chair water lines is the capacity for rapid development of a biofilm on the dental water supply lines combined with the generation of potentially contaminated aerosols. The biofilm, which is derived from bacteria in the incoming water</w:t>
      </w:r>
      <w:r w:rsidR="00F81221">
        <w:t xml:space="preserve"> and </w:t>
      </w:r>
      <w:r w:rsidRPr="00A428C3">
        <w:t xml:space="preserve">is intrinsically resistant to most biocides, then becomes the primary reservoir for continued contamination of the system. Dental water may become heavily contaminated with opportunistic respiratory pathogens such as </w:t>
      </w:r>
      <w:r w:rsidRPr="00A428C3">
        <w:rPr>
          <w:i/>
          <w:iCs/>
        </w:rPr>
        <w:t>Legionella</w:t>
      </w:r>
      <w:r w:rsidR="00F81221">
        <w:t xml:space="preserve"> and </w:t>
      </w:r>
      <w:r w:rsidRPr="00A428C3">
        <w:t>Mycobacterium s The significance of such exposure to patients</w:t>
      </w:r>
      <w:r w:rsidR="00F81221">
        <w:t xml:space="preserve"> and </w:t>
      </w:r>
      <w:r w:rsidRPr="00A428C3">
        <w:t>the dental team is discussed. There is at the present time, no evidence of a widespread public health problem from exposure to dental unit water. Nevertheless, the goal of infection control is to minimise the risk from exposure to potential pathogens</w:t>
      </w:r>
      <w:r w:rsidR="00F81221">
        <w:t xml:space="preserve"> and </w:t>
      </w:r>
      <w:r w:rsidRPr="00A428C3">
        <w:t>to create a safe working environment in which to treat patients. This paper evaluates the range of currently available infection control methods</w:t>
      </w:r>
      <w:r w:rsidR="00F81221">
        <w:t xml:space="preserve"> and </w:t>
      </w:r>
      <w:r w:rsidRPr="00A428C3">
        <w:t>prevention strategies which are designed to reduce the impact of the biofilm on dental water contamination,</w:t>
      </w:r>
      <w:r w:rsidR="00F81221">
        <w:t xml:space="preserve"> and </w:t>
      </w:r>
      <w:r w:rsidRPr="00A428C3">
        <w:t>are suitable for use in general practice. Bacterial load in dental unit water can be kept at or below recommended guidelines for drinking water (less than 200 colony forming units/ml) using a combination of readily available measures</w:t>
      </w:r>
      <w:r w:rsidR="00F81221">
        <w:t xml:space="preserve"> and </w:t>
      </w:r>
      <w:r w:rsidRPr="00A428C3">
        <w:t>strict adherence to maintenance protocols. Sterile water should be employed for all surgical treatments.</w:t>
      </w:r>
    </w:p>
    <w:p w:rsidR="00393A9C" w:rsidRDefault="00393A9C" w:rsidP="00393A9C">
      <w:pPr>
        <w:pStyle w:val="a0"/>
        <w:rPr>
          <w:kern w:val="0"/>
        </w:rPr>
      </w:pPr>
      <w:r>
        <w:rPr>
          <w:rFonts w:hint="eastAsia"/>
          <w:kern w:val="0"/>
        </w:rPr>
        <w:lastRenderedPageBreak/>
        <w:t xml:space="preserve">? </w:t>
      </w:r>
      <w:r>
        <w:rPr>
          <w:kern w:val="0"/>
        </w:rPr>
        <w:t>Assari, S.</w:t>
      </w:r>
      <w:r w:rsidR="00F81221">
        <w:rPr>
          <w:kern w:val="0"/>
        </w:rPr>
        <w:t xml:space="preserve"> and </w:t>
      </w:r>
      <w:r>
        <w:rPr>
          <w:kern w:val="0"/>
        </w:rPr>
        <w:t xml:space="preserve">Ahmadyar, M. (2009), Dental research in Iran: </w:t>
      </w:r>
      <w:r>
        <w:rPr>
          <w:rFonts w:hint="eastAsia"/>
          <w:kern w:val="0"/>
        </w:rPr>
        <w:t>A</w:t>
      </w:r>
      <w:r>
        <w:rPr>
          <w:kern w:val="0"/>
        </w:rPr>
        <w:t xml:space="preserve"> bibliometric analysis of electronically available literature. </w:t>
      </w:r>
      <w:r>
        <w:rPr>
          <w:i/>
          <w:iCs/>
          <w:kern w:val="0"/>
        </w:rPr>
        <w:t>International Dental Journal</w:t>
      </w:r>
      <w:r>
        <w:rPr>
          <w:kern w:val="0"/>
        </w:rPr>
        <w:t xml:space="preserve">, </w:t>
      </w:r>
      <w:r>
        <w:rPr>
          <w:b/>
          <w:bCs/>
          <w:kern w:val="0"/>
        </w:rPr>
        <w:t>59</w:t>
      </w:r>
      <w:r>
        <w:rPr>
          <w:kern w:val="0"/>
        </w:rPr>
        <w:t xml:space="preserve"> (4), 210-214.</w:t>
      </w:r>
    </w:p>
    <w:p w:rsidR="00D52031" w:rsidRDefault="00D52031" w:rsidP="00393A9C">
      <w:pPr>
        <w:pStyle w:val="a0"/>
        <w:rPr>
          <w:kern w:val="0"/>
        </w:rPr>
      </w:pPr>
      <w:r>
        <w:rPr>
          <w:rFonts w:hint="eastAsia"/>
          <w:kern w:val="0"/>
        </w:rPr>
        <w:t xml:space="preserve">Full Text: </w:t>
      </w:r>
      <w:hyperlink r:id="rId1610" w:history="1">
        <w:r w:rsidRPr="00D52031">
          <w:rPr>
            <w:rStyle w:val="a5"/>
            <w:kern w:val="0"/>
          </w:rPr>
          <w:t>2009\Int Den J59, 210.pdf</w:t>
        </w:r>
      </w:hyperlink>
    </w:p>
    <w:p w:rsidR="00393A9C" w:rsidRDefault="00393A9C" w:rsidP="00393A9C">
      <w:pPr>
        <w:pStyle w:val="a0"/>
        <w:rPr>
          <w:kern w:val="0"/>
        </w:rPr>
      </w:pPr>
      <w:r>
        <w:rPr>
          <w:kern w:val="0"/>
        </w:rPr>
        <w:t>Abstract: Purpose: To carry out a bibliometric analysis of all electronically available dental literature in Iran from 1983 to 2006, in order to study availability</w:t>
      </w:r>
      <w:r w:rsidR="00F81221">
        <w:rPr>
          <w:kern w:val="0"/>
        </w:rPr>
        <w:t xml:space="preserve"> and </w:t>
      </w:r>
      <w:r>
        <w:rPr>
          <w:kern w:val="0"/>
        </w:rPr>
        <w:t>examine trends. Materials</w:t>
      </w:r>
      <w:r w:rsidR="00F81221">
        <w:rPr>
          <w:kern w:val="0"/>
        </w:rPr>
        <w:t xml:space="preserve"> and </w:t>
      </w:r>
      <w:r>
        <w:rPr>
          <w:kern w:val="0"/>
        </w:rPr>
        <w:t>Methods: Accessing all electronically available Iranian dental articles published in domestic journals,</w:t>
      </w:r>
      <w:r w:rsidR="00F81221">
        <w:rPr>
          <w:kern w:val="0"/>
        </w:rPr>
        <w:t xml:space="preserve"> and </w:t>
      </w:r>
      <w:r>
        <w:rPr>
          <w:kern w:val="0"/>
        </w:rPr>
        <w:t>comparing the results with Iranian dental articles published in Pubmed. The following data were collected from each article: name of journal, year of publication, number of authors, gender of corresponding author, academic levels of authors, main language of article, language of abstract, study environment, population studied, field of dentistry, type of article, design strategy, design of study,</w:t>
      </w:r>
      <w:r w:rsidR="00F81221">
        <w:rPr>
          <w:kern w:val="0"/>
        </w:rPr>
        <w:t xml:space="preserve"> and </w:t>
      </w:r>
      <w:r>
        <w:rPr>
          <w:kern w:val="0"/>
        </w:rPr>
        <w:t>analysis design. Results: In terms of publications in domestic journals, a total of 1,994 dental articles were electronically available, published in six different dental journals in Iran. Majority of articles, 84.5%, were original studies. In terms of design strategy, 49.7% of studies were cross-sectional, 35.5% were prospective,</w:t>
      </w:r>
      <w:r w:rsidR="00F81221">
        <w:rPr>
          <w:kern w:val="0"/>
        </w:rPr>
        <w:t xml:space="preserve"> and </w:t>
      </w:r>
      <w:r>
        <w:rPr>
          <w:kern w:val="0"/>
        </w:rPr>
        <w:t>14.8% were retrospective studies. The main language of 99.3% of articles was Farsi,</w:t>
      </w:r>
      <w:r w:rsidR="00F81221">
        <w:rPr>
          <w:kern w:val="0"/>
        </w:rPr>
        <w:t xml:space="preserve"> and </w:t>
      </w:r>
      <w:r>
        <w:rPr>
          <w:kern w:val="0"/>
        </w:rPr>
        <w:t>0.7% was English. Majority of articles, 38.7%, were written by two authors. Gender of corresponding author in 66.7% of articles was male,</w:t>
      </w:r>
      <w:r w:rsidR="00F81221">
        <w:rPr>
          <w:kern w:val="0"/>
        </w:rPr>
        <w:t xml:space="preserve"> and </w:t>
      </w:r>
      <w:r>
        <w:rPr>
          <w:kern w:val="0"/>
        </w:rPr>
        <w:t>in 33.3% of articles was female. There was an increasing trend in percentage of original studies, clinical trials</w:t>
      </w:r>
      <w:r w:rsidR="00F81221">
        <w:rPr>
          <w:kern w:val="0"/>
        </w:rPr>
        <w:t xml:space="preserve"> and </w:t>
      </w:r>
      <w:r>
        <w:rPr>
          <w:kern w:val="0"/>
        </w:rPr>
        <w:t>female corresponding authors. In terms of publications in Pubmed, a total of 75 dental articles from Iran were electronically available. Significant differences were revealed in terms of number of authors, study types</w:t>
      </w:r>
      <w:r w:rsidR="00F81221">
        <w:rPr>
          <w:kern w:val="0"/>
        </w:rPr>
        <w:t xml:space="preserve"> and </w:t>
      </w:r>
      <w:r>
        <w:rPr>
          <w:kern w:val="0"/>
        </w:rPr>
        <w:t>design strategies when compared to publications in domestic journals. Conclusion: A number of encouraging trends were identified, which is a reflection of improvements in quality of domestic electronic dental literature. However, as the majority of articles are written in Farsi, availability of research evidence to the international community is limited. Overall, results of this study indicate the need for future bibliometric analyses which can be used to construct a comprehensive database that will assist in evidence-based clinical decision making.</w:t>
      </w:r>
    </w:p>
    <w:p w:rsidR="00393A9C" w:rsidRDefault="00393A9C" w:rsidP="00393A9C">
      <w:pPr>
        <w:pStyle w:val="a0"/>
        <w:rPr>
          <w:kern w:val="0"/>
        </w:rPr>
      </w:pPr>
      <w:r>
        <w:rPr>
          <w:kern w:val="0"/>
        </w:rPr>
        <w:t>Keywords: Academic, Bibliometric, Bibliometric Analysis, Database, Dental Literature, Iran, Medline, Paper, Publications, Quality, Read, Research, Research Papers, Trends</w:t>
      </w:r>
    </w:p>
    <w:p w:rsidR="00C82CAD" w:rsidRDefault="00C82CAD" w:rsidP="00C82CAD">
      <w:pPr>
        <w:pStyle w:val="a0"/>
        <w:rPr>
          <w:kern w:val="0"/>
        </w:rPr>
      </w:pPr>
      <w:r>
        <w:rPr>
          <w:rFonts w:hint="eastAsia"/>
          <w:kern w:val="0"/>
        </w:rPr>
        <w:t xml:space="preserve">? </w:t>
      </w:r>
      <w:r>
        <w:rPr>
          <w:kern w:val="0"/>
        </w:rPr>
        <w:t xml:space="preserve">Long, H., Liao, Z.Y., Wang, Y., Liao, L.N. and Lai, W.L. (2012), Efficacy of botulinum toxins on bruxism: An evidence-based review. </w:t>
      </w:r>
      <w:r>
        <w:rPr>
          <w:i/>
          <w:iCs/>
          <w:kern w:val="0"/>
        </w:rPr>
        <w:t>International Dental Journal</w:t>
      </w:r>
      <w:r>
        <w:rPr>
          <w:kern w:val="0"/>
        </w:rPr>
        <w:t xml:space="preserve">, </w:t>
      </w:r>
      <w:r>
        <w:rPr>
          <w:b/>
          <w:bCs/>
          <w:kern w:val="0"/>
        </w:rPr>
        <w:t>62</w:t>
      </w:r>
      <w:r>
        <w:rPr>
          <w:kern w:val="0"/>
        </w:rPr>
        <w:t xml:space="preserve"> (1), 1-5.</w:t>
      </w:r>
    </w:p>
    <w:p w:rsidR="00C82CAD" w:rsidRPr="001A3D2B" w:rsidRDefault="00C82CAD" w:rsidP="00C82CAD">
      <w:pPr>
        <w:pStyle w:val="a0"/>
        <w:rPr>
          <w:kern w:val="0"/>
        </w:rPr>
      </w:pPr>
      <w:r w:rsidRPr="001A3D2B">
        <w:rPr>
          <w:kern w:val="0"/>
        </w:rPr>
        <w:t xml:space="preserve">Full Text: </w:t>
      </w:r>
      <w:r>
        <w:rPr>
          <w:kern w:val="0"/>
        </w:rPr>
        <w:t>20</w:t>
      </w:r>
      <w:r>
        <w:rPr>
          <w:rFonts w:hint="eastAsia"/>
          <w:kern w:val="0"/>
        </w:rPr>
        <w:t>12</w:t>
      </w:r>
      <w:r>
        <w:rPr>
          <w:kern w:val="0"/>
        </w:rPr>
        <w:t>\Int Den J</w:t>
      </w:r>
      <w:r>
        <w:rPr>
          <w:rFonts w:hint="eastAsia"/>
          <w:kern w:val="0"/>
        </w:rPr>
        <w:t>62</w:t>
      </w:r>
      <w:r>
        <w:rPr>
          <w:kern w:val="0"/>
        </w:rPr>
        <w:t xml:space="preserve">, </w:t>
      </w:r>
      <w:r>
        <w:rPr>
          <w:rFonts w:hint="eastAsia"/>
          <w:kern w:val="0"/>
        </w:rPr>
        <w:t>1</w:t>
      </w:r>
      <w:r w:rsidRPr="001C12F3">
        <w:rPr>
          <w:kern w:val="0"/>
        </w:rPr>
        <w:t>.pdf</w:t>
      </w:r>
    </w:p>
    <w:p w:rsidR="00C82CAD" w:rsidRDefault="00C82CAD" w:rsidP="00C82CAD">
      <w:pPr>
        <w:pStyle w:val="a0"/>
        <w:rPr>
          <w:kern w:val="0"/>
        </w:rPr>
      </w:pPr>
      <w:r>
        <w:rPr>
          <w:kern w:val="0"/>
        </w:rPr>
        <w:t xml:space="preserve">Abstract: The objective of this study was to assess the efficacy of botulinum toxins on bruxism. Electronic databases (PubMed, Embase and Science Citation Index), websites (Cochrane Central Register of Controlled Trials and ClinicalTrials.gov) and the literature database of SIGLE (System for Information on Grey Literature in </w:t>
      </w:r>
      <w:r>
        <w:rPr>
          <w:kern w:val="0"/>
        </w:rPr>
        <w:lastRenderedPageBreak/>
        <w:t>Europe) were searched from January 1990 to April 2011 for randomised controlled trials or nonrandomised studies assessing the efficacy of botulinum toxins on bruxism. There was no language restriction. Through a predefined search strategy, we retrieved 28 studies from PubMed, 94 from Embase, 60 from the Science Citation Index, two ongoing clinical trials and two from the Cochrane Central Register of Controlled Trials. Of these, only four studies met our inclusion criteria and were finally included. Of the four included studies, two were randomised controlled trials and two were controlled before-and-after studies. These studies showed that botulinum toxin injections can reduce the frequency of bruxism events, decrease bruxism-induced pain levels and satisfy patients self-assessment with regard to the effectiveness of botulinum toxins on bruxism. In comparison with oral splint, botulinum toxins are equally effective on bruxism. Furthermore, botulinum toxin injections at a dosage of &lt;100 U are safe for otherwise healthy patients. Botulinum toxin injections are effective on bruxism and are safe to use. Therefore, they can be used clinically for otherwise healthy patients with bruxism.</w:t>
      </w:r>
    </w:p>
    <w:p w:rsidR="00C82CAD" w:rsidRDefault="00C82CAD" w:rsidP="00C82CAD">
      <w:pPr>
        <w:pStyle w:val="a0"/>
        <w:rPr>
          <w:kern w:val="0"/>
        </w:rPr>
      </w:pPr>
      <w:r>
        <w:rPr>
          <w:kern w:val="0"/>
        </w:rPr>
        <w:t>Keywords: Author, Botulinum Toxins, Bruxism, China, Citation, Clinical Trials, Cochrane, Databases, Effectiveness, Efficacy, Europe, Frequency, Literature, Nocturnal Bruxism, Oral, Pain, Patients, Pubmed, Review, Science, Science Citation Index, Sleep Bruxism, Strategy, Systematic Review, Tooth Clenching, Tooth Grinding, Websites</w:t>
      </w:r>
    </w:p>
    <w:p w:rsidR="00F709D3" w:rsidRPr="00A428C3" w:rsidRDefault="00F709D3" w:rsidP="00F709D3">
      <w:pPr>
        <w:pStyle w:val="1"/>
      </w:pPr>
      <w:r w:rsidRPr="00A428C3">
        <w:br w:type="page"/>
      </w:r>
      <w:bookmarkStart w:id="1205" w:name="_Toc317161249"/>
      <w:r w:rsidRPr="00A428C3">
        <w:lastRenderedPageBreak/>
        <w:t xml:space="preserve">Title: </w:t>
      </w:r>
      <w:r w:rsidRPr="00F709D3">
        <w:rPr>
          <w:iCs/>
        </w:rPr>
        <w:t>International Endodontic Journal</w:t>
      </w:r>
      <w:bookmarkEnd w:id="1205"/>
    </w:p>
    <w:p w:rsidR="00F709D3" w:rsidRDefault="00F709D3" w:rsidP="00F709D3">
      <w:pPr>
        <w:pStyle w:val="12"/>
      </w:pPr>
      <w:r w:rsidRPr="00A428C3">
        <w:t xml:space="preserve">Full Journal Title: </w:t>
      </w:r>
      <w:r w:rsidRPr="00F709D3">
        <w:rPr>
          <w:iCs/>
        </w:rPr>
        <w:t>International Endodontic Journal</w:t>
      </w:r>
    </w:p>
    <w:p w:rsidR="00F709D3" w:rsidRPr="00A428C3" w:rsidRDefault="00F709D3" w:rsidP="00F709D3">
      <w:pPr>
        <w:pStyle w:val="12"/>
      </w:pPr>
      <w:r w:rsidRPr="00A428C3">
        <w:t xml:space="preserve">ISO Abbreviated Title: </w:t>
      </w:r>
    </w:p>
    <w:p w:rsidR="00F709D3" w:rsidRPr="00A428C3" w:rsidRDefault="00F709D3" w:rsidP="00F709D3">
      <w:pPr>
        <w:pStyle w:val="12"/>
      </w:pPr>
      <w:r w:rsidRPr="00A428C3">
        <w:t xml:space="preserve">JCR Abbreviated Title: </w:t>
      </w:r>
    </w:p>
    <w:p w:rsidR="00F709D3" w:rsidRPr="00A428C3" w:rsidRDefault="00F709D3" w:rsidP="00F709D3">
      <w:pPr>
        <w:pStyle w:val="12"/>
      </w:pPr>
      <w:r>
        <w:t xml:space="preserve">ISSN: </w:t>
      </w:r>
    </w:p>
    <w:p w:rsidR="00F709D3" w:rsidRPr="00A428C3" w:rsidRDefault="00F709D3" w:rsidP="00F709D3">
      <w:pPr>
        <w:pStyle w:val="12"/>
      </w:pPr>
      <w:r w:rsidRPr="00A428C3">
        <w:t xml:space="preserve">Issues/Year: </w:t>
      </w:r>
    </w:p>
    <w:p w:rsidR="00F709D3" w:rsidRPr="00A428C3" w:rsidRDefault="00F709D3" w:rsidP="00F709D3">
      <w:pPr>
        <w:pStyle w:val="12"/>
      </w:pPr>
      <w:r w:rsidRPr="00A428C3">
        <w:t xml:space="preserve">Journal Country/Territory: </w:t>
      </w:r>
    </w:p>
    <w:p w:rsidR="00F709D3" w:rsidRPr="00A428C3" w:rsidRDefault="00F709D3" w:rsidP="00F709D3">
      <w:pPr>
        <w:pStyle w:val="12"/>
      </w:pPr>
      <w:r w:rsidRPr="00A428C3">
        <w:t xml:space="preserve">Language: </w:t>
      </w:r>
    </w:p>
    <w:p w:rsidR="00F709D3" w:rsidRPr="00A428C3" w:rsidRDefault="00F709D3" w:rsidP="00F709D3">
      <w:pPr>
        <w:pStyle w:val="12"/>
      </w:pPr>
      <w:r w:rsidRPr="00A428C3">
        <w:t xml:space="preserve">Publisher: </w:t>
      </w:r>
    </w:p>
    <w:p w:rsidR="00F709D3" w:rsidRPr="00A428C3" w:rsidRDefault="00F709D3" w:rsidP="00F709D3">
      <w:pPr>
        <w:pStyle w:val="12"/>
      </w:pPr>
      <w:r w:rsidRPr="00A428C3">
        <w:t xml:space="preserve">Publisher Address: </w:t>
      </w:r>
    </w:p>
    <w:p w:rsidR="00F709D3" w:rsidRPr="00A428C3" w:rsidRDefault="00F709D3" w:rsidP="00F709D3">
      <w:pPr>
        <w:pStyle w:val="12"/>
      </w:pPr>
      <w:r w:rsidRPr="00A428C3">
        <w:t>Subject Categories:</w:t>
      </w:r>
    </w:p>
    <w:p w:rsidR="00F709D3" w:rsidRPr="00A428C3" w:rsidRDefault="00F709D3" w:rsidP="00F709D3">
      <w:pPr>
        <w:pStyle w:val="12"/>
      </w:pPr>
      <w:r w:rsidRPr="00A428C3">
        <w:t xml:space="preserve">: Impact Factor </w:t>
      </w:r>
    </w:p>
    <w:p w:rsidR="00F709D3" w:rsidRDefault="00F709D3" w:rsidP="00F709D3">
      <w:pPr>
        <w:pStyle w:val="a0"/>
        <w:rPr>
          <w:kern w:val="0"/>
        </w:rPr>
      </w:pPr>
      <w:r>
        <w:rPr>
          <w:kern w:val="0"/>
        </w:rPr>
        <w:t>? Rechenberg, D.K., De-Deus, G.</w:t>
      </w:r>
      <w:r w:rsidR="00F81221">
        <w:rPr>
          <w:kern w:val="0"/>
        </w:rPr>
        <w:t xml:space="preserve"> and </w:t>
      </w:r>
      <w:r>
        <w:rPr>
          <w:kern w:val="0"/>
        </w:rPr>
        <w:t xml:space="preserve">Zehnder, M. (2011), Potential systematic error in laboratory experiments on microbial leakage through filled root canals: Review of published articles. </w:t>
      </w:r>
      <w:r w:rsidRPr="00F709D3">
        <w:rPr>
          <w:i/>
          <w:iCs/>
          <w:kern w:val="0"/>
        </w:rPr>
        <w:t>International Endodontic Journal</w:t>
      </w:r>
      <w:r>
        <w:rPr>
          <w:kern w:val="0"/>
        </w:rPr>
        <w:t xml:space="preserve">, </w:t>
      </w:r>
      <w:r>
        <w:rPr>
          <w:b/>
          <w:bCs/>
          <w:kern w:val="0"/>
        </w:rPr>
        <w:t>44</w:t>
      </w:r>
      <w:r>
        <w:rPr>
          <w:kern w:val="0"/>
        </w:rPr>
        <w:t xml:space="preserve"> (3), 183-194.</w:t>
      </w:r>
    </w:p>
    <w:p w:rsidR="00F709D3" w:rsidRDefault="00F709D3" w:rsidP="00F709D3">
      <w:pPr>
        <w:pStyle w:val="a0"/>
        <w:rPr>
          <w:kern w:val="0"/>
        </w:rPr>
      </w:pPr>
      <w:r>
        <w:rPr>
          <w:kern w:val="0"/>
        </w:rPr>
        <w:t>Abstract: P&gt;Aim To systematically evaluate whether published studies on microbial leakage through filled root canals in human teeth embedded in a two-chamber system were properly controlled. Specifically, the control for the assumption that leakage should occur through the root canal rather than other routes was investigated. Methodology A systematic search was conducted using MEDLINE, Biosis, Cochrane, EMBASE,</w:t>
      </w:r>
      <w:r w:rsidR="00F81221">
        <w:rPr>
          <w:kern w:val="0"/>
        </w:rPr>
        <w:t xml:space="preserve"> and </w:t>
      </w:r>
      <w:r>
        <w:rPr>
          <w:kern w:val="0"/>
        </w:rPr>
        <w:t>Web of Science databases. In addition, the reference lists of review articles pertaining to the topic were searched. No language restriction was applied. Two independent reviewers screened titles</w:t>
      </w:r>
      <w:r w:rsidR="00F81221">
        <w:rPr>
          <w:kern w:val="0"/>
        </w:rPr>
        <w:t xml:space="preserve"> and </w:t>
      </w:r>
      <w:r>
        <w:rPr>
          <w:kern w:val="0"/>
        </w:rPr>
        <w:t>abstracts. All articles deemed appropriate by either reviewer were included in the full-text evaluation. In case of disagreement, a referee arbitrated between the reviewers. Results With 93.8% agreement prior to discussion</w:t>
      </w:r>
      <w:r w:rsidR="00F81221">
        <w:rPr>
          <w:kern w:val="0"/>
        </w:rPr>
        <w:t xml:space="preserve"> and </w:t>
      </w:r>
      <w:r>
        <w:rPr>
          <w:kern w:val="0"/>
        </w:rPr>
        <w:t>arbitration, 67 articles were included. On average, the size of the negative control group was 30% (mean) of the n in the experimental groups (minimum = 0.0%, maximum = 100%, SD = 27%). The majority of studies (57 of 67) used inadequate negative controls. The whole root was covered with the sealing material in these specimens, whilst the root tip was left uncovered in the experimental groups. Consequently, leakage between outer root surface</w:t>
      </w:r>
      <w:r w:rsidR="00F81221">
        <w:rPr>
          <w:kern w:val="0"/>
        </w:rPr>
        <w:t xml:space="preserve"> and </w:t>
      </w:r>
      <w:r>
        <w:rPr>
          <w:kern w:val="0"/>
        </w:rPr>
        <w:t>sealing material was not controlled for. The authors of the remaining 10 communications did not state clearly how negative control assessments were performed. Conclusions Experimental investigations should be performed to assess the routes of microbial leakage in two-chamber models.</w:t>
      </w:r>
    </w:p>
    <w:p w:rsidR="00F709D3" w:rsidRDefault="00F709D3" w:rsidP="00F709D3">
      <w:pPr>
        <w:pStyle w:val="a0"/>
        <w:rPr>
          <w:kern w:val="0"/>
        </w:rPr>
      </w:pPr>
      <w:r>
        <w:rPr>
          <w:kern w:val="0"/>
        </w:rPr>
        <w:t xml:space="preserve">Keywords: Authors, Bacteria, Cochrane, Control, Coronal Bacterial Leakage, Databases, Endodontically Treated Teeth, Evaluation, Filling Material, Gutta-Percha, Human, </w:t>
      </w:r>
      <w:r>
        <w:rPr>
          <w:kern w:val="0"/>
        </w:rPr>
        <w:lastRenderedPageBreak/>
        <w:t>Human Saliva Penetration, In-Vitro Evaluation, Leakage, Long-Term Storage, Methodology, Oval-Shaped Canals, Post-Space Preparation, Review, Root Canal, Science, Sealing Ability, Systematic, Web of Science</w:t>
      </w:r>
    </w:p>
    <w:p w:rsidR="00DF66B7" w:rsidRPr="00A428C3" w:rsidRDefault="00DF66B7" w:rsidP="00DF66B7">
      <w:pPr>
        <w:pStyle w:val="1"/>
      </w:pPr>
      <w:r w:rsidRPr="00A428C3">
        <w:br w:type="page"/>
      </w:r>
      <w:bookmarkStart w:id="1206" w:name="_Toc317161250"/>
      <w:r w:rsidRPr="00A428C3">
        <w:lastRenderedPageBreak/>
        <w:t xml:space="preserve">Title: </w:t>
      </w:r>
      <w:r w:rsidRPr="00DF66B7">
        <w:t>International Food Research Journal</w:t>
      </w:r>
      <w:bookmarkEnd w:id="1206"/>
    </w:p>
    <w:p w:rsidR="00DF66B7" w:rsidRDefault="00DF66B7" w:rsidP="00B72EF9">
      <w:pPr>
        <w:pStyle w:val="12"/>
      </w:pPr>
      <w:r w:rsidRPr="00A428C3">
        <w:t xml:space="preserve">Full Journal Title: </w:t>
      </w:r>
      <w:r w:rsidRPr="00DF66B7">
        <w:t>International Food Research Journal</w:t>
      </w:r>
    </w:p>
    <w:p w:rsidR="00DF66B7" w:rsidRPr="00A428C3" w:rsidRDefault="00DF66B7" w:rsidP="00B72EF9">
      <w:pPr>
        <w:pStyle w:val="12"/>
      </w:pPr>
      <w:r w:rsidRPr="00A428C3">
        <w:t xml:space="preserve">ISO Abbreviated Title: </w:t>
      </w:r>
    </w:p>
    <w:p w:rsidR="00DF66B7" w:rsidRPr="00A428C3" w:rsidRDefault="00DF66B7" w:rsidP="00B72EF9">
      <w:pPr>
        <w:pStyle w:val="12"/>
      </w:pPr>
      <w:r w:rsidRPr="00A428C3">
        <w:t xml:space="preserve">JCR Abbreviated Title: </w:t>
      </w:r>
    </w:p>
    <w:p w:rsidR="00DF66B7" w:rsidRPr="00A428C3" w:rsidRDefault="00DF66B7" w:rsidP="00B72EF9">
      <w:pPr>
        <w:pStyle w:val="12"/>
      </w:pPr>
      <w:r>
        <w:t xml:space="preserve">ISSN: </w:t>
      </w:r>
      <w:r w:rsidR="00EC734D" w:rsidRPr="00EC734D">
        <w:t>19854668</w:t>
      </w:r>
    </w:p>
    <w:p w:rsidR="00DF66B7" w:rsidRPr="00A428C3" w:rsidRDefault="00DF66B7" w:rsidP="00B72EF9">
      <w:pPr>
        <w:pStyle w:val="12"/>
      </w:pPr>
      <w:r w:rsidRPr="00A428C3">
        <w:t xml:space="preserve">Issues/Year: </w:t>
      </w:r>
    </w:p>
    <w:p w:rsidR="00DF66B7" w:rsidRPr="00A428C3" w:rsidRDefault="00DF66B7" w:rsidP="00B72EF9">
      <w:pPr>
        <w:pStyle w:val="12"/>
      </w:pPr>
      <w:r w:rsidRPr="00A428C3">
        <w:t xml:space="preserve">Journal Country/Territory: </w:t>
      </w:r>
    </w:p>
    <w:p w:rsidR="00DF66B7" w:rsidRPr="00A428C3" w:rsidRDefault="00DF66B7" w:rsidP="00B72EF9">
      <w:pPr>
        <w:pStyle w:val="12"/>
      </w:pPr>
      <w:r w:rsidRPr="00A428C3">
        <w:t xml:space="preserve">Language: </w:t>
      </w:r>
    </w:p>
    <w:p w:rsidR="00DF66B7" w:rsidRPr="00A428C3" w:rsidRDefault="00DF66B7" w:rsidP="00B72EF9">
      <w:pPr>
        <w:pStyle w:val="12"/>
      </w:pPr>
      <w:r w:rsidRPr="00A428C3">
        <w:t xml:space="preserve">Publisher: </w:t>
      </w:r>
    </w:p>
    <w:p w:rsidR="00DF66B7" w:rsidRPr="00A428C3" w:rsidRDefault="00DF66B7" w:rsidP="00B72EF9">
      <w:pPr>
        <w:pStyle w:val="12"/>
      </w:pPr>
      <w:r w:rsidRPr="00A428C3">
        <w:t xml:space="preserve">Publisher Address: </w:t>
      </w:r>
    </w:p>
    <w:p w:rsidR="00DF66B7" w:rsidRPr="00A428C3" w:rsidRDefault="00DF66B7" w:rsidP="00B72EF9">
      <w:pPr>
        <w:pStyle w:val="12"/>
      </w:pPr>
      <w:r w:rsidRPr="00A428C3">
        <w:t>Subject Categories:</w:t>
      </w:r>
    </w:p>
    <w:p w:rsidR="00DF66B7" w:rsidRPr="00A428C3" w:rsidRDefault="00DF66B7" w:rsidP="00B72EF9">
      <w:pPr>
        <w:pStyle w:val="12"/>
      </w:pPr>
      <w:r w:rsidRPr="00A428C3">
        <w:t xml:space="preserve">: Impact Factor </w:t>
      </w:r>
    </w:p>
    <w:p w:rsidR="00B95188" w:rsidRPr="00A428C3" w:rsidRDefault="00B95188" w:rsidP="00B95188">
      <w:pPr>
        <w:pStyle w:val="1"/>
      </w:pPr>
      <w:r w:rsidRPr="00A428C3">
        <w:br w:type="page"/>
      </w:r>
      <w:bookmarkStart w:id="1207" w:name="_Toc186647896"/>
      <w:bookmarkStart w:id="1208" w:name="_Toc317161251"/>
      <w:r w:rsidRPr="00A428C3">
        <w:lastRenderedPageBreak/>
        <w:t>Title: International Forestry Review</w:t>
      </w:r>
      <w:bookmarkEnd w:id="1207"/>
      <w:bookmarkEnd w:id="1208"/>
    </w:p>
    <w:p w:rsidR="00B95188" w:rsidRPr="00A428C3" w:rsidRDefault="00B95188" w:rsidP="00B72EF9">
      <w:pPr>
        <w:pStyle w:val="12"/>
      </w:pPr>
      <w:r w:rsidRPr="00A428C3">
        <w:t xml:space="preserve">Full Journal Title: </w:t>
      </w:r>
      <w:hyperlink r:id="rId1611" w:history="1">
        <w:r w:rsidR="00F33671" w:rsidRPr="00F33671">
          <w:rPr>
            <w:rStyle w:val="a5"/>
          </w:rPr>
          <w:t>International Forestry Review</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1465-5489</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Default="00B95188" w:rsidP="00B95188">
      <w:pPr>
        <w:pStyle w:val="a0"/>
      </w:pPr>
      <w:r w:rsidRPr="00A428C3">
        <w:t>? Perez, M.R., Fu, M.Y., Xie, J.Z., Yang, X.S.</w:t>
      </w:r>
      <w:r w:rsidR="00F81221">
        <w:t xml:space="preserve"> and </w:t>
      </w:r>
      <w:r w:rsidRPr="00A428C3">
        <w:t>Belcher, B. (2004), The relationship between forest research</w:t>
      </w:r>
      <w:r w:rsidR="00F81221">
        <w:t xml:space="preserve"> and </w:t>
      </w:r>
      <w:r w:rsidRPr="00A428C3">
        <w:t xml:space="preserve">forest management in China: </w:t>
      </w:r>
      <w:r w:rsidR="00F33671" w:rsidRPr="00A428C3">
        <w:t xml:space="preserve">An </w:t>
      </w:r>
      <w:r w:rsidRPr="00A428C3">
        <w:t xml:space="preserve">analysis of four leading Chinese forestry journals. </w:t>
      </w:r>
      <w:r w:rsidRPr="00A428C3">
        <w:rPr>
          <w:i/>
        </w:rPr>
        <w:t>International Forestry Review</w:t>
      </w:r>
      <w:r w:rsidRPr="00A428C3">
        <w:t xml:space="preserve">, </w:t>
      </w:r>
      <w:r w:rsidRPr="00A428C3">
        <w:rPr>
          <w:b/>
        </w:rPr>
        <w:t>6</w:t>
      </w:r>
      <w:r w:rsidRPr="00A428C3">
        <w:t xml:space="preserve"> (3-4), 341-345.</w:t>
      </w:r>
    </w:p>
    <w:p w:rsidR="00F33671" w:rsidRPr="00A428C3" w:rsidRDefault="00F33671" w:rsidP="00B95188">
      <w:pPr>
        <w:pStyle w:val="a0"/>
      </w:pPr>
      <w:r>
        <w:rPr>
          <w:rFonts w:hint="eastAsia"/>
        </w:rPr>
        <w:t xml:space="preserve">Full Text: </w:t>
      </w:r>
      <w:r>
        <w:t>Int For Rev</w:t>
      </w:r>
      <w:r w:rsidRPr="00F33671">
        <w:t>6</w:t>
      </w:r>
      <w:r w:rsidRPr="00A428C3">
        <w:t>, 341</w:t>
      </w:r>
      <w:r>
        <w:rPr>
          <w:rFonts w:hint="eastAsia"/>
        </w:rPr>
        <w:t>.pdf</w:t>
      </w:r>
    </w:p>
    <w:p w:rsidR="00B95188" w:rsidRPr="00A428C3" w:rsidRDefault="00B95188" w:rsidP="00B95188">
      <w:pPr>
        <w:pStyle w:val="a0"/>
      </w:pPr>
      <w:r w:rsidRPr="00A428C3">
        <w:t>Abstract: We analyse the collaboration between forestry research institutions</w:t>
      </w:r>
      <w:r w:rsidR="00F81221">
        <w:t xml:space="preserve"> and </w:t>
      </w:r>
      <w:r w:rsidRPr="00A428C3">
        <w:t xml:space="preserve">forestry departments in </w:t>
      </w:r>
      <w:smartTag w:uri="urn:schemas-microsoft-com:office:smarttags" w:element="place">
        <w:smartTag w:uri="urn:schemas-microsoft-com:office:smarttags" w:element="country-region">
          <w:r w:rsidRPr="00A428C3">
            <w:t>China</w:t>
          </w:r>
        </w:smartTag>
      </w:smartTag>
      <w:r w:rsidRPr="00A428C3">
        <w:t xml:space="preserve"> based on a bibliometric study of four leading Chinese forestry journals. Multiple-authored papers are frequent,</w:t>
      </w:r>
      <w:r w:rsidR="00F81221">
        <w:t xml:space="preserve"> and </w:t>
      </w:r>
      <w:r w:rsidRPr="00A428C3">
        <w:t>there is a significant collaboration between research</w:t>
      </w:r>
      <w:r w:rsidR="00F81221">
        <w:t xml:space="preserve"> and </w:t>
      </w:r>
      <w:r w:rsidRPr="00A428C3">
        <w:t>implementing agencies. This collaboration centres on applied research, being less common on fundamental research</w:t>
      </w:r>
      <w:r w:rsidR="00F81221">
        <w:t xml:space="preserve"> and </w:t>
      </w:r>
      <w:r w:rsidRPr="00A428C3">
        <w:t>almost non-existent on policy research. Universities, National research institutes</w:t>
      </w:r>
      <w:r w:rsidR="00F81221">
        <w:t xml:space="preserve"> and </w:t>
      </w:r>
      <w:r w:rsidRPr="00A428C3">
        <w:t>National</w:t>
      </w:r>
      <w:r w:rsidR="00F81221">
        <w:t xml:space="preserve"> and </w:t>
      </w:r>
      <w:r w:rsidRPr="00A428C3">
        <w:t>Provincial level forest departments act as the key organisers of research, with specialised domains</w:t>
      </w:r>
      <w:r w:rsidR="00F81221">
        <w:t xml:space="preserve"> and </w:t>
      </w:r>
      <w:r w:rsidRPr="00A428C3">
        <w:t>types of collaboration. This helps explain the success of Chinese forestry experiences in recent years.</w:t>
      </w:r>
    </w:p>
    <w:p w:rsidR="00B95188" w:rsidRPr="00A428C3" w:rsidRDefault="00B95188" w:rsidP="00B95188">
      <w:pPr>
        <w:pStyle w:val="a0"/>
      </w:pPr>
      <w:r w:rsidRPr="00A428C3">
        <w:t xml:space="preserve">Keywords: Bibliometric, </w:t>
      </w:r>
      <w:smartTag w:uri="urn:schemas-microsoft-com:office:smarttags" w:element="place">
        <w:smartTag w:uri="urn:schemas-microsoft-com:office:smarttags" w:element="City">
          <w:r w:rsidRPr="00A428C3">
            <w:t>Bibliometric Study</w:t>
          </w:r>
        </w:smartTag>
        <w:r w:rsidRPr="00A428C3">
          <w:t xml:space="preserve">, </w:t>
        </w:r>
        <w:smartTag w:uri="urn:schemas-microsoft-com:office:smarttags" w:element="country-region">
          <w:r w:rsidRPr="00A428C3">
            <w:t>China</w:t>
          </w:r>
        </w:smartTag>
      </w:smartTag>
      <w:r w:rsidRPr="00A428C3">
        <w:t>, Collaboration, Collaborative Research, Forestry Research, Journals, Reform, Research</w:t>
      </w:r>
    </w:p>
    <w:p w:rsidR="00B95188" w:rsidRPr="00A428C3" w:rsidRDefault="00B95188" w:rsidP="00B95188">
      <w:pPr>
        <w:pStyle w:val="1"/>
      </w:pPr>
      <w:r w:rsidRPr="00A428C3">
        <w:br w:type="page"/>
      </w:r>
      <w:bookmarkStart w:id="1209" w:name="_Toc186647897"/>
      <w:bookmarkStart w:id="1210" w:name="_Toc317161252"/>
      <w:r w:rsidRPr="00A428C3">
        <w:lastRenderedPageBreak/>
        <w:t>Title: International Forum on Information</w:t>
      </w:r>
      <w:r w:rsidR="00F81221">
        <w:t xml:space="preserve"> and </w:t>
      </w:r>
      <w:r w:rsidRPr="00A428C3">
        <w:t>Documentation</w:t>
      </w:r>
      <w:bookmarkEnd w:id="1209"/>
      <w:bookmarkEnd w:id="1210"/>
    </w:p>
    <w:p w:rsidR="00B95188" w:rsidRPr="00A428C3" w:rsidRDefault="00B95188" w:rsidP="00B72EF9">
      <w:pPr>
        <w:pStyle w:val="12"/>
      </w:pPr>
      <w:r w:rsidRPr="00A428C3">
        <w:t>Full Journal Title: International Forum on Information</w:t>
      </w:r>
      <w:r w:rsidR="00F81221">
        <w:t xml:space="preserve"> and </w:t>
      </w:r>
      <w:r w:rsidRPr="00A428C3">
        <w:t>Documentation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0304-9701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E26B64" w:rsidRDefault="00E26B64" w:rsidP="00E26B64">
      <w:pPr>
        <w:pStyle w:val="a0"/>
      </w:pPr>
      <w:r>
        <w:rPr>
          <w:rFonts w:hint="eastAsia"/>
        </w:rPr>
        <w:t>Notes: MModel, 1</w:t>
      </w:r>
      <w:r w:rsidRPr="00443A3F">
        <w:rPr>
          <w:rFonts w:hint="eastAsia"/>
          <w:vertAlign w:val="superscript"/>
        </w:rPr>
        <w:t>st</w:t>
      </w:r>
      <w:r>
        <w:rPr>
          <w:rFonts w:hint="eastAsia"/>
        </w:rPr>
        <w:t xml:space="preserve"> paper</w:t>
      </w:r>
    </w:p>
    <w:p w:rsidR="00E26B64" w:rsidRDefault="00E26B64" w:rsidP="00E26B64">
      <w:pPr>
        <w:pStyle w:val="a0"/>
      </w:pPr>
      <w:r>
        <w:rPr>
          <w:rFonts w:hint="eastAsia"/>
        </w:rPr>
        <w:t xml:space="preserve">? </w:t>
      </w:r>
      <w:r w:rsidRPr="00F621CE">
        <w:t>Price, D.</w:t>
      </w:r>
      <w:r w:rsidR="00F81221">
        <w:t xml:space="preserve"> and </w:t>
      </w:r>
      <w:r w:rsidRPr="00F621CE">
        <w:t>Gursey, S. (1976), Studies in scientometrics.</w:t>
      </w:r>
      <w:r w:rsidRPr="00F621CE">
        <w:rPr>
          <w:rFonts w:hint="eastAsia"/>
        </w:rPr>
        <w:t xml:space="preserve"> </w:t>
      </w:r>
      <w:r w:rsidR="00CB488E">
        <w:rPr>
          <w:rFonts w:hint="eastAsia"/>
        </w:rPr>
        <w:t>Part I</w:t>
      </w:r>
      <w:r w:rsidRPr="00F621CE">
        <w:t>. Transience</w:t>
      </w:r>
      <w:r w:rsidR="00F81221">
        <w:t xml:space="preserve"> and </w:t>
      </w:r>
      <w:r w:rsidRPr="00F621CE">
        <w:t xml:space="preserve">continuance in scientific authorship. </w:t>
      </w:r>
      <w:r w:rsidRPr="00CE7517">
        <w:rPr>
          <w:i/>
          <w:iCs/>
        </w:rPr>
        <w:t>International Forum on Information</w:t>
      </w:r>
      <w:r w:rsidR="00F81221">
        <w:rPr>
          <w:i/>
          <w:iCs/>
        </w:rPr>
        <w:t xml:space="preserve"> and </w:t>
      </w:r>
      <w:r w:rsidRPr="00CE7517">
        <w:rPr>
          <w:i/>
          <w:iCs/>
        </w:rPr>
        <w:t>Documentation</w:t>
      </w:r>
      <w:r w:rsidRPr="00F621CE">
        <w:t xml:space="preserve">, </w:t>
      </w:r>
      <w:r w:rsidRPr="00551655">
        <w:rPr>
          <w:b/>
          <w:bCs/>
        </w:rPr>
        <w:t>1</w:t>
      </w:r>
      <w:r w:rsidRPr="00F621CE">
        <w:t xml:space="preserve"> (2), 17-24</w:t>
      </w:r>
      <w:r w:rsidRPr="00F621CE">
        <w:rPr>
          <w:rFonts w:hint="eastAsia"/>
        </w:rPr>
        <w:t>.</w:t>
      </w:r>
    </w:p>
    <w:p w:rsidR="00C9789F" w:rsidRPr="00F621CE" w:rsidRDefault="00C9789F" w:rsidP="00E26B64">
      <w:pPr>
        <w:pStyle w:val="a0"/>
      </w:pPr>
      <w:r>
        <w:rPr>
          <w:rFonts w:hint="eastAsia"/>
        </w:rPr>
        <w:t xml:space="preserve">Full Text: </w:t>
      </w:r>
      <w:hyperlink r:id="rId1612" w:history="1">
        <w:r w:rsidRPr="00C9789F">
          <w:rPr>
            <w:rStyle w:val="a5"/>
          </w:rPr>
          <w:t>1960-80\Int For Inf Doc1, 17.pdf</w:t>
        </w:r>
      </w:hyperlink>
    </w:p>
    <w:p w:rsidR="00E26B64" w:rsidRDefault="00E26B64" w:rsidP="00E26B64">
      <w:pPr>
        <w:pStyle w:val="a0"/>
      </w:pPr>
      <w:r>
        <w:rPr>
          <w:rFonts w:hint="eastAsia"/>
        </w:rPr>
        <w:t>Notes: MModel, 1</w:t>
      </w:r>
      <w:r w:rsidRPr="00443A3F">
        <w:rPr>
          <w:rFonts w:hint="eastAsia"/>
          <w:vertAlign w:val="superscript"/>
        </w:rPr>
        <w:t>st</w:t>
      </w:r>
      <w:r>
        <w:rPr>
          <w:rFonts w:hint="eastAsia"/>
        </w:rPr>
        <w:t xml:space="preserve"> paper</w:t>
      </w:r>
    </w:p>
    <w:p w:rsidR="00E26B64" w:rsidRPr="00F621CE" w:rsidRDefault="00E26B64" w:rsidP="00E26B64">
      <w:pPr>
        <w:pStyle w:val="a0"/>
      </w:pPr>
      <w:r>
        <w:rPr>
          <w:rFonts w:hint="eastAsia"/>
        </w:rPr>
        <w:t xml:space="preserve">? </w:t>
      </w:r>
      <w:r w:rsidRPr="00F621CE">
        <w:t>Price, D.</w:t>
      </w:r>
      <w:r w:rsidR="00F81221">
        <w:t xml:space="preserve"> and </w:t>
      </w:r>
      <w:r w:rsidRPr="00F621CE">
        <w:t>Gursey, S. (1976), Studies in scientometrics.</w:t>
      </w:r>
      <w:r w:rsidRPr="00F621CE">
        <w:rPr>
          <w:rFonts w:hint="eastAsia"/>
        </w:rPr>
        <w:t xml:space="preserve"> </w:t>
      </w:r>
      <w:r w:rsidR="00CB488E">
        <w:rPr>
          <w:rFonts w:hint="eastAsia"/>
        </w:rPr>
        <w:t>Part II</w:t>
      </w:r>
      <w:r w:rsidRPr="00F621CE">
        <w:t>. Relation between source author</w:t>
      </w:r>
      <w:r w:rsidR="00F81221">
        <w:t xml:space="preserve"> and </w:t>
      </w:r>
      <w:r w:rsidRPr="00F621CE">
        <w:t xml:space="preserve">cited author populations. </w:t>
      </w:r>
      <w:r w:rsidRPr="00CE7517">
        <w:rPr>
          <w:i/>
          <w:iCs/>
        </w:rPr>
        <w:t>International Forum on Information</w:t>
      </w:r>
      <w:r w:rsidR="00F81221">
        <w:rPr>
          <w:i/>
          <w:iCs/>
        </w:rPr>
        <w:t xml:space="preserve"> and </w:t>
      </w:r>
      <w:r w:rsidRPr="00CE7517">
        <w:rPr>
          <w:i/>
          <w:iCs/>
        </w:rPr>
        <w:t>Documentation</w:t>
      </w:r>
      <w:r w:rsidRPr="00F621CE">
        <w:t xml:space="preserve">, </w:t>
      </w:r>
      <w:r w:rsidRPr="00551655">
        <w:rPr>
          <w:b/>
          <w:bCs/>
        </w:rPr>
        <w:t>1</w:t>
      </w:r>
      <w:r w:rsidRPr="00F621CE">
        <w:t xml:space="preserve"> (3), 19-22</w:t>
      </w:r>
      <w:r w:rsidRPr="00F621CE">
        <w:rPr>
          <w:rFonts w:hint="eastAsia"/>
        </w:rPr>
        <w:t>.</w:t>
      </w:r>
    </w:p>
    <w:p w:rsidR="00C9789F" w:rsidRPr="00F621CE" w:rsidRDefault="00C9789F" w:rsidP="00C9789F">
      <w:pPr>
        <w:pStyle w:val="a0"/>
      </w:pPr>
      <w:r>
        <w:rPr>
          <w:rFonts w:hint="eastAsia"/>
        </w:rPr>
        <w:t xml:space="preserve">Full Text: </w:t>
      </w:r>
      <w:hyperlink r:id="rId1613" w:history="1">
        <w:r w:rsidRPr="004303A5">
          <w:rPr>
            <w:rStyle w:val="a5"/>
          </w:rPr>
          <w:t>1960-80\Int For Inf Doc1, 19.pdf</w:t>
        </w:r>
      </w:hyperlink>
    </w:p>
    <w:p w:rsidR="00E26B64" w:rsidRDefault="00E26B64" w:rsidP="00E26B64">
      <w:pPr>
        <w:pStyle w:val="a0"/>
        <w:rPr>
          <w:kern w:val="0"/>
          <w:szCs w:val="24"/>
        </w:rPr>
      </w:pPr>
      <w:r>
        <w:rPr>
          <w:rFonts w:hint="eastAsia"/>
          <w:kern w:val="0"/>
          <w:szCs w:val="24"/>
        </w:rPr>
        <w:t xml:space="preserve">? </w:t>
      </w:r>
      <w:r>
        <w:rPr>
          <w:kern w:val="0"/>
          <w:szCs w:val="24"/>
        </w:rPr>
        <w:t>Lancaster, F.W., Mehrotra, R.</w:t>
      </w:r>
      <w:r w:rsidR="00F81221">
        <w:rPr>
          <w:kern w:val="0"/>
          <w:szCs w:val="24"/>
        </w:rPr>
        <w:t xml:space="preserve"> and </w:t>
      </w:r>
      <w:r>
        <w:rPr>
          <w:kern w:val="0"/>
          <w:szCs w:val="24"/>
        </w:rPr>
        <w:t xml:space="preserve">Otsu, K. (1984), Some </w:t>
      </w:r>
      <w:r w:rsidR="00291399">
        <w:rPr>
          <w:kern w:val="0"/>
          <w:szCs w:val="24"/>
        </w:rPr>
        <w:t>publication patt</w:t>
      </w:r>
      <w:r>
        <w:rPr>
          <w:kern w:val="0"/>
          <w:szCs w:val="24"/>
        </w:rPr>
        <w:t>erns in Indian</w:t>
      </w:r>
      <w:r w:rsidR="00F81221">
        <w:rPr>
          <w:kern w:val="0"/>
          <w:szCs w:val="24"/>
        </w:rPr>
        <w:t xml:space="preserve"> and </w:t>
      </w:r>
      <w:r>
        <w:rPr>
          <w:kern w:val="0"/>
          <w:szCs w:val="24"/>
        </w:rPr>
        <w:t xml:space="preserve">Japanese </w:t>
      </w:r>
      <w:r w:rsidR="00291399">
        <w:rPr>
          <w:kern w:val="0"/>
          <w:szCs w:val="24"/>
        </w:rPr>
        <w:t xml:space="preserve">science </w:t>
      </w:r>
      <w:r>
        <w:rPr>
          <w:kern w:val="0"/>
          <w:szCs w:val="24"/>
        </w:rPr>
        <w:t xml:space="preserve">- A </w:t>
      </w:r>
      <w:r w:rsidR="00291399">
        <w:rPr>
          <w:kern w:val="0"/>
          <w:szCs w:val="24"/>
        </w:rPr>
        <w:t>bibliometric compar</w:t>
      </w:r>
      <w:r>
        <w:rPr>
          <w:kern w:val="0"/>
          <w:szCs w:val="24"/>
        </w:rPr>
        <w:t xml:space="preserve">ison.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9</w:t>
      </w:r>
      <w:r>
        <w:rPr>
          <w:kern w:val="0"/>
          <w:szCs w:val="24"/>
        </w:rPr>
        <w:t xml:space="preserve"> (4), 11-16</w:t>
      </w:r>
      <w:r w:rsidR="00291399">
        <w:rPr>
          <w:rFonts w:hint="eastAsia"/>
          <w:kern w:val="0"/>
          <w:szCs w:val="24"/>
        </w:rPr>
        <w:t>.</w:t>
      </w:r>
    </w:p>
    <w:p w:rsidR="00E26B64" w:rsidRDefault="00E26B64" w:rsidP="00E26B64">
      <w:pPr>
        <w:pStyle w:val="a0"/>
        <w:rPr>
          <w:kern w:val="0"/>
          <w:szCs w:val="24"/>
        </w:rPr>
      </w:pPr>
      <w:r>
        <w:rPr>
          <w:kern w:val="0"/>
          <w:szCs w:val="24"/>
        </w:rPr>
        <w:t>Keywords: Bibliometric, Publication, Science</w:t>
      </w:r>
    </w:p>
    <w:p w:rsidR="00E26B64" w:rsidRDefault="00E26B64" w:rsidP="00E26B64">
      <w:pPr>
        <w:pStyle w:val="a0"/>
        <w:rPr>
          <w:kern w:val="0"/>
          <w:szCs w:val="24"/>
        </w:rPr>
      </w:pPr>
      <w:r>
        <w:rPr>
          <w:rFonts w:hint="eastAsia"/>
          <w:kern w:val="0"/>
          <w:szCs w:val="24"/>
        </w:rPr>
        <w:t xml:space="preserve">? </w:t>
      </w:r>
      <w:r>
        <w:rPr>
          <w:kern w:val="0"/>
          <w:szCs w:val="24"/>
        </w:rPr>
        <w:t>Khurshid, A.</w:t>
      </w:r>
      <w:r w:rsidR="00F81221">
        <w:rPr>
          <w:kern w:val="0"/>
          <w:szCs w:val="24"/>
        </w:rPr>
        <w:t xml:space="preserve"> and </w:t>
      </w:r>
      <w:r>
        <w:rPr>
          <w:kern w:val="0"/>
          <w:szCs w:val="24"/>
        </w:rPr>
        <w:t>Sahai, H. (1991), Bibliometric, Scientometric</w:t>
      </w:r>
      <w:r w:rsidR="00F81221">
        <w:rPr>
          <w:kern w:val="0"/>
          <w:szCs w:val="24"/>
        </w:rPr>
        <w:t xml:space="preserve"> and </w:t>
      </w:r>
      <w:r>
        <w:rPr>
          <w:kern w:val="0"/>
          <w:szCs w:val="24"/>
        </w:rPr>
        <w:t>Informetric Distributions</w:t>
      </w:r>
      <w:r w:rsidR="00F81221">
        <w:rPr>
          <w:kern w:val="0"/>
          <w:szCs w:val="24"/>
        </w:rPr>
        <w:t xml:space="preserve"> and </w:t>
      </w:r>
      <w:r>
        <w:rPr>
          <w:kern w:val="0"/>
          <w:szCs w:val="24"/>
        </w:rPr>
        <w:t xml:space="preserve">Laws - A Selected Bibliography.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16</w:t>
      </w:r>
      <w:r>
        <w:rPr>
          <w:kern w:val="0"/>
          <w:szCs w:val="24"/>
        </w:rPr>
        <w:t xml:space="preserve"> (2), 18-29</w:t>
      </w:r>
    </w:p>
    <w:p w:rsidR="00E26B64" w:rsidRDefault="00E26B64" w:rsidP="00E26B64">
      <w:pPr>
        <w:pStyle w:val="a0"/>
        <w:rPr>
          <w:kern w:val="0"/>
          <w:szCs w:val="24"/>
        </w:rPr>
      </w:pPr>
      <w:r>
        <w:rPr>
          <w:kern w:val="0"/>
          <w:szCs w:val="24"/>
        </w:rPr>
        <w:t>Keywords: Bibliometric</w:t>
      </w:r>
    </w:p>
    <w:p w:rsidR="00E26B64" w:rsidRDefault="00E26B64" w:rsidP="00E26B64">
      <w:pPr>
        <w:pStyle w:val="a0"/>
        <w:rPr>
          <w:kern w:val="0"/>
          <w:szCs w:val="24"/>
        </w:rPr>
      </w:pPr>
      <w:r>
        <w:rPr>
          <w:rFonts w:hint="eastAsia"/>
          <w:kern w:val="0"/>
          <w:szCs w:val="24"/>
        </w:rPr>
        <w:t xml:space="preserve">? </w:t>
      </w:r>
      <w:r>
        <w:rPr>
          <w:kern w:val="0"/>
          <w:szCs w:val="24"/>
        </w:rPr>
        <w:t>Rozhkov, S., Mateev, P., Melamed, S., Angelov, G., Mateev, N., Kazansky, N., Slavcheva, V.</w:t>
      </w:r>
      <w:r w:rsidR="00F81221">
        <w:rPr>
          <w:kern w:val="0"/>
          <w:szCs w:val="24"/>
        </w:rPr>
        <w:t xml:space="preserve"> and </w:t>
      </w:r>
      <w:r>
        <w:rPr>
          <w:kern w:val="0"/>
          <w:szCs w:val="24"/>
        </w:rPr>
        <w:t xml:space="preserve">Prodanova, E. (1992), The Place of the Academy-Of-Sciences in the Research Potential of Bulgaria - A Bibliometric Analysis.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17</w:t>
      </w:r>
      <w:r>
        <w:rPr>
          <w:kern w:val="0"/>
          <w:szCs w:val="24"/>
        </w:rPr>
        <w:t xml:space="preserve"> (4), 21-27</w:t>
      </w:r>
    </w:p>
    <w:p w:rsidR="00E26B64" w:rsidRDefault="00E26B64" w:rsidP="00E26B64">
      <w:pPr>
        <w:pStyle w:val="a0"/>
        <w:rPr>
          <w:kern w:val="0"/>
          <w:szCs w:val="24"/>
        </w:rPr>
      </w:pPr>
      <w:r>
        <w:rPr>
          <w:kern w:val="0"/>
          <w:szCs w:val="24"/>
        </w:rPr>
        <w:t>Keywords: Bibliometric, Bibliometric Analysis, Research</w:t>
      </w:r>
    </w:p>
    <w:p w:rsidR="00E26B64" w:rsidRDefault="00E26B64" w:rsidP="00E26B64">
      <w:pPr>
        <w:pStyle w:val="a0"/>
        <w:rPr>
          <w:kern w:val="0"/>
          <w:szCs w:val="24"/>
        </w:rPr>
      </w:pPr>
      <w:r>
        <w:rPr>
          <w:rFonts w:hint="eastAsia"/>
          <w:kern w:val="0"/>
          <w:szCs w:val="24"/>
        </w:rPr>
        <w:t xml:space="preserve">? </w:t>
      </w:r>
      <w:r>
        <w:rPr>
          <w:kern w:val="0"/>
          <w:szCs w:val="24"/>
        </w:rPr>
        <w:t>Dearenas, J.L. (1993), Online Databases</w:t>
      </w:r>
      <w:r w:rsidR="00F81221">
        <w:rPr>
          <w:kern w:val="0"/>
          <w:szCs w:val="24"/>
        </w:rPr>
        <w:t xml:space="preserve"> and </w:t>
      </w:r>
      <w:r>
        <w:rPr>
          <w:kern w:val="0"/>
          <w:szCs w:val="24"/>
        </w:rPr>
        <w:t xml:space="preserve">Their Impact on Bibliometric Analysis - </w:t>
      </w:r>
      <w:r>
        <w:rPr>
          <w:kern w:val="0"/>
          <w:szCs w:val="24"/>
        </w:rPr>
        <w:lastRenderedPageBreak/>
        <w:t xml:space="preserve">the Mexican Health-Sciences Research Case.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18</w:t>
      </w:r>
      <w:r>
        <w:rPr>
          <w:kern w:val="0"/>
          <w:szCs w:val="24"/>
        </w:rPr>
        <w:t xml:space="preserve"> (1), 18-20.</w:t>
      </w:r>
    </w:p>
    <w:p w:rsidR="00E26B64" w:rsidRDefault="00E26B64" w:rsidP="00E26B64">
      <w:pPr>
        <w:pStyle w:val="a0"/>
        <w:rPr>
          <w:kern w:val="0"/>
          <w:szCs w:val="24"/>
        </w:rPr>
      </w:pPr>
      <w:r>
        <w:rPr>
          <w:kern w:val="0"/>
          <w:szCs w:val="24"/>
        </w:rPr>
        <w:t>Abstract: In a comparison of bibliographic</w:t>
      </w:r>
      <w:r w:rsidR="00F81221">
        <w:rPr>
          <w:kern w:val="0"/>
          <w:szCs w:val="24"/>
        </w:rPr>
        <w:t xml:space="preserve"> and </w:t>
      </w:r>
      <w:r>
        <w:rPr>
          <w:kern w:val="0"/>
          <w:szCs w:val="24"/>
        </w:rPr>
        <w:t xml:space="preserve">citation databases, it was found when we measured bibliometrically Mexican health sciences research, 1982-1986, that results varied, since bibliographic databases gave an approximation of the total Mexican output in the area, while citation databases gave an approximation of the role of Mexico as a </w:t>
      </w:r>
      <w:r w:rsidR="000352E7">
        <w:rPr>
          <w:kern w:val="0"/>
          <w:szCs w:val="24"/>
        </w:rPr>
        <w:t>‘</w:t>
      </w:r>
      <w:r>
        <w:rPr>
          <w:kern w:val="0"/>
          <w:szCs w:val="24"/>
        </w:rPr>
        <w:t>mainstream</w:t>
      </w:r>
      <w:r w:rsidR="000352E7">
        <w:rPr>
          <w:kern w:val="0"/>
          <w:szCs w:val="24"/>
        </w:rPr>
        <w:t>’</w:t>
      </w:r>
      <w:r>
        <w:rPr>
          <w:kern w:val="0"/>
          <w:szCs w:val="24"/>
        </w:rPr>
        <w:t xml:space="preserve"> research producer.</w:t>
      </w:r>
    </w:p>
    <w:p w:rsidR="00E26B64" w:rsidRDefault="00E26B64" w:rsidP="00E26B64">
      <w:pPr>
        <w:pStyle w:val="a0"/>
        <w:rPr>
          <w:kern w:val="0"/>
          <w:szCs w:val="24"/>
        </w:rPr>
      </w:pPr>
      <w:r>
        <w:rPr>
          <w:kern w:val="0"/>
          <w:szCs w:val="24"/>
        </w:rPr>
        <w:t>Keywords: Bibliographic Databases, Bibliometric, Bibliometric Analysis, Citation, Databases, Health Sciences, Mexico, Research, Sciences</w:t>
      </w:r>
    </w:p>
    <w:p w:rsidR="00E26B64" w:rsidRDefault="00E26B64" w:rsidP="00E26B64">
      <w:pPr>
        <w:pStyle w:val="a0"/>
        <w:rPr>
          <w:kern w:val="0"/>
          <w:szCs w:val="24"/>
        </w:rPr>
      </w:pPr>
      <w:r>
        <w:rPr>
          <w:rFonts w:hint="eastAsia"/>
          <w:kern w:val="0"/>
          <w:szCs w:val="24"/>
        </w:rPr>
        <w:t xml:space="preserve">? </w:t>
      </w:r>
      <w:r>
        <w:rPr>
          <w:kern w:val="0"/>
          <w:szCs w:val="24"/>
        </w:rPr>
        <w:t>Marshakovashaikevich, I.V. (1993), Bibliometrics As A Research Technique in Epistemology</w:t>
      </w:r>
      <w:r w:rsidR="00F81221">
        <w:rPr>
          <w:kern w:val="0"/>
          <w:szCs w:val="24"/>
        </w:rPr>
        <w:t xml:space="preserve"> and </w:t>
      </w:r>
      <w:r>
        <w:rPr>
          <w:kern w:val="0"/>
          <w:szCs w:val="24"/>
        </w:rPr>
        <w:t xml:space="preserve">Philosophy of Science.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18</w:t>
      </w:r>
      <w:r>
        <w:rPr>
          <w:kern w:val="0"/>
          <w:szCs w:val="24"/>
        </w:rPr>
        <w:t xml:space="preserve"> (3-4), 3-9</w:t>
      </w:r>
    </w:p>
    <w:p w:rsidR="00E26B64" w:rsidRDefault="00E26B64" w:rsidP="00E26B64">
      <w:pPr>
        <w:pStyle w:val="a0"/>
        <w:rPr>
          <w:kern w:val="0"/>
          <w:szCs w:val="24"/>
        </w:rPr>
      </w:pPr>
      <w:r>
        <w:rPr>
          <w:kern w:val="0"/>
          <w:szCs w:val="24"/>
        </w:rPr>
        <w:t>Keywords: Bibliometrics, Research, Science</w:t>
      </w:r>
    </w:p>
    <w:p w:rsidR="00E26B64" w:rsidRDefault="00E26B64" w:rsidP="00E26B64">
      <w:pPr>
        <w:pStyle w:val="a0"/>
        <w:rPr>
          <w:kern w:val="0"/>
          <w:szCs w:val="24"/>
        </w:rPr>
      </w:pPr>
      <w:r>
        <w:rPr>
          <w:rFonts w:hint="eastAsia"/>
          <w:kern w:val="0"/>
          <w:szCs w:val="24"/>
        </w:rPr>
        <w:t xml:space="preserve">? </w:t>
      </w:r>
      <w:r>
        <w:rPr>
          <w:kern w:val="0"/>
          <w:szCs w:val="24"/>
        </w:rPr>
        <w:t>Duplenko, Y.K.</w:t>
      </w:r>
      <w:r w:rsidR="00F81221">
        <w:rPr>
          <w:kern w:val="0"/>
          <w:szCs w:val="24"/>
        </w:rPr>
        <w:t xml:space="preserve"> and </w:t>
      </w:r>
      <w:r>
        <w:rPr>
          <w:kern w:val="0"/>
          <w:szCs w:val="24"/>
        </w:rPr>
        <w:t>Burchinsky, S.G. (1993), Computerized Cluster-Analysis of Citation Networks - Methodology</w:t>
      </w:r>
      <w:r w:rsidR="00F81221">
        <w:rPr>
          <w:kern w:val="0"/>
          <w:szCs w:val="24"/>
        </w:rPr>
        <w:t xml:space="preserve"> and </w:t>
      </w:r>
      <w:r>
        <w:rPr>
          <w:kern w:val="0"/>
          <w:szCs w:val="24"/>
        </w:rPr>
        <w:t xml:space="preserve">Use in Research Policy Formulation.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18</w:t>
      </w:r>
      <w:r>
        <w:rPr>
          <w:kern w:val="0"/>
          <w:szCs w:val="24"/>
        </w:rPr>
        <w:t xml:space="preserve"> (3-4), 10-13.</w:t>
      </w:r>
    </w:p>
    <w:p w:rsidR="00E26B64" w:rsidRDefault="00E26B64" w:rsidP="00E26B64">
      <w:pPr>
        <w:pStyle w:val="a0"/>
        <w:rPr>
          <w:kern w:val="0"/>
          <w:szCs w:val="24"/>
        </w:rPr>
      </w:pPr>
      <w:r>
        <w:rPr>
          <w:kern w:val="0"/>
          <w:szCs w:val="24"/>
        </w:rPr>
        <w:t>Abstract: Deals with the main principles of cluster analysis</w:t>
      </w:r>
      <w:r w:rsidR="00F81221">
        <w:rPr>
          <w:kern w:val="0"/>
          <w:szCs w:val="24"/>
        </w:rPr>
        <w:t xml:space="preserve"> and </w:t>
      </w:r>
      <w:r>
        <w:rPr>
          <w:kern w:val="0"/>
          <w:szCs w:val="24"/>
        </w:rPr>
        <w:t>specifics of its use in scientometrics. The ways for developing citation networks</w:t>
      </w:r>
      <w:r w:rsidR="00F81221">
        <w:rPr>
          <w:kern w:val="0"/>
          <w:szCs w:val="24"/>
        </w:rPr>
        <w:t xml:space="preserve"> and </w:t>
      </w:r>
      <w:r>
        <w:rPr>
          <w:kern w:val="0"/>
          <w:szCs w:val="24"/>
        </w:rPr>
        <w:t>mapping research fronts that are possible with the help of this method are also presented. The described methodology of computer-aided cluster analysis of citations provides for mapping the structure of a research front</w:t>
      </w:r>
      <w:r w:rsidR="00F81221">
        <w:rPr>
          <w:kern w:val="0"/>
          <w:szCs w:val="24"/>
        </w:rPr>
        <w:t xml:space="preserve"> and </w:t>
      </w:r>
      <w:r>
        <w:rPr>
          <w:kern w:val="0"/>
          <w:szCs w:val="24"/>
        </w:rPr>
        <w:t>for identifying main lines in its development.</w:t>
      </w:r>
    </w:p>
    <w:p w:rsidR="00E26B64" w:rsidRDefault="00E26B64" w:rsidP="00E26B64">
      <w:pPr>
        <w:pStyle w:val="a0"/>
        <w:rPr>
          <w:kern w:val="0"/>
          <w:szCs w:val="24"/>
        </w:rPr>
      </w:pPr>
      <w:r>
        <w:rPr>
          <w:kern w:val="0"/>
          <w:szCs w:val="24"/>
        </w:rPr>
        <w:t>Keywords: Analysis, Citation, Citations, Cluster Analysis, Development, Research, Research Front, Scientometrics</w:t>
      </w:r>
    </w:p>
    <w:p w:rsidR="00E26B64" w:rsidRDefault="00E26B64" w:rsidP="00E26B64">
      <w:pPr>
        <w:pStyle w:val="a0"/>
        <w:rPr>
          <w:kern w:val="0"/>
          <w:szCs w:val="24"/>
        </w:rPr>
      </w:pPr>
      <w:r>
        <w:rPr>
          <w:rFonts w:hint="eastAsia"/>
          <w:kern w:val="0"/>
          <w:szCs w:val="24"/>
        </w:rPr>
        <w:t xml:space="preserve">? </w:t>
      </w:r>
      <w:r>
        <w:rPr>
          <w:kern w:val="0"/>
          <w:szCs w:val="24"/>
        </w:rPr>
        <w:t>Dearenas, J.L., Valles, J.</w:t>
      </w:r>
      <w:r w:rsidR="00F81221">
        <w:rPr>
          <w:kern w:val="0"/>
          <w:szCs w:val="24"/>
        </w:rPr>
        <w:t xml:space="preserve"> and </w:t>
      </w:r>
      <w:r>
        <w:rPr>
          <w:kern w:val="0"/>
          <w:szCs w:val="24"/>
        </w:rPr>
        <w:t>Williams, D. (1994), Bibliometrics</w:t>
      </w:r>
      <w:r w:rsidR="00F81221">
        <w:rPr>
          <w:kern w:val="0"/>
          <w:szCs w:val="24"/>
        </w:rPr>
        <w:t xml:space="preserve"> and </w:t>
      </w:r>
      <w:r>
        <w:rPr>
          <w:kern w:val="0"/>
          <w:szCs w:val="24"/>
        </w:rPr>
        <w:t xml:space="preserve">Agriculture - the Cuba Case.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19</w:t>
      </w:r>
      <w:r>
        <w:rPr>
          <w:kern w:val="0"/>
          <w:szCs w:val="24"/>
        </w:rPr>
        <w:t xml:space="preserve"> (1), 13-15.</w:t>
      </w:r>
    </w:p>
    <w:p w:rsidR="00E26B64" w:rsidRDefault="00E26B64" w:rsidP="00E26B64">
      <w:pPr>
        <w:pStyle w:val="a0"/>
        <w:rPr>
          <w:kern w:val="0"/>
          <w:szCs w:val="24"/>
        </w:rPr>
      </w:pPr>
      <w:r>
        <w:rPr>
          <w:kern w:val="0"/>
          <w:szCs w:val="24"/>
        </w:rPr>
        <w:t>Abstract: Data on research productivity in Cuban agriculture are gathered by searching CAB ABSTRACTS online database. Bibliometrically, the degree of fit between the national research effort</w:t>
      </w:r>
      <w:r w:rsidR="00F81221">
        <w:rPr>
          <w:kern w:val="0"/>
          <w:szCs w:val="24"/>
        </w:rPr>
        <w:t xml:space="preserve"> and </w:t>
      </w:r>
      <w:r>
        <w:rPr>
          <w:kern w:val="0"/>
          <w:szCs w:val="24"/>
        </w:rPr>
        <w:t>the social aim of agriculture, i.e., to prevent hunger</w:t>
      </w:r>
      <w:r w:rsidR="00F81221">
        <w:rPr>
          <w:kern w:val="0"/>
          <w:szCs w:val="24"/>
        </w:rPr>
        <w:t xml:space="preserve"> and </w:t>
      </w:r>
      <w:r>
        <w:rPr>
          <w:kern w:val="0"/>
          <w:szCs w:val="24"/>
        </w:rPr>
        <w:t>poverty, is highlighted taking into account that science</w:t>
      </w:r>
      <w:r w:rsidR="00F81221">
        <w:rPr>
          <w:kern w:val="0"/>
          <w:szCs w:val="24"/>
        </w:rPr>
        <w:t xml:space="preserve"> and </w:t>
      </w:r>
      <w:r>
        <w:rPr>
          <w:kern w:val="0"/>
          <w:szCs w:val="24"/>
        </w:rPr>
        <w:t>technology are tools for the independence</w:t>
      </w:r>
      <w:r w:rsidR="00F81221">
        <w:rPr>
          <w:kern w:val="0"/>
          <w:szCs w:val="24"/>
        </w:rPr>
        <w:t xml:space="preserve"> and </w:t>
      </w:r>
      <w:r>
        <w:rPr>
          <w:kern w:val="0"/>
          <w:szCs w:val="24"/>
        </w:rPr>
        <w:t>the development of Cuba.</w:t>
      </w:r>
    </w:p>
    <w:p w:rsidR="00E26B64" w:rsidRDefault="00E26B64" w:rsidP="00E26B64">
      <w:pPr>
        <w:pStyle w:val="a0"/>
        <w:rPr>
          <w:kern w:val="0"/>
          <w:szCs w:val="24"/>
        </w:rPr>
      </w:pPr>
      <w:r>
        <w:rPr>
          <w:kern w:val="0"/>
          <w:szCs w:val="24"/>
        </w:rPr>
        <w:t>Keywords: Bibliometrics, Database, Development, Place, Productivity, Publication, Research, Research Productivity, Science, Science</w:t>
      </w:r>
      <w:r w:rsidR="00F81221">
        <w:rPr>
          <w:kern w:val="0"/>
          <w:szCs w:val="24"/>
        </w:rPr>
        <w:t xml:space="preserve"> and </w:t>
      </w:r>
      <w:r>
        <w:rPr>
          <w:kern w:val="0"/>
          <w:szCs w:val="24"/>
        </w:rPr>
        <w:t>Technology, Scientists, Technology</w:t>
      </w:r>
    </w:p>
    <w:p w:rsidR="00E26B64" w:rsidRDefault="00E26B64" w:rsidP="00E26B64">
      <w:pPr>
        <w:pStyle w:val="a0"/>
        <w:rPr>
          <w:kern w:val="0"/>
          <w:szCs w:val="24"/>
        </w:rPr>
      </w:pPr>
      <w:r>
        <w:rPr>
          <w:rFonts w:hint="eastAsia"/>
          <w:kern w:val="0"/>
          <w:szCs w:val="24"/>
        </w:rPr>
        <w:t xml:space="preserve">? </w:t>
      </w:r>
      <w:r>
        <w:rPr>
          <w:kern w:val="0"/>
          <w:szCs w:val="24"/>
        </w:rPr>
        <w:t>Markusova, V.A., Giljarevskij, R.S.</w:t>
      </w:r>
      <w:r w:rsidR="00F81221">
        <w:rPr>
          <w:kern w:val="0"/>
          <w:szCs w:val="24"/>
        </w:rPr>
        <w:t xml:space="preserve"> and </w:t>
      </w:r>
      <w:r>
        <w:rPr>
          <w:kern w:val="0"/>
          <w:szCs w:val="24"/>
        </w:rPr>
        <w:t>Cherny, A.I. (1994), Communication Among Russian Scientists</w:t>
      </w:r>
      <w:r w:rsidR="00F81221">
        <w:rPr>
          <w:kern w:val="0"/>
          <w:szCs w:val="24"/>
        </w:rPr>
        <w:t xml:space="preserve"> and </w:t>
      </w:r>
      <w:r>
        <w:rPr>
          <w:kern w:val="0"/>
          <w:szCs w:val="24"/>
        </w:rPr>
        <w:t>Between Them</w:t>
      </w:r>
      <w:r w:rsidR="00F81221">
        <w:rPr>
          <w:kern w:val="0"/>
          <w:szCs w:val="24"/>
        </w:rPr>
        <w:t xml:space="preserve"> and </w:t>
      </w:r>
      <w:r>
        <w:rPr>
          <w:kern w:val="0"/>
          <w:szCs w:val="24"/>
        </w:rPr>
        <w:t xml:space="preserve">World Science.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19</w:t>
      </w:r>
      <w:r>
        <w:rPr>
          <w:kern w:val="0"/>
          <w:szCs w:val="24"/>
        </w:rPr>
        <w:t xml:space="preserve"> (3-4), 17-27.</w:t>
      </w:r>
    </w:p>
    <w:p w:rsidR="00E26B64" w:rsidRDefault="00E26B64" w:rsidP="00E26B64">
      <w:pPr>
        <w:pStyle w:val="a0"/>
        <w:rPr>
          <w:kern w:val="0"/>
          <w:szCs w:val="24"/>
        </w:rPr>
      </w:pPr>
      <w:r>
        <w:rPr>
          <w:kern w:val="0"/>
          <w:szCs w:val="24"/>
        </w:rPr>
        <w:t>Abstract: This study that was done in 1993-1995 presents a sociological</w:t>
      </w:r>
      <w:r w:rsidR="00F81221">
        <w:rPr>
          <w:kern w:val="0"/>
          <w:szCs w:val="24"/>
        </w:rPr>
        <w:t xml:space="preserve"> and </w:t>
      </w:r>
      <w:r>
        <w:rPr>
          <w:kern w:val="0"/>
          <w:szCs w:val="24"/>
        </w:rPr>
        <w:t>bibliometrical approach to the assessment of information use</w:t>
      </w:r>
      <w:r w:rsidR="00F81221">
        <w:rPr>
          <w:kern w:val="0"/>
          <w:szCs w:val="24"/>
        </w:rPr>
        <w:t xml:space="preserve"> and </w:t>
      </w:r>
      <w:r>
        <w:rPr>
          <w:kern w:val="0"/>
          <w:szCs w:val="24"/>
        </w:rPr>
        <w:t xml:space="preserve">output on research activity. This approach involved the use of questionnaire addressed to large numbers </w:t>
      </w:r>
      <w:r>
        <w:rPr>
          <w:kern w:val="0"/>
          <w:szCs w:val="24"/>
        </w:rPr>
        <w:lastRenderedPageBreak/>
        <w:t>of scientists in a wide range. of fields</w:t>
      </w:r>
      <w:r w:rsidR="00F81221">
        <w:rPr>
          <w:kern w:val="0"/>
          <w:szCs w:val="24"/>
        </w:rPr>
        <w:t xml:space="preserve"> and </w:t>
      </w:r>
      <w:r>
        <w:rPr>
          <w:kern w:val="0"/>
          <w:szCs w:val="24"/>
        </w:rPr>
        <w:t>in many geographic locations. it focuses on the past performance during the time period 1982-1993 of scientists</w:t>
      </w:r>
      <w:r w:rsidR="00F81221">
        <w:rPr>
          <w:kern w:val="0"/>
          <w:szCs w:val="24"/>
        </w:rPr>
        <w:t xml:space="preserve"> and </w:t>
      </w:r>
      <w:r>
        <w:rPr>
          <w:kern w:val="0"/>
          <w:szCs w:val="24"/>
        </w:rPr>
        <w:t>engineers participating in the working communities of the former Soviet Union (FSU). The study addresses the following questions: 1. To describe the types of scientific research in the FSU, to describe how information is acquired</w:t>
      </w:r>
      <w:r w:rsidR="00F81221">
        <w:rPr>
          <w:kern w:val="0"/>
          <w:szCs w:val="24"/>
        </w:rPr>
        <w:t xml:space="preserve"> and </w:t>
      </w:r>
      <w:r>
        <w:rPr>
          <w:kern w:val="0"/>
          <w:szCs w:val="24"/>
        </w:rPr>
        <w:t>used,</w:t>
      </w:r>
      <w:r w:rsidR="00F81221">
        <w:rPr>
          <w:kern w:val="0"/>
          <w:szCs w:val="24"/>
        </w:rPr>
        <w:t xml:space="preserve"> and </w:t>
      </w:r>
      <w:r>
        <w:rPr>
          <w:kern w:val="0"/>
          <w:szCs w:val="24"/>
        </w:rPr>
        <w:t>to describe the value of this information to the research process; 2. To identify significant differences among the fields of science with regard to,the source of information required by scientists; the satisfaction with information</w:t>
      </w:r>
      <w:r w:rsidR="00F81221">
        <w:rPr>
          <w:kern w:val="0"/>
          <w:szCs w:val="24"/>
        </w:rPr>
        <w:t xml:space="preserve"> and </w:t>
      </w:r>
      <w:r>
        <w:rPr>
          <w:kern w:val="0"/>
          <w:szCs w:val="24"/>
        </w:rPr>
        <w:t>library services; the sources of information critical for research projects; the kinds of information that are most difficult to get; the dissemination of research results (by oral presentation, submission to peer-reviewed journals, number of publications during last 10 years)</w:t>
      </w:r>
      <w:r w:rsidR="00F81221">
        <w:rPr>
          <w:kern w:val="0"/>
          <w:szCs w:val="24"/>
        </w:rPr>
        <w:t xml:space="preserve"> and </w:t>
      </w:r>
      <w:r>
        <w:rPr>
          <w:kern w:val="0"/>
          <w:szCs w:val="24"/>
        </w:rPr>
        <w:t>the impact of such activity ore future work; 3. To study significant differences in access to the published information among scientists working in different regions of Russia; 4. To describe the relationships between: the location of institutes</w:t>
      </w:r>
      <w:r w:rsidR="00F81221">
        <w:rPr>
          <w:kern w:val="0"/>
          <w:szCs w:val="24"/>
        </w:rPr>
        <w:t xml:space="preserve"> and </w:t>
      </w:r>
      <w:r>
        <w:rPr>
          <w:kern w:val="0"/>
          <w:szCs w:val="24"/>
        </w:rPr>
        <w:t>their access to information; scientists</w:t>
      </w:r>
      <w:r w:rsidR="000352E7">
        <w:rPr>
          <w:kern w:val="0"/>
          <w:szCs w:val="24"/>
        </w:rPr>
        <w:t>’</w:t>
      </w:r>
      <w:r>
        <w:rPr>
          <w:kern w:val="0"/>
          <w:szCs w:val="24"/>
        </w:rPr>
        <w:t xml:space="preserve"> attendance at conferences</w:t>
      </w:r>
      <w:r w:rsidR="00F81221">
        <w:rPr>
          <w:kern w:val="0"/>
          <w:szCs w:val="24"/>
        </w:rPr>
        <w:t xml:space="preserve"> and </w:t>
      </w:r>
      <w:r>
        <w:rPr>
          <w:kern w:val="0"/>
          <w:szCs w:val="24"/>
        </w:rPr>
        <w:t>their access to informal sources of information; the level of financial support</w:t>
      </w:r>
      <w:r w:rsidR="00F81221">
        <w:rPr>
          <w:kern w:val="0"/>
          <w:szCs w:val="24"/>
        </w:rPr>
        <w:t xml:space="preserve"> and </w:t>
      </w:r>
      <w:r>
        <w:rPr>
          <w:kern w:val="0"/>
          <w:szCs w:val="24"/>
        </w:rPr>
        <w:t>the productivity of research groups.</w:t>
      </w:r>
    </w:p>
    <w:p w:rsidR="00E26B64" w:rsidRDefault="00E26B64" w:rsidP="00E26B64">
      <w:pPr>
        <w:pStyle w:val="a0"/>
        <w:rPr>
          <w:kern w:val="0"/>
          <w:szCs w:val="24"/>
        </w:rPr>
      </w:pPr>
      <w:r>
        <w:rPr>
          <w:kern w:val="0"/>
          <w:szCs w:val="24"/>
        </w:rPr>
        <w:t>Keywords: Access, Assessment, Financial Support, Impact, Journals, Productivity, Publications, Research, Research Results, Russia, Science, Scientific Research</w:t>
      </w:r>
    </w:p>
    <w:p w:rsidR="00E26B64" w:rsidRPr="00F621CE" w:rsidRDefault="00E26B64" w:rsidP="00E26B64">
      <w:pPr>
        <w:pStyle w:val="a0"/>
      </w:pPr>
      <w:r w:rsidRPr="00F621CE">
        <w:t xml:space="preserve">? </w:t>
      </w:r>
      <w:r w:rsidRPr="00217FB1">
        <w:t>Abdullah, S.</w:t>
      </w:r>
      <w:r w:rsidRPr="00F621CE">
        <w:t xml:space="preserve"> (1995), </w:t>
      </w:r>
      <w:r w:rsidRPr="00217FB1">
        <w:t>Scientific</w:t>
      </w:r>
      <w:r w:rsidR="00F81221">
        <w:t xml:space="preserve"> and </w:t>
      </w:r>
      <w:r w:rsidRPr="00217FB1">
        <w:t>technical-information - impetus for development in Southeast-Asia</w:t>
      </w:r>
      <w:r w:rsidRPr="00F621CE">
        <w:t xml:space="preserve">. </w:t>
      </w:r>
      <w:r w:rsidRPr="00CE7517">
        <w:rPr>
          <w:i/>
          <w:iCs/>
        </w:rPr>
        <w:t>International Forum on Information</w:t>
      </w:r>
      <w:r w:rsidR="00F81221">
        <w:rPr>
          <w:i/>
          <w:iCs/>
        </w:rPr>
        <w:t xml:space="preserve"> and </w:t>
      </w:r>
      <w:r w:rsidRPr="00CE7517">
        <w:rPr>
          <w:i/>
          <w:iCs/>
        </w:rPr>
        <w:t>Documentation</w:t>
      </w:r>
      <w:r w:rsidRPr="00F621CE">
        <w:t xml:space="preserve">, </w:t>
      </w:r>
      <w:r w:rsidRPr="00551655">
        <w:rPr>
          <w:b/>
          <w:bCs/>
        </w:rPr>
        <w:t>20</w:t>
      </w:r>
      <w:r w:rsidRPr="00F621CE">
        <w:t xml:space="preserve"> (2), </w:t>
      </w:r>
      <w:r w:rsidRPr="00217FB1">
        <w:t>3-13</w:t>
      </w:r>
      <w:r w:rsidRPr="00F621CE">
        <w:t>.</w:t>
      </w:r>
    </w:p>
    <w:p w:rsidR="00E26B64" w:rsidRPr="00217FB1" w:rsidRDefault="00E26B64" w:rsidP="00E26B64">
      <w:pPr>
        <w:pStyle w:val="a0"/>
      </w:pPr>
      <w:r w:rsidRPr="00217FB1">
        <w:rPr>
          <w:szCs w:val="19"/>
        </w:rPr>
        <w:t>Abstract:</w:t>
      </w:r>
      <w:r w:rsidRPr="00217FB1">
        <w:t xml:space="preserve"> Several authors have predicted that the twenty-first century will be the era of the </w:t>
      </w:r>
      <w:r w:rsidR="000352E7">
        <w:t>‘</w:t>
      </w:r>
      <w:r w:rsidRPr="00217FB1">
        <w:t>knowledge society</w:t>
      </w:r>
      <w:r w:rsidR="000352E7">
        <w:t>’</w:t>
      </w:r>
      <w:r w:rsidRPr="00217FB1">
        <w:t>. The real challenge for Southeast Asian nations is to build their society with foundations on scientific</w:t>
      </w:r>
      <w:r w:rsidR="00F81221">
        <w:t xml:space="preserve"> and </w:t>
      </w:r>
      <w:r w:rsidRPr="00217FB1">
        <w:t>technological knowledge. Currently, governments of Southeast Asian nations are competing for foreign investments in order to accelerate industrialization. This process brings in only a small share of technology temporarily. It is prudent for developing countries to accelerate their own knowledge production</w:t>
      </w:r>
      <w:r w:rsidR="00F81221">
        <w:t xml:space="preserve"> and </w:t>
      </w:r>
      <w:r w:rsidRPr="00217FB1">
        <w:t>distribution as these activities are an essential basis for industrialization. The knowledge industry has at its core: scholarship, research, publication,</w:t>
      </w:r>
      <w:r w:rsidR="00F81221">
        <w:t xml:space="preserve"> and </w:t>
      </w:r>
      <w:r w:rsidRPr="00217FB1">
        <w:t>the dissemination of knowledge. This study demonstrates data from bibliometric analysis of scientific publications in ASEAN countries, which indicate a high degree of knowledge dependence on English publications from the U.S.</w:t>
      </w:r>
      <w:r w:rsidR="00F81221">
        <w:t xml:space="preserve"> and </w:t>
      </w:r>
      <w:r w:rsidRPr="00217FB1">
        <w:t xml:space="preserve">U.K. Technology information through patents registered in </w:t>
      </w:r>
      <w:smartTag w:uri="urn:schemas-microsoft-com:office:smarttags" w:element="place">
        <w:smartTag w:uri="urn:schemas-microsoft-com:office:smarttags" w:element="country-region">
          <w:r w:rsidRPr="00217FB1">
            <w:t>Malaysia</w:t>
          </w:r>
        </w:smartTag>
      </w:smartTag>
      <w:r w:rsidRPr="00217FB1">
        <w:t xml:space="preserve"> also indicates only a small number of Malaysian patents, with a high citation rate to US patents. The provision 4 bibliographic access to current, local, scholarly information needs to be upgraded as well. The urgent agenda for SEA nations entering the twenty-first century is to focus on the production of scientific</w:t>
      </w:r>
      <w:r w:rsidR="00F81221">
        <w:t xml:space="preserve"> and </w:t>
      </w:r>
      <w:r w:rsidRPr="00217FB1">
        <w:t>technical knowledge to be on par with other industrialized nations.</w:t>
      </w:r>
    </w:p>
    <w:p w:rsidR="00E26B64" w:rsidRDefault="00E26B64" w:rsidP="00E26B64">
      <w:pPr>
        <w:pStyle w:val="a0"/>
        <w:rPr>
          <w:kern w:val="0"/>
          <w:szCs w:val="24"/>
        </w:rPr>
      </w:pPr>
      <w:r>
        <w:rPr>
          <w:rFonts w:hint="eastAsia"/>
          <w:kern w:val="0"/>
          <w:szCs w:val="24"/>
        </w:rPr>
        <w:lastRenderedPageBreak/>
        <w:t xml:space="preserve">? </w:t>
      </w:r>
      <w:r>
        <w:rPr>
          <w:kern w:val="0"/>
          <w:szCs w:val="24"/>
        </w:rPr>
        <w:t>lePair, C. (1995), Formal evaluation methods: Their utility</w:t>
      </w:r>
      <w:r w:rsidR="00F81221">
        <w:rPr>
          <w:kern w:val="0"/>
          <w:szCs w:val="24"/>
        </w:rPr>
        <w:t xml:space="preserve"> and </w:t>
      </w:r>
      <w:r>
        <w:rPr>
          <w:kern w:val="0"/>
          <w:szCs w:val="24"/>
        </w:rPr>
        <w:t xml:space="preserve">limitations.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20</w:t>
      </w:r>
      <w:r>
        <w:rPr>
          <w:kern w:val="0"/>
          <w:szCs w:val="24"/>
        </w:rPr>
        <w:t xml:space="preserve"> (4), 16-24.</w:t>
      </w:r>
    </w:p>
    <w:p w:rsidR="00E26B64" w:rsidRDefault="00E26B64" w:rsidP="00E26B64">
      <w:pPr>
        <w:pStyle w:val="a0"/>
        <w:rPr>
          <w:kern w:val="0"/>
          <w:szCs w:val="24"/>
        </w:rPr>
      </w:pPr>
      <w:r>
        <w:rPr>
          <w:kern w:val="0"/>
          <w:szCs w:val="24"/>
        </w:rPr>
        <w:t>Abstract: After some comments on evaluation as an integral part of science, the emphasis in this paper is on evaluation for policy purposes. Early attempts to validate the use of bibliometric indicators are outlined. Three lessons emerge: 1. Best results with a variety of methods 2. Reliable results if publication is the major means of communication 3. Useless in technology (applicable science) Next the measurement of a Citation Gap in applicable science is described. Examples are given of the use of bibliometrics in actual policy decisions about the selection of advisors, personnel</w:t>
      </w:r>
      <w:r w:rsidR="00F81221">
        <w:rPr>
          <w:kern w:val="0"/>
          <w:szCs w:val="24"/>
        </w:rPr>
        <w:t xml:space="preserve"> and </w:t>
      </w:r>
      <w:r>
        <w:rPr>
          <w:kern w:val="0"/>
          <w:szCs w:val="24"/>
        </w:rPr>
        <w:t>budgets. Bibliometrics for policy purposes should never be used on its own. In a final chapter a description is given of the evaluation method to select research projects for financial support, as applied by STW, the technology branch of the Netherlands</w:t>
      </w:r>
      <w:r w:rsidR="000352E7">
        <w:rPr>
          <w:kern w:val="0"/>
          <w:szCs w:val="24"/>
        </w:rPr>
        <w:t>’</w:t>
      </w:r>
      <w:r>
        <w:rPr>
          <w:kern w:val="0"/>
          <w:szCs w:val="24"/>
        </w:rPr>
        <w:t xml:space="preserve"> research council, NWO.</w:t>
      </w:r>
    </w:p>
    <w:p w:rsidR="00E26B64" w:rsidRDefault="00E26B64" w:rsidP="00E26B64">
      <w:pPr>
        <w:pStyle w:val="a0"/>
        <w:rPr>
          <w:kern w:val="0"/>
          <w:szCs w:val="24"/>
        </w:rPr>
      </w:pPr>
      <w:r>
        <w:rPr>
          <w:kern w:val="0"/>
          <w:szCs w:val="24"/>
        </w:rPr>
        <w:t>Keywords: Bibliometric, Bibliometric Indicators, Bibliometrics, Citation, Evaluation, Financial Support, Indicators, Measurement, Publication, Research, Science, Technology</w:t>
      </w:r>
    </w:p>
    <w:p w:rsidR="00E26B64" w:rsidRDefault="00E26B64" w:rsidP="00E26B64">
      <w:pPr>
        <w:pStyle w:val="a0"/>
        <w:rPr>
          <w:kern w:val="0"/>
          <w:szCs w:val="24"/>
        </w:rPr>
      </w:pPr>
      <w:r>
        <w:rPr>
          <w:rFonts w:hint="eastAsia"/>
          <w:kern w:val="0"/>
          <w:szCs w:val="24"/>
        </w:rPr>
        <w:t xml:space="preserve">? </w:t>
      </w:r>
      <w:r>
        <w:rPr>
          <w:kern w:val="0"/>
          <w:szCs w:val="24"/>
        </w:rPr>
        <w:t xml:space="preserve">Siddiqui, M.A. (1997), A bibliometric study of authorship characteristics in four international information science journals.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22</w:t>
      </w:r>
      <w:r>
        <w:rPr>
          <w:kern w:val="0"/>
          <w:szCs w:val="24"/>
        </w:rPr>
        <w:t xml:space="preserve"> (3), 3-23.</w:t>
      </w:r>
    </w:p>
    <w:p w:rsidR="00E26B64" w:rsidRDefault="00E26B64" w:rsidP="00E26B64">
      <w:pPr>
        <w:pStyle w:val="a0"/>
        <w:rPr>
          <w:kern w:val="0"/>
          <w:szCs w:val="24"/>
        </w:rPr>
      </w:pPr>
      <w:r>
        <w:rPr>
          <w:kern w:val="0"/>
          <w:szCs w:val="24"/>
        </w:rPr>
        <w:t>Abstract: Authorship characteristics in four major information science journals were examined to determine the details of their authors, such as sex occupation, affiliation, geographic distribution,</w:t>
      </w:r>
      <w:r w:rsidR="00F81221">
        <w:rPr>
          <w:kern w:val="0"/>
          <w:szCs w:val="24"/>
        </w:rPr>
        <w:t xml:space="preserve"> and </w:t>
      </w:r>
      <w:r>
        <w:rPr>
          <w:kern w:val="0"/>
          <w:szCs w:val="24"/>
        </w:rPr>
        <w:t>institutional affiliation. A total of 163 articles written by 294 authors were analyzed. Findings indicate that males (206 or 70.0%) publish 3.0 times more compared to females (69 or 23.5%),</w:t>
      </w:r>
      <w:r w:rsidR="00F81221">
        <w:rPr>
          <w:kern w:val="0"/>
          <w:szCs w:val="24"/>
        </w:rPr>
        <w:t xml:space="preserve"> and </w:t>
      </w:r>
      <w:r>
        <w:rPr>
          <w:kern w:val="0"/>
          <w:szCs w:val="24"/>
        </w:rPr>
        <w:t>the school of library</w:t>
      </w:r>
      <w:r w:rsidR="00F81221">
        <w:rPr>
          <w:kern w:val="0"/>
          <w:szCs w:val="24"/>
        </w:rPr>
        <w:t xml:space="preserve"> and </w:t>
      </w:r>
      <w:r>
        <w:rPr>
          <w:kern w:val="0"/>
          <w:szCs w:val="24"/>
        </w:rPr>
        <w:t>information science contributed the most male (39 or 78%),</w:t>
      </w:r>
      <w:r w:rsidR="00F81221">
        <w:rPr>
          <w:kern w:val="0"/>
          <w:szCs w:val="24"/>
        </w:rPr>
        <w:t xml:space="preserve"> and </w:t>
      </w:r>
      <w:r>
        <w:rPr>
          <w:kern w:val="0"/>
          <w:szCs w:val="24"/>
        </w:rPr>
        <w:t>female (11 or 22%) authors. Maximum number of authors (148 or 50.3%) were located in the U.S.A. with the Midwest (37 or 25.0%) region claiming the largest share. Academic libraries (110 or 37.4%) account for the major share of publication. Thirteen library</w:t>
      </w:r>
      <w:r w:rsidR="00F81221">
        <w:rPr>
          <w:kern w:val="0"/>
          <w:szCs w:val="24"/>
        </w:rPr>
        <w:t xml:space="preserve"> and </w:t>
      </w:r>
      <w:r>
        <w:rPr>
          <w:kern w:val="0"/>
          <w:szCs w:val="24"/>
        </w:rPr>
        <w:t>information science schools from the U.S.A. contributed 32 authors (50.0%). Assistant professors (25 or 39.1%) publish the most in library schools. Male library</w:t>
      </w:r>
      <w:r w:rsidR="00F81221">
        <w:rPr>
          <w:kern w:val="0"/>
          <w:szCs w:val="24"/>
        </w:rPr>
        <w:t xml:space="preserve"> and </w:t>
      </w:r>
      <w:r>
        <w:rPr>
          <w:kern w:val="0"/>
          <w:szCs w:val="24"/>
        </w:rPr>
        <w:t>information science school authors publish 1.6 times more in comparison to their female counterpart.</w:t>
      </w:r>
    </w:p>
    <w:p w:rsidR="00E26B64" w:rsidRDefault="00E26B64" w:rsidP="00E26B64">
      <w:pPr>
        <w:pStyle w:val="a0"/>
        <w:rPr>
          <w:kern w:val="0"/>
          <w:szCs w:val="24"/>
        </w:rPr>
      </w:pPr>
      <w:r>
        <w:rPr>
          <w:kern w:val="0"/>
          <w:szCs w:val="24"/>
        </w:rPr>
        <w:t>Keywords: Academic Librarians, Articles, Authors, Authorship, Bibliometric, Bibliometric Study, Citation Analysis, College, Faculty, Gender, Information Science, Institutional Affiliation, Journals, Libraries, Library</w:t>
      </w:r>
      <w:r w:rsidR="00F81221">
        <w:rPr>
          <w:kern w:val="0"/>
          <w:szCs w:val="24"/>
        </w:rPr>
        <w:t xml:space="preserve"> and </w:t>
      </w:r>
      <w:r>
        <w:rPr>
          <w:kern w:val="0"/>
          <w:szCs w:val="24"/>
        </w:rPr>
        <w:t>Information Science, Patterns, Publication, Schools, Science, Science Journals</w:t>
      </w:r>
    </w:p>
    <w:p w:rsidR="00E26B64" w:rsidRPr="00F621CE" w:rsidRDefault="00E26B64" w:rsidP="00E26B64">
      <w:pPr>
        <w:pStyle w:val="a0"/>
      </w:pPr>
      <w:r w:rsidRPr="00F621CE">
        <w:t>? Zhang, H.Q., He, D.G., He, L.</w:t>
      </w:r>
      <w:r w:rsidR="00F81221">
        <w:t xml:space="preserve"> and </w:t>
      </w:r>
      <w:r w:rsidRPr="00F621CE">
        <w:t>Li, J. (1997), The literature of Qigong: Publication patterns</w:t>
      </w:r>
      <w:r w:rsidR="00F81221">
        <w:t xml:space="preserve"> and </w:t>
      </w:r>
      <w:r w:rsidRPr="00F621CE">
        <w:t xml:space="preserve">subject headings. </w:t>
      </w:r>
      <w:r w:rsidRPr="00CE7517">
        <w:rPr>
          <w:i/>
          <w:iCs/>
        </w:rPr>
        <w:t>International Forum on Information</w:t>
      </w:r>
      <w:r w:rsidR="00F81221">
        <w:rPr>
          <w:i/>
          <w:iCs/>
        </w:rPr>
        <w:t xml:space="preserve"> and </w:t>
      </w:r>
      <w:r w:rsidRPr="00CE7517">
        <w:rPr>
          <w:i/>
          <w:iCs/>
        </w:rPr>
        <w:t>Documentation</w:t>
      </w:r>
      <w:r w:rsidRPr="00F621CE">
        <w:t xml:space="preserve">, </w:t>
      </w:r>
      <w:r w:rsidRPr="00551655">
        <w:rPr>
          <w:b/>
          <w:bCs/>
        </w:rPr>
        <w:t>22</w:t>
      </w:r>
      <w:r w:rsidRPr="00F621CE">
        <w:t xml:space="preserve"> (3), 38-44.</w:t>
      </w:r>
    </w:p>
    <w:p w:rsidR="00E26B64" w:rsidRPr="00D07B75" w:rsidRDefault="00E26B64" w:rsidP="00E26B64">
      <w:pPr>
        <w:pStyle w:val="a0"/>
      </w:pPr>
      <w:r w:rsidRPr="00F621CE">
        <w:lastRenderedPageBreak/>
        <w:t>Abstract: A study was undertaken to analyze the literature on Qigong by using bibliometric techniques. All journal papers indexed by the CD-ROM MEDLINE between 1965</w:t>
      </w:r>
      <w:r w:rsidR="00F81221">
        <w:t xml:space="preserve"> and </w:t>
      </w:r>
      <w:r w:rsidRPr="00F621CE">
        <w:t xml:space="preserve">1995 were included. Papers were identified by using the </w:t>
      </w:r>
      <w:r w:rsidR="000352E7">
        <w:t>‘</w:t>
      </w:r>
      <w:r w:rsidRPr="00F621CE">
        <w:t>breathing exercises</w:t>
      </w:r>
      <w:r w:rsidR="000352E7">
        <w:t>’</w:t>
      </w:r>
      <w:r w:rsidRPr="00F621CE">
        <w:t xml:space="preserve"> Medical Subject Headings (MeSH) term. The study is not only identify a set of core journals, but also illustrate the changin</w:t>
      </w:r>
      <w:r w:rsidRPr="00D07B75">
        <w:t>g frequency with MeSH terms, as well as evaluate the research areas by measuring the information from these respective subject headings. The findings have implications for database searching</w:t>
      </w:r>
      <w:r w:rsidR="00F81221">
        <w:t xml:space="preserve"> and </w:t>
      </w:r>
      <w:r w:rsidRPr="00D07B75">
        <w:t>MeSH terms accessing</w:t>
      </w:r>
    </w:p>
    <w:p w:rsidR="00E26B64" w:rsidRPr="00BD191D" w:rsidRDefault="00E26B64" w:rsidP="00E26B64">
      <w:pPr>
        <w:pStyle w:val="a0"/>
      </w:pPr>
      <w:r w:rsidRPr="00F621CE">
        <w:t>Keywords: Bibliometric, Documentation, I</w:t>
      </w:r>
      <w:r w:rsidRPr="00D07B75">
        <w:t xml:space="preserve">nformation, Journal, Journals, Literature, </w:t>
      </w:r>
      <w:r w:rsidRPr="00F621CE">
        <w:t>MEDLINE, Research</w:t>
      </w:r>
    </w:p>
    <w:p w:rsidR="00E26B64" w:rsidRDefault="00E26B64" w:rsidP="00E26B64">
      <w:pPr>
        <w:pStyle w:val="a0"/>
        <w:rPr>
          <w:kern w:val="0"/>
          <w:szCs w:val="24"/>
        </w:rPr>
      </w:pPr>
      <w:r>
        <w:rPr>
          <w:rFonts w:hint="eastAsia"/>
          <w:kern w:val="0"/>
          <w:szCs w:val="24"/>
        </w:rPr>
        <w:t xml:space="preserve">? </w:t>
      </w:r>
      <w:r>
        <w:rPr>
          <w:kern w:val="0"/>
          <w:szCs w:val="24"/>
        </w:rPr>
        <w:t>Ding, Y. (1998), Scholarly communication</w:t>
      </w:r>
      <w:r w:rsidR="00F81221">
        <w:rPr>
          <w:kern w:val="0"/>
          <w:szCs w:val="24"/>
        </w:rPr>
        <w:t xml:space="preserve"> and </w:t>
      </w:r>
      <w:r>
        <w:rPr>
          <w:kern w:val="0"/>
          <w:szCs w:val="24"/>
        </w:rPr>
        <w:t xml:space="preserve">bibliometrics: Part II. The scholarly communication process - Literature review. </w:t>
      </w:r>
      <w:r>
        <w:rPr>
          <w:i/>
          <w:iCs/>
          <w:kern w:val="0"/>
          <w:szCs w:val="24"/>
        </w:rPr>
        <w:t>International Forum on Information</w:t>
      </w:r>
      <w:r w:rsidR="00F81221">
        <w:rPr>
          <w:i/>
          <w:iCs/>
          <w:kern w:val="0"/>
          <w:szCs w:val="24"/>
        </w:rPr>
        <w:t xml:space="preserve"> and </w:t>
      </w:r>
      <w:r>
        <w:rPr>
          <w:i/>
          <w:iCs/>
          <w:kern w:val="0"/>
          <w:szCs w:val="24"/>
        </w:rPr>
        <w:t>Documentation</w:t>
      </w:r>
      <w:r>
        <w:rPr>
          <w:kern w:val="0"/>
          <w:szCs w:val="24"/>
        </w:rPr>
        <w:t xml:space="preserve">, </w:t>
      </w:r>
      <w:r>
        <w:rPr>
          <w:b/>
          <w:bCs/>
          <w:kern w:val="0"/>
          <w:szCs w:val="24"/>
        </w:rPr>
        <w:t>23</w:t>
      </w:r>
      <w:r>
        <w:rPr>
          <w:kern w:val="0"/>
          <w:szCs w:val="24"/>
        </w:rPr>
        <w:t xml:space="preserve"> (3), 3-19.</w:t>
      </w:r>
    </w:p>
    <w:p w:rsidR="00E26B64" w:rsidRDefault="00E26B64" w:rsidP="00E26B64">
      <w:pPr>
        <w:pStyle w:val="a0"/>
        <w:rPr>
          <w:kern w:val="0"/>
          <w:szCs w:val="24"/>
        </w:rPr>
      </w:pPr>
      <w:r>
        <w:rPr>
          <w:kern w:val="0"/>
          <w:szCs w:val="24"/>
        </w:rPr>
        <w:t>Abstract: This article is part II of a literature review on scholarly communication</w:t>
      </w:r>
      <w:r w:rsidR="00F81221">
        <w:rPr>
          <w:kern w:val="0"/>
          <w:szCs w:val="24"/>
        </w:rPr>
        <w:t xml:space="preserve"> and </w:t>
      </w:r>
      <w:r>
        <w:rPr>
          <w:kern w:val="0"/>
          <w:szCs w:val="24"/>
        </w:rPr>
        <w:t>bibliometrics. The first part was published in (FID no. 2</w:t>
      </w:r>
      <w:r w:rsidR="00F81221">
        <w:rPr>
          <w:kern w:val="0"/>
          <w:szCs w:val="24"/>
        </w:rPr>
        <w:t xml:space="preserve"> and </w:t>
      </w:r>
      <w:r>
        <w:rPr>
          <w:kern w:val="0"/>
          <w:szCs w:val="24"/>
        </w:rPr>
        <w:t>dealt with the scholarly communication model. The second part will deal with the scholarly communication process. In recent years there has been a resurgence of interest both in scholarly communication as a research area</w:t>
      </w:r>
      <w:r w:rsidR="00F81221">
        <w:rPr>
          <w:kern w:val="0"/>
          <w:szCs w:val="24"/>
        </w:rPr>
        <w:t xml:space="preserve"> and </w:t>
      </w:r>
      <w:r>
        <w:rPr>
          <w:kern w:val="0"/>
          <w:szCs w:val="24"/>
        </w:rPr>
        <w:t>in the application of bibliometrics as a research method This article discusses the scholarly communication process from the following three points of view: (I) scholarly communication participants the human element in scholarly communication; (2) scholarly communication media - the carrier element in scholarly communication; (3) information diffusion in scholarly communication - the message element in scholarly communication. Scientific research is all information consuming as well as producing human activity of which output outperforms its input. The study of characteristics of information processes represents a central topic in the discipline of science</w:t>
      </w:r>
      <w:r w:rsidR="00F81221">
        <w:rPr>
          <w:kern w:val="0"/>
          <w:szCs w:val="24"/>
        </w:rPr>
        <w:t xml:space="preserve"> and </w:t>
      </w:r>
      <w:r>
        <w:rPr>
          <w:kern w:val="0"/>
          <w:szCs w:val="24"/>
        </w:rPr>
        <w:t>also in Bibliometrics. The channels of information either in the classical printed or in electronic form are the scientific journals, which contain about 70 % of the new information, produced in natural sciences. Conditions</w:t>
      </w:r>
      <w:r w:rsidR="00F81221">
        <w:rPr>
          <w:kern w:val="0"/>
          <w:szCs w:val="24"/>
        </w:rPr>
        <w:t xml:space="preserve"> and </w:t>
      </w:r>
      <w:r>
        <w:rPr>
          <w:kern w:val="0"/>
          <w:szCs w:val="24"/>
        </w:rPr>
        <w:t>intensity of the information flow between persons, teams, institutions, countries, etc. have been widely studied. Information emitters, being absorbers as well, may form a social network, which is frequently</w:t>
      </w:r>
      <w:r w:rsidR="00F81221">
        <w:rPr>
          <w:kern w:val="0"/>
          <w:szCs w:val="24"/>
        </w:rPr>
        <w:t xml:space="preserve"> and </w:t>
      </w:r>
      <w:r>
        <w:rPr>
          <w:kern w:val="0"/>
          <w:szCs w:val="24"/>
        </w:rPr>
        <w:t>thoroughly studied by many authors.</w:t>
      </w:r>
    </w:p>
    <w:p w:rsidR="00E26B64" w:rsidRDefault="00E26B64" w:rsidP="00E26B64">
      <w:pPr>
        <w:pStyle w:val="a0"/>
        <w:rPr>
          <w:kern w:val="0"/>
          <w:szCs w:val="24"/>
        </w:rPr>
      </w:pPr>
      <w:r>
        <w:rPr>
          <w:kern w:val="0"/>
          <w:szCs w:val="24"/>
        </w:rPr>
        <w:t>Keywords: Authors, Behavior, Bibliometrics, Citation Analysis, Cocitation Analysis, Countries, Information-Transfer, Intellectual Structure, International Scientific Collaboration, Journal Impact Factors, Journals, Literature, Literature Review, Multiple Authorship, Network, Research, Scholarly Communication, Science, Sciences, Scientific Journals, Social-Sciences</w:t>
      </w:r>
    </w:p>
    <w:p w:rsidR="00B95188" w:rsidRPr="00A428C3" w:rsidRDefault="00B95188" w:rsidP="00B95188">
      <w:pPr>
        <w:pStyle w:val="1"/>
      </w:pPr>
      <w:r w:rsidRPr="00A428C3">
        <w:br w:type="page"/>
      </w:r>
      <w:bookmarkStart w:id="1211" w:name="_Toc455569481"/>
      <w:bookmarkStart w:id="1212" w:name="_Toc487190727"/>
      <w:bookmarkStart w:id="1213" w:name="_Toc487882232"/>
      <w:bookmarkStart w:id="1214" w:name="_Toc490688057"/>
      <w:bookmarkStart w:id="1215" w:name="_Toc492812170"/>
      <w:bookmarkStart w:id="1216" w:name="_Toc186647898"/>
      <w:bookmarkStart w:id="1217" w:name="_Toc317161253"/>
      <w:r w:rsidRPr="00A428C3">
        <w:lastRenderedPageBreak/>
        <w:t>Title: International Geology Review</w:t>
      </w:r>
      <w:bookmarkEnd w:id="1211"/>
      <w:bookmarkEnd w:id="1212"/>
      <w:bookmarkEnd w:id="1213"/>
      <w:bookmarkEnd w:id="1214"/>
      <w:bookmarkEnd w:id="1215"/>
      <w:bookmarkEnd w:id="1216"/>
      <w:bookmarkEnd w:id="1217"/>
    </w:p>
    <w:p w:rsidR="00B95188" w:rsidRPr="00A428C3" w:rsidRDefault="00B95188" w:rsidP="00B72EF9">
      <w:pPr>
        <w:pStyle w:val="12"/>
      </w:pPr>
      <w:bookmarkStart w:id="1218" w:name="Kashirtseva"/>
      <w:r w:rsidRPr="00A428C3">
        <w:t>Full Journal Title: International Geology Review</w:t>
      </w:r>
    </w:p>
    <w:p w:rsidR="00B95188" w:rsidRPr="00A428C3" w:rsidRDefault="00B95188" w:rsidP="00B72EF9">
      <w:pPr>
        <w:pStyle w:val="12"/>
      </w:pPr>
      <w:r w:rsidRPr="00A428C3">
        <w:t>ISO Abbreviated Title: Internat. Geol. Rev.</w:t>
      </w:r>
    </w:p>
    <w:p w:rsidR="00B95188" w:rsidRPr="00A428C3" w:rsidRDefault="00B95188" w:rsidP="00B72EF9">
      <w:pPr>
        <w:pStyle w:val="12"/>
      </w:pPr>
      <w:r w:rsidRPr="00A428C3">
        <w:t>JCR Abbreviated Title: Internat Geol Rev</w:t>
      </w:r>
    </w:p>
    <w:p w:rsidR="00B95188" w:rsidRPr="00A428C3" w:rsidRDefault="00B95188" w:rsidP="00B72EF9">
      <w:pPr>
        <w:pStyle w:val="12"/>
      </w:pPr>
      <w:r w:rsidRPr="00A428C3">
        <w:t>ISSN: 0020-6814</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V H Winston &amp; Son Inc</w:t>
      </w:r>
    </w:p>
    <w:p w:rsidR="00B95188" w:rsidRPr="00A428C3" w:rsidRDefault="00B95188" w:rsidP="00B72EF9">
      <w:pPr>
        <w:pStyle w:val="12"/>
      </w:pPr>
      <w:r w:rsidRPr="00A428C3">
        <w:t xml:space="preserve">Publisher Address: </w:t>
      </w:r>
      <w:smartTag w:uri="urn:schemas-microsoft-com:office:smarttags" w:element="Street">
        <w:smartTag w:uri="urn:schemas-microsoft-com:office:smarttags" w:element="address">
          <w:r w:rsidRPr="00A428C3">
            <w:t>360 South Ocean Blvd</w:t>
          </w:r>
        </w:smartTag>
      </w:smartTag>
      <w:r w:rsidRPr="00A428C3">
        <w:t xml:space="preserve">, PH-B, </w:t>
      </w:r>
      <w:smartTag w:uri="urn:schemas-microsoft-com:office:smarttags" w:element="place">
        <w:smartTag w:uri="urn:schemas-microsoft-com:office:smarttags" w:element="City">
          <w:r w:rsidRPr="00A428C3">
            <w:t>Palm Beach</w:t>
          </w:r>
        </w:smartTag>
        <w:r w:rsidRPr="00A428C3">
          <w:t xml:space="preserve">, </w:t>
        </w:r>
        <w:smartTag w:uri="urn:schemas-microsoft-com:office:smarttags" w:element="State">
          <w:r w:rsidRPr="00A428C3">
            <w:t>FL</w:t>
          </w:r>
        </w:smartTag>
        <w:r w:rsidRPr="00A428C3">
          <w:t xml:space="preserve"> </w:t>
        </w:r>
        <w:smartTag w:uri="urn:schemas-microsoft-com:office:smarttags" w:element="PostalCode">
          <w:r w:rsidRPr="00A428C3">
            <w:t>33480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Geology: Impact Factor 0.767, / (2001)</w:t>
      </w:r>
    </w:p>
    <w:p w:rsidR="00B95188" w:rsidRPr="00A428C3" w:rsidRDefault="00B95188" w:rsidP="00B95188">
      <w:pPr>
        <w:pStyle w:val="a0"/>
      </w:pPr>
      <w:r w:rsidRPr="00A428C3">
        <w:t>Kashirtseva</w:t>
      </w:r>
      <w:bookmarkEnd w:id="1218"/>
      <w:r w:rsidRPr="00A428C3">
        <w:t>, M.F. (1960), Experimental data on sorption of copper by various minerals</w:t>
      </w:r>
      <w:r w:rsidR="00F81221">
        <w:t xml:space="preserve"> and </w:t>
      </w:r>
      <w:r w:rsidRPr="00A428C3">
        <w:t xml:space="preserve">organic sorbing agents. </w:t>
      </w:r>
      <w:r w:rsidRPr="00A428C3">
        <w:rPr>
          <w:i/>
        </w:rPr>
        <w:t>International Geology Review</w:t>
      </w:r>
      <w:r w:rsidRPr="00A428C3">
        <w:t xml:space="preserve">, </w:t>
      </w:r>
      <w:r w:rsidRPr="00A428C3">
        <w:rPr>
          <w:b/>
        </w:rPr>
        <w:t>2</w:t>
      </w:r>
      <w:r w:rsidRPr="00A428C3">
        <w:t>, 52-59.</w:t>
      </w:r>
    </w:p>
    <w:p w:rsidR="00AB1561" w:rsidRPr="00A428C3" w:rsidRDefault="00AB1561" w:rsidP="00AB1561">
      <w:pPr>
        <w:pStyle w:val="1"/>
      </w:pPr>
      <w:r w:rsidRPr="00A428C3">
        <w:br w:type="page"/>
      </w:r>
      <w:bookmarkStart w:id="1219" w:name="_Toc186647895"/>
      <w:bookmarkStart w:id="1220" w:name="_Toc317161254"/>
      <w:r w:rsidRPr="00A428C3">
        <w:lastRenderedPageBreak/>
        <w:t>Title: International Information, Communication</w:t>
      </w:r>
      <w:r w:rsidR="00F81221">
        <w:t xml:space="preserve"> and </w:t>
      </w:r>
      <w:r w:rsidRPr="00A428C3">
        <w:t>Education</w:t>
      </w:r>
      <w:bookmarkEnd w:id="1219"/>
      <w:bookmarkEnd w:id="1220"/>
    </w:p>
    <w:p w:rsidR="00AB1561" w:rsidRPr="00A428C3" w:rsidRDefault="00AB1561" w:rsidP="00AB1561">
      <w:pPr>
        <w:pStyle w:val="12"/>
      </w:pPr>
      <w:r w:rsidRPr="00A428C3">
        <w:t>Full Journal Title: International Information, Communication</w:t>
      </w:r>
      <w:r w:rsidR="00F81221">
        <w:t xml:space="preserve"> and </w:t>
      </w:r>
      <w:r w:rsidRPr="00A428C3">
        <w:t>Education</w:t>
      </w:r>
    </w:p>
    <w:p w:rsidR="00AB1561" w:rsidRPr="00A428C3" w:rsidRDefault="00AB1561" w:rsidP="00AB1561">
      <w:pPr>
        <w:pStyle w:val="12"/>
      </w:pPr>
      <w:r w:rsidRPr="00A428C3">
        <w:t xml:space="preserve">ISO Abbreviated Title: </w:t>
      </w:r>
    </w:p>
    <w:p w:rsidR="00AB1561" w:rsidRPr="00A428C3" w:rsidRDefault="00AB1561" w:rsidP="00AB1561">
      <w:pPr>
        <w:pStyle w:val="12"/>
      </w:pPr>
      <w:r w:rsidRPr="00A428C3">
        <w:t>JCR Abbreviated Title:</w:t>
      </w:r>
    </w:p>
    <w:p w:rsidR="00AB1561" w:rsidRPr="00A428C3" w:rsidRDefault="00AB1561" w:rsidP="00AB1561">
      <w:pPr>
        <w:pStyle w:val="12"/>
      </w:pPr>
      <w:r w:rsidRPr="00A428C3">
        <w:t xml:space="preserve">ISSN: </w:t>
      </w:r>
    </w:p>
    <w:p w:rsidR="00AB1561" w:rsidRPr="00A428C3" w:rsidRDefault="00AB1561" w:rsidP="00AB1561">
      <w:pPr>
        <w:pStyle w:val="12"/>
      </w:pPr>
      <w:r w:rsidRPr="00A428C3">
        <w:t xml:space="preserve">Issues/Year: </w:t>
      </w:r>
    </w:p>
    <w:p w:rsidR="00AB1561" w:rsidRPr="00A428C3" w:rsidRDefault="00AB1561" w:rsidP="00AB1561">
      <w:pPr>
        <w:pStyle w:val="12"/>
      </w:pPr>
      <w:r w:rsidRPr="00A428C3">
        <w:t xml:space="preserve">Journal Country/Territory: </w:t>
      </w:r>
    </w:p>
    <w:p w:rsidR="00AB1561" w:rsidRPr="00A428C3" w:rsidRDefault="00AB1561" w:rsidP="00AB1561">
      <w:pPr>
        <w:pStyle w:val="12"/>
      </w:pPr>
      <w:r w:rsidRPr="00A428C3">
        <w:t xml:space="preserve">Language: </w:t>
      </w:r>
    </w:p>
    <w:p w:rsidR="00AB1561" w:rsidRPr="00A428C3" w:rsidRDefault="00AB1561" w:rsidP="00AB1561">
      <w:pPr>
        <w:pStyle w:val="12"/>
      </w:pPr>
      <w:r w:rsidRPr="00A428C3">
        <w:t xml:space="preserve">Publisher: </w:t>
      </w:r>
    </w:p>
    <w:p w:rsidR="00AB1561" w:rsidRPr="00A428C3" w:rsidRDefault="00AB1561" w:rsidP="00AB1561">
      <w:pPr>
        <w:pStyle w:val="12"/>
      </w:pPr>
      <w:r w:rsidRPr="00A428C3">
        <w:t xml:space="preserve">Publisher Address: </w:t>
      </w:r>
    </w:p>
    <w:p w:rsidR="00AB1561" w:rsidRPr="00A428C3" w:rsidRDefault="00AB1561" w:rsidP="00AB1561">
      <w:pPr>
        <w:pStyle w:val="12"/>
      </w:pPr>
      <w:r w:rsidRPr="00A428C3">
        <w:t xml:space="preserve">Subject Categories: </w:t>
      </w:r>
    </w:p>
    <w:p w:rsidR="00AB1561" w:rsidRPr="00A428C3" w:rsidRDefault="00AB1561" w:rsidP="00AB1561">
      <w:pPr>
        <w:pStyle w:val="12"/>
      </w:pPr>
      <w:r w:rsidRPr="00A428C3">
        <w:t xml:space="preserve">: Impact Factor </w:t>
      </w:r>
    </w:p>
    <w:p w:rsidR="00AB1561" w:rsidRPr="00A428C3" w:rsidRDefault="00AB1561" w:rsidP="00AB1561">
      <w:pPr>
        <w:pStyle w:val="a0"/>
      </w:pPr>
      <w:r w:rsidRPr="00A428C3">
        <w:t>Kalyane, V.L. (1994), Establishing scientometric database for harnessing expertise</w:t>
      </w:r>
      <w:r w:rsidR="00F81221">
        <w:t xml:space="preserve"> and </w:t>
      </w:r>
      <w:r w:rsidRPr="00A428C3">
        <w:t xml:space="preserve">information sources. </w:t>
      </w:r>
      <w:r w:rsidRPr="00A428C3">
        <w:rPr>
          <w:i/>
          <w:iCs/>
        </w:rPr>
        <w:t>International Information, Communication</w:t>
      </w:r>
      <w:r w:rsidR="00F81221">
        <w:rPr>
          <w:i/>
          <w:iCs/>
        </w:rPr>
        <w:t xml:space="preserve"> and </w:t>
      </w:r>
      <w:r w:rsidRPr="00A428C3">
        <w:rPr>
          <w:i/>
          <w:iCs/>
        </w:rPr>
        <w:t>Education</w:t>
      </w:r>
      <w:r w:rsidRPr="00A428C3">
        <w:t xml:space="preserve">, </w:t>
      </w:r>
      <w:r w:rsidRPr="00A428C3">
        <w:rPr>
          <w:b/>
        </w:rPr>
        <w:t>13</w:t>
      </w:r>
      <w:r w:rsidRPr="00A428C3">
        <w:t xml:space="preserve"> (2), 208-212.</w:t>
      </w:r>
    </w:p>
    <w:p w:rsidR="00AB1561" w:rsidRPr="00A428C3" w:rsidRDefault="00AB1561" w:rsidP="00AB1561">
      <w:pPr>
        <w:pStyle w:val="a0"/>
      </w:pPr>
      <w:r w:rsidRPr="00A428C3">
        <w:t xml:space="preserve">Full Text: </w:t>
      </w:r>
      <w:hyperlink r:id="rId1614" w:history="1">
        <w:r w:rsidRPr="00A428C3">
          <w:rPr>
            <w:rStyle w:val="a5"/>
          </w:rPr>
          <w:t>I\Int Inf Com Edu13, 208.pdf</w:t>
        </w:r>
      </w:hyperlink>
    </w:p>
    <w:p w:rsidR="00AB1561" w:rsidRPr="00A428C3" w:rsidRDefault="00AB1561" w:rsidP="00AB1561">
      <w:pPr>
        <w:pStyle w:val="a0"/>
      </w:pPr>
      <w:r w:rsidRPr="00A428C3">
        <w:t>Keywords: Bibliometrics, Scientometrics, Databases, Publication Productivity, Citation Analysis</w:t>
      </w:r>
    </w:p>
    <w:p w:rsidR="00B95188" w:rsidRPr="00A428C3" w:rsidRDefault="00B95188" w:rsidP="00B95188">
      <w:pPr>
        <w:pStyle w:val="1"/>
      </w:pPr>
      <w:r w:rsidRPr="00586CD8">
        <w:br w:type="page"/>
      </w:r>
      <w:bookmarkStart w:id="1221" w:name="_Toc186647899"/>
      <w:bookmarkStart w:id="1222" w:name="_Toc317161255"/>
      <w:r w:rsidRPr="00A428C3">
        <w:lastRenderedPageBreak/>
        <w:t>Title: International Information &amp; Library Review</w:t>
      </w:r>
      <w:bookmarkEnd w:id="1221"/>
      <w:bookmarkEnd w:id="1222"/>
    </w:p>
    <w:p w:rsidR="0094328E" w:rsidRPr="001A3D2B" w:rsidRDefault="0094328E" w:rsidP="00B72EF9">
      <w:pPr>
        <w:pStyle w:val="12"/>
      </w:pPr>
      <w:r w:rsidRPr="001A3D2B">
        <w:t xml:space="preserve">Formerly known as </w:t>
      </w:r>
      <w:hyperlink r:id="rId1615" w:history="1">
        <w:r w:rsidRPr="001A3D2B">
          <w:rPr>
            <w:rStyle w:val="a5"/>
          </w:rPr>
          <w:t>International Library Review</w:t>
        </w:r>
      </w:hyperlink>
    </w:p>
    <w:p w:rsidR="0094328E" w:rsidRPr="001A3D2B" w:rsidRDefault="0094328E" w:rsidP="00B72EF9">
      <w:pPr>
        <w:pStyle w:val="12"/>
      </w:pPr>
      <w:r w:rsidRPr="001A3D2B">
        <w:t xml:space="preserve">Full Journal Title: </w:t>
      </w:r>
      <w:hyperlink r:id="rId1616" w:history="1">
        <w:r w:rsidRPr="001A3D2B">
          <w:rPr>
            <w:rStyle w:val="a5"/>
          </w:rPr>
          <w:t>International Information &amp; Library Review</w:t>
        </w:r>
      </w:hyperlink>
    </w:p>
    <w:p w:rsidR="0094328E" w:rsidRPr="001A3D2B" w:rsidRDefault="0094328E" w:rsidP="00B72EF9">
      <w:pPr>
        <w:pStyle w:val="12"/>
      </w:pPr>
      <w:r w:rsidRPr="001A3D2B">
        <w:t xml:space="preserve">ISO Abbreviated Title: </w:t>
      </w:r>
    </w:p>
    <w:p w:rsidR="0094328E" w:rsidRPr="001A3D2B" w:rsidRDefault="0094328E" w:rsidP="00B72EF9">
      <w:pPr>
        <w:pStyle w:val="12"/>
      </w:pPr>
      <w:r w:rsidRPr="001A3D2B">
        <w:t>JCR Abbreviated Title: Int Inf Libr Rev</w:t>
      </w:r>
    </w:p>
    <w:p w:rsidR="0094328E" w:rsidRPr="001A3D2B" w:rsidRDefault="0094328E" w:rsidP="00B72EF9">
      <w:pPr>
        <w:pStyle w:val="12"/>
      </w:pPr>
      <w:r w:rsidRPr="001A3D2B">
        <w:t>ISSN: 1057-2317</w:t>
      </w:r>
    </w:p>
    <w:p w:rsidR="0094328E" w:rsidRPr="001A3D2B" w:rsidRDefault="0094328E" w:rsidP="00B72EF9">
      <w:pPr>
        <w:pStyle w:val="12"/>
      </w:pPr>
      <w:r w:rsidRPr="001A3D2B">
        <w:t xml:space="preserve">Issues/Year: </w:t>
      </w:r>
    </w:p>
    <w:p w:rsidR="0094328E" w:rsidRPr="001A3D2B" w:rsidRDefault="0094328E" w:rsidP="00B72EF9">
      <w:pPr>
        <w:pStyle w:val="12"/>
      </w:pPr>
      <w:r w:rsidRPr="001A3D2B">
        <w:t xml:space="preserve">Journal Country/Territory: </w:t>
      </w:r>
    </w:p>
    <w:p w:rsidR="0094328E" w:rsidRPr="001A3D2B" w:rsidRDefault="0094328E" w:rsidP="00B72EF9">
      <w:pPr>
        <w:pStyle w:val="12"/>
      </w:pPr>
      <w:r w:rsidRPr="001A3D2B">
        <w:t xml:space="preserve">Language: </w:t>
      </w:r>
    </w:p>
    <w:p w:rsidR="0094328E" w:rsidRPr="001A3D2B" w:rsidRDefault="0094328E" w:rsidP="00B72EF9">
      <w:pPr>
        <w:pStyle w:val="12"/>
      </w:pPr>
      <w:r w:rsidRPr="001A3D2B">
        <w:t xml:space="preserve">Publisher: </w:t>
      </w:r>
    </w:p>
    <w:p w:rsidR="0094328E" w:rsidRPr="001A3D2B" w:rsidRDefault="0094328E" w:rsidP="00B72EF9">
      <w:pPr>
        <w:pStyle w:val="12"/>
      </w:pPr>
      <w:r w:rsidRPr="001A3D2B">
        <w:t xml:space="preserve">Publisher Address: </w:t>
      </w:r>
    </w:p>
    <w:p w:rsidR="0094328E" w:rsidRPr="001A3D2B" w:rsidRDefault="0094328E" w:rsidP="00B72EF9">
      <w:pPr>
        <w:pStyle w:val="12"/>
      </w:pPr>
      <w:r w:rsidRPr="001A3D2B">
        <w:t>Subject Categories:</w:t>
      </w:r>
    </w:p>
    <w:p w:rsidR="0094328E" w:rsidRPr="001A3D2B" w:rsidRDefault="0094328E" w:rsidP="00B72EF9">
      <w:pPr>
        <w:pStyle w:val="12"/>
      </w:pPr>
      <w:r w:rsidRPr="001A3D2B">
        <w:t xml:space="preserve">: Impact Factor </w:t>
      </w:r>
    </w:p>
    <w:p w:rsidR="00B95188" w:rsidRPr="00A428C3" w:rsidRDefault="00B95188" w:rsidP="00B95188">
      <w:pPr>
        <w:pStyle w:val="a0"/>
      </w:pPr>
      <w:r w:rsidRPr="00A428C3">
        <w:t>Ashoor, M.S.</w:t>
      </w:r>
      <w:r w:rsidR="00F81221">
        <w:t xml:space="preserve"> and </w:t>
      </w:r>
      <w:r w:rsidRPr="00A428C3">
        <w:t xml:space="preserve">Chaudhry, A.S. (1993), Publication patterns of scientists working in </w:t>
      </w:r>
      <w:smartTag w:uri="urn:schemas-microsoft-com:office:smarttags" w:element="place">
        <w:smartTag w:uri="urn:schemas-microsoft-com:office:smarttags" w:element="country-region">
          <w:r w:rsidRPr="00A428C3">
            <w:t>Saudi Arabia</w:t>
          </w:r>
        </w:smartTag>
      </w:smartTag>
      <w:r w:rsidRPr="00A428C3">
        <w:t xml:space="preserve">. </w:t>
      </w:r>
      <w:r w:rsidRPr="00A428C3">
        <w:rPr>
          <w:i/>
          <w:iCs/>
        </w:rPr>
        <w:t>International Information &amp; Library Review</w:t>
      </w:r>
      <w:r w:rsidRPr="00A428C3">
        <w:t xml:space="preserve">, </w:t>
      </w:r>
      <w:r w:rsidRPr="00A428C3">
        <w:rPr>
          <w:b/>
        </w:rPr>
        <w:t>25</w:t>
      </w:r>
      <w:r w:rsidRPr="00A428C3">
        <w:t xml:space="preserve"> (1), 61-71.</w:t>
      </w:r>
    </w:p>
    <w:p w:rsidR="00B95188" w:rsidRPr="00A428C3" w:rsidRDefault="00B95188" w:rsidP="00B95188">
      <w:pPr>
        <w:pStyle w:val="a0"/>
      </w:pPr>
      <w:r w:rsidRPr="00A428C3">
        <w:t xml:space="preserve">Full Text: </w:t>
      </w:r>
      <w:hyperlink r:id="rId1617" w:history="1">
        <w:r w:rsidRPr="00A428C3">
          <w:rPr>
            <w:rStyle w:val="a5"/>
          </w:rPr>
          <w:t>I\Int Inf Lib Rev25, 61.pdf</w:t>
        </w:r>
      </w:hyperlink>
    </w:p>
    <w:p w:rsidR="00B95188" w:rsidRPr="00A428C3" w:rsidRDefault="00B95188" w:rsidP="00B95188">
      <w:pPr>
        <w:pStyle w:val="a0"/>
      </w:pPr>
      <w:r w:rsidRPr="00A428C3">
        <w:t xml:space="preserve">Abstract: A literature review of the publishing behaviours of scientists in developing countries indicated that they preferred to publish in English in foreign journals. In </w:t>
      </w:r>
      <w:smartTag w:uri="urn:schemas-microsoft-com:office:smarttags" w:element="place">
        <w:smartTag w:uri="urn:schemas-microsoft-com:office:smarttags" w:element="country-region">
          <w:r w:rsidRPr="00A428C3">
            <w:t>Saudi Arabia</w:t>
          </w:r>
        </w:smartTag>
      </w:smartTag>
      <w:r w:rsidRPr="00A428C3">
        <w:t xml:space="preserve">, also, English is used as the main language of scientific communication. Not much scientific research is reported in the Arabic language. A study based on a computerized database of journal articles derived from the </w:t>
      </w:r>
      <w:r w:rsidRPr="00A428C3">
        <w:rPr>
          <w:i/>
          <w:iCs/>
        </w:rPr>
        <w:t>Science Citation Index</w:t>
      </w:r>
      <w:r w:rsidRPr="00A428C3">
        <w:t xml:space="preserve"> (1980-1984) was conducted to investigate the publishing patterns of scientists working in </w:t>
      </w:r>
      <w:smartTag w:uri="urn:schemas-microsoft-com:office:smarttags" w:element="place">
        <w:smartTag w:uri="urn:schemas-microsoft-com:office:smarttags" w:element="country-region">
          <w:r w:rsidRPr="00A428C3">
            <w:t>Saudi Arabia</w:t>
          </w:r>
        </w:smartTag>
      </w:smartTag>
      <w:r w:rsidRPr="00A428C3">
        <w:t>. Publication productivity of the Saudi scientists was found quite strong with teaching institutions contributing most of the publications. While biological</w:t>
      </w:r>
      <w:r w:rsidR="00F81221">
        <w:t xml:space="preserve"> and </w:t>
      </w:r>
      <w:r w:rsidRPr="00A428C3">
        <w:t>medical sciences dominate the research activities, chemists seem to be the single most productive group. Publication outlets in the USA</w:t>
      </w:r>
      <w:r w:rsidR="00F81221">
        <w:t xml:space="preserve"> and </w:t>
      </w:r>
      <w:r w:rsidRPr="00A428C3">
        <w:t xml:space="preserve">the </w:t>
      </w:r>
      <w:smartTag w:uri="urn:schemas-microsoft-com:office:smarttags" w:element="country-region">
        <w:r w:rsidRPr="00A428C3">
          <w:t>UK</w:t>
        </w:r>
      </w:smartTag>
      <w:r w:rsidRPr="00A428C3">
        <w:t xml:space="preserve"> are preferred by scientists working in </w:t>
      </w:r>
      <w:smartTag w:uri="urn:schemas-microsoft-com:office:smarttags" w:element="place">
        <w:smartTag w:uri="urn:schemas-microsoft-com:office:smarttags" w:element="country-region">
          <w:r w:rsidRPr="00A428C3">
            <w:t>Saudi Arabia</w:t>
          </w:r>
        </w:smartTag>
      </w:smartTag>
      <w:r w:rsidRPr="00A428C3">
        <w:t>. The ranking of journals by declining frequency of contribution show wide scattering of journals where Saudi scientists publish their research. It was found that most of these journals, which may be considered core titles, are available in academic</w:t>
      </w:r>
      <w:r w:rsidR="00F81221">
        <w:t xml:space="preserve"> and </w:t>
      </w:r>
      <w:r w:rsidRPr="00A428C3">
        <w:t>specialist libraries. Ranking by productivity was also in line with the impact factor</w:t>
      </w:r>
      <w:r w:rsidR="00F81221">
        <w:t xml:space="preserve"> and </w:t>
      </w:r>
      <w:r w:rsidRPr="00A428C3">
        <w:t>in-house use data confirming the selection</w:t>
      </w:r>
      <w:r w:rsidR="00F81221">
        <w:t xml:space="preserve"> and </w:t>
      </w:r>
      <w:r w:rsidRPr="00A428C3">
        <w:t>deselection criteria for journal subscriptions.</w:t>
      </w:r>
    </w:p>
    <w:p w:rsidR="00B95188" w:rsidRPr="00A428C3" w:rsidRDefault="00B95188" w:rsidP="00B95188">
      <w:pPr>
        <w:pStyle w:val="a0"/>
      </w:pPr>
      <w:r w:rsidRPr="00A428C3">
        <w:t xml:space="preserve">Bliss, N.J. (1993), International librarianship: A bibliometric analysis of the field. </w:t>
      </w:r>
      <w:r w:rsidRPr="00A428C3">
        <w:rPr>
          <w:i/>
          <w:iCs/>
        </w:rPr>
        <w:t>International Information &amp; Library Review</w:t>
      </w:r>
      <w:r w:rsidRPr="00A428C3">
        <w:t xml:space="preserve">, </w:t>
      </w:r>
      <w:r w:rsidRPr="00A428C3">
        <w:rPr>
          <w:b/>
        </w:rPr>
        <w:t>25</w:t>
      </w:r>
      <w:r w:rsidRPr="00A428C3">
        <w:t xml:space="preserve"> (2), 93-107.</w:t>
      </w:r>
    </w:p>
    <w:p w:rsidR="00B95188" w:rsidRPr="00A428C3" w:rsidRDefault="00B95188" w:rsidP="00B95188">
      <w:pPr>
        <w:pStyle w:val="a0"/>
      </w:pPr>
      <w:r w:rsidRPr="00A428C3">
        <w:t xml:space="preserve">Full Text: </w:t>
      </w:r>
      <w:hyperlink r:id="rId1618" w:history="1">
        <w:r w:rsidRPr="00A428C3">
          <w:rPr>
            <w:rStyle w:val="a5"/>
          </w:rPr>
          <w:t>I\Int Inf Lib Rev25, 93.pdf</w:t>
        </w:r>
      </w:hyperlink>
    </w:p>
    <w:p w:rsidR="00B95188" w:rsidRPr="00A428C3" w:rsidRDefault="00B95188" w:rsidP="00B95188">
      <w:pPr>
        <w:pStyle w:val="a0"/>
      </w:pPr>
      <w:r w:rsidRPr="00A428C3">
        <w:t xml:space="preserve">Abstract: This bibliometric analysis of the literature in the field of international librarianship is based on the reference patterns in the materials indexed by </w:t>
      </w:r>
      <w:r w:rsidRPr="00A428C3">
        <w:rPr>
          <w:i/>
          <w:iCs/>
        </w:rPr>
        <w:t xml:space="preserve">Library </w:t>
      </w:r>
      <w:r w:rsidRPr="00A428C3">
        <w:rPr>
          <w:i/>
          <w:iCs/>
        </w:rPr>
        <w:lastRenderedPageBreak/>
        <w:t>Literature</w:t>
      </w:r>
      <w:r w:rsidRPr="00A428C3">
        <w:t xml:space="preserve"> for the years 1958 to 1990. The study is designed to answer four research questions: (1) Based on the existing literature, what disciplines have contributed to international librarianship? (2) How have the contributions of publications in international librarianship fluctuated over the years? (3) What countries have contributed publications in international librarianship? (4) Who are the key/principal individuals who have authored contributions to the international librarianship literature?</w:t>
      </w:r>
    </w:p>
    <w:p w:rsidR="00B95188" w:rsidRPr="00A428C3" w:rsidRDefault="00B95188" w:rsidP="00B95188">
      <w:pPr>
        <w:pStyle w:val="a0"/>
      </w:pPr>
      <w:r w:rsidRPr="00A428C3">
        <w:t>Citation analysis was used to collect the data for this study. Descriptive statistics were used to analyse the data</w:t>
      </w:r>
      <w:r w:rsidR="00F81221">
        <w:t xml:space="preserve"> and </w:t>
      </w:r>
      <w:r w:rsidRPr="00A428C3">
        <w:t>present the results</w:t>
      </w:r>
      <w:r w:rsidR="00F81221">
        <w:t xml:space="preserve"> and </w:t>
      </w:r>
      <w:r w:rsidRPr="00A428C3">
        <w:t>findings.</w:t>
      </w:r>
    </w:p>
    <w:p w:rsidR="00B95188" w:rsidRPr="00A428C3" w:rsidRDefault="00B95188" w:rsidP="00B95188">
      <w:pPr>
        <w:pStyle w:val="a0"/>
      </w:pPr>
      <w:r w:rsidRPr="00A428C3">
        <w:t>The major findings of the study are: (1) examination of the interdisciplinarity of the field of international librarianship revealed that the contribution by other disciplines was only 13.02%, suggesting the field is self-sufficient; (2) examination of the fluctuations in the number of publications revealed the contributions fluctuate somewhat erratically; (3) investigation of the geographic distribution of the contributions to the field revealed a dominance by the more industrialized countries, who published the majority of the documents;</w:t>
      </w:r>
      <w:r w:rsidR="00F81221">
        <w:t xml:space="preserve"> and </w:t>
      </w:r>
      <w:r w:rsidRPr="00A428C3">
        <w:t>(4) indentification of key contributors to the literature determined that the field is extremely insular.</w:t>
      </w:r>
    </w:p>
    <w:p w:rsidR="00B95188" w:rsidRPr="00A428C3" w:rsidRDefault="00B95188" w:rsidP="00B95188">
      <w:pPr>
        <w:pStyle w:val="a0"/>
      </w:pPr>
      <w:r w:rsidRPr="00A428C3">
        <w:t>Hamade, S.N. (1994), Characteristics of the literature used by arab authors in library</w:t>
      </w:r>
      <w:r w:rsidR="00F81221">
        <w:t xml:space="preserve"> and </w:t>
      </w:r>
      <w:r w:rsidRPr="00A428C3">
        <w:t xml:space="preserve">information science: A Bibliometric Study. </w:t>
      </w:r>
      <w:r w:rsidRPr="00A428C3">
        <w:rPr>
          <w:i/>
          <w:iCs/>
        </w:rPr>
        <w:t>International Information &amp; Library Review</w:t>
      </w:r>
      <w:r w:rsidRPr="00A428C3">
        <w:t xml:space="preserve">, </w:t>
      </w:r>
      <w:r w:rsidRPr="00A428C3">
        <w:rPr>
          <w:b/>
        </w:rPr>
        <w:t>26</w:t>
      </w:r>
      <w:r w:rsidRPr="00A428C3">
        <w:t xml:space="preserve"> (3), 139-150.</w:t>
      </w:r>
    </w:p>
    <w:p w:rsidR="00B95188" w:rsidRPr="00A428C3" w:rsidRDefault="00B95188" w:rsidP="00B95188">
      <w:pPr>
        <w:pStyle w:val="a0"/>
      </w:pPr>
      <w:r w:rsidRPr="00A428C3">
        <w:t xml:space="preserve">Full Text: </w:t>
      </w:r>
      <w:hyperlink r:id="rId1619" w:history="1">
        <w:r w:rsidRPr="00A428C3">
          <w:rPr>
            <w:rStyle w:val="a5"/>
          </w:rPr>
          <w:t>I\Int Inf Lib Rev26, 139.pdf</w:t>
        </w:r>
      </w:hyperlink>
    </w:p>
    <w:p w:rsidR="00B95188" w:rsidRPr="00A428C3" w:rsidRDefault="00B95188" w:rsidP="00B95188">
      <w:pPr>
        <w:pStyle w:val="a0"/>
      </w:pPr>
      <w:r w:rsidRPr="00A428C3">
        <w:t>Abstract: This paper attempts to shed some light on the scientific communication behavior of Arab authors in library</w:t>
      </w:r>
      <w:r w:rsidR="00F81221">
        <w:t xml:space="preserve"> and </w:t>
      </w:r>
      <w:r w:rsidRPr="00A428C3">
        <w:t xml:space="preserve">information science by studying the characteristics of the literature used by these authors. A bibliometric study by way of citation analysis was conducted on the articles published from 1978 to </w:t>
      </w:r>
      <w:smartTag w:uri="urn:schemas-microsoft-com:office:smarttags" w:element="chmetcnv">
        <w:smartTagPr>
          <w:attr w:name="TCSC" w:val="0"/>
          <w:attr w:name="NumberType" w:val="1"/>
          <w:attr w:name="Negative" w:val="False"/>
          <w:attr w:name="HasSpace" w:val="True"/>
          <w:attr w:name="SourceValue" w:val="1988"/>
          <w:attr w:name="UnitName" w:val="in"/>
        </w:smartTagPr>
        <w:r w:rsidRPr="00A428C3">
          <w:t>1988 in</w:t>
        </w:r>
      </w:smartTag>
      <w:r w:rsidRPr="00A428C3">
        <w:t xml:space="preserve"> </w:t>
      </w:r>
      <w:r w:rsidRPr="00A428C3">
        <w:rPr>
          <w:i/>
          <w:iCs/>
        </w:rPr>
        <w:t>Maktabat Al-Idarah</w:t>
      </w:r>
      <w:r w:rsidRPr="00A428C3">
        <w:t>, an elite Arab scholarly journal in the field. It was concluded from this study that English literature is the main source of information for Arab authors in library</w:t>
      </w:r>
      <w:r w:rsidR="00F81221">
        <w:t xml:space="preserve"> and </w:t>
      </w:r>
      <w:r w:rsidRPr="00A428C3">
        <w:t>information science. They rely on English literature that is between 5</w:t>
      </w:r>
      <w:r w:rsidR="00F81221">
        <w:t xml:space="preserve"> and </w:t>
      </w:r>
      <w:r w:rsidRPr="00A428C3">
        <w:t>15 years of age more than on their own literature</w:t>
      </w:r>
      <w:r w:rsidR="00F81221">
        <w:t xml:space="preserve"> and </w:t>
      </w:r>
      <w:r w:rsidRPr="00A428C3">
        <w:t>use books more than any other form of publication. They cover almost all areas of the field with special emphasis on technical services as represented by cataloging, classification</w:t>
      </w:r>
      <w:r w:rsidR="00F81221">
        <w:t xml:space="preserve"> and </w:t>
      </w:r>
      <w:r w:rsidRPr="00A428C3">
        <w:t>aquisition, library administration</w:t>
      </w:r>
      <w:r w:rsidR="00F81221">
        <w:t xml:space="preserve"> and </w:t>
      </w:r>
      <w:r w:rsidRPr="00A428C3">
        <w:t>library education. Local materials published in their own country were also important.</w:t>
      </w:r>
    </w:p>
    <w:p w:rsidR="00B95188" w:rsidRPr="00A428C3" w:rsidRDefault="00B95188" w:rsidP="00B95188">
      <w:pPr>
        <w:pStyle w:val="a0"/>
      </w:pPr>
      <w:r w:rsidRPr="00A428C3">
        <w:t xml:space="preserve">Zhang, H.Q. (1995), Analysing the research articles published in three periodicals of medical librarianship. </w:t>
      </w:r>
      <w:r w:rsidRPr="00A428C3">
        <w:rPr>
          <w:i/>
          <w:iCs/>
        </w:rPr>
        <w:t>International Information &amp; Library Review</w:t>
      </w:r>
      <w:r w:rsidRPr="00A428C3">
        <w:t xml:space="preserve">, </w:t>
      </w:r>
      <w:r w:rsidRPr="00A428C3">
        <w:rPr>
          <w:b/>
        </w:rPr>
        <w:t>27</w:t>
      </w:r>
      <w:r w:rsidRPr="00A428C3">
        <w:t xml:space="preserve"> (3), 237-248.</w:t>
      </w:r>
    </w:p>
    <w:p w:rsidR="00B95188" w:rsidRPr="00A428C3" w:rsidRDefault="00B95188" w:rsidP="00B95188">
      <w:pPr>
        <w:pStyle w:val="a0"/>
      </w:pPr>
      <w:r w:rsidRPr="00A428C3">
        <w:t xml:space="preserve">Full Text: </w:t>
      </w:r>
      <w:hyperlink r:id="rId1620" w:history="1">
        <w:r w:rsidRPr="00A428C3">
          <w:rPr>
            <w:rStyle w:val="a5"/>
          </w:rPr>
          <w:t>I\Int Inf Lib Rev27, 237.pdf</w:t>
        </w:r>
      </w:hyperlink>
    </w:p>
    <w:p w:rsidR="00B95188" w:rsidRPr="00A428C3" w:rsidRDefault="00B95188" w:rsidP="00B95188">
      <w:pPr>
        <w:pStyle w:val="a0"/>
      </w:pPr>
      <w:r w:rsidRPr="00A428C3">
        <w:t xml:space="preserve">Abstract: The present article reports some findings from a bibliometric survey of research articles published in theBulletin of the Medical Library Association, theJournal of the Japan Medical Library Associationand the Medical Information </w:t>
      </w:r>
      <w:r w:rsidRPr="00A428C3">
        <w:lastRenderedPageBreak/>
        <w:t>Servicesduring the period from 1990 to 1992. The findings provide valuable information of the articles concerning the methods</w:t>
      </w:r>
      <w:r w:rsidR="00F81221">
        <w:t xml:space="preserve"> and </w:t>
      </w:r>
      <w:r w:rsidRPr="00A428C3">
        <w:t>subjects, as well as references of the three periodicals.</w:t>
      </w:r>
    </w:p>
    <w:p w:rsidR="00B95188" w:rsidRPr="00A428C3" w:rsidRDefault="00B95188" w:rsidP="00B95188">
      <w:pPr>
        <w:pStyle w:val="a0"/>
      </w:pPr>
      <w:r w:rsidRPr="00A428C3">
        <w:t>Mahmood, K. (1996), Library</w:t>
      </w:r>
      <w:r w:rsidR="00F81221">
        <w:t xml:space="preserve"> and </w:t>
      </w:r>
      <w:r w:rsidRPr="00A428C3">
        <w:t xml:space="preserve">information services in </w:t>
      </w:r>
      <w:smartTag w:uri="urn:schemas-microsoft-com:office:smarttags" w:element="place">
        <w:smartTag w:uri="urn:schemas-microsoft-com:office:smarttags" w:element="country-region">
          <w:r w:rsidRPr="00A428C3">
            <w:t>Pakistan</w:t>
          </w:r>
        </w:smartTag>
      </w:smartTag>
      <w:r w:rsidRPr="00A428C3">
        <w:t xml:space="preserve">: A review of articles published in foreign journals. </w:t>
      </w:r>
      <w:r w:rsidRPr="00A428C3">
        <w:rPr>
          <w:i/>
          <w:iCs/>
        </w:rPr>
        <w:t>International Information &amp; Library Review</w:t>
      </w:r>
      <w:r w:rsidRPr="00A428C3">
        <w:t xml:space="preserve">, </w:t>
      </w:r>
      <w:r w:rsidRPr="00A428C3">
        <w:rPr>
          <w:b/>
        </w:rPr>
        <w:t>28</w:t>
      </w:r>
      <w:r w:rsidRPr="00A428C3">
        <w:t xml:space="preserve"> (4), 383-405.</w:t>
      </w:r>
    </w:p>
    <w:p w:rsidR="00B95188" w:rsidRPr="00A428C3" w:rsidRDefault="00B95188" w:rsidP="00B95188">
      <w:pPr>
        <w:pStyle w:val="a0"/>
      </w:pPr>
      <w:r w:rsidRPr="00A428C3">
        <w:t xml:space="preserve">Full Text: </w:t>
      </w:r>
      <w:hyperlink r:id="rId1621" w:history="1">
        <w:r w:rsidRPr="00A428C3">
          <w:rPr>
            <w:rStyle w:val="a5"/>
          </w:rPr>
          <w:t>I\Int Inf Lib Rev28, 383.pdf</w:t>
        </w:r>
      </w:hyperlink>
    </w:p>
    <w:p w:rsidR="00B95188" w:rsidRPr="00A428C3" w:rsidRDefault="00B95188" w:rsidP="00B95188">
      <w:pPr>
        <w:pStyle w:val="a0"/>
      </w:pPr>
      <w:r w:rsidRPr="00A428C3">
        <w:t>Abstract: The paper presents a statistical</w:t>
      </w:r>
      <w:r w:rsidR="00F81221">
        <w:t xml:space="preserve"> and </w:t>
      </w:r>
      <w:r w:rsidRPr="00A428C3">
        <w:t>subjective review of the journal articles on various aspects of library</w:t>
      </w:r>
      <w:r w:rsidR="00F81221">
        <w:t xml:space="preserve"> and </w:t>
      </w:r>
      <w:r w:rsidRPr="00A428C3">
        <w:t xml:space="preserve">information services in </w:t>
      </w:r>
      <w:smartTag w:uri="urn:schemas-microsoft-com:office:smarttags" w:element="place">
        <w:smartTag w:uri="urn:schemas-microsoft-com:office:smarttags" w:element="country-region">
          <w:r w:rsidRPr="00A428C3">
            <w:t>Pakistan</w:t>
          </w:r>
        </w:smartTag>
      </w:smartTag>
      <w:r w:rsidRPr="00A428C3">
        <w:t xml:space="preserve">. Only the articles published in the journals outside </w:t>
      </w:r>
      <w:smartTag w:uri="urn:schemas-microsoft-com:office:smarttags" w:element="place">
        <w:smartTag w:uri="urn:schemas-microsoft-com:office:smarttags" w:element="country-region">
          <w:r w:rsidRPr="00A428C3">
            <w:t>Pakistan</w:t>
          </w:r>
        </w:smartTag>
      </w:smartTag>
      <w:r w:rsidRPr="00A428C3">
        <w:t xml:space="preserve"> are included. Articles are selected from four abstracting services, i.e. LISA, ISA, LSA,</w:t>
      </w:r>
      <w:r w:rsidR="00F81221">
        <w:t xml:space="preserve"> and </w:t>
      </w:r>
      <w:r w:rsidRPr="00A428C3">
        <w:t>ERIC. Authorship characteristics of 97 articles are analysed</w:t>
      </w:r>
      <w:r w:rsidR="00F81221">
        <w:t xml:space="preserve"> and </w:t>
      </w:r>
      <w:r w:rsidRPr="00A428C3">
        <w:t>compared with the previous studies of LIS periodicals. Authorship details include collaboration, occupation, affiliation,</w:t>
      </w:r>
      <w:r w:rsidR="00F81221">
        <w:t xml:space="preserve"> and </w:t>
      </w:r>
      <w:r w:rsidRPr="00A428C3">
        <w:t>the author</w:t>
      </w:r>
      <w:r w:rsidR="000352E7">
        <w:t>’</w:t>
      </w:r>
      <w:r w:rsidRPr="00A428C3">
        <w:t>s country. Other publication details of the articles include year, language, journal,</w:t>
      </w:r>
      <w:r w:rsidR="00F81221">
        <w:t xml:space="preserve"> and </w:t>
      </w:r>
      <w:r w:rsidRPr="00A428C3">
        <w:t>the country of publication. The findings show that library science teachers write more than the other professionals</w:t>
      </w:r>
      <w:r w:rsidR="00F81221">
        <w:t xml:space="preserve"> and </w:t>
      </w:r>
      <w:r w:rsidRPr="00A428C3">
        <w:t>the most popular subject is the library</w:t>
      </w:r>
      <w:r w:rsidR="00F81221">
        <w:t xml:space="preserve"> and </w:t>
      </w:r>
      <w:r w:rsidRPr="00A428C3">
        <w:t xml:space="preserve">information science education. Library science faculty at </w:t>
      </w:r>
      <w:smartTag w:uri="urn:schemas-microsoft-com:office:smarttags" w:element="place">
        <w:smartTag w:uri="urn:schemas-microsoft-com:office:smarttags" w:element="PlaceName">
          <w:r w:rsidRPr="00A428C3">
            <w:t>Karachi</w:t>
          </w:r>
        </w:smartTag>
        <w:r w:rsidRPr="00A428C3">
          <w:t xml:space="preserve"> </w:t>
        </w:r>
        <w:smartTag w:uri="urn:schemas-microsoft-com:office:smarttags" w:element="PlaceType">
          <w:r w:rsidRPr="00A428C3">
            <w:t>University</w:t>
          </w:r>
        </w:smartTag>
      </w:smartTag>
      <w:r w:rsidRPr="00A428C3">
        <w:t xml:space="preserve"> contributes more articles in international journals. The articles are mostly published in English language journals</w:t>
      </w:r>
      <w:r w:rsidR="00F81221">
        <w:t xml:space="preserve"> and </w:t>
      </w:r>
      <w:r w:rsidRPr="00A428C3">
        <w:t>in English speaking countries, i.e. UK</w:t>
      </w:r>
      <w:r w:rsidR="00F81221">
        <w:t xml:space="preserve"> and </w:t>
      </w:r>
      <w:r w:rsidRPr="00A428C3">
        <w:t xml:space="preserve">USA. </w:t>
      </w:r>
      <w:r w:rsidRPr="00A428C3">
        <w:rPr>
          <w:i/>
          <w:iCs/>
        </w:rPr>
        <w:t>International Information</w:t>
      </w:r>
      <w:r w:rsidR="00F81221">
        <w:rPr>
          <w:i/>
          <w:iCs/>
        </w:rPr>
        <w:t xml:space="preserve"> and </w:t>
      </w:r>
      <w:r w:rsidRPr="00A428C3">
        <w:rPr>
          <w:i/>
          <w:iCs/>
        </w:rPr>
        <w:t>Library Review</w:t>
      </w:r>
      <w:r w:rsidRPr="00A428C3">
        <w:t xml:space="preserve"> published more articles on this topic. Problems in library research in </w:t>
      </w:r>
      <w:smartTag w:uri="urn:schemas-microsoft-com:office:smarttags" w:element="place">
        <w:smartTag w:uri="urn:schemas-microsoft-com:office:smarttags" w:element="country-region">
          <w:r w:rsidRPr="00A428C3">
            <w:t>Pakistan</w:t>
          </w:r>
        </w:smartTag>
      </w:smartTag>
      <w:r w:rsidRPr="00A428C3">
        <w:t xml:space="preserve"> are discussed</w:t>
      </w:r>
      <w:r w:rsidR="00F81221">
        <w:t xml:space="preserve"> and </w:t>
      </w:r>
      <w:r w:rsidRPr="00A428C3">
        <w:t>recommendations are made. A brief review of the articles is given according to 16 major subjects. A bibliography of the articles reviewed is also compiled.</w:t>
      </w:r>
    </w:p>
    <w:p w:rsidR="00B95188" w:rsidRPr="00A428C3" w:rsidRDefault="00B95188" w:rsidP="00B95188">
      <w:pPr>
        <w:pStyle w:val="a0"/>
      </w:pPr>
      <w:r w:rsidRPr="00A428C3">
        <w:t xml:space="preserve">Uzun, A. (1998), A scientometric profile of social sciences research in </w:t>
      </w:r>
      <w:smartTag w:uri="urn:schemas-microsoft-com:office:smarttags" w:element="place">
        <w:smartTag w:uri="urn:schemas-microsoft-com:office:smarttags" w:element="country-region">
          <w:r w:rsidRPr="00A428C3">
            <w:t>Turkey</w:t>
          </w:r>
        </w:smartTag>
      </w:smartTag>
      <w:r w:rsidRPr="00A428C3">
        <w:t xml:space="preserve">. </w:t>
      </w:r>
      <w:r w:rsidRPr="00A428C3">
        <w:rPr>
          <w:i/>
          <w:iCs/>
        </w:rPr>
        <w:t>International Information &amp; Library Review</w:t>
      </w:r>
      <w:r w:rsidRPr="00A428C3">
        <w:t xml:space="preserve">, </w:t>
      </w:r>
      <w:r w:rsidRPr="00A428C3">
        <w:rPr>
          <w:b/>
        </w:rPr>
        <w:t>30</w:t>
      </w:r>
      <w:r w:rsidRPr="00A428C3">
        <w:t xml:space="preserve"> (3), 169-184.</w:t>
      </w:r>
    </w:p>
    <w:p w:rsidR="00B95188" w:rsidRPr="00A428C3" w:rsidRDefault="00B95188" w:rsidP="00B95188">
      <w:pPr>
        <w:pStyle w:val="a0"/>
      </w:pPr>
      <w:r w:rsidRPr="00A428C3">
        <w:t xml:space="preserve">Full Text: </w:t>
      </w:r>
      <w:hyperlink r:id="rId1622" w:history="1">
        <w:r w:rsidRPr="00A428C3">
          <w:rPr>
            <w:rStyle w:val="a5"/>
          </w:rPr>
          <w:t>I\Int Inf Lib Rev30, 169.pdf</w:t>
        </w:r>
      </w:hyperlink>
    </w:p>
    <w:p w:rsidR="00B95188" w:rsidRPr="00A428C3" w:rsidRDefault="00B95188" w:rsidP="00B95188">
      <w:pPr>
        <w:pStyle w:val="a0"/>
      </w:pPr>
      <w:r w:rsidRPr="00A428C3">
        <w:t xml:space="preserve">Abstract: I surveyed the social sciences journal literature for the decade period 1987-1996 looking for papers with authors, or at least one co-author giving an address from an institution in </w:t>
      </w:r>
      <w:smartTag w:uri="urn:schemas-microsoft-com:office:smarttags" w:element="place">
        <w:smartTag w:uri="urn:schemas-microsoft-com:office:smarttags" w:element="country-region">
          <w:r w:rsidRPr="00A428C3">
            <w:t>Turkey</w:t>
          </w:r>
        </w:smartTag>
      </w:smartTag>
      <w:r w:rsidRPr="00A428C3">
        <w:t>. The number of such papers had nearly tripled from 1987 to 1996. I found that the papers are scattered into 341 journals</w:t>
      </w:r>
      <w:r w:rsidR="00F81221">
        <w:t xml:space="preserve"> and </w:t>
      </w:r>
      <w:r w:rsidRPr="00A428C3">
        <w:t>almost one third of all papers went to nine journals, each of which contained an average of a least one Turkish paper per year. Only two of these journals, on archaeology</w:t>
      </w:r>
      <w:r w:rsidR="00F81221">
        <w:t xml:space="preserve"> and </w:t>
      </w:r>
      <w:r w:rsidRPr="00A428C3">
        <w:t>anthropology, happened to be of high citation impact. Psychology</w:t>
      </w:r>
      <w:r w:rsidR="00F81221">
        <w:t xml:space="preserve"> and </w:t>
      </w:r>
      <w:r w:rsidRPr="00A428C3">
        <w:t>psychiatry, combined with business</w:t>
      </w:r>
      <w:r w:rsidR="00F81221">
        <w:t xml:space="preserve"> and </w:t>
      </w:r>
      <w:r w:rsidRPr="00A428C3">
        <w:t>economics are found to be the most productive subjects accounting for about half of the publication output. A vast majority of the papers were articles in English,</w:t>
      </w:r>
      <w:r w:rsidR="00F81221">
        <w:t xml:space="preserve"> and </w:t>
      </w:r>
      <w:r w:rsidRPr="00A428C3">
        <w:t xml:space="preserve">in an average article contained about 24 bibliographic references. The number of Turkish papers in nine major journals are somewhat correlated with their availability in local libraries. The number of co-authors per paper had nearly doubled over the period surveyed, reflecting increased interaction </w:t>
      </w:r>
      <w:r w:rsidRPr="00A428C3">
        <w:lastRenderedPageBreak/>
        <w:t>among scientists. About half of the authors were affiliated with three universities in Ankara</w:t>
      </w:r>
      <w:r w:rsidR="00F81221">
        <w:t xml:space="preserve"> and </w:t>
      </w:r>
      <w:r w:rsidRPr="00A428C3">
        <w:t>Istanbul, indicating a heavier concentration of social sciences research in the main metropoles of the country.</w:t>
      </w:r>
    </w:p>
    <w:p w:rsidR="00B95188" w:rsidRPr="00A428C3" w:rsidRDefault="00B95188" w:rsidP="00B95188">
      <w:pPr>
        <w:pStyle w:val="a0"/>
      </w:pPr>
      <w:r w:rsidRPr="00A428C3">
        <w:t>Ding, Y., Foo, S.</w:t>
      </w:r>
      <w:r w:rsidR="00F81221">
        <w:t xml:space="preserve"> and </w:t>
      </w:r>
      <w:r w:rsidRPr="00A428C3">
        <w:t xml:space="preserve">Chowdhury, G. (1998), A bibliometric analysis of collaboration in the field of information retrieval. </w:t>
      </w:r>
      <w:r w:rsidRPr="00A428C3">
        <w:rPr>
          <w:i/>
          <w:iCs/>
        </w:rPr>
        <w:t>International Information &amp; Library Review</w:t>
      </w:r>
      <w:r w:rsidRPr="00A428C3">
        <w:t xml:space="preserve">, </w:t>
      </w:r>
      <w:r w:rsidRPr="00A428C3">
        <w:rPr>
          <w:b/>
        </w:rPr>
        <w:t>30</w:t>
      </w:r>
      <w:r w:rsidRPr="00A428C3">
        <w:t xml:space="preserve"> (4), 367-376.</w:t>
      </w:r>
    </w:p>
    <w:p w:rsidR="00B95188" w:rsidRPr="00A428C3" w:rsidRDefault="00B95188" w:rsidP="00B95188">
      <w:pPr>
        <w:pStyle w:val="a0"/>
      </w:pPr>
      <w:r w:rsidRPr="00A428C3">
        <w:t xml:space="preserve">Full Text: </w:t>
      </w:r>
      <w:hyperlink r:id="rId1623" w:history="1">
        <w:r w:rsidRPr="00A428C3">
          <w:rPr>
            <w:rStyle w:val="a5"/>
          </w:rPr>
          <w:t>I\Int Inf Lib Rev30, 367.pdf</w:t>
        </w:r>
      </w:hyperlink>
    </w:p>
    <w:p w:rsidR="00B95188" w:rsidRPr="00A428C3" w:rsidRDefault="00B95188" w:rsidP="00B95188">
      <w:pPr>
        <w:pStyle w:val="a0"/>
      </w:pPr>
      <w:r w:rsidRPr="00A428C3">
        <w:t>Abstract: Collaboration practices vary greatly per scientific area</w:t>
      </w:r>
      <w:r w:rsidR="00F81221">
        <w:t xml:space="preserve"> and </w:t>
      </w:r>
      <w:r w:rsidRPr="00A428C3">
        <w:t>discipline</w:t>
      </w:r>
      <w:r w:rsidR="00F81221">
        <w:t xml:space="preserve"> and </w:t>
      </w:r>
      <w:r w:rsidRPr="00A428C3">
        <w:t>influence the scientific performance</w:t>
      </w:r>
      <w:r w:rsidR="00F81221">
        <w:t xml:space="preserve"> and </w:t>
      </w:r>
      <w:r w:rsidRPr="00A428C3">
        <w:t>its scholarly communication. In this study, the collaborative pattern of;he Information Retrieval (IR) research field is analyzed using co-authored articles retrieved from Social Science Citation Index for a period of 11 years from 1987 to 1997. The level of collaboration, journal collaborative distribution, disciplinary collaborative distribution</w:t>
      </w:r>
      <w:r w:rsidR="00F81221">
        <w:t xml:space="preserve"> and </w:t>
      </w:r>
      <w:r w:rsidRPr="00A428C3">
        <w:t>country collaboration are probed according to IR collaborative research. Findings are discussed from the above perspectives in detail. In particular, this study reveals a perceptible upward trend of collaborative IR research with the results of these research efforts being reported in all major core IR journals. The inter-disciplinary</w:t>
      </w:r>
      <w:r w:rsidR="00F81221">
        <w:t xml:space="preserve"> and </w:t>
      </w:r>
      <w:r w:rsidRPr="00A428C3">
        <w:t>intra-disciplinary scholarly communications in collaborative researches are very much in evidence</w:t>
      </w:r>
      <w:r w:rsidR="00F81221">
        <w:t xml:space="preserve"> and </w:t>
      </w:r>
      <w:r w:rsidRPr="00A428C3">
        <w:t>cover broad areas like psychology,</w:t>
      </w:r>
      <w:r w:rsidR="00F81221">
        <w:t xml:space="preserve"> and </w:t>
      </w:r>
      <w:r w:rsidRPr="00A428C3">
        <w:t>computer</w:t>
      </w:r>
      <w:r w:rsidR="00F81221">
        <w:t xml:space="preserve"> and </w:t>
      </w:r>
      <w:r w:rsidRPr="00A428C3">
        <w:t>medical sciences, respectively. (C) 1998 Academic Press.</w:t>
      </w:r>
    </w:p>
    <w:p w:rsidR="00B95188" w:rsidRPr="00A428C3" w:rsidRDefault="00B95188" w:rsidP="00B95188">
      <w:pPr>
        <w:pStyle w:val="a0"/>
      </w:pPr>
      <w:r w:rsidRPr="00A428C3">
        <w:t>Keywords: International Collaboration, Scientific Collaboration, Authorship, Science</w:t>
      </w:r>
    </w:p>
    <w:p w:rsidR="00B95188" w:rsidRPr="00A428C3" w:rsidRDefault="00B95188" w:rsidP="00B95188">
      <w:pPr>
        <w:pStyle w:val="a0"/>
      </w:pPr>
      <w:r w:rsidRPr="00A428C3">
        <w:t>Uzun, A. (2002), Library</w:t>
      </w:r>
      <w:r w:rsidR="00F81221">
        <w:t xml:space="preserve"> and </w:t>
      </w:r>
      <w:r w:rsidRPr="00A428C3">
        <w:t>information science research in developing countries</w:t>
      </w:r>
      <w:r w:rsidR="00F81221">
        <w:t xml:space="preserve"> and </w:t>
      </w:r>
      <w:r w:rsidRPr="00A428C3">
        <w:t xml:space="preserve">Eastern European countries: A brief bibliometric perspective. </w:t>
      </w:r>
      <w:r w:rsidRPr="00A428C3">
        <w:rPr>
          <w:i/>
          <w:iCs/>
        </w:rPr>
        <w:t>International Information &amp; Library Review</w:t>
      </w:r>
      <w:r w:rsidRPr="00A428C3">
        <w:t xml:space="preserve">, </w:t>
      </w:r>
      <w:r w:rsidRPr="00A428C3">
        <w:rPr>
          <w:b/>
        </w:rPr>
        <w:t>34</w:t>
      </w:r>
      <w:r w:rsidRPr="00A428C3">
        <w:t xml:space="preserve"> (1), 21-33.</w:t>
      </w:r>
    </w:p>
    <w:p w:rsidR="00B95188" w:rsidRPr="00A428C3" w:rsidRDefault="00B95188" w:rsidP="00B95188">
      <w:pPr>
        <w:pStyle w:val="a0"/>
      </w:pPr>
      <w:r w:rsidRPr="00A428C3">
        <w:t xml:space="preserve">Full Text: </w:t>
      </w:r>
      <w:hyperlink r:id="rId1624" w:history="1">
        <w:r w:rsidRPr="00A428C3">
          <w:rPr>
            <w:rStyle w:val="a5"/>
          </w:rPr>
          <w:t>I\Int Inf Lib Rev34, 21.pdf</w:t>
        </w:r>
      </w:hyperlink>
    </w:p>
    <w:p w:rsidR="00E34A8B" w:rsidRPr="00217FB1" w:rsidRDefault="00E34A8B" w:rsidP="00E34A8B">
      <w:pPr>
        <w:pStyle w:val="a0"/>
      </w:pPr>
      <w:r w:rsidRPr="00217FB1">
        <w:t>Abstract: We examined a set of 21 core journals in the field of library</w:t>
      </w:r>
      <w:r w:rsidR="00F81221">
        <w:t xml:space="preserve"> and </w:t>
      </w:r>
      <w:r w:rsidRPr="00217FB1">
        <w:t xml:space="preserve">information science </w:t>
      </w:r>
      <w:r>
        <w:t>(</w:t>
      </w:r>
      <w:r w:rsidRPr="00217FB1">
        <w:t xml:space="preserve">LIS) from 1980–1999 for articles with either principal or co-authors from developing countries </w:t>
      </w:r>
      <w:r>
        <w:t>(</w:t>
      </w:r>
      <w:r w:rsidRPr="00217FB1">
        <w:t>DCs)</w:t>
      </w:r>
      <w:r w:rsidR="00F81221">
        <w:t xml:space="preserve"> and </w:t>
      </w:r>
      <w:r w:rsidRPr="00217FB1">
        <w:t xml:space="preserve">the formerly socialist Eastern European countries </w:t>
      </w:r>
      <w:r>
        <w:t>(</w:t>
      </w:r>
      <w:r w:rsidRPr="00217FB1">
        <w:t xml:space="preserve">EECs). We found that only 826 </w:t>
      </w:r>
      <w:r>
        <w:t>(</w:t>
      </w:r>
      <w:r w:rsidRPr="00217FB1">
        <w:t>7·9%) of a total of 10</w:t>
      </w:r>
      <w:r>
        <w:rPr>
          <w:rFonts w:hint="eastAsia"/>
        </w:rPr>
        <w:t>,</w:t>
      </w:r>
      <w:r w:rsidRPr="00217FB1">
        <w:t xml:space="preserve">400 articles published in 21 journals are from DCs or EECs. The numbers of articles with authors from </w:t>
      </w:r>
      <w:smartTag w:uri="urn:schemas-microsoft-com:office:smarttags" w:element="country-region">
        <w:r w:rsidRPr="00217FB1">
          <w:t>China</w:t>
        </w:r>
      </w:smartTag>
      <w:r w:rsidRPr="00217FB1">
        <w:t xml:space="preserve">, </w:t>
      </w:r>
      <w:smartTag w:uri="urn:schemas-microsoft-com:office:smarttags" w:element="country-region">
        <w:r w:rsidRPr="00217FB1">
          <w:t>Saudi Arabia</w:t>
        </w:r>
      </w:smartTag>
      <w:r w:rsidRPr="00217FB1">
        <w:t xml:space="preserve">, </w:t>
      </w:r>
      <w:smartTag w:uri="urn:schemas-microsoft-com:office:smarttags" w:element="country-region">
        <w:r w:rsidRPr="00217FB1">
          <w:t>Turkey</w:t>
        </w:r>
      </w:smartTag>
      <w:r w:rsidRPr="00217FB1">
        <w:t xml:space="preserve">, </w:t>
      </w:r>
      <w:smartTag w:uri="urn:schemas-microsoft-com:office:smarttags" w:element="country-region">
        <w:r w:rsidRPr="00217FB1">
          <w:t>Botswana</w:t>
        </w:r>
      </w:smartTag>
      <w:r w:rsidRPr="00217FB1">
        <w:t xml:space="preserve">, </w:t>
      </w:r>
      <w:smartTag w:uri="urn:schemas-microsoft-com:office:smarttags" w:element="country-region">
        <w:r w:rsidRPr="00217FB1">
          <w:t>Ghana</w:t>
        </w:r>
      </w:smartTag>
      <w:r w:rsidRPr="00217FB1">
        <w:t xml:space="preserve">, </w:t>
      </w:r>
      <w:smartTag w:uri="urn:schemas-microsoft-com:office:smarttags" w:element="country-region">
        <w:r w:rsidRPr="00217FB1">
          <w:t>Kuwait</w:t>
        </w:r>
      </w:smartTag>
      <w:r w:rsidRPr="00217FB1">
        <w:t>,</w:t>
      </w:r>
      <w:r w:rsidR="00F81221">
        <w:t xml:space="preserve"> and </w:t>
      </w:r>
      <w:r w:rsidRPr="00217FB1">
        <w:t>Taiwan considerably increased</w:t>
      </w:r>
      <w:r w:rsidR="00F81221">
        <w:t xml:space="preserve"> and </w:t>
      </w:r>
      <w:r w:rsidRPr="00217FB1">
        <w:t xml:space="preserve">those of </w:t>
      </w:r>
      <w:smartTag w:uri="urn:schemas-microsoft-com:office:smarttags" w:element="country-region">
        <w:r w:rsidRPr="00217FB1">
          <w:t>India</w:t>
        </w:r>
      </w:smartTag>
      <w:r w:rsidRPr="00217FB1">
        <w:t xml:space="preserve">, </w:t>
      </w:r>
      <w:smartTag w:uri="urn:schemas-microsoft-com:office:smarttags" w:element="country-region">
        <w:r w:rsidRPr="00217FB1">
          <w:t>Nigeria</w:t>
        </w:r>
      </w:smartTag>
      <w:r w:rsidRPr="00217FB1">
        <w:t xml:space="preserve">, </w:t>
      </w:r>
      <w:smartTag w:uri="urn:schemas-microsoft-com:office:smarttags" w:element="country-region">
        <w:r w:rsidRPr="00217FB1">
          <w:t>Pakistan</w:t>
        </w:r>
      </w:smartTag>
      <w:r w:rsidRPr="00217FB1">
        <w:t xml:space="preserve">, </w:t>
      </w:r>
      <w:smartTag w:uri="urn:schemas-microsoft-com:office:smarttags" w:element="country-region">
        <w:r w:rsidRPr="00217FB1">
          <w:t>Brazil</w:t>
        </w:r>
      </w:smartTag>
      <w:r w:rsidRPr="00217FB1">
        <w:t>,</w:t>
      </w:r>
      <w:r w:rsidR="00F81221">
        <w:t xml:space="preserve"> and </w:t>
      </w:r>
      <w:r w:rsidRPr="00217FB1">
        <w:t>Poland decreased. Using a bibliometric indicator we found that among the countries with declining trends in the numbers of articles, LIS research is receiving high priority in Nigeria</w:t>
      </w:r>
      <w:r w:rsidR="00F81221">
        <w:t xml:space="preserve"> and </w:t>
      </w:r>
      <w:r w:rsidRPr="00217FB1">
        <w:t xml:space="preserve">Pakistan whereas among the countries with increasing trends in articles, it is receiving low priority in </w:t>
      </w:r>
      <w:smartTag w:uri="urn:schemas-microsoft-com:office:smarttags" w:element="country-region">
        <w:r w:rsidRPr="00217FB1">
          <w:t>China</w:t>
        </w:r>
      </w:smartTag>
      <w:r w:rsidRPr="00217FB1">
        <w:t>, Turkey</w:t>
      </w:r>
      <w:r w:rsidR="00F81221">
        <w:t xml:space="preserve"> and </w:t>
      </w:r>
      <w:r w:rsidRPr="00217FB1">
        <w:t xml:space="preserve">Taiwan. A </w:t>
      </w:r>
      <w:r w:rsidR="000352E7">
        <w:t>‘</w:t>
      </w:r>
      <w:r w:rsidRPr="00217FB1">
        <w:t>co-word</w:t>
      </w:r>
      <w:r w:rsidR="000352E7">
        <w:t>’</w:t>
      </w:r>
      <w:r w:rsidRPr="00217FB1">
        <w:t xml:space="preserve"> analysis based on the key words</w:t>
      </w:r>
      <w:r w:rsidR="00F81221">
        <w:t xml:space="preserve"> and </w:t>
      </w:r>
      <w:r w:rsidRPr="00217FB1">
        <w:t>thematic noun- phrases in the titles</w:t>
      </w:r>
      <w:r w:rsidR="00F81221">
        <w:t xml:space="preserve"> and </w:t>
      </w:r>
      <w:r w:rsidRPr="00217FB1">
        <w:t>abstracts of a sample of 102 articles published in 1996 to 1999 indicated that bibliometrics is the most frequent topic in LIS research in major DCs</w:t>
      </w:r>
      <w:r w:rsidR="00F81221">
        <w:t xml:space="preserve"> and </w:t>
      </w:r>
      <w:r w:rsidRPr="00217FB1">
        <w:t>EECs. Information retrieval, information need</w:t>
      </w:r>
      <w:r w:rsidR="00F81221">
        <w:t xml:space="preserve"> and </w:t>
      </w:r>
      <w:r w:rsidRPr="00217FB1">
        <w:lastRenderedPageBreak/>
        <w:t>information use is among the topics of relatively high interest for the researchers working in DCs in Asia</w:t>
      </w:r>
      <w:r w:rsidR="00F81221">
        <w:t xml:space="preserve"> and </w:t>
      </w:r>
      <w:r w:rsidRPr="00217FB1">
        <w:t>Africa.</w:t>
      </w:r>
    </w:p>
    <w:p w:rsidR="00E34A8B" w:rsidRDefault="00E34A8B" w:rsidP="00E34A8B">
      <w:pPr>
        <w:pStyle w:val="a0"/>
        <w:rPr>
          <w:kern w:val="0"/>
        </w:rPr>
      </w:pPr>
      <w:r>
        <w:rPr>
          <w:kern w:val="0"/>
        </w:rPr>
        <w:t>Keywords: Astronomers, Bibliometrics, China, Collaboration, Information Science, Latin-America, Physics Publications, Research, Social-Sciences, Topic</w:t>
      </w:r>
    </w:p>
    <w:p w:rsidR="00B95188" w:rsidRPr="00A428C3" w:rsidRDefault="00B95188" w:rsidP="00B95188">
      <w:pPr>
        <w:pStyle w:val="a0"/>
      </w:pPr>
      <w:r w:rsidRPr="00A428C3">
        <w:t>Chang, N.C.</w:t>
      </w:r>
      <w:r w:rsidR="00F81221">
        <w:t xml:space="preserve"> and </w:t>
      </w:r>
      <w:r w:rsidRPr="00A428C3">
        <w:t xml:space="preserve">Perng, J.H. (2002), Information search habits of graduate students at </w:t>
      </w:r>
      <w:smartTag w:uri="urn:schemas-microsoft-com:office:smarttags" w:element="place">
        <w:smartTag w:uri="urn:schemas-microsoft-com:office:smarttags" w:element="PlaceName">
          <w:r w:rsidRPr="00A428C3">
            <w:t>Tatung</w:t>
          </w:r>
        </w:smartTag>
        <w:r w:rsidRPr="00A428C3">
          <w:t xml:space="preserve"> </w:t>
        </w:r>
        <w:smartTag w:uri="urn:schemas-microsoft-com:office:smarttags" w:element="PlaceType">
          <w:r w:rsidRPr="00A428C3">
            <w:t>University</w:t>
          </w:r>
        </w:smartTag>
      </w:smartTag>
      <w:r w:rsidRPr="00A428C3">
        <w:t xml:space="preserve">. </w:t>
      </w:r>
      <w:r w:rsidRPr="00A428C3">
        <w:rPr>
          <w:i/>
          <w:iCs/>
        </w:rPr>
        <w:t>International Information &amp; Library Review</w:t>
      </w:r>
      <w:r w:rsidRPr="00A428C3">
        <w:t xml:space="preserve">, </w:t>
      </w:r>
      <w:r w:rsidRPr="00A428C3">
        <w:rPr>
          <w:b/>
        </w:rPr>
        <w:t>34</w:t>
      </w:r>
      <w:r w:rsidRPr="00A428C3">
        <w:t xml:space="preserve"> (1), 341-346.</w:t>
      </w:r>
    </w:p>
    <w:p w:rsidR="00B95188" w:rsidRPr="00A428C3" w:rsidRDefault="00B95188" w:rsidP="00B95188">
      <w:pPr>
        <w:pStyle w:val="a0"/>
      </w:pPr>
      <w:r w:rsidRPr="00A428C3">
        <w:t xml:space="preserve">Full Text: </w:t>
      </w:r>
      <w:hyperlink r:id="rId1625" w:history="1">
        <w:r w:rsidRPr="00A428C3">
          <w:rPr>
            <w:rStyle w:val="a5"/>
          </w:rPr>
          <w:t>I\Int Inf Lib Rev34, 341.pdf</w:t>
        </w:r>
      </w:hyperlink>
    </w:p>
    <w:p w:rsidR="00B95188" w:rsidRPr="00A428C3" w:rsidRDefault="00B95188" w:rsidP="00B95188">
      <w:pPr>
        <w:pStyle w:val="a0"/>
      </w:pPr>
      <w:r w:rsidRPr="00A428C3">
        <w:t>Abstract: The author investigated the information requirements</w:t>
      </w:r>
      <w:r w:rsidR="00F81221">
        <w:t xml:space="preserve"> and </w:t>
      </w:r>
      <w:r w:rsidRPr="00A428C3">
        <w:t xml:space="preserve">search habits of graduate students at </w:t>
      </w:r>
      <w:smartTag w:uri="urn:schemas-microsoft-com:office:smarttags" w:element="PlaceName">
        <w:r w:rsidRPr="00A428C3">
          <w:t>Tatung</w:t>
        </w:r>
      </w:smartTag>
      <w:r w:rsidRPr="00A428C3">
        <w:t xml:space="preserve"> </w:t>
      </w:r>
      <w:smartTag w:uri="urn:schemas-microsoft-com:office:smarttags" w:element="PlaceType">
        <w:r w:rsidRPr="00A428C3">
          <w:t>University</w:t>
        </w:r>
      </w:smartTag>
      <w:r w:rsidRPr="00A428C3">
        <w:t xml:space="preserve">, a private university in </w:t>
      </w:r>
      <w:smartTag w:uri="urn:schemas-microsoft-com:office:smarttags" w:element="place">
        <w:smartTag w:uri="urn:schemas-microsoft-com:office:smarttags" w:element="City">
          <w:r w:rsidRPr="00A428C3">
            <w:t>Taipei City</w:t>
          </w:r>
        </w:smartTag>
        <w:r w:rsidRPr="00A428C3">
          <w:t xml:space="preserve">, </w:t>
        </w:r>
        <w:smartTag w:uri="urn:schemas-microsoft-com:office:smarttags" w:element="country-region">
          <w:r w:rsidRPr="00A428C3">
            <w:t>Taiwan</w:t>
          </w:r>
        </w:smartTag>
      </w:smartTag>
      <w:r w:rsidRPr="00A428C3">
        <w:t>. Data were collected by means of questionnaires (416)</w:t>
      </w:r>
      <w:r w:rsidR="00F81221">
        <w:t xml:space="preserve"> and </w:t>
      </w:r>
      <w:r w:rsidRPr="00A428C3">
        <w:t>follow-up interviews with graduate students from nine departments. Results show that 90% of the subjects conducted information searches using outside sources in addition to the university library. More than half of the respondents said that they depend on the university library</w:t>
      </w:r>
      <w:r w:rsidR="00F81221">
        <w:t xml:space="preserve"> and </w:t>
      </w:r>
      <w:r w:rsidRPr="00A428C3">
        <w:t>fellow students when conducting information searches. Finally, the amount of required effort</w:t>
      </w:r>
      <w:r w:rsidR="00F81221">
        <w:t xml:space="preserve"> and </w:t>
      </w:r>
      <w:r w:rsidRPr="00A428C3">
        <w:t>speed of access were more important than cost when choosing an Information source.</w:t>
      </w:r>
    </w:p>
    <w:p w:rsidR="00B95188" w:rsidRPr="00A428C3" w:rsidRDefault="00B95188" w:rsidP="00B95188">
      <w:pPr>
        <w:pStyle w:val="a0"/>
      </w:pPr>
      <w:r w:rsidRPr="00A428C3">
        <w:t xml:space="preserve">Chandra, S. (2002), Information in a networked world: The Indian perspective. </w:t>
      </w:r>
      <w:r w:rsidRPr="00A428C3">
        <w:rPr>
          <w:i/>
          <w:iCs/>
        </w:rPr>
        <w:t>International Information &amp; Library Review</w:t>
      </w:r>
      <w:r w:rsidRPr="00A428C3">
        <w:t xml:space="preserve">, </w:t>
      </w:r>
      <w:r w:rsidRPr="00A428C3">
        <w:rPr>
          <w:b/>
        </w:rPr>
        <w:t>34</w:t>
      </w:r>
      <w:r w:rsidRPr="00A428C3">
        <w:t xml:space="preserve"> (3), 235-246.</w:t>
      </w:r>
    </w:p>
    <w:p w:rsidR="00B95188" w:rsidRPr="00A428C3" w:rsidRDefault="00B95188" w:rsidP="00B95188">
      <w:pPr>
        <w:pStyle w:val="a0"/>
      </w:pPr>
      <w:r w:rsidRPr="00A428C3">
        <w:t xml:space="preserve">Full Text: </w:t>
      </w:r>
      <w:hyperlink r:id="rId1626" w:history="1">
        <w:r w:rsidRPr="00A428C3">
          <w:rPr>
            <w:rStyle w:val="a5"/>
          </w:rPr>
          <w:t>I\Int Inf Lib Rev34, 235.pdf</w:t>
        </w:r>
      </w:hyperlink>
    </w:p>
    <w:p w:rsidR="00B95188" w:rsidRPr="00A428C3" w:rsidRDefault="00B95188" w:rsidP="00B95188">
      <w:pPr>
        <w:pStyle w:val="a0"/>
      </w:pPr>
      <w:r w:rsidRPr="00A428C3">
        <w:t xml:space="preserve">Orji, O.I. (2002), Information in a networked world: The Nigerian perspective. </w:t>
      </w:r>
      <w:r w:rsidRPr="00A428C3">
        <w:rPr>
          <w:i/>
          <w:iCs/>
        </w:rPr>
        <w:t>International Information &amp; Library Review</w:t>
      </w:r>
      <w:r w:rsidRPr="00A428C3">
        <w:t xml:space="preserve">, </w:t>
      </w:r>
      <w:r w:rsidRPr="00A428C3">
        <w:rPr>
          <w:b/>
        </w:rPr>
        <w:t>34</w:t>
      </w:r>
      <w:r w:rsidRPr="00A428C3">
        <w:t xml:space="preserve"> (3), 271-277.</w:t>
      </w:r>
    </w:p>
    <w:p w:rsidR="00B95188" w:rsidRPr="00A428C3" w:rsidRDefault="00B95188" w:rsidP="00B95188">
      <w:pPr>
        <w:pStyle w:val="a0"/>
      </w:pPr>
      <w:r w:rsidRPr="00A428C3">
        <w:t xml:space="preserve">Full Text: </w:t>
      </w:r>
      <w:hyperlink r:id="rId1627" w:history="1">
        <w:r w:rsidRPr="00A428C3">
          <w:rPr>
            <w:rStyle w:val="a5"/>
          </w:rPr>
          <w:t>I\Int Inf Lib Rev34, 271.pdf</w:t>
        </w:r>
      </w:hyperlink>
    </w:p>
    <w:p w:rsidR="00B95188" w:rsidRPr="00A428C3" w:rsidRDefault="00B95188" w:rsidP="00B95188">
      <w:pPr>
        <w:pStyle w:val="a0"/>
      </w:pPr>
      <w:r w:rsidRPr="00A428C3">
        <w:t>Abstract: This paper identifies</w:t>
      </w:r>
      <w:r w:rsidR="00F81221">
        <w:t xml:space="preserve"> and </w:t>
      </w:r>
      <w:r w:rsidRPr="00A428C3">
        <w:t xml:space="preserve">recognizes information not only as a protean asset, but also as the ultimate powerhouse for any country. If information is power, then it follows that for </w:t>
      </w:r>
      <w:smartTag w:uri="urn:schemas-microsoft-com:office:smarttags" w:element="place">
        <w:smartTag w:uri="urn:schemas-microsoft-com:office:smarttags" w:element="country-region">
          <w:r w:rsidRPr="00A428C3">
            <w:t>Nigeria</w:t>
          </w:r>
        </w:smartTag>
      </w:smartTag>
      <w:r w:rsidRPr="00A428C3">
        <w:t xml:space="preserve"> to go forward, it must be information-based</w:t>
      </w:r>
      <w:r w:rsidR="00F81221">
        <w:t xml:space="preserve"> and </w:t>
      </w:r>
      <w:r w:rsidRPr="00A428C3">
        <w:t xml:space="preserve">information-driven. In order to achieve this, however, the paper advocates that government should establish the basic, essential national information infrastructure. The paper also argues for </w:t>
      </w:r>
      <w:smartTag w:uri="urn:schemas-microsoft-com:office:smarttags" w:element="country-region">
        <w:r w:rsidRPr="00A428C3">
          <w:t>Nigeria</w:t>
        </w:r>
      </w:smartTag>
      <w:r w:rsidRPr="00A428C3">
        <w:t xml:space="preserve"> to be Internet-ready, as well as being Intranet-</w:t>
      </w:r>
      <w:r w:rsidR="00F81221">
        <w:t xml:space="preserve"> and </w:t>
      </w:r>
      <w:r w:rsidRPr="00A428C3">
        <w:t>Extranet-enabled, as a sine qua non for Nigeria</w:t>
      </w:r>
      <w:r w:rsidR="000352E7">
        <w:t>’</w:t>
      </w:r>
      <w:r w:rsidRPr="00A428C3">
        <w:t>s successful participation in the global economy. Details on Nigeria</w:t>
      </w:r>
      <w:r w:rsidR="000352E7">
        <w:t>’</w:t>
      </w:r>
      <w:r w:rsidRPr="00A428C3">
        <w:t>s information infrastructure</w:t>
      </w:r>
      <w:r w:rsidR="00F81221">
        <w:t xml:space="preserve"> and </w:t>
      </w:r>
      <w:r w:rsidRPr="00A428C3">
        <w:t>its weaknesses are described as well as plans for improving it. The paper also discusses the different types of information networks in Nigeria</w:t>
      </w:r>
      <w:r w:rsidR="00F81221">
        <w:t xml:space="preserve"> and </w:t>
      </w:r>
      <w:r w:rsidRPr="00A428C3">
        <w:t>the sectors of the economy that are already involved.</w:t>
      </w:r>
    </w:p>
    <w:p w:rsidR="00B95188" w:rsidRPr="00A428C3" w:rsidRDefault="00B95188" w:rsidP="00B95188">
      <w:pPr>
        <w:pStyle w:val="a0"/>
      </w:pPr>
      <w:r w:rsidRPr="00A428C3">
        <w:t>Al-Qallaf, C.L.</w:t>
      </w:r>
      <w:r w:rsidR="00F81221">
        <w:t xml:space="preserve"> and </w:t>
      </w:r>
      <w:r w:rsidRPr="00A428C3">
        <w:t xml:space="preserve">Al-Azmi, H.M. (2002), Information technology in public libraries in </w:t>
      </w:r>
      <w:smartTag w:uri="urn:schemas-microsoft-com:office:smarttags" w:element="place">
        <w:smartTag w:uri="urn:schemas-microsoft-com:office:smarttags" w:element="country-region">
          <w:r w:rsidRPr="00A428C3">
            <w:t>Kuwait</w:t>
          </w:r>
        </w:smartTag>
      </w:smartTag>
      <w:r w:rsidRPr="00A428C3">
        <w:t xml:space="preserve">: A first study. </w:t>
      </w:r>
      <w:r w:rsidRPr="00A428C3">
        <w:rPr>
          <w:i/>
          <w:iCs/>
        </w:rPr>
        <w:t>International Information &amp; Library Review</w:t>
      </w:r>
      <w:r w:rsidRPr="00A428C3">
        <w:t xml:space="preserve">, </w:t>
      </w:r>
      <w:r w:rsidRPr="00A428C3">
        <w:rPr>
          <w:b/>
        </w:rPr>
        <w:t>34</w:t>
      </w:r>
      <w:r w:rsidRPr="00A428C3">
        <w:t xml:space="preserve"> (4), 289-308.</w:t>
      </w:r>
    </w:p>
    <w:p w:rsidR="00B95188" w:rsidRPr="00A428C3" w:rsidRDefault="00B95188" w:rsidP="00B95188">
      <w:pPr>
        <w:pStyle w:val="a0"/>
      </w:pPr>
      <w:r w:rsidRPr="00A428C3">
        <w:t xml:space="preserve">Full Text: </w:t>
      </w:r>
      <w:hyperlink r:id="rId1628" w:history="1">
        <w:r w:rsidRPr="00A428C3">
          <w:rPr>
            <w:rStyle w:val="a5"/>
          </w:rPr>
          <w:t>I\Int Inf Lib Rev34, 289.pdf</w:t>
        </w:r>
      </w:hyperlink>
    </w:p>
    <w:p w:rsidR="00B95188" w:rsidRPr="00A428C3" w:rsidRDefault="00B95188" w:rsidP="00B95188">
      <w:pPr>
        <w:pStyle w:val="a0"/>
      </w:pPr>
      <w:r w:rsidRPr="00A428C3">
        <w:t>Abstract: This study examines the availability</w:t>
      </w:r>
      <w:r w:rsidR="00F81221">
        <w:t xml:space="preserve"> and </w:t>
      </w:r>
      <w:r w:rsidRPr="00A428C3">
        <w:t xml:space="preserve">use of information technology in public libraries in </w:t>
      </w:r>
      <w:smartTag w:uri="urn:schemas-microsoft-com:office:smarttags" w:element="place">
        <w:smartTag w:uri="urn:schemas-microsoft-com:office:smarttags" w:element="country-region">
          <w:r w:rsidRPr="00A428C3">
            <w:t>Kuwait</w:t>
          </w:r>
        </w:smartTag>
      </w:smartTag>
      <w:r w:rsidRPr="00A428C3">
        <w:t xml:space="preserve">. Specific areas addressed are (1) hardware/software, (2) </w:t>
      </w:r>
      <w:r w:rsidRPr="00A428C3">
        <w:lastRenderedPageBreak/>
        <w:t>patterns of connectivity such as LANs, Internet, etc., (3) training</w:t>
      </w:r>
      <w:r w:rsidR="00F81221">
        <w:t xml:space="preserve"> and </w:t>
      </w:r>
      <w:r w:rsidRPr="00A428C3">
        <w:t>development activities in support of information technology,</w:t>
      </w:r>
      <w:r w:rsidR="00F81221">
        <w:t xml:space="preserve"> and </w:t>
      </w:r>
      <w:r w:rsidRPr="00A428C3">
        <w:t>(4) future projections regarding the use of information technology. The study provides policy-makers</w:t>
      </w:r>
      <w:r w:rsidR="00F81221">
        <w:t xml:space="preserve"> and </w:t>
      </w:r>
      <w:r w:rsidRPr="00A428C3">
        <w:t>information professionals with previously unavailable baseline data concerning the use of computers</w:t>
      </w:r>
      <w:r w:rsidR="00F81221">
        <w:t xml:space="preserve"> and </w:t>
      </w:r>
      <w:r w:rsidRPr="00A428C3">
        <w:t xml:space="preserve">access to telecommunications networks in public libraries in </w:t>
      </w:r>
      <w:smartTag w:uri="urn:schemas-microsoft-com:office:smarttags" w:element="place">
        <w:smartTag w:uri="urn:schemas-microsoft-com:office:smarttags" w:element="country-region">
          <w:r w:rsidRPr="00A428C3">
            <w:t>Kuwait</w:t>
          </w:r>
        </w:smartTag>
      </w:smartTag>
      <w:r w:rsidRPr="00A428C3">
        <w:t>. A questionnaire sent to all public libraries (N = 25) yielded a 92% response. Interviews with libraries</w:t>
      </w:r>
      <w:r w:rsidR="000352E7">
        <w:t>’</w:t>
      </w:r>
      <w:r w:rsidRPr="00A428C3">
        <w:t xml:space="preserve"> administrators</w:t>
      </w:r>
      <w:r w:rsidR="00F81221">
        <w:t xml:space="preserve"> and </w:t>
      </w:r>
      <w:r w:rsidRPr="00A428C3">
        <w:t>authorities were also undertaken to gather additional data. The results of the study reveal that many information technology inequalities exist among the libraries. Only eight libraries make use of computers</w:t>
      </w:r>
      <w:r w:rsidR="00F81221">
        <w:t xml:space="preserve"> and </w:t>
      </w:r>
      <w:r w:rsidRPr="00A428C3">
        <w:t>15 are without any type of IT-related technology. The study shows that few libraries have connectivity, limited use of applications,</w:t>
      </w:r>
      <w:r w:rsidR="00F81221">
        <w:t xml:space="preserve"> and </w:t>
      </w:r>
      <w:r w:rsidRPr="00A428C3">
        <w:t>the implementation of an automated library system are slow moving. Factors impeding the development of information technology are planning, funding, human resources,</w:t>
      </w:r>
      <w:r w:rsidR="00F81221">
        <w:t xml:space="preserve"> and </w:t>
      </w:r>
      <w:r w:rsidRPr="00A428C3">
        <w:t>building structure. Recommendations are made with the intention to encourage the public library sector</w:t>
      </w:r>
      <w:r w:rsidR="00F81221">
        <w:t xml:space="preserve"> and </w:t>
      </w:r>
      <w:r w:rsidRPr="00A428C3">
        <w:t xml:space="preserve">information professionals in </w:t>
      </w:r>
      <w:smartTag w:uri="urn:schemas-microsoft-com:office:smarttags" w:element="place">
        <w:smartTag w:uri="urn:schemas-microsoft-com:office:smarttags" w:element="country-region">
          <w:r w:rsidRPr="00A428C3">
            <w:t>Kuwait</w:t>
          </w:r>
        </w:smartTag>
      </w:smartTag>
      <w:r w:rsidRPr="00A428C3">
        <w:t xml:space="preserve"> to take a proactive position in overcoming the forces that hinder the development of IT. (C) 2003 Elsevier Science Ltd. All rights reserved.</w:t>
      </w:r>
    </w:p>
    <w:p w:rsidR="00B95188" w:rsidRPr="00A428C3" w:rsidRDefault="00B95188" w:rsidP="00B95188">
      <w:pPr>
        <w:pStyle w:val="a0"/>
      </w:pPr>
      <w:r w:rsidRPr="00A428C3">
        <w:t>Keywords: Saudi-Arabia</w:t>
      </w:r>
    </w:p>
    <w:p w:rsidR="00B95188" w:rsidRPr="00A428C3" w:rsidRDefault="00B95188" w:rsidP="00B95188">
      <w:pPr>
        <w:pStyle w:val="a0"/>
      </w:pPr>
      <w:r w:rsidRPr="00A428C3">
        <w:t>Ikoja-Odongo, J.R. (2002), Mapping information systems</w:t>
      </w:r>
      <w:r w:rsidR="00F81221">
        <w:t xml:space="preserve"> and </w:t>
      </w:r>
      <w:r w:rsidRPr="00A428C3">
        <w:t xml:space="preserve">services in </w:t>
      </w:r>
      <w:smartTag w:uri="urn:schemas-microsoft-com:office:smarttags" w:element="place">
        <w:smartTag w:uri="urn:schemas-microsoft-com:office:smarttags" w:element="country-region">
          <w:r w:rsidRPr="00A428C3">
            <w:t>Uganda</w:t>
          </w:r>
        </w:smartTag>
      </w:smartTag>
      <w:r w:rsidRPr="00A428C3">
        <w:t xml:space="preserve">: An overview. </w:t>
      </w:r>
      <w:r w:rsidRPr="00A428C3">
        <w:rPr>
          <w:i/>
          <w:iCs/>
        </w:rPr>
        <w:t>International Information &amp; Library Review</w:t>
      </w:r>
      <w:r w:rsidRPr="00A428C3">
        <w:t xml:space="preserve">, </w:t>
      </w:r>
      <w:r w:rsidRPr="00A428C3">
        <w:rPr>
          <w:b/>
        </w:rPr>
        <w:t>34</w:t>
      </w:r>
      <w:r w:rsidRPr="00A428C3">
        <w:t xml:space="preserve"> (4), 309-334.</w:t>
      </w:r>
    </w:p>
    <w:p w:rsidR="00B95188" w:rsidRPr="00A428C3" w:rsidRDefault="00B95188" w:rsidP="00B95188">
      <w:pPr>
        <w:pStyle w:val="a0"/>
        <w:rPr>
          <w:rFonts w:eastAsia="新細明體"/>
        </w:rPr>
      </w:pPr>
      <w:r w:rsidRPr="00A428C3">
        <w:t xml:space="preserve">Full Text: </w:t>
      </w:r>
      <w:hyperlink r:id="rId1629" w:history="1">
        <w:r w:rsidRPr="00A428C3">
          <w:rPr>
            <w:rStyle w:val="a5"/>
          </w:rPr>
          <w:t>I\Int Inf Lib Rev34, 309.pdf</w:t>
        </w:r>
      </w:hyperlink>
    </w:p>
    <w:p w:rsidR="00B95188" w:rsidRPr="00A428C3" w:rsidRDefault="00B95188" w:rsidP="00B95188">
      <w:pPr>
        <w:pStyle w:val="a0"/>
      </w:pPr>
      <w:r w:rsidRPr="00A428C3">
        <w:t>Abstract: This paper aims at defining</w:t>
      </w:r>
      <w:r w:rsidR="00F81221">
        <w:t xml:space="preserve"> and </w:t>
      </w:r>
      <w:r w:rsidRPr="00A428C3">
        <w:t xml:space="preserve">mapping the information sector in </w:t>
      </w:r>
      <w:smartTag w:uri="urn:schemas-microsoft-com:office:smarttags" w:element="place">
        <w:smartTag w:uri="urn:schemas-microsoft-com:office:smarttags" w:element="country-region">
          <w:r w:rsidRPr="00A428C3">
            <w:t>Uganda</w:t>
          </w:r>
        </w:smartTag>
      </w:smartTag>
      <w:r w:rsidRPr="00A428C3">
        <w:t xml:space="preserve"> with regard to general awareness</w:t>
      </w:r>
      <w:r w:rsidR="00F81221">
        <w:t xml:space="preserve"> and </w:t>
      </w:r>
      <w:r w:rsidRPr="00A428C3">
        <w:t>comparative studies. It is written from the sociological perspective</w:t>
      </w:r>
      <w:r w:rsidR="00F81221">
        <w:t xml:space="preserve"> and </w:t>
      </w:r>
      <w:r w:rsidRPr="00A428C3">
        <w:t>is based on a review of literature, a survey of advertisements, guidelines for mapping the information sector of other countries</w:t>
      </w:r>
      <w:r w:rsidR="00F81221">
        <w:t xml:space="preserve"> and </w:t>
      </w:r>
      <w:r w:rsidRPr="00A428C3">
        <w:t>on the author</w:t>
      </w:r>
      <w:r w:rsidR="000352E7">
        <w:t>’</w:t>
      </w:r>
      <w:r w:rsidRPr="00A428C3">
        <w:t>s experience. Restrictions that hamper this sector</w:t>
      </w:r>
      <w:r w:rsidR="000352E7">
        <w:t>’</w:t>
      </w:r>
      <w:r w:rsidRPr="00A428C3">
        <w:t>s growth are outlined together with the government</w:t>
      </w:r>
      <w:r w:rsidR="000352E7">
        <w:t>’</w:t>
      </w:r>
      <w:r w:rsidRPr="00A428C3">
        <w:t xml:space="preserve">s aspirations for improvement. The article represents a rare attempt at mapping the information sector in </w:t>
      </w:r>
      <w:smartTag w:uri="urn:schemas-microsoft-com:office:smarttags" w:element="place">
        <w:smartTag w:uri="urn:schemas-microsoft-com:office:smarttags" w:element="country-region">
          <w:r w:rsidRPr="00A428C3">
            <w:t>Uganda</w:t>
          </w:r>
        </w:smartTag>
      </w:smartTag>
      <w:r w:rsidRPr="00A428C3">
        <w:t xml:space="preserve"> for the purpose of wide information dissemination. (C) 2003 Elsevier Science Ltd. All rights reserved.</w:t>
      </w:r>
    </w:p>
    <w:p w:rsidR="00B95188" w:rsidRPr="00A428C3" w:rsidRDefault="00B95188" w:rsidP="00B95188">
      <w:pPr>
        <w:pStyle w:val="a0"/>
      </w:pPr>
      <w:r w:rsidRPr="00A428C3">
        <w:t xml:space="preserve">Omotayo, B.O. (2004), A content analysis of </w:t>
      </w:r>
      <w:smartTag w:uri="urn:schemas-microsoft-com:office:smarttags" w:element="place">
        <w:smartTag w:uri="urn:schemas-microsoft-com:office:smarttags" w:element="City">
          <w:r w:rsidRPr="00A428C3">
            <w:rPr>
              <w:i/>
              <w:iCs/>
            </w:rPr>
            <w:t>Ife</w:t>
          </w:r>
        </w:smartTag>
      </w:smartTag>
      <w:r w:rsidRPr="00A428C3">
        <w:rPr>
          <w:i/>
          <w:iCs/>
        </w:rPr>
        <w:t xml:space="preserve"> psychologia</w:t>
      </w:r>
      <w:r w:rsidRPr="00A428C3">
        <w:t xml:space="preserve">, 1993–2002. </w:t>
      </w:r>
      <w:r w:rsidRPr="00A428C3">
        <w:rPr>
          <w:i/>
          <w:iCs/>
        </w:rPr>
        <w:t>International Information &amp; Library Review</w:t>
      </w:r>
      <w:r w:rsidRPr="00A428C3">
        <w:t xml:space="preserve">, </w:t>
      </w:r>
      <w:r w:rsidRPr="00A428C3">
        <w:rPr>
          <w:b/>
        </w:rPr>
        <w:t>36</w:t>
      </w:r>
      <w:r w:rsidRPr="00A428C3">
        <w:t xml:space="preserve"> (2), 95-103.</w:t>
      </w:r>
    </w:p>
    <w:p w:rsidR="00B95188" w:rsidRPr="00A428C3" w:rsidRDefault="00B95188" w:rsidP="00B95188">
      <w:pPr>
        <w:pStyle w:val="a0"/>
      </w:pPr>
      <w:r w:rsidRPr="00A428C3">
        <w:t xml:space="preserve">Full Text: </w:t>
      </w:r>
      <w:hyperlink r:id="rId1630" w:history="1">
        <w:r w:rsidRPr="00A428C3">
          <w:rPr>
            <w:rStyle w:val="a5"/>
          </w:rPr>
          <w:t>I\Int Inf Lib Rev36, 95.pdf</w:t>
        </w:r>
      </w:hyperlink>
    </w:p>
    <w:p w:rsidR="00B95188" w:rsidRPr="00A428C3" w:rsidRDefault="00B95188" w:rsidP="00B95188">
      <w:pPr>
        <w:pStyle w:val="a0"/>
      </w:pPr>
      <w:r w:rsidRPr="00A428C3">
        <w:t>Abstract: Bibliometric attributes, including formats</w:t>
      </w:r>
      <w:r w:rsidR="00F81221">
        <w:t xml:space="preserve"> and </w:t>
      </w:r>
      <w:r w:rsidRPr="00A428C3">
        <w:t xml:space="preserve">recency of citation, have been used to obtain a content analysis of </w:t>
      </w:r>
      <w:r w:rsidRPr="00A428C3">
        <w:rPr>
          <w:i/>
          <w:iCs/>
        </w:rPr>
        <w:t>Ife Psychologia</w:t>
      </w:r>
      <w:r w:rsidRPr="00A428C3">
        <w:t xml:space="preserve"> from its inception in 1993 to 2002. The data on geographical spread of authorship</w:t>
      </w:r>
      <w:r w:rsidR="00F81221">
        <w:t xml:space="preserve"> and </w:t>
      </w:r>
      <w:r w:rsidRPr="00A428C3">
        <w:t xml:space="preserve">subject matter coverage from the 20 issues published were subjected to the Bradford Statistical Model. The results indicate that </w:t>
      </w:r>
      <w:r w:rsidRPr="00A428C3">
        <w:rPr>
          <w:i/>
          <w:iCs/>
        </w:rPr>
        <w:t>Ife Psychologia</w:t>
      </w:r>
      <w:r w:rsidRPr="00A428C3">
        <w:t xml:space="preserve"> is a multi-disciplinary international journal that has been able to continue publishing in spite of the problems afflicting journal publishing in </w:t>
      </w:r>
      <w:smartTag w:uri="urn:schemas-microsoft-com:office:smarttags" w:element="place">
        <w:r w:rsidRPr="00A428C3">
          <w:t>Africa</w:t>
        </w:r>
      </w:smartTag>
      <w:r w:rsidRPr="00A428C3">
        <w:t xml:space="preserve">. A total of 382 authors from 26 countries contributed to the </w:t>
      </w:r>
      <w:r w:rsidRPr="00A428C3">
        <w:lastRenderedPageBreak/>
        <w:t>journal, with foreign authorship rising from an initial average of 21.7% in the first 6 years to around 52% in the last 4 years. Subject matter coverage spanned over 14 fields, including psychology, education, sociology</w:t>
      </w:r>
      <w:r w:rsidR="00F81221">
        <w:t xml:space="preserve"> and </w:t>
      </w:r>
      <w:r w:rsidRPr="00A428C3">
        <w:t>mental health. Journals (47.7%)</w:t>
      </w:r>
      <w:r w:rsidR="00F81221">
        <w:t xml:space="preserve"> and </w:t>
      </w:r>
      <w:r w:rsidRPr="00A428C3">
        <w:t>books (45.2%) constituted the most cited works by authors. Though cited works were not all that current (only 20% under 5 years of publication), the incidence of authors</w:t>
      </w:r>
      <w:r w:rsidR="000352E7">
        <w:t>’</w:t>
      </w:r>
      <w:r w:rsidRPr="00A428C3">
        <w:t xml:space="preserve"> self-citation was minimal, being 5.3% overall</w:t>
      </w:r>
      <w:r w:rsidR="00F81221">
        <w:t xml:space="preserve"> and </w:t>
      </w:r>
      <w:r w:rsidRPr="00A428C3">
        <w:t>just 1.2% for the journal</w:t>
      </w:r>
      <w:r w:rsidR="000352E7">
        <w:t>’</w:t>
      </w:r>
      <w:r w:rsidRPr="00A428C3">
        <w:t xml:space="preserve">s self-citation. The study provides a good testimonial for the inclusion of the journal in the suite of </w:t>
      </w:r>
      <w:r w:rsidRPr="00A428C3">
        <w:rPr>
          <w:i/>
          <w:iCs/>
        </w:rPr>
        <w:t>African Journals On-Line</w:t>
      </w:r>
      <w:r w:rsidR="00F81221">
        <w:t xml:space="preserve"> and </w:t>
      </w:r>
      <w:r w:rsidRPr="00A428C3">
        <w:t>should assist in strengthening its editorial management.</w:t>
      </w:r>
    </w:p>
    <w:p w:rsidR="00B95188" w:rsidRPr="00A428C3" w:rsidRDefault="00B95188" w:rsidP="00B95188">
      <w:pPr>
        <w:pStyle w:val="a0"/>
      </w:pPr>
      <w:r w:rsidRPr="00A428C3">
        <w:t>? Ngulube, P. (2005), Research procedures used by Master of Information Studies students at the University of Natal in the period 1982-2002 with special reference to their sampling techniques</w:t>
      </w:r>
      <w:r w:rsidR="00F81221">
        <w:t xml:space="preserve"> and </w:t>
      </w:r>
      <w:r w:rsidRPr="00A428C3">
        <w:t xml:space="preserve">survey response rates: A methodological discourse. </w:t>
      </w:r>
      <w:r w:rsidRPr="00A428C3">
        <w:rPr>
          <w:i/>
          <w:iCs/>
        </w:rPr>
        <w:t>International Information &amp; Library Review</w:t>
      </w:r>
      <w:r w:rsidRPr="00A428C3">
        <w:t xml:space="preserve">, </w:t>
      </w:r>
      <w:r w:rsidRPr="00A428C3">
        <w:rPr>
          <w:b/>
        </w:rPr>
        <w:t>37</w:t>
      </w:r>
      <w:r w:rsidRPr="00A428C3">
        <w:t xml:space="preserve"> (2), 127-143.</w:t>
      </w:r>
    </w:p>
    <w:p w:rsidR="00B95188" w:rsidRPr="00A428C3" w:rsidRDefault="00B95188" w:rsidP="00B95188">
      <w:pPr>
        <w:pStyle w:val="a0"/>
      </w:pPr>
      <w:r w:rsidRPr="00A428C3">
        <w:t>Full Text: Int Inf Lib Rev37, 127</w:t>
      </w:r>
    </w:p>
    <w:p w:rsidR="00B95188" w:rsidRPr="00A428C3" w:rsidRDefault="00B95188" w:rsidP="00B95188">
      <w:pPr>
        <w:pStyle w:val="a0"/>
      </w:pPr>
      <w:r w:rsidRPr="00A428C3">
        <w:t xml:space="preserve">Abstract: The study investigated the research procedures used by Master of Information Studies students at the </w:t>
      </w:r>
      <w:smartTag w:uri="urn:schemas-microsoft-com:office:smarttags" w:element="place">
        <w:smartTag w:uri="urn:schemas-microsoft-com:office:smarttags" w:element="PlaceType">
          <w:r w:rsidRPr="00A428C3">
            <w:t>University</w:t>
          </w:r>
        </w:smartTag>
        <w:r w:rsidRPr="00A428C3">
          <w:t xml:space="preserve"> of </w:t>
        </w:r>
        <w:smartTag w:uri="urn:schemas-microsoft-com:office:smarttags" w:element="PlaceName">
          <w:r w:rsidRPr="00A428C3">
            <w:t>Natal</w:t>
          </w:r>
        </w:smartTag>
      </w:smartTag>
      <w:r w:rsidRPr="00A428C3">
        <w:t xml:space="preserve"> between 1982</w:t>
      </w:r>
      <w:r w:rsidR="00F81221">
        <w:t xml:space="preserve"> and </w:t>
      </w:r>
      <w:r w:rsidRPr="00A428C3">
        <w:t>2002 with special reference to their sampling techniques</w:t>
      </w:r>
      <w:r w:rsidR="00F81221">
        <w:t xml:space="preserve"> and </w:t>
      </w:r>
      <w:r w:rsidRPr="00A428C3">
        <w:t>survey response rates. Methods employed by researchers are key to the quality of their research outputs. The results indicated that sample surveys dominated the research arena during the period under review. Many theses rarely defined the population of the studies. Some quantitative theses used ad hoc sampling procedures. The instruments of data collection were pretested before being used in the field. Questions of reliability</w:t>
      </w:r>
      <w:r w:rsidR="00F81221">
        <w:t xml:space="preserve"> and </w:t>
      </w:r>
      <w:r w:rsidRPr="00A428C3">
        <w:t>validity of the survey protocols were not adequately addressed. Response rates of the surveys were above average. Most of the theses ignored the evaluation of the research procedures. The argument put forward is quite simple. For research in library</w:t>
      </w:r>
      <w:r w:rsidR="00F81221">
        <w:t xml:space="preserve"> and </w:t>
      </w:r>
      <w:r w:rsidRPr="00A428C3">
        <w:t>information science to contribute to theory</w:t>
      </w:r>
      <w:r w:rsidR="00F81221">
        <w:t xml:space="preserve"> and </w:t>
      </w:r>
      <w:r w:rsidRPr="00A428C3">
        <w:t>improve planning, practice</w:t>
      </w:r>
      <w:r w:rsidR="00F81221">
        <w:t xml:space="preserve"> and </w:t>
      </w:r>
      <w:r w:rsidRPr="00A428C3">
        <w:t>decision-making, it should rely on objective methods</w:t>
      </w:r>
      <w:r w:rsidR="00F81221">
        <w:t xml:space="preserve"> and </w:t>
      </w:r>
      <w:r w:rsidRPr="00A428C3">
        <w:t>procedures. Readers would make use of the findings</w:t>
      </w:r>
      <w:r w:rsidR="00F81221">
        <w:t xml:space="preserve"> and </w:t>
      </w:r>
      <w:r w:rsidRPr="00A428C3">
        <w:t>recommendations of LIS research if they have some degree of confidence in the quality of work described</w:t>
      </w:r>
      <w:r w:rsidR="00F81221">
        <w:t xml:space="preserve"> and </w:t>
      </w:r>
      <w:r w:rsidRPr="00A428C3">
        <w:t>the accuracy of conclusions drawn. (c) 2005 Elsevier Ltd. All rights reserved.</w:t>
      </w:r>
    </w:p>
    <w:p w:rsidR="00B95188" w:rsidRPr="00A428C3" w:rsidRDefault="00B95188" w:rsidP="00B95188">
      <w:pPr>
        <w:pStyle w:val="a0"/>
      </w:pPr>
      <w:r w:rsidRPr="00A428C3">
        <w:t>Keywords: Bibliometrics, Evaluation, Information Science, Library, LIS, Mail Surveys, Research, Science, Theory</w:t>
      </w:r>
    </w:p>
    <w:p w:rsidR="00B95188" w:rsidRPr="00A428C3" w:rsidRDefault="00B95188" w:rsidP="00B95188">
      <w:pPr>
        <w:pStyle w:val="1"/>
      </w:pPr>
      <w:r w:rsidRPr="00A428C3">
        <w:br w:type="page"/>
      </w:r>
      <w:bookmarkStart w:id="1223" w:name="_Toc488467658"/>
      <w:bookmarkStart w:id="1224" w:name="_Toc489709755"/>
      <w:bookmarkStart w:id="1225" w:name="_Toc490688058"/>
      <w:bookmarkStart w:id="1226" w:name="_Toc492812171"/>
      <w:bookmarkStart w:id="1227" w:name="_Toc186647900"/>
      <w:bookmarkStart w:id="1228" w:name="_Toc317161256"/>
      <w:r w:rsidRPr="00A428C3">
        <w:lastRenderedPageBreak/>
        <w:t>Title: International Journal of the Addictions</w:t>
      </w:r>
      <w:bookmarkEnd w:id="1223"/>
      <w:bookmarkEnd w:id="1224"/>
      <w:bookmarkEnd w:id="1225"/>
      <w:bookmarkEnd w:id="1226"/>
      <w:bookmarkEnd w:id="1227"/>
      <w:bookmarkEnd w:id="1228"/>
    </w:p>
    <w:p w:rsidR="00B95188" w:rsidRPr="00A428C3" w:rsidRDefault="00B95188" w:rsidP="00B72EF9">
      <w:pPr>
        <w:pStyle w:val="12"/>
      </w:pPr>
      <w:r w:rsidRPr="00A428C3">
        <w:t>Full Journal Title: International Journal of the Addictions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Reno</w:t>
          </w:r>
        </w:smartTag>
      </w:smartTag>
      <w:r w:rsidRPr="00A428C3">
        <w:t>, R.R.</w:t>
      </w:r>
      <w:r w:rsidR="00F81221">
        <w:t xml:space="preserve"> and </w:t>
      </w:r>
      <w:r w:rsidRPr="00A428C3">
        <w:t>Aiken, L.S. (1993), Life activities</w:t>
      </w:r>
      <w:r w:rsidR="00F81221">
        <w:t xml:space="preserve"> and </w:t>
      </w:r>
      <w:r w:rsidRPr="00A428C3">
        <w:t>life quality of heroin-addicts in</w:t>
      </w:r>
      <w:r w:rsidR="00F81221">
        <w:t xml:space="preserve"> and </w:t>
      </w:r>
      <w:r w:rsidRPr="00A428C3">
        <w:t xml:space="preserve">out of methadone treatment. </w:t>
      </w:r>
      <w:r w:rsidRPr="00A428C3">
        <w:rPr>
          <w:i/>
        </w:rPr>
        <w:t>International Journal of the Addictions</w:t>
      </w:r>
      <w:r w:rsidRPr="00A428C3">
        <w:t xml:space="preserve">, </w:t>
      </w:r>
      <w:r w:rsidRPr="00A428C3">
        <w:rPr>
          <w:b/>
        </w:rPr>
        <w:t>28</w:t>
      </w:r>
      <w:r w:rsidRPr="00A428C3">
        <w:t xml:space="preserve"> (3), 211-232.</w:t>
      </w:r>
    </w:p>
    <w:p w:rsidR="00B95188" w:rsidRPr="00A428C3" w:rsidRDefault="00B95188" w:rsidP="00B95188">
      <w:pPr>
        <w:pStyle w:val="a0"/>
      </w:pPr>
      <w:r w:rsidRPr="00A428C3">
        <w:t>Abstract: The focus of the present study was the daily life activities</w:t>
      </w:r>
      <w:r w:rsidR="00F81221">
        <w:t xml:space="preserve"> and </w:t>
      </w:r>
      <w:r w:rsidRPr="00A428C3">
        <w:t>self-perceived health</w:t>
      </w:r>
      <w:r w:rsidR="00F81221">
        <w:t xml:space="preserve"> and </w:t>
      </w:r>
      <w:r w:rsidRPr="00A428C3">
        <w:t>life quality of heroin addicts both in</w:t>
      </w:r>
      <w:r w:rsidR="00F81221">
        <w:t xml:space="preserve"> and </w:t>
      </w:r>
      <w:r w:rsidRPr="00A428C3">
        <w:t xml:space="preserve">out of methadone treatment, based on 219 addicts followed for 8 months after treatment entry. The majority of outcome evaluations of methadone treatment have focused on the </w:t>
      </w:r>
      <w:r w:rsidR="000352E7">
        <w:t>“</w:t>
      </w:r>
      <w:r w:rsidRPr="00A428C3">
        <w:t>hard</w:t>
      </w:r>
      <w:r w:rsidR="000352E7">
        <w:t>”</w:t>
      </w:r>
      <w:r w:rsidRPr="00A428C3">
        <w:t xml:space="preserve"> outcome criteria of drug use levels, criminal activities,</w:t>
      </w:r>
      <w:r w:rsidR="00F81221">
        <w:t xml:space="preserve"> and </w:t>
      </w:r>
      <w:r w:rsidRPr="00A428C3">
        <w:t>employment. The present study, in contrast, addressed how heroin addicts live on a daily basis,</w:t>
      </w:r>
      <w:r w:rsidR="00F81221">
        <w:t xml:space="preserve"> and </w:t>
      </w:r>
      <w:r w:rsidRPr="00A428C3">
        <w:t>whether being chemically supported on methadone was associated with changes in daily life activities</w:t>
      </w:r>
      <w:r w:rsidR="00F81221">
        <w:t xml:space="preserve"> and </w:t>
      </w:r>
      <w:r w:rsidRPr="00A428C3">
        <w:t>perceived quality of life. A six-dimensional measurement model of daily life activities, perceived health,</w:t>
      </w:r>
      <w:r w:rsidR="00F81221">
        <w:t xml:space="preserve"> and </w:t>
      </w:r>
      <w:r w:rsidRPr="00A428C3">
        <w:t xml:space="preserve">life quality was established. Substantial changes on the dimensions in a positive direction were found in the 2 months just following treatment entry. Changes in daily life activities (e.g., spending more time with the family, attending to the home) may be early indicators of the impact of methadone treatment that precede changes on the usual </w:t>
      </w:r>
      <w:r w:rsidR="000352E7">
        <w:t>“</w:t>
      </w:r>
      <w:r w:rsidRPr="00A428C3">
        <w:t>hard</w:t>
      </w:r>
      <w:r w:rsidR="000352E7">
        <w:t>”</w:t>
      </w:r>
      <w:r w:rsidRPr="00A428C3">
        <w:t xml:space="preserve"> criteria (e.g., obtaining legal employment).</w:t>
      </w:r>
    </w:p>
    <w:p w:rsidR="00B95188" w:rsidRPr="00A428C3" w:rsidRDefault="00B95188" w:rsidP="00B95188">
      <w:pPr>
        <w:pStyle w:val="a0"/>
      </w:pPr>
      <w:r w:rsidRPr="00A428C3">
        <w:t>Keywords: Drug-Abuse Treatment, Causal-Models, Follow-Up, Maintenance, Clients, Program</w:t>
      </w:r>
    </w:p>
    <w:p w:rsidR="00B95188" w:rsidRPr="00A428C3" w:rsidRDefault="00B95188" w:rsidP="00B95188">
      <w:pPr>
        <w:pStyle w:val="1"/>
      </w:pPr>
      <w:r w:rsidRPr="00A428C3">
        <w:br w:type="page"/>
      </w:r>
      <w:bookmarkStart w:id="1229" w:name="_Toc186647901"/>
      <w:bookmarkStart w:id="1230" w:name="_Toc317161257"/>
      <w:r w:rsidRPr="00A428C3">
        <w:lastRenderedPageBreak/>
        <w:t>Title: International Journal of Advanced Manufacturing Technology</w:t>
      </w:r>
      <w:bookmarkEnd w:id="1229"/>
      <w:bookmarkEnd w:id="1230"/>
    </w:p>
    <w:p w:rsidR="00B95188" w:rsidRPr="00A428C3" w:rsidRDefault="00B95188" w:rsidP="00B72EF9">
      <w:pPr>
        <w:pStyle w:val="12"/>
      </w:pPr>
      <w:r w:rsidRPr="00A428C3">
        <w:t xml:space="preserve">Full Journal Title: </w:t>
      </w:r>
      <w:hyperlink r:id="rId1631" w:anchor="A3" w:history="1">
        <w:r w:rsidRPr="00A428C3">
          <w:rPr>
            <w:rStyle w:val="a5"/>
          </w:rPr>
          <w:t>International Journal of Advanced Manufacturing Technology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0268-3768</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Sarkar, B.R., Doloi, B.</w:t>
      </w:r>
      <w:r w:rsidR="00F81221">
        <w:t xml:space="preserve"> and </w:t>
      </w:r>
      <w:r w:rsidRPr="00A428C3">
        <w:t xml:space="preserve">Bhattacharyya, B. (2006), Parametric analysis on electrochemical discharge machining of silicon nitride ceramics. </w:t>
      </w:r>
      <w:r w:rsidRPr="00A428C3">
        <w:rPr>
          <w:i/>
        </w:rPr>
        <w:t>International Journal of Advanced Manufacturing Technology</w:t>
      </w:r>
      <w:r w:rsidRPr="00A428C3">
        <w:t xml:space="preserve">, </w:t>
      </w:r>
      <w:r w:rsidRPr="00A428C3">
        <w:rPr>
          <w:b/>
        </w:rPr>
        <w:t>28</w:t>
      </w:r>
      <w:r w:rsidRPr="00A428C3">
        <w:t xml:space="preserve"> (9), 873-881.</w:t>
      </w:r>
    </w:p>
    <w:p w:rsidR="00B95188" w:rsidRPr="00A428C3" w:rsidRDefault="00B95188" w:rsidP="00B95188">
      <w:pPr>
        <w:pStyle w:val="a0"/>
      </w:pPr>
      <w:r w:rsidRPr="00A428C3">
        <w:t xml:space="preserve">Full Text: </w:t>
      </w:r>
      <w:hyperlink r:id="rId1632" w:history="1">
        <w:r w:rsidRPr="00A428C3">
          <w:rPr>
            <w:rStyle w:val="a5"/>
          </w:rPr>
          <w:t>2006\Int J Adv Man Tec28, 873.pdf</w:t>
        </w:r>
      </w:hyperlink>
    </w:p>
    <w:p w:rsidR="00B95188" w:rsidRPr="00A428C3" w:rsidRDefault="00B95188" w:rsidP="00B95188">
      <w:pPr>
        <w:pStyle w:val="a0"/>
      </w:pPr>
      <w:r w:rsidRPr="00A13428">
        <w:t>Abstract:</w:t>
      </w:r>
      <w:r w:rsidRPr="00A428C3">
        <w:t xml:space="preserve"> The electrochemical discharge machining (ECDM) process has a potential in the machining of silicon nitride ceramics. This paper describes the development of a second order, non-linear mathematical model for establishing the relationship among machining parameters, such as applied voltage, electrolyte concentration</w:t>
      </w:r>
      <w:r w:rsidR="00F81221">
        <w:t xml:space="preserve"> and </w:t>
      </w:r>
      <w:r w:rsidRPr="00A428C3">
        <w:t>inter-electrode gap, with the dominant machining process criteria, namely material removal rate (MRR), radial overcut (ROC)</w:t>
      </w:r>
      <w:r w:rsidR="00F81221">
        <w:t xml:space="preserve"> and </w:t>
      </w:r>
      <w:r w:rsidRPr="00A428C3">
        <w:t>thickness of heat affected zone (HAZ), during an ECDM operation on silicon nitride. The model is developed based on response surface methodology (RSM) using the relevant experimental data, which are obtained during an ECDM micro-drilling operation on silicon nitride ceramics. We also offer an analysis of variance (ANOVA)</w:t>
      </w:r>
      <w:r w:rsidR="00F81221">
        <w:t xml:space="preserve"> and </w:t>
      </w:r>
      <w:r w:rsidRPr="00A428C3">
        <w:t>a confirmation test to verify the fit</w:t>
      </w:r>
      <w:r w:rsidR="00F81221">
        <w:t xml:space="preserve"> and </w:t>
      </w:r>
      <w:r w:rsidRPr="00A428C3">
        <w:t>adequacy of the developed mathematical models. From the parametric analyses based on mathematical modelling, it can be recommended that applied voltage has more significant effects on MRR, ROC</w:t>
      </w:r>
      <w:r w:rsidR="00F81221">
        <w:t xml:space="preserve"> and </w:t>
      </w:r>
      <w:r w:rsidRPr="00A428C3">
        <w:t>HAZ thickness during ECDM micro-drilling operation as compared to other machining parameters such as electrolyte concentration</w:t>
      </w:r>
      <w:r w:rsidR="00F81221">
        <w:t xml:space="preserve"> and </w:t>
      </w:r>
      <w:r w:rsidRPr="00A428C3">
        <w:t>inter-electrode gap.</w:t>
      </w:r>
    </w:p>
    <w:p w:rsidR="00B95188" w:rsidRPr="00A428C3" w:rsidRDefault="00B95188" w:rsidP="00B95188">
      <w:pPr>
        <w:pStyle w:val="a0"/>
      </w:pPr>
      <w:r w:rsidRPr="00A13428">
        <w:t>Keywords:</w:t>
      </w:r>
      <w:r w:rsidRPr="00A428C3">
        <w:t xml:space="preserve"> Anova, Micro-Electrochemical Discharge Machining (ECDM), Response Surface Methodology (RSM), Silicon Nitride</w:t>
      </w:r>
      <w:r w:rsidRPr="00A13428">
        <w:t xml:space="preserve">, </w:t>
      </w:r>
      <w:r w:rsidRPr="00A428C3">
        <w:t>Experimental-Verification, Theoretical-Model, Material Removal, Mechanism</w:t>
      </w:r>
    </w:p>
    <w:p w:rsidR="002A224C" w:rsidRPr="00A428C3" w:rsidRDefault="002A224C" w:rsidP="002A224C">
      <w:pPr>
        <w:pStyle w:val="1"/>
      </w:pPr>
      <w:r w:rsidRPr="00A428C3">
        <w:br w:type="page"/>
      </w:r>
      <w:bookmarkStart w:id="1231" w:name="_Toc234328528"/>
      <w:bookmarkStart w:id="1232" w:name="_Toc317161258"/>
      <w:r w:rsidRPr="00A428C3">
        <w:lastRenderedPageBreak/>
        <w:t xml:space="preserve">Title: </w:t>
      </w:r>
      <w:r w:rsidRPr="003756C3">
        <w:rPr>
          <w:szCs w:val="24"/>
        </w:rPr>
        <w:t>International Journal of Agricultural Sustainability</w:t>
      </w:r>
      <w:bookmarkEnd w:id="1231"/>
      <w:bookmarkEnd w:id="1232"/>
    </w:p>
    <w:p w:rsidR="002A224C" w:rsidRPr="00A428C3" w:rsidRDefault="002A224C" w:rsidP="00B72EF9">
      <w:pPr>
        <w:pStyle w:val="12"/>
      </w:pPr>
      <w:r w:rsidRPr="00A428C3">
        <w:t xml:space="preserve">Full Journal Title: </w:t>
      </w:r>
      <w:r w:rsidRPr="003756C3">
        <w:t>International Journal of Agricultural Sustainability</w:t>
      </w:r>
    </w:p>
    <w:p w:rsidR="002A224C" w:rsidRPr="00A428C3" w:rsidRDefault="002A224C" w:rsidP="00B72EF9">
      <w:pPr>
        <w:pStyle w:val="12"/>
      </w:pPr>
      <w:r w:rsidRPr="00A428C3">
        <w:t xml:space="preserve">ISO Abbreviated Title: </w:t>
      </w:r>
    </w:p>
    <w:p w:rsidR="002A224C" w:rsidRPr="00A428C3" w:rsidRDefault="002A224C" w:rsidP="00B72EF9">
      <w:pPr>
        <w:pStyle w:val="12"/>
      </w:pPr>
      <w:r w:rsidRPr="00A428C3">
        <w:t xml:space="preserve">JCR Abbreviated Title: </w:t>
      </w:r>
    </w:p>
    <w:p w:rsidR="002A224C" w:rsidRPr="00A428C3" w:rsidRDefault="002A224C" w:rsidP="00B72EF9">
      <w:pPr>
        <w:pStyle w:val="12"/>
      </w:pPr>
      <w:r w:rsidRPr="00A428C3">
        <w:t xml:space="preserve">ISSN: </w:t>
      </w:r>
    </w:p>
    <w:p w:rsidR="002A224C" w:rsidRPr="00A428C3" w:rsidRDefault="002A224C" w:rsidP="00B72EF9">
      <w:pPr>
        <w:pStyle w:val="12"/>
      </w:pPr>
      <w:r w:rsidRPr="00A428C3">
        <w:t xml:space="preserve">Issues/Year: </w:t>
      </w:r>
    </w:p>
    <w:p w:rsidR="002A224C" w:rsidRPr="00A428C3" w:rsidRDefault="002A224C" w:rsidP="00B72EF9">
      <w:pPr>
        <w:pStyle w:val="12"/>
      </w:pPr>
      <w:r w:rsidRPr="00A428C3">
        <w:t>Journal Country/Territory:</w:t>
      </w:r>
    </w:p>
    <w:p w:rsidR="002A224C" w:rsidRPr="00A428C3" w:rsidRDefault="002A224C" w:rsidP="00B72EF9">
      <w:pPr>
        <w:pStyle w:val="12"/>
      </w:pPr>
      <w:r w:rsidRPr="00A428C3">
        <w:t xml:space="preserve">Language: </w:t>
      </w:r>
    </w:p>
    <w:p w:rsidR="002A224C" w:rsidRPr="00A428C3" w:rsidRDefault="002A224C" w:rsidP="00B72EF9">
      <w:pPr>
        <w:pStyle w:val="12"/>
      </w:pPr>
      <w:r w:rsidRPr="00A428C3">
        <w:t xml:space="preserve">Publisher: </w:t>
      </w:r>
    </w:p>
    <w:p w:rsidR="002A224C" w:rsidRPr="00A428C3" w:rsidRDefault="002A224C" w:rsidP="00B72EF9">
      <w:pPr>
        <w:pStyle w:val="12"/>
      </w:pPr>
      <w:r w:rsidRPr="00A428C3">
        <w:t xml:space="preserve">Publisher Address: </w:t>
      </w:r>
    </w:p>
    <w:p w:rsidR="002A224C" w:rsidRPr="00A428C3" w:rsidRDefault="002A224C" w:rsidP="00B72EF9">
      <w:pPr>
        <w:pStyle w:val="12"/>
      </w:pPr>
      <w:r w:rsidRPr="00A428C3">
        <w:t>Subject Categories:</w:t>
      </w:r>
    </w:p>
    <w:p w:rsidR="002A224C" w:rsidRPr="00A428C3" w:rsidRDefault="002A224C" w:rsidP="00B72EF9">
      <w:pPr>
        <w:pStyle w:val="12"/>
      </w:pPr>
      <w:r w:rsidRPr="00A428C3">
        <w:t>Impact Factor</w:t>
      </w:r>
    </w:p>
    <w:p w:rsidR="002A224C" w:rsidRDefault="002A224C" w:rsidP="002A224C">
      <w:pPr>
        <w:pStyle w:val="a0"/>
        <w:rPr>
          <w:kern w:val="0"/>
          <w:szCs w:val="24"/>
        </w:rPr>
      </w:pPr>
      <w:r>
        <w:rPr>
          <w:rFonts w:hint="eastAsia"/>
          <w:kern w:val="0"/>
          <w:szCs w:val="24"/>
        </w:rPr>
        <w:t xml:space="preserve">? </w:t>
      </w:r>
      <w:r>
        <w:rPr>
          <w:kern w:val="0"/>
          <w:szCs w:val="24"/>
        </w:rPr>
        <w:t>Wezel, A.</w:t>
      </w:r>
      <w:r w:rsidR="00F81221">
        <w:rPr>
          <w:kern w:val="0"/>
          <w:szCs w:val="24"/>
        </w:rPr>
        <w:t xml:space="preserve"> and </w:t>
      </w:r>
      <w:r>
        <w:rPr>
          <w:kern w:val="0"/>
          <w:szCs w:val="24"/>
        </w:rPr>
        <w:t>Soldat, V. (2009), A quantitative</w:t>
      </w:r>
      <w:r w:rsidR="00F81221">
        <w:rPr>
          <w:kern w:val="0"/>
          <w:szCs w:val="24"/>
        </w:rPr>
        <w:t xml:space="preserve"> and </w:t>
      </w:r>
      <w:r>
        <w:rPr>
          <w:kern w:val="0"/>
          <w:szCs w:val="24"/>
        </w:rPr>
        <w:t xml:space="preserve">qualitative historical analysis of the scientific discipline of agroecology. </w:t>
      </w:r>
      <w:r w:rsidRPr="003756C3">
        <w:rPr>
          <w:i/>
          <w:iCs/>
          <w:kern w:val="0"/>
          <w:szCs w:val="24"/>
        </w:rPr>
        <w:t>International Journal of Agricultural Sustainability</w:t>
      </w:r>
      <w:r>
        <w:rPr>
          <w:kern w:val="0"/>
          <w:szCs w:val="24"/>
        </w:rPr>
        <w:t xml:space="preserve">, </w:t>
      </w:r>
      <w:r>
        <w:rPr>
          <w:b/>
          <w:bCs/>
          <w:kern w:val="0"/>
          <w:szCs w:val="24"/>
        </w:rPr>
        <w:t>7</w:t>
      </w:r>
      <w:r>
        <w:rPr>
          <w:kern w:val="0"/>
          <w:szCs w:val="24"/>
        </w:rPr>
        <w:t xml:space="preserve"> (1), 3-18.</w:t>
      </w:r>
    </w:p>
    <w:p w:rsidR="002A224C" w:rsidRDefault="002A224C" w:rsidP="002A224C">
      <w:pPr>
        <w:pStyle w:val="a0"/>
        <w:rPr>
          <w:kern w:val="0"/>
          <w:szCs w:val="24"/>
        </w:rPr>
      </w:pPr>
      <w:r>
        <w:rPr>
          <w:kern w:val="0"/>
          <w:szCs w:val="24"/>
        </w:rPr>
        <w:t>Abstract: At present, agroecology can be interpreted as a scientific discipline, as a movement or as a practice. In this paper we analyse the historical evolution of the scientific discipline of agroecology with a quantitative bibliometric analysis of 711 publications using the term agroecology</w:t>
      </w:r>
      <w:r w:rsidR="00F81221">
        <w:rPr>
          <w:kern w:val="0"/>
          <w:szCs w:val="24"/>
        </w:rPr>
        <w:t xml:space="preserve"> and </w:t>
      </w:r>
      <w:r>
        <w:rPr>
          <w:kern w:val="0"/>
          <w:szCs w:val="24"/>
        </w:rPr>
        <w:t>the derived term agroecological, as well as a qualitative analysis of definitions, topics</w:t>
      </w:r>
      <w:r w:rsidR="00F81221">
        <w:rPr>
          <w:kern w:val="0"/>
          <w:szCs w:val="24"/>
        </w:rPr>
        <w:t xml:space="preserve"> and </w:t>
      </w:r>
      <w:r>
        <w:rPr>
          <w:kern w:val="0"/>
          <w:szCs w:val="24"/>
        </w:rPr>
        <w:t>scales, where we also include further important works on agroecology. Agroecology emerged in the 1930s</w:t>
      </w:r>
      <w:r w:rsidR="00F81221">
        <w:rPr>
          <w:kern w:val="0"/>
          <w:szCs w:val="24"/>
        </w:rPr>
        <w:t xml:space="preserve"> and </w:t>
      </w:r>
      <w:r>
        <w:rPr>
          <w:kern w:val="0"/>
          <w:szCs w:val="24"/>
        </w:rPr>
        <w:t>the period up until the 1960s was the initial phase of agroecology. During the 1970s</w:t>
      </w:r>
      <w:r w:rsidR="00F81221">
        <w:rPr>
          <w:kern w:val="0"/>
          <w:szCs w:val="24"/>
        </w:rPr>
        <w:t xml:space="preserve"> and </w:t>
      </w:r>
      <w:r>
        <w:rPr>
          <w:kern w:val="0"/>
          <w:szCs w:val="24"/>
        </w:rPr>
        <w:t>1980s, agroecology as a science expanded,</w:t>
      </w:r>
      <w:r w:rsidR="00F81221">
        <w:rPr>
          <w:kern w:val="0"/>
          <w:szCs w:val="24"/>
        </w:rPr>
        <w:t xml:space="preserve"> and </w:t>
      </w:r>
      <w:r>
        <w:rPr>
          <w:kern w:val="0"/>
          <w:szCs w:val="24"/>
        </w:rPr>
        <w:t>in the 1990s became institutionalized</w:t>
      </w:r>
      <w:r w:rsidR="00F81221">
        <w:rPr>
          <w:kern w:val="0"/>
          <w:szCs w:val="24"/>
        </w:rPr>
        <w:t xml:space="preserve"> and </w:t>
      </w:r>
      <w:r>
        <w:rPr>
          <w:kern w:val="0"/>
          <w:szCs w:val="24"/>
        </w:rPr>
        <w:t>consolidated. Since the 2000s, broader definitions have provided the basis for new dimensions in agroecology. During the last two decades the range of topics treated within agroecology grew enormously; also the publication rate has exploded within the last 10 years. The scale</w:t>
      </w:r>
      <w:r w:rsidR="00F81221">
        <w:rPr>
          <w:kern w:val="0"/>
          <w:szCs w:val="24"/>
        </w:rPr>
        <w:t xml:space="preserve"> and </w:t>
      </w:r>
      <w:r>
        <w:rPr>
          <w:kern w:val="0"/>
          <w:szCs w:val="24"/>
        </w:rPr>
        <w:t>dimension of scientific research in agroecology has changed over the past 80 years from the plot or field scale to the farm or agroecosystem scale</w:t>
      </w:r>
      <w:r w:rsidR="00F81221">
        <w:rPr>
          <w:kern w:val="0"/>
          <w:szCs w:val="24"/>
        </w:rPr>
        <w:t xml:space="preserve"> and </w:t>
      </w:r>
      <w:r>
        <w:rPr>
          <w:kern w:val="0"/>
          <w:szCs w:val="24"/>
        </w:rPr>
        <w:t>finally to the food system. Currently, three approaches persist: (1) the plot/field scale; (2) the agroecosystem/farm scale;</w:t>
      </w:r>
      <w:r w:rsidR="00F81221">
        <w:rPr>
          <w:kern w:val="0"/>
          <w:szCs w:val="24"/>
        </w:rPr>
        <w:t xml:space="preserve"> and </w:t>
      </w:r>
      <w:r>
        <w:rPr>
          <w:kern w:val="0"/>
          <w:szCs w:val="24"/>
        </w:rPr>
        <w:t>(3) the food system approach. In spite of a vague utilization of the term agroecology through its different meanings</w:t>
      </w:r>
      <w:r w:rsidR="00F81221">
        <w:rPr>
          <w:kern w:val="0"/>
          <w:szCs w:val="24"/>
        </w:rPr>
        <w:t xml:space="preserve"> and </w:t>
      </w:r>
      <w:r>
        <w:rPr>
          <w:kern w:val="0"/>
          <w:szCs w:val="24"/>
        </w:rPr>
        <w:t>definitions, the new views</w:t>
      </w:r>
      <w:r w:rsidR="00F81221">
        <w:rPr>
          <w:kern w:val="0"/>
          <w:szCs w:val="24"/>
        </w:rPr>
        <w:t xml:space="preserve"> and </w:t>
      </w:r>
      <w:r>
        <w:rPr>
          <w:kern w:val="0"/>
          <w:szCs w:val="24"/>
        </w:rPr>
        <w:t>dimensions brought to agroecology as a scientific discipline will probably facilitate efforts to respond to actual important questions on sustainable agriculture, global land use</w:t>
      </w:r>
      <w:r w:rsidR="00F81221">
        <w:rPr>
          <w:kern w:val="0"/>
          <w:szCs w:val="24"/>
        </w:rPr>
        <w:t xml:space="preserve"> and </w:t>
      </w:r>
      <w:r>
        <w:rPr>
          <w:kern w:val="0"/>
          <w:szCs w:val="24"/>
        </w:rPr>
        <w:t>climate change, or food security, due to increasingly applied systems thinking</w:t>
      </w:r>
      <w:r w:rsidR="00F81221">
        <w:rPr>
          <w:kern w:val="0"/>
          <w:szCs w:val="24"/>
        </w:rPr>
        <w:t xml:space="preserve"> and </w:t>
      </w:r>
      <w:r>
        <w:rPr>
          <w:kern w:val="0"/>
          <w:szCs w:val="24"/>
        </w:rPr>
        <w:t>interdisciplinary research approaches.</w:t>
      </w:r>
    </w:p>
    <w:p w:rsidR="002A224C" w:rsidRDefault="002A224C" w:rsidP="002A224C">
      <w:pPr>
        <w:pStyle w:val="a0"/>
        <w:rPr>
          <w:kern w:val="0"/>
          <w:szCs w:val="24"/>
        </w:rPr>
      </w:pPr>
      <w:r>
        <w:rPr>
          <w:kern w:val="0"/>
          <w:szCs w:val="24"/>
        </w:rPr>
        <w:t xml:space="preserve">Keywords: Agricultural Sustainability, Agriculture, Agroecology, Agroecosystem, </w:t>
      </w:r>
      <w:r>
        <w:rPr>
          <w:kern w:val="0"/>
          <w:szCs w:val="24"/>
        </w:rPr>
        <w:lastRenderedPageBreak/>
        <w:t>Agroecosystems, Agronomy, Analysis, Approach, Bibliometric, Bibliometric Analysis, Biodiversity, Biodiversity, Change, Climate, Climate Change, Conservation, Curriculum, Evolution, Field, Food, Food Security, Historical Analysis, Interdisciplinary, Interdisciplinary Research, Land Use, Land-Use, Management, Mexico, Movement, Organic Farming, Practice, Principles, Publication, Publication Rate, Publications, Qualitative, Qualitative Analysis, Research, Rural Development, Scale, Scales, Science, Scientific Research, Security, Sustainability, Sustainable, Sustainable Agriculture, Systems, Systems Thinking, Term, Utilization</w:t>
      </w:r>
    </w:p>
    <w:p w:rsidR="002C13E8" w:rsidRPr="00A428C3" w:rsidRDefault="002C13E8" w:rsidP="002C13E8">
      <w:pPr>
        <w:pStyle w:val="1"/>
      </w:pPr>
      <w:r>
        <w:br w:type="page"/>
      </w:r>
      <w:bookmarkStart w:id="1233" w:name="_Toc317161259"/>
      <w:r w:rsidRPr="00A428C3">
        <w:lastRenderedPageBreak/>
        <w:t xml:space="preserve">Title: </w:t>
      </w:r>
      <w:r w:rsidRPr="00B345F9">
        <w:rPr>
          <w:iCs/>
        </w:rPr>
        <w:t>International Journal of Approximate Reasoning</w:t>
      </w:r>
      <w:bookmarkEnd w:id="1233"/>
    </w:p>
    <w:p w:rsidR="002C13E8" w:rsidRPr="00A428C3" w:rsidRDefault="002C13E8" w:rsidP="002C13E8">
      <w:pPr>
        <w:pStyle w:val="12"/>
      </w:pPr>
      <w:r w:rsidRPr="00A428C3">
        <w:t xml:space="preserve">Full Journal Title: </w:t>
      </w:r>
      <w:r w:rsidRPr="00B345F9">
        <w:rPr>
          <w:iCs/>
        </w:rPr>
        <w:t>International Journal of Approximate Reasoning</w:t>
      </w:r>
    </w:p>
    <w:p w:rsidR="002C13E8" w:rsidRPr="00A428C3" w:rsidRDefault="002C13E8" w:rsidP="002C13E8">
      <w:pPr>
        <w:pStyle w:val="12"/>
      </w:pPr>
      <w:r w:rsidRPr="00A428C3">
        <w:t xml:space="preserve">ISO Abbreviated Title: </w:t>
      </w:r>
    </w:p>
    <w:p w:rsidR="002C13E8" w:rsidRPr="00A428C3" w:rsidRDefault="002C13E8" w:rsidP="002C13E8">
      <w:pPr>
        <w:pStyle w:val="12"/>
      </w:pPr>
      <w:r w:rsidRPr="00A428C3">
        <w:t xml:space="preserve">JCR Abbreviated Title: </w:t>
      </w:r>
    </w:p>
    <w:p w:rsidR="002C13E8" w:rsidRPr="00A428C3" w:rsidRDefault="002C13E8" w:rsidP="002C13E8">
      <w:pPr>
        <w:pStyle w:val="12"/>
      </w:pPr>
      <w:r w:rsidRPr="00A428C3">
        <w:t xml:space="preserve">ISSN: </w:t>
      </w:r>
    </w:p>
    <w:p w:rsidR="002C13E8" w:rsidRPr="00A428C3" w:rsidRDefault="002C13E8" w:rsidP="002C13E8">
      <w:pPr>
        <w:pStyle w:val="12"/>
      </w:pPr>
      <w:r w:rsidRPr="00A428C3">
        <w:t xml:space="preserve">Issues/Year: </w:t>
      </w:r>
    </w:p>
    <w:p w:rsidR="002C13E8" w:rsidRPr="00A428C3" w:rsidRDefault="002C13E8" w:rsidP="002C13E8">
      <w:pPr>
        <w:pStyle w:val="12"/>
      </w:pPr>
      <w:r w:rsidRPr="00A428C3">
        <w:t>Journal Country/Territory:</w:t>
      </w:r>
    </w:p>
    <w:p w:rsidR="002C13E8" w:rsidRPr="00A428C3" w:rsidRDefault="002C13E8" w:rsidP="002C13E8">
      <w:pPr>
        <w:pStyle w:val="12"/>
      </w:pPr>
      <w:r w:rsidRPr="00A428C3">
        <w:t xml:space="preserve">Language: </w:t>
      </w:r>
    </w:p>
    <w:p w:rsidR="002C13E8" w:rsidRPr="00A428C3" w:rsidRDefault="002C13E8" w:rsidP="002C13E8">
      <w:pPr>
        <w:pStyle w:val="12"/>
      </w:pPr>
      <w:r w:rsidRPr="00A428C3">
        <w:t xml:space="preserve">Publisher: </w:t>
      </w:r>
    </w:p>
    <w:p w:rsidR="002C13E8" w:rsidRPr="00A428C3" w:rsidRDefault="002C13E8" w:rsidP="002C13E8">
      <w:pPr>
        <w:pStyle w:val="12"/>
      </w:pPr>
      <w:r w:rsidRPr="00A428C3">
        <w:t xml:space="preserve">Publisher Address: </w:t>
      </w:r>
    </w:p>
    <w:p w:rsidR="002C13E8" w:rsidRPr="00A428C3" w:rsidRDefault="002C13E8" w:rsidP="002C13E8">
      <w:pPr>
        <w:pStyle w:val="12"/>
      </w:pPr>
      <w:r w:rsidRPr="00A428C3">
        <w:t>Subject Categories:</w:t>
      </w:r>
    </w:p>
    <w:p w:rsidR="002C13E8" w:rsidRPr="00A428C3" w:rsidRDefault="002C13E8" w:rsidP="002C13E8">
      <w:pPr>
        <w:pStyle w:val="12"/>
      </w:pPr>
      <w:r w:rsidRPr="00A428C3">
        <w:t>Impact Factor</w:t>
      </w:r>
    </w:p>
    <w:p w:rsidR="002C13E8" w:rsidRDefault="002C13E8" w:rsidP="002C13E8">
      <w:pPr>
        <w:pStyle w:val="a0"/>
        <w:rPr>
          <w:kern w:val="0"/>
        </w:rPr>
      </w:pPr>
      <w:r>
        <w:rPr>
          <w:rFonts w:hint="eastAsia"/>
          <w:kern w:val="0"/>
        </w:rPr>
        <w:t xml:space="preserve">? </w:t>
      </w:r>
      <w:r>
        <w:rPr>
          <w:kern w:val="0"/>
        </w:rPr>
        <w:t xml:space="preserve">Gagolewski, M. and Grzegorzewski, P. (2011), Possibilistic analysis of arity-monotonic aggregation operators and its relation to bibliometric impact assessment of individuals. </w:t>
      </w:r>
      <w:r w:rsidRPr="00B345F9">
        <w:rPr>
          <w:i/>
          <w:iCs/>
          <w:kern w:val="0"/>
        </w:rPr>
        <w:t>International Journal of Approximate Reasoning</w:t>
      </w:r>
      <w:r>
        <w:rPr>
          <w:kern w:val="0"/>
        </w:rPr>
        <w:t xml:space="preserve">, </w:t>
      </w:r>
      <w:r>
        <w:rPr>
          <w:b/>
          <w:bCs/>
          <w:kern w:val="0"/>
        </w:rPr>
        <w:t>52</w:t>
      </w:r>
      <w:r>
        <w:rPr>
          <w:kern w:val="0"/>
        </w:rPr>
        <w:t xml:space="preserve"> (9), 1312-1324.</w:t>
      </w:r>
    </w:p>
    <w:p w:rsidR="002C13E8" w:rsidRDefault="002C13E8" w:rsidP="002C13E8">
      <w:pPr>
        <w:pStyle w:val="a0"/>
        <w:rPr>
          <w:kern w:val="0"/>
        </w:rPr>
      </w:pPr>
      <w:r>
        <w:rPr>
          <w:rFonts w:hint="eastAsia"/>
          <w:kern w:val="0"/>
        </w:rPr>
        <w:t xml:space="preserve">Full Text: </w:t>
      </w:r>
      <w:hyperlink r:id="rId1633" w:history="1">
        <w:r w:rsidRPr="00B345F9">
          <w:rPr>
            <w:rStyle w:val="a5"/>
            <w:kern w:val="0"/>
          </w:rPr>
          <w:t>2011\Int J App Rea52, 1312.pdf</w:t>
        </w:r>
      </w:hyperlink>
    </w:p>
    <w:p w:rsidR="002C13E8" w:rsidRDefault="002C13E8" w:rsidP="002C13E8">
      <w:pPr>
        <w:pStyle w:val="a0"/>
        <w:rPr>
          <w:kern w:val="0"/>
        </w:rPr>
      </w:pPr>
      <w:r>
        <w:rPr>
          <w:kern w:val="0"/>
        </w:rPr>
        <w:t>Abstract: A class of arity-monotonic aggregation operators, called impact functions, is proposed. This family of operators forms a theoretical framework for the so-called Producer Assessment Problem, which includes the scientometric task of fair and objective assessment of scientists using the number of citations received by their publications. The impact function output values are analyzed under right-censored and dynamically changing input data. The qualitative possibilistic approach is used to describe this kind of uncertainty. It leads to intuitive graphical interpretations and may be easily applied for practical purposes. The discourse is illustrated by a family of aggregation operators generalizing the well-known Ordered Weighted Maximum (OWMax) and the Hirsch h-index. (C) 2011 Elsevier Inc. All rights reserved.</w:t>
      </w:r>
    </w:p>
    <w:p w:rsidR="002C13E8" w:rsidRDefault="002C13E8" w:rsidP="002C13E8">
      <w:pPr>
        <w:pStyle w:val="a0"/>
        <w:rPr>
          <w:kern w:val="0"/>
        </w:rPr>
      </w:pPr>
      <w:r>
        <w:rPr>
          <w:kern w:val="0"/>
        </w:rPr>
        <w:t xml:space="preserve">Keywords: Aggregation Operators, Analysis, Assessment, Bibliometric, Citations, Construction, Family, h Index, </w:t>
      </w:r>
      <w:r>
        <w:rPr>
          <w:rFonts w:hint="eastAsia"/>
          <w:kern w:val="0"/>
        </w:rPr>
        <w:t>h</w:t>
      </w:r>
      <w:r>
        <w:rPr>
          <w:kern w:val="0"/>
        </w:rPr>
        <w:t>-Index, Impact, Index, Owmax, Possibility Theory, Publications, Qualitative, S-Statistics</w:t>
      </w:r>
    </w:p>
    <w:p w:rsidR="00B95188" w:rsidRPr="00A428C3" w:rsidRDefault="002A224C" w:rsidP="002A224C">
      <w:pPr>
        <w:pStyle w:val="1"/>
      </w:pPr>
      <w:r>
        <w:br w:type="page"/>
      </w:r>
      <w:bookmarkStart w:id="1234" w:name="_Toc186647902"/>
      <w:bookmarkStart w:id="1235" w:name="_Toc317161260"/>
      <w:r w:rsidR="00B95188" w:rsidRPr="00A428C3">
        <w:lastRenderedPageBreak/>
        <w:t>Title: International Journal of Artificial Organs</w:t>
      </w:r>
      <w:bookmarkEnd w:id="1234"/>
      <w:bookmarkEnd w:id="1235"/>
    </w:p>
    <w:p w:rsidR="00B95188" w:rsidRPr="00A428C3" w:rsidRDefault="00B95188" w:rsidP="00B72EF9">
      <w:pPr>
        <w:pStyle w:val="12"/>
      </w:pPr>
      <w:r w:rsidRPr="00A428C3">
        <w:t xml:space="preserve">Full Journal Title: </w:t>
      </w:r>
      <w:hyperlink r:id="rId1634" w:history="1">
        <w:r w:rsidRPr="008B61D6">
          <w:rPr>
            <w:rStyle w:val="a5"/>
          </w:rPr>
          <w:t>International Journal of Artificial Organs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8B61D6" w:rsidRDefault="008B61D6" w:rsidP="008B61D6">
      <w:pPr>
        <w:pStyle w:val="a0"/>
        <w:rPr>
          <w:kern w:val="0"/>
          <w:szCs w:val="24"/>
        </w:rPr>
      </w:pPr>
      <w:r>
        <w:rPr>
          <w:rFonts w:hint="eastAsia"/>
          <w:kern w:val="0"/>
          <w:szCs w:val="24"/>
        </w:rPr>
        <w:t xml:space="preserve">? </w:t>
      </w:r>
      <w:r>
        <w:rPr>
          <w:kern w:val="0"/>
          <w:szCs w:val="24"/>
        </w:rPr>
        <w:t>Marx, U., Bushnaq, H.</w:t>
      </w:r>
      <w:r w:rsidR="00F81221">
        <w:rPr>
          <w:kern w:val="0"/>
          <w:szCs w:val="24"/>
        </w:rPr>
        <w:t xml:space="preserve"> and </w:t>
      </w:r>
      <w:r>
        <w:rPr>
          <w:kern w:val="0"/>
          <w:szCs w:val="24"/>
        </w:rPr>
        <w:t>Yalcin, E. (1998), European research</w:t>
      </w:r>
      <w:r w:rsidR="00F81221">
        <w:rPr>
          <w:kern w:val="0"/>
          <w:szCs w:val="24"/>
        </w:rPr>
        <w:t xml:space="preserve"> and </w:t>
      </w:r>
      <w:r>
        <w:rPr>
          <w:kern w:val="0"/>
          <w:szCs w:val="24"/>
        </w:rPr>
        <w:t>commercialisation activities in the field of tissue engineering</w:t>
      </w:r>
      <w:r w:rsidR="00F81221">
        <w:rPr>
          <w:kern w:val="0"/>
          <w:szCs w:val="24"/>
        </w:rPr>
        <w:t xml:space="preserve"> and </w:t>
      </w:r>
      <w:r>
        <w:rPr>
          <w:kern w:val="0"/>
          <w:szCs w:val="24"/>
        </w:rPr>
        <w:t xml:space="preserve">liver support in world wide competition. </w:t>
      </w:r>
      <w:r>
        <w:rPr>
          <w:i/>
          <w:iCs/>
          <w:kern w:val="0"/>
          <w:szCs w:val="24"/>
        </w:rPr>
        <w:t>International Journal of Artificial Organs</w:t>
      </w:r>
      <w:r>
        <w:rPr>
          <w:kern w:val="0"/>
          <w:szCs w:val="24"/>
        </w:rPr>
        <w:t xml:space="preserve">, </w:t>
      </w:r>
      <w:r>
        <w:rPr>
          <w:b/>
          <w:bCs/>
          <w:kern w:val="0"/>
          <w:szCs w:val="24"/>
        </w:rPr>
        <w:t>21</w:t>
      </w:r>
      <w:r>
        <w:rPr>
          <w:kern w:val="0"/>
          <w:szCs w:val="24"/>
        </w:rPr>
        <w:t xml:space="preserve"> (2), 119-126.</w:t>
      </w:r>
    </w:p>
    <w:p w:rsidR="008B61D6" w:rsidRDefault="008B61D6" w:rsidP="008B61D6">
      <w:pPr>
        <w:pStyle w:val="a0"/>
        <w:rPr>
          <w:kern w:val="0"/>
          <w:szCs w:val="24"/>
        </w:rPr>
      </w:pPr>
      <w:r>
        <w:rPr>
          <w:kern w:val="0"/>
          <w:szCs w:val="24"/>
        </w:rPr>
        <w:t>Abstract: Tissue engineering is seen as an interesting field of technology which could improve medical therapy</w:t>
      </w:r>
      <w:r w:rsidR="00F81221">
        <w:rPr>
          <w:kern w:val="0"/>
          <w:szCs w:val="24"/>
        </w:rPr>
        <w:t xml:space="preserve"> and </w:t>
      </w:r>
      <w:r>
        <w:rPr>
          <w:kern w:val="0"/>
          <w:szCs w:val="24"/>
        </w:rPr>
        <w:t>could also be considered as a commercial opportunity for the European biotechnological industry. Research in the state of the art of science using the MedLine(C)</w:t>
      </w:r>
      <w:r w:rsidR="00F81221">
        <w:rPr>
          <w:kern w:val="0"/>
          <w:szCs w:val="24"/>
        </w:rPr>
        <w:t xml:space="preserve"> and </w:t>
      </w:r>
      <w:r>
        <w:rPr>
          <w:kern w:val="0"/>
          <w:szCs w:val="24"/>
        </w:rPr>
        <w:t>the Science Citation Index(C) databases, in the patent situation</w:t>
      </w:r>
      <w:r w:rsidR="00F81221">
        <w:rPr>
          <w:kern w:val="0"/>
          <w:szCs w:val="24"/>
        </w:rPr>
        <w:t xml:space="preserve"> and </w:t>
      </w:r>
      <w:r>
        <w:rPr>
          <w:kern w:val="0"/>
          <w:szCs w:val="24"/>
        </w:rPr>
        <w:t>of the industry dealing with tissue engineering was done. A special method based on the Science Citation Index(C) Journal Citation Report 1993, for evaluating scientific work was defined. The main countries working in the field of tissue engineering were evaluated in regard to their scientific performance</w:t>
      </w:r>
      <w:r w:rsidR="00F81221">
        <w:rPr>
          <w:kern w:val="0"/>
          <w:szCs w:val="24"/>
        </w:rPr>
        <w:t xml:space="preserve"> and </w:t>
      </w:r>
      <w:r>
        <w:rPr>
          <w:kern w:val="0"/>
          <w:szCs w:val="24"/>
        </w:rPr>
        <w:t>their patents. The R&amp;D of German industry was investigated as an exemplary European country. Out of all activities, different tissues were rated with respect to the attention received from research</w:t>
      </w:r>
      <w:r w:rsidR="00F81221">
        <w:rPr>
          <w:kern w:val="0"/>
          <w:szCs w:val="24"/>
        </w:rPr>
        <w:t xml:space="preserve"> and </w:t>
      </w:r>
      <w:r>
        <w:rPr>
          <w:kern w:val="0"/>
          <w:szCs w:val="24"/>
        </w:rPr>
        <w:t>industry</w:t>
      </w:r>
      <w:r w:rsidR="00F81221">
        <w:rPr>
          <w:kern w:val="0"/>
          <w:szCs w:val="24"/>
        </w:rPr>
        <w:t xml:space="preserve"> and </w:t>
      </w:r>
      <w:r>
        <w:rPr>
          <w:kern w:val="0"/>
          <w:szCs w:val="24"/>
        </w:rPr>
        <w:t>with regard to the frequency in which patents were applied for. USA, Germany</w:t>
      </w:r>
      <w:r w:rsidR="00F81221">
        <w:rPr>
          <w:kern w:val="0"/>
          <w:szCs w:val="24"/>
        </w:rPr>
        <w:t xml:space="preserve"> and </w:t>
      </w:r>
      <w:r>
        <w:rPr>
          <w:kern w:val="0"/>
          <w:szCs w:val="24"/>
        </w:rPr>
        <w:t>Japan rank first in most tissues, especially liver. After comparing German patents with the German scientific</w:t>
      </w:r>
      <w:r w:rsidR="00F81221">
        <w:rPr>
          <w:kern w:val="0"/>
          <w:szCs w:val="24"/>
        </w:rPr>
        <w:t xml:space="preserve"> and </w:t>
      </w:r>
      <w:r>
        <w:rPr>
          <w:kern w:val="0"/>
          <w:szCs w:val="24"/>
        </w:rPr>
        <w:t>industrial work, it seems that the potential in German patents</w:t>
      </w:r>
      <w:r w:rsidR="00F81221">
        <w:rPr>
          <w:kern w:val="0"/>
          <w:szCs w:val="24"/>
        </w:rPr>
        <w:t xml:space="preserve"> and </w:t>
      </w:r>
      <w:r>
        <w:rPr>
          <w:kern w:val="0"/>
          <w:szCs w:val="24"/>
        </w:rPr>
        <w:t>research is underestimated by German industry</w:t>
      </w:r>
      <w:r w:rsidR="00F81221">
        <w:rPr>
          <w:kern w:val="0"/>
          <w:szCs w:val="24"/>
        </w:rPr>
        <w:t xml:space="preserve"> and </w:t>
      </w:r>
      <w:r>
        <w:rPr>
          <w:kern w:val="0"/>
          <w:szCs w:val="24"/>
        </w:rPr>
        <w:t>inefficiently exploited.</w:t>
      </w:r>
    </w:p>
    <w:p w:rsidR="008B61D6" w:rsidRDefault="008B61D6" w:rsidP="008B61D6">
      <w:pPr>
        <w:pStyle w:val="a0"/>
        <w:rPr>
          <w:kern w:val="0"/>
          <w:szCs w:val="24"/>
        </w:rPr>
      </w:pPr>
      <w:r>
        <w:rPr>
          <w:kern w:val="0"/>
          <w:szCs w:val="24"/>
        </w:rPr>
        <w:t>Keywords: Cells, Citation, Commercialisation, Databases, Industrial, Japan, Literature Evaluation, Literature Survey, Liver, Patent Analysis, Patents, R&amp;D, Research, Science, Technology, Therapy, Tissue Engineering, Transplantation, USA</w:t>
      </w:r>
    </w:p>
    <w:p w:rsidR="00B95188" w:rsidRPr="00A428C3" w:rsidRDefault="00B95188" w:rsidP="00B95188">
      <w:pPr>
        <w:pStyle w:val="a0"/>
      </w:pPr>
      <w:r w:rsidRPr="00A428C3">
        <w:t>? Yavuz, H., Andac, M., Uzun, L., Say, R.</w:t>
      </w:r>
      <w:r w:rsidR="00F81221">
        <w:t xml:space="preserve"> and </w:t>
      </w:r>
      <w:r w:rsidRPr="00A428C3">
        <w:t xml:space="preserve">Denizli, A. (2006), Molecular recognition based iron removal from human plasma with imprinted membranes. </w:t>
      </w:r>
      <w:r w:rsidRPr="00A428C3">
        <w:rPr>
          <w:i/>
        </w:rPr>
        <w:t>International Journal of Artificial Organs</w:t>
      </w:r>
      <w:r w:rsidRPr="00A428C3">
        <w:t xml:space="preserve">, </w:t>
      </w:r>
      <w:r w:rsidRPr="00A428C3">
        <w:rPr>
          <w:b/>
        </w:rPr>
        <w:t>29</w:t>
      </w:r>
      <w:r w:rsidRPr="00A428C3">
        <w:t xml:space="preserve"> (9), 900-911.</w:t>
      </w:r>
    </w:p>
    <w:p w:rsidR="00B95188" w:rsidRPr="00A428C3" w:rsidRDefault="00B95188" w:rsidP="00B95188">
      <w:pPr>
        <w:pStyle w:val="a0"/>
      </w:pPr>
      <w:r w:rsidRPr="00A428C3">
        <w:t xml:space="preserve">Abstract: The aim of this study is to prepare ion-imprinted poly(2-hydroxyethyl </w:t>
      </w:r>
      <w:r w:rsidRPr="00A428C3">
        <w:lastRenderedPageBreak/>
        <w:t>methacrylate) (HEMA) based membranes which can be used for the selective removal of Fe</w:t>
      </w:r>
      <w:r w:rsidRPr="00A428C3">
        <w:rPr>
          <w:vertAlign w:val="superscript"/>
        </w:rPr>
        <w:t>3+</w:t>
      </w:r>
      <w:r w:rsidRPr="00A428C3">
        <w:t xml:space="preserve"> ions from Fe</w:t>
      </w:r>
      <w:r w:rsidRPr="00A428C3">
        <w:rPr>
          <w:vertAlign w:val="superscript"/>
        </w:rPr>
        <w:t>3+</w:t>
      </w:r>
      <w:r w:rsidRPr="00A428C3">
        <w:t>overdosed human plasma. N-methacryloyl-(L)-glutamic acid (MAGA) was chosen as the ion-complexing monomer. In the first step, Fe</w:t>
      </w:r>
      <w:r w:rsidRPr="00A428C3">
        <w:rPr>
          <w:vertAlign w:val="superscript"/>
        </w:rPr>
        <w:t>3+</w:t>
      </w:r>
      <w:r w:rsidRPr="00A428C3">
        <w:t xml:space="preserve"> was complexed with MAGA</w:t>
      </w:r>
      <w:r w:rsidR="00F81221">
        <w:t xml:space="preserve"> and </w:t>
      </w:r>
      <w:r w:rsidRPr="00A428C3">
        <w:t>then, the Fe</w:t>
      </w:r>
      <w:r w:rsidRPr="00A428C3">
        <w:rPr>
          <w:vertAlign w:val="superscript"/>
        </w:rPr>
        <w:t>3+</w:t>
      </w:r>
      <w:r w:rsidRPr="00A428C3">
        <w:t>-imprinted poly(HEMA-MAGA) membranes were prepared by UV-initiated photo-polymerization of HEMA</w:t>
      </w:r>
      <w:r w:rsidR="00F81221">
        <w:t xml:space="preserve"> and </w:t>
      </w:r>
      <w:r w:rsidRPr="00A428C3">
        <w:t>MAGA-Fe</w:t>
      </w:r>
      <w:r w:rsidRPr="00A428C3">
        <w:rPr>
          <w:vertAlign w:val="superscript"/>
        </w:rPr>
        <w:t>3+</w:t>
      </w:r>
      <w:r w:rsidRPr="00A428C3">
        <w:t xml:space="preserve"> complex in the presence of an initiator (benzoyl peroxide). After that, the template (i.e., Fe</w:t>
      </w:r>
      <w:r w:rsidRPr="00A428C3">
        <w:rPr>
          <w:vertAlign w:val="superscript"/>
        </w:rPr>
        <w:t>3+</w:t>
      </w:r>
      <w:r w:rsidRPr="00A428C3">
        <w:t xml:space="preserve"> ions) was removed by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A428C3">
          <w:t>0.1 M</w:t>
        </w:r>
      </w:smartTag>
      <w:r w:rsidRPr="00A428C3">
        <w:t xml:space="preserve"> EDTA solution at room temperature. The specific surface area of the Fe</w:t>
      </w:r>
      <w:r w:rsidRPr="00A428C3">
        <w:rPr>
          <w:vertAlign w:val="superscript"/>
        </w:rPr>
        <w:t>3+</w:t>
      </w:r>
      <w:r w:rsidRPr="00A428C3">
        <w:t xml:space="preserve">-imprinted poly(HEMA-MAGA) membranes was found to be </w:t>
      </w:r>
      <w:smartTag w:uri="urn:schemas-microsoft-com:office:smarttags" w:element="chmetcnv">
        <w:smartTagPr>
          <w:attr w:name="TCSC" w:val="0"/>
          <w:attr w:name="NumberType" w:val="1"/>
          <w:attr w:name="Negative" w:val="False"/>
          <w:attr w:name="HasSpace" w:val="True"/>
          <w:attr w:name="SourceValue" w:val="49.2"/>
          <w:attr w:name="UnitName" w:val="m2"/>
        </w:smartTagPr>
        <w:r w:rsidRPr="00A428C3">
          <w:t>49.2 m</w:t>
        </w:r>
        <w:r w:rsidRPr="00A428C3">
          <w:rPr>
            <w:vertAlign w:val="superscript"/>
          </w:rPr>
          <w:t>2</w:t>
        </w:r>
      </w:smartTag>
      <w:r w:rsidRPr="00A428C3">
        <w:t>/g</w:t>
      </w:r>
      <w:r w:rsidR="00F81221">
        <w:t xml:space="preserve"> and </w:t>
      </w:r>
      <w:r w:rsidRPr="00A428C3">
        <w:t xml:space="preserve">the swelling ratio was 92%. According to the elemental analysis results, the polymeric membranes contained 145.7 </w:t>
      </w:r>
      <w:r w:rsidRPr="00A428C3">
        <w:sym w:font="Symbol" w:char="F06D"/>
      </w:r>
      <w:r w:rsidRPr="00A428C3">
        <w:t xml:space="preserve">mol MAGA/g polymer. The maximum adsorption capacity was 164.2 </w:t>
      </w:r>
      <w:r w:rsidRPr="00A428C3">
        <w:sym w:font="Symbol" w:char="F06D"/>
      </w:r>
      <w:r w:rsidRPr="00A428C3">
        <w:t>mol Fe</w:t>
      </w:r>
      <w:r w:rsidRPr="00A428C3">
        <w:rPr>
          <w:vertAlign w:val="superscript"/>
        </w:rPr>
        <w:t>3+</w:t>
      </w:r>
      <w:r w:rsidRPr="00A428C3">
        <w:t>/g membrane. The relative selectivity coefficients of ion-imprinted membranes for Fe</w:t>
      </w:r>
      <w:r w:rsidRPr="00A428C3">
        <w:rPr>
          <w:vertAlign w:val="superscript"/>
        </w:rPr>
        <w:t>3+</w:t>
      </w:r>
      <w:r w:rsidRPr="00A428C3">
        <w:t>/Zn</w:t>
      </w:r>
      <w:r w:rsidRPr="00A428C3">
        <w:rPr>
          <w:vertAlign w:val="superscript"/>
        </w:rPr>
        <w:t>2+</w:t>
      </w:r>
      <w:r w:rsidR="00F81221">
        <w:t xml:space="preserve"> and </w:t>
      </w:r>
      <w:r w:rsidRPr="00A428C3">
        <w:t>Fe</w:t>
      </w:r>
      <w:r w:rsidRPr="00A428C3">
        <w:rPr>
          <w:vertAlign w:val="superscript"/>
        </w:rPr>
        <w:t>3+</w:t>
      </w:r>
      <w:r w:rsidRPr="00A428C3">
        <w:t>/Cr</w:t>
      </w:r>
      <w:r w:rsidRPr="00A428C3">
        <w:rPr>
          <w:vertAlign w:val="superscript"/>
        </w:rPr>
        <w:t>3+</w:t>
      </w:r>
      <w:r w:rsidRPr="00A428C3">
        <w:t xml:space="preserve"> were 12.6</w:t>
      </w:r>
      <w:r w:rsidR="00F81221">
        <w:t xml:space="preserve"> and </w:t>
      </w:r>
      <w:r w:rsidRPr="00A428C3">
        <w:t>62.5 times greater than the non-imprinted matrix, respectively. The Fe</w:t>
      </w:r>
      <w:r w:rsidRPr="00A428C3">
        <w:rPr>
          <w:vertAlign w:val="superscript"/>
        </w:rPr>
        <w:t>3+</w:t>
      </w:r>
      <w:r w:rsidRPr="00A428C3">
        <w:t>-imprinted poly</w:t>
      </w:r>
      <w:r w:rsidR="005E6E43">
        <w:t>(</w:t>
      </w:r>
      <w:r w:rsidRPr="00A428C3">
        <w:t>HEMA- MAGA) membranes could be used many times without decreasing their Fe</w:t>
      </w:r>
      <w:r w:rsidRPr="00A428C3">
        <w:rPr>
          <w:vertAlign w:val="superscript"/>
        </w:rPr>
        <w:t>3+</w:t>
      </w:r>
      <w:r w:rsidRPr="00A428C3">
        <w:t xml:space="preserve"> adsorption capacities significantly.</w:t>
      </w:r>
    </w:p>
    <w:p w:rsidR="00B95188" w:rsidRPr="00A428C3" w:rsidRDefault="00B95188" w:rsidP="00B95188">
      <w:pPr>
        <w:pStyle w:val="a0"/>
      </w:pPr>
      <w:r w:rsidRPr="00A428C3">
        <w:t>Keywords: Molecular Imprinting, Molecular Recognition, Iron Removal, Metal Detoxification, Affinity Binding, Therapeutic Affinity Adsorption, Solid-Phase Extraction, Chelation-Therapy, Antibody Removal, Cadmium Removal, Beads, Preconcentration, Microspheres, Deferoxamine, Microbeads</w:t>
      </w:r>
    </w:p>
    <w:p w:rsidR="009F4051" w:rsidRDefault="009F4051" w:rsidP="009F4051">
      <w:pPr>
        <w:pStyle w:val="1"/>
      </w:pPr>
      <w:r>
        <w:br w:type="page"/>
      </w:r>
      <w:bookmarkStart w:id="1236" w:name="_Toc317161261"/>
      <w:r>
        <w:lastRenderedPageBreak/>
        <w:t xml:space="preserve">Title: </w:t>
      </w:r>
      <w:r>
        <w:rPr>
          <w:szCs w:val="24"/>
        </w:rPr>
        <w:t>International Journal of Behavioral Development</w:t>
      </w:r>
      <w:bookmarkEnd w:id="1236"/>
    </w:p>
    <w:p w:rsidR="009F4051" w:rsidRDefault="009F4051" w:rsidP="00B72EF9">
      <w:pPr>
        <w:pStyle w:val="12"/>
      </w:pPr>
      <w:r>
        <w:t>Full Journal Title: International Journal of Behavioral Development</w:t>
      </w:r>
    </w:p>
    <w:p w:rsidR="009F4051" w:rsidRDefault="009F4051" w:rsidP="00B72EF9">
      <w:pPr>
        <w:pStyle w:val="12"/>
      </w:pPr>
      <w:r>
        <w:t xml:space="preserve">ISO Abbreviated Title: </w:t>
      </w:r>
    </w:p>
    <w:p w:rsidR="009F4051" w:rsidRDefault="009F4051" w:rsidP="00B72EF9">
      <w:pPr>
        <w:pStyle w:val="12"/>
      </w:pPr>
      <w:r>
        <w:t xml:space="preserve">JCR Abbreviated Title: </w:t>
      </w:r>
    </w:p>
    <w:p w:rsidR="009F4051" w:rsidRDefault="009F4051" w:rsidP="00B72EF9">
      <w:pPr>
        <w:pStyle w:val="12"/>
      </w:pPr>
      <w:r>
        <w:t xml:space="preserve">ISSN: </w:t>
      </w:r>
    </w:p>
    <w:p w:rsidR="009F4051" w:rsidRDefault="009F4051" w:rsidP="00B72EF9">
      <w:pPr>
        <w:pStyle w:val="12"/>
      </w:pPr>
      <w:r>
        <w:t xml:space="preserve">Issues/Year: </w:t>
      </w:r>
    </w:p>
    <w:p w:rsidR="009F4051" w:rsidRDefault="009F4051" w:rsidP="00B72EF9">
      <w:pPr>
        <w:pStyle w:val="12"/>
      </w:pPr>
      <w:r>
        <w:t xml:space="preserve">Journal Country/Territory: </w:t>
      </w:r>
    </w:p>
    <w:p w:rsidR="009F4051" w:rsidRDefault="009F4051" w:rsidP="00B72EF9">
      <w:pPr>
        <w:pStyle w:val="12"/>
      </w:pPr>
      <w:r>
        <w:t xml:space="preserve">Language: </w:t>
      </w:r>
    </w:p>
    <w:p w:rsidR="009F4051" w:rsidRDefault="009F4051" w:rsidP="00B72EF9">
      <w:pPr>
        <w:pStyle w:val="12"/>
      </w:pPr>
      <w:r>
        <w:t xml:space="preserve">Publisher: </w:t>
      </w:r>
    </w:p>
    <w:p w:rsidR="009F4051" w:rsidRDefault="009F4051" w:rsidP="00B72EF9">
      <w:pPr>
        <w:pStyle w:val="12"/>
      </w:pPr>
      <w:r>
        <w:t xml:space="preserve">Publisher Address: </w:t>
      </w:r>
    </w:p>
    <w:p w:rsidR="009F4051" w:rsidRDefault="009F4051" w:rsidP="00B72EF9">
      <w:pPr>
        <w:pStyle w:val="12"/>
      </w:pPr>
      <w:r>
        <w:t>Subject Categories:</w:t>
      </w:r>
    </w:p>
    <w:p w:rsidR="009F4051" w:rsidRDefault="009F4051" w:rsidP="00B72EF9">
      <w:pPr>
        <w:pStyle w:val="12"/>
      </w:pPr>
      <w:r>
        <w:rPr>
          <w:rFonts w:hint="eastAsia"/>
        </w:rPr>
        <w:t>:</w:t>
      </w:r>
      <w:r>
        <w:t xml:space="preserve"> Impact Factor</w:t>
      </w:r>
    </w:p>
    <w:p w:rsidR="009F4051" w:rsidRDefault="009F4051" w:rsidP="009F4051">
      <w:pPr>
        <w:pStyle w:val="a0"/>
        <w:rPr>
          <w:kern w:val="0"/>
          <w:szCs w:val="24"/>
        </w:rPr>
      </w:pPr>
      <w:r>
        <w:rPr>
          <w:rFonts w:hint="eastAsia"/>
          <w:kern w:val="0"/>
          <w:szCs w:val="24"/>
        </w:rPr>
        <w:t xml:space="preserve">? </w:t>
      </w:r>
      <w:r>
        <w:rPr>
          <w:kern w:val="0"/>
          <w:szCs w:val="24"/>
        </w:rPr>
        <w:t>Schui, G.</w:t>
      </w:r>
      <w:r w:rsidR="00F81221">
        <w:rPr>
          <w:kern w:val="0"/>
          <w:szCs w:val="24"/>
        </w:rPr>
        <w:t xml:space="preserve"> and </w:t>
      </w:r>
      <w:r>
        <w:rPr>
          <w:kern w:val="0"/>
          <w:szCs w:val="24"/>
        </w:rPr>
        <w:t xml:space="preserve">Krampen, G. (2010), Thirty years of </w:t>
      </w:r>
      <w:r w:rsidRPr="009F4051">
        <w:rPr>
          <w:i/>
          <w:kern w:val="0"/>
          <w:szCs w:val="24"/>
        </w:rPr>
        <w:t>International Journal of Behavioral Development</w:t>
      </w:r>
      <w:r>
        <w:rPr>
          <w:kern w:val="0"/>
          <w:szCs w:val="24"/>
        </w:rPr>
        <w:t>: Scope, internationality,</w:t>
      </w:r>
      <w:r w:rsidR="00F81221">
        <w:rPr>
          <w:kern w:val="0"/>
          <w:szCs w:val="24"/>
        </w:rPr>
        <w:t xml:space="preserve"> and </w:t>
      </w:r>
      <w:r>
        <w:rPr>
          <w:kern w:val="0"/>
          <w:szCs w:val="24"/>
        </w:rPr>
        <w:t xml:space="preserve">impact since its inception. </w:t>
      </w:r>
      <w:r>
        <w:rPr>
          <w:i/>
          <w:iCs/>
          <w:kern w:val="0"/>
          <w:szCs w:val="24"/>
        </w:rPr>
        <w:t>International Journal of Behavioral Development</w:t>
      </w:r>
      <w:r>
        <w:rPr>
          <w:kern w:val="0"/>
          <w:szCs w:val="24"/>
        </w:rPr>
        <w:t xml:space="preserve">, </w:t>
      </w:r>
      <w:r>
        <w:rPr>
          <w:b/>
          <w:bCs/>
          <w:kern w:val="0"/>
          <w:szCs w:val="24"/>
        </w:rPr>
        <w:t>34</w:t>
      </w:r>
      <w:r>
        <w:rPr>
          <w:kern w:val="0"/>
          <w:szCs w:val="24"/>
        </w:rPr>
        <w:t xml:space="preserve"> (4), 289-291.</w:t>
      </w:r>
    </w:p>
    <w:p w:rsidR="009F4051" w:rsidRDefault="009F4051" w:rsidP="009F4051">
      <w:pPr>
        <w:pStyle w:val="a0"/>
        <w:rPr>
          <w:kern w:val="0"/>
          <w:szCs w:val="24"/>
        </w:rPr>
      </w:pPr>
      <w:r>
        <w:rPr>
          <w:kern w:val="0"/>
          <w:szCs w:val="24"/>
        </w:rPr>
        <w:t>Abstract: The article presents 30-year bibliometrical results on trends in the scope, internationality,</w:t>
      </w:r>
      <w:r w:rsidR="00F81221">
        <w:rPr>
          <w:kern w:val="0"/>
          <w:szCs w:val="24"/>
        </w:rPr>
        <w:t xml:space="preserve"> and </w:t>
      </w:r>
      <w:r>
        <w:rPr>
          <w:kern w:val="0"/>
          <w:szCs w:val="24"/>
        </w:rPr>
        <w:t>impact of the International Journal of Behavioral Development (IJBD) from its inception in 1978 to 2007. Bibliometric data were collected using the databases PsycINFO</w:t>
      </w:r>
      <w:r w:rsidR="00F81221">
        <w:rPr>
          <w:kern w:val="0"/>
          <w:szCs w:val="24"/>
        </w:rPr>
        <w:t xml:space="preserve"> and </w:t>
      </w:r>
      <w:r>
        <w:rPr>
          <w:kern w:val="0"/>
          <w:szCs w:val="24"/>
        </w:rPr>
        <w:t>Social Science Citation Index (SSCI),</w:t>
      </w:r>
      <w:r w:rsidR="00F81221">
        <w:rPr>
          <w:kern w:val="0"/>
          <w:szCs w:val="24"/>
        </w:rPr>
        <w:t xml:space="preserve"> and </w:t>
      </w:r>
      <w:r>
        <w:rPr>
          <w:kern w:val="0"/>
          <w:szCs w:val="24"/>
        </w:rPr>
        <w:t>the IJBD itself. In comparison to other journals on developmental psychology, the special features of IJBD include its frequent publications of research on mother-child relations, childhood development, cross-cultural studies,</w:t>
      </w:r>
      <w:r w:rsidR="00F81221">
        <w:rPr>
          <w:kern w:val="0"/>
          <w:szCs w:val="24"/>
        </w:rPr>
        <w:t xml:space="preserve"> and </w:t>
      </w:r>
      <w:r>
        <w:rPr>
          <w:kern w:val="0"/>
          <w:szCs w:val="24"/>
        </w:rPr>
        <w:t>longitudinal studies, an increasing multinationality of authorships (from 52 countries)</w:t>
      </w:r>
      <w:r w:rsidR="00F81221">
        <w:rPr>
          <w:kern w:val="0"/>
          <w:szCs w:val="24"/>
        </w:rPr>
        <w:t xml:space="preserve"> and </w:t>
      </w:r>
      <w:r>
        <w:rPr>
          <w:kern w:val="0"/>
          <w:szCs w:val="24"/>
        </w:rPr>
        <w:t>citations as well as increasing international citation rates (impact) since 1990. Uncitedness of articles published in IJBD is comparably low. The h-index for all articles published in IJBD between 1978</w:t>
      </w:r>
      <w:r w:rsidR="00F81221">
        <w:rPr>
          <w:kern w:val="0"/>
          <w:szCs w:val="24"/>
        </w:rPr>
        <w:t xml:space="preserve"> and </w:t>
      </w:r>
      <w:r>
        <w:rPr>
          <w:kern w:val="0"/>
          <w:szCs w:val="24"/>
        </w:rPr>
        <w:t>2007 ranges between 8</w:t>
      </w:r>
      <w:r w:rsidR="00F81221">
        <w:rPr>
          <w:kern w:val="0"/>
          <w:szCs w:val="24"/>
        </w:rPr>
        <w:t xml:space="preserve"> and </w:t>
      </w:r>
      <w:r>
        <w:rPr>
          <w:kern w:val="0"/>
          <w:szCs w:val="24"/>
        </w:rPr>
        <w:t>27.</w:t>
      </w:r>
    </w:p>
    <w:p w:rsidR="009F4051" w:rsidRDefault="009F4051" w:rsidP="009F4051">
      <w:pPr>
        <w:pStyle w:val="a0"/>
        <w:rPr>
          <w:kern w:val="0"/>
          <w:szCs w:val="24"/>
        </w:rPr>
      </w:pPr>
      <w:r>
        <w:rPr>
          <w:kern w:val="0"/>
          <w:szCs w:val="24"/>
        </w:rPr>
        <w:t>Keywords: Bibliometrics, Developmental Psychology, History of Psychology, International Research Cooperation, Psychology, Scientometrics</w:t>
      </w:r>
    </w:p>
    <w:p w:rsidR="001D03D8" w:rsidRDefault="001D03D8" w:rsidP="001D03D8">
      <w:pPr>
        <w:pStyle w:val="1"/>
      </w:pPr>
      <w:r>
        <w:br w:type="page"/>
      </w:r>
      <w:bookmarkStart w:id="1237" w:name="_Toc317161262"/>
      <w:r>
        <w:lastRenderedPageBreak/>
        <w:t xml:space="preserve">Title: </w:t>
      </w:r>
      <w:r w:rsidRPr="001D03D8">
        <w:rPr>
          <w:iCs/>
        </w:rPr>
        <w:t>International Journal of Behavioral Medicine</w:t>
      </w:r>
      <w:bookmarkEnd w:id="1237"/>
    </w:p>
    <w:p w:rsidR="001D03D8" w:rsidRDefault="001D03D8" w:rsidP="00B72EF9">
      <w:pPr>
        <w:pStyle w:val="12"/>
      </w:pPr>
      <w:r>
        <w:t xml:space="preserve">Full Journal Title: </w:t>
      </w:r>
      <w:hyperlink r:id="rId1635" w:history="1">
        <w:r w:rsidRPr="001D03D8">
          <w:rPr>
            <w:rStyle w:val="a5"/>
            <w:iCs/>
          </w:rPr>
          <w:t>International Journal of Behavioral Medicine</w:t>
        </w:r>
      </w:hyperlink>
    </w:p>
    <w:p w:rsidR="001D03D8" w:rsidRDefault="001D03D8" w:rsidP="00B72EF9">
      <w:pPr>
        <w:pStyle w:val="12"/>
      </w:pPr>
      <w:r>
        <w:t xml:space="preserve">ISO Abbreviated Title: </w:t>
      </w:r>
    </w:p>
    <w:p w:rsidR="001D03D8" w:rsidRDefault="001D03D8" w:rsidP="00B72EF9">
      <w:pPr>
        <w:pStyle w:val="12"/>
      </w:pPr>
      <w:r>
        <w:t xml:space="preserve">JCR Abbreviated Title: </w:t>
      </w:r>
    </w:p>
    <w:p w:rsidR="001D03D8" w:rsidRDefault="001D03D8" w:rsidP="00B72EF9">
      <w:pPr>
        <w:pStyle w:val="12"/>
      </w:pPr>
      <w:r>
        <w:t xml:space="preserve">ISSN: </w:t>
      </w:r>
    </w:p>
    <w:p w:rsidR="001D03D8" w:rsidRDefault="001D03D8" w:rsidP="00B72EF9">
      <w:pPr>
        <w:pStyle w:val="12"/>
      </w:pPr>
      <w:r>
        <w:t xml:space="preserve">Issues/Year: </w:t>
      </w:r>
    </w:p>
    <w:p w:rsidR="001D03D8" w:rsidRDefault="001D03D8" w:rsidP="00B72EF9">
      <w:pPr>
        <w:pStyle w:val="12"/>
      </w:pPr>
      <w:r>
        <w:t xml:space="preserve">Journal Country/Territory: </w:t>
      </w:r>
    </w:p>
    <w:p w:rsidR="001D03D8" w:rsidRDefault="001D03D8" w:rsidP="00B72EF9">
      <w:pPr>
        <w:pStyle w:val="12"/>
      </w:pPr>
      <w:r>
        <w:t xml:space="preserve">Language: </w:t>
      </w:r>
    </w:p>
    <w:p w:rsidR="001D03D8" w:rsidRDefault="001D03D8" w:rsidP="00B72EF9">
      <w:pPr>
        <w:pStyle w:val="12"/>
      </w:pPr>
      <w:r>
        <w:t xml:space="preserve">Publisher: </w:t>
      </w:r>
    </w:p>
    <w:p w:rsidR="001D03D8" w:rsidRDefault="001D03D8" w:rsidP="00B72EF9">
      <w:pPr>
        <w:pStyle w:val="12"/>
      </w:pPr>
      <w:r>
        <w:t xml:space="preserve">Publisher Address: </w:t>
      </w:r>
    </w:p>
    <w:p w:rsidR="001D03D8" w:rsidRDefault="001D03D8" w:rsidP="00B72EF9">
      <w:pPr>
        <w:pStyle w:val="12"/>
      </w:pPr>
      <w:r>
        <w:t>Subject Categories:</w:t>
      </w:r>
    </w:p>
    <w:p w:rsidR="001D03D8" w:rsidRDefault="001D03D8" w:rsidP="00B72EF9">
      <w:pPr>
        <w:pStyle w:val="12"/>
      </w:pPr>
      <w:r>
        <w:rPr>
          <w:rFonts w:hint="eastAsia"/>
        </w:rPr>
        <w:t>:</w:t>
      </w:r>
      <w:r>
        <w:t xml:space="preserve"> Impact Factor</w:t>
      </w:r>
    </w:p>
    <w:p w:rsidR="001D03D8" w:rsidRDefault="001D03D8" w:rsidP="001D03D8">
      <w:pPr>
        <w:pStyle w:val="a0"/>
        <w:rPr>
          <w:kern w:val="0"/>
        </w:rPr>
      </w:pPr>
      <w:r>
        <w:rPr>
          <w:rFonts w:hint="eastAsia"/>
          <w:kern w:val="0"/>
        </w:rPr>
        <w:t xml:space="preserve">? </w:t>
      </w:r>
      <w:r>
        <w:rPr>
          <w:kern w:val="0"/>
        </w:rPr>
        <w:t>Schui, G., Fell, C.</w:t>
      </w:r>
      <w:r w:rsidR="00F81221">
        <w:rPr>
          <w:kern w:val="0"/>
        </w:rPr>
        <w:t xml:space="preserve"> and </w:t>
      </w:r>
      <w:r>
        <w:rPr>
          <w:kern w:val="0"/>
        </w:rPr>
        <w:t>Krampen, G. (2010), The impact of positive psychology on behavioral medicine</w:t>
      </w:r>
      <w:r w:rsidR="00F81221">
        <w:rPr>
          <w:kern w:val="0"/>
        </w:rPr>
        <w:t xml:space="preserve"> and </w:t>
      </w:r>
      <w:r>
        <w:rPr>
          <w:kern w:val="0"/>
        </w:rPr>
        <w:t xml:space="preserve">health psychology. A bibliometric overview. </w:t>
      </w:r>
      <w:r w:rsidRPr="001D03D8">
        <w:rPr>
          <w:i/>
          <w:iCs/>
          <w:kern w:val="0"/>
        </w:rPr>
        <w:t>International Journal of Behavioral Medicine</w:t>
      </w:r>
      <w:r>
        <w:rPr>
          <w:kern w:val="0"/>
        </w:rPr>
        <w:t xml:space="preserve">, </w:t>
      </w:r>
      <w:r>
        <w:rPr>
          <w:b/>
          <w:bCs/>
          <w:kern w:val="0"/>
        </w:rPr>
        <w:t>17</w:t>
      </w:r>
      <w:r>
        <w:rPr>
          <w:kern w:val="0"/>
        </w:rPr>
        <w:t>, 46</w:t>
      </w:r>
      <w:r>
        <w:rPr>
          <w:rFonts w:hint="eastAsia"/>
          <w:kern w:val="0"/>
        </w:rPr>
        <w:t>.</w:t>
      </w:r>
    </w:p>
    <w:p w:rsidR="001D03D8" w:rsidRDefault="001D03D8" w:rsidP="001D03D8">
      <w:pPr>
        <w:pStyle w:val="a0"/>
        <w:rPr>
          <w:kern w:val="0"/>
        </w:rPr>
      </w:pPr>
      <w:r>
        <w:rPr>
          <w:rFonts w:hint="eastAsia"/>
          <w:kern w:val="0"/>
        </w:rPr>
        <w:t xml:space="preserve">Full Text: </w:t>
      </w:r>
      <w:hyperlink r:id="rId1636" w:history="1">
        <w:r w:rsidRPr="001D03D8">
          <w:rPr>
            <w:rStyle w:val="a5"/>
            <w:kern w:val="0"/>
          </w:rPr>
          <w:t>2010\Int J Beh Med17, 46.pdf</w:t>
        </w:r>
      </w:hyperlink>
    </w:p>
    <w:p w:rsidR="001D03D8" w:rsidRDefault="001D03D8" w:rsidP="001D03D8">
      <w:pPr>
        <w:pStyle w:val="a0"/>
        <w:rPr>
          <w:kern w:val="0"/>
        </w:rPr>
      </w:pPr>
      <w:r>
        <w:rPr>
          <w:kern w:val="0"/>
        </w:rPr>
        <w:t>Keywords: Medicine</w:t>
      </w:r>
    </w:p>
    <w:p w:rsidR="00A70349" w:rsidRDefault="00A70349" w:rsidP="00A70349">
      <w:pPr>
        <w:pStyle w:val="1"/>
      </w:pPr>
      <w:r>
        <w:br w:type="page"/>
      </w:r>
      <w:bookmarkStart w:id="1238" w:name="_Toc317161263"/>
      <w:r>
        <w:lastRenderedPageBreak/>
        <w:t xml:space="preserve">Title: </w:t>
      </w:r>
      <w:r w:rsidRPr="00A70349">
        <w:rPr>
          <w:iCs/>
        </w:rPr>
        <w:t>International Journal of Behavioral Nutrition</w:t>
      </w:r>
      <w:r w:rsidR="00F81221">
        <w:rPr>
          <w:iCs/>
        </w:rPr>
        <w:t xml:space="preserve"> and </w:t>
      </w:r>
      <w:r w:rsidRPr="00A70349">
        <w:rPr>
          <w:iCs/>
        </w:rPr>
        <w:t>Physical Activity</w:t>
      </w:r>
      <w:bookmarkEnd w:id="1238"/>
    </w:p>
    <w:p w:rsidR="00A70349" w:rsidRDefault="00A70349" w:rsidP="00A70349">
      <w:pPr>
        <w:pStyle w:val="12"/>
      </w:pPr>
      <w:r>
        <w:t xml:space="preserve">Full Journal Title: </w:t>
      </w:r>
      <w:r w:rsidRPr="00A70349">
        <w:rPr>
          <w:iCs/>
        </w:rPr>
        <w:t>International Journal of Behavioral Nutrition</w:t>
      </w:r>
      <w:r w:rsidR="00F81221">
        <w:rPr>
          <w:iCs/>
        </w:rPr>
        <w:t xml:space="preserve"> and </w:t>
      </w:r>
      <w:r w:rsidRPr="00A70349">
        <w:rPr>
          <w:iCs/>
        </w:rPr>
        <w:t>Physical Activity</w:t>
      </w:r>
    </w:p>
    <w:p w:rsidR="00A70349" w:rsidRDefault="00A70349" w:rsidP="00A70349">
      <w:pPr>
        <w:pStyle w:val="12"/>
      </w:pPr>
      <w:r>
        <w:t xml:space="preserve">ISO Abbreviated Title: </w:t>
      </w:r>
    </w:p>
    <w:p w:rsidR="00A70349" w:rsidRDefault="00A70349" w:rsidP="00A70349">
      <w:pPr>
        <w:pStyle w:val="12"/>
      </w:pPr>
      <w:r>
        <w:t xml:space="preserve">JCR Abbreviated Title: </w:t>
      </w:r>
    </w:p>
    <w:p w:rsidR="00A70349" w:rsidRDefault="00A70349" w:rsidP="00A70349">
      <w:pPr>
        <w:pStyle w:val="12"/>
      </w:pPr>
      <w:r>
        <w:t xml:space="preserve">ISSN: </w:t>
      </w:r>
    </w:p>
    <w:p w:rsidR="00A70349" w:rsidRDefault="00A70349" w:rsidP="00A70349">
      <w:pPr>
        <w:pStyle w:val="12"/>
      </w:pPr>
      <w:r>
        <w:t xml:space="preserve">Issues/Year: </w:t>
      </w:r>
    </w:p>
    <w:p w:rsidR="00A70349" w:rsidRDefault="00A70349" w:rsidP="00A70349">
      <w:pPr>
        <w:pStyle w:val="12"/>
      </w:pPr>
      <w:r>
        <w:t xml:space="preserve">Journal Country/Territory: </w:t>
      </w:r>
    </w:p>
    <w:p w:rsidR="00A70349" w:rsidRDefault="00A70349" w:rsidP="00A70349">
      <w:pPr>
        <w:pStyle w:val="12"/>
      </w:pPr>
      <w:r>
        <w:t xml:space="preserve">Language: </w:t>
      </w:r>
    </w:p>
    <w:p w:rsidR="00A70349" w:rsidRDefault="00A70349" w:rsidP="00A70349">
      <w:pPr>
        <w:pStyle w:val="12"/>
      </w:pPr>
      <w:r>
        <w:t xml:space="preserve">Publisher: </w:t>
      </w:r>
    </w:p>
    <w:p w:rsidR="00A70349" w:rsidRDefault="00A70349" w:rsidP="00A70349">
      <w:pPr>
        <w:pStyle w:val="12"/>
      </w:pPr>
      <w:r>
        <w:t xml:space="preserve">Publisher Address: </w:t>
      </w:r>
    </w:p>
    <w:p w:rsidR="00A70349" w:rsidRDefault="00A70349" w:rsidP="00A70349">
      <w:pPr>
        <w:pStyle w:val="12"/>
      </w:pPr>
      <w:r>
        <w:t>Subject Categories:</w:t>
      </w:r>
    </w:p>
    <w:p w:rsidR="00A70349" w:rsidRDefault="00A70349" w:rsidP="00A70349">
      <w:pPr>
        <w:pStyle w:val="12"/>
      </w:pPr>
      <w:r>
        <w:rPr>
          <w:rFonts w:hint="eastAsia"/>
        </w:rPr>
        <w:t>:</w:t>
      </w:r>
      <w:r>
        <w:t xml:space="preserve"> Impact Factor</w:t>
      </w:r>
    </w:p>
    <w:p w:rsidR="00A70349" w:rsidRDefault="00A70349" w:rsidP="00A70349">
      <w:pPr>
        <w:pStyle w:val="a0"/>
      </w:pPr>
      <w:r>
        <w:rPr>
          <w:rFonts w:hint="eastAsia"/>
          <w:kern w:val="0"/>
        </w:rPr>
        <w:t xml:space="preserve">? </w:t>
      </w:r>
      <w:r>
        <w:rPr>
          <w:kern w:val="0"/>
        </w:rPr>
        <w:t>Robroek, S.J.W., van Lenthe, F.J., van Empelen, P.</w:t>
      </w:r>
      <w:r w:rsidR="00F81221">
        <w:rPr>
          <w:kern w:val="0"/>
        </w:rPr>
        <w:t xml:space="preserve"> and </w:t>
      </w:r>
      <w:r>
        <w:rPr>
          <w:kern w:val="0"/>
        </w:rPr>
        <w:t xml:space="preserve">Burdorf, A. (2009), Determinants of participation in worksite health promotion programmes: A systematic review. </w:t>
      </w:r>
      <w:r w:rsidRPr="00A70349">
        <w:rPr>
          <w:i/>
          <w:iCs/>
          <w:kern w:val="0"/>
        </w:rPr>
        <w:t>International Journal of Behavioral Nutrition</w:t>
      </w:r>
      <w:r w:rsidR="00F81221">
        <w:rPr>
          <w:i/>
          <w:iCs/>
          <w:kern w:val="0"/>
        </w:rPr>
        <w:t xml:space="preserve"> and </w:t>
      </w:r>
      <w:r w:rsidRPr="00A70349">
        <w:rPr>
          <w:i/>
          <w:iCs/>
          <w:kern w:val="0"/>
        </w:rPr>
        <w:t>Physical Activity</w:t>
      </w:r>
      <w:r>
        <w:rPr>
          <w:kern w:val="0"/>
        </w:rPr>
        <w:t xml:space="preserve">, </w:t>
      </w:r>
      <w:r>
        <w:rPr>
          <w:b/>
          <w:bCs/>
          <w:kern w:val="0"/>
        </w:rPr>
        <w:t>6</w:t>
      </w:r>
      <w:r>
        <w:rPr>
          <w:rFonts w:hint="eastAsia"/>
          <w:kern w:val="0"/>
        </w:rPr>
        <w:t xml:space="preserve">, </w:t>
      </w:r>
      <w:r>
        <w:t>Article Number: 26</w:t>
      </w:r>
      <w:r>
        <w:rPr>
          <w:rFonts w:hint="eastAsia"/>
        </w:rPr>
        <w:t>.</w:t>
      </w:r>
    </w:p>
    <w:p w:rsidR="00A70349" w:rsidRDefault="00A70349" w:rsidP="00A70349">
      <w:pPr>
        <w:pStyle w:val="a0"/>
        <w:rPr>
          <w:kern w:val="0"/>
        </w:rPr>
      </w:pPr>
      <w:r>
        <w:t>Full</w:t>
      </w:r>
      <w:r>
        <w:rPr>
          <w:rFonts w:hint="eastAsia"/>
        </w:rPr>
        <w:t xml:space="preserve"> Text: </w:t>
      </w:r>
      <w:hyperlink r:id="rId1637" w:history="1">
        <w:r w:rsidRPr="00A70349">
          <w:rPr>
            <w:rStyle w:val="a5"/>
          </w:rPr>
          <w:t>2009\Int J Beh Nut Phy Act6, 26.pdf</w:t>
        </w:r>
      </w:hyperlink>
    </w:p>
    <w:p w:rsidR="00A70349" w:rsidRDefault="00A70349" w:rsidP="00A70349">
      <w:pPr>
        <w:pStyle w:val="a0"/>
        <w:rPr>
          <w:kern w:val="0"/>
        </w:rPr>
      </w:pPr>
      <w:r>
        <w:rPr>
          <w:kern w:val="0"/>
        </w:rPr>
        <w:t>Abstract: Background: The workplace has been identified as a promising setting for health promotion,</w:t>
      </w:r>
      <w:r w:rsidR="00F81221">
        <w:rPr>
          <w:kern w:val="0"/>
        </w:rPr>
        <w:t xml:space="preserve"> and </w:t>
      </w:r>
      <w:r>
        <w:rPr>
          <w:kern w:val="0"/>
        </w:rPr>
        <w:t>many worksite health promotion programmes have been implemented in the past years. Research has mainly focused on the effectiveness of these interventions. For implementation of interventions at a large scale however, information about (determinants of) participation in these programmes is essential. This systematic review investigates initial participation in worksite health promotion programmes, the underlying determinants of participation,</w:t>
      </w:r>
      <w:r w:rsidR="00F81221">
        <w:rPr>
          <w:kern w:val="0"/>
        </w:rPr>
        <w:t xml:space="preserve"> and </w:t>
      </w:r>
      <w:r>
        <w:rPr>
          <w:kern w:val="0"/>
        </w:rPr>
        <w:t>programme characteristics influencing participation levels. Methods: Studies on characteristics of participants</w:t>
      </w:r>
      <w:r w:rsidR="00F81221">
        <w:rPr>
          <w:kern w:val="0"/>
        </w:rPr>
        <w:t xml:space="preserve"> and </w:t>
      </w:r>
      <w:r>
        <w:rPr>
          <w:kern w:val="0"/>
        </w:rPr>
        <w:t>non-participants in worksite health promotion programmes aimed at physical activity and/or nutrition published from 1988 to 2007 were identified through a structured search in PUBMED</w:t>
      </w:r>
      <w:r w:rsidR="00F81221">
        <w:rPr>
          <w:kern w:val="0"/>
        </w:rPr>
        <w:t xml:space="preserve"> and </w:t>
      </w:r>
      <w:r>
        <w:rPr>
          <w:kern w:val="0"/>
        </w:rPr>
        <w:t>Web of Science. Studies were included if a primary preventive worksite health promotion programme on PA and/or nutrition was described,</w:t>
      </w:r>
      <w:r w:rsidR="00F81221">
        <w:rPr>
          <w:kern w:val="0"/>
        </w:rPr>
        <w:t xml:space="preserve"> and </w:t>
      </w:r>
      <w:r>
        <w:rPr>
          <w:kern w:val="0"/>
        </w:rPr>
        <w:t>if quantitative information was present on determinants of participation. Results: In total, 23 studies were included with 10 studies on educational or counselling programmes, 6 fitness centre interventions,</w:t>
      </w:r>
      <w:r w:rsidR="00F81221">
        <w:rPr>
          <w:kern w:val="0"/>
        </w:rPr>
        <w:t xml:space="preserve"> and </w:t>
      </w:r>
      <w:r>
        <w:rPr>
          <w:kern w:val="0"/>
        </w:rPr>
        <w:t xml:space="preserve">7 studies examining determinants of participation in multi-component programmes. Participation levels varied from 10% to 64%, with a median of 33% (95% CI 25-42%). In general, female workers had a higher participation than men (OR = 1.67; 95% CI 1.25-2.27]), but this difference was not observed for interventions consisting </w:t>
      </w:r>
      <w:r>
        <w:rPr>
          <w:kern w:val="0"/>
        </w:rPr>
        <w:lastRenderedPageBreak/>
        <w:t>of access to fitness centre programmes. For the other demographic, health-</w:t>
      </w:r>
      <w:r w:rsidR="00F81221">
        <w:rPr>
          <w:kern w:val="0"/>
        </w:rPr>
        <w:t xml:space="preserve"> and </w:t>
      </w:r>
      <w:r>
        <w:rPr>
          <w:kern w:val="0"/>
        </w:rPr>
        <w:t>work-related characteristics no consistent effect on participation was found. Pooling of studies showed a higher participation level when an incentive was offered, when the programme consisted of multiple components, or when the programme was aimed at multiple behaviours. Conclusion: In this systematic review, participation levels in health promotion interventions at the workplace were typically below 50%. Few studies evaluated the influence of health, lifestyle</w:t>
      </w:r>
      <w:r w:rsidR="00F81221">
        <w:rPr>
          <w:kern w:val="0"/>
        </w:rPr>
        <w:t xml:space="preserve"> and </w:t>
      </w:r>
      <w:r>
        <w:rPr>
          <w:kern w:val="0"/>
        </w:rPr>
        <w:t>work-related factors on participation, which hampers the insight in the underlying determinants of initial participation in worksite health promotion. Nevertheless, the present review does provide some strategies that can be adopted in order to increase participation levels. In addition, the review highlights that further insight is essential to develop intervention programmes with the ability to reach many employees, including those who need it most</w:t>
      </w:r>
      <w:r w:rsidR="00F81221">
        <w:rPr>
          <w:kern w:val="0"/>
        </w:rPr>
        <w:t xml:space="preserve"> and </w:t>
      </w:r>
      <w:r>
        <w:rPr>
          <w:kern w:val="0"/>
        </w:rPr>
        <w:t>to increase the generalizability across all workers.</w:t>
      </w:r>
    </w:p>
    <w:p w:rsidR="00A70349" w:rsidRDefault="00A70349" w:rsidP="00A70349">
      <w:pPr>
        <w:pStyle w:val="a0"/>
        <w:rPr>
          <w:kern w:val="0"/>
        </w:rPr>
      </w:pPr>
      <w:r>
        <w:rPr>
          <w:kern w:val="0"/>
        </w:rPr>
        <w:t>Keywords: Absenteeism, Determinants, Effectiveness, Fitness Program, Health Promotion, Impact, Information, Intervention, Interventions, Methods, Nonparticipants, Nutrition, Physical Activity, Physical-Activity Programs, Primary, Promotion, Pubmed, Quantitative, Research, Review, Science, Site, Systematic, Systematic Review, Web of Science</w:t>
      </w:r>
    </w:p>
    <w:p w:rsidR="00A70349" w:rsidRDefault="00A70349" w:rsidP="00A70349">
      <w:pPr>
        <w:pStyle w:val="a0"/>
        <w:rPr>
          <w:kern w:val="0"/>
        </w:rPr>
      </w:pPr>
      <w:r>
        <w:rPr>
          <w:rFonts w:hint="eastAsia"/>
          <w:kern w:val="0"/>
        </w:rPr>
        <w:t xml:space="preserve">? </w:t>
      </w:r>
      <w:r>
        <w:rPr>
          <w:kern w:val="0"/>
        </w:rPr>
        <w:t>Verhaeghe, N., De Maeseneer, J., Maes, L., Van Heeringen, C.</w:t>
      </w:r>
      <w:r w:rsidR="00F81221">
        <w:rPr>
          <w:kern w:val="0"/>
        </w:rPr>
        <w:t xml:space="preserve"> and </w:t>
      </w:r>
      <w:r>
        <w:rPr>
          <w:kern w:val="0"/>
        </w:rPr>
        <w:t>Annemans, L. (2011), Effectiveness</w:t>
      </w:r>
      <w:r w:rsidR="00F81221">
        <w:rPr>
          <w:kern w:val="0"/>
        </w:rPr>
        <w:t xml:space="preserve"> and </w:t>
      </w:r>
      <w:r>
        <w:rPr>
          <w:kern w:val="0"/>
        </w:rPr>
        <w:t>cost-effectiveness of lifestyle interventions on physical activity</w:t>
      </w:r>
      <w:r w:rsidR="00F81221">
        <w:rPr>
          <w:kern w:val="0"/>
        </w:rPr>
        <w:t xml:space="preserve"> and </w:t>
      </w:r>
      <w:r>
        <w:rPr>
          <w:kern w:val="0"/>
        </w:rPr>
        <w:t xml:space="preserve">eating habits in persons with severe mental disorders: A systematic review. </w:t>
      </w:r>
      <w:r>
        <w:rPr>
          <w:i/>
          <w:iCs/>
          <w:kern w:val="0"/>
        </w:rPr>
        <w:t>International Journal of Behavioral Nutrition</w:t>
      </w:r>
      <w:r w:rsidR="00F81221">
        <w:rPr>
          <w:i/>
          <w:iCs/>
          <w:kern w:val="0"/>
        </w:rPr>
        <w:t xml:space="preserve"> and </w:t>
      </w:r>
      <w:r>
        <w:rPr>
          <w:i/>
          <w:iCs/>
          <w:kern w:val="0"/>
        </w:rPr>
        <w:t>Physical Activity</w:t>
      </w:r>
      <w:r>
        <w:rPr>
          <w:kern w:val="0"/>
        </w:rPr>
        <w:t xml:space="preserve">, </w:t>
      </w:r>
      <w:r>
        <w:rPr>
          <w:b/>
          <w:bCs/>
          <w:kern w:val="0"/>
        </w:rPr>
        <w:t>8</w:t>
      </w:r>
      <w:r>
        <w:rPr>
          <w:rFonts w:hint="eastAsia"/>
          <w:kern w:val="0"/>
        </w:rPr>
        <w:t xml:space="preserve">, </w:t>
      </w:r>
      <w:r>
        <w:t xml:space="preserve">Article Number: </w:t>
      </w:r>
      <w:r>
        <w:rPr>
          <w:rFonts w:hint="eastAsia"/>
        </w:rPr>
        <w:t>28.</w:t>
      </w:r>
    </w:p>
    <w:p w:rsidR="00A70349" w:rsidRDefault="00A70349" w:rsidP="00A70349">
      <w:pPr>
        <w:pStyle w:val="a0"/>
        <w:rPr>
          <w:kern w:val="0"/>
        </w:rPr>
      </w:pPr>
      <w:r>
        <w:t>Full</w:t>
      </w:r>
      <w:r>
        <w:rPr>
          <w:rFonts w:hint="eastAsia"/>
        </w:rPr>
        <w:t xml:space="preserve"> Text: </w:t>
      </w:r>
      <w:hyperlink r:id="rId1638" w:history="1">
        <w:r w:rsidRPr="00A70349">
          <w:rPr>
            <w:rStyle w:val="a5"/>
          </w:rPr>
          <w:t>2009\Int J Beh Nut Phy Act6, 28.pdf</w:t>
        </w:r>
      </w:hyperlink>
    </w:p>
    <w:p w:rsidR="00A70349" w:rsidRDefault="00A70349" w:rsidP="00A70349">
      <w:pPr>
        <w:pStyle w:val="a0"/>
        <w:rPr>
          <w:kern w:val="0"/>
        </w:rPr>
      </w:pPr>
      <w:r>
        <w:rPr>
          <w:kern w:val="0"/>
        </w:rPr>
        <w:t>Abstract: Background: There is a high prevalence of overweight</w:t>
      </w:r>
      <w:r w:rsidR="00F81221">
        <w:rPr>
          <w:kern w:val="0"/>
        </w:rPr>
        <w:t xml:space="preserve"> and </w:t>
      </w:r>
      <w:r>
        <w:rPr>
          <w:kern w:val="0"/>
        </w:rPr>
        <w:t>obesity in persons with severe mental disorders</w:t>
      </w:r>
      <w:r w:rsidR="00F81221">
        <w:rPr>
          <w:kern w:val="0"/>
        </w:rPr>
        <w:t xml:space="preserve"> and </w:t>
      </w:r>
      <w:r>
        <w:rPr>
          <w:kern w:val="0"/>
        </w:rPr>
        <w:t>this has serious implications on the short</w:t>
      </w:r>
      <w:r w:rsidR="00F81221">
        <w:rPr>
          <w:kern w:val="0"/>
        </w:rPr>
        <w:t xml:space="preserve"> and </w:t>
      </w:r>
      <w:r>
        <w:rPr>
          <w:kern w:val="0"/>
        </w:rPr>
        <w:t>long term health outcomes of these patients. The aim of this review was to evaluate the effectiveness of lifestyle interventions targeting physical activity</w:t>
      </w:r>
      <w:r w:rsidR="00F81221">
        <w:rPr>
          <w:kern w:val="0"/>
        </w:rPr>
        <w:t xml:space="preserve"> and </w:t>
      </w:r>
      <w:r>
        <w:rPr>
          <w:kern w:val="0"/>
        </w:rPr>
        <w:t>eating habits in persons with severe mental disorders. Special attention was given if any of the included studies in the review also examined the cost-effectiveness of these health promotion interventions. Methods: A systematic search through the electronic databases MEDLINE, Web of Science, CINAHL</w:t>
      </w:r>
      <w:r w:rsidR="00F81221">
        <w:rPr>
          <w:kern w:val="0"/>
        </w:rPr>
        <w:t xml:space="preserve"> and </w:t>
      </w:r>
      <w:r>
        <w:rPr>
          <w:kern w:val="0"/>
        </w:rPr>
        <w:t>Cohrane Library was conducted,</w:t>
      </w:r>
      <w:r w:rsidR="00F81221">
        <w:rPr>
          <w:kern w:val="0"/>
        </w:rPr>
        <w:t xml:space="preserve"> and </w:t>
      </w:r>
      <w:r>
        <w:rPr>
          <w:kern w:val="0"/>
        </w:rPr>
        <w:t>by hand-searching the reference lists of the retrieved articles from the electronic databases. Studies were included if they examined effectiveness and/or cost-effectiveness of lifestyle interventions targeting physical activity</w:t>
      </w:r>
      <w:r w:rsidR="00F81221">
        <w:rPr>
          <w:kern w:val="0"/>
        </w:rPr>
        <w:t xml:space="preserve"> and </w:t>
      </w:r>
      <w:r>
        <w:rPr>
          <w:kern w:val="0"/>
        </w:rPr>
        <w:t>eating habits in persons with severe mental disorders, with primary outcome changes in Body Mass Index</w:t>
      </w:r>
      <w:r w:rsidR="00F81221">
        <w:rPr>
          <w:kern w:val="0"/>
        </w:rPr>
        <w:t xml:space="preserve"> and </w:t>
      </w:r>
      <w:r>
        <w:rPr>
          <w:kern w:val="0"/>
        </w:rPr>
        <w:t>body weight. Results: Fourteen studies met the inclusion criteria. Weight loss</w:t>
      </w:r>
      <w:r w:rsidR="00F81221">
        <w:rPr>
          <w:kern w:val="0"/>
        </w:rPr>
        <w:t xml:space="preserve"> and </w:t>
      </w:r>
      <w:r>
        <w:rPr>
          <w:kern w:val="0"/>
        </w:rPr>
        <w:t>Body Mass Index decrease were observed in intervention groups in 11 studies. The difference in weight change between intervention</w:t>
      </w:r>
      <w:r w:rsidR="00F81221">
        <w:rPr>
          <w:kern w:val="0"/>
        </w:rPr>
        <w:t xml:space="preserve"> and </w:t>
      </w:r>
      <w:r>
        <w:rPr>
          <w:kern w:val="0"/>
        </w:rPr>
        <w:lastRenderedPageBreak/>
        <w:t>control groups was statistically significant in nine studies. Differences in mean Body Mass Index between intervention</w:t>
      </w:r>
      <w:r w:rsidR="00F81221">
        <w:rPr>
          <w:kern w:val="0"/>
        </w:rPr>
        <w:t xml:space="preserve"> and </w:t>
      </w:r>
      <w:r>
        <w:rPr>
          <w:kern w:val="0"/>
        </w:rPr>
        <w:t>control groups were statistically significant in eight studies. Five studies reported improvements in quality of life</w:t>
      </w:r>
      <w:r w:rsidR="00F81221">
        <w:rPr>
          <w:kern w:val="0"/>
        </w:rPr>
        <w:t xml:space="preserve"> and </w:t>
      </w:r>
      <w:r>
        <w:rPr>
          <w:kern w:val="0"/>
        </w:rPr>
        <w:t>general health. In none of the studies cost-effectiveness of lifestyle interventions was examined. Conclusion: Further research on both effectiveness</w:t>
      </w:r>
      <w:r w:rsidR="00F81221">
        <w:rPr>
          <w:kern w:val="0"/>
        </w:rPr>
        <w:t xml:space="preserve"> and </w:t>
      </w:r>
      <w:r>
        <w:rPr>
          <w:kern w:val="0"/>
        </w:rPr>
        <w:t>cost-effectiveness of lifestyle interventions targeting physical activity</w:t>
      </w:r>
      <w:r w:rsidR="00F81221">
        <w:rPr>
          <w:kern w:val="0"/>
        </w:rPr>
        <w:t xml:space="preserve"> and </w:t>
      </w:r>
      <w:r>
        <w:rPr>
          <w:kern w:val="0"/>
        </w:rPr>
        <w:t>eating habits in persons with severe mental disorders is required to assist in the development of new health promotion interventions in this population.</w:t>
      </w:r>
    </w:p>
    <w:p w:rsidR="00A70349" w:rsidRDefault="00A70349" w:rsidP="00A70349">
      <w:pPr>
        <w:pStyle w:val="a0"/>
        <w:rPr>
          <w:kern w:val="0"/>
        </w:rPr>
      </w:pPr>
      <w:r>
        <w:rPr>
          <w:kern w:val="0"/>
        </w:rPr>
        <w:t>Keywords: Attention, Atypical Antipsychotics, Body Weight, Body-Mass Index, Control, Control Groups, Cost-Effectiveness, Databases, Development, Effectiveness, Excess Mortality, Health Outcomes, Health Promotion, Health-Promotion, Induced Weight-Gain, Intervention, Interventions, Mental Disorders, Methods, Nutritional Intervention, Obesity, Outcome, Outcomes, Overweight, Physical Activity, Prevalence, Primary, Promotion, Psychiatric-Patients, Quality of Life, Randomized Controlled-Trial, Research, Review, Schizoaffective Disorder, Science, Systematic, Systematic Review, Waist Circumference, Web of Science</w:t>
      </w:r>
    </w:p>
    <w:p w:rsidR="00A70349" w:rsidRDefault="00A70349" w:rsidP="00A70349">
      <w:pPr>
        <w:pStyle w:val="a0"/>
        <w:rPr>
          <w:kern w:val="0"/>
        </w:rPr>
      </w:pPr>
      <w:r>
        <w:rPr>
          <w:rFonts w:hint="eastAsia"/>
          <w:kern w:val="0"/>
        </w:rPr>
        <w:t xml:space="preserve">? </w:t>
      </w:r>
      <w:r>
        <w:rPr>
          <w:kern w:val="0"/>
        </w:rPr>
        <w:t>Spittaels, H., Foster, C., Oppert, J.M., Rutter, H., Oja, P., Sjostrom, M.</w:t>
      </w:r>
      <w:r w:rsidR="00F81221">
        <w:rPr>
          <w:kern w:val="0"/>
        </w:rPr>
        <w:t xml:space="preserve"> and </w:t>
      </w:r>
      <w:r>
        <w:rPr>
          <w:kern w:val="0"/>
        </w:rPr>
        <w:t xml:space="preserve">De Bourdeaudhuij, I. (2009), Assessment of environmental correlates of physical activity: Development of a European questionnaire. </w:t>
      </w:r>
      <w:r>
        <w:rPr>
          <w:i/>
          <w:iCs/>
          <w:kern w:val="0"/>
        </w:rPr>
        <w:t>International Journal of Behavioral Nutrition</w:t>
      </w:r>
      <w:r w:rsidR="00F81221">
        <w:rPr>
          <w:i/>
          <w:iCs/>
          <w:kern w:val="0"/>
        </w:rPr>
        <w:t xml:space="preserve"> and </w:t>
      </w:r>
      <w:r>
        <w:rPr>
          <w:i/>
          <w:iCs/>
          <w:kern w:val="0"/>
        </w:rPr>
        <w:t>Physical Activity</w:t>
      </w:r>
      <w:r>
        <w:rPr>
          <w:kern w:val="0"/>
        </w:rPr>
        <w:t xml:space="preserve">, </w:t>
      </w:r>
      <w:r>
        <w:rPr>
          <w:b/>
          <w:bCs/>
          <w:kern w:val="0"/>
        </w:rPr>
        <w:t>6</w:t>
      </w:r>
      <w:r>
        <w:rPr>
          <w:rFonts w:hint="eastAsia"/>
          <w:kern w:val="0"/>
        </w:rPr>
        <w:t xml:space="preserve">, </w:t>
      </w:r>
      <w:r>
        <w:t>Article Number: 39</w:t>
      </w:r>
      <w:r>
        <w:rPr>
          <w:rFonts w:hint="eastAsia"/>
        </w:rPr>
        <w:t>.</w:t>
      </w:r>
    </w:p>
    <w:p w:rsidR="00A70349" w:rsidRDefault="00A70349" w:rsidP="00A70349">
      <w:pPr>
        <w:pStyle w:val="a0"/>
        <w:rPr>
          <w:kern w:val="0"/>
        </w:rPr>
      </w:pPr>
      <w:r>
        <w:t>Full</w:t>
      </w:r>
      <w:r>
        <w:rPr>
          <w:rFonts w:hint="eastAsia"/>
        </w:rPr>
        <w:t xml:space="preserve"> Text: </w:t>
      </w:r>
      <w:hyperlink r:id="rId1639" w:history="1">
        <w:r w:rsidRPr="00A70349">
          <w:rPr>
            <w:rStyle w:val="a5"/>
          </w:rPr>
          <w:t>2009\Int J Beh Nut Phy Act6, 39.pdf</w:t>
        </w:r>
      </w:hyperlink>
    </w:p>
    <w:p w:rsidR="00A70349" w:rsidRDefault="00A70349" w:rsidP="00A70349">
      <w:pPr>
        <w:pStyle w:val="a0"/>
        <w:rPr>
          <w:kern w:val="0"/>
        </w:rPr>
      </w:pPr>
      <w:r>
        <w:rPr>
          <w:kern w:val="0"/>
        </w:rPr>
        <w:t>Abstract: Background: Research on the influence of the physical environment on physical activity is rapidly expanding</w:t>
      </w:r>
      <w:r w:rsidR="00F81221">
        <w:rPr>
          <w:kern w:val="0"/>
        </w:rPr>
        <w:t xml:space="preserve"> and </w:t>
      </w:r>
      <w:r>
        <w:rPr>
          <w:kern w:val="0"/>
        </w:rPr>
        <w:t>different measures of environmental perceptions have been developed, mostly in the US</w:t>
      </w:r>
      <w:r w:rsidR="00F81221">
        <w:rPr>
          <w:kern w:val="0"/>
        </w:rPr>
        <w:t xml:space="preserve"> and </w:t>
      </w:r>
      <w:r>
        <w:rPr>
          <w:kern w:val="0"/>
        </w:rPr>
        <w:t>Australia. The purpose of this paper is to (i) provide a literature review of measures of environmental perceptions recently used in European studies</w:t>
      </w:r>
      <w:r w:rsidR="00F81221">
        <w:rPr>
          <w:kern w:val="0"/>
        </w:rPr>
        <w:t xml:space="preserve"> and </w:t>
      </w:r>
      <w:r>
        <w:rPr>
          <w:kern w:val="0"/>
        </w:rPr>
        <w:t xml:space="preserve">(ii) develop a questionnaire for population monitoring purposes in the European countries. Methods: This study was done within the framework of the EU-funded project </w:t>
      </w:r>
      <w:r w:rsidR="000352E7">
        <w:rPr>
          <w:kern w:val="0"/>
        </w:rPr>
        <w:t>‘</w:t>
      </w:r>
      <w:r>
        <w:rPr>
          <w:kern w:val="0"/>
        </w:rPr>
        <w:t>Instruments for Assessing Levels of Physical Activity</w:t>
      </w:r>
      <w:r w:rsidR="00F81221">
        <w:rPr>
          <w:kern w:val="0"/>
        </w:rPr>
        <w:t xml:space="preserve"> and </w:t>
      </w:r>
      <w:r>
        <w:rPr>
          <w:kern w:val="0"/>
        </w:rPr>
        <w:t>Fitness (ALPHA)</w:t>
      </w:r>
      <w:r w:rsidR="000352E7">
        <w:rPr>
          <w:kern w:val="0"/>
        </w:rPr>
        <w:t>’</w:t>
      </w:r>
      <w:r>
        <w:rPr>
          <w:kern w:val="0"/>
        </w:rPr>
        <w:t>, which aims to propose standardised instruments for physical activity</w:t>
      </w:r>
      <w:r w:rsidR="00F81221">
        <w:rPr>
          <w:kern w:val="0"/>
        </w:rPr>
        <w:t xml:space="preserve"> and </w:t>
      </w:r>
      <w:r>
        <w:rPr>
          <w:kern w:val="0"/>
        </w:rPr>
        <w:t>fitness monitoring across Europe. Quantitative studies published from 1990 up to November 2007 were systematically searched in PUBMED, Web of Science, TRIS</w:t>
      </w:r>
      <w:r w:rsidR="00F81221">
        <w:rPr>
          <w:kern w:val="0"/>
        </w:rPr>
        <w:t xml:space="preserve"> and </w:t>
      </w:r>
      <w:r>
        <w:rPr>
          <w:kern w:val="0"/>
        </w:rPr>
        <w:t>Geobase. In addition a survey was conducted among members of the European network for the promotion of Health-Enhancing Physical Activity (HEPA Europe)</w:t>
      </w:r>
      <w:r w:rsidR="00F81221">
        <w:rPr>
          <w:kern w:val="0"/>
        </w:rPr>
        <w:t xml:space="preserve"> and </w:t>
      </w:r>
      <w:r>
        <w:rPr>
          <w:kern w:val="0"/>
        </w:rPr>
        <w:t>European members of the International Physical Activity</w:t>
      </w:r>
      <w:r w:rsidR="00F81221">
        <w:rPr>
          <w:kern w:val="0"/>
        </w:rPr>
        <w:t xml:space="preserve"> and </w:t>
      </w:r>
      <w:r>
        <w:rPr>
          <w:kern w:val="0"/>
        </w:rPr>
        <w:t>Environment Network (IPEN) to identify published or ongoing studies. Studies were included if they were conducted among European general adult population (18+y)</w:t>
      </w:r>
      <w:r w:rsidR="00F81221">
        <w:rPr>
          <w:kern w:val="0"/>
        </w:rPr>
        <w:t xml:space="preserve"> and </w:t>
      </w:r>
      <w:r>
        <w:rPr>
          <w:kern w:val="0"/>
        </w:rPr>
        <w:t xml:space="preserve">used a questionnaire to assess perceptions of the physical environment. A consensus meeting with an international expert group was organised to discuss the development of a European environmental </w:t>
      </w:r>
      <w:r>
        <w:rPr>
          <w:kern w:val="0"/>
        </w:rPr>
        <w:lastRenderedPageBreak/>
        <w:t>questionnaire. Results: The literature search resulted in 23 European studies, 15 published</w:t>
      </w:r>
      <w:r w:rsidR="00F81221">
        <w:rPr>
          <w:kern w:val="0"/>
        </w:rPr>
        <w:t xml:space="preserve"> and </w:t>
      </w:r>
      <w:r>
        <w:rPr>
          <w:kern w:val="0"/>
        </w:rPr>
        <w:t>8 unpublished. In these studies, 13 different environmental questionnaires were used. Most of these studies used adapted versions of questionnaires that were developed outside Europe</w:t>
      </w:r>
      <w:r w:rsidR="00F81221">
        <w:rPr>
          <w:kern w:val="0"/>
        </w:rPr>
        <w:t xml:space="preserve"> and </w:t>
      </w:r>
      <w:r>
        <w:rPr>
          <w:kern w:val="0"/>
        </w:rPr>
        <w:t>that focused only on the walkability construct: The Neighborhood Environment Walkability Scale (NEWS), the abbreviated version of the NEWS (ANEWS)</w:t>
      </w:r>
      <w:r w:rsidR="00F81221">
        <w:rPr>
          <w:kern w:val="0"/>
        </w:rPr>
        <w:t xml:space="preserve"> and </w:t>
      </w:r>
      <w:r>
        <w:rPr>
          <w:kern w:val="0"/>
        </w:rPr>
        <w:t>the Neighborhood Quality of Life Study (NQLS) questionnaire have been most commonly used. Based on the results of the literature review</w:t>
      </w:r>
      <w:r w:rsidR="00F81221">
        <w:rPr>
          <w:kern w:val="0"/>
        </w:rPr>
        <w:t xml:space="preserve"> and </w:t>
      </w:r>
      <w:r>
        <w:rPr>
          <w:kern w:val="0"/>
        </w:rPr>
        <w:t>the output of the meeting with international experts, a European environmental questionnaire with 49 items was developed. Conclusion: There is need for a greater degree of standardization in instruments/methods used to assess environmental correlates of physical activity, taking into account the European-specific situation. A first step in this process is taken by the development of a European environmental questionnaire.</w:t>
      </w:r>
    </w:p>
    <w:p w:rsidR="00A70349" w:rsidRDefault="00A70349" w:rsidP="00A70349">
      <w:pPr>
        <w:pStyle w:val="a0"/>
        <w:rPr>
          <w:kern w:val="0"/>
        </w:rPr>
      </w:pPr>
      <w:r>
        <w:rPr>
          <w:kern w:val="0"/>
        </w:rPr>
        <w:t>Keywords: Adult, Alpha, Assessment, Belgian Adults, Correlates, Determinants, Development, Environment, Environmental, Europe, Literature, Literature Review, Methods, Monitoring, Neighborhood Environment, Participation, Perceived Barriers, Perceptions, Physical Activity, Promotion, Public-Health, Quality, Quality of Life, Questionnaire, Questionnaires, Reliability, Research, Review, Scale, Science, Survey, US, Validity, Walking, Web of Science</w:t>
      </w:r>
    </w:p>
    <w:p w:rsidR="00D76E97" w:rsidRDefault="00D76E97" w:rsidP="00D76E97">
      <w:pPr>
        <w:pStyle w:val="a0"/>
        <w:rPr>
          <w:kern w:val="0"/>
        </w:rPr>
      </w:pPr>
      <w:r>
        <w:rPr>
          <w:rFonts w:hint="eastAsia"/>
          <w:kern w:val="0"/>
          <w:szCs w:val="24"/>
        </w:rPr>
        <w:t xml:space="preserve">? Krolner, R., Rasmussen, M., Brug, J., Klepp, K.I., Wind, M. and Due, P. (2011), Determinants of fruit and vegetable consumption among children and adolescents: A review of the literature. Part II: qualitative studies. </w:t>
      </w:r>
      <w:r>
        <w:rPr>
          <w:rFonts w:hint="eastAsia"/>
          <w:i/>
          <w:iCs/>
          <w:kern w:val="0"/>
          <w:szCs w:val="24"/>
        </w:rPr>
        <w:t>International Journal of Behavioral Nutrition and Physical Activity</w:t>
      </w:r>
      <w:r>
        <w:rPr>
          <w:rFonts w:hint="eastAsia"/>
          <w:kern w:val="0"/>
          <w:szCs w:val="24"/>
        </w:rPr>
        <w:t xml:space="preserve">, </w:t>
      </w:r>
      <w:r>
        <w:rPr>
          <w:rFonts w:hint="eastAsia"/>
          <w:b/>
          <w:bCs/>
          <w:kern w:val="0"/>
          <w:szCs w:val="24"/>
        </w:rPr>
        <w:t>8</w:t>
      </w:r>
      <w:r>
        <w:rPr>
          <w:rFonts w:hint="eastAsia"/>
          <w:kern w:val="0"/>
        </w:rPr>
        <w:t xml:space="preserve">, </w:t>
      </w:r>
      <w:r>
        <w:rPr>
          <w:rFonts w:hint="eastAsia"/>
        </w:rPr>
        <w:t>Article Number: 112.</w:t>
      </w:r>
    </w:p>
    <w:p w:rsidR="00D76E97" w:rsidRDefault="00D76E97" w:rsidP="00D76E97">
      <w:pPr>
        <w:pStyle w:val="a0"/>
        <w:rPr>
          <w:kern w:val="0"/>
        </w:rPr>
      </w:pPr>
      <w:r>
        <w:rPr>
          <w:rFonts w:hint="eastAsia"/>
        </w:rPr>
        <w:t>Full Text: 2009\Int J Beh Nut Phy Act8, 112.pdf</w:t>
      </w:r>
    </w:p>
    <w:p w:rsidR="00D76E97" w:rsidRDefault="00D76E97" w:rsidP="00D76E97">
      <w:pPr>
        <w:pStyle w:val="a0"/>
        <w:rPr>
          <w:kern w:val="0"/>
          <w:szCs w:val="24"/>
        </w:rPr>
      </w:pPr>
      <w:r>
        <w:rPr>
          <w:rFonts w:hint="eastAsia"/>
          <w:kern w:val="0"/>
          <w:szCs w:val="24"/>
        </w:rPr>
        <w:t>Abstract: Background: Large proportions of children do not fulfil the World Health Organization recommendation of eating at least 400 grams of fruit and vegetables (FV) per day. To promote an increased FV intake among children it is important to identify factors which influence their consumption. Both qualitative and quantitative studies are needed. Earlier reviews have analysed evidence from quantitative studies. The aim of this paper is to present a systematic review of qualitative studies of determinants of children</w:t>
      </w:r>
      <w:r w:rsidR="000352E7">
        <w:rPr>
          <w:kern w:val="0"/>
          <w:szCs w:val="24"/>
        </w:rPr>
        <w:t>’</w:t>
      </w:r>
      <w:r>
        <w:rPr>
          <w:rFonts w:hint="eastAsia"/>
          <w:kern w:val="0"/>
          <w:szCs w:val="24"/>
        </w:rPr>
        <w:t>s FV intake. Methods: Relevant studies were identified by searching Anthropology Plus, Cinahl, CSA illumine, Embase, International Bibliography of the Social Sciences, Medline, PsycINFO, and Web of Science using combinations of synonyms for FV intake, children/adolescents and qualitative methods as search terms. The literature search was completed by December 1st 2010. Papers were included if they applied qualitative methods to investigate 6-18-year-olds</w:t>
      </w:r>
      <w:r w:rsidR="000352E7">
        <w:rPr>
          <w:kern w:val="0"/>
          <w:szCs w:val="24"/>
        </w:rPr>
        <w:t>’</w:t>
      </w:r>
      <w:r>
        <w:rPr>
          <w:rFonts w:hint="eastAsia"/>
          <w:kern w:val="0"/>
          <w:szCs w:val="24"/>
        </w:rPr>
        <w:t xml:space="preserve"> perceptions of factors influencing their FV consumption. Quantitative studies, review studies, studies reported in other languages than English, and non-peer reviewed or unpublished manuscripts were excluded. The papers were </w:t>
      </w:r>
      <w:r>
        <w:rPr>
          <w:rFonts w:hint="eastAsia"/>
          <w:kern w:val="0"/>
          <w:szCs w:val="24"/>
        </w:rPr>
        <w:lastRenderedPageBreak/>
        <w:t>reviewed systematically using standardised templates for summary of papers, quality assessment, and synthesis of findings across papers. Results: The review included 31 studies, mostly based on US populations and focus group discussions. The synthesis identified the following potential determinants for FV intake which supplement the quantitative knowledge base: Time costs; lack of taste guarantee; satiety value; appropriate time/occasions/settings for eating FV; sensory and physical aspects; variety, visibility, methods of preparation; access to unhealthy food; the symbolic value of food for image, gender identity and social interaction with peers; short term outcome expectancies. Conclusions: The review highlights numerous potential determinants which have not been investigated thoroughly in quantitative studies. Future large scale quantitative studies should attempt to quantify the importance of these factors. Further, mechanisms behind gender, age and socioeconomic differences in FV consumption are proposed which should be tested quantitatively in order to better tailor interventions to vulnerable groups. Finally, the review provides input to the conceptualisation and measurements of concepts (i.e. peer influence, availability in schools) which may refine survey instruments and theoretical frameworks concerning eating behaviours.</w:t>
      </w:r>
    </w:p>
    <w:p w:rsidR="00D76E97" w:rsidRDefault="00D76E97" w:rsidP="00D76E97">
      <w:pPr>
        <w:pStyle w:val="a0"/>
        <w:rPr>
          <w:kern w:val="0"/>
          <w:szCs w:val="24"/>
        </w:rPr>
      </w:pPr>
      <w:r>
        <w:rPr>
          <w:rFonts w:hint="eastAsia"/>
          <w:kern w:val="0"/>
          <w:szCs w:val="24"/>
        </w:rPr>
        <w:t>Keywords: Adolescent, Adolescents, Aged Children, Assessment, Availability, Bibliography, Child, Children, Children, Adolescents, Costs, Determinants, Dietary Behaviors, Differences, Eating Behaviour, English, European Countries, Family, Focus Groups, Food, Fruit, Fruit and Vegetable Consumption, Gender, Health, Heart-Disease, Identity, International, Interventions, Knowledge, Literature, Manuscripts, Mechanisms, Medline, Methods, Middle Schools, Outcome, Papers, Perceptions, Physical-Activity, Preparation, Public-Health, Qualitative, Qualitative Methods, Quality, Quantitative, Review, School, School Food Environment, Schools, Science, Sciences, Social, Social Sciences, Survey, Synthesis, Systematic, Systematic Review, Systematic Reviews, Time, US, Vegetables, Visibility, Web of Science, Web-of-Science</w:t>
      </w:r>
    </w:p>
    <w:p w:rsidR="006548C1" w:rsidRDefault="006548C1" w:rsidP="006548C1">
      <w:pPr>
        <w:pStyle w:val="1"/>
      </w:pPr>
      <w:r>
        <w:br w:type="page"/>
      </w:r>
      <w:bookmarkStart w:id="1239" w:name="_Toc317161264"/>
      <w:r>
        <w:lastRenderedPageBreak/>
        <w:t xml:space="preserve">Title: </w:t>
      </w:r>
      <w:r w:rsidRPr="00263442">
        <w:t>International Journal of Bifurcation</w:t>
      </w:r>
      <w:r w:rsidR="00F81221">
        <w:t xml:space="preserve"> and </w:t>
      </w:r>
      <w:r w:rsidRPr="00263442">
        <w:t>Chaos</w:t>
      </w:r>
      <w:bookmarkEnd w:id="1239"/>
    </w:p>
    <w:p w:rsidR="006548C1" w:rsidRDefault="006548C1" w:rsidP="00B72EF9">
      <w:pPr>
        <w:pStyle w:val="12"/>
      </w:pPr>
      <w:r>
        <w:t xml:space="preserve">Full Journal Title: </w:t>
      </w:r>
      <w:hyperlink r:id="rId1640" w:history="1">
        <w:r w:rsidRPr="00720644">
          <w:rPr>
            <w:rStyle w:val="a5"/>
          </w:rPr>
          <w:t>International Journal of Bifurcation</w:t>
        </w:r>
        <w:r w:rsidR="00F81221">
          <w:rPr>
            <w:rStyle w:val="a5"/>
          </w:rPr>
          <w:t xml:space="preserve"> and </w:t>
        </w:r>
        <w:r w:rsidRPr="00720644">
          <w:rPr>
            <w:rStyle w:val="a5"/>
          </w:rPr>
          <w:t>Chaos</w:t>
        </w:r>
      </w:hyperlink>
    </w:p>
    <w:p w:rsidR="006548C1" w:rsidRDefault="006548C1" w:rsidP="00B72EF9">
      <w:pPr>
        <w:pStyle w:val="12"/>
      </w:pPr>
      <w:r>
        <w:t xml:space="preserve">ISO Abbreviated Title: </w:t>
      </w:r>
    </w:p>
    <w:p w:rsidR="006548C1" w:rsidRDefault="006548C1" w:rsidP="00B72EF9">
      <w:pPr>
        <w:pStyle w:val="12"/>
      </w:pPr>
      <w:r>
        <w:t xml:space="preserve">JCR Abbreviated Title: </w:t>
      </w:r>
    </w:p>
    <w:p w:rsidR="006548C1" w:rsidRDefault="006548C1" w:rsidP="00B72EF9">
      <w:pPr>
        <w:pStyle w:val="12"/>
      </w:pPr>
      <w:r>
        <w:t xml:space="preserve">ISSN: </w:t>
      </w:r>
    </w:p>
    <w:p w:rsidR="006548C1" w:rsidRDefault="006548C1" w:rsidP="00B72EF9">
      <w:pPr>
        <w:pStyle w:val="12"/>
      </w:pPr>
      <w:r>
        <w:t xml:space="preserve">Issues/Year: </w:t>
      </w:r>
    </w:p>
    <w:p w:rsidR="006548C1" w:rsidRDefault="00FB5623" w:rsidP="00B72EF9">
      <w:pPr>
        <w:pStyle w:val="12"/>
      </w:pPr>
      <w:r>
        <w:t>Journal Country/Territory:</w:t>
      </w:r>
      <w:r w:rsidR="006548C1">
        <w:t xml:space="preserve"> </w:t>
      </w:r>
    </w:p>
    <w:p w:rsidR="006548C1" w:rsidRDefault="006548C1" w:rsidP="00B72EF9">
      <w:pPr>
        <w:pStyle w:val="12"/>
      </w:pPr>
      <w:r>
        <w:t xml:space="preserve">Language: </w:t>
      </w:r>
    </w:p>
    <w:p w:rsidR="006548C1" w:rsidRDefault="006548C1" w:rsidP="00B72EF9">
      <w:pPr>
        <w:pStyle w:val="12"/>
      </w:pPr>
      <w:r>
        <w:t xml:space="preserve">Publisher: </w:t>
      </w:r>
    </w:p>
    <w:p w:rsidR="006548C1" w:rsidRDefault="006548C1" w:rsidP="00B72EF9">
      <w:pPr>
        <w:pStyle w:val="12"/>
      </w:pPr>
      <w:r>
        <w:t xml:space="preserve">Publisher Address: </w:t>
      </w:r>
    </w:p>
    <w:p w:rsidR="006548C1" w:rsidRDefault="006548C1" w:rsidP="00B72EF9">
      <w:pPr>
        <w:pStyle w:val="12"/>
      </w:pPr>
      <w:r>
        <w:t>Subject Categories:</w:t>
      </w:r>
    </w:p>
    <w:p w:rsidR="006548C1" w:rsidRDefault="006548C1" w:rsidP="00B72EF9">
      <w:pPr>
        <w:pStyle w:val="12"/>
      </w:pPr>
      <w:r>
        <w:rPr>
          <w:rFonts w:hint="eastAsia"/>
        </w:rPr>
        <w:t>:</w:t>
      </w:r>
      <w:r>
        <w:t xml:space="preserve"> Impact Factor</w:t>
      </w:r>
    </w:p>
    <w:p w:rsidR="006548C1" w:rsidRDefault="006548C1" w:rsidP="006548C1">
      <w:pPr>
        <w:pStyle w:val="a0"/>
        <w:rPr>
          <w:kern w:val="0"/>
          <w:szCs w:val="24"/>
        </w:rPr>
      </w:pPr>
      <w:r w:rsidRPr="00F621CE">
        <w:rPr>
          <w:rFonts w:hint="eastAsia"/>
        </w:rPr>
        <w:t>?</w:t>
      </w:r>
      <w:r>
        <w:rPr>
          <w:rFonts w:hint="eastAsia"/>
          <w:kern w:val="0"/>
          <w:szCs w:val="24"/>
        </w:rPr>
        <w:t xml:space="preserve"> </w:t>
      </w:r>
      <w:r>
        <w:rPr>
          <w:kern w:val="0"/>
          <w:szCs w:val="24"/>
        </w:rPr>
        <w:t>Kostoff, R.N., Shlesinger, M.F.</w:t>
      </w:r>
      <w:r w:rsidR="00F81221">
        <w:rPr>
          <w:kern w:val="0"/>
          <w:szCs w:val="24"/>
        </w:rPr>
        <w:t xml:space="preserve"> and </w:t>
      </w:r>
      <w:r>
        <w:rPr>
          <w:kern w:val="0"/>
          <w:szCs w:val="24"/>
        </w:rPr>
        <w:t>Tshiteya, R. (2004), Nonlinear dynamics text mining using bibliometrics</w:t>
      </w:r>
      <w:r w:rsidR="00F81221">
        <w:rPr>
          <w:kern w:val="0"/>
          <w:szCs w:val="24"/>
        </w:rPr>
        <w:t xml:space="preserve"> and </w:t>
      </w:r>
      <w:r>
        <w:rPr>
          <w:kern w:val="0"/>
          <w:szCs w:val="24"/>
        </w:rPr>
        <w:t xml:space="preserve">Database Tomography. </w:t>
      </w:r>
      <w:r>
        <w:rPr>
          <w:i/>
          <w:iCs/>
          <w:kern w:val="0"/>
          <w:szCs w:val="24"/>
        </w:rPr>
        <w:t>International Journal of Bifurcation</w:t>
      </w:r>
      <w:r w:rsidR="00F81221">
        <w:rPr>
          <w:i/>
          <w:iCs/>
          <w:kern w:val="0"/>
          <w:szCs w:val="24"/>
        </w:rPr>
        <w:t xml:space="preserve"> and </w:t>
      </w:r>
      <w:r>
        <w:rPr>
          <w:i/>
          <w:iCs/>
          <w:kern w:val="0"/>
          <w:szCs w:val="24"/>
        </w:rPr>
        <w:t>Chaos</w:t>
      </w:r>
      <w:r>
        <w:rPr>
          <w:kern w:val="0"/>
          <w:szCs w:val="24"/>
        </w:rPr>
        <w:t xml:space="preserve">, </w:t>
      </w:r>
      <w:r>
        <w:rPr>
          <w:b/>
          <w:bCs/>
          <w:kern w:val="0"/>
          <w:szCs w:val="24"/>
        </w:rPr>
        <w:t>14</w:t>
      </w:r>
      <w:r>
        <w:rPr>
          <w:kern w:val="0"/>
          <w:szCs w:val="24"/>
        </w:rPr>
        <w:t xml:space="preserve"> (1), 61-92.</w:t>
      </w:r>
    </w:p>
    <w:p w:rsidR="00720644" w:rsidRDefault="00720644" w:rsidP="006548C1">
      <w:pPr>
        <w:pStyle w:val="a0"/>
        <w:rPr>
          <w:kern w:val="0"/>
          <w:szCs w:val="24"/>
        </w:rPr>
      </w:pPr>
      <w:r>
        <w:rPr>
          <w:rFonts w:hint="eastAsia"/>
          <w:kern w:val="0"/>
          <w:szCs w:val="24"/>
        </w:rPr>
        <w:t xml:space="preserve">Full Text: </w:t>
      </w:r>
      <w:hyperlink r:id="rId1641" w:history="1">
        <w:r w:rsidRPr="00720644">
          <w:rPr>
            <w:rStyle w:val="a5"/>
            <w:kern w:val="0"/>
            <w:szCs w:val="24"/>
          </w:rPr>
          <w:t>2004\Int J Bif Cha14, 61.pdf</w:t>
        </w:r>
      </w:hyperlink>
    </w:p>
    <w:p w:rsidR="006548C1" w:rsidRDefault="006548C1" w:rsidP="006548C1">
      <w:pPr>
        <w:pStyle w:val="a0"/>
        <w:rPr>
          <w:kern w:val="0"/>
          <w:szCs w:val="24"/>
        </w:rPr>
      </w:pPr>
      <w:r>
        <w:rPr>
          <w:kern w:val="0"/>
          <w:szCs w:val="24"/>
        </w:rPr>
        <w:t>Abstract: Database Tomography (DT) is a textual database analysis system consisting of two major components: (1) algorithms for extracting multiword phrase frequencies</w:t>
      </w:r>
      <w:r w:rsidR="00F81221">
        <w:rPr>
          <w:kern w:val="0"/>
          <w:szCs w:val="24"/>
        </w:rPr>
        <w:t xml:space="preserve"> and </w:t>
      </w:r>
      <w:r>
        <w:rPr>
          <w:kern w:val="0"/>
          <w:szCs w:val="24"/>
        </w:rPr>
        <w:t>phrase proximities (physical closeness of the multiword technical phrases) from any type of large textual database, to augment (2) interpretative capabilities of the expert human analyst. DT was used to derive technical intelligence from a Nonlinear Dynamics database derived from the Science Citation Index/Social Science Citation Index (SCI). Phrase frequency analysis by the technical domain experts provided the pervasive technical themes of the Nonlinear Dynamics database,</w:t>
      </w:r>
      <w:r w:rsidR="00F81221">
        <w:rPr>
          <w:kern w:val="0"/>
          <w:szCs w:val="24"/>
        </w:rPr>
        <w:t xml:space="preserve"> and </w:t>
      </w:r>
      <w:r>
        <w:rPr>
          <w:kern w:val="0"/>
          <w:szCs w:val="24"/>
        </w:rPr>
        <w:t>the phrase proximity analysis provided the relationships among the pervasive technical themes. Bibliometric analysis of the Nonlinear Dynamics literature supplemented the DT results with author/journal/institution publication</w:t>
      </w:r>
      <w:r w:rsidR="00F81221">
        <w:rPr>
          <w:kern w:val="0"/>
          <w:szCs w:val="24"/>
        </w:rPr>
        <w:t xml:space="preserve"> and </w:t>
      </w:r>
      <w:r>
        <w:rPr>
          <w:kern w:val="0"/>
          <w:szCs w:val="24"/>
        </w:rPr>
        <w:t>citation data.</w:t>
      </w:r>
    </w:p>
    <w:p w:rsidR="006548C1" w:rsidRPr="00263442" w:rsidRDefault="006548C1" w:rsidP="006548C1">
      <w:pPr>
        <w:pStyle w:val="a0"/>
        <w:rPr>
          <w:kern w:val="0"/>
          <w:szCs w:val="24"/>
        </w:rPr>
      </w:pPr>
      <w:r>
        <w:rPr>
          <w:kern w:val="0"/>
          <w:szCs w:val="24"/>
        </w:rPr>
        <w:t>Keywords: Analysis, Bibliometric, Bibliometric Analysis, Bibliometrics, Bifurcation, Chaos, Chaotic Attractors, Citation, Citation Index, Database, Dynamical Systems, Henon Map, Information Retrieval, Intelligence, Limit Cycle, Literature, Nonlinear Dynamics, Period-Doubling, Periodic Orbits, Poincare Map, Publication, Roadmaps, SCI, Science, Science Citation Index, Strange Attractors, System, Technical Intelligence, Text Mining, Text-Mining</w:t>
      </w:r>
    </w:p>
    <w:p w:rsidR="00B95188" w:rsidRPr="00A428C3" w:rsidRDefault="006548C1" w:rsidP="006548C1">
      <w:pPr>
        <w:pStyle w:val="1"/>
      </w:pPr>
      <w:r>
        <w:br w:type="page"/>
      </w:r>
      <w:bookmarkStart w:id="1240" w:name="_Toc186647903"/>
      <w:bookmarkStart w:id="1241" w:name="_Toc317161265"/>
      <w:r w:rsidR="00B95188" w:rsidRPr="00A428C3">
        <w:lastRenderedPageBreak/>
        <w:t>Title: International Journal of Biological Macromolecules</w:t>
      </w:r>
      <w:bookmarkEnd w:id="1240"/>
      <w:bookmarkEnd w:id="1241"/>
    </w:p>
    <w:p w:rsidR="00B95188" w:rsidRPr="00A428C3" w:rsidRDefault="00B95188" w:rsidP="00B72EF9">
      <w:pPr>
        <w:pStyle w:val="12"/>
      </w:pPr>
      <w:r w:rsidRPr="00A428C3">
        <w:t xml:space="preserve">Full Journal Title: </w:t>
      </w:r>
      <w:hyperlink r:id="rId1642" w:history="1">
        <w:r w:rsidRPr="00A428C3">
          <w:rPr>
            <w:rStyle w:val="a5"/>
          </w:rPr>
          <w:t>International Journal of Biological Macromolecules</w:t>
        </w:r>
      </w:hyperlink>
    </w:p>
    <w:p w:rsidR="00B95188" w:rsidRPr="00A428C3" w:rsidRDefault="00B95188" w:rsidP="00B72EF9">
      <w:pPr>
        <w:pStyle w:val="12"/>
      </w:pPr>
      <w:r w:rsidRPr="00A428C3">
        <w:t>ISO Abbreviated Title: Int. J. Biol. Macromol.</w:t>
      </w:r>
    </w:p>
    <w:p w:rsidR="00B95188" w:rsidRPr="00A428C3" w:rsidRDefault="00B95188" w:rsidP="00B72EF9">
      <w:pPr>
        <w:pStyle w:val="12"/>
      </w:pPr>
      <w:r w:rsidRPr="00A428C3">
        <w:t>JCR Abbreviated Title: Int J Biol Macromol</w:t>
      </w:r>
    </w:p>
    <w:p w:rsidR="00B95188" w:rsidRPr="00A428C3" w:rsidRDefault="00B95188" w:rsidP="00B72EF9">
      <w:pPr>
        <w:pStyle w:val="12"/>
      </w:pPr>
      <w:r w:rsidRPr="00A428C3">
        <w:t>ISSN: 0141-8130</w:t>
      </w:r>
    </w:p>
    <w:p w:rsidR="00B95188" w:rsidRPr="00A428C3" w:rsidRDefault="00B95188" w:rsidP="00B72EF9">
      <w:pPr>
        <w:pStyle w:val="12"/>
      </w:pPr>
      <w:r w:rsidRPr="00A428C3">
        <w:t>Issues/Year: 10</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w:t>
      </w:r>
      <w:smartTag w:uri="urn:schemas-microsoft-com:office:smarttags" w:element="place">
        <w:smartTag w:uri="urn:schemas-microsoft-com:office:smarttags" w:element="City">
          <w:r w:rsidRPr="00A428C3">
            <w:t>Ae 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Biochemistry &amp; Molecular Biology: Impact Factor 1.492, 185/310 (2000); Impact Factor 1.978, 148/308 (2001); Impact Factor 1.177, 193/266 (2002); Impact Factor 1.427, 189/261 (2003); Impact Factor 1.328, 193/261 (2004); Impact Factor 1.684, 180/261 (2005)</w:t>
      </w:r>
      <w:r>
        <w:rPr>
          <w:rFonts w:hint="eastAsia"/>
        </w:rPr>
        <w:t>;</w:t>
      </w:r>
      <w:r w:rsidRPr="008C4C94">
        <w:t xml:space="preserve"> </w:t>
      </w:r>
      <w:r w:rsidRPr="007F7725">
        <w:t xml:space="preserve">Impact Factor </w:t>
      </w:r>
      <w:r w:rsidRPr="00F8369E">
        <w:t>1.578</w:t>
      </w:r>
      <w:r w:rsidRPr="007F7725">
        <w:t xml:space="preserve">, </w:t>
      </w:r>
      <w:r>
        <w:rPr>
          <w:rFonts w:hint="eastAsia"/>
        </w:rPr>
        <w:t>198</w:t>
      </w:r>
      <w:r w:rsidRPr="007F7725">
        <w:t>/26</w:t>
      </w:r>
      <w:r>
        <w:rPr>
          <w:rFonts w:hint="eastAsia"/>
        </w:rPr>
        <w:t>3</w:t>
      </w:r>
      <w:r w:rsidRPr="007F7725">
        <w:t xml:space="preserve"> </w:t>
      </w:r>
      <w:r>
        <w:t>(2007)</w:t>
      </w:r>
      <w:r w:rsidR="0093509E">
        <w:rPr>
          <w:rFonts w:hint="eastAsia"/>
        </w:rPr>
        <w:t xml:space="preserve">; </w:t>
      </w:r>
      <w:r w:rsidR="0093509E" w:rsidRPr="007F7725">
        <w:t xml:space="preserve">Impact Factor </w:t>
      </w:r>
      <w:r w:rsidR="0093509E">
        <w:rPr>
          <w:rFonts w:hint="eastAsia"/>
        </w:rPr>
        <w:t>2.366</w:t>
      </w:r>
      <w:r w:rsidR="0093509E" w:rsidRPr="007F7725">
        <w:t xml:space="preserve">, </w:t>
      </w:r>
      <w:r w:rsidR="0093509E">
        <w:rPr>
          <w:rFonts w:hint="eastAsia"/>
        </w:rPr>
        <w:t>164</w:t>
      </w:r>
      <w:r w:rsidR="0093509E" w:rsidRPr="007F7725">
        <w:t>/2</w:t>
      </w:r>
      <w:r w:rsidR="0093509E">
        <w:rPr>
          <w:rFonts w:hint="eastAsia"/>
        </w:rPr>
        <w:t>83</w:t>
      </w:r>
      <w:r w:rsidR="0093509E" w:rsidRPr="007F7725">
        <w:t xml:space="preserve"> </w:t>
      </w:r>
      <w:r w:rsidR="0093509E">
        <w:t>(200</w:t>
      </w:r>
      <w:r w:rsidR="0093509E">
        <w:rPr>
          <w:rFonts w:hint="eastAsia"/>
        </w:rPr>
        <w:t>9</w:t>
      </w:r>
      <w:r w:rsidR="0093509E">
        <w:t>)</w:t>
      </w:r>
    </w:p>
    <w:p w:rsidR="00B95188" w:rsidRPr="00A428C3" w:rsidRDefault="00B95188" w:rsidP="00B95188">
      <w:pPr>
        <w:pStyle w:val="a0"/>
      </w:pPr>
      <w:r w:rsidRPr="00A428C3">
        <w:t>? Ishii, H., Minegishi, M., Lavitpichayawong, B.</w:t>
      </w:r>
      <w:r w:rsidR="00F81221">
        <w:t xml:space="preserve"> and </w:t>
      </w:r>
      <w:r w:rsidRPr="00A428C3">
        <w:t>Mitani, T. (1995), Synthesis of chitosan-amino acid conjugates</w:t>
      </w:r>
      <w:r w:rsidR="00F81221">
        <w:t xml:space="preserve"> and </w:t>
      </w:r>
      <w:r w:rsidRPr="00A428C3">
        <w:t xml:space="preserve">their use in heavy metal uptake. </w:t>
      </w:r>
      <w:r w:rsidRPr="00A428C3">
        <w:rPr>
          <w:i/>
          <w:iCs/>
        </w:rPr>
        <w:t>International Journal of Biological Macromolecules</w:t>
      </w:r>
      <w:r w:rsidRPr="00A428C3">
        <w:t xml:space="preserve">, </w:t>
      </w:r>
      <w:r w:rsidRPr="00A428C3">
        <w:rPr>
          <w:b/>
        </w:rPr>
        <w:t>17</w:t>
      </w:r>
      <w:r w:rsidRPr="00A428C3">
        <w:t xml:space="preserve"> (1), 21-23.</w:t>
      </w:r>
    </w:p>
    <w:p w:rsidR="00B95188" w:rsidRPr="00A428C3" w:rsidRDefault="00B95188" w:rsidP="00B95188">
      <w:pPr>
        <w:pStyle w:val="a0"/>
      </w:pPr>
      <w:r w:rsidRPr="00A428C3">
        <w:t xml:space="preserve">Full Text: </w:t>
      </w:r>
      <w:hyperlink r:id="rId1643" w:history="1">
        <w:r w:rsidRPr="00A428C3">
          <w:rPr>
            <w:rStyle w:val="a5"/>
          </w:rPr>
          <w:t>1995\Int J Bio Mac17, 21.pdf</w:t>
        </w:r>
      </w:hyperlink>
    </w:p>
    <w:p w:rsidR="00B95188" w:rsidRPr="00A428C3" w:rsidRDefault="00B95188" w:rsidP="00B95188">
      <w:pPr>
        <w:pStyle w:val="a0"/>
      </w:pPr>
      <w:r w:rsidRPr="00A13428">
        <w:t>Abstract:</w:t>
      </w:r>
      <w:r w:rsidRPr="00A428C3">
        <w:t xml:space="preserve"> Chitosan-amino acid conjugates were prepared by coupling amino acid esters to the carboxyl group of glyoxylic acid-substituted chitosan. The removal of heavy metals (Cu, Ni, Co</w:t>
      </w:r>
      <w:r w:rsidR="00F81221">
        <w:t xml:space="preserve"> and </w:t>
      </w:r>
      <w:r w:rsidRPr="00A428C3">
        <w:t>Mn) was increased by introduction of amino acids to chitosan, especially for Mn. Heavy metals were almost completely removed by chitosan-amino acid conjugates from solutions at an initial concentration of 100 parts per million.</w:t>
      </w:r>
    </w:p>
    <w:p w:rsidR="00B95188" w:rsidRPr="00A428C3" w:rsidRDefault="00B95188" w:rsidP="00B95188">
      <w:pPr>
        <w:pStyle w:val="a0"/>
      </w:pPr>
      <w:r w:rsidRPr="00A13428">
        <w:t>Keywords:</w:t>
      </w:r>
      <w:r w:rsidRPr="00A428C3">
        <w:t xml:space="preserve"> Chitosan, Amino Acid, Heavy Metal Uptake</w:t>
      </w:r>
      <w:r w:rsidRPr="00A13428">
        <w:t xml:space="preserve">, </w:t>
      </w:r>
      <w:r w:rsidRPr="00A428C3">
        <w:t>Eads, Adsorption, Ions</w:t>
      </w:r>
    </w:p>
    <w:p w:rsidR="00B95188" w:rsidRPr="00A428C3" w:rsidRDefault="00B95188" w:rsidP="00B95188">
      <w:pPr>
        <w:pStyle w:val="a0"/>
      </w:pPr>
      <w:r w:rsidRPr="00A428C3">
        <w:t>Scamparini, A., Mariuzzo, D., Fujihara, H., Jacobusi, R.</w:t>
      </w:r>
      <w:r w:rsidR="00F81221">
        <w:t xml:space="preserve"> and </w:t>
      </w:r>
      <w:r w:rsidRPr="00A428C3">
        <w:t xml:space="preserve">Vendruscolo, C. (1997), Structural studies of CV-70 polysaccharide. </w:t>
      </w:r>
      <w:r w:rsidRPr="00A428C3">
        <w:rPr>
          <w:i/>
          <w:iCs/>
        </w:rPr>
        <w:t>International Journal of Biological Macromolecules</w:t>
      </w:r>
      <w:r w:rsidRPr="00A428C3">
        <w:t xml:space="preserve">, </w:t>
      </w:r>
      <w:r w:rsidRPr="00A428C3">
        <w:rPr>
          <w:b/>
        </w:rPr>
        <w:t>21</w:t>
      </w:r>
      <w:r w:rsidRPr="00A428C3">
        <w:t xml:space="preserve"> (1-2), 115-121.</w:t>
      </w:r>
    </w:p>
    <w:p w:rsidR="00B95188" w:rsidRPr="00A428C3" w:rsidRDefault="00B95188" w:rsidP="00B95188">
      <w:pPr>
        <w:pStyle w:val="a0"/>
      </w:pPr>
      <w:r w:rsidRPr="00A428C3">
        <w:t xml:space="preserve">Full Text: </w:t>
      </w:r>
      <w:hyperlink r:id="rId1644" w:history="1">
        <w:r w:rsidRPr="00A428C3">
          <w:rPr>
            <w:rStyle w:val="a5"/>
          </w:rPr>
          <w:t>I\Int J Bio Mac21, 115.pdf</w:t>
        </w:r>
      </w:hyperlink>
    </w:p>
    <w:p w:rsidR="00B95188" w:rsidRPr="00A428C3" w:rsidRDefault="00B95188" w:rsidP="00B95188">
      <w:pPr>
        <w:pStyle w:val="a0"/>
      </w:pPr>
      <w:r w:rsidRPr="00A428C3">
        <w:t>Abstract: The goal of this paper is the characterization of the chemical structure of the water-soluble polysaccharide, CV-70, produced by bacteria Beijerinckia sp. Beijerinckia sp. is a genus of gram-negative, aerobic bacteria, usually found in sugar cane root. The CV-70 polysaccharide was produced in a fermentation medium containing 5% sucrose as the carbon source, tryptose</w:t>
      </w:r>
      <w:r w:rsidR="00F81221">
        <w:t xml:space="preserve"> and </w:t>
      </w:r>
      <w:r w:rsidRPr="00A428C3">
        <w:t>salts, at 25 degrees C [1]. The polysaccharide was hydrolyzed with 2 N trifluoroacetic acid at 100 degrees C for 16 h, purified,</w:t>
      </w:r>
      <w:r w:rsidR="00F81221">
        <w:t xml:space="preserve"> and </w:t>
      </w:r>
      <w:r w:rsidRPr="00A428C3">
        <w:t xml:space="preserve">analyzed by HPLC. Index of refraction was used for the </w:t>
      </w:r>
      <w:r w:rsidRPr="00A428C3">
        <w:lastRenderedPageBreak/>
        <w:t>detection of sugars. For GC-MS analysis, the CV-70 polysaccharide was derivatized through methylation</w:t>
      </w:r>
      <w:r w:rsidR="00F81221">
        <w:t xml:space="preserve"> and </w:t>
      </w:r>
      <w:r w:rsidRPr="00A428C3">
        <w:t>acetylation. Together with the GC-MS data, periodate oxidation studies were used to determine the possible glucosidic linkages. Carbon-13 NMR studies were carried out with hydrolyzed</w:t>
      </w:r>
      <w:r w:rsidR="00F81221">
        <w:t xml:space="preserve"> and </w:t>
      </w:r>
      <w:r w:rsidRPr="00A428C3">
        <w:t>silylated samples. Glucose, galactose</w:t>
      </w:r>
      <w:r w:rsidR="00F81221">
        <w:t xml:space="preserve"> and </w:t>
      </w:r>
      <w:r w:rsidRPr="00A428C3">
        <w:t>fucose were identified as the components in the CV-70 polysaccharide, in a 3:1:3 ratio. (C) 1997 Elsevier Science B.V.</w:t>
      </w:r>
    </w:p>
    <w:p w:rsidR="00B95188" w:rsidRPr="00A428C3" w:rsidRDefault="00B95188" w:rsidP="00B95188">
      <w:pPr>
        <w:pStyle w:val="a0"/>
      </w:pPr>
      <w:r w:rsidRPr="00A428C3">
        <w:t>Keywords: CV-70 Polysaccharide, Water Soluble, Beijerinckia sp., Liquid-Chromatography, Mass-Spectrometry</w:t>
      </w:r>
    </w:p>
    <w:p w:rsidR="00B95188" w:rsidRPr="00A428C3" w:rsidRDefault="00B95188" w:rsidP="00B95188">
      <w:pPr>
        <w:pStyle w:val="a0"/>
      </w:pPr>
      <w:r w:rsidRPr="00A428C3">
        <w:t>Guibal, E., Milot, C., Eterradossi, O., Gauffier, C.</w:t>
      </w:r>
      <w:r w:rsidR="00F81221">
        <w:t xml:space="preserve"> and </w:t>
      </w:r>
      <w:r w:rsidRPr="00A428C3">
        <w:t xml:space="preserve">Domard, A. (1999), Study of molybdate ion sorption on chitosan gel beads by different spectrometric analyses. </w:t>
      </w:r>
      <w:r w:rsidRPr="00A428C3">
        <w:rPr>
          <w:i/>
          <w:iCs/>
        </w:rPr>
        <w:t>International Journal of Biological Macromolecules</w:t>
      </w:r>
      <w:r w:rsidRPr="00A428C3">
        <w:t xml:space="preserve">, </w:t>
      </w:r>
      <w:r w:rsidRPr="00A428C3">
        <w:rPr>
          <w:b/>
        </w:rPr>
        <w:t>24</w:t>
      </w:r>
      <w:r w:rsidRPr="00A428C3">
        <w:t xml:space="preserve"> (1), 49-59.</w:t>
      </w:r>
    </w:p>
    <w:p w:rsidR="00B95188" w:rsidRPr="00A428C3" w:rsidRDefault="00B95188" w:rsidP="00B95188">
      <w:pPr>
        <w:pStyle w:val="a0"/>
      </w:pPr>
      <w:r w:rsidRPr="00A428C3">
        <w:t xml:space="preserve">Full Text: </w:t>
      </w:r>
      <w:hyperlink r:id="rId1645" w:history="1">
        <w:r w:rsidRPr="00A428C3">
          <w:rPr>
            <w:rStyle w:val="a5"/>
          </w:rPr>
          <w:t>I\Int J Bio Mac24, 49.pdf</w:t>
        </w:r>
      </w:hyperlink>
    </w:p>
    <w:p w:rsidR="00B95188" w:rsidRPr="00A428C3" w:rsidRDefault="00B95188" w:rsidP="00B95188">
      <w:pPr>
        <w:pStyle w:val="a0"/>
      </w:pPr>
      <w:r w:rsidRPr="00A428C3">
        <w:t>Abstract: Molybdate ion uptake both by raw chitosan</w:t>
      </w:r>
      <w:r w:rsidR="00F81221">
        <w:t xml:space="preserve"> and </w:t>
      </w:r>
      <w:r w:rsidRPr="00A428C3">
        <w:t>by glutaraldehyde cross-linked chitosan beads was investigated. This study focused on the identification of sorption mechanisms by means of several analytical procedures such as infra-red</w:t>
      </w:r>
      <w:r w:rsidR="00F81221">
        <w:t xml:space="preserve"> and </w:t>
      </w:r>
      <w:r w:rsidRPr="00A428C3">
        <w:t>reflectance spectrophotometries</w:t>
      </w:r>
      <w:r w:rsidR="00F81221">
        <w:t xml:space="preserve"> and </w:t>
      </w:r>
      <w:r w:rsidRPr="00A428C3">
        <w:t>CP-MAS C-13 NMR analyses. Although the amine functions of glucosamine residues remain the major sites of interaction with the metal species, other functional groups can also be involved. It is certainly the case with carbonyl functions provided by the glutaraldehyde structure in cross-linked sorbents, Due to the large size of the polynuclear hydrolysed molybdate species, the sorption may involve several monomer units, resulting in additional linkages between the polymer chains. This behaviour can be confirmed by the chemical shifts of the carbon atoms observed by CP-MAS C-13 NMR on raw chitosan beads, showing that the carbon atoms supporting the amino sites are not the only atoms affected by molybdate ion sorption. Moreover, cross-linking promotes a partial reduction of molybdenum species in the presence of some unreacted aldehyde groups. (C) 1999 Elsevier Science B.V. All rights reserved.</w:t>
      </w:r>
    </w:p>
    <w:p w:rsidR="00B95188" w:rsidRPr="00A428C3" w:rsidRDefault="00B95188" w:rsidP="00B95188">
      <w:pPr>
        <w:pStyle w:val="a0"/>
      </w:pPr>
      <w:r w:rsidRPr="00A428C3">
        <w:t xml:space="preserve">Keywords: Adsorption, Biosorption, C-13 NMR Spectrometry, Chitosan, Chitosan Gel Beads, Complexes, Gel Beads, Infra-Red Spectrometry, IR, Metal-Ions, Molybdate, Molybdate Ions, Multinuclear NMR-Spectroscopy, N-Acetylation, Polymorphs, Reflectance Spectrometry, </w:t>
      </w:r>
      <w:r w:rsidRPr="00A428C3">
        <w:rPr>
          <w:i/>
          <w:iCs/>
        </w:rPr>
        <w:t>Rhizopus-arrhizus</w:t>
      </w:r>
      <w:r w:rsidRPr="00A428C3">
        <w:t>, Solid-State NMR, Sorption</w:t>
      </w:r>
    </w:p>
    <w:p w:rsidR="00B95188" w:rsidRPr="00A428C3" w:rsidRDefault="00B95188" w:rsidP="00B95188">
      <w:pPr>
        <w:pStyle w:val="a0"/>
      </w:pPr>
      <w:r w:rsidRPr="00A428C3">
        <w:t>Zhang, M., Haga, A., Sekiguchi, H.</w:t>
      </w:r>
      <w:r w:rsidR="00F81221">
        <w:t xml:space="preserve"> and </w:t>
      </w:r>
      <w:r w:rsidRPr="00A428C3">
        <w:t>Hirano, S. (2000), Structure of insect chitin isolated from beetle larva cuticle</w:t>
      </w:r>
      <w:r w:rsidR="00F81221">
        <w:t xml:space="preserve"> and </w:t>
      </w:r>
      <w:r w:rsidRPr="00A428C3">
        <w:t>silkworm (</w:t>
      </w:r>
      <w:r w:rsidRPr="00A428C3">
        <w:rPr>
          <w:i/>
          <w:iCs/>
        </w:rPr>
        <w:t>Bombyx Mori</w:t>
      </w:r>
      <w:r w:rsidRPr="00A428C3">
        <w:t xml:space="preserve">) pupa exuvia. </w:t>
      </w:r>
      <w:r w:rsidRPr="00A428C3">
        <w:rPr>
          <w:i/>
          <w:iCs/>
        </w:rPr>
        <w:t>International Journal of Biological Macromolecules</w:t>
      </w:r>
      <w:r w:rsidRPr="00A428C3">
        <w:t xml:space="preserve">, </w:t>
      </w:r>
      <w:r w:rsidRPr="00A428C3">
        <w:rPr>
          <w:b/>
        </w:rPr>
        <w:t>27</w:t>
      </w:r>
      <w:r w:rsidRPr="00A428C3">
        <w:t xml:space="preserve"> (1), 99-105.</w:t>
      </w:r>
    </w:p>
    <w:p w:rsidR="00B95188" w:rsidRPr="00A428C3" w:rsidRDefault="00B95188" w:rsidP="00B95188">
      <w:pPr>
        <w:pStyle w:val="a0"/>
      </w:pPr>
      <w:r w:rsidRPr="00A428C3">
        <w:t xml:space="preserve">Full Text: </w:t>
      </w:r>
      <w:hyperlink r:id="rId1646" w:history="1">
        <w:r w:rsidRPr="00A428C3">
          <w:rPr>
            <w:rStyle w:val="a5"/>
          </w:rPr>
          <w:t>I\Int J Bio Mac27, 99.pdf</w:t>
        </w:r>
      </w:hyperlink>
    </w:p>
    <w:p w:rsidR="00B95188" w:rsidRPr="00A428C3" w:rsidRDefault="00B95188" w:rsidP="00B95188">
      <w:pPr>
        <w:pStyle w:val="a0"/>
      </w:pPr>
      <w:r w:rsidRPr="00A428C3">
        <w:t>Abstract: Chitin samples in a cl-form structure were isolated from beetle larva cuticle</w:t>
      </w:r>
      <w:r w:rsidR="00F81221">
        <w:t xml:space="preserve"> and </w:t>
      </w:r>
      <w:r w:rsidRPr="00A428C3">
        <w:t>silkworm (Bombyx mori) pupa exuvia by treatment with 1 N HCl</w:t>
      </w:r>
      <w:r w:rsidR="00F81221">
        <w:t xml:space="preserve"> and </w:t>
      </w:r>
      <w:r w:rsidRPr="00A428C3">
        <w:t>1 N NaOH. Chitosan was prepared by treating them in 40% NaOH containing NaBH4. Chitin</w:t>
      </w:r>
      <w:r w:rsidR="00F81221">
        <w:t xml:space="preserve"> and </w:t>
      </w:r>
      <w:r w:rsidRPr="00A428C3">
        <w:t>chitosan were analyzed by X-ray, [C-13]CP/MAS NMR, [C-13]FT-NMR,</w:t>
      </w:r>
      <w:r w:rsidR="00F81221">
        <w:t xml:space="preserve"> </w:t>
      </w:r>
      <w:r w:rsidR="00F81221">
        <w:lastRenderedPageBreak/>
        <w:t xml:space="preserve">and </w:t>
      </w:r>
      <w:r w:rsidRPr="00A428C3">
        <w:t>scanning electron microscopy (SEM) methods. Insect chitin degraded more readily than shrimp chitin when treated with 6 N HCl</w:t>
      </w:r>
      <w:r w:rsidR="00F81221">
        <w:t xml:space="preserve"> and </w:t>
      </w:r>
      <w:r w:rsidRPr="00A428C3">
        <w:t>the enzyme-chitinase. After treatment with 2 N HCl at 100 degrees C, the insect chitin crystallinity increased. N-deacetylation of insect chitin was easier than that of crustaceous chitin,</w:t>
      </w:r>
      <w:r w:rsidR="00F81221">
        <w:t xml:space="preserve"> and </w:t>
      </w:r>
      <w:r w:rsidRPr="00A428C3">
        <w:t>about 94% of the N-acetyl groups were removed in one treatment with 40% NaOH for 4 h at 110 degrees C. After treatment with 2 N HCl, 55% of the N-acetyl groups of silkworm chitin were removed under the same conditions. Beetle chitin showed a higher affinity for chitinase than shrimp chitin. (C) 2000 Elsevier Science B.V. All rights reserved.</w:t>
      </w:r>
    </w:p>
    <w:p w:rsidR="00B95188" w:rsidRPr="00A428C3" w:rsidRDefault="00B95188" w:rsidP="00B95188">
      <w:pPr>
        <w:pStyle w:val="a0"/>
      </w:pPr>
      <w:r w:rsidRPr="00A428C3">
        <w:t>Keywords: Beetle Larva Cuticle, Silkworm Exuvia, Chitin, Chitosan, Alpha-Form Structure, Degree of Crystallinity, N-Acetylchitosan, Beta-Chitin, Solid-State, Chitosan, C-13, NMR, Spectroscopy, Derivatives</w:t>
      </w:r>
    </w:p>
    <w:p w:rsidR="00B95188" w:rsidRPr="00A428C3" w:rsidRDefault="00B95188" w:rsidP="00B95188">
      <w:pPr>
        <w:pStyle w:val="a0"/>
      </w:pPr>
      <w:r w:rsidRPr="00A428C3">
        <w:t>Guibal, E., Sweeney, N.V., Zikan, M.C., Vincent, T.</w:t>
      </w:r>
      <w:r w:rsidR="00F81221">
        <w:t xml:space="preserve"> and </w:t>
      </w:r>
      <w:r w:rsidRPr="00A428C3">
        <w:t>Tobin, J.M. (2001), Competitive sorption of platinum</w:t>
      </w:r>
      <w:r w:rsidR="00F81221">
        <w:t xml:space="preserve"> and </w:t>
      </w:r>
      <w:r w:rsidRPr="00A428C3">
        <w:t xml:space="preserve">palladium on chitosan derivatives. </w:t>
      </w:r>
      <w:r w:rsidRPr="00A428C3">
        <w:rPr>
          <w:i/>
          <w:iCs/>
        </w:rPr>
        <w:t>International Journal of Biological Macromolecules</w:t>
      </w:r>
      <w:r w:rsidRPr="00A428C3">
        <w:t xml:space="preserve">, </w:t>
      </w:r>
      <w:r w:rsidRPr="00A428C3">
        <w:rPr>
          <w:b/>
        </w:rPr>
        <w:t>28</w:t>
      </w:r>
      <w:r w:rsidRPr="00A428C3">
        <w:t xml:space="preserve"> (5), 401-408.</w:t>
      </w:r>
    </w:p>
    <w:p w:rsidR="00B95188" w:rsidRPr="00A428C3" w:rsidRDefault="00B95188" w:rsidP="00B95188">
      <w:pPr>
        <w:pStyle w:val="a0"/>
      </w:pPr>
      <w:r w:rsidRPr="00A428C3">
        <w:t xml:space="preserve">Full Text: </w:t>
      </w:r>
      <w:hyperlink r:id="rId1647" w:history="1">
        <w:r w:rsidRPr="00A428C3">
          <w:rPr>
            <w:rStyle w:val="a5"/>
          </w:rPr>
          <w:t>I\Int J Bio Mac28, 401.pdf</w:t>
        </w:r>
      </w:hyperlink>
    </w:p>
    <w:p w:rsidR="00B95188" w:rsidRPr="00A428C3" w:rsidRDefault="00B95188" w:rsidP="00B95188">
      <w:pPr>
        <w:pStyle w:val="a0"/>
      </w:pPr>
      <w:r w:rsidRPr="00A428C3">
        <w:t>Abstract: Glutaraldehyde-cross-linked chitosan (GCC), thiourea derivative of chitosan (TGC)</w:t>
      </w:r>
      <w:r w:rsidR="00F81221">
        <w:t xml:space="preserve"> and </w:t>
      </w:r>
      <w:r w:rsidRPr="00A428C3">
        <w:t>rubeanic acid derivative of chitosan (RADC) have previously been shown to be very efficient at removing platinum</w:t>
      </w:r>
      <w:r w:rsidR="00F81221">
        <w:t xml:space="preserve"> and </w:t>
      </w:r>
      <w:r w:rsidRPr="00A428C3">
        <w:t>palladium from single component dilute acidic solutions. This study examines the competitive sorption of these metal anions in bi-component mixtures for GCC, TGC</w:t>
      </w:r>
      <w:r w:rsidR="00F81221">
        <w:t xml:space="preserve"> and </w:t>
      </w:r>
      <w:r w:rsidRPr="00A428C3">
        <w:t>RADC. Palladium sorption is less sensitive to the presence of platinum than the reverse: the maximum sorption capacity decreases less for palladium than for platinum in the presence of the competitor anion (the metals being in their chloro-metal forms). Moreover, the Langmuir-shape of the sorption isotherm for palladium is unaffected (with the usual plateau reached at low residual palladium), while in the case of platinum sorption, the isotherms exhibit a significant decrease of the sorption capacity at high residual platinum concentration which increases with increasing concentrations of palladium. RADC is more selective for palladium over platinum than the other chitosan derivatives. A preliminary study of the competitive sorption kinetics in both batch</w:t>
      </w:r>
      <w:r w:rsidR="00F81221">
        <w:t xml:space="preserve"> and </w:t>
      </w:r>
      <w:r w:rsidRPr="00A428C3">
        <w:t>fixed bed systems is presented for RADC</w:t>
      </w:r>
      <w:r w:rsidR="00F81221">
        <w:t xml:space="preserve"> and </w:t>
      </w:r>
      <w:r w:rsidRPr="00A428C3">
        <w:t>confirms the higher affinity of the sorbent for palladium than for platinum. (C) 2001 Elsevier Science B.V. All rights reserved.</w:t>
      </w:r>
    </w:p>
    <w:p w:rsidR="00B95188" w:rsidRPr="00A428C3" w:rsidRDefault="00B95188" w:rsidP="00B95188">
      <w:pPr>
        <w:pStyle w:val="a0"/>
      </w:pPr>
      <w:r w:rsidRPr="00A428C3">
        <w:t>Keywords: Adsorption, Beads, Biosorption, Breakthrough Curves, Chitosan, Chitosan Derivatives, Equilibrium, Extraction, Fully Deacetylated Chitosan, Glutaraldehyde Cross-Linking, Isotherms, Kinetics, Kinetics, Metal- Ions, N-Carboxymethyl Chitosan, Palladium, Platinum, Removal, Rubeanic Acid, Rubeanic Acid Grafting, Sorption, Sorption Isotherm, Sorption Kinetics, Thiourea, Thiourea Grafting</w:t>
      </w:r>
    </w:p>
    <w:p w:rsidR="00B95188" w:rsidRPr="00A428C3" w:rsidRDefault="00B95188" w:rsidP="00B95188">
      <w:pPr>
        <w:pStyle w:val="a0"/>
      </w:pPr>
      <w:r w:rsidRPr="00A428C3">
        <w:t xml:space="preserve">Miyamoto, K., Uchiyama, R., Tokita, M., Yonekawa, M., Kawamura, A., Miyashita, K., </w:t>
      </w:r>
      <w:r w:rsidRPr="00A428C3">
        <w:lastRenderedPageBreak/>
        <w:t>Sakashita, E.</w:t>
      </w:r>
      <w:r w:rsidR="00F81221">
        <w:t xml:space="preserve"> and </w:t>
      </w:r>
      <w:r w:rsidRPr="00A428C3">
        <w:t xml:space="preserve">Komai, T. (2001), Development of a novel polycationic adsorbent for cryogel removal. </w:t>
      </w:r>
      <w:r w:rsidRPr="00A428C3">
        <w:rPr>
          <w:i/>
          <w:iCs/>
        </w:rPr>
        <w:t>International Journal of Biological Macromolecules</w:t>
      </w:r>
      <w:r w:rsidRPr="00A428C3">
        <w:t xml:space="preserve">, </w:t>
      </w:r>
      <w:r w:rsidRPr="00A428C3">
        <w:rPr>
          <w:b/>
        </w:rPr>
        <w:t>29</w:t>
      </w:r>
      <w:r w:rsidRPr="00A428C3">
        <w:t xml:space="preserve"> (1), 19-24.</w:t>
      </w:r>
    </w:p>
    <w:p w:rsidR="00B95188" w:rsidRPr="00A428C3" w:rsidRDefault="00B95188" w:rsidP="00B95188">
      <w:pPr>
        <w:pStyle w:val="a0"/>
      </w:pPr>
      <w:r w:rsidRPr="00A428C3">
        <w:t xml:space="preserve">Full Text: </w:t>
      </w:r>
      <w:hyperlink r:id="rId1648" w:history="1">
        <w:r w:rsidRPr="00A428C3">
          <w:rPr>
            <w:rStyle w:val="a5"/>
          </w:rPr>
          <w:t>I\Int J Bio Mac29, 19.pdf</w:t>
        </w:r>
      </w:hyperlink>
    </w:p>
    <w:p w:rsidR="00B95188" w:rsidRPr="00A428C3" w:rsidRDefault="00B95188" w:rsidP="00B95188">
      <w:pPr>
        <w:pStyle w:val="a0"/>
      </w:pPr>
      <w:r w:rsidRPr="00A428C3">
        <w:t>Abstract: Cryogel, prevalent in the plasma of rheumatism patients, is a plasma fibronectin (pFN)-extra domain A containing FN (EDA(+)FN)–fibrinogen (Fbg) complex formed by adding heparin (HP) at a low temperature (</w:t>
      </w:r>
      <w:smartTag w:uri="urn:schemas-microsoft-com:office:smarttags" w:element="chmetcnv">
        <w:smartTagPr>
          <w:attr w:name="TCSC" w:val="0"/>
          <w:attr w:name="NumberType" w:val="1"/>
          <w:attr w:name="Negative" w:val="False"/>
          <w:attr w:name="HasSpace" w:val="False"/>
          <w:attr w:name="SourceValue" w:val="4"/>
          <w:attr w:name="UnitName" w:val="ﾰC"/>
        </w:smartTagPr>
        <w:r w:rsidRPr="00A428C3">
          <w:t>4°C</w:t>
        </w:r>
      </w:smartTag>
      <w:r w:rsidRPr="00A428C3">
        <w:t>). Although EDA(+)FN does not usually exist in normal plasma, its prevalence in rheumatic patients causes cryogelation in plasma. Removal of cryogel is thus a promising</w:t>
      </w:r>
      <w:r w:rsidR="00F81221">
        <w:t xml:space="preserve"> and </w:t>
      </w:r>
      <w:r w:rsidRPr="00A428C3">
        <w:t xml:space="preserve">novel approach to treating rheumatism. As HP-EDA(+)FN aggregate, which is induced by the main component of cryogel, is considered to be an anion, cationic materials capable of eliminating this anionic conjugate were innovated in this study. We found that an amino group density of 100–130 </w:t>
      </w:r>
      <w:r w:rsidRPr="00A428C3">
        <w:sym w:font="Symbol" w:char="F06D"/>
      </w:r>
      <w:r w:rsidRPr="00A428C3">
        <w:t>mol/g (dry weight) of adsorbents prompted selective adsorption of the EDA(+)FN–HP complex. Elimination of EDA(+)FN as high as 80% accompanied by removal of the components of total FN (pFN) (10%)</w:t>
      </w:r>
      <w:r w:rsidR="00F81221">
        <w:t xml:space="preserve"> and </w:t>
      </w:r>
      <w:r w:rsidRPr="00A428C3">
        <w:t>Fbg (10%) in the model patient plasma was established.</w:t>
      </w:r>
    </w:p>
    <w:p w:rsidR="00B95188" w:rsidRPr="00A428C3" w:rsidRDefault="00B95188" w:rsidP="00735710">
      <w:pPr>
        <w:pStyle w:val="a0"/>
      </w:pPr>
      <w:r w:rsidRPr="00A428C3">
        <w:t>Keywords: Cryogel, EDA(+)Fibronectin, Heparin, Adsorbent</w:t>
      </w:r>
    </w:p>
    <w:p w:rsidR="00B95188" w:rsidRPr="00A428C3" w:rsidRDefault="00B95188" w:rsidP="00B95188">
      <w:pPr>
        <w:pStyle w:val="a0"/>
      </w:pPr>
      <w:r w:rsidRPr="00A428C3">
        <w:t xml:space="preserve">Guzman, J., Saucedo, </w:t>
      </w:r>
      <w:smartTag w:uri="urn:schemas-microsoft-com:office:smarttags" w:element="place">
        <w:r w:rsidRPr="00A428C3">
          <w:t>I.</w:t>
        </w:r>
      </w:smartTag>
      <w:r w:rsidRPr="00A428C3">
        <w:t>, Revilla, J., Navarro, R.</w:t>
      </w:r>
      <w:r w:rsidR="00F81221">
        <w:t xml:space="preserve"> and </w:t>
      </w:r>
      <w:r w:rsidRPr="00A428C3">
        <w:t>Guibal, E. (2003), Copper sorption by chitosan in the presence of citrate ions: Influence of metal speciation on sorption mechanism</w:t>
      </w:r>
      <w:r w:rsidR="00F81221">
        <w:t xml:space="preserve"> and </w:t>
      </w:r>
      <w:r w:rsidRPr="00A428C3">
        <w:t xml:space="preserve">uptake capacities. </w:t>
      </w:r>
      <w:r w:rsidRPr="00A428C3">
        <w:rPr>
          <w:i/>
          <w:iCs/>
        </w:rPr>
        <w:t>International Journal of Biological Macromolecules</w:t>
      </w:r>
      <w:r w:rsidRPr="00A428C3">
        <w:t xml:space="preserve">, </w:t>
      </w:r>
      <w:r w:rsidRPr="00A428C3">
        <w:rPr>
          <w:b/>
        </w:rPr>
        <w:t>33</w:t>
      </w:r>
      <w:r w:rsidRPr="00A428C3">
        <w:t xml:space="preserve"> (1-3), 57-65.</w:t>
      </w:r>
    </w:p>
    <w:p w:rsidR="00B95188" w:rsidRPr="00A428C3" w:rsidRDefault="00B95188" w:rsidP="00B95188">
      <w:pPr>
        <w:pStyle w:val="a0"/>
      </w:pPr>
      <w:r w:rsidRPr="00A428C3">
        <w:t xml:space="preserve">Full Text: </w:t>
      </w:r>
      <w:hyperlink r:id="rId1649" w:history="1">
        <w:r w:rsidRPr="00A428C3">
          <w:rPr>
            <w:rStyle w:val="a5"/>
          </w:rPr>
          <w:t>I\Int J Bio Mac33, 57.pdf</w:t>
        </w:r>
      </w:hyperlink>
    </w:p>
    <w:p w:rsidR="00B95188" w:rsidRPr="00A428C3" w:rsidRDefault="00B95188" w:rsidP="00B95188">
      <w:pPr>
        <w:pStyle w:val="a0"/>
      </w:pPr>
      <w:r w:rsidRPr="00A428C3">
        <w:t>Abstract: The presence of organic ligands in a solution containing metal ions modifies metal speciation, which in turn changes the sorption mechanism, optimum pH range</w:t>
      </w:r>
      <w:r w:rsidR="00F81221">
        <w:t xml:space="preserve"> and </w:t>
      </w:r>
      <w:r w:rsidRPr="00A428C3">
        <w:t>maximum sorption capacity. The present work investigates the sorption of copper by chitosan in the presence of citrate at different metal/ligand ratios. Copper uptake in acidic solution takes place through electrostatic attraction between the protonated amine groups of chitosan</w:t>
      </w:r>
      <w:r w:rsidR="00F81221">
        <w:t xml:space="preserve"> and </w:t>
      </w:r>
      <w:r w:rsidRPr="00A428C3">
        <w:t>anionic copper-citrate complexes (mainly Cu(OH)L</w:t>
      </w:r>
      <w:r w:rsidRPr="00A428C3">
        <w:rPr>
          <w:vertAlign w:val="superscript"/>
        </w:rPr>
        <w:t>2-</w:t>
      </w:r>
      <w:r w:rsidRPr="00A428C3">
        <w:t xml:space="preserve"> but also a small fraction of CuL</w:t>
      </w:r>
      <w:r w:rsidRPr="00A428C3">
        <w:rPr>
          <w:vertAlign w:val="superscript"/>
        </w:rPr>
        <w:t>-</w:t>
      </w:r>
      <w:r w:rsidRPr="00A428C3">
        <w:t>). Sorption was negligible below pH 3 due to competition from dissociated anionic ligand</w:t>
      </w:r>
      <w:r w:rsidR="00F81221">
        <w:t xml:space="preserve"> and </w:t>
      </w:r>
      <w:r w:rsidRPr="00A428C3">
        <w:t>counter ions brought about by dissociation of the acid used for pH control. Actually, copper sorption begins to be significant when the fraction of anionic copper-complexes exceeds that of anionic copper-free ligand. So sorption capacity strongly increases up to pH 4.5-5.5. Above pH 5.5, the progressive decrease of amine protonation leads to a linear decrease in sorption capacity. An excess of ligand leads to an increase in the fraction of free dissociated (anionic) ligand that may compete for electrostatic attraction on protonated amine groups</w:t>
      </w:r>
      <w:r w:rsidR="00F81221">
        <w:t xml:space="preserve"> and </w:t>
      </w:r>
      <w:r w:rsidRPr="00A428C3">
        <w:t>therefore leads to a decrease in sorption capacities. (C) 2003 Elsevier B.V. All rights reserved.</w:t>
      </w:r>
    </w:p>
    <w:p w:rsidR="00B95188" w:rsidRPr="00A428C3" w:rsidRDefault="00B95188" w:rsidP="00B95188">
      <w:pPr>
        <w:pStyle w:val="a0"/>
      </w:pPr>
      <w:r w:rsidRPr="00A428C3">
        <w:t xml:space="preserve">Keywords: Chitosan, Copper, Citrate, Metal Speciation, pH Effect, Sorption Isotherms, </w:t>
      </w:r>
      <w:r w:rsidRPr="00A428C3">
        <w:lastRenderedPageBreak/>
        <w:t>Electrostatic Attraction, Chelation, Polymer Protonation, Cross-Linked Chitosan, Molybdate Sorption, Uranyl Ions, Physicochemical Parameters, Polymer Properties, Platinum Sorption, Aqueous-Solutions, Adsorption, Beads, Equilibrium</w:t>
      </w:r>
    </w:p>
    <w:p w:rsidR="00B95188" w:rsidRPr="00A428C3" w:rsidRDefault="00B95188" w:rsidP="00B95188">
      <w:pPr>
        <w:pStyle w:val="a0"/>
      </w:pPr>
      <w:r w:rsidRPr="00A428C3">
        <w:t>Wan Ngah, W.S., Kamari, A.</w:t>
      </w:r>
      <w:r w:rsidR="00F81221">
        <w:t xml:space="preserve"> and </w:t>
      </w:r>
      <w:r w:rsidRPr="00A428C3">
        <w:t>Koay, Y.J. (2004), Equilibrium</w:t>
      </w:r>
      <w:r w:rsidR="00F81221">
        <w:t xml:space="preserve"> and </w:t>
      </w:r>
      <w:r w:rsidRPr="00A428C3">
        <w:t>kinetics studies of adsorption of copper(II) on chitosan</w:t>
      </w:r>
      <w:r w:rsidR="00F81221">
        <w:t xml:space="preserve"> and </w:t>
      </w:r>
      <w:r w:rsidRPr="00A428C3">
        <w:t xml:space="preserve">chitosan/PVA beads. </w:t>
      </w:r>
      <w:r w:rsidRPr="00A428C3">
        <w:rPr>
          <w:i/>
          <w:iCs/>
        </w:rPr>
        <w:t>International Journal of Biological Macromolecules</w:t>
      </w:r>
      <w:r w:rsidRPr="00A428C3">
        <w:t xml:space="preserve">, </w:t>
      </w:r>
      <w:r w:rsidRPr="00A428C3">
        <w:rPr>
          <w:b/>
        </w:rPr>
        <w:t>34</w:t>
      </w:r>
      <w:r w:rsidRPr="00A428C3">
        <w:t xml:space="preserve"> (3), 155-161.</w:t>
      </w:r>
    </w:p>
    <w:p w:rsidR="00B95188" w:rsidRPr="00A428C3" w:rsidRDefault="00B95188" w:rsidP="00B95188">
      <w:pPr>
        <w:pStyle w:val="a0"/>
      </w:pPr>
      <w:r w:rsidRPr="00A428C3">
        <w:t xml:space="preserve">Full Text: </w:t>
      </w:r>
      <w:hyperlink r:id="rId1650" w:history="1">
        <w:r w:rsidRPr="00A428C3">
          <w:rPr>
            <w:rStyle w:val="a5"/>
          </w:rPr>
          <w:t>I\Int J Bio Mac34, 155.pdf</w:t>
        </w:r>
      </w:hyperlink>
    </w:p>
    <w:p w:rsidR="00B95188" w:rsidRPr="00A428C3" w:rsidRDefault="00B95188" w:rsidP="00B95188">
      <w:pPr>
        <w:pStyle w:val="a0"/>
      </w:pPr>
      <w:r w:rsidRPr="00A428C3">
        <w:t>Abstract: The adsorption of Cu(II) ions from aqueous solution by chitosan</w:t>
      </w:r>
      <w:r w:rsidR="00F81221">
        <w:t xml:space="preserve"> and </w:t>
      </w:r>
      <w:r w:rsidRPr="00A428C3">
        <w:t>chitosan/PVA beads was studied in a batch adsorption system. Chitosan solution was blended with poly(vinyl alcohol) (PVA) in order to obtain sorbents that are insoluble in aqueous acidic</w:t>
      </w:r>
      <w:r w:rsidR="00F81221">
        <w:t xml:space="preserve"> and </w:t>
      </w:r>
      <w:r w:rsidRPr="00A428C3">
        <w:t>basic solution. The adsorption capacities</w:t>
      </w:r>
      <w:r w:rsidR="00F81221">
        <w:t xml:space="preserve"> and </w:t>
      </w:r>
      <w:r w:rsidRPr="00A428C3">
        <w:t>rates of Cu(II) ions onto chitosan</w:t>
      </w:r>
      <w:r w:rsidR="00F81221">
        <w:t xml:space="preserve"> and </w:t>
      </w:r>
      <w:r w:rsidRPr="00A428C3">
        <w:t>chitosan/PVA beads were evaluated. The Langmuir, Freundlich</w:t>
      </w:r>
      <w:r w:rsidR="00F81221">
        <w:t xml:space="preserve"> and </w:t>
      </w:r>
      <w:r w:rsidRPr="00A428C3">
        <w:t>BET adsorption models were applied to describe the isotherms</w:t>
      </w:r>
      <w:r w:rsidR="00F81221">
        <w:t xml:space="preserve"> and </w:t>
      </w:r>
      <w:r w:rsidRPr="00A428C3">
        <w:t>isotherm constants. Adsorption isothermal data could be well interpreted by the Langmuir model. The kinetic experimental data properly correlated with the second-order kinetic model, which indicates that the chemical sorption is the rate-limiting step. The Cu(II) ions can be removed from the chitosan</w:t>
      </w:r>
      <w:r w:rsidR="00F81221">
        <w:t xml:space="preserve"> and </w:t>
      </w:r>
      <w:r w:rsidRPr="00A428C3">
        <w:t>chitosan/PVA beads rapidly by treatment with an aqueous EDTA solution. Results also showed that chitosan</w:t>
      </w:r>
      <w:r w:rsidR="00F81221">
        <w:t xml:space="preserve"> and </w:t>
      </w:r>
      <w:r w:rsidRPr="00A428C3">
        <w:t>chitosan/PVA beads are favourable adsorbers. (C) 2004 Elsevier B.V. All rights reserved.</w:t>
      </w:r>
    </w:p>
    <w:p w:rsidR="00B95188" w:rsidRPr="00A428C3" w:rsidRDefault="00B95188" w:rsidP="00B95188">
      <w:pPr>
        <w:pStyle w:val="a0"/>
      </w:pPr>
      <w:r w:rsidRPr="00A428C3">
        <w:t>Keywords: Chitosan Beads, Chitosan/PVA Beads, Adsorption Capacities, Adsorption Rates, Adsorption Isotherm, Desorption, Cross-Linked Chitosan, Aqueous-Solutions, Reactive Dye, Humic-Acid, Sorption, Ions, Behavior, Metal, Lead(II), Removal</w:t>
      </w:r>
    </w:p>
    <w:p w:rsidR="00B95188" w:rsidRPr="00A428C3" w:rsidRDefault="00B95188" w:rsidP="00B95188">
      <w:pPr>
        <w:pStyle w:val="a0"/>
      </w:pPr>
      <w:r w:rsidRPr="00A428C3">
        <w:t xml:space="preserve">? Wan Ngah, W.S. (2006), Reply to comment of </w:t>
      </w:r>
      <w:r w:rsidR="000352E7">
        <w:t>“</w:t>
      </w:r>
      <w:r w:rsidRPr="00A428C3">
        <w:t>Prof. Y.S. Ho</w:t>
      </w:r>
      <w:r w:rsidR="000352E7">
        <w:t>”</w:t>
      </w:r>
      <w:r w:rsidRPr="00A428C3">
        <w:t xml:space="preserve"> on [Int. J. Biol. Macromol. 34 (2004) 155–161]. </w:t>
      </w:r>
      <w:r w:rsidRPr="00A428C3">
        <w:rPr>
          <w:i/>
          <w:iCs/>
        </w:rPr>
        <w:t>International Journal of Biological Macromolecules</w:t>
      </w:r>
      <w:r w:rsidRPr="00A428C3">
        <w:t xml:space="preserve">, </w:t>
      </w:r>
      <w:r w:rsidRPr="00A428C3">
        <w:rPr>
          <w:b/>
        </w:rPr>
        <w:t>38</w:t>
      </w:r>
      <w:r w:rsidRPr="00A428C3">
        <w:t xml:space="preserve"> (1), 77.</w:t>
      </w:r>
    </w:p>
    <w:p w:rsidR="00B95188" w:rsidRPr="00A428C3" w:rsidRDefault="00B95188" w:rsidP="00B95188">
      <w:pPr>
        <w:pStyle w:val="a0"/>
      </w:pPr>
      <w:r w:rsidRPr="00A428C3">
        <w:t xml:space="preserve">Full Text: </w:t>
      </w:r>
      <w:hyperlink r:id="rId1651" w:history="1">
        <w:r w:rsidRPr="00A428C3">
          <w:rPr>
            <w:rStyle w:val="a5"/>
          </w:rPr>
          <w:t>2006\Int J Bio Mac38, 77.pdf</w:t>
        </w:r>
      </w:hyperlink>
    </w:p>
    <w:p w:rsidR="00B95188" w:rsidRPr="00A428C3" w:rsidRDefault="00B95188" w:rsidP="00B95188">
      <w:pPr>
        <w:pStyle w:val="a0"/>
      </w:pPr>
      <w:r w:rsidRPr="00A428C3">
        <w:t>? Altıntaş, E.B.</w:t>
      </w:r>
      <w:r w:rsidR="00F81221">
        <w:t xml:space="preserve"> and </w:t>
      </w:r>
      <w:r w:rsidRPr="00A428C3">
        <w:t xml:space="preserve">Denizli, A. (2006), Monosize poly(glycidyl methacrylate) beads for dye-affinity purification of lysozyme. </w:t>
      </w:r>
      <w:r w:rsidRPr="00A428C3">
        <w:rPr>
          <w:i/>
          <w:iCs/>
        </w:rPr>
        <w:t>International Journal of Biological Macromolecules</w:t>
      </w:r>
      <w:r w:rsidRPr="00A428C3">
        <w:t xml:space="preserve">, </w:t>
      </w:r>
      <w:r w:rsidRPr="00A428C3">
        <w:rPr>
          <w:b/>
        </w:rPr>
        <w:t>38</w:t>
      </w:r>
      <w:r w:rsidRPr="00A428C3">
        <w:t xml:space="preserve"> (2), 99-106.</w:t>
      </w:r>
    </w:p>
    <w:p w:rsidR="00B95188" w:rsidRPr="00A428C3" w:rsidRDefault="00B95188" w:rsidP="00B95188">
      <w:pPr>
        <w:pStyle w:val="a0"/>
      </w:pPr>
      <w:r w:rsidRPr="00A428C3">
        <w:t xml:space="preserve">Full Text: </w:t>
      </w:r>
      <w:hyperlink r:id="rId1652" w:history="1">
        <w:r w:rsidRPr="00A428C3">
          <w:rPr>
            <w:rStyle w:val="a5"/>
          </w:rPr>
          <w:t>2006\Int J Bio Mac38, 99.pdf</w:t>
        </w:r>
      </w:hyperlink>
    </w:p>
    <w:p w:rsidR="00B95188" w:rsidRPr="00A428C3" w:rsidRDefault="00B95188" w:rsidP="00B95188">
      <w:pPr>
        <w:pStyle w:val="a0"/>
      </w:pPr>
      <w:r w:rsidRPr="00A428C3">
        <w:t>Abstract: Cibacron Blue F3GA was covalently attached onto monosize poly(glycidyl methacrylate) [poly(GMA)] beads for purification of lysozyme from chicken egg white. Monosize poly(GMA) beads, 1.6 μm in diameter, were produced by a dispersion polymerization technique. The content of epoxy groups on the surface of the poly(GMA) sample determined by the HCl–pyridine method (3.8 mmol/g). Cibacron Blue F3GA loading was 1.73 mmol/g. The monosize beads were characterized by elemental analysis, FTIR</w:t>
      </w:r>
      <w:r w:rsidR="00F81221">
        <w:t xml:space="preserve"> and </w:t>
      </w:r>
      <w:r w:rsidRPr="00A428C3">
        <w:t xml:space="preserve">SEM. Adsorption studies were performed under different conditions in a batch system (i.e., medium pH, protein </w:t>
      </w:r>
      <w:r w:rsidRPr="00A428C3">
        <w:lastRenderedPageBreak/>
        <w:t>concentration, temperature</w:t>
      </w:r>
      <w:r w:rsidR="00F81221">
        <w:t xml:space="preserve"> and </w:t>
      </w:r>
      <w:r w:rsidRPr="00A428C3">
        <w:t>ionic strength). Maximum lysozyme adsorption amount of poly(GMA)</w:t>
      </w:r>
      <w:r w:rsidR="00F81221">
        <w:t xml:space="preserve"> and </w:t>
      </w:r>
      <w:r w:rsidRPr="00A428C3">
        <w:t>poly(GMA)-Cibacron Blue F3GA beads were 1.6</w:t>
      </w:r>
      <w:r w:rsidR="00F81221">
        <w:t xml:space="preserve"> and </w:t>
      </w:r>
      <w:r w:rsidRPr="00A428C3">
        <w:t>591.7 mg/g, respectively. The applicability of two kinetic models including pseudo-first order</w:t>
      </w:r>
      <w:r w:rsidR="00F81221">
        <w:t xml:space="preserve"> and </w:t>
      </w:r>
      <w:r w:rsidRPr="00A428C3">
        <w:t>pseudo-second order model was estimated on the basis of comparative analysis of the corresponding rate parameters, equilibrium adsorption capacity</w:t>
      </w:r>
      <w:r w:rsidR="00F81221">
        <w:t xml:space="preserve"> and </w:t>
      </w:r>
      <w:r w:rsidRPr="00A428C3">
        <w:t>correlation coefficients. Results suggest that chemisorption processes could be the rate-limiting step in the adsorption process. It was observed that after 10 adsorption–elution cycle, poly(GMA)-Cibacron Blue F3GA beads can be used without significant loss in lysozyme dsorption capacity. Purification of lysozyme from egg-white was also investigated. Purification of lysozyme was monitored by determining the lysozyme activity using Micrococcus lysodeikticus as substrate. The purity of the eluted lysozyme was analyzed by SDS-PAGE</w:t>
      </w:r>
      <w:r w:rsidR="00F81221">
        <w:t xml:space="preserve"> and </w:t>
      </w:r>
      <w:r w:rsidRPr="00A428C3">
        <w:t>found to be 88% with recovery about 79%. The specific activity of the eluted lysozyme was high as 43,600 U/mg.</w:t>
      </w:r>
    </w:p>
    <w:p w:rsidR="00B95188" w:rsidRPr="00A428C3" w:rsidRDefault="00B95188" w:rsidP="00B95188">
      <w:pPr>
        <w:pStyle w:val="a0"/>
      </w:pPr>
      <w:r w:rsidRPr="00A428C3">
        <w:t>Keywords: Cibacron Blue F3GA, Protein Purification, Lysozyme, Monosize Beads, Dye Affinity</w:t>
      </w:r>
    </w:p>
    <w:p w:rsidR="00B95188" w:rsidRPr="00A428C3" w:rsidRDefault="00B95188" w:rsidP="00B95188">
      <w:pPr>
        <w:pStyle w:val="a0"/>
      </w:pPr>
      <w:r w:rsidRPr="00A428C3">
        <w:t>? Türkmen, D., Yavuz, H.</w:t>
      </w:r>
      <w:r w:rsidR="00F81221">
        <w:t xml:space="preserve"> and </w:t>
      </w:r>
      <w:r w:rsidRPr="00A428C3">
        <w:t xml:space="preserve">Denizli, A. (2006), Synthesis of tentacle type magnetic beads as immobilized metal chelate affinity support for cytochrome </w:t>
      </w:r>
      <w:r w:rsidRPr="00A428C3">
        <w:rPr>
          <w:i/>
        </w:rPr>
        <w:t>c</w:t>
      </w:r>
      <w:r w:rsidRPr="00A428C3">
        <w:t xml:space="preserve"> adsorption. </w:t>
      </w:r>
      <w:r w:rsidRPr="00A428C3">
        <w:rPr>
          <w:i/>
          <w:iCs/>
        </w:rPr>
        <w:t>International Journal of Biological Macromolecules</w:t>
      </w:r>
      <w:r w:rsidRPr="00A428C3">
        <w:t xml:space="preserve">, </w:t>
      </w:r>
      <w:r w:rsidRPr="00A428C3">
        <w:rPr>
          <w:b/>
        </w:rPr>
        <w:t>38</w:t>
      </w:r>
      <w:r w:rsidRPr="00A428C3">
        <w:t xml:space="preserve"> (2), 126-133.</w:t>
      </w:r>
    </w:p>
    <w:p w:rsidR="00B95188" w:rsidRPr="00A428C3" w:rsidRDefault="00B95188" w:rsidP="00B95188">
      <w:pPr>
        <w:pStyle w:val="a0"/>
      </w:pPr>
      <w:r w:rsidRPr="00A428C3">
        <w:t xml:space="preserve">Full Text: </w:t>
      </w:r>
      <w:hyperlink r:id="rId1653" w:history="1">
        <w:r w:rsidRPr="00A428C3">
          <w:rPr>
            <w:rStyle w:val="a5"/>
          </w:rPr>
          <w:t>2006\Int J Bio Mac38, 126.pdf</w:t>
        </w:r>
      </w:hyperlink>
    </w:p>
    <w:p w:rsidR="00B95188" w:rsidRPr="00A428C3" w:rsidRDefault="00B95188" w:rsidP="00B95188">
      <w:pPr>
        <w:pStyle w:val="a0"/>
      </w:pPr>
      <w:r w:rsidRPr="00A428C3">
        <w:t>Abstract: Magnetic poly(2-hydroxyethylmethacrylate) (mPHEMA) beads with an average diameter of 100–140 μm were produced by suspension polymerization in the presence of magnetite particles (i.e. Fe</w:t>
      </w:r>
      <w:r w:rsidRPr="00A428C3">
        <w:rPr>
          <w:vertAlign w:val="subscript"/>
        </w:rPr>
        <w:t>3</w:t>
      </w:r>
      <w:r w:rsidRPr="00A428C3">
        <w:t>O</w:t>
      </w:r>
      <w:r w:rsidRPr="00A428C3">
        <w:rPr>
          <w:vertAlign w:val="subscript"/>
        </w:rPr>
        <w:t>4</w:t>
      </w:r>
      <w:r w:rsidRPr="00A428C3">
        <w:t>). Specific surface area</w:t>
      </w:r>
      <w:r w:rsidR="00F81221">
        <w:t xml:space="preserve"> and </w:t>
      </w:r>
      <w:r w:rsidRPr="00A428C3">
        <w:t xml:space="preserve">average pore size of the magnetic beads was found to be </w:t>
      </w:r>
      <w:smartTag w:uri="urn:schemas-microsoft-com:office:smarttags" w:element="chmetcnv">
        <w:smartTagPr>
          <w:attr w:name="TCSC" w:val="0"/>
          <w:attr w:name="NumberType" w:val="1"/>
          <w:attr w:name="Negative" w:val="False"/>
          <w:attr w:name="HasSpace" w:val="True"/>
          <w:attr w:name="SourceValue" w:val="50"/>
          <w:attr w:name="UnitName" w:val="m2"/>
        </w:smartTagPr>
        <w:r w:rsidRPr="00A428C3">
          <w:t>50 m</w:t>
        </w:r>
        <w:r w:rsidRPr="00A428C3">
          <w:rPr>
            <w:vertAlign w:val="superscript"/>
          </w:rPr>
          <w:t>2</w:t>
        </w:r>
      </w:smartTag>
      <w:r w:rsidRPr="00A428C3">
        <w:t>/g</w:t>
      </w:r>
      <w:r w:rsidR="00F81221">
        <w:t xml:space="preserve"> and </w:t>
      </w:r>
      <w:r w:rsidRPr="00A428C3">
        <w:t>819 nm, respectively. Ester groups in the mPHEMA structure were converted to imine groups by reacting with poly(ethyleneimine) (</w:t>
      </w:r>
      <w:smartTag w:uri="urn:schemas-microsoft-com:office:smarttags" w:element="place">
        <w:smartTag w:uri="urn:schemas-microsoft-com:office:smarttags" w:element="State">
          <w:r w:rsidRPr="00A428C3">
            <w:t>PEI</w:t>
          </w:r>
        </w:smartTag>
      </w:smartTag>
      <w:r w:rsidRPr="00A428C3">
        <w:t>) in the presence of NaH. Amino (–NH</w:t>
      </w:r>
      <w:r w:rsidRPr="00A428C3">
        <w:rPr>
          <w:vertAlign w:val="subscript"/>
        </w:rPr>
        <w:t>2</w:t>
      </w:r>
      <w:r w:rsidRPr="00A428C3">
        <w:t>) content of PEI-attached mPHEMA beads was determined as 102 mg PEI/g. Then, Cu</w:t>
      </w:r>
      <w:r w:rsidRPr="00A428C3">
        <w:rPr>
          <w:vertAlign w:val="superscript"/>
        </w:rPr>
        <w:t>2+</w:t>
      </w:r>
      <w:r w:rsidRPr="00A428C3">
        <w:t xml:space="preserve"> ions were chelated on the magnetic beads in the range of 20–793 μmol Cu</w:t>
      </w:r>
      <w:r w:rsidRPr="00A428C3">
        <w:rPr>
          <w:vertAlign w:val="superscript"/>
        </w:rPr>
        <w:t>2+</w:t>
      </w:r>
      <w:r w:rsidRPr="00A428C3">
        <w:t>/g. Cytochrome c (cyt c) adsorption was performed on the metal chelating beads from aqueous solutions containing different amounts of cyt c at different pHs, Cu</w:t>
      </w:r>
      <w:r w:rsidRPr="00A428C3">
        <w:rPr>
          <w:vertAlign w:val="superscript"/>
        </w:rPr>
        <w:t>2+</w:t>
      </w:r>
      <w:r w:rsidRPr="00A428C3">
        <w:t xml:space="preserve"> loadings</w:t>
      </w:r>
      <w:r w:rsidR="00F81221">
        <w:t xml:space="preserve"> and </w:t>
      </w:r>
      <w:r w:rsidRPr="00A428C3">
        <w:t>temperatures. Cyt c adsorption on the mPHEMA/PEI beads was 4.6 mg/g. Cu</w:t>
      </w:r>
      <w:r w:rsidRPr="00A428C3">
        <w:rPr>
          <w:vertAlign w:val="superscript"/>
        </w:rPr>
        <w:t>2+</w:t>
      </w:r>
      <w:r w:rsidRPr="00A428C3">
        <w:t xml:space="preserve"> chelation increased the cyt c adsorption significantly (40.1 mg/g). Adsorption capacity increased with Cu</w:t>
      </w:r>
      <w:r w:rsidRPr="00A428C3">
        <w:rPr>
          <w:vertAlign w:val="superscript"/>
        </w:rPr>
        <w:t>2+</w:t>
      </w:r>
      <w:r w:rsidRPr="00A428C3">
        <w:t xml:space="preserve"> loading</w:t>
      </w:r>
      <w:r w:rsidR="00F81221">
        <w:t xml:space="preserve"> and </w:t>
      </w:r>
      <w:r w:rsidRPr="00A428C3">
        <w:t>then reached a saturation value. Cyt c adsorption decreased with increasing temperature. Cyt c molecules could be reversibly adsorbed</w:t>
      </w:r>
      <w:r w:rsidR="00F81221">
        <w:t xml:space="preserve"> and </w:t>
      </w:r>
      <w:r w:rsidRPr="00A428C3">
        <w:t>eluted ten times with the magnetic adsorbents without noticeable loss in their cyt c adsorption capacity. The applicability of two kinetic models including pseudo-first order</w:t>
      </w:r>
      <w:r w:rsidR="00F81221">
        <w:t xml:space="preserve"> and </w:t>
      </w:r>
      <w:r w:rsidRPr="00A428C3">
        <w:t>pseudo-second order model was estimated on the basis of comparative analysis of the corresponding rate parameters, equilibrium capacity</w:t>
      </w:r>
      <w:r w:rsidR="00F81221">
        <w:t xml:space="preserve"> and </w:t>
      </w:r>
      <w:r w:rsidRPr="00A428C3">
        <w:t xml:space="preserve">correlation coefficients. Results suggest that chemisorption </w:t>
      </w:r>
      <w:r w:rsidRPr="00A428C3">
        <w:lastRenderedPageBreak/>
        <w:t>processes could be the rate-limiting step in the adsorption process. In the last part of this article, cyt c adsorption experiments were performed in a magnetically stabilized fluidized bed (MSFB) system at optimum conditions determined from the batch experiments. The adsorption capacity decreased significantly from 46.8 to 15.4 mg/g polymer with the increase of the flow-rate from 0.5 to 4.0 ml/min. The resulting magnetic chelator beads possessed excellent long-term storage stability.</w:t>
      </w:r>
    </w:p>
    <w:p w:rsidR="00B95188" w:rsidRPr="00A428C3" w:rsidRDefault="00B95188" w:rsidP="00B95188">
      <w:pPr>
        <w:pStyle w:val="a0"/>
      </w:pPr>
      <w:r w:rsidRPr="00A428C3">
        <w:t>Keywords: Affinity Chromatography, Metal-Chelate Affinity Beads, Polyethyleneimine; Cytochrome C, Magnetic Beads</w:t>
      </w:r>
    </w:p>
    <w:p w:rsidR="00B95188" w:rsidRPr="00A428C3" w:rsidRDefault="00B95188" w:rsidP="00B95188">
      <w:pPr>
        <w:pStyle w:val="a0"/>
      </w:pPr>
      <w:r w:rsidRPr="00A428C3">
        <w:t xml:space="preserve">? Ho, Y.S. (2006), </w:t>
      </w:r>
      <w:r w:rsidRPr="00A428C3">
        <w:rPr>
          <w:snapToGrid w:val="0"/>
        </w:rPr>
        <w:t xml:space="preserve">Comment on </w:t>
      </w:r>
      <w:r w:rsidRPr="00A428C3">
        <w:t>Equilibrium</w:t>
      </w:r>
      <w:r w:rsidR="00F81221">
        <w:t xml:space="preserve"> and </w:t>
      </w:r>
      <w:r w:rsidRPr="00A428C3">
        <w:t>kinetics studies of adsorption of copper(II) on chitosan</w:t>
      </w:r>
      <w:r w:rsidR="00F81221">
        <w:t xml:space="preserve"> and </w:t>
      </w:r>
      <w:r w:rsidRPr="00A428C3">
        <w:t xml:space="preserve">chitosan/PVA beads. </w:t>
      </w:r>
      <w:r w:rsidRPr="00A428C3">
        <w:rPr>
          <w:i/>
          <w:iCs/>
        </w:rPr>
        <w:t>International Journal of Biological Macromolecules</w:t>
      </w:r>
      <w:r w:rsidRPr="00A428C3">
        <w:t xml:space="preserve">, </w:t>
      </w:r>
      <w:r w:rsidRPr="00A428C3">
        <w:rPr>
          <w:b/>
        </w:rPr>
        <w:t>38</w:t>
      </w:r>
      <w:r w:rsidRPr="00A428C3">
        <w:t xml:space="preserve"> (2), 148-149.</w:t>
      </w:r>
    </w:p>
    <w:p w:rsidR="00B95188" w:rsidRPr="00A428C3" w:rsidRDefault="00B95188" w:rsidP="00B95188">
      <w:pPr>
        <w:pStyle w:val="a0"/>
      </w:pPr>
      <w:r w:rsidRPr="00A428C3">
        <w:t xml:space="preserve">Full Text: </w:t>
      </w:r>
      <w:hyperlink r:id="rId1654" w:history="1">
        <w:r w:rsidRPr="00A428C3">
          <w:rPr>
            <w:rStyle w:val="a5"/>
          </w:rPr>
          <w:t>2006\Int J Bio Mac38, 148.pdf</w:t>
        </w:r>
      </w:hyperlink>
      <w:r w:rsidRPr="00A428C3">
        <w:t xml:space="preserve">; </w:t>
      </w:r>
      <w:hyperlink r:id="rId1655" w:history="1">
        <w:r w:rsidRPr="00A428C3">
          <w:rPr>
            <w:rStyle w:val="a5"/>
          </w:rPr>
          <w:t>2006\Int J Bio Mac-Ho1.pdf</w:t>
        </w:r>
      </w:hyperlink>
      <w:r w:rsidRPr="00A428C3">
        <w:t xml:space="preserve">; </w:t>
      </w:r>
      <w:hyperlink r:id="rId1656" w:history="1">
        <w:r w:rsidRPr="00A428C3">
          <w:rPr>
            <w:rStyle w:val="a5"/>
          </w:rPr>
          <w:t>2006\Int J Bio Mac-Ho.pdf</w:t>
        </w:r>
      </w:hyperlink>
    </w:p>
    <w:p w:rsidR="000F2DC9" w:rsidRDefault="000F2DC9" w:rsidP="000F2DC9">
      <w:pPr>
        <w:pStyle w:val="a0"/>
        <w:rPr>
          <w:kern w:val="0"/>
          <w:szCs w:val="24"/>
        </w:rPr>
      </w:pPr>
      <w:r>
        <w:rPr>
          <w:kern w:val="0"/>
          <w:szCs w:val="24"/>
        </w:rPr>
        <w:t>Keywords: Adsorption, Aqueous-Solution, Beads, Chitosan, Chitosan, PVA, Citation, Citation Error, Comment on, Copper(II), Equilibrium, Kinetics, MAR, Pseudo-First-Order, Pseudo-Second-Order, Quotation Error, Reactive Dye, Sorption</w:t>
      </w:r>
    </w:p>
    <w:p w:rsidR="00B95188" w:rsidRPr="00A428C3" w:rsidRDefault="00B95188" w:rsidP="00B95188">
      <w:pPr>
        <w:pStyle w:val="a0"/>
      </w:pPr>
      <w:r w:rsidRPr="00A428C3">
        <w:t>? Wu, J.M., Luan, M.M.</w:t>
      </w:r>
      <w:r w:rsidR="00F81221">
        <w:t xml:space="preserve"> and </w:t>
      </w:r>
      <w:r w:rsidRPr="00A428C3">
        <w:t xml:space="preserve">Zhao, J.Y. (2006), Trypsin immobilization by direct adsorption on metal ion chelated macroporous chitosan-silica gel beads. </w:t>
      </w:r>
      <w:r w:rsidRPr="00A428C3">
        <w:rPr>
          <w:i/>
          <w:iCs/>
        </w:rPr>
        <w:t>International Journal of Biological Macromolecules</w:t>
      </w:r>
      <w:r w:rsidRPr="00A428C3">
        <w:t xml:space="preserve">, </w:t>
      </w:r>
      <w:r w:rsidRPr="00A428C3">
        <w:rPr>
          <w:b/>
        </w:rPr>
        <w:t>39</w:t>
      </w:r>
      <w:r w:rsidRPr="00A428C3">
        <w:t xml:space="preserve"> (4-5), 185-191.</w:t>
      </w:r>
    </w:p>
    <w:p w:rsidR="00B95188" w:rsidRPr="00A428C3" w:rsidRDefault="00B95188" w:rsidP="00B95188">
      <w:pPr>
        <w:pStyle w:val="a0"/>
      </w:pPr>
      <w:r w:rsidRPr="00A428C3">
        <w:t xml:space="preserve">Full Text: </w:t>
      </w:r>
      <w:hyperlink r:id="rId1657" w:history="1">
        <w:r w:rsidRPr="00A428C3">
          <w:rPr>
            <w:rStyle w:val="a5"/>
          </w:rPr>
          <w:t>2006\Int J Bio Mac39, 185.pdf</w:t>
        </w:r>
      </w:hyperlink>
    </w:p>
    <w:p w:rsidR="00B95188" w:rsidRPr="00A428C3" w:rsidRDefault="00B95188" w:rsidP="00B95188">
      <w:pPr>
        <w:pStyle w:val="a0"/>
      </w:pPr>
      <w:r w:rsidRPr="00A428C3">
        <w:t>Abstract: Silica gel bead coated with macroporous chitosan layer (CTS-SiO</w:t>
      </w:r>
      <w:r w:rsidRPr="00A428C3">
        <w:rPr>
          <w:vertAlign w:val="subscript"/>
        </w:rPr>
        <w:t>2</w:t>
      </w:r>
      <w:r w:rsidRPr="00A428C3">
        <w:t>) was prepared,</w:t>
      </w:r>
      <w:r w:rsidR="00F81221">
        <w:t xml:space="preserve"> and </w:t>
      </w:r>
      <w:r w:rsidRPr="00A428C3">
        <w:t>the metal immobilized affinity chromatographic (IMAC) adsorbents could be obtained by chelating Cu</w:t>
      </w:r>
      <w:r w:rsidRPr="00A428C3">
        <w:rPr>
          <w:vertAlign w:val="superscript"/>
        </w:rPr>
        <w:t>2+</w:t>
      </w:r>
      <w:r w:rsidRPr="00A428C3">
        <w:t>, Zn</w:t>
      </w:r>
      <w:r w:rsidRPr="00A428C3">
        <w:rPr>
          <w:vertAlign w:val="superscript"/>
        </w:rPr>
        <w:t>2+</w:t>
      </w:r>
      <w:r w:rsidRPr="00A428C3">
        <w:t>, Ni</w:t>
      </w:r>
      <w:r w:rsidRPr="00A428C3">
        <w:rPr>
          <w:vertAlign w:val="superscript"/>
        </w:rPr>
        <w:t>2+</w:t>
      </w:r>
      <w:r w:rsidRPr="00A428C3">
        <w:t xml:space="preserve"> ions respectively on CTS-SiO</w:t>
      </w:r>
      <w:r w:rsidRPr="00A428C3">
        <w:rPr>
          <w:vertAlign w:val="subscript"/>
        </w:rPr>
        <w:t>2</w:t>
      </w:r>
      <w:r>
        <w:t>,</w:t>
      </w:r>
      <w:r w:rsidR="00F81221">
        <w:t xml:space="preserve"> and </w:t>
      </w:r>
      <w:r w:rsidRPr="00A428C3">
        <w:t>trypsin could be adsorbed on the IMAC adsorbent through metal-protein interaction forces. Batch adsorption experiments show that adsorption capacity for trypsin on these IMAC adsorbent variated with change of pH. The maximal adsorption reached when the solution was in near neutral pH in all three IMAC adsorbents. Adsorption isothermal curve indicated that maximal adsorption capacity could be found in the Cu</w:t>
      </w:r>
      <w:r w:rsidRPr="00A428C3">
        <w:rPr>
          <w:vertAlign w:val="superscript"/>
        </w:rPr>
        <w:t>2+</w:t>
      </w:r>
      <w:r w:rsidRPr="00A428C3">
        <w:t>-CTS-SiO</w:t>
      </w:r>
      <w:r w:rsidRPr="00A428C3">
        <w:rPr>
          <w:vertAlign w:val="subscript"/>
        </w:rPr>
        <w:t>2</w:t>
      </w:r>
      <w:r w:rsidRPr="00A428C3">
        <w:t xml:space="preserve"> with the value of 4980</w:t>
      </w:r>
      <w:r w:rsidRPr="00A428C3">
        <w:rPr>
          <w:rFonts w:eastAsia="ArialUnicodeMS"/>
        </w:rPr>
        <w:t>±1</w:t>
      </w:r>
      <w:r w:rsidRPr="00A428C3">
        <w:t>25 IU per gram of the adsorbent, while the maximal adsorption capacity for trypsin on Zn</w:t>
      </w:r>
      <w:r w:rsidRPr="00A428C3">
        <w:rPr>
          <w:vertAlign w:val="superscript"/>
        </w:rPr>
        <w:t>2+</w:t>
      </w:r>
      <w:r w:rsidR="00F81221">
        <w:t xml:space="preserve"> and </w:t>
      </w:r>
      <w:r w:rsidRPr="00A428C3">
        <w:t>Ni</w:t>
      </w:r>
      <w:r w:rsidRPr="00A428C3">
        <w:rPr>
          <w:vertAlign w:val="superscript"/>
        </w:rPr>
        <w:t>2+</w:t>
      </w:r>
      <w:r w:rsidRPr="00A428C3">
        <w:t xml:space="preserve"> loaded adsorbent was 3762</w:t>
      </w:r>
      <w:r w:rsidRPr="00A428C3">
        <w:rPr>
          <w:rFonts w:eastAsia="ArialUnicodeMS"/>
        </w:rPr>
        <w:t>±</w:t>
      </w:r>
      <w:r w:rsidRPr="00A428C3">
        <w:t>68 IU.g</w:t>
      </w:r>
      <w:r w:rsidRPr="00A428C3">
        <w:rPr>
          <w:vertAlign w:val="superscript"/>
        </w:rPr>
        <w:t>-1</w:t>
      </w:r>
      <w:r w:rsidR="00F81221">
        <w:t xml:space="preserve"> and </w:t>
      </w:r>
      <w:r w:rsidRPr="00A428C3">
        <w:t>2636</w:t>
      </w:r>
      <w:r w:rsidRPr="00A428C3">
        <w:rPr>
          <w:rFonts w:eastAsia="ArialUnicodeMS"/>
        </w:rPr>
        <w:t>±</w:t>
      </w:r>
      <w:r w:rsidRPr="00A428C3">
        <w:t>53 IU. g-1 respectively. Trypsin immobilized on the IMAC beads could not be desorbed by water, buffer</w:t>
      </w:r>
      <w:r w:rsidR="00F81221">
        <w:t xml:space="preserve"> and </w:t>
      </w:r>
      <w:r w:rsidRPr="00A428C3">
        <w:t>salt solution if the pH was kept in the range of 5~10,</w:t>
      </w:r>
      <w:r w:rsidR="00F81221">
        <w:t xml:space="preserve"> and </w:t>
      </w:r>
      <w:r w:rsidRPr="00A428C3">
        <w:t>could be easily desorbed from the IMAC beads by acidic solution</w:t>
      </w:r>
      <w:r w:rsidR="00F81221">
        <w:t xml:space="preserve"> and </w:t>
      </w:r>
      <w:r w:rsidRPr="00A428C3">
        <w:t>metal chelating species such as EDTA</w:t>
      </w:r>
      <w:r w:rsidR="00F81221">
        <w:t xml:space="preserve"> and </w:t>
      </w:r>
      <w:r w:rsidRPr="00A428C3">
        <w:t>imidazole. The effect of chelated metal ions species on CTS-SiO</w:t>
      </w:r>
      <w:r w:rsidRPr="00A428C3">
        <w:rPr>
          <w:vertAlign w:val="subscript"/>
        </w:rPr>
        <w:t>2</w:t>
      </w:r>
      <w:r w:rsidRPr="00A428C3">
        <w:t xml:space="preserve"> beads on the activity</w:t>
      </w:r>
      <w:r w:rsidR="00F81221">
        <w:t xml:space="preserve"> and </w:t>
      </w:r>
      <w:r w:rsidRPr="00A428C3">
        <w:t>stability of immobilized trypsin was also evaluated</w:t>
      </w:r>
      <w:r w:rsidR="00F81221">
        <w:t xml:space="preserve"> and </w:t>
      </w:r>
      <w:r w:rsidRPr="00A428C3">
        <w:t xml:space="preserve">discussed. Trypsin adsorbed on Zn-IMAC beads retained highest amount of activity, about 78% of total activity could be retained. Although the Cu-IMAC showed highest affinity for trypsin, only 25.4% of the calculated activity was found on the beads, while the activity recovery </w:t>
      </w:r>
      <w:r w:rsidRPr="00A428C3">
        <w:lastRenderedPageBreak/>
        <w:t xml:space="preserve">found on Ni-IMAC beads was about 37.1%. A remarkable difference on stability of trypsin immobilized on three kinds of metal ion chelated beads during storage period was also found. Activity of trypsin on Cu-IMAC decreased to 24% of its initial activity after one-week storage at </w:t>
      </w:r>
      <w:smartTag w:uri="urn:schemas-microsoft-com:office:smarttags" w:element="chmetcnv">
        <w:smartTagPr>
          <w:attr w:name="TCSC" w:val="0"/>
          <w:attr w:name="NumberType" w:val="1"/>
          <w:attr w:name="Negative" w:val="False"/>
          <w:attr w:name="HasSpace" w:val="False"/>
          <w:attr w:name="SourceValue" w:val="4"/>
          <w:attr w:name="UnitName" w:val="C"/>
        </w:smartTagPr>
        <w:r w:rsidRPr="00A428C3">
          <w:t>4</w:t>
        </w:r>
        <w:r w:rsidRPr="00A428C3">
          <w:sym w:font="Symbol" w:char="F0B0"/>
        </w:r>
      </w:smartTag>
      <w:r w:rsidRPr="00A428C3">
        <w:t>C, while about 80% activity was retained on both Ni-IMAC</w:t>
      </w:r>
      <w:r w:rsidR="00F81221">
        <w:t xml:space="preserve"> and </w:t>
      </w:r>
      <w:r w:rsidRPr="00A428C3">
        <w:t>Zn-IMAC beads. Trypsin immobilized on Zn-CTS-SiO</w:t>
      </w:r>
      <w:r w:rsidRPr="00A428C3">
        <w:rPr>
          <w:vertAlign w:val="subscript"/>
        </w:rPr>
        <w:t>2</w:t>
      </w:r>
      <w:r w:rsidRPr="00A428C3">
        <w:t xml:space="preserve"> could effectively digest BSA revealed by HPLC peptide mapping.</w:t>
      </w:r>
    </w:p>
    <w:p w:rsidR="00B95188" w:rsidRPr="00A428C3" w:rsidRDefault="00B95188" w:rsidP="00B95188">
      <w:pPr>
        <w:pStyle w:val="a0"/>
      </w:pPr>
      <w:r w:rsidRPr="00A428C3">
        <w:t>Keywords: IMAC Adsorbent, Chitosan, Trypsin, Immobilization, Activity</w:t>
      </w:r>
    </w:p>
    <w:p w:rsidR="00B95188" w:rsidRPr="00A428C3" w:rsidRDefault="00B95188" w:rsidP="00B95188">
      <w:pPr>
        <w:pStyle w:val="a0"/>
      </w:pPr>
      <w:r w:rsidRPr="00A428C3">
        <w:t>? Ding, P., Huang, K.L., Li, G.Y., Liu, Y.F.</w:t>
      </w:r>
      <w:r w:rsidR="00F81221">
        <w:t xml:space="preserve"> and </w:t>
      </w:r>
      <w:r w:rsidRPr="00A428C3">
        <w:t xml:space="preserve">Zeng, W.W. (2006), Kinetics of adsorption of Zn(II) ion on chitosan derivatives. </w:t>
      </w:r>
      <w:r w:rsidRPr="00A428C3">
        <w:rPr>
          <w:i/>
          <w:iCs/>
        </w:rPr>
        <w:t>International Journal of Biological Macromolecules</w:t>
      </w:r>
      <w:r w:rsidRPr="00A428C3">
        <w:t xml:space="preserve">, </w:t>
      </w:r>
      <w:r w:rsidRPr="00A428C3">
        <w:rPr>
          <w:b/>
        </w:rPr>
        <w:t>39</w:t>
      </w:r>
      <w:r w:rsidRPr="00A428C3">
        <w:t xml:space="preserve"> (4-5), 222-227.</w:t>
      </w:r>
    </w:p>
    <w:p w:rsidR="00B95188" w:rsidRPr="00A428C3" w:rsidRDefault="00B95188" w:rsidP="00B95188">
      <w:pPr>
        <w:pStyle w:val="a0"/>
      </w:pPr>
      <w:r w:rsidRPr="00A428C3">
        <w:t xml:space="preserve">Full Text: </w:t>
      </w:r>
      <w:hyperlink r:id="rId1658" w:history="1">
        <w:r w:rsidRPr="00A428C3">
          <w:rPr>
            <w:rStyle w:val="a5"/>
          </w:rPr>
          <w:t>2006\Int J Bio Mac39, 222.pdf</w:t>
        </w:r>
      </w:hyperlink>
    </w:p>
    <w:p w:rsidR="00B95188" w:rsidRPr="00A428C3" w:rsidRDefault="00B95188" w:rsidP="00B95188">
      <w:pPr>
        <w:pStyle w:val="a0"/>
      </w:pPr>
      <w:r w:rsidRPr="00A428C3">
        <w:t>Abstrct: The adsorption of Zn(II) ions from aqueous solution by chitosan derivatives (KCTS</w:t>
      </w:r>
      <w:r w:rsidR="00F81221">
        <w:t xml:space="preserve"> and </w:t>
      </w:r>
      <w:r w:rsidRPr="00A428C3">
        <w:t>HKCTS) was studied in a batch adsorption system. The adsorption capacities</w:t>
      </w:r>
      <w:r w:rsidR="00F81221">
        <w:t xml:space="preserve"> and </w:t>
      </w:r>
      <w:r w:rsidRPr="00A428C3">
        <w:t>rates of Zn(II) ions onto chitosan derivatives were evaluated. The adsorption isothermal data could be well interpreted by the Langmuir</w:t>
      </w:r>
      <w:r w:rsidR="00F81221">
        <w:t xml:space="preserve"> and </w:t>
      </w:r>
      <w:r w:rsidRPr="00A428C3">
        <w:t>Freundlich models. The kinetic experimental data properly correlated with the second-order kinetic model, which indicates that the chemical adsorption is the rate-limiting step. The apparent adsorption activation energy were 25.47 kJ/mol</w:t>
      </w:r>
      <w:r w:rsidR="00F81221">
        <w:t xml:space="preserve"> and </w:t>
      </w:r>
      <w:r w:rsidRPr="00A428C3">
        <w:t>5.473 kJ/mol, respectively,</w:t>
      </w:r>
      <w:r w:rsidR="00F81221">
        <w:t xml:space="preserve"> and </w:t>
      </w:r>
      <w:r w:rsidRPr="00A428C3">
        <w:t>the second-order adsorption constant for KCTS</w:t>
      </w:r>
      <w:r w:rsidR="00F81221">
        <w:t xml:space="preserve"> and </w:t>
      </w:r>
      <w:r w:rsidRPr="00A428C3">
        <w:t xml:space="preserve">HKCTS were </w:t>
      </w:r>
      <w:smartTag w:uri="urn:schemas-microsoft-com:office:smarttags" w:element="chmetcnv">
        <w:smartTagPr>
          <w:attr w:name="TCSC" w:val="0"/>
          <w:attr w:name="NumberType" w:val="1"/>
          <w:attr w:name="Negative" w:val="False"/>
          <w:attr w:name="HasSpace" w:val="False"/>
          <w:attr w:name="SourceValue" w:val="0.00311"/>
          <w:attr w:name="UnitName" w:val="g"/>
        </w:smartTagPr>
        <w:r w:rsidRPr="00A428C3">
          <w:t>0.00311g</w:t>
        </w:r>
      </w:smartTag>
      <w:r w:rsidRPr="00A428C3">
        <w:t>.mg</w:t>
      </w:r>
      <w:r w:rsidRPr="00A428C3">
        <w:rPr>
          <w:szCs w:val="14"/>
          <w:vertAlign w:val="superscript"/>
        </w:rPr>
        <w:t>-1</w:t>
      </w:r>
      <w:r w:rsidRPr="00A428C3">
        <w:t>.min</w:t>
      </w:r>
      <w:r w:rsidRPr="00A428C3">
        <w:rPr>
          <w:szCs w:val="14"/>
          <w:vertAlign w:val="superscript"/>
        </w:rPr>
        <w:t>-1</w:t>
      </w:r>
      <w:r w:rsidR="00F81221">
        <w:rPr>
          <w:szCs w:val="14"/>
        </w:rPr>
        <w:t xml:space="preserve"> and </w:t>
      </w:r>
      <w:smartTag w:uri="urn:schemas-microsoft-com:office:smarttags" w:element="chmetcnv">
        <w:smartTagPr>
          <w:attr w:name="TCSC" w:val="0"/>
          <w:attr w:name="NumberType" w:val="1"/>
          <w:attr w:name="Negative" w:val="False"/>
          <w:attr w:name="HasSpace" w:val="True"/>
          <w:attr w:name="SourceValue" w:val="0.005"/>
          <w:attr w:name="UnitName" w:val="g"/>
        </w:smartTagPr>
        <w:r w:rsidRPr="00A428C3">
          <w:t>0.005 g</w:t>
        </w:r>
      </w:smartTag>
      <w:r w:rsidRPr="00A428C3">
        <w:t>.mg</w:t>
      </w:r>
      <w:r w:rsidRPr="00A428C3">
        <w:rPr>
          <w:szCs w:val="14"/>
          <w:vertAlign w:val="superscript"/>
        </w:rPr>
        <w:t>-1</w:t>
      </w:r>
      <w:r w:rsidRPr="00A428C3">
        <w:t>.min</w:t>
      </w:r>
      <w:r w:rsidRPr="00A428C3">
        <w:rPr>
          <w:szCs w:val="14"/>
          <w:vertAlign w:val="superscript"/>
        </w:rPr>
        <w:t>-1</w:t>
      </w:r>
      <w:r w:rsidRPr="00A428C3">
        <w:t>, respectively.</w:t>
      </w:r>
    </w:p>
    <w:p w:rsidR="00B95188" w:rsidRPr="00A428C3" w:rsidRDefault="00B95188" w:rsidP="00B95188">
      <w:pPr>
        <w:pStyle w:val="a0"/>
      </w:pPr>
      <w:r w:rsidRPr="00A428C3">
        <w:rPr>
          <w:szCs w:val="21"/>
        </w:rPr>
        <w:t xml:space="preserve">Keywords: Chitosan </w:t>
      </w:r>
      <w:r w:rsidRPr="00A428C3">
        <w:t>Derivatives</w:t>
      </w:r>
      <w:r w:rsidRPr="00A428C3">
        <w:rPr>
          <w:szCs w:val="21"/>
        </w:rPr>
        <w:t>, Zn(</w:t>
      </w:r>
      <w:r w:rsidRPr="00A428C3">
        <w:t>II</w:t>
      </w:r>
      <w:r w:rsidRPr="00A428C3">
        <w:rPr>
          <w:szCs w:val="21"/>
        </w:rPr>
        <w:t xml:space="preserve">) </w:t>
      </w:r>
      <w:r w:rsidRPr="00A428C3">
        <w:t>Ion, Adsorption Kinetics</w:t>
      </w:r>
    </w:p>
    <w:p w:rsidR="00B95188" w:rsidRPr="00586CD8" w:rsidRDefault="00B95188" w:rsidP="00B95188">
      <w:pPr>
        <w:pStyle w:val="a0"/>
        <w:rPr>
          <w:kern w:val="2"/>
        </w:rPr>
      </w:pPr>
      <w:r w:rsidRPr="00586CD8">
        <w:rPr>
          <w:rFonts w:hint="eastAsia"/>
          <w:kern w:val="2"/>
        </w:rPr>
        <w:t xml:space="preserve">? </w:t>
      </w:r>
      <w:r w:rsidRPr="00586CD8">
        <w:rPr>
          <w:kern w:val="2"/>
        </w:rPr>
        <w:t xml:space="preserve">Vitalia, L., Laranjeira, M.C.M., </w:t>
      </w:r>
      <w:r w:rsidRPr="007501D5">
        <w:rPr>
          <w:bCs/>
        </w:rPr>
        <w:t>Gonçalves</w:t>
      </w:r>
      <w:r w:rsidRPr="00586CD8">
        <w:rPr>
          <w:kern w:val="2"/>
        </w:rPr>
        <w:t>, N.S.</w:t>
      </w:r>
      <w:r w:rsidR="00F81221">
        <w:rPr>
          <w:kern w:val="2"/>
        </w:rPr>
        <w:t xml:space="preserve"> and </w:t>
      </w:r>
      <w:r w:rsidRPr="007501D5">
        <w:rPr>
          <w:bCs/>
        </w:rPr>
        <w:t>Fávere</w:t>
      </w:r>
      <w:r w:rsidRPr="00586CD8">
        <w:rPr>
          <w:kern w:val="2"/>
        </w:rPr>
        <w:t>, V.T. (2008), Spray-dried chitosan microspheres containing 8-hydroxyquinoline-5 sulphonic acid as a new adsorbent for Cd(II)</w:t>
      </w:r>
      <w:r w:rsidR="00F81221">
        <w:rPr>
          <w:kern w:val="2"/>
        </w:rPr>
        <w:t xml:space="preserve"> and </w:t>
      </w:r>
      <w:r w:rsidRPr="00586CD8">
        <w:rPr>
          <w:kern w:val="2"/>
        </w:rPr>
        <w:t xml:space="preserve">Zn(II) ions. </w:t>
      </w:r>
      <w:r>
        <w:rPr>
          <w:i/>
          <w:iCs/>
          <w:kern w:val="0"/>
        </w:rPr>
        <w:t>International Journal of Biological Macromolecules</w:t>
      </w:r>
      <w:r w:rsidRPr="00586CD8">
        <w:rPr>
          <w:kern w:val="2"/>
        </w:rPr>
        <w:t xml:space="preserve">, </w:t>
      </w:r>
      <w:r>
        <w:rPr>
          <w:b/>
          <w:bCs/>
          <w:kern w:val="0"/>
        </w:rPr>
        <w:t>42</w:t>
      </w:r>
      <w:r w:rsidRPr="00586CD8">
        <w:rPr>
          <w:kern w:val="2"/>
        </w:rPr>
        <w:t xml:space="preserve"> (2), 152-157.</w:t>
      </w:r>
    </w:p>
    <w:p w:rsidR="00B95188" w:rsidRPr="00A428C3" w:rsidRDefault="00B95188" w:rsidP="00B95188">
      <w:pPr>
        <w:pStyle w:val="a0"/>
      </w:pPr>
      <w:r w:rsidRPr="00A428C3">
        <w:t xml:space="preserve">Full Text: </w:t>
      </w:r>
      <w:hyperlink r:id="rId1659" w:history="1">
        <w:r w:rsidRPr="00ED63AA">
          <w:rPr>
            <w:rStyle w:val="a5"/>
          </w:rPr>
          <w:t>2008\Int J Bio Mac42, 152.pdf</w:t>
        </w:r>
      </w:hyperlink>
    </w:p>
    <w:p w:rsidR="00B95188" w:rsidRPr="00586CD8" w:rsidRDefault="00B95188" w:rsidP="00B95188">
      <w:pPr>
        <w:pStyle w:val="a0"/>
        <w:rPr>
          <w:kern w:val="2"/>
        </w:rPr>
      </w:pPr>
      <w:r w:rsidRPr="00586CD8">
        <w:rPr>
          <w:kern w:val="2"/>
        </w:rPr>
        <w:t>Abstract: In the present study, a new chelating adsorbent was prepared from chitosan microspheres cross-linked with glutaraldehyde by spray drying using 8-hydroxyquinoline-5 sulphonic acid as chelant agent (CTS-SX-CL). Microspheres of the new adsorbent were characterized by Raman spectroscopy, scanning electron microscopy (SEM)</w:t>
      </w:r>
      <w:r w:rsidR="00F81221">
        <w:rPr>
          <w:kern w:val="2"/>
        </w:rPr>
        <w:t xml:space="preserve"> and </w:t>
      </w:r>
      <w:r w:rsidRPr="00586CD8">
        <w:rPr>
          <w:kern w:val="2"/>
        </w:rPr>
        <w:t>energy-dispersive X-ray microanalysis (EDX). The effect of pH, contact time</w:t>
      </w:r>
      <w:r w:rsidR="00F81221">
        <w:rPr>
          <w:kern w:val="2"/>
        </w:rPr>
        <w:t xml:space="preserve"> and </w:t>
      </w:r>
      <w:r w:rsidRPr="00586CD8">
        <w:rPr>
          <w:kern w:val="2"/>
        </w:rPr>
        <w:t>concentration of metallic ions in solution were evaluated on the adsorption behavior of Cd(II)</w:t>
      </w:r>
      <w:r w:rsidR="00F81221">
        <w:rPr>
          <w:kern w:val="2"/>
        </w:rPr>
        <w:t xml:space="preserve"> and </w:t>
      </w:r>
      <w:r w:rsidRPr="00586CD8">
        <w:rPr>
          <w:kern w:val="2"/>
        </w:rPr>
        <w:t>Zn(II) by CTS-SX-CL. Adsorption was maximum for both Cd(II)</w:t>
      </w:r>
      <w:r w:rsidR="00F81221">
        <w:rPr>
          <w:kern w:val="2"/>
        </w:rPr>
        <w:t xml:space="preserve"> and </w:t>
      </w:r>
      <w:r w:rsidRPr="00586CD8">
        <w:rPr>
          <w:kern w:val="2"/>
        </w:rPr>
        <w:t>Zn(II) at pH 8.0. Adsorption kinetic curves were obtained</w:t>
      </w:r>
      <w:r w:rsidR="00F81221">
        <w:rPr>
          <w:kern w:val="2"/>
        </w:rPr>
        <w:t xml:space="preserve"> and </w:t>
      </w:r>
      <w:r w:rsidRPr="00586CD8">
        <w:rPr>
          <w:kern w:val="2"/>
        </w:rPr>
        <w:t>could be fit by the pseudo second-order adsorption model. An analysis of equilibrium adsorption data using the Langmuir isotherm model indicated that the maximum adsorption capacity of CTS-SX-CL was higher than that of CTS-CL for both ions investigated. The adsorption capacity increased 74% for Cd(II). (C) 2007 Elsevier B.V. All rights reserved.</w:t>
      </w:r>
    </w:p>
    <w:p w:rsidR="00B95188" w:rsidRPr="00586CD8" w:rsidRDefault="00B95188" w:rsidP="00B95188">
      <w:pPr>
        <w:pStyle w:val="a0"/>
        <w:rPr>
          <w:kern w:val="2"/>
        </w:rPr>
      </w:pPr>
      <w:r w:rsidRPr="00586CD8">
        <w:rPr>
          <w:kern w:val="2"/>
        </w:rPr>
        <w:lastRenderedPageBreak/>
        <w:t xml:space="preserve">Keywords: Adsorbent, Adsorption, Adsorption Behavior, Analysis, Behavior, Capacity, Cd(II), Chitosan, Equilibrium, Glutaraldehyde, Isotherm, Kinetic, Langmuir, Langmuir Isotherm, Model, </w:t>
      </w:r>
      <w:r w:rsidRPr="00586CD8">
        <w:rPr>
          <w:rFonts w:hint="eastAsia"/>
          <w:kern w:val="2"/>
        </w:rPr>
        <w:t>p</w:t>
      </w:r>
      <w:r w:rsidRPr="00586CD8">
        <w:rPr>
          <w:kern w:val="2"/>
        </w:rPr>
        <w:t>H, Pseudo Second-Order, Rights, Scanning Electron Microscopy, SEM, Solution, Spectroscopy</w:t>
      </w:r>
    </w:p>
    <w:p w:rsidR="002A629B" w:rsidRDefault="002A629B" w:rsidP="002A629B">
      <w:pPr>
        <w:pStyle w:val="a0"/>
        <w:rPr>
          <w:kern w:val="0"/>
        </w:rPr>
      </w:pPr>
      <w:r>
        <w:rPr>
          <w:rFonts w:hint="eastAsia"/>
          <w:kern w:val="0"/>
        </w:rPr>
        <w:t xml:space="preserve">? </w:t>
      </w:r>
      <w:r>
        <w:rPr>
          <w:kern w:val="0"/>
        </w:rPr>
        <w:t>Wang, L., Xing, R.E., Liu, S., Cai, S.B., Yu, H.H., Feng, J.H., Li, R.F.</w:t>
      </w:r>
      <w:r w:rsidR="00F81221">
        <w:rPr>
          <w:kern w:val="0"/>
        </w:rPr>
        <w:t xml:space="preserve"> and </w:t>
      </w:r>
      <w:r>
        <w:rPr>
          <w:kern w:val="0"/>
        </w:rPr>
        <w:t>Li, P.C. (2010), Synthesis</w:t>
      </w:r>
      <w:r w:rsidR="00F81221">
        <w:rPr>
          <w:kern w:val="0"/>
        </w:rPr>
        <w:t xml:space="preserve"> and </w:t>
      </w:r>
      <w:r>
        <w:rPr>
          <w:kern w:val="0"/>
        </w:rPr>
        <w:t xml:space="preserve">evaluation of a thiourea-modified chitosan derivative applied for adsorption of Hg(II) from synthetic wastewater. </w:t>
      </w:r>
      <w:r>
        <w:rPr>
          <w:i/>
          <w:iCs/>
          <w:kern w:val="0"/>
        </w:rPr>
        <w:t>International Journal of Biological Macromolecules</w:t>
      </w:r>
      <w:r>
        <w:rPr>
          <w:kern w:val="0"/>
        </w:rPr>
        <w:t xml:space="preserve">, </w:t>
      </w:r>
      <w:r>
        <w:rPr>
          <w:b/>
          <w:bCs/>
          <w:kern w:val="0"/>
        </w:rPr>
        <w:t>46</w:t>
      </w:r>
      <w:r>
        <w:rPr>
          <w:kern w:val="0"/>
        </w:rPr>
        <w:t xml:space="preserve"> (5), 524-528.</w:t>
      </w:r>
    </w:p>
    <w:p w:rsidR="002A629B" w:rsidRPr="002D0E04" w:rsidRDefault="002A629B" w:rsidP="002A629B">
      <w:pPr>
        <w:pStyle w:val="a0"/>
        <w:rPr>
          <w:kern w:val="0"/>
        </w:rPr>
      </w:pPr>
      <w:r w:rsidRPr="002D0E04">
        <w:rPr>
          <w:kern w:val="0"/>
        </w:rPr>
        <w:t xml:space="preserve">Full Text: </w:t>
      </w:r>
      <w:hyperlink r:id="rId1660" w:history="1">
        <w:r w:rsidRPr="002A629B">
          <w:rPr>
            <w:rStyle w:val="a5"/>
            <w:kern w:val="0"/>
          </w:rPr>
          <w:t>2010\Int J Bio Mac46, 524.pdf</w:t>
        </w:r>
      </w:hyperlink>
    </w:p>
    <w:p w:rsidR="002A629B" w:rsidRDefault="002A629B" w:rsidP="002A629B">
      <w:pPr>
        <w:pStyle w:val="a0"/>
        <w:rPr>
          <w:kern w:val="0"/>
        </w:rPr>
      </w:pPr>
      <w:r>
        <w:rPr>
          <w:kern w:val="0"/>
        </w:rPr>
        <w:t>Abstract: In this work, a thiourea-modified chitosan derivative (TMCD) was synthesized through two steps, O-carboxymethylated first</w:t>
      </w:r>
      <w:r w:rsidR="00F81221">
        <w:rPr>
          <w:kern w:val="0"/>
        </w:rPr>
        <w:t xml:space="preserve"> and </w:t>
      </w:r>
      <w:r>
        <w:rPr>
          <w:kern w:val="0"/>
        </w:rPr>
        <w:t>then modified by a polymeric Schiff</w:t>
      </w:r>
      <w:r w:rsidR="000352E7">
        <w:rPr>
          <w:kern w:val="0"/>
        </w:rPr>
        <w:t>’</w:t>
      </w:r>
      <w:r>
        <w:rPr>
          <w:kern w:val="0"/>
        </w:rPr>
        <w:t>s base of thiourea/glutaraldehyde. The adsorption behavior of mercury (II) ions onto TMCD was investigated through batch method. The maximum adsorption capacity for Hg(II) was found to be 6.29 mmol/g at pH 5.0</w:t>
      </w:r>
      <w:r w:rsidR="00F81221">
        <w:rPr>
          <w:kern w:val="0"/>
        </w:rPr>
        <w:t xml:space="preserve"> and </w:t>
      </w:r>
      <w:r>
        <w:rPr>
          <w:kern w:val="0"/>
        </w:rPr>
        <w:t>both kinetic</w:t>
      </w:r>
      <w:r w:rsidR="00F81221">
        <w:rPr>
          <w:kern w:val="0"/>
        </w:rPr>
        <w:t xml:space="preserve"> and </w:t>
      </w:r>
      <w:r>
        <w:rPr>
          <w:kern w:val="0"/>
        </w:rPr>
        <w:t>thermodynamic parameters of the adsorption process were obtained. The results indicated that adsorption process was spontaneous exothermic reaction</w:t>
      </w:r>
      <w:r w:rsidR="00F81221">
        <w:rPr>
          <w:kern w:val="0"/>
        </w:rPr>
        <w:t xml:space="preserve"> and </w:t>
      </w:r>
      <w:r>
        <w:rPr>
          <w:kern w:val="0"/>
        </w:rPr>
        <w:t>kinetically followed pseudo-second-order model. The adsorption experiments also demonstrated TMCD had high adsorption selectivity towards Hg(II) ions when coexisted with Cu(II), Zn(II), Cd(II)</w:t>
      </w:r>
      <w:r w:rsidR="00F81221">
        <w:rPr>
          <w:kern w:val="0"/>
        </w:rPr>
        <w:t xml:space="preserve"> and </w:t>
      </w:r>
      <w:r>
        <w:rPr>
          <w:kern w:val="0"/>
        </w:rPr>
        <w:t>Ca(II) in solution</w:t>
      </w:r>
      <w:r w:rsidR="00F81221">
        <w:rPr>
          <w:kern w:val="0"/>
        </w:rPr>
        <w:t xml:space="preserve"> and </w:t>
      </w:r>
      <w:r>
        <w:rPr>
          <w:kern w:val="0"/>
        </w:rPr>
        <w:t>it could be easily regenerated</w:t>
      </w:r>
      <w:r w:rsidR="00F81221">
        <w:rPr>
          <w:kern w:val="0"/>
        </w:rPr>
        <w:t xml:space="preserve"> and </w:t>
      </w:r>
      <w:r>
        <w:rPr>
          <w:kern w:val="0"/>
        </w:rPr>
        <w:t>efficiently reused. (C) 2010 Elsevier B.V. All rights reserved.</w:t>
      </w:r>
    </w:p>
    <w:p w:rsidR="002A629B" w:rsidRDefault="002A629B" w:rsidP="002A629B">
      <w:pPr>
        <w:pStyle w:val="a0"/>
        <w:rPr>
          <w:kern w:val="0"/>
        </w:rPr>
      </w:pPr>
      <w:r>
        <w:rPr>
          <w:kern w:val="0"/>
        </w:rPr>
        <w:t>Keywords: Adsorption, Aqueous-Solutions, Chelating Resin, Chitosan, Desorption, Equilibrium, Extraction, Glutaraldehyde, Hg(II), Hg(II) Ions, Kinetic, Maximum Adsorption Capacity, Mercury, Mercury(II), Palladium(II), Removal, Sorption, Synthesis, Thiourea</w:t>
      </w:r>
    </w:p>
    <w:p w:rsidR="004956F7" w:rsidRDefault="004956F7" w:rsidP="004956F7">
      <w:pPr>
        <w:pStyle w:val="a0"/>
        <w:rPr>
          <w:kern w:val="0"/>
        </w:rPr>
      </w:pPr>
      <w:r>
        <w:rPr>
          <w:rFonts w:hint="eastAsia"/>
          <w:kern w:val="0"/>
        </w:rPr>
        <w:t xml:space="preserve">? </w:t>
      </w:r>
      <w:r>
        <w:rPr>
          <w:kern w:val="0"/>
        </w:rPr>
        <w:t>Gandhi, M.R., Viswanathan, N.</w:t>
      </w:r>
      <w:r w:rsidR="00F81221">
        <w:rPr>
          <w:kern w:val="0"/>
        </w:rPr>
        <w:t xml:space="preserve"> and </w:t>
      </w:r>
      <w:r>
        <w:rPr>
          <w:kern w:val="0"/>
        </w:rPr>
        <w:t>Meenakshi, S. (2010), Preparation</w:t>
      </w:r>
      <w:r w:rsidR="00F81221">
        <w:rPr>
          <w:kern w:val="0"/>
        </w:rPr>
        <w:t xml:space="preserve"> and </w:t>
      </w:r>
      <w:r>
        <w:rPr>
          <w:kern w:val="0"/>
        </w:rPr>
        <w:t xml:space="preserve">application of alumina/chitosan biocomposite. </w:t>
      </w:r>
      <w:r>
        <w:rPr>
          <w:i/>
          <w:iCs/>
          <w:kern w:val="0"/>
        </w:rPr>
        <w:t>International Journal of Biological Macromolecules</w:t>
      </w:r>
      <w:r>
        <w:rPr>
          <w:kern w:val="0"/>
        </w:rPr>
        <w:t xml:space="preserve">, </w:t>
      </w:r>
      <w:r>
        <w:rPr>
          <w:b/>
          <w:bCs/>
          <w:kern w:val="0"/>
        </w:rPr>
        <w:t>47</w:t>
      </w:r>
      <w:r>
        <w:rPr>
          <w:kern w:val="0"/>
        </w:rPr>
        <w:t xml:space="preserve"> (2), 146-154.</w:t>
      </w:r>
    </w:p>
    <w:p w:rsidR="004956F7" w:rsidRPr="00DE2F11" w:rsidRDefault="004956F7" w:rsidP="004956F7">
      <w:pPr>
        <w:pStyle w:val="a0"/>
        <w:rPr>
          <w:kern w:val="0"/>
        </w:rPr>
      </w:pPr>
      <w:r w:rsidRPr="00DE2F11">
        <w:rPr>
          <w:kern w:val="0"/>
        </w:rPr>
        <w:t>Full Text:</w:t>
      </w:r>
      <w:r w:rsidRPr="00DE2F11">
        <w:t xml:space="preserve"> </w:t>
      </w:r>
      <w:hyperlink r:id="rId1661" w:history="1">
        <w:r w:rsidRPr="002F28CD">
          <w:rPr>
            <w:rStyle w:val="a5"/>
          </w:rPr>
          <w:t>2010\Int J Bio Mac47, 146.pdf</w:t>
        </w:r>
      </w:hyperlink>
    </w:p>
    <w:p w:rsidR="004956F7" w:rsidRDefault="004956F7" w:rsidP="004956F7">
      <w:pPr>
        <w:pStyle w:val="a0"/>
        <w:rPr>
          <w:kern w:val="0"/>
        </w:rPr>
      </w:pPr>
      <w:r>
        <w:rPr>
          <w:kern w:val="0"/>
        </w:rPr>
        <w:t>Abstract: A new chitosan based biocomposite was prepared using alumina</w:t>
      </w:r>
      <w:r w:rsidR="00F81221">
        <w:rPr>
          <w:kern w:val="0"/>
        </w:rPr>
        <w:t xml:space="preserve"> and </w:t>
      </w:r>
      <w:r>
        <w:rPr>
          <w:kern w:val="0"/>
        </w:rPr>
        <w:t>used for the removal of chromium from the aqueous solution. The synthesized alumina/chitosan (AlCs) composite possesses an enhanced chromium sorption capacity (SC) of 8.62 mg/g than the original alumina</w:t>
      </w:r>
      <w:r w:rsidR="00F81221">
        <w:rPr>
          <w:kern w:val="0"/>
        </w:rPr>
        <w:t xml:space="preserve"> and </w:t>
      </w:r>
      <w:r>
        <w:rPr>
          <w:kern w:val="0"/>
        </w:rPr>
        <w:t>chitosan flakes that possess the SCs of 3.7</w:t>
      </w:r>
      <w:r w:rsidR="00F81221">
        <w:rPr>
          <w:kern w:val="0"/>
        </w:rPr>
        <w:t xml:space="preserve"> and </w:t>
      </w:r>
      <w:r>
        <w:rPr>
          <w:kern w:val="0"/>
        </w:rPr>
        <w:t>0.67 mg/g respectively, with a minimum contact period of 30 min. The sorption experiments were carried out in batch mode to optimize various parameters viz., contact time, initial chromium concentration, pH, co-ions</w:t>
      </w:r>
      <w:r w:rsidR="00F81221">
        <w:rPr>
          <w:kern w:val="0"/>
        </w:rPr>
        <w:t xml:space="preserve"> and </w:t>
      </w:r>
      <w:r>
        <w:rPr>
          <w:kern w:val="0"/>
        </w:rPr>
        <w:t>temperature that influence the sorption. The sorbents were characterized by FTIR, AFM, BET</w:t>
      </w:r>
      <w:r w:rsidR="00F81221">
        <w:rPr>
          <w:kern w:val="0"/>
        </w:rPr>
        <w:t xml:space="preserve"> and </w:t>
      </w:r>
      <w:r>
        <w:rPr>
          <w:kern w:val="0"/>
        </w:rPr>
        <w:t>SEM with EDAX analysis. The composite removes chromium by means of electrostatic adsorption coupled reduction</w:t>
      </w:r>
      <w:r w:rsidR="00F81221">
        <w:rPr>
          <w:kern w:val="0"/>
        </w:rPr>
        <w:t xml:space="preserve"> and </w:t>
      </w:r>
      <w:r>
        <w:rPr>
          <w:kern w:val="0"/>
        </w:rPr>
        <w:t>complexation. The adsorption data were fitted with Freundlich, Langmuir</w:t>
      </w:r>
      <w:r w:rsidR="00F81221">
        <w:rPr>
          <w:kern w:val="0"/>
        </w:rPr>
        <w:t xml:space="preserve"> and </w:t>
      </w:r>
      <w:r>
        <w:rPr>
          <w:kern w:val="0"/>
        </w:rPr>
        <w:t xml:space="preserve">Dubinin-Radushkevich </w:t>
      </w:r>
      <w:r>
        <w:rPr>
          <w:kern w:val="0"/>
        </w:rPr>
        <w:lastRenderedPageBreak/>
        <w:t>(D-R) isotherms. The calculated values of thermodynamic parameters indicate the nature of chromium sorption. The dynamic studies demonstrate that the sorption process follows pseudo-second-order</w:t>
      </w:r>
      <w:r w:rsidR="00F81221">
        <w:rPr>
          <w:kern w:val="0"/>
        </w:rPr>
        <w:t xml:space="preserve"> and </w:t>
      </w:r>
      <w:r>
        <w:rPr>
          <w:kern w:val="0"/>
        </w:rPr>
        <w:t>intraparticle diffusion models. (C) 2010 Elsevier B.V. All rights reserved.</w:t>
      </w:r>
    </w:p>
    <w:p w:rsidR="004956F7" w:rsidRDefault="004956F7" w:rsidP="004956F7">
      <w:pPr>
        <w:pStyle w:val="a0"/>
        <w:rPr>
          <w:kern w:val="0"/>
        </w:rPr>
      </w:pPr>
      <w:r>
        <w:rPr>
          <w:kern w:val="0"/>
        </w:rPr>
        <w:t xml:space="preserve">Keywords: Adsorption, AFM, Alumina, Analysis, Application, Aqueous Solution, Aqueous-Solution, Batch, Batch Mode, BET, Capacity, Chitosan, Chitosan, Chromium, Complexation, Composite, Composite, Concentration, Data, Diffusion, Dynamic, Dynamic Studies, Edax, Equilibrium, Experiments, Fluoride, Freundlich, FTIR, Heavy-Metal Ions, Hexavalent Chromium, Intraparticle Diffusion, Isotherms, Langmuir, Minimum, Mode, Models, </w:t>
      </w:r>
      <w:r>
        <w:rPr>
          <w:rFonts w:hint="eastAsia"/>
          <w:kern w:val="0"/>
        </w:rPr>
        <w:t>p</w:t>
      </w:r>
      <w:r>
        <w:rPr>
          <w:kern w:val="0"/>
        </w:rPr>
        <w:t>H, Preparation, Pseudo Second Order, Pseudo-Second-Order, Reduction, Removal, Rights, SEM, Solution, Sorbents, Sorption, Sorption, Sorption Capacity, Sorption Process, Temperature, Thermodynamic, Thermodynamic Parameters</w:t>
      </w:r>
    </w:p>
    <w:p w:rsidR="00E96DCA" w:rsidRDefault="00E96DCA" w:rsidP="00E96DCA">
      <w:pPr>
        <w:pStyle w:val="a0"/>
        <w:rPr>
          <w:kern w:val="0"/>
        </w:rPr>
      </w:pPr>
      <w:r>
        <w:rPr>
          <w:kern w:val="0"/>
        </w:rPr>
        <w:t>? Singh, V.</w:t>
      </w:r>
      <w:r w:rsidR="00F81221">
        <w:rPr>
          <w:kern w:val="0"/>
        </w:rPr>
        <w:t xml:space="preserve"> and </w:t>
      </w:r>
      <w:r>
        <w:rPr>
          <w:kern w:val="0"/>
        </w:rPr>
        <w:t>Maurya, S. (2010), Microwave synthesis, characterization,</w:t>
      </w:r>
      <w:r w:rsidR="00F81221">
        <w:rPr>
          <w:kern w:val="0"/>
        </w:rPr>
        <w:t xml:space="preserve"> and </w:t>
      </w:r>
      <w:r>
        <w:rPr>
          <w:kern w:val="0"/>
        </w:rPr>
        <w:t xml:space="preserve">zinc uptake studies of starch-graft-poly(ethylacrylate). </w:t>
      </w:r>
      <w:r>
        <w:rPr>
          <w:i/>
          <w:iCs/>
          <w:kern w:val="0"/>
        </w:rPr>
        <w:t>International Journal of Biological Macromolecules</w:t>
      </w:r>
      <w:r>
        <w:rPr>
          <w:kern w:val="0"/>
        </w:rPr>
        <w:t xml:space="preserve">, </w:t>
      </w:r>
      <w:r>
        <w:rPr>
          <w:b/>
          <w:bCs/>
          <w:kern w:val="0"/>
        </w:rPr>
        <w:t>47</w:t>
      </w:r>
      <w:r>
        <w:rPr>
          <w:kern w:val="0"/>
        </w:rPr>
        <w:t xml:space="preserve"> (3), 348-355.</w:t>
      </w:r>
    </w:p>
    <w:p w:rsidR="00E96DCA" w:rsidRPr="00F03D2F" w:rsidRDefault="00E96DCA" w:rsidP="00E96DCA">
      <w:pPr>
        <w:pStyle w:val="a0"/>
        <w:rPr>
          <w:kern w:val="0"/>
        </w:rPr>
      </w:pPr>
      <w:r w:rsidRPr="00F03D2F">
        <w:rPr>
          <w:kern w:val="0"/>
        </w:rPr>
        <w:t>Full Text:</w:t>
      </w:r>
      <w:r w:rsidRPr="00D7601C">
        <w:t xml:space="preserve"> </w:t>
      </w:r>
      <w:hyperlink r:id="rId1662" w:history="1">
        <w:r w:rsidRPr="002E43D1">
          <w:rPr>
            <w:rStyle w:val="a5"/>
          </w:rPr>
          <w:t>2010\Int J Bio Mac47, 348.pdf</w:t>
        </w:r>
      </w:hyperlink>
    </w:p>
    <w:p w:rsidR="00E96DCA" w:rsidRDefault="00E96DCA" w:rsidP="00E96DCA">
      <w:pPr>
        <w:pStyle w:val="a0"/>
        <w:rPr>
          <w:kern w:val="0"/>
        </w:rPr>
      </w:pPr>
      <w:r>
        <w:rPr>
          <w:kern w:val="0"/>
        </w:rPr>
        <w:t>Abstract: Microwave synthesis of starch-graft-poly(ethylacrylate) was optimized to obtain efficient Zn(II) adsorbent that has been characterized using IR, XRD</w:t>
      </w:r>
      <w:r w:rsidR="00F81221">
        <w:rPr>
          <w:kern w:val="0"/>
        </w:rPr>
        <w:t xml:space="preserve"> and </w:t>
      </w:r>
      <w:r>
        <w:rPr>
          <w:kern w:val="0"/>
        </w:rPr>
        <w:t>SEM analyses. Using the sample, adsorption of Zn(II) was studied as a function of pH, sorbent dose, initial Zn(II) concentration, % grafting, temperature</w:t>
      </w:r>
      <w:r w:rsidR="00F81221">
        <w:rPr>
          <w:kern w:val="0"/>
        </w:rPr>
        <w:t xml:space="preserve"> and </w:t>
      </w:r>
      <w:r>
        <w:rPr>
          <w:kern w:val="0"/>
        </w:rPr>
        <w:t>ionic strength. Equilibrium isotherm data were analyzed using the Langmuir</w:t>
      </w:r>
      <w:r w:rsidR="00F81221">
        <w:rPr>
          <w:kern w:val="0"/>
        </w:rPr>
        <w:t xml:space="preserve"> and </w:t>
      </w:r>
      <w:r>
        <w:rPr>
          <w:kern w:val="0"/>
        </w:rPr>
        <w:t>Freundlich isotherms at optimum pH (pH 8) where the data fitted satisfactorily well to both the isotherms indicating sorption of Zn(II) on the copolymer was complex</w:t>
      </w:r>
      <w:r w:rsidR="00F81221">
        <w:rPr>
          <w:kern w:val="0"/>
        </w:rPr>
        <w:t xml:space="preserve"> and </w:t>
      </w:r>
      <w:r>
        <w:rPr>
          <w:kern w:val="0"/>
        </w:rPr>
        <w:t>involved more than one mechanism. Isotherms have also been used to obtain the thermodynamic parameters such as free energy, enthalpy,</w:t>
      </w:r>
      <w:r w:rsidR="00F81221">
        <w:rPr>
          <w:kern w:val="0"/>
        </w:rPr>
        <w:t xml:space="preserve"> and </w:t>
      </w:r>
      <w:r>
        <w:rPr>
          <w:kern w:val="0"/>
        </w:rPr>
        <w:t>entropy of sorption. At 30ºC, the maximum sorption capacity of the microwave synthesized copolymer was 172 mg g</w:t>
      </w:r>
      <w:r>
        <w:rPr>
          <w:kern w:val="0"/>
          <w:vertAlign w:val="superscript"/>
        </w:rPr>
        <w:t>-1</w:t>
      </w:r>
      <w:r>
        <w:rPr>
          <w:kern w:val="0"/>
        </w:rPr>
        <w:t xml:space="preserve"> as compared to 116 mg g</w:t>
      </w:r>
      <w:r>
        <w:rPr>
          <w:kern w:val="0"/>
          <w:vertAlign w:val="superscript"/>
        </w:rPr>
        <w:t>-1</w:t>
      </w:r>
      <w:r>
        <w:rPr>
          <w:kern w:val="0"/>
        </w:rPr>
        <w:t xml:space="preserve"> for the conventionally synthesized starch-graft-poly(ethylacrylate) indicating the advantage of using microwaves in the copolymer synthesis. In order to investigate the mechanism of sorption,kinetic data were modeled using the first order Lagergren, pseudo-second-order</w:t>
      </w:r>
      <w:r w:rsidR="00F81221">
        <w:rPr>
          <w:kern w:val="0"/>
        </w:rPr>
        <w:t xml:space="preserve"> and </w:t>
      </w:r>
      <w:r>
        <w:rPr>
          <w:kern w:val="0"/>
        </w:rPr>
        <w:t>intra-particle diffusion models where chemisorption seem significant in the rate controlling step. The regeneration experiments revealed that the starch-graft-poly(ethylacrylate) can be successfully reused for five cycles without any significant loss in the sorption capacity. (C) 2010 Elsevier B.V. All rights reserved.</w:t>
      </w:r>
    </w:p>
    <w:p w:rsidR="00E96DCA" w:rsidRDefault="00E96DCA" w:rsidP="00E96DCA">
      <w:pPr>
        <w:pStyle w:val="a0"/>
        <w:rPr>
          <w:kern w:val="0"/>
        </w:rPr>
      </w:pPr>
      <w:r>
        <w:rPr>
          <w:kern w:val="0"/>
        </w:rPr>
        <w:t xml:space="preserve">Keywords: Adsorbent, Adsorption, Analyses, Aqueous-Solutions, Cadmium(II), Capacity, Characterization, Chemisorption, Concentration, Copolymer, Data, Diffusion, Energy, Enthalpy, Entropy, Equilibrium, Equilibrium Isotherm, Ethylacrylate, Experiments, First, First Order, Fly-Ash, Freundlich, Function, </w:t>
      </w:r>
      <w:r>
        <w:rPr>
          <w:kern w:val="0"/>
        </w:rPr>
        <w:lastRenderedPageBreak/>
        <w:t>Graft-Copolymerization, Grafting, Intra-Particle Diffusion, Intraparticle Diffusion, Ionic Strength, Ions, IR, Isotherm, Isotherms, Kaolin, Langmuir, Langmuir</w:t>
      </w:r>
      <w:r w:rsidR="00F81221">
        <w:rPr>
          <w:kern w:val="0"/>
        </w:rPr>
        <w:t xml:space="preserve"> and </w:t>
      </w:r>
      <w:r>
        <w:rPr>
          <w:kern w:val="0"/>
        </w:rPr>
        <w:t>Freundlich Isotherms, Mechanism, Microwave, Microwave Irradiation, Microwaves, Models, pH, Pseudo Second Order, Pseudo-Second-Order, Regeneration, Removal, Rights, SEM, Soluble Potato Starch, Sorbent, Sorbent Dose, Sorption, Sorption Capacity, Strength, Synthesis, Temperature, Thermodynamic, Thermodynamic Parameters, Uptake, XRD, Zinc, Zn(II), Zn(II) Removal</w:t>
      </w:r>
    </w:p>
    <w:p w:rsidR="00E96DCA" w:rsidRDefault="00E96DCA" w:rsidP="00E96DCA">
      <w:pPr>
        <w:pStyle w:val="a0"/>
        <w:rPr>
          <w:kern w:val="0"/>
        </w:rPr>
      </w:pPr>
      <w:r>
        <w:rPr>
          <w:kern w:val="0"/>
        </w:rPr>
        <w:t>? Sharma, A.K.</w:t>
      </w:r>
      <w:r w:rsidR="00F81221">
        <w:rPr>
          <w:kern w:val="0"/>
        </w:rPr>
        <w:t xml:space="preserve"> and </w:t>
      </w:r>
      <w:r>
        <w:rPr>
          <w:kern w:val="0"/>
        </w:rPr>
        <w:t xml:space="preserve">Mishra, A.K. (2010), Microwave induced beta-cyclodextrin modification of chitosan for lead sorption. </w:t>
      </w:r>
      <w:r>
        <w:rPr>
          <w:i/>
          <w:iCs/>
          <w:kern w:val="0"/>
        </w:rPr>
        <w:t>International Journal of Biological Macromolecules</w:t>
      </w:r>
      <w:r>
        <w:rPr>
          <w:kern w:val="0"/>
        </w:rPr>
        <w:t xml:space="preserve">, </w:t>
      </w:r>
      <w:r>
        <w:rPr>
          <w:b/>
          <w:bCs/>
          <w:kern w:val="0"/>
        </w:rPr>
        <w:t>47</w:t>
      </w:r>
      <w:r>
        <w:rPr>
          <w:kern w:val="0"/>
        </w:rPr>
        <w:t xml:space="preserve"> (3), 410-419.</w:t>
      </w:r>
    </w:p>
    <w:p w:rsidR="00E96DCA" w:rsidRPr="00F03D2F" w:rsidRDefault="00E96DCA" w:rsidP="00E96DCA">
      <w:pPr>
        <w:pStyle w:val="a0"/>
        <w:rPr>
          <w:kern w:val="0"/>
        </w:rPr>
      </w:pPr>
      <w:r w:rsidRPr="00F03D2F">
        <w:rPr>
          <w:kern w:val="0"/>
        </w:rPr>
        <w:t>Full Text:</w:t>
      </w:r>
      <w:r w:rsidRPr="00D7601C">
        <w:t xml:space="preserve"> </w:t>
      </w:r>
      <w:hyperlink r:id="rId1663" w:history="1">
        <w:r w:rsidRPr="002E43D1">
          <w:rPr>
            <w:rStyle w:val="a5"/>
          </w:rPr>
          <w:t>2010\Int J Bio Mac47, 410.pdf</w:t>
        </w:r>
      </w:hyperlink>
    </w:p>
    <w:p w:rsidR="00E96DCA" w:rsidRDefault="00E96DCA" w:rsidP="00E96DCA">
      <w:pPr>
        <w:pStyle w:val="a0"/>
        <w:rPr>
          <w:kern w:val="0"/>
        </w:rPr>
      </w:pPr>
      <w:r>
        <w:rPr>
          <w:kern w:val="0"/>
        </w:rPr>
        <w:t>Abstract: Microwave induced copolymerization of beta-cyclodextrin (beta-CD)</w:t>
      </w:r>
      <w:r w:rsidR="00F81221">
        <w:rPr>
          <w:kern w:val="0"/>
        </w:rPr>
        <w:t xml:space="preserve"> and </w:t>
      </w:r>
      <w:r>
        <w:rPr>
          <w:kern w:val="0"/>
        </w:rPr>
        <w:t>chitosan (Ch) resulted in copolymer Ch-g-beta-CD synthesized without any radical initiator or catalyst. Copolymer samples of different performances in terms of Pb(II) binding were synthesized by changing beta-CD concentration at fixed microwave power</w:t>
      </w:r>
      <w:r w:rsidR="00F81221">
        <w:rPr>
          <w:kern w:val="0"/>
        </w:rPr>
        <w:t xml:space="preserve"> and </w:t>
      </w:r>
      <w:r>
        <w:rPr>
          <w:kern w:val="0"/>
        </w:rPr>
        <w:t>exposure time. To understand the advantage of using microwaves in the adsorbent synthesis, the copolymer synthesized using a K</w:t>
      </w:r>
      <w:r w:rsidRPr="00300D73">
        <w:rPr>
          <w:kern w:val="0"/>
          <w:vertAlign w:val="subscript"/>
        </w:rPr>
        <w:t>2</w:t>
      </w:r>
      <w:r>
        <w:rPr>
          <w:kern w:val="0"/>
        </w:rPr>
        <w:t>S</w:t>
      </w:r>
      <w:r w:rsidRPr="00300D73">
        <w:rPr>
          <w:kern w:val="0"/>
          <w:vertAlign w:val="subscript"/>
        </w:rPr>
        <w:t>2</w:t>
      </w:r>
      <w:r>
        <w:rPr>
          <w:kern w:val="0"/>
        </w:rPr>
        <w:t>O</w:t>
      </w:r>
      <w:r w:rsidRPr="00300D73">
        <w:rPr>
          <w:kern w:val="0"/>
          <w:vertAlign w:val="subscript"/>
        </w:rPr>
        <w:t>8</w:t>
      </w:r>
      <w:r>
        <w:rPr>
          <w:kern w:val="0"/>
        </w:rPr>
        <w:t>/ascorbic acid redox pair at identical beta-CD</w:t>
      </w:r>
      <w:r w:rsidR="00F81221">
        <w:rPr>
          <w:kern w:val="0"/>
        </w:rPr>
        <w:t xml:space="preserve"> and </w:t>
      </w:r>
      <w:r>
        <w:rPr>
          <w:kern w:val="0"/>
        </w:rPr>
        <w:t>Chitosan concentrations (% G 103) was also evaluated as Pb(II) sorbent,</w:t>
      </w:r>
      <w:r w:rsidR="00F81221">
        <w:rPr>
          <w:kern w:val="0"/>
        </w:rPr>
        <w:t xml:space="preserve"> and </w:t>
      </w:r>
      <w:r>
        <w:rPr>
          <w:kern w:val="0"/>
        </w:rPr>
        <w:t>the results obtained were compared with that of microwave synthesized copolymer. A representative sample of microwave synthesized adsorbent was characterized using FTIR spectroscopy, X-ray diffraction, TGA, SEM analysis</w:t>
      </w:r>
      <w:r w:rsidR="00F81221">
        <w:rPr>
          <w:kern w:val="0"/>
        </w:rPr>
        <w:t xml:space="preserve"> and </w:t>
      </w:r>
      <w:r>
        <w:rPr>
          <w:kern w:val="0"/>
        </w:rPr>
        <w:t>using this sample adsorption of lead (II) was studied as a function of pH, initial Pb(II) concentration. The adsorption data followed both Freundlich</w:t>
      </w:r>
      <w:r w:rsidR="00F81221">
        <w:rPr>
          <w:kern w:val="0"/>
        </w:rPr>
        <w:t xml:space="preserve"> and </w:t>
      </w:r>
      <w:r>
        <w:rPr>
          <w:kern w:val="0"/>
        </w:rPr>
        <w:t xml:space="preserve">Langmuir isotherms. On the basis of the Langmuir model, </w:t>
      </w:r>
      <w:r w:rsidRPr="00300D73">
        <w:rPr>
          <w:i/>
          <w:kern w:val="0"/>
        </w:rPr>
        <w:t>Q</w:t>
      </w:r>
      <w:r>
        <w:rPr>
          <w:kern w:val="0"/>
          <w:vertAlign w:val="subscript"/>
        </w:rPr>
        <w:t>max</w:t>
      </w:r>
      <w:r>
        <w:rPr>
          <w:kern w:val="0"/>
        </w:rPr>
        <w:t xml:space="preserve"> was calculated to be 434.78 mg/g for microwave synthesized copolymer (Ch-g-beta-CD) in comparison to 294.11 mg/g for conventionally synthesized copolymer (Ch-g-beta-CD). In order to investigate dynamic behaviour of Ch-g-beta-CD as an adsorbent, the kinetic data were modelled using pseudo-second-order</w:t>
      </w:r>
      <w:r w:rsidR="00F81221">
        <w:rPr>
          <w:kern w:val="0"/>
        </w:rPr>
        <w:t xml:space="preserve"> and </w:t>
      </w:r>
      <w:r>
        <w:rPr>
          <w:kern w:val="0"/>
        </w:rPr>
        <w:t>second-order. The regeneration experiments revealed that the Ch-g-beta-CD can be successfully reused for seven cycles. (C) 2010 Elsevier B.V. All rights reserved.</w:t>
      </w:r>
    </w:p>
    <w:p w:rsidR="00E96DCA" w:rsidRDefault="00E96DCA" w:rsidP="00E96DCA">
      <w:pPr>
        <w:pStyle w:val="a0"/>
        <w:rPr>
          <w:kern w:val="0"/>
        </w:rPr>
      </w:pPr>
      <w:r>
        <w:rPr>
          <w:kern w:val="0"/>
        </w:rPr>
        <w:t xml:space="preserve">Keywords: Adsorbent, Adsorbents, Adsorption, Analysis, Aqueous-Solution, Ascorbic Acid, Behaviour, Beta-Cyclodextrin, Binding, Catalyst, Ch-G-Beta-Cd, Chitosan, Chromium(VI), Comparison, Concentration, Copolymer, Copolymerization, Data, Derivatives, Dynamic, Experiments, Exposure, Freundlich, FTIR, FTIR Spectroscopy, Function, Graft-Copolymerization, Induced, Irradiation, Isotherms, Kinetic, Langmuir, Langmuir Isotherms, Langmuir Model, Lead, Microwave, Microwave Irradiation, Microwaves, Model, Modification, Pb(II), Pb(II) Removal, </w:t>
      </w:r>
      <w:r>
        <w:rPr>
          <w:rFonts w:hint="eastAsia"/>
          <w:kern w:val="0"/>
        </w:rPr>
        <w:t>p</w:t>
      </w:r>
      <w:r>
        <w:rPr>
          <w:kern w:val="0"/>
        </w:rPr>
        <w:t xml:space="preserve">H, Power, Pseudo Second Order, Pseudo-Second-Order, Regeneration, Removal, Rights, Second Order, Second-Order, SEM, Sorbent, Sorption, Spectroscopy, </w:t>
      </w:r>
      <w:r>
        <w:rPr>
          <w:kern w:val="0"/>
        </w:rPr>
        <w:lastRenderedPageBreak/>
        <w:t>Synthesis, TGA, Waste, X-Ray, X-Ray Diffraction</w:t>
      </w:r>
    </w:p>
    <w:p w:rsidR="009A4763" w:rsidRDefault="009A4763" w:rsidP="009A4763">
      <w:pPr>
        <w:pStyle w:val="a0"/>
        <w:rPr>
          <w:kern w:val="0"/>
        </w:rPr>
      </w:pPr>
      <w:r>
        <w:rPr>
          <w:rFonts w:hint="eastAsia"/>
          <w:kern w:val="0"/>
        </w:rPr>
        <w:t>? A</w:t>
      </w:r>
      <w:r>
        <w:rPr>
          <w:kern w:val="0"/>
        </w:rPr>
        <w:t xml:space="preserve">bou El-Reash, Y.G., Otto, M., Kenawy, I.M. and Ouf, A.M. (2011), Adsorption of Cr(VI) and As(V) ions by modified magnetic chitosan chelating resin. </w:t>
      </w:r>
      <w:r>
        <w:rPr>
          <w:i/>
          <w:iCs/>
          <w:kern w:val="0"/>
        </w:rPr>
        <w:t>International Journal of Biological Macromolecules</w:t>
      </w:r>
      <w:r>
        <w:rPr>
          <w:kern w:val="0"/>
        </w:rPr>
        <w:t xml:space="preserve">, </w:t>
      </w:r>
      <w:r>
        <w:rPr>
          <w:b/>
          <w:bCs/>
          <w:kern w:val="0"/>
        </w:rPr>
        <w:t>49</w:t>
      </w:r>
      <w:r>
        <w:rPr>
          <w:kern w:val="0"/>
        </w:rPr>
        <w:t xml:space="preserve"> (4), 513-522.</w:t>
      </w:r>
    </w:p>
    <w:p w:rsidR="009A4763" w:rsidRPr="007D79E8" w:rsidRDefault="009A4763" w:rsidP="009A4763">
      <w:pPr>
        <w:pStyle w:val="a0"/>
        <w:rPr>
          <w:kern w:val="0"/>
        </w:rPr>
      </w:pPr>
      <w:r w:rsidRPr="007D79E8">
        <w:rPr>
          <w:kern w:val="0"/>
        </w:rPr>
        <w:t>Full Text:</w:t>
      </w:r>
      <w:r>
        <w:rPr>
          <w:rFonts w:hint="eastAsia"/>
          <w:kern w:val="0"/>
        </w:rPr>
        <w:t xml:space="preserve"> </w:t>
      </w:r>
      <w:hyperlink r:id="rId1664" w:history="1">
        <w:r w:rsidRPr="00807856">
          <w:rPr>
            <w:rStyle w:val="a5"/>
            <w:kern w:val="0"/>
          </w:rPr>
          <w:t>2011\Int J Bio Mac49, 513.pdf</w:t>
        </w:r>
      </w:hyperlink>
    </w:p>
    <w:p w:rsidR="009A4763" w:rsidRDefault="009A4763" w:rsidP="009A4763">
      <w:pPr>
        <w:pStyle w:val="a0"/>
        <w:rPr>
          <w:kern w:val="0"/>
        </w:rPr>
      </w:pPr>
      <w:r>
        <w:rPr>
          <w:kern w:val="0"/>
        </w:rPr>
        <w:t>Abstract: Cross-linked magnetic chitosan anthranilic acid glutaraldehyde Schiffs base (CAGS) was prepared for adsorption of both As(V) and Cr(VI) ions and their determination by ICP-OES. Prepared cross-linked magnetic CAGS was investigated by means of SEM, FTIR, wide angle X-ray diffraction (WAXRD) and TGA analysis. The adsorption properties of cross-linked magnetic CAGS resin toward both As(V) and Cr(VI) were evaluated. Various factors affecting the uptake behavior such as pH, temperature, contact time, initial concentration of metal ions, effect of other ions and desorption were studied. The equilibrium was achieved after about 110 min and 120 min for As(V) and Cr(VI), respectively at pH = 2. The adsorption kinetics followed the mechanism of the pseudo-second order equation for all systems studied, evidencing chemical sorption as the rate-limiting step of adsorption mechanism and not involving a mass transfer in solution. The equilibrium data were analyzed using the Langmuir, Freundlich, and Tempkin isotherm models. The best interpretation for the equilibrium data was given by Langmuir isotherm, and the maximum adsorption capacities were 58.48 and 62.42 mg/g for both Cr(VI) and As(V), respectively. Cross-linked magnetic CAGS displayed higher adsorption capacity for Cr(VI). The adsorption capacity of the metal ions increased with increasing temperature under optimum conditions in case of Cr(VI), but decreased in case of As(V). The metal ion-loaded cross-linked magnetic CAGS were regenerated with an efficiency of greater than 88% using 0.2 M sodium hydroxide (NaOH). (C) 2011 Elsevier B.V. All rights reserved.</w:t>
      </w:r>
    </w:p>
    <w:p w:rsidR="009A4763" w:rsidRDefault="009A4763" w:rsidP="009A4763">
      <w:pPr>
        <w:pStyle w:val="a0"/>
        <w:rPr>
          <w:kern w:val="0"/>
        </w:rPr>
      </w:pPr>
      <w:r>
        <w:rPr>
          <w:kern w:val="0"/>
        </w:rPr>
        <w:t>Keywords: Adsorption, Aqueous-Solutions, Chitosan, Chromium, Cr(VI), Cu(II), Drinking-Water, FTIR, Hg(II), Isotherm, Kinetics, Langmuir, Magnetic Resin, Mortality, Ni(II) Ions, pH, Removal, Schiff</w:t>
      </w:r>
      <w:r w:rsidR="000352E7">
        <w:rPr>
          <w:kern w:val="0"/>
        </w:rPr>
        <w:t>’</w:t>
      </w:r>
      <w:r>
        <w:rPr>
          <w:kern w:val="0"/>
        </w:rPr>
        <w:t>s Base, Sorption, Well Water</w:t>
      </w:r>
    </w:p>
    <w:p w:rsidR="009A4763" w:rsidRDefault="009A4763" w:rsidP="009A4763">
      <w:pPr>
        <w:pStyle w:val="a0"/>
        <w:rPr>
          <w:kern w:val="0"/>
        </w:rPr>
      </w:pPr>
      <w:r>
        <w:rPr>
          <w:rFonts w:hint="eastAsia"/>
          <w:kern w:val="0"/>
        </w:rPr>
        <w:t xml:space="preserve">? </w:t>
      </w:r>
      <w:r>
        <w:rPr>
          <w:kern w:val="0"/>
        </w:rPr>
        <w:t xml:space="preserve">Huang, X.Y., Bu, H.T., Jiang, G.B. and Zeng, M.H. (2011), Cross-linked succinyl chitosan as an adsorbent for the removal of Methylene Blue from aqueous solution. </w:t>
      </w:r>
      <w:r>
        <w:rPr>
          <w:i/>
          <w:iCs/>
          <w:kern w:val="0"/>
        </w:rPr>
        <w:t>International Journal of Biological Macromolecules</w:t>
      </w:r>
      <w:r>
        <w:rPr>
          <w:kern w:val="0"/>
        </w:rPr>
        <w:t xml:space="preserve">, </w:t>
      </w:r>
      <w:r>
        <w:rPr>
          <w:b/>
          <w:bCs/>
          <w:kern w:val="0"/>
        </w:rPr>
        <w:t>49</w:t>
      </w:r>
      <w:r>
        <w:rPr>
          <w:kern w:val="0"/>
        </w:rPr>
        <w:t xml:space="preserve"> (4), 643-651.</w:t>
      </w:r>
    </w:p>
    <w:p w:rsidR="009A4763" w:rsidRPr="007D79E8" w:rsidRDefault="009A4763" w:rsidP="009A4763">
      <w:pPr>
        <w:pStyle w:val="a0"/>
        <w:rPr>
          <w:kern w:val="0"/>
        </w:rPr>
      </w:pPr>
      <w:r w:rsidRPr="007D79E8">
        <w:rPr>
          <w:kern w:val="0"/>
        </w:rPr>
        <w:t>Full Text:</w:t>
      </w:r>
      <w:r>
        <w:rPr>
          <w:rFonts w:hint="eastAsia"/>
          <w:kern w:val="0"/>
        </w:rPr>
        <w:t xml:space="preserve"> </w:t>
      </w:r>
      <w:hyperlink r:id="rId1665" w:history="1">
        <w:r w:rsidRPr="005B11FE">
          <w:rPr>
            <w:rStyle w:val="a5"/>
            <w:kern w:val="0"/>
          </w:rPr>
          <w:t>2011\Int J Bio Mac49, 643.pdf</w:t>
        </w:r>
      </w:hyperlink>
    </w:p>
    <w:p w:rsidR="009A4763" w:rsidRDefault="009A4763" w:rsidP="009A4763">
      <w:pPr>
        <w:pStyle w:val="a0"/>
        <w:rPr>
          <w:kern w:val="0"/>
        </w:rPr>
      </w:pPr>
      <w:r>
        <w:rPr>
          <w:kern w:val="0"/>
        </w:rPr>
        <w:t xml:space="preserve">Abstract: Removal of a basic dye (Methylene Blue) from aqueous solution was investigated using a cross-linked succinyl-chitosan (SCCS) as sorbent. The chemical structures of chitosan and its derivatives were testified by FT-IR. X-ray diffraction, DTG analysis and swelling measurements were conducted to clarify the characteristics of the chemically modified chitosan. The effect of process parameters, such as pH of the initial solution, and concentrations of dyes on the extent of </w:t>
      </w:r>
      <w:r>
        <w:rPr>
          <w:kern w:val="0"/>
        </w:rPr>
        <w:lastRenderedPageBreak/>
        <w:t>Methylene Blue (MB) adsorption was investigated. The Langmuir isotherm model was used to fit the equilibrium experimental data, giving a maximum sorption capacity of 289.02 mg/g at 298 K. Kinetic studies showed that the kinetic data were well described by the pseudo-second-order kinetic model. Thermodynamic parameters such as enthalpy change (ΔH°), free energy change (ΔG°) and entropy change (ΔS°) were determined to be -25.32 kJ mol</w:t>
      </w:r>
      <w:r>
        <w:rPr>
          <w:rFonts w:hint="eastAsia"/>
          <w:kern w:val="0"/>
          <w:vertAlign w:val="superscript"/>
        </w:rPr>
        <w:t>-1</w:t>
      </w:r>
      <w:r>
        <w:rPr>
          <w:kern w:val="0"/>
        </w:rPr>
        <w:t>, -6.76 kJ mol</w:t>
      </w:r>
      <w:r>
        <w:rPr>
          <w:rFonts w:hint="eastAsia"/>
          <w:kern w:val="0"/>
          <w:vertAlign w:val="superscript"/>
        </w:rPr>
        <w:t>-1</w:t>
      </w:r>
      <w:r>
        <w:rPr>
          <w:kern w:val="0"/>
        </w:rPr>
        <w:t xml:space="preserve"> and -62.36 J mol</w:t>
      </w:r>
      <w:r>
        <w:rPr>
          <w:rFonts w:hint="eastAsia"/>
          <w:kern w:val="0"/>
          <w:vertAlign w:val="superscript"/>
        </w:rPr>
        <w:t>-1</w:t>
      </w:r>
      <w:r>
        <w:rPr>
          <w:kern w:val="0"/>
        </w:rPr>
        <w:t xml:space="preserve"> K</w:t>
      </w:r>
      <w:r>
        <w:rPr>
          <w:rFonts w:hint="eastAsia"/>
          <w:kern w:val="0"/>
          <w:vertAlign w:val="superscript"/>
        </w:rPr>
        <w:t>-1</w:t>
      </w:r>
      <w:r>
        <w:rPr>
          <w:kern w:val="0"/>
        </w:rPr>
        <w:t>, respectively, which leads to a conclusion that the adsorption process is spontaneous and exothermic. (C) 2011 Elsevier B.V. All rights reserved.</w:t>
      </w:r>
    </w:p>
    <w:p w:rsidR="009A4763" w:rsidRDefault="009A4763" w:rsidP="009A4763">
      <w:pPr>
        <w:pStyle w:val="a0"/>
        <w:rPr>
          <w:kern w:val="0"/>
        </w:rPr>
      </w:pPr>
      <w:r>
        <w:rPr>
          <w:kern w:val="0"/>
        </w:rPr>
        <w:t>Keywords: Adsorption, Adsorption Behavior, Basic Dye, Basic-Dyes, Batch, Biosorption, Chitosan Derivative, Derivatives, Dye Removal, FTIR, Hydrobeads, Isotherm, Kinetic, Kinetics, Langmuir, Mechanism, pH, Reactive Dye, Removal, Sorption, Thermodynamic, Thermodynamic Parameters, Wastewater Treatment</w:t>
      </w:r>
    </w:p>
    <w:p w:rsidR="00B95188" w:rsidRPr="00A428C3" w:rsidRDefault="00B95188" w:rsidP="00B95188">
      <w:pPr>
        <w:pStyle w:val="1"/>
      </w:pPr>
      <w:r w:rsidRPr="00A428C3">
        <w:br w:type="page"/>
      </w:r>
      <w:bookmarkStart w:id="1242" w:name="_Toc488418624"/>
      <w:bookmarkStart w:id="1243" w:name="_Toc488467659"/>
      <w:bookmarkStart w:id="1244" w:name="_Toc489709756"/>
      <w:bookmarkStart w:id="1245" w:name="_Toc490688059"/>
      <w:bookmarkStart w:id="1246" w:name="_Toc492812172"/>
      <w:bookmarkStart w:id="1247" w:name="_Toc186647904"/>
      <w:bookmarkStart w:id="1248" w:name="_Toc317161266"/>
      <w:r w:rsidRPr="00A428C3">
        <w:lastRenderedPageBreak/>
        <w:t>Title: International Journal of Cancer</w:t>
      </w:r>
      <w:bookmarkEnd w:id="1242"/>
      <w:bookmarkEnd w:id="1243"/>
      <w:bookmarkEnd w:id="1244"/>
      <w:bookmarkEnd w:id="1245"/>
      <w:bookmarkEnd w:id="1246"/>
      <w:bookmarkEnd w:id="1247"/>
      <w:bookmarkEnd w:id="1248"/>
    </w:p>
    <w:p w:rsidR="00B95188" w:rsidRPr="00A428C3" w:rsidRDefault="00B95188" w:rsidP="00B72EF9">
      <w:pPr>
        <w:pStyle w:val="12"/>
      </w:pPr>
      <w:r w:rsidRPr="00A428C3">
        <w:t xml:space="preserve">Full Journal Title: </w:t>
      </w:r>
      <w:hyperlink r:id="rId1666" w:history="1">
        <w:r w:rsidRPr="00A428C3">
          <w:rPr>
            <w:rStyle w:val="a5"/>
          </w:rPr>
          <w:t>International Journal of Cancer</w:t>
        </w:r>
      </w:hyperlink>
    </w:p>
    <w:p w:rsidR="00B95188" w:rsidRPr="00A428C3" w:rsidRDefault="00B95188" w:rsidP="00B72EF9">
      <w:pPr>
        <w:pStyle w:val="12"/>
      </w:pPr>
      <w:r w:rsidRPr="00A428C3">
        <w:t>ISO Abbreviated Title: Int. J. Cancer</w:t>
      </w:r>
    </w:p>
    <w:p w:rsidR="00B95188" w:rsidRPr="00A428C3" w:rsidRDefault="00B95188" w:rsidP="00B72EF9">
      <w:pPr>
        <w:pStyle w:val="12"/>
      </w:pPr>
      <w:r w:rsidRPr="00A428C3">
        <w:t>JCR Abbreviated Title: Int J Cancer</w:t>
      </w:r>
    </w:p>
    <w:p w:rsidR="00B95188" w:rsidRPr="00A428C3" w:rsidRDefault="00B95188" w:rsidP="00B72EF9">
      <w:pPr>
        <w:pStyle w:val="12"/>
      </w:pPr>
      <w:r w:rsidRPr="00A428C3">
        <w:t>ISSN: 0020-7136</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Switzerland</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Wiley-Liss</w:t>
      </w:r>
    </w:p>
    <w:p w:rsidR="00B95188" w:rsidRPr="00A428C3" w:rsidRDefault="00B95188" w:rsidP="00B72EF9">
      <w:pPr>
        <w:pStyle w:val="12"/>
      </w:pPr>
      <w:r w:rsidRPr="00A428C3">
        <w:t xml:space="preserve">Publisher Address: Div John Wiley &amp; Sons Inc, </w:t>
      </w:r>
      <w:smartTag w:uri="urn:schemas-microsoft-com:office:smarttags" w:element="address">
        <w:smartTag w:uri="urn:schemas-microsoft-com:office:smarttags" w:element="Street">
          <w:r w:rsidRPr="00A428C3">
            <w:t>605 Third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10158-0012</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Oncology</w:t>
      </w:r>
    </w:p>
    <w:p w:rsidR="00AB2335" w:rsidRDefault="00AB2335" w:rsidP="00AB2335">
      <w:pPr>
        <w:pStyle w:val="a0"/>
        <w:rPr>
          <w:kern w:val="0"/>
        </w:rPr>
      </w:pPr>
      <w:r>
        <w:rPr>
          <w:rFonts w:hint="eastAsia"/>
          <w:kern w:val="0"/>
        </w:rPr>
        <w:t xml:space="preserve">? </w:t>
      </w:r>
      <w:r>
        <w:rPr>
          <w:kern w:val="0"/>
        </w:rPr>
        <w:t>Forman, D., Sitas, F., Newell, D.G., Stacey, A.R., Boreham, J., Peto, R., Campbell, T.C., Li, J.</w:t>
      </w:r>
      <w:r w:rsidR="00F81221">
        <w:rPr>
          <w:kern w:val="0"/>
        </w:rPr>
        <w:t xml:space="preserve"> and </w:t>
      </w:r>
      <w:r>
        <w:rPr>
          <w:kern w:val="0"/>
        </w:rPr>
        <w:t xml:space="preserve">Chen, J. (1990), Geographic association of </w:t>
      </w:r>
      <w:r w:rsidRPr="00703317">
        <w:rPr>
          <w:i/>
          <w:kern w:val="0"/>
        </w:rPr>
        <w:t>Helicobacter pylori</w:t>
      </w:r>
      <w:r>
        <w:rPr>
          <w:kern w:val="0"/>
        </w:rPr>
        <w:t xml:space="preserve"> antibody prevalence</w:t>
      </w:r>
      <w:r w:rsidR="00F81221">
        <w:rPr>
          <w:kern w:val="0"/>
        </w:rPr>
        <w:t xml:space="preserve"> and </w:t>
      </w:r>
      <w:r>
        <w:rPr>
          <w:kern w:val="0"/>
        </w:rPr>
        <w:t>gastric</w:t>
      </w:r>
      <w:r>
        <w:rPr>
          <w:rFonts w:hint="eastAsia"/>
          <w:kern w:val="0"/>
        </w:rPr>
        <w:t xml:space="preserve"> </w:t>
      </w:r>
      <w:r>
        <w:rPr>
          <w:kern w:val="0"/>
        </w:rPr>
        <w:t xml:space="preserve">cancer mortality in rural China. </w:t>
      </w:r>
      <w:r>
        <w:rPr>
          <w:i/>
          <w:iCs/>
          <w:kern w:val="0"/>
        </w:rPr>
        <w:t>International Journal of Cancer</w:t>
      </w:r>
      <w:r>
        <w:rPr>
          <w:kern w:val="0"/>
        </w:rPr>
        <w:t xml:space="preserve">, </w:t>
      </w:r>
      <w:r>
        <w:rPr>
          <w:b/>
          <w:bCs/>
          <w:kern w:val="0"/>
        </w:rPr>
        <w:t>46</w:t>
      </w:r>
      <w:r>
        <w:rPr>
          <w:kern w:val="0"/>
        </w:rPr>
        <w:t xml:space="preserve"> (4), 608-611</w:t>
      </w:r>
      <w:r>
        <w:rPr>
          <w:rFonts w:hint="eastAsia"/>
          <w:kern w:val="0"/>
        </w:rPr>
        <w:t>.</w:t>
      </w:r>
    </w:p>
    <w:p w:rsidR="00AB2335" w:rsidRDefault="00AB2335" w:rsidP="00AB2335">
      <w:pPr>
        <w:pStyle w:val="a0"/>
        <w:rPr>
          <w:kern w:val="0"/>
        </w:rPr>
      </w:pPr>
      <w:r>
        <w:rPr>
          <w:rFonts w:hint="eastAsia"/>
          <w:kern w:val="0"/>
        </w:rPr>
        <w:t xml:space="preserve">Full Text: </w:t>
      </w:r>
      <w:hyperlink r:id="rId1667" w:history="1">
        <w:r w:rsidRPr="00AB2335">
          <w:rPr>
            <w:rStyle w:val="a5"/>
            <w:kern w:val="0"/>
          </w:rPr>
          <w:t>1990\Int J Can46, 608.pdf</w:t>
        </w:r>
      </w:hyperlink>
    </w:p>
    <w:p w:rsidR="00AB2335" w:rsidRDefault="00AB2335" w:rsidP="00AB2335">
      <w:pPr>
        <w:pStyle w:val="a0"/>
        <w:rPr>
          <w:kern w:val="0"/>
        </w:rPr>
      </w:pPr>
      <w:r>
        <w:rPr>
          <w:kern w:val="0"/>
        </w:rPr>
        <w:t>Keywords: China</w:t>
      </w:r>
    </w:p>
    <w:p w:rsidR="00B95188" w:rsidRPr="00A428C3" w:rsidRDefault="00B95188" w:rsidP="00B95188">
      <w:pPr>
        <w:pStyle w:val="a0"/>
      </w:pPr>
      <w:r w:rsidRPr="00A428C3">
        <w:t xml:space="preserve">? </w:t>
      </w:r>
      <w:smartTag w:uri="urn:schemas-microsoft-com:office:smarttags" w:element="City">
        <w:r w:rsidRPr="00A428C3">
          <w:t>Rogers</w:t>
        </w:r>
      </w:smartTag>
      <w:r w:rsidRPr="00A428C3">
        <w:t xml:space="preserve">, M.A.M., Thomas, D.B., </w:t>
      </w:r>
      <w:smartTag w:uri="urn:schemas-microsoft-com:office:smarttags" w:element="City">
        <w:r w:rsidRPr="00A428C3">
          <w:t>Davis</w:t>
        </w:r>
      </w:smartTag>
      <w:r w:rsidRPr="00A428C3">
        <w:t xml:space="preserve">, S., </w:t>
      </w:r>
      <w:smartTag w:uri="urn:schemas-microsoft-com:office:smarttags" w:element="City">
        <w:r w:rsidRPr="00A428C3">
          <w:t>Weiss</w:t>
        </w:r>
      </w:smartTag>
      <w:r w:rsidRPr="00A428C3">
        <w:t xml:space="preserve">, </w:t>
      </w:r>
      <w:smartTag w:uri="urn:schemas-microsoft-com:office:smarttags" w:element="State">
        <w:r w:rsidRPr="00A428C3">
          <w:t>N.S.</w:t>
        </w:r>
      </w:smartTag>
      <w:r w:rsidRPr="00A428C3">
        <w:t xml:space="preserve">, </w:t>
      </w:r>
      <w:smartTag w:uri="urn:schemas-microsoft-com:office:smarttags" w:element="place">
        <w:smartTag w:uri="urn:schemas-microsoft-com:office:smarttags" w:element="City">
          <w:r w:rsidRPr="00A428C3">
            <w:t>Vaughan</w:t>
          </w:r>
        </w:smartTag>
      </w:smartTag>
      <w:r w:rsidRPr="00A428C3">
        <w:t>, T.L.</w:t>
      </w:r>
      <w:r w:rsidR="00F81221">
        <w:t xml:space="preserve"> and </w:t>
      </w:r>
      <w:r w:rsidRPr="00A428C3">
        <w:t>Nevissi, A.E. (1991), A case-control study of oral-cancer</w:t>
      </w:r>
      <w:r w:rsidR="00F81221">
        <w:t xml:space="preserve"> and </w:t>
      </w:r>
      <w:r w:rsidRPr="00A428C3">
        <w:t>prediagnostic concentrations of selenium</w:t>
      </w:r>
      <w:r w:rsidR="00F81221">
        <w:t xml:space="preserve"> and </w:t>
      </w:r>
      <w:r w:rsidRPr="00A428C3">
        <w:t xml:space="preserve">zinc in nail tissue. </w:t>
      </w:r>
      <w:r w:rsidRPr="00A428C3">
        <w:rPr>
          <w:i/>
        </w:rPr>
        <w:t>International Journal of Cancer</w:t>
      </w:r>
      <w:r w:rsidRPr="00A428C3">
        <w:t xml:space="preserve">, </w:t>
      </w:r>
      <w:r w:rsidRPr="00A428C3">
        <w:rPr>
          <w:b/>
        </w:rPr>
        <w:t>48</w:t>
      </w:r>
      <w:r w:rsidRPr="00A428C3">
        <w:t xml:space="preserve"> (2), 182-188.</w:t>
      </w:r>
    </w:p>
    <w:p w:rsidR="00AB2335" w:rsidRDefault="00AB2335" w:rsidP="00AB2335">
      <w:pPr>
        <w:pStyle w:val="a0"/>
        <w:rPr>
          <w:kern w:val="0"/>
        </w:rPr>
      </w:pPr>
      <w:r>
        <w:rPr>
          <w:rFonts w:hint="eastAsia"/>
          <w:kern w:val="0"/>
        </w:rPr>
        <w:t xml:space="preserve">Full Text: </w:t>
      </w:r>
      <w:hyperlink r:id="rId1668" w:history="1">
        <w:r w:rsidRPr="00AB2335">
          <w:rPr>
            <w:rStyle w:val="a5"/>
            <w:kern w:val="0"/>
          </w:rPr>
          <w:t>1991\Int J Can48, 182.pdf</w:t>
        </w:r>
      </w:hyperlink>
    </w:p>
    <w:p w:rsidR="00AB2335" w:rsidRDefault="00AB2335" w:rsidP="00AB2335">
      <w:pPr>
        <w:pStyle w:val="a0"/>
        <w:rPr>
          <w:kern w:val="0"/>
        </w:rPr>
      </w:pPr>
      <w:r>
        <w:rPr>
          <w:kern w:val="0"/>
        </w:rPr>
        <w:t>Abstract</w:t>
      </w:r>
      <w:r>
        <w:rPr>
          <w:rFonts w:hint="eastAsia"/>
          <w:kern w:val="0"/>
        </w:rPr>
        <w:t xml:space="preserve">: </w:t>
      </w:r>
      <w:r w:rsidRPr="00AB2335">
        <w:rPr>
          <w:kern w:val="0"/>
        </w:rPr>
        <w:t>A case-control study of oral cancer was conducted in western Washington state between 1983</w:t>
      </w:r>
      <w:r w:rsidR="00F81221">
        <w:rPr>
          <w:kern w:val="0"/>
        </w:rPr>
        <w:t xml:space="preserve"> and </w:t>
      </w:r>
      <w:r w:rsidRPr="00AB2335">
        <w:rPr>
          <w:kern w:val="0"/>
        </w:rPr>
        <w:t>1987. Cases (n = 379) were identified through a population-based registry,</w:t>
      </w:r>
      <w:r w:rsidR="00F81221">
        <w:rPr>
          <w:kern w:val="0"/>
        </w:rPr>
        <w:t xml:space="preserve"> and </w:t>
      </w:r>
      <w:r w:rsidRPr="00AB2335">
        <w:rPr>
          <w:kern w:val="0"/>
        </w:rPr>
        <w:t>controls (n = 514) were selected by telephone using random digit dialing. Subjects participated in a personal interview, completed a food-frequency questionnaire,</w:t>
      </w:r>
      <w:r w:rsidR="00F81221">
        <w:rPr>
          <w:kern w:val="0"/>
        </w:rPr>
        <w:t xml:space="preserve"> and </w:t>
      </w:r>
      <w:r w:rsidRPr="00AB2335">
        <w:rPr>
          <w:kern w:val="0"/>
        </w:rPr>
        <w:t>submitted clippings from the nails of each great toe for the determination of selenium</w:t>
      </w:r>
      <w:r w:rsidR="00F81221">
        <w:rPr>
          <w:kern w:val="0"/>
        </w:rPr>
        <w:t xml:space="preserve"> and </w:t>
      </w:r>
      <w:r w:rsidRPr="00AB2335">
        <w:rPr>
          <w:kern w:val="0"/>
        </w:rPr>
        <w:t>zinc concentrations. The odds ratio (OR) for low selenium levels in nail tissue (lowest 25% of the distribution compared to the upper 75%) was 1.4 (95% confidence interval (Cl) 1.0-2.2). Likewise, the odds ratio for low zinc levels in nails was 1.6 (95% Cl 1.0-2.3), but for low dietary zinc was 1.0 (95% Cl 0.7-1.7). Men with oral cancer had lower nail selenium levels than did the controls (OR = 1.9), but women with oral cancer did not (OR = 0.6). Individuals 20 to 39 years of age with oral cancer, in particular, were more likely to have lower selenium levels in nail tissue than controls (OR = 16.4). There was a significant interaction between selenium</w:t>
      </w:r>
      <w:r w:rsidR="00F81221">
        <w:rPr>
          <w:kern w:val="0"/>
        </w:rPr>
        <w:t xml:space="preserve"> and </w:t>
      </w:r>
      <w:r w:rsidRPr="00AB2335">
        <w:rPr>
          <w:kern w:val="0"/>
        </w:rPr>
        <w:t xml:space="preserve">ascorbic acid levels which could not be explained </w:t>
      </w:r>
      <w:r w:rsidRPr="00AB2335">
        <w:rPr>
          <w:kern w:val="0"/>
        </w:rPr>
        <w:lastRenderedPageBreak/>
        <w:t>by cigarette use. Subjects at greatest risk had low levels of both nutrients (OR = 3.8 for smokers</w:t>
      </w:r>
      <w:r w:rsidR="00F81221">
        <w:rPr>
          <w:kern w:val="0"/>
        </w:rPr>
        <w:t xml:space="preserve"> and </w:t>
      </w:r>
      <w:r w:rsidRPr="00AB2335">
        <w:rPr>
          <w:kern w:val="0"/>
        </w:rPr>
        <w:t>OR = 5.7 for non-smokers). However, since the elements were deposited in the nail matrix close to the date of diagnosis, the differences in the element concentrations between cases</w:t>
      </w:r>
      <w:r w:rsidR="00F81221">
        <w:rPr>
          <w:kern w:val="0"/>
        </w:rPr>
        <w:t xml:space="preserve"> and </w:t>
      </w:r>
      <w:r w:rsidRPr="00AB2335">
        <w:rPr>
          <w:kern w:val="0"/>
        </w:rPr>
        <w:t>controls may have been a result of the disease. Further etiologic studies of selenium, vitamin intake</w:t>
      </w:r>
      <w:r w:rsidR="00F81221">
        <w:rPr>
          <w:kern w:val="0"/>
        </w:rPr>
        <w:t xml:space="preserve"> and </w:t>
      </w:r>
      <w:r w:rsidRPr="00AB2335">
        <w:rPr>
          <w:kern w:val="0"/>
        </w:rPr>
        <w:t>oral carcinoma are warranted.</w:t>
      </w:r>
    </w:p>
    <w:p w:rsidR="00B95188" w:rsidRPr="00A428C3" w:rsidRDefault="00B95188" w:rsidP="00B95188">
      <w:pPr>
        <w:pStyle w:val="a0"/>
      </w:pPr>
      <w:r w:rsidRPr="00A428C3">
        <w:t>? Lantz, J.M., Meyer, C., Saussine, C., Leberquier, C., Heysel, F., Miehe, J., Marescaux, J., Sultan, R.</w:t>
      </w:r>
      <w:r w:rsidR="00F81221">
        <w:t xml:space="preserve"> and </w:t>
      </w:r>
      <w:r w:rsidRPr="00A428C3">
        <w:t>Kedinger, M. (1992), Experimental photodynamic therapy with a copper metal vapor laser in colorectal</w:t>
      </w:r>
      <w:r w:rsidR="00AB2335">
        <w:rPr>
          <w:rFonts w:hint="eastAsia"/>
        </w:rPr>
        <w:t xml:space="preserve"> </w:t>
      </w:r>
      <w:r w:rsidRPr="00A428C3">
        <w:t xml:space="preserve">cancer. </w:t>
      </w:r>
      <w:r w:rsidRPr="00A428C3">
        <w:rPr>
          <w:i/>
        </w:rPr>
        <w:t>International Journal of Cancer</w:t>
      </w:r>
      <w:r w:rsidRPr="00A428C3">
        <w:t xml:space="preserve">, </w:t>
      </w:r>
      <w:r w:rsidRPr="00A428C3">
        <w:rPr>
          <w:b/>
        </w:rPr>
        <w:t>52</w:t>
      </w:r>
      <w:r w:rsidRPr="00A428C3">
        <w:t xml:space="preserve"> (3), 491-498.</w:t>
      </w:r>
    </w:p>
    <w:p w:rsidR="00AB2335" w:rsidRDefault="00AB2335" w:rsidP="00AB2335">
      <w:pPr>
        <w:pStyle w:val="a0"/>
        <w:rPr>
          <w:kern w:val="0"/>
        </w:rPr>
      </w:pPr>
      <w:r>
        <w:rPr>
          <w:rFonts w:hint="eastAsia"/>
          <w:kern w:val="0"/>
        </w:rPr>
        <w:t xml:space="preserve">Full Text: </w:t>
      </w:r>
      <w:hyperlink r:id="rId1669" w:history="1">
        <w:r w:rsidRPr="00AB2335">
          <w:rPr>
            <w:rStyle w:val="a5"/>
            <w:kern w:val="0"/>
          </w:rPr>
          <w:t>1992\Int J Can52, 491.pdf</w:t>
        </w:r>
      </w:hyperlink>
    </w:p>
    <w:p w:rsidR="00AB2335" w:rsidRDefault="00AB2335" w:rsidP="00AB2335">
      <w:pPr>
        <w:pStyle w:val="a0"/>
        <w:rPr>
          <w:kern w:val="0"/>
        </w:rPr>
      </w:pPr>
      <w:r>
        <w:rPr>
          <w:kern w:val="0"/>
        </w:rPr>
        <w:t>Abstract</w:t>
      </w:r>
      <w:r>
        <w:rPr>
          <w:rFonts w:hint="eastAsia"/>
          <w:kern w:val="0"/>
        </w:rPr>
        <w:t xml:space="preserve">: </w:t>
      </w:r>
      <w:r w:rsidRPr="00AB2335">
        <w:rPr>
          <w:kern w:val="0"/>
        </w:rPr>
        <w:t>In an attempt to define the best conditions for an adjunctive treatment of residual colonic microtumors by photodynamic therapy (PDT), an experimental model has been defined. S.c. HT29 colonic-cancer-cell tumors grown in nude mice were used and, 48 hr after i.p. administration of 30 mg/kg Photofrin (PH), laser illumination was performed with 75 or 150 Joules/cm</w:t>
      </w:r>
      <w:r w:rsidRPr="00A0766B">
        <w:rPr>
          <w:kern w:val="0"/>
          <w:vertAlign w:val="superscript"/>
        </w:rPr>
        <w:t>2</w:t>
      </w:r>
      <w:r w:rsidRPr="00AB2335">
        <w:rPr>
          <w:kern w:val="0"/>
        </w:rPr>
        <w:t>. The efficiencies of 2 lasers, the classically used rhodamine laser (RL)</w:t>
      </w:r>
      <w:r w:rsidR="00F81221">
        <w:rPr>
          <w:kern w:val="0"/>
        </w:rPr>
        <w:t xml:space="preserve"> and </w:t>
      </w:r>
      <w:r w:rsidRPr="00AB2335">
        <w:rPr>
          <w:kern w:val="0"/>
        </w:rPr>
        <w:t>a copper metal vapor laser (CMVL), were compared. The effects of PDT were assessed by histological</w:t>
      </w:r>
      <w:r w:rsidR="00F81221">
        <w:rPr>
          <w:kern w:val="0"/>
        </w:rPr>
        <w:t xml:space="preserve"> and </w:t>
      </w:r>
      <w:r w:rsidRPr="00AB2335">
        <w:rPr>
          <w:kern w:val="0"/>
        </w:rPr>
        <w:t>immunocytochemical (detection of a digestive enzyme, dipeptidyl-peptidase IV, as a marker of cell viability) follow-up</w:t>
      </w:r>
      <w:r w:rsidR="00F81221">
        <w:rPr>
          <w:kern w:val="0"/>
        </w:rPr>
        <w:t xml:space="preserve"> and </w:t>
      </w:r>
      <w:r w:rsidRPr="00AB2335">
        <w:rPr>
          <w:kern w:val="0"/>
        </w:rPr>
        <w:t>by the growth curve of the tumors after illumination. We conclude that, although the depth of necrosis resulting from PDT was nearly 3 mm at 75 J/cm</w:t>
      </w:r>
      <w:r w:rsidRPr="00A0766B">
        <w:rPr>
          <w:kern w:val="0"/>
          <w:vertAlign w:val="superscript"/>
        </w:rPr>
        <w:t>2</w:t>
      </w:r>
      <w:r w:rsidR="00F81221">
        <w:rPr>
          <w:kern w:val="0"/>
        </w:rPr>
        <w:t xml:space="preserve"> and </w:t>
      </w:r>
      <w:r w:rsidRPr="00AB2335">
        <w:rPr>
          <w:kern w:val="0"/>
        </w:rPr>
        <w:t>nearly 4-5 mm at 150 J/cm</w:t>
      </w:r>
      <w:r w:rsidRPr="00A0766B">
        <w:rPr>
          <w:kern w:val="0"/>
          <w:vertAlign w:val="superscript"/>
        </w:rPr>
        <w:t>2</w:t>
      </w:r>
      <w:r w:rsidRPr="00AB2335">
        <w:rPr>
          <w:kern w:val="0"/>
        </w:rPr>
        <w:t xml:space="preserve"> with both lasers, complete necrosis was obtained only with the CMVL at 150 J/cm</w:t>
      </w:r>
      <w:r w:rsidRPr="00A0766B">
        <w:rPr>
          <w:kern w:val="0"/>
          <w:vertAlign w:val="superscript"/>
        </w:rPr>
        <w:t>2</w:t>
      </w:r>
      <w:r w:rsidRPr="00AB2335">
        <w:rPr>
          <w:kern w:val="0"/>
        </w:rPr>
        <w:t xml:space="preserve"> (in 50% of the tumors). Under the other conditions, a layer of unaffected cells persisted at the pole opposite to laser illumination, resulting in growth curves lower than but parallel to those of the controls. Analysis of drug concentrations in the tumors</w:t>
      </w:r>
      <w:r w:rsidR="00F81221">
        <w:rPr>
          <w:kern w:val="0"/>
        </w:rPr>
        <w:t xml:space="preserve"> and </w:t>
      </w:r>
      <w:r w:rsidRPr="00AB2335">
        <w:rPr>
          <w:kern w:val="0"/>
        </w:rPr>
        <w:t>various organs, 48 hr after injection, i.e., at the time of laser illumination, revealed the presence of 21 g/g dry weight PH in the tumors. The tumor vs. host-organ ratios were equal to or higher than 1 for the small bowel, colon, stomach, lung, skin</w:t>
      </w:r>
      <w:r w:rsidR="00F81221">
        <w:rPr>
          <w:kern w:val="0"/>
        </w:rPr>
        <w:t xml:space="preserve"> and </w:t>
      </w:r>
      <w:r w:rsidRPr="00AB2335">
        <w:rPr>
          <w:kern w:val="0"/>
        </w:rPr>
        <w:t>muscle. In contrast, the ratios were below 1 for the spleen, pancreas, kidney</w:t>
      </w:r>
      <w:r w:rsidR="00F81221">
        <w:rPr>
          <w:kern w:val="0"/>
        </w:rPr>
        <w:t xml:space="preserve"> and </w:t>
      </w:r>
      <w:r w:rsidRPr="00AB2335">
        <w:rPr>
          <w:kern w:val="0"/>
        </w:rPr>
        <w:t xml:space="preserve">liver. </w:t>
      </w:r>
      <w:r w:rsidRPr="00AB2335">
        <w:rPr>
          <w:rFonts w:hint="eastAsia"/>
          <w:kern w:val="0"/>
        </w:rPr>
        <w:t>©</w:t>
      </w:r>
      <w:r w:rsidRPr="00AB2335">
        <w:rPr>
          <w:kern w:val="0"/>
        </w:rPr>
        <w:t xml:space="preserve"> 1992 Wiley-Liss, Inc.</w:t>
      </w:r>
    </w:p>
    <w:p w:rsidR="00B95188" w:rsidRPr="00A428C3" w:rsidRDefault="00B95188" w:rsidP="00B95188">
      <w:pPr>
        <w:pStyle w:val="a0"/>
      </w:pPr>
      <w:r w:rsidRPr="00A428C3">
        <w:t>Helfrich, W., van Geel, M., The, T.H.</w:t>
      </w:r>
      <w:r w:rsidR="00F81221">
        <w:t xml:space="preserve"> and </w:t>
      </w:r>
      <w:r w:rsidRPr="00A428C3">
        <w:t xml:space="preserve">de Leij, L. (1994), Detection of a putative 30-kDa ligand of the cluster-2 antigen. </w:t>
      </w:r>
      <w:r w:rsidRPr="00A428C3">
        <w:rPr>
          <w:i/>
        </w:rPr>
        <w:t>International Journal of Cancer</w:t>
      </w:r>
      <w:r w:rsidRPr="00A428C3">
        <w:t xml:space="preserve">, </w:t>
      </w:r>
      <w:r w:rsidRPr="00A428C3">
        <w:rPr>
          <w:b/>
        </w:rPr>
        <w:t>S8</w:t>
      </w:r>
      <w:r w:rsidRPr="00A428C3">
        <w:t>, 70-75.</w:t>
      </w:r>
    </w:p>
    <w:p w:rsidR="00AB2335" w:rsidRDefault="00AB2335" w:rsidP="00AB2335">
      <w:pPr>
        <w:pStyle w:val="a0"/>
        <w:rPr>
          <w:kern w:val="0"/>
        </w:rPr>
      </w:pPr>
      <w:r>
        <w:rPr>
          <w:rFonts w:hint="eastAsia"/>
          <w:kern w:val="0"/>
        </w:rPr>
        <w:t xml:space="preserve">Full Text: </w:t>
      </w:r>
      <w:hyperlink r:id="rId1670" w:history="1">
        <w:r w:rsidR="00A0766B" w:rsidRPr="00A0766B">
          <w:rPr>
            <w:rStyle w:val="a5"/>
            <w:kern w:val="0"/>
          </w:rPr>
          <w:t>1994\Int J CanS8, 70.pdf</w:t>
        </w:r>
      </w:hyperlink>
    </w:p>
    <w:p w:rsidR="00B95188" w:rsidRPr="00A428C3" w:rsidRDefault="00B95188" w:rsidP="00B95188">
      <w:pPr>
        <w:pStyle w:val="a0"/>
      </w:pPr>
      <w:r w:rsidRPr="00A428C3">
        <w:t>Abstract: The cluster-2 antigen, also called EGP-2, is a 38-kDa trans-membrane glycoprotein with a distribution that is largely confined to human epithelial cells</w:t>
      </w:r>
      <w:r w:rsidR="00F81221">
        <w:t xml:space="preserve"> and </w:t>
      </w:r>
      <w:r w:rsidRPr="00A428C3">
        <w:t xml:space="preserve">their derived carcinomas. Monoclonal antibodies (MAbs) directed against EGP-2 have been extensively studies as anti-tumors agents, yet the function of the antigen is not known. In the present study we used a biotinylated recombinant soluble </w:t>
      </w:r>
      <w:r w:rsidRPr="00A428C3">
        <w:lastRenderedPageBreak/>
        <w:t>derivative of the EGP-2 (sEGP (bio)) as a probe to detect a possible EGP-2 ligand, using various carcinoma cell lines as a substrate. The recombinant soluble EGP-2 was expressed in the Autographa californica nuclear polyhedrosis virus (baculovirus) expression system. The sEGP-2, to which we engineered a poly-histidine affinity tag, was purified from infected Spodoptera frugiperda insect cells using immobilized metal-ion-affinity chromatography (IMAC). In Western blot analysis the sEGP (bio) probe bound to a 30-kDa protein band in 2 out of 5 of the assessed carcinoma cell lines, suggesting that this band may be an EGP-2 ligand. Interestingly, binding only occurred when, prior to SDS-PAGE, cell lysates had been subjected to a reducing agent (2-mercapto-ethanol). The physiological significance of this phenomenon</w:t>
      </w:r>
      <w:r w:rsidR="00F81221">
        <w:t xml:space="preserve"> and </w:t>
      </w:r>
      <w:r w:rsidRPr="00A428C3">
        <w:t>nature of the detected 30-kDa protein band remains to be determined. (C) 1994 Wiley-Liss, Inc.</w:t>
      </w:r>
    </w:p>
    <w:p w:rsidR="00B95188" w:rsidRPr="00A428C3" w:rsidRDefault="00B95188" w:rsidP="00B95188">
      <w:pPr>
        <w:pStyle w:val="a0"/>
      </w:pPr>
      <w:r w:rsidRPr="00A428C3">
        <w:t>Keywords: Carcinoma-Associated Antigen, Cell Lung-Cancer, Monoclonal-Antibodies, Molecular-Cloning, Proteins, Lines, Cdna</w:t>
      </w:r>
    </w:p>
    <w:p w:rsidR="00B95188" w:rsidRPr="00A428C3" w:rsidRDefault="00B95188" w:rsidP="00B95188">
      <w:pPr>
        <w:pStyle w:val="a0"/>
      </w:pPr>
      <w:r w:rsidRPr="00A428C3">
        <w:t>Fritschi, L.</w:t>
      </w:r>
      <w:r w:rsidR="00F81221">
        <w:t xml:space="preserve"> and </w:t>
      </w:r>
      <w:r w:rsidRPr="00A428C3">
        <w:t>Siemiatycki, J. (1996), Lymphoma, myeloma</w:t>
      </w:r>
      <w:r w:rsidR="00F81221">
        <w:t xml:space="preserve"> and </w:t>
      </w:r>
      <w:r w:rsidRPr="00A428C3">
        <w:t xml:space="preserve">occupation: Results of a case-control study. </w:t>
      </w:r>
      <w:r w:rsidRPr="00A428C3">
        <w:rPr>
          <w:i/>
        </w:rPr>
        <w:t>International Journal of Cancer</w:t>
      </w:r>
      <w:r w:rsidRPr="00A428C3">
        <w:t xml:space="preserve">, </w:t>
      </w:r>
      <w:r w:rsidRPr="00A428C3">
        <w:rPr>
          <w:b/>
        </w:rPr>
        <w:t>67</w:t>
      </w:r>
      <w:r w:rsidRPr="00A428C3">
        <w:t xml:space="preserve"> (4), 498-503.</w:t>
      </w:r>
    </w:p>
    <w:p w:rsidR="00A0766B" w:rsidRDefault="00A0766B" w:rsidP="00A0766B">
      <w:pPr>
        <w:pStyle w:val="a0"/>
        <w:rPr>
          <w:kern w:val="0"/>
        </w:rPr>
      </w:pPr>
      <w:r>
        <w:rPr>
          <w:rFonts w:hint="eastAsia"/>
          <w:kern w:val="0"/>
        </w:rPr>
        <w:t xml:space="preserve">Full Text: </w:t>
      </w:r>
      <w:hyperlink r:id="rId1671" w:history="1">
        <w:r w:rsidRPr="00A0766B">
          <w:rPr>
            <w:rStyle w:val="a5"/>
            <w:kern w:val="0"/>
          </w:rPr>
          <w:t>1996\Int J Can67, 498.pdf</w:t>
        </w:r>
      </w:hyperlink>
    </w:p>
    <w:p w:rsidR="00B95188" w:rsidRPr="00A428C3" w:rsidRDefault="00B95188" w:rsidP="00B95188">
      <w:pPr>
        <w:pStyle w:val="a0"/>
      </w:pPr>
      <w:r w:rsidRPr="00A428C3">
        <w:t>Abstract: The known risk factors for lymphoma</w:t>
      </w:r>
      <w:r w:rsidR="00F81221">
        <w:t xml:space="preserve"> and </w:t>
      </w:r>
      <w:r w:rsidRPr="00A428C3">
        <w:t>myeloma cannot account for the current incidence rates of these cancers,</w:t>
      </w:r>
      <w:r w:rsidR="00F81221">
        <w:t xml:space="preserve"> and </w:t>
      </w:r>
      <w:r w:rsidRPr="00A428C3">
        <w:t>there is increasing interest in exploring occupational causes. We present results regarding lymphoma</w:t>
      </w:r>
      <w:r w:rsidR="00F81221">
        <w:t xml:space="preserve"> and </w:t>
      </w:r>
      <w:r w:rsidRPr="00A428C3">
        <w:t>myeloma from a large case-control study of hundreds of occupational exposures</w:t>
      </w:r>
      <w:r w:rsidR="00F81221">
        <w:t xml:space="preserve"> and </w:t>
      </w:r>
      <w:r w:rsidRPr="00A428C3">
        <w:t>19 cancer sites. We examine in more detail those exposures previously considered to be related to these cancers, as well as exposures which were strongly related in our initial analyses. Lymphoma was not associated in our data with exposure to solvents or pesticides, or employment in agriculture or wood-related occupations, although numbers of exposed cases were sometimes small. Hodgkin</w:t>
      </w:r>
      <w:r w:rsidR="000352E7">
        <w:t>’</w:t>
      </w:r>
      <w:r w:rsidRPr="00A428C3">
        <w:t>s lymphoma was associated with exposure to fabric dust,</w:t>
      </w:r>
      <w:r w:rsidR="00F81221">
        <w:t xml:space="preserve"> and </w:t>
      </w:r>
      <w:r w:rsidRPr="00A428C3">
        <w:t>non-Hodgkin</w:t>
      </w:r>
      <w:r w:rsidR="000352E7">
        <w:t>’</w:t>
      </w:r>
      <w:r w:rsidRPr="00A428C3">
        <w:t>s lymphoma was associated with exposure to copper dust, ammonia</w:t>
      </w:r>
      <w:r w:rsidR="00F81221">
        <w:t xml:space="preserve"> and </w:t>
      </w:r>
      <w:r w:rsidRPr="00A428C3">
        <w:t>a number of fabric</w:t>
      </w:r>
      <w:r w:rsidR="00F81221">
        <w:t xml:space="preserve"> and </w:t>
      </w:r>
      <w:r w:rsidRPr="00A428C3">
        <w:t>textile-related occupations</w:t>
      </w:r>
      <w:r w:rsidR="00F81221">
        <w:t xml:space="preserve"> and </w:t>
      </w:r>
      <w:r w:rsidRPr="00A428C3">
        <w:t>exposures. Employment as a sheet metal worker was associated with development of myeloma. (C) 1996 Wiley-Liss, Inc.</w:t>
      </w:r>
    </w:p>
    <w:p w:rsidR="00B95188" w:rsidRPr="00A428C3" w:rsidRDefault="00B95188" w:rsidP="00B95188">
      <w:pPr>
        <w:pStyle w:val="a0"/>
      </w:pPr>
      <w:r w:rsidRPr="00A428C3">
        <w:t>Keywords: NOn-Hodgkins-Lymphoma, Cancer Mortality, Multiple-Myeloma, Risk-Factors, Textile Workers, Exposure, Shoe, Men, Malignancies, Tanners</w:t>
      </w:r>
    </w:p>
    <w:p w:rsidR="00B95188" w:rsidRPr="00A428C3" w:rsidRDefault="00B95188" w:rsidP="00B95188">
      <w:pPr>
        <w:pStyle w:val="a0"/>
      </w:pPr>
      <w:r w:rsidRPr="00A428C3">
        <w:t>Zhu, X., Daffada, A.A.I., Chan, C.M.W.</w:t>
      </w:r>
      <w:r w:rsidR="00F81221">
        <w:t xml:space="preserve"> and </w:t>
      </w:r>
      <w:r w:rsidRPr="00A428C3">
        <w:t xml:space="preserve">Dowsett, M. (1997), Identification of an exon 3 deletion splice variant androgen receptor mRNA in human breast cancer. </w:t>
      </w:r>
      <w:r w:rsidRPr="00A428C3">
        <w:rPr>
          <w:i/>
        </w:rPr>
        <w:t>International Journal of Cancer</w:t>
      </w:r>
      <w:r w:rsidRPr="00A428C3">
        <w:t xml:space="preserve">, </w:t>
      </w:r>
      <w:r w:rsidRPr="00A428C3">
        <w:rPr>
          <w:b/>
        </w:rPr>
        <w:t>72</w:t>
      </w:r>
      <w:r w:rsidRPr="00A428C3">
        <w:t xml:space="preserve"> (4), 574-580.</w:t>
      </w:r>
    </w:p>
    <w:p w:rsidR="00B95188" w:rsidRPr="00A428C3" w:rsidRDefault="00B95188" w:rsidP="00B95188">
      <w:pPr>
        <w:pStyle w:val="a0"/>
      </w:pPr>
      <w:r w:rsidRPr="00A428C3">
        <w:t xml:space="preserve">Full Text: </w:t>
      </w:r>
      <w:hyperlink r:id="rId1672" w:history="1">
        <w:r w:rsidRPr="00A428C3">
          <w:rPr>
            <w:rStyle w:val="a5"/>
          </w:rPr>
          <w:t>I\Int J Can72, 574.pdf</w:t>
        </w:r>
      </w:hyperlink>
    </w:p>
    <w:p w:rsidR="00B95188" w:rsidRPr="00A428C3" w:rsidRDefault="00B95188" w:rsidP="00B95188">
      <w:pPr>
        <w:pStyle w:val="a0"/>
      </w:pPr>
      <w:r w:rsidRPr="00A428C3">
        <w:t>Abstract: Androgens</w:t>
      </w:r>
      <w:r w:rsidR="00F81221">
        <w:t xml:space="preserve"> and </w:t>
      </w:r>
      <w:r w:rsidRPr="00A428C3">
        <w:t>androgen receptor (AR) are involved in many regulatory processes in the growth of female breast cells. Mutations in the AR gene and/or alterations of the AR protein sequence may be related to the development</w:t>
      </w:r>
      <w:r w:rsidR="00F81221">
        <w:t xml:space="preserve"> and </w:t>
      </w:r>
      <w:r w:rsidRPr="00A428C3">
        <w:lastRenderedPageBreak/>
        <w:t>progression of breast cancer. Using reverse transcription-polymerase chain reaction we have examined 31 female breast cancer samples, 5 normal female breast tissues</w:t>
      </w:r>
      <w:r w:rsidR="00F81221">
        <w:t xml:space="preserve"> and </w:t>
      </w:r>
      <w:r w:rsidRPr="00A428C3">
        <w:t>6 breast-cancer cell lines for the presence of splice variants of AR mRNA</w:t>
      </w:r>
      <w:r w:rsidR="00F81221">
        <w:t xml:space="preserve"> and </w:t>
      </w:r>
      <w:r w:rsidRPr="00A428C3">
        <w:t>have identified an exon 3 deletion splice variant (Delta 3AR). The higher expression of the variant relative to the wild-type AR (</w:t>
      </w:r>
      <w:smartTag w:uri="urn:schemas-microsoft-com:office:smarttags" w:element="place">
        <w:smartTag w:uri="urn:schemas-microsoft-com:office:smarttags" w:element="City">
          <w:r w:rsidRPr="00A428C3">
            <w:t>WT</w:t>
          </w:r>
        </w:smartTag>
        <w:r w:rsidRPr="00A428C3">
          <w:t xml:space="preserve"> </w:t>
        </w:r>
        <w:smartTag w:uri="urn:schemas-microsoft-com:office:smarttags" w:element="State">
          <w:r w:rsidRPr="00A428C3">
            <w:t>AR</w:t>
          </w:r>
        </w:smartTag>
      </w:smartTag>
      <w:r w:rsidRPr="00A428C3">
        <w:t>) was found in 7 breast-cancer samples (Delta 3/WT &gt; 15%)</w:t>
      </w:r>
      <w:r w:rsidR="00F81221">
        <w:t xml:space="preserve"> and </w:t>
      </w:r>
      <w:r w:rsidRPr="00A428C3">
        <w:t>relatively lower levels of the variant were observed in 3 breast cancer cell lines (Delta 3/WT &lt; 5%). However, in normal breast tissues, expression of the variant was undetectable by Southern blot analysis. In vitro translation of the Delta 3AR mRNA resulted in a variant AR protein of about 105 kDa, smaller than the WT AR by about 5 kDa. We thus report an exon deletion splice variant of AR mRNA in breast cancer. The variant protein is predicted to lack the second zinc finger within the DNA-binding domain</w:t>
      </w:r>
      <w:r w:rsidR="00F81221">
        <w:t xml:space="preserve"> and </w:t>
      </w:r>
      <w:r w:rsidRPr="00A428C3">
        <w:t>is expected to be unable or to have reduced ability to bind to androgen-response elements</w:t>
      </w:r>
      <w:r w:rsidR="00F81221">
        <w:t xml:space="preserve"> and </w:t>
      </w:r>
      <w:r w:rsidRPr="00A428C3">
        <w:t>to activate transcription. The relatively high expression of this AR variant in some breast-cancer tissues may indicate its role in regulating the growth of these cancers. (C) 1997 Wiley-Liss, Inc.</w:t>
      </w:r>
    </w:p>
    <w:p w:rsidR="00B95188" w:rsidRPr="00A428C3" w:rsidRDefault="00B95188" w:rsidP="00B95188">
      <w:pPr>
        <w:pStyle w:val="a0"/>
      </w:pPr>
      <w:r w:rsidRPr="00A428C3">
        <w:t>Keywords: Human Glucocorticoid Receptor, Messenger-RNA Expression, DNA-Binding Domain, Estrogen-Receptor, Progesterone Receptors, Reifenstein Syndrome, Steroid-Receptors, Cells, Tamoxifen, Gene</w:t>
      </w:r>
    </w:p>
    <w:p w:rsidR="00B95188" w:rsidRPr="00A428C3" w:rsidRDefault="00B95188" w:rsidP="00B95188">
      <w:pPr>
        <w:pStyle w:val="a0"/>
      </w:pPr>
      <w:r w:rsidRPr="00A428C3">
        <w:t>Yang, C.Y.</w:t>
      </w:r>
      <w:r w:rsidR="00F81221">
        <w:t xml:space="preserve"> and </w:t>
      </w:r>
      <w:r w:rsidRPr="00A428C3">
        <w:t>Chiu, H.F. (1998), Calcium</w:t>
      </w:r>
      <w:r w:rsidR="00F81221">
        <w:t xml:space="preserve"> and </w:t>
      </w:r>
      <w:r w:rsidRPr="00A428C3">
        <w:t>magnesium in drinking water</w:t>
      </w:r>
      <w:r w:rsidR="00F81221">
        <w:t xml:space="preserve"> and </w:t>
      </w:r>
      <w:r w:rsidRPr="00A428C3">
        <w:t xml:space="preserve">risk of death from rectal cancer. </w:t>
      </w:r>
      <w:r w:rsidRPr="00A428C3">
        <w:rPr>
          <w:i/>
        </w:rPr>
        <w:t>International Journal of Cancer</w:t>
      </w:r>
      <w:r w:rsidRPr="00A428C3">
        <w:t xml:space="preserve">, </w:t>
      </w:r>
      <w:r w:rsidRPr="00A428C3">
        <w:rPr>
          <w:b/>
        </w:rPr>
        <w:t>77</w:t>
      </w:r>
      <w:r w:rsidRPr="00A428C3">
        <w:t xml:space="preserve"> (4), 528-532.</w:t>
      </w:r>
    </w:p>
    <w:p w:rsidR="00B95188" w:rsidRPr="00A428C3" w:rsidRDefault="00B95188" w:rsidP="00B95188">
      <w:pPr>
        <w:pStyle w:val="a0"/>
      </w:pPr>
      <w:r w:rsidRPr="00A428C3">
        <w:t xml:space="preserve">Full Text: </w:t>
      </w:r>
      <w:hyperlink r:id="rId1673" w:history="1">
        <w:r w:rsidRPr="00A428C3">
          <w:rPr>
            <w:rStyle w:val="a5"/>
          </w:rPr>
          <w:t>I\Int J Can77, 528.pdf</w:t>
        </w:r>
      </w:hyperlink>
    </w:p>
    <w:p w:rsidR="00B95188" w:rsidRPr="00A428C3" w:rsidRDefault="00B95188" w:rsidP="00B95188">
      <w:pPr>
        <w:pStyle w:val="a0"/>
      </w:pPr>
      <w:r w:rsidRPr="00A428C3">
        <w:t>Abstract: The possible association between the risk of rectal cancer</w:t>
      </w:r>
      <w:r w:rsidR="00F81221">
        <w:t xml:space="preserve"> and </w:t>
      </w:r>
      <w:r w:rsidRPr="00A428C3">
        <w:t>the levels of calcium</w:t>
      </w:r>
      <w:r w:rsidR="00F81221">
        <w:t xml:space="preserve"> and </w:t>
      </w:r>
      <w:r w:rsidRPr="00A428C3">
        <w:t xml:space="preserve">magnesium in drinking water from municipal supplies was investigated in a matched case-control study in </w:t>
      </w:r>
      <w:smartTag w:uri="urn:schemas-microsoft-com:office:smarttags" w:element="place">
        <w:smartTag w:uri="urn:schemas-microsoft-com:office:smarttags" w:element="country-region">
          <w:r w:rsidRPr="00A428C3">
            <w:t>Taiwan</w:t>
          </w:r>
        </w:smartTag>
      </w:smartTag>
      <w:r w:rsidRPr="00A428C3">
        <w:t xml:space="preserve">. All eligible rectal-cancer deaths (986 cases) of </w:t>
      </w:r>
      <w:smartTag w:uri="urn:schemas-microsoft-com:office:smarttags" w:element="place">
        <w:smartTag w:uri="urn:schemas-microsoft-com:office:smarttags" w:element="country-region">
          <w:r w:rsidRPr="00A428C3">
            <w:t>Taiwan</w:t>
          </w:r>
        </w:smartTag>
      </w:smartTag>
      <w:r w:rsidRPr="00A428C3">
        <w:t xml:space="preserve"> residents from 1990 through 1994 were compared with a sample of deaths from other causes (986 controls),</w:t>
      </w:r>
      <w:r w:rsidR="00F81221">
        <w:t xml:space="preserve"> and </w:t>
      </w:r>
      <w:r w:rsidRPr="00A428C3">
        <w:t>the levels of calcium</w:t>
      </w:r>
      <w:r w:rsidR="00F81221">
        <w:t xml:space="preserve"> and </w:t>
      </w:r>
      <w:r w:rsidRPr="00A428C3">
        <w:t>magnesium in the drinking water of these residents were determined. Data on calcium</w:t>
      </w:r>
      <w:r w:rsidR="00F81221">
        <w:t xml:space="preserve"> and </w:t>
      </w:r>
      <w:r w:rsidRPr="00A428C3">
        <w:t xml:space="preserve">magnesium levels in drinking water throughout </w:t>
      </w:r>
      <w:smartTag w:uri="urn:schemas-microsoft-com:office:smarttags" w:element="place">
        <w:smartTag w:uri="urn:schemas-microsoft-com:office:smarttags" w:element="country-region">
          <w:r w:rsidRPr="00A428C3">
            <w:t>Taiwan</w:t>
          </w:r>
        </w:smartTag>
      </w:smartTag>
      <w:r w:rsidRPr="00A428C3">
        <w:t xml:space="preserve"> were obtained from the Taiwan Water Supply Corporation (TWSC). The control group consisted of people who died from other causes,</w:t>
      </w:r>
      <w:r w:rsidR="00F81221">
        <w:t xml:space="preserve"> and </w:t>
      </w:r>
      <w:r w:rsidRPr="00A428C3">
        <w:t>the controls were pair-matched to the cases by gender, year of birth</w:t>
      </w:r>
      <w:r w:rsidR="00F81221">
        <w:t xml:space="preserve"> and </w:t>
      </w:r>
      <w:r w:rsidRPr="00A428C3">
        <w:t>year of death. Compared with those with calcium levels below 22.0 mg/liter, the adjusted odd ratios (95% confidence interval) were 0.72 (0.53-0.98) for the group with water calcium levels between 22.0</w:t>
      </w:r>
      <w:r w:rsidR="00F81221">
        <w:t xml:space="preserve"> and </w:t>
      </w:r>
      <w:r w:rsidRPr="00A428C3">
        <w:t>40.8 mg/liter</w:t>
      </w:r>
      <w:r w:rsidR="00F81221">
        <w:t xml:space="preserve"> and </w:t>
      </w:r>
      <w:r w:rsidRPr="00A428C3">
        <w:t>0.63 (0.45-0.87) for the group with calcium levels of 40.9 mg/liter or more. The adjusted odd ratios were not statistically significant for the relationship between magnesium levels in drinking water</w:t>
      </w:r>
      <w:r w:rsidR="00F81221">
        <w:t xml:space="preserve"> and </w:t>
      </w:r>
      <w:r w:rsidRPr="00A428C3">
        <w:t>rectal cancer. The results of the present study show that there may be a significant protective effect of calcium intake from drinking water on the risk of rectal cancer.</w:t>
      </w:r>
    </w:p>
    <w:p w:rsidR="00B95188" w:rsidRPr="00A428C3" w:rsidRDefault="00B95188" w:rsidP="00B95188">
      <w:pPr>
        <w:pStyle w:val="a0"/>
      </w:pPr>
      <w:r w:rsidRPr="00A428C3">
        <w:lastRenderedPageBreak/>
        <w:t xml:space="preserve">Keywords: Colorectal-Cancer, Vitamin-D, Cardiovascular Mortality, Dairy-Products, United-States, </w:t>
      </w:r>
      <w:smartTag w:uri="urn:schemas-microsoft-com:office:smarttags" w:element="place">
        <w:smartTag w:uri="urn:schemas-microsoft-com:office:smarttags" w:element="City">
          <w:r w:rsidRPr="00A428C3">
            <w:t>Colon</w:t>
          </w:r>
        </w:smartTag>
      </w:smartTag>
      <w:r w:rsidRPr="00A428C3">
        <w:t xml:space="preserve"> Cancer, Diet, Epithelium, Hardness, ACIDS</w:t>
      </w:r>
    </w:p>
    <w:p w:rsidR="00B95188" w:rsidRPr="00A428C3" w:rsidRDefault="00B95188" w:rsidP="00B95188">
      <w:pPr>
        <w:pStyle w:val="a0"/>
      </w:pPr>
      <w:r w:rsidRPr="00A428C3">
        <w:t>Tang, R.P., Wang, J.Y., Lo, S.K.</w:t>
      </w:r>
      <w:r w:rsidR="00F81221">
        <w:t xml:space="preserve"> and </w:t>
      </w:r>
      <w:r w:rsidRPr="00A428C3">
        <w:t>Hsieh, L.L. (1999), Physical activity, water intake</w:t>
      </w:r>
      <w:r w:rsidR="00F81221">
        <w:t xml:space="preserve"> and </w:t>
      </w:r>
      <w:r w:rsidRPr="00A428C3">
        <w:t xml:space="preserve">risk of colorectal cancer in </w:t>
      </w:r>
      <w:smartTag w:uri="urn:schemas-microsoft-com:office:smarttags" w:element="place">
        <w:smartTag w:uri="urn:schemas-microsoft-com:office:smarttags" w:element="country-region">
          <w:r w:rsidRPr="00A428C3">
            <w:t>Taiwan</w:t>
          </w:r>
        </w:smartTag>
      </w:smartTag>
      <w:r w:rsidRPr="00A428C3">
        <w:t xml:space="preserve">: A hospital-based case-control study. </w:t>
      </w:r>
      <w:r w:rsidRPr="00A428C3">
        <w:rPr>
          <w:i/>
        </w:rPr>
        <w:t>International Journal of Cancer</w:t>
      </w:r>
      <w:r w:rsidRPr="00A428C3">
        <w:t xml:space="preserve">, </w:t>
      </w:r>
      <w:r w:rsidRPr="00A428C3">
        <w:rPr>
          <w:b/>
        </w:rPr>
        <w:t>82</w:t>
      </w:r>
      <w:r w:rsidRPr="00A428C3">
        <w:t xml:space="preserve"> (4), 484-489.</w:t>
      </w:r>
    </w:p>
    <w:p w:rsidR="00B95188" w:rsidRPr="00A428C3" w:rsidRDefault="00B95188" w:rsidP="00B95188">
      <w:pPr>
        <w:pStyle w:val="a0"/>
      </w:pPr>
      <w:r w:rsidRPr="00A428C3">
        <w:t xml:space="preserve">Full Text: </w:t>
      </w:r>
      <w:hyperlink r:id="rId1674" w:history="1">
        <w:r w:rsidRPr="00A428C3">
          <w:rPr>
            <w:rStyle w:val="a5"/>
          </w:rPr>
          <w:t>I\Int J Can82, 484.pdf</w:t>
        </w:r>
      </w:hyperlink>
    </w:p>
    <w:p w:rsidR="00B95188" w:rsidRPr="00A428C3" w:rsidRDefault="00B95188" w:rsidP="00B95188">
      <w:pPr>
        <w:pStyle w:val="a0"/>
      </w:pPr>
      <w:r w:rsidRPr="00A428C3">
        <w:t xml:space="preserve">Abstract: The age-adjusted mortality rates of colorectal cancer have been rising in </w:t>
      </w:r>
      <w:smartTag w:uri="urn:schemas-microsoft-com:office:smarttags" w:element="place">
        <w:smartTag w:uri="urn:schemas-microsoft-com:office:smarttags" w:element="country-region">
          <w:r w:rsidRPr="00A428C3">
            <w:t>Taiwan</w:t>
          </w:r>
        </w:smartTag>
      </w:smartTag>
      <w:r w:rsidRPr="00A428C3">
        <w:t xml:space="preserve"> over the past 2 decades,</w:t>
      </w:r>
      <w:r w:rsidR="00F81221">
        <w:t xml:space="preserve"> and </w:t>
      </w:r>
      <w:r w:rsidRPr="00A428C3">
        <w:t>colorectal cancer is now the third leading cause of cancer mortality in the county. We conducted a hospital-based case-control study to clarify the nature of the association between physical activity, water intake</w:t>
      </w:r>
      <w:r w:rsidR="00F81221">
        <w:t xml:space="preserve"> and </w:t>
      </w:r>
      <w:r w:rsidRPr="00A428C3">
        <w:t>colorectal-cancer risk in Taiwan, A total of 163 subjects (aged 33-80 years) with histologically confirmed primary colorectal cancer</w:t>
      </w:r>
      <w:r w:rsidR="00F81221">
        <w:t xml:space="preserve"> and </w:t>
      </w:r>
      <w:r w:rsidRPr="00A428C3">
        <w:t>163 hospital controls were enrolled during 1992, Dietary intake, physical activity</w:t>
      </w:r>
      <w:r w:rsidR="00F81221">
        <w:t xml:space="preserve"> and </w:t>
      </w:r>
      <w:r w:rsidRPr="00A428C3">
        <w:t>other lifestyle activities were assessed using a comprehensive food-frequency</w:t>
      </w:r>
      <w:r w:rsidR="00F81221">
        <w:t xml:space="preserve"> and </w:t>
      </w:r>
      <w:r w:rsidRPr="00A428C3">
        <w:t>lifestyle-activity questionnaire. Adjusted odds ratios (OR)</w:t>
      </w:r>
      <w:r w:rsidR="00F81221">
        <w:t xml:space="preserve"> and </w:t>
      </w:r>
      <w:r w:rsidRPr="00A428C3">
        <w:t>95% confidence intervals (CI) were estimated using conditional logistic-regression analysis. A strong inverse dose-response relation between increased water intake</w:t>
      </w:r>
      <w:r w:rsidR="00F81221">
        <w:t xml:space="preserve"> and </w:t>
      </w:r>
      <w:r w:rsidRPr="00A428C3">
        <w:t>rectal cancer was found among men after adjustment for other risk factors (p for trend = 0.0005), The OR for rectal cancer among men in the highest tertile of water intake was 0.08 (95% CI, 0, 0.02-0.35) compared with that among men in the lowest tertile (OR = I). Similar but not significant trends were seen among women (p = 0.29). The OR for colon cancer among men with active leisure-time physical activity was 0.19 (95% Cl, 0.05-0.77) times that: among sedentary men (p for trend 0.03), However, physical activity was not associated with colon-cancer risk among women (p = 0.48), No differences in the amount of water intake were found related to level of physical activity. These findings add to the evidence that leisure-time activity may reduce colon-cancer risk, not only in high-risk but also in low-risk populations,</w:t>
      </w:r>
      <w:r w:rsidR="00F81221">
        <w:t xml:space="preserve"> and </w:t>
      </w:r>
      <w:r w:rsidRPr="00A428C3">
        <w:t>support the potential beneficial effect of increased wafer intake in reducing colorectal-cancer risk. (C) 1999 Wiley-Liss, Inc.</w:t>
      </w:r>
    </w:p>
    <w:p w:rsidR="00B95188" w:rsidRPr="00A428C3" w:rsidRDefault="00B95188" w:rsidP="00B95188">
      <w:pPr>
        <w:pStyle w:val="a0"/>
      </w:pPr>
      <w:r w:rsidRPr="00A428C3">
        <w:t xml:space="preserve">Keywords: Colon-Cancer, Men, Women, Insulin, Epidemiology, </w:t>
      </w:r>
      <w:smartTag w:uri="urn:schemas-microsoft-com:office:smarttags" w:element="place">
        <w:smartTag w:uri="urn:schemas-microsoft-com:office:smarttags" w:element="City">
          <w:r w:rsidRPr="00A428C3">
            <w:t>Disease</w:t>
          </w:r>
        </w:smartTag>
        <w:r w:rsidRPr="00A428C3">
          <w:t xml:space="preserve">, </w:t>
        </w:r>
        <w:smartTag w:uri="urn:schemas-microsoft-com:office:smarttags" w:element="country-region">
          <w:r w:rsidRPr="00A428C3">
            <w:t>China</w:t>
          </w:r>
        </w:smartTag>
      </w:smartTag>
    </w:p>
    <w:p w:rsidR="00B95188" w:rsidRPr="00A428C3" w:rsidRDefault="00B95188" w:rsidP="00B95188">
      <w:pPr>
        <w:pStyle w:val="a0"/>
      </w:pPr>
      <w:r w:rsidRPr="00A428C3">
        <w:t>Glaser, A., Kennedy, C., Punt, J.</w:t>
      </w:r>
      <w:r w:rsidR="00F81221">
        <w:t xml:space="preserve"> and </w:t>
      </w:r>
      <w:r w:rsidRPr="00A428C3">
        <w:t xml:space="preserve">Walker, D. (1999), Standardized quantitative assessment of brain tumor survivors treated within clinical trials in childhood. </w:t>
      </w:r>
      <w:r w:rsidRPr="00A428C3">
        <w:rPr>
          <w:i/>
        </w:rPr>
        <w:t>International Journal of Cancer</w:t>
      </w:r>
      <w:r w:rsidRPr="00A428C3">
        <w:t xml:space="preserve">, </w:t>
      </w:r>
      <w:r w:rsidRPr="00A428C3">
        <w:rPr>
          <w:b/>
        </w:rPr>
        <w:t>83</w:t>
      </w:r>
      <w:r w:rsidRPr="00A428C3">
        <w:t xml:space="preserve"> (S12), 77-82.</w:t>
      </w:r>
    </w:p>
    <w:p w:rsidR="00B95188" w:rsidRPr="00A428C3" w:rsidRDefault="00B95188" w:rsidP="00B95188">
      <w:pPr>
        <w:pStyle w:val="a0"/>
      </w:pPr>
      <w:r w:rsidRPr="00A428C3">
        <w:t xml:space="preserve">Full Text: </w:t>
      </w:r>
      <w:hyperlink r:id="rId1675" w:history="1">
        <w:r w:rsidRPr="00A428C3">
          <w:rPr>
            <w:rStyle w:val="a5"/>
          </w:rPr>
          <w:t>I\Int J Can83, 77.pdf</w:t>
        </w:r>
      </w:hyperlink>
    </w:p>
    <w:p w:rsidR="00B95188" w:rsidRPr="00A428C3" w:rsidRDefault="00B95188" w:rsidP="00B95188">
      <w:pPr>
        <w:pStyle w:val="a0"/>
      </w:pPr>
      <w:r w:rsidRPr="00A428C3">
        <w:t>Abstract: Important morbidity</w:t>
      </w:r>
      <w:r w:rsidR="00F81221">
        <w:t xml:space="preserve"> and </w:t>
      </w:r>
      <w:r w:rsidRPr="00A428C3">
        <w:t>impairment of life quality arises from both the primary pathology</w:t>
      </w:r>
      <w:r w:rsidR="00F81221">
        <w:t xml:space="preserve"> and </w:t>
      </w:r>
      <w:r w:rsidRPr="00A428C3">
        <w:t>therapeutic interventions in children with central nervous system (CNS) tumors. Standardized</w:t>
      </w:r>
      <w:r w:rsidR="00F81221">
        <w:t xml:space="preserve"> and </w:t>
      </w:r>
      <w:r w:rsidRPr="00A428C3">
        <w:t xml:space="preserve">systematic collection of morbidity data is a prerequisite of clinical trials in this field. The perception of the survivor is paramount in the determination of quality of life as this variable is dependent on the beholder. </w:t>
      </w:r>
      <w:r w:rsidRPr="00A428C3">
        <w:lastRenderedPageBreak/>
        <w:t>Comprehensive assessment of outcome following therapeutic intervention should evaluate this in parallel with other physical</w:t>
      </w:r>
      <w:r w:rsidR="00F81221">
        <w:t xml:space="preserve"> and </w:t>
      </w:r>
      <w:r w:rsidRPr="00A428C3">
        <w:t>psycho social outcome parameters. A structured, simple schema for the evaluation of survivors of childhood CNS tumors is presented, It is intended to be easily applicable by clinicians within the everyday clinical setting. Information relating to pre-and post-operative states, function, health status</w:t>
      </w:r>
      <w:r w:rsidR="00F81221">
        <w:t xml:space="preserve"> and </w:t>
      </w:r>
      <w:r w:rsidRPr="00A428C3">
        <w:t>emotional</w:t>
      </w:r>
      <w:r w:rsidR="00F81221">
        <w:t xml:space="preserve"> and </w:t>
      </w:r>
      <w:r w:rsidRPr="00A428C3">
        <w:t>psychological well-being is collected at regular intervals from diagnosis. Re-integration into society</w:t>
      </w:r>
      <w:r w:rsidR="00F81221">
        <w:t xml:space="preserve"> and </w:t>
      </w:r>
      <w:r w:rsidRPr="00A428C3">
        <w:t>independence are evaluated. Children self-complete health-status assessments where appropriate. Evidence to support this is presented. The schema is intended to provide a basic framework for the monitoring of health status following treatment of CNS tumors in childhood. Regular assessments may identify individuals in need of more detailed investigation</w:t>
      </w:r>
      <w:r w:rsidR="00F81221">
        <w:t xml:space="preserve"> and </w:t>
      </w:r>
      <w:r w:rsidRPr="00A428C3">
        <w:t>further understanding of the evolution of morbidity in this cohort, Survivors</w:t>
      </w:r>
      <w:r w:rsidR="000352E7">
        <w:t>’</w:t>
      </w:r>
      <w:r w:rsidRPr="00A428C3">
        <w:t xml:space="preserve"> perception of the impact of documented dysfunction on their health-related quality of life will be determined, Optimization of the planning of future clinical service provision</w:t>
      </w:r>
      <w:r w:rsidR="00F81221">
        <w:t xml:space="preserve"> and </w:t>
      </w:r>
      <w:r w:rsidRPr="00A428C3">
        <w:t>therapies will result. Int, J, Cancer Suppl. 12:77-82, (1999), (C) 1999 Wiley-Liss, Inc.</w:t>
      </w:r>
    </w:p>
    <w:p w:rsidR="00B95188" w:rsidRPr="00A428C3" w:rsidRDefault="00B95188" w:rsidP="00B95188">
      <w:pPr>
        <w:pStyle w:val="a0"/>
      </w:pPr>
      <w:r w:rsidRPr="00A428C3">
        <w:t>Keywords: Quality-of-Life, Health Utilities Index, Nervous-System Tumors, Long-Term Survivors, Children, Cancer, Questionnaire, Agreement, Care</w:t>
      </w:r>
    </w:p>
    <w:p w:rsidR="00B95188" w:rsidRPr="00A428C3" w:rsidRDefault="00B95188" w:rsidP="00B95188">
      <w:pPr>
        <w:pStyle w:val="a0"/>
      </w:pPr>
      <w:r w:rsidRPr="00A428C3">
        <w:t>Geoffroy-Perez, A.</w:t>
      </w:r>
      <w:r w:rsidR="00F81221">
        <w:t xml:space="preserve"> and </w:t>
      </w:r>
      <w:r w:rsidRPr="00A428C3">
        <w:t>Cordier, S. (2001), Fluid consumption</w:t>
      </w:r>
      <w:r w:rsidR="00F81221">
        <w:t xml:space="preserve"> and </w:t>
      </w:r>
      <w:r w:rsidRPr="00A428C3">
        <w:t xml:space="preserve">the risk of bladder cancer: Results of a multicenter case-control study. </w:t>
      </w:r>
      <w:r w:rsidRPr="00A428C3">
        <w:rPr>
          <w:i/>
        </w:rPr>
        <w:t>International Journal of Cancer</w:t>
      </w:r>
      <w:r w:rsidRPr="00A428C3">
        <w:t xml:space="preserve">, </w:t>
      </w:r>
      <w:r w:rsidRPr="00A428C3">
        <w:rPr>
          <w:b/>
        </w:rPr>
        <w:t>93</w:t>
      </w:r>
      <w:r w:rsidRPr="00A428C3">
        <w:t xml:space="preserve"> (6), 880-887.</w:t>
      </w:r>
    </w:p>
    <w:p w:rsidR="00B95188" w:rsidRPr="00A428C3" w:rsidRDefault="00B95188" w:rsidP="00B95188">
      <w:pPr>
        <w:pStyle w:val="a0"/>
      </w:pPr>
      <w:r w:rsidRPr="00A428C3">
        <w:t xml:space="preserve">Full Text: </w:t>
      </w:r>
      <w:hyperlink r:id="rId1676" w:history="1">
        <w:r w:rsidRPr="00A428C3">
          <w:rPr>
            <w:rStyle w:val="a5"/>
          </w:rPr>
          <w:t>I\Int J Can93, 880.pdf</w:t>
        </w:r>
      </w:hyperlink>
    </w:p>
    <w:p w:rsidR="00B95188" w:rsidRPr="00A428C3" w:rsidRDefault="00B95188" w:rsidP="00B95188">
      <w:pPr>
        <w:pStyle w:val="a0"/>
        <w:rPr>
          <w:rFonts w:eastAsia="Arial Unicode MS"/>
        </w:rPr>
      </w:pPr>
      <w:r w:rsidRPr="00A428C3">
        <w:t>Abstract: A number of studies suggest a relation between fluid consumption</w:t>
      </w:r>
      <w:r w:rsidR="00F81221">
        <w:t xml:space="preserve"> and </w:t>
      </w:r>
      <w:r w:rsidRPr="00A428C3">
        <w:t xml:space="preserve">the risk of bladder cancer but results are contradictory. Different theories involving the quantity or the type of fluid consumed have been put forward to explain these relations but mechanisms remain unclear. We conducted a multicenter case-control study in several hospitals in </w:t>
      </w:r>
      <w:smartTag w:uri="urn:schemas-microsoft-com:office:smarttags" w:element="place">
        <w:smartTag w:uri="urn:schemas-microsoft-com:office:smarttags" w:element="country-region">
          <w:r w:rsidRPr="00A428C3">
            <w:t>France</w:t>
          </w:r>
        </w:smartTag>
      </w:smartTag>
      <w:r w:rsidRPr="00A428C3">
        <w:t xml:space="preserve"> including 765 cases</w:t>
      </w:r>
      <w:r w:rsidR="00F81221">
        <w:t xml:space="preserve"> and </w:t>
      </w:r>
      <w:r w:rsidRPr="00A428C3">
        <w:t>765 matched controls. Information collected by face-to-face interview included quantity</w:t>
      </w:r>
      <w:r w:rsidR="00F81221">
        <w:t xml:space="preserve"> and </w:t>
      </w:r>
      <w:r w:rsidRPr="00A428C3">
        <w:t>type of beverages consumed from the age of 18 until age at diagnosis, as well as smoking habits. Among men, we observed a slight non-significant increased risk of bladder cancer associated with total fluid intake, irrespectively of tobacco use. This was essentially due to intake of non-alcoholic drinks, coffee</w:t>
      </w:r>
      <w:r w:rsidR="00F81221">
        <w:t xml:space="preserve"> and </w:t>
      </w:r>
      <w:r w:rsidRPr="00A428C3">
        <w:t>bottled juice or water. Relative risks greater than I were observed in relation with coffee consumption. On the other hand, alcohol consumption, especially wine, was associated with relative risks less than unity. No relation could be identified between bladder cancer risk</w:t>
      </w:r>
      <w:r w:rsidR="00F81221">
        <w:t xml:space="preserve"> and </w:t>
      </w:r>
      <w:r w:rsidRPr="00A428C3">
        <w:t>fluid consumption among women. Our results do not support an association between total fluid consumption</w:t>
      </w:r>
      <w:r w:rsidR="00F81221">
        <w:t xml:space="preserve"> and </w:t>
      </w:r>
      <w:r w:rsidRPr="00A428C3">
        <w:t>bladder cancer risk. The role of the different types of fluid consumed, confounding factors</w:t>
      </w:r>
      <w:r w:rsidR="00F81221">
        <w:t xml:space="preserve"> and </w:t>
      </w:r>
      <w:r w:rsidRPr="00A428C3">
        <w:t>bias in the present analysis are discussed. (C) 2001 Wiley-Liss. Inc.</w:t>
      </w:r>
    </w:p>
    <w:p w:rsidR="00B95188" w:rsidRPr="00A428C3" w:rsidRDefault="00B95188" w:rsidP="00B95188">
      <w:pPr>
        <w:pStyle w:val="a0"/>
      </w:pPr>
      <w:r w:rsidRPr="00A428C3">
        <w:lastRenderedPageBreak/>
        <w:t xml:space="preserve">Keywords: Bladder Cancer Risk, Fluid Consumption, Case-Control Study, Lower Urinary-Tract, Drinking-Water, Life-Style, Population, </w:t>
      </w:r>
      <w:smartTag w:uri="urn:schemas-microsoft-com:office:smarttags" w:element="place">
        <w:smartTag w:uri="urn:schemas-microsoft-com:office:smarttags" w:element="City">
          <w:r w:rsidRPr="00A428C3">
            <w:t>Coffee</w:t>
          </w:r>
        </w:smartTag>
        <w:r w:rsidRPr="00A428C3">
          <w:t xml:space="preserve">, </w:t>
        </w:r>
        <w:smartTag w:uri="urn:schemas-microsoft-com:office:smarttags" w:element="country-region">
          <w:r w:rsidRPr="00A428C3">
            <w:t>Germany</w:t>
          </w:r>
        </w:smartTag>
      </w:smartTag>
      <w:r w:rsidRPr="00A428C3">
        <w:t>, Men</w:t>
      </w:r>
    </w:p>
    <w:p w:rsidR="00B95188" w:rsidRPr="00A428C3" w:rsidRDefault="00B95188" w:rsidP="00B95188">
      <w:pPr>
        <w:pStyle w:val="a0"/>
      </w:pPr>
      <w:r w:rsidRPr="00A428C3">
        <w:t>? Gago-Dominguez, M., Castelao, J.E., Yuan, J.M., Yu, M.C.</w:t>
      </w:r>
      <w:r w:rsidR="00F81221">
        <w:t xml:space="preserve"> and </w:t>
      </w:r>
      <w:r w:rsidRPr="00A428C3">
        <w:t>Ross, R.K. (2001), Use of permanent hair dyes</w:t>
      </w:r>
      <w:r w:rsidR="00F81221">
        <w:t xml:space="preserve"> and </w:t>
      </w:r>
      <w:r w:rsidRPr="00A428C3">
        <w:t xml:space="preserve">bladder-cancer risk. </w:t>
      </w:r>
      <w:r w:rsidRPr="00A428C3">
        <w:rPr>
          <w:i/>
        </w:rPr>
        <w:t>International Journal of Cancer</w:t>
      </w:r>
      <w:r w:rsidRPr="00A428C3">
        <w:t xml:space="preserve">, </w:t>
      </w:r>
      <w:r w:rsidRPr="00A428C3">
        <w:rPr>
          <w:b/>
        </w:rPr>
        <w:t>91</w:t>
      </w:r>
      <w:r w:rsidRPr="00A428C3">
        <w:t xml:space="preserve"> (4), 575-579.</w:t>
      </w:r>
    </w:p>
    <w:p w:rsidR="00B95188" w:rsidRPr="00A428C3" w:rsidRDefault="00B95188" w:rsidP="00B95188">
      <w:pPr>
        <w:pStyle w:val="a0"/>
      </w:pPr>
      <w:r w:rsidRPr="00A428C3">
        <w:t xml:space="preserve">Full Text: </w:t>
      </w:r>
      <w:hyperlink r:id="rId1677" w:history="1">
        <w:r w:rsidR="00A0766B" w:rsidRPr="00A0766B">
          <w:rPr>
            <w:rStyle w:val="a5"/>
          </w:rPr>
          <w:t>2001\Int J Can91, 575.pdf</w:t>
        </w:r>
      </w:hyperlink>
    </w:p>
    <w:p w:rsidR="00B95188" w:rsidRPr="00A428C3" w:rsidRDefault="00B95188" w:rsidP="00B95188">
      <w:pPr>
        <w:pStyle w:val="a0"/>
      </w:pPr>
      <w:r w:rsidRPr="00A428C3">
        <w:t>Abstract: A population-based case-control study was conducted in Los Angeles, California, which involved 1,514 incident Eases of bladder cancer</w:t>
      </w:r>
      <w:r w:rsidR="00F81221">
        <w:t xml:space="preserve"> and </w:t>
      </w:r>
      <w:r w:rsidRPr="00A428C3">
        <w:t>an equal number of age-, sex-</w:t>
      </w:r>
      <w:r w:rsidR="00F81221">
        <w:t xml:space="preserve"> and </w:t>
      </w:r>
      <w:r w:rsidRPr="00A428C3">
        <w:t>ethnicity-matched controls. Information on personal use of hair dyes was obtained from 897 cases</w:t>
      </w:r>
      <w:r w:rsidR="00F81221">
        <w:t xml:space="preserve"> and </w:t>
      </w:r>
      <w:r w:rsidRPr="00A428C3">
        <w:t>their matched controls. After adjustment for cigarette smoking, a major risk factor for bladder cancer, women who used permanent hair dyes at least once a month experienced a 2.1-fold risk of bladder cancer relative to non-users (p for trend = 0.04). Risk increased to 3.3 (95% Cl = 1.3-8.4) among regular (at least monthly) users of 15 or more years. Occupational exposure to hair dyes was associated with an increased risk of bladder cancer in this study. Subjects who worked for 10 or more years as hairdressers or barbers experienced a 5-fold (95% Cl = 1.3-19.2) increase in risk compared to individuals not exposed. (C) 2001 Wiley-Liss, Inc.</w:t>
      </w:r>
    </w:p>
    <w:p w:rsidR="00B95188" w:rsidRPr="00A428C3" w:rsidRDefault="00B95188" w:rsidP="00B95188">
      <w:pPr>
        <w:pStyle w:val="a0"/>
      </w:pPr>
      <w:r w:rsidRPr="00A428C3">
        <w:t>Keywords: Bladder Cancer, Permanent Hair Dyes, Hairdressers, Barbers, Case-Control, Lower Urinary-Tract, United-States, Occupational Risks, Hairdressers, Women, Men</w:t>
      </w:r>
    </w:p>
    <w:p w:rsidR="00B95188" w:rsidRPr="00A428C3" w:rsidRDefault="00B95188" w:rsidP="00B95188">
      <w:pPr>
        <w:pStyle w:val="a0"/>
      </w:pPr>
      <w:r w:rsidRPr="00A428C3">
        <w:t>? Seow, A., Poh, W.T., The, M., Eng, P., Wang, Y.T., Tan, W.C., Chia, K.S., Yu, M.C.</w:t>
      </w:r>
      <w:r w:rsidR="00F81221">
        <w:t xml:space="preserve"> and </w:t>
      </w:r>
      <w:r w:rsidRPr="00A428C3">
        <w:t>Lee, H.P. (2002), Diet, reproductive factors</w:t>
      </w:r>
      <w:r w:rsidR="00F81221">
        <w:t xml:space="preserve"> and </w:t>
      </w:r>
      <w:r w:rsidRPr="00A428C3">
        <w:t xml:space="preserve">lung cancer risk among Chinese women in Singapore: Evidence for a protective effect of soy in nonsmokers. </w:t>
      </w:r>
      <w:r w:rsidRPr="00A428C3">
        <w:rPr>
          <w:i/>
        </w:rPr>
        <w:t>International Journal of Cancer</w:t>
      </w:r>
      <w:r w:rsidRPr="00A428C3">
        <w:t xml:space="preserve">, </w:t>
      </w:r>
      <w:r w:rsidRPr="00A428C3">
        <w:rPr>
          <w:b/>
        </w:rPr>
        <w:t>97</w:t>
      </w:r>
      <w:r w:rsidRPr="00A428C3">
        <w:t xml:space="preserve"> (3), 365-371.</w:t>
      </w:r>
    </w:p>
    <w:p w:rsidR="00B95188" w:rsidRPr="00A428C3" w:rsidRDefault="00B95188" w:rsidP="00B95188">
      <w:pPr>
        <w:pStyle w:val="a0"/>
      </w:pPr>
      <w:r w:rsidRPr="00A428C3">
        <w:t xml:space="preserve">Full Text: </w:t>
      </w:r>
      <w:hyperlink r:id="rId1678" w:history="1">
        <w:r w:rsidR="00A0766B" w:rsidRPr="00A0766B">
          <w:rPr>
            <w:rStyle w:val="a5"/>
          </w:rPr>
          <w:t>2002\Int J Can97, 365.pdf</w:t>
        </w:r>
      </w:hyperlink>
    </w:p>
    <w:p w:rsidR="00B95188" w:rsidRPr="00A428C3" w:rsidRDefault="00B95188" w:rsidP="00B95188">
      <w:pPr>
        <w:pStyle w:val="a0"/>
      </w:pPr>
      <w:r w:rsidRPr="00A428C3">
        <w:t>Abstract: The factors associated with risk of lung cancer among nonsmokers have not been fully elucidated, but dietary factors have consistently been shown to play a role. Chinese women are unique in having a high incidence of lung cancer despite a low smoking prevalence. This population is also known to have a high intake of soy, a dietary source of phytoestrogens. We conducted a hospital-based case-control study among Singapore Chinese women, comprising 303 cases</w:t>
      </w:r>
      <w:r w:rsidR="00F81221">
        <w:t xml:space="preserve"> and </w:t>
      </w:r>
      <w:r w:rsidRPr="00A428C3">
        <w:t>765 age-matched controls, of whom 176 cases</w:t>
      </w:r>
      <w:r w:rsidR="00F81221">
        <w:t xml:space="preserve"> and </w:t>
      </w:r>
      <w:r w:rsidRPr="00A428C3">
        <w:t>663 controls were lifetime nonsmokers. Data on demographic background, reproductive factors</w:t>
      </w:r>
      <w:r w:rsidR="00F81221">
        <w:t xml:space="preserve"> and </w:t>
      </w:r>
      <w:r w:rsidRPr="00A428C3">
        <w:t>dietary intake of fruit, vegetables</w:t>
      </w:r>
      <w:r w:rsidR="00F81221">
        <w:t xml:space="preserve"> and </w:t>
      </w:r>
      <w:r w:rsidRPr="00A428C3">
        <w:t>soy foods were obtained by in-person interview. We observed an inverse association between intake of total, cruciferous</w:t>
      </w:r>
      <w:r w:rsidR="00F81221">
        <w:t xml:space="preserve"> and </w:t>
      </w:r>
      <w:r w:rsidRPr="00A428C3">
        <w:t>non-cruciferous vegetables</w:t>
      </w:r>
      <w:r w:rsidR="00F81221">
        <w:t xml:space="preserve"> and </w:t>
      </w:r>
      <w:r w:rsidRPr="00A428C3">
        <w:t xml:space="preserve">risk of lung cancer among smokers. Although smokers in the highest tertile of fruit intake also had a lower risk, this was not statistically significant. Higher intake of soy foods significantly reduced risk of lung cancer among lifetime nonsmokers, but not among smokers. When soy isoflavonoid intake in mg/week was computed based on </w:t>
      </w:r>
      <w:r w:rsidRPr="00A428C3">
        <w:lastRenderedPageBreak/>
        <w:t>frequency</w:t>
      </w:r>
      <w:r w:rsidR="00F81221">
        <w:t xml:space="preserve"> and </w:t>
      </w:r>
      <w:r w:rsidRPr="00A428C3">
        <w:t>portion size of intake of eight common local soy foods, the adjusted OR among nonsmokers for the highest tertile compared to the lowest was 0.56, 95% Cl 0.37-0.85 (p for trend &lt;0.01). Fruit intake was also significantly associated with reduced lung cancer risk among nonsmokers, but the effect was not significant after adjustment for soy intake. On the other hand, soy intake remained an independent predictor of risk after controlling for fruit intake. Reproductive effects were also primarily confined to lifetime nonsmokers, among whom having 3 or more livebirths (adjusted OR 0.65, 0.44-0.96)</w:t>
      </w:r>
      <w:r w:rsidR="00F81221">
        <w:t xml:space="preserve"> and </w:t>
      </w:r>
      <w:r w:rsidRPr="00A428C3">
        <w:t>a menstrual cycle length of more than 30 days (OR 0.46, 0.25-0.84) accorded a significantly reduced risk of lung cancer. Place of birth was significantly associated with risk among nonsmokers (OR 2.6, 1.7-3.9 for China-born vs. local born) but not among smokers. When analysis was restricted to nonsmokers with adenocarcinomas, the dietary effects were consistent or enhanced. On stepwise regression, soy intake</w:t>
      </w:r>
      <w:r w:rsidR="00F81221">
        <w:t xml:space="preserve"> and </w:t>
      </w:r>
      <w:r w:rsidRPr="00A428C3">
        <w:t>cycle length emerged as the independent dietary</w:t>
      </w:r>
      <w:r w:rsidR="00F81221">
        <w:t xml:space="preserve"> and </w:t>
      </w:r>
      <w:r w:rsidRPr="00A428C3">
        <w:t>reproductive predictors of lung cancer risk in nonsmokers. These findings are consistent with other evidence suggesting an involvement of estrogen-related pathways in lung cancer among non-smoking women. (C) 2002 Wiley-Liss, Inc.</w:t>
      </w:r>
    </w:p>
    <w:p w:rsidR="00B95188" w:rsidRPr="00A428C3" w:rsidRDefault="00B95188" w:rsidP="00B95188">
      <w:pPr>
        <w:pStyle w:val="a0"/>
      </w:pPr>
      <w:r w:rsidRPr="00A428C3">
        <w:t>Keywords: Case-Control, Diet, Lung Cancer, Smoking Status, Estrogen, Soy, Family History, Breast-Cancer, United-States, Progesterone Receptors, Steroid-Receptors, Hormone Receptors, Histologic Type, In-Vitro, Estrogen, Vegetables</w:t>
      </w:r>
    </w:p>
    <w:p w:rsidR="00F709D3" w:rsidRDefault="00F709D3" w:rsidP="00F709D3">
      <w:pPr>
        <w:pStyle w:val="a0"/>
        <w:rPr>
          <w:kern w:val="0"/>
        </w:rPr>
      </w:pPr>
      <w:r>
        <w:rPr>
          <w:kern w:val="0"/>
        </w:rPr>
        <w:t>? Browning, D.R.L.</w:t>
      </w:r>
      <w:r w:rsidR="00F81221">
        <w:rPr>
          <w:kern w:val="0"/>
        </w:rPr>
        <w:t xml:space="preserve"> and </w:t>
      </w:r>
      <w:r>
        <w:rPr>
          <w:kern w:val="0"/>
        </w:rPr>
        <w:t>Martin, R.M. (2007), Statins</w:t>
      </w:r>
      <w:r w:rsidR="00F81221">
        <w:rPr>
          <w:kern w:val="0"/>
        </w:rPr>
        <w:t xml:space="preserve"> and </w:t>
      </w:r>
      <w:r>
        <w:rPr>
          <w:kern w:val="0"/>
        </w:rPr>
        <w:t>risk of cancer: A systematic review</w:t>
      </w:r>
      <w:r w:rsidR="00F81221">
        <w:rPr>
          <w:kern w:val="0"/>
        </w:rPr>
        <w:t xml:space="preserve"> and </w:t>
      </w:r>
      <w:r>
        <w:rPr>
          <w:kern w:val="0"/>
        </w:rPr>
        <w:t xml:space="preserve">metaanalysis. </w:t>
      </w:r>
      <w:r>
        <w:rPr>
          <w:i/>
          <w:iCs/>
          <w:kern w:val="0"/>
        </w:rPr>
        <w:t>International Journal of Cancer</w:t>
      </w:r>
      <w:r>
        <w:rPr>
          <w:kern w:val="0"/>
        </w:rPr>
        <w:t xml:space="preserve">, </w:t>
      </w:r>
      <w:r>
        <w:rPr>
          <w:b/>
          <w:bCs/>
          <w:kern w:val="0"/>
        </w:rPr>
        <w:t>120</w:t>
      </w:r>
      <w:r>
        <w:rPr>
          <w:kern w:val="0"/>
        </w:rPr>
        <w:t xml:space="preserve"> (4), 833-843.</w:t>
      </w:r>
    </w:p>
    <w:p w:rsidR="00F709D3" w:rsidRDefault="00F709D3" w:rsidP="00F709D3">
      <w:pPr>
        <w:pStyle w:val="a0"/>
        <w:rPr>
          <w:kern w:val="0"/>
        </w:rPr>
      </w:pPr>
      <w:r>
        <w:rPr>
          <w:kern w:val="0"/>
        </w:rPr>
        <w:t>Abstract: We conducted a systematic review of the association between HMG-CoA reductase inhibitor (statin) use</w:t>
      </w:r>
      <w:r w:rsidR="00F81221">
        <w:rPr>
          <w:kern w:val="0"/>
        </w:rPr>
        <w:t xml:space="preserve"> and </w:t>
      </w:r>
      <w:r>
        <w:rPr>
          <w:kern w:val="0"/>
        </w:rPr>
        <w:t>cancer risk. We searched MEDLINE, EMBASE, Web of Science, ISI Proceedings</w:t>
      </w:r>
      <w:r w:rsidR="00F81221">
        <w:rPr>
          <w:kern w:val="0"/>
        </w:rPr>
        <w:t xml:space="preserve"> and </w:t>
      </w:r>
      <w:r>
        <w:rPr>
          <w:kern w:val="0"/>
        </w:rPr>
        <w:t>BIOSIS Previews bibliographic databases, electronic trials registers</w:t>
      </w:r>
      <w:r w:rsidR="00F81221">
        <w:rPr>
          <w:kern w:val="0"/>
        </w:rPr>
        <w:t xml:space="preserve"> and </w:t>
      </w:r>
      <w:r>
        <w:rPr>
          <w:kern w:val="0"/>
        </w:rPr>
        <w:t>reference lists for potentially eligible randomized trials</w:t>
      </w:r>
      <w:r w:rsidR="00F81221">
        <w:rPr>
          <w:kern w:val="0"/>
        </w:rPr>
        <w:t xml:space="preserve"> and </w:t>
      </w:r>
      <w:r>
        <w:rPr>
          <w:kern w:val="0"/>
        </w:rPr>
        <w:t>observational studies. Thirty-eight individual studies (26 randomized trials involving 103,573 participants</w:t>
      </w:r>
      <w:r w:rsidR="00F81221">
        <w:rPr>
          <w:kern w:val="0"/>
        </w:rPr>
        <w:t xml:space="preserve"> and </w:t>
      </w:r>
      <w:r>
        <w:rPr>
          <w:kern w:val="0"/>
        </w:rPr>
        <w:t>12 observational studies with 826,854 participants) were included. Median follow-up was 3.6</w:t>
      </w:r>
      <w:r w:rsidR="00F81221">
        <w:rPr>
          <w:kern w:val="0"/>
        </w:rPr>
        <w:t xml:space="preserve"> and </w:t>
      </w:r>
      <w:r>
        <w:rPr>
          <w:kern w:val="0"/>
        </w:rPr>
        <w:t>6.2 years for trials</w:t>
      </w:r>
      <w:r w:rsidR="00F81221">
        <w:rPr>
          <w:kern w:val="0"/>
        </w:rPr>
        <w:t xml:space="preserve"> and </w:t>
      </w:r>
      <w:r>
        <w:rPr>
          <w:kern w:val="0"/>
        </w:rPr>
        <w:t xml:space="preserve">observational studies, respectively. In metaanalyses of randomized trials, there was no evidence that statin therapy was associated with incidence of all-cancers (26 trials; pooled risk ratio = 1.00; 95% Cl 0.95-1.05; I-2 = 0%) or the following site-specific cancers: breast (7 trials; risk ratio = 1.01; 0.79-1.30; I-2 = 43%), prostate (4 trials; risk ratio = 1.00; 0.85-1.17; 12 = 0%), colorectum (9 trials; risk ratio = 1.02; 0.89-1.16; I-2 = 0%), lung (9 trials; risk ratio = 0.96; 0.841.09. I-2 = 0%), genito-urinary (5 trials; risk ratio = 0.95; 0.83-log. I-2 = 0%); 3, melanoma (4 trials; risk ratio = 0.86; 0.62-1.20; I-2 = 17%) or gastric (1 trial; risk ratio = 1.00; 0.35-2.85). There was no evidence of differential effects by length of follow-up, statin type (lipophilic vs. lipophobic) or potency. Trial results were generally consistent with </w:t>
      </w:r>
      <w:r>
        <w:rPr>
          <w:kern w:val="0"/>
        </w:rPr>
        <w:lastRenderedPageBreak/>
        <w:t>observational studies. We conclude that statin use is not associated with short-term cancer risk, but longer-latency effects remain possible. (c) 2006 Wiley-Liss. Inc.</w:t>
      </w:r>
    </w:p>
    <w:p w:rsidR="00F709D3" w:rsidRDefault="00F709D3" w:rsidP="00F709D3">
      <w:pPr>
        <w:pStyle w:val="a0"/>
        <w:rPr>
          <w:kern w:val="0"/>
        </w:rPr>
      </w:pPr>
      <w:r>
        <w:rPr>
          <w:kern w:val="0"/>
        </w:rPr>
        <w:t>Keywords: Atherosclerosis Prevention, Average Cholesterol Concentrations, Bibliographic, Bibliographic Databases, Breast-Cancer, Cancer, Clinical-Trials, Coronary-Heart-Disease, Databases, Embase, Follow-Up, Hmg-Coa Reductase Inhibitors, ISI, Lipid-Lowering Drugs, Long-Term Treatment, Medline, Melanoma, Neoplasia, Observational Studies, Placebo-Controlled Trial, Prostate-Cancer, Randomized Controlled-Trial, Ratio, Review, Risk, Science, Statins, Systematic, Systematic Review, Therapy, Web of Science</w:t>
      </w:r>
    </w:p>
    <w:p w:rsidR="00F709D3" w:rsidRDefault="00F709D3" w:rsidP="00F709D3">
      <w:pPr>
        <w:pStyle w:val="a0"/>
        <w:rPr>
          <w:kern w:val="0"/>
        </w:rPr>
      </w:pPr>
      <w:r>
        <w:rPr>
          <w:kern w:val="0"/>
        </w:rPr>
        <w:t>? Green, A., Autier, P., Boniol, M., Boyle, P., Dore, J.F., Gandini, S., Newton-Bishop, J., Secretan, B., Walter, S.J., Weinstock, M.A.</w:t>
      </w:r>
      <w:r w:rsidR="00F81221">
        <w:rPr>
          <w:kern w:val="0"/>
        </w:rPr>
        <w:t xml:space="preserve"> and </w:t>
      </w:r>
      <w:r>
        <w:rPr>
          <w:kern w:val="0"/>
        </w:rPr>
        <w:t>Westerdahl, J. (2007), The association of use of sunbeds with cutaneous malignant melanoma</w:t>
      </w:r>
      <w:r w:rsidR="00F81221">
        <w:rPr>
          <w:kern w:val="0"/>
        </w:rPr>
        <w:t xml:space="preserve"> and </w:t>
      </w:r>
      <w:r>
        <w:rPr>
          <w:kern w:val="0"/>
        </w:rPr>
        <w:t xml:space="preserve">other skin cancers: A systematic review. </w:t>
      </w:r>
      <w:r>
        <w:rPr>
          <w:i/>
          <w:iCs/>
          <w:kern w:val="0"/>
        </w:rPr>
        <w:t>International Journal of Cancer</w:t>
      </w:r>
      <w:r>
        <w:rPr>
          <w:kern w:val="0"/>
        </w:rPr>
        <w:t xml:space="preserve">, </w:t>
      </w:r>
      <w:r>
        <w:rPr>
          <w:b/>
          <w:bCs/>
          <w:kern w:val="0"/>
        </w:rPr>
        <w:t>120</w:t>
      </w:r>
      <w:r>
        <w:rPr>
          <w:kern w:val="0"/>
        </w:rPr>
        <w:t xml:space="preserve"> (5), 1116-1122.</w:t>
      </w:r>
    </w:p>
    <w:p w:rsidR="00F709D3" w:rsidRDefault="00F709D3" w:rsidP="00F709D3">
      <w:pPr>
        <w:pStyle w:val="a0"/>
        <w:rPr>
          <w:kern w:val="0"/>
        </w:rPr>
      </w:pPr>
      <w:r>
        <w:rPr>
          <w:kern w:val="0"/>
        </w:rPr>
        <w:t>Abstract: Exposure to solar ultraviolet (UV) radiation is a known cause of skin cancer. Sunbed use represents an increasingly frequent source of artificial UV exposure in light-skinned populations. To assess the available evidence of the association between sunbed use</w:t>
      </w:r>
      <w:r w:rsidR="00F81221">
        <w:rPr>
          <w:kern w:val="0"/>
        </w:rPr>
        <w:t xml:space="preserve"> and </w:t>
      </w:r>
      <w:r>
        <w:rPr>
          <w:kern w:val="0"/>
        </w:rPr>
        <w:t>cutaneous malignant melanoma (melanoma)</w:t>
      </w:r>
      <w:r w:rsidR="00F81221">
        <w:rPr>
          <w:kern w:val="0"/>
        </w:rPr>
        <w:t xml:space="preserve"> and </w:t>
      </w:r>
      <w:r>
        <w:rPr>
          <w:kern w:val="0"/>
        </w:rPr>
        <w:t>other skin cancers, a systematic review of the literature till March 2006 on epidemiological</w:t>
      </w:r>
      <w:r w:rsidR="00F81221">
        <w:rPr>
          <w:kern w:val="0"/>
        </w:rPr>
        <w:t xml:space="preserve"> and </w:t>
      </w:r>
      <w:r>
        <w:rPr>
          <w:kern w:val="0"/>
        </w:rPr>
        <w:t>biological studies on sunbed use was performed in PUBMED, ISI Web of Science, EMBASE, Pascal, Cochrane library, Lilacs</w:t>
      </w:r>
      <w:r w:rsidR="00F81221">
        <w:rPr>
          <w:kern w:val="0"/>
        </w:rPr>
        <w:t xml:space="preserve"> and </w:t>
      </w:r>
      <w:r>
        <w:rPr>
          <w:kern w:val="0"/>
        </w:rPr>
        <w:t>Medcarib. Search for keywords in the title</w:t>
      </w:r>
      <w:r w:rsidR="00F81221">
        <w:rPr>
          <w:kern w:val="0"/>
        </w:rPr>
        <w:t xml:space="preserve"> and </w:t>
      </w:r>
      <w:r>
        <w:rPr>
          <w:kern w:val="0"/>
        </w:rPr>
        <w:t>in the abstract was done systematically</w:t>
      </w:r>
      <w:r w:rsidR="00F81221">
        <w:rPr>
          <w:kern w:val="0"/>
        </w:rPr>
        <w:t xml:space="preserve"> and </w:t>
      </w:r>
      <w:r>
        <w:rPr>
          <w:kern w:val="0"/>
        </w:rPr>
        <w:t>supplemented by manual searches. Only case-control, cohort or cross-sectional studies were selected. Data were abstracted by means of a standardized data-collection protocol. Based on 19 informative studies, ever-use of sunbeds was positively associated with melanoma (summary relative risk, 1.15; 95% CI, 1.00-1.31), although there was no consistent evidence of a dose-response relationship. First exposure to sunbeds before 35 years of age significantly increased the risk of melanoma, based on 7 informative studies (summary relative risk, 1.75; 95% CI, 1.35-2.26). The summary relative risk of 3 studies of squamous cell carcinoma showed an increased risk. For basal cell carcinoma, the studies did not support an association. The evidence does not support a protective effect of the use of sunbeds against damage to the skin from subsequent sun exposure. Young adults should be discouraged from using indoor tanning equipment</w:t>
      </w:r>
      <w:r w:rsidR="00F81221">
        <w:rPr>
          <w:kern w:val="0"/>
        </w:rPr>
        <w:t xml:space="preserve"> and </w:t>
      </w:r>
      <w:r>
        <w:rPr>
          <w:kern w:val="0"/>
        </w:rPr>
        <w:t>restricted access to sunbeds by minors should be strongly considered. (c) 2006 Wiley-Liss, Inc.</w:t>
      </w:r>
    </w:p>
    <w:p w:rsidR="00F709D3" w:rsidRDefault="00F709D3" w:rsidP="00F709D3">
      <w:pPr>
        <w:pStyle w:val="a0"/>
        <w:rPr>
          <w:kern w:val="0"/>
        </w:rPr>
      </w:pPr>
      <w:r>
        <w:rPr>
          <w:kern w:val="0"/>
        </w:rPr>
        <w:t xml:space="preserve">Keywords: Adolescents, Adults, Artificial Uv, Basal-Cell Carcinoma, Bed Use, Cancer, Carcinoma, Cochrane, Data Collection, Dna-Damage, Dose-Response, Indoor Tanning Facilities, ISI, Literature, Melanoma, Meta-Analysis, Minors, Protective Factor, Protocol, Relative Risk, Review, Risk, Risk-Factors, Science, Skin Cancer, Sun Exposure, Sunbeds, Sunscreen Use, Systematic, Systematic Review, </w:t>
      </w:r>
      <w:r>
        <w:rPr>
          <w:kern w:val="0"/>
        </w:rPr>
        <w:lastRenderedPageBreak/>
        <w:t>Ultraviolet-Light, Web of Science</w:t>
      </w:r>
    </w:p>
    <w:p w:rsidR="00F709D3" w:rsidRDefault="00F709D3" w:rsidP="00F709D3">
      <w:pPr>
        <w:pStyle w:val="a0"/>
        <w:rPr>
          <w:kern w:val="0"/>
        </w:rPr>
      </w:pPr>
      <w:r>
        <w:rPr>
          <w:kern w:val="0"/>
        </w:rPr>
        <w:t>? Lehman, E.M.</w:t>
      </w:r>
      <w:r w:rsidR="00F81221">
        <w:rPr>
          <w:kern w:val="0"/>
        </w:rPr>
        <w:t xml:space="preserve"> and </w:t>
      </w:r>
      <w:r>
        <w:rPr>
          <w:kern w:val="0"/>
        </w:rPr>
        <w:t>Wilson, M.L. (2009), Epidemiology of hepatitis viruses among hepatocellular carcinoma cases</w:t>
      </w:r>
      <w:r w:rsidR="00F81221">
        <w:rPr>
          <w:kern w:val="0"/>
        </w:rPr>
        <w:t xml:space="preserve"> and </w:t>
      </w:r>
      <w:r>
        <w:rPr>
          <w:kern w:val="0"/>
        </w:rPr>
        <w:t>healthy people in Egypt: A systematic review</w:t>
      </w:r>
      <w:r w:rsidR="00F81221">
        <w:rPr>
          <w:kern w:val="0"/>
        </w:rPr>
        <w:t xml:space="preserve"> and </w:t>
      </w:r>
      <w:r>
        <w:rPr>
          <w:kern w:val="0"/>
        </w:rPr>
        <w:t xml:space="preserve">meta-analysis. </w:t>
      </w:r>
      <w:r>
        <w:rPr>
          <w:i/>
          <w:iCs/>
          <w:kern w:val="0"/>
        </w:rPr>
        <w:t>International Journal of Cancer</w:t>
      </w:r>
      <w:r>
        <w:rPr>
          <w:kern w:val="0"/>
        </w:rPr>
        <w:t xml:space="preserve">, </w:t>
      </w:r>
      <w:r>
        <w:rPr>
          <w:b/>
          <w:bCs/>
          <w:kern w:val="0"/>
        </w:rPr>
        <w:t>124</w:t>
      </w:r>
      <w:r>
        <w:rPr>
          <w:kern w:val="0"/>
        </w:rPr>
        <w:t xml:space="preserve"> (3), 690-697.</w:t>
      </w:r>
    </w:p>
    <w:p w:rsidR="00F709D3" w:rsidRDefault="00F709D3" w:rsidP="00F709D3">
      <w:pPr>
        <w:pStyle w:val="a0"/>
        <w:rPr>
          <w:kern w:val="0"/>
        </w:rPr>
      </w:pPr>
      <w:r>
        <w:rPr>
          <w:kern w:val="0"/>
        </w:rPr>
        <w:t>Abstract: Liver cancers are strongly linked to hepatitis B virus (HBV)</w:t>
      </w:r>
      <w:r w:rsidR="00F81221">
        <w:rPr>
          <w:kern w:val="0"/>
        </w:rPr>
        <w:t xml:space="preserve"> and </w:t>
      </w:r>
      <w:r>
        <w:rPr>
          <w:kern w:val="0"/>
        </w:rPr>
        <w:t>hepatitis C virus (HCV). Egypt has the highest prevalence of HCV worldwide</w:t>
      </w:r>
      <w:r w:rsidR="00F81221">
        <w:rPr>
          <w:kern w:val="0"/>
        </w:rPr>
        <w:t xml:space="preserve"> and </w:t>
      </w:r>
      <w:r>
        <w:rPr>
          <w:kern w:val="0"/>
        </w:rPr>
        <w:t>has rising rates of hepatocellular carcinoma (HCC). Egypt</w:t>
      </w:r>
      <w:r w:rsidR="000352E7">
        <w:rPr>
          <w:kern w:val="0"/>
        </w:rPr>
        <w:t>’</w:t>
      </w:r>
      <w:r>
        <w:rPr>
          <w:kern w:val="0"/>
        </w:rPr>
        <w:t>s unique nature of liver disease presents questions regarding the distribution of HBV</w:t>
      </w:r>
      <w:r w:rsidR="00F81221">
        <w:rPr>
          <w:kern w:val="0"/>
        </w:rPr>
        <w:t xml:space="preserve"> and </w:t>
      </w:r>
      <w:r>
        <w:rPr>
          <w:kern w:val="0"/>
        </w:rPr>
        <w:t>HCV in the etiology of HCC. Accordingly, a systematic search of MEDLINE, ISI Web of Science, ScienceDirect</w:t>
      </w:r>
      <w:r w:rsidR="00F81221">
        <w:rPr>
          <w:kern w:val="0"/>
        </w:rPr>
        <w:t xml:space="preserve"> and </w:t>
      </w:r>
      <w:r>
        <w:rPr>
          <w:kern w:val="0"/>
        </w:rPr>
        <w:t>World Health Organisation databases was undertaken for relevant articles regarding HBV</w:t>
      </w:r>
      <w:r w:rsidR="00F81221">
        <w:rPr>
          <w:kern w:val="0"/>
        </w:rPr>
        <w:t xml:space="preserve"> and </w:t>
      </w:r>
      <w:r>
        <w:rPr>
          <w:kern w:val="0"/>
        </w:rPr>
        <w:t>HCV prevalence in Egypt among healthy populations</w:t>
      </w:r>
      <w:r w:rsidR="00F81221">
        <w:rPr>
          <w:kern w:val="0"/>
        </w:rPr>
        <w:t xml:space="preserve"> and </w:t>
      </w:r>
      <w:r>
        <w:rPr>
          <w:kern w:val="0"/>
        </w:rPr>
        <w:t>HCC cases. We calculated weighted mean prevalences for HBV</w:t>
      </w:r>
      <w:r w:rsidR="00F81221">
        <w:rPr>
          <w:kern w:val="0"/>
        </w:rPr>
        <w:t xml:space="preserve"> and </w:t>
      </w:r>
      <w:r>
        <w:rPr>
          <w:kern w:val="0"/>
        </w:rPr>
        <w:t>HCV among the populations of interest</w:t>
      </w:r>
      <w:r w:rsidR="00F81221">
        <w:rPr>
          <w:kern w:val="0"/>
        </w:rPr>
        <w:t xml:space="preserve"> and </w:t>
      </w:r>
      <w:r>
        <w:rPr>
          <w:kern w:val="0"/>
        </w:rPr>
        <w:t>examined differences in prevalence by descriptive features, including age, year</w:t>
      </w:r>
      <w:r w:rsidR="00F81221">
        <w:rPr>
          <w:kern w:val="0"/>
        </w:rPr>
        <w:t xml:space="preserve"> and </w:t>
      </w:r>
      <w:r>
        <w:rPr>
          <w:kern w:val="0"/>
        </w:rPr>
        <w:t>geographic region. Prevalences for HBV</w:t>
      </w:r>
      <w:r w:rsidR="00F81221">
        <w:rPr>
          <w:kern w:val="0"/>
        </w:rPr>
        <w:t xml:space="preserve"> and </w:t>
      </w:r>
      <w:r>
        <w:rPr>
          <w:kern w:val="0"/>
        </w:rPr>
        <w:t>HCV were 6.7%</w:t>
      </w:r>
      <w:r w:rsidR="00F81221">
        <w:rPr>
          <w:kern w:val="0"/>
        </w:rPr>
        <w:t xml:space="preserve"> and </w:t>
      </w:r>
      <w:r>
        <w:rPr>
          <w:kern w:val="0"/>
        </w:rPr>
        <w:t>13.9% among healthy populations,</w:t>
      </w:r>
      <w:r w:rsidR="00F81221">
        <w:rPr>
          <w:kern w:val="0"/>
        </w:rPr>
        <w:t xml:space="preserve"> and </w:t>
      </w:r>
      <w:r>
        <w:rPr>
          <w:kern w:val="0"/>
        </w:rPr>
        <w:t>25.9%</w:t>
      </w:r>
      <w:r w:rsidR="00F81221">
        <w:rPr>
          <w:kern w:val="0"/>
        </w:rPr>
        <w:t xml:space="preserve"> and </w:t>
      </w:r>
      <w:r>
        <w:rPr>
          <w:kern w:val="0"/>
        </w:rPr>
        <w:t>78.5% among HCC cases. Adults had higher prevalences of both infections (Adult HBV = 8.0%, Child HBV = 1.6%; Adult HCV = 15.7%, Child HCV = 4.0%). Geographically, HBV was higher in the south, whereas HCV was greater in the north (North HBV = 4.6%, South HBV = 11.7%; North HCV = 15.8%, South HCV = 6.7%). Among HCC cases, HBV significantly decreased over time (p = 0.001) while HCV did not, suggesting a shift in the relative influences of these viruses in HCC etiology in Egypt. Our results highlight large amounts of heterogeneity among the epidemiological factors associated with liver disease in Egypt</w:t>
      </w:r>
      <w:r w:rsidR="00F81221">
        <w:rPr>
          <w:kern w:val="0"/>
        </w:rPr>
        <w:t xml:space="preserve"> and </w:t>
      </w:r>
      <w:r>
        <w:rPr>
          <w:kern w:val="0"/>
        </w:rPr>
        <w:t>underscore the necessity of an integrated strategy for the successful prevention of viral hepatitis infections</w:t>
      </w:r>
      <w:r w:rsidR="00F81221">
        <w:rPr>
          <w:kern w:val="0"/>
        </w:rPr>
        <w:t xml:space="preserve"> and </w:t>
      </w:r>
      <w:r>
        <w:rPr>
          <w:kern w:val="0"/>
        </w:rPr>
        <w:t>chronic liver disease. (C) 2008 Wiley-Liss, Inc.</w:t>
      </w:r>
    </w:p>
    <w:p w:rsidR="00F709D3" w:rsidRDefault="00F709D3" w:rsidP="00F709D3">
      <w:pPr>
        <w:pStyle w:val="a0"/>
        <w:rPr>
          <w:kern w:val="0"/>
        </w:rPr>
      </w:pPr>
      <w:r>
        <w:rPr>
          <w:kern w:val="0"/>
        </w:rPr>
        <w:t>Keywords: Adult, Adults, B-Virus, Blood-Donors, C Virus, Carcinoma, Child, Chronic Liver-Disease, Community, Databases, Developing Countries, Disease, Epidemiology, Etiology, HBV, HCV, HCV Infection, Health, Hepatitis C, Hepatocellular Carcinoma, Infectious Diseases, Interest, ISI, Liver Cancer, Medline, Meta-Analysis, Nile Delta, Pooled Analysis, Prevalence, Prevention, Review, Risk-Factors, Schistosomiasis, Science, Strategy, Systematic, Systematic Review, Web of Science</w:t>
      </w:r>
    </w:p>
    <w:p w:rsidR="00F709D3" w:rsidRDefault="00F709D3" w:rsidP="00F709D3">
      <w:pPr>
        <w:pStyle w:val="a0"/>
        <w:rPr>
          <w:kern w:val="0"/>
        </w:rPr>
      </w:pPr>
      <w:r>
        <w:rPr>
          <w:kern w:val="0"/>
        </w:rPr>
        <w:t>? Ceelen, W., Fierens, K., Van Nieuwenhove, Y.</w:t>
      </w:r>
      <w:r w:rsidR="00F81221">
        <w:rPr>
          <w:kern w:val="0"/>
        </w:rPr>
        <w:t xml:space="preserve"> and </w:t>
      </w:r>
      <w:r>
        <w:rPr>
          <w:kern w:val="0"/>
        </w:rPr>
        <w:t>Pattyn, P. (2009), Preoperative chemoradiation versus radiation alone for stage II</w:t>
      </w:r>
      <w:r w:rsidR="00F81221">
        <w:rPr>
          <w:kern w:val="0"/>
        </w:rPr>
        <w:t xml:space="preserve"> and </w:t>
      </w:r>
      <w:r>
        <w:rPr>
          <w:kern w:val="0"/>
        </w:rPr>
        <w:t>III resectable rectal cancer: A systematic review</w:t>
      </w:r>
      <w:r w:rsidR="00F81221">
        <w:rPr>
          <w:kern w:val="0"/>
        </w:rPr>
        <w:t xml:space="preserve"> and </w:t>
      </w:r>
      <w:r>
        <w:rPr>
          <w:kern w:val="0"/>
        </w:rPr>
        <w:t xml:space="preserve">meta-analysis. </w:t>
      </w:r>
      <w:r>
        <w:rPr>
          <w:i/>
          <w:iCs/>
          <w:kern w:val="0"/>
        </w:rPr>
        <w:t>International Journal of Cancer</w:t>
      </w:r>
      <w:r>
        <w:rPr>
          <w:kern w:val="0"/>
        </w:rPr>
        <w:t xml:space="preserve">, </w:t>
      </w:r>
      <w:r>
        <w:rPr>
          <w:b/>
          <w:bCs/>
          <w:kern w:val="0"/>
        </w:rPr>
        <w:t>124</w:t>
      </w:r>
      <w:r>
        <w:rPr>
          <w:kern w:val="0"/>
        </w:rPr>
        <w:t xml:space="preserve"> (12), 2966-2972.</w:t>
      </w:r>
    </w:p>
    <w:p w:rsidR="00F709D3" w:rsidRDefault="00F709D3" w:rsidP="00F709D3">
      <w:pPr>
        <w:pStyle w:val="a0"/>
        <w:rPr>
          <w:kern w:val="0"/>
        </w:rPr>
      </w:pPr>
      <w:r>
        <w:rPr>
          <w:kern w:val="0"/>
        </w:rPr>
        <w:t>Abstract: Combining chemotherapy with preoperative radiotherapy (RT) has a sound radiobiological rationale. We performed a systematic review</w:t>
      </w:r>
      <w:r w:rsidR="00F81221">
        <w:rPr>
          <w:kern w:val="0"/>
        </w:rPr>
        <w:t xml:space="preserve"> and </w:t>
      </w:r>
      <w:r>
        <w:rPr>
          <w:kern w:val="0"/>
        </w:rPr>
        <w:t xml:space="preserve">meta-analysis of trials comparing preoperative RT with preoperative chemoradiation (CRT) in rectal </w:t>
      </w:r>
      <w:r>
        <w:rPr>
          <w:kern w:val="0"/>
        </w:rPr>
        <w:lastRenderedPageBreak/>
        <w:t>cancer patients. The Cochrane Central Register of Controlled Trials, Web of Science, EMBASE</w:t>
      </w:r>
      <w:r w:rsidR="00F81221">
        <w:rPr>
          <w:kern w:val="0"/>
        </w:rPr>
        <w:t xml:space="preserve"> and </w:t>
      </w:r>
      <w:r>
        <w:rPr>
          <w:kern w:val="0"/>
        </w:rPr>
        <w:t>MEDLINE (PUBMED) were searched from 1975 until June 2007. Dichotomous parameters were summarized using the odds ratio while time to event data were analyzed using the pooled hazard ratio for death. From the primary search result of 324 trials, 4 relevant randomized trials were identified. The addition of chemotherapy significantly increased grade III</w:t>
      </w:r>
      <w:r w:rsidR="00F81221">
        <w:rPr>
          <w:kern w:val="0"/>
        </w:rPr>
        <w:t xml:space="preserve"> and </w:t>
      </w:r>
      <w:r>
        <w:rPr>
          <w:kern w:val="0"/>
        </w:rPr>
        <w:t>IV acute toxicity (p = 0.002) while no differences were observed in postoperative morbidity or mortality. Preoperative CRT significantly increased the rate of pathological complete response (p &lt; 0.001) although this did not translate into a higher sphincter preservation rate (p = 0.29). The local recurrence rate was significantly lower in the CRT group (p &lt; 0.001). No statistically significant differences were observed in disease free survival (p = 0.89) or overall survival (p = 0.79). Compared to preoperative RT alone, preoperative CRT improves local control in rectal cancer but is associated with a more pronounced treatment related toxicity. The addition of chemotherapy does not benefit sphincter preservation rate or long-term survival. Future trials should address improvements in the rate of distant metastasis</w:t>
      </w:r>
      <w:r w:rsidR="00F81221">
        <w:rPr>
          <w:kern w:val="0"/>
        </w:rPr>
        <w:t xml:space="preserve"> and </w:t>
      </w:r>
      <w:r>
        <w:rPr>
          <w:kern w:val="0"/>
        </w:rPr>
        <w:t>overall survival by incorporating more active chemotherapy. (C) 2008 UICC.</w:t>
      </w:r>
    </w:p>
    <w:p w:rsidR="00F709D3" w:rsidRDefault="00F709D3" w:rsidP="00F709D3">
      <w:pPr>
        <w:pStyle w:val="a0"/>
        <w:rPr>
          <w:kern w:val="0"/>
        </w:rPr>
      </w:pPr>
      <w:r>
        <w:rPr>
          <w:kern w:val="0"/>
        </w:rPr>
        <w:t>Keywords: Anal-Sphincter Function, Cancer, Carcinoma, Chemotherapy, Cochrane, Control, Disease, Dose Leucovorin, Local Recurrence, Meta-Analysis, Morbidity, Mortality, Primary, Quality-of-Life, Radiotherapy, Randomized-Trial, Ratio, Rectal Cancer, Recurrence, Review, Science, Short-Term Radiotherapy, Surgery, Surgery, Survival, Systematic, Systematic Review, Therapy, Total Mesorectal Excision, Toxicity, Treatment, Web of Science</w:t>
      </w:r>
    </w:p>
    <w:p w:rsidR="00596C9E" w:rsidRDefault="00596C9E" w:rsidP="00596C9E">
      <w:pPr>
        <w:pStyle w:val="1"/>
      </w:pPr>
      <w:r>
        <w:br w:type="page"/>
      </w:r>
      <w:bookmarkStart w:id="1249" w:name="_Toc317161267"/>
      <w:r>
        <w:lastRenderedPageBreak/>
        <w:t xml:space="preserve">Title: </w:t>
      </w:r>
      <w:r w:rsidRPr="0012087A">
        <w:t>International Journal of Cardiology</w:t>
      </w:r>
      <w:bookmarkEnd w:id="1249"/>
    </w:p>
    <w:p w:rsidR="00596C9E" w:rsidRDefault="00596C9E" w:rsidP="00B72EF9">
      <w:pPr>
        <w:pStyle w:val="12"/>
      </w:pPr>
      <w:r>
        <w:t xml:space="preserve">Full Journal Title: </w:t>
      </w:r>
      <w:hyperlink r:id="rId1679" w:history="1">
        <w:r w:rsidRPr="0012087A">
          <w:rPr>
            <w:rStyle w:val="a5"/>
          </w:rPr>
          <w:t>International Journal of Cardiology</w:t>
        </w:r>
      </w:hyperlink>
    </w:p>
    <w:p w:rsidR="00596C9E" w:rsidRDefault="00596C9E" w:rsidP="00B72EF9">
      <w:pPr>
        <w:pStyle w:val="12"/>
      </w:pPr>
      <w:r>
        <w:t xml:space="preserve">ISO Abbreviated Title: </w:t>
      </w:r>
    </w:p>
    <w:p w:rsidR="00596C9E" w:rsidRDefault="00596C9E" w:rsidP="00B72EF9">
      <w:pPr>
        <w:pStyle w:val="12"/>
      </w:pPr>
      <w:r>
        <w:t xml:space="preserve">JCR Abbreviated Title: </w:t>
      </w:r>
    </w:p>
    <w:p w:rsidR="00596C9E" w:rsidRDefault="00596C9E" w:rsidP="00B72EF9">
      <w:pPr>
        <w:pStyle w:val="12"/>
      </w:pPr>
      <w:r>
        <w:t xml:space="preserve">ISSN: </w:t>
      </w:r>
    </w:p>
    <w:p w:rsidR="00596C9E" w:rsidRDefault="00596C9E" w:rsidP="00B72EF9">
      <w:pPr>
        <w:pStyle w:val="12"/>
      </w:pPr>
      <w:r>
        <w:t xml:space="preserve">Issues/Year: </w:t>
      </w:r>
    </w:p>
    <w:p w:rsidR="00596C9E" w:rsidRDefault="00FB5623" w:rsidP="00B72EF9">
      <w:pPr>
        <w:pStyle w:val="12"/>
      </w:pPr>
      <w:r>
        <w:t>Journal Country/Territory:</w:t>
      </w:r>
      <w:r w:rsidR="00596C9E">
        <w:t xml:space="preserve"> </w:t>
      </w:r>
    </w:p>
    <w:p w:rsidR="00596C9E" w:rsidRDefault="00596C9E" w:rsidP="00B72EF9">
      <w:pPr>
        <w:pStyle w:val="12"/>
      </w:pPr>
      <w:r>
        <w:t xml:space="preserve">Language: </w:t>
      </w:r>
    </w:p>
    <w:p w:rsidR="00596C9E" w:rsidRDefault="00596C9E" w:rsidP="00B72EF9">
      <w:pPr>
        <w:pStyle w:val="12"/>
      </w:pPr>
      <w:r>
        <w:t xml:space="preserve">Publisher: </w:t>
      </w:r>
    </w:p>
    <w:p w:rsidR="00596C9E" w:rsidRDefault="00596C9E" w:rsidP="00B72EF9">
      <w:pPr>
        <w:pStyle w:val="12"/>
      </w:pPr>
      <w:r>
        <w:t xml:space="preserve">Publisher Address: </w:t>
      </w:r>
    </w:p>
    <w:p w:rsidR="00596C9E" w:rsidRDefault="00596C9E" w:rsidP="00B72EF9">
      <w:pPr>
        <w:pStyle w:val="12"/>
      </w:pPr>
      <w:r>
        <w:t>Subject Categories:</w:t>
      </w:r>
    </w:p>
    <w:p w:rsidR="00596C9E" w:rsidRDefault="00596C9E" w:rsidP="00B72EF9">
      <w:pPr>
        <w:pStyle w:val="12"/>
      </w:pPr>
      <w:r>
        <w:rPr>
          <w:rFonts w:hint="eastAsia"/>
        </w:rPr>
        <w:t>:</w:t>
      </w:r>
      <w:r>
        <w:t xml:space="preserve"> Impact Factor</w:t>
      </w:r>
    </w:p>
    <w:p w:rsidR="00596C9E" w:rsidRDefault="00596C9E" w:rsidP="00596C9E">
      <w:pPr>
        <w:pStyle w:val="a0"/>
        <w:rPr>
          <w:kern w:val="0"/>
        </w:rPr>
      </w:pPr>
      <w:r>
        <w:rPr>
          <w:rFonts w:hint="eastAsia"/>
          <w:kern w:val="0"/>
        </w:rPr>
        <w:t xml:space="preserve">? </w:t>
      </w:r>
      <w:r>
        <w:rPr>
          <w:kern w:val="0"/>
        </w:rPr>
        <w:t xml:space="preserve">Coats, A.J.S. (2005), Top of the charts: Download versus citations in the </w:t>
      </w:r>
      <w:r w:rsidRPr="0012087A">
        <w:rPr>
          <w:i/>
          <w:iCs/>
          <w:kern w:val="0"/>
        </w:rPr>
        <w:t>International Journal of Cardiology</w:t>
      </w:r>
      <w:r>
        <w:rPr>
          <w:kern w:val="0"/>
        </w:rPr>
        <w:t xml:space="preserve">. </w:t>
      </w:r>
      <w:r w:rsidRPr="0012087A">
        <w:rPr>
          <w:i/>
          <w:iCs/>
          <w:kern w:val="0"/>
        </w:rPr>
        <w:t>International Journal of Cardiology</w:t>
      </w:r>
      <w:r>
        <w:rPr>
          <w:kern w:val="0"/>
        </w:rPr>
        <w:t xml:space="preserve">, </w:t>
      </w:r>
      <w:r>
        <w:rPr>
          <w:b/>
          <w:bCs/>
          <w:kern w:val="0"/>
        </w:rPr>
        <w:t>105</w:t>
      </w:r>
      <w:r>
        <w:rPr>
          <w:kern w:val="0"/>
        </w:rPr>
        <w:t xml:space="preserve"> (2), 123-125.</w:t>
      </w:r>
    </w:p>
    <w:p w:rsidR="00596C9E" w:rsidRDefault="00596C9E" w:rsidP="00A633AE">
      <w:pPr>
        <w:pStyle w:val="a0"/>
        <w:rPr>
          <w:kern w:val="0"/>
        </w:rPr>
      </w:pPr>
      <w:r>
        <w:rPr>
          <w:rFonts w:hint="eastAsia"/>
          <w:kern w:val="0"/>
        </w:rPr>
        <w:t xml:space="preserve">Full Text: </w:t>
      </w:r>
      <w:hyperlink r:id="rId1680" w:history="1">
        <w:r w:rsidR="00A633AE" w:rsidRPr="00A633AE">
          <w:rPr>
            <w:rStyle w:val="a5"/>
            <w:kern w:val="0"/>
          </w:rPr>
          <w:t>2005\Int J Car105, 123.pdf</w:t>
        </w:r>
      </w:hyperlink>
    </w:p>
    <w:p w:rsidR="00596C9E" w:rsidRDefault="00596C9E" w:rsidP="00596C9E">
      <w:pPr>
        <w:pStyle w:val="a0"/>
        <w:rPr>
          <w:kern w:val="0"/>
        </w:rPr>
      </w:pPr>
      <w:r>
        <w:rPr>
          <w:kern w:val="0"/>
        </w:rPr>
        <w:t>Abstract: The medical literature is growing at an alarming rate. Research assessment exercises, research quality frameworks, league tables</w:t>
      </w:r>
      <w:r w:rsidR="00F81221">
        <w:rPr>
          <w:kern w:val="0"/>
        </w:rPr>
        <w:t xml:space="preserve"> and </w:t>
      </w:r>
      <w:r>
        <w:rPr>
          <w:kern w:val="0"/>
        </w:rPr>
        <w:t>the like have attempted to quantify the volume, quality</w:t>
      </w:r>
      <w:r w:rsidR="00F81221">
        <w:rPr>
          <w:kern w:val="0"/>
        </w:rPr>
        <w:t xml:space="preserve"> and </w:t>
      </w:r>
      <w:r>
        <w:rPr>
          <w:kern w:val="0"/>
        </w:rPr>
        <w:t xml:space="preserve">impact of research. Yet the established measures (such as citation rates) are being challenged by the sheer number of journals, variability in the </w:t>
      </w:r>
      <w:r w:rsidR="000352E7">
        <w:rPr>
          <w:kern w:val="0"/>
        </w:rPr>
        <w:t>“</w:t>
      </w:r>
      <w:r>
        <w:rPr>
          <w:kern w:val="0"/>
        </w:rPr>
        <w:t>gold standard</w:t>
      </w:r>
      <w:r w:rsidR="000352E7">
        <w:rPr>
          <w:kern w:val="0"/>
        </w:rPr>
        <w:t>”</w:t>
      </w:r>
      <w:r>
        <w:rPr>
          <w:kern w:val="0"/>
        </w:rPr>
        <w:t xml:space="preserve"> of peer-review</w:t>
      </w:r>
      <w:r w:rsidR="00F81221">
        <w:rPr>
          <w:kern w:val="0"/>
        </w:rPr>
        <w:t xml:space="preserve"> and </w:t>
      </w:r>
      <w:r>
        <w:rPr>
          <w:kern w:val="0"/>
        </w:rPr>
        <w:t>the emergence of open-source or web-based journals. In the last few years, we have seen a growth in downloads to individual journal articles that now easily exceeds formal journal subscriptions. We have recorded the 10 top cited articles over a 12-month period</w:t>
      </w:r>
      <w:r w:rsidR="00F81221">
        <w:rPr>
          <w:kern w:val="0"/>
        </w:rPr>
        <w:t xml:space="preserve"> and </w:t>
      </w:r>
      <w:r>
        <w:rPr>
          <w:kern w:val="0"/>
        </w:rPr>
        <w:t>compared them to the 10 most popular articles being downloaded over the same time period. The citation-based listing included basic</w:t>
      </w:r>
      <w:r w:rsidR="00F81221">
        <w:rPr>
          <w:kern w:val="0"/>
        </w:rPr>
        <w:t xml:space="preserve"> and </w:t>
      </w:r>
      <w:r>
        <w:rPr>
          <w:kern w:val="0"/>
        </w:rPr>
        <w:t>applied, observational</w:t>
      </w:r>
      <w:r w:rsidR="00F81221">
        <w:rPr>
          <w:kern w:val="0"/>
        </w:rPr>
        <w:t xml:space="preserve"> and </w:t>
      </w:r>
      <w:r>
        <w:rPr>
          <w:kern w:val="0"/>
        </w:rPr>
        <w:t>interventional original research reports. For downloaded articles, which have shown a dramatic increase for the International Journal of Cardiology from 48,000 in 2002 to 120,000 in 2003 to 200,000 in 2004, the most popular articles over the same period are very different</w:t>
      </w:r>
      <w:r w:rsidR="00F81221">
        <w:rPr>
          <w:kern w:val="0"/>
        </w:rPr>
        <w:t xml:space="preserve"> and </w:t>
      </w:r>
      <w:r>
        <w:rPr>
          <w:kern w:val="0"/>
        </w:rPr>
        <w:t>are dominated by up-to-date reviews of either cutting-edge topics (such as the potential of stem cells) or of the management of rare or unusual conditions. There is no overlap between the two lists despite covering exactly the same 12-month period</w:t>
      </w:r>
      <w:r w:rsidR="00F81221">
        <w:rPr>
          <w:kern w:val="0"/>
        </w:rPr>
        <w:t xml:space="preserve"> and </w:t>
      </w:r>
      <w:r>
        <w:rPr>
          <w:kern w:val="0"/>
        </w:rPr>
        <w:t>using measures of peer esteem. Perhaps the time has come to look at the usage of articles rather than, or in addition to, their referencing. (c) 2005 Elsevier Ireland Ltd. All rights reserved.</w:t>
      </w:r>
    </w:p>
    <w:p w:rsidR="00596C9E" w:rsidRDefault="00596C9E" w:rsidP="00596C9E">
      <w:pPr>
        <w:pStyle w:val="a0"/>
        <w:rPr>
          <w:kern w:val="0"/>
        </w:rPr>
      </w:pPr>
      <w:r>
        <w:rPr>
          <w:kern w:val="0"/>
        </w:rPr>
        <w:t>Keywords: Acute Coronary Syndromes, Anemia, Cardiology, Citation, Citations, Download, Heart-Failure, Impact Factor, Journal, Medical Journals, Regeneration, Repair, Stem-Cells, Torsade-de-Pointes</w:t>
      </w:r>
    </w:p>
    <w:p w:rsidR="00B54FB3" w:rsidRDefault="00B54FB3" w:rsidP="00B54FB3">
      <w:pPr>
        <w:pStyle w:val="a0"/>
        <w:rPr>
          <w:kern w:val="0"/>
        </w:rPr>
      </w:pPr>
      <w:r>
        <w:rPr>
          <w:rFonts w:hint="eastAsia"/>
          <w:kern w:val="0"/>
        </w:rPr>
        <w:lastRenderedPageBreak/>
        <w:t xml:space="preserve">? </w:t>
      </w:r>
      <w:r w:rsidRPr="00B54FB3">
        <w:rPr>
          <w:kern w:val="0"/>
        </w:rPr>
        <w:t>Coats</w:t>
      </w:r>
      <w:r>
        <w:rPr>
          <w:rFonts w:hint="eastAsia"/>
          <w:kern w:val="0"/>
        </w:rPr>
        <w:t>,</w:t>
      </w:r>
      <w:r w:rsidRPr="00B54FB3">
        <w:rPr>
          <w:kern w:val="0"/>
        </w:rPr>
        <w:t xml:space="preserve"> A</w:t>
      </w:r>
      <w:r>
        <w:rPr>
          <w:rFonts w:hint="eastAsia"/>
          <w:kern w:val="0"/>
        </w:rPr>
        <w:t>.</w:t>
      </w:r>
      <w:r w:rsidRPr="00B54FB3">
        <w:rPr>
          <w:kern w:val="0"/>
        </w:rPr>
        <w:t>J</w:t>
      </w:r>
      <w:r>
        <w:rPr>
          <w:rFonts w:hint="eastAsia"/>
          <w:kern w:val="0"/>
        </w:rPr>
        <w:t>.</w:t>
      </w:r>
      <w:r w:rsidRPr="00B54FB3">
        <w:rPr>
          <w:kern w:val="0"/>
        </w:rPr>
        <w:t>S</w:t>
      </w:r>
      <w:r>
        <w:rPr>
          <w:rFonts w:hint="eastAsia"/>
          <w:kern w:val="0"/>
        </w:rPr>
        <w:t>.</w:t>
      </w:r>
      <w:r>
        <w:rPr>
          <w:kern w:val="0"/>
        </w:rPr>
        <w:t xml:space="preserve"> (200</w:t>
      </w:r>
      <w:r>
        <w:rPr>
          <w:rFonts w:hint="eastAsia"/>
          <w:kern w:val="0"/>
        </w:rPr>
        <w:t>9</w:t>
      </w:r>
      <w:r>
        <w:rPr>
          <w:kern w:val="0"/>
        </w:rPr>
        <w:t xml:space="preserve">), </w:t>
      </w:r>
      <w:r w:rsidRPr="00B54FB3">
        <w:rPr>
          <w:kern w:val="0"/>
        </w:rPr>
        <w:t>Ethical authorship</w:t>
      </w:r>
      <w:r w:rsidR="00F81221">
        <w:rPr>
          <w:kern w:val="0"/>
        </w:rPr>
        <w:t xml:space="preserve"> and </w:t>
      </w:r>
      <w:r w:rsidRPr="00B54FB3">
        <w:rPr>
          <w:kern w:val="0"/>
        </w:rPr>
        <w:t>publishing</w:t>
      </w:r>
      <w:r>
        <w:rPr>
          <w:kern w:val="0"/>
        </w:rPr>
        <w:t xml:space="preserve">. </w:t>
      </w:r>
      <w:r w:rsidRPr="0012087A">
        <w:rPr>
          <w:i/>
          <w:iCs/>
          <w:kern w:val="0"/>
        </w:rPr>
        <w:t>International Journal of Cardiology</w:t>
      </w:r>
      <w:r>
        <w:rPr>
          <w:kern w:val="0"/>
        </w:rPr>
        <w:t xml:space="preserve">, </w:t>
      </w:r>
      <w:r>
        <w:rPr>
          <w:b/>
          <w:bCs/>
          <w:kern w:val="0"/>
        </w:rPr>
        <w:t>1</w:t>
      </w:r>
      <w:r>
        <w:rPr>
          <w:rFonts w:hint="eastAsia"/>
          <w:b/>
          <w:bCs/>
          <w:kern w:val="0"/>
        </w:rPr>
        <w:t>31</w:t>
      </w:r>
      <w:r>
        <w:rPr>
          <w:kern w:val="0"/>
        </w:rPr>
        <w:t xml:space="preserve"> (2), </w:t>
      </w:r>
      <w:r w:rsidRPr="00B54FB3">
        <w:rPr>
          <w:kern w:val="0"/>
        </w:rPr>
        <w:t>149-150</w:t>
      </w:r>
      <w:r>
        <w:rPr>
          <w:kern w:val="0"/>
        </w:rPr>
        <w:t>.</w:t>
      </w:r>
    </w:p>
    <w:p w:rsidR="00B54FB3" w:rsidRDefault="00B54FB3" w:rsidP="00B54FB3">
      <w:pPr>
        <w:pStyle w:val="a0"/>
        <w:rPr>
          <w:kern w:val="0"/>
        </w:rPr>
      </w:pPr>
      <w:r>
        <w:rPr>
          <w:rFonts w:hint="eastAsia"/>
          <w:kern w:val="0"/>
        </w:rPr>
        <w:t xml:space="preserve">Full Text: </w:t>
      </w:r>
      <w:hyperlink r:id="rId1681" w:history="1">
        <w:r w:rsidRPr="00B54FB3">
          <w:rPr>
            <w:rStyle w:val="a5"/>
            <w:kern w:val="0"/>
          </w:rPr>
          <w:t>2009\Int J Car131, 149.pdf</w:t>
        </w:r>
      </w:hyperlink>
    </w:p>
    <w:p w:rsidR="00B54FB3" w:rsidRPr="00B54FB3" w:rsidRDefault="00B54FB3" w:rsidP="00B54FB3">
      <w:pPr>
        <w:pStyle w:val="a0"/>
        <w:rPr>
          <w:kern w:val="0"/>
        </w:rPr>
      </w:pPr>
      <w:r w:rsidRPr="00B54FB3">
        <w:rPr>
          <w:kern w:val="0"/>
        </w:rPr>
        <w:t>Abstract: Principles of Ethical Publishing in the International Journal of Cardiology:</w:t>
      </w:r>
    </w:p>
    <w:p w:rsidR="00B54FB3" w:rsidRPr="00B54FB3" w:rsidRDefault="00B54FB3" w:rsidP="00B54FB3">
      <w:pPr>
        <w:pStyle w:val="a0"/>
        <w:rPr>
          <w:kern w:val="0"/>
        </w:rPr>
      </w:pPr>
      <w:r w:rsidRPr="00B54FB3">
        <w:rPr>
          <w:kern w:val="0"/>
        </w:rPr>
        <w:t>1. That the corresponding author has the approval of all other listed authors for the submission</w:t>
      </w:r>
      <w:r w:rsidR="00F81221">
        <w:rPr>
          <w:kern w:val="0"/>
        </w:rPr>
        <w:t xml:space="preserve"> and </w:t>
      </w:r>
      <w:r w:rsidRPr="00B54FB3">
        <w:rPr>
          <w:kern w:val="0"/>
        </w:rPr>
        <w:t>publication of all versions of the manuscript.</w:t>
      </w:r>
    </w:p>
    <w:p w:rsidR="00B54FB3" w:rsidRPr="00B54FB3" w:rsidRDefault="00B54FB3" w:rsidP="00B54FB3">
      <w:pPr>
        <w:pStyle w:val="a0"/>
        <w:rPr>
          <w:kern w:val="0"/>
        </w:rPr>
      </w:pPr>
      <w:r w:rsidRPr="00B54FB3">
        <w:rPr>
          <w:kern w:val="0"/>
        </w:rPr>
        <w:t>2. That all people who have a right to be recognised as authors have been included on the list of authors</w:t>
      </w:r>
      <w:r w:rsidR="00F81221">
        <w:rPr>
          <w:kern w:val="0"/>
        </w:rPr>
        <w:t xml:space="preserve"> and </w:t>
      </w:r>
      <w:r w:rsidRPr="00B54FB3">
        <w:rPr>
          <w:kern w:val="0"/>
        </w:rPr>
        <w:t>everyone listed as an author has made an independent material contribution to the manuscript</w:t>
      </w:r>
    </w:p>
    <w:p w:rsidR="00B54FB3" w:rsidRPr="00B54FB3" w:rsidRDefault="00B54FB3" w:rsidP="00B54FB3">
      <w:pPr>
        <w:pStyle w:val="a0"/>
        <w:rPr>
          <w:kern w:val="0"/>
        </w:rPr>
      </w:pPr>
      <w:r w:rsidRPr="00B54FB3">
        <w:rPr>
          <w:kern w:val="0"/>
        </w:rPr>
        <w:t>3. That the work submitted in the manuscript is original</w:t>
      </w:r>
      <w:r w:rsidR="00F81221">
        <w:rPr>
          <w:kern w:val="0"/>
        </w:rPr>
        <w:t xml:space="preserve"> and </w:t>
      </w:r>
      <w:r w:rsidRPr="00B54FB3">
        <w:rPr>
          <w:kern w:val="0"/>
        </w:rPr>
        <w:t>has not been published elsewhere</w:t>
      </w:r>
      <w:r w:rsidR="00F81221">
        <w:rPr>
          <w:kern w:val="0"/>
        </w:rPr>
        <w:t xml:space="preserve"> and </w:t>
      </w:r>
      <w:r w:rsidRPr="00B54FB3">
        <w:rPr>
          <w:kern w:val="0"/>
        </w:rPr>
        <w:t>is not presently under consideration of publication by any other journal. The oral or poster presentation of parts of the work</w:t>
      </w:r>
      <w:r w:rsidR="00F81221">
        <w:rPr>
          <w:kern w:val="0"/>
        </w:rPr>
        <w:t xml:space="preserve"> and </w:t>
      </w:r>
      <w:r w:rsidRPr="00B54FB3">
        <w:rPr>
          <w:kern w:val="0"/>
        </w:rPr>
        <w:t>its publishing as a single page abstract does not count as prior publication for this purpose.</w:t>
      </w:r>
    </w:p>
    <w:p w:rsidR="00B54FB3" w:rsidRPr="00B54FB3" w:rsidRDefault="00B54FB3" w:rsidP="00B54FB3">
      <w:pPr>
        <w:pStyle w:val="a0"/>
        <w:rPr>
          <w:kern w:val="0"/>
        </w:rPr>
      </w:pPr>
      <w:r w:rsidRPr="00B54FB3">
        <w:rPr>
          <w:kern w:val="0"/>
        </w:rPr>
        <w:t>4. That the material in the manuscript has been acquired according to modern ethical standards</w:t>
      </w:r>
      <w:r w:rsidR="00F81221">
        <w:rPr>
          <w:kern w:val="0"/>
        </w:rPr>
        <w:t xml:space="preserve"> and </w:t>
      </w:r>
      <w:r w:rsidRPr="00B54FB3">
        <w:rPr>
          <w:kern w:val="0"/>
        </w:rPr>
        <w:t>does not contain material copied from anyone else without their written permission</w:t>
      </w:r>
    </w:p>
    <w:p w:rsidR="00B54FB3" w:rsidRPr="00B54FB3" w:rsidRDefault="00B54FB3" w:rsidP="00B54FB3">
      <w:pPr>
        <w:pStyle w:val="a0"/>
        <w:rPr>
          <w:kern w:val="0"/>
        </w:rPr>
      </w:pPr>
      <w:r w:rsidRPr="00B54FB3">
        <w:rPr>
          <w:kern w:val="0"/>
        </w:rPr>
        <w:t xml:space="preserve">5. That all material which derives from prior work, including from the same authors, is properly attributed to the prior publication by proper citation </w:t>
      </w:r>
    </w:p>
    <w:p w:rsidR="00B54FB3" w:rsidRPr="00B54FB3" w:rsidRDefault="00B54FB3" w:rsidP="00B54FB3">
      <w:pPr>
        <w:pStyle w:val="a0"/>
        <w:rPr>
          <w:kern w:val="0"/>
        </w:rPr>
      </w:pPr>
      <w:r w:rsidRPr="00B54FB3">
        <w:rPr>
          <w:kern w:val="0"/>
        </w:rPr>
        <w:t>6. That the manuscript will be maintained on the servers of the Journal</w:t>
      </w:r>
      <w:r w:rsidR="00F81221">
        <w:rPr>
          <w:kern w:val="0"/>
        </w:rPr>
        <w:t xml:space="preserve"> and </w:t>
      </w:r>
      <w:r w:rsidRPr="00B54FB3">
        <w:rPr>
          <w:kern w:val="0"/>
        </w:rPr>
        <w:t>held to be a valid publication by the Journal only as long as all statements in these principles remain true</w:t>
      </w:r>
    </w:p>
    <w:p w:rsidR="00B54FB3" w:rsidRPr="00B54FB3" w:rsidRDefault="00B54FB3" w:rsidP="00B54FB3">
      <w:pPr>
        <w:pStyle w:val="a0"/>
        <w:rPr>
          <w:kern w:val="0"/>
        </w:rPr>
      </w:pPr>
      <w:r w:rsidRPr="00B54FB3">
        <w:rPr>
          <w:kern w:val="0"/>
        </w:rPr>
        <w:t>7. That if any of the statements above ceases to be true the authors have a duty to notify the journal as soon as possible so that the manuscript can be withdrawn. (C) 2008 Elsevier Ireland Ltd. All rights reserved.</w:t>
      </w:r>
    </w:p>
    <w:p w:rsidR="00B54FB3" w:rsidRDefault="00B54FB3" w:rsidP="00B54FB3">
      <w:pPr>
        <w:pStyle w:val="a0"/>
        <w:rPr>
          <w:kern w:val="0"/>
        </w:rPr>
      </w:pPr>
      <w:r w:rsidRPr="00B54FB3">
        <w:rPr>
          <w:kern w:val="0"/>
        </w:rPr>
        <w:t>Keywords: Medical Journals</w:t>
      </w:r>
      <w:r>
        <w:rPr>
          <w:kern w:val="0"/>
        </w:rPr>
        <w:t>,</w:t>
      </w:r>
      <w:r w:rsidRPr="00B54FB3">
        <w:rPr>
          <w:kern w:val="0"/>
        </w:rPr>
        <w:t xml:space="preserve"> Cardiology</w:t>
      </w:r>
      <w:r>
        <w:rPr>
          <w:kern w:val="0"/>
        </w:rPr>
        <w:t>,</w:t>
      </w:r>
      <w:r w:rsidRPr="00B54FB3">
        <w:rPr>
          <w:kern w:val="0"/>
        </w:rPr>
        <w:t xml:space="preserve"> Ethics</w:t>
      </w:r>
      <w:r>
        <w:rPr>
          <w:kern w:val="0"/>
        </w:rPr>
        <w:t>,</w:t>
      </w:r>
      <w:r w:rsidRPr="00B54FB3">
        <w:rPr>
          <w:kern w:val="0"/>
        </w:rPr>
        <w:t xml:space="preserve"> Plagiarism</w:t>
      </w:r>
      <w:r>
        <w:rPr>
          <w:kern w:val="0"/>
        </w:rPr>
        <w:t>,</w:t>
      </w:r>
      <w:r w:rsidRPr="00B54FB3">
        <w:rPr>
          <w:kern w:val="0"/>
        </w:rPr>
        <w:t xml:space="preserve"> Scientific Misconduct</w:t>
      </w:r>
      <w:r>
        <w:rPr>
          <w:kern w:val="0"/>
        </w:rPr>
        <w:t>, Fraud, Authorship, Retraction</w:t>
      </w:r>
    </w:p>
    <w:p w:rsidR="00F709D3" w:rsidRDefault="00F709D3" w:rsidP="00F709D3">
      <w:pPr>
        <w:pStyle w:val="a0"/>
        <w:rPr>
          <w:kern w:val="0"/>
        </w:rPr>
      </w:pPr>
      <w:r>
        <w:rPr>
          <w:kern w:val="0"/>
        </w:rPr>
        <w:t>? Smart, N.A.</w:t>
      </w:r>
      <w:r w:rsidR="00F81221">
        <w:rPr>
          <w:kern w:val="0"/>
        </w:rPr>
        <w:t xml:space="preserve"> and </w:t>
      </w:r>
      <w:r>
        <w:rPr>
          <w:kern w:val="0"/>
        </w:rPr>
        <w:t>Steele, M. (2010), Systematic review of the effect of aerobic</w:t>
      </w:r>
      <w:r w:rsidR="00F81221">
        <w:rPr>
          <w:kern w:val="0"/>
        </w:rPr>
        <w:t xml:space="preserve"> and </w:t>
      </w:r>
      <w:r>
        <w:rPr>
          <w:kern w:val="0"/>
        </w:rPr>
        <w:t>resistance exercise training on systemic brain natriuretic peptide (BNP)</w:t>
      </w:r>
      <w:r w:rsidR="00F81221">
        <w:rPr>
          <w:kern w:val="0"/>
        </w:rPr>
        <w:t xml:space="preserve"> and </w:t>
      </w:r>
      <w:r>
        <w:rPr>
          <w:kern w:val="0"/>
        </w:rPr>
        <w:t xml:space="preserve">N-terminal BNP expression in heart failure patients. </w:t>
      </w:r>
      <w:r>
        <w:rPr>
          <w:i/>
          <w:iCs/>
          <w:kern w:val="0"/>
        </w:rPr>
        <w:t>International Journal of Cardiology</w:t>
      </w:r>
      <w:r>
        <w:rPr>
          <w:kern w:val="0"/>
        </w:rPr>
        <w:t xml:space="preserve">, </w:t>
      </w:r>
      <w:r>
        <w:rPr>
          <w:b/>
          <w:bCs/>
          <w:kern w:val="0"/>
        </w:rPr>
        <w:t>140</w:t>
      </w:r>
      <w:r>
        <w:rPr>
          <w:kern w:val="0"/>
        </w:rPr>
        <w:t xml:space="preserve"> (3), 260-265.</w:t>
      </w:r>
    </w:p>
    <w:p w:rsidR="00F709D3" w:rsidRDefault="00F709D3" w:rsidP="00F709D3">
      <w:pPr>
        <w:pStyle w:val="a0"/>
        <w:rPr>
          <w:kern w:val="0"/>
        </w:rPr>
      </w:pPr>
      <w:r>
        <w:rPr>
          <w:kern w:val="0"/>
        </w:rPr>
        <w:t>Full Text: 2010\Int J Car140, 260.pdf</w:t>
      </w:r>
    </w:p>
    <w:p w:rsidR="00F709D3" w:rsidRDefault="00F709D3" w:rsidP="00F709D3">
      <w:pPr>
        <w:pStyle w:val="a0"/>
        <w:rPr>
          <w:kern w:val="0"/>
        </w:rPr>
      </w:pPr>
      <w:r>
        <w:rPr>
          <w:kern w:val="0"/>
        </w:rPr>
        <w:t>Abstract: Background: BNP</w:t>
      </w:r>
      <w:r w:rsidR="00F81221">
        <w:rPr>
          <w:kern w:val="0"/>
        </w:rPr>
        <w:t xml:space="preserve"> and </w:t>
      </w:r>
      <w:r>
        <w:rPr>
          <w:kern w:val="0"/>
        </w:rPr>
        <w:t>the N-terminal portion (NT-pro-BNP) have emerged as powerful tools in the diagnosis</w:t>
      </w:r>
      <w:r w:rsidR="00F81221">
        <w:rPr>
          <w:kern w:val="0"/>
        </w:rPr>
        <w:t xml:space="preserve"> and </w:t>
      </w:r>
      <w:r>
        <w:rPr>
          <w:kern w:val="0"/>
        </w:rPr>
        <w:t>prognosis of heart failure on acute presentation. The aim of this work was to systematically review the effect of exercise training on BNP</w:t>
      </w:r>
      <w:r w:rsidR="00F81221">
        <w:rPr>
          <w:kern w:val="0"/>
        </w:rPr>
        <w:t xml:space="preserve"> and </w:t>
      </w:r>
      <w:r>
        <w:rPr>
          <w:kern w:val="0"/>
        </w:rPr>
        <w:t>NT-pro-BNP levels in patients with left ventricular dysfunction. Methods: A systematic search was conducted of MEDLINE (Ovid) (1950-July 2008), EMBASE.com (1974-current), Cochrane Central Register of Controlled Trials, CINAHL (1981-current)</w:t>
      </w:r>
      <w:r w:rsidR="00F81221">
        <w:rPr>
          <w:kern w:val="0"/>
        </w:rPr>
        <w:t xml:space="preserve"> and </w:t>
      </w:r>
      <w:r>
        <w:rPr>
          <w:kern w:val="0"/>
        </w:rPr>
        <w:t xml:space="preserve">Web of Science (2000-current) to identify randomized controlled trials of aerobic and/or resistance exercise training in heart failure patients </w:t>
      </w:r>
      <w:r>
        <w:rPr>
          <w:kern w:val="0"/>
        </w:rPr>
        <w:lastRenderedPageBreak/>
        <w:t>that measured BNP and/or pro-BNP. Primary outcome measures were changes in BNP</w:t>
      </w:r>
      <w:r w:rsidR="00F81221">
        <w:rPr>
          <w:kern w:val="0"/>
        </w:rPr>
        <w:t xml:space="preserve"> and </w:t>
      </w:r>
      <w:r>
        <w:rPr>
          <w:kern w:val="0"/>
        </w:rPr>
        <w:t>NT-pro-BNP. Secondary outcomes were changes in functional capacity</w:t>
      </w:r>
      <w:r w:rsidR="00F81221">
        <w:rPr>
          <w:kern w:val="0"/>
        </w:rPr>
        <w:t xml:space="preserve"> and </w:t>
      </w:r>
      <w:r>
        <w:rPr>
          <w:kern w:val="0"/>
        </w:rPr>
        <w:t>energy expenditure, measures of study quality were also recorded. Results: Nine randomized controlled studies measuring BNP or NT-pro-BNP met our eligibility criteria. Exercise training had a favourable effect on BNP (mean difference-79 pg/ml 95% C.I.-141 to-17 pg/ml, P-0.01)</w:t>
      </w:r>
      <w:r w:rsidR="00F81221">
        <w:rPr>
          <w:kern w:val="0"/>
        </w:rPr>
        <w:t xml:space="preserve"> and </w:t>
      </w:r>
      <w:r>
        <w:rPr>
          <w:kern w:val="0"/>
        </w:rPr>
        <w:t>NT-pro-BNP (mean difference-621 pg/ml, 95% C.I.-844 to-398 pg/ml, P-&lt;0.00001). Moreover the trials that showed a significant change in NT-pro-BNP all had a weekly exercise energy expenditure of more than 400 Kcal. Conclusion: Data from nine published studies, suggest exercise training has a favorable effect on BNP</w:t>
      </w:r>
      <w:r w:rsidR="00F81221">
        <w:rPr>
          <w:kern w:val="0"/>
        </w:rPr>
        <w:t xml:space="preserve"> and </w:t>
      </w:r>
      <w:r>
        <w:rPr>
          <w:kern w:val="0"/>
        </w:rPr>
        <w:t>NT-pro- BNP in heart failure patients. (C) 2009 Elsevier Ireland Ltd. All rights reserved.</w:t>
      </w:r>
    </w:p>
    <w:p w:rsidR="00F709D3" w:rsidRDefault="00F709D3" w:rsidP="00F709D3">
      <w:pPr>
        <w:pStyle w:val="a0"/>
        <w:rPr>
          <w:kern w:val="0"/>
        </w:rPr>
      </w:pPr>
      <w:r>
        <w:rPr>
          <w:kern w:val="0"/>
        </w:rPr>
        <w:t>Keywords: Activation, BNP, Brain, Capacity, Cochrane, Controlled Studies, Diagnosis, Exercise, Functional, Heart Failure, Interval, Metaanalysis, Methods, Outcome, Outcomes, Primary, Prognosis, Randomized Controlled Trials, Rehabilitation, Resistance, Review, Science, Systematic, Systematic Review, Training, Web of Science</w:t>
      </w:r>
    </w:p>
    <w:p w:rsidR="00831E53" w:rsidRDefault="00831E53" w:rsidP="00831E53">
      <w:pPr>
        <w:pStyle w:val="a0"/>
        <w:rPr>
          <w:kern w:val="0"/>
          <w:szCs w:val="24"/>
        </w:rPr>
      </w:pPr>
      <w:r>
        <w:rPr>
          <w:rFonts w:hint="eastAsia"/>
          <w:kern w:val="0"/>
          <w:szCs w:val="24"/>
        </w:rPr>
        <w:t xml:space="preserve">? </w:t>
      </w:r>
      <w:r>
        <w:rPr>
          <w:kern w:val="0"/>
          <w:szCs w:val="24"/>
        </w:rPr>
        <w:t>Hu, L.H., Liao, Z., Gao, R.</w:t>
      </w:r>
      <w:r w:rsidR="00F81221">
        <w:rPr>
          <w:kern w:val="0"/>
          <w:szCs w:val="24"/>
        </w:rPr>
        <w:t xml:space="preserve"> and </w:t>
      </w:r>
      <w:r>
        <w:rPr>
          <w:kern w:val="0"/>
          <w:szCs w:val="24"/>
        </w:rPr>
        <w:t>Li, Z.S. (2010), Scientific publications in cardiology</w:t>
      </w:r>
      <w:r w:rsidR="00F81221">
        <w:rPr>
          <w:kern w:val="0"/>
          <w:szCs w:val="24"/>
        </w:rPr>
        <w:t xml:space="preserve"> and </w:t>
      </w:r>
      <w:r>
        <w:rPr>
          <w:kern w:val="0"/>
          <w:szCs w:val="24"/>
        </w:rPr>
        <w:t xml:space="preserve">cardiovasology journals from Chinese authors in various parts of North Asia: 10-year survey of literature. </w:t>
      </w:r>
      <w:r>
        <w:rPr>
          <w:i/>
          <w:iCs/>
          <w:kern w:val="0"/>
          <w:szCs w:val="24"/>
        </w:rPr>
        <w:t>International Journal of Cardiology</w:t>
      </w:r>
      <w:r>
        <w:rPr>
          <w:kern w:val="0"/>
          <w:szCs w:val="24"/>
        </w:rPr>
        <w:t xml:space="preserve">, </w:t>
      </w:r>
      <w:r>
        <w:rPr>
          <w:b/>
          <w:bCs/>
          <w:kern w:val="0"/>
          <w:szCs w:val="24"/>
        </w:rPr>
        <w:t>140</w:t>
      </w:r>
      <w:r>
        <w:rPr>
          <w:kern w:val="0"/>
          <w:szCs w:val="24"/>
        </w:rPr>
        <w:t xml:space="preserve"> (3), 304-308.</w:t>
      </w:r>
    </w:p>
    <w:p w:rsidR="00831E53" w:rsidRDefault="00831E53" w:rsidP="00831E53">
      <w:pPr>
        <w:pStyle w:val="a0"/>
        <w:rPr>
          <w:kern w:val="0"/>
        </w:rPr>
      </w:pPr>
      <w:r>
        <w:rPr>
          <w:rFonts w:hint="eastAsia"/>
          <w:kern w:val="0"/>
        </w:rPr>
        <w:t xml:space="preserve">Full Text: </w:t>
      </w:r>
      <w:hyperlink r:id="rId1682" w:history="1">
        <w:r w:rsidRPr="008637E0">
          <w:rPr>
            <w:rStyle w:val="a5"/>
            <w:kern w:val="0"/>
          </w:rPr>
          <w:t>2010\Int J Car140, 304.pdf</w:t>
        </w:r>
      </w:hyperlink>
    </w:p>
    <w:p w:rsidR="00831E53" w:rsidRDefault="00831E53" w:rsidP="00831E53">
      <w:pPr>
        <w:pStyle w:val="a0"/>
        <w:rPr>
          <w:kern w:val="0"/>
          <w:szCs w:val="24"/>
        </w:rPr>
      </w:pPr>
      <w:r>
        <w:rPr>
          <w:kern w:val="0"/>
          <w:szCs w:val="24"/>
        </w:rPr>
        <w:t>Abstract: Background: People of Chinese ethnicity make up one of the largest populations in the world. Heart</w:t>
      </w:r>
      <w:r w:rsidR="00F81221">
        <w:rPr>
          <w:kern w:val="0"/>
          <w:szCs w:val="24"/>
        </w:rPr>
        <w:t xml:space="preserve"> and </w:t>
      </w:r>
      <w:r>
        <w:rPr>
          <w:kern w:val="0"/>
          <w:szCs w:val="24"/>
        </w:rPr>
        <w:t>vessel diseases remain the leading cause of morbidity</w:t>
      </w:r>
      <w:r w:rsidR="00F81221">
        <w:rPr>
          <w:kern w:val="0"/>
          <w:szCs w:val="24"/>
        </w:rPr>
        <w:t xml:space="preserve"> and </w:t>
      </w:r>
      <w:r>
        <w:rPr>
          <w:kern w:val="0"/>
          <w:szCs w:val="24"/>
        </w:rPr>
        <w:t>mortality in China. The research status in cardiology</w:t>
      </w:r>
      <w:r w:rsidR="00F81221">
        <w:rPr>
          <w:kern w:val="0"/>
          <w:szCs w:val="24"/>
        </w:rPr>
        <w:t xml:space="preserve"> and </w:t>
      </w:r>
      <w:r>
        <w:rPr>
          <w:kern w:val="0"/>
          <w:szCs w:val="24"/>
        </w:rPr>
        <w:t>cardiovasology among Chinese individuals in the three major regions of China - Mainland (ML), Hong Kong (HK)</w:t>
      </w:r>
      <w:r w:rsidR="00F81221">
        <w:rPr>
          <w:kern w:val="0"/>
          <w:szCs w:val="24"/>
        </w:rPr>
        <w:t xml:space="preserve"> and </w:t>
      </w:r>
      <w:r>
        <w:rPr>
          <w:kern w:val="0"/>
          <w:szCs w:val="24"/>
        </w:rPr>
        <w:t>Taiwan (TW) - are unknown. The outputs of cardiology</w:t>
      </w:r>
      <w:r w:rsidR="00F81221">
        <w:rPr>
          <w:kern w:val="0"/>
          <w:szCs w:val="24"/>
        </w:rPr>
        <w:t xml:space="preserve"> and </w:t>
      </w:r>
      <w:r>
        <w:rPr>
          <w:kern w:val="0"/>
          <w:szCs w:val="24"/>
        </w:rPr>
        <w:t>cardiovasology articles published in international journals from the three regions were compared in this study. Methods: Articles published in 83 journals related to cardiology</w:t>
      </w:r>
      <w:r w:rsidR="00F81221">
        <w:rPr>
          <w:kern w:val="0"/>
          <w:szCs w:val="24"/>
        </w:rPr>
        <w:t xml:space="preserve"> and </w:t>
      </w:r>
      <w:r>
        <w:rPr>
          <w:kern w:val="0"/>
          <w:szCs w:val="24"/>
        </w:rPr>
        <w:t>cardiovasology originating from the ML, TW</w:t>
      </w:r>
      <w:r w:rsidR="00F81221">
        <w:rPr>
          <w:kern w:val="0"/>
          <w:szCs w:val="24"/>
        </w:rPr>
        <w:t xml:space="preserve"> and </w:t>
      </w:r>
      <w:r>
        <w:rPr>
          <w:kern w:val="0"/>
          <w:szCs w:val="24"/>
        </w:rPr>
        <w:t>HK from 1998-2007 were retrieved from the PubMed database. The number of total articles, clinical trial, randomized controlled trial, case reports, impact factors (IF), citations,</w:t>
      </w:r>
      <w:r w:rsidR="00F81221">
        <w:rPr>
          <w:kern w:val="0"/>
          <w:szCs w:val="24"/>
        </w:rPr>
        <w:t xml:space="preserve"> and </w:t>
      </w:r>
      <w:r>
        <w:rPr>
          <w:kern w:val="0"/>
          <w:szCs w:val="24"/>
        </w:rPr>
        <w:t>articles published in top general medicine journals were conducted for quantity</w:t>
      </w:r>
      <w:r w:rsidR="00F81221">
        <w:rPr>
          <w:kern w:val="0"/>
          <w:szCs w:val="24"/>
        </w:rPr>
        <w:t xml:space="preserve"> and </w:t>
      </w:r>
      <w:r>
        <w:rPr>
          <w:kern w:val="0"/>
          <w:szCs w:val="24"/>
        </w:rPr>
        <w:t>quality comparisons. Results: The total number of articles from the three regions increased significantly from 1998 to 2007 (from 154 to 591). There were 2801 articles from ML (883), TW (1404)</w:t>
      </w:r>
      <w:r w:rsidR="00F81221">
        <w:rPr>
          <w:kern w:val="0"/>
          <w:szCs w:val="24"/>
        </w:rPr>
        <w:t xml:space="preserve"> and </w:t>
      </w:r>
      <w:r>
        <w:rPr>
          <w:kern w:val="0"/>
          <w:szCs w:val="24"/>
        </w:rPr>
        <w:t>HK (514) in the past ten years. The number of articles published per year from the ML (297) have exceeded those from TW (235)</w:t>
      </w:r>
      <w:r w:rsidR="00F81221">
        <w:rPr>
          <w:kern w:val="0"/>
          <w:szCs w:val="24"/>
        </w:rPr>
        <w:t xml:space="preserve"> and </w:t>
      </w:r>
      <w:r>
        <w:rPr>
          <w:kern w:val="0"/>
          <w:szCs w:val="24"/>
        </w:rPr>
        <w:t>HK (59) in 2007. The accumulated impact factor of the articles from TW (4082.736) was much higher than ML (2221.699)</w:t>
      </w:r>
      <w:r w:rsidR="00F81221">
        <w:rPr>
          <w:kern w:val="0"/>
          <w:szCs w:val="24"/>
        </w:rPr>
        <w:t xml:space="preserve"> and </w:t>
      </w:r>
      <w:r>
        <w:rPr>
          <w:kern w:val="0"/>
          <w:szCs w:val="24"/>
        </w:rPr>
        <w:t>HK (1673.049). HK had the highest average IF of cardiology</w:t>
      </w:r>
      <w:r w:rsidR="00F81221">
        <w:rPr>
          <w:kern w:val="0"/>
          <w:szCs w:val="24"/>
        </w:rPr>
        <w:t xml:space="preserve"> and </w:t>
      </w:r>
      <w:r>
        <w:rPr>
          <w:kern w:val="0"/>
          <w:szCs w:val="24"/>
        </w:rPr>
        <w:t>cardiovasology articles</w:t>
      </w:r>
      <w:r w:rsidR="00F81221">
        <w:rPr>
          <w:kern w:val="0"/>
          <w:szCs w:val="24"/>
        </w:rPr>
        <w:t xml:space="preserve"> and </w:t>
      </w:r>
      <w:r>
        <w:rPr>
          <w:kern w:val="0"/>
          <w:szCs w:val="24"/>
        </w:rPr>
        <w:t xml:space="preserve">the most articles published in top general medicine journals among the three regions. </w:t>
      </w:r>
      <w:r>
        <w:rPr>
          <w:kern w:val="0"/>
          <w:szCs w:val="24"/>
        </w:rPr>
        <w:lastRenderedPageBreak/>
        <w:t>Conclusion: The total number of articles from the three major regions of China increased significantly from 1998 to 2007. The number of articles published per year from the ML have exceeded those from TW</w:t>
      </w:r>
      <w:r w:rsidR="00F81221">
        <w:rPr>
          <w:kern w:val="0"/>
          <w:szCs w:val="24"/>
        </w:rPr>
        <w:t xml:space="preserve"> and </w:t>
      </w:r>
      <w:r>
        <w:rPr>
          <w:kern w:val="0"/>
          <w:szCs w:val="24"/>
        </w:rPr>
        <w:t>HK. However, the quality of articles from TW</w:t>
      </w:r>
      <w:r w:rsidR="00F81221">
        <w:rPr>
          <w:kern w:val="0"/>
          <w:szCs w:val="24"/>
        </w:rPr>
        <w:t xml:space="preserve"> and </w:t>
      </w:r>
      <w:r>
        <w:rPr>
          <w:kern w:val="0"/>
          <w:szCs w:val="24"/>
        </w:rPr>
        <w:t>HK is better than that from ML. (C) 2008 Elsevier Ireland Ltd. All rights reserved.</w:t>
      </w:r>
    </w:p>
    <w:p w:rsidR="00831E53" w:rsidRDefault="00831E53" w:rsidP="00831E53">
      <w:pPr>
        <w:pStyle w:val="a0"/>
        <w:rPr>
          <w:kern w:val="0"/>
          <w:szCs w:val="24"/>
        </w:rPr>
      </w:pPr>
      <w:r>
        <w:rPr>
          <w:kern w:val="0"/>
          <w:szCs w:val="24"/>
        </w:rPr>
        <w:t>Keywords: Articles, Asia, Cardiovascular-Diseases, China, Citations, Database, Elsevier, Hong Kong, Impact, Impact Factor, Impact Factor (IF), Impact Factors, Journal Citation Reports (JCR), Journals, Literature, Medicine, Publications, Randomized Controlled Trial, Randomized Controlled Trial (RCT), Research, Science Citation Index Expanded (SCIE)</w:t>
      </w:r>
    </w:p>
    <w:p w:rsidR="00C21EF9" w:rsidRDefault="00C21EF9" w:rsidP="00C21EF9">
      <w:pPr>
        <w:pStyle w:val="a0"/>
        <w:rPr>
          <w:kern w:val="0"/>
          <w:szCs w:val="24"/>
        </w:rPr>
      </w:pPr>
      <w:r>
        <w:rPr>
          <w:rFonts w:hint="eastAsia"/>
          <w:kern w:val="0"/>
          <w:szCs w:val="24"/>
        </w:rPr>
        <w:t xml:space="preserve">? </w:t>
      </w:r>
      <w:r>
        <w:rPr>
          <w:kern w:val="0"/>
          <w:szCs w:val="24"/>
        </w:rPr>
        <w:t>Yu, J.H., Li, L.</w:t>
      </w:r>
      <w:r w:rsidR="00F81221">
        <w:rPr>
          <w:kern w:val="0"/>
          <w:szCs w:val="24"/>
        </w:rPr>
        <w:t xml:space="preserve"> and </w:t>
      </w:r>
      <w:r>
        <w:rPr>
          <w:kern w:val="0"/>
          <w:szCs w:val="24"/>
        </w:rPr>
        <w:t xml:space="preserve">Wang, Z.N. (2010), Conclusion is more encouraging than data. </w:t>
      </w:r>
      <w:r>
        <w:rPr>
          <w:i/>
          <w:iCs/>
          <w:kern w:val="0"/>
          <w:szCs w:val="24"/>
        </w:rPr>
        <w:t>International Journal of Cardiology</w:t>
      </w:r>
      <w:r>
        <w:rPr>
          <w:kern w:val="0"/>
          <w:szCs w:val="24"/>
        </w:rPr>
        <w:t xml:space="preserve">, </w:t>
      </w:r>
      <w:r>
        <w:rPr>
          <w:b/>
          <w:bCs/>
          <w:kern w:val="0"/>
          <w:szCs w:val="24"/>
        </w:rPr>
        <w:t>140</w:t>
      </w:r>
      <w:r>
        <w:rPr>
          <w:kern w:val="0"/>
          <w:szCs w:val="24"/>
        </w:rPr>
        <w:t xml:space="preserve"> (3), 361.</w:t>
      </w:r>
    </w:p>
    <w:p w:rsidR="00C21EF9" w:rsidRDefault="00C21EF9" w:rsidP="00C21EF9">
      <w:pPr>
        <w:pStyle w:val="a0"/>
        <w:rPr>
          <w:kern w:val="0"/>
        </w:rPr>
      </w:pPr>
      <w:r>
        <w:rPr>
          <w:rFonts w:hint="eastAsia"/>
          <w:kern w:val="0"/>
        </w:rPr>
        <w:t xml:space="preserve">Full Text: </w:t>
      </w:r>
      <w:hyperlink r:id="rId1683" w:history="1">
        <w:r w:rsidRPr="00C21EF9">
          <w:rPr>
            <w:rStyle w:val="a5"/>
            <w:kern w:val="0"/>
          </w:rPr>
          <w:t>2010\Int J Car140, 361.pdf</w:t>
        </w:r>
      </w:hyperlink>
    </w:p>
    <w:p w:rsidR="00C21EF9" w:rsidRDefault="00C21EF9" w:rsidP="00C21EF9">
      <w:pPr>
        <w:pStyle w:val="a0"/>
        <w:rPr>
          <w:kern w:val="0"/>
          <w:szCs w:val="24"/>
        </w:rPr>
      </w:pPr>
      <w:r>
        <w:rPr>
          <w:kern w:val="0"/>
          <w:szCs w:val="24"/>
        </w:rPr>
        <w:t xml:space="preserve">Abstract: We read the article entitled </w:t>
      </w:r>
      <w:r w:rsidR="000352E7">
        <w:rPr>
          <w:kern w:val="0"/>
          <w:szCs w:val="24"/>
        </w:rPr>
        <w:t>“</w:t>
      </w:r>
      <w:r>
        <w:rPr>
          <w:kern w:val="0"/>
          <w:szCs w:val="24"/>
        </w:rPr>
        <w:t>Scientific publications in cardiology journals from Chinese authors in various parts of North Asia: 10-year survey of literature</w:t>
      </w:r>
      <w:r w:rsidR="000352E7">
        <w:rPr>
          <w:kern w:val="0"/>
          <w:szCs w:val="24"/>
        </w:rPr>
        <w:t>”</w:t>
      </w:r>
      <w:r w:rsidR="00F81221">
        <w:rPr>
          <w:kern w:val="0"/>
          <w:szCs w:val="24"/>
        </w:rPr>
        <w:t xml:space="preserve"> and </w:t>
      </w:r>
      <w:r>
        <w:rPr>
          <w:kern w:val="0"/>
          <w:szCs w:val="24"/>
        </w:rPr>
        <w:t>found that the methodology in that study was not appropriate. Clarification or revision on some raised concerns will make this article much convinced. (C) 2009 Elsevier Ireland Ltd. All rights reserved.</w:t>
      </w:r>
    </w:p>
    <w:p w:rsidR="00C21EF9" w:rsidRDefault="00C21EF9" w:rsidP="00C21EF9">
      <w:pPr>
        <w:pStyle w:val="a0"/>
        <w:rPr>
          <w:kern w:val="0"/>
          <w:szCs w:val="24"/>
        </w:rPr>
      </w:pPr>
      <w:r>
        <w:rPr>
          <w:kern w:val="0"/>
          <w:szCs w:val="24"/>
        </w:rPr>
        <w:t>Keywords: Asia, Elsevier, Impact Factor (IF), Journal Citation Reports (JCR), Journals, Publications, Science Citation Index Expanded (SCIE)</w:t>
      </w:r>
    </w:p>
    <w:p w:rsidR="00C21EF9" w:rsidRDefault="00C21EF9" w:rsidP="00C21EF9">
      <w:pPr>
        <w:pStyle w:val="a0"/>
        <w:rPr>
          <w:kern w:val="0"/>
          <w:szCs w:val="24"/>
        </w:rPr>
      </w:pPr>
      <w:r>
        <w:rPr>
          <w:rFonts w:hint="eastAsia"/>
          <w:kern w:val="0"/>
          <w:szCs w:val="24"/>
        </w:rPr>
        <w:t xml:space="preserve">? </w:t>
      </w:r>
      <w:r>
        <w:rPr>
          <w:kern w:val="0"/>
          <w:szCs w:val="24"/>
        </w:rPr>
        <w:t>Hu, L.H., Liao, Z.A., Gao, R.</w:t>
      </w:r>
      <w:r w:rsidR="00F81221">
        <w:rPr>
          <w:kern w:val="0"/>
          <w:szCs w:val="24"/>
        </w:rPr>
        <w:t xml:space="preserve"> and </w:t>
      </w:r>
      <w:r>
        <w:rPr>
          <w:kern w:val="0"/>
          <w:szCs w:val="24"/>
        </w:rPr>
        <w:t>Li, Z.S. (2010), High quality medical journals</w:t>
      </w:r>
      <w:r w:rsidR="00F81221">
        <w:rPr>
          <w:kern w:val="0"/>
          <w:szCs w:val="24"/>
        </w:rPr>
        <w:t xml:space="preserve"> and </w:t>
      </w:r>
      <w:r>
        <w:rPr>
          <w:kern w:val="0"/>
          <w:szCs w:val="24"/>
        </w:rPr>
        <w:t xml:space="preserve">impact factors. </w:t>
      </w:r>
      <w:r>
        <w:rPr>
          <w:i/>
          <w:iCs/>
          <w:kern w:val="0"/>
          <w:szCs w:val="24"/>
        </w:rPr>
        <w:t>International Journal of Cardiology</w:t>
      </w:r>
      <w:r>
        <w:rPr>
          <w:kern w:val="0"/>
          <w:szCs w:val="24"/>
        </w:rPr>
        <w:t xml:space="preserve">, </w:t>
      </w:r>
      <w:r>
        <w:rPr>
          <w:b/>
          <w:bCs/>
          <w:kern w:val="0"/>
          <w:szCs w:val="24"/>
        </w:rPr>
        <w:t>140</w:t>
      </w:r>
      <w:r>
        <w:rPr>
          <w:kern w:val="0"/>
          <w:szCs w:val="24"/>
        </w:rPr>
        <w:t xml:space="preserve"> (3), 362-363.</w:t>
      </w:r>
    </w:p>
    <w:p w:rsidR="00C21EF9" w:rsidRDefault="00C21EF9" w:rsidP="00C21EF9">
      <w:pPr>
        <w:pStyle w:val="a0"/>
        <w:rPr>
          <w:kern w:val="0"/>
        </w:rPr>
      </w:pPr>
      <w:r>
        <w:rPr>
          <w:rFonts w:hint="eastAsia"/>
          <w:kern w:val="0"/>
        </w:rPr>
        <w:t xml:space="preserve">Full Text: </w:t>
      </w:r>
      <w:hyperlink r:id="rId1684" w:history="1">
        <w:r w:rsidRPr="002E7215">
          <w:rPr>
            <w:rStyle w:val="a5"/>
            <w:kern w:val="0"/>
          </w:rPr>
          <w:t>2010\Int J Car140, 362.pdf</w:t>
        </w:r>
      </w:hyperlink>
    </w:p>
    <w:p w:rsidR="00C21EF9" w:rsidRDefault="00C21EF9" w:rsidP="00C21EF9">
      <w:pPr>
        <w:pStyle w:val="a0"/>
        <w:rPr>
          <w:kern w:val="0"/>
          <w:szCs w:val="24"/>
        </w:rPr>
      </w:pPr>
      <w:r>
        <w:rPr>
          <w:kern w:val="0"/>
          <w:szCs w:val="24"/>
        </w:rPr>
        <w:t>Abstract: Science Citation Index Expanded (SCIE) is multidisciplinary databases of bibliographic information gathered from thousands of scholarly journals. Our purpose was to select high quality</w:t>
      </w:r>
      <w:r w:rsidR="00F81221">
        <w:rPr>
          <w:kern w:val="0"/>
          <w:szCs w:val="24"/>
        </w:rPr>
        <w:t xml:space="preserve"> and </w:t>
      </w:r>
      <w:r>
        <w:rPr>
          <w:kern w:val="0"/>
          <w:szCs w:val="24"/>
        </w:rPr>
        <w:t>currently published journal of cardiology</w:t>
      </w:r>
      <w:r w:rsidR="00F81221">
        <w:rPr>
          <w:kern w:val="0"/>
          <w:szCs w:val="24"/>
        </w:rPr>
        <w:t xml:space="preserve"> and </w:t>
      </w:r>
      <w:r>
        <w:rPr>
          <w:kern w:val="0"/>
          <w:szCs w:val="24"/>
        </w:rPr>
        <w:t>cardiovasology,</w:t>
      </w:r>
      <w:r w:rsidR="00F81221">
        <w:rPr>
          <w:kern w:val="0"/>
          <w:szCs w:val="24"/>
        </w:rPr>
        <w:t xml:space="preserve"> and </w:t>
      </w:r>
      <w:r>
        <w:rPr>
          <w:kern w:val="0"/>
          <w:szCs w:val="24"/>
        </w:rPr>
        <w:t>SCIE is generally recognized by the world. As a general rule, the journals with high impact factors (IF) include the most prestigious, although the perception of prestige is a murky subject. Limitations of the IF are no secret</w:t>
      </w:r>
      <w:r w:rsidR="00F81221">
        <w:rPr>
          <w:kern w:val="0"/>
          <w:szCs w:val="24"/>
        </w:rPr>
        <w:t xml:space="preserve"> and </w:t>
      </w:r>
      <w:r>
        <w:rPr>
          <w:kern w:val="0"/>
          <w:szCs w:val="24"/>
        </w:rPr>
        <w:t>they have been widely discussed. (C) 2009 Elsevier Ireland Ltd. All rights reserved.</w:t>
      </w:r>
    </w:p>
    <w:p w:rsidR="00C21EF9" w:rsidRDefault="00C21EF9" w:rsidP="00C21EF9">
      <w:pPr>
        <w:pStyle w:val="a0"/>
        <w:rPr>
          <w:kern w:val="0"/>
          <w:szCs w:val="24"/>
        </w:rPr>
      </w:pPr>
      <w:r>
        <w:rPr>
          <w:kern w:val="0"/>
          <w:szCs w:val="24"/>
        </w:rPr>
        <w:t>Keywords: Citation, Databases, Elsevier, Impact, Impact Factor (IF), Impact Factors, Journal, Journal Citation Reports (JCR), Journals, Medical, Multidisciplinary, Scholarly Journals, Science, Science Citation Index, Science Citation Index Expanded (SCIE)</w:t>
      </w:r>
    </w:p>
    <w:p w:rsidR="00614FC9" w:rsidRDefault="00614FC9" w:rsidP="00614FC9">
      <w:pPr>
        <w:pStyle w:val="a0"/>
        <w:rPr>
          <w:kern w:val="0"/>
          <w:szCs w:val="24"/>
        </w:rPr>
      </w:pPr>
      <w:r>
        <w:rPr>
          <w:kern w:val="0"/>
          <w:szCs w:val="24"/>
        </w:rPr>
        <w:t>? Shewan, L.G.</w:t>
      </w:r>
      <w:r w:rsidR="00F81221">
        <w:rPr>
          <w:kern w:val="0"/>
          <w:szCs w:val="24"/>
        </w:rPr>
        <w:t xml:space="preserve"> and </w:t>
      </w:r>
      <w:r>
        <w:rPr>
          <w:kern w:val="0"/>
          <w:szCs w:val="24"/>
        </w:rPr>
        <w:t>Coats, A.J.S. (2010), Ethics in the authorship</w:t>
      </w:r>
      <w:r w:rsidR="00F81221">
        <w:rPr>
          <w:kern w:val="0"/>
          <w:szCs w:val="24"/>
        </w:rPr>
        <w:t xml:space="preserve"> and </w:t>
      </w:r>
      <w:r>
        <w:rPr>
          <w:kern w:val="0"/>
          <w:szCs w:val="24"/>
        </w:rPr>
        <w:t xml:space="preserve">publishing of scientific articles. </w:t>
      </w:r>
      <w:r>
        <w:rPr>
          <w:i/>
          <w:iCs/>
          <w:kern w:val="0"/>
          <w:szCs w:val="24"/>
        </w:rPr>
        <w:t>International Journal of Cardiology</w:t>
      </w:r>
      <w:r>
        <w:rPr>
          <w:kern w:val="0"/>
          <w:szCs w:val="24"/>
        </w:rPr>
        <w:t xml:space="preserve">, </w:t>
      </w:r>
      <w:r>
        <w:rPr>
          <w:b/>
          <w:bCs/>
          <w:kern w:val="0"/>
          <w:szCs w:val="24"/>
        </w:rPr>
        <w:t>144</w:t>
      </w:r>
      <w:r>
        <w:rPr>
          <w:kern w:val="0"/>
          <w:szCs w:val="24"/>
        </w:rPr>
        <w:t xml:space="preserve"> (1), 1-2.</w:t>
      </w:r>
    </w:p>
    <w:p w:rsidR="00614FC9" w:rsidRDefault="00614FC9" w:rsidP="00614FC9">
      <w:pPr>
        <w:pStyle w:val="a0"/>
        <w:rPr>
          <w:kern w:val="0"/>
        </w:rPr>
      </w:pPr>
      <w:r>
        <w:rPr>
          <w:rFonts w:hint="eastAsia"/>
          <w:kern w:val="0"/>
        </w:rPr>
        <w:t xml:space="preserve">Full Text: </w:t>
      </w:r>
      <w:r>
        <w:rPr>
          <w:kern w:val="0"/>
        </w:rPr>
        <w:t>2010\Int J Car14</w:t>
      </w:r>
      <w:r>
        <w:rPr>
          <w:rFonts w:hint="eastAsia"/>
          <w:kern w:val="0"/>
        </w:rPr>
        <w:t>4</w:t>
      </w:r>
      <w:r>
        <w:rPr>
          <w:kern w:val="0"/>
        </w:rPr>
        <w:t xml:space="preserve">, </w:t>
      </w:r>
      <w:r>
        <w:rPr>
          <w:rFonts w:hint="eastAsia"/>
          <w:kern w:val="0"/>
        </w:rPr>
        <w:t>1</w:t>
      </w:r>
      <w:r w:rsidRPr="006D7298">
        <w:rPr>
          <w:kern w:val="0"/>
        </w:rPr>
        <w:t>.pdf</w:t>
      </w:r>
    </w:p>
    <w:p w:rsidR="00614FC9" w:rsidRDefault="00614FC9" w:rsidP="00614FC9">
      <w:pPr>
        <w:pStyle w:val="a0"/>
        <w:rPr>
          <w:kern w:val="0"/>
          <w:szCs w:val="24"/>
        </w:rPr>
      </w:pPr>
      <w:r>
        <w:rPr>
          <w:kern w:val="0"/>
          <w:szCs w:val="24"/>
        </w:rPr>
        <w:t xml:space="preserve">Abstract: All authors to papers in the International Journal of Cardiology must adhere to the following principles: 1. That the corresponding author has the approval of all </w:t>
      </w:r>
      <w:r>
        <w:rPr>
          <w:kern w:val="0"/>
          <w:szCs w:val="24"/>
        </w:rPr>
        <w:lastRenderedPageBreak/>
        <w:t>other listed authors for the submission</w:t>
      </w:r>
      <w:r w:rsidR="00F81221">
        <w:rPr>
          <w:kern w:val="0"/>
          <w:szCs w:val="24"/>
        </w:rPr>
        <w:t xml:space="preserve"> and </w:t>
      </w:r>
      <w:r>
        <w:rPr>
          <w:kern w:val="0"/>
          <w:szCs w:val="24"/>
        </w:rPr>
        <w:t>publication of all versions of the manuscript. 2. That all people who have a right to be recognised as authors have been included on the list of authors</w:t>
      </w:r>
      <w:r w:rsidR="00F81221">
        <w:rPr>
          <w:kern w:val="0"/>
          <w:szCs w:val="24"/>
        </w:rPr>
        <w:t xml:space="preserve"> and </w:t>
      </w:r>
      <w:r>
        <w:rPr>
          <w:kern w:val="0"/>
          <w:szCs w:val="24"/>
        </w:rPr>
        <w:t>everyone listed as an author has made an independent material contribution to the manuscript. 3. That the work submitted in the manuscript is original</w:t>
      </w:r>
      <w:r w:rsidR="00F81221">
        <w:rPr>
          <w:kern w:val="0"/>
          <w:szCs w:val="24"/>
        </w:rPr>
        <w:t xml:space="preserve"> and </w:t>
      </w:r>
      <w:r>
        <w:rPr>
          <w:kern w:val="0"/>
          <w:szCs w:val="24"/>
        </w:rPr>
        <w:t>has not been published elsewhere</w:t>
      </w:r>
      <w:r w:rsidR="00F81221">
        <w:rPr>
          <w:kern w:val="0"/>
          <w:szCs w:val="24"/>
        </w:rPr>
        <w:t xml:space="preserve"> and </w:t>
      </w:r>
      <w:r>
        <w:rPr>
          <w:kern w:val="0"/>
          <w:szCs w:val="24"/>
        </w:rPr>
        <w:t>is not presently under consideration of publication by any other journal other than in oral, poster or abstract format. 4. That the material in the manuscript has been acquired according to modern ethical standards</w:t>
      </w:r>
      <w:r w:rsidR="00F81221">
        <w:rPr>
          <w:kern w:val="0"/>
          <w:szCs w:val="24"/>
        </w:rPr>
        <w:t xml:space="preserve"> and </w:t>
      </w:r>
      <w:r>
        <w:rPr>
          <w:kern w:val="0"/>
          <w:szCs w:val="24"/>
        </w:rPr>
        <w:t>has been approved by the legally appropriate ethical committee. 5. That the article does not contain material copied from anyone else without their written permission. 6. That all material which derives from prior work, including from the same authors, is properly attributed to the prior publication by proper citation. 7. That the manuscript will be maintained on the servers of the Journal</w:t>
      </w:r>
      <w:r w:rsidR="00F81221">
        <w:rPr>
          <w:kern w:val="0"/>
          <w:szCs w:val="24"/>
        </w:rPr>
        <w:t xml:space="preserve"> and </w:t>
      </w:r>
      <w:r>
        <w:rPr>
          <w:kern w:val="0"/>
          <w:szCs w:val="24"/>
        </w:rPr>
        <w:t>held to be a valid publication by the Journal only as long as all statements in these principles remain true. 8. That if any of the statements above ceases to be true the authors have a duty to notify the Journal as soon as possible so that the manuscript can be withdrawn. (C) 2010 Published by Elsevier Ireland Ltd.</w:t>
      </w:r>
    </w:p>
    <w:p w:rsidR="00614FC9" w:rsidRDefault="00614FC9" w:rsidP="00614FC9">
      <w:pPr>
        <w:pStyle w:val="a0"/>
        <w:rPr>
          <w:kern w:val="0"/>
          <w:szCs w:val="24"/>
        </w:rPr>
      </w:pPr>
      <w:r>
        <w:rPr>
          <w:kern w:val="0"/>
          <w:szCs w:val="24"/>
        </w:rPr>
        <w:t>Keywords: Authors, Authorship, Cardiology, Citation, Ethics, Fraud, Journal, Medical Journals, Papers, Plagiarism, Publication, Publishing, Retraction, Scientific Misconduct, Standards</w:t>
      </w:r>
    </w:p>
    <w:p w:rsidR="00614FC9" w:rsidRDefault="00614FC9" w:rsidP="00614FC9">
      <w:pPr>
        <w:pStyle w:val="a0"/>
        <w:rPr>
          <w:kern w:val="0"/>
          <w:szCs w:val="24"/>
        </w:rPr>
      </w:pPr>
      <w:r>
        <w:rPr>
          <w:kern w:val="0"/>
          <w:szCs w:val="24"/>
        </w:rPr>
        <w:t xml:space="preserve">? Coats, A.J.S. (2010), Retraction of a paper containing plagiarized material: The prognostic value of serum troponin T in unstable angina. Gokhan Cin V, Gok H, Kaptanoglu B. Int J Cardiol. 1996 Mar;53(3):237-44. </w:t>
      </w:r>
      <w:r>
        <w:rPr>
          <w:i/>
          <w:iCs/>
          <w:kern w:val="0"/>
          <w:szCs w:val="24"/>
        </w:rPr>
        <w:t>International Journal of Cardiology</w:t>
      </w:r>
      <w:r>
        <w:rPr>
          <w:kern w:val="0"/>
          <w:szCs w:val="24"/>
        </w:rPr>
        <w:t xml:space="preserve">, </w:t>
      </w:r>
      <w:r>
        <w:rPr>
          <w:b/>
          <w:bCs/>
          <w:kern w:val="0"/>
          <w:szCs w:val="24"/>
        </w:rPr>
        <w:t>145</w:t>
      </w:r>
      <w:r>
        <w:rPr>
          <w:kern w:val="0"/>
          <w:szCs w:val="24"/>
        </w:rPr>
        <w:t xml:space="preserve"> (3), E81-E82.</w:t>
      </w:r>
    </w:p>
    <w:p w:rsidR="00614FC9" w:rsidRDefault="00614FC9" w:rsidP="00614FC9">
      <w:pPr>
        <w:pStyle w:val="a0"/>
        <w:rPr>
          <w:kern w:val="0"/>
        </w:rPr>
      </w:pPr>
      <w:r>
        <w:rPr>
          <w:rFonts w:hint="eastAsia"/>
          <w:kern w:val="0"/>
        </w:rPr>
        <w:t xml:space="preserve">Full Text: </w:t>
      </w:r>
      <w:r>
        <w:rPr>
          <w:kern w:val="0"/>
        </w:rPr>
        <w:t>2010\Int J Car14</w:t>
      </w:r>
      <w:r>
        <w:rPr>
          <w:rFonts w:hint="eastAsia"/>
          <w:kern w:val="0"/>
        </w:rPr>
        <w:t>5</w:t>
      </w:r>
      <w:r>
        <w:rPr>
          <w:kern w:val="0"/>
        </w:rPr>
        <w:t xml:space="preserve">, </w:t>
      </w:r>
      <w:r>
        <w:rPr>
          <w:rFonts w:hint="eastAsia"/>
          <w:kern w:val="0"/>
        </w:rPr>
        <w:t>E81</w:t>
      </w:r>
      <w:r w:rsidRPr="006D7298">
        <w:rPr>
          <w:kern w:val="0"/>
        </w:rPr>
        <w:t>.pdf</w:t>
      </w:r>
    </w:p>
    <w:p w:rsidR="00614FC9" w:rsidRDefault="00614FC9" w:rsidP="00614FC9">
      <w:pPr>
        <w:pStyle w:val="a0"/>
        <w:rPr>
          <w:kern w:val="0"/>
          <w:szCs w:val="24"/>
        </w:rPr>
      </w:pPr>
      <w:r>
        <w:rPr>
          <w:kern w:val="0"/>
          <w:szCs w:val="24"/>
        </w:rPr>
        <w:t>Abstract: On the 6th December 2008, in my role as Editor-in-Chief of the International Journal of Cardiology, I received an email from Professor Harold Garner of UT Southwestern Medical Center, Dallas. Professor Garner told me that using a new search engine methodology (eTBLAST) he</w:t>
      </w:r>
      <w:r w:rsidR="00F81221">
        <w:rPr>
          <w:kern w:val="0"/>
          <w:szCs w:val="24"/>
        </w:rPr>
        <w:t xml:space="preserve"> and </w:t>
      </w:r>
      <w:r>
        <w:rPr>
          <w:kern w:val="0"/>
          <w:szCs w:val="24"/>
        </w:rPr>
        <w:t>colleagues had identified a paper in the International Journal of Cardiology published in 1996 which had remarkable text</w:t>
      </w:r>
      <w:r w:rsidR="00F81221">
        <w:rPr>
          <w:kern w:val="0"/>
          <w:szCs w:val="24"/>
        </w:rPr>
        <w:t xml:space="preserve"> and </w:t>
      </w:r>
      <w:r>
        <w:rPr>
          <w:kern w:val="0"/>
          <w:szCs w:val="24"/>
        </w:rPr>
        <w:t>data similarity to an earlier paper published in 1992 in the New England Journal of Medicine. They had detected this similarity after randomly selecting citations from Medline</w:t>
      </w:r>
      <w:r w:rsidR="00F81221">
        <w:rPr>
          <w:kern w:val="0"/>
          <w:szCs w:val="24"/>
        </w:rPr>
        <w:t xml:space="preserve"> and </w:t>
      </w:r>
      <w:r>
        <w:rPr>
          <w:kern w:val="0"/>
          <w:szCs w:val="24"/>
        </w:rPr>
        <w:t>submitting them to the tool to find other highly similar citations as part of their NIH/R01 funded research on the ethics of publication. We have been notified that all such cases are reported in a database, Deja Vu (http://spore.swmed.edu/dejavu/). We investigated the text of the two papers</w:t>
      </w:r>
      <w:r w:rsidR="00F81221">
        <w:rPr>
          <w:kern w:val="0"/>
          <w:szCs w:val="24"/>
        </w:rPr>
        <w:t xml:space="preserve"> and </w:t>
      </w:r>
      <w:r>
        <w:rPr>
          <w:kern w:val="0"/>
          <w:szCs w:val="24"/>
        </w:rPr>
        <w:t>we agreed that there was such a similarity that the later paper must have plagiarized the earlier paper,</w:t>
      </w:r>
      <w:r w:rsidR="00F81221">
        <w:rPr>
          <w:kern w:val="0"/>
          <w:szCs w:val="24"/>
        </w:rPr>
        <w:t xml:space="preserve"> and </w:t>
      </w:r>
      <w:r>
        <w:rPr>
          <w:kern w:val="0"/>
          <w:szCs w:val="24"/>
        </w:rPr>
        <w:t xml:space="preserve">in doing so infringed the copyright. In accordance with our previously published standards on ethical publishing in the Journal we hereby retract the paper </w:t>
      </w:r>
      <w:r w:rsidR="000352E7">
        <w:rPr>
          <w:kern w:val="0"/>
          <w:szCs w:val="24"/>
        </w:rPr>
        <w:t>“</w:t>
      </w:r>
      <w:r>
        <w:rPr>
          <w:kern w:val="0"/>
          <w:szCs w:val="24"/>
        </w:rPr>
        <w:t xml:space="preserve">The prognostic value of serum troponin T in unstable angina. Gokhan Cin </w:t>
      </w:r>
      <w:r>
        <w:rPr>
          <w:kern w:val="0"/>
          <w:szCs w:val="24"/>
        </w:rPr>
        <w:lastRenderedPageBreak/>
        <w:t>V, Gok H, Kaptanoglu B. Int J Cardiol. 1996 Mar;53(3):237-44.</w:t>
      </w:r>
      <w:r w:rsidR="000352E7">
        <w:rPr>
          <w:kern w:val="0"/>
          <w:szCs w:val="24"/>
        </w:rPr>
        <w:t>”</w:t>
      </w:r>
      <w:r>
        <w:rPr>
          <w:kern w:val="0"/>
          <w:szCs w:val="24"/>
        </w:rPr>
        <w:t>. (C) 2009 Elsevier Ireland Ltd. All rights reserved.</w:t>
      </w:r>
    </w:p>
    <w:p w:rsidR="00614FC9" w:rsidRDefault="00614FC9" w:rsidP="00614FC9">
      <w:pPr>
        <w:pStyle w:val="a0"/>
        <w:rPr>
          <w:kern w:val="0"/>
          <w:szCs w:val="24"/>
        </w:rPr>
      </w:pPr>
      <w:r>
        <w:rPr>
          <w:kern w:val="0"/>
          <w:szCs w:val="24"/>
        </w:rPr>
        <w:t>Keywords: Citations, England, Ethics, Methodology, Papers, Plagiarism, Publication, Publishing, Research, Retraction, Scientific Fraud, Standards</w:t>
      </w:r>
    </w:p>
    <w:p w:rsidR="00FB637E" w:rsidRDefault="00FB637E" w:rsidP="00FB637E">
      <w:pPr>
        <w:pStyle w:val="1"/>
      </w:pPr>
      <w:r>
        <w:br w:type="page"/>
      </w:r>
      <w:bookmarkStart w:id="1250" w:name="_Toc317161268"/>
      <w:r>
        <w:lastRenderedPageBreak/>
        <w:t xml:space="preserve">Title: </w:t>
      </w:r>
      <w:r w:rsidRPr="00FB637E">
        <w:rPr>
          <w:szCs w:val="24"/>
        </w:rPr>
        <w:t>International Journal of Chemical Engineering</w:t>
      </w:r>
      <w:bookmarkEnd w:id="1250"/>
    </w:p>
    <w:p w:rsidR="00FB637E" w:rsidRDefault="00FB637E" w:rsidP="00B72EF9">
      <w:pPr>
        <w:pStyle w:val="12"/>
      </w:pPr>
      <w:r>
        <w:t xml:space="preserve">Full Journal Title: </w:t>
      </w:r>
      <w:hyperlink r:id="rId1685" w:history="1">
        <w:r w:rsidRPr="00FB637E">
          <w:rPr>
            <w:rStyle w:val="a5"/>
          </w:rPr>
          <w:t>International Journal of Chemical Engineering</w:t>
        </w:r>
      </w:hyperlink>
    </w:p>
    <w:p w:rsidR="00FB637E" w:rsidRDefault="00FB637E" w:rsidP="00B72EF9">
      <w:pPr>
        <w:pStyle w:val="12"/>
      </w:pPr>
      <w:r>
        <w:t xml:space="preserve">ISO Abbreviated Title: </w:t>
      </w:r>
    </w:p>
    <w:p w:rsidR="00FB637E" w:rsidRDefault="00FB637E" w:rsidP="00B72EF9">
      <w:pPr>
        <w:pStyle w:val="12"/>
      </w:pPr>
      <w:r>
        <w:t xml:space="preserve">JCR Abbreviated Title: </w:t>
      </w:r>
    </w:p>
    <w:p w:rsidR="00FB637E" w:rsidRDefault="00FB637E" w:rsidP="00B72EF9">
      <w:pPr>
        <w:pStyle w:val="12"/>
      </w:pPr>
      <w:r>
        <w:t xml:space="preserve">ISSN: </w:t>
      </w:r>
    </w:p>
    <w:p w:rsidR="00FB637E" w:rsidRDefault="00FB637E" w:rsidP="00B72EF9">
      <w:pPr>
        <w:pStyle w:val="12"/>
      </w:pPr>
      <w:r>
        <w:t xml:space="preserve">Issues/Year: </w:t>
      </w:r>
    </w:p>
    <w:p w:rsidR="00FB637E" w:rsidRDefault="00FB637E" w:rsidP="00B72EF9">
      <w:pPr>
        <w:pStyle w:val="12"/>
      </w:pPr>
      <w:r>
        <w:t xml:space="preserve">Journal Country/Territory: </w:t>
      </w:r>
    </w:p>
    <w:p w:rsidR="00FB637E" w:rsidRDefault="00FB637E" w:rsidP="00B72EF9">
      <w:pPr>
        <w:pStyle w:val="12"/>
      </w:pPr>
      <w:r>
        <w:t xml:space="preserve">Language: </w:t>
      </w:r>
    </w:p>
    <w:p w:rsidR="00FB637E" w:rsidRDefault="00FB637E" w:rsidP="00B72EF9">
      <w:pPr>
        <w:pStyle w:val="12"/>
      </w:pPr>
      <w:r>
        <w:t xml:space="preserve">Publisher: </w:t>
      </w:r>
    </w:p>
    <w:p w:rsidR="00FB637E" w:rsidRDefault="00FB637E" w:rsidP="00B72EF9">
      <w:pPr>
        <w:pStyle w:val="12"/>
      </w:pPr>
      <w:r>
        <w:t xml:space="preserve">Publisher Address: </w:t>
      </w:r>
    </w:p>
    <w:p w:rsidR="00FB637E" w:rsidRDefault="00FB637E" w:rsidP="00B72EF9">
      <w:pPr>
        <w:pStyle w:val="12"/>
      </w:pPr>
      <w:r>
        <w:t>Subject Categories:</w:t>
      </w:r>
    </w:p>
    <w:p w:rsidR="00FB637E" w:rsidRDefault="00FB637E" w:rsidP="00B72EF9">
      <w:pPr>
        <w:pStyle w:val="12"/>
      </w:pPr>
      <w:r>
        <w:rPr>
          <w:rFonts w:hint="eastAsia"/>
        </w:rPr>
        <w:t>:</w:t>
      </w:r>
      <w:r>
        <w:t xml:space="preserve"> Impact Factor</w:t>
      </w:r>
    </w:p>
    <w:p w:rsidR="00FB637E" w:rsidRDefault="00FB637E" w:rsidP="00C21EF9">
      <w:pPr>
        <w:pStyle w:val="a0"/>
        <w:rPr>
          <w:kern w:val="0"/>
          <w:szCs w:val="24"/>
        </w:rPr>
      </w:pPr>
    </w:p>
    <w:p w:rsidR="00B95188" w:rsidRPr="00A428C3" w:rsidRDefault="00B95188" w:rsidP="00B95188">
      <w:pPr>
        <w:pStyle w:val="1"/>
      </w:pPr>
      <w:r w:rsidRPr="00A428C3">
        <w:br w:type="page"/>
      </w:r>
      <w:bookmarkStart w:id="1251" w:name="_Toc455569482"/>
      <w:bookmarkStart w:id="1252" w:name="_Toc487190728"/>
      <w:bookmarkStart w:id="1253" w:name="_Toc487882233"/>
      <w:bookmarkStart w:id="1254" w:name="_Toc490688060"/>
      <w:bookmarkStart w:id="1255" w:name="_Toc492812173"/>
      <w:bookmarkStart w:id="1256" w:name="_Toc186647905"/>
      <w:bookmarkStart w:id="1257" w:name="_Toc317161269"/>
      <w:r w:rsidRPr="00A428C3">
        <w:lastRenderedPageBreak/>
        <w:t>Title: International Journal of Chemical Kinetics</w:t>
      </w:r>
      <w:bookmarkEnd w:id="1251"/>
      <w:bookmarkEnd w:id="1252"/>
      <w:bookmarkEnd w:id="1253"/>
      <w:bookmarkEnd w:id="1254"/>
      <w:bookmarkEnd w:id="1255"/>
      <w:bookmarkEnd w:id="1256"/>
      <w:bookmarkEnd w:id="1257"/>
    </w:p>
    <w:p w:rsidR="00B95188" w:rsidRPr="00A428C3" w:rsidRDefault="00B95188" w:rsidP="00B72EF9">
      <w:pPr>
        <w:pStyle w:val="12"/>
      </w:pPr>
      <w:r w:rsidRPr="00A428C3">
        <w:t xml:space="preserve">Full Journal Title: </w:t>
      </w:r>
      <w:hyperlink r:id="rId1686" w:history="1">
        <w:r w:rsidRPr="00A428C3">
          <w:rPr>
            <w:rStyle w:val="a5"/>
          </w:rPr>
          <w:t>International Journal of Chemical Kinetics</w:t>
        </w:r>
      </w:hyperlink>
    </w:p>
    <w:p w:rsidR="00B95188" w:rsidRPr="00A428C3" w:rsidRDefault="00B95188" w:rsidP="00B72EF9">
      <w:pPr>
        <w:pStyle w:val="12"/>
      </w:pPr>
      <w:r w:rsidRPr="00A428C3">
        <w:t>ISO Abbreviated Title: Int. J. Chem. Kinet.</w:t>
      </w:r>
    </w:p>
    <w:p w:rsidR="00B95188" w:rsidRPr="00A428C3" w:rsidRDefault="00B95188" w:rsidP="00B72EF9">
      <w:pPr>
        <w:pStyle w:val="12"/>
      </w:pPr>
      <w:r w:rsidRPr="00A428C3">
        <w:t>JCR Abbreviated Title: Int J Chem Kinet</w:t>
      </w:r>
    </w:p>
    <w:p w:rsidR="00B95188" w:rsidRPr="00A428C3" w:rsidRDefault="00B95188" w:rsidP="00B72EF9">
      <w:pPr>
        <w:pStyle w:val="12"/>
      </w:pPr>
      <w:r w:rsidRPr="00A428C3">
        <w:t>ISSN: 0538-8066</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John Wiley &amp; Sons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605 Third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10158-0012</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Chemistry, Physical: Impact Factor 1.104, 54/91 (2000)</w:t>
      </w:r>
    </w:p>
    <w:p w:rsidR="00B95188" w:rsidRPr="00A428C3" w:rsidRDefault="00B95188" w:rsidP="00B95188">
      <w:pPr>
        <w:pStyle w:val="a0"/>
      </w:pPr>
      <w:r w:rsidRPr="00A428C3">
        <w:t>McKay, G.</w:t>
      </w:r>
      <w:r w:rsidR="00F81221">
        <w:t xml:space="preserve"> and </w:t>
      </w:r>
      <w:r w:rsidRPr="00A428C3">
        <w:t>Turner, J.M.C. (1978), Reactions of the iso-butyl radical during 1,1</w:t>
      </w:r>
      <w:r w:rsidR="000352E7">
        <w:t>’</w:t>
      </w:r>
      <w:r w:rsidRPr="00A428C3">
        <w:t xml:space="preserve">-azoisobutane pyrolysis. </w:t>
      </w:r>
      <w:r w:rsidRPr="00A428C3">
        <w:rPr>
          <w:i/>
        </w:rPr>
        <w:t>International Journal of Chemical Kinetics</w:t>
      </w:r>
      <w:r w:rsidRPr="00A428C3">
        <w:t xml:space="preserve">, </w:t>
      </w:r>
      <w:r w:rsidRPr="00A428C3">
        <w:rPr>
          <w:b/>
        </w:rPr>
        <w:t>10</w:t>
      </w:r>
      <w:r w:rsidRPr="00A428C3">
        <w:t xml:space="preserve"> (1), 89-100.</w:t>
      </w:r>
    </w:p>
    <w:p w:rsidR="00B95188" w:rsidRPr="00A428C3" w:rsidRDefault="00B95188" w:rsidP="00B95188">
      <w:pPr>
        <w:pStyle w:val="a0"/>
      </w:pPr>
      <w:r w:rsidRPr="00A428C3">
        <w:t>Abstract: Quantitative analysis of the products formed in 1,1</w:t>
      </w:r>
      <w:r w:rsidR="000352E7">
        <w:t>’</w:t>
      </w:r>
      <w:r w:rsidRPr="00A428C3">
        <w:t>-azoisobutane pyrolyses in the temperature range of 553°-602°K has shown that the major reactions of the iso-butyl radical are</w:t>
      </w:r>
    </w:p>
    <w:p w:rsidR="00B95188" w:rsidRPr="00A428C3" w:rsidRDefault="00B95188" w:rsidP="00B95188">
      <w:pPr>
        <w:pStyle w:val="a0"/>
      </w:pPr>
      <w:r w:rsidRPr="00A428C3">
        <w:t>Analysis of initial rate data gave log</w:t>
      </w:r>
      <w:r w:rsidRPr="00A428C3">
        <w:rPr>
          <w:vertAlign w:val="subscript"/>
        </w:rPr>
        <w:t>10</w:t>
      </w:r>
      <w:r w:rsidRPr="00A428C3">
        <w:rPr>
          <w:i/>
          <w:iCs/>
        </w:rPr>
        <w:t>k</w:t>
      </w:r>
      <w:r w:rsidRPr="00A428C3">
        <w:rPr>
          <w:vertAlign w:val="subscript"/>
        </w:rPr>
        <w:t>4</w:t>
      </w:r>
      <w:r w:rsidRPr="00A428C3">
        <w:t>/(</w:t>
      </w:r>
      <w:r w:rsidRPr="00A428C3">
        <w:rPr>
          <w:i/>
          <w:iCs/>
        </w:rPr>
        <w:t>k</w:t>
      </w:r>
      <w:r w:rsidRPr="00A428C3">
        <w:rPr>
          <w:vertAlign w:val="subscript"/>
        </w:rPr>
        <w:t>c</w:t>
      </w:r>
      <w:r w:rsidRPr="00A428C3">
        <w:t>)</w:t>
      </w:r>
      <w:r w:rsidRPr="00A428C3">
        <w:rPr>
          <w:vertAlign w:val="superscript"/>
        </w:rPr>
        <w:t>1/2</w:t>
      </w:r>
      <w:r w:rsidRPr="00A428C3">
        <w:t>(cm</w:t>
      </w:r>
      <w:r w:rsidRPr="00A428C3">
        <w:rPr>
          <w:vertAlign w:val="superscript"/>
        </w:rPr>
        <w:t>-3/2</w:t>
      </w:r>
      <w:r w:rsidRPr="00A428C3">
        <w:t xml:space="preserve">.mol </w:t>
      </w:r>
      <w:r w:rsidRPr="00A428C3">
        <w:rPr>
          <w:vertAlign w:val="superscript"/>
        </w:rPr>
        <w:t>1/2</w:t>
      </w:r>
      <w:r w:rsidRPr="00A428C3">
        <w:t>.sec</w:t>
      </w:r>
      <w:r w:rsidRPr="00A428C3">
        <w:rPr>
          <w:vertAlign w:val="superscript"/>
        </w:rPr>
        <w:t>-1/2</w:t>
      </w:r>
      <w:r w:rsidRPr="00A428C3">
        <w:t>) = 7.54±0.44 - (136.5 + 4.8) kJ/mol/2.303</w:t>
      </w:r>
      <w:r w:rsidRPr="00A428C3">
        <w:rPr>
          <w:i/>
          <w:iCs/>
        </w:rPr>
        <w:t>RT</w:t>
      </w:r>
      <w:r w:rsidRPr="00A428C3">
        <w:t xml:space="preserve">, the Arrhenius parameters obtained being in good agreement with thermodynamic data for reaction (4). Measured values of </w:t>
      </w:r>
      <w:r w:rsidRPr="00A428C3">
        <w:rPr>
          <w:i/>
          <w:iCs/>
        </w:rPr>
        <w:t>k</w:t>
      </w:r>
      <w:r w:rsidRPr="00A428C3">
        <w:rPr>
          <w:vertAlign w:val="subscript"/>
        </w:rPr>
        <w:t>a</w:t>
      </w:r>
      <w:r w:rsidRPr="00A428C3">
        <w:t>/(</w:t>
      </w:r>
      <w:r w:rsidRPr="00A428C3">
        <w:rPr>
          <w:i/>
          <w:iCs/>
        </w:rPr>
        <w:t>k</w:t>
      </w:r>
      <w:r w:rsidRPr="00A428C3">
        <w:rPr>
          <w:vertAlign w:val="subscript"/>
        </w:rPr>
        <w:t>c</w:t>
      </w:r>
      <w:r w:rsidRPr="00A428C3">
        <w:t>)</w:t>
      </w:r>
      <w:r w:rsidRPr="00A428C3">
        <w:rPr>
          <w:vertAlign w:val="superscript"/>
        </w:rPr>
        <w:t>1/2</w:t>
      </w:r>
      <w:r w:rsidRPr="00A428C3">
        <w:t xml:space="preserve"> where </w:t>
      </w:r>
      <w:r w:rsidRPr="00A428C3">
        <w:rPr>
          <w:i/>
          <w:iCs/>
        </w:rPr>
        <w:t>k</w:t>
      </w:r>
      <w:r w:rsidRPr="00A428C3">
        <w:rPr>
          <w:vertAlign w:val="subscript"/>
        </w:rPr>
        <w:t>a</w:t>
      </w:r>
      <w:r w:rsidRPr="00A428C3">
        <w:t xml:space="preserve"> is the rate constant of the reaction </w:t>
      </w:r>
      <w:r w:rsidRPr="00A428C3">
        <w:rPr>
          <w:i/>
          <w:iCs/>
        </w:rPr>
        <w:t>i</w:t>
      </w:r>
      <w:r w:rsidRPr="00A428C3">
        <w:t>C</w:t>
      </w:r>
      <w:r w:rsidRPr="00A428C3">
        <w:rPr>
          <w:vertAlign w:val="subscript"/>
        </w:rPr>
        <w:t>4</w:t>
      </w:r>
      <w:r w:rsidRPr="00A428C3">
        <w:t>H</w:t>
      </w:r>
      <w:r w:rsidRPr="00A428C3">
        <w:rPr>
          <w:vertAlign w:val="subscript"/>
        </w:rPr>
        <w:t>9</w:t>
      </w:r>
      <w:r w:rsidRPr="00A428C3">
        <w:t xml:space="preserve"> + AIB </w:t>
      </w:r>
      <w:r w:rsidRPr="00A428C3">
        <w:sym w:font="Symbol" w:char="F0AE"/>
      </w:r>
      <w:r w:rsidRPr="00A428C3">
        <w:rPr>
          <w:i/>
          <w:iCs/>
        </w:rPr>
        <w:t>i</w:t>
      </w:r>
      <w:r w:rsidRPr="00A428C3">
        <w:t>C</w:t>
      </w:r>
      <w:r w:rsidRPr="00A428C3">
        <w:rPr>
          <w:vertAlign w:val="subscript"/>
        </w:rPr>
        <w:t>4</w:t>
      </w:r>
      <w:r w:rsidRPr="00A428C3">
        <w:t>H</w:t>
      </w:r>
      <w:r w:rsidRPr="00A428C3">
        <w:rPr>
          <w:vertAlign w:val="subscript"/>
        </w:rPr>
        <w:t>10</w:t>
      </w:r>
      <w:r w:rsidRPr="00A428C3">
        <w:t xml:space="preserve"> +. AIB were consistent with published parameters determined by photolysis of 1,1</w:t>
      </w:r>
      <w:r w:rsidR="000352E7">
        <w:t>’</w:t>
      </w:r>
      <w:r w:rsidRPr="00A428C3">
        <w:t>-azoisobutane. Combination of photolysis</w:t>
      </w:r>
      <w:r w:rsidR="00F81221">
        <w:t xml:space="preserve"> and </w:t>
      </w:r>
      <w:r w:rsidRPr="00A428C3">
        <w:t>pyrolysis data gave log</w:t>
      </w:r>
      <w:r w:rsidRPr="00A428C3">
        <w:rPr>
          <w:vertAlign w:val="subscript"/>
        </w:rPr>
        <w:t>10</w:t>
      </w:r>
      <w:r w:rsidRPr="00A428C3">
        <w:t xml:space="preserve"> </w:t>
      </w:r>
      <w:r w:rsidRPr="00A428C3">
        <w:rPr>
          <w:i/>
          <w:iCs/>
        </w:rPr>
        <w:t>k</w:t>
      </w:r>
      <w:r w:rsidRPr="00A428C3">
        <w:rPr>
          <w:vertAlign w:val="subscript"/>
        </w:rPr>
        <w:t>a</w:t>
      </w:r>
      <w:r w:rsidRPr="00A428C3">
        <w:t>/(</w:t>
      </w:r>
      <w:r w:rsidRPr="00A428C3">
        <w:rPr>
          <w:i/>
          <w:iCs/>
        </w:rPr>
        <w:t>k</w:t>
      </w:r>
      <w:r w:rsidRPr="00A428C3">
        <w:rPr>
          <w:vertAlign w:val="subscript"/>
        </w:rPr>
        <w:t>c</w:t>
      </w:r>
      <w:r w:rsidRPr="00A428C3">
        <w:t>)</w:t>
      </w:r>
      <w:r w:rsidRPr="00A428C3">
        <w:rPr>
          <w:vertAlign w:val="superscript"/>
        </w:rPr>
        <w:t>1/2</w:t>
      </w:r>
      <w:r w:rsidRPr="00A428C3">
        <w:t>(cm</w:t>
      </w:r>
      <w:r w:rsidRPr="00A428C3">
        <w:rPr>
          <w:vertAlign w:val="superscript"/>
        </w:rPr>
        <w:t>3/2</w:t>
      </w:r>
      <w:r w:rsidRPr="00A428C3">
        <w:t>.mol</w:t>
      </w:r>
      <w:r w:rsidRPr="00A428C3">
        <w:rPr>
          <w:vertAlign w:val="superscript"/>
        </w:rPr>
        <w:t>-1/22</w:t>
      </w:r>
      <w:r w:rsidRPr="00A428C3">
        <w:t>.sec</w:t>
      </w:r>
      <w:r w:rsidRPr="00A428C3">
        <w:rPr>
          <w:vertAlign w:val="superscript"/>
        </w:rPr>
        <w:t>-1/2</w:t>
      </w:r>
      <w:r w:rsidRPr="00A428C3">
        <w:t>) = 3.68 ± 0.15 - (27.2 ± 1.2) kJ/mol/2.303</w:t>
      </w:r>
      <w:r w:rsidRPr="00A428C3">
        <w:rPr>
          <w:i/>
          <w:iCs/>
        </w:rPr>
        <w:t>RT</w:t>
      </w:r>
      <w:r w:rsidRPr="00A428C3">
        <w:t>. The crosscombination ratio for methyl</w:t>
      </w:r>
      <w:r w:rsidR="00F81221">
        <w:t xml:space="preserve"> and </w:t>
      </w:r>
      <w:r w:rsidRPr="00A428C3">
        <w:t>iso-butyl radicals has been found to be 0.25, indicating that the geometric mean rule does not hold for methyl</w:t>
      </w:r>
      <w:r w:rsidR="00F81221">
        <w:t xml:space="preserve"> and </w:t>
      </w:r>
      <w:r w:rsidRPr="00A428C3">
        <w:t>iso-butyl radicals.</w:t>
      </w:r>
    </w:p>
    <w:p w:rsidR="00B95188" w:rsidRPr="00A428C3" w:rsidRDefault="00B95188" w:rsidP="00B95188">
      <w:pPr>
        <w:pStyle w:val="a0"/>
      </w:pPr>
      <w:r w:rsidRPr="00A428C3">
        <w:t>? Simon, F.G., Schneider, W.</w:t>
      </w:r>
      <w:r w:rsidR="00F81221">
        <w:t xml:space="preserve"> and </w:t>
      </w:r>
      <w:r w:rsidRPr="00A428C3">
        <w:t>Moortgat, G.K. (2004), UV-Absorption spectrum of the methylperoxy radical</w:t>
      </w:r>
      <w:r w:rsidR="00F81221">
        <w:t xml:space="preserve"> and </w:t>
      </w:r>
      <w:r w:rsidRPr="00A428C3">
        <w:t xml:space="preserve">the kinetics of its disproportionation reaction at 300 K. </w:t>
      </w:r>
      <w:r w:rsidRPr="00A428C3">
        <w:rPr>
          <w:i/>
        </w:rPr>
        <w:t>International Journal of Chemical Kinetics</w:t>
      </w:r>
      <w:r w:rsidRPr="00A428C3">
        <w:t xml:space="preserve">, </w:t>
      </w:r>
      <w:r w:rsidRPr="00A428C3">
        <w:rPr>
          <w:b/>
        </w:rPr>
        <w:t>22</w:t>
      </w:r>
      <w:r w:rsidRPr="00A428C3">
        <w:t xml:space="preserve"> (8), 791-813.</w:t>
      </w:r>
    </w:p>
    <w:p w:rsidR="00B95188" w:rsidRPr="00A428C3" w:rsidRDefault="00B95188" w:rsidP="00B95188">
      <w:pPr>
        <w:pStyle w:val="a0"/>
      </w:pPr>
      <w:bookmarkStart w:id="1258" w:name="abstract"/>
      <w:r w:rsidRPr="00A428C3">
        <w:t>Abstract</w:t>
      </w:r>
      <w:bookmarkEnd w:id="1258"/>
      <w:r w:rsidRPr="00A428C3">
        <w:rPr>
          <w:caps/>
        </w:rPr>
        <w:t>:</w:t>
      </w:r>
      <w:r w:rsidRPr="00A428C3">
        <w:t xml:space="preserve"> Molecular modulation spectroscopy combined with ultraviolet spectroscopic techniques have been used to observe the behavior of the CH</w:t>
      </w:r>
      <w:r w:rsidRPr="00A428C3">
        <w:rPr>
          <w:vertAlign w:val="subscript"/>
        </w:rPr>
        <w:t>3</w:t>
      </w:r>
      <w:r w:rsidRPr="00A428C3">
        <w:t>O</w:t>
      </w:r>
      <w:r w:rsidRPr="00A428C3">
        <w:rPr>
          <w:vertAlign w:val="subscript"/>
        </w:rPr>
        <w:t>2</w:t>
      </w:r>
      <w:r w:rsidRPr="00A428C3">
        <w:t xml:space="preserve"> radicals generated in the gas phase by near-ultraviolet modulated photolysis of flowing Cl</w:t>
      </w:r>
      <w:r w:rsidRPr="00A428C3">
        <w:rPr>
          <w:vertAlign w:val="subscript"/>
        </w:rPr>
        <w:t>2</w:t>
      </w:r>
      <w:r w:rsidRPr="00A428C3">
        <w:t>-CH</w:t>
      </w:r>
      <w:r w:rsidRPr="00A428C3">
        <w:rPr>
          <w:vertAlign w:val="subscript"/>
        </w:rPr>
        <w:t>4</w:t>
      </w:r>
      <w:r w:rsidRPr="00A428C3">
        <w:t>-O</w:t>
      </w:r>
      <w:r w:rsidRPr="00A428C3">
        <w:rPr>
          <w:vertAlign w:val="subscript"/>
        </w:rPr>
        <w:t>2</w:t>
      </w:r>
      <w:r w:rsidRPr="00A428C3">
        <w:t xml:space="preserve"> mixtures. The kinetics of the disproportionation reaction (1)</w:t>
      </w:r>
    </w:p>
    <w:p w:rsidR="00B95188" w:rsidRPr="00A428C3" w:rsidRDefault="00B95188" w:rsidP="00B95188">
      <w:pPr>
        <w:pStyle w:val="a0"/>
      </w:pPr>
      <w:r w:rsidRPr="00A428C3">
        <w:t>and the absorption cross-sections of CH</w:t>
      </w:r>
      <w:r w:rsidRPr="00A428C3">
        <w:rPr>
          <w:vertAlign w:val="subscript"/>
        </w:rPr>
        <w:t>3</w:t>
      </w:r>
      <w:r w:rsidRPr="00A428C3">
        <w:t>O</w:t>
      </w:r>
      <w:r w:rsidRPr="00A428C3">
        <w:rPr>
          <w:vertAlign w:val="subscript"/>
        </w:rPr>
        <w:t>2</w:t>
      </w:r>
      <w:r w:rsidRPr="00A428C3">
        <w:t xml:space="preserve"> were measured by computer fitting of the modulated absorption traces obtained in the wavelength range 220 to 270 nm at 300 </w:t>
      </w:r>
      <w:r w:rsidRPr="00A428C3">
        <w:lastRenderedPageBreak/>
        <w:t>K</w:t>
      </w:r>
      <w:r w:rsidR="00F81221">
        <w:t xml:space="preserve"> and </w:t>
      </w:r>
      <w:r w:rsidRPr="00A428C3">
        <w:t>240 torr. The rate constant for the elementary self-reaction k</w:t>
      </w:r>
      <w:r w:rsidRPr="00A428C3">
        <w:rPr>
          <w:vertAlign w:val="subscript"/>
        </w:rPr>
        <w:t>1</w:t>
      </w:r>
      <w:r w:rsidRPr="00A428C3">
        <w:t xml:space="preserve"> = k</w:t>
      </w:r>
      <w:r w:rsidRPr="00A428C3">
        <w:rPr>
          <w:vertAlign w:val="subscript"/>
        </w:rPr>
        <w:t>1(a)</w:t>
      </w:r>
      <w:r w:rsidRPr="00A428C3">
        <w:t xml:space="preserve"> + k</w:t>
      </w:r>
      <w:r w:rsidRPr="00A428C3">
        <w:rPr>
          <w:vertAlign w:val="subscript"/>
        </w:rPr>
        <w:t>1(b)</w:t>
      </w:r>
      <w:r w:rsidRPr="00A428C3">
        <w:t xml:space="preserve"> + k</w:t>
      </w:r>
      <w:r w:rsidRPr="00A428C3">
        <w:rPr>
          <w:vertAlign w:val="subscript"/>
        </w:rPr>
        <w:t>1(c)</w:t>
      </w:r>
      <w:r w:rsidRPr="00A428C3">
        <w:t xml:space="preserve"> was determined to be (3.61 ± 0.55)</w:t>
      </w:r>
      <w:r>
        <w:t>×</w:t>
      </w:r>
      <w:r w:rsidRPr="00A428C3">
        <w:t>10</w:t>
      </w:r>
      <w:smartTag w:uri="urn:schemas-microsoft-com:office:smarttags" w:element="chmetcnv">
        <w:smartTagPr>
          <w:attr w:name="TCSC" w:val="0"/>
          <w:attr w:name="NumberType" w:val="1"/>
          <w:attr w:name="Negative" w:val="True"/>
          <w:attr w:name="HasSpace" w:val="True"/>
          <w:attr w:name="SourceValue" w:val="13"/>
          <w:attr w:name="UnitName" w:val="cm"/>
        </w:smartTagPr>
        <w:r w:rsidRPr="00A428C3">
          <w:rPr>
            <w:vertAlign w:val="subscript"/>
          </w:rPr>
          <w:t>-13</w:t>
        </w:r>
        <w:r w:rsidRPr="00A428C3">
          <w:t xml:space="preserve"> cm</w:t>
        </w:r>
      </w:smartTag>
      <w:r w:rsidRPr="00A428C3">
        <w:rPr>
          <w:vertAlign w:val="superscript"/>
        </w:rPr>
        <w:t>3</w:t>
      </w:r>
      <w:r w:rsidRPr="00A428C3">
        <w:t xml:space="preserve"> molecule</w:t>
      </w:r>
      <w:r w:rsidRPr="00A428C3">
        <w:rPr>
          <w:vertAlign w:val="superscript"/>
        </w:rPr>
        <w:t>-1</w:t>
      </w:r>
      <w:r w:rsidRPr="00A428C3">
        <w:t xml:space="preserve"> s</w:t>
      </w:r>
      <w:r w:rsidRPr="00A428C3">
        <w:rPr>
          <w:vertAlign w:val="superscript"/>
        </w:rPr>
        <w:t>-1</w:t>
      </w:r>
      <w:r w:rsidRPr="00A428C3">
        <w:t>. The parameter k</w:t>
      </w:r>
      <w:r w:rsidRPr="00A428C3">
        <w:rPr>
          <w:vertAlign w:val="subscript"/>
        </w:rPr>
        <w:t>obs</w:t>
      </w:r>
      <w:r w:rsidRPr="00A428C3">
        <w:t>/</w:t>
      </w:r>
      <w:r w:rsidRPr="00A428C3">
        <w:sym w:font="Symbol" w:char="F073"/>
      </w:r>
      <w:r w:rsidRPr="00A428C3">
        <w:t xml:space="preserve"> (where k</w:t>
      </w:r>
      <w:r w:rsidRPr="00A428C3">
        <w:rPr>
          <w:vertAlign w:val="subscript"/>
        </w:rPr>
        <w:t>obs</w:t>
      </w:r>
      <w:r w:rsidRPr="00A428C3">
        <w:t xml:space="preserve"> is the observed apparent second-order rate constant) was measured from the decay curves in the dark phase of the modulated photolysis period in the wavelength range 230-260 nm,</w:t>
      </w:r>
      <w:r w:rsidR="00F81221">
        <w:t xml:space="preserve"> and </w:t>
      </w:r>
      <w:r w:rsidRPr="00A428C3">
        <w:t>had a value 1.16</w:t>
      </w:r>
      <w:r>
        <w:t>×</w:t>
      </w:r>
      <w:smartTag w:uri="urn:schemas-microsoft-com:office:smarttags" w:element="chmetcnv">
        <w:smartTagPr>
          <w:attr w:name="TCSC" w:val="0"/>
          <w:attr w:name="NumberType" w:val="1"/>
          <w:attr w:name="Negative" w:val="False"/>
          <w:attr w:name="HasSpace" w:val="True"/>
          <w:attr w:name="SourceValue" w:val="105"/>
          <w:attr w:name="UnitName" w:val="cm"/>
        </w:smartTagPr>
        <w:r w:rsidRPr="00A428C3">
          <w:t>10</w:t>
        </w:r>
        <w:r w:rsidRPr="00A428C3">
          <w:rPr>
            <w:vertAlign w:val="superscript"/>
          </w:rPr>
          <w:t>5</w:t>
        </w:r>
        <w:r w:rsidRPr="00A428C3">
          <w:t xml:space="preserve"> cm</w:t>
        </w:r>
      </w:smartTag>
      <w:r w:rsidRPr="00A428C3">
        <w:rPr>
          <w:vertAlign w:val="superscript"/>
        </w:rPr>
        <w:t>2</w:t>
      </w:r>
      <w:r w:rsidRPr="00A428C3">
        <w:t xml:space="preserve"> s</w:t>
      </w:r>
      <w:r w:rsidRPr="00A428C3">
        <w:rPr>
          <w:vertAlign w:val="superscript"/>
        </w:rPr>
        <w:t>-1</w:t>
      </w:r>
      <w:r w:rsidRPr="00A428C3">
        <w:t xml:space="preserve"> at 250 nm. At 250 nm the absorption cross-section was determined as </w:t>
      </w:r>
      <w:r w:rsidRPr="00A428C3">
        <w:sym w:font="Symbol" w:char="F073"/>
      </w:r>
      <w:r w:rsidRPr="00A428C3">
        <w:t>(CH</w:t>
      </w:r>
      <w:r w:rsidRPr="00A428C3">
        <w:rPr>
          <w:vertAlign w:val="subscript"/>
        </w:rPr>
        <w:t>3</w:t>
      </w:r>
      <w:r w:rsidRPr="00A428C3">
        <w:t>O</w:t>
      </w:r>
      <w:r w:rsidRPr="00A428C3">
        <w:rPr>
          <w:vertAlign w:val="subscript"/>
        </w:rPr>
        <w:t>2</w:t>
      </w:r>
      <w:r w:rsidRPr="00A428C3">
        <w:t>) = 4.14</w:t>
      </w:r>
      <w:r>
        <w:t>×</w:t>
      </w:r>
      <w:r w:rsidRPr="00A428C3">
        <w:t>10</w:t>
      </w:r>
      <w:smartTag w:uri="urn:schemas-microsoft-com:office:smarttags" w:element="chmetcnv">
        <w:smartTagPr>
          <w:attr w:name="TCSC" w:val="0"/>
          <w:attr w:name="NumberType" w:val="1"/>
          <w:attr w:name="Negative" w:val="True"/>
          <w:attr w:name="HasSpace" w:val="True"/>
          <w:attr w:name="SourceValue" w:val="18"/>
          <w:attr w:name="UnitName" w:val="cm"/>
        </w:smartTagPr>
        <w:r w:rsidRPr="00A428C3">
          <w:rPr>
            <w:vertAlign w:val="superscript"/>
          </w:rPr>
          <w:t>-18</w:t>
        </w:r>
        <w:r w:rsidRPr="00A428C3">
          <w:t xml:space="preserve"> cm</w:t>
        </w:r>
      </w:smartTag>
      <w:r w:rsidRPr="00A428C3">
        <w:rPr>
          <w:vertAlign w:val="superscript"/>
        </w:rPr>
        <w:t>2</w:t>
      </w:r>
      <w:r w:rsidRPr="00A428C3">
        <w:t xml:space="preserve"> molecule</w:t>
      </w:r>
      <w:r w:rsidRPr="00A428C3">
        <w:rPr>
          <w:vertAlign w:val="superscript"/>
        </w:rPr>
        <w:t>-1</w:t>
      </w:r>
      <w:r w:rsidRPr="00A428C3">
        <w:t>, leading to a value of k</w:t>
      </w:r>
      <w:r w:rsidRPr="00A428C3">
        <w:rPr>
          <w:vertAlign w:val="subscript"/>
        </w:rPr>
        <w:t>obs</w:t>
      </w:r>
      <w:r w:rsidRPr="00A428C3">
        <w:t>, = (4.8 ± 0.5)</w:t>
      </w:r>
      <w:r>
        <w:t>×</w:t>
      </w:r>
      <w:r w:rsidRPr="00A428C3">
        <w:t xml:space="preserve">10 </w:t>
      </w:r>
      <w:smartTag w:uri="urn:schemas-microsoft-com:office:smarttags" w:element="chmetcnv">
        <w:smartTagPr>
          <w:attr w:name="TCSC" w:val="0"/>
          <w:attr w:name="NumberType" w:val="1"/>
          <w:attr w:name="Negative" w:val="False"/>
          <w:attr w:name="HasSpace" w:val="True"/>
          <w:attr w:name="SourceValue" w:val="13"/>
          <w:attr w:name="UnitName" w:val="cm"/>
        </w:smartTagPr>
        <w:r w:rsidRPr="00A428C3">
          <w:rPr>
            <w:vertAlign w:val="superscript"/>
          </w:rPr>
          <w:t>13</w:t>
        </w:r>
        <w:r w:rsidRPr="00A428C3">
          <w:t xml:space="preserve"> cm</w:t>
        </w:r>
      </w:smartTag>
      <w:r w:rsidRPr="00A428C3">
        <w:rPr>
          <w:vertAlign w:val="superscript"/>
        </w:rPr>
        <w:t>3</w:t>
      </w:r>
      <w:r w:rsidRPr="00A428C3">
        <w:t xml:space="preserve"> molecule</w:t>
      </w:r>
      <w:r w:rsidRPr="00A428C3">
        <w:rPr>
          <w:vertAlign w:val="superscript"/>
        </w:rPr>
        <w:t>-1</w:t>
      </w:r>
      <w:r w:rsidRPr="00A428C3">
        <w:t xml:space="preserve"> s</w:t>
      </w:r>
      <w:r w:rsidRPr="00A428C3">
        <w:rPr>
          <w:vertAlign w:val="superscript"/>
        </w:rPr>
        <w:t>-1</w:t>
      </w:r>
      <w:r w:rsidRPr="00A428C3">
        <w:t>. In addition, the absorption spectrum of CH</w:t>
      </w:r>
      <w:r w:rsidRPr="00A428C3">
        <w:rPr>
          <w:vertAlign w:val="subscript"/>
        </w:rPr>
        <w:t>3</w:t>
      </w:r>
      <w:r w:rsidRPr="00A428C3">
        <w:t>O</w:t>
      </w:r>
      <w:r w:rsidRPr="00A428C3">
        <w:rPr>
          <w:vertAlign w:val="subscript"/>
        </w:rPr>
        <w:t>2</w:t>
      </w:r>
      <w:r w:rsidRPr="00A428C3">
        <w:t xml:space="preserve"> was measured in the range 210-295 nm using diode array spectroscopy. A detailed review of all previous studies concerning the kinetics</w:t>
      </w:r>
      <w:r w:rsidR="00F81221">
        <w:t xml:space="preserve"> and </w:t>
      </w:r>
      <w:r w:rsidRPr="00A428C3">
        <w:t>spectrum of the CH</w:t>
      </w:r>
      <w:r w:rsidRPr="00A428C3">
        <w:rPr>
          <w:vertAlign w:val="subscript"/>
        </w:rPr>
        <w:t>3</w:t>
      </w:r>
      <w:r w:rsidRPr="00A428C3">
        <w:t>O</w:t>
      </w:r>
      <w:r w:rsidRPr="00A428C3">
        <w:rPr>
          <w:vertAlign w:val="subscript"/>
        </w:rPr>
        <w:t>2</w:t>
      </w:r>
      <w:r w:rsidRPr="00A428C3">
        <w:t xml:space="preserve"> radical is presented,</w:t>
      </w:r>
      <w:r w:rsidR="00F81221">
        <w:t xml:space="preserve"> and </w:t>
      </w:r>
      <w:r w:rsidRPr="00A428C3">
        <w:t>a recommended spectrum, representing an average from selected recent studies, is proposed.</w:t>
      </w:r>
    </w:p>
    <w:p w:rsidR="00F56C2B" w:rsidRPr="00A428C3" w:rsidRDefault="00F56C2B" w:rsidP="00F56C2B">
      <w:pPr>
        <w:pStyle w:val="1"/>
      </w:pPr>
      <w:r w:rsidRPr="00A428C3">
        <w:br w:type="page"/>
      </w:r>
      <w:bookmarkStart w:id="1259" w:name="_Toc317161270"/>
      <w:r w:rsidRPr="00A428C3">
        <w:lastRenderedPageBreak/>
        <w:t xml:space="preserve">Title: </w:t>
      </w:r>
      <w:r w:rsidR="00472B63" w:rsidRPr="00472B63">
        <w:rPr>
          <w:iCs/>
        </w:rPr>
        <w:t>International Journal of Chemical Reactor Engineering</w:t>
      </w:r>
      <w:bookmarkEnd w:id="1259"/>
    </w:p>
    <w:p w:rsidR="00F56C2B" w:rsidRPr="00A428C3" w:rsidRDefault="00F56C2B" w:rsidP="00B72EF9">
      <w:pPr>
        <w:pStyle w:val="12"/>
      </w:pPr>
      <w:r w:rsidRPr="00A428C3">
        <w:t xml:space="preserve">Full Journal Title: </w:t>
      </w:r>
      <w:hyperlink r:id="rId1687" w:history="1">
        <w:r w:rsidR="00472B63" w:rsidRPr="003E5E9F">
          <w:rPr>
            <w:rStyle w:val="a5"/>
            <w:iCs/>
          </w:rPr>
          <w:t>International Journal of Chemical Reactor Engineering</w:t>
        </w:r>
      </w:hyperlink>
    </w:p>
    <w:p w:rsidR="00472B63" w:rsidRDefault="00472B63" w:rsidP="00B72EF9">
      <w:pPr>
        <w:pStyle w:val="12"/>
      </w:pPr>
      <w:r>
        <w:t>ISO Abbrev. Title: Int. J. Chem. React. Eng.</w:t>
      </w:r>
    </w:p>
    <w:p w:rsidR="00472B63" w:rsidRDefault="00472B63" w:rsidP="00B72EF9">
      <w:pPr>
        <w:pStyle w:val="12"/>
      </w:pPr>
      <w:r>
        <w:t>JCR Abbrev. Title: Int J Chem React Eng</w:t>
      </w:r>
    </w:p>
    <w:p w:rsidR="00472B63" w:rsidRDefault="00472B63" w:rsidP="00B72EF9">
      <w:pPr>
        <w:pStyle w:val="12"/>
      </w:pPr>
      <w:r>
        <w:t>ISSN: 1542-6580</w:t>
      </w:r>
    </w:p>
    <w:p w:rsidR="00472B63" w:rsidRDefault="00472B63" w:rsidP="00B72EF9">
      <w:pPr>
        <w:pStyle w:val="12"/>
      </w:pPr>
      <w:r>
        <w:t>Issues/Year: 1</w:t>
      </w:r>
    </w:p>
    <w:p w:rsidR="00472B63" w:rsidRDefault="00472B63" w:rsidP="00B72EF9">
      <w:pPr>
        <w:pStyle w:val="12"/>
      </w:pPr>
      <w:r>
        <w:t>Language: English</w:t>
      </w:r>
    </w:p>
    <w:p w:rsidR="00472B63" w:rsidRDefault="00472B63" w:rsidP="00B72EF9">
      <w:pPr>
        <w:pStyle w:val="12"/>
      </w:pPr>
      <w:r>
        <w:t>Journal Country/Territory: United States</w:t>
      </w:r>
    </w:p>
    <w:p w:rsidR="00472B63" w:rsidRDefault="00472B63" w:rsidP="00B72EF9">
      <w:pPr>
        <w:pStyle w:val="12"/>
      </w:pPr>
      <w:r>
        <w:t>Publisher: Berkeley Electronic Press</w:t>
      </w:r>
    </w:p>
    <w:p w:rsidR="00472B63" w:rsidRDefault="00472B63" w:rsidP="00B72EF9">
      <w:pPr>
        <w:pStyle w:val="12"/>
      </w:pPr>
      <w:r>
        <w:t>Publisher Address: 2809 Telegraph Avenue, Ste 202, Berkeley, CA 94705</w:t>
      </w:r>
    </w:p>
    <w:p w:rsidR="00472B63" w:rsidRDefault="00472B63" w:rsidP="00B72EF9">
      <w:pPr>
        <w:pStyle w:val="12"/>
      </w:pPr>
      <w:r>
        <w:t>Subject Categories:</w:t>
      </w:r>
    </w:p>
    <w:p w:rsidR="00F56C2B" w:rsidRPr="00A428C3" w:rsidRDefault="00472B63" w:rsidP="00B72EF9">
      <w:pPr>
        <w:pStyle w:val="12"/>
      </w:pPr>
      <w:r>
        <w:t>Engineering, Chemical</w:t>
      </w:r>
      <w:r w:rsidR="00F56C2B" w:rsidRPr="00A428C3">
        <w:t>: Impact Factor</w:t>
      </w:r>
      <w:r>
        <w:rPr>
          <w:rFonts w:hint="eastAsia"/>
        </w:rPr>
        <w:t xml:space="preserve"> 0.531, 75/116 (2008)</w:t>
      </w:r>
      <w:r w:rsidR="00B24A75">
        <w:rPr>
          <w:rFonts w:hint="eastAsia"/>
        </w:rPr>
        <w:t xml:space="preserve">; </w:t>
      </w:r>
      <w:r w:rsidR="00B24A75" w:rsidRPr="00A428C3">
        <w:t>Impact Factor</w:t>
      </w:r>
      <w:r w:rsidR="00B24A75">
        <w:rPr>
          <w:rFonts w:hint="eastAsia"/>
        </w:rPr>
        <w:t xml:space="preserve"> 0.733, 75/128 (2009)</w:t>
      </w:r>
    </w:p>
    <w:p w:rsidR="00502EC5" w:rsidRDefault="00502EC5" w:rsidP="00502EC5">
      <w:pPr>
        <w:pStyle w:val="a0"/>
        <w:rPr>
          <w:kern w:val="0"/>
        </w:rPr>
      </w:pPr>
      <w:r>
        <w:rPr>
          <w:rFonts w:hint="eastAsia"/>
          <w:kern w:val="0"/>
        </w:rPr>
        <w:t xml:space="preserve">? </w:t>
      </w:r>
      <w:r>
        <w:rPr>
          <w:kern w:val="0"/>
        </w:rPr>
        <w:t>Pogaku, R.</w:t>
      </w:r>
      <w:r w:rsidR="00F81221">
        <w:rPr>
          <w:kern w:val="0"/>
        </w:rPr>
        <w:t xml:space="preserve"> and </w:t>
      </w:r>
      <w:r>
        <w:rPr>
          <w:kern w:val="0"/>
        </w:rPr>
        <w:t xml:space="preserve">Kulkarni, S. (2006), Biosorption of combined industrial effluents using Phanerochaete chrysosporium. </w:t>
      </w:r>
      <w:r>
        <w:rPr>
          <w:i/>
          <w:iCs/>
          <w:kern w:val="0"/>
        </w:rPr>
        <w:t>International Journal of Chemical Reactor Engineering</w:t>
      </w:r>
      <w:r>
        <w:rPr>
          <w:kern w:val="0"/>
        </w:rPr>
        <w:t xml:space="preserve">, </w:t>
      </w:r>
      <w:r>
        <w:rPr>
          <w:b/>
          <w:bCs/>
          <w:kern w:val="0"/>
        </w:rPr>
        <w:t>4</w:t>
      </w:r>
      <w:r>
        <w:rPr>
          <w:rFonts w:hint="eastAsia"/>
          <w:kern w:val="0"/>
        </w:rPr>
        <w:t xml:space="preserve">, </w:t>
      </w:r>
      <w:r w:rsidRPr="00502B61">
        <w:rPr>
          <w:bCs/>
          <w:kern w:val="0"/>
        </w:rPr>
        <w:t>article number</w:t>
      </w:r>
      <w:r w:rsidRPr="00502B61">
        <w:rPr>
          <w:rFonts w:hint="eastAsia"/>
          <w:bCs/>
          <w:kern w:val="0"/>
        </w:rPr>
        <w:t xml:space="preserve"> </w:t>
      </w:r>
      <w:r w:rsidRPr="0003326A">
        <w:rPr>
          <w:rFonts w:hint="eastAsia"/>
          <w:bCs/>
          <w:kern w:val="0"/>
        </w:rPr>
        <w:t>A</w:t>
      </w:r>
      <w:r>
        <w:rPr>
          <w:rFonts w:hint="eastAsia"/>
          <w:bCs/>
          <w:kern w:val="0"/>
        </w:rPr>
        <w:t>16</w:t>
      </w:r>
      <w:r>
        <w:rPr>
          <w:kern w:val="0"/>
        </w:rPr>
        <w:t>.</w:t>
      </w:r>
    </w:p>
    <w:p w:rsidR="00502EC5" w:rsidRDefault="00502EC5" w:rsidP="00502EC5">
      <w:pPr>
        <w:pStyle w:val="a0"/>
        <w:rPr>
          <w:kern w:val="0"/>
        </w:rPr>
      </w:pPr>
      <w:r>
        <w:rPr>
          <w:rFonts w:hint="eastAsia"/>
          <w:kern w:val="0"/>
        </w:rPr>
        <w:t xml:space="preserve">Full Text: </w:t>
      </w:r>
      <w:hyperlink r:id="rId1688" w:history="1">
        <w:r w:rsidRPr="00502EC5">
          <w:rPr>
            <w:rStyle w:val="a5"/>
            <w:kern w:val="0"/>
          </w:rPr>
          <w:t>2006\Int J Che Rea Eng4, A16.pdf</w:t>
        </w:r>
      </w:hyperlink>
    </w:p>
    <w:p w:rsidR="00502EC5" w:rsidRDefault="00502EC5" w:rsidP="00502EC5">
      <w:pPr>
        <w:pStyle w:val="a0"/>
        <w:rPr>
          <w:kern w:val="0"/>
        </w:rPr>
      </w:pPr>
      <w:r>
        <w:rPr>
          <w:kern w:val="0"/>
        </w:rPr>
        <w:t>Abstract: The biosorption of eight different metals from aqueous solutions of combined industrial effluent by live or dead cells of Phanerochaete chrysosporium was investigated. Growth rate studies of P. chrysosporium were carried out in a selected medium as well as in the effluent. The specific growth rate of the fungus was in the range of 0.089-0.102 h-1 in the medium. The biosorption of metal ions increased as the initial concentration of metal ions increased in the medium. Biosorption equilibrium was established in about 1 h</w:t>
      </w:r>
      <w:r w:rsidR="00F81221">
        <w:rPr>
          <w:kern w:val="0"/>
        </w:rPr>
        <w:t xml:space="preserve"> and </w:t>
      </w:r>
      <w:r>
        <w:rPr>
          <w:kern w:val="0"/>
        </w:rPr>
        <w:t>the concentration of adsorbed metal ions did not change further with time. The equilibrium was well described by Langmuir, Freundlich</w:t>
      </w:r>
      <w:r w:rsidR="00F81221">
        <w:rPr>
          <w:kern w:val="0"/>
        </w:rPr>
        <w:t xml:space="preserve"> and </w:t>
      </w:r>
      <w:r>
        <w:rPr>
          <w:kern w:val="0"/>
        </w:rPr>
        <w:t>Reidlich - Peterson isotherms. The dead fungal biomass was more effective than living fungus for biosorption of metals. The optimum pH for the fungal growth was at 4.5 but enhanced Biosorption was at pH 6 for maximum reduction of hexavalent chromium to trivalent.</w:t>
      </w:r>
    </w:p>
    <w:p w:rsidR="00502EC5" w:rsidRDefault="00502EC5" w:rsidP="00502EC5">
      <w:pPr>
        <w:pStyle w:val="a0"/>
        <w:rPr>
          <w:kern w:val="0"/>
        </w:rPr>
      </w:pPr>
      <w:r>
        <w:rPr>
          <w:kern w:val="0"/>
        </w:rPr>
        <w:t xml:space="preserve">Keywords: Aqueous Solutions, Aqueous-Solutions, Biomass, Biosorption, Cells, Chromium, Combined Industrial Effluents, Effluent, Effluents, Equilibria, Equilibrium, Freundlich, Fungal Biomass, Growth, Growth Rate, Heavy-Metals, Hexavalent Chromium, Industrial, Industrial Effluents, Isotherms, Langmuir, Mercury, Metal Ions, Metals, Models, </w:t>
      </w:r>
      <w:r>
        <w:rPr>
          <w:rFonts w:hint="eastAsia"/>
          <w:kern w:val="0"/>
        </w:rPr>
        <w:t>p</w:t>
      </w:r>
      <w:r>
        <w:rPr>
          <w:kern w:val="0"/>
        </w:rPr>
        <w:t>H, Phanerochaete Chrysosporium, Phanerocyate Chrysosporium, Reduction, Removal</w:t>
      </w:r>
    </w:p>
    <w:p w:rsidR="00A8777C" w:rsidRDefault="00A8777C" w:rsidP="00A8777C">
      <w:pPr>
        <w:pStyle w:val="a0"/>
        <w:rPr>
          <w:kern w:val="0"/>
        </w:rPr>
      </w:pPr>
      <w:r>
        <w:rPr>
          <w:rFonts w:hint="eastAsia"/>
          <w:kern w:val="0"/>
        </w:rPr>
        <w:t xml:space="preserve">? </w:t>
      </w:r>
      <w:r>
        <w:rPr>
          <w:kern w:val="0"/>
        </w:rPr>
        <w:t>Salem, Z.</w:t>
      </w:r>
      <w:r w:rsidR="00F81221">
        <w:rPr>
          <w:kern w:val="0"/>
        </w:rPr>
        <w:t xml:space="preserve"> and </w:t>
      </w:r>
      <w:r>
        <w:rPr>
          <w:kern w:val="0"/>
        </w:rPr>
        <w:t xml:space="preserve">Allia, K. (2008), Cadmium biosorption on vegetal biomass. </w:t>
      </w:r>
      <w:r>
        <w:rPr>
          <w:i/>
          <w:iCs/>
          <w:kern w:val="0"/>
        </w:rPr>
        <w:t>International Journal of Chemical Reactor Engineering</w:t>
      </w:r>
      <w:r>
        <w:rPr>
          <w:kern w:val="0"/>
        </w:rPr>
        <w:t xml:space="preserve">, </w:t>
      </w:r>
      <w:r>
        <w:rPr>
          <w:b/>
          <w:bCs/>
          <w:kern w:val="0"/>
        </w:rPr>
        <w:t>6</w:t>
      </w:r>
      <w:r>
        <w:rPr>
          <w:rFonts w:hint="eastAsia"/>
          <w:kern w:val="0"/>
        </w:rPr>
        <w:t xml:space="preserve">, </w:t>
      </w:r>
      <w:r w:rsidRPr="00502B61">
        <w:rPr>
          <w:bCs/>
          <w:kern w:val="0"/>
        </w:rPr>
        <w:t>article number</w:t>
      </w:r>
      <w:r w:rsidRPr="00502B61">
        <w:rPr>
          <w:rFonts w:hint="eastAsia"/>
          <w:bCs/>
          <w:kern w:val="0"/>
        </w:rPr>
        <w:t xml:space="preserve"> </w:t>
      </w:r>
      <w:r w:rsidRPr="0003326A">
        <w:rPr>
          <w:rFonts w:hint="eastAsia"/>
          <w:bCs/>
          <w:kern w:val="0"/>
        </w:rPr>
        <w:t>A</w:t>
      </w:r>
      <w:r>
        <w:rPr>
          <w:rFonts w:hint="eastAsia"/>
          <w:bCs/>
          <w:kern w:val="0"/>
        </w:rPr>
        <w:t>10</w:t>
      </w:r>
      <w:r>
        <w:rPr>
          <w:kern w:val="0"/>
        </w:rPr>
        <w:t>.</w:t>
      </w:r>
    </w:p>
    <w:p w:rsidR="00A8777C" w:rsidRDefault="00A8777C" w:rsidP="00A8777C">
      <w:pPr>
        <w:pStyle w:val="a0"/>
        <w:rPr>
          <w:kern w:val="0"/>
        </w:rPr>
      </w:pPr>
      <w:r>
        <w:rPr>
          <w:rFonts w:hint="eastAsia"/>
          <w:kern w:val="0"/>
        </w:rPr>
        <w:lastRenderedPageBreak/>
        <w:t xml:space="preserve">Full Text: </w:t>
      </w:r>
      <w:hyperlink r:id="rId1689" w:history="1">
        <w:r w:rsidR="00502EC5" w:rsidRPr="00502EC5">
          <w:rPr>
            <w:rStyle w:val="a5"/>
            <w:kern w:val="0"/>
          </w:rPr>
          <w:t>2008\Int J Che Rea Eng6, A10.pdf</w:t>
        </w:r>
      </w:hyperlink>
    </w:p>
    <w:p w:rsidR="00A8777C" w:rsidRDefault="00A8777C" w:rsidP="00A8777C">
      <w:pPr>
        <w:pStyle w:val="a0"/>
        <w:rPr>
          <w:kern w:val="0"/>
        </w:rPr>
      </w:pPr>
      <w:r>
        <w:rPr>
          <w:kern w:val="0"/>
        </w:rPr>
        <w:t>Abstract: Effective removal of heavy metals from wastewater is one of the most important environmental challenges facing the world. Various techniques are used to remove the metals. Biosorption has gained credibility in the last decade because of its good performance</w:t>
      </w:r>
      <w:r w:rsidR="00F81221">
        <w:rPr>
          <w:kern w:val="0"/>
        </w:rPr>
        <w:t xml:space="preserve"> and </w:t>
      </w:r>
      <w:r>
        <w:rPr>
          <w:kern w:val="0"/>
        </w:rPr>
        <w:t>low cost. The objective of this study is to explore the use of olive pits for cadmium wastewater removal. The effects of mixing rate, pH, particle size, biomass</w:t>
      </w:r>
      <w:r w:rsidR="00F81221">
        <w:rPr>
          <w:kern w:val="0"/>
        </w:rPr>
        <w:t xml:space="preserve"> and </w:t>
      </w:r>
      <w:r>
        <w:rPr>
          <w:kern w:val="0"/>
        </w:rPr>
        <w:t>initial concentration</w:t>
      </w:r>
      <w:r w:rsidR="00F81221">
        <w:rPr>
          <w:kern w:val="0"/>
        </w:rPr>
        <w:t xml:space="preserve"> and </w:t>
      </w:r>
      <w:r>
        <w:rPr>
          <w:kern w:val="0"/>
        </w:rPr>
        <w:t>equilibrium metal ion concentration are evaluated. Results indicate nearly linear uptake by the biomass with increasing initial cadmium concentration. Adsorption increases rapidly in the pH range of 3-9, then levels off. Cadmium concentration uptake increase with increasing biomass concentration until reaching 5 g/L. Mixing rates up to 250 rpm increase uptake, however, higher mixing rates result in a vortex that incorporated air into the mixture, this resulted in a decrease in uptake. The adsorption isotherm appears to follow the Langmuir model.</w:t>
      </w:r>
    </w:p>
    <w:p w:rsidR="00A8777C" w:rsidRDefault="00A8777C" w:rsidP="00A8777C">
      <w:pPr>
        <w:pStyle w:val="a0"/>
        <w:rPr>
          <w:kern w:val="0"/>
        </w:rPr>
      </w:pPr>
      <w:r>
        <w:rPr>
          <w:kern w:val="0"/>
        </w:rPr>
        <w:t xml:space="preserve">Keywords: Adsorption, Adsorption Isotherm, Algae, Aqueous-Solutions, Biomass, Biosorption, Cadmium, Cost, Equilibrium, Heavy Metals, Humic Substances, Ions, Isotherm, Langmuir, Langmuir Model, Metals, Mixing, Model, Olive Pits, Peat, </w:t>
      </w:r>
      <w:r>
        <w:rPr>
          <w:rFonts w:hint="eastAsia"/>
          <w:kern w:val="0"/>
        </w:rPr>
        <w:t>p</w:t>
      </w:r>
      <w:r>
        <w:rPr>
          <w:kern w:val="0"/>
        </w:rPr>
        <w:t>H, Removal, Uptake, Vegetal Biomass, Wastewater</w:t>
      </w:r>
    </w:p>
    <w:p w:rsidR="00A8777C" w:rsidRDefault="00A8777C" w:rsidP="00A8777C">
      <w:pPr>
        <w:pStyle w:val="a0"/>
        <w:rPr>
          <w:kern w:val="0"/>
        </w:rPr>
      </w:pPr>
      <w:r>
        <w:rPr>
          <w:rFonts w:hint="eastAsia"/>
          <w:kern w:val="0"/>
        </w:rPr>
        <w:t xml:space="preserve">? </w:t>
      </w:r>
      <w:r>
        <w:rPr>
          <w:kern w:val="0"/>
        </w:rPr>
        <w:t>Ramasamy, R., Sahadevan, R., Manikam, V., Mahendradas, D.K.</w:t>
      </w:r>
      <w:r w:rsidR="00F81221">
        <w:rPr>
          <w:kern w:val="0"/>
        </w:rPr>
        <w:t xml:space="preserve"> and </w:t>
      </w:r>
      <w:r>
        <w:rPr>
          <w:kern w:val="0"/>
        </w:rPr>
        <w:t xml:space="preserve">Muniswamy, R. (2008), Biosorption of Acid Blue 5 by biomass derived from </w:t>
      </w:r>
      <w:r w:rsidRPr="00502EC5">
        <w:rPr>
          <w:i/>
          <w:kern w:val="0"/>
        </w:rPr>
        <w:t>Eichhornia crassipes</w:t>
      </w:r>
      <w:r>
        <w:rPr>
          <w:kern w:val="0"/>
        </w:rPr>
        <w:t>: Batch</w:t>
      </w:r>
      <w:r w:rsidR="00F81221">
        <w:rPr>
          <w:kern w:val="0"/>
        </w:rPr>
        <w:t xml:space="preserve"> and </w:t>
      </w:r>
      <w:r>
        <w:rPr>
          <w:kern w:val="0"/>
        </w:rPr>
        <w:t xml:space="preserve">column studies. </w:t>
      </w:r>
      <w:r>
        <w:rPr>
          <w:i/>
          <w:iCs/>
          <w:kern w:val="0"/>
        </w:rPr>
        <w:t>International Journal of Chemical Reactor Engineering</w:t>
      </w:r>
      <w:r>
        <w:rPr>
          <w:kern w:val="0"/>
        </w:rPr>
        <w:t xml:space="preserve">, </w:t>
      </w:r>
      <w:r>
        <w:rPr>
          <w:b/>
          <w:bCs/>
          <w:kern w:val="0"/>
        </w:rPr>
        <w:t>6</w:t>
      </w:r>
      <w:r>
        <w:rPr>
          <w:rFonts w:hint="eastAsia"/>
          <w:kern w:val="0"/>
        </w:rPr>
        <w:t xml:space="preserve">, </w:t>
      </w:r>
      <w:r w:rsidRPr="00502B61">
        <w:rPr>
          <w:bCs/>
          <w:kern w:val="0"/>
        </w:rPr>
        <w:t>article number</w:t>
      </w:r>
      <w:r w:rsidRPr="00502B61">
        <w:rPr>
          <w:rFonts w:hint="eastAsia"/>
          <w:bCs/>
          <w:kern w:val="0"/>
        </w:rPr>
        <w:t xml:space="preserve"> </w:t>
      </w:r>
      <w:r w:rsidRPr="0003326A">
        <w:rPr>
          <w:rFonts w:hint="eastAsia"/>
          <w:bCs/>
          <w:kern w:val="0"/>
        </w:rPr>
        <w:t>A</w:t>
      </w:r>
      <w:r>
        <w:rPr>
          <w:rFonts w:hint="eastAsia"/>
          <w:bCs/>
          <w:kern w:val="0"/>
        </w:rPr>
        <w:t>67</w:t>
      </w:r>
      <w:r>
        <w:rPr>
          <w:kern w:val="0"/>
        </w:rPr>
        <w:t>.</w:t>
      </w:r>
    </w:p>
    <w:p w:rsidR="00A8777C" w:rsidRDefault="00A8777C" w:rsidP="00A8777C">
      <w:pPr>
        <w:pStyle w:val="a0"/>
        <w:rPr>
          <w:kern w:val="0"/>
        </w:rPr>
      </w:pPr>
      <w:r>
        <w:rPr>
          <w:rFonts w:hint="eastAsia"/>
          <w:kern w:val="0"/>
        </w:rPr>
        <w:t xml:space="preserve">Full Text: </w:t>
      </w:r>
      <w:hyperlink r:id="rId1690" w:history="1">
        <w:r w:rsidR="00502EC5" w:rsidRPr="00502EC5">
          <w:rPr>
            <w:rStyle w:val="a5"/>
            <w:kern w:val="0"/>
          </w:rPr>
          <w:t>2008\Int J Che Rea Eng6, A67.pdf</w:t>
        </w:r>
      </w:hyperlink>
    </w:p>
    <w:p w:rsidR="00A8777C" w:rsidRDefault="00A8777C" w:rsidP="00A8777C">
      <w:pPr>
        <w:pStyle w:val="a0"/>
        <w:rPr>
          <w:kern w:val="0"/>
        </w:rPr>
      </w:pPr>
      <w:r>
        <w:rPr>
          <w:kern w:val="0"/>
        </w:rPr>
        <w:t>Abstract: Biosorption of Acid Blue 5 dye by the Eichhornia crassipes was investigated in batch</w:t>
      </w:r>
      <w:r w:rsidR="00F81221">
        <w:rPr>
          <w:kern w:val="0"/>
        </w:rPr>
        <w:t xml:space="preserve"> and </w:t>
      </w:r>
      <w:r>
        <w:rPr>
          <w:kern w:val="0"/>
        </w:rPr>
        <w:t>column studies. Batch experiments were conducted to study the effect of initial solution pH</w:t>
      </w:r>
      <w:r w:rsidR="00F81221">
        <w:rPr>
          <w:kern w:val="0"/>
        </w:rPr>
        <w:t xml:space="preserve"> and </w:t>
      </w:r>
      <w:r>
        <w:rPr>
          <w:kern w:val="0"/>
        </w:rPr>
        <w:t>dye concentration. Langmuir</w:t>
      </w:r>
      <w:r w:rsidR="00F81221">
        <w:rPr>
          <w:kern w:val="0"/>
        </w:rPr>
        <w:t xml:space="preserve"> and </w:t>
      </w:r>
      <w:r>
        <w:rPr>
          <w:kern w:val="0"/>
        </w:rPr>
        <w:t>Freundlich sorption models were used to represent the equilibrium data. Experimental breakthrough curves in a column were obtained with bed height (5, 10</w:t>
      </w:r>
      <w:r w:rsidR="00F81221">
        <w:rPr>
          <w:kern w:val="0"/>
        </w:rPr>
        <w:t xml:space="preserve"> and </w:t>
      </w:r>
      <w:r>
        <w:rPr>
          <w:kern w:val="0"/>
        </w:rPr>
        <w:t>15 cm), flow rate (20, 25</w:t>
      </w:r>
      <w:r w:rsidR="00F81221">
        <w:rPr>
          <w:kern w:val="0"/>
        </w:rPr>
        <w:t xml:space="preserve"> and </w:t>
      </w:r>
      <w:r>
        <w:rPr>
          <w:kern w:val="0"/>
        </w:rPr>
        <w:t>30 mL/min)</w:t>
      </w:r>
      <w:r w:rsidR="00F81221">
        <w:rPr>
          <w:kern w:val="0"/>
        </w:rPr>
        <w:t xml:space="preserve"> and </w:t>
      </w:r>
      <w:r>
        <w:rPr>
          <w:kern w:val="0"/>
        </w:rPr>
        <w:t>initial dye concentration (50, 75</w:t>
      </w:r>
      <w:r w:rsidR="00F81221">
        <w:rPr>
          <w:kern w:val="0"/>
        </w:rPr>
        <w:t xml:space="preserve"> and </w:t>
      </w:r>
      <w:r>
        <w:rPr>
          <w:kern w:val="0"/>
        </w:rPr>
        <w:t>100 mg/L). An increase in bed height</w:t>
      </w:r>
      <w:r w:rsidR="00F81221">
        <w:rPr>
          <w:kern w:val="0"/>
        </w:rPr>
        <w:t xml:space="preserve"> and </w:t>
      </w:r>
      <w:r>
        <w:rPr>
          <w:kern w:val="0"/>
        </w:rPr>
        <w:t>initial dye concentration favors the dye biosorption, while the minimum flow rate produced maximum dye biosorption. It was observed that the uptake of Acid Blue 5 using a bed height of 15 cm, flow rate of 20 mL/min</w:t>
      </w:r>
      <w:r w:rsidR="00F81221">
        <w:rPr>
          <w:kern w:val="0"/>
        </w:rPr>
        <w:t xml:space="preserve"> and </w:t>
      </w:r>
      <w:r>
        <w:rPr>
          <w:kern w:val="0"/>
        </w:rPr>
        <w:t>initial dye concentration of 100 mg/L was found to be more when compared to all other bed height, flow rate</w:t>
      </w:r>
      <w:r w:rsidR="00F81221">
        <w:rPr>
          <w:kern w:val="0"/>
        </w:rPr>
        <w:t xml:space="preserve"> and </w:t>
      </w:r>
      <w:r>
        <w:rPr>
          <w:kern w:val="0"/>
        </w:rPr>
        <w:t>initial dye concentration studied in the present investigation. The Bed Depth Service Time (BDST) model was used for the evaluation of continuous sorption data.</w:t>
      </w:r>
    </w:p>
    <w:p w:rsidR="00A8777C" w:rsidRDefault="00A8777C" w:rsidP="00A8777C">
      <w:pPr>
        <w:pStyle w:val="a0"/>
        <w:rPr>
          <w:kern w:val="0"/>
        </w:rPr>
      </w:pPr>
      <w:r>
        <w:rPr>
          <w:kern w:val="0"/>
        </w:rPr>
        <w:t xml:space="preserve">Keywords: Acid Blue 5, Adsorption, Batch, Batch Experiments, Bed, Biomass, Biosorption, Breakthrough, Dye, Dyes, Effluents, Eichhornia, Eichhornia Crassipes, Equilibrium, Evaluation, Freundlich, Langmuir, Model, Models, Packed Bed </w:t>
      </w:r>
      <w:r>
        <w:rPr>
          <w:kern w:val="0"/>
        </w:rPr>
        <w:lastRenderedPageBreak/>
        <w:t xml:space="preserve">Column, </w:t>
      </w:r>
      <w:r>
        <w:rPr>
          <w:rFonts w:hint="eastAsia"/>
          <w:kern w:val="0"/>
        </w:rPr>
        <w:t>p</w:t>
      </w:r>
      <w:r>
        <w:rPr>
          <w:kern w:val="0"/>
        </w:rPr>
        <w:t>H, Removal, Sorption, Uptake, Water</w:t>
      </w:r>
    </w:p>
    <w:p w:rsidR="00A8777C" w:rsidRDefault="00A8777C" w:rsidP="00A8777C">
      <w:pPr>
        <w:pStyle w:val="a0"/>
        <w:rPr>
          <w:kern w:val="0"/>
        </w:rPr>
      </w:pPr>
      <w:r>
        <w:rPr>
          <w:rFonts w:hint="eastAsia"/>
          <w:kern w:val="0"/>
        </w:rPr>
        <w:t xml:space="preserve">? </w:t>
      </w:r>
      <w:r>
        <w:rPr>
          <w:kern w:val="0"/>
        </w:rPr>
        <w:t>Sahadevan, R., Devaraj, A.B.K., Mahendradas, D.K., Gurunathan, B.</w:t>
      </w:r>
      <w:r w:rsidR="00F81221">
        <w:rPr>
          <w:kern w:val="0"/>
        </w:rPr>
        <w:t xml:space="preserve"> and </w:t>
      </w:r>
      <w:r>
        <w:rPr>
          <w:kern w:val="0"/>
        </w:rPr>
        <w:t xml:space="preserve">Velan, M. (2008), Biosorption of lignin compounds using biomass derived from </w:t>
      </w:r>
      <w:r w:rsidRPr="00502EC5">
        <w:rPr>
          <w:i/>
          <w:kern w:val="0"/>
        </w:rPr>
        <w:t>Eichhornia crassipes</w:t>
      </w:r>
      <w:r>
        <w:rPr>
          <w:kern w:val="0"/>
        </w:rPr>
        <w:t xml:space="preserve">: Batch studies. </w:t>
      </w:r>
      <w:r>
        <w:rPr>
          <w:i/>
          <w:iCs/>
          <w:kern w:val="0"/>
        </w:rPr>
        <w:t>International Journal of Chemical Reactor Engineering</w:t>
      </w:r>
      <w:r>
        <w:rPr>
          <w:kern w:val="0"/>
        </w:rPr>
        <w:t xml:space="preserve">, </w:t>
      </w:r>
      <w:r>
        <w:rPr>
          <w:b/>
          <w:bCs/>
          <w:kern w:val="0"/>
        </w:rPr>
        <w:t>6</w:t>
      </w:r>
      <w:r>
        <w:rPr>
          <w:rFonts w:hint="eastAsia"/>
          <w:kern w:val="0"/>
        </w:rPr>
        <w:t>,</w:t>
      </w:r>
      <w:r w:rsidRPr="00897730">
        <w:rPr>
          <w:bCs/>
          <w:kern w:val="0"/>
        </w:rPr>
        <w:t xml:space="preserve"> </w:t>
      </w:r>
      <w:r w:rsidRPr="00502B61">
        <w:rPr>
          <w:bCs/>
          <w:kern w:val="0"/>
        </w:rPr>
        <w:t>article number</w:t>
      </w:r>
      <w:r w:rsidRPr="00502B61">
        <w:rPr>
          <w:rFonts w:hint="eastAsia"/>
          <w:bCs/>
          <w:kern w:val="0"/>
        </w:rPr>
        <w:t xml:space="preserve"> </w:t>
      </w:r>
      <w:r w:rsidRPr="0003326A">
        <w:rPr>
          <w:rFonts w:hint="eastAsia"/>
          <w:bCs/>
          <w:kern w:val="0"/>
        </w:rPr>
        <w:t>A</w:t>
      </w:r>
      <w:r>
        <w:rPr>
          <w:rFonts w:hint="eastAsia"/>
          <w:bCs/>
          <w:kern w:val="0"/>
        </w:rPr>
        <w:t>102</w:t>
      </w:r>
      <w:r>
        <w:rPr>
          <w:kern w:val="0"/>
        </w:rPr>
        <w:t>.</w:t>
      </w:r>
    </w:p>
    <w:p w:rsidR="00A8777C" w:rsidRDefault="00A8777C" w:rsidP="00A8777C">
      <w:pPr>
        <w:pStyle w:val="a0"/>
        <w:rPr>
          <w:kern w:val="0"/>
        </w:rPr>
      </w:pPr>
      <w:r>
        <w:rPr>
          <w:rFonts w:hint="eastAsia"/>
          <w:kern w:val="0"/>
        </w:rPr>
        <w:t xml:space="preserve">Full Text: </w:t>
      </w:r>
      <w:hyperlink r:id="rId1691" w:history="1">
        <w:r w:rsidR="00502EC5" w:rsidRPr="00502EC5">
          <w:rPr>
            <w:rStyle w:val="a5"/>
            <w:kern w:val="0"/>
          </w:rPr>
          <w:t>2008\Int J Che Rea Eng6, A102.pdf</w:t>
        </w:r>
      </w:hyperlink>
    </w:p>
    <w:p w:rsidR="00A8777C" w:rsidRDefault="00A8777C" w:rsidP="00A8777C">
      <w:pPr>
        <w:pStyle w:val="a0"/>
        <w:rPr>
          <w:kern w:val="0"/>
        </w:rPr>
      </w:pPr>
      <w:r>
        <w:rPr>
          <w:kern w:val="0"/>
        </w:rPr>
        <w:t>Abstract: Biosorption of lignin compounds by the Eichhornia crassipes was investigated in batch studies. Batch experiments were conducted to study the effect of initial sorbent dosage, solution pH</w:t>
      </w:r>
      <w:r w:rsidR="00F81221">
        <w:rPr>
          <w:kern w:val="0"/>
        </w:rPr>
        <w:t xml:space="preserve"> and </w:t>
      </w:r>
      <w:r>
        <w:rPr>
          <w:kern w:val="0"/>
        </w:rPr>
        <w:t>lignin compounds concentration. Langmuir</w:t>
      </w:r>
      <w:r w:rsidR="00F81221">
        <w:rPr>
          <w:kern w:val="0"/>
        </w:rPr>
        <w:t xml:space="preserve"> and </w:t>
      </w:r>
      <w:r>
        <w:rPr>
          <w:kern w:val="0"/>
        </w:rPr>
        <w:t>Freundlich adsorption isotherm models were used to represent the equilibrium data. The Freundlich isotherm model was found to be fitted very well with the experimental data when compared to Langmuir isotherm model. The results showed that the equilibrium uptake capacity was found to be increased with decrease in biomass dosage. The lignin compound removal was influenced by the initial lignin compounds concentration. The sorption results were analysed for pseudo first order</w:t>
      </w:r>
      <w:r w:rsidR="00F81221">
        <w:rPr>
          <w:kern w:val="0"/>
        </w:rPr>
        <w:t xml:space="preserve"> and </w:t>
      </w:r>
      <w:r>
        <w:rPr>
          <w:kern w:val="0"/>
        </w:rPr>
        <w:t>pseudo second order kinetic model. It was observed that the kinetic data fitted very well with the pseudo second order rate equation when compared to the pseudo first order rate equation. Sorption results were analyzed for the intra particle diffusion model.</w:t>
      </w:r>
    </w:p>
    <w:p w:rsidR="00A8777C" w:rsidRDefault="00A8777C" w:rsidP="00A8777C">
      <w:pPr>
        <w:pStyle w:val="a0"/>
        <w:rPr>
          <w:kern w:val="0"/>
        </w:rPr>
      </w:pPr>
      <w:r>
        <w:rPr>
          <w:kern w:val="0"/>
        </w:rPr>
        <w:t>Keywords: Adsorption, Adsorption Isotherm, Aqueous-Solution, Batch, Batch Experiments, Biomass, Biosorbent, Biosorption, Capacity, Compounds, Decolorization, Diffusion, Dyes, Effluents, Eichhornia, Eichhornia Crassipes, Equilibrium, Freundlich, Freundlich Adsorption, Freundlich Isotherm, Intra Particle Diffusion, Isotherm, Isotherm Models, Kinetic, Kinetic Model, Langmuir, Langmuir Isotherm, Lignin Compounds, Model, Models, Ph, Pseudo Second Order, Pulp, Removal, Sorbent, Sorption, Uptake, Waste-Water</w:t>
      </w:r>
    </w:p>
    <w:p w:rsidR="00A8777C" w:rsidRDefault="00A8777C" w:rsidP="00A8777C">
      <w:pPr>
        <w:pStyle w:val="a0"/>
        <w:rPr>
          <w:kern w:val="0"/>
        </w:rPr>
      </w:pPr>
      <w:r>
        <w:rPr>
          <w:rFonts w:hint="eastAsia"/>
          <w:kern w:val="0"/>
        </w:rPr>
        <w:t xml:space="preserve">? </w:t>
      </w:r>
      <w:r>
        <w:rPr>
          <w:kern w:val="0"/>
        </w:rPr>
        <w:t>Khataee, A.</w:t>
      </w:r>
      <w:r w:rsidR="00F81221">
        <w:rPr>
          <w:kern w:val="0"/>
        </w:rPr>
        <w:t xml:space="preserve"> and </w:t>
      </w:r>
      <w:r>
        <w:rPr>
          <w:kern w:val="0"/>
        </w:rPr>
        <w:t xml:space="preserve">Khani, A. (2009), Modeling of nitrate adsorption on granular activated carbon (GAC) using Artificial Neural Network (ANN). </w:t>
      </w:r>
      <w:r>
        <w:rPr>
          <w:i/>
          <w:iCs/>
          <w:kern w:val="0"/>
        </w:rPr>
        <w:t>International Journal of Chemical Reactor Engineering</w:t>
      </w:r>
      <w:r>
        <w:rPr>
          <w:kern w:val="0"/>
        </w:rPr>
        <w:t xml:space="preserve">, </w:t>
      </w:r>
      <w:r>
        <w:rPr>
          <w:b/>
          <w:bCs/>
          <w:kern w:val="0"/>
        </w:rPr>
        <w:t>7</w:t>
      </w:r>
      <w:r>
        <w:rPr>
          <w:rFonts w:hint="eastAsia"/>
          <w:kern w:val="0"/>
        </w:rPr>
        <w:t>,</w:t>
      </w:r>
      <w:r w:rsidRPr="00897730">
        <w:rPr>
          <w:bCs/>
          <w:kern w:val="0"/>
        </w:rPr>
        <w:t xml:space="preserve"> </w:t>
      </w:r>
      <w:r w:rsidRPr="00502B61">
        <w:rPr>
          <w:bCs/>
          <w:kern w:val="0"/>
        </w:rPr>
        <w:t>article number</w:t>
      </w:r>
      <w:r w:rsidRPr="00502B61">
        <w:rPr>
          <w:rFonts w:hint="eastAsia"/>
          <w:bCs/>
          <w:kern w:val="0"/>
        </w:rPr>
        <w:t xml:space="preserve"> </w:t>
      </w:r>
      <w:r w:rsidRPr="0003326A">
        <w:rPr>
          <w:rFonts w:hint="eastAsia"/>
          <w:bCs/>
          <w:kern w:val="0"/>
        </w:rPr>
        <w:t>A</w:t>
      </w:r>
      <w:r>
        <w:rPr>
          <w:rFonts w:hint="eastAsia"/>
          <w:bCs/>
          <w:kern w:val="0"/>
        </w:rPr>
        <w:t>5</w:t>
      </w:r>
      <w:r>
        <w:rPr>
          <w:kern w:val="0"/>
        </w:rPr>
        <w:t>.</w:t>
      </w:r>
    </w:p>
    <w:p w:rsidR="00A8777C" w:rsidRDefault="00A8777C" w:rsidP="00A8777C">
      <w:pPr>
        <w:pStyle w:val="a0"/>
        <w:rPr>
          <w:kern w:val="0"/>
        </w:rPr>
      </w:pPr>
      <w:r>
        <w:rPr>
          <w:rFonts w:hint="eastAsia"/>
          <w:kern w:val="0"/>
        </w:rPr>
        <w:t xml:space="preserve">Full Text: </w:t>
      </w:r>
      <w:hyperlink r:id="rId1692" w:history="1">
        <w:r w:rsidR="002A4EF6" w:rsidRPr="002A4EF6">
          <w:rPr>
            <w:rStyle w:val="a5"/>
            <w:kern w:val="0"/>
          </w:rPr>
          <w:t>2009\Int J Che Rea Eng7, A5.pdf</w:t>
        </w:r>
      </w:hyperlink>
    </w:p>
    <w:p w:rsidR="00A8777C" w:rsidRDefault="00A8777C" w:rsidP="00A8777C">
      <w:pPr>
        <w:pStyle w:val="a0"/>
        <w:rPr>
          <w:kern w:val="0"/>
        </w:rPr>
      </w:pPr>
      <w:r>
        <w:rPr>
          <w:kern w:val="0"/>
        </w:rPr>
        <w:t>Abstract: High concentrations of N-containing compounds in drinking water cause health problems such as cyanosis among children</w:t>
      </w:r>
      <w:r w:rsidR="00F81221">
        <w:rPr>
          <w:kern w:val="0"/>
        </w:rPr>
        <w:t xml:space="preserve"> and </w:t>
      </w:r>
      <w:r>
        <w:rPr>
          <w:kern w:val="0"/>
        </w:rPr>
        <w:t>cancer of the alimentary canal. Therefore, removal of nitrate from water samples is of significant importance from the health</w:t>
      </w:r>
      <w:r w:rsidR="00F81221">
        <w:rPr>
          <w:kern w:val="0"/>
        </w:rPr>
        <w:t xml:space="preserve"> and </w:t>
      </w:r>
      <w:r>
        <w:rPr>
          <w:kern w:val="0"/>
        </w:rPr>
        <w:t>environmental point of view. In this work, the effective parameters on removal of nitrate by adsorption process, which included the amount of granular activated carbon (m), initial concentration (C-0), contact time, pH</w:t>
      </w:r>
      <w:r w:rsidR="00F81221">
        <w:rPr>
          <w:kern w:val="0"/>
        </w:rPr>
        <w:t xml:space="preserve"> and </w:t>
      </w:r>
      <w:r>
        <w:rPr>
          <w:kern w:val="0"/>
        </w:rPr>
        <w:t xml:space="preserve">temperature (T), were investigated. The removal process was monitored using an on-line spectrophotometric analysis system. It was found that the content of adsorption followed decreasing order: m = 10&gt;5&gt;2&gt;1g, C-0 = 20&gt;15&gt;25&gt;10 ppm, pH = </w:t>
      </w:r>
      <w:r>
        <w:rPr>
          <w:kern w:val="0"/>
        </w:rPr>
        <w:lastRenderedPageBreak/>
        <w:t>4&gt;7&gt;10&gt;1</w:t>
      </w:r>
      <w:r w:rsidR="00F81221">
        <w:rPr>
          <w:kern w:val="0"/>
        </w:rPr>
        <w:t xml:space="preserve"> and </w:t>
      </w:r>
      <w:r>
        <w:rPr>
          <w:kern w:val="0"/>
        </w:rPr>
        <w:t>T = 25&gt;35&gt;45&gt;55 degrees C. The three-layered feed forward back propagation neural network was used for modeling of nitrate adsorption on granular activated carbon. The comparison between the predicted results of the designed ANN model</w:t>
      </w:r>
      <w:r w:rsidR="00F81221">
        <w:rPr>
          <w:kern w:val="0"/>
        </w:rPr>
        <w:t xml:space="preserve"> and </w:t>
      </w:r>
      <w:r>
        <w:rPr>
          <w:kern w:val="0"/>
        </w:rPr>
        <w:t>the experimental data proved that modeling of nitrate adsorption process using artificial neuron network was a good</w:t>
      </w:r>
      <w:r w:rsidR="00F81221">
        <w:rPr>
          <w:kern w:val="0"/>
        </w:rPr>
        <w:t xml:space="preserve"> and </w:t>
      </w:r>
      <w:r>
        <w:rPr>
          <w:kern w:val="0"/>
        </w:rPr>
        <w:t>precise method to predict the extent of adsorption of nitrate on GAC under different conditions.</w:t>
      </w:r>
    </w:p>
    <w:p w:rsidR="00A8777C" w:rsidRDefault="00A8777C" w:rsidP="00A8777C">
      <w:pPr>
        <w:pStyle w:val="a0"/>
        <w:rPr>
          <w:kern w:val="0"/>
        </w:rPr>
      </w:pPr>
      <w:r>
        <w:rPr>
          <w:kern w:val="0"/>
        </w:rPr>
        <w:t xml:space="preserve">Keywords: Activated Carbon, Adsorbent, Adsorption, Analysis, Aqueous-Solution, Cancer, Carbon, Comparison, Compounds, Contact Time, Decolorization, Denitrification, Drinking Water, Drinking-Water, Electrodialysis, Feed Forward Back Propagation, GAC, Granular Activated Carbon, Ground-Water, Ion-Exchange, Model, Modeling, Network, Neural Network, Nitrate, </w:t>
      </w:r>
      <w:r>
        <w:rPr>
          <w:rFonts w:hint="eastAsia"/>
          <w:kern w:val="0"/>
        </w:rPr>
        <w:t>P</w:t>
      </w:r>
      <w:r>
        <w:rPr>
          <w:kern w:val="0"/>
        </w:rPr>
        <w:t>H, Removal, Strength, System, Temperature, Waste, Water, Water Samples, Water Treatment</w:t>
      </w:r>
    </w:p>
    <w:p w:rsidR="00F56C2B" w:rsidRDefault="00F56C2B" w:rsidP="00F56C2B">
      <w:pPr>
        <w:pStyle w:val="a0"/>
        <w:rPr>
          <w:kern w:val="0"/>
        </w:rPr>
      </w:pPr>
      <w:r>
        <w:rPr>
          <w:rFonts w:hint="eastAsia"/>
          <w:kern w:val="0"/>
        </w:rPr>
        <w:t xml:space="preserve">? </w:t>
      </w:r>
      <w:r>
        <w:rPr>
          <w:kern w:val="0"/>
        </w:rPr>
        <w:t>Sahadevan, R., Mahendradas, D.K., Shanmugasundaram, V., Shanmugam, K.</w:t>
      </w:r>
      <w:r w:rsidR="00F81221">
        <w:rPr>
          <w:kern w:val="0"/>
        </w:rPr>
        <w:t xml:space="preserve"> and </w:t>
      </w:r>
      <w:r>
        <w:rPr>
          <w:kern w:val="0"/>
        </w:rPr>
        <w:t xml:space="preserve">Velan, M. (2009), Sorption </w:t>
      </w:r>
      <w:r w:rsidR="00502B61">
        <w:rPr>
          <w:kern w:val="0"/>
        </w:rPr>
        <w:t>kinetics</w:t>
      </w:r>
      <w:r w:rsidR="00F81221">
        <w:rPr>
          <w:kern w:val="0"/>
        </w:rPr>
        <w:t xml:space="preserve"> and </w:t>
      </w:r>
      <w:r w:rsidR="00502B61">
        <w:rPr>
          <w:kern w:val="0"/>
        </w:rPr>
        <w:t>equilibrium analysis for the re</w:t>
      </w:r>
      <w:r>
        <w:rPr>
          <w:kern w:val="0"/>
        </w:rPr>
        <w:t>moval of Reactive Red 2</w:t>
      </w:r>
      <w:r w:rsidR="00F81221">
        <w:rPr>
          <w:kern w:val="0"/>
        </w:rPr>
        <w:t xml:space="preserve"> and </w:t>
      </w:r>
      <w:r>
        <w:rPr>
          <w:kern w:val="0"/>
        </w:rPr>
        <w:t xml:space="preserve">Reactive Blue 81 </w:t>
      </w:r>
      <w:r w:rsidR="00502B61">
        <w:rPr>
          <w:kern w:val="0"/>
        </w:rPr>
        <w:t>dyes from synthetic effluents using dried soya bean me</w:t>
      </w:r>
      <w:r>
        <w:rPr>
          <w:kern w:val="0"/>
        </w:rPr>
        <w:t xml:space="preserve">al. </w:t>
      </w:r>
      <w:r>
        <w:rPr>
          <w:i/>
          <w:iCs/>
          <w:kern w:val="0"/>
        </w:rPr>
        <w:t>International Journal of Chemical Reactor Engineering</w:t>
      </w:r>
      <w:r>
        <w:rPr>
          <w:kern w:val="0"/>
        </w:rPr>
        <w:t xml:space="preserve">, </w:t>
      </w:r>
      <w:r>
        <w:rPr>
          <w:b/>
          <w:bCs/>
          <w:kern w:val="0"/>
        </w:rPr>
        <w:t>7</w:t>
      </w:r>
      <w:r w:rsidRPr="0003326A">
        <w:rPr>
          <w:rFonts w:hint="eastAsia"/>
          <w:bCs/>
          <w:kern w:val="0"/>
        </w:rPr>
        <w:t xml:space="preserve">, </w:t>
      </w:r>
      <w:r w:rsidR="00A24A28" w:rsidRPr="00502B61">
        <w:rPr>
          <w:bCs/>
          <w:kern w:val="0"/>
        </w:rPr>
        <w:t>article n</w:t>
      </w:r>
      <w:r w:rsidR="00502B61" w:rsidRPr="00502B61">
        <w:rPr>
          <w:bCs/>
          <w:kern w:val="0"/>
        </w:rPr>
        <w:t>umber</w:t>
      </w:r>
      <w:r w:rsidR="00502B61" w:rsidRPr="00502B61">
        <w:rPr>
          <w:rFonts w:hint="eastAsia"/>
          <w:bCs/>
          <w:kern w:val="0"/>
        </w:rPr>
        <w:t xml:space="preserve"> </w:t>
      </w:r>
      <w:r w:rsidRPr="0003326A">
        <w:rPr>
          <w:rFonts w:hint="eastAsia"/>
          <w:bCs/>
          <w:kern w:val="0"/>
        </w:rPr>
        <w:t>A33</w:t>
      </w:r>
      <w:r>
        <w:rPr>
          <w:kern w:val="0"/>
        </w:rPr>
        <w:t>.</w:t>
      </w:r>
    </w:p>
    <w:p w:rsidR="00F56C2B" w:rsidRDefault="00F56C2B" w:rsidP="00F56C2B">
      <w:pPr>
        <w:pStyle w:val="a0"/>
        <w:rPr>
          <w:kern w:val="0"/>
        </w:rPr>
      </w:pPr>
      <w:r>
        <w:rPr>
          <w:rFonts w:hint="eastAsia"/>
          <w:kern w:val="0"/>
        </w:rPr>
        <w:t xml:space="preserve">Full Text: </w:t>
      </w:r>
      <w:hyperlink r:id="rId1693" w:history="1">
        <w:r w:rsidR="00EC2A67" w:rsidRPr="00EC2A67">
          <w:rPr>
            <w:rStyle w:val="a5"/>
            <w:kern w:val="0"/>
          </w:rPr>
          <w:t>2009\Int J Che Rea Eng7, A33.pdf</w:t>
        </w:r>
      </w:hyperlink>
    </w:p>
    <w:p w:rsidR="00F56C2B" w:rsidRDefault="00F56C2B" w:rsidP="00F56C2B">
      <w:pPr>
        <w:pStyle w:val="a0"/>
        <w:rPr>
          <w:kern w:val="0"/>
        </w:rPr>
      </w:pPr>
      <w:r>
        <w:rPr>
          <w:kern w:val="0"/>
        </w:rPr>
        <w:t>Abstract: Biosorption of Reactive Red 2</w:t>
      </w:r>
      <w:r w:rsidR="00F81221">
        <w:rPr>
          <w:kern w:val="0"/>
        </w:rPr>
        <w:t xml:space="preserve"> and </w:t>
      </w:r>
      <w:r>
        <w:rPr>
          <w:kern w:val="0"/>
        </w:rPr>
        <w:t>Reactive Blue 81 dye from an aqueous solution using soya bean meal in a batch system was evaluated. The potential of the meal to act as an adsorbent was determined using Scanning Electron Micrograph</w:t>
      </w:r>
      <w:r w:rsidR="00F81221">
        <w:rPr>
          <w:kern w:val="0"/>
        </w:rPr>
        <w:t xml:space="preserve"> and </w:t>
      </w:r>
      <w:r>
        <w:rPr>
          <w:kern w:val="0"/>
        </w:rPr>
        <w:t>Fourier Transform Infrared Analysis. The effect of sorbent dosage (0.2 to 1.2 g/100 mL), pH (1 to 7)</w:t>
      </w:r>
      <w:r w:rsidR="00F81221">
        <w:rPr>
          <w:kern w:val="0"/>
        </w:rPr>
        <w:t xml:space="preserve"> and </w:t>
      </w:r>
      <w:r>
        <w:rPr>
          <w:kern w:val="0"/>
        </w:rPr>
        <w:t>initial dye concentration (20 to 120 mg/L) on the biosorption process was studied. The equilibrium dye uptake capacity was found to be more at 0.2 g/100 mL of sorbent dosage when compared to all other sorbent dosage studied in the present investigation with the initial dye concentration of 30 mg/L</w:t>
      </w:r>
      <w:r w:rsidR="00F81221">
        <w:rPr>
          <w:kern w:val="0"/>
        </w:rPr>
        <w:t xml:space="preserve"> and </w:t>
      </w:r>
      <w:r>
        <w:rPr>
          <w:kern w:val="0"/>
        </w:rPr>
        <w:t>pH value of 6. The equilibrium dye uptake capacity was found to be more at pH value of 2.0 when compared to all other pH levels studied in the present investigation with the sorbent dosage of 2.0 g/L at 30 mg/L initial dye concentration. The equilibrium uptake value was found to be higher for Reactive Red 2 when compared with Reactive Blue 81 dye. The rate of sorption was investigated using pseudo first</w:t>
      </w:r>
      <w:r w:rsidR="00F81221">
        <w:rPr>
          <w:kern w:val="0"/>
        </w:rPr>
        <w:t xml:space="preserve"> and </w:t>
      </w:r>
      <w:r>
        <w:rPr>
          <w:kern w:val="0"/>
        </w:rPr>
        <w:t>pseudo second order rate equations. The pseudo second order rate expression fit the experimental data well. The equilibrium data was analysed using Langmuir</w:t>
      </w:r>
      <w:r w:rsidR="00F81221">
        <w:rPr>
          <w:kern w:val="0"/>
        </w:rPr>
        <w:t xml:space="preserve"> and </w:t>
      </w:r>
      <w:r>
        <w:rPr>
          <w:kern w:val="0"/>
        </w:rPr>
        <w:t>Freundlich adsorption isotherm model. The equilibrium data for both dyes followed the Freundlich adsorption isotherm at 30</w:t>
      </w:r>
      <w:r>
        <w:rPr>
          <w:kern w:val="0"/>
        </w:rPr>
        <w:sym w:font="Symbol" w:char="F0B0"/>
      </w:r>
      <w:r>
        <w:rPr>
          <w:kern w:val="0"/>
        </w:rPr>
        <w:t>C. Intra particle diffusion model was used to determine the mechanism of the biosorption process. In this present investigation, the maximum uptake capacity of Reactive Red 2 dye was observed as 49.04 mg/g using Soya Bean Meal at 120 mg/L initial dye concentration. The adsorption capacity of Soya Bean Meal was found to be comparable with other low cost adsorbents.</w:t>
      </w:r>
    </w:p>
    <w:p w:rsidR="00F56C2B" w:rsidRDefault="00F56C2B" w:rsidP="00F56C2B">
      <w:pPr>
        <w:pStyle w:val="a0"/>
        <w:rPr>
          <w:kern w:val="0"/>
        </w:rPr>
      </w:pPr>
      <w:r>
        <w:rPr>
          <w:kern w:val="0"/>
        </w:rPr>
        <w:lastRenderedPageBreak/>
        <w:t xml:space="preserve">Keywords: Adsorbent, Adsorbents, Adsorption, Adsorption Capacity, Adsorption Isotherm, Adsorption Isotherm Model, Aqueous Solution, Basic-Dyes, Batch, Batch System, Biomass, Biosorption, Biosorption, Capacity, Color Removal, Concentration, Cost, Data, Decolorization, Diffusion, Diffusion Model, Dye, Dyes, Equilibrium, Experimental, Expression, First, Freundlich, Freundlich Adsorption Isotherm, Intra Particle Diffusion, Investigation, Isotherm, Isotherm Model, Isotherms, Kinetics, Langmuir, Low Cost, Low Cost Adsorbents, Mechanism, Model, Particle Diffusion, Particle Diffusion Model, </w:t>
      </w:r>
      <w:r>
        <w:rPr>
          <w:rFonts w:hint="eastAsia"/>
          <w:kern w:val="0"/>
        </w:rPr>
        <w:t>p</w:t>
      </w:r>
      <w:r>
        <w:rPr>
          <w:kern w:val="0"/>
        </w:rPr>
        <w:t xml:space="preserve">H, </w:t>
      </w:r>
      <w:r>
        <w:rPr>
          <w:rFonts w:hint="eastAsia"/>
          <w:kern w:val="0"/>
        </w:rPr>
        <w:t>p</w:t>
      </w:r>
      <w:r>
        <w:rPr>
          <w:kern w:val="0"/>
        </w:rPr>
        <w:t>H Value, Pith, Potential, Pseudo Second Order, Pseudo-Second-Order, Reactive Dyes, Removal, Second Order, Second-Order, Solution, Sorbent, Sorption, Textile Effluent, Uptake, Value, Waste, Water</w:t>
      </w:r>
    </w:p>
    <w:p w:rsidR="00492852" w:rsidRDefault="00492852" w:rsidP="00492852">
      <w:pPr>
        <w:pStyle w:val="a0"/>
        <w:rPr>
          <w:kern w:val="0"/>
        </w:rPr>
      </w:pPr>
      <w:r>
        <w:rPr>
          <w:rFonts w:hint="eastAsia"/>
          <w:kern w:val="0"/>
        </w:rPr>
        <w:t xml:space="preserve">? </w:t>
      </w:r>
      <w:r>
        <w:rPr>
          <w:kern w:val="0"/>
        </w:rPr>
        <w:t>Govindasamy, V., Sahadevan, R., Subramanian, S.</w:t>
      </w:r>
      <w:r w:rsidR="00F81221">
        <w:rPr>
          <w:kern w:val="0"/>
        </w:rPr>
        <w:t xml:space="preserve"> and </w:t>
      </w:r>
      <w:r>
        <w:rPr>
          <w:kern w:val="0"/>
        </w:rPr>
        <w:t xml:space="preserve">Mahendradas, D.K. (2009), Removal of Malachite Green from aqueous solutions by perlite. </w:t>
      </w:r>
      <w:r>
        <w:rPr>
          <w:i/>
          <w:iCs/>
          <w:kern w:val="0"/>
        </w:rPr>
        <w:t>International Journal of Chemical Reactor Engineering</w:t>
      </w:r>
      <w:r>
        <w:rPr>
          <w:kern w:val="0"/>
        </w:rPr>
        <w:t xml:space="preserve">, </w:t>
      </w:r>
      <w:r>
        <w:rPr>
          <w:b/>
          <w:bCs/>
          <w:kern w:val="0"/>
        </w:rPr>
        <w:t>7</w:t>
      </w:r>
      <w:r>
        <w:rPr>
          <w:rFonts w:hint="eastAsia"/>
          <w:kern w:val="0"/>
        </w:rPr>
        <w:t xml:space="preserve">, </w:t>
      </w:r>
      <w:r w:rsidRPr="00502B61">
        <w:rPr>
          <w:bCs/>
          <w:kern w:val="0"/>
        </w:rPr>
        <w:t>article number</w:t>
      </w:r>
      <w:r w:rsidRPr="00502B61">
        <w:rPr>
          <w:rFonts w:hint="eastAsia"/>
          <w:bCs/>
          <w:kern w:val="0"/>
        </w:rPr>
        <w:t xml:space="preserve"> </w:t>
      </w:r>
      <w:r w:rsidRPr="0003326A">
        <w:rPr>
          <w:rFonts w:hint="eastAsia"/>
          <w:bCs/>
          <w:kern w:val="0"/>
        </w:rPr>
        <w:t>A</w:t>
      </w:r>
      <w:r>
        <w:rPr>
          <w:rFonts w:hint="eastAsia"/>
          <w:bCs/>
          <w:kern w:val="0"/>
        </w:rPr>
        <w:t>4</w:t>
      </w:r>
      <w:r w:rsidRPr="0003326A">
        <w:rPr>
          <w:rFonts w:hint="eastAsia"/>
          <w:bCs/>
          <w:kern w:val="0"/>
        </w:rPr>
        <w:t>3</w:t>
      </w:r>
      <w:r>
        <w:rPr>
          <w:kern w:val="0"/>
        </w:rPr>
        <w:t>.</w:t>
      </w:r>
    </w:p>
    <w:p w:rsidR="00492852" w:rsidRDefault="00492852" w:rsidP="00492852">
      <w:pPr>
        <w:pStyle w:val="a0"/>
        <w:rPr>
          <w:kern w:val="0"/>
        </w:rPr>
      </w:pPr>
      <w:r>
        <w:rPr>
          <w:rFonts w:hint="eastAsia"/>
          <w:kern w:val="0"/>
        </w:rPr>
        <w:t xml:space="preserve">Full Text: </w:t>
      </w:r>
      <w:hyperlink r:id="rId1694" w:history="1">
        <w:r w:rsidR="002A4EF6" w:rsidRPr="002A4EF6">
          <w:rPr>
            <w:rStyle w:val="a5"/>
            <w:kern w:val="0"/>
          </w:rPr>
          <w:t>2009\Int J Che Rea Eng7, A43.pdf</w:t>
        </w:r>
      </w:hyperlink>
    </w:p>
    <w:p w:rsidR="00492852" w:rsidRDefault="00492852" w:rsidP="00492852">
      <w:pPr>
        <w:pStyle w:val="a0"/>
        <w:rPr>
          <w:kern w:val="0"/>
        </w:rPr>
      </w:pPr>
      <w:r>
        <w:rPr>
          <w:kern w:val="0"/>
        </w:rPr>
        <w:t>Abstract: Perlite was utilized as an adsorbent for the removal of malachite green from their aqueous solution. The effects of the initial dye concentration, contact time, adsorbent dose, pH,</w:t>
      </w:r>
      <w:r w:rsidR="00F81221">
        <w:rPr>
          <w:kern w:val="0"/>
        </w:rPr>
        <w:t xml:space="preserve"> and </w:t>
      </w:r>
      <w:r>
        <w:rPr>
          <w:kern w:val="0"/>
        </w:rPr>
        <w:t>temperature were studied for the adsorption of malachite green in batch mode. The dye adsorption equilibrium was rapidly attained after 40 min of contact time. Adsorbent was characterized by FTIR, XRD</w:t>
      </w:r>
      <w:r w:rsidR="00F81221">
        <w:rPr>
          <w:kern w:val="0"/>
        </w:rPr>
        <w:t xml:space="preserve"> and </w:t>
      </w:r>
      <w:r>
        <w:rPr>
          <w:kern w:val="0"/>
        </w:rPr>
        <w:t>SEM. The Langmuir</w:t>
      </w:r>
      <w:r w:rsidR="00F81221">
        <w:rPr>
          <w:kern w:val="0"/>
        </w:rPr>
        <w:t xml:space="preserve"> and </w:t>
      </w:r>
      <w:r>
        <w:rPr>
          <w:kern w:val="0"/>
        </w:rPr>
        <w:t>Freundlich isotherm described the adsorption data over the concentration range (20-100 mg/L). The rate parameters of the intra particle diffusion were calculated</w:t>
      </w:r>
      <w:r w:rsidR="00F81221">
        <w:rPr>
          <w:kern w:val="0"/>
        </w:rPr>
        <w:t xml:space="preserve"> and </w:t>
      </w:r>
      <w:r>
        <w:rPr>
          <w:kern w:val="0"/>
        </w:rPr>
        <w:t>compared to identify the adsorption mechanisms. The thermodynamic parameters such as entropy change, enthalpy change,</w:t>
      </w:r>
      <w:r w:rsidR="00F81221">
        <w:rPr>
          <w:kern w:val="0"/>
        </w:rPr>
        <w:t xml:space="preserve"> and </w:t>
      </w:r>
      <w:r>
        <w:rPr>
          <w:kern w:val="0"/>
        </w:rPr>
        <w:t>energy of adsorption were calculated to know the nature of adsorption. The negative values of energy of adsorption</w:t>
      </w:r>
      <w:r w:rsidR="00F81221">
        <w:rPr>
          <w:kern w:val="0"/>
        </w:rPr>
        <w:t xml:space="preserve"> and </w:t>
      </w:r>
      <w:r>
        <w:rPr>
          <w:kern w:val="0"/>
        </w:rPr>
        <w:t>the positive values of enthalpy change suggested that the adsorption process is spontaneous</w:t>
      </w:r>
      <w:r w:rsidR="00F81221">
        <w:rPr>
          <w:kern w:val="0"/>
        </w:rPr>
        <w:t xml:space="preserve"> and </w:t>
      </w:r>
      <w:r>
        <w:rPr>
          <w:kern w:val="0"/>
        </w:rPr>
        <w:t>exothermic. Kinetic studies showed that the adsorption process obeyed the pseudo first-order kinetic model.</w:t>
      </w:r>
    </w:p>
    <w:p w:rsidR="00492852" w:rsidRDefault="00492852" w:rsidP="00492852">
      <w:pPr>
        <w:pStyle w:val="a0"/>
        <w:rPr>
          <w:kern w:val="0"/>
        </w:rPr>
      </w:pPr>
      <w:r>
        <w:rPr>
          <w:kern w:val="0"/>
        </w:rPr>
        <w:t>Keywords: Adsorbent, Adsorption, Adsorption Equilibrium, Adsorption Isotherm, Batch, Batch Mode, Carbons, Contact Time, Diffusion, Dye, Dyes, Equilibrium, Freundlich, Freundlich Isotherm, ftir, Isotherm, Kinetic, Kinetic Model, Kinetic Studies, Kinetics, Kinetics, Langmuir, Langmuir</w:t>
      </w:r>
      <w:r w:rsidR="00F81221">
        <w:rPr>
          <w:kern w:val="0"/>
        </w:rPr>
        <w:t xml:space="preserve"> and </w:t>
      </w:r>
      <w:r>
        <w:rPr>
          <w:kern w:val="0"/>
        </w:rPr>
        <w:t xml:space="preserve">Freundlich Isotherm, Malachite Green, Methylene-Blue, Minerals, Model, Perlite, </w:t>
      </w:r>
      <w:r>
        <w:rPr>
          <w:rFonts w:hint="eastAsia"/>
          <w:kern w:val="0"/>
        </w:rPr>
        <w:t>P</w:t>
      </w:r>
      <w:r>
        <w:rPr>
          <w:kern w:val="0"/>
        </w:rPr>
        <w:t>H, Removal, Sem, Sorption, Temperature, Thermodynamic, Thermodynamic Parameters, Violet, XRD</w:t>
      </w:r>
    </w:p>
    <w:p w:rsidR="004956F7" w:rsidRDefault="004956F7" w:rsidP="004956F7">
      <w:pPr>
        <w:pStyle w:val="a0"/>
        <w:rPr>
          <w:kern w:val="0"/>
        </w:rPr>
      </w:pPr>
      <w:r>
        <w:rPr>
          <w:rFonts w:hint="eastAsia"/>
          <w:kern w:val="0"/>
        </w:rPr>
        <w:t xml:space="preserve">? </w:t>
      </w:r>
      <w:r>
        <w:rPr>
          <w:kern w:val="0"/>
        </w:rPr>
        <w:t>Ahmaruzzaman, M.</w:t>
      </w:r>
      <w:r w:rsidR="00F81221">
        <w:rPr>
          <w:kern w:val="0"/>
        </w:rPr>
        <w:t xml:space="preserve"> and </w:t>
      </w:r>
      <w:r>
        <w:rPr>
          <w:kern w:val="0"/>
        </w:rPr>
        <w:t xml:space="preserve">Gayatri, S.L. (2010), Adsorptive </w:t>
      </w:r>
      <w:r w:rsidR="00A24A28">
        <w:rPr>
          <w:kern w:val="0"/>
        </w:rPr>
        <w:t xml:space="preserve">removal </w:t>
      </w:r>
      <w:r>
        <w:rPr>
          <w:kern w:val="0"/>
        </w:rPr>
        <w:t>of p-</w:t>
      </w:r>
      <w:r w:rsidR="00A24A28">
        <w:rPr>
          <w:kern w:val="0"/>
        </w:rPr>
        <w:t xml:space="preserve">nitrophenol </w:t>
      </w:r>
      <w:r>
        <w:rPr>
          <w:kern w:val="0"/>
        </w:rPr>
        <w:t xml:space="preserve">(p-NP) </w:t>
      </w:r>
      <w:r w:rsidR="00A24A28">
        <w:rPr>
          <w:kern w:val="0"/>
        </w:rPr>
        <w:t>on charred jute s</w:t>
      </w:r>
      <w:r>
        <w:rPr>
          <w:kern w:val="0"/>
        </w:rPr>
        <w:t xml:space="preserve">tick. </w:t>
      </w:r>
      <w:r>
        <w:rPr>
          <w:i/>
          <w:iCs/>
          <w:kern w:val="0"/>
        </w:rPr>
        <w:t>International Journal of Chemical Reactor Engineering</w:t>
      </w:r>
      <w:r>
        <w:rPr>
          <w:kern w:val="0"/>
        </w:rPr>
        <w:t xml:space="preserve">, </w:t>
      </w:r>
      <w:r>
        <w:rPr>
          <w:b/>
          <w:bCs/>
          <w:kern w:val="0"/>
        </w:rPr>
        <w:t>8</w:t>
      </w:r>
      <w:r>
        <w:rPr>
          <w:rFonts w:hint="eastAsia"/>
          <w:kern w:val="0"/>
        </w:rPr>
        <w:t xml:space="preserve">, </w:t>
      </w:r>
      <w:r w:rsidR="00A24A28" w:rsidRPr="00502B61">
        <w:rPr>
          <w:bCs/>
          <w:kern w:val="0"/>
        </w:rPr>
        <w:t>article number</w:t>
      </w:r>
      <w:r w:rsidR="00A24A28" w:rsidRPr="00502B61">
        <w:rPr>
          <w:rFonts w:hint="eastAsia"/>
          <w:bCs/>
          <w:kern w:val="0"/>
        </w:rPr>
        <w:t xml:space="preserve"> </w:t>
      </w:r>
      <w:r>
        <w:rPr>
          <w:rFonts w:hint="eastAsia"/>
          <w:kern w:val="0"/>
        </w:rPr>
        <w:t>A98.</w:t>
      </w:r>
    </w:p>
    <w:p w:rsidR="00A24A28" w:rsidRDefault="00A24A28" w:rsidP="00A24A28">
      <w:pPr>
        <w:pStyle w:val="a0"/>
        <w:rPr>
          <w:kern w:val="0"/>
        </w:rPr>
      </w:pPr>
      <w:r w:rsidRPr="00F03D2F">
        <w:rPr>
          <w:kern w:val="0"/>
        </w:rPr>
        <w:t>Full Text:</w:t>
      </w:r>
      <w:r w:rsidRPr="00D7601C">
        <w:t xml:space="preserve"> </w:t>
      </w:r>
      <w:hyperlink r:id="rId1695" w:history="1">
        <w:r w:rsidRPr="00A24A28">
          <w:rPr>
            <w:rStyle w:val="a5"/>
          </w:rPr>
          <w:t>2010\Int J Che Rea Eng8, A98.pdf</w:t>
        </w:r>
      </w:hyperlink>
    </w:p>
    <w:p w:rsidR="004956F7" w:rsidRDefault="004956F7" w:rsidP="004956F7">
      <w:pPr>
        <w:pStyle w:val="a0"/>
        <w:rPr>
          <w:kern w:val="0"/>
        </w:rPr>
      </w:pPr>
      <w:r>
        <w:rPr>
          <w:kern w:val="0"/>
        </w:rPr>
        <w:t>Abstract: The removal of phenol derivatives from waste waters is of great concern because of the extreme toxicity</w:t>
      </w:r>
      <w:r w:rsidR="00F81221">
        <w:rPr>
          <w:kern w:val="0"/>
        </w:rPr>
        <w:t xml:space="preserve"> and </w:t>
      </w:r>
      <w:r>
        <w:rPr>
          <w:kern w:val="0"/>
        </w:rPr>
        <w:t xml:space="preserve">persistency. The present study deals with the </w:t>
      </w:r>
      <w:r>
        <w:rPr>
          <w:kern w:val="0"/>
        </w:rPr>
        <w:lastRenderedPageBreak/>
        <w:t>adsorption of p-nitrophenol from aqueous solution onto jute stick char. Jute stick is a solid waste obtained from the agricultural firms</w:t>
      </w:r>
      <w:r w:rsidR="00F81221">
        <w:rPr>
          <w:kern w:val="0"/>
        </w:rPr>
        <w:t xml:space="preserve"> and </w:t>
      </w:r>
      <w:r>
        <w:rPr>
          <w:kern w:val="0"/>
        </w:rPr>
        <w:t>jute industry. Batch studies were carried out with synthetic wastewater having p-nitrophenol concentration of 1000 ppm using jute stick char as a low cost adsorbent. The operating variables studied are adsorbent dose, pH, contact time, effect of salt addition,</w:t>
      </w:r>
      <w:r w:rsidR="00F81221">
        <w:rPr>
          <w:kern w:val="0"/>
        </w:rPr>
        <w:t xml:space="preserve"> and </w:t>
      </w:r>
      <w:r>
        <w:rPr>
          <w:kern w:val="0"/>
        </w:rPr>
        <w:t>initial p-nitrophenol concentration etc. The adsorption data was analyzed using Freundlich</w:t>
      </w:r>
      <w:r w:rsidR="00F81221">
        <w:rPr>
          <w:kern w:val="0"/>
        </w:rPr>
        <w:t xml:space="preserve"> and </w:t>
      </w:r>
      <w:r>
        <w:rPr>
          <w:kern w:val="0"/>
        </w:rPr>
        <w:t>Langmuir models. The experimental results showed that Freundlich model appear to fit the isotherm data better than the Langmuir model. Optimum conditions for p-nitrophenol were found to be at pH= 7.6</w:t>
      </w:r>
      <w:r w:rsidR="00F81221">
        <w:rPr>
          <w:kern w:val="0"/>
        </w:rPr>
        <w:t xml:space="preserve"> and </w:t>
      </w:r>
      <w:r>
        <w:rPr>
          <w:kern w:val="0"/>
        </w:rPr>
        <w:t>equilibrium time 5 h. The pseudo-second order kinetic model provides the best correlation of the experimental data compared to the pseudo-first-order kinetic model.</w:t>
      </w:r>
    </w:p>
    <w:p w:rsidR="004956F7" w:rsidRDefault="004956F7" w:rsidP="004956F7">
      <w:pPr>
        <w:pStyle w:val="a0"/>
        <w:rPr>
          <w:kern w:val="0"/>
        </w:rPr>
      </w:pPr>
      <w:r>
        <w:rPr>
          <w:kern w:val="0"/>
        </w:rPr>
        <w:t xml:space="preserve">Keywords: Activated Carbons, Adsorbent, Adsorbent Dose, Adsorption, Agricultural, Aqueous Solution, Aqueous-Solution, Char, Charred Jute Stick, Chlorophenols, Concentration, Correlation, Cost, Data, Equilibrium, Experimental, Fly-Ash, Freundlich, Freundlich Model, Isotherm, Kinetic, Kinetic Model, Kinetics, Kinetics, Langmuir, Langmuir Model, Low Cost, Low Cost Adsorbent, Model, Models, Paranitrophenol, Peat, </w:t>
      </w:r>
      <w:r w:rsidR="00492852">
        <w:rPr>
          <w:rFonts w:hint="eastAsia"/>
          <w:kern w:val="0"/>
        </w:rPr>
        <w:t>p</w:t>
      </w:r>
      <w:r w:rsidR="00492852">
        <w:rPr>
          <w:kern w:val="0"/>
        </w:rPr>
        <w:t>H</w:t>
      </w:r>
      <w:r>
        <w:rPr>
          <w:kern w:val="0"/>
        </w:rPr>
        <w:t>, Phenol, Pseudo First Order, Pseudo Second Order, Pseudo-First-Order, Pseudo-Second Order, Pseudo-Second-Order, Removal, Salt, Solid Waste, Solution, Sorption, Toxicity, Waste, Waste Waters, Waste-Water, Wastewater, Waters</w:t>
      </w:r>
    </w:p>
    <w:p w:rsidR="00492852" w:rsidRDefault="00492852" w:rsidP="00492852">
      <w:pPr>
        <w:pStyle w:val="a0"/>
        <w:rPr>
          <w:kern w:val="0"/>
        </w:rPr>
      </w:pPr>
      <w:r>
        <w:rPr>
          <w:rFonts w:hint="eastAsia"/>
          <w:kern w:val="0"/>
        </w:rPr>
        <w:t xml:space="preserve">? </w:t>
      </w:r>
      <w:r>
        <w:rPr>
          <w:kern w:val="0"/>
        </w:rPr>
        <w:t>Sulaiman, O., Amini, M.H.M., Rafatullah, M., Hashim, R.</w:t>
      </w:r>
      <w:r w:rsidR="00F81221">
        <w:rPr>
          <w:kern w:val="0"/>
        </w:rPr>
        <w:t xml:space="preserve"> and </w:t>
      </w:r>
      <w:r>
        <w:rPr>
          <w:kern w:val="0"/>
        </w:rPr>
        <w:t>Ahmad, A. (2010), Adsorption equilibrium</w:t>
      </w:r>
      <w:r w:rsidR="00F81221">
        <w:rPr>
          <w:kern w:val="0"/>
        </w:rPr>
        <w:t xml:space="preserve"> and </w:t>
      </w:r>
      <w:r>
        <w:rPr>
          <w:kern w:val="0"/>
        </w:rPr>
        <w:t xml:space="preserve">thermodynamic studies of copper(II) ions from aqueous solutions by oil palm leaves. </w:t>
      </w:r>
      <w:r>
        <w:rPr>
          <w:i/>
          <w:iCs/>
          <w:kern w:val="0"/>
        </w:rPr>
        <w:t>International Journal of Chemical Reactor Engineering</w:t>
      </w:r>
      <w:r>
        <w:rPr>
          <w:kern w:val="0"/>
        </w:rPr>
        <w:t xml:space="preserve">, </w:t>
      </w:r>
      <w:r>
        <w:rPr>
          <w:b/>
          <w:bCs/>
          <w:kern w:val="0"/>
        </w:rPr>
        <w:t>8</w:t>
      </w:r>
      <w:r>
        <w:rPr>
          <w:rFonts w:hint="eastAsia"/>
          <w:kern w:val="0"/>
        </w:rPr>
        <w:t xml:space="preserve">, </w:t>
      </w:r>
      <w:r w:rsidRPr="00502B61">
        <w:rPr>
          <w:bCs/>
          <w:kern w:val="0"/>
        </w:rPr>
        <w:t>article number</w:t>
      </w:r>
      <w:r w:rsidRPr="00502B61">
        <w:rPr>
          <w:rFonts w:hint="eastAsia"/>
          <w:bCs/>
          <w:kern w:val="0"/>
        </w:rPr>
        <w:t xml:space="preserve"> </w:t>
      </w:r>
      <w:r w:rsidRPr="001D2287">
        <w:t>A1</w:t>
      </w:r>
      <w:r>
        <w:rPr>
          <w:rFonts w:hint="eastAsia"/>
        </w:rPr>
        <w:t>08</w:t>
      </w:r>
      <w:r>
        <w:rPr>
          <w:kern w:val="0"/>
        </w:rPr>
        <w:t>.</w:t>
      </w:r>
    </w:p>
    <w:p w:rsidR="00492852" w:rsidRDefault="00492852" w:rsidP="00492852">
      <w:pPr>
        <w:pStyle w:val="a0"/>
        <w:rPr>
          <w:kern w:val="0"/>
        </w:rPr>
      </w:pPr>
      <w:r w:rsidRPr="00F03D2F">
        <w:rPr>
          <w:kern w:val="0"/>
        </w:rPr>
        <w:t>Full Text:</w:t>
      </w:r>
      <w:r w:rsidRPr="00D7601C">
        <w:t xml:space="preserve"> </w:t>
      </w:r>
      <w:hyperlink r:id="rId1696" w:history="1">
        <w:r w:rsidR="002A4EF6" w:rsidRPr="002A4EF6">
          <w:rPr>
            <w:rStyle w:val="a5"/>
          </w:rPr>
          <w:t>2010\Int J Che Rea Eng8, A108.pdf</w:t>
        </w:r>
      </w:hyperlink>
    </w:p>
    <w:p w:rsidR="00492852" w:rsidRDefault="00492852" w:rsidP="00492852">
      <w:pPr>
        <w:pStyle w:val="a0"/>
        <w:rPr>
          <w:kern w:val="0"/>
        </w:rPr>
      </w:pPr>
      <w:r>
        <w:rPr>
          <w:kern w:val="0"/>
        </w:rPr>
        <w:t>Abstract: Oil palm leaf powders (OPLP), an agricultural waste material, were used as new non-conventional</w:t>
      </w:r>
      <w:r w:rsidR="00F81221">
        <w:rPr>
          <w:kern w:val="0"/>
        </w:rPr>
        <w:t xml:space="preserve"> and </w:t>
      </w:r>
      <w:r>
        <w:rPr>
          <w:kern w:val="0"/>
        </w:rPr>
        <w:t>low-cost adsorbents for the removal of copper(II) ions from aqueous solution. Batch studies were performed to evaluate</w:t>
      </w:r>
      <w:r w:rsidR="00F81221">
        <w:rPr>
          <w:kern w:val="0"/>
        </w:rPr>
        <w:t xml:space="preserve"> and </w:t>
      </w:r>
      <w:r>
        <w:rPr>
          <w:kern w:val="0"/>
        </w:rPr>
        <w:t>optimize the effects of various parameters such as contact time, pH of the solution, initial metal ion concentrations</w:t>
      </w:r>
      <w:r w:rsidR="00F81221">
        <w:rPr>
          <w:kern w:val="0"/>
        </w:rPr>
        <w:t xml:space="preserve"> and </w:t>
      </w:r>
      <w:r>
        <w:rPr>
          <w:kern w:val="0"/>
        </w:rPr>
        <w:t>adsorbent dosage. Langmuir, Freundlich</w:t>
      </w:r>
      <w:r w:rsidR="00F81221">
        <w:rPr>
          <w:kern w:val="0"/>
        </w:rPr>
        <w:t xml:space="preserve"> and </w:t>
      </w:r>
      <w:r>
        <w:rPr>
          <w:kern w:val="0"/>
        </w:rPr>
        <w:t>Temkin isotherms were used to analyze the equilibrium data at different temperatures. The experimental data fit well with the Langmuir adsorption isotherm, indicating thereby the mono layer adsorption of the copper(II) ions. The monolayer sorption capacity of OPLP for copper(II) ions was found to be 11.22 mg/g at 30 degrees C. The thermodynamic parameters like standard free energy, standard enthalpy,</w:t>
      </w:r>
      <w:r w:rsidR="00F81221">
        <w:rPr>
          <w:kern w:val="0"/>
        </w:rPr>
        <w:t xml:space="preserve"> and </w:t>
      </w:r>
      <w:r>
        <w:rPr>
          <w:kern w:val="0"/>
        </w:rPr>
        <w:t>standard entropy changes for the adsorption of copper(II) ions have also been computed</w:t>
      </w:r>
      <w:r w:rsidR="00F81221">
        <w:rPr>
          <w:kern w:val="0"/>
        </w:rPr>
        <w:t xml:space="preserve"> and </w:t>
      </w:r>
      <w:r>
        <w:rPr>
          <w:kern w:val="0"/>
        </w:rPr>
        <w:t>discussed. The heat of adsorption [Delta H degrees = -39.84 kJ/mol] implied that the adsorption was exothermic in nature.</w:t>
      </w:r>
    </w:p>
    <w:p w:rsidR="00492852" w:rsidRDefault="00492852" w:rsidP="00492852">
      <w:pPr>
        <w:pStyle w:val="a0"/>
        <w:rPr>
          <w:kern w:val="0"/>
        </w:rPr>
      </w:pPr>
      <w:r>
        <w:rPr>
          <w:kern w:val="0"/>
        </w:rPr>
        <w:t xml:space="preserve">Keywords: Adsorbent, Adsorbents, Adsorption, Adsorption Isotherm, Agricultural </w:t>
      </w:r>
      <w:r>
        <w:rPr>
          <w:kern w:val="0"/>
        </w:rPr>
        <w:lastRenderedPageBreak/>
        <w:t xml:space="preserve">Waste, Batch Studies, Biosorbent, Capacity, Contact Time, Copper, Copper(II), Cu(II), Equilibrium, Freundlich, Heavy-Metal, Isotherm, Isotherms, Langmuir, Langmuir Adsorption, Langmuir Adsorption Isotherm, Leaf, Low Cost Adsorbents, Low-Cost Adsorbents, Oil, Oil Palm Leaf, </w:t>
      </w:r>
      <w:r>
        <w:rPr>
          <w:rFonts w:hint="eastAsia"/>
          <w:kern w:val="0"/>
        </w:rPr>
        <w:t>P</w:t>
      </w:r>
      <w:r>
        <w:rPr>
          <w:kern w:val="0"/>
        </w:rPr>
        <w:t>H, Powder, Removal, Sawdust, Sorption, Temkin, Thermodynamic, Thermodynamic Parameters, Water</w:t>
      </w:r>
    </w:p>
    <w:p w:rsidR="00492852" w:rsidRDefault="00492852" w:rsidP="00492852">
      <w:pPr>
        <w:pStyle w:val="a0"/>
        <w:rPr>
          <w:kern w:val="0"/>
        </w:rPr>
      </w:pPr>
      <w:r>
        <w:rPr>
          <w:rFonts w:hint="eastAsia"/>
          <w:kern w:val="0"/>
        </w:rPr>
        <w:t xml:space="preserve">? </w:t>
      </w:r>
      <w:r>
        <w:rPr>
          <w:kern w:val="0"/>
        </w:rPr>
        <w:t>Ariffin, M.F.K.</w:t>
      </w:r>
      <w:r w:rsidR="00F81221">
        <w:rPr>
          <w:kern w:val="0"/>
        </w:rPr>
        <w:t xml:space="preserve"> and </w:t>
      </w:r>
      <w:r>
        <w:rPr>
          <w:kern w:val="0"/>
        </w:rPr>
        <w:t>Annuar, M.S.M. (2010), Adsorption</w:t>
      </w:r>
      <w:r w:rsidR="00F81221">
        <w:rPr>
          <w:kern w:val="0"/>
        </w:rPr>
        <w:t xml:space="preserve"> and </w:t>
      </w:r>
      <w:r>
        <w:rPr>
          <w:kern w:val="0"/>
        </w:rPr>
        <w:t>flotation of soluble crude protein by colloidal gas aphrons (CGA): Effect of selected variables</w:t>
      </w:r>
      <w:r w:rsidR="00F81221">
        <w:rPr>
          <w:kern w:val="0"/>
        </w:rPr>
        <w:t xml:space="preserve"> and </w:t>
      </w:r>
      <w:r>
        <w:rPr>
          <w:kern w:val="0"/>
        </w:rPr>
        <w:t xml:space="preserve">process modeling. </w:t>
      </w:r>
      <w:r>
        <w:rPr>
          <w:i/>
          <w:iCs/>
          <w:kern w:val="0"/>
        </w:rPr>
        <w:t>International Journal of Chemical Reactor Engineering</w:t>
      </w:r>
      <w:r>
        <w:rPr>
          <w:kern w:val="0"/>
        </w:rPr>
        <w:t xml:space="preserve">, </w:t>
      </w:r>
      <w:r>
        <w:rPr>
          <w:b/>
          <w:bCs/>
          <w:kern w:val="0"/>
        </w:rPr>
        <w:t>8</w:t>
      </w:r>
      <w:r>
        <w:rPr>
          <w:rFonts w:hint="eastAsia"/>
          <w:kern w:val="0"/>
        </w:rPr>
        <w:t>, a</w:t>
      </w:r>
      <w:r w:rsidRPr="00502B61">
        <w:rPr>
          <w:bCs/>
          <w:kern w:val="0"/>
        </w:rPr>
        <w:t>rticle number</w:t>
      </w:r>
      <w:r w:rsidRPr="00502B61">
        <w:rPr>
          <w:rFonts w:hint="eastAsia"/>
          <w:bCs/>
          <w:kern w:val="0"/>
        </w:rPr>
        <w:t xml:space="preserve"> </w:t>
      </w:r>
      <w:r w:rsidRPr="001D2287">
        <w:t>A13</w:t>
      </w:r>
      <w:r w:rsidR="00881FD8">
        <w:rPr>
          <w:rFonts w:hint="eastAsia"/>
        </w:rPr>
        <w:t>8</w:t>
      </w:r>
      <w:r>
        <w:rPr>
          <w:kern w:val="0"/>
        </w:rPr>
        <w:t>.</w:t>
      </w:r>
    </w:p>
    <w:p w:rsidR="00492852" w:rsidRDefault="00492852" w:rsidP="00492852">
      <w:pPr>
        <w:pStyle w:val="a0"/>
        <w:rPr>
          <w:kern w:val="0"/>
        </w:rPr>
      </w:pPr>
      <w:r w:rsidRPr="00F03D2F">
        <w:rPr>
          <w:kern w:val="0"/>
        </w:rPr>
        <w:t>Full Text:</w:t>
      </w:r>
      <w:r w:rsidRPr="00D7601C">
        <w:t xml:space="preserve"> </w:t>
      </w:r>
      <w:hyperlink r:id="rId1697" w:history="1">
        <w:r w:rsidR="00881FD8" w:rsidRPr="00881FD8">
          <w:rPr>
            <w:rStyle w:val="a5"/>
          </w:rPr>
          <w:t>2010\Int J Che Rea Eng8, A138.pdf</w:t>
        </w:r>
      </w:hyperlink>
    </w:p>
    <w:p w:rsidR="00492852" w:rsidRDefault="00492852" w:rsidP="00492852">
      <w:pPr>
        <w:pStyle w:val="a0"/>
        <w:rPr>
          <w:kern w:val="0"/>
        </w:rPr>
      </w:pPr>
      <w:r>
        <w:rPr>
          <w:kern w:val="0"/>
        </w:rPr>
        <w:t>Abstract: The adsorption</w:t>
      </w:r>
      <w:r w:rsidR="00F81221">
        <w:rPr>
          <w:kern w:val="0"/>
        </w:rPr>
        <w:t xml:space="preserve"> and </w:t>
      </w:r>
      <w:r>
        <w:rPr>
          <w:kern w:val="0"/>
        </w:rPr>
        <w:t>flotation of soluble crude protein from dairy products by colloidal gas aphrons (CGA) were studied. Selected process variables that were studied with respect to protein recovery include volume ratio between crude protein</w:t>
      </w:r>
      <w:r w:rsidR="00F81221">
        <w:rPr>
          <w:kern w:val="0"/>
        </w:rPr>
        <w:t xml:space="preserve"> and </w:t>
      </w:r>
      <w:r>
        <w:rPr>
          <w:kern w:val="0"/>
        </w:rPr>
        <w:t>CGA, stirring speed in the separation vessel,</w:t>
      </w:r>
      <w:r w:rsidR="00F81221">
        <w:rPr>
          <w:kern w:val="0"/>
        </w:rPr>
        <w:t xml:space="preserve"> and </w:t>
      </w:r>
      <w:r>
        <w:rPr>
          <w:kern w:val="0"/>
        </w:rPr>
        <w:t>contact time</w:t>
      </w:r>
      <w:r w:rsidR="00F81221">
        <w:rPr>
          <w:kern w:val="0"/>
        </w:rPr>
        <w:t xml:space="preserve"> and </w:t>
      </w:r>
      <w:r>
        <w:rPr>
          <w:kern w:val="0"/>
        </w:rPr>
        <w:t>surfactant concentration used to generate CGA. Cetyltrimethylammonium bromide (CTAB) in the buffered solution was used as the surfactant. It was found that only volume ratio between crude protein</w:t>
      </w:r>
      <w:r w:rsidR="00F81221">
        <w:rPr>
          <w:kern w:val="0"/>
        </w:rPr>
        <w:t xml:space="preserve"> and </w:t>
      </w:r>
      <w:r>
        <w:rPr>
          <w:kern w:val="0"/>
        </w:rPr>
        <w:t>CGA</w:t>
      </w:r>
      <w:r w:rsidR="00F81221">
        <w:rPr>
          <w:kern w:val="0"/>
        </w:rPr>
        <w:t xml:space="preserve"> and </w:t>
      </w:r>
      <w:r>
        <w:rPr>
          <w:kern w:val="0"/>
        </w:rPr>
        <w:t>surfactant concentration significantly influenced the protein recovery. The protein recovery achieved via its adsorption onto CGA surface</w:t>
      </w:r>
      <w:r w:rsidR="00F81221">
        <w:rPr>
          <w:kern w:val="0"/>
        </w:rPr>
        <w:t xml:space="preserve"> and </w:t>
      </w:r>
      <w:r>
        <w:rPr>
          <w:kern w:val="0"/>
        </w:rPr>
        <w:t>its subsequent flotation can be adequately modeled using Langmuir kinetics.</w:t>
      </w:r>
    </w:p>
    <w:p w:rsidR="00492852" w:rsidRDefault="00492852" w:rsidP="00492852">
      <w:pPr>
        <w:pStyle w:val="a0"/>
        <w:rPr>
          <w:kern w:val="0"/>
        </w:rPr>
      </w:pPr>
      <w:r>
        <w:rPr>
          <w:kern w:val="0"/>
        </w:rPr>
        <w:t>Keywords: Adsorption, Cetyltrimethylammonium Bromide, Colloidal Gas Aphrons, Contact Time, Crude Protein, CTAB, Flotation, Foam, Kinetics, Langmuir, Langmuir Kinetics, Modeling, Protein, Recovery, Separation, Surfactant, Suspensions, Volume, Water</w:t>
      </w:r>
    </w:p>
    <w:p w:rsidR="008409FB" w:rsidRDefault="008409FB" w:rsidP="008409FB">
      <w:pPr>
        <w:pStyle w:val="a0"/>
        <w:rPr>
          <w:kern w:val="0"/>
        </w:rPr>
      </w:pPr>
      <w:r>
        <w:rPr>
          <w:rFonts w:hint="eastAsia"/>
          <w:kern w:val="0"/>
        </w:rPr>
        <w:t xml:space="preserve">? </w:t>
      </w:r>
      <w:r>
        <w:rPr>
          <w:kern w:val="0"/>
        </w:rPr>
        <w:t>Bozgeyik, K.</w:t>
      </w:r>
      <w:r w:rsidR="00F81221">
        <w:rPr>
          <w:kern w:val="0"/>
        </w:rPr>
        <w:t xml:space="preserve"> and </w:t>
      </w:r>
      <w:r>
        <w:rPr>
          <w:kern w:val="0"/>
        </w:rPr>
        <w:t>Kopac, T. (2010), Adsorption of bovine serum albumin onto metal oxides: adsorption equilibrium</w:t>
      </w:r>
      <w:r w:rsidR="00F81221">
        <w:rPr>
          <w:kern w:val="0"/>
        </w:rPr>
        <w:t xml:space="preserve"> and </w:t>
      </w:r>
      <w:r>
        <w:rPr>
          <w:kern w:val="0"/>
        </w:rPr>
        <w:t>kinetics onto alumina</w:t>
      </w:r>
      <w:r w:rsidR="00F81221">
        <w:rPr>
          <w:kern w:val="0"/>
        </w:rPr>
        <w:t xml:space="preserve"> and </w:t>
      </w:r>
      <w:r>
        <w:rPr>
          <w:kern w:val="0"/>
        </w:rPr>
        <w:t xml:space="preserve">zirconia. </w:t>
      </w:r>
      <w:r>
        <w:rPr>
          <w:i/>
          <w:iCs/>
          <w:kern w:val="0"/>
        </w:rPr>
        <w:t>International Journal of Chemical Reactor Engineering</w:t>
      </w:r>
      <w:r>
        <w:rPr>
          <w:kern w:val="0"/>
        </w:rPr>
        <w:t xml:space="preserve">, </w:t>
      </w:r>
      <w:r>
        <w:rPr>
          <w:b/>
          <w:bCs/>
          <w:kern w:val="0"/>
        </w:rPr>
        <w:t>8</w:t>
      </w:r>
      <w:r w:rsidRPr="001D2287">
        <w:t xml:space="preserve">, </w:t>
      </w:r>
      <w:r w:rsidR="00A24A28" w:rsidRPr="00502B61">
        <w:rPr>
          <w:bCs/>
          <w:kern w:val="0"/>
        </w:rPr>
        <w:t>article number</w:t>
      </w:r>
      <w:r w:rsidR="00A24A28" w:rsidRPr="00502B61">
        <w:rPr>
          <w:rFonts w:hint="eastAsia"/>
          <w:bCs/>
          <w:kern w:val="0"/>
        </w:rPr>
        <w:t xml:space="preserve"> </w:t>
      </w:r>
      <w:r w:rsidRPr="001D2287">
        <w:t>A139</w:t>
      </w:r>
      <w:r>
        <w:rPr>
          <w:kern w:val="0"/>
        </w:rPr>
        <w:t>.</w:t>
      </w:r>
    </w:p>
    <w:p w:rsidR="008409FB" w:rsidRPr="00F03D2F" w:rsidRDefault="008409FB" w:rsidP="008409FB">
      <w:pPr>
        <w:pStyle w:val="a0"/>
        <w:rPr>
          <w:kern w:val="0"/>
        </w:rPr>
      </w:pPr>
      <w:r w:rsidRPr="00F03D2F">
        <w:rPr>
          <w:kern w:val="0"/>
        </w:rPr>
        <w:t>Full Text:</w:t>
      </w:r>
      <w:r w:rsidRPr="00D7601C">
        <w:t xml:space="preserve"> </w:t>
      </w:r>
      <w:hyperlink r:id="rId1698" w:history="1">
        <w:r w:rsidRPr="008322BA">
          <w:rPr>
            <w:rStyle w:val="a5"/>
          </w:rPr>
          <w:t>2010\Int J Che Rea Eng8, A139.pdf</w:t>
        </w:r>
      </w:hyperlink>
    </w:p>
    <w:p w:rsidR="008409FB" w:rsidRDefault="008409FB" w:rsidP="008409FB">
      <w:pPr>
        <w:pStyle w:val="a0"/>
        <w:rPr>
          <w:kern w:val="0"/>
        </w:rPr>
      </w:pPr>
      <w:r>
        <w:rPr>
          <w:kern w:val="0"/>
        </w:rPr>
        <w:t>Abstract: In this study, the equilibrium</w:t>
      </w:r>
      <w:r w:rsidR="00F81221">
        <w:rPr>
          <w:kern w:val="0"/>
        </w:rPr>
        <w:t xml:space="preserve"> and </w:t>
      </w:r>
      <w:r>
        <w:rPr>
          <w:kern w:val="0"/>
        </w:rPr>
        <w:t>the kinetics of Bovine Serum Albumin (BSA) adsorption onto metal oxides such as alumina (Al</w:t>
      </w:r>
      <w:r w:rsidRPr="00B209BA">
        <w:rPr>
          <w:kern w:val="0"/>
          <w:vertAlign w:val="subscript"/>
        </w:rPr>
        <w:t>2</w:t>
      </w:r>
      <w:r>
        <w:rPr>
          <w:kern w:val="0"/>
        </w:rPr>
        <w:t>O</w:t>
      </w:r>
      <w:r w:rsidRPr="00B209BA">
        <w:rPr>
          <w:kern w:val="0"/>
          <w:vertAlign w:val="subscript"/>
        </w:rPr>
        <w:t>3</w:t>
      </w:r>
      <w:r>
        <w:rPr>
          <w:kern w:val="0"/>
        </w:rPr>
        <w:t>)</w:t>
      </w:r>
      <w:r w:rsidR="00F81221">
        <w:rPr>
          <w:kern w:val="0"/>
        </w:rPr>
        <w:t xml:space="preserve"> and </w:t>
      </w:r>
      <w:r>
        <w:rPr>
          <w:kern w:val="0"/>
        </w:rPr>
        <w:t>zirconia (ZrO</w:t>
      </w:r>
      <w:r w:rsidRPr="00B209BA">
        <w:rPr>
          <w:kern w:val="0"/>
          <w:vertAlign w:val="subscript"/>
        </w:rPr>
        <w:t>2</w:t>
      </w:r>
      <w:r>
        <w:rPr>
          <w:kern w:val="0"/>
        </w:rPr>
        <w:t>) were investigated in a batch reactor. The effects of pH</w:t>
      </w:r>
      <w:r w:rsidR="00F81221">
        <w:rPr>
          <w:kern w:val="0"/>
        </w:rPr>
        <w:t xml:space="preserve"> and </w:t>
      </w:r>
      <w:r>
        <w:rPr>
          <w:kern w:val="0"/>
        </w:rPr>
        <w:t>temperature to adsorption rate</w:t>
      </w:r>
      <w:r w:rsidR="00F81221">
        <w:rPr>
          <w:kern w:val="0"/>
        </w:rPr>
        <w:t xml:space="preserve"> and </w:t>
      </w:r>
      <w:r>
        <w:rPr>
          <w:kern w:val="0"/>
        </w:rPr>
        <w:t>the equilibrium were studied. The equilibrium process was described by the Langmuir or the Freundlich isotherm models. The maximum adsorption capacity (Q(0)) was found as 81.6 mg/g at pH 5</w:t>
      </w:r>
      <w:r w:rsidR="00F81221">
        <w:rPr>
          <w:kern w:val="0"/>
        </w:rPr>
        <w:t xml:space="preserve"> and </w:t>
      </w:r>
      <w:r>
        <w:rPr>
          <w:kern w:val="0"/>
        </w:rPr>
        <w:t>20ºC for Al</w:t>
      </w:r>
      <w:r w:rsidRPr="00B209BA">
        <w:rPr>
          <w:kern w:val="0"/>
          <w:vertAlign w:val="subscript"/>
        </w:rPr>
        <w:t>2</w:t>
      </w:r>
      <w:r>
        <w:rPr>
          <w:kern w:val="0"/>
        </w:rPr>
        <w:t>O</w:t>
      </w:r>
      <w:r w:rsidRPr="00B209BA">
        <w:rPr>
          <w:kern w:val="0"/>
          <w:vertAlign w:val="subscript"/>
        </w:rPr>
        <w:t>3</w:t>
      </w:r>
      <w:r w:rsidR="00F81221">
        <w:rPr>
          <w:kern w:val="0"/>
        </w:rPr>
        <w:t xml:space="preserve"> and </w:t>
      </w:r>
      <w:r>
        <w:rPr>
          <w:kern w:val="0"/>
        </w:rPr>
        <w:t>26 mg/g at pH 4</w:t>
      </w:r>
      <w:r w:rsidR="00F81221">
        <w:rPr>
          <w:kern w:val="0"/>
        </w:rPr>
        <w:t xml:space="preserve"> and </w:t>
      </w:r>
      <w:r>
        <w:rPr>
          <w:kern w:val="0"/>
        </w:rPr>
        <w:t>40ºC for ZrO</w:t>
      </w:r>
      <w:r w:rsidRPr="00A4432C">
        <w:rPr>
          <w:kern w:val="0"/>
          <w:vertAlign w:val="subscript"/>
        </w:rPr>
        <w:t>2</w:t>
      </w:r>
      <w:r>
        <w:rPr>
          <w:kern w:val="0"/>
        </w:rPr>
        <w:t>, respectively. The protein adsorption capacity for ZrO</w:t>
      </w:r>
      <w:r w:rsidRPr="00A4432C">
        <w:rPr>
          <w:kern w:val="0"/>
          <w:vertAlign w:val="subscript"/>
        </w:rPr>
        <w:t>2</w:t>
      </w:r>
      <w:r>
        <w:rPr>
          <w:kern w:val="0"/>
        </w:rPr>
        <w:t xml:space="preserve"> increased with increasing pH</w:t>
      </w:r>
      <w:r w:rsidR="00F81221">
        <w:rPr>
          <w:kern w:val="0"/>
        </w:rPr>
        <w:t xml:space="preserve"> and </w:t>
      </w:r>
      <w:r>
        <w:rPr>
          <w:kern w:val="0"/>
        </w:rPr>
        <w:t>temperature, while the protein adsorption capacity of Al</w:t>
      </w:r>
      <w:r w:rsidRPr="00A4432C">
        <w:rPr>
          <w:kern w:val="0"/>
          <w:vertAlign w:val="subscript"/>
        </w:rPr>
        <w:t>2</w:t>
      </w:r>
      <w:r>
        <w:rPr>
          <w:kern w:val="0"/>
        </w:rPr>
        <w:t>O</w:t>
      </w:r>
      <w:r w:rsidRPr="00A4432C">
        <w:rPr>
          <w:kern w:val="0"/>
          <w:vertAlign w:val="subscript"/>
        </w:rPr>
        <w:t>3</w:t>
      </w:r>
      <w:r>
        <w:rPr>
          <w:kern w:val="0"/>
        </w:rPr>
        <w:t xml:space="preserve"> increased with increasing pH</w:t>
      </w:r>
      <w:r w:rsidR="00F81221">
        <w:rPr>
          <w:kern w:val="0"/>
        </w:rPr>
        <w:t xml:space="preserve"> and </w:t>
      </w:r>
      <w:r>
        <w:rPr>
          <w:kern w:val="0"/>
        </w:rPr>
        <w:t>decreasing temperature. The pseudo-first-order</w:t>
      </w:r>
      <w:r w:rsidR="00F81221">
        <w:rPr>
          <w:kern w:val="0"/>
        </w:rPr>
        <w:t xml:space="preserve"> and </w:t>
      </w:r>
      <w:r>
        <w:rPr>
          <w:kern w:val="0"/>
        </w:rPr>
        <w:t>pseudo-second-order kinetic models were used to describe the kinetic data. The rate kinetics of BSA adsorption onto Al</w:t>
      </w:r>
      <w:r w:rsidRPr="00A4432C">
        <w:rPr>
          <w:kern w:val="0"/>
          <w:vertAlign w:val="subscript"/>
        </w:rPr>
        <w:t>2</w:t>
      </w:r>
      <w:r>
        <w:rPr>
          <w:kern w:val="0"/>
        </w:rPr>
        <w:t>O</w:t>
      </w:r>
      <w:r w:rsidRPr="00A4432C">
        <w:rPr>
          <w:kern w:val="0"/>
          <w:vertAlign w:val="subscript"/>
        </w:rPr>
        <w:t>3</w:t>
      </w:r>
      <w:r w:rsidR="00F81221">
        <w:rPr>
          <w:kern w:val="0"/>
        </w:rPr>
        <w:t xml:space="preserve"> and </w:t>
      </w:r>
      <w:r>
        <w:rPr>
          <w:kern w:val="0"/>
        </w:rPr>
        <w:t>ZrO</w:t>
      </w:r>
      <w:r w:rsidRPr="00A4432C">
        <w:rPr>
          <w:kern w:val="0"/>
          <w:vertAlign w:val="subscript"/>
        </w:rPr>
        <w:t>2</w:t>
      </w:r>
      <w:r>
        <w:rPr>
          <w:kern w:val="0"/>
        </w:rPr>
        <w:t xml:space="preserve"> at all pH</w:t>
      </w:r>
      <w:r w:rsidR="00F81221">
        <w:rPr>
          <w:kern w:val="0"/>
        </w:rPr>
        <w:t xml:space="preserve"> and </w:t>
      </w:r>
      <w:r>
        <w:rPr>
          <w:kern w:val="0"/>
        </w:rPr>
        <w:t xml:space="preserve">temperatures were </w:t>
      </w:r>
      <w:r>
        <w:rPr>
          <w:kern w:val="0"/>
        </w:rPr>
        <w:lastRenderedPageBreak/>
        <w:t>best fitted with the pseudo-first-order kinetic model. The electrostatic interactions of BSA with the metal oxide surface were found to be higher at pH 5 for Al</w:t>
      </w:r>
      <w:r w:rsidRPr="00A4432C">
        <w:rPr>
          <w:kern w:val="0"/>
          <w:vertAlign w:val="subscript"/>
        </w:rPr>
        <w:t>2</w:t>
      </w:r>
      <w:r>
        <w:rPr>
          <w:kern w:val="0"/>
        </w:rPr>
        <w:t>O</w:t>
      </w:r>
      <w:r w:rsidRPr="00A4432C">
        <w:rPr>
          <w:kern w:val="0"/>
          <w:vertAlign w:val="subscript"/>
        </w:rPr>
        <w:t>3</w:t>
      </w:r>
      <w:r w:rsidR="00F81221">
        <w:rPr>
          <w:kern w:val="0"/>
        </w:rPr>
        <w:t xml:space="preserve"> and </w:t>
      </w:r>
      <w:r>
        <w:rPr>
          <w:kern w:val="0"/>
        </w:rPr>
        <w:t>pH 4 for ZrO</w:t>
      </w:r>
      <w:r w:rsidRPr="00A4432C">
        <w:rPr>
          <w:kern w:val="0"/>
          <w:vertAlign w:val="subscript"/>
        </w:rPr>
        <w:t>2</w:t>
      </w:r>
      <w:r>
        <w:rPr>
          <w:kern w:val="0"/>
        </w:rPr>
        <w:t>.</w:t>
      </w:r>
    </w:p>
    <w:p w:rsidR="008409FB" w:rsidRDefault="008409FB" w:rsidP="008409FB">
      <w:pPr>
        <w:pStyle w:val="a0"/>
        <w:rPr>
          <w:kern w:val="0"/>
        </w:rPr>
      </w:pPr>
      <w:r>
        <w:rPr>
          <w:kern w:val="0"/>
        </w:rPr>
        <w:t xml:space="preserve">Keywords: Adsorption, Adsorption Capacity, Adsorption Isotherms, Adsorption Rate, Alumina, Batch, Batch Reactor, Bovine Serum Albumin, BSA, Capacity, Data, Desorption, Equilibrium, Freundlich, Freundlich Isotherm, Isotherm, Isotherm Models, Kinetic, Kinetic Model, Kinetic Models, Kinetics, Langmuir, Metal, Metal Oxide, Model, Models, Oxide, Oxides, Particles, </w:t>
      </w:r>
      <w:r>
        <w:rPr>
          <w:rFonts w:hint="eastAsia"/>
          <w:kern w:val="0"/>
        </w:rPr>
        <w:t>p</w:t>
      </w:r>
      <w:r>
        <w:rPr>
          <w:kern w:val="0"/>
        </w:rPr>
        <w:t>H, Protein, Pseudo First Order, Pseudo Second Order, Pseudo-First-Order, Pseudo-Second-Order, Rate Kinetics, Surface, System, Temperature, Zeta Potential, Zirconia</w:t>
      </w:r>
    </w:p>
    <w:p w:rsidR="00492852" w:rsidRDefault="00492852" w:rsidP="00492852">
      <w:pPr>
        <w:pStyle w:val="a0"/>
        <w:rPr>
          <w:kern w:val="0"/>
        </w:rPr>
      </w:pPr>
      <w:r>
        <w:rPr>
          <w:rFonts w:hint="eastAsia"/>
          <w:kern w:val="0"/>
        </w:rPr>
        <w:t xml:space="preserve">? </w:t>
      </w:r>
      <w:r>
        <w:rPr>
          <w:kern w:val="0"/>
        </w:rPr>
        <w:t>Noreen, Z., Hameed, A.</w:t>
      </w:r>
      <w:r w:rsidR="00F81221">
        <w:rPr>
          <w:kern w:val="0"/>
        </w:rPr>
        <w:t xml:space="preserve"> and </w:t>
      </w:r>
      <w:r>
        <w:rPr>
          <w:kern w:val="0"/>
        </w:rPr>
        <w:t>Faryal, R. (2010), Comparative analysis of biosorption potential for chromium removal by live</w:t>
      </w:r>
      <w:r w:rsidR="00F81221">
        <w:rPr>
          <w:kern w:val="0"/>
        </w:rPr>
        <w:t xml:space="preserve"> and </w:t>
      </w:r>
      <w:r>
        <w:rPr>
          <w:kern w:val="0"/>
        </w:rPr>
        <w:t xml:space="preserve">dead biomass of </w:t>
      </w:r>
      <w:r w:rsidR="00B20869" w:rsidRPr="00B20869">
        <w:rPr>
          <w:i/>
          <w:kern w:val="0"/>
        </w:rPr>
        <w:t>Aspergillus niger</w:t>
      </w:r>
      <w:r>
        <w:rPr>
          <w:kern w:val="0"/>
        </w:rPr>
        <w:t xml:space="preserve"> ZH2. </w:t>
      </w:r>
      <w:r>
        <w:rPr>
          <w:i/>
          <w:iCs/>
          <w:kern w:val="0"/>
        </w:rPr>
        <w:t>International Journal of Chemical Reactor Engineering</w:t>
      </w:r>
      <w:r>
        <w:rPr>
          <w:kern w:val="0"/>
        </w:rPr>
        <w:t xml:space="preserve">, </w:t>
      </w:r>
      <w:r>
        <w:rPr>
          <w:b/>
          <w:bCs/>
          <w:kern w:val="0"/>
        </w:rPr>
        <w:t>8</w:t>
      </w:r>
      <w:r>
        <w:rPr>
          <w:rFonts w:hint="eastAsia"/>
          <w:kern w:val="0"/>
        </w:rPr>
        <w:t xml:space="preserve">, </w:t>
      </w:r>
      <w:r w:rsidRPr="00502B61">
        <w:rPr>
          <w:bCs/>
          <w:kern w:val="0"/>
        </w:rPr>
        <w:t>article number</w:t>
      </w:r>
      <w:r w:rsidRPr="00502B61">
        <w:rPr>
          <w:rFonts w:hint="eastAsia"/>
          <w:bCs/>
          <w:kern w:val="0"/>
        </w:rPr>
        <w:t xml:space="preserve"> </w:t>
      </w:r>
      <w:r>
        <w:t>A1</w:t>
      </w:r>
      <w:r>
        <w:rPr>
          <w:rFonts w:hint="eastAsia"/>
        </w:rPr>
        <w:t>43.</w:t>
      </w:r>
    </w:p>
    <w:p w:rsidR="00492852" w:rsidRDefault="00492852" w:rsidP="00492852">
      <w:pPr>
        <w:pStyle w:val="a0"/>
        <w:rPr>
          <w:kern w:val="0"/>
        </w:rPr>
      </w:pPr>
      <w:r w:rsidRPr="00F03D2F">
        <w:rPr>
          <w:kern w:val="0"/>
        </w:rPr>
        <w:t>Full Text:</w:t>
      </w:r>
      <w:r w:rsidRPr="00D7601C">
        <w:t xml:space="preserve"> </w:t>
      </w:r>
      <w:hyperlink r:id="rId1699" w:history="1">
        <w:r w:rsidR="00881FD8" w:rsidRPr="00881FD8">
          <w:rPr>
            <w:rStyle w:val="a5"/>
          </w:rPr>
          <w:t>2010\Int J Che Rea Eng8, A143.pdf</w:t>
        </w:r>
      </w:hyperlink>
    </w:p>
    <w:p w:rsidR="00492852" w:rsidRDefault="00492852" w:rsidP="00492852">
      <w:pPr>
        <w:pStyle w:val="a0"/>
        <w:rPr>
          <w:kern w:val="0"/>
        </w:rPr>
      </w:pPr>
      <w:r>
        <w:rPr>
          <w:kern w:val="0"/>
        </w:rPr>
        <w:t>Abstract: Tannery led chromium toxicity is one of the major threats to public health in developing countries, where most of the hides are treated at local cottage industry level</w:t>
      </w:r>
      <w:r w:rsidR="00F81221">
        <w:rPr>
          <w:kern w:val="0"/>
        </w:rPr>
        <w:t xml:space="preserve"> and </w:t>
      </w:r>
      <w:r>
        <w:rPr>
          <w:kern w:val="0"/>
        </w:rPr>
        <w:t xml:space="preserve">chromium liquor is released without detoxification. In this connection, the present study was conducted to develop a reliable cost effective fungal-based biosorbent for chromium removal. Six strains of </w:t>
      </w:r>
      <w:r w:rsidR="00B20869" w:rsidRPr="00B20869">
        <w:rPr>
          <w:i/>
          <w:kern w:val="0"/>
        </w:rPr>
        <w:t>Aspergillus niger</w:t>
      </w:r>
      <w:r>
        <w:rPr>
          <w:kern w:val="0"/>
        </w:rPr>
        <w:t xml:space="preserve"> were isolated from various environmental conditions</w:t>
      </w:r>
      <w:r w:rsidR="00F81221">
        <w:rPr>
          <w:kern w:val="0"/>
        </w:rPr>
        <w:t xml:space="preserve"> and </w:t>
      </w:r>
      <w:r>
        <w:rPr>
          <w:kern w:val="0"/>
        </w:rPr>
        <w:t>assessed for chromium tolerance. Biosorption potentials of two different biomass, i.e., live</w:t>
      </w:r>
      <w:r w:rsidR="00F81221">
        <w:rPr>
          <w:kern w:val="0"/>
        </w:rPr>
        <w:t xml:space="preserve"> and </w:t>
      </w:r>
      <w:r>
        <w:rPr>
          <w:kern w:val="0"/>
        </w:rPr>
        <w:t xml:space="preserve">dead, of selected </w:t>
      </w:r>
      <w:r w:rsidR="00B20869" w:rsidRPr="00B20869">
        <w:rPr>
          <w:i/>
          <w:kern w:val="0"/>
        </w:rPr>
        <w:t>Aspergillus niger</w:t>
      </w:r>
      <w:r>
        <w:rPr>
          <w:kern w:val="0"/>
        </w:rPr>
        <w:t xml:space="preserve"> ZH2 was investigated as a function of appropriate equilibrium time, pH, temperature, concentration of biosorbent</w:t>
      </w:r>
      <w:r w:rsidR="00F81221">
        <w:rPr>
          <w:kern w:val="0"/>
        </w:rPr>
        <w:t xml:space="preserve"> and </w:t>
      </w:r>
      <w:r>
        <w:rPr>
          <w:kern w:val="0"/>
        </w:rPr>
        <w:t>adsorbate in batch system. The chromium uptake by these biomasses was quantitatively evaluated using Langmuir</w:t>
      </w:r>
      <w:r w:rsidR="00F81221">
        <w:rPr>
          <w:kern w:val="0"/>
        </w:rPr>
        <w:t xml:space="preserve"> and </w:t>
      </w:r>
      <w:r>
        <w:rPr>
          <w:kern w:val="0"/>
        </w:rPr>
        <w:t>Freundlich isotherms. In order to determine the best fit isotherm, three error analysis methods were used to evaluate the data: correlation coefficient, residual root mean square error</w:t>
      </w:r>
      <w:r w:rsidR="00F81221">
        <w:rPr>
          <w:kern w:val="0"/>
        </w:rPr>
        <w:t xml:space="preserve"> and </w:t>
      </w:r>
      <w:r>
        <w:rPr>
          <w:kern w:val="0"/>
        </w:rPr>
        <w:t>chi-square test. Maximum adsorption capacity (qmax) was calculated to be 322.60</w:t>
      </w:r>
      <w:r w:rsidR="00F81221">
        <w:rPr>
          <w:kern w:val="0"/>
        </w:rPr>
        <w:t xml:space="preserve"> and </w:t>
      </w:r>
      <w:r>
        <w:rPr>
          <w:kern w:val="0"/>
        </w:rPr>
        <w:t>12.00 mg/g for live</w:t>
      </w:r>
      <w:r w:rsidR="00F81221">
        <w:rPr>
          <w:kern w:val="0"/>
        </w:rPr>
        <w:t xml:space="preserve"> and </w:t>
      </w:r>
      <w:r>
        <w:rPr>
          <w:kern w:val="0"/>
        </w:rPr>
        <w:t>dead biomass respectively. Application of Langmuir isotherm showed that live biomass was more favorable (95% CI, 1.053-8.718) than dead biomass in removing chromium</w:t>
      </w:r>
      <w:r w:rsidR="00F81221">
        <w:rPr>
          <w:kern w:val="0"/>
        </w:rPr>
        <w:t xml:space="preserve"> and </w:t>
      </w:r>
      <w:r>
        <w:rPr>
          <w:kern w:val="0"/>
        </w:rPr>
        <w:t>thus can serve as better biosorbent.</w:t>
      </w:r>
    </w:p>
    <w:p w:rsidR="00492852" w:rsidRDefault="00492852" w:rsidP="00492852">
      <w:pPr>
        <w:pStyle w:val="a0"/>
        <w:rPr>
          <w:kern w:val="0"/>
        </w:rPr>
      </w:pPr>
      <w:r>
        <w:rPr>
          <w:kern w:val="0"/>
        </w:rPr>
        <w:t xml:space="preserve">Keywords: Activated Carbon, Adsorption, Adsorption Capacity, Analysis, Aqueous-Solutions, </w:t>
      </w:r>
      <w:r w:rsidR="00B20869" w:rsidRPr="00B20869">
        <w:rPr>
          <w:i/>
          <w:kern w:val="0"/>
        </w:rPr>
        <w:t>Aspergillus niger</w:t>
      </w:r>
      <w:r>
        <w:rPr>
          <w:kern w:val="0"/>
        </w:rPr>
        <w:t>, Batch, Biomass, Biosorbent, Biosorption, Capacity, Chromium, Cost, Dead, Developing Countries, Effluent, Equilibrium, Error Analysis, Freundlich, Indigenous Fungal Strains, Isotherm, Isotherms, Langmuir, Langmuir</w:t>
      </w:r>
      <w:r w:rsidR="00F81221">
        <w:rPr>
          <w:kern w:val="0"/>
        </w:rPr>
        <w:t xml:space="preserve"> and </w:t>
      </w:r>
      <w:r>
        <w:rPr>
          <w:kern w:val="0"/>
        </w:rPr>
        <w:t xml:space="preserve">Freundlich Isotherms, Langmuir Isotherm, Lead, Live, Mercury, </w:t>
      </w:r>
      <w:r>
        <w:rPr>
          <w:rFonts w:hint="eastAsia"/>
          <w:kern w:val="0"/>
        </w:rPr>
        <w:t>p</w:t>
      </w:r>
      <w:r>
        <w:rPr>
          <w:kern w:val="0"/>
        </w:rPr>
        <w:t>H, Removal, Sorption, System, Temperature, Toxicity, Uptake, Zinc Ions</w:t>
      </w:r>
    </w:p>
    <w:p w:rsidR="00EC2A67" w:rsidRDefault="00EC2A67" w:rsidP="00EC2A67">
      <w:pPr>
        <w:pStyle w:val="a0"/>
        <w:rPr>
          <w:kern w:val="0"/>
        </w:rPr>
      </w:pPr>
      <w:r>
        <w:rPr>
          <w:rFonts w:hint="eastAsia"/>
          <w:kern w:val="0"/>
        </w:rPr>
        <w:t xml:space="preserve">? </w:t>
      </w:r>
      <w:r w:rsidRPr="00EC2A67">
        <w:rPr>
          <w:kern w:val="0"/>
        </w:rPr>
        <w:t>Ouazene, N</w:t>
      </w:r>
      <w:r>
        <w:rPr>
          <w:rFonts w:hint="eastAsia"/>
          <w:kern w:val="0"/>
        </w:rPr>
        <w:t>.</w:t>
      </w:r>
      <w:r w:rsidR="00F81221">
        <w:rPr>
          <w:kern w:val="0"/>
        </w:rPr>
        <w:t xml:space="preserve"> and </w:t>
      </w:r>
      <w:r w:rsidRPr="00EC2A67">
        <w:rPr>
          <w:kern w:val="0"/>
        </w:rPr>
        <w:t>Sahmoune, M</w:t>
      </w:r>
      <w:r>
        <w:rPr>
          <w:rFonts w:hint="eastAsia"/>
          <w:kern w:val="0"/>
        </w:rPr>
        <w:t>.</w:t>
      </w:r>
      <w:r w:rsidRPr="00EC2A67">
        <w:rPr>
          <w:kern w:val="0"/>
        </w:rPr>
        <w:t>N</w:t>
      </w:r>
      <w:r>
        <w:rPr>
          <w:rFonts w:hint="eastAsia"/>
          <w:kern w:val="0"/>
        </w:rPr>
        <w:t>.</w:t>
      </w:r>
      <w:r>
        <w:rPr>
          <w:kern w:val="0"/>
        </w:rPr>
        <w:t xml:space="preserve"> (2010), </w:t>
      </w:r>
      <w:r w:rsidRPr="00EC2A67">
        <w:rPr>
          <w:kern w:val="0"/>
        </w:rPr>
        <w:t>Equilibrium</w:t>
      </w:r>
      <w:r w:rsidR="00F81221">
        <w:rPr>
          <w:kern w:val="0"/>
        </w:rPr>
        <w:t xml:space="preserve"> and </w:t>
      </w:r>
      <w:r w:rsidRPr="00EC2A67">
        <w:rPr>
          <w:kern w:val="0"/>
        </w:rPr>
        <w:t>kinetic modelling of Astrazon Yellow adsorption by sawdust: Effect of important parameters</w:t>
      </w:r>
      <w:r>
        <w:rPr>
          <w:kern w:val="0"/>
        </w:rPr>
        <w:t xml:space="preserve">. </w:t>
      </w:r>
      <w:r>
        <w:rPr>
          <w:i/>
          <w:iCs/>
          <w:kern w:val="0"/>
        </w:rPr>
        <w:lastRenderedPageBreak/>
        <w:t>International Journal of Chemical Reactor Engineering</w:t>
      </w:r>
      <w:r>
        <w:rPr>
          <w:kern w:val="0"/>
        </w:rPr>
        <w:t xml:space="preserve">, </w:t>
      </w:r>
      <w:r>
        <w:rPr>
          <w:b/>
          <w:bCs/>
          <w:kern w:val="0"/>
        </w:rPr>
        <w:t>8</w:t>
      </w:r>
      <w:r w:rsidRPr="001D2287">
        <w:t xml:space="preserve">, </w:t>
      </w:r>
      <w:r w:rsidR="00BC1F9C" w:rsidRPr="00502B61">
        <w:rPr>
          <w:bCs/>
          <w:kern w:val="0"/>
        </w:rPr>
        <w:t>Article N</w:t>
      </w:r>
      <w:r w:rsidR="00A24A28" w:rsidRPr="00502B61">
        <w:rPr>
          <w:bCs/>
          <w:kern w:val="0"/>
        </w:rPr>
        <w:t>umber</w:t>
      </w:r>
      <w:r w:rsidR="00A24A28" w:rsidRPr="00502B61">
        <w:rPr>
          <w:rFonts w:hint="eastAsia"/>
          <w:bCs/>
          <w:kern w:val="0"/>
        </w:rPr>
        <w:t xml:space="preserve"> </w:t>
      </w:r>
      <w:r w:rsidRPr="00EC2A67">
        <w:rPr>
          <w:kern w:val="0"/>
        </w:rPr>
        <w:t>A151</w:t>
      </w:r>
      <w:r>
        <w:rPr>
          <w:kern w:val="0"/>
        </w:rPr>
        <w:t>.</w:t>
      </w:r>
    </w:p>
    <w:p w:rsidR="00EC2A67" w:rsidRDefault="00EC2A67" w:rsidP="00EC2A67">
      <w:pPr>
        <w:pStyle w:val="a0"/>
        <w:rPr>
          <w:kern w:val="0"/>
        </w:rPr>
      </w:pPr>
      <w:r w:rsidRPr="00F03D2F">
        <w:rPr>
          <w:kern w:val="0"/>
        </w:rPr>
        <w:t>Full Text:</w:t>
      </w:r>
      <w:r w:rsidRPr="00D7601C">
        <w:t xml:space="preserve"> </w:t>
      </w:r>
      <w:hyperlink r:id="rId1700" w:history="1">
        <w:r w:rsidR="00505446" w:rsidRPr="00505446">
          <w:rPr>
            <w:rStyle w:val="a5"/>
          </w:rPr>
          <w:t>2010\Int J Che Rea Eng8, A151.pdf</w:t>
        </w:r>
      </w:hyperlink>
    </w:p>
    <w:p w:rsidR="00EC2A67" w:rsidRPr="00EC2A67" w:rsidRDefault="00EC2A67" w:rsidP="00EC2A67">
      <w:pPr>
        <w:pStyle w:val="a0"/>
        <w:rPr>
          <w:kern w:val="0"/>
        </w:rPr>
      </w:pPr>
      <w:r w:rsidRPr="00EC2A67">
        <w:rPr>
          <w:kern w:val="0"/>
        </w:rPr>
        <w:t>Abstract</w:t>
      </w:r>
      <w:r>
        <w:rPr>
          <w:rFonts w:hint="eastAsia"/>
          <w:kern w:val="0"/>
        </w:rPr>
        <w:t xml:space="preserve">: </w:t>
      </w:r>
      <w:r w:rsidRPr="00EC2A67">
        <w:rPr>
          <w:kern w:val="0"/>
        </w:rPr>
        <w:t>This paper aims to investigate the sorption of Astrazon yellow (A.Y.) onto sawdust (Aleppo pine tree), a forest waste as that acts as a low-cost adsorbent. In our experiments, the batch sorption is studied with respect to solute concentration, contact time, adsorbent dose, particle size</w:t>
      </w:r>
      <w:r w:rsidR="00F81221">
        <w:rPr>
          <w:kern w:val="0"/>
        </w:rPr>
        <w:t xml:space="preserve"> and </w:t>
      </w:r>
      <w:r w:rsidRPr="00EC2A67">
        <w:rPr>
          <w:kern w:val="0"/>
        </w:rPr>
        <w:t>pH. The adsorption process attains equilibrium within 300 minutes. The extent of dye removal decreased with increasing particle size</w:t>
      </w:r>
      <w:r w:rsidR="00F81221">
        <w:rPr>
          <w:kern w:val="0"/>
        </w:rPr>
        <w:t xml:space="preserve"> and </w:t>
      </w:r>
      <w:r w:rsidRPr="00EC2A67">
        <w:rPr>
          <w:kern w:val="0"/>
        </w:rPr>
        <w:t>increased with increasing contact time, adsorbent dose</w:t>
      </w:r>
      <w:r w:rsidR="00F81221">
        <w:rPr>
          <w:kern w:val="0"/>
        </w:rPr>
        <w:t xml:space="preserve"> and </w:t>
      </w:r>
      <w:r w:rsidRPr="00EC2A67">
        <w:rPr>
          <w:kern w:val="0"/>
        </w:rPr>
        <w:t>pH. The equilibrium data were analysed by the Langmuir</w:t>
      </w:r>
      <w:r w:rsidR="00F81221">
        <w:rPr>
          <w:kern w:val="0"/>
        </w:rPr>
        <w:t xml:space="preserve"> and </w:t>
      </w:r>
      <w:r w:rsidRPr="00EC2A67">
        <w:rPr>
          <w:kern w:val="0"/>
        </w:rPr>
        <w:t>Freundlich isotherms. The characteristic parameters for each isotherm were determined. By considering the experimental results</w:t>
      </w:r>
      <w:r w:rsidR="00F81221">
        <w:rPr>
          <w:kern w:val="0"/>
        </w:rPr>
        <w:t xml:space="preserve"> and </w:t>
      </w:r>
      <w:r w:rsidRPr="00EC2A67">
        <w:rPr>
          <w:kern w:val="0"/>
        </w:rPr>
        <w:t>adsorption models applied in this study, it can be concluded that equilibrium data were represented well by the Langmuir isotherm equation. Maximum adsorption capacity calculated at 293K was 81.8 mg/g. Five kinetic models (pseudo-first order, pseudo-second order, fractional power, Elovich</w:t>
      </w:r>
      <w:r w:rsidR="00F81221">
        <w:rPr>
          <w:kern w:val="0"/>
        </w:rPr>
        <w:t xml:space="preserve"> and </w:t>
      </w:r>
      <w:r w:rsidRPr="00EC2A67">
        <w:rPr>
          <w:kern w:val="0"/>
        </w:rPr>
        <w:t>intraparticle diffusion kinetic equations) were used to predict the adsorption rate constants. The kinetics of adsorption of the basic dye followed both Elovich</w:t>
      </w:r>
      <w:r w:rsidR="00F81221">
        <w:rPr>
          <w:kern w:val="0"/>
        </w:rPr>
        <w:t xml:space="preserve"> and </w:t>
      </w:r>
      <w:r w:rsidRPr="00EC2A67">
        <w:rPr>
          <w:kern w:val="0"/>
        </w:rPr>
        <w:t>pseudo-second order kinetics,</w:t>
      </w:r>
      <w:r w:rsidR="00F81221">
        <w:rPr>
          <w:kern w:val="0"/>
        </w:rPr>
        <w:t xml:space="preserve"> and </w:t>
      </w:r>
      <w:r w:rsidRPr="00EC2A67">
        <w:rPr>
          <w:kern w:val="0"/>
        </w:rPr>
        <w:t>intraparticle diffusion was not the sole rate-controlling step. The effective diffusion of Astrazon yellow in sawdust according to Boyd Model was 24.22 .10-12 m2/S. In order to reveal the adsorption characteristic of sawdust samples, SEM</w:t>
      </w:r>
      <w:r w:rsidR="00F81221">
        <w:rPr>
          <w:kern w:val="0"/>
        </w:rPr>
        <w:t xml:space="preserve"> and </w:t>
      </w:r>
      <w:r w:rsidRPr="00EC2A67">
        <w:rPr>
          <w:kern w:val="0"/>
        </w:rPr>
        <w:t>FTIR spectra analyses were carried out. The results show that sawdust (Aleppo pine tree) can be an alternative low-cost adsorbent for removing cationic dyes from wastewater.</w:t>
      </w:r>
    </w:p>
    <w:p w:rsidR="008F40D7" w:rsidRDefault="008F40D7" w:rsidP="008F40D7">
      <w:pPr>
        <w:pStyle w:val="a0"/>
        <w:rPr>
          <w:kern w:val="0"/>
        </w:rPr>
      </w:pPr>
      <w:r>
        <w:rPr>
          <w:kern w:val="0"/>
        </w:rPr>
        <w:t>Keywords: Activated Carbons, Adsorbent, Adsorbent Dose, Adsorption, Adsorption Capacity, Adsorption Isotherm, Adsorption Rate, Alternative, Analyses, Aqueous-Solution, Astrazon Yellow, Basic Dye, Batch, Capacity, Cationic Dyes, Concentration, Data, Diffusion, Dye, Dye Removal, Dyes, Elovich, Equilibrium, Experimental, Experiments, Forest, Freundlich, FTIR, FTIR Spectra, Hazardous Dye, Hazelnut Shells, Intraparticle Diffusion, Isotherm, Isotherms, Kinetic, Kinetic Equations, Kinetic Models, Kinetics, Kinetics of Adsorption, Langmuir, Langmuir</w:t>
      </w:r>
      <w:r w:rsidR="00F81221">
        <w:rPr>
          <w:kern w:val="0"/>
        </w:rPr>
        <w:t xml:space="preserve"> and </w:t>
      </w:r>
      <w:r>
        <w:rPr>
          <w:kern w:val="0"/>
        </w:rPr>
        <w:t xml:space="preserve">Freundlich Isotherms, Langmuir Isotherm, Low Cost, Low Cost Adsorbent, Low-Cost Adsorbent, Low-Cost Adsorbents, Low-Cost Adsorbents, Metal-Ions, Methylene-Blue, Model, Modelling, Models, Particle Size, </w:t>
      </w:r>
      <w:r>
        <w:rPr>
          <w:rFonts w:hint="eastAsia"/>
          <w:kern w:val="0"/>
        </w:rPr>
        <w:t>p</w:t>
      </w:r>
      <w:r>
        <w:rPr>
          <w:kern w:val="0"/>
        </w:rPr>
        <w:t>H, Power, Pseudo First Order, Pseudo Second Order, Pseudo Second Order Kinetics, Pseudo-First Order, Pseudo-First-Order, Pseudo-Second Order, Pseudo-Second Order Kinetics, Pseudo-Second-Order, Rate Constants, Removal, Sawdust, SEM, Size, Sorption, Waste, Wastewater, Wood Sawdust</w:t>
      </w:r>
    </w:p>
    <w:p w:rsidR="00BC1F9C" w:rsidRDefault="00BC1F9C" w:rsidP="00BC1F9C">
      <w:pPr>
        <w:pStyle w:val="a0"/>
        <w:rPr>
          <w:kern w:val="0"/>
        </w:rPr>
      </w:pPr>
      <w:r>
        <w:rPr>
          <w:rFonts w:hint="eastAsia"/>
          <w:kern w:val="0"/>
        </w:rPr>
        <w:t xml:space="preserve">? </w:t>
      </w:r>
      <w:r>
        <w:rPr>
          <w:kern w:val="0"/>
        </w:rPr>
        <w:t>Reynel-Avila, H.E., de la Rosa, G., Rojas-Mayorga, C.K., Cano-Aguilera, I. and Bonilla-Petriciolet, A. (2011), Kinetic and thermodynamic modeling of Cd</w:t>
      </w:r>
      <w:r>
        <w:rPr>
          <w:rFonts w:hint="eastAsia"/>
          <w:kern w:val="0"/>
          <w:vertAlign w:val="superscript"/>
        </w:rPr>
        <w:t>+2</w:t>
      </w:r>
      <w:r>
        <w:rPr>
          <w:kern w:val="0"/>
        </w:rPr>
        <w:t xml:space="preserve"> and Ni</w:t>
      </w:r>
      <w:r>
        <w:rPr>
          <w:rFonts w:hint="eastAsia"/>
          <w:kern w:val="0"/>
          <w:vertAlign w:val="superscript"/>
        </w:rPr>
        <w:t>+2</w:t>
      </w:r>
      <w:r>
        <w:rPr>
          <w:kern w:val="0"/>
        </w:rPr>
        <w:t xml:space="preserve"> biosorption by raw chicken feathers. </w:t>
      </w:r>
      <w:r>
        <w:rPr>
          <w:i/>
          <w:iCs/>
          <w:kern w:val="0"/>
        </w:rPr>
        <w:t xml:space="preserve">International Journal of Chemical Reactor </w:t>
      </w:r>
      <w:r>
        <w:rPr>
          <w:i/>
          <w:iCs/>
          <w:kern w:val="0"/>
        </w:rPr>
        <w:lastRenderedPageBreak/>
        <w:t>Engineering</w:t>
      </w:r>
      <w:r>
        <w:rPr>
          <w:kern w:val="0"/>
        </w:rPr>
        <w:t xml:space="preserve">, </w:t>
      </w:r>
      <w:r>
        <w:rPr>
          <w:b/>
          <w:bCs/>
          <w:kern w:val="0"/>
        </w:rPr>
        <w:t>9</w:t>
      </w:r>
      <w:r w:rsidRPr="00F20271">
        <w:rPr>
          <w:rFonts w:hint="eastAsia"/>
          <w:bCs/>
          <w:kern w:val="0"/>
        </w:rPr>
        <w:t xml:space="preserve">, </w:t>
      </w:r>
      <w:r w:rsidRPr="00F20271">
        <w:rPr>
          <w:bCs/>
          <w:kern w:val="0"/>
        </w:rPr>
        <w:t>Article Number: A90</w:t>
      </w:r>
      <w:r>
        <w:rPr>
          <w:kern w:val="0"/>
        </w:rPr>
        <w:t>.</w:t>
      </w:r>
    </w:p>
    <w:p w:rsidR="00BC1F9C" w:rsidRPr="007D79E8" w:rsidRDefault="00BC1F9C" w:rsidP="00BC1F9C">
      <w:pPr>
        <w:pStyle w:val="a0"/>
        <w:rPr>
          <w:kern w:val="0"/>
        </w:rPr>
      </w:pPr>
      <w:r w:rsidRPr="007D79E8">
        <w:rPr>
          <w:kern w:val="0"/>
        </w:rPr>
        <w:t>Full Text:</w:t>
      </w:r>
      <w:r>
        <w:rPr>
          <w:rFonts w:hint="eastAsia"/>
          <w:kern w:val="0"/>
        </w:rPr>
        <w:t xml:space="preserve"> </w:t>
      </w:r>
      <w:hyperlink r:id="rId1701" w:history="1">
        <w:r w:rsidRPr="00BC1F9C">
          <w:rPr>
            <w:rStyle w:val="a5"/>
            <w:kern w:val="0"/>
          </w:rPr>
          <w:t>2011\Int J Che Rea Eng9, A90.pdf</w:t>
        </w:r>
      </w:hyperlink>
    </w:p>
    <w:p w:rsidR="00BC1F9C" w:rsidRDefault="00BC1F9C" w:rsidP="00BC1F9C">
      <w:pPr>
        <w:pStyle w:val="a0"/>
        <w:rPr>
          <w:kern w:val="0"/>
        </w:rPr>
      </w:pPr>
      <w:r>
        <w:rPr>
          <w:kern w:val="0"/>
        </w:rPr>
        <w:t>Abstract: Batch experiments were performed to model kinetic and thermodynamic data for Cd</w:t>
      </w:r>
      <w:r>
        <w:rPr>
          <w:rFonts w:hint="eastAsia"/>
          <w:kern w:val="0"/>
          <w:vertAlign w:val="superscript"/>
        </w:rPr>
        <w:t>+2</w:t>
      </w:r>
      <w:r>
        <w:rPr>
          <w:kern w:val="0"/>
        </w:rPr>
        <w:t xml:space="preserve"> and Ni</w:t>
      </w:r>
      <w:r>
        <w:rPr>
          <w:rFonts w:hint="eastAsia"/>
          <w:kern w:val="0"/>
          <w:vertAlign w:val="superscript"/>
        </w:rPr>
        <w:t>+2</w:t>
      </w:r>
      <w:r>
        <w:rPr>
          <w:kern w:val="0"/>
        </w:rPr>
        <w:t xml:space="preserve"> biosorption by raw chicken feathers (CFs) under different conditions. Results indicated that Cd</w:t>
      </w:r>
      <w:r>
        <w:rPr>
          <w:rFonts w:hint="eastAsia"/>
          <w:kern w:val="0"/>
          <w:vertAlign w:val="superscript"/>
        </w:rPr>
        <w:t>+2</w:t>
      </w:r>
      <w:r>
        <w:rPr>
          <w:kern w:val="0"/>
        </w:rPr>
        <w:t xml:space="preserve"> and Ni</w:t>
      </w:r>
      <w:r>
        <w:rPr>
          <w:rFonts w:hint="eastAsia"/>
          <w:kern w:val="0"/>
          <w:vertAlign w:val="superscript"/>
        </w:rPr>
        <w:t>+2</w:t>
      </w:r>
      <w:r>
        <w:rPr>
          <w:kern w:val="0"/>
        </w:rPr>
        <w:t xml:space="preserve"> sorption onto CFs occurred on the external surface of the biosorbent. Ion removal increased with pH, whereas both endothermic and exothermic stages where observed depending on temperature. Our calculated thermodynamic parameters showed that, below the temperature of 30º C, the metal uptake of Cd</w:t>
      </w:r>
      <w:r>
        <w:rPr>
          <w:rFonts w:hint="eastAsia"/>
          <w:kern w:val="0"/>
          <w:vertAlign w:val="superscript"/>
        </w:rPr>
        <w:t>+2</w:t>
      </w:r>
      <w:r>
        <w:rPr>
          <w:kern w:val="0"/>
        </w:rPr>
        <w:t xml:space="preserve"> and Ni</w:t>
      </w:r>
      <w:r>
        <w:rPr>
          <w:rFonts w:hint="eastAsia"/>
          <w:kern w:val="0"/>
          <w:vertAlign w:val="superscript"/>
        </w:rPr>
        <w:t>+2</w:t>
      </w:r>
      <w:r>
        <w:rPr>
          <w:kern w:val="0"/>
        </w:rPr>
        <w:t xml:space="preserve"> ions may be mainly controlled by a chemisorption process. However, for temperatures higher than 30º C, it is likely that sorption of both metals onto CFs is caused by a combination of both physical and chemical processes, especially for Ni</w:t>
      </w:r>
      <w:r>
        <w:rPr>
          <w:rFonts w:hint="eastAsia"/>
          <w:kern w:val="0"/>
          <w:vertAlign w:val="superscript"/>
        </w:rPr>
        <w:t>+2</w:t>
      </w:r>
      <w:r>
        <w:rPr>
          <w:kern w:val="0"/>
        </w:rPr>
        <w:t xml:space="preserve"> ions. Maximum sorption capacities were of 0.039 (Cd</w:t>
      </w:r>
      <w:r>
        <w:rPr>
          <w:rFonts w:hint="eastAsia"/>
          <w:kern w:val="0"/>
          <w:vertAlign w:val="superscript"/>
        </w:rPr>
        <w:t>+2</w:t>
      </w:r>
      <w:r>
        <w:rPr>
          <w:kern w:val="0"/>
        </w:rPr>
        <w:t>) and 0.065 mmol/g (Ni</w:t>
      </w:r>
      <w:r>
        <w:rPr>
          <w:rFonts w:hint="eastAsia"/>
          <w:kern w:val="0"/>
          <w:vertAlign w:val="superscript"/>
        </w:rPr>
        <w:t>+2</w:t>
      </w:r>
      <w:r>
        <w:rPr>
          <w:kern w:val="0"/>
        </w:rPr>
        <w:t>) at pH 5 and 30ºC. Using 0.1 M HCl or CH</w:t>
      </w:r>
      <w:r>
        <w:rPr>
          <w:rFonts w:hint="eastAsia"/>
          <w:kern w:val="0"/>
          <w:vertAlign w:val="subscript"/>
        </w:rPr>
        <w:t>3</w:t>
      </w:r>
      <w:r>
        <w:rPr>
          <w:kern w:val="0"/>
        </w:rPr>
        <w:t>COOH as desorbing agents, approximately a 50% recovery for Cd</w:t>
      </w:r>
      <w:r>
        <w:rPr>
          <w:rFonts w:hint="eastAsia"/>
          <w:kern w:val="0"/>
          <w:vertAlign w:val="superscript"/>
        </w:rPr>
        <w:t>+2</w:t>
      </w:r>
      <w:r>
        <w:rPr>
          <w:kern w:val="0"/>
        </w:rPr>
        <w:t xml:space="preserve"> was achieved. The pseudo-second order and the general rate law models best fit the sorption kinetics data. The equilibrium metal uptake data was best described by the Sips isotherm.</w:t>
      </w:r>
    </w:p>
    <w:p w:rsidR="00BC1F9C" w:rsidRDefault="00BC1F9C" w:rsidP="00BC1F9C">
      <w:pPr>
        <w:pStyle w:val="a0"/>
        <w:rPr>
          <w:kern w:val="0"/>
        </w:rPr>
      </w:pPr>
      <w:r>
        <w:rPr>
          <w:kern w:val="0"/>
        </w:rPr>
        <w:t>Keywords: Aqueous-Solutions, Batch, Biosorbent, Biosorption, Bottom Ash, Cadmium, Chicken Feathers, Contaminated Water, Equilibrium, Hazardous Dye, Heavy-Metals, Hen Feathers, Isotherm, Keratin Fiber, Kinetic, Kinetics, Metal Biosorption, Modeling, Nickel, pH, Pseudo Second Order, Recovery, Removal, Rice Husk Ash, Sorption, Sorption Kinetics, Temperature, Thermodynamic, Thermodynamic Data, Thermodynamic Parameters, Uptake, Waste Materials, Wastewater Treatment</w:t>
      </w:r>
    </w:p>
    <w:p w:rsidR="00BC1F9C" w:rsidRDefault="00BC1F9C" w:rsidP="00BC1F9C">
      <w:pPr>
        <w:pStyle w:val="a0"/>
        <w:rPr>
          <w:kern w:val="0"/>
        </w:rPr>
      </w:pPr>
      <w:r>
        <w:rPr>
          <w:rFonts w:hint="eastAsia"/>
          <w:kern w:val="0"/>
        </w:rPr>
        <w:t xml:space="preserve">? </w:t>
      </w:r>
      <w:r>
        <w:rPr>
          <w:kern w:val="0"/>
        </w:rPr>
        <w:t>Yazid, H., Sadaoui, Z. and Maachi, R. (2011), Removal of cadmium (II) ions from aqueous phase by biosorption on biological activated dates</w:t>
      </w:r>
      <w:r w:rsidR="000352E7">
        <w:rPr>
          <w:kern w:val="0"/>
        </w:rPr>
        <w:t>’</w:t>
      </w:r>
      <w:r>
        <w:rPr>
          <w:kern w:val="0"/>
        </w:rPr>
        <w:t xml:space="preserve"> pedicels (Kinetic, Equilibrium and Thermodynamic Study). </w:t>
      </w:r>
      <w:r>
        <w:rPr>
          <w:i/>
          <w:iCs/>
          <w:kern w:val="0"/>
        </w:rPr>
        <w:t>International Journal of Chemical Reactor Engineering</w:t>
      </w:r>
      <w:r>
        <w:rPr>
          <w:kern w:val="0"/>
        </w:rPr>
        <w:t xml:space="preserve">, </w:t>
      </w:r>
      <w:r>
        <w:rPr>
          <w:b/>
          <w:bCs/>
          <w:kern w:val="0"/>
        </w:rPr>
        <w:t>9</w:t>
      </w:r>
      <w:r w:rsidRPr="00F20271">
        <w:rPr>
          <w:rFonts w:hint="eastAsia"/>
          <w:bCs/>
          <w:kern w:val="0"/>
        </w:rPr>
        <w:t xml:space="preserve">, </w:t>
      </w:r>
      <w:r w:rsidRPr="00F20271">
        <w:rPr>
          <w:bCs/>
          <w:kern w:val="0"/>
        </w:rPr>
        <w:t>Article Number: A9</w:t>
      </w:r>
      <w:r>
        <w:rPr>
          <w:rFonts w:hint="eastAsia"/>
          <w:bCs/>
          <w:kern w:val="0"/>
        </w:rPr>
        <w:t>3</w:t>
      </w:r>
      <w:r>
        <w:rPr>
          <w:kern w:val="0"/>
        </w:rPr>
        <w:t>.</w:t>
      </w:r>
    </w:p>
    <w:p w:rsidR="00BC1F9C" w:rsidRPr="007D79E8" w:rsidRDefault="00BC1F9C" w:rsidP="00BC1F9C">
      <w:pPr>
        <w:pStyle w:val="a0"/>
        <w:rPr>
          <w:kern w:val="0"/>
        </w:rPr>
      </w:pPr>
      <w:r w:rsidRPr="007D79E8">
        <w:rPr>
          <w:kern w:val="0"/>
        </w:rPr>
        <w:t>Full Text:</w:t>
      </w:r>
      <w:r>
        <w:rPr>
          <w:rFonts w:hint="eastAsia"/>
          <w:kern w:val="0"/>
        </w:rPr>
        <w:t xml:space="preserve"> </w:t>
      </w:r>
      <w:hyperlink r:id="rId1702" w:history="1">
        <w:r w:rsidRPr="00BC1F9C">
          <w:rPr>
            <w:rStyle w:val="a5"/>
            <w:kern w:val="0"/>
          </w:rPr>
          <w:t>2011\Int J Che Rea Eng9, A93.pdf</w:t>
        </w:r>
      </w:hyperlink>
    </w:p>
    <w:p w:rsidR="00BC1F9C" w:rsidRDefault="00BC1F9C" w:rsidP="00BC1F9C">
      <w:pPr>
        <w:pStyle w:val="a0"/>
        <w:rPr>
          <w:kern w:val="0"/>
        </w:rPr>
      </w:pPr>
      <w:r>
        <w:rPr>
          <w:kern w:val="0"/>
        </w:rPr>
        <w:t>Abstract: The preparation of biological activated dates</w:t>
      </w:r>
      <w:r w:rsidR="000352E7">
        <w:rPr>
          <w:kern w:val="0"/>
        </w:rPr>
        <w:t>’</w:t>
      </w:r>
      <w:r>
        <w:rPr>
          <w:kern w:val="0"/>
        </w:rPr>
        <w:t xml:space="preserve"> pedicels (ADP) adsorbents and its biosorption behaviour of cadmium(II) was the topic of this study. The raw (RDP) and activated (ADP) dates</w:t>
      </w:r>
      <w:r w:rsidR="000352E7">
        <w:rPr>
          <w:kern w:val="0"/>
        </w:rPr>
        <w:t>’</w:t>
      </w:r>
      <w:r>
        <w:rPr>
          <w:kern w:val="0"/>
        </w:rPr>
        <w:t xml:space="preserve"> pedicels were characterized by SEM, XRF, FTIR and surface area analysis. SEM analysis revealed a heterogeneous structure for ADP and a cellular aspect different from that of RDP, due to the deposit of the bacterial film which has been constituted during the biological treatment of the material. The XRF results show the presence of potassium, calcium in RPD, and sodium in APD which could favour the retention of heavy metals in aqueous solutions by ions exchange. The FT-IR spectra showed that there are different functional groups in adsorbents, which are able to react with metal ions in aqueous solution. Biological pretreatment was carried out in nitrate enriched solution; allowing to enhance the development of denitrifying micro-organisms already existing on the organic support without the </w:t>
      </w:r>
      <w:r>
        <w:rPr>
          <w:kern w:val="0"/>
        </w:rPr>
        <w:lastRenderedPageBreak/>
        <w:t>need for biomass inoculation. Biological pretreatment allowed the appearance of a bacterial film at the surface of the date pedicel particles, which improved their biosorption capacity. Indeed, the biosorption yields of cadmium (II) ions obtained at equilibrium (60 min) were 70.4 and 57.4% for ADP and RDP, respectively. The experimental data were analyzed by the Langmuir and Freundlich isotherm models and the model constants were evaluated. The maximum biosorption capacity as calculated using the Langmuir isotherm model was 10.75 mg g</w:t>
      </w:r>
      <w:r>
        <w:rPr>
          <w:rFonts w:hint="eastAsia"/>
          <w:kern w:val="0"/>
          <w:vertAlign w:val="superscript"/>
        </w:rPr>
        <w:t>-1</w:t>
      </w:r>
      <w:r>
        <w:rPr>
          <w:kern w:val="0"/>
        </w:rPr>
        <w:t xml:space="preserve"> which is greater than that of commercial and granular activated carbon. The kinetic data obtained at different initial cadmium concentrations and different temperatures were analyzed using pseudo-second-order and intra-particle diffusion models. The biosorption kinetics followed a pseudo-second-order kinetic model. The biosorption of cadmium ion was endothermic and spontaneous. Elution efficiencies with different concentrations of CaCl</w:t>
      </w:r>
      <w:r>
        <w:rPr>
          <w:rFonts w:hint="eastAsia"/>
          <w:kern w:val="0"/>
          <w:vertAlign w:val="subscript"/>
        </w:rPr>
        <w:t>2</w:t>
      </w:r>
      <w:r>
        <w:rPr>
          <w:kern w:val="0"/>
        </w:rPr>
        <w:t>, KCl and NaCl were evaluated. The desorption studies showed the reversibility of biosorption and CaCl</w:t>
      </w:r>
      <w:r>
        <w:rPr>
          <w:rFonts w:hint="eastAsia"/>
          <w:kern w:val="0"/>
          <w:vertAlign w:val="subscript"/>
        </w:rPr>
        <w:t>2</w:t>
      </w:r>
      <w:r>
        <w:rPr>
          <w:kern w:val="0"/>
        </w:rPr>
        <w:t xml:space="preserve"> was the most efficient desorbent for elution and desorption of cadmium from the biosorbant.</w:t>
      </w:r>
    </w:p>
    <w:p w:rsidR="00BC1F9C" w:rsidRDefault="00BC1F9C" w:rsidP="00BC1F9C">
      <w:pPr>
        <w:pStyle w:val="a0"/>
        <w:rPr>
          <w:kern w:val="0"/>
        </w:rPr>
      </w:pPr>
      <w:r>
        <w:rPr>
          <w:kern w:val="0"/>
        </w:rPr>
        <w:t>Keywords: Activated Carbon, Adsorption, Aqueous Solution, Biomass, Biosorption, Cadmium, Calcium, Cd(II), Copper Ions, Desorption, Diffusion, Equilibrium, Equilibrium Isotherm, Freundlich, Freundlich Isotherm, Ft-Ir, FTIR, Heavy Metals, Heavy-Metals, Isotherm, Kinetic, Kinetic Model, Kinetic Study, Kinetics, Langmuir, Langmuir Isotherm, Lead, Pine Bark, Pretreatment, Pseudo Second Order, Removal, SEM, SEM Analysis, Sorption, Thermodynamic, Thermodynamic Study, Tree Fern, Waste-Water</w:t>
      </w:r>
    </w:p>
    <w:p w:rsidR="00F54399" w:rsidRPr="001A3D2B" w:rsidRDefault="00F54399" w:rsidP="00F54399">
      <w:pPr>
        <w:pStyle w:val="1"/>
      </w:pPr>
      <w:r w:rsidRPr="001A3D2B">
        <w:br w:type="page"/>
      </w:r>
      <w:bookmarkStart w:id="1260" w:name="_Toc317161271"/>
      <w:r w:rsidRPr="001A3D2B">
        <w:lastRenderedPageBreak/>
        <w:t xml:space="preserve">Title: </w:t>
      </w:r>
      <w:r w:rsidRPr="00F54601">
        <w:rPr>
          <w:iCs/>
          <w:szCs w:val="24"/>
        </w:rPr>
        <w:t>International Journal of Circumpolar Health</w:t>
      </w:r>
      <w:bookmarkEnd w:id="1260"/>
    </w:p>
    <w:p w:rsidR="00F54399" w:rsidRDefault="00F54399" w:rsidP="00F54399">
      <w:pPr>
        <w:pStyle w:val="12"/>
      </w:pPr>
      <w:r w:rsidRPr="00A428C3">
        <w:t xml:space="preserve">Full Journal Title: </w:t>
      </w:r>
      <w:hyperlink r:id="rId1703" w:history="1">
        <w:r w:rsidRPr="00481504">
          <w:rPr>
            <w:rStyle w:val="a5"/>
            <w:iCs/>
          </w:rPr>
          <w:t>International Journal of Circumpolar Health</w:t>
        </w:r>
      </w:hyperlink>
    </w:p>
    <w:p w:rsidR="00F54399" w:rsidRPr="001A3D2B" w:rsidRDefault="00F54399" w:rsidP="00F54399">
      <w:pPr>
        <w:pStyle w:val="12"/>
      </w:pPr>
      <w:r w:rsidRPr="001A3D2B">
        <w:t xml:space="preserve">ISO Abbreviated Title: </w:t>
      </w:r>
    </w:p>
    <w:p w:rsidR="00F54399" w:rsidRPr="001A3D2B" w:rsidRDefault="00F54399" w:rsidP="00F54399">
      <w:pPr>
        <w:pStyle w:val="12"/>
      </w:pPr>
      <w:r w:rsidRPr="001A3D2B">
        <w:t xml:space="preserve">JCR Abbreviated Title: </w:t>
      </w:r>
    </w:p>
    <w:p w:rsidR="00F54399" w:rsidRPr="001A3D2B" w:rsidRDefault="00F54399" w:rsidP="00F54399">
      <w:pPr>
        <w:pStyle w:val="12"/>
      </w:pPr>
      <w:r w:rsidRPr="001A3D2B">
        <w:t xml:space="preserve">ISSN: </w:t>
      </w:r>
    </w:p>
    <w:p w:rsidR="00F54399" w:rsidRPr="001A3D2B" w:rsidRDefault="00F54399" w:rsidP="00F54399">
      <w:pPr>
        <w:pStyle w:val="12"/>
      </w:pPr>
      <w:r w:rsidRPr="001A3D2B">
        <w:t xml:space="preserve">Issues/Year: </w:t>
      </w:r>
    </w:p>
    <w:p w:rsidR="00F54399" w:rsidRPr="001A3D2B" w:rsidRDefault="00F54399" w:rsidP="00F54399">
      <w:pPr>
        <w:pStyle w:val="12"/>
      </w:pPr>
      <w:r w:rsidRPr="001A3D2B">
        <w:t xml:space="preserve">Journal Country/Territory: </w:t>
      </w:r>
    </w:p>
    <w:p w:rsidR="00F54399" w:rsidRPr="001A3D2B" w:rsidRDefault="00F54399" w:rsidP="00F54399">
      <w:pPr>
        <w:pStyle w:val="12"/>
      </w:pPr>
      <w:r w:rsidRPr="001A3D2B">
        <w:t xml:space="preserve">Language: </w:t>
      </w:r>
    </w:p>
    <w:p w:rsidR="00F54399" w:rsidRPr="001A3D2B" w:rsidRDefault="00F54399" w:rsidP="00F54399">
      <w:pPr>
        <w:pStyle w:val="12"/>
      </w:pPr>
      <w:r w:rsidRPr="001A3D2B">
        <w:t xml:space="preserve">Publisher: </w:t>
      </w:r>
    </w:p>
    <w:p w:rsidR="00F54399" w:rsidRPr="001A3D2B" w:rsidRDefault="00F54399" w:rsidP="00F54399">
      <w:pPr>
        <w:pStyle w:val="12"/>
      </w:pPr>
      <w:r w:rsidRPr="001A3D2B">
        <w:t xml:space="preserve">Publisher Address: </w:t>
      </w:r>
    </w:p>
    <w:p w:rsidR="00F54399" w:rsidRPr="001A3D2B" w:rsidRDefault="00F54399" w:rsidP="00F54399">
      <w:pPr>
        <w:pStyle w:val="12"/>
      </w:pPr>
      <w:r w:rsidRPr="001A3D2B">
        <w:t>Subject Categories:</w:t>
      </w:r>
    </w:p>
    <w:p w:rsidR="00F54399" w:rsidRPr="001A3D2B" w:rsidRDefault="00F54399" w:rsidP="00F54399">
      <w:pPr>
        <w:pStyle w:val="12"/>
      </w:pPr>
      <w:r w:rsidRPr="001A3D2B">
        <w:t>: Impact Factor</w:t>
      </w:r>
    </w:p>
    <w:p w:rsidR="00F54399" w:rsidRDefault="00F54399" w:rsidP="00F54399">
      <w:pPr>
        <w:pStyle w:val="a0"/>
        <w:rPr>
          <w:kern w:val="0"/>
          <w:szCs w:val="24"/>
        </w:rPr>
      </w:pPr>
      <w:r>
        <w:rPr>
          <w:rFonts w:hint="eastAsia"/>
          <w:kern w:val="0"/>
          <w:szCs w:val="24"/>
        </w:rPr>
        <w:t xml:space="preserve">? </w:t>
      </w:r>
      <w:r>
        <w:rPr>
          <w:kern w:val="0"/>
          <w:szCs w:val="24"/>
        </w:rPr>
        <w:t>Wilson, K.</w:t>
      </w:r>
      <w:r w:rsidR="00F81221">
        <w:rPr>
          <w:kern w:val="0"/>
          <w:szCs w:val="24"/>
        </w:rPr>
        <w:t xml:space="preserve"> and </w:t>
      </w:r>
      <w:r>
        <w:rPr>
          <w:kern w:val="0"/>
          <w:szCs w:val="24"/>
        </w:rPr>
        <w:t>Young, T.K. (2008), An overview of Aboriginal health research in the social sciences: Current trends</w:t>
      </w:r>
      <w:r w:rsidR="00F81221">
        <w:rPr>
          <w:kern w:val="0"/>
          <w:szCs w:val="24"/>
        </w:rPr>
        <w:t xml:space="preserve"> and </w:t>
      </w:r>
      <w:r>
        <w:rPr>
          <w:kern w:val="0"/>
          <w:szCs w:val="24"/>
        </w:rPr>
        <w:t xml:space="preserve">future directions. </w:t>
      </w:r>
      <w:r w:rsidRPr="00F54601">
        <w:rPr>
          <w:i/>
          <w:iCs/>
          <w:kern w:val="0"/>
          <w:szCs w:val="24"/>
        </w:rPr>
        <w:t>International Journal of Circumpolar Health</w:t>
      </w:r>
      <w:r>
        <w:rPr>
          <w:kern w:val="0"/>
          <w:szCs w:val="24"/>
        </w:rPr>
        <w:t xml:space="preserve">, </w:t>
      </w:r>
      <w:r>
        <w:rPr>
          <w:b/>
          <w:bCs/>
          <w:kern w:val="0"/>
          <w:szCs w:val="24"/>
        </w:rPr>
        <w:t>67</w:t>
      </w:r>
      <w:r>
        <w:rPr>
          <w:kern w:val="0"/>
          <w:szCs w:val="24"/>
        </w:rPr>
        <w:t xml:space="preserve"> (2-3), 179-189.</w:t>
      </w:r>
    </w:p>
    <w:p w:rsidR="00F54399" w:rsidRDefault="00F54399" w:rsidP="00F54399">
      <w:pPr>
        <w:pStyle w:val="a0"/>
        <w:rPr>
          <w:kern w:val="0"/>
          <w:szCs w:val="24"/>
        </w:rPr>
      </w:pPr>
      <w:r>
        <w:rPr>
          <w:rFonts w:hint="eastAsia"/>
          <w:kern w:val="0"/>
          <w:szCs w:val="24"/>
        </w:rPr>
        <w:t xml:space="preserve">Full Text: </w:t>
      </w:r>
      <w:hyperlink r:id="rId1704" w:history="1">
        <w:r w:rsidRPr="00F54601">
          <w:rPr>
            <w:rStyle w:val="a5"/>
            <w:kern w:val="0"/>
            <w:szCs w:val="24"/>
          </w:rPr>
          <w:t>2008\Int J Cir Hea67, 179.pdf</w:t>
        </w:r>
      </w:hyperlink>
    </w:p>
    <w:p w:rsidR="00F54399" w:rsidRDefault="00F54399" w:rsidP="00F54399">
      <w:pPr>
        <w:pStyle w:val="a0"/>
        <w:rPr>
          <w:kern w:val="0"/>
          <w:szCs w:val="24"/>
        </w:rPr>
      </w:pPr>
      <w:r>
        <w:rPr>
          <w:kern w:val="0"/>
          <w:szCs w:val="24"/>
        </w:rPr>
        <w:t>Abstract: Objectives. To examine if Aboriginal health research conducted within the field of social sciences reflects the population</w:t>
      </w:r>
      <w:r w:rsidR="00F81221">
        <w:rPr>
          <w:kern w:val="0"/>
          <w:szCs w:val="24"/>
        </w:rPr>
        <w:t xml:space="preserve"> and </w:t>
      </w:r>
      <w:r>
        <w:rPr>
          <w:kern w:val="0"/>
          <w:szCs w:val="24"/>
        </w:rPr>
        <w:t>geographic diversity of the Aboriginal population. Study Design. Review. Methods. We searched the Web of Science Social Science Citation Index, the Arts</w:t>
      </w:r>
      <w:r w:rsidR="00F81221">
        <w:rPr>
          <w:kern w:val="0"/>
          <w:szCs w:val="24"/>
        </w:rPr>
        <w:t xml:space="preserve"> and </w:t>
      </w:r>
      <w:r>
        <w:rPr>
          <w:kern w:val="0"/>
          <w:szCs w:val="24"/>
        </w:rPr>
        <w:t>Humanities Citation Index</w:t>
      </w:r>
      <w:r w:rsidR="00F81221">
        <w:rPr>
          <w:kern w:val="0"/>
          <w:szCs w:val="24"/>
        </w:rPr>
        <w:t xml:space="preserve"> and </w:t>
      </w:r>
      <w:r>
        <w:rPr>
          <w:kern w:val="0"/>
          <w:szCs w:val="24"/>
        </w:rPr>
        <w:t>Scholars Portal for the time period 1995-2005 using search terms to reflect different names used to refer to Canada</w:t>
      </w:r>
      <w:r w:rsidR="000352E7">
        <w:rPr>
          <w:kern w:val="0"/>
          <w:szCs w:val="24"/>
        </w:rPr>
        <w:t>’</w:t>
      </w:r>
      <w:r>
        <w:rPr>
          <w:kern w:val="0"/>
          <w:szCs w:val="24"/>
        </w:rPr>
        <w:t>s Aboriginal peoples. Citations that did not focus on health or Canada were eliminated. Each paper was coded according to 7 broad categories: Aboriginal identity group; geography; age; health status; health determinants; health services;</w:t>
      </w:r>
      <w:r w:rsidR="00F81221">
        <w:rPr>
          <w:kern w:val="0"/>
          <w:szCs w:val="24"/>
        </w:rPr>
        <w:t xml:space="preserve"> and </w:t>
      </w:r>
      <w:r>
        <w:rPr>
          <w:kern w:val="0"/>
          <w:szCs w:val="24"/>
        </w:rPr>
        <w:t>methods. Results. Based on the 96 papers reviewed, the results show an under-representation of Metis</w:t>
      </w:r>
      <w:r w:rsidR="00F81221">
        <w:rPr>
          <w:kern w:val="0"/>
          <w:szCs w:val="24"/>
        </w:rPr>
        <w:t xml:space="preserve"> and </w:t>
      </w:r>
      <w:r>
        <w:rPr>
          <w:kern w:val="0"/>
          <w:szCs w:val="24"/>
        </w:rPr>
        <w:t>urban Aboriginal peoples. Most of the papers are on health status</w:t>
      </w:r>
      <w:r w:rsidR="00F81221">
        <w:rPr>
          <w:kern w:val="0"/>
          <w:szCs w:val="24"/>
        </w:rPr>
        <w:t xml:space="preserve"> and </w:t>
      </w:r>
      <w:r>
        <w:rPr>
          <w:kern w:val="0"/>
          <w:szCs w:val="24"/>
        </w:rPr>
        <w:t>non-medical determinants of health, with a particular focus on chronic conditions</w:t>
      </w:r>
      <w:r w:rsidR="00F81221">
        <w:rPr>
          <w:kern w:val="0"/>
          <w:szCs w:val="24"/>
        </w:rPr>
        <w:t xml:space="preserve"> and </w:t>
      </w:r>
      <w:r>
        <w:rPr>
          <w:kern w:val="0"/>
          <w:szCs w:val="24"/>
        </w:rPr>
        <w:t>life-style behaviours. Only 6 papers examined traditional approaches to healing and/or access to traditional healers/medicines. A small number involved the use of community-based research methods. Conclusions. Further research is required to address gaps in the current body of literature. Community-based research studies are necessary to address gaps that are most relevant to Aboriginal peoples.</w:t>
      </w:r>
    </w:p>
    <w:p w:rsidR="00F54399" w:rsidRDefault="00F54399" w:rsidP="00F54399">
      <w:pPr>
        <w:pStyle w:val="a0"/>
        <w:rPr>
          <w:kern w:val="0"/>
          <w:szCs w:val="24"/>
        </w:rPr>
      </w:pPr>
      <w:r>
        <w:rPr>
          <w:kern w:val="0"/>
          <w:szCs w:val="24"/>
        </w:rPr>
        <w:t>Keywords: 1st Nations Peoples, Aboriginal Peoples, Canada, Canada, Care Services, Citation, Community, Diverse Sample, Health Status, Knowledge, Literature, Manitoba, Non-Medical Determinants of Health, Papers, Population, Research, Web of Science, Winnipeg, Women</w:t>
      </w:r>
    </w:p>
    <w:p w:rsidR="00481504" w:rsidRDefault="00481504" w:rsidP="00481504">
      <w:pPr>
        <w:pStyle w:val="a0"/>
        <w:rPr>
          <w:kern w:val="0"/>
        </w:rPr>
      </w:pPr>
      <w:r>
        <w:rPr>
          <w:rFonts w:hint="eastAsia"/>
          <w:kern w:val="0"/>
        </w:rPr>
        <w:lastRenderedPageBreak/>
        <w:t xml:space="preserve">? </w:t>
      </w:r>
      <w:r>
        <w:rPr>
          <w:kern w:val="0"/>
        </w:rPr>
        <w:t xml:space="preserve">Orr, P. (2011), Adherence to tuberculosis care in Canadian Aboriginal populations Part 1: definition, measurement, responsibility, barriers. </w:t>
      </w:r>
      <w:r>
        <w:rPr>
          <w:i/>
          <w:iCs/>
          <w:kern w:val="0"/>
        </w:rPr>
        <w:t>International Journal of Circumpolar Health</w:t>
      </w:r>
      <w:r>
        <w:rPr>
          <w:kern w:val="0"/>
        </w:rPr>
        <w:t xml:space="preserve">, </w:t>
      </w:r>
      <w:r>
        <w:rPr>
          <w:b/>
          <w:bCs/>
          <w:kern w:val="0"/>
        </w:rPr>
        <w:t>70</w:t>
      </w:r>
      <w:r>
        <w:rPr>
          <w:kern w:val="0"/>
        </w:rPr>
        <w:t xml:space="preserve"> (2), 113-127.</w:t>
      </w:r>
    </w:p>
    <w:p w:rsidR="00481504" w:rsidRDefault="00481504" w:rsidP="00481504">
      <w:pPr>
        <w:pStyle w:val="a0"/>
        <w:rPr>
          <w:kern w:val="0"/>
          <w:szCs w:val="24"/>
        </w:rPr>
      </w:pPr>
      <w:r>
        <w:rPr>
          <w:rFonts w:hint="eastAsia"/>
          <w:kern w:val="0"/>
          <w:szCs w:val="24"/>
        </w:rPr>
        <w:t xml:space="preserve">Full Text: </w:t>
      </w:r>
      <w:hyperlink r:id="rId1705" w:history="1">
        <w:r w:rsidRPr="00481504">
          <w:rPr>
            <w:rStyle w:val="a5"/>
            <w:kern w:val="0"/>
            <w:szCs w:val="24"/>
          </w:rPr>
          <w:t>2011\Int J Cir Hea70, 113.pdf</w:t>
        </w:r>
      </w:hyperlink>
    </w:p>
    <w:p w:rsidR="00481504" w:rsidRDefault="00481504" w:rsidP="00481504">
      <w:pPr>
        <w:pStyle w:val="a0"/>
        <w:rPr>
          <w:kern w:val="0"/>
        </w:rPr>
      </w:pPr>
      <w:r>
        <w:rPr>
          <w:kern w:val="0"/>
        </w:rPr>
        <w:t>Abstract: Objectives. In a 2-part series, the current literature with respect to adherence to tuberculosis care among Canadian Aboriginal populations is reviewed. In the current paper, which comprises part 1 of this review, adherence is defined,</w:t>
      </w:r>
      <w:r w:rsidR="00F81221">
        <w:rPr>
          <w:kern w:val="0"/>
        </w:rPr>
        <w:t xml:space="preserve"> and </w:t>
      </w:r>
      <w:r>
        <w:rPr>
          <w:kern w:val="0"/>
        </w:rPr>
        <w:t>methods of measurement, issues of responsibility</w:t>
      </w:r>
      <w:r w:rsidR="00F81221">
        <w:rPr>
          <w:kern w:val="0"/>
        </w:rPr>
        <w:t xml:space="preserve"> and </w:t>
      </w:r>
      <w:r>
        <w:rPr>
          <w:kern w:val="0"/>
        </w:rPr>
        <w:t>potential barriers to adherence are explored. Study design. Literature review. Methods. A systematic search</w:t>
      </w:r>
      <w:r w:rsidR="00F81221">
        <w:rPr>
          <w:kern w:val="0"/>
        </w:rPr>
        <w:t xml:space="preserve"> and </w:t>
      </w:r>
      <w:r>
        <w:rPr>
          <w:kern w:val="0"/>
        </w:rPr>
        <w:t>analytic review of relevant studies was undertaken, including an online search of electronic databases (PubMed, PsychINFO, MEDLINE, Native Health Database, Scopus, Social Science Citation Index)</w:t>
      </w:r>
      <w:r w:rsidR="00F81221">
        <w:rPr>
          <w:kern w:val="0"/>
        </w:rPr>
        <w:t xml:space="preserve"> and </w:t>
      </w:r>
      <w:r>
        <w:rPr>
          <w:kern w:val="0"/>
        </w:rPr>
        <w:t>publications by governmental</w:t>
      </w:r>
      <w:r w:rsidR="00F81221">
        <w:rPr>
          <w:kern w:val="0"/>
        </w:rPr>
        <w:t xml:space="preserve"> and </w:t>
      </w:r>
      <w:r>
        <w:rPr>
          <w:kern w:val="0"/>
        </w:rPr>
        <w:t>non-governmental agencies. Results. Poor adherence to therapy for TB disease is the most common cause of initial treatment failure</w:t>
      </w:r>
      <w:r w:rsidR="00F81221">
        <w:rPr>
          <w:kern w:val="0"/>
        </w:rPr>
        <w:t xml:space="preserve"> and </w:t>
      </w:r>
      <w:r>
        <w:rPr>
          <w:kern w:val="0"/>
        </w:rPr>
        <w:t>of disease relapse worldwide. Adherence to care for TB disease is necessary for the health of both the affected individual</w:t>
      </w:r>
      <w:r w:rsidR="00F81221">
        <w:rPr>
          <w:kern w:val="0"/>
        </w:rPr>
        <w:t xml:space="preserve"> and </w:t>
      </w:r>
      <w:r>
        <w:rPr>
          <w:kern w:val="0"/>
        </w:rPr>
        <w:t>society as a whole. Adherence is a task-specific behaviour that is not inherent to ethnic identity. The term applies only when common agreement over a care plan has been reached between patient</w:t>
      </w:r>
      <w:r w:rsidR="00F81221">
        <w:rPr>
          <w:kern w:val="0"/>
        </w:rPr>
        <w:t xml:space="preserve"> and </w:t>
      </w:r>
      <w:r>
        <w:rPr>
          <w:kern w:val="0"/>
        </w:rPr>
        <w:t>provider. The International Standards for Tuberculosis Care</w:t>
      </w:r>
      <w:r w:rsidR="00F81221">
        <w:rPr>
          <w:kern w:val="0"/>
        </w:rPr>
        <w:t xml:space="preserve"> and </w:t>
      </w:r>
      <w:r>
        <w:rPr>
          <w:kern w:val="0"/>
        </w:rPr>
        <w:t>the Patients Charter outline the responsibilities for adherence on the part of both patients</w:t>
      </w:r>
      <w:r w:rsidR="00F81221">
        <w:rPr>
          <w:kern w:val="0"/>
        </w:rPr>
        <w:t xml:space="preserve"> and </w:t>
      </w:r>
      <w:r>
        <w:rPr>
          <w:kern w:val="0"/>
        </w:rPr>
        <w:t>providers. For Canadian Aboriginals, barriers to adherence may derive from a complex interaction between the health system, personal factors</w:t>
      </w:r>
      <w:r w:rsidR="00F81221">
        <w:rPr>
          <w:kern w:val="0"/>
        </w:rPr>
        <w:t xml:space="preserve"> and </w:t>
      </w:r>
      <w:r>
        <w:rPr>
          <w:kern w:val="0"/>
        </w:rPr>
        <w:t>social factors, which may include dysfunctional acute</w:t>
      </w:r>
      <w:r w:rsidR="00F81221">
        <w:rPr>
          <w:kern w:val="0"/>
        </w:rPr>
        <w:t xml:space="preserve"> and </w:t>
      </w:r>
      <w:r>
        <w:rPr>
          <w:kern w:val="0"/>
        </w:rPr>
        <w:t>public health systems, dissonant (between health care provider</w:t>
      </w:r>
      <w:r w:rsidR="00F81221">
        <w:rPr>
          <w:kern w:val="0"/>
        </w:rPr>
        <w:t xml:space="preserve"> and </w:t>
      </w:r>
      <w:r>
        <w:rPr>
          <w:kern w:val="0"/>
        </w:rPr>
        <w:t>patient) belief systems, concurrent co-morbidities</w:t>
      </w:r>
      <w:r w:rsidR="00F81221">
        <w:rPr>
          <w:kern w:val="0"/>
        </w:rPr>
        <w:t xml:space="preserve"> and </w:t>
      </w:r>
      <w:r>
        <w:rPr>
          <w:kern w:val="0"/>
        </w:rPr>
        <w:t>life stressors, poverty</w:t>
      </w:r>
      <w:r w:rsidR="00F81221">
        <w:rPr>
          <w:kern w:val="0"/>
        </w:rPr>
        <w:t xml:space="preserve"> and </w:t>
      </w:r>
      <w:r>
        <w:rPr>
          <w:kern w:val="0"/>
        </w:rPr>
        <w:t>social stigma. Conclusions. Adherence is a task-specific behaviour, not a personality trait. It is influenced by the interaction of systemic, personal</w:t>
      </w:r>
      <w:r w:rsidR="00F81221">
        <w:rPr>
          <w:kern w:val="0"/>
        </w:rPr>
        <w:t xml:space="preserve"> and </w:t>
      </w:r>
      <w:r>
        <w:rPr>
          <w:kern w:val="0"/>
        </w:rPr>
        <w:t>societal factors. These factors must be understood within the historical experience of TB</w:t>
      </w:r>
      <w:r w:rsidR="00F81221">
        <w:rPr>
          <w:kern w:val="0"/>
        </w:rPr>
        <w:t xml:space="preserve"> and </w:t>
      </w:r>
      <w:r>
        <w:rPr>
          <w:kern w:val="0"/>
        </w:rPr>
        <w:t>the cultural meaning of health</w:t>
      </w:r>
      <w:r w:rsidR="00F81221">
        <w:rPr>
          <w:kern w:val="0"/>
        </w:rPr>
        <w:t xml:space="preserve"> and </w:t>
      </w:r>
      <w:r>
        <w:rPr>
          <w:kern w:val="0"/>
        </w:rPr>
        <w:t>illness among Indigenous Canadians. (Int J Circumpolar Health 2011; 70(2):113-127).</w:t>
      </w:r>
    </w:p>
    <w:p w:rsidR="00481504" w:rsidRDefault="00481504" w:rsidP="00481504">
      <w:pPr>
        <w:pStyle w:val="a0"/>
        <w:rPr>
          <w:kern w:val="0"/>
        </w:rPr>
      </w:pPr>
      <w:r>
        <w:rPr>
          <w:kern w:val="0"/>
        </w:rPr>
        <w:t>Keywords: Aboriginal, Adherence, Citation, Community, Compliance, Databases, Directly Observed Therapy, Disease, Follow-Up, Health, Health Care, Indigenous, Infection, Knowledge, Literature, Literature Review, Measurement, Medline, Perceptions, Prevention, Public Health, Publications, PUBMED, Review, Science Citation Index, Scopus, Self-Efficacy, Support, Tuberculosis</w:t>
      </w:r>
    </w:p>
    <w:p w:rsidR="00481504" w:rsidRDefault="00481504" w:rsidP="00481504">
      <w:pPr>
        <w:pStyle w:val="a0"/>
        <w:rPr>
          <w:kern w:val="0"/>
        </w:rPr>
      </w:pPr>
      <w:r>
        <w:rPr>
          <w:rFonts w:hint="eastAsia"/>
          <w:kern w:val="0"/>
        </w:rPr>
        <w:t xml:space="preserve">? </w:t>
      </w:r>
      <w:r>
        <w:rPr>
          <w:kern w:val="0"/>
        </w:rPr>
        <w:t xml:space="preserve">Orr, P. (2011), Adherence to tuberculosis care in Canadian Aboriginal populations Part 2: a comprehensive approach to fostering adherent behaviour. </w:t>
      </w:r>
      <w:r>
        <w:rPr>
          <w:i/>
          <w:iCs/>
          <w:kern w:val="0"/>
        </w:rPr>
        <w:t>International Journal of Circumpolar Health</w:t>
      </w:r>
      <w:r>
        <w:rPr>
          <w:kern w:val="0"/>
        </w:rPr>
        <w:t xml:space="preserve">, </w:t>
      </w:r>
      <w:r>
        <w:rPr>
          <w:b/>
          <w:bCs/>
          <w:kern w:val="0"/>
        </w:rPr>
        <w:t>70</w:t>
      </w:r>
      <w:r>
        <w:rPr>
          <w:kern w:val="0"/>
        </w:rPr>
        <w:t xml:space="preserve"> (2), 128-140.</w:t>
      </w:r>
    </w:p>
    <w:p w:rsidR="00481504" w:rsidRDefault="00481504" w:rsidP="00481504">
      <w:pPr>
        <w:pStyle w:val="a0"/>
        <w:rPr>
          <w:kern w:val="0"/>
          <w:szCs w:val="24"/>
        </w:rPr>
      </w:pPr>
      <w:r>
        <w:rPr>
          <w:rFonts w:hint="eastAsia"/>
          <w:kern w:val="0"/>
          <w:szCs w:val="24"/>
        </w:rPr>
        <w:t xml:space="preserve">Full Text: </w:t>
      </w:r>
      <w:hyperlink r:id="rId1706" w:history="1">
        <w:r w:rsidRPr="00481504">
          <w:rPr>
            <w:rStyle w:val="a5"/>
            <w:kern w:val="0"/>
            <w:szCs w:val="24"/>
          </w:rPr>
          <w:t>2011\Int J Cir Hea70, 128.pdf</w:t>
        </w:r>
      </w:hyperlink>
    </w:p>
    <w:p w:rsidR="00481504" w:rsidRDefault="00481504" w:rsidP="00481504">
      <w:pPr>
        <w:pStyle w:val="a0"/>
        <w:rPr>
          <w:kern w:val="0"/>
        </w:rPr>
      </w:pPr>
      <w:r>
        <w:rPr>
          <w:kern w:val="0"/>
        </w:rPr>
        <w:t xml:space="preserve">Abstract: Objectives. In a 2-part series, the current literature with respect to adherence </w:t>
      </w:r>
      <w:r>
        <w:rPr>
          <w:kern w:val="0"/>
        </w:rPr>
        <w:lastRenderedPageBreak/>
        <w:t>to tuberculosis care among Canadian Aboriginal populations is reviewed. In the current paper, which comprises part 2 of this review, strategies to remove barriers to TB adherence</w:t>
      </w:r>
      <w:r w:rsidR="00F81221">
        <w:rPr>
          <w:kern w:val="0"/>
        </w:rPr>
        <w:t xml:space="preserve"> and </w:t>
      </w:r>
      <w:r>
        <w:rPr>
          <w:kern w:val="0"/>
        </w:rPr>
        <w:t>to sustain</w:t>
      </w:r>
      <w:r w:rsidR="00F81221">
        <w:rPr>
          <w:kern w:val="0"/>
        </w:rPr>
        <w:t xml:space="preserve"> and </w:t>
      </w:r>
      <w:r>
        <w:rPr>
          <w:kern w:val="0"/>
        </w:rPr>
        <w:t>improve adherence are explored. Study design. Literature review. Methods. The biomedical</w:t>
      </w:r>
      <w:r w:rsidR="00F81221">
        <w:rPr>
          <w:kern w:val="0"/>
        </w:rPr>
        <w:t xml:space="preserve"> and </w:t>
      </w:r>
      <w:r>
        <w:rPr>
          <w:kern w:val="0"/>
        </w:rPr>
        <w:t>social science literature, including electronic databases (PubMed, PsychINFO, MEDLINE, Native Health Database. Scopus, Social Science Citation Index) were searched</w:t>
      </w:r>
      <w:r w:rsidR="00F81221">
        <w:rPr>
          <w:kern w:val="0"/>
        </w:rPr>
        <w:t xml:space="preserve"> and </w:t>
      </w:r>
      <w:r>
        <w:rPr>
          <w:kern w:val="0"/>
        </w:rPr>
        <w:t>reviewed with regard to relevant studies on adherence to health care,</w:t>
      </w:r>
      <w:r w:rsidR="00F81221">
        <w:rPr>
          <w:kern w:val="0"/>
        </w:rPr>
        <w:t xml:space="preserve"> and </w:t>
      </w:r>
      <w:r>
        <w:rPr>
          <w:kern w:val="0"/>
        </w:rPr>
        <w:t>to tuberculosis care specifically. Results. The majority of published studies of interventions to remove barriers to TB adherence are focused on the health service system</w:t>
      </w:r>
      <w:r w:rsidR="00F81221">
        <w:rPr>
          <w:kern w:val="0"/>
        </w:rPr>
        <w:t xml:space="preserve"> and </w:t>
      </w:r>
      <w:r>
        <w:rPr>
          <w:kern w:val="0"/>
        </w:rPr>
        <w:t>on the individual. The former include enhanced programs of directly observed therapy</w:t>
      </w:r>
      <w:r w:rsidR="00F81221">
        <w:rPr>
          <w:kern w:val="0"/>
        </w:rPr>
        <w:t xml:space="preserve"> and </w:t>
      </w:r>
      <w:r>
        <w:rPr>
          <w:kern w:val="0"/>
        </w:rPr>
        <w:t xml:space="preserve">directly observed preventive therapy, as well as </w:t>
      </w:r>
      <w:r w:rsidR="000352E7">
        <w:rPr>
          <w:kern w:val="0"/>
        </w:rPr>
        <w:t>“</w:t>
      </w:r>
      <w:r>
        <w:rPr>
          <w:kern w:val="0"/>
        </w:rPr>
        <w:t>permeable</w:t>
      </w:r>
      <w:r w:rsidR="000352E7">
        <w:rPr>
          <w:kern w:val="0"/>
        </w:rPr>
        <w:t>”</w:t>
      </w:r>
      <w:r>
        <w:rPr>
          <w:kern w:val="0"/>
        </w:rPr>
        <w:t xml:space="preserve"> health services that require minimal negotiation. At the personal level, effort must be made to develop a shared knowledge of</w:t>
      </w:r>
      <w:r w:rsidR="00F81221">
        <w:rPr>
          <w:kern w:val="0"/>
        </w:rPr>
        <w:t xml:space="preserve"> and </w:t>
      </w:r>
      <w:r>
        <w:rPr>
          <w:kern w:val="0"/>
        </w:rPr>
        <w:t>care plan for TB, which includes Indigenous</w:t>
      </w:r>
      <w:r w:rsidR="00F81221">
        <w:rPr>
          <w:kern w:val="0"/>
        </w:rPr>
        <w:t xml:space="preserve"> and </w:t>
      </w:r>
      <w:r>
        <w:rPr>
          <w:kern w:val="0"/>
        </w:rPr>
        <w:t>Western scientific health beliefs</w:t>
      </w:r>
      <w:r w:rsidR="00F81221">
        <w:rPr>
          <w:kern w:val="0"/>
        </w:rPr>
        <w:t xml:space="preserve"> and </w:t>
      </w:r>
      <w:r>
        <w:rPr>
          <w:kern w:val="0"/>
        </w:rPr>
        <w:t>practice. The quality of the relationship between health care provider</w:t>
      </w:r>
      <w:r w:rsidR="00F81221">
        <w:rPr>
          <w:kern w:val="0"/>
        </w:rPr>
        <w:t xml:space="preserve"> and </w:t>
      </w:r>
      <w:r>
        <w:rPr>
          <w:kern w:val="0"/>
        </w:rPr>
        <w:t>patient is critical to the outcome of educational efforts that support adherence. Few studies address interventions within the social context,</w:t>
      </w:r>
      <w:r w:rsidR="00F81221">
        <w:rPr>
          <w:kern w:val="0"/>
        </w:rPr>
        <w:t xml:space="preserve"> and </w:t>
      </w:r>
      <w:r>
        <w:rPr>
          <w:kern w:val="0"/>
        </w:rPr>
        <w:t>few have used participatory methodologies in partnership with families</w:t>
      </w:r>
      <w:r w:rsidR="00F81221">
        <w:rPr>
          <w:kern w:val="0"/>
        </w:rPr>
        <w:t xml:space="preserve"> and </w:t>
      </w:r>
      <w:r>
        <w:rPr>
          <w:kern w:val="0"/>
        </w:rPr>
        <w:t>communities. Social supports such as assistance with childcare, transportation</w:t>
      </w:r>
      <w:r w:rsidR="00F81221">
        <w:rPr>
          <w:kern w:val="0"/>
        </w:rPr>
        <w:t xml:space="preserve"> and </w:t>
      </w:r>
      <w:r>
        <w:rPr>
          <w:kern w:val="0"/>
        </w:rPr>
        <w:t xml:space="preserve">shelter have been shown to be associated with improved adherence to care for other conditions. TB programs may wish to use techniques used in other health programs, such as the identification of patient </w:t>
      </w:r>
      <w:r w:rsidR="000352E7">
        <w:rPr>
          <w:kern w:val="0"/>
        </w:rPr>
        <w:t>“</w:t>
      </w:r>
      <w:r>
        <w:rPr>
          <w:kern w:val="0"/>
        </w:rPr>
        <w:t>sponsors</w:t>
      </w:r>
      <w:r w:rsidR="000352E7">
        <w:rPr>
          <w:kern w:val="0"/>
        </w:rPr>
        <w:t>”</w:t>
      </w:r>
      <w:r>
        <w:rPr>
          <w:kern w:val="0"/>
        </w:rPr>
        <w:t xml:space="preserve"> or mentors, or the use of verbal and/or written </w:t>
      </w:r>
      <w:r w:rsidR="000352E7">
        <w:rPr>
          <w:kern w:val="0"/>
        </w:rPr>
        <w:t>“</w:t>
      </w:r>
      <w:r>
        <w:rPr>
          <w:kern w:val="0"/>
        </w:rPr>
        <w:t>contracts.</w:t>
      </w:r>
      <w:r w:rsidR="000352E7">
        <w:rPr>
          <w:kern w:val="0"/>
        </w:rPr>
        <w:t>”</w:t>
      </w:r>
      <w:r>
        <w:rPr>
          <w:kern w:val="0"/>
        </w:rPr>
        <w:t xml:space="preserve"> Conclusions. Many of the interventional studies addressing health system barriers to TB adherence are grounded in the view that the problem rests with the patient. What is required is an approach that is responsive to the patient</w:t>
      </w:r>
      <w:r w:rsidR="000352E7">
        <w:rPr>
          <w:kern w:val="0"/>
        </w:rPr>
        <w:t>’</w:t>
      </w:r>
      <w:r>
        <w:rPr>
          <w:kern w:val="0"/>
        </w:rPr>
        <w:t>s needs while holding the patient to his or her personal</w:t>
      </w:r>
      <w:r w:rsidR="00F81221">
        <w:rPr>
          <w:kern w:val="0"/>
        </w:rPr>
        <w:t xml:space="preserve"> and </w:t>
      </w:r>
      <w:r>
        <w:rPr>
          <w:kern w:val="0"/>
        </w:rPr>
        <w:t>societal responsibilities. Adherence to therapy is unlikely to improve in a substantial way unless Indigenous beliefs about causation</w:t>
      </w:r>
      <w:r w:rsidR="00F81221">
        <w:rPr>
          <w:kern w:val="0"/>
        </w:rPr>
        <w:t xml:space="preserve"> and </w:t>
      </w:r>
      <w:r>
        <w:rPr>
          <w:kern w:val="0"/>
        </w:rPr>
        <w:t>care are incorporated into a program which has meaning for the patient. (Int J Circumpolar Health 2011; 70(2):128-140).</w:t>
      </w:r>
    </w:p>
    <w:p w:rsidR="00481504" w:rsidRDefault="00481504" w:rsidP="00481504">
      <w:pPr>
        <w:pStyle w:val="a0"/>
        <w:rPr>
          <w:kern w:val="0"/>
        </w:rPr>
      </w:pPr>
      <w:r>
        <w:rPr>
          <w:kern w:val="0"/>
        </w:rPr>
        <w:t>Keywords: Aboriginal, Adherence, Biomedical, Citation, Community, Compliance, Databases, Directly Observed Therapy, Education, Health Care, Incentives, Indigenous, Infection, Interventions, Literature, Literature Review, Medical-Treatment, Medline, Patient Adherence, Preventive Therapy, Program, Public Health, PUBMED, Review, Science Citation Index, Scopus, Self-Efficacy, Tuberculosis</w:t>
      </w:r>
    </w:p>
    <w:p w:rsidR="00B95188" w:rsidRPr="00A428C3" w:rsidRDefault="00B95188" w:rsidP="00B95188">
      <w:pPr>
        <w:pStyle w:val="1"/>
      </w:pPr>
      <w:r w:rsidRPr="00A428C3">
        <w:br w:type="page"/>
      </w:r>
      <w:bookmarkStart w:id="1261" w:name="_Toc186647906"/>
      <w:bookmarkStart w:id="1262" w:name="_Toc317161272"/>
      <w:r w:rsidRPr="00A428C3">
        <w:lastRenderedPageBreak/>
        <w:t xml:space="preserve">Title: </w:t>
      </w:r>
      <w:r w:rsidRPr="00A428C3">
        <w:rPr>
          <w:iCs/>
        </w:rPr>
        <w:t>International Journal of Clinical</w:t>
      </w:r>
      <w:r w:rsidR="00F81221">
        <w:rPr>
          <w:iCs/>
        </w:rPr>
        <w:t xml:space="preserve"> and </w:t>
      </w:r>
      <w:r w:rsidRPr="00A428C3">
        <w:rPr>
          <w:iCs/>
        </w:rPr>
        <w:t>Health Psychology</w:t>
      </w:r>
      <w:bookmarkEnd w:id="1261"/>
      <w:bookmarkEnd w:id="1262"/>
    </w:p>
    <w:p w:rsidR="00B95188" w:rsidRPr="00A428C3" w:rsidRDefault="00B95188" w:rsidP="00B72EF9">
      <w:pPr>
        <w:pStyle w:val="12"/>
      </w:pPr>
      <w:r w:rsidRPr="00A428C3">
        <w:t xml:space="preserve">Full Journal Title: </w:t>
      </w:r>
      <w:hyperlink r:id="rId1707" w:history="1">
        <w:r w:rsidRPr="00720644">
          <w:rPr>
            <w:rStyle w:val="a5"/>
          </w:rPr>
          <w:t>International Journal of Clinical</w:t>
        </w:r>
        <w:r w:rsidR="00F81221">
          <w:rPr>
            <w:rStyle w:val="a5"/>
          </w:rPr>
          <w:t xml:space="preserve"> and </w:t>
        </w:r>
        <w:r w:rsidRPr="00720644">
          <w:rPr>
            <w:rStyle w:val="a5"/>
          </w:rPr>
          <w:t>Health Psychology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720644" w:rsidRPr="00A428C3" w:rsidRDefault="00720644" w:rsidP="00720644">
      <w:pPr>
        <w:pStyle w:val="a0"/>
      </w:pPr>
      <w:r>
        <w:t>? Ruiz-Pérez, R., López-Cózar, E.</w:t>
      </w:r>
      <w:r w:rsidR="00F81221">
        <w:t xml:space="preserve"> and </w:t>
      </w:r>
      <w:r>
        <w:t>Jimé</w:t>
      </w:r>
      <w:r w:rsidRPr="00A428C3">
        <w:t>nez-Contreras, E. (2006), Institute for Scientific Information criteria for scientific journals selection. Its application to Spanish journals: Methodology</w:t>
      </w:r>
      <w:r w:rsidR="00F81221">
        <w:t xml:space="preserve"> and </w:t>
      </w:r>
      <w:r w:rsidRPr="00A428C3">
        <w:t xml:space="preserve">indicators. </w:t>
      </w:r>
      <w:r w:rsidRPr="00A428C3">
        <w:rPr>
          <w:i/>
          <w:iCs/>
        </w:rPr>
        <w:t>International Journal of Clinical</w:t>
      </w:r>
      <w:r w:rsidR="00F81221">
        <w:rPr>
          <w:i/>
          <w:iCs/>
        </w:rPr>
        <w:t xml:space="preserve"> and </w:t>
      </w:r>
      <w:r w:rsidRPr="00A428C3">
        <w:rPr>
          <w:i/>
          <w:iCs/>
        </w:rPr>
        <w:t>Health Psychology</w:t>
      </w:r>
      <w:r w:rsidRPr="00A428C3">
        <w:t xml:space="preserve">, </w:t>
      </w:r>
      <w:r w:rsidRPr="00A428C3">
        <w:rPr>
          <w:b/>
        </w:rPr>
        <w:t>6</w:t>
      </w:r>
      <w:r w:rsidRPr="00A428C3">
        <w:t xml:space="preserve"> (2), 401-424.</w:t>
      </w:r>
    </w:p>
    <w:p w:rsidR="00720644" w:rsidRPr="001A3D2B" w:rsidRDefault="00720644" w:rsidP="00720644">
      <w:pPr>
        <w:pStyle w:val="a0"/>
      </w:pPr>
      <w:r>
        <w:rPr>
          <w:rFonts w:hint="eastAsia"/>
        </w:rPr>
        <w:t xml:space="preserve">Full Text: </w:t>
      </w:r>
      <w:hyperlink r:id="rId1708" w:history="1">
        <w:r w:rsidRPr="00FF09FB">
          <w:rPr>
            <w:rStyle w:val="a5"/>
          </w:rPr>
          <w:t>2006\Int J Cli Hea Psy6, 401.pdf</w:t>
        </w:r>
      </w:hyperlink>
    </w:p>
    <w:p w:rsidR="00B95188" w:rsidRPr="00A428C3" w:rsidRDefault="00B95188" w:rsidP="00B95188">
      <w:pPr>
        <w:pStyle w:val="a0"/>
      </w:pPr>
      <w:r w:rsidRPr="00A428C3">
        <w:t>Abstract: In the last few years the ISI databases have become not only an essential instrument for information retrieval but, due to the bibliometric indicators they offer, they are also a basic tool for institutional, journal</w:t>
      </w:r>
      <w:r w:rsidR="00F81221">
        <w:t xml:space="preserve"> and </w:t>
      </w:r>
      <w:r w:rsidRPr="00A428C3">
        <w:t>researcher assessment in the majority of the world. These databases index the most productive</w:t>
      </w:r>
      <w:r w:rsidR="00F81221">
        <w:t xml:space="preserve"> and </w:t>
      </w:r>
      <w:r w:rsidRPr="00A428C3">
        <w:t>influential journals. For these reasons it is important to know the criteria employed by ISI in its journal selection process. The goal of this paper is to bring attention to these criteria, offer a methodological guide to help scientific journal editorial managers conform their publications to these criteria to improve their chances of being indexed by ISI. The ISI criteria can be structured on four main layers: basic journal standards (timeliness of publication, fully descriptive article, titles</w:t>
      </w:r>
      <w:r w:rsidR="00F81221">
        <w:t xml:space="preserve"> and </w:t>
      </w:r>
      <w:r w:rsidRPr="00A428C3">
        <w:t>abstracts, complete bibliographic information for all cited references, full address information for every author,</w:t>
      </w:r>
      <w:r w:rsidR="00F81221">
        <w:t xml:space="preserve"> and </w:t>
      </w:r>
      <w:r w:rsidRPr="00A428C3">
        <w:t>use of peer review); journal thematic coverage; international diversity (sponsorship, editorial team, authorship, references cited, journal audience, library</w:t>
      </w:r>
      <w:r w:rsidR="00F81221">
        <w:t xml:space="preserve"> and </w:t>
      </w:r>
      <w:r w:rsidRPr="00A428C3">
        <w:t>database presence);</w:t>
      </w:r>
      <w:r w:rsidR="00F81221">
        <w:t xml:space="preserve"> and </w:t>
      </w:r>
      <w:r w:rsidRPr="00A428C3">
        <w:t>citation analysis (international citation, journal impact, editorial board member impact</w:t>
      </w:r>
      <w:r w:rsidR="00F81221">
        <w:t xml:space="preserve"> and </w:t>
      </w:r>
      <w:r w:rsidRPr="00A428C3">
        <w:t>publishing author impact). Every one of these aspects is analyzed</w:t>
      </w:r>
      <w:r w:rsidR="00F81221">
        <w:t xml:space="preserve"> and </w:t>
      </w:r>
      <w:r w:rsidRPr="00A428C3">
        <w:t>the procedures for their testing</w:t>
      </w:r>
      <w:r w:rsidR="00F81221">
        <w:t xml:space="preserve"> and </w:t>
      </w:r>
      <w:r w:rsidRPr="00A428C3">
        <w:t>improvement if necessary are explained.</w:t>
      </w:r>
    </w:p>
    <w:p w:rsidR="00B95188" w:rsidRDefault="00B95188" w:rsidP="00B95188">
      <w:pPr>
        <w:pStyle w:val="a0"/>
      </w:pPr>
      <w:r w:rsidRPr="00A428C3">
        <w:t>Keywords: Analysis, Arts</w:t>
      </w:r>
      <w:r w:rsidR="00F81221">
        <w:t xml:space="preserve"> and </w:t>
      </w:r>
      <w:r w:rsidRPr="00A428C3">
        <w:t xml:space="preserve">Humanities Citation Index, Assessment, Attention, Authorship, Bibliometric, Bibliometric Indicators, Citation Analysis, Databases, Databases, Diversity, Errors, Evaluation, Goal, Impact, Index, Indicators, </w:t>
      </w:r>
      <w:r w:rsidRPr="00A428C3">
        <w:lastRenderedPageBreak/>
        <w:t>Information, Information Retrieval, Institute for Scientific Information, Instrument, ISI, Journal Citation Reports, Medicina-Clinica, Paper, Process, Publication, Publications, Publishing, Quality, Review, Science Citation Index, Selection, Social Science Citation Index, Spanish Scientific Journals, Standards, Team, Testing, Theoretical Study</w:t>
      </w:r>
    </w:p>
    <w:p w:rsidR="00F10CE2" w:rsidRDefault="00F10CE2" w:rsidP="00F10CE2">
      <w:pPr>
        <w:pStyle w:val="a0"/>
        <w:rPr>
          <w:kern w:val="0"/>
        </w:rPr>
      </w:pPr>
      <w:r>
        <w:rPr>
          <w:rFonts w:hint="eastAsia"/>
          <w:kern w:val="0"/>
        </w:rPr>
        <w:t xml:space="preserve">? </w:t>
      </w:r>
      <w:r>
        <w:rPr>
          <w:kern w:val="0"/>
        </w:rPr>
        <w:t>Zych, I.</w:t>
      </w:r>
      <w:r w:rsidR="00F81221">
        <w:rPr>
          <w:kern w:val="0"/>
        </w:rPr>
        <w:t xml:space="preserve"> and </w:t>
      </w:r>
      <w:r>
        <w:rPr>
          <w:kern w:val="0"/>
        </w:rPr>
        <w:t xml:space="preserve">Quevedo-Blasco, R. (2011), A decade of the </w:t>
      </w:r>
      <w:r>
        <w:rPr>
          <w:i/>
          <w:iCs/>
          <w:kern w:val="0"/>
        </w:rPr>
        <w:t>International Journal of Clinical</w:t>
      </w:r>
      <w:r w:rsidR="00F81221">
        <w:rPr>
          <w:i/>
          <w:iCs/>
          <w:kern w:val="0"/>
        </w:rPr>
        <w:t xml:space="preserve"> and </w:t>
      </w:r>
      <w:r>
        <w:rPr>
          <w:i/>
          <w:iCs/>
          <w:kern w:val="0"/>
        </w:rPr>
        <w:t>Health Psychology</w:t>
      </w:r>
      <w:r>
        <w:rPr>
          <w:kern w:val="0"/>
        </w:rPr>
        <w:t xml:space="preserve"> (2001-2010). </w:t>
      </w:r>
      <w:r>
        <w:rPr>
          <w:i/>
          <w:iCs/>
          <w:kern w:val="0"/>
        </w:rPr>
        <w:t>International Journal of Clinical</w:t>
      </w:r>
      <w:r w:rsidR="00F81221">
        <w:rPr>
          <w:i/>
          <w:iCs/>
          <w:kern w:val="0"/>
        </w:rPr>
        <w:t xml:space="preserve"> and </w:t>
      </w:r>
      <w:r>
        <w:rPr>
          <w:i/>
          <w:iCs/>
          <w:kern w:val="0"/>
        </w:rPr>
        <w:t>Health Psychology</w:t>
      </w:r>
      <w:r>
        <w:rPr>
          <w:kern w:val="0"/>
        </w:rPr>
        <w:t xml:space="preserve">, </w:t>
      </w:r>
      <w:r>
        <w:rPr>
          <w:b/>
          <w:bCs/>
          <w:kern w:val="0"/>
        </w:rPr>
        <w:t>11</w:t>
      </w:r>
      <w:r>
        <w:rPr>
          <w:kern w:val="0"/>
        </w:rPr>
        <w:t xml:space="preserve"> (3), 549-561.</w:t>
      </w:r>
    </w:p>
    <w:p w:rsidR="00F10CE2" w:rsidRPr="001A3D2B" w:rsidRDefault="00F10CE2" w:rsidP="00F10CE2">
      <w:pPr>
        <w:pStyle w:val="a0"/>
      </w:pPr>
      <w:r>
        <w:rPr>
          <w:rFonts w:hint="eastAsia"/>
        </w:rPr>
        <w:t xml:space="preserve">Full Text: </w:t>
      </w:r>
      <w:hyperlink r:id="rId1709" w:history="1">
        <w:r w:rsidRPr="001C0069">
          <w:rPr>
            <w:rStyle w:val="a5"/>
          </w:rPr>
          <w:t>2011\Int J Cli Hea Psy11, 549.pdf</w:t>
        </w:r>
      </w:hyperlink>
    </w:p>
    <w:p w:rsidR="00F10CE2" w:rsidRDefault="00F10CE2" w:rsidP="00F10CE2">
      <w:pPr>
        <w:pStyle w:val="a0"/>
        <w:rPr>
          <w:kern w:val="0"/>
        </w:rPr>
      </w:pPr>
      <w:r>
        <w:rPr>
          <w:kern w:val="0"/>
        </w:rPr>
        <w:t>Abstract: The International Journal of Clinical</w:t>
      </w:r>
      <w:r w:rsidR="00F81221">
        <w:rPr>
          <w:kern w:val="0"/>
        </w:rPr>
        <w:t xml:space="preserve"> and </w:t>
      </w:r>
      <w:r>
        <w:rPr>
          <w:kern w:val="0"/>
        </w:rPr>
        <w:t>Health Psychology was funded in 2001. It publishes three issues per year</w:t>
      </w:r>
      <w:r w:rsidR="00F81221">
        <w:rPr>
          <w:kern w:val="0"/>
        </w:rPr>
        <w:t xml:space="preserve"> and </w:t>
      </w:r>
      <w:r>
        <w:rPr>
          <w:kern w:val="0"/>
        </w:rPr>
        <w:t>its scope consists of promoting clinical</w:t>
      </w:r>
      <w:r w:rsidR="00F81221">
        <w:rPr>
          <w:kern w:val="0"/>
        </w:rPr>
        <w:t xml:space="preserve"> and </w:t>
      </w:r>
      <w:r>
        <w:rPr>
          <w:kern w:val="0"/>
        </w:rPr>
        <w:t>health psychology, focusing on the advancement of the science. The purpose of the current study consisted of conducting a bibliometric analysis of all the articles published between 2001</w:t>
      </w:r>
      <w:r w:rsidR="00F81221">
        <w:rPr>
          <w:kern w:val="0"/>
        </w:rPr>
        <w:t xml:space="preserve"> and </w:t>
      </w:r>
      <w:r>
        <w:rPr>
          <w:kern w:val="0"/>
        </w:rPr>
        <w:t>2010. Bibliometric studies are very useful to obtain information about journals</w:t>
      </w:r>
      <w:r w:rsidR="000352E7">
        <w:rPr>
          <w:kern w:val="0"/>
        </w:rPr>
        <w:t>’</w:t>
      </w:r>
      <w:r>
        <w:rPr>
          <w:kern w:val="0"/>
        </w:rPr>
        <w:t xml:space="preserve"> policies. They make possible gathering information on different parameters related to the articles. The analyzed data were the evolution of the articles throughout the ten years, languages of publication, percentages of articles per countries, collaboration among authors from different countries, authors, methods, topics, samples</w:t>
      </w:r>
      <w:r w:rsidR="00F81221">
        <w:rPr>
          <w:kern w:val="0"/>
        </w:rPr>
        <w:t xml:space="preserve"> and </w:t>
      </w:r>
      <w:r>
        <w:rPr>
          <w:kern w:val="0"/>
        </w:rPr>
        <w:t>numbers of citations. Results show that most of the documents are original articles, collaboration among authors from different countries is common</w:t>
      </w:r>
      <w:r w:rsidR="00F81221">
        <w:rPr>
          <w:kern w:val="0"/>
        </w:rPr>
        <w:t xml:space="preserve"> and </w:t>
      </w:r>
      <w:r>
        <w:rPr>
          <w:kern w:val="0"/>
        </w:rPr>
        <w:t>that the journal has published works of authors from 29 different countries. The highest percentages were found for ex post facto studies, works on test validation</w:t>
      </w:r>
      <w:r w:rsidR="00F81221">
        <w:rPr>
          <w:kern w:val="0"/>
        </w:rPr>
        <w:t xml:space="preserve"> and </w:t>
      </w:r>
      <w:r>
        <w:rPr>
          <w:kern w:val="0"/>
        </w:rPr>
        <w:t>adaptation</w:t>
      </w:r>
      <w:r w:rsidR="00F81221">
        <w:rPr>
          <w:kern w:val="0"/>
        </w:rPr>
        <w:t xml:space="preserve"> and </w:t>
      </w:r>
      <w:r>
        <w:rPr>
          <w:kern w:val="0"/>
        </w:rPr>
        <w:t>adult clinical samples. These results are in agreement with the journal</w:t>
      </w:r>
      <w:r w:rsidR="000352E7">
        <w:rPr>
          <w:kern w:val="0"/>
        </w:rPr>
        <w:t>’</w:t>
      </w:r>
      <w:r>
        <w:rPr>
          <w:kern w:val="0"/>
        </w:rPr>
        <w:t>s mission of promoting advancement in clinical</w:t>
      </w:r>
      <w:r w:rsidR="00F81221">
        <w:rPr>
          <w:kern w:val="0"/>
        </w:rPr>
        <w:t xml:space="preserve"> and </w:t>
      </w:r>
      <w:r>
        <w:rPr>
          <w:kern w:val="0"/>
        </w:rPr>
        <w:t>health psychology</w:t>
      </w:r>
      <w:r w:rsidR="00F81221">
        <w:rPr>
          <w:kern w:val="0"/>
        </w:rPr>
        <w:t xml:space="preserve"> and </w:t>
      </w:r>
      <w:r>
        <w:rPr>
          <w:kern w:val="0"/>
        </w:rPr>
        <w:t>show that it is a truly international journal.</w:t>
      </w:r>
    </w:p>
    <w:p w:rsidR="00F10CE2" w:rsidRDefault="00F10CE2" w:rsidP="00F10CE2">
      <w:pPr>
        <w:pStyle w:val="a0"/>
        <w:rPr>
          <w:kern w:val="0"/>
        </w:rPr>
      </w:pPr>
      <w:r>
        <w:rPr>
          <w:kern w:val="0"/>
        </w:rPr>
        <w:t>Keywords: Adaptation, Adult, Analysis, Authors, Bibliometric, Bibliometric Analysis, Bibliometric Studies, Citations, Classification, Clinical</w:t>
      </w:r>
      <w:r w:rsidR="00F81221">
        <w:rPr>
          <w:kern w:val="0"/>
        </w:rPr>
        <w:t xml:space="preserve"> and </w:t>
      </w:r>
      <w:r>
        <w:rPr>
          <w:kern w:val="0"/>
        </w:rPr>
        <w:t>Health Psychology, Collaboration, Criteria, Descriptive Study, Evolution, Health, Health Psychology, Index, Information, Journal, Journals, Policies, Professors, Psychology, Publication, Publications, Published Works, Quasi-Experimental Research, Science, Therapy, Topics, Transnational Analysis, Validation, Web</w:t>
      </w:r>
    </w:p>
    <w:p w:rsidR="00E16B2F" w:rsidRDefault="00E16B2F" w:rsidP="00E16B2F">
      <w:pPr>
        <w:pStyle w:val="1"/>
      </w:pPr>
      <w:r>
        <w:rPr>
          <w:b w:val="0"/>
          <w:bCs/>
          <w:iCs/>
        </w:rPr>
        <w:br w:type="page"/>
      </w:r>
      <w:bookmarkStart w:id="1263" w:name="_Toc317161273"/>
      <w:r>
        <w:lastRenderedPageBreak/>
        <w:t>Title: International Journal</w:t>
      </w:r>
      <w:r>
        <w:rPr>
          <w:iCs/>
        </w:rPr>
        <w:t xml:space="preserve"> of </w:t>
      </w:r>
      <w:r>
        <w:t>Clinical Pharmacy</w:t>
      </w:r>
      <w:bookmarkEnd w:id="1263"/>
    </w:p>
    <w:p w:rsidR="00E16B2F" w:rsidRDefault="00E16B2F" w:rsidP="00E16B2F">
      <w:pPr>
        <w:pStyle w:val="12"/>
        <w:rPr>
          <w:b/>
        </w:rPr>
      </w:pPr>
      <w:r>
        <w:t xml:space="preserve">Full Journal Title: </w:t>
      </w:r>
      <w:r>
        <w:rPr>
          <w:iCs/>
        </w:rPr>
        <w:t>International Journal of Clinical Pharmacy</w:t>
      </w:r>
    </w:p>
    <w:p w:rsidR="00E16B2F" w:rsidRDefault="00E16B2F" w:rsidP="00E16B2F">
      <w:pPr>
        <w:pStyle w:val="12"/>
      </w:pPr>
      <w:r>
        <w:t>ISO Abbreviated Title:</w:t>
      </w:r>
    </w:p>
    <w:p w:rsidR="00E16B2F" w:rsidRDefault="00E16B2F" w:rsidP="00E16B2F">
      <w:pPr>
        <w:pStyle w:val="12"/>
      </w:pPr>
      <w:r>
        <w:t xml:space="preserve">JCR Abbreviated Title: </w:t>
      </w:r>
    </w:p>
    <w:p w:rsidR="00E16B2F" w:rsidRDefault="00E16B2F" w:rsidP="00E16B2F">
      <w:pPr>
        <w:pStyle w:val="12"/>
      </w:pPr>
      <w:r>
        <w:t xml:space="preserve">ISSN: </w:t>
      </w:r>
    </w:p>
    <w:p w:rsidR="00E16B2F" w:rsidRDefault="00E16B2F" w:rsidP="00E16B2F">
      <w:pPr>
        <w:pStyle w:val="12"/>
      </w:pPr>
      <w:r>
        <w:t xml:space="preserve">Issues/Year: </w:t>
      </w:r>
    </w:p>
    <w:p w:rsidR="00E16B2F" w:rsidRDefault="00E16B2F" w:rsidP="00E16B2F">
      <w:pPr>
        <w:pStyle w:val="12"/>
      </w:pPr>
      <w:r>
        <w:t xml:space="preserve">Journal Country/Territory: </w:t>
      </w:r>
    </w:p>
    <w:p w:rsidR="00E16B2F" w:rsidRDefault="00E16B2F" w:rsidP="00E16B2F">
      <w:pPr>
        <w:pStyle w:val="12"/>
      </w:pPr>
      <w:r>
        <w:t xml:space="preserve">Language: </w:t>
      </w:r>
    </w:p>
    <w:p w:rsidR="00E16B2F" w:rsidRDefault="00E16B2F" w:rsidP="00E16B2F">
      <w:pPr>
        <w:pStyle w:val="12"/>
      </w:pPr>
      <w:r>
        <w:t xml:space="preserve">Publisher: </w:t>
      </w:r>
    </w:p>
    <w:p w:rsidR="00E16B2F" w:rsidRDefault="00E16B2F" w:rsidP="00E16B2F">
      <w:pPr>
        <w:pStyle w:val="12"/>
      </w:pPr>
      <w:r>
        <w:t xml:space="preserve">Publisher Address: </w:t>
      </w:r>
    </w:p>
    <w:p w:rsidR="00E16B2F" w:rsidRDefault="00E16B2F" w:rsidP="00E16B2F">
      <w:pPr>
        <w:pStyle w:val="12"/>
      </w:pPr>
      <w:r>
        <w:t>Subject Categories:</w:t>
      </w:r>
    </w:p>
    <w:p w:rsidR="00E16B2F" w:rsidRDefault="00E16B2F" w:rsidP="00E16B2F">
      <w:pPr>
        <w:pStyle w:val="12"/>
      </w:pPr>
      <w:r>
        <w:t>: Impact Factor</w:t>
      </w:r>
    </w:p>
    <w:p w:rsidR="00B1087A" w:rsidRDefault="00B1087A" w:rsidP="00B1087A">
      <w:pPr>
        <w:pStyle w:val="a0"/>
        <w:rPr>
          <w:kern w:val="0"/>
        </w:rPr>
      </w:pPr>
      <w:r>
        <w:rPr>
          <w:kern w:val="0"/>
        </w:rPr>
        <w:t>? Khoza, S.</w:t>
      </w:r>
      <w:r w:rsidR="00F81221">
        <w:rPr>
          <w:kern w:val="0"/>
        </w:rPr>
        <w:t xml:space="preserve"> and </w:t>
      </w:r>
      <w:r>
        <w:rPr>
          <w:kern w:val="0"/>
        </w:rPr>
        <w:t xml:space="preserve">Barner, J.C. (2011), Glucose dysregulation associated with antidepressant agents: An analysis of 17 published case reports. </w:t>
      </w:r>
      <w:r>
        <w:rPr>
          <w:i/>
          <w:iCs/>
          <w:kern w:val="0"/>
        </w:rPr>
        <w:t>International Journal of Clinical Pharmacy</w:t>
      </w:r>
      <w:r>
        <w:rPr>
          <w:kern w:val="0"/>
        </w:rPr>
        <w:t xml:space="preserve">, </w:t>
      </w:r>
      <w:r>
        <w:rPr>
          <w:b/>
          <w:bCs/>
          <w:kern w:val="0"/>
        </w:rPr>
        <w:t>33</w:t>
      </w:r>
      <w:r>
        <w:rPr>
          <w:kern w:val="0"/>
        </w:rPr>
        <w:t xml:space="preserve"> (3), 484-492.</w:t>
      </w:r>
    </w:p>
    <w:p w:rsidR="00B1087A" w:rsidRDefault="00B1087A" w:rsidP="00B1087A">
      <w:pPr>
        <w:pStyle w:val="a0"/>
        <w:rPr>
          <w:kern w:val="0"/>
        </w:rPr>
      </w:pPr>
      <w:r>
        <w:rPr>
          <w:kern w:val="0"/>
        </w:rPr>
        <w:t>Abstract: Aim of the review Although there are several case reports in literature linking use of antidepressants</w:t>
      </w:r>
      <w:r w:rsidR="00F81221">
        <w:rPr>
          <w:kern w:val="0"/>
        </w:rPr>
        <w:t xml:space="preserve"> and </w:t>
      </w:r>
      <w:r>
        <w:rPr>
          <w:kern w:val="0"/>
        </w:rPr>
        <w:t>disturbances in glucose control, it is difficult to identify risk factors for serious adverse drug events from individual case reports. The aim of this review is to provide a descriptive analysis of the demographic</w:t>
      </w:r>
      <w:r w:rsidR="00F81221">
        <w:rPr>
          <w:kern w:val="0"/>
        </w:rPr>
        <w:t xml:space="preserve"> and </w:t>
      </w:r>
      <w:r>
        <w:rPr>
          <w:kern w:val="0"/>
        </w:rPr>
        <w:t>clinical characteristics of published glucose dysregulation case reports following initiation of antidepressant agents. Methods Published case reports of glucose dysregulation associated with antidepressants were accessed through PUBMED (MEDLINE), PsycINFO,</w:t>
      </w:r>
      <w:r w:rsidR="00F81221">
        <w:rPr>
          <w:kern w:val="0"/>
        </w:rPr>
        <w:t xml:space="preserve"> and </w:t>
      </w:r>
      <w:r>
        <w:rPr>
          <w:kern w:val="0"/>
        </w:rPr>
        <w:t>Web of Science (WOS) between January 1, 1970</w:t>
      </w:r>
      <w:r w:rsidR="00F81221">
        <w:rPr>
          <w:kern w:val="0"/>
        </w:rPr>
        <w:t xml:space="preserve"> and </w:t>
      </w:r>
      <w:r>
        <w:rPr>
          <w:kern w:val="0"/>
        </w:rPr>
        <w:t>April 30, 2010. The following key words were used: Antidepressant agents, glucose dysregulation, hypoglycemia, hyperglycemia, diabetes mellitus,</w:t>
      </w:r>
      <w:r w:rsidR="00F81221">
        <w:rPr>
          <w:kern w:val="0"/>
        </w:rPr>
        <w:t xml:space="preserve"> and </w:t>
      </w:r>
      <w:r>
        <w:rPr>
          <w:kern w:val="0"/>
        </w:rPr>
        <w:t>diabetic ketoacidosis. Case reports were excluded if glucose dysregulation occurred after a drug overdose/improper dosing or after the patient was prescribed drugs known to cause glucose disturbances in addition to antidepressant agents. Results Out of the 17 cases reports reviewed, nine (53%) were of hyperglycemia while eight (47%) were of hypoglycemia. Hyperglycemia was reported following treatment with clomipramine, fluvoxamine, imipramine, mianserin, mirtazapine, paroxetine,</w:t>
      </w:r>
      <w:r w:rsidR="00F81221">
        <w:rPr>
          <w:kern w:val="0"/>
        </w:rPr>
        <w:t xml:space="preserve"> and </w:t>
      </w:r>
      <w:r>
        <w:rPr>
          <w:kern w:val="0"/>
        </w:rPr>
        <w:t>sertraline. Hypoglycemia was reported following treatment with doxepine, fluoxetine, imipramine, nefazodone, nortriptyline, maprotiline,</w:t>
      </w:r>
      <w:r w:rsidR="00F81221">
        <w:rPr>
          <w:kern w:val="0"/>
        </w:rPr>
        <w:t xml:space="preserve"> and </w:t>
      </w:r>
      <w:r>
        <w:rPr>
          <w:kern w:val="0"/>
        </w:rPr>
        <w:t xml:space="preserve">sertraline. Fourteen out of the seventeen patients were female (82%) while ten had a history of diabetes mellitus (59%). The average age of the patients was 53.9 (SD = 17.5) years (range: 24-84 years). The time to onset of glucose dysregulation ranged from 4 days to 5 months after initiation of antidepressant therapy. More than two-thirds (68%) of the cases (n </w:t>
      </w:r>
      <w:r>
        <w:rPr>
          <w:kern w:val="0"/>
        </w:rPr>
        <w:lastRenderedPageBreak/>
        <w:t>= 11) reported glucose control disturbances within 1 month of therapy. Conclusions It is not clear from published case reports whether changes in glucose regulation, following antidepressant therapy initiation are due to antidepressants or changes in mood</w:t>
      </w:r>
      <w:r w:rsidR="00F81221">
        <w:rPr>
          <w:kern w:val="0"/>
        </w:rPr>
        <w:t xml:space="preserve"> and </w:t>
      </w:r>
      <w:r>
        <w:rPr>
          <w:kern w:val="0"/>
        </w:rPr>
        <w:t>lifestyle. Nonetheless, healthcare providers should be aware of the potential changes in glucose regulation especially in the first month of antidepressant therapy,</w:t>
      </w:r>
      <w:r w:rsidR="00F81221">
        <w:rPr>
          <w:kern w:val="0"/>
        </w:rPr>
        <w:t xml:space="preserve"> and </w:t>
      </w:r>
      <w:r>
        <w:rPr>
          <w:kern w:val="0"/>
        </w:rPr>
        <w:t>use appropriate clinical</w:t>
      </w:r>
      <w:r w:rsidR="00F81221">
        <w:rPr>
          <w:kern w:val="0"/>
        </w:rPr>
        <w:t xml:space="preserve"> and </w:t>
      </w:r>
      <w:r>
        <w:rPr>
          <w:kern w:val="0"/>
        </w:rPr>
        <w:t>laboratory monitoring to prevent serious adverse events in patients at risk.</w:t>
      </w:r>
    </w:p>
    <w:p w:rsidR="00B1087A" w:rsidRDefault="00B1087A" w:rsidP="00B1087A">
      <w:pPr>
        <w:pStyle w:val="a0"/>
        <w:rPr>
          <w:kern w:val="0"/>
        </w:rPr>
      </w:pPr>
      <w:r>
        <w:rPr>
          <w:kern w:val="0"/>
        </w:rPr>
        <w:t>Keywords: Analysis, Antidepressant Agents, Antidepressants, Case Reports, Conscious Rat, Control, Depressive Disorder, Diabetes, Diabetes Mellitus, Diabetes-Mellitus, Drug, Glucose Control, Glucose Dysregulation, History, Hyperglycemia, Hypoglycemia, Increases Insulin Action, Induced Hyperglycemia, Induced Weight-Gain, Literature, Methods, Mirtazapine Therapy, Monitoring, Mood, Obese-Patients, Placebo-Controlled Trial, Pubmed, Review, Risk, Risk Factors, Science, Serotonin Reuptake Inhibitors, Therapy, Treatment, Web of Science</w:t>
      </w:r>
    </w:p>
    <w:p w:rsidR="00832A6C" w:rsidRDefault="00832A6C" w:rsidP="00832A6C">
      <w:pPr>
        <w:pStyle w:val="1"/>
      </w:pPr>
      <w:r>
        <w:rPr>
          <w:b w:val="0"/>
        </w:rPr>
        <w:br w:type="page"/>
      </w:r>
      <w:bookmarkStart w:id="1264" w:name="_Toc317161274"/>
      <w:r>
        <w:lastRenderedPageBreak/>
        <w:t>Title: International Journal</w:t>
      </w:r>
      <w:r>
        <w:rPr>
          <w:iCs/>
        </w:rPr>
        <w:t xml:space="preserve"> of </w:t>
      </w:r>
      <w:r>
        <w:t>Clinical Practice</w:t>
      </w:r>
      <w:bookmarkEnd w:id="1264"/>
    </w:p>
    <w:p w:rsidR="00832A6C" w:rsidRDefault="00832A6C" w:rsidP="00832A6C">
      <w:pPr>
        <w:pStyle w:val="12"/>
        <w:rPr>
          <w:b/>
        </w:rPr>
      </w:pPr>
      <w:r>
        <w:t xml:space="preserve">Full Journal Title: </w:t>
      </w:r>
      <w:r>
        <w:rPr>
          <w:iCs/>
        </w:rPr>
        <w:t>International Journal of Clinical Practice</w:t>
      </w:r>
    </w:p>
    <w:p w:rsidR="00832A6C" w:rsidRDefault="00832A6C" w:rsidP="00832A6C">
      <w:pPr>
        <w:pStyle w:val="12"/>
      </w:pPr>
      <w:r>
        <w:t>ISO Abbreviated Title:</w:t>
      </w:r>
    </w:p>
    <w:p w:rsidR="00832A6C" w:rsidRDefault="00832A6C" w:rsidP="00832A6C">
      <w:pPr>
        <w:pStyle w:val="12"/>
      </w:pPr>
      <w:r>
        <w:t xml:space="preserve">JCR Abbreviated Title: </w:t>
      </w:r>
    </w:p>
    <w:p w:rsidR="00832A6C" w:rsidRDefault="00832A6C" w:rsidP="00832A6C">
      <w:pPr>
        <w:pStyle w:val="12"/>
      </w:pPr>
      <w:r>
        <w:t xml:space="preserve">ISSN: </w:t>
      </w:r>
    </w:p>
    <w:p w:rsidR="00832A6C" w:rsidRDefault="00832A6C" w:rsidP="00832A6C">
      <w:pPr>
        <w:pStyle w:val="12"/>
      </w:pPr>
      <w:r>
        <w:t xml:space="preserve">Issues/Year: </w:t>
      </w:r>
    </w:p>
    <w:p w:rsidR="00832A6C" w:rsidRDefault="00832A6C" w:rsidP="00832A6C">
      <w:pPr>
        <w:pStyle w:val="12"/>
      </w:pPr>
      <w:r>
        <w:t xml:space="preserve">Journal Country/Territory: </w:t>
      </w:r>
    </w:p>
    <w:p w:rsidR="00832A6C" w:rsidRDefault="00832A6C" w:rsidP="00832A6C">
      <w:pPr>
        <w:pStyle w:val="12"/>
      </w:pPr>
      <w:r>
        <w:t xml:space="preserve">Language: </w:t>
      </w:r>
    </w:p>
    <w:p w:rsidR="00832A6C" w:rsidRDefault="00832A6C" w:rsidP="00832A6C">
      <w:pPr>
        <w:pStyle w:val="12"/>
      </w:pPr>
      <w:r>
        <w:t xml:space="preserve">Publisher: </w:t>
      </w:r>
    </w:p>
    <w:p w:rsidR="00832A6C" w:rsidRDefault="00832A6C" w:rsidP="00832A6C">
      <w:pPr>
        <w:pStyle w:val="12"/>
      </w:pPr>
      <w:r>
        <w:t xml:space="preserve">Publisher Address: </w:t>
      </w:r>
    </w:p>
    <w:p w:rsidR="00832A6C" w:rsidRDefault="00832A6C" w:rsidP="00832A6C">
      <w:pPr>
        <w:pStyle w:val="12"/>
      </w:pPr>
      <w:r>
        <w:t>Subject Categories:</w:t>
      </w:r>
    </w:p>
    <w:p w:rsidR="00832A6C" w:rsidRDefault="00832A6C" w:rsidP="00832A6C">
      <w:pPr>
        <w:pStyle w:val="12"/>
      </w:pPr>
      <w:r>
        <w:t>: Impact Factor</w:t>
      </w:r>
    </w:p>
    <w:p w:rsidR="00832A6C" w:rsidRDefault="00832A6C" w:rsidP="00832A6C">
      <w:pPr>
        <w:pStyle w:val="a0"/>
        <w:rPr>
          <w:kern w:val="0"/>
        </w:rPr>
      </w:pPr>
      <w:r>
        <w:rPr>
          <w:kern w:val="0"/>
        </w:rPr>
        <w:t>? Zhang, L., Zhang, L., Lu, Y., Wu, B., Zhang, S., Jiang, H., Ge, J.</w:t>
      </w:r>
      <w:r w:rsidR="00F81221">
        <w:rPr>
          <w:kern w:val="0"/>
        </w:rPr>
        <w:t xml:space="preserve"> and </w:t>
      </w:r>
      <w:r>
        <w:rPr>
          <w:kern w:val="0"/>
        </w:rPr>
        <w:t xml:space="preserve">Chen, H. (2011), Efficacy of statin pretreatment for the prevention of contrast-induced nephropathy: A meta-analysis of randomised controlled trials. </w:t>
      </w:r>
      <w:r>
        <w:rPr>
          <w:i/>
          <w:iCs/>
          <w:kern w:val="0"/>
        </w:rPr>
        <w:t>International Journal of Clinical Practice</w:t>
      </w:r>
      <w:r>
        <w:rPr>
          <w:kern w:val="0"/>
        </w:rPr>
        <w:t xml:space="preserve">, </w:t>
      </w:r>
      <w:r>
        <w:rPr>
          <w:b/>
          <w:bCs/>
          <w:kern w:val="0"/>
        </w:rPr>
        <w:t>65</w:t>
      </w:r>
      <w:r>
        <w:rPr>
          <w:kern w:val="0"/>
        </w:rPr>
        <w:t xml:space="preserve"> (5), 624-630.</w:t>
      </w:r>
    </w:p>
    <w:p w:rsidR="00832A6C" w:rsidRDefault="00832A6C" w:rsidP="00832A6C">
      <w:pPr>
        <w:pStyle w:val="a0"/>
        <w:rPr>
          <w:kern w:val="0"/>
        </w:rPr>
      </w:pPr>
      <w:r>
        <w:rPr>
          <w:kern w:val="0"/>
        </w:rPr>
        <w:t>Abstract: Contrast-induced nephropathy (CIN) is a common cause of acute kidney injury. Whether additional benefits can be achieved with the use of statin in decreasing the risk of CIN remains undetermined. The purpose of this meta-analysis is to evaluate the effects of statin pretreatment for the prevention of CIN. PUBMED, MEDLINE, Web of Science, EMBASE</w:t>
      </w:r>
      <w:r w:rsidR="00F81221">
        <w:rPr>
          <w:kern w:val="0"/>
        </w:rPr>
        <w:t xml:space="preserve"> and </w:t>
      </w:r>
      <w:r>
        <w:rPr>
          <w:kern w:val="0"/>
        </w:rPr>
        <w:t>EBM Reviews databases were searched for randomised controlled trials comparing statin pretreatment with non-statin pretreatment for the prevention of CIN. Two reviewers independently assessed studies</w:t>
      </w:r>
      <w:r w:rsidR="00F81221">
        <w:rPr>
          <w:kern w:val="0"/>
        </w:rPr>
        <w:t xml:space="preserve"> and </w:t>
      </w:r>
      <w:r>
        <w:rPr>
          <w:kern w:val="0"/>
        </w:rPr>
        <w:t>performed data extraction. Risk ratio (RR) or weighted mean differences (WMD) with 95% confidence intervals (CI) were calculated using random-effects models. Four trials with 751 subjects were included. Pooled analyses showed that the incidence of CIN was not significantly lower in statin pretreatment group, as compared with control group (RR = 0.76, 95% CI 0.44-1.29, p = 0.30). Similarly, none of 276 patients in statin pretreatment group needed renal replacement therapy (RRT), which was not significantly less than 2 of 275 patients assigned to control group during 1-month follow up (RR = 0.33, 95% CI 0.03-3.17, p = 0.34). Moreover, statin pretreatment was associated with mild reduction of serum creatinine (SCr) (WMD =) 0.06 mg /dl, 95% CI) 0.12 to 0.00 mg /dl, p = 0.05). The current cumulative evidence suggests that statin pretreatment may neither prevent CIN nor reduce the need for RRT. However, it may slightly decrease the level of SCr.</w:t>
      </w:r>
    </w:p>
    <w:p w:rsidR="00832A6C" w:rsidRDefault="00832A6C" w:rsidP="00832A6C">
      <w:pPr>
        <w:pStyle w:val="a0"/>
        <w:rPr>
          <w:kern w:val="0"/>
        </w:rPr>
      </w:pPr>
      <w:r>
        <w:rPr>
          <w:kern w:val="0"/>
        </w:rPr>
        <w:t xml:space="preserve">Keywords: Acute-Renal-Failure, Angiography, Atorvastatin, Confidence Intervals, Control, Databases, Dysfunction, Efficacy, Embase, Follow-Up, Heart-Failure, </w:t>
      </w:r>
      <w:r>
        <w:rPr>
          <w:kern w:val="0"/>
        </w:rPr>
        <w:lastRenderedPageBreak/>
        <w:t>Injury, Insufficiency, Medline, Meta-Analysis, Percutaneous Coronary Intervention, Prevention, Prognostic Implications, Pubmed, Ratio, Risk, Risk-Factors, Science, Sodium-Bicarbonate, Therapy, Web of Science</w:t>
      </w:r>
    </w:p>
    <w:p w:rsidR="00B95188" w:rsidRPr="00A428C3" w:rsidRDefault="00B95188" w:rsidP="00B95188">
      <w:pPr>
        <w:pStyle w:val="1"/>
      </w:pPr>
      <w:r w:rsidRPr="00A428C3">
        <w:br w:type="page"/>
      </w:r>
      <w:bookmarkStart w:id="1265" w:name="_Toc186647907"/>
      <w:bookmarkStart w:id="1266" w:name="_Toc317161275"/>
      <w:r w:rsidRPr="00A428C3">
        <w:lastRenderedPageBreak/>
        <w:t>Title: International Journal of Coal Geology</w:t>
      </w:r>
      <w:bookmarkEnd w:id="1265"/>
      <w:bookmarkEnd w:id="1266"/>
    </w:p>
    <w:p w:rsidR="00B95188" w:rsidRPr="00A428C3" w:rsidRDefault="00B95188" w:rsidP="00B72EF9">
      <w:pPr>
        <w:pStyle w:val="12"/>
      </w:pPr>
      <w:r w:rsidRPr="00A428C3">
        <w:t xml:space="preserve">Full Journal Title: </w:t>
      </w:r>
      <w:hyperlink r:id="rId1710" w:history="1">
        <w:r w:rsidRPr="00A428C3">
          <w:rPr>
            <w:rStyle w:val="a5"/>
          </w:rPr>
          <w:t>International Journal of Coal Geology</w:t>
        </w:r>
      </w:hyperlink>
    </w:p>
    <w:p w:rsidR="00B95188" w:rsidRPr="00A428C3" w:rsidRDefault="00B95188" w:rsidP="00B72EF9">
      <w:pPr>
        <w:pStyle w:val="12"/>
      </w:pPr>
      <w:r w:rsidRPr="00A428C3">
        <w:t>ISO Abbreviated Title: Int. J. Coal. Geol.</w:t>
      </w:r>
    </w:p>
    <w:p w:rsidR="00B95188" w:rsidRPr="00A428C3" w:rsidRDefault="00B95188" w:rsidP="00B72EF9">
      <w:pPr>
        <w:pStyle w:val="12"/>
      </w:pPr>
      <w:r w:rsidRPr="00A428C3">
        <w:t>JCR Abbreviated Title: Int J Coal Geol</w:t>
      </w:r>
    </w:p>
    <w:p w:rsidR="00B95188" w:rsidRPr="00A428C3" w:rsidRDefault="00B95188" w:rsidP="00B72EF9">
      <w:pPr>
        <w:pStyle w:val="12"/>
      </w:pPr>
      <w:r w:rsidRPr="00A428C3">
        <w:t>ISSN: 0166-5162</w:t>
      </w:r>
    </w:p>
    <w:p w:rsidR="00B95188" w:rsidRPr="00A428C3" w:rsidRDefault="00B95188" w:rsidP="00B72EF9">
      <w:pPr>
        <w:pStyle w:val="12"/>
      </w:pPr>
      <w:r w:rsidRPr="00A428C3">
        <w:t>Issues/Year: 10</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Energy &amp; Fuels:</w:t>
      </w:r>
      <w:r w:rsidRPr="00A428C3">
        <w:rPr>
          <w:color w:val="008000"/>
        </w:rPr>
        <w:t xml:space="preserve"> Impact Factor</w:t>
      </w:r>
    </w:p>
    <w:p w:rsidR="00B95188" w:rsidRPr="00A428C3" w:rsidRDefault="00B95188" w:rsidP="00B72EF9">
      <w:pPr>
        <w:pStyle w:val="12"/>
      </w:pPr>
      <w:r w:rsidRPr="00A428C3">
        <w:t>Geosciences, Multidisciplinary:</w:t>
      </w:r>
      <w:r w:rsidRPr="00A428C3">
        <w:rPr>
          <w:color w:val="008000"/>
        </w:rPr>
        <w:t xml:space="preserve"> Impact Factor</w:t>
      </w:r>
    </w:p>
    <w:p w:rsidR="00B95188" w:rsidRPr="00A428C3" w:rsidRDefault="00B95188" w:rsidP="00B95188">
      <w:pPr>
        <w:pStyle w:val="a0"/>
      </w:pPr>
      <w:r w:rsidRPr="00A428C3">
        <w:t xml:space="preserve">Mahaffy, J.F. (1988), Vegetational history of the </w:t>
      </w:r>
      <w:smartTag w:uri="urn:schemas-microsoft-com:office:smarttags" w:element="place">
        <w:smartTag w:uri="urn:schemas-microsoft-com:office:smarttags" w:element="City">
          <w:r w:rsidRPr="00A428C3">
            <w:t>Springfield</w:t>
          </w:r>
        </w:smartTag>
      </w:smartTag>
      <w:r w:rsidRPr="00A428C3">
        <w:t xml:space="preserve"> coal (middle Pennsylvanian of Illinois)</w:t>
      </w:r>
      <w:r w:rsidR="00F81221">
        <w:t xml:space="preserve"> and </w:t>
      </w:r>
      <w:r w:rsidRPr="00A428C3">
        <w:t xml:space="preserve">distribution patterns of a tree-fern Miospore, </w:t>
      </w:r>
      <w:r w:rsidRPr="00A428C3">
        <w:rPr>
          <w:i/>
          <w:iCs/>
        </w:rPr>
        <w:t>Thymospora pseudothiessenii</w:t>
      </w:r>
      <w:r w:rsidRPr="00A428C3">
        <w:t xml:space="preserve">, based on Miospore profiles. </w:t>
      </w:r>
      <w:r w:rsidRPr="00A428C3">
        <w:rPr>
          <w:i/>
          <w:iCs/>
        </w:rPr>
        <w:t>International Journal of Coal Geology</w:t>
      </w:r>
      <w:r w:rsidRPr="00A428C3">
        <w:t xml:space="preserve">, </w:t>
      </w:r>
      <w:r w:rsidRPr="00A428C3">
        <w:rPr>
          <w:b/>
        </w:rPr>
        <w:t>10</w:t>
      </w:r>
      <w:r w:rsidRPr="00A428C3">
        <w:t xml:space="preserve"> (3), 239-260.</w:t>
      </w:r>
    </w:p>
    <w:p w:rsidR="00B95188" w:rsidRPr="00A428C3" w:rsidRDefault="00B95188" w:rsidP="00B95188">
      <w:pPr>
        <w:pStyle w:val="a0"/>
      </w:pPr>
      <w:r w:rsidRPr="00A428C3">
        <w:t xml:space="preserve">Full Text: </w:t>
      </w:r>
      <w:hyperlink r:id="rId1711" w:history="1">
        <w:r w:rsidRPr="00A428C3">
          <w:rPr>
            <w:rStyle w:val="a5"/>
          </w:rPr>
          <w:t>I\Int J Coa Geo10, 239.pdf</w:t>
        </w:r>
      </w:hyperlink>
    </w:p>
    <w:p w:rsidR="00B95188" w:rsidRPr="00A428C3" w:rsidRDefault="00B95188" w:rsidP="00B95188">
      <w:pPr>
        <w:pStyle w:val="a0"/>
      </w:pPr>
      <w:r w:rsidRPr="00A428C3">
        <w:t xml:space="preserve">Abstract: The vegetational history of the </w:t>
      </w:r>
      <w:smartTag w:uri="urn:schemas-microsoft-com:office:smarttags" w:element="City">
        <w:r w:rsidRPr="00A428C3">
          <w:t>Springfield</w:t>
        </w:r>
      </w:smartTag>
      <w:r w:rsidRPr="00A428C3">
        <w:t xml:space="preserve"> (No. 5) Coal Member in the southwestern</w:t>
      </w:r>
      <w:r w:rsidR="00F81221">
        <w:t xml:space="preserve"> and </w:t>
      </w:r>
      <w:r w:rsidRPr="00A428C3">
        <w:t xml:space="preserve">southeasternmost portion of the </w:t>
      </w:r>
      <w:smartTag w:uri="urn:schemas-microsoft-com:office:smarttags" w:element="place">
        <w:smartTag w:uri="urn:schemas-microsoft-com:office:smarttags" w:element="PlaceName">
          <w:r w:rsidRPr="00A428C3">
            <w:t>Illinois</w:t>
          </w:r>
        </w:smartTag>
        <w:r w:rsidRPr="00A428C3">
          <w:t xml:space="preserve"> </w:t>
        </w:r>
        <w:smartTag w:uri="urn:schemas-microsoft-com:office:smarttags" w:element="PlaceType">
          <w:r w:rsidRPr="00A428C3">
            <w:t>Basin</w:t>
          </w:r>
        </w:smartTag>
      </w:smartTag>
      <w:r w:rsidRPr="00A428C3">
        <w:t xml:space="preserve"> is reconstructed from palynological profiles of the coal seam. In most parts of the swamp dominance was shared by arborescent lycopods that produced </w:t>
      </w:r>
      <w:r w:rsidRPr="00A428C3">
        <w:rPr>
          <w:i/>
          <w:iCs/>
        </w:rPr>
        <w:t>Lycospora granulata</w:t>
      </w:r>
      <w:r w:rsidRPr="00A428C3">
        <w:t>,</w:t>
      </w:r>
      <w:r w:rsidR="00F81221">
        <w:t xml:space="preserve"> and </w:t>
      </w:r>
      <w:r w:rsidRPr="00A428C3">
        <w:t xml:space="preserve">two tree ferns that produced </w:t>
      </w:r>
      <w:r w:rsidRPr="00A428C3">
        <w:rPr>
          <w:i/>
          <w:iCs/>
        </w:rPr>
        <w:t>Thymospora pseudothiessenii</w:t>
      </w:r>
      <w:r w:rsidR="00F81221">
        <w:t xml:space="preserve"> and </w:t>
      </w:r>
      <w:r w:rsidRPr="00A428C3">
        <w:rPr>
          <w:i/>
          <w:iCs/>
        </w:rPr>
        <w:t>Laevigatosporites globosus</w:t>
      </w:r>
      <w:r w:rsidRPr="00A428C3">
        <w:t xml:space="preserve">. The profiles suggest that populations of the </w:t>
      </w:r>
      <w:r w:rsidRPr="00A428C3">
        <w:rPr>
          <w:i/>
          <w:iCs/>
        </w:rPr>
        <w:t>Thymospora</w:t>
      </w:r>
      <w:r w:rsidRPr="00A428C3">
        <w:t xml:space="preserve"> producing tree fern occupied sites for long periods. In the Southwestern portion of the basin vegetation changes can be correlated to the splitting of a coal in the proximity to a paleochannel. A greater understanding of the ecological requirements of some of the spore taxa of the Springfield Coal is seen by the patterns of the same taxa in surrounding Spoon</w:t>
      </w:r>
      <w:r w:rsidR="00F81221">
        <w:t xml:space="preserve"> and </w:t>
      </w:r>
      <w:r w:rsidRPr="00A428C3">
        <w:t>Carbondale Coals. Some taxa appear to be more generalists</w:t>
      </w:r>
      <w:r w:rsidR="00F81221">
        <w:t xml:space="preserve"> and </w:t>
      </w:r>
      <w:r w:rsidRPr="00A428C3">
        <w:t>other more specialists that are more restricted to a certain type of coal.</w:t>
      </w:r>
    </w:p>
    <w:p w:rsidR="00B95188" w:rsidRPr="00A428C3" w:rsidRDefault="00B95188" w:rsidP="00B95188">
      <w:pPr>
        <w:pStyle w:val="a0"/>
      </w:pPr>
      <w:r w:rsidRPr="00A428C3">
        <w:t>Cross, A.T.</w:t>
      </w:r>
      <w:r w:rsidR="00F81221">
        <w:t xml:space="preserve"> and </w:t>
      </w:r>
      <w:r w:rsidRPr="00A428C3">
        <w:t xml:space="preserve">Phillips, T.L. (1990), Coal-forming plants through time in North-America. </w:t>
      </w:r>
      <w:r w:rsidRPr="00A428C3">
        <w:rPr>
          <w:i/>
          <w:iCs/>
        </w:rPr>
        <w:t>International Journal of Coal Geology</w:t>
      </w:r>
      <w:r w:rsidRPr="00A428C3">
        <w:t xml:space="preserve">, </w:t>
      </w:r>
      <w:r w:rsidRPr="00A428C3">
        <w:rPr>
          <w:b/>
        </w:rPr>
        <w:t>16</w:t>
      </w:r>
      <w:r w:rsidRPr="00A428C3">
        <w:t xml:space="preserve"> (1-3), 1-46.</w:t>
      </w:r>
    </w:p>
    <w:p w:rsidR="00B95188" w:rsidRPr="00A428C3" w:rsidRDefault="00B95188" w:rsidP="00B95188">
      <w:pPr>
        <w:pStyle w:val="a0"/>
      </w:pPr>
      <w:r w:rsidRPr="00A428C3">
        <w:t xml:space="preserve">Full Text: </w:t>
      </w:r>
      <w:hyperlink r:id="rId1712" w:history="1">
        <w:r w:rsidRPr="00A428C3">
          <w:rPr>
            <w:rStyle w:val="a5"/>
          </w:rPr>
          <w:t>I\Int J Coa Geo16, 1.pdf</w:t>
        </w:r>
      </w:hyperlink>
    </w:p>
    <w:p w:rsidR="00B95188" w:rsidRPr="00A428C3" w:rsidRDefault="00B95188" w:rsidP="00B95188">
      <w:pPr>
        <w:pStyle w:val="a0"/>
      </w:pPr>
      <w:r w:rsidRPr="00A428C3">
        <w:t xml:space="preserve">Abstract: Economically important coals of </w:t>
      </w:r>
      <w:smartTag w:uri="urn:schemas-microsoft-com:office:smarttags" w:element="place">
        <w:r w:rsidRPr="00A428C3">
          <w:t>North America</w:t>
        </w:r>
      </w:smartTag>
      <w:r w:rsidRPr="00A428C3">
        <w:t xml:space="preserve"> were formed principally from autochthonous peats of freshwater swamps. North American coals of different ages are generally characterized by different dominant swamp trees or occasionally by shrubs or herbs. Carbonized compressions</w:t>
      </w:r>
      <w:r w:rsidR="00F81221">
        <w:t xml:space="preserve"> and </w:t>
      </w:r>
      <w:r w:rsidRPr="00A428C3">
        <w:t xml:space="preserve">permineralized or vitrinized tissues </w:t>
      </w:r>
      <w:r w:rsidRPr="00A428C3">
        <w:lastRenderedPageBreak/>
        <w:t>within the coal, well-preserved plants in coal-ball concretions,</w:t>
      </w:r>
      <w:r w:rsidR="00F81221">
        <w:t xml:space="preserve"> and </w:t>
      </w:r>
      <w:r w:rsidRPr="00A428C3">
        <w:t>microfossils (cuticles, spores, pollen, resins</w:t>
      </w:r>
      <w:r w:rsidR="00F81221">
        <w:t xml:space="preserve"> and </w:t>
      </w:r>
      <w:r w:rsidRPr="00A428C3">
        <w:t>other identifiable plant detritus), all contribute to identification of plants that formed coal.</w:t>
      </w:r>
    </w:p>
    <w:p w:rsidR="00B95188" w:rsidRPr="00A428C3" w:rsidRDefault="00B95188" w:rsidP="00B95188">
      <w:pPr>
        <w:pStyle w:val="a0"/>
      </w:pPr>
      <w:r w:rsidRPr="00A428C3">
        <w:t>Of principal importance in coal formation are vascular plants. Interaction of bacteria</w:t>
      </w:r>
      <w:r w:rsidR="00F81221">
        <w:t xml:space="preserve"> and </w:t>
      </w:r>
      <w:r w:rsidRPr="00A428C3">
        <w:t>fungi have been important in degradation of peat to form most humic (banded) coals dominated by tissues</w:t>
      </w:r>
      <w:r w:rsidR="00F81221">
        <w:t xml:space="preserve"> and </w:t>
      </w:r>
      <w:r w:rsidRPr="00A428C3">
        <w:t>organs of vascular plants. Their alteration products</w:t>
      </w:r>
      <w:r w:rsidR="00F81221">
        <w:t xml:space="preserve"> and </w:t>
      </w:r>
      <w:r w:rsidRPr="00A428C3">
        <w:t>algae constitute significant amounts, by volume, of some coals, particularly sapropelic, canneloid</w:t>
      </w:r>
      <w:r w:rsidR="00F81221">
        <w:t xml:space="preserve"> and </w:t>
      </w:r>
      <w:r w:rsidRPr="00A428C3">
        <w:t>boghead layers. Algae have contributed to some singular coal accumulations locally, one as early as Precambrian.</w:t>
      </w:r>
    </w:p>
    <w:p w:rsidR="00B95188" w:rsidRPr="00A428C3" w:rsidRDefault="00B95188" w:rsidP="00B95188">
      <w:pPr>
        <w:pStyle w:val="a0"/>
      </w:pPr>
      <w:r w:rsidRPr="00A428C3">
        <w:t>Compression floras from clastic sediments proximal to coal, or included in clastic partings, may or may not represent peat-swamp plants that formed coals. This needs to be corroborated by fossils from within the coal. Roof-shale floras occasionally indicate coal-bed plant assemblages, but more often, they represent different environments or habitats in which organic-rich mudstones or carbonaceous shales, but not economic coals, might have accumulated.</w:t>
      </w:r>
    </w:p>
    <w:p w:rsidR="00B95188" w:rsidRPr="00A428C3" w:rsidRDefault="00B95188" w:rsidP="00B95188">
      <w:pPr>
        <w:pStyle w:val="a0"/>
      </w:pPr>
      <w:r w:rsidRPr="00A428C3">
        <w:t>Identification of plants comprising floras of coals</w:t>
      </w:r>
      <w:r w:rsidR="00F81221">
        <w:t xml:space="preserve"> and </w:t>
      </w:r>
      <w:r w:rsidRPr="00A428C3">
        <w:t>associated rocks of any age presents difficulties according to kinds of plants</w:t>
      </w:r>
      <w:r w:rsidR="00F81221">
        <w:t xml:space="preserve"> and </w:t>
      </w:r>
      <w:r w:rsidRPr="00A428C3">
        <w:t>plant parts present, preservational states, etc. Most peat-swamp plants represent atypical terrestrial communities adapted to hydrologically influenced succession, in habitats of low pH</w:t>
      </w:r>
      <w:r w:rsidR="00F81221">
        <w:t xml:space="preserve"> and </w:t>
      </w:r>
      <w:r w:rsidRPr="00A428C3">
        <w:t>low nutrient availability. Such communities are constituted of a comparatively limited inventory of tree, shrub</w:t>
      </w:r>
      <w:r w:rsidR="00F81221">
        <w:t xml:space="preserve"> and </w:t>
      </w:r>
      <w:r w:rsidRPr="00A428C3">
        <w:t>herb types, generally widely distributed within coal-forming peat-swamp habitats, often occurring repetitiously for long periods of time, in coal-bearing strata.</w:t>
      </w:r>
    </w:p>
    <w:p w:rsidR="00B95188" w:rsidRPr="00A428C3" w:rsidRDefault="00B95188" w:rsidP="00B95188">
      <w:pPr>
        <w:pStyle w:val="a0"/>
      </w:pPr>
      <w:r w:rsidRPr="00A428C3">
        <w:t xml:space="preserve">Floras of localized coal seams of Late Devonian to Late Mississippian age are generally dominated by fossil remains of lycopods. Floras in locally developed, thin, Middle to Late Devonian coals of </w:t>
      </w:r>
      <w:smartTag w:uri="urn:schemas-microsoft-com:office:smarttags" w:element="place">
        <w:smartTag w:uri="urn:schemas-microsoft-com:office:smarttags" w:element="State">
          <w:r w:rsidRPr="00A428C3">
            <w:t>Northwest Territories</w:t>
          </w:r>
        </w:smartTag>
      </w:smartTag>
      <w:r w:rsidRPr="00A428C3">
        <w:t xml:space="preserve"> are dominated by lycopod spores. A thin Late Devonian coal in </w:t>
      </w:r>
      <w:smartTag w:uri="urn:schemas-microsoft-com:office:smarttags" w:element="place">
        <w:smartTag w:uri="urn:schemas-microsoft-com:office:smarttags" w:element="State">
          <w:r w:rsidRPr="00A428C3">
            <w:t>West Virginia</w:t>
          </w:r>
        </w:smartTag>
      </w:smartTag>
      <w:r w:rsidRPr="00A428C3">
        <w:t xml:space="preserve"> also contains meager lycopod debris transported from near-swamp habitats, but the coal is dominated by plant material from a scrambling, fern-like shrub.</w:t>
      </w:r>
    </w:p>
    <w:p w:rsidR="00B95188" w:rsidRPr="00A428C3" w:rsidRDefault="00B95188" w:rsidP="00B95188">
      <w:pPr>
        <w:pStyle w:val="a0"/>
      </w:pPr>
      <w:r w:rsidRPr="00A428C3">
        <w:t>Five major kinds of tropical to subtropical trees contributed to the peats that formed the principal Pennsylvanian coal beds: lycopods, tree ferns, calamites, seed ferns</w:t>
      </w:r>
      <w:r w:rsidR="00F81221">
        <w:t xml:space="preserve"> and </w:t>
      </w:r>
      <w:r w:rsidRPr="00A428C3">
        <w:t>cordaites. The extensive diversity in the architectural framework of stems (combinations of supporting or strengthening tissues),</w:t>
      </w:r>
      <w:r w:rsidR="00F81221">
        <w:t xml:space="preserve"> and </w:t>
      </w:r>
      <w:r w:rsidRPr="00A428C3">
        <w:t>the nature of the wood, bark or fibrous tissues in stem</w:t>
      </w:r>
      <w:r w:rsidR="00F81221">
        <w:t xml:space="preserve"> and </w:t>
      </w:r>
      <w:r w:rsidRPr="00A428C3">
        <w:t>root systems of these plants, greatly modified the role of each in contributing mass to the peat accumulation</w:t>
      </w:r>
      <w:r w:rsidR="00F81221">
        <w:t xml:space="preserve"> and </w:t>
      </w:r>
      <w:r w:rsidRPr="00A428C3">
        <w:t>ultimately to the remaining volume of each in coal. Coal-ball studies have demonstrated that the peat was comprised of much bark</w:t>
      </w:r>
      <w:r w:rsidR="00F81221">
        <w:t xml:space="preserve"> and </w:t>
      </w:r>
      <w:r w:rsidRPr="00A428C3">
        <w:t>root material when the coal flora was dominated by lycopods, or of roots</w:t>
      </w:r>
      <w:r w:rsidR="00F81221">
        <w:t xml:space="preserve"> and </w:t>
      </w:r>
      <w:r w:rsidRPr="00A428C3">
        <w:t xml:space="preserve">some foliage when dominated by tree ferns. Wood was a relatively minor component of the biomass constituting the peat except in swamps </w:t>
      </w:r>
      <w:r w:rsidRPr="00A428C3">
        <w:lastRenderedPageBreak/>
        <w:t>with abundant cordaites or calamites. Pennsylvanian peat swamps were dominated successively by several types of lycopod trees</w:t>
      </w:r>
      <w:r w:rsidR="00F81221">
        <w:t xml:space="preserve"> and </w:t>
      </w:r>
      <w:r w:rsidRPr="00A428C3">
        <w:t>later by tree ferns, following the extinction of many lycopods.</w:t>
      </w:r>
    </w:p>
    <w:p w:rsidR="00B95188" w:rsidRPr="00A428C3" w:rsidRDefault="00B95188" w:rsidP="00B95188">
      <w:pPr>
        <w:pStyle w:val="a0"/>
      </w:pPr>
      <w:r w:rsidRPr="00A428C3">
        <w:t xml:space="preserve">Early Permian coal floras of the </w:t>
      </w:r>
      <w:smartTag w:uri="urn:schemas-microsoft-com:office:smarttags" w:element="place">
        <w:r w:rsidRPr="00A428C3">
          <w:t>Appalachians</w:t>
        </w:r>
      </w:smartTag>
      <w:r w:rsidRPr="00A428C3">
        <w:t xml:space="preserve"> represent a waning of tree-fern-dominated Late Pennsylvanian floras with minor elements of callipterids</w:t>
      </w:r>
      <w:r w:rsidR="00F81221">
        <w:t xml:space="preserve"> and </w:t>
      </w:r>
      <w:r w:rsidRPr="00A428C3">
        <w:t xml:space="preserve">conifers. In the southwest </w:t>
      </w:r>
      <w:smartTag w:uri="urn:schemas-microsoft-com:office:smarttags" w:element="place">
        <w:smartTag w:uri="urn:schemas-microsoft-com:office:smarttags" w:element="country-region">
          <w:r w:rsidRPr="00A428C3">
            <w:t>U.S.A.</w:t>
          </w:r>
        </w:smartTag>
      </w:smartTag>
      <w:r w:rsidRPr="00A428C3">
        <w:t>, the Early Permian coal floras are present only in the gigantopterid province. Those coals contain significant ferns, seed ferns, lycopods</w:t>
      </w:r>
      <w:r w:rsidR="00F81221">
        <w:t xml:space="preserve"> and </w:t>
      </w:r>
      <w:r w:rsidRPr="00A428C3">
        <w:t>conifers. Late Triassic floras in coals of the Atlantic margin rift basins are dominated by cycadophytes</w:t>
      </w:r>
      <w:r w:rsidR="00F81221">
        <w:t xml:space="preserve"> and </w:t>
      </w:r>
      <w:r w:rsidRPr="00A428C3">
        <w:t xml:space="preserve">ferns. The palynofloras of these coal beds demonstrate close relationship of these strata with those in the High Atlas, </w:t>
      </w:r>
      <w:smartTag w:uri="urn:schemas-microsoft-com:office:smarttags" w:element="place">
        <w:smartTag w:uri="urn:schemas-microsoft-com:office:smarttags" w:element="country-region">
          <w:r w:rsidRPr="00A428C3">
            <w:t>Morocco</w:t>
          </w:r>
        </w:smartTag>
      </w:smartTag>
      <w:r w:rsidRPr="00A428C3">
        <w:t xml:space="preserve">. Mid-Jurassic coals of </w:t>
      </w:r>
      <w:smartTag w:uri="urn:schemas-microsoft-com:office:smarttags" w:element="place">
        <w:smartTag w:uri="urn:schemas-microsoft-com:office:smarttags" w:element="City">
          <w:r w:rsidRPr="00A428C3">
            <w:t>Oaxaca</w:t>
          </w:r>
        </w:smartTag>
        <w:r w:rsidRPr="00A428C3">
          <w:t xml:space="preserve">, </w:t>
        </w:r>
        <w:smartTag w:uri="urn:schemas-microsoft-com:office:smarttags" w:element="country-region">
          <w:r w:rsidRPr="00A428C3">
            <w:t>Mexico</w:t>
          </w:r>
        </w:smartTag>
      </w:smartTag>
      <w:r w:rsidRPr="00A428C3">
        <w:t>, are characterized by cycadeoids</w:t>
      </w:r>
      <w:r w:rsidR="00F81221">
        <w:t xml:space="preserve"> and </w:t>
      </w:r>
      <w:r w:rsidRPr="00A428C3">
        <w:t>a glossopterid</w:t>
      </w:r>
      <w:r w:rsidR="00F81221">
        <w:t xml:space="preserve"> and </w:t>
      </w:r>
      <w:r w:rsidRPr="00A428C3">
        <w:t>lack conifers</w:t>
      </w:r>
      <w:r w:rsidR="00F81221">
        <w:t xml:space="preserve"> and </w:t>
      </w:r>
      <w:r w:rsidRPr="00A428C3">
        <w:t>ginkgophytes. Late Jurassic coal floras of the Canadian</w:t>
      </w:r>
      <w:r w:rsidR="00F81221">
        <w:t xml:space="preserve"> and </w:t>
      </w:r>
      <w:r w:rsidRPr="00A428C3">
        <w:t>American Rocky Mountains are dominated by cycadophytes, with ferns, conifers</w:t>
      </w:r>
      <w:r w:rsidR="00F81221">
        <w:t xml:space="preserve"> and </w:t>
      </w:r>
      <w:r w:rsidRPr="00A428C3">
        <w:t>ginkgophytes, in descending importance. Early Cretaceous coal floras are exemplified by the Kootenai Formation of Montana</w:t>
      </w:r>
      <w:r w:rsidR="00F81221">
        <w:t xml:space="preserve"> and </w:t>
      </w:r>
      <w:r w:rsidRPr="00A428C3">
        <w:t>equivalents in Alberta</w:t>
      </w:r>
      <w:r w:rsidR="00F81221">
        <w:t xml:space="preserve"> and </w:t>
      </w:r>
      <w:r w:rsidRPr="00A428C3">
        <w:t>Saskatchewan. Great floral diversity characterizes these with several conifers present (Taxodiaceae, Elatocladus</w:t>
      </w:r>
      <w:r w:rsidR="00F81221">
        <w:t xml:space="preserve"> and </w:t>
      </w:r>
      <w:r w:rsidRPr="00A428C3">
        <w:t>Arthrotaxites) that were absent from the Morrison Formation below. These represent delta-plain swamps of temperate climate. Many ferns, pteridosperms</w:t>
      </w:r>
      <w:r w:rsidR="00F81221">
        <w:t xml:space="preserve"> and </w:t>
      </w:r>
      <w:r w:rsidRPr="00A428C3">
        <w:t>bryophytes are present, but cycadophytes</w:t>
      </w:r>
      <w:r w:rsidR="00F81221">
        <w:t xml:space="preserve"> and </w:t>
      </w:r>
      <w:r w:rsidRPr="00A428C3">
        <w:t>ginkgophytes are limited.</w:t>
      </w:r>
    </w:p>
    <w:p w:rsidR="00B95188" w:rsidRPr="00A428C3" w:rsidRDefault="00B95188" w:rsidP="00B95188">
      <w:pPr>
        <w:pStyle w:val="a0"/>
      </w:pPr>
      <w:r w:rsidRPr="00A428C3">
        <w:t>Late Cretaceous</w:t>
      </w:r>
      <w:r w:rsidR="00F81221">
        <w:t xml:space="preserve"> and </w:t>
      </w:r>
      <w:r w:rsidRPr="00A428C3">
        <w:t>Tertiary swamps were first dominated by woody conifers</w:t>
      </w:r>
      <w:r w:rsidR="00F81221">
        <w:t xml:space="preserve"> and </w:t>
      </w:r>
      <w:r w:rsidRPr="00A428C3">
        <w:t>later by mixtures of conifers</w:t>
      </w:r>
      <w:r w:rsidR="00F81221">
        <w:t xml:space="preserve"> and </w:t>
      </w:r>
      <w:r w:rsidRPr="00A428C3">
        <w:t>dicots, depending on paleolatitude. Wood, including that of root systems, was a major peat component. Generic diversity in peat swamps increased markedly with Late Cretaceous evolution of flowering plants. The Late Cretaceous is characterized in the Rocky Mountains</w:t>
      </w:r>
      <w:r w:rsidR="00F81221">
        <w:t xml:space="preserve"> and </w:t>
      </w:r>
      <w:r w:rsidRPr="00A428C3">
        <w:t>Great Plains areas by diverse floras rich in angiosperms. Cenomanian floras of Texas</w:t>
      </w:r>
      <w:r w:rsidR="00F81221">
        <w:t xml:space="preserve"> and </w:t>
      </w:r>
      <w:r w:rsidRPr="00A428C3">
        <w:t xml:space="preserve">Oklahoma lack the abundant angiospermous palynofloras of the coals of the eastern </w:t>
      </w:r>
      <w:smartTag w:uri="urn:schemas-microsoft-com:office:smarttags" w:element="place">
        <w:smartTag w:uri="urn:schemas-microsoft-com:office:smarttags" w:element="PlaceType">
          <w:r w:rsidRPr="00A428C3">
            <w:t>Gulf</w:t>
          </w:r>
        </w:smartTag>
        <w:r w:rsidRPr="00A428C3">
          <w:t xml:space="preserve"> </w:t>
        </w:r>
        <w:smartTag w:uri="urn:schemas-microsoft-com:office:smarttags" w:element="PlaceType">
          <w:r w:rsidRPr="00A428C3">
            <w:t>Coast</w:t>
          </w:r>
        </w:smartTag>
      </w:smartTag>
      <w:r w:rsidRPr="00A428C3">
        <w:t>. Late Cretaceous coal floras are well represented on the western margin of the Western Interior seaway. Several arborescent conifers (Sequoia, Brachyphyllum, Moriconia)</w:t>
      </w:r>
      <w:r w:rsidR="00F81221">
        <w:t xml:space="preserve"> and </w:t>
      </w:r>
      <w:r w:rsidRPr="00A428C3">
        <w:t>angiosperms (Rhamnites, Platanus, Cissus) identify peat-forming warm-temperate swamps of that period. Several types of modern peat swamps have served as models for the interpretation of Tertiary coal floras. However, decreasing similarity of these models to increasingly older Tertiary coal floras constrain the accuracy of interpretation of the kinds of plants</w:t>
      </w:r>
      <w:r w:rsidR="00F81221">
        <w:t xml:space="preserve"> and </w:t>
      </w:r>
      <w:r w:rsidRPr="00A428C3">
        <w:t>the depositional</w:t>
      </w:r>
      <w:r w:rsidR="00F81221">
        <w:t xml:space="preserve"> and </w:t>
      </w:r>
      <w:r w:rsidRPr="00A428C3">
        <w:t>paleoclimatic conditions.</w:t>
      </w:r>
    </w:p>
    <w:p w:rsidR="00B95188" w:rsidRPr="00A428C3" w:rsidRDefault="00B95188" w:rsidP="00B95188">
      <w:pPr>
        <w:pStyle w:val="a0"/>
      </w:pPr>
      <w:r w:rsidRPr="00A428C3">
        <w:t xml:space="preserve">Keywords: Swamp Vegetation, </w:t>
      </w:r>
      <w:smartTag w:uri="urn:schemas-microsoft-com:office:smarttags" w:element="place">
        <w:r w:rsidRPr="00A428C3">
          <w:t>West Texas</w:t>
        </w:r>
      </w:smartTag>
      <w:r w:rsidRPr="00A428C3">
        <w:t>, Pollen, Angiosperm, Morphology, Resolution, Spores, Basin, Flora, Peat</w:t>
      </w:r>
    </w:p>
    <w:p w:rsidR="00B95188" w:rsidRPr="00A428C3" w:rsidRDefault="00B95188" w:rsidP="00B95188">
      <w:pPr>
        <w:pStyle w:val="a0"/>
      </w:pPr>
      <w:r w:rsidRPr="00A428C3">
        <w:t>Hower, J.C., Eble, C.F.</w:t>
      </w:r>
      <w:r w:rsidR="00F81221">
        <w:t xml:space="preserve"> and </w:t>
      </w:r>
      <w:r w:rsidRPr="00A428C3">
        <w:t>Rathbone, R.F. (1994), Petrology</w:t>
      </w:r>
      <w:r w:rsidR="00F81221">
        <w:t xml:space="preserve"> and </w:t>
      </w:r>
      <w:r w:rsidRPr="00A428C3">
        <w:t xml:space="preserve">Palynology of the no 5 Block coal bed, northeastern </w:t>
      </w:r>
      <w:smartTag w:uri="urn:schemas-microsoft-com:office:smarttags" w:element="place">
        <w:smartTag w:uri="urn:schemas-microsoft-com:office:smarttags" w:element="State">
          <w:r w:rsidRPr="00A428C3">
            <w:t>Kentucky</w:t>
          </w:r>
        </w:smartTag>
      </w:smartTag>
      <w:r w:rsidRPr="00A428C3">
        <w:t xml:space="preserve">. </w:t>
      </w:r>
      <w:r w:rsidRPr="00A428C3">
        <w:rPr>
          <w:i/>
          <w:iCs/>
        </w:rPr>
        <w:t>International Journal of Coal Geology</w:t>
      </w:r>
      <w:r w:rsidRPr="00A428C3">
        <w:t xml:space="preserve">, </w:t>
      </w:r>
      <w:r w:rsidRPr="00A428C3">
        <w:rPr>
          <w:b/>
        </w:rPr>
        <w:t>25</w:t>
      </w:r>
      <w:r w:rsidRPr="00A428C3">
        <w:t xml:space="preserve"> </w:t>
      </w:r>
      <w:r w:rsidRPr="00A428C3">
        <w:lastRenderedPageBreak/>
        <w:t>(2), 171-193.</w:t>
      </w:r>
    </w:p>
    <w:p w:rsidR="00B95188" w:rsidRPr="00A428C3" w:rsidRDefault="00B95188" w:rsidP="00B95188">
      <w:pPr>
        <w:pStyle w:val="a0"/>
      </w:pPr>
      <w:r w:rsidRPr="00A428C3">
        <w:t xml:space="preserve">Full Text: </w:t>
      </w:r>
      <w:hyperlink r:id="rId1713" w:history="1">
        <w:r w:rsidRPr="00A428C3">
          <w:rPr>
            <w:rStyle w:val="a5"/>
          </w:rPr>
          <w:t>I\Int J Coa Geo25, 171.pdf</w:t>
        </w:r>
      </w:hyperlink>
    </w:p>
    <w:p w:rsidR="00B95188" w:rsidRPr="00A428C3" w:rsidRDefault="00B95188" w:rsidP="00B95188">
      <w:pPr>
        <w:pStyle w:val="a0"/>
      </w:pPr>
      <w:r w:rsidRPr="00A428C3">
        <w:t>Abstract: The upper Middle Pennsylvanian (middle Westphalian D equivalent) No. 5 Block coal bed (Eastern Kentucky Coal Field of the Central Appalachian Basin) is a low-sulfur, compliance coal resource, dominantly comprised of dull, inertinite-rich lithotypes. Ash yields tend to be highly variable in the No. 5 Block, as does bed thickness</w:t>
      </w:r>
      <w:r w:rsidR="00F81221">
        <w:t xml:space="preserve"> and </w:t>
      </w:r>
      <w:r w:rsidRPr="00A428C3">
        <w:t>frequency of bed splitting. This study describes the petrographic, palynologic</w:t>
      </w:r>
      <w:r w:rsidR="00F81221">
        <w:t xml:space="preserve"> and </w:t>
      </w:r>
      <w:r w:rsidRPr="00A428C3">
        <w:t>geochemical characteristics of the No. 5 Block coal bed,</w:t>
      </w:r>
      <w:r w:rsidR="00F81221">
        <w:t xml:space="preserve"> and </w:t>
      </w:r>
      <w:r w:rsidRPr="00A428C3">
        <w:t>reports on some temporal</w:t>
      </w:r>
      <w:r w:rsidR="00F81221">
        <w:t xml:space="preserve"> and </w:t>
      </w:r>
      <w:r w:rsidRPr="00A428C3">
        <w:t xml:space="preserve">spatial trends among these parameters in eastern-northeastern </w:t>
      </w:r>
      <w:smartTag w:uri="urn:schemas-microsoft-com:office:smarttags" w:element="place">
        <w:smartTag w:uri="urn:schemas-microsoft-com:office:smarttags" w:element="State">
          <w:r w:rsidRPr="00A428C3">
            <w:t>Kentucky</w:t>
          </w:r>
        </w:smartTag>
      </w:smartTag>
      <w:r w:rsidRPr="00A428C3">
        <w:t>. Petrographically the No. 5 Block coal is predominated by dull, often high-ash lithotypes, with inertinite contents commonly exceeding 30% (mmf). The coal thins to the north-northwest where it tends to be higher in vitrinite</w:t>
      </w:r>
      <w:r w:rsidR="00F81221">
        <w:t xml:space="preserve"> and </w:t>
      </w:r>
      <w:r w:rsidRPr="00A428C3">
        <w:t>sulfur content. Representatives of large</w:t>
      </w:r>
      <w:r w:rsidR="00F81221">
        <w:t xml:space="preserve"> and </w:t>
      </w:r>
      <w:r w:rsidRPr="00A428C3">
        <w:t>small lycopsids</w:t>
      </w:r>
      <w:r w:rsidR="00F81221">
        <w:t xml:space="preserve"> and </w:t>
      </w:r>
      <w:r w:rsidRPr="00A428C3">
        <w:t>ferns (both tree-like</w:t>
      </w:r>
      <w:r w:rsidR="00F81221">
        <w:t xml:space="preserve"> and </w:t>
      </w:r>
      <w:r w:rsidRPr="00A428C3">
        <w:t>small varieties) dominate the No. 5 Block coal bed palynoflora. Calamite spores</w:t>
      </w:r>
      <w:r w:rsidR="00F81221">
        <w:t xml:space="preserve"> and </w:t>
      </w:r>
      <w:r w:rsidRPr="00A428C3">
        <w:t>cordaite pollen also occur but are less abundant. Small lycopsid (Densosporites spp.</w:t>
      </w:r>
      <w:r w:rsidR="00F81221">
        <w:t xml:space="preserve"> and </w:t>
      </w:r>
      <w:r w:rsidRPr="00A428C3">
        <w:t>related crassicingulate genera)</w:t>
      </w:r>
      <w:r w:rsidR="00F81221">
        <w:t xml:space="preserve"> and </w:t>
      </w:r>
      <w:r w:rsidRPr="00A428C3">
        <w:t>tree fem (e.g. Punctatisporites minutus, Laevigatosporites globosus) spore taxa are most abundant in dull lithotypes. Bright lithotypes contain higher percentages of arboreous lycopsid spores (Lycospora spp.). Regionally, the No. 5 Block coal contains abundant Torispora securis, a tree fem spore specially adapted for desiccation prevention. This, along with overall high percentages of inertinite macerals, suggest that peat accumulation may have taken place in a seasonally dry (?) paleoclimate.</w:t>
      </w:r>
    </w:p>
    <w:p w:rsidR="00B95188" w:rsidRPr="00A428C3" w:rsidRDefault="00B95188" w:rsidP="00B95188">
      <w:pPr>
        <w:pStyle w:val="a0"/>
      </w:pPr>
      <w:r w:rsidRPr="00A428C3">
        <w:t>The No. 5 Block coal bed thickens rather dramatically in a NW-SE direction, as does the frequency of coal bed splitting. This phenomenon appears to be related to increased accommodation space in the southeastern portion of the study area, perhaps via penecontemporaneous growth faulting. Maceral</w:t>
      </w:r>
      <w:r w:rsidR="00F81221">
        <w:t xml:space="preserve"> and </w:t>
      </w:r>
      <w:r w:rsidRPr="00A428C3">
        <w:t>palynomorph variations within the bed correspond with these changes. Thin coal along the northwestern margin tends to be vitrinite rich</w:t>
      </w:r>
      <w:r w:rsidR="00F81221">
        <w:t xml:space="preserve"> and </w:t>
      </w:r>
      <w:r w:rsidRPr="00A428C3">
        <w:t>contains abundant Lycospora, perhaps reflecting relatively stable peat-forming conditions. Thicker coal to the southeast contains more inertinite, high-ash coal layers,</w:t>
      </w:r>
      <w:r w:rsidR="00F81221">
        <w:t xml:space="preserve"> and </w:t>
      </w:r>
      <w:r w:rsidRPr="00A428C3">
        <w:t>inorganic partings. Spore floras contain more small lycopsid</w:t>
      </w:r>
      <w:r w:rsidR="00F81221">
        <w:t xml:space="preserve"> and </w:t>
      </w:r>
      <w:r w:rsidRPr="00A428C3">
        <w:t>tree fern components</w:t>
      </w:r>
      <w:r w:rsidR="00F81221">
        <w:t xml:space="preserve"> and </w:t>
      </w:r>
      <w:r w:rsidRPr="00A428C3">
        <w:t>are temporally variable, perhaps indicating a more unstable peat-forming environment.</w:t>
      </w:r>
    </w:p>
    <w:p w:rsidR="00B95188" w:rsidRPr="00A428C3" w:rsidRDefault="00B95188" w:rsidP="00B95188">
      <w:pPr>
        <w:pStyle w:val="a0"/>
      </w:pPr>
      <w:r w:rsidRPr="00A428C3">
        <w:t>Keywords: Basin</w:t>
      </w:r>
    </w:p>
    <w:p w:rsidR="00B95188" w:rsidRPr="00A428C3" w:rsidRDefault="00B95188" w:rsidP="00B95188">
      <w:pPr>
        <w:pStyle w:val="a0"/>
      </w:pPr>
      <w:r w:rsidRPr="00A428C3">
        <w:t>Hower, J.C., Helfrich, C.T.</w:t>
      </w:r>
      <w:r w:rsidR="00F81221">
        <w:t xml:space="preserve"> and </w:t>
      </w:r>
      <w:r w:rsidRPr="00A428C3">
        <w:t>Williams, D.A. (1994), Palynologic</w:t>
      </w:r>
      <w:r w:rsidR="00F81221">
        <w:t xml:space="preserve"> and </w:t>
      </w:r>
      <w:r w:rsidRPr="00A428C3">
        <w:t xml:space="preserve">Petrographic intervals in the upper Pennsylvanian McLeansboro Group, </w:t>
      </w:r>
      <w:smartTag w:uri="urn:schemas-microsoft-com:office:smarttags" w:element="place">
        <w:r w:rsidRPr="00A428C3">
          <w:t>Western Kentucky</w:t>
        </w:r>
      </w:smartTag>
      <w:r w:rsidRPr="00A428C3">
        <w:t xml:space="preserve">. </w:t>
      </w:r>
      <w:r w:rsidRPr="00A428C3">
        <w:rPr>
          <w:i/>
          <w:iCs/>
        </w:rPr>
        <w:t>International Journal of Coal Geology</w:t>
      </w:r>
      <w:r w:rsidRPr="00A428C3">
        <w:t xml:space="preserve">, </w:t>
      </w:r>
      <w:r w:rsidRPr="00A428C3">
        <w:rPr>
          <w:b/>
        </w:rPr>
        <w:t>26</w:t>
      </w:r>
      <w:r w:rsidRPr="00A428C3">
        <w:t xml:space="preserve"> (1-2), 117-132.</w:t>
      </w:r>
    </w:p>
    <w:p w:rsidR="00B95188" w:rsidRPr="00A428C3" w:rsidRDefault="00B95188" w:rsidP="00B95188">
      <w:pPr>
        <w:pStyle w:val="a0"/>
      </w:pPr>
      <w:r w:rsidRPr="00A428C3">
        <w:t xml:space="preserve">Full Text: </w:t>
      </w:r>
      <w:hyperlink r:id="rId1714" w:history="1">
        <w:r w:rsidRPr="00A428C3">
          <w:rPr>
            <w:rStyle w:val="a5"/>
          </w:rPr>
          <w:t>I\Int J Coa Geo26, 117.pdf</w:t>
        </w:r>
      </w:hyperlink>
    </w:p>
    <w:p w:rsidR="00B95188" w:rsidRPr="00A428C3" w:rsidRDefault="00B95188" w:rsidP="00B95188">
      <w:pPr>
        <w:pStyle w:val="a0"/>
      </w:pPr>
      <w:r w:rsidRPr="00A428C3">
        <w:t xml:space="preserve">Abstract: The McLeansboro Group (formerly the Sturgis Formation) in the </w:t>
      </w:r>
      <w:smartTag w:uri="urn:schemas-microsoft-com:office:smarttags" w:element="place">
        <w:r w:rsidRPr="00A428C3">
          <w:t>Western Kentucky</w:t>
        </w:r>
      </w:smartTag>
      <w:r w:rsidRPr="00A428C3">
        <w:t xml:space="preserve"> coal field spans the upper Desmoinesian (Westphalian D)</w:t>
      </w:r>
      <w:r w:rsidR="00F81221">
        <w:t xml:space="preserve"> and </w:t>
      </w:r>
      <w:r w:rsidRPr="00A428C3">
        <w:t xml:space="preserve">the </w:t>
      </w:r>
      <w:r w:rsidRPr="00A428C3">
        <w:lastRenderedPageBreak/>
        <w:t>Missourian</w:t>
      </w:r>
      <w:r w:rsidR="00F81221">
        <w:t xml:space="preserve"> and </w:t>
      </w:r>
      <w:r w:rsidRPr="00A428C3">
        <w:t>Virgilian series (Stephanian). Extensive drilling has demonstrated the lateral continuity of major</w:t>
      </w:r>
      <w:r w:rsidR="00F81221">
        <w:t xml:space="preserve"> and </w:t>
      </w:r>
      <w:r w:rsidRPr="00A428C3">
        <w:t>minor beds in the group, making it possible to study vertical</w:t>
      </w:r>
      <w:r w:rsidR="00F81221">
        <w:t xml:space="preserve"> and </w:t>
      </w:r>
      <w:r w:rsidRPr="00A428C3">
        <w:t>lateral changes in palynology</w:t>
      </w:r>
      <w:r w:rsidR="00F81221">
        <w:t xml:space="preserve"> and </w:t>
      </w:r>
      <w:r w:rsidRPr="00A428C3">
        <w:t>petrology. Significant features of the McLeansboro Group are the marine zones over most of the-coals</w:t>
      </w:r>
      <w:r w:rsidR="00F81221">
        <w:t xml:space="preserve"> and </w:t>
      </w:r>
      <w:r w:rsidRPr="00A428C3">
        <w:t>paleochannels, which are the only disruptions to the continuity of other lithologies. The Desmoinesian Baker (No. 13),</w:t>
      </w:r>
      <w:r w:rsidR="00F81221">
        <w:t xml:space="preserve"> and </w:t>
      </w:r>
      <w:r w:rsidRPr="00A428C3">
        <w:t xml:space="preserve">Wheatcroft (No. </w:t>
      </w:r>
      <w:smartTag w:uri="urn:schemas-microsoft-com:office:smarttags" w:element="chmetcnv">
        <w:smartTagPr>
          <w:attr w:name="TCSC" w:val="0"/>
          <w:attr w:name="NumberType" w:val="1"/>
          <w:attr w:name="Negative" w:val="False"/>
          <w:attr w:name="HasSpace" w:val="False"/>
          <w:attr w:name="SourceValue" w:val="13"/>
          <w:attr w:name="UnitName" w:val="a"/>
        </w:smartTagPr>
        <w:r w:rsidRPr="00A428C3">
          <w:t>13a</w:t>
        </w:r>
      </w:smartTag>
      <w:r w:rsidRPr="00A428C3">
        <w:t>) coal beds were included in the study but the primary emphasis is on the Missourian</w:t>
      </w:r>
      <w:r w:rsidR="00F81221">
        <w:t xml:space="preserve"> and </w:t>
      </w:r>
      <w:r w:rsidRPr="00A428C3">
        <w:t>Virgilian coals. Patoka Formation (lower Missourian) coals are dominated by tree fem spores with lesser amounts of sphenopsids, ferns</w:t>
      </w:r>
      <w:r w:rsidR="00F81221">
        <w:t xml:space="preserve"> and </w:t>
      </w:r>
      <w:r w:rsidRPr="00A428C3">
        <w:t xml:space="preserve">cordaites spores. This is in marked contrast to the arborescent lycopod-dominated Desmoinesian coals. Only the No. 15 coal bed exceeds 80% vitrinite: the vitrinite content of the No. 16 coal bed is less than 72%, the lowest of any </w:t>
      </w:r>
      <w:smartTag w:uri="urn:schemas-microsoft-com:office:smarttags" w:element="place">
        <w:r w:rsidRPr="00A428C3">
          <w:t>Western Kentucky</w:t>
        </w:r>
      </w:smartTag>
      <w:r w:rsidRPr="00A428C3">
        <w:t xml:space="preserve"> humic coal. The Bond Formation (upper Missourian) represents a distinct floristic interval, with a greater diversity of plant groups than in the Patoka Formation. Herbaceous lycopod spores, which are relatively minor contributors to the Patoka coals, are common in the Bond Formation. The coals generally exceed 80% vitrinite.</w:t>
      </w:r>
    </w:p>
    <w:p w:rsidR="00B95188" w:rsidRPr="00A428C3" w:rsidRDefault="00B95188" w:rsidP="00B95188">
      <w:pPr>
        <w:pStyle w:val="a0"/>
      </w:pPr>
      <w:r w:rsidRPr="00A428C3">
        <w:t xml:space="preserve">The Mattoon Formation (Virgillian) coals have a variety of palynomorph assemblages. The low-sulfur </w:t>
      </w:r>
      <w:smartTag w:uri="urn:schemas-microsoft-com:office:smarttags" w:element="place">
        <w:smartTag w:uri="urn:schemas-microsoft-com:office:smarttags" w:element="PlaceName">
          <w:r w:rsidRPr="00A428C3">
            <w:t>Geiger</w:t>
          </w:r>
        </w:smartTag>
        <w:r w:rsidRPr="00A428C3">
          <w:t xml:space="preserve"> </w:t>
        </w:r>
        <w:smartTag w:uri="urn:schemas-microsoft-com:office:smarttags" w:element="PlaceType">
          <w:r w:rsidRPr="00A428C3">
            <w:t>Lake</w:t>
          </w:r>
        </w:smartTag>
      </w:smartTag>
      <w:r w:rsidRPr="00A428C3">
        <w:t xml:space="preserve"> coal bed is dominated by tree fem spores, with important contributions from other ferns</w:t>
      </w:r>
      <w:r w:rsidR="00F81221">
        <w:t xml:space="preserve"> and </w:t>
      </w:r>
      <w:r w:rsidRPr="00A428C3">
        <w:t>sphenopsids. Similar to the underlying tree fern interval, vitrinite contents are less than 80%. The uppermost Mattoon coals are dominated by tree ferns</w:t>
      </w:r>
      <w:r w:rsidR="00F81221">
        <w:t xml:space="preserve"> and </w:t>
      </w:r>
      <w:r w:rsidRPr="00A428C3">
        <w:t xml:space="preserve">are notable in being the only coals more than </w:t>
      </w:r>
      <w:smartTag w:uri="urn:schemas-microsoft-com:office:smarttags" w:element="chmetcnv">
        <w:smartTagPr>
          <w:attr w:name="TCSC" w:val="0"/>
          <w:attr w:name="NumberType" w:val="1"/>
          <w:attr w:name="Negative" w:val="False"/>
          <w:attr w:name="HasSpace" w:val="True"/>
          <w:attr w:name="SourceValue" w:val="1"/>
          <w:attr w:name="UnitName" w:val="m"/>
        </w:smartTagPr>
        <w:r w:rsidRPr="00A428C3">
          <w:t>1 m</w:t>
        </w:r>
      </w:smartTag>
      <w:r w:rsidRPr="00A428C3">
        <w:t xml:space="preserve"> thick in the Stephanian portion of the section, with the top coal being </w:t>
      </w:r>
      <w:smartTag w:uri="urn:schemas-microsoft-com:office:smarttags" w:element="chmetcnv">
        <w:smartTagPr>
          <w:attr w:name="TCSC" w:val="0"/>
          <w:attr w:name="NumberType" w:val="1"/>
          <w:attr w:name="Negative" w:val="False"/>
          <w:attr w:name="HasSpace" w:val="True"/>
          <w:attr w:name="SourceValue" w:val="4.3"/>
          <w:attr w:name="UnitName" w:val="m"/>
        </w:smartTagPr>
        <w:r w:rsidRPr="00A428C3">
          <w:t>4.3 m</w:t>
        </w:r>
      </w:smartTag>
      <w:r w:rsidRPr="00A428C3">
        <w:t xml:space="preserve"> thick. The uppermost coals generally contain more than 80% vitrinite. The Permian Mauzy Formation overlies the McLeansboro Group.</w:t>
      </w:r>
    </w:p>
    <w:p w:rsidR="00B95188" w:rsidRPr="00A428C3" w:rsidRDefault="00B95188" w:rsidP="00B95188">
      <w:pPr>
        <w:pStyle w:val="a0"/>
      </w:pPr>
      <w:r w:rsidRPr="00A428C3">
        <w:t>The palynologic/petrographic intervals appear lo represent fluctuating dry (low vitrinite)</w:t>
      </w:r>
      <w:r w:rsidR="00F81221">
        <w:t xml:space="preserve"> and </w:t>
      </w:r>
      <w:r w:rsidRPr="00A428C3">
        <w:t>wet intervals within the Stephanian, which was itself drier than the Westphalian D.</w:t>
      </w:r>
    </w:p>
    <w:p w:rsidR="00B95188" w:rsidRPr="00A428C3" w:rsidRDefault="00B95188" w:rsidP="00B95188">
      <w:pPr>
        <w:pStyle w:val="a0"/>
      </w:pPr>
      <w:r w:rsidRPr="00A428C3">
        <w:t>Keywords: Coal-Swamp Vegetation, Patterns</w:t>
      </w:r>
    </w:p>
    <w:p w:rsidR="00B95188" w:rsidRPr="00A428C3" w:rsidRDefault="00B95188" w:rsidP="00B95188">
      <w:pPr>
        <w:pStyle w:val="a0"/>
      </w:pPr>
      <w:r w:rsidRPr="00A428C3">
        <w:t>Willard, D.A., Dimichele, W.A., Eggert, D.L., Hower, J.C., Rexroad, C.B.</w:t>
      </w:r>
      <w:r w:rsidR="00F81221">
        <w:t xml:space="preserve"> and </w:t>
      </w:r>
      <w:r w:rsidRPr="00A428C3">
        <w:t xml:space="preserve">Scott, A.C. (1995), Paleoecology of the </w:t>
      </w:r>
      <w:smartTag w:uri="urn:schemas-microsoft-com:office:smarttags" w:element="City">
        <w:r w:rsidRPr="00A428C3">
          <w:t>Springfield</w:t>
        </w:r>
      </w:smartTag>
      <w:r w:rsidRPr="00A428C3">
        <w:t xml:space="preserve"> coal member (</w:t>
      </w:r>
      <w:smartTag w:uri="urn:schemas-microsoft-com:office:smarttags" w:element="City">
        <w:r w:rsidRPr="00A428C3">
          <w:t>Desmoinesian</w:t>
        </w:r>
      </w:smartTag>
      <w:r w:rsidRPr="00A428C3">
        <w:t xml:space="preserve">, </w:t>
      </w:r>
      <w:smartTag w:uri="urn:schemas-microsoft-com:office:smarttags" w:element="State">
        <w:r w:rsidRPr="00A428C3">
          <w:t>Illinois</w:t>
        </w:r>
      </w:smartTag>
      <w:r w:rsidRPr="00A428C3">
        <w:t xml:space="preserve"> basin) near the Leslie cemetery Paleochannel, southwestern </w:t>
      </w:r>
      <w:smartTag w:uri="urn:schemas-microsoft-com:office:smarttags" w:element="place">
        <w:smartTag w:uri="urn:schemas-microsoft-com:office:smarttags" w:element="State">
          <w:r w:rsidRPr="00A428C3">
            <w:t>Indiana</w:t>
          </w:r>
        </w:smartTag>
      </w:smartTag>
      <w:r w:rsidRPr="00A428C3">
        <w:t xml:space="preserve">. </w:t>
      </w:r>
      <w:r w:rsidRPr="00A428C3">
        <w:rPr>
          <w:i/>
          <w:iCs/>
        </w:rPr>
        <w:t>International Journal of Coal Geology</w:t>
      </w:r>
      <w:r w:rsidRPr="00A428C3">
        <w:t xml:space="preserve">, </w:t>
      </w:r>
      <w:r w:rsidRPr="00A428C3">
        <w:rPr>
          <w:b/>
        </w:rPr>
        <w:t>27</w:t>
      </w:r>
      <w:r w:rsidRPr="00A428C3">
        <w:t xml:space="preserve"> (1), 59-98.</w:t>
      </w:r>
    </w:p>
    <w:p w:rsidR="00B95188" w:rsidRPr="00A428C3" w:rsidRDefault="00B95188" w:rsidP="00B95188">
      <w:pPr>
        <w:pStyle w:val="a0"/>
      </w:pPr>
      <w:r w:rsidRPr="00A428C3">
        <w:t xml:space="preserve">Full Text: </w:t>
      </w:r>
      <w:hyperlink r:id="rId1715" w:history="1">
        <w:r w:rsidRPr="00A428C3">
          <w:rPr>
            <w:rStyle w:val="a5"/>
          </w:rPr>
          <w:t>I\Int J Coa Geo27, 59.pdf</w:t>
        </w:r>
      </w:hyperlink>
    </w:p>
    <w:p w:rsidR="00B95188" w:rsidRPr="00A428C3" w:rsidRDefault="00B95188" w:rsidP="00B95188">
      <w:pPr>
        <w:pStyle w:val="a0"/>
      </w:pPr>
      <w:r w:rsidRPr="00A428C3">
        <w:t>Abstract: The Springfield Coal Member (Carbondale Group, Petersburg Formation of Indiana) is split locally in Warrick</w:t>
      </w:r>
      <w:r w:rsidR="00F81221">
        <w:t xml:space="preserve"> and </w:t>
      </w:r>
      <w:r w:rsidRPr="00A428C3">
        <w:t>Gibson Counties, Indiana, by clastic rocks of the Folsomville Member (Carbondale Group, Petersburg Formation) that represent the Leslie Cemetery paleochannel, part of a large, interconnected paleochannel system in the Springfield coal bed. This study incorporated analysis of miospore</w:t>
      </w:r>
      <w:r w:rsidR="00F81221">
        <w:t xml:space="preserve"> and </w:t>
      </w:r>
      <w:r w:rsidRPr="00A428C3">
        <w:t>megaspore assemblages, coal petrography, plant compression fossils</w:t>
      </w:r>
      <w:r w:rsidR="00F81221">
        <w:t xml:space="preserve"> and </w:t>
      </w:r>
      <w:r w:rsidRPr="00A428C3">
        <w:t xml:space="preserve">conodonts </w:t>
      </w:r>
      <w:r w:rsidRPr="00A428C3">
        <w:lastRenderedPageBreak/>
        <w:t>from the coal</w:t>
      </w:r>
      <w:r w:rsidR="00F81221">
        <w:t xml:space="preserve"> and </w:t>
      </w:r>
      <w:r w:rsidRPr="00A428C3">
        <w:t>clastic split to document changes in the swamp</w:t>
      </w:r>
      <w:r w:rsidR="00F81221">
        <w:t xml:space="preserve"> and </w:t>
      </w:r>
      <w:r w:rsidRPr="00A428C3">
        <w:t xml:space="preserve">its vegetation in response to the activity of the </w:t>
      </w:r>
      <w:smartTag w:uri="urn:schemas-microsoft-com:office:smarttags" w:element="place">
        <w:smartTag w:uri="urn:schemas-microsoft-com:office:smarttags" w:element="PlaceName">
          <w:r w:rsidRPr="00A428C3">
            <w:t>Leslie</w:t>
          </w:r>
        </w:smartTag>
        <w:r w:rsidRPr="00A428C3">
          <w:t xml:space="preserve"> </w:t>
        </w:r>
        <w:smartTag w:uri="urn:schemas-microsoft-com:office:smarttags" w:element="PlaceName">
          <w:r w:rsidRPr="00A428C3">
            <w:t>Cemetery</w:t>
          </w:r>
        </w:smartTag>
      </w:smartTag>
      <w:r w:rsidRPr="00A428C3">
        <w:t xml:space="preserve"> paleochannel. Palynological</w:t>
      </w:r>
      <w:r w:rsidR="00F81221">
        <w:t xml:space="preserve"> and </w:t>
      </w:r>
      <w:r w:rsidRPr="00A428C3">
        <w:t>petrographic data indicate that environmental conditions</w:t>
      </w:r>
      <w:r w:rsidR="00F81221">
        <w:t xml:space="preserve"> and </w:t>
      </w:r>
      <w:r w:rsidRPr="00A428C3">
        <w:t xml:space="preserve">vegetation in the lower bench of coal near the </w:t>
      </w:r>
      <w:smartTag w:uri="urn:schemas-microsoft-com:office:smarttags" w:element="PlaceName">
        <w:r w:rsidRPr="00A428C3">
          <w:t>Leslie</w:t>
        </w:r>
      </w:smartTag>
      <w:r w:rsidRPr="00A428C3">
        <w:t xml:space="preserve"> </w:t>
      </w:r>
      <w:smartTag w:uri="urn:schemas-microsoft-com:office:smarttags" w:element="PlaceName">
        <w:r w:rsidRPr="00A428C3">
          <w:t>Cemetery</w:t>
        </w:r>
      </w:smartTag>
      <w:r w:rsidRPr="00A428C3">
        <w:t xml:space="preserve"> paleochannel were similar to those found in profiles through the coal bed at sites near the larger, more extensive </w:t>
      </w:r>
      <w:smartTag w:uri="urn:schemas-microsoft-com:office:smarttags" w:element="place">
        <w:smartTag w:uri="urn:schemas-microsoft-com:office:smarttags" w:element="country-region">
          <w:r w:rsidRPr="00A428C3">
            <w:t>Galatia</w:t>
          </w:r>
        </w:smartTag>
      </w:smartTag>
      <w:r w:rsidRPr="00A428C3">
        <w:t xml:space="preserve"> paleochannel. Miospore floras of the high-vitrinite, lower bench of coal were dominated by tree-fern miospores, with those of lycopsids ranking second in abundance; megaspore assemblages were dominated by lycopsid megaspores. Near the contact between the lower bench of coal</w:t>
      </w:r>
      <w:r w:rsidR="00F81221">
        <w:t xml:space="preserve"> and </w:t>
      </w:r>
      <w:r w:rsidRPr="00A428C3">
        <w:t>clastic split, medullosan prepollen increases in abundance</w:t>
      </w:r>
      <w:r w:rsidR="00F81221">
        <w:t xml:space="preserve"> and </w:t>
      </w:r>
      <w:r w:rsidRPr="00A428C3">
        <w:t>fusain bands are more common, which may indicate the occurrence of fire, either within or outside the swamp. Vegetation in the Folsomville Member</w:t>
      </w:r>
      <w:r w:rsidR="00F81221">
        <w:t xml:space="preserve"> and </w:t>
      </w:r>
      <w:r w:rsidRPr="00A428C3">
        <w:t>upper bench of coal differ markedly from that of the lower bench of coal. Plant megafossils from the Folsomville Member indicate dominance by pteridosperms and/or lycopsids</w:t>
      </w:r>
      <w:r w:rsidR="00F81221">
        <w:t xml:space="preserve"> and </w:t>
      </w:r>
      <w:r w:rsidRPr="00A428C3">
        <w:t>Folsomville Member miospores assemblages are dominated by lycopsid miospores most typically found in mudstones, including Lycospora torquifer</w:t>
      </w:r>
      <w:r w:rsidR="00F81221">
        <w:t xml:space="preserve"> and </w:t>
      </w:r>
      <w:r w:rsidRPr="00A428C3">
        <w:t xml:space="preserve">higher than normal abundances of Granasporites medius. In the transition from clastic rocks of the Folsomville Member to the upper bench of coal, miospores of </w:t>
      </w:r>
      <w:r w:rsidR="000352E7">
        <w:t>‘</w:t>
      </w:r>
      <w:r w:rsidRPr="00A428C3">
        <w:t>ecotonal</w:t>
      </w:r>
      <w:r w:rsidR="000352E7">
        <w:t>’</w:t>
      </w:r>
      <w:r w:rsidRPr="00A428C3">
        <w:t xml:space="preserve"> lycopsids (Paralycopodites) reach their peak abundance, pteridosperms dominate megafossil assemblages</w:t>
      </w:r>
      <w:r w:rsidR="00F81221">
        <w:t xml:space="preserve"> and </w:t>
      </w:r>
      <w:r w:rsidRPr="00A428C3">
        <w:t>inertinite levels are relatively high. At higher levels of the upper bench of coal, vitrinite levels are higher</w:t>
      </w:r>
      <w:r w:rsidR="00F81221">
        <w:t xml:space="preserve"> and </w:t>
      </w:r>
      <w:r w:rsidRPr="00A428C3">
        <w:t>miospore assemblages are dominated by lycopsid miospores typical of coal swamps (Lycospora granulata, L. pusilla). The presence of conodonts in coalballs in the upper bench of coal</w:t>
      </w:r>
      <w:r w:rsidR="00F81221">
        <w:t xml:space="preserve"> and </w:t>
      </w:r>
      <w:r w:rsidRPr="00A428C3">
        <w:t xml:space="preserve">spirorbid worms in the split indicate that the paleoswamp may have received some marine or brackish water influence. Higher than normal salinity levels may explain the vegetational changes observed in the upper bench of coal near the </w:t>
      </w:r>
      <w:smartTag w:uri="urn:schemas-microsoft-com:office:smarttags" w:element="place">
        <w:smartTag w:uri="urn:schemas-microsoft-com:office:smarttags" w:element="PlaceName">
          <w:r w:rsidRPr="00A428C3">
            <w:t>Leslie</w:t>
          </w:r>
        </w:smartTag>
        <w:r w:rsidRPr="00A428C3">
          <w:t xml:space="preserve"> </w:t>
        </w:r>
        <w:smartTag w:uri="urn:schemas-microsoft-com:office:smarttags" w:element="PlaceName">
          <w:r w:rsidRPr="00A428C3">
            <w:t>Cemetery</w:t>
          </w:r>
        </w:smartTag>
      </w:smartTag>
      <w:r w:rsidRPr="00A428C3">
        <w:t xml:space="preserve"> paleochannel.</w:t>
      </w:r>
    </w:p>
    <w:p w:rsidR="00B95188" w:rsidRPr="00A428C3" w:rsidRDefault="00B95188" w:rsidP="00B95188">
      <w:pPr>
        <w:pStyle w:val="a0"/>
      </w:pPr>
      <w:r w:rsidRPr="00A428C3">
        <w:t xml:space="preserve">Keywords: Arborescent Lycopsids, Swamp, Lepidostrobus, Euramerica, Vegetation, Lycospora, </w:t>
      </w:r>
      <w:smartTag w:uri="urn:schemas-microsoft-com:office:smarttags" w:element="place">
        <w:smartTag w:uri="urn:schemas-microsoft-com:office:smarttags" w:element="City">
          <w:r w:rsidRPr="00A428C3">
            <w:t>History</w:t>
          </w:r>
        </w:smartTag>
        <w:r w:rsidRPr="00A428C3">
          <w:t xml:space="preserve">, </w:t>
        </w:r>
        <w:smartTag w:uri="urn:schemas-microsoft-com:office:smarttags" w:element="country-region">
          <w:r w:rsidRPr="00A428C3">
            <w:t>USA</w:t>
          </w:r>
        </w:smartTag>
      </w:smartTag>
    </w:p>
    <w:p w:rsidR="00B95188" w:rsidRPr="00A428C3" w:rsidRDefault="00B95188" w:rsidP="00B95188">
      <w:pPr>
        <w:pStyle w:val="a0"/>
      </w:pPr>
      <w:r w:rsidRPr="00A428C3">
        <w:t>Lyons, P.C., Orem, W.H., Mastalerz, M., Zodrow, E.L., Viethredemann, A.</w:t>
      </w:r>
      <w:r w:rsidR="00F81221">
        <w:t xml:space="preserve"> and </w:t>
      </w:r>
      <w:r w:rsidRPr="00A428C3">
        <w:t xml:space="preserve">Bustin, R.M. (1996), </w:t>
      </w:r>
      <w:smartTag w:uri="urn:schemas-microsoft-com:office:smarttags" w:element="chmetcnv">
        <w:smartTagPr>
          <w:attr w:name="TCSC" w:val="0"/>
          <w:attr w:name="NumberType" w:val="1"/>
          <w:attr w:name="Negative" w:val="False"/>
          <w:attr w:name="HasSpace" w:val="False"/>
          <w:attr w:name="SourceValue" w:val="13"/>
          <w:attr w:name="UnitName" w:val="C"/>
        </w:smartTagPr>
        <w:r w:rsidRPr="00A428C3">
          <w:rPr>
            <w:vertAlign w:val="superscript"/>
          </w:rPr>
          <w:t>13</w:t>
        </w:r>
        <w:r w:rsidRPr="00A428C3">
          <w:t>C</w:t>
        </w:r>
      </w:smartTag>
      <w:r w:rsidRPr="00A428C3">
        <w:t xml:space="preserve"> NMR, micro-FTIR</w:t>
      </w:r>
      <w:r w:rsidR="00F81221">
        <w:t xml:space="preserve"> and </w:t>
      </w:r>
      <w:r w:rsidRPr="00A428C3">
        <w:t>fluorescence-spectra,</w:t>
      </w:r>
      <w:r w:rsidR="00F81221">
        <w:t xml:space="preserve"> and </w:t>
      </w:r>
      <w:r w:rsidRPr="00A428C3">
        <w:t>pyrolysis-gas chromatograms of coalified foliage of late Carboniferous medullosan seed ferns, Nova Scotia, Canada: Implications for coalification</w:t>
      </w:r>
      <w:r w:rsidR="00F81221">
        <w:t xml:space="preserve"> and </w:t>
      </w:r>
      <w:r w:rsidRPr="00A428C3">
        <w:t xml:space="preserve">chemotaxonomy, USA. </w:t>
      </w:r>
      <w:r w:rsidRPr="00A428C3">
        <w:rPr>
          <w:i/>
          <w:iCs/>
        </w:rPr>
        <w:t>International Journal of Coal Geology</w:t>
      </w:r>
      <w:r w:rsidRPr="00A428C3">
        <w:t xml:space="preserve">, </w:t>
      </w:r>
      <w:r w:rsidRPr="00A428C3">
        <w:rPr>
          <w:b/>
        </w:rPr>
        <w:t>27</w:t>
      </w:r>
      <w:r w:rsidRPr="00A428C3">
        <w:t xml:space="preserve"> (2-4), 227-248.</w:t>
      </w:r>
    </w:p>
    <w:p w:rsidR="00B95188" w:rsidRPr="00A428C3" w:rsidRDefault="00B95188" w:rsidP="00B95188">
      <w:pPr>
        <w:pStyle w:val="a0"/>
      </w:pPr>
      <w:r w:rsidRPr="00A428C3">
        <w:t xml:space="preserve">Full Text: </w:t>
      </w:r>
      <w:hyperlink r:id="rId1716" w:history="1">
        <w:r w:rsidRPr="00A428C3">
          <w:rPr>
            <w:rStyle w:val="a5"/>
          </w:rPr>
          <w:t>I\Int J Coa Geo27, 227.pdf</w:t>
        </w:r>
      </w:hyperlink>
    </w:p>
    <w:p w:rsidR="00B95188" w:rsidRPr="00A428C3" w:rsidRDefault="00B95188" w:rsidP="00B95188">
      <w:pPr>
        <w:pStyle w:val="a0"/>
      </w:pPr>
      <w:r w:rsidRPr="00A428C3">
        <w:t>Abstract: The cuticles</w:t>
      </w:r>
      <w:r w:rsidR="00F81221">
        <w:t xml:space="preserve"> and </w:t>
      </w:r>
      <w:r w:rsidRPr="00A428C3">
        <w:t>cuticle-free compressions of three Carboniferous medullosan seed-fern leaf species (Macroneuropteris scheuchzeri, Neuropteris ovata var. simonii</w:t>
      </w:r>
      <w:r w:rsidR="00F81221">
        <w:t xml:space="preserve"> and </w:t>
      </w:r>
      <w:r w:rsidRPr="00A428C3">
        <w:t>Alethopteris lesquereuxii) were analyzed by elemental, C-13 nuclear magnetic resonance (NMR), micro-FTIR (Fourier transform infrared)</w:t>
      </w:r>
      <w:r w:rsidR="00F81221">
        <w:t xml:space="preserve"> and </w:t>
      </w:r>
      <w:r w:rsidRPr="00A428C3">
        <w:t xml:space="preserve">coal petrographic techniques. The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A428C3">
          <w:rPr>
            <w:vertAlign w:val="superscript"/>
          </w:rPr>
          <w:t>13</w:t>
        </w:r>
        <w:r w:rsidRPr="00A428C3">
          <w:t>C</w:t>
        </w:r>
      </w:smartTag>
      <w:r w:rsidRPr="00A428C3">
        <w:t xml:space="preserve"> NMR spectra of the cuticle-free compressions</w:t>
      </w:r>
      <w:r w:rsidR="00F81221">
        <w:t xml:space="preserve"> and </w:t>
      </w:r>
      <w:r w:rsidRPr="00A428C3">
        <w:t xml:space="preserve">the associated </w:t>
      </w:r>
      <w:r w:rsidRPr="00A428C3">
        <w:lastRenderedPageBreak/>
        <w:t>whole coal (high volatile A/B bituminous coal rank) are generally similar</w:t>
      </w:r>
      <w:r w:rsidR="00F81221">
        <w:t xml:space="preserve"> and </w:t>
      </w:r>
      <w:r w:rsidRPr="00A428C3">
        <w:t>consist of a large aromatic carbon peak, a smaller aliphatic carbon peak</w:t>
      </w:r>
      <w:r w:rsidR="00F81221">
        <w:t xml:space="preserve"> and </w:t>
      </w:r>
      <w:r w:rsidRPr="00A428C3">
        <w:t>a shoulder on the aromatic peak, representing phenolic carbons. In contrast, the C-13 NMR spectra of the cuticles from the same leaves have a predominant peak for aliphatic carbons</w:t>
      </w:r>
      <w:r w:rsidR="00F81221">
        <w:t xml:space="preserve"> and </w:t>
      </w:r>
      <w:r w:rsidRPr="00A428C3">
        <w:t>a much smaller aromatic carbon peak. This difference in aromaticity between the cuticles</w:t>
      </w:r>
      <w:r w:rsidR="00F81221">
        <w:t xml:space="preserve"> and </w:t>
      </w:r>
      <w:r w:rsidRPr="00A428C3">
        <w:t>the cuticle-free compressions is also reflected in the higher atomic H/C ratios of the cuticles. Micro-FTIR spectra of the cuticles show oxygenated functional groups (carboxyl</w:t>
      </w:r>
      <w:r w:rsidR="00F81221">
        <w:t xml:space="preserve"> and </w:t>
      </w:r>
      <w:r w:rsidRPr="00A428C3">
        <w:t>ketone) similar to those in modern cuticles but their most characteristic feature is very strong bands in the aliphatic stretching region. The cuticle-free compressions (mainly vitrinite), in turn, show the absence or significant reduction in oxygenated functional groups, reduction in aliphatic stretching bands and, usually, increased absorbance of aromatic out-of-plane deformation in the 700</w:t>
      </w:r>
      <w:smartTag w:uri="urn:schemas-microsoft-com:office:smarttags" w:element="chmetcnv">
        <w:smartTagPr>
          <w:attr w:name="TCSC" w:val="0"/>
          <w:attr w:name="NumberType" w:val="1"/>
          <w:attr w:name="Negative" w:val="True"/>
          <w:attr w:name="HasSpace" w:val="True"/>
          <w:attr w:name="SourceValue" w:val="900"/>
          <w:attr w:name="UnitName" w:val="cm"/>
        </w:smartTagPr>
        <w:r w:rsidRPr="00A428C3">
          <w:t>-900 cm</w:t>
        </w:r>
      </w:smartTag>
      <w:r w:rsidRPr="00A428C3">
        <w:rPr>
          <w:vertAlign w:val="superscript"/>
        </w:rPr>
        <w:t>-1</w:t>
      </w:r>
      <w:r w:rsidRPr="00A428C3">
        <w:t xml:space="preserve"> region. Fluorescence spectra for the cuticles from all three species show a great similarity with a lambda(max) at 580-590 nm, probably reflecting a similar degree of coalification, which is consistent with the similar vitrinite reflectance (R(r))</w:t>
      </w:r>
      <w:r w:rsidR="00F81221">
        <w:t xml:space="preserve"> and </w:t>
      </w:r>
      <w:r w:rsidRPr="00A428C3">
        <w:t>H/C</w:t>
      </w:r>
      <w:r w:rsidR="00F81221">
        <w:t xml:space="preserve"> and </w:t>
      </w:r>
      <w:r w:rsidRPr="00A428C3">
        <w:t>O/C ratios of the cuticle-free compressions.</w:t>
      </w:r>
    </w:p>
    <w:p w:rsidR="00B95188" w:rsidRPr="00A428C3" w:rsidRDefault="00B95188" w:rsidP="00B95188">
      <w:pPr>
        <w:pStyle w:val="a0"/>
      </w:pPr>
      <w:r w:rsidRPr="00A428C3">
        <w:t>These results indicate that leaf cuticle-free compressions, which were initially cellulose rich (similar to 90% cellulose</w:t>
      </w:r>
      <w:r w:rsidR="00F81221">
        <w:t xml:space="preserve"> and </w:t>
      </w:r>
      <w:r w:rsidRPr="00A428C3">
        <w:t>hemicellulose, &lt; 10% lignin), can alter, during peatification</w:t>
      </w:r>
      <w:r w:rsidR="00F81221">
        <w:t xml:space="preserve"> and </w:t>
      </w:r>
      <w:r w:rsidRPr="00A428C3">
        <w:t>coalification, to a macromolecular structure similar to that of coalified wood (initially similar to 50% cellulose</w:t>
      </w:r>
      <w:r w:rsidR="00F81221">
        <w:t xml:space="preserve"> and </w:t>
      </w:r>
      <w:r w:rsidRPr="00A428C3">
        <w:t>hemicellulose, similar to 30%-50% lignin). Thus, a lignin-enriched structure is not a prerequisite for the formation of the macromolecular structure of vitrinite. In addition, the micro-FTIR spectra reveal the complexity of the molecular structure in coalified seed-fern leaves. The micro-FTIR data reveal some significant differences among the cuticles that may be of chemotaxonomic value. Clearly, a combination of macro-</w:t>
      </w:r>
      <w:r w:rsidR="00F81221">
        <w:t xml:space="preserve"> and </w:t>
      </w:r>
      <w:r w:rsidRPr="00A428C3">
        <w:t>micro-techniques offers a better basis for the interpretation of the molecular structure of pre-macerals</w:t>
      </w:r>
      <w:r w:rsidR="00F81221">
        <w:t xml:space="preserve"> and </w:t>
      </w:r>
      <w:r w:rsidRPr="00A428C3">
        <w:t>their alteration during peatification</w:t>
      </w:r>
      <w:r w:rsidR="00F81221">
        <w:t xml:space="preserve"> and </w:t>
      </w:r>
      <w:r w:rsidRPr="00A428C3">
        <w:t>coalification. Also, the data presented in this paper provide important new information that extends the data from morphological</w:t>
      </w:r>
      <w:r w:rsidR="00F81221">
        <w:t xml:space="preserve"> and </w:t>
      </w:r>
      <w:r w:rsidRPr="00A428C3">
        <w:t>cuticular taxonomic studies of some seed ferns. The data are encouraging preliminary advances in the chemotaxonomy of medullosan seed fern species.</w:t>
      </w:r>
    </w:p>
    <w:p w:rsidR="00B95188" w:rsidRPr="00A428C3" w:rsidRDefault="00B95188" w:rsidP="00B95188">
      <w:pPr>
        <w:pStyle w:val="a0"/>
      </w:pPr>
      <w:r w:rsidRPr="00A428C3">
        <w:t>Pyrolysis-gas chromatography (PY-GC) data for the cuticles of three seed-fern leaves indicate distinct chemical signatures for the two neuropterid leaves as compared to the Alethopteris leaf. This perhaps indicates a chemotaxomic factor, or it could be related to the greater thickness of the cuticle of Alethopteris. Mass spectrometric data are needed to identify individual components in the PY-GC chromatograms.</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State">
          <w:r w:rsidRPr="00A428C3">
            <w:t>Indiana</w:t>
          </w:r>
        </w:smartTag>
      </w:smartTag>
      <w:r w:rsidRPr="00A428C3">
        <w:t xml:space="preserve"> Paper Coal, Flash Pyrolysis, Subbituminous Coal, Plant Cuticles, IR, Chemistry, Vitrinite, Rank, Peat, Spectroscopy</w:t>
      </w:r>
    </w:p>
    <w:p w:rsidR="00B95188" w:rsidRPr="00A428C3" w:rsidRDefault="00B95188" w:rsidP="00B95188">
      <w:pPr>
        <w:pStyle w:val="a0"/>
      </w:pPr>
      <w:r w:rsidRPr="00A428C3">
        <w:t>Di Michele, W.A., Eble, C.F.</w:t>
      </w:r>
      <w:r w:rsidR="00F81221">
        <w:t xml:space="preserve"> and </w:t>
      </w:r>
      <w:r w:rsidRPr="00A428C3">
        <w:t xml:space="preserve">Chaney, D.S. (1996), A drowned lycopsid forest </w:t>
      </w:r>
      <w:r w:rsidRPr="00A428C3">
        <w:lastRenderedPageBreak/>
        <w:t xml:space="preserve">above the Mahoning coal (Conemaugh Group, Upper Pennsylvanian) in eastern </w:t>
      </w:r>
      <w:smartTag w:uri="urn:schemas-microsoft-com:office:smarttags" w:element="State">
        <w:r w:rsidRPr="00A428C3">
          <w:t>Ohio</w:t>
        </w:r>
      </w:smartTag>
      <w:r w:rsidRPr="00A428C3">
        <w:t xml:space="preserve">, </w:t>
      </w:r>
      <w:smartTag w:uri="urn:schemas-microsoft-com:office:smarttags" w:element="place">
        <w:smartTag w:uri="urn:schemas-microsoft-com:office:smarttags" w:element="country-region">
          <w:r w:rsidRPr="00A428C3">
            <w:t>USA</w:t>
          </w:r>
        </w:smartTag>
      </w:smartTag>
      <w:r w:rsidRPr="00A428C3">
        <w:t xml:space="preserve">. </w:t>
      </w:r>
      <w:r w:rsidRPr="00A428C3">
        <w:rPr>
          <w:i/>
          <w:iCs/>
        </w:rPr>
        <w:t>International Journal of Coal Geology</w:t>
      </w:r>
      <w:r w:rsidRPr="00A428C3">
        <w:t xml:space="preserve">, </w:t>
      </w:r>
      <w:r w:rsidRPr="00A428C3">
        <w:rPr>
          <w:b/>
        </w:rPr>
        <w:t>31</w:t>
      </w:r>
      <w:r w:rsidRPr="00A428C3">
        <w:t xml:space="preserve"> (1-4), 249-276.</w:t>
      </w:r>
    </w:p>
    <w:p w:rsidR="00B95188" w:rsidRPr="00A428C3" w:rsidRDefault="00B95188" w:rsidP="00B95188">
      <w:pPr>
        <w:pStyle w:val="a0"/>
      </w:pPr>
      <w:r w:rsidRPr="00A428C3">
        <w:t xml:space="preserve">Full Text: </w:t>
      </w:r>
      <w:hyperlink r:id="rId1717" w:history="1">
        <w:r w:rsidRPr="00A428C3">
          <w:rPr>
            <w:rStyle w:val="a5"/>
          </w:rPr>
          <w:t>I\Int J Coa Geo31, 249.pdf</w:t>
        </w:r>
      </w:hyperlink>
    </w:p>
    <w:p w:rsidR="00B95188" w:rsidRPr="00A428C3" w:rsidRDefault="00B95188" w:rsidP="00B95188">
      <w:pPr>
        <w:pStyle w:val="a0"/>
      </w:pPr>
      <w:r w:rsidRPr="00A428C3">
        <w:t xml:space="preserve">Abstract: Over 800 mud-filled casts of upright lycopsid tree stumps have been documented immediately above the Mahoning coal in an active underground mine located in northwestern </w:t>
      </w:r>
      <w:smartTag w:uri="urn:schemas-microsoft-com:office:smarttags" w:element="place">
        <w:smartTag w:uri="urn:schemas-microsoft-com:office:smarttags" w:element="City">
          <w:r w:rsidRPr="00A428C3">
            <w:t>Jefferson County</w:t>
          </w:r>
        </w:smartTag>
        <w:r w:rsidRPr="00A428C3">
          <w:t xml:space="preserve">, </w:t>
        </w:r>
        <w:smartTag w:uri="urn:schemas-microsoft-com:office:smarttags" w:element="State">
          <w:r w:rsidRPr="00A428C3">
            <w:t>Ohio</w:t>
          </w:r>
        </w:smartTag>
      </w:smartTag>
      <w:r w:rsidRPr="00A428C3">
        <w:t xml:space="preserve">. The coal body originated as a pod-shaped peat body of similar to </w:t>
      </w:r>
      <w:smartTag w:uri="urn:schemas-microsoft-com:office:smarttags" w:element="chmetcnv">
        <w:smartTagPr>
          <w:attr w:name="TCSC" w:val="0"/>
          <w:attr w:name="NumberType" w:val="1"/>
          <w:attr w:name="Negative" w:val="False"/>
          <w:attr w:name="HasSpace" w:val="True"/>
          <w:attr w:name="SourceValue" w:val="60"/>
          <w:attr w:name="UnitName" w:val="km"/>
        </w:smartTagPr>
        <w:r w:rsidRPr="00A428C3">
          <w:t>60 km</w:t>
        </w:r>
      </w:smartTag>
      <w:r w:rsidRPr="00A428C3">
        <w:rPr>
          <w:vertAlign w:val="superscript"/>
        </w:rPr>
        <w:t>2</w:t>
      </w:r>
      <w:r w:rsidRPr="00A428C3">
        <w:t>. Trees are rooted at several levels within a thin (15</w:t>
      </w:r>
      <w:smartTag w:uri="urn:schemas-microsoft-com:office:smarttags" w:element="chmetcnv">
        <w:smartTagPr>
          <w:attr w:name="TCSC" w:val="0"/>
          <w:attr w:name="NumberType" w:val="1"/>
          <w:attr w:name="Negative" w:val="True"/>
          <w:attr w:name="HasSpace" w:val="True"/>
          <w:attr w:name="SourceValue" w:val="40"/>
          <w:attr w:name="UnitName" w:val="cm"/>
        </w:smartTagPr>
        <w:r w:rsidRPr="00A428C3">
          <w:t>-40 cm</w:t>
        </w:r>
      </w:smartTag>
      <w:r w:rsidRPr="00A428C3">
        <w:t xml:space="preserve">) bone coal directly above the banded coal; they extend upward up to </w:t>
      </w:r>
      <w:smartTag w:uri="urn:schemas-microsoft-com:office:smarttags" w:element="chmetcnv">
        <w:smartTagPr>
          <w:attr w:name="TCSC" w:val="0"/>
          <w:attr w:name="NumberType" w:val="1"/>
          <w:attr w:name="Negative" w:val="False"/>
          <w:attr w:name="HasSpace" w:val="True"/>
          <w:attr w:name="SourceValue" w:val="15"/>
          <w:attr w:name="UnitName" w:val="cm"/>
        </w:smartTagPr>
        <w:r w:rsidRPr="00A428C3">
          <w:t>15 cm</w:t>
        </w:r>
      </w:smartTag>
      <w:r w:rsidRPr="00A428C3">
        <w:t xml:space="preserve"> into overlying, flat-bedded, carbonaceous mudstones that coarsen up. From a maximum basal diameter of </w:t>
      </w:r>
      <w:smartTag w:uri="urn:schemas-microsoft-com:office:smarttags" w:element="chmetcnv">
        <w:smartTagPr>
          <w:attr w:name="TCSC" w:val="0"/>
          <w:attr w:name="NumberType" w:val="1"/>
          <w:attr w:name="Negative" w:val="False"/>
          <w:attr w:name="HasSpace" w:val="True"/>
          <w:attr w:name="SourceValue" w:val="1.2"/>
          <w:attr w:name="UnitName" w:val="m"/>
        </w:smartTagPr>
        <w:r w:rsidRPr="00A428C3">
          <w:t>1.2 m</w:t>
        </w:r>
      </w:smartTag>
      <w:r w:rsidRPr="00A428C3">
        <w:t xml:space="preserve">, stumps taper upward to diameters no less than </w:t>
      </w:r>
      <w:smartTag w:uri="urn:schemas-microsoft-com:office:smarttags" w:element="chmetcnv">
        <w:smartTagPr>
          <w:attr w:name="TCSC" w:val="0"/>
          <w:attr w:name="NumberType" w:val="1"/>
          <w:attr w:name="Negative" w:val="False"/>
          <w:attr w:name="HasSpace" w:val="True"/>
          <w:attr w:name="SourceValue" w:val="0.3"/>
          <w:attr w:name="UnitName" w:val="m"/>
        </w:smartTagPr>
        <w:r w:rsidRPr="00A428C3">
          <w:t>0.3 m</w:t>
        </w:r>
      </w:smartTag>
      <w:r w:rsidRPr="00A428C3">
        <w:t xml:space="preserve">. Within single-entry transects, &lt; </w:t>
      </w:r>
      <w:smartTag w:uri="urn:schemas-microsoft-com:office:smarttags" w:element="chmetcnv">
        <w:smartTagPr>
          <w:attr w:name="TCSC" w:val="0"/>
          <w:attr w:name="NumberType" w:val="1"/>
          <w:attr w:name="Negative" w:val="False"/>
          <w:attr w:name="HasSpace" w:val="True"/>
          <w:attr w:name="SourceValue" w:val="6"/>
          <w:attr w:name="UnitName" w:val="m"/>
        </w:smartTagPr>
        <w:r w:rsidRPr="00A428C3">
          <w:t>6 m</w:t>
        </w:r>
      </w:smartTag>
      <w:r w:rsidRPr="00A428C3">
        <w:t xml:space="preserve"> wide that total </w:t>
      </w:r>
      <w:smartTag w:uri="urn:schemas-microsoft-com:office:smarttags" w:element="chmetcnv">
        <w:smartTagPr>
          <w:attr w:name="TCSC" w:val="0"/>
          <w:attr w:name="NumberType" w:val="1"/>
          <w:attr w:name="Negative" w:val="False"/>
          <w:attr w:name="HasSpace" w:val="True"/>
          <w:attr w:name="SourceValue" w:val="2585"/>
          <w:attr w:name="UnitName" w:val="m"/>
        </w:smartTagPr>
        <w:r w:rsidRPr="00A428C3">
          <w:t>2585 m</w:t>
        </w:r>
      </w:smartTag>
      <w:r w:rsidRPr="00A428C3">
        <w:t xml:space="preserve"> in length, stumps are randomly distributed. The trees are identified as lepidodendrids on the basis of gross morphology, external stem patterns,</w:t>
      </w:r>
      <w:r w:rsidR="00F81221">
        <w:t xml:space="preserve"> and </w:t>
      </w:r>
      <w:r w:rsidRPr="00A428C3">
        <w:t>attached stigmarian root systems,</w:t>
      </w:r>
      <w:r w:rsidR="00F81221">
        <w:t xml:space="preserve"> and </w:t>
      </w:r>
      <w:r w:rsidRPr="00A428C3">
        <w:t>provisionally as Lepidophloios or Lepidodendron by associated palynology of the enclosing matrix. Palynological analyses of incremental seam samples indicate an initial dominance of lycopsid spores with lepidodendracean affinities (Lycospora granulata from Lepidophloios hallii), replaced upwards by tree-fern spores, with a reoccurrence of lepidodendracean spores in the upper benches; spores of Sigillaria (Crassispora) are abundant only at the base of the coal. Petrographic analyses indicate a parallel trend from vitrinite-rich to inertinite-and liptinite-rich upward in the coal body. All data indicate that the peat represented by the Mahoning coal was drowned slowly. During the earliest stages of inundation, a lycopsid forest was re-established, only to be subsequently drowned.</w:t>
      </w:r>
    </w:p>
    <w:p w:rsidR="00B95188" w:rsidRPr="00A428C3" w:rsidRDefault="00B95188" w:rsidP="00B95188">
      <w:pPr>
        <w:pStyle w:val="a0"/>
      </w:pPr>
      <w:r w:rsidRPr="00A428C3">
        <w:t xml:space="preserve">Keywords: Swamp Vegetation, Paleoecology, Euramerica, Reproduction, Environment, </w:t>
      </w:r>
      <w:smartTag w:uri="urn:schemas-microsoft-com:office:smarttags" w:element="place">
        <w:smartTag w:uri="urn:schemas-microsoft-com:office:smarttags" w:element="State">
          <w:r w:rsidRPr="00A428C3">
            <w:t>Illinois</w:t>
          </w:r>
        </w:smartTag>
      </w:smartTag>
      <w:r w:rsidRPr="00A428C3">
        <w:t>, Lycopods, History, Bed</w:t>
      </w:r>
    </w:p>
    <w:p w:rsidR="00B95188" w:rsidRPr="00A428C3" w:rsidRDefault="00B95188" w:rsidP="00B95188">
      <w:pPr>
        <w:pStyle w:val="a0"/>
      </w:pPr>
      <w:r w:rsidRPr="00A428C3">
        <w:t>Eble, C.F., Greb, S.F., Williams, D.A.</w:t>
      </w:r>
      <w:r w:rsidR="00F81221">
        <w:t xml:space="preserve"> and </w:t>
      </w:r>
      <w:r w:rsidRPr="00A428C3">
        <w:t>Hower, J.C. (1999), Observations on the palynology, petrography</w:t>
      </w:r>
      <w:r w:rsidR="00F81221">
        <w:t xml:space="preserve"> and </w:t>
      </w:r>
      <w:r w:rsidRPr="00A428C3">
        <w:t xml:space="preserve">geochemistry of the </w:t>
      </w:r>
      <w:smartTag w:uri="urn:schemas-microsoft-com:office:smarttags" w:element="place">
        <w:r w:rsidRPr="00A428C3">
          <w:t>Western Kentucky</w:t>
        </w:r>
      </w:smartTag>
      <w:r w:rsidRPr="00A428C3">
        <w:t xml:space="preserve"> number 4 coal bed. </w:t>
      </w:r>
      <w:r w:rsidRPr="00A428C3">
        <w:rPr>
          <w:i/>
          <w:iCs/>
        </w:rPr>
        <w:t>International Journal of Coal Geology</w:t>
      </w:r>
      <w:r w:rsidRPr="00A428C3">
        <w:t xml:space="preserve">, </w:t>
      </w:r>
      <w:r w:rsidRPr="00A428C3">
        <w:rPr>
          <w:b/>
        </w:rPr>
        <w:t>39</w:t>
      </w:r>
      <w:r w:rsidRPr="00A428C3">
        <w:t xml:space="preserve"> (1-3), 121-139.</w:t>
      </w:r>
    </w:p>
    <w:p w:rsidR="00B95188" w:rsidRPr="00A428C3" w:rsidRDefault="00B95188" w:rsidP="00B95188">
      <w:pPr>
        <w:pStyle w:val="a0"/>
      </w:pPr>
      <w:r w:rsidRPr="00A428C3">
        <w:t xml:space="preserve">Full Text: </w:t>
      </w:r>
      <w:hyperlink r:id="rId1718" w:history="1">
        <w:r w:rsidRPr="00A428C3">
          <w:rPr>
            <w:rStyle w:val="a5"/>
          </w:rPr>
          <w:t>I\Int J Coa Geo39, 121.pdf</w:t>
        </w:r>
      </w:hyperlink>
    </w:p>
    <w:p w:rsidR="00B95188" w:rsidRPr="00A428C3" w:rsidRDefault="00B95188" w:rsidP="00B95188">
      <w:pPr>
        <w:pStyle w:val="a0"/>
      </w:pPr>
      <w:r w:rsidRPr="00A428C3">
        <w:t>Abstract: Eight bench-column samples of the Western Kentucky Number 4 coal bed, collected from an area along the southern margin of the Western Kentucky Coal Field, were analyzed palynologically, petrographically,</w:t>
      </w:r>
      <w:r w:rsidR="00F81221">
        <w:t xml:space="preserve"> and </w:t>
      </w:r>
      <w:r w:rsidRPr="00A428C3">
        <w:t>geochemically to document both temporal</w:t>
      </w:r>
      <w:r w:rsidR="00F81221">
        <w:t xml:space="preserve"> and </w:t>
      </w:r>
      <w:r w:rsidRPr="00A428C3">
        <w:t>spatial variability among these parameters. The Western Kentucky Number 4 coal occurs near the top of the Tradewater Formation, is of Early Desmoinesian age,</w:t>
      </w:r>
      <w:r w:rsidR="00F81221">
        <w:t xml:space="preserve"> and </w:t>
      </w:r>
      <w:r w:rsidRPr="00A428C3">
        <w:t>is correlative with the lower part of the Allegheny Formation of the Appalachian Basin,</w:t>
      </w:r>
      <w:r w:rsidR="00F81221">
        <w:t xml:space="preserve"> and </w:t>
      </w:r>
      <w:r w:rsidRPr="00A428C3">
        <w:t>Late Bolsovian strata of western Europe. Palynologically, the coal is co-dominated by spores that were produced by lycopod trees (Lycospora</w:t>
      </w:r>
      <w:r w:rsidR="00F81221">
        <w:t xml:space="preserve"> and </w:t>
      </w:r>
      <w:r w:rsidRPr="00A428C3">
        <w:t>Granasporites medius)</w:t>
      </w:r>
      <w:r w:rsidR="00F81221">
        <w:t xml:space="preserve"> and </w:t>
      </w:r>
      <w:r w:rsidRPr="00A428C3">
        <w:t xml:space="preserve">tree ferns. Thin-walled tree fern spores (Punctatisporites minutus, P, minutus, P. rotundus) are more abundant than </w:t>
      </w:r>
      <w:r w:rsidRPr="00A428C3">
        <w:lastRenderedPageBreak/>
        <w:t>thick-walled forms (Laevigatosporites globosus, P. granifer). Calamitean spores (Calamospora</w:t>
      </w:r>
      <w:r w:rsidR="00F81221">
        <w:t xml:space="preserve"> and </w:t>
      </w:r>
      <w:r w:rsidRPr="00A428C3">
        <w:t>Laevigatosporites spp.) are locally abundant as is cordaitean pollen (Florinites). Small fern (Granulatisporites)</w:t>
      </w:r>
      <w:r w:rsidR="00F81221">
        <w:t xml:space="preserve"> and </w:t>
      </w:r>
      <w:r w:rsidRPr="00A428C3">
        <w:t>small lycopod spores (Densosporites, Cirratriradites, Endosporites</w:t>
      </w:r>
      <w:r w:rsidR="00F81221">
        <w:t xml:space="preserve"> and </w:t>
      </w:r>
      <w:r w:rsidRPr="00A428C3">
        <w:t>Anacanthotriletes spinosus) are present, but occur in minor amounts. Temporal changes in palynomorph composition occur, but are not uniform between columns. Spatial variability among columns is also evident. Petrographically, the coal is dominated by vitrinite macerals, with telinite</w:t>
      </w:r>
      <w:r w:rsidR="00F81221">
        <w:t xml:space="preserve"> and </w:t>
      </w:r>
      <w:r w:rsidRPr="00A428C3">
        <w:t>telocollinite generally occurring more commonly than desmocollinite</w:t>
      </w:r>
      <w:r w:rsidR="00F81221">
        <w:t xml:space="preserve"> and </w:t>
      </w:r>
      <w:r w:rsidRPr="00A428C3">
        <w:t>gelocollinite. Basal benches typically contain high percentages of vitrinite; middle benches usually contain higher percentages of liptinite</w:t>
      </w:r>
      <w:r w:rsidR="00F81221">
        <w:t xml:space="preserve"> and </w:t>
      </w:r>
      <w:r w:rsidRPr="00A428C3">
        <w:t>inertinite. In about half the studied columns, the terminal coal benches show a slight increase in vitrinite. In the study area, the petrography of the Western Kentucky Number 4 coal is more uniform than the palynology. Ash yields</w:t>
      </w:r>
      <w:r w:rsidR="00F81221">
        <w:t xml:space="preserve"> and </w:t>
      </w:r>
      <w:r w:rsidRPr="00A428C3">
        <w:t>total sulfur contents are temporally uniform in some columns, but variable in others. In the latter case, higher percentages of ash</w:t>
      </w:r>
      <w:r w:rsidR="00F81221">
        <w:t xml:space="preserve"> and </w:t>
      </w:r>
      <w:r w:rsidRPr="00A428C3">
        <w:t>sulfur occur at the base of the bed</w:t>
      </w:r>
      <w:r w:rsidR="00F81221">
        <w:t xml:space="preserve"> and </w:t>
      </w:r>
      <w:r w:rsidRPr="00A428C3">
        <w:t>decrease up to the middle of the bed. The terminal benches of these columns often, but not always, show slight increases in ash or sulfur. Both syngenetic</w:t>
      </w:r>
      <w:r w:rsidR="00F81221">
        <w:t xml:space="preserve"> and </w:t>
      </w:r>
      <w:r w:rsidRPr="00A428C3">
        <w:t>epigenetic forms of sulfur are present in the Western Kentucky Number 4 coal. The high vitrinite contents</w:t>
      </w:r>
      <w:r w:rsidR="00F81221">
        <w:t xml:space="preserve"> and </w:t>
      </w:r>
      <w:r w:rsidRPr="00A428C3">
        <w:t>moderate to high sulfur contents suggest that the Western Kentucky Number 4 paleomire was mainly planar</w:t>
      </w:r>
      <w:r w:rsidR="00F81221">
        <w:t xml:space="preserve"> and </w:t>
      </w:r>
      <w:r w:rsidRPr="00A428C3">
        <w:t>rheotrophic throughout its developmental history. Groundwaters carrying dissolved solutes may have helped neutralize the normally acidic interstitial peat waters allowing for the production of sulfide minerals. Several of the columns with high sulfur contents at the base of the bed occur in faulted areas. The faults could have promoted the flow of groundwaters through the peat, providing an increased dissolved load for acid mitigation</w:t>
      </w:r>
      <w:r w:rsidR="00F81221">
        <w:t xml:space="preserve"> and </w:t>
      </w:r>
      <w:r w:rsidRPr="00A428C3">
        <w:t>sulfide formation. The concentration of sulfur at the base of the bed may be a function of the peat/underclay contact enhancing sulfide formation. The clay layer may also have acted as an impermeable boundary for downward moving groundwaters, causing mainly lateral, rather than vertical movement along the base of the coal bed. (C) 1999 Elsevier Science B.V. All rights reserved.</w:t>
      </w:r>
    </w:p>
    <w:p w:rsidR="00B95188" w:rsidRPr="00A428C3" w:rsidRDefault="00B95188" w:rsidP="00B95188">
      <w:pPr>
        <w:pStyle w:val="a0"/>
      </w:pPr>
      <w:r w:rsidRPr="00A428C3">
        <w:t xml:space="preserve">Keywords: Coal, Palynology, Petrography, Peat Formation, Lepidostrobus, Euramerica, </w:t>
      </w:r>
      <w:smartTag w:uri="urn:schemas-microsoft-com:office:smarttags" w:element="place">
        <w:smartTag w:uri="urn:schemas-microsoft-com:office:smarttags" w:element="City">
          <w:r w:rsidRPr="00A428C3">
            <w:t>Lycospora</w:t>
          </w:r>
        </w:smartTag>
        <w:r w:rsidRPr="00A428C3">
          <w:t xml:space="preserve">, </w:t>
        </w:r>
        <w:smartTag w:uri="urn:schemas-microsoft-com:office:smarttags" w:element="country-region">
          <w:r w:rsidRPr="00A428C3">
            <w:t>USA</w:t>
          </w:r>
        </w:smartTag>
      </w:smartTag>
    </w:p>
    <w:p w:rsidR="00B95188" w:rsidRPr="00A428C3" w:rsidRDefault="00B95188" w:rsidP="00B95188">
      <w:pPr>
        <w:pStyle w:val="a0"/>
      </w:pPr>
      <w:r w:rsidRPr="00A428C3">
        <w:t>Hower, J.C., Calder, J.H., Eble, C.F., Scott, A.C., Robertson, J.D.</w:t>
      </w:r>
      <w:r w:rsidR="00F81221">
        <w:t xml:space="preserve"> and </w:t>
      </w:r>
      <w:r w:rsidRPr="00A428C3">
        <w:t>Blanchard, L.J. (2000), Metalliferous coals of the Westphalian A Joggins Formation, Cumberland Basin, Nova Scotia, Canada: Petrology, geochemistry,</w:t>
      </w:r>
      <w:r w:rsidR="00F81221">
        <w:t xml:space="preserve"> and </w:t>
      </w:r>
      <w:r w:rsidRPr="00A428C3">
        <w:t xml:space="preserve">palynology. </w:t>
      </w:r>
      <w:r w:rsidRPr="00A428C3">
        <w:rPr>
          <w:i/>
          <w:iCs/>
        </w:rPr>
        <w:t>International Journal of Coal Geology</w:t>
      </w:r>
      <w:r w:rsidRPr="00A428C3">
        <w:t xml:space="preserve">, </w:t>
      </w:r>
      <w:r w:rsidRPr="00A428C3">
        <w:rPr>
          <w:b/>
        </w:rPr>
        <w:t>42</w:t>
      </w:r>
      <w:r w:rsidRPr="00A428C3">
        <w:t xml:space="preserve"> (2-3), 185-206.</w:t>
      </w:r>
    </w:p>
    <w:p w:rsidR="00B95188" w:rsidRPr="00A428C3" w:rsidRDefault="00B95188" w:rsidP="00B95188">
      <w:pPr>
        <w:pStyle w:val="a0"/>
      </w:pPr>
      <w:r w:rsidRPr="00A428C3">
        <w:t xml:space="preserve">Full Text: </w:t>
      </w:r>
      <w:hyperlink r:id="rId1719" w:history="1">
        <w:r w:rsidRPr="00A428C3">
          <w:rPr>
            <w:rStyle w:val="a5"/>
          </w:rPr>
          <w:t>I\Int J Coa Geo42, 185.pdf</w:t>
        </w:r>
      </w:hyperlink>
    </w:p>
    <w:p w:rsidR="00B95188" w:rsidRPr="00A428C3" w:rsidRDefault="00B95188" w:rsidP="00B95188">
      <w:pPr>
        <w:pStyle w:val="a0"/>
      </w:pPr>
      <w:r w:rsidRPr="00A428C3">
        <w:t xml:space="preserve">Abstract: Five coals of Westphalian A (early Middle Pennsylvanian) age were sampled from the Joggins Formation section exposed along Chignecto Bay at Joggins, Nova </w:t>
      </w:r>
      <w:r w:rsidRPr="00A428C3">
        <w:lastRenderedPageBreak/>
        <w:t>Scotia. Coal beds along the bay were mined beginning in the early 17th century, yet there have been few detailed published investigation of the coal beds of this classic section. The lowermost coal, the Upper Coal 28 (Upper Fundy), is a high-vitrinite coal with a spore assemblage dominated by arboreous lycopsid spores: with tree ferns subdominant, The upper portions of the coal bed have the highest ratio of well-preserved to poorly-preserved telinite of any of the coals investigated. Coal 19 (</w:t>
      </w:r>
      <w:r w:rsidR="000352E7">
        <w:t>“</w:t>
      </w:r>
      <w:r w:rsidRPr="00A428C3">
        <w:t>clam coal</w:t>
      </w:r>
      <w:r w:rsidR="000352E7">
        <w:t>”</w:t>
      </w:r>
      <w:r w:rsidRPr="00A428C3">
        <w:t>) has 88% total vitrinite but, unlike the Fundy coal bed, the telinite has a poor preservation ratio</w:t>
      </w:r>
      <w:r w:rsidR="00F81221">
        <w:t xml:space="preserve"> and </w:t>
      </w:r>
      <w:r w:rsidRPr="00A428C3">
        <w:t>half the total vitrinite population comprises gelocollinite</w:t>
      </w:r>
      <w:r w:rsidR="00F81221">
        <w:t xml:space="preserve"> and </w:t>
      </w:r>
      <w:r w:rsidRPr="00A428C3">
        <w:t>vitrodetrinite. The latter coal bed is directly overlain by a basin-wide limestone bed. The Lower Kimberly coal shows good preservation of vitrinite with relatively abundant telinite among the total vitrinite, The Middle Kimberly coal, which, underlies the tetrapod-bearing lycopsid trees found by Lyell</w:t>
      </w:r>
      <w:r w:rsidR="00F81221">
        <w:t xml:space="preserve"> and </w:t>
      </w:r>
      <w:r w:rsidRPr="00A428C3">
        <w:t>Dawson in 1852, exhibits an upward decrease in arboreous lycopod spores</w:t>
      </w:r>
      <w:r w:rsidR="00F81221">
        <w:t xml:space="preserve"> and </w:t>
      </w:r>
      <w:r w:rsidRPr="00A428C3">
        <w:t>an upward increase in the tree fern spore Punctatisporites minutes. Telinite preservation increases upwards in the Middle Kimberly but overall is well below the preservation ratio of the Upper Fundy coal bed. The coals all have high sulfur contents, yielding up to 13.7% total sulfur for the lower lithotype of the Upper Fundy coal bed. The Kimberly coals are not only high in total</w:t>
      </w:r>
      <w:r w:rsidR="00F81221">
        <w:t xml:space="preserve"> and </w:t>
      </w:r>
      <w:r w:rsidRPr="00A428C3">
        <w:t>pyritic sulfur, but also have high concentrations of chalcophile elements. Zinc, ranging up to 15,000 ppm (ash basis), is present as sphalerite in fusain lumens. Arsenic</w:t>
      </w:r>
      <w:r w:rsidR="00F81221">
        <w:t xml:space="preserve"> and </w:t>
      </w:r>
      <w:r w:rsidRPr="00A428C3">
        <w:t>lead each exceed 6000 ppm (ash basis) in separate lithotypes of the Kimberly coals. Together these data are consistent with elevated pH in planar mires. The source of the elemental enrichment in this presumed continental section is enigmatic. (C) 2000 Elsevier Science B.V. All rights reserved.</w:t>
      </w:r>
    </w:p>
    <w:p w:rsidR="00B95188" w:rsidRPr="00A428C3" w:rsidRDefault="00B95188" w:rsidP="00B95188">
      <w:pPr>
        <w:pStyle w:val="a0"/>
      </w:pPr>
      <w:r w:rsidRPr="00A428C3">
        <w:t>Keywords: Joggins, Nova Scotia, Petrology, Geochemistry, Palynology, Eastern Kentucky, Southwestern Virginia, Maritimes Basin, Bed, Paleoecology, Deposit, Constraints, Coalfield, Migration, Evolution</w:t>
      </w:r>
    </w:p>
    <w:p w:rsidR="00B95188" w:rsidRPr="00A428C3" w:rsidRDefault="00B95188" w:rsidP="00B95188">
      <w:pPr>
        <w:pStyle w:val="a0"/>
      </w:pPr>
      <w:r w:rsidRPr="00A428C3">
        <w:t>Eble, C.F., Greb, S.F.</w:t>
      </w:r>
      <w:r w:rsidR="00F81221">
        <w:t xml:space="preserve"> and </w:t>
      </w:r>
      <w:r w:rsidRPr="00A428C3">
        <w:t>Williams, D.A. (2001), The geology</w:t>
      </w:r>
      <w:r w:rsidR="00F81221">
        <w:t xml:space="preserve"> and </w:t>
      </w:r>
      <w:r w:rsidRPr="00A428C3">
        <w:t>palynology of Lower</w:t>
      </w:r>
      <w:r w:rsidR="00F81221">
        <w:t xml:space="preserve"> and </w:t>
      </w:r>
      <w:r w:rsidRPr="00A428C3">
        <w:t xml:space="preserve">Middle Pennsylvanian strata in the Western Kentucky Coal Field. </w:t>
      </w:r>
      <w:r w:rsidRPr="00A428C3">
        <w:rPr>
          <w:i/>
          <w:iCs/>
        </w:rPr>
        <w:t>International Journal of Coal Geology</w:t>
      </w:r>
      <w:r w:rsidRPr="00A428C3">
        <w:t xml:space="preserve">, </w:t>
      </w:r>
      <w:r w:rsidRPr="00A428C3">
        <w:rPr>
          <w:b/>
        </w:rPr>
        <w:t>47</w:t>
      </w:r>
      <w:r w:rsidRPr="00A428C3">
        <w:t xml:space="preserve"> (3-4), 189-206.</w:t>
      </w:r>
    </w:p>
    <w:p w:rsidR="00B95188" w:rsidRPr="00A428C3" w:rsidRDefault="00B95188" w:rsidP="00B95188">
      <w:pPr>
        <w:pStyle w:val="a0"/>
      </w:pPr>
      <w:r w:rsidRPr="00A428C3">
        <w:t xml:space="preserve">Full Text: </w:t>
      </w:r>
      <w:hyperlink r:id="rId1720" w:history="1">
        <w:r w:rsidRPr="00A428C3">
          <w:rPr>
            <w:rStyle w:val="a5"/>
          </w:rPr>
          <w:t>I\Int J Coa Geo47, 189.pdf</w:t>
        </w:r>
      </w:hyperlink>
    </w:p>
    <w:p w:rsidR="00B95188" w:rsidRPr="00A428C3" w:rsidRDefault="00B95188" w:rsidP="00B95188">
      <w:pPr>
        <w:pStyle w:val="a0"/>
      </w:pPr>
      <w:r w:rsidRPr="00A428C3">
        <w:t xml:space="preserve">Abstract: The Western Kentucky Coal Field is the southern tip of the Eastern Interior, or </w:t>
      </w:r>
      <w:smartTag w:uri="urn:schemas-microsoft-com:office:smarttags" w:element="place">
        <w:smartTag w:uri="urn:schemas-microsoft-com:office:smarttags" w:element="PlaceName">
          <w:r w:rsidRPr="00A428C3">
            <w:t>Illinois</w:t>
          </w:r>
        </w:smartTag>
        <w:r w:rsidRPr="00A428C3">
          <w:t xml:space="preserve"> </w:t>
        </w:r>
        <w:smartTag w:uri="urn:schemas-microsoft-com:office:smarttags" w:element="PlaceType">
          <w:r w:rsidRPr="00A428C3">
            <w:t>Basin</w:t>
          </w:r>
        </w:smartTag>
      </w:smartTag>
      <w:r w:rsidRPr="00A428C3">
        <w:t>. Pennsylvanian rocks in this area, which include conglomerate, sandstone, siltstone, shale, limestone</w:t>
      </w:r>
      <w:r w:rsidR="00F81221">
        <w:t xml:space="preserve"> and </w:t>
      </w:r>
      <w:r w:rsidRPr="00A428C3">
        <w:t xml:space="preserve">coal, were deposited primarily in coastal-deltaic settings at a time when western </w:t>
      </w:r>
      <w:smartTag w:uri="urn:schemas-microsoft-com:office:smarttags" w:element="place">
        <w:smartTag w:uri="urn:schemas-microsoft-com:office:smarttags" w:element="State">
          <w:r w:rsidRPr="00A428C3">
            <w:t>Kentucky</w:t>
          </w:r>
        </w:smartTag>
      </w:smartTag>
      <w:r w:rsidRPr="00A428C3">
        <w:t xml:space="preserve"> was located close to the equator. This paper discusses temporal changes in regional sedimentation patterns</w:t>
      </w:r>
      <w:r w:rsidR="00F81221">
        <w:t xml:space="preserve"> and </w:t>
      </w:r>
      <w:r w:rsidRPr="00A428C3">
        <w:t>coal-forming floras of Lower</w:t>
      </w:r>
      <w:r w:rsidR="00F81221">
        <w:t xml:space="preserve"> and </w:t>
      </w:r>
      <w:r w:rsidRPr="00A428C3">
        <w:t>Middle Pennsylvanian strata in the Western Kentucky Coal Field.</w:t>
      </w:r>
    </w:p>
    <w:p w:rsidR="00B95188" w:rsidRPr="00A428C3" w:rsidRDefault="00B95188" w:rsidP="00B95188">
      <w:pPr>
        <w:pStyle w:val="a0"/>
      </w:pPr>
      <w:r w:rsidRPr="00A428C3">
        <w:t xml:space="preserve">Lower Pennsylvanian strata of the Caseyville Formation are characterized by </w:t>
      </w:r>
      <w:r w:rsidRPr="00A428C3">
        <w:lastRenderedPageBreak/>
        <w:t>paleovalley-filling sedimentation patterns</w:t>
      </w:r>
      <w:r w:rsidR="00F81221">
        <w:t xml:space="preserve"> and </w:t>
      </w:r>
      <w:r w:rsidRPr="00A428C3">
        <w:t>extabasinal quartz pebbles. Caseyville Formation coals are characteristically thin</w:t>
      </w:r>
      <w:r w:rsidR="00F81221">
        <w:t xml:space="preserve"> and </w:t>
      </w:r>
      <w:r w:rsidRPr="00A428C3">
        <w:t>discontinuous</w:t>
      </w:r>
      <w:r w:rsidR="00F81221">
        <w:t xml:space="preserve"> and </w:t>
      </w:r>
      <w:r w:rsidRPr="00A428C3">
        <w:t>were strongly influenced by subsidence within underlying paleovalleys,</w:t>
      </w:r>
      <w:r w:rsidR="00F81221">
        <w:t xml:space="preserve"> and </w:t>
      </w:r>
      <w:r w:rsidRPr="00A428C3">
        <w:t>the dissected lower Pennsylvanian paleotopography. Caseyville coals are commonly dominated by Lycospora, but can also have variable palynofloras, which probably reflects variable edaphic conditions</w:t>
      </w:r>
      <w:r w:rsidR="00F81221">
        <w:t xml:space="preserve"> and </w:t>
      </w:r>
      <w:r w:rsidRPr="00A428C3">
        <w:t>edge effects within small, patchy paleomires. Tradewater Formation strata show increased marine influences</w:t>
      </w:r>
      <w:r w:rsidR="00F81221">
        <w:t xml:space="preserve"> and </w:t>
      </w:r>
      <w:r w:rsidRPr="00A428C3">
        <w:t>tidal-estuarine sedimentation, especially in the middle</w:t>
      </w:r>
      <w:r w:rsidR="00F81221">
        <w:t xml:space="preserve"> and </w:t>
      </w:r>
      <w:r w:rsidRPr="00A428C3">
        <w:t>upper parts. Coal beds in the lower part of the Tradewater typically are thin</w:t>
      </w:r>
      <w:r w:rsidR="00F81221">
        <w:t xml:space="preserve"> and </w:t>
      </w:r>
      <w:r w:rsidRPr="00A428C3">
        <w:t>discontinuous, although some economically important beds are present. Coals become thicker, more abundant</w:t>
      </w:r>
      <w:r w:rsidR="00F81221">
        <w:t xml:space="preserve"> and </w:t>
      </w:r>
      <w:r w:rsidRPr="00A428C3">
        <w:t>more laterally persistent towards the top of the formation. Palynologically, lower</w:t>
      </w:r>
      <w:r w:rsidR="00F81221">
        <w:t xml:space="preserve"> and </w:t>
      </w:r>
      <w:r w:rsidRPr="00A428C3">
        <w:t>middle Tradewater Formation coals are dominated by Lycospora, but begin to show increased amounts of tree fern spores. Middle</w:t>
      </w:r>
      <w:r w:rsidR="00F81221">
        <w:t xml:space="preserve"> and </w:t>
      </w:r>
      <w:r w:rsidRPr="00A428C3">
        <w:t>upper Tradewater coals are thicker</w:t>
      </w:r>
      <w:r w:rsidR="00F81221">
        <w:t xml:space="preserve"> and </w:t>
      </w:r>
      <w:r w:rsidRPr="00A428C3">
        <w:t>more continuous,</w:t>
      </w:r>
      <w:r w:rsidR="00F81221">
        <w:t xml:space="preserve"> and </w:t>
      </w:r>
      <w:r w:rsidRPr="00A428C3">
        <w:t>contain high percentages of tree fern spores. In addition, cordaite pollen is locally abundant in this interval.</w:t>
      </w:r>
    </w:p>
    <w:p w:rsidR="00B95188" w:rsidRPr="00A428C3" w:rsidRDefault="00B95188" w:rsidP="00B95188">
      <w:pPr>
        <w:pStyle w:val="a0"/>
      </w:pPr>
      <w:r w:rsidRPr="00A428C3">
        <w:t>Carbondale</w:t>
      </w:r>
      <w:r w:rsidR="00F81221">
        <w:t xml:space="preserve"> and </w:t>
      </w:r>
      <w:r w:rsidRPr="00A428C3">
        <w:t>Shelburn (Desmoinesian) strata are much more laterally continuous,</w:t>
      </w:r>
      <w:r w:rsidR="00F81221">
        <w:t xml:space="preserve"> and </w:t>
      </w:r>
      <w:r w:rsidRPr="00A428C3">
        <w:t>occur within classic cyclothems that can be traced across the coal field. Cyclothems have long been interpreted as being eustatically driven,</w:t>
      </w:r>
      <w:r w:rsidR="00F81221">
        <w:t xml:space="preserve"> and </w:t>
      </w:r>
      <w:r w:rsidRPr="00A428C3">
        <w:t>glacio-eustacy controlled not only sedimentation but also the formation of Desmoinesian paleomires. Palynologically, Carbondale</w:t>
      </w:r>
      <w:r w:rsidR="00F81221">
        <w:t xml:space="preserve"> and </w:t>
      </w:r>
      <w:r w:rsidRPr="00A428C3">
        <w:t>Shelburn coals are either dominated by Lycospora or have heterogeneous palynofloras. Palynologic</w:t>
      </w:r>
      <w:r w:rsidR="00F81221">
        <w:t xml:space="preserve"> and </w:t>
      </w:r>
      <w:r w:rsidRPr="00A428C3">
        <w:t>coal-quality data suggest that hydrologic base level may have been the primary control on Desmoinesian paleomires, rather than paleoclimate, as the coals display rheotrophic, rather than ombrotrophic characteristics. (C) 2001 Elsevier Science B.V. All rights reserved.</w:t>
      </w:r>
    </w:p>
    <w:p w:rsidR="00B95188" w:rsidRPr="00A428C3" w:rsidRDefault="00B95188" w:rsidP="00B95188">
      <w:pPr>
        <w:pStyle w:val="a0"/>
      </w:pPr>
      <w:r w:rsidRPr="00A428C3">
        <w:t xml:space="preserve">Keywords: </w:t>
      </w:r>
      <w:smartTag w:uri="urn:schemas-microsoft-com:office:smarttags" w:element="State">
        <w:r w:rsidRPr="00A428C3">
          <w:t>Kentucky</w:t>
        </w:r>
      </w:smartTag>
      <w:r w:rsidRPr="00A428C3">
        <w:t xml:space="preserve">, Pennsylvanian, Coal, Palynology, Paleoclimate Controls, Swamp Vegetation, Peat Formation, </w:t>
      </w:r>
      <w:smartTag w:uri="urn:schemas-microsoft-com:office:smarttags" w:element="State">
        <w:r w:rsidRPr="00A428C3">
          <w:t>Indiana</w:t>
        </w:r>
      </w:smartTag>
      <w:r w:rsidRPr="00A428C3">
        <w:t xml:space="preserve">, Reproduction, Euramerica, </w:t>
      </w:r>
      <w:smartTag w:uri="urn:schemas-microsoft-com:office:smarttags" w:element="place">
        <w:smartTag w:uri="urn:schemas-microsoft-com:office:smarttags" w:element="City">
          <w:r w:rsidRPr="00A428C3">
            <w:t>Basin</w:t>
          </w:r>
        </w:smartTag>
        <w:r w:rsidRPr="00A428C3">
          <w:t xml:space="preserve">, </w:t>
        </w:r>
        <w:smartTag w:uri="urn:schemas-microsoft-com:office:smarttags" w:element="country-region">
          <w:r w:rsidRPr="00A428C3">
            <w:t>USA</w:t>
          </w:r>
        </w:smartTag>
      </w:smartTag>
    </w:p>
    <w:p w:rsidR="00B95188" w:rsidRPr="00A428C3" w:rsidRDefault="00B95188" w:rsidP="00B95188">
      <w:pPr>
        <w:pStyle w:val="a0"/>
      </w:pPr>
      <w:r w:rsidRPr="00A428C3">
        <w:t>Zodrow, E.L.</w:t>
      </w:r>
      <w:r w:rsidR="00F81221">
        <w:t xml:space="preserve"> and </w:t>
      </w:r>
      <w:r w:rsidRPr="00A428C3">
        <w:t>Mastalerz, M. (2001), Chemotaxonomy for naturally macerated tree-fern cuticles (Medullosales</w:t>
      </w:r>
      <w:r w:rsidR="00F81221">
        <w:t xml:space="preserve"> and </w:t>
      </w:r>
      <w:r w:rsidRPr="00A428C3">
        <w:t>Marattiales), Carboniferous Sydney</w:t>
      </w:r>
      <w:r w:rsidR="00F81221">
        <w:t xml:space="preserve"> and </w:t>
      </w:r>
      <w:r w:rsidRPr="00A428C3">
        <w:t xml:space="preserve">Mabou Sub-Basins, </w:t>
      </w:r>
      <w:smartTag w:uri="urn:schemas-microsoft-com:office:smarttags" w:element="State">
        <w:r w:rsidRPr="00A428C3">
          <w:t>Nova Scotia</w:t>
        </w:r>
      </w:smartTag>
      <w:r w:rsidRPr="00A428C3">
        <w:t xml:space="preserve">, </w:t>
      </w:r>
      <w:smartTag w:uri="urn:schemas-microsoft-com:office:smarttags" w:element="country-region">
        <w:r w:rsidRPr="00A428C3">
          <w:t>Canada</w:t>
        </w:r>
      </w:smartTag>
      <w:r w:rsidRPr="00A428C3">
        <w:t xml:space="preserve">. </w:t>
      </w:r>
      <w:r w:rsidRPr="00A428C3">
        <w:rPr>
          <w:i/>
          <w:iCs/>
        </w:rPr>
        <w:t>International Journal of Coal Geology</w:t>
      </w:r>
      <w:r w:rsidRPr="00A428C3">
        <w:t xml:space="preserve">, </w:t>
      </w:r>
      <w:r w:rsidRPr="00A428C3">
        <w:rPr>
          <w:b/>
        </w:rPr>
        <w:t>47</w:t>
      </w:r>
      <w:r w:rsidRPr="00A428C3">
        <w:t xml:space="preserve"> (3-4), 255-275.</w:t>
      </w:r>
    </w:p>
    <w:p w:rsidR="00B95188" w:rsidRPr="00A428C3" w:rsidRDefault="00B95188" w:rsidP="00B95188">
      <w:pPr>
        <w:pStyle w:val="a0"/>
      </w:pPr>
      <w:r w:rsidRPr="00A428C3">
        <w:t xml:space="preserve">Full Text: </w:t>
      </w:r>
      <w:hyperlink r:id="rId1721" w:history="1">
        <w:r w:rsidRPr="00A428C3">
          <w:rPr>
            <w:rStyle w:val="a5"/>
          </w:rPr>
          <w:t>I\Int J Coa Geo47, 255.pdf</w:t>
        </w:r>
      </w:hyperlink>
    </w:p>
    <w:p w:rsidR="00B95188" w:rsidRPr="00A428C3" w:rsidRDefault="00B95188" w:rsidP="00B95188">
      <w:pPr>
        <w:pStyle w:val="a0"/>
      </w:pPr>
      <w:r w:rsidRPr="00A428C3">
        <w:t>Abstract: Naturally macerated cuticles (NMC)</w:t>
      </w:r>
      <w:r w:rsidR="00F81221">
        <w:t xml:space="preserve"> and </w:t>
      </w:r>
      <w:r w:rsidRPr="00A428C3">
        <w:t>one synangium, representing medullosalean</w:t>
      </w:r>
      <w:r w:rsidR="00F81221">
        <w:t xml:space="preserve"> and </w:t>
      </w:r>
      <w:r w:rsidRPr="00A428C3">
        <w:t xml:space="preserve">marattialean tree-fern species, from two Carboniferous coalfields in </w:t>
      </w:r>
      <w:smartTag w:uri="urn:schemas-microsoft-com:office:smarttags" w:element="State">
        <w:r w:rsidRPr="00A428C3">
          <w:t>Nova Scotia</w:t>
        </w:r>
      </w:smartTag>
      <w:r w:rsidRPr="00A428C3">
        <w:t xml:space="preserve">, </w:t>
      </w:r>
      <w:smartTag w:uri="urn:schemas-microsoft-com:office:smarttags" w:element="place">
        <w:smartTag w:uri="urn:schemas-microsoft-com:office:smarttags" w:element="country-region">
          <w:r w:rsidRPr="00A428C3">
            <w:t>Canada</w:t>
          </w:r>
        </w:smartTag>
      </w:smartTag>
      <w:r w:rsidRPr="00A428C3">
        <w:t>, are investigated. The samples were analyzed by infrared spectroscopy (FTIR),</w:t>
      </w:r>
      <w:r w:rsidR="00F81221">
        <w:t xml:space="preserve"> and </w:t>
      </w:r>
      <w:r w:rsidRPr="00A428C3">
        <w:t>by pyrolysis-gas chromatograph/mass spectrometry (py-Gc/Ms) techniques in search for chemical signatures that would help in developing a chemotaxonomic classification of Carboniferous fern species, assuming genetically dependent make-up of cuticles. FTIR-derived CH</w:t>
      </w:r>
      <w:r w:rsidRPr="00A428C3">
        <w:rPr>
          <w:vertAlign w:val="subscript"/>
        </w:rPr>
        <w:t>2</w:t>
      </w:r>
      <w:r w:rsidRPr="00A428C3">
        <w:t>/CH</w:t>
      </w:r>
      <w:r w:rsidRPr="00A428C3">
        <w:rPr>
          <w:vertAlign w:val="subscript"/>
        </w:rPr>
        <w:t>3</w:t>
      </w:r>
      <w:r w:rsidRPr="00A428C3">
        <w:t xml:space="preserve"> ratios, in </w:t>
      </w:r>
      <w:r w:rsidRPr="00A428C3">
        <w:lastRenderedPageBreak/>
        <w:t>conjunction with contributions from carboxyl groups, demonstrated a better potential for discriminating between medullosalean genera</w:t>
      </w:r>
      <w:r w:rsidR="00F81221">
        <w:t xml:space="preserve"> and </w:t>
      </w:r>
      <w:r w:rsidRPr="00A428C3">
        <w:t>species than molecular signatures obtained by py-Gc/Ms. However, the latter provided better data for differentiating medullosalean from marattialean tree ferns as a group. Changes in the chemical make-up of naturally macerated cuticles due to sample preparation are discussed. (C) 2001 Elsevier Science B.V All rights reserved.</w:t>
      </w:r>
    </w:p>
    <w:p w:rsidR="00B95188" w:rsidRPr="00A428C3" w:rsidRDefault="00B95188" w:rsidP="00B95188">
      <w:pPr>
        <w:pStyle w:val="a0"/>
      </w:pPr>
      <w:r w:rsidRPr="00A428C3">
        <w:t>Keywords: Carboniferous, Naturally Macerated Tree-Fern Cuticles, FTIR, PY-Gc/Ms Analyses, Chemotaxonomy, Epidermal Structure, FT-IR, Foliage, Spectra, Coals</w:t>
      </w:r>
    </w:p>
    <w:p w:rsidR="00B95188" w:rsidRPr="00A428C3" w:rsidRDefault="00B95188" w:rsidP="00B95188">
      <w:pPr>
        <w:pStyle w:val="a0"/>
      </w:pPr>
      <w:r w:rsidRPr="00A428C3">
        <w:t xml:space="preserve">? Querol, X., </w:t>
      </w:r>
      <w:smartTag w:uri="urn:schemas-microsoft-com:office:smarttags" w:element="place">
        <w:smartTag w:uri="urn:schemas-microsoft-com:office:smarttags" w:element="City">
          <w:r w:rsidRPr="00A428C3">
            <w:t>Moreno</w:t>
          </w:r>
        </w:smartTag>
      </w:smartTag>
      <w:r w:rsidRPr="00A428C3">
        <w:t>, N., Umaña, J.C., Alastuey, A., Hernández, E., López-Soler, A.</w:t>
      </w:r>
      <w:r w:rsidR="00F81221">
        <w:t xml:space="preserve"> and </w:t>
      </w:r>
      <w:r w:rsidRPr="00A428C3">
        <w:t xml:space="preserve">Plana, F. (2002), Synthesis of zeolites from coal fly ash: An overview. </w:t>
      </w:r>
      <w:r w:rsidRPr="00A428C3">
        <w:rPr>
          <w:i/>
          <w:iCs/>
        </w:rPr>
        <w:t>International Journal of Coal Geology</w:t>
      </w:r>
      <w:r w:rsidRPr="00A428C3">
        <w:t xml:space="preserve">, </w:t>
      </w:r>
      <w:r w:rsidRPr="00A428C3">
        <w:rPr>
          <w:b/>
        </w:rPr>
        <w:t>50</w:t>
      </w:r>
      <w:r w:rsidRPr="00A428C3">
        <w:t xml:space="preserve"> (1-4), 413-423.</w:t>
      </w:r>
    </w:p>
    <w:p w:rsidR="00B95188" w:rsidRPr="00A428C3" w:rsidRDefault="00B95188" w:rsidP="00B95188">
      <w:pPr>
        <w:pStyle w:val="a0"/>
      </w:pPr>
      <w:r w:rsidRPr="00A428C3">
        <w:t xml:space="preserve">Full Text: </w:t>
      </w:r>
      <w:hyperlink r:id="rId1722" w:history="1">
        <w:r w:rsidRPr="00A428C3">
          <w:rPr>
            <w:rStyle w:val="a5"/>
          </w:rPr>
          <w:t>2002\Int J Coa Geo50, 413.pdf</w:t>
        </w:r>
      </w:hyperlink>
    </w:p>
    <w:p w:rsidR="00B95188" w:rsidRPr="00A428C3" w:rsidRDefault="00B95188" w:rsidP="00B95188">
      <w:pPr>
        <w:pStyle w:val="a0"/>
      </w:pPr>
      <w:r w:rsidRPr="00A428C3">
        <w:t>Abstract: Coal combustion by-products production in USA</w:t>
      </w:r>
      <w:r w:rsidR="00F81221">
        <w:t xml:space="preserve"> and </w:t>
      </w:r>
      <w:r w:rsidRPr="00A428C3">
        <w:t>EU is estimated in around 115 million tons per year. A large portion of this production is accounted for the coal fly ash (CFA). Cement</w:t>
      </w:r>
      <w:r w:rsidR="00F81221">
        <w:t xml:space="preserve"> and </w:t>
      </w:r>
      <w:r w:rsidRPr="00A428C3">
        <w:t>concrete manufacturing consumes most of the CFA produced. Zeolite synthesized from CFA is a minor but interesting product, with high environmental applications. Zeolites may be easily obtained from CFA by relatively cheap</w:t>
      </w:r>
      <w:r w:rsidR="00F81221">
        <w:t xml:space="preserve"> and </w:t>
      </w:r>
      <w:r w:rsidRPr="00A428C3">
        <w:t>fast conversion processes. This paper provides an overview on the methodologies for zeolite synthesis from CFA,</w:t>
      </w:r>
      <w:r w:rsidR="00F81221">
        <w:t xml:space="preserve"> and </w:t>
      </w:r>
      <w:r w:rsidRPr="00A428C3">
        <w:t>a detailed description of conventional alkaline conversion processes, with special emphasis on the experimental conditions to obtain high cation exchange capacity (CEC) zeolites. Zeolitic products having up to 3 meq g−1 may be easily obtained from high-glass CFA by direct conversion. A review of potential applications of different zeolitic products for waste water</w:t>
      </w:r>
      <w:r w:rsidR="00F81221">
        <w:t xml:space="preserve"> and </w:t>
      </w:r>
      <w:r w:rsidRPr="00A428C3">
        <w:t>flue gas treatment is also given. The examination of the data presented by different authors reveals that one of the main potential application of this material is the uptake of heavy metals from polluted waste waters. The zeolitic material may be also used for the uptake of ammonium from polluted waters but high concentrations of other cations may considerably reduce the ammonium absorption efficiencies due to ion competition. Some of the zeolites synthesized may be also used as molecular sieves to adsorb water molecules from gas streams or to trap SO2</w:t>
      </w:r>
      <w:r w:rsidR="00F81221">
        <w:t xml:space="preserve"> and </w:t>
      </w:r>
      <w:r w:rsidRPr="00A428C3">
        <w:t>NH3 from low-water gaseous emissions.</w:t>
      </w:r>
    </w:p>
    <w:p w:rsidR="00B95188" w:rsidRPr="00A428C3" w:rsidRDefault="00B95188" w:rsidP="00B95188">
      <w:pPr>
        <w:pStyle w:val="a0"/>
      </w:pPr>
      <w:r w:rsidRPr="00A428C3">
        <w:t>Keywords: Coal Fly Ash, Zeolite Synthesis, Cation Exchange Capacity, Heavy Metals</w:t>
      </w:r>
      <w:r w:rsidR="00F81221">
        <w:t xml:space="preserve"> and </w:t>
      </w:r>
      <w:r w:rsidRPr="00A428C3">
        <w:t>Ammonium Uptake, Molecular Sieves</w:t>
      </w:r>
    </w:p>
    <w:p w:rsidR="00EC6DF0" w:rsidRDefault="00EC6DF0" w:rsidP="00EC6DF0">
      <w:pPr>
        <w:pStyle w:val="a0"/>
        <w:rPr>
          <w:kern w:val="0"/>
        </w:rPr>
      </w:pPr>
      <w:r>
        <w:rPr>
          <w:rFonts w:hint="eastAsia"/>
          <w:kern w:val="0"/>
        </w:rPr>
        <w:t xml:space="preserve">? </w:t>
      </w:r>
      <w:r>
        <w:rPr>
          <w:kern w:val="0"/>
        </w:rPr>
        <w:t>Gensterblum, Y., van Hemert, P., Billemont, P., Battistutta, E., Busch, A., Krooss, B.M., De Weireld, G.</w:t>
      </w:r>
      <w:r w:rsidR="00F81221">
        <w:rPr>
          <w:kern w:val="0"/>
        </w:rPr>
        <w:t xml:space="preserve"> and </w:t>
      </w:r>
      <w:r>
        <w:rPr>
          <w:kern w:val="0"/>
        </w:rPr>
        <w:t>Wolf, K.H.A.A. (2010), European inter-laboratory comparison of high pressure CO</w:t>
      </w:r>
      <w:r w:rsidRPr="0071742F">
        <w:rPr>
          <w:kern w:val="0"/>
          <w:vertAlign w:val="subscript"/>
        </w:rPr>
        <w:t>2</w:t>
      </w:r>
      <w:r>
        <w:rPr>
          <w:kern w:val="0"/>
        </w:rPr>
        <w:t xml:space="preserve"> sorption isotherms II: Natural coals. </w:t>
      </w:r>
      <w:r>
        <w:rPr>
          <w:i/>
          <w:iCs/>
          <w:kern w:val="0"/>
        </w:rPr>
        <w:t>International Journal of Coal Geology</w:t>
      </w:r>
      <w:r>
        <w:rPr>
          <w:kern w:val="0"/>
        </w:rPr>
        <w:t xml:space="preserve">, </w:t>
      </w:r>
      <w:r>
        <w:rPr>
          <w:b/>
          <w:bCs/>
          <w:kern w:val="0"/>
        </w:rPr>
        <w:t>84</w:t>
      </w:r>
      <w:r>
        <w:rPr>
          <w:kern w:val="0"/>
        </w:rPr>
        <w:t xml:space="preserve"> (2), 115-124.</w:t>
      </w:r>
    </w:p>
    <w:p w:rsidR="00EC6DF0" w:rsidRPr="00F219CA" w:rsidRDefault="00EC6DF0" w:rsidP="00EC6DF0">
      <w:pPr>
        <w:pStyle w:val="a0"/>
        <w:rPr>
          <w:kern w:val="0"/>
        </w:rPr>
      </w:pPr>
      <w:r>
        <w:rPr>
          <w:rFonts w:hint="eastAsia"/>
          <w:kern w:val="0"/>
        </w:rPr>
        <w:t>Full Text: 2010\</w:t>
      </w:r>
      <w:r w:rsidRPr="0071742F">
        <w:t>Int J Coa Geo84, 115</w:t>
      </w:r>
      <w:r w:rsidRPr="00610138">
        <w:rPr>
          <w:kern w:val="0"/>
          <w:szCs w:val="24"/>
        </w:rPr>
        <w:t>.pdf</w:t>
      </w:r>
    </w:p>
    <w:p w:rsidR="00EC6DF0" w:rsidRDefault="00EC6DF0" w:rsidP="00EC6DF0">
      <w:pPr>
        <w:pStyle w:val="a0"/>
        <w:rPr>
          <w:kern w:val="0"/>
        </w:rPr>
      </w:pPr>
      <w:r>
        <w:rPr>
          <w:kern w:val="0"/>
        </w:rPr>
        <w:t>Abstract: In order to assess</w:t>
      </w:r>
      <w:r w:rsidR="00F81221">
        <w:rPr>
          <w:kern w:val="0"/>
        </w:rPr>
        <w:t xml:space="preserve"> and </w:t>
      </w:r>
      <w:r>
        <w:rPr>
          <w:kern w:val="0"/>
        </w:rPr>
        <w:t xml:space="preserve">improve the quality of high-pressure sorption isotherms </w:t>
      </w:r>
      <w:r>
        <w:rPr>
          <w:kern w:val="0"/>
        </w:rPr>
        <w:lastRenderedPageBreak/>
        <w:t>of carbon dioxide (CO2) on coals, an inter-laboratory study (Round Robin) has been conducted among three European research laboratories. Excess sorption isotherms, determined in a first round of measurements, on Filtrasorb 400 (F400) activated carbon showed excellent agreement. In the second round of this study, excess sorption isotherms were determined on three coals at 318 K using the manometric (TU Delft, Netherlands</w:t>
      </w:r>
      <w:r w:rsidR="00F81221">
        <w:rPr>
          <w:kern w:val="0"/>
        </w:rPr>
        <w:t xml:space="preserve"> and </w:t>
      </w:r>
      <w:r>
        <w:rPr>
          <w:kern w:val="0"/>
        </w:rPr>
        <w:t>RWTH Aachen University, Germany)</w:t>
      </w:r>
      <w:r w:rsidR="00F81221">
        <w:rPr>
          <w:kern w:val="0"/>
        </w:rPr>
        <w:t xml:space="preserve"> and </w:t>
      </w:r>
      <w:r>
        <w:rPr>
          <w:kern w:val="0"/>
        </w:rPr>
        <w:t>the gravimetric (University Mons, Belgium) methods up to 16 MPa. The CO2 excess sorption isotherms for the three coal samples, a lignite, a bituminous coal</w:t>
      </w:r>
      <w:r w:rsidR="00F81221">
        <w:rPr>
          <w:kern w:val="0"/>
        </w:rPr>
        <w:t xml:space="preserve"> and </w:t>
      </w:r>
      <w:r>
        <w:rPr>
          <w:kern w:val="0"/>
        </w:rPr>
        <w:t>a semi-anthracite, exhibited maximum values of 1.77</w:t>
      </w:r>
      <w:r>
        <w:rPr>
          <w:kern w:val="0"/>
        </w:rPr>
        <w:sym w:font="Symbol" w:char="F0B1"/>
      </w:r>
      <w:r>
        <w:rPr>
          <w:kern w:val="0"/>
        </w:rPr>
        <w:t>0.07, 1.37</w:t>
      </w:r>
      <w:r>
        <w:rPr>
          <w:kern w:val="0"/>
        </w:rPr>
        <w:sym w:font="Symbol" w:char="F0B1"/>
      </w:r>
      <w:r>
        <w:rPr>
          <w:kern w:val="0"/>
        </w:rPr>
        <w:t>0.01</w:t>
      </w:r>
      <w:r w:rsidR="00F81221">
        <w:rPr>
          <w:kern w:val="0"/>
        </w:rPr>
        <w:t xml:space="preserve"> and </w:t>
      </w:r>
      <w:r>
        <w:rPr>
          <w:kern w:val="0"/>
        </w:rPr>
        <w:t>1.37</w:t>
      </w:r>
      <w:r>
        <w:rPr>
          <w:kern w:val="0"/>
        </w:rPr>
        <w:sym w:font="Symbol" w:char="F0B1"/>
      </w:r>
      <w:r>
        <w:rPr>
          <w:kern w:val="0"/>
        </w:rPr>
        <w:t>0.05 mol kg(-1) respectively. The pressure ranges for the observed maximum excess sorption capacities decreased with increasing maturities from 6.89</w:t>
      </w:r>
      <w:r>
        <w:rPr>
          <w:kern w:val="0"/>
        </w:rPr>
        <w:sym w:font="Symbol" w:char="F0B1"/>
      </w:r>
      <w:r>
        <w:rPr>
          <w:kern w:val="0"/>
        </w:rPr>
        <w:t>0.5 MPa for the lignite, to 6.68</w:t>
      </w:r>
      <w:r>
        <w:rPr>
          <w:kern w:val="0"/>
        </w:rPr>
        <w:sym w:font="Symbol" w:char="F0B1"/>
      </w:r>
      <w:r>
        <w:rPr>
          <w:kern w:val="0"/>
        </w:rPr>
        <w:t>0.4 MPa for the bituminous coal</w:t>
      </w:r>
      <w:r w:rsidR="00F81221">
        <w:rPr>
          <w:kern w:val="0"/>
        </w:rPr>
        <w:t xml:space="preserve"> and </w:t>
      </w:r>
      <w:r>
        <w:rPr>
          <w:kern w:val="0"/>
        </w:rPr>
        <w:t>to 5.89</w:t>
      </w:r>
      <w:r>
        <w:rPr>
          <w:kern w:val="0"/>
        </w:rPr>
        <w:sym w:font="Symbol" w:char="F0B1"/>
      </w:r>
      <w:r>
        <w:rPr>
          <w:kern w:val="0"/>
        </w:rPr>
        <w:t>0.6 MPa for the semi-anthracite. The results show that high-pressure CO</w:t>
      </w:r>
      <w:r w:rsidRPr="00EC6DF0">
        <w:rPr>
          <w:kern w:val="0"/>
          <w:vertAlign w:val="subscript"/>
        </w:rPr>
        <w:t>2</w:t>
      </w:r>
      <w:r>
        <w:rPr>
          <w:kern w:val="0"/>
        </w:rPr>
        <w:t xml:space="preserve"> excess sorption isotherms on natural coals in the supercritical range can be determined accurately with both gravimetric</w:t>
      </w:r>
      <w:r w:rsidR="00F81221">
        <w:rPr>
          <w:kern w:val="0"/>
        </w:rPr>
        <w:t xml:space="preserve"> and </w:t>
      </w:r>
      <w:r>
        <w:rPr>
          <w:kern w:val="0"/>
        </w:rPr>
        <w:t>manometric equipment. (C) 2010 Elsevier B.V. All rights reserved.</w:t>
      </w:r>
    </w:p>
    <w:p w:rsidR="00EC6DF0" w:rsidRDefault="00EC6DF0" w:rsidP="00EC6DF0">
      <w:pPr>
        <w:pStyle w:val="a0"/>
        <w:rPr>
          <w:kern w:val="0"/>
        </w:rPr>
      </w:pPr>
      <w:r>
        <w:rPr>
          <w:kern w:val="0"/>
        </w:rPr>
        <w:t>Keywords: Activated Carbon, Angle, Argonne Premium Coals, Behavior, Belgium, Bituminous Coal, Carbon, Carbon Dioxide, Carbon-Dioxide, CH</w:t>
      </w:r>
      <w:r w:rsidRPr="00EC6DF0">
        <w:rPr>
          <w:kern w:val="0"/>
          <w:vertAlign w:val="subscript"/>
        </w:rPr>
        <w:t>4</w:t>
      </w:r>
      <w:r>
        <w:rPr>
          <w:kern w:val="0"/>
        </w:rPr>
        <w:t>, CO</w:t>
      </w:r>
      <w:r w:rsidRPr="00EC6DF0">
        <w:rPr>
          <w:kern w:val="0"/>
          <w:vertAlign w:val="subscript"/>
        </w:rPr>
        <w:t>2</w:t>
      </w:r>
      <w:r>
        <w:rPr>
          <w:kern w:val="0"/>
        </w:rPr>
        <w:t>, CO</w:t>
      </w:r>
      <w:r w:rsidRPr="00EC6DF0">
        <w:rPr>
          <w:kern w:val="0"/>
          <w:vertAlign w:val="subscript"/>
        </w:rPr>
        <w:t>2</w:t>
      </w:r>
      <w:r>
        <w:rPr>
          <w:kern w:val="0"/>
        </w:rPr>
        <w:t xml:space="preserve"> Sorption, Coals, Comparison, Gas-Adsorption, Germany, High Pressure, Inter-Laboratory Comparison, Isotherms, Lignite, Methane, Mixtures, Pressure, Research, Semi-Anthracite, Sorption, Sorption Isotherms, Stressed Coal</w:t>
      </w:r>
    </w:p>
    <w:p w:rsidR="00984944" w:rsidRPr="001A3D2B" w:rsidRDefault="00984944" w:rsidP="00984944">
      <w:pPr>
        <w:pStyle w:val="1"/>
      </w:pPr>
      <w:r w:rsidRPr="001A3D2B">
        <w:br w:type="page"/>
      </w:r>
      <w:bookmarkStart w:id="1267" w:name="_Toc317161276"/>
      <w:r w:rsidRPr="001A3D2B">
        <w:lastRenderedPageBreak/>
        <w:t xml:space="preserve">Title: </w:t>
      </w:r>
      <w:r w:rsidRPr="008F184A">
        <w:rPr>
          <w:iCs/>
        </w:rPr>
        <w:t>International Journal of Colorectal Disease</w:t>
      </w:r>
      <w:bookmarkEnd w:id="1267"/>
    </w:p>
    <w:p w:rsidR="00984944" w:rsidRPr="008F184A" w:rsidRDefault="00984944" w:rsidP="00B72EF9">
      <w:pPr>
        <w:pStyle w:val="12"/>
        <w:rPr>
          <w:b/>
        </w:rPr>
      </w:pPr>
      <w:r w:rsidRPr="001A3D2B">
        <w:t xml:space="preserve">Full Journal Title: </w:t>
      </w:r>
      <w:hyperlink r:id="rId1723" w:history="1">
        <w:r w:rsidRPr="008F184A">
          <w:rPr>
            <w:rStyle w:val="a5"/>
            <w:iCs/>
          </w:rPr>
          <w:t>International Journal of Colorectal Disease</w:t>
        </w:r>
      </w:hyperlink>
    </w:p>
    <w:p w:rsidR="00984944" w:rsidRPr="001A3D2B" w:rsidRDefault="00984944" w:rsidP="00B72EF9">
      <w:pPr>
        <w:pStyle w:val="12"/>
      </w:pPr>
      <w:r w:rsidRPr="001A3D2B">
        <w:t>ISO Abbreviated Title:</w:t>
      </w:r>
    </w:p>
    <w:p w:rsidR="00984944" w:rsidRPr="001A3D2B" w:rsidRDefault="00984944" w:rsidP="00B72EF9">
      <w:pPr>
        <w:pStyle w:val="12"/>
      </w:pPr>
      <w:r w:rsidRPr="001A3D2B">
        <w:t xml:space="preserve">JCR Abbreviated Title: </w:t>
      </w:r>
    </w:p>
    <w:p w:rsidR="00984944" w:rsidRPr="001A3D2B" w:rsidRDefault="00984944" w:rsidP="00B72EF9">
      <w:pPr>
        <w:pStyle w:val="12"/>
      </w:pPr>
      <w:r w:rsidRPr="001A3D2B">
        <w:t xml:space="preserve">ISSN: </w:t>
      </w:r>
    </w:p>
    <w:p w:rsidR="00984944" w:rsidRPr="001A3D2B" w:rsidRDefault="00984944" w:rsidP="00B72EF9">
      <w:pPr>
        <w:pStyle w:val="12"/>
      </w:pPr>
      <w:r w:rsidRPr="001A3D2B">
        <w:t xml:space="preserve">Issues/Year: </w:t>
      </w:r>
    </w:p>
    <w:p w:rsidR="00984944" w:rsidRPr="001A3D2B" w:rsidRDefault="00984944" w:rsidP="00B72EF9">
      <w:pPr>
        <w:pStyle w:val="12"/>
      </w:pPr>
      <w:r w:rsidRPr="001A3D2B">
        <w:t xml:space="preserve">Journal Country/Territory: </w:t>
      </w:r>
    </w:p>
    <w:p w:rsidR="00984944" w:rsidRPr="001A3D2B" w:rsidRDefault="00984944" w:rsidP="00B72EF9">
      <w:pPr>
        <w:pStyle w:val="12"/>
      </w:pPr>
      <w:r w:rsidRPr="001A3D2B">
        <w:t xml:space="preserve">Language: </w:t>
      </w:r>
    </w:p>
    <w:p w:rsidR="00984944" w:rsidRPr="001A3D2B" w:rsidRDefault="00984944" w:rsidP="00B72EF9">
      <w:pPr>
        <w:pStyle w:val="12"/>
      </w:pPr>
      <w:r w:rsidRPr="001A3D2B">
        <w:t xml:space="preserve">Publisher: </w:t>
      </w:r>
    </w:p>
    <w:p w:rsidR="00984944" w:rsidRPr="001A3D2B" w:rsidRDefault="00984944" w:rsidP="00B72EF9">
      <w:pPr>
        <w:pStyle w:val="12"/>
      </w:pPr>
      <w:r w:rsidRPr="001A3D2B">
        <w:t xml:space="preserve">Publisher Address: </w:t>
      </w:r>
    </w:p>
    <w:p w:rsidR="00984944" w:rsidRPr="001A3D2B" w:rsidRDefault="00984944" w:rsidP="00B72EF9">
      <w:pPr>
        <w:pStyle w:val="12"/>
      </w:pPr>
      <w:r w:rsidRPr="001A3D2B">
        <w:t>Subject Categories:</w:t>
      </w:r>
    </w:p>
    <w:p w:rsidR="00984944" w:rsidRPr="001A3D2B" w:rsidRDefault="00984944" w:rsidP="00B72EF9">
      <w:pPr>
        <w:pStyle w:val="12"/>
      </w:pPr>
      <w:r w:rsidRPr="001A3D2B">
        <w:t>: Impact Factor</w:t>
      </w:r>
    </w:p>
    <w:p w:rsidR="00984944" w:rsidRDefault="00984944" w:rsidP="00984944">
      <w:pPr>
        <w:pStyle w:val="a0"/>
        <w:rPr>
          <w:kern w:val="0"/>
        </w:rPr>
      </w:pPr>
      <w:r>
        <w:rPr>
          <w:rFonts w:hint="eastAsia"/>
          <w:kern w:val="0"/>
        </w:rPr>
        <w:t xml:space="preserve">? </w:t>
      </w:r>
      <w:r>
        <w:rPr>
          <w:kern w:val="0"/>
        </w:rPr>
        <w:t>Tian, Y., Li, Y., Hu, Z.H., Wang, D.Q., Sun, X.Y.</w:t>
      </w:r>
      <w:r w:rsidR="00F81221">
        <w:rPr>
          <w:kern w:val="0"/>
        </w:rPr>
        <w:t xml:space="preserve"> and </w:t>
      </w:r>
      <w:r>
        <w:rPr>
          <w:kern w:val="0"/>
        </w:rPr>
        <w:t xml:space="preserve">Ren, C.S. (2010), Differential effects of NOD2 polymorphisms on colorectal cancer risk: </w:t>
      </w:r>
      <w:r>
        <w:rPr>
          <w:rFonts w:hint="eastAsia"/>
          <w:kern w:val="0"/>
        </w:rPr>
        <w:t>A</w:t>
      </w:r>
      <w:r>
        <w:rPr>
          <w:kern w:val="0"/>
        </w:rPr>
        <w:t xml:space="preserve"> meta-analysis. </w:t>
      </w:r>
      <w:r w:rsidRPr="008F184A">
        <w:rPr>
          <w:i/>
          <w:iCs/>
          <w:kern w:val="0"/>
        </w:rPr>
        <w:t>International Journal of Colorectal Disease</w:t>
      </w:r>
      <w:r>
        <w:rPr>
          <w:kern w:val="0"/>
        </w:rPr>
        <w:t xml:space="preserve">, </w:t>
      </w:r>
      <w:r>
        <w:rPr>
          <w:b/>
          <w:bCs/>
          <w:kern w:val="0"/>
        </w:rPr>
        <w:t>25</w:t>
      </w:r>
      <w:r>
        <w:rPr>
          <w:kern w:val="0"/>
        </w:rPr>
        <w:t xml:space="preserve"> (2), 161-168.</w:t>
      </w:r>
    </w:p>
    <w:p w:rsidR="00984944" w:rsidRDefault="00984944" w:rsidP="00984944">
      <w:pPr>
        <w:pStyle w:val="a0"/>
        <w:rPr>
          <w:kern w:val="0"/>
        </w:rPr>
      </w:pPr>
      <w:r>
        <w:rPr>
          <w:rFonts w:hint="eastAsia"/>
          <w:kern w:val="0"/>
        </w:rPr>
        <w:t xml:space="preserve">Full Text: </w:t>
      </w:r>
      <w:hyperlink r:id="rId1724" w:history="1">
        <w:r w:rsidRPr="008F184A">
          <w:rPr>
            <w:rStyle w:val="a5"/>
            <w:kern w:val="0"/>
          </w:rPr>
          <w:t>2010\Int J Col Dis25, 161.pdf</w:t>
        </w:r>
      </w:hyperlink>
    </w:p>
    <w:p w:rsidR="00984944" w:rsidRDefault="00984944" w:rsidP="00984944">
      <w:pPr>
        <w:pStyle w:val="a0"/>
        <w:rPr>
          <w:kern w:val="0"/>
        </w:rPr>
      </w:pPr>
      <w:r>
        <w:rPr>
          <w:kern w:val="0"/>
        </w:rPr>
        <w:t>Abstract: Since Kurzawski et al. described an association between the 3020insC NOD2 single nucleotide polymorphism</w:t>
      </w:r>
      <w:r w:rsidR="00F81221">
        <w:rPr>
          <w:kern w:val="0"/>
        </w:rPr>
        <w:t xml:space="preserve"> and </w:t>
      </w:r>
      <w:r>
        <w:rPr>
          <w:kern w:val="0"/>
        </w:rPr>
        <w:t>the risk of colorectal cancer(CRC) in 2004, reports published in the past several years have controversial results regarding the relationship between the development of CRC</w:t>
      </w:r>
      <w:r w:rsidR="00F81221">
        <w:rPr>
          <w:kern w:val="0"/>
        </w:rPr>
        <w:t xml:space="preserve"> and </w:t>
      </w:r>
      <w:r>
        <w:rPr>
          <w:kern w:val="0"/>
        </w:rPr>
        <w:t>NOD2 gene polymorphisms. To clarify the potential role of NOD2 P286S, R702W, G908R,</w:t>
      </w:r>
      <w:r w:rsidR="00F81221">
        <w:rPr>
          <w:kern w:val="0"/>
        </w:rPr>
        <w:t xml:space="preserve"> and </w:t>
      </w:r>
      <w:r>
        <w:rPr>
          <w:kern w:val="0"/>
        </w:rPr>
        <w:t>3020insC polymorphisms in CRC patients, we have undertaken a systematic review</w:t>
      </w:r>
      <w:r w:rsidR="00F81221">
        <w:rPr>
          <w:kern w:val="0"/>
        </w:rPr>
        <w:t xml:space="preserve"> and </w:t>
      </w:r>
      <w:r>
        <w:rPr>
          <w:kern w:val="0"/>
        </w:rPr>
        <w:t>meta-analysis of published articles. Studies reporting on NOD2 polymorphisms</w:t>
      </w:r>
      <w:r w:rsidR="00F81221">
        <w:rPr>
          <w:kern w:val="0"/>
        </w:rPr>
        <w:t xml:space="preserve"> and </w:t>
      </w:r>
      <w:r>
        <w:rPr>
          <w:kern w:val="0"/>
        </w:rPr>
        <w:t>CRC were searched in the PubMed, EMBASE,</w:t>
      </w:r>
      <w:r w:rsidR="00F81221">
        <w:rPr>
          <w:kern w:val="0"/>
        </w:rPr>
        <w:t xml:space="preserve"> and </w:t>
      </w:r>
      <w:r>
        <w:rPr>
          <w:kern w:val="0"/>
        </w:rPr>
        <w:t xml:space="preserve">the Science Citation Index from the inception of each database to May, 2009. The search strategy included the keywords </w:t>
      </w:r>
      <w:r w:rsidR="000352E7">
        <w:rPr>
          <w:kern w:val="0"/>
        </w:rPr>
        <w:t>“</w:t>
      </w:r>
      <w:r>
        <w:rPr>
          <w:kern w:val="0"/>
        </w:rPr>
        <w:t>CRC</w:t>
      </w:r>
      <w:r w:rsidR="000352E7">
        <w:rPr>
          <w:kern w:val="0"/>
        </w:rPr>
        <w:t>”</w:t>
      </w:r>
      <w:r>
        <w:rPr>
          <w:kern w:val="0"/>
        </w:rPr>
        <w:t xml:space="preserve">, </w:t>
      </w:r>
      <w:r w:rsidR="000352E7">
        <w:rPr>
          <w:kern w:val="0"/>
        </w:rPr>
        <w:t>“</w:t>
      </w:r>
      <w:r>
        <w:rPr>
          <w:kern w:val="0"/>
        </w:rPr>
        <w:t>colon cancer</w:t>
      </w:r>
      <w:r w:rsidR="000352E7">
        <w:rPr>
          <w:kern w:val="0"/>
        </w:rPr>
        <w:t>”</w:t>
      </w:r>
      <w:r>
        <w:rPr>
          <w:kern w:val="0"/>
        </w:rPr>
        <w:t xml:space="preserve">, </w:t>
      </w:r>
      <w:r w:rsidR="000352E7">
        <w:rPr>
          <w:kern w:val="0"/>
        </w:rPr>
        <w:t>“</w:t>
      </w:r>
      <w:r>
        <w:rPr>
          <w:kern w:val="0"/>
        </w:rPr>
        <w:t>rectal cancer</w:t>
      </w:r>
      <w:r w:rsidR="000352E7">
        <w:rPr>
          <w:kern w:val="0"/>
        </w:rPr>
        <w:t>”</w:t>
      </w:r>
      <w:r>
        <w:rPr>
          <w:kern w:val="0"/>
        </w:rPr>
        <w:t xml:space="preserve">, </w:t>
      </w:r>
      <w:r w:rsidR="000352E7">
        <w:rPr>
          <w:kern w:val="0"/>
        </w:rPr>
        <w:t>“</w:t>
      </w:r>
      <w:r>
        <w:rPr>
          <w:kern w:val="0"/>
        </w:rPr>
        <w:t>polymorphism</w:t>
      </w:r>
      <w:r w:rsidR="000352E7">
        <w:rPr>
          <w:kern w:val="0"/>
        </w:rPr>
        <w:t>”</w:t>
      </w:r>
      <w:r>
        <w:rPr>
          <w:kern w:val="0"/>
        </w:rPr>
        <w:t>,</w:t>
      </w:r>
      <w:r w:rsidR="00F81221">
        <w:rPr>
          <w:kern w:val="0"/>
        </w:rPr>
        <w:t xml:space="preserve"> and </w:t>
      </w:r>
      <w:r w:rsidR="000352E7">
        <w:rPr>
          <w:kern w:val="0"/>
        </w:rPr>
        <w:t>“</w:t>
      </w:r>
      <w:r>
        <w:rPr>
          <w:kern w:val="0"/>
        </w:rPr>
        <w:t>NOD2/CARD15</w:t>
      </w:r>
      <w:r w:rsidR="000352E7">
        <w:rPr>
          <w:kern w:val="0"/>
        </w:rPr>
        <w:t>”</w:t>
      </w:r>
      <w:r>
        <w:rPr>
          <w:kern w:val="0"/>
        </w:rPr>
        <w:t>. Eight eligible case-control studies about Caucasians from four countries contributed data on 5,888 subjects (cases: 3,524; controls: 2,364). Compared to the wild genotype, the R702W, G908R,</w:t>
      </w:r>
      <w:r w:rsidR="00F81221">
        <w:rPr>
          <w:kern w:val="0"/>
        </w:rPr>
        <w:t xml:space="preserve"> and </w:t>
      </w:r>
      <w:r>
        <w:rPr>
          <w:kern w:val="0"/>
        </w:rPr>
        <w:t>3020insC polymorphisms were associated with an increased risk of CRC (odds ratio (OR): 1.59, 1.98, 1.44; 95% confidence interval (CI): 1.09-2.32, 1.14-3.44, 1.13-1.84; P = 0.02, 0.01, 0.003). However, P268S polymorphism did not influence CRC risk (OR: 1.27; CI: 0.32-5.00; P = 0.73). These findings indicate that NOD2 R702W, G908R,</w:t>
      </w:r>
      <w:r w:rsidR="00F81221">
        <w:rPr>
          <w:kern w:val="0"/>
        </w:rPr>
        <w:t xml:space="preserve"> and </w:t>
      </w:r>
      <w:r>
        <w:rPr>
          <w:kern w:val="0"/>
        </w:rPr>
        <w:t>3020insC polymorphisms contribute to CRC susceptibility in Caucasians. Meta-analysis of these polymorphisms in NOD2 gene will help determine their role in CRC carcinogenesis.</w:t>
      </w:r>
    </w:p>
    <w:p w:rsidR="00984944" w:rsidRDefault="00984944" w:rsidP="00984944">
      <w:pPr>
        <w:pStyle w:val="a0"/>
        <w:rPr>
          <w:kern w:val="0"/>
        </w:rPr>
      </w:pPr>
      <w:r>
        <w:rPr>
          <w:kern w:val="0"/>
        </w:rPr>
        <w:t xml:space="preserve">Keywords: Breast-Cancer, Case-Control, Cell-Growth, Cigarette-Smoking, Citation, </w:t>
      </w:r>
      <w:r>
        <w:rPr>
          <w:kern w:val="0"/>
        </w:rPr>
        <w:lastRenderedPageBreak/>
        <w:t>Colorectal Cancer, Crohns-Disease, Genetic Association, Genome-Wide Association, Inflammatory-Bowel-Disease, Meta-Analysis, NF-Kappa-B, NOD2, Card15, Polymorphism, Population, Science Citation Index, Susceptibility Locus, Systematic Review</w:t>
      </w:r>
    </w:p>
    <w:p w:rsidR="00B07161" w:rsidRPr="001A3D2B" w:rsidRDefault="00B07161" w:rsidP="00B07161">
      <w:pPr>
        <w:pStyle w:val="1"/>
      </w:pPr>
      <w:r w:rsidRPr="001A3D2B">
        <w:br w:type="page"/>
      </w:r>
      <w:bookmarkStart w:id="1268" w:name="_Toc317161277"/>
      <w:r w:rsidRPr="001A3D2B">
        <w:lastRenderedPageBreak/>
        <w:t xml:space="preserve">Title: </w:t>
      </w:r>
      <w:r w:rsidRPr="001803BE">
        <w:rPr>
          <w:iCs/>
        </w:rPr>
        <w:t>International Journal of Computers Communications &amp; Control</w:t>
      </w:r>
      <w:bookmarkEnd w:id="1268"/>
    </w:p>
    <w:p w:rsidR="00B07161" w:rsidRPr="008F184A" w:rsidRDefault="00B07161" w:rsidP="00B72EF9">
      <w:pPr>
        <w:pStyle w:val="12"/>
        <w:rPr>
          <w:b/>
        </w:rPr>
      </w:pPr>
      <w:r w:rsidRPr="001A3D2B">
        <w:t xml:space="preserve">Full Journal Title: </w:t>
      </w:r>
      <w:r w:rsidRPr="001803BE">
        <w:t>International Journal of Computers Communications &amp; Control</w:t>
      </w:r>
    </w:p>
    <w:p w:rsidR="00B07161" w:rsidRPr="001A3D2B" w:rsidRDefault="00B07161" w:rsidP="00B72EF9">
      <w:pPr>
        <w:pStyle w:val="12"/>
      </w:pPr>
      <w:r w:rsidRPr="001A3D2B">
        <w:t>ISO Abbreviated Title:</w:t>
      </w:r>
    </w:p>
    <w:p w:rsidR="00B07161" w:rsidRPr="001A3D2B" w:rsidRDefault="00B07161" w:rsidP="00B72EF9">
      <w:pPr>
        <w:pStyle w:val="12"/>
      </w:pPr>
      <w:r w:rsidRPr="001A3D2B">
        <w:t xml:space="preserve">JCR Abbreviated Title: </w:t>
      </w:r>
    </w:p>
    <w:p w:rsidR="00B07161" w:rsidRPr="001A3D2B" w:rsidRDefault="00B07161" w:rsidP="00B72EF9">
      <w:pPr>
        <w:pStyle w:val="12"/>
      </w:pPr>
      <w:r w:rsidRPr="001A3D2B">
        <w:t xml:space="preserve">ISSN: </w:t>
      </w:r>
    </w:p>
    <w:p w:rsidR="00B07161" w:rsidRPr="001A3D2B" w:rsidRDefault="00B07161" w:rsidP="00B72EF9">
      <w:pPr>
        <w:pStyle w:val="12"/>
      </w:pPr>
      <w:r w:rsidRPr="001A3D2B">
        <w:t xml:space="preserve">Issues/Year: </w:t>
      </w:r>
    </w:p>
    <w:p w:rsidR="00B07161" w:rsidRPr="001A3D2B" w:rsidRDefault="00B07161" w:rsidP="00B72EF9">
      <w:pPr>
        <w:pStyle w:val="12"/>
      </w:pPr>
      <w:r w:rsidRPr="001A3D2B">
        <w:t xml:space="preserve">Journal Country/Territory: </w:t>
      </w:r>
    </w:p>
    <w:p w:rsidR="00B07161" w:rsidRPr="001A3D2B" w:rsidRDefault="00B07161" w:rsidP="00B72EF9">
      <w:pPr>
        <w:pStyle w:val="12"/>
      </w:pPr>
      <w:r w:rsidRPr="001A3D2B">
        <w:t xml:space="preserve">Language: </w:t>
      </w:r>
    </w:p>
    <w:p w:rsidR="00B07161" w:rsidRPr="001A3D2B" w:rsidRDefault="00B07161" w:rsidP="00B72EF9">
      <w:pPr>
        <w:pStyle w:val="12"/>
      </w:pPr>
      <w:r w:rsidRPr="001A3D2B">
        <w:t xml:space="preserve">Publisher: </w:t>
      </w:r>
    </w:p>
    <w:p w:rsidR="00B07161" w:rsidRPr="001A3D2B" w:rsidRDefault="00B07161" w:rsidP="00B72EF9">
      <w:pPr>
        <w:pStyle w:val="12"/>
      </w:pPr>
      <w:r w:rsidRPr="001A3D2B">
        <w:t xml:space="preserve">Publisher Address: </w:t>
      </w:r>
    </w:p>
    <w:p w:rsidR="00B07161" w:rsidRPr="001A3D2B" w:rsidRDefault="00B07161" w:rsidP="00B72EF9">
      <w:pPr>
        <w:pStyle w:val="12"/>
      </w:pPr>
      <w:r w:rsidRPr="001A3D2B">
        <w:t>Subject Categories:</w:t>
      </w:r>
    </w:p>
    <w:p w:rsidR="00B07161" w:rsidRPr="001A3D2B" w:rsidRDefault="00B07161" w:rsidP="00B72EF9">
      <w:pPr>
        <w:pStyle w:val="12"/>
      </w:pPr>
      <w:r w:rsidRPr="001A3D2B">
        <w:t>: Impact Factor</w:t>
      </w:r>
    </w:p>
    <w:p w:rsidR="00B07161" w:rsidRDefault="00B07161" w:rsidP="00B07161">
      <w:pPr>
        <w:pStyle w:val="a0"/>
        <w:rPr>
          <w:kern w:val="0"/>
        </w:rPr>
      </w:pPr>
      <w:r>
        <w:rPr>
          <w:rFonts w:hint="eastAsia"/>
          <w:kern w:val="0"/>
        </w:rPr>
        <w:t xml:space="preserve">? </w:t>
      </w:r>
      <w:r w:rsidRPr="00AB7848">
        <w:rPr>
          <w:kern w:val="0"/>
        </w:rPr>
        <w:t>Hasanagas, N.D., Styliadis, A.D.</w:t>
      </w:r>
      <w:r w:rsidR="00F81221">
        <w:rPr>
          <w:kern w:val="0"/>
        </w:rPr>
        <w:t xml:space="preserve"> and </w:t>
      </w:r>
      <w:r w:rsidRPr="00AB7848">
        <w:rPr>
          <w:kern w:val="0"/>
        </w:rPr>
        <w:t>Papadopoulou, E.I. (2010), Environmental policy</w:t>
      </w:r>
      <w:r w:rsidR="00F81221">
        <w:rPr>
          <w:kern w:val="0"/>
        </w:rPr>
        <w:t xml:space="preserve"> and </w:t>
      </w:r>
      <w:r w:rsidRPr="00AB7848">
        <w:rPr>
          <w:kern w:val="0"/>
        </w:rPr>
        <w:t xml:space="preserve">science management: Using a scientometric-specific GIS for E-learning purposes. </w:t>
      </w:r>
      <w:r w:rsidRPr="001803BE">
        <w:rPr>
          <w:i/>
          <w:iCs/>
          <w:kern w:val="0"/>
        </w:rPr>
        <w:t>International Journal of Computers Communications &amp; Control</w:t>
      </w:r>
      <w:r w:rsidRPr="00AB7848">
        <w:rPr>
          <w:kern w:val="0"/>
        </w:rPr>
        <w:t xml:space="preserve">, </w:t>
      </w:r>
      <w:r w:rsidRPr="00AB7848">
        <w:rPr>
          <w:b/>
          <w:bCs/>
          <w:kern w:val="0"/>
        </w:rPr>
        <w:t>5</w:t>
      </w:r>
      <w:r w:rsidRPr="00AB7848">
        <w:rPr>
          <w:kern w:val="0"/>
        </w:rPr>
        <w:t xml:space="preserve"> (2), 171-178</w:t>
      </w:r>
      <w:r w:rsidR="007B2D95">
        <w:rPr>
          <w:rFonts w:hint="eastAsia"/>
          <w:kern w:val="0"/>
        </w:rPr>
        <w:t>.</w:t>
      </w:r>
    </w:p>
    <w:p w:rsidR="007B2D95" w:rsidRPr="00AB7848" w:rsidRDefault="007B2D95" w:rsidP="00B07161">
      <w:pPr>
        <w:pStyle w:val="a0"/>
        <w:rPr>
          <w:kern w:val="0"/>
        </w:rPr>
      </w:pPr>
      <w:r>
        <w:rPr>
          <w:rFonts w:hint="eastAsia"/>
          <w:kern w:val="0"/>
        </w:rPr>
        <w:t xml:space="preserve">Full Text: </w:t>
      </w:r>
      <w:hyperlink r:id="rId1725" w:history="1">
        <w:r w:rsidRPr="007B2D95">
          <w:rPr>
            <w:rStyle w:val="a5"/>
            <w:kern w:val="0"/>
          </w:rPr>
          <w:t>2010\Int J Com Com Con5, 171.pdf</w:t>
        </w:r>
      </w:hyperlink>
    </w:p>
    <w:p w:rsidR="007B2D95" w:rsidRDefault="007B2D95" w:rsidP="007B2D95">
      <w:pPr>
        <w:pStyle w:val="a0"/>
        <w:rPr>
          <w:kern w:val="0"/>
        </w:rPr>
      </w:pPr>
      <w:r w:rsidRPr="007B2D95">
        <w:rPr>
          <w:kern w:val="0"/>
        </w:rPr>
        <w:t>Abstract:</w:t>
      </w:r>
      <w:r>
        <w:rPr>
          <w:rFonts w:hint="eastAsia"/>
          <w:kern w:val="0"/>
        </w:rPr>
        <w:t xml:space="preserve"> </w:t>
      </w:r>
      <w:r w:rsidRPr="007B2D95">
        <w:rPr>
          <w:kern w:val="0"/>
        </w:rPr>
        <w:t xml:space="preserve">Who is the </w:t>
      </w:r>
      <w:r w:rsidR="000352E7">
        <w:rPr>
          <w:kern w:val="0"/>
        </w:rPr>
        <w:t>“</w:t>
      </w:r>
      <w:r w:rsidRPr="007B2D95">
        <w:rPr>
          <w:kern w:val="0"/>
        </w:rPr>
        <w:t>good scientist</w:t>
      </w:r>
      <w:r w:rsidR="000352E7">
        <w:rPr>
          <w:kern w:val="0"/>
        </w:rPr>
        <w:t>”</w:t>
      </w:r>
      <w:r w:rsidRPr="007B2D95">
        <w:rPr>
          <w:kern w:val="0"/>
        </w:rPr>
        <w:t xml:space="preserve"> in rural-environmental policy? This is not so self-evident as in</w:t>
      </w:r>
      <w:r>
        <w:rPr>
          <w:rFonts w:hint="eastAsia"/>
          <w:kern w:val="0"/>
        </w:rPr>
        <w:t xml:space="preserve"> </w:t>
      </w:r>
      <w:r w:rsidRPr="007B2D95">
        <w:rPr>
          <w:kern w:val="0"/>
        </w:rPr>
        <w:t>the case of private high-tech industry. Developing e-learning system in environmental science</w:t>
      </w:r>
      <w:r>
        <w:rPr>
          <w:rFonts w:hint="eastAsia"/>
          <w:kern w:val="0"/>
        </w:rPr>
        <w:t xml:space="preserve"> </w:t>
      </w:r>
      <w:r w:rsidRPr="007B2D95">
        <w:rPr>
          <w:kern w:val="0"/>
        </w:rPr>
        <w:t>management is a challenging task in the area of forest</w:t>
      </w:r>
      <w:r w:rsidR="00F81221">
        <w:rPr>
          <w:kern w:val="0"/>
        </w:rPr>
        <w:t xml:space="preserve"> and </w:t>
      </w:r>
      <w:r w:rsidRPr="007B2D95">
        <w:rPr>
          <w:kern w:val="0"/>
        </w:rPr>
        <w:t>general rural development policy.</w:t>
      </w:r>
      <w:r>
        <w:rPr>
          <w:rFonts w:hint="eastAsia"/>
          <w:kern w:val="0"/>
        </w:rPr>
        <w:t xml:space="preserve"> </w:t>
      </w:r>
      <w:r w:rsidRPr="007B2D95">
        <w:rPr>
          <w:kern w:val="0"/>
        </w:rPr>
        <w:t xml:space="preserve">Who determines the most </w:t>
      </w:r>
      <w:r w:rsidR="000352E7">
        <w:rPr>
          <w:kern w:val="0"/>
        </w:rPr>
        <w:t>“</w:t>
      </w:r>
      <w:r w:rsidRPr="007B2D95">
        <w:rPr>
          <w:kern w:val="0"/>
        </w:rPr>
        <w:t>important</w:t>
      </w:r>
      <w:r w:rsidR="000352E7">
        <w:rPr>
          <w:kern w:val="0"/>
        </w:rPr>
        <w:t>”</w:t>
      </w:r>
      <w:r w:rsidRPr="007B2D95">
        <w:rPr>
          <w:kern w:val="0"/>
        </w:rPr>
        <w:t xml:space="preserve"> scientific information</w:t>
      </w:r>
      <w:r w:rsidR="00F81221">
        <w:rPr>
          <w:kern w:val="0"/>
        </w:rPr>
        <w:t xml:space="preserve"> and </w:t>
      </w:r>
      <w:r w:rsidRPr="007B2D95">
        <w:rPr>
          <w:kern w:val="0"/>
        </w:rPr>
        <w:t>who controls it? There</w:t>
      </w:r>
      <w:r>
        <w:rPr>
          <w:rFonts w:hint="eastAsia"/>
          <w:kern w:val="0"/>
        </w:rPr>
        <w:t xml:space="preserve"> </w:t>
      </w:r>
      <w:r w:rsidRPr="007B2D95">
        <w:rPr>
          <w:kern w:val="0"/>
        </w:rPr>
        <w:t>are algorithms for measuring centrality in information networks. The concepts of closeness</w:t>
      </w:r>
      <w:r w:rsidR="00F81221">
        <w:rPr>
          <w:rFonts w:hint="eastAsia"/>
          <w:kern w:val="0"/>
        </w:rPr>
        <w:t xml:space="preserve"> and </w:t>
      </w:r>
      <w:r w:rsidRPr="007B2D95">
        <w:rPr>
          <w:kern w:val="0"/>
        </w:rPr>
        <w:t>betweenness centrality are used as basic metadata for categorizing the communication</w:t>
      </w:r>
      <w:r>
        <w:rPr>
          <w:rFonts w:hint="eastAsia"/>
          <w:kern w:val="0"/>
        </w:rPr>
        <w:t xml:space="preserve"> </w:t>
      </w:r>
      <w:r w:rsidRPr="007B2D95">
        <w:rPr>
          <w:kern w:val="0"/>
        </w:rPr>
        <w:t>type in the rural-environmental policy networks. This paper discusses the development of</w:t>
      </w:r>
      <w:r>
        <w:rPr>
          <w:rFonts w:hint="eastAsia"/>
          <w:kern w:val="0"/>
        </w:rPr>
        <w:t xml:space="preserve"> </w:t>
      </w:r>
      <w:r w:rsidRPr="007B2D95">
        <w:rPr>
          <w:kern w:val="0"/>
        </w:rPr>
        <w:t>a GIS-based model which includes region-based scientometrics, regarding policy field communication.</w:t>
      </w:r>
    </w:p>
    <w:p w:rsidR="007B2D95" w:rsidRDefault="007B2D95" w:rsidP="007B2D95">
      <w:pPr>
        <w:pStyle w:val="a0"/>
        <w:rPr>
          <w:kern w:val="0"/>
        </w:rPr>
      </w:pPr>
      <w:r w:rsidRPr="007B2D95">
        <w:rPr>
          <w:kern w:val="0"/>
        </w:rPr>
        <w:t>Keywords: Region-Based Scientometrics, GIS E-Learning, Forest Policy, Integrated Rural Development</w:t>
      </w:r>
      <w:r>
        <w:rPr>
          <w:kern w:val="0"/>
        </w:rPr>
        <w:t xml:space="preserve"> </w:t>
      </w:r>
      <w:r w:rsidRPr="007B2D95">
        <w:rPr>
          <w:kern w:val="0"/>
        </w:rPr>
        <w:t xml:space="preserve">Policy, Environmental Policy, Complete </w:t>
      </w:r>
      <w:r>
        <w:rPr>
          <w:kern w:val="0"/>
        </w:rPr>
        <w:t>Network Analysis, Policy Making</w:t>
      </w:r>
    </w:p>
    <w:p w:rsidR="00C5448B" w:rsidRDefault="00C5448B" w:rsidP="00C5448B">
      <w:pPr>
        <w:pStyle w:val="a0"/>
        <w:rPr>
          <w:kern w:val="0"/>
        </w:rPr>
      </w:pPr>
      <w:r>
        <w:rPr>
          <w:rFonts w:hint="eastAsia"/>
          <w:kern w:val="0"/>
        </w:rPr>
        <w:t xml:space="preserve">? </w:t>
      </w:r>
      <w:r w:rsidRPr="00C5448B">
        <w:rPr>
          <w:kern w:val="0"/>
        </w:rPr>
        <w:t>Andonie</w:t>
      </w:r>
      <w:r>
        <w:rPr>
          <w:rFonts w:hint="eastAsia"/>
          <w:kern w:val="0"/>
        </w:rPr>
        <w:t>,</w:t>
      </w:r>
      <w:r w:rsidRPr="00C5448B">
        <w:rPr>
          <w:kern w:val="0"/>
        </w:rPr>
        <w:t xml:space="preserve"> R</w:t>
      </w:r>
      <w:r>
        <w:rPr>
          <w:rFonts w:hint="eastAsia"/>
          <w:kern w:val="0"/>
        </w:rPr>
        <w:t>.</w:t>
      </w:r>
      <w:r w:rsidR="00F81221">
        <w:rPr>
          <w:rFonts w:hint="eastAsia"/>
          <w:kern w:val="0"/>
        </w:rPr>
        <w:t xml:space="preserve"> and </w:t>
      </w:r>
      <w:r w:rsidRPr="00C5448B">
        <w:rPr>
          <w:kern w:val="0"/>
        </w:rPr>
        <w:t>Dzitac</w:t>
      </w:r>
      <w:r>
        <w:rPr>
          <w:rFonts w:hint="eastAsia"/>
          <w:kern w:val="0"/>
        </w:rPr>
        <w:t>,</w:t>
      </w:r>
      <w:r w:rsidRPr="00C5448B">
        <w:rPr>
          <w:kern w:val="0"/>
        </w:rPr>
        <w:t xml:space="preserve"> I</w:t>
      </w:r>
      <w:r>
        <w:rPr>
          <w:rFonts w:hint="eastAsia"/>
          <w:kern w:val="0"/>
        </w:rPr>
        <w:t>.</w:t>
      </w:r>
      <w:r w:rsidRPr="00AB7848">
        <w:rPr>
          <w:kern w:val="0"/>
        </w:rPr>
        <w:t xml:space="preserve"> (2010), </w:t>
      </w:r>
      <w:r w:rsidRPr="00C5448B">
        <w:rPr>
          <w:kern w:val="0"/>
        </w:rPr>
        <w:t>How to write a good paper in computer science</w:t>
      </w:r>
      <w:r w:rsidR="00F81221">
        <w:rPr>
          <w:kern w:val="0"/>
        </w:rPr>
        <w:t xml:space="preserve"> and </w:t>
      </w:r>
      <w:r w:rsidRPr="00C5448B">
        <w:rPr>
          <w:kern w:val="0"/>
        </w:rPr>
        <w:t>how will it be measured by ISI Web of Knowledge</w:t>
      </w:r>
      <w:r>
        <w:rPr>
          <w:rFonts w:hint="eastAsia"/>
          <w:kern w:val="0"/>
        </w:rPr>
        <w:t>?</w:t>
      </w:r>
      <w:r w:rsidRPr="00AB7848">
        <w:rPr>
          <w:kern w:val="0"/>
        </w:rPr>
        <w:t xml:space="preserve"> </w:t>
      </w:r>
      <w:r w:rsidRPr="001803BE">
        <w:rPr>
          <w:i/>
          <w:iCs/>
          <w:kern w:val="0"/>
        </w:rPr>
        <w:t>International Journal of Computers Communications &amp; Control</w:t>
      </w:r>
      <w:r w:rsidRPr="00AB7848">
        <w:rPr>
          <w:kern w:val="0"/>
        </w:rPr>
        <w:t xml:space="preserve">, </w:t>
      </w:r>
      <w:r w:rsidRPr="00AB7848">
        <w:rPr>
          <w:b/>
          <w:bCs/>
          <w:kern w:val="0"/>
        </w:rPr>
        <w:t>5</w:t>
      </w:r>
      <w:r w:rsidRPr="00AB7848">
        <w:rPr>
          <w:kern w:val="0"/>
        </w:rPr>
        <w:t xml:space="preserve"> (</w:t>
      </w:r>
      <w:r>
        <w:rPr>
          <w:rFonts w:hint="eastAsia"/>
          <w:kern w:val="0"/>
        </w:rPr>
        <w:t>4</w:t>
      </w:r>
      <w:r w:rsidRPr="00AB7848">
        <w:rPr>
          <w:kern w:val="0"/>
        </w:rPr>
        <w:t xml:space="preserve">), </w:t>
      </w:r>
      <w:r w:rsidRPr="00C5448B">
        <w:rPr>
          <w:kern w:val="0"/>
        </w:rPr>
        <w:t>432-446</w:t>
      </w:r>
      <w:r>
        <w:rPr>
          <w:rFonts w:hint="eastAsia"/>
          <w:kern w:val="0"/>
        </w:rPr>
        <w:t>.</w:t>
      </w:r>
    </w:p>
    <w:p w:rsidR="00C5448B" w:rsidRDefault="00C5448B" w:rsidP="00C5448B">
      <w:pPr>
        <w:pStyle w:val="a0"/>
        <w:rPr>
          <w:kern w:val="0"/>
        </w:rPr>
      </w:pPr>
      <w:r>
        <w:rPr>
          <w:rFonts w:hint="eastAsia"/>
          <w:kern w:val="0"/>
        </w:rPr>
        <w:t xml:space="preserve">Full Text: </w:t>
      </w:r>
      <w:hyperlink r:id="rId1726" w:history="1">
        <w:r w:rsidRPr="00C5448B">
          <w:rPr>
            <w:rStyle w:val="a5"/>
            <w:kern w:val="0"/>
          </w:rPr>
          <w:t>2010\Int J Com Com Con5, 432.pdf</w:t>
        </w:r>
      </w:hyperlink>
    </w:p>
    <w:p w:rsidR="00C5448B" w:rsidRPr="00C5448B" w:rsidRDefault="00C5448B" w:rsidP="00C5448B">
      <w:pPr>
        <w:pStyle w:val="a0"/>
        <w:rPr>
          <w:kern w:val="0"/>
        </w:rPr>
      </w:pPr>
      <w:r w:rsidRPr="00C5448B">
        <w:rPr>
          <w:kern w:val="0"/>
        </w:rPr>
        <w:t xml:space="preserve">Abstract: The academic world has come to place enormous weight on bibliometric measures to assess the value of scientific publications. Our paper has two major </w:t>
      </w:r>
      <w:r w:rsidRPr="00C5448B">
        <w:rPr>
          <w:kern w:val="0"/>
        </w:rPr>
        <w:lastRenderedPageBreak/>
        <w:t>goals. First, we discuss the limits of numerical assessment tools as applied to computer science publications. Second, we give guidelines on how to write a good paper, where to submit the manuscript,</w:t>
      </w:r>
      <w:r w:rsidR="00F81221">
        <w:rPr>
          <w:kern w:val="0"/>
        </w:rPr>
        <w:t xml:space="preserve"> and </w:t>
      </w:r>
      <w:r w:rsidRPr="00C5448B">
        <w:rPr>
          <w:kern w:val="0"/>
        </w:rPr>
        <w:t>how to deal with the reviewing process. We report our experience as editors of International Journal of Computers Communications &amp; Control (IJCCC). We analyze two important aspects of publishing: plagiarism</w:t>
      </w:r>
      <w:r w:rsidR="00F81221">
        <w:rPr>
          <w:kern w:val="0"/>
        </w:rPr>
        <w:t xml:space="preserve"> and </w:t>
      </w:r>
      <w:r w:rsidRPr="00C5448B">
        <w:rPr>
          <w:kern w:val="0"/>
        </w:rPr>
        <w:t>peer reviewing. As an example, we discuss the promotion assessment criteria used in the Romanian academic system. We express openly our concerns about how our work is evaluated, especially by the existent bibliometric products. Our conclusion is that we should combine bibliometric meas</w:t>
      </w:r>
      <w:r>
        <w:rPr>
          <w:kern w:val="0"/>
        </w:rPr>
        <w:t>ures with human interpretation.</w:t>
      </w:r>
    </w:p>
    <w:p w:rsidR="00C5448B" w:rsidRPr="00AB7848" w:rsidRDefault="00C5448B" w:rsidP="00C5448B">
      <w:pPr>
        <w:pStyle w:val="a0"/>
        <w:rPr>
          <w:kern w:val="0"/>
        </w:rPr>
      </w:pPr>
      <w:r w:rsidRPr="00C5448B">
        <w:rPr>
          <w:kern w:val="0"/>
        </w:rPr>
        <w:t>Keywords: Scientific Publication</w:t>
      </w:r>
      <w:r>
        <w:rPr>
          <w:kern w:val="0"/>
        </w:rPr>
        <w:t>,</w:t>
      </w:r>
      <w:r w:rsidRPr="00C5448B">
        <w:rPr>
          <w:kern w:val="0"/>
        </w:rPr>
        <w:t xml:space="preserve"> Publication Assessment</w:t>
      </w:r>
      <w:r>
        <w:rPr>
          <w:kern w:val="0"/>
        </w:rPr>
        <w:t>,</w:t>
      </w:r>
      <w:r w:rsidRPr="00C5448B">
        <w:rPr>
          <w:kern w:val="0"/>
        </w:rPr>
        <w:t xml:space="preserve"> Plagiarism</w:t>
      </w:r>
      <w:r>
        <w:rPr>
          <w:kern w:val="0"/>
        </w:rPr>
        <w:t>,</w:t>
      </w:r>
      <w:r w:rsidRPr="00C5448B">
        <w:rPr>
          <w:kern w:val="0"/>
        </w:rPr>
        <w:t xml:space="preserve"> Reviewing</w:t>
      </w:r>
      <w:r>
        <w:rPr>
          <w:kern w:val="0"/>
        </w:rPr>
        <w:t>,</w:t>
      </w:r>
      <w:r w:rsidRPr="00C5448B">
        <w:rPr>
          <w:kern w:val="0"/>
        </w:rPr>
        <w:t xml:space="preserve"> Bibliometric Indices</w:t>
      </w:r>
      <w:r>
        <w:rPr>
          <w:kern w:val="0"/>
        </w:rPr>
        <w:t>, Impact</w:t>
      </w:r>
    </w:p>
    <w:p w:rsidR="00832A6C" w:rsidRDefault="00832A6C" w:rsidP="00832A6C">
      <w:pPr>
        <w:pStyle w:val="1"/>
      </w:pPr>
      <w:r>
        <w:rPr>
          <w:b w:val="0"/>
          <w:bCs/>
          <w:iCs/>
        </w:rPr>
        <w:br w:type="page"/>
      </w:r>
      <w:bookmarkStart w:id="1269" w:name="_Toc317161278"/>
      <w:r>
        <w:lastRenderedPageBreak/>
        <w:t xml:space="preserve">Title: </w:t>
      </w:r>
      <w:r>
        <w:rPr>
          <w:iCs/>
        </w:rPr>
        <w:t>International Journal of Consumer Studies</w:t>
      </w:r>
      <w:bookmarkEnd w:id="1269"/>
    </w:p>
    <w:p w:rsidR="00832A6C" w:rsidRDefault="00832A6C" w:rsidP="00832A6C">
      <w:pPr>
        <w:pStyle w:val="12"/>
        <w:rPr>
          <w:b/>
        </w:rPr>
      </w:pPr>
      <w:r>
        <w:t xml:space="preserve">Full Journal Title: </w:t>
      </w:r>
      <w:r>
        <w:rPr>
          <w:iCs/>
        </w:rPr>
        <w:t>International Journal of Consumer Studies</w:t>
      </w:r>
    </w:p>
    <w:p w:rsidR="00832A6C" w:rsidRDefault="00832A6C" w:rsidP="00832A6C">
      <w:pPr>
        <w:pStyle w:val="12"/>
      </w:pPr>
      <w:r>
        <w:t>ISO Abbreviated Title:</w:t>
      </w:r>
    </w:p>
    <w:p w:rsidR="00832A6C" w:rsidRDefault="00832A6C" w:rsidP="00832A6C">
      <w:pPr>
        <w:pStyle w:val="12"/>
      </w:pPr>
      <w:r>
        <w:t xml:space="preserve">JCR Abbreviated Title: </w:t>
      </w:r>
    </w:p>
    <w:p w:rsidR="00832A6C" w:rsidRDefault="00832A6C" w:rsidP="00832A6C">
      <w:pPr>
        <w:pStyle w:val="12"/>
      </w:pPr>
      <w:r>
        <w:t xml:space="preserve">ISSN: </w:t>
      </w:r>
    </w:p>
    <w:p w:rsidR="00832A6C" w:rsidRDefault="00832A6C" w:rsidP="00832A6C">
      <w:pPr>
        <w:pStyle w:val="12"/>
      </w:pPr>
      <w:r>
        <w:t xml:space="preserve">Issues/Year: </w:t>
      </w:r>
    </w:p>
    <w:p w:rsidR="00832A6C" w:rsidRDefault="00832A6C" w:rsidP="00832A6C">
      <w:pPr>
        <w:pStyle w:val="12"/>
      </w:pPr>
      <w:r>
        <w:t xml:space="preserve">Journal Country/Territory: </w:t>
      </w:r>
    </w:p>
    <w:p w:rsidR="00832A6C" w:rsidRDefault="00832A6C" w:rsidP="00832A6C">
      <w:pPr>
        <w:pStyle w:val="12"/>
      </w:pPr>
      <w:r>
        <w:t xml:space="preserve">Language: </w:t>
      </w:r>
    </w:p>
    <w:p w:rsidR="00832A6C" w:rsidRDefault="00832A6C" w:rsidP="00832A6C">
      <w:pPr>
        <w:pStyle w:val="12"/>
      </w:pPr>
      <w:r>
        <w:t xml:space="preserve">Publisher: </w:t>
      </w:r>
    </w:p>
    <w:p w:rsidR="00832A6C" w:rsidRDefault="00832A6C" w:rsidP="00832A6C">
      <w:pPr>
        <w:pStyle w:val="12"/>
      </w:pPr>
      <w:r>
        <w:t xml:space="preserve">Publisher Address: </w:t>
      </w:r>
    </w:p>
    <w:p w:rsidR="00832A6C" w:rsidRDefault="00832A6C" w:rsidP="00832A6C">
      <w:pPr>
        <w:pStyle w:val="12"/>
      </w:pPr>
      <w:r>
        <w:t>Subject Categories:</w:t>
      </w:r>
    </w:p>
    <w:p w:rsidR="00832A6C" w:rsidRDefault="00832A6C" w:rsidP="00832A6C">
      <w:pPr>
        <w:pStyle w:val="12"/>
      </w:pPr>
      <w:r>
        <w:t>: Impact Factor</w:t>
      </w:r>
    </w:p>
    <w:p w:rsidR="00832A6C" w:rsidRDefault="00832A6C" w:rsidP="00832A6C">
      <w:pPr>
        <w:pStyle w:val="a0"/>
        <w:rPr>
          <w:kern w:val="0"/>
        </w:rPr>
      </w:pPr>
      <w:r>
        <w:rPr>
          <w:kern w:val="0"/>
        </w:rPr>
        <w:t>? Casimir, G.J.</w:t>
      </w:r>
      <w:r w:rsidR="00F81221">
        <w:rPr>
          <w:kern w:val="0"/>
        </w:rPr>
        <w:t xml:space="preserve"> and </w:t>
      </w:r>
      <w:r>
        <w:rPr>
          <w:kern w:val="0"/>
        </w:rPr>
        <w:t>Tobi, H. (2011), Defining</w:t>
      </w:r>
      <w:r w:rsidR="00F81221">
        <w:rPr>
          <w:kern w:val="0"/>
        </w:rPr>
        <w:t xml:space="preserve"> and </w:t>
      </w:r>
      <w:r>
        <w:rPr>
          <w:kern w:val="0"/>
        </w:rPr>
        <w:t xml:space="preserve">using the concept of household: A systematic review. </w:t>
      </w:r>
      <w:r>
        <w:rPr>
          <w:i/>
          <w:iCs/>
          <w:kern w:val="0"/>
        </w:rPr>
        <w:t>International Journal of Consumer Studies</w:t>
      </w:r>
      <w:r>
        <w:rPr>
          <w:kern w:val="0"/>
        </w:rPr>
        <w:t xml:space="preserve">, </w:t>
      </w:r>
      <w:r>
        <w:rPr>
          <w:b/>
          <w:bCs/>
          <w:kern w:val="0"/>
        </w:rPr>
        <w:t>35</w:t>
      </w:r>
      <w:r>
        <w:rPr>
          <w:kern w:val="0"/>
        </w:rPr>
        <w:t xml:space="preserve"> (5), 498-506.</w:t>
      </w:r>
    </w:p>
    <w:p w:rsidR="00832A6C" w:rsidRDefault="00832A6C" w:rsidP="00832A6C">
      <w:pPr>
        <w:pStyle w:val="a0"/>
        <w:rPr>
          <w:kern w:val="0"/>
        </w:rPr>
      </w:pPr>
      <w:r>
        <w:rPr>
          <w:kern w:val="0"/>
        </w:rPr>
        <w:t>Abstract: Consumption and/or domestic activities in the private domain are much studied subjects. In the field of home economics</w:t>
      </w:r>
      <w:r w:rsidR="00F81221">
        <w:rPr>
          <w:kern w:val="0"/>
        </w:rPr>
        <w:t xml:space="preserve"> and </w:t>
      </w:r>
      <w:r>
        <w:rPr>
          <w:kern w:val="0"/>
        </w:rPr>
        <w:t>related fields of study, the household is the main unit of analysis. This paper focuses on how the household is conceptualized in literature during 2000-2010. The paper contains two lines of investigation. The first questions whether</w:t>
      </w:r>
      <w:r w:rsidR="00F81221">
        <w:rPr>
          <w:kern w:val="0"/>
        </w:rPr>
        <w:t xml:space="preserve"> and </w:t>
      </w:r>
      <w:r>
        <w:rPr>
          <w:kern w:val="0"/>
        </w:rPr>
        <w:t>in which way the household is defined in a selection of peer-reviewed articles of which the concept is part of the title. The second is about the multifaceted nature of the concept</w:t>
      </w:r>
      <w:r w:rsidR="00F81221">
        <w:rPr>
          <w:kern w:val="0"/>
        </w:rPr>
        <w:t xml:space="preserve"> and </w:t>
      </w:r>
      <w:r>
        <w:rPr>
          <w:kern w:val="0"/>
        </w:rPr>
        <w:t>elicits the facets that feature in the articles. A systematic review was performed using the bibliographic database Web of Science, as it covers different branches of science, including, but not limited to, home economics, developmental sociology, environmental sciences</w:t>
      </w:r>
      <w:r w:rsidR="00F81221">
        <w:rPr>
          <w:kern w:val="0"/>
        </w:rPr>
        <w:t xml:space="preserve"> and </w:t>
      </w:r>
      <w:r>
        <w:rPr>
          <w:kern w:val="0"/>
        </w:rPr>
        <w:t>transportation. The search was formulated by means of a Boolean expression. Articles were included when they were written in English, published between 2000</w:t>
      </w:r>
      <w:r w:rsidR="00F81221">
        <w:rPr>
          <w:kern w:val="0"/>
        </w:rPr>
        <w:t xml:space="preserve"> and </w:t>
      </w:r>
      <w:r>
        <w:rPr>
          <w:kern w:val="0"/>
        </w:rPr>
        <w:t>2010,</w:t>
      </w:r>
      <w:r w:rsidR="00F81221">
        <w:rPr>
          <w:kern w:val="0"/>
        </w:rPr>
        <w:t xml:space="preserve"> and </w:t>
      </w:r>
      <w:r>
        <w:rPr>
          <w:kern w:val="0"/>
        </w:rPr>
        <w:t>contained Househ* in title</w:t>
      </w:r>
      <w:r w:rsidR="00F81221">
        <w:rPr>
          <w:kern w:val="0"/>
        </w:rPr>
        <w:t xml:space="preserve"> and </w:t>
      </w:r>
      <w:r>
        <w:rPr>
          <w:kern w:val="0"/>
        </w:rPr>
        <w:t>Theor* in the topic,</w:t>
      </w:r>
      <w:r w:rsidR="00F81221">
        <w:rPr>
          <w:kern w:val="0"/>
        </w:rPr>
        <w:t xml:space="preserve"> and </w:t>
      </w:r>
      <w:r>
        <w:rPr>
          <w:kern w:val="0"/>
        </w:rPr>
        <w:t>either member* or product* or care or livelihood in the topic. Abstracts</w:t>
      </w:r>
      <w:r w:rsidR="00F81221">
        <w:rPr>
          <w:kern w:val="0"/>
        </w:rPr>
        <w:t xml:space="preserve"> and </w:t>
      </w:r>
      <w:r>
        <w:rPr>
          <w:kern w:val="0"/>
        </w:rPr>
        <w:t>full papers were assigned to Atlas.ti, a program for computer-assisted qualitative data analysis. Bottom-up</w:t>
      </w:r>
      <w:r w:rsidR="00F81221">
        <w:rPr>
          <w:kern w:val="0"/>
        </w:rPr>
        <w:t xml:space="preserve"> and </w:t>
      </w:r>
      <w:r>
        <w:rPr>
          <w:kern w:val="0"/>
        </w:rPr>
        <w:t>top-down coding procedures were used for a domain analysis</w:t>
      </w:r>
      <w:r w:rsidR="00F81221">
        <w:rPr>
          <w:kern w:val="0"/>
        </w:rPr>
        <w:t xml:space="preserve"> and </w:t>
      </w:r>
      <w:r>
        <w:rPr>
          <w:kern w:val="0"/>
        </w:rPr>
        <w:t xml:space="preserve">a quantitative content analysis. The results show that very few (less than 10%) of the papers give a definition of the concept </w:t>
      </w:r>
      <w:r w:rsidR="000352E7">
        <w:rPr>
          <w:kern w:val="0"/>
        </w:rPr>
        <w:t>‘</w:t>
      </w:r>
      <w:r>
        <w:rPr>
          <w:kern w:val="0"/>
        </w:rPr>
        <w:t>household</w:t>
      </w:r>
      <w:r w:rsidR="000352E7">
        <w:rPr>
          <w:kern w:val="0"/>
        </w:rPr>
        <w:t>’</w:t>
      </w:r>
      <w:r>
        <w:rPr>
          <w:kern w:val="0"/>
        </w:rPr>
        <w:t xml:space="preserve">. Instead, some papers give a study description based on so-called household characteristics, thereby implicitly indicating dimensions of the concept. In the Results sections, some of the characteristics used for inclusion or exclusion of study participants are mentioned, but also other characteristics. It is concluded that descriptions of households do contain commonly used facets that together construct the concept of household as a </w:t>
      </w:r>
      <w:r>
        <w:rPr>
          <w:kern w:val="0"/>
        </w:rPr>
        <w:lastRenderedPageBreak/>
        <w:t>group of people sharing resources, expenditures</w:t>
      </w:r>
      <w:r w:rsidR="00F81221">
        <w:rPr>
          <w:kern w:val="0"/>
        </w:rPr>
        <w:t xml:space="preserve"> and </w:t>
      </w:r>
      <w:r>
        <w:rPr>
          <w:kern w:val="0"/>
        </w:rPr>
        <w:t>activities.</w:t>
      </w:r>
    </w:p>
    <w:p w:rsidR="00832A6C" w:rsidRDefault="00832A6C" w:rsidP="00832A6C">
      <w:pPr>
        <w:pStyle w:val="a0"/>
        <w:rPr>
          <w:kern w:val="0"/>
        </w:rPr>
      </w:pPr>
      <w:r>
        <w:rPr>
          <w:kern w:val="0"/>
        </w:rPr>
        <w:t>Keywords: Activities, Analysis, Articles, Atlas.Ti, Bibliographic, Bibliographic Database, Care, Coding, Computer-Assisted, Consumption, Content Analysis, Domain Analysis, Economics, Environmental, Environmental Sciences, Family, Forest Products, Framework, Health, Household, Income, Literature, Papers, Qualitative Research, Quantitative, Review, Rural Households, Science, Sciences, Sociology, Systematic, Systematic Review, Theories, Time Allocation, Web of Science, Work</w:t>
      </w:r>
    </w:p>
    <w:p w:rsidR="00B95188" w:rsidRPr="00A428C3" w:rsidRDefault="00B95188" w:rsidP="00B95188">
      <w:pPr>
        <w:pStyle w:val="1"/>
      </w:pPr>
      <w:r w:rsidRPr="00A428C3">
        <w:br w:type="page"/>
      </w:r>
      <w:bookmarkStart w:id="1270" w:name="_Toc186647908"/>
      <w:bookmarkStart w:id="1271" w:name="_Toc317161279"/>
      <w:r w:rsidRPr="00A428C3">
        <w:lastRenderedPageBreak/>
        <w:t>Title: International Journal of Dermatology</w:t>
      </w:r>
      <w:bookmarkEnd w:id="1270"/>
      <w:bookmarkEnd w:id="1271"/>
    </w:p>
    <w:p w:rsidR="00B95188" w:rsidRPr="00A428C3" w:rsidRDefault="00B95188" w:rsidP="00B72EF9">
      <w:pPr>
        <w:pStyle w:val="12"/>
      </w:pPr>
      <w:r w:rsidRPr="00A428C3">
        <w:t xml:space="preserve">Full Journal Title: </w:t>
      </w:r>
      <w:hyperlink r:id="rId1727" w:history="1">
        <w:r w:rsidRPr="00A428C3">
          <w:rPr>
            <w:rStyle w:val="a5"/>
          </w:rPr>
          <w:t>International Journal of Dermatology</w:t>
        </w:r>
      </w:hyperlink>
    </w:p>
    <w:p w:rsidR="00B95188" w:rsidRPr="00A428C3" w:rsidRDefault="00B95188" w:rsidP="00B72EF9">
      <w:pPr>
        <w:pStyle w:val="12"/>
      </w:pPr>
      <w:r w:rsidRPr="00A428C3">
        <w:t>ISO Abbreviated Title: Int. J. Dermatol.</w:t>
      </w:r>
    </w:p>
    <w:p w:rsidR="00B95188" w:rsidRPr="00A428C3" w:rsidRDefault="00B95188" w:rsidP="00B72EF9">
      <w:pPr>
        <w:pStyle w:val="12"/>
      </w:pPr>
      <w:r w:rsidRPr="00A428C3">
        <w:t>JCR Abbreviated Title: Int J Dermatol</w:t>
      </w:r>
    </w:p>
    <w:p w:rsidR="00B95188" w:rsidRPr="00A428C3" w:rsidRDefault="00B95188" w:rsidP="00B72EF9">
      <w:pPr>
        <w:pStyle w:val="12"/>
      </w:pPr>
      <w:r w:rsidRPr="00A428C3">
        <w:t>ISSN: 0011-9059</w:t>
      </w:r>
    </w:p>
    <w:p w:rsidR="00B95188" w:rsidRPr="00A428C3" w:rsidRDefault="00B95188" w:rsidP="00B72EF9">
      <w:pPr>
        <w:pStyle w:val="12"/>
      </w:pPr>
      <w:r w:rsidRPr="00A428C3">
        <w:t>Issues/Year: 10</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Blackwell Science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 O Box</w:t>
          </w:r>
        </w:smartTag>
        <w:r w:rsidRPr="00A428C3">
          <w:t xml:space="preserve"> 88</w:t>
        </w:r>
      </w:smartTag>
      <w:r w:rsidRPr="00A428C3">
        <w:t xml:space="preserve">, Osney Mead, </w:t>
      </w:r>
      <w:smartTag w:uri="urn:schemas-microsoft-com:office:smarttags" w:element="City">
        <w:r w:rsidRPr="00A428C3">
          <w:t>Oxford</w:t>
        </w:r>
      </w:smartTag>
      <w:r w:rsidRPr="00A428C3">
        <w:t xml:space="preserve"> OX2 0NE,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Dermatology &amp; Venereal Diseases: Impact Factor 0.869, / (2001)</w:t>
      </w:r>
    </w:p>
    <w:p w:rsidR="00B95188" w:rsidRPr="00A428C3" w:rsidRDefault="00B95188" w:rsidP="00B95188">
      <w:pPr>
        <w:pStyle w:val="a0"/>
      </w:pPr>
      <w:r w:rsidRPr="00A428C3">
        <w:t>? Schwartz, R.A. (1997), Arsenic</w:t>
      </w:r>
      <w:r w:rsidR="00F81221">
        <w:t xml:space="preserve"> and </w:t>
      </w:r>
      <w:r w:rsidRPr="00A428C3">
        <w:t xml:space="preserve">the skin. </w:t>
      </w:r>
      <w:r w:rsidRPr="00A428C3">
        <w:rPr>
          <w:i/>
          <w:iCs/>
        </w:rPr>
        <w:t>International Journal of Dermatology</w:t>
      </w:r>
      <w:r w:rsidRPr="00A428C3">
        <w:t xml:space="preserve">, </w:t>
      </w:r>
      <w:r w:rsidRPr="00A428C3">
        <w:rPr>
          <w:b/>
        </w:rPr>
        <w:t>36</w:t>
      </w:r>
      <w:r w:rsidRPr="00A428C3">
        <w:t xml:space="preserve"> (4), 241-250.</w:t>
      </w:r>
    </w:p>
    <w:p w:rsidR="00BB7579" w:rsidRPr="00A428C3" w:rsidRDefault="00BB7579" w:rsidP="00BB7579">
      <w:pPr>
        <w:pStyle w:val="a0"/>
        <w:rPr>
          <w:rFonts w:eastAsia="新細明體"/>
        </w:rPr>
      </w:pPr>
      <w:r w:rsidRPr="00A428C3">
        <w:t xml:space="preserve">Full Text: </w:t>
      </w:r>
      <w:hyperlink r:id="rId1728" w:history="1">
        <w:r w:rsidR="006C3A20" w:rsidRPr="006C3A20">
          <w:rPr>
            <w:rStyle w:val="a5"/>
          </w:rPr>
          <w:t>1997\Int J Der386, 241.pdf</w:t>
        </w:r>
      </w:hyperlink>
    </w:p>
    <w:p w:rsidR="00B95188" w:rsidRPr="00A428C3" w:rsidRDefault="00B95188" w:rsidP="00B95188">
      <w:pPr>
        <w:pStyle w:val="a0"/>
      </w:pPr>
      <w:r w:rsidRPr="00A428C3">
        <w:t xml:space="preserve">Keywords: Drinking-Water, Follow-Up, Copper Smelter, Bowens-Disease, Exposure, Cancer, Angiosarcoma, Lesions, </w:t>
      </w:r>
      <w:smartTag w:uri="urn:schemas-microsoft-com:office:smarttags" w:element="place">
        <w:smartTag w:uri="urn:schemas-microsoft-com:office:smarttags" w:element="country-region">
          <w:r w:rsidRPr="00A428C3">
            <w:t>Taiwan</w:t>
          </w:r>
        </w:smartTag>
      </w:smartTag>
      <w:r w:rsidRPr="00A428C3">
        <w:t>, Hair</w:t>
      </w:r>
    </w:p>
    <w:p w:rsidR="00B95188" w:rsidRPr="00A428C3" w:rsidRDefault="00B95188" w:rsidP="00B95188">
      <w:pPr>
        <w:pStyle w:val="a0"/>
      </w:pPr>
      <w:r w:rsidRPr="00A428C3">
        <w:t>Lee, S.Y.</w:t>
      </w:r>
      <w:r w:rsidR="00F81221">
        <w:t xml:space="preserve"> and </w:t>
      </w:r>
      <w:r w:rsidRPr="00A428C3">
        <w:t xml:space="preserve">Lee, J.S. (1999), A survey of reference accuracy in two Asian dermatologic journals (the </w:t>
      </w:r>
      <w:r w:rsidRPr="00BB7579">
        <w:rPr>
          <w:i/>
        </w:rPr>
        <w:t>Journal of Dermatology</w:t>
      </w:r>
      <w:r w:rsidR="00F81221">
        <w:t xml:space="preserve"> and </w:t>
      </w:r>
      <w:r w:rsidRPr="00A428C3">
        <w:t xml:space="preserve">the </w:t>
      </w:r>
      <w:r w:rsidRPr="00BB7579">
        <w:rPr>
          <w:i/>
        </w:rPr>
        <w:t>Korean Journal of Dermatology</w:t>
      </w:r>
      <w:r w:rsidRPr="00A428C3">
        <w:t xml:space="preserve">). </w:t>
      </w:r>
      <w:r w:rsidRPr="00A428C3">
        <w:rPr>
          <w:i/>
          <w:iCs/>
        </w:rPr>
        <w:t>International Journal of Dermatology</w:t>
      </w:r>
      <w:r w:rsidRPr="00A428C3">
        <w:t xml:space="preserve">, </w:t>
      </w:r>
      <w:r w:rsidRPr="00A428C3">
        <w:rPr>
          <w:b/>
        </w:rPr>
        <w:t>38</w:t>
      </w:r>
      <w:r w:rsidRPr="00A428C3">
        <w:t xml:space="preserve"> (5), 357-360.</w:t>
      </w:r>
    </w:p>
    <w:p w:rsidR="00BB7579" w:rsidRPr="001A3D2B" w:rsidRDefault="00BB7579" w:rsidP="00BB7579">
      <w:pPr>
        <w:pStyle w:val="a0"/>
      </w:pPr>
      <w:r w:rsidRPr="001A3D2B">
        <w:t xml:space="preserve">Full Text: </w:t>
      </w:r>
      <w:hyperlink r:id="rId1729" w:history="1">
        <w:r w:rsidRPr="001A3D2B">
          <w:rPr>
            <w:rStyle w:val="a5"/>
          </w:rPr>
          <w:t>1999\Int J Der38, 357.pdf</w:t>
        </w:r>
      </w:hyperlink>
    </w:p>
    <w:p w:rsidR="000F2DC9" w:rsidRDefault="000F2DC9" w:rsidP="000F2DC9">
      <w:pPr>
        <w:pStyle w:val="a0"/>
        <w:rPr>
          <w:kern w:val="0"/>
          <w:szCs w:val="24"/>
        </w:rPr>
      </w:pPr>
      <w:r>
        <w:rPr>
          <w:kern w:val="0"/>
          <w:szCs w:val="24"/>
        </w:rPr>
        <w:t>Abstract: Background The reference list is an important part of a scientific article. To be useful, it must be accurate. Methods To evaluate the reference accuracy in the Journal of Dermatology</w:t>
      </w:r>
      <w:r w:rsidR="00F81221">
        <w:rPr>
          <w:kern w:val="0"/>
          <w:szCs w:val="24"/>
        </w:rPr>
        <w:t xml:space="preserve"> and </w:t>
      </w:r>
      <w:r>
        <w:rPr>
          <w:kern w:val="0"/>
          <w:szCs w:val="24"/>
        </w:rPr>
        <w:t>the Korean Journal of Dermatology, we randomly selected 100 references from each journal</w:t>
      </w:r>
      <w:r w:rsidR="00F81221">
        <w:rPr>
          <w:kern w:val="0"/>
          <w:szCs w:val="24"/>
        </w:rPr>
        <w:t xml:space="preserve"> and </w:t>
      </w:r>
      <w:r>
        <w:rPr>
          <w:kern w:val="0"/>
          <w:szCs w:val="24"/>
        </w:rPr>
        <w:t>checked them against the original articles. Results The overall rate of citation errors was 24% in the Journal of Dermatology</w:t>
      </w:r>
      <w:r w:rsidR="00F81221">
        <w:rPr>
          <w:kern w:val="0"/>
          <w:szCs w:val="24"/>
        </w:rPr>
        <w:t xml:space="preserve"> and </w:t>
      </w:r>
      <w:r>
        <w:rPr>
          <w:kern w:val="0"/>
          <w:szCs w:val="24"/>
        </w:rPr>
        <w:t>33% in the Korean Journal of Dermatology. Errors in the title</w:t>
      </w:r>
      <w:r w:rsidR="00F81221">
        <w:rPr>
          <w:kern w:val="0"/>
          <w:szCs w:val="24"/>
        </w:rPr>
        <w:t xml:space="preserve"> and </w:t>
      </w:r>
      <w:r>
        <w:rPr>
          <w:kern w:val="0"/>
          <w:szCs w:val="24"/>
        </w:rPr>
        <w:t>author names were common, each occurring in about half of the citation errors. The overall rate of quotation errors was 14% in the Journal of Dermatology</w:t>
      </w:r>
      <w:r w:rsidR="00F81221">
        <w:rPr>
          <w:kern w:val="0"/>
          <w:szCs w:val="24"/>
        </w:rPr>
        <w:t xml:space="preserve"> and </w:t>
      </w:r>
      <w:r>
        <w:rPr>
          <w:kern w:val="0"/>
          <w:szCs w:val="24"/>
        </w:rPr>
        <w:t>27% in the Korean Journal of Dermatology. Conclusions This study shows that the rate of citation errors is unacceptably high in the Journal of Dermatology</w:t>
      </w:r>
      <w:r w:rsidR="00F81221">
        <w:rPr>
          <w:kern w:val="0"/>
          <w:szCs w:val="24"/>
        </w:rPr>
        <w:t xml:space="preserve"> and </w:t>
      </w:r>
      <w:r>
        <w:rPr>
          <w:kern w:val="0"/>
          <w:szCs w:val="24"/>
        </w:rPr>
        <w:t>the Korean Journal of Dermatology, which significantly diminishes the value of the reference list. We would strongly urge that the peer review of citation</w:t>
      </w:r>
      <w:r w:rsidR="00F81221">
        <w:rPr>
          <w:kern w:val="0"/>
          <w:szCs w:val="24"/>
        </w:rPr>
        <w:t xml:space="preserve"> and </w:t>
      </w:r>
      <w:r>
        <w:rPr>
          <w:kern w:val="0"/>
          <w:szCs w:val="24"/>
        </w:rPr>
        <w:t>quotation accuracy should be strengthened.</w:t>
      </w:r>
    </w:p>
    <w:p w:rsidR="000F2DC9" w:rsidRDefault="000F2DC9" w:rsidP="000F2DC9">
      <w:pPr>
        <w:pStyle w:val="a0"/>
        <w:rPr>
          <w:kern w:val="0"/>
          <w:szCs w:val="24"/>
        </w:rPr>
      </w:pPr>
      <w:r>
        <w:rPr>
          <w:kern w:val="0"/>
          <w:szCs w:val="24"/>
        </w:rPr>
        <w:t>Keywords: Accuracy, Asian, Citation, Citation Errors, Errors, Journal, Journals, Peer Review, Peer-Review, Quotation, Quotation Accuracy, Quotation Errors, Reference, Reference Accuracy, References, Review, Survey, Urge, Value</w:t>
      </w:r>
    </w:p>
    <w:p w:rsidR="00B95188" w:rsidRPr="00A428C3" w:rsidRDefault="00B95188" w:rsidP="00B95188">
      <w:pPr>
        <w:pStyle w:val="a0"/>
      </w:pPr>
      <w:r w:rsidRPr="00A428C3">
        <w:lastRenderedPageBreak/>
        <w:t>Enk, C.D.</w:t>
      </w:r>
      <w:r w:rsidR="00F81221">
        <w:t xml:space="preserve"> and </w:t>
      </w:r>
      <w:r w:rsidRPr="00A428C3">
        <w:t>Levy, L. (2003), Achievements of dermatological research in Denmark</w:t>
      </w:r>
      <w:r w:rsidR="00F81221">
        <w:t xml:space="preserve"> and </w:t>
      </w:r>
      <w:r w:rsidRPr="00A428C3">
        <w:t xml:space="preserve">Israel: A comparative 10-year study. </w:t>
      </w:r>
      <w:r w:rsidRPr="00A428C3">
        <w:rPr>
          <w:i/>
          <w:iCs/>
        </w:rPr>
        <w:t>International Journal of Dermatology</w:t>
      </w:r>
      <w:r w:rsidRPr="00A428C3">
        <w:t xml:space="preserve">, </w:t>
      </w:r>
      <w:r w:rsidRPr="00A428C3">
        <w:rPr>
          <w:b/>
        </w:rPr>
        <w:t>42</w:t>
      </w:r>
      <w:r w:rsidRPr="00A428C3">
        <w:t xml:space="preserve"> (5), 398-401.</w:t>
      </w:r>
    </w:p>
    <w:p w:rsidR="00B95188" w:rsidRPr="00A428C3" w:rsidRDefault="00B95188" w:rsidP="00B95188">
      <w:pPr>
        <w:pStyle w:val="a0"/>
      </w:pPr>
      <w:r w:rsidRPr="00A428C3">
        <w:t xml:space="preserve">Full Text: </w:t>
      </w:r>
      <w:hyperlink r:id="rId1730" w:history="1">
        <w:r w:rsidRPr="00A428C3">
          <w:rPr>
            <w:rStyle w:val="a5"/>
          </w:rPr>
          <w:t>I\Int J Der42, 398.pdf</w:t>
        </w:r>
      </w:hyperlink>
    </w:p>
    <w:p w:rsidR="00B95188" w:rsidRPr="00A428C3" w:rsidRDefault="00B95188" w:rsidP="00B95188">
      <w:pPr>
        <w:pStyle w:val="a0"/>
      </w:pPr>
      <w:r w:rsidRPr="00A428C3">
        <w:t>Abstract: Wide differences of achievement in dermatological research between Denmark</w:t>
      </w:r>
      <w:r w:rsidR="00F81221">
        <w:t xml:space="preserve"> and </w:t>
      </w:r>
      <w:r w:rsidRPr="00A428C3">
        <w:t>Israel have been reported, although the two countries are comparable in terms of academic dermatological structure. The aims of the present study were to document these differences by means of bibliometric analysis,</w:t>
      </w:r>
      <w:r w:rsidR="00F81221">
        <w:t xml:space="preserve"> and </w:t>
      </w:r>
      <w:r w:rsidRPr="00A428C3">
        <w:t>to attempt to elucidate the causes of these differences. Employing MEDLINE searches for the 10-year period 1988-97, quantitative</w:t>
      </w:r>
      <w:r w:rsidR="00F81221">
        <w:t xml:space="preserve"> and </w:t>
      </w:r>
      <w:r w:rsidRPr="00A428C3">
        <w:t xml:space="preserve">qualitative comparisons of the dermatological publications from these two countries were conducted. We found the achievements of Danish dermatological research to be superior to those of </w:t>
      </w:r>
      <w:smartTag w:uri="urn:schemas-microsoft-com:office:smarttags" w:element="place">
        <w:smartTag w:uri="urn:schemas-microsoft-com:office:smarttags" w:element="country-region">
          <w:r w:rsidRPr="00A428C3">
            <w:t>Israel</w:t>
          </w:r>
        </w:smartTag>
      </w:smartTag>
      <w:r w:rsidRPr="00A428C3">
        <w:t>,</w:t>
      </w:r>
      <w:r w:rsidR="00F81221">
        <w:t xml:space="preserve"> and </w:t>
      </w:r>
      <w:r w:rsidRPr="00A428C3">
        <w:t>suggest that the large proportion of case reports</w:t>
      </w:r>
      <w:r w:rsidR="00F81221">
        <w:t xml:space="preserve"> and </w:t>
      </w:r>
      <w:r w:rsidRPr="00A428C3">
        <w:t>reviews is one cause of the relatively low ranking of Israeli dermatological research efforts.</w:t>
      </w:r>
    </w:p>
    <w:p w:rsidR="00B95188" w:rsidRPr="00A428C3" w:rsidRDefault="00B95188" w:rsidP="00B95188">
      <w:pPr>
        <w:pStyle w:val="a0"/>
      </w:pPr>
      <w:r w:rsidRPr="00A428C3">
        <w:t>Keywords: Journals, Impact, Citation</w:t>
      </w:r>
    </w:p>
    <w:p w:rsidR="00B95188" w:rsidRPr="00A428C3" w:rsidRDefault="00B95188" w:rsidP="00B95188">
      <w:pPr>
        <w:pStyle w:val="a0"/>
      </w:pPr>
      <w:r w:rsidRPr="00A428C3">
        <w:t>? Jemec, G.B.E.</w:t>
      </w:r>
      <w:r w:rsidR="00F81221">
        <w:t xml:space="preserve"> and </w:t>
      </w:r>
      <w:r w:rsidRPr="00A428C3">
        <w:t xml:space="preserve">Nybaek, H. (2006), A bibliometric study of dermatology in central </w:t>
      </w:r>
      <w:smartTag w:uri="urn:schemas-microsoft-com:office:smarttags" w:element="place">
        <w:r w:rsidRPr="00A428C3">
          <w:t>Europe</w:t>
        </w:r>
      </w:smartTag>
      <w:r w:rsidRPr="00A428C3">
        <w:t xml:space="preserve"> 1991-2002. </w:t>
      </w:r>
      <w:r w:rsidRPr="00A428C3">
        <w:rPr>
          <w:i/>
          <w:iCs/>
        </w:rPr>
        <w:t>International Journal of Dermatology</w:t>
      </w:r>
      <w:r w:rsidRPr="00A428C3">
        <w:t xml:space="preserve">, </w:t>
      </w:r>
      <w:r w:rsidRPr="00A428C3">
        <w:rPr>
          <w:b/>
        </w:rPr>
        <w:t>45</w:t>
      </w:r>
      <w:r w:rsidRPr="00A428C3">
        <w:t xml:space="preserve"> (8), 922-926.</w:t>
      </w:r>
    </w:p>
    <w:p w:rsidR="00B95188" w:rsidRPr="00A428C3" w:rsidRDefault="00B95188" w:rsidP="00B95188">
      <w:pPr>
        <w:pStyle w:val="a0"/>
      </w:pPr>
      <w:r w:rsidRPr="00A428C3">
        <w:t xml:space="preserve">Full Text: </w:t>
      </w:r>
      <w:hyperlink r:id="rId1731" w:history="1">
        <w:r w:rsidRPr="00A428C3">
          <w:rPr>
            <w:rStyle w:val="a5"/>
          </w:rPr>
          <w:t>2006\Int J Der45, 922.pdf</w:t>
        </w:r>
      </w:hyperlink>
    </w:p>
    <w:p w:rsidR="00B95188" w:rsidRPr="00A428C3" w:rsidRDefault="00B95188" w:rsidP="00B95188">
      <w:pPr>
        <w:pStyle w:val="a0"/>
      </w:pPr>
      <w:r w:rsidRPr="00A428C3">
        <w:t xml:space="preserve">Abstract: Background Bibliometric studies have gained interest in recent years, although most analyses are limited to simple use of average citations rates for journals, also known as the </w:t>
      </w:r>
      <w:r w:rsidR="000352E7">
        <w:t>“</w:t>
      </w:r>
      <w:r w:rsidRPr="00A428C3">
        <w:t>impact factor</w:t>
      </w:r>
      <w:r w:rsidR="000352E7">
        <w:t>”</w:t>
      </w:r>
      <w:r w:rsidRPr="00A428C3">
        <w:t xml:space="preserve">. </w:t>
      </w:r>
      <w:smartTag w:uri="urn:schemas-microsoft-com:office:smarttags" w:element="place">
        <w:r w:rsidRPr="00A428C3">
          <w:t>Central Europe</w:t>
        </w:r>
      </w:smartTag>
      <w:r w:rsidRPr="00A428C3">
        <w:t xml:space="preserve"> has a long tradition of dermatological research which has been negatively impacted by general political developments for a long period. This study was undertaken in order to describe the progress made in recent years. Methods The study was conducted in two parts: First the annualised national output for the period 1991-2002 was identified for each country by MEDLINE(R) searches. In the second part of the study a sample was drawn from the papers identified in the first part</w:t>
      </w:r>
      <w:r w:rsidR="00F81221">
        <w:t xml:space="preserve"> and </w:t>
      </w:r>
      <w:r w:rsidRPr="00A428C3">
        <w:t>the number of citations for each paper noted. Results The annualised national output showed great variation between countries</w:t>
      </w:r>
      <w:r w:rsidR="00F81221">
        <w:t xml:space="preserve"> and </w:t>
      </w:r>
      <w:r w:rsidRPr="00A428C3">
        <w:t>from year to year. The mean citation rates were found to vary between 0-5 citations/year,</w:t>
      </w:r>
      <w:r w:rsidR="00F81221">
        <w:t xml:space="preserve"> and </w:t>
      </w:r>
      <w:r w:rsidRPr="00A428C3">
        <w:t>some underlying publications were 10 years old. Countries with national indexed journals appear to hold a bibliometric advantage over countries without indexed journals. Conclusions Throughout the last decade of the 20th century the number of publications has grown with an average of 21.7% per year,</w:t>
      </w:r>
      <w:r w:rsidR="00F81221">
        <w:t xml:space="preserve"> and </w:t>
      </w:r>
      <w:r w:rsidRPr="00A428C3">
        <w:t>publication rates have only suffered in countries directly involved in war or similar disturbances. The mean citation rates were low, with a varying age of the underlying publications. Some cited publications were however old suggesting a persistent relevance. A national or regional indexed journal appears to confer a bibliometric advantage.</w:t>
      </w:r>
    </w:p>
    <w:p w:rsidR="00B95188" w:rsidRPr="00A428C3" w:rsidRDefault="00B95188" w:rsidP="00B95188">
      <w:pPr>
        <w:pStyle w:val="a0"/>
      </w:pPr>
      <w:r w:rsidRPr="00A428C3">
        <w:t xml:space="preserve">Keywords: </w:t>
      </w:r>
      <w:r w:rsidR="000352E7">
        <w:t>“</w:t>
      </w:r>
      <w:r w:rsidRPr="00A428C3">
        <w:t>Impact Factor</w:t>
      </w:r>
      <w:r w:rsidR="000352E7">
        <w:t>”</w:t>
      </w:r>
      <w:r w:rsidRPr="00A428C3">
        <w:t xml:space="preserve">, Age, Bibliometric, Bibliometric Study, Citations, </w:t>
      </w:r>
      <w:smartTag w:uri="urn:schemas-microsoft-com:office:smarttags" w:element="place">
        <w:r w:rsidRPr="00A428C3">
          <w:t>Europe</w:t>
        </w:r>
      </w:smartTag>
      <w:r w:rsidRPr="00A428C3">
        <w:t xml:space="preserve">, </w:t>
      </w:r>
      <w:r w:rsidRPr="00A428C3">
        <w:lastRenderedPageBreak/>
        <w:t>General, Low, Made, Output, Paper, Persistent, Publication, Publications, Recent, Regional, Research, War</w:t>
      </w:r>
    </w:p>
    <w:p w:rsidR="00BB7579" w:rsidRPr="001A3D2B" w:rsidRDefault="00BB7579" w:rsidP="00BB7579">
      <w:pPr>
        <w:pStyle w:val="a0"/>
      </w:pPr>
      <w:r w:rsidRPr="001A3D2B">
        <w:t>? Firoozabadi, M.R., Firooz, A., Gorouhi, F.</w:t>
      </w:r>
      <w:r w:rsidR="00F81221">
        <w:t xml:space="preserve"> and </w:t>
      </w:r>
      <w:r w:rsidRPr="001A3D2B">
        <w:t>Dowlati, Y. (2007), Iran</w:t>
      </w:r>
      <w:r w:rsidR="000352E7">
        <w:t>’</w:t>
      </w:r>
      <w:r w:rsidRPr="001A3D2B">
        <w:t xml:space="preserve">s contribution to the dermatology literature. </w:t>
      </w:r>
      <w:r w:rsidRPr="001A3D2B">
        <w:rPr>
          <w:i/>
          <w:iCs/>
        </w:rPr>
        <w:t>International Journal of Dermatology</w:t>
      </w:r>
      <w:r w:rsidRPr="001A3D2B">
        <w:t xml:space="preserve">, </w:t>
      </w:r>
      <w:r w:rsidRPr="001A3D2B">
        <w:rPr>
          <w:b/>
          <w:bCs/>
        </w:rPr>
        <w:t>46</w:t>
      </w:r>
      <w:r w:rsidRPr="001A3D2B">
        <w:t xml:space="preserve"> (6), 659-660.</w:t>
      </w:r>
    </w:p>
    <w:p w:rsidR="00BB7579" w:rsidRPr="001A3D2B" w:rsidRDefault="00BB7579" w:rsidP="00BB7579">
      <w:pPr>
        <w:pStyle w:val="a0"/>
      </w:pPr>
      <w:r w:rsidRPr="001A3D2B">
        <w:t xml:space="preserve">Full Text: </w:t>
      </w:r>
      <w:hyperlink r:id="rId1732" w:history="1">
        <w:r w:rsidRPr="001A3D2B">
          <w:rPr>
            <w:rStyle w:val="a5"/>
          </w:rPr>
          <w:t>2007\Int J Der46, 659.pdf</w:t>
        </w:r>
      </w:hyperlink>
    </w:p>
    <w:p w:rsidR="00BB7579" w:rsidRPr="001A3D2B" w:rsidRDefault="00BB7579" w:rsidP="00BB7579">
      <w:pPr>
        <w:pStyle w:val="a0"/>
      </w:pPr>
      <w:r w:rsidRPr="001A3D2B">
        <w:t>Keywords: Literature</w:t>
      </w:r>
    </w:p>
    <w:p w:rsidR="00832A6C" w:rsidRDefault="00832A6C" w:rsidP="00832A6C">
      <w:pPr>
        <w:pStyle w:val="a0"/>
        <w:rPr>
          <w:kern w:val="0"/>
        </w:rPr>
      </w:pPr>
      <w:r>
        <w:rPr>
          <w:kern w:val="0"/>
        </w:rPr>
        <w:t>? Tuon, F.F., Amato, V.S., Graf, M.E., Siqueira, A.M., Nicodemo, A.C.</w:t>
      </w:r>
      <w:r w:rsidR="00F81221">
        <w:rPr>
          <w:kern w:val="0"/>
        </w:rPr>
        <w:t xml:space="preserve"> and </w:t>
      </w:r>
      <w:r>
        <w:rPr>
          <w:kern w:val="0"/>
        </w:rPr>
        <w:t xml:space="preserve">Neto, V.A. (2008), Treatment of new world cutaneous leishmaniasis: A systematic review with a meta-analysis. </w:t>
      </w:r>
      <w:r>
        <w:rPr>
          <w:i/>
          <w:iCs/>
          <w:kern w:val="0"/>
        </w:rPr>
        <w:t>International Journal of Dermatology</w:t>
      </w:r>
      <w:r>
        <w:rPr>
          <w:kern w:val="0"/>
        </w:rPr>
        <w:t xml:space="preserve">, </w:t>
      </w:r>
      <w:r>
        <w:rPr>
          <w:b/>
          <w:bCs/>
          <w:kern w:val="0"/>
        </w:rPr>
        <w:t>47</w:t>
      </w:r>
      <w:r>
        <w:rPr>
          <w:kern w:val="0"/>
        </w:rPr>
        <w:t xml:space="preserve"> (2), 109-124.</w:t>
      </w:r>
    </w:p>
    <w:p w:rsidR="00832A6C" w:rsidRDefault="00832A6C" w:rsidP="00832A6C">
      <w:pPr>
        <w:pStyle w:val="a0"/>
      </w:pPr>
      <w:r>
        <w:t>Full Text: 2008\Int J Der47, 109.pdf</w:t>
      </w:r>
    </w:p>
    <w:p w:rsidR="00832A6C" w:rsidRDefault="00832A6C" w:rsidP="00832A6C">
      <w:pPr>
        <w:pStyle w:val="a0"/>
        <w:rPr>
          <w:kern w:val="0"/>
        </w:rPr>
      </w:pPr>
      <w:r>
        <w:rPr>
          <w:kern w:val="0"/>
        </w:rPr>
        <w:t xml:space="preserve"> Abstract: Background New World leishmaniasis is an important endemic disease</w:t>
      </w:r>
      <w:r w:rsidR="00F81221">
        <w:rPr>
          <w:kern w:val="0"/>
        </w:rPr>
        <w:t xml:space="preserve"> and </w:t>
      </w:r>
      <w:r>
        <w:rPr>
          <w:kern w:val="0"/>
        </w:rPr>
        <w:t>public health problem in developing countries. The increase in ecologic tourism has extended this problem to developed countries. Few drugs have emerged over the past 50 years,</w:t>
      </w:r>
      <w:r w:rsidR="00F81221">
        <w:rPr>
          <w:kern w:val="0"/>
        </w:rPr>
        <w:t xml:space="preserve"> and </w:t>
      </w:r>
      <w:r>
        <w:rPr>
          <w:kern w:val="0"/>
        </w:rPr>
        <w:t>drug resistance has increased, such that the cure rate is no better than 80% in large studies. Despite these data, there has been no systematic review with a meta-analysis of the therapy used in this important tropical disease. The aim of this study was to determine the best drug management in the treatment of cutaneous leishmaniasis (CL) in Latin America based on the best studies published in the medical literature. Methods MEDLINE, LILACS, EMBASE, Web of Science,</w:t>
      </w:r>
      <w:r w:rsidR="00F81221">
        <w:rPr>
          <w:kern w:val="0"/>
        </w:rPr>
        <w:t xml:space="preserve"> and </w:t>
      </w:r>
      <w:r>
        <w:rPr>
          <w:kern w:val="0"/>
        </w:rPr>
        <w:t>Cochrane Library databases were searched to identify articles related to CL</w:t>
      </w:r>
      <w:r w:rsidR="00F81221">
        <w:rPr>
          <w:kern w:val="0"/>
        </w:rPr>
        <w:t xml:space="preserve"> and </w:t>
      </w:r>
      <w:r>
        <w:rPr>
          <w:kern w:val="0"/>
        </w:rPr>
        <w:t>therapy. Articles with adequate data on cure</w:t>
      </w:r>
      <w:r w:rsidR="00F81221">
        <w:rPr>
          <w:kern w:val="0"/>
        </w:rPr>
        <w:t xml:space="preserve"> and </w:t>
      </w:r>
      <w:r>
        <w:rPr>
          <w:kern w:val="0"/>
        </w:rPr>
        <w:t>treatment failure, internal</w:t>
      </w:r>
      <w:r w:rsidR="00F81221">
        <w:rPr>
          <w:kern w:val="0"/>
        </w:rPr>
        <w:t xml:space="preserve"> and </w:t>
      </w:r>
      <w:r>
        <w:rPr>
          <w:kern w:val="0"/>
        </w:rPr>
        <w:t>external validity information,</w:t>
      </w:r>
      <w:r w:rsidR="00F81221">
        <w:rPr>
          <w:kern w:val="0"/>
        </w:rPr>
        <w:t xml:space="preserve"> and </w:t>
      </w:r>
      <w:r>
        <w:rPr>
          <w:kern w:val="0"/>
        </w:rPr>
        <w:t>more than four patients in each treatment arm were included. Results Fifty-four articles met our inclusion criteria</w:t>
      </w:r>
      <w:r w:rsidR="00F81221">
        <w:rPr>
          <w:kern w:val="0"/>
        </w:rPr>
        <w:t xml:space="preserve"> and </w:t>
      </w:r>
      <w:r>
        <w:rPr>
          <w:kern w:val="0"/>
        </w:rPr>
        <w:t>12 were included in the meta-analysis. Pentavalent antimonials were the most studied drugs, with a total of 1150 patients, achieving a cure rate of 76.5%. The cure rate of pentamidine was similar to that of pentavalent antimonials. Other drugs showed variable results,</w:t>
      </w:r>
      <w:r w:rsidR="00F81221">
        <w:rPr>
          <w:kern w:val="0"/>
        </w:rPr>
        <w:t xml:space="preserve"> and </w:t>
      </w:r>
      <w:r>
        <w:rPr>
          <w:kern w:val="0"/>
        </w:rPr>
        <w:t>all demonstrated an inferior response. Conclusion Although pentavalent antimonials are the drugs of choice in the treatment of CL, pentamidine showed similar results. Nevertheless, several aspects, such as cost, adverse effects, local experience,</w:t>
      </w:r>
      <w:r w:rsidR="00F81221">
        <w:rPr>
          <w:kern w:val="0"/>
        </w:rPr>
        <w:t xml:space="preserve"> and </w:t>
      </w:r>
      <w:r>
        <w:rPr>
          <w:kern w:val="0"/>
        </w:rPr>
        <w:t>availability of drugs to treat CL, must be considered when determining the best management of this disease, especially in developing countries where resources are scarce.</w:t>
      </w:r>
    </w:p>
    <w:p w:rsidR="00832A6C" w:rsidRDefault="00832A6C" w:rsidP="00832A6C">
      <w:pPr>
        <w:pStyle w:val="a0"/>
        <w:rPr>
          <w:kern w:val="0"/>
        </w:rPr>
      </w:pPr>
      <w:r>
        <w:rPr>
          <w:kern w:val="0"/>
        </w:rPr>
        <w:t xml:space="preserve">Keywords: Adverse Effects, Amphotericin-B, Articles, Cochrane, Controlled Clinical-Trial, Databases, Developing Countries, Disease, Double-Blind, Drug, Drug Resistance, Embase, Information, Kinetoplast Dna Minicircles, Latin America, Literature, Management, Medical, Medline, Meglumine Antimoniate, Meta-Analysis, Methods, Mucocutaneous Leishmaniasis, Mucosal Leishmaniasis, Paromomycin Methylbenzethonium Chloride, Public Health, Resistance, Review, Science, Sodium Stibogluconate, Systematic, Systematic Review, Therapy, Topical Paromomycin, </w:t>
      </w:r>
      <w:r>
        <w:rPr>
          <w:kern w:val="0"/>
        </w:rPr>
        <w:lastRenderedPageBreak/>
        <w:t>Treatment, Validity, Web of Science</w:t>
      </w:r>
    </w:p>
    <w:p w:rsidR="00BB7579" w:rsidRDefault="00BB7579" w:rsidP="00BB7579">
      <w:pPr>
        <w:pStyle w:val="a0"/>
        <w:rPr>
          <w:kern w:val="0"/>
        </w:rPr>
      </w:pPr>
      <w:r>
        <w:rPr>
          <w:rFonts w:hint="eastAsia"/>
          <w:kern w:val="0"/>
        </w:rPr>
        <w:t xml:space="preserve">? </w:t>
      </w:r>
      <w:r>
        <w:rPr>
          <w:kern w:val="0"/>
        </w:rPr>
        <w:t>Gjersvik, P., Nylenna, M., Jemec, G.B.E.</w:t>
      </w:r>
      <w:r w:rsidR="00F81221">
        <w:rPr>
          <w:kern w:val="0"/>
        </w:rPr>
        <w:t xml:space="preserve"> and </w:t>
      </w:r>
      <w:r>
        <w:rPr>
          <w:kern w:val="0"/>
        </w:rPr>
        <w:t>Haraldstad, A.M. (2010), Dermatologic research in the Nordic countries 1989-2008</w:t>
      </w:r>
      <w:r>
        <w:rPr>
          <w:rFonts w:hint="eastAsia"/>
          <w:kern w:val="0"/>
        </w:rPr>
        <w:t xml:space="preserve">: </w:t>
      </w:r>
      <w:r>
        <w:rPr>
          <w:kern w:val="0"/>
        </w:rPr>
        <w:t xml:space="preserve">A bibliometric study. </w:t>
      </w:r>
      <w:r>
        <w:rPr>
          <w:i/>
          <w:iCs/>
          <w:kern w:val="0"/>
        </w:rPr>
        <w:t>International Journal of Dermatology</w:t>
      </w:r>
      <w:r>
        <w:rPr>
          <w:kern w:val="0"/>
        </w:rPr>
        <w:t xml:space="preserve">, </w:t>
      </w:r>
      <w:r>
        <w:rPr>
          <w:b/>
          <w:bCs/>
          <w:kern w:val="0"/>
        </w:rPr>
        <w:t>49</w:t>
      </w:r>
      <w:r>
        <w:rPr>
          <w:kern w:val="0"/>
        </w:rPr>
        <w:t xml:space="preserve"> (11), 1276-1281.</w:t>
      </w:r>
    </w:p>
    <w:p w:rsidR="00BB7579" w:rsidRPr="00A428C3" w:rsidRDefault="00BB7579" w:rsidP="00BB7579">
      <w:pPr>
        <w:pStyle w:val="a0"/>
      </w:pPr>
      <w:r w:rsidRPr="00A428C3">
        <w:t xml:space="preserve">Full Text: </w:t>
      </w:r>
      <w:hyperlink r:id="rId1733" w:history="1">
        <w:r w:rsidRPr="00BB7579">
          <w:rPr>
            <w:rStyle w:val="a5"/>
          </w:rPr>
          <w:t>2010\Int J Der49, 1276.pdf</w:t>
        </w:r>
      </w:hyperlink>
    </w:p>
    <w:p w:rsidR="00BB7579" w:rsidRDefault="00BB7579" w:rsidP="00BB7579">
      <w:pPr>
        <w:pStyle w:val="a0"/>
        <w:rPr>
          <w:kern w:val="0"/>
        </w:rPr>
      </w:pPr>
      <w:r>
        <w:rPr>
          <w:kern w:val="0"/>
        </w:rPr>
        <w:t>Abstract: Background Bibliometric methods, based on the count of articles published in scientific journals, are increasingly used to evaluate scientific productivity. Bibliometric studies may identify factors that promote or inhibit research performance. We set out to analyze dermatologic research activity in Sweden, Denmark, Finland,</w:t>
      </w:r>
      <w:r w:rsidR="00F81221">
        <w:rPr>
          <w:kern w:val="0"/>
        </w:rPr>
        <w:t xml:space="preserve"> and </w:t>
      </w:r>
      <w:r>
        <w:rPr>
          <w:kern w:val="0"/>
        </w:rPr>
        <w:t>Norway using bibliometric methods. Methods We performed repetitive searches on Medline, using the PubMed interface, for the period 1989-2008. Dermatologic articles were defined as all articles in dermatologic journals plus articles in nondermatologic journals in which the address of first author included an institution of dermatology. Articles were allocated to the country of first author</w:t>
      </w:r>
      <w:r w:rsidR="000352E7">
        <w:rPr>
          <w:kern w:val="0"/>
        </w:rPr>
        <w:t>’</w:t>
      </w:r>
      <w:r>
        <w:rPr>
          <w:kern w:val="0"/>
        </w:rPr>
        <w:t>s address. Results The number of dermatologic articles from Sweden, Denmark, Finland,</w:t>
      </w:r>
      <w:r w:rsidR="00F81221">
        <w:rPr>
          <w:kern w:val="0"/>
        </w:rPr>
        <w:t xml:space="preserve"> and </w:t>
      </w:r>
      <w:r>
        <w:rPr>
          <w:kern w:val="0"/>
        </w:rPr>
        <w:t>Norway was 1896 (214 per million inhabitants), 1502 (281), 1017 (196),</w:t>
      </w:r>
      <w:r w:rsidR="00F81221">
        <w:rPr>
          <w:kern w:val="0"/>
        </w:rPr>
        <w:t xml:space="preserve"> and </w:t>
      </w:r>
      <w:r>
        <w:rPr>
          <w:kern w:val="0"/>
        </w:rPr>
        <w:t>249 (55), respectively. Dermatologic articles represented 1.4%, 2.3%, 1.6%,</w:t>
      </w:r>
      <w:r w:rsidR="00F81221">
        <w:rPr>
          <w:kern w:val="0"/>
        </w:rPr>
        <w:t xml:space="preserve"> and </w:t>
      </w:r>
      <w:r>
        <w:rPr>
          <w:kern w:val="0"/>
        </w:rPr>
        <w:t>0.6% of each country</w:t>
      </w:r>
      <w:r w:rsidR="000352E7">
        <w:rPr>
          <w:kern w:val="0"/>
        </w:rPr>
        <w:t>’</w:t>
      </w:r>
      <w:r>
        <w:rPr>
          <w:kern w:val="0"/>
        </w:rPr>
        <w:t>s total number of Medline articles in English over the same period. Similar patterns were found in relation to gross domestic product, number of dermatologists,</w:t>
      </w:r>
      <w:r w:rsidR="00F81221">
        <w:rPr>
          <w:kern w:val="0"/>
        </w:rPr>
        <w:t xml:space="preserve"> and </w:t>
      </w:r>
      <w:r>
        <w:rPr>
          <w:kern w:val="0"/>
        </w:rPr>
        <w:t>number of medical schools. After 2000, the yearly number of dermatologic articles from Denmark increased</w:t>
      </w:r>
      <w:r w:rsidR="00F81221">
        <w:rPr>
          <w:kern w:val="0"/>
        </w:rPr>
        <w:t xml:space="preserve"> and </w:t>
      </w:r>
      <w:r>
        <w:rPr>
          <w:kern w:val="0"/>
        </w:rPr>
        <w:t>that from Finland decreased, whereas the numbers from Sweden</w:t>
      </w:r>
      <w:r w:rsidR="00F81221">
        <w:rPr>
          <w:kern w:val="0"/>
        </w:rPr>
        <w:t xml:space="preserve"> and </w:t>
      </w:r>
      <w:r>
        <w:rPr>
          <w:kern w:val="0"/>
        </w:rPr>
        <w:t>Norway remained relatively stable. Conclusions Despite similarities in social</w:t>
      </w:r>
      <w:r w:rsidR="00F81221">
        <w:rPr>
          <w:kern w:val="0"/>
        </w:rPr>
        <w:t xml:space="preserve"> and </w:t>
      </w:r>
      <w:r>
        <w:rPr>
          <w:kern w:val="0"/>
        </w:rPr>
        <w:t>economic conditions in Sweden, Denmark, Finland,</w:t>
      </w:r>
      <w:r w:rsidR="00F81221">
        <w:rPr>
          <w:kern w:val="0"/>
        </w:rPr>
        <w:t xml:space="preserve"> and </w:t>
      </w:r>
      <w:r>
        <w:rPr>
          <w:kern w:val="0"/>
        </w:rPr>
        <w:t>Norway, there are great differences in dermatologic research activity in the four countries, with Denmark performing best</w:t>
      </w:r>
      <w:r w:rsidR="00F81221">
        <w:rPr>
          <w:kern w:val="0"/>
        </w:rPr>
        <w:t xml:space="preserve"> and </w:t>
      </w:r>
      <w:r>
        <w:rPr>
          <w:kern w:val="0"/>
        </w:rPr>
        <w:t>Norway poorest. Historical</w:t>
      </w:r>
      <w:r w:rsidR="00F81221">
        <w:rPr>
          <w:kern w:val="0"/>
        </w:rPr>
        <w:t xml:space="preserve"> and </w:t>
      </w:r>
      <w:r>
        <w:rPr>
          <w:kern w:val="0"/>
        </w:rPr>
        <w:t>cultural factors may partly explain these differences.</w:t>
      </w:r>
    </w:p>
    <w:p w:rsidR="00BB7579" w:rsidRDefault="00BB7579" w:rsidP="00BB7579">
      <w:pPr>
        <w:pStyle w:val="a0"/>
        <w:rPr>
          <w:kern w:val="0"/>
        </w:rPr>
      </w:pPr>
      <w:r>
        <w:rPr>
          <w:kern w:val="0"/>
        </w:rPr>
        <w:t>Keywords: Author, Bibliometric, Europe, Journals, Pubmed, Research</w:t>
      </w:r>
    </w:p>
    <w:p w:rsidR="00026F4B" w:rsidRPr="00A428C3" w:rsidRDefault="00026F4B" w:rsidP="00026F4B">
      <w:pPr>
        <w:pStyle w:val="1"/>
      </w:pPr>
      <w:r w:rsidRPr="00A428C3">
        <w:br w:type="page"/>
      </w:r>
      <w:bookmarkStart w:id="1272" w:name="_Toc317161280"/>
      <w:r w:rsidRPr="00A428C3">
        <w:lastRenderedPageBreak/>
        <w:t xml:space="preserve">Title: </w:t>
      </w:r>
      <w:r w:rsidRPr="00026F4B">
        <w:rPr>
          <w:iCs/>
        </w:rPr>
        <w:t>International Journal of Drug Policy</w:t>
      </w:r>
      <w:bookmarkEnd w:id="1272"/>
    </w:p>
    <w:p w:rsidR="00026F4B" w:rsidRPr="00A428C3" w:rsidRDefault="00026F4B" w:rsidP="00026F4B">
      <w:pPr>
        <w:pStyle w:val="12"/>
      </w:pPr>
      <w:r w:rsidRPr="00A428C3">
        <w:t xml:space="preserve">Full Journal Title: </w:t>
      </w:r>
      <w:r w:rsidRPr="00026F4B">
        <w:rPr>
          <w:iCs/>
        </w:rPr>
        <w:t>International Journal of Drug Policy</w:t>
      </w:r>
    </w:p>
    <w:p w:rsidR="00026F4B" w:rsidRPr="00A428C3" w:rsidRDefault="00026F4B" w:rsidP="00026F4B">
      <w:pPr>
        <w:pStyle w:val="12"/>
      </w:pPr>
      <w:r w:rsidRPr="00A428C3">
        <w:t>ISO Abbreviated Title:</w:t>
      </w:r>
    </w:p>
    <w:p w:rsidR="00026F4B" w:rsidRPr="00A428C3" w:rsidRDefault="00026F4B" w:rsidP="00026F4B">
      <w:pPr>
        <w:pStyle w:val="12"/>
      </w:pPr>
      <w:r w:rsidRPr="00A428C3">
        <w:t xml:space="preserve">JCR Abbreviated Title: </w:t>
      </w:r>
    </w:p>
    <w:p w:rsidR="00026F4B" w:rsidRPr="00A428C3" w:rsidRDefault="00026F4B" w:rsidP="00026F4B">
      <w:pPr>
        <w:pStyle w:val="12"/>
      </w:pPr>
      <w:r w:rsidRPr="00A428C3">
        <w:t xml:space="preserve">ISSN: </w:t>
      </w:r>
    </w:p>
    <w:p w:rsidR="00026F4B" w:rsidRPr="00A428C3" w:rsidRDefault="00026F4B" w:rsidP="00026F4B">
      <w:pPr>
        <w:pStyle w:val="12"/>
      </w:pPr>
      <w:r w:rsidRPr="00A428C3">
        <w:t xml:space="preserve">Issues/Year: </w:t>
      </w:r>
    </w:p>
    <w:p w:rsidR="00026F4B" w:rsidRPr="00A428C3" w:rsidRDefault="00026F4B" w:rsidP="00026F4B">
      <w:pPr>
        <w:pStyle w:val="12"/>
      </w:pPr>
      <w:r w:rsidRPr="00A428C3">
        <w:t xml:space="preserve">Journal Country/Territory: </w:t>
      </w:r>
    </w:p>
    <w:p w:rsidR="00026F4B" w:rsidRPr="00A428C3" w:rsidRDefault="00026F4B" w:rsidP="00026F4B">
      <w:pPr>
        <w:pStyle w:val="12"/>
      </w:pPr>
      <w:r w:rsidRPr="00A428C3">
        <w:t xml:space="preserve">Language: </w:t>
      </w:r>
    </w:p>
    <w:p w:rsidR="00026F4B" w:rsidRPr="00A428C3" w:rsidRDefault="00026F4B" w:rsidP="00026F4B">
      <w:pPr>
        <w:pStyle w:val="12"/>
      </w:pPr>
      <w:r w:rsidRPr="00A428C3">
        <w:t xml:space="preserve">Publisher: </w:t>
      </w:r>
    </w:p>
    <w:p w:rsidR="00026F4B" w:rsidRPr="00A428C3" w:rsidRDefault="00026F4B" w:rsidP="00026F4B">
      <w:pPr>
        <w:pStyle w:val="12"/>
      </w:pPr>
      <w:r w:rsidRPr="00A428C3">
        <w:t xml:space="preserve">Publisher Address: </w:t>
      </w:r>
    </w:p>
    <w:p w:rsidR="00026F4B" w:rsidRPr="00A428C3" w:rsidRDefault="00026F4B" w:rsidP="00026F4B">
      <w:pPr>
        <w:pStyle w:val="12"/>
      </w:pPr>
      <w:r w:rsidRPr="00A428C3">
        <w:t>Subject Categories:</w:t>
      </w:r>
    </w:p>
    <w:p w:rsidR="00026F4B" w:rsidRPr="00A428C3" w:rsidRDefault="00026F4B" w:rsidP="00026F4B">
      <w:pPr>
        <w:pStyle w:val="12"/>
      </w:pPr>
      <w:r w:rsidRPr="00A428C3">
        <w:t>: Impact Factor</w:t>
      </w:r>
    </w:p>
    <w:p w:rsidR="00026F4B" w:rsidRDefault="00026F4B" w:rsidP="00026F4B">
      <w:pPr>
        <w:pStyle w:val="a0"/>
        <w:rPr>
          <w:kern w:val="0"/>
        </w:rPr>
      </w:pPr>
      <w:r>
        <w:rPr>
          <w:kern w:val="0"/>
        </w:rPr>
        <w:t xml:space="preserve">? Decorte, T. (2010), The case for small-scale domestic cannabis cultivation. </w:t>
      </w:r>
      <w:r w:rsidRPr="00026F4B">
        <w:rPr>
          <w:i/>
          <w:iCs/>
          <w:kern w:val="0"/>
        </w:rPr>
        <w:t>International Journal of Drug Policy</w:t>
      </w:r>
      <w:r>
        <w:rPr>
          <w:kern w:val="0"/>
        </w:rPr>
        <w:t xml:space="preserve">, </w:t>
      </w:r>
      <w:r>
        <w:rPr>
          <w:b/>
          <w:bCs/>
          <w:kern w:val="0"/>
        </w:rPr>
        <w:t>21</w:t>
      </w:r>
      <w:r>
        <w:rPr>
          <w:kern w:val="0"/>
        </w:rPr>
        <w:t xml:space="preserve"> (4), 271-275.</w:t>
      </w:r>
    </w:p>
    <w:p w:rsidR="00026F4B" w:rsidRDefault="00026F4B" w:rsidP="00026F4B">
      <w:pPr>
        <w:pStyle w:val="a0"/>
        <w:rPr>
          <w:kern w:val="0"/>
        </w:rPr>
      </w:pPr>
      <w:r>
        <w:rPr>
          <w:kern w:val="0"/>
        </w:rPr>
        <w:t>Abstract: The shift to (inter)regional production, trade</w:t>
      </w:r>
      <w:r w:rsidR="00F81221">
        <w:rPr>
          <w:kern w:val="0"/>
        </w:rPr>
        <w:t xml:space="preserve"> and </w:t>
      </w:r>
      <w:r>
        <w:rPr>
          <w:kern w:val="0"/>
        </w:rPr>
        <w:t>domestic cultivation has become an irreversible international trend. Until now, the focus of most empirical work has been on large-scale, commercially oriented</w:t>
      </w:r>
      <w:r w:rsidR="00F81221">
        <w:rPr>
          <w:kern w:val="0"/>
        </w:rPr>
        <w:t xml:space="preserve"> and </w:t>
      </w:r>
      <w:r>
        <w:rPr>
          <w:kern w:val="0"/>
        </w:rPr>
        <w:t>professionally organized segments of the cannabis industry, often based on police data</w:t>
      </w:r>
      <w:r w:rsidR="00F81221">
        <w:rPr>
          <w:kern w:val="0"/>
        </w:rPr>
        <w:t xml:space="preserve"> and </w:t>
      </w:r>
      <w:r>
        <w:rPr>
          <w:kern w:val="0"/>
        </w:rPr>
        <w:t>on the perspective of law enforcement agencies. This paper offers a review of recent Dutch-language research that focuses on cannabis cultivation. Empirical studies were identified through literature searches using relevant search terms</w:t>
      </w:r>
      <w:r w:rsidR="00F81221">
        <w:rPr>
          <w:kern w:val="0"/>
        </w:rPr>
        <w:t xml:space="preserve"> and </w:t>
      </w:r>
      <w:r>
        <w:rPr>
          <w:kern w:val="0"/>
        </w:rPr>
        <w:t>Web of Science, Elin, Social Science Research Network</w:t>
      </w:r>
      <w:r w:rsidR="00F81221">
        <w:rPr>
          <w:kern w:val="0"/>
        </w:rPr>
        <w:t xml:space="preserve"> and </w:t>
      </w:r>
      <w:r>
        <w:rPr>
          <w:kern w:val="0"/>
        </w:rPr>
        <w:t>Elsevier ScienceDirect. The paper presents the main findings of Dutch</w:t>
      </w:r>
      <w:r w:rsidR="00F81221">
        <w:rPr>
          <w:kern w:val="0"/>
        </w:rPr>
        <w:t xml:space="preserve"> and </w:t>
      </w:r>
      <w:r>
        <w:rPr>
          <w:kern w:val="0"/>
        </w:rPr>
        <w:t>Belgian empirical work on the factors that stimulated the import substitution process on the cannabis market, aspects related to quality</w:t>
      </w:r>
      <w:r w:rsidR="00F81221">
        <w:rPr>
          <w:kern w:val="0"/>
        </w:rPr>
        <w:t xml:space="preserve"> and </w:t>
      </w:r>
      <w:r>
        <w:rPr>
          <w:kern w:val="0"/>
        </w:rPr>
        <w:t>potency issues, typologies of cannabis growers,</w:t>
      </w:r>
      <w:r w:rsidR="00F81221">
        <w:rPr>
          <w:kern w:val="0"/>
        </w:rPr>
        <w:t xml:space="preserve"> and </w:t>
      </w:r>
      <w:r>
        <w:rPr>
          <w:kern w:val="0"/>
        </w:rPr>
        <w:t>(unintended) effects of pursued policies. In the light of this (selective) review the author offers some commentary</w:t>
      </w:r>
      <w:r w:rsidR="00F81221">
        <w:rPr>
          <w:kern w:val="0"/>
        </w:rPr>
        <w:t xml:space="preserve"> and </w:t>
      </w:r>
      <w:r>
        <w:rPr>
          <w:kern w:val="0"/>
        </w:rPr>
        <w:t>analysis concerning the claims made by different stakeholders,</w:t>
      </w:r>
      <w:r w:rsidR="00F81221">
        <w:rPr>
          <w:kern w:val="0"/>
        </w:rPr>
        <w:t xml:space="preserve"> and </w:t>
      </w:r>
      <w:r>
        <w:rPr>
          <w:kern w:val="0"/>
        </w:rPr>
        <w:t>concludes with some reflections on future research</w:t>
      </w:r>
      <w:r w:rsidR="00F81221">
        <w:rPr>
          <w:kern w:val="0"/>
        </w:rPr>
        <w:t xml:space="preserve"> and </w:t>
      </w:r>
      <w:r>
        <w:rPr>
          <w:kern w:val="0"/>
        </w:rPr>
        <w:t>on policy implications. The author outlines the importance of small-scale, independent or ideologically oriented cannabis cultivation as an underresearched market segment. The author also makes a case for greater toleration of small-scale cannabis cultivation, to secure the least worst of cannabis markets. (C) 2010 Elsevier B.V. All rights reserved.</w:t>
      </w:r>
    </w:p>
    <w:p w:rsidR="00026F4B" w:rsidRDefault="00026F4B" w:rsidP="00026F4B">
      <w:pPr>
        <w:pStyle w:val="a0"/>
        <w:rPr>
          <w:kern w:val="0"/>
        </w:rPr>
      </w:pPr>
      <w:r>
        <w:rPr>
          <w:kern w:val="0"/>
        </w:rPr>
        <w:t>Keywords: Amateur, Analysis, Author, Cannabis, Commentary, Cultivation, Drug Markets, Industry, Law Reform, Literature, Marijuana Cultivation, New-Zealand, Policies, Policy, Research, Review, Science, Supply Reduction, Trend, Web of Science, Western-Australia</w:t>
      </w:r>
    </w:p>
    <w:p w:rsidR="00026F4B" w:rsidRDefault="00026F4B" w:rsidP="00026F4B">
      <w:pPr>
        <w:pStyle w:val="a0"/>
        <w:rPr>
          <w:kern w:val="0"/>
        </w:rPr>
      </w:pPr>
      <w:r>
        <w:rPr>
          <w:kern w:val="0"/>
        </w:rPr>
        <w:t>? De Maeyer, J., Vanderplasschen, W.</w:t>
      </w:r>
      <w:r w:rsidR="00F81221">
        <w:rPr>
          <w:kern w:val="0"/>
        </w:rPr>
        <w:t xml:space="preserve"> and </w:t>
      </w:r>
      <w:r>
        <w:rPr>
          <w:kern w:val="0"/>
        </w:rPr>
        <w:t xml:space="preserve">Broekaert, E. (2010), Quality of life among </w:t>
      </w:r>
      <w:r>
        <w:rPr>
          <w:kern w:val="0"/>
        </w:rPr>
        <w:lastRenderedPageBreak/>
        <w:t xml:space="preserve">opiate-dependent individuals: A review of the literature. </w:t>
      </w:r>
      <w:r>
        <w:rPr>
          <w:i/>
          <w:iCs/>
          <w:kern w:val="0"/>
        </w:rPr>
        <w:t>International Journal of Drug Policy</w:t>
      </w:r>
      <w:r>
        <w:rPr>
          <w:kern w:val="0"/>
        </w:rPr>
        <w:t xml:space="preserve">, </w:t>
      </w:r>
      <w:r>
        <w:rPr>
          <w:b/>
          <w:bCs/>
          <w:kern w:val="0"/>
        </w:rPr>
        <w:t>21</w:t>
      </w:r>
      <w:r>
        <w:rPr>
          <w:kern w:val="0"/>
        </w:rPr>
        <w:t xml:space="preserve"> (5), 364-380.</w:t>
      </w:r>
    </w:p>
    <w:p w:rsidR="00026F4B" w:rsidRDefault="00026F4B" w:rsidP="00026F4B">
      <w:pPr>
        <w:pStyle w:val="a0"/>
        <w:rPr>
          <w:kern w:val="0"/>
        </w:rPr>
      </w:pPr>
      <w:r>
        <w:rPr>
          <w:kern w:val="0"/>
        </w:rPr>
        <w:t>Abstract: Quality of life (QoL) has become an important outcome indicator in health care evaluation. A clear distinction has to be made between QoL - focussing on individuals</w:t>
      </w:r>
      <w:r w:rsidR="000352E7">
        <w:rPr>
          <w:kern w:val="0"/>
        </w:rPr>
        <w:t>’</w:t>
      </w:r>
      <w:r>
        <w:rPr>
          <w:kern w:val="0"/>
        </w:rPr>
        <w:t xml:space="preserve"> subjective satisfaction with life as a whole</w:t>
      </w:r>
      <w:r w:rsidR="00F81221">
        <w:rPr>
          <w:kern w:val="0"/>
        </w:rPr>
        <w:t xml:space="preserve"> and </w:t>
      </w:r>
      <w:r>
        <w:rPr>
          <w:kern w:val="0"/>
        </w:rPr>
        <w:t>different life domains -</w:t>
      </w:r>
      <w:r w:rsidR="00F81221">
        <w:rPr>
          <w:kern w:val="0"/>
        </w:rPr>
        <w:t xml:space="preserve"> and </w:t>
      </w:r>
      <w:r>
        <w:rPr>
          <w:kern w:val="0"/>
        </w:rPr>
        <w:t>health-related QoL (HRQoL), which refers to the absence of pathology. As opiate dependence is the primary drug of most persons entering treatment</w:t>
      </w:r>
      <w:r w:rsidR="00F81221">
        <w:rPr>
          <w:kern w:val="0"/>
        </w:rPr>
        <w:t xml:space="preserve"> and </w:t>
      </w:r>
      <w:r>
        <w:rPr>
          <w:kern w:val="0"/>
        </w:rPr>
        <w:t>as the attention for QoL in addiction research is growing, this review of the literature intends to summarise</w:t>
      </w:r>
      <w:r w:rsidR="00F81221">
        <w:rPr>
          <w:kern w:val="0"/>
        </w:rPr>
        <w:t xml:space="preserve"> and </w:t>
      </w:r>
      <w:r>
        <w:rPr>
          <w:kern w:val="0"/>
        </w:rPr>
        <w:t>differentiate the available information on QoL in opiate-dependent individuals. A comprehensive literature review was conducted, including database searches in Web of Science, PUBMED</w:t>
      </w:r>
      <w:r w:rsidR="00F81221">
        <w:rPr>
          <w:kern w:val="0"/>
        </w:rPr>
        <w:t xml:space="preserve"> and </w:t>
      </w:r>
      <w:r>
        <w:rPr>
          <w:kern w:val="0"/>
        </w:rPr>
        <w:t>Cochrane Database of Systematic Reviews. Articles were eligible for review if they assessed QoL or HRQoL of opiate-dependent individuals, used a QoL or HRQoL instrument</w:t>
      </w:r>
      <w:r w:rsidR="00F81221">
        <w:rPr>
          <w:kern w:val="0"/>
        </w:rPr>
        <w:t xml:space="preserve"> and </w:t>
      </w:r>
      <w:r>
        <w:rPr>
          <w:kern w:val="0"/>
        </w:rPr>
        <w:t>reported at least one specific outcome on QoL or HRQol.. In total, 38 articles have been selected. The review showed that various instruments (n = 15) were used to measure QoL, mostly HRQoL instruments. Opiate-dependent individuals report low (HR)QoL compared with the general population</w:t>
      </w:r>
      <w:r w:rsidR="00F81221">
        <w:rPr>
          <w:kern w:val="0"/>
        </w:rPr>
        <w:t xml:space="preserve"> and </w:t>
      </w:r>
      <w:r>
        <w:rPr>
          <w:kern w:val="0"/>
        </w:rPr>
        <w:t>people with various medical illnesses. Generally, participation in substitution treatment had a positive effect on individuals</w:t>
      </w:r>
      <w:r w:rsidR="000352E7">
        <w:rPr>
          <w:kern w:val="0"/>
        </w:rPr>
        <w:t>’</w:t>
      </w:r>
      <w:r>
        <w:rPr>
          <w:kern w:val="0"/>
        </w:rPr>
        <w:t xml:space="preserve"> (HR)QoL, but long-term effects remain unclear. Psychological problems, older age</w:t>
      </w:r>
      <w:r w:rsidR="00F81221">
        <w:rPr>
          <w:kern w:val="0"/>
        </w:rPr>
        <w:t xml:space="preserve"> and </w:t>
      </w:r>
      <w:r>
        <w:rPr>
          <w:kern w:val="0"/>
        </w:rPr>
        <w:t>excessive alcohol use seem to be related with lower (HR)QoL scores. The assessment of QoL in research on opiate dependence is still in its infancy. Still, the chronic nature of drug use problems creates the necessity to look at outcomes beyond the direct consequences of drug dependence</w:t>
      </w:r>
      <w:r w:rsidR="00F81221">
        <w:rPr>
          <w:kern w:val="0"/>
        </w:rPr>
        <w:t xml:space="preserve"> and </w:t>
      </w:r>
      <w:r>
        <w:rPr>
          <w:kern w:val="0"/>
        </w:rPr>
        <w:t>based on clients</w:t>
      </w:r>
      <w:r w:rsidR="000352E7">
        <w:rPr>
          <w:kern w:val="0"/>
        </w:rPr>
        <w:t>’</w:t>
      </w:r>
      <w:r>
        <w:rPr>
          <w:kern w:val="0"/>
        </w:rPr>
        <w:t xml:space="preserve"> needs. HRQoL, with its unilateral focus on the functional status of clients, does not give information on clients</w:t>
      </w:r>
      <w:r w:rsidR="000352E7">
        <w:rPr>
          <w:kern w:val="0"/>
        </w:rPr>
        <w:t>’</w:t>
      </w:r>
      <w:r>
        <w:rPr>
          <w:kern w:val="0"/>
        </w:rPr>
        <w:t xml:space="preserve"> own experiences about the goodness of life,</w:t>
      </w:r>
      <w:r w:rsidR="00F81221">
        <w:rPr>
          <w:kern w:val="0"/>
        </w:rPr>
        <w:t xml:space="preserve"> and </w:t>
      </w:r>
      <w:r>
        <w:rPr>
          <w:kern w:val="0"/>
        </w:rPr>
        <w:t>is as a consequence unsuitable for measuring QoL.. Future research starting from a subjective, multidimensional approach of the concept of QoL is required. (c) 2010 Elsevier B.V. All rights reserved.</w:t>
      </w:r>
    </w:p>
    <w:p w:rsidR="00026F4B" w:rsidRDefault="00026F4B" w:rsidP="00026F4B">
      <w:pPr>
        <w:pStyle w:val="a0"/>
        <w:rPr>
          <w:kern w:val="0"/>
        </w:rPr>
      </w:pPr>
      <w:r>
        <w:rPr>
          <w:kern w:val="0"/>
        </w:rPr>
        <w:t>Keywords: Addiction, Alcohol, Articles, Assessment, Attention, Clinical-Practice, Cochrane, Drug, Drug Use, Evaluation, Form Health Survey, Functional, Health Care, Health-Related Quality of Life, Heroin, Heroin-Addicts, Information, Injection-Drug User, Literature, Literature Review, Medical, Methadone-Maintenance Treatment, Opiate Dependence, Opioid Dependence, Outcome, Outcomes, Pathology, Patient-Reported Outcomes, Personality-Disorders, Primary, Psychological, Quality, Quality of Life, Research, Review, Science, Sublingual Buprenorphine, Substance Use Disorders, Substitution Treatment, Systematic, Treatment, Web of Science</w:t>
      </w:r>
    </w:p>
    <w:p w:rsidR="00026F4B" w:rsidRDefault="00026F4B" w:rsidP="00026F4B">
      <w:pPr>
        <w:pStyle w:val="a0"/>
        <w:rPr>
          <w:kern w:val="0"/>
        </w:rPr>
      </w:pPr>
      <w:r>
        <w:rPr>
          <w:kern w:val="0"/>
        </w:rPr>
        <w:t>? Werb, D., Rowell, G., Guyatt, G., Kerr, T., Montaner, J.</w:t>
      </w:r>
      <w:r w:rsidR="00F81221">
        <w:rPr>
          <w:kern w:val="0"/>
        </w:rPr>
        <w:t xml:space="preserve"> and </w:t>
      </w:r>
      <w:r>
        <w:rPr>
          <w:kern w:val="0"/>
        </w:rPr>
        <w:t xml:space="preserve">Wood, E. (2011), Effect of drug law enforcement on drug market violence: A systematic review. </w:t>
      </w:r>
      <w:r>
        <w:rPr>
          <w:i/>
          <w:iCs/>
          <w:kern w:val="0"/>
        </w:rPr>
        <w:lastRenderedPageBreak/>
        <w:t>International Journal of Drug Policy</w:t>
      </w:r>
      <w:r>
        <w:rPr>
          <w:kern w:val="0"/>
        </w:rPr>
        <w:t xml:space="preserve">, </w:t>
      </w:r>
      <w:r>
        <w:rPr>
          <w:b/>
          <w:bCs/>
          <w:kern w:val="0"/>
        </w:rPr>
        <w:t>22</w:t>
      </w:r>
      <w:r>
        <w:rPr>
          <w:kern w:val="0"/>
        </w:rPr>
        <w:t xml:space="preserve"> (2), 87-94.</w:t>
      </w:r>
    </w:p>
    <w:p w:rsidR="00026F4B" w:rsidRDefault="00026F4B" w:rsidP="00026F4B">
      <w:pPr>
        <w:pStyle w:val="a0"/>
        <w:rPr>
          <w:kern w:val="0"/>
        </w:rPr>
      </w:pPr>
      <w:r>
        <w:rPr>
          <w:kern w:val="0"/>
        </w:rPr>
        <w:t>Abstract: Violence is amongst the primary concerns of communities around the world</w:t>
      </w:r>
      <w:r w:rsidR="00F81221">
        <w:rPr>
          <w:kern w:val="0"/>
        </w:rPr>
        <w:t xml:space="preserve"> and </w:t>
      </w:r>
      <w:r>
        <w:rPr>
          <w:kern w:val="0"/>
        </w:rPr>
        <w:t>research has demonstrated links between violence</w:t>
      </w:r>
      <w:r w:rsidR="00F81221">
        <w:rPr>
          <w:kern w:val="0"/>
        </w:rPr>
        <w:t xml:space="preserve"> and </w:t>
      </w:r>
      <w:r>
        <w:rPr>
          <w:kern w:val="0"/>
        </w:rPr>
        <w:t>the illicit drug trade, particularly in urban settings. Given the growing emphasis on evidence-based policy-making,</w:t>
      </w:r>
      <w:r w:rsidR="00F81221">
        <w:rPr>
          <w:kern w:val="0"/>
        </w:rPr>
        <w:t xml:space="preserve"> and </w:t>
      </w:r>
      <w:r>
        <w:rPr>
          <w:kern w:val="0"/>
        </w:rPr>
        <w:t>the ongoing severe drug market violence in Mexico</w:t>
      </w:r>
      <w:r w:rsidR="00F81221">
        <w:rPr>
          <w:kern w:val="0"/>
        </w:rPr>
        <w:t xml:space="preserve"> and </w:t>
      </w:r>
      <w:r>
        <w:rPr>
          <w:kern w:val="0"/>
        </w:rPr>
        <w:t>other settings, we conducted a systematic review to examine the impacts of drug law enforcement on drug market violence. We conducted a systematic review using Preferred Reporting Items for Systematic Reviews</w:t>
      </w:r>
      <w:r w:rsidR="00F81221">
        <w:rPr>
          <w:kern w:val="0"/>
        </w:rPr>
        <w:t xml:space="preserve"> and </w:t>
      </w:r>
      <w:r>
        <w:rPr>
          <w:kern w:val="0"/>
        </w:rPr>
        <w:t>Meta Analyses (PRISMA) guidelines. Specifically, we undertook a search of English language electronic databases (Academic Search Complete, PUBMED, PsycINFO, EMBASE, Web of Science, Sociological Abstracts, Social Service Abstracts, PAIS International</w:t>
      </w:r>
      <w:r w:rsidR="00F81221">
        <w:rPr>
          <w:kern w:val="0"/>
        </w:rPr>
        <w:t xml:space="preserve"> and </w:t>
      </w:r>
      <w:r>
        <w:rPr>
          <w:kern w:val="0"/>
        </w:rPr>
        <w:t>Lexis-Nexis), the Internet (Google, Google Scholar),</w:t>
      </w:r>
      <w:r w:rsidR="00F81221">
        <w:rPr>
          <w:kern w:val="0"/>
        </w:rPr>
        <w:t xml:space="preserve"> and </w:t>
      </w:r>
      <w:r>
        <w:rPr>
          <w:kern w:val="0"/>
        </w:rPr>
        <w:t>article reference lists, from database inception to January 24, 2011. Overall, 15 studies were identified that evaluated the impact of drug law enforcement on drug market violence, including 11 (73%) longitudinal analyses using linear regression, 2 (13%) mathematical drug market models,</w:t>
      </w:r>
      <w:r w:rsidR="00F81221">
        <w:rPr>
          <w:kern w:val="0"/>
        </w:rPr>
        <w:t xml:space="preserve"> and </w:t>
      </w:r>
      <w:r>
        <w:rPr>
          <w:kern w:val="0"/>
        </w:rPr>
        <w:t>2 (13%) qualitative studies. Fourteen (93%) studies reported an adverse impact of drug law enforcement on levels of violence. Ten of the 11(91%) studies employing longitudinal qualitative analyses found a significant association between drug law enforcement</w:t>
      </w:r>
      <w:r w:rsidR="00F81221">
        <w:rPr>
          <w:kern w:val="0"/>
        </w:rPr>
        <w:t xml:space="preserve"> and </w:t>
      </w:r>
      <w:r>
        <w:rPr>
          <w:kern w:val="0"/>
        </w:rPr>
        <w:t>drug market violence. Our findings suggest that increasing drug law enforcement is unlikely to reduce drug market violence. Instead, the existing evidence base suggests that gun violence</w:t>
      </w:r>
      <w:r w:rsidR="00F81221">
        <w:rPr>
          <w:kern w:val="0"/>
        </w:rPr>
        <w:t xml:space="preserve"> and </w:t>
      </w:r>
      <w:r>
        <w:rPr>
          <w:kern w:val="0"/>
        </w:rPr>
        <w:t>high homicide rates may be an inevitable consequence of drug prohibition</w:t>
      </w:r>
      <w:r w:rsidR="00F81221">
        <w:rPr>
          <w:kern w:val="0"/>
        </w:rPr>
        <w:t xml:space="preserve"> and </w:t>
      </w:r>
      <w:r>
        <w:rPr>
          <w:kern w:val="0"/>
        </w:rPr>
        <w:t>that disrupting drug markets can paradoxically increase violence. In this context,</w:t>
      </w:r>
      <w:r w:rsidR="00F81221">
        <w:rPr>
          <w:kern w:val="0"/>
        </w:rPr>
        <w:t xml:space="preserve"> and </w:t>
      </w:r>
      <w:r>
        <w:rPr>
          <w:kern w:val="0"/>
        </w:rPr>
        <w:t>since drug prohibition has not meaningfully reduced drug supply, alternative regulatory models will be required if drug supply</w:t>
      </w:r>
      <w:r w:rsidR="00F81221">
        <w:rPr>
          <w:kern w:val="0"/>
        </w:rPr>
        <w:t xml:space="preserve"> and </w:t>
      </w:r>
      <w:r>
        <w:rPr>
          <w:kern w:val="0"/>
        </w:rPr>
        <w:t>drug market violence are to be meaningfully reduced. (C) 2011 Elsevier B.V. All rights reserved.</w:t>
      </w:r>
    </w:p>
    <w:p w:rsidR="00026F4B" w:rsidRDefault="00026F4B" w:rsidP="00026F4B">
      <w:pPr>
        <w:pStyle w:val="a0"/>
        <w:rPr>
          <w:kern w:val="0"/>
        </w:rPr>
      </w:pPr>
      <w:r>
        <w:rPr>
          <w:kern w:val="0"/>
        </w:rPr>
        <w:t>Keywords: Crime, Databases, Drug, Drug Dealing, Drug Enforcement, Embase, Gangs, Google Scholar, Guidelines, Guns, Health, Impact, Internet, Items, Mexico, Policy Making, Primary, Pubmed, Research, Review, Science, Systematic, Systematic Review, Urban, Violence, Web of Science, Youth</w:t>
      </w:r>
    </w:p>
    <w:p w:rsidR="00B95188" w:rsidRPr="00A428C3" w:rsidRDefault="00B95188" w:rsidP="00B95188">
      <w:pPr>
        <w:pStyle w:val="1"/>
      </w:pPr>
      <w:r w:rsidRPr="00A428C3">
        <w:br w:type="page"/>
      </w:r>
      <w:bookmarkStart w:id="1273" w:name="_Toc186647909"/>
      <w:bookmarkStart w:id="1274" w:name="_Toc317161281"/>
      <w:r w:rsidRPr="00A428C3">
        <w:lastRenderedPageBreak/>
        <w:t>Title: International Journal of the Economics of Business</w:t>
      </w:r>
      <w:bookmarkEnd w:id="1273"/>
      <w:bookmarkEnd w:id="1274"/>
    </w:p>
    <w:p w:rsidR="00B95188" w:rsidRPr="00A428C3" w:rsidRDefault="00B95188" w:rsidP="00B72EF9">
      <w:pPr>
        <w:pStyle w:val="12"/>
      </w:pPr>
      <w:r w:rsidRPr="00A428C3">
        <w:t>Full Journal Title: International Journal of the Economics of Business</w:t>
      </w:r>
    </w:p>
    <w:p w:rsidR="00B95188" w:rsidRPr="00A428C3" w:rsidRDefault="00B95188" w:rsidP="00B72EF9">
      <w:pPr>
        <w:pStyle w:val="12"/>
      </w:pPr>
      <w:r w:rsidRPr="00A428C3">
        <w:t>ISO Abbreviated Title:</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Michie, J. (1998), Introduction. The internationalisation of the innovation process. </w:t>
      </w:r>
      <w:r w:rsidRPr="00A428C3">
        <w:rPr>
          <w:i/>
          <w:iCs/>
        </w:rPr>
        <w:t>International Journal of the Economics of Business</w:t>
      </w:r>
      <w:r w:rsidRPr="00A428C3">
        <w:t xml:space="preserve">, </w:t>
      </w:r>
      <w:r w:rsidRPr="00A428C3">
        <w:rPr>
          <w:b/>
        </w:rPr>
        <w:t>5</w:t>
      </w:r>
      <w:r w:rsidRPr="00A428C3">
        <w:t xml:space="preserve"> (3), 261-277.</w:t>
      </w:r>
    </w:p>
    <w:p w:rsidR="00B95188" w:rsidRPr="00A428C3" w:rsidRDefault="00B95188" w:rsidP="00B95188">
      <w:pPr>
        <w:pStyle w:val="a0"/>
      </w:pPr>
      <w:r w:rsidRPr="00A428C3">
        <w:t>Full Text: Int J Eco Bus5, 261</w:t>
      </w:r>
    </w:p>
    <w:p w:rsidR="00B95188" w:rsidRPr="00A428C3" w:rsidRDefault="00B95188" w:rsidP="00B95188">
      <w:pPr>
        <w:pStyle w:val="a0"/>
      </w:pPr>
      <w:r w:rsidRPr="00A428C3">
        <w:t>Abstract: The international economics of business</w:t>
      </w:r>
      <w:r w:rsidR="00F81221">
        <w:t xml:space="preserve"> and </w:t>
      </w:r>
      <w:r w:rsidRPr="00A428C3">
        <w:t>management has focused - both in the academic literature</w:t>
      </w:r>
      <w:r w:rsidR="00F81221">
        <w:t xml:space="preserve"> and </w:t>
      </w:r>
      <w:r w:rsidRPr="00A428C3">
        <w:t>in corporate</w:t>
      </w:r>
      <w:r w:rsidR="00F81221">
        <w:t xml:space="preserve"> and </w:t>
      </w:r>
      <w:r w:rsidRPr="00A428C3">
        <w:t>public policy discussions - increasingly on issues of globalisation, innovation</w:t>
      </w:r>
      <w:r w:rsidR="00F81221">
        <w:t xml:space="preserve"> and </w:t>
      </w:r>
      <w:r w:rsidR="000352E7">
        <w:t>‘</w:t>
      </w:r>
      <w:r w:rsidRPr="00A428C3">
        <w:t>competitiveness</w:t>
      </w:r>
      <w:r w:rsidR="000352E7">
        <w:t>’</w:t>
      </w:r>
      <w:r w:rsidRPr="00A428C3">
        <w:t>. These issues,</w:t>
      </w:r>
      <w:r w:rsidR="00F81221">
        <w:t xml:space="preserve"> and </w:t>
      </w:r>
      <w:r w:rsidRPr="00A428C3">
        <w:t>in particular their interrelation, are analysed in detail in this Special Issue of the International Journal of the Economics of Business. This opening article aims to set the scene by considering how the rather distinct literatures around the above three topics can best be drawn upon in order to focus on what implications the new global economic environment has for the economics of business</w:t>
      </w:r>
      <w:r w:rsidR="00F81221">
        <w:t xml:space="preserve"> and </w:t>
      </w:r>
      <w:r w:rsidRPr="00A428C3">
        <w:t>public policy.</w:t>
      </w:r>
    </w:p>
    <w:p w:rsidR="00B95188" w:rsidRPr="00A428C3" w:rsidRDefault="00B95188" w:rsidP="00B95188">
      <w:pPr>
        <w:pStyle w:val="a0"/>
      </w:pPr>
      <w:r w:rsidRPr="00A428C3">
        <w:t>Keywords: Globalisation Innovation R&amp;D Technology Policy Systems Competitiveness</w:t>
      </w:r>
    </w:p>
    <w:p w:rsidR="00B95188" w:rsidRPr="00A428C3" w:rsidRDefault="00B95188" w:rsidP="00B95188">
      <w:pPr>
        <w:pStyle w:val="a0"/>
      </w:pPr>
      <w:r w:rsidRPr="00A428C3">
        <w:t>? Evangelista, R., Sandven, T., Sirilli, G.</w:t>
      </w:r>
      <w:r w:rsidR="00F81221">
        <w:t xml:space="preserve"> and </w:t>
      </w:r>
      <w:r w:rsidRPr="00A428C3">
        <w:t xml:space="preserve">Smith, K. (1998), Measuring innovation in european industry. </w:t>
      </w:r>
      <w:r w:rsidRPr="00A428C3">
        <w:rPr>
          <w:i/>
          <w:iCs/>
        </w:rPr>
        <w:t>International Journal of the Economics of Business</w:t>
      </w:r>
      <w:r w:rsidRPr="00A428C3">
        <w:t xml:space="preserve">, </w:t>
      </w:r>
      <w:r w:rsidRPr="00A428C3">
        <w:rPr>
          <w:b/>
        </w:rPr>
        <w:t>5</w:t>
      </w:r>
      <w:r w:rsidRPr="00A428C3">
        <w:t xml:space="preserve"> (3), 311-333.</w:t>
      </w:r>
    </w:p>
    <w:p w:rsidR="00B95188" w:rsidRPr="00A428C3" w:rsidRDefault="00B95188" w:rsidP="00B95188">
      <w:pPr>
        <w:pStyle w:val="a0"/>
      </w:pPr>
      <w:r w:rsidRPr="00A428C3">
        <w:t>Full Text: Int J Eco Bus5, 311</w:t>
      </w:r>
    </w:p>
    <w:p w:rsidR="00B95188" w:rsidRPr="00A428C3" w:rsidRDefault="00B95188" w:rsidP="00B95188">
      <w:pPr>
        <w:pStyle w:val="a0"/>
      </w:pPr>
      <w:r w:rsidRPr="00A428C3">
        <w:t>Abstract: This paper analyses the results of the 1993 Community Innovation Survey (CIS). Fifty per cent of European firms introduced a product or process innovation during 1990-92. The share of innovating firms varies between industrial sectors</w:t>
      </w:r>
      <w:r w:rsidR="00F81221">
        <w:t xml:space="preserve"> and </w:t>
      </w:r>
      <w:r w:rsidRPr="00A428C3">
        <w:t>firm size. The percentage of innovating firms is higher for large firms than for smaller ones. In high-tech sectors this share is two thirds</w:t>
      </w:r>
      <w:r w:rsidR="00F81221">
        <w:t xml:space="preserve"> and </w:t>
      </w:r>
      <w:r w:rsidRPr="00A428C3">
        <w:t>for traditional ones is one third. The largest part of firms</w:t>
      </w:r>
      <w:r w:rsidR="000352E7">
        <w:t>’</w:t>
      </w:r>
      <w:r w:rsidRPr="00A428C3">
        <w:t xml:space="preserve"> expenditure for innovation is linked to the adoption</w:t>
      </w:r>
      <w:r w:rsidR="00F81221">
        <w:t xml:space="preserve"> and </w:t>
      </w:r>
      <w:r w:rsidRPr="00A428C3">
        <w:t>diffusion of technologies through machinery</w:t>
      </w:r>
      <w:r w:rsidR="00F81221">
        <w:t xml:space="preserve"> and </w:t>
      </w:r>
      <w:r w:rsidRPr="00A428C3">
        <w:t>equipment, which absorbs 50% of firms</w:t>
      </w:r>
      <w:r w:rsidR="000352E7">
        <w:t>’</w:t>
      </w:r>
      <w:r w:rsidRPr="00A428C3">
        <w:t xml:space="preserve"> innovation expenditure. R&amp;D activities represent, on average, 20% of total innovation expenditure while other innovative activities, such as design</w:t>
      </w:r>
      <w:r w:rsidR="00F81221">
        <w:t xml:space="preserve"> </w:t>
      </w:r>
      <w:r w:rsidR="00F81221">
        <w:lastRenderedPageBreak/>
        <w:t xml:space="preserve">and </w:t>
      </w:r>
      <w:r w:rsidRPr="00A428C3">
        <w:t>trial production, account respectively for 10%</w:t>
      </w:r>
      <w:r w:rsidR="00F81221">
        <w:t xml:space="preserve"> and </w:t>
      </w:r>
      <w:r w:rsidRPr="00A428C3">
        <w:t>11%. The mix of innovation inputs, especially R&amp;D</w:t>
      </w:r>
      <w:r w:rsidR="00F81221">
        <w:t xml:space="preserve"> and </w:t>
      </w:r>
      <w:r w:rsidRPr="00A428C3">
        <w:t>investment, is strongly correlated with firm size, displays little change across countries</w:t>
      </w:r>
      <w:r w:rsidR="00F81221">
        <w:t xml:space="preserve"> and </w:t>
      </w:r>
      <w:r w:rsidRPr="00A428C3">
        <w:t>varies greatly across industries.</w:t>
      </w:r>
    </w:p>
    <w:p w:rsidR="00B95188" w:rsidRPr="00A428C3" w:rsidRDefault="00B95188" w:rsidP="00B95188">
      <w:pPr>
        <w:pStyle w:val="a0"/>
      </w:pPr>
      <w:r w:rsidRPr="00A428C3">
        <w:t>Keywords: Technological Change Innovation R&amp;D</w:t>
      </w:r>
    </w:p>
    <w:p w:rsidR="006548C1" w:rsidRPr="00A428C3" w:rsidRDefault="006548C1" w:rsidP="006548C1">
      <w:pPr>
        <w:pStyle w:val="1"/>
      </w:pPr>
      <w:r w:rsidRPr="00A428C3">
        <w:br w:type="page"/>
      </w:r>
      <w:bookmarkStart w:id="1275" w:name="_Toc231198902"/>
      <w:bookmarkStart w:id="1276" w:name="_Toc234337493"/>
      <w:bookmarkStart w:id="1277" w:name="_Toc317161282"/>
      <w:r w:rsidRPr="00A428C3">
        <w:lastRenderedPageBreak/>
        <w:t xml:space="preserve">Title: </w:t>
      </w:r>
      <w:r w:rsidRPr="00923485">
        <w:t>International Journal of Electrochemical Science</w:t>
      </w:r>
      <w:bookmarkEnd w:id="1275"/>
      <w:bookmarkEnd w:id="1276"/>
      <w:bookmarkEnd w:id="1277"/>
    </w:p>
    <w:p w:rsidR="006548C1" w:rsidRPr="00A428C3" w:rsidRDefault="006548C1" w:rsidP="00B72EF9">
      <w:pPr>
        <w:pStyle w:val="12"/>
      </w:pPr>
      <w:r w:rsidRPr="00A428C3">
        <w:t xml:space="preserve">Full Journal Title: </w:t>
      </w:r>
      <w:hyperlink r:id="rId1734" w:history="1">
        <w:r w:rsidRPr="00E34A8B">
          <w:rPr>
            <w:rStyle w:val="a5"/>
            <w:iCs/>
          </w:rPr>
          <w:t>International Journal of Electrochemical Science</w:t>
        </w:r>
      </w:hyperlink>
    </w:p>
    <w:p w:rsidR="006548C1" w:rsidRPr="00A428C3" w:rsidRDefault="006548C1" w:rsidP="00B72EF9">
      <w:pPr>
        <w:pStyle w:val="12"/>
      </w:pPr>
      <w:r w:rsidRPr="00A428C3">
        <w:t>ISO Abbreviated Title:</w:t>
      </w:r>
    </w:p>
    <w:p w:rsidR="006548C1" w:rsidRPr="00A428C3" w:rsidRDefault="006548C1" w:rsidP="00B72EF9">
      <w:pPr>
        <w:pStyle w:val="12"/>
      </w:pPr>
      <w:r w:rsidRPr="00A428C3">
        <w:t xml:space="preserve">JCR Abbreviated Title: </w:t>
      </w:r>
    </w:p>
    <w:p w:rsidR="006548C1" w:rsidRPr="00A428C3" w:rsidRDefault="006548C1" w:rsidP="00B72EF9">
      <w:pPr>
        <w:pStyle w:val="12"/>
      </w:pPr>
      <w:r w:rsidRPr="00A428C3">
        <w:t xml:space="preserve">ISSN: </w:t>
      </w:r>
    </w:p>
    <w:p w:rsidR="006548C1" w:rsidRPr="00A428C3" w:rsidRDefault="006548C1" w:rsidP="00B72EF9">
      <w:pPr>
        <w:pStyle w:val="12"/>
      </w:pPr>
      <w:r w:rsidRPr="00A428C3">
        <w:t xml:space="preserve">Issues/Year: </w:t>
      </w:r>
    </w:p>
    <w:p w:rsidR="006548C1" w:rsidRPr="00A428C3" w:rsidRDefault="00FB5623" w:rsidP="00B72EF9">
      <w:pPr>
        <w:pStyle w:val="12"/>
      </w:pPr>
      <w:r>
        <w:t>Journal Country/Territory:</w:t>
      </w:r>
      <w:r w:rsidR="006548C1">
        <w:t xml:space="preserve"> </w:t>
      </w:r>
    </w:p>
    <w:p w:rsidR="006548C1" w:rsidRPr="00A428C3" w:rsidRDefault="006548C1" w:rsidP="00B72EF9">
      <w:pPr>
        <w:pStyle w:val="12"/>
      </w:pPr>
      <w:r w:rsidRPr="00A428C3">
        <w:t xml:space="preserve">Language: </w:t>
      </w:r>
    </w:p>
    <w:p w:rsidR="006548C1" w:rsidRPr="00A428C3" w:rsidRDefault="006548C1" w:rsidP="00B72EF9">
      <w:pPr>
        <w:pStyle w:val="12"/>
      </w:pPr>
      <w:r w:rsidRPr="00A428C3">
        <w:t xml:space="preserve">Publisher: </w:t>
      </w:r>
    </w:p>
    <w:p w:rsidR="006548C1" w:rsidRPr="00A428C3" w:rsidRDefault="006548C1" w:rsidP="00B72EF9">
      <w:pPr>
        <w:pStyle w:val="12"/>
      </w:pPr>
      <w:r w:rsidRPr="00A428C3">
        <w:t xml:space="preserve">Publisher Address: </w:t>
      </w:r>
    </w:p>
    <w:p w:rsidR="006548C1" w:rsidRPr="00A428C3" w:rsidRDefault="006548C1" w:rsidP="00B72EF9">
      <w:pPr>
        <w:pStyle w:val="12"/>
      </w:pPr>
      <w:r w:rsidRPr="00A428C3">
        <w:t>Subject Categories:</w:t>
      </w:r>
    </w:p>
    <w:p w:rsidR="006548C1" w:rsidRPr="00A428C3" w:rsidRDefault="006548C1" w:rsidP="00B72EF9">
      <w:pPr>
        <w:pStyle w:val="12"/>
      </w:pPr>
      <w:r w:rsidRPr="00A428C3">
        <w:t>: Impact Factor</w:t>
      </w:r>
    </w:p>
    <w:p w:rsidR="006548C1" w:rsidRDefault="006548C1" w:rsidP="006548C1">
      <w:pPr>
        <w:pStyle w:val="a0"/>
        <w:rPr>
          <w:kern w:val="0"/>
          <w:szCs w:val="24"/>
        </w:rPr>
      </w:pPr>
      <w:r>
        <w:rPr>
          <w:rFonts w:hint="eastAsia"/>
          <w:kern w:val="0"/>
          <w:szCs w:val="24"/>
        </w:rPr>
        <w:t xml:space="preserve">? </w:t>
      </w:r>
      <w:r>
        <w:rPr>
          <w:kern w:val="0"/>
          <w:szCs w:val="24"/>
        </w:rPr>
        <w:t>Lufrano, F.</w:t>
      </w:r>
      <w:r w:rsidR="00F81221">
        <w:rPr>
          <w:kern w:val="0"/>
          <w:szCs w:val="24"/>
        </w:rPr>
        <w:t xml:space="preserve"> and </w:t>
      </w:r>
      <w:r>
        <w:rPr>
          <w:kern w:val="0"/>
          <w:szCs w:val="24"/>
        </w:rPr>
        <w:t xml:space="preserve">Staiti, P. (2009), A bibliometric analysis of the international literature in supercapacitors. </w:t>
      </w:r>
      <w:r w:rsidRPr="00A6382D">
        <w:rPr>
          <w:i/>
          <w:iCs/>
          <w:kern w:val="0"/>
          <w:szCs w:val="24"/>
        </w:rPr>
        <w:t>International Journal of Electrochemical Science</w:t>
      </w:r>
      <w:r>
        <w:rPr>
          <w:kern w:val="0"/>
          <w:szCs w:val="24"/>
        </w:rPr>
        <w:t xml:space="preserve">, </w:t>
      </w:r>
      <w:r>
        <w:rPr>
          <w:b/>
          <w:bCs/>
          <w:kern w:val="0"/>
          <w:szCs w:val="24"/>
        </w:rPr>
        <w:t>4</w:t>
      </w:r>
      <w:r>
        <w:rPr>
          <w:kern w:val="0"/>
          <w:szCs w:val="24"/>
        </w:rPr>
        <w:t xml:space="preserve"> (2), 173-186.</w:t>
      </w:r>
    </w:p>
    <w:p w:rsidR="00E34A8B" w:rsidRDefault="00E34A8B" w:rsidP="006548C1">
      <w:pPr>
        <w:pStyle w:val="a0"/>
        <w:rPr>
          <w:kern w:val="0"/>
          <w:szCs w:val="24"/>
        </w:rPr>
      </w:pPr>
      <w:r>
        <w:rPr>
          <w:rFonts w:hint="eastAsia"/>
          <w:kern w:val="0"/>
          <w:szCs w:val="24"/>
        </w:rPr>
        <w:t xml:space="preserve">Full Text: </w:t>
      </w:r>
      <w:hyperlink r:id="rId1735" w:history="1">
        <w:r w:rsidRPr="00E34A8B">
          <w:rPr>
            <w:rStyle w:val="a5"/>
            <w:kern w:val="0"/>
            <w:szCs w:val="24"/>
          </w:rPr>
          <w:t>2009\Int J Ele Sci4, 173.pdf</w:t>
        </w:r>
      </w:hyperlink>
    </w:p>
    <w:p w:rsidR="006548C1" w:rsidRDefault="006548C1" w:rsidP="006548C1">
      <w:pPr>
        <w:pStyle w:val="a0"/>
        <w:rPr>
          <w:kern w:val="0"/>
          <w:szCs w:val="24"/>
        </w:rPr>
      </w:pPr>
      <w:r>
        <w:rPr>
          <w:kern w:val="0"/>
          <w:szCs w:val="24"/>
        </w:rPr>
        <w:t>Abstract: This study is a bibliometric analysis of worldwide scientific literature on research activity in the field of supercapacitors. To analyze the quality, quantity</w:t>
      </w:r>
      <w:r w:rsidR="00F81221">
        <w:rPr>
          <w:kern w:val="0"/>
          <w:szCs w:val="24"/>
        </w:rPr>
        <w:t xml:space="preserve"> and </w:t>
      </w:r>
      <w:r>
        <w:rPr>
          <w:kern w:val="0"/>
          <w:szCs w:val="24"/>
        </w:rPr>
        <w:t>influence of published scientific papers in this field, we have performed a search in the Scopus database</w:t>
      </w:r>
      <w:r w:rsidR="00F81221">
        <w:rPr>
          <w:kern w:val="0"/>
          <w:szCs w:val="24"/>
        </w:rPr>
        <w:t xml:space="preserve"> and </w:t>
      </w:r>
      <w:r>
        <w:rPr>
          <w:kern w:val="0"/>
          <w:szCs w:val="24"/>
        </w:rPr>
        <w:t>have analysed the relevant records. We then proceeded with rankings of authors</w:t>
      </w:r>
      <w:r w:rsidR="00F81221">
        <w:rPr>
          <w:kern w:val="0"/>
          <w:szCs w:val="24"/>
        </w:rPr>
        <w:t xml:space="preserve"> and </w:t>
      </w:r>
      <w:r>
        <w:rPr>
          <w:kern w:val="0"/>
          <w:szCs w:val="24"/>
        </w:rPr>
        <w:t>countries on the basis of different indicators: number of papers, citations, Hirsh index,</w:t>
      </w:r>
      <w:r w:rsidR="00F81221">
        <w:rPr>
          <w:kern w:val="0"/>
          <w:szCs w:val="24"/>
        </w:rPr>
        <w:t xml:space="preserve"> and </w:t>
      </w:r>
      <w:r>
        <w:rPr>
          <w:kern w:val="0"/>
          <w:szCs w:val="24"/>
        </w:rPr>
        <w:t>citations per paper. The analysis of aggregate records shows that the number of publications has increased remarkably since 2004. This is because in the last few years, there has been a rapid growth in publications coming from China</w:t>
      </w:r>
      <w:r w:rsidR="00F81221">
        <w:rPr>
          <w:kern w:val="0"/>
          <w:szCs w:val="24"/>
        </w:rPr>
        <w:t xml:space="preserve"> and </w:t>
      </w:r>
      <w:r>
        <w:rPr>
          <w:kern w:val="0"/>
          <w:szCs w:val="24"/>
        </w:rPr>
        <w:t xml:space="preserve">other Asian countries </w:t>
      </w:r>
      <w:r w:rsidR="005E6E43">
        <w:rPr>
          <w:kern w:val="0"/>
          <w:szCs w:val="24"/>
        </w:rPr>
        <w:t>(</w:t>
      </w:r>
      <w:r>
        <w:rPr>
          <w:kern w:val="0"/>
          <w:szCs w:val="24"/>
        </w:rPr>
        <w:t>Korea, Taiwan</w:t>
      </w:r>
      <w:r w:rsidR="00F81221">
        <w:rPr>
          <w:kern w:val="0"/>
          <w:szCs w:val="24"/>
        </w:rPr>
        <w:t xml:space="preserve"> and </w:t>
      </w:r>
      <w:r>
        <w:rPr>
          <w:kern w:val="0"/>
          <w:szCs w:val="24"/>
        </w:rPr>
        <w:t>India). China was found to be the leading country with 459 published papers</w:t>
      </w:r>
      <w:r w:rsidR="00F81221">
        <w:rPr>
          <w:kern w:val="0"/>
          <w:szCs w:val="24"/>
        </w:rPr>
        <w:t xml:space="preserve"> and </w:t>
      </w:r>
      <w:r>
        <w:rPr>
          <w:kern w:val="0"/>
          <w:szCs w:val="24"/>
        </w:rPr>
        <w:t>five authors on the list of the 30 most prolific scientists per number of publications. However, the Western countries also such as the United States, Canada</w:t>
      </w:r>
      <w:r w:rsidR="00F81221">
        <w:rPr>
          <w:kern w:val="0"/>
          <w:szCs w:val="24"/>
        </w:rPr>
        <w:t xml:space="preserve"> and </w:t>
      </w:r>
      <w:r>
        <w:rPr>
          <w:kern w:val="0"/>
          <w:szCs w:val="24"/>
        </w:rPr>
        <w:t>Europe, along with France, Poland, Italy</w:t>
      </w:r>
      <w:r w:rsidR="00F81221">
        <w:rPr>
          <w:kern w:val="0"/>
          <w:szCs w:val="24"/>
        </w:rPr>
        <w:t xml:space="preserve"> and </w:t>
      </w:r>
      <w:r>
        <w:rPr>
          <w:kern w:val="0"/>
          <w:szCs w:val="24"/>
        </w:rPr>
        <w:t>Germany have showed a high level of productivity on the basis of other metric indicators. The bibliometric analysis of data shows that the United States is the leading country after which Japan, France, Canada</w:t>
      </w:r>
      <w:r w:rsidR="00F81221">
        <w:rPr>
          <w:kern w:val="0"/>
          <w:szCs w:val="24"/>
        </w:rPr>
        <w:t xml:space="preserve"> and </w:t>
      </w:r>
      <w:r>
        <w:rPr>
          <w:kern w:val="0"/>
          <w:szCs w:val="24"/>
        </w:rPr>
        <w:t>Poland follow. Other countries such as Korea, Taiwan, India</w:t>
      </w:r>
      <w:r w:rsidR="00F81221">
        <w:rPr>
          <w:kern w:val="0"/>
          <w:szCs w:val="24"/>
        </w:rPr>
        <w:t xml:space="preserve"> and </w:t>
      </w:r>
      <w:r>
        <w:rPr>
          <w:kern w:val="0"/>
          <w:szCs w:val="24"/>
        </w:rPr>
        <w:t>Italy also have excellent results</w:t>
      </w:r>
      <w:r w:rsidR="00F81221">
        <w:rPr>
          <w:kern w:val="0"/>
          <w:szCs w:val="24"/>
        </w:rPr>
        <w:t xml:space="preserve"> and </w:t>
      </w:r>
      <w:r>
        <w:rPr>
          <w:kern w:val="0"/>
          <w:szCs w:val="24"/>
        </w:rPr>
        <w:t xml:space="preserve">appear often in the </w:t>
      </w:r>
      <w:r w:rsidR="000352E7">
        <w:rPr>
          <w:kern w:val="0"/>
          <w:szCs w:val="24"/>
        </w:rPr>
        <w:t>“</w:t>
      </w:r>
      <w:r>
        <w:rPr>
          <w:kern w:val="0"/>
          <w:szCs w:val="24"/>
        </w:rPr>
        <w:t>top ten</w:t>
      </w:r>
      <w:r w:rsidR="000352E7">
        <w:rPr>
          <w:kern w:val="0"/>
          <w:szCs w:val="24"/>
        </w:rPr>
        <w:t>”</w:t>
      </w:r>
      <w:r>
        <w:rPr>
          <w:kern w:val="0"/>
          <w:szCs w:val="24"/>
        </w:rPr>
        <w:t xml:space="preserve"> countries or high ranking authors.</w:t>
      </w:r>
    </w:p>
    <w:p w:rsidR="006548C1" w:rsidRDefault="006548C1" w:rsidP="006548C1">
      <w:pPr>
        <w:pStyle w:val="a0"/>
        <w:rPr>
          <w:kern w:val="0"/>
          <w:szCs w:val="24"/>
        </w:rPr>
      </w:pPr>
      <w:r>
        <w:rPr>
          <w:kern w:val="0"/>
          <w:szCs w:val="24"/>
        </w:rPr>
        <w:t xml:space="preserve">Keywords: Activity, Analysis, Asian, Authors, Bibliometric, Bibliometric Analysis, Canada, China, Citation Analysis, Citations, Country, Data, Database, Double Layer Capacitor, Electrochemical Capacitors, Europe, Field, France, Germany, Growth, Hirsch-Index, Index, India, Indicators, Influence, Italy, Japan, Korea, Literature, Number of Publications, Papers, Poland, Productivity, Publications, Quality, </w:t>
      </w:r>
      <w:r>
        <w:rPr>
          <w:kern w:val="0"/>
          <w:szCs w:val="24"/>
        </w:rPr>
        <w:lastRenderedPageBreak/>
        <w:t>Ranking, Rankings, Rapid, Records, Research, Scientific Literature, Scopus, Search, Supercapacitor, Taiwan, United States</w:t>
      </w:r>
    </w:p>
    <w:p w:rsidR="00B95188" w:rsidRPr="00A428C3" w:rsidRDefault="006548C1" w:rsidP="006548C1">
      <w:pPr>
        <w:pStyle w:val="1"/>
      </w:pPr>
      <w:r w:rsidRPr="00A428C3">
        <w:br w:type="page"/>
      </w:r>
      <w:bookmarkStart w:id="1278" w:name="_Toc487190729"/>
      <w:bookmarkStart w:id="1279" w:name="_Toc487882234"/>
      <w:bookmarkStart w:id="1280" w:name="_Toc490688061"/>
      <w:bookmarkStart w:id="1281" w:name="_Toc492812174"/>
      <w:bookmarkStart w:id="1282" w:name="_Toc186647910"/>
      <w:bookmarkStart w:id="1283" w:name="_Toc317161283"/>
      <w:r w:rsidR="00B95188" w:rsidRPr="00A428C3">
        <w:lastRenderedPageBreak/>
        <w:t>Title: International Journal of Energy Research</w:t>
      </w:r>
      <w:bookmarkEnd w:id="1278"/>
      <w:bookmarkEnd w:id="1279"/>
      <w:bookmarkEnd w:id="1280"/>
      <w:bookmarkEnd w:id="1281"/>
      <w:bookmarkEnd w:id="1282"/>
      <w:bookmarkEnd w:id="1283"/>
    </w:p>
    <w:p w:rsidR="00B95188" w:rsidRPr="00A428C3" w:rsidRDefault="00B95188" w:rsidP="00B72EF9">
      <w:pPr>
        <w:pStyle w:val="12"/>
      </w:pPr>
      <w:r w:rsidRPr="00A428C3">
        <w:t xml:space="preserve">Full Journal Title: </w:t>
      </w:r>
      <w:hyperlink r:id="rId1736" w:history="1">
        <w:r w:rsidRPr="00A428C3">
          <w:rPr>
            <w:rStyle w:val="a5"/>
          </w:rPr>
          <w:t>International Journal of Energy Research</w:t>
        </w:r>
      </w:hyperlink>
    </w:p>
    <w:p w:rsidR="00B95188" w:rsidRPr="00A428C3" w:rsidRDefault="00B95188" w:rsidP="00B72EF9">
      <w:pPr>
        <w:pStyle w:val="12"/>
      </w:pPr>
      <w:r w:rsidRPr="00A428C3">
        <w:t>ISO Abbreviated Title: Int. J. Energy Res.</w:t>
      </w:r>
    </w:p>
    <w:p w:rsidR="00B95188" w:rsidRPr="00A428C3" w:rsidRDefault="00B95188" w:rsidP="00B72EF9">
      <w:pPr>
        <w:pStyle w:val="12"/>
      </w:pPr>
      <w:r w:rsidRPr="00A428C3">
        <w:t>JCR Abbreviated Title: Int J Energ Res</w:t>
      </w:r>
    </w:p>
    <w:p w:rsidR="00B95188" w:rsidRPr="00A428C3" w:rsidRDefault="00B95188" w:rsidP="00B72EF9">
      <w:pPr>
        <w:pStyle w:val="12"/>
      </w:pPr>
      <w:r w:rsidRPr="00A428C3">
        <w:t>ISSN: 0363-907X</w:t>
      </w:r>
    </w:p>
    <w:p w:rsidR="00B95188" w:rsidRPr="00A428C3" w:rsidRDefault="00B95188" w:rsidP="00B72EF9">
      <w:pPr>
        <w:pStyle w:val="12"/>
      </w:pPr>
      <w:r w:rsidRPr="00A428C3">
        <w:t>Issues/Year: 15</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John Wiley &amp; Sons Ltd</w:t>
      </w:r>
    </w:p>
    <w:p w:rsidR="00B95188" w:rsidRPr="00A428C3" w:rsidRDefault="00B95188" w:rsidP="00B72EF9">
      <w:pPr>
        <w:pStyle w:val="12"/>
      </w:pPr>
      <w:r w:rsidRPr="00A428C3">
        <w:t xml:space="preserve">Publisher Address: </w:t>
      </w:r>
      <w:smartTag w:uri="urn:schemas-microsoft-com:office:smarttags" w:element="Street">
        <w:smartTag w:uri="urn:schemas-microsoft-com:office:smarttags" w:element="address">
          <w:r w:rsidRPr="00A428C3">
            <w:t>Baffins Lane</w:t>
          </w:r>
        </w:smartTag>
      </w:smartTag>
      <w:r w:rsidRPr="00A428C3">
        <w:t xml:space="preserve"> Chichester, W Sussex PO19 1UD,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Energy &amp; Fuels:</w:t>
      </w:r>
      <w:r w:rsidRPr="00A428C3">
        <w:rPr>
          <w:color w:val="008000"/>
        </w:rPr>
        <w:t xml:space="preserve"> Impact Factor</w:t>
      </w:r>
    </w:p>
    <w:p w:rsidR="00B95188" w:rsidRPr="00A428C3" w:rsidRDefault="00B95188" w:rsidP="00B72EF9">
      <w:pPr>
        <w:pStyle w:val="12"/>
      </w:pPr>
      <w:r w:rsidRPr="00A428C3">
        <w:t>Nuclear Science &amp; Technology:</w:t>
      </w:r>
      <w:r w:rsidRPr="00A428C3">
        <w:rPr>
          <w:color w:val="008000"/>
        </w:rPr>
        <w:t xml:space="preserve"> Impact Factor</w:t>
      </w:r>
    </w:p>
    <w:p w:rsidR="00B95188" w:rsidRPr="00A428C3" w:rsidRDefault="00B95188" w:rsidP="00B95188">
      <w:pPr>
        <w:pStyle w:val="a0"/>
      </w:pPr>
      <w:r w:rsidRPr="00A428C3">
        <w:t xml:space="preserve">? </w:t>
      </w:r>
      <w:smartTag w:uri="urn:schemas-microsoft-com:office:smarttags" w:element="City">
        <w:r w:rsidRPr="00A428C3">
          <w:t>Saxena</w:t>
        </w:r>
      </w:smartTag>
      <w:r w:rsidRPr="00A428C3">
        <w:t xml:space="preserve">, </w:t>
      </w:r>
      <w:smartTag w:uri="urn:schemas-microsoft-com:office:smarttags" w:element="State">
        <w:r w:rsidRPr="00A428C3">
          <w:t>S.C.</w:t>
        </w:r>
      </w:smartTag>
      <w:r w:rsidRPr="00A428C3">
        <w:t xml:space="preserve">, Thomas, </w:t>
      </w:r>
      <w:smartTag w:uri="urn:schemas-microsoft-com:office:smarttags" w:element="place">
        <w:smartTag w:uri="urn:schemas-microsoft-com:office:smarttags" w:element="City">
          <w:r w:rsidRPr="00A428C3">
            <w:t>L.A.</w:t>
          </w:r>
        </w:smartTag>
      </w:smartTag>
      <w:r w:rsidRPr="00A428C3">
        <w:t xml:space="preserve"> (1995), An equilibrium-model for predicting flue-gas composition of an incinerator. </w:t>
      </w:r>
      <w:r w:rsidRPr="00A428C3">
        <w:rPr>
          <w:i/>
        </w:rPr>
        <w:t>International Journal of Energy Research</w:t>
      </w:r>
      <w:r w:rsidRPr="00A428C3">
        <w:t xml:space="preserve">, </w:t>
      </w:r>
      <w:r w:rsidRPr="00A428C3">
        <w:rPr>
          <w:b/>
        </w:rPr>
        <w:t>19</w:t>
      </w:r>
      <w:r w:rsidRPr="00A428C3">
        <w:t xml:space="preserve"> (4), 317-327.</w:t>
      </w:r>
    </w:p>
    <w:p w:rsidR="00B95188" w:rsidRPr="00A428C3" w:rsidRDefault="00B95188" w:rsidP="00B95188">
      <w:pPr>
        <w:pStyle w:val="a0"/>
        <w:rPr>
          <w:rFonts w:eastAsia="Arial Unicode MS"/>
        </w:rPr>
      </w:pPr>
      <w:r w:rsidRPr="00A428C3">
        <w:t>Abstract: The composition of an incinerator flue gas depends characteristically on the operating parameters such as combustion temperature, fractional excess air value,</w:t>
      </w:r>
      <w:r w:rsidR="00F81221">
        <w:t xml:space="preserve"> and </w:t>
      </w:r>
      <w:r w:rsidRPr="00A428C3">
        <w:t>moisture content of the waste material. An a priori knowledge of the influence of these parameters on the flue-gas composition helps to carry out the combustion process efficiently by appropriately selecting their values. A simple chemical equilibrium model is proposed to predict the flue-gas composition from an incinerator at different operating temperatures, excess air values,</w:t>
      </w:r>
      <w:r w:rsidR="00F81221">
        <w:t xml:space="preserve"> and </w:t>
      </w:r>
      <w:r w:rsidRPr="00A428C3">
        <w:t>moisture contents of the combusting material. The predicitions are supposed to establish the upper limit of the chemical species concentrations in the flue gas</w:t>
      </w:r>
      <w:r w:rsidR="00F81221">
        <w:t xml:space="preserve"> and </w:t>
      </w:r>
      <w:r w:rsidRPr="00A428C3">
        <w:t>hence the model is considered as an appropriate one for selecting the pollution control equipment</w:t>
      </w:r>
      <w:r w:rsidR="00F81221">
        <w:t xml:space="preserve"> and </w:t>
      </w:r>
      <w:r w:rsidRPr="00A428C3">
        <w:t>in estimating the upper limit of environmental contamination.</w:t>
      </w:r>
    </w:p>
    <w:p w:rsidR="00B95188" w:rsidRPr="00A428C3" w:rsidRDefault="00B95188" w:rsidP="00B95188">
      <w:pPr>
        <w:pStyle w:val="a0"/>
      </w:pPr>
      <w:r w:rsidRPr="00A428C3">
        <w:t>The model-based computations predict that at a given temperature</w:t>
      </w:r>
      <w:r w:rsidR="00F81221">
        <w:t xml:space="preserve"> and </w:t>
      </w:r>
      <w:r w:rsidRPr="00A428C3">
        <w:t>moisture content, the increase in excess air decreases the concentrations of carbon monoxide, carbon dioxide, water,</w:t>
      </w:r>
      <w:r w:rsidR="00F81221">
        <w:t xml:space="preserve"> and </w:t>
      </w:r>
      <w:r w:rsidRPr="00A428C3">
        <w:t>hydrogen in the flue gas while it increases that of oxygen. Similarly, the proportion of nitrogen dioxide, nitrogen, sulfur dioxide</w:t>
      </w:r>
      <w:r w:rsidR="00F81221">
        <w:t xml:space="preserve"> and </w:t>
      </w:r>
      <w:r w:rsidRPr="00A428C3">
        <w:t>sulfur trioxide decreases while that of nitric oxide increases. At a given excess air</w:t>
      </w:r>
      <w:r w:rsidR="00F81221">
        <w:t xml:space="preserve"> and </w:t>
      </w:r>
      <w:r w:rsidRPr="00A428C3">
        <w:t>moisture content, the increase in temperature decreases the concentrations of carbon monoxide</w:t>
      </w:r>
      <w:r w:rsidR="00F81221">
        <w:t xml:space="preserve"> and </w:t>
      </w:r>
      <w:r w:rsidRPr="00A428C3">
        <w:t>hydrogen</w:t>
      </w:r>
      <w:r w:rsidR="00F81221">
        <w:t xml:space="preserve"> and </w:t>
      </w:r>
      <w:r w:rsidRPr="00A428C3">
        <w:t>increases of carbon dioxide</w:t>
      </w:r>
      <w:r w:rsidR="00F81221">
        <w:t xml:space="preserve"> and </w:t>
      </w:r>
      <w:r w:rsidRPr="00A428C3">
        <w:t>water due to better combustion. Similarly, the increase in temperature also augments the concentrations of nitric oxide, nitrogen dioxide</w:t>
      </w:r>
      <w:r w:rsidR="00F81221">
        <w:t xml:space="preserve"> and </w:t>
      </w:r>
      <w:r w:rsidRPr="00A428C3">
        <w:t>sulfur dioxide while it decreases that of nitrogen</w:t>
      </w:r>
      <w:r w:rsidR="00F81221">
        <w:t xml:space="preserve"> and </w:t>
      </w:r>
      <w:r w:rsidRPr="00A428C3">
        <w:t xml:space="preserve">sulfur trioxide. Similar trends are observed at different levels of moisture </w:t>
      </w:r>
      <w:r w:rsidRPr="00A428C3">
        <w:lastRenderedPageBreak/>
        <w:t>content.</w:t>
      </w:r>
    </w:p>
    <w:p w:rsidR="00B95188" w:rsidRPr="00A428C3" w:rsidRDefault="00B95188" w:rsidP="00B95188">
      <w:pPr>
        <w:pStyle w:val="a0"/>
      </w:pPr>
      <w:r w:rsidRPr="00A428C3">
        <w:t>Keywords: Incinerator, Flue Gas, Mathematical Model</w:t>
      </w:r>
    </w:p>
    <w:p w:rsidR="00B95188" w:rsidRPr="00A428C3" w:rsidRDefault="00B95188" w:rsidP="00B95188">
      <w:pPr>
        <w:pStyle w:val="a0"/>
      </w:pPr>
      <w:r w:rsidRPr="00A428C3">
        <w:t>? Alappat, B.J.</w:t>
      </w:r>
      <w:r w:rsidR="00F81221">
        <w:t xml:space="preserve"> and </w:t>
      </w:r>
      <w:r w:rsidRPr="00A428C3">
        <w:t xml:space="preserve">Rane, V.C. (1995), An algorithm to calculate the performance details of an RCFB incinerator with heat-recovery for the treatment of distillery spent wash. </w:t>
      </w:r>
      <w:r w:rsidRPr="00A428C3">
        <w:rPr>
          <w:i/>
        </w:rPr>
        <w:t>International Journal of Energy Research</w:t>
      </w:r>
      <w:r w:rsidRPr="00A428C3">
        <w:t xml:space="preserve">, </w:t>
      </w:r>
      <w:r w:rsidRPr="00A428C3">
        <w:rPr>
          <w:b/>
        </w:rPr>
        <w:t>19</w:t>
      </w:r>
      <w:r w:rsidRPr="00A428C3">
        <w:t xml:space="preserve"> (4), 329-336.</w:t>
      </w:r>
    </w:p>
    <w:p w:rsidR="00B95188" w:rsidRPr="00A428C3" w:rsidRDefault="00B95188" w:rsidP="00B95188">
      <w:pPr>
        <w:pStyle w:val="a0"/>
        <w:rPr>
          <w:rFonts w:eastAsia="Arial Unicode MS"/>
        </w:rPr>
      </w:pPr>
      <w:r w:rsidRPr="00A428C3">
        <w:t>Abstract: Incineration has become an acceptable</w:t>
      </w:r>
      <w:r w:rsidR="00F81221">
        <w:t xml:space="preserve"> and </w:t>
      </w:r>
      <w:r w:rsidRPr="00A428C3">
        <w:t>economically justifiable method of waste treatment. In the incineration of distillery spent wash, evaporation of the raw dilute waste to higher concentration to make it autogenous is the most difficult</w:t>
      </w:r>
      <w:r w:rsidR="00F81221">
        <w:t xml:space="preserve"> and </w:t>
      </w:r>
      <w:r w:rsidRPr="00A428C3">
        <w:t>costly part. A recirculating fluidized-bed incineration system is suggested in this regard which is expected to reduce the load on the external evaporators considerably. An algorithm, based on iteration is presented to calculate the performance details of the proposed incineration system.</w:t>
      </w:r>
    </w:p>
    <w:p w:rsidR="00B95188" w:rsidRPr="00A428C3" w:rsidRDefault="00B95188" w:rsidP="00B95188">
      <w:pPr>
        <w:pStyle w:val="a0"/>
      </w:pPr>
      <w:r w:rsidRPr="00A428C3">
        <w:t>Keywords: Incineration, Recirculating Fluidized-Bed, Distillery Wastes, Energy Recovery</w:t>
      </w:r>
    </w:p>
    <w:p w:rsidR="00B95188" w:rsidRPr="00A428C3" w:rsidRDefault="00B95188" w:rsidP="00B95188">
      <w:pPr>
        <w:pStyle w:val="a0"/>
      </w:pPr>
      <w:r w:rsidRPr="00A428C3">
        <w:t>? Alappat, B.J.</w:t>
      </w:r>
      <w:r w:rsidR="00F81221">
        <w:t xml:space="preserve"> and </w:t>
      </w:r>
      <w:r w:rsidRPr="00A428C3">
        <w:t xml:space="preserve">Rane, V.C. (1996), Studies on a recirculating fluidized-bed incinerator cold model. </w:t>
      </w:r>
      <w:r w:rsidRPr="00A428C3">
        <w:rPr>
          <w:i/>
        </w:rPr>
        <w:t>International Journal of Energy Research</w:t>
      </w:r>
      <w:r w:rsidRPr="00A428C3">
        <w:t xml:space="preserve">, </w:t>
      </w:r>
      <w:r w:rsidRPr="00A428C3">
        <w:rPr>
          <w:b/>
        </w:rPr>
        <w:t>20</w:t>
      </w:r>
      <w:r w:rsidRPr="00A428C3">
        <w:t xml:space="preserve"> (4), 313-326.</w:t>
      </w:r>
    </w:p>
    <w:p w:rsidR="00B95188" w:rsidRPr="00A428C3" w:rsidRDefault="00B95188" w:rsidP="00B95188">
      <w:pPr>
        <w:pStyle w:val="a0"/>
        <w:rPr>
          <w:rFonts w:eastAsia="Arial Unicode MS"/>
        </w:rPr>
      </w:pPr>
      <w:r w:rsidRPr="00A428C3">
        <w:t>Abstract: Cold model studies are widely carried out to predict, analyse</w:t>
      </w:r>
      <w:r w:rsidR="00F81221">
        <w:t xml:space="preserve"> and </w:t>
      </w:r>
      <w:r w:rsidRPr="00A428C3">
        <w:t>improve performance details</w:t>
      </w:r>
      <w:r w:rsidR="00F81221">
        <w:t xml:space="preserve"> and </w:t>
      </w:r>
      <w:r w:rsidRPr="00A428C3">
        <w:t>operating conditions of the actual unit</w:t>
      </w:r>
      <w:r w:rsidR="00F81221">
        <w:t xml:space="preserve"> and </w:t>
      </w:r>
      <w:r w:rsidRPr="00A428C3">
        <w:t>to train operators. Cold model experiments carried out to visualize</w:t>
      </w:r>
      <w:r w:rsidR="00F81221">
        <w:t xml:space="preserve"> and </w:t>
      </w:r>
      <w:r w:rsidRPr="00A428C3">
        <w:t>investigate the operation of recirculating fluidized-bed incinerator are reported. Some of the details of operation which are difficult to measure on an actual unit, such as solid circulation rate, particle velocity, residence time, voidage etc., are measured on the cold model. Effects of various parameters such as jet diameter, clearance between perforated plate</w:t>
      </w:r>
      <w:r w:rsidR="00F81221">
        <w:t xml:space="preserve"> and </w:t>
      </w:r>
      <w:r w:rsidRPr="00A428C3">
        <w:t>draft tube bottom, draft tube superficial air velocity</w:t>
      </w:r>
      <w:r w:rsidR="00F81221">
        <w:t xml:space="preserve"> and </w:t>
      </w:r>
      <w:r w:rsidRPr="00A428C3">
        <w:t>solid inventory on these details are discussed. The combinations of various parameters which give higher kinetic energy transfer from gas to solids per unit pressure drop across the draft tube are identified.</w:t>
      </w:r>
    </w:p>
    <w:p w:rsidR="00B95188" w:rsidRPr="00A428C3" w:rsidRDefault="00B95188" w:rsidP="00B95188">
      <w:pPr>
        <w:pStyle w:val="a0"/>
      </w:pPr>
      <w:r w:rsidRPr="00A428C3">
        <w:t>Keywords: Incineration, Fluidized Bed, Recirculating Fluidized Bed, Cold Model</w:t>
      </w:r>
    </w:p>
    <w:p w:rsidR="00B95188" w:rsidRPr="00A428C3" w:rsidRDefault="00B95188" w:rsidP="00B95188">
      <w:pPr>
        <w:pStyle w:val="a0"/>
      </w:pPr>
      <w:r w:rsidRPr="00A428C3">
        <w:t>Han, J.H., Jeong, K., Choi, J.H.</w:t>
      </w:r>
      <w:r w:rsidR="00F81221">
        <w:t xml:space="preserve"> and </w:t>
      </w:r>
      <w:r w:rsidRPr="00A428C3">
        <w:t xml:space="preserve">Choi, S. (1997), A hot-flow model analysis of the MSW incinerator. </w:t>
      </w:r>
      <w:r w:rsidRPr="00A428C3">
        <w:rPr>
          <w:i/>
        </w:rPr>
        <w:t>International Journal of Energy Research</w:t>
      </w:r>
      <w:r w:rsidRPr="00A428C3">
        <w:t xml:space="preserve">, </w:t>
      </w:r>
      <w:r w:rsidRPr="00A428C3">
        <w:rPr>
          <w:b/>
        </w:rPr>
        <w:t>21</w:t>
      </w:r>
      <w:r w:rsidRPr="00A428C3">
        <w:t xml:space="preserve"> (10), 899-910.</w:t>
      </w:r>
    </w:p>
    <w:p w:rsidR="00B95188" w:rsidRPr="00A428C3" w:rsidRDefault="00B95188" w:rsidP="00B95188">
      <w:pPr>
        <w:pStyle w:val="a0"/>
      </w:pPr>
      <w:r w:rsidRPr="00A428C3">
        <w:t xml:space="preserve">Full Text: </w:t>
      </w:r>
      <w:hyperlink r:id="rId1737" w:history="1">
        <w:r w:rsidRPr="00A428C3">
          <w:rPr>
            <w:rStyle w:val="a5"/>
          </w:rPr>
          <w:t>I\Int J Ene Res21, 899.pdf</w:t>
        </w:r>
      </w:hyperlink>
    </w:p>
    <w:p w:rsidR="00B95188" w:rsidRPr="00A428C3" w:rsidRDefault="00B95188" w:rsidP="00B95188">
      <w:pPr>
        <w:pStyle w:val="a0"/>
        <w:rPr>
          <w:rFonts w:eastAsia="Arial Unicode MS"/>
        </w:rPr>
      </w:pPr>
      <w:r w:rsidRPr="00A428C3">
        <w:t>Abstract: A hot-flow model incinerator was constructed to simulate the combustion chamber of mass-burn municipal solid waste (MSW) incinerator. Experiments using the reduced scale simplified model were designed to reproduce the physical processes. The Current study focuses on the gas phase mixing</w:t>
      </w:r>
      <w:r w:rsidR="00F81221">
        <w:t xml:space="preserve"> and </w:t>
      </w:r>
      <w:r w:rsidRPr="00A428C3">
        <w:t>the subsequent oxidative destruction of incomplete combustion products. Excessive carbon monoxide is generated by operating the gas burner under fuel-rich conditions,</w:t>
      </w:r>
      <w:r w:rsidR="00F81221">
        <w:t xml:space="preserve"> and </w:t>
      </w:r>
      <w:r w:rsidRPr="00A428C3">
        <w:t xml:space="preserve">is supplied into the furnace chamber as a hot gas stream, where fresh air is provided by the secondary air injection. Mixing is quantified by measuring the local gas </w:t>
      </w:r>
      <w:r w:rsidRPr="00A428C3">
        <w:lastRenderedPageBreak/>
        <w:t>concentrations (CO</w:t>
      </w:r>
      <w:r w:rsidR="00F81221">
        <w:t xml:space="preserve"> and </w:t>
      </w:r>
      <w:r w:rsidRPr="00A428C3">
        <w:t>O</w:t>
      </w:r>
      <w:r w:rsidRPr="00A428C3">
        <w:rPr>
          <w:vertAlign w:val="subscript"/>
        </w:rPr>
        <w:t>2</w:t>
      </w:r>
      <w:r w:rsidRPr="00A428C3">
        <w:t>)</w:t>
      </w:r>
      <w:r w:rsidR="00F81221">
        <w:t xml:space="preserve"> and </w:t>
      </w:r>
      <w:r w:rsidRPr="00A428C3">
        <w:t>temperatures since the destruction rate of CO is controlled by oxygen availability</w:t>
      </w:r>
      <w:r w:rsidR="00F81221">
        <w:t xml:space="preserve"> and </w:t>
      </w:r>
      <w:r w:rsidRPr="00A428C3">
        <w:t>chemical kinetic rates. The degree of mixing is monitored while the design alternatives of the secondary air injection pattern are systematically adjusted. This effect of the secondary air injection schemes on the degree of mixing are observed,</w:t>
      </w:r>
      <w:r w:rsidR="00F81221">
        <w:t xml:space="preserve"> and </w:t>
      </w:r>
      <w:r w:rsidRPr="00A428C3">
        <w:t>the measurements of temperature fluctuation with fine-wire thermocouples are performed for the quantitative evaluation of mixing. The results agree well with the plausible scenario of mixing</w:t>
      </w:r>
      <w:r w:rsidR="00F81221">
        <w:t xml:space="preserve"> and </w:t>
      </w:r>
      <w:r w:rsidRPr="00A428C3">
        <w:t>provide a better understanding of the mixing process. The hot dow accompanying chemical reactions in the model incinerator is also analysed numerically using the computational fluid dynamics codes to bolster the understanding of the experimental results. The modelling results compare reasonably well with experimental data. This comparison helps to cross-check the results. (C) 1997 by John Wiley &amp; Sons, Ltd.</w:t>
      </w:r>
    </w:p>
    <w:p w:rsidR="00B95188" w:rsidRPr="00A428C3" w:rsidRDefault="00B95188" w:rsidP="00B95188">
      <w:pPr>
        <w:pStyle w:val="a0"/>
      </w:pPr>
      <w:r w:rsidRPr="00A428C3">
        <w:t>Keywords: Incinerator, Hot-How Model, Pollutants Destruction, Mixing, Temperature Fluctuation, Fluctuating Temperature</w:t>
      </w:r>
    </w:p>
    <w:p w:rsidR="00B95188" w:rsidRPr="00A428C3" w:rsidRDefault="00B95188" w:rsidP="00B95188">
      <w:pPr>
        <w:pStyle w:val="a0"/>
      </w:pPr>
      <w:r w:rsidRPr="00A428C3">
        <w:t>Yang, W., Shin, D.</w:t>
      </w:r>
      <w:r w:rsidR="00F81221">
        <w:t xml:space="preserve"> and </w:t>
      </w:r>
      <w:r w:rsidRPr="00A428C3">
        <w:t>Choi, S. (1998), A process simulation model for a 2 ton h</w:t>
      </w:r>
      <w:r w:rsidRPr="00A428C3">
        <w:rPr>
          <w:vertAlign w:val="superscript"/>
        </w:rPr>
        <w:t>-1</w:t>
      </w:r>
      <w:r w:rsidRPr="00A428C3">
        <w:t xml:space="preserve"> incinerator (a combined bed combustion</w:t>
      </w:r>
      <w:r w:rsidR="00F81221">
        <w:t xml:space="preserve"> and </w:t>
      </w:r>
      <w:r w:rsidRPr="00A428C3">
        <w:t xml:space="preserve">furnace heat transfer model). </w:t>
      </w:r>
      <w:r w:rsidRPr="00A428C3">
        <w:rPr>
          <w:i/>
        </w:rPr>
        <w:t>International Journal of Energy Research</w:t>
      </w:r>
      <w:r w:rsidRPr="00A428C3">
        <w:t xml:space="preserve">, </w:t>
      </w:r>
      <w:r w:rsidRPr="00A428C3">
        <w:rPr>
          <w:b/>
        </w:rPr>
        <w:t>22</w:t>
      </w:r>
      <w:r w:rsidRPr="00A428C3">
        <w:t xml:space="preserve"> (11), 943-951.</w:t>
      </w:r>
    </w:p>
    <w:p w:rsidR="00B95188" w:rsidRPr="00A428C3" w:rsidRDefault="00B95188" w:rsidP="00B95188">
      <w:pPr>
        <w:pStyle w:val="a0"/>
      </w:pPr>
      <w:r w:rsidRPr="00A428C3">
        <w:t xml:space="preserve">Full Text: </w:t>
      </w:r>
      <w:hyperlink r:id="rId1738" w:history="1">
        <w:r w:rsidRPr="00A428C3">
          <w:rPr>
            <w:rStyle w:val="a5"/>
          </w:rPr>
          <w:t>I\Int J Ene Res22, 943.pdf</w:t>
        </w:r>
      </w:hyperlink>
    </w:p>
    <w:p w:rsidR="00B95188" w:rsidRPr="00A428C3" w:rsidRDefault="00B95188" w:rsidP="007F22FE">
      <w:pPr>
        <w:pStyle w:val="a0"/>
        <w:rPr>
          <w:rFonts w:eastAsia="Arial Unicode MS"/>
        </w:rPr>
      </w:pPr>
      <w:r w:rsidRPr="00A428C3">
        <w:t>Abstract: A process simulation model was constructed for a 2 ton h</w:t>
      </w:r>
      <w:r w:rsidR="007F22FE">
        <w:rPr>
          <w:rFonts w:hint="eastAsia"/>
          <w:kern w:val="0"/>
          <w:vertAlign w:val="superscript"/>
        </w:rPr>
        <w:t>-1</w:t>
      </w:r>
      <w:r w:rsidRPr="00A428C3">
        <w:t xml:space="preserve"> incinerator. The simulation model was designed to provide system performance parameters according to various operating conditions. In accommodating the wide variation of quality</w:t>
      </w:r>
      <w:r w:rsidR="00F81221">
        <w:t xml:space="preserve"> and </w:t>
      </w:r>
      <w:r w:rsidRPr="00A428C3">
        <w:t>composition of input wastes, the plant operating parameters such as amount of excess air, preheated air temperature, waste feed rate</w:t>
      </w:r>
      <w:r w:rsidR="00F81221">
        <w:t xml:space="preserve"> and </w:t>
      </w:r>
      <w:r w:rsidRPr="00A428C3">
        <w:t>primary air distribution over the stoker, etc, must be carefully controlled. The proposed model calculates operating variables of each submodule, by employing steady-state thermal</w:t>
      </w:r>
      <w:r w:rsidR="00F81221">
        <w:t xml:space="preserve"> and </w:t>
      </w:r>
      <w:r w:rsidRPr="00A428C3">
        <w:t>material balance equations. Combustion of waste bed,</w:t>
      </w:r>
      <w:r w:rsidR="00F81221">
        <w:t xml:space="preserve"> and </w:t>
      </w:r>
      <w:r w:rsidRPr="00A428C3">
        <w:t>its radiative heat transfer in the combusion chamber are considered. The calculated results of the combustion chamber performance are evaluated, in terms of temperature, locations</w:t>
      </w:r>
      <w:r w:rsidR="00F81221">
        <w:t xml:space="preserve"> and </w:t>
      </w:r>
      <w:r w:rsidRPr="00A428C3">
        <w:t>width of the flame band,</w:t>
      </w:r>
      <w:r w:rsidR="00F81221">
        <w:t xml:space="preserve"> and </w:t>
      </w:r>
      <w:r w:rsidRPr="00A428C3">
        <w:t>mean residence time in the secondary combustion chamber. These results are compared with a limited set of field test measurements for verification of the model. (C) 1998 John Wiley &amp; Sons, Ltd.</w:t>
      </w:r>
    </w:p>
    <w:p w:rsidR="00B95188" w:rsidRPr="00A428C3" w:rsidRDefault="00B95188" w:rsidP="00B95188">
      <w:pPr>
        <w:pStyle w:val="a0"/>
      </w:pPr>
      <w:r w:rsidRPr="00A428C3">
        <w:t>Keywords: Incinerator, Process Simulation, Operating Parameters, Waste Bed</w:t>
      </w:r>
    </w:p>
    <w:p w:rsidR="00567FB2" w:rsidRPr="001A3D2B" w:rsidRDefault="00567FB2" w:rsidP="00567FB2">
      <w:pPr>
        <w:pStyle w:val="1"/>
      </w:pPr>
      <w:r>
        <w:br w:type="page"/>
      </w:r>
      <w:bookmarkStart w:id="1284" w:name="_Toc317161284"/>
      <w:r>
        <w:lastRenderedPageBreak/>
        <w:t xml:space="preserve">Title: </w:t>
      </w:r>
      <w:r w:rsidRPr="004B0E00">
        <w:rPr>
          <w:iCs/>
        </w:rPr>
        <w:t>International Journal of Engineering Education</w:t>
      </w:r>
      <w:bookmarkEnd w:id="1284"/>
    </w:p>
    <w:p w:rsidR="00567FB2" w:rsidRPr="001A3D2B" w:rsidRDefault="00567FB2" w:rsidP="00567FB2">
      <w:pPr>
        <w:pStyle w:val="12"/>
      </w:pPr>
      <w:r w:rsidRPr="001A3D2B">
        <w:t xml:space="preserve">Full Journal Title: </w:t>
      </w:r>
      <w:hyperlink r:id="rId1739" w:history="1">
        <w:r w:rsidRPr="00567FB2">
          <w:rPr>
            <w:rStyle w:val="a5"/>
            <w:iCs/>
          </w:rPr>
          <w:t>International Journal of Engineering Education</w:t>
        </w:r>
      </w:hyperlink>
    </w:p>
    <w:p w:rsidR="00567FB2" w:rsidRPr="001A3D2B" w:rsidRDefault="00567FB2" w:rsidP="00567FB2">
      <w:pPr>
        <w:pStyle w:val="12"/>
      </w:pPr>
      <w:r w:rsidRPr="001A3D2B">
        <w:t>ISO Abbreviated Title:</w:t>
      </w:r>
    </w:p>
    <w:p w:rsidR="00567FB2" w:rsidRPr="001A3D2B" w:rsidRDefault="00567FB2" w:rsidP="00567FB2">
      <w:pPr>
        <w:pStyle w:val="12"/>
      </w:pPr>
      <w:r w:rsidRPr="001A3D2B">
        <w:t xml:space="preserve">JCR Abbreviated Title: </w:t>
      </w:r>
    </w:p>
    <w:p w:rsidR="00567FB2" w:rsidRPr="001A3D2B" w:rsidRDefault="00567FB2" w:rsidP="00567FB2">
      <w:pPr>
        <w:pStyle w:val="12"/>
      </w:pPr>
      <w:r w:rsidRPr="001A3D2B">
        <w:t xml:space="preserve">ISSN: </w:t>
      </w:r>
    </w:p>
    <w:p w:rsidR="00567FB2" w:rsidRPr="001A3D2B" w:rsidRDefault="00567FB2" w:rsidP="00567FB2">
      <w:pPr>
        <w:pStyle w:val="12"/>
      </w:pPr>
      <w:r w:rsidRPr="001A3D2B">
        <w:t xml:space="preserve">Issues/Year: </w:t>
      </w:r>
    </w:p>
    <w:p w:rsidR="00567FB2" w:rsidRPr="001A3D2B" w:rsidRDefault="00567FB2" w:rsidP="00567FB2">
      <w:pPr>
        <w:pStyle w:val="12"/>
      </w:pPr>
      <w:r w:rsidRPr="001A3D2B">
        <w:t xml:space="preserve">Journal Country/Territory: </w:t>
      </w:r>
    </w:p>
    <w:p w:rsidR="00567FB2" w:rsidRPr="001A3D2B" w:rsidRDefault="00567FB2" w:rsidP="00567FB2">
      <w:pPr>
        <w:pStyle w:val="12"/>
      </w:pPr>
      <w:r w:rsidRPr="001A3D2B">
        <w:t xml:space="preserve">Language: </w:t>
      </w:r>
    </w:p>
    <w:p w:rsidR="00567FB2" w:rsidRPr="001A3D2B" w:rsidRDefault="00567FB2" w:rsidP="00567FB2">
      <w:pPr>
        <w:pStyle w:val="12"/>
      </w:pPr>
      <w:r w:rsidRPr="001A3D2B">
        <w:t xml:space="preserve">Publisher: </w:t>
      </w:r>
    </w:p>
    <w:p w:rsidR="00567FB2" w:rsidRPr="001A3D2B" w:rsidRDefault="00567FB2" w:rsidP="00567FB2">
      <w:pPr>
        <w:pStyle w:val="12"/>
      </w:pPr>
      <w:r w:rsidRPr="001A3D2B">
        <w:t xml:space="preserve">Publisher Address: </w:t>
      </w:r>
    </w:p>
    <w:p w:rsidR="00567FB2" w:rsidRPr="001A3D2B" w:rsidRDefault="00567FB2" w:rsidP="00567FB2">
      <w:pPr>
        <w:pStyle w:val="12"/>
      </w:pPr>
      <w:r w:rsidRPr="001A3D2B">
        <w:t>Subject Categories:</w:t>
      </w:r>
    </w:p>
    <w:p w:rsidR="00567FB2" w:rsidRPr="001A3D2B" w:rsidRDefault="00567FB2" w:rsidP="00567FB2">
      <w:pPr>
        <w:pStyle w:val="12"/>
      </w:pPr>
      <w:r w:rsidRPr="001A3D2B">
        <w:t>: Impact Factor</w:t>
      </w:r>
    </w:p>
    <w:p w:rsidR="00567FB2" w:rsidRDefault="00567FB2" w:rsidP="00567FB2">
      <w:pPr>
        <w:pStyle w:val="a0"/>
        <w:rPr>
          <w:kern w:val="0"/>
        </w:rPr>
      </w:pPr>
      <w:r>
        <w:rPr>
          <w:rFonts w:hint="eastAsia"/>
          <w:kern w:val="0"/>
        </w:rPr>
        <w:t xml:space="preserve">? </w:t>
      </w:r>
      <w:r>
        <w:rPr>
          <w:kern w:val="0"/>
        </w:rPr>
        <w:t>Jesiek, B.K., Borrego, M., Beddoes, K., Hurtado, M., Rajendran, P.</w:t>
      </w:r>
      <w:r w:rsidR="00F81221">
        <w:rPr>
          <w:kern w:val="0"/>
        </w:rPr>
        <w:t xml:space="preserve"> and </w:t>
      </w:r>
      <w:r>
        <w:rPr>
          <w:kern w:val="0"/>
        </w:rPr>
        <w:t xml:space="preserve">Sangam, D. (2011), Mapping global trends in engineering education research, 2005-2008. </w:t>
      </w:r>
      <w:r w:rsidRPr="004B0E00">
        <w:rPr>
          <w:i/>
          <w:iCs/>
          <w:kern w:val="0"/>
        </w:rPr>
        <w:t>International Journal of Engineering Education</w:t>
      </w:r>
      <w:r>
        <w:rPr>
          <w:kern w:val="0"/>
        </w:rPr>
        <w:t xml:space="preserve">, </w:t>
      </w:r>
      <w:r>
        <w:rPr>
          <w:b/>
          <w:bCs/>
          <w:kern w:val="0"/>
        </w:rPr>
        <w:t>27</w:t>
      </w:r>
      <w:r>
        <w:rPr>
          <w:kern w:val="0"/>
        </w:rPr>
        <w:t xml:space="preserve"> (1), 77-90.</w:t>
      </w:r>
    </w:p>
    <w:p w:rsidR="004E32F3" w:rsidRDefault="004E32F3" w:rsidP="004E32F3">
      <w:pPr>
        <w:pStyle w:val="a0"/>
        <w:rPr>
          <w:kern w:val="0"/>
        </w:rPr>
      </w:pPr>
      <w:r>
        <w:rPr>
          <w:rFonts w:hint="eastAsia"/>
          <w:kern w:val="0"/>
        </w:rPr>
        <w:t xml:space="preserve">Full Text: </w:t>
      </w:r>
      <w:hyperlink r:id="rId1740" w:history="1">
        <w:r w:rsidRPr="009701FE">
          <w:rPr>
            <w:rStyle w:val="a5"/>
            <w:kern w:val="0"/>
          </w:rPr>
          <w:t>2011\Int J Eng Edu27, 77.pdf</w:t>
        </w:r>
      </w:hyperlink>
    </w:p>
    <w:p w:rsidR="00567FB2" w:rsidRDefault="00567FB2" w:rsidP="00567FB2">
      <w:pPr>
        <w:pStyle w:val="a0"/>
        <w:rPr>
          <w:kern w:val="0"/>
        </w:rPr>
      </w:pPr>
      <w:r>
        <w:rPr>
          <w:kern w:val="0"/>
        </w:rPr>
        <w:t>Abstract: Engineering education research in many countries</w:t>
      </w:r>
      <w:r w:rsidR="00F81221">
        <w:rPr>
          <w:kern w:val="0"/>
        </w:rPr>
        <w:t xml:space="preserve"> and </w:t>
      </w:r>
      <w:r>
        <w:rPr>
          <w:kern w:val="0"/>
        </w:rPr>
        <w:t>regions is gaining momentum</w:t>
      </w:r>
      <w:r w:rsidR="00F81221">
        <w:rPr>
          <w:kern w:val="0"/>
        </w:rPr>
        <w:t xml:space="preserve"> and </w:t>
      </w:r>
      <w:r>
        <w:rPr>
          <w:kern w:val="0"/>
        </w:rPr>
        <w:t>coherence as a field of academic activity. Yet what quantity</w:t>
      </w:r>
      <w:r w:rsidR="00F81221">
        <w:rPr>
          <w:kern w:val="0"/>
        </w:rPr>
        <w:t xml:space="preserve"> and </w:t>
      </w:r>
      <w:r>
        <w:rPr>
          <w:kern w:val="0"/>
        </w:rPr>
        <w:t>kinds of research are currently being done, both worldwide</w:t>
      </w:r>
      <w:r w:rsidR="00F81221">
        <w:rPr>
          <w:kern w:val="0"/>
        </w:rPr>
        <w:t xml:space="preserve"> and </w:t>
      </w:r>
      <w:r>
        <w:rPr>
          <w:kern w:val="0"/>
        </w:rPr>
        <w:t>in specific nations</w:t>
      </w:r>
      <w:r w:rsidR="00F81221">
        <w:rPr>
          <w:kern w:val="0"/>
        </w:rPr>
        <w:t xml:space="preserve"> and </w:t>
      </w:r>
      <w:r>
        <w:rPr>
          <w:kern w:val="0"/>
        </w:rPr>
        <w:t>regions? Additionally, what collaborative patterns are now evident in the field, including in terms of the size</w:t>
      </w:r>
      <w:r w:rsidR="00F81221">
        <w:rPr>
          <w:kern w:val="0"/>
        </w:rPr>
        <w:t xml:space="preserve"> and </w:t>
      </w:r>
      <w:r>
        <w:rPr>
          <w:kern w:val="0"/>
        </w:rPr>
        <w:t>multi-national composition of research teams? To address these research questions, we first review previous attempts to quantify</w:t>
      </w:r>
      <w:r w:rsidR="00F81221">
        <w:rPr>
          <w:kern w:val="0"/>
        </w:rPr>
        <w:t xml:space="preserve"> and </w:t>
      </w:r>
      <w:r>
        <w:rPr>
          <w:kern w:val="0"/>
        </w:rPr>
        <w:t>characterize research on engineering education</w:t>
      </w:r>
      <w:r w:rsidR="00F81221">
        <w:rPr>
          <w:kern w:val="0"/>
        </w:rPr>
        <w:t xml:space="preserve"> and </w:t>
      </w:r>
      <w:r>
        <w:rPr>
          <w:kern w:val="0"/>
        </w:rPr>
        <w:t>related fields. We then use theoretical</w:t>
      </w:r>
      <w:r w:rsidR="00F81221">
        <w:rPr>
          <w:kern w:val="0"/>
        </w:rPr>
        <w:t xml:space="preserve"> and </w:t>
      </w:r>
      <w:r>
        <w:rPr>
          <w:kern w:val="0"/>
        </w:rPr>
        <w:t>methodological insights from social studies of science, bibliometrics,</w:t>
      </w:r>
      <w:r w:rsidR="00F81221">
        <w:rPr>
          <w:kern w:val="0"/>
        </w:rPr>
        <w:t xml:space="preserve"> and </w:t>
      </w:r>
      <w:r>
        <w:rPr>
          <w:kern w:val="0"/>
        </w:rPr>
        <w:t>scientometrics to perform quantitative</w:t>
      </w:r>
      <w:r w:rsidR="00F81221">
        <w:rPr>
          <w:kern w:val="0"/>
        </w:rPr>
        <w:t xml:space="preserve"> and </w:t>
      </w:r>
      <w:r>
        <w:rPr>
          <w:kern w:val="0"/>
        </w:rPr>
        <w:t>qualitative analysis of 2,173 journal articles</w:t>
      </w:r>
      <w:r w:rsidR="00F81221">
        <w:rPr>
          <w:kern w:val="0"/>
        </w:rPr>
        <w:t xml:space="preserve"> and </w:t>
      </w:r>
      <w:r>
        <w:rPr>
          <w:kern w:val="0"/>
        </w:rPr>
        <w:t>conference papers published 2005 to 2008. Our findings are presented in five main parts. First, we describe how basic criteria were used to identify 885 empirical research papers</w:t>
      </w:r>
      <w:r w:rsidR="00F81221">
        <w:rPr>
          <w:kern w:val="0"/>
        </w:rPr>
        <w:t xml:space="preserve"> and </w:t>
      </w:r>
      <w:r>
        <w:rPr>
          <w:kern w:val="0"/>
        </w:rPr>
        <w:t>track changes in the orientation of the major publication outlets in the field. Second, analysis of author affiliation information allows us to report on publication activity by country</w:t>
      </w:r>
      <w:r w:rsidR="00F81221">
        <w:rPr>
          <w:kern w:val="0"/>
        </w:rPr>
        <w:t xml:space="preserve"> and </w:t>
      </w:r>
      <w:r>
        <w:rPr>
          <w:kern w:val="0"/>
        </w:rPr>
        <w:t>region. Third, we discuss evidence of collaborative patterns, including co-authorship trends</w:t>
      </w:r>
      <w:r w:rsidR="00F81221">
        <w:rPr>
          <w:kern w:val="0"/>
        </w:rPr>
        <w:t xml:space="preserve"> and </w:t>
      </w:r>
      <w:r>
        <w:rPr>
          <w:kern w:val="0"/>
        </w:rPr>
        <w:t>prevalence of multinational research teams. Fourth, we examine keywords in article metadata to report on the prevalence of 38 categories representing different research topics</w:t>
      </w:r>
      <w:r w:rsidR="00F81221">
        <w:rPr>
          <w:kern w:val="0"/>
        </w:rPr>
        <w:t xml:space="preserve"> and </w:t>
      </w:r>
      <w:r>
        <w:rPr>
          <w:kern w:val="0"/>
        </w:rPr>
        <w:t>contexts. Fifth</w:t>
      </w:r>
      <w:r w:rsidR="00F81221">
        <w:rPr>
          <w:kern w:val="0"/>
        </w:rPr>
        <w:t xml:space="preserve"> and </w:t>
      </w:r>
      <w:r>
        <w:rPr>
          <w:kern w:val="0"/>
        </w:rPr>
        <w:t>finally, we examine co-occurrence of articles by category. The paper concludes with recommendations for building global capacity in engineering education research, including suggestions for expanding cross-national collaboration in targeted research areas</w:t>
      </w:r>
      <w:r w:rsidR="00F81221">
        <w:rPr>
          <w:kern w:val="0"/>
        </w:rPr>
        <w:t xml:space="preserve"> and </w:t>
      </w:r>
      <w:r>
        <w:rPr>
          <w:kern w:val="0"/>
        </w:rPr>
        <w:t>improving access to the field</w:t>
      </w:r>
      <w:r w:rsidR="000352E7">
        <w:rPr>
          <w:kern w:val="0"/>
        </w:rPr>
        <w:t>’</w:t>
      </w:r>
      <w:r>
        <w:rPr>
          <w:kern w:val="0"/>
        </w:rPr>
        <w:t>s literature.</w:t>
      </w:r>
    </w:p>
    <w:p w:rsidR="00567FB2" w:rsidRDefault="00567FB2" w:rsidP="00567FB2">
      <w:pPr>
        <w:pStyle w:val="a0"/>
        <w:rPr>
          <w:kern w:val="0"/>
        </w:rPr>
      </w:pPr>
      <w:r>
        <w:rPr>
          <w:kern w:val="0"/>
        </w:rPr>
        <w:lastRenderedPageBreak/>
        <w:t>Keywords: Access, Affiliation, Analysis, Bibliometrics, Building, Capacity, Changes, Co-Authorship, Coauthorship, Collaboration, Collaborative Research, Community, Composition, Country, Criteria, Discipline, Education, Empirical Research, Engineering, Engineering Education, Engineering Education Research, Evidence, Field, First, Global, Information, International, Journal, Journal Articles, Literature, Mapping, Nations, Ontology, Papers, Part I, Prevalence, Publication, Publication Activity, Qualitative, Qualitative Analysis, Recommendations, Region, Research, Review, Science, Scientometrics, SI, Size, Social, Special-Issue, Trends</w:t>
      </w:r>
    </w:p>
    <w:p w:rsidR="00B95188" w:rsidRPr="00A428C3" w:rsidRDefault="00B95188" w:rsidP="00B95188">
      <w:pPr>
        <w:pStyle w:val="1"/>
      </w:pPr>
      <w:r w:rsidRPr="00A428C3">
        <w:br w:type="page"/>
      </w:r>
      <w:bookmarkStart w:id="1285" w:name="_Toc487190732"/>
      <w:bookmarkStart w:id="1286" w:name="_Toc487882237"/>
      <w:bookmarkStart w:id="1287" w:name="_Toc490688064"/>
      <w:bookmarkStart w:id="1288" w:name="_Toc492812176"/>
      <w:bookmarkStart w:id="1289" w:name="_Toc186647912"/>
      <w:bookmarkStart w:id="1290" w:name="_Toc317161285"/>
      <w:r w:rsidRPr="00A428C3">
        <w:lastRenderedPageBreak/>
        <w:t>Title: International Journal of Environment</w:t>
      </w:r>
      <w:r w:rsidR="00F81221">
        <w:t xml:space="preserve"> and </w:t>
      </w:r>
      <w:r w:rsidRPr="00A428C3">
        <w:t>Pollution</w:t>
      </w:r>
      <w:bookmarkEnd w:id="1285"/>
      <w:bookmarkEnd w:id="1286"/>
      <w:bookmarkEnd w:id="1287"/>
      <w:bookmarkEnd w:id="1288"/>
      <w:bookmarkEnd w:id="1289"/>
      <w:bookmarkEnd w:id="1290"/>
    </w:p>
    <w:p w:rsidR="00B95188" w:rsidRPr="00A428C3" w:rsidRDefault="00B95188" w:rsidP="00B72EF9">
      <w:pPr>
        <w:pStyle w:val="12"/>
      </w:pPr>
      <w:r w:rsidRPr="00A428C3">
        <w:t xml:space="preserve">Full Journal Title: </w:t>
      </w:r>
      <w:hyperlink r:id="rId1741" w:history="1">
        <w:r w:rsidRPr="00A428C3">
          <w:rPr>
            <w:rStyle w:val="a5"/>
          </w:rPr>
          <w:t>International Journal of Environment</w:t>
        </w:r>
        <w:r w:rsidR="00F81221">
          <w:rPr>
            <w:rStyle w:val="a5"/>
          </w:rPr>
          <w:t xml:space="preserve"> and </w:t>
        </w:r>
        <w:r w:rsidRPr="00A428C3">
          <w:rPr>
            <w:rStyle w:val="a5"/>
          </w:rPr>
          <w:t>Pollution</w:t>
        </w:r>
      </w:hyperlink>
    </w:p>
    <w:p w:rsidR="00B95188" w:rsidRPr="00A428C3" w:rsidRDefault="00B95188" w:rsidP="00B72EF9">
      <w:pPr>
        <w:pStyle w:val="12"/>
        <w:rPr>
          <w:lang w:val="fr-FR"/>
        </w:rPr>
      </w:pPr>
      <w:r w:rsidRPr="00A428C3">
        <w:t xml:space="preserve">ISO Abbreviated Title: Int. J. Environ. </w:t>
      </w:r>
      <w:r w:rsidRPr="00A428C3">
        <w:rPr>
          <w:lang w:val="fr-FR"/>
        </w:rPr>
        <w:t>Pollut.</w:t>
      </w:r>
    </w:p>
    <w:p w:rsidR="00B95188" w:rsidRPr="00A428C3" w:rsidRDefault="00B95188" w:rsidP="00B72EF9">
      <w:pPr>
        <w:pStyle w:val="12"/>
        <w:rPr>
          <w:lang w:val="fr-FR"/>
        </w:rPr>
      </w:pPr>
      <w:r w:rsidRPr="00A428C3">
        <w:rPr>
          <w:lang w:val="fr-FR"/>
        </w:rPr>
        <w:t>JCR Abbreviated Title: Int J Environ Pollut</w:t>
      </w:r>
    </w:p>
    <w:p w:rsidR="00B95188" w:rsidRPr="00A428C3" w:rsidRDefault="00B95188" w:rsidP="00B72EF9">
      <w:pPr>
        <w:pStyle w:val="12"/>
      </w:pPr>
      <w:r w:rsidRPr="00A428C3">
        <w:t>ISSN: 0957-4352</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Switzerland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Inderscience Enterprises Ltd</w:t>
      </w:r>
    </w:p>
    <w:p w:rsidR="00B95188" w:rsidRPr="00A428C3" w:rsidRDefault="00B95188" w:rsidP="00B72EF9">
      <w:pPr>
        <w:pStyle w:val="12"/>
      </w:pPr>
      <w:r w:rsidRPr="00A428C3">
        <w:t xml:space="preserve">Publisher Address: </w:t>
      </w:r>
      <w:smartTag w:uri="urn:schemas-microsoft-com:office:smarttags" w:element="PlaceName">
        <w:r w:rsidRPr="00A428C3">
          <w:t>World</w:t>
        </w:r>
      </w:smartTag>
      <w:r w:rsidRPr="00A428C3">
        <w:t xml:space="preserve"> </w:t>
      </w:r>
      <w:smartTag w:uri="urn:schemas-microsoft-com:office:smarttags" w:element="PlaceName">
        <w:r w:rsidRPr="00A428C3">
          <w:t>Trade</w:t>
        </w:r>
      </w:smartTag>
      <w:r w:rsidRPr="00A428C3">
        <w:t xml:space="preserve"> </w:t>
      </w:r>
      <w:smartTag w:uri="urn:schemas-microsoft-com:office:smarttags" w:element="PlaceType">
        <w:r w:rsidRPr="00A428C3">
          <w:t>Center</w:t>
        </w:r>
      </w:smartTag>
      <w:r w:rsidRPr="00A428C3">
        <w:t xml:space="preserve"> Bldg 110 Ave Lousis Casai CP 306, CH-1215 </w:t>
      </w:r>
      <w:smartTag w:uri="urn:schemas-microsoft-com:office:smarttags" w:element="place">
        <w:smartTag w:uri="urn:schemas-microsoft-com:office:smarttags" w:element="City">
          <w:r w:rsidRPr="00A428C3">
            <w:t>Geneva</w:t>
          </w:r>
        </w:smartTag>
      </w:smartTag>
      <w:r w:rsidRPr="00A428C3">
        <w:t xml:space="preserve"> Aeropor</w:t>
      </w:r>
    </w:p>
    <w:p w:rsidR="00B95188" w:rsidRPr="00A428C3" w:rsidRDefault="00B95188" w:rsidP="00B72EF9">
      <w:pPr>
        <w:pStyle w:val="12"/>
      </w:pPr>
      <w:r w:rsidRPr="00A428C3">
        <w:t>Subject Categories:</w:t>
      </w:r>
    </w:p>
    <w:p w:rsidR="00B95188" w:rsidRPr="00A428C3" w:rsidRDefault="00B95188" w:rsidP="00B72EF9">
      <w:pPr>
        <w:pStyle w:val="12"/>
      </w:pPr>
      <w:r w:rsidRPr="00A428C3">
        <w:t>Environmental Sciences: Impact Factor 0.213, 116/126 (1999); Impact Factor 0.176, 117/127 (2000); Impact Factor 0.314, 112/129 (2001); Impact Factor 0.356, 119/132 (2002); Impact Factor 0.116, 131/131 (2003); Impact Factor 0.156, 132/134 (2004); Impact Factor 0.327, 138/140 (2005); Impact Factor 0.404, 133/144 (2006)</w:t>
      </w:r>
      <w:r>
        <w:rPr>
          <w:rFonts w:hint="eastAsia"/>
        </w:rPr>
        <w:t>;</w:t>
      </w:r>
      <w:r w:rsidRPr="008C4C94">
        <w:t xml:space="preserve"> </w:t>
      </w:r>
      <w:r w:rsidRPr="007F7725">
        <w:t xml:space="preserve">Impact Factor </w:t>
      </w:r>
      <w:r w:rsidRPr="00057428">
        <w:t>0.435</w:t>
      </w:r>
      <w:r w:rsidRPr="007F7725">
        <w:t xml:space="preserve">, </w:t>
      </w:r>
      <w:r>
        <w:rPr>
          <w:rFonts w:hint="eastAsia"/>
        </w:rPr>
        <w:t>147</w:t>
      </w:r>
      <w:r w:rsidRPr="007F7725">
        <w:t>/</w:t>
      </w:r>
      <w:r>
        <w:rPr>
          <w:rFonts w:hint="eastAsia"/>
        </w:rPr>
        <w:t>160</w:t>
      </w:r>
      <w:r w:rsidRPr="007F7725">
        <w:t xml:space="preserve"> </w:t>
      </w:r>
      <w:r>
        <w:t>(2007)</w:t>
      </w:r>
      <w:r w:rsidR="0073013D">
        <w:rPr>
          <w:rFonts w:hint="eastAsia"/>
        </w:rPr>
        <w:t xml:space="preserve">; </w:t>
      </w:r>
      <w:r w:rsidR="0073013D" w:rsidRPr="007F7725">
        <w:t xml:space="preserve">Impact Factor </w:t>
      </w:r>
      <w:r w:rsidR="0073013D" w:rsidRPr="00057428">
        <w:t>0.</w:t>
      </w:r>
      <w:r w:rsidR="0073013D">
        <w:rPr>
          <w:rFonts w:hint="eastAsia"/>
        </w:rPr>
        <w:t>624</w:t>
      </w:r>
      <w:r w:rsidR="0073013D" w:rsidRPr="007F7725">
        <w:t xml:space="preserve">, </w:t>
      </w:r>
      <w:r w:rsidR="0073013D">
        <w:rPr>
          <w:rFonts w:hint="eastAsia"/>
        </w:rPr>
        <w:t xml:space="preserve">161/181 </w:t>
      </w:r>
      <w:r w:rsidR="0073013D">
        <w:t>(200</w:t>
      </w:r>
      <w:r w:rsidR="0073013D">
        <w:rPr>
          <w:rFonts w:hint="eastAsia"/>
        </w:rPr>
        <w:t>9</w:t>
      </w:r>
      <w:r w:rsidR="0073013D">
        <w:t>)</w:t>
      </w:r>
      <w:r w:rsidR="00944900">
        <w:rPr>
          <w:rFonts w:hint="eastAsia"/>
        </w:rPr>
        <w:t xml:space="preserve">; </w:t>
      </w:r>
      <w:r w:rsidR="00944900" w:rsidRPr="007F7725">
        <w:t xml:space="preserve">Impact Factor </w:t>
      </w:r>
      <w:r w:rsidR="00944900" w:rsidRPr="00057428">
        <w:t>0.</w:t>
      </w:r>
      <w:r w:rsidR="00944900">
        <w:rPr>
          <w:rFonts w:hint="eastAsia"/>
        </w:rPr>
        <w:t>626</w:t>
      </w:r>
      <w:r w:rsidR="00944900" w:rsidRPr="007F7725">
        <w:t xml:space="preserve">, </w:t>
      </w:r>
      <w:r w:rsidR="00944900">
        <w:rPr>
          <w:rFonts w:hint="eastAsia"/>
        </w:rPr>
        <w:t xml:space="preserve">174/193 </w:t>
      </w:r>
      <w:r w:rsidR="00944900">
        <w:t>(20</w:t>
      </w:r>
      <w:r w:rsidR="00944900">
        <w:rPr>
          <w:rFonts w:hint="eastAsia"/>
        </w:rPr>
        <w:t>10</w:t>
      </w:r>
      <w:r w:rsidR="00944900">
        <w:t>)</w:t>
      </w:r>
    </w:p>
    <w:p w:rsidR="00B95188" w:rsidRPr="00A428C3" w:rsidRDefault="00B95188" w:rsidP="00B95188">
      <w:pPr>
        <w:pStyle w:val="a0"/>
      </w:pPr>
      <w:r w:rsidRPr="00A428C3">
        <w:t>? Philip, L., Iyengar, L.</w:t>
      </w:r>
      <w:r w:rsidR="00F81221">
        <w:t xml:space="preserve"> and </w:t>
      </w:r>
      <w:r w:rsidRPr="00A428C3">
        <w:t xml:space="preserve">Venkobachar, C. (1995), Biosorption of copper(II) by pseudomonas-aeruginosa.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5</w:t>
      </w:r>
      <w:r w:rsidRPr="00A428C3">
        <w:t xml:space="preserve"> (1), 92-99.</w:t>
      </w:r>
    </w:p>
    <w:p w:rsidR="00B95188" w:rsidRPr="00A428C3" w:rsidRDefault="00B95188" w:rsidP="00B95188">
      <w:pPr>
        <w:pStyle w:val="a0"/>
      </w:pPr>
      <w:r w:rsidRPr="00A428C3">
        <w:t>Abstract: The mechanism of accumulation of copper(II) by Pseudomonas aeruginosa was investigated. Uptake consisted of a rapid process (likely to be extracellular binding) followed by a slow phase (possibly cellular uptake). The sorption capacity of the microbe was found to be 50 mg/g,</w:t>
      </w:r>
      <w:r w:rsidR="00F81221">
        <w:t xml:space="preserve"> and </w:t>
      </w:r>
      <w:r w:rsidRPr="00A428C3">
        <w:t>sorption followed the Langmuir isotherm. The presence of mild mineral acids (0.1 N HCl) led to destructive desorption of 95% of sorbed metal, whereas citrate buffer (pH 4) desorbed 80% of the accumulated metal ions non-destructively. Spectroscopic</w:t>
      </w:r>
      <w:r w:rsidR="00F81221">
        <w:t xml:space="preserve"> and </w:t>
      </w:r>
      <w:r w:rsidRPr="00A428C3">
        <w:t>microscopic studies indicated the accumulation of metal inside the cell, though the maximum uptake was by the cell wall.</w:t>
      </w:r>
    </w:p>
    <w:p w:rsidR="00B95188" w:rsidRPr="00A428C3" w:rsidRDefault="00B95188" w:rsidP="00B95188">
      <w:pPr>
        <w:pStyle w:val="a0"/>
      </w:pPr>
      <w:r w:rsidRPr="00A428C3">
        <w:t>Keywords: Biosorption, Citrate Buffer, Copper, EDAX, Electron Microscope, Pseudomonas Aeruginosa, Cadmium</w:t>
      </w:r>
    </w:p>
    <w:p w:rsidR="00B95188" w:rsidRPr="00A428C3" w:rsidRDefault="00B95188" w:rsidP="00B95188">
      <w:pPr>
        <w:pStyle w:val="a0"/>
      </w:pPr>
      <w:r w:rsidRPr="00A428C3">
        <w:t>? Baldasano, J.M.</w:t>
      </w:r>
      <w:r w:rsidR="00F81221">
        <w:t xml:space="preserve"> and </w:t>
      </w:r>
      <w:r w:rsidRPr="00A428C3">
        <w:t xml:space="preserve">Cremades, L. (1995), Atmospheric impact of a municipal wastes incinerator. </w:t>
      </w:r>
      <w:r w:rsidRPr="00A428C3">
        <w:rPr>
          <w:i/>
        </w:rPr>
        <w:t>International Journal of Environment</w:t>
      </w:r>
      <w:r w:rsidR="00F81221">
        <w:rPr>
          <w:i/>
        </w:rPr>
        <w:t xml:space="preserve"> and </w:t>
      </w:r>
      <w:r w:rsidRPr="00A428C3">
        <w:rPr>
          <w:i/>
        </w:rPr>
        <w:t>Pollution</w:t>
      </w:r>
      <w:r w:rsidRPr="00A428C3">
        <w:t xml:space="preserve">, </w:t>
      </w:r>
      <w:r w:rsidRPr="00A428C3">
        <w:rPr>
          <w:b/>
        </w:rPr>
        <w:t>5</w:t>
      </w:r>
      <w:r w:rsidRPr="00A428C3">
        <w:t xml:space="preserve"> (4-6), 538-547.</w:t>
      </w:r>
    </w:p>
    <w:p w:rsidR="00B95188" w:rsidRPr="00A428C3" w:rsidRDefault="00B95188" w:rsidP="00B95188">
      <w:pPr>
        <w:pStyle w:val="a0"/>
        <w:rPr>
          <w:rFonts w:eastAsia="Arial Unicode MS"/>
        </w:rPr>
      </w:pPr>
      <w:r w:rsidRPr="00A428C3">
        <w:t>Abstract: This paper presents a case study of an air pollution dispersion model for the atmospheric impact assessment of a new municipal wastes incinerator (MWI). The capacity of the present MWI will increase more than ten times,</w:t>
      </w:r>
      <w:r w:rsidR="00F81221">
        <w:t xml:space="preserve"> and </w:t>
      </w:r>
      <w:r w:rsidRPr="00A428C3">
        <w:t xml:space="preserve">a new </w:t>
      </w:r>
      <w:r w:rsidRPr="00A428C3">
        <w:lastRenderedPageBreak/>
        <w:t>high-efficiency flue gas treatment system is projected.</w:t>
      </w:r>
    </w:p>
    <w:p w:rsidR="00B95188" w:rsidRPr="00A428C3" w:rsidRDefault="00B95188" w:rsidP="00B95188">
      <w:pPr>
        <w:pStyle w:val="a0"/>
      </w:pPr>
      <w:r w:rsidRPr="00A428C3">
        <w:t>The environmental impact study has been focused on the long-term aspect of the air pollution (chronic pollution) from the new facility. Hence the model used is a dispersion climatological model included in the EMITEMA-AIR system. This model is based on statistical processing of meteorological data</w:t>
      </w:r>
      <w:r w:rsidR="00F81221">
        <w:t xml:space="preserve"> and </w:t>
      </w:r>
      <w:r w:rsidRPr="00A428C3">
        <w:t>deterministic approach of dispersion process. Besides, it allows to take into account the orography of the study area.</w:t>
      </w:r>
    </w:p>
    <w:p w:rsidR="00B95188" w:rsidRPr="00A428C3" w:rsidRDefault="00B95188" w:rsidP="00B95188">
      <w:pPr>
        <w:pStyle w:val="a0"/>
      </w:pPr>
      <w:r w:rsidRPr="00A428C3">
        <w:t>Particles</w:t>
      </w:r>
      <w:r w:rsidR="00F81221">
        <w:t xml:space="preserve"> and </w:t>
      </w:r>
      <w:r w:rsidRPr="00A428C3">
        <w:t>gases, such as HCl for instance, are the pollutants considered in this study, as representative air pollutants emitted by a MWI. The dispersion study of pollutants from a climatological point of view led to conclusions about the atmospheric impact of the future MWI.</w:t>
      </w:r>
    </w:p>
    <w:p w:rsidR="00B95188" w:rsidRPr="00A428C3" w:rsidRDefault="00B95188" w:rsidP="00B95188">
      <w:pPr>
        <w:pStyle w:val="a0"/>
      </w:pPr>
      <w:r w:rsidRPr="00A428C3">
        <w:t>Keywords: Atmospheric Impact, Climatological Model, Incinerator, Municipal Wastes</w:t>
      </w:r>
    </w:p>
    <w:p w:rsidR="00B95188" w:rsidRPr="00A428C3" w:rsidRDefault="00B95188" w:rsidP="00B95188">
      <w:pPr>
        <w:pStyle w:val="a0"/>
      </w:pPr>
      <w:r w:rsidRPr="00A428C3">
        <w:t>Yedla, S.</w:t>
      </w:r>
      <w:r w:rsidR="00F81221">
        <w:t xml:space="preserve"> and </w:t>
      </w:r>
      <w:r w:rsidRPr="00A428C3">
        <w:t xml:space="preserve">Dikshit, A.K. (2001), Removal mechanism of endosulfan sorption onto wood charcoal.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15</w:t>
      </w:r>
      <w:r w:rsidRPr="00A428C3">
        <w:t xml:space="preserve"> (5), 528-542.</w:t>
      </w:r>
    </w:p>
    <w:p w:rsidR="00B95188" w:rsidRPr="00A428C3" w:rsidRDefault="00B95188" w:rsidP="00B95188">
      <w:pPr>
        <w:pStyle w:val="a0"/>
      </w:pPr>
      <w:r w:rsidRPr="00A428C3">
        <w:t xml:space="preserve">Full Text: </w:t>
      </w:r>
      <w:hyperlink r:id="rId1742" w:history="1">
        <w:r w:rsidRPr="00A428C3">
          <w:rPr>
            <w:rStyle w:val="a5"/>
          </w:rPr>
          <w:t>I\Int J Env Pol15, 528.pdf</w:t>
        </w:r>
      </w:hyperlink>
    </w:p>
    <w:p w:rsidR="00B95188" w:rsidRPr="00A428C3" w:rsidRDefault="00B95188" w:rsidP="00B95188">
      <w:pPr>
        <w:pStyle w:val="a0"/>
      </w:pPr>
      <w:r w:rsidRPr="00A428C3">
        <w:t>Abstract: Endosulfan is among the most widely used pesticides in developing countries</w:t>
      </w:r>
      <w:r w:rsidR="00F81221">
        <w:t xml:space="preserve"> and </w:t>
      </w:r>
      <w:r w:rsidRPr="00A428C3">
        <w:t>other parts of the world</w:t>
      </w:r>
      <w:r w:rsidR="00F81221">
        <w:t xml:space="preserve"> and </w:t>
      </w:r>
      <w:r w:rsidRPr="00A428C3">
        <w:t>has been found to contaminate various parts of the environment, including drinking water sources. In an earlier study to find a suitable adsorbent to remove endosulfan, wood charcoal was found to give promising results. In the present study, the process controlling the rate of endosulfan sorption onto wood charcoal</w:t>
      </w:r>
      <w:r w:rsidR="00F81221">
        <w:t xml:space="preserve"> and </w:t>
      </w:r>
      <w:r w:rsidRPr="00A428C3">
        <w:t>the mechanism of removal were examined using various methodologies. Both film</w:t>
      </w:r>
      <w:r w:rsidR="00F81221">
        <w:t xml:space="preserve"> and </w:t>
      </w:r>
      <w:r w:rsidRPr="00A428C3">
        <w:t>pore diffusion coefficients were determined,</w:t>
      </w:r>
      <w:r w:rsidR="00F81221">
        <w:t xml:space="preserve"> and </w:t>
      </w:r>
      <w:r w:rsidRPr="00A428C3">
        <w:t>the linearity of the rate constants of adsorption with initial endosulfan concentrations revealed the process to be controlled by film diffusion. This was supported by the linear fit of the rate constants with the inverse of the diameter of adsorbent particles</w:t>
      </w:r>
      <w:r w:rsidR="00F81221">
        <w:t xml:space="preserve"> and </w:t>
      </w:r>
      <w:r w:rsidRPr="00A428C3">
        <w:t>the change in adsorption rates with agitation speed. Multiple interruption tests also revealed that endosulfan sorption onto wood charcoal is controlled by film diffusion.</w:t>
      </w:r>
    </w:p>
    <w:p w:rsidR="00B95188" w:rsidRPr="00A428C3" w:rsidRDefault="00B95188" w:rsidP="00B95188">
      <w:pPr>
        <w:pStyle w:val="a0"/>
      </w:pPr>
      <w:r w:rsidRPr="00A428C3">
        <w:t>The increase in reaction rate constant with temperature</w:t>
      </w:r>
      <w:r w:rsidR="00F81221">
        <w:t xml:space="preserve"> and </w:t>
      </w:r>
      <w:r w:rsidRPr="00A428C3">
        <w:t>isosteric heat of adsorption in the range of -2.655 to 5.185 kcal/mol implied that the endosulfan removal process was endothermic in nature. The activation energy of 2.33 kcal/mol, which was less than 12 kcal/mol, revealed that the removal mechanism could be attributed to physisorption with a major contribution of van der Waals</w:t>
      </w:r>
      <w:r w:rsidR="00F81221">
        <w:t xml:space="preserve"> and </w:t>
      </w:r>
      <w:r w:rsidRPr="00A428C3">
        <w:t>electrostatic forces.</w:t>
      </w:r>
    </w:p>
    <w:p w:rsidR="00B95188" w:rsidRPr="00A428C3" w:rsidRDefault="00B95188" w:rsidP="00B95188">
      <w:pPr>
        <w:pStyle w:val="a0"/>
      </w:pPr>
      <w:r w:rsidRPr="00A428C3">
        <w:t>Keywords: Activation Energy, Adsorption, Endosulfan, Film Diffusion, Isosteric Heat, Physisorption, Pore Diffusion, Rate-Limiting Step, Activated Carbon, Adsorption, Kinetics, Water</w:t>
      </w:r>
    </w:p>
    <w:p w:rsidR="00B95188" w:rsidRPr="00A428C3" w:rsidRDefault="00B95188" w:rsidP="00B95188">
      <w:pPr>
        <w:pStyle w:val="a0"/>
      </w:pPr>
      <w:r w:rsidRPr="00A428C3">
        <w:t>Cengiz, P.A., Abbasian, J., Khalili, N.R., Slimane, R.B.</w:t>
      </w:r>
      <w:r w:rsidR="00F81221">
        <w:t xml:space="preserve"> and </w:t>
      </w:r>
      <w:r w:rsidRPr="00A428C3">
        <w:t>Ho, K.K. (2002), Development of durable</w:t>
      </w:r>
      <w:r w:rsidR="00F81221">
        <w:t xml:space="preserve"> and </w:t>
      </w:r>
      <w:r w:rsidRPr="00A428C3">
        <w:t xml:space="preserve">reactive regenerable sorbents for high temperature flue gas desulphurisation.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17</w:t>
      </w:r>
      <w:r w:rsidRPr="00A428C3">
        <w:t xml:space="preserve"> (1-2), </w:t>
      </w:r>
      <w:r w:rsidRPr="00A428C3">
        <w:lastRenderedPageBreak/>
        <w:t>82-101.</w:t>
      </w:r>
    </w:p>
    <w:p w:rsidR="00B95188" w:rsidRPr="00A428C3" w:rsidRDefault="00B95188" w:rsidP="00B95188">
      <w:pPr>
        <w:pStyle w:val="a0"/>
      </w:pPr>
      <w:r w:rsidRPr="00A428C3">
        <w:t xml:space="preserve">Full Text: </w:t>
      </w:r>
      <w:hyperlink r:id="rId1743" w:history="1">
        <w:r w:rsidRPr="00A428C3">
          <w:rPr>
            <w:rStyle w:val="a5"/>
          </w:rPr>
          <w:t>I\Int J Env Pol17, 82.pdf</w:t>
        </w:r>
      </w:hyperlink>
    </w:p>
    <w:p w:rsidR="00B95188" w:rsidRPr="00A428C3" w:rsidRDefault="00B95188" w:rsidP="00B95188">
      <w:pPr>
        <w:pStyle w:val="a0"/>
      </w:pPr>
      <w:r w:rsidRPr="00A428C3">
        <w:t>Abstract: One of the emerging technologies for combined SO</w:t>
      </w:r>
      <w:r w:rsidRPr="00A428C3">
        <w:rPr>
          <w:vertAlign w:val="subscript"/>
        </w:rPr>
        <w:t>2</w:t>
      </w:r>
      <w:r w:rsidR="00F81221">
        <w:t xml:space="preserve"> and </w:t>
      </w:r>
      <w:r w:rsidRPr="00A428C3">
        <w:t>NO</w:t>
      </w:r>
      <w:r w:rsidRPr="00A428C3">
        <w:rPr>
          <w:vertAlign w:val="subscript"/>
        </w:rPr>
        <w:t>x</w:t>
      </w:r>
      <w:r w:rsidRPr="00A428C3">
        <w:t xml:space="preserve"> removal from flue gases is the copper oxide process. which is based on the use of a regenerable sorbent. Sorbent properties such as SO</w:t>
      </w:r>
      <w:r w:rsidRPr="00A428C3">
        <w:rPr>
          <w:vertAlign w:val="subscript"/>
        </w:rPr>
        <w:t>2</w:t>
      </w:r>
      <w:r w:rsidRPr="00A428C3">
        <w:t xml:space="preserve"> sorption capacity, reactivity, crush strength,</w:t>
      </w:r>
      <w:r w:rsidR="00F81221">
        <w:t xml:space="preserve"> and </w:t>
      </w:r>
      <w:r w:rsidRPr="00A428C3">
        <w:t>long-term durability have significant impact on the overall process, cost, In this study. a number of sorbents were prepared by using various modifications of the sol-gel technique. Compared to the commercially available sorbent used for evaluation of the process, sorbents prepared by wet impregnation of sol-gel alumina exhibited comparable sulphur capacity</w:t>
      </w:r>
      <w:r w:rsidR="00F81221">
        <w:t xml:space="preserve"> and </w:t>
      </w:r>
      <w:r w:rsidRPr="00A428C3">
        <w:t>about seven times higher crush strength, while those prepared by incorporation of copper in the sol resulted in three times higher sulphur capacity</w:t>
      </w:r>
      <w:r w:rsidR="00F81221">
        <w:t xml:space="preserve"> and </w:t>
      </w:r>
      <w:r w:rsidRPr="00A428C3">
        <w:t>55% higher crush strength. Significant improvement in long-term durability also achieved with these sorbents. Preliminary economic evaluation indicates that these new sorbents have the potential to reduce the projected levelized process cost down to 3.17 mil/kWh, which is lower than the cost of current SO</w:t>
      </w:r>
      <w:r w:rsidRPr="00A428C3">
        <w:rPr>
          <w:vertAlign w:val="subscript"/>
        </w:rPr>
        <w:t>2</w:t>
      </w:r>
      <w:r w:rsidRPr="00A428C3">
        <w:t xml:space="preserve"> emission allowance.</w:t>
      </w:r>
    </w:p>
    <w:p w:rsidR="00B95188" w:rsidRPr="00A428C3" w:rsidRDefault="00B95188" w:rsidP="00B95188">
      <w:pPr>
        <w:pStyle w:val="a0"/>
      </w:pPr>
      <w:r w:rsidRPr="00A428C3">
        <w:t>Keywords: Flue Gas, SO</w:t>
      </w:r>
      <w:r w:rsidRPr="00A428C3">
        <w:rPr>
          <w:vertAlign w:val="subscript"/>
        </w:rPr>
        <w:t>2</w:t>
      </w:r>
      <w:r w:rsidRPr="00A428C3">
        <w:t>, Removal, Copper Oxide, Regenerable Sorbents, Sol-Gel, Desulphurisation, Zinc Titanate Sorbents, Desox Denox Reactions, Fluidized-Bed, Metal-Oxides, Cuo/Gamma-Al</w:t>
      </w:r>
      <w:r w:rsidRPr="00A428C3">
        <w:rPr>
          <w:vertAlign w:val="subscript"/>
        </w:rPr>
        <w:t>2</w:t>
      </w:r>
      <w:r w:rsidRPr="00A428C3">
        <w:t>O</w:t>
      </w:r>
      <w:r w:rsidRPr="00A428C3">
        <w:rPr>
          <w:vertAlign w:val="subscript"/>
        </w:rPr>
        <w:t>3</w:t>
      </w:r>
      <w:r w:rsidRPr="00A428C3">
        <w:t xml:space="preserve"> Sorbent, Elevated-Temperature, Simultaneous Removal, Sulfur-Dioxide, Gamma-Alumina, H</w:t>
      </w:r>
      <w:r w:rsidRPr="00A428C3">
        <w:rPr>
          <w:vertAlign w:val="subscript"/>
        </w:rPr>
        <w:t>2</w:t>
      </w:r>
      <w:r w:rsidRPr="00A428C3">
        <w:t>S Removal</w:t>
      </w:r>
    </w:p>
    <w:p w:rsidR="00B95188" w:rsidRPr="00A428C3" w:rsidRDefault="00B95188" w:rsidP="00B95188">
      <w:pPr>
        <w:pStyle w:val="a0"/>
      </w:pPr>
      <w:r w:rsidRPr="00A428C3">
        <w:t>Faghihian, H., Malekpour, A.</w:t>
      </w:r>
      <w:r w:rsidR="00F81221">
        <w:t xml:space="preserve"> and </w:t>
      </w:r>
      <w:r w:rsidRPr="00A428C3">
        <w:t>Maragheh, M.G. (2003), Adsorption of molybdate ion by natrolite</w:t>
      </w:r>
      <w:r w:rsidR="00F81221">
        <w:t xml:space="preserve"> and </w:t>
      </w:r>
      <w:r w:rsidRPr="00A428C3">
        <w:t xml:space="preserve">clinoptilolite-rich tuffs.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18</w:t>
      </w:r>
      <w:r w:rsidRPr="00A428C3">
        <w:t xml:space="preserve"> (2), 181-189.</w:t>
      </w:r>
    </w:p>
    <w:p w:rsidR="00B95188" w:rsidRPr="00A428C3" w:rsidRDefault="00B95188" w:rsidP="00B95188">
      <w:pPr>
        <w:pStyle w:val="a0"/>
      </w:pPr>
      <w:r w:rsidRPr="00A428C3">
        <w:t xml:space="preserve">Full Text: </w:t>
      </w:r>
      <w:hyperlink r:id="rId1744" w:history="1">
        <w:r w:rsidRPr="00A428C3">
          <w:rPr>
            <w:rStyle w:val="a5"/>
          </w:rPr>
          <w:t>I\Int J Env Pol18, 181.pdf</w:t>
        </w:r>
      </w:hyperlink>
    </w:p>
    <w:p w:rsidR="00B95188" w:rsidRPr="00A428C3" w:rsidRDefault="00B95188" w:rsidP="00B95188">
      <w:pPr>
        <w:pStyle w:val="a0"/>
      </w:pPr>
      <w:r w:rsidRPr="00A428C3">
        <w:t>Abstract: Natural clinoptilolite-rich tuffs</w:t>
      </w:r>
      <w:r w:rsidR="00F81221">
        <w:t xml:space="preserve"> and </w:t>
      </w:r>
      <w:r w:rsidRPr="00A428C3">
        <w:t>natrolite from Iranian deposits</w:t>
      </w:r>
      <w:r w:rsidR="00F81221">
        <w:t xml:space="preserve"> and </w:t>
      </w:r>
      <w:r w:rsidRPr="00A428C3">
        <w:t>their different ion-exchanged forms were used for the adsorption of Mo-99 as molybdate ion. The effect of pH, contact time, initial molybdate concentration,</w:t>
      </w:r>
      <w:r w:rsidR="00F81221">
        <w:t xml:space="preserve"> and </w:t>
      </w:r>
      <w:r w:rsidRPr="00A428C3">
        <w:t>some cationic</w:t>
      </w:r>
      <w:r w:rsidR="00F81221">
        <w:t xml:space="preserve"> and </w:t>
      </w:r>
      <w:r w:rsidRPr="00A428C3">
        <w:t>anionic interferences were also studied. To investigate the selectivity of zeolites</w:t>
      </w:r>
      <w:r w:rsidR="00F81221">
        <w:t xml:space="preserve"> and </w:t>
      </w:r>
      <w:r w:rsidRPr="00A428C3">
        <w:t>their exchanged forms, the isotherms of adsorption were constructed at room temperature. Desorption experiments were carried out to examine the ability of zeolite to retain adsorbed molybdate. It was concluded that molybdate could be considerably adsorbed by some of the exchanged forms of the zeolites (Ag</w:t>
      </w:r>
      <w:r w:rsidRPr="00A428C3">
        <w:rPr>
          <w:vertAlign w:val="superscript"/>
        </w:rPr>
        <w:t>+</w:t>
      </w:r>
      <w:r w:rsidRPr="00A428C3">
        <w:t>, Cd</w:t>
      </w:r>
      <w:r w:rsidRPr="00A428C3">
        <w:rPr>
          <w:vertAlign w:val="superscript"/>
        </w:rPr>
        <w:t>2+</w:t>
      </w:r>
      <w:r w:rsidR="00F81221">
        <w:t xml:space="preserve"> and </w:t>
      </w:r>
      <w:r w:rsidRPr="00A428C3">
        <w:t>Pb</w:t>
      </w:r>
      <w:r w:rsidRPr="00A428C3">
        <w:rPr>
          <w:vertAlign w:val="superscript"/>
        </w:rPr>
        <w:t>2+</w:t>
      </w:r>
      <w:r w:rsidRPr="00A428C3">
        <w:t xml:space="preserve"> exchanged forms) whereas the uptake by the natural forms was negligible.</w:t>
      </w:r>
    </w:p>
    <w:p w:rsidR="00B95188" w:rsidRPr="00A428C3" w:rsidRDefault="00B95188" w:rsidP="00B95188">
      <w:pPr>
        <w:pStyle w:val="a0"/>
      </w:pPr>
      <w:r w:rsidRPr="00A428C3">
        <w:t>Keywords: Adsorption, Clinoptilolite, Molybdate, Natrolite, Zeolites, Sorption, Surfactant, Chromate, Zeolite, Cesium</w:t>
      </w:r>
    </w:p>
    <w:p w:rsidR="00B95188" w:rsidRPr="00A428C3" w:rsidRDefault="00B95188" w:rsidP="00B95188">
      <w:pPr>
        <w:pStyle w:val="a0"/>
      </w:pPr>
      <w:r w:rsidRPr="00A428C3">
        <w:t>Beyazit, N., Ergun, O.N.</w:t>
      </w:r>
      <w:r w:rsidR="00F81221">
        <w:t xml:space="preserve"> and </w:t>
      </w:r>
      <w:r w:rsidRPr="00A428C3">
        <w:t xml:space="preserve">Peker, </w:t>
      </w:r>
      <w:smartTag w:uri="urn:schemas-microsoft-com:office:smarttags" w:element="place">
        <w:r w:rsidRPr="00A428C3">
          <w:t>I.</w:t>
        </w:r>
      </w:smartTag>
      <w:r w:rsidRPr="00A428C3">
        <w:t xml:space="preserve"> (2003), Cu(II) removal from aqueous solution using Doğantepe (Amasya) zeolites.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19</w:t>
      </w:r>
      <w:r w:rsidRPr="00A428C3">
        <w:t xml:space="preserve"> (2), 150-159.</w:t>
      </w:r>
    </w:p>
    <w:p w:rsidR="00B95188" w:rsidRPr="00A428C3" w:rsidRDefault="00B95188" w:rsidP="00B95188">
      <w:pPr>
        <w:pStyle w:val="a0"/>
      </w:pPr>
      <w:r w:rsidRPr="00A428C3">
        <w:t xml:space="preserve">Full Text: </w:t>
      </w:r>
      <w:hyperlink r:id="rId1745" w:history="1">
        <w:r w:rsidRPr="00A428C3">
          <w:rPr>
            <w:rStyle w:val="a5"/>
          </w:rPr>
          <w:t>I\Int J Env Pol19, 150.pdf</w:t>
        </w:r>
      </w:hyperlink>
    </w:p>
    <w:p w:rsidR="00B95188" w:rsidRPr="00A428C3" w:rsidRDefault="00B95188" w:rsidP="00B95188">
      <w:pPr>
        <w:pStyle w:val="a0"/>
      </w:pPr>
      <w:r w:rsidRPr="00A428C3">
        <w:lastRenderedPageBreak/>
        <w:t>Abstract: This paper investigates the effects of zeolite particle size, zeolite/solution ratio</w:t>
      </w:r>
      <w:r w:rsidR="00F81221">
        <w:t xml:space="preserve"> and </w:t>
      </w:r>
      <w:r w:rsidRPr="00A428C3">
        <w:t>stirring time on the performance of zeolites from Dogantepe in removing Cu(II) from aqueous solution to establish optimum operating conditions. The results indicated that the size of the zeolite samples, the concentration of Cu(II)</w:t>
      </w:r>
      <w:r w:rsidR="00F81221">
        <w:t xml:space="preserve"> and </w:t>
      </w:r>
      <w:r w:rsidRPr="00A428C3">
        <w:t>the zeolite/solution ratio affected the removal efficiencies, whilst the stirring time was found to have no significant effect on the removal efficiencies. The equivalent numbers of sodium, magnesium, calcium</w:t>
      </w:r>
      <w:r w:rsidR="00F81221">
        <w:t xml:space="preserve"> and </w:t>
      </w:r>
      <w:r w:rsidRPr="00A428C3">
        <w:t>potassium ions passed into the Cu(II) solution were found to be 1.196, 0.208, 0.117</w:t>
      </w:r>
      <w:r w:rsidR="00F81221">
        <w:t xml:space="preserve"> and </w:t>
      </w:r>
      <w:r w:rsidRPr="00A428C3">
        <w:t>0.009 meq/l, respectively,</w:t>
      </w:r>
      <w:r w:rsidR="00F81221">
        <w:t xml:space="preserve"> and </w:t>
      </w:r>
      <w:r w:rsidRPr="00A428C3">
        <w:t>the passing percentages of these ions were calculated to be 11.27, 2.45, 1.57</w:t>
      </w:r>
      <w:r w:rsidR="00F81221">
        <w:t xml:space="preserve"> and </w:t>
      </w:r>
      <w:r w:rsidRPr="00A428C3">
        <w:t>0.37%, respectively. The removal mechanism of Cu(II) with zeolite samples was mainly ion exchange with a fraction of approximately 65%. The maximum exchange capacities obtained by using Dogantepe zeolites, Yavu zeolites,</w:t>
      </w:r>
      <w:r w:rsidR="00F81221">
        <w:t xml:space="preserve"> and </w:t>
      </w:r>
      <w:r w:rsidRPr="00A428C3">
        <w:t>synthetic resin were found to be 9.2, 7.0</w:t>
      </w:r>
      <w:r w:rsidR="00F81221">
        <w:t xml:space="preserve"> and </w:t>
      </w:r>
      <w:r w:rsidRPr="00A428C3">
        <w:t>72.7 mg/g, respectively. However, in relatively low concentrations of Cu(II), the differences in the removal efficiencies or exchange capacities obtained for above different three materials were significantly decreased.</w:t>
      </w:r>
    </w:p>
    <w:p w:rsidR="00B95188" w:rsidRPr="00A428C3" w:rsidRDefault="00B95188" w:rsidP="00B95188">
      <w:pPr>
        <w:pStyle w:val="a0"/>
      </w:pPr>
      <w:r w:rsidRPr="00A428C3">
        <w:t>Keywords: Aqueous Solution, Clinoptilolite, Cu(II), Mordenite, Removal, Zeolite, Ion-Exchange, Cadmium Removal, Heavy-Metals, Clinoptilolite, Lead</w:t>
      </w:r>
    </w:p>
    <w:p w:rsidR="00B95188" w:rsidRPr="00A428C3" w:rsidRDefault="00B95188" w:rsidP="00B95188">
      <w:pPr>
        <w:pStyle w:val="a0"/>
      </w:pPr>
      <w:r w:rsidRPr="00A428C3">
        <w:t>Beyazit, N., Peker, I.</w:t>
      </w:r>
      <w:r w:rsidR="00F81221">
        <w:t xml:space="preserve"> and </w:t>
      </w:r>
      <w:r w:rsidRPr="00A428C3">
        <w:t>Ergun, O.N. (2003), Removal of lead</w:t>
      </w:r>
      <w:r w:rsidR="00F81221">
        <w:t xml:space="preserve"> and </w:t>
      </w:r>
      <w:r w:rsidRPr="00A428C3">
        <w:t xml:space="preserve">zinc ions from aqueous solution using Amasya zeolites from </w:t>
      </w:r>
      <w:smartTag w:uri="urn:schemas-microsoft-com:office:smarttags" w:element="place">
        <w:smartTag w:uri="urn:schemas-microsoft-com:office:smarttags" w:element="country-region">
          <w:r w:rsidRPr="00A428C3">
            <w:t>Turkey</w:t>
          </w:r>
        </w:smartTag>
      </w:smartTag>
      <w:r w:rsidRPr="00A428C3">
        <w:t xml:space="preserve">.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19</w:t>
      </w:r>
      <w:r w:rsidRPr="00A428C3">
        <w:t xml:space="preserve"> (2), 160-170.</w:t>
      </w:r>
    </w:p>
    <w:p w:rsidR="00B95188" w:rsidRPr="00A428C3" w:rsidRDefault="00B95188" w:rsidP="00B95188">
      <w:pPr>
        <w:pStyle w:val="a0"/>
      </w:pPr>
      <w:r w:rsidRPr="00A428C3">
        <w:t xml:space="preserve">Full Text: </w:t>
      </w:r>
      <w:hyperlink r:id="rId1746" w:history="1">
        <w:r w:rsidRPr="00A428C3">
          <w:rPr>
            <w:rStyle w:val="a5"/>
          </w:rPr>
          <w:t>I\Int J Env Pol19, 160.pdf</w:t>
        </w:r>
      </w:hyperlink>
    </w:p>
    <w:p w:rsidR="00B95188" w:rsidRPr="00A428C3" w:rsidRDefault="00B95188" w:rsidP="00B95188">
      <w:pPr>
        <w:pStyle w:val="a0"/>
      </w:pPr>
      <w:r w:rsidRPr="00A428C3">
        <w:t>Abstract: This paper deals with the removal of Pb</w:t>
      </w:r>
      <w:r w:rsidRPr="00A428C3">
        <w:rPr>
          <w:vertAlign w:val="superscript"/>
        </w:rPr>
        <w:t>2+</w:t>
      </w:r>
      <w:r w:rsidR="00F81221">
        <w:t xml:space="preserve"> and </w:t>
      </w:r>
      <w:r w:rsidRPr="00A428C3">
        <w:t>Zn</w:t>
      </w:r>
      <w:r w:rsidRPr="00A428C3">
        <w:rPr>
          <w:vertAlign w:val="superscript"/>
        </w:rPr>
        <w:t>2+</w:t>
      </w:r>
      <w:r w:rsidRPr="00A428C3">
        <w:t xml:space="preserve"> ions from aqueous solutions using zeolitic minerals containing 45 wt.% clinoptilolite</w:t>
      </w:r>
      <w:r w:rsidR="00F81221">
        <w:t xml:space="preserve"> and </w:t>
      </w:r>
      <w:r w:rsidRPr="00A428C3">
        <w:t>35 wt.% mordenite. The effects of particle size, zeolite/solution ratio, stirring time,</w:t>
      </w:r>
      <w:r w:rsidR="00F81221">
        <w:t xml:space="preserve"> and </w:t>
      </w:r>
      <w:r w:rsidRPr="00A428C3">
        <w:t>metal ion concentration on Pb</w:t>
      </w:r>
      <w:r w:rsidRPr="00A428C3">
        <w:rPr>
          <w:vertAlign w:val="superscript"/>
        </w:rPr>
        <w:t>2+</w:t>
      </w:r>
      <w:r w:rsidR="00F81221">
        <w:t xml:space="preserve"> and </w:t>
      </w:r>
      <w:r w:rsidRPr="00A428C3">
        <w:t>Zn</w:t>
      </w:r>
      <w:r w:rsidRPr="00A428C3">
        <w:rPr>
          <w:vertAlign w:val="superscript"/>
        </w:rPr>
        <w:t>2+</w:t>
      </w:r>
      <w:r w:rsidRPr="00A428C3">
        <w:t xml:space="preserve"> removal were examined. The study showed that at at low metal concentrations the zeolite samples exhibited optimum efficiency at metal concentration around 22 mg/l for both Pb</w:t>
      </w:r>
      <w:r w:rsidRPr="00A428C3">
        <w:rPr>
          <w:vertAlign w:val="superscript"/>
        </w:rPr>
        <w:t>2+</w:t>
      </w:r>
      <w:r w:rsidR="00F81221">
        <w:t xml:space="preserve"> and </w:t>
      </w:r>
      <w:r w:rsidRPr="00A428C3">
        <w:t>Zn</w:t>
      </w:r>
      <w:r w:rsidRPr="00A428C3">
        <w:rPr>
          <w:vertAlign w:val="superscript"/>
        </w:rPr>
        <w:t>2+</w:t>
      </w:r>
      <w:r w:rsidRPr="00A428C3">
        <w:t>,</w:t>
      </w:r>
      <w:r w:rsidR="00F81221">
        <w:t xml:space="preserve"> and </w:t>
      </w:r>
      <w:r w:rsidRPr="00A428C3">
        <w:t>Pb</w:t>
      </w:r>
      <w:r w:rsidRPr="00A428C3">
        <w:rPr>
          <w:vertAlign w:val="superscript"/>
        </w:rPr>
        <w:t>2+</w:t>
      </w:r>
      <w:r w:rsidRPr="00A428C3">
        <w:t xml:space="preserve"> ions were much more preferred by zeolites. More than 98% of the removal was achieved in the first five minutes for Pb</w:t>
      </w:r>
      <w:r w:rsidRPr="00A428C3">
        <w:rPr>
          <w:vertAlign w:val="superscript"/>
        </w:rPr>
        <w:t>2+</w:t>
      </w:r>
      <w:r w:rsidRPr="00A428C3">
        <w:t>, whereas the Zn</w:t>
      </w:r>
      <w:r w:rsidRPr="00A428C3">
        <w:rPr>
          <w:vertAlign w:val="superscript"/>
        </w:rPr>
        <w:t>2+</w:t>
      </w:r>
      <w:r w:rsidRPr="00A428C3">
        <w:t xml:space="preserve"> removal efficiency was around 90% for the same time. Pb</w:t>
      </w:r>
      <w:r w:rsidRPr="00A428C3">
        <w:rPr>
          <w:vertAlign w:val="superscript"/>
        </w:rPr>
        <w:t>2+</w:t>
      </w:r>
      <w:r w:rsidR="00F81221">
        <w:t xml:space="preserve"> and </w:t>
      </w:r>
      <w:r w:rsidRPr="00A428C3">
        <w:t>Zn</w:t>
      </w:r>
      <w:r w:rsidRPr="00A428C3">
        <w:rPr>
          <w:vertAlign w:val="superscript"/>
        </w:rPr>
        <w:t>2+</w:t>
      </w:r>
      <w:r w:rsidRPr="00A428C3">
        <w:t xml:space="preserve"> adsorption capacities related to Langmuir isotherms were found to be 34.48</w:t>
      </w:r>
      <w:r w:rsidR="00F81221">
        <w:t xml:space="preserve"> and </w:t>
      </w:r>
      <w:r w:rsidRPr="00A428C3">
        <w:t>19.49 mg/g, respectively. In summary, it can be concluded that metal ions such as Pb</w:t>
      </w:r>
      <w:r w:rsidRPr="00A428C3">
        <w:rPr>
          <w:vertAlign w:val="superscript"/>
        </w:rPr>
        <w:t>2+</w:t>
      </w:r>
      <w:r w:rsidR="00F81221">
        <w:t xml:space="preserve"> and </w:t>
      </w:r>
      <w:r w:rsidRPr="00A428C3">
        <w:t>Zn</w:t>
      </w:r>
      <w:r w:rsidRPr="00A428C3">
        <w:rPr>
          <w:vertAlign w:val="superscript"/>
        </w:rPr>
        <w:t>2+</w:t>
      </w:r>
      <w:r w:rsidRPr="00A428C3">
        <w:t xml:space="preserve"> can be removed with approximately 100% efficiency from aqueous solutions</w:t>
      </w:r>
      <w:r w:rsidR="00F81221">
        <w:t xml:space="preserve"> and </w:t>
      </w:r>
      <w:r w:rsidRPr="00A428C3">
        <w:t>wastewater containing similar ions using Amasya zeolites.</w:t>
      </w:r>
    </w:p>
    <w:p w:rsidR="00B95188" w:rsidRPr="00A428C3" w:rsidRDefault="00B95188" w:rsidP="00B95188">
      <w:pPr>
        <w:pStyle w:val="a0"/>
      </w:pPr>
      <w:r w:rsidRPr="00A428C3">
        <w:t>Keywords: Amasya, Clinoptilolite, Mordenite, Pb</w:t>
      </w:r>
      <w:r w:rsidRPr="00A428C3">
        <w:rPr>
          <w:vertAlign w:val="superscript"/>
        </w:rPr>
        <w:t>2+</w:t>
      </w:r>
      <w:r w:rsidRPr="00A428C3">
        <w:t>, Removal, Zeolite, Zn</w:t>
      </w:r>
      <w:r w:rsidRPr="00A428C3">
        <w:rPr>
          <w:vertAlign w:val="superscript"/>
        </w:rPr>
        <w:t>2+</w:t>
      </w:r>
      <w:r w:rsidRPr="00A428C3">
        <w:t>, Clinoptilolite, Pretreatment, Exchange</w:t>
      </w:r>
    </w:p>
    <w:p w:rsidR="00B95188" w:rsidRPr="00A428C3" w:rsidRDefault="00B95188" w:rsidP="00B95188">
      <w:pPr>
        <w:pStyle w:val="a0"/>
      </w:pPr>
      <w:r w:rsidRPr="00A428C3">
        <w:t>Nagarnaik, P.B., Bhole, A.G.</w:t>
      </w:r>
      <w:r w:rsidR="00F81221">
        <w:t xml:space="preserve"> and </w:t>
      </w:r>
      <w:r w:rsidRPr="00A428C3">
        <w:t xml:space="preserve">Natarajan, G.S. (2003), Arsenic(III) removal by adsorption on sawdust carbon.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19</w:t>
      </w:r>
      <w:r w:rsidRPr="00A428C3">
        <w:t xml:space="preserve"> (2), 177-187.</w:t>
      </w:r>
    </w:p>
    <w:p w:rsidR="00B95188" w:rsidRPr="00A428C3" w:rsidRDefault="00B95188" w:rsidP="00B95188">
      <w:pPr>
        <w:pStyle w:val="a0"/>
      </w:pPr>
      <w:r w:rsidRPr="00A428C3">
        <w:lastRenderedPageBreak/>
        <w:t xml:space="preserve">Full Text: </w:t>
      </w:r>
      <w:hyperlink r:id="rId1747" w:history="1">
        <w:r w:rsidRPr="00A428C3">
          <w:rPr>
            <w:rStyle w:val="a5"/>
          </w:rPr>
          <w:t>I\Int J Env Pol19, 177.pdf</w:t>
        </w:r>
      </w:hyperlink>
    </w:p>
    <w:p w:rsidR="00B95188" w:rsidRPr="00A428C3" w:rsidRDefault="00B95188" w:rsidP="00B95188">
      <w:pPr>
        <w:pStyle w:val="a0"/>
      </w:pPr>
      <w:r w:rsidRPr="00A428C3">
        <w:t>Abstract: Studies on the removal of As(III) by adsorption on sawdust</w:t>
      </w:r>
      <w:r w:rsidR="00F81221">
        <w:t xml:space="preserve"> and </w:t>
      </w:r>
      <w:r w:rsidRPr="00A428C3">
        <w:t>sawdust carbon have been carried out at room temperature (25</w:t>
      </w:r>
      <w:r w:rsidRPr="00A428C3">
        <w:sym w:font="Symbol" w:char="F0B1"/>
      </w:r>
      <w:r w:rsidRPr="00A428C3">
        <w:t>1 degreesC). The adsorption isotherm of As(III) on sawdust carbon was obtained in a batch reactor. The process of uptake follows the first-order adsorption rate expression</w:t>
      </w:r>
      <w:r w:rsidR="00F81221">
        <w:t xml:space="preserve"> and </w:t>
      </w:r>
      <w:r w:rsidRPr="00A428C3">
        <w:t>obeys the Langmuir</w:t>
      </w:r>
      <w:r w:rsidR="00F81221">
        <w:t xml:space="preserve"> and </w:t>
      </w:r>
      <w:r w:rsidRPr="00A428C3">
        <w:t>Freundlich model of adsorption. The mass transfer coefficients as a function of initial sorbate concentration have been determined. Parameters such as pH</w:t>
      </w:r>
      <w:r w:rsidR="00F81221">
        <w:t xml:space="preserve"> and </w:t>
      </w:r>
      <w:r w:rsidRPr="00A428C3">
        <w:t>absorbent dose were studied. Maximum adsorption capacity was observed at pH 7.0</w:t>
      </w:r>
    </w:p>
    <w:p w:rsidR="00B95188" w:rsidRPr="00A428C3" w:rsidRDefault="00B95188" w:rsidP="00B95188">
      <w:pPr>
        <w:pStyle w:val="a0"/>
      </w:pPr>
      <w:r w:rsidRPr="00A428C3">
        <w:t>Keywords: Adsorption, Aqueous-Solution, As(III) Removal, Calamity, Districts, Groundwater, Health, India, Ions, Mass Transfer Coefficient, Sawdust, Sawdust Carbon, Water, West-Bengal, World</w:t>
      </w:r>
    </w:p>
    <w:p w:rsidR="00B95188" w:rsidRPr="00A428C3" w:rsidRDefault="00B95188" w:rsidP="00B95188">
      <w:pPr>
        <w:pStyle w:val="a0"/>
      </w:pPr>
      <w:r w:rsidRPr="00A428C3">
        <w:t>Das Purakayastha, P., Pal, A.</w:t>
      </w:r>
      <w:r w:rsidR="00F81221">
        <w:t xml:space="preserve"> and </w:t>
      </w:r>
      <w:r w:rsidRPr="00A428C3">
        <w:t xml:space="preserve">Bandyopadhyay, M. (2003), Sorption of anionic surfactants on a fixed bed of rubber granules.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19</w:t>
      </w:r>
      <w:r w:rsidRPr="00A428C3">
        <w:t xml:space="preserve"> (5), 421-429.</w:t>
      </w:r>
    </w:p>
    <w:p w:rsidR="00B95188" w:rsidRPr="00A428C3" w:rsidRDefault="00B95188" w:rsidP="00B95188">
      <w:pPr>
        <w:pStyle w:val="a0"/>
      </w:pPr>
      <w:r w:rsidRPr="00A428C3">
        <w:t xml:space="preserve">Full Text: </w:t>
      </w:r>
      <w:hyperlink r:id="rId1748" w:history="1">
        <w:r w:rsidRPr="00A428C3">
          <w:rPr>
            <w:rStyle w:val="a5"/>
          </w:rPr>
          <w:t>I\Int J Env Pol19, 421.pdf</w:t>
        </w:r>
      </w:hyperlink>
    </w:p>
    <w:p w:rsidR="00B95188" w:rsidRPr="00A428C3" w:rsidRDefault="00B95188" w:rsidP="00B95188">
      <w:pPr>
        <w:pStyle w:val="a0"/>
      </w:pPr>
      <w:r w:rsidRPr="00A428C3">
        <w:t>Abstract: The performance of a fixed-bed adsorber (FBR) column for the removal of anionic surfactants from aquatic environments has been studied. Waste tyre rubber granules were used as the adsorbent material,</w:t>
      </w:r>
      <w:r w:rsidR="00F81221">
        <w:t xml:space="preserve"> and </w:t>
      </w:r>
      <w:r w:rsidRPr="00A428C3">
        <w:t>sodium dodecyl sulfate, an anionic surfactant, as the adsorbate. The FBR column design parameters were evaluated using the column breakthrough data at different bed depths. The Bohert</w:t>
      </w:r>
      <w:r w:rsidR="00F81221">
        <w:t xml:space="preserve"> and </w:t>
      </w:r>
      <w:r w:rsidRPr="00A428C3">
        <w:t>Adams model was used with the bed depth-service time approach for the design of the column. The bed efficiency obtained was 90-97%.</w:t>
      </w:r>
    </w:p>
    <w:p w:rsidR="00B95188" w:rsidRPr="00A428C3" w:rsidRDefault="00B95188" w:rsidP="00B95188">
      <w:pPr>
        <w:pStyle w:val="a0"/>
      </w:pPr>
      <w:r w:rsidRPr="00A428C3">
        <w:t>Keywords: Adsorption, Anionic Surfactant, Column Study, Rubber Granules, Predictive Model, Design, Adsorption, Adsorbers, Systems</w:t>
      </w:r>
    </w:p>
    <w:p w:rsidR="00B95188" w:rsidRPr="00A428C3" w:rsidRDefault="00B95188" w:rsidP="00B95188">
      <w:pPr>
        <w:pStyle w:val="a0"/>
      </w:pPr>
      <w:r w:rsidRPr="00A428C3">
        <w:t>Oğuz, E.</w:t>
      </w:r>
      <w:r w:rsidR="00F81221">
        <w:t xml:space="preserve"> and </w:t>
      </w:r>
      <w:r w:rsidRPr="00A428C3">
        <w:t xml:space="preserve">Aydin, A.C. (2003), Prediction of adsorption rate of phosphate removal from wastewater with gas concrete.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19</w:t>
      </w:r>
      <w:r w:rsidRPr="00A428C3">
        <w:t xml:space="preserve"> (6), 603-614.</w:t>
      </w:r>
    </w:p>
    <w:p w:rsidR="00B95188" w:rsidRPr="00A428C3" w:rsidRDefault="00B95188" w:rsidP="00B95188">
      <w:pPr>
        <w:pStyle w:val="a0"/>
      </w:pPr>
      <w:r w:rsidRPr="00A428C3">
        <w:t xml:space="preserve">Full Text: </w:t>
      </w:r>
      <w:hyperlink r:id="rId1749" w:history="1">
        <w:r w:rsidRPr="00A428C3">
          <w:rPr>
            <w:rStyle w:val="a5"/>
          </w:rPr>
          <w:t>I\Int J Env Pol19, 603.pdf</w:t>
        </w:r>
      </w:hyperlink>
    </w:p>
    <w:p w:rsidR="00B95188" w:rsidRPr="00A428C3" w:rsidRDefault="00B95188" w:rsidP="00B95188">
      <w:pPr>
        <w:pStyle w:val="a0"/>
      </w:pPr>
      <w:r w:rsidRPr="00A428C3">
        <w:t>Abstract: Gas concrete, a conventional structural material, is used to remove phosphate from wastewater. A batch study of phosphate removal from wastewater with waste particles of gas concrete has been performed. The concentration-time graphs were plotted against pH, temperature,</w:t>
      </w:r>
      <w:r w:rsidR="00F81221">
        <w:t xml:space="preserve"> and </w:t>
      </w:r>
      <w:r w:rsidRPr="00A428C3">
        <w:t>agitation speed,</w:t>
      </w:r>
      <w:r w:rsidR="00F81221">
        <w:t xml:space="preserve"> and </w:t>
      </w:r>
      <w:r w:rsidRPr="00A428C3">
        <w:t>the reaction rate equation was adapted to adsorption. The differential method was used to define reaction rate. The adsorption rates, reaction rate constants,</w:t>
      </w:r>
      <w:r w:rsidR="00F81221">
        <w:t xml:space="preserve"> and </w:t>
      </w:r>
      <w:r w:rsidRPr="00A428C3">
        <w:t>reaction rates were determined by tangent lines of drawn curves at different concentrations, depending on pH, temperature,</w:t>
      </w:r>
      <w:r w:rsidR="00F81221">
        <w:t xml:space="preserve"> and </w:t>
      </w:r>
      <w:r w:rsidRPr="00A428C3">
        <w:t>agitation speed. The adsorption rate increased with pH</w:t>
      </w:r>
      <w:r w:rsidR="00F81221">
        <w:t xml:space="preserve"> and </w:t>
      </w:r>
      <w:r w:rsidRPr="00A428C3">
        <w:t>temperature. The maximum effect of agitation speed on the adsorption rate was observed at 150 rpm. The activation energy of reaction</w:t>
      </w:r>
      <w:r w:rsidR="00F81221">
        <w:t xml:space="preserve"> and </w:t>
      </w:r>
      <w:r w:rsidRPr="00A428C3">
        <w:t xml:space="preserve">the pre-exponential factor were calculated using the Arrhenius equilibrium equation. The zeta potentials of </w:t>
      </w:r>
      <w:r w:rsidRPr="00A428C3">
        <w:lastRenderedPageBreak/>
        <w:t xml:space="preserve">waste gas concrete were determined at various pH values. The surface area of gas concrete was obtained using BET apparatus as </w:t>
      </w:r>
      <w:smartTag w:uri="urn:schemas-microsoft-com:office:smarttags" w:element="chmetcnv">
        <w:smartTagPr>
          <w:attr w:name="TCSC" w:val="0"/>
          <w:attr w:name="NumberType" w:val="1"/>
          <w:attr w:name="Negative" w:val="False"/>
          <w:attr w:name="HasSpace" w:val="True"/>
          <w:attr w:name="SourceValue" w:val="22"/>
          <w:attr w:name="UnitName" w:val="m2"/>
        </w:smartTagPr>
        <w:r w:rsidRPr="00A428C3">
          <w:t>22 m</w:t>
        </w:r>
        <w:r w:rsidRPr="00A428C3">
          <w:rPr>
            <w:vertAlign w:val="superscript"/>
          </w:rPr>
          <w:t>2</w:t>
        </w:r>
      </w:smartTag>
      <w:r w:rsidRPr="00A428C3">
        <w:t>/g. The composition of gas concrete was determined by X-ray diffractometry. The results indicate that gas concrete is an effective adsorbent to remove phosphate from wastewater.</w:t>
      </w:r>
    </w:p>
    <w:p w:rsidR="00B95188" w:rsidRPr="00A428C3" w:rsidRDefault="00B95188" w:rsidP="00B95188">
      <w:pPr>
        <w:pStyle w:val="a0"/>
      </w:pPr>
      <w:r w:rsidRPr="00A428C3">
        <w:t>Keywords: Adsorption Rate, Agitation Speed, Gas Concrete, Phosphate Removal, Wastewater, Variables, TNSAC</w:t>
      </w:r>
    </w:p>
    <w:p w:rsidR="00B95188" w:rsidRPr="00A428C3" w:rsidRDefault="00B95188" w:rsidP="00B95188">
      <w:pPr>
        <w:pStyle w:val="a0"/>
      </w:pPr>
      <w:r w:rsidRPr="00A428C3">
        <w:t>Aydin, A.H., Bulut, Y.</w:t>
      </w:r>
      <w:r w:rsidR="00F81221">
        <w:t xml:space="preserve"> and </w:t>
      </w:r>
      <w:r w:rsidRPr="00A428C3">
        <w:t xml:space="preserve">Yavuz, Ö. (2004), Acid dyes removal using low cost adsorbents.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21</w:t>
      </w:r>
      <w:r w:rsidRPr="00A428C3">
        <w:t xml:space="preserve"> (1), 97-104.</w:t>
      </w:r>
    </w:p>
    <w:p w:rsidR="00B95188" w:rsidRPr="00A428C3" w:rsidRDefault="00B95188" w:rsidP="00B95188">
      <w:pPr>
        <w:pStyle w:val="a0"/>
      </w:pPr>
      <w:r w:rsidRPr="00A428C3">
        <w:t xml:space="preserve">Full Text: </w:t>
      </w:r>
      <w:hyperlink r:id="rId1750" w:history="1">
        <w:r w:rsidRPr="00A428C3">
          <w:rPr>
            <w:rStyle w:val="a5"/>
          </w:rPr>
          <w:t>I\Int J Env Pol21, 97.pdf</w:t>
        </w:r>
      </w:hyperlink>
    </w:p>
    <w:p w:rsidR="00B95188" w:rsidRPr="00A428C3" w:rsidRDefault="00B95188" w:rsidP="00B95188">
      <w:pPr>
        <w:pStyle w:val="a0"/>
      </w:pPr>
      <w:r w:rsidRPr="00A428C3">
        <w:t>Abstract: Dyestuff production units</w:t>
      </w:r>
      <w:r w:rsidR="00F81221">
        <w:t xml:space="preserve"> and </w:t>
      </w:r>
      <w:r w:rsidRPr="00A428C3">
        <w:t>dyeing units have always had pressing need techniques that allow economical pre-treatment for colour in the effluent. The effectiveness of adsorption for dye removal from wastewaters has made it an ideal alternative to other expensive treatment options. Removal of acid green 25</w:t>
      </w:r>
      <w:r w:rsidR="00F81221">
        <w:t xml:space="preserve"> and </w:t>
      </w:r>
      <w:r w:rsidRPr="00A428C3">
        <w:t>acid red 183 from aqueous solution by different adsorbent such as shells of almond</w:t>
      </w:r>
      <w:r w:rsidR="00F81221">
        <w:t xml:space="preserve"> and </w:t>
      </w:r>
      <w:r w:rsidRPr="00A428C3">
        <w:t>hazelnut,</w:t>
      </w:r>
      <w:r w:rsidR="00F81221">
        <w:t xml:space="preserve"> and </w:t>
      </w:r>
      <w:r w:rsidRPr="00A428C3">
        <w:t>poplar</w:t>
      </w:r>
      <w:r w:rsidR="00F81221">
        <w:t xml:space="preserve"> and </w:t>
      </w:r>
      <w:r w:rsidRPr="00A428C3">
        <w:t>walnut sawdust were investigated. Equilibrium isotherms have been determined</w:t>
      </w:r>
      <w:r w:rsidR="00F81221">
        <w:t xml:space="preserve"> and </w:t>
      </w:r>
      <w:r w:rsidRPr="00A428C3">
        <w:t>analysed using the Freundlich equations. Parameters of Freundlich isotherm have been determined using adsorption data. Capacities of adsorbent follow as walnut &gt; poplar &gt; almond &gt; hazelnut for AG25</w:t>
      </w:r>
      <w:r w:rsidR="00F81221">
        <w:t xml:space="preserve"> and </w:t>
      </w:r>
      <w:r w:rsidRPr="00A428C3">
        <w:t>almond &gt; walnut &gt; poplar &gt; hazelnut for AR183, respectively.</w:t>
      </w:r>
    </w:p>
    <w:p w:rsidR="00B95188" w:rsidRPr="00A428C3" w:rsidRDefault="00B95188" w:rsidP="00B95188">
      <w:pPr>
        <w:pStyle w:val="a0"/>
      </w:pPr>
      <w:r w:rsidRPr="00A428C3">
        <w:t>Keywords: Adsorption, Shell of Hazelnut, Shell of Almond, Sawdust of Poplar, Removal, Dye Wastewater, Adsorption</w:t>
      </w:r>
    </w:p>
    <w:p w:rsidR="00B95188" w:rsidRPr="00A428C3" w:rsidRDefault="00B95188" w:rsidP="00B95188">
      <w:pPr>
        <w:pStyle w:val="a0"/>
      </w:pPr>
      <w:r w:rsidRPr="00A428C3">
        <w:t>Mazumder, D.</w:t>
      </w:r>
      <w:r w:rsidR="00F81221">
        <w:t xml:space="preserve"> and </w:t>
      </w:r>
      <w:r w:rsidRPr="00A428C3">
        <w:t>Dikshit, A.K. (2004), Hybrid reactor system for wastewater treatment: Application</w:t>
      </w:r>
      <w:r w:rsidR="00F81221">
        <w:t xml:space="preserve"> and </w:t>
      </w:r>
      <w:r w:rsidRPr="00A428C3">
        <w:t xml:space="preserve">approach of modelling.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21</w:t>
      </w:r>
      <w:r w:rsidRPr="00A428C3">
        <w:t xml:space="preserve"> (2), 105-131.</w:t>
      </w:r>
    </w:p>
    <w:p w:rsidR="00B95188" w:rsidRPr="00A428C3" w:rsidRDefault="00B95188" w:rsidP="00B95188">
      <w:pPr>
        <w:pStyle w:val="a0"/>
      </w:pPr>
      <w:r w:rsidRPr="00A428C3">
        <w:t xml:space="preserve">Full Text: </w:t>
      </w:r>
      <w:hyperlink r:id="rId1751" w:history="1">
        <w:r w:rsidRPr="00A428C3">
          <w:rPr>
            <w:rStyle w:val="a5"/>
          </w:rPr>
          <w:t>I\Int J Env Pol21, 105.pdf</w:t>
        </w:r>
      </w:hyperlink>
    </w:p>
    <w:p w:rsidR="00B95188" w:rsidRPr="00A428C3" w:rsidRDefault="00B95188" w:rsidP="00B95188">
      <w:pPr>
        <w:pStyle w:val="a0"/>
      </w:pPr>
      <w:r w:rsidRPr="00A428C3">
        <w:t>Abstract: Wastewater treatment by the hybrid reactor system has become wide-spread as it provides advantages of both the suspended</w:t>
      </w:r>
      <w:r w:rsidR="00F81221">
        <w:t xml:space="preserve"> and </w:t>
      </w:r>
      <w:r w:rsidRPr="00A428C3">
        <w:t>attached growth phase at the same time. It may be used to treat some rate-limiting Substrate, priority pollutants, volatile organic compounds etc. as well as for nitrification. This versatile nature of hybrid reactor demands for a detailed investigation on the mechanism, mode of operation, different applications</w:t>
      </w:r>
      <w:r w:rsidR="00F81221">
        <w:t xml:space="preserve"> and </w:t>
      </w:r>
      <w:r w:rsidRPr="00A428C3">
        <w:t>major coil figurations available. The present article is devoted to explore these issues with respect to previous background</w:t>
      </w:r>
      <w:r w:rsidR="00F81221">
        <w:t xml:space="preserve"> and </w:t>
      </w:r>
      <w:r w:rsidRPr="00A428C3">
        <w:t>Successive development in this area. Apart from the laboratory</w:t>
      </w:r>
      <w:r w:rsidR="00F81221">
        <w:t xml:space="preserve"> and </w:t>
      </w:r>
      <w:r w:rsidRPr="00A428C3">
        <w:t>pilot-scale study, some industrial applications have been overviewed to understand the performance of hybrid reactor in the concerned field. The approach of modelling for the hybrid reactor system is also demonstrated with the hypothetical data set. A comprehensive details about major hybrid processes is presented along with their schematic diagrams. The review on hybrid process revealed that it Would be economic for upgradation of existing activated sludge system, ensuring carbonaceous oxidation</w:t>
      </w:r>
      <w:r w:rsidR="00F81221">
        <w:t xml:space="preserve"> </w:t>
      </w:r>
      <w:r w:rsidR="00F81221">
        <w:lastRenderedPageBreak/>
        <w:t xml:space="preserve">and </w:t>
      </w:r>
      <w:r w:rsidRPr="00A428C3">
        <w:t>nitrification in a single reactor</w:t>
      </w:r>
      <w:r w:rsidR="00F81221">
        <w:t xml:space="preserve"> and </w:t>
      </w:r>
      <w:r w:rsidRPr="00A428C3">
        <w:t>treatment of slowly bio-degradable substances also.</w:t>
      </w:r>
    </w:p>
    <w:p w:rsidR="00B95188" w:rsidRPr="00A428C3" w:rsidRDefault="00B95188" w:rsidP="00B95188">
      <w:pPr>
        <w:pStyle w:val="a0"/>
      </w:pPr>
      <w:r w:rsidRPr="00A428C3">
        <w:t>Keywords: Wastewater Treatment, Hybrid Reactor, Laboratory Scale Application, Industrial Application, Reactor Modelling, Designated Hybrid Processes, Activated-Sludge, Nutrient Removal, Biofilm Process, Thickness, Carbon</w:t>
      </w:r>
    </w:p>
    <w:p w:rsidR="00B95188" w:rsidRPr="00A428C3" w:rsidRDefault="00B95188" w:rsidP="00B95188">
      <w:pPr>
        <w:pStyle w:val="a0"/>
      </w:pPr>
      <w:r w:rsidRPr="00A428C3">
        <w:t>Mohan, S.V., Bhaskar, Y.V.</w:t>
      </w:r>
      <w:r w:rsidR="00F81221">
        <w:t xml:space="preserve"> and </w:t>
      </w:r>
      <w:r w:rsidRPr="00A428C3">
        <w:t xml:space="preserve">Karthikeyan, J. (2004), Biological decolourisation of simulated azo dye in aqueous phase by algae </w:t>
      </w:r>
      <w:r w:rsidRPr="00A428C3">
        <w:rPr>
          <w:i/>
          <w:iCs/>
        </w:rPr>
        <w:t>Spirogyra</w:t>
      </w:r>
      <w:r w:rsidRPr="00A428C3">
        <w:t xml:space="preserve"> species.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21</w:t>
      </w:r>
      <w:r w:rsidRPr="00A428C3">
        <w:t xml:space="preserve"> (3), 211-222.</w:t>
      </w:r>
    </w:p>
    <w:p w:rsidR="00B95188" w:rsidRPr="00A428C3" w:rsidRDefault="00B95188" w:rsidP="00B95188">
      <w:pPr>
        <w:pStyle w:val="a0"/>
      </w:pPr>
      <w:r w:rsidRPr="00A428C3">
        <w:t xml:space="preserve">Full Text: </w:t>
      </w:r>
      <w:hyperlink r:id="rId1752" w:history="1">
        <w:r w:rsidRPr="00A428C3">
          <w:rPr>
            <w:rStyle w:val="a5"/>
          </w:rPr>
          <w:t>I\Int J Env Pol21, 211.pdf</w:t>
        </w:r>
      </w:hyperlink>
    </w:p>
    <w:p w:rsidR="00B95188" w:rsidRPr="00A428C3" w:rsidRDefault="00B95188" w:rsidP="00B95188">
      <w:pPr>
        <w:pStyle w:val="a0"/>
      </w:pPr>
      <w:r w:rsidRPr="00A428C3">
        <w:t>Abstract: Biological decolourisation of two azo dye effluents (direct</w:t>
      </w:r>
      <w:r w:rsidR="00F81221">
        <w:t xml:space="preserve"> and </w:t>
      </w:r>
      <w:r w:rsidRPr="00A428C3">
        <w:t>reactive dye) were investigated using a commonly available green algae Spirogyra sp. in viable form. Batch studies revealed the potential of algal species in removing the dye colour</w:t>
      </w:r>
      <w:r w:rsidR="00F81221">
        <w:t xml:space="preserve"> and </w:t>
      </w:r>
      <w:r w:rsidRPr="00A428C3">
        <w:t>dye removal was dependant oil initial algal inoculum, concentration</w:t>
      </w:r>
      <w:r w:rsidR="00F81221">
        <w:t xml:space="preserve"> and </w:t>
      </w:r>
      <w:r w:rsidRPr="00A428C3">
        <w:t>application class of the dye. Maximum dye uptake was noticed on the third day for both the dyes. Higher dye uptake was observed in the case of direct red 28 compared to reactive red 2. Dye colour removal by the algal species may be attributed to biosorption of the dye molecules onto the surface of algal cell</w:t>
      </w:r>
      <w:r w:rsidR="00F81221">
        <w:t xml:space="preserve"> and </w:t>
      </w:r>
      <w:r w:rsidRPr="00A428C3">
        <w:t>subsequent diffusion</w:t>
      </w:r>
      <w:r w:rsidR="00F81221">
        <w:t xml:space="preserve"> and </w:t>
      </w:r>
      <w:r w:rsidRPr="00A428C3">
        <w:t>participation in metabolism (bioconversion). The remaining dye molecules could be further removed from the aqueous phase by adsorption and/or chelation reaction of the exopolymers released by the algae (biocoagulation). The results of the present study reveal the potential nature of algae in treating azo dyes which in turn can be extended to oxidation pond system of wastewater treatment.</w:t>
      </w:r>
    </w:p>
    <w:p w:rsidR="00B95188" w:rsidRPr="00A428C3" w:rsidRDefault="00B95188" w:rsidP="00B95188">
      <w:pPr>
        <w:pStyle w:val="a0"/>
      </w:pPr>
      <w:r w:rsidRPr="00A428C3">
        <w:t>Keywords: Azo Dye, Biocoagulation, Biosorption, Biosorption, Color Removal, Degradation, Direct Dye, Effluents, Microalgae, Reactive Dye, Spirogyra Species, Wastewaters</w:t>
      </w:r>
    </w:p>
    <w:p w:rsidR="00B95188" w:rsidRPr="00A428C3" w:rsidRDefault="00B95188" w:rsidP="00B95188">
      <w:pPr>
        <w:pStyle w:val="a0"/>
      </w:pPr>
      <w:r w:rsidRPr="00A428C3">
        <w:t>?</w:t>
      </w:r>
      <w:r w:rsidRPr="00A428C3">
        <w:rPr>
          <w:sz w:val="20"/>
        </w:rPr>
        <w:t xml:space="preserve"> </w:t>
      </w:r>
      <w:r w:rsidRPr="00A428C3">
        <w:t xml:space="preserve">Faghihian, H. (2004), Removal of cyanide from liquid wastes by modified clinoptilolite.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22</w:t>
      </w:r>
      <w:r w:rsidRPr="00A428C3">
        <w:t xml:space="preserve"> (6), 732-739.</w:t>
      </w:r>
    </w:p>
    <w:p w:rsidR="00B95188" w:rsidRPr="00A428C3" w:rsidRDefault="00B95188" w:rsidP="00B95188">
      <w:pPr>
        <w:pStyle w:val="a0"/>
      </w:pPr>
      <w:r w:rsidRPr="00A428C3">
        <w:t xml:space="preserve">Full Text: </w:t>
      </w:r>
      <w:hyperlink r:id="rId1753" w:history="1">
        <w:r w:rsidRPr="00A428C3">
          <w:rPr>
            <w:rStyle w:val="a5"/>
          </w:rPr>
          <w:t>I\Int J Env Pol22, 732.pdf</w:t>
        </w:r>
      </w:hyperlink>
    </w:p>
    <w:p w:rsidR="00B95188" w:rsidRPr="00A428C3" w:rsidRDefault="00B95188" w:rsidP="00B95188">
      <w:pPr>
        <w:pStyle w:val="a0"/>
      </w:pPr>
      <w:r w:rsidRPr="00A428C3">
        <w:t>Abstract: This paper describes the preparation</w:t>
      </w:r>
      <w:r w:rsidR="00F81221">
        <w:t xml:space="preserve"> and </w:t>
      </w:r>
      <w:r w:rsidRPr="00A428C3">
        <w:t>evaluation of various cationic forms of clinoptilolite for removal of cyanide from aqueous solutions. The cobalt form of the zeolite showed the highest uptake of 1.95 meq of cyanide per gram of zeolite, whereas the uptake of natural forms is 0.070 meq g</w:t>
      </w:r>
      <w:r w:rsidRPr="00A428C3">
        <w:rPr>
          <w:szCs w:val="15"/>
          <w:vertAlign w:val="superscript"/>
        </w:rPr>
        <w:t>-1</w:t>
      </w:r>
      <w:r w:rsidRPr="00A428C3">
        <w:t>. The kinetics of cyanide desorption into solutions with different ionic strength were studied. Modified clinoptilolite is a good candidate for the removal</w:t>
      </w:r>
      <w:r w:rsidR="00F81221">
        <w:t xml:space="preserve"> and </w:t>
      </w:r>
      <w:r w:rsidRPr="00A428C3">
        <w:t>immobilisation of cyanide.</w:t>
      </w:r>
    </w:p>
    <w:p w:rsidR="00B95188" w:rsidRPr="00A428C3" w:rsidRDefault="00B95188" w:rsidP="00B95188">
      <w:pPr>
        <w:pStyle w:val="a0"/>
        <w:rPr>
          <w:lang w:val="fr-FR"/>
        </w:rPr>
      </w:pPr>
      <w:r w:rsidRPr="00A428C3">
        <w:rPr>
          <w:lang w:val="fr-FR"/>
        </w:rPr>
        <w:t>Keywords: Modified Clinoptilolite, Cyanide Removal, Liquid Wastes, Aqueous Solutions, Kinetics, Cyanide Desorption, Cyanide Immobilisation, Environmental Protection, Environmental Pollution</w:t>
      </w:r>
    </w:p>
    <w:p w:rsidR="00B95188" w:rsidRPr="00A428C3" w:rsidRDefault="00B95188" w:rsidP="00B95188">
      <w:pPr>
        <w:pStyle w:val="a0"/>
      </w:pPr>
      <w:r w:rsidRPr="00A428C3">
        <w:t>?</w:t>
      </w:r>
      <w:r w:rsidRPr="00A428C3">
        <w:rPr>
          <w:sz w:val="20"/>
        </w:rPr>
        <w:t xml:space="preserve"> </w:t>
      </w:r>
      <w:smartTag w:uri="urn:schemas-microsoft-com:office:smarttags" w:element="place">
        <w:r w:rsidRPr="00A428C3">
          <w:t>Ume</w:t>
        </w:r>
      </w:smartTag>
      <w:r w:rsidRPr="00A428C3">
        <w:t>, J.I.</w:t>
      </w:r>
      <w:r w:rsidR="00F81221">
        <w:t xml:space="preserve"> and </w:t>
      </w:r>
      <w:r w:rsidRPr="00A428C3">
        <w:t xml:space="preserve">Mbah, G.O. (2005), Analysis of adsorption equilibrium for aqueous solution of weak organic electrolyte-activated carbon system. </w:t>
      </w:r>
      <w:r w:rsidRPr="00A428C3">
        <w:rPr>
          <w:i/>
          <w:iCs/>
        </w:rPr>
        <w:t xml:space="preserve">International Journal </w:t>
      </w:r>
      <w:r w:rsidRPr="00A428C3">
        <w:rPr>
          <w:i/>
          <w:iCs/>
        </w:rPr>
        <w:lastRenderedPageBreak/>
        <w:t>of Environment</w:t>
      </w:r>
      <w:r w:rsidR="00F81221">
        <w:rPr>
          <w:i/>
          <w:iCs/>
        </w:rPr>
        <w:t xml:space="preserve"> and </w:t>
      </w:r>
      <w:r w:rsidRPr="00A428C3">
        <w:rPr>
          <w:i/>
          <w:iCs/>
        </w:rPr>
        <w:t>Pollution</w:t>
      </w:r>
      <w:r w:rsidRPr="00A428C3">
        <w:t xml:space="preserve">, </w:t>
      </w:r>
      <w:r w:rsidRPr="00A428C3">
        <w:rPr>
          <w:b/>
        </w:rPr>
        <w:t>23</w:t>
      </w:r>
      <w:r w:rsidRPr="00A428C3">
        <w:t xml:space="preserve"> (1), 112-491.</w:t>
      </w:r>
    </w:p>
    <w:p w:rsidR="00B95188" w:rsidRPr="00A428C3" w:rsidRDefault="00B95188" w:rsidP="00B95188">
      <w:pPr>
        <w:pStyle w:val="a0"/>
      </w:pPr>
      <w:r w:rsidRPr="00A428C3">
        <w:t xml:space="preserve">Full Text: </w:t>
      </w:r>
      <w:hyperlink r:id="rId1754" w:history="1">
        <w:r w:rsidRPr="00A428C3">
          <w:rPr>
            <w:rStyle w:val="a5"/>
          </w:rPr>
          <w:t>2005\Int J Env Pol23, 112.pdf</w:t>
        </w:r>
      </w:hyperlink>
    </w:p>
    <w:p w:rsidR="00B95188" w:rsidRPr="00A428C3" w:rsidRDefault="00B95188" w:rsidP="00B95188">
      <w:pPr>
        <w:pStyle w:val="a0"/>
      </w:pPr>
      <w:r w:rsidRPr="00A428C3">
        <w:t>Abstract: Several models for the adsorption of weak organic electrolytes on activated carbons from dilute aqueous solutions have been reported recently. It is apparent, however, that the electrokinetics of carbon surface has not been sufficiently addressed by these studies. The present treatment therefore employed the fundamental concepts provided by these studies, in conjunction with electrokinetic measurements</w:t>
      </w:r>
      <w:r w:rsidR="00F81221">
        <w:t xml:space="preserve"> and </w:t>
      </w:r>
      <w:r w:rsidRPr="00A428C3">
        <w:t>mass titration, to predict experimentally observed adsorption data. Important</w:t>
      </w:r>
      <w:r w:rsidR="00F81221">
        <w:t xml:space="preserve"> and </w:t>
      </w:r>
      <w:r w:rsidRPr="00A428C3">
        <w:t>convenient parameters for characterisation of activated carbon surfaces were thus evaluated. The interplay between reduced potential, pH</w:t>
      </w:r>
      <w:r w:rsidR="00F81221">
        <w:t xml:space="preserve"> and </w:t>
      </w:r>
      <w:r w:rsidRPr="00A428C3">
        <w:t>adsorption capacity were examined for adsorption of weak acidic electrolytes on untreated, oxidised</w:t>
      </w:r>
      <w:r w:rsidR="00F81221">
        <w:t xml:space="preserve"> and </w:t>
      </w:r>
      <w:r w:rsidRPr="00A428C3">
        <w:t>nitrided activated carbons. The best-fit parameters for aqueous adsorption on the carbon samples were also acquired.</w:t>
      </w:r>
    </w:p>
    <w:p w:rsidR="00B95188" w:rsidRPr="00A428C3" w:rsidRDefault="00B95188" w:rsidP="00B95188">
      <w:pPr>
        <w:pStyle w:val="a0"/>
      </w:pPr>
      <w:r w:rsidRPr="00A428C3">
        <w:t>?</w:t>
      </w:r>
      <w:r w:rsidRPr="00A428C3">
        <w:rPr>
          <w:sz w:val="20"/>
        </w:rPr>
        <w:t xml:space="preserve"> </w:t>
      </w:r>
      <w:r w:rsidRPr="00A428C3">
        <w:t>Xie, W.M., Wang, Q.H., Ma, H.Z.</w:t>
      </w:r>
      <w:r w:rsidR="00F81221">
        <w:t xml:space="preserve"> and </w:t>
      </w:r>
      <w:r w:rsidRPr="00A428C3">
        <w:t xml:space="preserve">Ogawa, H.I. (2005), Phosphate removal from wastewater using aluminium oxide as adsorbent.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23</w:t>
      </w:r>
      <w:r w:rsidRPr="00A428C3">
        <w:t xml:space="preserve"> (4), 486-491.</w:t>
      </w:r>
    </w:p>
    <w:p w:rsidR="00B95188" w:rsidRPr="00A428C3" w:rsidRDefault="00B95188" w:rsidP="00B95188">
      <w:pPr>
        <w:pStyle w:val="a0"/>
      </w:pPr>
      <w:r w:rsidRPr="00A428C3">
        <w:t>Full Text: Int J Env Pol23, 486</w:t>
      </w:r>
    </w:p>
    <w:p w:rsidR="00B95188" w:rsidRPr="00A428C3" w:rsidRDefault="00B95188" w:rsidP="00B95188">
      <w:pPr>
        <w:pStyle w:val="a0"/>
      </w:pPr>
      <w:r w:rsidRPr="00A13428">
        <w:t>Abstract:</w:t>
      </w:r>
      <w:r w:rsidRPr="00A428C3">
        <w:t xml:space="preserve"> The development</w:t>
      </w:r>
      <w:r w:rsidR="00F81221">
        <w:t xml:space="preserve"> and </w:t>
      </w:r>
      <w:r w:rsidRPr="00A428C3">
        <w:t>manufacture of an adsorbent to remove phosphate for the prevention of eutrophication in lakes is very important. The use of aluminium oxide (alumina) as an organic adsorbent to remove phosphate from wastewater has been investigated. The characteristics of this absorption process were investigated to determine the important parameters, such as the pH</w:t>
      </w:r>
      <w:r w:rsidR="00F81221">
        <w:t xml:space="preserve"> and </w:t>
      </w:r>
      <w:r w:rsidRPr="00A428C3">
        <w:t>the aluminium ion concentration. Moreover, chemical treatment methods to enhance the adsorption capacity of alumina were tested. Dynamic studies</w:t>
      </w:r>
      <w:r w:rsidR="00F81221">
        <w:t xml:space="preserve"> and </w:t>
      </w:r>
      <w:r w:rsidRPr="00A428C3">
        <w:t>equilibrium adsorption isotherm studies were conducted to determine the adsorption capacity</w:t>
      </w:r>
      <w:r w:rsidR="00F81221">
        <w:t xml:space="preserve"> and </w:t>
      </w:r>
      <w:r w:rsidRPr="00A428C3">
        <w:t>efficiency. The experimental results indicate that it is necessary to increase the temperature above 500 degrees C in order to obtain a high-capacity adsorbent,</w:t>
      </w:r>
      <w:r w:rsidR="00F81221">
        <w:t xml:space="preserve"> and </w:t>
      </w:r>
      <w:r w:rsidRPr="00A428C3">
        <w:t>alumina treated with acid or calcium or magnesium has a larger adsorption capacity for phosphate than untreated adsorbent. Moreover, the adsorption of phosphate was enhanced at a lower pH</w:t>
      </w:r>
      <w:r w:rsidR="00F81221">
        <w:t xml:space="preserve"> and </w:t>
      </w:r>
      <w:r w:rsidRPr="00A428C3">
        <w:t>a higher aluminium ion concentration,</w:t>
      </w:r>
      <w:r w:rsidR="00F81221">
        <w:t xml:space="preserve"> and </w:t>
      </w:r>
      <w:r w:rsidRPr="00A428C3">
        <w:t>a simple Freundlich isotherm could express the equilibrium adsorption isotherm,</w:t>
      </w:r>
      <w:r w:rsidR="00F81221">
        <w:t xml:space="preserve"> and </w:t>
      </w:r>
      <w:r w:rsidRPr="00A428C3">
        <w:t>the intragranular diffusion controlling model was used to test the dynamic studies. These findings have important implications for the application</w:t>
      </w:r>
      <w:r w:rsidR="00F81221">
        <w:t xml:space="preserve"> and </w:t>
      </w:r>
      <w:r w:rsidRPr="00A428C3">
        <w:t>development of aluminium oxide as a prospective adsorbent.</w:t>
      </w:r>
    </w:p>
    <w:p w:rsidR="00B95188" w:rsidRPr="00A428C3" w:rsidRDefault="00B95188" w:rsidP="00B95188">
      <w:pPr>
        <w:pStyle w:val="a0"/>
      </w:pPr>
      <w:r w:rsidRPr="00A13428">
        <w:t>Keywords:</w:t>
      </w:r>
      <w:r w:rsidRPr="00A428C3">
        <w:t xml:space="preserve"> Aluminium Oxide, Adsorbent, Equilibrium Adsorption Isotherm, Phosphate, Wastewater</w:t>
      </w:r>
    </w:p>
    <w:p w:rsidR="00B95188" w:rsidRPr="00A428C3" w:rsidRDefault="00B95188" w:rsidP="00B95188">
      <w:pPr>
        <w:pStyle w:val="a0"/>
      </w:pPr>
      <w:r w:rsidRPr="00A428C3">
        <w:t>?</w:t>
      </w:r>
      <w:r w:rsidRPr="00A428C3">
        <w:rPr>
          <w:sz w:val="20"/>
        </w:rPr>
        <w:t xml:space="preserve"> </w:t>
      </w:r>
      <w:r w:rsidRPr="00A428C3">
        <w:rPr>
          <w:iCs/>
        </w:rPr>
        <w:t>Meshko, V., Markovska, L.</w:t>
      </w:r>
      <w:r w:rsidR="00F81221">
        <w:rPr>
          <w:iCs/>
        </w:rPr>
        <w:t xml:space="preserve"> and </w:t>
      </w:r>
      <w:r w:rsidRPr="00A428C3">
        <w:rPr>
          <w:iCs/>
        </w:rPr>
        <w:t>Marinkovski, M.</w:t>
      </w:r>
      <w:r w:rsidRPr="00A428C3">
        <w:t xml:space="preserve"> (2005), Experimental study</w:t>
      </w:r>
      <w:r w:rsidR="00F81221">
        <w:t xml:space="preserve"> and </w:t>
      </w:r>
      <w:r w:rsidRPr="00A428C3">
        <w:t>modelling of zinc adsorption by granular activated carbon</w:t>
      </w:r>
      <w:r w:rsidR="00F81221">
        <w:t xml:space="preserve"> and </w:t>
      </w:r>
      <w:r w:rsidRPr="00A428C3">
        <w:t xml:space="preserve">natural zeolite.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27</w:t>
      </w:r>
      <w:r w:rsidRPr="00A428C3">
        <w:t xml:space="preserve"> (4), 285-299.</w:t>
      </w:r>
    </w:p>
    <w:p w:rsidR="00B95188" w:rsidRPr="00A428C3" w:rsidRDefault="00B95188" w:rsidP="00B95188">
      <w:pPr>
        <w:pStyle w:val="a0"/>
      </w:pPr>
      <w:r w:rsidRPr="00A428C3">
        <w:lastRenderedPageBreak/>
        <w:t xml:space="preserve">Full Text: </w:t>
      </w:r>
      <w:hyperlink r:id="rId1755" w:history="1">
        <w:r w:rsidRPr="00A428C3">
          <w:rPr>
            <w:rStyle w:val="a5"/>
          </w:rPr>
          <w:t>2006\Int J Env Pol27, 285.pdf</w:t>
        </w:r>
      </w:hyperlink>
    </w:p>
    <w:p w:rsidR="00B95188" w:rsidRPr="00A428C3" w:rsidRDefault="00B95188" w:rsidP="00B95188">
      <w:pPr>
        <w:pStyle w:val="a0"/>
      </w:pPr>
      <w:r w:rsidRPr="00A428C3">
        <w:t>Abstract: The metal removal capability of Granular Activated Carbon (GAC)</w:t>
      </w:r>
      <w:r w:rsidR="00F81221">
        <w:t xml:space="preserve"> and </w:t>
      </w:r>
      <w:r w:rsidRPr="00A428C3">
        <w:t>natural zeolite is evaluated in this study using zinc as a model adsorbate. The equilibrium</w:t>
      </w:r>
      <w:r w:rsidR="00F81221">
        <w:t xml:space="preserve"> and </w:t>
      </w:r>
      <w:r w:rsidRPr="00A428C3">
        <w:t>kinetic characteristics of zinc adsorption on GAC</w:t>
      </w:r>
      <w:r w:rsidR="00F81221">
        <w:t xml:space="preserve"> and </w:t>
      </w:r>
      <w:r w:rsidRPr="00A428C3">
        <w:t>natural zeolite were studied in batch stirred tank experiments. The adsorption data for both systems were fitted by Langmuir, Freundlich, Langmuir-Freundlich,</w:t>
      </w:r>
      <w:r w:rsidR="00F81221">
        <w:t xml:space="preserve"> and </w:t>
      </w:r>
      <w:r w:rsidRPr="00A428C3">
        <w:t>Redlich-Peterson models. The parameters in the adsorption isotherms were estimated from the experimental equilibrium data using MATLAB. Using these data the best isotherm can be selected. The effect of initial concentration on the transient behaviour of zinc removal by GAC</w:t>
      </w:r>
      <w:r w:rsidR="00F81221">
        <w:t xml:space="preserve"> and </w:t>
      </w:r>
      <w:r w:rsidRPr="00A428C3">
        <w:t>natural zeolite was investigated. In this work two surface reaction models, namely a second order reversible reaction model</w:t>
      </w:r>
      <w:r w:rsidR="00F81221">
        <w:t xml:space="preserve"> and </w:t>
      </w:r>
      <w:r w:rsidRPr="00A428C3">
        <w:t>a second order irreversible reaction model for describing Zn(II) removal by GAC</w:t>
      </w:r>
      <w:r w:rsidR="00F81221">
        <w:t xml:space="preserve"> and </w:t>
      </w:r>
      <w:r w:rsidRPr="00A428C3">
        <w:t>natural zeolite, were employed. Modelling studies using two different second order surface reaction models demonstrated that it is very difficult to come to a general conclusion about which model has better ability.</w:t>
      </w:r>
    </w:p>
    <w:p w:rsidR="00B95188" w:rsidRPr="00A428C3" w:rsidRDefault="00B95188" w:rsidP="00B95188">
      <w:pPr>
        <w:pStyle w:val="a0"/>
      </w:pPr>
      <w:r w:rsidRPr="00A428C3">
        <w:t>Keywords: Zinc, Adsorption, Modelling, Granular Activated Carbon, Natural Zeolite, Equilibrium, Kinetics</w:t>
      </w:r>
    </w:p>
    <w:p w:rsidR="00D44204" w:rsidRDefault="00D44204" w:rsidP="00D44204">
      <w:pPr>
        <w:pStyle w:val="a0"/>
        <w:rPr>
          <w:kern w:val="0"/>
        </w:rPr>
      </w:pPr>
      <w:r>
        <w:rPr>
          <w:rFonts w:hint="eastAsia"/>
          <w:kern w:val="0"/>
        </w:rPr>
        <w:t xml:space="preserve">? </w:t>
      </w:r>
      <w:r>
        <w:rPr>
          <w:kern w:val="0"/>
        </w:rPr>
        <w:t>Swami, D.</w:t>
      </w:r>
      <w:r w:rsidR="00F81221">
        <w:rPr>
          <w:kern w:val="0"/>
        </w:rPr>
        <w:t xml:space="preserve"> and </w:t>
      </w:r>
      <w:r>
        <w:rPr>
          <w:kern w:val="0"/>
        </w:rPr>
        <w:t xml:space="preserve">Buddhi, D. (2006), Removal of contaminants from industrial wastewater through various non-conventional technologies: A review.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27</w:t>
      </w:r>
      <w:r>
        <w:rPr>
          <w:kern w:val="0"/>
        </w:rPr>
        <w:t xml:space="preserve"> (4), 324-346.</w:t>
      </w:r>
    </w:p>
    <w:p w:rsidR="00D44204" w:rsidRPr="00A428C3" w:rsidRDefault="00D44204" w:rsidP="00D44204">
      <w:pPr>
        <w:pStyle w:val="a0"/>
      </w:pPr>
      <w:r w:rsidRPr="00A428C3">
        <w:t xml:space="preserve">Full Text: </w:t>
      </w:r>
      <w:r>
        <w:t xml:space="preserve">2006\Int J Env Pol27, </w:t>
      </w:r>
      <w:r>
        <w:rPr>
          <w:rFonts w:hint="eastAsia"/>
        </w:rPr>
        <w:t>324</w:t>
      </w:r>
      <w:r w:rsidRPr="00C53EF7">
        <w:t>.pdf</w:t>
      </w:r>
    </w:p>
    <w:p w:rsidR="00D44204" w:rsidRDefault="00D44204" w:rsidP="00D44204">
      <w:pPr>
        <w:pStyle w:val="a0"/>
        <w:rPr>
          <w:kern w:val="0"/>
        </w:rPr>
      </w:pPr>
      <w:r>
        <w:rPr>
          <w:kern w:val="0"/>
        </w:rPr>
        <w:t>Abstract: It is difficult to separate industrial growth from environmental pollution but it can be minimised through cost-effective approaches of pollution abatement. To reach the full objectives of zero pollution, adoption of alternative technologies which suit the situation of low capital availability, minimum man-power</w:t>
      </w:r>
      <w:r w:rsidR="00F81221">
        <w:rPr>
          <w:kern w:val="0"/>
        </w:rPr>
        <w:t xml:space="preserve"> and </w:t>
      </w:r>
      <w:r>
        <w:rPr>
          <w:kern w:val="0"/>
        </w:rPr>
        <w:t>limited energy consumption are necessary. Adsorption through agricultural products such as rice husk, sugarcane bagasse, soybean hulls, saw dust, coconut shell, groundnut shell, apple-waste, fly-ash etc., has been demonstrated to be a useful alternative to the conventional treatment systems for the removal of toxic metals such as dyes/ colour, chromium (Cr), mercury (Hg), copper (Cu), nickel (Ni), etc., from aqueous solution., It could be considered as an eco-friendly device to the existing relatively more expensive treatment technologies. Various biological species such as algae, fungi</w:t>
      </w:r>
      <w:r w:rsidR="00F81221">
        <w:rPr>
          <w:kern w:val="0"/>
        </w:rPr>
        <w:t xml:space="preserve"> and </w:t>
      </w:r>
      <w:r>
        <w:rPr>
          <w:kern w:val="0"/>
        </w:rPr>
        <w:t>bacteria were found to be in extensive use for the removal of contaminants. In this review, an extensive list of sorbents literature has been compiled to provide a summary of available information on a wide range of potentially low-cost non-conventional sorbents</w:t>
      </w:r>
      <w:r w:rsidR="00F81221">
        <w:rPr>
          <w:kern w:val="0"/>
        </w:rPr>
        <w:t xml:space="preserve"> and </w:t>
      </w:r>
      <w:r>
        <w:rPr>
          <w:kern w:val="0"/>
        </w:rPr>
        <w:t>their effectiveness.</w:t>
      </w:r>
    </w:p>
    <w:p w:rsidR="00D44204" w:rsidRDefault="00D44204" w:rsidP="00D44204">
      <w:pPr>
        <w:pStyle w:val="a0"/>
        <w:rPr>
          <w:kern w:val="0"/>
        </w:rPr>
      </w:pPr>
      <w:r>
        <w:rPr>
          <w:kern w:val="0"/>
        </w:rPr>
        <w:t xml:space="preserve">Keywords: Adsorption, Adsorption, Algae, Bacteria, Biomass, Biosorption, Cadmium, Chromium, Copper, Effectiveness, Energy, Environmental, Fly Ash, Heavy Metals, Heavy-Metals, Industrial Wastewater, Information, Literature, Mercury, Removal, </w:t>
      </w:r>
      <w:r>
        <w:rPr>
          <w:kern w:val="0"/>
        </w:rPr>
        <w:lastRenderedPageBreak/>
        <w:t>Review, Sugarcane, Sugarcane Bagasse, Textile Dye Effluent, Treatment, Wastewater, Zinc</w:t>
      </w:r>
    </w:p>
    <w:p w:rsidR="00B95188" w:rsidRPr="00A428C3" w:rsidRDefault="00B95188" w:rsidP="00B95188">
      <w:pPr>
        <w:pStyle w:val="a0"/>
      </w:pPr>
      <w:r w:rsidRPr="00A428C3">
        <w:t>?</w:t>
      </w:r>
      <w:r w:rsidRPr="00A428C3">
        <w:rPr>
          <w:sz w:val="20"/>
        </w:rPr>
        <w:t xml:space="preserve"> </w:t>
      </w:r>
      <w:r w:rsidRPr="00A428C3">
        <w:t>Bidisha, C</w:t>
      </w:r>
      <w:r w:rsidRPr="00A428C3">
        <w:rPr>
          <w:szCs w:val="19"/>
        </w:rPr>
        <w:t xml:space="preserve">., </w:t>
      </w:r>
      <w:r w:rsidRPr="00A428C3">
        <w:t>Sreeranjani, R</w:t>
      </w:r>
      <w:r w:rsidRPr="00A428C3">
        <w:rPr>
          <w:szCs w:val="19"/>
        </w:rPr>
        <w:t xml:space="preserve">., </w:t>
      </w:r>
      <w:r w:rsidRPr="00A428C3">
        <w:t>Shaik, A</w:t>
      </w:r>
      <w:r w:rsidRPr="00A428C3">
        <w:rPr>
          <w:szCs w:val="19"/>
        </w:rPr>
        <w:t xml:space="preserve">., </w:t>
      </w:r>
      <w:r w:rsidRPr="00A428C3">
        <w:t>Chaudhari, S</w:t>
      </w:r>
      <w:r w:rsidRPr="00A428C3">
        <w:rPr>
          <w:szCs w:val="19"/>
        </w:rPr>
        <w:t>.</w:t>
      </w:r>
      <w:r w:rsidR="00F81221">
        <w:rPr>
          <w:szCs w:val="19"/>
        </w:rPr>
        <w:t xml:space="preserve"> and </w:t>
      </w:r>
      <w:r w:rsidRPr="00A428C3">
        <w:t xml:space="preserve">Sumathi, S. (2005), </w:t>
      </w:r>
      <w:r w:rsidRPr="00A428C3">
        <w:rPr>
          <w:szCs w:val="19"/>
        </w:rPr>
        <w:t>Bioaccumulation</w:t>
      </w:r>
      <w:r w:rsidR="00F81221">
        <w:rPr>
          <w:szCs w:val="19"/>
        </w:rPr>
        <w:t xml:space="preserve"> and </w:t>
      </w:r>
      <w:r w:rsidRPr="00A428C3">
        <w:rPr>
          <w:szCs w:val="19"/>
        </w:rPr>
        <w:t xml:space="preserve">biosorption of drimarene red dye by </w:t>
      </w:r>
      <w:r w:rsidRPr="00A428C3">
        <w:rPr>
          <w:i/>
          <w:szCs w:val="19"/>
        </w:rPr>
        <w:t>Aspergillus foetidus</w:t>
      </w:r>
      <w:r w:rsidRPr="00A428C3">
        <w:t xml:space="preserve">. </w:t>
      </w:r>
      <w:r w:rsidRPr="00A428C3">
        <w:rPr>
          <w:i/>
          <w:iCs/>
        </w:rPr>
        <w:t>International Journal of Environment</w:t>
      </w:r>
      <w:r w:rsidR="00F81221">
        <w:rPr>
          <w:i/>
          <w:iCs/>
        </w:rPr>
        <w:t xml:space="preserve"> and </w:t>
      </w:r>
      <w:r w:rsidRPr="00A428C3">
        <w:rPr>
          <w:i/>
          <w:iCs/>
        </w:rPr>
        <w:t>Pollution</w:t>
      </w:r>
      <w:r w:rsidRPr="00A428C3">
        <w:t xml:space="preserve">, </w:t>
      </w:r>
      <w:r w:rsidRPr="00A428C3">
        <w:rPr>
          <w:b/>
        </w:rPr>
        <w:t>28</w:t>
      </w:r>
      <w:r w:rsidRPr="00A428C3">
        <w:t xml:space="preserve"> (3-4), </w:t>
      </w:r>
      <w:r w:rsidRPr="00A428C3">
        <w:rPr>
          <w:szCs w:val="19"/>
        </w:rPr>
        <w:t>517-533</w:t>
      </w:r>
      <w:r w:rsidRPr="00A428C3">
        <w:t>.</w:t>
      </w:r>
    </w:p>
    <w:p w:rsidR="00B95188" w:rsidRPr="00A428C3" w:rsidRDefault="00B95188" w:rsidP="00B95188">
      <w:pPr>
        <w:pStyle w:val="a0"/>
      </w:pPr>
      <w:r w:rsidRPr="00A428C3">
        <w:t xml:space="preserve">Full Text: Int J Env Pol28, </w:t>
      </w:r>
      <w:r w:rsidRPr="00A428C3">
        <w:rPr>
          <w:szCs w:val="19"/>
        </w:rPr>
        <w:t>517</w:t>
      </w:r>
    </w:p>
    <w:p w:rsidR="00B95188" w:rsidRPr="00A428C3" w:rsidRDefault="00B95188" w:rsidP="00B95188">
      <w:pPr>
        <w:pStyle w:val="a0"/>
      </w:pPr>
      <w:r w:rsidRPr="00A428C3">
        <w:t>Abstract: An isolated fungus, Aspergillus foelidus, was found to uptake azo reactive dye(s) such as drimarene red under active growth</w:t>
      </w:r>
      <w:r w:rsidR="00F81221">
        <w:t xml:space="preserve"> and </w:t>
      </w:r>
      <w:r w:rsidRPr="00A428C3">
        <w:t>growth unsupportive conditions. Microscopy indicates preferential accumulation of drimarene red dye in the tips of fungal hyphae. The presence of 0.1% azide</w:t>
      </w:r>
      <w:r w:rsidR="00F81221">
        <w:t xml:space="preserve"> and </w:t>
      </w:r>
      <w:r w:rsidRPr="00A428C3">
        <w:t>phosphate in the fungal growth medium causes displacement of bound dye from the biomass. The key factors that influence the process of biosorption of dye in growth non-supportive medium are pH, temperature,</w:t>
      </w:r>
      <w:r w:rsidR="00F81221">
        <w:t xml:space="preserve"> and </w:t>
      </w:r>
      <w:r w:rsidRPr="00A428C3">
        <w:t>age</w:t>
      </w:r>
      <w:r w:rsidR="00F81221">
        <w:t xml:space="preserve"> and </w:t>
      </w:r>
      <w:r w:rsidRPr="00A428C3">
        <w:t>concentration of fungal biomass. Based on the Langmuir isotherm plots, the maximum fungal biosorption capacity (Q(o) value) was computed to be 344 mg g</w:t>
      </w:r>
      <w:r w:rsidRPr="00A428C3">
        <w:rPr>
          <w:vertAlign w:val="superscript"/>
        </w:rPr>
        <w:t>-1</w:t>
      </w:r>
      <w:r w:rsidRPr="00A428C3">
        <w:t xml:space="preserve"> using the fungal spent medium at pH 2.5</w:t>
      </w:r>
      <w:r w:rsidR="00F81221">
        <w:t xml:space="preserve"> and </w:t>
      </w:r>
      <w:r w:rsidRPr="00A428C3">
        <w:t>60 degrees C. Sodium hydroxide is an effective agent for the leaching of dye from the loaded fungal biomass. The results suggest the possibility of applying the isolated fungus for decolourisation of textile mill wastewater.</w:t>
      </w:r>
    </w:p>
    <w:p w:rsidR="00B95188" w:rsidRPr="00A428C3" w:rsidRDefault="00B95188" w:rsidP="00B95188">
      <w:pPr>
        <w:pStyle w:val="a0"/>
      </w:pPr>
      <w:r w:rsidRPr="00A428C3">
        <w:t>Keywords: Azo Dye, Bioaccumulation, Biosorption, Decolourisation, Drimarene Red, Fungus, Textile Dye, Reactive Textile Dyes, Aqueous-Solution, Saccharomyces-Cerevisiae, Adsorption Behavior, Silver Biosorption, Industrial Strain, Rhizopus-Arrhizus, Activated-Sludge, Pore Diffusion, Fungal Biomass</w:t>
      </w:r>
    </w:p>
    <w:p w:rsidR="00B95188" w:rsidRPr="00A428C3" w:rsidRDefault="00B95188" w:rsidP="00B95188">
      <w:pPr>
        <w:pStyle w:val="a0"/>
      </w:pPr>
      <w:r w:rsidRPr="00A428C3">
        <w:t>?</w:t>
      </w:r>
      <w:r w:rsidRPr="00A428C3">
        <w:rPr>
          <w:sz w:val="20"/>
        </w:rPr>
        <w:t xml:space="preserve"> </w:t>
      </w:r>
      <w:r>
        <w:t>Ozsoy</w:t>
      </w:r>
      <w:r>
        <w:rPr>
          <w:rFonts w:hint="eastAsia"/>
        </w:rPr>
        <w:t>,</w:t>
      </w:r>
      <w:r>
        <w:t xml:space="preserve"> H</w:t>
      </w:r>
      <w:r>
        <w:rPr>
          <w:rFonts w:hint="eastAsia"/>
        </w:rPr>
        <w:t>.</w:t>
      </w:r>
      <w:r>
        <w:t>D</w:t>
      </w:r>
      <w:r>
        <w:rPr>
          <w:rFonts w:hint="eastAsia"/>
        </w:rPr>
        <w:t>.,</w:t>
      </w:r>
      <w:r>
        <w:t xml:space="preserve"> Kumbur</w:t>
      </w:r>
      <w:r>
        <w:rPr>
          <w:rFonts w:hint="eastAsia"/>
        </w:rPr>
        <w:t>,</w:t>
      </w:r>
      <w:r>
        <w:t xml:space="preserve"> H</w:t>
      </w:r>
      <w:r>
        <w:rPr>
          <w:rFonts w:hint="eastAsia"/>
        </w:rPr>
        <w:t>.</w:t>
      </w:r>
      <w:r w:rsidR="00F81221">
        <w:rPr>
          <w:rFonts w:hint="eastAsia"/>
        </w:rPr>
        <w:t xml:space="preserve"> and </w:t>
      </w:r>
      <w:r>
        <w:t>Ozer</w:t>
      </w:r>
      <w:r>
        <w:rPr>
          <w:rFonts w:hint="eastAsia"/>
        </w:rPr>
        <w:t>,</w:t>
      </w:r>
      <w:r>
        <w:t xml:space="preserve"> Z</w:t>
      </w:r>
      <w:r>
        <w:rPr>
          <w:rFonts w:hint="eastAsia"/>
        </w:rPr>
        <w:t>.</w:t>
      </w:r>
      <w:r w:rsidRPr="00A428C3">
        <w:t xml:space="preserve"> (200</w:t>
      </w:r>
      <w:r>
        <w:rPr>
          <w:rFonts w:hint="eastAsia"/>
        </w:rPr>
        <w:t>7</w:t>
      </w:r>
      <w:r w:rsidRPr="00A428C3">
        <w:t xml:space="preserve">), </w:t>
      </w:r>
      <w:r>
        <w:t>Adsorption of copper(II) ions to peanut hulls</w:t>
      </w:r>
      <w:r w:rsidR="00F81221">
        <w:t xml:space="preserve"> and </w:t>
      </w:r>
      <w:r>
        <w:t>Pinus brutia sawdust</w:t>
      </w:r>
      <w:r w:rsidRPr="00A428C3">
        <w:t xml:space="preserve">. </w:t>
      </w:r>
      <w:r w:rsidRPr="00A428C3">
        <w:rPr>
          <w:i/>
          <w:iCs/>
        </w:rPr>
        <w:t>International Journal of Environment</w:t>
      </w:r>
      <w:r w:rsidR="00F81221">
        <w:rPr>
          <w:i/>
          <w:iCs/>
        </w:rPr>
        <w:t xml:space="preserve"> and </w:t>
      </w:r>
      <w:r w:rsidRPr="00A428C3">
        <w:rPr>
          <w:i/>
          <w:iCs/>
        </w:rPr>
        <w:t>Pollution</w:t>
      </w:r>
      <w:r w:rsidRPr="00A428C3">
        <w:t xml:space="preserve">, </w:t>
      </w:r>
      <w:r>
        <w:rPr>
          <w:rFonts w:hint="eastAsia"/>
          <w:b/>
        </w:rPr>
        <w:t>31</w:t>
      </w:r>
      <w:r w:rsidRPr="00A428C3">
        <w:t xml:space="preserve"> (</w:t>
      </w:r>
      <w:r>
        <w:rPr>
          <w:rFonts w:hint="eastAsia"/>
        </w:rPr>
        <w:t>1-2</w:t>
      </w:r>
      <w:r w:rsidRPr="00A428C3">
        <w:t xml:space="preserve">), </w:t>
      </w:r>
      <w:r>
        <w:t>125-134</w:t>
      </w:r>
      <w:r w:rsidRPr="00A428C3">
        <w:t>.</w:t>
      </w:r>
    </w:p>
    <w:p w:rsidR="00B95188" w:rsidRDefault="00B95188" w:rsidP="00B95188">
      <w:pPr>
        <w:pStyle w:val="a0"/>
        <w:rPr>
          <w:szCs w:val="19"/>
        </w:rPr>
      </w:pPr>
      <w:r w:rsidRPr="00A428C3">
        <w:t>Full Text: Int J Env Pol</w:t>
      </w:r>
      <w:r>
        <w:rPr>
          <w:rFonts w:hint="eastAsia"/>
        </w:rPr>
        <w:t>31</w:t>
      </w:r>
      <w:r w:rsidRPr="00A428C3">
        <w:t xml:space="preserve">, </w:t>
      </w:r>
      <w:r>
        <w:rPr>
          <w:rFonts w:hint="eastAsia"/>
        </w:rPr>
        <w:t>125</w:t>
      </w:r>
    </w:p>
    <w:p w:rsidR="00B95188" w:rsidRDefault="00B95188" w:rsidP="00B95188">
      <w:pPr>
        <w:pStyle w:val="a0"/>
      </w:pPr>
      <w:r>
        <w:t>Abstract: Adsorption of copper(II) ions to untreated peanut hulls</w:t>
      </w:r>
      <w:r w:rsidR="00F81221">
        <w:t xml:space="preserve"> and </w:t>
      </w:r>
      <w:r>
        <w:t>untreated Pinus brutia sawdust was investigated as a function of the contact time, amount of adsorbents, initial pH, temperature</w:t>
      </w:r>
      <w:r w:rsidR="00F81221">
        <w:t xml:space="preserve"> and </w:t>
      </w:r>
      <w:r>
        <w:t>initial metal ion concentration. Adsorption efficiency was increased by increasing contact time, amount of adsorbents</w:t>
      </w:r>
      <w:r w:rsidR="00F81221">
        <w:t xml:space="preserve"> and </w:t>
      </w:r>
      <w:r>
        <w:t>decreasing initial metal ion concentration. The optimum adsorption conditions were obtained at pH 5.0. Experimental results indicate that peanut hulls are a more effective adsorbent than Pinus brutia sawdust for the removal of Cu(II) from aqueous solutions. The isothermal data of peanut hulls could be well described by the Langmuir</w:t>
      </w:r>
      <w:r w:rsidR="00F81221">
        <w:t xml:space="preserve"> and </w:t>
      </w:r>
      <w:r>
        <w:t>Freundlich equations.</w:t>
      </w:r>
    </w:p>
    <w:p w:rsidR="00B95188" w:rsidRPr="00A428C3" w:rsidRDefault="00B95188" w:rsidP="00B95188">
      <w:pPr>
        <w:pStyle w:val="a0"/>
      </w:pPr>
      <w:r>
        <w:t>Keywords: Adsorption, Copper(II) Ions, Peanut Hulls, Pinus Brutia Sawdust, Aqueous-Solution, Activated Carbon, Removal, Biosorption, Chromium, Equilibrium, Metals, Shell</w:t>
      </w:r>
    </w:p>
    <w:p w:rsidR="00B95188" w:rsidRPr="00A428C3" w:rsidRDefault="00B95188" w:rsidP="00B95188">
      <w:pPr>
        <w:pStyle w:val="a0"/>
      </w:pPr>
      <w:r w:rsidRPr="00A428C3">
        <w:t>?</w:t>
      </w:r>
      <w:r w:rsidRPr="00A428C3">
        <w:rPr>
          <w:sz w:val="20"/>
        </w:rPr>
        <w:t xml:space="preserve"> </w:t>
      </w:r>
      <w:r w:rsidRPr="00354945">
        <w:rPr>
          <w:szCs w:val="19"/>
        </w:rPr>
        <w:t>Anawar</w:t>
      </w:r>
      <w:r>
        <w:rPr>
          <w:rFonts w:hint="eastAsia"/>
          <w:szCs w:val="19"/>
        </w:rPr>
        <w:t>,</w:t>
      </w:r>
      <w:r w:rsidRPr="00354945">
        <w:rPr>
          <w:szCs w:val="19"/>
        </w:rPr>
        <w:t xml:space="preserve"> H</w:t>
      </w:r>
      <w:r>
        <w:rPr>
          <w:rFonts w:hint="eastAsia"/>
          <w:szCs w:val="19"/>
        </w:rPr>
        <w:t>.</w:t>
      </w:r>
      <w:r w:rsidRPr="00354945">
        <w:rPr>
          <w:szCs w:val="19"/>
        </w:rPr>
        <w:t>M</w:t>
      </w:r>
      <w:r>
        <w:rPr>
          <w:rFonts w:hint="eastAsia"/>
          <w:szCs w:val="19"/>
        </w:rPr>
        <w:t>.,</w:t>
      </w:r>
      <w:r w:rsidRPr="00354945">
        <w:rPr>
          <w:szCs w:val="19"/>
        </w:rPr>
        <w:t xml:space="preserve"> </w:t>
      </w:r>
      <w:r w:rsidRPr="0053029D">
        <w:t>García-Sánchez</w:t>
      </w:r>
      <w:r>
        <w:rPr>
          <w:rFonts w:hint="eastAsia"/>
          <w:szCs w:val="19"/>
        </w:rPr>
        <w:t>,</w:t>
      </w:r>
      <w:r w:rsidRPr="00354945">
        <w:rPr>
          <w:szCs w:val="19"/>
        </w:rPr>
        <w:t xml:space="preserve"> A</w:t>
      </w:r>
      <w:r>
        <w:rPr>
          <w:rFonts w:hint="eastAsia"/>
          <w:szCs w:val="19"/>
        </w:rPr>
        <w:t>.,</w:t>
      </w:r>
      <w:r w:rsidRPr="00354945">
        <w:rPr>
          <w:szCs w:val="19"/>
        </w:rPr>
        <w:t xml:space="preserve"> Alam</w:t>
      </w:r>
      <w:r>
        <w:rPr>
          <w:rFonts w:hint="eastAsia"/>
          <w:szCs w:val="19"/>
        </w:rPr>
        <w:t>,</w:t>
      </w:r>
      <w:r w:rsidRPr="00354945">
        <w:rPr>
          <w:szCs w:val="19"/>
        </w:rPr>
        <w:t xml:space="preserve"> M</w:t>
      </w:r>
      <w:r>
        <w:rPr>
          <w:rFonts w:hint="eastAsia"/>
          <w:szCs w:val="19"/>
        </w:rPr>
        <w:t>.</w:t>
      </w:r>
      <w:r w:rsidRPr="00354945">
        <w:rPr>
          <w:szCs w:val="19"/>
        </w:rPr>
        <w:t>T</w:t>
      </w:r>
      <w:r>
        <w:rPr>
          <w:rFonts w:hint="eastAsia"/>
          <w:szCs w:val="19"/>
        </w:rPr>
        <w:t>.</w:t>
      </w:r>
      <w:r w:rsidRPr="00354945">
        <w:rPr>
          <w:szCs w:val="19"/>
        </w:rPr>
        <w:t>K</w:t>
      </w:r>
      <w:r>
        <w:rPr>
          <w:rFonts w:hint="eastAsia"/>
          <w:szCs w:val="19"/>
        </w:rPr>
        <w:t>.</w:t>
      </w:r>
      <w:r w:rsidR="00F81221">
        <w:rPr>
          <w:rFonts w:hint="eastAsia"/>
          <w:szCs w:val="19"/>
        </w:rPr>
        <w:t xml:space="preserve"> and </w:t>
      </w:r>
      <w:r w:rsidRPr="00354945">
        <w:rPr>
          <w:szCs w:val="19"/>
        </w:rPr>
        <w:t>Rahman</w:t>
      </w:r>
      <w:r>
        <w:rPr>
          <w:rFonts w:hint="eastAsia"/>
          <w:szCs w:val="19"/>
        </w:rPr>
        <w:t>,</w:t>
      </w:r>
      <w:r w:rsidRPr="00354945">
        <w:rPr>
          <w:szCs w:val="19"/>
        </w:rPr>
        <w:t xml:space="preserve"> M</w:t>
      </w:r>
      <w:r>
        <w:rPr>
          <w:rFonts w:hint="eastAsia"/>
          <w:szCs w:val="19"/>
        </w:rPr>
        <w:t>.</w:t>
      </w:r>
      <w:r w:rsidRPr="00354945">
        <w:rPr>
          <w:szCs w:val="19"/>
        </w:rPr>
        <w:t>M</w:t>
      </w:r>
      <w:r>
        <w:rPr>
          <w:rFonts w:hint="eastAsia"/>
          <w:szCs w:val="19"/>
        </w:rPr>
        <w:t>.</w:t>
      </w:r>
      <w:r w:rsidRPr="00354945">
        <w:rPr>
          <w:szCs w:val="19"/>
        </w:rPr>
        <w:t xml:space="preserve"> </w:t>
      </w:r>
      <w:r w:rsidRPr="00A428C3">
        <w:t>(200</w:t>
      </w:r>
      <w:r>
        <w:rPr>
          <w:rFonts w:hint="eastAsia"/>
        </w:rPr>
        <w:t>8</w:t>
      </w:r>
      <w:r w:rsidRPr="00A428C3">
        <w:t xml:space="preserve">), </w:t>
      </w:r>
      <w:r w:rsidRPr="00354945">
        <w:rPr>
          <w:szCs w:val="19"/>
        </w:rPr>
        <w:lastRenderedPageBreak/>
        <w:t>Phytofiltration of water polluted with arsenic</w:t>
      </w:r>
      <w:r w:rsidR="00F81221">
        <w:rPr>
          <w:szCs w:val="19"/>
        </w:rPr>
        <w:t xml:space="preserve"> and </w:t>
      </w:r>
      <w:r w:rsidRPr="00354945">
        <w:rPr>
          <w:szCs w:val="19"/>
        </w:rPr>
        <w:t>heavy metals</w:t>
      </w:r>
      <w:r w:rsidRPr="00A428C3">
        <w:t xml:space="preserve">. </w:t>
      </w:r>
      <w:r w:rsidRPr="00A428C3">
        <w:rPr>
          <w:i/>
          <w:iCs/>
        </w:rPr>
        <w:t>International Journal of Environment</w:t>
      </w:r>
      <w:r w:rsidR="00F81221">
        <w:rPr>
          <w:i/>
          <w:iCs/>
        </w:rPr>
        <w:t xml:space="preserve"> and </w:t>
      </w:r>
      <w:r w:rsidRPr="00A428C3">
        <w:rPr>
          <w:i/>
          <w:iCs/>
        </w:rPr>
        <w:t>Pollution</w:t>
      </w:r>
      <w:r w:rsidRPr="00A428C3">
        <w:t xml:space="preserve">, </w:t>
      </w:r>
      <w:r>
        <w:rPr>
          <w:rFonts w:hint="eastAsia"/>
          <w:b/>
        </w:rPr>
        <w:t>33</w:t>
      </w:r>
      <w:r w:rsidRPr="00A428C3">
        <w:t xml:space="preserve"> (</w:t>
      </w:r>
      <w:r>
        <w:rPr>
          <w:rFonts w:hint="eastAsia"/>
        </w:rPr>
        <w:t>2-3</w:t>
      </w:r>
      <w:r w:rsidRPr="00A428C3">
        <w:t xml:space="preserve">), </w:t>
      </w:r>
      <w:r w:rsidRPr="00354945">
        <w:rPr>
          <w:szCs w:val="19"/>
        </w:rPr>
        <w:t>292-312</w:t>
      </w:r>
      <w:r w:rsidRPr="00A428C3">
        <w:t>.</w:t>
      </w:r>
    </w:p>
    <w:p w:rsidR="00B95188" w:rsidRDefault="00B95188" w:rsidP="00B95188">
      <w:pPr>
        <w:pStyle w:val="a0"/>
      </w:pPr>
      <w:r w:rsidRPr="00A428C3">
        <w:t>Full Text: Int J Env Pol</w:t>
      </w:r>
      <w:r>
        <w:rPr>
          <w:rFonts w:hint="eastAsia"/>
        </w:rPr>
        <w:t>33</w:t>
      </w:r>
      <w:r w:rsidRPr="00A428C3">
        <w:t xml:space="preserve">, </w:t>
      </w:r>
      <w:r>
        <w:rPr>
          <w:szCs w:val="19"/>
        </w:rPr>
        <w:t>292</w:t>
      </w:r>
    </w:p>
    <w:p w:rsidR="00B95188" w:rsidRPr="00354945" w:rsidRDefault="00B95188" w:rsidP="00B95188">
      <w:pPr>
        <w:pStyle w:val="a0"/>
        <w:rPr>
          <w:szCs w:val="19"/>
        </w:rPr>
      </w:pPr>
      <w:r w:rsidRPr="00354945">
        <w:rPr>
          <w:szCs w:val="19"/>
        </w:rPr>
        <w:t>Abstract: This article reviews recent advances in phytofiltration of arsenic</w:t>
      </w:r>
      <w:r w:rsidR="00F81221">
        <w:rPr>
          <w:szCs w:val="19"/>
        </w:rPr>
        <w:t xml:space="preserve"> and </w:t>
      </w:r>
      <w:r w:rsidRPr="00354945">
        <w:rPr>
          <w:szCs w:val="19"/>
        </w:rPr>
        <w:t>toxic heavy metals from contaminated water ecosystems. Arsenic</w:t>
      </w:r>
      <w:r w:rsidR="00F81221">
        <w:rPr>
          <w:szCs w:val="19"/>
        </w:rPr>
        <w:t xml:space="preserve"> and </w:t>
      </w:r>
      <w:r w:rsidRPr="00354945">
        <w:rPr>
          <w:szCs w:val="19"/>
        </w:rPr>
        <w:t>metal contamination in drinking</w:t>
      </w:r>
      <w:r w:rsidR="00F81221">
        <w:rPr>
          <w:szCs w:val="19"/>
        </w:rPr>
        <w:t xml:space="preserve"> and </w:t>
      </w:r>
      <w:r w:rsidRPr="00354945">
        <w:rPr>
          <w:szCs w:val="19"/>
        </w:rPr>
        <w:t>non-drinking water has created global environmental health concerns. Phytofiltration using aquatic</w:t>
      </w:r>
      <w:r w:rsidR="00F81221">
        <w:rPr>
          <w:szCs w:val="19"/>
        </w:rPr>
        <w:t xml:space="preserve"> and </w:t>
      </w:r>
      <w:r w:rsidRPr="00354945">
        <w:rPr>
          <w:szCs w:val="19"/>
        </w:rPr>
        <w:t>terrestrial plants has promising potential for the ex situ</w:t>
      </w:r>
      <w:r w:rsidR="00F81221">
        <w:rPr>
          <w:szCs w:val="19"/>
        </w:rPr>
        <w:t xml:space="preserve"> and </w:t>
      </w:r>
      <w:r w:rsidRPr="00354945">
        <w:rPr>
          <w:szCs w:val="19"/>
        </w:rPr>
        <w:t>in situ clean-up of these waters. An arsenic hyperaccumulator, a fern species of the Pteris genus in hydroponic systems, may be more efficient to remove arsenic from contaminated water. Phytofiltration using aquatic plants including Eichhornia crassipes, Azolla filiculoides, Lemna minor, Lemna gibba, Ceratophyllum demersum, Nymphaea spontanea, Nymphaea alba L., V. Spiralis, Nelumbo nucifera, Myriophyllum spicatum, Potamogeton lucens, Salvinia herzogoi, Myriophyllum brasillensis, Cabomba sp., Myriophylhum aquaticum, Ludwigina palustris</w:t>
      </w:r>
      <w:r w:rsidR="00F81221">
        <w:rPr>
          <w:szCs w:val="19"/>
        </w:rPr>
        <w:t xml:space="preserve"> and </w:t>
      </w:r>
      <w:r w:rsidRPr="00354945">
        <w:rPr>
          <w:szCs w:val="19"/>
        </w:rPr>
        <w:t>Mentha aquatic, Scapania undulata</w:t>
      </w:r>
      <w:r w:rsidR="00F81221">
        <w:rPr>
          <w:szCs w:val="19"/>
        </w:rPr>
        <w:t xml:space="preserve"> and </w:t>
      </w:r>
      <w:r w:rsidRPr="00354945">
        <w:rPr>
          <w:szCs w:val="19"/>
        </w:rPr>
        <w:t>floating macrophytes Pistia stratiotes have high potential for the removal of heavy metals from aqueous solutions</w:t>
      </w:r>
      <w:r w:rsidR="00F81221">
        <w:rPr>
          <w:szCs w:val="19"/>
        </w:rPr>
        <w:t xml:space="preserve"> and </w:t>
      </w:r>
      <w:r w:rsidRPr="00354945">
        <w:rPr>
          <w:szCs w:val="19"/>
        </w:rPr>
        <w:t>industrial wastewaters depending on the selection o</w:t>
      </w:r>
      <w:r>
        <w:rPr>
          <w:szCs w:val="19"/>
        </w:rPr>
        <w:t>f an appropriate plant species.</w:t>
      </w:r>
    </w:p>
    <w:p w:rsidR="00B95188" w:rsidRPr="00354945" w:rsidRDefault="00B95188" w:rsidP="00B95188">
      <w:pPr>
        <w:pStyle w:val="a0"/>
        <w:rPr>
          <w:szCs w:val="19"/>
        </w:rPr>
      </w:pPr>
      <w:r w:rsidRPr="00354945">
        <w:rPr>
          <w:szCs w:val="19"/>
        </w:rPr>
        <w:t>Keywords: Metals</w:t>
      </w:r>
      <w:r w:rsidR="00F81221">
        <w:rPr>
          <w:szCs w:val="19"/>
        </w:rPr>
        <w:t xml:space="preserve"> and </w:t>
      </w:r>
      <w:r w:rsidRPr="00354945">
        <w:rPr>
          <w:szCs w:val="19"/>
        </w:rPr>
        <w:t>Metalloids</w:t>
      </w:r>
      <w:r>
        <w:rPr>
          <w:szCs w:val="19"/>
        </w:rPr>
        <w:t>,</w:t>
      </w:r>
      <w:r w:rsidRPr="00354945">
        <w:rPr>
          <w:szCs w:val="19"/>
        </w:rPr>
        <w:t xml:space="preserve"> Phytofiltration</w:t>
      </w:r>
      <w:r>
        <w:rPr>
          <w:szCs w:val="19"/>
        </w:rPr>
        <w:t>,</w:t>
      </w:r>
      <w:r w:rsidRPr="00354945">
        <w:rPr>
          <w:szCs w:val="19"/>
        </w:rPr>
        <w:t xml:space="preserve"> Polluted Water</w:t>
      </w:r>
      <w:r>
        <w:rPr>
          <w:szCs w:val="19"/>
        </w:rPr>
        <w:t>,</w:t>
      </w:r>
      <w:r w:rsidRPr="00354945">
        <w:rPr>
          <w:szCs w:val="19"/>
        </w:rPr>
        <w:t xml:space="preserve"> Transgenic Plants</w:t>
      </w:r>
      <w:r>
        <w:rPr>
          <w:szCs w:val="19"/>
        </w:rPr>
        <w:t>,</w:t>
      </w:r>
      <w:r w:rsidRPr="00354945">
        <w:rPr>
          <w:szCs w:val="19"/>
        </w:rPr>
        <w:t xml:space="preserve"> Bacopa-Monnieri L</w:t>
      </w:r>
      <w:r>
        <w:rPr>
          <w:szCs w:val="19"/>
        </w:rPr>
        <w:t>,</w:t>
      </w:r>
      <w:r w:rsidRPr="00354945">
        <w:rPr>
          <w:szCs w:val="19"/>
        </w:rPr>
        <w:t xml:space="preserve"> Nitrate Reductase-Activity</w:t>
      </w:r>
      <w:r>
        <w:rPr>
          <w:szCs w:val="19"/>
        </w:rPr>
        <w:t>,</w:t>
      </w:r>
      <w:r w:rsidRPr="00354945">
        <w:rPr>
          <w:szCs w:val="19"/>
        </w:rPr>
        <w:t xml:space="preserve"> Fern Azolla-Filiculoides</w:t>
      </w:r>
      <w:r>
        <w:rPr>
          <w:szCs w:val="19"/>
        </w:rPr>
        <w:t>,</w:t>
      </w:r>
      <w:r w:rsidRPr="00354945">
        <w:rPr>
          <w:szCs w:val="19"/>
        </w:rPr>
        <w:t xml:space="preserve"> Submerged Aquatic Plants</w:t>
      </w:r>
      <w:r>
        <w:rPr>
          <w:szCs w:val="19"/>
        </w:rPr>
        <w:t>,</w:t>
      </w:r>
      <w:r w:rsidRPr="00354945">
        <w:rPr>
          <w:szCs w:val="19"/>
        </w:rPr>
        <w:t xml:space="preserve"> Chinese Brake Fern</w:t>
      </w:r>
      <w:r>
        <w:rPr>
          <w:szCs w:val="19"/>
        </w:rPr>
        <w:t>,</w:t>
      </w:r>
      <w:r w:rsidRPr="00354945">
        <w:rPr>
          <w:szCs w:val="19"/>
        </w:rPr>
        <w:t xml:space="preserve"> Lemna-Minor</w:t>
      </w:r>
      <w:r>
        <w:rPr>
          <w:szCs w:val="19"/>
        </w:rPr>
        <w:t>,</w:t>
      </w:r>
      <w:r w:rsidRPr="00354945">
        <w:rPr>
          <w:szCs w:val="19"/>
        </w:rPr>
        <w:t xml:space="preserve"> Aqueous-Solutions</w:t>
      </w:r>
      <w:r>
        <w:rPr>
          <w:szCs w:val="19"/>
        </w:rPr>
        <w:t>,</w:t>
      </w:r>
      <w:r w:rsidRPr="00354945">
        <w:rPr>
          <w:szCs w:val="19"/>
        </w:rPr>
        <w:t xml:space="preserve"> Pteris-Vittata</w:t>
      </w:r>
      <w:r>
        <w:rPr>
          <w:szCs w:val="19"/>
        </w:rPr>
        <w:t>,</w:t>
      </w:r>
      <w:r w:rsidRPr="00354945">
        <w:rPr>
          <w:szCs w:val="19"/>
        </w:rPr>
        <w:t xml:space="preserve"> Holcus-L</w:t>
      </w:r>
      <w:r>
        <w:rPr>
          <w:szCs w:val="19"/>
        </w:rPr>
        <w:t>anatus, Ceratophyllum-Demersum</w:t>
      </w:r>
    </w:p>
    <w:p w:rsidR="00764966" w:rsidRDefault="00764966" w:rsidP="00764966">
      <w:pPr>
        <w:pStyle w:val="a0"/>
        <w:rPr>
          <w:kern w:val="0"/>
        </w:rPr>
      </w:pPr>
      <w:r>
        <w:rPr>
          <w:rFonts w:hint="eastAsia"/>
          <w:kern w:val="0"/>
        </w:rPr>
        <w:t xml:space="preserve">? </w:t>
      </w:r>
      <w:r>
        <w:rPr>
          <w:kern w:val="0"/>
        </w:rPr>
        <w:t xml:space="preserve">Ho, Y.S. (2008), Bibliometric analysis of biosorption technology in water treatment research from 1991 to 2004.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1-13.</w:t>
      </w:r>
    </w:p>
    <w:p w:rsidR="00764966" w:rsidRPr="00A428C3" w:rsidRDefault="00764966" w:rsidP="00764966">
      <w:pPr>
        <w:pStyle w:val="a0"/>
      </w:pPr>
      <w:r w:rsidRPr="00A428C3">
        <w:t>Full Text:</w:t>
      </w:r>
      <w:r>
        <w:rPr>
          <w:rFonts w:hint="eastAsia"/>
        </w:rPr>
        <w:t xml:space="preserve"> </w:t>
      </w:r>
      <w:hyperlink r:id="rId1756" w:history="1">
        <w:r w:rsidRPr="001973CD">
          <w:rPr>
            <w:rStyle w:val="a5"/>
          </w:rPr>
          <w:t>2008\Int J Env Pol34, 1.pdf</w:t>
        </w:r>
      </w:hyperlink>
    </w:p>
    <w:p w:rsidR="00764966" w:rsidRDefault="00764966" w:rsidP="00764966">
      <w:pPr>
        <w:pStyle w:val="a0"/>
        <w:rPr>
          <w:kern w:val="0"/>
        </w:rPr>
      </w:pPr>
      <w:r>
        <w:rPr>
          <w:kern w:val="0"/>
        </w:rPr>
        <w:t>Abstract: A bibliometric analysis based on the Science Citation Index was carried out on biosorption technology-related publications during the time span of 1991 to 2004 in water treatment research in the ISI subject categories of environmental engineering, environmental sciences,</w:t>
      </w:r>
      <w:r w:rsidR="00F81221">
        <w:rPr>
          <w:kern w:val="0"/>
        </w:rPr>
        <w:t xml:space="preserve"> and </w:t>
      </w:r>
      <w:r>
        <w:rPr>
          <w:kern w:val="0"/>
        </w:rPr>
        <w:t>water resources. Results showed that yearly production has sharply grown. The US</w:t>
      </w:r>
      <w:r w:rsidR="00F81221">
        <w:rPr>
          <w:kern w:val="0"/>
        </w:rPr>
        <w:t xml:space="preserve"> and </w:t>
      </w:r>
      <w:r>
        <w:rPr>
          <w:kern w:val="0"/>
        </w:rPr>
        <w:t>Canada respectively produced 13%</w:t>
      </w:r>
      <w:r w:rsidR="00F81221">
        <w:rPr>
          <w:kern w:val="0"/>
        </w:rPr>
        <w:t xml:space="preserve"> and </w:t>
      </w:r>
      <w:r>
        <w:rPr>
          <w:kern w:val="0"/>
        </w:rPr>
        <w:t>12% of the total output. In the five years after publication, 34% of papers were cited more than 10 times, while 5.7% were never cited in the same period. Nine papers of the top 20 most-frequently cited articles were published in Water Research.</w:t>
      </w:r>
    </w:p>
    <w:p w:rsidR="00764966" w:rsidRDefault="00764966" w:rsidP="00764966">
      <w:pPr>
        <w:pStyle w:val="a0"/>
        <w:rPr>
          <w:kern w:val="0"/>
        </w:rPr>
      </w:pPr>
      <w:r>
        <w:rPr>
          <w:kern w:val="0"/>
        </w:rPr>
        <w:t>Keywords: Analysis, Bibliometric, Biosorption, Canada, Categories, Citation, Engineering, Environmental, Production, Removal, Research, Resources, SCI, Scientometrics, Technology, Treatment, US, Wastewaters, Water, Water Treatment</w:t>
      </w:r>
    </w:p>
    <w:p w:rsidR="00297F23" w:rsidRDefault="00297F23" w:rsidP="00297F23">
      <w:pPr>
        <w:pStyle w:val="a0"/>
        <w:rPr>
          <w:kern w:val="0"/>
        </w:rPr>
      </w:pPr>
      <w:r>
        <w:rPr>
          <w:rFonts w:hint="eastAsia"/>
          <w:kern w:val="0"/>
        </w:rPr>
        <w:t xml:space="preserve">? </w:t>
      </w:r>
      <w:r>
        <w:rPr>
          <w:kern w:val="0"/>
        </w:rPr>
        <w:t>Naja, G., Mustin, C., Volesky, B.</w:t>
      </w:r>
      <w:r w:rsidR="00F81221">
        <w:rPr>
          <w:kern w:val="0"/>
        </w:rPr>
        <w:t xml:space="preserve"> and </w:t>
      </w:r>
      <w:r>
        <w:rPr>
          <w:kern w:val="0"/>
        </w:rPr>
        <w:t xml:space="preserve">Berthelin, J. (2008), Biosorption study in a mining wastewater reservoir.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14-27.</w:t>
      </w:r>
    </w:p>
    <w:p w:rsidR="00297F23" w:rsidRPr="00A428C3" w:rsidRDefault="00297F23" w:rsidP="000D762B">
      <w:pPr>
        <w:pStyle w:val="a0"/>
      </w:pPr>
      <w:r w:rsidRPr="00A428C3">
        <w:lastRenderedPageBreak/>
        <w:t>Full Text:</w:t>
      </w:r>
      <w:r>
        <w:rPr>
          <w:rFonts w:hint="eastAsia"/>
        </w:rPr>
        <w:t xml:space="preserve"> </w:t>
      </w:r>
      <w:hyperlink r:id="rId1757" w:history="1">
        <w:r w:rsidR="000D762B" w:rsidRPr="000D762B">
          <w:rPr>
            <w:rStyle w:val="a5"/>
          </w:rPr>
          <w:t>2008\Int J Env Pol34, 14.pdf</w:t>
        </w:r>
      </w:hyperlink>
    </w:p>
    <w:p w:rsidR="00297F23" w:rsidRDefault="00297F23" w:rsidP="00297F23">
      <w:pPr>
        <w:pStyle w:val="a0"/>
        <w:rPr>
          <w:kern w:val="0"/>
        </w:rPr>
      </w:pPr>
      <w:r>
        <w:rPr>
          <w:kern w:val="0"/>
        </w:rPr>
        <w:t>Abstract: An in situ sorption was conducted to assess the behaviour of cations in a mining wastewater reservoir. Sorption experiments on test materials showed that biomass mainly bound uranium, copper, lead, zinc,</w:t>
      </w:r>
      <w:r w:rsidR="00F81221">
        <w:rPr>
          <w:kern w:val="0"/>
        </w:rPr>
        <w:t xml:space="preserve"> and </w:t>
      </w:r>
      <w:r>
        <w:rPr>
          <w:kern w:val="0"/>
        </w:rPr>
        <w:t>nickel, whereas goethite bound arsenic</w:t>
      </w:r>
      <w:r w:rsidR="00F81221">
        <w:rPr>
          <w:kern w:val="0"/>
        </w:rPr>
        <w:t xml:space="preserve"> and </w:t>
      </w:r>
      <w:r>
        <w:rPr>
          <w:kern w:val="0"/>
        </w:rPr>
        <w:t>chromium. Clay minerals bound both barium</w:t>
      </w:r>
      <w:r w:rsidR="00F81221">
        <w:rPr>
          <w:kern w:val="0"/>
        </w:rPr>
        <w:t xml:space="preserve"> and </w:t>
      </w:r>
      <w:r>
        <w:rPr>
          <w:kern w:val="0"/>
        </w:rPr>
        <w:t>rare earth elements. The lacustrine sediments mainly contained iron oxy-hydroxides. Desorption experiments using potentiometric titration were conducted to investigate the effect of pH variations on the stability of the test sorbents after immersion in the lake. Results indicated the presence of weak to very weak acidic functional groups in the sediments attributed to their high content of organic matter affecting the mobility</w:t>
      </w:r>
      <w:r w:rsidR="00F81221">
        <w:rPr>
          <w:kern w:val="0"/>
        </w:rPr>
        <w:t xml:space="preserve"> and </w:t>
      </w:r>
      <w:r>
        <w:rPr>
          <w:kern w:val="0"/>
        </w:rPr>
        <w:t>the behaviour of metals in the lake deposits.</w:t>
      </w:r>
    </w:p>
    <w:p w:rsidR="00297F23" w:rsidRDefault="00297F23" w:rsidP="00297F23">
      <w:pPr>
        <w:pStyle w:val="a0"/>
        <w:rPr>
          <w:kern w:val="0"/>
        </w:rPr>
      </w:pPr>
      <w:r>
        <w:rPr>
          <w:kern w:val="0"/>
        </w:rPr>
        <w:t xml:space="preserve">Keywords: Adsorption, Arsenic, Barium, Behaviour, Binding, Biomass, Biosorption, Cations, Chromium, Clay, Copper, Desorption, Equilibrium, Experiments, Functional Groups, Goethite, In Situ, Iron, Lake, Lead, Metal Desorption, Metal Sorption, Metals, Mining, Mining Wastewater, Mobility, Nickel, Organic Matter, Oxides, Penicillium-Chrysogenum, </w:t>
      </w:r>
      <w:r>
        <w:rPr>
          <w:rFonts w:hint="eastAsia"/>
          <w:kern w:val="0"/>
        </w:rPr>
        <w:t>p</w:t>
      </w:r>
      <w:r>
        <w:rPr>
          <w:kern w:val="0"/>
        </w:rPr>
        <w:t>H, Potentiometric Titration, Presence, Removal, Rhizopus-Arrhizus, Sediments, Soils, Sorbents, Sorption, Stability, Test, Uranium, Variations, Wastewater, Zinc</w:t>
      </w:r>
    </w:p>
    <w:p w:rsidR="00297F23" w:rsidRDefault="00297F23" w:rsidP="00297F23">
      <w:pPr>
        <w:pStyle w:val="a0"/>
        <w:rPr>
          <w:kern w:val="0"/>
        </w:rPr>
      </w:pPr>
      <w:r>
        <w:rPr>
          <w:rFonts w:hint="eastAsia"/>
          <w:kern w:val="0"/>
        </w:rPr>
        <w:t xml:space="preserve">? </w:t>
      </w:r>
      <w:r>
        <w:rPr>
          <w:kern w:val="0"/>
        </w:rPr>
        <w:t>Sawalha, M.F., Peralta-Videa, J.R., Parsons, J.G., Gonzalez, J.H.</w:t>
      </w:r>
      <w:r w:rsidR="00F81221">
        <w:rPr>
          <w:kern w:val="0"/>
        </w:rPr>
        <w:t xml:space="preserve"> and </w:t>
      </w:r>
      <w:r>
        <w:rPr>
          <w:kern w:val="0"/>
        </w:rPr>
        <w:t>Gardea-Torresdey, J.L. (2008), Removal of cadmium from contaminated waters using saltbush (</w:t>
      </w:r>
      <w:r w:rsidRPr="00BB1A46">
        <w:rPr>
          <w:i/>
          <w:iCs/>
          <w:kern w:val="0"/>
        </w:rPr>
        <w:t>Atriplex canescens</w:t>
      </w:r>
      <w:r>
        <w:rPr>
          <w:kern w:val="0"/>
        </w:rPr>
        <w:t xml:space="preserve">) biomass: </w:t>
      </w:r>
      <w:r w:rsidR="00BB1A46">
        <w:rPr>
          <w:kern w:val="0"/>
        </w:rPr>
        <w:t xml:space="preserve">Identification </w:t>
      </w:r>
      <w:r>
        <w:rPr>
          <w:kern w:val="0"/>
        </w:rPr>
        <w:t xml:space="preserve">of Cd binding sites.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28-42.</w:t>
      </w:r>
    </w:p>
    <w:p w:rsidR="00297F23" w:rsidRPr="00A428C3" w:rsidRDefault="00297F23" w:rsidP="000D762B">
      <w:pPr>
        <w:pStyle w:val="a0"/>
      </w:pPr>
      <w:r w:rsidRPr="00A428C3">
        <w:t>Full Text:</w:t>
      </w:r>
      <w:r>
        <w:rPr>
          <w:rFonts w:hint="eastAsia"/>
        </w:rPr>
        <w:t xml:space="preserve"> </w:t>
      </w:r>
      <w:hyperlink r:id="rId1758" w:history="1">
        <w:r w:rsidR="000D762B" w:rsidRPr="000D762B">
          <w:rPr>
            <w:rStyle w:val="a5"/>
          </w:rPr>
          <w:t>2008\Int J Env Pol34, 28.pdf</w:t>
        </w:r>
      </w:hyperlink>
    </w:p>
    <w:p w:rsidR="00297F23" w:rsidRDefault="00297F23" w:rsidP="00297F23">
      <w:pPr>
        <w:pStyle w:val="a0"/>
        <w:rPr>
          <w:kern w:val="0"/>
        </w:rPr>
      </w:pPr>
      <w:r>
        <w:rPr>
          <w:kern w:val="0"/>
        </w:rPr>
        <w:t>Abstract: The effect of pH on Cd(II) binding capacity of saltbush biomass was deter-mined. Metal quantification performed using ICP/OES showed that Cd binding increased as pH increased from 2.0 to 5.0. The highest percentage of Cd bound ranged from 74-81%, 22-40%,</w:t>
      </w:r>
      <w:r w:rsidR="00F81221">
        <w:rPr>
          <w:kern w:val="0"/>
        </w:rPr>
        <w:t xml:space="preserve"> and </w:t>
      </w:r>
      <w:r>
        <w:rPr>
          <w:kern w:val="0"/>
        </w:rPr>
        <w:t>70-80% for the native, esterified,</w:t>
      </w:r>
      <w:r w:rsidR="00F81221">
        <w:rPr>
          <w:kern w:val="0"/>
        </w:rPr>
        <w:t xml:space="preserve"> and </w:t>
      </w:r>
      <w:r>
        <w:rPr>
          <w:kern w:val="0"/>
        </w:rPr>
        <w:t>hydrolysed biomass. XAS studies showed that cadmium was present as Cd(II)</w:t>
      </w:r>
      <w:r w:rsidR="00F81221">
        <w:rPr>
          <w:kern w:val="0"/>
        </w:rPr>
        <w:t xml:space="preserve"> and </w:t>
      </w:r>
      <w:r>
        <w:rPr>
          <w:kern w:val="0"/>
        </w:rPr>
        <w:t>oxygen was the nearest neighbouring atom with bond lengths of approximately 2.3 angstrom</w:t>
      </w:r>
      <w:r w:rsidR="00F81221">
        <w:rPr>
          <w:kern w:val="0"/>
        </w:rPr>
        <w:t xml:space="preserve"> and </w:t>
      </w:r>
      <w:r>
        <w:rPr>
          <w:kern w:val="0"/>
        </w:rPr>
        <w:t>coordination numbers ranging between 4</w:t>
      </w:r>
      <w:r w:rsidR="00F81221">
        <w:rPr>
          <w:kern w:val="0"/>
        </w:rPr>
        <w:t xml:space="preserve"> and </w:t>
      </w:r>
      <w:r>
        <w:rPr>
          <w:kern w:val="0"/>
        </w:rPr>
        <w:t>5. Results indicated that carboxyl groups may be the primary ligand involved in the Cd binding by saltbush biomass.</w:t>
      </w:r>
    </w:p>
    <w:p w:rsidR="00297F23" w:rsidRDefault="00297F23" w:rsidP="00297F23">
      <w:pPr>
        <w:pStyle w:val="a0"/>
        <w:rPr>
          <w:kern w:val="0"/>
        </w:rPr>
      </w:pPr>
      <w:r>
        <w:rPr>
          <w:kern w:val="0"/>
        </w:rPr>
        <w:t xml:space="preserve">Keywords: Adsorption, Binding Sites, Biomass, Biosorption, Bond, Cadmium, Cadmium Binding, Capacity, Cd, Cd(II), Coordination, Exafs, ICP, OES, Immobilized Biomass, Ions, Ligand, Metal, </w:t>
      </w:r>
      <w:r>
        <w:rPr>
          <w:rFonts w:hint="eastAsia"/>
          <w:kern w:val="0"/>
        </w:rPr>
        <w:t>p</w:t>
      </w:r>
      <w:r>
        <w:rPr>
          <w:kern w:val="0"/>
        </w:rPr>
        <w:t>H, Removal, Saltbush, Waters, Xanes</w:t>
      </w:r>
    </w:p>
    <w:p w:rsidR="00297F23" w:rsidRDefault="00297F23" w:rsidP="00297F23">
      <w:pPr>
        <w:pStyle w:val="a0"/>
        <w:rPr>
          <w:kern w:val="0"/>
        </w:rPr>
      </w:pPr>
      <w:r>
        <w:rPr>
          <w:rFonts w:hint="eastAsia"/>
          <w:kern w:val="0"/>
        </w:rPr>
        <w:t xml:space="preserve">? </w:t>
      </w:r>
      <w:r>
        <w:rPr>
          <w:kern w:val="0"/>
        </w:rPr>
        <w:t>Mazumder, D., Mukherjee, S.</w:t>
      </w:r>
      <w:r w:rsidR="00F81221">
        <w:rPr>
          <w:kern w:val="0"/>
        </w:rPr>
        <w:t xml:space="preserve"> and </w:t>
      </w:r>
      <w:r>
        <w:rPr>
          <w:kern w:val="0"/>
        </w:rPr>
        <w:t xml:space="preserve">Ray, P.K. (2008), Treatment of tannery wastewater in a hybrid biological reactor.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43-56.</w:t>
      </w:r>
    </w:p>
    <w:p w:rsidR="00297F23" w:rsidRPr="00A428C3" w:rsidRDefault="00297F23" w:rsidP="000D762B">
      <w:pPr>
        <w:pStyle w:val="a0"/>
      </w:pPr>
      <w:r w:rsidRPr="00A428C3">
        <w:t>Full Text:</w:t>
      </w:r>
      <w:r>
        <w:rPr>
          <w:rFonts w:hint="eastAsia"/>
        </w:rPr>
        <w:t xml:space="preserve"> </w:t>
      </w:r>
      <w:hyperlink r:id="rId1759" w:history="1">
        <w:r w:rsidR="000D762B" w:rsidRPr="000D762B">
          <w:rPr>
            <w:rStyle w:val="a5"/>
          </w:rPr>
          <w:t>2008\Int J Env Pol34, 43.pdf</w:t>
        </w:r>
      </w:hyperlink>
    </w:p>
    <w:p w:rsidR="00297F23" w:rsidRDefault="00297F23" w:rsidP="00297F23">
      <w:pPr>
        <w:pStyle w:val="a0"/>
        <w:rPr>
          <w:kern w:val="0"/>
        </w:rPr>
      </w:pPr>
      <w:r>
        <w:rPr>
          <w:kern w:val="0"/>
        </w:rPr>
        <w:t xml:space="preserve">Abstract: A shaft-type hybrid bioreactor treated composite wastewater of a chrome </w:t>
      </w:r>
      <w:r>
        <w:rPr>
          <w:kern w:val="0"/>
        </w:rPr>
        <w:lastRenderedPageBreak/>
        <w:t xml:space="preserve">tannery manufacturing </w:t>
      </w:r>
      <w:r w:rsidR="000352E7">
        <w:rPr>
          <w:kern w:val="0"/>
        </w:rPr>
        <w:t>‘</w:t>
      </w:r>
      <w:r>
        <w:rPr>
          <w:kern w:val="0"/>
        </w:rPr>
        <w:t>wet-blue leather</w:t>
      </w:r>
      <w:r w:rsidR="000352E7">
        <w:rPr>
          <w:kern w:val="0"/>
        </w:rPr>
        <w:t>’</w:t>
      </w:r>
      <w:r>
        <w:rPr>
          <w:kern w:val="0"/>
        </w:rPr>
        <w:t>. The sample was treated under suspended growth</w:t>
      </w:r>
      <w:r w:rsidR="00F81221">
        <w:rPr>
          <w:kern w:val="0"/>
        </w:rPr>
        <w:t xml:space="preserve"> and </w:t>
      </w:r>
      <w:r>
        <w:rPr>
          <w:kern w:val="0"/>
        </w:rPr>
        <w:t>then hybrid system with 20 g/L of 5 mm tyre tube beads in batch mode. The continuous study was made under suspended growth</w:t>
      </w:r>
      <w:r w:rsidR="00F81221">
        <w:rPr>
          <w:kern w:val="0"/>
        </w:rPr>
        <w:t xml:space="preserve"> and </w:t>
      </w:r>
      <w:r>
        <w:rPr>
          <w:kern w:val="0"/>
        </w:rPr>
        <w:t>hybrid system with 10-30 g/L of beads. The kinetic coefficients K-s, k, Y</w:t>
      </w:r>
      <w:r w:rsidR="00F81221">
        <w:rPr>
          <w:kern w:val="0"/>
        </w:rPr>
        <w:t xml:space="preserve"> and </w:t>
      </w:r>
      <w:r>
        <w:rPr>
          <w:kern w:val="0"/>
        </w:rPr>
        <w:t>k were 170.83 mg/L, 0.0397 h</w:t>
      </w:r>
      <w:r>
        <w:rPr>
          <w:rFonts w:hint="eastAsia"/>
          <w:kern w:val="0"/>
          <w:vertAlign w:val="superscript"/>
        </w:rPr>
        <w:t>-1</w:t>
      </w:r>
      <w:r>
        <w:rPr>
          <w:kern w:val="0"/>
        </w:rPr>
        <w:t>, 0.3629</w:t>
      </w:r>
      <w:r w:rsidR="00F81221">
        <w:rPr>
          <w:kern w:val="0"/>
        </w:rPr>
        <w:t xml:space="preserve"> and </w:t>
      </w:r>
      <w:r>
        <w:rPr>
          <w:kern w:val="0"/>
        </w:rPr>
        <w:t>0.0035 h</w:t>
      </w:r>
      <w:r>
        <w:rPr>
          <w:rFonts w:hint="eastAsia"/>
          <w:kern w:val="0"/>
          <w:vertAlign w:val="superscript"/>
        </w:rPr>
        <w:t>-1</w:t>
      </w:r>
      <w:r>
        <w:rPr>
          <w:kern w:val="0"/>
        </w:rPr>
        <w:t xml:space="preserve"> respectively. The maximum COD removal was 70.9% under a loading rate of 5.250 kg/day/m</w:t>
      </w:r>
      <w:r>
        <w:rPr>
          <w:rFonts w:hint="eastAsia"/>
          <w:kern w:val="0"/>
          <w:vertAlign w:val="superscript"/>
        </w:rPr>
        <w:t>3</w:t>
      </w:r>
      <w:r>
        <w:rPr>
          <w:kern w:val="0"/>
        </w:rPr>
        <w:t>. The overall removal rate ranged from 0.0824 - 0.1004/h for the hybrid system.</w:t>
      </w:r>
    </w:p>
    <w:p w:rsidR="00297F23" w:rsidRDefault="00297F23" w:rsidP="00297F23">
      <w:pPr>
        <w:pStyle w:val="a0"/>
        <w:rPr>
          <w:kern w:val="0"/>
        </w:rPr>
      </w:pPr>
      <w:r>
        <w:rPr>
          <w:kern w:val="0"/>
        </w:rPr>
        <w:t>Keywords: Activated Sludge Hybrid Reactor, Batch, Batch Mode, Beads, Bioreactor, Chrome, Chrome Tannery, COD, COD Removal, Composite, Composite Wastewater, Growth, Kinetic, Manufacturing, Removal, Shaft-Type, Suspended Growth, Tannery, Tannery Wastewater, Treatment, Tyre-Tube Beads, Wastewater</w:t>
      </w:r>
    </w:p>
    <w:p w:rsidR="00297F23" w:rsidRDefault="00297F23" w:rsidP="007D2D61">
      <w:pPr>
        <w:pStyle w:val="a0"/>
        <w:rPr>
          <w:kern w:val="0"/>
        </w:rPr>
      </w:pPr>
      <w:r>
        <w:rPr>
          <w:rFonts w:hint="eastAsia"/>
          <w:kern w:val="0"/>
        </w:rPr>
        <w:t xml:space="preserve">? </w:t>
      </w:r>
      <w:r>
        <w:rPr>
          <w:kern w:val="0"/>
        </w:rPr>
        <w:t>T</w:t>
      </w:r>
      <w:r w:rsidR="007D2D61">
        <w:rPr>
          <w:kern w:val="0"/>
        </w:rPr>
        <w:t>ürkmenler, H., Ö</w:t>
      </w:r>
      <w:r>
        <w:rPr>
          <w:kern w:val="0"/>
        </w:rPr>
        <w:t>zacar, M.</w:t>
      </w:r>
      <w:r w:rsidR="00F81221">
        <w:rPr>
          <w:kern w:val="0"/>
        </w:rPr>
        <w:t xml:space="preserve"> and </w:t>
      </w:r>
      <w:r w:rsidR="007D2D61">
        <w:rPr>
          <w:kern w:val="0"/>
        </w:rPr>
        <w:t>Ş</w:t>
      </w:r>
      <w:r>
        <w:rPr>
          <w:kern w:val="0"/>
        </w:rPr>
        <w:t>engil,</w:t>
      </w:r>
      <w:r w:rsidR="007D2D61">
        <w:rPr>
          <w:rFonts w:hint="eastAsia"/>
          <w:kern w:val="0"/>
        </w:rPr>
        <w:t xml:space="preserve"> </w:t>
      </w:r>
      <w:r w:rsidR="007D2D61">
        <w:rPr>
          <w:kern w:val="0"/>
        </w:rPr>
        <w:t>İ</w:t>
      </w:r>
      <w:r>
        <w:rPr>
          <w:kern w:val="0"/>
        </w:rPr>
        <w:t>.A. (2008), Biosorption of lead onto mimosa tannin resin: Equilibrium</w:t>
      </w:r>
      <w:r w:rsidR="00F81221">
        <w:rPr>
          <w:kern w:val="0"/>
        </w:rPr>
        <w:t xml:space="preserve"> and </w:t>
      </w:r>
      <w:r>
        <w:rPr>
          <w:kern w:val="0"/>
        </w:rPr>
        <w:t xml:space="preserve">kinetic studies.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57-70.</w:t>
      </w:r>
    </w:p>
    <w:p w:rsidR="00297F23" w:rsidRDefault="00297F23" w:rsidP="000D762B">
      <w:pPr>
        <w:pStyle w:val="a0"/>
      </w:pPr>
      <w:r w:rsidRPr="00A428C3">
        <w:t xml:space="preserve">Full Text: </w:t>
      </w:r>
      <w:hyperlink r:id="rId1760" w:history="1">
        <w:r w:rsidR="000D762B" w:rsidRPr="000D762B">
          <w:rPr>
            <w:rStyle w:val="a5"/>
          </w:rPr>
          <w:t>2008\Int J Env Pol34, 57.pdf</w:t>
        </w:r>
      </w:hyperlink>
    </w:p>
    <w:p w:rsidR="00297F23" w:rsidRDefault="00297F23" w:rsidP="00297F23">
      <w:pPr>
        <w:pStyle w:val="a0"/>
        <w:rPr>
          <w:kern w:val="0"/>
        </w:rPr>
      </w:pPr>
      <w:r>
        <w:rPr>
          <w:kern w:val="0"/>
        </w:rPr>
        <w:t>Abstract: The biosorption of lead onto mimosa tannin resin is studied using a batch sorber. The experimental isotherm data were analysed using the Langmuir, Freundlich</w:t>
      </w:r>
      <w:r w:rsidR="00F81221">
        <w:rPr>
          <w:kern w:val="0"/>
        </w:rPr>
        <w:t xml:space="preserve"> and </w:t>
      </w:r>
      <w:r>
        <w:rPr>
          <w:kern w:val="0"/>
        </w:rPr>
        <w:t>Temkin equations. The equilibrium data fit well in the Freundlich isotherm. The experimental data were analysed using three sorption kinetic models - the pseudo-first-</w:t>
      </w:r>
      <w:r w:rsidR="00F81221">
        <w:rPr>
          <w:kern w:val="0"/>
        </w:rPr>
        <w:t xml:space="preserve"> and </w:t>
      </w:r>
      <w:r>
        <w:rPr>
          <w:kern w:val="0"/>
        </w:rPr>
        <w:t>second-order equations,</w:t>
      </w:r>
      <w:r w:rsidR="00F81221">
        <w:rPr>
          <w:kern w:val="0"/>
        </w:rPr>
        <w:t xml:space="preserve"> and </w:t>
      </w:r>
      <w:r>
        <w:rPr>
          <w:kern w:val="0"/>
        </w:rPr>
        <w:t>the Elovich equation - to determine the best fit equation for the biosorption of lead ions onto mimosa tannin resin. Results show that the Elovich equation provides the best correlation for the biosorption process, whereas the pseudo-second-order equation also fits the experimental data well.</w:t>
      </w:r>
    </w:p>
    <w:p w:rsidR="00297F23" w:rsidRDefault="00297F23" w:rsidP="00297F23">
      <w:pPr>
        <w:pStyle w:val="a0"/>
        <w:rPr>
          <w:kern w:val="0"/>
        </w:rPr>
      </w:pPr>
      <w:r>
        <w:rPr>
          <w:kern w:val="0"/>
        </w:rPr>
        <w:t>Keywords: Acid Dyes, Adsorption, Aqueous-Solutions, Batch, Biosorption, Biosorption Kinetics, Calcined Alunite, Coagulant Aid, Correlation, Disperse Dyes, Elovich, Elovich Equation, Equilibrium, Equilibrium Data, Freundlich, Freundlich Isotherm, Ions, Isotherm, Kinetic, Kinetic Models, Kinetic Studies, Langmuir, Lead, Lead Ions, Metal-Complex Dyes, Mimosa Tannin Resin, Models, Persimmon Tannin, Pine Sawdust, Process, Pseudo-Second-Order, Pseudo-Second-Order Equation, Resin, Second-Order, Sorption, Sorption Kinetic</w:t>
      </w:r>
    </w:p>
    <w:p w:rsidR="00297F23" w:rsidRDefault="00297F23" w:rsidP="00297F23">
      <w:pPr>
        <w:pStyle w:val="a0"/>
        <w:rPr>
          <w:kern w:val="0"/>
        </w:rPr>
      </w:pPr>
      <w:r>
        <w:rPr>
          <w:rFonts w:hint="eastAsia"/>
          <w:kern w:val="0"/>
        </w:rPr>
        <w:t xml:space="preserve">? </w:t>
      </w:r>
      <w:r w:rsidR="00BB1A46">
        <w:rPr>
          <w:kern w:val="0"/>
        </w:rPr>
        <w:t>Benaï</w:t>
      </w:r>
      <w:r>
        <w:rPr>
          <w:kern w:val="0"/>
        </w:rPr>
        <w:t xml:space="preserve">ssa, H. (2008), Removal of acid dyes from aqueous solutions using orange peel as a sorbent material.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71-82.</w:t>
      </w:r>
    </w:p>
    <w:p w:rsidR="00297F23" w:rsidRDefault="00297F23" w:rsidP="000D762B">
      <w:pPr>
        <w:pStyle w:val="a0"/>
      </w:pPr>
      <w:r w:rsidRPr="00A428C3">
        <w:t xml:space="preserve">Full Text: </w:t>
      </w:r>
      <w:hyperlink r:id="rId1761" w:history="1">
        <w:r w:rsidR="000D762B" w:rsidRPr="000D762B">
          <w:rPr>
            <w:rStyle w:val="a5"/>
          </w:rPr>
          <w:t>2008\Int J Env Pol34, 71.pdf</w:t>
        </w:r>
      </w:hyperlink>
    </w:p>
    <w:p w:rsidR="00297F23" w:rsidRDefault="00297F23" w:rsidP="00297F23">
      <w:pPr>
        <w:pStyle w:val="a0"/>
        <w:rPr>
          <w:kern w:val="0"/>
        </w:rPr>
      </w:pPr>
      <w:r>
        <w:rPr>
          <w:kern w:val="0"/>
        </w:rPr>
        <w:t>Abstract: An agricultural by-product waste, orange peel, was tested for the removal of four acid dyes from aqueous solutions in batch conditions. As results obtained, kinetics of dyes sorption was time of contact, initial dyes concentration</w:t>
      </w:r>
      <w:r w:rsidR="00F81221">
        <w:rPr>
          <w:kern w:val="0"/>
        </w:rPr>
        <w:t xml:space="preserve"> and </w:t>
      </w:r>
      <w:r>
        <w:rPr>
          <w:kern w:val="0"/>
        </w:rPr>
        <w:t xml:space="preserve">dyes type dependent. The pseudo second-order reaction rate model adequately described the </w:t>
      </w:r>
      <w:r>
        <w:rPr>
          <w:kern w:val="0"/>
        </w:rPr>
        <w:lastRenderedPageBreak/>
        <w:t>kinetics of dyes sorption with high correlation coefficients. A. Langnmir model gave a good fit to the experimental data. A high dyes sorption was observed by this sorbent material. For Nylosane Blue, a maximum sorption capacity about 65.88 mg/g was obtained followed by Erionyl Yellow (64.14 mg/g), Nylomine Red (62.07 mg/g)</w:t>
      </w:r>
      <w:r w:rsidR="00F81221">
        <w:rPr>
          <w:kern w:val="0"/>
        </w:rPr>
        <w:t xml:space="preserve"> and </w:t>
      </w:r>
      <w:r>
        <w:rPr>
          <w:kern w:val="0"/>
        </w:rPr>
        <w:t>Erionyl Red (40.72 mg/g) respectively.</w:t>
      </w:r>
    </w:p>
    <w:p w:rsidR="00297F23" w:rsidRDefault="00297F23" w:rsidP="00297F23">
      <w:pPr>
        <w:pStyle w:val="a0"/>
        <w:rPr>
          <w:kern w:val="0"/>
        </w:rPr>
      </w:pPr>
      <w:r>
        <w:rPr>
          <w:kern w:val="0"/>
        </w:rPr>
        <w:t>Keywords: Acid, Acid Dyes, Adsorption, Agricultural By-Product, Aqueous Solutions, Batch, Biosorption, Capacity, Contact, Correlation, Dyes, Kinetics, Model, Orange Peel, Pseudo Second-Order, Pseudo-Second-Order, Reaction Rate, Removal, Second-Order, Sorbent, Sorption, Sorption, Sorption Capacity</w:t>
      </w:r>
    </w:p>
    <w:p w:rsidR="00297F23" w:rsidRDefault="00297F23" w:rsidP="00297F23">
      <w:pPr>
        <w:pStyle w:val="a0"/>
        <w:rPr>
          <w:kern w:val="0"/>
        </w:rPr>
      </w:pPr>
      <w:r>
        <w:rPr>
          <w:rFonts w:hint="eastAsia"/>
          <w:kern w:val="0"/>
        </w:rPr>
        <w:t xml:space="preserve">? </w:t>
      </w:r>
      <w:r>
        <w:rPr>
          <w:kern w:val="0"/>
        </w:rPr>
        <w:t>Kulshrestha, M.</w:t>
      </w:r>
      <w:r w:rsidR="00F81221">
        <w:rPr>
          <w:kern w:val="0"/>
        </w:rPr>
        <w:t xml:space="preserve"> and </w:t>
      </w:r>
      <w:r>
        <w:rPr>
          <w:kern w:val="0"/>
        </w:rPr>
        <w:t>Venkobachar, C. (2008), Removal</w:t>
      </w:r>
      <w:r w:rsidR="00F81221">
        <w:rPr>
          <w:kern w:val="0"/>
        </w:rPr>
        <w:t xml:space="preserve"> and </w:t>
      </w:r>
      <w:r>
        <w:rPr>
          <w:kern w:val="0"/>
        </w:rPr>
        <w:t xml:space="preserve">recovery of uranium (VI) using a fungal based low-cost biosorbent Ganoderma lucidum.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83-96.</w:t>
      </w:r>
    </w:p>
    <w:p w:rsidR="00297F23" w:rsidRDefault="00297F23" w:rsidP="000D762B">
      <w:pPr>
        <w:pStyle w:val="a0"/>
      </w:pPr>
      <w:r w:rsidRPr="00A428C3">
        <w:t xml:space="preserve">Full Text: </w:t>
      </w:r>
      <w:hyperlink r:id="rId1762" w:history="1">
        <w:r w:rsidR="000D762B" w:rsidRPr="000D762B">
          <w:rPr>
            <w:rStyle w:val="a5"/>
          </w:rPr>
          <w:t>2008\Int J Env Pol34, 83.pdf</w:t>
        </w:r>
      </w:hyperlink>
    </w:p>
    <w:p w:rsidR="00297F23" w:rsidRDefault="00297F23" w:rsidP="00297F23">
      <w:pPr>
        <w:pStyle w:val="a0"/>
        <w:rPr>
          <w:kern w:val="0"/>
        </w:rPr>
      </w:pPr>
      <w:r>
        <w:rPr>
          <w:kern w:val="0"/>
        </w:rPr>
        <w:t xml:space="preserve">Abstract: The macrofungus Ganoderma lucidum was employed for </w:t>
      </w:r>
      <w:r w:rsidR="000D762B">
        <w:rPr>
          <w:kern w:val="0"/>
        </w:rPr>
        <w:t>removing</w:t>
      </w:r>
      <w:r w:rsidR="00F81221">
        <w:rPr>
          <w:kern w:val="0"/>
        </w:rPr>
        <w:t xml:space="preserve"> and </w:t>
      </w:r>
      <w:r w:rsidR="000D762B">
        <w:rPr>
          <w:kern w:val="0"/>
        </w:rPr>
        <w:t>recovering uranium</w:t>
      </w:r>
      <w:r>
        <w:rPr>
          <w:kern w:val="0"/>
        </w:rPr>
        <w:t>(VI) from low-level (10-100 mg/L) uranium wastewaters. Kinetic studies revealed rapid sorption,</w:t>
      </w:r>
      <w:r w:rsidR="00F81221">
        <w:rPr>
          <w:kern w:val="0"/>
        </w:rPr>
        <w:t xml:space="preserve"> and </w:t>
      </w:r>
      <w:r>
        <w:rPr>
          <w:kern w:val="0"/>
        </w:rPr>
        <w:t>kinetics data fitted a second-order model. Equilibrium studies revealed G. lucidum to be a potential biosorbent with specific uptake of 8.98 mg/g at pH 5 for equilibrium U(VI) concentration of 10 mg/L. To recover sorbed U(VI), 0.2N Na</w:t>
      </w:r>
      <w:r w:rsidRPr="000D1BE9">
        <w:rPr>
          <w:kern w:val="0"/>
          <w:vertAlign w:val="subscript"/>
        </w:rPr>
        <w:t>2</w:t>
      </w:r>
      <w:r>
        <w:rPr>
          <w:kern w:val="0"/>
        </w:rPr>
        <w:t>CO</w:t>
      </w:r>
      <w:r w:rsidRPr="000D1BE9">
        <w:rPr>
          <w:kern w:val="0"/>
          <w:vertAlign w:val="subscript"/>
        </w:rPr>
        <w:t>3</w:t>
      </w:r>
      <w:r>
        <w:rPr>
          <w:kern w:val="0"/>
        </w:rPr>
        <w:t xml:space="preserve"> was employed as eluant</w:t>
      </w:r>
      <w:r w:rsidR="00F81221">
        <w:rPr>
          <w:kern w:val="0"/>
        </w:rPr>
        <w:t xml:space="preserve"> and </w:t>
      </w:r>
      <w:r>
        <w:rPr>
          <w:kern w:val="0"/>
        </w:rPr>
        <w:t>resulted in near 100% recovery. Results of the study indicate that biosorption by Ganoderma lucidum may provide a low energy, cost-effective route for treating</w:t>
      </w:r>
      <w:r w:rsidR="00F81221">
        <w:rPr>
          <w:kern w:val="0"/>
        </w:rPr>
        <w:t xml:space="preserve"> and </w:t>
      </w:r>
      <w:r>
        <w:rPr>
          <w:kern w:val="0"/>
        </w:rPr>
        <w:t>recovering precious uranium from low-level uranyl wastewaters.</w:t>
      </w:r>
    </w:p>
    <w:p w:rsidR="00297F23" w:rsidRDefault="00297F23" w:rsidP="00297F23">
      <w:pPr>
        <w:pStyle w:val="a0"/>
        <w:rPr>
          <w:kern w:val="0"/>
        </w:rPr>
      </w:pPr>
      <w:r>
        <w:rPr>
          <w:kern w:val="0"/>
        </w:rPr>
        <w:t xml:space="preserve">Keywords: Adsorption Mechanism, Biomass, Biosorbent, Biosorption, Biosorption, Cost-Effective, Desorption, Eluant, Equilibrium, Equilibrium Studies, Ganoderma Lucidum, Kinetic, Kinetic Studies, Kinetics, Metals, Model, </w:t>
      </w:r>
      <w:r>
        <w:rPr>
          <w:rFonts w:hint="eastAsia"/>
          <w:kern w:val="0"/>
        </w:rPr>
        <w:t>p</w:t>
      </w:r>
      <w:r>
        <w:rPr>
          <w:kern w:val="0"/>
        </w:rPr>
        <w:t>H, Recovery, Removal, Removal</w:t>
      </w:r>
      <w:r w:rsidR="00F81221">
        <w:rPr>
          <w:kern w:val="0"/>
        </w:rPr>
        <w:t xml:space="preserve"> and </w:t>
      </w:r>
      <w:r>
        <w:rPr>
          <w:kern w:val="0"/>
        </w:rPr>
        <w:t>Recovery of Uranium, Route, Second-Order, Sorption, U(VI), Uranium, Wastewaters</w:t>
      </w:r>
    </w:p>
    <w:p w:rsidR="00297F23" w:rsidRDefault="00297F23" w:rsidP="00297F23">
      <w:pPr>
        <w:pStyle w:val="a0"/>
        <w:rPr>
          <w:kern w:val="0"/>
        </w:rPr>
      </w:pPr>
      <w:r>
        <w:rPr>
          <w:rFonts w:hint="eastAsia"/>
          <w:kern w:val="0"/>
        </w:rPr>
        <w:t xml:space="preserve">? </w:t>
      </w:r>
      <w:r>
        <w:rPr>
          <w:kern w:val="0"/>
        </w:rPr>
        <w:t>El-Safty, S.A., Mizukami, F.</w:t>
      </w:r>
      <w:r w:rsidR="00F81221">
        <w:rPr>
          <w:kern w:val="0"/>
        </w:rPr>
        <w:t xml:space="preserve"> and </w:t>
      </w:r>
      <w:r>
        <w:rPr>
          <w:kern w:val="0"/>
        </w:rPr>
        <w:t xml:space="preserve">Hanaoka, T. (2008), Adsorption of aniline onto hexagonal mesoporous silicate monoliths (HOM-2).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97-110.</w:t>
      </w:r>
    </w:p>
    <w:p w:rsidR="00297F23" w:rsidRDefault="00297F23" w:rsidP="000D762B">
      <w:pPr>
        <w:pStyle w:val="a0"/>
      </w:pPr>
      <w:r w:rsidRPr="00A428C3">
        <w:t xml:space="preserve">Full Text: </w:t>
      </w:r>
      <w:hyperlink r:id="rId1763" w:history="1">
        <w:r w:rsidR="000D762B" w:rsidRPr="000D762B">
          <w:rPr>
            <w:rStyle w:val="a5"/>
          </w:rPr>
          <w:t>2008\Int J Env Pol34, 97.pdf</w:t>
        </w:r>
      </w:hyperlink>
    </w:p>
    <w:p w:rsidR="00297F23" w:rsidRDefault="00297F23" w:rsidP="00297F23">
      <w:pPr>
        <w:pStyle w:val="a0"/>
        <w:rPr>
          <w:kern w:val="0"/>
        </w:rPr>
      </w:pPr>
      <w:r>
        <w:rPr>
          <w:kern w:val="0"/>
        </w:rPr>
        <w:t>Abstract: Hexagonally highly ordered monolithic mesoporous silica</w:t>
      </w:r>
      <w:r w:rsidR="00F81221">
        <w:rPr>
          <w:kern w:val="0"/>
        </w:rPr>
        <w:t xml:space="preserve"> and </w:t>
      </w:r>
      <w:r>
        <w:rPr>
          <w:kern w:val="0"/>
        </w:rPr>
        <w:t>aluminosilicate composites (HOM-2</w:t>
      </w:r>
      <w:r w:rsidR="00F81221">
        <w:rPr>
          <w:kern w:val="0"/>
        </w:rPr>
        <w:t xml:space="preserve"> and </w:t>
      </w:r>
      <w:r>
        <w:rPr>
          <w:kern w:val="0"/>
        </w:rPr>
        <w:t>Al/HOM-2, respectively) were used as adsorbents for removal of aniline in aqueous solution. These HOM-adsorbents were fabricated by using a simple, reproducible</w:t>
      </w:r>
      <w:r w:rsidR="00F81221">
        <w:rPr>
          <w:kern w:val="0"/>
        </w:rPr>
        <w:t xml:space="preserve"> and </w:t>
      </w:r>
      <w:r>
        <w:rPr>
          <w:kern w:val="0"/>
        </w:rPr>
        <w:t>direct synthesis strategy in which instantly preformed liquid crystalline phase of Brij 56 (C16EO10) surfactant was used as templates. Extensive characterisation studies showed that Al/HOM-2 composites revealed higher surface area, smaller pore sizes</w:t>
      </w:r>
      <w:r w:rsidR="00F81221">
        <w:rPr>
          <w:kern w:val="0"/>
        </w:rPr>
        <w:t xml:space="preserve"> and </w:t>
      </w:r>
      <w:r>
        <w:rPr>
          <w:kern w:val="0"/>
        </w:rPr>
        <w:t xml:space="preserve">thicker pore wall than those of unloaded-HOM-2 monoliths, indicating that Al might be impregnated into the inner </w:t>
      </w:r>
      <w:r>
        <w:rPr>
          <w:kern w:val="0"/>
        </w:rPr>
        <w:lastRenderedPageBreak/>
        <w:t>pores</w:t>
      </w:r>
      <w:r w:rsidR="00F81221">
        <w:rPr>
          <w:kern w:val="0"/>
        </w:rPr>
        <w:t xml:space="preserve"> and </w:t>
      </w:r>
      <w:r>
        <w:rPr>
          <w:kern w:val="0"/>
        </w:rPr>
        <w:t>the wall frameworks of HOM-2 silica monoliths. The adsorption experiments of aniline were investigated by using batch techniques. The results obtained showed that the aniline molecule strongly adsorbed onto the aluminosilicate mesostructures. In addition, the HOM-adsorbent exhibited high efficiency for aniline removal after several uses without loss of structural ordering, permitting the reusability for further selective separation of organic molecules from water.</w:t>
      </w:r>
    </w:p>
    <w:p w:rsidR="00297F23" w:rsidRDefault="00297F23" w:rsidP="00297F23">
      <w:pPr>
        <w:pStyle w:val="a0"/>
        <w:rPr>
          <w:kern w:val="0"/>
        </w:rPr>
      </w:pPr>
      <w:r>
        <w:rPr>
          <w:kern w:val="0"/>
        </w:rPr>
        <w:t>Keywords: Adsorbents, Adsorption, Aluminosilicates, Aniline, Aniline Removal, Aniline Solute, Aqueous Solution, Aqueous-Solution, Batch, Characterisation, Composites, Crystalline, Crystalline Phase, Dye Adsorption, Efficiency, Experiments, Hexagonal Structures, Loss, Mesoporous, Mesoporous Silica, Monolayers, Monolithic-Adsorbents, Organic Pollutants, Removal, Separation, Silica, Solubilization, Sorption, Surface, Surfactant, Surfactant Mesophases, Synthesis, Water, Water Treatments</w:t>
      </w:r>
    </w:p>
    <w:p w:rsidR="00297F23" w:rsidRDefault="00297F23" w:rsidP="00297F23">
      <w:pPr>
        <w:pStyle w:val="a0"/>
        <w:rPr>
          <w:kern w:val="0"/>
        </w:rPr>
      </w:pPr>
      <w:r>
        <w:rPr>
          <w:rFonts w:hint="eastAsia"/>
          <w:kern w:val="0"/>
        </w:rPr>
        <w:t xml:space="preserve">? </w:t>
      </w:r>
      <w:r>
        <w:rPr>
          <w:kern w:val="0"/>
        </w:rPr>
        <w:t>Gu, Y.C., Liao, X.P., Huang, Y.J.</w:t>
      </w:r>
      <w:r w:rsidR="00F81221">
        <w:rPr>
          <w:kern w:val="0"/>
        </w:rPr>
        <w:t xml:space="preserve"> and </w:t>
      </w:r>
      <w:r>
        <w:rPr>
          <w:kern w:val="0"/>
        </w:rPr>
        <w:t xml:space="preserve">Shi, B. (2008), Adsorption of anionic dyes on Fe(III)-loaded collagen fibre from aqueous solution.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111-121.</w:t>
      </w:r>
    </w:p>
    <w:p w:rsidR="00297F23" w:rsidRDefault="00297F23" w:rsidP="000D762B">
      <w:pPr>
        <w:pStyle w:val="a0"/>
      </w:pPr>
      <w:r w:rsidRPr="00A428C3">
        <w:t xml:space="preserve">Full Text: </w:t>
      </w:r>
      <w:hyperlink r:id="rId1764" w:history="1">
        <w:r w:rsidR="000D762B" w:rsidRPr="000D762B">
          <w:rPr>
            <w:rStyle w:val="a5"/>
          </w:rPr>
          <w:t>2008\Int J Env Pol34, 111.pdf</w:t>
        </w:r>
      </w:hyperlink>
    </w:p>
    <w:p w:rsidR="00297F23" w:rsidRDefault="00297F23" w:rsidP="00297F23">
      <w:pPr>
        <w:pStyle w:val="a0"/>
        <w:rPr>
          <w:kern w:val="0"/>
        </w:rPr>
      </w:pPr>
      <w:r>
        <w:rPr>
          <w:kern w:val="0"/>
        </w:rPr>
        <w:t>Abstract: A novel adsorbent, Fe(III)-loaded collagen fibre (FLCF), was prepared</w:t>
      </w:r>
      <w:r w:rsidR="00F81221">
        <w:rPr>
          <w:kern w:val="0"/>
        </w:rPr>
        <w:t xml:space="preserve"> and </w:t>
      </w:r>
      <w:r>
        <w:rPr>
          <w:kern w:val="0"/>
        </w:rPr>
        <w:t>its adsorption behaviours to three kinds of anionic dyes, Direct Yellow 11 (DY11), Acid Yellow 11 (AY11)</w:t>
      </w:r>
      <w:r w:rsidR="00F81221">
        <w:rPr>
          <w:kern w:val="0"/>
        </w:rPr>
        <w:t xml:space="preserve"> and </w:t>
      </w:r>
      <w:r>
        <w:rPr>
          <w:kern w:val="0"/>
        </w:rPr>
        <w:t>Reactive Blue 19 (RB19), were investigated. It was found that the highest adsorption capacity appeared at pH 3</w:t>
      </w:r>
      <w:r w:rsidR="00F81221">
        <w:rPr>
          <w:kern w:val="0"/>
        </w:rPr>
        <w:t xml:space="preserve"> and </w:t>
      </w:r>
      <w:r>
        <w:rPr>
          <w:kern w:val="0"/>
        </w:rPr>
        <w:t>that the effect of temperature was not remarkable on the adsorption of AY11</w:t>
      </w:r>
      <w:r w:rsidR="00F81221">
        <w:rPr>
          <w:kern w:val="0"/>
        </w:rPr>
        <w:t xml:space="preserve"> and </w:t>
      </w:r>
      <w:r>
        <w:rPr>
          <w:kern w:val="0"/>
        </w:rPr>
        <w:t>RB19, whilst considerable on the adsorption of DY11. The maximum adsorption capacities at 313 K were found to be 431.0 mg g</w:t>
      </w:r>
      <w:r>
        <w:rPr>
          <w:rFonts w:hint="eastAsia"/>
          <w:kern w:val="0"/>
          <w:vertAlign w:val="superscript"/>
        </w:rPr>
        <w:t>-1</w:t>
      </w:r>
      <w:r>
        <w:rPr>
          <w:kern w:val="0"/>
        </w:rPr>
        <w:t>, 485.2 mg g</w:t>
      </w:r>
      <w:r>
        <w:rPr>
          <w:rFonts w:hint="eastAsia"/>
          <w:kern w:val="0"/>
          <w:vertAlign w:val="superscript"/>
        </w:rPr>
        <w:t>-1</w:t>
      </w:r>
      <w:r w:rsidR="00F81221">
        <w:rPr>
          <w:kern w:val="0"/>
        </w:rPr>
        <w:t xml:space="preserve"> and </w:t>
      </w:r>
      <w:r>
        <w:rPr>
          <w:kern w:val="0"/>
        </w:rPr>
        <w:t>311.8 mg g</w:t>
      </w:r>
      <w:r>
        <w:rPr>
          <w:rFonts w:hint="eastAsia"/>
          <w:kern w:val="0"/>
          <w:vertAlign w:val="superscript"/>
        </w:rPr>
        <w:t>-1</w:t>
      </w:r>
      <w:r>
        <w:rPr>
          <w:kern w:val="0"/>
        </w:rPr>
        <w:t xml:space="preserve"> for DY11, AY11</w:t>
      </w:r>
      <w:r w:rsidR="00F81221">
        <w:rPr>
          <w:kern w:val="0"/>
        </w:rPr>
        <w:t xml:space="preserve"> and </w:t>
      </w:r>
      <w:r>
        <w:rPr>
          <w:kern w:val="0"/>
        </w:rPr>
        <w:t>RB19, respectively,</w:t>
      </w:r>
      <w:r w:rsidR="00F81221">
        <w:rPr>
          <w:kern w:val="0"/>
        </w:rPr>
        <w:t xml:space="preserve"> and </w:t>
      </w:r>
      <w:r>
        <w:rPr>
          <w:kern w:val="0"/>
        </w:rPr>
        <w:t>the adsorption equilibrium data could be well fitted by the Langmuir model. Furthermore, the adsorption kinetics could be well described by the pseudo-second-order rate model,</w:t>
      </w:r>
      <w:r w:rsidR="00F81221">
        <w:rPr>
          <w:kern w:val="0"/>
        </w:rPr>
        <w:t xml:space="preserve"> and </w:t>
      </w:r>
      <w:r>
        <w:rPr>
          <w:kern w:val="0"/>
        </w:rPr>
        <w:t>the adsorption capacities calculated by this model were close to the values actually determined, which implied that chemical reaction should be the rate-controlling step.</w:t>
      </w:r>
    </w:p>
    <w:p w:rsidR="00297F23" w:rsidRDefault="00297F23" w:rsidP="00297F23">
      <w:pPr>
        <w:pStyle w:val="a0"/>
        <w:rPr>
          <w:kern w:val="0"/>
        </w:rPr>
      </w:pPr>
      <w:r>
        <w:rPr>
          <w:kern w:val="0"/>
        </w:rPr>
        <w:t xml:space="preserve">Keywords: Acid Dyes, Activated-Sludge, Adsorbent, Adsorption, Adsorption Capacities, Adsorption Capacity, Adsorption Equilibrium, Adsorption Kinetics, Anionic Dyes, Aqueous Solution, Azo Reactive Dyes, Basic-Dyes, Behaviours, Capacity, Chemical Reaction, Collagen, Collagen Fibre, Congo Red, Dyes, Equilibrium, Equilibrium Data, Fe(III), Fe(III)-Loaded Collagen Fibre, Fly-Ash, Kinetics, Langmuir, Langmuir Model, Low-Cost Adsorbents, Metal Hydroxide Sludge, Model, Novel, </w:t>
      </w:r>
      <w:r>
        <w:rPr>
          <w:rFonts w:hint="eastAsia"/>
          <w:kern w:val="0"/>
        </w:rPr>
        <w:t>p</w:t>
      </w:r>
      <w:r>
        <w:rPr>
          <w:kern w:val="0"/>
        </w:rPr>
        <w:t>H, Pseudo-Second-Order, Reactive, Removal, Temperature, Values, Waste-Water</w:t>
      </w:r>
    </w:p>
    <w:p w:rsidR="00297F23" w:rsidRDefault="00297F23" w:rsidP="00297F23">
      <w:pPr>
        <w:pStyle w:val="a0"/>
        <w:rPr>
          <w:kern w:val="0"/>
        </w:rPr>
      </w:pPr>
      <w:r>
        <w:rPr>
          <w:rFonts w:hint="eastAsia"/>
          <w:kern w:val="0"/>
        </w:rPr>
        <w:t xml:space="preserve">? </w:t>
      </w:r>
      <w:r>
        <w:rPr>
          <w:kern w:val="0"/>
        </w:rPr>
        <w:t>Ileri, R.</w:t>
      </w:r>
      <w:r w:rsidR="00F81221">
        <w:rPr>
          <w:kern w:val="0"/>
        </w:rPr>
        <w:t xml:space="preserve"> and </w:t>
      </w:r>
      <w:r>
        <w:rPr>
          <w:kern w:val="0"/>
        </w:rPr>
        <w:t>Cakir, G. (2008), Biosorption kinetics</w:t>
      </w:r>
      <w:r w:rsidR="00F81221">
        <w:rPr>
          <w:kern w:val="0"/>
        </w:rPr>
        <w:t xml:space="preserve"> and </w:t>
      </w:r>
      <w:r>
        <w:rPr>
          <w:kern w:val="0"/>
        </w:rPr>
        <w:t xml:space="preserve">isotherms of </w:t>
      </w:r>
      <w:r w:rsidR="007E130E">
        <w:rPr>
          <w:kern w:val="0"/>
        </w:rPr>
        <w:t>copper(II)</w:t>
      </w:r>
      <w:r>
        <w:rPr>
          <w:kern w:val="0"/>
        </w:rPr>
        <w:t xml:space="preserve"> ions from aqueous solution</w:t>
      </w:r>
      <w:r w:rsidR="00F81221">
        <w:rPr>
          <w:kern w:val="0"/>
        </w:rPr>
        <w:t xml:space="preserve"> and </w:t>
      </w:r>
      <w:r>
        <w:rPr>
          <w:kern w:val="0"/>
        </w:rPr>
        <w:t xml:space="preserve">application of the MATLAB. </w:t>
      </w:r>
      <w:r>
        <w:rPr>
          <w:i/>
          <w:iCs/>
          <w:kern w:val="0"/>
        </w:rPr>
        <w:t xml:space="preserve">International Journal of </w:t>
      </w:r>
      <w:r>
        <w:rPr>
          <w:i/>
          <w:iCs/>
          <w:kern w:val="0"/>
        </w:rPr>
        <w:lastRenderedPageBreak/>
        <w:t>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122-139.</w:t>
      </w:r>
    </w:p>
    <w:p w:rsidR="00297F23" w:rsidRDefault="00297F23" w:rsidP="000D762B">
      <w:pPr>
        <w:pStyle w:val="a0"/>
      </w:pPr>
      <w:r w:rsidRPr="00A428C3">
        <w:t xml:space="preserve">Full Text: </w:t>
      </w:r>
      <w:hyperlink r:id="rId1765" w:history="1">
        <w:r w:rsidR="000D762B" w:rsidRPr="000D762B">
          <w:rPr>
            <w:rStyle w:val="a5"/>
          </w:rPr>
          <w:t>2008\Int J Env Pol34, 122.pdf</w:t>
        </w:r>
      </w:hyperlink>
    </w:p>
    <w:p w:rsidR="00297F23" w:rsidRDefault="00297F23" w:rsidP="00297F23">
      <w:pPr>
        <w:pStyle w:val="a0"/>
        <w:rPr>
          <w:kern w:val="0"/>
        </w:rPr>
      </w:pPr>
      <w:r>
        <w:rPr>
          <w:kern w:val="0"/>
        </w:rPr>
        <w:t>Abstract: In this study, biosorption kinetic</w:t>
      </w:r>
      <w:r w:rsidR="00F81221">
        <w:rPr>
          <w:kern w:val="0"/>
        </w:rPr>
        <w:t xml:space="preserve"> and </w:t>
      </w:r>
      <w:r>
        <w:rPr>
          <w:kern w:val="0"/>
        </w:rPr>
        <w:t xml:space="preserve">isotherm models were examined by the MATLAB for removal of copper ions from aqueous solution freely dead single </w:t>
      </w:r>
      <w:r w:rsidRPr="006D09A6">
        <w:rPr>
          <w:i/>
          <w:kern w:val="0"/>
        </w:rPr>
        <w:t>Rhizopus arhizus</w:t>
      </w:r>
      <w:r w:rsidR="00F81221">
        <w:rPr>
          <w:kern w:val="0"/>
        </w:rPr>
        <w:t xml:space="preserve"> and </w:t>
      </w:r>
      <w:r>
        <w:rPr>
          <w:kern w:val="0"/>
        </w:rPr>
        <w:t>mixed dead waste sludge biomass. The copper ions removal efficiencies at equilibrium were 98%, 95%</w:t>
      </w:r>
      <w:r w:rsidR="00F81221">
        <w:rPr>
          <w:kern w:val="0"/>
        </w:rPr>
        <w:t xml:space="preserve"> and </w:t>
      </w:r>
      <w:r>
        <w:rPr>
          <w:kern w:val="0"/>
        </w:rPr>
        <w:t xml:space="preserve">92% for freely dead R. </w:t>
      </w:r>
      <w:r w:rsidRPr="006D09A6">
        <w:rPr>
          <w:i/>
          <w:kern w:val="0"/>
        </w:rPr>
        <w:t>arrhizus</w:t>
      </w:r>
      <w:r w:rsidR="00F81221">
        <w:rPr>
          <w:kern w:val="0"/>
        </w:rPr>
        <w:t xml:space="preserve"> and </w:t>
      </w:r>
      <w:r>
        <w:rPr>
          <w:kern w:val="0"/>
        </w:rPr>
        <w:t>two types of dead waste sludge. The experimental data fitted to pseudo-second order kinetic model by having the best fitting degree</w:t>
      </w:r>
      <w:r w:rsidR="00F81221">
        <w:rPr>
          <w:kern w:val="0"/>
        </w:rPr>
        <w:t xml:space="preserve"> and </w:t>
      </w:r>
      <w:r>
        <w:rPr>
          <w:kern w:val="0"/>
        </w:rPr>
        <w:t>using the over whole range of the studies for three biosorbents. The Sips model provided a well fitting isotherm model</w:t>
      </w:r>
      <w:r w:rsidR="00F81221">
        <w:rPr>
          <w:kern w:val="0"/>
        </w:rPr>
        <w:t xml:space="preserve"> and </w:t>
      </w:r>
      <w:r>
        <w:rPr>
          <w:kern w:val="0"/>
        </w:rPr>
        <w:t>described the biosorption system of the removal of Cu</w:t>
      </w:r>
      <w:r w:rsidRPr="006D09A6">
        <w:rPr>
          <w:kern w:val="0"/>
          <w:vertAlign w:val="superscript"/>
        </w:rPr>
        <w:t>2+</w:t>
      </w:r>
      <w:r>
        <w:rPr>
          <w:kern w:val="0"/>
        </w:rPr>
        <w:t xml:space="preserve"> ions.</w:t>
      </w:r>
    </w:p>
    <w:p w:rsidR="00297F23" w:rsidRDefault="00297F23" w:rsidP="00297F23">
      <w:pPr>
        <w:pStyle w:val="a0"/>
        <w:rPr>
          <w:kern w:val="0"/>
        </w:rPr>
      </w:pPr>
      <w:r>
        <w:rPr>
          <w:kern w:val="0"/>
        </w:rPr>
        <w:t>Keywords: Adsorption, Aqueous Solution, Aspergillus-Niger, Biomass, Biosorption, Biosorption Kinetic, Biosorption Kinetics, Cadmium, Copper, Copper Ions, Cu(II), Cu</w:t>
      </w:r>
      <w:r w:rsidRPr="005D53E6">
        <w:rPr>
          <w:kern w:val="0"/>
          <w:vertAlign w:val="superscript"/>
        </w:rPr>
        <w:t>2+</w:t>
      </w:r>
      <w:r>
        <w:rPr>
          <w:kern w:val="0"/>
        </w:rPr>
        <w:t>, Equilibrium, Fitting, Immobilized Biomass, Ions, Isotherm, Isotherm Models, Isotherms, Kinetic, Kinetic</w:t>
      </w:r>
      <w:r w:rsidR="00F81221">
        <w:rPr>
          <w:kern w:val="0"/>
        </w:rPr>
        <w:t xml:space="preserve"> and </w:t>
      </w:r>
      <w:r>
        <w:rPr>
          <w:kern w:val="0"/>
        </w:rPr>
        <w:t>Isotherm Models, Kinetic Model, Kinetics, Matlab, Mixed, Model, Models, Pseudo-Second Order, Pseudo-Second Order Kinetic Model, Pseudo-Second-Order, R.Arrhizus, Removal, Rhizopus-Arrhizus, Sludge, Sorption, Waste Sludge, Zinc Ions</w:t>
      </w:r>
    </w:p>
    <w:p w:rsidR="00297F23" w:rsidRDefault="00297F23" w:rsidP="00297F23">
      <w:pPr>
        <w:pStyle w:val="a0"/>
        <w:rPr>
          <w:kern w:val="0"/>
        </w:rPr>
      </w:pPr>
      <w:r>
        <w:rPr>
          <w:rFonts w:hint="eastAsia"/>
          <w:kern w:val="0"/>
        </w:rPr>
        <w:t xml:space="preserve">? </w:t>
      </w:r>
      <w:r>
        <w:rPr>
          <w:kern w:val="0"/>
        </w:rPr>
        <w:t>Godlewska-Zylkiewicz, B. (2008), Slurry sampling electrothermal atomic absorption spectrometric determination of palladium in water using biosorption with inactive baker</w:t>
      </w:r>
      <w:r w:rsidR="000352E7">
        <w:rPr>
          <w:kern w:val="0"/>
        </w:rPr>
        <w:t>’</w:t>
      </w:r>
      <w:r>
        <w:rPr>
          <w:kern w:val="0"/>
        </w:rPr>
        <w:t xml:space="preserve">s yeast Saccharomyces cerevisiae.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140-150.</w:t>
      </w:r>
    </w:p>
    <w:p w:rsidR="00297F23" w:rsidRDefault="00297F23" w:rsidP="000D762B">
      <w:pPr>
        <w:pStyle w:val="a0"/>
      </w:pPr>
      <w:r w:rsidRPr="00A428C3">
        <w:t xml:space="preserve">Full Text: </w:t>
      </w:r>
      <w:hyperlink r:id="rId1766" w:history="1">
        <w:r w:rsidR="000D762B" w:rsidRPr="000D762B">
          <w:rPr>
            <w:rStyle w:val="a5"/>
          </w:rPr>
          <w:t>2008\Int J Env Pol34, 140.pdf</w:t>
        </w:r>
      </w:hyperlink>
    </w:p>
    <w:p w:rsidR="00297F23" w:rsidRDefault="00297F23" w:rsidP="00297F23">
      <w:pPr>
        <w:pStyle w:val="a0"/>
        <w:rPr>
          <w:kern w:val="0"/>
        </w:rPr>
      </w:pPr>
      <w:r>
        <w:rPr>
          <w:kern w:val="0"/>
        </w:rPr>
        <w:t>Abstract: Inactive cells of yeast Saccharomyces cerevisiae were used for palladium preconcentration. The conditions for biosorption of palladium</w:t>
      </w:r>
      <w:r w:rsidR="00F81221">
        <w:rPr>
          <w:kern w:val="0"/>
        </w:rPr>
        <w:t xml:space="preserve"> and </w:t>
      </w:r>
      <w:r>
        <w:rPr>
          <w:kern w:val="0"/>
        </w:rPr>
        <w:t>its determination in yeast cells by slurry electrothermal atomic absorption spectrometry (ETAAS) were optimised. The best sensitivity of measurements</w:t>
      </w:r>
      <w:r w:rsidR="00F81221">
        <w:rPr>
          <w:kern w:val="0"/>
        </w:rPr>
        <w:t xml:space="preserve"> and </w:t>
      </w:r>
      <w:r>
        <w:rPr>
          <w:kern w:val="0"/>
        </w:rPr>
        <w:t>stability of slurry were obtained by using a mechanical agitation (10 minutes)</w:t>
      </w:r>
      <w:r w:rsidR="00F81221">
        <w:rPr>
          <w:kern w:val="0"/>
        </w:rPr>
        <w:t xml:space="preserve"> and </w:t>
      </w:r>
      <w:r>
        <w:rPr>
          <w:kern w:val="0"/>
        </w:rPr>
        <w:t>a mixture of 0.3 mol l</w:t>
      </w:r>
      <w:r>
        <w:rPr>
          <w:rFonts w:hint="eastAsia"/>
          <w:kern w:val="0"/>
          <w:vertAlign w:val="superscript"/>
        </w:rPr>
        <w:t>-1</w:t>
      </w:r>
      <w:r>
        <w:rPr>
          <w:kern w:val="0"/>
        </w:rPr>
        <w:t xml:space="preserve"> thiourea - 1 mol l</w:t>
      </w:r>
      <w:r>
        <w:rPr>
          <w:rFonts w:hint="eastAsia"/>
          <w:kern w:val="0"/>
          <w:vertAlign w:val="superscript"/>
        </w:rPr>
        <w:t>-1</w:t>
      </w:r>
      <w:r>
        <w:rPr>
          <w:kern w:val="0"/>
        </w:rPr>
        <w:t xml:space="preserve"> HCl - 0.5% Triton X-100 as suspension medium. The repeatability of the measurements of Pd in yeast slurry was 6.5% (n = 10). For the quantification of analyte in spiked water samples, the standard addition method was used.</w:t>
      </w:r>
    </w:p>
    <w:p w:rsidR="00297F23" w:rsidRDefault="00297F23" w:rsidP="00297F23">
      <w:pPr>
        <w:pStyle w:val="a0"/>
        <w:rPr>
          <w:kern w:val="0"/>
        </w:rPr>
      </w:pPr>
      <w:r>
        <w:rPr>
          <w:kern w:val="0"/>
        </w:rPr>
        <w:t>Keywords: Atomic Absorption Spectrometry, Baker</w:t>
      </w:r>
      <w:r w:rsidR="000352E7">
        <w:rPr>
          <w:kern w:val="0"/>
        </w:rPr>
        <w:t>’</w:t>
      </w:r>
      <w:r>
        <w:rPr>
          <w:kern w:val="0"/>
        </w:rPr>
        <w:t>S Yeast, Biosorption, Electrothermal Atomic Absorption Spectrometry, Escherichia-Coli, Etaas, HCl, ICP-MS, Palladium, Platinum, Preconcentration, Pseudomonas-Putida, Road Dust, Saccharomyces Cerevisiae, Samples, Sensitivity, Separation, Slurry Sampling, Solid-Phase Extraction, Speciation, Spectrometry, Stability, Trace Amounts, Triton X-100, Water, Water Samples, Yeast</w:t>
      </w:r>
    </w:p>
    <w:p w:rsidR="00297F23" w:rsidRDefault="00297F23" w:rsidP="00297F23">
      <w:pPr>
        <w:pStyle w:val="a0"/>
        <w:rPr>
          <w:kern w:val="0"/>
        </w:rPr>
      </w:pPr>
      <w:r>
        <w:rPr>
          <w:rFonts w:hint="eastAsia"/>
          <w:kern w:val="0"/>
        </w:rPr>
        <w:t xml:space="preserve">? </w:t>
      </w:r>
      <w:r>
        <w:rPr>
          <w:kern w:val="0"/>
        </w:rPr>
        <w:t>Koumanova, B., Achova, B.</w:t>
      </w:r>
      <w:r w:rsidR="00F81221">
        <w:rPr>
          <w:kern w:val="0"/>
        </w:rPr>
        <w:t xml:space="preserve"> and </w:t>
      </w:r>
      <w:r>
        <w:rPr>
          <w:kern w:val="0"/>
        </w:rPr>
        <w:t>Allen, S.J. (2008), Biosorption of acid dye on Pueraria lobata ohwi. Equilibrium</w:t>
      </w:r>
      <w:r w:rsidR="00F81221">
        <w:rPr>
          <w:kern w:val="0"/>
        </w:rPr>
        <w:t xml:space="preserve"> and </w:t>
      </w:r>
      <w:r>
        <w:rPr>
          <w:kern w:val="0"/>
        </w:rPr>
        <w:t xml:space="preserve">kinetic modelling. </w:t>
      </w:r>
      <w:r>
        <w:rPr>
          <w:i/>
          <w:iCs/>
          <w:kern w:val="0"/>
        </w:rPr>
        <w:t xml:space="preserve">International Journal of </w:t>
      </w:r>
      <w:r>
        <w:rPr>
          <w:i/>
          <w:iCs/>
          <w:kern w:val="0"/>
        </w:rPr>
        <w:lastRenderedPageBreak/>
        <w:t>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151-163.</w:t>
      </w:r>
    </w:p>
    <w:p w:rsidR="00297F23" w:rsidRDefault="00297F23" w:rsidP="000D762B">
      <w:pPr>
        <w:pStyle w:val="a0"/>
      </w:pPr>
      <w:r w:rsidRPr="00A428C3">
        <w:t xml:space="preserve">Full Text: </w:t>
      </w:r>
      <w:hyperlink r:id="rId1767" w:history="1">
        <w:r w:rsidR="000D762B" w:rsidRPr="000D762B">
          <w:rPr>
            <w:rStyle w:val="a5"/>
          </w:rPr>
          <w:t>2008\Int J Env Pol34, 151.pdf</w:t>
        </w:r>
      </w:hyperlink>
    </w:p>
    <w:p w:rsidR="00297F23" w:rsidRDefault="00297F23" w:rsidP="00297F23">
      <w:pPr>
        <w:pStyle w:val="a0"/>
        <w:rPr>
          <w:kern w:val="0"/>
        </w:rPr>
      </w:pPr>
      <w:r>
        <w:rPr>
          <w:kern w:val="0"/>
        </w:rPr>
        <w:t>Abstract: The applicability of the biomaterial kudzu (Pueraria lobata ohwi) for the removal of the acid dye Erionil Marine Blau (EMB) from aqueous medium was investigated. The equilibrium results were described by the Langmuir</w:t>
      </w:r>
      <w:r w:rsidR="00F81221">
        <w:rPr>
          <w:kern w:val="0"/>
        </w:rPr>
        <w:t xml:space="preserve"> and </w:t>
      </w:r>
      <w:r>
        <w:rPr>
          <w:kern w:val="0"/>
        </w:rPr>
        <w:t>Freundlich models</w:t>
      </w:r>
      <w:r w:rsidR="00F81221">
        <w:rPr>
          <w:kern w:val="0"/>
        </w:rPr>
        <w:t xml:space="preserve"> and </w:t>
      </w:r>
      <w:r>
        <w:rPr>
          <w:kern w:val="0"/>
        </w:rPr>
        <w:t>the isotherms parameters were calculated. The experimental data were correlated better by the Freundlich model (R</w:t>
      </w:r>
      <w:r w:rsidRPr="006D09A6">
        <w:rPr>
          <w:kern w:val="0"/>
          <w:vertAlign w:val="superscript"/>
        </w:rPr>
        <w:t>2</w:t>
      </w:r>
      <w:r>
        <w:rPr>
          <w:kern w:val="0"/>
        </w:rPr>
        <w:t xml:space="preserve"> = 0.9029). The effect of the system variables, initial sorbate concentration, mass of biosorbent, agitation rate</w:t>
      </w:r>
      <w:r w:rsidR="00F81221">
        <w:rPr>
          <w:kern w:val="0"/>
        </w:rPr>
        <w:t xml:space="preserve"> and </w:t>
      </w:r>
      <w:r>
        <w:rPr>
          <w:kern w:val="0"/>
        </w:rPr>
        <w:t>particle size, were examined. It was established that the biosorption of EMB on kudzu followed pseudo second order kinetics. The intraparticle diffusion model was also applied to explain the mechanism of dye molecules diffusion through the non-living biomass. The comparative estimation of the results proved the feasibility of using kudzu as an effective biosorbent for the removal of the acid dye EMB from aqueous phase. The highest obtained percent uptake of dye was 93%.</w:t>
      </w:r>
    </w:p>
    <w:p w:rsidR="00297F23" w:rsidRDefault="00297F23" w:rsidP="00297F23">
      <w:pPr>
        <w:pStyle w:val="a0"/>
        <w:rPr>
          <w:kern w:val="0"/>
        </w:rPr>
      </w:pPr>
      <w:r>
        <w:rPr>
          <w:kern w:val="0"/>
        </w:rPr>
        <w:t>Keywords: Acid, Acid Dye, Acid Dye Erionil Marine Blau, Adsorption, Aqueous-Solution, Biomass, Biomaterial, Biosorbent, Biosorption, Comparative, Diffusion, Dye, Equilibrium, Feasibility, Freundlich, Freundlich Model, Granular Activated Carbon, Intraparticle Diffusion, Ions, Isotherms, Kinetic, Kinetic Modelling, Kinetics, Kudzu, Langmuir, Mechanism, Model, Modelling, Models, Particle Size, Phenols, Pseudo Second Order Kinetics, Pseudo-Isotherms, Pseudo-Second-Order, Removal, Second Order Kinetics, Second-Order, Sorbate, Sorption, Sphagnum Moss Peat, Tree Fern</w:t>
      </w:r>
    </w:p>
    <w:p w:rsidR="00297F23" w:rsidRDefault="00297F23" w:rsidP="000D762B">
      <w:pPr>
        <w:pStyle w:val="a0"/>
        <w:rPr>
          <w:kern w:val="0"/>
        </w:rPr>
      </w:pPr>
      <w:r>
        <w:rPr>
          <w:rFonts w:hint="eastAsia"/>
          <w:kern w:val="0"/>
        </w:rPr>
        <w:t xml:space="preserve">? </w:t>
      </w:r>
      <w:r>
        <w:rPr>
          <w:kern w:val="0"/>
        </w:rPr>
        <w:t>Mathialagan, T.</w:t>
      </w:r>
      <w:r w:rsidR="00F81221">
        <w:rPr>
          <w:kern w:val="0"/>
        </w:rPr>
        <w:t xml:space="preserve"> and </w:t>
      </w:r>
      <w:r>
        <w:rPr>
          <w:kern w:val="0"/>
        </w:rPr>
        <w:t xml:space="preserve">Viraraghavan, T. (2008), Biosorption of chlorophenols: </w:t>
      </w:r>
      <w:r w:rsidR="000D762B">
        <w:rPr>
          <w:rFonts w:hint="eastAsia"/>
          <w:kern w:val="0"/>
        </w:rPr>
        <w:t>A</w:t>
      </w:r>
      <w:r>
        <w:rPr>
          <w:kern w:val="0"/>
        </w:rPr>
        <w:t xml:space="preserve"> review.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164-194.</w:t>
      </w:r>
    </w:p>
    <w:p w:rsidR="00297F23" w:rsidRDefault="00297F23" w:rsidP="000D762B">
      <w:pPr>
        <w:pStyle w:val="a0"/>
      </w:pPr>
      <w:r w:rsidRPr="00A428C3">
        <w:t xml:space="preserve">Full Text: </w:t>
      </w:r>
      <w:hyperlink r:id="rId1768" w:history="1">
        <w:r w:rsidR="000D762B" w:rsidRPr="000D762B">
          <w:rPr>
            <w:rStyle w:val="a5"/>
          </w:rPr>
          <w:t>2008\Int J Env Pol34, 164.pdf</w:t>
        </w:r>
      </w:hyperlink>
    </w:p>
    <w:p w:rsidR="00297F23" w:rsidRDefault="00297F23" w:rsidP="00297F23">
      <w:pPr>
        <w:pStyle w:val="a0"/>
        <w:rPr>
          <w:kern w:val="0"/>
        </w:rPr>
      </w:pPr>
      <w:r>
        <w:rPr>
          <w:kern w:val="0"/>
        </w:rPr>
        <w:t>Abstract: A review of published literature on the biosorption of chlorophenols using various biomasses is presented. Factors such as pH, time, temperature, ionic strength, type of biomass</w:t>
      </w:r>
      <w:r w:rsidR="00F81221">
        <w:rPr>
          <w:kern w:val="0"/>
        </w:rPr>
        <w:t xml:space="preserve"> and </w:t>
      </w:r>
      <w:r>
        <w:rPr>
          <w:kern w:val="0"/>
        </w:rPr>
        <w:t>type of chlorophenols influence the chlorophenol uptake by biomass. There is appreciable potential for biosorption of chlorophenols by most of the biomasses tested, although it is species dependent. The mechanisms of biosorption are generally speculated</w:t>
      </w:r>
      <w:r w:rsidR="00F81221">
        <w:rPr>
          <w:kern w:val="0"/>
        </w:rPr>
        <w:t xml:space="preserve"> and </w:t>
      </w:r>
      <w:r>
        <w:rPr>
          <w:kern w:val="0"/>
        </w:rPr>
        <w:t>understood only to a limited extent. More research</w:t>
      </w:r>
      <w:r w:rsidR="00F81221">
        <w:rPr>
          <w:kern w:val="0"/>
        </w:rPr>
        <w:t xml:space="preserve"> and </w:t>
      </w:r>
      <w:r>
        <w:rPr>
          <w:kern w:val="0"/>
        </w:rPr>
        <w:t>development of the various aspects of biosorption technology for removal of chlorophenols is recommended.</w:t>
      </w:r>
    </w:p>
    <w:p w:rsidR="00297F23" w:rsidRDefault="00297F23" w:rsidP="00297F23">
      <w:pPr>
        <w:pStyle w:val="a0"/>
        <w:rPr>
          <w:kern w:val="0"/>
        </w:rPr>
      </w:pPr>
      <w:r>
        <w:rPr>
          <w:kern w:val="0"/>
        </w:rPr>
        <w:t xml:space="preserve">Keywords: Activated Carbon, Anaerobic Granular Sludge, Aqueous-Solutions, Biocide Pentachlorophenol, Biomass, Biosorption, Chlorinated Phenols, Chlorophenol, Chlorophenols, Desorption Characteristics, Development, Hazardous Organic Pollutants, Influence, Ionic Strength, Literature, Mechanisms, Microbial Biomass, Pentachlorophenol Adsorption, </w:t>
      </w:r>
      <w:r>
        <w:rPr>
          <w:rFonts w:hint="eastAsia"/>
          <w:kern w:val="0"/>
        </w:rPr>
        <w:t>p</w:t>
      </w:r>
      <w:r>
        <w:rPr>
          <w:kern w:val="0"/>
        </w:rPr>
        <w:t xml:space="preserve">H, Pulp Bleaching Effluents, Removal, Research, Review, Technology, Temperature, Type </w:t>
      </w:r>
      <w:r w:rsidR="00CE22D6">
        <w:rPr>
          <w:kern w:val="0"/>
        </w:rPr>
        <w:t xml:space="preserve">of </w:t>
      </w:r>
      <w:r>
        <w:rPr>
          <w:kern w:val="0"/>
        </w:rPr>
        <w:t>Biomass</w:t>
      </w:r>
    </w:p>
    <w:p w:rsidR="00297F23" w:rsidRDefault="00297F23" w:rsidP="00297F23">
      <w:pPr>
        <w:pStyle w:val="a0"/>
        <w:rPr>
          <w:kern w:val="0"/>
        </w:rPr>
      </w:pPr>
      <w:r>
        <w:rPr>
          <w:rFonts w:hint="eastAsia"/>
          <w:kern w:val="0"/>
        </w:rPr>
        <w:lastRenderedPageBreak/>
        <w:t xml:space="preserve">? </w:t>
      </w:r>
      <w:r>
        <w:rPr>
          <w:kern w:val="0"/>
        </w:rPr>
        <w:t>Kang, S.Y., Lee, J.U.</w:t>
      </w:r>
      <w:r w:rsidR="00F81221">
        <w:rPr>
          <w:kern w:val="0"/>
        </w:rPr>
        <w:t xml:space="preserve"> and </w:t>
      </w:r>
      <w:r>
        <w:rPr>
          <w:kern w:val="0"/>
        </w:rPr>
        <w:t xml:space="preserve">Kim, K.W. (2008), Biosorption of Pb(II) from synthetic wastewater onto </w:t>
      </w:r>
      <w:r w:rsidRPr="000D762B">
        <w:rPr>
          <w:i/>
          <w:iCs/>
          <w:kern w:val="0"/>
        </w:rPr>
        <w:t>Pseudomonas aeruginosa</w:t>
      </w:r>
      <w:r>
        <w:rPr>
          <w:kern w:val="0"/>
        </w:rPr>
        <w:t xml:space="preserv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195-202.</w:t>
      </w:r>
    </w:p>
    <w:p w:rsidR="00297F23" w:rsidRDefault="00297F23" w:rsidP="000D762B">
      <w:pPr>
        <w:pStyle w:val="a0"/>
      </w:pPr>
      <w:r w:rsidRPr="00A428C3">
        <w:t xml:space="preserve">Full Text: </w:t>
      </w:r>
      <w:hyperlink r:id="rId1769" w:history="1">
        <w:r w:rsidR="000D762B" w:rsidRPr="000D762B">
          <w:rPr>
            <w:rStyle w:val="a5"/>
          </w:rPr>
          <w:t>2008\Int J Env Pol34, 195.pdf</w:t>
        </w:r>
      </w:hyperlink>
    </w:p>
    <w:p w:rsidR="00297F23" w:rsidRDefault="00297F23" w:rsidP="00297F23">
      <w:pPr>
        <w:pStyle w:val="a0"/>
        <w:rPr>
          <w:kern w:val="0"/>
        </w:rPr>
      </w:pPr>
      <w:r>
        <w:rPr>
          <w:kern w:val="0"/>
        </w:rPr>
        <w:t>Abstract: The biosorption property onto Pseudomonas aeruginosa was represented by the Langmuir isotherm,</w:t>
      </w:r>
      <w:r w:rsidR="00F81221">
        <w:rPr>
          <w:kern w:val="0"/>
        </w:rPr>
        <w:t xml:space="preserve"> and </w:t>
      </w:r>
      <w:r>
        <w:rPr>
          <w:kern w:val="0"/>
        </w:rPr>
        <w:t>the maximum capacity of Pb(II) was 45 mg g</w:t>
      </w:r>
      <w:r>
        <w:rPr>
          <w:rFonts w:hint="eastAsia"/>
          <w:kern w:val="0"/>
          <w:vertAlign w:val="superscript"/>
        </w:rPr>
        <w:t>-1</w:t>
      </w:r>
      <w:r>
        <w:rPr>
          <w:kern w:val="0"/>
        </w:rPr>
        <w:t xml:space="preserve"> dry weight of bacteria at pH 5. The biosorption capacity of Pb(II) in a binary system increased with increasing Pb(II) concentration, from 0 to 50 mg l</w:t>
      </w:r>
      <w:r>
        <w:rPr>
          <w:rFonts w:hint="eastAsia"/>
          <w:kern w:val="0"/>
          <w:vertAlign w:val="superscript"/>
        </w:rPr>
        <w:t>-1</w:t>
      </w:r>
      <w:r>
        <w:rPr>
          <w:kern w:val="0"/>
        </w:rPr>
        <w:t xml:space="preserve"> in which Cr(III) existed at a constant concentration of 50 mg l</w:t>
      </w:r>
      <w:r>
        <w:rPr>
          <w:rFonts w:hint="eastAsia"/>
          <w:kern w:val="0"/>
          <w:vertAlign w:val="superscript"/>
        </w:rPr>
        <w:t>-1</w:t>
      </w:r>
      <w:r>
        <w:rPr>
          <w:kern w:val="0"/>
        </w:rPr>
        <w:t>. This result indicates that there was no competitive adsorption reaction for the same binding sites on the bacterial surface, because the metal properties of Pb(II)</w:t>
      </w:r>
      <w:r w:rsidR="00F81221">
        <w:rPr>
          <w:kern w:val="0"/>
        </w:rPr>
        <w:t xml:space="preserve"> and </w:t>
      </w:r>
      <w:r>
        <w:rPr>
          <w:kern w:val="0"/>
        </w:rPr>
        <w:t>Cr(III) ions differ.</w:t>
      </w:r>
    </w:p>
    <w:p w:rsidR="00297F23" w:rsidRDefault="00297F23" w:rsidP="00297F23">
      <w:pPr>
        <w:pStyle w:val="a0"/>
        <w:rPr>
          <w:kern w:val="0"/>
        </w:rPr>
      </w:pPr>
      <w:r>
        <w:rPr>
          <w:kern w:val="0"/>
        </w:rPr>
        <w:t>Keywords: Adsorption, Bacteria, Binary System, Binding Sites, Biosorption, Capacity, Cells, Co</w:t>
      </w:r>
      <w:r w:rsidRPr="005D53E6">
        <w:rPr>
          <w:kern w:val="0"/>
          <w:vertAlign w:val="superscript"/>
        </w:rPr>
        <w:t>2+</w:t>
      </w:r>
      <w:r>
        <w:rPr>
          <w:kern w:val="0"/>
        </w:rPr>
        <w:t xml:space="preserve">, Competition, Competitive Adsorption, Cr(III), Ions, Isotherm, Langmuir, Langmuir Isotherm, Lead Ions, Metal, Metals, Pb(II), </w:t>
      </w:r>
      <w:r>
        <w:rPr>
          <w:rFonts w:hint="eastAsia"/>
          <w:kern w:val="0"/>
        </w:rPr>
        <w:t>p</w:t>
      </w:r>
      <w:r>
        <w:rPr>
          <w:kern w:val="0"/>
        </w:rPr>
        <w:t>H, Pseudomonas, Pseudomonas Aeruginosa, Removal, Removal Efficiency, Surface, Wastewater</w:t>
      </w:r>
    </w:p>
    <w:p w:rsidR="00297F23" w:rsidRDefault="00297F23" w:rsidP="00297F23">
      <w:pPr>
        <w:pStyle w:val="a0"/>
        <w:rPr>
          <w:kern w:val="0"/>
        </w:rPr>
      </w:pPr>
      <w:r>
        <w:rPr>
          <w:rFonts w:hint="eastAsia"/>
          <w:kern w:val="0"/>
        </w:rPr>
        <w:t xml:space="preserve">? </w:t>
      </w:r>
      <w:r>
        <w:rPr>
          <w:kern w:val="0"/>
        </w:rPr>
        <w:t>Namasivayam, C.</w:t>
      </w:r>
      <w:r w:rsidR="00F81221">
        <w:rPr>
          <w:kern w:val="0"/>
        </w:rPr>
        <w:t xml:space="preserve"> and </w:t>
      </w:r>
      <w:r>
        <w:rPr>
          <w:kern w:val="0"/>
        </w:rPr>
        <w:t xml:space="preserve">Hoell, W.H. (2008), Quaternised biomass as anion exchanger for the removal of fluoride from water.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203-214.</w:t>
      </w:r>
    </w:p>
    <w:p w:rsidR="00297F23" w:rsidRDefault="00297F23" w:rsidP="000D762B">
      <w:pPr>
        <w:pStyle w:val="a0"/>
      </w:pPr>
      <w:r w:rsidRPr="00A428C3">
        <w:t xml:space="preserve">Full Text: </w:t>
      </w:r>
      <w:hyperlink r:id="rId1770" w:history="1">
        <w:r w:rsidR="000D762B" w:rsidRPr="000D762B">
          <w:rPr>
            <w:rStyle w:val="a5"/>
          </w:rPr>
          <w:t>2008\Int J Env Pol34, 203.pdf</w:t>
        </w:r>
      </w:hyperlink>
    </w:p>
    <w:p w:rsidR="00297F23" w:rsidRDefault="00297F23" w:rsidP="00297F23">
      <w:pPr>
        <w:pStyle w:val="a0"/>
        <w:rPr>
          <w:kern w:val="0"/>
        </w:rPr>
      </w:pPr>
      <w:r>
        <w:rPr>
          <w:kern w:val="0"/>
        </w:rPr>
        <w:t>Abstract: Dried Chinese Reed, a fast growing plant, was used as a model biomass for the development of anion exchangers using a quaternisation agent, N-(3-chloro-2-hydroxypropyl) trimethylammonium chloride (CHMAC), for the removal of fluoride from water. Parameters investigated in the adsorption studies include F- concentration, agitation time, adsorbent dose</w:t>
      </w:r>
      <w:r w:rsidR="00F81221">
        <w:rPr>
          <w:kern w:val="0"/>
        </w:rPr>
        <w:t xml:space="preserve"> and </w:t>
      </w:r>
      <w:r>
        <w:rPr>
          <w:kern w:val="0"/>
        </w:rPr>
        <w:t>pH. Equilibrium adsorption data followed both Langmuir</w:t>
      </w:r>
      <w:r w:rsidR="00F81221">
        <w:rPr>
          <w:kern w:val="0"/>
        </w:rPr>
        <w:t xml:space="preserve"> and </w:t>
      </w:r>
      <w:r>
        <w:rPr>
          <w:kern w:val="0"/>
        </w:rPr>
        <w:t>Freundlich isotherms. Presence of chloride, nitrate</w:t>
      </w:r>
      <w:r w:rsidR="00F81221">
        <w:rPr>
          <w:kern w:val="0"/>
        </w:rPr>
        <w:t xml:space="preserve"> and </w:t>
      </w:r>
      <w:r>
        <w:rPr>
          <w:kern w:val="0"/>
        </w:rPr>
        <w:t>sulfate decreased the adsorption significantly. Quaternised Hanf sativa</w:t>
      </w:r>
      <w:r w:rsidR="00F81221">
        <w:rPr>
          <w:kern w:val="0"/>
        </w:rPr>
        <w:t xml:space="preserve"> and </w:t>
      </w:r>
      <w:r>
        <w:rPr>
          <w:kern w:val="0"/>
        </w:rPr>
        <w:t>coconut coir pith (solid waste from coconut coir fibre industry) were also tested for the removal of fluoride with</w:t>
      </w:r>
      <w:r w:rsidR="00F81221">
        <w:rPr>
          <w:kern w:val="0"/>
        </w:rPr>
        <w:t xml:space="preserve"> and </w:t>
      </w:r>
      <w:r>
        <w:rPr>
          <w:kern w:val="0"/>
        </w:rPr>
        <w:t>without cross linking.</w:t>
      </w:r>
    </w:p>
    <w:p w:rsidR="00297F23" w:rsidRDefault="00297F23" w:rsidP="00297F23">
      <w:pPr>
        <w:pStyle w:val="a0"/>
        <w:rPr>
          <w:kern w:val="0"/>
        </w:rPr>
      </w:pPr>
      <w:r>
        <w:rPr>
          <w:kern w:val="0"/>
        </w:rPr>
        <w:t>Keywords: Adsorbent, Adsorption, Adsorption, Agent, Alumina, Anion, Aqueous-Solution, Biomass, Chinese, Coir, Coir Pith, Defluoridation, Desorption, Development, Dose, Drinking-Water, Earth, Equilibrium, Fluoride, Freundlich, Interfering Anions, Ion-Exchange, Isotherms, Langmuir, Langmuir</w:t>
      </w:r>
      <w:r w:rsidR="00F81221">
        <w:rPr>
          <w:kern w:val="0"/>
        </w:rPr>
        <w:t xml:space="preserve"> and </w:t>
      </w:r>
      <w:r>
        <w:rPr>
          <w:kern w:val="0"/>
        </w:rPr>
        <w:t xml:space="preserve">Freundlich Isotherms, Model, Nitrate, </w:t>
      </w:r>
      <w:r>
        <w:rPr>
          <w:rFonts w:hint="eastAsia"/>
          <w:kern w:val="0"/>
        </w:rPr>
        <w:t>p</w:t>
      </w:r>
      <w:r>
        <w:rPr>
          <w:kern w:val="0"/>
        </w:rPr>
        <w:t xml:space="preserve">H, </w:t>
      </w:r>
      <w:r>
        <w:rPr>
          <w:rFonts w:hint="eastAsia"/>
          <w:kern w:val="0"/>
        </w:rPr>
        <w:t>p</w:t>
      </w:r>
      <w:r>
        <w:rPr>
          <w:kern w:val="0"/>
        </w:rPr>
        <w:t>H Effect, Quaternised Biomass, Removal, Removal of Fluoride, Solid Waste, Sulfate, Waste-Water, Wastewaters, Water</w:t>
      </w:r>
    </w:p>
    <w:p w:rsidR="00297F23" w:rsidRDefault="00297F23" w:rsidP="00297F23">
      <w:pPr>
        <w:pStyle w:val="a0"/>
        <w:rPr>
          <w:kern w:val="0"/>
        </w:rPr>
      </w:pPr>
      <w:r>
        <w:rPr>
          <w:rFonts w:hint="eastAsia"/>
          <w:kern w:val="0"/>
        </w:rPr>
        <w:t xml:space="preserve">? </w:t>
      </w:r>
      <w:r>
        <w:rPr>
          <w:kern w:val="0"/>
        </w:rPr>
        <w:t>Escudero, C., Fiol, N., Poch, J.</w:t>
      </w:r>
      <w:r w:rsidR="00F81221">
        <w:rPr>
          <w:kern w:val="0"/>
        </w:rPr>
        <w:t xml:space="preserve"> and </w:t>
      </w:r>
      <w:r>
        <w:rPr>
          <w:kern w:val="0"/>
        </w:rPr>
        <w:t xml:space="preserve">Villaescusa, I. (2008), The kinetics of copper sorption onto yohimbe bark wastes.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215-230.</w:t>
      </w:r>
    </w:p>
    <w:p w:rsidR="000D762B" w:rsidRDefault="000D762B" w:rsidP="000D762B">
      <w:pPr>
        <w:pStyle w:val="a0"/>
      </w:pPr>
      <w:r w:rsidRPr="00A428C3">
        <w:t xml:space="preserve">Full Text: </w:t>
      </w:r>
      <w:hyperlink r:id="rId1771" w:history="1">
        <w:r w:rsidRPr="000D762B">
          <w:rPr>
            <w:rStyle w:val="a5"/>
          </w:rPr>
          <w:t>2008\Int J Env Pol34, 215.pdf</w:t>
        </w:r>
      </w:hyperlink>
    </w:p>
    <w:p w:rsidR="00297F23" w:rsidRDefault="00297F23" w:rsidP="00297F23">
      <w:pPr>
        <w:pStyle w:val="a0"/>
        <w:rPr>
          <w:kern w:val="0"/>
        </w:rPr>
      </w:pPr>
      <w:r>
        <w:rPr>
          <w:kern w:val="0"/>
        </w:rPr>
        <w:t xml:space="preserve">Abstract: Kinetics of Cu(II) sorption onto yohimbe bark wastes have been investigated </w:t>
      </w:r>
      <w:r>
        <w:rPr>
          <w:kern w:val="0"/>
        </w:rPr>
        <w:lastRenderedPageBreak/>
        <w:t>at various initial metal concentration, sorbent mass, agitation speed</w:t>
      </w:r>
      <w:r w:rsidR="00F81221">
        <w:rPr>
          <w:kern w:val="0"/>
        </w:rPr>
        <w:t xml:space="preserve"> and </w:t>
      </w:r>
      <w:r>
        <w:rPr>
          <w:kern w:val="0"/>
        </w:rPr>
        <w:t>particle size. The kinetic data have been treated by using two kinetic models the pseudo-first order equation</w:t>
      </w:r>
      <w:r w:rsidR="00F81221">
        <w:rPr>
          <w:kern w:val="0"/>
        </w:rPr>
        <w:t xml:space="preserve"> and </w:t>
      </w:r>
      <w:r>
        <w:rPr>
          <w:kern w:val="0"/>
        </w:rPr>
        <w:t>the pseudo-second order equation. Results showed that chemical sorption is the rate-control ling step</w:t>
      </w:r>
      <w:r w:rsidR="00F81221">
        <w:rPr>
          <w:kern w:val="0"/>
        </w:rPr>
        <w:t xml:space="preserve"> and </w:t>
      </w:r>
      <w:r>
        <w:rPr>
          <w:kern w:val="0"/>
        </w:rPr>
        <w:t>that the mechanism of mass transport by diffusion across the liquid film surrounding the yohimbe particles is not a limiting step in the sorption process. ton exchange was found to be the main responsible mechanism for copper ions uptake.</w:t>
      </w:r>
    </w:p>
    <w:p w:rsidR="00297F23" w:rsidRDefault="00297F23" w:rsidP="00297F23">
      <w:pPr>
        <w:pStyle w:val="a0"/>
        <w:rPr>
          <w:kern w:val="0"/>
        </w:rPr>
      </w:pPr>
      <w:r>
        <w:rPr>
          <w:kern w:val="0"/>
        </w:rPr>
        <w:t>Keywords: Adsorption, Carbon, Copper, Copper Ions, Cu, Diffusion, Exchange, Film, FTIR-ATR, Hexavalent Chromium, Ion Exchange, Ions, Kinetic, Kinetic Models, Kinetics, Mechanism, Metal, Metals, Models, Particle Size, Peat, Process, Pseudo-First Order, Pseudo-First Order Equation, Pseudo-First-Order, Pseudo-Second Order, Pseudo-Second Order Equation, Pseudo-Second-Order, Removal, Sem-Edx, Sorbent, Sorption, Transport, Yohimbe Bark Wastes</w:t>
      </w:r>
    </w:p>
    <w:p w:rsidR="00297F23" w:rsidRDefault="00297F23" w:rsidP="00297F23">
      <w:pPr>
        <w:pStyle w:val="a0"/>
        <w:rPr>
          <w:kern w:val="0"/>
        </w:rPr>
      </w:pPr>
      <w:r>
        <w:rPr>
          <w:rFonts w:hint="eastAsia"/>
          <w:kern w:val="0"/>
        </w:rPr>
        <w:t xml:space="preserve">? </w:t>
      </w:r>
      <w:r>
        <w:rPr>
          <w:kern w:val="0"/>
        </w:rPr>
        <w:t>Matis, K.A., Zouboulis, A.I., Lazaridis, N.K.</w:t>
      </w:r>
      <w:r w:rsidR="00F81221">
        <w:rPr>
          <w:kern w:val="0"/>
        </w:rPr>
        <w:t xml:space="preserve"> and </w:t>
      </w:r>
      <w:r>
        <w:rPr>
          <w:kern w:val="0"/>
        </w:rPr>
        <w:t xml:space="preserve">Karapantsios, T.D. (2008), Metal ions biosorption from dilute aqueous solution.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231-245.</w:t>
      </w:r>
    </w:p>
    <w:p w:rsidR="00297F23" w:rsidRDefault="00297F23" w:rsidP="000D762B">
      <w:pPr>
        <w:pStyle w:val="a0"/>
      </w:pPr>
      <w:r w:rsidRPr="00A428C3">
        <w:t xml:space="preserve">Full Text: </w:t>
      </w:r>
      <w:hyperlink r:id="rId1772" w:history="1">
        <w:r w:rsidR="000D762B" w:rsidRPr="000D762B">
          <w:rPr>
            <w:rStyle w:val="a5"/>
          </w:rPr>
          <w:t>2008\Int J Env Pol34, 231.pdf</w:t>
        </w:r>
      </w:hyperlink>
    </w:p>
    <w:p w:rsidR="00297F23" w:rsidRDefault="00297F23" w:rsidP="00297F23">
      <w:pPr>
        <w:pStyle w:val="a0"/>
        <w:rPr>
          <w:kern w:val="0"/>
        </w:rPr>
      </w:pPr>
      <w:r>
        <w:rPr>
          <w:kern w:val="0"/>
        </w:rPr>
        <w:t>Abstract: Biosorption, using non-living biomass (mostly suspended), is briefly reviewed in this paper as applied to toxic metal ions removal, with particular focus on the kinetics</w:t>
      </w:r>
      <w:r w:rsidR="00F81221">
        <w:rPr>
          <w:kern w:val="0"/>
        </w:rPr>
        <w:t xml:space="preserve"> and </w:t>
      </w:r>
      <w:r>
        <w:rPr>
          <w:kern w:val="0"/>
        </w:rPr>
        <w:t>engineering considerations of the process. Several diverse kinetic models were successful in fitting the experimental data. Evidence was provided that the metal biosorption (on Aeromonas caviae biomass) is a complex process. The examination of satisfactory</w:t>
      </w:r>
      <w:r w:rsidR="00F81221">
        <w:rPr>
          <w:kern w:val="0"/>
        </w:rPr>
        <w:t xml:space="preserve"> and </w:t>
      </w:r>
      <w:r>
        <w:rPr>
          <w:kern w:val="0"/>
        </w:rPr>
        <w:t>innovative wastewater treatment techniques has become an important requirement nowadays,</w:t>
      </w:r>
      <w:r w:rsidR="00F81221">
        <w:rPr>
          <w:kern w:val="0"/>
        </w:rPr>
        <w:t xml:space="preserve"> and </w:t>
      </w:r>
      <w:r>
        <w:rPr>
          <w:kern w:val="0"/>
        </w:rPr>
        <w:t>one of the significant subjects under investigation is the effective recycling of water</w:t>
      </w:r>
      <w:r w:rsidR="00F81221">
        <w:rPr>
          <w:kern w:val="0"/>
        </w:rPr>
        <w:t xml:space="preserve"> and </w:t>
      </w:r>
      <w:r>
        <w:rPr>
          <w:kern w:val="0"/>
        </w:rPr>
        <w:t>for precious or strategic metals themselves.</w:t>
      </w:r>
    </w:p>
    <w:p w:rsidR="00297F23" w:rsidRDefault="00297F23" w:rsidP="00297F23">
      <w:pPr>
        <w:pStyle w:val="a0"/>
        <w:rPr>
          <w:kern w:val="0"/>
        </w:rPr>
      </w:pPr>
      <w:r>
        <w:rPr>
          <w:kern w:val="0"/>
        </w:rPr>
        <w:t>Keywords: Aeromonas-Caviae, Aqueous Solution, Biomass, Biosorbent, Biosorption, Cadmium Ions, Cations, Chromium(VI) Biosorption, Engineering, Equilibrium, Fitting, Flotation, Fungal Biomass, Heavy-Metals, Ions, Kinetic, Kinetic Models, Kinetics, Metal, Metal Biosorption, Metal Ions, Metal Ions Removal, Metals, Modelling, Models, Oxyanions, Process, Recycling, Removal, Separation, Sorption, Toxic Metals, Treatment, Treatment Techniques, Wastewater, Wastewater Treatment, Water</w:t>
      </w:r>
    </w:p>
    <w:p w:rsidR="00297F23" w:rsidRDefault="00297F23" w:rsidP="00297F23">
      <w:pPr>
        <w:pStyle w:val="a0"/>
        <w:rPr>
          <w:kern w:val="0"/>
        </w:rPr>
      </w:pPr>
      <w:r>
        <w:rPr>
          <w:rFonts w:hint="eastAsia"/>
          <w:kern w:val="0"/>
        </w:rPr>
        <w:t xml:space="preserve">? </w:t>
      </w:r>
      <w:r>
        <w:rPr>
          <w:kern w:val="0"/>
        </w:rPr>
        <w:t>Lee, C.K., Ong, S.T.</w:t>
      </w:r>
      <w:r w:rsidR="00F81221">
        <w:rPr>
          <w:kern w:val="0"/>
        </w:rPr>
        <w:t xml:space="preserve"> and </w:t>
      </w:r>
      <w:r>
        <w:rPr>
          <w:kern w:val="0"/>
        </w:rPr>
        <w:t>Zainal, Z. (2008), Ethylenediamine modified rice hull as a sorbent for the removal of Basic Blue 3</w:t>
      </w:r>
      <w:r w:rsidR="00F81221">
        <w:rPr>
          <w:kern w:val="0"/>
        </w:rPr>
        <w:t xml:space="preserve"> and </w:t>
      </w:r>
      <w:r>
        <w:rPr>
          <w:kern w:val="0"/>
        </w:rPr>
        <w:t xml:space="preserve">Reactive Orange 16.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246-260.</w:t>
      </w:r>
    </w:p>
    <w:p w:rsidR="00297F23" w:rsidRDefault="00297F23" w:rsidP="000D762B">
      <w:pPr>
        <w:pStyle w:val="a0"/>
      </w:pPr>
      <w:r w:rsidRPr="00A428C3">
        <w:t xml:space="preserve">Full Text: </w:t>
      </w:r>
      <w:hyperlink r:id="rId1773" w:history="1">
        <w:r w:rsidR="000D762B" w:rsidRPr="000D762B">
          <w:rPr>
            <w:rStyle w:val="a5"/>
          </w:rPr>
          <w:t>2008\Int J Env Pol34, 246.pdf</w:t>
        </w:r>
      </w:hyperlink>
    </w:p>
    <w:p w:rsidR="00297F23" w:rsidRDefault="00297F23" w:rsidP="00297F23">
      <w:pPr>
        <w:pStyle w:val="a0"/>
        <w:rPr>
          <w:kern w:val="0"/>
        </w:rPr>
      </w:pPr>
      <w:r>
        <w:rPr>
          <w:kern w:val="0"/>
        </w:rPr>
        <w:t>Abstract: The potential of ethylenediamine modified rice hull to remove both basic</w:t>
      </w:r>
      <w:r w:rsidR="00F81221">
        <w:rPr>
          <w:kern w:val="0"/>
        </w:rPr>
        <w:t xml:space="preserve"> and </w:t>
      </w:r>
      <w:r>
        <w:rPr>
          <w:kern w:val="0"/>
        </w:rPr>
        <w:t xml:space="preserve">reactive dyes from aqueous solutions was studied. Equilibrium sorption data could be </w:t>
      </w:r>
      <w:r>
        <w:rPr>
          <w:kern w:val="0"/>
        </w:rPr>
        <w:lastRenderedPageBreak/>
        <w:t>fitted into Langmuir</w:t>
      </w:r>
      <w:r w:rsidR="00F81221">
        <w:rPr>
          <w:kern w:val="0"/>
        </w:rPr>
        <w:t xml:space="preserve"> and </w:t>
      </w:r>
      <w:r>
        <w:rPr>
          <w:kern w:val="0"/>
        </w:rPr>
        <w:t>Brunauer-Emmett-Teller isotherm models. Sorption was enhanced by 4.5-</w:t>
      </w:r>
      <w:r w:rsidR="00F81221">
        <w:rPr>
          <w:kern w:val="0"/>
        </w:rPr>
        <w:t xml:space="preserve"> and </w:t>
      </w:r>
      <w:r>
        <w:rPr>
          <w:kern w:val="0"/>
        </w:rPr>
        <w:t>2.4-fold for Basic Blue 3</w:t>
      </w:r>
      <w:r w:rsidR="00F81221">
        <w:rPr>
          <w:kern w:val="0"/>
        </w:rPr>
        <w:t xml:space="preserve"> and </w:t>
      </w:r>
      <w:r>
        <w:rPr>
          <w:kern w:val="0"/>
        </w:rPr>
        <w:t>Reactive Orange 16, respectively, in binary dye solutions compared to single dye solutions. Column studies revealed that breakthrough was bed-depth, flow-rate</w:t>
      </w:r>
      <w:r w:rsidR="00F81221">
        <w:rPr>
          <w:kern w:val="0"/>
        </w:rPr>
        <w:t xml:space="preserve"> and </w:t>
      </w:r>
      <w:r>
        <w:rPr>
          <w:kern w:val="0"/>
        </w:rPr>
        <w:t>influent-concentration dependent. Unusual breakthrough curves were obtained for Reactive Orange 16, with very rapid initial breakthrough followed by complete retention at low flow rate, influent concentration</w:t>
      </w:r>
      <w:r w:rsidR="00F81221">
        <w:rPr>
          <w:kern w:val="0"/>
        </w:rPr>
        <w:t xml:space="preserve"> and </w:t>
      </w:r>
      <w:r>
        <w:rPr>
          <w:kern w:val="0"/>
        </w:rPr>
        <w:t>high bed depth. The breakthrough curves of Basic Blue 3 followed the typical S shape of packed-bed systems. Theoretical breakthrough curves at different bed depths</w:t>
      </w:r>
      <w:r w:rsidR="00F81221">
        <w:rPr>
          <w:kern w:val="0"/>
        </w:rPr>
        <w:t xml:space="preserve"> and </w:t>
      </w:r>
      <w:r>
        <w:rPr>
          <w:kern w:val="0"/>
        </w:rPr>
        <w:t>flow rates generated by the two-parameter mathematical model agreed well with the experimental data of single dye solution of Basic Blue 3.</w:t>
      </w:r>
    </w:p>
    <w:p w:rsidR="00297F23" w:rsidRDefault="00297F23" w:rsidP="00297F23">
      <w:pPr>
        <w:pStyle w:val="a0"/>
        <w:rPr>
          <w:kern w:val="0"/>
        </w:rPr>
      </w:pPr>
      <w:r>
        <w:rPr>
          <w:kern w:val="0"/>
        </w:rPr>
        <w:t>Keywords: Adsorption, Aqueous Solutions, Aqueous-Solution, Basic Blue 3, Biosorption, Breakthrough, Breakthrough Curves, Column, Column Studies, Dye, Dyes, Equilibrium, Ethylenediamine, Husk, Isotherm, Isotherm Models, Langmuir, Mathematical Model, Model, Models, Modified, Packed Bed, Packed-Bed, Pith, Reactive, Reactive Dyes, Reactive Orange 16, Removal, Residues, Retention, Rice Hull, Sorbent, Sorption, Systems, Two-Parameter Model</w:t>
      </w:r>
    </w:p>
    <w:p w:rsidR="00297F23" w:rsidRDefault="00297F23" w:rsidP="00297F23">
      <w:pPr>
        <w:pStyle w:val="a0"/>
        <w:rPr>
          <w:kern w:val="0"/>
        </w:rPr>
      </w:pPr>
      <w:r>
        <w:rPr>
          <w:rFonts w:hint="eastAsia"/>
          <w:kern w:val="0"/>
        </w:rPr>
        <w:t xml:space="preserve">? </w:t>
      </w:r>
      <w:r>
        <w:rPr>
          <w:kern w:val="0"/>
        </w:rPr>
        <w:t>Chakrabarti, S., Chaudhuri, B.</w:t>
      </w:r>
      <w:r w:rsidR="00F81221">
        <w:rPr>
          <w:kern w:val="0"/>
        </w:rPr>
        <w:t xml:space="preserve"> and </w:t>
      </w:r>
      <w:r>
        <w:rPr>
          <w:kern w:val="0"/>
        </w:rPr>
        <w:t>Dutta, B.K. (2008), Adsorption of model textile dyes from aqueous solutions using agricultural wastes as adsorbents: Equilibrium, kinetics</w:t>
      </w:r>
      <w:r w:rsidR="00F81221">
        <w:rPr>
          <w:kern w:val="0"/>
        </w:rPr>
        <w:t xml:space="preserve"> and </w:t>
      </w:r>
      <w:r>
        <w:rPr>
          <w:kern w:val="0"/>
        </w:rPr>
        <w:t xml:space="preserve">fixed bed column study.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261-274.</w:t>
      </w:r>
    </w:p>
    <w:p w:rsidR="00297F23" w:rsidRDefault="00297F23" w:rsidP="000D762B">
      <w:pPr>
        <w:pStyle w:val="a0"/>
      </w:pPr>
      <w:r w:rsidRPr="00A428C3">
        <w:t xml:space="preserve">Full Text: </w:t>
      </w:r>
      <w:hyperlink r:id="rId1774" w:history="1">
        <w:r w:rsidR="000D762B" w:rsidRPr="000D762B">
          <w:rPr>
            <w:rStyle w:val="a5"/>
          </w:rPr>
          <w:t>2008\Int J Env Pol34, 261.pdf</w:t>
        </w:r>
      </w:hyperlink>
    </w:p>
    <w:p w:rsidR="00297F23" w:rsidRDefault="00297F23" w:rsidP="00297F23">
      <w:pPr>
        <w:pStyle w:val="a0"/>
        <w:rPr>
          <w:kern w:val="0"/>
        </w:rPr>
      </w:pPr>
      <w:r>
        <w:rPr>
          <w:kern w:val="0"/>
        </w:rPr>
        <w:t>Abstract: Gram husk</w:t>
      </w:r>
      <w:r w:rsidR="00F81221">
        <w:rPr>
          <w:kern w:val="0"/>
        </w:rPr>
        <w:t xml:space="preserve"> and </w:t>
      </w:r>
      <w:r>
        <w:rPr>
          <w:kern w:val="0"/>
        </w:rPr>
        <w:t>groundnut shell are cheap</w:t>
      </w:r>
      <w:r w:rsidR="00F81221">
        <w:rPr>
          <w:kern w:val="0"/>
        </w:rPr>
        <w:t xml:space="preserve"> and </w:t>
      </w:r>
      <w:r>
        <w:rPr>
          <w:kern w:val="0"/>
        </w:rPr>
        <w:t>abundantly available agricultural waste materials in India. A systematic study on the adsorption of some model dyes from aqueous solution on these low-cost adsorbents has been attempted. Model dyes used were Methylene Blue, Rhodamine B, Congo Red, Eosine Y</w:t>
      </w:r>
      <w:r w:rsidR="00F81221">
        <w:rPr>
          <w:kern w:val="0"/>
        </w:rPr>
        <w:t xml:space="preserve"> and </w:t>
      </w:r>
      <w:r>
        <w:rPr>
          <w:kern w:val="0"/>
        </w:rPr>
        <w:t>Metanil Yellow. Equilibrium, kinetics</w:t>
      </w:r>
      <w:r w:rsidR="00F81221">
        <w:rPr>
          <w:kern w:val="0"/>
        </w:rPr>
        <w:t xml:space="preserve"> and </w:t>
      </w:r>
      <w:r>
        <w:rPr>
          <w:kern w:val="0"/>
        </w:rPr>
        <w:t>column experiments were performed. Effects of different process variables have been studied. Equilibrium data fitted well in Langmuir</w:t>
      </w:r>
      <w:r w:rsidR="00F81221">
        <w:rPr>
          <w:kern w:val="0"/>
        </w:rPr>
        <w:t xml:space="preserve"> and </w:t>
      </w:r>
      <w:r>
        <w:rPr>
          <w:kern w:val="0"/>
        </w:rPr>
        <w:t>Freundlich isotherm equations. A model using Freundlich equation has been developed for interpretation of kinetic data. Other models such as Lagergren equation</w:t>
      </w:r>
      <w:r w:rsidR="00F81221">
        <w:rPr>
          <w:kern w:val="0"/>
        </w:rPr>
        <w:t xml:space="preserve"> and </w:t>
      </w:r>
      <w:r>
        <w:rPr>
          <w:kern w:val="0"/>
        </w:rPr>
        <w:t>pseudo second order equation were also used. Of these models, pseudo second order equation was found to be the most satisfactory. Column experiments were carried out with gram-husk</w:t>
      </w:r>
      <w:r w:rsidR="00F81221">
        <w:rPr>
          <w:kern w:val="0"/>
        </w:rPr>
        <w:t xml:space="preserve"> and </w:t>
      </w:r>
      <w:r>
        <w:rPr>
          <w:kern w:val="0"/>
        </w:rPr>
        <w:t>Rhodamine B. The data could be correlated well with BDST model.</w:t>
      </w:r>
    </w:p>
    <w:p w:rsidR="00297F23" w:rsidRDefault="00297F23" w:rsidP="00297F23">
      <w:pPr>
        <w:pStyle w:val="a0"/>
        <w:rPr>
          <w:kern w:val="0"/>
        </w:rPr>
      </w:pPr>
      <w:r>
        <w:rPr>
          <w:kern w:val="0"/>
        </w:rPr>
        <w:t xml:space="preserve">Keywords: Adsorbents, Adsorption, Agricultural Waste, Aqueous Solution, Aqueous Solutions, Basic-Dyes, Bdst Model, Color Removal, Column, Column Experiments, Column Study, Congo Red, Dyes, Equilibrium, Equilibrium Data, Experiments, Fixed Bed, Fixed Bed Column, Freundlich, Freundlich Equation, Freundlich Isotherm, Gram Husk, Groundnut Shell, India, Isotherm, Kinetic, Kinetics, Lagergren, Langmuir, Low Cost Adsorbents, Low-Cost Adsorbents, Metanil Yellow, </w:t>
      </w:r>
      <w:r>
        <w:rPr>
          <w:kern w:val="0"/>
        </w:rPr>
        <w:lastRenderedPageBreak/>
        <w:t>Methylene Blue, Model, Models, Process, Pseudo Second Order Kinetics, Pseudo-Second-Order, Rhodamine B, Second-Order, Shell, Sorption, Waste Materials, Water</w:t>
      </w:r>
    </w:p>
    <w:p w:rsidR="00297F23" w:rsidRDefault="00297F23" w:rsidP="00297F23">
      <w:pPr>
        <w:pStyle w:val="a0"/>
        <w:rPr>
          <w:kern w:val="0"/>
        </w:rPr>
      </w:pPr>
      <w:r>
        <w:rPr>
          <w:rFonts w:hint="eastAsia"/>
          <w:kern w:val="0"/>
        </w:rPr>
        <w:t xml:space="preserve">? </w:t>
      </w:r>
      <w:r>
        <w:rPr>
          <w:kern w:val="0"/>
        </w:rPr>
        <w:t>Kahraman, S., Dogan, N.</w:t>
      </w:r>
      <w:r w:rsidR="00F81221">
        <w:rPr>
          <w:kern w:val="0"/>
        </w:rPr>
        <w:t xml:space="preserve"> and </w:t>
      </w:r>
      <w:r>
        <w:rPr>
          <w:kern w:val="0"/>
        </w:rPr>
        <w:t xml:space="preserve">Erdemoglu, S. (2008), Use of various agricultural wastes for the removal of heavy metal ions.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275-284.</w:t>
      </w:r>
    </w:p>
    <w:p w:rsidR="00297F23" w:rsidRDefault="00297F23" w:rsidP="000D762B">
      <w:pPr>
        <w:pStyle w:val="a0"/>
      </w:pPr>
      <w:r w:rsidRPr="00A428C3">
        <w:t xml:space="preserve">Full Text: </w:t>
      </w:r>
      <w:hyperlink r:id="rId1775" w:history="1">
        <w:r w:rsidR="000D762B" w:rsidRPr="000D762B">
          <w:rPr>
            <w:rStyle w:val="a5"/>
          </w:rPr>
          <w:t>2008\Int J Env Pol34, 275.pdf</w:t>
        </w:r>
      </w:hyperlink>
    </w:p>
    <w:p w:rsidR="00297F23" w:rsidRDefault="00297F23" w:rsidP="00297F23">
      <w:pPr>
        <w:pStyle w:val="a0"/>
        <w:rPr>
          <w:kern w:val="0"/>
        </w:rPr>
      </w:pPr>
      <w:r>
        <w:rPr>
          <w:kern w:val="0"/>
        </w:rPr>
        <w:t>Abstract: There is a need to develop innovative</w:t>
      </w:r>
      <w:r w:rsidR="00F81221">
        <w:rPr>
          <w:kern w:val="0"/>
        </w:rPr>
        <w:t xml:space="preserve"> and </w:t>
      </w:r>
      <w:r>
        <w:rPr>
          <w:kern w:val="0"/>
        </w:rPr>
        <w:t>alternative technologies that can remove toxic heavy metal pollutants from wastewater. In this Study, two agricultural residues, cotton stalks</w:t>
      </w:r>
      <w:r w:rsidR="00F81221">
        <w:rPr>
          <w:kern w:val="0"/>
        </w:rPr>
        <w:t xml:space="preserve"> and </w:t>
      </w:r>
      <w:r>
        <w:rPr>
          <w:kern w:val="0"/>
        </w:rPr>
        <w:t>apricot seeds, were used to adsorb copper</w:t>
      </w:r>
      <w:r w:rsidR="00F81221">
        <w:rPr>
          <w:kern w:val="0"/>
        </w:rPr>
        <w:t xml:space="preserve"> and </w:t>
      </w:r>
      <w:r>
        <w:rPr>
          <w:kern w:val="0"/>
        </w:rPr>
        <w:t>lead in solutions. Sorption capacities of agricultural wastes were significantly affected by solution pH, adsorbent mass</w:t>
      </w:r>
      <w:r w:rsidR="00F81221">
        <w:rPr>
          <w:kern w:val="0"/>
        </w:rPr>
        <w:t xml:space="preserve"> and </w:t>
      </w:r>
      <w:r>
        <w:rPr>
          <w:kern w:val="0"/>
        </w:rPr>
        <w:t>adsorbent particle size. The adsorption efficiency of two agricultural waste was in the order cotton stalk &gt; apricot seed</w:t>
      </w:r>
      <w:r w:rsidR="00F81221">
        <w:rPr>
          <w:kern w:val="0"/>
        </w:rPr>
        <w:t xml:space="preserve"> and </w:t>
      </w:r>
      <w:r>
        <w:rPr>
          <w:kern w:val="0"/>
        </w:rPr>
        <w:t>the agricultural wastes adsorbed metal ions in the order of Pb &gt; Cu. Treatment of these metals with agricultural wastes reduced their toxic effects on P. aeruginosa. This reduction in toxic effect is important both in respect of environmental biotechnology</w:t>
      </w:r>
      <w:r w:rsidR="00F81221">
        <w:rPr>
          <w:kern w:val="0"/>
        </w:rPr>
        <w:t xml:space="preserve"> and </w:t>
      </w:r>
      <w:r>
        <w:rPr>
          <w:kern w:val="0"/>
        </w:rPr>
        <w:t>waste detoxification. This study has indicated that cotton stalk</w:t>
      </w:r>
      <w:r w:rsidR="00F81221">
        <w:rPr>
          <w:kern w:val="0"/>
        </w:rPr>
        <w:t xml:space="preserve"> and </w:t>
      </w:r>
      <w:r>
        <w:rPr>
          <w:kern w:val="0"/>
        </w:rPr>
        <w:t>apricot seed could be employed as low-cost alternatives in wastewater treatment for the removal of heavy metals.</w:t>
      </w:r>
    </w:p>
    <w:p w:rsidR="00297F23" w:rsidRDefault="00297F23" w:rsidP="00297F23">
      <w:pPr>
        <w:pStyle w:val="a0"/>
        <w:rPr>
          <w:kern w:val="0"/>
        </w:rPr>
      </w:pPr>
      <w:r>
        <w:rPr>
          <w:kern w:val="0"/>
        </w:rPr>
        <w:t xml:space="preserve">Keywords: Adsorbent, Adsorption, Agricultural Waste, Apricot Seed, Aqueous-Solution, Biosorption, Biosorption, Copper, Cotton Stalk, Cu, Detoxification, Efficiency, Environmental, Funalia-Trogii, Heavy Metal, Heavy Metal Ions, Heavy Metals, Heavy-Metal, Ions, Lead, Metal, Metal Ions, Metals, Need, Particle Size, Pb, </w:t>
      </w:r>
      <w:r>
        <w:rPr>
          <w:rFonts w:hint="eastAsia"/>
          <w:kern w:val="0"/>
        </w:rPr>
        <w:t>p</w:t>
      </w:r>
      <w:r>
        <w:rPr>
          <w:kern w:val="0"/>
        </w:rPr>
        <w:t xml:space="preserve">H, Phanerochaete-Chrysosporium, Pollutants, Reduction, Removal, Solution </w:t>
      </w:r>
      <w:r>
        <w:rPr>
          <w:rFonts w:hint="eastAsia"/>
          <w:kern w:val="0"/>
        </w:rPr>
        <w:t>p</w:t>
      </w:r>
      <w:r>
        <w:rPr>
          <w:kern w:val="0"/>
        </w:rPr>
        <w:t>H, Sorbent, Sorption, Textile Dyes, Toxicity, Treatment, Tree Fern, Wastewater, Wastewater Treatment</w:t>
      </w:r>
    </w:p>
    <w:p w:rsidR="00297F23" w:rsidRDefault="00297F23" w:rsidP="00297F23">
      <w:pPr>
        <w:pStyle w:val="a0"/>
        <w:rPr>
          <w:kern w:val="0"/>
        </w:rPr>
      </w:pPr>
      <w:r>
        <w:rPr>
          <w:rFonts w:hint="eastAsia"/>
          <w:kern w:val="0"/>
        </w:rPr>
        <w:t xml:space="preserve">? </w:t>
      </w:r>
      <w:r>
        <w:rPr>
          <w:kern w:val="0"/>
        </w:rPr>
        <w:t>Zheng, G.H., Wang, L., Zhou, Q.</w:t>
      </w:r>
      <w:r w:rsidR="00F81221">
        <w:rPr>
          <w:kern w:val="0"/>
        </w:rPr>
        <w:t xml:space="preserve"> and </w:t>
      </w:r>
      <w:r>
        <w:rPr>
          <w:kern w:val="0"/>
        </w:rPr>
        <w:t>Li, F.T. (2008), Optimisation of cell surface</w:t>
      </w:r>
      <w:r w:rsidR="00F81221">
        <w:rPr>
          <w:kern w:val="0"/>
        </w:rPr>
        <w:t xml:space="preserve"> and </w:t>
      </w:r>
      <w:r>
        <w:rPr>
          <w:kern w:val="0"/>
        </w:rPr>
        <w:t>structural components for improving adsorption capacity of Pseudomonas putida 5-x to Cu</w:t>
      </w:r>
      <w:r w:rsidRPr="00B402D4">
        <w:rPr>
          <w:kern w:val="0"/>
          <w:vertAlign w:val="superscript"/>
        </w:rPr>
        <w:t>2+</w:t>
      </w:r>
      <w:r>
        <w:rPr>
          <w:kern w:val="0"/>
        </w:rPr>
        <w:t xml:space="preserv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285-296.</w:t>
      </w:r>
    </w:p>
    <w:p w:rsidR="00297F23" w:rsidRDefault="00297F23" w:rsidP="000D762B">
      <w:pPr>
        <w:pStyle w:val="a0"/>
      </w:pPr>
      <w:r w:rsidRPr="00A428C3">
        <w:t xml:space="preserve">Full Text: </w:t>
      </w:r>
      <w:hyperlink r:id="rId1776" w:history="1">
        <w:r w:rsidR="000D762B" w:rsidRPr="000D762B">
          <w:rPr>
            <w:rStyle w:val="a5"/>
          </w:rPr>
          <w:t>2008\Int J Env Pol34, 285.pdf</w:t>
        </w:r>
      </w:hyperlink>
    </w:p>
    <w:p w:rsidR="00297F23" w:rsidRDefault="00297F23" w:rsidP="00297F23">
      <w:pPr>
        <w:pStyle w:val="a0"/>
        <w:rPr>
          <w:kern w:val="0"/>
        </w:rPr>
      </w:pPr>
      <w:r>
        <w:rPr>
          <w:kern w:val="0"/>
        </w:rPr>
        <w:t>Abstract: A heavy metal binding bacterium Pseudomonas putida 5-x was used as biosorbent for heavy metal removal from wastewater. In order to compete with physical adsorbent, the optimisation of the cell preparation technique for further improving its biosorption capacity was conducted. Results showed that the compositions of medium for cell culturing, cell growth age</w:t>
      </w:r>
      <w:r w:rsidR="00F81221">
        <w:rPr>
          <w:kern w:val="0"/>
        </w:rPr>
        <w:t xml:space="preserve"> and </w:t>
      </w:r>
      <w:r>
        <w:rPr>
          <w:kern w:val="0"/>
        </w:rPr>
        <w:t>cell pre-treating technique would affect the cell surface</w:t>
      </w:r>
      <w:r w:rsidR="00F81221">
        <w:rPr>
          <w:kern w:val="0"/>
        </w:rPr>
        <w:t xml:space="preserve"> and </w:t>
      </w:r>
      <w:r>
        <w:rPr>
          <w:kern w:val="0"/>
        </w:rPr>
        <w:t>structural components, hence the adsorption capacity of the cell to heavy metal ions. Using optimal cell culture conditions</w:t>
      </w:r>
      <w:r w:rsidR="00F81221">
        <w:rPr>
          <w:kern w:val="0"/>
        </w:rPr>
        <w:t xml:space="preserve"> and </w:t>
      </w:r>
      <w:r>
        <w:rPr>
          <w:kern w:val="0"/>
        </w:rPr>
        <w:t>pretreatment technique, the Cu</w:t>
      </w:r>
      <w:r w:rsidRPr="00B402D4">
        <w:rPr>
          <w:kern w:val="0"/>
          <w:vertAlign w:val="superscript"/>
        </w:rPr>
        <w:t>2+</w:t>
      </w:r>
      <w:r>
        <w:rPr>
          <w:kern w:val="0"/>
        </w:rPr>
        <w:t xml:space="preserve"> adsorption capacity of the cell was obviously increased from 51.2 mg g</w:t>
      </w:r>
      <w:r>
        <w:rPr>
          <w:rFonts w:hint="eastAsia"/>
          <w:kern w:val="0"/>
          <w:vertAlign w:val="superscript"/>
        </w:rPr>
        <w:t>-1</w:t>
      </w:r>
      <w:r>
        <w:rPr>
          <w:kern w:val="0"/>
        </w:rPr>
        <w:t xml:space="preserve"> to 89.6 mg g</w:t>
      </w:r>
      <w:r>
        <w:rPr>
          <w:rFonts w:hint="eastAsia"/>
          <w:kern w:val="0"/>
          <w:vertAlign w:val="superscript"/>
        </w:rPr>
        <w:t>-1</w:t>
      </w:r>
      <w:r>
        <w:rPr>
          <w:kern w:val="0"/>
        </w:rPr>
        <w:t>.</w:t>
      </w:r>
    </w:p>
    <w:p w:rsidR="00297F23" w:rsidRDefault="00297F23" w:rsidP="00297F23">
      <w:pPr>
        <w:pStyle w:val="a0"/>
        <w:rPr>
          <w:kern w:val="0"/>
        </w:rPr>
      </w:pPr>
      <w:r>
        <w:rPr>
          <w:kern w:val="0"/>
        </w:rPr>
        <w:lastRenderedPageBreak/>
        <w:t>Keywords: Adsorbent, Adsorption, Adsorption Capacity, Affect, Age, Biomass, Biosorbent, Biosorption, Capacity, Cell Culture, Cell Growth Age, Cell Pretreatment, Copper, Cu</w:t>
      </w:r>
      <w:r w:rsidRPr="00B402D4">
        <w:rPr>
          <w:kern w:val="0"/>
          <w:vertAlign w:val="superscript"/>
        </w:rPr>
        <w:t>2+</w:t>
      </w:r>
      <w:r>
        <w:rPr>
          <w:kern w:val="0"/>
        </w:rPr>
        <w:t>, Culture, Electroplating Effluent, Envelope, Growth, Heavy Metal, Heavy Metal Ions, Heavy Metal Removal, Heavy-Metal, Heavy-Metals, Ions, Metal, Metal Binding, Metal Ions, Metal Removal, Optimisation, Outer-Membrane, Preparation, Pretreatment, Pseudomonas, Pseudomonas Putida, Recovery, Removal, Surface, Technique, Wastewater, Zinc</w:t>
      </w:r>
    </w:p>
    <w:p w:rsidR="00297F23" w:rsidRDefault="00297F23" w:rsidP="00297F23">
      <w:pPr>
        <w:pStyle w:val="a0"/>
        <w:rPr>
          <w:kern w:val="0"/>
        </w:rPr>
      </w:pPr>
      <w:r>
        <w:rPr>
          <w:rFonts w:hint="eastAsia"/>
          <w:kern w:val="0"/>
        </w:rPr>
        <w:t xml:space="preserve">? </w:t>
      </w:r>
      <w:r>
        <w:rPr>
          <w:kern w:val="0"/>
        </w:rPr>
        <w:t>Bakhti, M.Z., Selatnia, A.</w:t>
      </w:r>
      <w:r w:rsidR="00F81221">
        <w:rPr>
          <w:kern w:val="0"/>
        </w:rPr>
        <w:t xml:space="preserve"> and </w:t>
      </w:r>
      <w:r>
        <w:rPr>
          <w:kern w:val="0"/>
        </w:rPr>
        <w:t>Junter, G.A. (2008), Biosorption of Ag</w:t>
      </w:r>
      <w:r w:rsidRPr="008815F3">
        <w:rPr>
          <w:kern w:val="0"/>
          <w:vertAlign w:val="superscript"/>
        </w:rPr>
        <w:t>+</w:t>
      </w:r>
      <w:r>
        <w:rPr>
          <w:kern w:val="0"/>
        </w:rPr>
        <w:t xml:space="preserve"> from aqueous solution by Streptomyces rimosus biomass.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297-307.</w:t>
      </w:r>
    </w:p>
    <w:p w:rsidR="00297F23" w:rsidRDefault="00297F23" w:rsidP="000D762B">
      <w:pPr>
        <w:pStyle w:val="a0"/>
      </w:pPr>
      <w:r w:rsidRPr="00A428C3">
        <w:t xml:space="preserve">Full Text: </w:t>
      </w:r>
      <w:hyperlink r:id="rId1777" w:history="1">
        <w:r w:rsidR="000D762B" w:rsidRPr="000D762B">
          <w:rPr>
            <w:rStyle w:val="a5"/>
          </w:rPr>
          <w:t>2008\Int J Env Pol34, 297.pdf</w:t>
        </w:r>
      </w:hyperlink>
    </w:p>
    <w:p w:rsidR="00297F23" w:rsidRDefault="00297F23" w:rsidP="00297F23">
      <w:pPr>
        <w:pStyle w:val="a0"/>
        <w:rPr>
          <w:kern w:val="0"/>
        </w:rPr>
      </w:pPr>
      <w:r>
        <w:rPr>
          <w:kern w:val="0"/>
        </w:rPr>
        <w:t>Abstract: The silver biosorption capacity of a Streptomyces rimosus biomass pretreated with NaOH was studied in the batch mode. Under optimal experimental conditions, a biosorption capacity of 63 mg Ag</w:t>
      </w:r>
      <w:r w:rsidRPr="00B402D4">
        <w:rPr>
          <w:kern w:val="0"/>
          <w:vertAlign w:val="superscript"/>
        </w:rPr>
        <w:t>+</w:t>
      </w:r>
      <w:r>
        <w:rPr>
          <w:kern w:val="0"/>
        </w:rPr>
        <w:t xml:space="preserve"> g</w:t>
      </w:r>
      <w:r>
        <w:rPr>
          <w:rFonts w:hint="eastAsia"/>
          <w:kern w:val="0"/>
          <w:vertAlign w:val="superscript"/>
        </w:rPr>
        <w:t>-1</w:t>
      </w:r>
      <w:r>
        <w:rPr>
          <w:kern w:val="0"/>
        </w:rPr>
        <w:t xml:space="preserve"> biomass was obtained. External mass transfer was found to be the controlling step in the overall sorption process. The equilibrium data poorly fitted the Langmuir</w:t>
      </w:r>
      <w:r w:rsidR="00F81221">
        <w:rPr>
          <w:kern w:val="0"/>
        </w:rPr>
        <w:t xml:space="preserve"> and </w:t>
      </w:r>
      <w:r>
        <w:rPr>
          <w:kern w:val="0"/>
        </w:rPr>
        <w:t>Freundlich model isotherms over the whole range of initial silver concentrations tested (10-250 mg L</w:t>
      </w:r>
      <w:r w:rsidRPr="00B402D4">
        <w:rPr>
          <w:kern w:val="0"/>
          <w:vertAlign w:val="superscript"/>
        </w:rPr>
        <w:t>-1</w:t>
      </w:r>
      <w:r>
        <w:rPr>
          <w:kern w:val="0"/>
        </w:rPr>
        <w:t>).</w:t>
      </w:r>
    </w:p>
    <w:p w:rsidR="00297F23" w:rsidRDefault="00297F23" w:rsidP="00297F23">
      <w:pPr>
        <w:pStyle w:val="a0"/>
        <w:rPr>
          <w:kern w:val="0"/>
        </w:rPr>
      </w:pPr>
      <w:r>
        <w:rPr>
          <w:kern w:val="0"/>
        </w:rPr>
        <w:t>Keywords: Aqueous Solution, Batch, Batch Mode, Batch Processing, Biomass, Biosorption, Capacity, Equilibrium, Equilibrium Data, Freundlich, Freundlich Model, Heavy-Metals, Isotherms, Langmuir, Mass Transfer, Model, NaOH, Process, Rhizopus-Arrhizus, Silver, Silver, Sorption, Streptomyces Rimosus, Toxicity, Transfer, Waste-Water Treatment, Water</w:t>
      </w:r>
    </w:p>
    <w:p w:rsidR="00297F23" w:rsidRDefault="00297F23" w:rsidP="008815F3">
      <w:pPr>
        <w:pStyle w:val="a0"/>
        <w:rPr>
          <w:kern w:val="0"/>
        </w:rPr>
      </w:pPr>
      <w:r>
        <w:rPr>
          <w:rFonts w:hint="eastAsia"/>
          <w:kern w:val="0"/>
        </w:rPr>
        <w:t xml:space="preserve">? </w:t>
      </w:r>
      <w:r w:rsidR="008815F3">
        <w:rPr>
          <w:kern w:val="0"/>
        </w:rPr>
        <w:t>Ö</w:t>
      </w:r>
      <w:r>
        <w:rPr>
          <w:kern w:val="0"/>
        </w:rPr>
        <w:t>zcan, A.S.</w:t>
      </w:r>
      <w:r w:rsidR="00F81221">
        <w:rPr>
          <w:kern w:val="0"/>
        </w:rPr>
        <w:t xml:space="preserve"> and </w:t>
      </w:r>
      <w:r w:rsidR="008815F3">
        <w:rPr>
          <w:kern w:val="0"/>
        </w:rPr>
        <w:t>Ö</w:t>
      </w:r>
      <w:r>
        <w:rPr>
          <w:kern w:val="0"/>
        </w:rPr>
        <w:t xml:space="preserve">zcan, A. (2008), Adsorption of Acid Yellow 99 onto DEDMA-sepiolite from aqueous solutions.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308-324.</w:t>
      </w:r>
    </w:p>
    <w:p w:rsidR="00297F23" w:rsidRDefault="00297F23" w:rsidP="000D762B">
      <w:pPr>
        <w:pStyle w:val="a0"/>
      </w:pPr>
      <w:r w:rsidRPr="00A428C3">
        <w:t xml:space="preserve">Full Text: </w:t>
      </w:r>
      <w:hyperlink r:id="rId1778" w:history="1">
        <w:r w:rsidR="000D762B" w:rsidRPr="000D762B">
          <w:rPr>
            <w:rStyle w:val="a5"/>
          </w:rPr>
          <w:t>2008\Int J Env Pol34, 308.pdf</w:t>
        </w:r>
      </w:hyperlink>
    </w:p>
    <w:p w:rsidR="00297F23" w:rsidRDefault="00297F23" w:rsidP="00297F23">
      <w:pPr>
        <w:pStyle w:val="a0"/>
        <w:rPr>
          <w:kern w:val="0"/>
        </w:rPr>
      </w:pPr>
      <w:r>
        <w:rPr>
          <w:kern w:val="0"/>
        </w:rPr>
        <w:t>Abstract: The adsorption of Acid Yellow 99 (AY99) onto dodecylethyldimethylammonium (DEDMA)-sepiolite was investigated in aqueous solution in a batch system with respect to pH, contact time</w:t>
      </w:r>
      <w:r w:rsidR="00F81221">
        <w:rPr>
          <w:kern w:val="0"/>
        </w:rPr>
        <w:t xml:space="preserve"> and </w:t>
      </w:r>
      <w:r>
        <w:rPr>
          <w:kern w:val="0"/>
        </w:rPr>
        <w:t>temperature. The surface modification of DEDMA-sepiolite was examined by the FTIR technique. The experimental data fitted very well with the pseudo-second-order kinetic model with the correlation coefficients above 0.985. The Langmuir, Freundlich</w:t>
      </w:r>
      <w:r w:rsidR="00F81221">
        <w:rPr>
          <w:kern w:val="0"/>
        </w:rPr>
        <w:t xml:space="preserve"> and </w:t>
      </w:r>
      <w:r>
        <w:rPr>
          <w:kern w:val="0"/>
        </w:rPr>
        <w:t>Dubinin-Radushkevich (D-R) adsorption isotherm models agree well with experimental data. The Langmuir-isotherm constant (K-L) was used to evaluate the thermodynamic parameters for the adsorption of AY99 onto DEDMA-sepiolite.</w:t>
      </w:r>
    </w:p>
    <w:p w:rsidR="00297F23" w:rsidRDefault="00297F23" w:rsidP="00297F23">
      <w:pPr>
        <w:pStyle w:val="a0"/>
        <w:rPr>
          <w:kern w:val="0"/>
        </w:rPr>
      </w:pPr>
      <w:r>
        <w:rPr>
          <w:kern w:val="0"/>
        </w:rPr>
        <w:t xml:space="preserve">Keywords: Acid Dye, Adsorption, Adsorption Isotherm, Adsorption Isotherm Models, Aqueous Solution, Aqueous Solutions, Batch, Clays, Contact, Contact-Time, Correlation, Dedma-Sepiolite, Diffusion, Freundlich, Ftir, Isotherm, Isotherm Models, Isotherms, Kaolinite, Kinetic, Kinetic Model, Kinetics, Kinetics, Langmuir, </w:t>
      </w:r>
      <w:r>
        <w:rPr>
          <w:kern w:val="0"/>
        </w:rPr>
        <w:lastRenderedPageBreak/>
        <w:t xml:space="preserve">Langmuir Isotherm, Model, Model-Calculations, Models, Modification, Organic Cations, Peat, </w:t>
      </w:r>
      <w:r>
        <w:rPr>
          <w:rFonts w:hint="eastAsia"/>
          <w:kern w:val="0"/>
        </w:rPr>
        <w:t>p</w:t>
      </w:r>
      <w:r>
        <w:rPr>
          <w:kern w:val="0"/>
        </w:rPr>
        <w:t>H, Pseudo-Second-Order, Pseudo-Second-Order Kinetic Model, Removal, Sepiolite, Sorption, Surface, Surface Modification, Surfactant, Technique, Temperature, Thermodynamic, Thermodynamic Parameters, Water-Soluble Dye</w:t>
      </w:r>
    </w:p>
    <w:p w:rsidR="00297F23" w:rsidRDefault="00297F23" w:rsidP="00297F23">
      <w:pPr>
        <w:pStyle w:val="a0"/>
        <w:rPr>
          <w:kern w:val="0"/>
        </w:rPr>
      </w:pPr>
      <w:r>
        <w:rPr>
          <w:rFonts w:hint="eastAsia"/>
          <w:kern w:val="0"/>
        </w:rPr>
        <w:t xml:space="preserve">? </w:t>
      </w:r>
      <w:r>
        <w:rPr>
          <w:kern w:val="0"/>
        </w:rPr>
        <w:t>Beolchini, F., Pagnanelli, F., Toro, L.</w:t>
      </w:r>
      <w:r w:rsidR="00F81221">
        <w:rPr>
          <w:kern w:val="0"/>
        </w:rPr>
        <w:t xml:space="preserve"> and </w:t>
      </w:r>
      <w:r>
        <w:rPr>
          <w:kern w:val="0"/>
        </w:rPr>
        <w:t xml:space="preserve">Veglio, F. (2008), A methodological approach for dynamic modelling of membrane integrated biosorption: </w:t>
      </w:r>
      <w:r>
        <w:rPr>
          <w:rFonts w:hint="eastAsia"/>
          <w:kern w:val="0"/>
        </w:rPr>
        <w:t>A</w:t>
      </w:r>
      <w:r>
        <w:rPr>
          <w:kern w:val="0"/>
        </w:rPr>
        <w:t xml:space="preserve"> case study on Sphaerotilus natans as biosorbent.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325-339.</w:t>
      </w:r>
    </w:p>
    <w:p w:rsidR="00297F23" w:rsidRDefault="00297F23" w:rsidP="000D762B">
      <w:pPr>
        <w:pStyle w:val="a0"/>
      </w:pPr>
      <w:r w:rsidRPr="00A428C3">
        <w:t xml:space="preserve">Full Text: </w:t>
      </w:r>
      <w:hyperlink r:id="rId1779" w:history="1">
        <w:r w:rsidR="000D762B" w:rsidRPr="000D762B">
          <w:rPr>
            <w:rStyle w:val="a5"/>
          </w:rPr>
          <w:t>2008\Int J Env Pol34, 325.pdf</w:t>
        </w:r>
      </w:hyperlink>
    </w:p>
    <w:p w:rsidR="00297F23" w:rsidRDefault="00297F23" w:rsidP="00297F23">
      <w:pPr>
        <w:pStyle w:val="a0"/>
        <w:rPr>
          <w:kern w:val="0"/>
        </w:rPr>
      </w:pPr>
      <w:r>
        <w:rPr>
          <w:kern w:val="0"/>
        </w:rPr>
        <w:t>Abstract: This work is a review of the study performed on heavy metals biosorption by Sphaerotilus natans confined in an ultrafiltration membrane module. A methodological approach has been applied aiming at the dynamic modelling of the process: i) firstly, biosorbent was characterised according to acid-base properties of binding sites; ii) then, equilibrium studies were performed both in single metal</w:t>
      </w:r>
      <w:r w:rsidR="00F81221">
        <w:rPr>
          <w:kern w:val="0"/>
        </w:rPr>
        <w:t xml:space="preserve"> and </w:t>
      </w:r>
      <w:r>
        <w:rPr>
          <w:kern w:val="0"/>
        </w:rPr>
        <w:t>multimetal systems in order to evidence any competition for binding sites</w:t>
      </w:r>
      <w:r w:rsidR="00F81221">
        <w:rPr>
          <w:kern w:val="0"/>
        </w:rPr>
        <w:t xml:space="preserve"> and </w:t>
      </w:r>
      <w:r>
        <w:rPr>
          <w:kern w:val="0"/>
        </w:rPr>
        <w:t>to find mechanicistic models that are able to describe biosorption equilibrium; iii) finally, biosorption in membrane processes was investigated in laboratory scale, in the case of both single- metal</w:t>
      </w:r>
      <w:r w:rsidR="00F81221">
        <w:rPr>
          <w:kern w:val="0"/>
        </w:rPr>
        <w:t xml:space="preserve"> and </w:t>
      </w:r>
      <w:r>
        <w:rPr>
          <w:kern w:val="0"/>
        </w:rPr>
        <w:t>two- metal systems,</w:t>
      </w:r>
      <w:r w:rsidR="00F81221">
        <w:rPr>
          <w:kern w:val="0"/>
        </w:rPr>
        <w:t xml:space="preserve"> and </w:t>
      </w:r>
      <w:r>
        <w:rPr>
          <w:kern w:val="0"/>
        </w:rPr>
        <w:t>a dynamic model was developed accounting for binding site competition</w:t>
      </w:r>
      <w:r w:rsidR="00F81221">
        <w:rPr>
          <w:kern w:val="0"/>
        </w:rPr>
        <w:t xml:space="preserve"> and </w:t>
      </w:r>
      <w:r>
        <w:rPr>
          <w:kern w:val="0"/>
        </w:rPr>
        <w:t>for binding ability of cell</w:t>
      </w:r>
      <w:r w:rsidR="000352E7">
        <w:rPr>
          <w:kern w:val="0"/>
        </w:rPr>
        <w:t>’</w:t>
      </w:r>
      <w:r>
        <w:rPr>
          <w:kern w:val="0"/>
        </w:rPr>
        <w:t>s fragments generated by tangential flow shear stress.</w:t>
      </w:r>
    </w:p>
    <w:p w:rsidR="00297F23" w:rsidRDefault="00297F23" w:rsidP="00297F23">
      <w:pPr>
        <w:pStyle w:val="a0"/>
        <w:rPr>
          <w:kern w:val="0"/>
        </w:rPr>
      </w:pPr>
      <w:r>
        <w:rPr>
          <w:kern w:val="0"/>
        </w:rPr>
        <w:t>Keywords: Ability, Acid-Base Properties, Activated-Sludge, Aqueous-Solutions, Binary-Systems, Binding Site, Binding Sites, Biomass, Biosorbent, Biosorption, Case Study, Competition, Copper Biosorption, Dynamic, Dynamic Modelling, Equilibrium, Equilibrium, Equilibrium Studies, Evidence, Heavy Metals, Heavy-Metals, Membrane, Membrane Processes, Metal, Metal-Ions, Metals, Model, Modelling, Models, Multimetal Systems, Process, Reactors, Review, Scale, Simulation, Sphaerotilus Natans, Stress, Systems, Tangential Flow, Ultrafiltration, Work</w:t>
      </w:r>
    </w:p>
    <w:p w:rsidR="00297F23" w:rsidRDefault="00297F23" w:rsidP="00297F23">
      <w:pPr>
        <w:pStyle w:val="a0"/>
        <w:rPr>
          <w:kern w:val="0"/>
        </w:rPr>
      </w:pPr>
      <w:r>
        <w:rPr>
          <w:rFonts w:hint="eastAsia"/>
          <w:kern w:val="0"/>
        </w:rPr>
        <w:t xml:space="preserve">? </w:t>
      </w:r>
      <w:r>
        <w:rPr>
          <w:kern w:val="0"/>
        </w:rPr>
        <w:t>Basso, M.C.</w:t>
      </w:r>
      <w:r w:rsidR="00F81221">
        <w:rPr>
          <w:kern w:val="0"/>
        </w:rPr>
        <w:t xml:space="preserve"> and </w:t>
      </w:r>
      <w:r>
        <w:rPr>
          <w:kern w:val="0"/>
        </w:rPr>
        <w:t>Cukierman, A.L. (2008), Biosorption performance of red</w:t>
      </w:r>
      <w:r w:rsidR="00F81221">
        <w:rPr>
          <w:kern w:val="0"/>
        </w:rPr>
        <w:t xml:space="preserve"> and </w:t>
      </w:r>
      <w:r>
        <w:rPr>
          <w:kern w:val="0"/>
        </w:rPr>
        <w:t>green marine macroalgae for removal of trace cadmium</w:t>
      </w:r>
      <w:r w:rsidR="00F81221">
        <w:rPr>
          <w:kern w:val="0"/>
        </w:rPr>
        <w:t xml:space="preserve"> and </w:t>
      </w:r>
      <w:r>
        <w:rPr>
          <w:kern w:val="0"/>
        </w:rPr>
        <w:t xml:space="preserve">nickel from wastewater.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340-352.</w:t>
      </w:r>
    </w:p>
    <w:p w:rsidR="00297F23" w:rsidRDefault="00297F23" w:rsidP="000D762B">
      <w:pPr>
        <w:pStyle w:val="a0"/>
      </w:pPr>
      <w:r w:rsidRPr="00A428C3">
        <w:t xml:space="preserve">Full Text: </w:t>
      </w:r>
      <w:hyperlink r:id="rId1780" w:history="1">
        <w:r w:rsidR="000D762B" w:rsidRPr="000D762B">
          <w:rPr>
            <w:rStyle w:val="a5"/>
          </w:rPr>
          <w:t>2008\Int J Env Pol34, 340.pdf</w:t>
        </w:r>
      </w:hyperlink>
    </w:p>
    <w:p w:rsidR="00297F23" w:rsidRDefault="00297F23" w:rsidP="00297F23">
      <w:pPr>
        <w:pStyle w:val="a0"/>
        <w:rPr>
          <w:kern w:val="0"/>
        </w:rPr>
      </w:pPr>
      <w:r>
        <w:rPr>
          <w:kern w:val="0"/>
        </w:rPr>
        <w:t>Abstract: The ability of red (Corallina officinalis L., Porphyra columbina)</w:t>
      </w:r>
      <w:r w:rsidR="00F81221">
        <w:rPr>
          <w:kern w:val="0"/>
        </w:rPr>
        <w:t xml:space="preserve"> and </w:t>
      </w:r>
      <w:r>
        <w:rPr>
          <w:kern w:val="0"/>
        </w:rPr>
        <w:t>green (Codium fragile) marine macroalgae to remove Cd(II) ions from dilute aqueous solutions, mimicking wastewaters with low metal concentrations, was explored. Under pre-established equilibrium conditions, Corallina</w:t>
      </w:r>
      <w:r w:rsidR="00F81221">
        <w:rPr>
          <w:kern w:val="0"/>
        </w:rPr>
        <w:t xml:space="preserve"> and </w:t>
      </w:r>
      <w:r>
        <w:rPr>
          <w:kern w:val="0"/>
        </w:rPr>
        <w:t>Porphyra attained almost complete removal at 1 g/100 mL. Equilibrium sorption isotherms of cadmium were determined</w:t>
      </w:r>
      <w:r w:rsidR="00F81221">
        <w:rPr>
          <w:kern w:val="0"/>
        </w:rPr>
        <w:t xml:space="preserve"> and </w:t>
      </w:r>
      <w:r>
        <w:rPr>
          <w:kern w:val="0"/>
        </w:rPr>
        <w:t xml:space="preserve">modelled. As judged from the estimated maximum sorption capacities, Porphyra showed the highest cadmium-binding ability, followed by </w:t>
      </w:r>
      <w:r>
        <w:rPr>
          <w:kern w:val="0"/>
        </w:rPr>
        <w:lastRenderedPageBreak/>
        <w:t>Corallina</w:t>
      </w:r>
      <w:r w:rsidR="00F81221">
        <w:rPr>
          <w:kern w:val="0"/>
        </w:rPr>
        <w:t xml:space="preserve"> and </w:t>
      </w:r>
      <w:r>
        <w:rPr>
          <w:kern w:val="0"/>
        </w:rPr>
        <w:t>Codium. Furthermore, the three algae proved less effective in capturing nickel than cadmium ions at low dosages, attaining quite similar removal for 1 g/100 mL.</w:t>
      </w:r>
    </w:p>
    <w:p w:rsidR="00297F23" w:rsidRDefault="00297F23" w:rsidP="00297F23">
      <w:pPr>
        <w:pStyle w:val="a0"/>
        <w:rPr>
          <w:kern w:val="0"/>
        </w:rPr>
      </w:pPr>
      <w:r>
        <w:rPr>
          <w:kern w:val="0"/>
        </w:rPr>
        <w:t>Keywords: Ability, Algae, Aqueous Solutions, Aqueous-Solution, Biosorption, Cadmium, Cadmium Binding, Cadmium Ions, Cd(II), Cd(II) Ions, Cladophora-Crispata, Copper Ions, Equilibrium, Green, Heavy Metals Removal, Heavy-Metals, Ions, Isotherms, Lignocellulosic Materials, Macroalgae, Marine, Metal, Nickel, Performance, Red</w:t>
      </w:r>
      <w:r w:rsidR="00F81221">
        <w:rPr>
          <w:kern w:val="0"/>
        </w:rPr>
        <w:t xml:space="preserve"> and </w:t>
      </w:r>
      <w:r>
        <w:rPr>
          <w:kern w:val="0"/>
        </w:rPr>
        <w:t>Green Marine Macroalgae, Removal, Sorption, Sorption Isotherms, Sphagnum Moss Peat, Toxic Metals, Tree Fern, Wastewater, Wastewaters</w:t>
      </w:r>
    </w:p>
    <w:p w:rsidR="00297F23" w:rsidRDefault="00297F23" w:rsidP="00297F23">
      <w:pPr>
        <w:pStyle w:val="a0"/>
        <w:rPr>
          <w:kern w:val="0"/>
        </w:rPr>
      </w:pPr>
      <w:r>
        <w:rPr>
          <w:rFonts w:hint="eastAsia"/>
          <w:kern w:val="0"/>
        </w:rPr>
        <w:t xml:space="preserve">? </w:t>
      </w:r>
      <w:r>
        <w:rPr>
          <w:kern w:val="0"/>
        </w:rPr>
        <w:t>Iqbal, M., Saeed, A.</w:t>
      </w:r>
      <w:r w:rsidR="00F81221">
        <w:rPr>
          <w:kern w:val="0"/>
        </w:rPr>
        <w:t xml:space="preserve"> and </w:t>
      </w:r>
      <w:r>
        <w:rPr>
          <w:kern w:val="0"/>
        </w:rPr>
        <w:t>Edyvean, R.G.J. (2008), Biosorption of lead(II) by free</w:t>
      </w:r>
      <w:r w:rsidR="00F81221">
        <w:rPr>
          <w:kern w:val="0"/>
        </w:rPr>
        <w:t xml:space="preserve"> and </w:t>
      </w:r>
      <w:r>
        <w:rPr>
          <w:kern w:val="0"/>
        </w:rPr>
        <w:t xml:space="preserve">immobilised fungal biomass of Phanerochaete chrysosporium: a comparative study.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353-363.</w:t>
      </w:r>
    </w:p>
    <w:p w:rsidR="00297F23" w:rsidRDefault="00297F23" w:rsidP="000D762B">
      <w:pPr>
        <w:pStyle w:val="a0"/>
      </w:pPr>
      <w:r w:rsidRPr="00A428C3">
        <w:t xml:space="preserve">Full Text: </w:t>
      </w:r>
      <w:hyperlink r:id="rId1781" w:history="1">
        <w:r w:rsidR="000D762B" w:rsidRPr="000D762B">
          <w:rPr>
            <w:rStyle w:val="a5"/>
          </w:rPr>
          <w:t>2008\Int J Env Pol34, 353.pdf</w:t>
        </w:r>
      </w:hyperlink>
    </w:p>
    <w:p w:rsidR="00297F23" w:rsidRDefault="00297F23" w:rsidP="00297F23">
      <w:pPr>
        <w:pStyle w:val="a0"/>
        <w:rPr>
          <w:kern w:val="0"/>
        </w:rPr>
      </w:pPr>
      <w:r>
        <w:rPr>
          <w:kern w:val="0"/>
        </w:rPr>
        <w:t>Abstract: An efficient metal biosorbent was developed by immobilising fungal biomass within matrix of loofa sponge (FBILS). At biosorption equilibrium FBILS removed 137 mg Pb(II) g</w:t>
      </w:r>
      <w:r>
        <w:rPr>
          <w:rFonts w:hint="eastAsia"/>
          <w:kern w:val="0"/>
          <w:vertAlign w:val="superscript"/>
        </w:rPr>
        <w:t>-1</w:t>
      </w:r>
      <w:r>
        <w:rPr>
          <w:kern w:val="0"/>
        </w:rPr>
        <w:t>, which was 24.3% greater than 110 mg Pb(II) g</w:t>
      </w:r>
      <w:r>
        <w:rPr>
          <w:rFonts w:hint="eastAsia"/>
          <w:kern w:val="0"/>
          <w:vertAlign w:val="superscript"/>
        </w:rPr>
        <w:t>-1</w:t>
      </w:r>
      <w:r>
        <w:rPr>
          <w:kern w:val="0"/>
        </w:rPr>
        <w:t xml:space="preserve"> free fungal biomass. The equilibrium biosorption data fitted well the Langmuir model. The experimental data, when applied to the pseudo-first</w:t>
      </w:r>
      <w:r w:rsidR="00F81221">
        <w:rPr>
          <w:kern w:val="0"/>
        </w:rPr>
        <w:t xml:space="preserve"> and </w:t>
      </w:r>
      <w:r>
        <w:rPr>
          <w:kern w:val="0"/>
        </w:rPr>
        <w:t>second-order kinetic models, followed the second-order with r(2) 0.996. Metal desorption from the Pb(II)-laden FBILS with 50 mM HCl was 99%,</w:t>
      </w:r>
      <w:r w:rsidR="00F81221">
        <w:rPr>
          <w:kern w:val="0"/>
        </w:rPr>
        <w:t xml:space="preserve"> and </w:t>
      </w:r>
      <w:r>
        <w:rPr>
          <w:kern w:val="0"/>
        </w:rPr>
        <w:t>the regenerated FBILS was repeatedly used in seven biosorption-desorption cycles without significant loss in biosorption capacity. The study indicated high potential of FBILS for effective removal of Pb(II) from industrial wastewater.</w:t>
      </w:r>
    </w:p>
    <w:p w:rsidR="00297F23" w:rsidRDefault="00297F23" w:rsidP="00297F23">
      <w:pPr>
        <w:pStyle w:val="a0"/>
        <w:rPr>
          <w:kern w:val="0"/>
        </w:rPr>
      </w:pPr>
      <w:r>
        <w:rPr>
          <w:kern w:val="0"/>
        </w:rPr>
        <w:t>Keywords: Adsorption, Aqueous-Solution, Biomass, Biosorbent, Biosorption, Cadmium, Capacity, Cells, Comparative, Copper, Desorption, Equilibrium, HCl, Immobilised Fungal Biomass, Industrial Wastewater, Ions, Kinetic, Kinetic Models, Langmuir, Langmuir Model, Lead(II), Loofa Sponge, Loss, Metal, Metals, Model, Models, Pb(II), Phanerochaete Chrysosporium, Removal, Second-Order, Sorption, Sponge, Wastewater, Zinc</w:t>
      </w:r>
    </w:p>
    <w:p w:rsidR="00297F23" w:rsidRDefault="00297F23" w:rsidP="00297F23">
      <w:pPr>
        <w:pStyle w:val="a0"/>
        <w:rPr>
          <w:kern w:val="0"/>
        </w:rPr>
      </w:pPr>
      <w:r>
        <w:rPr>
          <w:rFonts w:hint="eastAsia"/>
          <w:kern w:val="0"/>
        </w:rPr>
        <w:t xml:space="preserve">? </w:t>
      </w:r>
      <w:r>
        <w:rPr>
          <w:kern w:val="0"/>
        </w:rPr>
        <w:t>Wang, X.S.</w:t>
      </w:r>
      <w:r w:rsidR="00F81221">
        <w:rPr>
          <w:kern w:val="0"/>
        </w:rPr>
        <w:t xml:space="preserve"> and </w:t>
      </w:r>
      <w:r>
        <w:rPr>
          <w:kern w:val="0"/>
        </w:rPr>
        <w:t>Qin, Y. (2008), Removal of Ni</w:t>
      </w:r>
      <w:r w:rsidRPr="00B402D4">
        <w:rPr>
          <w:kern w:val="0"/>
          <w:vertAlign w:val="superscript"/>
        </w:rPr>
        <w:t>2+</w:t>
      </w:r>
      <w:r>
        <w:rPr>
          <w:kern w:val="0"/>
        </w:rPr>
        <w:t xml:space="preserve"> from aqueous solution by rice bran.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364-373.</w:t>
      </w:r>
    </w:p>
    <w:p w:rsidR="00297F23" w:rsidRDefault="00297F23" w:rsidP="008815F3">
      <w:pPr>
        <w:pStyle w:val="a0"/>
      </w:pPr>
      <w:r w:rsidRPr="00A428C3">
        <w:t xml:space="preserve">Full Text: </w:t>
      </w:r>
      <w:hyperlink r:id="rId1782" w:history="1">
        <w:r w:rsidR="008815F3" w:rsidRPr="008815F3">
          <w:rPr>
            <w:rStyle w:val="a5"/>
          </w:rPr>
          <w:t>2008\Int J Env Pol34, 364.pdf</w:t>
        </w:r>
      </w:hyperlink>
    </w:p>
    <w:p w:rsidR="00297F23" w:rsidRDefault="00297F23" w:rsidP="00297F23">
      <w:pPr>
        <w:pStyle w:val="a0"/>
        <w:rPr>
          <w:kern w:val="0"/>
        </w:rPr>
      </w:pPr>
      <w:r>
        <w:rPr>
          <w:kern w:val="0"/>
        </w:rPr>
        <w:t>Abstract: Rice bran, an agricultural by-product, was used for the sorptive removal of Ni</w:t>
      </w:r>
      <w:r w:rsidRPr="00B402D4">
        <w:rPr>
          <w:kern w:val="0"/>
          <w:vertAlign w:val="superscript"/>
        </w:rPr>
        <w:t>2+</w:t>
      </w:r>
      <w:r>
        <w:rPr>
          <w:kern w:val="0"/>
        </w:rPr>
        <w:t xml:space="preserve"> from aqueous solutions. Batch adsorption experiments were performed as a function of initial concentrations, contact time, pH</w:t>
      </w:r>
      <w:r w:rsidR="00F81221">
        <w:rPr>
          <w:kern w:val="0"/>
        </w:rPr>
        <w:t xml:space="preserve"> and </w:t>
      </w:r>
      <w:r>
        <w:rPr>
          <w:kern w:val="0"/>
        </w:rPr>
        <w:t>temperature. The experimental data were analysed by Langmuir, Freundlich</w:t>
      </w:r>
      <w:r w:rsidR="00F81221">
        <w:rPr>
          <w:kern w:val="0"/>
        </w:rPr>
        <w:t xml:space="preserve"> and </w:t>
      </w:r>
      <w:r>
        <w:rPr>
          <w:kern w:val="0"/>
        </w:rPr>
        <w:t>Redlich-Peterson isotherms. The equilibrium sorption capacity of Ni</w:t>
      </w:r>
      <w:r w:rsidRPr="00B402D4">
        <w:rPr>
          <w:kern w:val="0"/>
          <w:vertAlign w:val="superscript"/>
        </w:rPr>
        <w:t>2+</w:t>
      </w:r>
      <w:r>
        <w:rPr>
          <w:kern w:val="0"/>
        </w:rPr>
        <w:t xml:space="preserve"> Was determined from the Langmuir equation</w:t>
      </w:r>
      <w:r w:rsidR="00F81221">
        <w:rPr>
          <w:kern w:val="0"/>
        </w:rPr>
        <w:t xml:space="preserve"> and </w:t>
      </w:r>
      <w:r>
        <w:rPr>
          <w:kern w:val="0"/>
        </w:rPr>
        <w:t xml:space="preserve">was found to be 28.36 mg/g. The sorption process follows </w:t>
      </w:r>
      <w:r>
        <w:rPr>
          <w:kern w:val="0"/>
        </w:rPr>
        <w:lastRenderedPageBreak/>
        <w:t xml:space="preserve">pseudo-second-order kinetics. The thermodynamic parameters, such as </w:t>
      </w:r>
      <w:r>
        <w:rPr>
          <w:kern w:val="0"/>
        </w:rPr>
        <w:sym w:font="Symbol" w:char="F044"/>
      </w:r>
      <w:r>
        <w:rPr>
          <w:kern w:val="0"/>
        </w:rPr>
        <w:t>G</w:t>
      </w:r>
      <w:r w:rsidR="00F81221">
        <w:rPr>
          <w:kern w:val="0"/>
        </w:rPr>
        <w:t xml:space="preserve"> and </w:t>
      </w:r>
      <w:r>
        <w:rPr>
          <w:kern w:val="0"/>
        </w:rPr>
        <w:sym w:font="Symbol" w:char="F044"/>
      </w:r>
      <w:r>
        <w:rPr>
          <w:kern w:val="0"/>
        </w:rPr>
        <w:t>S, have been calculated. The thermodynamics of Ni</w:t>
      </w:r>
      <w:r w:rsidRPr="00B402D4">
        <w:rPr>
          <w:kern w:val="0"/>
          <w:vertAlign w:val="superscript"/>
        </w:rPr>
        <w:t>2+</w:t>
      </w:r>
      <w:r>
        <w:rPr>
          <w:kern w:val="0"/>
        </w:rPr>
        <w:t>/rice bran system indicates the spontaneous nature of the process.</w:t>
      </w:r>
    </w:p>
    <w:p w:rsidR="00297F23" w:rsidRDefault="00297F23" w:rsidP="00297F23">
      <w:pPr>
        <w:pStyle w:val="a0"/>
        <w:rPr>
          <w:kern w:val="0"/>
        </w:rPr>
      </w:pPr>
      <w:r>
        <w:rPr>
          <w:kern w:val="0"/>
        </w:rPr>
        <w:t>Keywords: Adsorption, Adsorption Kinetics, Agricultural By-Product, Aqueous Solution, Aqueous Solutions, Batch Adsorption, Capacity, Contact, Contact-Time, Copper, Equilibrium, Experiments, Freundlich, Function, Isotherm, Isotherm, Isotherms, Kinetics, Langmuir, Langmuir Equation, Lead, Metal-Ions, Ni</w:t>
      </w:r>
      <w:r w:rsidRPr="00B402D4">
        <w:rPr>
          <w:kern w:val="0"/>
          <w:vertAlign w:val="superscript"/>
        </w:rPr>
        <w:t>2+</w:t>
      </w:r>
      <w:r>
        <w:rPr>
          <w:kern w:val="0"/>
        </w:rPr>
        <w:t>, Ni</w:t>
      </w:r>
      <w:r w:rsidRPr="00B402D4">
        <w:rPr>
          <w:kern w:val="0"/>
          <w:vertAlign w:val="superscript"/>
        </w:rPr>
        <w:t>2+</w:t>
      </w:r>
      <w:r>
        <w:rPr>
          <w:kern w:val="0"/>
        </w:rPr>
        <w:t xml:space="preserve"> Removal, Nickel, Peat, </w:t>
      </w:r>
      <w:r>
        <w:rPr>
          <w:rFonts w:hint="eastAsia"/>
          <w:kern w:val="0"/>
        </w:rPr>
        <w:t>p</w:t>
      </w:r>
      <w:r>
        <w:rPr>
          <w:kern w:val="0"/>
        </w:rPr>
        <w:t>H, Process, Pseudo Second Order Kinetics, Pseudo-Second-Order, Pseudo-Second-Order Kinetics, Redlich Peterson, Redlich-Peterson, Removal, Rice Bran, Sorption, Sorption Capacity, Spontaneous, Temperature, Thermodynamic, Thermodynamic Parameters, Thermodynamics, Tree Fern</w:t>
      </w:r>
    </w:p>
    <w:p w:rsidR="00297F23" w:rsidRDefault="00297F23" w:rsidP="00297F23">
      <w:pPr>
        <w:pStyle w:val="a0"/>
        <w:rPr>
          <w:kern w:val="0"/>
        </w:rPr>
      </w:pPr>
      <w:r>
        <w:rPr>
          <w:rFonts w:hint="eastAsia"/>
          <w:kern w:val="0"/>
        </w:rPr>
        <w:t xml:space="preserve">? </w:t>
      </w:r>
      <w:r>
        <w:rPr>
          <w:kern w:val="0"/>
        </w:rPr>
        <w:t>Sharma, A.</w:t>
      </w:r>
      <w:r w:rsidR="00F81221">
        <w:rPr>
          <w:kern w:val="0"/>
        </w:rPr>
        <w:t xml:space="preserve"> and </w:t>
      </w:r>
      <w:r>
        <w:rPr>
          <w:kern w:val="0"/>
        </w:rPr>
        <w:t>Bhattacharyya, K.G. (2008), Interactions of Pb(II), Cd(II)</w:t>
      </w:r>
      <w:r w:rsidR="00F81221">
        <w:rPr>
          <w:kern w:val="0"/>
        </w:rPr>
        <w:t xml:space="preserve"> and </w:t>
      </w:r>
      <w:r>
        <w:rPr>
          <w:kern w:val="0"/>
        </w:rPr>
        <w:t>Cr(VI) with Neem (Azadirachta indica) leaf powder: Kinetics</w:t>
      </w:r>
      <w:r w:rsidR="00F81221">
        <w:rPr>
          <w:kern w:val="0"/>
        </w:rPr>
        <w:t xml:space="preserve"> and </w:t>
      </w:r>
      <w:r>
        <w:rPr>
          <w:kern w:val="0"/>
        </w:rPr>
        <w:t xml:space="preserve">thermodynamics.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374-399.</w:t>
      </w:r>
    </w:p>
    <w:p w:rsidR="00297F23" w:rsidRDefault="00297F23" w:rsidP="000D762B">
      <w:pPr>
        <w:pStyle w:val="a0"/>
      </w:pPr>
      <w:r w:rsidRPr="00A428C3">
        <w:t xml:space="preserve">Full Text: </w:t>
      </w:r>
      <w:hyperlink r:id="rId1783" w:history="1">
        <w:r w:rsidR="000D762B" w:rsidRPr="000D762B">
          <w:rPr>
            <w:rStyle w:val="a5"/>
          </w:rPr>
          <w:t>2008\Int J Env Pol34, 374.pdf</w:t>
        </w:r>
      </w:hyperlink>
    </w:p>
    <w:p w:rsidR="00297F23" w:rsidRDefault="00297F23" w:rsidP="00297F23">
      <w:pPr>
        <w:pStyle w:val="a0"/>
        <w:rPr>
          <w:kern w:val="0"/>
        </w:rPr>
      </w:pPr>
      <w:r>
        <w:rPr>
          <w:kern w:val="0"/>
        </w:rPr>
        <w:t>Abstract: Neem leaf powder (NLP) is made from the leaves of the Neem tree (Azadirachta indica) for removing Pb(II), Cd(II)</w:t>
      </w:r>
      <w:r w:rsidR="00F81221">
        <w:rPr>
          <w:kern w:val="0"/>
        </w:rPr>
        <w:t xml:space="preserve"> and </w:t>
      </w:r>
      <w:r>
        <w:rPr>
          <w:kern w:val="0"/>
        </w:rPr>
        <w:t>Cr(VI) from water. The powder (surface area 21.45 m</w:t>
      </w:r>
      <w:r>
        <w:rPr>
          <w:rFonts w:hint="eastAsia"/>
          <w:kern w:val="0"/>
          <w:vertAlign w:val="superscript"/>
        </w:rPr>
        <w:t>2</w:t>
      </w:r>
      <w:r>
        <w:rPr>
          <w:kern w:val="0"/>
        </w:rPr>
        <w:t>/g), was used at pH similar to 7.0</w:t>
      </w:r>
      <w:r w:rsidR="00F81221">
        <w:rPr>
          <w:kern w:val="0"/>
        </w:rPr>
        <w:t xml:space="preserve"> and </w:t>
      </w:r>
      <w:r>
        <w:rPr>
          <w:kern w:val="0"/>
        </w:rPr>
        <w:t>pseudo first</w:t>
      </w:r>
      <w:r w:rsidR="00F81221">
        <w:rPr>
          <w:kern w:val="0"/>
        </w:rPr>
        <w:t xml:space="preserve"> and </w:t>
      </w:r>
      <w:r>
        <w:rPr>
          <w:kern w:val="0"/>
        </w:rPr>
        <w:t>second orders, Elovich equation, intra-particle</w:t>
      </w:r>
      <w:r w:rsidR="00F81221">
        <w:rPr>
          <w:kern w:val="0"/>
        </w:rPr>
        <w:t xml:space="preserve"> and </w:t>
      </w:r>
      <w:r>
        <w:rPr>
          <w:kern w:val="0"/>
        </w:rPr>
        <w:t>liquid film diffusion models were used to test the kinetics. The interactions mostly followed a second-order model involving transfer of the cations from the surrounding liquid film to the surface of the adsorbent particles. The interactions were exothermic</w:t>
      </w:r>
      <w:r w:rsidR="00F81221">
        <w:rPr>
          <w:kern w:val="0"/>
        </w:rPr>
        <w:t xml:space="preserve"> and </w:t>
      </w:r>
      <w:r>
        <w:rPr>
          <w:kern w:val="0"/>
        </w:rPr>
        <w:t>spontaneous. Enthalpy, entropy</w:t>
      </w:r>
      <w:r w:rsidR="00F81221">
        <w:rPr>
          <w:kern w:val="0"/>
        </w:rPr>
        <w:t xml:space="preserve"> and </w:t>
      </w:r>
      <w:r>
        <w:rPr>
          <w:kern w:val="0"/>
        </w:rPr>
        <w:t>Gibbs energy changes show a high potential of NLP as a biosorbent for metal ions.</w:t>
      </w:r>
    </w:p>
    <w:p w:rsidR="00297F23" w:rsidRDefault="00297F23" w:rsidP="00297F23">
      <w:pPr>
        <w:pStyle w:val="a0"/>
        <w:rPr>
          <w:kern w:val="0"/>
        </w:rPr>
      </w:pPr>
      <w:r>
        <w:rPr>
          <w:kern w:val="0"/>
        </w:rPr>
        <w:t xml:space="preserve">Keywords: Adsorbent, Adsorption, Agricultural Wastes, Aqueous-Solution, Azadirachta Indica, Biogas Residual Slurry, Biosorbent, Cations, Cd(Ii), Changes, Chromium, Color Removal, Cr(VI), Cr(VI) Adsorption, Diffusion, Diffusion Models, Divalent Metal-Ions, Elovich, Elovich Equation, Exothermic, Film, Heavy-Metals, Interactions, Ions, Kinetics, Metal, Metal Ions, Model, Models, Neem, Neem Leaf Powder, Pb(II), </w:t>
      </w:r>
      <w:r>
        <w:rPr>
          <w:rFonts w:hint="eastAsia"/>
          <w:kern w:val="0"/>
        </w:rPr>
        <w:t>p</w:t>
      </w:r>
      <w:r>
        <w:rPr>
          <w:kern w:val="0"/>
        </w:rPr>
        <w:t>H, Second-Order, Sorption Kinetics, Spontaneous, Surface, Test, Thermodynamics, Transfer, Water</w:t>
      </w:r>
    </w:p>
    <w:p w:rsidR="00297F23" w:rsidRDefault="00297F23" w:rsidP="00884811">
      <w:pPr>
        <w:pStyle w:val="a0"/>
        <w:rPr>
          <w:kern w:val="0"/>
        </w:rPr>
      </w:pPr>
      <w:r>
        <w:rPr>
          <w:rFonts w:hint="eastAsia"/>
          <w:kern w:val="0"/>
        </w:rPr>
        <w:t xml:space="preserve">? </w:t>
      </w:r>
      <w:r>
        <w:rPr>
          <w:kern w:val="0"/>
        </w:rPr>
        <w:t>Alkan, U.</w:t>
      </w:r>
      <w:r w:rsidR="00F81221">
        <w:rPr>
          <w:kern w:val="0"/>
        </w:rPr>
        <w:t xml:space="preserve"> and </w:t>
      </w:r>
      <w:r>
        <w:rPr>
          <w:kern w:val="0"/>
        </w:rPr>
        <w:t>Eleren, S.</w:t>
      </w:r>
      <w:r w:rsidR="003E07AA">
        <w:rPr>
          <w:kern w:val="0"/>
        </w:rPr>
        <w:t>Ç</w:t>
      </w:r>
      <w:r>
        <w:rPr>
          <w:kern w:val="0"/>
        </w:rPr>
        <w:t xml:space="preserve">. (2008), Effect of sludge age on heavy metal biosorption by selector activated sludge.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400-411.</w:t>
      </w:r>
    </w:p>
    <w:p w:rsidR="00297F23" w:rsidRDefault="00297F23" w:rsidP="008B09B3">
      <w:pPr>
        <w:pStyle w:val="a0"/>
      </w:pPr>
      <w:r w:rsidRPr="00A428C3">
        <w:t xml:space="preserve">Full Text: </w:t>
      </w:r>
      <w:hyperlink r:id="rId1784" w:history="1">
        <w:r w:rsidR="008B09B3" w:rsidRPr="008B09B3">
          <w:rPr>
            <w:rStyle w:val="a5"/>
          </w:rPr>
          <w:t>2008\Int J Env Pol34, 400.pdf</w:t>
        </w:r>
      </w:hyperlink>
    </w:p>
    <w:p w:rsidR="00297F23" w:rsidRDefault="00297F23" w:rsidP="00297F23">
      <w:pPr>
        <w:pStyle w:val="a0"/>
        <w:rPr>
          <w:kern w:val="0"/>
        </w:rPr>
      </w:pPr>
      <w:r>
        <w:rPr>
          <w:kern w:val="0"/>
        </w:rPr>
        <w:t>Abstract: The influence of sludge age on the metal biosorption characteristics of an aerobic selector-activated sludge was investigated. Two bench-scale aerobic-activated sludge systems were operated at sludge ages of 5 days</w:t>
      </w:r>
      <w:r w:rsidR="00F81221">
        <w:rPr>
          <w:kern w:val="0"/>
        </w:rPr>
        <w:t xml:space="preserve"> and </w:t>
      </w:r>
      <w:r>
        <w:rPr>
          <w:kern w:val="0"/>
        </w:rPr>
        <w:t xml:space="preserve">15 days </w:t>
      </w:r>
      <w:r>
        <w:rPr>
          <w:kern w:val="0"/>
        </w:rPr>
        <w:lastRenderedPageBreak/>
        <w:t>for studying biosorption of Cu</w:t>
      </w:r>
      <w:r w:rsidR="00F81221">
        <w:rPr>
          <w:kern w:val="0"/>
        </w:rPr>
        <w:t xml:space="preserve"> and </w:t>
      </w:r>
      <w:r>
        <w:rPr>
          <w:kern w:val="0"/>
        </w:rPr>
        <w:t>Cr(VI). In-vitro batch experiments were performed to compare biosorption characteristics of the sludge samples harvested from the bench-scale systems. Adsorption capacity (k) of the sludge for both of the metals was found to decrease with increasing sludge age from 5 days to 15 days However, percent removals of the metals were variable in relation to sludge age. Although Cr(VI) removal increased from 33% to 68%, Cu removal exhibited a slight decrease from 81% to 74% with increasing sludge age.</w:t>
      </w:r>
    </w:p>
    <w:p w:rsidR="00297F23" w:rsidRDefault="00297F23" w:rsidP="00297F23">
      <w:pPr>
        <w:pStyle w:val="a0"/>
        <w:rPr>
          <w:kern w:val="0"/>
        </w:rPr>
      </w:pPr>
      <w:r>
        <w:rPr>
          <w:kern w:val="0"/>
        </w:rPr>
        <w:t>Keywords: Activated Sludge, Adsorption, Adsorption Capacity, Aerobic, Aerobic Selector, Age, Bacterial Extracellular Polymers, Batch, Batch Experiments, Biosorption, Capacity, Copper, Cr(VI), Cr(VI) Removal, Cu, Culture, Experiments, Heavy Metal, Heavy Metals, Heavy-Metal, Hexavalent Chromium, Influence, Metal, Metal Biosorption, Metals, Removal, Retention Time, Samples, Sludge, Sludge Age, Stability-Constants, Systems</w:t>
      </w:r>
    </w:p>
    <w:p w:rsidR="00297F23" w:rsidRDefault="00297F23" w:rsidP="00297F23">
      <w:pPr>
        <w:pStyle w:val="a0"/>
        <w:rPr>
          <w:kern w:val="0"/>
        </w:rPr>
      </w:pPr>
      <w:r>
        <w:rPr>
          <w:rFonts w:hint="eastAsia"/>
          <w:kern w:val="0"/>
        </w:rPr>
        <w:t xml:space="preserve">? </w:t>
      </w:r>
      <w:r>
        <w:rPr>
          <w:kern w:val="0"/>
        </w:rPr>
        <w:t>Al-Asheh, S.</w:t>
      </w:r>
      <w:r w:rsidR="00F81221">
        <w:rPr>
          <w:kern w:val="0"/>
        </w:rPr>
        <w:t xml:space="preserve"> and </w:t>
      </w:r>
      <w:r>
        <w:rPr>
          <w:kern w:val="0"/>
        </w:rPr>
        <w:t>Belal, A. (2008), Carboxylic acids-modified palm stones as sorbents for metal ions using single</w:t>
      </w:r>
      <w:r w:rsidR="00F81221">
        <w:rPr>
          <w:kern w:val="0"/>
        </w:rPr>
        <w:t xml:space="preserve"> and </w:t>
      </w:r>
      <w:r>
        <w:rPr>
          <w:kern w:val="0"/>
        </w:rPr>
        <w:t xml:space="preserve">multi-metal aqueous solutions.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412-426.</w:t>
      </w:r>
    </w:p>
    <w:p w:rsidR="00297F23" w:rsidRDefault="00297F23" w:rsidP="008B09B3">
      <w:pPr>
        <w:pStyle w:val="a0"/>
      </w:pPr>
      <w:r w:rsidRPr="00A428C3">
        <w:t xml:space="preserve">Full Text: </w:t>
      </w:r>
      <w:hyperlink r:id="rId1785" w:history="1">
        <w:r w:rsidR="008B09B3" w:rsidRPr="008B09B3">
          <w:rPr>
            <w:rStyle w:val="a5"/>
          </w:rPr>
          <w:t>2008\Int J Env Pol34, 412.pdf</w:t>
        </w:r>
      </w:hyperlink>
    </w:p>
    <w:p w:rsidR="00297F23" w:rsidRDefault="00297F23" w:rsidP="00297F23">
      <w:pPr>
        <w:pStyle w:val="a0"/>
        <w:rPr>
          <w:kern w:val="0"/>
        </w:rPr>
      </w:pPr>
      <w:r>
        <w:rPr>
          <w:kern w:val="0"/>
        </w:rPr>
        <w:t>Abstract: Natural palm stone has been modified in order to enhance its sorption capacity for different metal ions. The palm stone (PS), or date-pits, was treated with different carboxylic acids, namely carboxylic acid (CA), tartaric acid (TA), salicylic acid (SA), oxalic acid (OA), mandelic acid (MND)</w:t>
      </w:r>
      <w:r w:rsidR="00F81221">
        <w:rPr>
          <w:kern w:val="0"/>
        </w:rPr>
        <w:t xml:space="preserve"> and </w:t>
      </w:r>
      <w:r>
        <w:rPr>
          <w:kern w:val="0"/>
        </w:rPr>
        <w:t>malic acid (MA). Batch sorption tests were carried out using single, binary or tertiary metal systems composed from copper, zinc</w:t>
      </w:r>
      <w:r w:rsidR="00F81221">
        <w:rPr>
          <w:kern w:val="0"/>
        </w:rPr>
        <w:t xml:space="preserve"> and </w:t>
      </w:r>
      <w:r>
        <w:rPr>
          <w:kern w:val="0"/>
        </w:rPr>
        <w:t>cadmium. In single metal systems, the sorption of metal ions by modified date-pits stone was always higher than that of the unmodified date-pits. The best sorbents used in this work for the removal of Cu, Zn</w:t>
      </w:r>
      <w:r w:rsidR="00F81221">
        <w:rPr>
          <w:kern w:val="0"/>
        </w:rPr>
        <w:t xml:space="preserve"> and </w:t>
      </w:r>
      <w:r>
        <w:rPr>
          <w:kern w:val="0"/>
        </w:rPr>
        <w:t>Cd from their individual solution are SA-PS, CA-PS</w:t>
      </w:r>
      <w:r w:rsidR="00F81221">
        <w:rPr>
          <w:kern w:val="0"/>
        </w:rPr>
        <w:t xml:space="preserve"> and </w:t>
      </w:r>
      <w:r>
        <w:rPr>
          <w:kern w:val="0"/>
        </w:rPr>
        <w:t>MA-PS, respectively. For multi-metal systems, OA-PS</w:t>
      </w:r>
      <w:r w:rsidR="00F81221">
        <w:rPr>
          <w:kern w:val="0"/>
        </w:rPr>
        <w:t xml:space="preserve"> and </w:t>
      </w:r>
      <w:r>
        <w:rPr>
          <w:kern w:val="0"/>
        </w:rPr>
        <w:t>TA-PS can be considered as the best candidates for metal removal. Equilibrium is achieved in a contact time of about an hour. The amount adsorbed was dependent on the process conditions; it increased with an increase in pH, initial metal concentration</w:t>
      </w:r>
      <w:r w:rsidR="00F81221">
        <w:rPr>
          <w:kern w:val="0"/>
        </w:rPr>
        <w:t xml:space="preserve"> and </w:t>
      </w:r>
      <w:r>
        <w:rPr>
          <w:kern w:val="0"/>
        </w:rPr>
        <w:t>amount of sorbet. The Freundlich model agreed very well with the equilibrium isotherm experimental data.</w:t>
      </w:r>
    </w:p>
    <w:p w:rsidR="00297F23" w:rsidRDefault="00297F23" w:rsidP="00297F23">
      <w:pPr>
        <w:pStyle w:val="a0"/>
        <w:rPr>
          <w:kern w:val="0"/>
        </w:rPr>
      </w:pPr>
      <w:r>
        <w:rPr>
          <w:kern w:val="0"/>
        </w:rPr>
        <w:t xml:space="preserve">Keywords: Achieved, Acid, Adsorbents, Adsorption, Adsorption, Aqueous Solutions, Ca-Ps, Cadmium, Capacity, Cd, Contact, Contact-Time, Copper, Cu, Date Pits, Equilibrium, Equilibrium Isotherm, Freundlich, Freundlich Model, Heavy-Metals, Individual, Ions, Isotherm, MA-PS, MAPS, Metal, Metal Ions, Metal Removal, </w:t>
      </w:r>
      <w:r w:rsidR="008B09B3">
        <w:rPr>
          <w:kern w:val="0"/>
        </w:rPr>
        <w:t>MND-PS</w:t>
      </w:r>
      <w:r>
        <w:rPr>
          <w:kern w:val="0"/>
        </w:rPr>
        <w:t xml:space="preserve">, Model, Modified, Multimetal Systems, OA-PS, Palm Stone, </w:t>
      </w:r>
      <w:r>
        <w:rPr>
          <w:rFonts w:hint="eastAsia"/>
          <w:kern w:val="0"/>
        </w:rPr>
        <w:t>p</w:t>
      </w:r>
      <w:r>
        <w:rPr>
          <w:kern w:val="0"/>
        </w:rPr>
        <w:t>H, Process, Removal, SA-PS, Salicylic Acid, Sawdust, Sorbents, Sorption, Sorption Capacity, Systems, TA, TA-PS, Tartaric Acid, Waste-Water, Work, Zinc, Zn</w:t>
      </w:r>
    </w:p>
    <w:p w:rsidR="00297F23" w:rsidRDefault="00297F23" w:rsidP="00297F23">
      <w:pPr>
        <w:pStyle w:val="a0"/>
        <w:rPr>
          <w:kern w:val="0"/>
        </w:rPr>
      </w:pPr>
      <w:r>
        <w:rPr>
          <w:rFonts w:hint="eastAsia"/>
          <w:kern w:val="0"/>
        </w:rPr>
        <w:t xml:space="preserve">? </w:t>
      </w:r>
      <w:r>
        <w:rPr>
          <w:kern w:val="0"/>
        </w:rPr>
        <w:t>Yu, H., Covey, G.H.</w:t>
      </w:r>
      <w:r w:rsidR="00F81221">
        <w:rPr>
          <w:kern w:val="0"/>
        </w:rPr>
        <w:t xml:space="preserve"> and </w:t>
      </w:r>
      <w:r>
        <w:rPr>
          <w:kern w:val="0"/>
        </w:rPr>
        <w:t>O</w:t>
      </w:r>
      <w:r w:rsidR="000352E7">
        <w:rPr>
          <w:kern w:val="0"/>
        </w:rPr>
        <w:t>’</w:t>
      </w:r>
      <w:r>
        <w:rPr>
          <w:kern w:val="0"/>
        </w:rPr>
        <w:t xml:space="preserve">Connor, A.J. (2008), Innovative use of silvichemical </w:t>
      </w:r>
      <w:r>
        <w:rPr>
          <w:kern w:val="0"/>
        </w:rPr>
        <w:lastRenderedPageBreak/>
        <w:t>biomass</w:t>
      </w:r>
      <w:r w:rsidR="00F81221">
        <w:rPr>
          <w:kern w:val="0"/>
        </w:rPr>
        <w:t xml:space="preserve"> and </w:t>
      </w:r>
      <w:r>
        <w:rPr>
          <w:kern w:val="0"/>
        </w:rPr>
        <w:t xml:space="preserve">its derivatives for heavy metal sorption from wastewater.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427-450.</w:t>
      </w:r>
    </w:p>
    <w:p w:rsidR="00297F23" w:rsidRDefault="00297F23" w:rsidP="008B09B3">
      <w:pPr>
        <w:pStyle w:val="a0"/>
      </w:pPr>
      <w:r w:rsidRPr="00A428C3">
        <w:t xml:space="preserve">Full Text: </w:t>
      </w:r>
      <w:hyperlink r:id="rId1786" w:history="1">
        <w:r w:rsidR="008B09B3" w:rsidRPr="008B09B3">
          <w:rPr>
            <w:rStyle w:val="a5"/>
          </w:rPr>
          <w:t>2008\Int J Env Pol34, 427.pdf</w:t>
        </w:r>
      </w:hyperlink>
    </w:p>
    <w:p w:rsidR="00297F23" w:rsidRDefault="00297F23" w:rsidP="00297F23">
      <w:pPr>
        <w:pStyle w:val="a0"/>
        <w:rPr>
          <w:kern w:val="0"/>
        </w:rPr>
      </w:pPr>
      <w:r>
        <w:rPr>
          <w:kern w:val="0"/>
        </w:rPr>
        <w:t>Abstract: Biosorption is a process of metabolism-independent, passive, physico-chemical binding of metal ions involving non-living biomass, which offers advantages over conventional methods because of cost-effectiveness, especially for dilute metal solutions,</w:t>
      </w:r>
      <w:r w:rsidR="00F81221">
        <w:rPr>
          <w:kern w:val="0"/>
        </w:rPr>
        <w:t xml:space="preserve"> and </w:t>
      </w:r>
      <w:r>
        <w:rPr>
          <w:kern w:val="0"/>
        </w:rPr>
        <w:t>minimal environmental impact. This paper reviews heavy metal biosorption using silvichernical-based biomass materials. It discusses the use of a wide range of silvichemical biomasses</w:t>
      </w:r>
      <w:r w:rsidR="00F81221">
        <w:rPr>
          <w:kern w:val="0"/>
        </w:rPr>
        <w:t xml:space="preserve"> and </w:t>
      </w:r>
      <w:r>
        <w:rPr>
          <w:kern w:val="0"/>
        </w:rPr>
        <w:t>their derivatives for heavy metal removal from single</w:t>
      </w:r>
      <w:r w:rsidR="00F81221">
        <w:rPr>
          <w:kern w:val="0"/>
        </w:rPr>
        <w:t xml:space="preserve"> and </w:t>
      </w:r>
      <w:r>
        <w:rPr>
          <w:kern w:val="0"/>
        </w:rPr>
        <w:t>multi-metal systems. The structures</w:t>
      </w:r>
      <w:r w:rsidR="00F81221">
        <w:rPr>
          <w:kern w:val="0"/>
        </w:rPr>
        <w:t xml:space="preserve"> and </w:t>
      </w:r>
      <w:r>
        <w:rPr>
          <w:kern w:val="0"/>
        </w:rPr>
        <w:t>properties of silvichemical biomasses as well as methods of biosorbent pretreatment</w:t>
      </w:r>
      <w:r w:rsidR="00F81221">
        <w:rPr>
          <w:kern w:val="0"/>
        </w:rPr>
        <w:t xml:space="preserve"> and </w:t>
      </w:r>
      <w:r>
        <w:rPr>
          <w:kern w:val="0"/>
        </w:rPr>
        <w:t>immobilisation are evaluated. Metal biosorption mechanisms</w:t>
      </w:r>
      <w:r w:rsidR="00F81221">
        <w:rPr>
          <w:kern w:val="0"/>
        </w:rPr>
        <w:t xml:space="preserve"> and </w:t>
      </w:r>
      <w:r>
        <w:rPr>
          <w:kern w:val="0"/>
        </w:rPr>
        <w:t>binding sites, selective biosorption</w:t>
      </w:r>
      <w:r w:rsidR="00F81221">
        <w:rPr>
          <w:kern w:val="0"/>
        </w:rPr>
        <w:t xml:space="preserve"> and </w:t>
      </w:r>
      <w:r>
        <w:rPr>
          <w:kern w:val="0"/>
        </w:rPr>
        <w:t>biosorbent reuse</w:t>
      </w:r>
      <w:r w:rsidR="00F81221">
        <w:rPr>
          <w:kern w:val="0"/>
        </w:rPr>
        <w:t xml:space="preserve"> and </w:t>
      </w:r>
      <w:r>
        <w:rPr>
          <w:kern w:val="0"/>
        </w:rPr>
        <w:t>regeneration are also addressed.</w:t>
      </w:r>
    </w:p>
    <w:p w:rsidR="00297F23" w:rsidRDefault="00297F23" w:rsidP="00297F23">
      <w:pPr>
        <w:pStyle w:val="a0"/>
        <w:rPr>
          <w:kern w:val="0"/>
        </w:rPr>
      </w:pPr>
      <w:r>
        <w:rPr>
          <w:kern w:val="0"/>
        </w:rPr>
        <w:t>Keywords: Activated Carbon, Alfalfa Biomass, Aqueous-Solutions, Batch Experiments, Binding Sites, Biomass, Biosorbent, Biosorption, Coniferous Barks, Contaminated Water, Cost Effectiveness, Cost-Effectiveness, Environmental, Environmental Impact, Heavy Metal, Heavy Metal Removal, Heavy-Metal, Immobilisation, Impact, Ion Exchange, Ion-Exchanger, Ions, Mechanisms, Metal, Metal Biosorption, Metal Ions, Metal Removal, Metal Sorption, Methods, Multimetal Systems, Natural-Waters, Paper-Mill Sludge, Plant Polyphenols, Pretreatment, Process, Regeneration, Removal, Silvichemical Biomass, Sorption, Systems, Wastewater, Wastewater Treatment</w:t>
      </w:r>
    </w:p>
    <w:p w:rsidR="00297F23" w:rsidRDefault="00297F23" w:rsidP="00297F23">
      <w:pPr>
        <w:pStyle w:val="a0"/>
        <w:rPr>
          <w:kern w:val="0"/>
        </w:rPr>
      </w:pPr>
      <w:r>
        <w:rPr>
          <w:rFonts w:hint="eastAsia"/>
          <w:kern w:val="0"/>
        </w:rPr>
        <w:t xml:space="preserve">? </w:t>
      </w:r>
      <w:r>
        <w:rPr>
          <w:kern w:val="0"/>
        </w:rPr>
        <w:t>Crini, G., Martel, B.</w:t>
      </w:r>
      <w:r w:rsidR="00F81221">
        <w:rPr>
          <w:kern w:val="0"/>
        </w:rPr>
        <w:t xml:space="preserve"> and </w:t>
      </w:r>
      <w:r>
        <w:rPr>
          <w:kern w:val="0"/>
        </w:rPr>
        <w:t xml:space="preserve">Torri, G. (2008), Adsorption of CI Basic Blue 9 on chitosan-based materials.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451-465.</w:t>
      </w:r>
    </w:p>
    <w:p w:rsidR="00297F23" w:rsidRDefault="00297F23" w:rsidP="008B09B3">
      <w:pPr>
        <w:pStyle w:val="a0"/>
      </w:pPr>
      <w:r w:rsidRPr="00A428C3">
        <w:t xml:space="preserve">Full Text: </w:t>
      </w:r>
      <w:hyperlink r:id="rId1787" w:history="1">
        <w:r w:rsidR="008B09B3" w:rsidRPr="008B09B3">
          <w:rPr>
            <w:rStyle w:val="a5"/>
          </w:rPr>
          <w:t>2008\Int J Env Pol34, 451.pdf</w:t>
        </w:r>
      </w:hyperlink>
    </w:p>
    <w:p w:rsidR="00297F23" w:rsidRDefault="00297F23" w:rsidP="00297F23">
      <w:pPr>
        <w:pStyle w:val="a0"/>
        <w:rPr>
          <w:kern w:val="0"/>
        </w:rPr>
      </w:pPr>
      <w:r>
        <w:rPr>
          <w:kern w:val="0"/>
        </w:rPr>
        <w:t>Abstract: In this study, N-benzyl mono-</w:t>
      </w:r>
      <w:r w:rsidR="00F81221">
        <w:rPr>
          <w:kern w:val="0"/>
        </w:rPr>
        <w:t xml:space="preserve"> and </w:t>
      </w:r>
      <w:r>
        <w:rPr>
          <w:kern w:val="0"/>
        </w:rPr>
        <w:t>disulfonate derivatives of chitosan are used for the removal of dyes from aqueous solution. The effectiveness of these materials in adsorbing basic blue 9 (BB 9) has been studied as a function of agitation time, initial concentration</w:t>
      </w:r>
      <w:r w:rsidR="00F81221">
        <w:rPr>
          <w:kern w:val="0"/>
        </w:rPr>
        <w:t xml:space="preserve"> and </w:t>
      </w:r>
      <w:r>
        <w:rPr>
          <w:kern w:val="0"/>
        </w:rPr>
        <w:t>solution salinity. Experimental results confirmed the strong cation exchanger character of the sulfonated derivatives</w:t>
      </w:r>
      <w:r w:rsidR="00F81221">
        <w:rPr>
          <w:kern w:val="0"/>
        </w:rPr>
        <w:t xml:space="preserve"> and </w:t>
      </w:r>
      <w:r>
        <w:rPr>
          <w:kern w:val="0"/>
        </w:rPr>
        <w:t>showed that disulfonate derivatives of chitosan exhibited higher sorption capacities toward cationic dye than the monosulfonic one. Sorption of BB 9 reached equilibrium within 20-40 min</w:t>
      </w:r>
      <w:r w:rsidR="00F81221">
        <w:rPr>
          <w:kern w:val="0"/>
        </w:rPr>
        <w:t xml:space="preserve"> and </w:t>
      </w:r>
      <w:r>
        <w:rPr>
          <w:kern w:val="0"/>
        </w:rPr>
        <w:t>the maximum adsorption onto disulfonate derivative was 121.9 mg/g at pH = 3. The originality of both derivatives is their inversed pH domain of solubility compared to the parent polymer, so that they could be used as adsorbents in acidic medium without any crosslinking reaction.</w:t>
      </w:r>
    </w:p>
    <w:p w:rsidR="00297F23" w:rsidRDefault="00297F23" w:rsidP="00297F23">
      <w:pPr>
        <w:pStyle w:val="a0"/>
        <w:rPr>
          <w:kern w:val="0"/>
        </w:rPr>
      </w:pPr>
      <w:r>
        <w:rPr>
          <w:kern w:val="0"/>
        </w:rPr>
        <w:t xml:space="preserve">Keywords: Activated Carbon, Adsorbents, Adsorption, Aqueous Solution, Aqueous-Solution, Basic Blue 9, Cationic Dye, Chitosan, </w:t>
      </w:r>
      <w:r w:rsidR="00884811">
        <w:rPr>
          <w:kern w:val="0"/>
        </w:rPr>
        <w:t xml:space="preserve">CI </w:t>
      </w:r>
      <w:r>
        <w:rPr>
          <w:kern w:val="0"/>
        </w:rPr>
        <w:t xml:space="preserve">Basic Blue 9, Crosslinking, Diatomaceous-Earth, Dye, Dyes, Effectiveness, Equilibrium, </w:t>
      </w:r>
      <w:r>
        <w:rPr>
          <w:kern w:val="0"/>
        </w:rPr>
        <w:lastRenderedPageBreak/>
        <w:t xml:space="preserve">Equilibrium Isotherm, Function, Metal-Ions, Methylene-Blue, Originality, Parent, </w:t>
      </w:r>
      <w:r>
        <w:rPr>
          <w:rFonts w:hint="eastAsia"/>
          <w:kern w:val="0"/>
        </w:rPr>
        <w:t>p</w:t>
      </w:r>
      <w:r>
        <w:rPr>
          <w:kern w:val="0"/>
        </w:rPr>
        <w:t>H, Polymer, Removal, Removal of Dyes, Sorption, Sorption Properties, Waste-Water, Wastewater Treatment</w:t>
      </w:r>
    </w:p>
    <w:p w:rsidR="00297F23" w:rsidRDefault="00297F23" w:rsidP="00297F23">
      <w:pPr>
        <w:pStyle w:val="a0"/>
        <w:rPr>
          <w:kern w:val="0"/>
        </w:rPr>
      </w:pPr>
      <w:r>
        <w:rPr>
          <w:rFonts w:hint="eastAsia"/>
          <w:kern w:val="0"/>
        </w:rPr>
        <w:t xml:space="preserve">? </w:t>
      </w:r>
      <w:r>
        <w:rPr>
          <w:kern w:val="0"/>
        </w:rPr>
        <w:t>Ofomaja, A.E.</w:t>
      </w:r>
      <w:r w:rsidR="00F81221">
        <w:rPr>
          <w:kern w:val="0"/>
        </w:rPr>
        <w:t xml:space="preserve"> and </w:t>
      </w:r>
      <w:r>
        <w:rPr>
          <w:kern w:val="0"/>
        </w:rPr>
        <w:t xml:space="preserve">Ho, Y.S. (2008), Kinetic biosorption study of cadmium onto coconut copra meal as biosorbent.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34</w:t>
      </w:r>
      <w:r>
        <w:rPr>
          <w:kern w:val="0"/>
        </w:rPr>
        <w:t xml:space="preserve"> (1-4), 466-476.</w:t>
      </w:r>
    </w:p>
    <w:p w:rsidR="00297F23" w:rsidRPr="00A428C3" w:rsidRDefault="00297F23" w:rsidP="008B09B3">
      <w:pPr>
        <w:pStyle w:val="a0"/>
      </w:pPr>
      <w:r w:rsidRPr="00A428C3">
        <w:t>Full Text:</w:t>
      </w:r>
      <w:r w:rsidR="008B09B3">
        <w:rPr>
          <w:rFonts w:hint="eastAsia"/>
        </w:rPr>
        <w:t xml:space="preserve"> </w:t>
      </w:r>
      <w:hyperlink r:id="rId1788" w:history="1">
        <w:r w:rsidR="008B09B3" w:rsidRPr="008B09B3">
          <w:rPr>
            <w:rStyle w:val="a5"/>
          </w:rPr>
          <w:t>2008\Int J Env Pol34, 466.pdf</w:t>
        </w:r>
      </w:hyperlink>
      <w:r>
        <w:rPr>
          <w:rFonts w:hint="eastAsia"/>
          <w:kern w:val="0"/>
        </w:rPr>
        <w:t>;</w:t>
      </w:r>
      <w:r w:rsidRPr="00297F23">
        <w:t xml:space="preserve"> </w:t>
      </w:r>
      <w:hyperlink r:id="rId1789" w:history="1">
        <w:r w:rsidRPr="00A428C3">
          <w:rPr>
            <w:rStyle w:val="a5"/>
          </w:rPr>
          <w:t>2005\Int J Env Pol-Ho1.pdf</w:t>
        </w:r>
      </w:hyperlink>
      <w:r w:rsidRPr="00A428C3">
        <w:t xml:space="preserve"> </w:t>
      </w:r>
      <w:hyperlink r:id="rId1790" w:history="1">
        <w:r w:rsidRPr="00A428C3">
          <w:rPr>
            <w:rStyle w:val="a5"/>
          </w:rPr>
          <w:t>2005\Int J Env Pol-Ho2.pdf</w:t>
        </w:r>
      </w:hyperlink>
    </w:p>
    <w:p w:rsidR="00297F23" w:rsidRDefault="00297F23" w:rsidP="00297F23">
      <w:pPr>
        <w:pStyle w:val="a0"/>
        <w:rPr>
          <w:kern w:val="0"/>
        </w:rPr>
      </w:pPr>
      <w:r>
        <w:rPr>
          <w:kern w:val="0"/>
        </w:rPr>
        <w:t>Abstract: The sorption of cadmium ions on an agricultural by-product, coconut copra meal, was investigated. A batch sorption model, based on the assumption of the pseudo-second-order mechanism, was applied to predict the rate constant of sorption, the equilibrium sorption capacity</w:t>
      </w:r>
      <w:r w:rsidR="00F81221">
        <w:rPr>
          <w:kern w:val="0"/>
        </w:rPr>
        <w:t xml:space="preserve"> and </w:t>
      </w:r>
      <w:r>
        <w:rPr>
          <w:kern w:val="0"/>
        </w:rPr>
        <w:t>the initial sorption rate with the effect of initial cadmium concentration</w:t>
      </w:r>
      <w:r w:rsidR="00F81221">
        <w:rPr>
          <w:kern w:val="0"/>
        </w:rPr>
        <w:t xml:space="preserve"> and </w:t>
      </w:r>
      <w:r>
        <w:rPr>
          <w:kern w:val="0"/>
        </w:rPr>
        <w:t>temperature. Activation energy of sorption was determined based on the pseudo-second-order rate constants. In addition, the experimental results were analysed by pseudo-Langmuir, pseudo-Freundlich</w:t>
      </w:r>
      <w:r w:rsidR="00F81221">
        <w:rPr>
          <w:kern w:val="0"/>
        </w:rPr>
        <w:t xml:space="preserve"> and </w:t>
      </w:r>
      <w:r>
        <w:rPr>
          <w:kern w:val="0"/>
        </w:rPr>
        <w:t>pseudo-Redlich-Peterson isotherms based on pseudo-second order kinetic expression constant. Both pseudo-Langmuir</w:t>
      </w:r>
      <w:r w:rsidR="00F81221">
        <w:rPr>
          <w:kern w:val="0"/>
        </w:rPr>
        <w:t xml:space="preserve"> and </w:t>
      </w:r>
      <w:r>
        <w:rPr>
          <w:kern w:val="0"/>
        </w:rPr>
        <w:t>pseudo-Redlich-Peterson isotherms were found to represent the measured sorption data well. According to the evaluation using the pseudo-Langmuir equation, the monolayer sorption capacity was obtained to be 2.59 mg/g.</w:t>
      </w:r>
    </w:p>
    <w:p w:rsidR="00297F23" w:rsidRDefault="00297F23" w:rsidP="00297F23">
      <w:pPr>
        <w:pStyle w:val="a0"/>
        <w:rPr>
          <w:kern w:val="0"/>
        </w:rPr>
      </w:pPr>
      <w:r>
        <w:rPr>
          <w:kern w:val="0"/>
        </w:rPr>
        <w:t>Keywords: Adsorption, Agricultural By-Product, Aqueous-Solution, Batch, Biosorbent, Biosorption, Cadmium, Cadmium Ions, Capacity, Copra Meal, Divalent Metal-Ions, Equilibrium, Evaluation, Heavy-Metals, Ions, Isotherms, Kinetic, Kinetics, Mechanism, Model, Monolayer, Peat, Pseudo-Isotherms, Pseudo-Second Order, Pseudo-Second-Order, Rate Constants, Removal, Sorption, Sorption Capacity, Temperature, Tree Fern</w:t>
      </w:r>
    </w:p>
    <w:p w:rsidR="001C1466" w:rsidRDefault="001C1466" w:rsidP="001C1466">
      <w:pPr>
        <w:pStyle w:val="a0"/>
        <w:rPr>
          <w:kern w:val="0"/>
        </w:rPr>
      </w:pPr>
      <w:r>
        <w:rPr>
          <w:kern w:val="0"/>
        </w:rPr>
        <w:t>? Pan, X.L., Meng, X.L., Zhang, D.Y.</w:t>
      </w:r>
      <w:r w:rsidR="00F81221">
        <w:rPr>
          <w:kern w:val="0"/>
        </w:rPr>
        <w:t xml:space="preserve"> and </w:t>
      </w:r>
      <w:r>
        <w:rPr>
          <w:kern w:val="0"/>
        </w:rPr>
        <w:t xml:space="preserve">Wang, J.L. (2009), Biosorption of strontium ion by immobilised </w:t>
      </w:r>
      <w:r w:rsidR="00B20869" w:rsidRPr="00B20869">
        <w:rPr>
          <w:i/>
          <w:kern w:val="0"/>
        </w:rPr>
        <w:t>Aspergillus niger</w:t>
      </w:r>
      <w:r>
        <w:rPr>
          <w:kern w:val="0"/>
        </w:rPr>
        <w:t xml:space="preserv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37</w:t>
      </w:r>
      <w:r>
        <w:rPr>
          <w:kern w:val="0"/>
        </w:rPr>
        <w:t xml:space="preserve"> (2-3), 276-288.</w:t>
      </w:r>
    </w:p>
    <w:p w:rsidR="001C1466" w:rsidRDefault="001C1466" w:rsidP="001C1466">
      <w:pPr>
        <w:pStyle w:val="a0"/>
        <w:rPr>
          <w:kern w:val="2"/>
        </w:rPr>
      </w:pPr>
      <w:r w:rsidRPr="00FC7835">
        <w:t xml:space="preserve">Full Text: </w:t>
      </w:r>
      <w:r w:rsidRPr="00062F36">
        <w:t>Int J Env Pol37, 276</w:t>
      </w:r>
      <w:r w:rsidRPr="009A3DA6">
        <w:t>.pdf</w:t>
      </w:r>
    </w:p>
    <w:p w:rsidR="001C1466" w:rsidRDefault="001C1466" w:rsidP="001C1466">
      <w:pPr>
        <w:pStyle w:val="a0"/>
        <w:rPr>
          <w:kern w:val="0"/>
        </w:rPr>
      </w:pPr>
      <w:r>
        <w:rPr>
          <w:kern w:val="0"/>
        </w:rPr>
        <w:t xml:space="preserve">Abstract: Biosorption of strontium by </w:t>
      </w:r>
      <w:r w:rsidR="00B20869" w:rsidRPr="00B20869">
        <w:rPr>
          <w:i/>
          <w:kern w:val="0"/>
        </w:rPr>
        <w:t>Aspergillus niger</w:t>
      </w:r>
      <w:r>
        <w:rPr>
          <w:kern w:val="0"/>
        </w:rPr>
        <w:t xml:space="preserve"> immobilised in calcium alginate has been studied. The experimental data showed that immobilised A. niger was effective in removing Sr</w:t>
      </w:r>
      <w:r w:rsidRPr="00062F36">
        <w:rPr>
          <w:kern w:val="0"/>
          <w:vertAlign w:val="superscript"/>
        </w:rPr>
        <w:t>2+</w:t>
      </w:r>
      <w:r>
        <w:rPr>
          <w:kern w:val="0"/>
        </w:rPr>
        <w:t xml:space="preserve"> from aqueous solution. The optimal pH</w:t>
      </w:r>
      <w:r w:rsidR="00F81221">
        <w:rPr>
          <w:kern w:val="0"/>
        </w:rPr>
        <w:t xml:space="preserve"> and </w:t>
      </w:r>
      <w:r>
        <w:rPr>
          <w:kern w:val="0"/>
        </w:rPr>
        <w:t>temperature were 3.0 degrees C</w:t>
      </w:r>
      <w:r w:rsidR="00F81221">
        <w:rPr>
          <w:kern w:val="0"/>
        </w:rPr>
        <w:t xml:space="preserve"> and </w:t>
      </w:r>
      <w:r>
        <w:rPr>
          <w:kern w:val="0"/>
        </w:rPr>
        <w:t>25 degrees C, respectively. pseudo second-order model was applicable to all the sorption data over the entire time range. Intraparticle diffusion was not the only rate-limiting step. Sorption data conformed well to both Langmuir</w:t>
      </w:r>
      <w:r w:rsidR="00F81221">
        <w:rPr>
          <w:kern w:val="0"/>
        </w:rPr>
        <w:t xml:space="preserve"> and </w:t>
      </w:r>
      <w:r>
        <w:rPr>
          <w:kern w:val="0"/>
        </w:rPr>
        <w:t>Freundlich isotherm model. The maximum adsorption capacity (q</w:t>
      </w:r>
      <w:r>
        <w:rPr>
          <w:rFonts w:hint="eastAsia"/>
          <w:kern w:val="0"/>
          <w:vertAlign w:val="subscript"/>
        </w:rPr>
        <w:t>max</w:t>
      </w:r>
      <w:r>
        <w:rPr>
          <w:kern w:val="0"/>
        </w:rPr>
        <w:t>) niger was 751.88</w:t>
      </w:r>
      <w:r>
        <w:rPr>
          <w:rFonts w:hint="eastAsia"/>
          <w:kern w:val="0"/>
        </w:rPr>
        <w:t xml:space="preserve"> </w:t>
      </w:r>
      <w:r>
        <w:rPr>
          <w:kern w:val="0"/>
        </w:rPr>
        <w:t>mg/g. The FT-IR analysis showed that the mechanism involved in biosorption of Sr</w:t>
      </w:r>
      <w:r w:rsidRPr="00062F36">
        <w:rPr>
          <w:kern w:val="0"/>
          <w:vertAlign w:val="superscript"/>
        </w:rPr>
        <w:t>2+</w:t>
      </w:r>
      <w:r>
        <w:rPr>
          <w:kern w:val="0"/>
        </w:rPr>
        <w:t xml:space="preserve"> by A. niger was mainly attributed to Sr</w:t>
      </w:r>
      <w:r w:rsidRPr="00D731DB">
        <w:rPr>
          <w:kern w:val="0"/>
          <w:vertAlign w:val="superscript"/>
        </w:rPr>
        <w:t>2+</w:t>
      </w:r>
      <w:r>
        <w:rPr>
          <w:kern w:val="0"/>
        </w:rPr>
        <w:t xml:space="preserve"> binding of groups of amide groups I</w:t>
      </w:r>
      <w:r w:rsidR="00F81221">
        <w:rPr>
          <w:kern w:val="0"/>
        </w:rPr>
        <w:t xml:space="preserve"> </w:t>
      </w:r>
      <w:r w:rsidR="00F81221">
        <w:rPr>
          <w:kern w:val="0"/>
        </w:rPr>
        <w:lastRenderedPageBreak/>
        <w:t xml:space="preserve">and </w:t>
      </w:r>
      <w:r>
        <w:rPr>
          <w:kern w:val="0"/>
        </w:rPr>
        <w:t>II.</w:t>
      </w:r>
    </w:p>
    <w:p w:rsidR="001C1466" w:rsidRDefault="001C1466" w:rsidP="001C1466">
      <w:pPr>
        <w:pStyle w:val="a0"/>
        <w:rPr>
          <w:kern w:val="0"/>
        </w:rPr>
      </w:pPr>
      <w:r>
        <w:rPr>
          <w:kern w:val="0"/>
        </w:rPr>
        <w:t xml:space="preserve">Keywords: Adsorption, Aqueous-Solution, </w:t>
      </w:r>
      <w:r w:rsidR="00B20869" w:rsidRPr="00B20869">
        <w:rPr>
          <w:i/>
          <w:kern w:val="0"/>
        </w:rPr>
        <w:t>Aspergillus niger</w:t>
      </w:r>
      <w:r>
        <w:rPr>
          <w:kern w:val="0"/>
        </w:rPr>
        <w:t>, Biomass, Biosorption, Copper(II), Heavy Metals, Heavy-Metals, Immobilisation, Lead(II), Removal, Strontium</w:t>
      </w:r>
    </w:p>
    <w:p w:rsidR="001C1466" w:rsidRDefault="001C1466" w:rsidP="001C1466">
      <w:pPr>
        <w:pStyle w:val="a0"/>
        <w:rPr>
          <w:kern w:val="0"/>
        </w:rPr>
      </w:pPr>
      <w:r>
        <w:rPr>
          <w:kern w:val="0"/>
        </w:rPr>
        <w:t>? Pan, X.L., Wang, J.L.</w:t>
      </w:r>
      <w:r w:rsidR="00F81221">
        <w:rPr>
          <w:kern w:val="0"/>
        </w:rPr>
        <w:t xml:space="preserve"> and </w:t>
      </w:r>
      <w:r>
        <w:rPr>
          <w:kern w:val="0"/>
        </w:rPr>
        <w:t xml:space="preserve">Zhang, D.Y. (2009), Biosorption of Co(II) by immobilised </w:t>
      </w:r>
      <w:r w:rsidRPr="00C02346">
        <w:rPr>
          <w:i/>
          <w:kern w:val="0"/>
        </w:rPr>
        <w:t>Pleurotus ostreatus</w:t>
      </w:r>
      <w:r>
        <w:rPr>
          <w:kern w:val="0"/>
        </w:rPr>
        <w:t xml:space="preserv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37</w:t>
      </w:r>
      <w:r>
        <w:rPr>
          <w:kern w:val="0"/>
        </w:rPr>
        <w:t xml:space="preserve"> (2-3), 289-298.</w:t>
      </w:r>
    </w:p>
    <w:p w:rsidR="001C1466" w:rsidRDefault="001C1466" w:rsidP="001C1466">
      <w:pPr>
        <w:pStyle w:val="a0"/>
        <w:rPr>
          <w:kern w:val="2"/>
        </w:rPr>
      </w:pPr>
      <w:r w:rsidRPr="00FC7835">
        <w:t xml:space="preserve">Full Text: </w:t>
      </w:r>
      <w:r w:rsidRPr="00062F36">
        <w:t xml:space="preserve">Int J Env Pol37, </w:t>
      </w:r>
      <w:r>
        <w:rPr>
          <w:kern w:val="0"/>
        </w:rPr>
        <w:t>289</w:t>
      </w:r>
      <w:r w:rsidRPr="009A3DA6">
        <w:t>.pdf</w:t>
      </w:r>
    </w:p>
    <w:p w:rsidR="001C1466" w:rsidRDefault="001C1466" w:rsidP="001C1466">
      <w:pPr>
        <w:pStyle w:val="a0"/>
        <w:rPr>
          <w:kern w:val="0"/>
        </w:rPr>
      </w:pPr>
      <w:r>
        <w:rPr>
          <w:kern w:val="0"/>
        </w:rPr>
        <w:t xml:space="preserve">Abstract: Cobalt biosorption by </w:t>
      </w:r>
      <w:r w:rsidRPr="00C02346">
        <w:rPr>
          <w:i/>
          <w:kern w:val="0"/>
        </w:rPr>
        <w:t>Pleurotus ostreatus</w:t>
      </w:r>
      <w:r>
        <w:rPr>
          <w:kern w:val="0"/>
        </w:rPr>
        <w:t xml:space="preserve"> immobilised in calcium alginate has been studied. The experimental results showed that immobilised Pleurotus ostreatus were effective for removing Co(II) from aqueous solution. Co(II) biosorption equilibrium was approached within 120 min. Pseudo second-order kinetic equation was applicable to all the sorption data over the entire time range. Intra-particle diffusion was not the only rate-limiting step. The biosorption data conformed better to Langmuir Isotherm Model than Freundlich Isotherm Model. The maximum adsorption capacity (q(m)) onto </w:t>
      </w:r>
      <w:r w:rsidRPr="00C02346">
        <w:rPr>
          <w:i/>
          <w:kern w:val="0"/>
        </w:rPr>
        <w:t>Pleurotus ostreatus</w:t>
      </w:r>
      <w:r>
        <w:rPr>
          <w:kern w:val="0"/>
        </w:rPr>
        <w:t xml:space="preserve"> immobilised in calcium alginate was 13.5 mg/g for Co(II). The FT-IR analysis showed that the mechanism involved in biosorption of Co(II) by Pleurotus ostreatus was mainly attributed to binding of amide I group.</w:t>
      </w:r>
    </w:p>
    <w:p w:rsidR="001C1466" w:rsidRDefault="001C1466" w:rsidP="001C1466">
      <w:pPr>
        <w:pStyle w:val="a0"/>
        <w:rPr>
          <w:kern w:val="0"/>
        </w:rPr>
      </w:pPr>
      <w:r>
        <w:rPr>
          <w:kern w:val="0"/>
        </w:rPr>
        <w:t xml:space="preserve">Keywords: Bakers-Yeast, Biomass, Biosorption, Cadmium, Chitosan, Cobalt, Equilibrium, Gels, Immobilisation, Ions, Kinetics, Mechanism, Microbial-Cells, </w:t>
      </w:r>
      <w:r w:rsidRPr="00C02346">
        <w:rPr>
          <w:i/>
          <w:kern w:val="0"/>
        </w:rPr>
        <w:t>Pleurotus ostreatus</w:t>
      </w:r>
      <w:r>
        <w:rPr>
          <w:kern w:val="0"/>
        </w:rPr>
        <w:t>, Sorption</w:t>
      </w:r>
    </w:p>
    <w:p w:rsidR="001C1466" w:rsidRDefault="001C1466" w:rsidP="001C1466">
      <w:pPr>
        <w:pStyle w:val="a0"/>
        <w:rPr>
          <w:kern w:val="0"/>
          <w:szCs w:val="24"/>
        </w:rPr>
      </w:pPr>
      <w:r>
        <w:rPr>
          <w:rFonts w:hint="eastAsia"/>
          <w:kern w:val="0"/>
          <w:szCs w:val="24"/>
        </w:rPr>
        <w:t xml:space="preserve">? </w:t>
      </w:r>
      <w:r>
        <w:rPr>
          <w:kern w:val="0"/>
          <w:szCs w:val="24"/>
        </w:rPr>
        <w:t>Wang, B.E., Hu, Y.Y., Xie, L.</w:t>
      </w:r>
      <w:r w:rsidR="00F81221">
        <w:rPr>
          <w:kern w:val="0"/>
          <w:szCs w:val="24"/>
        </w:rPr>
        <w:t xml:space="preserve"> and </w:t>
      </w:r>
      <w:r>
        <w:rPr>
          <w:kern w:val="0"/>
          <w:szCs w:val="24"/>
        </w:rPr>
        <w:t xml:space="preserve">Peng, K. (2009), Bioaccumulation of azo dye using immobilised beads of Aspergillus fumigatus. </w:t>
      </w:r>
      <w:r>
        <w:rPr>
          <w:i/>
          <w:iCs/>
          <w:kern w:val="0"/>
          <w:szCs w:val="24"/>
        </w:rPr>
        <w:t>International Journal of Environment</w:t>
      </w:r>
      <w:r w:rsidR="00F81221">
        <w:rPr>
          <w:i/>
          <w:iCs/>
          <w:kern w:val="0"/>
          <w:szCs w:val="24"/>
        </w:rPr>
        <w:t xml:space="preserve"> and </w:t>
      </w:r>
      <w:r>
        <w:rPr>
          <w:i/>
          <w:iCs/>
          <w:kern w:val="0"/>
          <w:szCs w:val="24"/>
        </w:rPr>
        <w:t>Pollution</w:t>
      </w:r>
      <w:r>
        <w:rPr>
          <w:kern w:val="0"/>
          <w:szCs w:val="24"/>
        </w:rPr>
        <w:t xml:space="preserve">, </w:t>
      </w:r>
      <w:r>
        <w:rPr>
          <w:b/>
          <w:bCs/>
          <w:kern w:val="0"/>
          <w:szCs w:val="24"/>
        </w:rPr>
        <w:t>37</w:t>
      </w:r>
      <w:r>
        <w:rPr>
          <w:kern w:val="0"/>
          <w:szCs w:val="24"/>
        </w:rPr>
        <w:t xml:space="preserve"> (2-3), 327-338.</w:t>
      </w:r>
    </w:p>
    <w:p w:rsidR="001C1466" w:rsidRDefault="001C1466" w:rsidP="001C1466">
      <w:pPr>
        <w:pStyle w:val="a0"/>
        <w:rPr>
          <w:kern w:val="2"/>
        </w:rPr>
      </w:pPr>
      <w:r w:rsidRPr="00FC7835">
        <w:t xml:space="preserve">Full Text: </w:t>
      </w:r>
      <w:r w:rsidRPr="00062F36">
        <w:t xml:space="preserve">Int J Env Pol37, </w:t>
      </w:r>
      <w:r>
        <w:rPr>
          <w:kern w:val="0"/>
        </w:rPr>
        <w:t>349</w:t>
      </w:r>
      <w:r w:rsidRPr="009A3DA6">
        <w:t>.pdf</w:t>
      </w:r>
    </w:p>
    <w:p w:rsidR="001C1466" w:rsidRDefault="001C1466" w:rsidP="001C1466">
      <w:pPr>
        <w:pStyle w:val="a0"/>
        <w:rPr>
          <w:kern w:val="0"/>
          <w:szCs w:val="24"/>
        </w:rPr>
      </w:pPr>
      <w:r>
        <w:rPr>
          <w:kern w:val="0"/>
          <w:szCs w:val="24"/>
        </w:rPr>
        <w:t>Abstract: Sodium carboxymethylcellulose (CMC) immobilised beads of Aspergillus fumigatus were found to effectively decolourise culture media containing azo dye namely, reactive brilliant red K-2BP, by bioaccumulation in this paper. CMC beads without biomass</w:t>
      </w:r>
      <w:r w:rsidR="00F81221">
        <w:rPr>
          <w:kern w:val="0"/>
          <w:szCs w:val="24"/>
        </w:rPr>
        <w:t xml:space="preserve"> and </w:t>
      </w:r>
      <w:r>
        <w:rPr>
          <w:kern w:val="0"/>
          <w:szCs w:val="24"/>
        </w:rPr>
        <w:t>inactive CMC beads were used as control systems. The optimum values of influence factors such as, initial pH, temperature, agitation rate, salinity range, beads diameter,</w:t>
      </w:r>
      <w:r w:rsidR="00F81221">
        <w:rPr>
          <w:kern w:val="0"/>
          <w:szCs w:val="24"/>
        </w:rPr>
        <w:t xml:space="preserve"> and </w:t>
      </w:r>
      <w:r>
        <w:rPr>
          <w:kern w:val="0"/>
          <w:szCs w:val="24"/>
        </w:rPr>
        <w:t>beads dosage on bioaccumulation in batch mode were 6 similar to 9, 40 degrees C, 150 r/min, 0 similar to 2.5%, 2.0 mm</w:t>
      </w:r>
      <w:r w:rsidR="00F81221">
        <w:rPr>
          <w:kern w:val="0"/>
          <w:szCs w:val="24"/>
        </w:rPr>
        <w:t xml:space="preserve"> and </w:t>
      </w:r>
      <w:r>
        <w:rPr>
          <w:kern w:val="0"/>
          <w:szCs w:val="24"/>
        </w:rPr>
        <w:t>3.0%, respectively. The residual dye concentration decreased irregularly with contact time.</w:t>
      </w:r>
    </w:p>
    <w:p w:rsidR="001C1466" w:rsidRDefault="001C1466" w:rsidP="001C1466">
      <w:pPr>
        <w:pStyle w:val="a0"/>
        <w:rPr>
          <w:kern w:val="0"/>
          <w:szCs w:val="24"/>
        </w:rPr>
      </w:pPr>
      <w:r>
        <w:rPr>
          <w:kern w:val="0"/>
          <w:szCs w:val="24"/>
        </w:rPr>
        <w:t xml:space="preserve">Keywords: Aspergillus Fumigatus, Azo Dye, Batch, Bioaccumulation, Biodegradation, Biosorption, Candida-Tropicalis, Decolorization, Fungal Biomass, Immobilisation, </w:t>
      </w:r>
      <w:r>
        <w:rPr>
          <w:rFonts w:hint="eastAsia"/>
          <w:kern w:val="0"/>
          <w:szCs w:val="24"/>
        </w:rPr>
        <w:t>p</w:t>
      </w:r>
      <w:r>
        <w:rPr>
          <w:kern w:val="0"/>
          <w:szCs w:val="24"/>
        </w:rPr>
        <w:t xml:space="preserve">H, Reactive Dye, Removal, </w:t>
      </w:r>
      <w:r w:rsidRPr="00C93A95">
        <w:rPr>
          <w:i/>
          <w:kern w:val="0"/>
          <w:szCs w:val="24"/>
        </w:rPr>
        <w:t>Rhizopus</w:t>
      </w:r>
    </w:p>
    <w:p w:rsidR="001C1466" w:rsidRDefault="001C1466" w:rsidP="001C1466">
      <w:pPr>
        <w:pStyle w:val="a0"/>
        <w:rPr>
          <w:kern w:val="0"/>
        </w:rPr>
      </w:pPr>
      <w:r>
        <w:rPr>
          <w:kern w:val="0"/>
        </w:rPr>
        <w:t>? Yin, Z.Y., Zhang, D.Y.</w:t>
      </w:r>
      <w:r w:rsidR="00F81221">
        <w:rPr>
          <w:kern w:val="0"/>
        </w:rPr>
        <w:t xml:space="preserve"> and </w:t>
      </w:r>
      <w:r>
        <w:rPr>
          <w:kern w:val="0"/>
        </w:rPr>
        <w:t xml:space="preserve">Pan, X.L. (2009), Biosorption of thallium by dry biofilm biomass collected from a eutrophic lake. </w:t>
      </w:r>
      <w:r>
        <w:rPr>
          <w:i/>
          <w:iCs/>
          <w:kern w:val="0"/>
        </w:rPr>
        <w:t>International Journal of Environment</w:t>
      </w:r>
      <w:r w:rsidR="00F81221">
        <w:rPr>
          <w:i/>
          <w:iCs/>
          <w:kern w:val="0"/>
        </w:rPr>
        <w:t xml:space="preserve"> and </w:t>
      </w:r>
      <w:r>
        <w:rPr>
          <w:i/>
          <w:iCs/>
          <w:kern w:val="0"/>
        </w:rPr>
        <w:lastRenderedPageBreak/>
        <w:t>Pollution</w:t>
      </w:r>
      <w:r>
        <w:rPr>
          <w:kern w:val="0"/>
        </w:rPr>
        <w:t xml:space="preserve">, </w:t>
      </w:r>
      <w:r>
        <w:rPr>
          <w:b/>
          <w:bCs/>
          <w:kern w:val="0"/>
        </w:rPr>
        <w:t>37</w:t>
      </w:r>
      <w:r>
        <w:rPr>
          <w:kern w:val="0"/>
        </w:rPr>
        <w:t xml:space="preserve"> (2-3), 349-356.</w:t>
      </w:r>
    </w:p>
    <w:p w:rsidR="001C1466" w:rsidRDefault="001C1466" w:rsidP="001C1466">
      <w:pPr>
        <w:pStyle w:val="a0"/>
        <w:rPr>
          <w:kern w:val="2"/>
        </w:rPr>
      </w:pPr>
      <w:r w:rsidRPr="00FC7835">
        <w:t xml:space="preserve">Full Text: </w:t>
      </w:r>
      <w:r w:rsidRPr="00062F36">
        <w:t xml:space="preserve">Int J Env Pol37, </w:t>
      </w:r>
      <w:r>
        <w:rPr>
          <w:kern w:val="0"/>
        </w:rPr>
        <w:t>349</w:t>
      </w:r>
      <w:r w:rsidRPr="009A3DA6">
        <w:t>.pdf</w:t>
      </w:r>
    </w:p>
    <w:p w:rsidR="001C1466" w:rsidRDefault="001C1466" w:rsidP="001C1466">
      <w:pPr>
        <w:pStyle w:val="a0"/>
        <w:rPr>
          <w:kern w:val="0"/>
        </w:rPr>
      </w:pPr>
      <w:r>
        <w:rPr>
          <w:kern w:val="0"/>
        </w:rPr>
        <w:t>Abstract: Thallium poisoning due to thallium-bearing ore exploitation is very grave in sonic mining areas in Guizhou China. However, effective treatment technologies for Tl-containing wastewater were unavailable. The study showed that dead eutrophic biofilm biomass was effective in removing Tl from aqueous solution when the solution was basic. The adsorption process is rapid</w:t>
      </w:r>
      <w:r w:rsidR="00F81221">
        <w:rPr>
          <w:kern w:val="0"/>
        </w:rPr>
        <w:t xml:space="preserve"> and </w:t>
      </w:r>
      <w:r>
        <w:rPr>
          <w:kern w:val="0"/>
        </w:rPr>
        <w:t>equilibrium was approached at about 30 min. The pseudo-second order equation was applicable to all the kinetic data. The Langmuir Isotherm Model could be used to fit Tl sorption data well over a concentration range 10-1000 ug/l. The adsorption capacity was about 332.23 ug/g dry biomass. The adsorption column containing 2.5 g of dry biomass could purify 2000 ml of 500 ug/l Tl solution before breakthrough.</w:t>
      </w:r>
    </w:p>
    <w:p w:rsidR="001C1466" w:rsidRDefault="001C1466" w:rsidP="001C1466">
      <w:pPr>
        <w:pStyle w:val="a0"/>
        <w:rPr>
          <w:kern w:val="0"/>
        </w:rPr>
      </w:pPr>
      <w:r>
        <w:rPr>
          <w:kern w:val="0"/>
        </w:rPr>
        <w:t>Keywords: Biofilm, Biosorption, Thallium</w:t>
      </w:r>
    </w:p>
    <w:p w:rsidR="00A52DAC" w:rsidRPr="000121D7" w:rsidRDefault="00A52DAC" w:rsidP="00A52DAC">
      <w:pPr>
        <w:pStyle w:val="a0"/>
        <w:rPr>
          <w:kern w:val="0"/>
        </w:rPr>
      </w:pPr>
      <w:r>
        <w:rPr>
          <w:rFonts w:hint="eastAsia"/>
          <w:kern w:val="0"/>
        </w:rPr>
        <w:t xml:space="preserve">? </w:t>
      </w:r>
      <w:r w:rsidRPr="000121D7">
        <w:rPr>
          <w:kern w:val="0"/>
        </w:rPr>
        <w:t>Peng, H., Liu, Y.G., Zeng, G.M., Li, X.</w:t>
      </w:r>
      <w:r w:rsidR="00F81221">
        <w:rPr>
          <w:kern w:val="0"/>
        </w:rPr>
        <w:t xml:space="preserve"> and </w:t>
      </w:r>
      <w:r w:rsidRPr="000121D7">
        <w:rPr>
          <w:kern w:val="0"/>
        </w:rPr>
        <w:t>Zhang, W. (2009), Biosorption of Cu(II)</w:t>
      </w:r>
      <w:r w:rsidR="00F81221">
        <w:rPr>
          <w:kern w:val="0"/>
        </w:rPr>
        <w:t xml:space="preserve"> and </w:t>
      </w:r>
      <w:r w:rsidRPr="000121D7">
        <w:rPr>
          <w:kern w:val="0"/>
        </w:rPr>
        <w:t>Zn(II) by intact</w:t>
      </w:r>
      <w:r w:rsidR="00F81221">
        <w:rPr>
          <w:kern w:val="0"/>
        </w:rPr>
        <w:t xml:space="preserve"> and </w:t>
      </w:r>
      <w:r w:rsidRPr="000121D7">
        <w:rPr>
          <w:kern w:val="0"/>
        </w:rPr>
        <w:t xml:space="preserve">pre-treated biomass of </w:t>
      </w:r>
      <w:r w:rsidRPr="00001DF4">
        <w:rPr>
          <w:i/>
          <w:kern w:val="0"/>
        </w:rPr>
        <w:t>Oscillatoria planctonica</w:t>
      </w:r>
      <w:r w:rsidRPr="000121D7">
        <w:rPr>
          <w:kern w:val="0"/>
        </w:rPr>
        <w:t xml:space="preserve">. </w:t>
      </w:r>
      <w:r w:rsidRPr="000121D7">
        <w:rPr>
          <w:i/>
          <w:iCs/>
          <w:kern w:val="0"/>
        </w:rPr>
        <w:t>International Journal of Environment</w:t>
      </w:r>
      <w:r w:rsidR="00F81221">
        <w:rPr>
          <w:i/>
          <w:iCs/>
          <w:kern w:val="0"/>
        </w:rPr>
        <w:t xml:space="preserve"> and </w:t>
      </w:r>
      <w:r w:rsidRPr="000121D7">
        <w:rPr>
          <w:i/>
          <w:iCs/>
          <w:kern w:val="0"/>
        </w:rPr>
        <w:t>Pollution</w:t>
      </w:r>
      <w:r w:rsidRPr="000121D7">
        <w:rPr>
          <w:kern w:val="0"/>
        </w:rPr>
        <w:t xml:space="preserve">, </w:t>
      </w:r>
      <w:r w:rsidRPr="000121D7">
        <w:rPr>
          <w:b/>
          <w:bCs/>
          <w:kern w:val="0"/>
        </w:rPr>
        <w:t>38</w:t>
      </w:r>
      <w:r w:rsidRPr="000121D7">
        <w:rPr>
          <w:kern w:val="0"/>
        </w:rPr>
        <w:t xml:space="preserve"> (1-2), 1-14.</w:t>
      </w:r>
    </w:p>
    <w:p w:rsidR="00A52DAC" w:rsidRPr="000121D7" w:rsidRDefault="00A52DAC" w:rsidP="00A52DAC">
      <w:pPr>
        <w:pStyle w:val="a0"/>
        <w:rPr>
          <w:kern w:val="0"/>
        </w:rPr>
      </w:pPr>
      <w:r w:rsidRPr="000121D7">
        <w:rPr>
          <w:kern w:val="0"/>
        </w:rPr>
        <w:t>Abstract: The biosorption of copper(II)</w:t>
      </w:r>
      <w:r w:rsidR="00F81221">
        <w:rPr>
          <w:kern w:val="0"/>
        </w:rPr>
        <w:t xml:space="preserve"> and </w:t>
      </w:r>
      <w:r w:rsidRPr="000121D7">
        <w:rPr>
          <w:kern w:val="0"/>
        </w:rPr>
        <w:t>zinc(II) from aqueous solution by intact</w:t>
      </w:r>
      <w:r w:rsidR="00F81221">
        <w:rPr>
          <w:kern w:val="0"/>
        </w:rPr>
        <w:t xml:space="preserve"> and </w:t>
      </w:r>
      <w:r w:rsidRPr="000121D7">
        <w:rPr>
          <w:kern w:val="0"/>
        </w:rPr>
        <w:t>pre-treated biomass of Oscillatoria planctonica was studied. The biosorption was pH dependent</w:t>
      </w:r>
      <w:r w:rsidR="00F81221">
        <w:rPr>
          <w:kern w:val="0"/>
        </w:rPr>
        <w:t xml:space="preserve"> and </w:t>
      </w:r>
      <w:r w:rsidRPr="000121D7">
        <w:rPr>
          <w:kern w:val="0"/>
        </w:rPr>
        <w:t>the adsorption capacity decreased with the biosorbent to solution ratio increasing. The maximum removal ratios were 84.84%</w:t>
      </w:r>
      <w:r w:rsidR="00F81221">
        <w:rPr>
          <w:kern w:val="0"/>
        </w:rPr>
        <w:t xml:space="preserve"> and </w:t>
      </w:r>
      <w:r w:rsidRPr="000121D7">
        <w:rPr>
          <w:kern w:val="0"/>
        </w:rPr>
        <w:t>68.22% respectively in pre-treated biomass. The biosorption followed both the Langmuir</w:t>
      </w:r>
      <w:r w:rsidR="00F81221">
        <w:rPr>
          <w:kern w:val="0"/>
        </w:rPr>
        <w:t xml:space="preserve"> and </w:t>
      </w:r>
      <w:r w:rsidRPr="000121D7">
        <w:rPr>
          <w:kern w:val="0"/>
        </w:rPr>
        <w:t>Freundlich isotherm model</w:t>
      </w:r>
      <w:r w:rsidR="00F81221">
        <w:rPr>
          <w:kern w:val="0"/>
        </w:rPr>
        <w:t xml:space="preserve"> and </w:t>
      </w:r>
      <w:r w:rsidRPr="000121D7">
        <w:rPr>
          <w:kern w:val="0"/>
        </w:rPr>
        <w:t>the adsorption equilibrium was reached in about 1 h. The adsorbed Cu(II)</w:t>
      </w:r>
      <w:r w:rsidR="00F81221">
        <w:rPr>
          <w:kern w:val="0"/>
        </w:rPr>
        <w:t xml:space="preserve"> and </w:t>
      </w:r>
      <w:r w:rsidRPr="000121D7">
        <w:rPr>
          <w:kern w:val="0"/>
        </w:rPr>
        <w:t>Zn(II) could be desorbed effectively by 0.1 M nitric acid. The experimental results indicated that Oscillatoria planctonica was effective in removing Cu(II)</w:t>
      </w:r>
      <w:r w:rsidR="00F81221">
        <w:rPr>
          <w:kern w:val="0"/>
        </w:rPr>
        <w:t xml:space="preserve"> and </w:t>
      </w:r>
      <w:r w:rsidRPr="000121D7">
        <w:rPr>
          <w:kern w:val="0"/>
        </w:rPr>
        <w:t>Zn(II) from wastewater.</w:t>
      </w:r>
    </w:p>
    <w:p w:rsidR="00A52DAC" w:rsidRPr="000121D7" w:rsidRDefault="00A52DAC" w:rsidP="00A52DAC">
      <w:pPr>
        <w:pStyle w:val="a0"/>
        <w:rPr>
          <w:kern w:val="0"/>
        </w:rPr>
      </w:pPr>
      <w:r w:rsidRPr="000121D7">
        <w:rPr>
          <w:kern w:val="0"/>
        </w:rPr>
        <w:t>Keywords: Adsorption</w:t>
      </w:r>
      <w:r>
        <w:rPr>
          <w:kern w:val="0"/>
        </w:rPr>
        <w:t xml:space="preserve">, </w:t>
      </w:r>
      <w:r w:rsidRPr="000121D7">
        <w:rPr>
          <w:kern w:val="0"/>
        </w:rPr>
        <w:t>Adsorption Capacity</w:t>
      </w:r>
      <w:r>
        <w:rPr>
          <w:kern w:val="0"/>
        </w:rPr>
        <w:t xml:space="preserve">, </w:t>
      </w:r>
      <w:r w:rsidRPr="000121D7">
        <w:rPr>
          <w:kern w:val="0"/>
        </w:rPr>
        <w:t>Adsorption Equilibrium</w:t>
      </w:r>
      <w:r>
        <w:rPr>
          <w:kern w:val="0"/>
        </w:rPr>
        <w:t xml:space="preserve">, </w:t>
      </w:r>
      <w:r w:rsidRPr="000121D7">
        <w:rPr>
          <w:kern w:val="0"/>
        </w:rPr>
        <w:t>Aqueous Solution</w:t>
      </w:r>
      <w:r>
        <w:rPr>
          <w:kern w:val="0"/>
        </w:rPr>
        <w:t xml:space="preserve">, </w:t>
      </w:r>
      <w:r w:rsidRPr="000121D7">
        <w:rPr>
          <w:kern w:val="0"/>
        </w:rPr>
        <w:t>Biomass</w:t>
      </w:r>
      <w:r>
        <w:rPr>
          <w:kern w:val="0"/>
        </w:rPr>
        <w:t xml:space="preserve">, </w:t>
      </w:r>
      <w:r w:rsidRPr="000121D7">
        <w:rPr>
          <w:kern w:val="0"/>
        </w:rPr>
        <w:t>Biosorbent</w:t>
      </w:r>
      <w:r>
        <w:rPr>
          <w:kern w:val="0"/>
        </w:rPr>
        <w:t xml:space="preserve">, </w:t>
      </w:r>
      <w:r w:rsidRPr="000121D7">
        <w:rPr>
          <w:kern w:val="0"/>
        </w:rPr>
        <w:t>Biosorption</w:t>
      </w:r>
      <w:r>
        <w:rPr>
          <w:kern w:val="0"/>
        </w:rPr>
        <w:t xml:space="preserve">, </w:t>
      </w:r>
      <w:r w:rsidRPr="000121D7">
        <w:rPr>
          <w:kern w:val="0"/>
        </w:rPr>
        <w:t>Capacity</w:t>
      </w:r>
      <w:r>
        <w:rPr>
          <w:kern w:val="0"/>
        </w:rPr>
        <w:t xml:space="preserve">, </w:t>
      </w:r>
      <w:r w:rsidRPr="000121D7">
        <w:rPr>
          <w:kern w:val="0"/>
        </w:rPr>
        <w:t>Copper</w:t>
      </w:r>
      <w:r>
        <w:rPr>
          <w:kern w:val="0"/>
        </w:rPr>
        <w:t xml:space="preserve">, </w:t>
      </w:r>
      <w:r w:rsidRPr="000121D7">
        <w:rPr>
          <w:kern w:val="0"/>
        </w:rPr>
        <w:t>Copper</w:t>
      </w:r>
      <w:r>
        <w:rPr>
          <w:kern w:val="0"/>
        </w:rPr>
        <w:t xml:space="preserve">, </w:t>
      </w:r>
      <w:r w:rsidRPr="000121D7">
        <w:rPr>
          <w:kern w:val="0"/>
        </w:rPr>
        <w:t>Copper(II)</w:t>
      </w:r>
      <w:r>
        <w:rPr>
          <w:kern w:val="0"/>
        </w:rPr>
        <w:t xml:space="preserve">, </w:t>
      </w:r>
      <w:r w:rsidRPr="000121D7">
        <w:rPr>
          <w:kern w:val="0"/>
        </w:rPr>
        <w:t>Cu(II)</w:t>
      </w:r>
      <w:r>
        <w:rPr>
          <w:kern w:val="0"/>
        </w:rPr>
        <w:t xml:space="preserve">, </w:t>
      </w:r>
      <w:r w:rsidRPr="000121D7">
        <w:rPr>
          <w:kern w:val="0"/>
        </w:rPr>
        <w:t>Desorption</w:t>
      </w:r>
      <w:r>
        <w:rPr>
          <w:kern w:val="0"/>
        </w:rPr>
        <w:t xml:space="preserve">, </w:t>
      </w:r>
      <w:r w:rsidRPr="000121D7">
        <w:rPr>
          <w:kern w:val="0"/>
        </w:rPr>
        <w:t>Equilibrium</w:t>
      </w:r>
      <w:r>
        <w:rPr>
          <w:kern w:val="0"/>
        </w:rPr>
        <w:t xml:space="preserve">, </w:t>
      </w:r>
      <w:r w:rsidRPr="000121D7">
        <w:rPr>
          <w:kern w:val="0"/>
        </w:rPr>
        <w:t>Experimental</w:t>
      </w:r>
      <w:r>
        <w:rPr>
          <w:kern w:val="0"/>
        </w:rPr>
        <w:t xml:space="preserve">, </w:t>
      </w:r>
      <w:r w:rsidRPr="000121D7">
        <w:rPr>
          <w:kern w:val="0"/>
        </w:rPr>
        <w:t>Freundlich</w:t>
      </w:r>
      <w:r>
        <w:rPr>
          <w:kern w:val="0"/>
        </w:rPr>
        <w:t xml:space="preserve">, </w:t>
      </w:r>
      <w:r w:rsidRPr="000121D7">
        <w:rPr>
          <w:kern w:val="0"/>
        </w:rPr>
        <w:t>Freundlich Isotherm</w:t>
      </w:r>
      <w:r>
        <w:rPr>
          <w:kern w:val="0"/>
        </w:rPr>
        <w:t xml:space="preserve">, </w:t>
      </w:r>
      <w:r w:rsidRPr="000121D7">
        <w:rPr>
          <w:kern w:val="0"/>
        </w:rPr>
        <w:t>Freundlich Isotherm Model</w:t>
      </w:r>
      <w:r>
        <w:rPr>
          <w:kern w:val="0"/>
        </w:rPr>
        <w:t xml:space="preserve">, </w:t>
      </w:r>
      <w:r w:rsidRPr="000121D7">
        <w:rPr>
          <w:kern w:val="0"/>
        </w:rPr>
        <w:t>Heavy-Metals</w:t>
      </w:r>
      <w:r>
        <w:rPr>
          <w:kern w:val="0"/>
        </w:rPr>
        <w:t xml:space="preserve">, </w:t>
      </w:r>
      <w:r w:rsidRPr="000121D7">
        <w:rPr>
          <w:kern w:val="0"/>
        </w:rPr>
        <w:t>Isotherm</w:t>
      </w:r>
      <w:r>
        <w:rPr>
          <w:kern w:val="0"/>
        </w:rPr>
        <w:t xml:space="preserve">, </w:t>
      </w:r>
      <w:r w:rsidRPr="000121D7">
        <w:rPr>
          <w:kern w:val="0"/>
        </w:rPr>
        <w:t>Isotherm Model</w:t>
      </w:r>
      <w:r>
        <w:rPr>
          <w:kern w:val="0"/>
        </w:rPr>
        <w:t xml:space="preserve">, </w:t>
      </w:r>
      <w:r w:rsidRPr="000121D7">
        <w:rPr>
          <w:kern w:val="0"/>
        </w:rPr>
        <w:t>Langmuir</w:t>
      </w:r>
      <w:r>
        <w:rPr>
          <w:kern w:val="0"/>
        </w:rPr>
        <w:t xml:space="preserve">, </w:t>
      </w:r>
      <w:r w:rsidRPr="000121D7">
        <w:rPr>
          <w:kern w:val="0"/>
        </w:rPr>
        <w:t>Model</w:t>
      </w:r>
      <w:r>
        <w:rPr>
          <w:kern w:val="0"/>
        </w:rPr>
        <w:t xml:space="preserve">, </w:t>
      </w:r>
      <w:r w:rsidRPr="000121D7">
        <w:rPr>
          <w:kern w:val="0"/>
        </w:rPr>
        <w:t>Oscillatoria Planctonica</w:t>
      </w:r>
      <w:r>
        <w:rPr>
          <w:kern w:val="0"/>
        </w:rPr>
        <w:t xml:space="preserve">, </w:t>
      </w:r>
      <w:r>
        <w:rPr>
          <w:rFonts w:hint="eastAsia"/>
          <w:kern w:val="0"/>
        </w:rPr>
        <w:t>p</w:t>
      </w:r>
      <w:r w:rsidRPr="000121D7">
        <w:rPr>
          <w:kern w:val="0"/>
        </w:rPr>
        <w:t>H</w:t>
      </w:r>
      <w:r>
        <w:rPr>
          <w:kern w:val="0"/>
        </w:rPr>
        <w:t xml:space="preserve">, </w:t>
      </w:r>
      <w:r>
        <w:rPr>
          <w:rFonts w:hint="eastAsia"/>
          <w:kern w:val="0"/>
        </w:rPr>
        <w:t>p</w:t>
      </w:r>
      <w:r w:rsidRPr="000121D7">
        <w:rPr>
          <w:kern w:val="0"/>
        </w:rPr>
        <w:t>H-Dependent</w:t>
      </w:r>
      <w:r>
        <w:rPr>
          <w:kern w:val="0"/>
        </w:rPr>
        <w:t xml:space="preserve">, </w:t>
      </w:r>
      <w:r w:rsidRPr="000121D7">
        <w:rPr>
          <w:kern w:val="0"/>
        </w:rPr>
        <w:t>Pre-Treatment</w:t>
      </w:r>
      <w:r>
        <w:rPr>
          <w:kern w:val="0"/>
        </w:rPr>
        <w:t xml:space="preserve">, </w:t>
      </w:r>
      <w:r w:rsidRPr="000121D7">
        <w:rPr>
          <w:kern w:val="0"/>
        </w:rPr>
        <w:t>Removal</w:t>
      </w:r>
      <w:r>
        <w:rPr>
          <w:kern w:val="0"/>
        </w:rPr>
        <w:t xml:space="preserve">, </w:t>
      </w:r>
      <w:r w:rsidRPr="000121D7">
        <w:rPr>
          <w:kern w:val="0"/>
        </w:rPr>
        <w:t>Solution</w:t>
      </w:r>
      <w:r>
        <w:rPr>
          <w:kern w:val="0"/>
        </w:rPr>
        <w:t xml:space="preserve">, </w:t>
      </w:r>
      <w:r w:rsidRPr="000121D7">
        <w:rPr>
          <w:kern w:val="0"/>
        </w:rPr>
        <w:t>Wastewater</w:t>
      </w:r>
      <w:r>
        <w:rPr>
          <w:kern w:val="0"/>
        </w:rPr>
        <w:t xml:space="preserve">, </w:t>
      </w:r>
      <w:r w:rsidRPr="000121D7">
        <w:rPr>
          <w:kern w:val="0"/>
        </w:rPr>
        <w:t>Zinc</w:t>
      </w:r>
      <w:r>
        <w:rPr>
          <w:kern w:val="0"/>
        </w:rPr>
        <w:t xml:space="preserve">, </w:t>
      </w:r>
      <w:r w:rsidRPr="000121D7">
        <w:rPr>
          <w:kern w:val="0"/>
        </w:rPr>
        <w:t>Zinc(II)</w:t>
      </w:r>
      <w:r>
        <w:rPr>
          <w:kern w:val="0"/>
        </w:rPr>
        <w:t xml:space="preserve">, </w:t>
      </w:r>
      <w:r w:rsidRPr="000121D7">
        <w:rPr>
          <w:kern w:val="0"/>
        </w:rPr>
        <w:t>Zn(II)</w:t>
      </w:r>
    </w:p>
    <w:p w:rsidR="00E619BF" w:rsidRDefault="00E619BF" w:rsidP="00E619BF">
      <w:pPr>
        <w:pStyle w:val="a0"/>
        <w:rPr>
          <w:kern w:val="0"/>
        </w:rPr>
      </w:pPr>
      <w:r>
        <w:rPr>
          <w:rFonts w:hint="eastAsia"/>
          <w:kern w:val="0"/>
        </w:rPr>
        <w:t xml:space="preserve">? </w:t>
      </w:r>
      <w:r>
        <w:rPr>
          <w:kern w:val="0"/>
        </w:rPr>
        <w:t>Yang, Q., Shang, H.T.</w:t>
      </w:r>
      <w:r w:rsidR="00F81221">
        <w:rPr>
          <w:kern w:val="0"/>
        </w:rPr>
        <w:t xml:space="preserve"> and </w:t>
      </w:r>
      <w:r>
        <w:rPr>
          <w:kern w:val="0"/>
        </w:rPr>
        <w:t>Wang, J.L. (2009), Biosorption</w:t>
      </w:r>
      <w:r w:rsidR="00F81221">
        <w:rPr>
          <w:kern w:val="0"/>
        </w:rPr>
        <w:t xml:space="preserve"> and </w:t>
      </w:r>
      <w:r>
        <w:rPr>
          <w:kern w:val="0"/>
        </w:rPr>
        <w:t xml:space="preserve">biodegradation of trichloroethylene by acclimated activated sludge.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38</w:t>
      </w:r>
      <w:r>
        <w:rPr>
          <w:kern w:val="0"/>
        </w:rPr>
        <w:t xml:space="preserve"> (3), 289-298.</w:t>
      </w:r>
    </w:p>
    <w:p w:rsidR="00E619BF" w:rsidRDefault="00E619BF" w:rsidP="00E619BF">
      <w:pPr>
        <w:pStyle w:val="a0"/>
        <w:rPr>
          <w:kern w:val="0"/>
        </w:rPr>
      </w:pPr>
      <w:r>
        <w:rPr>
          <w:kern w:val="0"/>
        </w:rPr>
        <w:t>Abstract: The biosorprion</w:t>
      </w:r>
      <w:r w:rsidR="00F81221">
        <w:rPr>
          <w:kern w:val="0"/>
        </w:rPr>
        <w:t xml:space="preserve"> and </w:t>
      </w:r>
      <w:r>
        <w:rPr>
          <w:kern w:val="0"/>
        </w:rPr>
        <w:t>biodegradation of trichloroethylene (TCE) was investigated. The experimental results showed that at 25°C the adsorption equilibrium of TCE at concentrations from 10 mg/L to 200 mg/L could be described by the Freundlich isotherm. Adsorption could complete within 15 min. Results indicated that glucose could serve as a co-substrate</w:t>
      </w:r>
      <w:r w:rsidR="00F81221">
        <w:rPr>
          <w:kern w:val="0"/>
        </w:rPr>
        <w:t xml:space="preserve"> and </w:t>
      </w:r>
      <w:r>
        <w:rPr>
          <w:kern w:val="0"/>
        </w:rPr>
        <w:t xml:space="preserve">enhance TCE biodegradation </w:t>
      </w:r>
      <w:r>
        <w:rPr>
          <w:kern w:val="0"/>
        </w:rPr>
        <w:lastRenderedPageBreak/>
        <w:t>through co-metabolism. The TCE biodegradation conformed to the first-order reaction kinetic,</w:t>
      </w:r>
      <w:r w:rsidR="00F81221">
        <w:rPr>
          <w:kern w:val="0"/>
        </w:rPr>
        <w:t xml:space="preserve"> and </w:t>
      </w:r>
      <w:r>
        <w:rPr>
          <w:kern w:val="0"/>
        </w:rPr>
        <w:t>the rate constant was 0.3212 day</w:t>
      </w:r>
      <w:r>
        <w:rPr>
          <w:rFonts w:hint="eastAsia"/>
          <w:kern w:val="0"/>
          <w:vertAlign w:val="superscript"/>
        </w:rPr>
        <w:t>-1</w:t>
      </w:r>
      <w:r>
        <w:rPr>
          <w:kern w:val="0"/>
        </w:rPr>
        <w:t xml:space="preserve"> at 25°C. In addition, results also indicated that TCE could serve as the sole substrate</w:t>
      </w:r>
      <w:r w:rsidR="00F81221">
        <w:rPr>
          <w:kern w:val="0"/>
        </w:rPr>
        <w:t xml:space="preserve"> and </w:t>
      </w:r>
      <w:r>
        <w:rPr>
          <w:kern w:val="0"/>
        </w:rPr>
        <w:t>be biodegraded under aerobic condition. No intermediate products such as DCE</w:t>
      </w:r>
      <w:r w:rsidR="00F81221">
        <w:rPr>
          <w:kern w:val="0"/>
        </w:rPr>
        <w:t xml:space="preserve"> and </w:t>
      </w:r>
      <w:r>
        <w:rPr>
          <w:kern w:val="0"/>
        </w:rPr>
        <w:t>VC were accumulated during the degradation.</w:t>
      </w:r>
    </w:p>
    <w:p w:rsidR="00E619BF" w:rsidRDefault="00E619BF" w:rsidP="00E619BF">
      <w:pPr>
        <w:pStyle w:val="a0"/>
        <w:rPr>
          <w:kern w:val="0"/>
        </w:rPr>
      </w:pPr>
      <w:r>
        <w:rPr>
          <w:kern w:val="0"/>
        </w:rPr>
        <w:t>Keywords: Activate Sludge, Adsorption, Biodegradation, Bioremediation, Biosorption, Chlorinated Solvents, Cometabolism, Degradation, Equilibrium, Feasibility, Field, Freundlich, Freundlich Isotherm, Isotherm, Removal, TCE, Trichloroethylene</w:t>
      </w:r>
    </w:p>
    <w:p w:rsidR="0038783C" w:rsidRDefault="0038783C" w:rsidP="0038783C">
      <w:pPr>
        <w:pStyle w:val="a0"/>
        <w:rPr>
          <w:kern w:val="0"/>
        </w:rPr>
      </w:pPr>
      <w:r>
        <w:rPr>
          <w:rFonts w:hint="eastAsia"/>
          <w:kern w:val="0"/>
        </w:rPr>
        <w:t xml:space="preserve">? </w:t>
      </w:r>
      <w:r>
        <w:rPr>
          <w:kern w:val="0"/>
        </w:rPr>
        <w:t>Xie, J.K., Yue, Q.Y., Gao, B.Y.</w:t>
      </w:r>
      <w:r w:rsidR="00F81221">
        <w:rPr>
          <w:kern w:val="0"/>
        </w:rPr>
        <w:t xml:space="preserve"> and </w:t>
      </w:r>
      <w:r>
        <w:rPr>
          <w:kern w:val="0"/>
        </w:rPr>
        <w:t>Li, Q.A. (2011), Adsorption kinetics</w:t>
      </w:r>
      <w:r w:rsidR="00F81221">
        <w:rPr>
          <w:kern w:val="0"/>
        </w:rPr>
        <w:t xml:space="preserve"> and </w:t>
      </w:r>
      <w:r>
        <w:rPr>
          <w:kern w:val="0"/>
        </w:rPr>
        <w:t xml:space="preserve">thermodynamics of anionic dyes onto sewage sludge derived activated carbon. </w:t>
      </w:r>
      <w:r>
        <w:rPr>
          <w:i/>
          <w:iCs/>
          <w:kern w:val="0"/>
        </w:rPr>
        <w:t>International Journal of Environment</w:t>
      </w:r>
      <w:r w:rsidR="00F81221">
        <w:rPr>
          <w:i/>
          <w:iCs/>
          <w:kern w:val="0"/>
        </w:rPr>
        <w:t xml:space="preserve"> and </w:t>
      </w:r>
      <w:r>
        <w:rPr>
          <w:i/>
          <w:iCs/>
          <w:kern w:val="0"/>
        </w:rPr>
        <w:t>Pollution</w:t>
      </w:r>
      <w:r>
        <w:rPr>
          <w:kern w:val="0"/>
        </w:rPr>
        <w:t xml:space="preserve">, </w:t>
      </w:r>
      <w:r>
        <w:rPr>
          <w:b/>
          <w:bCs/>
          <w:kern w:val="0"/>
        </w:rPr>
        <w:t>45</w:t>
      </w:r>
      <w:r>
        <w:rPr>
          <w:kern w:val="0"/>
        </w:rPr>
        <w:t xml:space="preserve"> (1-3), 123-144.</w:t>
      </w:r>
    </w:p>
    <w:p w:rsidR="0038783C" w:rsidRPr="007D79E8" w:rsidRDefault="0038783C" w:rsidP="0038783C">
      <w:pPr>
        <w:pStyle w:val="a0"/>
        <w:rPr>
          <w:kern w:val="0"/>
        </w:rPr>
      </w:pPr>
      <w:r w:rsidRPr="007D79E8">
        <w:rPr>
          <w:kern w:val="0"/>
        </w:rPr>
        <w:t xml:space="preserve">Full Text: </w:t>
      </w:r>
      <w:hyperlink r:id="rId1791" w:history="1">
        <w:r w:rsidR="008D4AEC" w:rsidRPr="008D4AEC">
          <w:rPr>
            <w:rStyle w:val="a5"/>
            <w:kern w:val="0"/>
          </w:rPr>
          <w:t>2011\Int J Env Pol45, 123.pdf</w:t>
        </w:r>
      </w:hyperlink>
    </w:p>
    <w:p w:rsidR="0038783C" w:rsidRDefault="0038783C" w:rsidP="0038783C">
      <w:pPr>
        <w:pStyle w:val="a0"/>
        <w:rPr>
          <w:kern w:val="0"/>
        </w:rPr>
      </w:pPr>
      <w:r>
        <w:rPr>
          <w:kern w:val="0"/>
        </w:rPr>
        <w:t>Abstract: The adsorption kinetics</w:t>
      </w:r>
      <w:r w:rsidR="00F81221">
        <w:rPr>
          <w:kern w:val="0"/>
        </w:rPr>
        <w:t xml:space="preserve"> and </w:t>
      </w:r>
      <w:r>
        <w:rPr>
          <w:kern w:val="0"/>
        </w:rPr>
        <w:t>thermodynamics of two anionic dyes (Reactive Brilliant Red K-2BP</w:t>
      </w:r>
      <w:r w:rsidR="00F81221">
        <w:rPr>
          <w:kern w:val="0"/>
        </w:rPr>
        <w:t xml:space="preserve"> and </w:t>
      </w:r>
      <w:r>
        <w:rPr>
          <w:kern w:val="0"/>
        </w:rPr>
        <w:t>Acid Scarlet GR) on the Sewage Sludge Derived Activated Carbon (SAC) were studied by batch adsorption tests. It was found that, for Reactive Brilliant Red K-2BP, four kinetic models, i.e., the pseudo-second-order model, the modified pseudo-first-order model, the pseudo-first-order model,</w:t>
      </w:r>
      <w:r w:rsidR="00F81221">
        <w:rPr>
          <w:kern w:val="0"/>
        </w:rPr>
        <w:t xml:space="preserve"> and </w:t>
      </w:r>
      <w:r>
        <w:rPr>
          <w:kern w:val="0"/>
        </w:rPr>
        <w:t>the intra-particle diffusion model, all showed acceptable applicability for the adsorption process. For Acid Scarlet GR, the adsorption process conformed only to the pseudo-second-order kinetic model. The adsorption processes of two dyes on the SAC were spontaneous (ΔG</w:t>
      </w:r>
      <w:r>
        <w:rPr>
          <w:rFonts w:hint="eastAsia"/>
          <w:kern w:val="0"/>
          <w:vertAlign w:val="subscript"/>
        </w:rPr>
        <w:t>0</w:t>
      </w:r>
      <w:r>
        <w:rPr>
          <w:kern w:val="0"/>
        </w:rPr>
        <w:t xml:space="preserve"> &lt; 0), endothermic in nature (ΔH</w:t>
      </w:r>
      <w:r>
        <w:rPr>
          <w:rFonts w:hint="eastAsia"/>
          <w:kern w:val="0"/>
          <w:vertAlign w:val="subscript"/>
        </w:rPr>
        <w:t>0</w:t>
      </w:r>
      <w:r>
        <w:rPr>
          <w:kern w:val="0"/>
        </w:rPr>
        <w:t xml:space="preserve"> &gt; 0),</w:t>
      </w:r>
      <w:r w:rsidR="00F81221">
        <w:rPr>
          <w:kern w:val="0"/>
        </w:rPr>
        <w:t xml:space="preserve"> and </w:t>
      </w:r>
      <w:r>
        <w:rPr>
          <w:kern w:val="0"/>
        </w:rPr>
        <w:t>accompanied by an increase in entropy (ΔS</w:t>
      </w:r>
      <w:r>
        <w:rPr>
          <w:rFonts w:hint="eastAsia"/>
          <w:kern w:val="0"/>
          <w:vertAlign w:val="subscript"/>
        </w:rPr>
        <w:t>0</w:t>
      </w:r>
      <w:r>
        <w:rPr>
          <w:kern w:val="0"/>
        </w:rPr>
        <w:t xml:space="preserve"> &gt; 0).</w:t>
      </w:r>
    </w:p>
    <w:p w:rsidR="0038783C" w:rsidRDefault="0038783C" w:rsidP="0038783C">
      <w:pPr>
        <w:pStyle w:val="a0"/>
        <w:rPr>
          <w:kern w:val="0"/>
        </w:rPr>
      </w:pPr>
      <w:r>
        <w:rPr>
          <w:kern w:val="0"/>
        </w:rPr>
        <w:t>Keywords: Activated Carbon, Adsorbent, Adsorption, Adsorption Kinetics, Aqueous-Solution, Carbon, Dye Adsorption, Dyes, Equilibrium, Isotherm, Kinetic, Kinetic Model, Kinetics, Liquid-Phase Adsorption, Methylene-Blue Adsorption, Pore-Size Distribution, Reactive Dyes, Removal, Sac, Sewage Sludge Derived Activated Carbon, Sludge, Solid-Waste, Thermodynamics, Water</w:t>
      </w:r>
    </w:p>
    <w:p w:rsidR="00CD2A52" w:rsidRDefault="00CD2A52" w:rsidP="00CD2A52">
      <w:pPr>
        <w:pStyle w:val="a0"/>
        <w:rPr>
          <w:kern w:val="0"/>
        </w:rPr>
      </w:pPr>
      <w:r>
        <w:rPr>
          <w:rFonts w:hint="eastAsia"/>
          <w:kern w:val="0"/>
        </w:rPr>
        <w:t xml:space="preserve">? </w:t>
      </w:r>
      <w:r w:rsidRPr="00A12457">
        <w:t>Zhang</w:t>
      </w:r>
      <w:r>
        <w:rPr>
          <w:rFonts w:hint="eastAsia"/>
        </w:rPr>
        <w:t>, J.</w:t>
      </w:r>
      <w:r w:rsidRPr="00026EE2">
        <w:t xml:space="preserve">, </w:t>
      </w:r>
      <w:r w:rsidRPr="00247161">
        <w:t>Wang</w:t>
      </w:r>
      <w:r>
        <w:rPr>
          <w:rFonts w:hint="eastAsia"/>
        </w:rPr>
        <w:t>, M.H.</w:t>
      </w:r>
      <w:r w:rsidRPr="00A12457">
        <w:t xml:space="preserve"> and Ho</w:t>
      </w:r>
      <w:r>
        <w:rPr>
          <w:rFonts w:hint="eastAsia"/>
        </w:rPr>
        <w:t>, Y.S.</w:t>
      </w:r>
      <w:r>
        <w:rPr>
          <w:kern w:val="0"/>
        </w:rPr>
        <w:t xml:space="preserve"> (201</w:t>
      </w:r>
      <w:r>
        <w:rPr>
          <w:rFonts w:hint="eastAsia"/>
          <w:kern w:val="0"/>
        </w:rPr>
        <w:t>2</w:t>
      </w:r>
      <w:r>
        <w:rPr>
          <w:kern w:val="0"/>
        </w:rPr>
        <w:t xml:space="preserve">), </w:t>
      </w:r>
      <w:r w:rsidRPr="00A12457">
        <w:t xml:space="preserve">Bibliometric </w:t>
      </w:r>
      <w:r w:rsidRPr="00026EE2">
        <w:t xml:space="preserve">analysis of </w:t>
      </w:r>
      <w:r w:rsidRPr="00A12457">
        <w:t>aerosol research in meteorology &amp; atmospheric sciences</w:t>
      </w:r>
      <w:r>
        <w:rPr>
          <w:kern w:val="0"/>
        </w:rPr>
        <w:t xml:space="preserve">. </w:t>
      </w:r>
      <w:r>
        <w:rPr>
          <w:i/>
          <w:iCs/>
          <w:kern w:val="0"/>
        </w:rPr>
        <w:t>International Journal of Environment and Pollution</w:t>
      </w:r>
      <w:r>
        <w:rPr>
          <w:kern w:val="0"/>
        </w:rPr>
        <w:t xml:space="preserve">, </w:t>
      </w:r>
      <w:r>
        <w:rPr>
          <w:rFonts w:hint="eastAsia"/>
          <w:b/>
          <w:bCs/>
          <w:kern w:val="0"/>
        </w:rPr>
        <w:t>??</w:t>
      </w:r>
      <w:r>
        <w:rPr>
          <w:kern w:val="0"/>
        </w:rPr>
        <w:t xml:space="preserve"> (</w:t>
      </w:r>
      <w:r>
        <w:rPr>
          <w:rFonts w:hint="eastAsia"/>
          <w:kern w:val="0"/>
        </w:rPr>
        <w:t>??</w:t>
      </w:r>
      <w:r>
        <w:rPr>
          <w:kern w:val="0"/>
        </w:rPr>
        <w:t xml:space="preserve">), </w:t>
      </w:r>
      <w:r>
        <w:rPr>
          <w:rFonts w:hint="eastAsia"/>
          <w:kern w:val="0"/>
        </w:rPr>
        <w:t>??</w:t>
      </w:r>
      <w:r>
        <w:rPr>
          <w:kern w:val="0"/>
        </w:rPr>
        <w:t>-</w:t>
      </w:r>
      <w:r>
        <w:rPr>
          <w:rFonts w:hint="eastAsia"/>
          <w:kern w:val="0"/>
        </w:rPr>
        <w:t>??</w:t>
      </w:r>
      <w:r>
        <w:rPr>
          <w:kern w:val="0"/>
        </w:rPr>
        <w:t>.</w:t>
      </w:r>
    </w:p>
    <w:p w:rsidR="00CD2A52" w:rsidRDefault="00CD2A52" w:rsidP="00CD2A52">
      <w:pPr>
        <w:pStyle w:val="a0"/>
        <w:rPr>
          <w:kern w:val="0"/>
        </w:rPr>
      </w:pPr>
      <w:r w:rsidRPr="007D79E8">
        <w:rPr>
          <w:kern w:val="0"/>
        </w:rPr>
        <w:t xml:space="preserve">Full Text: </w:t>
      </w:r>
      <w:hyperlink r:id="rId1792" w:history="1">
        <w:r w:rsidR="006566F1" w:rsidRPr="006566F1">
          <w:rPr>
            <w:rStyle w:val="a5"/>
            <w:kern w:val="0"/>
          </w:rPr>
          <w:t>2012\Int J Env Pol-Zhang.pdf</w:t>
        </w:r>
      </w:hyperlink>
    </w:p>
    <w:p w:rsidR="00CD2A52" w:rsidRPr="007D79E8" w:rsidRDefault="00CD2A52" w:rsidP="00CD2A52">
      <w:pPr>
        <w:pStyle w:val="a0"/>
        <w:rPr>
          <w:kern w:val="0"/>
        </w:rPr>
      </w:pPr>
      <w:r>
        <w:rPr>
          <w:rFonts w:hint="eastAsia"/>
          <w:kern w:val="0"/>
        </w:rPr>
        <w:t xml:space="preserve">Abstract: </w:t>
      </w:r>
      <w:r w:rsidRPr="00A12457">
        <w:t>This paper use</w:t>
      </w:r>
      <w:r w:rsidRPr="00026EE2">
        <w:t>d</w:t>
      </w:r>
      <w:r w:rsidRPr="00A12457">
        <w:t xml:space="preserve"> Science Citation Index</w:t>
      </w:r>
      <w:r>
        <w:rPr>
          <w:rFonts w:hint="eastAsia"/>
        </w:rPr>
        <w:t xml:space="preserve"> </w:t>
      </w:r>
      <w:r w:rsidRPr="00EA462F">
        <w:t>Expanded</w:t>
      </w:r>
      <w:r w:rsidRPr="00A12457">
        <w:t xml:space="preserve"> (SCI</w:t>
      </w:r>
      <w:r>
        <w:rPr>
          <w:rFonts w:hint="eastAsia"/>
        </w:rPr>
        <w:t>-</w:t>
      </w:r>
      <w:r w:rsidRPr="00EA462F">
        <w:t>Expanded</w:t>
      </w:r>
      <w:r w:rsidRPr="00A12457">
        <w:t>)</w:t>
      </w:r>
      <w:r w:rsidRPr="00026EE2">
        <w:t xml:space="preserve">, </w:t>
      </w:r>
      <w:r w:rsidRPr="00D35F81">
        <w:t>the Thomson Reuters Web of Science</w:t>
      </w:r>
      <w:r w:rsidRPr="00A12457">
        <w:t xml:space="preserve"> database to investigate the </w:t>
      </w:r>
      <w:r w:rsidRPr="00026EE2">
        <w:t xml:space="preserve">international </w:t>
      </w:r>
      <w:r w:rsidRPr="00A12457">
        <w:t xml:space="preserve">aerosol research in </w:t>
      </w:r>
      <w:r w:rsidRPr="00026EE2">
        <w:t xml:space="preserve">the </w:t>
      </w:r>
      <w:r w:rsidRPr="00A12457">
        <w:t>categor</w:t>
      </w:r>
      <w:r w:rsidRPr="00026EE2">
        <w:t xml:space="preserve">y of </w:t>
      </w:r>
      <w:r w:rsidRPr="00A12457">
        <w:t>meteorology &amp; atmospheric sciences, adopting the bibliometric method</w:t>
      </w:r>
      <w:r w:rsidRPr="00026EE2">
        <w:t>s</w:t>
      </w:r>
      <w:r w:rsidRPr="00A12457">
        <w:t xml:space="preserve"> from both quantitative and qualitative perspectives.</w:t>
      </w:r>
      <w:r w:rsidRPr="00026EE2">
        <w:t xml:space="preserve"> The citation profile for the overall papers from 1991 to 200</w:t>
      </w:r>
      <w:r>
        <w:rPr>
          <w:rFonts w:hint="eastAsia"/>
        </w:rPr>
        <w:t>9</w:t>
      </w:r>
      <w:r w:rsidRPr="00026EE2">
        <w:t xml:space="preserve"> revealed that t</w:t>
      </w:r>
      <w:r w:rsidRPr="00A12457">
        <w:t xml:space="preserve">he peak citation </w:t>
      </w:r>
      <w:r w:rsidRPr="00026EE2">
        <w:t>scor</w:t>
      </w:r>
      <w:r w:rsidRPr="00A12457">
        <w:t>e appeared in the third year</w:t>
      </w:r>
      <w:r w:rsidRPr="00026EE2">
        <w:t xml:space="preserve">. Thus only </w:t>
      </w:r>
      <w:r>
        <w:rPr>
          <w:rFonts w:hint="eastAsia"/>
        </w:rPr>
        <w:t>10,760</w:t>
      </w:r>
      <w:r w:rsidRPr="00A12457">
        <w:t xml:space="preserve"> </w:t>
      </w:r>
      <w:r w:rsidRPr="00026EE2">
        <w:t>article</w:t>
      </w:r>
      <w:r w:rsidRPr="00A12457">
        <w:t xml:space="preserve">s </w:t>
      </w:r>
      <w:r w:rsidRPr="00026EE2">
        <w:t>from 1991 to 200</w:t>
      </w:r>
      <w:r>
        <w:rPr>
          <w:rFonts w:hint="eastAsia"/>
        </w:rPr>
        <w:t>6</w:t>
      </w:r>
      <w:r w:rsidRPr="00026EE2">
        <w:t xml:space="preserve"> were concentrated on the analysis by scientific output and </w:t>
      </w:r>
      <w:r w:rsidRPr="00A12457">
        <w:t>citation tracking</w:t>
      </w:r>
      <w:r w:rsidRPr="00026EE2">
        <w:t xml:space="preserve"> </w:t>
      </w:r>
      <w:r w:rsidRPr="00A12457">
        <w:t xml:space="preserve">on the basis of </w:t>
      </w:r>
      <w:r w:rsidRPr="00026EE2">
        <w:t xml:space="preserve">journal patterns; </w:t>
      </w:r>
      <w:r w:rsidRPr="00A12457">
        <w:t>country, institute, and author research performance</w:t>
      </w:r>
      <w:r w:rsidRPr="00026EE2">
        <w:t xml:space="preserve">s. </w:t>
      </w:r>
      <w:r w:rsidRPr="00026EE2">
        <w:lastRenderedPageBreak/>
        <w:t xml:space="preserve">Improved citation indicators PCPP </w:t>
      </w:r>
      <w:r w:rsidRPr="00A12457">
        <w:t>(peak</w:t>
      </w:r>
      <w:r w:rsidRPr="00026EE2">
        <w:t>-year</w:t>
      </w:r>
      <w:r w:rsidRPr="00A12457">
        <w:t xml:space="preserve"> citation per </w:t>
      </w:r>
      <w:r w:rsidRPr="00026EE2">
        <w:t>p</w:t>
      </w:r>
      <w:r w:rsidRPr="00A12457">
        <w:t>ublication)</w:t>
      </w:r>
      <w:r w:rsidRPr="00026EE2">
        <w:t xml:space="preserve"> and RPCR (relative peak-year citation rate) based on peak-year citation counts were applied. A significant share of the citation impact was found due to a few highly cited papers, and t</w:t>
      </w:r>
      <w:r w:rsidRPr="00A12457">
        <w:t xml:space="preserve">he most frequently cited articles </w:t>
      </w:r>
      <w:r w:rsidRPr="00026EE2">
        <w:t xml:space="preserve">of each year were </w:t>
      </w:r>
      <w:r w:rsidRPr="00A12457">
        <w:t>identified</w:t>
      </w:r>
      <w:r w:rsidRPr="00026EE2">
        <w:t xml:space="preserve">. Research collaboration was checked for </w:t>
      </w:r>
      <w:r w:rsidRPr="00A12457">
        <w:t>monitoring</w:t>
      </w:r>
      <w:r w:rsidRPr="00026EE2">
        <w:t xml:space="preserve"> the performance of institutes and countries, and s</w:t>
      </w:r>
      <w:r w:rsidRPr="00A12457">
        <w:t>ummaries of the most prolific first and corresponding authors were</w:t>
      </w:r>
      <w:r w:rsidRPr="00026EE2">
        <w:t xml:space="preserve"> also</w:t>
      </w:r>
      <w:r w:rsidRPr="00A12457">
        <w:t xml:space="preserve"> provided.</w:t>
      </w:r>
      <w:r w:rsidRPr="00026EE2">
        <w:t xml:space="preserve"> As for author </w:t>
      </w:r>
      <w:r w:rsidRPr="00A12457">
        <w:t xml:space="preserve">productivity </w:t>
      </w:r>
      <w:r w:rsidRPr="00026EE2">
        <w:t xml:space="preserve">distribution, </w:t>
      </w:r>
      <w:r w:rsidRPr="00A12457">
        <w:t>Lotka</w:t>
      </w:r>
      <w:r w:rsidR="000352E7">
        <w:t>’</w:t>
      </w:r>
      <w:r w:rsidRPr="00A12457">
        <w:t>s law held good</w:t>
      </w:r>
      <w:r w:rsidRPr="00026EE2">
        <w:t xml:space="preserve"> in this case. Finally, </w:t>
      </w:r>
      <w:r w:rsidRPr="00A12457">
        <w:t xml:space="preserve">the </w:t>
      </w:r>
      <w:r w:rsidRPr="00026EE2">
        <w:t xml:space="preserve">authors discussed the imperfect nature of the indictors and proposed </w:t>
      </w:r>
      <w:r w:rsidRPr="00A12457">
        <w:t xml:space="preserve">complementary </w:t>
      </w:r>
      <w:r w:rsidRPr="00026EE2">
        <w:t>methods</w:t>
      </w:r>
      <w:r w:rsidRPr="00A12457">
        <w:t xml:space="preserve"> </w:t>
      </w:r>
      <w:r w:rsidRPr="00026EE2">
        <w:t>for</w:t>
      </w:r>
      <w:r w:rsidRPr="00A12457">
        <w:t xml:space="preserve"> research evaluation procedures</w:t>
      </w:r>
      <w:r w:rsidRPr="00026EE2">
        <w:t>.</w:t>
      </w:r>
    </w:p>
    <w:p w:rsidR="00B95188" w:rsidRPr="00A428C3" w:rsidRDefault="00B95188" w:rsidP="00B95188">
      <w:pPr>
        <w:pStyle w:val="1"/>
      </w:pPr>
      <w:r w:rsidRPr="00A428C3">
        <w:br w:type="page"/>
      </w:r>
      <w:bookmarkStart w:id="1291" w:name="_Toc186647913"/>
      <w:bookmarkStart w:id="1292" w:name="_Toc317161286"/>
      <w:r w:rsidRPr="00A428C3">
        <w:lastRenderedPageBreak/>
        <w:t xml:space="preserve">Title: </w:t>
      </w:r>
      <w:r w:rsidRPr="00A428C3">
        <w:rPr>
          <w:szCs w:val="11"/>
        </w:rPr>
        <w:t>International Journal of Environment</w:t>
      </w:r>
      <w:r w:rsidR="00F81221">
        <w:rPr>
          <w:szCs w:val="11"/>
        </w:rPr>
        <w:t xml:space="preserve"> and </w:t>
      </w:r>
      <w:r w:rsidRPr="00A428C3">
        <w:rPr>
          <w:szCs w:val="11"/>
        </w:rPr>
        <w:t>Waste</w:t>
      </w:r>
      <w:r w:rsidRPr="00A428C3">
        <w:t xml:space="preserve"> </w:t>
      </w:r>
      <w:r w:rsidRPr="00A428C3">
        <w:rPr>
          <w:szCs w:val="11"/>
        </w:rPr>
        <w:t>Management</w:t>
      </w:r>
      <w:bookmarkEnd w:id="1291"/>
      <w:bookmarkEnd w:id="1292"/>
    </w:p>
    <w:p w:rsidR="00B95188" w:rsidRPr="00A428C3" w:rsidRDefault="00B95188" w:rsidP="00B72EF9">
      <w:pPr>
        <w:pStyle w:val="12"/>
      </w:pPr>
      <w:r w:rsidRPr="00A428C3">
        <w:t xml:space="preserve">Full Journal Title: </w:t>
      </w:r>
      <w:hyperlink r:id="rId1793" w:anchor="submission" w:history="1">
        <w:r w:rsidRPr="00A428C3">
          <w:rPr>
            <w:rStyle w:val="a5"/>
            <w:rFonts w:eastAsia="新細明體"/>
          </w:rPr>
          <w:t>International Journal of Environment</w:t>
        </w:r>
        <w:r w:rsidR="00F81221">
          <w:rPr>
            <w:rStyle w:val="a5"/>
            <w:rFonts w:eastAsia="新細明體"/>
          </w:rPr>
          <w:t xml:space="preserve"> and </w:t>
        </w:r>
        <w:r w:rsidRPr="00A428C3">
          <w:rPr>
            <w:rStyle w:val="a5"/>
            <w:rFonts w:eastAsia="新細明體"/>
          </w:rPr>
          <w:t>Waste Management</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(Online): 1478-9868 - ISSN (Print): 1478-9876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1"/>
      </w:pPr>
      <w:r w:rsidRPr="00A428C3">
        <w:br w:type="page"/>
      </w:r>
      <w:bookmarkStart w:id="1293" w:name="_Toc487190731"/>
      <w:bookmarkStart w:id="1294" w:name="_Toc487882236"/>
      <w:bookmarkStart w:id="1295" w:name="_Toc490688063"/>
      <w:bookmarkStart w:id="1296" w:name="_Toc492812175"/>
      <w:bookmarkStart w:id="1297" w:name="_Toc186647911"/>
      <w:bookmarkStart w:id="1298" w:name="_Toc317161287"/>
      <w:r w:rsidRPr="00A428C3">
        <w:lastRenderedPageBreak/>
        <w:t>Title: International Journal of Environmental Analytical Chemistry</w:t>
      </w:r>
      <w:bookmarkEnd w:id="1293"/>
      <w:bookmarkEnd w:id="1294"/>
      <w:bookmarkEnd w:id="1295"/>
      <w:bookmarkEnd w:id="1296"/>
      <w:bookmarkEnd w:id="1297"/>
      <w:bookmarkEnd w:id="1298"/>
    </w:p>
    <w:p w:rsidR="00B95188" w:rsidRPr="00A428C3" w:rsidRDefault="00B95188" w:rsidP="00B72EF9">
      <w:pPr>
        <w:pStyle w:val="12"/>
      </w:pPr>
      <w:r w:rsidRPr="00A428C3">
        <w:t xml:space="preserve">Full Journal Title: </w:t>
      </w:r>
      <w:hyperlink r:id="rId1794" w:history="1">
        <w:r w:rsidRPr="00C3461B">
          <w:rPr>
            <w:rStyle w:val="a5"/>
          </w:rPr>
          <w:t>International Journal of Environmental Analytical Chemistry</w:t>
        </w:r>
      </w:hyperlink>
    </w:p>
    <w:p w:rsidR="00B95188" w:rsidRPr="00A428C3" w:rsidRDefault="00B95188" w:rsidP="00B72EF9">
      <w:pPr>
        <w:pStyle w:val="12"/>
      </w:pPr>
      <w:r w:rsidRPr="00A428C3">
        <w:t>ISO Abbreviated Title: Int. J. Environ. Anal. Chem.</w:t>
      </w:r>
    </w:p>
    <w:p w:rsidR="00B95188" w:rsidRPr="00A428C3" w:rsidRDefault="00B95188" w:rsidP="00B72EF9">
      <w:pPr>
        <w:pStyle w:val="12"/>
      </w:pPr>
      <w:r w:rsidRPr="00A428C3">
        <w:t>JCR Abbreviated Title: Int J Environ An Ch</w:t>
      </w:r>
    </w:p>
    <w:p w:rsidR="00B95188" w:rsidRPr="00A428C3" w:rsidRDefault="00B95188" w:rsidP="00B72EF9">
      <w:pPr>
        <w:pStyle w:val="12"/>
      </w:pPr>
      <w:r w:rsidRPr="00A428C3">
        <w:t>ISSN: 0306-7319</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Publisher: Gordon Breach Sci Publ Ltd</w:t>
      </w:r>
    </w:p>
    <w:p w:rsidR="00B95188" w:rsidRPr="00A428C3" w:rsidRDefault="00B95188" w:rsidP="00B72EF9">
      <w:pPr>
        <w:pStyle w:val="12"/>
      </w:pPr>
      <w:r w:rsidRPr="00A428C3">
        <w:t xml:space="preserve">Publisher Address: C/O Stbs Ltd, </w:t>
      </w:r>
      <w:smartTag w:uri="urn:schemas-microsoft-com:office:smarttags" w:element="address">
        <w:smartTag w:uri="urn:schemas-microsoft-com:office:smarttags" w:element="Street">
          <w:r w:rsidRPr="00A428C3">
            <w:t>PO Box 90</w:t>
          </w:r>
        </w:smartTag>
        <w:r w:rsidRPr="00A428C3">
          <w:t xml:space="preserve">, </w:t>
        </w:r>
        <w:smartTag w:uri="urn:schemas-microsoft-com:office:smarttags" w:element="City">
          <w:r w:rsidRPr="00A428C3">
            <w:t>Reading</w:t>
          </w:r>
        </w:smartTag>
        <w:r w:rsidRPr="00A428C3">
          <w:t xml:space="preserve"> </w:t>
        </w:r>
        <w:smartTag w:uri="urn:schemas-microsoft-com:office:smarttags" w:element="PostalCode">
          <w:r w:rsidRPr="00A428C3">
            <w:t>RG1 8JL</w:t>
          </w:r>
        </w:smartTag>
      </w:smartTag>
      <w:r w:rsidRPr="00A428C3">
        <w:t xml:space="preserve">, Berks,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B72EF9" w:rsidRDefault="00B95188" w:rsidP="00B72EF9">
      <w:pPr>
        <w:pStyle w:val="12"/>
      </w:pPr>
      <w:r w:rsidRPr="00B72EF9">
        <w:t>Chemistry, Analytical: Impact Factor</w:t>
      </w:r>
    </w:p>
    <w:p w:rsidR="00B95188" w:rsidRPr="00A428C3" w:rsidRDefault="00B95188" w:rsidP="00B72EF9">
      <w:pPr>
        <w:pStyle w:val="12"/>
      </w:pPr>
      <w:r w:rsidRPr="00A428C3">
        <w:t>Environmental Sciences: Impact Factor 0.796, 63/126 (1999); Impact Factor 0.643, 76/127 (2000)</w:t>
      </w:r>
    </w:p>
    <w:p w:rsidR="00B95188" w:rsidRPr="00A428C3" w:rsidRDefault="00B95188" w:rsidP="00B95188">
      <w:pPr>
        <w:pStyle w:val="a0"/>
      </w:pPr>
      <w:r w:rsidRPr="00A428C3">
        <w:t>? Okieimen, F.E., Maya, A.O.</w:t>
      </w:r>
      <w:r w:rsidR="00F81221">
        <w:t xml:space="preserve"> and </w:t>
      </w:r>
      <w:r w:rsidRPr="00A428C3">
        <w:t>Oriakhi, C.O. (1988), Sorption of cadmium, lead</w:t>
      </w:r>
      <w:r w:rsidR="00F81221">
        <w:t xml:space="preserve"> and </w:t>
      </w:r>
      <w:r w:rsidRPr="00A428C3">
        <w:t xml:space="preserve">zinc ions on sulfur-containing chemically modified cellulosic materials. </w:t>
      </w:r>
      <w:r w:rsidRPr="00A428C3">
        <w:rPr>
          <w:i/>
        </w:rPr>
        <w:t>International Journal of Environmental Analytical Chemistry</w:t>
      </w:r>
      <w:r w:rsidRPr="00A428C3">
        <w:t xml:space="preserve">, </w:t>
      </w:r>
      <w:r w:rsidRPr="00A428C3">
        <w:rPr>
          <w:b/>
        </w:rPr>
        <w:t>32</w:t>
      </w:r>
      <w:r w:rsidRPr="00A428C3">
        <w:t xml:space="preserve"> (1), 23-27.</w:t>
      </w:r>
    </w:p>
    <w:p w:rsidR="00CD1131" w:rsidRDefault="00CD1131" w:rsidP="00CD1131">
      <w:pPr>
        <w:pStyle w:val="a0"/>
      </w:pPr>
      <w:r w:rsidRPr="00F03D2F">
        <w:rPr>
          <w:kern w:val="0"/>
        </w:rPr>
        <w:t>Full Text:</w:t>
      </w:r>
      <w:r w:rsidRPr="00D7601C">
        <w:t xml:space="preserve"> </w:t>
      </w:r>
      <w:r>
        <w:rPr>
          <w:rFonts w:hint="eastAsia"/>
        </w:rPr>
        <w:t>1988</w:t>
      </w:r>
      <w:r>
        <w:t>\Int J Env Ana Che</w:t>
      </w:r>
      <w:r>
        <w:rPr>
          <w:rFonts w:hint="eastAsia"/>
        </w:rPr>
        <w:t>32</w:t>
      </w:r>
      <w:r>
        <w:t xml:space="preserve">, </w:t>
      </w:r>
      <w:r>
        <w:rPr>
          <w:rFonts w:hint="eastAsia"/>
        </w:rPr>
        <w:t>23</w:t>
      </w:r>
      <w:r w:rsidRPr="00104A74">
        <w:t>.pdf</w:t>
      </w:r>
    </w:p>
    <w:p w:rsidR="00CD1131" w:rsidRDefault="00CD1131" w:rsidP="00CD1131">
      <w:pPr>
        <w:pStyle w:val="a0"/>
      </w:pPr>
      <w:r>
        <w:t>Abstract</w:t>
      </w:r>
      <w:r>
        <w:rPr>
          <w:rFonts w:hint="eastAsia"/>
        </w:rPr>
        <w:t xml:space="preserve">: </w:t>
      </w:r>
      <w:r>
        <w:t>Cellulosic materials containing 1.7% and 3.3% thiol groups were prepared by treating maize cobs meal with thioglycollic acid solution at 29°C. Equilibrium sorption studies of cadmium, lead and zinc ions from aqueous solutions on the unmodified and thiolated cellulosic materials were carried out at 29°C using various concentrations of the dilute metal ions solutions. The metal ion binding capacity of the cellulosic material was significantly improved by the incorporated thiol groups. The influence of pH of the metal ion solutions on the uptake levels of the metal ions by the cellulosic substrate was examined.</w:t>
      </w:r>
    </w:p>
    <w:p w:rsidR="00B95188" w:rsidRPr="00A428C3" w:rsidRDefault="00B95188" w:rsidP="00B95188">
      <w:pPr>
        <w:pStyle w:val="a0"/>
      </w:pPr>
      <w:r w:rsidRPr="00A428C3">
        <w:t>? Hani, H. (1990), The analysis of inorganic</w:t>
      </w:r>
      <w:r w:rsidR="00F81221">
        <w:t xml:space="preserve"> and </w:t>
      </w:r>
      <w:r w:rsidRPr="00A428C3">
        <w:t xml:space="preserve">organic pollutants in soil with special regard to their bioavailability. </w:t>
      </w:r>
      <w:r w:rsidRPr="00A428C3">
        <w:rPr>
          <w:i/>
        </w:rPr>
        <w:t>International Journal of Environmental Analytical Chemistry</w:t>
      </w:r>
      <w:r w:rsidRPr="00A428C3">
        <w:t xml:space="preserve">, </w:t>
      </w:r>
      <w:r w:rsidRPr="00A428C3">
        <w:rPr>
          <w:b/>
        </w:rPr>
        <w:t>39</w:t>
      </w:r>
      <w:r w:rsidRPr="00A428C3">
        <w:t xml:space="preserve"> (2), 197-208.</w:t>
      </w:r>
    </w:p>
    <w:p w:rsidR="00CD1131" w:rsidRDefault="00CD1131" w:rsidP="00CD1131">
      <w:pPr>
        <w:pStyle w:val="a0"/>
      </w:pPr>
      <w:r w:rsidRPr="00F03D2F">
        <w:rPr>
          <w:kern w:val="0"/>
        </w:rPr>
        <w:t>Full Text:</w:t>
      </w:r>
      <w:r w:rsidRPr="00D7601C">
        <w:t xml:space="preserve"> </w:t>
      </w:r>
      <w:r>
        <w:rPr>
          <w:rFonts w:hint="eastAsia"/>
        </w:rPr>
        <w:t>1990</w:t>
      </w:r>
      <w:r>
        <w:t>\Int J Env Ana Che</w:t>
      </w:r>
      <w:r>
        <w:rPr>
          <w:rFonts w:hint="eastAsia"/>
        </w:rPr>
        <w:t>39</w:t>
      </w:r>
      <w:r>
        <w:t xml:space="preserve">, </w:t>
      </w:r>
      <w:r>
        <w:rPr>
          <w:rFonts w:hint="eastAsia"/>
        </w:rPr>
        <w:t>197</w:t>
      </w:r>
      <w:r w:rsidRPr="00104A74">
        <w:t>.pdf</w:t>
      </w:r>
    </w:p>
    <w:p w:rsidR="00CD1131" w:rsidRDefault="00CD1131" w:rsidP="00CD1131">
      <w:pPr>
        <w:pStyle w:val="a0"/>
      </w:pPr>
      <w:r>
        <w:t>Abstract</w:t>
      </w:r>
      <w:r>
        <w:rPr>
          <w:rFonts w:hint="eastAsia"/>
        </w:rPr>
        <w:t xml:space="preserve">: </w:t>
      </w:r>
      <w:r>
        <w:t>The most important inorganic pollutants in soil are the heavy metals. Problems related to the determination of the total and soluble content are discussed. Soluble contents are of interest in connection with studies about bioavailability. Because some of the heavy metals are essential for plant growth, most of the work about bioavailability has been done in the field of plant nutrition. Much less is known about the situation in polluted soils.</w:t>
      </w:r>
    </w:p>
    <w:p w:rsidR="00CD1131" w:rsidRDefault="00CD1131" w:rsidP="00CD1131">
      <w:pPr>
        <w:pStyle w:val="a0"/>
      </w:pPr>
      <w:r>
        <w:lastRenderedPageBreak/>
        <w:t>It was shown that neutral salt solutions which do not really change the pH of soil during the extraction procedure are best suited to define thresholds of excess. This is in contrast to much stronger extractants like EDTA or DTPA often proposed for the analysis of soils which are deficient in trace elements.</w:t>
      </w:r>
    </w:p>
    <w:p w:rsidR="00CD1131" w:rsidRDefault="00CD1131" w:rsidP="00CD1131">
      <w:pPr>
        <w:pStyle w:val="a0"/>
      </w:pPr>
      <w:r>
        <w:t>With three sets of experiments the correlation between the contents of cadmium, copper, nickel and zinc extracted by 0.1 M NaNO3 (as an example of a neutral salt solution) and the plant response (phyto- or zootoxicity) are shown:</w:t>
      </w:r>
    </w:p>
    <w:p w:rsidR="00CD1131" w:rsidRDefault="00CD1131" w:rsidP="00CD1131">
      <w:pPr>
        <w:pStyle w:val="a0"/>
      </w:pPr>
      <w:r>
        <w:rPr>
          <w:rFonts w:hint="eastAsia"/>
        </w:rPr>
        <w:t>—</w:t>
      </w:r>
      <w:r>
        <w:t>pot experiments using soils which were contaminated by metal salt solutions</w:t>
      </w:r>
    </w:p>
    <w:p w:rsidR="00CD1131" w:rsidRDefault="00CD1131" w:rsidP="00CD1131">
      <w:pPr>
        <w:pStyle w:val="a0"/>
      </w:pPr>
      <w:r>
        <w:rPr>
          <w:rFonts w:hint="eastAsia"/>
        </w:rPr>
        <w:t>—</w:t>
      </w:r>
      <w:r>
        <w:t>pot experiments using soils from contaminated areas</w:t>
      </w:r>
    </w:p>
    <w:p w:rsidR="00CD1131" w:rsidRDefault="00CD1131" w:rsidP="00CD1131">
      <w:pPr>
        <w:pStyle w:val="a0"/>
      </w:pPr>
      <w:r>
        <w:rPr>
          <w:rFonts w:hint="eastAsia"/>
        </w:rPr>
        <w:t>—</w:t>
      </w:r>
      <w:r>
        <w:t>field studies in polluted areas. In these studies the aspect of heavy metal leaching was also considered.</w:t>
      </w:r>
    </w:p>
    <w:p w:rsidR="00CD1131" w:rsidRDefault="00CD1131" w:rsidP="00CD1131">
      <w:pPr>
        <w:pStyle w:val="a0"/>
      </w:pPr>
      <w:r>
        <w:t>The results were converted to indicative values in the Swiss Ordinance of Pollutants in the Soil. These indicative values derived from plant reactions were checked by the carbon mineralisation as an example of a soil microbiological process.</w:t>
      </w:r>
    </w:p>
    <w:p w:rsidR="00CD1131" w:rsidRDefault="00CD1131" w:rsidP="00CD1131">
      <w:pPr>
        <w:pStyle w:val="a0"/>
      </w:pPr>
      <w:r>
        <w:t>As it was found that organic pollutants are not easily taken up by plant roots the problem of bioavailability is much less important. However, the biodegradation and formation of metabolites has to be considered.</w:t>
      </w:r>
    </w:p>
    <w:p w:rsidR="00CD1131" w:rsidRDefault="00CD1131" w:rsidP="00CD1131">
      <w:pPr>
        <w:pStyle w:val="a0"/>
      </w:pPr>
      <w:r>
        <w:t>Keywords: Heavy Metals, Soil, Bioavailability, Plant Nutrition, Phytotoxicity, Zootoxicity, Soluble Content, Total Content</w:t>
      </w:r>
    </w:p>
    <w:p w:rsidR="00B95188" w:rsidRPr="00A428C3" w:rsidRDefault="00B95188" w:rsidP="00B95188">
      <w:pPr>
        <w:pStyle w:val="a0"/>
      </w:pPr>
      <w:r w:rsidRPr="00A428C3">
        <w:t xml:space="preserve">? Sharma, Y.C., Prasad, G., </w:t>
      </w:r>
      <w:smartTag w:uri="urn:schemas-microsoft-com:office:smarttags" w:element="City">
        <w:r w:rsidRPr="00A428C3">
          <w:t>Rupainwar</w:t>
        </w:r>
      </w:smartTag>
      <w:r w:rsidRPr="00A428C3">
        <w:t>, D.C.</w:t>
      </w:r>
      <w:r w:rsidR="00F81221">
        <w:t xml:space="preserve"> and </w:t>
      </w:r>
      <w:r w:rsidRPr="00A428C3">
        <w:t xml:space="preserve">Panday, K.K. (1990), Inexpensive adsorption technique to remove Cr(VI) from aqueous-solutions. </w:t>
      </w:r>
      <w:r w:rsidRPr="00A428C3">
        <w:rPr>
          <w:i/>
        </w:rPr>
        <w:t>International Journal of Environmental Analytical Chemistry</w:t>
      </w:r>
      <w:r w:rsidRPr="00A428C3">
        <w:t xml:space="preserve">, </w:t>
      </w:r>
      <w:r w:rsidRPr="00A428C3">
        <w:rPr>
          <w:b/>
        </w:rPr>
        <w:t>39</w:t>
      </w:r>
      <w:r w:rsidRPr="00A428C3">
        <w:t xml:space="preserve"> (4), 401-410.</w:t>
      </w:r>
    </w:p>
    <w:p w:rsidR="00CD1131" w:rsidRDefault="00CD1131" w:rsidP="00CD1131">
      <w:pPr>
        <w:pStyle w:val="a0"/>
      </w:pPr>
      <w:r w:rsidRPr="00F03D2F">
        <w:rPr>
          <w:kern w:val="0"/>
        </w:rPr>
        <w:t>Full Text:</w:t>
      </w:r>
      <w:r w:rsidRPr="00D7601C">
        <w:t xml:space="preserve"> </w:t>
      </w:r>
      <w:r>
        <w:rPr>
          <w:rFonts w:hint="eastAsia"/>
        </w:rPr>
        <w:t>1990</w:t>
      </w:r>
      <w:r>
        <w:t>\Int J Env Ana Che</w:t>
      </w:r>
      <w:r>
        <w:rPr>
          <w:rFonts w:hint="eastAsia"/>
        </w:rPr>
        <w:t>39</w:t>
      </w:r>
      <w:r>
        <w:t xml:space="preserve">, </w:t>
      </w:r>
      <w:r>
        <w:rPr>
          <w:rFonts w:hint="eastAsia"/>
        </w:rPr>
        <w:t>401</w:t>
      </w:r>
      <w:r w:rsidRPr="00104A74">
        <w:t>.pdf</w:t>
      </w:r>
    </w:p>
    <w:p w:rsidR="00CD1131" w:rsidRDefault="00CD1131" w:rsidP="00CD1131">
      <w:pPr>
        <w:pStyle w:val="a0"/>
      </w:pPr>
      <w:r>
        <w:t>Abstract</w:t>
      </w:r>
      <w:r>
        <w:rPr>
          <w:rFonts w:hint="eastAsia"/>
        </w:rPr>
        <w:t xml:space="preserve">: </w:t>
      </w:r>
      <w:r>
        <w:t>The removal of Cr(VI) from aqueous solutions by using an inexpensive adsorbent, viz. China clay has been investigated. Maximum uptake (68%) was observed at a solution concentration of 0.5×10−4 M, pH 2.5 and 30°C. The kinetics of the process have been explained using the Lagergren equation; the average rate constant of adsorption was found to be 0.148 min−1. Langmuir</w:t>
      </w:r>
      <w:r w:rsidR="000352E7">
        <w:t>’</w:t>
      </w:r>
      <w:r>
        <w:t>s isotherm was found to be valid; the constants are calculated for different temperatures. The rate-limiting factor is the intraparticle diffusion. The coefficients of mass transfer and intraparticle diffusion are determined at different temperatures. In the present study low temperatures as well as low pH favour the uptake of Cr(VI) species.</w:t>
      </w:r>
    </w:p>
    <w:p w:rsidR="00CD1131" w:rsidRDefault="00CD1131" w:rsidP="00CD1131">
      <w:pPr>
        <w:pStyle w:val="a0"/>
      </w:pPr>
      <w:r>
        <w:t>Keywords: Inexpensive, Adsorption, China Clay, Cr(VI), Isotherm, Mass Transfer</w:t>
      </w:r>
    </w:p>
    <w:p w:rsidR="00B95188" w:rsidRPr="00A428C3" w:rsidRDefault="00B95188" w:rsidP="00B95188">
      <w:pPr>
        <w:pStyle w:val="a0"/>
      </w:pPr>
      <w:r w:rsidRPr="00A428C3">
        <w:t>Sahu, S.</w:t>
      </w:r>
      <w:r w:rsidR="00F81221">
        <w:t xml:space="preserve"> and </w:t>
      </w:r>
      <w:r w:rsidRPr="00A428C3">
        <w:t>Banerjee, D.K. (1990), Complexation properties of typical soil</w:t>
      </w:r>
      <w:r w:rsidR="00F81221">
        <w:t xml:space="preserve"> and </w:t>
      </w:r>
      <w:r w:rsidRPr="00A428C3">
        <w:t>peat humic acids with copper(II)</w:t>
      </w:r>
      <w:r w:rsidR="00F81221">
        <w:t xml:space="preserve"> and </w:t>
      </w:r>
      <w:r w:rsidR="00CD1131" w:rsidRPr="00A428C3">
        <w:t>cadmium</w:t>
      </w:r>
      <w:r w:rsidRPr="00A428C3">
        <w:t xml:space="preserve">(II). </w:t>
      </w:r>
      <w:r w:rsidRPr="00A428C3">
        <w:rPr>
          <w:i/>
        </w:rPr>
        <w:t>International Journal of Environmental Analytical Chemistry</w:t>
      </w:r>
      <w:r w:rsidRPr="00A428C3">
        <w:t xml:space="preserve">, </w:t>
      </w:r>
      <w:r w:rsidRPr="00A428C3">
        <w:rPr>
          <w:b/>
        </w:rPr>
        <w:t>42</w:t>
      </w:r>
      <w:r w:rsidR="00CD1131">
        <w:rPr>
          <w:rFonts w:hint="eastAsia"/>
        </w:rPr>
        <w:t xml:space="preserve"> (1-4),</w:t>
      </w:r>
      <w:r w:rsidRPr="00A428C3">
        <w:t xml:space="preserve"> 35-44.</w:t>
      </w:r>
    </w:p>
    <w:p w:rsidR="00CD1131" w:rsidRDefault="00CD1131" w:rsidP="00CD1131">
      <w:pPr>
        <w:pStyle w:val="a0"/>
      </w:pPr>
      <w:r w:rsidRPr="00F03D2F">
        <w:rPr>
          <w:kern w:val="0"/>
        </w:rPr>
        <w:t>Full Text:</w:t>
      </w:r>
      <w:r w:rsidRPr="00D7601C">
        <w:t xml:space="preserve"> </w:t>
      </w:r>
      <w:r>
        <w:rPr>
          <w:rFonts w:hint="eastAsia"/>
        </w:rPr>
        <w:t>1990</w:t>
      </w:r>
      <w:r>
        <w:t>\Int J Env Ana Che</w:t>
      </w:r>
      <w:r>
        <w:rPr>
          <w:rFonts w:hint="eastAsia"/>
        </w:rPr>
        <w:t>42</w:t>
      </w:r>
      <w:r>
        <w:t xml:space="preserve">, </w:t>
      </w:r>
      <w:r>
        <w:rPr>
          <w:rFonts w:hint="eastAsia"/>
        </w:rPr>
        <w:t>35</w:t>
      </w:r>
      <w:r w:rsidRPr="00104A74">
        <w:t>.pdf</w:t>
      </w:r>
    </w:p>
    <w:p w:rsidR="00CD1131" w:rsidRDefault="00CD1131" w:rsidP="00CD1131">
      <w:pPr>
        <w:pStyle w:val="a0"/>
      </w:pPr>
      <w:r>
        <w:t>Abstract</w:t>
      </w:r>
      <w:r>
        <w:rPr>
          <w:rFonts w:hint="eastAsia"/>
        </w:rPr>
        <w:t xml:space="preserve">: </w:t>
      </w:r>
      <w:r>
        <w:t xml:space="preserve">Potentiometric titration with ion-selective electrodes was applied to determine characteristic parameters like the degree of complexation and the approximate </w:t>
      </w:r>
      <w:r>
        <w:lastRenderedPageBreak/>
        <w:t>molecular weight of humic acids from theoretical considerations and conditional stability constants for the complexes of Cu(II) and Cd(II) with humic acids obtained from sources such as garden soil, peat prepared by decomposing water hyacinth in soil and humified water hyacinth. Double-reciprocal and Scatchard plots were constructed to determine the conditional stability constants of the complexes formed. Cu(II) was found to have more affinity for the humic acids than Cd(II) and the stability of the metal complexes in aqueous medium was found to increase with increasing pH. The order of stability of the complexes was M-HA (soil)&gt;M-HA (peat)&gt;M-HA (humified water hyacinth), where M and HA represent metal and humic acids, respectively.</w:t>
      </w:r>
    </w:p>
    <w:p w:rsidR="00CD1131" w:rsidRDefault="00CD1131" w:rsidP="00CD1131">
      <w:pPr>
        <w:pStyle w:val="a0"/>
      </w:pPr>
      <w:r>
        <w:t>Keywords: Ion-Selective Electrodes, Humic Acid, Complexation, Double Reciprocal Plot, Scatchard Plot</w:t>
      </w:r>
    </w:p>
    <w:p w:rsidR="00B95188" w:rsidRPr="00A428C3" w:rsidRDefault="00B95188" w:rsidP="00B95188">
      <w:pPr>
        <w:pStyle w:val="a0"/>
      </w:pPr>
      <w:r w:rsidRPr="00A428C3">
        <w:t>? Sharma, Y.C., Prasad, G.</w:t>
      </w:r>
      <w:r w:rsidR="00F81221">
        <w:t xml:space="preserve"> and </w:t>
      </w:r>
      <w:r w:rsidRPr="00A428C3">
        <w:t xml:space="preserve">Rupainwar, </w:t>
      </w:r>
      <w:smartTag w:uri="urn:schemas-microsoft-com:office:smarttags" w:element="State">
        <w:r w:rsidRPr="00A428C3">
          <w:t>D.C.</w:t>
        </w:r>
      </w:smartTag>
      <w:r w:rsidRPr="00A428C3">
        <w:t xml:space="preserve"> (1991), Treatment of cadmium(II)-rich effluents (kinetic modeling</w:t>
      </w:r>
      <w:r w:rsidR="00F81221">
        <w:t xml:space="preserve"> and </w:t>
      </w:r>
      <w:r w:rsidRPr="00A428C3">
        <w:t xml:space="preserve">mass-transfer). </w:t>
      </w:r>
      <w:r w:rsidRPr="00A428C3">
        <w:rPr>
          <w:i/>
        </w:rPr>
        <w:t>International Journal of Environmental Analytical Chemistry</w:t>
      </w:r>
      <w:r w:rsidRPr="00A428C3">
        <w:t xml:space="preserve">, </w:t>
      </w:r>
      <w:r w:rsidRPr="00A428C3">
        <w:rPr>
          <w:b/>
        </w:rPr>
        <w:t>45</w:t>
      </w:r>
      <w:r w:rsidRPr="00A428C3">
        <w:t xml:space="preserve"> (1), 11-18.</w:t>
      </w:r>
    </w:p>
    <w:p w:rsidR="00CD1131" w:rsidRDefault="00CD1131" w:rsidP="00CD1131">
      <w:pPr>
        <w:pStyle w:val="a0"/>
      </w:pPr>
      <w:r w:rsidRPr="00F03D2F">
        <w:rPr>
          <w:kern w:val="0"/>
        </w:rPr>
        <w:t>Full Text:</w:t>
      </w:r>
      <w:r w:rsidRPr="00D7601C">
        <w:t xml:space="preserve"> </w:t>
      </w:r>
      <w:r>
        <w:rPr>
          <w:rFonts w:hint="eastAsia"/>
        </w:rPr>
        <w:t>1991</w:t>
      </w:r>
      <w:r>
        <w:t>\Int J Env Ana Che</w:t>
      </w:r>
      <w:r>
        <w:rPr>
          <w:rFonts w:hint="eastAsia"/>
        </w:rPr>
        <w:t>45</w:t>
      </w:r>
      <w:r>
        <w:t xml:space="preserve">, </w:t>
      </w:r>
      <w:r>
        <w:rPr>
          <w:rFonts w:hint="eastAsia"/>
        </w:rPr>
        <w:t>11</w:t>
      </w:r>
      <w:r w:rsidRPr="00104A74">
        <w:t>.pdf</w:t>
      </w:r>
    </w:p>
    <w:p w:rsidR="00CD1131" w:rsidRDefault="00CD1131" w:rsidP="00CD1131">
      <w:pPr>
        <w:pStyle w:val="a0"/>
      </w:pPr>
      <w:r>
        <w:t>Abstract</w:t>
      </w:r>
      <w:r>
        <w:rPr>
          <w:rFonts w:hint="eastAsia"/>
        </w:rPr>
        <w:t xml:space="preserve">: </w:t>
      </w:r>
      <w:r>
        <w:t>Removal of Cd(II) by sorption on China clay has been investigated. Removal increased from 41.0 to 80.3% by decreasing the cadmium concentration from 2.0 × 10−4 M to 0.5 × 10−4 M at pH = 6.5 and 30°C. Kinetic modelling of the process has been done using Lagergren</w:t>
      </w:r>
      <w:r w:rsidR="000352E7">
        <w:t>’</w:t>
      </w:r>
      <w:r>
        <w:t>s first-order rate equation. The rate of adsorption at pH = 6.5 and 30°C was found to be 5.0 × 10−2 min−1. The process of removal involves intraparticle diffusion. Mass transfer parameters have been calculated; the process is exothermic in nature. Studies with representative wastewater samples from plating units have also been undertaken.</w:t>
      </w:r>
    </w:p>
    <w:p w:rsidR="00CD1131" w:rsidRDefault="00CD1131" w:rsidP="00CD1131">
      <w:pPr>
        <w:pStyle w:val="a0"/>
      </w:pPr>
      <w:r>
        <w:t>Keywords</w:t>
      </w:r>
      <w:r>
        <w:rPr>
          <w:rFonts w:hint="eastAsia"/>
        </w:rPr>
        <w:t xml:space="preserve">: </w:t>
      </w:r>
      <w:r>
        <w:t>Effluents, Cd(II), Adsorption, Kinetic Modelling, Mass Transfer</w:t>
      </w:r>
    </w:p>
    <w:p w:rsidR="00B95188" w:rsidRPr="00A428C3" w:rsidRDefault="00B95188" w:rsidP="00B95188">
      <w:pPr>
        <w:pStyle w:val="a0"/>
      </w:pPr>
      <w:r w:rsidRPr="00A428C3">
        <w:t>? Demarini, D.M., Williams, R.W., Brooks, L.R.</w:t>
      </w:r>
      <w:r w:rsidR="00F81221">
        <w:t xml:space="preserve"> and </w:t>
      </w:r>
      <w:r w:rsidRPr="00A428C3">
        <w:t xml:space="preserve">Taylor, M.S. (1992), Use of cyanopropyl-bonded HPLC column for bioassay-directed fractionation of organic extracts from incinerator emissions. </w:t>
      </w:r>
      <w:r w:rsidRPr="00A428C3">
        <w:rPr>
          <w:i/>
        </w:rPr>
        <w:t>International Journal of Environmental Analytical Chemistry</w:t>
      </w:r>
      <w:r w:rsidRPr="00A428C3">
        <w:t xml:space="preserve">, </w:t>
      </w:r>
      <w:r w:rsidRPr="00A428C3">
        <w:rPr>
          <w:b/>
        </w:rPr>
        <w:t>48</w:t>
      </w:r>
      <w:r w:rsidRPr="00A428C3">
        <w:t xml:space="preserve"> (3-4), 187-199.</w:t>
      </w:r>
    </w:p>
    <w:p w:rsidR="00104A74" w:rsidRDefault="00104A74" w:rsidP="00104A74">
      <w:pPr>
        <w:pStyle w:val="a0"/>
      </w:pPr>
      <w:r w:rsidRPr="00F03D2F">
        <w:rPr>
          <w:kern w:val="0"/>
        </w:rPr>
        <w:t>Full Text:</w:t>
      </w:r>
      <w:r w:rsidRPr="00D7601C">
        <w:t xml:space="preserve"> </w:t>
      </w:r>
      <w:r>
        <w:rPr>
          <w:rFonts w:hint="eastAsia"/>
        </w:rPr>
        <w:t>1992</w:t>
      </w:r>
      <w:r>
        <w:t>\Int J Env Ana Che</w:t>
      </w:r>
      <w:r>
        <w:rPr>
          <w:rFonts w:hint="eastAsia"/>
        </w:rPr>
        <w:t>48</w:t>
      </w:r>
      <w:r>
        <w:t xml:space="preserve">, </w:t>
      </w:r>
      <w:r>
        <w:rPr>
          <w:rFonts w:hint="eastAsia"/>
        </w:rPr>
        <w:t>187</w:t>
      </w:r>
      <w:r w:rsidRPr="00104A74">
        <w:t>.pdf</w:t>
      </w:r>
    </w:p>
    <w:p w:rsidR="00CD1131" w:rsidRDefault="00CD1131" w:rsidP="00CD1131">
      <w:pPr>
        <w:pStyle w:val="a0"/>
      </w:pPr>
      <w:r>
        <w:t>Abstract</w:t>
      </w:r>
      <w:r>
        <w:rPr>
          <w:rFonts w:hint="eastAsia"/>
        </w:rPr>
        <w:t xml:space="preserve">: </w:t>
      </w:r>
      <w:r>
        <w:t xml:space="preserve">The present study has shown that cyanopropyl- (CN) bonded silica may be applicable for the fractionation by high pressure liquid chromatography (HPLC) of mass and mutagenic activity of organic extracts from some incinerator emissions. Dichloromethane-extractable organics from particles emitted by two different municipal waste incinerators and by a pilot-scale rotary kiln incinerator that was combusting polyethylene plastic were fractionated by HPLC, and the mutagenicity of the collected fractions was determined by means of a microsuspension mutagenicity assay with Salmonella TA98. The CN-bonded silica column provided high (80–100%) mass and mutagenicity recoveries for most emission extracts, and it </w:t>
      </w:r>
      <w:r>
        <w:lastRenderedPageBreak/>
        <w:t>fractionated the mutagenic activity. The results suggest that the emissions from municipal waste incinerators contain a high amount of direct-acting (-S9) mutagenic activity that is resolvable by HPLC using CN-bonded silica. Sub-fractionation of selected mutagenic HPLC fractions and subsequent analysis by gas chromatography-mass spectroscopy can be used to identify mutagenic species within complex incinerator emissions. The coupling of microsuspension bioassays to HPLC fractionation should be a useful tool for this type of analysis.</w:t>
      </w:r>
    </w:p>
    <w:p w:rsidR="00CD1131" w:rsidRDefault="00CD1131" w:rsidP="00CD1131">
      <w:pPr>
        <w:pStyle w:val="a0"/>
      </w:pPr>
      <w:r>
        <w:t>Keywords: Municipal Waste Incineration, HPLC, Complex Mixtures, Mutagrams, Mutagenicity</w:t>
      </w:r>
    </w:p>
    <w:p w:rsidR="00B95188" w:rsidRPr="00A428C3" w:rsidRDefault="00B95188" w:rsidP="00B95188">
      <w:pPr>
        <w:pStyle w:val="a0"/>
      </w:pPr>
      <w:r w:rsidRPr="00A428C3">
        <w:t xml:space="preserve">? Williams, R., Meares, J., Brooks, L., </w:t>
      </w:r>
      <w:smartTag w:uri="urn:schemas-microsoft-com:office:smarttags" w:element="place">
        <w:r w:rsidRPr="00A428C3">
          <w:t>Watts</w:t>
        </w:r>
      </w:smartTag>
      <w:r w:rsidRPr="00A428C3">
        <w:t>, R.</w:t>
      </w:r>
      <w:r w:rsidR="00F81221">
        <w:t xml:space="preserve"> and </w:t>
      </w:r>
      <w:r w:rsidRPr="00A428C3">
        <w:t>Lemieux, P. (1994), Priority pollutant PAH analysis of incinerator emission particles using hplc</w:t>
      </w:r>
      <w:r w:rsidR="00F81221">
        <w:t xml:space="preserve"> and </w:t>
      </w:r>
      <w:r w:rsidRPr="00A428C3">
        <w:t xml:space="preserve">optimized fluorescence detection. </w:t>
      </w:r>
      <w:r w:rsidRPr="00A428C3">
        <w:rPr>
          <w:i/>
        </w:rPr>
        <w:t>International Journal of Environmental Analytical Chemistry</w:t>
      </w:r>
      <w:r w:rsidRPr="00A428C3">
        <w:t xml:space="preserve">, </w:t>
      </w:r>
      <w:r w:rsidRPr="00A428C3">
        <w:rPr>
          <w:b/>
        </w:rPr>
        <w:t>54</w:t>
      </w:r>
      <w:r w:rsidRPr="00A428C3">
        <w:t xml:space="preserve"> (4), 299-314.</w:t>
      </w:r>
    </w:p>
    <w:p w:rsidR="00104A74" w:rsidRDefault="00104A74" w:rsidP="00104A74">
      <w:pPr>
        <w:pStyle w:val="a0"/>
      </w:pPr>
      <w:r w:rsidRPr="00F03D2F">
        <w:rPr>
          <w:kern w:val="0"/>
        </w:rPr>
        <w:t>Full Text:</w:t>
      </w:r>
      <w:r w:rsidRPr="00D7601C">
        <w:t xml:space="preserve"> </w:t>
      </w:r>
      <w:r>
        <w:rPr>
          <w:rFonts w:hint="eastAsia"/>
        </w:rPr>
        <w:t>1994</w:t>
      </w:r>
      <w:r>
        <w:t>\Int J Env Ana Che</w:t>
      </w:r>
      <w:r>
        <w:rPr>
          <w:rFonts w:hint="eastAsia"/>
        </w:rPr>
        <w:t>54</w:t>
      </w:r>
      <w:r>
        <w:t xml:space="preserve">, </w:t>
      </w:r>
      <w:r>
        <w:rPr>
          <w:rFonts w:hint="eastAsia"/>
        </w:rPr>
        <w:t>299</w:t>
      </w:r>
      <w:r w:rsidRPr="00104A74">
        <w:t>.pdf</w:t>
      </w:r>
    </w:p>
    <w:p w:rsidR="00104A74" w:rsidRPr="00104A74" w:rsidRDefault="00104A74" w:rsidP="00104A74">
      <w:pPr>
        <w:pStyle w:val="a0"/>
        <w:rPr>
          <w:kern w:val="0"/>
        </w:rPr>
      </w:pPr>
      <w:r w:rsidRPr="00104A74">
        <w:rPr>
          <w:kern w:val="0"/>
        </w:rPr>
        <w:t>Abstract</w:t>
      </w:r>
      <w:r>
        <w:rPr>
          <w:rFonts w:hint="eastAsia"/>
          <w:kern w:val="0"/>
        </w:rPr>
        <w:t xml:space="preserve">: </w:t>
      </w:r>
      <w:r w:rsidRPr="00104A74">
        <w:rPr>
          <w:kern w:val="0"/>
        </w:rPr>
        <w:t>The U.S. Environmental Protection Agency (EPA) has investigated particle emissions from the incineration of various waste feeds. Emission particles from the incineration of municipal, medical/pathological, plastic and mixed wastes were captured and subsequently tested for biological activity. An ion-exchange fractionation of emission extracts yielded a base/neutral subfraction that contained a large portion of the total biological activity found. This subfraction was known to contain nonpolar neutrals, such as polycyclic aromatic hydrocarbons (PAHs), some of which are known mutagens and carcinogens. A modified version of U.S. EPA Method 610 for PAHs was utilized to quantify 15 of the 16 priority pollutant PAHs found in emission particle extracts. Modification of HPLC Method 610 consisted of time-programmed excitation and emission wavelength selection for fluorescence detection and use of a PAH-specific, reverse-phase C18 LC column. Only the PAH acenaphthylene, which has a low fluorescence intensity, could not be quantified at the desired levels using optimized fluorescence detection. PAH detection limits from 0.001 to 0.07 ng/ml extract were obtained. Emission rates based upon extractable organic matter, stack gas, mass of combusted waste and heating potential were calculated for each PAH and incinerator.</w:t>
      </w:r>
    </w:p>
    <w:p w:rsidR="00104A74" w:rsidRPr="00104A74" w:rsidRDefault="00104A74" w:rsidP="00104A74">
      <w:pPr>
        <w:pStyle w:val="a0"/>
        <w:rPr>
          <w:kern w:val="0"/>
        </w:rPr>
      </w:pPr>
      <w:r>
        <w:rPr>
          <w:kern w:val="0"/>
        </w:rPr>
        <w:t>Key</w:t>
      </w:r>
      <w:r w:rsidRPr="00104A74">
        <w:rPr>
          <w:kern w:val="0"/>
        </w:rPr>
        <w:t>words</w:t>
      </w:r>
      <w:r>
        <w:rPr>
          <w:kern w:val="0"/>
        </w:rPr>
        <w:t xml:space="preserve">: </w:t>
      </w:r>
      <w:r w:rsidRPr="00104A74">
        <w:rPr>
          <w:kern w:val="0"/>
        </w:rPr>
        <w:t>Municipal Incinerators, Polycyclic Aromatic Hydrocarbons (PAHs), High Performance Liquid Chromatography, Fluorescence Detection</w:t>
      </w:r>
    </w:p>
    <w:p w:rsidR="00B95188" w:rsidRPr="00A428C3" w:rsidRDefault="00B95188" w:rsidP="00B95188">
      <w:pPr>
        <w:pStyle w:val="a0"/>
      </w:pPr>
      <w:r w:rsidRPr="00A428C3">
        <w:t>? Terreni, M., Benfenati, E., Pistotti, V.</w:t>
      </w:r>
      <w:r w:rsidR="00F81221">
        <w:t xml:space="preserve"> and </w:t>
      </w:r>
      <w:r w:rsidRPr="00A428C3">
        <w:t xml:space="preserve">Fanelli, R. (1995), A library report on the analysis of pesticides subject to investigation for the European-Communities-Commission. </w:t>
      </w:r>
      <w:r w:rsidRPr="00A428C3">
        <w:rPr>
          <w:i/>
          <w:iCs/>
        </w:rPr>
        <w:t>Archives of Physical Medicine</w:t>
      </w:r>
      <w:r w:rsidR="00F81221">
        <w:rPr>
          <w:i/>
          <w:iCs/>
        </w:rPr>
        <w:t xml:space="preserve"> and </w:t>
      </w:r>
      <w:r w:rsidRPr="00A428C3">
        <w:rPr>
          <w:i/>
          <w:iCs/>
        </w:rPr>
        <w:t>Rehabilitation</w:t>
      </w:r>
      <w:r w:rsidRPr="00A428C3">
        <w:t xml:space="preserve">, </w:t>
      </w:r>
      <w:r w:rsidRPr="00A428C3">
        <w:rPr>
          <w:b/>
        </w:rPr>
        <w:t>58</w:t>
      </w:r>
      <w:r w:rsidRPr="00A428C3">
        <w:t xml:space="preserve"> (1-4), 31-42.</w:t>
      </w:r>
    </w:p>
    <w:p w:rsidR="00104A74" w:rsidRPr="00F03D2F" w:rsidRDefault="00104A74" w:rsidP="00104A74">
      <w:pPr>
        <w:pStyle w:val="a0"/>
        <w:rPr>
          <w:kern w:val="0"/>
        </w:rPr>
      </w:pPr>
      <w:r w:rsidRPr="00F03D2F">
        <w:rPr>
          <w:kern w:val="0"/>
        </w:rPr>
        <w:t>Full Text:</w:t>
      </w:r>
      <w:r w:rsidRPr="00D7601C">
        <w:t xml:space="preserve"> </w:t>
      </w:r>
      <w:r>
        <w:rPr>
          <w:rFonts w:hint="eastAsia"/>
        </w:rPr>
        <w:t>1995</w:t>
      </w:r>
      <w:r>
        <w:t>\Int J Env Ana Che</w:t>
      </w:r>
      <w:r>
        <w:rPr>
          <w:rFonts w:hint="eastAsia"/>
        </w:rPr>
        <w:t>58</w:t>
      </w:r>
      <w:r>
        <w:t xml:space="preserve">, </w:t>
      </w:r>
      <w:r>
        <w:rPr>
          <w:rFonts w:hint="eastAsia"/>
        </w:rPr>
        <w:t>31</w:t>
      </w:r>
      <w:r w:rsidRPr="00104A74">
        <w:t>.pdf</w:t>
      </w:r>
    </w:p>
    <w:p w:rsidR="00B95188" w:rsidRPr="00A428C3" w:rsidRDefault="00B95188" w:rsidP="00B95188">
      <w:pPr>
        <w:pStyle w:val="a0"/>
      </w:pPr>
      <w:r w:rsidRPr="00A428C3">
        <w:t xml:space="preserve">Abstract: A recent Report from the Commission of the European Communities </w:t>
      </w:r>
      <w:r w:rsidRPr="00A428C3">
        <w:lastRenderedPageBreak/>
        <w:t>indicated a list of eleven Pesticides (benazolin, bromofenoxim, ethofumesate, fenamiphos, maneb, metham-sodium, oxydemetonmethyl, phenmedipham, trichlorfon, trichloroacetic acid, ziram) to be studied on an analytical point of view because of their widespread use in Europe, but which lack of suitable analytical procedures for water samples at the required limit of detection (</w:t>
      </w:r>
      <w:smartTag w:uri="urn:schemas-microsoft-com:office:smarttags" w:element="chmetcnv">
        <w:smartTagPr>
          <w:attr w:name="TCSC" w:val="0"/>
          <w:attr w:name="NumberType" w:val="1"/>
          <w:attr w:name="Negative" w:val="False"/>
          <w:attr w:name="HasSpace" w:val="False"/>
          <w:attr w:name="SourceValue" w:val="0.1"/>
          <w:attr w:name="UnitName" w:val="g"/>
        </w:smartTagPr>
        <w:r w:rsidRPr="00A428C3">
          <w:t xml:space="preserve">0.1 </w:t>
        </w:r>
      </w:smartTag>
      <w:r w:rsidRPr="00A428C3">
        <w:sym w:font="Symbol" w:char="F06D"/>
      </w:r>
      <w:r w:rsidRPr="00A428C3">
        <w:t>g/l). The present study presents the results of a library search,</w:t>
      </w:r>
      <w:r w:rsidR="00F81221">
        <w:t xml:space="preserve"> and </w:t>
      </w:r>
      <w:r w:rsidRPr="00A428C3">
        <w:t>indicates the principal procedures presented in the literature for these pesticides. Useful techniques appeared for some compounds, but for others more studies are still needed.</w:t>
      </w:r>
    </w:p>
    <w:p w:rsidR="00B95188" w:rsidRPr="00A428C3" w:rsidRDefault="00B95188" w:rsidP="00B95188">
      <w:pPr>
        <w:pStyle w:val="a0"/>
      </w:pPr>
      <w:r w:rsidRPr="00A428C3">
        <w:t>Keywords: Pesticides, Library Search, GC, HPLC, Mass Spectrometry, Water, Performance Liquid-Chromatography, Organo-Phosphorus Pesticides, Postcolumn Reaction Detection, Accommodate Megabore Columns, Capillary Gas-Chromatography, Flame Photometric Detection, Plasma Emission Detection, Mass-Spectrometry, Mobile-Phase, Environmental-Samples</w:t>
      </w:r>
    </w:p>
    <w:p w:rsidR="00B95188" w:rsidRPr="00A428C3" w:rsidRDefault="00B95188" w:rsidP="00B95188">
      <w:pPr>
        <w:pStyle w:val="a0"/>
      </w:pPr>
      <w:r w:rsidRPr="00A428C3">
        <w:t>? Wenzel, W.W.</w:t>
      </w:r>
      <w:r w:rsidR="00F81221">
        <w:t xml:space="preserve"> and </w:t>
      </w:r>
      <w:r w:rsidRPr="00A428C3">
        <w:t>Wieshammer, G. (1995), Suction cup materials</w:t>
      </w:r>
      <w:r w:rsidR="00F81221">
        <w:t xml:space="preserve"> and </w:t>
      </w:r>
      <w:r w:rsidRPr="00A428C3">
        <w:t xml:space="preserve">their potential to bias trace-metal analyses of soil solutions: A review. </w:t>
      </w:r>
      <w:r w:rsidRPr="00A428C3">
        <w:rPr>
          <w:i/>
        </w:rPr>
        <w:t>International Journal of Environmental Analytical Chemistry</w:t>
      </w:r>
      <w:r w:rsidRPr="00A428C3">
        <w:t xml:space="preserve">, </w:t>
      </w:r>
      <w:r w:rsidRPr="00A428C3">
        <w:rPr>
          <w:b/>
        </w:rPr>
        <w:t>59</w:t>
      </w:r>
      <w:r w:rsidR="00104A74">
        <w:rPr>
          <w:rFonts w:hint="eastAsia"/>
        </w:rPr>
        <w:t xml:space="preserve"> (2-4),</w:t>
      </w:r>
      <w:r w:rsidRPr="00A428C3">
        <w:t xml:space="preserve"> 277-290.</w:t>
      </w:r>
    </w:p>
    <w:p w:rsidR="00104A74" w:rsidRPr="00F03D2F" w:rsidRDefault="00104A74" w:rsidP="00104A74">
      <w:pPr>
        <w:pStyle w:val="a0"/>
        <w:rPr>
          <w:kern w:val="0"/>
        </w:rPr>
      </w:pPr>
      <w:r w:rsidRPr="00F03D2F">
        <w:rPr>
          <w:kern w:val="0"/>
        </w:rPr>
        <w:t>Full Text:</w:t>
      </w:r>
      <w:r w:rsidRPr="00D7601C">
        <w:t xml:space="preserve"> </w:t>
      </w:r>
      <w:r>
        <w:rPr>
          <w:rFonts w:hint="eastAsia"/>
        </w:rPr>
        <w:t>1995</w:t>
      </w:r>
      <w:r>
        <w:t>\Int J Env Ana Che</w:t>
      </w:r>
      <w:r>
        <w:rPr>
          <w:rFonts w:hint="eastAsia"/>
        </w:rPr>
        <w:t>59</w:t>
      </w:r>
      <w:r>
        <w:t xml:space="preserve">, </w:t>
      </w:r>
      <w:r>
        <w:rPr>
          <w:rFonts w:hint="eastAsia"/>
        </w:rPr>
        <w:t>277</w:t>
      </w:r>
      <w:r w:rsidRPr="00104A74">
        <w:t>.pdf</w:t>
      </w:r>
    </w:p>
    <w:p w:rsidR="00B95188" w:rsidRPr="00A428C3" w:rsidRDefault="00B95188" w:rsidP="00B95188">
      <w:pPr>
        <w:pStyle w:val="a0"/>
      </w:pPr>
      <w:r w:rsidRPr="00A428C3">
        <w:t>Abstract: We reviewed the effects of physical</w:t>
      </w:r>
      <w:r w:rsidR="00F81221">
        <w:t xml:space="preserve"> and </w:t>
      </w:r>
      <w:r w:rsidRPr="00A428C3">
        <w:t>chemical characteristics of filter materials on trace metal concentrations in soil solutions to evaluate their suitability for porous sections of suction cups, Among the materials described in the literature, e.g, ceramics, Al</w:t>
      </w:r>
      <w:r w:rsidRPr="00A428C3">
        <w:rPr>
          <w:vertAlign w:val="subscript"/>
        </w:rPr>
        <w:t>2</w:t>
      </w:r>
      <w:r w:rsidRPr="00A428C3">
        <w:t>O</w:t>
      </w:r>
      <w:r w:rsidRPr="00A428C3">
        <w:rPr>
          <w:vertAlign w:val="subscript"/>
        </w:rPr>
        <w:t>3</w:t>
      </w:r>
      <w:r w:rsidRPr="00A428C3">
        <w:t>, sintered Ni or glass</w:t>
      </w:r>
      <w:r w:rsidR="00F81221">
        <w:t xml:space="preserve"> and </w:t>
      </w:r>
      <w:r w:rsidRPr="00A428C3">
        <w:t>various plastic filters, a great variation in bubbling pressure, pore size, permeability, chemical composition</w:t>
      </w:r>
      <w:r w:rsidR="00F81221">
        <w:t xml:space="preserve"> and </w:t>
      </w:r>
      <w:r w:rsidRPr="00A428C3">
        <w:t>stability, CEC</w:t>
      </w:r>
      <w:r w:rsidR="00F81221">
        <w:t xml:space="preserve"> and </w:t>
      </w:r>
      <w:r w:rsidRPr="00A428C3">
        <w:t>trace metal dissolution/precipitation or adsorption/desorption processes was found. A low adsorption capacity suggests plastic materials are suitable, provided the bubbling pressure is high enough. All other materials have disadvantages in one or more properties, e.g. release of trace metal impurities into the soil solution, clogging of pores by precipitation of previously dissolved compounds, or sorption of trace metals.</w:t>
      </w:r>
    </w:p>
    <w:p w:rsidR="00B95188" w:rsidRPr="00A428C3" w:rsidRDefault="00B95188" w:rsidP="00B95188">
      <w:pPr>
        <w:pStyle w:val="a0"/>
      </w:pPr>
      <w:r w:rsidRPr="00A428C3">
        <w:t>Many reported experiments on sorption of trace metals by various materials are not relevant because of the unrealistic high metal concentrations of the test solutions. Our experiments with realistic concentrations revealed that sorption processes during the extraction may alter trace metal concentrations in soil solutions significantly.</w:t>
      </w:r>
    </w:p>
    <w:p w:rsidR="00B95188" w:rsidRPr="00A428C3" w:rsidRDefault="00B95188" w:rsidP="00B95188">
      <w:pPr>
        <w:pStyle w:val="a0"/>
      </w:pPr>
      <w:r w:rsidRPr="00A428C3">
        <w:t>Ceramic or Al</w:t>
      </w:r>
      <w:r w:rsidRPr="00A428C3">
        <w:rPr>
          <w:vertAlign w:val="subscript"/>
        </w:rPr>
        <w:t>2</w:t>
      </w:r>
      <w:r w:rsidRPr="00A428C3">
        <w:t>O</w:t>
      </w:r>
      <w:r w:rsidRPr="00A428C3">
        <w:rPr>
          <w:vertAlign w:val="subscript"/>
        </w:rPr>
        <w:t>3</w:t>
      </w:r>
      <w:r w:rsidRPr="00A428C3">
        <w:t xml:space="preserve"> cups are commonly used, but they adsorb appreciable amounts of trace metals. Therefore, we conclude that metal fluxes</w:t>
      </w:r>
      <w:r w:rsidR="00F81221">
        <w:t xml:space="preserve"> and </w:t>
      </w:r>
      <w:r w:rsidRPr="00A428C3">
        <w:t>budgets based on such data have to be interpreted with caution. To improve data comparability, detailed description of suction cup materials in the method sections of papers would be required. Moreover, more development</w:t>
      </w:r>
      <w:r w:rsidR="00F81221">
        <w:t xml:space="preserve"> and </w:t>
      </w:r>
      <w:r w:rsidRPr="00A428C3">
        <w:t>testing with plastic materials should be done, aimed at the optimization of both physical</w:t>
      </w:r>
      <w:r w:rsidR="00F81221">
        <w:t xml:space="preserve"> and </w:t>
      </w:r>
      <w:r w:rsidRPr="00A428C3">
        <w:t>chemical properties.</w:t>
      </w:r>
    </w:p>
    <w:p w:rsidR="00B95188" w:rsidRPr="00A428C3" w:rsidRDefault="00B95188" w:rsidP="00B95188">
      <w:pPr>
        <w:pStyle w:val="a0"/>
      </w:pPr>
      <w:r w:rsidRPr="00A428C3">
        <w:t xml:space="preserve">? </w:t>
      </w:r>
      <w:smartTag w:uri="urn:schemas-microsoft-com:office:smarttags" w:element="City">
        <w:r w:rsidRPr="00A428C3">
          <w:t>Soltan</w:t>
        </w:r>
      </w:smartTag>
      <w:r w:rsidRPr="00A428C3">
        <w:t xml:space="preserve">, </w:t>
      </w:r>
      <w:smartTag w:uri="urn:schemas-microsoft-com:office:smarttags" w:element="State">
        <w:r w:rsidRPr="00A428C3">
          <w:t>M.E.</w:t>
        </w:r>
      </w:smartTag>
      <w:r w:rsidRPr="00A428C3">
        <w:t>, Rashed, M.N.</w:t>
      </w:r>
      <w:r w:rsidR="00F81221">
        <w:t xml:space="preserve"> and </w:t>
      </w:r>
      <w:r w:rsidRPr="00A428C3">
        <w:t>Taha, G.M. (2001), Heavy metal levels</w:t>
      </w:r>
      <w:r w:rsidR="00F81221">
        <w:t xml:space="preserve"> and </w:t>
      </w:r>
      <w:r w:rsidRPr="00A428C3">
        <w:lastRenderedPageBreak/>
        <w:t xml:space="preserve">adsorption capacity of </w:t>
      </w:r>
      <w:smartTag w:uri="urn:schemas-microsoft-com:office:smarttags" w:element="place">
        <w:smartTag w:uri="urn:schemas-microsoft-com:office:smarttags" w:element="PlaceName">
          <w:r w:rsidRPr="00A428C3">
            <w:t>Nile</w:t>
          </w:r>
        </w:smartTag>
        <w:r w:rsidRPr="00A428C3">
          <w:t xml:space="preserve"> </w:t>
        </w:r>
        <w:smartTag w:uri="urn:schemas-microsoft-com:office:smarttags" w:element="PlaceType">
          <w:r w:rsidRPr="00A428C3">
            <w:t>River</w:t>
          </w:r>
        </w:smartTag>
      </w:smartTag>
      <w:r w:rsidRPr="00A428C3">
        <w:t xml:space="preserve"> sediments. </w:t>
      </w:r>
      <w:r w:rsidRPr="00A428C3">
        <w:rPr>
          <w:i/>
          <w:iCs/>
        </w:rPr>
        <w:t>International Journal of Environmental Analytical Chemistry</w:t>
      </w:r>
      <w:r w:rsidRPr="00A428C3">
        <w:t xml:space="preserve">, </w:t>
      </w:r>
      <w:r w:rsidRPr="00A428C3">
        <w:rPr>
          <w:b/>
        </w:rPr>
        <w:t>80</w:t>
      </w:r>
      <w:r w:rsidRPr="00A428C3">
        <w:t xml:space="preserve"> (3), 167-186.</w:t>
      </w:r>
    </w:p>
    <w:p w:rsidR="00104A74" w:rsidRPr="00F03D2F" w:rsidRDefault="00104A74" w:rsidP="00104A74">
      <w:pPr>
        <w:pStyle w:val="a0"/>
        <w:rPr>
          <w:kern w:val="0"/>
        </w:rPr>
      </w:pPr>
      <w:r w:rsidRPr="00F03D2F">
        <w:rPr>
          <w:kern w:val="0"/>
        </w:rPr>
        <w:t>Full Text:</w:t>
      </w:r>
      <w:r w:rsidRPr="00D7601C">
        <w:t xml:space="preserve"> </w:t>
      </w:r>
      <w:hyperlink r:id="rId1795" w:history="1">
        <w:r w:rsidRPr="00104A74">
          <w:rPr>
            <w:rStyle w:val="a5"/>
          </w:rPr>
          <w:t>2001\Int J Env Ana Che80, 167.pdf</w:t>
        </w:r>
      </w:hyperlink>
    </w:p>
    <w:p w:rsidR="00B95188" w:rsidRPr="00A428C3" w:rsidRDefault="00B95188" w:rsidP="00B95188">
      <w:pPr>
        <w:pStyle w:val="a0"/>
      </w:pPr>
      <w:r w:rsidRPr="00A428C3">
        <w:t>Abstract: Determination for organic carbon</w:t>
      </w:r>
      <w:r w:rsidR="00F81221">
        <w:t xml:space="preserve"> and </w:t>
      </w:r>
      <w:r w:rsidRPr="00A428C3">
        <w:t>analyses of Cd, Cu, Mn, Pb</w:t>
      </w:r>
      <w:r w:rsidR="00F81221">
        <w:t xml:space="preserve"> and </w:t>
      </w:r>
      <w:r w:rsidRPr="00A428C3">
        <w:t>Zn were carried out on extractions (exchangeable</w:t>
      </w:r>
      <w:r w:rsidR="00F81221">
        <w:t xml:space="preserve"> and </w:t>
      </w:r>
      <w:r w:rsidRPr="00A428C3">
        <w:t xml:space="preserve">residual phases) of the fraction smaller than 63 mum of </w:t>
      </w:r>
      <w:smartTag w:uri="urn:schemas-microsoft-com:office:smarttags" w:element="place">
        <w:r w:rsidRPr="00A428C3">
          <w:t>Nile</w:t>
        </w:r>
      </w:smartTag>
      <w:r w:rsidRPr="00A428C3">
        <w:t xml:space="preserve"> sediment samples. Also, the fraction sediment samples were treated by synthetic solutions of metals with different concentrations. According to the index of geoaccumulation, the sediment samples are unpolluted by Mn, Cu</w:t>
      </w:r>
      <w:r w:rsidR="00F81221">
        <w:t xml:space="preserve"> and </w:t>
      </w:r>
      <w:r w:rsidRPr="00A428C3">
        <w:t>Zn, but they have high accumulation of Cd</w:t>
      </w:r>
      <w:r w:rsidR="00F81221">
        <w:t xml:space="preserve"> and </w:t>
      </w:r>
      <w:r w:rsidRPr="00A428C3">
        <w:t>Ph. The elevated concentrations of Cd</w:t>
      </w:r>
      <w:r w:rsidR="00F81221">
        <w:t xml:space="preserve"> and </w:t>
      </w:r>
      <w:r w:rsidRPr="00A428C3">
        <w:t>Pb can be attributed to lithogenic origin</w:t>
      </w:r>
      <w:r w:rsidR="00F81221">
        <w:t xml:space="preserve"> and </w:t>
      </w:r>
      <w:r w:rsidRPr="00A428C3">
        <w:t>anthropogenic sources (manufactures of metal alloys, batteries,</w:t>
      </w:r>
      <w:r w:rsidR="00F81221">
        <w:t xml:space="preserve"> and </w:t>
      </w:r>
      <w:r w:rsidRPr="00A428C3">
        <w:t>plastics; fertilizers</w:t>
      </w:r>
      <w:r w:rsidR="00F81221">
        <w:t xml:space="preserve"> and </w:t>
      </w:r>
      <w:r w:rsidRPr="00A428C3">
        <w:t>pesticides;</w:t>
      </w:r>
      <w:r w:rsidR="00F81221">
        <w:t xml:space="preserve"> and </w:t>
      </w:r>
      <w:r w:rsidRPr="00A428C3">
        <w:t xml:space="preserve">corrosion of galvanized materials). The adsorption data suggests that the pH is the important factor in the control of metal ions adsorption onto the bed sediments. </w:t>
      </w:r>
      <w:smartTag w:uri="urn:schemas-microsoft-com:office:smarttags" w:element="place">
        <w:r w:rsidRPr="00A428C3">
          <w:t>Nile</w:t>
        </w:r>
      </w:smartTag>
      <w:r w:rsidRPr="00A428C3">
        <w:t xml:space="preserve"> sediments exhibited high capacity for sorption of heavy metals, especially Pb</w:t>
      </w:r>
      <w:r w:rsidR="00F81221">
        <w:t xml:space="preserve"> and </w:t>
      </w:r>
      <w:r w:rsidRPr="00A428C3">
        <w:t>Cd followed by Zn, Cd,</w:t>
      </w:r>
      <w:r w:rsidR="00F81221">
        <w:t xml:space="preserve"> and </w:t>
      </w:r>
      <w:r w:rsidRPr="00A428C3">
        <w:t xml:space="preserve">Mn. The adsorption of metal ions on </w:t>
      </w:r>
      <w:smartTag w:uri="urn:schemas-microsoft-com:office:smarttags" w:element="place">
        <w:r w:rsidRPr="00A428C3">
          <w:t>Nile</w:t>
        </w:r>
      </w:smartTag>
      <w:r w:rsidRPr="00A428C3">
        <w:t xml:space="preserve"> sediments follows the Langmuir</w:t>
      </w:r>
      <w:r w:rsidR="00F81221">
        <w:t xml:space="preserve"> and </w:t>
      </w:r>
      <w:r w:rsidRPr="00A428C3">
        <w:t>Freundlich isotherm models. Statistical analysis was applied to the results</w:t>
      </w:r>
      <w:r w:rsidR="00F81221">
        <w:t xml:space="preserve"> and </w:t>
      </w:r>
      <w:r w:rsidRPr="00A428C3">
        <w:t>exhibited good</w:t>
      </w:r>
      <w:r w:rsidR="00F81221">
        <w:t xml:space="preserve"> and </w:t>
      </w:r>
      <w:r w:rsidRPr="00A428C3">
        <w:t>interesting relationships.</w:t>
      </w:r>
    </w:p>
    <w:p w:rsidR="00B95188" w:rsidRPr="00A428C3" w:rsidRDefault="00B95188" w:rsidP="00B95188">
      <w:pPr>
        <w:pStyle w:val="a0"/>
      </w:pPr>
      <w:r w:rsidRPr="00A428C3">
        <w:t>Keywords: Heavy Metals, Sediment, Pollution, Adsorption, River Nile, Soil Sorption, pH, Complexation, Cadmium, Calcium, Iron</w:t>
      </w:r>
    </w:p>
    <w:p w:rsidR="006F5C35" w:rsidRDefault="006F5C35" w:rsidP="006F5C35">
      <w:pPr>
        <w:pStyle w:val="a0"/>
        <w:rPr>
          <w:kern w:val="0"/>
        </w:rPr>
      </w:pPr>
      <w:r w:rsidRPr="002D0E04">
        <w:rPr>
          <w:kern w:val="0"/>
        </w:rPr>
        <w:t>? Andrades</w:t>
      </w:r>
      <w:r>
        <w:rPr>
          <w:kern w:val="0"/>
        </w:rPr>
        <w:t xml:space="preserve">, </w:t>
      </w:r>
      <w:r w:rsidRPr="002D0E04">
        <w:rPr>
          <w:kern w:val="0"/>
        </w:rPr>
        <w:t>M.S.</w:t>
      </w:r>
      <w:r>
        <w:rPr>
          <w:kern w:val="0"/>
        </w:rPr>
        <w:t xml:space="preserve">, </w:t>
      </w:r>
      <w:r w:rsidRPr="002D0E04">
        <w:rPr>
          <w:kern w:val="0"/>
        </w:rPr>
        <w:t>Rodriguez-Cruz</w:t>
      </w:r>
      <w:r>
        <w:rPr>
          <w:kern w:val="0"/>
        </w:rPr>
        <w:t xml:space="preserve">, </w:t>
      </w:r>
      <w:r w:rsidRPr="002D0E04">
        <w:rPr>
          <w:kern w:val="0"/>
        </w:rPr>
        <w:t>M.S.</w:t>
      </w:r>
      <w:r>
        <w:rPr>
          <w:kern w:val="0"/>
        </w:rPr>
        <w:t xml:space="preserve">, </w:t>
      </w:r>
      <w:r w:rsidRPr="002D0E04">
        <w:rPr>
          <w:kern w:val="0"/>
        </w:rPr>
        <w:t>Sanchez-Martin</w:t>
      </w:r>
      <w:r>
        <w:rPr>
          <w:kern w:val="0"/>
        </w:rPr>
        <w:t xml:space="preserve">, </w:t>
      </w:r>
      <w:r w:rsidRPr="002D0E04">
        <w:rPr>
          <w:kern w:val="0"/>
        </w:rPr>
        <w:t>M.J.</w:t>
      </w:r>
      <w:r>
        <w:rPr>
          <w:kern w:val="0"/>
        </w:rPr>
        <w:t xml:space="preserve"> and </w:t>
      </w:r>
      <w:r w:rsidRPr="002D0E04">
        <w:rPr>
          <w:kern w:val="0"/>
        </w:rPr>
        <w:t>Sanchez-Camazano</w:t>
      </w:r>
      <w:r>
        <w:rPr>
          <w:kern w:val="0"/>
        </w:rPr>
        <w:t xml:space="preserve">, </w:t>
      </w:r>
      <w:r w:rsidRPr="002D0E04">
        <w:rPr>
          <w:kern w:val="0"/>
        </w:rPr>
        <w:t>M. (2004)</w:t>
      </w:r>
      <w:r>
        <w:rPr>
          <w:kern w:val="0"/>
        </w:rPr>
        <w:t xml:space="preserve">, </w:t>
      </w:r>
      <w:r w:rsidRPr="002D0E04">
        <w:rPr>
          <w:kern w:val="0"/>
        </w:rPr>
        <w:t xml:space="preserve">Effect of the modification of natural clay minerals with hexadecylpyridinium cation on the adsorption-desorption of fungicides. </w:t>
      </w:r>
      <w:r w:rsidRPr="002D0E04">
        <w:rPr>
          <w:i/>
          <w:iCs/>
          <w:kern w:val="0"/>
        </w:rPr>
        <w:t>International Journal of Environmental Analytical Chemistry</w:t>
      </w:r>
      <w:r>
        <w:rPr>
          <w:kern w:val="0"/>
        </w:rPr>
        <w:t xml:space="preserve">, </w:t>
      </w:r>
      <w:r w:rsidRPr="002D0E04">
        <w:rPr>
          <w:b/>
          <w:bCs/>
          <w:kern w:val="0"/>
        </w:rPr>
        <w:t>84</w:t>
      </w:r>
      <w:r w:rsidRPr="002D0E04">
        <w:rPr>
          <w:kern w:val="0"/>
        </w:rPr>
        <w:t xml:space="preserve"> (1-3)</w:t>
      </w:r>
      <w:r>
        <w:rPr>
          <w:kern w:val="0"/>
        </w:rPr>
        <w:t xml:space="preserve">, </w:t>
      </w:r>
      <w:r w:rsidRPr="002D0E04">
        <w:rPr>
          <w:kern w:val="0"/>
        </w:rPr>
        <w:t>133-141.</w:t>
      </w:r>
    </w:p>
    <w:p w:rsidR="006F5C35" w:rsidRPr="002D0E04" w:rsidRDefault="006F5C35" w:rsidP="006F5C35">
      <w:pPr>
        <w:pStyle w:val="a0"/>
        <w:rPr>
          <w:kern w:val="0"/>
        </w:rPr>
      </w:pPr>
      <w:r>
        <w:rPr>
          <w:rFonts w:hint="eastAsia"/>
          <w:kern w:val="0"/>
        </w:rPr>
        <w:t xml:space="preserve">Full Text: </w:t>
      </w:r>
      <w:hyperlink r:id="rId1796" w:history="1">
        <w:r w:rsidRPr="006F5C35">
          <w:rPr>
            <w:rStyle w:val="a5"/>
            <w:kern w:val="0"/>
          </w:rPr>
          <w:t>2004\Int J Env Ana Che84, 133.pdf</w:t>
        </w:r>
      </w:hyperlink>
    </w:p>
    <w:p w:rsidR="006F5C35" w:rsidRPr="002D0E04" w:rsidRDefault="006F5C35" w:rsidP="006F5C35">
      <w:pPr>
        <w:pStyle w:val="a0"/>
        <w:rPr>
          <w:kern w:val="0"/>
        </w:rPr>
      </w:pPr>
      <w:r w:rsidRPr="002D0E04">
        <w:rPr>
          <w:kern w:val="0"/>
        </w:rPr>
        <w:t>Abstract: Clay minerals</w:t>
      </w:r>
      <w:r>
        <w:rPr>
          <w:kern w:val="0"/>
        </w:rPr>
        <w:t xml:space="preserve">, </w:t>
      </w:r>
      <w:r w:rsidRPr="002D0E04">
        <w:rPr>
          <w:kern w:val="0"/>
        </w:rPr>
        <w:t>montmorillonite (M)</w:t>
      </w:r>
      <w:r>
        <w:rPr>
          <w:kern w:val="0"/>
        </w:rPr>
        <w:t xml:space="preserve">, </w:t>
      </w:r>
      <w:r w:rsidRPr="002D0E04">
        <w:rPr>
          <w:kern w:val="0"/>
        </w:rPr>
        <w:t>illite (I)</w:t>
      </w:r>
      <w:r>
        <w:rPr>
          <w:kern w:val="0"/>
        </w:rPr>
        <w:t xml:space="preserve">, </w:t>
      </w:r>
      <w:r w:rsidRPr="002D0E04">
        <w:rPr>
          <w:kern w:val="0"/>
        </w:rPr>
        <w:t>kaolinite (K)</w:t>
      </w:r>
      <w:r>
        <w:rPr>
          <w:kern w:val="0"/>
        </w:rPr>
        <w:t xml:space="preserve">, </w:t>
      </w:r>
      <w:r w:rsidRPr="002D0E04">
        <w:rPr>
          <w:kern w:val="0"/>
        </w:rPr>
        <w:t>muscovite (Mu)</w:t>
      </w:r>
      <w:r>
        <w:rPr>
          <w:kern w:val="0"/>
        </w:rPr>
        <w:t xml:space="preserve">, </w:t>
      </w:r>
      <w:r w:rsidRPr="002D0E04">
        <w:rPr>
          <w:kern w:val="0"/>
        </w:rPr>
        <w:t>sepiolite (S)</w:t>
      </w:r>
      <w:r>
        <w:rPr>
          <w:kern w:val="0"/>
        </w:rPr>
        <w:t xml:space="preserve"> and </w:t>
      </w:r>
      <w:r w:rsidRPr="002D0E04">
        <w:rPr>
          <w:kern w:val="0"/>
        </w:rPr>
        <w:t>atapulgite (A)</w:t>
      </w:r>
      <w:r>
        <w:rPr>
          <w:kern w:val="0"/>
        </w:rPr>
        <w:t xml:space="preserve">, </w:t>
      </w:r>
      <w:r w:rsidRPr="002D0E04">
        <w:rPr>
          <w:kern w:val="0"/>
        </w:rPr>
        <w:t>modified with the organic cation hexadecylpyridinium (HDPY) were studied as sorbents of two fungicides of different hydrophobicity</w:t>
      </w:r>
      <w:r>
        <w:rPr>
          <w:kern w:val="0"/>
        </w:rPr>
        <w:t xml:space="preserve">, </w:t>
      </w:r>
      <w:r w:rsidRPr="002D0E04">
        <w:rPr>
          <w:kern w:val="0"/>
        </w:rPr>
        <w:t>penconazole</w:t>
      </w:r>
      <w:r>
        <w:rPr>
          <w:kern w:val="0"/>
        </w:rPr>
        <w:t xml:space="preserve"> and </w:t>
      </w:r>
      <w:r w:rsidRPr="002D0E04">
        <w:rPr>
          <w:kern w:val="0"/>
        </w:rPr>
        <w:t>metalaxyl</w:t>
      </w:r>
      <w:r>
        <w:rPr>
          <w:kern w:val="0"/>
        </w:rPr>
        <w:t xml:space="preserve">, </w:t>
      </w:r>
      <w:r w:rsidRPr="002D0E04">
        <w:rPr>
          <w:kern w:val="0"/>
        </w:rPr>
        <w:t>using adsorption-desorption isotherms. The Freundlich constant values were low for the adsorption of the fungicides by natural clays</w:t>
      </w:r>
      <w:r>
        <w:rPr>
          <w:kern w:val="0"/>
        </w:rPr>
        <w:t xml:space="preserve"> and </w:t>
      </w:r>
      <w:r w:rsidRPr="002D0E04">
        <w:rPr>
          <w:kern w:val="0"/>
        </w:rPr>
        <w:t>increased when the minerals were saturated with the organic cation. In HDPY-M</w:t>
      </w:r>
      <w:r>
        <w:rPr>
          <w:kern w:val="0"/>
        </w:rPr>
        <w:t xml:space="preserve">, </w:t>
      </w:r>
      <w:r w:rsidRPr="002D0E04">
        <w:rPr>
          <w:kern w:val="0"/>
        </w:rPr>
        <w:t>the K f constant increased 190-fold for the adsorption of penconazole</w:t>
      </w:r>
      <w:r>
        <w:rPr>
          <w:kern w:val="0"/>
        </w:rPr>
        <w:t xml:space="preserve"> and </w:t>
      </w:r>
      <w:r w:rsidRPr="002D0E04">
        <w:rPr>
          <w:kern w:val="0"/>
        </w:rPr>
        <w:t>67-fold for the adsorption of metalaxyl. Adsorption of the fungicides by the organo-clays at an initial concentration of 25 mug/mL was related to their organic matter content</w:t>
      </w:r>
      <w:r>
        <w:rPr>
          <w:kern w:val="0"/>
        </w:rPr>
        <w:t xml:space="preserve">, </w:t>
      </w:r>
      <w:r w:rsidRPr="002D0E04">
        <w:rPr>
          <w:kern w:val="0"/>
        </w:rPr>
        <w:t>the highest adsorption values being found in HDPY-M</w:t>
      </w:r>
      <w:r>
        <w:rPr>
          <w:kern w:val="0"/>
        </w:rPr>
        <w:t xml:space="preserve">, </w:t>
      </w:r>
      <w:r w:rsidRPr="002D0E04">
        <w:rPr>
          <w:kern w:val="0"/>
        </w:rPr>
        <w:t>HDPY-I</w:t>
      </w:r>
      <w:r>
        <w:rPr>
          <w:kern w:val="0"/>
        </w:rPr>
        <w:t xml:space="preserve"> and </w:t>
      </w:r>
      <w:r w:rsidRPr="002D0E04">
        <w:rPr>
          <w:kern w:val="0"/>
        </w:rPr>
        <w:t>HDPY-A</w:t>
      </w:r>
      <w:r>
        <w:rPr>
          <w:kern w:val="0"/>
        </w:rPr>
        <w:t xml:space="preserve">, and </w:t>
      </w:r>
      <w:r w:rsidRPr="002D0E04">
        <w:rPr>
          <w:kern w:val="0"/>
        </w:rPr>
        <w:t>the increase in adsorption was greatest for the more hydrophobic fungicide penconazole. Desorption of fungicides from modified clays pointed to a high degree of stability for penconazole adsorbed by HDPY-M. In the remaining samples</w:t>
      </w:r>
      <w:r>
        <w:rPr>
          <w:kern w:val="0"/>
        </w:rPr>
        <w:t xml:space="preserve">, </w:t>
      </w:r>
      <w:r w:rsidRPr="002D0E04">
        <w:rPr>
          <w:kern w:val="0"/>
        </w:rPr>
        <w:t>the stability of this pesticide was low</w:t>
      </w:r>
      <w:r>
        <w:rPr>
          <w:kern w:val="0"/>
        </w:rPr>
        <w:t xml:space="preserve"> and </w:t>
      </w:r>
      <w:r w:rsidRPr="002D0E04">
        <w:rPr>
          <w:kern w:val="0"/>
        </w:rPr>
        <w:t xml:space="preserve">the stability of metalaxyl adsorbed by all the organo-clays was also low. The results obtained point to the </w:t>
      </w:r>
      <w:r w:rsidRPr="002D0E04">
        <w:rPr>
          <w:kern w:val="0"/>
        </w:rPr>
        <w:lastRenderedPageBreak/>
        <w:t>potential value of clay minerals modified with HDPY for immobilising pesticides with different degrees of hydrophobicity. Of special interest is the HDPY-M sample</w:t>
      </w:r>
      <w:r>
        <w:rPr>
          <w:kern w:val="0"/>
        </w:rPr>
        <w:t xml:space="preserve">, </w:t>
      </w:r>
      <w:r w:rsidRPr="002D0E04">
        <w:rPr>
          <w:kern w:val="0"/>
        </w:rPr>
        <w:t>which could be considered for use in clay barriers aimed at protection of soil</w:t>
      </w:r>
      <w:r>
        <w:rPr>
          <w:kern w:val="0"/>
        </w:rPr>
        <w:t xml:space="preserve"> and </w:t>
      </w:r>
      <w:r w:rsidRPr="002D0E04">
        <w:rPr>
          <w:kern w:val="0"/>
        </w:rPr>
        <w:t>water pollution by hydrophobic pesticides.</w:t>
      </w:r>
    </w:p>
    <w:p w:rsidR="006F5C35" w:rsidRPr="002D0E04" w:rsidRDefault="006F5C35" w:rsidP="006F5C35">
      <w:pPr>
        <w:pStyle w:val="a0"/>
        <w:rPr>
          <w:kern w:val="0"/>
        </w:rPr>
      </w:pPr>
      <w:r w:rsidRPr="002D0E04">
        <w:rPr>
          <w:kern w:val="0"/>
        </w:rPr>
        <w:t>Keywords: Adsorbents</w:t>
      </w:r>
      <w:r>
        <w:rPr>
          <w:kern w:val="0"/>
        </w:rPr>
        <w:t xml:space="preserve">, </w:t>
      </w:r>
      <w:r w:rsidRPr="002D0E04">
        <w:rPr>
          <w:kern w:val="0"/>
        </w:rPr>
        <w:t>Adsorption</w:t>
      </w:r>
      <w:r>
        <w:rPr>
          <w:kern w:val="0"/>
        </w:rPr>
        <w:t xml:space="preserve">, </w:t>
      </w:r>
      <w:r w:rsidRPr="002D0E04">
        <w:rPr>
          <w:kern w:val="0"/>
        </w:rPr>
        <w:t>Adsorption-Desorption</w:t>
      </w:r>
      <w:r>
        <w:rPr>
          <w:kern w:val="0"/>
        </w:rPr>
        <w:t xml:space="preserve">, </w:t>
      </w:r>
      <w:r w:rsidRPr="002D0E04">
        <w:rPr>
          <w:kern w:val="0"/>
        </w:rPr>
        <w:t>Barriers</w:t>
      </w:r>
      <w:r>
        <w:rPr>
          <w:kern w:val="0"/>
        </w:rPr>
        <w:t xml:space="preserve">, </w:t>
      </w:r>
      <w:r w:rsidRPr="002D0E04">
        <w:rPr>
          <w:kern w:val="0"/>
        </w:rPr>
        <w:t>Benzene</w:t>
      </w:r>
      <w:r>
        <w:rPr>
          <w:kern w:val="0"/>
        </w:rPr>
        <w:t xml:space="preserve">, </w:t>
      </w:r>
      <w:r w:rsidRPr="002D0E04">
        <w:rPr>
          <w:kern w:val="0"/>
        </w:rPr>
        <w:t>Clay</w:t>
      </w:r>
      <w:r>
        <w:rPr>
          <w:kern w:val="0"/>
        </w:rPr>
        <w:t xml:space="preserve">, </w:t>
      </w:r>
      <w:r w:rsidRPr="002D0E04">
        <w:rPr>
          <w:kern w:val="0"/>
        </w:rPr>
        <w:t>Clay Minerals</w:t>
      </w:r>
      <w:r>
        <w:rPr>
          <w:kern w:val="0"/>
        </w:rPr>
        <w:t xml:space="preserve">, </w:t>
      </w:r>
      <w:r w:rsidRPr="002D0E04">
        <w:rPr>
          <w:kern w:val="0"/>
        </w:rPr>
        <w:t>Concentration</w:t>
      </w:r>
      <w:r>
        <w:rPr>
          <w:kern w:val="0"/>
        </w:rPr>
        <w:t xml:space="preserve">, </w:t>
      </w:r>
      <w:r w:rsidRPr="002D0E04">
        <w:rPr>
          <w:kern w:val="0"/>
        </w:rPr>
        <w:t>Desorption</w:t>
      </w:r>
      <w:r>
        <w:rPr>
          <w:kern w:val="0"/>
        </w:rPr>
        <w:t xml:space="preserve">, </w:t>
      </w:r>
      <w:r w:rsidRPr="002D0E04">
        <w:rPr>
          <w:kern w:val="0"/>
        </w:rPr>
        <w:t>Fungicide</w:t>
      </w:r>
      <w:r>
        <w:rPr>
          <w:kern w:val="0"/>
        </w:rPr>
        <w:t xml:space="preserve">, </w:t>
      </w:r>
      <w:r w:rsidRPr="002D0E04">
        <w:rPr>
          <w:kern w:val="0"/>
        </w:rPr>
        <w:t>Hexadecylpyridinium</w:t>
      </w:r>
      <w:r>
        <w:rPr>
          <w:kern w:val="0"/>
        </w:rPr>
        <w:t xml:space="preserve">, </w:t>
      </w:r>
      <w:r w:rsidRPr="002D0E04">
        <w:rPr>
          <w:kern w:val="0"/>
        </w:rPr>
        <w:t>Hydrophobicity</w:t>
      </w:r>
      <w:r>
        <w:rPr>
          <w:kern w:val="0"/>
        </w:rPr>
        <w:t xml:space="preserve">, </w:t>
      </w:r>
      <w:r w:rsidRPr="002D0E04">
        <w:rPr>
          <w:kern w:val="0"/>
        </w:rPr>
        <w:t>Isotherms</w:t>
      </w:r>
      <w:r>
        <w:rPr>
          <w:kern w:val="0"/>
        </w:rPr>
        <w:t xml:space="preserve">, </w:t>
      </w:r>
      <w:r w:rsidRPr="002D0E04">
        <w:rPr>
          <w:kern w:val="0"/>
        </w:rPr>
        <w:t>Matter</w:t>
      </w:r>
      <w:r>
        <w:rPr>
          <w:kern w:val="0"/>
        </w:rPr>
        <w:t xml:space="preserve">, </w:t>
      </w:r>
      <w:r w:rsidRPr="002D0E04">
        <w:rPr>
          <w:kern w:val="0"/>
        </w:rPr>
        <w:t>Metalaxyl</w:t>
      </w:r>
      <w:r>
        <w:rPr>
          <w:kern w:val="0"/>
        </w:rPr>
        <w:t xml:space="preserve">, </w:t>
      </w:r>
      <w:r w:rsidRPr="002D0E04">
        <w:rPr>
          <w:kern w:val="0"/>
        </w:rPr>
        <w:t>Mobility</w:t>
      </w:r>
      <w:r>
        <w:rPr>
          <w:kern w:val="0"/>
        </w:rPr>
        <w:t xml:space="preserve">, </w:t>
      </w:r>
      <w:r w:rsidRPr="002D0E04">
        <w:rPr>
          <w:kern w:val="0"/>
        </w:rPr>
        <w:t>Modification</w:t>
      </w:r>
      <w:r>
        <w:rPr>
          <w:kern w:val="0"/>
        </w:rPr>
        <w:t xml:space="preserve">, </w:t>
      </w:r>
      <w:r w:rsidRPr="002D0E04">
        <w:rPr>
          <w:kern w:val="0"/>
        </w:rPr>
        <w:t>Modified</w:t>
      </w:r>
      <w:r>
        <w:rPr>
          <w:kern w:val="0"/>
        </w:rPr>
        <w:t xml:space="preserve">, </w:t>
      </w:r>
      <w:r w:rsidRPr="002D0E04">
        <w:rPr>
          <w:kern w:val="0"/>
        </w:rPr>
        <w:t>Montmorillonite</w:t>
      </w:r>
      <w:r>
        <w:rPr>
          <w:kern w:val="0"/>
        </w:rPr>
        <w:t xml:space="preserve">, </w:t>
      </w:r>
      <w:r w:rsidRPr="002D0E04">
        <w:rPr>
          <w:kern w:val="0"/>
        </w:rPr>
        <w:t>Natural</w:t>
      </w:r>
      <w:r>
        <w:rPr>
          <w:kern w:val="0"/>
        </w:rPr>
        <w:t xml:space="preserve">, </w:t>
      </w:r>
      <w:r w:rsidRPr="002D0E04">
        <w:rPr>
          <w:kern w:val="0"/>
        </w:rPr>
        <w:t>Organic</w:t>
      </w:r>
      <w:r>
        <w:rPr>
          <w:kern w:val="0"/>
        </w:rPr>
        <w:t xml:space="preserve">, </w:t>
      </w:r>
      <w:r w:rsidRPr="002D0E04">
        <w:rPr>
          <w:kern w:val="0"/>
        </w:rPr>
        <w:t>Organic Matter</w:t>
      </w:r>
      <w:r>
        <w:rPr>
          <w:kern w:val="0"/>
        </w:rPr>
        <w:t xml:space="preserve">, </w:t>
      </w:r>
      <w:r w:rsidRPr="002D0E04">
        <w:rPr>
          <w:kern w:val="0"/>
        </w:rPr>
        <w:t>Organo-Clays</w:t>
      </w:r>
      <w:r>
        <w:rPr>
          <w:kern w:val="0"/>
        </w:rPr>
        <w:t xml:space="preserve">, </w:t>
      </w:r>
      <w:r w:rsidRPr="002D0E04">
        <w:rPr>
          <w:kern w:val="0"/>
        </w:rPr>
        <w:t>Organoclays</w:t>
      </w:r>
      <w:r>
        <w:rPr>
          <w:kern w:val="0"/>
        </w:rPr>
        <w:t xml:space="preserve">, </w:t>
      </w:r>
      <w:r w:rsidRPr="002D0E04">
        <w:rPr>
          <w:kern w:val="0"/>
        </w:rPr>
        <w:t>Penconazole</w:t>
      </w:r>
      <w:r>
        <w:rPr>
          <w:kern w:val="0"/>
        </w:rPr>
        <w:t xml:space="preserve">, </w:t>
      </w:r>
      <w:r w:rsidRPr="002D0E04">
        <w:rPr>
          <w:kern w:val="0"/>
        </w:rPr>
        <w:t>Pesticide</w:t>
      </w:r>
      <w:r>
        <w:rPr>
          <w:kern w:val="0"/>
        </w:rPr>
        <w:t xml:space="preserve">, </w:t>
      </w:r>
      <w:r w:rsidRPr="002D0E04">
        <w:rPr>
          <w:kern w:val="0"/>
        </w:rPr>
        <w:t>Pesticides</w:t>
      </w:r>
      <w:r>
        <w:rPr>
          <w:kern w:val="0"/>
        </w:rPr>
        <w:t xml:space="preserve">, </w:t>
      </w:r>
      <w:r w:rsidRPr="002D0E04">
        <w:rPr>
          <w:kern w:val="0"/>
        </w:rPr>
        <w:t>Pollution</w:t>
      </w:r>
      <w:r>
        <w:rPr>
          <w:kern w:val="0"/>
        </w:rPr>
        <w:t xml:space="preserve">, </w:t>
      </w:r>
      <w:r w:rsidRPr="002D0E04">
        <w:rPr>
          <w:kern w:val="0"/>
        </w:rPr>
        <w:t>Protection</w:t>
      </w:r>
      <w:r>
        <w:rPr>
          <w:kern w:val="0"/>
        </w:rPr>
        <w:t xml:space="preserve">, </w:t>
      </w:r>
      <w:r w:rsidRPr="002D0E04">
        <w:rPr>
          <w:kern w:val="0"/>
        </w:rPr>
        <w:t>Sepiolite</w:t>
      </w:r>
      <w:r>
        <w:rPr>
          <w:kern w:val="0"/>
        </w:rPr>
        <w:t xml:space="preserve">, </w:t>
      </w:r>
      <w:r w:rsidRPr="002D0E04">
        <w:rPr>
          <w:kern w:val="0"/>
        </w:rPr>
        <w:t>Smectites</w:t>
      </w:r>
      <w:r>
        <w:rPr>
          <w:kern w:val="0"/>
        </w:rPr>
        <w:t xml:space="preserve">, </w:t>
      </w:r>
      <w:r w:rsidRPr="002D0E04">
        <w:rPr>
          <w:kern w:val="0"/>
        </w:rPr>
        <w:t>Soil</w:t>
      </w:r>
      <w:r>
        <w:rPr>
          <w:kern w:val="0"/>
        </w:rPr>
        <w:t xml:space="preserve">, </w:t>
      </w:r>
      <w:r w:rsidRPr="002D0E04">
        <w:rPr>
          <w:kern w:val="0"/>
        </w:rPr>
        <w:t>Soil Properties</w:t>
      </w:r>
      <w:r>
        <w:rPr>
          <w:kern w:val="0"/>
        </w:rPr>
        <w:t xml:space="preserve">, </w:t>
      </w:r>
      <w:r w:rsidRPr="002D0E04">
        <w:rPr>
          <w:kern w:val="0"/>
        </w:rPr>
        <w:t>Sorption</w:t>
      </w:r>
      <w:r>
        <w:rPr>
          <w:kern w:val="0"/>
        </w:rPr>
        <w:t xml:space="preserve">, </w:t>
      </w:r>
      <w:r w:rsidRPr="002D0E04">
        <w:rPr>
          <w:kern w:val="0"/>
        </w:rPr>
        <w:t>Stability</w:t>
      </w:r>
      <w:r>
        <w:rPr>
          <w:kern w:val="0"/>
        </w:rPr>
        <w:t xml:space="preserve">, </w:t>
      </w:r>
      <w:r w:rsidRPr="002D0E04">
        <w:rPr>
          <w:kern w:val="0"/>
        </w:rPr>
        <w:t>Toluene</w:t>
      </w:r>
      <w:r>
        <w:rPr>
          <w:kern w:val="0"/>
        </w:rPr>
        <w:t xml:space="preserve">, </w:t>
      </w:r>
      <w:r w:rsidRPr="002D0E04">
        <w:rPr>
          <w:kern w:val="0"/>
        </w:rPr>
        <w:t>Vineyard Soils</w:t>
      </w:r>
      <w:r>
        <w:rPr>
          <w:kern w:val="0"/>
        </w:rPr>
        <w:t xml:space="preserve">, </w:t>
      </w:r>
      <w:r w:rsidRPr="002D0E04">
        <w:rPr>
          <w:kern w:val="0"/>
        </w:rPr>
        <w:t>Water</w:t>
      </w:r>
      <w:r>
        <w:rPr>
          <w:kern w:val="0"/>
        </w:rPr>
        <w:t xml:space="preserve">, </w:t>
      </w:r>
      <w:r w:rsidRPr="002D0E04">
        <w:rPr>
          <w:kern w:val="0"/>
        </w:rPr>
        <w:t>Water Pollution</w:t>
      </w:r>
      <w:r>
        <w:rPr>
          <w:kern w:val="0"/>
        </w:rPr>
        <w:t xml:space="preserve">, </w:t>
      </w:r>
      <w:r w:rsidRPr="002D0E04">
        <w:rPr>
          <w:kern w:val="0"/>
        </w:rPr>
        <w:t>Xylene</w:t>
      </w:r>
    </w:p>
    <w:p w:rsidR="00B95188" w:rsidRPr="00A428C3" w:rsidRDefault="00B95188" w:rsidP="00B95188">
      <w:pPr>
        <w:pStyle w:val="a0"/>
      </w:pPr>
      <w:r w:rsidRPr="00A428C3">
        <w:t>? Liang, P., Shi, T.Q.</w:t>
      </w:r>
      <w:r w:rsidR="00F81221">
        <w:t xml:space="preserve"> and </w:t>
      </w:r>
      <w:r w:rsidRPr="00A428C3">
        <w:t>Li, J. (2004), Nanometer-size titanium dioxide separation/preconcentration</w:t>
      </w:r>
      <w:r w:rsidR="00F81221">
        <w:t xml:space="preserve"> and </w:t>
      </w:r>
      <w:r w:rsidRPr="00A428C3">
        <w:t>FAAS determination of trace Zn</w:t>
      </w:r>
      <w:r w:rsidR="00F81221">
        <w:t xml:space="preserve"> and </w:t>
      </w:r>
      <w:r w:rsidRPr="00A428C3">
        <w:t xml:space="preserve">Cd in water sample. </w:t>
      </w:r>
      <w:r w:rsidRPr="00A428C3">
        <w:rPr>
          <w:i/>
          <w:iCs/>
        </w:rPr>
        <w:t>International Journal of Environmental Analytical Chemistry</w:t>
      </w:r>
      <w:r w:rsidRPr="00A428C3">
        <w:t xml:space="preserve">, </w:t>
      </w:r>
      <w:r w:rsidRPr="00A428C3">
        <w:rPr>
          <w:b/>
        </w:rPr>
        <w:t>84</w:t>
      </w:r>
      <w:r w:rsidRPr="00A428C3">
        <w:t xml:space="preserve"> (4), 315-321.</w:t>
      </w:r>
    </w:p>
    <w:p w:rsidR="006F5C35" w:rsidRPr="002D0E04" w:rsidRDefault="006F5C35" w:rsidP="006F5C35">
      <w:pPr>
        <w:pStyle w:val="a0"/>
        <w:rPr>
          <w:kern w:val="0"/>
        </w:rPr>
      </w:pPr>
      <w:r>
        <w:rPr>
          <w:rFonts w:hint="eastAsia"/>
          <w:kern w:val="0"/>
        </w:rPr>
        <w:t xml:space="preserve">Full Text: </w:t>
      </w:r>
      <w:hyperlink r:id="rId1797" w:history="1">
        <w:r w:rsidRPr="006F5C35">
          <w:rPr>
            <w:rStyle w:val="a5"/>
            <w:kern w:val="0"/>
          </w:rPr>
          <w:t>2004\Int J Env Ana Che84, 315.pdf</w:t>
        </w:r>
      </w:hyperlink>
    </w:p>
    <w:p w:rsidR="00B95188" w:rsidRPr="00A428C3" w:rsidRDefault="00B95188" w:rsidP="00B95188">
      <w:pPr>
        <w:pStyle w:val="a0"/>
      </w:pPr>
      <w:r w:rsidRPr="00A428C3">
        <w:t>Abstract: A new method using nanoparticle TiO</w:t>
      </w:r>
      <w:r w:rsidRPr="00A428C3">
        <w:rPr>
          <w:vertAlign w:val="subscript"/>
        </w:rPr>
        <w:t>2</w:t>
      </w:r>
      <w:r w:rsidRPr="00A428C3">
        <w:t xml:space="preserve"> as solid-phase extractant coupled with FAAS was proposed for preconcentration</w:t>
      </w:r>
      <w:r w:rsidR="00F81221">
        <w:t xml:space="preserve"> and </w:t>
      </w:r>
      <w:r w:rsidRPr="00A428C3">
        <w:t>determination of trace Zn</w:t>
      </w:r>
      <w:r w:rsidR="00F81221">
        <w:t xml:space="preserve"> and </w:t>
      </w:r>
      <w:r w:rsidRPr="00A428C3">
        <w:t>Cd. The effects of pH, contact time, elution solution</w:t>
      </w:r>
      <w:r w:rsidR="00F81221">
        <w:t xml:space="preserve"> and </w:t>
      </w:r>
      <w:r w:rsidRPr="00A428C3">
        <w:t>interfering ions on the adsorption behavior of nanometer TiO</w:t>
      </w:r>
      <w:r w:rsidRPr="00A428C3">
        <w:rPr>
          <w:vertAlign w:val="subscript"/>
        </w:rPr>
        <w:t>2</w:t>
      </w:r>
      <w:r w:rsidRPr="00A428C3">
        <w:t xml:space="preserve"> towards Zn</w:t>
      </w:r>
      <w:r w:rsidR="00F81221">
        <w:t xml:space="preserve"> and </w:t>
      </w:r>
      <w:r w:rsidRPr="00A428C3">
        <w:t>Cd were investigated. Under optimum conditions, nanometer TiO</w:t>
      </w:r>
      <w:r w:rsidRPr="00A428C3">
        <w:rPr>
          <w:vertAlign w:val="subscript"/>
        </w:rPr>
        <w:t>2</w:t>
      </w:r>
      <w:r w:rsidRPr="00A428C3">
        <w:t xml:space="preserve"> possesses a significant capacity for the sorption of the metal ions studied. The limits of detection (3delta) of this method were 1.8 ng mL</w:t>
      </w:r>
      <w:r w:rsidRPr="00A428C3">
        <w:rPr>
          <w:vertAlign w:val="superscript"/>
        </w:rPr>
        <w:t>-1</w:t>
      </w:r>
      <w:r w:rsidRPr="00A428C3">
        <w:t xml:space="preserve"> of Zn</w:t>
      </w:r>
      <w:r w:rsidR="00F81221">
        <w:t xml:space="preserve"> and </w:t>
      </w:r>
      <w:r w:rsidRPr="00A428C3">
        <w:t>3.0 ng mL</w:t>
      </w:r>
      <w:r w:rsidRPr="00A428C3">
        <w:rPr>
          <w:vertAlign w:val="superscript"/>
        </w:rPr>
        <w:t>-1</w:t>
      </w:r>
      <w:r w:rsidRPr="00A428C3">
        <w:t xml:space="preserve"> of Cd with an enrichment factor of 12.5,</w:t>
      </w:r>
      <w:r w:rsidR="00F81221">
        <w:t xml:space="preserve"> and </w:t>
      </w:r>
      <w:r w:rsidRPr="00A428C3">
        <w:t>relative standard deviations were 3.8%</w:t>
      </w:r>
      <w:r w:rsidR="00F81221">
        <w:t xml:space="preserve"> and </w:t>
      </w:r>
      <w:r w:rsidRPr="00A428C3">
        <w:t>4.3% for Zn</w:t>
      </w:r>
      <w:r w:rsidR="00F81221">
        <w:t xml:space="preserve"> and </w:t>
      </w:r>
      <w:r w:rsidRPr="00A428C3">
        <w:t>Cd, respectively (c = 0.5 mug mL</w:t>
      </w:r>
      <w:r w:rsidRPr="00A428C3">
        <w:rPr>
          <w:vertAlign w:val="superscript"/>
        </w:rPr>
        <w:t>-1</w:t>
      </w:r>
      <w:r>
        <w:t>,</w:t>
      </w:r>
      <w:r w:rsidRPr="00A428C3">
        <w:t xml:space="preserve"> n = 9). The proposed method was validated by the analysis of water certified reference material.</w:t>
      </w:r>
    </w:p>
    <w:p w:rsidR="00B95188" w:rsidRPr="00A428C3" w:rsidRDefault="00B95188" w:rsidP="00B95188">
      <w:pPr>
        <w:pStyle w:val="a0"/>
      </w:pPr>
      <w:r w:rsidRPr="00A428C3">
        <w:t>Keywords: Nanometer TiO</w:t>
      </w:r>
      <w:r w:rsidRPr="00A428C3">
        <w:rPr>
          <w:vertAlign w:val="subscript"/>
        </w:rPr>
        <w:t>2</w:t>
      </w:r>
      <w:r w:rsidRPr="00A428C3">
        <w:t>, Separation/Preconcentration, FAAS, Zn, Cd, Atomic-Absorption-Spectrometry, Solid-Phase Extraction, Flow-Injection System, Heavy-Metal Ions, Activated Carbon, Silica-Gel, Online Preconcentration, Emission-Spectrometry, Flame, Adsorption</w:t>
      </w:r>
    </w:p>
    <w:p w:rsidR="00D4656A" w:rsidRDefault="00D4656A" w:rsidP="00D4656A">
      <w:pPr>
        <w:pStyle w:val="a0"/>
      </w:pPr>
      <w:r w:rsidRPr="00A428C3">
        <w:t xml:space="preserve">? </w:t>
      </w:r>
      <w:r>
        <w:t>Hosseini</w:t>
      </w:r>
      <w:r>
        <w:rPr>
          <w:rFonts w:hint="eastAsia"/>
        </w:rPr>
        <w:t>,</w:t>
      </w:r>
      <w:r>
        <w:t xml:space="preserve"> M</w:t>
      </w:r>
      <w:r>
        <w:rPr>
          <w:rFonts w:hint="eastAsia"/>
        </w:rPr>
        <w:t>.</w:t>
      </w:r>
      <w:r>
        <w:t>S</w:t>
      </w:r>
      <w:r>
        <w:rPr>
          <w:rFonts w:hint="eastAsia"/>
        </w:rPr>
        <w:t xml:space="preserve">., </w:t>
      </w:r>
      <w:r>
        <w:t>Hosseini-Bandegharaei</w:t>
      </w:r>
      <w:r>
        <w:rPr>
          <w:rFonts w:hint="eastAsia"/>
        </w:rPr>
        <w:t>,</w:t>
      </w:r>
      <w:r>
        <w:t xml:space="preserve"> A</w:t>
      </w:r>
      <w:r>
        <w:rPr>
          <w:rFonts w:hint="eastAsia"/>
        </w:rPr>
        <w:t>.</w:t>
      </w:r>
      <w:r w:rsidR="00F81221">
        <w:rPr>
          <w:rFonts w:hint="eastAsia"/>
        </w:rPr>
        <w:t xml:space="preserve"> and </w:t>
      </w:r>
      <w:r>
        <w:t>Hosseini</w:t>
      </w:r>
      <w:r>
        <w:rPr>
          <w:rFonts w:hint="eastAsia"/>
        </w:rPr>
        <w:t>,</w:t>
      </w:r>
      <w:r>
        <w:t xml:space="preserve"> M</w:t>
      </w:r>
      <w:r>
        <w:rPr>
          <w:rFonts w:hint="eastAsia"/>
        </w:rPr>
        <w:t>.</w:t>
      </w:r>
      <w:r w:rsidRPr="00A428C3">
        <w:t xml:space="preserve"> (200</w:t>
      </w:r>
      <w:r>
        <w:rPr>
          <w:rFonts w:hint="eastAsia"/>
        </w:rPr>
        <w:t>9</w:t>
      </w:r>
      <w:r w:rsidRPr="00A428C3">
        <w:t xml:space="preserve">), </w:t>
      </w:r>
      <w:r>
        <w:t>Column-mode separation</w:t>
      </w:r>
      <w:r w:rsidR="00F81221">
        <w:t xml:space="preserve"> and </w:t>
      </w:r>
      <w:r>
        <w:t>pre-concentration of some heavy metal ions by solvent-impregnated resins containing quinizarin before the determination by flame atomic absorption spectrometry</w:t>
      </w:r>
      <w:r w:rsidRPr="00A428C3">
        <w:t xml:space="preserve">. </w:t>
      </w:r>
      <w:r w:rsidRPr="00A428C3">
        <w:rPr>
          <w:i/>
          <w:iCs/>
        </w:rPr>
        <w:t>International Journal of Environmental Analytical Chemistry</w:t>
      </w:r>
      <w:r w:rsidRPr="00A428C3">
        <w:t xml:space="preserve">, </w:t>
      </w:r>
      <w:r w:rsidRPr="00A428C3">
        <w:rPr>
          <w:b/>
        </w:rPr>
        <w:t>8</w:t>
      </w:r>
      <w:r>
        <w:rPr>
          <w:rFonts w:hint="eastAsia"/>
          <w:b/>
        </w:rPr>
        <w:t>9</w:t>
      </w:r>
      <w:r w:rsidRPr="00A428C3">
        <w:t xml:space="preserve"> (</w:t>
      </w:r>
      <w:r>
        <w:rPr>
          <w:rFonts w:hint="eastAsia"/>
        </w:rPr>
        <w:t>1</w:t>
      </w:r>
      <w:r w:rsidRPr="00A428C3">
        <w:t xml:space="preserve">), </w:t>
      </w:r>
      <w:r>
        <w:t>35-48</w:t>
      </w:r>
      <w:r w:rsidRPr="00A428C3">
        <w:t>.</w:t>
      </w:r>
    </w:p>
    <w:p w:rsidR="00104A74" w:rsidRPr="002D0E04" w:rsidRDefault="00104A74" w:rsidP="00104A74">
      <w:pPr>
        <w:pStyle w:val="a0"/>
        <w:rPr>
          <w:kern w:val="0"/>
        </w:rPr>
      </w:pPr>
      <w:r>
        <w:rPr>
          <w:rFonts w:hint="eastAsia"/>
          <w:kern w:val="0"/>
        </w:rPr>
        <w:t xml:space="preserve">Full Text: </w:t>
      </w:r>
      <w:hyperlink r:id="rId1798" w:history="1">
        <w:r w:rsidRPr="00104A74">
          <w:rPr>
            <w:rStyle w:val="a5"/>
            <w:kern w:val="0"/>
          </w:rPr>
          <w:t>2009\Int J Env Ana Che89, 35.pdf</w:t>
        </w:r>
      </w:hyperlink>
    </w:p>
    <w:p w:rsidR="00D4656A" w:rsidRDefault="00D4656A" w:rsidP="00D4656A">
      <w:pPr>
        <w:pStyle w:val="a0"/>
      </w:pPr>
      <w:r>
        <w:t>Abstract: A simultaneous separation</w:t>
      </w:r>
      <w:r w:rsidR="00F81221">
        <w:t xml:space="preserve"> and </w:t>
      </w:r>
      <w:r>
        <w:t>pre-concentration of Cd(II), Cu(II), Ni(II)</w:t>
      </w:r>
      <w:r w:rsidR="00F81221">
        <w:t xml:space="preserve"> and </w:t>
      </w:r>
      <w:r>
        <w:t xml:space="preserve">Zn(II) ions from natural water samples for subsequent flame atomic absorption spectrometric determination was proposed. The procedure is based on sorption of the </w:t>
      </w:r>
      <w:r>
        <w:lastRenderedPageBreak/>
        <w:t>metal ions at the buffering pH of 9.5, on a short column filled with Amberlite XAD-16 impregnated with the complexing agent of 1,4-dihydroxyanthraquinone (quinizarin). The determinations, without the interference of the co-existing substances, were carried out after metals elution with 5 mL of 0.5 mol L</w:t>
      </w:r>
      <w:r w:rsidRPr="00D4656A">
        <w:rPr>
          <w:vertAlign w:val="superscript"/>
        </w:rPr>
        <w:t>-1</w:t>
      </w:r>
      <w:r>
        <w:t xml:space="preserve"> HCl. A pre-concentration factor of nearly 100 was obtained using aliquots of 500 mL of the sample solution. For the optimisation of the procedure, effects of sample</w:t>
      </w:r>
      <w:r w:rsidR="00F81221">
        <w:t xml:space="preserve"> and </w:t>
      </w:r>
      <w:r>
        <w:t>eluent flow rate, eluent concentration</w:t>
      </w:r>
      <w:r w:rsidR="00F81221">
        <w:t xml:space="preserve"> and </w:t>
      </w:r>
      <w:r>
        <w:t>its volume were investigated. Beer</w:t>
      </w:r>
      <w:r w:rsidR="000352E7">
        <w:t>’</w:t>
      </w:r>
      <w:r>
        <w:t>s law was obeyed in the range of 5.0</w:t>
      </w:r>
      <w:r>
        <w:sym w:font="Symbol" w:char="F0B4"/>
      </w:r>
      <w:r>
        <w:t>10</w:t>
      </w:r>
      <w:r w:rsidRPr="00D4656A">
        <w:rPr>
          <w:vertAlign w:val="superscript"/>
        </w:rPr>
        <w:t>-9</w:t>
      </w:r>
      <w:r>
        <w:t xml:space="preserve"> to 1.0</w:t>
      </w:r>
      <w:r>
        <w:sym w:font="Symbol" w:char="F0B4"/>
      </w:r>
      <w:r>
        <w:t>10</w:t>
      </w:r>
      <w:r w:rsidRPr="00D4656A">
        <w:rPr>
          <w:vertAlign w:val="superscript"/>
        </w:rPr>
        <w:t>-7</w:t>
      </w:r>
      <w:r>
        <w:t xml:space="preserve"> mol L</w:t>
      </w:r>
      <w:r w:rsidRPr="00D4656A">
        <w:rPr>
          <w:vertAlign w:val="superscript"/>
        </w:rPr>
        <w:t>-1</w:t>
      </w:r>
      <w:r>
        <w:t xml:space="preserve"> for Cd(II)</w:t>
      </w:r>
      <w:r w:rsidR="00F81221">
        <w:t xml:space="preserve"> and </w:t>
      </w:r>
      <w:r>
        <w:t>Zn(II), 5.0</w:t>
      </w:r>
      <w:r>
        <w:sym w:font="Symbol" w:char="F0B4"/>
      </w:r>
      <w:r>
        <w:t>10</w:t>
      </w:r>
      <w:r w:rsidRPr="00D4656A">
        <w:rPr>
          <w:vertAlign w:val="superscript"/>
        </w:rPr>
        <w:t>-8</w:t>
      </w:r>
      <w:r>
        <w:t xml:space="preserve"> to 1.0</w:t>
      </w:r>
      <w:r>
        <w:sym w:font="Symbol" w:char="F0B4"/>
      </w:r>
      <w:r>
        <w:t>10</w:t>
      </w:r>
      <w:r w:rsidRPr="00D4656A">
        <w:rPr>
          <w:vertAlign w:val="superscript"/>
        </w:rPr>
        <w:t>-6</w:t>
      </w:r>
      <w:r>
        <w:t xml:space="preserve"> mol L</w:t>
      </w:r>
      <w:r w:rsidRPr="00D4656A">
        <w:rPr>
          <w:vertAlign w:val="superscript"/>
        </w:rPr>
        <w:t>-1</w:t>
      </w:r>
      <w:r>
        <w:t xml:space="preserve"> for Cu(II)</w:t>
      </w:r>
      <w:r w:rsidR="00F81221">
        <w:t xml:space="preserve"> and </w:t>
      </w:r>
      <w:r>
        <w:t>Ni(II) ions. The relative standard deviations of the determinations were 1.87%. The limit of detections for Cd(II), Cu(II), Ni(II)</w:t>
      </w:r>
      <w:r w:rsidR="00F81221">
        <w:t xml:space="preserve"> and </w:t>
      </w:r>
      <w:r>
        <w:t>Zn(II) were found to be 1.3</w:t>
      </w:r>
      <w:r>
        <w:sym w:font="Symbol" w:char="F0B4"/>
      </w:r>
      <w:r>
        <w:t>10</w:t>
      </w:r>
      <w:r w:rsidRPr="00D4656A">
        <w:rPr>
          <w:vertAlign w:val="superscript"/>
        </w:rPr>
        <w:t>-9</w:t>
      </w:r>
      <w:r>
        <w:t>, 7.1</w:t>
      </w:r>
      <w:r>
        <w:sym w:font="Symbol" w:char="F0B4"/>
      </w:r>
      <w:r>
        <w:t>10</w:t>
      </w:r>
      <w:r w:rsidRPr="00D4656A">
        <w:rPr>
          <w:vertAlign w:val="superscript"/>
        </w:rPr>
        <w:t>-9</w:t>
      </w:r>
      <w:r>
        <w:t>, 1.3</w:t>
      </w:r>
      <w:r>
        <w:sym w:font="Symbol" w:char="F0B4"/>
      </w:r>
      <w:r>
        <w:t>10</w:t>
      </w:r>
      <w:r w:rsidRPr="00D4656A">
        <w:rPr>
          <w:vertAlign w:val="superscript"/>
        </w:rPr>
        <w:t>-8</w:t>
      </w:r>
      <w:r w:rsidR="00F81221">
        <w:t xml:space="preserve"> and </w:t>
      </w:r>
      <w:r>
        <w:t>1.8</w:t>
      </w:r>
      <w:r>
        <w:sym w:font="Symbol" w:char="F0B4"/>
      </w:r>
      <w:r>
        <w:t>10</w:t>
      </w:r>
      <w:r w:rsidRPr="00D4656A">
        <w:rPr>
          <w:vertAlign w:val="superscript"/>
        </w:rPr>
        <w:t>-9</w:t>
      </w:r>
      <w:r>
        <w:rPr>
          <w:rFonts w:hint="eastAsia"/>
        </w:rPr>
        <w:t xml:space="preserve"> </w:t>
      </w:r>
      <w:r>
        <w:t>mol L</w:t>
      </w:r>
      <w:r w:rsidRPr="00D4656A">
        <w:rPr>
          <w:vertAlign w:val="superscript"/>
        </w:rPr>
        <w:t>-1</w:t>
      </w:r>
      <w:r>
        <w:t>, respectively. The practical applicability of the method was confirmed using a synthetic certificated reference material</w:t>
      </w:r>
      <w:r w:rsidR="00F81221">
        <w:t xml:space="preserve"> and </w:t>
      </w:r>
      <w:r>
        <w:t>spiked natural water samples.</w:t>
      </w:r>
    </w:p>
    <w:p w:rsidR="00D4656A" w:rsidRPr="00A428C3" w:rsidRDefault="00D4656A" w:rsidP="00D4656A">
      <w:pPr>
        <w:pStyle w:val="a0"/>
      </w:pPr>
      <w:r>
        <w:t>Keywords: Solvent-Impregnated Resins, Quinizarin, Amberlite XAD-16, Column-Mode Separation, Flame Atomic Absorption Spectrometry, Solid-Phase Extraction, Optical-Emission Spectrometry, Water Samples, Di-(2,4,4-Trimethylpentyl)Phosphinic Acid, Multielement Preconcentration, Dithiophosphoric Acid, Environmental-Samples, Chelating Polymers, Liquid-Extraction, Amberlite XAD-2</w:t>
      </w:r>
    </w:p>
    <w:p w:rsidR="008409FB" w:rsidRDefault="008409FB" w:rsidP="008409FB">
      <w:pPr>
        <w:pStyle w:val="a0"/>
        <w:rPr>
          <w:kern w:val="0"/>
        </w:rPr>
      </w:pPr>
      <w:r>
        <w:rPr>
          <w:rFonts w:hint="eastAsia"/>
          <w:kern w:val="0"/>
        </w:rPr>
        <w:t xml:space="preserve">? </w:t>
      </w:r>
      <w:r>
        <w:rPr>
          <w:kern w:val="0"/>
        </w:rPr>
        <w:t>Homem, V., Alves, A.</w:t>
      </w:r>
      <w:r w:rsidR="00F81221">
        <w:rPr>
          <w:kern w:val="0"/>
        </w:rPr>
        <w:t xml:space="preserve"> and </w:t>
      </w:r>
      <w:r>
        <w:rPr>
          <w:kern w:val="0"/>
        </w:rPr>
        <w:t xml:space="preserve">Santos, L. (2010), Amoxicillin removal from aqueous matrices by sorption with almond shell ashes. </w:t>
      </w:r>
      <w:r>
        <w:rPr>
          <w:i/>
          <w:iCs/>
          <w:kern w:val="0"/>
        </w:rPr>
        <w:t>International Journal of Environmental Analytical Chemistry</w:t>
      </w:r>
      <w:r>
        <w:rPr>
          <w:kern w:val="0"/>
        </w:rPr>
        <w:t xml:space="preserve">, </w:t>
      </w:r>
      <w:r>
        <w:rPr>
          <w:b/>
          <w:bCs/>
          <w:kern w:val="0"/>
        </w:rPr>
        <w:t>90</w:t>
      </w:r>
      <w:r>
        <w:rPr>
          <w:kern w:val="0"/>
        </w:rPr>
        <w:t xml:space="preserve"> (14-15), 1063-1084.</w:t>
      </w:r>
    </w:p>
    <w:p w:rsidR="008409FB" w:rsidRPr="00F03D2F" w:rsidRDefault="008409FB" w:rsidP="008409FB">
      <w:pPr>
        <w:pStyle w:val="a0"/>
        <w:rPr>
          <w:kern w:val="0"/>
        </w:rPr>
      </w:pPr>
      <w:r w:rsidRPr="00F03D2F">
        <w:rPr>
          <w:kern w:val="0"/>
        </w:rPr>
        <w:t>Full Text:</w:t>
      </w:r>
      <w:r w:rsidRPr="00D7601C">
        <w:t xml:space="preserve"> </w:t>
      </w:r>
      <w:hyperlink r:id="rId1799" w:history="1">
        <w:r w:rsidR="00104A74" w:rsidRPr="00104A74">
          <w:rPr>
            <w:rStyle w:val="a5"/>
          </w:rPr>
          <w:t>2010\Int J Env Ana Che90, 1063.pdf</w:t>
        </w:r>
      </w:hyperlink>
    </w:p>
    <w:p w:rsidR="008409FB" w:rsidRDefault="008409FB" w:rsidP="008409FB">
      <w:pPr>
        <w:pStyle w:val="a0"/>
        <w:rPr>
          <w:kern w:val="0"/>
        </w:rPr>
      </w:pPr>
      <w:r>
        <w:rPr>
          <w:kern w:val="0"/>
        </w:rPr>
        <w:t>Abstract: The adsorption of the antibiotic amoxicillin at low concentration levels (mu g L</w:t>
      </w:r>
      <w:r w:rsidRPr="005456C7">
        <w:rPr>
          <w:kern w:val="0"/>
          <w:vertAlign w:val="superscript"/>
        </w:rPr>
        <w:t>-1</w:t>
      </w:r>
      <w:r>
        <w:rPr>
          <w:kern w:val="0"/>
        </w:rPr>
        <w:t xml:space="preserve"> order) from aqueous solution on almond shell ashes has been investigated, either by kinetic or equilibrium assays. The effect of the adsorbent amount, initial concentration of the antibiotic, particle diameter (dp)</w:t>
      </w:r>
      <w:r w:rsidR="00F81221">
        <w:rPr>
          <w:kern w:val="0"/>
        </w:rPr>
        <w:t xml:space="preserve"> and </w:t>
      </w:r>
      <w:r>
        <w:rPr>
          <w:kern w:val="0"/>
        </w:rPr>
        <w:t>temperature were considered to evaluate the adsorption capacity of the adsorbent. The results showed that amoxicillin sorption is dependent on these four factors. The adsorption process was relatively fast</w:t>
      </w:r>
      <w:r w:rsidR="00F81221">
        <w:rPr>
          <w:kern w:val="0"/>
        </w:rPr>
        <w:t xml:space="preserve"> and </w:t>
      </w:r>
      <w:r>
        <w:rPr>
          <w:kern w:val="0"/>
        </w:rPr>
        <w:t>equilibrium was established in about 12 hours. The optimum parameters for an initial concentration of 450 mu g L</w:t>
      </w:r>
      <w:r w:rsidRPr="00A4432C">
        <w:rPr>
          <w:kern w:val="0"/>
          <w:vertAlign w:val="superscript"/>
        </w:rPr>
        <w:t>-1</w:t>
      </w:r>
      <w:r>
        <w:rPr>
          <w:kern w:val="0"/>
        </w:rPr>
        <w:t xml:space="preserve"> were 50 mg of adsorbent, 303 K</w:t>
      </w:r>
      <w:r w:rsidR="00F81221">
        <w:rPr>
          <w:kern w:val="0"/>
        </w:rPr>
        <w:t xml:space="preserve"> and </w:t>
      </w:r>
      <w:r>
        <w:rPr>
          <w:kern w:val="0"/>
        </w:rPr>
        <w:t>dp 600 mu m. A comparison of kinetic models showed that pseudo-second order kinetics provides the best correlation of the experimental data. Isotherm data adjusted better to Langmuir equation, with an adsorption capacity of 2.5±0.1 mg g</w:t>
      </w:r>
      <w:r w:rsidRPr="00A4432C">
        <w:rPr>
          <w:kern w:val="0"/>
          <w:vertAlign w:val="superscript"/>
        </w:rPr>
        <w:t>-1</w:t>
      </w:r>
      <w:r>
        <w:rPr>
          <w:kern w:val="0"/>
        </w:rPr>
        <w:t xml:space="preserve"> at 303 K. The desorption process was also evaluated (maximum efficiency of 5%). Thermodynamic parameters were calculated</w:t>
      </w:r>
      <w:r w:rsidR="00F81221">
        <w:rPr>
          <w:kern w:val="0"/>
        </w:rPr>
        <w:t xml:space="preserve"> and </w:t>
      </w:r>
      <w:r>
        <w:rPr>
          <w:kern w:val="0"/>
        </w:rPr>
        <w:t>the negative value of H0</w:t>
      </w:r>
      <w:r w:rsidR="00F81221">
        <w:rPr>
          <w:kern w:val="0"/>
        </w:rPr>
        <w:t xml:space="preserve"> and </w:t>
      </w:r>
      <w:r>
        <w:rPr>
          <w:kern w:val="0"/>
        </w:rPr>
        <w:t>G0 showed that adsorption was exothermic</w:t>
      </w:r>
      <w:r w:rsidR="00F81221">
        <w:rPr>
          <w:kern w:val="0"/>
        </w:rPr>
        <w:t xml:space="preserve"> and </w:t>
      </w:r>
      <w:r>
        <w:rPr>
          <w:kern w:val="0"/>
        </w:rPr>
        <w:t>a spontaneous process.</w:t>
      </w:r>
    </w:p>
    <w:p w:rsidR="008409FB" w:rsidRDefault="008409FB" w:rsidP="008409FB">
      <w:pPr>
        <w:pStyle w:val="a0"/>
        <w:rPr>
          <w:kern w:val="0"/>
        </w:rPr>
      </w:pPr>
      <w:r>
        <w:rPr>
          <w:kern w:val="0"/>
        </w:rPr>
        <w:t xml:space="preserve">Keywords: Activated Carbon, Adsorbent, Adsorption, Adsorption, Adsorption Capacity, Almond Shell, Almond Shell Ashes, Amoxicillin, Antibiotics, Aqueous Solution, </w:t>
      </w:r>
      <w:r>
        <w:rPr>
          <w:kern w:val="0"/>
        </w:rPr>
        <w:lastRenderedPageBreak/>
        <w:t>β-Lactam Antibiotics, Capacity, Comparison, Concentration, Correlation, Data, Desorption, Efficiency, Equilibrium, Exothermic, Experimental, Isotherm, Kinetic, Kinetic Models, Kinetics, L1, Langmuir, Langmuir Equation, Models, Pentachlorophenol, Pseudo Second Order, Pseudo Second Order Kinetics, Pseudo-Second Order, Pseudo-Second Order Kinetics, Pseudo-Second-Order, Removal, Residues, Risk-Assessment, Solution, Sorption, Temperature, Thermodynamic, Thermodynamic Parameters, Trace Determination, Value, Veterinary, Waste-Water</w:t>
      </w:r>
    </w:p>
    <w:p w:rsidR="00E72DC0" w:rsidRDefault="00E72DC0" w:rsidP="00E72DC0">
      <w:pPr>
        <w:pStyle w:val="a0"/>
        <w:rPr>
          <w:kern w:val="0"/>
        </w:rPr>
      </w:pPr>
      <w:r>
        <w:rPr>
          <w:rFonts w:hint="eastAsia"/>
          <w:kern w:val="0"/>
        </w:rPr>
        <w:t xml:space="preserve">? </w:t>
      </w:r>
      <w:r>
        <w:rPr>
          <w:kern w:val="0"/>
        </w:rPr>
        <w:t>Dordio, A.V., Gonçalves, P., Texeira, D., Candeias, A.J., Castanheiro, J.E., Pinto, A.P.</w:t>
      </w:r>
      <w:r w:rsidR="00F81221">
        <w:rPr>
          <w:kern w:val="0"/>
        </w:rPr>
        <w:t xml:space="preserve"> and </w:t>
      </w:r>
      <w:r>
        <w:rPr>
          <w:kern w:val="0"/>
        </w:rPr>
        <w:t xml:space="preserve">Carvalho, A.J.P. (2011), Pharmaceuticals sorption behaviour in granulated cork for the selection of a support matrix for a constructed wetlands system. </w:t>
      </w:r>
      <w:r>
        <w:rPr>
          <w:i/>
          <w:iCs/>
          <w:kern w:val="0"/>
        </w:rPr>
        <w:t>International Journal of Environmental Analytical Chemistry</w:t>
      </w:r>
      <w:r>
        <w:rPr>
          <w:kern w:val="0"/>
        </w:rPr>
        <w:t xml:space="preserve">, </w:t>
      </w:r>
      <w:r>
        <w:rPr>
          <w:b/>
          <w:bCs/>
          <w:kern w:val="0"/>
        </w:rPr>
        <w:t>91</w:t>
      </w:r>
      <w:r>
        <w:rPr>
          <w:kern w:val="0"/>
        </w:rPr>
        <w:t xml:space="preserve"> (7-8), 615-631.</w:t>
      </w:r>
    </w:p>
    <w:p w:rsidR="00E72DC0" w:rsidRPr="007D79E8" w:rsidRDefault="00E72DC0" w:rsidP="00E72DC0">
      <w:pPr>
        <w:pStyle w:val="a0"/>
        <w:rPr>
          <w:kern w:val="0"/>
        </w:rPr>
      </w:pPr>
      <w:r w:rsidRPr="007D79E8">
        <w:rPr>
          <w:kern w:val="0"/>
        </w:rPr>
        <w:t xml:space="preserve">Full Text: </w:t>
      </w:r>
      <w:hyperlink r:id="rId1800" w:history="1">
        <w:r w:rsidRPr="00CA2884">
          <w:rPr>
            <w:rStyle w:val="a5"/>
            <w:kern w:val="0"/>
          </w:rPr>
          <w:t>2011\Int J Env Ana Che91, 615.pdf</w:t>
        </w:r>
      </w:hyperlink>
    </w:p>
    <w:p w:rsidR="00E72DC0" w:rsidRDefault="00E72DC0" w:rsidP="00E72DC0">
      <w:pPr>
        <w:pStyle w:val="a0"/>
        <w:rPr>
          <w:kern w:val="0"/>
        </w:rPr>
      </w:pPr>
      <w:r>
        <w:rPr>
          <w:kern w:val="0"/>
        </w:rPr>
        <w:t>Abstract: Biosorbents have been recently gaining importance, with an increasing number of publications on their environmental applications, especially for removal of organic pollutants from aqueous media. The aim of this work was to evaluate the sorption capacity of a biosorbent, namely granulated cork, to remove mixtures of ibuprofen (IB), carbamazepine (CB)</w:t>
      </w:r>
      <w:r w:rsidR="00F81221">
        <w:rPr>
          <w:kern w:val="0"/>
        </w:rPr>
        <w:t xml:space="preserve"> and </w:t>
      </w:r>
      <w:r>
        <w:rPr>
          <w:kern w:val="0"/>
        </w:rPr>
        <w:t>clofibric acid (CA) from water</w:t>
      </w:r>
      <w:r w:rsidR="00F81221">
        <w:rPr>
          <w:kern w:val="0"/>
        </w:rPr>
        <w:t xml:space="preserve"> and </w:t>
      </w:r>
      <w:r>
        <w:rPr>
          <w:kern w:val="0"/>
        </w:rPr>
        <w:t>wastewater. High removal efficiencies were attained for IB</w:t>
      </w:r>
      <w:r w:rsidR="00F81221">
        <w:rPr>
          <w:kern w:val="0"/>
        </w:rPr>
        <w:t xml:space="preserve"> and </w:t>
      </w:r>
      <w:r>
        <w:rPr>
          <w:kern w:val="0"/>
        </w:rPr>
        <w:t>CB while a less satisfactory performance was observed for CA. Simultaneous removal of the three compounds mixed in the same aqueous solution showed no significant differences in comparison to the removal of the isolated compounds in separate solutions, which indicates that no competitive sorption effects occurred at the highest concentrations tested. On the other hand, in wastewater medium the mixture of pharmaceuticals underwent a decrease in the sorbed amounts of all the three substances, probably due to the presence of dissolved organic matter which increases their solubilities. These compounds were removed in the following order of efficiencies in all the tested conditions: IB &gt; CB &gt; CA. The sorption kinetics were characterised by an initial fast step within the first 6 h, during which most of the removed pharmaceuticals amounts were sorbed. After the first 6 h, CA attained equilibrium concentrations whereas the sorption kinetics for IB</w:t>
      </w:r>
      <w:r w:rsidR="00F81221">
        <w:rPr>
          <w:kern w:val="0"/>
        </w:rPr>
        <w:t xml:space="preserve"> and </w:t>
      </w:r>
      <w:r>
        <w:rPr>
          <w:kern w:val="0"/>
        </w:rPr>
        <w:t>CB were characterised by two pseudo-second order stages, the first one up to 48 h</w:t>
      </w:r>
      <w:r w:rsidR="00F81221">
        <w:rPr>
          <w:kern w:val="0"/>
        </w:rPr>
        <w:t xml:space="preserve"> and </w:t>
      </w:r>
      <w:r>
        <w:rPr>
          <w:kern w:val="0"/>
        </w:rPr>
        <w:t>a slower one beyond 48 h. Shorter equilibration times</w:t>
      </w:r>
      <w:r w:rsidR="00F81221">
        <w:rPr>
          <w:kern w:val="0"/>
        </w:rPr>
        <w:t xml:space="preserve"> and </w:t>
      </w:r>
      <w:r>
        <w:rPr>
          <w:kern w:val="0"/>
        </w:rPr>
        <w:t>larger removed amounts of pharmaceuticals per unit weight of sorbent were observed in this study for granulated cork in comparison with a previously studied clay material (LECA). The results of this study showed the sorptive qualities of granulated cork but are only a first step in the evaluation of this material for use as support matrix in constructed wetlands designed for removal of pharmaceuticals from wastewaters.</w:t>
      </w:r>
    </w:p>
    <w:p w:rsidR="00E72DC0" w:rsidRDefault="00E72DC0" w:rsidP="00E72DC0">
      <w:pPr>
        <w:pStyle w:val="a0"/>
        <w:rPr>
          <w:kern w:val="0"/>
        </w:rPr>
      </w:pPr>
      <w:r>
        <w:rPr>
          <w:kern w:val="0"/>
        </w:rPr>
        <w:t xml:space="preserve">Keywords: Adsorption, Aqueous Solution, Biosorbent, Biosorbents, Carbamazepine, </w:t>
      </w:r>
      <w:r>
        <w:rPr>
          <w:kern w:val="0"/>
        </w:rPr>
        <w:lastRenderedPageBreak/>
        <w:t>Clofibric Acid, Constructed Wetlands, Equilibrium, Ibuprofen, Kinetics, Media, Personal Care Products, Pharmaceuticals, Removal, Sorption, Treatment Plants, Wastewater</w:t>
      </w:r>
    </w:p>
    <w:p w:rsidR="00B95188" w:rsidRPr="00A428C3" w:rsidRDefault="00B95188" w:rsidP="00B95188">
      <w:pPr>
        <w:pStyle w:val="1"/>
      </w:pPr>
      <w:r w:rsidRPr="00A428C3">
        <w:br w:type="page"/>
      </w:r>
      <w:bookmarkStart w:id="1299" w:name="_Toc186647914"/>
      <w:bookmarkStart w:id="1300" w:name="_Toc317161288"/>
      <w:r w:rsidRPr="00A428C3">
        <w:lastRenderedPageBreak/>
        <w:t xml:space="preserve">Title: </w:t>
      </w:r>
      <w:r w:rsidRPr="00A428C3">
        <w:rPr>
          <w:szCs w:val="19"/>
        </w:rPr>
        <w:t>International Journal of Environmental Health Research</w:t>
      </w:r>
      <w:bookmarkEnd w:id="1299"/>
      <w:bookmarkEnd w:id="1300"/>
    </w:p>
    <w:p w:rsidR="00B95188" w:rsidRPr="00A428C3" w:rsidRDefault="00B95188" w:rsidP="00B72EF9">
      <w:pPr>
        <w:pStyle w:val="12"/>
      </w:pPr>
      <w:r w:rsidRPr="00A428C3">
        <w:t xml:space="preserve">Full Journal Title: </w:t>
      </w:r>
      <w:hyperlink r:id="rId1801" w:anchor="A28" w:history="1">
        <w:r w:rsidRPr="00A428C3">
          <w:rPr>
            <w:rStyle w:val="a5"/>
          </w:rPr>
          <w:t>International Journal of Environmental Health Research</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0960-3123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rPr>
          <w:szCs w:val="27"/>
        </w:rPr>
        <w:t>?</w:t>
      </w:r>
      <w:r w:rsidRPr="00A428C3">
        <w:t xml:space="preserve"> Fewtrell, L., Kay, D.</w:t>
      </w:r>
      <w:r w:rsidR="00F81221">
        <w:t xml:space="preserve"> and </w:t>
      </w:r>
      <w:r w:rsidRPr="00A428C3">
        <w:t xml:space="preserve">MacGill, S. (2001), A review of the science behind drinking water standards for copper. </w:t>
      </w:r>
      <w:r w:rsidRPr="00A428C3">
        <w:rPr>
          <w:i/>
        </w:rPr>
        <w:t>International Journal of Environmental Health Research</w:t>
      </w:r>
      <w:r w:rsidRPr="00A428C3">
        <w:t xml:space="preserve">, </w:t>
      </w:r>
      <w:r w:rsidRPr="00A428C3">
        <w:rPr>
          <w:b/>
        </w:rPr>
        <w:t>11</w:t>
      </w:r>
      <w:r w:rsidRPr="00A428C3">
        <w:t xml:space="preserve"> (2), 161-167.</w:t>
      </w:r>
    </w:p>
    <w:p w:rsidR="00B95188" w:rsidRPr="00A428C3" w:rsidRDefault="00B95188" w:rsidP="00B95188">
      <w:pPr>
        <w:pStyle w:val="a0"/>
      </w:pPr>
      <w:r w:rsidRPr="00A428C3">
        <w:t xml:space="preserve">Full Text: </w:t>
      </w:r>
      <w:hyperlink r:id="rId1802" w:history="1">
        <w:r w:rsidRPr="00A428C3">
          <w:rPr>
            <w:rStyle w:val="a5"/>
          </w:rPr>
          <w:t>2001\Int J Env Hea Res11, 161.pdf</w:t>
        </w:r>
      </w:hyperlink>
    </w:p>
    <w:p w:rsidR="00B95188" w:rsidRPr="00A428C3" w:rsidRDefault="00B95188" w:rsidP="00B95188">
      <w:pPr>
        <w:pStyle w:val="a0"/>
      </w:pPr>
      <w:r w:rsidRPr="00A13428">
        <w:t>Abstract:</w:t>
      </w:r>
      <w:r w:rsidRPr="00A428C3">
        <w:t xml:space="preserve"> Copper is an essential element, being a vital component in several enzyme systems. Some intake, therefore, is necessary for human health. At high intakes, however, it can have toxic effects. This paper uses a quality audit framework to review the strength of the science underlying the setting of standards for copper in drinking water intended for human consumption. The two copper standards examined are the revised EU drinking water directive (98/83/EC) of 2 mg/l, based on WHO guidelines,</w:t>
      </w:r>
      <w:r w:rsidR="00F81221">
        <w:t xml:space="preserve"> and </w:t>
      </w:r>
      <w:r w:rsidRPr="00A428C3">
        <w:t>the USEPA treatment technique action level of 1.3 mg/l. Examination of these standards reveals that neither has a firm scientific basis, accordingly both are difficult to justify from a scientific standpoint, a situation that is worrying in both health</w:t>
      </w:r>
      <w:r w:rsidR="00F81221">
        <w:t xml:space="preserve"> and </w:t>
      </w:r>
      <w:r w:rsidRPr="00A428C3">
        <w:t>policy terms.</w:t>
      </w:r>
    </w:p>
    <w:p w:rsidR="00B95188" w:rsidRPr="00A428C3" w:rsidRDefault="00B95188" w:rsidP="00B95188">
      <w:pPr>
        <w:pStyle w:val="a0"/>
      </w:pPr>
      <w:r w:rsidRPr="00A13428">
        <w:t>Keywords:</w:t>
      </w:r>
      <w:r w:rsidRPr="00A428C3">
        <w:t xml:space="preserve"> Copper, Drinking Water, Guide Lines, Public Health, Standards, Quality Audit</w:t>
      </w:r>
    </w:p>
    <w:p w:rsidR="00B95188" w:rsidRPr="00A428C3" w:rsidRDefault="00B95188" w:rsidP="00B95188">
      <w:pPr>
        <w:pStyle w:val="1"/>
      </w:pPr>
      <w:r w:rsidRPr="00A428C3">
        <w:br w:type="page"/>
      </w:r>
      <w:bookmarkStart w:id="1301" w:name="_Toc317161289"/>
      <w:r w:rsidRPr="00A428C3">
        <w:lastRenderedPageBreak/>
        <w:t xml:space="preserve">Title: </w:t>
      </w:r>
      <w:r w:rsidRPr="00ED7889">
        <w:t>International Journal of Environmental Research</w:t>
      </w:r>
      <w:bookmarkEnd w:id="1301"/>
    </w:p>
    <w:p w:rsidR="00B95188" w:rsidRPr="00A428C3" w:rsidRDefault="00B95188" w:rsidP="00B72EF9">
      <w:pPr>
        <w:pStyle w:val="12"/>
      </w:pPr>
      <w:r w:rsidRPr="00A428C3">
        <w:t xml:space="preserve">Full Journal Title: </w:t>
      </w:r>
      <w:hyperlink r:id="rId1803" w:history="1">
        <w:r w:rsidRPr="00874908">
          <w:rPr>
            <w:rStyle w:val="a5"/>
          </w:rPr>
          <w:t>International Journal of Environmental Research</w:t>
        </w:r>
      </w:hyperlink>
    </w:p>
    <w:p w:rsidR="00B72EF9" w:rsidRDefault="00B72EF9" w:rsidP="00B72EF9">
      <w:pPr>
        <w:pStyle w:val="12"/>
      </w:pPr>
      <w:r>
        <w:t>ISO Abbrev. Title: Int. J. Environ. Res.</w:t>
      </w:r>
    </w:p>
    <w:p w:rsidR="00B72EF9" w:rsidRDefault="00B72EF9" w:rsidP="00B72EF9">
      <w:pPr>
        <w:pStyle w:val="12"/>
      </w:pPr>
      <w:r>
        <w:t>JCR Abbrev. Title: Int J Environ Res</w:t>
      </w:r>
    </w:p>
    <w:p w:rsidR="00B72EF9" w:rsidRDefault="00B72EF9" w:rsidP="00B72EF9">
      <w:pPr>
        <w:pStyle w:val="12"/>
      </w:pPr>
      <w:r>
        <w:t>ISSN: 1735-6865</w:t>
      </w:r>
    </w:p>
    <w:p w:rsidR="00B72EF9" w:rsidRDefault="00B72EF9" w:rsidP="00B72EF9">
      <w:pPr>
        <w:pStyle w:val="12"/>
      </w:pPr>
      <w:r>
        <w:t>Issues/Year: 4</w:t>
      </w:r>
    </w:p>
    <w:p w:rsidR="00B72EF9" w:rsidRDefault="00B72EF9" w:rsidP="00B72EF9">
      <w:pPr>
        <w:pStyle w:val="12"/>
      </w:pPr>
      <w:r>
        <w:t>Language: English</w:t>
      </w:r>
    </w:p>
    <w:p w:rsidR="00B72EF9" w:rsidRDefault="00B72EF9" w:rsidP="00B72EF9">
      <w:pPr>
        <w:pStyle w:val="12"/>
      </w:pPr>
      <w:r>
        <w:t>Journal Country/Territory: Iran</w:t>
      </w:r>
    </w:p>
    <w:p w:rsidR="00B72EF9" w:rsidRDefault="00B72EF9" w:rsidP="00B72EF9">
      <w:pPr>
        <w:pStyle w:val="12"/>
      </w:pPr>
      <w:r>
        <w:t>Publisher: Univ Tehran</w:t>
      </w:r>
    </w:p>
    <w:p w:rsidR="00B72EF9" w:rsidRDefault="00B72EF9" w:rsidP="00B72EF9">
      <w:pPr>
        <w:pStyle w:val="12"/>
      </w:pPr>
      <w:r>
        <w:t>Publisher Address: Graduate Fac Env, No 20 Ghods St, Enghelab Ave, Po Box 14155-6135, Tehran 00000, Iran</w:t>
      </w:r>
    </w:p>
    <w:p w:rsidR="00B72EF9" w:rsidRDefault="00B72EF9" w:rsidP="00B72EF9">
      <w:pPr>
        <w:pStyle w:val="12"/>
      </w:pPr>
      <w:r>
        <w:t>Subject Categories:</w:t>
      </w:r>
    </w:p>
    <w:p w:rsidR="00B72EF9" w:rsidRDefault="00B72EF9" w:rsidP="00B72EF9">
      <w:pPr>
        <w:pStyle w:val="12"/>
      </w:pPr>
      <w:r>
        <w:t>Environmental Sciences</w:t>
      </w:r>
      <w:r>
        <w:rPr>
          <w:rFonts w:hint="eastAsia"/>
        </w:rPr>
        <w:t>:</w:t>
      </w:r>
      <w:r w:rsidRPr="00B72EF9">
        <w:t xml:space="preserve"> </w:t>
      </w:r>
      <w:r w:rsidRPr="00A428C3">
        <w:t xml:space="preserve">Impact Factor </w:t>
      </w:r>
      <w:r>
        <w:rPr>
          <w:rFonts w:hint="eastAsia"/>
        </w:rPr>
        <w:t>0.781</w:t>
      </w:r>
      <w:r w:rsidRPr="00A428C3">
        <w:t xml:space="preserve">, </w:t>
      </w:r>
      <w:r>
        <w:rPr>
          <w:rFonts w:hint="eastAsia"/>
        </w:rPr>
        <w:t>150</w:t>
      </w:r>
      <w:r w:rsidRPr="00A428C3">
        <w:t>/1</w:t>
      </w:r>
      <w:r>
        <w:rPr>
          <w:rFonts w:hint="eastAsia"/>
        </w:rPr>
        <w:t>81</w:t>
      </w:r>
      <w:r w:rsidRPr="00A428C3">
        <w:t xml:space="preserve"> (</w:t>
      </w:r>
      <w:r>
        <w:rPr>
          <w:rFonts w:hint="eastAsia"/>
        </w:rPr>
        <w:t>200</w:t>
      </w:r>
      <w:r w:rsidRPr="00A428C3">
        <w:t>9)</w:t>
      </w:r>
    </w:p>
    <w:p w:rsidR="00B10737" w:rsidRDefault="00B10737" w:rsidP="00B10737">
      <w:pPr>
        <w:pStyle w:val="a0"/>
        <w:rPr>
          <w:kern w:val="0"/>
        </w:rPr>
      </w:pPr>
      <w:r>
        <w:rPr>
          <w:rFonts w:hint="eastAsia"/>
          <w:kern w:val="0"/>
        </w:rPr>
        <w:t xml:space="preserve">? </w:t>
      </w:r>
      <w:r>
        <w:rPr>
          <w:kern w:val="0"/>
        </w:rPr>
        <w:t>Singanan, M., Vinodhini, S.</w:t>
      </w:r>
      <w:r w:rsidR="00F81221">
        <w:rPr>
          <w:kern w:val="0"/>
        </w:rPr>
        <w:t xml:space="preserve"> and </w:t>
      </w:r>
      <w:r>
        <w:rPr>
          <w:kern w:val="0"/>
        </w:rPr>
        <w:t xml:space="preserve">Abebaw, A. (2008), Biosorption of Cr(III) from aqueous solutions using indigenous biomaterials. </w:t>
      </w:r>
      <w:r>
        <w:rPr>
          <w:i/>
          <w:iCs/>
          <w:kern w:val="0"/>
        </w:rPr>
        <w:t>International Journal of Environmental Research</w:t>
      </w:r>
      <w:r>
        <w:rPr>
          <w:kern w:val="0"/>
        </w:rPr>
        <w:t xml:space="preserve">, </w:t>
      </w:r>
      <w:r>
        <w:rPr>
          <w:b/>
          <w:bCs/>
          <w:kern w:val="0"/>
        </w:rPr>
        <w:t>2</w:t>
      </w:r>
      <w:r>
        <w:rPr>
          <w:kern w:val="0"/>
        </w:rPr>
        <w:t xml:space="preserve"> (2), 177-182.</w:t>
      </w:r>
    </w:p>
    <w:p w:rsidR="00B10737" w:rsidRDefault="00B10737" w:rsidP="00B10737">
      <w:pPr>
        <w:pStyle w:val="a0"/>
        <w:rPr>
          <w:kern w:val="0"/>
        </w:rPr>
      </w:pPr>
      <w:r>
        <w:rPr>
          <w:rFonts w:hint="eastAsia"/>
          <w:kern w:val="0"/>
        </w:rPr>
        <w:t xml:space="preserve">Full Text: </w:t>
      </w:r>
      <w:hyperlink r:id="rId1804" w:history="1">
        <w:r w:rsidR="00C152FD" w:rsidRPr="00C152FD">
          <w:rPr>
            <w:rStyle w:val="a5"/>
            <w:kern w:val="0"/>
          </w:rPr>
          <w:t>2008\Int J Env Res2, 177.pdf</w:t>
        </w:r>
      </w:hyperlink>
    </w:p>
    <w:p w:rsidR="00B10737" w:rsidRDefault="00B10737" w:rsidP="00B10737">
      <w:pPr>
        <w:pStyle w:val="a0"/>
        <w:rPr>
          <w:kern w:val="0"/>
        </w:rPr>
      </w:pPr>
      <w:r>
        <w:rPr>
          <w:kern w:val="0"/>
        </w:rPr>
        <w:t>Abstract: In the present study, an indigenous medicinal plant, Tridax procumbens (Asteraceae) was used as bioadsorbent for the removal of Cr(III) ions from synthetic wastewater</w:t>
      </w:r>
      <w:r w:rsidR="00F81221">
        <w:rPr>
          <w:kern w:val="0"/>
        </w:rPr>
        <w:t xml:space="preserve"> and </w:t>
      </w:r>
      <w:r>
        <w:rPr>
          <w:kern w:val="0"/>
        </w:rPr>
        <w:t>the method was also applied for real sample analysis. The biosorption of Cr(III) was a two-stage batch reactor process. In the first stage, raw biomaterial was used to the conversion of Cr(VI) into Cr(III). The amount of the biomaterial was 2.5g. The percent conversion was 100. The second stage involved the biosorption of Cr(III) onto the activated carbon of the biomaterial. The result indicated that, the biosorption of Cr(III) was 98.5 % at the optimum pH of 3.2. The experiments were carried out at the temperature of 25 +/- 2 degrees C. The optimum contact time was 150 min</w:t>
      </w:r>
      <w:r w:rsidR="00F81221">
        <w:rPr>
          <w:kern w:val="0"/>
        </w:rPr>
        <w:t xml:space="preserve"> and </w:t>
      </w:r>
      <w:r>
        <w:rPr>
          <w:kern w:val="0"/>
        </w:rPr>
        <w:t>the adsorbent dose was 2.5g of activated carbon. The effect of concentration was also studied for the design of the treatment systems</w:t>
      </w:r>
      <w:r w:rsidR="00F81221">
        <w:rPr>
          <w:kern w:val="0"/>
        </w:rPr>
        <w:t xml:space="preserve"> and </w:t>
      </w:r>
      <w:r>
        <w:rPr>
          <w:kern w:val="0"/>
        </w:rPr>
        <w:t>this methodology is highly suitable for the treatment of chromium containing wastewater.</w:t>
      </w:r>
    </w:p>
    <w:p w:rsidR="00B10737" w:rsidRDefault="00B10737" w:rsidP="00B10737">
      <w:pPr>
        <w:pStyle w:val="a0"/>
        <w:rPr>
          <w:kern w:val="0"/>
        </w:rPr>
      </w:pPr>
      <w:r>
        <w:rPr>
          <w:kern w:val="0"/>
        </w:rPr>
        <w:t xml:space="preserve">Keywords: Activated Carbon, Adsorbent, Adsorbent Dose, Adsorption, Analysis, Aqueous Solutions, Batch, Batch Reactor, Biomaterials, Biosorption, Cadmium, Carbon, Charcoal, Chromium, Chromium(III), Concentration, Design, Experiments, First, Ions, Medicinal Plants, Methodology, </w:t>
      </w:r>
      <w:r>
        <w:rPr>
          <w:rFonts w:hint="eastAsia"/>
          <w:kern w:val="0"/>
        </w:rPr>
        <w:t>p</w:t>
      </w:r>
      <w:r>
        <w:rPr>
          <w:kern w:val="0"/>
        </w:rPr>
        <w:t>H, Plant, Removal, Second Stage, Solutions, Systems, Temperature, Treatment, Tridax Procumbens, Wastewater</w:t>
      </w:r>
    </w:p>
    <w:p w:rsidR="00B10737" w:rsidRDefault="00B10737" w:rsidP="00B10737">
      <w:pPr>
        <w:pStyle w:val="a0"/>
        <w:rPr>
          <w:kern w:val="0"/>
        </w:rPr>
      </w:pPr>
      <w:r>
        <w:rPr>
          <w:rFonts w:hint="eastAsia"/>
          <w:kern w:val="0"/>
        </w:rPr>
        <w:t xml:space="preserve">? </w:t>
      </w:r>
      <w:r>
        <w:rPr>
          <w:kern w:val="0"/>
        </w:rPr>
        <w:t>Hassani, A.H., Seif, S., Javid, A.H.</w:t>
      </w:r>
      <w:r w:rsidR="00F81221">
        <w:rPr>
          <w:kern w:val="0"/>
        </w:rPr>
        <w:t xml:space="preserve"> and </w:t>
      </w:r>
      <w:r>
        <w:rPr>
          <w:kern w:val="0"/>
        </w:rPr>
        <w:t xml:space="preserve">Borghei, M. (2008), Comparison of adsorption process by GAC with novel formulation of coagulation - Flocculation for </w:t>
      </w:r>
      <w:r>
        <w:rPr>
          <w:kern w:val="0"/>
        </w:rPr>
        <w:lastRenderedPageBreak/>
        <w:t xml:space="preserve">color removal of textile wastewater. </w:t>
      </w:r>
      <w:r>
        <w:rPr>
          <w:i/>
          <w:iCs/>
          <w:kern w:val="0"/>
        </w:rPr>
        <w:t>International Journal of Environmental Research</w:t>
      </w:r>
      <w:r>
        <w:rPr>
          <w:kern w:val="0"/>
        </w:rPr>
        <w:t xml:space="preserve">, </w:t>
      </w:r>
      <w:r>
        <w:rPr>
          <w:b/>
          <w:bCs/>
          <w:kern w:val="0"/>
        </w:rPr>
        <w:t>2</w:t>
      </w:r>
      <w:r>
        <w:rPr>
          <w:kern w:val="0"/>
        </w:rPr>
        <w:t xml:space="preserve"> (3), 239-248.</w:t>
      </w:r>
    </w:p>
    <w:p w:rsidR="00B10737" w:rsidRDefault="00B10737" w:rsidP="00B10737">
      <w:pPr>
        <w:pStyle w:val="a0"/>
        <w:rPr>
          <w:kern w:val="0"/>
        </w:rPr>
      </w:pPr>
      <w:r>
        <w:rPr>
          <w:rFonts w:hint="eastAsia"/>
          <w:kern w:val="0"/>
        </w:rPr>
        <w:t xml:space="preserve">Full Text: </w:t>
      </w:r>
      <w:hyperlink r:id="rId1805" w:history="1">
        <w:r w:rsidR="00C152FD" w:rsidRPr="00C152FD">
          <w:rPr>
            <w:rStyle w:val="a5"/>
            <w:kern w:val="0"/>
          </w:rPr>
          <w:t>2008\Int J Env Res2, 239.pdf</w:t>
        </w:r>
      </w:hyperlink>
    </w:p>
    <w:p w:rsidR="00B10737" w:rsidRDefault="00B10737" w:rsidP="00B10737">
      <w:pPr>
        <w:pStyle w:val="a0"/>
        <w:rPr>
          <w:kern w:val="0"/>
        </w:rPr>
      </w:pPr>
      <w:r>
        <w:rPr>
          <w:kern w:val="0"/>
        </w:rPr>
        <w:t>Abstract: This study evaluates the effectiveness of adsorption process by Granular Activated Carbon (GAC) compared with a novel formulation of coagulation - flocculation process for dye removal from textile wastewater. In this regard, acidic, reactive, disperse</w:t>
      </w:r>
      <w:r w:rsidR="00F81221">
        <w:rPr>
          <w:kern w:val="0"/>
        </w:rPr>
        <w:t xml:space="preserve"> and </w:t>
      </w:r>
      <w:r>
        <w:rPr>
          <w:kern w:val="0"/>
        </w:rPr>
        <w:t>direct red dye are used to prepare the synthetic dye. Dominant wave length for each dye is determined by spectrophotometeric method. Using GAC as adsorbent, equilibrium time</w:t>
      </w:r>
      <w:r w:rsidR="00F81221">
        <w:rPr>
          <w:kern w:val="0"/>
        </w:rPr>
        <w:t xml:space="preserve"> and </w:t>
      </w:r>
      <w:r>
        <w:rPr>
          <w:kern w:val="0"/>
        </w:rPr>
        <w:t>adsorption isotherm of each dye are determined with aid of spectrophotometric method. The results show that GAC can not remove dispersed red dye. Acidic red, direct red</w:t>
      </w:r>
      <w:r w:rsidR="00F81221">
        <w:rPr>
          <w:kern w:val="0"/>
        </w:rPr>
        <w:t xml:space="preserve"> and </w:t>
      </w:r>
      <w:r>
        <w:rPr>
          <w:kern w:val="0"/>
        </w:rPr>
        <w:t>reactive red of 5 mg/L concentration are removed by GAC up to %90, %88</w:t>
      </w:r>
      <w:r w:rsidR="00F81221">
        <w:rPr>
          <w:kern w:val="0"/>
        </w:rPr>
        <w:t xml:space="preserve"> and </w:t>
      </w:r>
      <w:r>
        <w:rPr>
          <w:kern w:val="0"/>
        </w:rPr>
        <w:t>%43 in 30, 60</w:t>
      </w:r>
      <w:r w:rsidR="00F81221">
        <w:rPr>
          <w:kern w:val="0"/>
        </w:rPr>
        <w:t xml:space="preserve"> and </w:t>
      </w:r>
      <w:r>
        <w:rPr>
          <w:kern w:val="0"/>
        </w:rPr>
        <w:t>120 min. (equilibrium time) respectively. Dyes of 50 mg/L concentration are removed up to %93, %30</w:t>
      </w:r>
      <w:r w:rsidR="00F81221">
        <w:rPr>
          <w:kern w:val="0"/>
        </w:rPr>
        <w:t xml:space="preserve"> and </w:t>
      </w:r>
      <w:r>
        <w:rPr>
          <w:kern w:val="0"/>
        </w:rPr>
        <w:t>%51 in 15, 90</w:t>
      </w:r>
      <w:r w:rsidR="00F81221">
        <w:rPr>
          <w:kern w:val="0"/>
        </w:rPr>
        <w:t xml:space="preserve"> and </w:t>
      </w:r>
      <w:r>
        <w:rPr>
          <w:kern w:val="0"/>
        </w:rPr>
        <w:t>150 min. respectively. Adsorption obeys Freundlich isotherm for acidic red, BET isotherm for direct red</w:t>
      </w:r>
      <w:r w:rsidR="00F81221">
        <w:rPr>
          <w:kern w:val="0"/>
        </w:rPr>
        <w:t xml:space="preserve"> and </w:t>
      </w:r>
      <w:r>
        <w:rPr>
          <w:kern w:val="0"/>
        </w:rPr>
        <w:t>Langmuir isotherm for reactive red. This investigation presents a novel formulation of coagulation - flocculation for color removal from textile dye solutions</w:t>
      </w:r>
      <w:r w:rsidR="00F81221">
        <w:rPr>
          <w:kern w:val="0"/>
        </w:rPr>
        <w:t xml:space="preserve"> and </w:t>
      </w:r>
      <w:r>
        <w:rPr>
          <w:kern w:val="0"/>
        </w:rPr>
        <w:t>illustrates its efficiency. Novel formulation of coagulation - flocculation remove direct red, reactive red</w:t>
      </w:r>
      <w:r w:rsidR="00F81221">
        <w:rPr>
          <w:kern w:val="0"/>
        </w:rPr>
        <w:t xml:space="preserve"> and </w:t>
      </w:r>
      <w:r>
        <w:rPr>
          <w:kern w:val="0"/>
        </w:rPr>
        <w:t>disperse red of 5 mg/L concentration respectively up to %93, %91.3</w:t>
      </w:r>
      <w:r w:rsidR="00F81221">
        <w:rPr>
          <w:kern w:val="0"/>
        </w:rPr>
        <w:t xml:space="preserve"> and </w:t>
      </w:r>
      <w:r>
        <w:rPr>
          <w:kern w:val="0"/>
        </w:rPr>
        <w:t>%57.1. Also the mentioned dyes of 5 0 mg/L are removed respectively up to %90.8, %91.9</w:t>
      </w:r>
      <w:r w:rsidR="00F81221">
        <w:rPr>
          <w:kern w:val="0"/>
        </w:rPr>
        <w:t xml:space="preserve"> and </w:t>
      </w:r>
      <w:r>
        <w:rPr>
          <w:kern w:val="0"/>
        </w:rPr>
        <w:t>%70.1.</w:t>
      </w:r>
    </w:p>
    <w:p w:rsidR="00B10737" w:rsidRDefault="00B10737" w:rsidP="00B10737">
      <w:pPr>
        <w:pStyle w:val="a0"/>
        <w:rPr>
          <w:kern w:val="0"/>
        </w:rPr>
      </w:pPr>
      <w:r>
        <w:rPr>
          <w:kern w:val="0"/>
        </w:rPr>
        <w:t>Keywords: Adsorbent, Adsorption, Adsorption Isotherm, Bet, Carbon, Carbons, Coagulation, Color Removal, Concentration, Dye, Dye Removal, Dyes, Effectiveness, Efficiency, Equilibrium, Flocculation, Formulation, Freundlich, Freundlich Isotherm, GAC, Investigation, Isotherm, Jar Test, Langmuir, Langmuir Isotherm, Length, Removal, Solutions, Textile Dye, Textile Wastewater, Wastewater</w:t>
      </w:r>
    </w:p>
    <w:p w:rsidR="00B95188" w:rsidRPr="00586CD8" w:rsidRDefault="00B95188" w:rsidP="00B95188">
      <w:pPr>
        <w:pStyle w:val="a0"/>
        <w:rPr>
          <w:kern w:val="2"/>
        </w:rPr>
      </w:pPr>
      <w:r w:rsidRPr="00586CD8">
        <w:rPr>
          <w:rFonts w:hint="eastAsia"/>
          <w:kern w:val="2"/>
        </w:rPr>
        <w:t xml:space="preserve">? </w:t>
      </w:r>
      <w:r w:rsidRPr="00586CD8">
        <w:rPr>
          <w:kern w:val="2"/>
        </w:rPr>
        <w:t>Labidi</w:t>
      </w:r>
      <w:r w:rsidRPr="00586CD8">
        <w:rPr>
          <w:rFonts w:hint="eastAsia"/>
          <w:kern w:val="2"/>
        </w:rPr>
        <w:t>,</w:t>
      </w:r>
      <w:r w:rsidRPr="00586CD8">
        <w:rPr>
          <w:kern w:val="2"/>
        </w:rPr>
        <w:t xml:space="preserve"> N</w:t>
      </w:r>
      <w:r w:rsidRPr="00586CD8">
        <w:rPr>
          <w:rFonts w:hint="eastAsia"/>
          <w:kern w:val="2"/>
        </w:rPr>
        <w:t>.</w:t>
      </w:r>
      <w:r w:rsidRPr="00586CD8">
        <w:rPr>
          <w:kern w:val="2"/>
        </w:rPr>
        <w:t>S</w:t>
      </w:r>
      <w:r w:rsidRPr="00586CD8">
        <w:rPr>
          <w:rFonts w:hint="eastAsia"/>
          <w:kern w:val="2"/>
        </w:rPr>
        <w:t>.</w:t>
      </w:r>
      <w:r w:rsidRPr="00586CD8">
        <w:rPr>
          <w:kern w:val="2"/>
        </w:rPr>
        <w:t xml:space="preserve"> (200</w:t>
      </w:r>
      <w:r w:rsidRPr="00586CD8">
        <w:rPr>
          <w:rFonts w:hint="eastAsia"/>
          <w:kern w:val="2"/>
        </w:rPr>
        <w:t>8</w:t>
      </w:r>
      <w:r w:rsidRPr="00586CD8">
        <w:rPr>
          <w:kern w:val="2"/>
        </w:rPr>
        <w:t xml:space="preserve">), Removal of mercury from aqueous solutions by waste brick. </w:t>
      </w:r>
      <w:r w:rsidRPr="00ED7889">
        <w:rPr>
          <w:i/>
          <w:kern w:val="0"/>
        </w:rPr>
        <w:t>International Journal of Environmental Research</w:t>
      </w:r>
      <w:r w:rsidRPr="00586CD8">
        <w:rPr>
          <w:kern w:val="2"/>
        </w:rPr>
        <w:t xml:space="preserve">, </w:t>
      </w:r>
      <w:r>
        <w:rPr>
          <w:rFonts w:hint="eastAsia"/>
          <w:b/>
          <w:bCs/>
          <w:kern w:val="0"/>
        </w:rPr>
        <w:t>2</w:t>
      </w:r>
      <w:r w:rsidRPr="00586CD8">
        <w:rPr>
          <w:kern w:val="2"/>
        </w:rPr>
        <w:t xml:space="preserve"> (</w:t>
      </w:r>
      <w:r w:rsidRPr="00586CD8">
        <w:rPr>
          <w:rFonts w:hint="eastAsia"/>
          <w:kern w:val="2"/>
        </w:rPr>
        <w:t>3</w:t>
      </w:r>
      <w:r w:rsidRPr="00586CD8">
        <w:rPr>
          <w:kern w:val="2"/>
        </w:rPr>
        <w:t>), 275-278.</w:t>
      </w:r>
    </w:p>
    <w:p w:rsidR="00874908" w:rsidRDefault="00874908" w:rsidP="00874908">
      <w:pPr>
        <w:pStyle w:val="a0"/>
        <w:rPr>
          <w:kern w:val="0"/>
        </w:rPr>
      </w:pPr>
      <w:r>
        <w:rPr>
          <w:rFonts w:hint="eastAsia"/>
          <w:kern w:val="0"/>
        </w:rPr>
        <w:t xml:space="preserve">Full Text: </w:t>
      </w:r>
      <w:hyperlink r:id="rId1806" w:history="1">
        <w:r w:rsidRPr="00874908">
          <w:rPr>
            <w:rStyle w:val="a5"/>
            <w:kern w:val="0"/>
          </w:rPr>
          <w:t>2008\Int J Env Res2, 275.pdf</w:t>
        </w:r>
      </w:hyperlink>
    </w:p>
    <w:p w:rsidR="00B95188" w:rsidRPr="00586CD8" w:rsidRDefault="00B95188" w:rsidP="00B95188">
      <w:pPr>
        <w:pStyle w:val="a0"/>
        <w:rPr>
          <w:kern w:val="2"/>
        </w:rPr>
      </w:pPr>
      <w:r w:rsidRPr="00586CD8">
        <w:rPr>
          <w:kern w:val="2"/>
        </w:rPr>
        <w:t>Abstract: Mercury is one of the most toxic heavy metals present in aquatic systems, exhibiting a complex behaviour in the environment, where it may persist for decades after the source of pollution is stopped. Hence, it is important develop new techniques for its removal from the aquatic systems. In this context, a particularly promising line of research is the use of new materials capable of up taking mercury from aqueous systems. A new sorbent system for removing mercury(II) in presence of oleic acid, from aqueous solutions has been investigated. This new sorbent is waste crushed brick, obtained from local industries. Variables of the system include solution pH, sorbent dose</w:t>
      </w:r>
      <w:r w:rsidR="00F81221">
        <w:rPr>
          <w:kern w:val="2"/>
        </w:rPr>
        <w:t xml:space="preserve"> and </w:t>
      </w:r>
      <w:r w:rsidRPr="00586CD8">
        <w:rPr>
          <w:kern w:val="2"/>
        </w:rPr>
        <w:t>contact time. The adsorption isotherm data follow the Langrnuir equation in which characteristic parameters was calculated. Waste crushed brick has a maximum mercury(II) removal capacity (87mg/g).</w:t>
      </w:r>
    </w:p>
    <w:p w:rsidR="00B95188" w:rsidRPr="00586CD8" w:rsidRDefault="00B95188" w:rsidP="00B95188">
      <w:pPr>
        <w:pStyle w:val="a0"/>
        <w:rPr>
          <w:kern w:val="2"/>
        </w:rPr>
      </w:pPr>
      <w:r w:rsidRPr="00586CD8">
        <w:rPr>
          <w:kern w:val="2"/>
        </w:rPr>
        <w:lastRenderedPageBreak/>
        <w:t>Keywords: Adsorption, Hg(II), Crushed Brick, Oleic Acid, Langmuir Isotherm, Heavy-Metals, Ions, Equilibrium, Kinetics, Adsorption, Copper</w:t>
      </w:r>
    </w:p>
    <w:p w:rsidR="00B10737" w:rsidRDefault="00B10737" w:rsidP="00B10737">
      <w:pPr>
        <w:pStyle w:val="a0"/>
        <w:rPr>
          <w:kern w:val="0"/>
        </w:rPr>
      </w:pPr>
      <w:r>
        <w:rPr>
          <w:rFonts w:hint="eastAsia"/>
          <w:kern w:val="0"/>
        </w:rPr>
        <w:t xml:space="preserve">? </w:t>
      </w:r>
      <w:r>
        <w:rPr>
          <w:kern w:val="0"/>
        </w:rPr>
        <w:t>Murugesan, A.G., Maheswari, S.</w:t>
      </w:r>
      <w:r w:rsidR="00F81221">
        <w:rPr>
          <w:kern w:val="0"/>
        </w:rPr>
        <w:t xml:space="preserve"> and </w:t>
      </w:r>
      <w:r>
        <w:rPr>
          <w:kern w:val="0"/>
        </w:rPr>
        <w:t>Bagirath, G. (2008), Biosorption of cadmium by live</w:t>
      </w:r>
      <w:r w:rsidR="00F81221">
        <w:rPr>
          <w:kern w:val="0"/>
        </w:rPr>
        <w:t xml:space="preserve"> and </w:t>
      </w:r>
      <w:r>
        <w:rPr>
          <w:kern w:val="0"/>
        </w:rPr>
        <w:t xml:space="preserve">immobilized cells of </w:t>
      </w:r>
      <w:r w:rsidRPr="00C152FD">
        <w:rPr>
          <w:i/>
          <w:kern w:val="0"/>
        </w:rPr>
        <w:t>Spirulina platensis</w:t>
      </w:r>
      <w:r>
        <w:rPr>
          <w:kern w:val="0"/>
        </w:rPr>
        <w:t xml:space="preserve">. </w:t>
      </w:r>
      <w:r>
        <w:rPr>
          <w:i/>
          <w:iCs/>
          <w:kern w:val="0"/>
        </w:rPr>
        <w:t>International Journal of Environmental Research</w:t>
      </w:r>
      <w:r>
        <w:rPr>
          <w:kern w:val="0"/>
        </w:rPr>
        <w:t xml:space="preserve">, </w:t>
      </w:r>
      <w:r>
        <w:rPr>
          <w:b/>
          <w:bCs/>
          <w:kern w:val="0"/>
        </w:rPr>
        <w:t>2</w:t>
      </w:r>
      <w:r>
        <w:rPr>
          <w:kern w:val="0"/>
        </w:rPr>
        <w:t xml:space="preserve"> (3), 307-312.</w:t>
      </w:r>
    </w:p>
    <w:p w:rsidR="00B10737" w:rsidRDefault="00B10737" w:rsidP="00B10737">
      <w:pPr>
        <w:pStyle w:val="a0"/>
        <w:rPr>
          <w:kern w:val="0"/>
        </w:rPr>
      </w:pPr>
      <w:r>
        <w:rPr>
          <w:rFonts w:hint="eastAsia"/>
          <w:kern w:val="0"/>
        </w:rPr>
        <w:t xml:space="preserve">Full Text: </w:t>
      </w:r>
      <w:hyperlink r:id="rId1807" w:history="1">
        <w:r w:rsidR="00C152FD" w:rsidRPr="00C152FD">
          <w:rPr>
            <w:rStyle w:val="a5"/>
            <w:kern w:val="0"/>
          </w:rPr>
          <w:t>2008\Int J Env Res2, 307.pdf</w:t>
        </w:r>
      </w:hyperlink>
    </w:p>
    <w:p w:rsidR="00B10737" w:rsidRDefault="00B10737" w:rsidP="00B10737">
      <w:pPr>
        <w:pStyle w:val="a0"/>
        <w:rPr>
          <w:kern w:val="0"/>
        </w:rPr>
      </w:pPr>
      <w:r>
        <w:rPr>
          <w:kern w:val="0"/>
        </w:rPr>
        <w:t>Abstract: Spirulina platensis, a cyanobacterium of economic important was studied for the tolerance to cadmium. The bioassay studies showed the EC50 value to be 1.53 mg/g. The cyanobacterium was very sensitive to low metal concentration</w:t>
      </w:r>
      <w:r w:rsidR="00F81221">
        <w:rPr>
          <w:kern w:val="0"/>
        </w:rPr>
        <w:t xml:space="preserve"> and </w:t>
      </w:r>
      <w:r>
        <w:rPr>
          <w:kern w:val="0"/>
        </w:rPr>
        <w:t>the productivity was also reduced. The chlorophyll pigments reduced with decreasing the algal biomass. The algal survival rate showed a marked reduction in their survival rate from 98% in the control medium to &gt;50% at 1.6 mg/L cadmium</w:t>
      </w:r>
      <w:r w:rsidR="00F81221">
        <w:rPr>
          <w:kern w:val="0"/>
        </w:rPr>
        <w:t xml:space="preserve"> and </w:t>
      </w:r>
      <w:r>
        <w:rPr>
          <w:kern w:val="0"/>
        </w:rPr>
        <w:t>no growth in the culture exposed to cadmium concentration of 1.9 mg/L. The Biosorption studies showed that the algae had a great potential for adsorbing the heavy metal on to the cell. A maximum uptake of 44.56 mg/g was obtained in living cells of Spirulina platensis suggesting the possibility of the algae to be a good biosorbent. Culturing the algae in low metal concentrations can be utilized as potential tertiary treatment for metal containing effluent. The immobilized cell of Spirulina platensis was able to be more effective in absorbing the metal 47.89 mg/g to the cell. The results of the study indicate the potentiality of the algae to be a possible agent for removal of heavy metals from aqueous solutions.</w:t>
      </w:r>
    </w:p>
    <w:p w:rsidR="00B10737" w:rsidRDefault="00B10737" w:rsidP="00B10737">
      <w:pPr>
        <w:pStyle w:val="a0"/>
        <w:rPr>
          <w:kern w:val="0"/>
        </w:rPr>
      </w:pPr>
      <w:r>
        <w:rPr>
          <w:kern w:val="0"/>
        </w:rPr>
        <w:t>Keywords: Algae, Aqueous Solutions, Bioaccumulation, Bioassay, Biomass, Biosorbent, Biosorption, Cadmium, Chlorophyll, Concentration, Control, Culture, Economic, Growth, Heavy Metal, Heavy Metals, Heavy-Metals, Immobilized, Immobilized Cells, Living, Metal, Metals, Potential, Productivity, Reduction, Removal, Solutions, Spirulina Platensis, Sub Lethal, Survival, Survival Rate, Tolerance, Toxicity, Treatment, Uptake, Value</w:t>
      </w:r>
    </w:p>
    <w:p w:rsidR="00B10737" w:rsidRDefault="00B10737" w:rsidP="00B10737">
      <w:pPr>
        <w:pStyle w:val="a0"/>
        <w:rPr>
          <w:kern w:val="0"/>
        </w:rPr>
      </w:pPr>
      <w:r>
        <w:rPr>
          <w:rFonts w:hint="eastAsia"/>
          <w:kern w:val="0"/>
        </w:rPr>
        <w:t xml:space="preserve">? </w:t>
      </w:r>
      <w:r>
        <w:rPr>
          <w:kern w:val="0"/>
        </w:rPr>
        <w:t>Nagda, G.K.</w:t>
      </w:r>
      <w:r w:rsidR="00F81221">
        <w:rPr>
          <w:kern w:val="0"/>
        </w:rPr>
        <w:t xml:space="preserve"> and </w:t>
      </w:r>
      <w:r>
        <w:rPr>
          <w:kern w:val="0"/>
        </w:rPr>
        <w:t xml:space="preserve">Ghole, V.S. (2008), Utilization of lignocellulosic waste from bidi industry for removal of dye from aqueous solution. </w:t>
      </w:r>
      <w:r>
        <w:rPr>
          <w:i/>
          <w:iCs/>
          <w:kern w:val="0"/>
        </w:rPr>
        <w:t>International Journal of Environmental Research</w:t>
      </w:r>
      <w:r>
        <w:rPr>
          <w:kern w:val="0"/>
        </w:rPr>
        <w:t xml:space="preserve">, </w:t>
      </w:r>
      <w:r>
        <w:rPr>
          <w:b/>
          <w:bCs/>
          <w:kern w:val="0"/>
        </w:rPr>
        <w:t>2</w:t>
      </w:r>
      <w:r>
        <w:rPr>
          <w:kern w:val="0"/>
        </w:rPr>
        <w:t xml:space="preserve"> (4), 385-390.</w:t>
      </w:r>
    </w:p>
    <w:p w:rsidR="00B10737" w:rsidRDefault="00B10737" w:rsidP="00B10737">
      <w:pPr>
        <w:pStyle w:val="a0"/>
        <w:rPr>
          <w:kern w:val="0"/>
        </w:rPr>
      </w:pPr>
      <w:r>
        <w:rPr>
          <w:rFonts w:hint="eastAsia"/>
          <w:kern w:val="0"/>
        </w:rPr>
        <w:t xml:space="preserve">Full Text: </w:t>
      </w:r>
      <w:hyperlink r:id="rId1808" w:history="1">
        <w:r w:rsidR="00C152FD" w:rsidRPr="00C152FD">
          <w:rPr>
            <w:rStyle w:val="a5"/>
            <w:kern w:val="0"/>
          </w:rPr>
          <w:t>2008\Int J Env Res2, 385.pdf</w:t>
        </w:r>
      </w:hyperlink>
    </w:p>
    <w:p w:rsidR="00B10737" w:rsidRDefault="00B10737" w:rsidP="00B10737">
      <w:pPr>
        <w:pStyle w:val="a0"/>
        <w:rPr>
          <w:kern w:val="0"/>
        </w:rPr>
      </w:pPr>
      <w:r>
        <w:rPr>
          <w:kern w:val="0"/>
        </w:rPr>
        <w:t>Abstract: A new, local agro-industrial waste was valorized by chemical treatment</w:t>
      </w:r>
      <w:r w:rsidR="00F81221">
        <w:rPr>
          <w:kern w:val="0"/>
        </w:rPr>
        <w:t xml:space="preserve"> and </w:t>
      </w:r>
      <w:r>
        <w:rPr>
          <w:kern w:val="0"/>
        </w:rPr>
        <w:t>tested for its ability to remove cationic dye from aqueous solution. Tendu (Diospyros melanoxylon) leaves refuse, a solid waste from bidi industry which caused disposal problem, was studied as a biosorbent. Raw tendu waste (TLR), along with sulfuric acid carbonized tendu waste (TLR-CM)</w:t>
      </w:r>
      <w:r w:rsidR="00F81221">
        <w:rPr>
          <w:kern w:val="0"/>
        </w:rPr>
        <w:t xml:space="preserve"> and </w:t>
      </w:r>
      <w:r>
        <w:rPr>
          <w:kern w:val="0"/>
        </w:rPr>
        <w:t>tendu waste treated with dilute sulfuric acid (TLR-2N) were utilized as sorbent for uptake of crystal violet from aqueous solutions. Adsorption studies were carried out at various dye concentrations</w:t>
      </w:r>
      <w:r w:rsidR="00F81221">
        <w:rPr>
          <w:kern w:val="0"/>
        </w:rPr>
        <w:t xml:space="preserve"> and </w:t>
      </w:r>
      <w:r>
        <w:rPr>
          <w:kern w:val="0"/>
        </w:rPr>
        <w:t>contact times. It followed the pseudo-second-order kinetics</w:t>
      </w:r>
      <w:r w:rsidR="00F81221">
        <w:rPr>
          <w:kern w:val="0"/>
        </w:rPr>
        <w:t xml:space="preserve"> and </w:t>
      </w:r>
      <w:r>
        <w:rPr>
          <w:kern w:val="0"/>
        </w:rPr>
        <w:t xml:space="preserve">followed the </w:t>
      </w:r>
      <w:r>
        <w:rPr>
          <w:kern w:val="0"/>
        </w:rPr>
        <w:lastRenderedPageBreak/>
        <w:t>Langmuir adsorption isotherm. Interestingly, milder acid treatment of the tendu waste enhanced biosorption, whereas drastic acid carbonization of tendu waste resulted in reduced adsorption of dye. The maximum adsorption capacities for crystal violet for TLR-2N, TLR</w:t>
      </w:r>
      <w:r w:rsidR="00F81221">
        <w:rPr>
          <w:kern w:val="0"/>
        </w:rPr>
        <w:t xml:space="preserve"> and </w:t>
      </w:r>
      <w:r>
        <w:rPr>
          <w:kern w:val="0"/>
        </w:rPr>
        <w:t>TLR-CM are 67.57,42.92</w:t>
      </w:r>
      <w:r w:rsidR="00F81221">
        <w:rPr>
          <w:kern w:val="0"/>
        </w:rPr>
        <w:t xml:space="preserve"> and </w:t>
      </w:r>
      <w:r>
        <w:rPr>
          <w:kern w:val="0"/>
        </w:rPr>
        <w:t>22.47 mg/g respectively Commercial activated carbon had maximum adsorption capacity for crystal violet of 151.52 mg/g. Thus a renewable solid waste with mild acid treatment can offer a cost effective alternative to activated carbon.</w:t>
      </w:r>
    </w:p>
    <w:p w:rsidR="00B10737" w:rsidRDefault="00B10737" w:rsidP="00B10737">
      <w:pPr>
        <w:pStyle w:val="a0"/>
        <w:rPr>
          <w:kern w:val="0"/>
        </w:rPr>
      </w:pPr>
      <w:r>
        <w:rPr>
          <w:kern w:val="0"/>
        </w:rPr>
        <w:t>Keywords: Acid Treatment, Acid-Treatment, Activated Carbon, Adsorption, Adsorption Capacities, Adsorption Capacity, Adsorption Isotherm, Alternative, Aqueous Solution, Aqueous Solutions, Biosorbent, Biosorption, Capacity, Carbon, Carbonization, Cationic Dye, Chemical, Cost, Cost-Effective, Crystal Violet, Diospyros Melanoxylon, Disposal, Dye, Isotherm, Kinetics, Langmuir, Langmuir Adsorption Isotherm, Local, Pseudo Second Order, Pseudo Second Order Kinetics, Pseudo-Second-Order, Pseudo-Second-Order Kinetics, Removal, Solid Tendu Waste, Solid Waste, Solution, Solutions, Sorbent, Sorption, Treatment, Uptake, Waste</w:t>
      </w:r>
    </w:p>
    <w:p w:rsidR="00B10737" w:rsidRDefault="00B10737" w:rsidP="00B10737">
      <w:pPr>
        <w:pStyle w:val="a0"/>
        <w:rPr>
          <w:kern w:val="0"/>
        </w:rPr>
      </w:pPr>
      <w:r>
        <w:rPr>
          <w:rFonts w:hint="eastAsia"/>
          <w:kern w:val="0"/>
        </w:rPr>
        <w:t xml:space="preserve">? </w:t>
      </w:r>
      <w:r>
        <w:rPr>
          <w:kern w:val="0"/>
        </w:rPr>
        <w:t>Lori, J.A., Lawal, A.O.</w:t>
      </w:r>
      <w:r w:rsidR="00F81221">
        <w:rPr>
          <w:kern w:val="0"/>
        </w:rPr>
        <w:t xml:space="preserve"> and </w:t>
      </w:r>
      <w:r>
        <w:rPr>
          <w:kern w:val="0"/>
        </w:rPr>
        <w:t>Ekanem, E.J. (2008), Active carbons from chemically mediated pyrolysis of agricultural wastes: Application in simultaneous removal of binary mixture of benzene</w:t>
      </w:r>
      <w:r w:rsidR="00F81221">
        <w:rPr>
          <w:kern w:val="0"/>
        </w:rPr>
        <w:t xml:space="preserve"> and </w:t>
      </w:r>
      <w:r>
        <w:rPr>
          <w:kern w:val="0"/>
        </w:rPr>
        <w:t xml:space="preserve">toluene from water. </w:t>
      </w:r>
      <w:r>
        <w:rPr>
          <w:i/>
          <w:iCs/>
          <w:kern w:val="0"/>
        </w:rPr>
        <w:t>International Journal of Environmental Research</w:t>
      </w:r>
      <w:r>
        <w:rPr>
          <w:kern w:val="0"/>
        </w:rPr>
        <w:t xml:space="preserve">, </w:t>
      </w:r>
      <w:r>
        <w:rPr>
          <w:b/>
          <w:bCs/>
          <w:kern w:val="0"/>
        </w:rPr>
        <w:t>2</w:t>
      </w:r>
      <w:r>
        <w:rPr>
          <w:kern w:val="0"/>
        </w:rPr>
        <w:t xml:space="preserve"> (4), 411-418.</w:t>
      </w:r>
    </w:p>
    <w:p w:rsidR="00B10737" w:rsidRDefault="00B10737" w:rsidP="00B10737">
      <w:pPr>
        <w:pStyle w:val="a0"/>
        <w:rPr>
          <w:kern w:val="0"/>
        </w:rPr>
      </w:pPr>
      <w:r>
        <w:rPr>
          <w:rFonts w:hint="eastAsia"/>
          <w:kern w:val="0"/>
        </w:rPr>
        <w:t xml:space="preserve">Full Text: </w:t>
      </w:r>
      <w:hyperlink r:id="rId1809" w:history="1">
        <w:r w:rsidR="00C152FD" w:rsidRPr="00C152FD">
          <w:rPr>
            <w:rStyle w:val="a5"/>
            <w:kern w:val="0"/>
          </w:rPr>
          <w:t>2008\Int J Env Res2, 411.pdf</w:t>
        </w:r>
      </w:hyperlink>
    </w:p>
    <w:p w:rsidR="00B10737" w:rsidRDefault="00B10737" w:rsidP="00B10737">
      <w:pPr>
        <w:pStyle w:val="a0"/>
        <w:rPr>
          <w:kern w:val="0"/>
        </w:rPr>
      </w:pPr>
      <w:r>
        <w:rPr>
          <w:kern w:val="0"/>
        </w:rPr>
        <w:t>Abstract: Active carbons were produced from bagasse, millet</w:t>
      </w:r>
      <w:r w:rsidR="00F81221">
        <w:rPr>
          <w:kern w:val="0"/>
        </w:rPr>
        <w:t xml:space="preserve"> and </w:t>
      </w:r>
      <w:r>
        <w:rPr>
          <w:kern w:val="0"/>
        </w:rPr>
        <w:t>sorghum straws by chemical activation with H3PO4. Carbon precursors with particle size of 1180 mu m were used, in order to overcome difficulties caused by low density</w:t>
      </w:r>
      <w:r w:rsidR="00F81221">
        <w:rPr>
          <w:kern w:val="0"/>
        </w:rPr>
        <w:t xml:space="preserve"> and </w:t>
      </w:r>
      <w:r>
        <w:rPr>
          <w:kern w:val="0"/>
        </w:rPr>
        <w:t>high ash content. The influence of preparation conditions (temperature, residence time,</w:t>
      </w:r>
      <w:r w:rsidR="00F81221">
        <w:rPr>
          <w:kern w:val="0"/>
        </w:rPr>
        <w:t xml:space="preserve"> and </w:t>
      </w:r>
      <w:r>
        <w:rPr>
          <w:kern w:val="0"/>
        </w:rPr>
        <w:t>acid impregnation ratio) on the yield of the active carbons was examined. The impregnation ration which was controlled by varying the proportion of H3PO4 used for the activation had a strong influence on the yields of the carbons. The pyrolysis temperature was varied in the range 100-450 degrees C, but equilibrium yields of the active carbons were highest at 450C with optimum impregnation ratio of 13.6. The potential of the active carbons as efficient</w:t>
      </w:r>
      <w:r w:rsidR="00F81221">
        <w:rPr>
          <w:kern w:val="0"/>
        </w:rPr>
        <w:t xml:space="preserve"> and </w:t>
      </w:r>
      <w:r>
        <w:rPr>
          <w:kern w:val="0"/>
        </w:rPr>
        <w:t>economical means of removing mixture of aromatic hydrocarbon contaminants from water was indicated by the complete removal of objectionable odor from contaminated water samples containing 35.1348 mg/cm(3) benzene</w:t>
      </w:r>
      <w:r w:rsidR="00F81221">
        <w:rPr>
          <w:kern w:val="0"/>
        </w:rPr>
        <w:t xml:space="preserve"> and </w:t>
      </w:r>
      <w:r>
        <w:rPr>
          <w:kern w:val="0"/>
        </w:rPr>
        <w:t>34.8534 mg/cm(3). Toluene, which are known carcinogens. Spectrophotometric determinations of the two solutes in the remediate water samples indicated slow but steady adsorption of the benzene/toluene mixture on the active carbons.</w:t>
      </w:r>
    </w:p>
    <w:p w:rsidR="00B10737" w:rsidRDefault="00B10737" w:rsidP="00B10737">
      <w:pPr>
        <w:pStyle w:val="a0"/>
        <w:rPr>
          <w:kern w:val="0"/>
        </w:rPr>
      </w:pPr>
      <w:r>
        <w:rPr>
          <w:kern w:val="0"/>
        </w:rPr>
        <w:t xml:space="preserve">Keywords: Activation, Active Carbon, Adsorption, Agricultural, Agricultural Waste, Agricultural Wastes, Bagasse, Benzene, Binary Mixture, Carbon, Chemical, Chemical Activation, Contaminants, Equilibrium, Hydrocarbon, Impregnation, </w:t>
      </w:r>
      <w:r>
        <w:rPr>
          <w:kern w:val="0"/>
        </w:rPr>
        <w:lastRenderedPageBreak/>
        <w:t>Particle Size, Phosphoric-Acid, Potential, Preparation, Pyrolysis, Removal, Residence Time, Shells, Size, Temperature, Toluene, Water, Water Samples</w:t>
      </w:r>
    </w:p>
    <w:p w:rsidR="00B10737" w:rsidRDefault="00B10737" w:rsidP="00B10737">
      <w:pPr>
        <w:pStyle w:val="a0"/>
        <w:rPr>
          <w:kern w:val="0"/>
        </w:rPr>
      </w:pPr>
      <w:r>
        <w:rPr>
          <w:rFonts w:hint="eastAsia"/>
          <w:kern w:val="0"/>
        </w:rPr>
        <w:t xml:space="preserve">? </w:t>
      </w:r>
      <w:r>
        <w:rPr>
          <w:kern w:val="0"/>
        </w:rPr>
        <w:t>Binupriya, A.R., Sathishkumar, M., Jung, S.H., Song, S.H.</w:t>
      </w:r>
      <w:r w:rsidR="00F81221">
        <w:rPr>
          <w:kern w:val="0"/>
        </w:rPr>
        <w:t xml:space="preserve"> and </w:t>
      </w:r>
      <w:r>
        <w:rPr>
          <w:kern w:val="0"/>
        </w:rPr>
        <w:t xml:space="preserve">Yun, S.I. (2009), A novel method in utilization of bokbunja seed wastes from wineries in liquid-phase sequestration of Reactive Blue 4. </w:t>
      </w:r>
      <w:r>
        <w:rPr>
          <w:i/>
          <w:iCs/>
          <w:kern w:val="0"/>
        </w:rPr>
        <w:t>International Journal of Environmental Research</w:t>
      </w:r>
      <w:r>
        <w:rPr>
          <w:kern w:val="0"/>
        </w:rPr>
        <w:t xml:space="preserve">, </w:t>
      </w:r>
      <w:r>
        <w:rPr>
          <w:b/>
          <w:bCs/>
          <w:kern w:val="0"/>
        </w:rPr>
        <w:t>3</w:t>
      </w:r>
      <w:r>
        <w:rPr>
          <w:kern w:val="0"/>
        </w:rPr>
        <w:t xml:space="preserve"> (1), 1-12.</w:t>
      </w:r>
    </w:p>
    <w:p w:rsidR="00B10737" w:rsidRDefault="00B10737" w:rsidP="00B10737">
      <w:pPr>
        <w:pStyle w:val="a0"/>
        <w:rPr>
          <w:kern w:val="0"/>
        </w:rPr>
      </w:pPr>
      <w:r>
        <w:rPr>
          <w:rFonts w:hint="eastAsia"/>
          <w:kern w:val="0"/>
        </w:rPr>
        <w:t xml:space="preserve">Full Text: </w:t>
      </w:r>
      <w:hyperlink r:id="rId1810" w:history="1">
        <w:r w:rsidR="00C152FD" w:rsidRPr="00C152FD">
          <w:rPr>
            <w:rStyle w:val="a5"/>
            <w:kern w:val="0"/>
          </w:rPr>
          <w:t>2009\Int J Env Res3, 1.pdf</w:t>
        </w:r>
      </w:hyperlink>
    </w:p>
    <w:p w:rsidR="00B10737" w:rsidRDefault="00B10737" w:rsidP="00B10737">
      <w:pPr>
        <w:pStyle w:val="a0"/>
        <w:rPr>
          <w:kern w:val="0"/>
        </w:rPr>
      </w:pPr>
      <w:r>
        <w:rPr>
          <w:kern w:val="0"/>
        </w:rPr>
        <w:t>Abstract: Bokbunja seed wastes from a wine manufacturing industry were used to prepare carbon for the. ea purpose of using it as an adsorbent for the removal of Reactive Blue 4 from aqueous solutions. A part of prepared carbon was treated with n-hexane to remove the seed oil present in large amounts in Bokbunja seeds. It was found that the hexane treated carbon was more efficient in removing the dye from aqueous solutions. Optimization-of process parameters showed that pH 2</w:t>
      </w:r>
      <w:r w:rsidR="00F81221">
        <w:rPr>
          <w:kern w:val="0"/>
        </w:rPr>
        <w:t xml:space="preserve"> and </w:t>
      </w:r>
      <w:r>
        <w:rPr>
          <w:kern w:val="0"/>
        </w:rPr>
        <w:t>contact time of 120 min was favorable for maximum adsorption. Langmuir</w:t>
      </w:r>
      <w:r w:rsidR="00F81221">
        <w:rPr>
          <w:kern w:val="0"/>
        </w:rPr>
        <w:t xml:space="preserve"> and </w:t>
      </w:r>
      <w:r>
        <w:rPr>
          <w:kern w:val="0"/>
        </w:rPr>
        <w:t>Khan isotherm models were applied to comprehend the adsorption process, Kinetic data showed that pseudo-first order model was a better fit than the pseudo-second order model. Alkaline pH favored desorption. Among the various desorption medium tested, acetone</w:t>
      </w:r>
      <w:r w:rsidR="00F81221">
        <w:rPr>
          <w:kern w:val="0"/>
        </w:rPr>
        <w:t xml:space="preserve"> and </w:t>
      </w:r>
      <w:r>
        <w:rPr>
          <w:kern w:val="0"/>
        </w:rPr>
        <w:t>ethanol showed promising results thus enabling the reuse of the carbon for next adsorption cycle. The study Justifies the efforts to minimize the wastes by firstly using a winery waste as adsorbent</w:t>
      </w:r>
      <w:r w:rsidR="00F81221">
        <w:rPr>
          <w:kern w:val="0"/>
        </w:rPr>
        <w:t xml:space="preserve"> and </w:t>
      </w:r>
      <w:r>
        <w:rPr>
          <w:kern w:val="0"/>
        </w:rPr>
        <w:t>later reusing the same for the next cycle of adsorption in addition to recycling the desorption medium while simultaneously recovering the adsorbed dyes.</w:t>
      </w:r>
    </w:p>
    <w:p w:rsidR="00B10737" w:rsidRDefault="00B10737" w:rsidP="00B10737">
      <w:pPr>
        <w:pStyle w:val="a0"/>
        <w:rPr>
          <w:kern w:val="0"/>
        </w:rPr>
      </w:pPr>
      <w:r>
        <w:rPr>
          <w:kern w:val="0"/>
        </w:rPr>
        <w:t>Keywords: Acetone, Activated Carbon, Adsorbent, Adsorption, Agricultural Solid-Waste, Aqueous Solutions, Aqueous-Solution, Aspergillus-Niger, Bagasse-Fly-Ash, Basic-Dyes, Bokbunja Seeds, Carbon, Coir Pith, Congo-Red, Data, Desorption, Dye, Dyes, Equilibrium Isotherm Analyses, Ethanol, Isotherm, Kinetic, Kinetics, Langmuir, Manufacturing, Model, Models, Mycelial Biomass, Ph, Pseudo First Order, Pseudo Second Order, Pseudo-First Order, Pseudo-First-Order, Pseudo-Second Order, Pseudo-Second Order Model, Pseudo-Second-Order, Purpose, Reactive Blue, Reactive Blue 4, Recycling, Removal, Reuse, Solutions, Waste</w:t>
      </w:r>
    </w:p>
    <w:p w:rsidR="00B10737" w:rsidRDefault="00B10737" w:rsidP="00B10737">
      <w:pPr>
        <w:pStyle w:val="a0"/>
        <w:rPr>
          <w:kern w:val="0"/>
        </w:rPr>
      </w:pPr>
      <w:r>
        <w:rPr>
          <w:rFonts w:hint="eastAsia"/>
          <w:kern w:val="0"/>
        </w:rPr>
        <w:t xml:space="preserve">? </w:t>
      </w:r>
      <w:r>
        <w:rPr>
          <w:kern w:val="0"/>
        </w:rPr>
        <w:t>Salim, M.</w:t>
      </w:r>
      <w:r w:rsidR="00F81221">
        <w:rPr>
          <w:kern w:val="0"/>
        </w:rPr>
        <w:t xml:space="preserve"> and </w:t>
      </w:r>
      <w:r>
        <w:rPr>
          <w:kern w:val="0"/>
        </w:rPr>
        <w:t>Munekage, Y. (2009), Removal of arsenic from aqueous solution using silica ceramic: Adsorption kinetics</w:t>
      </w:r>
      <w:r w:rsidR="00F81221">
        <w:rPr>
          <w:kern w:val="0"/>
        </w:rPr>
        <w:t xml:space="preserve"> and </w:t>
      </w:r>
      <w:r>
        <w:rPr>
          <w:kern w:val="0"/>
        </w:rPr>
        <w:t xml:space="preserve">equilibrium studies. </w:t>
      </w:r>
      <w:r>
        <w:rPr>
          <w:i/>
          <w:iCs/>
          <w:kern w:val="0"/>
        </w:rPr>
        <w:t>International Journal of Environmental Research</w:t>
      </w:r>
      <w:r>
        <w:rPr>
          <w:kern w:val="0"/>
        </w:rPr>
        <w:t xml:space="preserve">, </w:t>
      </w:r>
      <w:r>
        <w:rPr>
          <w:b/>
          <w:bCs/>
          <w:kern w:val="0"/>
        </w:rPr>
        <w:t>3</w:t>
      </w:r>
      <w:r>
        <w:rPr>
          <w:kern w:val="0"/>
        </w:rPr>
        <w:t xml:space="preserve"> (1), 13-22.</w:t>
      </w:r>
    </w:p>
    <w:p w:rsidR="00B10737" w:rsidRDefault="00B10737" w:rsidP="00B10737">
      <w:pPr>
        <w:pStyle w:val="a0"/>
        <w:rPr>
          <w:kern w:val="0"/>
        </w:rPr>
      </w:pPr>
      <w:r>
        <w:rPr>
          <w:rFonts w:hint="eastAsia"/>
          <w:kern w:val="0"/>
        </w:rPr>
        <w:t xml:space="preserve">Full Text: </w:t>
      </w:r>
      <w:hyperlink r:id="rId1811" w:history="1">
        <w:r w:rsidR="00C152FD" w:rsidRPr="00C152FD">
          <w:rPr>
            <w:rStyle w:val="a5"/>
            <w:kern w:val="0"/>
          </w:rPr>
          <w:t>2009\Int J Env Res3, 13.pdf</w:t>
        </w:r>
      </w:hyperlink>
    </w:p>
    <w:p w:rsidR="00B10737" w:rsidRDefault="00B10737" w:rsidP="00B10737">
      <w:pPr>
        <w:pStyle w:val="a0"/>
        <w:rPr>
          <w:kern w:val="0"/>
        </w:rPr>
      </w:pPr>
      <w:r>
        <w:rPr>
          <w:kern w:val="0"/>
        </w:rPr>
        <w:t>Abstract: The removal of As(III) ions from aqueous solutions has been investigated using silica ceramic under different experimental conditions of initial arsenite concentration, adsorbent dose, temperature</w:t>
      </w:r>
      <w:r w:rsidR="00F81221">
        <w:rPr>
          <w:kern w:val="0"/>
        </w:rPr>
        <w:t xml:space="preserve"> and </w:t>
      </w:r>
      <w:r>
        <w:rPr>
          <w:kern w:val="0"/>
        </w:rPr>
        <w:t>pH. Better removal was obtained at temperature 25 degrees C</w:t>
      </w:r>
      <w:r w:rsidR="00F81221">
        <w:rPr>
          <w:kern w:val="0"/>
        </w:rPr>
        <w:t xml:space="preserve"> and </w:t>
      </w:r>
      <w:r>
        <w:rPr>
          <w:kern w:val="0"/>
        </w:rPr>
        <w:t>pH 7.5. The adsorption data have been explained in terms of Langmuir</w:t>
      </w:r>
      <w:r w:rsidR="00F81221">
        <w:rPr>
          <w:kern w:val="0"/>
        </w:rPr>
        <w:t xml:space="preserve"> and </w:t>
      </w:r>
      <w:r>
        <w:rPr>
          <w:kern w:val="0"/>
        </w:rPr>
        <w:t xml:space="preserve">Freundlich equations, The sorption kinetics was tested for the </w:t>
      </w:r>
      <w:r>
        <w:rPr>
          <w:kern w:val="0"/>
        </w:rPr>
        <w:lastRenderedPageBreak/>
        <w:t>pseudo-first order, pseudo-second order reaction</w:t>
      </w:r>
      <w:r w:rsidR="00F81221">
        <w:rPr>
          <w:kern w:val="0"/>
        </w:rPr>
        <w:t xml:space="preserve"> and </w:t>
      </w:r>
      <w:r>
        <w:rPr>
          <w:kern w:val="0"/>
        </w:rPr>
        <w:t>intra-particle diffusion, at different experimental conditions. The results revealed that the adsorptions of As(III) onto silica ceramic, which were found to well, fit by the Freundlich isotherm. The rate constants of sorption for kinetic models were calculated</w:t>
      </w:r>
      <w:r w:rsidR="00F81221">
        <w:rPr>
          <w:kern w:val="0"/>
        </w:rPr>
        <w:t xml:space="preserve"> and </w:t>
      </w:r>
      <w:r>
        <w:rPr>
          <w:kern w:val="0"/>
        </w:rPr>
        <w:t>good correlation coefficients (R-2 &gt; 0.9974) obtained for the pseudosecond order kinetic model. The result indicates that under the optimum conditions, the maximum adsorption value (1.7886 mg/g) comply that the silica ceramic is an effective adsorbent for arsenite.</w:t>
      </w:r>
    </w:p>
    <w:p w:rsidR="00B10737" w:rsidRDefault="00B10737" w:rsidP="00B10737">
      <w:pPr>
        <w:pStyle w:val="a0"/>
        <w:rPr>
          <w:kern w:val="0"/>
        </w:rPr>
      </w:pPr>
      <w:r>
        <w:rPr>
          <w:kern w:val="0"/>
        </w:rPr>
        <w:t>Keywords: Adsorbent, Adsorbent Dose, Adsorption, Aqueous Solutions, Arsenic, Arsenite, As(Iii), Cement, Ceramic, Concentration, Correlation, Data, Diffusion, Drinking-Water, Equilibrium, Experimental, Freundlich, Freundlich Isotherm, Intra-Particle Diffusion, Intraparticle Diffusion, Ions, Isotherm, Isotherms, Kinetic, Kinetic Model, Kinetic Models, Kinetics, Langmuir, Model, Models, Oxide-Coated Sand, Ph, Pseudo First Order, Pseudo Second Order, Pseudo-First Order, Pseudo-First-Order, Pseudo-Second Order, Pseudo-Second-Order, Rate Constants, Red Mud, Removal, Silica, Silica Ceramic, Solutions, Sorption, Sorption Kinetics, Temperature, Value</w:t>
      </w:r>
    </w:p>
    <w:p w:rsidR="00B10737" w:rsidRDefault="00B10737" w:rsidP="00B10737">
      <w:pPr>
        <w:pStyle w:val="a0"/>
        <w:rPr>
          <w:kern w:val="0"/>
        </w:rPr>
      </w:pPr>
      <w:r>
        <w:rPr>
          <w:rFonts w:hint="eastAsia"/>
          <w:kern w:val="0"/>
        </w:rPr>
        <w:t xml:space="preserve">? </w:t>
      </w:r>
      <w:r>
        <w:rPr>
          <w:kern w:val="0"/>
        </w:rPr>
        <w:t>Shetty, R.</w:t>
      </w:r>
      <w:r w:rsidR="00F81221">
        <w:rPr>
          <w:kern w:val="0"/>
        </w:rPr>
        <w:t xml:space="preserve"> and </w:t>
      </w:r>
      <w:r>
        <w:rPr>
          <w:kern w:val="0"/>
        </w:rPr>
        <w:t xml:space="preserve">Rajkumar, S. (2009), Biosorption of Cu(II) by metal resistant </w:t>
      </w:r>
      <w:r w:rsidRPr="00C152FD">
        <w:rPr>
          <w:i/>
          <w:kern w:val="0"/>
        </w:rPr>
        <w:t>Pseudomonas</w:t>
      </w:r>
      <w:r>
        <w:rPr>
          <w:kern w:val="0"/>
        </w:rPr>
        <w:t xml:space="preserve"> sp. </w:t>
      </w:r>
      <w:r>
        <w:rPr>
          <w:i/>
          <w:iCs/>
          <w:kern w:val="0"/>
        </w:rPr>
        <w:t>International Journal of Environmental Research</w:t>
      </w:r>
      <w:r>
        <w:rPr>
          <w:kern w:val="0"/>
        </w:rPr>
        <w:t xml:space="preserve">, </w:t>
      </w:r>
      <w:r>
        <w:rPr>
          <w:b/>
          <w:bCs/>
          <w:kern w:val="0"/>
        </w:rPr>
        <w:t>3</w:t>
      </w:r>
      <w:r>
        <w:rPr>
          <w:kern w:val="0"/>
        </w:rPr>
        <w:t xml:space="preserve"> (1), 121-128.</w:t>
      </w:r>
    </w:p>
    <w:p w:rsidR="00B10737" w:rsidRDefault="00B10737" w:rsidP="00B10737">
      <w:pPr>
        <w:pStyle w:val="a0"/>
        <w:rPr>
          <w:kern w:val="0"/>
        </w:rPr>
      </w:pPr>
      <w:r>
        <w:rPr>
          <w:rFonts w:hint="eastAsia"/>
          <w:kern w:val="0"/>
        </w:rPr>
        <w:t xml:space="preserve">Full Text: </w:t>
      </w:r>
      <w:hyperlink r:id="rId1812" w:history="1">
        <w:r w:rsidR="00C152FD" w:rsidRPr="00C152FD">
          <w:rPr>
            <w:rStyle w:val="a5"/>
            <w:kern w:val="0"/>
          </w:rPr>
          <w:t>2009\Int J Env Res3, 121.pdf</w:t>
        </w:r>
      </w:hyperlink>
    </w:p>
    <w:p w:rsidR="00B10737" w:rsidRDefault="00B10737" w:rsidP="00B10737">
      <w:pPr>
        <w:pStyle w:val="a0"/>
        <w:rPr>
          <w:kern w:val="0"/>
        </w:rPr>
      </w:pPr>
      <w:r>
        <w:rPr>
          <w:kern w:val="0"/>
        </w:rPr>
        <w:t>Abstract: Bioremediation of heavy metals remains a major challenge in environmental biotechnology. Biosorption is a novel technique for decreasing metal ion content in the waste water.</w:t>
      </w:r>
      <w:r w:rsidR="00C152FD">
        <w:rPr>
          <w:kern w:val="0"/>
        </w:rPr>
        <w:t xml:space="preserve"> Biosorption experiments for Cu</w:t>
      </w:r>
      <w:r>
        <w:rPr>
          <w:kern w:val="0"/>
        </w:rPr>
        <w:t>(II) were investigated in this study using bacteria isolated from the industrial effluent. The results showed that the dead cells of Pseudomonas sp. were an efficient a</w:t>
      </w:r>
      <w:r w:rsidR="00C152FD">
        <w:rPr>
          <w:kern w:val="0"/>
        </w:rPr>
        <w:t>dsorbent of Cu</w:t>
      </w:r>
      <w:r>
        <w:rPr>
          <w:kern w:val="0"/>
        </w:rPr>
        <w:t>(II). For analysis, Langmuir</w:t>
      </w:r>
      <w:r w:rsidR="00F81221">
        <w:rPr>
          <w:kern w:val="0"/>
        </w:rPr>
        <w:t xml:space="preserve"> and </w:t>
      </w:r>
      <w:r>
        <w:rPr>
          <w:kern w:val="0"/>
        </w:rPr>
        <w:t>Freundlich adsorption isotherm were considered. Both model fitted to the experimental data however the Langmuir model fitted the experimental data better than the Freundlich model for copper. Adsorption was influenced by various parameters, such as the initial metal concentration, pH,</w:t>
      </w:r>
      <w:r w:rsidR="00F81221">
        <w:rPr>
          <w:kern w:val="0"/>
        </w:rPr>
        <w:t xml:space="preserve"> and </w:t>
      </w:r>
      <w:r>
        <w:rPr>
          <w:kern w:val="0"/>
        </w:rPr>
        <w:t>contact time etc. Studies pertaining to the assessment of the best adsorption parameters</w:t>
      </w:r>
      <w:r w:rsidR="00F81221">
        <w:rPr>
          <w:kern w:val="0"/>
        </w:rPr>
        <w:t xml:space="preserve"> and </w:t>
      </w:r>
      <w:r>
        <w:rPr>
          <w:kern w:val="0"/>
        </w:rPr>
        <w:t>quantitative analysis of metal uptake revealed that maximum biosorption for Cu (II) obtained was 74.2% at pH 7. Citric acid was used as desorbing agents in order to recover heavy metal ions from the adsorbent.</w:t>
      </w:r>
    </w:p>
    <w:p w:rsidR="00B10737" w:rsidRDefault="00B10737" w:rsidP="00B10737">
      <w:pPr>
        <w:pStyle w:val="a0"/>
        <w:rPr>
          <w:kern w:val="0"/>
        </w:rPr>
      </w:pPr>
      <w:r>
        <w:rPr>
          <w:kern w:val="0"/>
        </w:rPr>
        <w:t xml:space="preserve">Keywords: Adsorbent, Adsorption, Adsorption Isotherm, Analysis, Assessment, Bacteria, Biosorption, Biotechnology, Cadmium, Challenge, Chromium(VI), Citric Acid, Concentration, Copper, Cu, Data, Desorption, Environmental, Experimental, Experiments, Freundlich, Freundlich Adsorption Isotherm, Freundlich Model, Heavy Metal, Heavy Metal Ions, Heavy Metals, Industrial Effluent, Industrial Waste-Water, Ions, Isotherm, Langmuir, Langmuir Model, Lead, Metal, Metal Ions, Metal Uptake, Metals, Model, </w:t>
      </w:r>
      <w:r>
        <w:rPr>
          <w:rFonts w:hint="eastAsia"/>
          <w:kern w:val="0"/>
        </w:rPr>
        <w:t>p</w:t>
      </w:r>
      <w:r>
        <w:rPr>
          <w:kern w:val="0"/>
        </w:rPr>
        <w:t xml:space="preserve">H, Pseudomonas, Quantitative Analysis, Removal, Soil, Uptake, </w:t>
      </w:r>
      <w:r>
        <w:rPr>
          <w:kern w:val="0"/>
        </w:rPr>
        <w:lastRenderedPageBreak/>
        <w:t>Waste, Waste Water, Water, Zinc</w:t>
      </w:r>
    </w:p>
    <w:p w:rsidR="0062211A" w:rsidRDefault="0062211A" w:rsidP="0062211A">
      <w:pPr>
        <w:pStyle w:val="a0"/>
        <w:rPr>
          <w:kern w:val="0"/>
        </w:rPr>
      </w:pPr>
      <w:r>
        <w:rPr>
          <w:rFonts w:hint="eastAsia"/>
          <w:kern w:val="0"/>
        </w:rPr>
        <w:t xml:space="preserve">? </w:t>
      </w:r>
      <w:r>
        <w:rPr>
          <w:kern w:val="0"/>
        </w:rPr>
        <w:t>Sahmoune, M.N., Louhab, K.</w:t>
      </w:r>
      <w:r w:rsidR="00F81221">
        <w:rPr>
          <w:kern w:val="0"/>
        </w:rPr>
        <w:t xml:space="preserve"> and </w:t>
      </w:r>
      <w:r>
        <w:rPr>
          <w:kern w:val="0"/>
        </w:rPr>
        <w:t>Boukhia</w:t>
      </w:r>
      <w:r w:rsidR="00C314A4">
        <w:rPr>
          <w:kern w:val="0"/>
        </w:rPr>
        <w:t>r, A. (2009), Biosorption of Cr</w:t>
      </w:r>
      <w:r>
        <w:rPr>
          <w:kern w:val="0"/>
        </w:rPr>
        <w:t xml:space="preserve">(III) from aqueous solutions using bacterium biomass </w:t>
      </w:r>
      <w:r w:rsidRPr="0047023A">
        <w:rPr>
          <w:i/>
          <w:kern w:val="0"/>
        </w:rPr>
        <w:t>Streptomyces rimosus</w:t>
      </w:r>
      <w:r>
        <w:rPr>
          <w:kern w:val="0"/>
        </w:rPr>
        <w:t xml:space="preserve">. </w:t>
      </w:r>
      <w:r>
        <w:rPr>
          <w:i/>
          <w:iCs/>
          <w:kern w:val="0"/>
        </w:rPr>
        <w:t>International Journal of Environmental Research</w:t>
      </w:r>
      <w:r>
        <w:rPr>
          <w:kern w:val="0"/>
        </w:rPr>
        <w:t xml:space="preserve">, </w:t>
      </w:r>
      <w:r>
        <w:rPr>
          <w:b/>
          <w:bCs/>
          <w:kern w:val="0"/>
        </w:rPr>
        <w:t>3</w:t>
      </w:r>
      <w:r>
        <w:rPr>
          <w:kern w:val="0"/>
        </w:rPr>
        <w:t xml:space="preserve"> (2), 229-238.</w:t>
      </w:r>
    </w:p>
    <w:p w:rsidR="0062211A" w:rsidRDefault="0062211A" w:rsidP="0062211A">
      <w:pPr>
        <w:pStyle w:val="a0"/>
        <w:rPr>
          <w:kern w:val="0"/>
        </w:rPr>
      </w:pPr>
      <w:r>
        <w:rPr>
          <w:rFonts w:hint="eastAsia"/>
          <w:kern w:val="0"/>
        </w:rPr>
        <w:t xml:space="preserve">Full Text: </w:t>
      </w:r>
      <w:hyperlink r:id="rId1813" w:history="1">
        <w:r w:rsidR="00FF36C9" w:rsidRPr="00FF36C9">
          <w:rPr>
            <w:rStyle w:val="a5"/>
            <w:kern w:val="0"/>
          </w:rPr>
          <w:t>2009\Int J Env Res3, 229.pdf</w:t>
        </w:r>
      </w:hyperlink>
    </w:p>
    <w:p w:rsidR="0062211A" w:rsidRDefault="0062211A" w:rsidP="0062211A">
      <w:pPr>
        <w:pStyle w:val="a0"/>
        <w:rPr>
          <w:kern w:val="0"/>
        </w:rPr>
      </w:pPr>
      <w:r>
        <w:rPr>
          <w:kern w:val="0"/>
        </w:rPr>
        <w:t>Abstract: In the present investigation, dead bacterium biomass Streptonlyces rimosus was used as an inexpensive</w:t>
      </w:r>
      <w:r w:rsidR="00F81221">
        <w:rPr>
          <w:kern w:val="0"/>
        </w:rPr>
        <w:t xml:space="preserve"> and </w:t>
      </w:r>
      <w:r w:rsidR="006941DC">
        <w:rPr>
          <w:kern w:val="0"/>
        </w:rPr>
        <w:t>efficient biosorbent for Cr</w:t>
      </w:r>
      <w:r>
        <w:rPr>
          <w:kern w:val="0"/>
        </w:rPr>
        <w:t>(III) removal from aqueous solution. The bacterial biomass was treated with 0.1 M NaOH. Sorption level of 65 mg/g was observed at pH 4.8 while precipitation effect augmented this value at higher pH range. Chromium desorption increased with decreasing desorption agents pH (including HCl</w:t>
      </w:r>
      <w:r w:rsidR="00F81221">
        <w:rPr>
          <w:kern w:val="0"/>
        </w:rPr>
        <w:t xml:space="preserve"> and </w:t>
      </w:r>
      <w:r>
        <w:rPr>
          <w:kern w:val="0"/>
        </w:rPr>
        <w:t>H</w:t>
      </w:r>
      <w:r w:rsidRPr="0047023A">
        <w:rPr>
          <w:kern w:val="0"/>
          <w:vertAlign w:val="subscript"/>
        </w:rPr>
        <w:t>2</w:t>
      </w:r>
      <w:r>
        <w:rPr>
          <w:kern w:val="0"/>
        </w:rPr>
        <w:t>SO</w:t>
      </w:r>
      <w:r w:rsidRPr="0047023A">
        <w:rPr>
          <w:kern w:val="0"/>
          <w:vertAlign w:val="subscript"/>
        </w:rPr>
        <w:t>4</w:t>
      </w:r>
      <w:r>
        <w:rPr>
          <w:kern w:val="0"/>
        </w:rPr>
        <w:t>) to a maximum value of 95% at approximately zero pH. Langmuir, Freundlich</w:t>
      </w:r>
      <w:r w:rsidR="00F81221">
        <w:rPr>
          <w:kern w:val="0"/>
        </w:rPr>
        <w:t xml:space="preserve"> and </w:t>
      </w:r>
      <w:r>
        <w:rPr>
          <w:kern w:val="0"/>
        </w:rPr>
        <w:t>Temkin models were applied to describe the biosorption isotherm of the metal ions by Streplomyces rimosus biomass. Langmuir model fitted the equilibrium data better than the Freundlich isotherm. Maximum metal uptake q(max) was observed as 83.33 mg g</w:t>
      </w:r>
      <w:r>
        <w:rPr>
          <w:rFonts w:hint="eastAsia"/>
          <w:kern w:val="0"/>
          <w:vertAlign w:val="superscript"/>
        </w:rPr>
        <w:t>-1</w:t>
      </w:r>
      <w:r>
        <w:rPr>
          <w:kern w:val="0"/>
        </w:rPr>
        <w:t xml:space="preserve"> indicate good biosorbents than other biomass. Experimental data were also tested in terms of biosorption kinetics using fractional power, Elovich, pseudo-first order</w:t>
      </w:r>
      <w:r w:rsidR="00F81221">
        <w:rPr>
          <w:kern w:val="0"/>
        </w:rPr>
        <w:t xml:space="preserve"> and </w:t>
      </w:r>
      <w:r>
        <w:rPr>
          <w:kern w:val="0"/>
        </w:rPr>
        <w:t>pseudo-second order rate expressions. The results showed that the biosorption processes followed well pseudo-second-order kinetics</w:t>
      </w:r>
      <w:r w:rsidR="00F81221">
        <w:rPr>
          <w:kern w:val="0"/>
        </w:rPr>
        <w:t xml:space="preserve"> and </w:t>
      </w:r>
      <w:r>
        <w:rPr>
          <w:kern w:val="0"/>
        </w:rPr>
        <w:t>the intra-particle diffusion is not the rate-limiting step for the whole reaction.</w:t>
      </w:r>
    </w:p>
    <w:p w:rsidR="0062211A" w:rsidRDefault="0062211A" w:rsidP="0062211A">
      <w:pPr>
        <w:pStyle w:val="a0"/>
        <w:rPr>
          <w:kern w:val="0"/>
        </w:rPr>
      </w:pPr>
      <w:r>
        <w:rPr>
          <w:kern w:val="0"/>
        </w:rPr>
        <w:t>Keywords: Ad</w:t>
      </w:r>
      <w:r w:rsidR="006461BB">
        <w:rPr>
          <w:kern w:val="0"/>
        </w:rPr>
        <w:t>sorption, Biosorption, Chromium</w:t>
      </w:r>
      <w:r>
        <w:rPr>
          <w:kern w:val="0"/>
        </w:rPr>
        <w:t xml:space="preserve">(III), Cr(III), Equilibrium, Fungal Biomass, Heavy-Metals, Isotherm, Isotherm Models, Isotherms, Kinetics, Regression-Analysis, Removal, Sorption, </w:t>
      </w:r>
      <w:r w:rsidRPr="0047023A">
        <w:rPr>
          <w:i/>
          <w:kern w:val="0"/>
        </w:rPr>
        <w:t>Streptomyces Rimosus</w:t>
      </w:r>
      <w:r>
        <w:rPr>
          <w:kern w:val="0"/>
        </w:rPr>
        <w:t>, Waste-Water</w:t>
      </w:r>
    </w:p>
    <w:p w:rsidR="00B10737" w:rsidRDefault="00B10737" w:rsidP="00B10737">
      <w:pPr>
        <w:pStyle w:val="a0"/>
        <w:rPr>
          <w:kern w:val="0"/>
        </w:rPr>
      </w:pPr>
      <w:r>
        <w:rPr>
          <w:rFonts w:hint="eastAsia"/>
          <w:kern w:val="0"/>
        </w:rPr>
        <w:t xml:space="preserve">? </w:t>
      </w:r>
      <w:r>
        <w:rPr>
          <w:kern w:val="0"/>
        </w:rPr>
        <w:t>Rahmani, K., Mahvi, A.H., Vaezi, F., Mesdaghinia, A.R., Nabizade, R.</w:t>
      </w:r>
      <w:r w:rsidR="00F81221">
        <w:rPr>
          <w:kern w:val="0"/>
        </w:rPr>
        <w:t xml:space="preserve"> and </w:t>
      </w:r>
      <w:r>
        <w:rPr>
          <w:kern w:val="0"/>
        </w:rPr>
        <w:t xml:space="preserve">Nazmara, S. (2009), Bioremoval of lead by use of waste activated sludge. </w:t>
      </w:r>
      <w:r>
        <w:rPr>
          <w:i/>
          <w:iCs/>
          <w:kern w:val="0"/>
        </w:rPr>
        <w:t>International Journal of Environmental Research</w:t>
      </w:r>
      <w:r>
        <w:rPr>
          <w:kern w:val="0"/>
        </w:rPr>
        <w:t xml:space="preserve">, </w:t>
      </w:r>
      <w:r>
        <w:rPr>
          <w:b/>
          <w:bCs/>
          <w:kern w:val="0"/>
        </w:rPr>
        <w:t>3</w:t>
      </w:r>
      <w:r>
        <w:rPr>
          <w:kern w:val="0"/>
        </w:rPr>
        <w:t xml:space="preserve"> (3), 471-476.</w:t>
      </w:r>
    </w:p>
    <w:p w:rsidR="00B10737" w:rsidRDefault="00B10737" w:rsidP="00B10737">
      <w:pPr>
        <w:pStyle w:val="a0"/>
        <w:rPr>
          <w:kern w:val="0"/>
        </w:rPr>
      </w:pPr>
      <w:r>
        <w:rPr>
          <w:rFonts w:hint="eastAsia"/>
          <w:kern w:val="0"/>
        </w:rPr>
        <w:t xml:space="preserve">Full Text: </w:t>
      </w:r>
      <w:hyperlink r:id="rId1814" w:history="1">
        <w:r w:rsidR="001345D3" w:rsidRPr="001345D3">
          <w:rPr>
            <w:rStyle w:val="a5"/>
            <w:kern w:val="0"/>
          </w:rPr>
          <w:t>2009\Int J Env Res3, 471.pdf</w:t>
        </w:r>
      </w:hyperlink>
    </w:p>
    <w:p w:rsidR="00B10737" w:rsidRDefault="00B10737" w:rsidP="00B10737">
      <w:pPr>
        <w:pStyle w:val="a0"/>
        <w:rPr>
          <w:kern w:val="0"/>
        </w:rPr>
      </w:pPr>
      <w:r>
        <w:rPr>
          <w:kern w:val="0"/>
        </w:rPr>
        <w:t>Abstract: Biological removal of lead was observed in this study during treatment of synthetic solutions of this heavy metal by a sample of waste activated sludge (WAS) having MLSS concentration of 10000 mg/L. The objective was determining the capability of WAS in removal of lead in three different conditions of treatment: without any aeration</w:t>
      </w:r>
      <w:r w:rsidR="00F81221">
        <w:rPr>
          <w:kern w:val="0"/>
        </w:rPr>
        <w:t xml:space="preserve"> and </w:t>
      </w:r>
      <w:r>
        <w:rPr>
          <w:kern w:val="0"/>
        </w:rPr>
        <w:t>feeding, by simultaneous aeration</w:t>
      </w:r>
      <w:r w:rsidR="00F81221">
        <w:rPr>
          <w:kern w:val="0"/>
        </w:rPr>
        <w:t xml:space="preserve"> and </w:t>
      </w:r>
      <w:r>
        <w:rPr>
          <w:kern w:val="0"/>
        </w:rPr>
        <w:t>feeding</w:t>
      </w:r>
      <w:r w:rsidR="00F81221">
        <w:rPr>
          <w:kern w:val="0"/>
        </w:rPr>
        <w:t xml:space="preserve"> and </w:t>
      </w:r>
      <w:r>
        <w:rPr>
          <w:kern w:val="0"/>
        </w:rPr>
        <w:t>by aeration without feeding. Besides, the effect of initial metal concentration</w:t>
      </w:r>
      <w:r w:rsidR="00F81221">
        <w:rPr>
          <w:kern w:val="0"/>
        </w:rPr>
        <w:t xml:space="preserve"> and </w:t>
      </w:r>
      <w:r>
        <w:rPr>
          <w:kern w:val="0"/>
        </w:rPr>
        <w:t>contact time in these treatment stages were determined. Results showed that the efficiency of lead removal was reduced by increasing the initial metal concentration, but the changes of contact time had resulted in different responses depending to the test condition. Moreover, it was found that the effects of aeration</w:t>
      </w:r>
      <w:r w:rsidR="00F81221">
        <w:rPr>
          <w:kern w:val="0"/>
        </w:rPr>
        <w:t xml:space="preserve"> and </w:t>
      </w:r>
      <w:r>
        <w:rPr>
          <w:kern w:val="0"/>
        </w:rPr>
        <w:t xml:space="preserve">feeding in increasing the efficiency of treatment were more pronounced for the stage of treating lower concentrations of lead. The maximum removal of lead in the first step (without </w:t>
      </w:r>
      <w:r>
        <w:rPr>
          <w:kern w:val="0"/>
        </w:rPr>
        <w:lastRenderedPageBreak/>
        <w:t>aeration</w:t>
      </w:r>
      <w:r w:rsidR="00F81221">
        <w:rPr>
          <w:kern w:val="0"/>
        </w:rPr>
        <w:t xml:space="preserve"> and </w:t>
      </w:r>
      <w:r>
        <w:rPr>
          <w:kern w:val="0"/>
        </w:rPr>
        <w:t>feeding) was 55.2% in contact time of 75 minutes, in the second step (without feeding</w:t>
      </w:r>
      <w:r w:rsidR="00F81221">
        <w:rPr>
          <w:kern w:val="0"/>
        </w:rPr>
        <w:t xml:space="preserve"> and </w:t>
      </w:r>
      <w:r>
        <w:rPr>
          <w:kern w:val="0"/>
        </w:rPr>
        <w:t>by 12 hours aeration) 63.3%</w:t>
      </w:r>
      <w:r w:rsidR="00F81221">
        <w:rPr>
          <w:kern w:val="0"/>
        </w:rPr>
        <w:t xml:space="preserve"> and </w:t>
      </w:r>
      <w:r>
        <w:rPr>
          <w:kern w:val="0"/>
        </w:rPr>
        <w:t>third step it was 94.2% in contact time of 48 hours. The initial lead concentration in these experiments was 5 mg/L.</w:t>
      </w:r>
    </w:p>
    <w:p w:rsidR="00B10737" w:rsidRDefault="00B10737" w:rsidP="00B10737">
      <w:pPr>
        <w:pStyle w:val="a0"/>
        <w:rPr>
          <w:kern w:val="0"/>
        </w:rPr>
      </w:pPr>
      <w:r>
        <w:rPr>
          <w:kern w:val="0"/>
        </w:rPr>
        <w:t>Keywords: Activated Sludge, Adsorption, Adsorption Process, Aqueous-Solutions, Biomass, Cadmium Removal, Cd(II), Changes, Concentration, Efficiency, Effluents, Experiments, Feeding, First, Heavy Metal, Heavy-Metal Biosorption, Industrial Wastewaters, Ions, Lead, Lead Removal, Metal, Reactors, Recovery, Removal, Sludge, Solutions, Treatment, Waste, Waste Activated Sludge, Wastewater Treatment</w:t>
      </w:r>
    </w:p>
    <w:p w:rsidR="006461BB" w:rsidRDefault="006461BB" w:rsidP="006461BB">
      <w:pPr>
        <w:pStyle w:val="a0"/>
        <w:rPr>
          <w:kern w:val="0"/>
        </w:rPr>
      </w:pPr>
      <w:r>
        <w:rPr>
          <w:rFonts w:hint="eastAsia"/>
          <w:kern w:val="0"/>
        </w:rPr>
        <w:t xml:space="preserve">? </w:t>
      </w:r>
      <w:r>
        <w:rPr>
          <w:kern w:val="0"/>
        </w:rPr>
        <w:t>Dabhade, M.A., Saidutta, M.B.</w:t>
      </w:r>
      <w:r w:rsidR="00F81221">
        <w:rPr>
          <w:kern w:val="0"/>
        </w:rPr>
        <w:t xml:space="preserve"> and </w:t>
      </w:r>
      <w:r>
        <w:rPr>
          <w:kern w:val="0"/>
        </w:rPr>
        <w:t>Murthy, D.V.R. (2009), Adsorption of phenol on granular activated carbon from nutrient medium:</w:t>
      </w:r>
      <w:r>
        <w:rPr>
          <w:rFonts w:hint="eastAsia"/>
          <w:kern w:val="0"/>
        </w:rPr>
        <w:t xml:space="preserve"> </w:t>
      </w:r>
      <w:r>
        <w:rPr>
          <w:kern w:val="0"/>
        </w:rPr>
        <w:t>Equilibrium</w:t>
      </w:r>
      <w:r w:rsidR="00F81221">
        <w:rPr>
          <w:kern w:val="0"/>
        </w:rPr>
        <w:t xml:space="preserve"> and </w:t>
      </w:r>
      <w:r>
        <w:rPr>
          <w:kern w:val="0"/>
        </w:rPr>
        <w:t xml:space="preserve">kinetic </w:t>
      </w:r>
      <w:r w:rsidR="006941DC">
        <w:rPr>
          <w:kern w:val="0"/>
        </w:rPr>
        <w:t>study</w:t>
      </w:r>
      <w:r>
        <w:rPr>
          <w:kern w:val="0"/>
        </w:rPr>
        <w:t xml:space="preserve">. </w:t>
      </w:r>
      <w:r>
        <w:rPr>
          <w:i/>
          <w:iCs/>
          <w:kern w:val="0"/>
        </w:rPr>
        <w:t>International Journal of Environmental Research</w:t>
      </w:r>
      <w:r>
        <w:rPr>
          <w:kern w:val="0"/>
        </w:rPr>
        <w:t xml:space="preserve">, </w:t>
      </w:r>
      <w:r>
        <w:rPr>
          <w:b/>
          <w:bCs/>
          <w:kern w:val="0"/>
        </w:rPr>
        <w:t>3</w:t>
      </w:r>
      <w:r>
        <w:rPr>
          <w:kern w:val="0"/>
        </w:rPr>
        <w:t xml:space="preserve"> (4), 557-568.</w:t>
      </w:r>
    </w:p>
    <w:p w:rsidR="00143A21" w:rsidRDefault="00143A21" w:rsidP="006461BB">
      <w:pPr>
        <w:pStyle w:val="a0"/>
        <w:rPr>
          <w:kern w:val="0"/>
        </w:rPr>
      </w:pPr>
      <w:r>
        <w:rPr>
          <w:rFonts w:hint="eastAsia"/>
          <w:kern w:val="0"/>
        </w:rPr>
        <w:t xml:space="preserve">Full Text: </w:t>
      </w:r>
      <w:hyperlink r:id="rId1815" w:history="1">
        <w:r w:rsidRPr="00143A21">
          <w:rPr>
            <w:rStyle w:val="a5"/>
            <w:kern w:val="0"/>
          </w:rPr>
          <w:t>2009\Int J Env Res3, 557.pdf</w:t>
        </w:r>
      </w:hyperlink>
    </w:p>
    <w:p w:rsidR="006461BB" w:rsidRDefault="006461BB" w:rsidP="006461BB">
      <w:pPr>
        <w:pStyle w:val="a0"/>
        <w:rPr>
          <w:kern w:val="0"/>
        </w:rPr>
      </w:pPr>
      <w:r>
        <w:rPr>
          <w:kern w:val="0"/>
        </w:rPr>
        <w:t>Abstract: This paper presents the adsorption of phenol on granular activated carbon (GAC) from nutrient medium suitable for microorganisms</w:t>
      </w:r>
      <w:r w:rsidR="000352E7">
        <w:rPr>
          <w:kern w:val="0"/>
        </w:rPr>
        <w:t>’</w:t>
      </w:r>
      <w:r>
        <w:rPr>
          <w:kern w:val="0"/>
        </w:rPr>
        <w:t xml:space="preserve"> growth</w:t>
      </w:r>
      <w:r w:rsidR="00F81221">
        <w:rPr>
          <w:kern w:val="0"/>
        </w:rPr>
        <w:t xml:space="preserve"> and </w:t>
      </w:r>
      <w:r>
        <w:rPr>
          <w:kern w:val="0"/>
        </w:rPr>
        <w:t>also the subsequent biodegradation. Two parameter Langmuir</w:t>
      </w:r>
      <w:r w:rsidR="00F81221">
        <w:rPr>
          <w:kern w:val="0"/>
        </w:rPr>
        <w:t xml:space="preserve"> and </w:t>
      </w:r>
      <w:r>
        <w:rPr>
          <w:kern w:val="0"/>
        </w:rPr>
        <w:t>Freundlich adsorption isotherm models were studied using large range of phenol concentration (50-1000 mg/L). In low range of phenol concentration (50-300 mg/L), correlation coefficient, normalized deviation g%</w:t>
      </w:r>
      <w:r w:rsidR="00F81221">
        <w:rPr>
          <w:kern w:val="0"/>
        </w:rPr>
        <w:t xml:space="preserve"> and </w:t>
      </w:r>
      <w:r>
        <w:rPr>
          <w:kern w:val="0"/>
        </w:rPr>
        <w:t>separation factor were 0.9989,</w:t>
      </w:r>
      <w:r>
        <w:rPr>
          <w:rFonts w:hint="eastAsia"/>
          <w:kern w:val="0"/>
        </w:rPr>
        <w:t xml:space="preserve"> </w:t>
      </w:r>
      <w:r>
        <w:rPr>
          <w:kern w:val="0"/>
        </w:rPr>
        <w:t>2.18%</w:t>
      </w:r>
      <w:r w:rsidR="00F81221">
        <w:rPr>
          <w:kern w:val="0"/>
        </w:rPr>
        <w:t xml:space="preserve"> and </w:t>
      </w:r>
      <w:r>
        <w:rPr>
          <w:kern w:val="0"/>
        </w:rPr>
        <w:t>0.38-0.78 respectively, while for higher concentration range</w:t>
      </w:r>
      <w:r>
        <w:rPr>
          <w:rFonts w:hint="eastAsia"/>
          <w:kern w:val="0"/>
        </w:rPr>
        <w:t xml:space="preserve"> </w:t>
      </w:r>
      <w:r>
        <w:rPr>
          <w:kern w:val="0"/>
        </w:rPr>
        <w:t>(400-1000 mg/L), the corresponding values were 0.9719, 1.9%</w:t>
      </w:r>
      <w:r w:rsidR="00F81221">
        <w:rPr>
          <w:kern w:val="0"/>
        </w:rPr>
        <w:t xml:space="preserve"> and </w:t>
      </w:r>
      <w:r>
        <w:rPr>
          <w:kern w:val="0"/>
        </w:rPr>
        <w:t>0.45-0.67. Freundlich isotherm gave correlation coefficient of 0.9984, 1/n. value of 0.7269</w:t>
      </w:r>
      <w:r w:rsidR="00F81221">
        <w:rPr>
          <w:kern w:val="0"/>
        </w:rPr>
        <w:t xml:space="preserve"> and </w:t>
      </w:r>
      <w:r>
        <w:rPr>
          <w:kern w:val="0"/>
        </w:rPr>
        <w:t>normalized deviation of 4.55%. Comparison based on R-2, adjusted R-2, normalized deviation</w:t>
      </w:r>
      <w:r w:rsidR="00F81221">
        <w:rPr>
          <w:kern w:val="0"/>
        </w:rPr>
        <w:t xml:space="preserve"> and </w:t>
      </w:r>
      <w:r>
        <w:rPr>
          <w:kern w:val="0"/>
        </w:rPr>
        <w:t>root mean square deviation (RMSD) showed that the Redke-Prausnitz isotherm model gives better prediction compared to other models. Adsorption of phenol follows pseudo second order kinetics with correlation coefficient closer to one. Biodegradation study using immobilized cells of Nocardia hydrocarbonoxydans on GAC showed that, biodegradation begins well before GAC reaches the saturation period.</w:t>
      </w:r>
    </w:p>
    <w:p w:rsidR="006461BB" w:rsidRDefault="006461BB" w:rsidP="006461BB">
      <w:pPr>
        <w:pStyle w:val="a0"/>
        <w:rPr>
          <w:kern w:val="0"/>
        </w:rPr>
      </w:pPr>
      <w:r>
        <w:rPr>
          <w:kern w:val="0"/>
        </w:rPr>
        <w:t>Keywords: Activated Carbon, Adsorption, Adsorption Isotherm, Adsorption Isotherm Models, Aqueous-Solutions, Biodegradation, Bioreactor, Carbon, Concentration, Correlation, Correlation Coefficient, Degradation, Equilibrium, Freundlich, Freundlich Adsorption Isotherm, Freundlich Isotherm, GAC, Granular Activated Carbon, Growth, Immobilization, Immobilized, Immobilized Cells, Isotherm, Isotherm Model, Isotherm Models, Kinetic, Kinetics, Langmuir, Microorganisms, Model, Models, Normalized Deviation, Nutrient, Performance, Phenol, Phenol Biodegradation, Prediction, Pseudo Second Order, Pseudo Second Order Kinetics, Pseudo-Second-Order, Removal, Saturation, Second Order, Second Order Kinetics, Second-Order, Separation, Separation Factor, Value, Waste-Water</w:t>
      </w:r>
    </w:p>
    <w:p w:rsidR="006461BB" w:rsidRDefault="006461BB" w:rsidP="006461BB">
      <w:pPr>
        <w:pStyle w:val="a0"/>
        <w:rPr>
          <w:kern w:val="0"/>
        </w:rPr>
      </w:pPr>
      <w:r>
        <w:rPr>
          <w:rFonts w:hint="eastAsia"/>
          <w:kern w:val="0"/>
        </w:rPr>
        <w:lastRenderedPageBreak/>
        <w:t xml:space="preserve">? </w:t>
      </w:r>
      <w:r>
        <w:rPr>
          <w:kern w:val="0"/>
        </w:rPr>
        <w:t>Gaur, N.</w:t>
      </w:r>
      <w:r w:rsidR="00F81221">
        <w:rPr>
          <w:kern w:val="0"/>
        </w:rPr>
        <w:t xml:space="preserve"> and </w:t>
      </w:r>
      <w:r>
        <w:rPr>
          <w:kern w:val="0"/>
        </w:rPr>
        <w:t>Dhankhar, R. (2009), Removal of Zn</w:t>
      </w:r>
      <w:r w:rsidRPr="006747E8">
        <w:rPr>
          <w:rFonts w:hint="eastAsia"/>
          <w:kern w:val="0"/>
          <w:vertAlign w:val="superscript"/>
        </w:rPr>
        <w:t>2</w:t>
      </w:r>
      <w:r w:rsidRPr="006747E8">
        <w:rPr>
          <w:kern w:val="0"/>
          <w:vertAlign w:val="superscript"/>
        </w:rPr>
        <w:t>+</w:t>
      </w:r>
      <w:r>
        <w:rPr>
          <w:kern w:val="0"/>
        </w:rPr>
        <w:t xml:space="preserve"> ions from aqueous solution using Anabaena variabilis: Equilibrium</w:t>
      </w:r>
      <w:r w:rsidR="00F81221">
        <w:rPr>
          <w:kern w:val="0"/>
        </w:rPr>
        <w:t xml:space="preserve"> and </w:t>
      </w:r>
      <w:r w:rsidR="006941DC">
        <w:rPr>
          <w:kern w:val="0"/>
        </w:rPr>
        <w:t xml:space="preserve">kinetic </w:t>
      </w:r>
      <w:r>
        <w:rPr>
          <w:kern w:val="0"/>
        </w:rPr>
        <w:t xml:space="preserve">studies. </w:t>
      </w:r>
      <w:r>
        <w:rPr>
          <w:i/>
          <w:iCs/>
          <w:kern w:val="0"/>
        </w:rPr>
        <w:t>International Journal of Environmental Research</w:t>
      </w:r>
      <w:r>
        <w:rPr>
          <w:kern w:val="0"/>
        </w:rPr>
        <w:t xml:space="preserve">, </w:t>
      </w:r>
      <w:r>
        <w:rPr>
          <w:b/>
          <w:bCs/>
          <w:kern w:val="0"/>
        </w:rPr>
        <w:t>3</w:t>
      </w:r>
      <w:r>
        <w:rPr>
          <w:kern w:val="0"/>
        </w:rPr>
        <w:t xml:space="preserve"> (4), 605-616.</w:t>
      </w:r>
    </w:p>
    <w:p w:rsidR="007E5083" w:rsidRDefault="007E5083" w:rsidP="006461BB">
      <w:pPr>
        <w:pStyle w:val="a0"/>
        <w:rPr>
          <w:kern w:val="0"/>
        </w:rPr>
      </w:pPr>
      <w:r>
        <w:rPr>
          <w:rFonts w:hint="eastAsia"/>
          <w:kern w:val="0"/>
        </w:rPr>
        <w:t xml:space="preserve">Full Text: </w:t>
      </w:r>
      <w:hyperlink r:id="rId1816" w:history="1">
        <w:r w:rsidRPr="007E5083">
          <w:rPr>
            <w:rStyle w:val="a5"/>
            <w:kern w:val="0"/>
          </w:rPr>
          <w:t>2009\Int J Env Res3, 605.pdf</w:t>
        </w:r>
      </w:hyperlink>
    </w:p>
    <w:p w:rsidR="006461BB" w:rsidRDefault="006461BB" w:rsidP="006461BB">
      <w:pPr>
        <w:pStyle w:val="a0"/>
        <w:rPr>
          <w:kern w:val="0"/>
        </w:rPr>
      </w:pPr>
      <w:r>
        <w:rPr>
          <w:kern w:val="0"/>
        </w:rPr>
        <w:t>Abstract: Zinc ions are present in different types of industrial effluents, being responsible for environmental pollution. Biosorption is a process in which solids of natural origin are employed for binding heavy metals. It is a promising alternative method to treat heavy metal wastes mainly because of high metal. binding capacity. The effect of some important parameters on sorption capacity of cyanobacterial biosorbent for zinc uptake was studied. The optimum conditions pH, time, initial ion concentration, adsorbent dose; were found to be 8,90 mins, 100 ppm</w:t>
      </w:r>
      <w:r w:rsidR="00F81221">
        <w:rPr>
          <w:kern w:val="0"/>
        </w:rPr>
        <w:t xml:space="preserve"> and </w:t>
      </w:r>
      <w:r>
        <w:rPr>
          <w:kern w:val="0"/>
        </w:rPr>
        <w:t>1gm/100mL respectively Immobilization of biomass was done in calcium alginate</w:t>
      </w:r>
      <w:r w:rsidR="00F81221">
        <w:rPr>
          <w:kern w:val="0"/>
        </w:rPr>
        <w:t xml:space="preserve"> and </w:t>
      </w:r>
      <w:r>
        <w:rPr>
          <w:kern w:val="0"/>
        </w:rPr>
        <w:t>agar matrices for reuse of biosorbent. Freundlich</w:t>
      </w:r>
      <w:r w:rsidR="00F81221">
        <w:rPr>
          <w:kern w:val="0"/>
        </w:rPr>
        <w:t xml:space="preserve"> and </w:t>
      </w:r>
      <w:r>
        <w:rPr>
          <w:kern w:val="0"/>
        </w:rPr>
        <w:t>Langmuir isotherms were applied to equilibrium data of zinc ions biosorption</w:t>
      </w:r>
      <w:r w:rsidR="00F81221">
        <w:rPr>
          <w:kern w:val="0"/>
        </w:rPr>
        <w:t xml:space="preserve"> and </w:t>
      </w:r>
      <w:r>
        <w:rPr>
          <w:kern w:val="0"/>
        </w:rPr>
        <w:t>Freundlich isotherm was found to fit the data. The maximum adsorption capacity was 71.42 mg/g for A. variabilis. The value of value of K-f</w:t>
      </w:r>
      <w:r w:rsidR="00F81221">
        <w:rPr>
          <w:kern w:val="0"/>
        </w:rPr>
        <w:t xml:space="preserve"> and </w:t>
      </w:r>
      <w:r>
        <w:rPr>
          <w:kern w:val="0"/>
        </w:rPr>
        <w:t>n were ranged from 0.4458 to 2.797</w:t>
      </w:r>
      <w:r w:rsidR="00F81221">
        <w:rPr>
          <w:kern w:val="0"/>
        </w:rPr>
        <w:t xml:space="preserve"> and </w:t>
      </w:r>
      <w:r>
        <w:rPr>
          <w:kern w:val="0"/>
        </w:rPr>
        <w:t>0.7726 to 2.797 for the cyanobacterial biosorbents. 0.1 M EDTA was used as an eluant</w:t>
      </w:r>
      <w:r w:rsidR="00F81221">
        <w:rPr>
          <w:kern w:val="0"/>
        </w:rPr>
        <w:t xml:space="preserve"> and </w:t>
      </w:r>
      <w:r>
        <w:rPr>
          <w:kern w:val="0"/>
        </w:rPr>
        <w:t>the biosorbent was reused up to five biosorption desorption cycles</w:t>
      </w:r>
      <w:r w:rsidR="00F81221">
        <w:rPr>
          <w:kern w:val="0"/>
        </w:rPr>
        <w:t xml:space="preserve"> and </w:t>
      </w:r>
      <w:r>
        <w:rPr>
          <w:kern w:val="0"/>
        </w:rPr>
        <w:t>percentage desorption of zinc ions was 93 to 84 from first to fifth cycle for the cyanobacterial biosorbents. Fourier transform infra-red analysis of algae with</w:t>
      </w:r>
      <w:r w:rsidR="00F81221">
        <w:rPr>
          <w:kern w:val="0"/>
        </w:rPr>
        <w:t xml:space="preserve"> and </w:t>
      </w:r>
      <w:r>
        <w:rPr>
          <w:kern w:val="0"/>
        </w:rPr>
        <w:t>without biosorption revealed the presence of carboxyl, hydroxyl, amino, amide</w:t>
      </w:r>
      <w:r w:rsidR="00F81221">
        <w:rPr>
          <w:kern w:val="0"/>
        </w:rPr>
        <w:t xml:space="preserve"> and </w:t>
      </w:r>
      <w:r>
        <w:rPr>
          <w:kern w:val="0"/>
        </w:rPr>
        <w:t>imine groups, which were responsible for biosorption of Zn</w:t>
      </w:r>
      <w:r w:rsidRPr="006747E8">
        <w:rPr>
          <w:rFonts w:hint="eastAsia"/>
          <w:kern w:val="0"/>
          <w:vertAlign w:val="superscript"/>
        </w:rPr>
        <w:t>2+</w:t>
      </w:r>
      <w:r>
        <w:rPr>
          <w:kern w:val="0"/>
        </w:rPr>
        <w:t xml:space="preserve"> ions. The rate law for a pseudo-second-order model fits the experimental data with a very high correlation coefficient</w:t>
      </w:r>
      <w:r w:rsidR="00F81221">
        <w:rPr>
          <w:kern w:val="0"/>
        </w:rPr>
        <w:t xml:space="preserve"> and </w:t>
      </w:r>
      <w:r>
        <w:rPr>
          <w:kern w:val="0"/>
        </w:rPr>
        <w:t>it was greater than 0.9771.</w:t>
      </w:r>
    </w:p>
    <w:p w:rsidR="006461BB" w:rsidRDefault="006461BB" w:rsidP="006461BB">
      <w:pPr>
        <w:pStyle w:val="a0"/>
        <w:rPr>
          <w:kern w:val="0"/>
        </w:rPr>
      </w:pPr>
      <w:r>
        <w:rPr>
          <w:kern w:val="0"/>
        </w:rPr>
        <w:t xml:space="preserve">Keywords: Adsorbent, Adsorbent Dose, Adsorption, Adsorption Capacity, Algae, Alginate, Alternative, Anabaena Variabilis, Analysis, Aqueous Solution, Binding, Biomass, Biosorbent, Biosorbents, Biosorption, Biosorption, Biosorption-Desorption, Cadmium, Calcium, Calcium Alginate, Capacity, Concentration, Correlation, Correlation Coefficient, Data, Desorption, EDTA, Effluents, Environmental, Environmental Pollution, Equilibrium, Experimental, First, Fourier Transform Infra-Red, Freundlich, Freundlich Isotherm, Heavy Metal, Heavy Metals, Heavy-Metals, Immobilization, Ions, Isotherm, Isotherms, Kinetic, Kinetic Studies, Langmuir, Langmuir Isotherms, Law, Lead, Metal, Metals, Model, Natural, Origin, </w:t>
      </w:r>
      <w:r>
        <w:rPr>
          <w:rFonts w:hint="eastAsia"/>
          <w:kern w:val="0"/>
        </w:rPr>
        <w:t>p</w:t>
      </w:r>
      <w:r>
        <w:rPr>
          <w:kern w:val="0"/>
        </w:rPr>
        <w:t>H, Pollution, Pseudo Second Order, Pseudo-Second-Order, Pseudo-Second-Order Model, Rate Law, Removal, Reuse, Soils, Solution, Sorption, Sorption Capacity, Uptake, Value, Waste-Water, Zinc, Zn</w:t>
      </w:r>
      <w:r w:rsidRPr="006747E8">
        <w:rPr>
          <w:rFonts w:hint="eastAsia"/>
          <w:kern w:val="0"/>
          <w:vertAlign w:val="superscript"/>
        </w:rPr>
        <w:t>2+</w:t>
      </w:r>
      <w:r>
        <w:rPr>
          <w:kern w:val="0"/>
        </w:rPr>
        <w:t xml:space="preserve"> Ions</w:t>
      </w:r>
    </w:p>
    <w:p w:rsidR="00874908" w:rsidRDefault="00874908" w:rsidP="00874908">
      <w:pPr>
        <w:pStyle w:val="a0"/>
        <w:rPr>
          <w:kern w:val="0"/>
        </w:rPr>
      </w:pPr>
      <w:r>
        <w:rPr>
          <w:kern w:val="0"/>
        </w:rPr>
        <w:t>? Gong, R., Li, N., Cai, W., Liu, Y.</w:t>
      </w:r>
      <w:r w:rsidR="00F81221">
        <w:rPr>
          <w:kern w:val="0"/>
        </w:rPr>
        <w:t xml:space="preserve"> and </w:t>
      </w:r>
      <w:r>
        <w:rPr>
          <w:kern w:val="0"/>
        </w:rPr>
        <w:t xml:space="preserve">Jiang, J. (2010), </w:t>
      </w:r>
      <w:r>
        <w:rPr>
          <w:kern w:val="0"/>
        </w:rPr>
        <w:sym w:font="Symbol" w:char="F061"/>
      </w:r>
      <w:r>
        <w:rPr>
          <w:kern w:val="0"/>
        </w:rPr>
        <w:t xml:space="preserve">-ketoglutaric acid-modified chitosan resin as sorbent for enhancing Methylene blue removal from aqueous solutions. </w:t>
      </w:r>
      <w:r>
        <w:rPr>
          <w:i/>
          <w:iCs/>
          <w:kern w:val="0"/>
        </w:rPr>
        <w:t>International Journal of Environmental Research</w:t>
      </w:r>
      <w:r>
        <w:rPr>
          <w:kern w:val="0"/>
        </w:rPr>
        <w:t xml:space="preserve">, </w:t>
      </w:r>
      <w:r>
        <w:rPr>
          <w:b/>
          <w:bCs/>
          <w:kern w:val="0"/>
        </w:rPr>
        <w:t>4</w:t>
      </w:r>
      <w:r>
        <w:rPr>
          <w:kern w:val="0"/>
        </w:rPr>
        <w:t xml:space="preserve"> (1), 27-32.</w:t>
      </w:r>
    </w:p>
    <w:p w:rsidR="00874908" w:rsidRDefault="00874908" w:rsidP="00874908">
      <w:pPr>
        <w:pStyle w:val="a0"/>
        <w:rPr>
          <w:kern w:val="0"/>
        </w:rPr>
      </w:pPr>
      <w:r>
        <w:rPr>
          <w:kern w:val="0"/>
        </w:rPr>
        <w:lastRenderedPageBreak/>
        <w:t>Full Text:</w:t>
      </w:r>
      <w:r w:rsidRPr="00B025C1">
        <w:t xml:space="preserve"> </w:t>
      </w:r>
      <w:hyperlink r:id="rId1817" w:history="1">
        <w:r w:rsidR="00C152FD" w:rsidRPr="00C152FD">
          <w:rPr>
            <w:rStyle w:val="a5"/>
          </w:rPr>
          <w:t>2010\Int J Env Res4, 27.pdf</w:t>
        </w:r>
      </w:hyperlink>
    </w:p>
    <w:p w:rsidR="00874908" w:rsidRDefault="00874908" w:rsidP="00874908">
      <w:pPr>
        <w:pStyle w:val="a0"/>
        <w:rPr>
          <w:kern w:val="0"/>
        </w:rPr>
      </w:pPr>
      <w:r>
        <w:rPr>
          <w:kern w:val="0"/>
        </w:rPr>
        <w:t>Abstract: In this study, cross linked chitosan resin (CCR) was prepared by cross linking chitosan with glutaraldehyde,</w:t>
      </w:r>
      <w:r w:rsidR="00F81221">
        <w:rPr>
          <w:kern w:val="0"/>
        </w:rPr>
        <w:t xml:space="preserve"> and </w:t>
      </w:r>
      <w:r>
        <w:rPr>
          <w:kern w:val="0"/>
        </w:rPr>
        <w:t xml:space="preserve">then </w:t>
      </w:r>
      <w:r>
        <w:rPr>
          <w:kern w:val="0"/>
        </w:rPr>
        <w:sym w:font="Symbol" w:char="F061"/>
      </w:r>
      <w:r>
        <w:rPr>
          <w:kern w:val="0"/>
        </w:rPr>
        <w:t>-ketoglutaric acid-modified chitosan resin (KCR) was obtained by modifying CCR with alpha-ketoglutaric acid. The sorption behavior of methylene blue (NIB) on KCR</w:t>
      </w:r>
      <w:r w:rsidR="00F81221">
        <w:rPr>
          <w:kern w:val="0"/>
        </w:rPr>
        <w:t xml:space="preserve"> and </w:t>
      </w:r>
      <w:r>
        <w:rPr>
          <w:kern w:val="0"/>
        </w:rPr>
        <w:t>CCR from aqueous solution was investigated. The effect of various experimental parameters (e.g. initial pH, sorbent dose, dye concentration, contact time,</w:t>
      </w:r>
      <w:r w:rsidR="00F81221">
        <w:rPr>
          <w:kern w:val="0"/>
        </w:rPr>
        <w:t xml:space="preserve"> and </w:t>
      </w:r>
      <w:r>
        <w:rPr>
          <w:kern w:val="0"/>
        </w:rPr>
        <w:t>temperature) was examined. The maximal MB sorption ratio on KCR</w:t>
      </w:r>
      <w:r w:rsidR="00F81221">
        <w:rPr>
          <w:kern w:val="0"/>
        </w:rPr>
        <w:t xml:space="preserve"> and </w:t>
      </w:r>
      <w:r>
        <w:rPr>
          <w:kern w:val="0"/>
        </w:rPr>
        <w:t>CCR was respectively reached beyond pH 8</w:t>
      </w:r>
      <w:r w:rsidR="00F81221">
        <w:rPr>
          <w:kern w:val="0"/>
        </w:rPr>
        <w:t xml:space="preserve"> and </w:t>
      </w:r>
      <w:r>
        <w:rPr>
          <w:kern w:val="0"/>
        </w:rPr>
        <w:t>at pH 8. The MB removal ratio on KCR</w:t>
      </w:r>
      <w:r w:rsidR="00F81221">
        <w:rPr>
          <w:kern w:val="0"/>
        </w:rPr>
        <w:t xml:space="preserve"> and </w:t>
      </w:r>
      <w:r>
        <w:rPr>
          <w:kern w:val="0"/>
        </w:rPr>
        <w:t>CCR increased with increasing sorbent dose but decreased with increasing dye concentration. The isothermal data of MB sorbed on KCR</w:t>
      </w:r>
      <w:r w:rsidR="00F81221">
        <w:rPr>
          <w:kern w:val="0"/>
        </w:rPr>
        <w:t xml:space="preserve"> and </w:t>
      </w:r>
      <w:r>
        <w:rPr>
          <w:kern w:val="0"/>
        </w:rPr>
        <w:t>CCR followed the Langmuir model. The MB sorption process could be described by the pseudo-second-order kinetic model. The thermodynamic study indicated that the MB sorption process was spontaneous</w:t>
      </w:r>
      <w:r w:rsidR="00F81221">
        <w:rPr>
          <w:kern w:val="0"/>
        </w:rPr>
        <w:t xml:space="preserve"> and </w:t>
      </w:r>
      <w:r>
        <w:rPr>
          <w:kern w:val="0"/>
        </w:rPr>
        <w:t>exothermic.</w:t>
      </w:r>
    </w:p>
    <w:p w:rsidR="00874908" w:rsidRDefault="00874908" w:rsidP="00874908">
      <w:pPr>
        <w:pStyle w:val="a0"/>
        <w:rPr>
          <w:kern w:val="0"/>
        </w:rPr>
      </w:pPr>
      <w:r>
        <w:rPr>
          <w:kern w:val="0"/>
        </w:rPr>
        <w:t xml:space="preserve">Keywords: Adsorbent, Adsorption Process, Alpha-Ketoglutaric Acid-Modified Chitosan Resin, Aqueous Solution, Behavior, Cationic Dyes, Chitosan, Concentration, Congo Red, Cross-Linked, Data, Dye, Dye Waste-Water, Exothermic, Experimental, Glutaraldehyde, Isothermal, Kinetic, Kinetic Model, Kinetics, Langmuir, Langmuir Model, MB, Methylene Blue, Model, </w:t>
      </w:r>
      <w:r>
        <w:rPr>
          <w:rFonts w:hint="eastAsia"/>
          <w:kern w:val="0"/>
        </w:rPr>
        <w:t>p</w:t>
      </w:r>
      <w:r>
        <w:rPr>
          <w:kern w:val="0"/>
        </w:rPr>
        <w:t>H, Pseudo Second Order, Pseudo-Second-Order, Pseudo-Second-Order Kinetic Model, Removal, Resin, Solution, Sorbent, Sorbent Dose, Sorption, Sorption Process, Temperature, Thermodynamic, Thermodynamics</w:t>
      </w:r>
    </w:p>
    <w:p w:rsidR="00323EA7" w:rsidRDefault="00323EA7" w:rsidP="00323EA7">
      <w:pPr>
        <w:pStyle w:val="a0"/>
        <w:rPr>
          <w:kern w:val="0"/>
        </w:rPr>
      </w:pPr>
      <w:r>
        <w:rPr>
          <w:rFonts w:hint="eastAsia"/>
          <w:kern w:val="0"/>
        </w:rPr>
        <w:t xml:space="preserve">? </w:t>
      </w:r>
      <w:r>
        <w:rPr>
          <w:kern w:val="0"/>
        </w:rPr>
        <w:t>Nouri, J., Mahvi, A.H.</w:t>
      </w:r>
      <w:r w:rsidR="00F81221">
        <w:rPr>
          <w:kern w:val="0"/>
        </w:rPr>
        <w:t xml:space="preserve"> and </w:t>
      </w:r>
      <w:r>
        <w:rPr>
          <w:kern w:val="0"/>
        </w:rPr>
        <w:t>Bazrafshan, E. (2010), Application of electrocoagulation process in removal of zinc</w:t>
      </w:r>
      <w:r w:rsidR="00F81221">
        <w:rPr>
          <w:kern w:val="0"/>
        </w:rPr>
        <w:t xml:space="preserve"> and </w:t>
      </w:r>
      <w:r>
        <w:rPr>
          <w:kern w:val="0"/>
        </w:rPr>
        <w:t xml:space="preserve">copper from aqueous solutions by aluminum electrodes. </w:t>
      </w:r>
      <w:r>
        <w:rPr>
          <w:i/>
          <w:iCs/>
          <w:kern w:val="0"/>
        </w:rPr>
        <w:t>International Journal of Environmental Research</w:t>
      </w:r>
      <w:r>
        <w:rPr>
          <w:kern w:val="0"/>
        </w:rPr>
        <w:t xml:space="preserve">, </w:t>
      </w:r>
      <w:r>
        <w:rPr>
          <w:b/>
          <w:bCs/>
          <w:kern w:val="0"/>
        </w:rPr>
        <w:t>4</w:t>
      </w:r>
      <w:r>
        <w:rPr>
          <w:kern w:val="0"/>
        </w:rPr>
        <w:t xml:space="preserve"> (2), 201-208.</w:t>
      </w:r>
    </w:p>
    <w:p w:rsidR="00323EA7" w:rsidRDefault="00323EA7" w:rsidP="00323EA7">
      <w:pPr>
        <w:pStyle w:val="a0"/>
        <w:rPr>
          <w:kern w:val="0"/>
        </w:rPr>
      </w:pPr>
      <w:r>
        <w:rPr>
          <w:kern w:val="0"/>
        </w:rPr>
        <w:t>Full Text:</w:t>
      </w:r>
      <w:r w:rsidRPr="00B025C1">
        <w:t xml:space="preserve"> </w:t>
      </w:r>
      <w:hyperlink r:id="rId1818" w:history="1">
        <w:r w:rsidR="00C152FD" w:rsidRPr="00C152FD">
          <w:rPr>
            <w:rStyle w:val="a5"/>
          </w:rPr>
          <w:t>2010\Int J Env Res4, 201.pdf</w:t>
        </w:r>
      </w:hyperlink>
    </w:p>
    <w:p w:rsidR="00323EA7" w:rsidRDefault="00323EA7" w:rsidP="00323EA7">
      <w:pPr>
        <w:pStyle w:val="a0"/>
        <w:rPr>
          <w:kern w:val="0"/>
        </w:rPr>
      </w:pPr>
      <w:r>
        <w:rPr>
          <w:kern w:val="0"/>
        </w:rPr>
        <w:t>Abstract: nu In this study, the performance of electro-coagulation in combination with aluminum sacrificial anode, in removal of zinc</w:t>
      </w:r>
      <w:r w:rsidR="00F81221">
        <w:rPr>
          <w:kern w:val="0"/>
        </w:rPr>
        <w:t xml:space="preserve"> and </w:t>
      </w:r>
      <w:r>
        <w:rPr>
          <w:kern w:val="0"/>
        </w:rPr>
        <w:t>copper has been investigated. Several parameters, such as pollutant concentration, pH, electrical potential, COD, turbidity</w:t>
      </w:r>
      <w:r w:rsidR="00F81221">
        <w:rPr>
          <w:kern w:val="0"/>
        </w:rPr>
        <w:t xml:space="preserve"> and </w:t>
      </w:r>
      <w:r>
        <w:rPr>
          <w:kern w:val="0"/>
        </w:rPr>
        <w:t>contact time were studied to achieve a higher removal capacity. Variable concentrations (5-50-500 ppm) of zinc</w:t>
      </w:r>
      <w:r w:rsidR="00F81221">
        <w:rPr>
          <w:kern w:val="0"/>
        </w:rPr>
        <w:t xml:space="preserve"> and </w:t>
      </w:r>
      <w:r>
        <w:rPr>
          <w:kern w:val="0"/>
        </w:rPr>
        <w:t>copper solutions were prepared. In order to follow the progress of the treatment, samples of 25mL were taken at 15 min intervals up to 60 min</w:t>
      </w:r>
      <w:r w:rsidR="00F81221">
        <w:rPr>
          <w:kern w:val="0"/>
        </w:rPr>
        <w:t xml:space="preserve"> and </w:t>
      </w:r>
      <w:r>
        <w:rPr>
          <w:kern w:val="0"/>
        </w:rPr>
        <w:t>then filtered with 0.45 (sic) diameter to eliminate sludge formed during electrolysis. The varying pH of the initial solution was also studied to measure their effects on the zinc</w:t>
      </w:r>
      <w:r w:rsidR="00F81221">
        <w:rPr>
          <w:kern w:val="0"/>
        </w:rPr>
        <w:t xml:space="preserve"> and </w:t>
      </w:r>
      <w:r>
        <w:rPr>
          <w:kern w:val="0"/>
        </w:rPr>
        <w:t xml:space="preserve">copper removal efficiency. Results obtained with synthetic wastewater revealed that the most effective removal capacities of studied metals could be achieved at 40 V electrical potential. In addition, the increase of electrical potential, in the range of 20-40 V, enhanced the treatment rate without affecting the charge loading required to reduce metal ion concentrations under the admissible legal levels. The process was successfully applied to the </w:t>
      </w:r>
      <w:r>
        <w:rPr>
          <w:kern w:val="0"/>
        </w:rPr>
        <w:lastRenderedPageBreak/>
        <w:t>treatment of an electroplating wastewater where an effective reduction of zinc</w:t>
      </w:r>
      <w:r w:rsidR="00F81221">
        <w:rPr>
          <w:kern w:val="0"/>
        </w:rPr>
        <w:t xml:space="preserve"> and </w:t>
      </w:r>
      <w:r>
        <w:rPr>
          <w:kern w:val="0"/>
        </w:rPr>
        <w:t>copper concentration under legal limits was obtained, just after 15-60 min. Moreover, it can be concluded that the electro-coagulation process has the potential to be utilized for the cost-effective removal of heavy metals from water</w:t>
      </w:r>
      <w:r w:rsidR="00F81221">
        <w:rPr>
          <w:kern w:val="0"/>
        </w:rPr>
        <w:t xml:space="preserve"> and </w:t>
      </w:r>
      <w:r>
        <w:rPr>
          <w:kern w:val="0"/>
        </w:rPr>
        <w:t>wastewater.</w:t>
      </w:r>
    </w:p>
    <w:p w:rsidR="00323EA7" w:rsidRDefault="00323EA7" w:rsidP="00323EA7">
      <w:pPr>
        <w:pStyle w:val="a0"/>
        <w:rPr>
          <w:kern w:val="0"/>
        </w:rPr>
      </w:pPr>
      <w:r>
        <w:rPr>
          <w:kern w:val="0"/>
        </w:rPr>
        <w:t>Keywords: Aluminum, Aluminum Electrodes, Biosorption, Cadmium, Capacity, Charge, Cod, Concentration, Copper, Copper Removal, Cost-Effective, Efficiency, Electro-Coagulation, Electrocoagulation, Electrolysis, Flocculation, Fresh-Water, Heavy Metals, Heavy-Metals, Hexavalent Chromium, Hollow-Fiber Membrane, Intervals, Iron, Lead, Legal, Loading, Measure, Metal, Metals, Performance, Ph, Potential, Progress, Reduction, Removal, Removal Efficiency, Sludge, Solution, Solutions, Treatment, Turbidity, Waste-Water, Wastewater, Water, Zinc, Zinc</w:t>
      </w:r>
      <w:r w:rsidR="00F81221">
        <w:rPr>
          <w:kern w:val="0"/>
        </w:rPr>
        <w:t xml:space="preserve"> and </w:t>
      </w:r>
      <w:r>
        <w:rPr>
          <w:kern w:val="0"/>
        </w:rPr>
        <w:t>Copper Removal</w:t>
      </w:r>
    </w:p>
    <w:p w:rsidR="00323EA7" w:rsidRDefault="00323EA7" w:rsidP="00323EA7">
      <w:pPr>
        <w:pStyle w:val="a0"/>
        <w:rPr>
          <w:kern w:val="0"/>
        </w:rPr>
      </w:pPr>
      <w:r>
        <w:rPr>
          <w:rFonts w:hint="eastAsia"/>
          <w:kern w:val="0"/>
        </w:rPr>
        <w:t xml:space="preserve">? </w:t>
      </w:r>
      <w:r>
        <w:rPr>
          <w:kern w:val="0"/>
        </w:rPr>
        <w:t>Resmi, G., Thampi, S.G.</w:t>
      </w:r>
      <w:r w:rsidR="00F81221">
        <w:rPr>
          <w:kern w:val="0"/>
        </w:rPr>
        <w:t xml:space="preserve"> and </w:t>
      </w:r>
      <w:r>
        <w:rPr>
          <w:kern w:val="0"/>
        </w:rPr>
        <w:t xml:space="preserve">Chandrakaran, S. (2010), </w:t>
      </w:r>
      <w:r w:rsidRPr="00B10737">
        <w:rPr>
          <w:i/>
          <w:kern w:val="0"/>
        </w:rPr>
        <w:t>Brevundimonas vesicularis</w:t>
      </w:r>
      <w:r>
        <w:rPr>
          <w:kern w:val="0"/>
        </w:rPr>
        <w:t xml:space="preserve">: A novel bio-sorbent for removal of lead from wastewater. </w:t>
      </w:r>
      <w:r>
        <w:rPr>
          <w:i/>
          <w:iCs/>
          <w:kern w:val="0"/>
        </w:rPr>
        <w:t>International Journal of Environmental Research</w:t>
      </w:r>
      <w:r>
        <w:rPr>
          <w:kern w:val="0"/>
        </w:rPr>
        <w:t xml:space="preserve">, </w:t>
      </w:r>
      <w:r>
        <w:rPr>
          <w:b/>
          <w:bCs/>
          <w:kern w:val="0"/>
        </w:rPr>
        <w:t>4</w:t>
      </w:r>
      <w:r>
        <w:rPr>
          <w:kern w:val="0"/>
        </w:rPr>
        <w:t xml:space="preserve"> (2), 281-288.</w:t>
      </w:r>
    </w:p>
    <w:p w:rsidR="00323EA7" w:rsidRDefault="00323EA7" w:rsidP="00323EA7">
      <w:pPr>
        <w:pStyle w:val="a0"/>
        <w:rPr>
          <w:kern w:val="0"/>
        </w:rPr>
      </w:pPr>
      <w:r>
        <w:rPr>
          <w:kern w:val="0"/>
        </w:rPr>
        <w:t>Full Text:</w:t>
      </w:r>
      <w:r w:rsidRPr="00B025C1">
        <w:t xml:space="preserve"> </w:t>
      </w:r>
      <w:hyperlink r:id="rId1819" w:history="1">
        <w:r w:rsidR="00B10737" w:rsidRPr="00B10737">
          <w:rPr>
            <w:rStyle w:val="a5"/>
          </w:rPr>
          <w:t>2010\Int J Env Res4, 281.pdf</w:t>
        </w:r>
      </w:hyperlink>
    </w:p>
    <w:p w:rsidR="00323EA7" w:rsidRDefault="00323EA7" w:rsidP="00323EA7">
      <w:pPr>
        <w:pStyle w:val="a0"/>
        <w:rPr>
          <w:kern w:val="0"/>
        </w:rPr>
      </w:pPr>
      <w:r>
        <w:rPr>
          <w:kern w:val="0"/>
        </w:rPr>
        <w:t>Abstract: In this study, a bacterial species which could remove lead from wastewater was isolated from lead contaminated soil prepared in the laboratory. Based on the biochemical</w:t>
      </w:r>
      <w:r w:rsidR="00F81221">
        <w:rPr>
          <w:kern w:val="0"/>
        </w:rPr>
        <w:t xml:space="preserve"> and </w:t>
      </w:r>
      <w:r>
        <w:rPr>
          <w:kern w:val="0"/>
        </w:rPr>
        <w:t>morphological characterization the bacteria were identified as Brevundimonas vesicularis. The biosorption potentiel of powdered dry biomass of B. Vesicularis was investigated by batch adsorption experiments. It was found that, the bio-sorption capacities were significantly affected by the pH</w:t>
      </w:r>
      <w:r w:rsidR="00F81221">
        <w:rPr>
          <w:kern w:val="0"/>
        </w:rPr>
        <w:t xml:space="preserve"> and </w:t>
      </w:r>
      <w:r>
        <w:rPr>
          <w:kern w:val="0"/>
        </w:rPr>
        <w:t>initial concentration of the solution, bio-sorbent dosage</w:t>
      </w:r>
      <w:r w:rsidR="00F81221">
        <w:rPr>
          <w:kern w:val="0"/>
        </w:rPr>
        <w:t xml:space="preserve"> and </w:t>
      </w:r>
      <w:r>
        <w:rPr>
          <w:kern w:val="0"/>
        </w:rPr>
        <w:t>contact time. Batch</w:t>
      </w:r>
      <w:r w:rsidR="00F81221">
        <w:rPr>
          <w:kern w:val="0"/>
        </w:rPr>
        <w:t xml:space="preserve"> and </w:t>
      </w:r>
      <w:r>
        <w:rPr>
          <w:kern w:val="0"/>
        </w:rPr>
        <w:t>isothermal studies were carried out at optimum pH of 4. The rate of bio-sorption was found to be fast during the initial 10min</w:t>
      </w:r>
      <w:r w:rsidR="00F81221">
        <w:rPr>
          <w:kern w:val="0"/>
        </w:rPr>
        <w:t xml:space="preserve"> and </w:t>
      </w:r>
      <w:r>
        <w:rPr>
          <w:kern w:val="0"/>
        </w:rPr>
        <w:t>it reached equilibrium by 60min. Langmuir isotherm model was suitable for describing the bio-sorption of lead by B. Vesicularis. The results indicated that, the dry biomass of B. Vesicularis is suitable as an efficient bio-sorbent for the removal of lead from wastewater.</w:t>
      </w:r>
    </w:p>
    <w:p w:rsidR="00323EA7" w:rsidRDefault="00323EA7" w:rsidP="00323EA7">
      <w:pPr>
        <w:pStyle w:val="a0"/>
        <w:rPr>
          <w:kern w:val="0"/>
        </w:rPr>
      </w:pPr>
      <w:r>
        <w:rPr>
          <w:kern w:val="0"/>
        </w:rPr>
        <w:t xml:space="preserve">Keywords: Activated Carbon, Adsorption, Aqueous-Solutions, Bacteria, Bacterial Species, Batch, Batch Adsorption, Bio-Sorption, Biomass, Biomass, Biosorbent, Biosorption, Characterization, Chromium(III), Concentration, Copper(II), Dry Biomass, Equilibrium, Experiments, Heavy Metal, Heavy-Metals, Isotherm, Isotherm Model, Isothermal, Langmuir, Langmuir Isotherm, Langmuir Isotherm Model, Lead, Model, </w:t>
      </w:r>
      <w:r>
        <w:rPr>
          <w:rFonts w:hint="eastAsia"/>
          <w:kern w:val="0"/>
        </w:rPr>
        <w:t>p</w:t>
      </w:r>
      <w:r>
        <w:rPr>
          <w:kern w:val="0"/>
        </w:rPr>
        <w:t>H, Recovery, Removal, Soil, Solution, Species, Wastewater</w:t>
      </w:r>
    </w:p>
    <w:p w:rsidR="00323EA7" w:rsidRDefault="00323EA7" w:rsidP="00323EA7">
      <w:pPr>
        <w:pStyle w:val="a0"/>
        <w:rPr>
          <w:kern w:val="0"/>
        </w:rPr>
      </w:pPr>
      <w:r>
        <w:rPr>
          <w:rFonts w:hint="eastAsia"/>
          <w:kern w:val="0"/>
        </w:rPr>
        <w:t xml:space="preserve">? </w:t>
      </w:r>
      <w:r>
        <w:rPr>
          <w:kern w:val="0"/>
        </w:rPr>
        <w:t>Dhir, B.</w:t>
      </w:r>
      <w:r w:rsidR="00F81221">
        <w:rPr>
          <w:kern w:val="0"/>
        </w:rPr>
        <w:t xml:space="preserve"> and </w:t>
      </w:r>
      <w:r>
        <w:rPr>
          <w:kern w:val="0"/>
        </w:rPr>
        <w:t xml:space="preserve">Kumar, R. (2010), Adsorption of heavy metals by </w:t>
      </w:r>
      <w:r w:rsidR="00B10737" w:rsidRPr="00B10737">
        <w:rPr>
          <w:i/>
          <w:kern w:val="0"/>
        </w:rPr>
        <w:t>Salvinia</w:t>
      </w:r>
      <w:r>
        <w:rPr>
          <w:kern w:val="0"/>
        </w:rPr>
        <w:t xml:space="preserve"> biomass</w:t>
      </w:r>
      <w:r w:rsidR="00F81221">
        <w:rPr>
          <w:kern w:val="0"/>
        </w:rPr>
        <w:t xml:space="preserve"> and </w:t>
      </w:r>
      <w:r>
        <w:rPr>
          <w:kern w:val="0"/>
        </w:rPr>
        <w:t xml:space="preserve">agricultural residues. </w:t>
      </w:r>
      <w:r>
        <w:rPr>
          <w:i/>
          <w:iCs/>
          <w:kern w:val="0"/>
        </w:rPr>
        <w:t>International Journal of Environmental Research</w:t>
      </w:r>
      <w:r>
        <w:rPr>
          <w:kern w:val="0"/>
        </w:rPr>
        <w:t xml:space="preserve">, </w:t>
      </w:r>
      <w:r>
        <w:rPr>
          <w:b/>
          <w:bCs/>
          <w:kern w:val="0"/>
        </w:rPr>
        <w:t>4</w:t>
      </w:r>
      <w:r>
        <w:rPr>
          <w:kern w:val="0"/>
        </w:rPr>
        <w:t xml:space="preserve"> (3), 427-432.</w:t>
      </w:r>
    </w:p>
    <w:p w:rsidR="00323EA7" w:rsidRDefault="00323EA7" w:rsidP="00323EA7">
      <w:pPr>
        <w:pStyle w:val="a0"/>
        <w:rPr>
          <w:kern w:val="0"/>
        </w:rPr>
      </w:pPr>
      <w:r>
        <w:rPr>
          <w:kern w:val="0"/>
        </w:rPr>
        <w:t>Full Text:</w:t>
      </w:r>
      <w:r w:rsidRPr="00B025C1">
        <w:t xml:space="preserve"> </w:t>
      </w:r>
      <w:hyperlink r:id="rId1820" w:history="1">
        <w:r w:rsidR="00B10737" w:rsidRPr="00B10737">
          <w:rPr>
            <w:rStyle w:val="a5"/>
          </w:rPr>
          <w:t>2010\Int J Env Res4, 427.pdf</w:t>
        </w:r>
      </w:hyperlink>
    </w:p>
    <w:p w:rsidR="00323EA7" w:rsidRDefault="00323EA7" w:rsidP="00323EA7">
      <w:pPr>
        <w:pStyle w:val="a0"/>
        <w:rPr>
          <w:kern w:val="0"/>
        </w:rPr>
      </w:pPr>
      <w:r>
        <w:rPr>
          <w:kern w:val="0"/>
        </w:rPr>
        <w:t xml:space="preserve">Abstract: Batch adsorption experiments were performed to study adsorption potential of </w:t>
      </w:r>
      <w:r>
        <w:rPr>
          <w:kern w:val="0"/>
        </w:rPr>
        <w:lastRenderedPageBreak/>
        <w:t>agricultural residues viz, rice straw, wheat straw</w:t>
      </w:r>
      <w:r w:rsidR="00F81221">
        <w:rPr>
          <w:kern w:val="0"/>
        </w:rPr>
        <w:t xml:space="preserve"> and </w:t>
      </w:r>
      <w:r>
        <w:rPr>
          <w:kern w:val="0"/>
        </w:rPr>
        <w:t>Salvinia plant biomass for removal of heavy metals such as Cr, Ni,</w:t>
      </w:r>
      <w:r w:rsidR="00F81221">
        <w:rPr>
          <w:kern w:val="0"/>
        </w:rPr>
        <w:t xml:space="preserve"> and </w:t>
      </w:r>
      <w:r>
        <w:rPr>
          <w:kern w:val="0"/>
        </w:rPr>
        <w:t>Cd. Plant materials were used in different combinations. Heavy metal removal efficiency was more at low metal concentration (35 mg/L). Salvinia biomass possessed higher efficiency for removing heavy metals such as Cr, Ni</w:t>
      </w:r>
      <w:r w:rsidR="00F81221">
        <w:rPr>
          <w:kern w:val="0"/>
        </w:rPr>
        <w:t xml:space="preserve"> and </w:t>
      </w:r>
      <w:r>
        <w:rPr>
          <w:kern w:val="0"/>
        </w:rPr>
        <w:t>Cd followed by a combination where three materials (rice straw, wheat straw, Salvinia biomass) were taken together in comparison to other combinations. The adsorption data fitted in Langmuir</w:t>
      </w:r>
      <w:r w:rsidR="00F81221">
        <w:rPr>
          <w:kern w:val="0"/>
        </w:rPr>
        <w:t xml:space="preserve"> and </w:t>
      </w:r>
      <w:r>
        <w:rPr>
          <w:kern w:val="0"/>
        </w:rPr>
        <w:t>Freundlich isotherm models. The present investigations revealed that agricultural residues such as rice straw</w:t>
      </w:r>
      <w:r w:rsidR="00F81221">
        <w:rPr>
          <w:kern w:val="0"/>
        </w:rPr>
        <w:t xml:space="preserve"> and </w:t>
      </w:r>
      <w:r>
        <w:rPr>
          <w:kern w:val="0"/>
        </w:rPr>
        <w:t>wheat straw along with Salvinia biomass can serve as low-cost alternative for removal of heavy metals from wastewaters.</w:t>
      </w:r>
    </w:p>
    <w:p w:rsidR="00323EA7" w:rsidRDefault="00323EA7" w:rsidP="00323EA7">
      <w:pPr>
        <w:pStyle w:val="a0"/>
        <w:rPr>
          <w:kern w:val="0"/>
        </w:rPr>
      </w:pPr>
      <w:r>
        <w:rPr>
          <w:kern w:val="0"/>
        </w:rPr>
        <w:t>Keywords: Activated Carbon, Adsorption, Agricultural, Alternative, Aqueous-Solutions, Batch Adsorption, Biomass, Cd, Ceratophyllum-Demersum, Comparison, Concentration, Data, Efficiency, Experiments, Freundlich, Freundlich Isotherm, Heavy Metal, Heavy Metal Removal, Heavy Metals, Investigations, Ions, Isotherm, Langmuir, Lead, Low Cost, Metal, Metals, Models, Nonliving Biomass, Plant, Plant Biomass, Potential, Removal, Removal Efficiency, Rice, Rice Straw, Salvinia, Sawdust, Straw, Waste-Water, Wastewaters, Wheat Bran, Wheat Straw</w:t>
      </w:r>
    </w:p>
    <w:p w:rsidR="00323EA7" w:rsidRDefault="00323EA7" w:rsidP="00323EA7">
      <w:pPr>
        <w:pStyle w:val="a0"/>
        <w:rPr>
          <w:kern w:val="0"/>
        </w:rPr>
      </w:pPr>
      <w:r>
        <w:rPr>
          <w:rFonts w:hint="eastAsia"/>
          <w:kern w:val="0"/>
        </w:rPr>
        <w:t xml:space="preserve">? </w:t>
      </w:r>
      <w:r>
        <w:rPr>
          <w:kern w:val="0"/>
        </w:rPr>
        <w:t>Tashauoei, H.R., Attar, H.M., Kamali, M., Amin, M.M.</w:t>
      </w:r>
      <w:r w:rsidR="00F81221">
        <w:rPr>
          <w:kern w:val="0"/>
        </w:rPr>
        <w:t xml:space="preserve"> and </w:t>
      </w:r>
      <w:r>
        <w:rPr>
          <w:kern w:val="0"/>
        </w:rPr>
        <w:t xml:space="preserve">Aein, M.N. (2010), Removal of hexavalent chromium(VI) from aqueous solutions using surface modified Nanozeolite A. </w:t>
      </w:r>
      <w:r>
        <w:rPr>
          <w:i/>
          <w:iCs/>
          <w:kern w:val="0"/>
        </w:rPr>
        <w:t>International Journal of Environmental Research</w:t>
      </w:r>
      <w:r>
        <w:rPr>
          <w:kern w:val="0"/>
        </w:rPr>
        <w:t xml:space="preserve">, </w:t>
      </w:r>
      <w:r>
        <w:rPr>
          <w:b/>
          <w:bCs/>
          <w:kern w:val="0"/>
        </w:rPr>
        <w:t>4</w:t>
      </w:r>
      <w:r>
        <w:rPr>
          <w:kern w:val="0"/>
        </w:rPr>
        <w:t xml:space="preserve"> (3), 491-500.</w:t>
      </w:r>
    </w:p>
    <w:p w:rsidR="00323EA7" w:rsidRDefault="00323EA7" w:rsidP="00323EA7">
      <w:pPr>
        <w:pStyle w:val="a0"/>
        <w:rPr>
          <w:kern w:val="0"/>
        </w:rPr>
      </w:pPr>
      <w:r>
        <w:rPr>
          <w:kern w:val="0"/>
        </w:rPr>
        <w:t>Full Text:</w:t>
      </w:r>
      <w:r w:rsidRPr="00B025C1">
        <w:t xml:space="preserve"> </w:t>
      </w:r>
      <w:hyperlink r:id="rId1821" w:history="1">
        <w:r w:rsidR="00B10737" w:rsidRPr="00B10737">
          <w:rPr>
            <w:rStyle w:val="a5"/>
          </w:rPr>
          <w:t>2010\Int J Env Res4, 491.pdf</w:t>
        </w:r>
      </w:hyperlink>
    </w:p>
    <w:p w:rsidR="00323EA7" w:rsidRDefault="00323EA7" w:rsidP="00323EA7">
      <w:pPr>
        <w:pStyle w:val="a0"/>
        <w:rPr>
          <w:kern w:val="0"/>
        </w:rPr>
      </w:pPr>
      <w:r>
        <w:rPr>
          <w:kern w:val="0"/>
        </w:rPr>
        <w:t>Abstract: Chromium(VI) adsorption behavior</w:t>
      </w:r>
      <w:r w:rsidR="00F81221">
        <w:rPr>
          <w:kern w:val="0"/>
        </w:rPr>
        <w:t xml:space="preserve"> and </w:t>
      </w:r>
      <w:r>
        <w:rPr>
          <w:kern w:val="0"/>
        </w:rPr>
        <w:t>capacity by surface modified nanozeolite A has been investigated. Surface modification was performed</w:t>
      </w:r>
      <w:r w:rsidR="00F81221">
        <w:rPr>
          <w:kern w:val="0"/>
        </w:rPr>
        <w:t xml:space="preserve"> and </w:t>
      </w:r>
      <w:r>
        <w:rPr>
          <w:kern w:val="0"/>
        </w:rPr>
        <w:t>the morphology of modified</w:t>
      </w:r>
      <w:r w:rsidR="00F81221">
        <w:rPr>
          <w:kern w:val="0"/>
        </w:rPr>
        <w:t xml:space="preserve"> and </w:t>
      </w:r>
      <w:r>
        <w:rPr>
          <w:kern w:val="0"/>
        </w:rPr>
        <w:t>unmodified nanozeolite was studied using Scanning Electron Microscope (SEM)</w:t>
      </w:r>
      <w:r w:rsidR="00F81221">
        <w:rPr>
          <w:kern w:val="0"/>
        </w:rPr>
        <w:t xml:space="preserve"> and </w:t>
      </w:r>
      <w:r>
        <w:rPr>
          <w:kern w:val="0"/>
        </w:rPr>
        <w:t>Transmission Electron Microscope (TEM). Adsorption isotherms were studied under different conditions (pH, adsorbent dose, adsorbate concentration</w:t>
      </w:r>
      <w:r w:rsidR="00F81221">
        <w:rPr>
          <w:kern w:val="0"/>
        </w:rPr>
        <w:t xml:space="preserve"> and </w:t>
      </w:r>
      <w:r>
        <w:rPr>
          <w:kern w:val="0"/>
        </w:rPr>
        <w:t>interaction time). The Langmuir monolayer adsorption capacity (q(m)) was found to be 14.16 mg Cr(VI) per gram at pH = 3.0 at room temperature. Chromate adsorption on surface modified nanozeolite A was found to be inversely proportional to the pH. Effect of competitive ions was studied</w:t>
      </w:r>
      <w:r w:rsidR="00F81221">
        <w:rPr>
          <w:kern w:val="0"/>
        </w:rPr>
        <w:t xml:space="preserve"> and </w:t>
      </w:r>
      <w:r>
        <w:rPr>
          <w:kern w:val="0"/>
        </w:rPr>
        <w:t>it was found that there is no significant competition between chromate adsorption</w:t>
      </w:r>
      <w:r w:rsidR="00F81221">
        <w:rPr>
          <w:kern w:val="0"/>
        </w:rPr>
        <w:t xml:space="preserve"> and </w:t>
      </w:r>
      <w:r>
        <w:rPr>
          <w:kern w:val="0"/>
        </w:rPr>
        <w:t>presence of competitive ions. Results revealed that Langmuir model is in good agreement with experimental re-sults. Results of examinations on a polluted natural sample showed that surface modified nanozeolite A could reduce chromium (VI) concentration to acceptable criteria. Based on results, surface modified nanozeolite A is an effective sorbent for removing chromate from aquatic solution</w:t>
      </w:r>
      <w:r w:rsidR="00F81221">
        <w:rPr>
          <w:kern w:val="0"/>
        </w:rPr>
        <w:t xml:space="preserve"> and </w:t>
      </w:r>
      <w:r>
        <w:rPr>
          <w:kern w:val="0"/>
        </w:rPr>
        <w:t>the adsorption ability is enhanced by surface modification.</w:t>
      </w:r>
    </w:p>
    <w:p w:rsidR="00323EA7" w:rsidRDefault="00323EA7" w:rsidP="00323EA7">
      <w:pPr>
        <w:pStyle w:val="a0"/>
        <w:rPr>
          <w:kern w:val="0"/>
        </w:rPr>
      </w:pPr>
      <w:r>
        <w:rPr>
          <w:kern w:val="0"/>
        </w:rPr>
        <w:t xml:space="preserve">Keywords: Activated Carbons, Adsorbent, Adsorbent Dose, Adsorption, Adsorption </w:t>
      </w:r>
      <w:r>
        <w:rPr>
          <w:kern w:val="0"/>
        </w:rPr>
        <w:lastRenderedPageBreak/>
        <w:t xml:space="preserve">Behavior, Adsorption Capacity, Adsorption Isotherm, Adsorption Isotherms, Behavior, Birjand, Cadmium, Capacity, Chromate, Chromium, Competition, Competitive, Concentration, Cr(VI), Criteria, Experimental, Heavy-Metals, Interaction, Ion-Exchange, Ions, Isotherms, Langmuir, Langmuir Model, Mexican Clinoptilolite, Model, Modification, Modified, Modified Zeolite, Monolayer, Morphology, Nanozeolite A, Natural, Natural Clinoptilolite, </w:t>
      </w:r>
      <w:r>
        <w:rPr>
          <w:rFonts w:hint="eastAsia"/>
          <w:kern w:val="0"/>
        </w:rPr>
        <w:t>p</w:t>
      </w:r>
      <w:r>
        <w:rPr>
          <w:kern w:val="0"/>
        </w:rPr>
        <w:t>H, Removal, Room Temperature, SEM, Solution, Sorbent, Surface, Surface Modification, Synthetic Zeolites, TEM, Temperature, Waste-Water</w:t>
      </w:r>
    </w:p>
    <w:p w:rsidR="00540CED" w:rsidRDefault="00540CED" w:rsidP="00540CED">
      <w:pPr>
        <w:pStyle w:val="a0"/>
        <w:rPr>
          <w:kern w:val="0"/>
        </w:rPr>
      </w:pPr>
      <w:r>
        <w:rPr>
          <w:rFonts w:hint="eastAsia"/>
          <w:kern w:val="0"/>
        </w:rPr>
        <w:t xml:space="preserve">? </w:t>
      </w:r>
      <w:r>
        <w:rPr>
          <w:kern w:val="0"/>
        </w:rPr>
        <w:t>Smaranda, C., Gavrilescu, M.</w:t>
      </w:r>
      <w:r w:rsidR="00F81221">
        <w:rPr>
          <w:kern w:val="0"/>
        </w:rPr>
        <w:t xml:space="preserve"> and </w:t>
      </w:r>
      <w:r>
        <w:rPr>
          <w:kern w:val="0"/>
        </w:rPr>
        <w:t xml:space="preserve">Bulgariu, D. (2011), Studies on sorption of </w:t>
      </w:r>
      <w:r w:rsidR="001345D3">
        <w:rPr>
          <w:kern w:val="0"/>
        </w:rPr>
        <w:t xml:space="preserve">Congo </w:t>
      </w:r>
      <w:r>
        <w:rPr>
          <w:kern w:val="0"/>
        </w:rPr>
        <w:t xml:space="preserve">red from aqueous solution onto soil. </w:t>
      </w:r>
      <w:r>
        <w:rPr>
          <w:i/>
          <w:iCs/>
          <w:kern w:val="0"/>
        </w:rPr>
        <w:t>International Journal of Environmental Research</w:t>
      </w:r>
      <w:r>
        <w:rPr>
          <w:kern w:val="0"/>
        </w:rPr>
        <w:t xml:space="preserve">, </w:t>
      </w:r>
      <w:r>
        <w:rPr>
          <w:b/>
          <w:bCs/>
          <w:kern w:val="0"/>
        </w:rPr>
        <w:t>5</w:t>
      </w:r>
      <w:r>
        <w:rPr>
          <w:kern w:val="0"/>
        </w:rPr>
        <w:t xml:space="preserve"> (1), 177-188.</w:t>
      </w:r>
    </w:p>
    <w:p w:rsidR="00540CED" w:rsidRPr="007D79E8" w:rsidRDefault="00540CED" w:rsidP="00540CED">
      <w:pPr>
        <w:pStyle w:val="a0"/>
        <w:rPr>
          <w:kern w:val="0"/>
        </w:rPr>
      </w:pPr>
      <w:r w:rsidRPr="007D79E8">
        <w:rPr>
          <w:kern w:val="0"/>
        </w:rPr>
        <w:t xml:space="preserve">Full Text: </w:t>
      </w:r>
      <w:hyperlink r:id="rId1822" w:history="1">
        <w:r w:rsidR="001345D3" w:rsidRPr="001345D3">
          <w:rPr>
            <w:rStyle w:val="a5"/>
            <w:kern w:val="0"/>
          </w:rPr>
          <w:t>2011\Int J Env Res5, 177.pdf</w:t>
        </w:r>
      </w:hyperlink>
    </w:p>
    <w:p w:rsidR="00540CED" w:rsidRDefault="00540CED" w:rsidP="00540CED">
      <w:pPr>
        <w:pStyle w:val="a0"/>
        <w:rPr>
          <w:kern w:val="0"/>
        </w:rPr>
      </w:pPr>
      <w:r>
        <w:rPr>
          <w:kern w:val="0"/>
        </w:rPr>
        <w:t>Abstract: The aim of this study was to investigate the Congo red sorption on soil from the region of Iasi (NE of Romania). The effects of contact time, temperature, sorbent dose</w:t>
      </w:r>
      <w:r w:rsidR="00F81221">
        <w:rPr>
          <w:kern w:val="0"/>
        </w:rPr>
        <w:t xml:space="preserve"> and </w:t>
      </w:r>
      <w:r>
        <w:rPr>
          <w:kern w:val="0"/>
        </w:rPr>
        <w:t>initial dye concentration on soil sorption were investigated. The results show that the amount adsorbed of Congo red on soil increase with increasing dye concentration, temperature</w:t>
      </w:r>
      <w:r w:rsidR="00F81221">
        <w:rPr>
          <w:kern w:val="0"/>
        </w:rPr>
        <w:t xml:space="preserve"> and </w:t>
      </w:r>
      <w:r>
        <w:rPr>
          <w:kern w:val="0"/>
        </w:rPr>
        <w:t>contact time. The experimental data were analyzed using the pseudo-first order Lagergren model, the pseudo-second order model</w:t>
      </w:r>
      <w:r w:rsidR="00F81221">
        <w:rPr>
          <w:kern w:val="0"/>
        </w:rPr>
        <w:t xml:space="preserve"> and </w:t>
      </w:r>
      <w:r>
        <w:rPr>
          <w:kern w:val="0"/>
        </w:rPr>
        <w:t>intraparticle diffusion model. Experimental results show that the dye sorption process follows the pseudo-second-order kinetic model. Intraparticle diffusion studies indicated that the adsorption mechanism was not exclusively controlled by the diffusion step. The equilibrium sorption data were interpreted using Langmuir, Freundlich</w:t>
      </w:r>
      <w:r w:rsidR="00F81221">
        <w:rPr>
          <w:kern w:val="0"/>
        </w:rPr>
        <w:t xml:space="preserve"> and </w:t>
      </w:r>
      <w:r>
        <w:rPr>
          <w:kern w:val="0"/>
        </w:rPr>
        <w:t>Tempkin models</w:t>
      </w:r>
      <w:r w:rsidR="00F81221">
        <w:rPr>
          <w:kern w:val="0"/>
        </w:rPr>
        <w:t xml:space="preserve"> and </w:t>
      </w:r>
      <w:r>
        <w:rPr>
          <w:kern w:val="0"/>
        </w:rPr>
        <w:t>the results were best described by Freundlich isotherm. It was indicative of the heterogeneity of the sorption sites on the soil particle. Thermodynamic analysis of the Congo red sorption on studied soil indicates that the system is spontaneous</w:t>
      </w:r>
      <w:r w:rsidR="00F81221">
        <w:rPr>
          <w:kern w:val="0"/>
        </w:rPr>
        <w:t xml:space="preserve"> and </w:t>
      </w:r>
      <w:r>
        <w:rPr>
          <w:kern w:val="0"/>
        </w:rPr>
        <w:t>exothermic in nature.</w:t>
      </w:r>
    </w:p>
    <w:p w:rsidR="00540CED" w:rsidRDefault="00540CED" w:rsidP="00540CED">
      <w:pPr>
        <w:pStyle w:val="a0"/>
        <w:rPr>
          <w:kern w:val="0"/>
        </w:rPr>
      </w:pPr>
      <w:r>
        <w:rPr>
          <w:kern w:val="0"/>
        </w:rPr>
        <w:t>Keywords: Activated Carbon, Adsorption, Congo Red, Dye, Equilibrium, Freundlich</w:t>
      </w:r>
      <w:r w:rsidR="00F81221">
        <w:rPr>
          <w:kern w:val="0"/>
        </w:rPr>
        <w:t xml:space="preserve"> and </w:t>
      </w:r>
      <w:r>
        <w:rPr>
          <w:kern w:val="0"/>
        </w:rPr>
        <w:t>Tempkin Isotherms, Heavy-Metals, Intraparticle Diffusion, Kinetic Model, Kinetic Models, Langmuir, Process Design, Removal, Rice Husk, Sorption, Sorption Thermodynamic, Surface Soils, Thermodynamic, Waste-Water</w:t>
      </w:r>
    </w:p>
    <w:p w:rsidR="007752BB" w:rsidRDefault="007752BB" w:rsidP="007752BB">
      <w:pPr>
        <w:pStyle w:val="a0"/>
        <w:rPr>
          <w:kern w:val="0"/>
        </w:rPr>
      </w:pPr>
      <w:r>
        <w:rPr>
          <w:rFonts w:hint="eastAsia"/>
          <w:kern w:val="0"/>
        </w:rPr>
        <w:t xml:space="preserve">? </w:t>
      </w:r>
      <w:r>
        <w:rPr>
          <w:kern w:val="0"/>
        </w:rPr>
        <w:t>Heidari, M., Moattar, F., Naseri, S., Samadi, M.T.</w:t>
      </w:r>
      <w:r w:rsidR="00F81221">
        <w:rPr>
          <w:kern w:val="0"/>
        </w:rPr>
        <w:t xml:space="preserve"> and </w:t>
      </w:r>
      <w:r>
        <w:rPr>
          <w:kern w:val="0"/>
        </w:rPr>
        <w:t xml:space="preserve">Khorasani, N. (2011), Evaluation of aluminum-coated pumice as a potential Arsenic(V) adsorbent from water resources. </w:t>
      </w:r>
      <w:r>
        <w:rPr>
          <w:i/>
          <w:iCs/>
          <w:kern w:val="0"/>
        </w:rPr>
        <w:t>International Journal of Environmental Research</w:t>
      </w:r>
      <w:r>
        <w:rPr>
          <w:kern w:val="0"/>
        </w:rPr>
        <w:t xml:space="preserve">, </w:t>
      </w:r>
      <w:r>
        <w:rPr>
          <w:b/>
          <w:bCs/>
          <w:kern w:val="0"/>
        </w:rPr>
        <w:t>5</w:t>
      </w:r>
      <w:r>
        <w:rPr>
          <w:kern w:val="0"/>
        </w:rPr>
        <w:t xml:space="preserve"> (2), 447-456.</w:t>
      </w:r>
    </w:p>
    <w:p w:rsidR="007752BB" w:rsidRPr="007D79E8" w:rsidRDefault="007752BB" w:rsidP="007752BB">
      <w:pPr>
        <w:pStyle w:val="a0"/>
        <w:rPr>
          <w:kern w:val="0"/>
        </w:rPr>
      </w:pPr>
      <w:r w:rsidRPr="007D79E8">
        <w:rPr>
          <w:kern w:val="0"/>
        </w:rPr>
        <w:t xml:space="preserve">Full Text: </w:t>
      </w:r>
      <w:hyperlink r:id="rId1823" w:history="1">
        <w:r w:rsidRPr="00D60A3F">
          <w:rPr>
            <w:rStyle w:val="a5"/>
            <w:kern w:val="0"/>
          </w:rPr>
          <w:t>2011\Int J Env Res5, 447.pdf</w:t>
        </w:r>
      </w:hyperlink>
    </w:p>
    <w:p w:rsidR="007752BB" w:rsidRDefault="007752BB" w:rsidP="007752BB">
      <w:pPr>
        <w:pStyle w:val="a0"/>
        <w:rPr>
          <w:kern w:val="0"/>
        </w:rPr>
      </w:pPr>
      <w:r>
        <w:rPr>
          <w:kern w:val="0"/>
        </w:rPr>
        <w:t>Abstract: In this study, the removal of As(V) from water resources by using aluminum-coated pumice as a new adsorbent was assessed. The features of the adsorbent coating layer were observed by X-ray diffraction (XRD)</w:t>
      </w:r>
      <w:r w:rsidR="00F81221">
        <w:rPr>
          <w:kern w:val="0"/>
        </w:rPr>
        <w:t xml:space="preserve"> and </w:t>
      </w:r>
      <w:r>
        <w:rPr>
          <w:kern w:val="0"/>
        </w:rPr>
        <w:t>Scanning Electron Microscopy (SEM).The effects of various parameters such as adsorbent doses, pH, contact time, arsenate initial concentration</w:t>
      </w:r>
      <w:r w:rsidR="00F81221">
        <w:rPr>
          <w:kern w:val="0"/>
        </w:rPr>
        <w:t xml:space="preserve"> and </w:t>
      </w:r>
      <w:r>
        <w:rPr>
          <w:kern w:val="0"/>
        </w:rPr>
        <w:t xml:space="preserve">interfering ions in arsenic </w:t>
      </w:r>
      <w:r>
        <w:rPr>
          <w:kern w:val="0"/>
        </w:rPr>
        <w:lastRenderedPageBreak/>
        <w:t>adsorption</w:t>
      </w:r>
      <w:r w:rsidR="00F81221">
        <w:rPr>
          <w:kern w:val="0"/>
        </w:rPr>
        <w:t xml:space="preserve"> and </w:t>
      </w:r>
      <w:r>
        <w:rPr>
          <w:kern w:val="0"/>
        </w:rPr>
        <w:t>achieving high removal efficiency were studied. The results showed that the adsorption of As(V) was extremely influenced by the phosphate interfering ions It was also defined that more than 98% of As(V) was removed by 10 g/L of the adsorbent with initial As(V) concentration of 250 mu g/L at pH=7</w:t>
      </w:r>
      <w:r w:rsidR="00F81221">
        <w:rPr>
          <w:kern w:val="0"/>
        </w:rPr>
        <w:t xml:space="preserve"> and </w:t>
      </w:r>
      <w:r>
        <w:rPr>
          <w:kern w:val="0"/>
        </w:rPr>
        <w:t>in 160 minutes. The adsorption equilibriums were analyzed by Langmuir</w:t>
      </w:r>
      <w:r w:rsidR="00F81221">
        <w:rPr>
          <w:kern w:val="0"/>
        </w:rPr>
        <w:t xml:space="preserve"> and </w:t>
      </w:r>
      <w:r>
        <w:rPr>
          <w:kern w:val="0"/>
        </w:rPr>
        <w:t>Freundlich isotherm models. Such equilibriums showed that the adsorption data was well fitted with Freundlich isotherm model (R-2 &gt; 0.99). The data achieved from the kinetic studies were processed by kinetic models of pseudo-first-order</w:t>
      </w:r>
      <w:r w:rsidR="00F81221">
        <w:rPr>
          <w:kern w:val="0"/>
        </w:rPr>
        <w:t xml:space="preserve"> and </w:t>
      </w:r>
      <w:r>
        <w:rPr>
          <w:kern w:val="0"/>
        </w:rPr>
        <w:t>pseudo-second-order.</w:t>
      </w:r>
      <w:r>
        <w:rPr>
          <w:rFonts w:hint="eastAsia"/>
          <w:kern w:val="0"/>
        </w:rPr>
        <w:t xml:space="preserve"> </w:t>
      </w:r>
      <w:r>
        <w:rPr>
          <w:kern w:val="0"/>
        </w:rPr>
        <w:t>The results indicated that the pseudo-second-order model could describe the adsorption of As(V) by pumice coated with alum (Rb-2 &gt; 0.92). According to achieved results, it was defined that aluminum-coated pumice not only was an inexpensive absorbent, but also a quite effective factor in removal of As(V) from water resources.</w:t>
      </w:r>
    </w:p>
    <w:p w:rsidR="007752BB" w:rsidRDefault="007752BB" w:rsidP="007752BB">
      <w:pPr>
        <w:pStyle w:val="a0"/>
        <w:rPr>
          <w:kern w:val="0"/>
        </w:rPr>
      </w:pPr>
      <w:r>
        <w:rPr>
          <w:kern w:val="0"/>
        </w:rPr>
        <w:t xml:space="preserve">Keywords: Activated Carbon, Adsorption, Aluminum-Coated Pumice, Aqueous-Solutions, Arsenic, As(V), Drinking-Water, Electrocoagulation, Equilibrium, Freundlich, Freundlich Isotherm, Iron-Oxide, Isotherm, Isotherms, Kinetic, Kinetics, Langmuir, </w:t>
      </w:r>
      <w:r>
        <w:rPr>
          <w:rFonts w:hint="eastAsia"/>
          <w:kern w:val="0"/>
        </w:rPr>
        <w:t>p</w:t>
      </w:r>
      <w:r>
        <w:rPr>
          <w:kern w:val="0"/>
        </w:rPr>
        <w:t>H, Removal, Sorption, Water Resources</w:t>
      </w:r>
    </w:p>
    <w:p w:rsidR="003B0CE0" w:rsidRDefault="003B0CE0" w:rsidP="003B0CE0">
      <w:pPr>
        <w:pStyle w:val="a0"/>
        <w:rPr>
          <w:kern w:val="0"/>
        </w:rPr>
      </w:pPr>
      <w:r>
        <w:rPr>
          <w:rFonts w:hint="eastAsia"/>
          <w:kern w:val="0"/>
        </w:rPr>
        <w:t xml:space="preserve">? </w:t>
      </w:r>
      <w:r>
        <w:rPr>
          <w:kern w:val="0"/>
        </w:rPr>
        <w:t>Dekhil, A.B., Hannachi, Y., Ghorbel, A.</w:t>
      </w:r>
      <w:r w:rsidR="00F81221">
        <w:rPr>
          <w:kern w:val="0"/>
        </w:rPr>
        <w:t xml:space="preserve"> and </w:t>
      </w:r>
      <w:r>
        <w:rPr>
          <w:kern w:val="0"/>
        </w:rPr>
        <w:t>Boubaker, T. (2011), Removal of lead</w:t>
      </w:r>
      <w:r w:rsidR="00F81221">
        <w:rPr>
          <w:kern w:val="0"/>
        </w:rPr>
        <w:t xml:space="preserve"> and </w:t>
      </w:r>
      <w:r>
        <w:rPr>
          <w:kern w:val="0"/>
        </w:rPr>
        <w:t>cadmium ions from aqueous solutions using dried marine green macroalga (</w:t>
      </w:r>
      <w:r w:rsidRPr="00581F29">
        <w:rPr>
          <w:i/>
          <w:kern w:val="0"/>
        </w:rPr>
        <w:t>Caulerpa racemosa</w:t>
      </w:r>
      <w:r>
        <w:rPr>
          <w:kern w:val="0"/>
        </w:rPr>
        <w:t xml:space="preserve">). </w:t>
      </w:r>
      <w:r>
        <w:rPr>
          <w:i/>
          <w:iCs/>
          <w:kern w:val="0"/>
        </w:rPr>
        <w:t>International Journal of Environmental Research</w:t>
      </w:r>
      <w:r>
        <w:rPr>
          <w:kern w:val="0"/>
        </w:rPr>
        <w:t xml:space="preserve">, </w:t>
      </w:r>
      <w:r>
        <w:rPr>
          <w:b/>
          <w:bCs/>
          <w:kern w:val="0"/>
        </w:rPr>
        <w:t>5</w:t>
      </w:r>
      <w:r>
        <w:rPr>
          <w:kern w:val="0"/>
        </w:rPr>
        <w:t xml:space="preserve"> (3), 725-732.</w:t>
      </w:r>
    </w:p>
    <w:p w:rsidR="003B0CE0" w:rsidRPr="001A3D2B" w:rsidRDefault="003B0CE0" w:rsidP="003B0CE0">
      <w:pPr>
        <w:pStyle w:val="a0"/>
        <w:rPr>
          <w:kern w:val="0"/>
        </w:rPr>
      </w:pPr>
      <w:r w:rsidRPr="001A3D2B">
        <w:rPr>
          <w:kern w:val="0"/>
        </w:rPr>
        <w:t xml:space="preserve">Full Text: </w:t>
      </w:r>
      <w:r w:rsidRPr="00A06C2C">
        <w:rPr>
          <w:kern w:val="0"/>
        </w:rPr>
        <w:t>2011\</w:t>
      </w:r>
      <w:r w:rsidRPr="000948EE">
        <w:rPr>
          <w:kern w:val="0"/>
        </w:rPr>
        <w:t>Int J Env Res5, 725</w:t>
      </w:r>
      <w:r w:rsidRPr="00A06C2C">
        <w:rPr>
          <w:kern w:val="0"/>
        </w:rPr>
        <w:t>.pdf</w:t>
      </w:r>
    </w:p>
    <w:p w:rsidR="003B0CE0" w:rsidRDefault="003B0CE0" w:rsidP="003B0CE0">
      <w:pPr>
        <w:pStyle w:val="a0"/>
        <w:rPr>
          <w:kern w:val="0"/>
        </w:rPr>
      </w:pPr>
      <w:r>
        <w:rPr>
          <w:kern w:val="0"/>
        </w:rPr>
        <w:t>Abstract: In this study Caulerpa racemosa has been characterized</w:t>
      </w:r>
      <w:r w:rsidR="00F81221">
        <w:rPr>
          <w:kern w:val="0"/>
        </w:rPr>
        <w:t xml:space="preserve"> and </w:t>
      </w:r>
      <w:r>
        <w:rPr>
          <w:kern w:val="0"/>
        </w:rPr>
        <w:t>used for the removal of Cd(II)</w:t>
      </w:r>
      <w:r w:rsidR="00F81221">
        <w:rPr>
          <w:kern w:val="0"/>
        </w:rPr>
        <w:t xml:space="preserve"> and </w:t>
      </w:r>
      <w:r>
        <w:rPr>
          <w:kern w:val="0"/>
        </w:rPr>
        <w:t>Pb (II) from aqueous solutions. The effect of pH, adsorbent dosage, contact time</w:t>
      </w:r>
      <w:r w:rsidR="00F81221">
        <w:rPr>
          <w:kern w:val="0"/>
        </w:rPr>
        <w:t xml:space="preserve"> and </w:t>
      </w:r>
      <w:r>
        <w:rPr>
          <w:kern w:val="0"/>
        </w:rPr>
        <w:t>temperature on adsorption process was studied in batch experiments. Langmuir</w:t>
      </w:r>
      <w:r w:rsidR="00F81221">
        <w:rPr>
          <w:kern w:val="0"/>
        </w:rPr>
        <w:t xml:space="preserve"> and </w:t>
      </w:r>
      <w:r>
        <w:rPr>
          <w:kern w:val="0"/>
        </w:rPr>
        <w:t>Freundlich models were applied to describe the biosorption isotherm of the metal ions by C. racemosa biomass. The adsorption data can be well described by Langmuir isotherm. The monolayer biosorption capacity of C. racemosa biomass for Pb(II)</w:t>
      </w:r>
      <w:r w:rsidR="00F81221">
        <w:rPr>
          <w:kern w:val="0"/>
        </w:rPr>
        <w:t xml:space="preserve"> and </w:t>
      </w:r>
      <w:r>
        <w:rPr>
          <w:kern w:val="0"/>
        </w:rPr>
        <w:t>Cd(II) ions was found to be 34.5 mg/g</w:t>
      </w:r>
      <w:r w:rsidR="00F81221">
        <w:rPr>
          <w:kern w:val="0"/>
        </w:rPr>
        <w:t xml:space="preserve"> and </w:t>
      </w:r>
      <w:r>
        <w:rPr>
          <w:kern w:val="0"/>
        </w:rPr>
        <w:t>29 mg/g, respectively. Kinetics data of both metal ions were best described by pseudo second order model. The thermodynamic studies indicated that the adsorption was spontaneous</w:t>
      </w:r>
      <w:r w:rsidR="00F81221">
        <w:rPr>
          <w:kern w:val="0"/>
        </w:rPr>
        <w:t xml:space="preserve"> and </w:t>
      </w:r>
      <w:r>
        <w:rPr>
          <w:kern w:val="0"/>
        </w:rPr>
        <w:t>exothermic in nature. The analysis with FTIR indicated that possible functional groups involved in metal sorption by this alga were O-H bending, N-H stretching, C-N stretching, C-O</w:t>
      </w:r>
      <w:r w:rsidR="00F81221">
        <w:rPr>
          <w:kern w:val="0"/>
        </w:rPr>
        <w:t xml:space="preserve"> and </w:t>
      </w:r>
      <w:r>
        <w:rPr>
          <w:kern w:val="0"/>
        </w:rPr>
        <w:t>S=O stretching.</w:t>
      </w:r>
    </w:p>
    <w:p w:rsidR="003B0CE0" w:rsidRDefault="003B0CE0" w:rsidP="003B0CE0">
      <w:pPr>
        <w:pStyle w:val="a0"/>
        <w:rPr>
          <w:kern w:val="0"/>
        </w:rPr>
      </w:pPr>
      <w:r>
        <w:rPr>
          <w:kern w:val="0"/>
        </w:rPr>
        <w:t>Keywords: Adsorption, Biomass, Biosorption, Biosorption, Caulerpa Racemosa, Ftir Analysis, Heavy-Metals, Ions, Isotherm, Kinetic, Kinetics, Langmuir</w:t>
      </w:r>
      <w:r w:rsidR="00F81221">
        <w:rPr>
          <w:kern w:val="0"/>
        </w:rPr>
        <w:t xml:space="preserve"> and </w:t>
      </w:r>
      <w:r>
        <w:rPr>
          <w:kern w:val="0"/>
        </w:rPr>
        <w:t>Freundlich Models, Langmuir Isotherm, Lead, Model, Pb(II), Pseudo-Second-Order, Sorption</w:t>
      </w:r>
    </w:p>
    <w:p w:rsidR="00D723BC" w:rsidRDefault="00D723BC" w:rsidP="00D723BC">
      <w:pPr>
        <w:pStyle w:val="a0"/>
        <w:rPr>
          <w:kern w:val="0"/>
        </w:rPr>
      </w:pPr>
      <w:r>
        <w:rPr>
          <w:rFonts w:hint="eastAsia"/>
          <w:kern w:val="0"/>
        </w:rPr>
        <w:t xml:space="preserve">? </w:t>
      </w:r>
      <w:r>
        <w:rPr>
          <w:kern w:val="0"/>
        </w:rPr>
        <w:t xml:space="preserve">Soni, A.B., Keshav, A., Verma, V. and Suresh, S. (2012), Removal of glycolic acid from aqueous solution using bagasse flyash. </w:t>
      </w:r>
      <w:r>
        <w:rPr>
          <w:i/>
          <w:iCs/>
          <w:kern w:val="0"/>
        </w:rPr>
        <w:t xml:space="preserve">International Journal of Environmental </w:t>
      </w:r>
      <w:r>
        <w:rPr>
          <w:i/>
          <w:iCs/>
          <w:kern w:val="0"/>
        </w:rPr>
        <w:lastRenderedPageBreak/>
        <w:t>Research</w:t>
      </w:r>
      <w:r>
        <w:rPr>
          <w:kern w:val="0"/>
        </w:rPr>
        <w:t xml:space="preserve">, </w:t>
      </w:r>
      <w:r>
        <w:rPr>
          <w:b/>
          <w:bCs/>
          <w:kern w:val="0"/>
        </w:rPr>
        <w:t>6</w:t>
      </w:r>
      <w:r>
        <w:rPr>
          <w:kern w:val="0"/>
        </w:rPr>
        <w:t xml:space="preserve"> (1), 297-308.</w:t>
      </w:r>
    </w:p>
    <w:p w:rsidR="00D723BC" w:rsidRDefault="00D723BC" w:rsidP="00D723BC">
      <w:pPr>
        <w:pStyle w:val="a0"/>
        <w:rPr>
          <w:kern w:val="0"/>
        </w:rPr>
      </w:pPr>
      <w:r>
        <w:rPr>
          <w:kern w:val="0"/>
        </w:rPr>
        <w:t>Full Text:</w:t>
      </w:r>
      <w:r w:rsidRPr="00B025C1">
        <w:t xml:space="preserve"> </w:t>
      </w:r>
      <w:hyperlink r:id="rId1824" w:history="1">
        <w:r w:rsidRPr="00AC311C">
          <w:rPr>
            <w:rStyle w:val="a5"/>
          </w:rPr>
          <w:t>2012\Int J Env Res6, 297.pdf</w:t>
        </w:r>
      </w:hyperlink>
    </w:p>
    <w:p w:rsidR="00D723BC" w:rsidRDefault="00D723BC" w:rsidP="00D723BC">
      <w:pPr>
        <w:pStyle w:val="a0"/>
        <w:rPr>
          <w:kern w:val="0"/>
        </w:rPr>
      </w:pPr>
      <w:r>
        <w:rPr>
          <w:kern w:val="0"/>
        </w:rPr>
        <w:t>Abstract: Present study deals with the adsorption of glycolic acid (GA) from aqueous solutions by using bagasse fly ash (BFA). BFA is a solid waste generated from bagasse Fired boilers and can be used as an adsorbent. Batch adsorption studies were carried out to evaluate the effect of various parameters like adsorbent dose, contact time, initial concentration and temperature on the removal of GA from aqueous solutions. For the selected dosage, it was found that the adsorption increases with increase in BFA doses and decreases with increase in acid concentration. The effect of contact time on removal shows that the adsorption of glycolic acid on BFA is very fast. The kinetics of the sorption of GA was well represented by Elovich model, first order, pseudo-second order and Weber and Morris intra-particle diffusion model. The adsorption isotherm analyses were also carried out by using Langmuir and Freundlich isotherm equations. Freundlich equation was found satisfactory to represent the equilibrium data. Thermodynamic studies revealed that the adsorption of GA on BFA is exothermic in nature.</w:t>
      </w:r>
    </w:p>
    <w:p w:rsidR="00D723BC" w:rsidRDefault="00D723BC" w:rsidP="00D723BC">
      <w:pPr>
        <w:pStyle w:val="a0"/>
        <w:rPr>
          <w:kern w:val="0"/>
        </w:rPr>
      </w:pPr>
      <w:r>
        <w:rPr>
          <w:kern w:val="0"/>
        </w:rPr>
        <w:t>Keywords: Activated Carbon, Adsorbent, Adsorption, Adsorption, Bagasse Fly Ash, Batch, Concentration, Dye, Equilibrium, Equilibrium, Freundlich, Gases, Glycolic Acid, Isotherm, Kinetics, Kinetics, Langmuir, Removal, Sorption, Temperature, Thermodynamic, Waste, Water</w:t>
      </w:r>
    </w:p>
    <w:p w:rsidR="002F7D3E" w:rsidRPr="00217FB1" w:rsidRDefault="002F7D3E" w:rsidP="002F7D3E">
      <w:pPr>
        <w:pStyle w:val="1"/>
      </w:pPr>
      <w:r w:rsidRPr="00217FB1">
        <w:br w:type="page"/>
      </w:r>
      <w:bookmarkStart w:id="1302" w:name="_Toc317161290"/>
      <w:r w:rsidRPr="00217FB1">
        <w:lastRenderedPageBreak/>
        <w:t xml:space="preserve">Title: </w:t>
      </w:r>
      <w:r w:rsidRPr="003E3772">
        <w:rPr>
          <w:iCs/>
        </w:rPr>
        <w:t>International Journal of Environmental Research</w:t>
      </w:r>
      <w:r w:rsidR="00F81221">
        <w:rPr>
          <w:iCs/>
        </w:rPr>
        <w:t xml:space="preserve"> and </w:t>
      </w:r>
      <w:r w:rsidRPr="003E3772">
        <w:rPr>
          <w:iCs/>
        </w:rPr>
        <w:t>Public Health</w:t>
      </w:r>
      <w:bookmarkEnd w:id="1302"/>
    </w:p>
    <w:p w:rsidR="002F7D3E" w:rsidRDefault="002F7D3E" w:rsidP="00B72EF9">
      <w:pPr>
        <w:pStyle w:val="12"/>
      </w:pPr>
      <w:r>
        <w:t xml:space="preserve">Full Journal Title: </w:t>
      </w:r>
      <w:hyperlink r:id="rId1825" w:history="1">
        <w:r w:rsidRPr="00984944">
          <w:rPr>
            <w:rStyle w:val="a5"/>
            <w:iCs/>
          </w:rPr>
          <w:t>International Journal of Environmental Research</w:t>
        </w:r>
        <w:r w:rsidR="00F81221">
          <w:rPr>
            <w:rStyle w:val="a5"/>
            <w:iCs/>
          </w:rPr>
          <w:t xml:space="preserve"> and </w:t>
        </w:r>
        <w:r w:rsidRPr="00984944">
          <w:rPr>
            <w:rStyle w:val="a5"/>
            <w:iCs/>
          </w:rPr>
          <w:t>Public Health</w:t>
        </w:r>
      </w:hyperlink>
    </w:p>
    <w:p w:rsidR="002F7D3E" w:rsidRDefault="002F7D3E" w:rsidP="00B72EF9">
      <w:pPr>
        <w:pStyle w:val="12"/>
      </w:pPr>
      <w:r>
        <w:t xml:space="preserve">ISO Abbreviated Title: </w:t>
      </w:r>
    </w:p>
    <w:p w:rsidR="002F7D3E" w:rsidRDefault="002F7D3E" w:rsidP="00B72EF9">
      <w:pPr>
        <w:pStyle w:val="12"/>
      </w:pPr>
      <w:r>
        <w:t xml:space="preserve">JCR Abbreviated Title: </w:t>
      </w:r>
    </w:p>
    <w:p w:rsidR="002F7D3E" w:rsidRDefault="002F7D3E" w:rsidP="00B72EF9">
      <w:pPr>
        <w:pStyle w:val="12"/>
      </w:pPr>
      <w:r>
        <w:t xml:space="preserve">ISSN: </w:t>
      </w:r>
    </w:p>
    <w:p w:rsidR="002F7D3E" w:rsidRDefault="002F7D3E" w:rsidP="00B72EF9">
      <w:pPr>
        <w:pStyle w:val="12"/>
      </w:pPr>
      <w:r>
        <w:t xml:space="preserve">Issues/Year: </w:t>
      </w:r>
    </w:p>
    <w:p w:rsidR="002F7D3E" w:rsidRDefault="002F7D3E" w:rsidP="00B72EF9">
      <w:pPr>
        <w:pStyle w:val="12"/>
      </w:pPr>
      <w:r>
        <w:t xml:space="preserve">Journal Country/Territory: </w:t>
      </w:r>
    </w:p>
    <w:p w:rsidR="002F7D3E" w:rsidRDefault="002F7D3E" w:rsidP="00B72EF9">
      <w:pPr>
        <w:pStyle w:val="12"/>
      </w:pPr>
      <w:r>
        <w:t xml:space="preserve">Language: </w:t>
      </w:r>
    </w:p>
    <w:p w:rsidR="002F7D3E" w:rsidRDefault="002F7D3E" w:rsidP="00B72EF9">
      <w:pPr>
        <w:pStyle w:val="12"/>
      </w:pPr>
      <w:r>
        <w:t xml:space="preserve">Publisher: </w:t>
      </w:r>
    </w:p>
    <w:p w:rsidR="002F7D3E" w:rsidRDefault="002F7D3E" w:rsidP="00B72EF9">
      <w:pPr>
        <w:pStyle w:val="12"/>
      </w:pPr>
      <w:r>
        <w:t xml:space="preserve">Publisher Address: </w:t>
      </w:r>
    </w:p>
    <w:p w:rsidR="002F7D3E" w:rsidRDefault="002F7D3E" w:rsidP="00B72EF9">
      <w:pPr>
        <w:pStyle w:val="12"/>
      </w:pPr>
      <w:r>
        <w:t xml:space="preserve">Subject Categories: </w:t>
      </w:r>
    </w:p>
    <w:p w:rsidR="002F7D3E" w:rsidRDefault="002F7D3E" w:rsidP="00B72EF9">
      <w:pPr>
        <w:pStyle w:val="12"/>
      </w:pPr>
      <w:r>
        <w:t>: Impact Factor</w:t>
      </w:r>
      <w:r>
        <w:rPr>
          <w:rFonts w:hint="eastAsia"/>
        </w:rPr>
        <w:t xml:space="preserve"> </w:t>
      </w:r>
    </w:p>
    <w:p w:rsidR="008755F4" w:rsidRDefault="008755F4" w:rsidP="008755F4">
      <w:pPr>
        <w:pStyle w:val="a0"/>
        <w:rPr>
          <w:kern w:val="0"/>
        </w:rPr>
      </w:pPr>
      <w:r>
        <w:rPr>
          <w:rFonts w:hint="eastAsia"/>
          <w:kern w:val="0"/>
        </w:rPr>
        <w:t xml:space="preserve">? </w:t>
      </w:r>
      <w:r>
        <w:rPr>
          <w:kern w:val="0"/>
        </w:rPr>
        <w:t>Srinivasan, A.</w:t>
      </w:r>
      <w:r w:rsidR="00F81221">
        <w:rPr>
          <w:kern w:val="0"/>
        </w:rPr>
        <w:t xml:space="preserve"> and </w:t>
      </w:r>
      <w:r>
        <w:rPr>
          <w:kern w:val="0"/>
        </w:rPr>
        <w:t>Viraraghavan, T. (2009), Perchlorate: Health effects</w:t>
      </w:r>
      <w:r w:rsidR="00F81221">
        <w:rPr>
          <w:kern w:val="0"/>
        </w:rPr>
        <w:t xml:space="preserve"> and </w:t>
      </w:r>
      <w:r>
        <w:rPr>
          <w:kern w:val="0"/>
        </w:rPr>
        <w:t xml:space="preserve">technologies for its removal from water resources. </w:t>
      </w:r>
      <w:r>
        <w:rPr>
          <w:i/>
          <w:iCs/>
          <w:kern w:val="0"/>
        </w:rPr>
        <w:t>International Journal of Environmental Research</w:t>
      </w:r>
      <w:r w:rsidR="00F81221">
        <w:rPr>
          <w:i/>
          <w:iCs/>
          <w:kern w:val="0"/>
        </w:rPr>
        <w:t xml:space="preserve"> and </w:t>
      </w:r>
      <w:r>
        <w:rPr>
          <w:i/>
          <w:iCs/>
          <w:kern w:val="0"/>
        </w:rPr>
        <w:t>Public Health</w:t>
      </w:r>
      <w:r>
        <w:rPr>
          <w:kern w:val="0"/>
        </w:rPr>
        <w:t xml:space="preserve">, </w:t>
      </w:r>
      <w:r>
        <w:rPr>
          <w:b/>
          <w:bCs/>
          <w:kern w:val="0"/>
        </w:rPr>
        <w:t>6</w:t>
      </w:r>
      <w:r>
        <w:rPr>
          <w:kern w:val="0"/>
        </w:rPr>
        <w:t xml:space="preserve"> (4), 1418-1442.</w:t>
      </w:r>
    </w:p>
    <w:p w:rsidR="008755F4" w:rsidRPr="001A3D2B" w:rsidRDefault="008755F4" w:rsidP="008755F4">
      <w:pPr>
        <w:pStyle w:val="a0"/>
        <w:rPr>
          <w:kern w:val="0"/>
        </w:rPr>
      </w:pPr>
      <w:r>
        <w:rPr>
          <w:rFonts w:hint="eastAsia"/>
          <w:kern w:val="0"/>
        </w:rPr>
        <w:t xml:space="preserve">Full Text: </w:t>
      </w:r>
      <w:hyperlink r:id="rId1826" w:history="1">
        <w:r w:rsidRPr="008755F4">
          <w:rPr>
            <w:rStyle w:val="a5"/>
            <w:kern w:val="0"/>
          </w:rPr>
          <w:t>2009\Int J Env Res Pub Hea6, 1418.pdf</w:t>
        </w:r>
      </w:hyperlink>
    </w:p>
    <w:p w:rsidR="008755F4" w:rsidRDefault="008755F4" w:rsidP="008755F4">
      <w:pPr>
        <w:pStyle w:val="a0"/>
        <w:rPr>
          <w:kern w:val="0"/>
        </w:rPr>
      </w:pPr>
      <w:r>
        <w:rPr>
          <w:kern w:val="0"/>
        </w:rPr>
        <w:t>Abstract: Perchlorate has been found in drinking water</w:t>
      </w:r>
      <w:r w:rsidR="00F81221">
        <w:rPr>
          <w:kern w:val="0"/>
        </w:rPr>
        <w:t xml:space="preserve"> and </w:t>
      </w:r>
      <w:r>
        <w:rPr>
          <w:kern w:val="0"/>
        </w:rPr>
        <w:t>surface waters in the United States</w:t>
      </w:r>
      <w:r w:rsidR="00F81221">
        <w:rPr>
          <w:kern w:val="0"/>
        </w:rPr>
        <w:t xml:space="preserve"> and </w:t>
      </w:r>
      <w:r>
        <w:rPr>
          <w:kern w:val="0"/>
        </w:rPr>
        <w:t>Canada. It is primarily associated with release from defense</w:t>
      </w:r>
      <w:r w:rsidR="00F81221">
        <w:rPr>
          <w:kern w:val="0"/>
        </w:rPr>
        <w:t xml:space="preserve"> and </w:t>
      </w:r>
      <w:r>
        <w:rPr>
          <w:kern w:val="0"/>
        </w:rPr>
        <w:t>military operations. Natural sources include certain fertilizers</w:t>
      </w:r>
      <w:r w:rsidR="00F81221">
        <w:rPr>
          <w:kern w:val="0"/>
        </w:rPr>
        <w:t xml:space="preserve"> and </w:t>
      </w:r>
      <w:r>
        <w:rPr>
          <w:kern w:val="0"/>
        </w:rPr>
        <w:t>potash ores. Although it is a strong oxidant, perchlorate is very persistent in the environment. At high concentrations perchlorate can affect the thyroid gland by inhibiting the uptake of iodine. A maximum contaminant level has not been set, while a guidance value of 6 ppb has been suggested by Health Canada. Perchlorate is measured in environmental samples primarily by ion chromatography. It can be removed from water by anion exchange or membrane filtration. Biological</w:t>
      </w:r>
      <w:r w:rsidR="00F81221">
        <w:rPr>
          <w:kern w:val="0"/>
        </w:rPr>
        <w:t xml:space="preserve"> and </w:t>
      </w:r>
      <w:r>
        <w:rPr>
          <w:kern w:val="0"/>
        </w:rPr>
        <w:t>chemical processes are also effective in removing this species from water.</w:t>
      </w:r>
    </w:p>
    <w:p w:rsidR="008755F4" w:rsidRDefault="008755F4" w:rsidP="008755F4">
      <w:pPr>
        <w:pStyle w:val="a0"/>
        <w:rPr>
          <w:kern w:val="0"/>
        </w:rPr>
      </w:pPr>
      <w:r>
        <w:rPr>
          <w:kern w:val="0"/>
        </w:rPr>
        <w:t>Keywords: Ammonium-Perchlorate, Breast-Milk, Chlorate, Drinking Water, Environment, Exchange, Gas-Phase, Groundwater, Health Effects, Low-Dose Perchlorate, Microbial Reduction, Nitrate, Packed-Bed Bioreactors, Perchlorate, Processes, Removal, Thyroid-Function, Toxicity, Treatment Technologies, Uptake, Water</w:t>
      </w:r>
    </w:p>
    <w:p w:rsidR="002F7D3E" w:rsidRDefault="002F7D3E" w:rsidP="002F7D3E">
      <w:pPr>
        <w:pStyle w:val="a0"/>
        <w:rPr>
          <w:kern w:val="0"/>
        </w:rPr>
      </w:pPr>
      <w:r>
        <w:rPr>
          <w:rFonts w:hint="eastAsia"/>
          <w:kern w:val="0"/>
        </w:rPr>
        <w:t xml:space="preserve">? </w:t>
      </w:r>
      <w:r>
        <w:rPr>
          <w:kern w:val="0"/>
        </w:rPr>
        <w:t>Kusma, B., Scutaru, C., Quarcoo, D., Welte, T., Fischer, T.C.</w:t>
      </w:r>
      <w:r w:rsidR="00F81221">
        <w:rPr>
          <w:kern w:val="0"/>
        </w:rPr>
        <w:t xml:space="preserve"> and </w:t>
      </w:r>
      <w:r>
        <w:rPr>
          <w:kern w:val="0"/>
        </w:rPr>
        <w:t>Groneberg-Kloft, B. (2009), Tobacco control: Visualisation of research activity using density-equalizing mapping</w:t>
      </w:r>
      <w:r w:rsidR="00F81221">
        <w:rPr>
          <w:kern w:val="0"/>
        </w:rPr>
        <w:t xml:space="preserve"> and </w:t>
      </w:r>
      <w:r>
        <w:rPr>
          <w:kern w:val="0"/>
        </w:rPr>
        <w:t xml:space="preserve">scientometric benchmarking procedures. </w:t>
      </w:r>
      <w:r w:rsidRPr="003E3772">
        <w:rPr>
          <w:i/>
          <w:iCs/>
          <w:kern w:val="0"/>
        </w:rPr>
        <w:t>International Journal of Environmental Research</w:t>
      </w:r>
      <w:r w:rsidR="00F81221">
        <w:rPr>
          <w:i/>
          <w:iCs/>
          <w:kern w:val="0"/>
        </w:rPr>
        <w:t xml:space="preserve"> and </w:t>
      </w:r>
      <w:r w:rsidRPr="003E3772">
        <w:rPr>
          <w:i/>
          <w:iCs/>
          <w:kern w:val="0"/>
        </w:rPr>
        <w:t>Public Health</w:t>
      </w:r>
      <w:r>
        <w:rPr>
          <w:kern w:val="0"/>
        </w:rPr>
        <w:t xml:space="preserve">, </w:t>
      </w:r>
      <w:r>
        <w:rPr>
          <w:b/>
          <w:bCs/>
          <w:kern w:val="0"/>
        </w:rPr>
        <w:t>6</w:t>
      </w:r>
      <w:r>
        <w:rPr>
          <w:kern w:val="0"/>
        </w:rPr>
        <w:t xml:space="preserve"> (6), 1856-1869.</w:t>
      </w:r>
    </w:p>
    <w:p w:rsidR="00984944" w:rsidRPr="001A3D2B" w:rsidRDefault="00984944" w:rsidP="00984944">
      <w:pPr>
        <w:pStyle w:val="a0"/>
        <w:rPr>
          <w:kern w:val="0"/>
        </w:rPr>
      </w:pPr>
      <w:r>
        <w:rPr>
          <w:rFonts w:hint="eastAsia"/>
          <w:kern w:val="0"/>
        </w:rPr>
        <w:t xml:space="preserve">Full Text: </w:t>
      </w:r>
      <w:hyperlink r:id="rId1827" w:history="1">
        <w:r w:rsidRPr="008F184A">
          <w:rPr>
            <w:rStyle w:val="a5"/>
            <w:kern w:val="0"/>
          </w:rPr>
          <w:t>2009\Int J Env Res Pub Hea6, 1856.pdf</w:t>
        </w:r>
      </w:hyperlink>
    </w:p>
    <w:p w:rsidR="002F7D3E" w:rsidRDefault="002F7D3E" w:rsidP="002F7D3E">
      <w:pPr>
        <w:pStyle w:val="a0"/>
        <w:rPr>
          <w:kern w:val="0"/>
        </w:rPr>
      </w:pPr>
      <w:r>
        <w:rPr>
          <w:kern w:val="0"/>
        </w:rPr>
        <w:lastRenderedPageBreak/>
        <w:t>Abstract: Background: Tobacco smoking continues to be a major preventable cause of death</w:t>
      </w:r>
      <w:r w:rsidR="00F81221">
        <w:rPr>
          <w:kern w:val="0"/>
        </w:rPr>
        <w:t xml:space="preserve"> and </w:t>
      </w:r>
      <w:r>
        <w:rPr>
          <w:kern w:val="0"/>
        </w:rPr>
        <w:t>disease</w:t>
      </w:r>
      <w:r w:rsidR="00F81221">
        <w:rPr>
          <w:kern w:val="0"/>
        </w:rPr>
        <w:t xml:space="preserve"> and </w:t>
      </w:r>
      <w:r>
        <w:rPr>
          <w:kern w:val="0"/>
        </w:rPr>
        <w:t>therefore tobacco control research is extremely important. However, research in this area is often hampered by a lack in funding</w:t>
      </w:r>
      <w:r w:rsidR="00F81221">
        <w:rPr>
          <w:kern w:val="0"/>
        </w:rPr>
        <w:t xml:space="preserve"> and </w:t>
      </w:r>
      <w:r>
        <w:rPr>
          <w:kern w:val="0"/>
        </w:rPr>
        <w:t>there is a need for scientometric techniques to display research efforts. Methods: The present study combines classical bibliometric tools with novel scientometric</w:t>
      </w:r>
      <w:r w:rsidR="00F81221">
        <w:rPr>
          <w:kern w:val="0"/>
        </w:rPr>
        <w:t xml:space="preserve"> and </w:t>
      </w:r>
      <w:r>
        <w:rPr>
          <w:kern w:val="0"/>
        </w:rPr>
        <w:t>visualizing techniques in order to analyse</w:t>
      </w:r>
      <w:r w:rsidR="00F81221">
        <w:rPr>
          <w:kern w:val="0"/>
        </w:rPr>
        <w:t xml:space="preserve"> and </w:t>
      </w:r>
      <w:r>
        <w:rPr>
          <w:kern w:val="0"/>
        </w:rPr>
        <w:t>categorise research in the field of tobacco control. Results: All studies related to tobacco control</w:t>
      </w:r>
      <w:r w:rsidR="00F81221">
        <w:rPr>
          <w:kern w:val="0"/>
        </w:rPr>
        <w:t xml:space="preserve"> and </w:t>
      </w:r>
      <w:r>
        <w:rPr>
          <w:kern w:val="0"/>
        </w:rPr>
        <w:t>listed in the ISI database since 1900 were identified by the use of defined search terms. Using bibliometric approaches, a continuous increase in qualitative markers such as collaboration numbers or citations were found for tobacco control research. The combination with density equalizing mapping revealed a distinct global pattern of research productivity</w:t>
      </w:r>
      <w:r w:rsidR="00F81221">
        <w:rPr>
          <w:kern w:val="0"/>
        </w:rPr>
        <w:t xml:space="preserve"> and </w:t>
      </w:r>
      <w:r>
        <w:rPr>
          <w:kern w:val="0"/>
        </w:rPr>
        <w:t>citation activity. Radar chart techniques were used to visualize bi-</w:t>
      </w:r>
      <w:r w:rsidR="00F81221">
        <w:rPr>
          <w:kern w:val="0"/>
        </w:rPr>
        <w:t xml:space="preserve"> and </w:t>
      </w:r>
      <w:r>
        <w:rPr>
          <w:kern w:val="0"/>
        </w:rPr>
        <w:t>multilateral research cooperation</w:t>
      </w:r>
      <w:r w:rsidR="00F81221">
        <w:rPr>
          <w:kern w:val="0"/>
        </w:rPr>
        <w:t xml:space="preserve"> and </w:t>
      </w:r>
      <w:r>
        <w:rPr>
          <w:kern w:val="0"/>
        </w:rPr>
        <w:t>institutional cooperation. Conclusions: The present study supplies a first scientometric approach that visualises research activity in the field of tobacco control. It provides data that can be used for funding policy</w:t>
      </w:r>
      <w:r w:rsidR="00F81221">
        <w:rPr>
          <w:kern w:val="0"/>
        </w:rPr>
        <w:t xml:space="preserve"> and </w:t>
      </w:r>
      <w:r>
        <w:rPr>
          <w:kern w:val="0"/>
        </w:rPr>
        <w:t>the identification of research clusters.</w:t>
      </w:r>
    </w:p>
    <w:p w:rsidR="002F7D3E" w:rsidRDefault="002F7D3E" w:rsidP="002F7D3E">
      <w:pPr>
        <w:pStyle w:val="a0"/>
        <w:rPr>
          <w:kern w:val="0"/>
        </w:rPr>
      </w:pPr>
      <w:r>
        <w:rPr>
          <w:kern w:val="0"/>
        </w:rPr>
        <w:t>Keywords: Citations, Collaboration, Density Equalizing Mapping, Dependence, Impact Factors, Index, Occupational-Health, Policy, Research, Research Output, Research Productivity, Science, Scientometrics, Tobacco Control</w:t>
      </w:r>
    </w:p>
    <w:p w:rsidR="00984944" w:rsidRDefault="00984944" w:rsidP="00984944">
      <w:pPr>
        <w:pStyle w:val="a0"/>
        <w:rPr>
          <w:kern w:val="0"/>
        </w:rPr>
      </w:pPr>
      <w:r>
        <w:rPr>
          <w:rFonts w:hint="eastAsia"/>
          <w:kern w:val="0"/>
        </w:rPr>
        <w:t xml:space="preserve">? </w:t>
      </w:r>
      <w:r>
        <w:rPr>
          <w:kern w:val="0"/>
        </w:rPr>
        <w:t>Schoffel, N., Vitzthum, K., Mache, S., Groneberg, D.A.</w:t>
      </w:r>
      <w:r w:rsidR="00F81221">
        <w:rPr>
          <w:kern w:val="0"/>
        </w:rPr>
        <w:t xml:space="preserve"> and </w:t>
      </w:r>
      <w:r>
        <w:rPr>
          <w:kern w:val="0"/>
        </w:rPr>
        <w:t>Quarcoo, D. (2009), The role of endocarditis, myocarditis</w:t>
      </w:r>
      <w:r w:rsidR="00F81221">
        <w:rPr>
          <w:kern w:val="0"/>
        </w:rPr>
        <w:t xml:space="preserve"> and </w:t>
      </w:r>
      <w:r>
        <w:rPr>
          <w:kern w:val="0"/>
        </w:rPr>
        <w:t>pericarditis in qualitative</w:t>
      </w:r>
      <w:r w:rsidR="00F81221">
        <w:rPr>
          <w:kern w:val="0"/>
        </w:rPr>
        <w:t xml:space="preserve"> and </w:t>
      </w:r>
      <w:r>
        <w:rPr>
          <w:kern w:val="0"/>
        </w:rPr>
        <w:t xml:space="preserve">quantitative data analysis. </w:t>
      </w:r>
      <w:r>
        <w:rPr>
          <w:i/>
          <w:iCs/>
          <w:kern w:val="0"/>
        </w:rPr>
        <w:t>International Journal of Environmental Research</w:t>
      </w:r>
      <w:r w:rsidR="00F81221">
        <w:rPr>
          <w:i/>
          <w:iCs/>
          <w:kern w:val="0"/>
        </w:rPr>
        <w:t xml:space="preserve"> and </w:t>
      </w:r>
      <w:r>
        <w:rPr>
          <w:i/>
          <w:iCs/>
          <w:kern w:val="0"/>
        </w:rPr>
        <w:t>Public Health</w:t>
      </w:r>
      <w:r>
        <w:rPr>
          <w:kern w:val="0"/>
        </w:rPr>
        <w:t xml:space="preserve">, </w:t>
      </w:r>
      <w:r>
        <w:rPr>
          <w:b/>
          <w:bCs/>
          <w:kern w:val="0"/>
        </w:rPr>
        <w:t>6</w:t>
      </w:r>
      <w:r>
        <w:rPr>
          <w:kern w:val="0"/>
        </w:rPr>
        <w:t xml:space="preserve"> (12), 2919-2933.</w:t>
      </w:r>
    </w:p>
    <w:p w:rsidR="00984944" w:rsidRPr="001A3D2B" w:rsidRDefault="00984944" w:rsidP="00984944">
      <w:pPr>
        <w:pStyle w:val="a0"/>
        <w:rPr>
          <w:kern w:val="0"/>
        </w:rPr>
      </w:pPr>
      <w:r>
        <w:rPr>
          <w:rFonts w:hint="eastAsia"/>
          <w:kern w:val="0"/>
        </w:rPr>
        <w:t xml:space="preserve">Full Text: </w:t>
      </w:r>
      <w:hyperlink r:id="rId1828" w:history="1">
        <w:r w:rsidRPr="008F184A">
          <w:rPr>
            <w:rStyle w:val="a5"/>
            <w:kern w:val="0"/>
          </w:rPr>
          <w:t>2009\Int J Env Res Pub Hea6, 2919.pdf</w:t>
        </w:r>
      </w:hyperlink>
    </w:p>
    <w:p w:rsidR="00984944" w:rsidRDefault="00984944" w:rsidP="00984944">
      <w:pPr>
        <w:pStyle w:val="a0"/>
        <w:rPr>
          <w:kern w:val="0"/>
        </w:rPr>
      </w:pPr>
      <w:r>
        <w:rPr>
          <w:kern w:val="0"/>
        </w:rPr>
        <w:t>Abstract: The current study is the first scientometric analysis of research activity</w:t>
      </w:r>
      <w:r w:rsidR="00F81221">
        <w:rPr>
          <w:kern w:val="0"/>
        </w:rPr>
        <w:t xml:space="preserve"> and </w:t>
      </w:r>
      <w:r>
        <w:rPr>
          <w:kern w:val="0"/>
        </w:rPr>
        <w:t>output in the field of inflammatory disorders of the heart (endo-, myo-</w:t>
      </w:r>
      <w:r w:rsidR="00F81221">
        <w:rPr>
          <w:kern w:val="0"/>
        </w:rPr>
        <w:t xml:space="preserve"> and </w:t>
      </w:r>
      <w:r>
        <w:rPr>
          <w:kern w:val="0"/>
        </w:rPr>
        <w:t>pericarditis). Scientometric methods are used to compare scientific performance on national</w:t>
      </w:r>
      <w:r w:rsidR="00F81221">
        <w:rPr>
          <w:kern w:val="0"/>
        </w:rPr>
        <w:t xml:space="preserve"> and </w:t>
      </w:r>
      <w:r>
        <w:rPr>
          <w:kern w:val="0"/>
        </w:rPr>
        <w:t>on international scale to identify single areas of research interest. Interest</w:t>
      </w:r>
      <w:r w:rsidR="00F81221">
        <w:rPr>
          <w:kern w:val="0"/>
        </w:rPr>
        <w:t xml:space="preserve"> and </w:t>
      </w:r>
      <w:r>
        <w:rPr>
          <w:kern w:val="0"/>
        </w:rPr>
        <w:t>research productivity in inflammatory diseases of the heart have increased since 1990. The majority of publications about inflammatory heart disorders were published in Western Europe</w:t>
      </w:r>
      <w:r w:rsidR="00F81221">
        <w:rPr>
          <w:kern w:val="0"/>
        </w:rPr>
        <w:t xml:space="preserve"> and </w:t>
      </w:r>
      <w:r>
        <w:rPr>
          <w:kern w:val="0"/>
        </w:rPr>
        <w:t>North America. The United States of America had a leading position in terms of research productivity</w:t>
      </w:r>
      <w:r w:rsidR="00F81221">
        <w:rPr>
          <w:kern w:val="0"/>
        </w:rPr>
        <w:t xml:space="preserve"> and </w:t>
      </w:r>
      <w:r>
        <w:rPr>
          <w:kern w:val="0"/>
        </w:rPr>
        <w:t>quality; half of the most productive authors in this study came from American institutions. The analysis of international cooperation revealed research activity in countries that are less established in the field of inflammatory heart disorder research, such as Brazil, Saudi Arabia</w:t>
      </w:r>
      <w:r w:rsidR="00F81221">
        <w:rPr>
          <w:kern w:val="0"/>
        </w:rPr>
        <w:t xml:space="preserve"> and </w:t>
      </w:r>
      <w:r>
        <w:rPr>
          <w:kern w:val="0"/>
        </w:rPr>
        <w:t xml:space="preserve">Tunisia. These results indicate that future research of heart inflammation may no longer be influenced predominantly by a small number of countries. Furthermore, this study revealed weaknesses in currently established scientometric parameters (i.e., h-index, impact factor) that limit their suitability as </w:t>
      </w:r>
      <w:r>
        <w:rPr>
          <w:kern w:val="0"/>
        </w:rPr>
        <w:lastRenderedPageBreak/>
        <w:t>measures of research quality. In this respect, self-citations should be generally excluded from calculations of h-index</w:t>
      </w:r>
      <w:r w:rsidR="00F81221">
        <w:rPr>
          <w:kern w:val="0"/>
        </w:rPr>
        <w:t xml:space="preserve"> and </w:t>
      </w:r>
      <w:r>
        <w:rPr>
          <w:kern w:val="0"/>
        </w:rPr>
        <w:t>impact factor.</w:t>
      </w:r>
    </w:p>
    <w:p w:rsidR="00984944" w:rsidRDefault="00984944" w:rsidP="00984944">
      <w:pPr>
        <w:pStyle w:val="a0"/>
        <w:rPr>
          <w:kern w:val="0"/>
        </w:rPr>
      </w:pPr>
      <w:r>
        <w:rPr>
          <w:kern w:val="0"/>
        </w:rPr>
        <w:t xml:space="preserve">Keywords: Coauthor Ship, Diagnosis, Disorder, Endocarditis, </w:t>
      </w:r>
      <w:r>
        <w:rPr>
          <w:rFonts w:hint="eastAsia"/>
          <w:kern w:val="0"/>
        </w:rPr>
        <w:t>h</w:t>
      </w:r>
      <w:r>
        <w:rPr>
          <w:kern w:val="0"/>
        </w:rPr>
        <w:t xml:space="preserve"> Index, </w:t>
      </w:r>
      <w:r>
        <w:rPr>
          <w:rFonts w:hint="eastAsia"/>
          <w:kern w:val="0"/>
        </w:rPr>
        <w:t>h</w:t>
      </w:r>
      <w:r>
        <w:rPr>
          <w:kern w:val="0"/>
        </w:rPr>
        <w:t>-Index, Impact, Impact Factor, Infective Endocarditis, Myocarditis, Pericarditis, Publications, Research, Scientific Performance, Scientometrics, Self-Citation, Self-Citations, Treatment Options</w:t>
      </w:r>
    </w:p>
    <w:p w:rsidR="00DB2A5F" w:rsidRDefault="00DB2A5F" w:rsidP="00DB2A5F">
      <w:pPr>
        <w:pStyle w:val="a0"/>
        <w:rPr>
          <w:kern w:val="0"/>
          <w:szCs w:val="24"/>
        </w:rPr>
      </w:pPr>
      <w:r>
        <w:rPr>
          <w:rFonts w:hint="eastAsia"/>
          <w:kern w:val="0"/>
          <w:szCs w:val="24"/>
        </w:rPr>
        <w:t xml:space="preserve">? </w:t>
      </w:r>
      <w:r>
        <w:rPr>
          <w:kern w:val="0"/>
          <w:szCs w:val="24"/>
        </w:rPr>
        <w:t xml:space="preserve">Sarchiapone, M., Mandelli, L., Iosue, M., Andrisano, C. and Roy, A. (2011), Controlling access to suicide means. </w:t>
      </w:r>
      <w:r>
        <w:rPr>
          <w:i/>
          <w:iCs/>
          <w:kern w:val="0"/>
          <w:szCs w:val="24"/>
        </w:rPr>
        <w:t>International Journal of Environmental Research and Public Health</w:t>
      </w:r>
      <w:r>
        <w:rPr>
          <w:kern w:val="0"/>
          <w:szCs w:val="24"/>
        </w:rPr>
        <w:t xml:space="preserve">, </w:t>
      </w:r>
      <w:r>
        <w:rPr>
          <w:b/>
          <w:bCs/>
          <w:kern w:val="0"/>
          <w:szCs w:val="24"/>
        </w:rPr>
        <w:t>8</w:t>
      </w:r>
      <w:r>
        <w:rPr>
          <w:kern w:val="0"/>
          <w:szCs w:val="24"/>
        </w:rPr>
        <w:t xml:space="preserve"> (12), 4550-4562.</w:t>
      </w:r>
    </w:p>
    <w:p w:rsidR="00DB2A5F" w:rsidRPr="001A3D2B" w:rsidRDefault="00DB2A5F" w:rsidP="00DB2A5F">
      <w:pPr>
        <w:pStyle w:val="a0"/>
        <w:rPr>
          <w:kern w:val="0"/>
        </w:rPr>
      </w:pPr>
      <w:r>
        <w:rPr>
          <w:rFonts w:hint="eastAsia"/>
          <w:kern w:val="0"/>
        </w:rPr>
        <w:t xml:space="preserve">Full Text: </w:t>
      </w:r>
      <w:hyperlink r:id="rId1829" w:history="1">
        <w:r w:rsidRPr="00DB2A5F">
          <w:rPr>
            <w:rStyle w:val="a5"/>
            <w:kern w:val="0"/>
          </w:rPr>
          <w:t>2011\Int J Env Res Pub Hea8, 4550.pdf</w:t>
        </w:r>
      </w:hyperlink>
    </w:p>
    <w:p w:rsidR="00DB2A5F" w:rsidRDefault="00DB2A5F" w:rsidP="00DB2A5F">
      <w:pPr>
        <w:pStyle w:val="a0"/>
        <w:rPr>
          <w:kern w:val="0"/>
          <w:szCs w:val="24"/>
        </w:rPr>
      </w:pPr>
      <w:r>
        <w:rPr>
          <w:kern w:val="0"/>
          <w:szCs w:val="24"/>
        </w:rPr>
        <w:t xml:space="preserve">Abstract: Background: Restricting access to common means of suicide, such as firearms, toxic gas, pesticides and other, has been shown to be effective in reducing rates of death in suicide. In the present review we aimed to summarize the empirical and clinical literature on controlling the access to means of suicide. Methods: This review made use of both MEDLINE, ISI Web of Science and the Cochrane library databases, identifying all English articles with the keywords </w:t>
      </w:r>
      <w:r w:rsidR="000352E7">
        <w:rPr>
          <w:kern w:val="0"/>
          <w:szCs w:val="24"/>
        </w:rPr>
        <w:t>“</w:t>
      </w:r>
      <w:r>
        <w:rPr>
          <w:kern w:val="0"/>
          <w:szCs w:val="24"/>
        </w:rPr>
        <w:t>suicide means</w:t>
      </w:r>
      <w:r w:rsidR="000352E7">
        <w:rPr>
          <w:kern w:val="0"/>
          <w:szCs w:val="24"/>
        </w:rPr>
        <w:t>”</w:t>
      </w:r>
      <w:r>
        <w:rPr>
          <w:kern w:val="0"/>
          <w:szCs w:val="24"/>
        </w:rPr>
        <w:t xml:space="preserve">, </w:t>
      </w:r>
      <w:r w:rsidR="000352E7">
        <w:rPr>
          <w:kern w:val="0"/>
          <w:szCs w:val="24"/>
        </w:rPr>
        <w:t>“</w:t>
      </w:r>
      <w:r>
        <w:rPr>
          <w:kern w:val="0"/>
          <w:szCs w:val="24"/>
        </w:rPr>
        <w:t>suicide method</w:t>
      </w:r>
      <w:r w:rsidR="000352E7">
        <w:rPr>
          <w:kern w:val="0"/>
          <w:szCs w:val="24"/>
        </w:rPr>
        <w:t>”</w:t>
      </w:r>
      <w:r>
        <w:rPr>
          <w:kern w:val="0"/>
          <w:szCs w:val="24"/>
        </w:rPr>
        <w:t xml:space="preserve">, </w:t>
      </w:r>
      <w:r w:rsidR="000352E7">
        <w:rPr>
          <w:kern w:val="0"/>
          <w:szCs w:val="24"/>
        </w:rPr>
        <w:t>“</w:t>
      </w:r>
      <w:r>
        <w:rPr>
          <w:kern w:val="0"/>
          <w:szCs w:val="24"/>
        </w:rPr>
        <w:t>suicide prediction</w:t>
      </w:r>
      <w:r w:rsidR="000352E7">
        <w:rPr>
          <w:kern w:val="0"/>
          <w:szCs w:val="24"/>
        </w:rPr>
        <w:t>”</w:t>
      </w:r>
      <w:r>
        <w:rPr>
          <w:kern w:val="0"/>
          <w:szCs w:val="24"/>
        </w:rPr>
        <w:t xml:space="preserve"> or </w:t>
      </w:r>
      <w:r w:rsidR="000352E7">
        <w:rPr>
          <w:kern w:val="0"/>
          <w:szCs w:val="24"/>
        </w:rPr>
        <w:t>“</w:t>
      </w:r>
      <w:r>
        <w:rPr>
          <w:kern w:val="0"/>
          <w:szCs w:val="24"/>
        </w:rPr>
        <w:t>suicide prevention</w:t>
      </w:r>
      <w:r w:rsidR="000352E7">
        <w:rPr>
          <w:kern w:val="0"/>
          <w:szCs w:val="24"/>
        </w:rPr>
        <w:t>”</w:t>
      </w:r>
      <w:r>
        <w:rPr>
          <w:kern w:val="0"/>
          <w:szCs w:val="24"/>
        </w:rPr>
        <w:t xml:space="preserve"> and other relevant keywords. Results: A number of factors may influence an individual</w:t>
      </w:r>
      <w:r w:rsidR="000352E7">
        <w:rPr>
          <w:kern w:val="0"/>
          <w:szCs w:val="24"/>
        </w:rPr>
        <w:t>’</w:t>
      </w:r>
      <w:r>
        <w:rPr>
          <w:kern w:val="0"/>
          <w:szCs w:val="24"/>
        </w:rPr>
        <w:t xml:space="preserve">s decision regarding method in a suicide act, but there is substantial support that easy access influences the choice of method. In many countries, restrictions of access to common means of suicide has lead to lower overall suicide rates, particularly regarding suicide by firearms in USA, detoxification of domestic and motor vehicle gas in England and other countries, toxic pesticides in rural areas, barriers at jumping sites and hanging, by introducing </w:t>
      </w:r>
      <w:r w:rsidR="000352E7">
        <w:rPr>
          <w:kern w:val="0"/>
          <w:szCs w:val="24"/>
        </w:rPr>
        <w:t>“</w:t>
      </w:r>
      <w:r>
        <w:rPr>
          <w:kern w:val="0"/>
          <w:szCs w:val="24"/>
        </w:rPr>
        <w:t>safe rooms</w:t>
      </w:r>
      <w:r w:rsidR="000352E7">
        <w:rPr>
          <w:kern w:val="0"/>
          <w:szCs w:val="24"/>
        </w:rPr>
        <w:t>”</w:t>
      </w:r>
      <w:r>
        <w:rPr>
          <w:kern w:val="0"/>
          <w:szCs w:val="24"/>
        </w:rPr>
        <w:t xml:space="preserve"> in prisons and hospitals. Moreover, decline in prescription of barbiturates and tricyclic antidepressants (TCAs), as well as limitation of drugs pack size for paracetamol and salicylate has reduced suicides by overdose, while increased prescription of SSRIs seems to have lowered suicidal rates. Conclusions: Restriction to means of suicide may be particularly effective in contexts where the method is popular, highly lethal, widely available, and/or not easily substituted by other similar methods. However, since there is some risk of means substitution, restriction of access should be implemented in conjunction with other suicide prevention strategies.</w:t>
      </w:r>
    </w:p>
    <w:p w:rsidR="00DB2A5F" w:rsidRDefault="00DB2A5F" w:rsidP="00DB2A5F">
      <w:pPr>
        <w:pStyle w:val="a0"/>
        <w:rPr>
          <w:kern w:val="0"/>
          <w:szCs w:val="24"/>
        </w:rPr>
      </w:pPr>
      <w:r>
        <w:rPr>
          <w:kern w:val="0"/>
          <w:szCs w:val="24"/>
        </w:rPr>
        <w:t>Keywords: Antidepressants, Availability, Barriers, Cochrane, Databases, Drugs, England, English, European-Alliance, Hospitals, Household Firearm Ownership, ISI, ISI Web of Science, Lead, Lethal Methods, Literature, Means of Suicide, Medline, Methods, Mortality, Pesticides, Preventing Suicide, Prevention, Rates, Restriction of Means, Review, Risk, Salicylate, Science, Sites, Suicide, Trends, United-States, USA, Web of Science</w:t>
      </w:r>
    </w:p>
    <w:p w:rsidR="00B95188" w:rsidRPr="00A428C3" w:rsidRDefault="00B95188" w:rsidP="00B95188">
      <w:pPr>
        <w:pStyle w:val="1"/>
      </w:pPr>
      <w:r w:rsidRPr="00A428C3">
        <w:br w:type="page"/>
      </w:r>
      <w:bookmarkStart w:id="1303" w:name="_Toc317161291"/>
      <w:r w:rsidRPr="00A428C3">
        <w:lastRenderedPageBreak/>
        <w:t xml:space="preserve">Title: </w:t>
      </w:r>
      <w:r w:rsidRPr="00102611">
        <w:rPr>
          <w:iCs/>
          <w:szCs w:val="24"/>
        </w:rPr>
        <w:t>International Journal of Environmental Science</w:t>
      </w:r>
      <w:r w:rsidR="00F81221">
        <w:rPr>
          <w:iCs/>
          <w:szCs w:val="24"/>
        </w:rPr>
        <w:t xml:space="preserve"> and </w:t>
      </w:r>
      <w:r w:rsidRPr="00102611">
        <w:rPr>
          <w:iCs/>
          <w:szCs w:val="24"/>
        </w:rPr>
        <w:t>Technology</w:t>
      </w:r>
      <w:bookmarkEnd w:id="1303"/>
    </w:p>
    <w:p w:rsidR="00B95188" w:rsidRPr="00A428C3" w:rsidRDefault="00B95188" w:rsidP="00B72EF9">
      <w:pPr>
        <w:pStyle w:val="12"/>
      </w:pPr>
      <w:r w:rsidRPr="00A428C3">
        <w:t xml:space="preserve">Full Journal Title: </w:t>
      </w:r>
      <w:hyperlink r:id="rId1830" w:history="1">
        <w:r w:rsidRPr="009276F8">
          <w:rPr>
            <w:rStyle w:val="a5"/>
            <w:iCs/>
          </w:rPr>
          <w:t>International Journal of Environmental Science</w:t>
        </w:r>
        <w:r w:rsidR="00F81221">
          <w:rPr>
            <w:rStyle w:val="a5"/>
            <w:iCs/>
          </w:rPr>
          <w:t xml:space="preserve"> and </w:t>
        </w:r>
        <w:r w:rsidRPr="009276F8">
          <w:rPr>
            <w:rStyle w:val="a5"/>
            <w:iCs/>
          </w:rPr>
          <w:t>Technology</w:t>
        </w:r>
      </w:hyperlink>
      <w:r w:rsidR="001E3EA3">
        <w:rPr>
          <w:rFonts w:hint="eastAsia"/>
        </w:rPr>
        <w:t>;</w:t>
      </w:r>
      <w:r w:rsidR="001E3EA3" w:rsidRPr="001E3EA3">
        <w:rPr>
          <w:iCs/>
        </w:rPr>
        <w:t xml:space="preserve"> </w:t>
      </w:r>
      <w:hyperlink r:id="rId1831" w:history="1">
        <w:r w:rsidR="001E3EA3" w:rsidRPr="001E3EA3">
          <w:rPr>
            <w:rStyle w:val="a5"/>
            <w:iCs/>
          </w:rPr>
          <w:t>International Journal of Environmental Science</w:t>
        </w:r>
        <w:r w:rsidR="00F81221">
          <w:rPr>
            <w:rStyle w:val="a5"/>
            <w:iCs/>
          </w:rPr>
          <w:t xml:space="preserve"> and </w:t>
        </w:r>
        <w:r w:rsidR="001E3EA3" w:rsidRPr="001E3EA3">
          <w:rPr>
            <w:rStyle w:val="a5"/>
            <w:iCs/>
          </w:rPr>
          <w:t>Technology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r w:rsidRPr="00102611">
        <w:t>1735-1472</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586CD8" w:rsidRDefault="00B95188" w:rsidP="00B95188">
      <w:pPr>
        <w:pStyle w:val="a0"/>
        <w:rPr>
          <w:kern w:val="2"/>
        </w:rPr>
      </w:pPr>
      <w:r w:rsidRPr="00586CD8">
        <w:rPr>
          <w:rFonts w:hint="eastAsia"/>
          <w:kern w:val="2"/>
        </w:rPr>
        <w:t xml:space="preserve">? </w:t>
      </w:r>
      <w:r w:rsidRPr="00586CD8">
        <w:rPr>
          <w:kern w:val="2"/>
        </w:rPr>
        <w:t>Gueu</w:t>
      </w:r>
      <w:r w:rsidRPr="00586CD8">
        <w:rPr>
          <w:rFonts w:hint="eastAsia"/>
          <w:kern w:val="2"/>
        </w:rPr>
        <w:t>,</w:t>
      </w:r>
      <w:r w:rsidRPr="00586CD8">
        <w:rPr>
          <w:kern w:val="2"/>
        </w:rPr>
        <w:t xml:space="preserve"> S</w:t>
      </w:r>
      <w:r w:rsidRPr="00586CD8">
        <w:rPr>
          <w:rFonts w:hint="eastAsia"/>
          <w:kern w:val="2"/>
        </w:rPr>
        <w:t>.,</w:t>
      </w:r>
      <w:r w:rsidRPr="00586CD8">
        <w:rPr>
          <w:kern w:val="2"/>
        </w:rPr>
        <w:t xml:space="preserve"> Yao</w:t>
      </w:r>
      <w:r w:rsidRPr="00586CD8">
        <w:rPr>
          <w:rFonts w:hint="eastAsia"/>
          <w:kern w:val="2"/>
        </w:rPr>
        <w:t>,</w:t>
      </w:r>
      <w:r w:rsidRPr="00586CD8">
        <w:rPr>
          <w:kern w:val="2"/>
        </w:rPr>
        <w:t xml:space="preserve"> B</w:t>
      </w:r>
      <w:r w:rsidRPr="00586CD8">
        <w:rPr>
          <w:rFonts w:hint="eastAsia"/>
          <w:kern w:val="2"/>
        </w:rPr>
        <w:t>.,</w:t>
      </w:r>
      <w:r w:rsidRPr="00586CD8">
        <w:rPr>
          <w:kern w:val="2"/>
        </w:rPr>
        <w:t xml:space="preserve"> Adouby</w:t>
      </w:r>
      <w:r w:rsidRPr="00586CD8">
        <w:rPr>
          <w:rFonts w:hint="eastAsia"/>
          <w:kern w:val="2"/>
        </w:rPr>
        <w:t>,</w:t>
      </w:r>
      <w:r w:rsidRPr="00586CD8">
        <w:rPr>
          <w:kern w:val="2"/>
        </w:rPr>
        <w:t xml:space="preserve"> K</w:t>
      </w:r>
      <w:r w:rsidRPr="00586CD8">
        <w:rPr>
          <w:rFonts w:hint="eastAsia"/>
          <w:kern w:val="2"/>
        </w:rPr>
        <w:t>.</w:t>
      </w:r>
      <w:r w:rsidR="00F81221">
        <w:rPr>
          <w:rFonts w:hint="eastAsia"/>
          <w:kern w:val="2"/>
        </w:rPr>
        <w:t xml:space="preserve"> and </w:t>
      </w:r>
      <w:r w:rsidRPr="00586CD8">
        <w:rPr>
          <w:kern w:val="2"/>
        </w:rPr>
        <w:t>Ado</w:t>
      </w:r>
      <w:r w:rsidRPr="00586CD8">
        <w:rPr>
          <w:rFonts w:hint="eastAsia"/>
          <w:kern w:val="2"/>
        </w:rPr>
        <w:t>,</w:t>
      </w:r>
      <w:r w:rsidRPr="00586CD8">
        <w:rPr>
          <w:kern w:val="2"/>
        </w:rPr>
        <w:t xml:space="preserve"> G</w:t>
      </w:r>
      <w:r w:rsidRPr="00586CD8">
        <w:rPr>
          <w:rFonts w:hint="eastAsia"/>
          <w:kern w:val="2"/>
        </w:rPr>
        <w:t>.</w:t>
      </w:r>
      <w:r w:rsidRPr="00586CD8">
        <w:rPr>
          <w:kern w:val="2"/>
        </w:rPr>
        <w:t xml:space="preserve"> (2007), Kinetics</w:t>
      </w:r>
      <w:r w:rsidR="00F81221">
        <w:rPr>
          <w:kern w:val="2"/>
        </w:rPr>
        <w:t xml:space="preserve"> and </w:t>
      </w:r>
      <w:r w:rsidRPr="00586CD8">
        <w:rPr>
          <w:kern w:val="2"/>
        </w:rPr>
        <w:t>thermodynamics study of lead adsorption on to activated carbons from coconut</w:t>
      </w:r>
      <w:r w:rsidR="00F81221">
        <w:rPr>
          <w:kern w:val="2"/>
        </w:rPr>
        <w:t xml:space="preserve"> and </w:t>
      </w:r>
      <w:r w:rsidRPr="00586CD8">
        <w:rPr>
          <w:kern w:val="2"/>
        </w:rPr>
        <w:t xml:space="preserve">seed hull of the palm tree. </w:t>
      </w:r>
      <w:r>
        <w:rPr>
          <w:i/>
          <w:iCs/>
          <w:kern w:val="0"/>
        </w:rPr>
        <w:t>International Journal of Environmental Science</w:t>
      </w:r>
      <w:r w:rsidR="00F81221">
        <w:rPr>
          <w:i/>
          <w:iCs/>
          <w:kern w:val="0"/>
        </w:rPr>
        <w:t xml:space="preserve"> and </w:t>
      </w:r>
      <w:r>
        <w:rPr>
          <w:i/>
          <w:iCs/>
          <w:kern w:val="0"/>
        </w:rPr>
        <w:t>Technology</w:t>
      </w:r>
      <w:r w:rsidRPr="00586CD8">
        <w:rPr>
          <w:kern w:val="2"/>
        </w:rPr>
        <w:t xml:space="preserve">, </w:t>
      </w:r>
      <w:r>
        <w:rPr>
          <w:b/>
          <w:bCs/>
          <w:kern w:val="0"/>
        </w:rPr>
        <w:t>4</w:t>
      </w:r>
      <w:r w:rsidRPr="00586CD8">
        <w:rPr>
          <w:kern w:val="2"/>
        </w:rPr>
        <w:t xml:space="preserve"> (</w:t>
      </w:r>
      <w:r w:rsidRPr="00586CD8">
        <w:rPr>
          <w:rFonts w:hint="eastAsia"/>
          <w:kern w:val="2"/>
        </w:rPr>
        <w:t>1</w:t>
      </w:r>
      <w:r w:rsidRPr="00586CD8">
        <w:rPr>
          <w:kern w:val="2"/>
        </w:rPr>
        <w:t xml:space="preserve">), </w:t>
      </w:r>
      <w:r w:rsidRPr="00586CD8">
        <w:rPr>
          <w:kern w:val="2"/>
          <w:szCs w:val="24"/>
        </w:rPr>
        <w:t>11-17</w:t>
      </w:r>
      <w:r w:rsidRPr="00586CD8">
        <w:rPr>
          <w:kern w:val="2"/>
        </w:rPr>
        <w:t>.</w:t>
      </w:r>
    </w:p>
    <w:p w:rsidR="00B95188" w:rsidRPr="00586CD8" w:rsidRDefault="00B95188" w:rsidP="00B95188">
      <w:pPr>
        <w:pStyle w:val="a0"/>
        <w:rPr>
          <w:kern w:val="2"/>
        </w:rPr>
      </w:pPr>
      <w:r w:rsidRPr="00586CD8">
        <w:rPr>
          <w:rFonts w:hint="eastAsia"/>
          <w:kern w:val="2"/>
        </w:rPr>
        <w:t xml:space="preserve">Full Text: </w:t>
      </w:r>
      <w:hyperlink r:id="rId1832" w:history="1">
        <w:r w:rsidRPr="009276F8">
          <w:rPr>
            <w:rStyle w:val="a5"/>
            <w:kern w:val="0"/>
            <w:szCs w:val="24"/>
          </w:rPr>
          <w:t>2007\Int J Env Sci Tec4, 11.pdf</w:t>
        </w:r>
      </w:hyperlink>
    </w:p>
    <w:p w:rsidR="00B95188" w:rsidRPr="00586CD8" w:rsidRDefault="00B95188" w:rsidP="00B95188">
      <w:pPr>
        <w:pStyle w:val="a0"/>
        <w:rPr>
          <w:kern w:val="2"/>
        </w:rPr>
      </w:pPr>
      <w:r w:rsidRPr="00586CD8">
        <w:rPr>
          <w:kern w:val="2"/>
        </w:rPr>
        <w:t>Abstract: The kinetic</w:t>
      </w:r>
      <w:r w:rsidR="00F81221">
        <w:rPr>
          <w:kern w:val="2"/>
        </w:rPr>
        <w:t xml:space="preserve"> and </w:t>
      </w:r>
      <w:r w:rsidRPr="00586CD8">
        <w:rPr>
          <w:kern w:val="2"/>
        </w:rPr>
        <w:t>thermodynamic of the bath sorption of lead (Pb) on to activated carbon from Coconut (CA)</w:t>
      </w:r>
      <w:r w:rsidR="00F81221">
        <w:rPr>
          <w:kern w:val="2"/>
        </w:rPr>
        <w:t xml:space="preserve"> and </w:t>
      </w:r>
      <w:r w:rsidRPr="00586CD8">
        <w:rPr>
          <w:kern w:val="2"/>
        </w:rPr>
        <w:t>Seed hull of the Palm tree (GA) have been investigated. The effects of initial Ph concentration, contact time</w:t>
      </w:r>
      <w:r w:rsidR="00F81221">
        <w:rPr>
          <w:kern w:val="2"/>
        </w:rPr>
        <w:t xml:space="preserve"> and </w:t>
      </w:r>
      <w:r w:rsidRPr="00586CD8">
        <w:rPr>
          <w:kern w:val="2"/>
        </w:rPr>
        <w:t>temperature were examined. The results showed that the adsorption capacities of the activated carbons increased with the initial lead concentration. The process sorption followed a pseudo first order kinetics</w:t>
      </w:r>
      <w:r w:rsidR="00F81221">
        <w:rPr>
          <w:kern w:val="2"/>
        </w:rPr>
        <w:t xml:space="preserve"> and </w:t>
      </w:r>
      <w:r w:rsidRPr="00586CD8">
        <w:rPr>
          <w:kern w:val="2"/>
        </w:rPr>
        <w:t>parameters such as Ea</w:t>
      </w:r>
      <w:r w:rsidR="00F81221">
        <w:rPr>
          <w:kern w:val="2"/>
        </w:rPr>
        <w:t xml:space="preserve"> and </w:t>
      </w:r>
      <w:r w:rsidRPr="00586CD8">
        <w:rPr>
          <w:kern w:val="2"/>
        </w:rPr>
        <w:t>k(0) were determined. It could be best fitted by the Langmuir</w:t>
      </w:r>
      <w:r w:rsidR="00F81221">
        <w:rPr>
          <w:kern w:val="2"/>
        </w:rPr>
        <w:t xml:space="preserve"> and </w:t>
      </w:r>
      <w:r w:rsidRPr="00586CD8">
        <w:rPr>
          <w:kern w:val="2"/>
        </w:rPr>
        <w:t>Freundlich isotherms. From the first, the equilibrium Sorption capacities of lead ion were determined</w:t>
      </w:r>
      <w:r w:rsidR="00F81221">
        <w:rPr>
          <w:kern w:val="2"/>
        </w:rPr>
        <w:t xml:space="preserve"> and </w:t>
      </w:r>
      <w:r w:rsidRPr="00586CD8">
        <w:rPr>
          <w:kern w:val="2"/>
        </w:rPr>
        <w:t>found to be respectively 4.38</w:t>
      </w:r>
      <w:r w:rsidR="00F81221">
        <w:rPr>
          <w:kern w:val="2"/>
        </w:rPr>
        <w:t xml:space="preserve"> and </w:t>
      </w:r>
      <w:r w:rsidRPr="00586CD8">
        <w:rPr>
          <w:kern w:val="2"/>
        </w:rPr>
        <w:t>3.77 mg/ g for CA</w:t>
      </w:r>
      <w:r w:rsidR="00F81221">
        <w:rPr>
          <w:kern w:val="2"/>
        </w:rPr>
        <w:t xml:space="preserve"> and </w:t>
      </w:r>
      <w:r w:rsidRPr="00586CD8">
        <w:rPr>
          <w:kern w:val="2"/>
        </w:rPr>
        <w:t>GA at 60</w:t>
      </w:r>
      <w:r w:rsidR="001E3EA3">
        <w:rPr>
          <w:kern w:val="2"/>
        </w:rPr>
        <w:t>°</w:t>
      </w:r>
      <w:r w:rsidRPr="00586CD8">
        <w:rPr>
          <w:kern w:val="2"/>
        </w:rPr>
        <w:t xml:space="preserve">C. The thermodynamic parameters such as </w:t>
      </w:r>
      <w:r w:rsidR="001E3EA3">
        <w:rPr>
          <w:kern w:val="2"/>
        </w:rPr>
        <w:sym w:font="Symbol" w:char="F044"/>
      </w:r>
      <w:r w:rsidRPr="00586CD8">
        <w:rPr>
          <w:kern w:val="2"/>
        </w:rPr>
        <w:t xml:space="preserve">H, </w:t>
      </w:r>
      <w:r w:rsidR="001E3EA3">
        <w:rPr>
          <w:kern w:val="2"/>
        </w:rPr>
        <w:sym w:font="Symbol" w:char="F044"/>
      </w:r>
      <w:r w:rsidRPr="00586CD8">
        <w:rPr>
          <w:kern w:val="2"/>
        </w:rPr>
        <w:t>S</w:t>
      </w:r>
      <w:r w:rsidR="00F81221">
        <w:rPr>
          <w:kern w:val="2"/>
        </w:rPr>
        <w:t xml:space="preserve"> and </w:t>
      </w:r>
      <w:r w:rsidR="001E3EA3">
        <w:rPr>
          <w:kern w:val="2"/>
        </w:rPr>
        <w:sym w:font="Symbol" w:char="F044"/>
      </w:r>
      <w:r w:rsidRPr="00586CD8">
        <w:rPr>
          <w:kern w:val="2"/>
        </w:rPr>
        <w:t>G were computed from the experimental data. These values show that the adsorption is endothermic</w:t>
      </w:r>
      <w:r w:rsidR="00F81221">
        <w:rPr>
          <w:kern w:val="2"/>
        </w:rPr>
        <w:t xml:space="preserve"> and </w:t>
      </w:r>
      <w:r w:rsidRPr="00586CD8">
        <w:rPr>
          <w:kern w:val="2"/>
        </w:rPr>
        <w:t xml:space="preserve">non spontaneous. Moreover, the relative weak values of </w:t>
      </w:r>
      <w:r w:rsidR="001E3EA3">
        <w:rPr>
          <w:kern w:val="2"/>
        </w:rPr>
        <w:sym w:font="Symbol" w:char="F044"/>
      </w:r>
      <w:r w:rsidRPr="00586CD8">
        <w:rPr>
          <w:kern w:val="2"/>
        </w:rPr>
        <w:t>H (similar to 5 kcal/mol) confirm a physical adsorption. The maximum adsorptions were obtained at 60</w:t>
      </w:r>
      <w:r w:rsidR="001E3EA3">
        <w:rPr>
          <w:kern w:val="2"/>
        </w:rPr>
        <w:t>°</w:t>
      </w:r>
      <w:r w:rsidRPr="00586CD8">
        <w:rPr>
          <w:kern w:val="2"/>
        </w:rPr>
        <w:t>C, pH 4</w:t>
      </w:r>
      <w:r w:rsidR="00F81221">
        <w:rPr>
          <w:kern w:val="2"/>
        </w:rPr>
        <w:t xml:space="preserve"> and </w:t>
      </w:r>
      <w:r w:rsidRPr="00586CD8">
        <w:rPr>
          <w:kern w:val="2"/>
        </w:rPr>
        <w:t>with a Ph initial concentration of 100 mg/L.</w:t>
      </w:r>
    </w:p>
    <w:p w:rsidR="00B95188" w:rsidRPr="00586CD8" w:rsidRDefault="00B95188" w:rsidP="00B95188">
      <w:pPr>
        <w:pStyle w:val="a0"/>
        <w:rPr>
          <w:kern w:val="2"/>
        </w:rPr>
      </w:pPr>
      <w:r w:rsidRPr="00586CD8">
        <w:rPr>
          <w:kern w:val="2"/>
        </w:rPr>
        <w:t>Keywords: Heavy Metals, Activated Carbon, Langmuir</w:t>
      </w:r>
      <w:r w:rsidR="00F81221">
        <w:rPr>
          <w:kern w:val="2"/>
        </w:rPr>
        <w:t xml:space="preserve"> and </w:t>
      </w:r>
      <w:r w:rsidRPr="00586CD8">
        <w:rPr>
          <w:kern w:val="2"/>
        </w:rPr>
        <w:t>Freundlich Isotherms, Adsorption, Kinetic, Thermodynamic, Removal</w:t>
      </w:r>
    </w:p>
    <w:p w:rsidR="00775B77" w:rsidRDefault="00775B77" w:rsidP="00775B77">
      <w:pPr>
        <w:pStyle w:val="a0"/>
        <w:rPr>
          <w:kern w:val="0"/>
        </w:rPr>
      </w:pPr>
      <w:r>
        <w:rPr>
          <w:rFonts w:hint="eastAsia"/>
          <w:kern w:val="0"/>
        </w:rPr>
        <w:t>? A</w:t>
      </w:r>
      <w:r>
        <w:rPr>
          <w:kern w:val="0"/>
        </w:rPr>
        <w:t>bdel-Ghani, N.T., Hefny, M.</w:t>
      </w:r>
      <w:r w:rsidR="00F81221">
        <w:rPr>
          <w:kern w:val="0"/>
        </w:rPr>
        <w:t xml:space="preserve"> and </w:t>
      </w:r>
      <w:r>
        <w:rPr>
          <w:kern w:val="0"/>
        </w:rPr>
        <w:t xml:space="preserve">El-Chagbaby, G.A.F. (2007), Removal of lead from aqueous solution using low cost abundantly available adsorbents. </w:t>
      </w:r>
      <w:r>
        <w:rPr>
          <w:i/>
          <w:iCs/>
          <w:kern w:val="0"/>
        </w:rPr>
        <w:t xml:space="preserve">International </w:t>
      </w:r>
      <w:r>
        <w:rPr>
          <w:i/>
          <w:iCs/>
          <w:kern w:val="0"/>
        </w:rPr>
        <w:lastRenderedPageBreak/>
        <w:t>Journal of Environmental Science</w:t>
      </w:r>
      <w:r w:rsidR="00F81221">
        <w:rPr>
          <w:i/>
          <w:iCs/>
          <w:kern w:val="0"/>
        </w:rPr>
        <w:t xml:space="preserve"> and </w:t>
      </w:r>
      <w:r>
        <w:rPr>
          <w:i/>
          <w:iCs/>
          <w:kern w:val="0"/>
        </w:rPr>
        <w:t>Technology</w:t>
      </w:r>
      <w:r>
        <w:rPr>
          <w:kern w:val="0"/>
        </w:rPr>
        <w:t xml:space="preserve">, </w:t>
      </w:r>
      <w:r>
        <w:rPr>
          <w:b/>
          <w:bCs/>
          <w:kern w:val="0"/>
        </w:rPr>
        <w:t>4</w:t>
      </w:r>
      <w:r>
        <w:rPr>
          <w:kern w:val="0"/>
        </w:rPr>
        <w:t xml:space="preserve"> (1), 67-73.</w:t>
      </w:r>
    </w:p>
    <w:p w:rsidR="00775B77" w:rsidRPr="00F03D2F" w:rsidRDefault="00775B77" w:rsidP="00775B77">
      <w:pPr>
        <w:pStyle w:val="a0"/>
        <w:rPr>
          <w:kern w:val="0"/>
        </w:rPr>
      </w:pPr>
      <w:r w:rsidRPr="00F03D2F">
        <w:rPr>
          <w:kern w:val="0"/>
        </w:rPr>
        <w:t>Full Text:</w:t>
      </w:r>
      <w:r w:rsidRPr="00D7601C">
        <w:t xml:space="preserve"> </w:t>
      </w:r>
      <w:hyperlink r:id="rId1833" w:history="1">
        <w:r w:rsidRPr="00775B77">
          <w:rPr>
            <w:rStyle w:val="a5"/>
          </w:rPr>
          <w:t>2007\Int J Env Sci Tec4, 67.pdf</w:t>
        </w:r>
      </w:hyperlink>
    </w:p>
    <w:p w:rsidR="00775B77" w:rsidRDefault="00775B77" w:rsidP="00775B77">
      <w:pPr>
        <w:pStyle w:val="a0"/>
        <w:rPr>
          <w:kern w:val="0"/>
        </w:rPr>
      </w:pPr>
      <w:r>
        <w:rPr>
          <w:kern w:val="0"/>
        </w:rPr>
        <w:t>Abstract: The removal of poisonous P</w:t>
      </w:r>
      <w:r>
        <w:rPr>
          <w:rFonts w:hint="eastAsia"/>
          <w:kern w:val="0"/>
        </w:rPr>
        <w:t>b</w:t>
      </w:r>
      <w:r>
        <w:rPr>
          <w:kern w:val="0"/>
        </w:rPr>
        <w:t>(II) from wastewater by different low-cost abundant adsorbents was investigated. Rice husks, maize cobs</w:t>
      </w:r>
      <w:r w:rsidR="00F81221">
        <w:rPr>
          <w:kern w:val="0"/>
        </w:rPr>
        <w:t xml:space="preserve"> and </w:t>
      </w:r>
      <w:r>
        <w:rPr>
          <w:kern w:val="0"/>
        </w:rPr>
        <w:t>sawdust, were used at different adsorbent, metal ion ratios. The influence of pH, contact time, metal concentration, adsorbent concentration on the selectivity</w:t>
      </w:r>
      <w:r w:rsidR="00F81221">
        <w:rPr>
          <w:kern w:val="0"/>
        </w:rPr>
        <w:t xml:space="preserve"> and </w:t>
      </w:r>
      <w:r>
        <w:rPr>
          <w:kern w:val="0"/>
        </w:rPr>
        <w:t>sensitivity of the removal process was investigated. The adsorption efficiencies were found to be pH dependent, increasing by increasing the solution pH in the range from 2.5 to 6.5. The equilibrium time was attained after 120 min</w:t>
      </w:r>
      <w:r w:rsidR="00F81221">
        <w:rPr>
          <w:kern w:val="0"/>
        </w:rPr>
        <w:t xml:space="preserve"> and </w:t>
      </w:r>
      <w:r>
        <w:rPr>
          <w:kern w:val="0"/>
        </w:rPr>
        <w:t>the maximum removal percentage was achieved at an adsorbent loading weight of 1.5 gm. The equilibrium adsorption capacity of adsorbents used for lead were measured</w:t>
      </w:r>
      <w:r w:rsidR="00F81221">
        <w:rPr>
          <w:kern w:val="0"/>
        </w:rPr>
        <w:t xml:space="preserve"> and </w:t>
      </w:r>
      <w:r>
        <w:rPr>
          <w:kern w:val="0"/>
        </w:rPr>
        <w:t>extrapolated using linear Freundlich, Langmuir</w:t>
      </w:r>
      <w:r w:rsidR="00F81221">
        <w:rPr>
          <w:kern w:val="0"/>
        </w:rPr>
        <w:t xml:space="preserve"> and </w:t>
      </w:r>
      <w:r>
        <w:rPr>
          <w:kern w:val="0"/>
        </w:rPr>
        <w:t>Temkin isotherms</w:t>
      </w:r>
      <w:r w:rsidR="00F81221">
        <w:rPr>
          <w:kern w:val="0"/>
        </w:rPr>
        <w:t xml:space="preserve"> and </w:t>
      </w:r>
      <w:r>
        <w:rPr>
          <w:kern w:val="0"/>
        </w:rPr>
        <w:t>tile experimental data were found to fit the Temkin isotherm model.</w:t>
      </w:r>
    </w:p>
    <w:p w:rsidR="00775B77" w:rsidRDefault="00775B77" w:rsidP="00775B77">
      <w:pPr>
        <w:pStyle w:val="a0"/>
        <w:rPr>
          <w:kern w:val="0"/>
        </w:rPr>
      </w:pPr>
      <w:r>
        <w:rPr>
          <w:kern w:val="0"/>
        </w:rPr>
        <w:t>Keywords: Adsorption, Adsorption Capacity, Bagasse, Biosorption, Cadmium, Contact Time, Copper, Equilibrium, Freundlich, Isotherm, Isotherms, Langmuir, Lead, Lon-Cost Adsorbents, Removal, Temkin, Wastewater, Weight, Zinc</w:t>
      </w:r>
    </w:p>
    <w:p w:rsidR="00775B77" w:rsidRDefault="00775B77" w:rsidP="00775B77">
      <w:pPr>
        <w:pStyle w:val="a0"/>
        <w:rPr>
          <w:kern w:val="0"/>
        </w:rPr>
      </w:pPr>
      <w:r>
        <w:rPr>
          <w:rFonts w:hint="eastAsia"/>
          <w:kern w:val="0"/>
        </w:rPr>
        <w:t xml:space="preserve">? </w:t>
      </w:r>
      <w:r>
        <w:rPr>
          <w:kern w:val="0"/>
        </w:rPr>
        <w:t>Babel, S.</w:t>
      </w:r>
      <w:r w:rsidR="00F81221">
        <w:rPr>
          <w:kern w:val="0"/>
        </w:rPr>
        <w:t xml:space="preserve"> and </w:t>
      </w:r>
      <w:r>
        <w:rPr>
          <w:kern w:val="0"/>
        </w:rPr>
        <w:t xml:space="preserve">Opiso, E.M. (2007), Removal of Cr from synthetic wastewater by sorption into volcanic ash soil.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4</w:t>
      </w:r>
      <w:r>
        <w:rPr>
          <w:kern w:val="0"/>
        </w:rPr>
        <w:t xml:space="preserve"> (1), 99-107.</w:t>
      </w:r>
    </w:p>
    <w:p w:rsidR="00775B77" w:rsidRPr="00F03D2F" w:rsidRDefault="00775B77" w:rsidP="00775B77">
      <w:pPr>
        <w:pStyle w:val="a0"/>
        <w:rPr>
          <w:kern w:val="0"/>
        </w:rPr>
      </w:pPr>
      <w:r w:rsidRPr="00F03D2F">
        <w:rPr>
          <w:kern w:val="0"/>
        </w:rPr>
        <w:t>Full Text:</w:t>
      </w:r>
      <w:r w:rsidRPr="00D7601C">
        <w:t xml:space="preserve"> </w:t>
      </w:r>
      <w:hyperlink r:id="rId1834" w:history="1">
        <w:r w:rsidRPr="00775B77">
          <w:rPr>
            <w:rStyle w:val="a5"/>
          </w:rPr>
          <w:t>2007\Int J Env Sci Tec4, 99.pdf</w:t>
        </w:r>
      </w:hyperlink>
    </w:p>
    <w:p w:rsidR="00775B77" w:rsidRDefault="00775B77" w:rsidP="00775B77">
      <w:pPr>
        <w:pStyle w:val="a0"/>
        <w:rPr>
          <w:kern w:val="0"/>
        </w:rPr>
      </w:pPr>
      <w:r>
        <w:rPr>
          <w:kern w:val="0"/>
        </w:rPr>
        <w:t>Abstract: The possibility of using volcanic ash soils (VAS) or Andisols as a low-cost</w:t>
      </w:r>
      <w:r w:rsidR="00F81221">
        <w:rPr>
          <w:kern w:val="0"/>
        </w:rPr>
        <w:t xml:space="preserve"> and </w:t>
      </w:r>
      <w:r>
        <w:rPr>
          <w:kern w:val="0"/>
        </w:rPr>
        <w:t>natural adsorbent is investigated in this Study for the removal of Cr(VI) from synthetic wastewater. Andisols can be used as adsorbent because they are characterized by the presence of non-crystalline secondary minerals such as allophane</w:t>
      </w:r>
      <w:r w:rsidR="00F81221">
        <w:rPr>
          <w:kern w:val="0"/>
        </w:rPr>
        <w:t xml:space="preserve"> and </w:t>
      </w:r>
      <w:r>
        <w:rPr>
          <w:kern w:val="0"/>
        </w:rPr>
        <w:t>imogolite that show variable charge characteristics</w:t>
      </w:r>
      <w:r w:rsidR="00F81221">
        <w:rPr>
          <w:kern w:val="0"/>
        </w:rPr>
        <w:t xml:space="preserve"> and </w:t>
      </w:r>
      <w:r>
        <w:rPr>
          <w:kern w:val="0"/>
        </w:rPr>
        <w:t>have the ability to retain cations</w:t>
      </w:r>
      <w:r w:rsidR="00F81221">
        <w:rPr>
          <w:kern w:val="0"/>
        </w:rPr>
        <w:t xml:space="preserve"> and </w:t>
      </w:r>
      <w:r>
        <w:rPr>
          <w:kern w:val="0"/>
        </w:rPr>
        <w:t>anions. The adsorption of Cr oil to two VAS from Mt. Isarog</w:t>
      </w:r>
      <w:r w:rsidR="00F81221">
        <w:rPr>
          <w:kern w:val="0"/>
        </w:rPr>
        <w:t xml:space="preserve"> and </w:t>
      </w:r>
      <w:r>
        <w:rPr>
          <w:kern w:val="0"/>
        </w:rPr>
        <w:t>Mandalagan (B-Horizon), Philippines, was carried out at ambient temperature using batch adsorption Studies. The effects of different parameters such as amount of adsorbent, contact time, initial Cr concentration</w:t>
      </w:r>
      <w:r w:rsidR="00F81221">
        <w:rPr>
          <w:kern w:val="0"/>
        </w:rPr>
        <w:t xml:space="preserve"> and </w:t>
      </w:r>
      <w:r>
        <w:rPr>
          <w:kern w:val="0"/>
        </w:rPr>
        <w:t>pH of the solution were investigated. The results showed that the VAS from Isarog is more effective in the removal of Cr than in Mandalagan. The maximum removal efficiency of the Isarog soil for a Cr concentration of 10 mg, L reached 89% with a dose of 20 g, L at a moderately acidic pH of 3. The Mandalagan soil on the other hand could remove only 65% at the same pH conditions</w:t>
      </w:r>
      <w:r w:rsidR="00F81221">
        <w:rPr>
          <w:kern w:val="0"/>
        </w:rPr>
        <w:t xml:space="preserve"> and </w:t>
      </w:r>
      <w:r>
        <w:rPr>
          <w:kern w:val="0"/>
        </w:rPr>
        <w:t>parameters. The difference in the removal of the two soils may be attributed to their physico-chemical properties in which the Isarog soil has higher clay content, porosity</w:t>
      </w:r>
      <w:r w:rsidR="00F81221">
        <w:rPr>
          <w:kern w:val="0"/>
        </w:rPr>
        <w:t xml:space="preserve"> and </w:t>
      </w:r>
      <w:r>
        <w:rPr>
          <w:kern w:val="0"/>
        </w:rPr>
        <w:t>lower bulk density. Isarog soil has fine particles with higher Surface area</w:t>
      </w:r>
      <w:r w:rsidR="00F81221">
        <w:rPr>
          <w:kern w:val="0"/>
        </w:rPr>
        <w:t xml:space="preserve"> and </w:t>
      </w:r>
      <w:r>
        <w:rPr>
          <w:kern w:val="0"/>
        </w:rPr>
        <w:t>more active non-crystalline minerals</w:t>
      </w:r>
      <w:r w:rsidR="00F81221">
        <w:rPr>
          <w:kern w:val="0"/>
        </w:rPr>
        <w:t xml:space="preserve"> and </w:t>
      </w:r>
      <w:r>
        <w:rPr>
          <w:kern w:val="0"/>
        </w:rPr>
        <w:t>thus has higher removal efficiency than Mandalagan soil. Based on the results, the use of VAS from Isarog appears to be economical</w:t>
      </w:r>
      <w:r w:rsidR="00F81221">
        <w:rPr>
          <w:kern w:val="0"/>
        </w:rPr>
        <w:t xml:space="preserve"> and </w:t>
      </w:r>
      <w:r>
        <w:rPr>
          <w:kern w:val="0"/>
        </w:rPr>
        <w:t xml:space="preserve">an alternative to commercially </w:t>
      </w:r>
      <w:r>
        <w:rPr>
          <w:kern w:val="0"/>
        </w:rPr>
        <w:lastRenderedPageBreak/>
        <w:t>available adsorbents for the removal of Cr from contaminated wastewater.</w:t>
      </w:r>
    </w:p>
    <w:p w:rsidR="00775B77" w:rsidRDefault="00775B77" w:rsidP="00775B77">
      <w:pPr>
        <w:pStyle w:val="a0"/>
        <w:rPr>
          <w:kern w:val="0"/>
        </w:rPr>
      </w:pPr>
      <w:r>
        <w:rPr>
          <w:kern w:val="0"/>
        </w:rPr>
        <w:t>Keywords: Adsorption, Adsorption Isotherm, Andisols, Batch, Chromium, Clay, Contact Time, Phosphate, Removal, Soil, Soils, Sorption, Volcanic Ash Soil, Wastewater</w:t>
      </w:r>
    </w:p>
    <w:p w:rsidR="00775B77" w:rsidRDefault="00775B77" w:rsidP="00775B77">
      <w:pPr>
        <w:pStyle w:val="a0"/>
        <w:rPr>
          <w:kern w:val="0"/>
        </w:rPr>
      </w:pPr>
      <w:r>
        <w:rPr>
          <w:rFonts w:hint="eastAsia"/>
          <w:kern w:val="0"/>
        </w:rPr>
        <w:t xml:space="preserve">? </w:t>
      </w:r>
      <w:r>
        <w:rPr>
          <w:kern w:val="0"/>
        </w:rPr>
        <w:t>Elkhatib, E.A., Mahdy, A.M., Saleh, M.E.</w:t>
      </w:r>
      <w:r w:rsidR="00F81221">
        <w:rPr>
          <w:kern w:val="0"/>
        </w:rPr>
        <w:t xml:space="preserve"> and </w:t>
      </w:r>
      <w:r>
        <w:rPr>
          <w:kern w:val="0"/>
        </w:rPr>
        <w:t xml:space="preserve">Barakat, N.H. (2007), Kinetics of copper desorption from soils as affected by different organic ligands.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4</w:t>
      </w:r>
      <w:r>
        <w:rPr>
          <w:kern w:val="0"/>
        </w:rPr>
        <w:t xml:space="preserve"> (3), 331-338.</w:t>
      </w:r>
    </w:p>
    <w:p w:rsidR="00775B77" w:rsidRPr="00F03D2F" w:rsidRDefault="00775B77" w:rsidP="00775B77">
      <w:pPr>
        <w:pStyle w:val="a0"/>
        <w:rPr>
          <w:kern w:val="0"/>
        </w:rPr>
      </w:pPr>
      <w:r w:rsidRPr="00F03D2F">
        <w:rPr>
          <w:kern w:val="0"/>
        </w:rPr>
        <w:t>Full Text:</w:t>
      </w:r>
      <w:r w:rsidRPr="00D7601C">
        <w:t xml:space="preserve"> </w:t>
      </w:r>
      <w:hyperlink r:id="rId1835" w:history="1">
        <w:r w:rsidRPr="00775B77">
          <w:rPr>
            <w:rStyle w:val="a5"/>
          </w:rPr>
          <w:t>2007\Int J Env Sci Tec4, 331.pdf</w:t>
        </w:r>
      </w:hyperlink>
    </w:p>
    <w:p w:rsidR="00775B77" w:rsidRDefault="00775B77" w:rsidP="00775B77">
      <w:pPr>
        <w:pStyle w:val="a0"/>
        <w:rPr>
          <w:kern w:val="0"/>
        </w:rPr>
      </w:pPr>
      <w:r>
        <w:rPr>
          <w:kern w:val="0"/>
        </w:rPr>
        <w:t>Abstract: Desorption of Cu</w:t>
      </w:r>
      <w:r w:rsidR="00F81221">
        <w:rPr>
          <w:kern w:val="0"/>
        </w:rPr>
        <w:t xml:space="preserve"> and </w:t>
      </w:r>
      <w:r>
        <w:rPr>
          <w:kern w:val="0"/>
        </w:rPr>
        <w:t>low molecular weight dissolved organics are the primary factors that impact fate</w:t>
      </w:r>
      <w:r w:rsidR="00F81221">
        <w:rPr>
          <w:kern w:val="0"/>
        </w:rPr>
        <w:t xml:space="preserve"> and </w:t>
      </w:r>
      <w:r>
        <w:rPr>
          <w:kern w:val="0"/>
        </w:rPr>
        <w:t>transport of Cu in soils. To improve predictions of the toxicity</w:t>
      </w:r>
      <w:r w:rsidR="00F81221">
        <w:rPr>
          <w:kern w:val="0"/>
        </w:rPr>
        <w:t xml:space="preserve"> and </w:t>
      </w:r>
      <w:r>
        <w:rPr>
          <w:kern w:val="0"/>
        </w:rPr>
        <w:t>threat from Cu contaminated soil, it is critical that time-dependent desorption behavior be understood. In this paper, the effect of organic ligands citrate, malate,</w:t>
      </w:r>
      <w:r w:rsidR="00F81221">
        <w:rPr>
          <w:kern w:val="0"/>
        </w:rPr>
        <w:t xml:space="preserve"> and </w:t>
      </w:r>
      <w:r>
        <w:rPr>
          <w:kern w:val="0"/>
        </w:rPr>
        <w:t>succinate on the kinetics of Cu desorption from contaminated soils varying widely in soil characteristics was investigated at 25°C</w:t>
      </w:r>
      <w:r w:rsidR="00F81221">
        <w:rPr>
          <w:kern w:val="0"/>
        </w:rPr>
        <w:t xml:space="preserve"> and </w:t>
      </w:r>
      <w:r>
        <w:rPr>
          <w:kern w:val="0"/>
        </w:rPr>
        <w:t>the soils used were referred to as clay, calcareous</w:t>
      </w:r>
      <w:r w:rsidR="00F81221">
        <w:rPr>
          <w:kern w:val="0"/>
        </w:rPr>
        <w:t xml:space="preserve"> and </w:t>
      </w:r>
      <w:r>
        <w:rPr>
          <w:kern w:val="0"/>
        </w:rPr>
        <w:t>sandy soils. The amount of Cu released by the used organic ligands varied greatly with physicochemical properties of the soils. The rate of Cu release by different extractants was in the order citric &gt; malic &gt; succinic, which was consistent with the stability constants of Cu complexes with these ligands. The modified Freundlich</w:t>
      </w:r>
      <w:r w:rsidR="00F81221">
        <w:rPr>
          <w:kern w:val="0"/>
        </w:rPr>
        <w:t xml:space="preserve"> and </w:t>
      </w:r>
      <w:r>
        <w:rPr>
          <w:kern w:val="0"/>
        </w:rPr>
        <w:t>the Elovich</w:t>
      </w:r>
      <w:r w:rsidR="00F81221">
        <w:rPr>
          <w:kern w:val="0"/>
        </w:rPr>
        <w:t xml:space="preserve"> and </w:t>
      </w:r>
      <w:r>
        <w:rPr>
          <w:kern w:val="0"/>
        </w:rPr>
        <w:t>Parabolic diffusion models were used to describe dsorption of Cu</w:t>
      </w:r>
      <w:r w:rsidRPr="009045F4">
        <w:rPr>
          <w:kern w:val="0"/>
          <w:vertAlign w:val="superscript"/>
        </w:rPr>
        <w:t>2+</w:t>
      </w:r>
      <w:r>
        <w:rPr>
          <w:kern w:val="0"/>
        </w:rPr>
        <w:t xml:space="preserve"> from the three studied soils as affected by the organic ligands. All of the models fit the data well with correlation coefficients ranging from 0.83 to 1.00 (P &lt; 0.01). Each Model has a set of assumptions for the different physical</w:t>
      </w:r>
      <w:r w:rsidR="00F81221">
        <w:rPr>
          <w:kern w:val="0"/>
        </w:rPr>
        <w:t xml:space="preserve"> and </w:t>
      </w:r>
      <w:r>
        <w:rPr>
          <w:kern w:val="0"/>
        </w:rPr>
        <w:t>chemical properties of the systems to which they are being applied. The uses of these equations yield different magnitudes for the calculated variable, but the relationships between the soil + organic ligands</w:t>
      </w:r>
      <w:r w:rsidR="00F81221">
        <w:rPr>
          <w:kern w:val="0"/>
        </w:rPr>
        <w:t xml:space="preserve"> and </w:t>
      </w:r>
      <w:r>
        <w:rPr>
          <w:kern w:val="0"/>
        </w:rPr>
        <w:t>their effect</w:t>
      </w:r>
      <w:r>
        <w:rPr>
          <w:rFonts w:hint="eastAsia"/>
          <w:kern w:val="0"/>
        </w:rPr>
        <w:t xml:space="preserve"> </w:t>
      </w:r>
      <w:r>
        <w:rPr>
          <w:kern w:val="0"/>
        </w:rPr>
        <w:t>(i.e., increase or decrease) on these variables are the same. Such information is critical, since Cu is used in a variety of industrial</w:t>
      </w:r>
      <w:r w:rsidR="00F81221">
        <w:rPr>
          <w:kern w:val="0"/>
        </w:rPr>
        <w:t xml:space="preserve"> and </w:t>
      </w:r>
      <w:r>
        <w:rPr>
          <w:kern w:val="0"/>
        </w:rPr>
        <w:t>manufacturing processes</w:t>
      </w:r>
      <w:r w:rsidR="00F81221">
        <w:rPr>
          <w:kern w:val="0"/>
        </w:rPr>
        <w:t xml:space="preserve"> and </w:t>
      </w:r>
      <w:r>
        <w:rPr>
          <w:kern w:val="0"/>
        </w:rPr>
        <w:t>is one of the most common contaminants found at hazardous waste sites.</w:t>
      </w:r>
    </w:p>
    <w:p w:rsidR="00775B77" w:rsidRDefault="00775B77" w:rsidP="00775B77">
      <w:pPr>
        <w:pStyle w:val="a0"/>
        <w:rPr>
          <w:kern w:val="0"/>
        </w:rPr>
      </w:pPr>
      <w:r>
        <w:rPr>
          <w:kern w:val="0"/>
        </w:rPr>
        <w:t>Keywords: Acids, Adsorption, Copper, Desorption, Diffusion, Freundlich, Goethite, Kinetics, Organic Ligands, Soil, Soils, Sorption, Toxicity, Weight</w:t>
      </w:r>
    </w:p>
    <w:p w:rsidR="00B95188" w:rsidRPr="00586CD8" w:rsidRDefault="00B95188" w:rsidP="00B95188">
      <w:pPr>
        <w:pStyle w:val="a0"/>
        <w:rPr>
          <w:kern w:val="2"/>
        </w:rPr>
      </w:pPr>
      <w:r w:rsidRPr="00586CD8">
        <w:rPr>
          <w:rFonts w:hint="eastAsia"/>
          <w:kern w:val="2"/>
        </w:rPr>
        <w:t xml:space="preserve">? </w:t>
      </w:r>
      <w:r w:rsidRPr="00586CD8">
        <w:rPr>
          <w:kern w:val="2"/>
        </w:rPr>
        <w:t>Ncibi, M.C., Mahjoub, B.</w:t>
      </w:r>
      <w:r w:rsidR="00F81221">
        <w:rPr>
          <w:kern w:val="2"/>
        </w:rPr>
        <w:t xml:space="preserve"> and </w:t>
      </w:r>
      <w:r w:rsidRPr="00586CD8">
        <w:rPr>
          <w:kern w:val="2"/>
        </w:rPr>
        <w:t xml:space="preserve">Seffen, M. (2007), Adsorptive removal of textile reactive dye using </w:t>
      </w:r>
      <w:r w:rsidRPr="007E472B">
        <w:rPr>
          <w:i/>
          <w:kern w:val="0"/>
        </w:rPr>
        <w:t>Posidonia oceanica</w:t>
      </w:r>
      <w:r w:rsidRPr="00586CD8">
        <w:rPr>
          <w:kern w:val="2"/>
        </w:rPr>
        <w:t xml:space="preserve"> (L.) fibrous biomass. </w:t>
      </w:r>
      <w:r>
        <w:rPr>
          <w:i/>
          <w:iCs/>
          <w:kern w:val="0"/>
        </w:rPr>
        <w:t>International Journal of Environmental Science</w:t>
      </w:r>
      <w:r w:rsidR="00F81221">
        <w:rPr>
          <w:i/>
          <w:iCs/>
          <w:kern w:val="0"/>
        </w:rPr>
        <w:t xml:space="preserve"> and </w:t>
      </w:r>
      <w:r>
        <w:rPr>
          <w:i/>
          <w:iCs/>
          <w:kern w:val="0"/>
        </w:rPr>
        <w:t>Technology</w:t>
      </w:r>
      <w:r w:rsidRPr="00586CD8">
        <w:rPr>
          <w:kern w:val="2"/>
        </w:rPr>
        <w:t xml:space="preserve">, </w:t>
      </w:r>
      <w:r>
        <w:rPr>
          <w:b/>
          <w:bCs/>
          <w:kern w:val="0"/>
        </w:rPr>
        <w:t>4</w:t>
      </w:r>
      <w:r w:rsidRPr="00586CD8">
        <w:rPr>
          <w:kern w:val="2"/>
        </w:rPr>
        <w:t xml:space="preserve"> (4), 433-440.</w:t>
      </w:r>
    </w:p>
    <w:p w:rsidR="00B95188" w:rsidRPr="00586CD8" w:rsidRDefault="00B95188" w:rsidP="00B95188">
      <w:pPr>
        <w:pStyle w:val="a0"/>
        <w:rPr>
          <w:kern w:val="2"/>
        </w:rPr>
      </w:pPr>
      <w:r w:rsidRPr="00586CD8">
        <w:rPr>
          <w:rFonts w:hint="eastAsia"/>
          <w:kern w:val="2"/>
        </w:rPr>
        <w:t xml:space="preserve">Full Text: </w:t>
      </w:r>
      <w:hyperlink r:id="rId1836" w:history="1">
        <w:r w:rsidRPr="007B2D1D">
          <w:rPr>
            <w:rStyle w:val="a5"/>
            <w:kern w:val="0"/>
            <w:szCs w:val="24"/>
          </w:rPr>
          <w:t>2007\Int J Env Sci Tec4, 433.pdf</w:t>
        </w:r>
      </w:hyperlink>
    </w:p>
    <w:p w:rsidR="00B95188" w:rsidRPr="00586CD8" w:rsidRDefault="00B95188" w:rsidP="00B95188">
      <w:pPr>
        <w:pStyle w:val="a0"/>
        <w:rPr>
          <w:kern w:val="2"/>
        </w:rPr>
      </w:pPr>
      <w:r w:rsidRPr="00586CD8">
        <w:rPr>
          <w:kern w:val="2"/>
        </w:rPr>
        <w:t>Abstract: The Mediterranean seagrass Posidonia oceanica (L) leaf sheaths were used as low cost, available</w:t>
      </w:r>
      <w:r w:rsidR="00F81221">
        <w:rPr>
          <w:kern w:val="2"/>
        </w:rPr>
        <w:t xml:space="preserve"> and </w:t>
      </w:r>
      <w:r w:rsidRPr="00586CD8">
        <w:rPr>
          <w:kern w:val="2"/>
        </w:rPr>
        <w:t>renewable biological adsorbent for the removal of reactive textile dye from aqueous solutions. Batch experiments were carried out for sorption kinetics</w:t>
      </w:r>
      <w:r w:rsidR="00F81221">
        <w:rPr>
          <w:kern w:val="2"/>
        </w:rPr>
        <w:t xml:space="preserve"> and </w:t>
      </w:r>
      <w:r w:rsidRPr="00586CD8">
        <w:rPr>
          <w:kern w:val="2"/>
        </w:rPr>
        <w:t>isotherms. Operating variables studied were temperature, pH</w:t>
      </w:r>
      <w:r w:rsidR="00F81221">
        <w:rPr>
          <w:kern w:val="2"/>
        </w:rPr>
        <w:t xml:space="preserve"> and </w:t>
      </w:r>
      <w:r w:rsidRPr="00586CD8">
        <w:rPr>
          <w:kern w:val="2"/>
        </w:rPr>
        <w:lastRenderedPageBreak/>
        <w:t>chemical pretreatment. Biosorption capacity seems to be enhanced by increasing the temperature. Maximum colour removal was observed at pH 5. Pre-treating fibres with H</w:t>
      </w:r>
      <w:r w:rsidRPr="007E472B">
        <w:rPr>
          <w:kern w:val="0"/>
          <w:vertAlign w:val="subscript"/>
        </w:rPr>
        <w:t>3</w:t>
      </w:r>
      <w:r w:rsidRPr="00586CD8">
        <w:rPr>
          <w:kern w:val="2"/>
        </w:rPr>
        <w:t>PO</w:t>
      </w:r>
      <w:r w:rsidRPr="007E472B">
        <w:rPr>
          <w:kern w:val="0"/>
          <w:vertAlign w:val="subscript"/>
        </w:rPr>
        <w:t>4</w:t>
      </w:r>
      <w:r w:rsidR="00F81221">
        <w:rPr>
          <w:kern w:val="2"/>
        </w:rPr>
        <w:t xml:space="preserve"> and </w:t>
      </w:r>
      <w:r w:rsidRPr="00586CD8">
        <w:rPr>
          <w:kern w:val="2"/>
        </w:rPr>
        <w:t>HNO</w:t>
      </w:r>
      <w:r w:rsidRPr="007E472B">
        <w:rPr>
          <w:kern w:val="0"/>
          <w:vertAlign w:val="subscript"/>
        </w:rPr>
        <w:t>3</w:t>
      </w:r>
      <w:r w:rsidRPr="00586CD8">
        <w:rPr>
          <w:kern w:val="2"/>
        </w:rPr>
        <w:t xml:space="preserve"> solutions increased the adsorption efficiency up to 80%. Experimental sorption kinetic data were fitted to both Lagergren first-order</w:t>
      </w:r>
      <w:r w:rsidR="00F81221">
        <w:rPr>
          <w:kern w:val="2"/>
        </w:rPr>
        <w:t xml:space="preserve"> and </w:t>
      </w:r>
      <w:r w:rsidRPr="00586CD8">
        <w:rPr>
          <w:kern w:val="2"/>
        </w:rPr>
        <w:t>pseudo-second-order models</w:t>
      </w:r>
      <w:r w:rsidR="00F81221">
        <w:rPr>
          <w:kern w:val="2"/>
        </w:rPr>
        <w:t xml:space="preserve"> and </w:t>
      </w:r>
      <w:r w:rsidRPr="00586CD8">
        <w:rPr>
          <w:kern w:val="2"/>
        </w:rPr>
        <w:t>the data were found to follow first-order equation for raw fibres</w:t>
      </w:r>
      <w:r w:rsidR="00F81221">
        <w:rPr>
          <w:kern w:val="2"/>
        </w:rPr>
        <w:t xml:space="preserve"> and </w:t>
      </w:r>
      <w:r w:rsidRPr="00586CD8">
        <w:rPr>
          <w:kern w:val="2"/>
        </w:rPr>
        <w:t>pseudo-second-order for pre-treated ones. Equilibrium data were well represented by the Freundlich isotherm model for all tested adsorption systems. Besides, the thermodynamic study has showed that the dye adsorption phenomenon onto P. oceanica biomass was favourable, endothermic</w:t>
      </w:r>
      <w:r w:rsidR="00F81221">
        <w:rPr>
          <w:kern w:val="2"/>
        </w:rPr>
        <w:t xml:space="preserve"> and </w:t>
      </w:r>
      <w:r w:rsidRPr="00586CD8">
        <w:rPr>
          <w:kern w:val="2"/>
        </w:rPr>
        <w:t>spontaneous.</w:t>
      </w:r>
    </w:p>
    <w:p w:rsidR="00B95188" w:rsidRPr="00586CD8" w:rsidRDefault="00B95188" w:rsidP="00B95188">
      <w:pPr>
        <w:pStyle w:val="a0"/>
        <w:rPr>
          <w:kern w:val="2"/>
        </w:rPr>
      </w:pPr>
      <w:r w:rsidRPr="00586CD8">
        <w:rPr>
          <w:kern w:val="2"/>
        </w:rPr>
        <w:t>Keywords: Adsorbent, Adsorption, Aqueous Solutions, Aqueous-Solution, Biomass, Biosorbent, Biosorption, Biosorption, Capacity, Cellulose, Chemical Treatments, Cost, Dye, Efficiency, Endothermic, Equilibrium, Experiments, Freundlich, Freundlich Isotherm, Isotherm, Isotherms, Kinetic, Kinetics, Model, Modeling, Models, pH, Posidonia Seagrass, Pretreatment, Reactive Dye, Removal, Sorption, Sorption Kinetics, Temperature, Thermodynamic, Wheat-Straw</w:t>
      </w:r>
    </w:p>
    <w:p w:rsidR="00775B77" w:rsidRDefault="00775B77" w:rsidP="00775B77">
      <w:pPr>
        <w:pStyle w:val="a0"/>
        <w:rPr>
          <w:kern w:val="0"/>
        </w:rPr>
      </w:pPr>
      <w:r>
        <w:rPr>
          <w:rFonts w:hint="eastAsia"/>
          <w:kern w:val="0"/>
        </w:rPr>
        <w:t>? A</w:t>
      </w:r>
      <w:r>
        <w:rPr>
          <w:kern w:val="0"/>
        </w:rPr>
        <w:t>bdel-Ghani, N.T.</w:t>
      </w:r>
      <w:r w:rsidR="00F81221">
        <w:rPr>
          <w:kern w:val="0"/>
        </w:rPr>
        <w:t xml:space="preserve"> and </w:t>
      </w:r>
      <w:r>
        <w:rPr>
          <w:kern w:val="0"/>
        </w:rPr>
        <w:t>Elchaghaby, G.A. (2007), Influence of operating conditions on the removal of Cu, Zn, Cd</w:t>
      </w:r>
      <w:r w:rsidR="00F81221">
        <w:rPr>
          <w:kern w:val="0"/>
        </w:rPr>
        <w:t xml:space="preserve"> and </w:t>
      </w:r>
      <w:r>
        <w:rPr>
          <w:kern w:val="0"/>
        </w:rPr>
        <w:t xml:space="preserve">Pb ions from wastewater by adsorption.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4</w:t>
      </w:r>
      <w:r>
        <w:rPr>
          <w:kern w:val="0"/>
        </w:rPr>
        <w:t xml:space="preserve"> (4), 451-456.</w:t>
      </w:r>
    </w:p>
    <w:p w:rsidR="00775B77" w:rsidRPr="00F03D2F" w:rsidRDefault="00775B77" w:rsidP="00775B77">
      <w:pPr>
        <w:pStyle w:val="a0"/>
        <w:rPr>
          <w:kern w:val="0"/>
        </w:rPr>
      </w:pPr>
      <w:r w:rsidRPr="00F03D2F">
        <w:rPr>
          <w:kern w:val="0"/>
        </w:rPr>
        <w:t>Full Text:</w:t>
      </w:r>
      <w:r w:rsidRPr="00D7601C">
        <w:t xml:space="preserve"> </w:t>
      </w:r>
      <w:hyperlink r:id="rId1837" w:history="1">
        <w:r w:rsidRPr="00775B77">
          <w:rPr>
            <w:rStyle w:val="a5"/>
          </w:rPr>
          <w:t>2007\Int J Env Sci Tec4, 451.pdf</w:t>
        </w:r>
      </w:hyperlink>
    </w:p>
    <w:p w:rsidR="00775B77" w:rsidRDefault="00775B77" w:rsidP="00775B77">
      <w:pPr>
        <w:pStyle w:val="a0"/>
        <w:rPr>
          <w:kern w:val="0"/>
        </w:rPr>
      </w:pPr>
      <w:r>
        <w:rPr>
          <w:kern w:val="0"/>
        </w:rPr>
        <w:t>Abstract: Nile Rose Plant was used to study adsorption of several cations (Cu</w:t>
      </w:r>
      <w:r w:rsidRPr="009045F4">
        <w:rPr>
          <w:kern w:val="0"/>
          <w:vertAlign w:val="superscript"/>
        </w:rPr>
        <w:t>2+</w:t>
      </w:r>
      <w:r>
        <w:rPr>
          <w:kern w:val="0"/>
        </w:rPr>
        <w:t xml:space="preserve"> </w:t>
      </w:r>
      <w:r>
        <w:rPr>
          <w:rFonts w:hint="eastAsia"/>
          <w:kern w:val="0"/>
        </w:rPr>
        <w:t xml:space="preserve">+ </w:t>
      </w:r>
      <w:r>
        <w:rPr>
          <w:kern w:val="0"/>
        </w:rPr>
        <w:t>Zn</w:t>
      </w:r>
      <w:r w:rsidRPr="009045F4">
        <w:rPr>
          <w:kern w:val="0"/>
          <w:vertAlign w:val="superscript"/>
        </w:rPr>
        <w:t>2+</w:t>
      </w:r>
      <w:r>
        <w:rPr>
          <w:kern w:val="0"/>
        </w:rPr>
        <w:t>, Cd</w:t>
      </w:r>
      <w:r w:rsidRPr="009045F4">
        <w:rPr>
          <w:kern w:val="0"/>
          <w:vertAlign w:val="superscript"/>
        </w:rPr>
        <w:t>2+</w:t>
      </w:r>
      <w:r w:rsidR="00F81221">
        <w:rPr>
          <w:kern w:val="0"/>
        </w:rPr>
        <w:t xml:space="preserve"> and </w:t>
      </w:r>
      <w:r>
        <w:rPr>
          <w:kern w:val="0"/>
        </w:rPr>
        <w:t>Pb</w:t>
      </w:r>
      <w:r w:rsidRPr="009045F4">
        <w:rPr>
          <w:kern w:val="0"/>
          <w:vertAlign w:val="superscript"/>
        </w:rPr>
        <w:t>2+</w:t>
      </w:r>
      <w:r>
        <w:rPr>
          <w:kern w:val="0"/>
        </w:rPr>
        <w:t>) from wastewater within various experimental conditions. The dried leaves of Nile Rose Plant were used at different adsorbent, metal ion ratios. The influence of pH, contact time, metal concentration,</w:t>
      </w:r>
      <w:r w:rsidR="00F81221">
        <w:rPr>
          <w:kern w:val="0"/>
        </w:rPr>
        <w:t xml:space="preserve"> and </w:t>
      </w:r>
      <w:r>
        <w:rPr>
          <w:kern w:val="0"/>
        </w:rPr>
        <w:t>adsorbent loading weight on the removal process was investigated. Batch adsorption studies were carried out at room temperature. The adsorption efficiencies were found to be pH dependent, increasing by increasing the pH in the range from 2.5 to 8.5 exept for Pb. The equilibrium time was attained within 60 to 90 min.</w:t>
      </w:r>
      <w:r w:rsidR="00F81221">
        <w:rPr>
          <w:kern w:val="0"/>
        </w:rPr>
        <w:t xml:space="preserve"> and </w:t>
      </w:r>
      <w:r>
        <w:rPr>
          <w:kern w:val="0"/>
        </w:rPr>
        <w:t>the maximum removal percentage was achieved at an adsorbent loading weight of 1.5 g, 50 mL mixed ions solution. Isothermal studies showed that the data were best fitted to the Temkin isotherm model. The removal order was found to be Pb</w:t>
      </w:r>
      <w:r w:rsidRPr="009045F4">
        <w:rPr>
          <w:kern w:val="0"/>
          <w:vertAlign w:val="superscript"/>
        </w:rPr>
        <w:t>2+</w:t>
      </w:r>
      <w:r>
        <w:rPr>
          <w:rFonts w:hint="eastAsia"/>
          <w:kern w:val="0"/>
        </w:rPr>
        <w:t xml:space="preserve"> </w:t>
      </w:r>
      <w:r>
        <w:rPr>
          <w:kern w:val="0"/>
        </w:rPr>
        <w:t>&gt; Zn</w:t>
      </w:r>
      <w:r w:rsidRPr="009045F4">
        <w:rPr>
          <w:kern w:val="0"/>
          <w:vertAlign w:val="superscript"/>
        </w:rPr>
        <w:t>2+</w:t>
      </w:r>
      <w:r>
        <w:rPr>
          <w:rFonts w:hint="eastAsia"/>
          <w:kern w:val="0"/>
        </w:rPr>
        <w:t xml:space="preserve"> </w:t>
      </w:r>
      <w:r>
        <w:rPr>
          <w:kern w:val="0"/>
        </w:rPr>
        <w:t>&gt; Cu</w:t>
      </w:r>
      <w:r w:rsidRPr="009045F4">
        <w:rPr>
          <w:kern w:val="0"/>
          <w:vertAlign w:val="superscript"/>
        </w:rPr>
        <w:t>2+</w:t>
      </w:r>
      <w:r>
        <w:rPr>
          <w:rFonts w:hint="eastAsia"/>
          <w:kern w:val="0"/>
        </w:rPr>
        <w:t xml:space="preserve"> </w:t>
      </w:r>
      <w:r>
        <w:rPr>
          <w:kern w:val="0"/>
        </w:rPr>
        <w:t>&gt; Cd</w:t>
      </w:r>
      <w:r w:rsidRPr="009045F4">
        <w:rPr>
          <w:kern w:val="0"/>
          <w:vertAlign w:val="superscript"/>
        </w:rPr>
        <w:t>2+</w:t>
      </w:r>
      <w:r>
        <w:rPr>
          <w:kern w:val="0"/>
        </w:rPr>
        <w:t>. The surface IR-characterization of Nile rose plant showed the presence of many functional groups capable of binding to the metal cations.</w:t>
      </w:r>
    </w:p>
    <w:p w:rsidR="00775B77" w:rsidRDefault="00775B77" w:rsidP="00775B77">
      <w:pPr>
        <w:pStyle w:val="a0"/>
        <w:rPr>
          <w:kern w:val="0"/>
        </w:rPr>
      </w:pPr>
      <w:r>
        <w:rPr>
          <w:kern w:val="0"/>
        </w:rPr>
        <w:t>Keywords: Adsorption, Aqueous-Solutions, Biomass, Cadmium, Contact Time, Equilibrium, Heavy Metals, Heavy-Metals, Isotherm, Lead, Nile Rose Plant, Operating Conditions, Operating Parameters, Removal, Sawdust, Sorption, Temkin, Wastewater, Weight</w:t>
      </w:r>
    </w:p>
    <w:p w:rsidR="00775B77" w:rsidRDefault="00775B77" w:rsidP="00775B77">
      <w:pPr>
        <w:pStyle w:val="a0"/>
        <w:rPr>
          <w:kern w:val="0"/>
        </w:rPr>
      </w:pPr>
      <w:r>
        <w:rPr>
          <w:rFonts w:hint="eastAsia"/>
          <w:kern w:val="0"/>
        </w:rPr>
        <w:t xml:space="preserve">? </w:t>
      </w:r>
      <w:r>
        <w:rPr>
          <w:kern w:val="0"/>
        </w:rPr>
        <w:t>Mumin, M.A., Khan, M.M.R., Akhter, K.F.</w:t>
      </w:r>
      <w:r w:rsidR="00F81221">
        <w:rPr>
          <w:kern w:val="0"/>
        </w:rPr>
        <w:t xml:space="preserve"> and </w:t>
      </w:r>
      <w:r>
        <w:rPr>
          <w:kern w:val="0"/>
        </w:rPr>
        <w:t xml:space="preserve">Uddin, M.J. (2007), Potentiality of open burnt clay as an adsorbent for the removal of Congo red from aqueous solution.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4</w:t>
      </w:r>
      <w:r>
        <w:rPr>
          <w:kern w:val="0"/>
        </w:rPr>
        <w:t xml:space="preserve"> (4), 525-532.</w:t>
      </w:r>
    </w:p>
    <w:p w:rsidR="00775B77" w:rsidRPr="00F03D2F" w:rsidRDefault="00775B77" w:rsidP="00775B77">
      <w:pPr>
        <w:pStyle w:val="a0"/>
        <w:rPr>
          <w:kern w:val="0"/>
        </w:rPr>
      </w:pPr>
      <w:r w:rsidRPr="00F03D2F">
        <w:rPr>
          <w:kern w:val="0"/>
        </w:rPr>
        <w:lastRenderedPageBreak/>
        <w:t>Full Text:</w:t>
      </w:r>
      <w:r w:rsidRPr="00D7601C">
        <w:t xml:space="preserve"> </w:t>
      </w:r>
      <w:hyperlink r:id="rId1838" w:history="1">
        <w:r w:rsidRPr="00775B77">
          <w:rPr>
            <w:rStyle w:val="a5"/>
          </w:rPr>
          <w:t>2007\Int J Env Sci Tec4, 525.pdf</w:t>
        </w:r>
      </w:hyperlink>
    </w:p>
    <w:p w:rsidR="00775B77" w:rsidRDefault="00775B77" w:rsidP="00775B77">
      <w:pPr>
        <w:pStyle w:val="a0"/>
        <w:rPr>
          <w:kern w:val="0"/>
        </w:rPr>
      </w:pPr>
      <w:r>
        <w:rPr>
          <w:kern w:val="0"/>
        </w:rPr>
        <w:t>Abstract: Open burnt clay was studied as a potential adsorbent for the adsorption of Congo red (a reactive dye) from aqueous solution. The effect of contact time, pH, adsorbent dosage</w:t>
      </w:r>
      <w:r w:rsidR="00F81221">
        <w:rPr>
          <w:kern w:val="0"/>
        </w:rPr>
        <w:t xml:space="preserve"> and </w:t>
      </w:r>
      <w:r>
        <w:rPr>
          <w:kern w:val="0"/>
        </w:rPr>
        <w:t>temperature were studied. It was observed that the amount of Congo red retained increase with decreasing pH</w:t>
      </w:r>
      <w:r w:rsidR="00F81221">
        <w:rPr>
          <w:kern w:val="0"/>
        </w:rPr>
        <w:t xml:space="preserve"> and </w:t>
      </w:r>
      <w:r>
        <w:rPr>
          <w:kern w:val="0"/>
        </w:rPr>
        <w:t>increasing initial concentration. Removal percentage at pH 2</w:t>
      </w:r>
      <w:r w:rsidR="00F81221">
        <w:rPr>
          <w:kern w:val="0"/>
        </w:rPr>
        <w:t xml:space="preserve"> and </w:t>
      </w:r>
      <w:r>
        <w:rPr>
          <w:kern w:val="0"/>
        </w:rPr>
        <w:t>3 are almost same. The adsorption capacity of regenerated burnt clay was showed more than 98 % recovery of the adsorption efficiency of initial virgin adsorbent. The equilibrium data were described well by both Langmuir</w:t>
      </w:r>
      <w:r w:rsidR="00F81221">
        <w:rPr>
          <w:kern w:val="0"/>
        </w:rPr>
        <w:t xml:space="preserve"> and </w:t>
      </w:r>
      <w:r>
        <w:rPr>
          <w:kern w:val="0"/>
        </w:rPr>
        <w:t>Freundlich isotherm model. The adsorption capacity of some natural adsorbents, namely rice husk, wood charcoal, tea waste etc. were also investigated</w:t>
      </w:r>
      <w:r w:rsidR="00F81221">
        <w:rPr>
          <w:kern w:val="0"/>
        </w:rPr>
        <w:t xml:space="preserve"> and </w:t>
      </w:r>
      <w:r>
        <w:rPr>
          <w:kern w:val="0"/>
        </w:rPr>
        <w:t>compared with that of open burnt clay.</w:t>
      </w:r>
    </w:p>
    <w:p w:rsidR="00775B77" w:rsidRDefault="00775B77" w:rsidP="00775B77">
      <w:pPr>
        <w:pStyle w:val="a0"/>
        <w:rPr>
          <w:kern w:val="0"/>
        </w:rPr>
      </w:pPr>
      <w:r>
        <w:rPr>
          <w:kern w:val="0"/>
        </w:rPr>
        <w:t>Keywords: Adsorption, Adsorption, Adsorption Capacity, Color Removal, Congo Red, Contact Time, Effluent, Equilibrium, Freundlich, Freundlich Isotherm, Isotherm, Langmuir, Open Burnt Clay, Reactive Dye, Reactive Dyes, Removal, Sorbent, Textile Dyes, Wastewater</w:t>
      </w:r>
    </w:p>
    <w:p w:rsidR="00775B77" w:rsidRDefault="00775B77" w:rsidP="00775B77">
      <w:pPr>
        <w:pStyle w:val="a0"/>
        <w:rPr>
          <w:kern w:val="0"/>
        </w:rPr>
      </w:pPr>
      <w:r>
        <w:rPr>
          <w:rFonts w:hint="eastAsia"/>
          <w:kern w:val="0"/>
        </w:rPr>
        <w:t xml:space="preserve">? </w:t>
      </w:r>
      <w:r>
        <w:rPr>
          <w:kern w:val="0"/>
        </w:rPr>
        <w:t>Goyal, P., Sharma, A., Srivastava, S.</w:t>
      </w:r>
      <w:r w:rsidR="00F81221">
        <w:rPr>
          <w:kern w:val="0"/>
        </w:rPr>
        <w:t xml:space="preserve"> and </w:t>
      </w:r>
      <w:r>
        <w:rPr>
          <w:kern w:val="0"/>
        </w:rPr>
        <w:t>Srivastava, M.M. (2008), Saraca indica leaf powder for decontamination of Pb: Removal, recovery, adsorbent characterization</w:t>
      </w:r>
      <w:r w:rsidR="00F81221">
        <w:rPr>
          <w:kern w:val="0"/>
        </w:rPr>
        <w:t xml:space="preserve"> and </w:t>
      </w:r>
      <w:r>
        <w:rPr>
          <w:kern w:val="0"/>
        </w:rPr>
        <w:t xml:space="preserve">equilibrium modeling.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5</w:t>
      </w:r>
      <w:r>
        <w:rPr>
          <w:kern w:val="0"/>
        </w:rPr>
        <w:t xml:space="preserve"> (1), 27-34.</w:t>
      </w:r>
    </w:p>
    <w:p w:rsidR="00775B77" w:rsidRPr="00F03D2F" w:rsidRDefault="00775B77" w:rsidP="00775B77">
      <w:pPr>
        <w:pStyle w:val="a0"/>
        <w:rPr>
          <w:kern w:val="0"/>
        </w:rPr>
      </w:pPr>
      <w:r w:rsidRPr="00F03D2F">
        <w:rPr>
          <w:kern w:val="0"/>
        </w:rPr>
        <w:t>Full Text:</w:t>
      </w:r>
      <w:r w:rsidRPr="00D7601C">
        <w:t xml:space="preserve"> </w:t>
      </w:r>
      <w:hyperlink r:id="rId1839" w:history="1">
        <w:r w:rsidRPr="00775B77">
          <w:rPr>
            <w:rStyle w:val="a5"/>
          </w:rPr>
          <w:t>2008\Int J Env Sci Tec5, 27.pdf</w:t>
        </w:r>
      </w:hyperlink>
    </w:p>
    <w:p w:rsidR="00775B77" w:rsidRDefault="00775B77" w:rsidP="00775B77">
      <w:pPr>
        <w:pStyle w:val="a0"/>
        <w:rPr>
          <w:kern w:val="0"/>
        </w:rPr>
      </w:pPr>
      <w:r>
        <w:rPr>
          <w:kern w:val="0"/>
        </w:rPr>
        <w:t>Abstract: The present study explores the effectiveness of Saraca indica leaf powder, a surplus low value agricultural waste, in removing Pb ions from aqueous solution. The influence of pH, biomass dosage, contact time, particle size</w:t>
      </w:r>
      <w:r w:rsidR="00F81221">
        <w:rPr>
          <w:kern w:val="0"/>
        </w:rPr>
        <w:t xml:space="preserve"> and </w:t>
      </w:r>
      <w:r>
        <w:rPr>
          <w:kern w:val="0"/>
        </w:rPr>
        <w:t>metal concentration on the removal process were investigated. Batch studies indicated that maximum biosorption capacity for Pb was 95.37% at the pH 6.5. The sorption process followed the first order rate kinetics, The adsorption equilibrium data fitted best to both Langmuir</w:t>
      </w:r>
      <w:r w:rsidR="00F81221">
        <w:rPr>
          <w:kern w:val="0"/>
        </w:rPr>
        <w:t xml:space="preserve"> and </w:t>
      </w:r>
      <w:r>
        <w:rPr>
          <w:kern w:val="0"/>
        </w:rPr>
        <w:t>Freundlich isotherms. Morphological changes observed in scanning electron micrographs of untreated</w:t>
      </w:r>
      <w:r w:rsidR="00F81221">
        <w:rPr>
          <w:kern w:val="0"/>
        </w:rPr>
        <w:t xml:space="preserve"> and </w:t>
      </w:r>
      <w:r>
        <w:rPr>
          <w:kern w:val="0"/>
        </w:rPr>
        <w:t>metal treated biomass confirmed the phenomenon of biosorption. Fourier transform infrared spectroscopy of native</w:t>
      </w:r>
      <w:r w:rsidR="00F81221">
        <w:rPr>
          <w:kern w:val="0"/>
        </w:rPr>
        <w:t xml:space="preserve"> and </w:t>
      </w:r>
      <w:r>
        <w:rPr>
          <w:kern w:val="0"/>
        </w:rPr>
        <w:t>exhausted leaf powder confirmed lead biomass interactions responsible for sorption. Acid regeneration was tried for several cycles with a view to recover the sorbed metal ion</w:t>
      </w:r>
      <w:r w:rsidR="00F81221">
        <w:rPr>
          <w:kern w:val="0"/>
        </w:rPr>
        <w:t xml:space="preserve"> and </w:t>
      </w:r>
      <w:r>
        <w:rPr>
          <w:kern w:val="0"/>
        </w:rPr>
        <w:t>also to restore the sorbent to its original state. The findings showed that Saroca indica leaf powder can easily be envisaged as a new, vibrant, low cost biosorbent for metal clean up operations.</w:t>
      </w:r>
    </w:p>
    <w:p w:rsidR="00775B77" w:rsidRDefault="00775B77" w:rsidP="00775B77">
      <w:pPr>
        <w:pStyle w:val="a0"/>
        <w:rPr>
          <w:kern w:val="0"/>
        </w:rPr>
      </w:pPr>
      <w:r>
        <w:rPr>
          <w:kern w:val="0"/>
        </w:rPr>
        <w:t>Keywords: Adsorption, Agricultural Waste, Batch Studies, Biomass, Biosorption, Bosorption, Contact Time, Equilibrium, Fourier Transform Infrared, Freundlich, Isotherms, Kinetics, Langmuir, Lead, Lead Biomass Interactions, Modeling, Regeneration, Removal, Saraca Indica Leaf Powder, Sorbent, Sorption</w:t>
      </w:r>
    </w:p>
    <w:p w:rsidR="00775B77" w:rsidRDefault="00775B77" w:rsidP="00775B77">
      <w:pPr>
        <w:pStyle w:val="a0"/>
        <w:rPr>
          <w:kern w:val="0"/>
        </w:rPr>
      </w:pPr>
      <w:r>
        <w:rPr>
          <w:rFonts w:hint="eastAsia"/>
          <w:kern w:val="0"/>
        </w:rPr>
        <w:t xml:space="preserve">? </w:t>
      </w:r>
      <w:r>
        <w:rPr>
          <w:kern w:val="0"/>
        </w:rPr>
        <w:t>Dable, P.J.M.R., Adjoumani, Y.J., Yao, B.</w:t>
      </w:r>
      <w:r w:rsidR="00F81221">
        <w:rPr>
          <w:kern w:val="0"/>
        </w:rPr>
        <w:t xml:space="preserve"> and </w:t>
      </w:r>
      <w:r>
        <w:rPr>
          <w:kern w:val="0"/>
        </w:rPr>
        <w:t xml:space="preserve">Ado, G. (2008), Wastewater </w:t>
      </w:r>
      <w:r>
        <w:rPr>
          <w:kern w:val="0"/>
        </w:rPr>
        <w:lastRenderedPageBreak/>
        <w:t xml:space="preserve">dephosphorization using crude clays.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5</w:t>
      </w:r>
      <w:r>
        <w:rPr>
          <w:kern w:val="0"/>
        </w:rPr>
        <w:t xml:space="preserve"> (1), 35-42.</w:t>
      </w:r>
    </w:p>
    <w:p w:rsidR="00775B77" w:rsidRPr="00F03D2F" w:rsidRDefault="00775B77" w:rsidP="00775B77">
      <w:pPr>
        <w:pStyle w:val="a0"/>
        <w:rPr>
          <w:kern w:val="0"/>
        </w:rPr>
      </w:pPr>
      <w:r w:rsidRPr="00F03D2F">
        <w:rPr>
          <w:kern w:val="0"/>
        </w:rPr>
        <w:t>Full Text:</w:t>
      </w:r>
      <w:r w:rsidRPr="00D7601C">
        <w:t xml:space="preserve"> </w:t>
      </w:r>
      <w:hyperlink r:id="rId1840" w:history="1">
        <w:r w:rsidRPr="00775B77">
          <w:rPr>
            <w:rStyle w:val="a5"/>
          </w:rPr>
          <w:t>2008\Int J Env Sci Tec5, 35.pdf</w:t>
        </w:r>
      </w:hyperlink>
    </w:p>
    <w:p w:rsidR="00775B77" w:rsidRDefault="00775B77" w:rsidP="00775B77">
      <w:pPr>
        <w:pStyle w:val="a0"/>
        <w:rPr>
          <w:kern w:val="0"/>
        </w:rPr>
      </w:pPr>
      <w:r>
        <w:rPr>
          <w:kern w:val="0"/>
        </w:rPr>
        <w:t>Abstract: The present work aims to establish the possibility of using local clays to treat wastewater. Thus, three clay samples extracted from two localities in the south of Cote d</w:t>
      </w:r>
      <w:r w:rsidR="000352E7">
        <w:rPr>
          <w:kern w:val="0"/>
        </w:rPr>
        <w:t>’</w:t>
      </w:r>
      <w:r>
        <w:rPr>
          <w:kern w:val="0"/>
        </w:rPr>
        <w:t>Ivoire have been studied in their crude state. The qualitative physicochemical study that consisted in measurement of pH variation</w:t>
      </w:r>
      <w:r w:rsidR="00F81221">
        <w:rPr>
          <w:kern w:val="0"/>
        </w:rPr>
        <w:t xml:space="preserve"> and </w:t>
      </w:r>
      <w:r>
        <w:rPr>
          <w:kern w:val="0"/>
        </w:rPr>
        <w:t>argillaceous particles zeta potential showed that the Nieki-Agneby clay</w:t>
      </w:r>
      <w:r w:rsidR="00F81221">
        <w:rPr>
          <w:kern w:val="0"/>
        </w:rPr>
        <w:t xml:space="preserve"> and </w:t>
      </w:r>
      <w:r>
        <w:rPr>
          <w:kern w:val="0"/>
        </w:rPr>
        <w:t>the Beige Anyama clay presented disposal to uptake phosphate ions in solution at pH 5. For each clay, it is shown that the tension accompanying the sorption of a phosphate ion could be estimated to -5 mV. Differences in their composition</w:t>
      </w:r>
      <w:r w:rsidR="00F81221">
        <w:rPr>
          <w:kern w:val="0"/>
        </w:rPr>
        <w:t xml:space="preserve"> and </w:t>
      </w:r>
      <w:r>
        <w:rPr>
          <w:kern w:val="0"/>
        </w:rPr>
        <w:t>in the number of hydrating molecules of water were also accessible. The quantitative study performed with the Nieki-Agneby clay thereafter consisted following the sorption kinetic. The adsorption was found to reach the maximum after 5 h. of exchange,</w:t>
      </w:r>
      <w:r w:rsidR="00F81221">
        <w:rPr>
          <w:kern w:val="0"/>
        </w:rPr>
        <w:t xml:space="preserve"> and </w:t>
      </w:r>
      <w:r>
        <w:rPr>
          <w:kern w:val="0"/>
        </w:rPr>
        <w:t>almost 400 mu g phosphate ions in per gram of clay were fixed. Future studies will focus on the modification of these materials in order to increase their sorption capacity.</w:t>
      </w:r>
    </w:p>
    <w:p w:rsidR="00775B77" w:rsidRDefault="00775B77" w:rsidP="00775B77">
      <w:pPr>
        <w:pStyle w:val="a0"/>
        <w:rPr>
          <w:kern w:val="0"/>
        </w:rPr>
      </w:pPr>
      <w:r>
        <w:rPr>
          <w:kern w:val="0"/>
        </w:rPr>
        <w:t>Keywords: Adsorption, Clay, Dephosphorization, Kinetic, Kinetic Study, Ph, Phosphate, Soils, Sorption, Wastewater, Water, Zeta Potential</w:t>
      </w:r>
    </w:p>
    <w:p w:rsidR="00B95188" w:rsidRPr="00586CD8" w:rsidRDefault="00B95188" w:rsidP="00B95188">
      <w:pPr>
        <w:pStyle w:val="a0"/>
        <w:rPr>
          <w:kern w:val="2"/>
        </w:rPr>
      </w:pPr>
      <w:r w:rsidRPr="00586CD8">
        <w:rPr>
          <w:rFonts w:hint="eastAsia"/>
          <w:kern w:val="2"/>
        </w:rPr>
        <w:t xml:space="preserve">? </w:t>
      </w:r>
      <w:r w:rsidRPr="00586CD8">
        <w:rPr>
          <w:kern w:val="2"/>
        </w:rPr>
        <w:t>Igwe, J.C., Abia, A.A.</w:t>
      </w:r>
      <w:r w:rsidR="00F81221">
        <w:rPr>
          <w:kern w:val="2"/>
        </w:rPr>
        <w:t xml:space="preserve"> and </w:t>
      </w:r>
      <w:r w:rsidRPr="00586CD8">
        <w:rPr>
          <w:kern w:val="2"/>
        </w:rPr>
        <w:t>Ibeh, C.A. (2008), Adsorption kinetics</w:t>
      </w:r>
      <w:r w:rsidR="00F81221">
        <w:rPr>
          <w:kern w:val="2"/>
        </w:rPr>
        <w:t xml:space="preserve"> and </w:t>
      </w:r>
      <w:r w:rsidRPr="00586CD8">
        <w:rPr>
          <w:kern w:val="2"/>
        </w:rPr>
        <w:t>intrap articulate diffusivities of Hg, As</w:t>
      </w:r>
      <w:r w:rsidR="00F81221">
        <w:rPr>
          <w:kern w:val="2"/>
        </w:rPr>
        <w:t xml:space="preserve"> and </w:t>
      </w:r>
      <w:r w:rsidRPr="00586CD8">
        <w:rPr>
          <w:kern w:val="2"/>
        </w:rPr>
        <w:t>Pb ions on unmodified</w:t>
      </w:r>
      <w:r w:rsidR="00F81221">
        <w:rPr>
          <w:kern w:val="2"/>
        </w:rPr>
        <w:t xml:space="preserve"> and </w:t>
      </w:r>
      <w:r w:rsidRPr="00586CD8">
        <w:rPr>
          <w:kern w:val="2"/>
        </w:rPr>
        <w:t xml:space="preserve">thiolated coconut fiber. </w:t>
      </w:r>
      <w:r>
        <w:rPr>
          <w:i/>
          <w:iCs/>
          <w:kern w:val="0"/>
        </w:rPr>
        <w:t>International Journal of Environmental Science</w:t>
      </w:r>
      <w:r w:rsidR="00F81221">
        <w:rPr>
          <w:i/>
          <w:iCs/>
          <w:kern w:val="0"/>
        </w:rPr>
        <w:t xml:space="preserve"> and </w:t>
      </w:r>
      <w:r>
        <w:rPr>
          <w:i/>
          <w:iCs/>
          <w:kern w:val="0"/>
        </w:rPr>
        <w:t>Technology</w:t>
      </w:r>
      <w:r w:rsidRPr="00586CD8">
        <w:rPr>
          <w:kern w:val="2"/>
        </w:rPr>
        <w:t xml:space="preserve">, </w:t>
      </w:r>
      <w:r>
        <w:rPr>
          <w:b/>
          <w:bCs/>
          <w:kern w:val="0"/>
        </w:rPr>
        <w:t>5</w:t>
      </w:r>
      <w:r w:rsidRPr="00586CD8">
        <w:rPr>
          <w:kern w:val="2"/>
        </w:rPr>
        <w:t xml:space="preserve"> (1), 83-92.</w:t>
      </w:r>
    </w:p>
    <w:p w:rsidR="00B95188" w:rsidRPr="00586CD8" w:rsidRDefault="00B95188" w:rsidP="00B95188">
      <w:pPr>
        <w:pStyle w:val="a0"/>
        <w:rPr>
          <w:kern w:val="2"/>
        </w:rPr>
      </w:pPr>
      <w:r w:rsidRPr="00586CD8">
        <w:rPr>
          <w:rFonts w:hint="eastAsia"/>
          <w:kern w:val="2"/>
        </w:rPr>
        <w:t xml:space="preserve">Full Text: </w:t>
      </w:r>
      <w:hyperlink r:id="rId1841" w:history="1">
        <w:r w:rsidRPr="007B2D1D">
          <w:rPr>
            <w:rStyle w:val="a5"/>
            <w:kern w:val="0"/>
            <w:szCs w:val="24"/>
          </w:rPr>
          <w:t>2008\Int J Env Sci Tec5, 83.pdf</w:t>
        </w:r>
      </w:hyperlink>
    </w:p>
    <w:p w:rsidR="00B95188" w:rsidRPr="00586CD8" w:rsidRDefault="00B95188" w:rsidP="00B95188">
      <w:pPr>
        <w:pStyle w:val="a0"/>
        <w:rPr>
          <w:kern w:val="2"/>
        </w:rPr>
      </w:pPr>
      <w:r w:rsidRPr="00586CD8">
        <w:rPr>
          <w:kern w:val="2"/>
        </w:rPr>
        <w:t>Abstract: As, Hg</w:t>
      </w:r>
      <w:r w:rsidR="00F81221">
        <w:rPr>
          <w:kern w:val="2"/>
        </w:rPr>
        <w:t xml:space="preserve"> and </w:t>
      </w:r>
      <w:r w:rsidRPr="00586CD8">
        <w:rPr>
          <w:kern w:val="2"/>
        </w:rPr>
        <w:t>Pb are examples of heavy metals which are present in different types of industrial effluents responsible for environmental pollution. Their removal is traditionally made by chemical precipitation, ion-exchange</w:t>
      </w:r>
      <w:r w:rsidR="00F81221">
        <w:rPr>
          <w:kern w:val="2"/>
        </w:rPr>
        <w:t xml:space="preserve"> and </w:t>
      </w:r>
      <w:r w:rsidRPr="00586CD8">
        <w:rPr>
          <w:kern w:val="2"/>
        </w:rPr>
        <w:t>so on. However, this is expensive</w:t>
      </w:r>
      <w:r w:rsidR="00F81221">
        <w:rPr>
          <w:kern w:val="2"/>
        </w:rPr>
        <w:t xml:space="preserve"> and </w:t>
      </w:r>
      <w:r w:rsidRPr="00586CD8">
        <w:rPr>
          <w:kern w:val="2"/>
        </w:rPr>
        <w:t>not completely feasible to reduce their concentrations to the levels as low as required by the environmental legislation. Biosorption is a process in which solids of natural origin are employed for binding the heavy metal. It is a promising alternative method to treat industrial effluents, mainly because of its low cost</w:t>
      </w:r>
      <w:r w:rsidR="00F81221">
        <w:rPr>
          <w:kern w:val="2"/>
        </w:rPr>
        <w:t xml:space="preserve"> and </w:t>
      </w:r>
      <w:r w:rsidRPr="00586CD8">
        <w:rPr>
          <w:kern w:val="2"/>
        </w:rPr>
        <w:t>high metal binding capacity. The kinetics was studied for biosorption experiments using coconut fiber for As(III), Hg(II)</w:t>
      </w:r>
      <w:r w:rsidR="00F81221">
        <w:rPr>
          <w:kern w:val="2"/>
        </w:rPr>
        <w:t xml:space="preserve"> and </w:t>
      </w:r>
      <w:r w:rsidRPr="00586CD8">
        <w:rPr>
          <w:kern w:val="2"/>
        </w:rPr>
        <w:t>Pb(II) ions adsorption. The specific surface area</w:t>
      </w:r>
      <w:r w:rsidR="00F81221">
        <w:rPr>
          <w:kern w:val="2"/>
        </w:rPr>
        <w:t xml:space="preserve"> and </w:t>
      </w:r>
      <w:r w:rsidRPr="00586CD8">
        <w:rPr>
          <w:kern w:val="2"/>
        </w:rPr>
        <w:t>surface charge density of the coconut fiber are 1.186</w:t>
      </w:r>
      <w:r w:rsidRPr="00586CD8">
        <w:rPr>
          <w:kern w:val="2"/>
        </w:rPr>
        <w:sym w:font="Symbol" w:char="F0B4"/>
      </w:r>
      <w:r w:rsidRPr="00586CD8">
        <w:rPr>
          <w:kern w:val="2"/>
        </w:rPr>
        <w:t>10</w:t>
      </w:r>
      <w:r>
        <w:rPr>
          <w:rFonts w:hint="eastAsia"/>
          <w:kern w:val="0"/>
          <w:vertAlign w:val="superscript"/>
        </w:rPr>
        <w:t>25</w:t>
      </w:r>
      <w:r w:rsidRPr="00586CD8">
        <w:rPr>
          <w:kern w:val="2"/>
        </w:rPr>
        <w:t xml:space="preserve"> (m</w:t>
      </w:r>
      <w:r>
        <w:rPr>
          <w:rFonts w:hint="eastAsia"/>
          <w:kern w:val="0"/>
          <w:vertAlign w:val="superscript"/>
        </w:rPr>
        <w:t>2</w:t>
      </w:r>
      <w:r w:rsidRPr="00586CD8">
        <w:rPr>
          <w:kern w:val="2"/>
        </w:rPr>
        <w:t>/g)</w:t>
      </w:r>
      <w:r w:rsidR="00F81221">
        <w:rPr>
          <w:kern w:val="2"/>
        </w:rPr>
        <w:t xml:space="preserve"> and </w:t>
      </w:r>
      <w:r w:rsidRPr="00586CD8">
        <w:rPr>
          <w:kern w:val="2"/>
        </w:rPr>
        <w:t>5.39</w:t>
      </w:r>
      <w:r w:rsidRPr="00586CD8">
        <w:rPr>
          <w:kern w:val="2"/>
        </w:rPr>
        <w:sym w:font="Symbol" w:char="F0B4"/>
      </w:r>
      <w:r w:rsidRPr="00586CD8">
        <w:rPr>
          <w:kern w:val="2"/>
        </w:rPr>
        <w:t>10</w:t>
      </w:r>
      <w:r>
        <w:rPr>
          <w:rFonts w:hint="eastAsia"/>
          <w:kern w:val="0"/>
          <w:vertAlign w:val="superscript"/>
        </w:rPr>
        <w:t>24</w:t>
      </w:r>
      <w:r w:rsidRPr="00586CD8">
        <w:rPr>
          <w:kern w:val="2"/>
        </w:rPr>
        <w:t xml:space="preserve"> (meq/m</w:t>
      </w:r>
      <w:r>
        <w:rPr>
          <w:rFonts w:hint="eastAsia"/>
          <w:kern w:val="0"/>
          <w:vertAlign w:val="superscript"/>
        </w:rPr>
        <w:t>2</w:t>
      </w:r>
      <w:r w:rsidRPr="00586CD8">
        <w:rPr>
          <w:kern w:val="2"/>
        </w:rPr>
        <w:t>), respectively. The maximum adsorption capacity was found to be the highest for Pb(II) followed by Hg(II)</w:t>
      </w:r>
      <w:r w:rsidR="00F81221">
        <w:rPr>
          <w:kern w:val="2"/>
        </w:rPr>
        <w:t xml:space="preserve"> and </w:t>
      </w:r>
      <w:r w:rsidRPr="00586CD8">
        <w:rPr>
          <w:kern w:val="2"/>
        </w:rPr>
        <w:t>As(III). The modification of the adsorbent by thiolation affected the adsorption capacity. Equilibrium sorption was reached for the metal ions at about 60 min. The equilibrium constant</w:t>
      </w:r>
      <w:r w:rsidR="00F81221">
        <w:rPr>
          <w:kern w:val="2"/>
        </w:rPr>
        <w:t xml:space="preserve"> and </w:t>
      </w:r>
      <w:r w:rsidRPr="00586CD8">
        <w:rPr>
          <w:kern w:val="2"/>
        </w:rPr>
        <w:t>free energy of the adsorption at 30 degrees C were calculated. The mechanism of sorption was found to obey the particle-diffusion model. The kinetic studies showed that the sorption rates could be described by both pseudo first-order</w:t>
      </w:r>
      <w:r w:rsidR="00F81221">
        <w:rPr>
          <w:kern w:val="2"/>
        </w:rPr>
        <w:t xml:space="preserve"> and </w:t>
      </w:r>
      <w:r w:rsidRPr="00586CD8">
        <w:rPr>
          <w:kern w:val="2"/>
        </w:rPr>
        <w:t xml:space="preserve">pseudo second-order </w:t>
      </w:r>
      <w:r w:rsidRPr="00586CD8">
        <w:rPr>
          <w:kern w:val="2"/>
        </w:rPr>
        <w:lastRenderedPageBreak/>
        <w:t>models. The pseudo second-order model showed a better fit with a rate constant value of 1.16</w:t>
      </w:r>
      <w:r w:rsidRPr="00586CD8">
        <w:rPr>
          <w:kern w:val="2"/>
        </w:rPr>
        <w:sym w:font="Symbol" w:char="F0B4"/>
      </w:r>
      <w:r w:rsidRPr="00586CD8">
        <w:rPr>
          <w:kern w:val="2"/>
        </w:rPr>
        <w:t>10</w:t>
      </w:r>
      <w:r>
        <w:rPr>
          <w:rFonts w:hint="eastAsia"/>
          <w:kern w:val="0"/>
          <w:vertAlign w:val="superscript"/>
        </w:rPr>
        <w:t>-4</w:t>
      </w:r>
      <w:r w:rsidRPr="00586CD8">
        <w:rPr>
          <w:kern w:val="2"/>
        </w:rPr>
        <w:t>/min. for all three metal ions. Therefore, the results of this study show that coconut fiber, both modified</w:t>
      </w:r>
      <w:r w:rsidR="00F81221">
        <w:rPr>
          <w:kern w:val="2"/>
        </w:rPr>
        <w:t xml:space="preserve"> and </w:t>
      </w:r>
      <w:r w:rsidRPr="00586CD8">
        <w:rPr>
          <w:kern w:val="2"/>
        </w:rPr>
        <w:t>unmodified, is an efficient adsorbent for the removal of toxic</w:t>
      </w:r>
      <w:r w:rsidR="00F81221">
        <w:rPr>
          <w:kern w:val="2"/>
        </w:rPr>
        <w:t xml:space="preserve"> and </w:t>
      </w:r>
      <w:r w:rsidRPr="00586CD8">
        <w:rPr>
          <w:kern w:val="2"/>
        </w:rPr>
        <w:t>valuable metals from industrial effluents.</w:t>
      </w:r>
    </w:p>
    <w:p w:rsidR="00B95188" w:rsidRPr="00586CD8" w:rsidRDefault="00B95188" w:rsidP="00B95188">
      <w:pPr>
        <w:pStyle w:val="a0"/>
        <w:rPr>
          <w:kern w:val="2"/>
        </w:rPr>
      </w:pPr>
      <w:r w:rsidRPr="00586CD8">
        <w:rPr>
          <w:kern w:val="2"/>
        </w:rPr>
        <w:t>Keywords: Activated Carbon, Adsorbent, Adsorption, Adsorption Kinetics, Alternative, Aqueous-Solution, Biomass, Biosorption, Capacity, Charge, Chromium, Coconut Fiber, Cost, Environmental, Environmental Pollution, Equilibrium, Experiments, Heavy Metal, Heavy Metals, Intraparticulate Diffusivity, Ion Exchange, Ion-Exchange, Kinetic, Kinetic Studies, Kinetics, Legislation, Mechanism, Metal, Metal Ions, Metals, Model, Models, Modification, Origin, Pb, Pollution, Pseudo First-Order, Pseudo Second-Order, Removal, Sorption, Surface Area, Thiolation, Waste, Waste Management, Zn Ions</w:t>
      </w:r>
    </w:p>
    <w:p w:rsidR="00B95188" w:rsidRPr="00586CD8" w:rsidRDefault="00B95188" w:rsidP="00B95188">
      <w:pPr>
        <w:pStyle w:val="a0"/>
        <w:rPr>
          <w:kern w:val="2"/>
        </w:rPr>
      </w:pPr>
      <w:r w:rsidRPr="00586CD8">
        <w:rPr>
          <w:rFonts w:hint="eastAsia"/>
          <w:kern w:val="2"/>
        </w:rPr>
        <w:t xml:space="preserve">? </w:t>
      </w:r>
      <w:r w:rsidRPr="00586CD8">
        <w:rPr>
          <w:kern w:val="2"/>
        </w:rPr>
        <w:t>Nameni, M., Moghadam, M.R.A.</w:t>
      </w:r>
      <w:r w:rsidR="00F81221">
        <w:rPr>
          <w:kern w:val="2"/>
        </w:rPr>
        <w:t xml:space="preserve"> and </w:t>
      </w:r>
      <w:r w:rsidRPr="00586CD8">
        <w:rPr>
          <w:kern w:val="2"/>
        </w:rPr>
        <w:t xml:space="preserve">Arami, M. (2008), Adsorption of hexavalent chromium from aqueous solutions by wheat bran. </w:t>
      </w:r>
      <w:r>
        <w:rPr>
          <w:i/>
          <w:iCs/>
          <w:kern w:val="0"/>
        </w:rPr>
        <w:t>International Journal of Environmental Science</w:t>
      </w:r>
      <w:r w:rsidR="00F81221">
        <w:rPr>
          <w:i/>
          <w:iCs/>
          <w:kern w:val="0"/>
        </w:rPr>
        <w:t xml:space="preserve"> and </w:t>
      </w:r>
      <w:r>
        <w:rPr>
          <w:i/>
          <w:iCs/>
          <w:kern w:val="0"/>
        </w:rPr>
        <w:t>Technology</w:t>
      </w:r>
      <w:r w:rsidRPr="00586CD8">
        <w:rPr>
          <w:kern w:val="2"/>
        </w:rPr>
        <w:t xml:space="preserve">, </w:t>
      </w:r>
      <w:r>
        <w:rPr>
          <w:b/>
          <w:bCs/>
          <w:kern w:val="0"/>
        </w:rPr>
        <w:t>5</w:t>
      </w:r>
      <w:r w:rsidRPr="00586CD8">
        <w:rPr>
          <w:kern w:val="2"/>
        </w:rPr>
        <w:t xml:space="preserve"> (2), 161-168.</w:t>
      </w:r>
    </w:p>
    <w:p w:rsidR="00B95188" w:rsidRPr="00586CD8" w:rsidRDefault="00B95188" w:rsidP="00B95188">
      <w:pPr>
        <w:pStyle w:val="a0"/>
        <w:rPr>
          <w:kern w:val="2"/>
        </w:rPr>
      </w:pPr>
      <w:r w:rsidRPr="00586CD8">
        <w:rPr>
          <w:rFonts w:hint="eastAsia"/>
          <w:kern w:val="2"/>
        </w:rPr>
        <w:t xml:space="preserve">Full Text: </w:t>
      </w:r>
      <w:hyperlink r:id="rId1842" w:history="1">
        <w:r w:rsidRPr="00F230D4">
          <w:rPr>
            <w:rStyle w:val="a5"/>
            <w:kern w:val="0"/>
            <w:szCs w:val="24"/>
          </w:rPr>
          <w:t>2008\Int J Env Sci Tec5, 161.pdf</w:t>
        </w:r>
      </w:hyperlink>
    </w:p>
    <w:p w:rsidR="00B95188" w:rsidRPr="00586CD8" w:rsidRDefault="00B95188" w:rsidP="00B95188">
      <w:pPr>
        <w:pStyle w:val="a0"/>
        <w:rPr>
          <w:kern w:val="2"/>
        </w:rPr>
      </w:pPr>
      <w:r w:rsidRPr="00586CD8">
        <w:rPr>
          <w:kern w:val="2"/>
        </w:rPr>
        <w:t>Abstract: in this research, adsorption of chromium(VI) ions on wheat bran has been studied through using batch adsorption techniques. The main objectives of this study are to 1) investigate the chromium adsorption from aqueous solution by wheat bran, 2) study the influence of contact time, pH, adsorbent dose</w:t>
      </w:r>
      <w:r w:rsidR="00F81221">
        <w:rPr>
          <w:kern w:val="2"/>
        </w:rPr>
        <w:t xml:space="preserve"> and </w:t>
      </w:r>
      <w:r w:rsidRPr="00586CD8">
        <w:rPr>
          <w:kern w:val="2"/>
        </w:rPr>
        <w:t>initial chromium concentration on adsorption process performance</w:t>
      </w:r>
      <w:r w:rsidR="00F81221">
        <w:rPr>
          <w:kern w:val="2"/>
        </w:rPr>
        <w:t xml:space="preserve"> and </w:t>
      </w:r>
      <w:r w:rsidRPr="00586CD8">
        <w:rPr>
          <w:kern w:val="2"/>
        </w:rPr>
        <w:t>3) determine appropriate adsorption isotherm</w:t>
      </w:r>
      <w:r w:rsidR="00F81221">
        <w:rPr>
          <w:kern w:val="2"/>
        </w:rPr>
        <w:t xml:space="preserve"> and </w:t>
      </w:r>
      <w:r w:rsidRPr="00586CD8">
        <w:rPr>
          <w:kern w:val="2"/>
        </w:rPr>
        <w:t>kinetics parameters of chromium(VI) adsorption on wheat bran. The results of this study showed that adsorption of chromium by wheat bran reached to equilibrium after 60 min</w:t>
      </w:r>
      <w:r w:rsidR="00F81221">
        <w:rPr>
          <w:kern w:val="2"/>
        </w:rPr>
        <w:t xml:space="preserve"> and </w:t>
      </w:r>
      <w:r w:rsidRPr="00586CD8">
        <w:rPr>
          <w:kern w:val="2"/>
        </w:rPr>
        <w:t>after that a little change of chromium removal efficiency was observed. Higher chromium adsorption was observed at lower pHs,</w:t>
      </w:r>
      <w:r w:rsidR="00F81221">
        <w:rPr>
          <w:kern w:val="2"/>
        </w:rPr>
        <w:t xml:space="preserve"> and </w:t>
      </w:r>
      <w:r w:rsidRPr="00586CD8">
        <w:rPr>
          <w:kern w:val="2"/>
        </w:rPr>
        <w:t>maximum chromium removal (87.8%) obtained at pH of 2. The adsorption of chromium by wheat bran decreased at the higher initial chromium concentration</w:t>
      </w:r>
      <w:r w:rsidR="00F81221">
        <w:rPr>
          <w:kern w:val="2"/>
        </w:rPr>
        <w:t xml:space="preserve"> and </w:t>
      </w:r>
      <w:r w:rsidRPr="00586CD8">
        <w:rPr>
          <w:kern w:val="2"/>
        </w:rPr>
        <w:t>lower adsorbent doses. The obtained results showed that the adsorption of chromium(VI) by wheat bran follows Langmuir isotherm equation with a correlation coefficient equal to 0.997. In addition, the kinetics of the adsorption process follows the pseudo second-order kinetics model with a rate constant value of 0.131 g/mg.min The results indicate that wheat bran can be employed as a low cost alternative to commercial adsorbents in the removal of chromium(VI) from water</w:t>
      </w:r>
      <w:r w:rsidR="00F81221">
        <w:rPr>
          <w:kern w:val="2"/>
        </w:rPr>
        <w:t xml:space="preserve"> and </w:t>
      </w:r>
      <w:r w:rsidRPr="00586CD8">
        <w:rPr>
          <w:kern w:val="2"/>
        </w:rPr>
        <w:t>wastewater.</w:t>
      </w:r>
    </w:p>
    <w:p w:rsidR="00B95188" w:rsidRPr="00586CD8" w:rsidRDefault="00B95188" w:rsidP="00B95188">
      <w:pPr>
        <w:pStyle w:val="a0"/>
        <w:rPr>
          <w:kern w:val="2"/>
        </w:rPr>
      </w:pPr>
      <w:r w:rsidRPr="00586CD8">
        <w:rPr>
          <w:kern w:val="2"/>
        </w:rPr>
        <w:t xml:space="preserve">Keywords: Activated Carbon, Adsorbent, Adsorbent Dose, Adsorbents, Adsorption, Adsorption Isotherm, Alternative, Aqueous Solution, Aqueous Solutions, Batch Adsorption, Chromium, Cost, Efficiency, Equilibrium, Heavy Metals, Hexavalent Chromium, Isotherm, Kinetics, Kinetics Model, Langmuir, Langmuir Isotherm, Metal-Ions, Model, Natural Adsorbents, Nickel, </w:t>
      </w:r>
      <w:r w:rsidRPr="00586CD8">
        <w:rPr>
          <w:rFonts w:hint="eastAsia"/>
          <w:kern w:val="2"/>
        </w:rPr>
        <w:t>p</w:t>
      </w:r>
      <w:r w:rsidRPr="00586CD8">
        <w:rPr>
          <w:kern w:val="2"/>
        </w:rPr>
        <w:t xml:space="preserve">H, Pseudo Second-Order, Removal, </w:t>
      </w:r>
      <w:r w:rsidRPr="00586CD8">
        <w:rPr>
          <w:kern w:val="2"/>
        </w:rPr>
        <w:lastRenderedPageBreak/>
        <w:t>Removal Efficiency, Research, Second-Order Kinetics, Solution, Techniques, Treated Sawdust, Waste-Water, Wastewater, Water</w:t>
      </w:r>
    </w:p>
    <w:p w:rsidR="00775B77" w:rsidRDefault="00775B77" w:rsidP="00775B77">
      <w:pPr>
        <w:pStyle w:val="a0"/>
        <w:rPr>
          <w:kern w:val="0"/>
        </w:rPr>
      </w:pPr>
      <w:r>
        <w:rPr>
          <w:rFonts w:hint="eastAsia"/>
          <w:kern w:val="0"/>
        </w:rPr>
        <w:t xml:space="preserve">? </w:t>
      </w:r>
      <w:r>
        <w:rPr>
          <w:kern w:val="0"/>
        </w:rPr>
        <w:t>Malakootian, M., Almasi, A.</w:t>
      </w:r>
      <w:r w:rsidR="00F81221">
        <w:rPr>
          <w:kern w:val="0"/>
        </w:rPr>
        <w:t xml:space="preserve"> and </w:t>
      </w:r>
      <w:r>
        <w:rPr>
          <w:kern w:val="0"/>
        </w:rPr>
        <w:t>Hossaini, H. (2008), Pb</w:t>
      </w:r>
      <w:r w:rsidR="00F81221">
        <w:rPr>
          <w:kern w:val="0"/>
        </w:rPr>
        <w:t xml:space="preserve"> and </w:t>
      </w:r>
      <w:r>
        <w:rPr>
          <w:kern w:val="0"/>
        </w:rPr>
        <w:t xml:space="preserve">Co removal from paint industries effluent using wood ash.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5</w:t>
      </w:r>
      <w:r>
        <w:rPr>
          <w:kern w:val="0"/>
        </w:rPr>
        <w:t xml:space="preserve"> (2), 217-222.</w:t>
      </w:r>
    </w:p>
    <w:p w:rsidR="00775B77" w:rsidRPr="00F03D2F" w:rsidRDefault="00775B77" w:rsidP="00775B77">
      <w:pPr>
        <w:pStyle w:val="a0"/>
        <w:rPr>
          <w:kern w:val="0"/>
        </w:rPr>
      </w:pPr>
      <w:r w:rsidRPr="00F03D2F">
        <w:rPr>
          <w:kern w:val="0"/>
        </w:rPr>
        <w:t>Full Text:</w:t>
      </w:r>
      <w:r w:rsidRPr="00D7601C">
        <w:t xml:space="preserve"> </w:t>
      </w:r>
      <w:hyperlink r:id="rId1843" w:history="1">
        <w:r w:rsidRPr="00775B77">
          <w:rPr>
            <w:rStyle w:val="a5"/>
          </w:rPr>
          <w:t>2008\Int J Env Sci Tec5, 217.pdf</w:t>
        </w:r>
      </w:hyperlink>
    </w:p>
    <w:p w:rsidR="00775B77" w:rsidRDefault="00775B77" w:rsidP="00775B77">
      <w:pPr>
        <w:pStyle w:val="a0"/>
        <w:rPr>
          <w:kern w:val="0"/>
        </w:rPr>
      </w:pPr>
      <w:r>
        <w:rPr>
          <w:kern w:val="0"/>
        </w:rPr>
        <w:t>Abstract: The release of heavy metals into the environment is a worldwide major concern. Different studies have demonstrated that natural agents have a high removal capacity for divalent heavy metal ions. Wood ash is a natural adsorbent and, in comparison with others, has a very low price. In this study, the removal of heavy metals (Pb</w:t>
      </w:r>
      <w:r w:rsidR="00F81221">
        <w:rPr>
          <w:kern w:val="0"/>
        </w:rPr>
        <w:t xml:space="preserve"> and </w:t>
      </w:r>
      <w:r>
        <w:rPr>
          <w:kern w:val="0"/>
        </w:rPr>
        <w:t>Co) from Binalood paint industry (Kerman, Iran) effluent was investigated in batch condition. Pb</w:t>
      </w:r>
      <w:r w:rsidR="00F81221">
        <w:rPr>
          <w:kern w:val="0"/>
        </w:rPr>
        <w:t xml:space="preserve"> and </w:t>
      </w:r>
      <w:r>
        <w:rPr>
          <w:kern w:val="0"/>
        </w:rPr>
        <w:t>Co measurement in samples were done with atomic absorption equipment</w:t>
      </w:r>
      <w:r w:rsidR="00F81221">
        <w:rPr>
          <w:kern w:val="0"/>
        </w:rPr>
        <w:t xml:space="preserve"> and </w:t>
      </w:r>
      <w:r>
        <w:rPr>
          <w:kern w:val="0"/>
        </w:rPr>
        <w:t>test methods were adapted from standard methods for the examination of water</w:t>
      </w:r>
      <w:r w:rsidR="00F81221">
        <w:rPr>
          <w:kern w:val="0"/>
        </w:rPr>
        <w:t xml:space="preserve"> and </w:t>
      </w:r>
      <w:r>
        <w:rPr>
          <w:kern w:val="0"/>
        </w:rPr>
        <w:t>wastewater. The effect of pH</w:t>
      </w:r>
      <w:r w:rsidR="00F81221">
        <w:rPr>
          <w:kern w:val="0"/>
        </w:rPr>
        <w:t xml:space="preserve"> and </w:t>
      </w:r>
      <w:r>
        <w:rPr>
          <w:kern w:val="0"/>
        </w:rPr>
        <w:t>the amount of adsorbent was determined</w:t>
      </w:r>
      <w:r w:rsidR="00F81221">
        <w:rPr>
          <w:kern w:val="0"/>
        </w:rPr>
        <w:t xml:space="preserve"> and </w:t>
      </w:r>
      <w:r>
        <w:rPr>
          <w:kern w:val="0"/>
        </w:rPr>
        <w:t>different adsorption isotherms were also obtained. This study shows that the adsorption process follows the adsorption Langmuir isotherm. The amount of wood ash has a great role in the adsorption rate</w:t>
      </w:r>
      <w:r w:rsidR="00F81221">
        <w:rPr>
          <w:kern w:val="0"/>
        </w:rPr>
        <w:t xml:space="preserve"> and </w:t>
      </w:r>
      <w:r>
        <w:rPr>
          <w:kern w:val="0"/>
        </w:rPr>
        <w:t>adsorption rate increased as wood ash increased. In the study, the reactions reached equilibrium in 3 h contact time. The maximum Pb removal efficiency was 96.1% at pH 2 with a contact time of 3 h</w:t>
      </w:r>
      <w:r w:rsidR="00F81221">
        <w:rPr>
          <w:kern w:val="0"/>
        </w:rPr>
        <w:t xml:space="preserve"> and </w:t>
      </w:r>
      <w:r>
        <w:rPr>
          <w:kern w:val="0"/>
        </w:rPr>
        <w:t>100 g, L wood ash</w:t>
      </w:r>
      <w:r w:rsidR="00F81221">
        <w:rPr>
          <w:kern w:val="0"/>
        </w:rPr>
        <w:t xml:space="preserve"> and </w:t>
      </w:r>
      <w:r>
        <w:rPr>
          <w:kern w:val="0"/>
        </w:rPr>
        <w:t>the maximum Co removal efficiency was 99% at pH 2 with a contact time of 3 h</w:t>
      </w:r>
      <w:r w:rsidR="00F81221">
        <w:rPr>
          <w:kern w:val="0"/>
        </w:rPr>
        <w:t xml:space="preserve"> and </w:t>
      </w:r>
      <w:r>
        <w:rPr>
          <w:kern w:val="0"/>
        </w:rPr>
        <w:t>100 g, L wood ash. According to the results, wood ash is recommended as a low cost</w:t>
      </w:r>
      <w:r w:rsidR="00F81221">
        <w:rPr>
          <w:kern w:val="0"/>
        </w:rPr>
        <w:t xml:space="preserve"> and </w:t>
      </w:r>
      <w:r>
        <w:rPr>
          <w:kern w:val="0"/>
        </w:rPr>
        <w:t>available adsorbent to remove Pb</w:t>
      </w:r>
      <w:r w:rsidR="00F81221">
        <w:rPr>
          <w:kern w:val="0"/>
        </w:rPr>
        <w:t xml:space="preserve"> and </w:t>
      </w:r>
      <w:r>
        <w:rPr>
          <w:kern w:val="0"/>
        </w:rPr>
        <w:t>Co from municipal</w:t>
      </w:r>
      <w:r w:rsidR="00F81221">
        <w:rPr>
          <w:kern w:val="0"/>
        </w:rPr>
        <w:t xml:space="preserve"> and </w:t>
      </w:r>
      <w:r>
        <w:rPr>
          <w:kern w:val="0"/>
        </w:rPr>
        <w:t>industrial wastewaters.</w:t>
      </w:r>
    </w:p>
    <w:p w:rsidR="00775B77" w:rsidRDefault="00775B77" w:rsidP="00775B77">
      <w:pPr>
        <w:pStyle w:val="a0"/>
        <w:rPr>
          <w:kern w:val="0"/>
        </w:rPr>
      </w:pPr>
      <w:r>
        <w:rPr>
          <w:kern w:val="0"/>
        </w:rPr>
        <w:t xml:space="preserve">Keywords: Adsorbents, Adsorption, Adsorption, Adsorption Isotherms, Aqueous-Solutions, Batch, Bentonite, Contact Time, Copper, Equilibrium, Heavy Metal, Heavy Metals, Heavy-Metal, Industrial Wastewaters, Ions, Iran, Isotherm, Isotherms, Langmuir, Langmuir Isotherm, Metal Ions, Metal Removal, Pb(II), </w:t>
      </w:r>
      <w:r>
        <w:rPr>
          <w:rFonts w:hint="eastAsia"/>
          <w:kern w:val="0"/>
        </w:rPr>
        <w:t>p</w:t>
      </w:r>
      <w:r>
        <w:rPr>
          <w:kern w:val="0"/>
        </w:rPr>
        <w:t>H, Removal, Waste-Water, Wastewater, Wastewater Langmuir Isotherm, Water</w:t>
      </w:r>
    </w:p>
    <w:p w:rsidR="00775B77" w:rsidRDefault="00775B77" w:rsidP="00775B77">
      <w:pPr>
        <w:pStyle w:val="a0"/>
        <w:rPr>
          <w:kern w:val="0"/>
        </w:rPr>
      </w:pPr>
      <w:r>
        <w:rPr>
          <w:rFonts w:hint="eastAsia"/>
          <w:kern w:val="0"/>
        </w:rPr>
        <w:t xml:space="preserve">? </w:t>
      </w:r>
      <w:r>
        <w:rPr>
          <w:kern w:val="0"/>
        </w:rPr>
        <w:t>Hussein, M., Amer, A.A.</w:t>
      </w:r>
      <w:r w:rsidR="00F81221">
        <w:rPr>
          <w:kern w:val="0"/>
        </w:rPr>
        <w:t xml:space="preserve"> and </w:t>
      </w:r>
      <w:r>
        <w:rPr>
          <w:kern w:val="0"/>
        </w:rPr>
        <w:t xml:space="preserve">Sawsan, I.I. (2008), Oil spill sorption using carbonized pith bagasse: Trial for practical application.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5</w:t>
      </w:r>
      <w:r>
        <w:rPr>
          <w:kern w:val="0"/>
        </w:rPr>
        <w:t xml:space="preserve"> (2), 233-242.</w:t>
      </w:r>
    </w:p>
    <w:p w:rsidR="00775B77" w:rsidRPr="00F03D2F" w:rsidRDefault="00775B77" w:rsidP="00775B77">
      <w:pPr>
        <w:pStyle w:val="a0"/>
        <w:rPr>
          <w:kern w:val="0"/>
        </w:rPr>
      </w:pPr>
      <w:r w:rsidRPr="00F03D2F">
        <w:rPr>
          <w:kern w:val="0"/>
        </w:rPr>
        <w:t>Full Text:</w:t>
      </w:r>
      <w:r w:rsidRPr="00D7601C">
        <w:t xml:space="preserve"> </w:t>
      </w:r>
      <w:hyperlink r:id="rId1844" w:history="1">
        <w:r w:rsidRPr="00775B77">
          <w:rPr>
            <w:rStyle w:val="a5"/>
          </w:rPr>
          <w:t>2008\Int J Env Sci Tec5, 233.pdf</w:t>
        </w:r>
      </w:hyperlink>
    </w:p>
    <w:p w:rsidR="00775B77" w:rsidRDefault="00775B77" w:rsidP="00775B77">
      <w:pPr>
        <w:pStyle w:val="a0"/>
        <w:rPr>
          <w:kern w:val="0"/>
        </w:rPr>
      </w:pPr>
      <w:r>
        <w:rPr>
          <w:kern w:val="0"/>
        </w:rPr>
        <w:t>Abstract: in the present work, an attempt was made to provide an efficient, easily deployable method of cleaning up oil spills</w:t>
      </w:r>
      <w:r w:rsidR="00F81221">
        <w:rPr>
          <w:kern w:val="0"/>
        </w:rPr>
        <w:t xml:space="preserve"> and </w:t>
      </w:r>
      <w:r>
        <w:rPr>
          <w:kern w:val="0"/>
        </w:rPr>
        <w:t>recovering of the oil. Carbonized pith bagasse, a relatively abundant</w:t>
      </w:r>
      <w:r w:rsidR="00F81221">
        <w:rPr>
          <w:kern w:val="0"/>
        </w:rPr>
        <w:t xml:space="preserve"> and </w:t>
      </w:r>
      <w:r>
        <w:rPr>
          <w:kern w:val="0"/>
        </w:rPr>
        <w:t xml:space="preserve">inexpensive material is currently being investigated as an adsorbent to remove contaminants </w:t>
      </w:r>
      <w:r w:rsidR="000352E7">
        <w:rPr>
          <w:kern w:val="0"/>
        </w:rPr>
        <w:t>“</w:t>
      </w:r>
      <w:r>
        <w:rPr>
          <w:kern w:val="0"/>
        </w:rPr>
        <w:t>oil</w:t>
      </w:r>
      <w:r w:rsidR="000352E7">
        <w:rPr>
          <w:kern w:val="0"/>
        </w:rPr>
        <w:t>”</w:t>
      </w:r>
      <w:r>
        <w:rPr>
          <w:kern w:val="0"/>
        </w:rPr>
        <w:t xml:space="preserve"> from water. Fibers extracted from bagasse</w:t>
      </w:r>
      <w:r w:rsidR="00F81221">
        <w:rPr>
          <w:kern w:val="0"/>
        </w:rPr>
        <w:t xml:space="preserve"> and </w:t>
      </w:r>
      <w:r>
        <w:rPr>
          <w:kern w:val="0"/>
        </w:rPr>
        <w:t>carbonized at 300°C were found to have a high performance for sorption</w:t>
      </w:r>
      <w:r w:rsidR="00F81221">
        <w:rPr>
          <w:kern w:val="0"/>
        </w:rPr>
        <w:t xml:space="preserve"> and </w:t>
      </w:r>
      <w:r>
        <w:rPr>
          <w:kern w:val="0"/>
        </w:rPr>
        <w:t>recovery of light, heavy oils</w:t>
      </w:r>
      <w:r w:rsidR="00F81221">
        <w:rPr>
          <w:kern w:val="0"/>
        </w:rPr>
        <w:t xml:space="preserve"> and </w:t>
      </w:r>
      <w:r>
        <w:rPr>
          <w:kern w:val="0"/>
        </w:rPr>
        <w:t xml:space="preserve">even the viscous ones. The physical properties of pith bagasse were investigated using scanning electronic </w:t>
      </w:r>
      <w:r>
        <w:rPr>
          <w:kern w:val="0"/>
        </w:rPr>
        <w:lastRenderedPageBreak/>
        <w:t>microscope to show the inner</w:t>
      </w:r>
      <w:r w:rsidR="00F81221">
        <w:rPr>
          <w:kern w:val="0"/>
        </w:rPr>
        <w:t xml:space="preserve"> and </w:t>
      </w:r>
      <w:r>
        <w:rPr>
          <w:kern w:val="0"/>
        </w:rPr>
        <w:t>the outer surface</w:t>
      </w:r>
      <w:r w:rsidR="00F81221">
        <w:rPr>
          <w:kern w:val="0"/>
        </w:rPr>
        <w:t xml:space="preserve"> and </w:t>
      </w:r>
      <w:r>
        <w:rPr>
          <w:kern w:val="0"/>
        </w:rPr>
        <w:t>the cross section area of the pith bagasse</w:t>
      </w:r>
      <w:r w:rsidR="00F81221">
        <w:rPr>
          <w:kern w:val="0"/>
        </w:rPr>
        <w:t xml:space="preserve"> and </w:t>
      </w:r>
      <w:r>
        <w:rPr>
          <w:kern w:val="0"/>
        </w:rPr>
        <w:t>thermo gravimetric analyzer to investigate the degradation profile of the pith bagasse. The carbonized pith bagasse was packed into a polypropylene bag</w:t>
      </w:r>
      <w:r w:rsidR="00F81221">
        <w:rPr>
          <w:kern w:val="0"/>
        </w:rPr>
        <w:t xml:space="preserve"> and </w:t>
      </w:r>
      <w:r>
        <w:rPr>
          <w:kern w:val="0"/>
        </w:rPr>
        <w:t>its sorption behavior was studied. A comparison was made between the prepared pad</w:t>
      </w:r>
      <w:r w:rsidR="00F81221">
        <w:rPr>
          <w:kern w:val="0"/>
        </w:rPr>
        <w:t xml:space="preserve"> and </w:t>
      </w:r>
      <w:r>
        <w:rPr>
          <w:kern w:val="0"/>
        </w:rPr>
        <w:t>the commercial sorbents show that the pad containing carbonized pith bagasse has higher sorption capacity in comparison to the commercial sorbents. The pad exhibited high oil retention ability</w:t>
      </w:r>
      <w:r w:rsidR="00F81221">
        <w:rPr>
          <w:kern w:val="0"/>
        </w:rPr>
        <w:t xml:space="preserve"> and </w:t>
      </w:r>
      <w:r>
        <w:rPr>
          <w:kern w:val="0"/>
        </w:rPr>
        <w:t>a high selectivity for the oils over the water. The pad showed a possibility of reuse for eight times. The sorption capacity of the pads containing carbonized pith bagasse was found to increase with increasing the time of sorption till it reaches the maximum value at the time of sorption equal to 60 min.</w:t>
      </w:r>
    </w:p>
    <w:p w:rsidR="00775B77" w:rsidRDefault="00775B77" w:rsidP="00775B77">
      <w:pPr>
        <w:pStyle w:val="a0"/>
        <w:rPr>
          <w:kern w:val="0"/>
        </w:rPr>
      </w:pPr>
      <w:r>
        <w:rPr>
          <w:kern w:val="0"/>
        </w:rPr>
        <w:t>Keywords: Carbonfibers, Cleanup, Degradation, Fibers, Heavy Oils, Oil Recovery, Physical Properties, Recovery, Removal, Retention, Sorbent, Sorbents, Sorption, Straw, Water</w:t>
      </w:r>
    </w:p>
    <w:p w:rsidR="00775B77" w:rsidRDefault="00775B77" w:rsidP="00775B77">
      <w:pPr>
        <w:pStyle w:val="a0"/>
        <w:rPr>
          <w:kern w:val="0"/>
        </w:rPr>
      </w:pPr>
      <w:r>
        <w:rPr>
          <w:rFonts w:hint="eastAsia"/>
          <w:kern w:val="0"/>
        </w:rPr>
        <w:t xml:space="preserve">? </w:t>
      </w:r>
      <w:r>
        <w:rPr>
          <w:kern w:val="0"/>
        </w:rPr>
        <w:t xml:space="preserve">Mahvi, A.H. (2008), Application of agricultural fibers in pollution removal from aqueous solution.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5</w:t>
      </w:r>
      <w:r>
        <w:rPr>
          <w:kern w:val="0"/>
        </w:rPr>
        <w:t xml:space="preserve"> (2), 275-285.</w:t>
      </w:r>
    </w:p>
    <w:p w:rsidR="00775B77" w:rsidRPr="00F03D2F" w:rsidRDefault="00775B77" w:rsidP="00775B77">
      <w:pPr>
        <w:pStyle w:val="a0"/>
        <w:rPr>
          <w:kern w:val="0"/>
        </w:rPr>
      </w:pPr>
      <w:r w:rsidRPr="00F03D2F">
        <w:rPr>
          <w:kern w:val="0"/>
        </w:rPr>
        <w:t>Full Text:</w:t>
      </w:r>
      <w:r w:rsidRPr="00D7601C">
        <w:t xml:space="preserve"> </w:t>
      </w:r>
      <w:hyperlink r:id="rId1845" w:history="1">
        <w:r w:rsidRPr="00775B77">
          <w:rPr>
            <w:rStyle w:val="a5"/>
          </w:rPr>
          <w:t>2008\Int J Env Sci Tec5, 275.pdf</w:t>
        </w:r>
      </w:hyperlink>
    </w:p>
    <w:p w:rsidR="00775B77" w:rsidRDefault="00775B77" w:rsidP="00775B77">
      <w:pPr>
        <w:pStyle w:val="a0"/>
        <w:rPr>
          <w:kern w:val="0"/>
        </w:rPr>
      </w:pPr>
      <w:r>
        <w:rPr>
          <w:kern w:val="0"/>
        </w:rPr>
        <w:t>Abstract: Discharging different kinds of wastewater</w:t>
      </w:r>
      <w:r w:rsidR="00F81221">
        <w:rPr>
          <w:kern w:val="0"/>
        </w:rPr>
        <w:t xml:space="preserve"> and </w:t>
      </w:r>
      <w:r>
        <w:rPr>
          <w:kern w:val="0"/>
        </w:rPr>
        <w:t>polluted waters such as domestic, industrial</w:t>
      </w:r>
      <w:r w:rsidR="00F81221">
        <w:rPr>
          <w:kern w:val="0"/>
        </w:rPr>
        <w:t xml:space="preserve"> and </w:t>
      </w:r>
      <w:r>
        <w:rPr>
          <w:kern w:val="0"/>
        </w:rPr>
        <w:t>agricultural wastewaters into environment, especially to surface water, can cause heavy pollution of this body sources. With regard to increasing effluent discharge standards to the environment, high considerations should be made when selecting proper treatment processes. Any of chemical, biological</w:t>
      </w:r>
      <w:r w:rsidR="00F81221">
        <w:rPr>
          <w:kern w:val="0"/>
        </w:rPr>
        <w:t xml:space="preserve"> and </w:t>
      </w:r>
      <w:r>
        <w:rPr>
          <w:kern w:val="0"/>
        </w:rPr>
        <w:t>physical treatment processes have its own advantages</w:t>
      </w:r>
      <w:r w:rsidR="00F81221">
        <w:rPr>
          <w:kern w:val="0"/>
        </w:rPr>
        <w:t xml:space="preserve"> and </w:t>
      </w:r>
      <w:r>
        <w:rPr>
          <w:kern w:val="0"/>
        </w:rPr>
        <w:t>disadvantages. It should be kept in mind that economical aspects are important, too. In addition, employing environment-friendly methods for treatment is emphasized much more these days. Application of some waste products that could help in this regard, in addition to reuse of these waste materials, can be an advantage. Agricultural fibers are agricultural wastes</w:t>
      </w:r>
      <w:r w:rsidR="00F81221">
        <w:rPr>
          <w:kern w:val="0"/>
        </w:rPr>
        <w:t xml:space="preserve"> and </w:t>
      </w:r>
      <w:r>
        <w:rPr>
          <w:kern w:val="0"/>
        </w:rPr>
        <w:t>are generated in high amounts. The majority of such materials is generated in developing countries and, since they are very cheap, they can be employed as biosorbents in water</w:t>
      </w:r>
      <w:r w:rsidR="00F81221">
        <w:rPr>
          <w:kern w:val="0"/>
        </w:rPr>
        <w:t xml:space="preserve"> and </w:t>
      </w:r>
      <w:r>
        <w:rPr>
          <w:kern w:val="0"/>
        </w:rPr>
        <w:t>wastewater applications. Polluted surface waters, different wastewaters</w:t>
      </w:r>
      <w:r w:rsidR="00F81221">
        <w:rPr>
          <w:kern w:val="0"/>
        </w:rPr>
        <w:t xml:space="preserve"> and </w:t>
      </w:r>
      <w:r>
        <w:rPr>
          <w:kern w:val="0"/>
        </w:rPr>
        <w:t>partially treated wastewater may be contaminated by heavy metals or some organic matters</w:t>
      </w:r>
      <w:r w:rsidR="00F81221">
        <w:rPr>
          <w:kern w:val="0"/>
        </w:rPr>
        <w:t xml:space="preserve"> and </w:t>
      </w:r>
      <w:r>
        <w:rPr>
          <w:kern w:val="0"/>
        </w:rPr>
        <w:t>these waters should be treated to reduce pollution. The results of investigations show high efficiency of agricultural fibers in heavy metal</w:t>
      </w:r>
      <w:r w:rsidR="00F81221">
        <w:rPr>
          <w:kern w:val="0"/>
        </w:rPr>
        <w:t xml:space="preserve"> and </w:t>
      </w:r>
      <w:r>
        <w:rPr>
          <w:kern w:val="0"/>
        </w:rPr>
        <w:t>phenol removal. In this paper, some studies conducted by the author of this article</w:t>
      </w:r>
      <w:r w:rsidR="00F81221">
        <w:rPr>
          <w:kern w:val="0"/>
        </w:rPr>
        <w:t xml:space="preserve"> and </w:t>
      </w:r>
      <w:r>
        <w:rPr>
          <w:kern w:val="0"/>
        </w:rPr>
        <w:t>other investigators are reviewed.</w:t>
      </w:r>
    </w:p>
    <w:p w:rsidR="00775B77" w:rsidRDefault="00775B77" w:rsidP="00775B77">
      <w:pPr>
        <w:pStyle w:val="a0"/>
        <w:rPr>
          <w:kern w:val="0"/>
        </w:rPr>
      </w:pPr>
      <w:r>
        <w:rPr>
          <w:kern w:val="0"/>
        </w:rPr>
        <w:t xml:space="preserve">Keywords: Activated Carbon, Adsorption, Adsorption, Aqueous Solutions, Author, Biosorption, By-Products, Cadmium Removal, Heavy Metal, Heavy Metals, </w:t>
      </w:r>
      <w:r>
        <w:rPr>
          <w:kern w:val="0"/>
        </w:rPr>
        <w:lastRenderedPageBreak/>
        <w:t>Heavy-Metal Biosorption, Industrial Effluents, Industrial Waste-Water, Oxidation Processes, Phenol, Photocatalytic Degradation, Pollution, Removal, Rice Husk, Sargassum sp, Treatment, Wastewater, Water</w:t>
      </w:r>
    </w:p>
    <w:p w:rsidR="004356BD" w:rsidRDefault="004356BD" w:rsidP="004356BD">
      <w:pPr>
        <w:pStyle w:val="a0"/>
        <w:rPr>
          <w:kern w:val="0"/>
        </w:rPr>
      </w:pPr>
      <w:r>
        <w:rPr>
          <w:rFonts w:hint="eastAsia"/>
          <w:kern w:val="0"/>
        </w:rPr>
        <w:t xml:space="preserve">? </w:t>
      </w:r>
      <w:r w:rsidRPr="004356BD">
        <w:rPr>
          <w:kern w:val="0"/>
        </w:rPr>
        <w:t>Nwuche, C</w:t>
      </w:r>
      <w:r>
        <w:rPr>
          <w:rFonts w:hint="eastAsia"/>
          <w:kern w:val="0"/>
        </w:rPr>
        <w:t>.</w:t>
      </w:r>
      <w:r w:rsidRPr="004356BD">
        <w:rPr>
          <w:kern w:val="0"/>
        </w:rPr>
        <w:t>O</w:t>
      </w:r>
      <w:r>
        <w:rPr>
          <w:rFonts w:hint="eastAsia"/>
          <w:kern w:val="0"/>
        </w:rPr>
        <w:t>. and</w:t>
      </w:r>
      <w:r w:rsidRPr="004356BD">
        <w:rPr>
          <w:kern w:val="0"/>
        </w:rPr>
        <w:t xml:space="preserve"> Ugoji, E</w:t>
      </w:r>
      <w:r>
        <w:rPr>
          <w:rFonts w:hint="eastAsia"/>
          <w:kern w:val="0"/>
        </w:rPr>
        <w:t>.</w:t>
      </w:r>
      <w:r w:rsidRPr="004356BD">
        <w:rPr>
          <w:kern w:val="0"/>
        </w:rPr>
        <w:t>O</w:t>
      </w:r>
      <w:r>
        <w:rPr>
          <w:rFonts w:hint="eastAsia"/>
          <w:kern w:val="0"/>
        </w:rPr>
        <w:t>.</w:t>
      </w:r>
      <w:r>
        <w:rPr>
          <w:kern w:val="0"/>
        </w:rPr>
        <w:t xml:space="preserve"> (2008), </w:t>
      </w:r>
      <w:r w:rsidRPr="004356BD">
        <w:rPr>
          <w:kern w:val="0"/>
        </w:rPr>
        <w:t>Effects of heavy metal pollution on the soil microbial activity</w:t>
      </w:r>
      <w:r>
        <w:rPr>
          <w:kern w:val="0"/>
        </w:rPr>
        <w:t xml:space="preserve">. </w:t>
      </w:r>
      <w:r>
        <w:rPr>
          <w:i/>
          <w:iCs/>
          <w:kern w:val="0"/>
        </w:rPr>
        <w:t>International Journal of Environmental Science and Technology</w:t>
      </w:r>
      <w:r>
        <w:rPr>
          <w:kern w:val="0"/>
        </w:rPr>
        <w:t xml:space="preserve">, </w:t>
      </w:r>
      <w:r>
        <w:rPr>
          <w:b/>
          <w:bCs/>
          <w:kern w:val="0"/>
        </w:rPr>
        <w:t>5</w:t>
      </w:r>
      <w:r>
        <w:rPr>
          <w:kern w:val="0"/>
        </w:rPr>
        <w:t xml:space="preserve"> (</w:t>
      </w:r>
      <w:r>
        <w:rPr>
          <w:rFonts w:hint="eastAsia"/>
          <w:kern w:val="0"/>
        </w:rPr>
        <w:t>3</w:t>
      </w:r>
      <w:r>
        <w:rPr>
          <w:kern w:val="0"/>
        </w:rPr>
        <w:t xml:space="preserve">), </w:t>
      </w:r>
      <w:r w:rsidRPr="004356BD">
        <w:rPr>
          <w:kern w:val="0"/>
        </w:rPr>
        <w:t>409-414</w:t>
      </w:r>
      <w:r>
        <w:rPr>
          <w:kern w:val="0"/>
        </w:rPr>
        <w:t>.</w:t>
      </w:r>
    </w:p>
    <w:p w:rsidR="004356BD" w:rsidRDefault="004356BD" w:rsidP="004356BD">
      <w:pPr>
        <w:pStyle w:val="a0"/>
        <w:rPr>
          <w:kern w:val="0"/>
        </w:rPr>
      </w:pPr>
      <w:r w:rsidRPr="00F03D2F">
        <w:rPr>
          <w:kern w:val="0"/>
        </w:rPr>
        <w:t>Full Text:</w:t>
      </w:r>
      <w:r w:rsidRPr="00D7601C">
        <w:t xml:space="preserve"> </w:t>
      </w:r>
      <w:hyperlink r:id="rId1846" w:history="1">
        <w:r w:rsidRPr="004356BD">
          <w:rPr>
            <w:rStyle w:val="a5"/>
          </w:rPr>
          <w:t>2008\Int J Env Sci Tec5, 409.pdf</w:t>
        </w:r>
      </w:hyperlink>
    </w:p>
    <w:p w:rsidR="004356BD" w:rsidRPr="004356BD" w:rsidRDefault="004356BD" w:rsidP="004356BD">
      <w:pPr>
        <w:pStyle w:val="a0"/>
        <w:rPr>
          <w:kern w:val="0"/>
        </w:rPr>
      </w:pPr>
      <w:r w:rsidRPr="004356BD">
        <w:rPr>
          <w:kern w:val="0"/>
        </w:rPr>
        <w:t>Abstract: The effects of heavy metals on soil microbial processes were investigated over a period of six weeks. Analytical grade (Sigma) sulphate salts of copper, zinc and nickel were added individually and in combinations to soil samples and incubated in different plastic pots. Samples were taken from the pots forthnightly and the rates of microbial carbon and nitrogen mineralization, microbial biomass carbon and respiration were measured. The results showed the effect of metals on the measured parameters were significant (P&lt;0.05.). By the 6(th) week postreatment, the rates of carbon accumulated were high in the copper (6.03%) and copper:zinc (5.80%) treatments but low in the nickel and zinc (4.93% and 5.02% respectively). The rates of nitrogen mineralization were 0.41 and 0.44% in samples treated with copper and copper:zinc compared to 0.22%-0.24% obtained at the beginning of the experiments. Soil microbial biomass carbon declined from average value of 183.7-185.6 mu g/g before treatment to as low as 100.8 and 124.6 mu g/g in samples treated with copper:zinc and copper respectively. The rate of respiration of the soil microbial populations was equally inhibited by the metals. From an average rate of 2.51-2.56 mu g of C/g respiration of the soil microbes declined to 0.98, 1.08 and 1.61 mu g of C/g in the copper:zinc, copper and zinc treated soils by the end of the experiment. The results suggest additive or syne</w:t>
      </w:r>
      <w:r>
        <w:rPr>
          <w:kern w:val="0"/>
        </w:rPr>
        <w:t>rgistic effects of the metals.</w:t>
      </w:r>
    </w:p>
    <w:p w:rsidR="004356BD" w:rsidRPr="00F03D2F" w:rsidRDefault="004356BD" w:rsidP="004356BD">
      <w:pPr>
        <w:pStyle w:val="a0"/>
        <w:rPr>
          <w:kern w:val="0"/>
        </w:rPr>
      </w:pPr>
      <w:r w:rsidRPr="004356BD">
        <w:rPr>
          <w:kern w:val="0"/>
        </w:rPr>
        <w:t>Keywords: Mineralization</w:t>
      </w:r>
      <w:r>
        <w:rPr>
          <w:kern w:val="0"/>
        </w:rPr>
        <w:t>,</w:t>
      </w:r>
      <w:r w:rsidRPr="004356BD">
        <w:rPr>
          <w:kern w:val="0"/>
        </w:rPr>
        <w:t xml:space="preserve"> Microbial Biomass Carbon</w:t>
      </w:r>
      <w:r>
        <w:rPr>
          <w:kern w:val="0"/>
        </w:rPr>
        <w:t>,</w:t>
      </w:r>
      <w:r w:rsidRPr="004356BD">
        <w:rPr>
          <w:kern w:val="0"/>
        </w:rPr>
        <w:t xml:space="preserve"> Additive</w:t>
      </w:r>
      <w:r>
        <w:rPr>
          <w:kern w:val="0"/>
        </w:rPr>
        <w:t>,</w:t>
      </w:r>
      <w:r w:rsidRPr="004356BD">
        <w:rPr>
          <w:kern w:val="0"/>
        </w:rPr>
        <w:t xml:space="preserve"> Synergistic</w:t>
      </w:r>
      <w:r>
        <w:rPr>
          <w:kern w:val="0"/>
        </w:rPr>
        <w:t>,</w:t>
      </w:r>
      <w:r w:rsidRPr="004356BD">
        <w:rPr>
          <w:kern w:val="0"/>
        </w:rPr>
        <w:t xml:space="preserve"> Heavy Metals</w:t>
      </w:r>
      <w:r>
        <w:rPr>
          <w:kern w:val="0"/>
        </w:rPr>
        <w:t>,</w:t>
      </w:r>
      <w:r w:rsidRPr="004356BD">
        <w:rPr>
          <w:kern w:val="0"/>
        </w:rPr>
        <w:t xml:space="preserve"> Thymidine Incorporation</w:t>
      </w:r>
      <w:r>
        <w:rPr>
          <w:kern w:val="0"/>
        </w:rPr>
        <w:t>,</w:t>
      </w:r>
      <w:r w:rsidRPr="004356BD">
        <w:rPr>
          <w:kern w:val="0"/>
        </w:rPr>
        <w:t xml:space="preserve"> Bacterial Communities</w:t>
      </w:r>
      <w:r>
        <w:rPr>
          <w:kern w:val="0"/>
        </w:rPr>
        <w:t>,</w:t>
      </w:r>
      <w:r w:rsidRPr="004356BD">
        <w:rPr>
          <w:kern w:val="0"/>
        </w:rPr>
        <w:t xml:space="preserve"> Forest Soils</w:t>
      </w:r>
      <w:r>
        <w:rPr>
          <w:kern w:val="0"/>
        </w:rPr>
        <w:t>,</w:t>
      </w:r>
      <w:r w:rsidRPr="004356BD">
        <w:rPr>
          <w:kern w:val="0"/>
        </w:rPr>
        <w:t xml:space="preserve"> Homogenization Centrifugation</w:t>
      </w:r>
      <w:r>
        <w:rPr>
          <w:kern w:val="0"/>
        </w:rPr>
        <w:t>,</w:t>
      </w:r>
      <w:r w:rsidRPr="004356BD">
        <w:rPr>
          <w:kern w:val="0"/>
        </w:rPr>
        <w:t xml:space="preserve"> Organic-Matter</w:t>
      </w:r>
      <w:r>
        <w:rPr>
          <w:kern w:val="0"/>
        </w:rPr>
        <w:t>,</w:t>
      </w:r>
      <w:r w:rsidRPr="004356BD">
        <w:rPr>
          <w:kern w:val="0"/>
        </w:rPr>
        <w:t xml:space="preserve"> Tolerance</w:t>
      </w:r>
      <w:r>
        <w:rPr>
          <w:kern w:val="0"/>
        </w:rPr>
        <w:t>,</w:t>
      </w:r>
      <w:r w:rsidRPr="004356BD">
        <w:rPr>
          <w:kern w:val="0"/>
        </w:rPr>
        <w:t xml:space="preserve"> Copp</w:t>
      </w:r>
      <w:r>
        <w:rPr>
          <w:kern w:val="0"/>
        </w:rPr>
        <w:t>er, Zinc, Biomass, Remediation</w:t>
      </w:r>
    </w:p>
    <w:p w:rsidR="004356BD" w:rsidRDefault="004356BD" w:rsidP="004356BD">
      <w:pPr>
        <w:pStyle w:val="a0"/>
        <w:rPr>
          <w:kern w:val="0"/>
        </w:rPr>
      </w:pPr>
      <w:r>
        <w:rPr>
          <w:rFonts w:hint="eastAsia"/>
          <w:kern w:val="0"/>
        </w:rPr>
        <w:t xml:space="preserve">? </w:t>
      </w:r>
      <w:r>
        <w:rPr>
          <w:kern w:val="0"/>
        </w:rPr>
        <w:t xml:space="preserve">Ben Hamissa, A.M., Ncibi, M.C., Malijoub, B. and Seffen, M. (2008), Biosorption of metal dye from aqueous solution onto Agave americana (L.) fibres. </w:t>
      </w:r>
      <w:r>
        <w:rPr>
          <w:i/>
          <w:iCs/>
          <w:kern w:val="0"/>
        </w:rPr>
        <w:t>International Journal of Environmental Science and Technology</w:t>
      </w:r>
      <w:r>
        <w:rPr>
          <w:kern w:val="0"/>
        </w:rPr>
        <w:t xml:space="preserve">, </w:t>
      </w:r>
      <w:r>
        <w:rPr>
          <w:b/>
          <w:bCs/>
          <w:kern w:val="0"/>
        </w:rPr>
        <w:t>5</w:t>
      </w:r>
      <w:r>
        <w:rPr>
          <w:kern w:val="0"/>
        </w:rPr>
        <w:t xml:space="preserve"> (4), 501-508.</w:t>
      </w:r>
    </w:p>
    <w:p w:rsidR="004356BD" w:rsidRPr="00F03D2F" w:rsidRDefault="004356BD" w:rsidP="004356BD">
      <w:pPr>
        <w:pStyle w:val="a0"/>
        <w:rPr>
          <w:kern w:val="0"/>
        </w:rPr>
      </w:pPr>
      <w:r w:rsidRPr="00F03D2F">
        <w:rPr>
          <w:kern w:val="0"/>
        </w:rPr>
        <w:t>Full Text:</w:t>
      </w:r>
      <w:r w:rsidRPr="00D7601C">
        <w:t xml:space="preserve"> </w:t>
      </w:r>
      <w:hyperlink r:id="rId1847" w:history="1">
        <w:r w:rsidRPr="005B02A3">
          <w:rPr>
            <w:rStyle w:val="a5"/>
          </w:rPr>
          <w:t>2008\Int J Env Sci Tec5, 501.pdf</w:t>
        </w:r>
      </w:hyperlink>
    </w:p>
    <w:p w:rsidR="005B02A3" w:rsidRDefault="005B02A3" w:rsidP="005B02A3">
      <w:pPr>
        <w:pStyle w:val="a0"/>
        <w:rPr>
          <w:kern w:val="0"/>
        </w:rPr>
      </w:pPr>
      <w:r>
        <w:rPr>
          <w:kern w:val="0"/>
        </w:rPr>
        <w:t>Abstract: remove metal dye (Alpacide yellow) from aqueous solutions. In order to optimize the biosorption process, the effect of pH, temperature, contact time</w:t>
      </w:r>
      <w:r w:rsidR="00F81221">
        <w:rPr>
          <w:kern w:val="0"/>
        </w:rPr>
        <w:t xml:space="preserve"> and </w:t>
      </w:r>
      <w:r>
        <w:rPr>
          <w:kern w:val="0"/>
        </w:rPr>
        <w:t xml:space="preserve">initial solution concentration was investigated in batch system. The results indicated that acidic pH=2 was favourable for metal dye removal. The increase of temperature increases the velocity of the biosorption reaction. The biosorption kinetics of alpacide yellow were closer to the pseudo-second order than to the first order model </w:t>
      </w:r>
      <w:r>
        <w:rPr>
          <w:kern w:val="0"/>
        </w:rPr>
        <w:lastRenderedPageBreak/>
        <w:t>for all concentrations</w:t>
      </w:r>
      <w:r w:rsidR="00F81221">
        <w:rPr>
          <w:kern w:val="0"/>
        </w:rPr>
        <w:t xml:space="preserve"> and </w:t>
      </w:r>
      <w:r>
        <w:rPr>
          <w:kern w:val="0"/>
        </w:rPr>
        <w:t xml:space="preserve">temperature. The calculated thermodynamic parameters such as </w:t>
      </w:r>
      <w:r>
        <w:rPr>
          <w:kern w:val="0"/>
        </w:rPr>
        <w:sym w:font="Symbol" w:char="F044"/>
      </w:r>
      <w:r>
        <w:rPr>
          <w:kern w:val="0"/>
        </w:rPr>
        <w:t>G°</w:t>
      </w:r>
      <w:r>
        <w:rPr>
          <w:rFonts w:hint="eastAsia"/>
          <w:kern w:val="0"/>
        </w:rPr>
        <w:t>,</w:t>
      </w:r>
      <w:r>
        <w:rPr>
          <w:kern w:val="0"/>
        </w:rPr>
        <w:t xml:space="preserve"> </w:t>
      </w:r>
      <w:r>
        <w:rPr>
          <w:kern w:val="0"/>
        </w:rPr>
        <w:sym w:font="Symbol" w:char="F044"/>
      </w:r>
      <w:r>
        <w:rPr>
          <w:kern w:val="0"/>
        </w:rPr>
        <w:t>H°</w:t>
      </w:r>
      <w:r w:rsidR="00F81221">
        <w:rPr>
          <w:kern w:val="0"/>
        </w:rPr>
        <w:t xml:space="preserve"> and </w:t>
      </w:r>
      <w:r>
        <w:rPr>
          <w:kern w:val="0"/>
        </w:rPr>
        <w:sym w:font="Symbol" w:char="F044"/>
      </w:r>
      <w:r>
        <w:rPr>
          <w:kern w:val="0"/>
        </w:rPr>
        <w:t>S° indicated a spontaneous</w:t>
      </w:r>
      <w:r w:rsidR="00F81221">
        <w:rPr>
          <w:kern w:val="0"/>
        </w:rPr>
        <w:t xml:space="preserve"> and </w:t>
      </w:r>
      <w:r>
        <w:rPr>
          <w:kern w:val="0"/>
        </w:rPr>
        <w:t>endothermic biosorption process of metal dye onto Agave americana Fibres. The equilibrium data were analysed using the Langmuir</w:t>
      </w:r>
      <w:r w:rsidR="00F81221">
        <w:rPr>
          <w:kern w:val="0"/>
        </w:rPr>
        <w:t xml:space="preserve"> and </w:t>
      </w:r>
      <w:r>
        <w:rPr>
          <w:kern w:val="0"/>
        </w:rPr>
        <w:t>Freundlich isotherms</w:t>
      </w:r>
      <w:r w:rsidR="00F81221">
        <w:rPr>
          <w:kern w:val="0"/>
        </w:rPr>
        <w:t xml:space="preserve"> and </w:t>
      </w:r>
      <w:r>
        <w:rPr>
          <w:kern w:val="0"/>
        </w:rPr>
        <w:t>showed a good fit with Langmuir model at lower temperatures</w:t>
      </w:r>
      <w:r w:rsidR="00F81221">
        <w:rPr>
          <w:kern w:val="0"/>
        </w:rPr>
        <w:t xml:space="preserve"> and </w:t>
      </w:r>
      <w:r>
        <w:rPr>
          <w:kern w:val="0"/>
        </w:rPr>
        <w:t>with Freundlich model at 50°C.</w:t>
      </w:r>
    </w:p>
    <w:p w:rsidR="005B02A3" w:rsidRDefault="005B02A3" w:rsidP="005B02A3">
      <w:pPr>
        <w:pStyle w:val="a0"/>
        <w:rPr>
          <w:kern w:val="0"/>
        </w:rPr>
      </w:pPr>
      <w:r>
        <w:rPr>
          <w:kern w:val="0"/>
        </w:rPr>
        <w:t>Keywords: Activated Carbon, Adsorption, Batch, Biosorption, Cellulosic Biomass, Contact Time, Dyes, Equilibrium, Freundlich, Isotherms, Kinetics, Kinetics, Langmuir, Langmuir Model, Methylene-Blue Biosorption, Modeling, Pine Sawdust, Pseudo-Second Order, Reactive Dye, Removal, Rice Husk, Sorption, Waste-Water</w:t>
      </w:r>
    </w:p>
    <w:p w:rsidR="00320B81" w:rsidRDefault="00320B81" w:rsidP="00320B81">
      <w:pPr>
        <w:pStyle w:val="a0"/>
        <w:rPr>
          <w:kern w:val="0"/>
        </w:rPr>
      </w:pPr>
      <w:r>
        <w:rPr>
          <w:rFonts w:hint="eastAsia"/>
          <w:kern w:val="0"/>
        </w:rPr>
        <w:t xml:space="preserve">? </w:t>
      </w:r>
      <w:r>
        <w:rPr>
          <w:kern w:val="0"/>
        </w:rPr>
        <w:t>Shah, B.A., Shah, A.V.</w:t>
      </w:r>
      <w:r w:rsidR="00F81221">
        <w:rPr>
          <w:kern w:val="0"/>
        </w:rPr>
        <w:t xml:space="preserve"> and </w:t>
      </w:r>
      <w:r>
        <w:rPr>
          <w:kern w:val="0"/>
        </w:rPr>
        <w:t>Singh, R.R. (2009), Sorption isotherms</w:t>
      </w:r>
      <w:r w:rsidR="00F81221">
        <w:rPr>
          <w:kern w:val="0"/>
        </w:rPr>
        <w:t xml:space="preserve"> and </w:t>
      </w:r>
      <w:r>
        <w:rPr>
          <w:kern w:val="0"/>
        </w:rPr>
        <w:t xml:space="preserve">kinetics of chromium uptake from wastewater using natural sorbent material.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(1), 77-90.</w:t>
      </w:r>
    </w:p>
    <w:p w:rsidR="00320B81" w:rsidRPr="00F03D2F" w:rsidRDefault="00320B81" w:rsidP="00320B81">
      <w:pPr>
        <w:pStyle w:val="a0"/>
        <w:rPr>
          <w:kern w:val="0"/>
        </w:rPr>
      </w:pPr>
      <w:r w:rsidRPr="00F03D2F">
        <w:rPr>
          <w:kern w:val="0"/>
        </w:rPr>
        <w:t>Full Text:</w:t>
      </w:r>
      <w:r w:rsidRPr="00D7601C">
        <w:t xml:space="preserve"> </w:t>
      </w:r>
      <w:hyperlink r:id="rId1848" w:history="1">
        <w:r w:rsidRPr="00320B81">
          <w:rPr>
            <w:rStyle w:val="a5"/>
          </w:rPr>
          <w:t>2009\Int J Env Sci Tec6, 77.pdf</w:t>
        </w:r>
      </w:hyperlink>
    </w:p>
    <w:p w:rsidR="00320B81" w:rsidRDefault="00320B81" w:rsidP="00320B81">
      <w:pPr>
        <w:pStyle w:val="a0"/>
        <w:rPr>
          <w:kern w:val="0"/>
        </w:rPr>
      </w:pPr>
      <w:r>
        <w:rPr>
          <w:kern w:val="0"/>
        </w:rPr>
        <w:t>Abstract: Chromium(VI) which exists in many industrial wastewater is considered highly toxic. The aim of the present investigation was to study the reduction of chromium(VI) to chromium(III)</w:t>
      </w:r>
      <w:r w:rsidR="00F81221">
        <w:rPr>
          <w:kern w:val="0"/>
        </w:rPr>
        <w:t xml:space="preserve"> and </w:t>
      </w:r>
      <w:r>
        <w:rPr>
          <w:kern w:val="0"/>
        </w:rPr>
        <w:t>then removing it with the help of weathered basalt andesite products. Reduction of the chromium(VI) to chromium(III) by hydrazinium sulfate was investigated. The influence of hydronium ion concentration, contact time, hydrazinium sulphate dosage</w:t>
      </w:r>
      <w:r w:rsidR="00F81221">
        <w:rPr>
          <w:kern w:val="0"/>
        </w:rPr>
        <w:t xml:space="preserve"> and </w:t>
      </w:r>
      <w:r>
        <w:rPr>
          <w:kern w:val="0"/>
        </w:rPr>
        <w:t>temperature has been tested in batch runs. The process was found to be acid, temperature</w:t>
      </w:r>
      <w:r w:rsidR="00F81221">
        <w:rPr>
          <w:kern w:val="0"/>
        </w:rPr>
        <w:t xml:space="preserve"> and </w:t>
      </w:r>
      <w:r>
        <w:rPr>
          <w:kern w:val="0"/>
        </w:rPr>
        <w:t>concentration dependent. The suitability of weathered basalt andesite products as a potential sorbent was assessed for the removal of chromium(III) following batch mode of operation. The effect of various parameters such as hydronium ion concentration, shaking time, sorbent dose, initial metal ion concentration</w:t>
      </w:r>
      <w:r w:rsidR="00F81221">
        <w:rPr>
          <w:kern w:val="0"/>
        </w:rPr>
        <w:t xml:space="preserve"> and </w:t>
      </w:r>
      <w:r>
        <w:rPr>
          <w:kern w:val="0"/>
        </w:rPr>
        <w:t>temperature on the removal of chromium(III) front aqueous solution was studied. Thermodynamic parameters (</w:t>
      </w:r>
      <w:r>
        <w:rPr>
          <w:kern w:val="0"/>
        </w:rPr>
        <w:sym w:font="Symbol" w:char="F044"/>
      </w:r>
      <w:r>
        <w:rPr>
          <w:kern w:val="0"/>
        </w:rPr>
        <w:t xml:space="preserve">H°, </w:t>
      </w:r>
      <w:r>
        <w:rPr>
          <w:kern w:val="0"/>
        </w:rPr>
        <w:sym w:font="Symbol" w:char="F044"/>
      </w:r>
      <w:r>
        <w:rPr>
          <w:kern w:val="0"/>
        </w:rPr>
        <w:t>S°</w:t>
      </w:r>
      <w:r w:rsidR="00F81221">
        <w:rPr>
          <w:kern w:val="0"/>
        </w:rPr>
        <w:t xml:space="preserve"> and </w:t>
      </w:r>
      <w:r>
        <w:rPr>
          <w:kern w:val="0"/>
        </w:rPr>
        <w:sym w:font="Symbol" w:char="F044"/>
      </w:r>
      <w:r>
        <w:rPr>
          <w:kern w:val="0"/>
        </w:rPr>
        <w:t>G°) for the sorption process were evaluated. Analysis of sorption obtained results showed that the sorption pattern followed the Freundlich, Langmuir</w:t>
      </w:r>
      <w:r w:rsidR="00F81221">
        <w:rPr>
          <w:kern w:val="0"/>
        </w:rPr>
        <w:t xml:space="preserve"> and </w:t>
      </w:r>
      <w:r>
        <w:rPr>
          <w:kern w:val="0"/>
        </w:rPr>
        <w:t>Dubinin-Kaganer-Radushkevich isotherms. The process Follows pseudo second order rate</w:t>
      </w:r>
      <w:r w:rsidR="00F81221">
        <w:rPr>
          <w:kern w:val="0"/>
        </w:rPr>
        <w:t xml:space="preserve"> and </w:t>
      </w:r>
      <w:r>
        <w:rPr>
          <w:kern w:val="0"/>
        </w:rPr>
        <w:t>surface diffusion is identified as the predominating mechanism. The sorption process was shown to be reversible by the recovery of sorbed chromium(III) upon extraction with 0.5 M nitric acid. The sorbent, before</w:t>
      </w:r>
      <w:r w:rsidR="00F81221">
        <w:rPr>
          <w:kern w:val="0"/>
        </w:rPr>
        <w:t xml:space="preserve"> and </w:t>
      </w:r>
      <w:r>
        <w:rPr>
          <w:kern w:val="0"/>
        </w:rPr>
        <w:t>after sorption, was characterized by fourier transform infrared spectrometer, X-ray diffraction, scanning electron microscope, transmision electron microscope</w:t>
      </w:r>
      <w:r w:rsidR="00F81221">
        <w:rPr>
          <w:kern w:val="0"/>
        </w:rPr>
        <w:t xml:space="preserve"> and </w:t>
      </w:r>
      <w:r>
        <w:rPr>
          <w:kern w:val="0"/>
        </w:rPr>
        <w:t>thermogravimetric analyse methodes. An increase in crystallanity after sorption of chromium was observed. An industrial effluent was successfully treated with the same sorbent with convincing results.</w:t>
      </w:r>
    </w:p>
    <w:p w:rsidR="00320B81" w:rsidRDefault="00320B81" w:rsidP="00320B81">
      <w:pPr>
        <w:pStyle w:val="a0"/>
        <w:rPr>
          <w:kern w:val="0"/>
        </w:rPr>
      </w:pPr>
      <w:r>
        <w:rPr>
          <w:kern w:val="0"/>
        </w:rPr>
        <w:t xml:space="preserve">Keywords: Adsorption, Aqueous-Solutions, Batch, Batch Mode, Chelating Resin, Chromate Removal, Chromium, Contact Time, Cr(III), Diffusion, Freundlich, Hexavalent Chromium, Hydrazinium Sulfate, Iron, Isotherms, Kinetics, Langmuir, </w:t>
      </w:r>
      <w:r>
        <w:rPr>
          <w:kern w:val="0"/>
        </w:rPr>
        <w:lastRenderedPageBreak/>
        <w:t>Metal-Ions, Montmorillonite, Reduction, Reduction of Chromium(VI), Removal, Sorbent, Sorption, Thermodynamic, Thermodynamic Parameters, Wastewater, Weathered Basalt Andesite Products</w:t>
      </w:r>
    </w:p>
    <w:p w:rsidR="00B461D4" w:rsidRDefault="00B461D4" w:rsidP="00B461D4">
      <w:pPr>
        <w:pStyle w:val="a0"/>
        <w:rPr>
          <w:kern w:val="0"/>
        </w:rPr>
      </w:pPr>
      <w:r>
        <w:rPr>
          <w:rFonts w:hint="eastAsia"/>
          <w:kern w:val="0"/>
        </w:rPr>
        <w:t xml:space="preserve">? </w:t>
      </w:r>
      <w:r>
        <w:rPr>
          <w:kern w:val="0"/>
        </w:rPr>
        <w:t>Malakootian, M., Nouri, J.</w:t>
      </w:r>
      <w:r w:rsidR="00F81221">
        <w:rPr>
          <w:kern w:val="0"/>
        </w:rPr>
        <w:t xml:space="preserve"> and </w:t>
      </w:r>
      <w:r>
        <w:rPr>
          <w:kern w:val="0"/>
        </w:rPr>
        <w:t>Hossaini, H. (2009), Removal of heavy metals from paint industry</w:t>
      </w:r>
      <w:r w:rsidR="000352E7">
        <w:rPr>
          <w:kern w:val="0"/>
        </w:rPr>
        <w:t>’</w:t>
      </w:r>
      <w:r>
        <w:rPr>
          <w:kern w:val="0"/>
        </w:rPr>
        <w:t xml:space="preserve">s wastewater using Leca as an available adsorbent.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(2), 183-190.</w:t>
      </w:r>
    </w:p>
    <w:p w:rsidR="00B461D4" w:rsidRPr="00F03D2F" w:rsidRDefault="00B461D4" w:rsidP="00B461D4">
      <w:pPr>
        <w:pStyle w:val="a0"/>
        <w:rPr>
          <w:kern w:val="0"/>
        </w:rPr>
      </w:pPr>
      <w:r w:rsidRPr="00F03D2F">
        <w:rPr>
          <w:kern w:val="0"/>
        </w:rPr>
        <w:t>Full Text:</w:t>
      </w:r>
      <w:r w:rsidRPr="00D7601C">
        <w:t xml:space="preserve"> </w:t>
      </w:r>
      <w:hyperlink r:id="rId1849" w:history="1">
        <w:r w:rsidR="00320B81" w:rsidRPr="00320B81">
          <w:rPr>
            <w:rStyle w:val="a5"/>
          </w:rPr>
          <w:t>2009\Int J Env Sci Tec6, 183.pdf</w:t>
        </w:r>
      </w:hyperlink>
    </w:p>
    <w:p w:rsidR="00B461D4" w:rsidRDefault="00B461D4" w:rsidP="00B461D4">
      <w:pPr>
        <w:pStyle w:val="a0"/>
        <w:rPr>
          <w:kern w:val="0"/>
        </w:rPr>
      </w:pPr>
      <w:r>
        <w:rPr>
          <w:kern w:val="0"/>
        </w:rPr>
        <w:t>Abstract: The ability of light expanded clay aggregate to remove lead</w:t>
      </w:r>
      <w:r w:rsidR="00F81221">
        <w:rPr>
          <w:kern w:val="0"/>
        </w:rPr>
        <w:t xml:space="preserve"> and </w:t>
      </w:r>
      <w:r>
        <w:rPr>
          <w:kern w:val="0"/>
        </w:rPr>
        <w:t>cadmium from paint industry</w:t>
      </w:r>
      <w:r w:rsidR="000352E7">
        <w:rPr>
          <w:kern w:val="0"/>
        </w:rPr>
        <w:t>’</w:t>
      </w:r>
      <w:r>
        <w:rPr>
          <w:kern w:val="0"/>
        </w:rPr>
        <w:t>s effluents was studied at different levels of adsorbent, contact time</w:t>
      </w:r>
      <w:r w:rsidR="00F81221">
        <w:rPr>
          <w:kern w:val="0"/>
        </w:rPr>
        <w:t xml:space="preserve"> and </w:t>
      </w:r>
      <w:r>
        <w:rPr>
          <w:kern w:val="0"/>
        </w:rPr>
        <w:t>pH in April 2008. For this purpose, lead</w:t>
      </w:r>
      <w:r w:rsidR="00F81221">
        <w:rPr>
          <w:kern w:val="0"/>
        </w:rPr>
        <w:t xml:space="preserve"> and </w:t>
      </w:r>
      <w:r>
        <w:rPr>
          <w:kern w:val="0"/>
        </w:rPr>
        <w:t>cadmium removal from paint industry effluents were studied in batch reactors. lead</w:t>
      </w:r>
      <w:r w:rsidR="00F81221">
        <w:rPr>
          <w:kern w:val="0"/>
        </w:rPr>
        <w:t xml:space="preserve"> and </w:t>
      </w:r>
      <w:r>
        <w:rPr>
          <w:kern w:val="0"/>
        </w:rPr>
        <w:t>cadmium measurements have been taken with non-flame atomic absorption techniques</w:t>
      </w:r>
      <w:r w:rsidR="00F81221">
        <w:rPr>
          <w:kern w:val="0"/>
        </w:rPr>
        <w:t xml:space="preserve"> and </w:t>
      </w:r>
      <w:r>
        <w:rPr>
          <w:kern w:val="0"/>
        </w:rPr>
        <w:t>test methods were adapted from 19(th) Ed. of standard methods for the examination of water</w:t>
      </w:r>
      <w:r w:rsidR="00F81221">
        <w:rPr>
          <w:kern w:val="0"/>
        </w:rPr>
        <w:t xml:space="preserve"> and </w:t>
      </w:r>
      <w:r>
        <w:rPr>
          <w:kern w:val="0"/>
        </w:rPr>
        <w:t>wastewater. In this study, different amounts of Leca (1, 2, 3, 4, 5, 6, 7, &amp; 9</w:t>
      </w:r>
      <w:r w:rsidR="00F81221">
        <w:rPr>
          <w:kern w:val="0"/>
        </w:rPr>
        <w:t xml:space="preserve"> and </w:t>
      </w:r>
      <w:r>
        <w:rPr>
          <w:kern w:val="0"/>
        </w:rPr>
        <w:t>10 g, L) were investigated. The amount of adsorbed lead</w:t>
      </w:r>
      <w:r w:rsidR="00F81221">
        <w:rPr>
          <w:kern w:val="0"/>
        </w:rPr>
        <w:t xml:space="preserve"> and </w:t>
      </w:r>
      <w:r>
        <w:rPr>
          <w:kern w:val="0"/>
        </w:rPr>
        <w:t>cadmium exposure to Leca increased from 1.41 to 3 mg, g</w:t>
      </w:r>
      <w:r w:rsidR="00F81221">
        <w:rPr>
          <w:kern w:val="0"/>
        </w:rPr>
        <w:t xml:space="preserve"> and </w:t>
      </w:r>
      <w:r>
        <w:rPr>
          <w:kern w:val="0"/>
        </w:rPr>
        <w:t>0.22 to 0.75 mg, g, respectively. The maximum removal efficiency for Pb was 93.75 % at pH = 7</w:t>
      </w:r>
      <w:r w:rsidR="00F81221">
        <w:rPr>
          <w:kern w:val="0"/>
        </w:rPr>
        <w:t xml:space="preserve"> and </w:t>
      </w:r>
      <w:r>
        <w:rPr>
          <w:kern w:val="0"/>
        </w:rPr>
        <w:t>exposure to 10 g, L of Leca, while for cadmium, it was nearly 89.7 % at the same condition. In this study, adsorption process of lead</w:t>
      </w:r>
      <w:r w:rsidR="00F81221">
        <w:rPr>
          <w:kern w:val="0"/>
        </w:rPr>
        <w:t xml:space="preserve"> and </w:t>
      </w:r>
      <w:r>
        <w:rPr>
          <w:kern w:val="0"/>
        </w:rPr>
        <w:t>cadmium was fitted with Freundlich adsorption isotherm (R-pb(2) = 0.97</w:t>
      </w:r>
      <w:r w:rsidR="00F81221">
        <w:rPr>
          <w:kern w:val="0"/>
        </w:rPr>
        <w:t xml:space="preserve"> and </w:t>
      </w:r>
      <w:r>
        <w:rPr>
          <w:kern w:val="0"/>
        </w:rPr>
        <w:t>R-Cd(2) = 0.98). The sufficient contact time was deemed 1-2 h for lead</w:t>
      </w:r>
      <w:r w:rsidR="00F81221">
        <w:rPr>
          <w:kern w:val="0"/>
        </w:rPr>
        <w:t xml:space="preserve"> and </w:t>
      </w:r>
      <w:r>
        <w:rPr>
          <w:kern w:val="0"/>
        </w:rPr>
        <w:t>cadmium. According to the results, Leca is recommended as a low cost</w:t>
      </w:r>
      <w:r w:rsidR="00F81221">
        <w:rPr>
          <w:kern w:val="0"/>
        </w:rPr>
        <w:t xml:space="preserve"> and </w:t>
      </w:r>
      <w:r>
        <w:rPr>
          <w:kern w:val="0"/>
        </w:rPr>
        <w:t>available adsorbent to remove lead</w:t>
      </w:r>
      <w:r w:rsidR="00F81221">
        <w:rPr>
          <w:kern w:val="0"/>
        </w:rPr>
        <w:t xml:space="preserve"> and </w:t>
      </w:r>
      <w:r>
        <w:rPr>
          <w:kern w:val="0"/>
        </w:rPr>
        <w:t>cadmium from industrial wastewater.</w:t>
      </w:r>
    </w:p>
    <w:p w:rsidR="00B461D4" w:rsidRDefault="00B461D4" w:rsidP="00B461D4">
      <w:pPr>
        <w:pStyle w:val="a0"/>
        <w:rPr>
          <w:kern w:val="0"/>
        </w:rPr>
      </w:pPr>
      <w:r>
        <w:rPr>
          <w:kern w:val="0"/>
        </w:rPr>
        <w:t>Keywords: Adsorption, Adsorption, Aqueous-Solution, Batch, Bentonite, Cadmium, Cadmium, Carbon, Freundlich, Heavy Metals, Ions, Isotherm, Lead, Lead, Light Expanded Clay Aggregate, Pb(II), Removal, Sorption, Wastewater, Water</w:t>
      </w:r>
    </w:p>
    <w:p w:rsidR="00B461D4" w:rsidRDefault="00B461D4" w:rsidP="00B461D4">
      <w:pPr>
        <w:pStyle w:val="a0"/>
        <w:rPr>
          <w:kern w:val="0"/>
        </w:rPr>
      </w:pPr>
      <w:r>
        <w:rPr>
          <w:rFonts w:hint="eastAsia"/>
          <w:kern w:val="0"/>
        </w:rPr>
        <w:t xml:space="preserve">? </w:t>
      </w:r>
      <w:r>
        <w:rPr>
          <w:kern w:val="0"/>
        </w:rPr>
        <w:t>Mirbagheri, S.A.</w:t>
      </w:r>
      <w:r w:rsidR="00F81221">
        <w:rPr>
          <w:kern w:val="0"/>
        </w:rPr>
        <w:t xml:space="preserve"> and </w:t>
      </w:r>
      <w:r>
        <w:rPr>
          <w:kern w:val="0"/>
        </w:rPr>
        <w:t>Monfared, S.A.H. (2009), Pesticide transport</w:t>
      </w:r>
      <w:r w:rsidR="00F81221">
        <w:rPr>
          <w:kern w:val="0"/>
        </w:rPr>
        <w:t xml:space="preserve"> and </w:t>
      </w:r>
      <w:r>
        <w:rPr>
          <w:kern w:val="0"/>
        </w:rPr>
        <w:t>transformation modeling in soil column</w:t>
      </w:r>
      <w:r w:rsidR="00F81221">
        <w:rPr>
          <w:kern w:val="0"/>
        </w:rPr>
        <w:t xml:space="preserve"> and </w:t>
      </w:r>
      <w:r>
        <w:rPr>
          <w:kern w:val="0"/>
        </w:rPr>
        <w:t xml:space="preserve">groundwater contamination prediction.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(2), 233-242.</w:t>
      </w:r>
    </w:p>
    <w:p w:rsidR="00B461D4" w:rsidRPr="00F03D2F" w:rsidRDefault="00B461D4" w:rsidP="00B461D4">
      <w:pPr>
        <w:pStyle w:val="a0"/>
        <w:rPr>
          <w:kern w:val="0"/>
        </w:rPr>
      </w:pPr>
      <w:r w:rsidRPr="00F03D2F">
        <w:rPr>
          <w:kern w:val="0"/>
        </w:rPr>
        <w:t>Full Text:</w:t>
      </w:r>
      <w:r w:rsidRPr="00D7601C">
        <w:t xml:space="preserve"> </w:t>
      </w:r>
      <w:hyperlink r:id="rId1850" w:history="1">
        <w:r w:rsidR="00320B81" w:rsidRPr="00320B81">
          <w:rPr>
            <w:rStyle w:val="a5"/>
          </w:rPr>
          <w:t>2009\Int J Env Sci Tec6, 233.pdf</w:t>
        </w:r>
      </w:hyperlink>
    </w:p>
    <w:p w:rsidR="00B461D4" w:rsidRDefault="00B461D4" w:rsidP="00B461D4">
      <w:pPr>
        <w:pStyle w:val="a0"/>
        <w:rPr>
          <w:kern w:val="0"/>
        </w:rPr>
      </w:pPr>
      <w:r>
        <w:rPr>
          <w:kern w:val="0"/>
        </w:rPr>
        <w:t>Abstract: Pesticide transport</w:t>
      </w:r>
      <w:r w:rsidR="00F81221">
        <w:rPr>
          <w:kern w:val="0"/>
        </w:rPr>
        <w:t xml:space="preserve"> and </w:t>
      </w:r>
      <w:r>
        <w:rPr>
          <w:kern w:val="0"/>
        </w:rPr>
        <w:t>transformation were modeled in soil column from the soil surface to groundwater zone. A one dimensional dynamic mathematical</w:t>
      </w:r>
      <w:r w:rsidR="00F81221">
        <w:rPr>
          <w:kern w:val="0"/>
        </w:rPr>
        <w:t xml:space="preserve"> and </w:t>
      </w:r>
      <w:r>
        <w:rPr>
          <w:kern w:val="0"/>
        </w:rPr>
        <w:t>computer model is formulated to simulate two types of pesticides namely 2,4-dichlorophenoxy acetic acid</w:t>
      </w:r>
      <w:r w:rsidR="00F81221">
        <w:rPr>
          <w:kern w:val="0"/>
        </w:rPr>
        <w:t xml:space="preserve"> and </w:t>
      </w:r>
      <w:r>
        <w:rPr>
          <w:kern w:val="0"/>
        </w:rPr>
        <w:t>1,2-dibromo 3-chloro propane in soil column. This model predicts the behavior</w:t>
      </w:r>
      <w:r w:rsidR="00F81221">
        <w:rPr>
          <w:kern w:val="0"/>
        </w:rPr>
        <w:t xml:space="preserve"> and </w:t>
      </w:r>
      <w:r>
        <w:rPr>
          <w:kern w:val="0"/>
        </w:rPr>
        <w:t>persistence of these pesticides in soil column</w:t>
      </w:r>
      <w:r w:rsidR="00F81221">
        <w:rPr>
          <w:kern w:val="0"/>
        </w:rPr>
        <w:t xml:space="preserve"> and </w:t>
      </w:r>
      <w:r>
        <w:rPr>
          <w:kern w:val="0"/>
        </w:rPr>
        <w:t>groundwater. The model is based on mass balance equation, including convective transport, dispersive transport</w:t>
      </w:r>
      <w:r w:rsidR="00F81221">
        <w:rPr>
          <w:kern w:val="0"/>
        </w:rPr>
        <w:t xml:space="preserve"> and </w:t>
      </w:r>
      <w:r>
        <w:rPr>
          <w:kern w:val="0"/>
        </w:rPr>
        <w:t>chemical adsorption in the phases such as solid, liquid</w:t>
      </w:r>
      <w:r w:rsidR="00F81221">
        <w:rPr>
          <w:kern w:val="0"/>
        </w:rPr>
        <w:t xml:space="preserve"> and </w:t>
      </w:r>
      <w:r>
        <w:rPr>
          <w:kern w:val="0"/>
        </w:rPr>
        <w:t>gas. The mathematical solution is obtained by finite difference implicit method. The model was verified with experimental measurements</w:t>
      </w:r>
      <w:r w:rsidR="00F81221">
        <w:rPr>
          <w:kern w:val="0"/>
        </w:rPr>
        <w:t xml:space="preserve"> and </w:t>
      </w:r>
      <w:r>
        <w:rPr>
          <w:kern w:val="0"/>
        </w:rPr>
        <w:t xml:space="preserve">also </w:t>
      </w:r>
      <w:r>
        <w:rPr>
          <w:kern w:val="0"/>
        </w:rPr>
        <w:lastRenderedPageBreak/>
        <w:t>with analytical solution. The simulation results are in good agreement with measured values. The major findings of this research are the development of the model which can calculate</w:t>
      </w:r>
      <w:r w:rsidR="00F81221">
        <w:rPr>
          <w:kern w:val="0"/>
        </w:rPr>
        <w:t xml:space="preserve"> and </w:t>
      </w:r>
      <w:r>
        <w:rPr>
          <w:kern w:val="0"/>
        </w:rPr>
        <w:t>predict the concentration of pesticides in soil profiles, as well as groundwater after 4, 12, 31 days of pesticide application under steady state</w:t>
      </w:r>
      <w:r w:rsidR="00F81221">
        <w:rPr>
          <w:kern w:val="0"/>
        </w:rPr>
        <w:t xml:space="preserve"> and </w:t>
      </w:r>
      <w:r>
        <w:rPr>
          <w:kern w:val="0"/>
        </w:rPr>
        <w:t>unsteady water flow condition. With the results of this study, the distribution of various types of pesticides in soil column to groundwater table can be predicted.</w:t>
      </w:r>
    </w:p>
    <w:p w:rsidR="00B461D4" w:rsidRDefault="00B461D4" w:rsidP="00B461D4">
      <w:pPr>
        <w:pStyle w:val="a0"/>
        <w:rPr>
          <w:kern w:val="0"/>
        </w:rPr>
      </w:pPr>
      <w:r>
        <w:rPr>
          <w:kern w:val="0"/>
        </w:rPr>
        <w:t>Keywords: Adsorption, California, Dbcp, Fate, Finite Difference, Fresno, Modeling, Numerical Method, Pesticide, Pesticides, Pollution, Research, Residues, Simulation, Soil, Soil System, Sorption, Subsurface, Water, Water Movement</w:t>
      </w:r>
    </w:p>
    <w:p w:rsidR="00AF5C23" w:rsidRDefault="00AF5C23" w:rsidP="00AF5C23">
      <w:pPr>
        <w:pStyle w:val="a0"/>
        <w:rPr>
          <w:kern w:val="0"/>
          <w:szCs w:val="24"/>
        </w:rPr>
      </w:pPr>
      <w:r>
        <w:rPr>
          <w:rFonts w:hint="eastAsia"/>
          <w:kern w:val="0"/>
          <w:szCs w:val="24"/>
        </w:rPr>
        <w:t xml:space="preserve">? </w:t>
      </w:r>
      <w:r w:rsidR="00595772">
        <w:rPr>
          <w:rFonts w:hint="eastAsia"/>
          <w:kern w:val="0"/>
          <w:szCs w:val="24"/>
        </w:rPr>
        <w:t>A</w:t>
      </w:r>
      <w:r>
        <w:rPr>
          <w:kern w:val="0"/>
          <w:szCs w:val="24"/>
        </w:rPr>
        <w:t>bdel-Ghani, N.T., Hegazy, A.K.</w:t>
      </w:r>
      <w:r w:rsidR="00F81221">
        <w:rPr>
          <w:kern w:val="0"/>
          <w:szCs w:val="24"/>
        </w:rPr>
        <w:t xml:space="preserve"> and </w:t>
      </w:r>
      <w:r>
        <w:rPr>
          <w:kern w:val="0"/>
          <w:szCs w:val="24"/>
        </w:rPr>
        <w:t xml:space="preserve">El-Chaghaby, G.A. (2009), </w:t>
      </w:r>
      <w:r w:rsidRPr="007B59F4">
        <w:rPr>
          <w:i/>
          <w:iCs/>
          <w:kern w:val="0"/>
          <w:szCs w:val="24"/>
        </w:rPr>
        <w:t>Typha domingensis</w:t>
      </w:r>
      <w:r>
        <w:rPr>
          <w:kern w:val="0"/>
          <w:szCs w:val="24"/>
        </w:rPr>
        <w:t xml:space="preserve"> leaf powder for decontamination of aluminium, iron, zinc</w:t>
      </w:r>
      <w:r w:rsidR="00F81221">
        <w:rPr>
          <w:kern w:val="0"/>
          <w:szCs w:val="24"/>
        </w:rPr>
        <w:t xml:space="preserve"> and </w:t>
      </w:r>
      <w:r>
        <w:rPr>
          <w:kern w:val="0"/>
          <w:szCs w:val="24"/>
        </w:rPr>
        <w:t>lead: Biosorption kinetics</w:t>
      </w:r>
      <w:r w:rsidR="00F81221">
        <w:rPr>
          <w:kern w:val="0"/>
          <w:szCs w:val="24"/>
        </w:rPr>
        <w:t xml:space="preserve"> and </w:t>
      </w:r>
      <w:r>
        <w:rPr>
          <w:kern w:val="0"/>
          <w:szCs w:val="24"/>
        </w:rPr>
        <w:t xml:space="preserve">equilibrium modeling. </w:t>
      </w:r>
      <w:r>
        <w:rPr>
          <w:i/>
          <w:iCs/>
          <w:kern w:val="0"/>
          <w:szCs w:val="24"/>
        </w:rPr>
        <w:t>International Journal of Environmental Science</w:t>
      </w:r>
      <w:r w:rsidR="00F81221">
        <w:rPr>
          <w:i/>
          <w:iCs/>
          <w:kern w:val="0"/>
          <w:szCs w:val="24"/>
        </w:rPr>
        <w:t xml:space="preserve"> and </w:t>
      </w:r>
      <w:r>
        <w:rPr>
          <w:i/>
          <w:iCs/>
          <w:kern w:val="0"/>
          <w:szCs w:val="24"/>
        </w:rPr>
        <w:t>Technology</w:t>
      </w:r>
      <w:r>
        <w:rPr>
          <w:kern w:val="0"/>
          <w:szCs w:val="24"/>
        </w:rPr>
        <w:t xml:space="preserve">, </w:t>
      </w:r>
      <w:r>
        <w:rPr>
          <w:b/>
          <w:bCs/>
          <w:kern w:val="0"/>
          <w:szCs w:val="24"/>
        </w:rPr>
        <w:t>6</w:t>
      </w:r>
      <w:r>
        <w:rPr>
          <w:kern w:val="0"/>
          <w:szCs w:val="24"/>
        </w:rPr>
        <w:t xml:space="preserve"> (2), 243-248.</w:t>
      </w:r>
    </w:p>
    <w:p w:rsidR="00AF5C23" w:rsidRDefault="00AF5C23" w:rsidP="00595772">
      <w:pPr>
        <w:pStyle w:val="a0"/>
        <w:rPr>
          <w:kern w:val="0"/>
        </w:rPr>
      </w:pPr>
      <w:r>
        <w:rPr>
          <w:rFonts w:hint="eastAsia"/>
          <w:kern w:val="0"/>
        </w:rPr>
        <w:t xml:space="preserve">Full Text: </w:t>
      </w:r>
      <w:hyperlink r:id="rId1851" w:history="1">
        <w:r w:rsidR="00595772" w:rsidRPr="00595772">
          <w:rPr>
            <w:rStyle w:val="a5"/>
            <w:kern w:val="0"/>
          </w:rPr>
          <w:t>2009\Int J Env Sci Tec6, 243.pdf</w:t>
        </w:r>
      </w:hyperlink>
    </w:p>
    <w:p w:rsidR="00AF5C23" w:rsidRDefault="00AF5C23" w:rsidP="00AF5C23">
      <w:pPr>
        <w:pStyle w:val="a0"/>
        <w:rPr>
          <w:kern w:val="0"/>
          <w:szCs w:val="24"/>
        </w:rPr>
      </w:pPr>
      <w:r>
        <w:rPr>
          <w:kern w:val="0"/>
          <w:szCs w:val="24"/>
        </w:rPr>
        <w:t>Abstract: The present study explores the effectiveness of Typha domingensis leaf powder for simultaneous removal of aluminium, iron, zinc</w:t>
      </w:r>
      <w:r w:rsidR="00F81221">
        <w:rPr>
          <w:kern w:val="0"/>
          <w:szCs w:val="24"/>
        </w:rPr>
        <w:t xml:space="preserve"> and </w:t>
      </w:r>
      <w:r>
        <w:rPr>
          <w:kern w:val="0"/>
          <w:szCs w:val="24"/>
        </w:rPr>
        <w:t>lead ions from aqueous solution. Batch experiments were carried out in laboratory at room temperature</w:t>
      </w:r>
      <w:r w:rsidR="00F81221">
        <w:rPr>
          <w:kern w:val="0"/>
          <w:szCs w:val="24"/>
        </w:rPr>
        <w:t xml:space="preserve"> and </w:t>
      </w:r>
      <w:r>
        <w:rPr>
          <w:kern w:val="0"/>
          <w:szCs w:val="24"/>
        </w:rPr>
        <w:t>at initial ions concentrations simulating the concentrations of these cations in real wastewater samples. The sorption process was examined applying the first</w:t>
      </w:r>
      <w:r w:rsidR="00F81221">
        <w:rPr>
          <w:kern w:val="0"/>
          <w:szCs w:val="24"/>
        </w:rPr>
        <w:t xml:space="preserve"> and </w:t>
      </w:r>
      <w:r>
        <w:rPr>
          <w:kern w:val="0"/>
          <w:szCs w:val="24"/>
        </w:rPr>
        <w:t>second order kinetic mechanisms. The results were best described by the second order rate kinetics. The applicability of the three equilibrium isotherm models was investigated. The obtained data follow the three investigated isothermal models in the following order: Langmuir &gt; Freundlich &gt; Temkin, for all the studied metal ions. The infrared spectra of native</w:t>
      </w:r>
      <w:r w:rsidR="00F81221">
        <w:rPr>
          <w:kern w:val="0"/>
          <w:szCs w:val="24"/>
        </w:rPr>
        <w:t xml:space="preserve"> and </w:t>
      </w:r>
      <w:r>
        <w:rPr>
          <w:kern w:val="0"/>
          <w:szCs w:val="24"/>
        </w:rPr>
        <w:t>exhausted Typha leaf powder confirmed ions-biomass interactions responsible for sorption. The results showed that Typha domingensis leaf powder can easily be envisaged as a new low cost natural biosorbent for metal clean up operations in aquatic systems.</w:t>
      </w:r>
    </w:p>
    <w:p w:rsidR="00AF5C23" w:rsidRDefault="00AF5C23" w:rsidP="00AF5C23">
      <w:pPr>
        <w:pStyle w:val="a0"/>
        <w:rPr>
          <w:kern w:val="0"/>
          <w:szCs w:val="24"/>
        </w:rPr>
      </w:pPr>
      <w:r>
        <w:rPr>
          <w:kern w:val="0"/>
          <w:szCs w:val="24"/>
        </w:rPr>
        <w:t>Keywords: Adsorption, Aqueous-Solution, Batch Experiments, Biomass, Biosorption, Cadmium, Contact Time, Copper(II), Fly-Ash, Infrared Spectra, Ions, Isotherm Models, Removal, Sorption, Waste-Water</w:t>
      </w:r>
    </w:p>
    <w:p w:rsidR="004C5DE8" w:rsidRDefault="004C5DE8" w:rsidP="004C5DE8">
      <w:pPr>
        <w:pStyle w:val="a0"/>
        <w:rPr>
          <w:kern w:val="0"/>
        </w:rPr>
      </w:pPr>
      <w:r>
        <w:rPr>
          <w:rFonts w:hint="eastAsia"/>
          <w:kern w:val="0"/>
        </w:rPr>
        <w:t xml:space="preserve">? </w:t>
      </w:r>
      <w:r>
        <w:rPr>
          <w:kern w:val="0"/>
        </w:rPr>
        <w:t>Agunbiade, F.O.</w:t>
      </w:r>
      <w:r w:rsidR="00F81221">
        <w:rPr>
          <w:kern w:val="0"/>
        </w:rPr>
        <w:t xml:space="preserve"> and </w:t>
      </w:r>
      <w:r>
        <w:rPr>
          <w:kern w:val="0"/>
        </w:rPr>
        <w:t>Fawale, A.T. (2009), Use of Siam weed biomarker in assessing heavy metal contaminations in traffic</w:t>
      </w:r>
      <w:r w:rsidR="00F81221">
        <w:rPr>
          <w:kern w:val="0"/>
        </w:rPr>
        <w:t xml:space="preserve"> and </w:t>
      </w:r>
      <w:r>
        <w:rPr>
          <w:kern w:val="0"/>
        </w:rPr>
        <w:t xml:space="preserve">solid waste polluted areas.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(2), 267-276.</w:t>
      </w:r>
    </w:p>
    <w:p w:rsidR="004C5DE8" w:rsidRPr="00F03D2F" w:rsidRDefault="004C5DE8" w:rsidP="004C5DE8">
      <w:pPr>
        <w:pStyle w:val="a0"/>
        <w:jc w:val="left"/>
        <w:rPr>
          <w:kern w:val="0"/>
        </w:rPr>
      </w:pPr>
      <w:r w:rsidRPr="00F03D2F">
        <w:rPr>
          <w:kern w:val="0"/>
        </w:rPr>
        <w:t>Full Text:</w:t>
      </w:r>
      <w:r w:rsidRPr="00D7601C">
        <w:t xml:space="preserve"> </w:t>
      </w:r>
      <w:hyperlink r:id="rId1852" w:history="1">
        <w:r w:rsidR="00320B81" w:rsidRPr="00320B81">
          <w:rPr>
            <w:rStyle w:val="a5"/>
          </w:rPr>
          <w:t>2009\Int J Env Sci Tec6, 267.pdf</w:t>
        </w:r>
      </w:hyperlink>
    </w:p>
    <w:p w:rsidR="004C5DE8" w:rsidRDefault="004C5DE8" w:rsidP="004C5DE8">
      <w:pPr>
        <w:pStyle w:val="a0"/>
        <w:rPr>
          <w:kern w:val="0"/>
        </w:rPr>
      </w:pPr>
      <w:r>
        <w:rPr>
          <w:kern w:val="0"/>
        </w:rPr>
        <w:t>Abstract: The ability of Chromolaena odorata to accumulate</w:t>
      </w:r>
      <w:r w:rsidR="00F81221">
        <w:rPr>
          <w:kern w:val="0"/>
        </w:rPr>
        <w:t xml:space="preserve"> and </w:t>
      </w:r>
      <w:r>
        <w:rPr>
          <w:kern w:val="0"/>
        </w:rPr>
        <w:t>serve as biomarker to lead</w:t>
      </w:r>
      <w:r w:rsidR="00F81221">
        <w:rPr>
          <w:kern w:val="0"/>
        </w:rPr>
        <w:t xml:space="preserve"> and </w:t>
      </w:r>
      <w:r>
        <w:rPr>
          <w:kern w:val="0"/>
        </w:rPr>
        <w:t>cadmium metals pollution load had been revealed by this study. Samples of soils</w:t>
      </w:r>
      <w:r w:rsidR="00F81221">
        <w:rPr>
          <w:kern w:val="0"/>
        </w:rPr>
        <w:t xml:space="preserve"> and </w:t>
      </w:r>
      <w:r>
        <w:rPr>
          <w:kern w:val="0"/>
        </w:rPr>
        <w:t>Siam weed were collected to assess impacts of solid waste disposal</w:t>
      </w:r>
      <w:r w:rsidR="00F81221">
        <w:rPr>
          <w:kern w:val="0"/>
        </w:rPr>
        <w:t xml:space="preserve"> and </w:t>
      </w:r>
      <w:r>
        <w:rPr>
          <w:kern w:val="0"/>
        </w:rPr>
        <w:t>traffic density on the environment. Composite sample were collected from a solid waste dumpsite, three traffic polluted areas with varying traffic density</w:t>
      </w:r>
      <w:r w:rsidR="00F81221">
        <w:rPr>
          <w:kern w:val="0"/>
        </w:rPr>
        <w:t xml:space="preserve"> and </w:t>
      </w:r>
      <w:r>
        <w:rPr>
          <w:kern w:val="0"/>
        </w:rPr>
        <w:t xml:space="preserve">a </w:t>
      </w:r>
      <w:r>
        <w:rPr>
          <w:kern w:val="0"/>
        </w:rPr>
        <w:lastRenderedPageBreak/>
        <w:t>background site distant from traffic. Concentration of eight elements: cadmium, cobalt, chromium, copper, iron, nickel, lead</w:t>
      </w:r>
      <w:r w:rsidR="00F81221">
        <w:rPr>
          <w:kern w:val="0"/>
        </w:rPr>
        <w:t xml:space="preserve"> and </w:t>
      </w:r>
      <w:r>
        <w:rPr>
          <w:kern w:val="0"/>
        </w:rPr>
        <w:t>zinc were determined in soil</w:t>
      </w:r>
      <w:r w:rsidR="00F81221">
        <w:rPr>
          <w:kern w:val="0"/>
        </w:rPr>
        <w:t xml:space="preserve"> and </w:t>
      </w:r>
      <w:r>
        <w:rPr>
          <w:kern w:val="0"/>
        </w:rPr>
        <w:t>plant samples</w:t>
      </w:r>
      <w:r w:rsidR="00F81221">
        <w:rPr>
          <w:kern w:val="0"/>
        </w:rPr>
        <w:t xml:space="preserve"> and </w:t>
      </w:r>
      <w:r>
        <w:rPr>
          <w:kern w:val="0"/>
        </w:rPr>
        <w:t>correlated together. Accumulative factors like pollution load index, transfer factor, contamination factor, enrichment factor were calculated for the metals in both plants</w:t>
      </w:r>
      <w:r w:rsidR="00F81221">
        <w:rPr>
          <w:kern w:val="0"/>
        </w:rPr>
        <w:t xml:space="preserve"> and </w:t>
      </w:r>
      <w:r>
        <w:rPr>
          <w:kern w:val="0"/>
        </w:rPr>
        <w:t>soils</w:t>
      </w:r>
      <w:r w:rsidR="00F81221">
        <w:rPr>
          <w:kern w:val="0"/>
        </w:rPr>
        <w:t xml:space="preserve"> and </w:t>
      </w:r>
      <w:r>
        <w:rPr>
          <w:kern w:val="0"/>
        </w:rPr>
        <w:t>used as basis for interpreting the state of the environment</w:t>
      </w:r>
      <w:r w:rsidR="00F81221">
        <w:rPr>
          <w:kern w:val="0"/>
        </w:rPr>
        <w:t xml:space="preserve"> and </w:t>
      </w:r>
      <w:r>
        <w:rPr>
          <w:kern w:val="0"/>
        </w:rPr>
        <w:t>ability of C. odorato to accumulate metals. The accumulative factors of plants were generally greater than that of soil samples indicating increased accumulative capacity of the plant. The accumulations of lead</w:t>
      </w:r>
      <w:r w:rsidR="00F81221">
        <w:rPr>
          <w:kern w:val="0"/>
        </w:rPr>
        <w:t xml:space="preserve"> and </w:t>
      </w:r>
      <w:r>
        <w:rPr>
          <w:kern w:val="0"/>
        </w:rPr>
        <w:t>cadmium in C. odorata were remarkable with contamination factor 10.51</w:t>
      </w:r>
      <w:r w:rsidR="00F81221">
        <w:rPr>
          <w:kern w:val="0"/>
        </w:rPr>
        <w:t xml:space="preserve"> and </w:t>
      </w:r>
      <w:r>
        <w:rPr>
          <w:kern w:val="0"/>
        </w:rPr>
        <w:t>23.50, respectively</w:t>
      </w:r>
      <w:r w:rsidR="00F81221">
        <w:rPr>
          <w:kern w:val="0"/>
        </w:rPr>
        <w:t xml:space="preserve"> and </w:t>
      </w:r>
      <w:r>
        <w:rPr>
          <w:kern w:val="0"/>
        </w:rPr>
        <w:t>mean enrichment factors 3.52</w:t>
      </w:r>
      <w:r w:rsidR="00F81221">
        <w:rPr>
          <w:kern w:val="0"/>
        </w:rPr>
        <w:t xml:space="preserve"> and </w:t>
      </w:r>
      <w:r>
        <w:rPr>
          <w:kern w:val="0"/>
        </w:rPr>
        <w:t>6.93, respectively. Other metals had lower accumulative factors. The distribution of metals</w:t>
      </w:r>
      <w:r w:rsidR="00F81221">
        <w:rPr>
          <w:kern w:val="0"/>
        </w:rPr>
        <w:t xml:space="preserve"> and </w:t>
      </w:r>
      <w:r>
        <w:rPr>
          <w:kern w:val="0"/>
        </w:rPr>
        <w:t>calculated factors placed solid waste disposal site as the most polluted site while the trend observed in areas with traffic pollution depicts the ability of C. odorata to clean up metal pollution by accumulating them. It can therefore be suggested that solid waste disposal negatively affects the environment more than traffic pollution subject to the volume of traffic.</w:t>
      </w:r>
    </w:p>
    <w:p w:rsidR="004C5DE8" w:rsidRDefault="004C5DE8" w:rsidP="004C5DE8">
      <w:pPr>
        <w:pStyle w:val="a0"/>
        <w:rPr>
          <w:kern w:val="0"/>
        </w:rPr>
      </w:pPr>
      <w:r>
        <w:rPr>
          <w:kern w:val="0"/>
        </w:rPr>
        <w:t>Keywords: Accumulation, Cadmium, China, Chromolaena Odorata, Contamination Factor, Copper, Exposure, Heavy Metal, Industrial, Lead, Metallothionein, Metals Pollution, Nickel, Pollution, Soil, Soils, Sorption, Trace-Elements, Trend, Waste Disposal, Water, Zinc</w:t>
      </w:r>
    </w:p>
    <w:p w:rsidR="00B461D4" w:rsidRDefault="00B461D4" w:rsidP="00B461D4">
      <w:pPr>
        <w:pStyle w:val="a0"/>
        <w:rPr>
          <w:kern w:val="0"/>
        </w:rPr>
      </w:pPr>
      <w:r>
        <w:rPr>
          <w:rFonts w:hint="eastAsia"/>
          <w:kern w:val="0"/>
        </w:rPr>
        <w:t xml:space="preserve">? </w:t>
      </w:r>
      <w:r>
        <w:rPr>
          <w:kern w:val="0"/>
        </w:rPr>
        <w:t>Zvinowanda, C.M., Okonkwo, J.O., Shabalala, P.N.</w:t>
      </w:r>
      <w:r w:rsidR="00F81221">
        <w:rPr>
          <w:kern w:val="0"/>
        </w:rPr>
        <w:t xml:space="preserve"> and </w:t>
      </w:r>
      <w:r>
        <w:rPr>
          <w:kern w:val="0"/>
        </w:rPr>
        <w:t xml:space="preserve">Agyei, N.M. (2009), A novel adsorbent for heavy metal remediation in aqueous environments.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(3), 425-434.</w:t>
      </w:r>
    </w:p>
    <w:p w:rsidR="00B461D4" w:rsidRPr="00F03D2F" w:rsidRDefault="00B461D4" w:rsidP="00B461D4">
      <w:pPr>
        <w:pStyle w:val="a0"/>
        <w:rPr>
          <w:kern w:val="0"/>
        </w:rPr>
      </w:pPr>
      <w:r w:rsidRPr="00F03D2F">
        <w:rPr>
          <w:kern w:val="0"/>
        </w:rPr>
        <w:t>Full Text:</w:t>
      </w:r>
      <w:r w:rsidRPr="00D7601C">
        <w:t xml:space="preserve"> </w:t>
      </w:r>
      <w:hyperlink r:id="rId1853" w:history="1">
        <w:r w:rsidR="00320B81" w:rsidRPr="00320B81">
          <w:rPr>
            <w:rStyle w:val="a5"/>
          </w:rPr>
          <w:t>2009\Int J Env Sci Tec6, 425.pdf</w:t>
        </w:r>
      </w:hyperlink>
    </w:p>
    <w:p w:rsidR="00B461D4" w:rsidRDefault="00B461D4" w:rsidP="00B461D4">
      <w:pPr>
        <w:pStyle w:val="a0"/>
        <w:rPr>
          <w:kern w:val="0"/>
        </w:rPr>
      </w:pPr>
      <w:r>
        <w:rPr>
          <w:kern w:val="0"/>
        </w:rPr>
        <w:t>Abstract: The objective of this study was to investigate the possibility of using maize tassel as an alternative adsorbent for the removal of chromium(VI)</w:t>
      </w:r>
      <w:r w:rsidR="00F81221">
        <w:rPr>
          <w:kern w:val="0"/>
        </w:rPr>
        <w:t xml:space="preserve"> and </w:t>
      </w:r>
      <w:r>
        <w:rPr>
          <w:kern w:val="0"/>
        </w:rPr>
        <w:t>cadmium(II) ions from aqueous solutions. The effect of pH, solution temperature, contact time, initial metal ion concentration</w:t>
      </w:r>
      <w:r w:rsidR="00F81221">
        <w:rPr>
          <w:kern w:val="0"/>
        </w:rPr>
        <w:t xml:space="preserve"> and </w:t>
      </w:r>
      <w:r>
        <w:rPr>
          <w:kern w:val="0"/>
        </w:rPr>
        <w:t>adsorbent dose on the adsorption of chromium(VI)</w:t>
      </w:r>
      <w:r w:rsidR="00F81221">
        <w:rPr>
          <w:kern w:val="0"/>
        </w:rPr>
        <w:t xml:space="preserve"> and </w:t>
      </w:r>
      <w:r>
        <w:rPr>
          <w:kern w:val="0"/>
        </w:rPr>
        <w:t>cadmium(II) by tassel was investigated using batch methods. Adsorption for both chromium(VI)</w:t>
      </w:r>
      <w:r w:rsidR="00F81221">
        <w:rPr>
          <w:kern w:val="0"/>
        </w:rPr>
        <w:t xml:space="preserve"> and </w:t>
      </w:r>
      <w:r>
        <w:rPr>
          <w:kern w:val="0"/>
        </w:rPr>
        <w:t>cadmium(II) was found to be highly pH dependent compared to the other parameters investigated. Obtained results gave an adsorption capacity of 79.1% for chromium(VI) at pH 2, exposure time of 1h at 25°C. Maximum capacity of cadmium of 88% was obtained in the pH range of 5-6 at 25°C after exposure time of 1 h. The adsorption capacities of tassel for both chromium(VI)</w:t>
      </w:r>
      <w:r w:rsidR="00F81221">
        <w:rPr>
          <w:kern w:val="0"/>
        </w:rPr>
        <w:t xml:space="preserve"> and </w:t>
      </w:r>
      <w:r>
        <w:rPr>
          <w:kern w:val="0"/>
        </w:rPr>
        <w:t>cadmium(II) were found to be comparable to those of other commercial adsorbents currently in use for the removal of heavy metals from aqueous wastes. These results have demonstrated the immense potential of maize tassel as an alternative adsorbent for toxic metal ions remediation in polluted water</w:t>
      </w:r>
      <w:r w:rsidR="00F81221">
        <w:rPr>
          <w:kern w:val="0"/>
        </w:rPr>
        <w:t xml:space="preserve"> and </w:t>
      </w:r>
      <w:r>
        <w:rPr>
          <w:kern w:val="0"/>
        </w:rPr>
        <w:t>wastewater.</w:t>
      </w:r>
    </w:p>
    <w:p w:rsidR="00B461D4" w:rsidRDefault="00B461D4" w:rsidP="00B461D4">
      <w:pPr>
        <w:pStyle w:val="a0"/>
        <w:rPr>
          <w:kern w:val="0"/>
        </w:rPr>
      </w:pPr>
      <w:r>
        <w:rPr>
          <w:kern w:val="0"/>
        </w:rPr>
        <w:t xml:space="preserve">Keywords: Abundantly Available Adsorbents, Activated Carbon, Adsorption, </w:t>
      </w:r>
      <w:r>
        <w:rPr>
          <w:kern w:val="0"/>
        </w:rPr>
        <w:lastRenderedPageBreak/>
        <w:t>Adsorption Capacity, Batch, Batch Studies, Cadmium, Energy Dispersive X-Ray, Fourier Transform Infrared, Heavy Metal, Heavy Metals, Hexavalent Chromium, Ions, Low-Cost Adsorbents, Maize Tassel, Maize Tassel, Metal Ions, Pb(II), Removal, Waste-Water, Wastewater, Water</w:t>
      </w:r>
    </w:p>
    <w:p w:rsidR="001B7B1C" w:rsidRPr="00E302C2" w:rsidRDefault="001B7B1C" w:rsidP="00A22BA9">
      <w:pPr>
        <w:pStyle w:val="a0"/>
        <w:rPr>
          <w:kern w:val="0"/>
        </w:rPr>
      </w:pPr>
      <w:r>
        <w:rPr>
          <w:rFonts w:hint="eastAsia"/>
          <w:kern w:val="0"/>
        </w:rPr>
        <w:t xml:space="preserve">? </w:t>
      </w:r>
      <w:r w:rsidR="00A22BA9">
        <w:rPr>
          <w:kern w:val="0"/>
        </w:rPr>
        <w:t>Urí</w:t>
      </w:r>
      <w:r w:rsidRPr="00E302C2">
        <w:rPr>
          <w:kern w:val="0"/>
        </w:rPr>
        <w:t xml:space="preserve">k, M., Littera, P., </w:t>
      </w:r>
      <w:r w:rsidR="00A22BA9">
        <w:rPr>
          <w:kern w:val="0"/>
        </w:rPr>
        <w:t>Š</w:t>
      </w:r>
      <w:r w:rsidRPr="00E302C2">
        <w:rPr>
          <w:kern w:val="0"/>
        </w:rPr>
        <w:t>evc, J., Kolen</w:t>
      </w:r>
      <w:r w:rsidR="00A22BA9">
        <w:rPr>
          <w:kern w:val="0"/>
        </w:rPr>
        <w:t>čí</w:t>
      </w:r>
      <w:r w:rsidRPr="00E302C2">
        <w:rPr>
          <w:kern w:val="0"/>
        </w:rPr>
        <w:t>k, M.</w:t>
      </w:r>
      <w:r w:rsidR="00F81221">
        <w:rPr>
          <w:kern w:val="0"/>
        </w:rPr>
        <w:t xml:space="preserve"> and </w:t>
      </w:r>
      <w:r w:rsidR="00A22BA9">
        <w:rPr>
          <w:kern w:val="0"/>
        </w:rPr>
        <w:t>Čerň</w:t>
      </w:r>
      <w:r w:rsidRPr="00E302C2">
        <w:rPr>
          <w:kern w:val="0"/>
        </w:rPr>
        <w:t>ansk</w:t>
      </w:r>
      <w:r w:rsidR="00A22BA9">
        <w:rPr>
          <w:kern w:val="0"/>
        </w:rPr>
        <w:t>ý</w:t>
      </w:r>
      <w:r>
        <w:rPr>
          <w:kern w:val="0"/>
        </w:rPr>
        <w:t>, S. (2009), Removal of arsenic</w:t>
      </w:r>
      <w:r w:rsidRPr="00E302C2">
        <w:rPr>
          <w:kern w:val="0"/>
        </w:rPr>
        <w:t>(V) from aqueous solutions using chemically modified sawdust of spruce (</w:t>
      </w:r>
      <w:r w:rsidRPr="00A22BA9">
        <w:rPr>
          <w:i/>
          <w:iCs/>
          <w:kern w:val="0"/>
        </w:rPr>
        <w:t>Picea abies</w:t>
      </w:r>
      <w:r w:rsidRPr="00E302C2">
        <w:rPr>
          <w:kern w:val="0"/>
        </w:rPr>
        <w:t>): Kinetics</w:t>
      </w:r>
      <w:r w:rsidR="00F81221">
        <w:rPr>
          <w:kern w:val="0"/>
        </w:rPr>
        <w:t xml:space="preserve"> and </w:t>
      </w:r>
      <w:r w:rsidRPr="00E302C2">
        <w:rPr>
          <w:kern w:val="0"/>
        </w:rPr>
        <w:t xml:space="preserve">isotherm studies. </w:t>
      </w:r>
      <w:r w:rsidRPr="00E302C2">
        <w:rPr>
          <w:i/>
          <w:iCs/>
          <w:kern w:val="0"/>
        </w:rPr>
        <w:t>International Journal of Environmental Science</w:t>
      </w:r>
      <w:r w:rsidR="00F81221">
        <w:rPr>
          <w:i/>
          <w:iCs/>
          <w:kern w:val="0"/>
        </w:rPr>
        <w:t xml:space="preserve"> and </w:t>
      </w:r>
      <w:r w:rsidRPr="00E302C2">
        <w:rPr>
          <w:i/>
          <w:iCs/>
          <w:kern w:val="0"/>
        </w:rPr>
        <w:t>Technology</w:t>
      </w:r>
      <w:r w:rsidRPr="00E302C2">
        <w:rPr>
          <w:kern w:val="0"/>
        </w:rPr>
        <w:t xml:space="preserve">, </w:t>
      </w:r>
      <w:r w:rsidRPr="00E302C2">
        <w:rPr>
          <w:b/>
          <w:bCs/>
          <w:kern w:val="0"/>
        </w:rPr>
        <w:t>6</w:t>
      </w:r>
      <w:r w:rsidRPr="00E302C2">
        <w:rPr>
          <w:kern w:val="0"/>
        </w:rPr>
        <w:t xml:space="preserve"> (3), 451-456</w:t>
      </w:r>
      <w:r>
        <w:rPr>
          <w:kern w:val="0"/>
        </w:rPr>
        <w:t>.</w:t>
      </w:r>
    </w:p>
    <w:p w:rsidR="00A22BA9" w:rsidRDefault="00A22BA9" w:rsidP="00A22BA9">
      <w:pPr>
        <w:pStyle w:val="a0"/>
        <w:rPr>
          <w:kern w:val="0"/>
        </w:rPr>
      </w:pPr>
      <w:r>
        <w:rPr>
          <w:rFonts w:hint="eastAsia"/>
          <w:kern w:val="0"/>
        </w:rPr>
        <w:t xml:space="preserve">Full Text: </w:t>
      </w:r>
      <w:hyperlink r:id="rId1854" w:history="1">
        <w:r w:rsidRPr="00A22BA9">
          <w:rPr>
            <w:rStyle w:val="a5"/>
            <w:kern w:val="0"/>
          </w:rPr>
          <w:t>2009\Int J Env Sci Tec6, 451.pdf</w:t>
        </w:r>
      </w:hyperlink>
    </w:p>
    <w:p w:rsidR="001B7B1C" w:rsidRPr="00E302C2" w:rsidRDefault="001B7B1C" w:rsidP="001B7B1C">
      <w:pPr>
        <w:pStyle w:val="a0"/>
        <w:rPr>
          <w:kern w:val="0"/>
        </w:rPr>
      </w:pPr>
      <w:r w:rsidRPr="00E302C2">
        <w:rPr>
          <w:kern w:val="0"/>
        </w:rPr>
        <w:t>Abstract: Arsenic is a ubiquitous element in the environment</w:t>
      </w:r>
      <w:r w:rsidR="00F81221">
        <w:rPr>
          <w:kern w:val="0"/>
        </w:rPr>
        <w:t xml:space="preserve"> and </w:t>
      </w:r>
      <w:r w:rsidRPr="00E302C2">
        <w:rPr>
          <w:kern w:val="0"/>
        </w:rPr>
        <w:t>occurs naturally in both organic</w:t>
      </w:r>
      <w:r w:rsidR="00F81221">
        <w:rPr>
          <w:kern w:val="0"/>
        </w:rPr>
        <w:t xml:space="preserve"> and </w:t>
      </w:r>
      <w:r w:rsidRPr="00E302C2">
        <w:rPr>
          <w:kern w:val="0"/>
        </w:rPr>
        <w:t>inorganic forms. Under aerobic condition, the dominant form of arsenic in waters is arsenate, which is highly mobile</w:t>
      </w:r>
      <w:r w:rsidR="00F81221">
        <w:rPr>
          <w:kern w:val="0"/>
        </w:rPr>
        <w:t xml:space="preserve"> and </w:t>
      </w:r>
      <w:r w:rsidRPr="00E302C2">
        <w:rPr>
          <w:kern w:val="0"/>
        </w:rPr>
        <w:t>toxic. Arsenic poisoning from drinking water remains a serious world health issue. There are various standard methods for arsenic removal from drinking waters (coagulation, sorption, ion-exchange reactions or methods of reverse osmosis)</w:t>
      </w:r>
      <w:r w:rsidR="00F81221">
        <w:rPr>
          <w:kern w:val="0"/>
        </w:rPr>
        <w:t xml:space="preserve"> and </w:t>
      </w:r>
      <w:r w:rsidRPr="00E302C2">
        <w:rPr>
          <w:kern w:val="0"/>
        </w:rPr>
        <w:t>alternative methods, such as biosorption. Biosorption of arsenic from natural</w:t>
      </w:r>
      <w:r w:rsidR="00F81221">
        <w:rPr>
          <w:kern w:val="0"/>
        </w:rPr>
        <w:t xml:space="preserve"> and </w:t>
      </w:r>
      <w:r w:rsidRPr="00E302C2">
        <w:rPr>
          <w:kern w:val="0"/>
        </w:rPr>
        <w:t>model waters by native or chemically modified (with urea or ferric oxyhydroxides) plant biomass prepared from sawdust of Picea abies was studied. The kinetic of the adsorption process fitted well the pseudo second order adsorption model</w:t>
      </w:r>
      <w:r w:rsidR="00F81221">
        <w:rPr>
          <w:kern w:val="0"/>
        </w:rPr>
        <w:t xml:space="preserve"> and </w:t>
      </w:r>
      <w:r w:rsidRPr="00E302C2">
        <w:rPr>
          <w:kern w:val="0"/>
        </w:rPr>
        <w:t>equilibrium was achieved after 2 h. The results showed that biosorption was well described by both Langmuir</w:t>
      </w:r>
      <w:r w:rsidR="00F81221">
        <w:rPr>
          <w:kern w:val="0"/>
        </w:rPr>
        <w:t xml:space="preserve"> and </w:t>
      </w:r>
      <w:r w:rsidRPr="00E302C2">
        <w:rPr>
          <w:kern w:val="0"/>
        </w:rPr>
        <w:t>Freundlich isotherms. The maximum biosorption capacity of the sawdust modified with ferric oxyhydroxides, evaluated by Langmuir adsorption model, was 9.259 mg/g, while the biosorption capacity of unmodified biosorbent or biosorbent modified with urea was negligible. The adsorption capacity is comparable to results published by other authors, suggesting that the prepared chemically modified biosorbent has potential in remediation of contaminated waters</w:t>
      </w:r>
      <w:r>
        <w:rPr>
          <w:kern w:val="0"/>
        </w:rPr>
        <w:t>.</w:t>
      </w:r>
    </w:p>
    <w:p w:rsidR="001B7B1C" w:rsidRPr="00E302C2" w:rsidRDefault="001B7B1C" w:rsidP="001B7B1C">
      <w:pPr>
        <w:pStyle w:val="a0"/>
        <w:rPr>
          <w:kern w:val="0"/>
        </w:rPr>
      </w:pPr>
      <w:r w:rsidRPr="00E302C2">
        <w:rPr>
          <w:kern w:val="0"/>
        </w:rPr>
        <w:t>Keywords: Adsorption</w:t>
      </w:r>
      <w:r>
        <w:rPr>
          <w:kern w:val="0"/>
        </w:rPr>
        <w:t xml:space="preserve">, </w:t>
      </w:r>
      <w:r w:rsidRPr="00E302C2">
        <w:rPr>
          <w:kern w:val="0"/>
        </w:rPr>
        <w:t>Adsorption</w:t>
      </w:r>
      <w:r>
        <w:rPr>
          <w:kern w:val="0"/>
        </w:rPr>
        <w:t xml:space="preserve">, </w:t>
      </w:r>
      <w:r w:rsidRPr="00E302C2">
        <w:rPr>
          <w:kern w:val="0"/>
        </w:rPr>
        <w:t>Adsorption Capacity</w:t>
      </w:r>
      <w:r>
        <w:rPr>
          <w:kern w:val="0"/>
        </w:rPr>
        <w:t xml:space="preserve">, </w:t>
      </w:r>
      <w:r w:rsidRPr="00E302C2">
        <w:rPr>
          <w:kern w:val="0"/>
        </w:rPr>
        <w:t>Alternative</w:t>
      </w:r>
      <w:r>
        <w:rPr>
          <w:kern w:val="0"/>
        </w:rPr>
        <w:t xml:space="preserve">, </w:t>
      </w:r>
      <w:r w:rsidRPr="00E302C2">
        <w:rPr>
          <w:kern w:val="0"/>
        </w:rPr>
        <w:t>Aqueous Solutions</w:t>
      </w:r>
      <w:r>
        <w:rPr>
          <w:kern w:val="0"/>
        </w:rPr>
        <w:t xml:space="preserve">, </w:t>
      </w:r>
      <w:r w:rsidRPr="00E302C2">
        <w:rPr>
          <w:kern w:val="0"/>
        </w:rPr>
        <w:t>Arsenate</w:t>
      </w:r>
      <w:r>
        <w:rPr>
          <w:kern w:val="0"/>
        </w:rPr>
        <w:t xml:space="preserve">, </w:t>
      </w:r>
      <w:r w:rsidRPr="00E302C2">
        <w:rPr>
          <w:kern w:val="0"/>
        </w:rPr>
        <w:t>Arsenic</w:t>
      </w:r>
      <w:r>
        <w:rPr>
          <w:kern w:val="0"/>
        </w:rPr>
        <w:t xml:space="preserve">, </w:t>
      </w:r>
      <w:r w:rsidRPr="00E302C2">
        <w:rPr>
          <w:kern w:val="0"/>
        </w:rPr>
        <w:t>Arsenic Removal</w:t>
      </w:r>
      <w:r>
        <w:rPr>
          <w:kern w:val="0"/>
        </w:rPr>
        <w:t xml:space="preserve">, </w:t>
      </w:r>
      <w:r w:rsidRPr="00E302C2">
        <w:rPr>
          <w:kern w:val="0"/>
        </w:rPr>
        <w:t>As(III)</w:t>
      </w:r>
      <w:r>
        <w:rPr>
          <w:kern w:val="0"/>
        </w:rPr>
        <w:t xml:space="preserve">, </w:t>
      </w:r>
      <w:r w:rsidRPr="00E302C2">
        <w:rPr>
          <w:kern w:val="0"/>
        </w:rPr>
        <w:t>As(V)</w:t>
      </w:r>
      <w:r>
        <w:rPr>
          <w:kern w:val="0"/>
        </w:rPr>
        <w:t xml:space="preserve">, </w:t>
      </w:r>
      <w:r w:rsidRPr="00E302C2">
        <w:rPr>
          <w:kern w:val="0"/>
        </w:rPr>
        <w:t>Authors</w:t>
      </w:r>
      <w:r>
        <w:rPr>
          <w:kern w:val="0"/>
        </w:rPr>
        <w:t xml:space="preserve">, </w:t>
      </w:r>
      <w:r w:rsidRPr="00E302C2">
        <w:rPr>
          <w:kern w:val="0"/>
        </w:rPr>
        <w:t>Biomass</w:t>
      </w:r>
      <w:r>
        <w:rPr>
          <w:kern w:val="0"/>
        </w:rPr>
        <w:t xml:space="preserve">, </w:t>
      </w:r>
      <w:r w:rsidRPr="00E302C2">
        <w:rPr>
          <w:kern w:val="0"/>
        </w:rPr>
        <w:t>Bioremediation</w:t>
      </w:r>
      <w:r>
        <w:rPr>
          <w:kern w:val="0"/>
        </w:rPr>
        <w:t xml:space="preserve">, </w:t>
      </w:r>
      <w:r w:rsidRPr="00E302C2">
        <w:rPr>
          <w:kern w:val="0"/>
        </w:rPr>
        <w:t>Biosorbent</w:t>
      </w:r>
      <w:r>
        <w:rPr>
          <w:kern w:val="0"/>
        </w:rPr>
        <w:t xml:space="preserve">, </w:t>
      </w:r>
      <w:r w:rsidRPr="00E302C2">
        <w:rPr>
          <w:kern w:val="0"/>
        </w:rPr>
        <w:t>Biosorption</w:t>
      </w:r>
      <w:r>
        <w:rPr>
          <w:kern w:val="0"/>
        </w:rPr>
        <w:t xml:space="preserve">, </w:t>
      </w:r>
      <w:r w:rsidRPr="00E302C2">
        <w:rPr>
          <w:kern w:val="0"/>
        </w:rPr>
        <w:t>Biosorption</w:t>
      </w:r>
      <w:r>
        <w:rPr>
          <w:kern w:val="0"/>
        </w:rPr>
        <w:t xml:space="preserve">, </w:t>
      </w:r>
      <w:r w:rsidRPr="00E302C2">
        <w:rPr>
          <w:kern w:val="0"/>
        </w:rPr>
        <w:t>Capacity</w:t>
      </w:r>
      <w:r>
        <w:rPr>
          <w:kern w:val="0"/>
        </w:rPr>
        <w:t xml:space="preserve">, </w:t>
      </w:r>
      <w:r w:rsidRPr="00E302C2">
        <w:rPr>
          <w:kern w:val="0"/>
        </w:rPr>
        <w:t>Coagulation</w:t>
      </w:r>
      <w:r>
        <w:rPr>
          <w:kern w:val="0"/>
        </w:rPr>
        <w:t xml:space="preserve">, </w:t>
      </w:r>
      <w:r w:rsidRPr="00E302C2">
        <w:rPr>
          <w:kern w:val="0"/>
        </w:rPr>
        <w:t>Drinking Water</w:t>
      </w:r>
      <w:r>
        <w:rPr>
          <w:kern w:val="0"/>
        </w:rPr>
        <w:t xml:space="preserve">, </w:t>
      </w:r>
      <w:r w:rsidRPr="00E302C2">
        <w:rPr>
          <w:kern w:val="0"/>
        </w:rPr>
        <w:t>Environment</w:t>
      </w:r>
      <w:r>
        <w:rPr>
          <w:kern w:val="0"/>
        </w:rPr>
        <w:t xml:space="preserve">, </w:t>
      </w:r>
      <w:r w:rsidRPr="00E302C2">
        <w:rPr>
          <w:kern w:val="0"/>
        </w:rPr>
        <w:t>Equilibrium</w:t>
      </w:r>
      <w:r>
        <w:rPr>
          <w:kern w:val="0"/>
        </w:rPr>
        <w:t xml:space="preserve">, </w:t>
      </w:r>
      <w:r w:rsidRPr="00E302C2">
        <w:rPr>
          <w:kern w:val="0"/>
        </w:rPr>
        <w:t>Forms</w:t>
      </w:r>
      <w:r>
        <w:rPr>
          <w:kern w:val="0"/>
        </w:rPr>
        <w:t xml:space="preserve">, </w:t>
      </w:r>
      <w:r w:rsidRPr="00E302C2">
        <w:rPr>
          <w:kern w:val="0"/>
        </w:rPr>
        <w:t>Freundlich</w:t>
      </w:r>
      <w:r>
        <w:rPr>
          <w:kern w:val="0"/>
        </w:rPr>
        <w:t xml:space="preserve">, </w:t>
      </w:r>
      <w:r w:rsidRPr="00E302C2">
        <w:rPr>
          <w:kern w:val="0"/>
        </w:rPr>
        <w:t>Health</w:t>
      </w:r>
      <w:r>
        <w:rPr>
          <w:kern w:val="0"/>
        </w:rPr>
        <w:t xml:space="preserve">, </w:t>
      </w:r>
      <w:r w:rsidRPr="00E302C2">
        <w:rPr>
          <w:kern w:val="0"/>
        </w:rPr>
        <w:t>Ion Exchange</w:t>
      </w:r>
      <w:r>
        <w:rPr>
          <w:kern w:val="0"/>
        </w:rPr>
        <w:t xml:space="preserve">, </w:t>
      </w:r>
      <w:r w:rsidRPr="00E302C2">
        <w:rPr>
          <w:kern w:val="0"/>
        </w:rPr>
        <w:t>Ion-Exchange</w:t>
      </w:r>
      <w:r>
        <w:rPr>
          <w:kern w:val="0"/>
        </w:rPr>
        <w:t xml:space="preserve">, </w:t>
      </w:r>
      <w:r w:rsidRPr="00E302C2">
        <w:rPr>
          <w:kern w:val="0"/>
        </w:rPr>
        <w:t>Ionexchange</w:t>
      </w:r>
      <w:r>
        <w:rPr>
          <w:kern w:val="0"/>
        </w:rPr>
        <w:t xml:space="preserve">, </w:t>
      </w:r>
      <w:r w:rsidRPr="00E302C2">
        <w:rPr>
          <w:kern w:val="0"/>
        </w:rPr>
        <w:t>Isotherm</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Langmuir</w:t>
      </w:r>
      <w:r w:rsidR="00F81221">
        <w:rPr>
          <w:kern w:val="0"/>
        </w:rPr>
        <w:t xml:space="preserve"> and </w:t>
      </w:r>
      <w:r w:rsidRPr="00E302C2">
        <w:rPr>
          <w:kern w:val="0"/>
        </w:rPr>
        <w:t>Freundlich Isotherms</w:t>
      </w:r>
      <w:r>
        <w:rPr>
          <w:kern w:val="0"/>
        </w:rPr>
        <w:t xml:space="preserve">, </w:t>
      </w:r>
      <w:r w:rsidRPr="00E302C2">
        <w:rPr>
          <w:kern w:val="0"/>
        </w:rPr>
        <w:t>Mechanism</w:t>
      </w:r>
      <w:r>
        <w:rPr>
          <w:kern w:val="0"/>
        </w:rPr>
        <w:t xml:space="preserve">, </w:t>
      </w:r>
      <w:r w:rsidRPr="00E302C2">
        <w:rPr>
          <w:kern w:val="0"/>
        </w:rPr>
        <w:t>Methods</w:t>
      </w:r>
      <w:r>
        <w:rPr>
          <w:kern w:val="0"/>
        </w:rPr>
        <w:t xml:space="preserve">, </w:t>
      </w:r>
      <w:r w:rsidRPr="00E302C2">
        <w:rPr>
          <w:kern w:val="0"/>
        </w:rPr>
        <w:t>Mobile</w:t>
      </w:r>
      <w:r>
        <w:rPr>
          <w:kern w:val="0"/>
        </w:rPr>
        <w:t xml:space="preserve">, </w:t>
      </w:r>
      <w:r w:rsidRPr="00E302C2">
        <w:rPr>
          <w:kern w:val="0"/>
        </w:rPr>
        <w:t>Model</w:t>
      </w:r>
      <w:r>
        <w:rPr>
          <w:kern w:val="0"/>
        </w:rPr>
        <w:t xml:space="preserve">, </w:t>
      </w:r>
      <w:r w:rsidRPr="00E302C2">
        <w:rPr>
          <w:kern w:val="0"/>
        </w:rPr>
        <w:t>Modified</w:t>
      </w:r>
      <w:r>
        <w:rPr>
          <w:kern w:val="0"/>
        </w:rPr>
        <w:t xml:space="preserve">, </w:t>
      </w:r>
      <w:r w:rsidRPr="00E302C2">
        <w:rPr>
          <w:kern w:val="0"/>
        </w:rPr>
        <w:t>Modified Fungal Biomass</w:t>
      </w:r>
      <w:r>
        <w:rPr>
          <w:kern w:val="0"/>
        </w:rPr>
        <w:t xml:space="preserve">, </w:t>
      </w:r>
      <w:r w:rsidRPr="00E302C2">
        <w:rPr>
          <w:kern w:val="0"/>
        </w:rPr>
        <w:t>Natural</w:t>
      </w:r>
      <w:r>
        <w:rPr>
          <w:kern w:val="0"/>
        </w:rPr>
        <w:t xml:space="preserve">, </w:t>
      </w:r>
      <w:r w:rsidRPr="00E302C2">
        <w:rPr>
          <w:kern w:val="0"/>
        </w:rPr>
        <w:t>Organic</w:t>
      </w:r>
      <w:r>
        <w:rPr>
          <w:kern w:val="0"/>
        </w:rPr>
        <w:t xml:space="preserve">, </w:t>
      </w:r>
      <w:r w:rsidRPr="00E302C2">
        <w:rPr>
          <w:kern w:val="0"/>
        </w:rPr>
        <w:t>Osmosis</w:t>
      </w:r>
      <w:r>
        <w:rPr>
          <w:kern w:val="0"/>
        </w:rPr>
        <w:t xml:space="preserve">, </w:t>
      </w:r>
      <w:r w:rsidRPr="00E302C2">
        <w:rPr>
          <w:kern w:val="0"/>
        </w:rPr>
        <w:t>Picea Abies</w:t>
      </w:r>
      <w:r>
        <w:rPr>
          <w:kern w:val="0"/>
        </w:rPr>
        <w:t xml:space="preserve">, </w:t>
      </w:r>
      <w:r w:rsidRPr="00E302C2">
        <w:rPr>
          <w:kern w:val="0"/>
        </w:rPr>
        <w:t>Plant</w:t>
      </w:r>
      <w:r>
        <w:rPr>
          <w:kern w:val="0"/>
        </w:rPr>
        <w:t xml:space="preserve">, </w:t>
      </w:r>
      <w:r w:rsidRPr="00E302C2">
        <w:rPr>
          <w:kern w:val="0"/>
        </w:rPr>
        <w:t>Plant Biomass</w:t>
      </w:r>
      <w:r>
        <w:rPr>
          <w:kern w:val="0"/>
        </w:rPr>
        <w:t xml:space="preserve">, </w:t>
      </w:r>
      <w:r w:rsidRPr="00E302C2">
        <w:rPr>
          <w:kern w:val="0"/>
        </w:rPr>
        <w:t>Poisoning</w:t>
      </w:r>
      <w:r>
        <w:rPr>
          <w:kern w:val="0"/>
        </w:rPr>
        <w:t xml:space="preserve">, </w:t>
      </w:r>
      <w:r w:rsidRPr="00E302C2">
        <w:rPr>
          <w:kern w:val="0"/>
        </w:rPr>
        <w:t>Potential</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Remediation</w:t>
      </w:r>
      <w:r>
        <w:rPr>
          <w:kern w:val="0"/>
        </w:rPr>
        <w:t xml:space="preserve">, </w:t>
      </w:r>
      <w:r w:rsidRPr="00E302C2">
        <w:rPr>
          <w:kern w:val="0"/>
        </w:rPr>
        <w:t>Removal</w:t>
      </w:r>
      <w:r>
        <w:rPr>
          <w:kern w:val="0"/>
        </w:rPr>
        <w:t xml:space="preserve">, </w:t>
      </w:r>
      <w:r w:rsidRPr="00E302C2">
        <w:rPr>
          <w:kern w:val="0"/>
        </w:rPr>
        <w:t>Reverse Osmosis</w:t>
      </w:r>
      <w:r>
        <w:rPr>
          <w:kern w:val="0"/>
        </w:rPr>
        <w:t xml:space="preserve">, </w:t>
      </w:r>
      <w:r w:rsidRPr="00E302C2">
        <w:rPr>
          <w:kern w:val="0"/>
        </w:rPr>
        <w:t>Sawdust</w:t>
      </w:r>
      <w:r>
        <w:rPr>
          <w:kern w:val="0"/>
        </w:rPr>
        <w:t xml:space="preserve">, </w:t>
      </w:r>
      <w:r w:rsidRPr="00E302C2">
        <w:rPr>
          <w:kern w:val="0"/>
        </w:rPr>
        <w:t>Second Order</w:t>
      </w:r>
      <w:r>
        <w:rPr>
          <w:kern w:val="0"/>
        </w:rPr>
        <w:t xml:space="preserve">, </w:t>
      </w:r>
      <w:r w:rsidRPr="00E302C2">
        <w:rPr>
          <w:kern w:val="0"/>
        </w:rPr>
        <w:t>Second-Order</w:t>
      </w:r>
      <w:r>
        <w:rPr>
          <w:kern w:val="0"/>
        </w:rPr>
        <w:t xml:space="preserve">, </w:t>
      </w:r>
      <w:r w:rsidRPr="00E302C2">
        <w:rPr>
          <w:kern w:val="0"/>
        </w:rPr>
        <w:t>Solutions</w:t>
      </w:r>
      <w:r>
        <w:rPr>
          <w:kern w:val="0"/>
        </w:rPr>
        <w:t xml:space="preserve">, </w:t>
      </w:r>
      <w:r w:rsidRPr="00E302C2">
        <w:rPr>
          <w:kern w:val="0"/>
        </w:rPr>
        <w:t>Sorption</w:t>
      </w:r>
      <w:r>
        <w:rPr>
          <w:kern w:val="0"/>
        </w:rPr>
        <w:t xml:space="preserve">, </w:t>
      </w:r>
      <w:r w:rsidRPr="00E302C2">
        <w:rPr>
          <w:kern w:val="0"/>
        </w:rPr>
        <w:t>Standard</w:t>
      </w:r>
      <w:r>
        <w:rPr>
          <w:kern w:val="0"/>
        </w:rPr>
        <w:t xml:space="preserve">, </w:t>
      </w:r>
      <w:r w:rsidRPr="00E302C2">
        <w:rPr>
          <w:kern w:val="0"/>
        </w:rPr>
        <w:t>Toxic</w:t>
      </w:r>
      <w:r>
        <w:rPr>
          <w:kern w:val="0"/>
        </w:rPr>
        <w:t xml:space="preserve">, </w:t>
      </w:r>
      <w:r w:rsidRPr="00E302C2">
        <w:rPr>
          <w:kern w:val="0"/>
        </w:rPr>
        <w:t>Water</w:t>
      </w:r>
      <w:r>
        <w:rPr>
          <w:kern w:val="0"/>
        </w:rPr>
        <w:t xml:space="preserve">, </w:t>
      </w:r>
      <w:r w:rsidRPr="00E302C2">
        <w:rPr>
          <w:kern w:val="0"/>
        </w:rPr>
        <w:t>Waters</w:t>
      </w:r>
      <w:r>
        <w:rPr>
          <w:kern w:val="0"/>
        </w:rPr>
        <w:t xml:space="preserve">, </w:t>
      </w:r>
      <w:r w:rsidRPr="00E302C2">
        <w:rPr>
          <w:kern w:val="0"/>
        </w:rPr>
        <w:t>World</w:t>
      </w:r>
    </w:p>
    <w:p w:rsidR="00A71774" w:rsidRDefault="00A71774" w:rsidP="00A71774">
      <w:pPr>
        <w:pStyle w:val="a0"/>
        <w:rPr>
          <w:kern w:val="0"/>
        </w:rPr>
      </w:pPr>
      <w:r>
        <w:rPr>
          <w:rFonts w:hint="eastAsia"/>
          <w:kern w:val="0"/>
        </w:rPr>
        <w:t xml:space="preserve">? </w:t>
      </w:r>
      <w:r>
        <w:rPr>
          <w:kern w:val="0"/>
        </w:rPr>
        <w:t>Gong, R., Liang, J., Chen, J.</w:t>
      </w:r>
      <w:r w:rsidR="00F81221">
        <w:rPr>
          <w:kern w:val="0"/>
        </w:rPr>
        <w:t xml:space="preserve"> and </w:t>
      </w:r>
      <w:r>
        <w:rPr>
          <w:kern w:val="0"/>
        </w:rPr>
        <w:t xml:space="preserve">Huang, F. (2009), Removal of bisphenol A from aqueous solution by hydrophobic sorption of hemimicelles.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(4), 539-544.</w:t>
      </w:r>
    </w:p>
    <w:p w:rsidR="00A71774" w:rsidRDefault="00A71774" w:rsidP="00A71774">
      <w:pPr>
        <w:pStyle w:val="a0"/>
        <w:rPr>
          <w:kern w:val="0"/>
        </w:rPr>
      </w:pPr>
      <w:r>
        <w:rPr>
          <w:rFonts w:hint="eastAsia"/>
          <w:kern w:val="0"/>
        </w:rPr>
        <w:lastRenderedPageBreak/>
        <w:t xml:space="preserve">Full Text: </w:t>
      </w:r>
      <w:hyperlink r:id="rId1855" w:history="1">
        <w:r w:rsidRPr="00A71774">
          <w:rPr>
            <w:rStyle w:val="a5"/>
            <w:kern w:val="0"/>
          </w:rPr>
          <w:t>2009\Int J Env Sci Tec6, 539.pdf</w:t>
        </w:r>
      </w:hyperlink>
    </w:p>
    <w:p w:rsidR="00A71774" w:rsidRDefault="00A71774" w:rsidP="00A71774">
      <w:pPr>
        <w:pStyle w:val="a0"/>
        <w:rPr>
          <w:kern w:val="0"/>
        </w:rPr>
      </w:pPr>
      <w:r>
        <w:rPr>
          <w:kern w:val="0"/>
        </w:rPr>
        <w:t>Abstract: In this work, the hydrophobic sorption of hemimicelles was proposed as an innovative method for removing bisphenol A from aqueous solution with esterified carboxyl cotton as sorbent</w:t>
      </w:r>
      <w:r w:rsidR="00F81221">
        <w:rPr>
          <w:kern w:val="0"/>
        </w:rPr>
        <w:t xml:space="preserve"> and </w:t>
      </w:r>
      <w:r>
        <w:rPr>
          <w:kern w:val="0"/>
        </w:rPr>
        <w:t>cetyl trimethyl ammonium bromide as cationic surfactant. In order to optimize the sorption process, the effect of sorbent dose, initial pH, surfactant dose, sorbate concentration, contact time</w:t>
      </w:r>
      <w:r w:rsidR="00F81221">
        <w:rPr>
          <w:kern w:val="0"/>
        </w:rPr>
        <w:t xml:space="preserve"> and </w:t>
      </w:r>
      <w:r>
        <w:rPr>
          <w:kern w:val="0"/>
        </w:rPr>
        <w:t>temperature was investigated in batch system. The maximum value of bisphenol A removal appeared in the pH range 4-10. The bisphenol A removal ratio came up to the maximum value beyond 12 time of surfactant/bisphenol A. The isothermal data of bisphenol A sorption conformed well to the Langmuir model</w:t>
      </w:r>
      <w:r w:rsidR="00F81221">
        <w:rPr>
          <w:kern w:val="0"/>
        </w:rPr>
        <w:t xml:space="preserve"> and </w:t>
      </w:r>
      <w:r>
        <w:rPr>
          <w:kern w:val="0"/>
        </w:rPr>
        <w:t>the maximum sorption capacity (</w:t>
      </w:r>
      <w:r w:rsidRPr="009E4452">
        <w:rPr>
          <w:i/>
          <w:kern w:val="0"/>
        </w:rPr>
        <w:t>Q</w:t>
      </w:r>
      <w:r>
        <w:rPr>
          <w:rFonts w:hint="eastAsia"/>
          <w:kern w:val="0"/>
          <w:vertAlign w:val="subscript"/>
        </w:rPr>
        <w:t>m</w:t>
      </w:r>
      <w:r>
        <w:rPr>
          <w:kern w:val="0"/>
        </w:rPr>
        <w:t>) of esterified carboxyl cotton for bisphenol A was 87.72 mg/g. The bisphenol A removal equilibrium was reached within about 4 h</w:t>
      </w:r>
      <w:r w:rsidR="00F81221">
        <w:rPr>
          <w:kern w:val="0"/>
        </w:rPr>
        <w:t xml:space="preserve"> and </w:t>
      </w:r>
      <w:r>
        <w:rPr>
          <w:kern w:val="0"/>
        </w:rPr>
        <w:t>the removal process could be described by the pseudo-second-order kinetic model. The thermodynamic study indicated that the bisphenol A sorption process was spontaneous</w:t>
      </w:r>
      <w:r w:rsidR="00F81221">
        <w:rPr>
          <w:kern w:val="0"/>
        </w:rPr>
        <w:t xml:space="preserve"> and </w:t>
      </w:r>
      <w:r>
        <w:rPr>
          <w:kern w:val="0"/>
        </w:rPr>
        <w:t>exothermic.</w:t>
      </w:r>
    </w:p>
    <w:p w:rsidR="00A71774" w:rsidRDefault="00A71774" w:rsidP="00A71774">
      <w:pPr>
        <w:pStyle w:val="a0"/>
        <w:rPr>
          <w:kern w:val="0"/>
        </w:rPr>
      </w:pPr>
      <w:r>
        <w:rPr>
          <w:kern w:val="0"/>
        </w:rPr>
        <w:t xml:space="preserve">Keywords: Absorption, Adsorption Characteristics, Ammonium, Aqueous Solution, Batch, Batch System, Behavior, Bisphenol A, Bromide, Capacity, Carbon, Cationic Surfactant, Cells, Cetyl Trimethyl Ammonium Bromide, Concentration, Data, Degradation, Endocrine Disrupting Chemical, Equilibrium, Esterified Carboxyl Cotton, Estradiol, Exothermic, Isothermal, Kinetic, Kinetic Model, Langmuir, Langmuir Model, Model, </w:t>
      </w:r>
      <w:r>
        <w:rPr>
          <w:rFonts w:hint="eastAsia"/>
          <w:kern w:val="0"/>
        </w:rPr>
        <w:t>p</w:t>
      </w:r>
      <w:r>
        <w:rPr>
          <w:kern w:val="0"/>
        </w:rPr>
        <w:t>H, Phenols, Pseudo Second Order, Pseudo-Second-Order, Pseudo-Second-Order Kinetic Model, Removal, Solution, Sorbate, Sorbent, Sorbent Dose, Sorption, Sorption Capacity, Sorption Process, Surfactant, Temperature, Thermodynamic, Value, Waste, Water, Work</w:t>
      </w:r>
    </w:p>
    <w:p w:rsidR="00510A85" w:rsidRDefault="00510A85" w:rsidP="00510A85">
      <w:pPr>
        <w:pStyle w:val="a0"/>
        <w:rPr>
          <w:kern w:val="0"/>
        </w:rPr>
      </w:pPr>
      <w:r>
        <w:rPr>
          <w:rFonts w:hint="eastAsia"/>
          <w:kern w:val="0"/>
        </w:rPr>
        <w:t xml:space="preserve">? </w:t>
      </w:r>
      <w:r>
        <w:rPr>
          <w:kern w:val="0"/>
        </w:rPr>
        <w:t>Boldaji, M.R., Mahvi, A.H., Dobaradaran, S.</w:t>
      </w:r>
      <w:r w:rsidR="00F81221">
        <w:rPr>
          <w:kern w:val="0"/>
        </w:rPr>
        <w:t xml:space="preserve"> and </w:t>
      </w:r>
      <w:r>
        <w:rPr>
          <w:kern w:val="0"/>
        </w:rPr>
        <w:t xml:space="preserve">Hosseini, S.S. (2009), Evaluating the effectiveness of a hybrid sorbent resin in removing fluoride from water.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(4), 629-632.</w:t>
      </w:r>
    </w:p>
    <w:p w:rsidR="00510A85" w:rsidRPr="00F03D2F" w:rsidRDefault="00510A85" w:rsidP="00510A85">
      <w:pPr>
        <w:pStyle w:val="a0"/>
        <w:rPr>
          <w:kern w:val="0"/>
        </w:rPr>
      </w:pPr>
      <w:r w:rsidRPr="00F03D2F">
        <w:rPr>
          <w:kern w:val="0"/>
        </w:rPr>
        <w:t>Full Text:</w:t>
      </w:r>
      <w:r w:rsidRPr="00D7601C">
        <w:t xml:space="preserve"> </w:t>
      </w:r>
      <w:hyperlink r:id="rId1856" w:history="1">
        <w:r w:rsidR="00320B81" w:rsidRPr="00320B81">
          <w:rPr>
            <w:rStyle w:val="a5"/>
          </w:rPr>
          <w:t>2009\Int J Env Sci Tec6, 629.pdf</w:t>
        </w:r>
      </w:hyperlink>
    </w:p>
    <w:p w:rsidR="00510A85" w:rsidRDefault="00510A85" w:rsidP="00510A85">
      <w:pPr>
        <w:pStyle w:val="a0"/>
        <w:rPr>
          <w:kern w:val="0"/>
        </w:rPr>
      </w:pPr>
      <w:r>
        <w:rPr>
          <w:kern w:val="0"/>
        </w:rPr>
        <w:t>Abstract: In some regions of the world, the concentration of fluoride in groundwater is high. To reduce the amount of fluoride to acceptable drinking water standard, it is highly recommended to treat the water. Fluoride adsorption in aqueous solution by a hybrid resin was studied in this research because of its functional groups likeness with goethite. Kinetic data showed that F adsorption was rapid in the beginning</w:t>
      </w:r>
      <w:r w:rsidR="00F81221">
        <w:rPr>
          <w:kern w:val="0"/>
        </w:rPr>
        <w:t xml:space="preserve"> and </w:t>
      </w:r>
      <w:r>
        <w:rPr>
          <w:kern w:val="0"/>
        </w:rPr>
        <w:t>maximum uptake occurred in within 10 min</w:t>
      </w:r>
      <w:r w:rsidR="00F81221">
        <w:rPr>
          <w:kern w:val="0"/>
        </w:rPr>
        <w:t xml:space="preserve"> and </w:t>
      </w:r>
      <w:r>
        <w:rPr>
          <w:kern w:val="0"/>
        </w:rPr>
        <w:t>equilibrium reached within 100 min. The experimental results showed that fluoride adsorption was influenced by pH of solution</w:t>
      </w:r>
      <w:r w:rsidR="00F81221">
        <w:rPr>
          <w:kern w:val="0"/>
        </w:rPr>
        <w:t xml:space="preserve"> and </w:t>
      </w:r>
      <w:r>
        <w:rPr>
          <w:kern w:val="0"/>
        </w:rPr>
        <w:t>optimum operating pH was in the range of 3 to 5.5. Langmuir model was applicable to the present study</w:t>
      </w:r>
      <w:r w:rsidR="00F81221">
        <w:rPr>
          <w:kern w:val="0"/>
        </w:rPr>
        <w:t xml:space="preserve"> and </w:t>
      </w:r>
      <w:r>
        <w:rPr>
          <w:kern w:val="0"/>
        </w:rPr>
        <w:t>F ions were exchanged with hydroxide ions in nano-scaled structure on the surface of sorbent. This adsorbent with 61% efficiency is suitable for the regions where F concentration is less than 4 mg, L.</w:t>
      </w:r>
    </w:p>
    <w:p w:rsidR="00510A85" w:rsidRDefault="00510A85" w:rsidP="00510A85">
      <w:pPr>
        <w:pStyle w:val="a0"/>
        <w:rPr>
          <w:kern w:val="0"/>
        </w:rPr>
      </w:pPr>
      <w:r>
        <w:rPr>
          <w:kern w:val="0"/>
        </w:rPr>
        <w:t xml:space="preserve">Keywords: Activated Alumina, Adsorption, Aqueous-Solution, Dashtestan, Drinking </w:t>
      </w:r>
      <w:r>
        <w:rPr>
          <w:kern w:val="0"/>
        </w:rPr>
        <w:lastRenderedPageBreak/>
        <w:t>Water, Equilibrium, F, Fluoride, Fluoride Removal, Functional Groups, Goethite, Goethite, Groundwater, Hybrid Resin, Ions, Iran, Kinetic, Kinetics, Langmuir, Langmuir Model, Research, Sorbent, Water</w:t>
      </w:r>
    </w:p>
    <w:p w:rsidR="00510A85" w:rsidRDefault="00510A85" w:rsidP="00510A85">
      <w:pPr>
        <w:pStyle w:val="a0"/>
        <w:rPr>
          <w:kern w:val="0"/>
        </w:rPr>
      </w:pPr>
      <w:r>
        <w:rPr>
          <w:rFonts w:hint="eastAsia"/>
          <w:kern w:val="0"/>
        </w:rPr>
        <w:t xml:space="preserve">? </w:t>
      </w:r>
      <w:r>
        <w:rPr>
          <w:kern w:val="0"/>
        </w:rPr>
        <w:t>Subramanyam, B.</w:t>
      </w:r>
      <w:r w:rsidR="00F81221">
        <w:rPr>
          <w:kern w:val="0"/>
        </w:rPr>
        <w:t xml:space="preserve"> and </w:t>
      </w:r>
      <w:r>
        <w:rPr>
          <w:kern w:val="0"/>
        </w:rPr>
        <w:t>Das, A. (2009), Linearized</w:t>
      </w:r>
      <w:r w:rsidR="00F81221">
        <w:rPr>
          <w:kern w:val="0"/>
        </w:rPr>
        <w:t xml:space="preserve"> and </w:t>
      </w:r>
      <w:r>
        <w:rPr>
          <w:kern w:val="0"/>
        </w:rPr>
        <w:t xml:space="preserve">non-linearized isotherm models comparative study on adsorption of aqueous phenol solution in soil.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6</w:t>
      </w:r>
      <w:r>
        <w:rPr>
          <w:kern w:val="0"/>
        </w:rPr>
        <w:t xml:space="preserve"> (4), 633-640.</w:t>
      </w:r>
    </w:p>
    <w:p w:rsidR="00510A85" w:rsidRPr="00F03D2F" w:rsidRDefault="00510A85" w:rsidP="00510A85">
      <w:pPr>
        <w:pStyle w:val="a0"/>
        <w:rPr>
          <w:kern w:val="0"/>
        </w:rPr>
      </w:pPr>
      <w:r w:rsidRPr="00F03D2F">
        <w:rPr>
          <w:kern w:val="0"/>
        </w:rPr>
        <w:t>Full Text:</w:t>
      </w:r>
      <w:r w:rsidRPr="00D7601C">
        <w:t xml:space="preserve"> </w:t>
      </w:r>
      <w:hyperlink r:id="rId1857" w:history="1">
        <w:r w:rsidR="00320B81" w:rsidRPr="00320B81">
          <w:rPr>
            <w:rStyle w:val="a5"/>
          </w:rPr>
          <w:t>2009\Int J Env Sci Tec6, 633.pdf</w:t>
        </w:r>
      </w:hyperlink>
    </w:p>
    <w:p w:rsidR="00510A85" w:rsidRDefault="00510A85" w:rsidP="00510A85">
      <w:pPr>
        <w:pStyle w:val="a0"/>
        <w:rPr>
          <w:kern w:val="0"/>
        </w:rPr>
      </w:pPr>
      <w:r>
        <w:rPr>
          <w:kern w:val="0"/>
        </w:rPr>
        <w:t>Abstract: Use of native soil in adsorption of phenol from industrial wastewater has been one of the attractive option for dephenolation, especially in view of low cost</w:t>
      </w:r>
      <w:r w:rsidR="00F81221">
        <w:rPr>
          <w:kern w:val="0"/>
        </w:rPr>
        <w:t xml:space="preserve"> and </w:t>
      </w:r>
      <w:r>
        <w:rPr>
          <w:kern w:val="0"/>
        </w:rPr>
        <w:t>ease in accessibility, as well as scope for regeneration (or, at least reuse). However, an effective usage of the adsorbent necessitates a deeper understanding of the adsorption characteristics. Most of the study of adsorption characteristics are confined to analysis of mono-</w:t>
      </w:r>
      <w:r w:rsidR="00F81221">
        <w:rPr>
          <w:kern w:val="0"/>
        </w:rPr>
        <w:t xml:space="preserve"> and </w:t>
      </w:r>
      <w:r>
        <w:rPr>
          <w:kern w:val="0"/>
        </w:rPr>
        <w:t>bi-parametric isotherm models (and rarely, linearized multi-parametric isotherm models), due to the difficulties in solving higher parametric models, as well as fairly satisfying results by lower-parametric models. In the present study, adsorption batch studies were carried out using a naturally</w:t>
      </w:r>
      <w:r w:rsidR="00F81221">
        <w:rPr>
          <w:kern w:val="0"/>
        </w:rPr>
        <w:t xml:space="preserve"> and </w:t>
      </w:r>
      <w:r>
        <w:rPr>
          <w:kern w:val="0"/>
        </w:rPr>
        <w:t>widely available common soil of south India (namely, Adhanur soil), for removal of phenol from the aqueous solution, with an explicit objective of comparison of linear</w:t>
      </w:r>
      <w:r w:rsidR="00F81221">
        <w:rPr>
          <w:kern w:val="0"/>
        </w:rPr>
        <w:t xml:space="preserve"> and </w:t>
      </w:r>
      <w:r>
        <w:rPr>
          <w:kern w:val="0"/>
        </w:rPr>
        <w:t>non-linear regression methods for finding variation in isotherm coefficients</w:t>
      </w:r>
      <w:r w:rsidR="00F81221">
        <w:rPr>
          <w:kern w:val="0"/>
        </w:rPr>
        <w:t xml:space="preserve"> and </w:t>
      </w:r>
      <w:r>
        <w:rPr>
          <w:kern w:val="0"/>
        </w:rPr>
        <w:t>fitness of the models. Six linearized isotherm models (including four linearized Langmuir models)</w:t>
      </w:r>
      <w:r w:rsidR="00F81221">
        <w:rPr>
          <w:kern w:val="0"/>
        </w:rPr>
        <w:t xml:space="preserve"> and </w:t>
      </w:r>
      <w:r>
        <w:rPr>
          <w:kern w:val="0"/>
        </w:rPr>
        <w:t>three non-linear isotherm model were discussed in this paper,</w:t>
      </w:r>
      <w:r w:rsidR="00F81221">
        <w:rPr>
          <w:kern w:val="0"/>
        </w:rPr>
        <w:t xml:space="preserve"> and </w:t>
      </w:r>
      <w:r>
        <w:rPr>
          <w:kern w:val="0"/>
        </w:rPr>
        <w:t>their coefficients were estimated. Although all the studied isotherm models showed fairly good fit to the experimental data, but Redlich-Peterson isotherm was found to be the best representative for phenol-sorption on the used soil adsorbent. Besides, it was observed that to determine the isotherm parameters non-linear isotherm models were found to be the best representative of adsorption characteristics, than their linearized counter-parts.</w:t>
      </w:r>
    </w:p>
    <w:p w:rsidR="00510A85" w:rsidRDefault="00510A85" w:rsidP="00510A85">
      <w:pPr>
        <w:pStyle w:val="a0"/>
        <w:rPr>
          <w:kern w:val="0"/>
        </w:rPr>
      </w:pPr>
      <w:r>
        <w:rPr>
          <w:kern w:val="0"/>
        </w:rPr>
        <w:t>Keywords: Activated Carbon, Adhanur Soil, Adsorption, Basic Dye Adsorption, Batch, Chlorinated Phenols, Dephenolation, Fitness, Fly-Ash, India, Isotherm, Kinetics, Langmuir, Lead, Multi-Parametric Coefficients, Nonlinear Methods, Regression, Removal, Soil, Sorption Isotherm, Waste-Water, Wastewater</w:t>
      </w:r>
    </w:p>
    <w:p w:rsidR="00510A85" w:rsidRDefault="00510A85" w:rsidP="00510A85">
      <w:pPr>
        <w:pStyle w:val="a0"/>
        <w:rPr>
          <w:kern w:val="0"/>
        </w:rPr>
      </w:pPr>
      <w:r>
        <w:rPr>
          <w:rFonts w:hint="eastAsia"/>
          <w:kern w:val="0"/>
        </w:rPr>
        <w:t xml:space="preserve">? </w:t>
      </w:r>
      <w:r>
        <w:rPr>
          <w:kern w:val="0"/>
        </w:rPr>
        <w:t>Luo, Z., Wadhawan, A.</w:t>
      </w:r>
      <w:r w:rsidR="00F81221">
        <w:rPr>
          <w:kern w:val="0"/>
        </w:rPr>
        <w:t xml:space="preserve"> and </w:t>
      </w:r>
      <w:r>
        <w:rPr>
          <w:kern w:val="0"/>
        </w:rPr>
        <w:t xml:space="preserve">Bouwer, E.J. (2010), Sorption behavior of nine chromium(III) organic complexes in soil.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(1), 1-10.</w:t>
      </w:r>
    </w:p>
    <w:p w:rsidR="00510A85" w:rsidRPr="00F03D2F" w:rsidRDefault="00510A85" w:rsidP="00510A85">
      <w:pPr>
        <w:pStyle w:val="a0"/>
        <w:rPr>
          <w:kern w:val="0"/>
        </w:rPr>
      </w:pPr>
      <w:r w:rsidRPr="00F03D2F">
        <w:rPr>
          <w:kern w:val="0"/>
        </w:rPr>
        <w:t>Full Text:</w:t>
      </w:r>
      <w:r w:rsidRPr="00D7601C">
        <w:t xml:space="preserve"> </w:t>
      </w:r>
      <w:hyperlink r:id="rId1858" w:history="1">
        <w:r w:rsidRPr="00510A85">
          <w:rPr>
            <w:rStyle w:val="a5"/>
          </w:rPr>
          <w:t>2010\Int J Env Sci Tec7, 1.pdf</w:t>
        </w:r>
      </w:hyperlink>
    </w:p>
    <w:p w:rsidR="00510A85" w:rsidRDefault="00510A85" w:rsidP="00510A85">
      <w:pPr>
        <w:pStyle w:val="a0"/>
        <w:rPr>
          <w:kern w:val="0"/>
        </w:rPr>
      </w:pPr>
      <w:r>
        <w:rPr>
          <w:kern w:val="0"/>
        </w:rPr>
        <w:t>Abstract: Sorption data were obtained with a Matawan soil</w:t>
      </w:r>
      <w:r w:rsidR="00F81221">
        <w:rPr>
          <w:kern w:val="0"/>
        </w:rPr>
        <w:t xml:space="preserve"> and </w:t>
      </w:r>
      <w:r>
        <w:rPr>
          <w:kern w:val="0"/>
        </w:rPr>
        <w:t>the following chromium(III) organic complexes: chromium(III) ascorbate, chromium(III) glutamate, chromium(III) histidine, chromium(III) mandelate, chromium(III) citrate, chromium(III) cysteine, chromium(III) serine, chromium(III) pyruvate</w:t>
      </w:r>
      <w:r w:rsidR="00F81221">
        <w:rPr>
          <w:kern w:val="0"/>
        </w:rPr>
        <w:t xml:space="preserve"> and </w:t>
      </w:r>
      <w:r>
        <w:rPr>
          <w:kern w:val="0"/>
        </w:rPr>
        <w:lastRenderedPageBreak/>
        <w:t>chromium(III) oxalate. The influence of pH (2-12), ionic strength (0.005-1 M)</w:t>
      </w:r>
      <w:r w:rsidR="00F81221">
        <w:rPr>
          <w:kern w:val="0"/>
        </w:rPr>
        <w:t xml:space="preserve"> and </w:t>
      </w:r>
      <w:r>
        <w:rPr>
          <w:kern w:val="0"/>
        </w:rPr>
        <w:t>concentration of sorbate (1-10 mg, L) on the extent of sorption was evaluated. The pH value did not influence the percent sorption at environmentally relevant pH 7. Ionic strength between 0.005</w:t>
      </w:r>
      <w:r w:rsidR="00F81221">
        <w:rPr>
          <w:kern w:val="0"/>
        </w:rPr>
        <w:t xml:space="preserve"> and </w:t>
      </w:r>
      <w:r>
        <w:rPr>
          <w:kern w:val="0"/>
        </w:rPr>
        <w:t>0.01 M KNO3 did not influence the sorption. Sorption</w:t>
      </w:r>
      <w:r w:rsidR="00F81221">
        <w:rPr>
          <w:kern w:val="0"/>
        </w:rPr>
        <w:t xml:space="preserve"> and </w:t>
      </w:r>
      <w:r>
        <w:rPr>
          <w:kern w:val="0"/>
        </w:rPr>
        <w:t>desorption data obtained at pH 7, 0.01 M KNO3</w:t>
      </w:r>
      <w:r w:rsidR="00F81221">
        <w:rPr>
          <w:kern w:val="0"/>
        </w:rPr>
        <w:t xml:space="preserve"> and </w:t>
      </w:r>
      <w:r>
        <w:rPr>
          <w:kern w:val="0"/>
        </w:rPr>
        <w:t>1-10 mg, L for each chromium(III) organic complex were analyzed using Freundlich</w:t>
      </w:r>
      <w:r w:rsidR="00F81221">
        <w:rPr>
          <w:kern w:val="0"/>
        </w:rPr>
        <w:t xml:space="preserve"> and </w:t>
      </w:r>
      <w:r>
        <w:rPr>
          <w:kern w:val="0"/>
        </w:rPr>
        <w:t>Langmuir models. The Freundlich model provided good fits for all of the chromium(III) organic complexes. Sorption data for chromium(III) glutamate, chromium(III) pyruvate, chromium(III) oxalate, chromium(III) cysteine, chromium(III) ascorbate</w:t>
      </w:r>
      <w:r w:rsidR="00F81221">
        <w:rPr>
          <w:kern w:val="0"/>
        </w:rPr>
        <w:t xml:space="preserve"> and </w:t>
      </w:r>
      <w:r>
        <w:rPr>
          <w:kern w:val="0"/>
        </w:rPr>
        <w:t>chromium(III) citrate were described well by the Langmuir model. Estimates for the saturated sorption capacities were 141, 70.9, 36.5, 35.5, 28.6</w:t>
      </w:r>
      <w:r w:rsidR="00F81221">
        <w:rPr>
          <w:kern w:val="0"/>
        </w:rPr>
        <w:t xml:space="preserve"> and </w:t>
      </w:r>
      <w:r>
        <w:rPr>
          <w:kern w:val="0"/>
        </w:rPr>
        <w:t>4.4 mu g, g, respectively. It was not possible to desorb significant amounts of the previously sorbed chromium(III) organic complexes. At the same pH, ionic strength</w:t>
      </w:r>
      <w:r w:rsidR="00F81221">
        <w:rPr>
          <w:kern w:val="0"/>
        </w:rPr>
        <w:t xml:space="preserve"> and </w:t>
      </w:r>
      <w:r>
        <w:rPr>
          <w:kern w:val="0"/>
        </w:rPr>
        <w:t>solid: liquid ratio, the order of the observed sorption to the Matawan soil from highest to lowest was chromium(III) mandelate, chromium(III) glutamate, chromium(III) histidine, chromium(III) cysteine, chromium(III) serine, chromium(III) pyruvate, chromium(III) oxalate, chromium(III) ascorbate</w:t>
      </w:r>
      <w:r w:rsidR="00F81221">
        <w:rPr>
          <w:kern w:val="0"/>
        </w:rPr>
        <w:t xml:space="preserve"> and </w:t>
      </w:r>
      <w:r>
        <w:rPr>
          <w:kern w:val="0"/>
        </w:rPr>
        <w:t>chromium(III) citrate.</w:t>
      </w:r>
    </w:p>
    <w:p w:rsidR="00510A85" w:rsidRDefault="00510A85" w:rsidP="00510A85">
      <w:pPr>
        <w:pStyle w:val="a0"/>
        <w:rPr>
          <w:kern w:val="0"/>
        </w:rPr>
      </w:pPr>
      <w:r>
        <w:rPr>
          <w:kern w:val="0"/>
        </w:rPr>
        <w:t>Keywords: Activation, Adsorption, Chromium(III) Ascorbate, Chromium(III) Citrate, Chromium(III) Cysteine, Chromium(III) Histidine, Chromium(III) Serine, Complex, Desorption, Freundlich, Freundlich Isotherm, Geochemistry, Hexavalent, Langmuir, Organo-Chromium(III) Complexes, Pathways, Soil, Solubility, Sorption, Speciation, Toxicity, Water</w:t>
      </w:r>
    </w:p>
    <w:p w:rsidR="00510A85" w:rsidRDefault="00510A85" w:rsidP="00510A85">
      <w:pPr>
        <w:pStyle w:val="a0"/>
        <w:rPr>
          <w:kern w:val="0"/>
        </w:rPr>
      </w:pPr>
      <w:r>
        <w:rPr>
          <w:rFonts w:hint="eastAsia"/>
          <w:kern w:val="0"/>
        </w:rPr>
        <w:t xml:space="preserve">? </w:t>
      </w:r>
      <w:r>
        <w:rPr>
          <w:kern w:val="0"/>
        </w:rPr>
        <w:t>Rafati, L., Mahvi, A.H., Asgari, A.R.</w:t>
      </w:r>
      <w:r w:rsidR="00F81221">
        <w:rPr>
          <w:kern w:val="0"/>
        </w:rPr>
        <w:t xml:space="preserve"> and </w:t>
      </w:r>
      <w:r>
        <w:rPr>
          <w:kern w:val="0"/>
        </w:rPr>
        <w:t xml:space="preserve">Hosseini, S.S. (2010), Removal of chromium(VI) from aqueous solutions using Lewatit FO36 nano ion exchange resin.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(1), 147-156.</w:t>
      </w:r>
    </w:p>
    <w:p w:rsidR="00510A85" w:rsidRPr="00F03D2F" w:rsidRDefault="00510A85" w:rsidP="00510A85">
      <w:pPr>
        <w:pStyle w:val="a0"/>
        <w:rPr>
          <w:kern w:val="0"/>
        </w:rPr>
      </w:pPr>
      <w:r w:rsidRPr="00F03D2F">
        <w:rPr>
          <w:kern w:val="0"/>
        </w:rPr>
        <w:t>Full Text:</w:t>
      </w:r>
      <w:r w:rsidRPr="00D7601C">
        <w:t xml:space="preserve"> </w:t>
      </w:r>
      <w:hyperlink r:id="rId1859" w:history="1">
        <w:r w:rsidRPr="00510A85">
          <w:rPr>
            <w:rStyle w:val="a5"/>
          </w:rPr>
          <w:t>2010\Int J Env Sci Tec7, 147.pdf</w:t>
        </w:r>
      </w:hyperlink>
    </w:p>
    <w:p w:rsidR="00510A85" w:rsidRDefault="00510A85" w:rsidP="00510A85">
      <w:pPr>
        <w:pStyle w:val="a0"/>
        <w:rPr>
          <w:kern w:val="0"/>
        </w:rPr>
      </w:pPr>
      <w:r>
        <w:rPr>
          <w:kern w:val="0"/>
        </w:rPr>
        <w:t>Abstract: The removal of the chromium(VI) ion from aqueous solutions with the Lewatit FO36 ion-exchange resin is described at different conditions. The effects of adsorbent dose, initial metal concentration, contact time</w:t>
      </w:r>
      <w:r w:rsidR="00F81221">
        <w:rPr>
          <w:kern w:val="0"/>
        </w:rPr>
        <w:t xml:space="preserve"> and </w:t>
      </w:r>
      <w:r>
        <w:rPr>
          <w:kern w:val="0"/>
        </w:rPr>
        <w:t>pH on the removal of chromium(VI) were investigated. The batch ion exchange process was relatively fast</w:t>
      </w:r>
      <w:r w:rsidR="00F81221">
        <w:rPr>
          <w:kern w:val="0"/>
        </w:rPr>
        <w:t xml:space="preserve"> and </w:t>
      </w:r>
      <w:r>
        <w:rPr>
          <w:kern w:val="0"/>
        </w:rPr>
        <w:t>it reached equilibrium after about 90 min of contact. The ion exchange process, which is pH dependent showed maximum removal of chromium(VI) in the pH range 5.0-8.0 for an initial chromium(VI) concentration of 0.5 mg, dm(3). The equilibrium related to Lewatit FO36 ion-exchange capacity</w:t>
      </w:r>
      <w:r w:rsidR="00F81221">
        <w:rPr>
          <w:kern w:val="0"/>
        </w:rPr>
        <w:t xml:space="preserve"> and </w:t>
      </w:r>
      <w:r>
        <w:rPr>
          <w:kern w:val="0"/>
        </w:rPr>
        <w:t>the amounts of the ion exchange were obtained using the plots of the Langmuir adsorption isotherm. It was observed that the maximum ion exchange capacity of 0.29 mmol of chromium(VI), g for Lewatit FO36 was achieved at optimum pH value of 6.0. The ion exchange of chromium(VI) on this cation-exchange resin followed first-order reversible kinetics.</w:t>
      </w:r>
    </w:p>
    <w:p w:rsidR="00510A85" w:rsidRDefault="00510A85" w:rsidP="00510A85">
      <w:pPr>
        <w:pStyle w:val="a0"/>
        <w:rPr>
          <w:kern w:val="0"/>
        </w:rPr>
      </w:pPr>
      <w:r>
        <w:rPr>
          <w:kern w:val="0"/>
        </w:rPr>
        <w:t xml:space="preserve">Keywords: Abundantly Available Adsorbents, Adsorption, Adsorption Isotherm, </w:t>
      </w:r>
      <w:r>
        <w:rPr>
          <w:kern w:val="0"/>
        </w:rPr>
        <w:lastRenderedPageBreak/>
        <w:t>Adsorption Properties, Batch, Cadmium(II), Cation Exchange, Chromium(VI), Copper(II), Equilibrium, Heavy-Metal Ions, Hexavalent Chromium, Ion Exchange, Ion Exchange Kinetics, Isotherm, Kinetics, Langmuir, Lewatit FO36, NANO Resin, Preconcentration, Removal, Sorbent, Sorption, Waste-Water</w:t>
      </w:r>
    </w:p>
    <w:p w:rsidR="008A4591" w:rsidRDefault="008A4591" w:rsidP="008A4591">
      <w:pPr>
        <w:pStyle w:val="a0"/>
        <w:rPr>
          <w:kern w:val="0"/>
        </w:rPr>
      </w:pPr>
      <w:r>
        <w:rPr>
          <w:rFonts w:hint="eastAsia"/>
          <w:kern w:val="0"/>
        </w:rPr>
        <w:t xml:space="preserve">? </w:t>
      </w:r>
      <w:r>
        <w:rPr>
          <w:kern w:val="0"/>
        </w:rPr>
        <w:t>Vinodhini, V.</w:t>
      </w:r>
      <w:r w:rsidR="00F81221">
        <w:rPr>
          <w:kern w:val="0"/>
        </w:rPr>
        <w:t xml:space="preserve"> and </w:t>
      </w:r>
      <w:r>
        <w:rPr>
          <w:kern w:val="0"/>
        </w:rPr>
        <w:t>Das, N. (2010), Relevant approach to assess the performance of s</w:t>
      </w:r>
      <w:r w:rsidR="001E3EA3">
        <w:rPr>
          <w:kern w:val="0"/>
        </w:rPr>
        <w:t>awdust as adsorbent of chromium</w:t>
      </w:r>
      <w:r>
        <w:rPr>
          <w:kern w:val="0"/>
        </w:rPr>
        <w:t xml:space="preserve">(VI) ions from aqueous solutions.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(1), 85-92.</w:t>
      </w:r>
    </w:p>
    <w:p w:rsidR="008A4591" w:rsidRDefault="008A4591" w:rsidP="008A4591">
      <w:pPr>
        <w:pStyle w:val="a0"/>
        <w:rPr>
          <w:kern w:val="0"/>
        </w:rPr>
      </w:pPr>
      <w:r>
        <w:rPr>
          <w:kern w:val="0"/>
        </w:rPr>
        <w:t>Full Text:</w:t>
      </w:r>
      <w:r w:rsidRPr="00B025C1">
        <w:t xml:space="preserve"> </w:t>
      </w:r>
      <w:hyperlink r:id="rId1860" w:history="1">
        <w:r w:rsidRPr="00070842">
          <w:rPr>
            <w:rStyle w:val="a5"/>
          </w:rPr>
          <w:t>2010\Int J Env Sci Tec7, 85.pdf</w:t>
        </w:r>
      </w:hyperlink>
    </w:p>
    <w:p w:rsidR="008A4591" w:rsidRDefault="008A4591" w:rsidP="008A4591">
      <w:pPr>
        <w:pStyle w:val="a0"/>
        <w:rPr>
          <w:kern w:val="0"/>
        </w:rPr>
      </w:pPr>
      <w:r>
        <w:rPr>
          <w:kern w:val="0"/>
        </w:rPr>
        <w:t>Abstra</w:t>
      </w:r>
      <w:r w:rsidR="001E3EA3">
        <w:rPr>
          <w:kern w:val="0"/>
        </w:rPr>
        <w:t>ct: The biosorption of chromium</w:t>
      </w:r>
      <w:r>
        <w:rPr>
          <w:kern w:val="0"/>
        </w:rPr>
        <w:t>(VI) ions from aqueous solutions by two adsorbents viz. mango</w:t>
      </w:r>
      <w:r w:rsidR="00F81221">
        <w:rPr>
          <w:kern w:val="0"/>
        </w:rPr>
        <w:t xml:space="preserve"> and </w:t>
      </w:r>
      <w:r>
        <w:rPr>
          <w:kern w:val="0"/>
        </w:rPr>
        <w:t xml:space="preserve">neem sawdust was studied under a batch mode. An initial pH of 2.0 </w:t>
      </w:r>
      <w:r w:rsidR="001E3EA3">
        <w:rPr>
          <w:kern w:val="0"/>
        </w:rPr>
        <w:t>was most favorable for chromium</w:t>
      </w:r>
      <w:r>
        <w:rPr>
          <w:kern w:val="0"/>
        </w:rPr>
        <w:t>(VI) removal by both the adsorbents. The results obtained for the final concentration of chromium</w:t>
      </w:r>
      <w:r w:rsidR="001E3EA3">
        <w:rPr>
          <w:kern w:val="0"/>
        </w:rPr>
        <w:t>(</w:t>
      </w:r>
      <w:r>
        <w:rPr>
          <w:kern w:val="0"/>
        </w:rPr>
        <w:t>VI)</w:t>
      </w:r>
      <w:r w:rsidR="00F81221">
        <w:rPr>
          <w:kern w:val="0"/>
        </w:rPr>
        <w:t xml:space="preserve"> and </w:t>
      </w:r>
      <w:r>
        <w:rPr>
          <w:kern w:val="0"/>
        </w:rPr>
        <w:t>chromium</w:t>
      </w:r>
      <w:r w:rsidR="001E3EA3">
        <w:rPr>
          <w:kern w:val="0"/>
        </w:rPr>
        <w:t>(</w:t>
      </w:r>
      <w:r>
        <w:rPr>
          <w:kern w:val="0"/>
        </w:rPr>
        <w:t>III) at a pH range of 2-8 indicated that a combined effect of biosorption</w:t>
      </w:r>
      <w:r w:rsidR="00F81221">
        <w:rPr>
          <w:kern w:val="0"/>
        </w:rPr>
        <w:t xml:space="preserve"> and </w:t>
      </w:r>
      <w:r>
        <w:rPr>
          <w:kern w:val="0"/>
        </w:rPr>
        <w:t>reduction was involved in the chromium</w:t>
      </w:r>
      <w:r w:rsidR="001E3EA3">
        <w:rPr>
          <w:kern w:val="0"/>
        </w:rPr>
        <w:t>(</w:t>
      </w:r>
      <w:r>
        <w:rPr>
          <w:kern w:val="0"/>
        </w:rPr>
        <w:t>VI) removal specially when the pH value is lower than 3. The maximum loading capacity was calculated from adsorption isotherms by applying the Langmuir model</w:t>
      </w:r>
      <w:r w:rsidR="00F81221">
        <w:rPr>
          <w:kern w:val="0"/>
        </w:rPr>
        <w:t xml:space="preserve"> and </w:t>
      </w:r>
      <w:r>
        <w:rPr>
          <w:kern w:val="0"/>
        </w:rPr>
        <w:t>found to be higher for neem sawdust</w:t>
      </w:r>
      <w:r w:rsidR="001E3EA3">
        <w:rPr>
          <w:rFonts w:hint="eastAsia"/>
          <w:kern w:val="0"/>
        </w:rPr>
        <w:t xml:space="preserve"> </w:t>
      </w:r>
      <w:r w:rsidR="001E3EA3">
        <w:rPr>
          <w:kern w:val="0"/>
        </w:rPr>
        <w:t>(</w:t>
      </w:r>
      <w:r>
        <w:rPr>
          <w:kern w:val="0"/>
        </w:rPr>
        <w:t>58.82 mg/g). Evaluation of experimental data in terms of biosorption kinetics showed that the biosorption of chromium</w:t>
      </w:r>
      <w:r w:rsidR="001E3EA3">
        <w:rPr>
          <w:kern w:val="0"/>
        </w:rPr>
        <w:t>(</w:t>
      </w:r>
      <w:r>
        <w:rPr>
          <w:kern w:val="0"/>
        </w:rPr>
        <w:t>VI) by neem sawdust followed pseudo second-order kinetics. Therefore, the rate limiting step may be chemical sorption or chemisorption. The efficiency of this process was examined in using tannery wastewater contaminated with chromium</w:t>
      </w:r>
      <w:r w:rsidR="001E3EA3">
        <w:rPr>
          <w:kern w:val="0"/>
        </w:rPr>
        <w:t>(</w:t>
      </w:r>
      <w:r>
        <w:rPr>
          <w:kern w:val="0"/>
        </w:rPr>
        <w:t>VI) ions in column mode.</w:t>
      </w:r>
    </w:p>
    <w:p w:rsidR="008A4591" w:rsidRDefault="008A4591" w:rsidP="008A4591">
      <w:pPr>
        <w:pStyle w:val="a0"/>
        <w:rPr>
          <w:kern w:val="0"/>
        </w:rPr>
      </w:pPr>
      <w:r>
        <w:rPr>
          <w:kern w:val="0"/>
        </w:rPr>
        <w:t xml:space="preserve">Keywords: Activated Carbon, Adsorbent, Adsorbents, Adsorption, Adsorption Isotherms, Approach, Aqueous Solutions, Batch, Batch Mode, Biosorbent, Biosorption, Biosorption, Biosorption Kinetics, Capacity, Chemical, Chemisorption, Chromium, Column, Concentration, Cr(VI), Data, Desorption, Efficiency, Equilibrium, Experimental, Hexavalent Chromium, Ions, Isotherm Models, Isotherms, Kinetics, Langmuir, Langmuir Model, Loading, Mode, Model, Performance, </w:t>
      </w:r>
      <w:r>
        <w:rPr>
          <w:rFonts w:hint="eastAsia"/>
          <w:kern w:val="0"/>
        </w:rPr>
        <w:t>p</w:t>
      </w:r>
      <w:r>
        <w:rPr>
          <w:kern w:val="0"/>
        </w:rPr>
        <w:t xml:space="preserve">H, </w:t>
      </w:r>
      <w:r>
        <w:rPr>
          <w:rFonts w:hint="eastAsia"/>
          <w:kern w:val="0"/>
        </w:rPr>
        <w:t>p</w:t>
      </w:r>
      <w:r>
        <w:rPr>
          <w:kern w:val="0"/>
        </w:rPr>
        <w:t>H Value, Pseudo Second Order, Pseudo Second Order Kinetics, Pseudo Second-Order, Pseudo-Second-Order, Rate Limiting Step, Reduction, Removal, Sawdust, Second Order, Second Order Kinetics, Second-Order, Second-Order Kinetics, Solutions, Sorption, Tannery Wastewater, Treated Sawdust, Value, Waste-Water, Wastewater</w:t>
      </w:r>
    </w:p>
    <w:p w:rsidR="00353E57" w:rsidRDefault="00353E57" w:rsidP="00353E57">
      <w:pPr>
        <w:pStyle w:val="a0"/>
        <w:rPr>
          <w:kern w:val="0"/>
        </w:rPr>
      </w:pPr>
      <w:r>
        <w:rPr>
          <w:kern w:val="0"/>
        </w:rPr>
        <w:t>? Chen, D.Z., Zhang, J.X.</w:t>
      </w:r>
      <w:r w:rsidR="00F81221">
        <w:rPr>
          <w:kern w:val="0"/>
        </w:rPr>
        <w:t xml:space="preserve"> and </w:t>
      </w:r>
      <w:r>
        <w:rPr>
          <w:kern w:val="0"/>
        </w:rPr>
        <w:t>Chen, J.M. (2010), Adsorption of methyl tert-butyl ether using granular activated carbon: Equilibrium</w:t>
      </w:r>
      <w:r w:rsidR="00F81221">
        <w:rPr>
          <w:kern w:val="0"/>
        </w:rPr>
        <w:t xml:space="preserve"> and </w:t>
      </w:r>
      <w:r>
        <w:rPr>
          <w:kern w:val="0"/>
        </w:rPr>
        <w:t xml:space="preserve">kinetic analysis.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(2), 235-242.</w:t>
      </w:r>
    </w:p>
    <w:p w:rsidR="00353E57" w:rsidRPr="00F03D2F" w:rsidRDefault="00353E57" w:rsidP="00353E57">
      <w:pPr>
        <w:pStyle w:val="a0"/>
        <w:rPr>
          <w:kern w:val="0"/>
        </w:rPr>
      </w:pPr>
      <w:r w:rsidRPr="00F03D2F">
        <w:rPr>
          <w:kern w:val="0"/>
        </w:rPr>
        <w:t>Full Text:</w:t>
      </w:r>
      <w:r w:rsidRPr="00D7601C">
        <w:t xml:space="preserve"> </w:t>
      </w:r>
      <w:hyperlink r:id="rId1861" w:history="1">
        <w:r w:rsidRPr="00200286">
          <w:rPr>
            <w:rStyle w:val="a5"/>
          </w:rPr>
          <w:t>2010\Int J Env Sci Tec7, 235.pdf</w:t>
        </w:r>
      </w:hyperlink>
    </w:p>
    <w:p w:rsidR="00353E57" w:rsidRDefault="00353E57" w:rsidP="00353E57">
      <w:pPr>
        <w:pStyle w:val="a0"/>
        <w:rPr>
          <w:kern w:val="0"/>
        </w:rPr>
      </w:pPr>
      <w:r>
        <w:rPr>
          <w:kern w:val="0"/>
        </w:rPr>
        <w:t>Abstract: The adsorption of methyl tert-butyl ether by granular activated carbon was investigated. The experimental data were analyzed using the Freundlich isotherm</w:t>
      </w:r>
      <w:r w:rsidR="00F81221">
        <w:rPr>
          <w:kern w:val="0"/>
        </w:rPr>
        <w:t xml:space="preserve"> and </w:t>
      </w:r>
      <w:r>
        <w:rPr>
          <w:kern w:val="0"/>
        </w:rPr>
        <w:t xml:space="preserve">the Langmuir isotherm. Although equilibrium data were found to follow Freundlich </w:t>
      </w:r>
      <w:r>
        <w:rPr>
          <w:kern w:val="0"/>
        </w:rPr>
        <w:lastRenderedPageBreak/>
        <w:t>isotherm model, it were fitted better by the Langmuir model with a maximum adsorption capacity of 204.1 mg/g. The kinetic data obtained at different concentrations were analyzed to predict the constant rate of adsorption using three common kinetic models: pseudo-first-order, pseudo-second-order equation</w:t>
      </w:r>
      <w:r w:rsidR="00F81221">
        <w:rPr>
          <w:kern w:val="0"/>
        </w:rPr>
        <w:t xml:space="preserve"> and </w:t>
      </w:r>
      <w:r>
        <w:rPr>
          <w:kern w:val="0"/>
        </w:rPr>
        <w:t>intraparticle diffusion equation. The pseudo-second-order model was suitable for describing the adsorption kinetics for the removal of methyl tert-butyl ether from aqueous solution onto granular activated carbon. Both the Lagergren first-order rate constant k(1)</w:t>
      </w:r>
      <w:r w:rsidR="00F81221">
        <w:rPr>
          <w:kern w:val="0"/>
        </w:rPr>
        <w:t xml:space="preserve"> and </w:t>
      </w:r>
      <w:r>
        <w:rPr>
          <w:kern w:val="0"/>
        </w:rPr>
        <w:t>pseudo-second-order rate constant k(2) decrease with increasing initial concentrations of methyl tert-butyl ether</w:t>
      </w:r>
      <w:r w:rsidR="00F81221">
        <w:rPr>
          <w:kern w:val="0"/>
        </w:rPr>
        <w:t xml:space="preserve"> and </w:t>
      </w:r>
      <w:r>
        <w:rPr>
          <w:kern w:val="0"/>
        </w:rPr>
        <w:t>the intraparticle diffusion rate constant k(p) shows the reverse characteristic. Analysis of sorption data using a boyd plot confirmed that external mass transfer is the main rate-limiting step at the initial stage of adsorption. Results illustrate that granular activated carbon is an effective adsorbent for methyl tert-butyl ether</w:t>
      </w:r>
      <w:r w:rsidR="00F81221">
        <w:rPr>
          <w:kern w:val="0"/>
        </w:rPr>
        <w:t xml:space="preserve"> and </w:t>
      </w:r>
      <w:r>
        <w:rPr>
          <w:kern w:val="0"/>
        </w:rPr>
        <w:t>also provide specific guidance into adsorption of methyl tert-butyl ether on granular activated carbon in contaminated groundwater.</w:t>
      </w:r>
    </w:p>
    <w:p w:rsidR="00353E57" w:rsidRDefault="00353E57" w:rsidP="00353E57">
      <w:pPr>
        <w:pStyle w:val="a0"/>
        <w:rPr>
          <w:kern w:val="0"/>
        </w:rPr>
      </w:pPr>
      <w:r>
        <w:rPr>
          <w:kern w:val="0"/>
        </w:rPr>
        <w:t>Keywords: Activated Carbon, Adsorbent, Adsorption, Adsorption Capacity, Adsorption Equilibrium, Adsorption Kinetics, Analysis, Aqueous Solution, Aqueous-Solution, Biodegradation, Biological Treatment, Biosorption, Capacity, Carbon, Contaminated Groundwater, Data, Degradation, Diffusion, Equilibrium, Ether, Experimental, First Order, Freundlich, Freundlich Isotherm, Freundlich Isotherm Model, Granular Activated Carbon, Groundwater, Guidance, Intraparticle Diffusion, Intraparticle Diffusion Model, Isotherm, Isotherm Model, Kinetic, Kinetic Analysis, Kinetic Models, Kinetics, Langmuir, Langmuir Isotherm, Langmuir Model, Liquid-Phase Adsorption, Mass Transfer, Mechanism, Model, Modeling, Models, Mtbe, Pseudo First Order, Pseudo Second Order, Pseudo-First-Order, Pseudo-Second-Order, Pseudo-Second-Order Equation, Pseudo-Second-Order Model, Pseudo-Second-Order Rate, Rate Constant, Rate Limiting Step, Rate-Limiting Step, Reactive Dyes, Removal, Solution, Sorption, Water</w:t>
      </w:r>
    </w:p>
    <w:p w:rsidR="00353E57" w:rsidRDefault="00353E57" w:rsidP="00353E57">
      <w:pPr>
        <w:pStyle w:val="a0"/>
        <w:rPr>
          <w:kern w:val="0"/>
        </w:rPr>
      </w:pPr>
      <w:r>
        <w:rPr>
          <w:rFonts w:hint="eastAsia"/>
          <w:kern w:val="0"/>
        </w:rPr>
        <w:t xml:space="preserve">? </w:t>
      </w:r>
      <w:r>
        <w:rPr>
          <w:kern w:val="0"/>
        </w:rPr>
        <w:t>Pandey, P.K., Sharma, S.K.</w:t>
      </w:r>
      <w:r w:rsidR="00F81221">
        <w:rPr>
          <w:kern w:val="0"/>
        </w:rPr>
        <w:t xml:space="preserve"> and </w:t>
      </w:r>
      <w:r>
        <w:rPr>
          <w:kern w:val="0"/>
        </w:rPr>
        <w:t>Sambi, S.S. (2010), Kinetics</w:t>
      </w:r>
      <w:r w:rsidR="00F81221">
        <w:rPr>
          <w:kern w:val="0"/>
        </w:rPr>
        <w:t xml:space="preserve"> and </w:t>
      </w:r>
      <w:r>
        <w:rPr>
          <w:kern w:val="0"/>
        </w:rPr>
        <w:t xml:space="preserve">equilibrium study of chromium adsorption on zeoliteNaX.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(2), 395-404.</w:t>
      </w:r>
    </w:p>
    <w:p w:rsidR="00353E57" w:rsidRPr="00F03D2F" w:rsidRDefault="00353E57" w:rsidP="00353E57">
      <w:pPr>
        <w:pStyle w:val="a0"/>
        <w:rPr>
          <w:kern w:val="0"/>
        </w:rPr>
      </w:pPr>
      <w:r w:rsidRPr="00F03D2F">
        <w:rPr>
          <w:kern w:val="0"/>
        </w:rPr>
        <w:t>Full Text:</w:t>
      </w:r>
      <w:r w:rsidRPr="00D7601C">
        <w:t xml:space="preserve"> </w:t>
      </w:r>
      <w:hyperlink r:id="rId1862" w:history="1">
        <w:r w:rsidRPr="004303EF">
          <w:rPr>
            <w:rStyle w:val="a5"/>
          </w:rPr>
          <w:t>2010\Int J Env Sci Tec7, 395.pdf</w:t>
        </w:r>
      </w:hyperlink>
    </w:p>
    <w:p w:rsidR="00353E57" w:rsidRDefault="00353E57" w:rsidP="00353E57">
      <w:pPr>
        <w:pStyle w:val="a0"/>
        <w:rPr>
          <w:kern w:val="0"/>
        </w:rPr>
      </w:pPr>
      <w:r>
        <w:rPr>
          <w:kern w:val="0"/>
        </w:rPr>
        <w:t>Abstract: This study aims to report Batch adsorption study of hexavalent chromium, Cr(VI) on zeoliteNaX. Kinetics of Cr (VI) adsorption</w:t>
      </w:r>
      <w:r w:rsidR="00F81221">
        <w:rPr>
          <w:kern w:val="0"/>
        </w:rPr>
        <w:t xml:space="preserve"> and </w:t>
      </w:r>
      <w:r>
        <w:rPr>
          <w:kern w:val="0"/>
        </w:rPr>
        <w:t>adsorption isotherms were determined by varying operating parameters such as pH, initial concentration, temperature</w:t>
      </w:r>
      <w:r w:rsidR="00F81221">
        <w:rPr>
          <w:kern w:val="0"/>
        </w:rPr>
        <w:t xml:space="preserve"> and </w:t>
      </w:r>
      <w:r>
        <w:rPr>
          <w:kern w:val="0"/>
        </w:rPr>
        <w:t>contact time. ZeoliteNaX was found to remove Cr (VI) in acidic solutions down to ppm level at pH of about 4. Removal rate of Cr (VI) was found to decrease as pH rises above 4.0. Langmuir, Freundlich, Temkin</w:t>
      </w:r>
      <w:r w:rsidR="00F81221">
        <w:rPr>
          <w:kern w:val="0"/>
        </w:rPr>
        <w:t xml:space="preserve"> and </w:t>
      </w:r>
      <w:r>
        <w:rPr>
          <w:kern w:val="0"/>
        </w:rPr>
        <w:t xml:space="preserve">Redlich-Peterson models were applied to adsorption equilibrium data to find the best amongst these </w:t>
      </w:r>
      <w:r>
        <w:rPr>
          <w:kern w:val="0"/>
        </w:rPr>
        <w:lastRenderedPageBreak/>
        <w:t>models. Langmuir model with R-2 = 0.9711 best fits the adsorption data. The kinetics of adsorption was found to follow the first order reversible reaction. The separation parameter, R-L values of less than 1.0 i.e., 0.7369, 0.5834</w:t>
      </w:r>
      <w:r w:rsidR="00F81221">
        <w:rPr>
          <w:kern w:val="0"/>
        </w:rPr>
        <w:t xml:space="preserve"> and </w:t>
      </w:r>
      <w:r>
        <w:rPr>
          <w:kern w:val="0"/>
        </w:rPr>
        <w:t>0.4828 corresponding to initial concentrations of 10, 20</w:t>
      </w:r>
      <w:r w:rsidR="00F81221">
        <w:rPr>
          <w:kern w:val="0"/>
        </w:rPr>
        <w:t xml:space="preserve"> and </w:t>
      </w:r>
      <w:r>
        <w:rPr>
          <w:kern w:val="0"/>
        </w:rPr>
        <w:t>30 mg/L, respectively indicated that adsorption of Cr (VI) on zeoliteNaX is favoured. The estimated values of thermodynamic parameters such as heat of adsorption</w:t>
      </w:r>
      <w:r w:rsidR="00F81221">
        <w:rPr>
          <w:kern w:val="0"/>
        </w:rPr>
        <w:t xml:space="preserve"> and </w:t>
      </w:r>
      <w:r>
        <w:rPr>
          <w:kern w:val="0"/>
        </w:rPr>
        <w:t>standard gibbs free energy confirmed the exothermic nature of adsorption of Cr (VI) on zeoliteNaX.</w:t>
      </w:r>
    </w:p>
    <w:p w:rsidR="00353E57" w:rsidRDefault="00353E57" w:rsidP="00353E57">
      <w:pPr>
        <w:pStyle w:val="a0"/>
        <w:rPr>
          <w:kern w:val="0"/>
        </w:rPr>
      </w:pPr>
      <w:r>
        <w:rPr>
          <w:kern w:val="0"/>
        </w:rPr>
        <w:t>Keywords: Activated Carbon, Adsorption, Adsorption Equilibrium, Adsorption Isotherms, Aqueous-Solutions, Batch Adsorption, Biosorption, Chromium, Chromium Adsorption, Concentration, Cr(VI), Data, Diffusion, Energy, Equilibrium, Exchange, Exothermic, First, First Order, First Order Reversible Reaction, Freundlich, Heat of Adsorption, Heavy-Metal Ions, Hexavalent Chromium, Isotherm, Isotherms, Kinetics, Kinetics of Adsorption, Langmuir, Langmuir Model, Mass Transfer, Model, Models, Ph, Reaction, Redlich-Peterson, Regeneration, Removal, Removal Rate, Separation, Soils, Solutions, Sorption, Standard, Temperature, Thermodynamic, Thermodynamic Parameters, Thermodynamics, Time, VI, Waste-Water</w:t>
      </w:r>
    </w:p>
    <w:p w:rsidR="00C21AFA" w:rsidRDefault="00C21AFA" w:rsidP="00C21AFA">
      <w:pPr>
        <w:pStyle w:val="a0"/>
        <w:rPr>
          <w:kern w:val="0"/>
        </w:rPr>
      </w:pPr>
      <w:r>
        <w:rPr>
          <w:rFonts w:hint="eastAsia"/>
          <w:kern w:val="0"/>
        </w:rPr>
        <w:t xml:space="preserve">? </w:t>
      </w:r>
      <w:r>
        <w:rPr>
          <w:kern w:val="0"/>
        </w:rPr>
        <w:t>Tashauoei, H.R., Attar, H.M., Amin, M.M., Kamali, M., Nikaeen, M.</w:t>
      </w:r>
      <w:r w:rsidR="00F81221">
        <w:rPr>
          <w:kern w:val="0"/>
        </w:rPr>
        <w:t xml:space="preserve"> and </w:t>
      </w:r>
      <w:r>
        <w:rPr>
          <w:kern w:val="0"/>
        </w:rPr>
        <w:t>Dastjerdi, M.V. (2010), Removal of cadmium</w:t>
      </w:r>
      <w:r w:rsidR="00F81221">
        <w:rPr>
          <w:kern w:val="0"/>
        </w:rPr>
        <w:t xml:space="preserve"> and </w:t>
      </w:r>
      <w:r>
        <w:rPr>
          <w:kern w:val="0"/>
        </w:rPr>
        <w:t xml:space="preserve">humic acid from aqueous solutions using surface modified nanozeolite A.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(3), 497-508.</w:t>
      </w:r>
    </w:p>
    <w:p w:rsidR="00C21AFA" w:rsidRPr="00F03D2F" w:rsidRDefault="00C21AFA" w:rsidP="00C21AFA">
      <w:pPr>
        <w:pStyle w:val="a0"/>
        <w:rPr>
          <w:kern w:val="0"/>
        </w:rPr>
      </w:pPr>
      <w:r w:rsidRPr="00F03D2F">
        <w:rPr>
          <w:kern w:val="0"/>
        </w:rPr>
        <w:t>Full Text:</w:t>
      </w:r>
      <w:r w:rsidRPr="00D7601C">
        <w:t xml:space="preserve"> </w:t>
      </w:r>
      <w:hyperlink r:id="rId1863" w:history="1">
        <w:r w:rsidRPr="00C21AFA">
          <w:rPr>
            <w:rStyle w:val="a5"/>
          </w:rPr>
          <w:t>2010\Int J Env Sci Tec7, 497.pdf</w:t>
        </w:r>
      </w:hyperlink>
    </w:p>
    <w:p w:rsidR="00C21AFA" w:rsidRDefault="00C21AFA" w:rsidP="00C21AFA">
      <w:pPr>
        <w:pStyle w:val="a0"/>
        <w:rPr>
          <w:kern w:val="0"/>
        </w:rPr>
      </w:pPr>
      <w:r>
        <w:rPr>
          <w:kern w:val="0"/>
        </w:rPr>
        <w:t>Abstract: The sorption of cadmium</w:t>
      </w:r>
      <w:r w:rsidR="00F81221">
        <w:rPr>
          <w:kern w:val="0"/>
        </w:rPr>
        <w:t xml:space="preserve"> and </w:t>
      </w:r>
      <w:r>
        <w:rPr>
          <w:kern w:val="0"/>
        </w:rPr>
        <w:t>humic acids from aqueous solutions using surface-modified nanozeolite A has been investigated under various examination conditions. The morphology of untreated</w:t>
      </w:r>
      <w:r w:rsidR="00F81221">
        <w:rPr>
          <w:kern w:val="0"/>
        </w:rPr>
        <w:t xml:space="preserve"> and </w:t>
      </w:r>
      <w:r>
        <w:rPr>
          <w:kern w:val="0"/>
        </w:rPr>
        <w:t>treated nanozeolite was studied under scanning electron microscope</w:t>
      </w:r>
      <w:r w:rsidR="00F81221">
        <w:rPr>
          <w:kern w:val="0"/>
        </w:rPr>
        <w:t xml:space="preserve"> and </w:t>
      </w:r>
      <w:r>
        <w:rPr>
          <w:kern w:val="0"/>
        </w:rPr>
        <w:t>transmission electron microscope. Isotherms of cadmium adsorption onto surface-modified nanozeolite A were studied at different pH, solid to liquid ratio, adsorbate concentration</w:t>
      </w:r>
      <w:r w:rsidR="00F81221">
        <w:rPr>
          <w:kern w:val="0"/>
        </w:rPr>
        <w:t xml:space="preserve"> and </w:t>
      </w:r>
      <w:r>
        <w:rPr>
          <w:kern w:val="0"/>
        </w:rPr>
        <w:t>interaction time. Kinetic</w:t>
      </w:r>
      <w:r w:rsidR="00F81221">
        <w:rPr>
          <w:kern w:val="0"/>
        </w:rPr>
        <w:t xml:space="preserve"> and </w:t>
      </w:r>
      <w:r>
        <w:rPr>
          <w:kern w:val="0"/>
        </w:rPr>
        <w:t>equilibrium studies were conducted</w:t>
      </w:r>
      <w:r w:rsidR="00F81221">
        <w:rPr>
          <w:kern w:val="0"/>
        </w:rPr>
        <w:t xml:space="preserve"> and </w:t>
      </w:r>
      <w:r>
        <w:rPr>
          <w:kern w:val="0"/>
        </w:rPr>
        <w:t>the equilibrium data have been analyzed using Langmuir</w:t>
      </w:r>
      <w:r w:rsidR="00F81221">
        <w:rPr>
          <w:kern w:val="0"/>
        </w:rPr>
        <w:t xml:space="preserve"> and </w:t>
      </w:r>
      <w:r>
        <w:rPr>
          <w:kern w:val="0"/>
        </w:rPr>
        <w:t>Freundlich isotherm models. The study revealed that experimental results were in agreement with the Freundlich model. The Langmuir monolayer adsorption capacity was found to be 1666.67 g cadmium</w:t>
      </w:r>
      <w:r w:rsidR="00F81221">
        <w:rPr>
          <w:kern w:val="0"/>
        </w:rPr>
        <w:t xml:space="preserve"> and </w:t>
      </w:r>
      <w:r>
        <w:rPr>
          <w:kern w:val="0"/>
        </w:rPr>
        <w:t>6.75 g humic acid per gram of modified nanozeolite A, which is higher than that of reported value for other zeolites. The sorption ability was enhanced by surface modification</w:t>
      </w:r>
      <w:r w:rsidR="00F81221">
        <w:rPr>
          <w:kern w:val="0"/>
        </w:rPr>
        <w:t xml:space="preserve"> and </w:t>
      </w:r>
      <w:r>
        <w:rPr>
          <w:kern w:val="0"/>
        </w:rPr>
        <w:t>reduction in size</w:t>
      </w:r>
      <w:r w:rsidR="00F81221">
        <w:rPr>
          <w:kern w:val="0"/>
        </w:rPr>
        <w:t xml:space="preserve"> and </w:t>
      </w:r>
      <w:r>
        <w:rPr>
          <w:kern w:val="0"/>
        </w:rPr>
        <w:t>enabled the zeolite to adsorb cadmium. The adsorption of cadmium</w:t>
      </w:r>
      <w:r w:rsidR="00F81221">
        <w:rPr>
          <w:kern w:val="0"/>
        </w:rPr>
        <w:t xml:space="preserve"> and </w:t>
      </w:r>
      <w:r>
        <w:rPr>
          <w:kern w:val="0"/>
        </w:rPr>
        <w:t>humic acid on nanozeolite was found to be the highest at pH 6</w:t>
      </w:r>
      <w:r w:rsidR="00F81221">
        <w:rPr>
          <w:kern w:val="0"/>
        </w:rPr>
        <w:t xml:space="preserve"> and </w:t>
      </w:r>
      <w:r>
        <w:rPr>
          <w:kern w:val="0"/>
        </w:rPr>
        <w:t>3, respectively. Results showed that solid to liquid ratio</w:t>
      </w:r>
      <w:r w:rsidR="00F81221">
        <w:rPr>
          <w:kern w:val="0"/>
        </w:rPr>
        <w:t xml:space="preserve"> and </w:t>
      </w:r>
      <w:r>
        <w:rPr>
          <w:kern w:val="0"/>
        </w:rPr>
        <w:t>pH are the most important factors for cadmium</w:t>
      </w:r>
      <w:r w:rsidR="00F81221">
        <w:rPr>
          <w:kern w:val="0"/>
        </w:rPr>
        <w:t xml:space="preserve"> and </w:t>
      </w:r>
      <w:r>
        <w:rPr>
          <w:kern w:val="0"/>
        </w:rPr>
        <w:t>humic acid removal, respectively. Effect of competitive ions was studied</w:t>
      </w:r>
      <w:r w:rsidR="00F81221">
        <w:rPr>
          <w:kern w:val="0"/>
        </w:rPr>
        <w:t xml:space="preserve"> and </w:t>
      </w:r>
      <w:r>
        <w:rPr>
          <w:kern w:val="0"/>
        </w:rPr>
        <w:t>results showed that there is no competition between cadmium</w:t>
      </w:r>
      <w:r w:rsidR="00F81221">
        <w:rPr>
          <w:kern w:val="0"/>
        </w:rPr>
        <w:t xml:space="preserve"> and </w:t>
      </w:r>
      <w:r>
        <w:rPr>
          <w:kern w:val="0"/>
        </w:rPr>
        <w:lastRenderedPageBreak/>
        <w:t>humic acid sorption</w:t>
      </w:r>
      <w:r w:rsidR="00F81221">
        <w:rPr>
          <w:kern w:val="0"/>
        </w:rPr>
        <w:t xml:space="preserve"> and </w:t>
      </w:r>
      <w:r>
        <w:rPr>
          <w:kern w:val="0"/>
        </w:rPr>
        <w:t>presence of these ions.</w:t>
      </w:r>
    </w:p>
    <w:p w:rsidR="00C21AFA" w:rsidRDefault="00C21AFA" w:rsidP="00C21AFA">
      <w:pPr>
        <w:pStyle w:val="a0"/>
        <w:rPr>
          <w:kern w:val="0"/>
        </w:rPr>
      </w:pPr>
      <w:r>
        <w:rPr>
          <w:kern w:val="0"/>
        </w:rPr>
        <w:t>Keywords: Adsorption, Adsorption Capacity, Adsorption Isotherms, Aluminum, Bentonite, Cadmium, Chromate, Competition, Equilibrium, Freundlich, Freundlich Isotherm, Heavy-Metals, Humic Acids, Ion-Exchange, Isotherm, Isotherms, Kinetic, Langmuir, Modification, Modified Zeolite, Nanozeolite, Natural Clinoptilolite, Removal, Sorption, Surface Modification, Waste-Water, Zeolite</w:t>
      </w:r>
    </w:p>
    <w:p w:rsidR="00C21AFA" w:rsidRDefault="00C21AFA" w:rsidP="00C21AFA">
      <w:pPr>
        <w:pStyle w:val="a0"/>
        <w:rPr>
          <w:kern w:val="0"/>
        </w:rPr>
      </w:pPr>
      <w:r>
        <w:rPr>
          <w:rFonts w:hint="eastAsia"/>
          <w:kern w:val="0"/>
        </w:rPr>
        <w:t xml:space="preserve">? </w:t>
      </w:r>
      <w:r>
        <w:rPr>
          <w:kern w:val="0"/>
        </w:rPr>
        <w:t>Nounou, M.N.</w:t>
      </w:r>
      <w:r w:rsidR="00F81221">
        <w:rPr>
          <w:kern w:val="0"/>
        </w:rPr>
        <w:t xml:space="preserve"> and </w:t>
      </w:r>
      <w:r>
        <w:rPr>
          <w:kern w:val="0"/>
        </w:rPr>
        <w:t xml:space="preserve">Nounou, H.N. (2010), Multiscale estimation of the Freundlich adsorption isotherm.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(3), 509-518.</w:t>
      </w:r>
    </w:p>
    <w:p w:rsidR="00C21AFA" w:rsidRPr="00F03D2F" w:rsidRDefault="00C21AFA" w:rsidP="00C21AFA">
      <w:pPr>
        <w:pStyle w:val="a0"/>
        <w:rPr>
          <w:kern w:val="0"/>
        </w:rPr>
      </w:pPr>
      <w:r w:rsidRPr="00F03D2F">
        <w:rPr>
          <w:kern w:val="0"/>
        </w:rPr>
        <w:t>Full Text:</w:t>
      </w:r>
      <w:r w:rsidRPr="00D7601C">
        <w:t xml:space="preserve"> </w:t>
      </w:r>
      <w:hyperlink r:id="rId1864" w:history="1">
        <w:r w:rsidRPr="00C21AFA">
          <w:rPr>
            <w:rStyle w:val="a5"/>
          </w:rPr>
          <w:t>2010\Int J Env Sci Tec7, 509.pdf</w:t>
        </w:r>
      </w:hyperlink>
    </w:p>
    <w:p w:rsidR="00C21AFA" w:rsidRDefault="00C21AFA" w:rsidP="00C21AFA">
      <w:pPr>
        <w:pStyle w:val="a0"/>
        <w:rPr>
          <w:kern w:val="0"/>
        </w:rPr>
      </w:pPr>
      <w:r>
        <w:rPr>
          <w:kern w:val="0"/>
        </w:rPr>
        <w:t>Abstract: Adsorption plays an important role in water</w:t>
      </w:r>
      <w:r w:rsidR="00F81221">
        <w:rPr>
          <w:kern w:val="0"/>
        </w:rPr>
        <w:t xml:space="preserve"> and </w:t>
      </w:r>
      <w:r>
        <w:rPr>
          <w:kern w:val="0"/>
        </w:rPr>
        <w:t>wastewater treatment. The analysis</w:t>
      </w:r>
      <w:r w:rsidR="00F81221">
        <w:rPr>
          <w:kern w:val="0"/>
        </w:rPr>
        <w:t xml:space="preserve"> and </w:t>
      </w:r>
      <w:r>
        <w:rPr>
          <w:kern w:val="0"/>
        </w:rPr>
        <w:t>design of processes that involve adsorption rely on the availability of isotherms that describe these adsorption processes. Adsorption isotherms are usually estimated empirically from measurements of the adsorption process variables. Unfortunately, these measurements are usually contaminated with errors that degrade the accuracy of estimated isotherms. Therefore, these errors need to be filtered for improved isotherm estimation accuracy. Multiscale wavelet based filtering has been shown to be a powerful filtering tool. In this work, multiscale filtering is utilized to improve the estimation accuracy of the Freundlich adsorption isotherm in the presence of measurement noise in the data by developing a multiscale algorithm for the estimation of Freundlich isotherm parameters. The idea behind the algorithm is to use multiscale filtering to filter the data at different scales, use the filtered data from all scales to construct multiple isotherms</w:t>
      </w:r>
      <w:r w:rsidR="00F81221">
        <w:rPr>
          <w:kern w:val="0"/>
        </w:rPr>
        <w:t xml:space="preserve"> and </w:t>
      </w:r>
      <w:r>
        <w:rPr>
          <w:kern w:val="0"/>
        </w:rPr>
        <w:t>then select among all scales the isotherm that best represents the data based on a cross validation mean squares error criterion. The developed multiscale isotherm estimation algorithm is shown to outperform the conventional time-domain estimation method through a simulated example.</w:t>
      </w:r>
    </w:p>
    <w:p w:rsidR="00C21AFA" w:rsidRDefault="00C21AFA" w:rsidP="00C21AFA">
      <w:pPr>
        <w:pStyle w:val="a0"/>
        <w:rPr>
          <w:kern w:val="0"/>
        </w:rPr>
      </w:pPr>
      <w:r>
        <w:rPr>
          <w:kern w:val="0"/>
        </w:rPr>
        <w:t>Keywords: Activated Carbon, Adsorption, Adsorption Isotherms, Freundlich, Freundlich Isotherm, Ions, Isotherm, Isotherms, Kinetics, Models, Multiscale Representation, Noise Filtering, Parameter Estimation, Parsimony, Removal, System-Identification, Treatment, Wastewater, Wastewater Treatment, Water, Wavelet Shrinkage</w:t>
      </w:r>
    </w:p>
    <w:p w:rsidR="00C21AFA" w:rsidRDefault="00C21AFA" w:rsidP="00C21AFA">
      <w:pPr>
        <w:pStyle w:val="a0"/>
        <w:rPr>
          <w:kern w:val="0"/>
        </w:rPr>
      </w:pPr>
      <w:r>
        <w:rPr>
          <w:rFonts w:hint="eastAsia"/>
          <w:kern w:val="0"/>
        </w:rPr>
        <w:t xml:space="preserve">? </w:t>
      </w:r>
      <w:r>
        <w:rPr>
          <w:kern w:val="0"/>
        </w:rPr>
        <w:t>Bidhendi, M.E., Karbassi, A.R., Baghvand, A., Saeedi, M.</w:t>
      </w:r>
      <w:r w:rsidR="00F81221">
        <w:rPr>
          <w:kern w:val="0"/>
        </w:rPr>
        <w:t xml:space="preserve"> and </w:t>
      </w:r>
      <w:r>
        <w:rPr>
          <w:kern w:val="0"/>
        </w:rPr>
        <w:t xml:space="preserve">Pejman, A.H. (2010), Potential of natural bed soil in adsorption of heavy metals in industrial waste landfill.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(3), 545-552.</w:t>
      </w:r>
    </w:p>
    <w:p w:rsidR="00C21AFA" w:rsidRPr="00F03D2F" w:rsidRDefault="00C21AFA" w:rsidP="00C21AFA">
      <w:pPr>
        <w:pStyle w:val="a0"/>
        <w:rPr>
          <w:kern w:val="0"/>
        </w:rPr>
      </w:pPr>
      <w:r w:rsidRPr="00F03D2F">
        <w:rPr>
          <w:kern w:val="0"/>
        </w:rPr>
        <w:t>Full Text:</w:t>
      </w:r>
      <w:r w:rsidRPr="00D7601C">
        <w:t xml:space="preserve"> </w:t>
      </w:r>
      <w:hyperlink r:id="rId1865" w:history="1">
        <w:r w:rsidRPr="00C21AFA">
          <w:rPr>
            <w:rStyle w:val="a5"/>
          </w:rPr>
          <w:t>2010\Int J Env Sci Tec7, 545.pdf</w:t>
        </w:r>
      </w:hyperlink>
    </w:p>
    <w:p w:rsidR="00C21AFA" w:rsidRDefault="00C21AFA" w:rsidP="00C21AFA">
      <w:pPr>
        <w:pStyle w:val="a0"/>
        <w:rPr>
          <w:kern w:val="0"/>
        </w:rPr>
      </w:pPr>
      <w:r>
        <w:rPr>
          <w:kern w:val="0"/>
        </w:rPr>
        <w:t>Abstract: Development of higher welfare could not be realized unless by energy consumption</w:t>
      </w:r>
      <w:r w:rsidR="00F81221">
        <w:rPr>
          <w:kern w:val="0"/>
        </w:rPr>
        <w:t xml:space="preserve"> and </w:t>
      </w:r>
      <w:r>
        <w:rPr>
          <w:kern w:val="0"/>
        </w:rPr>
        <w:t xml:space="preserve">other natural resources. Growth of industrial complexes has shown an unprecedented trend during recent years. Many of these towns have no treatment </w:t>
      </w:r>
      <w:r>
        <w:rPr>
          <w:kern w:val="0"/>
        </w:rPr>
        <w:lastRenderedPageBreak/>
        <w:t>systems for the industrial wastes leachates. Besides, the chemical composition of wastes in such complexes varies considerably due to the different kinds of industries. It is endeavored in the present work to study the natural potential of soil to treat leachate of such industrial wastes. For this purpose, the Aliabad industrial complex in Tehran - Garmsar road was selected as the study area. The potential of adsorption of elements such as nickel, copper, cadmium, zinc, chromium, lead</w:t>
      </w:r>
      <w:r w:rsidR="00F81221">
        <w:rPr>
          <w:kern w:val="0"/>
        </w:rPr>
        <w:t xml:space="preserve"> and </w:t>
      </w:r>
      <w:r>
        <w:rPr>
          <w:kern w:val="0"/>
        </w:rPr>
        <w:t>manganese was investigated. The results indicated that the soil potential to adsorb heavy metals (except for manganese) was very high (95 %) in the adsorption of heavy metals ( except for manganese). Further, chemical partitioning studies revealed that heavy metals are associated with various soil phases such as loosely bonded ions, sulfide</w:t>
      </w:r>
      <w:r w:rsidR="00F81221">
        <w:rPr>
          <w:kern w:val="0"/>
        </w:rPr>
        <w:t xml:space="preserve"> and </w:t>
      </w:r>
      <w:r>
        <w:rPr>
          <w:kern w:val="0"/>
        </w:rPr>
        <w:t>organics to various extents. Among the mentioned soil phases, one can deduce that major portion of metal contaminants is absorbed as loosely bonded ions. Organic bond</w:t>
      </w:r>
      <w:r w:rsidR="00F81221">
        <w:rPr>
          <w:kern w:val="0"/>
        </w:rPr>
        <w:t xml:space="preserve"> and </w:t>
      </w:r>
      <w:r>
        <w:rPr>
          <w:kern w:val="0"/>
        </w:rPr>
        <w:t>sulfide bond are in the 2(nd)</w:t>
      </w:r>
      <w:r w:rsidR="00F81221">
        <w:rPr>
          <w:kern w:val="0"/>
        </w:rPr>
        <w:t xml:space="preserve"> and </w:t>
      </w:r>
      <w:r>
        <w:rPr>
          <w:kern w:val="0"/>
        </w:rPr>
        <w:t>3(rd) positions of metal contaminants adsorption, respectively. The results of the present study apparently showed that soil column had ample capacity to adsorb metal contaminants. Thus, determination of soil potential in adsorption of heavy metals during site selection is as important criteria.</w:t>
      </w:r>
    </w:p>
    <w:p w:rsidR="00C21AFA" w:rsidRDefault="00C21AFA" w:rsidP="00C21AFA">
      <w:pPr>
        <w:pStyle w:val="a0"/>
        <w:rPr>
          <w:kern w:val="0"/>
        </w:rPr>
      </w:pPr>
      <w:r>
        <w:rPr>
          <w:kern w:val="0"/>
        </w:rPr>
        <w:t>Keywords: Adsorption, Aqueous-Solutions, Cadmium, Chemical Composition, Complex, Copper, Groundwater, Heavy Metal, Heavy Metals, Impact, Industry, Jordan, Leachate, Leachate, Nickel, Pollution, Removal, Sediments, Soil, Treatment, Trend, Waste Landfill, Water, Wheat Bran, Zinc</w:t>
      </w:r>
    </w:p>
    <w:p w:rsidR="00510A85" w:rsidRDefault="00510A85" w:rsidP="00510A85">
      <w:pPr>
        <w:pStyle w:val="a0"/>
        <w:rPr>
          <w:kern w:val="0"/>
        </w:rPr>
      </w:pPr>
      <w:r>
        <w:rPr>
          <w:rFonts w:hint="eastAsia"/>
          <w:kern w:val="0"/>
        </w:rPr>
        <w:t xml:space="preserve">? </w:t>
      </w:r>
      <w:r>
        <w:rPr>
          <w:kern w:val="0"/>
        </w:rPr>
        <w:t>Ashraf, M.A., Maah, M.J.</w:t>
      </w:r>
      <w:r w:rsidR="00F81221">
        <w:rPr>
          <w:kern w:val="0"/>
        </w:rPr>
        <w:t xml:space="preserve"> and </w:t>
      </w:r>
      <w:r>
        <w:rPr>
          <w:kern w:val="0"/>
        </w:rPr>
        <w:t xml:space="preserve">Yusoff, I. (2010), Study of mango biomass (Mangifera indica L) as a cationic biosorbent.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(3), 581-590.</w:t>
      </w:r>
    </w:p>
    <w:p w:rsidR="00510A85" w:rsidRPr="00F03D2F" w:rsidRDefault="00510A85" w:rsidP="00510A85">
      <w:pPr>
        <w:pStyle w:val="a0"/>
        <w:rPr>
          <w:kern w:val="0"/>
        </w:rPr>
      </w:pPr>
      <w:r w:rsidRPr="00F03D2F">
        <w:rPr>
          <w:kern w:val="0"/>
        </w:rPr>
        <w:t>Full Text:</w:t>
      </w:r>
      <w:r w:rsidRPr="00D7601C">
        <w:t xml:space="preserve"> </w:t>
      </w:r>
      <w:hyperlink r:id="rId1866" w:history="1">
        <w:r w:rsidRPr="00510A85">
          <w:rPr>
            <w:rStyle w:val="a5"/>
          </w:rPr>
          <w:t>2010\Int J Env Sci Tec7, 581.pdf</w:t>
        </w:r>
      </w:hyperlink>
    </w:p>
    <w:p w:rsidR="00510A85" w:rsidRDefault="00510A85" w:rsidP="00510A85">
      <w:pPr>
        <w:pStyle w:val="a0"/>
        <w:rPr>
          <w:kern w:val="0"/>
        </w:rPr>
      </w:pPr>
      <w:r>
        <w:rPr>
          <w:kern w:val="0"/>
        </w:rPr>
        <w:t>Abstract: Unfertilizable fruiting buds of mango plant Mangifera Indica L, an agrowaste, is used as a biomass in this study. The efficacy of the biosorbent was tested for the removal of lead, copper, zinc</w:t>
      </w:r>
      <w:r w:rsidR="00F81221">
        <w:rPr>
          <w:kern w:val="0"/>
        </w:rPr>
        <w:t xml:space="preserve"> and </w:t>
      </w:r>
      <w:r>
        <w:rPr>
          <w:kern w:val="0"/>
        </w:rPr>
        <w:t>nickel metal ions using batch experiments in single</w:t>
      </w:r>
      <w:r w:rsidR="00F81221">
        <w:rPr>
          <w:kern w:val="0"/>
        </w:rPr>
        <w:t xml:space="preserve"> and </w:t>
      </w:r>
      <w:r>
        <w:rPr>
          <w:kern w:val="0"/>
        </w:rPr>
        <w:t>binary metal solution under controlled experimental conditions. It is found that metal sorption increases when the equilibrium metal concentration rises. At highest experimental solution concentration used (150 mg, L), the removal of metal ions were 82.76 % for lead, 76.60 % for copper, 63.35 % for zinc</w:t>
      </w:r>
      <w:r w:rsidR="00F81221">
        <w:rPr>
          <w:kern w:val="0"/>
        </w:rPr>
        <w:t xml:space="preserve"> and </w:t>
      </w:r>
      <w:r>
        <w:rPr>
          <w:kern w:val="0"/>
        </w:rPr>
        <w:t>59.35 % for nickel while at lowest experimental solution concentration (25 mg, L), the removal of metal ions were 92.00% for lead, 86.84 % for copper, 83.96 % for zinc</w:t>
      </w:r>
      <w:r w:rsidR="00F81221">
        <w:rPr>
          <w:kern w:val="0"/>
        </w:rPr>
        <w:t xml:space="preserve"> and </w:t>
      </w:r>
      <w:r>
        <w:rPr>
          <w:kern w:val="0"/>
        </w:rPr>
        <w:t>82.29 % for nickel. Biosorption equilibrium isotherms were plotted for metal uptake capacity (q) against residual metal concentrations (C-f) in solution. The q versus C f sorption isotherm relationship was mathematically expressed by Langmuir</w:t>
      </w:r>
      <w:r w:rsidR="00F81221">
        <w:rPr>
          <w:kern w:val="0"/>
        </w:rPr>
        <w:t xml:space="preserve"> and </w:t>
      </w:r>
      <w:r>
        <w:rPr>
          <w:kern w:val="0"/>
        </w:rPr>
        <w:t>Freundlich models. The values of separation factor were between zero</w:t>
      </w:r>
      <w:r w:rsidR="00F81221">
        <w:rPr>
          <w:kern w:val="0"/>
        </w:rPr>
        <w:t xml:space="preserve"> and </w:t>
      </w:r>
      <w:r>
        <w:rPr>
          <w:kern w:val="0"/>
        </w:rPr>
        <w:t xml:space="preserve">one indicating favourable sorption for four tested metals on the biosorbent. The surface coverage </w:t>
      </w:r>
      <w:r>
        <w:rPr>
          <w:kern w:val="0"/>
        </w:rPr>
        <w:lastRenderedPageBreak/>
        <w:t>values were approaching unity with increasing solution concentration indicating effectiveness of biosorbent under investigation. The non-living biomass of Mangifera indica L present comparable biosorption capacity for lead, copper, zinc</w:t>
      </w:r>
      <w:r w:rsidR="00F81221">
        <w:rPr>
          <w:kern w:val="0"/>
        </w:rPr>
        <w:t xml:space="preserve"> and </w:t>
      </w:r>
      <w:r>
        <w:rPr>
          <w:kern w:val="0"/>
        </w:rPr>
        <w:t>nickel metal ions with other types of biosorbent materials found in literature</w:t>
      </w:r>
      <w:r w:rsidR="00F81221">
        <w:rPr>
          <w:kern w:val="0"/>
        </w:rPr>
        <w:t xml:space="preserve"> and </w:t>
      </w:r>
      <w:r>
        <w:rPr>
          <w:kern w:val="0"/>
        </w:rPr>
        <w:t>is effective to remove metal ions from single metal solutions as well as in the presence of other co-ions with the main metal of solution.</w:t>
      </w:r>
    </w:p>
    <w:p w:rsidR="00510A85" w:rsidRDefault="00510A85" w:rsidP="00510A85">
      <w:pPr>
        <w:pStyle w:val="a0"/>
        <w:rPr>
          <w:kern w:val="0"/>
        </w:rPr>
      </w:pPr>
      <w:r>
        <w:rPr>
          <w:kern w:val="0"/>
        </w:rPr>
        <w:t>Keywords: Batch, Biomass, Biosorption, Cadmium, Copper, Cu, Efficacy, Equilibrium, Freundlich, Isotherm, Isotherms, Kinetics, Langmuir, Metal Ions, Multi Metal, Ni(II), Nickel, Pollution, Removal, Single Metal, Sorption, Uranium, Waste-Water, Zinc, Zn</w:t>
      </w:r>
    </w:p>
    <w:p w:rsidR="00510A85" w:rsidRDefault="00510A85" w:rsidP="00510A85">
      <w:pPr>
        <w:pStyle w:val="a0"/>
        <w:rPr>
          <w:kern w:val="0"/>
        </w:rPr>
      </w:pPr>
      <w:r>
        <w:rPr>
          <w:rFonts w:hint="eastAsia"/>
          <w:kern w:val="0"/>
        </w:rPr>
        <w:t xml:space="preserve">? </w:t>
      </w:r>
      <w:r>
        <w:rPr>
          <w:kern w:val="0"/>
        </w:rPr>
        <w:t>Alihosseini, A., Taghikhani, V., Safekordi, A.A.</w:t>
      </w:r>
      <w:r w:rsidR="00F81221">
        <w:rPr>
          <w:kern w:val="0"/>
        </w:rPr>
        <w:t xml:space="preserve"> and </w:t>
      </w:r>
      <w:r>
        <w:rPr>
          <w:kern w:val="0"/>
        </w:rPr>
        <w:t xml:space="preserve">Bastani, D. (2010), Equilibrium sorption of crude oil by expanded perlite using different adsorption isotherms at 298.15 K.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(3), 591-598.</w:t>
      </w:r>
    </w:p>
    <w:p w:rsidR="00510A85" w:rsidRPr="00F03D2F" w:rsidRDefault="00510A85" w:rsidP="00510A85">
      <w:pPr>
        <w:pStyle w:val="a0"/>
        <w:rPr>
          <w:kern w:val="0"/>
        </w:rPr>
      </w:pPr>
      <w:r w:rsidRPr="00F03D2F">
        <w:rPr>
          <w:kern w:val="0"/>
        </w:rPr>
        <w:t>Full Text:</w:t>
      </w:r>
      <w:r w:rsidRPr="00D7601C">
        <w:t xml:space="preserve"> </w:t>
      </w:r>
      <w:hyperlink r:id="rId1867" w:history="1">
        <w:r w:rsidRPr="00510A85">
          <w:rPr>
            <w:rStyle w:val="a5"/>
          </w:rPr>
          <w:t>2010\Int J Env Sci Tec7, 591.pdf</w:t>
        </w:r>
      </w:hyperlink>
    </w:p>
    <w:p w:rsidR="00510A85" w:rsidRDefault="00510A85" w:rsidP="00510A85">
      <w:pPr>
        <w:pStyle w:val="a0"/>
        <w:rPr>
          <w:kern w:val="0"/>
        </w:rPr>
      </w:pPr>
      <w:r>
        <w:rPr>
          <w:kern w:val="0"/>
        </w:rPr>
        <w:t>Abstract: During the past decades, a significant increase occurred in accidental oil spill in the aquatic environments. In this regard, oil spill in Marine freshwater is still considered as a major environmental hazard. In this research, the experimental data on the sorption capacity of expanded perlite to crude oil were correlated with the equilibrium isotherm of Langmuir, Freudlich, Tempkin</w:t>
      </w:r>
      <w:r w:rsidR="00F81221">
        <w:rPr>
          <w:kern w:val="0"/>
        </w:rPr>
        <w:t xml:space="preserve"> and </w:t>
      </w:r>
      <w:r>
        <w:rPr>
          <w:kern w:val="0"/>
        </w:rPr>
        <w:t>the three parameter Redlich-Peterson isotherms. The results obtained from each specified isotherms were compared</w:t>
      </w:r>
      <w:r w:rsidR="00F81221">
        <w:rPr>
          <w:kern w:val="0"/>
        </w:rPr>
        <w:t xml:space="preserve"> and </w:t>
      </w:r>
      <w:r>
        <w:rPr>
          <w:kern w:val="0"/>
        </w:rPr>
        <w:t>accuracy of the models were favorably discussed. Accuracy of each model using the error function were evaluated. Moreover, the effect of type of objective function on the final results was investigated. To bring up the idea; the sum of square of the average squares of the errors, the sum of the squares of the errors, the hybrid fractional error function, Marquardt</w:t>
      </w:r>
      <w:r w:rsidR="000352E7">
        <w:rPr>
          <w:kern w:val="0"/>
        </w:rPr>
        <w:t>’</w:t>
      </w:r>
      <w:r>
        <w:rPr>
          <w:kern w:val="0"/>
        </w:rPr>
        <w:t>s percent standard deviation</w:t>
      </w:r>
      <w:r w:rsidR="00F81221">
        <w:rPr>
          <w:kern w:val="0"/>
        </w:rPr>
        <w:t xml:space="preserve"> and </w:t>
      </w:r>
      <w:r>
        <w:rPr>
          <w:kern w:val="0"/>
        </w:rPr>
        <w:t>Chi-Square objective function were used</w:t>
      </w:r>
      <w:r w:rsidR="00F81221">
        <w:rPr>
          <w:kern w:val="0"/>
        </w:rPr>
        <w:t xml:space="preserve"> and </w:t>
      </w:r>
      <w:r>
        <w:rPr>
          <w:kern w:val="0"/>
        </w:rPr>
        <w:t>the accuracy was obtained using each objective function. The results showed that the Redlich-Peterson model can better represent the equilibrium isotherm data for the crude oil to be up taken on the expanded perlite.</w:t>
      </w:r>
    </w:p>
    <w:p w:rsidR="00510A85" w:rsidRDefault="00510A85" w:rsidP="00510A85">
      <w:pPr>
        <w:pStyle w:val="a0"/>
        <w:rPr>
          <w:kern w:val="0"/>
        </w:rPr>
      </w:pPr>
      <w:r>
        <w:rPr>
          <w:kern w:val="0"/>
        </w:rPr>
        <w:t>Keywords: Activated Carbon, Adsorption, Adsorption Isotherms, Aqueous-Solution, Basic Dye Adsorption, Chromium, Crude Oil, Diffusion, Equilibrium, Expanded Perlite, Fibers, Isotherm, Isotherms, Kinetics, Langmuir, Liquid-Phase Adsorption, Methylene-Blue, Research, Sorption, Sorption Capacity</w:t>
      </w:r>
    </w:p>
    <w:p w:rsidR="001E3EA3" w:rsidRDefault="001E3EA3" w:rsidP="001E3EA3">
      <w:pPr>
        <w:pStyle w:val="a0"/>
        <w:rPr>
          <w:kern w:val="0"/>
        </w:rPr>
      </w:pPr>
      <w:r>
        <w:rPr>
          <w:rFonts w:hint="eastAsia"/>
          <w:kern w:val="0"/>
        </w:rPr>
        <w:t xml:space="preserve">? </w:t>
      </w:r>
      <w:r>
        <w:rPr>
          <w:kern w:val="0"/>
        </w:rPr>
        <w:t>Ifelebuegu, A.O., Theophilus, S.C.</w:t>
      </w:r>
      <w:r w:rsidR="00F81221">
        <w:rPr>
          <w:kern w:val="0"/>
        </w:rPr>
        <w:t xml:space="preserve"> and </w:t>
      </w:r>
      <w:r>
        <w:rPr>
          <w:kern w:val="0"/>
        </w:rPr>
        <w:t xml:space="preserve">Bateman, M.J. (2010), Mechanistic evaluation of the sorption properties of endocrine disrupting chemicals in sewage sludge biomass.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(4), 617-622.</w:t>
      </w:r>
    </w:p>
    <w:p w:rsidR="001E3EA3" w:rsidRPr="00F03D2F" w:rsidRDefault="001E3EA3" w:rsidP="001E3EA3">
      <w:pPr>
        <w:pStyle w:val="a0"/>
        <w:rPr>
          <w:kern w:val="0"/>
        </w:rPr>
      </w:pPr>
      <w:r w:rsidRPr="00F03D2F">
        <w:rPr>
          <w:kern w:val="0"/>
        </w:rPr>
        <w:t>Full Text:</w:t>
      </w:r>
      <w:r w:rsidRPr="00D7601C">
        <w:t xml:space="preserve"> </w:t>
      </w:r>
      <w:hyperlink r:id="rId1868" w:history="1">
        <w:r w:rsidRPr="001E3EA3">
          <w:rPr>
            <w:rStyle w:val="a5"/>
          </w:rPr>
          <w:t>2010\Int J Env Sci Tec7, 619.pdf</w:t>
        </w:r>
      </w:hyperlink>
    </w:p>
    <w:p w:rsidR="001E3EA3" w:rsidRDefault="001E3EA3" w:rsidP="001E3EA3">
      <w:pPr>
        <w:pStyle w:val="a0"/>
        <w:rPr>
          <w:kern w:val="0"/>
        </w:rPr>
      </w:pPr>
      <w:r>
        <w:rPr>
          <w:kern w:val="0"/>
        </w:rPr>
        <w:lastRenderedPageBreak/>
        <w:t>Abstract: This study investigated the sorption behaviour of two endocrine disrupting chemicals; 17 beta-estradiol (E2)</w:t>
      </w:r>
      <w:r w:rsidR="00F81221">
        <w:rPr>
          <w:kern w:val="0"/>
        </w:rPr>
        <w:t xml:space="preserve"> and </w:t>
      </w:r>
      <w:r>
        <w:rPr>
          <w:kern w:val="0"/>
        </w:rPr>
        <w:t>17 beta-ethinylestradiol</w:t>
      </w:r>
      <w:r w:rsidR="00F81221">
        <w:rPr>
          <w:kern w:val="0"/>
        </w:rPr>
        <w:t xml:space="preserve"> and </w:t>
      </w:r>
      <w:r>
        <w:rPr>
          <w:kern w:val="0"/>
        </w:rPr>
        <w:t>their thermodynamic properties in an activated sludge biomass. The partition coefficient values measured for E2</w:t>
      </w:r>
      <w:r w:rsidR="00F81221">
        <w:rPr>
          <w:kern w:val="0"/>
        </w:rPr>
        <w:t xml:space="preserve"> and </w:t>
      </w:r>
      <w:r>
        <w:rPr>
          <w:kern w:val="0"/>
        </w:rPr>
        <w:t>EE2 at varying temperatures range from 245 - 604 L/kg (log K-d 2.39 -2.78)</w:t>
      </w:r>
      <w:r w:rsidR="00F81221">
        <w:rPr>
          <w:kern w:val="0"/>
        </w:rPr>
        <w:t xml:space="preserve"> and </w:t>
      </w:r>
      <w:r>
        <w:rPr>
          <w:kern w:val="0"/>
        </w:rPr>
        <w:t>267 - 631 L/kg (Log K-d 2.43 - 2.80), respectively. The chemisorption K-d values were inversely related to temperature. The average percentages of E2</w:t>
      </w:r>
      <w:r w:rsidR="00F81221">
        <w:rPr>
          <w:kern w:val="0"/>
        </w:rPr>
        <w:t xml:space="preserve"> and </w:t>
      </w:r>
      <w:r>
        <w:rPr>
          <w:kern w:val="0"/>
        </w:rPr>
        <w:t>EE2 adsorbed to the solid phase at 4.3 % dry solid were 87.2 %</w:t>
      </w:r>
      <w:r w:rsidR="00F81221">
        <w:rPr>
          <w:kern w:val="0"/>
        </w:rPr>
        <w:t xml:space="preserve"> and </w:t>
      </w:r>
      <w:r>
        <w:rPr>
          <w:kern w:val="0"/>
        </w:rPr>
        <w:t>92.5 %, respectively. Sorption of E2</w:t>
      </w:r>
      <w:r w:rsidR="00F81221">
        <w:rPr>
          <w:kern w:val="0"/>
        </w:rPr>
        <w:t xml:space="preserve"> and </w:t>
      </w:r>
      <w:r>
        <w:rPr>
          <w:kern w:val="0"/>
        </w:rPr>
        <w:t>EE2 to the activated sludge biomass was found to be spontaneous</w:t>
      </w:r>
      <w:r w:rsidR="00F81221">
        <w:rPr>
          <w:kern w:val="0"/>
        </w:rPr>
        <w:t xml:space="preserve"> and </w:t>
      </w:r>
      <w:r>
        <w:rPr>
          <w:kern w:val="0"/>
        </w:rPr>
        <w:t>entropy retarded with Delta G values in the range of -13 to -16 KJ/mol</w:t>
      </w:r>
      <w:r w:rsidR="00F81221">
        <w:rPr>
          <w:kern w:val="0"/>
        </w:rPr>
        <w:t xml:space="preserve"> and </w:t>
      </w:r>
      <w:r>
        <w:rPr>
          <w:kern w:val="0"/>
        </w:rPr>
        <w:t>Delta S value of -105.2J/mol/K</w:t>
      </w:r>
      <w:r w:rsidR="00F81221">
        <w:rPr>
          <w:kern w:val="0"/>
        </w:rPr>
        <w:t xml:space="preserve"> and </w:t>
      </w:r>
      <w:r>
        <w:rPr>
          <w:kern w:val="0"/>
        </w:rPr>
        <w:t>96.7 J/mol/k for E2</w:t>
      </w:r>
      <w:r w:rsidR="00F81221">
        <w:rPr>
          <w:kern w:val="0"/>
        </w:rPr>
        <w:t xml:space="preserve"> and </w:t>
      </w:r>
      <w:r>
        <w:rPr>
          <w:kern w:val="0"/>
        </w:rPr>
        <w:t>EE2, respectively. The enthalpy changes for E2</w:t>
      </w:r>
      <w:r w:rsidR="00F81221">
        <w:rPr>
          <w:kern w:val="0"/>
        </w:rPr>
        <w:t xml:space="preserve"> and </w:t>
      </w:r>
      <w:r>
        <w:rPr>
          <w:kern w:val="0"/>
        </w:rPr>
        <w:t>EE2 were -45.7KJ/mol</w:t>
      </w:r>
      <w:r w:rsidR="00F81221">
        <w:rPr>
          <w:kern w:val="0"/>
        </w:rPr>
        <w:t xml:space="preserve"> and </w:t>
      </w:r>
      <w:r>
        <w:rPr>
          <w:kern w:val="0"/>
        </w:rPr>
        <w:t>-43.4KJ/mol respectively, demonstrating that the sorption process is exothermic. The values of the enthalpy changes also show that the mechanism of sorption is physisorption with some element of chemisorption.</w:t>
      </w:r>
    </w:p>
    <w:p w:rsidR="001E3EA3" w:rsidRDefault="001E3EA3" w:rsidP="001E3EA3">
      <w:pPr>
        <w:pStyle w:val="a0"/>
        <w:rPr>
          <w:kern w:val="0"/>
        </w:rPr>
      </w:pPr>
      <w:r>
        <w:rPr>
          <w:kern w:val="0"/>
        </w:rPr>
        <w:t>Keywords: Activated Carbon, Adsorption, Biomass, Bisphenol-A, Enthalpy, Entropy, Evaluation, Municipal Waste-Water, Partitioning Coefficient, Pharmaceuticals, Removal, Retention Time, Sewage Sludge, Sludge, Sorption, Steroid Estrogens, Systems, Treatment Plant</w:t>
      </w:r>
    </w:p>
    <w:p w:rsidR="00C21AFA" w:rsidRDefault="00C21AFA" w:rsidP="00C21AFA">
      <w:pPr>
        <w:pStyle w:val="a0"/>
        <w:rPr>
          <w:kern w:val="0"/>
        </w:rPr>
      </w:pPr>
      <w:r>
        <w:rPr>
          <w:rFonts w:hint="eastAsia"/>
          <w:kern w:val="0"/>
        </w:rPr>
        <w:t xml:space="preserve">? </w:t>
      </w:r>
      <w:r>
        <w:rPr>
          <w:kern w:val="0"/>
        </w:rPr>
        <w:t>Vohra, M.S. (2010), Adsorption of lead, ethylenediaminetetraacetic acid</w:t>
      </w:r>
      <w:r w:rsidR="00F81221">
        <w:rPr>
          <w:kern w:val="0"/>
        </w:rPr>
        <w:t xml:space="preserve"> and </w:t>
      </w:r>
      <w:r>
        <w:rPr>
          <w:kern w:val="0"/>
        </w:rPr>
        <w:t xml:space="preserve">lead-ethylenediaminetetraacetic acid complex onto granular activated carbon.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(4), 687-696.</w:t>
      </w:r>
    </w:p>
    <w:p w:rsidR="00C21AFA" w:rsidRPr="00F03D2F" w:rsidRDefault="00C21AFA" w:rsidP="00C21AFA">
      <w:pPr>
        <w:pStyle w:val="a0"/>
        <w:rPr>
          <w:kern w:val="0"/>
        </w:rPr>
      </w:pPr>
      <w:r w:rsidRPr="00F03D2F">
        <w:rPr>
          <w:kern w:val="0"/>
        </w:rPr>
        <w:t>Full Text:</w:t>
      </w:r>
      <w:r w:rsidRPr="00D7601C">
        <w:t xml:space="preserve"> </w:t>
      </w:r>
      <w:hyperlink r:id="rId1869" w:history="1">
        <w:r w:rsidRPr="00C21AFA">
          <w:rPr>
            <w:rStyle w:val="a5"/>
          </w:rPr>
          <w:t>2010\Int J Env Sci Tec7, 687.pdf</w:t>
        </w:r>
      </w:hyperlink>
    </w:p>
    <w:p w:rsidR="00C21AFA" w:rsidRDefault="00C21AFA" w:rsidP="00C21AFA">
      <w:pPr>
        <w:pStyle w:val="a0"/>
        <w:rPr>
          <w:kern w:val="0"/>
        </w:rPr>
      </w:pPr>
      <w:r>
        <w:rPr>
          <w:kern w:val="0"/>
        </w:rPr>
        <w:t>Abstract: This study investigated simultaneous removal of lead</w:t>
      </w:r>
      <w:r w:rsidR="00F81221">
        <w:rPr>
          <w:kern w:val="0"/>
        </w:rPr>
        <w:t xml:space="preserve"> and </w:t>
      </w:r>
      <w:r>
        <w:rPr>
          <w:kern w:val="0"/>
        </w:rPr>
        <w:t>ethylenediaminetetraacetic acid from synthetic wastewater samples using granular activated carbon adsorption. Data from a 1</w:t>
      </w:r>
      <w:r>
        <w:rPr>
          <w:kern w:val="0"/>
        </w:rPr>
        <w:sym w:font="Symbol" w:char="F0B4"/>
      </w:r>
      <w:r>
        <w:rPr>
          <w:kern w:val="0"/>
        </w:rPr>
        <w:t>10</w:t>
      </w:r>
      <w:r>
        <w:rPr>
          <w:rFonts w:hint="eastAsia"/>
          <w:kern w:val="0"/>
          <w:vertAlign w:val="superscript"/>
        </w:rPr>
        <w:t>-4</w:t>
      </w:r>
      <w:r>
        <w:rPr>
          <w:kern w:val="0"/>
        </w:rPr>
        <w:t xml:space="preserve"> M lead-ethylenediaminetetraacetic acid adsorption isotherm study fitted well to Freundlich isotherm. Furthermore, for the pH-dependent 1</w:t>
      </w:r>
      <w:r>
        <w:rPr>
          <w:kern w:val="0"/>
        </w:rPr>
        <w:sym w:font="Symbol" w:char="F0B4"/>
      </w:r>
      <w:r>
        <w:rPr>
          <w:kern w:val="0"/>
        </w:rPr>
        <w:t>10</w:t>
      </w:r>
      <w:r>
        <w:rPr>
          <w:rFonts w:hint="eastAsia"/>
          <w:kern w:val="0"/>
          <w:vertAlign w:val="superscript"/>
        </w:rPr>
        <w:t>-4</w:t>
      </w:r>
      <w:r>
        <w:rPr>
          <w:kern w:val="0"/>
        </w:rPr>
        <w:t xml:space="preserve"> M lead-ethylenediaminetetraacetic acid study both lead</w:t>
      </w:r>
      <w:r w:rsidR="00F81221">
        <w:rPr>
          <w:kern w:val="0"/>
        </w:rPr>
        <w:t xml:space="preserve"> and </w:t>
      </w:r>
      <w:r>
        <w:rPr>
          <w:kern w:val="0"/>
        </w:rPr>
        <w:t>ethylenediaminetetraacetic acid adsorptions increased reaching values of 82 %</w:t>
      </w:r>
      <w:r w:rsidR="00F81221">
        <w:rPr>
          <w:kern w:val="0"/>
        </w:rPr>
        <w:t xml:space="preserve"> and </w:t>
      </w:r>
      <w:r>
        <w:rPr>
          <w:kern w:val="0"/>
        </w:rPr>
        <w:t>93 % respectively at pH 5.8. However, a further increase in pH resulted in decreasing but near equal lead</w:t>
      </w:r>
      <w:r w:rsidR="00F81221">
        <w:rPr>
          <w:kern w:val="0"/>
        </w:rPr>
        <w:t xml:space="preserve"> and </w:t>
      </w:r>
      <w:r>
        <w:rPr>
          <w:kern w:val="0"/>
        </w:rPr>
        <w:t>ethylenediaminetetraacetic acid removals. Results for the 2</w:t>
      </w:r>
      <w:r>
        <w:rPr>
          <w:kern w:val="0"/>
        </w:rPr>
        <w:sym w:font="Symbol" w:char="F0B4"/>
      </w:r>
      <w:r>
        <w:rPr>
          <w:kern w:val="0"/>
        </w:rPr>
        <w:t>10</w:t>
      </w:r>
      <w:r>
        <w:rPr>
          <w:rFonts w:hint="eastAsia"/>
          <w:kern w:val="0"/>
          <w:vertAlign w:val="superscript"/>
        </w:rPr>
        <w:t>-4</w:t>
      </w:r>
      <w:r>
        <w:rPr>
          <w:kern w:val="0"/>
        </w:rPr>
        <w:t xml:space="preserve"> M lead-ethylenediaminetetraacetic acid system showed a behavior that was qualitatively similar to the 1</w:t>
      </w:r>
      <w:r>
        <w:rPr>
          <w:kern w:val="0"/>
        </w:rPr>
        <w:sym w:font="Symbol" w:char="F0B4"/>
      </w:r>
      <w:r>
        <w:rPr>
          <w:kern w:val="0"/>
        </w:rPr>
        <w:t>10</w:t>
      </w:r>
      <w:r>
        <w:rPr>
          <w:rFonts w:hint="eastAsia"/>
          <w:kern w:val="0"/>
          <w:vertAlign w:val="superscript"/>
        </w:rPr>
        <w:t>-4</w:t>
      </w:r>
      <w:r>
        <w:rPr>
          <w:kern w:val="0"/>
        </w:rPr>
        <w:t xml:space="preserve"> M lead-ethylenediaminetetraacetic acid findings. However, the 1</w:t>
      </w:r>
      <w:r>
        <w:rPr>
          <w:kern w:val="0"/>
        </w:rPr>
        <w:sym w:font="Symbol" w:char="F0B4"/>
      </w:r>
      <w:r>
        <w:rPr>
          <w:kern w:val="0"/>
        </w:rPr>
        <w:t>10</w:t>
      </w:r>
      <w:r>
        <w:rPr>
          <w:rFonts w:hint="eastAsia"/>
          <w:kern w:val="0"/>
          <w:vertAlign w:val="superscript"/>
        </w:rPr>
        <w:t>-3</w:t>
      </w:r>
      <w:r>
        <w:rPr>
          <w:kern w:val="0"/>
        </w:rPr>
        <w:t xml:space="preserve"> M lead-ethylenediaminetetraacetic acid study showed only a decreasing adsorption trend. An increasing-decreasing type lead, ethylenediaminetetraacetic acid adsorption behavior was also noted for the 1</w:t>
      </w:r>
      <w:r>
        <w:rPr>
          <w:kern w:val="0"/>
        </w:rPr>
        <w:sym w:font="Symbol" w:char="F0B4"/>
      </w:r>
      <w:r>
        <w:rPr>
          <w:kern w:val="0"/>
        </w:rPr>
        <w:t>10</w:t>
      </w:r>
      <w:r>
        <w:rPr>
          <w:rFonts w:hint="eastAsia"/>
          <w:kern w:val="0"/>
          <w:vertAlign w:val="superscript"/>
        </w:rPr>
        <w:t>-4</w:t>
      </w:r>
      <w:r>
        <w:rPr>
          <w:kern w:val="0"/>
        </w:rPr>
        <w:t xml:space="preserve"> M lead, 2</w:t>
      </w:r>
      <w:r>
        <w:rPr>
          <w:kern w:val="0"/>
        </w:rPr>
        <w:sym w:font="Symbol" w:char="F0B4"/>
      </w:r>
      <w:r>
        <w:rPr>
          <w:kern w:val="0"/>
        </w:rPr>
        <w:t>10</w:t>
      </w:r>
      <w:r>
        <w:rPr>
          <w:rFonts w:hint="eastAsia"/>
          <w:kern w:val="0"/>
          <w:vertAlign w:val="superscript"/>
        </w:rPr>
        <w:t>-4</w:t>
      </w:r>
      <w:r>
        <w:rPr>
          <w:kern w:val="0"/>
        </w:rPr>
        <w:t xml:space="preserve"> M ethylenediaminetetraacetic acid system. Nevertheless for the 2</w:t>
      </w:r>
      <w:r>
        <w:rPr>
          <w:kern w:val="0"/>
        </w:rPr>
        <w:sym w:font="Symbol" w:char="F0B4"/>
      </w:r>
      <w:r>
        <w:rPr>
          <w:kern w:val="0"/>
        </w:rPr>
        <w:t>10</w:t>
      </w:r>
      <w:r>
        <w:rPr>
          <w:rFonts w:hint="eastAsia"/>
          <w:kern w:val="0"/>
          <w:vertAlign w:val="superscript"/>
        </w:rPr>
        <w:t>-4</w:t>
      </w:r>
      <w:r>
        <w:rPr>
          <w:kern w:val="0"/>
        </w:rPr>
        <w:t xml:space="preserve"> M lead, 1</w:t>
      </w:r>
      <w:r>
        <w:rPr>
          <w:kern w:val="0"/>
        </w:rPr>
        <w:sym w:font="Symbol" w:char="F0B4"/>
      </w:r>
      <w:r>
        <w:rPr>
          <w:kern w:val="0"/>
        </w:rPr>
        <w:t>10</w:t>
      </w:r>
      <w:r>
        <w:rPr>
          <w:rFonts w:hint="eastAsia"/>
          <w:kern w:val="0"/>
          <w:vertAlign w:val="superscript"/>
        </w:rPr>
        <w:t>-4</w:t>
      </w:r>
      <w:r>
        <w:rPr>
          <w:kern w:val="0"/>
        </w:rPr>
        <w:t xml:space="preserve"> M ethylenediaminetetraacetic acid system, lead removal at increased pH was comparatively higher. Furthermore, results from a continuous column study </w:t>
      </w:r>
      <w:r>
        <w:rPr>
          <w:kern w:val="0"/>
        </w:rPr>
        <w:lastRenderedPageBreak/>
        <w:t>completed at 1</w:t>
      </w:r>
      <w:r>
        <w:rPr>
          <w:kern w:val="0"/>
        </w:rPr>
        <w:sym w:font="Symbol" w:char="F0B4"/>
      </w:r>
      <w:r>
        <w:rPr>
          <w:kern w:val="0"/>
        </w:rPr>
        <w:t>10</w:t>
      </w:r>
      <w:r>
        <w:rPr>
          <w:rFonts w:hint="eastAsia"/>
          <w:kern w:val="0"/>
          <w:vertAlign w:val="superscript"/>
        </w:rPr>
        <w:t>-4</w:t>
      </w:r>
      <w:r>
        <w:rPr>
          <w:kern w:val="0"/>
        </w:rPr>
        <w:t xml:space="preserve"> M lead</w:t>
      </w:r>
      <w:r w:rsidR="00F81221">
        <w:rPr>
          <w:kern w:val="0"/>
        </w:rPr>
        <w:t xml:space="preserve"> and </w:t>
      </w:r>
      <w:r>
        <w:rPr>
          <w:kern w:val="0"/>
        </w:rPr>
        <w:t>0.75</w:t>
      </w:r>
      <w:r>
        <w:rPr>
          <w:kern w:val="0"/>
        </w:rPr>
        <w:sym w:font="Symbol" w:char="F0B4"/>
      </w:r>
      <w:r>
        <w:rPr>
          <w:kern w:val="0"/>
        </w:rPr>
        <w:t>10</w:t>
      </w:r>
      <w:r>
        <w:rPr>
          <w:rFonts w:hint="eastAsia"/>
          <w:kern w:val="0"/>
          <w:vertAlign w:val="superscript"/>
        </w:rPr>
        <w:t>-4</w:t>
      </w:r>
      <w:r>
        <w:rPr>
          <w:kern w:val="0"/>
        </w:rPr>
        <w:t xml:space="preserve"> M ethylenediaminetetraacetic acid showed high saturation times both for lead</w:t>
      </w:r>
      <w:r w:rsidR="00F81221">
        <w:rPr>
          <w:kern w:val="0"/>
        </w:rPr>
        <w:t xml:space="preserve"> and </w:t>
      </w:r>
      <w:r>
        <w:rPr>
          <w:kern w:val="0"/>
        </w:rPr>
        <w:t>ethylenediaminetetraacetic acid. Results from the present work show that a notable removal of aqueous phase lead</w:t>
      </w:r>
      <w:r w:rsidR="00F81221">
        <w:rPr>
          <w:kern w:val="0"/>
        </w:rPr>
        <w:t xml:space="preserve"> and </w:t>
      </w:r>
      <w:r>
        <w:rPr>
          <w:kern w:val="0"/>
        </w:rPr>
        <w:t>ethylenediaminetetraacetic acid could be achieved using activated carbon adsorption. The details related to the effect of pH</w:t>
      </w:r>
      <w:r w:rsidR="00F81221">
        <w:rPr>
          <w:kern w:val="0"/>
        </w:rPr>
        <w:t xml:space="preserve"> and </w:t>
      </w:r>
      <w:r>
        <w:rPr>
          <w:kern w:val="0"/>
        </w:rPr>
        <w:t>pollutants</w:t>
      </w:r>
      <w:r w:rsidR="000352E7">
        <w:rPr>
          <w:kern w:val="0"/>
        </w:rPr>
        <w:t>’</w:t>
      </w:r>
      <w:r>
        <w:rPr>
          <w:kern w:val="0"/>
        </w:rPr>
        <w:t xml:space="preserve"> concentration on the overall adsorption efficiency, as reported in the present work, would be of much use for an effective carbon adsorption process design for the treatment of respective wastewaters.</w:t>
      </w:r>
    </w:p>
    <w:p w:rsidR="00C21AFA" w:rsidRDefault="00C21AFA" w:rsidP="00C21AFA">
      <w:pPr>
        <w:pStyle w:val="a0"/>
        <w:rPr>
          <w:kern w:val="0"/>
        </w:rPr>
      </w:pPr>
      <w:r>
        <w:rPr>
          <w:kern w:val="0"/>
        </w:rPr>
        <w:t>Keywords: Activated Carbon, Adsorption, Aqueous-Solution, Complex, Date Pits, Edta, Equilibrium, Ethylenediaminetetraacetic Acid, Freundlich, Freundlich Isotherm, Ions, Isotherm, Kinetics, Lead, Pb(II), Removal, Simultaneous Recovery, Treatment, Trend, Waste-Water, Wastewater</w:t>
      </w:r>
    </w:p>
    <w:p w:rsidR="00C21AFA" w:rsidRDefault="00C21AFA" w:rsidP="00C21AFA">
      <w:pPr>
        <w:pStyle w:val="a0"/>
        <w:rPr>
          <w:kern w:val="0"/>
        </w:rPr>
      </w:pPr>
      <w:r>
        <w:rPr>
          <w:rFonts w:hint="eastAsia"/>
          <w:kern w:val="0"/>
        </w:rPr>
        <w:t xml:space="preserve">? </w:t>
      </w:r>
      <w:r>
        <w:rPr>
          <w:kern w:val="0"/>
        </w:rPr>
        <w:t>Onundi, Y.B., Mamun, A.A., Al Khatib, M.F.</w:t>
      </w:r>
      <w:r w:rsidR="00F81221">
        <w:rPr>
          <w:kern w:val="0"/>
        </w:rPr>
        <w:t xml:space="preserve"> and </w:t>
      </w:r>
      <w:r>
        <w:rPr>
          <w:kern w:val="0"/>
        </w:rPr>
        <w:t>Ahmed, Y.M. (2010), Adsorption of copper, nickel</w:t>
      </w:r>
      <w:r w:rsidR="00F81221">
        <w:rPr>
          <w:kern w:val="0"/>
        </w:rPr>
        <w:t xml:space="preserve"> and </w:t>
      </w:r>
      <w:r>
        <w:rPr>
          <w:kern w:val="0"/>
        </w:rPr>
        <w:t xml:space="preserve">lead ions from synthetic semiconductor industrial wastewater by palm shell activated carbon.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(4), 751-758.</w:t>
      </w:r>
    </w:p>
    <w:p w:rsidR="00C21AFA" w:rsidRPr="00F03D2F" w:rsidRDefault="00C21AFA" w:rsidP="00C21AFA">
      <w:pPr>
        <w:pStyle w:val="a0"/>
        <w:rPr>
          <w:kern w:val="0"/>
        </w:rPr>
      </w:pPr>
      <w:r w:rsidRPr="00F03D2F">
        <w:rPr>
          <w:kern w:val="0"/>
        </w:rPr>
        <w:t>Full Text:</w:t>
      </w:r>
      <w:r w:rsidRPr="00D7601C">
        <w:t xml:space="preserve"> </w:t>
      </w:r>
      <w:hyperlink r:id="rId1870" w:history="1">
        <w:r w:rsidRPr="00C21AFA">
          <w:rPr>
            <w:rStyle w:val="a5"/>
          </w:rPr>
          <w:t>2010\Int J Env Sci Tec7, 751.pdf</w:t>
        </w:r>
      </w:hyperlink>
    </w:p>
    <w:p w:rsidR="00C21AFA" w:rsidRDefault="00C21AFA" w:rsidP="00C21AFA">
      <w:pPr>
        <w:pStyle w:val="a0"/>
        <w:rPr>
          <w:kern w:val="0"/>
        </w:rPr>
      </w:pPr>
      <w:r>
        <w:rPr>
          <w:kern w:val="0"/>
        </w:rPr>
        <w:t>Abstract: Granular activated carbon produced from palm kernel shell was used as adsorbent to remove copper, nickel</w:t>
      </w:r>
      <w:r w:rsidR="00F81221">
        <w:rPr>
          <w:kern w:val="0"/>
        </w:rPr>
        <w:t xml:space="preserve"> and </w:t>
      </w:r>
      <w:r>
        <w:rPr>
          <w:kern w:val="0"/>
        </w:rPr>
        <w:t>lead ions from a synthesized industrial wastewater. Laboratory experimental investigation was carried out to identify the effect of pH</w:t>
      </w:r>
      <w:r w:rsidR="00F81221">
        <w:rPr>
          <w:kern w:val="0"/>
        </w:rPr>
        <w:t xml:space="preserve"> and </w:t>
      </w:r>
      <w:r>
        <w:rPr>
          <w:kern w:val="0"/>
        </w:rPr>
        <w:t>contact time on adsorption of lead, copper</w:t>
      </w:r>
      <w:r w:rsidR="00F81221">
        <w:rPr>
          <w:kern w:val="0"/>
        </w:rPr>
        <w:t xml:space="preserve"> and </w:t>
      </w:r>
      <w:r>
        <w:rPr>
          <w:kern w:val="0"/>
        </w:rPr>
        <w:t>nickel from the mixed metals solution. Equilibrium adsorption experiments at ambient room temperature were carried out</w:t>
      </w:r>
      <w:r w:rsidR="00F81221">
        <w:rPr>
          <w:kern w:val="0"/>
        </w:rPr>
        <w:t xml:space="preserve"> and </w:t>
      </w:r>
      <w:r>
        <w:rPr>
          <w:kern w:val="0"/>
        </w:rPr>
        <w:t>fitted to Langmuir</w:t>
      </w:r>
      <w:r w:rsidR="00F81221">
        <w:rPr>
          <w:kern w:val="0"/>
        </w:rPr>
        <w:t xml:space="preserve"> and </w:t>
      </w:r>
      <w:r>
        <w:rPr>
          <w:kern w:val="0"/>
        </w:rPr>
        <w:t>Freundlich models. Results showed that pH 5 was the most suitable, while the maximum adsorbent capacity was at a dosage of 1 g, L, recording a sorption capacity of 1.337 mg, g for lead, 1.581 mg, g for copper</w:t>
      </w:r>
      <w:r w:rsidR="00F81221">
        <w:rPr>
          <w:kern w:val="0"/>
        </w:rPr>
        <w:t xml:space="preserve"> and </w:t>
      </w:r>
      <w:r>
        <w:rPr>
          <w:kern w:val="0"/>
        </w:rPr>
        <w:t>0.130 mg, g for nickel. The percentage metal removal approached equilibrium within 30 min for lead, 75 min for copper</w:t>
      </w:r>
      <w:r w:rsidR="00F81221">
        <w:rPr>
          <w:kern w:val="0"/>
        </w:rPr>
        <w:t xml:space="preserve"> and </w:t>
      </w:r>
      <w:r>
        <w:rPr>
          <w:kern w:val="0"/>
        </w:rPr>
        <w:t>nickel, with lead recording 100 %, copper 97 %</w:t>
      </w:r>
      <w:r w:rsidR="00F81221">
        <w:rPr>
          <w:kern w:val="0"/>
        </w:rPr>
        <w:t xml:space="preserve"> and </w:t>
      </w:r>
      <w:r>
        <w:rPr>
          <w:kern w:val="0"/>
        </w:rPr>
        <w:t>nickel 55 % removal, having a trend of Pb</w:t>
      </w:r>
      <w:r w:rsidRPr="00063D28">
        <w:rPr>
          <w:kern w:val="0"/>
          <w:vertAlign w:val="superscript"/>
        </w:rPr>
        <w:t>2+</w:t>
      </w:r>
      <w:r>
        <w:rPr>
          <w:kern w:val="0"/>
        </w:rPr>
        <w:t xml:space="preserve"> &gt; Cu</w:t>
      </w:r>
      <w:r w:rsidRPr="00063D28">
        <w:rPr>
          <w:kern w:val="0"/>
          <w:vertAlign w:val="superscript"/>
        </w:rPr>
        <w:t>2+</w:t>
      </w:r>
      <w:r>
        <w:rPr>
          <w:kern w:val="0"/>
        </w:rPr>
        <w:t xml:space="preserve"> &gt; Ni</w:t>
      </w:r>
      <w:r w:rsidRPr="00063D28">
        <w:rPr>
          <w:kern w:val="0"/>
          <w:vertAlign w:val="superscript"/>
        </w:rPr>
        <w:t>2+</w:t>
      </w:r>
      <w:r>
        <w:rPr>
          <w:kern w:val="0"/>
        </w:rPr>
        <w:t>. Langmuir model had higher R-2 values of 0.977, 0.817</w:t>
      </w:r>
      <w:r w:rsidR="00F81221">
        <w:rPr>
          <w:kern w:val="0"/>
        </w:rPr>
        <w:t xml:space="preserve"> and </w:t>
      </w:r>
      <w:r>
        <w:rPr>
          <w:kern w:val="0"/>
        </w:rPr>
        <w:t>0.978 for copper, nickel</w:t>
      </w:r>
      <w:r w:rsidR="00F81221">
        <w:rPr>
          <w:kern w:val="0"/>
        </w:rPr>
        <w:t xml:space="preserve"> and </w:t>
      </w:r>
      <w:r>
        <w:rPr>
          <w:kern w:val="0"/>
        </w:rPr>
        <w:t>lead respectively, which fitted the equilibrium adsorption process more than Freundlich model for the three metals.</w:t>
      </w:r>
    </w:p>
    <w:p w:rsidR="00C21AFA" w:rsidRDefault="00C21AFA" w:rsidP="00C21AFA">
      <w:pPr>
        <w:pStyle w:val="a0"/>
        <w:rPr>
          <w:kern w:val="0"/>
        </w:rPr>
      </w:pPr>
      <w:r>
        <w:rPr>
          <w:kern w:val="0"/>
        </w:rPr>
        <w:t>Keywords: Activated Carbon, Adsorbents, Adsorption, Aqueous-Solution, Biosorption, Coconut, Copper, Equilibrium, Freundlich, Granular Activated Carbon, Heavy Metals, Iron, Isotherm, Kinetics, Langmuir, Low-Cost, Metal Removal, Metals, Nickel, Removal, Sorption, Trend, Wastewater, Zinc</w:t>
      </w:r>
    </w:p>
    <w:p w:rsidR="00E96DCA" w:rsidRDefault="00E96DCA" w:rsidP="00E96DCA">
      <w:pPr>
        <w:pStyle w:val="a0"/>
        <w:rPr>
          <w:kern w:val="0"/>
        </w:rPr>
      </w:pPr>
      <w:r>
        <w:rPr>
          <w:kern w:val="0"/>
        </w:rPr>
        <w:t>? Okoye, A.I., Ejikeme, P.M.</w:t>
      </w:r>
      <w:r w:rsidR="00F81221">
        <w:rPr>
          <w:kern w:val="0"/>
        </w:rPr>
        <w:t xml:space="preserve"> and </w:t>
      </w:r>
      <w:r>
        <w:rPr>
          <w:kern w:val="0"/>
        </w:rPr>
        <w:t>Onukwuli, O.D. (2010), Lead removal from wastewater using fluted pumpkin seed shell activated carbon: Adsorption modeling</w:t>
      </w:r>
      <w:r w:rsidR="00F81221">
        <w:rPr>
          <w:kern w:val="0"/>
        </w:rPr>
        <w:t xml:space="preserve"> and </w:t>
      </w:r>
      <w:r>
        <w:rPr>
          <w:kern w:val="0"/>
        </w:rPr>
        <w:t xml:space="preserve">kinetics.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7</w:t>
      </w:r>
      <w:r>
        <w:rPr>
          <w:kern w:val="0"/>
        </w:rPr>
        <w:t xml:space="preserve"> (4), 793-800.</w:t>
      </w:r>
    </w:p>
    <w:p w:rsidR="00E96DCA" w:rsidRPr="00F03D2F" w:rsidRDefault="00E96DCA" w:rsidP="00E96DCA">
      <w:pPr>
        <w:pStyle w:val="a0"/>
        <w:rPr>
          <w:kern w:val="0"/>
        </w:rPr>
      </w:pPr>
      <w:r w:rsidRPr="00F03D2F">
        <w:rPr>
          <w:kern w:val="0"/>
        </w:rPr>
        <w:lastRenderedPageBreak/>
        <w:t>Full Text:</w:t>
      </w:r>
      <w:r w:rsidRPr="00D7601C">
        <w:t xml:space="preserve"> </w:t>
      </w:r>
      <w:hyperlink r:id="rId1871" w:history="1">
        <w:r w:rsidRPr="0066666F">
          <w:rPr>
            <w:rStyle w:val="a5"/>
          </w:rPr>
          <w:t>2010\Int J Env Sci Tec7, 793.pdf</w:t>
        </w:r>
      </w:hyperlink>
    </w:p>
    <w:p w:rsidR="00E96DCA" w:rsidRDefault="00E96DCA" w:rsidP="00E96DCA">
      <w:pPr>
        <w:pStyle w:val="a0"/>
        <w:rPr>
          <w:kern w:val="0"/>
        </w:rPr>
      </w:pPr>
      <w:r>
        <w:rPr>
          <w:kern w:val="0"/>
        </w:rPr>
        <w:t>Abstract: Activated carbon produced from fluted pumpkin (</w:t>
      </w:r>
      <w:r w:rsidRPr="00300D73">
        <w:rPr>
          <w:i/>
          <w:kern w:val="0"/>
        </w:rPr>
        <w:t>Telfairia occidentalis</w:t>
      </w:r>
      <w:r>
        <w:rPr>
          <w:kern w:val="0"/>
        </w:rPr>
        <w:t>) seed shell was utilized for the removal of lead (II) ion from simulated wastewater. Adsorption tests were carried out in series of batch adsorption experiments. Several kinetic models (Bhattacharya-Venkobacher, Elovich, pseudo first</w:t>
      </w:r>
      <w:r w:rsidR="00F81221">
        <w:rPr>
          <w:kern w:val="0"/>
        </w:rPr>
        <w:t xml:space="preserve"> and </w:t>
      </w:r>
      <w:r>
        <w:rPr>
          <w:kern w:val="0"/>
        </w:rPr>
        <w:t>second order, intra-particle</w:t>
      </w:r>
      <w:r w:rsidR="00F81221">
        <w:rPr>
          <w:kern w:val="0"/>
        </w:rPr>
        <w:t xml:space="preserve"> and </w:t>
      </w:r>
      <w:r>
        <w:rPr>
          <w:kern w:val="0"/>
        </w:rPr>
        <w:t>film diffusion) were tasted for conformity to the experimental data obtained. The Langmuir</w:t>
      </w:r>
      <w:r w:rsidR="00F81221">
        <w:rPr>
          <w:kern w:val="0"/>
        </w:rPr>
        <w:t xml:space="preserve"> and </w:t>
      </w:r>
      <w:r>
        <w:rPr>
          <w:kern w:val="0"/>
        </w:rPr>
        <w:t>Freundlich adsorption models were also used to test the data. The amount of lead (II) ion adsorbed at equilibrium from a 200 mg/L solute concentration was 14.286 mg/g. The experimental data conform very well to the pseudo-second order equation where equilibrium adsorption capacities increased with increasing initial lead (II) concentration. The rate of the adsorption process was controlled by the film (boundary layer) diffusion as the film diffusion co-efficient values obtained from data analysis were of the order of 10</w:t>
      </w:r>
      <w:r>
        <w:rPr>
          <w:kern w:val="0"/>
          <w:vertAlign w:val="superscript"/>
        </w:rPr>
        <w:t>6</w:t>
      </w:r>
      <w:r w:rsidRPr="002F0EBF">
        <w:rPr>
          <w:kern w:val="0"/>
        </w:rPr>
        <w:t xml:space="preserve"> </w:t>
      </w:r>
      <w:r>
        <w:rPr>
          <w:kern w:val="0"/>
        </w:rPr>
        <w:t>cm</w:t>
      </w:r>
      <w:r>
        <w:rPr>
          <w:kern w:val="0"/>
          <w:vertAlign w:val="superscript"/>
        </w:rPr>
        <w:t>2</w:t>
      </w:r>
      <w:r>
        <w:rPr>
          <w:kern w:val="0"/>
        </w:rPr>
        <w:t>/s. From the plots, the linear regression coefficient (R</w:t>
      </w:r>
      <w:r>
        <w:rPr>
          <w:kern w:val="0"/>
          <w:vertAlign w:val="superscript"/>
        </w:rPr>
        <w:t>2</w:t>
      </w:r>
      <w:r>
        <w:rPr>
          <w:kern w:val="0"/>
        </w:rPr>
        <w:t>) of the Langmuir model was higher than that of the Freundlich: the adsorption isotherm obeyed the Langmuir model better than the Freundlich model.</w:t>
      </w:r>
    </w:p>
    <w:p w:rsidR="00E96DCA" w:rsidRDefault="00E96DCA" w:rsidP="00E96DCA">
      <w:pPr>
        <w:pStyle w:val="a0"/>
        <w:rPr>
          <w:kern w:val="0"/>
        </w:rPr>
      </w:pPr>
      <w:r>
        <w:rPr>
          <w:kern w:val="0"/>
        </w:rPr>
        <w:t xml:space="preserve">Keywords: Activated Carbon, Adsorbent, Adsorption, Adsorption Capacities, Adsorption Isotherm, Adsorption Modeling, Analysis, Aqueous-Solutions, Batch, Batch Adsorption, Biosorption, Boundary Layer, Carbon, Chromium VI, Concentration, Data, Data Analysis, Diffusion, Diffusion Coefficient, Elovich, Equilibrium, Experimental, Experiments, Film Diffusion, First, Freundlich, Freundlich Model, Heavy-Metals, Intraparticle Diffusion, Ions, Isotherm, Kinetic, Kinetic Model, Kinetic Models, Kinetics, Langmuir, Langmuir Model, Lead, Lead(II) Ions, Lead Removal, Linear Regression, Model, Modeling, Models, Pseudo Second Order, Pseudo-Second Order, Pseudo-Second-Order, Regression, Removal, Second Order, Second-Order, Sorbent, Sorption, Sorption, </w:t>
      </w:r>
      <w:r w:rsidRPr="002F0EBF">
        <w:rPr>
          <w:i/>
          <w:kern w:val="0"/>
        </w:rPr>
        <w:t>Telfairia occidentalis</w:t>
      </w:r>
      <w:r>
        <w:rPr>
          <w:kern w:val="0"/>
        </w:rPr>
        <w:t>, Thermodynamics, Wastewater</w:t>
      </w:r>
    </w:p>
    <w:p w:rsidR="008F40D7" w:rsidRDefault="008F40D7" w:rsidP="008F40D7">
      <w:pPr>
        <w:pStyle w:val="a0"/>
        <w:rPr>
          <w:kern w:val="0"/>
        </w:rPr>
      </w:pPr>
      <w:r>
        <w:rPr>
          <w:rFonts w:hint="eastAsia"/>
          <w:kern w:val="0"/>
        </w:rPr>
        <w:t xml:space="preserve">? </w:t>
      </w:r>
      <w:r>
        <w:rPr>
          <w:kern w:val="0"/>
        </w:rPr>
        <w:t>Mousavi, H.Z.</w:t>
      </w:r>
      <w:r w:rsidR="00F81221">
        <w:rPr>
          <w:kern w:val="0"/>
        </w:rPr>
        <w:t xml:space="preserve"> and </w:t>
      </w:r>
      <w:r>
        <w:rPr>
          <w:kern w:val="0"/>
        </w:rPr>
        <w:t>Seyedi, S.R. (2011), Nettle ash as a low cost adsorbent for the removal of nickel</w:t>
      </w:r>
      <w:r w:rsidR="00F81221">
        <w:rPr>
          <w:kern w:val="0"/>
        </w:rPr>
        <w:t xml:space="preserve"> and </w:t>
      </w:r>
      <w:r>
        <w:rPr>
          <w:kern w:val="0"/>
        </w:rPr>
        <w:t xml:space="preserve">cadmium from wastewater.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8</w:t>
      </w:r>
      <w:r>
        <w:rPr>
          <w:kern w:val="0"/>
        </w:rPr>
        <w:t xml:space="preserve"> (1), 195-202.</w:t>
      </w:r>
    </w:p>
    <w:p w:rsidR="008F40D7" w:rsidRPr="007D79E8" w:rsidRDefault="008F40D7" w:rsidP="008F40D7">
      <w:pPr>
        <w:pStyle w:val="a0"/>
        <w:rPr>
          <w:kern w:val="0"/>
        </w:rPr>
      </w:pPr>
      <w:r w:rsidRPr="007D79E8">
        <w:rPr>
          <w:kern w:val="0"/>
        </w:rPr>
        <w:t xml:space="preserve">Full Text: </w:t>
      </w:r>
      <w:hyperlink r:id="rId1872" w:history="1">
        <w:r w:rsidRPr="00835EC4">
          <w:rPr>
            <w:rStyle w:val="a5"/>
            <w:kern w:val="0"/>
          </w:rPr>
          <w:t>2011\Int J Env Sci Tec8, 195.pdf</w:t>
        </w:r>
      </w:hyperlink>
    </w:p>
    <w:p w:rsidR="008F40D7" w:rsidRDefault="008F40D7" w:rsidP="008F40D7">
      <w:pPr>
        <w:pStyle w:val="a0"/>
        <w:rPr>
          <w:kern w:val="0"/>
        </w:rPr>
      </w:pPr>
      <w:r>
        <w:rPr>
          <w:kern w:val="0"/>
        </w:rPr>
        <w:t>Abstract: This study was focused on nettle ash as an alternative adsorbent for the removal of nickel(II)</w:t>
      </w:r>
      <w:r w:rsidR="00F81221">
        <w:rPr>
          <w:kern w:val="0"/>
        </w:rPr>
        <w:t xml:space="preserve"> and </w:t>
      </w:r>
      <w:r>
        <w:rPr>
          <w:kern w:val="0"/>
        </w:rPr>
        <w:t>cadmium(II) from wastewater. Batch experiments were conducted to determine the factors affecting adsorption of nickel(II)</w:t>
      </w:r>
      <w:r w:rsidR="00F81221">
        <w:rPr>
          <w:kern w:val="0"/>
        </w:rPr>
        <w:t xml:space="preserve"> and </w:t>
      </w:r>
      <w:r>
        <w:rPr>
          <w:kern w:val="0"/>
        </w:rPr>
        <w:t>cadmium(II). The adsorption process is affected by various parameters such as contact time, solution pH</w:t>
      </w:r>
      <w:r w:rsidR="00F81221">
        <w:rPr>
          <w:kern w:val="0"/>
        </w:rPr>
        <w:t xml:space="preserve"> and </w:t>
      </w:r>
      <w:r>
        <w:rPr>
          <w:kern w:val="0"/>
        </w:rPr>
        <w:t>adsorbent dose. The optimum pH required for maximum adsorption was found to be 6. The experimental data were tested using Langmuir, Freundlich</w:t>
      </w:r>
      <w:r w:rsidR="00F81221">
        <w:rPr>
          <w:kern w:val="0"/>
        </w:rPr>
        <w:t xml:space="preserve"> and </w:t>
      </w:r>
      <w:r>
        <w:rPr>
          <w:kern w:val="0"/>
        </w:rPr>
        <w:t>Tempkin equations. The data were fitted well to the Langmuir isotherm with monolayer adsorption capacity of 192.3</w:t>
      </w:r>
      <w:r w:rsidR="00F81221">
        <w:rPr>
          <w:kern w:val="0"/>
        </w:rPr>
        <w:t xml:space="preserve"> and </w:t>
      </w:r>
      <w:r>
        <w:rPr>
          <w:kern w:val="0"/>
        </w:rPr>
        <w:t>142.8 mg/g for nickel</w:t>
      </w:r>
      <w:r w:rsidR="00F81221">
        <w:rPr>
          <w:kern w:val="0"/>
        </w:rPr>
        <w:t xml:space="preserve"> and </w:t>
      </w:r>
      <w:r>
        <w:rPr>
          <w:kern w:val="0"/>
        </w:rPr>
        <w:t xml:space="preserve">cadmium, </w:t>
      </w:r>
      <w:r>
        <w:rPr>
          <w:kern w:val="0"/>
        </w:rPr>
        <w:lastRenderedPageBreak/>
        <w:t>respectively. The adsorption kinetics were best described by the pseudo second order model. The cost of removal is expected to be quite low, as the adsorbent is cheap</w:t>
      </w:r>
      <w:r w:rsidR="00F81221">
        <w:rPr>
          <w:kern w:val="0"/>
        </w:rPr>
        <w:t xml:space="preserve"> and </w:t>
      </w:r>
      <w:r>
        <w:rPr>
          <w:kern w:val="0"/>
        </w:rPr>
        <w:t>easily available in large quantities. The present study showed that nettle ash was capable of removing nickel</w:t>
      </w:r>
      <w:r w:rsidR="00F81221">
        <w:rPr>
          <w:kern w:val="0"/>
        </w:rPr>
        <w:t xml:space="preserve"> and </w:t>
      </w:r>
      <w:r>
        <w:rPr>
          <w:kern w:val="0"/>
        </w:rPr>
        <w:t>cadmium ions from aqueous solution.</w:t>
      </w:r>
    </w:p>
    <w:p w:rsidR="008F40D7" w:rsidRDefault="008F40D7" w:rsidP="008F40D7">
      <w:pPr>
        <w:pStyle w:val="a0"/>
        <w:rPr>
          <w:kern w:val="0"/>
        </w:rPr>
      </w:pPr>
      <w:r>
        <w:rPr>
          <w:kern w:val="0"/>
        </w:rPr>
        <w:t xml:space="preserve">Keywords: Activated Carbon, Adsorbent, Adsorbent Dose, Adsorption, Adsorption, Adsorption Capacity, Adsorption Kinetics, Alternative, Aqueous Solution, Aqueous-Solution, Biosorption, Cadmium, Cadmium Ions, Capacity, Cost, Data, Experimental, Experiments, Fly-Ash, Freundlich, Heavy Metal Ions, Heavy-Metal Ions, Ions, Isotherm, Kinetic, Kinetics, Langmuir, Langmuir Isotherm, Lead, Low Cost, Low Cost Adsorbent, Model, Monolayer, Nettle Ash, Nickel, Pb, </w:t>
      </w:r>
      <w:r>
        <w:rPr>
          <w:rFonts w:hint="eastAsia"/>
          <w:kern w:val="0"/>
        </w:rPr>
        <w:t>p</w:t>
      </w:r>
      <w:r>
        <w:rPr>
          <w:kern w:val="0"/>
        </w:rPr>
        <w:t>H, Pseudo Second Order, Pseudo-Second-Order, Removal, Second Order, Second-Order, Solid-Waste, Solution, Sorption, Wastewater</w:t>
      </w:r>
    </w:p>
    <w:p w:rsidR="007E130E" w:rsidRDefault="007E130E" w:rsidP="007E130E">
      <w:pPr>
        <w:pStyle w:val="a0"/>
        <w:rPr>
          <w:kern w:val="0"/>
        </w:rPr>
      </w:pPr>
      <w:r>
        <w:rPr>
          <w:rFonts w:hint="eastAsia"/>
          <w:kern w:val="0"/>
        </w:rPr>
        <w:t xml:space="preserve">? </w:t>
      </w:r>
      <w:r>
        <w:rPr>
          <w:kern w:val="0"/>
        </w:rPr>
        <w:t>Geethakarthi, A.</w:t>
      </w:r>
      <w:r w:rsidR="00F81221">
        <w:rPr>
          <w:kern w:val="0"/>
        </w:rPr>
        <w:t xml:space="preserve"> and </w:t>
      </w:r>
      <w:r>
        <w:rPr>
          <w:kern w:val="0"/>
        </w:rPr>
        <w:t>Phanikumar, B.R. (2011), Adsorption of reactive dyes from aqueous solutions by tannery sludge developed activated carbon: Kinetic</w:t>
      </w:r>
      <w:r w:rsidR="00F81221">
        <w:rPr>
          <w:kern w:val="0"/>
        </w:rPr>
        <w:t xml:space="preserve"> and </w:t>
      </w:r>
      <w:r>
        <w:rPr>
          <w:kern w:val="0"/>
        </w:rPr>
        <w:t xml:space="preserve">equilibrium studies.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8</w:t>
      </w:r>
      <w:r>
        <w:rPr>
          <w:kern w:val="0"/>
        </w:rPr>
        <w:t xml:space="preserve"> (3), 561-570.</w:t>
      </w:r>
    </w:p>
    <w:p w:rsidR="007E130E" w:rsidRPr="003F57E3" w:rsidRDefault="007E130E" w:rsidP="007E130E">
      <w:pPr>
        <w:pStyle w:val="a0"/>
        <w:rPr>
          <w:kern w:val="0"/>
        </w:rPr>
      </w:pPr>
      <w:r w:rsidRPr="003F57E3">
        <w:rPr>
          <w:kern w:val="0"/>
        </w:rPr>
        <w:t xml:space="preserve">Full Text: </w:t>
      </w:r>
      <w:hyperlink r:id="rId1873" w:history="1">
        <w:r w:rsidRPr="00A86180">
          <w:rPr>
            <w:rStyle w:val="a5"/>
            <w:kern w:val="0"/>
          </w:rPr>
          <w:t>2011\Int J Env Sci Tec8, 561.pdf</w:t>
        </w:r>
      </w:hyperlink>
    </w:p>
    <w:p w:rsidR="007E130E" w:rsidRDefault="007E130E" w:rsidP="007E130E">
      <w:pPr>
        <w:pStyle w:val="a0"/>
        <w:rPr>
          <w:kern w:val="0"/>
        </w:rPr>
      </w:pPr>
      <w:r>
        <w:rPr>
          <w:kern w:val="0"/>
        </w:rPr>
        <w:t>Abstract: Adsorption kinetic</w:t>
      </w:r>
      <w:r w:rsidR="00F81221">
        <w:rPr>
          <w:kern w:val="0"/>
        </w:rPr>
        <w:t xml:space="preserve"> and </w:t>
      </w:r>
      <w:r>
        <w:rPr>
          <w:kern w:val="0"/>
        </w:rPr>
        <w:t>equilibrium studies of two reactive dyes, namely, Reactive Red 31</w:t>
      </w:r>
      <w:r w:rsidR="00F81221">
        <w:rPr>
          <w:kern w:val="0"/>
        </w:rPr>
        <w:t xml:space="preserve"> and </w:t>
      </w:r>
      <w:r>
        <w:rPr>
          <w:kern w:val="0"/>
        </w:rPr>
        <w:t>Reactive Red 2 were conducted. The equilibrium studies were conducted for various operational parameters such as initial dye concentration, pH, agitation speed, adsorbent dosage</w:t>
      </w:r>
      <w:r w:rsidR="00F81221">
        <w:rPr>
          <w:kern w:val="0"/>
        </w:rPr>
        <w:t xml:space="preserve"> and </w:t>
      </w:r>
      <w:r>
        <w:rPr>
          <w:kern w:val="0"/>
        </w:rPr>
        <w:t>temperature. The initial dye concentration was varied from 10 - 60 mg/L, pH from 2 - 11, agitation speed from 100-140 rpm, adsorbent dosage from 0.5 g to 2.5 g</w:t>
      </w:r>
      <w:r w:rsidR="00F81221">
        <w:rPr>
          <w:kern w:val="0"/>
        </w:rPr>
        <w:t xml:space="preserve"> and </w:t>
      </w:r>
      <w:r>
        <w:rPr>
          <w:kern w:val="0"/>
        </w:rPr>
        <w:t>temperature from 30ºC -</w:t>
      </w:r>
      <w:r>
        <w:rPr>
          <w:rFonts w:hint="eastAsia"/>
          <w:kern w:val="0"/>
        </w:rPr>
        <w:t xml:space="preserve"> </w:t>
      </w:r>
      <w:r>
        <w:rPr>
          <w:kern w:val="0"/>
        </w:rPr>
        <w:t>50ºC respectively. The activated carbon of particle size 600 mu m was developed from preliminary tannery sludge. The dye removal capacity of the two reactive red dyes decreased with increasing pH. The zero point charge for the sludge carbon was 9.0</w:t>
      </w:r>
      <w:r w:rsidR="00F81221">
        <w:rPr>
          <w:kern w:val="0"/>
        </w:rPr>
        <w:t xml:space="preserve"> and </w:t>
      </w:r>
      <w:r>
        <w:rPr>
          <w:kern w:val="0"/>
        </w:rPr>
        <w:t>7.0 for the two dyes, respectively. Batch kinetic data investigations on the removal of reactive dyes using tannery sludge activated carbon have been well described by the Lagergren plots. It was suggested that the Pseudo second order adsorption mechanism was predominant for the sorption of the reactive dyes onto the tannery sludge based carbon. Thus, the adsorption phenomenon was suggested as a chemical process. The adsorption data fitted well with Langmuir model than the Freundlich model. The maximum adsorption capacity(q(0)) from Langmuir isotherm were found to have increased in the range of 23.15-39.37 mg/g</w:t>
      </w:r>
      <w:r w:rsidR="00F81221">
        <w:rPr>
          <w:kern w:val="0"/>
        </w:rPr>
        <w:t xml:space="preserve"> and </w:t>
      </w:r>
      <w:r>
        <w:rPr>
          <w:kern w:val="0"/>
        </w:rPr>
        <w:t>47.62-55.87 mg/g for reactive dyes reactive red 31</w:t>
      </w:r>
      <w:r w:rsidR="00F81221">
        <w:rPr>
          <w:kern w:val="0"/>
        </w:rPr>
        <w:t xml:space="preserve"> and </w:t>
      </w:r>
      <w:r>
        <w:rPr>
          <w:kern w:val="0"/>
        </w:rPr>
        <w:t>reactive red 2, respectively.</w:t>
      </w:r>
    </w:p>
    <w:p w:rsidR="007E130E" w:rsidRDefault="007E130E" w:rsidP="007E130E">
      <w:pPr>
        <w:pStyle w:val="a0"/>
        <w:rPr>
          <w:kern w:val="0"/>
        </w:rPr>
      </w:pPr>
      <w:r>
        <w:rPr>
          <w:kern w:val="0"/>
        </w:rPr>
        <w:t xml:space="preserve">Keywords: Activated Carbon, Adsorbent, Adsorption, Adsorption Kinetic, Batch, Decolorisation, Degradation, Dye, Dye Removal, Dyes, Effluent, Equilibrium, Freundlich, Isotherm, Kinetic, Lagergren Plot, Langmuir, Langmuir Isotherm, Mechanism, Metal Hydroxide Sludge, </w:t>
      </w:r>
      <w:r>
        <w:rPr>
          <w:rFonts w:hint="eastAsia"/>
          <w:kern w:val="0"/>
        </w:rPr>
        <w:t>p</w:t>
      </w:r>
      <w:r>
        <w:rPr>
          <w:kern w:val="0"/>
        </w:rPr>
        <w:t xml:space="preserve">H, Remediation, Removal, Sawdust, </w:t>
      </w:r>
      <w:r>
        <w:rPr>
          <w:kern w:val="0"/>
        </w:rPr>
        <w:lastRenderedPageBreak/>
        <w:t>Sorption, Surface Area, Temperature, Textile Waste-Water, Wastewaters, Zero Point Charge</w:t>
      </w:r>
    </w:p>
    <w:p w:rsidR="007E130E" w:rsidRDefault="007E130E" w:rsidP="007E130E">
      <w:pPr>
        <w:pStyle w:val="a0"/>
        <w:rPr>
          <w:kern w:val="0"/>
        </w:rPr>
      </w:pPr>
      <w:r>
        <w:rPr>
          <w:rFonts w:hint="eastAsia"/>
          <w:kern w:val="0"/>
        </w:rPr>
        <w:t xml:space="preserve">? </w:t>
      </w:r>
      <w:r>
        <w:rPr>
          <w:kern w:val="0"/>
        </w:rPr>
        <w:t>Dizadji, N.</w:t>
      </w:r>
      <w:r w:rsidR="00F81221">
        <w:rPr>
          <w:kern w:val="0"/>
        </w:rPr>
        <w:t xml:space="preserve"> and </w:t>
      </w:r>
      <w:r>
        <w:rPr>
          <w:kern w:val="0"/>
        </w:rPr>
        <w:t>Anaraki, N.A. (2011), Adsorption of chromium</w:t>
      </w:r>
      <w:r w:rsidR="00F81221">
        <w:rPr>
          <w:kern w:val="0"/>
        </w:rPr>
        <w:t xml:space="preserve"> and </w:t>
      </w:r>
      <w:r>
        <w:rPr>
          <w:kern w:val="0"/>
        </w:rPr>
        <w:t xml:space="preserve">copper in aqueous solutions using tea residue. </w:t>
      </w:r>
      <w:r>
        <w:rPr>
          <w:i/>
          <w:iCs/>
          <w:kern w:val="0"/>
        </w:rPr>
        <w:t>International Journal of Environmental Science</w:t>
      </w:r>
      <w:r w:rsidR="00F81221">
        <w:rPr>
          <w:i/>
          <w:iCs/>
          <w:kern w:val="0"/>
        </w:rPr>
        <w:t xml:space="preserve"> and </w:t>
      </w:r>
      <w:r>
        <w:rPr>
          <w:i/>
          <w:iCs/>
          <w:kern w:val="0"/>
        </w:rPr>
        <w:t>Technology</w:t>
      </w:r>
      <w:r>
        <w:rPr>
          <w:kern w:val="0"/>
        </w:rPr>
        <w:t xml:space="preserve">, </w:t>
      </w:r>
      <w:r>
        <w:rPr>
          <w:b/>
          <w:bCs/>
          <w:kern w:val="0"/>
        </w:rPr>
        <w:t>8</w:t>
      </w:r>
      <w:r>
        <w:rPr>
          <w:kern w:val="0"/>
        </w:rPr>
        <w:t xml:space="preserve"> (3), 631-638.</w:t>
      </w:r>
    </w:p>
    <w:p w:rsidR="007E130E" w:rsidRPr="003F57E3" w:rsidRDefault="007E130E" w:rsidP="007E130E">
      <w:pPr>
        <w:pStyle w:val="a0"/>
        <w:rPr>
          <w:kern w:val="0"/>
        </w:rPr>
      </w:pPr>
      <w:r w:rsidRPr="003F57E3">
        <w:rPr>
          <w:kern w:val="0"/>
        </w:rPr>
        <w:t xml:space="preserve">Full Text: </w:t>
      </w:r>
      <w:hyperlink r:id="rId1874" w:history="1">
        <w:r w:rsidRPr="00A86180">
          <w:rPr>
            <w:rStyle w:val="a5"/>
            <w:kern w:val="0"/>
          </w:rPr>
          <w:t>2011\Int J Env Sci Tec8, 631.pdf</w:t>
        </w:r>
      </w:hyperlink>
    </w:p>
    <w:p w:rsidR="007E130E" w:rsidRDefault="007E130E" w:rsidP="007E130E">
      <w:pPr>
        <w:pStyle w:val="a0"/>
        <w:rPr>
          <w:kern w:val="0"/>
        </w:rPr>
      </w:pPr>
      <w:r>
        <w:rPr>
          <w:kern w:val="0"/>
        </w:rPr>
        <w:t>Abstract: In this study, adsorption of copper</w:t>
      </w:r>
      <w:r w:rsidR="00F81221">
        <w:rPr>
          <w:kern w:val="0"/>
        </w:rPr>
        <w:t xml:space="preserve"> and </w:t>
      </w:r>
      <w:r>
        <w:rPr>
          <w:kern w:val="0"/>
        </w:rPr>
        <w:t>chromium was investigated by residue of brewed tea (Tea Waste) from aqueous solutions at various values of pH. It was shown that adsorbent dose, copper</w:t>
      </w:r>
      <w:r w:rsidR="00F81221">
        <w:rPr>
          <w:kern w:val="0"/>
        </w:rPr>
        <w:t xml:space="preserve"> and </w:t>
      </w:r>
      <w:r>
        <w:rPr>
          <w:kern w:val="0"/>
        </w:rPr>
        <w:t>chromium ion concentrations in such solutions influence the degree of these heavy metal ions</w:t>
      </w:r>
      <w:r w:rsidR="000352E7">
        <w:rPr>
          <w:kern w:val="0"/>
        </w:rPr>
        <w:t>’</w:t>
      </w:r>
      <w:r>
        <w:rPr>
          <w:kern w:val="0"/>
        </w:rPr>
        <w:t xml:space="preserve"> obviation. The adsorption level of the prepared solutions was measured by visible spectrophotometer. The tea residue adsorbed copper(II)</w:t>
      </w:r>
      <w:r w:rsidR="00F81221">
        <w:rPr>
          <w:kern w:val="0"/>
        </w:rPr>
        <w:t xml:space="preserve"> and </w:t>
      </w:r>
      <w:r>
        <w:rPr>
          <w:kern w:val="0"/>
        </w:rPr>
        <w:t>chromium (VI) ions at initial solution pH by 25 %</w:t>
      </w:r>
      <w:r w:rsidR="00F81221">
        <w:rPr>
          <w:kern w:val="0"/>
        </w:rPr>
        <w:t xml:space="preserve"> and </w:t>
      </w:r>
      <w:r>
        <w:rPr>
          <w:kern w:val="0"/>
        </w:rPr>
        <w:t>3 %, respectively. During the experiments the peak adsorption occured in hydrated copper nitrate aqueous solution at pH range of 5-6. Likewise the maximum adsorption appeared in potassium chromate aqueous solution at pH range of 2-3. In addition, tea residue adsorbed about 60 mg/g of copper(II) ion at pH=5, while chromium adsorption was registered at about 19 mg/g at pH=2. The data obtained at the equilibrium state, was compared with Langmuir</w:t>
      </w:r>
      <w:r w:rsidR="00F81221">
        <w:rPr>
          <w:kern w:val="0"/>
        </w:rPr>
        <w:t xml:space="preserve"> and </w:t>
      </w:r>
      <w:r>
        <w:rPr>
          <w:kern w:val="0"/>
        </w:rPr>
        <w:t>Freundlich models. Results showed that regarding the kinetics of adsorption, the uptake of copper(II)</w:t>
      </w:r>
      <w:r w:rsidR="00F81221">
        <w:rPr>
          <w:kern w:val="0"/>
        </w:rPr>
        <w:t xml:space="preserve"> and </w:t>
      </w:r>
      <w:r>
        <w:rPr>
          <w:kern w:val="0"/>
        </w:rPr>
        <w:t>chromium (VI) ions by tea residue was comparatively faster, with the adsorption process exhaustion completed within the first 20 min of the experiments. Furthermore, results revealed that adsorption data concerning the kinetic phase is closely correlated with a pseudo-second order model with R-2 &gt; 0.99 for copper(II)</w:t>
      </w:r>
      <w:r w:rsidR="00F81221">
        <w:rPr>
          <w:kern w:val="0"/>
        </w:rPr>
        <w:t xml:space="preserve"> and </w:t>
      </w:r>
      <w:r>
        <w:rPr>
          <w:kern w:val="0"/>
        </w:rPr>
        <w:t>chromium (VI) ions.</w:t>
      </w:r>
    </w:p>
    <w:p w:rsidR="007E130E" w:rsidRDefault="007E130E" w:rsidP="007E130E">
      <w:pPr>
        <w:pStyle w:val="a0"/>
        <w:rPr>
          <w:kern w:val="0"/>
        </w:rPr>
      </w:pPr>
      <w:r>
        <w:rPr>
          <w:kern w:val="0"/>
        </w:rPr>
        <w:t>Keywords: Activated Carbon, Adsorbent, Adsorption, Adsorption Kinetics, Aqueous Solution, Chromate, Chromium, Copper, Equilibrium, Fly-Ash, Freundlich, Heavy Metal, Heavy-Metal Adsorption, Ions, Isotherms, Kinetic, Kinetic-Analysis, Kinetics, Langmuir, Langmuir</w:t>
      </w:r>
      <w:r w:rsidR="00F81221">
        <w:rPr>
          <w:kern w:val="0"/>
        </w:rPr>
        <w:t xml:space="preserve"> and </w:t>
      </w:r>
      <w:r>
        <w:rPr>
          <w:kern w:val="0"/>
        </w:rPr>
        <w:t xml:space="preserve">Freundlich Models, </w:t>
      </w:r>
      <w:r>
        <w:rPr>
          <w:rFonts w:hint="eastAsia"/>
          <w:kern w:val="0"/>
        </w:rPr>
        <w:t>p</w:t>
      </w:r>
      <w:r>
        <w:rPr>
          <w:kern w:val="0"/>
        </w:rPr>
        <w:t>H, Removal, Sorption, Uptake, VI, Waste-Water</w:t>
      </w:r>
    </w:p>
    <w:p w:rsidR="002A31D4" w:rsidRPr="00A428C3" w:rsidRDefault="002A31D4" w:rsidP="002A31D4">
      <w:pPr>
        <w:pStyle w:val="1"/>
      </w:pPr>
      <w:r w:rsidRPr="00A428C3">
        <w:br w:type="page"/>
      </w:r>
      <w:bookmarkStart w:id="1304" w:name="_Toc317161292"/>
      <w:r w:rsidRPr="00A428C3">
        <w:lastRenderedPageBreak/>
        <w:t xml:space="preserve">Title: </w:t>
      </w:r>
      <w:r w:rsidRPr="002A31D4">
        <w:rPr>
          <w:iCs/>
        </w:rPr>
        <w:t>International Journal of Environmental Sciences</w:t>
      </w:r>
      <w:bookmarkEnd w:id="1304"/>
    </w:p>
    <w:p w:rsidR="002A31D4" w:rsidRPr="00A428C3" w:rsidRDefault="002A31D4" w:rsidP="002A31D4">
      <w:pPr>
        <w:pStyle w:val="12"/>
      </w:pPr>
      <w:r w:rsidRPr="00A428C3">
        <w:t xml:space="preserve">Full Journal Title: </w:t>
      </w:r>
      <w:r w:rsidRPr="002A31D4">
        <w:rPr>
          <w:iCs/>
        </w:rPr>
        <w:t>International Journal of Environmental Sciences</w:t>
      </w:r>
    </w:p>
    <w:p w:rsidR="002A31D4" w:rsidRPr="00A428C3" w:rsidRDefault="002A31D4" w:rsidP="002A31D4">
      <w:pPr>
        <w:pStyle w:val="12"/>
      </w:pPr>
      <w:r w:rsidRPr="00A428C3">
        <w:t xml:space="preserve">ISO Abbreviated Title: </w:t>
      </w:r>
    </w:p>
    <w:p w:rsidR="002A31D4" w:rsidRPr="00A428C3" w:rsidRDefault="002A31D4" w:rsidP="002A31D4">
      <w:pPr>
        <w:pStyle w:val="12"/>
      </w:pPr>
      <w:r w:rsidRPr="00A428C3">
        <w:t xml:space="preserve">JCR Abbreviated Title: </w:t>
      </w:r>
    </w:p>
    <w:p w:rsidR="002A31D4" w:rsidRPr="00A428C3" w:rsidRDefault="002A31D4" w:rsidP="002A31D4">
      <w:pPr>
        <w:pStyle w:val="12"/>
      </w:pPr>
      <w:r>
        <w:t xml:space="preserve">ISSN: </w:t>
      </w:r>
    </w:p>
    <w:p w:rsidR="002A31D4" w:rsidRPr="00A428C3" w:rsidRDefault="002A31D4" w:rsidP="002A31D4">
      <w:pPr>
        <w:pStyle w:val="12"/>
      </w:pPr>
      <w:r w:rsidRPr="00A428C3">
        <w:t xml:space="preserve">Issues/Year: </w:t>
      </w:r>
    </w:p>
    <w:p w:rsidR="002A31D4" w:rsidRPr="00A428C3" w:rsidRDefault="002A31D4" w:rsidP="002A31D4">
      <w:pPr>
        <w:pStyle w:val="12"/>
      </w:pPr>
      <w:r w:rsidRPr="00A428C3">
        <w:t>Journal Country/Territory:</w:t>
      </w:r>
    </w:p>
    <w:p w:rsidR="002A31D4" w:rsidRPr="00A428C3" w:rsidRDefault="002A31D4" w:rsidP="002A31D4">
      <w:pPr>
        <w:pStyle w:val="12"/>
      </w:pPr>
      <w:r w:rsidRPr="00A428C3">
        <w:t xml:space="preserve">Language: </w:t>
      </w:r>
    </w:p>
    <w:p w:rsidR="002A31D4" w:rsidRPr="00A428C3" w:rsidRDefault="002A31D4" w:rsidP="002A31D4">
      <w:pPr>
        <w:pStyle w:val="12"/>
      </w:pPr>
      <w:r w:rsidRPr="00A428C3">
        <w:t xml:space="preserve">Publisher: </w:t>
      </w:r>
    </w:p>
    <w:p w:rsidR="002A31D4" w:rsidRPr="00A428C3" w:rsidRDefault="002A31D4" w:rsidP="002A31D4">
      <w:pPr>
        <w:pStyle w:val="12"/>
      </w:pPr>
      <w:r w:rsidRPr="00A428C3">
        <w:t xml:space="preserve">Publisher Address: </w:t>
      </w:r>
    </w:p>
    <w:p w:rsidR="002A31D4" w:rsidRPr="00A428C3" w:rsidRDefault="002A31D4" w:rsidP="002A31D4">
      <w:pPr>
        <w:pStyle w:val="12"/>
      </w:pPr>
      <w:r w:rsidRPr="00A428C3">
        <w:t>Subject Categories:</w:t>
      </w:r>
    </w:p>
    <w:p w:rsidR="002A31D4" w:rsidRPr="00A428C3" w:rsidRDefault="002A31D4" w:rsidP="002A31D4">
      <w:pPr>
        <w:pStyle w:val="12"/>
      </w:pPr>
      <w:r w:rsidRPr="00A428C3">
        <w:t>Impact Factor</w:t>
      </w:r>
    </w:p>
    <w:p w:rsidR="002A31D4" w:rsidRDefault="002A31D4" w:rsidP="002A31D4">
      <w:pPr>
        <w:pStyle w:val="a0"/>
      </w:pPr>
      <w:r w:rsidRPr="00A428C3">
        <w:rPr>
          <w:szCs w:val="27"/>
        </w:rPr>
        <w:t>?</w:t>
      </w:r>
      <w:r w:rsidRPr="00A428C3">
        <w:t xml:space="preserve"> </w:t>
      </w:r>
      <w:r w:rsidRPr="002A31D4">
        <w:t>Kumar</w:t>
      </w:r>
      <w:r>
        <w:rPr>
          <w:rFonts w:hint="eastAsia"/>
        </w:rPr>
        <w:t xml:space="preserve">, </w:t>
      </w:r>
      <w:r w:rsidRPr="002A31D4">
        <w:t>A</w:t>
      </w:r>
      <w:r>
        <w:rPr>
          <w:rFonts w:hint="eastAsia"/>
        </w:rPr>
        <w:t>.</w:t>
      </w:r>
      <w:r w:rsidRPr="002A31D4">
        <w:t>, Bisht</w:t>
      </w:r>
      <w:r>
        <w:rPr>
          <w:rFonts w:hint="eastAsia"/>
        </w:rPr>
        <w:t xml:space="preserve">, </w:t>
      </w:r>
      <w:r w:rsidRPr="002A31D4">
        <w:t>B.S</w:t>
      </w:r>
      <w:r>
        <w:rPr>
          <w:rFonts w:hint="eastAsia"/>
        </w:rPr>
        <w:t>.</w:t>
      </w:r>
      <w:r w:rsidRPr="002A31D4">
        <w:t>, Joshi</w:t>
      </w:r>
      <w:r>
        <w:rPr>
          <w:rFonts w:hint="eastAsia"/>
        </w:rPr>
        <w:t xml:space="preserve">, </w:t>
      </w:r>
      <w:r w:rsidRPr="002A31D4">
        <w:t>V.D</w:t>
      </w:r>
      <w:r>
        <w:rPr>
          <w:rFonts w:hint="eastAsia"/>
        </w:rPr>
        <w:t>.</w:t>
      </w:r>
      <w:r w:rsidR="00F81221">
        <w:rPr>
          <w:rFonts w:hint="eastAsia"/>
        </w:rPr>
        <w:t xml:space="preserve"> and </w:t>
      </w:r>
      <w:r w:rsidRPr="002A31D4">
        <w:t>Dhewa</w:t>
      </w:r>
      <w:r>
        <w:rPr>
          <w:rFonts w:hint="eastAsia"/>
        </w:rPr>
        <w:t xml:space="preserve">, </w:t>
      </w:r>
      <w:r w:rsidRPr="002A31D4">
        <w:t>T</w:t>
      </w:r>
      <w:r>
        <w:rPr>
          <w:rFonts w:hint="eastAsia"/>
        </w:rPr>
        <w:t>.</w:t>
      </w:r>
      <w:r w:rsidRPr="00A428C3">
        <w:t xml:space="preserve"> (</w:t>
      </w:r>
      <w:r>
        <w:rPr>
          <w:rFonts w:hint="eastAsia"/>
        </w:rPr>
        <w:t>2011</w:t>
      </w:r>
      <w:r w:rsidRPr="00A428C3">
        <w:t xml:space="preserve">), </w:t>
      </w:r>
      <w:r>
        <w:t>Review on bioremediation of polluted environment: A management tool</w:t>
      </w:r>
      <w:r w:rsidRPr="00A428C3">
        <w:t xml:space="preserve">. </w:t>
      </w:r>
      <w:r w:rsidRPr="002A31D4">
        <w:rPr>
          <w:i/>
          <w:iCs/>
        </w:rPr>
        <w:t>International Journal of Environmental Sciences</w:t>
      </w:r>
      <w:r w:rsidRPr="00A428C3">
        <w:t xml:space="preserve">, </w:t>
      </w:r>
      <w:r w:rsidRPr="00A428C3">
        <w:rPr>
          <w:b/>
        </w:rPr>
        <w:t>1</w:t>
      </w:r>
      <w:r w:rsidRPr="00A428C3">
        <w:t xml:space="preserve"> (</w:t>
      </w:r>
      <w:r>
        <w:rPr>
          <w:rFonts w:hint="eastAsia"/>
        </w:rPr>
        <w:t>6</w:t>
      </w:r>
      <w:r w:rsidRPr="00A428C3">
        <w:t xml:space="preserve">), </w:t>
      </w:r>
      <w:r>
        <w:rPr>
          <w:rFonts w:hint="eastAsia"/>
        </w:rPr>
        <w:t>1079</w:t>
      </w:r>
      <w:r w:rsidRPr="00A428C3">
        <w:t>-</w:t>
      </w:r>
      <w:r>
        <w:rPr>
          <w:rFonts w:hint="eastAsia"/>
        </w:rPr>
        <w:t>1093</w:t>
      </w:r>
      <w:r w:rsidRPr="00A428C3">
        <w:t>.</w:t>
      </w:r>
    </w:p>
    <w:p w:rsidR="00EC7D13" w:rsidRDefault="00EC7D13" w:rsidP="002A31D4">
      <w:pPr>
        <w:pStyle w:val="a0"/>
      </w:pPr>
      <w:r>
        <w:rPr>
          <w:rFonts w:hint="eastAsia"/>
        </w:rPr>
        <w:t xml:space="preserve">Full Text: </w:t>
      </w:r>
      <w:hyperlink r:id="rId1875" w:history="1">
        <w:r w:rsidRPr="00EC7D13">
          <w:rPr>
            <w:rStyle w:val="a5"/>
          </w:rPr>
          <w:t>2011\Int J Env Sci1, 1079.pdf</w:t>
        </w:r>
      </w:hyperlink>
    </w:p>
    <w:p w:rsidR="00EC7D13" w:rsidRDefault="00EC7D13" w:rsidP="00EC7D13">
      <w:pPr>
        <w:pStyle w:val="a0"/>
      </w:pPr>
      <w:r>
        <w:t>Abstract</w:t>
      </w:r>
      <w:r>
        <w:rPr>
          <w:rFonts w:hint="eastAsia"/>
        </w:rPr>
        <w:t>:</w:t>
      </w:r>
      <w:r>
        <w:t xml:space="preserve"> The term bioremediation has been introduced to describe the process of using biological agents to remove toxic waste from environment. Bioremediation is the most effective management tool to manage the polluted environment</w:t>
      </w:r>
      <w:r w:rsidR="00F81221">
        <w:t xml:space="preserve"> and </w:t>
      </w:r>
      <w:r>
        <w:t>recover contaminated soil. Bioremediation is an attractive</w:t>
      </w:r>
      <w:r w:rsidR="00F81221">
        <w:t xml:space="preserve"> and </w:t>
      </w:r>
      <w:r>
        <w:t>successful cleaning technique for polluted environment. Bioremediation has been used at a number of sites worldwide, including Europe, with varying degrees of success. Bioremediation, both in situ</w:t>
      </w:r>
      <w:r w:rsidR="00F81221">
        <w:t xml:space="preserve"> and </w:t>
      </w:r>
      <w:r>
        <w:t>ex situ have also enjoyed strong scientific growth, in part due to the increased use of natural attenuation, since most natural attenuation is due to biodegradation. Bioremediation</w:t>
      </w:r>
      <w:r w:rsidR="00F81221">
        <w:t xml:space="preserve"> and </w:t>
      </w:r>
      <w:r>
        <w:t>natural attenuation are also seen as a solution for emerging contaminant problems, e.g. endocrine disrupters, landfill stabilization, mixed waste biotreatment</w:t>
      </w:r>
      <w:r w:rsidR="00F81221">
        <w:t xml:space="preserve"> and </w:t>
      </w:r>
      <w:r>
        <w:t>biological carbon sequestration. Microbes are very helpful to remediate the contaminated environment. Number of microbes including aerobes, anaerobes</w:t>
      </w:r>
      <w:r w:rsidR="00F81221">
        <w:t xml:space="preserve"> and </w:t>
      </w:r>
      <w:r>
        <w:t>fungi are involved in bioremediation process.</w:t>
      </w:r>
    </w:p>
    <w:p w:rsidR="00EC7D13" w:rsidRPr="00A428C3" w:rsidRDefault="00EC7D13" w:rsidP="00EC7D13">
      <w:pPr>
        <w:pStyle w:val="a0"/>
      </w:pPr>
      <w:r>
        <w:t>Keywords: Bioremediation, Biotechnology, Microbes, Carbon Squestration</w:t>
      </w:r>
    </w:p>
    <w:p w:rsidR="00B95188" w:rsidRPr="00A428C3" w:rsidRDefault="00B95188" w:rsidP="00B95188">
      <w:pPr>
        <w:pStyle w:val="1"/>
      </w:pPr>
      <w:r w:rsidRPr="00A428C3">
        <w:br w:type="page"/>
      </w:r>
      <w:bookmarkStart w:id="1305" w:name="_Toc186647915"/>
      <w:bookmarkStart w:id="1306" w:name="_Toc317161293"/>
      <w:r w:rsidRPr="00A428C3">
        <w:lastRenderedPageBreak/>
        <w:t>Title: International Journal of Environmental Studies</w:t>
      </w:r>
      <w:bookmarkEnd w:id="1305"/>
      <w:bookmarkEnd w:id="1306"/>
    </w:p>
    <w:p w:rsidR="00B95188" w:rsidRPr="00A428C3" w:rsidRDefault="00B95188" w:rsidP="00B72EF9">
      <w:pPr>
        <w:pStyle w:val="12"/>
      </w:pPr>
      <w:r w:rsidRPr="00A428C3">
        <w:t xml:space="preserve">Full Journal Title: </w:t>
      </w:r>
      <w:hyperlink r:id="rId1876" w:history="1">
        <w:r w:rsidRPr="00A428C3">
          <w:rPr>
            <w:rStyle w:val="a5"/>
          </w:rPr>
          <w:t>International Journal of Environmental Studies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1097-7104</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rPr>
          <w:szCs w:val="27"/>
        </w:rPr>
        <w:t>?</w:t>
      </w:r>
      <w:r w:rsidRPr="00A428C3">
        <w:t xml:space="preserve"> Agrawal, Y.K., Patel, M.P.</w:t>
      </w:r>
      <w:r w:rsidR="00F81221">
        <w:t xml:space="preserve"> and </w:t>
      </w:r>
      <w:r w:rsidRPr="00A428C3">
        <w:t>Merh, S.S. (1981), Lead in soils</w:t>
      </w:r>
      <w:r w:rsidR="00F81221">
        <w:t xml:space="preserve"> and </w:t>
      </w:r>
      <w:r w:rsidRPr="00A428C3">
        <w:t>plants: Its relationship to traffic volume</w:t>
      </w:r>
      <w:r w:rsidR="00F81221">
        <w:t xml:space="preserve"> and </w:t>
      </w:r>
      <w:r w:rsidRPr="00A428C3">
        <w:t xml:space="preserve">proximity to highway (Lalbag, Baroda-City). </w:t>
      </w:r>
      <w:r w:rsidRPr="00A428C3">
        <w:rPr>
          <w:i/>
          <w:iCs/>
        </w:rPr>
        <w:t>International Journal of Environmental Studies</w:t>
      </w:r>
      <w:r w:rsidRPr="00A428C3">
        <w:t xml:space="preserve">, </w:t>
      </w:r>
      <w:r w:rsidRPr="00A428C3">
        <w:rPr>
          <w:b/>
        </w:rPr>
        <w:t>16</w:t>
      </w:r>
      <w:r w:rsidRPr="00A428C3">
        <w:t xml:space="preserve"> (3-4), 222-224.</w:t>
      </w:r>
    </w:p>
    <w:p w:rsidR="00B95188" w:rsidRPr="00A428C3" w:rsidRDefault="00B95188" w:rsidP="00B95188">
      <w:pPr>
        <w:pStyle w:val="a0"/>
      </w:pPr>
      <w:r w:rsidRPr="00A428C3">
        <w:rPr>
          <w:szCs w:val="27"/>
        </w:rPr>
        <w:t>Mazouak, A.</w:t>
      </w:r>
      <w:r w:rsidR="00F81221">
        <w:rPr>
          <w:szCs w:val="27"/>
        </w:rPr>
        <w:t xml:space="preserve"> and </w:t>
      </w:r>
      <w:r w:rsidRPr="00A428C3">
        <w:rPr>
          <w:szCs w:val="27"/>
        </w:rPr>
        <w:t>Azmani, A.</w:t>
      </w:r>
      <w:r w:rsidRPr="00A428C3">
        <w:t xml:space="preserve"> (2001), </w:t>
      </w:r>
      <w:r w:rsidRPr="00A428C3">
        <w:rPr>
          <w:szCs w:val="36"/>
        </w:rPr>
        <w:t>A new adsorbent for the efficient elimination of heavy metals from industrial dismissals of Tetouan area</w:t>
      </w:r>
      <w:r w:rsidRPr="00A428C3">
        <w:t xml:space="preserve">. </w:t>
      </w:r>
      <w:r w:rsidRPr="00A428C3">
        <w:rPr>
          <w:i/>
          <w:iCs/>
        </w:rPr>
        <w:t>International Journal of Environmental Studies</w:t>
      </w:r>
      <w:r w:rsidRPr="00A428C3">
        <w:t xml:space="preserve">, </w:t>
      </w:r>
      <w:r w:rsidRPr="00A428C3">
        <w:rPr>
          <w:b/>
        </w:rPr>
        <w:t>4</w:t>
      </w:r>
      <w:r w:rsidRPr="00A428C3">
        <w:t>, 538-547.</w:t>
      </w:r>
    </w:p>
    <w:p w:rsidR="00B95188" w:rsidRPr="00A428C3" w:rsidRDefault="00B95188" w:rsidP="00B95188">
      <w:pPr>
        <w:pStyle w:val="a0"/>
      </w:pPr>
      <w:r w:rsidRPr="00A428C3">
        <w:rPr>
          <w:szCs w:val="27"/>
        </w:rPr>
        <w:t xml:space="preserve">Abstract: </w:t>
      </w:r>
      <w:r w:rsidRPr="00A428C3">
        <w:t>The mercury</w:t>
      </w:r>
      <w:r w:rsidR="00F81221">
        <w:t xml:space="preserve"> and </w:t>
      </w:r>
      <w:r w:rsidRPr="00A428C3">
        <w:t>the other heavy metals conventionally the most poisonous as, the mercury, the chromium, the copper, the lead, the zinc, etc., could cause some serious problems to the environment, in particular in the water of sea (fish)</w:t>
      </w:r>
      <w:r w:rsidR="00F81221">
        <w:t xml:space="preserve"> and </w:t>
      </w:r>
      <w:r w:rsidRPr="00A428C3">
        <w:t xml:space="preserve">of rivers (agriculture) </w:t>
      </w:r>
      <w:r w:rsidRPr="00A428C3">
        <w:rPr>
          <w:vertAlign w:val="superscript"/>
        </w:rPr>
        <w:t>[1]</w:t>
      </w:r>
      <w:r w:rsidRPr="00A428C3">
        <w:t>, who transmits then to the man by different ways.</w:t>
      </w:r>
    </w:p>
    <w:p w:rsidR="00B95188" w:rsidRPr="00A428C3" w:rsidRDefault="00B95188" w:rsidP="00B95188">
      <w:pPr>
        <w:pStyle w:val="a0"/>
      </w:pPr>
      <w:r w:rsidRPr="00A428C3">
        <w:t>These metals are again very poisonous same to some weak concentrations,</w:t>
      </w:r>
      <w:r w:rsidR="00F81221">
        <w:t xml:space="preserve"> and </w:t>
      </w:r>
      <w:r w:rsidRPr="00A428C3">
        <w:t>their contents in the industrial dismissals are set by some international norms imposed by the WHO.</w:t>
      </w:r>
    </w:p>
    <w:p w:rsidR="00B95188" w:rsidRPr="00A428C3" w:rsidRDefault="00B95188" w:rsidP="00B95188">
      <w:pPr>
        <w:pStyle w:val="a0"/>
      </w:pPr>
      <w:r w:rsidRPr="00A428C3">
        <w:t>Then we tried to reduce the concentration of these metals in the industrial waste water of Tetouan area in using the adsorption method.</w:t>
      </w:r>
    </w:p>
    <w:p w:rsidR="00B95188" w:rsidRPr="00A428C3" w:rsidRDefault="00B95188" w:rsidP="00B95188">
      <w:pPr>
        <w:pStyle w:val="a0"/>
      </w:pPr>
      <w:r w:rsidRPr="00A428C3">
        <w:t xml:space="preserve">Adsorption of Hg(II) obeyed the Langmuir isotherm. The applicability of the Lagergren kinetic model has also been investigated. A comparative study with a commercial powder activated carbon (PAC) showed that the adsorption capacity of diatomite was 17 times larger than of </w:t>
      </w:r>
      <w:smartTag w:uri="urn:schemas-microsoft-com:office:smarttags" w:element="place">
        <w:r w:rsidRPr="00A428C3">
          <w:t>PAC.</w:t>
        </w:r>
      </w:smartTag>
    </w:p>
    <w:p w:rsidR="00B95188" w:rsidRPr="00A428C3" w:rsidRDefault="00B95188" w:rsidP="00B95188">
      <w:pPr>
        <w:pStyle w:val="a0"/>
      </w:pPr>
      <w:r w:rsidRPr="00A428C3">
        <w:t>Keywords: Industrial Waste Water, Heavy Metals, Diatomite, Adsorption, Isotherms</w:t>
      </w:r>
    </w:p>
    <w:p w:rsidR="00B95188" w:rsidRPr="00A428C3" w:rsidRDefault="00B95188" w:rsidP="00B95188">
      <w:pPr>
        <w:pStyle w:val="a0"/>
      </w:pPr>
      <w:r w:rsidRPr="00A428C3">
        <w:t>? Li, T.C., Li, X.G.</w:t>
      </w:r>
      <w:r w:rsidR="00F81221">
        <w:t xml:space="preserve"> and </w:t>
      </w:r>
      <w:r w:rsidRPr="00A428C3">
        <w:t xml:space="preserve">Zhu, S.L. (2004), Biosorption of heavy metals in an aqueous solution by aerobic biofilm subjected to an external dc electric field. </w:t>
      </w:r>
      <w:r w:rsidRPr="00A428C3">
        <w:rPr>
          <w:i/>
          <w:iCs/>
        </w:rPr>
        <w:t>International Journal of Environmental Studies</w:t>
      </w:r>
      <w:r w:rsidRPr="00A428C3">
        <w:t xml:space="preserve">, </w:t>
      </w:r>
      <w:r w:rsidRPr="00A428C3">
        <w:rPr>
          <w:b/>
        </w:rPr>
        <w:t>61</w:t>
      </w:r>
      <w:r w:rsidRPr="00A428C3">
        <w:t xml:space="preserve"> (3), 253-264.</w:t>
      </w:r>
    </w:p>
    <w:p w:rsidR="00B95188" w:rsidRPr="00A428C3" w:rsidRDefault="00B95188" w:rsidP="00B95188">
      <w:pPr>
        <w:pStyle w:val="a0"/>
      </w:pPr>
      <w:r w:rsidRPr="00A428C3">
        <w:t>Full Text: Int J Env Stu61, 253</w:t>
      </w:r>
    </w:p>
    <w:p w:rsidR="00B95188" w:rsidRPr="00A428C3" w:rsidRDefault="00B95188" w:rsidP="00B95188">
      <w:pPr>
        <w:pStyle w:val="a0"/>
      </w:pPr>
      <w:r w:rsidRPr="00A428C3">
        <w:rPr>
          <w:szCs w:val="27"/>
        </w:rPr>
        <w:t>Abstract:</w:t>
      </w:r>
      <w:r w:rsidRPr="00A428C3">
        <w:t xml:space="preserve"> Electro biosorption is a potential technology for reclamation of wastewater </w:t>
      </w:r>
      <w:r w:rsidRPr="00A428C3">
        <w:lastRenderedPageBreak/>
        <w:t>laden with heavy metal ions present in low concentrations. In this study, multi-species micro-organisms in aerobic biofilms demonstrated a great capacity to adsorb,</w:t>
      </w:r>
      <w:r w:rsidR="00F81221">
        <w:t xml:space="preserve"> and </w:t>
      </w:r>
      <w:r w:rsidRPr="00A428C3">
        <w:t>a direct current (DC) electric field with low intensity was able to promote the directional movements of heavy metals in wastewater</w:t>
      </w:r>
      <w:r w:rsidR="00F81221">
        <w:t xml:space="preserve"> and </w:t>
      </w:r>
      <w:r w:rsidRPr="00A428C3">
        <w:t>strengthen the interactions between heavy metals</w:t>
      </w:r>
      <w:r w:rsidR="00F81221">
        <w:t xml:space="preserve"> and </w:t>
      </w:r>
      <w:r w:rsidRPr="00A428C3">
        <w:t>microbes in biofilms. A two-dimensional model was established to describe wastewater flow</w:t>
      </w:r>
      <w:r w:rsidR="00F81221">
        <w:t xml:space="preserve"> and </w:t>
      </w:r>
      <w:r w:rsidRPr="00A428C3">
        <w:t>the transfer</w:t>
      </w:r>
      <w:r w:rsidR="00F81221">
        <w:t xml:space="preserve"> and </w:t>
      </w:r>
      <w:r w:rsidRPr="00A428C3">
        <w:t>adsorption of heavy metal ions by biofilms in a weak DC electric field. The simulation results for low concentrations of Cu</w:t>
      </w:r>
      <w:r w:rsidRPr="00A428C3">
        <w:rPr>
          <w:vertAlign w:val="superscript"/>
        </w:rPr>
        <w:t>2 +</w:t>
      </w:r>
      <w:r w:rsidRPr="00A428C3">
        <w:t xml:space="preserve"> or Cr</w:t>
      </w:r>
      <w:r w:rsidRPr="00A428C3">
        <w:rPr>
          <w:vertAlign w:val="superscript"/>
        </w:rPr>
        <w:t>3 +</w:t>
      </w:r>
      <w:r w:rsidRPr="00A428C3">
        <w:t xml:space="preserve"> ions in outlet water were tested by an electro biosorption experiment,</w:t>
      </w:r>
      <w:r w:rsidR="00F81221">
        <w:t xml:space="preserve"> and </w:t>
      </w:r>
      <w:r w:rsidRPr="00A428C3">
        <w:t>the influence of the electric field intensity, the inlet concentration of heavy metal ions</w:t>
      </w:r>
      <w:r w:rsidR="00F81221">
        <w:t xml:space="preserve"> and </w:t>
      </w:r>
      <w:r w:rsidRPr="00A428C3">
        <w:t>the wastewater flow velocity on the equilibrium adsorption amount are discussed in detail. The equilibrium adsorption amount increased rapidly in the initial stage,</w:t>
      </w:r>
      <w:r w:rsidR="00F81221">
        <w:t xml:space="preserve"> and </w:t>
      </w:r>
      <w:r w:rsidRPr="00A428C3">
        <w:t>became slow afterwards, along with the increase in the electro field intensity. There was a linear relationship between the equilibrium adsorption amount</w:t>
      </w:r>
      <w:r w:rsidR="00F81221">
        <w:t xml:space="preserve"> and </w:t>
      </w:r>
      <w:r w:rsidRPr="00A428C3">
        <w:t>the inlet concentration of heavy metal ions. Wastewater flow velocity had an obvious effect on the equilibrium adsorption amount; the equilibrium adsorption amount decreased rapidly at first</w:t>
      </w:r>
      <w:r w:rsidR="00F81221">
        <w:t xml:space="preserve"> and </w:t>
      </w:r>
      <w:r w:rsidRPr="00A428C3">
        <w:t>the decrease subsequently became slow along with an increase in wastewater flow velocity.</w:t>
      </w:r>
    </w:p>
    <w:p w:rsidR="00B95188" w:rsidRPr="00A428C3" w:rsidRDefault="00B95188" w:rsidP="00B95188">
      <w:pPr>
        <w:pStyle w:val="a0"/>
      </w:pPr>
      <w:r w:rsidRPr="00A428C3">
        <w:t>Keywords: Electro Biosorption, External Electric Field, Langmuir, Heavy Metals</w:t>
      </w:r>
    </w:p>
    <w:p w:rsidR="00B95188" w:rsidRPr="00A428C3" w:rsidRDefault="00B95188" w:rsidP="00B95188">
      <w:pPr>
        <w:pStyle w:val="1"/>
      </w:pPr>
      <w:r w:rsidRPr="00A428C3">
        <w:br w:type="page"/>
      </w:r>
      <w:bookmarkStart w:id="1307" w:name="_Toc455569483"/>
      <w:bookmarkStart w:id="1308" w:name="_Toc487190730"/>
      <w:bookmarkStart w:id="1309" w:name="_Toc487882235"/>
      <w:bookmarkStart w:id="1310" w:name="_Toc490688062"/>
      <w:bookmarkStart w:id="1311" w:name="_Toc492812177"/>
      <w:bookmarkStart w:id="1312" w:name="_Toc186647916"/>
      <w:bookmarkStart w:id="1313" w:name="_Toc317161294"/>
      <w:r w:rsidRPr="00A428C3">
        <w:lastRenderedPageBreak/>
        <w:t>Title: International Journal of Environmental Studies Section B Environmental Science</w:t>
      </w:r>
      <w:r w:rsidR="00F81221">
        <w:t xml:space="preserve"> and </w:t>
      </w:r>
      <w:r w:rsidRPr="00A428C3">
        <w:t>Technology</w:t>
      </w:r>
      <w:bookmarkEnd w:id="1307"/>
      <w:bookmarkEnd w:id="1308"/>
      <w:bookmarkEnd w:id="1309"/>
      <w:bookmarkEnd w:id="1310"/>
      <w:bookmarkEnd w:id="1311"/>
      <w:bookmarkEnd w:id="1312"/>
      <w:bookmarkEnd w:id="1313"/>
    </w:p>
    <w:p w:rsidR="00B95188" w:rsidRPr="00A428C3" w:rsidRDefault="00B95188" w:rsidP="00B95188">
      <w:pPr>
        <w:pStyle w:val="a0"/>
        <w:rPr>
          <w:lang w:val="fr-FR"/>
        </w:rPr>
      </w:pPr>
      <w:bookmarkStart w:id="1314" w:name="Dissanayake"/>
      <w:r w:rsidRPr="00A428C3">
        <w:rPr>
          <w:lang w:val="fr-FR"/>
        </w:rPr>
        <w:t xml:space="preserve">(Intern. J. Environmental Studies; </w:t>
      </w:r>
      <w:r w:rsidRPr="00A428C3">
        <w:rPr>
          <w:i/>
          <w:iCs/>
          <w:lang w:val="fr-FR"/>
        </w:rPr>
        <w:t>Int. J. Environ. Stud.</w:t>
      </w:r>
      <w:r w:rsidRPr="00A428C3">
        <w:rPr>
          <w:lang w:val="fr-FR"/>
        </w:rPr>
        <w:t>; IJES; IJEVAW; Internat. J. Environmental studied; Int. J. Environ. Studie</w:t>
      </w:r>
      <w:bookmarkStart w:id="1315" w:name="Sharma"/>
      <w:r w:rsidRPr="00A428C3">
        <w:rPr>
          <w:lang w:val="fr-FR"/>
        </w:rPr>
        <w:t xml:space="preserve">s; Int. </w:t>
      </w:r>
      <w:bookmarkEnd w:id="1315"/>
      <w:r w:rsidRPr="00A428C3">
        <w:rPr>
          <w:lang w:val="fr-FR"/>
        </w:rPr>
        <w:t xml:space="preserve">J. Env. </w:t>
      </w:r>
      <w:bookmarkStart w:id="1316" w:name="Prasad"/>
      <w:r w:rsidRPr="00A428C3">
        <w:rPr>
          <w:lang w:val="fr-FR"/>
        </w:rPr>
        <w:t>S.; In</w:t>
      </w:r>
      <w:bookmarkEnd w:id="1316"/>
      <w:r w:rsidRPr="00A428C3">
        <w:rPr>
          <w:lang w:val="fr-FR"/>
        </w:rPr>
        <w:t>t</w:t>
      </w:r>
      <w:r w:rsidR="000352E7">
        <w:rPr>
          <w:lang w:val="fr-FR"/>
        </w:rPr>
        <w:t>’</w:t>
      </w:r>
      <w:r w:rsidRPr="00A428C3">
        <w:rPr>
          <w:lang w:val="fr-FR"/>
        </w:rPr>
        <w:t>I. J. E</w:t>
      </w:r>
      <w:bookmarkStart w:id="1317" w:name="Rupainwar"/>
      <w:r w:rsidRPr="00A428C3">
        <w:rPr>
          <w:lang w:val="fr-FR"/>
        </w:rPr>
        <w:t>nvir. Stu</w:t>
      </w:r>
      <w:bookmarkEnd w:id="1317"/>
      <w:r w:rsidRPr="00A428C3">
        <w:rPr>
          <w:lang w:val="fr-FR"/>
        </w:rPr>
        <w:t>d.)</w:t>
      </w:r>
    </w:p>
    <w:p w:rsidR="00B95188" w:rsidRPr="00A428C3" w:rsidRDefault="00B95188" w:rsidP="00B72EF9">
      <w:pPr>
        <w:pStyle w:val="12"/>
        <w:rPr>
          <w:lang w:val="fr-FR"/>
        </w:rPr>
      </w:pPr>
      <w:r w:rsidRPr="00A428C3">
        <w:rPr>
          <w:lang w:val="fr-FR"/>
        </w:rPr>
        <w:t>Full Journal Title: International Journal of Environmental Studies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Dissanayake</w:t>
      </w:r>
      <w:bookmarkEnd w:id="1314"/>
      <w:r w:rsidRPr="00A428C3">
        <w:t>, C.B.</w:t>
      </w:r>
      <w:r w:rsidR="00F81221">
        <w:t xml:space="preserve"> and </w:t>
      </w:r>
      <w:bookmarkStart w:id="1318" w:name="Weerasooriya"/>
      <w:r w:rsidRPr="00A428C3">
        <w:t>Weerasooriya</w:t>
      </w:r>
      <w:bookmarkEnd w:id="1318"/>
      <w:r w:rsidRPr="00A428C3">
        <w:t xml:space="preserve">, S.V.R. (1981), Peat as a metal-trapping material in the purification of industrial effluents.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17</w:t>
      </w:r>
      <w:r w:rsidRPr="00A428C3">
        <w:t>, 233-238.</w:t>
      </w:r>
    </w:p>
    <w:p w:rsidR="00B95188" w:rsidRPr="00A428C3" w:rsidRDefault="00B95188" w:rsidP="00B95188">
      <w:pPr>
        <w:pStyle w:val="a0"/>
      </w:pPr>
      <w:r w:rsidRPr="00A428C3">
        <w:t>Viraraghavan, T. (1991), Use of peat in pollution control. International Journal of Environmental Studies Section B Environmental Science</w:t>
      </w:r>
      <w:r w:rsidR="00F81221">
        <w:t xml:space="preserve"> and </w:t>
      </w:r>
      <w:r w:rsidRPr="00A428C3">
        <w:t xml:space="preserve">Technology, </w:t>
      </w:r>
      <w:r w:rsidRPr="00A428C3">
        <w:rPr>
          <w:b/>
        </w:rPr>
        <w:t>37</w:t>
      </w:r>
      <w:r w:rsidRPr="00A428C3">
        <w:t>, 163-169.</w:t>
      </w:r>
    </w:p>
    <w:p w:rsidR="00B95188" w:rsidRPr="00A428C3" w:rsidRDefault="00B95188" w:rsidP="00B95188">
      <w:pPr>
        <w:pStyle w:val="a0"/>
      </w:pPr>
      <w:r w:rsidRPr="00A428C3">
        <w:t>Sharma, Y.C., Prasad, G.</w:t>
      </w:r>
      <w:r w:rsidR="00F81221">
        <w:t xml:space="preserve"> and </w:t>
      </w:r>
      <w:r w:rsidRPr="00A428C3">
        <w:t xml:space="preserve">Rupainwar, </w:t>
      </w:r>
      <w:smartTag w:uri="urn:schemas-microsoft-com:office:smarttags" w:element="State">
        <w:r w:rsidRPr="00A428C3">
          <w:t>D.C.</w:t>
        </w:r>
      </w:smartTag>
      <w:r w:rsidRPr="00A428C3">
        <w:t xml:space="preserve"> (1991), Removal of Ni(II) from aqueous solutions by </w:t>
      </w:r>
      <w:bookmarkStart w:id="1319" w:name="Sorption"/>
      <w:r w:rsidRPr="00A428C3">
        <w:t>sorption</w:t>
      </w:r>
      <w:bookmarkEnd w:id="1319"/>
      <w:r w:rsidRPr="00A428C3">
        <w:t xml:space="preserve">.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37</w:t>
      </w:r>
      <w:r w:rsidRPr="00A428C3">
        <w:t>, 183-191.</w:t>
      </w:r>
    </w:p>
    <w:p w:rsidR="00B95188" w:rsidRPr="00A428C3" w:rsidRDefault="00B95188" w:rsidP="00B95188">
      <w:pPr>
        <w:pStyle w:val="a0"/>
      </w:pPr>
      <w:r w:rsidRPr="00A428C3">
        <w:t>Sharma, Y.C., Prasad, G.</w:t>
      </w:r>
      <w:r w:rsidR="00F81221">
        <w:t xml:space="preserve"> and </w:t>
      </w:r>
      <w:r w:rsidRPr="00A428C3">
        <w:t xml:space="preserve">Rupainwar, </w:t>
      </w:r>
      <w:smartTag w:uri="urn:schemas-microsoft-com:office:smarttags" w:element="State">
        <w:r w:rsidRPr="00A428C3">
          <w:t>D.C.</w:t>
        </w:r>
      </w:smartTag>
      <w:r w:rsidRPr="00A428C3">
        <w:t xml:space="preserve"> (1992), Heavy metal pollution of river Gang in </w:t>
      </w:r>
      <w:smartTag w:uri="urn:schemas-microsoft-com:office:smarttags" w:element="place">
        <w:smartTag w:uri="urn:schemas-microsoft-com:office:smarttags" w:element="City">
          <w:r w:rsidRPr="00A428C3">
            <w:t>Mirzapur</w:t>
          </w:r>
        </w:smartTag>
        <w:r w:rsidRPr="00A428C3">
          <w:t xml:space="preserve">, </w:t>
        </w:r>
        <w:smartTag w:uri="urn:schemas-microsoft-com:office:smarttags" w:element="country-region">
          <w:r w:rsidRPr="00A428C3">
            <w:t>India</w:t>
          </w:r>
        </w:smartTag>
      </w:smartTag>
      <w:r w:rsidRPr="00A428C3">
        <w:t xml:space="preserve">.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40</w:t>
      </w:r>
      <w:r w:rsidRPr="00A428C3">
        <w:t>, 41-53.</w:t>
      </w:r>
    </w:p>
    <w:p w:rsidR="00B95188" w:rsidRPr="00A428C3" w:rsidRDefault="00B95188" w:rsidP="00B95188">
      <w:pPr>
        <w:pStyle w:val="a0"/>
      </w:pPr>
      <w:r w:rsidRPr="00A428C3">
        <w:t>? Haribabu, E., Upadhya, Y.D.</w:t>
      </w:r>
      <w:r w:rsidR="00F81221">
        <w:t xml:space="preserve"> and </w:t>
      </w:r>
      <w:r w:rsidRPr="00A428C3">
        <w:t xml:space="preserve">Upadhyay, S.N. (1993), Removal of phenols from effluents by fly ash.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43</w:t>
      </w:r>
      <w:r w:rsidRPr="00A428C3">
        <w:t>, 38-46.</w:t>
      </w:r>
    </w:p>
    <w:p w:rsidR="00B95188" w:rsidRPr="00A428C3" w:rsidRDefault="00B95188" w:rsidP="00B95188">
      <w:pPr>
        <w:pStyle w:val="a0"/>
      </w:pPr>
      <w:r w:rsidRPr="00A428C3">
        <w:t xml:space="preserve">Mathur, A., </w:t>
      </w:r>
      <w:bookmarkStart w:id="1320" w:name="Menon"/>
      <w:r w:rsidRPr="00A428C3">
        <w:t>Menon</w:t>
      </w:r>
      <w:bookmarkEnd w:id="1320"/>
      <w:r w:rsidRPr="00A428C3">
        <w:t xml:space="preserve">, V.V., </w:t>
      </w:r>
      <w:smartTag w:uri="urn:schemas-microsoft-com:office:smarttags" w:element="City">
        <w:r w:rsidRPr="00A428C3">
          <w:t>Rupainwar</w:t>
        </w:r>
      </w:smartTag>
      <w:r w:rsidRPr="00A428C3">
        <w:t>, D.C.</w:t>
      </w:r>
      <w:r w:rsidR="00F81221">
        <w:t xml:space="preserve"> and </w:t>
      </w:r>
      <w:r w:rsidRPr="00A428C3">
        <w:t xml:space="preserve">Sharma, Y.C. (1993), Multiple regression analysis of data on river Ganga in </w:t>
      </w:r>
      <w:smartTag w:uri="urn:schemas-microsoft-com:office:smarttags" w:element="place">
        <w:smartTag w:uri="urn:schemas-microsoft-com:office:smarttags" w:element="City">
          <w:r w:rsidRPr="00A428C3">
            <w:t>Varanasi</w:t>
          </w:r>
        </w:smartTag>
      </w:smartTag>
      <w:r w:rsidRPr="00A428C3">
        <w:t xml:space="preserve"> city region with special emphasis on lead(II)</w:t>
      </w:r>
      <w:r w:rsidR="00F81221">
        <w:t xml:space="preserve"> and </w:t>
      </w:r>
      <w:r w:rsidRPr="00A428C3">
        <w:t xml:space="preserve">Cadmium(II).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44</w:t>
      </w:r>
      <w:r w:rsidRPr="00A428C3">
        <w:t>, 245-250.</w:t>
      </w:r>
    </w:p>
    <w:p w:rsidR="00B95188" w:rsidRPr="00A428C3" w:rsidRDefault="00B95188" w:rsidP="00B95188">
      <w:pPr>
        <w:pStyle w:val="a0"/>
      </w:pPr>
      <w:r w:rsidRPr="00A428C3">
        <w:t>Panchanadikar, V.V.</w:t>
      </w:r>
      <w:r w:rsidR="00F81221">
        <w:t xml:space="preserve"> and </w:t>
      </w:r>
      <w:r w:rsidRPr="00A428C3">
        <w:t xml:space="preserve">Das, R.P. (1993), Biorecovery of zinc from industrial effluent using </w:t>
      </w:r>
      <w:bookmarkStart w:id="1321" w:name="native"/>
      <w:r w:rsidRPr="00A428C3">
        <w:t>native</w:t>
      </w:r>
      <w:bookmarkEnd w:id="1321"/>
      <w:r w:rsidRPr="00A428C3">
        <w:t xml:space="preserve"> </w:t>
      </w:r>
      <w:bookmarkStart w:id="1322" w:name="microflora"/>
      <w:r w:rsidRPr="00A428C3">
        <w:t>microflora</w:t>
      </w:r>
      <w:bookmarkEnd w:id="1322"/>
      <w:r w:rsidRPr="00A428C3">
        <w:t xml:space="preserve">.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44</w:t>
      </w:r>
      <w:r w:rsidRPr="00A428C3">
        <w:t>, 251-257.</w:t>
      </w:r>
    </w:p>
    <w:p w:rsidR="00B95188" w:rsidRPr="00A428C3" w:rsidRDefault="00B95188" w:rsidP="00B95188">
      <w:pPr>
        <w:pStyle w:val="a0"/>
      </w:pPr>
      <w:bookmarkStart w:id="1323" w:name="Yeh"/>
      <w:r w:rsidRPr="00A428C3">
        <w:lastRenderedPageBreak/>
        <w:t>Yeh</w:t>
      </w:r>
      <w:bookmarkEnd w:id="1323"/>
      <w:r w:rsidRPr="00A428C3">
        <w:t xml:space="preserve">, R.Y.L., </w:t>
      </w:r>
      <w:bookmarkStart w:id="1324" w:name="Liu"/>
      <w:r w:rsidRPr="00A428C3">
        <w:t>Liu</w:t>
      </w:r>
      <w:bookmarkEnd w:id="1324"/>
      <w:r w:rsidRPr="00A428C3">
        <w:t>, R.L.H., Chiu, H.M.</w:t>
      </w:r>
      <w:r w:rsidR="00F81221">
        <w:t xml:space="preserve"> and </w:t>
      </w:r>
      <w:r w:rsidRPr="00A428C3">
        <w:t xml:space="preserve">Hung, Y.T. (1993), </w:t>
      </w:r>
      <w:bookmarkStart w:id="1325" w:name="Comparative"/>
      <w:r w:rsidRPr="00A428C3">
        <w:t>Comparative</w:t>
      </w:r>
      <w:bookmarkEnd w:id="1325"/>
      <w:r w:rsidRPr="00A428C3">
        <w:t xml:space="preserve"> study of adsorption capacity of various adsorbents fro treating dye wastewaters.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44</w:t>
      </w:r>
      <w:r w:rsidRPr="00A428C3">
        <w:t>, 259-284.</w:t>
      </w:r>
    </w:p>
    <w:p w:rsidR="00B95188" w:rsidRPr="00A428C3" w:rsidRDefault="00B95188" w:rsidP="00B95188">
      <w:pPr>
        <w:pStyle w:val="a0"/>
      </w:pPr>
      <w:bookmarkStart w:id="1326" w:name="Uluatam"/>
      <w:r w:rsidRPr="00A428C3">
        <w:t>Uluatam</w:t>
      </w:r>
      <w:bookmarkEnd w:id="1326"/>
      <w:r w:rsidRPr="00A428C3">
        <w:t>, S.S. (1994), Eckenfelder</w:t>
      </w:r>
      <w:r w:rsidR="000352E7">
        <w:t>’</w:t>
      </w:r>
      <w:r w:rsidRPr="00A428C3">
        <w:t>s model in a fluidized bed. International Journal of Environmental Studies Section B Environmental Science</w:t>
      </w:r>
      <w:r w:rsidR="00F81221">
        <w:t xml:space="preserve"> and </w:t>
      </w:r>
      <w:r w:rsidRPr="00A428C3">
        <w:t xml:space="preserve">Technology, </w:t>
      </w:r>
      <w:r w:rsidRPr="00A428C3">
        <w:rPr>
          <w:b/>
        </w:rPr>
        <w:t>46</w:t>
      </w:r>
      <w:r w:rsidRPr="00A428C3">
        <w:t>, 1-9.</w:t>
      </w:r>
    </w:p>
    <w:p w:rsidR="00B95188" w:rsidRPr="00A428C3" w:rsidRDefault="00B95188" w:rsidP="00B95188">
      <w:pPr>
        <w:pStyle w:val="a0"/>
      </w:pPr>
      <w:bookmarkStart w:id="1327" w:name="Panchanadikar"/>
      <w:r w:rsidRPr="00A428C3">
        <w:t>Viraraghavan, T.</w:t>
      </w:r>
      <w:r w:rsidR="00F81221">
        <w:t xml:space="preserve"> and </w:t>
      </w:r>
      <w:r w:rsidRPr="00A428C3">
        <w:t>Rao, G.A.K. (1994), Adsorption of cadmium</w:t>
      </w:r>
      <w:r w:rsidR="00F81221">
        <w:t xml:space="preserve"> and </w:t>
      </w:r>
      <w:r w:rsidRPr="00A428C3">
        <w:t xml:space="preserve">chromium from wastewater by peat.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44</w:t>
      </w:r>
      <w:r w:rsidRPr="00A428C3">
        <w:t>, 9-27.</w:t>
      </w:r>
    </w:p>
    <w:p w:rsidR="00B95188" w:rsidRPr="00A428C3" w:rsidRDefault="00B95188" w:rsidP="00B95188">
      <w:pPr>
        <w:pStyle w:val="a0"/>
      </w:pPr>
      <w:r w:rsidRPr="00A428C3">
        <w:t>Panchanadikar</w:t>
      </w:r>
      <w:bookmarkEnd w:id="1327"/>
      <w:r w:rsidRPr="00A428C3">
        <w:t>, V.V.</w:t>
      </w:r>
      <w:r w:rsidR="00F81221">
        <w:t xml:space="preserve"> and </w:t>
      </w:r>
      <w:bookmarkStart w:id="1328" w:name="Das"/>
      <w:r w:rsidRPr="00A428C3">
        <w:t>Das</w:t>
      </w:r>
      <w:bookmarkEnd w:id="1328"/>
      <w:r w:rsidRPr="00A428C3">
        <w:t xml:space="preserve">, R.P. (1994), Biosorption process for removing lead(II) ions from aqueous effluents using </w:t>
      </w:r>
      <w:r w:rsidRPr="00A428C3">
        <w:rPr>
          <w:i/>
          <w:iCs/>
        </w:rPr>
        <w:t>Pseudomonas</w:t>
      </w:r>
      <w:r w:rsidRPr="00A428C3">
        <w:t xml:space="preserve"> sp.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46</w:t>
      </w:r>
      <w:r w:rsidRPr="00A428C3">
        <w:t>, 243-250.</w:t>
      </w:r>
    </w:p>
    <w:p w:rsidR="00B95188" w:rsidRPr="00A428C3" w:rsidRDefault="00B95188" w:rsidP="00B95188">
      <w:pPr>
        <w:pStyle w:val="a0"/>
      </w:pPr>
      <w:bookmarkStart w:id="1329" w:name="Rai"/>
      <w:r w:rsidRPr="00A428C3">
        <w:t>Rai</w:t>
      </w:r>
      <w:bookmarkEnd w:id="1329"/>
      <w:r w:rsidRPr="00A428C3">
        <w:t xml:space="preserve">, S., </w:t>
      </w:r>
      <w:bookmarkStart w:id="1330" w:name="Narayanswami"/>
      <w:r w:rsidRPr="00A428C3">
        <w:t>Narayanswami</w:t>
      </w:r>
      <w:bookmarkEnd w:id="1330"/>
      <w:r w:rsidRPr="00A428C3">
        <w:t xml:space="preserve">, M.S., </w:t>
      </w:r>
      <w:bookmarkStart w:id="1331" w:name="Hasan"/>
      <w:r w:rsidRPr="00A428C3">
        <w:t>Hasan</w:t>
      </w:r>
      <w:bookmarkEnd w:id="1331"/>
      <w:r w:rsidRPr="00A428C3">
        <w:t xml:space="preserve">, S.H., </w:t>
      </w:r>
      <w:smartTag w:uri="urn:schemas-microsoft-com:office:smarttags" w:element="City">
        <w:r w:rsidRPr="00A428C3">
          <w:t>Rupainwar</w:t>
        </w:r>
      </w:smartTag>
      <w:r w:rsidRPr="00A428C3">
        <w:t>, D.C.</w:t>
      </w:r>
      <w:r w:rsidR="00F81221">
        <w:t xml:space="preserve"> and </w:t>
      </w:r>
      <w:r w:rsidRPr="00A428C3">
        <w:t xml:space="preserve">Sharma, Y.C. (1994), Removal of cadmium from wastewater by water </w:t>
      </w:r>
      <w:bookmarkStart w:id="1332" w:name="hyacinth"/>
      <w:r w:rsidRPr="00A428C3">
        <w:t>hyacinth</w:t>
      </w:r>
      <w:bookmarkEnd w:id="1332"/>
      <w:r w:rsidRPr="00A428C3">
        <w:t xml:space="preserve">. </w:t>
      </w:r>
      <w:r w:rsidRPr="00A428C3">
        <w:rPr>
          <w:i/>
        </w:rPr>
        <w:t>International Journal of Environmental Studies Section B Environmental Science</w:t>
      </w:r>
      <w:r w:rsidR="00F81221">
        <w:rPr>
          <w:i/>
        </w:rPr>
        <w:t xml:space="preserve"> and </w:t>
      </w:r>
      <w:r w:rsidRPr="00A428C3">
        <w:rPr>
          <w:i/>
        </w:rPr>
        <w:t>Technology</w:t>
      </w:r>
      <w:r w:rsidRPr="00A428C3">
        <w:t xml:space="preserve">, </w:t>
      </w:r>
      <w:r w:rsidRPr="00A428C3">
        <w:rPr>
          <w:b/>
        </w:rPr>
        <w:t>46</w:t>
      </w:r>
      <w:r w:rsidRPr="00A428C3">
        <w:t>, 251-262.</w:t>
      </w:r>
    </w:p>
    <w:p w:rsidR="00B95188" w:rsidRPr="00A428C3" w:rsidRDefault="00B95188" w:rsidP="00B95188">
      <w:pPr>
        <w:pStyle w:val="1"/>
      </w:pPr>
      <w:r w:rsidRPr="00A428C3">
        <w:br w:type="page"/>
      </w:r>
      <w:bookmarkStart w:id="1333" w:name="_Toc455569484"/>
      <w:bookmarkStart w:id="1334" w:name="_Toc487190733"/>
      <w:bookmarkStart w:id="1335" w:name="_Toc487882238"/>
      <w:bookmarkStart w:id="1336" w:name="_Toc490688065"/>
      <w:bookmarkStart w:id="1337" w:name="_Toc492812178"/>
      <w:bookmarkStart w:id="1338" w:name="_Toc186647917"/>
      <w:bookmarkStart w:id="1339" w:name="_Toc317161295"/>
      <w:r w:rsidRPr="00A428C3">
        <w:lastRenderedPageBreak/>
        <w:t>Title: International Journal of Epidemiology</w:t>
      </w:r>
      <w:bookmarkEnd w:id="1333"/>
      <w:bookmarkEnd w:id="1334"/>
      <w:bookmarkEnd w:id="1335"/>
      <w:bookmarkEnd w:id="1336"/>
      <w:bookmarkEnd w:id="1337"/>
      <w:bookmarkEnd w:id="1338"/>
      <w:bookmarkEnd w:id="1339"/>
    </w:p>
    <w:p w:rsidR="009A660F" w:rsidRPr="00A428C3" w:rsidRDefault="009A660F" w:rsidP="009A660F">
      <w:pPr>
        <w:pStyle w:val="12"/>
      </w:pPr>
      <w:r w:rsidRPr="00A428C3">
        <w:t xml:space="preserve">Full Journal Title: </w:t>
      </w:r>
      <w:hyperlink r:id="rId1877" w:history="1">
        <w:r w:rsidRPr="00A428C3">
          <w:rPr>
            <w:rStyle w:val="a5"/>
          </w:rPr>
          <w:t>International Journal of Epidemiology</w:t>
        </w:r>
      </w:hyperlink>
    </w:p>
    <w:p w:rsidR="009A660F" w:rsidRPr="00A428C3" w:rsidRDefault="009A660F" w:rsidP="009A660F">
      <w:pPr>
        <w:pStyle w:val="12"/>
      </w:pPr>
      <w:r w:rsidRPr="00A428C3">
        <w:t>ISO Abbreviated Title: Int. J. Epidemiol.</w:t>
      </w:r>
    </w:p>
    <w:p w:rsidR="009A660F" w:rsidRPr="00A428C3" w:rsidRDefault="009A660F" w:rsidP="009A660F">
      <w:pPr>
        <w:pStyle w:val="12"/>
      </w:pPr>
      <w:r w:rsidRPr="00A428C3">
        <w:t>JCR Abbreviated Title: Int J Epidemiol</w:t>
      </w:r>
    </w:p>
    <w:p w:rsidR="009A660F" w:rsidRPr="00A428C3" w:rsidRDefault="009A660F" w:rsidP="009A660F">
      <w:pPr>
        <w:pStyle w:val="12"/>
      </w:pPr>
      <w:r w:rsidRPr="00A428C3">
        <w:t>ISSN: 0300-5771</w:t>
      </w:r>
    </w:p>
    <w:p w:rsidR="009A660F" w:rsidRPr="00A428C3" w:rsidRDefault="009A660F" w:rsidP="009A660F">
      <w:pPr>
        <w:pStyle w:val="12"/>
      </w:pPr>
      <w:r w:rsidRPr="00A428C3">
        <w:t>Issues/Year: 6</w:t>
      </w:r>
    </w:p>
    <w:p w:rsidR="009A660F" w:rsidRPr="00A428C3" w:rsidRDefault="009A660F" w:rsidP="009A660F">
      <w:pPr>
        <w:pStyle w:val="12"/>
      </w:pPr>
      <w:r w:rsidRPr="00A428C3">
        <w:t xml:space="preserve">Journal Country/Territory: </w:t>
      </w:r>
      <w:smartTag w:uri="urn:schemas-microsoft-com:office:smarttags" w:element="country-region">
        <w:smartTag w:uri="urn:schemas-microsoft-com:office:smarttags" w:element="place">
          <w:r w:rsidRPr="00A428C3">
            <w:t>England</w:t>
          </w:r>
        </w:smartTag>
      </w:smartTag>
    </w:p>
    <w:p w:rsidR="009A660F" w:rsidRPr="00A428C3" w:rsidRDefault="009A660F" w:rsidP="009A660F">
      <w:pPr>
        <w:pStyle w:val="12"/>
      </w:pPr>
      <w:r w:rsidRPr="00A428C3">
        <w:t>Language: English</w:t>
      </w:r>
    </w:p>
    <w:p w:rsidR="009A660F" w:rsidRPr="00A428C3" w:rsidRDefault="009A660F" w:rsidP="009A660F">
      <w:pPr>
        <w:pStyle w:val="12"/>
      </w:pPr>
      <w:r w:rsidRPr="00A428C3">
        <w:t xml:space="preserve">Publisher: </w:t>
      </w:r>
      <w:smartTag w:uri="urn:schemas-microsoft-com:office:smarttags" w:element="City">
        <w:smartTag w:uri="urn:schemas-microsoft-com:office:smarttags" w:element="place">
          <w:r w:rsidRPr="00A428C3">
            <w:t>Oxford</w:t>
          </w:r>
        </w:smartTag>
      </w:smartTag>
      <w:r w:rsidRPr="00A428C3">
        <w:t xml:space="preserve"> Univ Press</w:t>
      </w:r>
    </w:p>
    <w:p w:rsidR="009A660F" w:rsidRPr="00A428C3" w:rsidRDefault="009A660F" w:rsidP="009A660F">
      <w:pPr>
        <w:pStyle w:val="12"/>
      </w:pPr>
      <w:r w:rsidRPr="00A428C3">
        <w:t xml:space="preserve">Publisher Address: </w:t>
      </w:r>
      <w:smartTag w:uri="urn:schemas-microsoft-com:office:smarttags" w:element="place">
        <w:r w:rsidRPr="00A428C3">
          <w:t xml:space="preserve">Great Clarendon St, </w:t>
        </w:r>
        <w:smartTag w:uri="urn:schemas-microsoft-com:office:smarttags" w:element="City">
          <w:r w:rsidRPr="00A428C3">
            <w:t>Oxford</w:t>
          </w:r>
        </w:smartTag>
        <w:r w:rsidRPr="00A428C3">
          <w:t xml:space="preserve"> </w:t>
        </w:r>
        <w:smartTag w:uri="urn:schemas-microsoft-com:office:smarttags" w:element="PostalCode">
          <w:r w:rsidRPr="00A428C3">
            <w:t>OX2 6DP</w:t>
          </w:r>
        </w:smartTag>
        <w:r w:rsidRPr="00A428C3">
          <w:t xml:space="preserve">, </w:t>
        </w:r>
        <w:smartTag w:uri="urn:schemas-microsoft-com:office:smarttags" w:element="country-region">
          <w:r w:rsidRPr="00A428C3">
            <w:t>England</w:t>
          </w:r>
        </w:smartTag>
      </w:smartTag>
    </w:p>
    <w:p w:rsidR="009A660F" w:rsidRPr="00A428C3" w:rsidRDefault="009A660F" w:rsidP="009A660F">
      <w:pPr>
        <w:pStyle w:val="12"/>
      </w:pPr>
      <w:r w:rsidRPr="00A428C3">
        <w:t>Subject Categories:</w:t>
      </w:r>
    </w:p>
    <w:p w:rsidR="009A660F" w:rsidRPr="00A428C3" w:rsidRDefault="009A660F" w:rsidP="009A660F">
      <w:pPr>
        <w:pStyle w:val="12"/>
      </w:pPr>
      <w:r w:rsidRPr="00A428C3">
        <w:t xml:space="preserve">Public, Environmental &amp; Occupational Health: Impact Factor </w:t>
      </w:r>
      <w:r>
        <w:rPr>
          <w:rFonts w:hint="eastAsia"/>
        </w:rPr>
        <w:t>5.759</w:t>
      </w:r>
      <w:r>
        <w:t>, 5/</w:t>
      </w:r>
      <w:r>
        <w:rPr>
          <w:rFonts w:hint="eastAsia"/>
        </w:rPr>
        <w:t>140 (2010)</w:t>
      </w:r>
    </w:p>
    <w:p w:rsidR="00B95188" w:rsidRPr="00A428C3" w:rsidRDefault="00B95188" w:rsidP="00B95188">
      <w:pPr>
        <w:pStyle w:val="a0"/>
      </w:pPr>
      <w:r w:rsidRPr="00A428C3">
        <w:t xml:space="preserve">? </w:t>
      </w:r>
      <w:smartTag w:uri="urn:schemas-microsoft-com:office:smarttags" w:element="City">
        <w:r w:rsidRPr="00A428C3">
          <w:t>Henderson</w:t>
        </w:r>
      </w:smartTag>
      <w:r w:rsidRPr="00A428C3">
        <w:t>, P.L., Fontaine, R.E.</w:t>
      </w:r>
      <w:r w:rsidR="00F81221">
        <w:t xml:space="preserve"> and </w:t>
      </w:r>
      <w:r w:rsidRPr="00A428C3">
        <w:t xml:space="preserve">Kyeyune, G. (1988), Guinea worm disease in </w:t>
      </w:r>
      <w:smartTag w:uri="urn:schemas-microsoft-com:office:smarttags" w:element="place">
        <w:r w:rsidRPr="00A428C3">
          <w:t>Northern Uganda</w:t>
        </w:r>
      </w:smartTag>
      <w:r w:rsidRPr="00A428C3">
        <w:t xml:space="preserve">: A major public health problem controllable through an effective water programme. </w:t>
      </w:r>
      <w:r w:rsidRPr="00A428C3">
        <w:rPr>
          <w:i/>
        </w:rPr>
        <w:t>International Journal of Epidemiology</w:t>
      </w:r>
      <w:r w:rsidRPr="00A428C3">
        <w:t xml:space="preserve">, </w:t>
      </w:r>
      <w:r w:rsidRPr="00A428C3">
        <w:rPr>
          <w:b/>
        </w:rPr>
        <w:t>17</w:t>
      </w:r>
      <w:r w:rsidRPr="00A428C3">
        <w:t xml:space="preserve"> (2), 434-440.</w:t>
      </w:r>
    </w:p>
    <w:p w:rsidR="00B95188" w:rsidRPr="00A428C3" w:rsidRDefault="00B95188" w:rsidP="00B95188">
      <w:pPr>
        <w:pStyle w:val="a0"/>
      </w:pPr>
      <w:r w:rsidRPr="00A428C3">
        <w:t xml:space="preserve">Full Text: </w:t>
      </w:r>
      <w:hyperlink r:id="rId1878" w:history="1">
        <w:r w:rsidR="009550CF" w:rsidRPr="009550CF">
          <w:rPr>
            <w:rStyle w:val="a5"/>
          </w:rPr>
          <w:t>1988\Int J Epi17, 434.pdf</w:t>
        </w:r>
      </w:hyperlink>
    </w:p>
    <w:p w:rsidR="00B95188" w:rsidRPr="00A428C3" w:rsidRDefault="00B95188" w:rsidP="00B95188">
      <w:pPr>
        <w:pStyle w:val="a0"/>
      </w:pPr>
      <w:r w:rsidRPr="00A428C3">
        <w:t xml:space="preserve">Abstract: A modified cluster survey was conducted in northwestern </w:t>
      </w:r>
      <w:smartTag w:uri="urn:schemas-microsoft-com:office:smarttags" w:element="place">
        <w:smartTag w:uri="urn:schemas-microsoft-com:office:smarttags" w:element="country-region">
          <w:r w:rsidRPr="00A428C3">
            <w:t>Uganda</w:t>
          </w:r>
        </w:smartTag>
      </w:smartTag>
      <w:r w:rsidRPr="00A428C3">
        <w:t xml:space="preserve"> in 1984 to provide descriptive epidemiological data on dracunculiasis in a water programme target area. A total of 2014 people participated from 58 randomly selected clusters. Interviewers elicited information on age</w:t>
      </w:r>
      <w:r w:rsidR="00F81221">
        <w:t xml:space="preserve"> and </w:t>
      </w:r>
      <w:r w:rsidRPr="00A428C3">
        <w:t>sex of household members, number, date of emergence</w:t>
      </w:r>
      <w:r w:rsidR="00F81221">
        <w:t xml:space="preserve"> and </w:t>
      </w:r>
      <w:r w:rsidRPr="00A428C3">
        <w:t>location of Guinea worms,</w:t>
      </w:r>
      <w:r w:rsidR="00F81221">
        <w:t xml:space="preserve"> and </w:t>
      </w:r>
      <w:r w:rsidRPr="00A428C3">
        <w:t>type of</w:t>
      </w:r>
      <w:r w:rsidR="00F81221">
        <w:t xml:space="preserve"> and </w:t>
      </w:r>
      <w:r w:rsidRPr="00A428C3">
        <w:t>distance from water source in an endemic area. The survey yielded an incidence rate of 193 cases/1000 people per year,</w:t>
      </w:r>
      <w:r w:rsidR="00F81221">
        <w:t xml:space="preserve"> and </w:t>
      </w:r>
      <w:r w:rsidRPr="00A428C3">
        <w:t>a prevalence rate of 43 active cases/1000. Respondents who reported using ponds, reservoirs, valley tanks or rivers as their primary water source had the highest attack rates; those using boreholes, the lowest. Adolescents</w:t>
      </w:r>
      <w:r w:rsidR="00F81221">
        <w:t xml:space="preserve"> and </w:t>
      </w:r>
      <w:r w:rsidRPr="00A428C3">
        <w:t xml:space="preserve">adults differed little in risk, but the disease was less common among young children. Guinea worm disease displayed a bimodal seasonal pattern. We concluded that the survey method used for determining dracunculiasis incidence was appropriate in this setting. The incidence of this disease may be significantly reduced in </w:t>
      </w:r>
      <w:smartTag w:uri="urn:schemas-microsoft-com:office:smarttags" w:element="place">
        <w:smartTag w:uri="urn:schemas-microsoft-com:office:smarttags" w:element="country-region">
          <w:r w:rsidRPr="00A428C3">
            <w:t>Uganda</w:t>
          </w:r>
        </w:smartTag>
      </w:smartTag>
      <w:r w:rsidRPr="00A428C3">
        <w:t xml:space="preserve"> through the country</w:t>
      </w:r>
      <w:r w:rsidR="000352E7">
        <w:t>’</w:t>
      </w:r>
      <w:r w:rsidRPr="00A428C3">
        <w:t>s commitment to the International Drinking Water Supply</w:t>
      </w:r>
      <w:r w:rsidR="00F81221">
        <w:t xml:space="preserve"> and </w:t>
      </w:r>
      <w:r w:rsidRPr="00A428C3">
        <w:t>Sanitation Decade.</w:t>
      </w:r>
    </w:p>
    <w:p w:rsidR="00B95188" w:rsidRPr="00A428C3" w:rsidRDefault="00B95188" w:rsidP="00B95188">
      <w:pPr>
        <w:pStyle w:val="a0"/>
      </w:pPr>
      <w:r w:rsidRPr="00A428C3">
        <w:t>? Esrey, S.A., Collett, J., Miliotis, M.D., Koornhof, H.J.</w:t>
      </w:r>
      <w:r w:rsidR="00F81221">
        <w:t xml:space="preserve"> and </w:t>
      </w:r>
      <w:r w:rsidRPr="00A428C3">
        <w:t xml:space="preserve">Makhale, P. (1989), The risk of infection from </w:t>
      </w:r>
      <w:r w:rsidRPr="00A428C3">
        <w:rPr>
          <w:i/>
          <w:iCs/>
        </w:rPr>
        <w:t>Giardia</w:t>
      </w:r>
      <w:r w:rsidRPr="00A428C3">
        <w:rPr>
          <w:i/>
        </w:rPr>
        <w:t xml:space="preserve"> lamblia</w:t>
      </w:r>
      <w:r w:rsidRPr="00A428C3">
        <w:t xml:space="preserve"> due to drinking water supply, use of water,</w:t>
      </w:r>
      <w:r w:rsidR="00F81221">
        <w:t xml:space="preserve"> and </w:t>
      </w:r>
      <w:r w:rsidRPr="00A428C3">
        <w:t xml:space="preserve">latrines among preschool children in rural Lesotho. </w:t>
      </w:r>
      <w:r w:rsidRPr="00A428C3">
        <w:rPr>
          <w:i/>
        </w:rPr>
        <w:t>International Journal of Epidemiology</w:t>
      </w:r>
      <w:r w:rsidRPr="00A428C3">
        <w:t xml:space="preserve">, </w:t>
      </w:r>
      <w:r w:rsidRPr="00A428C3">
        <w:rPr>
          <w:b/>
        </w:rPr>
        <w:t>18</w:t>
      </w:r>
      <w:r w:rsidRPr="00A428C3">
        <w:t xml:space="preserve"> (1), 248-253.</w:t>
      </w:r>
    </w:p>
    <w:p w:rsidR="00B95188" w:rsidRPr="00A428C3" w:rsidRDefault="00B95188" w:rsidP="00B95188">
      <w:pPr>
        <w:pStyle w:val="a0"/>
      </w:pPr>
      <w:r w:rsidRPr="00A428C3">
        <w:t xml:space="preserve">Full Text: </w:t>
      </w:r>
      <w:hyperlink r:id="rId1879" w:history="1">
        <w:r w:rsidR="009550CF" w:rsidRPr="009550CF">
          <w:rPr>
            <w:rStyle w:val="a5"/>
          </w:rPr>
          <w:t>1989\Int J Epi18, 248.pdf</w:t>
        </w:r>
      </w:hyperlink>
    </w:p>
    <w:p w:rsidR="00B95188" w:rsidRPr="00A428C3" w:rsidRDefault="00B95188" w:rsidP="00B95188">
      <w:pPr>
        <w:pStyle w:val="a0"/>
      </w:pPr>
      <w:r w:rsidRPr="00A428C3">
        <w:t xml:space="preserve">Abstract: Stool samples were collected from 267 rural, preschool children in four </w:t>
      </w:r>
      <w:r w:rsidRPr="00A428C3">
        <w:lastRenderedPageBreak/>
        <w:t xml:space="preserve">districts in </w:t>
      </w:r>
      <w:smartTag w:uri="urn:schemas-microsoft-com:office:smarttags" w:element="place">
        <w:smartTag w:uri="urn:schemas-microsoft-com:office:smarttags" w:element="country-region">
          <w:r w:rsidRPr="00A428C3">
            <w:t>Lesotho</w:t>
          </w:r>
        </w:smartTag>
      </w:smartTag>
      <w:r w:rsidRPr="00A428C3">
        <w:t xml:space="preserve"> during October-November, (1984). Sixty-three children (23.6%) were tested positive for </w:t>
      </w:r>
      <w:r w:rsidRPr="00A428C3">
        <w:rPr>
          <w:i/>
          <w:iCs/>
        </w:rPr>
        <w:t>Giardia</w:t>
      </w:r>
      <w:r w:rsidRPr="00A428C3">
        <w:rPr>
          <w:i/>
        </w:rPr>
        <w:t xml:space="preserve"> lamblia</w:t>
      </w:r>
      <w:r w:rsidRPr="00A428C3">
        <w:t>, the most commonly recovered parasite from stool samples. The use of low amounts of water for personal hygiene was associated significantly with having G. lamblia (OR = 2.42), but the use of traditional, non-improved drinking water sources (OR = 1.38) or lack of latrines (OR = 0.94) was not. Although G. lamblia may be primarily waterborne in developed countries, the amount of water that is used for personal</w:t>
      </w:r>
      <w:r w:rsidR="00F81221">
        <w:t xml:space="preserve"> and </w:t>
      </w:r>
      <w:r w:rsidRPr="00A428C3">
        <w:t xml:space="preserve">domestic hygiene may be more important than the quality of drinking water in developing countries. Other risk factors that were identified to be associated significantly with having or not having </w:t>
      </w:r>
      <w:r w:rsidRPr="00A428C3">
        <w:rPr>
          <w:i/>
          <w:iCs/>
        </w:rPr>
        <w:t>Giardia</w:t>
      </w:r>
      <w:r w:rsidRPr="00A428C3">
        <w:t xml:space="preserve"> were child older than 24 months (OR = 6.79), mother less than 20 years of age (OR = 5.18), residing in Mohales Hoek district (OR = 2.33),</w:t>
      </w:r>
      <w:r w:rsidR="00F81221">
        <w:t xml:space="preserve"> and </w:t>
      </w:r>
      <w:r w:rsidRPr="00A428C3">
        <w:t>possessing several agricultural tools (OR = 0.70).</w:t>
      </w:r>
    </w:p>
    <w:p w:rsidR="00B95188" w:rsidRPr="00A428C3" w:rsidRDefault="00B95188" w:rsidP="00B95188">
      <w:pPr>
        <w:pStyle w:val="a0"/>
      </w:pPr>
      <w:r w:rsidRPr="00A428C3">
        <w:t>? Paci, E.</w:t>
      </w:r>
      <w:r w:rsidR="00F81221">
        <w:t xml:space="preserve"> and </w:t>
      </w:r>
      <w:r w:rsidRPr="00A428C3">
        <w:t>Duffy, S.W. (1991), Modeling the analysis of breast-cancer screening programs: Sensitivity, lead time</w:t>
      </w:r>
      <w:r w:rsidR="00F81221">
        <w:t xml:space="preserve"> and </w:t>
      </w:r>
      <w:r w:rsidRPr="00A428C3">
        <w:t xml:space="preserve">predictive value in the </w:t>
      </w:r>
      <w:smartTag w:uri="urn:schemas-microsoft-com:office:smarttags" w:element="place">
        <w:smartTag w:uri="urn:schemas-microsoft-com:office:smarttags" w:element="City">
          <w:r w:rsidRPr="00A428C3">
            <w:t>florence</w:t>
          </w:r>
        </w:smartTag>
      </w:smartTag>
      <w:r w:rsidRPr="00A428C3">
        <w:t xml:space="preserve"> district program (1975-1986). </w:t>
      </w:r>
      <w:r w:rsidRPr="00A428C3">
        <w:rPr>
          <w:i/>
        </w:rPr>
        <w:t>International Journal of Epidemiology</w:t>
      </w:r>
      <w:r w:rsidRPr="00A428C3">
        <w:t xml:space="preserve">, </w:t>
      </w:r>
      <w:r w:rsidRPr="00A428C3">
        <w:rPr>
          <w:b/>
        </w:rPr>
        <w:t>20</w:t>
      </w:r>
      <w:r w:rsidRPr="00A428C3">
        <w:t xml:space="preserve"> (4), 852-858.</w:t>
      </w:r>
    </w:p>
    <w:p w:rsidR="00B95188" w:rsidRPr="00A428C3" w:rsidRDefault="00B95188" w:rsidP="00B95188">
      <w:pPr>
        <w:pStyle w:val="a0"/>
      </w:pPr>
      <w:r w:rsidRPr="00A428C3">
        <w:t xml:space="preserve">Full Text: </w:t>
      </w:r>
      <w:hyperlink r:id="rId1880" w:history="1">
        <w:r w:rsidR="009550CF" w:rsidRPr="009550CF">
          <w:rPr>
            <w:rStyle w:val="a5"/>
          </w:rPr>
          <w:t>1991\Int J Epi20, 852.pdf</w:t>
        </w:r>
      </w:hyperlink>
    </w:p>
    <w:p w:rsidR="00B95188" w:rsidRPr="00A428C3" w:rsidRDefault="00B95188" w:rsidP="00B95188">
      <w:pPr>
        <w:pStyle w:val="a0"/>
      </w:pPr>
      <w:r w:rsidRPr="00A428C3">
        <w:t>? Simchen, E., Jeeraphat, S., Shihab, S.</w:t>
      </w:r>
      <w:r w:rsidR="00F81221">
        <w:t xml:space="preserve"> and </w:t>
      </w:r>
      <w:r w:rsidRPr="00A428C3">
        <w:t xml:space="preserve">Fattal, B. (1991), An epidemic of waterborne Shigella gastroenteritis in Kibbutzim of western Galilee in </w:t>
      </w:r>
      <w:smartTag w:uri="urn:schemas-microsoft-com:office:smarttags" w:element="place">
        <w:smartTag w:uri="urn:schemas-microsoft-com:office:smarttags" w:element="country-region">
          <w:r w:rsidRPr="00A428C3">
            <w:t>Israel</w:t>
          </w:r>
        </w:smartTag>
      </w:smartTag>
      <w:r w:rsidRPr="00A428C3">
        <w:t xml:space="preserve">. </w:t>
      </w:r>
      <w:r w:rsidRPr="00A428C3">
        <w:rPr>
          <w:i/>
        </w:rPr>
        <w:t>International Journal of Epidemiology</w:t>
      </w:r>
      <w:r w:rsidRPr="00A428C3">
        <w:t xml:space="preserve">, </w:t>
      </w:r>
      <w:r w:rsidRPr="00A428C3">
        <w:rPr>
          <w:b/>
        </w:rPr>
        <w:t>20</w:t>
      </w:r>
      <w:r w:rsidRPr="00A428C3">
        <w:t xml:space="preserve"> (4), 1081-1087.</w:t>
      </w:r>
    </w:p>
    <w:p w:rsidR="00B95188" w:rsidRPr="00A428C3" w:rsidRDefault="00B95188" w:rsidP="00B95188">
      <w:pPr>
        <w:pStyle w:val="a0"/>
      </w:pPr>
      <w:r w:rsidRPr="00A428C3">
        <w:t xml:space="preserve">Full Text: </w:t>
      </w:r>
      <w:hyperlink r:id="rId1881" w:history="1">
        <w:r w:rsidR="009550CF" w:rsidRPr="009550CF">
          <w:rPr>
            <w:rStyle w:val="a5"/>
          </w:rPr>
          <w:t>1991\Int J Epi20, 1081.pdf</w:t>
        </w:r>
      </w:hyperlink>
    </w:p>
    <w:p w:rsidR="00B95188" w:rsidRPr="00A428C3" w:rsidRDefault="00B95188" w:rsidP="00B95188">
      <w:pPr>
        <w:pStyle w:val="a0"/>
      </w:pPr>
      <w:r w:rsidRPr="00A428C3">
        <w:t>Abstract: In an epidemic of Shigella sonnei gastroenteritis, probably waterborne, 1216 people were affected within three weeks, 302 of them members of communal settlements, the kibbutzim. A descriptive study of the epidemic in six affected kibbutzim in the area showed that the highest rates of diarrhoea occurred in a kibbutz that received its drinking water solely from the allegedly contaminated well. People at high risk within the kibbutzim were temporary visitors from Europe</w:t>
      </w:r>
      <w:r w:rsidR="00F81221">
        <w:t xml:space="preserve"> and </w:t>
      </w:r>
      <w:r w:rsidRPr="00A428C3">
        <w:t xml:space="preserve">the </w:t>
      </w:r>
      <w:smartTag w:uri="urn:schemas-microsoft-com:office:smarttags" w:element="place">
        <w:smartTag w:uri="urn:schemas-microsoft-com:office:smarttags" w:element="country-region">
          <w:r w:rsidRPr="00A428C3">
            <w:t>US</w:t>
          </w:r>
        </w:smartTag>
      </w:smartTag>
      <w:r w:rsidRPr="00A428C3">
        <w:t xml:space="preserve"> (the volunteers), children aged 1 to 5 years, adult women,</w:t>
      </w:r>
      <w:r w:rsidR="00F81221">
        <w:t xml:space="preserve"> and </w:t>
      </w:r>
      <w:r w:rsidRPr="00A428C3">
        <w:t>children</w:t>
      </w:r>
      <w:r w:rsidR="00F81221">
        <w:t xml:space="preserve"> and </w:t>
      </w:r>
      <w:r w:rsidRPr="00A428C3">
        <w:t xml:space="preserve">their mothers in kibbutzim where the sleeping arrangements for the children was in </w:t>
      </w:r>
      <w:r w:rsidR="000352E7">
        <w:t>‘</w:t>
      </w:r>
      <w:r w:rsidRPr="00A428C3">
        <w:t>children</w:t>
      </w:r>
      <w:r w:rsidR="000352E7">
        <w:t>’</w:t>
      </w:r>
      <w:r w:rsidRPr="00A428C3">
        <w:t>s houses</w:t>
      </w:r>
      <w:r w:rsidR="000352E7">
        <w:t>’</w:t>
      </w:r>
      <w:r w:rsidRPr="00A428C3">
        <w:t>.</w:t>
      </w:r>
    </w:p>
    <w:p w:rsidR="00B95188" w:rsidRPr="00A428C3" w:rsidRDefault="00B95188" w:rsidP="00B95188">
      <w:pPr>
        <w:pStyle w:val="a0"/>
      </w:pPr>
      <w:r w:rsidRPr="00A428C3">
        <w:t>? Lan, C.F., Lin, I.F.</w:t>
      </w:r>
      <w:r w:rsidR="00F81221">
        <w:t xml:space="preserve"> and </w:t>
      </w:r>
      <w:r w:rsidRPr="00A428C3">
        <w:t>Wang, S.J. (1995), Fluoride in drinking water</w:t>
      </w:r>
      <w:r w:rsidR="00F81221">
        <w:t xml:space="preserve"> and </w:t>
      </w:r>
      <w:r w:rsidRPr="00A428C3">
        <w:t xml:space="preserve">the bone mineral density of women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International Journal of Epidemiology</w:t>
      </w:r>
      <w:r w:rsidRPr="00A428C3">
        <w:t xml:space="preserve">, </w:t>
      </w:r>
      <w:r w:rsidRPr="00A428C3">
        <w:rPr>
          <w:b/>
        </w:rPr>
        <w:t>24</w:t>
      </w:r>
      <w:r w:rsidRPr="00A428C3">
        <w:t xml:space="preserve"> (6), 1182-1187.</w:t>
      </w:r>
    </w:p>
    <w:p w:rsidR="00B95188" w:rsidRPr="00A428C3" w:rsidRDefault="00B95188" w:rsidP="00B95188">
      <w:pPr>
        <w:pStyle w:val="a0"/>
      </w:pPr>
      <w:r w:rsidRPr="00A428C3">
        <w:t xml:space="preserve">Full Text: </w:t>
      </w:r>
      <w:hyperlink r:id="rId1882" w:history="1">
        <w:r w:rsidR="009550CF" w:rsidRPr="009550CF">
          <w:rPr>
            <w:rStyle w:val="a5"/>
          </w:rPr>
          <w:t>1995\Int J Epi24, 1182.pdf</w:t>
        </w:r>
      </w:hyperlink>
    </w:p>
    <w:p w:rsidR="00B95188" w:rsidRPr="00A428C3" w:rsidRDefault="00B95188" w:rsidP="00B95188">
      <w:pPr>
        <w:pStyle w:val="a0"/>
      </w:pPr>
      <w:r w:rsidRPr="00A428C3">
        <w:t>: BACKGROUND: The current evidence on effect of fluoridation in drinking water on bone is inconsistent. This study was undertaken to assess the effect of fluoride concentration in drinking water on bone mineral density (BMD) in Taiwanese women.</w:t>
      </w:r>
    </w:p>
    <w:p w:rsidR="00B95188" w:rsidRPr="00A428C3" w:rsidRDefault="00B95188" w:rsidP="00B95188">
      <w:pPr>
        <w:pStyle w:val="a0"/>
      </w:pPr>
      <w:r w:rsidRPr="00A428C3">
        <w:t>METHODS: The study subjects included 248 women aged &gt; or = 40 years who reside in naturally fluoridated</w:t>
      </w:r>
      <w:r w:rsidR="00F81221">
        <w:t xml:space="preserve"> and </w:t>
      </w:r>
      <w:r w:rsidRPr="00A428C3">
        <w:t xml:space="preserve">adjacent areas. The individual fluoride concentration of </w:t>
      </w:r>
      <w:r w:rsidRPr="00A428C3">
        <w:lastRenderedPageBreak/>
        <w:t>the drinking water</w:t>
      </w:r>
      <w:r w:rsidR="00F81221">
        <w:t xml:space="preserve"> and </w:t>
      </w:r>
      <w:r w:rsidRPr="00A428C3">
        <w:t>the BMD of the subjects</w:t>
      </w:r>
      <w:r w:rsidR="000352E7">
        <w:t>’</w:t>
      </w:r>
      <w:r w:rsidRPr="00A428C3">
        <w:t xml:space="preserve"> lumbar spines were assessed.</w:t>
      </w:r>
    </w:p>
    <w:p w:rsidR="00B95188" w:rsidRPr="00A428C3" w:rsidRDefault="00B95188" w:rsidP="00B95188">
      <w:pPr>
        <w:pStyle w:val="a0"/>
      </w:pPr>
      <w:r w:rsidRPr="00A428C3">
        <w:t>RESULTS: Women aged 46-65 years living in areas which have fluoride levels &lt; 0.6 mg/l (mean = 0.18 mg/l; n = 130) had slightly lower bone densities than women living in areas with levels &gt; or = 0.6 mg/l (mean 0.98 mg/l, n = 118). Only the age groups 46-50</w:t>
      </w:r>
      <w:r w:rsidR="00F81221">
        <w:t xml:space="preserve"> and </w:t>
      </w:r>
      <w:r w:rsidRPr="00A428C3">
        <w:t>61-65 years proved to be statistically significant. After controlling for age</w:t>
      </w:r>
      <w:r w:rsidR="00F81221">
        <w:t xml:space="preserve"> and </w:t>
      </w:r>
      <w:r w:rsidRPr="00A428C3">
        <w:t>body mass index, the BMD of those who had a dose &gt; or = 1.0 mg/l is notably higher than the reference group (&lt; or = 0.6 mg/l). After stratification by menopausal status, fluoride appeared to have no association with bone density in postmenopausal women.</w:t>
      </w:r>
    </w:p>
    <w:p w:rsidR="00B95188" w:rsidRPr="00A428C3" w:rsidRDefault="00B95188" w:rsidP="00B95188">
      <w:pPr>
        <w:pStyle w:val="a0"/>
      </w:pPr>
      <w:r w:rsidRPr="00A428C3">
        <w:t>CONCLUSIONS: The BMD of the subjects from the area with a fluoride dose &gt; 1 mg/l were significantly higher than those from the reference group (fluoride &lt; 0.6 mg/l) for premenopausal women. There is no significant association between BMD</w:t>
      </w:r>
      <w:r w:rsidR="00F81221">
        <w:t xml:space="preserve"> and </w:t>
      </w:r>
      <w:r w:rsidRPr="00A428C3">
        <w:t xml:space="preserve">fluoride for postmenopausal women in </w:t>
      </w:r>
      <w:smartTag w:uri="urn:schemas-microsoft-com:office:smarttags" w:element="place">
        <w:smartTag w:uri="urn:schemas-microsoft-com:office:smarttags" w:element="country-region">
          <w:r w:rsidRPr="00A428C3">
            <w:t>Taiwan</w:t>
          </w:r>
        </w:smartTag>
      </w:smartTag>
      <w:r w:rsidRPr="00A428C3">
        <w:t>.</w:t>
      </w:r>
    </w:p>
    <w:p w:rsidR="00B95188" w:rsidRPr="00A428C3" w:rsidRDefault="00B95188" w:rsidP="00B95188">
      <w:pPr>
        <w:pStyle w:val="a0"/>
      </w:pPr>
      <w:r w:rsidRPr="00A428C3">
        <w:t>? Peters, J., Hedley, A.J., Wong, C.M., Lam, T.H., Ong, S., Liu, J.G.</w:t>
      </w:r>
      <w:r w:rsidR="00F81221">
        <w:t xml:space="preserve"> and </w:t>
      </w:r>
      <w:r w:rsidRPr="00A428C3">
        <w:t>Spiegelhalter, D.J. (1996), Effects of an ambient air pollution intervention</w:t>
      </w:r>
      <w:r w:rsidR="00F81221">
        <w:t xml:space="preserve"> and </w:t>
      </w:r>
      <w:r w:rsidRPr="00A428C3">
        <w:t>environmental tobacco smoke on children</w:t>
      </w:r>
      <w:r w:rsidR="000352E7">
        <w:t>’</w:t>
      </w:r>
      <w:r w:rsidRPr="00A428C3">
        <w:t xml:space="preserve">s respiratory health in Hong Kong. </w:t>
      </w:r>
      <w:r w:rsidRPr="00A428C3">
        <w:rPr>
          <w:i/>
        </w:rPr>
        <w:t>International Journal of Epidemiology</w:t>
      </w:r>
      <w:r w:rsidRPr="00A428C3">
        <w:t xml:space="preserve">, </w:t>
      </w:r>
      <w:r w:rsidRPr="00A428C3">
        <w:rPr>
          <w:b/>
        </w:rPr>
        <w:t>25</w:t>
      </w:r>
      <w:r w:rsidR="008F4E6C">
        <w:rPr>
          <w:rFonts w:hint="eastAsia"/>
        </w:rPr>
        <w:t xml:space="preserve"> (4),</w:t>
      </w:r>
      <w:r w:rsidRPr="00A428C3">
        <w:t xml:space="preserve"> 821-828.</w:t>
      </w:r>
    </w:p>
    <w:p w:rsidR="00B95188" w:rsidRPr="00A428C3" w:rsidRDefault="00B95188" w:rsidP="00B95188">
      <w:pPr>
        <w:pStyle w:val="a0"/>
      </w:pPr>
      <w:r w:rsidRPr="00A428C3">
        <w:t xml:space="preserve">Full Text: </w:t>
      </w:r>
      <w:hyperlink r:id="rId1883" w:history="1">
        <w:r w:rsidR="008F4E6C" w:rsidRPr="008F4E6C">
          <w:rPr>
            <w:rStyle w:val="a5"/>
          </w:rPr>
          <w:t>1996\Int J Epi25, 821.pdf</w:t>
        </w:r>
      </w:hyperlink>
    </w:p>
    <w:p w:rsidR="00B95188" w:rsidRPr="00A428C3" w:rsidRDefault="00B95188" w:rsidP="00B95188">
      <w:pPr>
        <w:pStyle w:val="a0"/>
      </w:pPr>
      <w:r w:rsidRPr="00A428C3">
        <w:t>Abstract: Background. Two-thirds of complaints received by the Hong Kong Environmental Protection Department in 1988 were related to poor air quality. In July 1990 legislation was implemented to reduce fuel sulphur levels. The objective of this study was to measure the impact of the intervention on respiratory health in primary school children. Methods. In all, 3521 children, mean age 9.51 years (SD = 0.78), from two districts with good</w:t>
      </w:r>
      <w:r w:rsidR="00F81221">
        <w:t xml:space="preserve"> and </w:t>
      </w:r>
      <w:r w:rsidRPr="00A428C3">
        <w:t>poor air quality respectively before intervention were followed yearly from 1989 to 1991. Children</w:t>
      </w:r>
      <w:r w:rsidR="00F81221">
        <w:t xml:space="preserve"> and </w:t>
      </w:r>
      <w:r w:rsidRPr="00A428C3">
        <w:t>parents reported the children</w:t>
      </w:r>
      <w:r w:rsidR="000352E7">
        <w:t>’</w:t>
      </w:r>
      <w:r w:rsidRPr="00A428C3">
        <w:t>s respiratory symptoms using self-completed questionnaires. Factor analysis was used to derive independent scores from 12 symptoms. Four groups of related symptoms were identified</w:t>
      </w:r>
      <w:r w:rsidR="00F81221">
        <w:t xml:space="preserve"> and </w:t>
      </w:r>
      <w:r w:rsidRPr="00A428C3">
        <w:t>binary variables (presence of any symptom in each group) were treated as dependent variables in modelling using generalized estimating equations procedures. Results. In 1989</w:t>
      </w:r>
      <w:r w:rsidR="00F81221">
        <w:t xml:space="preserve"> and </w:t>
      </w:r>
      <w:r w:rsidRPr="00A428C3">
        <w:t>1990 an excess of respiratory symptoms was observed in the polluted compared with unpolluted district. The significant effects (odds ratio [OR], 95% confidence interval [Cl], P value) associated with living in the polluted district were: cough</w:t>
      </w:r>
      <w:r w:rsidR="00F81221">
        <w:t xml:space="preserve"> and </w:t>
      </w:r>
      <w:r w:rsidRPr="00A428C3">
        <w:t>sore throat (OR = 1.22, 95% Cl: 1.04-1.43, P &lt; 0.01)</w:t>
      </w:r>
      <w:r w:rsidR="00F81221">
        <w:t xml:space="preserve"> and </w:t>
      </w:r>
      <w:r w:rsidRPr="00A428C3">
        <w:t>wheezing (OR = 1.35, 95% Cl: 1.10-1.66, P &lt; 0.01). After the intervention, in the polluted district only, sulphur dioxide levels fell by up to 80%</w:t>
      </w:r>
      <w:r w:rsidR="00F81221">
        <w:t xml:space="preserve"> and </w:t>
      </w:r>
      <w:r w:rsidRPr="00A428C3">
        <w:t>sulphate concentrations in respirable particulates by 38%. Between 1989</w:t>
      </w:r>
      <w:r w:rsidR="00F81221">
        <w:t xml:space="preserve"> and </w:t>
      </w:r>
      <w:r w:rsidRPr="00A428C3">
        <w:t>1990-1991 there was a greater decline in the polluted compared with the unpolluted district for reported symptoms of cough or sore throat, phlegm</w:t>
      </w:r>
      <w:r w:rsidR="00F81221">
        <w:t xml:space="preserve"> and </w:t>
      </w:r>
      <w:r w:rsidRPr="00A428C3">
        <w:t xml:space="preserve">wheezing. The risks to respiratory health for children exposed to tobacco smoke in </w:t>
      </w:r>
      <w:r w:rsidRPr="00A428C3">
        <w:lastRenderedPageBreak/>
        <w:t>the home were higher than those for air pollution in both 1989</w:t>
      </w:r>
      <w:r w:rsidR="00F81221">
        <w:t xml:space="preserve"> and </w:t>
      </w:r>
      <w:r w:rsidRPr="00A428C3">
        <w:t>1990</w:t>
      </w:r>
      <w:r w:rsidR="00F81221">
        <w:t xml:space="preserve"> and </w:t>
      </w:r>
      <w:r w:rsidRPr="00A428C3">
        <w:t>remained unchanged in 1991. Conclusions. Air quality can be improved by fuel controls but an effective intersectoral approach is required if other risks from environmental tobacco smoke are to be avoided.</w:t>
      </w:r>
    </w:p>
    <w:p w:rsidR="00B95188" w:rsidRPr="00A428C3" w:rsidRDefault="00B95188" w:rsidP="00B95188">
      <w:pPr>
        <w:pStyle w:val="a0"/>
      </w:pPr>
      <w:r w:rsidRPr="00A428C3">
        <w:t>? Rahlenbeck, S.I.</w:t>
      </w:r>
      <w:r w:rsidR="00F81221">
        <w:t xml:space="preserve"> and </w:t>
      </w:r>
      <w:r w:rsidRPr="00A428C3">
        <w:t>Kahl, H. (1996), Air pollution</w:t>
      </w:r>
      <w:r w:rsidR="00F81221">
        <w:t xml:space="preserve"> and </w:t>
      </w:r>
      <w:r w:rsidRPr="00A428C3">
        <w:t xml:space="preserve">mortality in East-Berlin during the winters of 1981-1989. </w:t>
      </w:r>
      <w:r w:rsidRPr="00A428C3">
        <w:rPr>
          <w:i/>
        </w:rPr>
        <w:t>International Journal of Epidemiology</w:t>
      </w:r>
      <w:r w:rsidRPr="00A428C3">
        <w:t xml:space="preserve">, </w:t>
      </w:r>
      <w:r w:rsidRPr="00A428C3">
        <w:rPr>
          <w:b/>
        </w:rPr>
        <w:t>25</w:t>
      </w:r>
      <w:r w:rsidR="008F4E6C">
        <w:rPr>
          <w:rFonts w:hint="eastAsia"/>
        </w:rPr>
        <w:t xml:space="preserve"> (6),</w:t>
      </w:r>
      <w:r w:rsidRPr="00A428C3">
        <w:t xml:space="preserve"> 1220-1226.</w:t>
      </w:r>
    </w:p>
    <w:p w:rsidR="00B95188" w:rsidRPr="00A428C3" w:rsidRDefault="00B95188" w:rsidP="00B95188">
      <w:pPr>
        <w:pStyle w:val="a0"/>
      </w:pPr>
      <w:r w:rsidRPr="00A428C3">
        <w:t xml:space="preserve">Full Text: </w:t>
      </w:r>
      <w:hyperlink r:id="rId1884" w:history="1">
        <w:r w:rsidR="008F4E6C" w:rsidRPr="008F4E6C">
          <w:rPr>
            <w:rStyle w:val="a5"/>
          </w:rPr>
          <w:t>1996\Int J Epi25, 1220.pdf</w:t>
        </w:r>
      </w:hyperlink>
    </w:p>
    <w:p w:rsidR="00B95188" w:rsidRPr="00A428C3" w:rsidRDefault="00B95188" w:rsidP="00B95188">
      <w:pPr>
        <w:pStyle w:val="a0"/>
      </w:pPr>
      <w:r w:rsidRPr="00A428C3">
        <w:t>Abstract: Background. The relationship between air pollution</w:t>
      </w:r>
      <w:r w:rsidR="00F81221">
        <w:t xml:space="preserve"> and </w:t>
      </w:r>
      <w:r w:rsidRPr="00A428C3">
        <w:t xml:space="preserve">mortality in </w:t>
      </w:r>
      <w:smartTag w:uri="urn:schemas-microsoft-com:office:smarttags" w:element="place">
        <w:r w:rsidRPr="00A428C3">
          <w:t>East Berlin</w:t>
        </w:r>
      </w:smartTag>
      <w:r w:rsidRPr="00A428C3">
        <w:t xml:space="preserve"> was examined for the winters of 1981-1989. Methods. Regression analysis included daily mean levels of sulphur dioxide (SO</w:t>
      </w:r>
      <w:r w:rsidRPr="00A428C3">
        <w:rPr>
          <w:vertAlign w:val="subscript"/>
        </w:rPr>
        <w:t>2</w:t>
      </w:r>
      <w:r w:rsidRPr="00A428C3">
        <w:t>)</w:t>
      </w:r>
      <w:r w:rsidR="00F81221">
        <w:t xml:space="preserve"> and </w:t>
      </w:r>
      <w:r w:rsidRPr="00A428C3">
        <w:t>suspended particulates (SP)</w:t>
      </w:r>
      <w:r w:rsidR="00F81221">
        <w:t xml:space="preserve"> and </w:t>
      </w:r>
      <w:r w:rsidRPr="00A428C3">
        <w:t>was controlled for temperature, humidity, week-day, month</w:t>
      </w:r>
      <w:r w:rsidR="00F81221">
        <w:t xml:space="preserve"> and </w:t>
      </w:r>
      <w:r w:rsidRPr="00A428C3">
        <w:t>year. Moving averages of previous pollution were also used. Results. Each pollutant was a significant contributor to excess mortality. The strongest association was found for mortality lagged for 2 days, which depended significantly on the level of SP (beta for In SP = 0.876: P = 0.008)</w:t>
      </w:r>
      <w:r w:rsidR="00F81221">
        <w:t xml:space="preserve"> and </w:t>
      </w:r>
      <w:r w:rsidRPr="00A428C3">
        <w:t>SO</w:t>
      </w:r>
      <w:r w:rsidRPr="00A428C3">
        <w:rPr>
          <w:vertAlign w:val="subscript"/>
        </w:rPr>
        <w:t>2</w:t>
      </w:r>
      <w:r w:rsidRPr="00A428C3">
        <w:t xml:space="preserve"> (beta for In SO</w:t>
      </w:r>
      <w:r w:rsidRPr="00A428C3">
        <w:rPr>
          <w:vertAlign w:val="subscript"/>
        </w:rPr>
        <w:t>2</w:t>
      </w:r>
      <w:r w:rsidRPr="00A428C3">
        <w:t xml:space="preserve"> = 0.635: P = 0.012), when regressed separately, When omitting days with pollutant concentrations above 150 µg m</w:t>
      </w:r>
      <w:r w:rsidRPr="00A428C3">
        <w:rPr>
          <w:vertAlign w:val="superscript"/>
        </w:rPr>
        <w:t>-3</w:t>
      </w:r>
      <w:r w:rsidRPr="00A428C3">
        <w:t>, the pollutant-mortality relationship was linear</w:t>
      </w:r>
      <w:r w:rsidR="00F81221">
        <w:t xml:space="preserve"> and </w:t>
      </w:r>
      <w:r w:rsidRPr="00A428C3">
        <w:t>a 100 µg m</w:t>
      </w:r>
      <w:r w:rsidRPr="00A428C3">
        <w:rPr>
          <w:vertAlign w:val="superscript"/>
        </w:rPr>
        <w:t>-3</w:t>
      </w:r>
      <w:r w:rsidRPr="00A428C3">
        <w:t xml:space="preserve"> increase was associated with a 6.1% (SP)</w:t>
      </w:r>
      <w:r w:rsidR="00F81221">
        <w:t xml:space="preserve"> and </w:t>
      </w:r>
      <w:r w:rsidRPr="00A428C3">
        <w:t>4.5% (SO</w:t>
      </w:r>
      <w:r w:rsidRPr="00A428C3">
        <w:rPr>
          <w:vertAlign w:val="subscript"/>
        </w:rPr>
        <w:t>2</w:t>
      </w:r>
      <w:r w:rsidRPr="00A428C3">
        <w:t>) mortality increase 2 days later, when pollutants were considered separately; this was reduced to 4.6% (SP)</w:t>
      </w:r>
      <w:r w:rsidR="00F81221">
        <w:t xml:space="preserve"> and </w:t>
      </w:r>
      <w:r w:rsidRPr="00A428C3">
        <w:t>2.8% (SO</w:t>
      </w:r>
      <w:r w:rsidRPr="00A428C3">
        <w:rPr>
          <w:vertAlign w:val="subscript"/>
        </w:rPr>
        <w:t>2</w:t>
      </w:r>
      <w:r w:rsidRPr="00A428C3">
        <w:t>) increase, when both were considered simultaneously. Conclusions, The results show that short-term associations between air pollutants</w:t>
      </w:r>
      <w:r w:rsidR="00F81221">
        <w:t xml:space="preserve"> and </w:t>
      </w:r>
      <w:r w:rsidRPr="00A428C3">
        <w:t xml:space="preserve">mortality in </w:t>
      </w:r>
      <w:smartTag w:uri="urn:schemas-microsoft-com:office:smarttags" w:element="place">
        <w:r w:rsidRPr="00A428C3">
          <w:t>East Berlin</w:t>
        </w:r>
      </w:smartTag>
      <w:r w:rsidRPr="00A428C3">
        <w:t xml:space="preserve"> did exist during the winters 1981-1989. Since the coefficients for SP</w:t>
      </w:r>
      <w:r w:rsidR="00F81221">
        <w:t xml:space="preserve"> and </w:t>
      </w:r>
      <w:r w:rsidRPr="00A428C3">
        <w:t>SO</w:t>
      </w:r>
      <w:r w:rsidRPr="00A428C3">
        <w:rPr>
          <w:vertAlign w:val="subscript"/>
        </w:rPr>
        <w:t>2</w:t>
      </w:r>
      <w:r w:rsidRPr="00A428C3">
        <w:t xml:space="preserve"> dropped when controlling for the other pollutant species, a similar strength of association with mortality for both pollutants was found.</w:t>
      </w:r>
    </w:p>
    <w:p w:rsidR="00B95188" w:rsidRPr="00A428C3" w:rsidRDefault="00B95188" w:rsidP="00B95188">
      <w:pPr>
        <w:pStyle w:val="a0"/>
      </w:pPr>
      <w:r w:rsidRPr="00A428C3">
        <w:t>Charloux, A., Quoix, E., Wolkove, N., Small, D., Pauli, G.</w:t>
      </w:r>
      <w:r w:rsidR="00F81221">
        <w:t xml:space="preserve"> and </w:t>
      </w:r>
      <w:r w:rsidRPr="00A428C3">
        <w:t xml:space="preserve">Kreisman, H. (1997), The increasing incidence of lung adenocarcinoma-Reality or Artifact: A review of the epidemiology of lung adenocarcinoma. </w:t>
      </w:r>
      <w:r w:rsidRPr="00A428C3">
        <w:rPr>
          <w:i/>
        </w:rPr>
        <w:t>International Journal of Epidemiology</w:t>
      </w:r>
      <w:r w:rsidRPr="00A428C3">
        <w:t xml:space="preserve">, </w:t>
      </w:r>
      <w:r w:rsidRPr="00A428C3">
        <w:rPr>
          <w:b/>
        </w:rPr>
        <w:t>26</w:t>
      </w:r>
      <w:r w:rsidRPr="00A428C3">
        <w:t>, 14-23.</w:t>
      </w:r>
    </w:p>
    <w:p w:rsidR="00B95188" w:rsidRPr="00A428C3" w:rsidRDefault="00B95188" w:rsidP="00B95188">
      <w:pPr>
        <w:pStyle w:val="a0"/>
      </w:pPr>
      <w:r w:rsidRPr="00A428C3">
        <w:t xml:space="preserve">Full Text: </w:t>
      </w:r>
      <w:hyperlink r:id="rId1885" w:history="1">
        <w:r w:rsidRPr="00A428C3">
          <w:rPr>
            <w:rStyle w:val="a5"/>
          </w:rPr>
          <w:t>I\Int J Epi26, 14.pdf</w:t>
        </w:r>
      </w:hyperlink>
    </w:p>
    <w:p w:rsidR="00B95188" w:rsidRPr="00A428C3" w:rsidRDefault="00B95188" w:rsidP="00B95188">
      <w:pPr>
        <w:pStyle w:val="a0"/>
      </w:pPr>
      <w:r w:rsidRPr="00A428C3">
        <w:t>Abstract: Lung adenocarcinoma is the most common cell type in females (smokers or non-smokers)</w:t>
      </w:r>
      <w:r w:rsidR="00F81221">
        <w:t xml:space="preserve"> and </w:t>
      </w:r>
      <w:r w:rsidRPr="00A428C3">
        <w:t>in non-smoking males. Its incidence has been increasing in younger cohorts of males</w:t>
      </w:r>
      <w:r w:rsidR="00F81221">
        <w:t xml:space="preserve"> and </w:t>
      </w:r>
      <w:r w:rsidRPr="00A428C3">
        <w:t>females until very recent years. Changes in classification</w:t>
      </w:r>
      <w:r w:rsidR="00F81221">
        <w:t xml:space="preserve"> and </w:t>
      </w:r>
      <w:r w:rsidRPr="00A428C3">
        <w:t>in pathological techniques account for some of this increase. In females</w:t>
      </w:r>
      <w:r w:rsidR="00F81221">
        <w:t xml:space="preserve"> and </w:t>
      </w:r>
      <w:r w:rsidRPr="00A428C3">
        <w:t>non-smoker males, the increase could be partly due to a detection bias in former studies. Nevertheless, successive cohorts over time seem more likely to develop adenocarcinoma</w:t>
      </w:r>
      <w:r w:rsidR="00F81221">
        <w:t xml:space="preserve"> and </w:t>
      </w:r>
      <w:r w:rsidRPr="00A428C3">
        <w:t xml:space="preserve">less likely to develop squamous cell carcinoma. These differences between birth cohorts suggest that the increasing incidence of adenocarcinoma is not only due to changes in pathological diagnosis. Geographical </w:t>
      </w:r>
      <w:r w:rsidRPr="00A428C3">
        <w:lastRenderedPageBreak/>
        <w:t>differences are also observed: in Europe, the squamous cell type still predominates</w:t>
      </w:r>
      <w:r w:rsidR="00F81221">
        <w:t xml:space="preserve"> and </w:t>
      </w:r>
      <w:r w:rsidRPr="00A428C3">
        <w:t xml:space="preserve">an increase in incidence of adenocarcinoma has only been reported in the </w:t>
      </w:r>
      <w:smartTag w:uri="urn:schemas-microsoft-com:office:smarttags" w:element="place">
        <w:smartTag w:uri="urn:schemas-microsoft-com:office:smarttags" w:element="country-region">
          <w:r w:rsidRPr="00A428C3">
            <w:t>Netherlands</w:t>
          </w:r>
        </w:smartTag>
      </w:smartTag>
      <w:r w:rsidRPr="00A428C3">
        <w:t>. In Asia, in the 1960s</w:t>
      </w:r>
      <w:r w:rsidR="00F81221">
        <w:t xml:space="preserve"> and </w:t>
      </w:r>
      <w:r w:rsidRPr="00A428C3">
        <w:t>1970s, the proportion of adenocarcinoma was higher than in North America or Europe</w:t>
      </w:r>
      <w:r w:rsidR="00F81221">
        <w:t xml:space="preserve"> and </w:t>
      </w:r>
      <w:r w:rsidRPr="00A428C3">
        <w:t>seems to be increasing, To what extent these differences are due to differences in establishing diagnosis remains unknown. Despite these biases in temporal</w:t>
      </w:r>
      <w:r w:rsidR="00F81221">
        <w:t xml:space="preserve"> and </w:t>
      </w:r>
      <w:r w:rsidRPr="00A428C3">
        <w:t>geographical trends detailed in this review, there has probably been a true increase in incidence of adenocarcinoma. An explanation for this should be sought in studies on detailed smoking history</w:t>
      </w:r>
      <w:r w:rsidR="00F81221">
        <w:t xml:space="preserve"> and </w:t>
      </w:r>
      <w:r w:rsidRPr="00A428C3">
        <w:t>passive smoking exposure, occupational exposure, diet</w:t>
      </w:r>
      <w:r w:rsidR="00F81221">
        <w:t xml:space="preserve"> and </w:t>
      </w:r>
      <w:r w:rsidRPr="00A428C3">
        <w:t>cooking, pollution</w:t>
      </w:r>
      <w:r w:rsidR="00F81221">
        <w:t xml:space="preserve"> and </w:t>
      </w:r>
      <w:r w:rsidRPr="00A428C3">
        <w:t>other environmental factors.</w:t>
      </w:r>
    </w:p>
    <w:p w:rsidR="00B95188" w:rsidRPr="00A428C3" w:rsidRDefault="00B95188" w:rsidP="00B95188">
      <w:pPr>
        <w:pStyle w:val="a0"/>
      </w:pPr>
      <w:r w:rsidRPr="00A428C3">
        <w:t>Ko, Y.C., Lee, C.H., Chen, M.J., Huang, C.C., Chang, W.Y., Lin, H.J., Wang, H.Z.</w:t>
      </w:r>
      <w:r w:rsidR="00F81221">
        <w:t xml:space="preserve"> and </w:t>
      </w:r>
      <w:r w:rsidRPr="00A428C3">
        <w:t xml:space="preserve">Chang, P.Y. (1997), Risk factors for primary lung cancer among non-smoking women in </w:t>
      </w:r>
      <w:smartTag w:uri="urn:schemas-microsoft-com:office:smarttags" w:element="place">
        <w:smartTag w:uri="urn:schemas-microsoft-com:office:smarttags" w:element="country-region">
          <w:r w:rsidRPr="00A428C3">
            <w:t>Taiwan</w:t>
          </w:r>
        </w:smartTag>
      </w:smartTag>
      <w:r w:rsidRPr="00A428C3">
        <w:t xml:space="preserve">. </w:t>
      </w:r>
      <w:r w:rsidRPr="00A428C3">
        <w:rPr>
          <w:i/>
        </w:rPr>
        <w:t>International Journal of Epidemiology</w:t>
      </w:r>
      <w:r w:rsidRPr="00A428C3">
        <w:t xml:space="preserve">, </w:t>
      </w:r>
      <w:r w:rsidRPr="00A428C3">
        <w:rPr>
          <w:b/>
        </w:rPr>
        <w:t>26</w:t>
      </w:r>
      <w:r w:rsidRPr="00A428C3">
        <w:t xml:space="preserve"> (1), 24-31.</w:t>
      </w:r>
    </w:p>
    <w:p w:rsidR="00B95188" w:rsidRPr="00A428C3" w:rsidRDefault="00B95188" w:rsidP="00B95188">
      <w:pPr>
        <w:pStyle w:val="a0"/>
      </w:pPr>
      <w:r w:rsidRPr="00A428C3">
        <w:t xml:space="preserve">Full Text: </w:t>
      </w:r>
      <w:hyperlink r:id="rId1886" w:history="1">
        <w:r w:rsidRPr="00A428C3">
          <w:rPr>
            <w:rStyle w:val="a5"/>
          </w:rPr>
          <w:t>I\Int J Epi26, 24.pdf</w:t>
        </w:r>
      </w:hyperlink>
    </w:p>
    <w:p w:rsidR="00B95188" w:rsidRPr="00A428C3" w:rsidRDefault="00B95188" w:rsidP="00B95188">
      <w:pPr>
        <w:pStyle w:val="a0"/>
      </w:pPr>
      <w:r w:rsidRPr="00A428C3">
        <w:t>Abstract: Background. Although cigarette smoking is considered to be the mast important cause of lung cancer, smoking behaviour cannot fully explain the epidemiological characteristics of lung cancer in Taiwanese women, who rarely smoke but contract lung cancer relatively often, There are other causes of lung cancer that have produced variability in lung cancer incidence. Methods. A case-control study involving interviews with 117 female patients (including 106 non-smoking) suffering from lung cancer</w:t>
      </w:r>
      <w:r w:rsidR="00F81221">
        <w:t xml:space="preserve"> and </w:t>
      </w:r>
      <w:r w:rsidRPr="00A428C3">
        <w:t xml:space="preserve">the same number of individually matched hospital controls was conducted in </w:t>
      </w:r>
      <w:smartTag w:uri="urn:schemas-microsoft-com:office:smarttags" w:element="place">
        <w:smartTag w:uri="urn:schemas-microsoft-com:office:smarttags" w:element="City">
          <w:r w:rsidRPr="00A428C3">
            <w:t>Kaohsiung</w:t>
          </w:r>
        </w:smartTag>
        <w:r w:rsidRPr="00A428C3">
          <w:t xml:space="preserve">, </w:t>
        </w:r>
        <w:smartTag w:uri="urn:schemas-microsoft-com:office:smarttags" w:element="country-region">
          <w:r w:rsidRPr="00A428C3">
            <w:t>Taiwan</w:t>
          </w:r>
        </w:smartTag>
      </w:smartTag>
      <w:r w:rsidRPr="00A428C3">
        <w:t xml:space="preserve"> between 1992</w:t>
      </w:r>
      <w:r w:rsidR="00F81221">
        <w:t xml:space="preserve"> and </w:t>
      </w:r>
      <w:r w:rsidRPr="00A428C3">
        <w:t>1993. The questionnaire administered to cases</w:t>
      </w:r>
      <w:r w:rsidR="00F81221">
        <w:t xml:space="preserve"> and </w:t>
      </w:r>
      <w:r w:rsidRPr="00A428C3">
        <w:t>controls collected information on cigarette smoking</w:t>
      </w:r>
      <w:r w:rsidR="00F81221">
        <w:t xml:space="preserve"> and </w:t>
      </w:r>
      <w:r w:rsidRPr="00A428C3">
        <w:t>suspected risk factors for lung cancer. Multivariate logistic regression analysis was applied to assess smoking for all women</w:t>
      </w:r>
      <w:r w:rsidR="00F81221">
        <w:t xml:space="preserve"> and </w:t>
      </w:r>
      <w:r w:rsidRPr="00A428C3">
        <w:t>suspected risk factor; for non-smoking women. Results, The relationship between cigarette smoking</w:t>
      </w:r>
      <w:r w:rsidR="00F81221">
        <w:t xml:space="preserve"> and </w:t>
      </w:r>
      <w:r w:rsidRPr="00A428C3">
        <w:t>lung cancer was statistically significant although only a small proportion (9.4%) of female patients had smoked. However, the risk of contracting cancer for non-smoking women appears to be associated with certain cooking practices, especially preparing meals in kitchens not equipped with a fume extractor at cooking age of 20-40 years (odds ratio [OR] = 8.3; 95% confidence interval [CI]: 3.1-22.7. These factors</w:t>
      </w:r>
      <w:r w:rsidR="00F81221">
        <w:t xml:space="preserve"> and </w:t>
      </w:r>
      <w:r w:rsidRPr="00A428C3">
        <w:t>a history of pulmonary tuberculosis plus low consumption of fresh vegetables explained 78% of the summary attributable risks for non-smoking women in a multivariate logistic regression model, Conclusions. Exposure to fumes from cooking oils, when not reduced by an extractor, may be an important factor in causing lung cancer in non-smoking Taiwanese women.</w:t>
      </w:r>
    </w:p>
    <w:p w:rsidR="00B95188" w:rsidRPr="00A428C3" w:rsidRDefault="00B95188" w:rsidP="00B95188">
      <w:pPr>
        <w:pStyle w:val="a0"/>
      </w:pPr>
      <w:r w:rsidRPr="00A428C3">
        <w:t>van Asperen, I.A., Medema, G., Borgdorff, M.W., Sprenger, M.J.</w:t>
      </w:r>
      <w:r w:rsidR="00F81221">
        <w:t xml:space="preserve"> and </w:t>
      </w:r>
      <w:r w:rsidRPr="00A428C3">
        <w:t xml:space="preserve">Havelaar, A.H. (1998), Risk of gastroenteritis among triathletes in relation to faecal pollution of fresh waters. </w:t>
      </w:r>
      <w:r w:rsidRPr="00A428C3">
        <w:rPr>
          <w:i/>
        </w:rPr>
        <w:t>International Journal of Epidemiology</w:t>
      </w:r>
      <w:r w:rsidRPr="00A428C3">
        <w:t xml:space="preserve">, </w:t>
      </w:r>
      <w:r w:rsidRPr="00A428C3">
        <w:rPr>
          <w:b/>
        </w:rPr>
        <w:t>27</w:t>
      </w:r>
      <w:r w:rsidRPr="00A428C3">
        <w:t xml:space="preserve"> (2), 309-315.</w:t>
      </w:r>
    </w:p>
    <w:p w:rsidR="00B95188" w:rsidRPr="00A428C3" w:rsidRDefault="00B95188" w:rsidP="00B95188">
      <w:pPr>
        <w:pStyle w:val="a0"/>
      </w:pPr>
      <w:r w:rsidRPr="00A428C3">
        <w:lastRenderedPageBreak/>
        <w:t xml:space="preserve">Full Text: </w:t>
      </w:r>
      <w:hyperlink r:id="rId1887" w:history="1">
        <w:r w:rsidRPr="00A428C3">
          <w:rPr>
            <w:rStyle w:val="a5"/>
          </w:rPr>
          <w:t>I\Int J Epi27, 307.pdf</w:t>
        </w:r>
      </w:hyperlink>
    </w:p>
    <w:p w:rsidR="00B95188" w:rsidRPr="00A428C3" w:rsidRDefault="00B95188" w:rsidP="00B95188">
      <w:pPr>
        <w:pStyle w:val="a0"/>
      </w:pPr>
      <w:r w:rsidRPr="00A428C3">
        <w:t>Abstract: BACKGROUND: We conducted a prospective cohort study among endurance athletes to investigate the effects of microbiological water quality on the risk of gastroenteritis after bathing in fresh waters that meet current water quality standards. We aimed to establish quantitative relationships, in order to evaluate current bathing water standards.</w:t>
      </w:r>
    </w:p>
    <w:p w:rsidR="00B95188" w:rsidRPr="00A428C3" w:rsidRDefault="00B95188" w:rsidP="00B95188">
      <w:pPr>
        <w:pStyle w:val="a0"/>
      </w:pPr>
      <w:r w:rsidRPr="00A428C3">
        <w:t>METHODS: The study was spread over two summers, during which 827 triathletes (swimmers) in seven Olympic distance triathlons</w:t>
      </w:r>
      <w:r w:rsidR="00F81221">
        <w:t xml:space="preserve"> and </w:t>
      </w:r>
      <w:r w:rsidRPr="00A428C3">
        <w:t>773 participants in 15 run-bike-runs (non-swimming controls) participated. Intensive water quality monitoring was used to assess exposure to faecal indicator organisms</w:t>
      </w:r>
      <w:r w:rsidR="00F81221">
        <w:t xml:space="preserve"> and </w:t>
      </w:r>
      <w:r w:rsidRPr="00A428C3">
        <w:t>detailed questionnaires were used to collect data on the occurrence of health complaints</w:t>
      </w:r>
      <w:r w:rsidR="00F81221">
        <w:t xml:space="preserve"> and </w:t>
      </w:r>
      <w:r w:rsidRPr="00A428C3">
        <w:t>potential confounding factors.</w:t>
      </w:r>
    </w:p>
    <w:p w:rsidR="00B95188" w:rsidRPr="00A428C3" w:rsidRDefault="00B95188" w:rsidP="00B95188">
      <w:pPr>
        <w:pStyle w:val="a0"/>
      </w:pPr>
      <w:r w:rsidRPr="00A428C3">
        <w:t>RESULTS: The microbiological water quality at the time of the triathlons met current Dutch</w:t>
      </w:r>
      <w:r w:rsidR="00F81221">
        <w:t xml:space="preserve"> and </w:t>
      </w:r>
      <w:r w:rsidRPr="00A428C3">
        <w:t>European bathing water standards. Dependent on the case definition studied, gastroenteritis developed in 0.4-5.2% of swimmers</w:t>
      </w:r>
      <w:r w:rsidR="00F81221">
        <w:t xml:space="preserve"> and </w:t>
      </w:r>
      <w:r w:rsidRPr="00A428C3">
        <w:t>0.1-2.1% of non-swimmers in the week following exposure (odds ratio [OR] = 1.6-2.3). Attack rates</w:t>
      </w:r>
      <w:r w:rsidR="00F81221">
        <w:t xml:space="preserve"> and </w:t>
      </w:r>
      <w:r w:rsidRPr="00A428C3">
        <w:t xml:space="preserve">burden of disease varied with the case definition used. Among swimmers, the attack rate of gastroenteritis was significantly increased when the geometric mean concentration of thermotolerant coliforms in the water at the time of exposure was &gt; or = 220/100 ml or the geometric mean concentration of </w:t>
      </w:r>
      <w:r w:rsidRPr="00A428C3">
        <w:rPr>
          <w:i/>
          <w:iCs/>
        </w:rPr>
        <w:t>Escherichia</w:t>
      </w:r>
      <w:r w:rsidRPr="00A428C3">
        <w:rPr>
          <w:i/>
        </w:rPr>
        <w:t xml:space="preserve"> coli</w:t>
      </w:r>
      <w:r w:rsidRPr="00A428C3">
        <w:t xml:space="preserve"> was &gt; or = 355/100 ml (OR comparing high versus low exposure 2.9-4.7 dependent on the case definition studied). Thermotolerant coliform concentrations at these triathlons ranged from 100/100 ml (the EU guide level) to 960/100 ml (the EU imperative level is 2000/100 ml). Below the threshold levels attack rates were comparable with attack rates among non-swimmers. A relation with other indicators of faecal pollution was not observed.</w:t>
      </w:r>
    </w:p>
    <w:p w:rsidR="00B95188" w:rsidRPr="00A428C3" w:rsidRDefault="00B95188" w:rsidP="00B95188">
      <w:pPr>
        <w:pStyle w:val="a0"/>
      </w:pPr>
      <w:r w:rsidRPr="00A428C3">
        <w:t>CONCLUSIONS: We observed that swimming in fresh waters that met the European imperative level for thermotolerant coliforms but failed the European guide level was associated with a significant risk of gastroenteritis among triathletes. This means that the current European imperative level for thermotolerant coliforms provides insufficient protection to gastrointestinal illness for those who are comparable with triathletes.</w:t>
      </w:r>
    </w:p>
    <w:p w:rsidR="00B95188" w:rsidRPr="00A428C3" w:rsidRDefault="00B95188" w:rsidP="00B95188">
      <w:pPr>
        <w:pStyle w:val="a0"/>
      </w:pPr>
      <w:r w:rsidRPr="00A428C3">
        <w:t>Hopenhayn Rich, C., Biggs, M.L.</w:t>
      </w:r>
      <w:r w:rsidR="00F81221">
        <w:t xml:space="preserve"> and </w:t>
      </w:r>
      <w:r w:rsidRPr="00A428C3">
        <w:t>Smith, A.H. (1998), Lung</w:t>
      </w:r>
      <w:r w:rsidR="00F81221">
        <w:t xml:space="preserve"> and </w:t>
      </w:r>
      <w:r w:rsidRPr="00A428C3">
        <w:t xml:space="preserve">kidney cancer mortality associated with arsenic in drinking water in </w:t>
      </w:r>
      <w:smartTag w:uri="urn:schemas-microsoft-com:office:smarttags" w:element="City">
        <w:r w:rsidRPr="00A428C3">
          <w:t>Cordoba</w:t>
        </w:r>
      </w:smartTag>
      <w:r w:rsidRPr="00A428C3">
        <w:t xml:space="preserve">, </w:t>
      </w:r>
      <w:smartTag w:uri="urn:schemas-microsoft-com:office:smarttags" w:element="place">
        <w:smartTag w:uri="urn:schemas-microsoft-com:office:smarttags" w:element="country-region">
          <w:r w:rsidRPr="00A428C3">
            <w:t>Argentina</w:t>
          </w:r>
        </w:smartTag>
      </w:smartTag>
      <w:r w:rsidRPr="00A428C3">
        <w:t xml:space="preserve">. </w:t>
      </w:r>
      <w:r w:rsidRPr="00A428C3">
        <w:rPr>
          <w:i/>
          <w:iCs/>
        </w:rPr>
        <w:t>International Journal of Epidemiology</w:t>
      </w:r>
      <w:r w:rsidRPr="00A428C3">
        <w:t xml:space="preserve">, </w:t>
      </w:r>
      <w:r w:rsidRPr="00A428C3">
        <w:rPr>
          <w:b/>
        </w:rPr>
        <w:t>27</w:t>
      </w:r>
      <w:r w:rsidRPr="00A428C3">
        <w:t xml:space="preserve"> (4), 561-569.</w:t>
      </w:r>
    </w:p>
    <w:p w:rsidR="00B95188" w:rsidRPr="00A428C3" w:rsidRDefault="00B95188" w:rsidP="00B95188">
      <w:pPr>
        <w:pStyle w:val="a0"/>
      </w:pPr>
      <w:r w:rsidRPr="00A428C3">
        <w:t xml:space="preserve">Full Text: </w:t>
      </w:r>
      <w:hyperlink r:id="rId1888" w:history="1">
        <w:r w:rsidRPr="00A428C3">
          <w:rPr>
            <w:rStyle w:val="a5"/>
          </w:rPr>
          <w:t>I\Int J Epi27, 561.pdf</w:t>
        </w:r>
      </w:hyperlink>
    </w:p>
    <w:p w:rsidR="00B95188" w:rsidRPr="00A428C3" w:rsidRDefault="00B95188" w:rsidP="00B95188">
      <w:pPr>
        <w:pStyle w:val="a0"/>
      </w:pPr>
      <w:r w:rsidRPr="00A428C3">
        <w:t xml:space="preserve">Abstract: Background Studies in </w:t>
      </w:r>
      <w:smartTag w:uri="urn:schemas-microsoft-com:office:smarttags" w:element="place">
        <w:smartTag w:uri="urn:schemas-microsoft-com:office:smarttags" w:element="country-region">
          <w:r w:rsidRPr="00A428C3">
            <w:t>Taiwan</w:t>
          </w:r>
        </w:smartTag>
      </w:smartTag>
      <w:r w:rsidRPr="00A428C3">
        <w:t xml:space="preserve"> have found dose-response relations between arsenic ingestion from drinking water</w:t>
      </w:r>
      <w:r w:rsidR="00F81221">
        <w:t xml:space="preserve"> and </w:t>
      </w:r>
      <w:r w:rsidRPr="00A428C3">
        <w:t>cancers of the skin, bladder, lung, kidney</w:t>
      </w:r>
      <w:r w:rsidR="00F81221">
        <w:t xml:space="preserve"> and </w:t>
      </w:r>
      <w:r w:rsidRPr="00A428C3">
        <w:t xml:space="preserve">liver. To investigate these associations in another population, we conducted a </w:t>
      </w:r>
      <w:r w:rsidRPr="00A428C3">
        <w:lastRenderedPageBreak/>
        <w:t xml:space="preserve">study in </w:t>
      </w:r>
      <w:smartTag w:uri="urn:schemas-microsoft-com:office:smarttags" w:element="place">
        <w:smartTag w:uri="urn:schemas-microsoft-com:office:smarttags" w:element="City">
          <w:r w:rsidRPr="00A428C3">
            <w:t>Cordoba</w:t>
          </w:r>
        </w:smartTag>
        <w:r w:rsidRPr="00A428C3">
          <w:t xml:space="preserve">, </w:t>
        </w:r>
        <w:smartTag w:uri="urn:schemas-microsoft-com:office:smarttags" w:element="country-region">
          <w:r w:rsidRPr="00A428C3">
            <w:t>Argentina</w:t>
          </w:r>
        </w:smartTag>
      </w:smartTag>
      <w:r w:rsidRPr="00A428C3">
        <w:t>, which has a well-documented history of arsenic exposure from drinking water.</w:t>
      </w:r>
    </w:p>
    <w:p w:rsidR="00B95188" w:rsidRPr="00A428C3" w:rsidRDefault="00B95188" w:rsidP="00B95188">
      <w:pPr>
        <w:pStyle w:val="a0"/>
      </w:pPr>
      <w:r w:rsidRPr="00A428C3">
        <w:t>Methods Mortality from lung, kidney, liver</w:t>
      </w:r>
      <w:r w:rsidR="00F81221">
        <w:t xml:space="preserve"> and </w:t>
      </w:r>
      <w:r w:rsidRPr="00A428C3">
        <w:t>skin cancers during the period 1986</w:t>
      </w:r>
      <w:smartTag w:uri="urn:schemas-microsoft-com:office:smarttags" w:element="chmetcnv">
        <w:smartTagPr>
          <w:attr w:name="UnitName" w:val="in"/>
          <w:attr w:name="SourceValue" w:val="1991"/>
          <w:attr w:name="HasSpace" w:val="True"/>
          <w:attr w:name="Negative" w:val="True"/>
          <w:attr w:name="NumberType" w:val="1"/>
          <w:attr w:name="TCSC" w:val="0"/>
        </w:smartTagPr>
        <w:r w:rsidRPr="00A428C3">
          <w:t>-1991 in</w:t>
        </w:r>
      </w:smartTag>
      <w:r w:rsidRPr="00A428C3">
        <w:t xml:space="preserve"> Cordoba</w:t>
      </w:r>
      <w:r w:rsidR="000352E7">
        <w:t>’</w:t>
      </w:r>
      <w:r w:rsidRPr="00A428C3">
        <w:t>s 26 counties was investigated, expanding the authors</w:t>
      </w:r>
      <w:r w:rsidR="000352E7">
        <w:t>’</w:t>
      </w:r>
      <w:r w:rsidRPr="00A428C3">
        <w:t xml:space="preserve"> previous analysis of bladder cancer in the province. Counties were grouped a priori into low, medium</w:t>
      </w:r>
      <w:r w:rsidR="00F81221">
        <w:t xml:space="preserve"> and </w:t>
      </w:r>
      <w:r w:rsidRPr="00A428C3">
        <w:t xml:space="preserve">high arsenic exposure categories based on available data. Standardized mortality ratios (SMR) were calculated using all of </w:t>
      </w:r>
      <w:smartTag w:uri="urn:schemas-microsoft-com:office:smarttags" w:element="place">
        <w:smartTag w:uri="urn:schemas-microsoft-com:office:smarttags" w:element="country-region">
          <w:r w:rsidRPr="00A428C3">
            <w:t>Argentina</w:t>
          </w:r>
        </w:smartTag>
      </w:smartTag>
      <w:r w:rsidRPr="00A428C3">
        <w:t xml:space="preserve"> as the reference population.</w:t>
      </w:r>
    </w:p>
    <w:p w:rsidR="00B95188" w:rsidRPr="00A428C3" w:rsidRDefault="00B95188" w:rsidP="00B95188">
      <w:pPr>
        <w:pStyle w:val="a0"/>
      </w:pPr>
      <w:r w:rsidRPr="00A428C3">
        <w:t>Results We found increasing trends for kidney</w:t>
      </w:r>
      <w:r w:rsidR="00F81221">
        <w:t xml:space="preserve"> and </w:t>
      </w:r>
      <w:r w:rsidRPr="00A428C3">
        <w:t>lung cancer mortality with arsenic exposure, with the following SMR, for men</w:t>
      </w:r>
      <w:r w:rsidR="00F81221">
        <w:t xml:space="preserve"> and </w:t>
      </w:r>
      <w:r w:rsidRPr="00A428C3">
        <w:t>women respectively: kidney cancer, 0.87, 1.33, 1.57</w:t>
      </w:r>
      <w:r w:rsidR="00F81221">
        <w:t xml:space="preserve"> and </w:t>
      </w:r>
      <w:r w:rsidRPr="00A428C3">
        <w:t>1.00, 1.36, 1.81; lung cancer, 0.92, 1.54, 1.77</w:t>
      </w:r>
      <w:r w:rsidR="00F81221">
        <w:t xml:space="preserve"> and </w:t>
      </w:r>
      <w:r w:rsidRPr="00A428C3">
        <w:t xml:space="preserve">1.24, 1.34, 2.16 (in all cases, P = </w:t>
      </w:r>
      <w:smartTag w:uri="urn:schemas-microsoft-com:office:smarttags" w:element="chmetcnv">
        <w:smartTagPr>
          <w:attr w:name="UnitName" w:val="in"/>
          <w:attr w:name="SourceValue" w:val="0.001"/>
          <w:attr w:name="HasSpace" w:val="True"/>
          <w:attr w:name="Negative" w:val="False"/>
          <w:attr w:name="NumberType" w:val="1"/>
          <w:attr w:name="TCSC" w:val="0"/>
        </w:smartTagPr>
        <w:r w:rsidRPr="00A428C3">
          <w:t>0.001 in</w:t>
        </w:r>
      </w:smartTag>
      <w:r w:rsidRPr="00A428C3">
        <w:t xml:space="preserve"> trend test), similar to the previously reported bladder cancer results (0.80, 1.28, 2.14 for men, 1.22, 1.39, 1.81 for women). There was a small positive trend for liver cancer but mortality was increased in all three exposure groups. Skin cancer mortality was elevated for women only in the high exposure group, while men showed a puzzling increase in mortality in the low exposure group.</w:t>
      </w:r>
    </w:p>
    <w:p w:rsidR="00B95188" w:rsidRPr="00A428C3" w:rsidRDefault="00B95188" w:rsidP="00B95188">
      <w:pPr>
        <w:pStyle w:val="a0"/>
      </w:pPr>
      <w:r w:rsidRPr="00A428C3">
        <w:t>Conclusions The results add to the evidence that arsenic ingestion increases the risk of lung</w:t>
      </w:r>
      <w:r w:rsidR="00F81221">
        <w:t xml:space="preserve"> and </w:t>
      </w:r>
      <w:r w:rsidRPr="00A428C3">
        <w:t>kidney cancers. In this study, the association between arsenic</w:t>
      </w:r>
      <w:r w:rsidR="00F81221">
        <w:t xml:space="preserve"> and </w:t>
      </w:r>
      <w:r w:rsidRPr="00A428C3">
        <w:t>mortality from liver</w:t>
      </w:r>
      <w:r w:rsidR="00F81221">
        <w:t xml:space="preserve"> and </w:t>
      </w:r>
      <w:r w:rsidRPr="00A428C3">
        <w:t>skin cancers was nor clear.</w:t>
      </w:r>
    </w:p>
    <w:p w:rsidR="00B95188" w:rsidRPr="00A428C3" w:rsidRDefault="00B95188" w:rsidP="00B95188">
      <w:pPr>
        <w:pStyle w:val="a0"/>
      </w:pPr>
      <w:r w:rsidRPr="00A428C3">
        <w:t xml:space="preserve">Keywords: </w:t>
      </w:r>
      <w:smartTag w:uri="urn:schemas-microsoft-com:office:smarttags" w:element="country-region">
        <w:r w:rsidRPr="00A428C3">
          <w:t>Argentina</w:t>
        </w:r>
      </w:smartTag>
      <w:r w:rsidRPr="00A428C3">
        <w:t xml:space="preserve">, Arsenic, Lung Neoplasm, Kidney Neoplasm, Water Pollutants, Environmental Epidemiology, Bladder-Cancer, Well Water, Malignant Neoplasms, Endemic Area, Contamination, Residents, Disease, </w:t>
      </w:r>
      <w:smartTag w:uri="urn:schemas-microsoft-com:office:smarttags" w:element="place">
        <w:smartTag w:uri="urn:schemas-microsoft-com:office:smarttags" w:element="City">
          <w:r w:rsidRPr="00A428C3">
            <w:t>Tobacco</w:t>
          </w:r>
        </w:smartTag>
        <w:r w:rsidRPr="00A428C3">
          <w:t xml:space="preserve">, </w:t>
        </w:r>
        <w:smartTag w:uri="urn:schemas-microsoft-com:office:smarttags" w:element="country-region">
          <w:r w:rsidRPr="00A428C3">
            <w:t>Taiwan</w:t>
          </w:r>
        </w:smartTag>
      </w:smartTag>
      <w:r w:rsidRPr="00A428C3">
        <w:t xml:space="preserve"> </w:t>
      </w:r>
    </w:p>
    <w:p w:rsidR="00B95188" w:rsidRPr="00A428C3" w:rsidRDefault="00B95188" w:rsidP="00735710">
      <w:pPr>
        <w:pStyle w:val="a0"/>
      </w:pPr>
      <w:r w:rsidRPr="00A428C3">
        <w:t>Fleisher, J., Kay, D., Wyer, M.</w:t>
      </w:r>
      <w:r w:rsidR="00F81221">
        <w:t xml:space="preserve"> and </w:t>
      </w:r>
      <w:r w:rsidRPr="00A428C3">
        <w:t xml:space="preserve">Godfree, A. (1998), Estimates of the severity of illnesses associated with bathing in marine recreational waters contaminated with domestic sewage. </w:t>
      </w:r>
      <w:r w:rsidRPr="00A428C3">
        <w:rPr>
          <w:i/>
        </w:rPr>
        <w:t>International Journal of Epidemiology</w:t>
      </w:r>
      <w:r w:rsidRPr="00A428C3">
        <w:t xml:space="preserve">, </w:t>
      </w:r>
      <w:r w:rsidRPr="00A428C3">
        <w:rPr>
          <w:b/>
        </w:rPr>
        <w:t>27</w:t>
      </w:r>
      <w:r w:rsidRPr="00A428C3">
        <w:t xml:space="preserve"> (4), 722-726.</w:t>
      </w:r>
    </w:p>
    <w:p w:rsidR="00B95188" w:rsidRPr="00A428C3" w:rsidRDefault="00B95188" w:rsidP="00B95188">
      <w:pPr>
        <w:pStyle w:val="a0"/>
      </w:pPr>
      <w:r w:rsidRPr="00A428C3">
        <w:t xml:space="preserve">Full Text: </w:t>
      </w:r>
      <w:hyperlink r:id="rId1889" w:history="1">
        <w:r w:rsidRPr="00A428C3">
          <w:rPr>
            <w:rStyle w:val="a5"/>
          </w:rPr>
          <w:t>I\Int J Epi27, 722.pdf</w:t>
        </w:r>
      </w:hyperlink>
    </w:p>
    <w:p w:rsidR="00B95188" w:rsidRPr="00A428C3" w:rsidRDefault="00B95188" w:rsidP="00B95188">
      <w:pPr>
        <w:pStyle w:val="a0"/>
        <w:rPr>
          <w:rFonts w:eastAsia="Arial Unicode MS"/>
        </w:rPr>
      </w:pPr>
      <w:r w:rsidRPr="00A428C3">
        <w:t xml:space="preserve">Abstract: Background During the summers of 1989-1992 we conducted four randomized intervention trials at four separate </w:t>
      </w:r>
      <w:smartTag w:uri="urn:schemas-microsoft-com:office:smarttags" w:element="place">
        <w:smartTag w:uri="urn:schemas-microsoft-com:office:smarttags" w:element="country-region">
          <w:r w:rsidRPr="00A428C3">
            <w:t>UK</w:t>
          </w:r>
        </w:smartTag>
      </w:smartTag>
      <w:r w:rsidRPr="00A428C3">
        <w:t xml:space="preserve"> bathing locations judged of acceptable quality under current USEPA</w:t>
      </w:r>
      <w:r w:rsidR="00F81221">
        <w:t xml:space="preserve"> and </w:t>
      </w:r>
      <w:r w:rsidRPr="00A428C3">
        <w:t>EU criteria. The results showed bathers to be at increased risk of gastroenteritis, acute febrile respiratory illness (ICD-9 461-466, 480), ear</w:t>
      </w:r>
      <w:r w:rsidR="00F81221">
        <w:t xml:space="preserve"> and </w:t>
      </w:r>
      <w:r w:rsidRPr="00A428C3">
        <w:t>eye infections relative to non-bathers. The pubic health significance of these findings has been questioned based upon the unproven assumption Chat these illnesses are minor in nature</w:t>
      </w:r>
      <w:r w:rsidR="00F81221">
        <w:t xml:space="preserve"> and </w:t>
      </w:r>
      <w:r w:rsidRPr="00A428C3">
        <w:t xml:space="preserve">thus of questionable public health significance. </w:t>
      </w:r>
    </w:p>
    <w:p w:rsidR="00B95188" w:rsidRPr="00A428C3" w:rsidRDefault="00B95188" w:rsidP="00B95188">
      <w:pPr>
        <w:pStyle w:val="a0"/>
      </w:pPr>
      <w:r w:rsidRPr="00A428C3">
        <w:t>Methods The severity of these illnesses or ailments in terms elf duration of illness, percentage of participants seeking medical treatment,</w:t>
      </w:r>
      <w:r w:rsidR="00F81221">
        <w:t xml:space="preserve"> and </w:t>
      </w:r>
      <w:r w:rsidRPr="00A428C3">
        <w:t>number of days of lost normal daily activity among study participants reporting specific illnesses or ailments were assessed. In addition the attributable proportion of illness among the exposed (bathers) was calculated for each illness or ailment.</w:t>
      </w:r>
    </w:p>
    <w:p w:rsidR="00B95188" w:rsidRPr="00A428C3" w:rsidRDefault="00B95188" w:rsidP="00B95188">
      <w:pPr>
        <w:pStyle w:val="a0"/>
      </w:pPr>
      <w:r w:rsidRPr="00A428C3">
        <w:lastRenderedPageBreak/>
        <w:t>Results Average duration of illness ranged from approximately 4 days 10 approximately 8 days depending on the specific illness reported. The percentage of study participants seeking medical treatment ranged from 4.2% to 22.2% while the percentage reporting the loss of at least one day of normal daily activity ranged from 7.0% to 25.9% depending on the illness reported. The overall percentage of each illness that can be directly attributable to exposure to marine waters contaminated with domestic sewage ranged from a low of 34.5% for gastroenteritis to a high of 65.8% for ear infections.</w:t>
      </w:r>
    </w:p>
    <w:p w:rsidR="00B95188" w:rsidRPr="00A428C3" w:rsidRDefault="00B95188" w:rsidP="00B95188">
      <w:pPr>
        <w:pStyle w:val="a0"/>
      </w:pPr>
      <w:r w:rsidRPr="00A428C3">
        <w:t>Conclusions To our knowledge, this is the first study to assess</w:t>
      </w:r>
      <w:r w:rsidR="00F81221">
        <w:t xml:space="preserve"> and </w:t>
      </w:r>
      <w:r w:rsidRPr="00A428C3">
        <w:t>report the severity of illnesses associated with bathing in recreational waters contaminated with domestic sewage. Illness associated with bathing in marine waters contaminated with domestic sewage can no longer be viewed as minor,</w:t>
      </w:r>
      <w:r w:rsidR="00F81221">
        <w:t xml:space="preserve"> and </w:t>
      </w:r>
      <w:r w:rsidRPr="00A428C3">
        <w:t>indeed can have a substantial impact on the public health.</w:t>
      </w:r>
    </w:p>
    <w:p w:rsidR="00B95188" w:rsidRPr="00A428C3" w:rsidRDefault="00B95188" w:rsidP="00B95188">
      <w:pPr>
        <w:pStyle w:val="a0"/>
      </w:pPr>
      <w:r w:rsidRPr="00A428C3">
        <w:t>Keywords: Recreational Water Quality, Indicators of Water Quality, Illness Severity, Microbiology, Sea-Water, Quality, Gastroenteritis, Pollution, Morbidity, Criteria, Exposure, Beaches, Bathers</w:t>
      </w:r>
    </w:p>
    <w:p w:rsidR="00B95188" w:rsidRPr="00A428C3" w:rsidRDefault="00B95188" w:rsidP="00B95188">
      <w:pPr>
        <w:pStyle w:val="a0"/>
      </w:pPr>
      <w:r w:rsidRPr="00A428C3">
        <w:t>? Mazumder, D.N.G., Haque, R., Ghosh, N., De, B.K., Santra, A., Chakraborty, D.</w:t>
      </w:r>
      <w:r w:rsidR="00F81221">
        <w:t xml:space="preserve"> and </w:t>
      </w:r>
      <w:r w:rsidRPr="00A428C3">
        <w:t>Smith, A.H.</w:t>
      </w:r>
      <w:r w:rsidRPr="00A428C3">
        <w:rPr>
          <w:bCs/>
        </w:rPr>
        <w:t xml:space="preserve"> (1998), </w:t>
      </w:r>
      <w:r w:rsidRPr="00A428C3">
        <w:t>Arsenic levels in drinking water</w:t>
      </w:r>
      <w:r w:rsidR="00F81221">
        <w:t xml:space="preserve"> and </w:t>
      </w:r>
      <w:r w:rsidRPr="00A428C3">
        <w:t xml:space="preserve">the prevalence of skin lesions in </w:t>
      </w:r>
      <w:smartTag w:uri="urn:schemas-microsoft-com:office:smarttags" w:element="place">
        <w:r w:rsidRPr="00A428C3">
          <w:t>West Bengal</w:t>
        </w:r>
      </w:smartTag>
      <w:r w:rsidRPr="00A428C3">
        <w:t xml:space="preserve">. </w:t>
      </w:r>
      <w:r w:rsidRPr="00A428C3">
        <w:rPr>
          <w:i/>
          <w:iCs/>
        </w:rPr>
        <w:t>International Journal of Epidemiology</w:t>
      </w:r>
      <w:r w:rsidRPr="00A428C3">
        <w:t xml:space="preserve">, </w:t>
      </w:r>
      <w:r w:rsidRPr="00A428C3">
        <w:rPr>
          <w:b/>
        </w:rPr>
        <w:t>27</w:t>
      </w:r>
      <w:r w:rsidRPr="00A428C3">
        <w:t xml:space="preserve"> (5), 871-877.</w:t>
      </w:r>
    </w:p>
    <w:p w:rsidR="00B95188" w:rsidRPr="00A428C3" w:rsidRDefault="00B95188" w:rsidP="00B95188">
      <w:pPr>
        <w:pStyle w:val="a0"/>
      </w:pPr>
      <w:r w:rsidRPr="00A428C3">
        <w:t xml:space="preserve">Full Text: </w:t>
      </w:r>
      <w:hyperlink r:id="rId1890" w:history="1">
        <w:r w:rsidRPr="00A428C3">
          <w:rPr>
            <w:rStyle w:val="a5"/>
          </w:rPr>
          <w:t>1998\Int J Epi27, 871.pdf</w:t>
        </w:r>
      </w:hyperlink>
    </w:p>
    <w:p w:rsidR="00B95188" w:rsidRPr="00A428C3" w:rsidRDefault="00B95188" w:rsidP="00B95188">
      <w:pPr>
        <w:pStyle w:val="a0"/>
      </w:pPr>
      <w:r w:rsidRPr="00A428C3">
        <w:t>Abstract: Background A cross-sectional survey was conducted between April 1995</w:t>
      </w:r>
      <w:r w:rsidR="00F81221">
        <w:t xml:space="preserve"> and </w:t>
      </w:r>
      <w:r w:rsidRPr="00A428C3">
        <w:t>March 1996 to investigate arsenic-associated skin lesions of keratosis</w:t>
      </w:r>
      <w:r w:rsidR="00F81221">
        <w:t xml:space="preserve"> and </w:t>
      </w:r>
      <w:r w:rsidRPr="00A428C3">
        <w:t>hyperpigmentation in West Bengal, India,</w:t>
      </w:r>
      <w:r w:rsidR="00F81221">
        <w:t xml:space="preserve"> and </w:t>
      </w:r>
      <w:r w:rsidRPr="00A428C3">
        <w:t>to determine their relationship to arsenic water levels. Methods In all, 7683 participants were examined</w:t>
      </w:r>
      <w:r w:rsidR="00F81221">
        <w:t xml:space="preserve"> and </w:t>
      </w:r>
      <w:r w:rsidRPr="00A428C3">
        <w:t>interviewed,</w:t>
      </w:r>
      <w:r w:rsidR="00F81221">
        <w:t xml:space="preserve"> and </w:t>
      </w:r>
      <w:r w:rsidRPr="00A428C3">
        <w:t xml:space="preserve">the arsenic levels in their drinking water measured. Results Although water concentrations ranged up to </w:t>
      </w:r>
      <w:smartTag w:uri="urn:schemas-microsoft-com:office:smarttags" w:element="chmetcnv">
        <w:smartTagPr>
          <w:attr w:name="TCSC" w:val="0"/>
          <w:attr w:name="NumberType" w:val="1"/>
          <w:attr w:name="Negative" w:val="False"/>
          <w:attr w:name="HasSpace" w:val="False"/>
          <w:attr w:name="SourceValue" w:val="3400"/>
          <w:attr w:name="UnitName" w:val="g"/>
        </w:smartTagPr>
        <w:r w:rsidRPr="00A428C3">
          <w:t xml:space="preserve">3400 </w:t>
        </w:r>
      </w:smartTag>
      <w:r w:rsidRPr="00A428C3">
        <w:sym w:font="Symbol" w:char="F06D"/>
      </w:r>
      <w:r w:rsidRPr="00A428C3">
        <w:t>g/l of arsenic, over 80% of participants were consuming water containing &lt;</w:t>
      </w:r>
      <w:smartTag w:uri="urn:schemas-microsoft-com:office:smarttags" w:element="chmetcnv">
        <w:smartTagPr>
          <w:attr w:name="TCSC" w:val="0"/>
          <w:attr w:name="NumberType" w:val="1"/>
          <w:attr w:name="Negative" w:val="False"/>
          <w:attr w:name="HasSpace" w:val="False"/>
          <w:attr w:name="SourceValue" w:val="500"/>
          <w:attr w:name="UnitName" w:val="g"/>
        </w:smartTagPr>
        <w:r w:rsidRPr="00A428C3">
          <w:t xml:space="preserve">500 </w:t>
        </w:r>
      </w:smartTag>
      <w:r w:rsidRPr="00A428C3">
        <w:sym w:font="Symbol" w:char="F06D"/>
      </w:r>
      <w:r w:rsidRPr="00A428C3">
        <w:t>g/l. The age-adjusted prevalence of keratosis was strongly related to water arsenic levels, rising from zero in the lowest exposure level (&lt;</w:t>
      </w:r>
      <w:smartTag w:uri="urn:schemas-microsoft-com:office:smarttags" w:element="chmetcnv">
        <w:smartTagPr>
          <w:attr w:name="TCSC" w:val="0"/>
          <w:attr w:name="NumberType" w:val="1"/>
          <w:attr w:name="Negative" w:val="False"/>
          <w:attr w:name="HasSpace" w:val="False"/>
          <w:attr w:name="SourceValue" w:val="50"/>
          <w:attr w:name="UnitName" w:val="g"/>
        </w:smartTagPr>
        <w:r w:rsidRPr="00A428C3">
          <w:t xml:space="preserve">50 </w:t>
        </w:r>
      </w:smartTag>
      <w:r w:rsidRPr="00A428C3">
        <w:sym w:font="Symbol" w:char="F06D"/>
      </w:r>
      <w:r w:rsidRPr="00A428C3">
        <w:t>g/l) to 8.3 per 100 for females drinking water containing &gt;</w:t>
      </w:r>
      <w:smartTag w:uri="urn:schemas-microsoft-com:office:smarttags" w:element="chmetcnv">
        <w:smartTagPr>
          <w:attr w:name="TCSC" w:val="0"/>
          <w:attr w:name="NumberType" w:val="1"/>
          <w:attr w:name="Negative" w:val="False"/>
          <w:attr w:name="HasSpace" w:val="False"/>
          <w:attr w:name="SourceValue" w:val="800"/>
          <w:attr w:name="UnitName" w:val="g"/>
        </w:smartTagPr>
        <w:r w:rsidRPr="00A428C3">
          <w:t xml:space="preserve">800 </w:t>
        </w:r>
      </w:smartTag>
      <w:r w:rsidRPr="00A428C3">
        <w:sym w:font="Symbol" w:char="F06D"/>
      </w:r>
      <w:r w:rsidRPr="00A428C3">
        <w:t>g/l,</w:t>
      </w:r>
      <w:r w:rsidR="00F81221">
        <w:t xml:space="preserve"> and </w:t>
      </w:r>
      <w:r w:rsidRPr="00A428C3">
        <w:t xml:space="preserve">increasing from 0.2 per </w:t>
      </w:r>
      <w:smartTag w:uri="urn:schemas-microsoft-com:office:smarttags" w:element="chmetcnv">
        <w:smartTagPr>
          <w:attr w:name="TCSC" w:val="0"/>
          <w:attr w:name="NumberType" w:val="1"/>
          <w:attr w:name="Negative" w:val="False"/>
          <w:attr w:name="HasSpace" w:val="True"/>
          <w:attr w:name="SourceValue" w:val="100"/>
          <w:attr w:name="UnitName" w:val="in"/>
        </w:smartTagPr>
        <w:r w:rsidRPr="00A428C3">
          <w:t>100 in</w:t>
        </w:r>
      </w:smartTag>
      <w:r w:rsidRPr="00A428C3">
        <w:t xml:space="preserve"> the lowest exposure category to 10.7 per 100 for males in the highest exposure level (greater than or equal to </w:t>
      </w:r>
      <w:smartTag w:uri="urn:schemas-microsoft-com:office:smarttags" w:element="chmetcnv">
        <w:smartTagPr>
          <w:attr w:name="TCSC" w:val="0"/>
          <w:attr w:name="NumberType" w:val="1"/>
          <w:attr w:name="Negative" w:val="False"/>
          <w:attr w:name="HasSpace" w:val="False"/>
          <w:attr w:name="SourceValue" w:val="800"/>
          <w:attr w:name="UnitName" w:val="g"/>
        </w:smartTagPr>
        <w:r w:rsidRPr="00A428C3">
          <w:t xml:space="preserve">800 </w:t>
        </w:r>
      </w:smartTag>
      <w:r w:rsidRPr="00A428C3">
        <w:sym w:font="Symbol" w:char="F06D"/>
      </w:r>
      <w:r w:rsidRPr="00A428C3">
        <w:t>g/l) However, 12 cases with keratosis (2 females</w:t>
      </w:r>
      <w:r w:rsidR="00F81221">
        <w:t xml:space="preserve"> and </w:t>
      </w:r>
      <w:r w:rsidRPr="00A428C3">
        <w:t>10 males) were drinking water containing &lt; 100 mu g/l of arsenic. Findings were similar for hyperpigmentation, with strong dose-response relationships. Among those with hyperpigmentation, 29 cases were exposed to drinking water containing &lt;</w:t>
      </w:r>
      <w:smartTag w:uri="urn:schemas-microsoft-com:office:smarttags" w:element="chmetcnv">
        <w:smartTagPr>
          <w:attr w:name="TCSC" w:val="0"/>
          <w:attr w:name="NumberType" w:val="1"/>
          <w:attr w:name="Negative" w:val="False"/>
          <w:attr w:name="HasSpace" w:val="False"/>
          <w:attr w:name="SourceValue" w:val="100"/>
          <w:attr w:name="UnitName" w:val="g"/>
        </w:smartTagPr>
        <w:r w:rsidRPr="00A428C3">
          <w:t xml:space="preserve">100 </w:t>
        </w:r>
      </w:smartTag>
      <w:r w:rsidRPr="00A428C3">
        <w:sym w:font="Symbol" w:char="F06D"/>
      </w:r>
      <w:r w:rsidRPr="00A428C3">
        <w:t>g/l. Calculation by dose per body weight showed that men had roughly two to three times the prevalence of both keratosis</w:t>
      </w:r>
      <w:r w:rsidR="00F81221">
        <w:t xml:space="preserve"> and </w:t>
      </w:r>
      <w:r w:rsidRPr="00A428C3">
        <w:t>hyperpigmentation compared to women apparently ingesting the same dose of arsenic from drinking water. Subjects who were below 80% of the standard body weight for their age</w:t>
      </w:r>
      <w:r w:rsidR="00F81221">
        <w:t xml:space="preserve"> and </w:t>
      </w:r>
      <w:r w:rsidRPr="00A428C3">
        <w:t xml:space="preserve">sex had a 1.6 fold </w:t>
      </w:r>
      <w:r w:rsidRPr="00A428C3">
        <w:lastRenderedPageBreak/>
        <w:t>increase in the prevalence of keratoses, suggesting that malnutrition may play a small role in increasing susceptibility. Conclusion The surprising finding of cases who had arsenic-associated skin lesions with apparently low exposure to arsenic in drinking water needs to be confirmed in studies with more detailed exposure assessment. Further research is also needed concerning susceptibility factors which might be present in the exposed population.</w:t>
      </w:r>
    </w:p>
    <w:p w:rsidR="00B95188" w:rsidRPr="00A428C3" w:rsidRDefault="00B95188" w:rsidP="00B95188">
      <w:pPr>
        <w:pStyle w:val="a0"/>
      </w:pPr>
      <w:r w:rsidRPr="00A428C3">
        <w:t>Keywords: Arsenic, Keratosis, Hyperpigmentation, India, Cross-Sectional Study, Drinking Water 6 Districts, Affected People, Tubewell Water, Ground-Water, Calamity, World, Contamination, Urine, Liver</w:t>
      </w:r>
    </w:p>
    <w:p w:rsidR="00B95188" w:rsidRPr="00A428C3" w:rsidRDefault="00B95188" w:rsidP="00B95188">
      <w:pPr>
        <w:pStyle w:val="a0"/>
      </w:pPr>
      <w:r w:rsidRPr="00A428C3">
        <w:t>Hijar, M., Chu, L.D.</w:t>
      </w:r>
      <w:r w:rsidR="00F81221">
        <w:t xml:space="preserve"> and </w:t>
      </w:r>
      <w:r w:rsidRPr="00A428C3">
        <w:t xml:space="preserve">Kraus, J.F. (2000), Cross-national comparison of injury mortality: </w:t>
      </w:r>
      <w:smartTag w:uri="urn:schemas-microsoft-com:office:smarttags" w:element="City">
        <w:r w:rsidRPr="00A428C3">
          <w:t>Los Angeles County</w:t>
        </w:r>
      </w:smartTag>
      <w:r w:rsidRPr="00A428C3">
        <w:t>, California</w:t>
      </w:r>
      <w:r w:rsidR="00F81221">
        <w:t xml:space="preserve"> and </w:t>
      </w:r>
      <w:r w:rsidRPr="00A428C3">
        <w:t xml:space="preserve">Mexico City, </w:t>
      </w:r>
      <w:smartTag w:uri="urn:schemas-microsoft-com:office:smarttags" w:element="country-region">
        <w:r w:rsidRPr="00A428C3">
          <w:t>Mexico</w:t>
        </w:r>
      </w:smartTag>
      <w:r w:rsidRPr="00A428C3">
        <w:t xml:space="preserve">. </w:t>
      </w:r>
      <w:r w:rsidRPr="00A428C3">
        <w:rPr>
          <w:i/>
          <w:iCs/>
        </w:rPr>
        <w:t>International Journal of Epidemiology</w:t>
      </w:r>
      <w:r w:rsidRPr="00A428C3">
        <w:t xml:space="preserve">, </w:t>
      </w:r>
      <w:r w:rsidRPr="00A428C3">
        <w:rPr>
          <w:b/>
        </w:rPr>
        <w:t>29</w:t>
      </w:r>
      <w:r w:rsidRPr="00A428C3">
        <w:t xml:space="preserve"> (4), 715-721.</w:t>
      </w:r>
    </w:p>
    <w:p w:rsidR="00B95188" w:rsidRPr="00A428C3" w:rsidRDefault="00B95188" w:rsidP="00B95188">
      <w:pPr>
        <w:pStyle w:val="a0"/>
      </w:pPr>
      <w:r w:rsidRPr="00A428C3">
        <w:t xml:space="preserve">Full Text: </w:t>
      </w:r>
      <w:hyperlink r:id="rId1891" w:history="1">
        <w:r w:rsidRPr="00A428C3">
          <w:rPr>
            <w:rStyle w:val="a5"/>
          </w:rPr>
          <w:t>I\Int J Epi29, 715.pdf</w:t>
        </w:r>
      </w:hyperlink>
    </w:p>
    <w:p w:rsidR="00B95188" w:rsidRPr="00A428C3" w:rsidRDefault="00B95188" w:rsidP="00B95188">
      <w:pPr>
        <w:pStyle w:val="a0"/>
      </w:pPr>
      <w:r w:rsidRPr="00A428C3">
        <w:t>Abstract: Background Cross-national comparisons of injury mortality can suggest possible causal explanations for injuries across different countries</w:t>
      </w:r>
      <w:r w:rsidR="00F81221">
        <w:t xml:space="preserve"> and </w:t>
      </w:r>
      <w:r w:rsidRPr="00A428C3">
        <w:t xml:space="preserve">cultures. This study identifies differences in injury mortality between </w:t>
      </w:r>
      <w:smartTag w:uri="urn:schemas-microsoft-com:office:smarttags" w:element="City">
        <w:r w:rsidRPr="00A428C3">
          <w:t>Los Angeles</w:t>
        </w:r>
      </w:smartTag>
      <w:r w:rsidRPr="00A428C3">
        <w:t xml:space="preserve"> (LA) County, California</w:t>
      </w:r>
      <w:r w:rsidR="00F81221">
        <w:t xml:space="preserve"> and </w:t>
      </w:r>
      <w:r w:rsidRPr="00A428C3">
        <w:t xml:space="preserve">Mexico City DF, </w:t>
      </w:r>
      <w:smartTag w:uri="urn:schemas-microsoft-com:office:smarttags" w:element="place">
        <w:smartTag w:uri="urn:schemas-microsoft-com:office:smarttags" w:element="country-region">
          <w:r w:rsidRPr="00A428C3">
            <w:t>Mexico</w:t>
          </w:r>
        </w:smartTag>
      </w:smartTag>
      <w:r w:rsidRPr="00A428C3">
        <w:t>.</w:t>
      </w:r>
    </w:p>
    <w:p w:rsidR="00B95188" w:rsidRPr="00A428C3" w:rsidRDefault="00B95188" w:rsidP="00B95188">
      <w:pPr>
        <w:pStyle w:val="a0"/>
      </w:pPr>
      <w:r w:rsidRPr="00A428C3">
        <w:t>Methods Using LA County</w:t>
      </w:r>
      <w:r w:rsidR="00F81221">
        <w:t xml:space="preserve"> and </w:t>
      </w:r>
      <w:r w:rsidRPr="00A428C3">
        <w:t>Mexico City death certificate data for 1994</w:t>
      </w:r>
      <w:r w:rsidR="00F81221">
        <w:t xml:space="preserve"> and </w:t>
      </w:r>
      <w:r w:rsidRPr="00A428C3">
        <w:t>1995, injury deaths were classified according to the International Classification of Diseases Ninth Revision-Clinical Modification external cause of injury codes. Crude, gender-,</w:t>
      </w:r>
      <w:r w:rsidR="00F81221">
        <w:t xml:space="preserve"> and </w:t>
      </w:r>
      <w:r w:rsidRPr="00A428C3">
        <w:t>age-adjusted annual fatality rates were calculated</w:t>
      </w:r>
      <w:r w:rsidR="00F81221">
        <w:t xml:space="preserve"> and </w:t>
      </w:r>
      <w:r w:rsidRPr="00A428C3">
        <w:t>comparisons were made between the two regions.</w:t>
      </w:r>
    </w:p>
    <w:p w:rsidR="00B95188" w:rsidRPr="00A428C3" w:rsidRDefault="00B95188" w:rsidP="00B95188">
      <w:pPr>
        <w:pStyle w:val="a0"/>
      </w:pPr>
      <w:r w:rsidRPr="00A428C3">
        <w:t>Results Overall</w:t>
      </w:r>
      <w:r w:rsidR="00F81221">
        <w:t xml:space="preserve"> and </w:t>
      </w:r>
      <w:r w:rsidRPr="00A428C3">
        <w:t xml:space="preserve">age-adjusted injury death rates were higher for </w:t>
      </w:r>
      <w:smartTag w:uri="urn:schemas-microsoft-com:office:smarttags" w:element="place">
        <w:smartTag w:uri="urn:schemas-microsoft-com:office:smarttags" w:element="City">
          <w:r w:rsidRPr="00A428C3">
            <w:t>Mexico City</w:t>
          </w:r>
        </w:smartTag>
      </w:smartTag>
      <w:r w:rsidRPr="00A428C3">
        <w:t xml:space="preserve"> than for </w:t>
      </w:r>
      <w:smartTag w:uri="urn:schemas-microsoft-com:office:smarttags" w:element="PersonName">
        <w:smartTagPr>
          <w:attr w:name="ProductID" w:val="LA County. Injury"/>
        </w:smartTagPr>
        <w:r w:rsidRPr="00A428C3">
          <w:t>LA County. Injury</w:t>
        </w:r>
      </w:smartTag>
      <w:r w:rsidRPr="00A428C3">
        <w:t xml:space="preserve"> death rates were found to be higher for young adults in LA County</w:t>
      </w:r>
      <w:r w:rsidR="00F81221">
        <w:t xml:space="preserve"> and </w:t>
      </w:r>
      <w:r w:rsidRPr="00A428C3">
        <w:t xml:space="preserve">for elderly residents of </w:t>
      </w:r>
      <w:smartTag w:uri="urn:schemas-microsoft-com:office:smarttags" w:element="place">
        <w:smartTag w:uri="urn:schemas-microsoft-com:office:smarttags" w:element="City">
          <w:r w:rsidRPr="00A428C3">
            <w:t>Mexico City</w:t>
          </w:r>
        </w:smartTag>
      </w:smartTag>
      <w:r w:rsidRPr="00A428C3">
        <w:t>. Death rates for motor vehicle crashes, falls,</w:t>
      </w:r>
      <w:r w:rsidR="00F81221">
        <w:t xml:space="preserve"> and </w:t>
      </w:r>
      <w:r w:rsidRPr="00A428C3">
        <w:t xml:space="preserve">undetermined causes were higher in </w:t>
      </w:r>
      <w:smartTag w:uri="urn:schemas-microsoft-com:office:smarttags" w:element="place">
        <w:smartTag w:uri="urn:schemas-microsoft-com:office:smarttags" w:element="City">
          <w:r w:rsidRPr="00A428C3">
            <w:t>Mexico City</w:t>
          </w:r>
        </w:smartTag>
      </w:smartTag>
      <w:r w:rsidRPr="00A428C3">
        <w:t>,</w:t>
      </w:r>
      <w:r w:rsidR="00F81221">
        <w:t xml:space="preserve"> and </w:t>
      </w:r>
      <w:r w:rsidRPr="00A428C3">
        <w:t>relatively high rates of poisoning, homicide,</w:t>
      </w:r>
      <w:r w:rsidR="00F81221">
        <w:t xml:space="preserve"> and </w:t>
      </w:r>
      <w:r w:rsidRPr="00A428C3">
        <w:t xml:space="preserve">suicide were found for </w:t>
      </w:r>
      <w:smartTag w:uri="urn:schemas-microsoft-com:office:smarttags" w:element="PersonName">
        <w:smartTagPr>
          <w:attr w:name="ProductID" w:val="LA County. Motor"/>
        </w:smartTagPr>
        <w:r w:rsidRPr="00A428C3">
          <w:t>LA County. Motor</w:t>
        </w:r>
      </w:smartTag>
      <w:r w:rsidRPr="00A428C3">
        <w:t xml:space="preserve"> vehicle crash</w:t>
      </w:r>
      <w:r w:rsidR="00F81221">
        <w:t xml:space="preserve"> and </w:t>
      </w:r>
      <w:r w:rsidRPr="00A428C3">
        <w:t xml:space="preserve">fall death rates in </w:t>
      </w:r>
      <w:smartTag w:uri="urn:schemas-microsoft-com:office:smarttags" w:element="place">
        <w:smartTag w:uri="urn:schemas-microsoft-com:office:smarttags" w:element="City">
          <w:r w:rsidRPr="00A428C3">
            <w:t>Mexico City</w:t>
          </w:r>
        </w:smartTag>
      </w:smartTag>
      <w:r w:rsidRPr="00A428C3">
        <w:t xml:space="preserve"> increased beginning at about age 55, while homicide death rates were dramatically higher among young adults in </w:t>
      </w:r>
      <w:smartTag w:uri="urn:schemas-microsoft-com:office:smarttags" w:element="PersonName">
        <w:smartTagPr>
          <w:attr w:name="ProductID" w:val="LA County. The"/>
        </w:smartTagPr>
        <w:r w:rsidRPr="00A428C3">
          <w:t>LA County. The</w:t>
        </w:r>
      </w:smartTag>
      <w:r w:rsidRPr="00A428C3">
        <w:t xml:space="preserve"> largest proportion of motor vehicle crash deaths was to motor vehicle occupants in LA County</w:t>
      </w:r>
      <w:r w:rsidR="00F81221">
        <w:t xml:space="preserve"> and </w:t>
      </w:r>
      <w:r w:rsidRPr="00A428C3">
        <w:t xml:space="preserve">to pedestrians in </w:t>
      </w:r>
      <w:smartTag w:uri="urn:schemas-microsoft-com:office:smarttags" w:element="place">
        <w:smartTag w:uri="urn:schemas-microsoft-com:office:smarttags" w:element="City">
          <w:r w:rsidRPr="00A428C3">
            <w:t>Mexico City</w:t>
          </w:r>
        </w:smartTag>
      </w:smartTag>
      <w:r w:rsidRPr="00A428C3">
        <w:t>.</w:t>
      </w:r>
    </w:p>
    <w:p w:rsidR="00B95188" w:rsidRPr="00A428C3" w:rsidRDefault="00B95188" w:rsidP="00B95188">
      <w:pPr>
        <w:pStyle w:val="a0"/>
      </w:pPr>
      <w:r w:rsidRPr="00A428C3">
        <w:t>Conclusions These findings illustrate the importance of primary injury prevention in countries having underdeveloped trauma care systems</w:t>
      </w:r>
      <w:r w:rsidR="00F81221">
        <w:t xml:space="preserve"> and </w:t>
      </w:r>
      <w:r w:rsidRPr="00A428C3">
        <w:t xml:space="preserve">should aid in setting priorities for future work. The high frequency of pedestrian fatalities in </w:t>
      </w:r>
      <w:smartTag w:uri="urn:schemas-microsoft-com:office:smarttags" w:element="place">
        <w:smartTag w:uri="urn:schemas-microsoft-com:office:smarttags" w:element="City">
          <w:r w:rsidRPr="00A428C3">
            <w:t>Mexico City</w:t>
          </w:r>
        </w:smartTag>
      </w:smartTag>
      <w:r w:rsidRPr="00A428C3">
        <w:t xml:space="preserve"> may be related to migration of rural populations, differing vehicle characteristics</w:t>
      </w:r>
      <w:r w:rsidR="00F81221">
        <w:t xml:space="preserve"> and </w:t>
      </w:r>
      <w:r w:rsidRPr="00A428C3">
        <w:t>traffic patterns,</w:t>
      </w:r>
      <w:r w:rsidR="00F81221">
        <w:t xml:space="preserve"> and </w:t>
      </w:r>
      <w:r w:rsidRPr="00A428C3">
        <w:t>lack of safety knowledge. Mexico City</w:t>
      </w:r>
      <w:r w:rsidR="000352E7">
        <w:t>’</w:t>
      </w:r>
      <w:r w:rsidRPr="00A428C3">
        <w:t>s higher rate of fall-related deaths may be due to concurrent morbidity from chronic conditions, high-risk environments,</w:t>
      </w:r>
      <w:r w:rsidR="00F81221">
        <w:t xml:space="preserve"> and </w:t>
      </w:r>
      <w:r w:rsidRPr="00A428C3">
        <w:t>delay in seeking medical treatment.</w:t>
      </w:r>
    </w:p>
    <w:p w:rsidR="00B95188" w:rsidRPr="00A428C3" w:rsidRDefault="00B95188" w:rsidP="00B95188">
      <w:pPr>
        <w:pStyle w:val="a0"/>
      </w:pPr>
      <w:r w:rsidRPr="00A428C3">
        <w:t xml:space="preserve">Keywords: Mortality, Injury Deaths, External Cause, Rates, United-States, </w:t>
      </w:r>
      <w:r w:rsidRPr="00A428C3">
        <w:lastRenderedPageBreak/>
        <w:t>New-Zealand</w:t>
      </w:r>
    </w:p>
    <w:p w:rsidR="00B95188" w:rsidRPr="00A428C3" w:rsidRDefault="00B95188" w:rsidP="00B95188">
      <w:pPr>
        <w:pStyle w:val="a0"/>
      </w:pPr>
      <w:r w:rsidRPr="00A428C3">
        <w:t>? Mazumder, D.N.G., Haque, R., Ghosh, N., De, B.K., Santra, A., Chakraborti, D.</w:t>
      </w:r>
      <w:r w:rsidR="00F81221">
        <w:t xml:space="preserve"> and </w:t>
      </w:r>
      <w:r w:rsidRPr="00A428C3">
        <w:t>Smith, A.H. (2000), Arsenic in drinking water</w:t>
      </w:r>
      <w:r w:rsidR="00F81221">
        <w:t xml:space="preserve"> and </w:t>
      </w:r>
      <w:r w:rsidRPr="00A428C3">
        <w:t xml:space="preserve">the prevalence of respiratory effects in West Bengal, India. </w:t>
      </w:r>
      <w:r w:rsidRPr="00A428C3">
        <w:rPr>
          <w:i/>
          <w:iCs/>
        </w:rPr>
        <w:t>International Journal of Epidemiology</w:t>
      </w:r>
      <w:r w:rsidRPr="00A428C3">
        <w:t xml:space="preserve">, </w:t>
      </w:r>
      <w:r w:rsidRPr="00A428C3">
        <w:rPr>
          <w:b/>
        </w:rPr>
        <w:t>29</w:t>
      </w:r>
      <w:r w:rsidRPr="00A428C3">
        <w:t xml:space="preserve"> (6), 1047-1052.</w:t>
      </w:r>
    </w:p>
    <w:p w:rsidR="00B95188" w:rsidRPr="00A428C3" w:rsidRDefault="00B95188" w:rsidP="00B95188">
      <w:pPr>
        <w:pStyle w:val="a0"/>
      </w:pPr>
      <w:r w:rsidRPr="00A428C3">
        <w:t xml:space="preserve">Full Text: </w:t>
      </w:r>
      <w:hyperlink r:id="rId1892" w:history="1">
        <w:r w:rsidRPr="00A428C3">
          <w:rPr>
            <w:rStyle w:val="a5"/>
          </w:rPr>
          <w:t>2000\Int J Epi29, 1047.pdf</w:t>
        </w:r>
      </w:hyperlink>
    </w:p>
    <w:p w:rsidR="00B95188" w:rsidRPr="00A428C3" w:rsidRDefault="00B95188" w:rsidP="00B95188">
      <w:pPr>
        <w:pStyle w:val="a0"/>
      </w:pPr>
      <w:r w:rsidRPr="00A428C3">
        <w:t>Abstract: Background A large population in West Bengal, India has been exposed to naturally occurring inorganic arsenic through their drinking water. A cross-sectional survey involving 7683 participants of all ages was conducted in an arsenic-affected region between April 1995</w:t>
      </w:r>
      <w:r w:rsidR="00F81221">
        <w:t xml:space="preserve"> and </w:t>
      </w:r>
      <w:r w:rsidRPr="00A428C3">
        <w:t>March 1996. The main focus of the study was skin keratoses</w:t>
      </w:r>
      <w:r w:rsidR="00F81221">
        <w:t xml:space="preserve"> and </w:t>
      </w:r>
      <w:r w:rsidRPr="00A428C3">
        <w:t>pigmentation alterations, two characteristic signs of ingested inorganic arsenic. Strong exposure-response gradients were found for these skin lesions. The study also collected limited information concerning respiratory system signs</w:t>
      </w:r>
      <w:r w:rsidR="00F81221">
        <w:t xml:space="preserve"> and </w:t>
      </w:r>
      <w:r w:rsidRPr="00A428C3">
        <w:t>symptoms, which we report here because increasing evidence suggests that arsenic ingestion also causes pulmonary effects.</w:t>
      </w:r>
    </w:p>
    <w:p w:rsidR="00B95188" w:rsidRPr="00A428C3" w:rsidRDefault="00B95188" w:rsidP="00B95188">
      <w:pPr>
        <w:pStyle w:val="a0"/>
      </w:pPr>
      <w:r w:rsidRPr="00A428C3">
        <w:t>Methods Participants were clinically examined</w:t>
      </w:r>
      <w:r w:rsidR="00F81221">
        <w:t xml:space="preserve"> and </w:t>
      </w:r>
      <w:r w:rsidRPr="00A428C3">
        <w:t>interviewed,</w:t>
      </w:r>
      <w:r w:rsidR="00F81221">
        <w:t xml:space="preserve"> and </w:t>
      </w:r>
      <w:r w:rsidRPr="00A428C3">
        <w:t>the arsenic content in their current primary drinking water source was measured. There were few smokers</w:t>
      </w:r>
      <w:r w:rsidR="00F81221">
        <w:t xml:space="preserve"> and </w:t>
      </w:r>
      <w:r w:rsidRPr="00A428C3">
        <w:t>analyses were confined to non-smokers (N = 6864 participants).</w:t>
      </w:r>
    </w:p>
    <w:p w:rsidR="00B95188" w:rsidRPr="00A428C3" w:rsidRDefault="00B95188" w:rsidP="00B95188">
      <w:pPr>
        <w:pStyle w:val="a0"/>
      </w:pPr>
      <w:r w:rsidRPr="00A428C3">
        <w:t>Results Among both males</w:t>
      </w:r>
      <w:r w:rsidR="00F81221">
        <w:t xml:space="preserve"> and </w:t>
      </w:r>
      <w:r w:rsidRPr="00A428C3">
        <w:t>females, the prevalence of cough, shortness of breath,</w:t>
      </w:r>
      <w:r w:rsidR="00F81221">
        <w:t xml:space="preserve"> and </w:t>
      </w:r>
      <w:r w:rsidRPr="00A428C3">
        <w:t>chest sounds (crepitations and/or rhonchi) in the lungs rose with increasing arsenic concentrations in drinking water. These respiratory effects were most pronounced in individuals with high arsenic water concentrations who also had skin lesions. Prevalence odds ratio (POR) estimates were markedly increased for participants with arsenic-induced skin lesions who also had high levels of arsenic in their current drinking water source (greater than or equal to 500 mug/l) compared with individuals who had normal skin</w:t>
      </w:r>
      <w:r w:rsidR="00F81221">
        <w:t xml:space="preserve"> and </w:t>
      </w:r>
      <w:r w:rsidRPr="00A428C3">
        <w:t>were exposed to low levels of arsenic (&lt;50 &lt;mu&gt;g/l). In participants with skin lesions, the age-adjusted FOR estimates for cough were 7.8 for females (95% CI:3.1-19.5)</w:t>
      </w:r>
      <w:r w:rsidR="00F81221">
        <w:t xml:space="preserve"> and </w:t>
      </w:r>
      <w:r w:rsidRPr="00A428C3">
        <w:t>5.0 for males (95% CI:2.6-9.9); for chest sounds FOR for females was 9.6 (95% CI:4.0-22.9)</w:t>
      </w:r>
      <w:r w:rsidR="00F81221">
        <w:t xml:space="preserve"> and </w:t>
      </w:r>
      <w:r w:rsidRPr="00A428C3">
        <w:t>for males 6.9 (95% CI:3.1-15.0). The FOR for shortness of breath in females was 23.2 (95% CI: 5.8-92.8)</w:t>
      </w:r>
      <w:r w:rsidR="00F81221">
        <w:t xml:space="preserve"> and </w:t>
      </w:r>
      <w:r w:rsidRPr="00A428C3">
        <w:t>in males 3.7 (95% CI: 1.3-10.6).</w:t>
      </w:r>
    </w:p>
    <w:p w:rsidR="00B95188" w:rsidRPr="00A428C3" w:rsidRDefault="00B95188" w:rsidP="00B95188">
      <w:pPr>
        <w:pStyle w:val="a0"/>
      </w:pPr>
      <w:r w:rsidRPr="00A428C3">
        <w:t>Conclusion These results add to evidence that long-term ingestion of inorganic arsenic can cause respiratory effects.</w:t>
      </w:r>
    </w:p>
    <w:p w:rsidR="00B95188" w:rsidRPr="00A428C3" w:rsidRDefault="00B95188" w:rsidP="00B95188">
      <w:pPr>
        <w:pStyle w:val="a0"/>
      </w:pPr>
      <w:r w:rsidRPr="00A428C3">
        <w:t>Keywords: Arsenic, Respiratory Disease, Keratoses, Hyperpigmentation, Cross-Sectional Study, Drinking Water, India, Internal Cancers, 6 Districts, Well Water, Mortality, Calamity, Taiwan, World, Lung</w:t>
      </w:r>
    </w:p>
    <w:p w:rsidR="00B95188" w:rsidRPr="00A428C3" w:rsidRDefault="00B95188" w:rsidP="00B95188">
      <w:pPr>
        <w:pStyle w:val="a0"/>
      </w:pPr>
      <w:r w:rsidRPr="00A428C3">
        <w:t>? Robinson, K.A.</w:t>
      </w:r>
      <w:r w:rsidR="00F81221">
        <w:t xml:space="preserve"> and </w:t>
      </w:r>
      <w:r w:rsidRPr="00A428C3">
        <w:t xml:space="preserve">Dickersin, K. (2002), Development of a highly sensitive search strategy for the retrieval of reports of controlled trials using PubMed. </w:t>
      </w:r>
      <w:r w:rsidRPr="00A428C3">
        <w:rPr>
          <w:i/>
          <w:iCs/>
        </w:rPr>
        <w:t>International Journal of Epidemiology</w:t>
      </w:r>
      <w:r w:rsidRPr="00A428C3">
        <w:t xml:space="preserve">, </w:t>
      </w:r>
      <w:r w:rsidRPr="00A428C3">
        <w:rPr>
          <w:b/>
          <w:bCs/>
        </w:rPr>
        <w:t>31</w:t>
      </w:r>
      <w:r w:rsidRPr="00A428C3">
        <w:t xml:space="preserve"> (1), 150-153.</w:t>
      </w:r>
    </w:p>
    <w:p w:rsidR="00B95188" w:rsidRPr="00A428C3" w:rsidRDefault="00B95188" w:rsidP="00B95188">
      <w:pPr>
        <w:pStyle w:val="a0"/>
      </w:pPr>
      <w:r w:rsidRPr="00A428C3">
        <w:lastRenderedPageBreak/>
        <w:t xml:space="preserve">Full Text: </w:t>
      </w:r>
      <w:hyperlink r:id="rId1893" w:history="1">
        <w:r w:rsidRPr="00A428C3">
          <w:rPr>
            <w:rStyle w:val="a5"/>
          </w:rPr>
          <w:t>2002\Int J Epi31, 150.pdf</w:t>
        </w:r>
      </w:hyperlink>
    </w:p>
    <w:p w:rsidR="00B95188" w:rsidRPr="00A428C3" w:rsidRDefault="00B95188" w:rsidP="00B95188">
      <w:pPr>
        <w:pStyle w:val="a0"/>
      </w:pPr>
      <w:r w:rsidRPr="00A428C3">
        <w:t>Abstract: Objective To develop, through revision of the Cochrane Collaboration search strategy for OVID-MEDLINE, a highly sensitive search strategy to retrieve reports of controlled trials using PubMed.</w:t>
      </w:r>
    </w:p>
    <w:p w:rsidR="00B95188" w:rsidRPr="00A428C3" w:rsidRDefault="00B95188" w:rsidP="00B95188">
      <w:pPr>
        <w:pStyle w:val="a0"/>
      </w:pPr>
      <w:r w:rsidRPr="00A428C3">
        <w:t>Methods The original highly sensitive Cochrane strategy was revised to take into account additional Medical Subject Headings (MeSH)</w:t>
      </w:r>
      <w:r w:rsidR="00F81221">
        <w:t xml:space="preserve"> and </w:t>
      </w:r>
      <w:r w:rsidRPr="00A428C3">
        <w:t>other terminology as well as the current unique features of PubMed. We compared the retrieval of the revised strategy with that of the original Cochrane strategy before</w:t>
      </w:r>
      <w:r w:rsidR="00F81221">
        <w:t xml:space="preserve"> and </w:t>
      </w:r>
      <w:r w:rsidRPr="00A428C3">
        <w:t>after translation of the strategies into PubMed format. Finally, we used a gold standard database of reports of controlled trials identified by electronic</w:t>
      </w:r>
      <w:r w:rsidR="00F81221">
        <w:t xml:space="preserve"> and </w:t>
      </w:r>
      <w:r w:rsidRPr="00A428C3">
        <w:t>hand search of selected journals to test the revised strategy in PubMed format.</w:t>
      </w:r>
    </w:p>
    <w:p w:rsidR="00B95188" w:rsidRPr="00A428C3" w:rsidRDefault="00B95188" w:rsidP="00B95188">
      <w:pPr>
        <w:pStyle w:val="a0"/>
      </w:pPr>
      <w:r w:rsidRPr="00A428C3">
        <w:t>Results The revised Strategy included a search statement modified for increased precision,</w:t>
      </w:r>
      <w:r w:rsidR="00F81221">
        <w:t xml:space="preserve"> and </w:t>
      </w:r>
      <w:r w:rsidRPr="00A428C3">
        <w:t xml:space="preserve">added </w:t>
      </w:r>
      <w:r w:rsidR="000352E7">
        <w:t>‘</w:t>
      </w:r>
      <w:r w:rsidRPr="00A428C3">
        <w:t>Cross-over Studies</w:t>
      </w:r>
      <w:r w:rsidR="000352E7">
        <w:t>’</w:t>
      </w:r>
      <w:r w:rsidRPr="00A428C3">
        <w:t xml:space="preserve"> as a MeSH term</w:t>
      </w:r>
      <w:r w:rsidR="00F81221">
        <w:t xml:space="preserve"> and </w:t>
      </w:r>
      <w:r w:rsidRPr="00A428C3">
        <w:t xml:space="preserve">the term </w:t>
      </w:r>
      <w:r w:rsidR="000352E7">
        <w:t>‘</w:t>
      </w:r>
      <w:r w:rsidRPr="00A428C3">
        <w:t>latin square</w:t>
      </w:r>
      <w:r w:rsidR="000352E7">
        <w:t>’</w:t>
      </w:r>
      <w:r w:rsidRPr="00A428C3">
        <w:t xml:space="preserve"> as a text word. Compared to the original Cochrane strategy, the revised strategy identified 53 additional reports of controlled trials accessing MEDLINE through OVID. When the revised strategy</w:t>
      </w:r>
      <w:r w:rsidR="00F81221">
        <w:t xml:space="preserve"> and </w:t>
      </w:r>
      <w:r w:rsidRPr="00A428C3">
        <w:t>original Cochrane strategy were translated into PubMed format, the revised strategy retrieved 90 reports of controlled trials not identified by the original strategy. Finally, the revised strategy in PubMed format retrieved all of the reports of controlled trials in the gold standard database. Ninety-eight per cent of the gold standard reports of controlled trials were retrieved by Phase 1 of the optimal PubMed search strategy.</w:t>
      </w:r>
    </w:p>
    <w:p w:rsidR="00B95188" w:rsidRPr="00A428C3" w:rsidRDefault="00B95188" w:rsidP="00B95188">
      <w:pPr>
        <w:pStyle w:val="a0"/>
      </w:pPr>
      <w:r w:rsidRPr="00A428C3">
        <w:t>Conclusions Failure to identify all relevant trials for systematic review could result in bias. We developed a highly sensitive search strategy for the retrieval of reports of controlled trials for use with PubMed that retrieves more relevant citations (greater sensitivity)</w:t>
      </w:r>
      <w:r w:rsidR="00F81221">
        <w:t xml:space="preserve"> and </w:t>
      </w:r>
      <w:r w:rsidRPr="00A428C3">
        <w:t>fewer non-relevant citations (greater precision) than the original Cochrane search strategy.</w:t>
      </w:r>
    </w:p>
    <w:p w:rsidR="00B95188" w:rsidRPr="00A428C3" w:rsidRDefault="00B95188" w:rsidP="00B95188">
      <w:pPr>
        <w:pStyle w:val="a0"/>
      </w:pPr>
      <w:r w:rsidRPr="00A428C3">
        <w:t>Keywords: Search Strategies, Controlled Trials, Systematic Reviews, Medline, Pubmed, Cochrane Collaboration</w:t>
      </w:r>
    </w:p>
    <w:p w:rsidR="00B435EC" w:rsidRDefault="00B435EC" w:rsidP="00B435EC">
      <w:pPr>
        <w:pStyle w:val="a0"/>
        <w:rPr>
          <w:kern w:val="0"/>
        </w:rPr>
      </w:pPr>
      <w:r>
        <w:rPr>
          <w:kern w:val="0"/>
        </w:rPr>
        <w:t>? Lauren, L., Jarvelin, M.R., Elliott, P., Sovio, U., Spellman, A., McCarthy, M., Emmett, P., Rogers, I., Hartikainen, A.L., Pouta, A., Hardy, R., Wadsworth, M., Helmsdal, G., Olsen, S., Bakoula, C., Lekea, V.</w:t>
      </w:r>
      <w:r w:rsidR="00F81221">
        <w:rPr>
          <w:kern w:val="0"/>
        </w:rPr>
        <w:t xml:space="preserve"> and </w:t>
      </w:r>
      <w:r>
        <w:rPr>
          <w:kern w:val="0"/>
        </w:rPr>
        <w:t>Millwood, I. (2003), Relationship between birthweight</w:t>
      </w:r>
      <w:r w:rsidR="00F81221">
        <w:rPr>
          <w:kern w:val="0"/>
        </w:rPr>
        <w:t xml:space="preserve"> and </w:t>
      </w:r>
      <w:r>
        <w:rPr>
          <w:kern w:val="0"/>
        </w:rPr>
        <w:t xml:space="preserve">blood lipid concentrations in later life: Evidence from the existing literature. </w:t>
      </w:r>
      <w:r>
        <w:rPr>
          <w:i/>
          <w:iCs/>
          <w:kern w:val="0"/>
        </w:rPr>
        <w:t>International Journal of Epidemiology</w:t>
      </w:r>
      <w:r>
        <w:rPr>
          <w:kern w:val="0"/>
        </w:rPr>
        <w:t xml:space="preserve">, </w:t>
      </w:r>
      <w:r>
        <w:rPr>
          <w:b/>
          <w:bCs/>
          <w:kern w:val="0"/>
        </w:rPr>
        <w:t>32</w:t>
      </w:r>
      <w:r>
        <w:rPr>
          <w:kern w:val="0"/>
        </w:rPr>
        <w:t xml:space="preserve"> (5), 862-876.</w:t>
      </w:r>
    </w:p>
    <w:p w:rsidR="00B435EC" w:rsidRDefault="00B435EC" w:rsidP="00B435EC">
      <w:pPr>
        <w:pStyle w:val="a0"/>
      </w:pPr>
      <w:r>
        <w:t xml:space="preserve">Full Text: </w:t>
      </w:r>
      <w:hyperlink r:id="rId1894" w:history="1">
        <w:r w:rsidR="009C26D7" w:rsidRPr="009C26D7">
          <w:rPr>
            <w:rStyle w:val="a5"/>
          </w:rPr>
          <w:t>2003\Int J Epi32, 862.pdf</w:t>
        </w:r>
      </w:hyperlink>
    </w:p>
    <w:p w:rsidR="00B435EC" w:rsidRDefault="00B435EC" w:rsidP="00B435EC">
      <w:pPr>
        <w:pStyle w:val="a0"/>
        <w:rPr>
          <w:kern w:val="0"/>
        </w:rPr>
      </w:pPr>
      <w:r>
        <w:rPr>
          <w:kern w:val="0"/>
        </w:rPr>
        <w:t>Abstract: Background It has been suggested that there is a link between fetal growth</w:t>
      </w:r>
      <w:r w:rsidR="00F81221">
        <w:rPr>
          <w:kern w:val="0"/>
        </w:rPr>
        <w:t xml:space="preserve"> and </w:t>
      </w:r>
      <w:r>
        <w:rPr>
          <w:kern w:val="0"/>
        </w:rPr>
        <w:t>chronic diseases later in life. Several studies have shown a negative association between birthweight</w:t>
      </w:r>
      <w:r w:rsidR="00F81221">
        <w:rPr>
          <w:kern w:val="0"/>
        </w:rPr>
        <w:t xml:space="preserve"> and </w:t>
      </w:r>
      <w:r>
        <w:rPr>
          <w:kern w:val="0"/>
        </w:rPr>
        <w:t>cardiovascular diseases, as well as cardiovascular disease risk factors, such as blood pressure</w:t>
      </w:r>
      <w:r w:rsidR="00F81221">
        <w:rPr>
          <w:kern w:val="0"/>
        </w:rPr>
        <w:t xml:space="preserve"> and </w:t>
      </w:r>
      <w:r>
        <w:rPr>
          <w:kern w:val="0"/>
        </w:rPr>
        <w:t>type 2 diabetes. Far fewer studies have focused on the association between size at birth</w:t>
      </w:r>
      <w:r w:rsidR="00F81221">
        <w:rPr>
          <w:kern w:val="0"/>
        </w:rPr>
        <w:t xml:space="preserve"> and </w:t>
      </w:r>
      <w:r>
        <w:rPr>
          <w:kern w:val="0"/>
        </w:rPr>
        <w:t xml:space="preserve">blood lipid concentrations. We </w:t>
      </w:r>
      <w:r>
        <w:rPr>
          <w:kern w:val="0"/>
        </w:rPr>
        <w:lastRenderedPageBreak/>
        <w:t>have conducted a qualitative assessment of the direction</w:t>
      </w:r>
      <w:r w:rsidR="00F81221">
        <w:rPr>
          <w:kern w:val="0"/>
        </w:rPr>
        <w:t xml:space="preserve"> and </w:t>
      </w:r>
      <w:r>
        <w:rPr>
          <w:kern w:val="0"/>
        </w:rPr>
        <w:t>consistency of the relationship between size at birth</w:t>
      </w:r>
      <w:r w:rsidR="00F81221">
        <w:rPr>
          <w:kern w:val="0"/>
        </w:rPr>
        <w:t xml:space="preserve"> and </w:t>
      </w:r>
      <w:r>
        <w:rPr>
          <w:kern w:val="0"/>
        </w:rPr>
        <w:t>blood lipid concentrations to see whether the suggested relationship between intrauterine growth</w:t>
      </w:r>
      <w:r w:rsidR="00F81221">
        <w:rPr>
          <w:kern w:val="0"/>
        </w:rPr>
        <w:t xml:space="preserve"> and </w:t>
      </w:r>
      <w:r>
        <w:rPr>
          <w:kern w:val="0"/>
        </w:rPr>
        <w:t>cardiovascular diseases is mediated by lipid metabolism. Methods A literature search covering the period January 1966 to January 2003 was performed using MEDLINE, EMBASE,</w:t>
      </w:r>
      <w:r w:rsidR="00F81221">
        <w:rPr>
          <w:kern w:val="0"/>
        </w:rPr>
        <w:t xml:space="preserve"> and </w:t>
      </w:r>
      <w:r>
        <w:rPr>
          <w:kern w:val="0"/>
        </w:rPr>
        <w:t>Web of Science. All papers written in English</w:t>
      </w:r>
      <w:r w:rsidR="00F81221">
        <w:rPr>
          <w:kern w:val="0"/>
        </w:rPr>
        <w:t xml:space="preserve"> and </w:t>
      </w:r>
      <w:r>
        <w:rPr>
          <w:kern w:val="0"/>
        </w:rPr>
        <w:t>reporting the relationship between size at birth</w:t>
      </w:r>
      <w:r w:rsidR="00F81221">
        <w:rPr>
          <w:kern w:val="0"/>
        </w:rPr>
        <w:t xml:space="preserve"> and </w:t>
      </w:r>
      <w:r>
        <w:rPr>
          <w:kern w:val="0"/>
        </w:rPr>
        <w:t>lipid levels in humans were assessed. Bibliographies were searched for further publications. Results From an initial screen of 1198 references, 39 papers were included involving 28 578 individuals. There was no consistent relationship between size at birth</w:t>
      </w:r>
      <w:r w:rsidR="00F81221">
        <w:rPr>
          <w:kern w:val="0"/>
        </w:rPr>
        <w:t xml:space="preserve"> and </w:t>
      </w:r>
      <w:r>
        <w:rPr>
          <w:kern w:val="0"/>
        </w:rPr>
        <w:t>blood lipid levels; the one exception being triglyceride concentration, which showed statistically significant negative or U-shaped, but not positive, relationships with birthweight. Conclusion This review does not strongly support a link between birthweight</w:t>
      </w:r>
      <w:r w:rsidR="00F81221">
        <w:rPr>
          <w:kern w:val="0"/>
        </w:rPr>
        <w:t xml:space="preserve"> and </w:t>
      </w:r>
      <w:r>
        <w:rPr>
          <w:kern w:val="0"/>
        </w:rPr>
        <w:t>blood lipid levels in later life. However, the research in this area is limited</w:t>
      </w:r>
      <w:r w:rsidR="00F81221">
        <w:rPr>
          <w:kern w:val="0"/>
        </w:rPr>
        <w:t xml:space="preserve"> and </w:t>
      </w:r>
      <w:r>
        <w:rPr>
          <w:kern w:val="0"/>
        </w:rPr>
        <w:t>in order to make any definitive conclusions, longitudinal studies with sufficient power, data,</w:t>
      </w:r>
      <w:r w:rsidR="00F81221">
        <w:rPr>
          <w:kern w:val="0"/>
        </w:rPr>
        <w:t xml:space="preserve"> and </w:t>
      </w:r>
      <w:r>
        <w:rPr>
          <w:kern w:val="0"/>
        </w:rPr>
        <w:t>prospective follow-up are needed.</w:t>
      </w:r>
    </w:p>
    <w:p w:rsidR="00B435EC" w:rsidRDefault="00B435EC" w:rsidP="00B435EC">
      <w:pPr>
        <w:pStyle w:val="a0"/>
        <w:rPr>
          <w:kern w:val="0"/>
        </w:rPr>
      </w:pPr>
      <w:r>
        <w:rPr>
          <w:kern w:val="0"/>
        </w:rPr>
        <w:t>Keywords: Assessment, Bibliographies, Birth Length, Birthweight, Blood, Blood Pressure, Cardiovascular, Cardiovascular Disease, Cardiovascular Diseases, Cardiovascular Risk-Factors, Childhood Growth, Diabetes, Disease, Disease Risk, Fetal Growth, Fetal-Growth, Follow-Up, For-Gestational-Age, Hdl, Humans, Hyperlipidaemia, Impaired Glucose-Tolerance, Insulin-Resistance Syndrome, Ischemic-Heart-Disease, Ldl, Lipid, Literature, Longitudinal Studies, Methods, Papers, Pressure, Publications, Research, Review, Risk, Risk Factors, Science, Serum-Lipids, Swedish Men, Total Cholesterol, Triglyceride, Type 2, Type 2 Diabetes, Web of Science, Young-Adults</w:t>
      </w:r>
    </w:p>
    <w:p w:rsidR="008F4E6C" w:rsidRDefault="008F4E6C" w:rsidP="008F4E6C">
      <w:pPr>
        <w:pStyle w:val="a0"/>
        <w:rPr>
          <w:kern w:val="0"/>
          <w:szCs w:val="24"/>
        </w:rPr>
      </w:pPr>
      <w:r>
        <w:rPr>
          <w:rFonts w:hint="eastAsia"/>
          <w:kern w:val="0"/>
          <w:szCs w:val="24"/>
        </w:rPr>
        <w:t xml:space="preserve">? </w:t>
      </w:r>
      <w:r>
        <w:rPr>
          <w:kern w:val="0"/>
          <w:szCs w:val="24"/>
        </w:rPr>
        <w:t>Critchley, J.</w:t>
      </w:r>
      <w:r w:rsidR="00F81221">
        <w:rPr>
          <w:kern w:val="0"/>
          <w:szCs w:val="24"/>
        </w:rPr>
        <w:t xml:space="preserve"> and </w:t>
      </w:r>
      <w:r>
        <w:rPr>
          <w:kern w:val="0"/>
          <w:szCs w:val="24"/>
        </w:rPr>
        <w:t xml:space="preserve">Bates, I. (2005), Haemoglobin colour scale for </w:t>
      </w:r>
      <w:r w:rsidR="00070241">
        <w:rPr>
          <w:kern w:val="0"/>
          <w:szCs w:val="24"/>
        </w:rPr>
        <w:t xml:space="preserve">Anaemia </w:t>
      </w:r>
      <w:r>
        <w:rPr>
          <w:kern w:val="0"/>
          <w:szCs w:val="24"/>
        </w:rPr>
        <w:t xml:space="preserve">diagnosis where there is no laboratory: A systematic review. </w:t>
      </w:r>
      <w:r>
        <w:rPr>
          <w:i/>
          <w:iCs/>
          <w:kern w:val="0"/>
          <w:szCs w:val="24"/>
        </w:rPr>
        <w:t>International Journal of Epidemiology</w:t>
      </w:r>
      <w:r>
        <w:rPr>
          <w:kern w:val="0"/>
          <w:szCs w:val="24"/>
        </w:rPr>
        <w:t xml:space="preserve">, </w:t>
      </w:r>
      <w:r>
        <w:rPr>
          <w:b/>
          <w:bCs/>
          <w:kern w:val="0"/>
          <w:szCs w:val="24"/>
        </w:rPr>
        <w:t>34</w:t>
      </w:r>
      <w:r>
        <w:rPr>
          <w:kern w:val="0"/>
          <w:szCs w:val="24"/>
        </w:rPr>
        <w:t xml:space="preserve"> (6), 1425-1434.</w:t>
      </w:r>
    </w:p>
    <w:p w:rsidR="008F4E6C" w:rsidRPr="00A428C3" w:rsidRDefault="008F4E6C" w:rsidP="008F4E6C">
      <w:pPr>
        <w:pStyle w:val="a0"/>
      </w:pPr>
      <w:r w:rsidRPr="00A428C3">
        <w:t xml:space="preserve">Full Text: </w:t>
      </w:r>
      <w:hyperlink r:id="rId1895" w:history="1">
        <w:r w:rsidRPr="008F4E6C">
          <w:rPr>
            <w:rStyle w:val="a5"/>
          </w:rPr>
          <w:t>2005\Int J Epi34, 1425.pdf</w:t>
        </w:r>
      </w:hyperlink>
    </w:p>
    <w:p w:rsidR="008F4E6C" w:rsidRDefault="008F4E6C" w:rsidP="008F4E6C">
      <w:pPr>
        <w:pStyle w:val="a0"/>
        <w:rPr>
          <w:kern w:val="0"/>
          <w:szCs w:val="24"/>
        </w:rPr>
      </w:pPr>
      <w:r>
        <w:rPr>
          <w:kern w:val="0"/>
          <w:szCs w:val="24"/>
        </w:rPr>
        <w:t>Abstract: Background Anaemia is a major public health problem, in poor countries most of the cases are diagnosed clinically. This is inaccurate</w:t>
      </w:r>
      <w:r w:rsidR="00F81221">
        <w:rPr>
          <w:kern w:val="0"/>
          <w:szCs w:val="24"/>
        </w:rPr>
        <w:t xml:space="preserve"> and </w:t>
      </w:r>
      <w:r>
        <w:rPr>
          <w:kern w:val="0"/>
          <w:szCs w:val="24"/>
        </w:rPr>
        <w:t>the haemoglobin colour scale (HCS) has been developed as an inexpensive, simple alternative for assessing anaemia. Laboratory</w:t>
      </w:r>
      <w:r w:rsidR="00F81221">
        <w:rPr>
          <w:kern w:val="0"/>
          <w:szCs w:val="24"/>
        </w:rPr>
        <w:t xml:space="preserve"> and </w:t>
      </w:r>
      <w:r>
        <w:rPr>
          <w:kern w:val="0"/>
          <w:szCs w:val="24"/>
        </w:rPr>
        <w:t>community studies have assessed its diagnostic accuracy, but controversy over its validity</w:t>
      </w:r>
      <w:r w:rsidR="00F81221">
        <w:rPr>
          <w:kern w:val="0"/>
          <w:szCs w:val="24"/>
        </w:rPr>
        <w:t xml:space="preserve"> and </w:t>
      </w:r>
      <w:r>
        <w:rPr>
          <w:kern w:val="0"/>
          <w:szCs w:val="24"/>
        </w:rPr>
        <w:t>usefulness remains. We carried out a systematic review to identify</w:t>
      </w:r>
      <w:r w:rsidR="00F81221">
        <w:rPr>
          <w:kern w:val="0"/>
          <w:szCs w:val="24"/>
        </w:rPr>
        <w:t xml:space="preserve"> and </w:t>
      </w:r>
      <w:r>
        <w:rPr>
          <w:kern w:val="0"/>
          <w:szCs w:val="24"/>
        </w:rPr>
        <w:t>summarize studies, explain heterogeneity,</w:t>
      </w:r>
      <w:r w:rsidR="00F81221">
        <w:rPr>
          <w:kern w:val="0"/>
          <w:szCs w:val="24"/>
        </w:rPr>
        <w:t xml:space="preserve"> and </w:t>
      </w:r>
      <w:r>
        <w:rPr>
          <w:kern w:val="0"/>
          <w:szCs w:val="24"/>
        </w:rPr>
        <w:t>make recommendations for future research. Methods We searched electronic databases (MEDLINE, EMBASE, CINAHL,</w:t>
      </w:r>
      <w:r w:rsidR="00F81221">
        <w:rPr>
          <w:kern w:val="0"/>
          <w:szCs w:val="24"/>
        </w:rPr>
        <w:t xml:space="preserve"> and </w:t>
      </w:r>
      <w:r>
        <w:rPr>
          <w:kern w:val="0"/>
          <w:szCs w:val="24"/>
        </w:rPr>
        <w:t>Science Citation Index), checked documents</w:t>
      </w:r>
      <w:r w:rsidR="00F81221">
        <w:rPr>
          <w:kern w:val="0"/>
          <w:szCs w:val="24"/>
        </w:rPr>
        <w:t xml:space="preserve"> and </w:t>
      </w:r>
      <w:r>
        <w:rPr>
          <w:kern w:val="0"/>
          <w:szCs w:val="24"/>
        </w:rPr>
        <w:t>references,</w:t>
      </w:r>
      <w:r w:rsidR="00F81221">
        <w:rPr>
          <w:kern w:val="0"/>
          <w:szCs w:val="24"/>
        </w:rPr>
        <w:t xml:space="preserve"> and </w:t>
      </w:r>
      <w:r>
        <w:rPr>
          <w:kern w:val="0"/>
          <w:szCs w:val="24"/>
        </w:rPr>
        <w:t xml:space="preserve">contacted experts. We included all the studies comparing HCS diagnostic accuracy with a reference standard. Both reviewers independently </w:t>
      </w:r>
      <w:r>
        <w:rPr>
          <w:kern w:val="0"/>
          <w:szCs w:val="24"/>
        </w:rPr>
        <w:lastRenderedPageBreak/>
        <w:t>screened titles</w:t>
      </w:r>
      <w:r w:rsidR="00F81221">
        <w:rPr>
          <w:kern w:val="0"/>
          <w:szCs w:val="24"/>
        </w:rPr>
        <w:t xml:space="preserve"> and </w:t>
      </w:r>
      <w:r>
        <w:rPr>
          <w:kern w:val="0"/>
          <w:szCs w:val="24"/>
        </w:rPr>
        <w:t>abstracts, assessed studies for inclusion, appraised quality,</w:t>
      </w:r>
      <w:r w:rsidR="00F81221">
        <w:rPr>
          <w:kern w:val="0"/>
          <w:szCs w:val="24"/>
        </w:rPr>
        <w:t xml:space="preserve"> and </w:t>
      </w:r>
      <w:r>
        <w:rPr>
          <w:kern w:val="0"/>
          <w:szCs w:val="24"/>
        </w:rPr>
        <w:t>extracted data. Results We included 14 studies, mostly from sub-Saharan Africa. Studies had heterogeneous populations, health care settings, anaemia prevalence,</w:t>
      </w:r>
      <w:r w:rsidR="00F81221">
        <w:rPr>
          <w:kern w:val="0"/>
          <w:szCs w:val="24"/>
        </w:rPr>
        <w:t xml:space="preserve"> and </w:t>
      </w:r>
      <w:r>
        <w:rPr>
          <w:kern w:val="0"/>
          <w:szCs w:val="24"/>
        </w:rPr>
        <w:t>findings. HCS sensitivity for detecting anaemia was high in most of the studies (75-97%); specificity was generally lower (41-98%). Sensitivity</w:t>
      </w:r>
      <w:r w:rsidR="00F81221">
        <w:rPr>
          <w:kern w:val="0"/>
          <w:szCs w:val="24"/>
        </w:rPr>
        <w:t xml:space="preserve"> and </w:t>
      </w:r>
      <w:r>
        <w:rPr>
          <w:kern w:val="0"/>
          <w:szCs w:val="24"/>
        </w:rPr>
        <w:t xml:space="preserve">specificity were higher for laboratory-based studies compared with more pragmatic </w:t>
      </w:r>
      <w:r w:rsidR="000352E7">
        <w:rPr>
          <w:kern w:val="0"/>
          <w:szCs w:val="24"/>
        </w:rPr>
        <w:t>‘</w:t>
      </w:r>
      <w:r>
        <w:rPr>
          <w:kern w:val="0"/>
          <w:szCs w:val="24"/>
        </w:rPr>
        <w:t>real-life</w:t>
      </w:r>
      <w:r w:rsidR="000352E7">
        <w:rPr>
          <w:kern w:val="0"/>
          <w:szCs w:val="24"/>
        </w:rPr>
        <w:t>’</w:t>
      </w:r>
      <w:r>
        <w:rPr>
          <w:kern w:val="0"/>
          <w:szCs w:val="24"/>
        </w:rPr>
        <w:t xml:space="preserve"> studies,</w:t>
      </w:r>
      <w:r w:rsidR="00F81221">
        <w:rPr>
          <w:kern w:val="0"/>
          <w:szCs w:val="24"/>
        </w:rPr>
        <w:t xml:space="preserve"> and </w:t>
      </w:r>
      <w:r>
        <w:rPr>
          <w:kern w:val="0"/>
          <w:szCs w:val="24"/>
        </w:rPr>
        <w:t xml:space="preserve">the </w:t>
      </w:r>
      <w:r w:rsidR="000352E7">
        <w:rPr>
          <w:kern w:val="0"/>
          <w:szCs w:val="24"/>
        </w:rPr>
        <w:t>‘</w:t>
      </w:r>
      <w:r>
        <w:rPr>
          <w:kern w:val="0"/>
          <w:szCs w:val="24"/>
        </w:rPr>
        <w:t>study setting</w:t>
      </w:r>
      <w:r w:rsidR="000352E7">
        <w:rPr>
          <w:kern w:val="0"/>
          <w:szCs w:val="24"/>
        </w:rPr>
        <w:t>’</w:t>
      </w:r>
      <w:r>
        <w:rPr>
          <w:kern w:val="0"/>
          <w:szCs w:val="24"/>
        </w:rPr>
        <w:t xml:space="preserve"> appeared to explain some of the heterogeneity. Five studies compared the HCS with clinical diagnosis; sensitivity was higher for the HCS in four studies, but specificity was often higher with clinical diagnosis. A few studies evaluated the HCS in situations where there was no laboratory. Conclusions The HCS may improve anaemia diagnosis where there is no laboratory, but there is a need for policy-relevant diagnostic research which is pragmatic, implementation-focused</w:t>
      </w:r>
      <w:r w:rsidR="00F81221">
        <w:rPr>
          <w:kern w:val="0"/>
          <w:szCs w:val="24"/>
        </w:rPr>
        <w:t xml:space="preserve"> and </w:t>
      </w:r>
      <w:r>
        <w:rPr>
          <w:kern w:val="0"/>
          <w:szCs w:val="24"/>
        </w:rPr>
        <w:t>assesses clinical outcomes. This requires a different approach</w:t>
      </w:r>
      <w:r w:rsidR="00F81221">
        <w:rPr>
          <w:kern w:val="0"/>
          <w:szCs w:val="24"/>
        </w:rPr>
        <w:t xml:space="preserve"> and </w:t>
      </w:r>
      <w:r>
        <w:rPr>
          <w:kern w:val="0"/>
          <w:szCs w:val="24"/>
        </w:rPr>
        <w:t>research skill-mix from efficacy studies.</w:t>
      </w:r>
    </w:p>
    <w:p w:rsidR="008F4E6C" w:rsidRDefault="008F4E6C" w:rsidP="008F4E6C">
      <w:pPr>
        <w:pStyle w:val="a0"/>
        <w:rPr>
          <w:kern w:val="0"/>
          <w:szCs w:val="24"/>
        </w:rPr>
      </w:pPr>
      <w:r>
        <w:rPr>
          <w:kern w:val="0"/>
          <w:szCs w:val="24"/>
        </w:rPr>
        <w:t>Keywords: Anaemia, Burden, Children, Citation, Critique, Databases, Developing Countries, Diagnosis, Haemoglobin, Haemoglobinometry, Health Plan Implementation, Malawi, Mortality, Performance, Pregnant-Women, Prevalence, Public Health, Research, Review, Systematic Review, Tool, Validity</w:t>
      </w:r>
    </w:p>
    <w:p w:rsidR="008F4E6C" w:rsidRDefault="008F4E6C" w:rsidP="008F4E6C">
      <w:pPr>
        <w:pStyle w:val="a0"/>
        <w:rPr>
          <w:kern w:val="0"/>
          <w:szCs w:val="24"/>
        </w:rPr>
      </w:pPr>
      <w:r>
        <w:rPr>
          <w:rFonts w:hint="eastAsia"/>
          <w:kern w:val="0"/>
          <w:szCs w:val="24"/>
        </w:rPr>
        <w:t xml:space="preserve">? </w:t>
      </w:r>
      <w:r>
        <w:rPr>
          <w:kern w:val="0"/>
          <w:szCs w:val="24"/>
        </w:rPr>
        <w:t>Johnson, C.Y.</w:t>
      </w:r>
      <w:r w:rsidR="00F81221">
        <w:rPr>
          <w:kern w:val="0"/>
          <w:szCs w:val="24"/>
        </w:rPr>
        <w:t xml:space="preserve"> and </w:t>
      </w:r>
      <w:r>
        <w:rPr>
          <w:kern w:val="0"/>
          <w:szCs w:val="24"/>
        </w:rPr>
        <w:t>Little, J. (2008), Folate intake, markers of folate status</w:t>
      </w:r>
      <w:r w:rsidR="00F81221">
        <w:rPr>
          <w:kern w:val="0"/>
          <w:szCs w:val="24"/>
        </w:rPr>
        <w:t xml:space="preserve"> and </w:t>
      </w:r>
      <w:r>
        <w:rPr>
          <w:kern w:val="0"/>
          <w:szCs w:val="24"/>
        </w:rPr>
        <w:t xml:space="preserve">oral clefts: Is the evidence converging. </w:t>
      </w:r>
      <w:r>
        <w:rPr>
          <w:i/>
          <w:iCs/>
          <w:kern w:val="0"/>
          <w:szCs w:val="24"/>
        </w:rPr>
        <w:t>International Journal of Epidemiology</w:t>
      </w:r>
      <w:r>
        <w:rPr>
          <w:kern w:val="0"/>
          <w:szCs w:val="24"/>
        </w:rPr>
        <w:t xml:space="preserve">, </w:t>
      </w:r>
      <w:r>
        <w:rPr>
          <w:b/>
          <w:bCs/>
          <w:kern w:val="0"/>
          <w:szCs w:val="24"/>
        </w:rPr>
        <w:t>37</w:t>
      </w:r>
      <w:r>
        <w:rPr>
          <w:kern w:val="0"/>
          <w:szCs w:val="24"/>
        </w:rPr>
        <w:t xml:space="preserve"> (5), 1041-1058.</w:t>
      </w:r>
    </w:p>
    <w:p w:rsidR="008F4E6C" w:rsidRPr="00A428C3" w:rsidRDefault="008F4E6C" w:rsidP="008F4E6C">
      <w:pPr>
        <w:pStyle w:val="a0"/>
      </w:pPr>
      <w:r w:rsidRPr="00A428C3">
        <w:t xml:space="preserve">Full Text: </w:t>
      </w:r>
      <w:hyperlink r:id="rId1896" w:history="1">
        <w:r w:rsidRPr="00092116">
          <w:rPr>
            <w:rStyle w:val="a5"/>
          </w:rPr>
          <w:t>2008\Int J Epi37, 1041.pdf</w:t>
        </w:r>
      </w:hyperlink>
    </w:p>
    <w:p w:rsidR="008F4E6C" w:rsidRDefault="008F4E6C" w:rsidP="008F4E6C">
      <w:pPr>
        <w:pStyle w:val="a0"/>
        <w:rPr>
          <w:kern w:val="0"/>
          <w:szCs w:val="24"/>
        </w:rPr>
      </w:pPr>
      <w:r>
        <w:rPr>
          <w:kern w:val="0"/>
          <w:szCs w:val="24"/>
        </w:rPr>
        <w:t>Abstract: Background The ability of folic acid in the periconceptional period to prevent the occurrence of neural tube defects has stimulated tremendous interest in its effects on other health outcomes. Its possible effect on oral clefts has generated considerable debate. The purpose of this systematic review</w:t>
      </w:r>
      <w:r w:rsidR="00F81221">
        <w:rPr>
          <w:kern w:val="0"/>
          <w:szCs w:val="24"/>
        </w:rPr>
        <w:t xml:space="preserve"> and </w:t>
      </w:r>
      <w:r>
        <w:rPr>
          <w:kern w:val="0"/>
          <w:szCs w:val="24"/>
        </w:rPr>
        <w:t>meta-analysis was to assemble evidence on the role of folate in the aetiology of cleft lip with or without cleft palate (CL/P)</w:t>
      </w:r>
      <w:r w:rsidR="00F81221">
        <w:rPr>
          <w:kern w:val="0"/>
          <w:szCs w:val="24"/>
        </w:rPr>
        <w:t xml:space="preserve"> and </w:t>
      </w:r>
      <w:r>
        <w:rPr>
          <w:kern w:val="0"/>
          <w:szCs w:val="24"/>
        </w:rPr>
        <w:t>cleft palate only (CPO). Methods Medline, PubMed, Embase, Science Citation Index</w:t>
      </w:r>
      <w:r w:rsidR="00F81221">
        <w:rPr>
          <w:kern w:val="0"/>
          <w:szCs w:val="24"/>
        </w:rPr>
        <w:t xml:space="preserve"> and </w:t>
      </w:r>
      <w:r>
        <w:rPr>
          <w:kern w:val="0"/>
          <w:szCs w:val="24"/>
        </w:rPr>
        <w:t>the HuGE Published Literature Database were searched to February 2007 for articles related to oral clefts</w:t>
      </w:r>
      <w:r w:rsidR="00F81221">
        <w:rPr>
          <w:kern w:val="0"/>
          <w:szCs w:val="24"/>
        </w:rPr>
        <w:t xml:space="preserve"> and </w:t>
      </w:r>
      <w:r>
        <w:rPr>
          <w:kern w:val="0"/>
          <w:szCs w:val="24"/>
        </w:rPr>
        <w:t>multivitamin use, dietary folate, folic acid fortification, biochemical markers of folate status</w:t>
      </w:r>
      <w:r w:rsidR="00F81221">
        <w:rPr>
          <w:kern w:val="0"/>
          <w:szCs w:val="24"/>
        </w:rPr>
        <w:t xml:space="preserve"> and </w:t>
      </w:r>
      <w:r>
        <w:rPr>
          <w:kern w:val="0"/>
          <w:szCs w:val="24"/>
        </w:rPr>
        <w:t>polymorphisms in 5,10-methylenetetrahydrofolate reductase (MTHFR)</w:t>
      </w:r>
      <w:r w:rsidR="00F81221">
        <w:rPr>
          <w:kern w:val="0"/>
          <w:szCs w:val="24"/>
        </w:rPr>
        <w:t xml:space="preserve"> and </w:t>
      </w:r>
      <w:r>
        <w:rPr>
          <w:kern w:val="0"/>
          <w:szCs w:val="24"/>
        </w:rPr>
        <w:t>other genes involved in folate metabolism. Random effects meta-analysis was conducted when appropriate. Results Maternal multivitamin use was inversely associated with CL/P [odds ratio (OR) 0.75, 95% CI 0.65-0.88, based on 5717 cases</w:t>
      </w:r>
      <w:r w:rsidR="00F81221">
        <w:rPr>
          <w:kern w:val="0"/>
          <w:szCs w:val="24"/>
        </w:rPr>
        <w:t xml:space="preserve"> and </w:t>
      </w:r>
      <w:r>
        <w:rPr>
          <w:kern w:val="0"/>
          <w:szCs w:val="24"/>
        </w:rPr>
        <w:t>59 784 controls] but to a lesser extent CPO (OR 0.88, 95% CI 0.76-1.01, 2586 cases</w:t>
      </w:r>
      <w:r w:rsidR="00F81221">
        <w:rPr>
          <w:kern w:val="0"/>
          <w:szCs w:val="24"/>
        </w:rPr>
        <w:t xml:space="preserve"> and </w:t>
      </w:r>
      <w:r>
        <w:rPr>
          <w:kern w:val="0"/>
          <w:szCs w:val="24"/>
        </w:rPr>
        <w:t>59 684 controls). The volume of evidence on dietary folate, fortification</w:t>
      </w:r>
      <w:r w:rsidR="00F81221">
        <w:rPr>
          <w:kern w:val="0"/>
          <w:szCs w:val="24"/>
        </w:rPr>
        <w:t xml:space="preserve"> and </w:t>
      </w:r>
      <w:r>
        <w:rPr>
          <w:kern w:val="0"/>
          <w:szCs w:val="24"/>
        </w:rPr>
        <w:t>biochemical</w:t>
      </w:r>
      <w:r w:rsidR="00F81221">
        <w:rPr>
          <w:kern w:val="0"/>
          <w:szCs w:val="24"/>
        </w:rPr>
        <w:t xml:space="preserve"> and </w:t>
      </w:r>
      <w:r>
        <w:rPr>
          <w:kern w:val="0"/>
          <w:szCs w:val="24"/>
        </w:rPr>
        <w:t xml:space="preserve">genetic measures of folate status is substantially less; in aggregate, the evidence suggests that no association exists but there is substantial heterogeneity between studies. </w:t>
      </w:r>
      <w:r>
        <w:rPr>
          <w:kern w:val="0"/>
          <w:szCs w:val="24"/>
        </w:rPr>
        <w:lastRenderedPageBreak/>
        <w:t>Conclusions The evidence is not converging</w:t>
      </w:r>
      <w:r w:rsidR="00F81221">
        <w:rPr>
          <w:kern w:val="0"/>
          <w:szCs w:val="24"/>
        </w:rPr>
        <w:t xml:space="preserve"> and </w:t>
      </w:r>
      <w:r>
        <w:rPr>
          <w:kern w:val="0"/>
          <w:szCs w:val="24"/>
        </w:rPr>
        <w:t>there is no strong evidence for an association between oral clefts</w:t>
      </w:r>
      <w:r w:rsidR="00F81221">
        <w:rPr>
          <w:kern w:val="0"/>
          <w:szCs w:val="24"/>
        </w:rPr>
        <w:t xml:space="preserve"> and </w:t>
      </w:r>
      <w:r>
        <w:rPr>
          <w:kern w:val="0"/>
          <w:szCs w:val="24"/>
        </w:rPr>
        <w:t>folic acid intake alone. Multivitamin use in early pregnancy, however, may protect against oral clefts, especially CL/P although this association may be confounded by other lifestyle factors associated with multivitamin use.</w:t>
      </w:r>
    </w:p>
    <w:p w:rsidR="008F4E6C" w:rsidRDefault="008F4E6C" w:rsidP="008F4E6C">
      <w:pPr>
        <w:pStyle w:val="a0"/>
        <w:rPr>
          <w:kern w:val="0"/>
          <w:szCs w:val="24"/>
        </w:rPr>
      </w:pPr>
      <w:r>
        <w:rPr>
          <w:kern w:val="0"/>
          <w:szCs w:val="24"/>
        </w:rPr>
        <w:t>Keywords: Birth-Defects, C.844INS68 Gene Variant, Citation, Cleft Lip, Cleft Palate, Folic Acid, Folic-Acid Fortification, Infant C677T Mutation, Life-Style Factors, Meta-Analysis, Methylenetetrahydrofolate Reductase (NADPH2), Methylenetetrahydrofolate Reductase Polymorphisms, Neural-Tube Defects, Nonsyndromic Orofacial Clefts, Periconceptional Vitamin Use, Pregnancy, Pubmed, Review, Risk-Factor, Systematic Review</w:t>
      </w:r>
    </w:p>
    <w:p w:rsidR="00B435EC" w:rsidRDefault="00B435EC" w:rsidP="00B435EC">
      <w:pPr>
        <w:pStyle w:val="a0"/>
        <w:rPr>
          <w:kern w:val="0"/>
        </w:rPr>
      </w:pPr>
      <w:r>
        <w:rPr>
          <w:kern w:val="0"/>
        </w:rPr>
        <w:t>? Cook, M.B., Akre, O., Forman, D., Madigan, M.P., Richiardi, L.</w:t>
      </w:r>
      <w:r w:rsidR="00F81221">
        <w:rPr>
          <w:kern w:val="0"/>
        </w:rPr>
        <w:t xml:space="preserve"> and </w:t>
      </w:r>
      <w:r>
        <w:rPr>
          <w:kern w:val="0"/>
        </w:rPr>
        <w:t>McGlynn, K.A. (2009), A systematic review</w:t>
      </w:r>
      <w:r w:rsidR="00F81221">
        <w:rPr>
          <w:kern w:val="0"/>
        </w:rPr>
        <w:t xml:space="preserve"> and </w:t>
      </w:r>
      <w:r>
        <w:rPr>
          <w:kern w:val="0"/>
        </w:rPr>
        <w:t xml:space="preserve">meta-analysis of perinatal variables in relation to the risk of testicular cancer-experiences of the mother. </w:t>
      </w:r>
      <w:r>
        <w:rPr>
          <w:i/>
          <w:iCs/>
          <w:kern w:val="0"/>
        </w:rPr>
        <w:t>International Journal of Epidemiology</w:t>
      </w:r>
      <w:r>
        <w:rPr>
          <w:kern w:val="0"/>
        </w:rPr>
        <w:t xml:space="preserve">, </w:t>
      </w:r>
      <w:r>
        <w:rPr>
          <w:b/>
          <w:bCs/>
          <w:kern w:val="0"/>
        </w:rPr>
        <w:t>38</w:t>
      </w:r>
      <w:r>
        <w:rPr>
          <w:kern w:val="0"/>
        </w:rPr>
        <w:t xml:space="preserve"> (6), 1532-1542.</w:t>
      </w:r>
    </w:p>
    <w:p w:rsidR="009C26D7" w:rsidRDefault="009C26D7" w:rsidP="009C26D7">
      <w:pPr>
        <w:pStyle w:val="a0"/>
      </w:pPr>
      <w:r>
        <w:t xml:space="preserve">Full Text: </w:t>
      </w:r>
      <w:hyperlink r:id="rId1897" w:history="1">
        <w:r w:rsidRPr="007F3E03">
          <w:rPr>
            <w:rStyle w:val="a5"/>
          </w:rPr>
          <w:t>2009\Int J Epi38, 1532.pdf</w:t>
        </w:r>
      </w:hyperlink>
    </w:p>
    <w:p w:rsidR="00B435EC" w:rsidRDefault="00B435EC" w:rsidP="00B435EC">
      <w:pPr>
        <w:pStyle w:val="a0"/>
        <w:rPr>
          <w:kern w:val="0"/>
        </w:rPr>
      </w:pPr>
      <w:r>
        <w:rPr>
          <w:kern w:val="0"/>
        </w:rPr>
        <w:t>Abstract: Methods EMBASE, PUBMED, Scopus</w:t>
      </w:r>
      <w:r w:rsidR="00F81221">
        <w:rPr>
          <w:kern w:val="0"/>
        </w:rPr>
        <w:t xml:space="preserve"> and </w:t>
      </w:r>
      <w:r>
        <w:rPr>
          <w:kern w:val="0"/>
        </w:rPr>
        <w:t>Web of Science databases were searched using sensitive search strategies. Meta-analysis was undertaken using STATA 10. Results A total of 5865 references were retrieved, of which 67 met the inclusion criteria</w:t>
      </w:r>
      <w:r w:rsidR="00F81221">
        <w:rPr>
          <w:kern w:val="0"/>
        </w:rPr>
        <w:t xml:space="preserve"> and </w:t>
      </w:r>
      <w:r>
        <w:rPr>
          <w:kern w:val="0"/>
        </w:rPr>
        <w:t>contributed data to at least one perinatal analysis. Random effects meta-analysis found maternal bleeding during pregnancy [odds ratio (OR) 1.33, 95% confidence interval (CI) 1.02-1.73], birth order (primiparous vs not, 1.08, 95% CI 1.01-1.16; second vs first, OR 0.94, 95% CI 0.88-0.99; third vs first, OR 0.91, 95% CI 0.83-1.01; fourth vs first, OR 0.80, 95% CI 0.69-0.94)</w:t>
      </w:r>
      <w:r w:rsidR="00F81221">
        <w:rPr>
          <w:kern w:val="0"/>
        </w:rPr>
        <w:t xml:space="preserve"> and </w:t>
      </w:r>
      <w:r>
        <w:rPr>
          <w:kern w:val="0"/>
        </w:rPr>
        <w:t>sibship size (2 vs 1, OR 0.93, 95% CI 0.75-1.15; 3 vs 1, OR 0.89, 95% CI 0.74-1.07; 4 vs 1, OR 0.75, 95% CI 0.62-0.90) to be associated with testicular cancer risk. Meta-analyses that produced summary estimates which indicated no association included maternal age, maternal nausea, maternal hypertension, pre-eclampsia, breech delivery</w:t>
      </w:r>
      <w:r w:rsidR="00F81221">
        <w:rPr>
          <w:kern w:val="0"/>
        </w:rPr>
        <w:t xml:space="preserve"> and </w:t>
      </w:r>
      <w:r>
        <w:rPr>
          <w:kern w:val="0"/>
        </w:rPr>
        <w:t>caesarean section. Meta-regression provided evidence that continent of study is important in the relationship between caesarean section</w:t>
      </w:r>
      <w:r w:rsidR="00F81221">
        <w:rPr>
          <w:kern w:val="0"/>
        </w:rPr>
        <w:t xml:space="preserve"> and </w:t>
      </w:r>
      <w:r>
        <w:rPr>
          <w:kern w:val="0"/>
        </w:rPr>
        <w:t>testicular cancer (P = 0.035),</w:t>
      </w:r>
      <w:r w:rsidR="00F81221">
        <w:rPr>
          <w:kern w:val="0"/>
        </w:rPr>
        <w:t xml:space="preserve"> and </w:t>
      </w:r>
      <w:r>
        <w:rPr>
          <w:kern w:val="0"/>
        </w:rPr>
        <w:t>a meta-analysis restricted to the three studies from the USA was suggestive of association (OR 1.67, 95% CI 1.07-2.56). Conclusions This systematic review</w:t>
      </w:r>
      <w:r w:rsidR="00F81221">
        <w:rPr>
          <w:kern w:val="0"/>
        </w:rPr>
        <w:t xml:space="preserve"> and </w:t>
      </w:r>
      <w:r>
        <w:rPr>
          <w:kern w:val="0"/>
        </w:rPr>
        <w:t>meta-analysis has found evidence for associations of maternal bleeding, birth order, sibship size</w:t>
      </w:r>
      <w:r w:rsidR="00F81221">
        <w:rPr>
          <w:kern w:val="0"/>
        </w:rPr>
        <w:t xml:space="preserve"> and </w:t>
      </w:r>
      <w:r>
        <w:rPr>
          <w:kern w:val="0"/>
        </w:rPr>
        <w:t>possibly caesarean section with risk of testicular cancer.</w:t>
      </w:r>
    </w:p>
    <w:p w:rsidR="00B435EC" w:rsidRDefault="00B435EC" w:rsidP="00B435EC">
      <w:pPr>
        <w:pStyle w:val="a0"/>
        <w:rPr>
          <w:kern w:val="0"/>
        </w:rPr>
      </w:pPr>
      <w:r>
        <w:rPr>
          <w:kern w:val="0"/>
        </w:rPr>
        <w:t xml:space="preserve">Keywords: Analysis, Birth-Order, Cancer, Carcinoma-Insitu, Databases, Embase, Epidemiology, Germ-Cell Tumors, Hypertension, Males Born, Maternal Age, Meta Analysis, Meta-Analysis, Methods, Perinatal, Population, Pre-Eclampsia, Pregnancy, Pregnancy, Pubmed, Ratio, Review, Risk, Science, Scopus, Search Strategies, Sibship Size, Systematic, Systematic Review, Testicular Cancer, Testicular </w:t>
      </w:r>
      <w:r>
        <w:rPr>
          <w:kern w:val="0"/>
        </w:rPr>
        <w:lastRenderedPageBreak/>
        <w:t>Neoplasms, Testis Cancer, United-States, Web of Science</w:t>
      </w:r>
    </w:p>
    <w:p w:rsidR="00B435EC" w:rsidRDefault="00B435EC" w:rsidP="00B435EC">
      <w:pPr>
        <w:pStyle w:val="a0"/>
        <w:rPr>
          <w:kern w:val="0"/>
        </w:rPr>
      </w:pPr>
      <w:r>
        <w:rPr>
          <w:kern w:val="0"/>
        </w:rPr>
        <w:t>? Cook, M.B., Akre, O., Forman, D., Madigan, M.P., Richiardi, L.</w:t>
      </w:r>
      <w:r w:rsidR="00F81221">
        <w:rPr>
          <w:kern w:val="0"/>
        </w:rPr>
        <w:t xml:space="preserve"> and </w:t>
      </w:r>
      <w:r>
        <w:rPr>
          <w:kern w:val="0"/>
        </w:rPr>
        <w:t>McGlynn, K.A. (2010), A systematic review</w:t>
      </w:r>
      <w:r w:rsidR="00F81221">
        <w:rPr>
          <w:kern w:val="0"/>
        </w:rPr>
        <w:t xml:space="preserve"> and </w:t>
      </w:r>
      <w:r>
        <w:rPr>
          <w:kern w:val="0"/>
        </w:rPr>
        <w:t xml:space="preserve">meta-analysis of perinatal variables in relation to the risk of testicular cancer-experiences of the son. </w:t>
      </w:r>
      <w:r>
        <w:rPr>
          <w:i/>
          <w:iCs/>
          <w:kern w:val="0"/>
        </w:rPr>
        <w:t>International Journal of Epidemiology</w:t>
      </w:r>
      <w:r>
        <w:rPr>
          <w:kern w:val="0"/>
        </w:rPr>
        <w:t xml:space="preserve">, </w:t>
      </w:r>
      <w:r>
        <w:rPr>
          <w:b/>
          <w:bCs/>
          <w:kern w:val="0"/>
        </w:rPr>
        <w:t>39</w:t>
      </w:r>
      <w:r>
        <w:rPr>
          <w:kern w:val="0"/>
        </w:rPr>
        <w:t xml:space="preserve"> (6), 1605-1618.</w:t>
      </w:r>
    </w:p>
    <w:p w:rsidR="009C26D7" w:rsidRDefault="009C26D7" w:rsidP="009C26D7">
      <w:pPr>
        <w:pStyle w:val="a0"/>
      </w:pPr>
      <w:r>
        <w:t xml:space="preserve">Full Text: </w:t>
      </w:r>
      <w:hyperlink r:id="rId1898" w:history="1">
        <w:r w:rsidRPr="007F3E03">
          <w:rPr>
            <w:rStyle w:val="a5"/>
          </w:rPr>
          <w:t>2010\Int J Epi39, 1605.pdf</w:t>
        </w:r>
      </w:hyperlink>
    </w:p>
    <w:p w:rsidR="00B435EC" w:rsidRDefault="00B435EC" w:rsidP="00B435EC">
      <w:pPr>
        <w:pStyle w:val="a0"/>
        <w:rPr>
          <w:kern w:val="0"/>
        </w:rPr>
      </w:pPr>
      <w:r>
        <w:rPr>
          <w:kern w:val="0"/>
        </w:rPr>
        <w:t>Abstract: Background We undertook a systematic review</w:t>
      </w:r>
      <w:r w:rsidR="00F81221">
        <w:rPr>
          <w:kern w:val="0"/>
        </w:rPr>
        <w:t xml:space="preserve"> and </w:t>
      </w:r>
      <w:r>
        <w:rPr>
          <w:kern w:val="0"/>
        </w:rPr>
        <w:t>meta-analysis of perinatal variables in relation to testicular cancer risk, with a specific focus upon characteristics of the son. Methods Literature databases Scopus, EMBASE, PUBMED</w:t>
      </w:r>
      <w:r w:rsidR="00F81221">
        <w:rPr>
          <w:kern w:val="0"/>
        </w:rPr>
        <w:t xml:space="preserve"> and </w:t>
      </w:r>
      <w:r>
        <w:rPr>
          <w:kern w:val="0"/>
        </w:rPr>
        <w:t>Web of Science were searched using highly sensitive search strategies. of 5865 references retrieved, 67 articles met the inclusion criteria, each of which was included in at least one perinatal analysis. Results Random effects meta-analysis produced the following results for association with testicular cancer risk: birth weight [per kilogram, odds ratio (OR) = 0.94, 95% confidence interval (CI) 0.88-1.01, I(2) = 12%], low birth weight (OR = 1.34, 95% CI 1.08-1.67, I(2) = 51%), high birth weight (OR = 1.05, 95% CI 0.96-1.14, I(2) = 0%), gestational age (per week, OR = 0.95, 95% CI 0.92-0.98, I(2) = 38%; low vs not, OR = 1.31, 95% CI 1.07-1.59, I(2) = 49%), cryptorchidism (OR = 4.30, 95% CI 3.62-5.11, I(2) = 44%), inguinal hernia (OR = 1.63, 95% CI 1.37-1.94, I(2) = 38%)</w:t>
      </w:r>
      <w:r w:rsidR="00F81221">
        <w:rPr>
          <w:kern w:val="0"/>
        </w:rPr>
        <w:t xml:space="preserve"> and </w:t>
      </w:r>
      <w:r>
        <w:rPr>
          <w:kern w:val="0"/>
        </w:rPr>
        <w:t>twinning (OR = 1.22, 95% CI 1.03-1.44, I(2) = 22%). Meta-analyses of the variables birth length, breastfeeding</w:t>
      </w:r>
      <w:r w:rsidR="00F81221">
        <w:rPr>
          <w:kern w:val="0"/>
        </w:rPr>
        <w:t xml:space="preserve"> and </w:t>
      </w:r>
      <w:r>
        <w:rPr>
          <w:kern w:val="0"/>
        </w:rPr>
        <w:t>neonatal jaundice did not provide evidence for an association with testicular cancer risk. When low birth weight was stratified by data ascertainment (record/registry vs self-report), only the category of self-report was indicative of an association. Meta-regression of data ascertainment (record/registry vs self-report) inferred that record-/registry-based studies were less supportive of an association with gestational age (per week = 0.97, 95% CI 0.94-1.00, I(2) = 29%; low vs not = 1.08, 95% CI 0.91-1.28, I(2) = 32%). Conclusion In conclusion, this systematic review</w:t>
      </w:r>
      <w:r w:rsidR="00F81221">
        <w:rPr>
          <w:kern w:val="0"/>
        </w:rPr>
        <w:t xml:space="preserve"> and </w:t>
      </w:r>
      <w:r>
        <w:rPr>
          <w:kern w:val="0"/>
        </w:rPr>
        <w:t>meta-analysis finds evidence that cryptorchidism, inguinal hernia</w:t>
      </w:r>
      <w:r w:rsidR="00F81221">
        <w:rPr>
          <w:kern w:val="0"/>
        </w:rPr>
        <w:t xml:space="preserve"> and </w:t>
      </w:r>
      <w:r>
        <w:rPr>
          <w:kern w:val="0"/>
        </w:rPr>
        <w:t>twinning,</w:t>
      </w:r>
      <w:r w:rsidR="00F81221">
        <w:rPr>
          <w:kern w:val="0"/>
        </w:rPr>
        <w:t xml:space="preserve"> and </w:t>
      </w:r>
      <w:r>
        <w:rPr>
          <w:kern w:val="0"/>
        </w:rPr>
        <w:t>tentative evidence that birth weight</w:t>
      </w:r>
      <w:r w:rsidR="00F81221">
        <w:rPr>
          <w:kern w:val="0"/>
        </w:rPr>
        <w:t xml:space="preserve"> and </w:t>
      </w:r>
      <w:r>
        <w:rPr>
          <w:kern w:val="0"/>
        </w:rPr>
        <w:t>gestational age, are associated with risk of testicular cancer.</w:t>
      </w:r>
    </w:p>
    <w:p w:rsidR="00B435EC" w:rsidRDefault="00B435EC" w:rsidP="00B435EC">
      <w:pPr>
        <w:pStyle w:val="a0"/>
        <w:rPr>
          <w:kern w:val="0"/>
        </w:rPr>
      </w:pPr>
      <w:r>
        <w:rPr>
          <w:kern w:val="0"/>
        </w:rPr>
        <w:t>Keywords: Analysis, Birth Length, Birth-Weight, Cancer, Cryptorchidism, Databases, Embase, Epidemiology, Germ-Cell Tumors, Gestational-Age, Inguinal-Hernia, Males Born, Maternal Recall, Meta-Analysis, Methods, Perinatal, Pregnancy, Pubmed, Ratio, Review, Risk, Science, Scopus, Search Strategies, Systematic, Systematic Review, Testicular Cancer, Testicular Neoplasms, Testis, United-States, Web of Science, Young Men</w:t>
      </w:r>
    </w:p>
    <w:p w:rsidR="00B435EC" w:rsidRDefault="00B435EC" w:rsidP="00B435EC">
      <w:pPr>
        <w:pStyle w:val="a0"/>
        <w:rPr>
          <w:kern w:val="0"/>
        </w:rPr>
      </w:pPr>
      <w:r>
        <w:rPr>
          <w:kern w:val="0"/>
        </w:rPr>
        <w:t>? Woodcock, J., Franco, O.H., Orsini, N.</w:t>
      </w:r>
      <w:r w:rsidR="00F81221">
        <w:rPr>
          <w:kern w:val="0"/>
        </w:rPr>
        <w:t xml:space="preserve"> and </w:t>
      </w:r>
      <w:r>
        <w:rPr>
          <w:kern w:val="0"/>
        </w:rPr>
        <w:t>Roberts, I. (2011), Non-vigorous physical activity</w:t>
      </w:r>
      <w:r w:rsidR="00F81221">
        <w:rPr>
          <w:kern w:val="0"/>
        </w:rPr>
        <w:t xml:space="preserve"> and </w:t>
      </w:r>
      <w:r>
        <w:rPr>
          <w:kern w:val="0"/>
        </w:rPr>
        <w:t>all-cause mortality: Systematic review</w:t>
      </w:r>
      <w:r w:rsidR="00F81221">
        <w:rPr>
          <w:kern w:val="0"/>
        </w:rPr>
        <w:t xml:space="preserve"> and </w:t>
      </w:r>
      <w:r>
        <w:rPr>
          <w:kern w:val="0"/>
        </w:rPr>
        <w:t xml:space="preserve">meta-analysis of cohort studies. </w:t>
      </w:r>
      <w:r>
        <w:rPr>
          <w:i/>
          <w:iCs/>
          <w:kern w:val="0"/>
        </w:rPr>
        <w:t>International Journal of Epidemiology</w:t>
      </w:r>
      <w:r>
        <w:rPr>
          <w:kern w:val="0"/>
        </w:rPr>
        <w:t xml:space="preserve">, </w:t>
      </w:r>
      <w:r>
        <w:rPr>
          <w:b/>
          <w:bCs/>
          <w:kern w:val="0"/>
        </w:rPr>
        <w:t>40</w:t>
      </w:r>
      <w:r>
        <w:rPr>
          <w:kern w:val="0"/>
        </w:rPr>
        <w:t xml:space="preserve"> (1), 121-138.</w:t>
      </w:r>
    </w:p>
    <w:p w:rsidR="00884E31" w:rsidRDefault="00884E31" w:rsidP="00884E31">
      <w:pPr>
        <w:pStyle w:val="a0"/>
      </w:pPr>
      <w:r>
        <w:lastRenderedPageBreak/>
        <w:t xml:space="preserve">Full Text: </w:t>
      </w:r>
      <w:hyperlink r:id="rId1899" w:history="1">
        <w:r w:rsidRPr="007F3E03">
          <w:rPr>
            <w:rStyle w:val="a5"/>
          </w:rPr>
          <w:t>2011\Int J Epi40, 121.pdf</w:t>
        </w:r>
      </w:hyperlink>
    </w:p>
    <w:p w:rsidR="00B435EC" w:rsidRDefault="00B435EC" w:rsidP="00B435EC">
      <w:pPr>
        <w:pStyle w:val="a0"/>
        <w:rPr>
          <w:kern w:val="0"/>
        </w:rPr>
      </w:pPr>
      <w:r>
        <w:rPr>
          <w:kern w:val="0"/>
        </w:rPr>
        <w:t>Abstract: Background Although previous studies have found physical activity to be associated with lower mortality, the dose response relationship remains unclear. In this systematic review</w:t>
      </w:r>
      <w:r w:rsidR="00F81221">
        <w:rPr>
          <w:kern w:val="0"/>
        </w:rPr>
        <w:t xml:space="preserve"> and </w:t>
      </w:r>
      <w:r>
        <w:rPr>
          <w:kern w:val="0"/>
        </w:rPr>
        <w:t>meta-analysis we quantify the dose-response relationship of non-vigorous physical activity</w:t>
      </w:r>
      <w:r w:rsidR="00F81221">
        <w:rPr>
          <w:kern w:val="0"/>
        </w:rPr>
        <w:t xml:space="preserve"> and </w:t>
      </w:r>
      <w:r>
        <w:rPr>
          <w:kern w:val="0"/>
        </w:rPr>
        <w:t>all-cause mortality. Methods We aimed to include all cohort studies in adult populations with a sample size of more than 10 000 participants that estimated the effect of different levels of light or moderate physical activity on all-cause mortality. We searched MEDLINE, EMBASE, Cochrane (DARE), Web of Science</w:t>
      </w:r>
      <w:r w:rsidR="00F81221">
        <w:rPr>
          <w:kern w:val="0"/>
        </w:rPr>
        <w:t xml:space="preserve"> and </w:t>
      </w:r>
      <w:r>
        <w:rPr>
          <w:kern w:val="0"/>
        </w:rPr>
        <w:t>Global Health (June 2009). We used dose-response meta-regression models to estimate the relation between non-vigorous physical activity</w:t>
      </w:r>
      <w:r w:rsidR="00F81221">
        <w:rPr>
          <w:kern w:val="0"/>
        </w:rPr>
        <w:t xml:space="preserve"> and </w:t>
      </w:r>
      <w:r>
        <w:rPr>
          <w:kern w:val="0"/>
        </w:rPr>
        <w:t>mortality. Results We identified 22 studies that met our inclusion criteria, containing 977 925 (334 738 men</w:t>
      </w:r>
      <w:r w:rsidR="00F81221">
        <w:rPr>
          <w:kern w:val="0"/>
        </w:rPr>
        <w:t xml:space="preserve"> and </w:t>
      </w:r>
      <w:r>
        <w:rPr>
          <w:kern w:val="0"/>
        </w:rPr>
        <w:t>643 187 women) people. There was considerable variation between the studies in their categorization of physical activity</w:t>
      </w:r>
      <w:r w:rsidR="00F81221">
        <w:rPr>
          <w:kern w:val="0"/>
        </w:rPr>
        <w:t xml:space="preserve"> and </w:t>
      </w:r>
      <w:r>
        <w:rPr>
          <w:kern w:val="0"/>
        </w:rPr>
        <w:t>adjustment for potential confounders. We found that 2.5 h/week (equivalent to 30 min daily of moderate intensity activity on 5 days a week) compared with no activity was associated with a reduction in mortality risk of 19% [95% confidence interval (CI) 15-24], while 7h/week of moderate activity compared with no activity reduced the mortality risk by 24% (95% CI 19-29). We found a smaller effect in studies that looked at walking alone. Conclusion Being physically active reduces the risk of all-cause mortality. The largest benefit was found from moving from no activity to low levels of activity, but even at high levels of activity benefits accrue from additional activity.</w:t>
      </w:r>
    </w:p>
    <w:p w:rsidR="00B435EC" w:rsidRDefault="00B435EC" w:rsidP="00B435EC">
      <w:pPr>
        <w:pStyle w:val="a0"/>
        <w:rPr>
          <w:kern w:val="0"/>
        </w:rPr>
      </w:pPr>
      <w:r>
        <w:rPr>
          <w:kern w:val="0"/>
        </w:rPr>
        <w:t>Keywords: Adult, Body-Mass Index, Cardiovascular Risk-Factors, Cochrane, Cohort Studies, Cohort Study, Coronary-Heart-Disease, Dose-Response, Dose-Response Data, Exercise, Factor Intervention Trial, Follow-Up, Harvard Alumni Health, Health, Leisure-Time, Life-Style, Meta-Analysis, Methods, Mortality, Physical Activity, Review, Risk, Science, Systematic, Systematic Review, Trend Estimation, Walking, Web of Science, Women</w:t>
      </w:r>
    </w:p>
    <w:p w:rsidR="00B435EC" w:rsidRDefault="00B435EC" w:rsidP="00B435EC">
      <w:pPr>
        <w:pStyle w:val="a0"/>
        <w:rPr>
          <w:kern w:val="0"/>
        </w:rPr>
      </w:pPr>
      <w:r>
        <w:rPr>
          <w:kern w:val="0"/>
        </w:rPr>
        <w:t>? Dumith, S.C., Gigante, D.P., Domingues, M.R.</w:t>
      </w:r>
      <w:r w:rsidR="00F81221">
        <w:rPr>
          <w:kern w:val="0"/>
        </w:rPr>
        <w:t xml:space="preserve"> and </w:t>
      </w:r>
      <w:r>
        <w:rPr>
          <w:kern w:val="0"/>
        </w:rPr>
        <w:t>Kohl, H.W. (2011), Physical activity change during adolescence: A systematic review</w:t>
      </w:r>
      <w:r w:rsidR="00F81221">
        <w:rPr>
          <w:kern w:val="0"/>
        </w:rPr>
        <w:t xml:space="preserve"> and </w:t>
      </w:r>
      <w:r>
        <w:rPr>
          <w:kern w:val="0"/>
        </w:rPr>
        <w:t xml:space="preserve">a pooled analysis. </w:t>
      </w:r>
      <w:r>
        <w:rPr>
          <w:i/>
          <w:iCs/>
          <w:kern w:val="0"/>
        </w:rPr>
        <w:t>International Journal of Epidemiology</w:t>
      </w:r>
      <w:r>
        <w:rPr>
          <w:kern w:val="0"/>
        </w:rPr>
        <w:t xml:space="preserve">, </w:t>
      </w:r>
      <w:r>
        <w:rPr>
          <w:b/>
          <w:bCs/>
          <w:kern w:val="0"/>
        </w:rPr>
        <w:t>40</w:t>
      </w:r>
      <w:r>
        <w:rPr>
          <w:kern w:val="0"/>
        </w:rPr>
        <w:t xml:space="preserve"> (3), 685-698.</w:t>
      </w:r>
    </w:p>
    <w:p w:rsidR="00B435EC" w:rsidRDefault="00B435EC" w:rsidP="00B435EC">
      <w:pPr>
        <w:pStyle w:val="a0"/>
      </w:pPr>
      <w:r>
        <w:t xml:space="preserve">Full Text: </w:t>
      </w:r>
      <w:hyperlink r:id="rId1900" w:history="1">
        <w:r w:rsidR="00884E31" w:rsidRPr="00884E31">
          <w:rPr>
            <w:rStyle w:val="a5"/>
          </w:rPr>
          <w:t>2011\Int J Epi40, 685.pdf</w:t>
        </w:r>
      </w:hyperlink>
    </w:p>
    <w:p w:rsidR="00B435EC" w:rsidRDefault="00B435EC" w:rsidP="00B435EC">
      <w:pPr>
        <w:pStyle w:val="a0"/>
        <w:rPr>
          <w:kern w:val="0"/>
        </w:rPr>
      </w:pPr>
      <w:r>
        <w:rPr>
          <w:kern w:val="0"/>
        </w:rPr>
        <w:t>Abstract: Background It is presumed that physical activity (PA) level declines during the lifespan, particularly in adolescence. However, currently, there is no study that quantifies these changes</w:t>
      </w:r>
      <w:r w:rsidR="00F81221">
        <w:rPr>
          <w:kern w:val="0"/>
        </w:rPr>
        <w:t xml:space="preserve"> and </w:t>
      </w:r>
      <w:r>
        <w:rPr>
          <w:kern w:val="0"/>
        </w:rPr>
        <w:t>pools results for a common interpretation. Therefore, the purpose was to systematically review the international literature regarding PA change during adolescence,</w:t>
      </w:r>
      <w:r w:rsidR="00F81221">
        <w:rPr>
          <w:kern w:val="0"/>
        </w:rPr>
        <w:t xml:space="preserve"> and </w:t>
      </w:r>
      <w:r>
        <w:rPr>
          <w:kern w:val="0"/>
        </w:rPr>
        <w:t>to quantify that change according to a series of study variables, exploring gender-and-age differences. Methods An electronic search was conducted in the MEDLINE/PUBMED</w:t>
      </w:r>
      <w:r w:rsidR="00F81221">
        <w:rPr>
          <w:kern w:val="0"/>
        </w:rPr>
        <w:t xml:space="preserve"> and </w:t>
      </w:r>
      <w:r>
        <w:rPr>
          <w:kern w:val="0"/>
        </w:rPr>
        <w:t xml:space="preserve">Web of Science databases. Longitudinal </w:t>
      </w:r>
      <w:r>
        <w:rPr>
          <w:kern w:val="0"/>
        </w:rPr>
        <w:lastRenderedPageBreak/>
        <w:t>studies with, at least, two PA measures throughout adolescence (10-19 years old) or the first PA measure during childhood</w:t>
      </w:r>
      <w:r w:rsidR="00F81221">
        <w:rPr>
          <w:kern w:val="0"/>
        </w:rPr>
        <w:t xml:space="preserve"> and </w:t>
      </w:r>
      <w:r>
        <w:rPr>
          <w:kern w:val="0"/>
        </w:rPr>
        <w:t>the second one during adolescence were selected. From each article, study project name, country, year of the first data collection, sample size, baseline age, follow-up duration, characteristics of the instrument (type, recall time, PA intensity</w:t>
      </w:r>
      <w:r w:rsidR="00F81221">
        <w:rPr>
          <w:kern w:val="0"/>
        </w:rPr>
        <w:t xml:space="preserve"> and </w:t>
      </w:r>
      <w:r>
        <w:rPr>
          <w:kern w:val="0"/>
        </w:rPr>
        <w:t>PA domain), unit of PA measure</w:t>
      </w:r>
      <w:r w:rsidR="00F81221">
        <w:rPr>
          <w:kern w:val="0"/>
        </w:rPr>
        <w:t xml:space="preserve"> and </w:t>
      </w:r>
      <w:r>
        <w:rPr>
          <w:kern w:val="0"/>
        </w:rPr>
        <w:t>report of statistical significance were collected. Results Overall, 26 studies matched the inclusion criteria. Most were carried out in the USA, assessed PA by questionnaire,</w:t>
      </w:r>
      <w:r w:rsidR="00F81221">
        <w:rPr>
          <w:kern w:val="0"/>
        </w:rPr>
        <w:t xml:space="preserve"> and </w:t>
      </w:r>
      <w:r>
        <w:rPr>
          <w:kern w:val="0"/>
        </w:rPr>
        <w:t>found a decline in PA levels during the adolescence. On average, the mean percentage PA change per year, across all studies, was -7.0 (95% confidence interval: -8.8 to -5.2), ranging from -18.8 to 7.8. The decline was significant according to most sub-groups of variables analysed. Although earlier studies revealed a higher PA decline in boys, the decline has been greater in girls in more recent studies (commenced after 1997). Moreover, although the decline among girls was higher in younger ages at baseline (9-12 years), it was higher in older ages (13-16 years) among boys. Conclusions The decline of PA during adolescence is a consistent finding in the literature. Differences between boys</w:t>
      </w:r>
      <w:r w:rsidR="00F81221">
        <w:rPr>
          <w:kern w:val="0"/>
        </w:rPr>
        <w:t xml:space="preserve"> and </w:t>
      </w:r>
      <w:r>
        <w:rPr>
          <w:kern w:val="0"/>
        </w:rPr>
        <w:t>girls were observed</w:t>
      </w:r>
      <w:r w:rsidR="00F81221">
        <w:rPr>
          <w:kern w:val="0"/>
        </w:rPr>
        <w:t xml:space="preserve"> and </w:t>
      </w:r>
      <w:r>
        <w:rPr>
          <w:kern w:val="0"/>
        </w:rPr>
        <w:t>should be explored in future studies. Interventions that attempt to attenuate the PA decline, even without an increase in PA levels, could be considered as effective.</w:t>
      </w:r>
    </w:p>
    <w:p w:rsidR="00B435EC" w:rsidRDefault="00B435EC" w:rsidP="00B435EC">
      <w:pPr>
        <w:pStyle w:val="a0"/>
        <w:rPr>
          <w:kern w:val="0"/>
        </w:rPr>
      </w:pPr>
      <w:r>
        <w:rPr>
          <w:kern w:val="0"/>
        </w:rPr>
        <w:t>Keywords: 3-Year Follow-Up, Adolescent, Aerobic Fitness, Age-Related Decline, Analysis, Child, Childhood, Data Collection, Databases, Disease Risk-Factors, Exercise, Follow-Up, Girls, Interpretation, Literature, Longitudinal Studies, Methods, Motor Activity, Physical Activity, Pooled Analysis, Questionnaire, Review, Science, Sedentary Behavior, Self-Perceptions, Sports, Statistical, Systematic, Systematic Review, Tracking, Web of Science, Young Adulthood</w:t>
      </w:r>
    </w:p>
    <w:p w:rsidR="003960A6" w:rsidRDefault="003960A6" w:rsidP="003960A6">
      <w:pPr>
        <w:pStyle w:val="a0"/>
        <w:rPr>
          <w:kern w:val="0"/>
        </w:rPr>
      </w:pPr>
      <w:r>
        <w:rPr>
          <w:rFonts w:hint="eastAsia"/>
          <w:kern w:val="0"/>
        </w:rPr>
        <w:t xml:space="preserve">? </w:t>
      </w:r>
      <w:r>
        <w:rPr>
          <w:kern w:val="0"/>
        </w:rPr>
        <w:t>Blakely, T., Pega, F., Nakamura, Y., Beaglehole, R., Lee, L.</w:t>
      </w:r>
      <w:r w:rsidR="00F81221">
        <w:rPr>
          <w:kern w:val="0"/>
        </w:rPr>
        <w:t xml:space="preserve"> and </w:t>
      </w:r>
      <w:r>
        <w:rPr>
          <w:kern w:val="0"/>
        </w:rPr>
        <w:t>Tukuitonga, C.F. (2011), Health status</w:t>
      </w:r>
      <w:r w:rsidR="00F81221">
        <w:rPr>
          <w:kern w:val="0"/>
        </w:rPr>
        <w:t xml:space="preserve"> and </w:t>
      </w:r>
      <w:r>
        <w:rPr>
          <w:kern w:val="0"/>
        </w:rPr>
        <w:t>epidemiological capacity</w:t>
      </w:r>
      <w:r w:rsidR="00F81221">
        <w:rPr>
          <w:kern w:val="0"/>
        </w:rPr>
        <w:t xml:space="preserve"> and </w:t>
      </w:r>
      <w:r>
        <w:rPr>
          <w:kern w:val="0"/>
        </w:rPr>
        <w:t xml:space="preserve">prospects: WHO Western Pacific Region. </w:t>
      </w:r>
      <w:r>
        <w:rPr>
          <w:i/>
          <w:iCs/>
          <w:kern w:val="0"/>
        </w:rPr>
        <w:t>International Journal of Epidemiology</w:t>
      </w:r>
      <w:r>
        <w:rPr>
          <w:kern w:val="0"/>
        </w:rPr>
        <w:t xml:space="preserve">, </w:t>
      </w:r>
      <w:r>
        <w:rPr>
          <w:b/>
          <w:bCs/>
          <w:kern w:val="0"/>
        </w:rPr>
        <w:t>40</w:t>
      </w:r>
      <w:r>
        <w:rPr>
          <w:kern w:val="0"/>
        </w:rPr>
        <w:t xml:space="preserve"> (4), 1109-1121.</w:t>
      </w:r>
    </w:p>
    <w:p w:rsidR="003960A6" w:rsidRPr="001A3D2B" w:rsidRDefault="003960A6" w:rsidP="003960A6">
      <w:pPr>
        <w:pStyle w:val="a0"/>
      </w:pPr>
      <w:r w:rsidRPr="001A3D2B">
        <w:t xml:space="preserve">Full Text: </w:t>
      </w:r>
      <w:hyperlink r:id="rId1901" w:history="1">
        <w:r w:rsidR="00884E31" w:rsidRPr="00884E31">
          <w:rPr>
            <w:rStyle w:val="a5"/>
          </w:rPr>
          <w:t>2011\Int J Epi40, 1109.pdf</w:t>
        </w:r>
      </w:hyperlink>
    </w:p>
    <w:p w:rsidR="003960A6" w:rsidRDefault="003960A6" w:rsidP="003960A6">
      <w:pPr>
        <w:pStyle w:val="a0"/>
        <w:rPr>
          <w:kern w:val="0"/>
        </w:rPr>
      </w:pPr>
      <w:r>
        <w:rPr>
          <w:kern w:val="0"/>
        </w:rPr>
        <w:t>Abstract: Methods Global mortality</w:t>
      </w:r>
      <w:r w:rsidR="00F81221">
        <w:rPr>
          <w:kern w:val="0"/>
        </w:rPr>
        <w:t xml:space="preserve"> and </w:t>
      </w:r>
      <w:r>
        <w:rPr>
          <w:kern w:val="0"/>
        </w:rPr>
        <w:t>disease data were used to summarize the burden of mortality, disease, risk factor</w:t>
      </w:r>
      <w:r w:rsidR="00F81221">
        <w:rPr>
          <w:kern w:val="0"/>
        </w:rPr>
        <w:t xml:space="preserve"> and </w:t>
      </w:r>
      <w:r>
        <w:rPr>
          <w:kern w:val="0"/>
        </w:rPr>
        <w:t>patterns of inequalities in the region. Medline bibliometrics were used to estimate epidemiological publication output by country. Key informant surveys, Internet</w:t>
      </w:r>
      <w:r w:rsidR="00F81221">
        <w:rPr>
          <w:kern w:val="0"/>
        </w:rPr>
        <w:t xml:space="preserve"> and </w:t>
      </w:r>
      <w:r>
        <w:rPr>
          <w:kern w:val="0"/>
        </w:rPr>
        <w:t>literature searches</w:t>
      </w:r>
      <w:r w:rsidR="00F81221">
        <w:rPr>
          <w:kern w:val="0"/>
        </w:rPr>
        <w:t xml:space="preserve"> and </w:t>
      </w:r>
      <w:r>
        <w:rPr>
          <w:kern w:val="0"/>
        </w:rPr>
        <w:t>author knowledge</w:t>
      </w:r>
      <w:r w:rsidR="00F81221">
        <w:rPr>
          <w:kern w:val="0"/>
        </w:rPr>
        <w:t xml:space="preserve"> and </w:t>
      </w:r>
      <w:r>
        <w:rPr>
          <w:kern w:val="0"/>
        </w:rPr>
        <w:t>networks were used to elicit perspectives on epidemiological training, research, funding</w:t>
      </w:r>
      <w:r w:rsidR="00F81221">
        <w:rPr>
          <w:kern w:val="0"/>
        </w:rPr>
        <w:t xml:space="preserve"> and </w:t>
      </w:r>
      <w:r>
        <w:rPr>
          <w:kern w:val="0"/>
        </w:rPr>
        <w:t>workforce. Findings The WPR has the lowest age-standardized disability-adjusted life-years (DALY) rate per 1000 of the six WHO regions, with non-communicable disease making the largest percentage contributions in both low-</w:t>
      </w:r>
      <w:r w:rsidR="00F81221">
        <w:rPr>
          <w:kern w:val="0"/>
        </w:rPr>
        <w:t xml:space="preserve"> and </w:t>
      </w:r>
      <w:r>
        <w:rPr>
          <w:kern w:val="0"/>
        </w:rPr>
        <w:t>middle-income countries (LMICs, 68%)</w:t>
      </w:r>
      <w:r w:rsidR="00F81221">
        <w:rPr>
          <w:kern w:val="0"/>
        </w:rPr>
        <w:t xml:space="preserve"> and </w:t>
      </w:r>
      <w:r>
        <w:rPr>
          <w:kern w:val="0"/>
        </w:rPr>
        <w:t>high-income countries (HICs, 84%) in the WPR. The number of Medline-indexed epidemiological research publications per year was greatest for Japan, Australia</w:t>
      </w:r>
      <w:r w:rsidR="00F81221">
        <w:rPr>
          <w:kern w:val="0"/>
        </w:rPr>
        <w:t xml:space="preserve"> and </w:t>
      </w:r>
      <w:r>
        <w:rPr>
          <w:kern w:val="0"/>
        </w:rPr>
        <w:t xml:space="preserve">China. However, the rate per head of </w:t>
      </w:r>
      <w:r>
        <w:rPr>
          <w:kern w:val="0"/>
        </w:rPr>
        <w:lastRenderedPageBreak/>
        <w:t>population was greatest for Micronesia</w:t>
      </w:r>
      <w:r w:rsidR="00F81221">
        <w:rPr>
          <w:kern w:val="0"/>
        </w:rPr>
        <w:t xml:space="preserve"> and </w:t>
      </w:r>
      <w:r>
        <w:rPr>
          <w:kern w:val="0"/>
        </w:rPr>
        <w:t>New Zealand. The substantive focus of research roughly equated with burden of disease patterns. Research capacity (staff, funding, infrastructure) varies hugely between countries. Epidemiology training embedded within academic Masters of Public Health programmes is the dominant vehicle for training in most countries. Field epidemiology</w:t>
      </w:r>
      <w:r w:rsidR="00F81221">
        <w:rPr>
          <w:kern w:val="0"/>
        </w:rPr>
        <w:t xml:space="preserve"> and </w:t>
      </w:r>
      <w:r>
        <w:rPr>
          <w:kern w:val="0"/>
        </w:rPr>
        <w:t>in-service training are also common. The Pacific Island countries</w:t>
      </w:r>
      <w:r w:rsidR="00F81221">
        <w:rPr>
          <w:kern w:val="0"/>
        </w:rPr>
        <w:t xml:space="preserve"> and </w:t>
      </w:r>
      <w:r>
        <w:rPr>
          <w:kern w:val="0"/>
        </w:rPr>
        <w:t>territories, because of sparse populations over large distances</w:t>
      </w:r>
      <w:r w:rsidR="00F81221">
        <w:rPr>
          <w:kern w:val="0"/>
        </w:rPr>
        <w:t xml:space="preserve"> and </w:t>
      </w:r>
      <w:r>
        <w:rPr>
          <w:kern w:val="0"/>
        </w:rPr>
        <w:t>chronic workforce</w:t>
      </w:r>
      <w:r w:rsidR="00F81221">
        <w:rPr>
          <w:kern w:val="0"/>
        </w:rPr>
        <w:t xml:space="preserve"> and </w:t>
      </w:r>
      <w:r>
        <w:rPr>
          <w:kern w:val="0"/>
        </w:rPr>
        <w:t>funding capacity problems, rely on outside agencies (e.g. WHO, universities) for provision of training. Cross-national networks</w:t>
      </w:r>
      <w:r w:rsidR="00F81221">
        <w:rPr>
          <w:kern w:val="0"/>
        </w:rPr>
        <w:t xml:space="preserve"> and </w:t>
      </w:r>
      <w:r>
        <w:rPr>
          <w:kern w:val="0"/>
        </w:rPr>
        <w:t>collaborations are increasing. Conclusion Communicable disease surveillance</w:t>
      </w:r>
      <w:r w:rsidR="00F81221">
        <w:rPr>
          <w:kern w:val="0"/>
        </w:rPr>
        <w:t xml:space="preserve"> and </w:t>
      </w:r>
      <w:r>
        <w:rPr>
          <w:kern w:val="0"/>
        </w:rPr>
        <w:t>research need consolidation (especially in eastern Asian WPR countries),</w:t>
      </w:r>
      <w:r w:rsidR="00F81221">
        <w:rPr>
          <w:kern w:val="0"/>
        </w:rPr>
        <w:t xml:space="preserve"> and </w:t>
      </w:r>
      <w:r>
        <w:rPr>
          <w:kern w:val="0"/>
        </w:rPr>
        <w:t>non-communicable disease epidemiological capacity requires strengthening to match disease trends. Capacity</w:t>
      </w:r>
      <w:r w:rsidR="00F81221">
        <w:rPr>
          <w:kern w:val="0"/>
        </w:rPr>
        <w:t xml:space="preserve"> and </w:t>
      </w:r>
      <w:r>
        <w:rPr>
          <w:kern w:val="0"/>
        </w:rPr>
        <w:t>sustainability of both training</w:t>
      </w:r>
      <w:r w:rsidR="00F81221">
        <w:rPr>
          <w:kern w:val="0"/>
        </w:rPr>
        <w:t xml:space="preserve"> and </w:t>
      </w:r>
      <w:r>
        <w:rPr>
          <w:kern w:val="0"/>
        </w:rPr>
        <w:t>research within LMICs in WPR are ongoing priorities. China in particular is advancing quickly. One role for the IEA in building capacity is facilitating collaborative networks within WPR.</w:t>
      </w:r>
    </w:p>
    <w:p w:rsidR="003960A6" w:rsidRDefault="003960A6" w:rsidP="003960A6">
      <w:pPr>
        <w:pStyle w:val="a0"/>
        <w:rPr>
          <w:kern w:val="0"/>
        </w:rPr>
      </w:pPr>
      <w:r>
        <w:rPr>
          <w:kern w:val="0"/>
        </w:rPr>
        <w:t>Keywords: Author, Bibliometrics, Burden, Capacity, China, Disease, Epidemiology, Field, Funding, Health, Inequalities, Internet, Japan, Knowledge, Literature, Low-</w:t>
      </w:r>
      <w:r w:rsidR="00F81221">
        <w:rPr>
          <w:kern w:val="0"/>
        </w:rPr>
        <w:t xml:space="preserve"> and </w:t>
      </w:r>
      <w:r>
        <w:rPr>
          <w:kern w:val="0"/>
        </w:rPr>
        <w:t>Middle-Income Countries, Methods, Mortality, New Zealand, New-Zealand, Priorities, Public Health, Publication, Publications, Research, Risk, Risk Factor, Service, Surveillance, Systematic Analysis, Training, Trends, Western Pacific, Western Pacific Region, Who, Workforce</w:t>
      </w:r>
    </w:p>
    <w:p w:rsidR="00B95188" w:rsidRPr="00A428C3" w:rsidRDefault="00B95188" w:rsidP="00B95188">
      <w:pPr>
        <w:pStyle w:val="1"/>
      </w:pPr>
      <w:r w:rsidRPr="00A428C3">
        <w:br w:type="page"/>
      </w:r>
      <w:bookmarkStart w:id="1340" w:name="_Toc487192727"/>
      <w:bookmarkStart w:id="1341" w:name="_Toc489709758"/>
      <w:bookmarkStart w:id="1342" w:name="_Toc490688066"/>
      <w:bookmarkStart w:id="1343" w:name="_Toc492812179"/>
      <w:bookmarkStart w:id="1344" w:name="_Toc186647918"/>
      <w:bookmarkStart w:id="1345" w:name="_Toc317161296"/>
      <w:r w:rsidRPr="00A428C3">
        <w:lastRenderedPageBreak/>
        <w:t>Title: International Journal of Food Microbiology</w:t>
      </w:r>
      <w:bookmarkEnd w:id="1340"/>
      <w:bookmarkEnd w:id="1341"/>
      <w:bookmarkEnd w:id="1342"/>
      <w:bookmarkEnd w:id="1343"/>
      <w:bookmarkEnd w:id="1344"/>
      <w:bookmarkEnd w:id="1345"/>
    </w:p>
    <w:p w:rsidR="00B95188" w:rsidRPr="00A428C3" w:rsidRDefault="00B95188" w:rsidP="00B72EF9">
      <w:pPr>
        <w:pStyle w:val="12"/>
      </w:pPr>
      <w:r w:rsidRPr="00A428C3">
        <w:t xml:space="preserve">Full Journal Title: </w:t>
      </w:r>
      <w:hyperlink r:id="rId1902" w:history="1">
        <w:r w:rsidRPr="00A428C3">
          <w:rPr>
            <w:rStyle w:val="a5"/>
          </w:rPr>
          <w:t>International Journal of Food Microbiology</w:t>
        </w:r>
      </w:hyperlink>
    </w:p>
    <w:p w:rsidR="00B95188" w:rsidRPr="00A428C3" w:rsidRDefault="00B95188" w:rsidP="00B72EF9">
      <w:pPr>
        <w:pStyle w:val="12"/>
      </w:pPr>
      <w:r w:rsidRPr="00A428C3">
        <w:t>ISO Abbreviated Title: Int. J. Food Microbiol.</w:t>
      </w:r>
    </w:p>
    <w:p w:rsidR="00B95188" w:rsidRPr="00A428C3" w:rsidRDefault="00B95188" w:rsidP="00B72EF9">
      <w:pPr>
        <w:pStyle w:val="12"/>
      </w:pPr>
      <w:r w:rsidRPr="00A428C3">
        <w:t>JCR Abbreviated Title: Int J Food Microbiol</w:t>
      </w:r>
    </w:p>
    <w:p w:rsidR="00B95188" w:rsidRPr="00A428C3" w:rsidRDefault="00B95188" w:rsidP="00B72EF9">
      <w:pPr>
        <w:pStyle w:val="12"/>
      </w:pPr>
      <w:r w:rsidRPr="00A428C3">
        <w:t>ISSN: 0168-1605</w:t>
      </w:r>
    </w:p>
    <w:p w:rsidR="00B95188" w:rsidRPr="00A428C3" w:rsidRDefault="00B95188" w:rsidP="00B72EF9">
      <w:pPr>
        <w:pStyle w:val="12"/>
      </w:pPr>
      <w:r w:rsidRPr="00A428C3">
        <w:t>Issues/Year: 16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Food Science &amp; Technology: Impact Factor 2.608, 4/96 (2006)</w:t>
      </w:r>
    </w:p>
    <w:p w:rsidR="00B95188" w:rsidRPr="00A428C3" w:rsidRDefault="00B95188" w:rsidP="00B72EF9">
      <w:pPr>
        <w:pStyle w:val="12"/>
      </w:pPr>
      <w:r w:rsidRPr="00A428C3">
        <w:t>Microbiology: Impact Factor 2.608, 32/89 (2006)</w:t>
      </w:r>
    </w:p>
    <w:p w:rsidR="00B95188" w:rsidRPr="00A428C3" w:rsidRDefault="00B95188" w:rsidP="00B95188">
      <w:pPr>
        <w:pStyle w:val="a0"/>
      </w:pPr>
      <w:r w:rsidRPr="00A428C3">
        <w:t>Leclerc, H., Mossel, D.A.A.</w:t>
      </w:r>
      <w:r w:rsidR="00F81221">
        <w:t xml:space="preserve"> and </w:t>
      </w:r>
      <w:r w:rsidRPr="00A428C3">
        <w:t xml:space="preserve">Savage, C. (1985), Monitoring non-carbonated (still) mineral waters for aerobic colonization. </w:t>
      </w:r>
      <w:r w:rsidRPr="00A428C3">
        <w:rPr>
          <w:i/>
        </w:rPr>
        <w:t>International Journal of Food Microbiology</w:t>
      </w:r>
      <w:r w:rsidRPr="00A428C3">
        <w:t xml:space="preserve">, </w:t>
      </w:r>
      <w:r w:rsidRPr="00A428C3">
        <w:rPr>
          <w:b/>
        </w:rPr>
        <w:t>2</w:t>
      </w:r>
      <w:r w:rsidRPr="00A428C3">
        <w:t xml:space="preserve"> (6), 341-347.</w:t>
      </w:r>
    </w:p>
    <w:p w:rsidR="00B95188" w:rsidRPr="00A428C3" w:rsidRDefault="00B95188" w:rsidP="00735710">
      <w:pPr>
        <w:pStyle w:val="a0"/>
      </w:pPr>
      <w:r w:rsidRPr="00A428C3">
        <w:t xml:space="preserve">Full Text: </w:t>
      </w:r>
      <w:hyperlink r:id="rId1903" w:history="1">
        <w:r w:rsidRPr="00A428C3">
          <w:rPr>
            <w:rStyle w:val="a5"/>
          </w:rPr>
          <w:t>I\Int J Foo Mic2, 341.pdf</w:t>
        </w:r>
      </w:hyperlink>
    </w:p>
    <w:p w:rsidR="00B95188" w:rsidRPr="00A428C3" w:rsidRDefault="00B95188" w:rsidP="00B95188">
      <w:pPr>
        <w:pStyle w:val="a0"/>
      </w:pPr>
      <w:r w:rsidRPr="00A428C3">
        <w:t>Abstract: Fifty samples each of two leading brands of French, non-carbonated (</w:t>
      </w:r>
      <w:r w:rsidR="000352E7">
        <w:t>‘</w:t>
      </w:r>
      <w:r w:rsidRPr="00A428C3">
        <w:t>still</w:t>
      </w:r>
      <w:r w:rsidR="000352E7">
        <w:t>’</w:t>
      </w:r>
      <w:r w:rsidRPr="00A428C3">
        <w:t xml:space="preserve">) mineral waters, packed in plastic bottles, were stored in the dark for one month at approximately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A428C3">
          <w:t>20°C</w:t>
        </w:r>
      </w:smartTag>
      <w:r w:rsidRPr="00A428C3">
        <w:t xml:space="preserve"> to allow marked proliferation of their autotrophic microbial flora. Upon completion of this challenge test 1250 ml per bottle were filtered through five membranes, which were subsequently cultured on 1/10 strength nutrient agar for 48 h at a temperature favouring the growth of thermotrophic organisms only, i.e. 42 ± </w:t>
      </w:r>
      <w:smartTag w:uri="urn:schemas-microsoft-com:office:smarttags" w:element="chmetcnv">
        <w:smartTagPr>
          <w:attr w:name="UnitName" w:val="ﾰC"/>
          <w:attr w:name="SourceValue" w:val="0.5"/>
          <w:attr w:name="HasSpace" w:val="False"/>
          <w:attr w:name="Negative" w:val="False"/>
          <w:attr w:name="NumberType" w:val="1"/>
          <w:attr w:name="TCSC" w:val="0"/>
        </w:smartTagPr>
        <w:r w:rsidRPr="00A428C3">
          <w:t>0.5°C</w:t>
        </w:r>
      </w:smartTag>
      <w:r w:rsidRPr="00A428C3">
        <w:t xml:space="preserve">. The numbers of colonies per one litre were below </w:t>
      </w:r>
      <w:smartTag w:uri="urn:schemas-microsoft-com:office:smarttags" w:element="chmetcnv">
        <w:smartTagPr>
          <w:attr w:name="UnitName" w:val="in"/>
          <w:attr w:name="SourceValue" w:val="103"/>
          <w:attr w:name="HasSpace" w:val="True"/>
          <w:attr w:name="Negative" w:val="False"/>
          <w:attr w:name="NumberType" w:val="1"/>
          <w:attr w:name="TCSC" w:val="0"/>
        </w:smartTagPr>
        <w:r w:rsidRPr="00A428C3">
          <w:t>10</w:t>
        </w:r>
        <w:r w:rsidRPr="00A428C3">
          <w:rPr>
            <w:vertAlign w:val="superscript"/>
          </w:rPr>
          <w:t>3</w:t>
        </w:r>
        <w:r w:rsidRPr="00A428C3">
          <w:t xml:space="preserve"> in</w:t>
        </w:r>
      </w:smartTag>
      <w:r w:rsidRPr="00A428C3">
        <w:t xml:space="preserve"> all samples</w:t>
      </w:r>
      <w:r w:rsidR="00F81221">
        <w:t xml:space="preserve"> and </w:t>
      </w:r>
      <w:r w:rsidRPr="00A428C3">
        <w:t xml:space="preserve">did not exceed </w:t>
      </w:r>
      <w:smartTag w:uri="urn:schemas-microsoft-com:office:smarttags" w:element="chmetcnv">
        <w:smartTagPr>
          <w:attr w:name="UnitName" w:val="in"/>
          <w:attr w:name="SourceValue" w:val="200"/>
          <w:attr w:name="HasSpace" w:val="True"/>
          <w:attr w:name="Negative" w:val="False"/>
          <w:attr w:name="NumberType" w:val="1"/>
          <w:attr w:name="TCSC" w:val="0"/>
        </w:smartTagPr>
        <w:r w:rsidRPr="00A428C3">
          <w:t>200 in</w:t>
        </w:r>
      </w:smartTag>
      <w:r w:rsidRPr="00A428C3">
        <w:t xml:space="preserve"> 56–80%, depending on the brand. Identification of the isolates demonstrated strong inhibition of the psychrotrophic. Gram-negative types, predominating in the association flora of stored still waters</w:t>
      </w:r>
      <w:r w:rsidR="00F81221">
        <w:t xml:space="preserve"> and </w:t>
      </w:r>
      <w:r w:rsidRPr="00A428C3">
        <w:t xml:space="preserve">preponderance of Gram-positive, catalase-positive, facultatively anaerobic cocci. Consequently, a Reference Value for the thermotrophic autotrophic colony count per 1 ml in still, commercial mineral waters of the order </w:t>
      </w:r>
      <w:r w:rsidRPr="00A428C3">
        <w:rPr>
          <w:i/>
          <w:iCs/>
        </w:rPr>
        <w:t>m</w:t>
      </w:r>
      <w:r w:rsidRPr="00A428C3">
        <w:t xml:space="preserve"> = 1</w:t>
      </w:r>
      <w:r w:rsidR="00F81221">
        <w:t xml:space="preserve"> and </w:t>
      </w:r>
      <w:r w:rsidRPr="00A428C3">
        <w:rPr>
          <w:i/>
          <w:iCs/>
        </w:rPr>
        <w:t>M</w:t>
      </w:r>
      <w:r w:rsidRPr="00A428C3">
        <w:t xml:space="preserve"> = 5 seems justified. It is emphasized that, besides examining for these trivial organism, the usual tests for marker bacteria (</w:t>
      </w:r>
      <w:r w:rsidRPr="00A428C3">
        <w:rPr>
          <w:i/>
          <w:iCs/>
        </w:rPr>
        <w:t>Escherichia coli</w:t>
      </w:r>
      <w:r w:rsidR="00F81221">
        <w:t xml:space="preserve"> and </w:t>
      </w:r>
      <w:r w:rsidRPr="00A428C3">
        <w:t>Lancefield group D streptococci)</w:t>
      </w:r>
      <w:r w:rsidR="00F81221">
        <w:t xml:space="preserve"> and </w:t>
      </w:r>
      <w:r w:rsidRPr="00A428C3">
        <w:rPr>
          <w:i/>
          <w:iCs/>
        </w:rPr>
        <w:t>Pseudomonas aeruginosa</w:t>
      </w:r>
      <w:r w:rsidRPr="00A428C3">
        <w:t xml:space="preserve"> should always be carried out.</w:t>
      </w:r>
    </w:p>
    <w:p w:rsidR="00B95188" w:rsidRPr="00A428C3" w:rsidRDefault="00B95188" w:rsidP="00B95188">
      <w:pPr>
        <w:pStyle w:val="a0"/>
      </w:pPr>
      <w:r w:rsidRPr="00A428C3">
        <w:t>Keywords: Mineral Water, Non-Carbonated, Autotrophic Bacteria, Thermotrophic Bacteria, Bacteriological Reference Values</w:t>
      </w:r>
    </w:p>
    <w:p w:rsidR="00B95188" w:rsidRPr="00A428C3" w:rsidRDefault="00B95188" w:rsidP="00B95188">
      <w:pPr>
        <w:pStyle w:val="a0"/>
      </w:pPr>
      <w:r w:rsidRPr="00A428C3">
        <w:t xml:space="preserve">Beuchat, L.R. (1991), Behavior of </w:t>
      </w:r>
      <w:r w:rsidRPr="00A428C3">
        <w:rPr>
          <w:i/>
          <w:iCs/>
        </w:rPr>
        <w:t>Aeromonas</w:t>
      </w:r>
      <w:r w:rsidRPr="00A428C3">
        <w:t xml:space="preserve"> species at refrigeration temperatures. </w:t>
      </w:r>
      <w:r w:rsidRPr="00A428C3">
        <w:rPr>
          <w:i/>
        </w:rPr>
        <w:t>International Journal of Food Microbiology</w:t>
      </w:r>
      <w:r w:rsidRPr="00A428C3">
        <w:t xml:space="preserve">, </w:t>
      </w:r>
      <w:r w:rsidRPr="00A428C3">
        <w:rPr>
          <w:b/>
        </w:rPr>
        <w:t>13</w:t>
      </w:r>
      <w:r w:rsidRPr="00A428C3">
        <w:t xml:space="preserve"> (3), 217-224.</w:t>
      </w:r>
    </w:p>
    <w:p w:rsidR="00B95188" w:rsidRPr="00A428C3" w:rsidRDefault="00B95188" w:rsidP="00735710">
      <w:pPr>
        <w:pStyle w:val="a0"/>
      </w:pPr>
      <w:r w:rsidRPr="00A428C3">
        <w:lastRenderedPageBreak/>
        <w:t xml:space="preserve">Full Text: </w:t>
      </w:r>
      <w:hyperlink r:id="rId1904" w:history="1">
        <w:r w:rsidRPr="00A428C3">
          <w:rPr>
            <w:rStyle w:val="a5"/>
          </w:rPr>
          <w:t>I\Int J Foo Mic13, 217.pdf</w:t>
        </w:r>
      </w:hyperlink>
    </w:p>
    <w:p w:rsidR="00B95188" w:rsidRPr="00A428C3" w:rsidRDefault="00B95188" w:rsidP="00B95188">
      <w:pPr>
        <w:pStyle w:val="a0"/>
      </w:pPr>
      <w:r w:rsidRPr="00A428C3">
        <w:t>Abstract: The ability of many strains of Aeromonas hydrophila</w:t>
      </w:r>
      <w:r w:rsidR="00F81221">
        <w:t xml:space="preserve"> and </w:t>
      </w:r>
      <w:r w:rsidRPr="00A428C3">
        <w:t>A. sobria to produce several types of virulence factors has been documented. The presence of Aeromonas in drinking water, as well as in river</w:t>
      </w:r>
      <w:r w:rsidR="00F81221">
        <w:t xml:space="preserve"> and </w:t>
      </w:r>
      <w:r w:rsidRPr="00A428C3">
        <w:t>saline waters</w:t>
      </w:r>
      <w:r w:rsidR="00F81221">
        <w:t xml:space="preserve"> and </w:t>
      </w:r>
      <w:r w:rsidRPr="00A428C3">
        <w:t>on various finfish</w:t>
      </w:r>
      <w:r w:rsidR="00F81221">
        <w:t xml:space="preserve"> and </w:t>
      </w:r>
      <w:r w:rsidRPr="00A428C3">
        <w:t>shellfish taken from them, has caused some concern relative to the role this bacterium plays as a causative agent of human gastroenteritis. The fairly common occurrence of Aeromonas on red meats, poultry</w:t>
      </w:r>
      <w:r w:rsidR="00F81221">
        <w:t xml:space="preserve"> and </w:t>
      </w:r>
      <w:r w:rsidRPr="00A428C3">
        <w:t>fresh produce</w:t>
      </w:r>
      <w:r w:rsidR="00F81221">
        <w:t xml:space="preserve"> and </w:t>
      </w:r>
      <w:r w:rsidRPr="00A428C3">
        <w:t>its ability to grow at 4 degrees C gives rise to further concern over public health risks which may be associated with consumption of these foods. A brief overview of the behavior of Aeromonas species at refrigeration temperatures is presented.</w:t>
      </w:r>
    </w:p>
    <w:p w:rsidR="00B95188" w:rsidRPr="00A428C3" w:rsidRDefault="00B95188" w:rsidP="00B95188">
      <w:pPr>
        <w:pStyle w:val="a0"/>
      </w:pPr>
      <w:r w:rsidRPr="00A428C3">
        <w:t>Macler, B.A.</w:t>
      </w:r>
      <w:r w:rsidR="00F81221">
        <w:t xml:space="preserve"> and </w:t>
      </w:r>
      <w:r w:rsidRPr="00A428C3">
        <w:t xml:space="preserve">Regli, S. (1993), Use of microbial risk assessment in setting united-states drinking-water standards. </w:t>
      </w:r>
      <w:r w:rsidRPr="00A428C3">
        <w:rPr>
          <w:i/>
        </w:rPr>
        <w:t>International Journal of Food Microbiology</w:t>
      </w:r>
      <w:r w:rsidRPr="00A428C3">
        <w:t xml:space="preserve">, </w:t>
      </w:r>
      <w:r w:rsidRPr="00A428C3">
        <w:rPr>
          <w:b/>
        </w:rPr>
        <w:t>18</w:t>
      </w:r>
      <w:r w:rsidRPr="00A428C3">
        <w:t xml:space="preserve"> (4), 245-256.</w:t>
      </w:r>
    </w:p>
    <w:p w:rsidR="00B95188" w:rsidRPr="00A428C3" w:rsidRDefault="00B95188" w:rsidP="00735710">
      <w:pPr>
        <w:pStyle w:val="a0"/>
      </w:pPr>
      <w:r w:rsidRPr="00A428C3">
        <w:t xml:space="preserve">Full Text: </w:t>
      </w:r>
      <w:hyperlink r:id="rId1905" w:history="1">
        <w:r w:rsidRPr="00A428C3">
          <w:rPr>
            <w:rStyle w:val="a5"/>
          </w:rPr>
          <w:t>I\Int J Foo Mic18, 245.pdf</w:t>
        </w:r>
      </w:hyperlink>
    </w:p>
    <w:p w:rsidR="00B95188" w:rsidRPr="00A428C3" w:rsidRDefault="00B95188" w:rsidP="00B95188">
      <w:pPr>
        <w:pStyle w:val="a0"/>
      </w:pPr>
      <w:r w:rsidRPr="00A428C3">
        <w:t>Keywords: Water-Borne Infectious Disease, Risk Assessment</w:t>
      </w:r>
      <w:r w:rsidR="00F81221">
        <w:t xml:space="preserve"> and </w:t>
      </w:r>
      <w:r w:rsidRPr="00A428C3">
        <w:t xml:space="preserve">Management, Water Treatment Regulation, Maximum Contaminant Level Goals, Infection, </w:t>
      </w:r>
      <w:r w:rsidRPr="00A428C3">
        <w:rPr>
          <w:i/>
          <w:iCs/>
        </w:rPr>
        <w:t>Giardia</w:t>
      </w:r>
      <w:r w:rsidRPr="00A428C3">
        <w:t xml:space="preserve">, </w:t>
      </w:r>
      <w:r w:rsidRPr="00A428C3">
        <w:rPr>
          <w:i/>
          <w:iCs/>
        </w:rPr>
        <w:t>Cryptosporidium</w:t>
      </w:r>
      <w:r w:rsidRPr="00A428C3">
        <w:t>, Volunteers, Disease</w:t>
      </w:r>
    </w:p>
    <w:p w:rsidR="00B95188" w:rsidRPr="00A428C3" w:rsidRDefault="00B95188" w:rsidP="00B95188">
      <w:pPr>
        <w:pStyle w:val="a0"/>
      </w:pPr>
      <w:r w:rsidRPr="00A428C3">
        <w:t xml:space="preserve">Kirov, S.M. (1993), The public health significance of </w:t>
      </w:r>
      <w:r w:rsidRPr="00A428C3">
        <w:rPr>
          <w:i/>
          <w:iCs/>
        </w:rPr>
        <w:t>Aeromonas</w:t>
      </w:r>
      <w:r w:rsidRPr="00A428C3">
        <w:t xml:space="preserve"> spp. in foods. </w:t>
      </w:r>
      <w:r w:rsidRPr="00A428C3">
        <w:rPr>
          <w:i/>
        </w:rPr>
        <w:t>International Journal of Food Microbiology</w:t>
      </w:r>
      <w:r w:rsidRPr="00A428C3">
        <w:t xml:space="preserve">, </w:t>
      </w:r>
      <w:r w:rsidRPr="00A428C3">
        <w:rPr>
          <w:b/>
        </w:rPr>
        <w:t>20</w:t>
      </w:r>
      <w:r w:rsidRPr="00A428C3">
        <w:t xml:space="preserve"> (4), 179-198.</w:t>
      </w:r>
    </w:p>
    <w:p w:rsidR="00B95188" w:rsidRPr="00A428C3" w:rsidRDefault="00B95188" w:rsidP="00735710">
      <w:pPr>
        <w:pStyle w:val="a0"/>
      </w:pPr>
      <w:r w:rsidRPr="00A428C3">
        <w:t xml:space="preserve">Full Text: </w:t>
      </w:r>
      <w:hyperlink r:id="rId1906" w:history="1">
        <w:r w:rsidRPr="00A428C3">
          <w:rPr>
            <w:rStyle w:val="a5"/>
          </w:rPr>
          <w:t>I\Int J Foo Mic20, 179.pdf</w:t>
        </w:r>
      </w:hyperlink>
    </w:p>
    <w:p w:rsidR="00B95188" w:rsidRPr="00A428C3" w:rsidRDefault="00B95188" w:rsidP="00B95188">
      <w:pPr>
        <w:pStyle w:val="a0"/>
      </w:pPr>
      <w:r w:rsidRPr="00A428C3">
        <w:t>Abstract: There is now evidence that some strains of Aeromonas species are enteropathogens. Such strains possess virulence properties, such as the ability to produce enterotoxins, cytotoxins, haemolysins and/or the ability to invade epithelial cells. Strains with these properties are common contaminants of drinking water</w:t>
      </w:r>
      <w:r w:rsidR="00F81221">
        <w:t xml:space="preserve"> and </w:t>
      </w:r>
      <w:r w:rsidRPr="00A428C3">
        <w:t>a wide range of foods. Contact or consumption of contaminated water, especially in summer, is a major risk factor in Aeromonas-associated gastroenteritis. Aeromonas-contaminated foods may also be vehicles of infection. Given the properties of strains that have been described in foods it has been suggested that food-borne illness could result not only from colonization</w:t>
      </w:r>
      <w:r w:rsidR="00F81221">
        <w:t xml:space="preserve"> and </w:t>
      </w:r>
      <w:r w:rsidRPr="00A428C3">
        <w:t>in vivo expression of virulence factors, but possibly also by intoxication following ingestion of foods that have been stored for a period of time, even under refrigeration. This paper reviews what is known about Aeromonas spp. in foods, their expression of virulence determinants, particularly at refrigeration temperatures,</w:t>
      </w:r>
      <w:r w:rsidR="00F81221">
        <w:t xml:space="preserve"> and </w:t>
      </w:r>
      <w:r w:rsidRPr="00A428C3">
        <w:t>the questions remaining to be answered to evaluate the risk they pose, so that an appropriate public health response can be determined.</w:t>
      </w:r>
    </w:p>
    <w:p w:rsidR="00B95188" w:rsidRPr="00A428C3" w:rsidRDefault="00B95188" w:rsidP="00B95188">
      <w:pPr>
        <w:pStyle w:val="a0"/>
      </w:pPr>
      <w:r w:rsidRPr="00A428C3">
        <w:t>Dalsgaard, A., Huss, H.H., Hkittikun, A.</w:t>
      </w:r>
      <w:r w:rsidR="00F81221">
        <w:t xml:space="preserve"> and </w:t>
      </w:r>
      <w:r w:rsidRPr="00A428C3">
        <w:t xml:space="preserve">Larsen, J.L. (1995), Prevalence of </w:t>
      </w:r>
      <w:r w:rsidRPr="00A428C3">
        <w:rPr>
          <w:i/>
          <w:iCs/>
        </w:rPr>
        <w:t>Vibrio cholerae</w:t>
      </w:r>
      <w:r w:rsidR="00F81221">
        <w:t xml:space="preserve"> and </w:t>
      </w:r>
      <w:r w:rsidRPr="00A428C3">
        <w:rPr>
          <w:i/>
          <w:iCs/>
        </w:rPr>
        <w:t>Salmonella</w:t>
      </w:r>
      <w:r w:rsidRPr="00A428C3">
        <w:t xml:space="preserve"> in a major shrimp production area in </w:t>
      </w:r>
      <w:smartTag w:uri="urn:schemas-microsoft-com:office:smarttags" w:element="place">
        <w:smartTag w:uri="urn:schemas-microsoft-com:office:smarttags" w:element="country-region">
          <w:r w:rsidRPr="00A428C3">
            <w:t>Thailand</w:t>
          </w:r>
        </w:smartTag>
      </w:smartTag>
      <w:r w:rsidRPr="00A428C3">
        <w:t xml:space="preserve">. </w:t>
      </w:r>
      <w:r w:rsidRPr="00A428C3">
        <w:rPr>
          <w:i/>
        </w:rPr>
        <w:t>International Journal of Food Microbiology</w:t>
      </w:r>
      <w:r w:rsidRPr="00A428C3">
        <w:t xml:space="preserve">, </w:t>
      </w:r>
      <w:r w:rsidRPr="00A428C3">
        <w:rPr>
          <w:b/>
        </w:rPr>
        <w:t>28</w:t>
      </w:r>
      <w:r w:rsidRPr="00A428C3">
        <w:t xml:space="preserve"> (1), 101-113.</w:t>
      </w:r>
    </w:p>
    <w:p w:rsidR="00B95188" w:rsidRPr="00A428C3" w:rsidRDefault="00B95188" w:rsidP="00735710">
      <w:pPr>
        <w:pStyle w:val="a0"/>
      </w:pPr>
      <w:r w:rsidRPr="00A428C3">
        <w:t xml:space="preserve">Full Text: </w:t>
      </w:r>
      <w:hyperlink r:id="rId1907" w:history="1">
        <w:r w:rsidRPr="00A428C3">
          <w:rPr>
            <w:rStyle w:val="a5"/>
          </w:rPr>
          <w:t>I\Int J Foo Mic28, 101.pdf</w:t>
        </w:r>
      </w:hyperlink>
    </w:p>
    <w:p w:rsidR="00B95188" w:rsidRPr="00A428C3" w:rsidRDefault="00B95188" w:rsidP="00B95188">
      <w:pPr>
        <w:pStyle w:val="a0"/>
      </w:pPr>
      <w:r w:rsidRPr="00A428C3">
        <w:lastRenderedPageBreak/>
        <w:t>Abstract: In 1992</w:t>
      </w:r>
      <w:r w:rsidR="00F81221">
        <w:t xml:space="preserve"> and </w:t>
      </w:r>
      <w:r w:rsidRPr="00A428C3">
        <w:t xml:space="preserve">1993, a 7 months study was carried out in a major shrimp-producing area in </w:t>
      </w:r>
      <w:smartTag w:uri="urn:schemas-microsoft-com:office:smarttags" w:element="place">
        <w:r w:rsidRPr="00A428C3">
          <w:t>Southern Thailand</w:t>
        </w:r>
      </w:smartTag>
      <w:r w:rsidRPr="00A428C3">
        <w:t xml:space="preserve"> to study the prevalence of </w:t>
      </w:r>
      <w:r w:rsidRPr="00A428C3">
        <w:rPr>
          <w:i/>
        </w:rPr>
        <w:t>Vibrio cholerae</w:t>
      </w:r>
      <w:r w:rsidR="00F81221">
        <w:t xml:space="preserve"> and </w:t>
      </w:r>
      <w:r w:rsidRPr="00A428C3">
        <w:t>Salmonella. A total of 158 samples were examined including water, sediment, shrimp, pelleted feed, shrimp gut,</w:t>
      </w:r>
      <w:r w:rsidR="00F81221">
        <w:t xml:space="preserve"> and </w:t>
      </w:r>
      <w:r w:rsidRPr="00A428C3">
        <w:t xml:space="preserve">chicken manure. Salmonella was not recovered from any sample type studied. </w:t>
      </w:r>
      <w:r w:rsidRPr="00A428C3">
        <w:rPr>
          <w:i/>
        </w:rPr>
        <w:t>V. cholerae</w:t>
      </w:r>
      <w:r w:rsidRPr="00A428C3">
        <w:t xml:space="preserve"> O1 was isolated from 2 (2%)</w:t>
      </w:r>
      <w:r w:rsidR="00F81221">
        <w:t xml:space="preserve"> and </w:t>
      </w:r>
      <w:r w:rsidRPr="00A428C3">
        <w:rPr>
          <w:i/>
        </w:rPr>
        <w:t>V. cholerae</w:t>
      </w:r>
      <w:r w:rsidRPr="00A428C3">
        <w:t xml:space="preserve"> non-O1 was isolated from 35 (33%) of 107 samples examined. The occurrence of </w:t>
      </w:r>
      <w:r w:rsidRPr="00A428C3">
        <w:rPr>
          <w:i/>
        </w:rPr>
        <w:t>V. cholerae</w:t>
      </w:r>
      <w:r w:rsidRPr="00A428C3">
        <w:t xml:space="preserve"> was not significantly influenced by water salinity, temperature, dissolved oxygen or pH. There was no correlation between fecal coliform counts</w:t>
      </w:r>
      <w:r w:rsidR="00F81221">
        <w:t xml:space="preserve"> and </w:t>
      </w:r>
      <w:r w:rsidRPr="00A428C3">
        <w:t xml:space="preserve">the prevalence of </w:t>
      </w:r>
      <w:r w:rsidRPr="00A428C3">
        <w:rPr>
          <w:i/>
        </w:rPr>
        <w:t>V. cholerae</w:t>
      </w:r>
      <w:r w:rsidRPr="00A428C3">
        <w:t xml:space="preserve">. The results indicate that </w:t>
      </w:r>
      <w:r w:rsidRPr="00A428C3">
        <w:rPr>
          <w:i/>
        </w:rPr>
        <w:t>V. cholerae</w:t>
      </w:r>
      <w:r w:rsidRPr="00A428C3">
        <w:t xml:space="preserve"> non-O1 is ubiquitous in aquatic environments where shrimp culture is practised under a variety of environmental conditions. The public health significance of non-O1 </w:t>
      </w:r>
      <w:r w:rsidRPr="00A428C3">
        <w:rPr>
          <w:i/>
        </w:rPr>
        <w:t>V. cholerae</w:t>
      </w:r>
      <w:r w:rsidRPr="00A428C3">
        <w:t xml:space="preserve"> in shrimp culture remains to be determined. </w:t>
      </w:r>
      <w:r w:rsidRPr="00A428C3">
        <w:rPr>
          <w:i/>
        </w:rPr>
        <w:t>V. cholerae</w:t>
      </w:r>
      <w:r w:rsidRPr="00A428C3">
        <w:t xml:space="preserve"> O1</w:t>
      </w:r>
      <w:r w:rsidR="00F81221">
        <w:t xml:space="preserve"> and </w:t>
      </w:r>
      <w:r w:rsidRPr="00A428C3">
        <w:t>Salmonella do not appear to constitute a hygienic problem even if chicken manure was used as fertilizer.</w:t>
      </w:r>
    </w:p>
    <w:p w:rsidR="00B95188" w:rsidRPr="00A428C3" w:rsidRDefault="00B95188" w:rsidP="00B95188">
      <w:pPr>
        <w:pStyle w:val="a0"/>
      </w:pPr>
      <w:r w:rsidRPr="00A428C3">
        <w:t>Crockett, C.S., Haas, C.N., Fazil, A., Rose, J.B.</w:t>
      </w:r>
      <w:r w:rsidR="00F81221">
        <w:t xml:space="preserve"> and </w:t>
      </w:r>
      <w:r w:rsidRPr="00A428C3">
        <w:t xml:space="preserve">Gerba, C.P. (1996), Prevalence of shigellosis in the </w:t>
      </w:r>
      <w:smartTag w:uri="urn:schemas-microsoft-com:office:smarttags" w:element="place">
        <w:smartTag w:uri="urn:schemas-microsoft-com:office:smarttags" w:element="country-region">
          <w:r w:rsidRPr="00A428C3">
            <w:t>US</w:t>
          </w:r>
        </w:smartTag>
      </w:smartTag>
      <w:r w:rsidRPr="00A428C3">
        <w:t xml:space="preserve">: Consistency with dose-response information. </w:t>
      </w:r>
      <w:r w:rsidRPr="00A428C3">
        <w:rPr>
          <w:i/>
          <w:iCs/>
        </w:rPr>
        <w:t>International Journal of Food Microbiology</w:t>
      </w:r>
      <w:r w:rsidRPr="00A428C3">
        <w:t xml:space="preserve">, </w:t>
      </w:r>
      <w:r w:rsidRPr="00A428C3">
        <w:rPr>
          <w:b/>
        </w:rPr>
        <w:t>30</w:t>
      </w:r>
      <w:r w:rsidRPr="00A428C3">
        <w:t xml:space="preserve"> (1-2), 87-99.</w:t>
      </w:r>
    </w:p>
    <w:p w:rsidR="00B95188" w:rsidRPr="00A428C3" w:rsidRDefault="00B95188" w:rsidP="00735710">
      <w:pPr>
        <w:pStyle w:val="a0"/>
      </w:pPr>
      <w:r w:rsidRPr="00A428C3">
        <w:t xml:space="preserve">Full Text: </w:t>
      </w:r>
      <w:hyperlink r:id="rId1908" w:history="1">
        <w:r w:rsidRPr="00A428C3">
          <w:rPr>
            <w:rStyle w:val="a5"/>
          </w:rPr>
          <w:t>I\Int J Foo Mic30, 87.pdf</w:t>
        </w:r>
      </w:hyperlink>
    </w:p>
    <w:p w:rsidR="00B95188" w:rsidRPr="00A428C3" w:rsidRDefault="00B95188" w:rsidP="00B95188">
      <w:pPr>
        <w:pStyle w:val="a0"/>
      </w:pPr>
      <w:r w:rsidRPr="00A428C3">
        <w:t>Abstract: Every year there are estimated 300 000 cases of Shigella in the United States-(Bennett et al., 1987, Am. J. Prev. Med. 3, 102-114). A beta-poisson model was fit to human dose-response information on pathogenic Shigella using the Maximum Likelihood Estimation technique (Haast 1983, Am. J. Epidemiol. 118, 573-582). Pooled</w:t>
      </w:r>
      <w:r w:rsidR="00F81221">
        <w:t xml:space="preserve"> and </w:t>
      </w:r>
      <w:r w:rsidRPr="00A428C3">
        <w:t>separate data sets for the Shigella species were fit to the beta-Poisson model</w:t>
      </w:r>
      <w:r w:rsidR="00F81221">
        <w:t xml:space="preserve"> and </w:t>
      </w:r>
      <w:r w:rsidRPr="00A428C3">
        <w:t>95% confidence limits</w:t>
      </w:r>
      <w:r w:rsidR="00F81221">
        <w:t xml:space="preserve"> and </w:t>
      </w:r>
      <w:r w:rsidRPr="00A428C3">
        <w:t>regions were calculated. Shigella dysentariae</w:t>
      </w:r>
      <w:r w:rsidR="00F81221">
        <w:t xml:space="preserve"> and </w:t>
      </w:r>
      <w:r w:rsidRPr="00A428C3">
        <w:t>Shigella flexneri confidence regions</w:t>
      </w:r>
      <w:r w:rsidR="00F81221">
        <w:t xml:space="preserve"> and </w:t>
      </w:r>
      <w:r w:rsidRPr="00A428C3">
        <w:t>limits overlapped with each other</w:t>
      </w:r>
      <w:r w:rsidR="00F81221">
        <w:t xml:space="preserve"> and </w:t>
      </w:r>
      <w:r w:rsidRPr="00A428C3">
        <w:t>with the pooled data set, suggesting that this model can describe Shigella in general. The pooled Shigella model as well as the upper</w:t>
      </w:r>
      <w:r w:rsidR="00F81221">
        <w:t xml:space="preserve"> and </w:t>
      </w:r>
      <w:r w:rsidRPr="00A428C3">
        <w:t>lower confidence limits of the three data sets showed average exposures based on the estimated U.S. caseload of pathogenic Shigella of 0.01 to 0.014 organisms (confidence limits 0.001-0.05) for a 7-day per annum period of exposure</w:t>
      </w:r>
      <w:r w:rsidR="00F81221">
        <w:t xml:space="preserve"> and </w:t>
      </w:r>
      <w:r w:rsidRPr="00A428C3">
        <w:t>ranges from 0.07 to 0.1 organisms (confidence limits 0.006-0.4). for a 1-day per annum period of exposure. The plausibility of the pooled dose-response model was then evaluated by comparison with two known cruise ship outbreaks. The pooled model estimated that the two outbreaks studied could have been due to ingestion of 344 (confidence limits 72-915) Shigella cells per meal</w:t>
      </w:r>
      <w:r w:rsidR="00F81221">
        <w:t xml:space="preserve"> and </w:t>
      </w:r>
      <w:r w:rsidRPr="00A428C3">
        <w:t>10.5-12 (confidence limits 1-44) Shigella cells per glass of water by passengers.</w:t>
      </w:r>
    </w:p>
    <w:p w:rsidR="00B95188" w:rsidRPr="00A428C3" w:rsidRDefault="00B95188" w:rsidP="00B95188">
      <w:pPr>
        <w:pStyle w:val="a0"/>
      </w:pPr>
      <w:r w:rsidRPr="00A428C3">
        <w:t>Keywords: Shigella, Dose-Response, Infectious Dose, Shigellosis, Risk Assessment, Drinking-Water, Outbreak, Risk</w:t>
      </w:r>
    </w:p>
    <w:p w:rsidR="00B95188" w:rsidRPr="00A428C3" w:rsidRDefault="00B95188" w:rsidP="00735710">
      <w:pPr>
        <w:pStyle w:val="a0"/>
      </w:pPr>
      <w:r w:rsidRPr="00A428C3">
        <w:t>Medema, G.J., Teunis, P.F., Havelaar, A.H.</w:t>
      </w:r>
      <w:r w:rsidR="00F81221">
        <w:t xml:space="preserve"> and </w:t>
      </w:r>
      <w:r w:rsidRPr="00A428C3">
        <w:t xml:space="preserve">Haas, C.N. (1996), Assessment of the </w:t>
      </w:r>
      <w:r w:rsidRPr="00A428C3">
        <w:lastRenderedPageBreak/>
        <w:t xml:space="preserve">dose-response relationship of </w:t>
      </w:r>
      <w:r w:rsidRPr="00A428C3">
        <w:rPr>
          <w:i/>
          <w:iCs/>
        </w:rPr>
        <w:t>Campylobacter</w:t>
      </w:r>
      <w:r w:rsidRPr="00A428C3">
        <w:t xml:space="preserve"> jejuni. </w:t>
      </w:r>
      <w:r w:rsidRPr="00A428C3">
        <w:rPr>
          <w:i/>
        </w:rPr>
        <w:t>International Journal of Food Microbiology</w:t>
      </w:r>
      <w:r w:rsidRPr="00A428C3">
        <w:t xml:space="preserve">, </w:t>
      </w:r>
      <w:r w:rsidRPr="00A428C3">
        <w:rPr>
          <w:b/>
        </w:rPr>
        <w:t>30</w:t>
      </w:r>
      <w:r w:rsidRPr="00A428C3">
        <w:t xml:space="preserve"> (1-2), 101-111.</w:t>
      </w:r>
    </w:p>
    <w:p w:rsidR="00B95188" w:rsidRPr="00A428C3" w:rsidRDefault="00B95188" w:rsidP="00735710">
      <w:pPr>
        <w:pStyle w:val="a0"/>
      </w:pPr>
      <w:r w:rsidRPr="00A428C3">
        <w:t xml:space="preserve">Full Text: </w:t>
      </w:r>
      <w:hyperlink r:id="rId1909" w:history="1">
        <w:r w:rsidRPr="00A428C3">
          <w:rPr>
            <w:rStyle w:val="a5"/>
          </w:rPr>
          <w:t>I\Int J Foo Mic30, 101.pdf</w:t>
        </w:r>
      </w:hyperlink>
    </w:p>
    <w:p w:rsidR="00B95188" w:rsidRPr="00A428C3" w:rsidRDefault="00B95188" w:rsidP="00735710">
      <w:pPr>
        <w:pStyle w:val="a0"/>
      </w:pPr>
      <w:r w:rsidRPr="00A428C3">
        <w:t>Abstract: Mathematical relations describing the risk of infection after exposure to enteropathogens are important tools for the evaluation of the potential health risk from exposure via food</w:t>
      </w:r>
      <w:r w:rsidR="00F81221">
        <w:t xml:space="preserve"> and </w:t>
      </w:r>
      <w:r w:rsidRPr="00A428C3">
        <w:t xml:space="preserve">water. A quantitative description of the dose-response relation for </w:t>
      </w:r>
      <w:r w:rsidRPr="00A428C3">
        <w:rPr>
          <w:i/>
          <w:iCs/>
        </w:rPr>
        <w:t>Campylobacter</w:t>
      </w:r>
      <w:r w:rsidRPr="00A428C3">
        <w:t xml:space="preserve"> jejuni with the Beta-Poisson model was fitted to experimental data of infection with </w:t>
      </w:r>
      <w:r w:rsidRPr="00A428C3">
        <w:rPr>
          <w:i/>
          <w:iCs/>
        </w:rPr>
        <w:t>Campylobacter</w:t>
      </w:r>
      <w:r w:rsidRPr="00A428C3">
        <w:t xml:space="preserve"> jejuni (as determined by shedding of C. jejuni) obtained in human feeding studies performed by Black et al. (1988). The maximum likelihood estimates for the Beta-Poisson model parameters based on these data are: alpha = 0.145</w:t>
      </w:r>
      <w:r w:rsidR="00F81221">
        <w:t xml:space="preserve"> and </w:t>
      </w:r>
      <w:r w:rsidRPr="00A428C3">
        <w:t>beta = 7.59. The fit of the model on the experimental data was good: the difference between the likelihood obtained with the Beta-Poisson model</w:t>
      </w:r>
      <w:r w:rsidR="00F81221">
        <w:t xml:space="preserve"> and </w:t>
      </w:r>
      <w:r w:rsidRPr="00A428C3">
        <w:t>the maximum possible likelihood was not significant. The occurrence of symptoms of intestinal illness did not follow a similar dose-related trend. Overall, 22% of the infected volunteers developed symptoms (diarrhea, fever). The highest illness-to-infection ratio was found at an intermediate dose (9×10</w:t>
      </w:r>
      <w:r w:rsidRPr="00A428C3">
        <w:rPr>
          <w:vertAlign w:val="superscript"/>
        </w:rPr>
        <w:t>4</w:t>
      </w:r>
      <w:r w:rsidRPr="00A428C3">
        <w:t>). The dose-response relation</w:t>
      </w:r>
      <w:r w:rsidR="00F81221">
        <w:t xml:space="preserve"> and </w:t>
      </w:r>
      <w:r w:rsidRPr="00A428C3">
        <w:t>the illness-to-infection ratio appeared to differ between different C. jejuni isolates. The dose-response relation derived from feeding studies with a single isolate should therefore be considered indicative. The absence of experimental data in the low dose range resulted in a relatively large confidence interval at low doses. However, in cases where the dose-response relation has been applied so far to estimate the health risk of exposure to C. jejuni in water, the uncertainty in the dose-response relation was insignificant compared to the uncertainty in the exposure estimate.</w:t>
      </w:r>
    </w:p>
    <w:p w:rsidR="00B95188" w:rsidRPr="00A428C3" w:rsidRDefault="00B95188" w:rsidP="00735710">
      <w:pPr>
        <w:pStyle w:val="a0"/>
      </w:pPr>
      <w:r w:rsidRPr="00A428C3">
        <w:t>In</w:t>
      </w:r>
      <w:r w:rsidR="000352E7">
        <w:t>’</w:t>
      </w:r>
      <w:r w:rsidRPr="00A428C3">
        <w:t xml:space="preserve">t Veld, P.H. (1998), The use of reference materials in quality assurance programmes in food microbiology laboratories. </w:t>
      </w:r>
      <w:r w:rsidRPr="00A428C3">
        <w:rPr>
          <w:i/>
        </w:rPr>
        <w:t>International Journal of Food Microbiology</w:t>
      </w:r>
      <w:r w:rsidRPr="00A428C3">
        <w:t xml:space="preserve">, </w:t>
      </w:r>
      <w:r w:rsidRPr="00A428C3">
        <w:rPr>
          <w:b/>
        </w:rPr>
        <w:t>45</w:t>
      </w:r>
      <w:r w:rsidRPr="00A428C3">
        <w:t xml:space="preserve"> (1), 35-41.</w:t>
      </w:r>
    </w:p>
    <w:p w:rsidR="00B95188" w:rsidRPr="00A428C3" w:rsidRDefault="00B95188" w:rsidP="00735710">
      <w:pPr>
        <w:pStyle w:val="a0"/>
      </w:pPr>
      <w:r w:rsidRPr="00A428C3">
        <w:t xml:space="preserve">Full Text: </w:t>
      </w:r>
      <w:hyperlink r:id="rId1910" w:history="1">
        <w:r w:rsidRPr="00A428C3">
          <w:rPr>
            <w:rStyle w:val="a5"/>
          </w:rPr>
          <w:t>I\Int J Foo Mic45, 35.pdf</w:t>
        </w:r>
      </w:hyperlink>
    </w:p>
    <w:p w:rsidR="00B95188" w:rsidRPr="00A428C3" w:rsidRDefault="00B95188" w:rsidP="00735710">
      <w:pPr>
        <w:pStyle w:val="a0"/>
      </w:pPr>
      <w:r w:rsidRPr="00A428C3">
        <w:t>Abstract: Nine different reference materials (RMs) for use in food</w:t>
      </w:r>
      <w:r w:rsidR="00F81221">
        <w:t xml:space="preserve"> and </w:t>
      </w:r>
      <w:r w:rsidRPr="00A428C3">
        <w:t>water microbiology have been developed with the support of the European Commission (EC). The production process of RMs is based on spray drying bacteria suspended in milk. The highly contaminated milk powder (HCMP) obtained is mixed with sterile milk powder to achieve the desired level of contamination</w:t>
      </w:r>
      <w:r w:rsidR="00F81221">
        <w:t xml:space="preserve"> and </w:t>
      </w:r>
      <w:r w:rsidRPr="00A428C3">
        <w:t>is subsequently filled into gelatine capsules. The HCMP may need to be stabilised by storage for more than a year before a stable RM can be prepared. The HCMP are mixed with sterile milk powder using a pestle</w:t>
      </w:r>
      <w:r w:rsidR="00F81221">
        <w:t xml:space="preserve"> and </w:t>
      </w:r>
      <w:r w:rsidRPr="00A428C3">
        <w:t xml:space="preserve">mortar in order to produce homogeneous RMs. For routine use of RMs Shewhart control charts can be produced. Based on log10 transformed counts, control limits are calculated. Rules for the interpretation of results facilitate the detection of out of control situations. Besides RMs there are also CRMs </w:t>
      </w:r>
      <w:r w:rsidRPr="00A428C3">
        <w:lastRenderedPageBreak/>
        <w:t>(Certified Reference Materials) that are certified by the EC Community Bureau of Reference (BCR)</w:t>
      </w:r>
      <w:r w:rsidR="00F81221">
        <w:t xml:space="preserve"> and </w:t>
      </w:r>
      <w:r w:rsidRPr="00A428C3">
        <w:t>are intended for occasional use. Based on the BCR certificate, user tables are produced presenting the 95% confidence limits for the number of capsules likely to be examined in practice. Also power analysis is made to indicate the minimum difference between the certified value</w:t>
      </w:r>
      <w:r w:rsidR="00F81221">
        <w:t xml:space="preserve"> and </w:t>
      </w:r>
      <w:r w:rsidRPr="00A428C3">
        <w:t>the observed geometric mean value in relation to the number of capsules examined.</w:t>
      </w:r>
    </w:p>
    <w:p w:rsidR="00B95188" w:rsidRPr="00A428C3" w:rsidRDefault="00B95188" w:rsidP="00B95188">
      <w:pPr>
        <w:pStyle w:val="1"/>
      </w:pPr>
      <w:r w:rsidRPr="00A428C3">
        <w:br w:type="page"/>
      </w:r>
      <w:bookmarkStart w:id="1346" w:name="_Toc186647919"/>
      <w:bookmarkStart w:id="1347" w:name="_Toc317161297"/>
      <w:r w:rsidRPr="00A428C3">
        <w:lastRenderedPageBreak/>
        <w:t>Title: International Journal of Food Science</w:t>
      </w:r>
      <w:r w:rsidR="00F81221">
        <w:t xml:space="preserve"> and </w:t>
      </w:r>
      <w:r w:rsidRPr="00A428C3">
        <w:t>Technology</w:t>
      </w:r>
      <w:bookmarkEnd w:id="1346"/>
      <w:bookmarkEnd w:id="1347"/>
    </w:p>
    <w:p w:rsidR="00B95188" w:rsidRPr="00A428C3" w:rsidRDefault="00B95188" w:rsidP="00B72EF9">
      <w:pPr>
        <w:pStyle w:val="12"/>
      </w:pPr>
      <w:r w:rsidRPr="00A428C3">
        <w:t>Full Journal Title: International Journal of Food Science</w:t>
      </w:r>
      <w:r w:rsidR="00F81221">
        <w:t xml:space="preserve"> and </w:t>
      </w:r>
      <w:r w:rsidRPr="00A428C3">
        <w:t>Technology</w:t>
      </w:r>
    </w:p>
    <w:p w:rsidR="00B95188" w:rsidRPr="00A428C3" w:rsidRDefault="00B95188" w:rsidP="00B72EF9">
      <w:pPr>
        <w:pStyle w:val="12"/>
      </w:pPr>
      <w:r w:rsidRPr="00A428C3">
        <w:t>ISO Abbreviated Title: Int. J. Food Sci. Technol.</w:t>
      </w:r>
    </w:p>
    <w:p w:rsidR="00B95188" w:rsidRPr="00A428C3" w:rsidRDefault="00B95188" w:rsidP="00B72EF9">
      <w:pPr>
        <w:pStyle w:val="12"/>
      </w:pPr>
      <w:r w:rsidRPr="00A428C3">
        <w:t>JCR Abbreviated Title: Int J Food Sci Tech</w:t>
      </w:r>
    </w:p>
    <w:p w:rsidR="00B95188" w:rsidRPr="00A428C3" w:rsidRDefault="00B95188" w:rsidP="00B72EF9">
      <w:pPr>
        <w:pStyle w:val="12"/>
      </w:pPr>
      <w:r w:rsidRPr="00A428C3">
        <w:t>ISSN: 0950-5423</w:t>
      </w:r>
    </w:p>
    <w:p w:rsidR="00B95188" w:rsidRPr="00A428C3" w:rsidRDefault="00B95188" w:rsidP="00B72EF9">
      <w:pPr>
        <w:pStyle w:val="12"/>
      </w:pPr>
      <w:r w:rsidRPr="00A428C3">
        <w:t>Issues/Year: 5</w:t>
      </w:r>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Publisher: Blackwell Publishing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address">
          <w:smartTag w:uri="urn:schemas-microsoft-com:office:smarttags" w:element="Street">
            <w:r w:rsidRPr="00A428C3">
              <w:t>9600 Garsington Rd</w:t>
            </w:r>
          </w:smartTag>
          <w:r w:rsidRPr="00A428C3">
            <w:t xml:space="preserve">, </w:t>
          </w:r>
          <w:smartTag w:uri="urn:schemas-microsoft-com:office:smarttags" w:element="City">
            <w:r w:rsidRPr="00A428C3">
              <w:t>Oxford</w:t>
            </w:r>
          </w:smartTag>
        </w:smartTag>
        <w:r w:rsidRPr="00A428C3">
          <w:t xml:space="preserve"> </w:t>
        </w:r>
        <w:smartTag w:uri="urn:schemas-microsoft-com:office:smarttags" w:element="PostalCode">
          <w:r w:rsidRPr="00A428C3">
            <w:t>OX4 2DQ</w:t>
          </w:r>
        </w:smartTag>
      </w:smartTag>
      <w:r w:rsidRPr="00A428C3">
        <w:t xml:space="preserve">, </w:t>
      </w:r>
      <w:smartTag w:uri="urn:schemas-microsoft-com:office:smarttags" w:element="place">
        <w:smartTag w:uri="urn:schemas-microsoft-com:office:smarttags" w:element="City">
          <w:r w:rsidRPr="00A428C3">
            <w:t>Oxon</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Food Science &amp; Technology: Impact Factor 0.832, 50/96 (2006)</w:t>
      </w:r>
    </w:p>
    <w:p w:rsidR="00B95188" w:rsidRPr="00A428C3" w:rsidRDefault="00B95188" w:rsidP="00B95188">
      <w:pPr>
        <w:pStyle w:val="a0"/>
      </w:pPr>
      <w:r w:rsidRPr="00A428C3">
        <w:t>? Navas, P.B.</w:t>
      </w:r>
      <w:r w:rsidR="00F81221">
        <w:t xml:space="preserve"> and </w:t>
      </w:r>
      <w:r w:rsidRPr="00A428C3">
        <w:t>Carrasquero-Duran, A. (2003), The dependence of Ca</w:t>
      </w:r>
      <w:r w:rsidRPr="00A428C3">
        <w:rPr>
          <w:vertAlign w:val="superscript"/>
        </w:rPr>
        <w:t>2+</w:t>
      </w:r>
      <w:r w:rsidRPr="00A428C3">
        <w:t xml:space="preserve"> adsorption by rice bran on surface charge. </w:t>
      </w:r>
      <w:r w:rsidRPr="00A428C3">
        <w:rPr>
          <w:i/>
          <w:iCs/>
        </w:rPr>
        <w:t>International Journal of Food Science</w:t>
      </w:r>
      <w:r w:rsidR="00F81221">
        <w:rPr>
          <w:i/>
          <w:iCs/>
        </w:rPr>
        <w:t xml:space="preserve"> and </w:t>
      </w:r>
      <w:r w:rsidRPr="00A428C3">
        <w:rPr>
          <w:i/>
          <w:iCs/>
        </w:rPr>
        <w:t>Technology</w:t>
      </w:r>
      <w:r w:rsidRPr="00A428C3">
        <w:t xml:space="preserve">, </w:t>
      </w:r>
      <w:r w:rsidRPr="00A428C3">
        <w:rPr>
          <w:b/>
        </w:rPr>
        <w:t>38</w:t>
      </w:r>
      <w:r w:rsidRPr="00A428C3">
        <w:t xml:space="preserve"> (6), 687-692.</w:t>
      </w:r>
    </w:p>
    <w:p w:rsidR="00B95188" w:rsidRPr="00A428C3" w:rsidRDefault="00B95188" w:rsidP="00B95188">
      <w:pPr>
        <w:pStyle w:val="a0"/>
      </w:pPr>
      <w:r w:rsidRPr="00A428C3">
        <w:t>Abstract: The calcium binding capacity of rice bran was evaluated by using adsorption isotherms at several pH values. Adsorption increased with pH</w:t>
      </w:r>
      <w:r w:rsidR="00F81221">
        <w:t xml:space="preserve"> and </w:t>
      </w:r>
      <w:r w:rsidRPr="00A428C3">
        <w:t>was associated with an increase in negative surface charges in plant fibres. At pH 4.4, the release of endogenous calcium was the main process, while adsorption determined Ca availability at higher pH. The Ca concentrations, at which neither adsorption nor release occurs were as follows: 7.86</w:t>
      </w:r>
      <w:r w:rsidRPr="00A428C3">
        <w:sym w:font="Symbol" w:char="F0B4"/>
      </w:r>
      <w:r w:rsidRPr="00A428C3">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(pH 4.4), 4.14</w:t>
      </w:r>
      <w:r w:rsidRPr="00A428C3">
        <w:sym w:font="Symbol" w:char="F0B4"/>
      </w:r>
      <w:r w:rsidRPr="00A428C3">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(pH 5.0), 2.31</w:t>
      </w:r>
      <w:r w:rsidRPr="00A428C3">
        <w:sym w:font="Symbol" w:char="F0B4"/>
      </w:r>
      <w:r w:rsidRPr="00A428C3">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(pH 6.0)</w:t>
      </w:r>
      <w:r w:rsidR="00F81221">
        <w:t xml:space="preserve"> and </w:t>
      </w:r>
      <w:r w:rsidRPr="00A428C3">
        <w:t>0.85</w:t>
      </w:r>
      <w:r w:rsidRPr="00A428C3">
        <w:sym w:font="Symbol" w:char="F0B4"/>
      </w:r>
      <w:r w:rsidRPr="00A428C3">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A428C3">
          <w:rPr>
            <w:vertAlign w:val="superscript"/>
          </w:rPr>
          <w:t>-3</w:t>
        </w:r>
        <w:r w:rsidRPr="00A428C3">
          <w:t xml:space="preserve"> m</w:t>
        </w:r>
      </w:smartTag>
      <w:r w:rsidRPr="00A428C3">
        <w:t xml:space="preserve"> (pH 7.5). When using NaCl as the electrolyte, the results showed that competition of Na</w:t>
      </w:r>
      <w:r w:rsidRPr="00A428C3">
        <w:rPr>
          <w:vertAlign w:val="superscript"/>
        </w:rPr>
        <w:t>+</w:t>
      </w:r>
      <w:r w:rsidRPr="00A428C3">
        <w:t>-Ca</w:t>
      </w:r>
      <w:r w:rsidRPr="00A428C3">
        <w:rPr>
          <w:vertAlign w:val="superscript"/>
        </w:rPr>
        <w:t>2+</w:t>
      </w:r>
      <w:r w:rsidRPr="00A428C3">
        <w:t xml:space="preserve"> for binding sites seemed to be the determinant of the rate of Ca adsorption. Negative electric charges in bran are produced by ionization reactions which depend on solution pH</w:t>
      </w:r>
      <w:r w:rsidR="00F81221">
        <w:t xml:space="preserve"> and </w:t>
      </w:r>
      <w:r w:rsidRPr="00A428C3">
        <w:t>were evaluated by using the Gouy-Chapman double-layer model. The value of pH(0), at which the surface charge is zero was found to be 5.5.</w:t>
      </w:r>
    </w:p>
    <w:p w:rsidR="00B95188" w:rsidRPr="00A428C3" w:rsidRDefault="00B95188" w:rsidP="00B95188">
      <w:pPr>
        <w:pStyle w:val="a0"/>
      </w:pPr>
      <w:r w:rsidRPr="00A428C3">
        <w:t>Keywords: Binding Sites, Calcium Chloride, Gouy-Chapman, pH, Sodium Chloride, Fractions, Binding, Fiber, Zinc, Iron</w:t>
      </w:r>
    </w:p>
    <w:p w:rsidR="00B95188" w:rsidRPr="00A428C3" w:rsidRDefault="00B95188" w:rsidP="00B95188">
      <w:pPr>
        <w:pStyle w:val="a0"/>
      </w:pPr>
      <w:r w:rsidRPr="00A428C3">
        <w:t>? Silem, A., Gunter, H.O., Einfeldt, J.</w:t>
      </w:r>
      <w:r w:rsidR="00F81221">
        <w:t xml:space="preserve"> and </w:t>
      </w:r>
      <w:r w:rsidRPr="00A428C3">
        <w:t>Boualia, A. (2006), The occurrence of mass transport processes during the leaching of amygdalin from bitter apricot kernels: detoxification</w:t>
      </w:r>
      <w:r w:rsidR="00F81221">
        <w:t xml:space="preserve"> and </w:t>
      </w:r>
      <w:r w:rsidRPr="00A428C3">
        <w:t xml:space="preserve">flavour improvement. </w:t>
      </w:r>
      <w:r w:rsidRPr="00A428C3">
        <w:rPr>
          <w:i/>
          <w:iCs/>
        </w:rPr>
        <w:t>International Journal of Food Science</w:t>
      </w:r>
      <w:r w:rsidR="00F81221">
        <w:rPr>
          <w:i/>
          <w:iCs/>
        </w:rPr>
        <w:t xml:space="preserve"> and </w:t>
      </w:r>
      <w:r w:rsidRPr="00A428C3">
        <w:rPr>
          <w:i/>
          <w:iCs/>
        </w:rPr>
        <w:t>Technology</w:t>
      </w:r>
      <w:r w:rsidRPr="00A428C3">
        <w:t xml:space="preserve">, </w:t>
      </w:r>
      <w:r w:rsidRPr="00A428C3">
        <w:rPr>
          <w:b/>
        </w:rPr>
        <w:t>41</w:t>
      </w:r>
      <w:r w:rsidRPr="00A428C3">
        <w:t xml:space="preserve"> (2), 201-213.</w:t>
      </w:r>
    </w:p>
    <w:p w:rsidR="00B95188" w:rsidRPr="00A428C3" w:rsidRDefault="00B95188" w:rsidP="00B95188">
      <w:pPr>
        <w:pStyle w:val="a0"/>
      </w:pPr>
      <w:r w:rsidRPr="00A13428">
        <w:t>Abstract:</w:t>
      </w:r>
      <w:r w:rsidRPr="00A428C3">
        <w:t xml:space="preserve"> Because of their appreciable protein content apricot kernels could be used as a good source of food. However, their wide use for human or animal nutrition is dependent on their adequate detoxification. This is because apricot kernels have a strong bitter flavour that is caused by the presence of amygdalin, a toxic cyanogenic </w:t>
      </w:r>
      <w:r w:rsidRPr="00A428C3">
        <w:lastRenderedPageBreak/>
        <w:t>glycoside. The aim of the present work was to investigate an unusual method of detoxifying apricot kernels by soaking them in water. The method was energetically relatively inexpensive as uncrushed kernels</w:t>
      </w:r>
      <w:r w:rsidR="00F81221">
        <w:t xml:space="preserve"> and </w:t>
      </w:r>
      <w:r w:rsidRPr="00A428C3">
        <w:t>cold water were used. Furthermore, the use of intact kernels minimized the loss of nutritious soluble matter during the detoxification. On the basis of a simple but adequate mechanistic model, a mathematical description of the extractive detoxification of apricot kernels is proposed. The two-resistance mass transfer system is based on external film mass transfer</w:t>
      </w:r>
      <w:r w:rsidR="00F81221">
        <w:t xml:space="preserve"> and </w:t>
      </w:r>
      <w:r w:rsidRPr="00A428C3">
        <w:t>an effective solid diffusion. A linear equilibrium curve arises from the assumption that the concentration profile inside the solid phase can be well approximated with a second order polynomial calculation, this then leads to an analytical formulation of the mathematical model. The liquid-phase mass transfer coefficient</w:t>
      </w:r>
      <w:r w:rsidR="00F81221">
        <w:t xml:space="preserve"> and </w:t>
      </w:r>
      <w:r w:rsidRPr="00A428C3">
        <w:t>the internal diffusion coefficient in the kernels can be then determined. Finally, the model is used to describe extractor behaviour</w:t>
      </w:r>
      <w:r w:rsidR="00F81221">
        <w:t xml:space="preserve"> and </w:t>
      </w:r>
      <w:r w:rsidRPr="00A428C3">
        <w:t>predict process performance under real operation conditions.</w:t>
      </w:r>
    </w:p>
    <w:p w:rsidR="00B95188" w:rsidRPr="00A428C3" w:rsidRDefault="00B95188" w:rsidP="00B95188">
      <w:pPr>
        <w:pStyle w:val="a0"/>
      </w:pPr>
      <w:r w:rsidRPr="00A13428">
        <w:t>Keywords:</w:t>
      </w:r>
      <w:r w:rsidRPr="00A428C3">
        <w:t xml:space="preserve"> Batch Extraction, Cyanogenic Glycosides, Mathematical Modeling, Semi-Continuous Extraction, Soaking</w:t>
      </w:r>
      <w:r w:rsidRPr="00A13428">
        <w:t xml:space="preserve">, </w:t>
      </w:r>
      <w:r w:rsidRPr="00A428C3">
        <w:t>Adsorption, Cyanide</w:t>
      </w:r>
    </w:p>
    <w:p w:rsidR="001D1E33" w:rsidRPr="001A3D2B" w:rsidRDefault="001D1E33" w:rsidP="001D1E33">
      <w:pPr>
        <w:pStyle w:val="1"/>
      </w:pPr>
      <w:r w:rsidRPr="001A3D2B">
        <w:br w:type="page"/>
      </w:r>
      <w:bookmarkStart w:id="1348" w:name="_Toc317161298"/>
      <w:r w:rsidRPr="001A3D2B">
        <w:lastRenderedPageBreak/>
        <w:t xml:space="preserve">Title: </w:t>
      </w:r>
      <w:r w:rsidRPr="005E5523">
        <w:rPr>
          <w:iCs/>
        </w:rPr>
        <w:t>International Journal of Forecasting</w:t>
      </w:r>
      <w:bookmarkEnd w:id="1348"/>
    </w:p>
    <w:p w:rsidR="001D1E33" w:rsidRPr="001A3D2B" w:rsidRDefault="001D1E33" w:rsidP="001D1E33">
      <w:pPr>
        <w:pStyle w:val="12"/>
      </w:pPr>
      <w:r w:rsidRPr="001A3D2B">
        <w:t xml:space="preserve">Full Journal Title: </w:t>
      </w:r>
      <w:hyperlink r:id="rId1911" w:history="1">
        <w:r w:rsidRPr="005E5523">
          <w:rPr>
            <w:rStyle w:val="a5"/>
            <w:iCs/>
          </w:rPr>
          <w:t>International Journal of Forecasting</w:t>
        </w:r>
      </w:hyperlink>
    </w:p>
    <w:p w:rsidR="001D1E33" w:rsidRPr="001A3D2B" w:rsidRDefault="001D1E33" w:rsidP="001D1E33">
      <w:pPr>
        <w:pStyle w:val="12"/>
      </w:pPr>
      <w:r w:rsidRPr="001A3D2B">
        <w:t xml:space="preserve">ISO Abbreviated Title: </w:t>
      </w:r>
    </w:p>
    <w:p w:rsidR="001D1E33" w:rsidRPr="001A3D2B" w:rsidRDefault="001D1E33" w:rsidP="001D1E33">
      <w:pPr>
        <w:pStyle w:val="12"/>
      </w:pPr>
      <w:r w:rsidRPr="001A3D2B">
        <w:t xml:space="preserve">JCR Abbreviated Title: </w:t>
      </w:r>
    </w:p>
    <w:p w:rsidR="001D1E33" w:rsidRPr="001A3D2B" w:rsidRDefault="001D1E33" w:rsidP="001D1E33">
      <w:pPr>
        <w:pStyle w:val="12"/>
      </w:pPr>
      <w:r w:rsidRPr="001A3D2B">
        <w:t xml:space="preserve">ISSN: </w:t>
      </w:r>
    </w:p>
    <w:p w:rsidR="001D1E33" w:rsidRPr="001A3D2B" w:rsidRDefault="001D1E33" w:rsidP="001D1E33">
      <w:pPr>
        <w:pStyle w:val="12"/>
      </w:pPr>
      <w:r w:rsidRPr="001A3D2B">
        <w:t xml:space="preserve">Issues/Year: </w:t>
      </w:r>
    </w:p>
    <w:p w:rsidR="001D1E33" w:rsidRPr="001A3D2B" w:rsidRDefault="001D1E33" w:rsidP="001D1E33">
      <w:pPr>
        <w:pStyle w:val="12"/>
      </w:pPr>
      <w:r w:rsidRPr="001A3D2B">
        <w:t xml:space="preserve">Journal Country/Territory: </w:t>
      </w:r>
    </w:p>
    <w:p w:rsidR="001D1E33" w:rsidRPr="001A3D2B" w:rsidRDefault="001D1E33" w:rsidP="001D1E33">
      <w:pPr>
        <w:pStyle w:val="12"/>
      </w:pPr>
      <w:r w:rsidRPr="001A3D2B">
        <w:t xml:space="preserve">Language: </w:t>
      </w:r>
    </w:p>
    <w:p w:rsidR="001D1E33" w:rsidRPr="001A3D2B" w:rsidRDefault="001D1E33" w:rsidP="001D1E33">
      <w:pPr>
        <w:pStyle w:val="12"/>
      </w:pPr>
      <w:r w:rsidRPr="001A3D2B">
        <w:t xml:space="preserve">Publisher: </w:t>
      </w:r>
    </w:p>
    <w:p w:rsidR="001D1E33" w:rsidRPr="001A3D2B" w:rsidRDefault="001D1E33" w:rsidP="001D1E33">
      <w:pPr>
        <w:pStyle w:val="12"/>
      </w:pPr>
      <w:r w:rsidRPr="001A3D2B">
        <w:t xml:space="preserve">Publisher Address: </w:t>
      </w:r>
    </w:p>
    <w:p w:rsidR="001D1E33" w:rsidRPr="001A3D2B" w:rsidRDefault="001D1E33" w:rsidP="001D1E33">
      <w:pPr>
        <w:pStyle w:val="12"/>
      </w:pPr>
      <w:r w:rsidRPr="001A3D2B">
        <w:t>Subject Categories:</w:t>
      </w:r>
    </w:p>
    <w:p w:rsidR="001D1E33" w:rsidRPr="001A3D2B" w:rsidRDefault="001D1E33" w:rsidP="001D1E33">
      <w:pPr>
        <w:pStyle w:val="12"/>
      </w:pPr>
      <w:r w:rsidRPr="001A3D2B">
        <w:t>: Impact Factor</w:t>
      </w:r>
    </w:p>
    <w:p w:rsidR="001D1E33" w:rsidRDefault="001D1E33" w:rsidP="001D1E33">
      <w:pPr>
        <w:pStyle w:val="a0"/>
        <w:rPr>
          <w:kern w:val="0"/>
        </w:rPr>
      </w:pPr>
      <w:r>
        <w:rPr>
          <w:rFonts w:hint="eastAsia"/>
          <w:kern w:val="0"/>
        </w:rPr>
        <w:t xml:space="preserve">? </w:t>
      </w:r>
      <w:r>
        <w:rPr>
          <w:kern w:val="0"/>
        </w:rPr>
        <w:t>Benda, W.G.G.</w:t>
      </w:r>
      <w:r w:rsidR="00F81221">
        <w:rPr>
          <w:kern w:val="0"/>
        </w:rPr>
        <w:t xml:space="preserve"> and </w:t>
      </w:r>
      <w:r>
        <w:rPr>
          <w:kern w:val="0"/>
        </w:rPr>
        <w:t>Engels, T.C.E. (2011), The predictive validity of peer review: A selective review of the judgmental forecasting qualities of peers,</w:t>
      </w:r>
      <w:r w:rsidR="00F81221">
        <w:rPr>
          <w:kern w:val="0"/>
        </w:rPr>
        <w:t xml:space="preserve"> and </w:t>
      </w:r>
      <w:r>
        <w:rPr>
          <w:kern w:val="0"/>
        </w:rPr>
        <w:t xml:space="preserve">implications for innovation in science. </w:t>
      </w:r>
      <w:r w:rsidRPr="005E5523">
        <w:rPr>
          <w:i/>
          <w:iCs/>
          <w:kern w:val="0"/>
        </w:rPr>
        <w:t>International Journal of Forecasting</w:t>
      </w:r>
      <w:r>
        <w:rPr>
          <w:kern w:val="0"/>
        </w:rPr>
        <w:t xml:space="preserve">, </w:t>
      </w:r>
      <w:r>
        <w:rPr>
          <w:b/>
          <w:bCs/>
          <w:kern w:val="0"/>
        </w:rPr>
        <w:t>27</w:t>
      </w:r>
      <w:r>
        <w:rPr>
          <w:kern w:val="0"/>
        </w:rPr>
        <w:t xml:space="preserve"> (1), 166-182.</w:t>
      </w:r>
    </w:p>
    <w:p w:rsidR="001D1E33" w:rsidRDefault="001D1E33" w:rsidP="001D1E33">
      <w:pPr>
        <w:pStyle w:val="a0"/>
        <w:rPr>
          <w:kern w:val="0"/>
        </w:rPr>
      </w:pPr>
      <w:r>
        <w:rPr>
          <w:rFonts w:hint="eastAsia"/>
          <w:kern w:val="0"/>
        </w:rPr>
        <w:t xml:space="preserve">Full Text: </w:t>
      </w:r>
      <w:hyperlink r:id="rId1912" w:history="1">
        <w:r w:rsidRPr="005E5523">
          <w:rPr>
            <w:rStyle w:val="a5"/>
            <w:kern w:val="0"/>
          </w:rPr>
          <w:t>2011\Int J For27, 166.pdf</w:t>
        </w:r>
      </w:hyperlink>
    </w:p>
    <w:p w:rsidR="001D1E33" w:rsidRDefault="001D1E33" w:rsidP="001D1E33">
      <w:pPr>
        <w:pStyle w:val="a0"/>
        <w:rPr>
          <w:kern w:val="0"/>
        </w:rPr>
      </w:pPr>
      <w:r>
        <w:rPr>
          <w:kern w:val="0"/>
        </w:rPr>
        <w:t>Abstract: In this review we investigate what the available data on the predictive validity of peer review can add to our understanding of judgmental forecasting. We found that peer review attests to the relative success of judgmental forecasting by experts. Both manuscript</w:t>
      </w:r>
      <w:r w:rsidR="00F81221">
        <w:rPr>
          <w:kern w:val="0"/>
        </w:rPr>
        <w:t xml:space="preserve"> and </w:t>
      </w:r>
      <w:r>
        <w:rPr>
          <w:kern w:val="0"/>
        </w:rPr>
        <w:t>group-based peer review allow, on average, for accurate decisions to be made. However, tension exists between peer review</w:t>
      </w:r>
      <w:r w:rsidR="00F81221">
        <w:rPr>
          <w:kern w:val="0"/>
        </w:rPr>
        <w:t xml:space="preserve"> and </w:t>
      </w:r>
      <w:r>
        <w:rPr>
          <w:kern w:val="0"/>
        </w:rPr>
        <w:t>innovative ideas, even though the latter underlie scientific advance. This points to the danger of biases</w:t>
      </w:r>
      <w:r w:rsidR="00F81221">
        <w:rPr>
          <w:kern w:val="0"/>
        </w:rPr>
        <w:t xml:space="preserve"> and </w:t>
      </w:r>
      <w:r>
        <w:rPr>
          <w:kern w:val="0"/>
        </w:rPr>
        <w:t>preconceptions in judgments. We therefore formulate two proposals for enhancing the likelihood of innovative work. (C) 2010 International Institute of Forecasters. Published by Elsevier B.V. All rights reserved.</w:t>
      </w:r>
    </w:p>
    <w:p w:rsidR="001D1E33" w:rsidRDefault="001D1E33" w:rsidP="001D1E33">
      <w:pPr>
        <w:pStyle w:val="a0"/>
        <w:rPr>
          <w:kern w:val="0"/>
        </w:rPr>
      </w:pPr>
      <w:r>
        <w:rPr>
          <w:kern w:val="0"/>
        </w:rPr>
        <w:t>Keywords: Advance, Advice Taking, Authors, Bias, Bibliometric Indicators, Citation Analysis, Cognitive Bias, CUM Laude Doctorates, Data, Decision-Making, Decision-Making, Expert Advice, Experts, Forecasting, Grant Applications, Group Decision Making, Innovation, Journal Impact, Peer Review, Peer-Review, Predictive, Reliability, Reliability, Review, Rights, Science, Scientific Excellence, SI, Understanding, Validity, Work</w:t>
      </w:r>
    </w:p>
    <w:p w:rsidR="00B95188" w:rsidRPr="00A428C3" w:rsidRDefault="00B95188" w:rsidP="00B95188">
      <w:pPr>
        <w:pStyle w:val="1"/>
      </w:pPr>
      <w:r w:rsidRPr="00A428C3">
        <w:br w:type="page"/>
      </w:r>
      <w:bookmarkStart w:id="1349" w:name="_Toc186647920"/>
      <w:bookmarkStart w:id="1350" w:name="_Toc317161299"/>
      <w:r w:rsidRPr="00A428C3">
        <w:lastRenderedPageBreak/>
        <w:t>Title: International Journal of Geriatric Psychiatry</w:t>
      </w:r>
      <w:bookmarkEnd w:id="1349"/>
      <w:bookmarkEnd w:id="1350"/>
    </w:p>
    <w:p w:rsidR="00B95188" w:rsidRPr="00A428C3" w:rsidRDefault="00B95188" w:rsidP="00B72EF9">
      <w:pPr>
        <w:pStyle w:val="12"/>
      </w:pPr>
      <w:r w:rsidRPr="00A428C3">
        <w:t xml:space="preserve">Full Journal Title: </w:t>
      </w:r>
      <w:hyperlink r:id="rId1913" w:history="1">
        <w:r w:rsidRPr="00A428C3">
          <w:rPr>
            <w:rStyle w:val="a5"/>
          </w:rPr>
          <w:t>International Journal of Geriatric Psychiatry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0885-6230</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Baldwin, C., Hughes, J., Hope, T., Jacoby, R.</w:t>
      </w:r>
      <w:r w:rsidR="00F81221">
        <w:t xml:space="preserve"> and </w:t>
      </w:r>
      <w:r w:rsidRPr="00A428C3">
        <w:t>Ziebland, S. (2003), Ethics</w:t>
      </w:r>
      <w:r w:rsidR="00F81221">
        <w:t xml:space="preserve"> and </w:t>
      </w:r>
      <w:r w:rsidRPr="00A428C3">
        <w:t xml:space="preserve">dementia: Mapping the literature by bibliometric analysis. </w:t>
      </w:r>
      <w:r w:rsidRPr="00A428C3">
        <w:rPr>
          <w:i/>
          <w:iCs/>
        </w:rPr>
        <w:t>International Journal of Geriatric Psychiatry</w:t>
      </w:r>
      <w:r w:rsidRPr="00A428C3">
        <w:t xml:space="preserve">, </w:t>
      </w:r>
      <w:r w:rsidRPr="00A428C3">
        <w:rPr>
          <w:b/>
        </w:rPr>
        <w:t>18</w:t>
      </w:r>
      <w:r w:rsidRPr="00A428C3">
        <w:t xml:space="preserve"> (1), 41-54.</w:t>
      </w:r>
    </w:p>
    <w:p w:rsidR="00B95188" w:rsidRPr="00A428C3" w:rsidRDefault="00B95188" w:rsidP="00B95188">
      <w:pPr>
        <w:pStyle w:val="a0"/>
      </w:pPr>
      <w:r w:rsidRPr="00A428C3">
        <w:t xml:space="preserve">Full Text: </w:t>
      </w:r>
      <w:hyperlink r:id="rId1914" w:history="1">
        <w:r w:rsidRPr="00A428C3">
          <w:rPr>
            <w:rStyle w:val="a5"/>
          </w:rPr>
          <w:t>I\Int J Ger Psy18, 41.pdf</w:t>
        </w:r>
      </w:hyperlink>
    </w:p>
    <w:p w:rsidR="00B95188" w:rsidRPr="00A428C3" w:rsidRDefault="00B95188" w:rsidP="00B95188">
      <w:pPr>
        <w:pStyle w:val="a0"/>
      </w:pPr>
      <w:r w:rsidRPr="00A428C3">
        <w:t>Abstract: Objectives This paper reports on a bibliometric analysis of keywords in the literature on ethics</w:t>
      </w:r>
      <w:r w:rsidR="00F81221">
        <w:t xml:space="preserve"> and </w:t>
      </w:r>
      <w:r w:rsidRPr="00A428C3">
        <w:t>dementia during the period 1980-2000.</w:t>
      </w:r>
    </w:p>
    <w:p w:rsidR="00B95188" w:rsidRPr="00A428C3" w:rsidRDefault="00B95188" w:rsidP="00B95188">
      <w:pPr>
        <w:pStyle w:val="a0"/>
      </w:pPr>
      <w:r w:rsidRPr="00A428C3">
        <w:t>Methods Keywords were drawn from titles, abstracts</w:t>
      </w:r>
      <w:r w:rsidR="00F81221">
        <w:t xml:space="preserve"> and </w:t>
      </w:r>
      <w:r w:rsidRPr="00A428C3">
        <w:t>keyword fields of 14 bibliographic databases</w:t>
      </w:r>
      <w:r w:rsidR="00F81221">
        <w:t xml:space="preserve"> and </w:t>
      </w:r>
      <w:r w:rsidRPr="00A428C3">
        <w:t>clustered in to 19 categories. These categories were then examined for their frequency</w:t>
      </w:r>
      <w:r w:rsidR="00F81221">
        <w:t xml:space="preserve"> and </w:t>
      </w:r>
      <w:r w:rsidRPr="00A428C3">
        <w:t xml:space="preserve">co-occurrences. The strength of relationships between these categories is mapped using the metaphor of the </w:t>
      </w:r>
      <w:r w:rsidR="000352E7">
        <w:t>‘</w:t>
      </w:r>
      <w:r w:rsidRPr="00A428C3">
        <w:t>night sky</w:t>
      </w:r>
      <w:r w:rsidR="000352E7">
        <w:t>’</w:t>
      </w:r>
      <w:r w:rsidRPr="00A428C3">
        <w:t xml:space="preserve"> showing constellations of issues</w:t>
      </w:r>
      <w:r w:rsidR="00F81221">
        <w:t xml:space="preserve"> and </w:t>
      </w:r>
      <w:r w:rsidRPr="00A428C3">
        <w:t>changes over time.</w:t>
      </w:r>
    </w:p>
    <w:p w:rsidR="00B95188" w:rsidRPr="00A428C3" w:rsidRDefault="00B95188" w:rsidP="00B95188">
      <w:pPr>
        <w:pStyle w:val="a0"/>
      </w:pPr>
      <w:r w:rsidRPr="00A428C3">
        <w:t>Results Four categories appear consistently</w:t>
      </w:r>
      <w:r w:rsidR="00F81221">
        <w:t xml:space="preserve"> and </w:t>
      </w:r>
      <w:r w:rsidRPr="00A428C3">
        <w:t>frequently in the literature: professional care, end-of-life issues, decision-making</w:t>
      </w:r>
      <w:r w:rsidR="00F81221">
        <w:t xml:space="preserve"> and </w:t>
      </w:r>
      <w:r w:rsidRPr="00A428C3">
        <w:t>treatment. Other issues come</w:t>
      </w:r>
      <w:r w:rsidR="00F81221">
        <w:t xml:space="preserve"> and </w:t>
      </w:r>
      <w:r w:rsidRPr="00A428C3">
        <w:t>go (such as quality-of-life issues) while others appear to respond to outside events (e.g. feeding issues). The research literature is based predominantly on surveys or studies soliciting responses to pre-defined issues. Little research has been undertaken to establish the range of ethical issues for either family members or professionals. Discussion We discuss the domination of the literature by four categories of ethical issues, the new</w:t>
      </w:r>
      <w:r w:rsidR="00F81221">
        <w:t xml:space="preserve"> and </w:t>
      </w:r>
      <w:r w:rsidRPr="00A428C3">
        <w:t>emerging areas of ethical interest</w:t>
      </w:r>
      <w:r w:rsidR="00F81221">
        <w:t xml:space="preserve"> and </w:t>
      </w:r>
      <w:r w:rsidRPr="00A428C3">
        <w:t>those areas that are triggered by external events such as legal cases. We also discuss some of the limitations of the study</w:t>
      </w:r>
      <w:r w:rsidR="00F81221">
        <w:t xml:space="preserve"> and </w:t>
      </w:r>
      <w:r w:rsidRPr="00A428C3">
        <w:t>note some omissions in the literature.</w:t>
      </w:r>
    </w:p>
    <w:p w:rsidR="00B95188" w:rsidRPr="00A428C3" w:rsidRDefault="00B95188" w:rsidP="00B95188">
      <w:pPr>
        <w:pStyle w:val="a0"/>
      </w:pPr>
      <w:r w:rsidRPr="00A428C3">
        <w:t>Conclusion During the period 1980-2000 the research literature has been dominated by surveys</w:t>
      </w:r>
      <w:r w:rsidR="00F81221">
        <w:t xml:space="preserve"> and </w:t>
      </w:r>
      <w:r w:rsidRPr="00A428C3">
        <w:t>studies soliciting views on predefined issues with relatively few in-depth, open-ended qualitative studies. Copyright (C) 2002 John Wiley Sons, Ltd.</w:t>
      </w:r>
    </w:p>
    <w:p w:rsidR="00B95188" w:rsidRDefault="00B95188" w:rsidP="00B95188">
      <w:pPr>
        <w:pStyle w:val="a0"/>
      </w:pPr>
      <w:r w:rsidRPr="00A428C3">
        <w:t xml:space="preserve">Keywords: Ethics, Dementia, Bibliometric Analysis, Co-Word Analysis, Science, </w:t>
      </w:r>
      <w:r w:rsidRPr="00A428C3">
        <w:lastRenderedPageBreak/>
        <w:t>Health, Care, Experience, Guidelines, Caregivers, Dilemmas, Service, Disease</w:t>
      </w:r>
    </w:p>
    <w:p w:rsidR="00BA105F" w:rsidRDefault="00BA105F" w:rsidP="00BA105F">
      <w:pPr>
        <w:pStyle w:val="a0"/>
        <w:rPr>
          <w:kern w:val="0"/>
        </w:rPr>
      </w:pPr>
      <w:r>
        <w:rPr>
          <w:kern w:val="0"/>
        </w:rPr>
        <w:t>? Mitchell, A.</w:t>
      </w:r>
      <w:r w:rsidR="00F81221">
        <w:rPr>
          <w:kern w:val="0"/>
        </w:rPr>
        <w:t xml:space="preserve"> and </w:t>
      </w:r>
      <w:r>
        <w:rPr>
          <w:kern w:val="0"/>
        </w:rPr>
        <w:t>Brindle, N. (2003), CSF phosphorylated tau - does it constitute an accurate biological test for Alzheimer</w:t>
      </w:r>
      <w:r w:rsidR="000352E7">
        <w:rPr>
          <w:kern w:val="0"/>
        </w:rPr>
        <w:t>’</w:t>
      </w:r>
      <w:r>
        <w:rPr>
          <w:kern w:val="0"/>
        </w:rPr>
        <w:t xml:space="preserve">s disease? </w:t>
      </w:r>
      <w:r>
        <w:rPr>
          <w:i/>
          <w:iCs/>
          <w:kern w:val="0"/>
        </w:rPr>
        <w:t>International Journal of Geriatric Psychiatry</w:t>
      </w:r>
      <w:r>
        <w:rPr>
          <w:kern w:val="0"/>
        </w:rPr>
        <w:t xml:space="preserve">, </w:t>
      </w:r>
      <w:r>
        <w:rPr>
          <w:b/>
          <w:bCs/>
          <w:kern w:val="0"/>
        </w:rPr>
        <w:t>18</w:t>
      </w:r>
      <w:r>
        <w:rPr>
          <w:kern w:val="0"/>
        </w:rPr>
        <w:t xml:space="preserve"> (5), 407-411.</w:t>
      </w:r>
    </w:p>
    <w:p w:rsidR="00BA105F" w:rsidRDefault="00BA105F" w:rsidP="00BA105F">
      <w:pPr>
        <w:pStyle w:val="a0"/>
      </w:pPr>
      <w:r>
        <w:t>Full Text: 2003\Int J Ger Psy18, 407.pdf</w:t>
      </w:r>
    </w:p>
    <w:p w:rsidR="00BA105F" w:rsidRDefault="00BA105F" w:rsidP="00BA105F">
      <w:pPr>
        <w:pStyle w:val="a0"/>
        <w:rPr>
          <w:kern w:val="0"/>
        </w:rPr>
      </w:pPr>
      <w:r>
        <w:rPr>
          <w:kern w:val="0"/>
        </w:rPr>
        <w:t>Abstract: Introduction There is considerable interest in developing a diagnostic test which could differentiate between early Alzheimer</w:t>
      </w:r>
      <w:r w:rsidR="000352E7">
        <w:rPr>
          <w:kern w:val="0"/>
        </w:rPr>
        <w:t>’</w:t>
      </w:r>
      <w:r>
        <w:rPr>
          <w:kern w:val="0"/>
        </w:rPr>
        <w:t>s disease (AD)</w:t>
      </w:r>
      <w:r w:rsidR="00F81221">
        <w:rPr>
          <w:kern w:val="0"/>
        </w:rPr>
        <w:t xml:space="preserve"> and </w:t>
      </w:r>
      <w:r>
        <w:rPr>
          <w:kern w:val="0"/>
        </w:rPr>
        <w:t>other causes of memory impairment with more than 80% sensitivity</w:t>
      </w:r>
      <w:r w:rsidR="00F81221">
        <w:rPr>
          <w:kern w:val="0"/>
        </w:rPr>
        <w:t xml:space="preserve"> and </w:t>
      </w:r>
      <w:r>
        <w:rPr>
          <w:kern w:val="0"/>
        </w:rPr>
        <w:t>80% specificity. Objective To review the studies that have examined CSF phosphorylated tau as diagnostic test of AD vs clinically representative comparison groups. Method A critical review of the literature using EMBASE, Web of Science, MEDLINE</w:t>
      </w:r>
      <w:r w:rsidR="00F81221">
        <w:rPr>
          <w:kern w:val="0"/>
        </w:rPr>
        <w:t xml:space="preserve"> and </w:t>
      </w:r>
      <w:r>
        <w:rPr>
          <w:kern w:val="0"/>
        </w:rPr>
        <w:t>Psychinfo databases supplemented by handsearching</w:t>
      </w:r>
      <w:r w:rsidR="00F81221">
        <w:rPr>
          <w:kern w:val="0"/>
        </w:rPr>
        <w:t xml:space="preserve"> and </w:t>
      </w:r>
      <w:r>
        <w:rPr>
          <w:kern w:val="0"/>
        </w:rPr>
        <w:t>contact with experts in the field. Results CSF phosphorylated tau is a marker of AD that improves upon the utility of CSF total tau</w:t>
      </w:r>
      <w:r w:rsidR="00F81221">
        <w:rPr>
          <w:kern w:val="0"/>
        </w:rPr>
        <w:t xml:space="preserve"> and </w:t>
      </w:r>
      <w:r>
        <w:rPr>
          <w:kern w:val="0"/>
        </w:rPr>
        <w:t>clinical examination alone. Studies have found high levels of tau phosphorylated at Threonine 231 and/or Serine 199 in AD but not in other causes of dementia, in depression or in healthy elderly controls. of particular interest, the test appears equally valid in cases of early AD as in moderate or late stages</w:t>
      </w:r>
      <w:r w:rsidR="00F81221">
        <w:rPr>
          <w:kern w:val="0"/>
        </w:rPr>
        <w:t xml:space="preserve"> and </w:t>
      </w:r>
      <w:r>
        <w:rPr>
          <w:kern w:val="0"/>
        </w:rPr>
        <w:t>may also be of use in predicting future decline in subjects with mild cognitive impairment. Conclusion CSF phosphorylated tau is a promising diagnostic test for AD but this requires replication using pathologically confirmed cases. Copyright (C) 2003 John Wiley Sons, Ltd.</w:t>
      </w:r>
    </w:p>
    <w:p w:rsidR="00BA105F" w:rsidRDefault="00BA105F" w:rsidP="00BA105F">
      <w:pPr>
        <w:pStyle w:val="a0"/>
        <w:rPr>
          <w:kern w:val="0"/>
        </w:rPr>
      </w:pPr>
      <w:r>
        <w:rPr>
          <w:kern w:val="0"/>
        </w:rPr>
        <w:t>Keywords: Alzheimer</w:t>
      </w:r>
      <w:r w:rsidR="000352E7">
        <w:rPr>
          <w:kern w:val="0"/>
        </w:rPr>
        <w:t>’</w:t>
      </w:r>
      <w:r>
        <w:rPr>
          <w:kern w:val="0"/>
        </w:rPr>
        <w:t>s Disease, Cerebrospinal Fluid, Cerebrospinal-Fluid Tau, Clinical Examination, Copyright, Databases, Degeneration, Dementia, Depression, Diagnosis, Diagnostic Test, Disease, Disorders, Elderly, Interest, Large-Scale, Literature, Memory, Mild Cognitive Impairment, Mild Cognitive Impairment, Multicenter, Pathology, Phosphorylated Tau, Protein, Review, Science, Tau, Web of Science</w:t>
      </w:r>
    </w:p>
    <w:p w:rsidR="00BA105F" w:rsidRDefault="00BA105F" w:rsidP="00BA105F">
      <w:pPr>
        <w:pStyle w:val="a0"/>
        <w:rPr>
          <w:kern w:val="0"/>
        </w:rPr>
      </w:pPr>
      <w:r>
        <w:rPr>
          <w:kern w:val="0"/>
        </w:rPr>
        <w:t>? Bamford, C., Lamont, S., Eccles, M., Robinson, L., May, C.</w:t>
      </w:r>
      <w:r w:rsidR="00F81221">
        <w:rPr>
          <w:kern w:val="0"/>
        </w:rPr>
        <w:t xml:space="preserve"> and </w:t>
      </w:r>
      <w:r>
        <w:rPr>
          <w:kern w:val="0"/>
        </w:rPr>
        <w:t xml:space="preserve">Bond, J. (2004), Disclosing a diagnosis of dementia: A systematic review. </w:t>
      </w:r>
      <w:r>
        <w:rPr>
          <w:i/>
          <w:iCs/>
          <w:kern w:val="0"/>
        </w:rPr>
        <w:t>International Journal of Geriatric Psychiatry</w:t>
      </w:r>
      <w:r>
        <w:rPr>
          <w:kern w:val="0"/>
        </w:rPr>
        <w:t xml:space="preserve">, </w:t>
      </w:r>
      <w:r>
        <w:rPr>
          <w:b/>
          <w:bCs/>
          <w:kern w:val="0"/>
        </w:rPr>
        <w:t>19</w:t>
      </w:r>
      <w:r>
        <w:rPr>
          <w:kern w:val="0"/>
        </w:rPr>
        <w:t xml:space="preserve"> (2), 151-169.</w:t>
      </w:r>
    </w:p>
    <w:p w:rsidR="00BA105F" w:rsidRDefault="00BA105F" w:rsidP="00BA105F">
      <w:pPr>
        <w:pStyle w:val="a0"/>
      </w:pPr>
      <w:r>
        <w:t>Full Text: 2004\Int J Ger Psy19, 151.pdf</w:t>
      </w:r>
    </w:p>
    <w:p w:rsidR="00BA105F" w:rsidRDefault="00BA105F" w:rsidP="00BA105F">
      <w:pPr>
        <w:pStyle w:val="a0"/>
        <w:rPr>
          <w:kern w:val="0"/>
        </w:rPr>
      </w:pPr>
      <w:r>
        <w:rPr>
          <w:kern w:val="0"/>
        </w:rPr>
        <w:t>Abstract: Background The issue of diagnostic disclosure in dementia has been debated extensively in professional journals, but empirical data concerning disclosure in dementia has not previously been systematically reviewed. Objective To review empirical data regarding diagnostic disclosure in dementia. Methods Five electronic databases were searched up to September 2003 (MEDLINE, EMBASE, Cinahl, Sociological Abstracts, Web of Science). Additional references were identified through hand searches of selected journals</w:t>
      </w:r>
      <w:r w:rsidR="00F81221">
        <w:rPr>
          <w:kern w:val="0"/>
        </w:rPr>
        <w:t xml:space="preserve"> and </w:t>
      </w:r>
      <w:r>
        <w:rPr>
          <w:kern w:val="0"/>
        </w:rPr>
        <w:t>bibliographies of relevant articles</w:t>
      </w:r>
      <w:r w:rsidR="00F81221">
        <w:rPr>
          <w:kern w:val="0"/>
        </w:rPr>
        <w:t xml:space="preserve"> and </w:t>
      </w:r>
      <w:r>
        <w:rPr>
          <w:kern w:val="0"/>
        </w:rPr>
        <w:t>books. The title</w:t>
      </w:r>
      <w:r w:rsidR="00F81221">
        <w:rPr>
          <w:kern w:val="0"/>
        </w:rPr>
        <w:t xml:space="preserve"> and </w:t>
      </w:r>
      <w:r>
        <w:rPr>
          <w:kern w:val="0"/>
        </w:rPr>
        <w:t xml:space="preserve">abstract of each identified paper were reviewed independently </w:t>
      </w:r>
      <w:r>
        <w:rPr>
          <w:kern w:val="0"/>
        </w:rPr>
        <w:lastRenderedPageBreak/>
        <w:t>by two reviewers against pre-determined inclusion criteria: original data about disclosure were presented</w:t>
      </w:r>
      <w:r w:rsidR="00F81221">
        <w:rPr>
          <w:kern w:val="0"/>
        </w:rPr>
        <w:t xml:space="preserve"> and </w:t>
      </w:r>
      <w:r>
        <w:rPr>
          <w:kern w:val="0"/>
        </w:rPr>
        <w:t>the paper was in English. Any disagreements were resolved by discussion until consensus was reached. Data were extracted independently by two reviewers using a structured abstraction form. Data quality were not formally assessed although each study was critically reviewed in terms of methodology, sampling criteria, response rates</w:t>
      </w:r>
      <w:r w:rsidR="00F81221">
        <w:rPr>
          <w:kern w:val="0"/>
        </w:rPr>
        <w:t xml:space="preserve"> and </w:t>
      </w:r>
      <w:r>
        <w:rPr>
          <w:kern w:val="0"/>
        </w:rPr>
        <w:t>appropriateness of analysis. Results Fifty-nine papers met the inclusion criteria for detailed review. Many of the studies had methodological shortcomings. The studies reported wide variability in all areas of beliefs</w:t>
      </w:r>
      <w:r w:rsidR="00F81221">
        <w:rPr>
          <w:kern w:val="0"/>
        </w:rPr>
        <w:t xml:space="preserve"> and </w:t>
      </w:r>
      <w:r>
        <w:rPr>
          <w:kern w:val="0"/>
        </w:rPr>
        <w:t>attitudes to diagnostic disclosure</w:t>
      </w:r>
      <w:r w:rsidR="00F81221">
        <w:rPr>
          <w:kern w:val="0"/>
        </w:rPr>
        <w:t xml:space="preserve"> and </w:t>
      </w:r>
      <w:r>
        <w:rPr>
          <w:kern w:val="0"/>
        </w:rPr>
        <w:t>reported practice. Studies of the impact of disclosure indicate both negative</w:t>
      </w:r>
      <w:r w:rsidR="00F81221">
        <w:rPr>
          <w:kern w:val="0"/>
        </w:rPr>
        <w:t xml:space="preserve"> and </w:t>
      </w:r>
      <w:r>
        <w:rPr>
          <w:kern w:val="0"/>
        </w:rPr>
        <w:t>positive consequences of diagnostic disclosure for people with dementia</w:t>
      </w:r>
      <w:r w:rsidR="00F81221">
        <w:rPr>
          <w:kern w:val="0"/>
        </w:rPr>
        <w:t xml:space="preserve"> and </w:t>
      </w:r>
      <w:r>
        <w:rPr>
          <w:kern w:val="0"/>
        </w:rPr>
        <w:t>their carets. Conclusions Existing evidence regarding diagnostic disclosure in dementia is both inconsistent</w:t>
      </w:r>
      <w:r w:rsidR="00F81221">
        <w:rPr>
          <w:kern w:val="0"/>
        </w:rPr>
        <w:t xml:space="preserve"> and </w:t>
      </w:r>
      <w:r>
        <w:rPr>
          <w:kern w:val="0"/>
        </w:rPr>
        <w:t>limited with the perspectives of people with dementia being largely neglected. This state of knowledge seems at variance with current guidance about disclosure. Copyright (C) 2004 John Wiley Sons, Ltd.</w:t>
      </w:r>
    </w:p>
    <w:p w:rsidR="00BA105F" w:rsidRDefault="00BA105F" w:rsidP="00BA105F">
      <w:pPr>
        <w:pStyle w:val="a0"/>
        <w:rPr>
          <w:kern w:val="0"/>
        </w:rPr>
      </w:pPr>
      <w:r>
        <w:rPr>
          <w:kern w:val="0"/>
        </w:rPr>
        <w:t>Keywords: Alzheimer</w:t>
      </w:r>
      <w:r w:rsidR="000352E7">
        <w:rPr>
          <w:kern w:val="0"/>
        </w:rPr>
        <w:t>’</w:t>
      </w:r>
      <w:r>
        <w:rPr>
          <w:rFonts w:hint="eastAsia"/>
          <w:kern w:val="0"/>
        </w:rPr>
        <w:t>s</w:t>
      </w:r>
      <w:r>
        <w:rPr>
          <w:kern w:val="0"/>
        </w:rPr>
        <w:t xml:space="preserve"> Disease, Alzheimers-Disease, Analysis, Attitudes, Cancer-Patients, Copyright, Databases, Dementia, Diagnosis, Disclosure, Families, General-Practitioners, Impact, Information Needs, Journals, Knowledge, Methodology, Methods, Multiple-Sclerosis, Papers, Patient, Practice, Primary-Care Physicians, Professional, Review, Science, Systematic, Systematic Review, Telling Patients, Variability, Web of Science</w:t>
      </w:r>
    </w:p>
    <w:p w:rsidR="00B95188" w:rsidRPr="00A428C3" w:rsidRDefault="00B95188" w:rsidP="00B95188">
      <w:pPr>
        <w:pStyle w:val="1"/>
      </w:pPr>
      <w:r w:rsidRPr="00A428C3">
        <w:br w:type="page"/>
      </w:r>
      <w:bookmarkStart w:id="1351" w:name="_Toc317161300"/>
      <w:r w:rsidRPr="00A428C3">
        <w:lastRenderedPageBreak/>
        <w:t xml:space="preserve">Title: </w:t>
      </w:r>
      <w:r w:rsidRPr="008E60DB">
        <w:rPr>
          <w:iCs/>
        </w:rPr>
        <w:t>International Journal of Green Energy</w:t>
      </w:r>
      <w:bookmarkEnd w:id="1351"/>
    </w:p>
    <w:p w:rsidR="00B95188" w:rsidRPr="00A428C3" w:rsidRDefault="00B95188" w:rsidP="00B72EF9">
      <w:pPr>
        <w:pStyle w:val="12"/>
      </w:pPr>
      <w:r>
        <w:t xml:space="preserve">Full Journal Title: </w:t>
      </w:r>
      <w:r w:rsidRPr="008E60DB">
        <w:t>International Journal of Green Energy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Default="00B95188" w:rsidP="00B95188">
      <w:pPr>
        <w:pStyle w:val="a0"/>
        <w:rPr>
          <w:kern w:val="0"/>
        </w:rPr>
      </w:pPr>
      <w:r>
        <w:rPr>
          <w:rFonts w:hint="eastAsia"/>
          <w:kern w:val="0"/>
        </w:rPr>
        <w:t xml:space="preserve">? </w:t>
      </w:r>
      <w:r>
        <w:rPr>
          <w:kern w:val="0"/>
        </w:rPr>
        <w:t>Kumar, A.V.A., Al Hashimi, S.</w:t>
      </w:r>
      <w:r w:rsidR="00F81221">
        <w:rPr>
          <w:kern w:val="0"/>
        </w:rPr>
        <w:t xml:space="preserve"> and </w:t>
      </w:r>
      <w:r>
        <w:rPr>
          <w:kern w:val="0"/>
        </w:rPr>
        <w:t>Hilal, N. (2008), Investigation of kinetics</w:t>
      </w:r>
      <w:r w:rsidR="00F81221">
        <w:rPr>
          <w:kern w:val="0"/>
        </w:rPr>
        <w:t xml:space="preserve"> and </w:t>
      </w:r>
      <w:r>
        <w:rPr>
          <w:kern w:val="0"/>
        </w:rPr>
        <w:t xml:space="preserve">mechanism involved in the biosorption of heavy metals on activated sludge. </w:t>
      </w:r>
      <w:r w:rsidRPr="008E60DB">
        <w:rPr>
          <w:i/>
          <w:iCs/>
          <w:kern w:val="0"/>
        </w:rPr>
        <w:t>International Journal of Green Energy</w:t>
      </w:r>
      <w:r>
        <w:rPr>
          <w:kern w:val="0"/>
        </w:rPr>
        <w:t xml:space="preserve">, </w:t>
      </w:r>
      <w:r>
        <w:rPr>
          <w:b/>
          <w:bCs/>
          <w:kern w:val="0"/>
        </w:rPr>
        <w:t>5</w:t>
      </w:r>
      <w:r>
        <w:rPr>
          <w:kern w:val="0"/>
        </w:rPr>
        <w:t xml:space="preserve"> (4), 313-321.</w:t>
      </w:r>
    </w:p>
    <w:p w:rsidR="00B95188" w:rsidRDefault="00B95188" w:rsidP="00B95188">
      <w:pPr>
        <w:pStyle w:val="a0"/>
        <w:rPr>
          <w:kern w:val="0"/>
        </w:rPr>
      </w:pPr>
      <w:r>
        <w:rPr>
          <w:kern w:val="0"/>
        </w:rPr>
        <w:t>Abstract: An investigation has been undertaken to determine the removal of heavy metals (Cd</w:t>
      </w:r>
      <w:r w:rsidRPr="00817A14">
        <w:rPr>
          <w:kern w:val="0"/>
          <w:vertAlign w:val="superscript"/>
        </w:rPr>
        <w:t>2+</w:t>
      </w:r>
      <w:r>
        <w:rPr>
          <w:kern w:val="0"/>
        </w:rPr>
        <w:t>, Cu</w:t>
      </w:r>
      <w:r w:rsidRPr="00817A14">
        <w:rPr>
          <w:kern w:val="0"/>
          <w:vertAlign w:val="superscript"/>
        </w:rPr>
        <w:t>2+</w:t>
      </w:r>
      <w:r>
        <w:rPr>
          <w:kern w:val="0"/>
        </w:rPr>
        <w:t>, Ni</w:t>
      </w:r>
      <w:r w:rsidRPr="00817A14">
        <w:rPr>
          <w:kern w:val="0"/>
          <w:vertAlign w:val="superscript"/>
        </w:rPr>
        <w:t>2+</w:t>
      </w:r>
      <w:r w:rsidR="00F81221">
        <w:rPr>
          <w:kern w:val="0"/>
        </w:rPr>
        <w:t xml:space="preserve"> and </w:t>
      </w:r>
      <w:r>
        <w:rPr>
          <w:kern w:val="0"/>
        </w:rPr>
        <w:t>Zn</w:t>
      </w:r>
      <w:r w:rsidRPr="00817A14">
        <w:rPr>
          <w:kern w:val="0"/>
          <w:vertAlign w:val="superscript"/>
        </w:rPr>
        <w:t>2+</w:t>
      </w:r>
      <w:r>
        <w:rPr>
          <w:kern w:val="0"/>
        </w:rPr>
        <w:t>) of high environmental priority due to their toxicity from dilute aqueous solutions by biosorption using inexpensive biomaterials like activated sludge. Activated sludge is used widely in water treatment plants</w:t>
      </w:r>
      <w:r w:rsidR="00F81221">
        <w:rPr>
          <w:kern w:val="0"/>
        </w:rPr>
        <w:t xml:space="preserve"> and </w:t>
      </w:r>
      <w:r>
        <w:rPr>
          <w:kern w:val="0"/>
        </w:rPr>
        <w:t>is easily available. Each experiment was performed over a period of time to determine the biosorption of heavy metals from the aqueous phase to the solid phase. The maximum sorption uptake of the studied metal ions by activated sludge showed the following order: Cd</w:t>
      </w:r>
      <w:r w:rsidRPr="00817A14">
        <w:rPr>
          <w:kern w:val="0"/>
          <w:vertAlign w:val="superscript"/>
        </w:rPr>
        <w:t>2+</w:t>
      </w:r>
      <w:r>
        <w:rPr>
          <w:kern w:val="0"/>
        </w:rPr>
        <w:t xml:space="preserve"> &gt; Cu</w:t>
      </w:r>
      <w:r w:rsidRPr="00817A14">
        <w:rPr>
          <w:kern w:val="0"/>
          <w:vertAlign w:val="superscript"/>
        </w:rPr>
        <w:t>2+</w:t>
      </w:r>
      <w:r>
        <w:rPr>
          <w:kern w:val="0"/>
        </w:rPr>
        <w:t xml:space="preserve"> &gt; Ni</w:t>
      </w:r>
      <w:r w:rsidRPr="00817A14">
        <w:rPr>
          <w:kern w:val="0"/>
          <w:vertAlign w:val="superscript"/>
        </w:rPr>
        <w:t>2+</w:t>
      </w:r>
      <w:r>
        <w:rPr>
          <w:kern w:val="0"/>
        </w:rPr>
        <w:t xml:space="preserve"> &gt; Zn</w:t>
      </w:r>
      <w:r w:rsidRPr="00817A14">
        <w:rPr>
          <w:kern w:val="0"/>
          <w:vertAlign w:val="superscript"/>
        </w:rPr>
        <w:t>2+</w:t>
      </w:r>
      <w:r>
        <w:rPr>
          <w:kern w:val="0"/>
        </w:rPr>
        <w:t>. The pseudo first-</w:t>
      </w:r>
      <w:r w:rsidR="00F81221">
        <w:rPr>
          <w:kern w:val="0"/>
        </w:rPr>
        <w:t xml:space="preserve"> and </w:t>
      </w:r>
      <w:r>
        <w:rPr>
          <w:kern w:val="0"/>
        </w:rPr>
        <w:t>second-order kinetic models were used to describe the kinetic data. The experimental data fit with the second-order kinetic model very well. The type of mechanism involved is analyzed in terms of the intraparticle diffusion model. Other models are also reviewed. Quantification of metal-biomass interactions, nature of adsorption, kinetics, ion-exchange as well as models used to characterize activated sludge biosorption are reviewed. All solutions are analyzed using inductively coupled plasma (ICP).</w:t>
      </w:r>
    </w:p>
    <w:p w:rsidR="00B95188" w:rsidRDefault="00B95188" w:rsidP="00B95188">
      <w:pPr>
        <w:pStyle w:val="a0"/>
        <w:rPr>
          <w:kern w:val="0"/>
        </w:rPr>
      </w:pPr>
      <w:r>
        <w:rPr>
          <w:kern w:val="0"/>
        </w:rPr>
        <w:t>Keywords: Activated Sludge, Adsorption, Aqueous Phase, Aqueous Solutions, Biomaterials, Biosorption, Cd</w:t>
      </w:r>
      <w:r w:rsidRPr="00817A14">
        <w:rPr>
          <w:kern w:val="0"/>
          <w:vertAlign w:val="superscript"/>
        </w:rPr>
        <w:t>2+</w:t>
      </w:r>
      <w:r>
        <w:rPr>
          <w:kern w:val="0"/>
        </w:rPr>
        <w:t>, Cu</w:t>
      </w:r>
      <w:r w:rsidRPr="00817A14">
        <w:rPr>
          <w:kern w:val="0"/>
          <w:vertAlign w:val="superscript"/>
        </w:rPr>
        <w:t>2+</w:t>
      </w:r>
      <w:r>
        <w:rPr>
          <w:kern w:val="0"/>
        </w:rPr>
        <w:t>, Data, Diffusion, Diffusion Model, Environmental, Experiment, Experimental, First, Heavy Metals, Inductively Coupled Plasma, Intraparticle Diffusion, Intraparticle Diffusion Model, Investigation, Ion Exchange, Ion-Exchange, Ionexchange, Kinetic, Kinetic Model, Kinetic Models, Kinetics, Mechanism, Metal, Metal Ions, Metals, Model, Models, Ni</w:t>
      </w:r>
      <w:r w:rsidRPr="00817A14">
        <w:rPr>
          <w:kern w:val="0"/>
          <w:vertAlign w:val="superscript"/>
        </w:rPr>
        <w:t>2+</w:t>
      </w:r>
      <w:r>
        <w:rPr>
          <w:kern w:val="0"/>
        </w:rPr>
        <w:t xml:space="preserve">, Plants, Plasma, Pseudo First Order, Pseudo Second Order, Removal, Second Order, Second-Order, Sludge, Solutions, Sorption, Thermodynamics, Toxicity, Treatment, </w:t>
      </w:r>
      <w:r>
        <w:rPr>
          <w:kern w:val="0"/>
        </w:rPr>
        <w:lastRenderedPageBreak/>
        <w:t>Uptake, Waste-Water, Water, Water Treatment, Zn</w:t>
      </w:r>
      <w:r w:rsidRPr="00817A14">
        <w:rPr>
          <w:kern w:val="0"/>
          <w:vertAlign w:val="superscript"/>
        </w:rPr>
        <w:t>2+</w:t>
      </w:r>
    </w:p>
    <w:p w:rsidR="00B95188" w:rsidRPr="00A428C3" w:rsidRDefault="00B95188" w:rsidP="00B95188">
      <w:pPr>
        <w:pStyle w:val="1"/>
      </w:pPr>
      <w:r w:rsidRPr="00A428C3">
        <w:br w:type="page"/>
      </w:r>
      <w:bookmarkStart w:id="1352" w:name="_Toc186647921"/>
      <w:bookmarkStart w:id="1353" w:name="_Toc317161301"/>
      <w:r w:rsidRPr="00A428C3">
        <w:lastRenderedPageBreak/>
        <w:t>Title: International Journal</w:t>
      </w:r>
      <w:r w:rsidRPr="00A428C3">
        <w:rPr>
          <w:szCs w:val="11"/>
        </w:rPr>
        <w:t xml:space="preserve"> of Group Tensions</w:t>
      </w:r>
      <w:bookmarkEnd w:id="1352"/>
      <w:bookmarkEnd w:id="1353"/>
    </w:p>
    <w:p w:rsidR="00B95188" w:rsidRPr="00A428C3" w:rsidRDefault="00B95188" w:rsidP="00B72EF9">
      <w:pPr>
        <w:pStyle w:val="12"/>
      </w:pPr>
      <w:r w:rsidRPr="00A428C3">
        <w:t>Full Journal Title: International Journal of Group Tensions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0047-0732</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Hernández-Guzmán, L., Montero y López </w:t>
      </w:r>
      <w:smartTag w:uri="urn:schemas-microsoft-com:office:smarttags" w:element="place">
        <w:r w:rsidRPr="00A428C3">
          <w:t>Lena</w:t>
        </w:r>
      </w:smartTag>
      <w:r w:rsidRPr="00A428C3">
        <w:t xml:space="preserve"> M.</w:t>
      </w:r>
      <w:r w:rsidR="00F81221">
        <w:t xml:space="preserve"> and </w:t>
      </w:r>
      <w:r w:rsidRPr="00A428C3">
        <w:t xml:space="preserve">Macías, O.C. (2002), </w:t>
      </w:r>
      <w:r w:rsidRPr="00A428C3">
        <w:rPr>
          <w:szCs w:val="12"/>
        </w:rPr>
        <w:t xml:space="preserve">Latin American productivity from 1990 to </w:t>
      </w:r>
      <w:smartTag w:uri="urn:schemas-microsoft-com:office:smarttags" w:element="chmetcnv">
        <w:smartTagPr>
          <w:attr w:name="UnitName" w:val="in"/>
          <w:attr w:name="SourceValue" w:val="1998"/>
          <w:attr w:name="HasSpace" w:val="True"/>
          <w:attr w:name="Negative" w:val="False"/>
          <w:attr w:name="NumberType" w:val="1"/>
          <w:attr w:name="TCSC" w:val="0"/>
        </w:smartTagPr>
        <w:r w:rsidRPr="00A428C3">
          <w:rPr>
            <w:szCs w:val="12"/>
          </w:rPr>
          <w:t>1998 in</w:t>
        </w:r>
      </w:smartTag>
      <w:r w:rsidRPr="00A428C3">
        <w:rPr>
          <w:szCs w:val="12"/>
        </w:rPr>
        <w:t xml:space="preserve"> the </w:t>
      </w:r>
      <w:r w:rsidRPr="00A428C3">
        <w:rPr>
          <w:i/>
          <w:iCs/>
          <w:szCs w:val="12"/>
        </w:rPr>
        <w:t>Mexican Journal of Psychology</w:t>
      </w:r>
      <w:r w:rsidRPr="00A428C3">
        <w:t xml:space="preserve">. </w:t>
      </w:r>
      <w:r w:rsidRPr="00A428C3">
        <w:rPr>
          <w:i/>
          <w:iCs/>
        </w:rPr>
        <w:t>International Journal of Group Tensions</w:t>
      </w:r>
      <w:r w:rsidRPr="00A428C3">
        <w:t xml:space="preserve">, </w:t>
      </w:r>
      <w:r w:rsidRPr="00A428C3">
        <w:rPr>
          <w:b/>
        </w:rPr>
        <w:t>31</w:t>
      </w:r>
      <w:r w:rsidRPr="00A428C3">
        <w:t xml:space="preserve"> (4), 317-337.</w:t>
      </w:r>
    </w:p>
    <w:p w:rsidR="00B95188" w:rsidRPr="00A428C3" w:rsidRDefault="00B95188" w:rsidP="00B95188">
      <w:pPr>
        <w:pStyle w:val="a0"/>
      </w:pPr>
      <w:r w:rsidRPr="00A428C3">
        <w:t xml:space="preserve">Full Text: </w:t>
      </w:r>
      <w:hyperlink r:id="rId1915" w:history="1">
        <w:r w:rsidRPr="00A428C3">
          <w:rPr>
            <w:rStyle w:val="a5"/>
          </w:rPr>
          <w:t>I\Int J Gro Ten31, 317.pdf</w:t>
        </w:r>
      </w:hyperlink>
    </w:p>
    <w:p w:rsidR="00B95188" w:rsidRPr="00A428C3" w:rsidRDefault="00B95188" w:rsidP="00B95188">
      <w:pPr>
        <w:pStyle w:val="a0"/>
      </w:pPr>
      <w:r w:rsidRPr="00A428C3">
        <w:t xml:space="preserve">Abstract: Published uninterruptedly since 1984, the </w:t>
      </w:r>
      <w:r w:rsidRPr="00A428C3">
        <w:rPr>
          <w:i/>
          <w:iCs/>
        </w:rPr>
        <w:t>Mexican Journal of Psychology</w:t>
      </w:r>
      <w:r w:rsidRPr="00A428C3">
        <w:t xml:space="preserve"> (</w:t>
      </w:r>
      <w:r w:rsidRPr="00A428C3">
        <w:rPr>
          <w:i/>
          <w:iCs/>
        </w:rPr>
        <w:t>MJP</w:t>
      </w:r>
      <w:r w:rsidRPr="00A428C3">
        <w:t>) has been recognized as one of the most important periodicals in Spanish-language psychology. After coping with financial impediments</w:t>
      </w:r>
      <w:r w:rsidR="00F81221">
        <w:t xml:space="preserve"> and </w:t>
      </w:r>
      <w:r w:rsidRPr="00A428C3">
        <w:t xml:space="preserve">a lack of scientific contributions, the significance of the </w:t>
      </w:r>
      <w:r w:rsidRPr="00A428C3">
        <w:rPr>
          <w:i/>
          <w:iCs/>
        </w:rPr>
        <w:t>MJP</w:t>
      </w:r>
      <w:r w:rsidRPr="00A428C3">
        <w:t xml:space="preserve"> emerged. The journal remains vital in the development of Latin American psychology. It is today recognized as having the highest impact of all Latin American psychology journals as well as having the second highest impact of all psychology journals in the Spanish language. The goal of the present study was to review the profiles of the </w:t>
      </w:r>
      <w:r w:rsidRPr="00A428C3">
        <w:rPr>
          <w:i/>
          <w:iCs/>
        </w:rPr>
        <w:t>MJP</w:t>
      </w:r>
      <w:r w:rsidRPr="00A428C3">
        <w:t xml:space="preserve"> from 1990 to 1998 by using a bibliometric classification procedure. Four indicators were employed in the present analysis of the articles including measurement techniques, methodology, field of psychology,</w:t>
      </w:r>
      <w:r w:rsidR="00F81221">
        <w:t xml:space="preserve"> and </w:t>
      </w:r>
      <w:r w:rsidRPr="00A428C3">
        <w:t>main results.</w:t>
      </w:r>
    </w:p>
    <w:p w:rsidR="00B95188" w:rsidRPr="00A428C3" w:rsidRDefault="00B95188" w:rsidP="00B95188">
      <w:pPr>
        <w:pStyle w:val="a0"/>
      </w:pPr>
      <w:r w:rsidRPr="00A428C3">
        <w:t>Keywords: Periodical, Double-Blind, Peer Review, Basic Research, Applied</w:t>
      </w:r>
    </w:p>
    <w:p w:rsidR="002F7D3E" w:rsidRDefault="002F7D3E" w:rsidP="002F7D3E">
      <w:pPr>
        <w:pStyle w:val="1"/>
      </w:pPr>
      <w:r>
        <w:br w:type="page"/>
      </w:r>
      <w:bookmarkStart w:id="1354" w:name="_Toc317161302"/>
      <w:r>
        <w:lastRenderedPageBreak/>
        <w:t xml:space="preserve">Title: </w:t>
      </w:r>
      <w:r w:rsidRPr="003E3772">
        <w:rPr>
          <w:iCs/>
        </w:rPr>
        <w:t>International Journal of Gynecological Cancer</w:t>
      </w:r>
      <w:bookmarkEnd w:id="1354"/>
    </w:p>
    <w:p w:rsidR="00B95D3A" w:rsidRPr="001A3D2B" w:rsidRDefault="00B95D3A" w:rsidP="00B72EF9">
      <w:pPr>
        <w:pStyle w:val="12"/>
      </w:pPr>
      <w:r w:rsidRPr="001A3D2B">
        <w:t xml:space="preserve">Full Journal Title: </w:t>
      </w:r>
      <w:hyperlink r:id="rId1916" w:history="1">
        <w:r w:rsidRPr="00B36D6F">
          <w:rPr>
            <w:rStyle w:val="a5"/>
            <w:iCs/>
          </w:rPr>
          <w:t>International Journal of Gynecological Cancer</w:t>
        </w:r>
      </w:hyperlink>
      <w:r>
        <w:rPr>
          <w:rFonts w:hint="eastAsia"/>
        </w:rPr>
        <w:t xml:space="preserve">; </w:t>
      </w:r>
      <w:hyperlink r:id="rId1917" w:history="1">
        <w:r w:rsidRPr="00890120">
          <w:rPr>
            <w:rStyle w:val="a5"/>
            <w:iCs/>
          </w:rPr>
          <w:t>International Journal of Gynecological Cancer</w:t>
        </w:r>
      </w:hyperlink>
      <w:r>
        <w:rPr>
          <w:rFonts w:hint="eastAsia"/>
          <w:iCs/>
        </w:rPr>
        <w:t xml:space="preserve">; </w:t>
      </w:r>
      <w:hyperlink r:id="rId1918" w:history="1">
        <w:r w:rsidRPr="00277C6E">
          <w:rPr>
            <w:rStyle w:val="a5"/>
          </w:rPr>
          <w:t>International Journal of Gynecological Cancer</w:t>
        </w:r>
      </w:hyperlink>
    </w:p>
    <w:p w:rsidR="002F7D3E" w:rsidRPr="003E249D" w:rsidRDefault="002F7D3E" w:rsidP="00B72EF9">
      <w:pPr>
        <w:pStyle w:val="12"/>
      </w:pPr>
      <w:r w:rsidRPr="003E249D">
        <w:t xml:space="preserve">ISO Abbreviated Title: </w:t>
      </w:r>
    </w:p>
    <w:p w:rsidR="002F7D3E" w:rsidRPr="003E249D" w:rsidRDefault="002F7D3E" w:rsidP="00B72EF9">
      <w:pPr>
        <w:pStyle w:val="12"/>
      </w:pPr>
      <w:r w:rsidRPr="003E249D">
        <w:t>JCR Abbreviated Title</w:t>
      </w:r>
      <w:r>
        <w:t>:</w:t>
      </w:r>
      <w:r w:rsidRPr="003E249D">
        <w:t xml:space="preserve"> </w:t>
      </w:r>
    </w:p>
    <w:p w:rsidR="002F7D3E" w:rsidRPr="003E249D" w:rsidRDefault="002F7D3E" w:rsidP="00B72EF9">
      <w:pPr>
        <w:pStyle w:val="12"/>
      </w:pPr>
      <w:r w:rsidRPr="003E249D">
        <w:t xml:space="preserve">ISSN: </w:t>
      </w:r>
    </w:p>
    <w:p w:rsidR="002F7D3E" w:rsidRPr="003E249D" w:rsidRDefault="002F7D3E" w:rsidP="00B72EF9">
      <w:pPr>
        <w:pStyle w:val="12"/>
      </w:pPr>
      <w:r>
        <w:t xml:space="preserve">Issues/Year: </w:t>
      </w:r>
    </w:p>
    <w:p w:rsidR="002F7D3E" w:rsidRPr="003E249D" w:rsidRDefault="002F7D3E" w:rsidP="00B72EF9">
      <w:pPr>
        <w:pStyle w:val="12"/>
      </w:pPr>
      <w:r>
        <w:t xml:space="preserve">Journal Country/Territory: </w:t>
      </w:r>
    </w:p>
    <w:p w:rsidR="002F7D3E" w:rsidRPr="003E249D" w:rsidRDefault="002F7D3E" w:rsidP="00B72EF9">
      <w:pPr>
        <w:pStyle w:val="12"/>
      </w:pPr>
      <w:r w:rsidRPr="003E249D">
        <w:t xml:space="preserve">Language: </w:t>
      </w:r>
    </w:p>
    <w:p w:rsidR="002F7D3E" w:rsidRPr="003E249D" w:rsidRDefault="002F7D3E" w:rsidP="00B72EF9">
      <w:pPr>
        <w:pStyle w:val="12"/>
      </w:pPr>
      <w:r w:rsidRPr="003E249D">
        <w:t xml:space="preserve">Publisher: </w:t>
      </w:r>
    </w:p>
    <w:p w:rsidR="002F7D3E" w:rsidRPr="003E249D" w:rsidRDefault="002F7D3E" w:rsidP="00B72EF9">
      <w:pPr>
        <w:pStyle w:val="12"/>
      </w:pPr>
      <w:r w:rsidRPr="003E249D">
        <w:t xml:space="preserve">Publisher Address: </w:t>
      </w:r>
    </w:p>
    <w:p w:rsidR="002F7D3E" w:rsidRPr="003E249D" w:rsidRDefault="002F7D3E" w:rsidP="00B72EF9">
      <w:pPr>
        <w:pStyle w:val="12"/>
      </w:pPr>
      <w:r w:rsidRPr="003E249D">
        <w:t>Subject Categories:</w:t>
      </w:r>
    </w:p>
    <w:p w:rsidR="002F7D3E" w:rsidRDefault="002F7D3E" w:rsidP="00B72EF9">
      <w:pPr>
        <w:pStyle w:val="12"/>
      </w:pPr>
      <w:r w:rsidRPr="003E249D">
        <w:rPr>
          <w:rFonts w:hint="eastAsia"/>
        </w:rPr>
        <w:t xml:space="preserve">: </w:t>
      </w:r>
      <w:r>
        <w:t>Impact Factor</w:t>
      </w:r>
    </w:p>
    <w:p w:rsidR="002F7D3E" w:rsidRDefault="002F7D3E" w:rsidP="002F7D3E">
      <w:pPr>
        <w:pStyle w:val="a0"/>
        <w:rPr>
          <w:kern w:val="0"/>
        </w:rPr>
      </w:pPr>
      <w:r>
        <w:rPr>
          <w:rFonts w:hint="eastAsia"/>
          <w:kern w:val="0"/>
        </w:rPr>
        <w:t xml:space="preserve">? </w:t>
      </w:r>
      <w:r>
        <w:rPr>
          <w:kern w:val="0"/>
        </w:rPr>
        <w:t>Klar, M., Foldi, M., Denschlag, D., Stickeler, E.</w:t>
      </w:r>
      <w:r w:rsidR="00F81221">
        <w:rPr>
          <w:kern w:val="0"/>
        </w:rPr>
        <w:t xml:space="preserve"> and </w:t>
      </w:r>
      <w:r>
        <w:rPr>
          <w:kern w:val="0"/>
        </w:rPr>
        <w:t xml:space="preserve">Gitsch, G. (2009), Estimates of global research productivity in gynecologic oncology. </w:t>
      </w:r>
      <w:r w:rsidRPr="003E3772">
        <w:rPr>
          <w:i/>
          <w:iCs/>
          <w:kern w:val="0"/>
        </w:rPr>
        <w:t>International Journal of Gynecological Cancer</w:t>
      </w:r>
      <w:r>
        <w:rPr>
          <w:kern w:val="0"/>
        </w:rPr>
        <w:t xml:space="preserve">, </w:t>
      </w:r>
      <w:r>
        <w:rPr>
          <w:b/>
          <w:bCs/>
          <w:kern w:val="0"/>
        </w:rPr>
        <w:t>19</w:t>
      </w:r>
      <w:r>
        <w:rPr>
          <w:kern w:val="0"/>
        </w:rPr>
        <w:t xml:space="preserve"> (4), 489-493.</w:t>
      </w:r>
    </w:p>
    <w:p w:rsidR="003926A5" w:rsidRDefault="003926A5" w:rsidP="002F7D3E">
      <w:pPr>
        <w:pStyle w:val="a0"/>
        <w:rPr>
          <w:kern w:val="0"/>
        </w:rPr>
      </w:pPr>
      <w:r>
        <w:rPr>
          <w:rFonts w:hint="eastAsia"/>
          <w:kern w:val="0"/>
        </w:rPr>
        <w:t xml:space="preserve">Full Text: </w:t>
      </w:r>
      <w:r w:rsidR="00545E32">
        <w:rPr>
          <w:rFonts w:hint="eastAsia"/>
          <w:kern w:val="0"/>
        </w:rPr>
        <w:t>2009\</w:t>
      </w:r>
      <w:r>
        <w:rPr>
          <w:iCs/>
          <w:kern w:val="0"/>
        </w:rPr>
        <w:t>Int J Gyn Can</w:t>
      </w:r>
      <w:r w:rsidRPr="003926A5">
        <w:rPr>
          <w:bCs/>
          <w:kern w:val="0"/>
        </w:rPr>
        <w:t>19</w:t>
      </w:r>
      <w:r>
        <w:rPr>
          <w:kern w:val="0"/>
        </w:rPr>
        <w:t>, 489</w:t>
      </w:r>
      <w:r>
        <w:rPr>
          <w:rFonts w:hint="eastAsia"/>
          <w:kern w:val="0"/>
        </w:rPr>
        <w:t>.pdf</w:t>
      </w:r>
    </w:p>
    <w:p w:rsidR="002F7D3E" w:rsidRDefault="002F7D3E" w:rsidP="002F7D3E">
      <w:pPr>
        <w:pStyle w:val="a0"/>
        <w:rPr>
          <w:kern w:val="0"/>
        </w:rPr>
      </w:pPr>
      <w:r>
        <w:rPr>
          <w:kern w:val="0"/>
        </w:rPr>
        <w:t>Abstract: Background: Societies worldwide invest considerably in research oil oncological diseases of women. However, Current literature lacks estimating this research production. We therefore evaluated quality</w:t>
      </w:r>
      <w:r w:rsidR="00F81221">
        <w:rPr>
          <w:kern w:val="0"/>
        </w:rPr>
        <w:t xml:space="preserve"> and </w:t>
      </w:r>
      <w:r>
        <w:rPr>
          <w:kern w:val="0"/>
        </w:rPr>
        <w:t>quantity of publications in gynecologic oncology. Methods: Revisit of 6119 peer-reviewed articles published in Gynecologic Oncology</w:t>
      </w:r>
      <w:r w:rsidR="00F81221">
        <w:rPr>
          <w:kern w:val="0"/>
        </w:rPr>
        <w:t xml:space="preserve"> and </w:t>
      </w:r>
      <w:r>
        <w:rPr>
          <w:kern w:val="0"/>
        </w:rPr>
        <w:t>the International Journal Gynecological Cancer from January 1996 to December 2006. Descriptive data oil disease origin, main topic,</w:t>
      </w:r>
      <w:r w:rsidR="00F81221">
        <w:rPr>
          <w:kern w:val="0"/>
        </w:rPr>
        <w:t xml:space="preserve"> and </w:t>
      </w:r>
      <w:r>
        <w:rPr>
          <w:kern w:val="0"/>
        </w:rPr>
        <w:t>Country of origin were collected</w:t>
      </w:r>
      <w:r w:rsidR="00F81221">
        <w:rPr>
          <w:kern w:val="0"/>
        </w:rPr>
        <w:t xml:space="preserve"> and </w:t>
      </w:r>
      <w:r>
        <w:rPr>
          <w:kern w:val="0"/>
        </w:rPr>
        <w:t>analyzed separately. Research productivity was adjusted to the national Population</w:t>
      </w:r>
      <w:r w:rsidR="00F81221">
        <w:rPr>
          <w:kern w:val="0"/>
        </w:rPr>
        <w:t xml:space="preserve"> and </w:t>
      </w:r>
      <w:r>
        <w:rPr>
          <w:kern w:val="0"/>
        </w:rPr>
        <w:t>nominal gross domestic product per capita. Results: Research production</w:t>
      </w:r>
      <w:r w:rsidR="00F81221">
        <w:rPr>
          <w:kern w:val="0"/>
        </w:rPr>
        <w:t xml:space="preserve"> and </w:t>
      </w:r>
      <w:r>
        <w:rPr>
          <w:kern w:val="0"/>
        </w:rPr>
        <w:t>international cooperative teamwork in the 2 main journals of gynecologic oncology increased within the 10 last years; 65.3% of all published articles dealt either with epithelial ovarian cancer, cervical cancer, or endometrial cancer. Endometrial cancer had the worst ratio number Of publications to estimated national incidence (United States, 2007). The United States (41.15%)</w:t>
      </w:r>
      <w:r w:rsidR="00F81221">
        <w:rPr>
          <w:kern w:val="0"/>
        </w:rPr>
        <w:t xml:space="preserve"> and </w:t>
      </w:r>
      <w:r>
        <w:rPr>
          <w:kern w:val="0"/>
        </w:rPr>
        <w:t>Europe (29.72%) make up a striking 70.87% of the world</w:t>
      </w:r>
      <w:r w:rsidR="000352E7">
        <w:rPr>
          <w:kern w:val="0"/>
        </w:rPr>
        <w:t>’</w:t>
      </w:r>
      <w:r>
        <w:rPr>
          <w:kern w:val="0"/>
        </w:rPr>
        <w:t>s research production in the field of gynecologic oncology. However, the highest rate of increase shows in Turkey (22.5), the People</w:t>
      </w:r>
      <w:r w:rsidR="000352E7">
        <w:rPr>
          <w:kern w:val="0"/>
        </w:rPr>
        <w:t>’</w:t>
      </w:r>
      <w:r>
        <w:rPr>
          <w:kern w:val="0"/>
        </w:rPr>
        <w:t>s Republic or China (6.87),</w:t>
      </w:r>
      <w:r w:rsidR="00F81221">
        <w:rPr>
          <w:kern w:val="0"/>
        </w:rPr>
        <w:t xml:space="preserve"> and </w:t>
      </w:r>
      <w:r>
        <w:rPr>
          <w:kern w:val="0"/>
        </w:rPr>
        <w:t>South Korea (5.83). Adjusted to the national GDP per capita</w:t>
      </w:r>
      <w:r w:rsidR="00F81221">
        <w:rPr>
          <w:kern w:val="0"/>
        </w:rPr>
        <w:t xml:space="preserve"> and </w:t>
      </w:r>
      <w:r>
        <w:rPr>
          <w:kern w:val="0"/>
        </w:rPr>
        <w:t>population for the year 2006, research productivity seems best in Israel, Austria,</w:t>
      </w:r>
      <w:r w:rsidR="00F81221">
        <w:rPr>
          <w:kern w:val="0"/>
        </w:rPr>
        <w:t xml:space="preserve"> and </w:t>
      </w:r>
      <w:r>
        <w:rPr>
          <w:kern w:val="0"/>
        </w:rPr>
        <w:t>Turkey. Conclusion: Quantitatively, Most publications come from the presumed countries. Within the limits of the methodology used In this Study, adjustment to population</w:t>
      </w:r>
      <w:r w:rsidR="00F81221">
        <w:rPr>
          <w:kern w:val="0"/>
        </w:rPr>
        <w:t xml:space="preserve"> and </w:t>
      </w:r>
      <w:r>
        <w:rPr>
          <w:kern w:val="0"/>
        </w:rPr>
        <w:t xml:space="preserve">GDP per capita </w:t>
      </w:r>
      <w:r>
        <w:rPr>
          <w:kern w:val="0"/>
        </w:rPr>
        <w:lastRenderedPageBreak/>
        <w:t>provides information on research Output. The scientific Output Oil endometrial cancer is comparably low.</w:t>
      </w:r>
    </w:p>
    <w:p w:rsidR="002F7D3E" w:rsidRDefault="002F7D3E" w:rsidP="002F7D3E">
      <w:pPr>
        <w:pStyle w:val="a0"/>
        <w:rPr>
          <w:kern w:val="0"/>
        </w:rPr>
      </w:pPr>
      <w:r>
        <w:rPr>
          <w:kern w:val="0"/>
        </w:rPr>
        <w:t>Keywords: Bibliometric Analysis, Bibliometrics, Cancer, Europe, Global Trends, Gynecologic Oncology, Impact, Lacks, Productivity, Publications, Quality, Research, Research Production, Research Productivity, Science</w:t>
      </w:r>
    </w:p>
    <w:p w:rsidR="00545E32" w:rsidRDefault="00545E32" w:rsidP="00545E32">
      <w:pPr>
        <w:pStyle w:val="a0"/>
        <w:rPr>
          <w:kern w:val="0"/>
        </w:rPr>
      </w:pPr>
      <w:r>
        <w:rPr>
          <w:kern w:val="0"/>
        </w:rPr>
        <w:t>? Jeurissen, S.</w:t>
      </w:r>
      <w:r w:rsidR="00F81221">
        <w:rPr>
          <w:kern w:val="0"/>
        </w:rPr>
        <w:t xml:space="preserve"> and </w:t>
      </w:r>
      <w:r>
        <w:rPr>
          <w:kern w:val="0"/>
        </w:rPr>
        <w:t>Makar, A. (2009), Epidemiological</w:t>
      </w:r>
      <w:r w:rsidR="00F81221">
        <w:rPr>
          <w:kern w:val="0"/>
        </w:rPr>
        <w:t xml:space="preserve"> and </w:t>
      </w:r>
      <w:r>
        <w:rPr>
          <w:kern w:val="0"/>
        </w:rPr>
        <w:t xml:space="preserve">economic impact of human papillomavirus vaccines. </w:t>
      </w:r>
      <w:r>
        <w:rPr>
          <w:i/>
          <w:iCs/>
          <w:kern w:val="0"/>
        </w:rPr>
        <w:t>International Journal of Gynecological Cancer</w:t>
      </w:r>
      <w:r>
        <w:rPr>
          <w:kern w:val="0"/>
        </w:rPr>
        <w:t xml:space="preserve">, </w:t>
      </w:r>
      <w:r>
        <w:rPr>
          <w:b/>
          <w:bCs/>
          <w:kern w:val="0"/>
        </w:rPr>
        <w:t>19</w:t>
      </w:r>
      <w:r>
        <w:rPr>
          <w:kern w:val="0"/>
        </w:rPr>
        <w:t xml:space="preserve"> (4), 761-771.</w:t>
      </w:r>
    </w:p>
    <w:p w:rsidR="00545E32" w:rsidRDefault="00545E32" w:rsidP="00545E32">
      <w:pPr>
        <w:pStyle w:val="a0"/>
        <w:rPr>
          <w:kern w:val="0"/>
        </w:rPr>
      </w:pPr>
      <w:r>
        <w:rPr>
          <w:kern w:val="0"/>
        </w:rPr>
        <w:t>Full Text: 2009\</w:t>
      </w:r>
      <w:r>
        <w:rPr>
          <w:iCs/>
          <w:kern w:val="0"/>
        </w:rPr>
        <w:t>Int J Gyn Can</w:t>
      </w:r>
      <w:r>
        <w:rPr>
          <w:bCs/>
          <w:kern w:val="0"/>
        </w:rPr>
        <w:t>19</w:t>
      </w:r>
      <w:r>
        <w:rPr>
          <w:kern w:val="0"/>
        </w:rPr>
        <w:t>, 761.pdf</w:t>
      </w:r>
    </w:p>
    <w:p w:rsidR="00545E32" w:rsidRDefault="00545E32" w:rsidP="00545E32">
      <w:pPr>
        <w:pStyle w:val="a0"/>
        <w:rPr>
          <w:kern w:val="0"/>
        </w:rPr>
      </w:pPr>
      <w:r>
        <w:rPr>
          <w:kern w:val="0"/>
        </w:rPr>
        <w:t>Abstract: Background: Despite screening, cervical cancer (CC) remains a serious health care problem. Because human papillomavirus (HPV) is the necessary cause of CC, the development of 2 new vaccines can have a tremendous impact oil CC</w:t>
      </w:r>
      <w:r w:rsidR="00F81221">
        <w:rPr>
          <w:kern w:val="0"/>
        </w:rPr>
        <w:t xml:space="preserve"> and </w:t>
      </w:r>
      <w:r>
        <w:rPr>
          <w:kern w:val="0"/>
        </w:rPr>
        <w:t>other HPV-related conditions. In this systematic review, the epidemiological</w:t>
      </w:r>
      <w:r w:rsidR="00F81221">
        <w:rPr>
          <w:kern w:val="0"/>
        </w:rPr>
        <w:t xml:space="preserve"> and </w:t>
      </w:r>
      <w:r>
        <w:rPr>
          <w:kern w:val="0"/>
        </w:rPr>
        <w:t>economic impacts of HPV are evaluated. Methods: A literature search was conducted through MEDLINE, Web of Science, Cochrane Library,</w:t>
      </w:r>
      <w:r w:rsidR="00F81221">
        <w:rPr>
          <w:kern w:val="0"/>
        </w:rPr>
        <w:t xml:space="preserve"> and </w:t>
      </w:r>
      <w:r>
        <w:rPr>
          <w:kern w:val="0"/>
        </w:rPr>
        <w:t>Cumulative Index to Nursing</w:t>
      </w:r>
      <w:r w:rsidR="00F81221">
        <w:rPr>
          <w:kern w:val="0"/>
        </w:rPr>
        <w:t xml:space="preserve"> and </w:t>
      </w:r>
      <w:r>
        <w:rPr>
          <w:kern w:val="0"/>
        </w:rPr>
        <w:t>Allied Health Literature. Articles were selected based on inclusion</w:t>
      </w:r>
      <w:r w:rsidR="00F81221">
        <w:rPr>
          <w:kern w:val="0"/>
        </w:rPr>
        <w:t xml:space="preserve"> and </w:t>
      </w:r>
      <w:r>
        <w:rPr>
          <w:kern w:val="0"/>
        </w:rPr>
        <w:t>exclusion criteria. Economic evaluations were submitted to a quality assessment. Results: Sixteen articles were selected to review the epidemiological impact of HPV vaccines,</w:t>
      </w:r>
      <w:r w:rsidR="00F81221">
        <w:rPr>
          <w:kern w:val="0"/>
        </w:rPr>
        <w:t xml:space="preserve"> and </w:t>
      </w:r>
      <w:r>
        <w:rPr>
          <w:kern w:val="0"/>
        </w:rPr>
        <w:t>11 were selected to review the economic impact. The studies were very heterogeneous because of different assumptions. Nevertheless, a substantial reduction in CC is reported consistently</w:t>
      </w:r>
      <w:r w:rsidR="00F81221">
        <w:rPr>
          <w:kern w:val="0"/>
        </w:rPr>
        <w:t xml:space="preserve"> and </w:t>
      </w:r>
      <w:r>
        <w:rPr>
          <w:kern w:val="0"/>
        </w:rPr>
        <w:t>a (smaller) reduction in precancerous lesions</w:t>
      </w:r>
      <w:r w:rsidR="00F81221">
        <w:rPr>
          <w:kern w:val="0"/>
        </w:rPr>
        <w:t xml:space="preserve"> and </w:t>
      </w:r>
      <w:r>
        <w:rPr>
          <w:kern w:val="0"/>
        </w:rPr>
        <w:t>HPV prevalence. Cost-effectiveness ratios are also very diverse</w:t>
      </w:r>
      <w:r w:rsidR="00F81221">
        <w:rPr>
          <w:kern w:val="0"/>
        </w:rPr>
        <w:t xml:space="preserve"> and </w:t>
      </w:r>
      <w:r>
        <w:rPr>
          <w:kern w:val="0"/>
        </w:rPr>
        <w:t>dependent oil the assumptions made. An HPV vaccine can be profitable if duration of vaccine-related immunity is high, efficacy is high, price is low, screening is reduced, administration is before sexual activity, discount rate is not too high, or if there is herd immunity. Conclusions: Human papillomavirus vaccines have the potential to reduce CC by at least approximately half of its current incidence,</w:t>
      </w:r>
      <w:r w:rsidR="00F81221">
        <w:rPr>
          <w:kern w:val="0"/>
        </w:rPr>
        <w:t xml:space="preserve"> and </w:t>
      </w:r>
      <w:r>
        <w:rPr>
          <w:kern w:val="0"/>
        </w:rPr>
        <w:t>this might be cost-effective if there is high efficacy with a long-lasting immunity.</w:t>
      </w:r>
    </w:p>
    <w:p w:rsidR="00545E32" w:rsidRDefault="00545E32" w:rsidP="00545E32">
      <w:pPr>
        <w:pStyle w:val="a0"/>
        <w:rPr>
          <w:kern w:val="0"/>
        </w:rPr>
      </w:pPr>
      <w:r>
        <w:rPr>
          <w:kern w:val="0"/>
        </w:rPr>
        <w:t>Keywords: Articles, Assessment, Cancer, Cervical Cancer, Cervical-Cancer, Cochrane, Cost-Effectiveness, Cost-Effectiveness Analysis, Development, Efficacy, Health, Health Care, Hpv, Human, Human Papillomavirus, Impact, Literature, Medline, Methods, Nursing, Particle Vaccine, Population-Level Impact, Prevalence, Programs, Review, Science, Screening, Strategies, Systematic, Systematic Review, Trial, Type-16, Vaccine, Vaccines, Web of Science</w:t>
      </w:r>
    </w:p>
    <w:p w:rsidR="00545E32" w:rsidRDefault="00545E32" w:rsidP="00545E32">
      <w:pPr>
        <w:pStyle w:val="a0"/>
        <w:rPr>
          <w:kern w:val="0"/>
        </w:rPr>
      </w:pPr>
      <w:r>
        <w:rPr>
          <w:kern w:val="0"/>
        </w:rPr>
        <w:t>? Polyzos, N.P., Mauri, D., Tsioras, S., Messini, C.I., Valachis, A.</w:t>
      </w:r>
      <w:r w:rsidR="00F81221">
        <w:rPr>
          <w:kern w:val="0"/>
        </w:rPr>
        <w:t xml:space="preserve"> and </w:t>
      </w:r>
      <w:r>
        <w:rPr>
          <w:kern w:val="0"/>
        </w:rPr>
        <w:t>Messinis, I.E. (2010), Intraperitoneal dissemination of endometrial cancer cells after hysteroscopy: A systematic review</w:t>
      </w:r>
      <w:r w:rsidR="00F81221">
        <w:rPr>
          <w:kern w:val="0"/>
        </w:rPr>
        <w:t xml:space="preserve"> and </w:t>
      </w:r>
      <w:r>
        <w:rPr>
          <w:kern w:val="0"/>
        </w:rPr>
        <w:t xml:space="preserve">meta-analysis. </w:t>
      </w:r>
      <w:r>
        <w:rPr>
          <w:i/>
          <w:iCs/>
          <w:kern w:val="0"/>
        </w:rPr>
        <w:t>International Journal of Gynecological Cancer</w:t>
      </w:r>
      <w:r>
        <w:rPr>
          <w:kern w:val="0"/>
        </w:rPr>
        <w:t xml:space="preserve">, </w:t>
      </w:r>
      <w:r>
        <w:rPr>
          <w:b/>
          <w:bCs/>
          <w:kern w:val="0"/>
        </w:rPr>
        <w:t>20</w:t>
      </w:r>
      <w:r>
        <w:rPr>
          <w:kern w:val="0"/>
        </w:rPr>
        <w:t xml:space="preserve"> (2), 261-267.</w:t>
      </w:r>
    </w:p>
    <w:p w:rsidR="00545E32" w:rsidRDefault="00545E32" w:rsidP="00545E32">
      <w:pPr>
        <w:pStyle w:val="a0"/>
        <w:rPr>
          <w:kern w:val="0"/>
        </w:rPr>
      </w:pPr>
      <w:r>
        <w:rPr>
          <w:kern w:val="0"/>
        </w:rPr>
        <w:t>Full Text: 2010\</w:t>
      </w:r>
      <w:r>
        <w:rPr>
          <w:iCs/>
          <w:kern w:val="0"/>
        </w:rPr>
        <w:t>Int J Gyn Can</w:t>
      </w:r>
      <w:r>
        <w:rPr>
          <w:bCs/>
          <w:kern w:val="0"/>
        </w:rPr>
        <w:t>20</w:t>
      </w:r>
      <w:r>
        <w:rPr>
          <w:kern w:val="0"/>
        </w:rPr>
        <w:t>, 261.pdf</w:t>
      </w:r>
    </w:p>
    <w:p w:rsidR="00545E32" w:rsidRDefault="00545E32" w:rsidP="00545E32">
      <w:pPr>
        <w:pStyle w:val="a0"/>
        <w:rPr>
          <w:kern w:val="0"/>
        </w:rPr>
      </w:pPr>
      <w:r>
        <w:rPr>
          <w:kern w:val="0"/>
        </w:rPr>
        <w:lastRenderedPageBreak/>
        <w:t>Abstract: Introduction: Hysteroscopy is a diagnostic procedure with a high accuracy in diagnosing endometrial cancer. Because of the increase of intrauterine pressure during distention media inflation, several retrospective studies postulated that it may result in cancer cell dissemination within the peritoneal cavity through the fallopian tubes. We therefore set to estimate whether hysteroscopy increases the risk for intraperitoneal cancer cell dissemination in patients with endometrial cancer</w:t>
      </w:r>
      <w:r w:rsidR="00F81221">
        <w:rPr>
          <w:kern w:val="0"/>
        </w:rPr>
        <w:t xml:space="preserve"> and </w:t>
      </w:r>
      <w:r>
        <w:rPr>
          <w:kern w:val="0"/>
        </w:rPr>
        <w:t>the risk of disease upstaging in patients with clinically early-stage disease. Methods: We searched the PUBMED, the ISI Web of Science,</w:t>
      </w:r>
      <w:r w:rsidR="00F81221">
        <w:rPr>
          <w:kern w:val="0"/>
        </w:rPr>
        <w:t xml:space="preserve"> and </w:t>
      </w:r>
      <w:r>
        <w:rPr>
          <w:kern w:val="0"/>
        </w:rPr>
        <w:t>the Cochrane Library through July 2009. Eligible trials were all controlled clinical trials in which patients were allocated to hysteroscopy (alone or after other diagnostic procedure, eg, dilation</w:t>
      </w:r>
      <w:r w:rsidR="00F81221">
        <w:rPr>
          <w:kern w:val="0"/>
        </w:rPr>
        <w:t xml:space="preserve"> and </w:t>
      </w:r>
      <w:r>
        <w:rPr>
          <w:kern w:val="0"/>
        </w:rPr>
        <w:t>curettage</w:t>
      </w:r>
      <w:r w:rsidR="00F81221">
        <w:rPr>
          <w:kern w:val="0"/>
        </w:rPr>
        <w:t xml:space="preserve"> and </w:t>
      </w:r>
      <w:r>
        <w:rPr>
          <w:kern w:val="0"/>
        </w:rPr>
        <w:t>biopsy) versus any other diagnostic procedure except hysteroscopy or no procedure before surgery for endometrial carcinoma. Results: Nine trials were included in our analysis. One thousand fifteen patients with histologically proven endometrial carcinoma were allocated to hysteroscopy or no hysteroscopy before surgery. Hysteroscopy resulted in a significantly higher rate of malignant peritoneal cytology (odds ratio [OR], 1.78; 95% confidence interval [CI], 1.13-2.79; P = 0.013)</w:t>
      </w:r>
      <w:r w:rsidR="00F81221">
        <w:rPr>
          <w:kern w:val="0"/>
        </w:rPr>
        <w:t xml:space="preserve"> and </w:t>
      </w:r>
      <w:r>
        <w:rPr>
          <w:kern w:val="0"/>
        </w:rPr>
        <w:t>significantly higher disease upstaging owing solely to the presence of malignant cells in the peritoneal cavity (OR, 2.61; 95% CI, 1.47-4.63; P = 0.001) compared with no hysteroscopy. When isotonic sodium chloride was used as distention medium, hysteroscopy resulted in a statistically significant higher rate of malignant peritoneal cytology (OR, 2.89; 95% CI, 1.48-5.64; P = 0.002), whereas a nonsignificant trend for higher malignant cells was observed in patients allocated to the hysteroscopy group (OR, 3.23; 95% CI, 0.94-11.09; P = 0.062) when inflated media pressure reached or exceeded 100 mm Hg. Conclusions: Hysteroscopy in patients with endometrial cancer hints a risk for cancer cell dissemination within the peritoneal cavity. Prospective</w:t>
      </w:r>
      <w:r w:rsidR="00F81221">
        <w:rPr>
          <w:kern w:val="0"/>
        </w:rPr>
        <w:t xml:space="preserve"> and </w:t>
      </w:r>
      <w:r>
        <w:rPr>
          <w:kern w:val="0"/>
        </w:rPr>
        <w:t>sufficiently powered trials are needed to clarify whether the risk of cancer cell spreading is correlated with worse prognosis.</w:t>
      </w:r>
    </w:p>
    <w:p w:rsidR="00545E32" w:rsidRDefault="00545E32" w:rsidP="00545E32">
      <w:pPr>
        <w:pStyle w:val="a0"/>
        <w:rPr>
          <w:kern w:val="0"/>
        </w:rPr>
      </w:pPr>
      <w:r>
        <w:rPr>
          <w:kern w:val="0"/>
        </w:rPr>
        <w:t>Keywords: Accuracy, Analysis, Cancer, Cancer Cell Dissemination, Carcinoma, Clinical Trials, Cochrane, Controlled Clinical Trials, Diagnostic Hysteroscopy, Disease, Dissemination, Endometrial Cancer, Hysteroscopy, Increase, ISI, Meta-Analysis, Methods, Microscopic Extrauterine Spread, Pressure, Prognosis, Pubmed, Ratio, Review, Risk, Science, Stage, Surgery, Survival, Systematic, Systematic Review, Trend, Web of Science</w:t>
      </w:r>
    </w:p>
    <w:p w:rsidR="002F7D3E" w:rsidRDefault="002F7D3E" w:rsidP="002F7D3E">
      <w:pPr>
        <w:pStyle w:val="1"/>
      </w:pPr>
      <w:r>
        <w:br w:type="page"/>
      </w:r>
      <w:bookmarkStart w:id="1355" w:name="_Toc243857458"/>
      <w:bookmarkStart w:id="1356" w:name="_Toc317161303"/>
      <w:r>
        <w:lastRenderedPageBreak/>
        <w:t xml:space="preserve">Title: </w:t>
      </w:r>
      <w:r w:rsidRPr="00076332">
        <w:t>International Journal of Gynecology &amp; Obstetrics</w:t>
      </w:r>
      <w:bookmarkEnd w:id="1355"/>
      <w:bookmarkEnd w:id="1356"/>
    </w:p>
    <w:p w:rsidR="002F7D3E" w:rsidRPr="003E249D" w:rsidRDefault="002F7D3E" w:rsidP="00B72EF9">
      <w:pPr>
        <w:pStyle w:val="12"/>
      </w:pPr>
      <w:r w:rsidRPr="003E249D">
        <w:t xml:space="preserve">Full Journal Title: </w:t>
      </w:r>
      <w:hyperlink r:id="rId1919" w:history="1">
        <w:r w:rsidRPr="003E3772">
          <w:rPr>
            <w:rStyle w:val="a5"/>
          </w:rPr>
          <w:t>International Journal of Gynecology &amp; Obstetrics</w:t>
        </w:r>
      </w:hyperlink>
    </w:p>
    <w:p w:rsidR="002F7D3E" w:rsidRPr="003E249D" w:rsidRDefault="002F7D3E" w:rsidP="00B72EF9">
      <w:pPr>
        <w:pStyle w:val="12"/>
      </w:pPr>
      <w:r w:rsidRPr="003E249D">
        <w:t xml:space="preserve">ISO Abbreviated Title: </w:t>
      </w:r>
    </w:p>
    <w:p w:rsidR="002F7D3E" w:rsidRPr="003E249D" w:rsidRDefault="002F7D3E" w:rsidP="00B72EF9">
      <w:pPr>
        <w:pStyle w:val="12"/>
      </w:pPr>
      <w:r w:rsidRPr="003E249D">
        <w:t>JCR Abbreviated Title</w:t>
      </w:r>
      <w:r>
        <w:t>:</w:t>
      </w:r>
      <w:r w:rsidRPr="003E249D">
        <w:t xml:space="preserve"> </w:t>
      </w:r>
    </w:p>
    <w:p w:rsidR="002F7D3E" w:rsidRPr="003E249D" w:rsidRDefault="002F7D3E" w:rsidP="00B72EF9">
      <w:pPr>
        <w:pStyle w:val="12"/>
      </w:pPr>
      <w:r w:rsidRPr="003E249D">
        <w:t xml:space="preserve">ISSN: </w:t>
      </w:r>
    </w:p>
    <w:p w:rsidR="002F7D3E" w:rsidRPr="003E249D" w:rsidRDefault="002F7D3E" w:rsidP="00B72EF9">
      <w:pPr>
        <w:pStyle w:val="12"/>
      </w:pPr>
      <w:r>
        <w:t xml:space="preserve">Issues/Year: </w:t>
      </w:r>
    </w:p>
    <w:p w:rsidR="002F7D3E" w:rsidRPr="003E249D" w:rsidRDefault="002F7D3E" w:rsidP="00B72EF9">
      <w:pPr>
        <w:pStyle w:val="12"/>
      </w:pPr>
      <w:r>
        <w:t xml:space="preserve">Journal Country/Territory: </w:t>
      </w:r>
    </w:p>
    <w:p w:rsidR="002F7D3E" w:rsidRPr="003E249D" w:rsidRDefault="002F7D3E" w:rsidP="00B72EF9">
      <w:pPr>
        <w:pStyle w:val="12"/>
      </w:pPr>
      <w:r w:rsidRPr="003E249D">
        <w:t xml:space="preserve">Language: </w:t>
      </w:r>
    </w:p>
    <w:p w:rsidR="002F7D3E" w:rsidRPr="003E249D" w:rsidRDefault="002F7D3E" w:rsidP="00B72EF9">
      <w:pPr>
        <w:pStyle w:val="12"/>
      </w:pPr>
      <w:r w:rsidRPr="003E249D">
        <w:t xml:space="preserve">Publisher: </w:t>
      </w:r>
    </w:p>
    <w:p w:rsidR="002F7D3E" w:rsidRPr="003E249D" w:rsidRDefault="002F7D3E" w:rsidP="00B72EF9">
      <w:pPr>
        <w:pStyle w:val="12"/>
      </w:pPr>
      <w:r w:rsidRPr="003E249D">
        <w:t xml:space="preserve">Publisher Address: </w:t>
      </w:r>
    </w:p>
    <w:p w:rsidR="002F7D3E" w:rsidRPr="003E249D" w:rsidRDefault="002F7D3E" w:rsidP="00B72EF9">
      <w:pPr>
        <w:pStyle w:val="12"/>
      </w:pPr>
      <w:r w:rsidRPr="003E249D">
        <w:t>Subject Categories:</w:t>
      </w:r>
    </w:p>
    <w:p w:rsidR="002F7D3E" w:rsidRDefault="002F7D3E" w:rsidP="00B72EF9">
      <w:pPr>
        <w:pStyle w:val="12"/>
      </w:pPr>
      <w:r w:rsidRPr="003E249D">
        <w:rPr>
          <w:rFonts w:hint="eastAsia"/>
        </w:rPr>
        <w:t xml:space="preserve">: </w:t>
      </w:r>
      <w:r>
        <w:t>Impact Factor</w:t>
      </w:r>
    </w:p>
    <w:p w:rsidR="002F7D3E" w:rsidRPr="003862C4" w:rsidRDefault="002F7D3E" w:rsidP="002F7D3E">
      <w:pPr>
        <w:pStyle w:val="a0"/>
      </w:pPr>
      <w:r w:rsidRPr="00D55BF2">
        <w:rPr>
          <w:rFonts w:hint="eastAsia"/>
        </w:rPr>
        <w:t xml:space="preserve">? </w:t>
      </w:r>
      <w:r w:rsidRPr="00D55BF2">
        <w:t>Oyelola, O.O., Olusi, S.O.</w:t>
      </w:r>
      <w:r w:rsidR="00F81221">
        <w:t xml:space="preserve"> and </w:t>
      </w:r>
      <w:r w:rsidRPr="00D55BF2">
        <w:t xml:space="preserve">Ayangade, S.O. (1991), A comparative-study of oral glucose-tolerance tests in Nigerian women on 3 types of steroidal contraceptives. </w:t>
      </w:r>
      <w:r w:rsidRPr="00CE7517">
        <w:rPr>
          <w:i/>
          <w:iCs/>
        </w:rPr>
        <w:t>International Journal of Gynecology &amp; Obstetrics</w:t>
      </w:r>
      <w:r w:rsidRPr="00D55BF2">
        <w:t xml:space="preserve">, </w:t>
      </w:r>
      <w:r w:rsidRPr="00551655">
        <w:rPr>
          <w:b/>
          <w:bCs/>
        </w:rPr>
        <w:t>36</w:t>
      </w:r>
      <w:r w:rsidRPr="003862C4">
        <w:t xml:space="preserve"> (3), 233-237.</w:t>
      </w:r>
    </w:p>
    <w:p w:rsidR="002F7D3E" w:rsidRPr="003862C4" w:rsidRDefault="002F7D3E" w:rsidP="002F7D3E">
      <w:pPr>
        <w:pStyle w:val="a0"/>
      </w:pPr>
      <w:r w:rsidRPr="003862C4">
        <w:rPr>
          <w:rFonts w:hint="eastAsia"/>
        </w:rPr>
        <w:t xml:space="preserve">Full Text: </w:t>
      </w:r>
      <w:hyperlink r:id="rId1920" w:history="1">
        <w:r w:rsidRPr="003E3772">
          <w:rPr>
            <w:rStyle w:val="a5"/>
          </w:rPr>
          <w:t>1991\Int J Gyn Obs36, 233.pdf</w:t>
        </w:r>
      </w:hyperlink>
    </w:p>
    <w:p w:rsidR="002F7D3E" w:rsidRPr="003862C4" w:rsidRDefault="002F7D3E" w:rsidP="002F7D3E">
      <w:pPr>
        <w:pStyle w:val="a0"/>
      </w:pPr>
      <w:r w:rsidRPr="003862C4">
        <w:t>Abstract: Oral glucose tolerance tests (OGTT) were performed on 146 Nigerian women volunteers using one of three types of steroidal contraceptives: high-dose combined pills; low-dose combined pills</w:t>
      </w:r>
      <w:r w:rsidR="00F81221">
        <w:t xml:space="preserve"> and </w:t>
      </w:r>
      <w:r w:rsidRPr="003862C4">
        <w:t xml:space="preserve">injectable progesterone. Twenty-six appropriately matched nonusers served as controls. The OGTT curves were analysed using the </w:t>
      </w:r>
      <w:r w:rsidRPr="003862C4">
        <w:rPr>
          <w:rFonts w:hint="eastAsia"/>
        </w:rPr>
        <w:t>h</w:t>
      </w:r>
      <w:r w:rsidRPr="003862C4">
        <w:t>-index (HI). Women on injectable progesterone</w:t>
      </w:r>
      <w:r w:rsidR="00F81221">
        <w:t xml:space="preserve"> and </w:t>
      </w:r>
      <w:r w:rsidRPr="003862C4">
        <w:t>high-dose combined pills, respectively, had significantly higher (P &lt; 0.05) mean HI than the controls. The low-dose combined pills had the least effect on carbohydrate metabolism.</w:t>
      </w:r>
    </w:p>
    <w:p w:rsidR="002F7D3E" w:rsidRPr="003862C4" w:rsidRDefault="002F7D3E" w:rsidP="002F7D3E">
      <w:pPr>
        <w:pStyle w:val="a0"/>
      </w:pPr>
      <w:r w:rsidRPr="003862C4">
        <w:t xml:space="preserve">Keywords: Carbohydrate Metabolism, Carbohydrate-Metabolism, Glucose, </w:t>
      </w:r>
      <w:r w:rsidRPr="003862C4">
        <w:rPr>
          <w:rFonts w:hint="eastAsia"/>
        </w:rPr>
        <w:t>h</w:t>
      </w:r>
      <w:r w:rsidRPr="003862C4">
        <w:t>-Index, High Dose, Low-Dose, Metabolism, Oral Glucose Tolerance Tests, P, Progesterone, Steroidal Contraceptives, Tolerance, Women</w:t>
      </w:r>
    </w:p>
    <w:p w:rsidR="002F7D3E" w:rsidRDefault="002F7D3E" w:rsidP="002F7D3E">
      <w:pPr>
        <w:pStyle w:val="a0"/>
        <w:rPr>
          <w:kern w:val="0"/>
        </w:rPr>
      </w:pPr>
      <w:r>
        <w:rPr>
          <w:rFonts w:hint="eastAsia"/>
          <w:kern w:val="0"/>
        </w:rPr>
        <w:t xml:space="preserve">? </w:t>
      </w:r>
      <w:r>
        <w:rPr>
          <w:kern w:val="0"/>
        </w:rPr>
        <w:t>Zheng, A.X.</w:t>
      </w:r>
      <w:r w:rsidR="00F81221">
        <w:rPr>
          <w:kern w:val="0"/>
        </w:rPr>
        <w:t xml:space="preserve"> and </w:t>
      </w:r>
      <w:r>
        <w:rPr>
          <w:kern w:val="0"/>
        </w:rPr>
        <w:t xml:space="preserve">Anderson, F.W.J. (2009), Obstetric fistula in low-income countries. </w:t>
      </w:r>
      <w:r>
        <w:rPr>
          <w:i/>
          <w:iCs/>
          <w:kern w:val="0"/>
        </w:rPr>
        <w:t>International Journal of Gynecology &amp; Obstetrics</w:t>
      </w:r>
      <w:r>
        <w:rPr>
          <w:kern w:val="0"/>
        </w:rPr>
        <w:t xml:space="preserve">, </w:t>
      </w:r>
      <w:r>
        <w:rPr>
          <w:b/>
          <w:bCs/>
          <w:kern w:val="0"/>
        </w:rPr>
        <w:t>104</w:t>
      </w:r>
      <w:r>
        <w:rPr>
          <w:kern w:val="0"/>
        </w:rPr>
        <w:t xml:space="preserve"> (2), 85-89.</w:t>
      </w:r>
    </w:p>
    <w:p w:rsidR="002F7D3E" w:rsidRPr="003862C4" w:rsidRDefault="002F7D3E" w:rsidP="002F7D3E">
      <w:pPr>
        <w:pStyle w:val="a0"/>
      </w:pPr>
      <w:r w:rsidRPr="003862C4">
        <w:rPr>
          <w:rFonts w:hint="eastAsia"/>
        </w:rPr>
        <w:t xml:space="preserve">Full Text: </w:t>
      </w:r>
      <w:hyperlink r:id="rId1921" w:history="1">
        <w:r w:rsidRPr="003E3772">
          <w:rPr>
            <w:rStyle w:val="a5"/>
          </w:rPr>
          <w:t>2009\Int J Gyn Obs104, 85.pdf</w:t>
        </w:r>
      </w:hyperlink>
    </w:p>
    <w:p w:rsidR="002F7D3E" w:rsidRDefault="002F7D3E" w:rsidP="002F7D3E">
      <w:pPr>
        <w:pStyle w:val="a0"/>
        <w:rPr>
          <w:kern w:val="0"/>
        </w:rPr>
      </w:pPr>
      <w:r>
        <w:rPr>
          <w:kern w:val="0"/>
        </w:rPr>
        <w:t>Abstract: Objective: To identify, survey,</w:t>
      </w:r>
      <w:r w:rsidR="00F81221">
        <w:rPr>
          <w:kern w:val="0"/>
        </w:rPr>
        <w:t xml:space="preserve"> and </w:t>
      </w:r>
      <w:r>
        <w:rPr>
          <w:kern w:val="0"/>
        </w:rPr>
        <w:t>systematically review the current knowledge regarding obstetric fistula as a public health problem in low-income countries from the peer-reviewed literature. Methods: The Medline</w:t>
      </w:r>
      <w:r w:rsidR="00F81221">
        <w:rPr>
          <w:kern w:val="0"/>
        </w:rPr>
        <w:t xml:space="preserve"> and </w:t>
      </w:r>
      <w:r>
        <w:rPr>
          <w:kern w:val="0"/>
        </w:rPr>
        <w:t>Science Citation Index databases were searched to identify public health articles on obstetric fistula in low-income countries. Quantitative evidence-based papers were reviewed. Results: Thirty-three articles met the criteria for inclusion: 18 hospital-based reviews; 6 on risk factors/prevention; 4 on prevalence/incidence measurement; 3 on consequences of obstetric fistula;</w:t>
      </w:r>
      <w:r w:rsidR="00F81221">
        <w:rPr>
          <w:kern w:val="0"/>
        </w:rPr>
        <w:t xml:space="preserve"> and </w:t>
      </w:r>
      <w:r>
        <w:rPr>
          <w:kern w:val="0"/>
        </w:rPr>
        <w:t xml:space="preserve">2 on community-based assessments. </w:t>
      </w:r>
      <w:r>
        <w:rPr>
          <w:kern w:val="0"/>
        </w:rPr>
        <w:lastRenderedPageBreak/>
        <w:t>Conclusion: Obstetric fistula has received increased international attention as a public health problem, but reliable research on the burden of disease</w:t>
      </w:r>
      <w:r w:rsidR="00F81221">
        <w:rPr>
          <w:kern w:val="0"/>
        </w:rPr>
        <w:t xml:space="preserve"> and </w:t>
      </w:r>
      <w:r>
        <w:rPr>
          <w:kern w:val="0"/>
        </w:rPr>
        <w:t>interventions is lacking. (C) 2008 Published by Elsevier Ireland Ltd. on behalf of International Federation of Gynecology</w:t>
      </w:r>
      <w:r w:rsidR="00F81221">
        <w:rPr>
          <w:kern w:val="0"/>
        </w:rPr>
        <w:t xml:space="preserve"> and </w:t>
      </w:r>
      <w:r>
        <w:rPr>
          <w:kern w:val="0"/>
        </w:rPr>
        <w:t>Obstetrics.</w:t>
      </w:r>
    </w:p>
    <w:p w:rsidR="002F7D3E" w:rsidRDefault="002F7D3E" w:rsidP="002F7D3E">
      <w:pPr>
        <w:pStyle w:val="a0"/>
        <w:rPr>
          <w:kern w:val="0"/>
        </w:rPr>
      </w:pPr>
      <w:r>
        <w:rPr>
          <w:kern w:val="0"/>
        </w:rPr>
        <w:t>Keywords: Africa, Citation, Evidence-Based Research, Fistula, Health, Knowledge, Maternal Morbidity, Medline, Nigeria, Obstetric Fistula, Obstructed Labor, Public Health, Research, Review, Risk-Factors, Science, Vesicovaginal Fistula, Women</w:t>
      </w:r>
    </w:p>
    <w:p w:rsidR="006548C1" w:rsidRDefault="006548C1" w:rsidP="006548C1">
      <w:pPr>
        <w:pStyle w:val="1"/>
      </w:pPr>
      <w:r>
        <w:br w:type="page"/>
      </w:r>
      <w:bookmarkStart w:id="1357" w:name="_Toc234337499"/>
      <w:bookmarkStart w:id="1358" w:name="_Toc317161304"/>
      <w:r>
        <w:lastRenderedPageBreak/>
        <w:t xml:space="preserve">Title: </w:t>
      </w:r>
      <w:r w:rsidRPr="008D00D0">
        <w:t>International Journal of Health Geographics</w:t>
      </w:r>
      <w:bookmarkEnd w:id="1357"/>
      <w:bookmarkEnd w:id="1358"/>
    </w:p>
    <w:p w:rsidR="006548C1" w:rsidRPr="003E249D" w:rsidRDefault="006548C1" w:rsidP="00B72EF9">
      <w:pPr>
        <w:pStyle w:val="12"/>
      </w:pPr>
      <w:r w:rsidRPr="003E249D">
        <w:t xml:space="preserve">Full Journal Title: </w:t>
      </w:r>
      <w:hyperlink r:id="rId1922" w:history="1">
        <w:r w:rsidRPr="008D00D0">
          <w:rPr>
            <w:rStyle w:val="a5"/>
            <w:iCs/>
          </w:rPr>
          <w:t>International Journal of Health Geographics</w:t>
        </w:r>
      </w:hyperlink>
    </w:p>
    <w:p w:rsidR="006548C1" w:rsidRPr="003E249D" w:rsidRDefault="006548C1" w:rsidP="00B72EF9">
      <w:pPr>
        <w:pStyle w:val="12"/>
      </w:pPr>
      <w:r w:rsidRPr="003E249D">
        <w:t xml:space="preserve">ISO Abbreviated Title: </w:t>
      </w:r>
    </w:p>
    <w:p w:rsidR="006548C1" w:rsidRPr="003E249D" w:rsidRDefault="006548C1" w:rsidP="00B72EF9">
      <w:pPr>
        <w:pStyle w:val="12"/>
      </w:pPr>
      <w:r w:rsidRPr="003E249D">
        <w:t>JCR Abbreviated Title</w:t>
      </w:r>
      <w:r>
        <w:t>:</w:t>
      </w:r>
      <w:r w:rsidRPr="003E249D">
        <w:t xml:space="preserve"> </w:t>
      </w:r>
    </w:p>
    <w:p w:rsidR="006548C1" w:rsidRPr="003E249D" w:rsidRDefault="006548C1" w:rsidP="00B72EF9">
      <w:pPr>
        <w:pStyle w:val="12"/>
      </w:pPr>
      <w:r w:rsidRPr="003E249D">
        <w:t xml:space="preserve">ISSN: </w:t>
      </w:r>
      <w:r w:rsidRPr="008D00D0">
        <w:t>1476-072X</w:t>
      </w:r>
    </w:p>
    <w:p w:rsidR="006548C1" w:rsidRPr="003E249D" w:rsidRDefault="006548C1" w:rsidP="00B72EF9">
      <w:pPr>
        <w:pStyle w:val="12"/>
      </w:pPr>
      <w:r>
        <w:t xml:space="preserve">Issues/Year: </w:t>
      </w:r>
    </w:p>
    <w:p w:rsidR="006548C1" w:rsidRPr="003E249D" w:rsidRDefault="00FB5623" w:rsidP="00B72EF9">
      <w:pPr>
        <w:pStyle w:val="12"/>
      </w:pPr>
      <w:r>
        <w:t>Journal Country/Territory:</w:t>
      </w:r>
      <w:r w:rsidR="006548C1">
        <w:t xml:space="preserve"> </w:t>
      </w:r>
    </w:p>
    <w:p w:rsidR="006548C1" w:rsidRPr="003E249D" w:rsidRDefault="006548C1" w:rsidP="00B72EF9">
      <w:pPr>
        <w:pStyle w:val="12"/>
      </w:pPr>
      <w:r w:rsidRPr="003E249D">
        <w:t xml:space="preserve">Language: </w:t>
      </w:r>
    </w:p>
    <w:p w:rsidR="006548C1" w:rsidRPr="003E249D" w:rsidRDefault="006548C1" w:rsidP="00B72EF9">
      <w:pPr>
        <w:pStyle w:val="12"/>
      </w:pPr>
      <w:r w:rsidRPr="003E249D">
        <w:t xml:space="preserve">Publisher: </w:t>
      </w:r>
    </w:p>
    <w:p w:rsidR="006548C1" w:rsidRPr="003E249D" w:rsidRDefault="006548C1" w:rsidP="00B72EF9">
      <w:pPr>
        <w:pStyle w:val="12"/>
      </w:pPr>
      <w:r w:rsidRPr="003E249D">
        <w:t xml:space="preserve">Publisher Address: </w:t>
      </w:r>
    </w:p>
    <w:p w:rsidR="006548C1" w:rsidRPr="003E249D" w:rsidRDefault="006548C1" w:rsidP="00B72EF9">
      <w:pPr>
        <w:pStyle w:val="12"/>
      </w:pPr>
      <w:r w:rsidRPr="003E249D">
        <w:t>Subject Categories:</w:t>
      </w:r>
    </w:p>
    <w:p w:rsidR="006548C1" w:rsidRDefault="006548C1" w:rsidP="00B72EF9">
      <w:pPr>
        <w:pStyle w:val="12"/>
      </w:pPr>
      <w:r w:rsidRPr="003E249D">
        <w:rPr>
          <w:rFonts w:hint="eastAsia"/>
        </w:rPr>
        <w:t xml:space="preserve">: </w:t>
      </w:r>
      <w:r>
        <w:t>Impact Factor</w:t>
      </w:r>
    </w:p>
    <w:p w:rsidR="006548C1" w:rsidRPr="003862C4" w:rsidRDefault="006548C1" w:rsidP="006548C1">
      <w:pPr>
        <w:pStyle w:val="a0"/>
      </w:pPr>
      <w:r w:rsidRPr="00D55BF2">
        <w:rPr>
          <w:rFonts w:hint="eastAsia"/>
        </w:rPr>
        <w:t xml:space="preserve">? </w:t>
      </w:r>
      <w:r w:rsidRPr="00D55BF2">
        <w:t>Uthman, O.A.</w:t>
      </w:r>
      <w:r w:rsidR="00F81221">
        <w:t xml:space="preserve"> and </w:t>
      </w:r>
      <w:r w:rsidRPr="00D55BF2">
        <w:t xml:space="preserve">Uthman, M.B. (2007), Geography of Africa biomedical publications: An analysis of 1996-2005 PubMed papers. </w:t>
      </w:r>
      <w:r w:rsidRPr="00CE7517">
        <w:rPr>
          <w:i/>
          <w:iCs/>
        </w:rPr>
        <w:t>International Journal of Health Geographics</w:t>
      </w:r>
      <w:r w:rsidRPr="00D55BF2">
        <w:t xml:space="preserve">, </w:t>
      </w:r>
      <w:r w:rsidRPr="00551655">
        <w:rPr>
          <w:b/>
          <w:bCs/>
        </w:rPr>
        <w:t>6</w:t>
      </w:r>
      <w:r w:rsidRPr="003862C4">
        <w:rPr>
          <w:rFonts w:hint="eastAsia"/>
        </w:rPr>
        <w:t xml:space="preserve">, </w:t>
      </w:r>
      <w:r w:rsidR="00DB2A5F">
        <w:rPr>
          <w:rStyle w:val="label"/>
        </w:rPr>
        <w:t>Article Number</w:t>
      </w:r>
      <w:r w:rsidRPr="003862C4">
        <w:rPr>
          <w:rFonts w:hint="eastAsia"/>
        </w:rPr>
        <w:t xml:space="preserve"> 46.</w:t>
      </w:r>
    </w:p>
    <w:p w:rsidR="006548C1" w:rsidRPr="003862C4" w:rsidRDefault="006548C1" w:rsidP="006548C1">
      <w:pPr>
        <w:pStyle w:val="a0"/>
      </w:pPr>
      <w:r w:rsidRPr="003862C4">
        <w:rPr>
          <w:rFonts w:hint="eastAsia"/>
        </w:rPr>
        <w:t xml:space="preserve">Full Text: </w:t>
      </w:r>
      <w:hyperlink r:id="rId1923" w:history="1">
        <w:r w:rsidRPr="008D00D0">
          <w:rPr>
            <w:rStyle w:val="a5"/>
          </w:rPr>
          <w:t>2007\Int J Hea Geo6, 46.pdf</w:t>
        </w:r>
      </w:hyperlink>
    </w:p>
    <w:p w:rsidR="006548C1" w:rsidRPr="003862C4" w:rsidRDefault="006548C1" w:rsidP="006548C1">
      <w:pPr>
        <w:pStyle w:val="a0"/>
      </w:pPr>
      <w:r w:rsidRPr="003862C4">
        <w:t>Abstract: Background: Scientific publications play an important role in scientific process providing a key linkage between knowledge production</w:t>
      </w:r>
      <w:r w:rsidR="00F81221">
        <w:t xml:space="preserve"> and </w:t>
      </w:r>
      <w:r w:rsidRPr="003862C4">
        <w:t>use. Scientific publishing activity worldwide over the past decades shows that most countries in Africa have low levels of publication. We sought to examine trends</w:t>
      </w:r>
      <w:r w:rsidR="00F81221">
        <w:t xml:space="preserve"> and </w:t>
      </w:r>
      <w:r w:rsidRPr="003862C4">
        <w:t>contribution of different Africa subregions</w:t>
      </w:r>
      <w:r w:rsidR="00F81221">
        <w:t xml:space="preserve"> and </w:t>
      </w:r>
      <w:r w:rsidRPr="003862C4">
        <w:t>individual countries as represented by the articles indexed by PubMed between 1996</w:t>
      </w:r>
      <w:r w:rsidR="00F81221">
        <w:t xml:space="preserve"> and </w:t>
      </w:r>
      <w:r w:rsidRPr="003862C4">
        <w:t>2005. Results: Research production in Africa is highly skewed; South Africa, Egypt,</w:t>
      </w:r>
      <w:r w:rsidR="00F81221">
        <w:t xml:space="preserve"> and </w:t>
      </w:r>
      <w:r w:rsidRPr="003862C4">
        <w:t>Nigeria make up a striking 60% of the total number of articles indexed by PubMed between 1996</w:t>
      </w:r>
      <w:r w:rsidR="00F81221">
        <w:t xml:space="preserve"> and </w:t>
      </w:r>
      <w:r w:rsidRPr="003862C4">
        <w:t>2005. When adjusted for population size smaller countries, such as The Gambia, Gabon</w:t>
      </w:r>
      <w:r w:rsidR="00F81221">
        <w:t xml:space="preserve"> and </w:t>
      </w:r>
      <w:r w:rsidRPr="003862C4">
        <w:t>Botswana, were more productive than Nigeria</w:t>
      </w:r>
      <w:r w:rsidR="00F81221">
        <w:t xml:space="preserve"> and </w:t>
      </w:r>
      <w:r w:rsidRPr="003862C4">
        <w:t>Kenya. The Gambia</w:t>
      </w:r>
      <w:r w:rsidR="00F81221">
        <w:t xml:space="preserve"> and </w:t>
      </w:r>
      <w:r w:rsidRPr="003862C4">
        <w:t>Eritrea had better records when total production was adjusted for gross domestic product. The contribution of Africa to global research production was persistently low through the period studied. Conclusion: In this study, we found that most populous</w:t>
      </w:r>
      <w:r w:rsidR="00F81221">
        <w:t xml:space="preserve"> and </w:t>
      </w:r>
      <w:r w:rsidRPr="003862C4">
        <w:t>rich countries (such as South Africa, Egypt,</w:t>
      </w:r>
      <w:r w:rsidR="00F81221">
        <w:t xml:space="preserve"> and </w:t>
      </w:r>
      <w:r w:rsidRPr="003862C4">
        <w:t>Nigeria) have correspondingly higher research production; but smaller countries can be productive. We noted continuous increases</w:t>
      </w:r>
      <w:r w:rsidR="00F81221">
        <w:t xml:space="preserve"> and </w:t>
      </w:r>
      <w:r w:rsidRPr="003862C4">
        <w:t>reassuring trends in the production of research articles from all African subregions during the period 1996-2005. However, contribution of Africa to global research production was limited.</w:t>
      </w:r>
    </w:p>
    <w:p w:rsidR="006548C1" w:rsidRPr="003862C4" w:rsidRDefault="006548C1" w:rsidP="006548C1">
      <w:pPr>
        <w:pStyle w:val="a0"/>
      </w:pPr>
      <w:r w:rsidRPr="003862C4">
        <w:t xml:space="preserve">Keywords: Africa, Analysis, Bibliometric Analysis, Biomedical, Developing-Countries, Different World Regions, Egypt, Gross Domestic Product, Health, Indicators, Kenya, Knowledge, Linkage, Medical Journals, Nigeria, Papers, Population, Publication, </w:t>
      </w:r>
      <w:r w:rsidRPr="003862C4">
        <w:lastRenderedPageBreak/>
        <w:t>Publications, Publishing, Pubmed, Records, Research, Research Capacity, Research Productivity, Role, Science, Size, South Africa, Trends</w:t>
      </w:r>
    </w:p>
    <w:p w:rsidR="00DB2A5F" w:rsidRDefault="00DB2A5F" w:rsidP="00DB2A5F">
      <w:pPr>
        <w:pStyle w:val="a0"/>
        <w:rPr>
          <w:rStyle w:val="label"/>
        </w:rPr>
      </w:pPr>
      <w:r>
        <w:rPr>
          <w:rFonts w:hint="eastAsia"/>
          <w:kern w:val="0"/>
          <w:szCs w:val="24"/>
        </w:rPr>
        <w:t xml:space="preserve">? </w:t>
      </w:r>
      <w:r>
        <w:rPr>
          <w:kern w:val="0"/>
          <w:szCs w:val="24"/>
        </w:rPr>
        <w:t xml:space="preserve">Groneberg, D.A., Schilling, U., Scutaru, C., Uibel, S., Zitnik, S., Mueller, D., Klingelhoefer, D. and Kloft, B. (2011), Drowning - a scientometric analysis and data acquisition of a constant global problem employing density equalizing mapping and scientometric benchmarking procedures. </w:t>
      </w:r>
      <w:r>
        <w:rPr>
          <w:i/>
          <w:iCs/>
          <w:kern w:val="0"/>
          <w:szCs w:val="24"/>
        </w:rPr>
        <w:t>International Journal of Health Geographics</w:t>
      </w:r>
      <w:r>
        <w:rPr>
          <w:kern w:val="0"/>
          <w:szCs w:val="24"/>
        </w:rPr>
        <w:t xml:space="preserve">, </w:t>
      </w:r>
      <w:r>
        <w:rPr>
          <w:b/>
          <w:bCs/>
          <w:kern w:val="0"/>
          <w:szCs w:val="24"/>
        </w:rPr>
        <w:t>10</w:t>
      </w:r>
      <w:r>
        <w:rPr>
          <w:rFonts w:hint="eastAsia"/>
          <w:kern w:val="0"/>
          <w:szCs w:val="24"/>
        </w:rPr>
        <w:t xml:space="preserve">, </w:t>
      </w:r>
      <w:r>
        <w:rPr>
          <w:rStyle w:val="label"/>
        </w:rPr>
        <w:t>Article Number</w:t>
      </w:r>
      <w:r>
        <w:rPr>
          <w:rStyle w:val="label"/>
          <w:rFonts w:hint="eastAsia"/>
        </w:rPr>
        <w:t xml:space="preserve"> 55.</w:t>
      </w:r>
    </w:p>
    <w:p w:rsidR="00DB2A5F" w:rsidRPr="003862C4" w:rsidRDefault="00DB2A5F" w:rsidP="00DB2A5F">
      <w:pPr>
        <w:pStyle w:val="a0"/>
      </w:pPr>
      <w:r w:rsidRPr="003862C4">
        <w:rPr>
          <w:rFonts w:hint="eastAsia"/>
        </w:rPr>
        <w:t xml:space="preserve">Full Text: </w:t>
      </w:r>
      <w:hyperlink r:id="rId1924" w:history="1">
        <w:r w:rsidR="006550E8" w:rsidRPr="006550E8">
          <w:rPr>
            <w:rStyle w:val="a5"/>
          </w:rPr>
          <w:t>2011\Int J Hea Geo10, 55.pdf</w:t>
        </w:r>
      </w:hyperlink>
    </w:p>
    <w:p w:rsidR="00DB2A5F" w:rsidRDefault="00DB2A5F" w:rsidP="00DB2A5F">
      <w:pPr>
        <w:pStyle w:val="a0"/>
        <w:rPr>
          <w:kern w:val="0"/>
          <w:szCs w:val="24"/>
        </w:rPr>
      </w:pPr>
      <w:r>
        <w:rPr>
          <w:kern w:val="0"/>
          <w:szCs w:val="24"/>
        </w:rPr>
        <w:t xml:space="preserve">Abstract: Background: Drowning is a constant global problem which claims approximately half a million victims worldwide each year, whereas the number of near-drowning victims is considerably higher. Public health strategies to reduce the burden of death are still limited. While research activities in the subject drowning grow constantly, yet there is no scientometric evaluation of the existing literature at the present time. Methods: The current study uses classical bibliometric tools and visualizing techniques such as density equalizing mapping to analyse and evaluate the scientific research in the field of drowning. The interpretation of the achieved results is also implemented in the context of the data collection of the WHO. Results: All studies related to drowning and listed in the ISI-Web of Science database since 1900 were identified using the search term </w:t>
      </w:r>
      <w:r w:rsidR="000352E7">
        <w:rPr>
          <w:kern w:val="0"/>
          <w:szCs w:val="24"/>
        </w:rPr>
        <w:t>“</w:t>
      </w:r>
      <w:r>
        <w:rPr>
          <w:kern w:val="0"/>
          <w:szCs w:val="24"/>
        </w:rPr>
        <w:t>drowning</w:t>
      </w:r>
      <w:r w:rsidR="000352E7">
        <w:rPr>
          <w:kern w:val="0"/>
          <w:szCs w:val="24"/>
        </w:rPr>
        <w:t>”</w:t>
      </w:r>
      <w:r>
        <w:rPr>
          <w:kern w:val="0"/>
          <w:szCs w:val="24"/>
        </w:rPr>
        <w:t>. Implementing bibliometric methods, a constant increase in quantitative markers such as number of publications per state, publication language or collaborations as well as qualitative markers such as citations were observed for research in the field of drowning. The combination with density equalizing mapping exposed different global patterns for research productivity and the total number of drowning deaths and drowning rates respectively. Chart techniques were used to illustrate bi- and multilateral research cooperation. Conclusions: The present study provides the first scientometric approach that visualizes research activity on the subject of drowning. It can be assumed that the scientific approach to this topic will achieve even greater dimensions because of its continuing actuality.</w:t>
      </w:r>
    </w:p>
    <w:p w:rsidR="00DB2A5F" w:rsidRDefault="00DB2A5F" w:rsidP="00DB2A5F">
      <w:pPr>
        <w:pStyle w:val="a0"/>
        <w:rPr>
          <w:kern w:val="0"/>
          <w:szCs w:val="24"/>
        </w:rPr>
      </w:pPr>
      <w:r>
        <w:rPr>
          <w:kern w:val="0"/>
          <w:szCs w:val="24"/>
        </w:rPr>
        <w:t>Keywords: Activities, Analysis, Bibliometric, Bibliometric Methods, Burden, Children, Citations, Collaborations, Cooperation, Data Collection, Density Equalizing Mapping, Disease, Drowning, Evaluation, Health, Impact Factors, Interpretation, ISI Web of Science, Language, Literature, Mapping, Medicine, Methods, Near-Drowning, Occupational Medicine, Prevention, Productivity, Public, Public Health, Publication, Publications, Qualitative, Quantitative, Research, Research Productivity, Science, Scientific Research, Scientometric Analysis, Scientometrics, WHO</w:t>
      </w:r>
    </w:p>
    <w:p w:rsidR="00B95188" w:rsidRPr="00A428C3" w:rsidRDefault="006548C1" w:rsidP="006548C1">
      <w:pPr>
        <w:pStyle w:val="1"/>
      </w:pPr>
      <w:r w:rsidRPr="00A428C3">
        <w:br w:type="page"/>
      </w:r>
      <w:bookmarkStart w:id="1359" w:name="_Toc490688068"/>
      <w:bookmarkStart w:id="1360" w:name="_Toc492812180"/>
      <w:bookmarkStart w:id="1361" w:name="_Toc186647922"/>
      <w:bookmarkStart w:id="1362" w:name="_Toc317161305"/>
      <w:r w:rsidR="00B95188" w:rsidRPr="00A428C3">
        <w:lastRenderedPageBreak/>
        <w:t xml:space="preserve">Title: </w:t>
      </w:r>
      <w:bookmarkEnd w:id="1359"/>
      <w:r w:rsidR="00B95188" w:rsidRPr="00A428C3">
        <w:t>International Journal of Health Services</w:t>
      </w:r>
      <w:bookmarkEnd w:id="1360"/>
      <w:bookmarkEnd w:id="1361"/>
      <w:bookmarkEnd w:id="1362"/>
    </w:p>
    <w:p w:rsidR="00B95188" w:rsidRPr="00A428C3" w:rsidRDefault="00B95188" w:rsidP="00B72EF9">
      <w:pPr>
        <w:pStyle w:val="12"/>
      </w:pPr>
      <w:r w:rsidRPr="00A428C3">
        <w:t>Full Journal Title: International Journal of Health Services</w:t>
      </w:r>
    </w:p>
    <w:p w:rsidR="00B95188" w:rsidRPr="00A428C3" w:rsidRDefault="00B95188" w:rsidP="00B72EF9">
      <w:pPr>
        <w:pStyle w:val="12"/>
      </w:pPr>
      <w:r w:rsidRPr="00A428C3">
        <w:t>ISO Abbreviated Title: Int. J. Health Serv.</w:t>
      </w:r>
    </w:p>
    <w:p w:rsidR="00B95188" w:rsidRPr="00A428C3" w:rsidRDefault="00B95188" w:rsidP="00B72EF9">
      <w:pPr>
        <w:pStyle w:val="12"/>
      </w:pPr>
      <w:r w:rsidRPr="00A428C3">
        <w:t>JCR Abbreviated Title: Int J Health Serv</w:t>
      </w:r>
    </w:p>
    <w:p w:rsidR="00B95188" w:rsidRPr="00A428C3" w:rsidRDefault="00B95188" w:rsidP="00B72EF9">
      <w:pPr>
        <w:pStyle w:val="12"/>
      </w:pPr>
      <w:r w:rsidRPr="00A428C3">
        <w:t>ISSN: 0020-7314</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Baywood Publ Co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26 Austin Ave</w:t>
          </w:r>
        </w:smartTag>
        <w:r w:rsidRPr="00A428C3">
          <w:t xml:space="preserve">, </w:t>
        </w:r>
        <w:smartTag w:uri="urn:schemas-microsoft-com:office:smarttags" w:element="City">
          <w:r w:rsidRPr="00A428C3">
            <w:t>Amityville</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11701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Health Care Sciences &amp; Services: </w:t>
      </w:r>
      <w:r w:rsidRPr="00A428C3">
        <w:rPr>
          <w:color w:val="008000"/>
        </w:rPr>
        <w:t>Impact Factor</w:t>
      </w:r>
    </w:p>
    <w:p w:rsidR="00B95188" w:rsidRPr="00A428C3" w:rsidRDefault="00B95188" w:rsidP="00B95188">
      <w:pPr>
        <w:pStyle w:val="a0"/>
      </w:pPr>
      <w:r w:rsidRPr="00A428C3">
        <w:t>? Epstein, S.S. (1990), Losing the war against cancer: Who</w:t>
      </w:r>
      <w:r w:rsidR="000352E7">
        <w:t>’</w:t>
      </w:r>
      <w:r w:rsidRPr="00A428C3">
        <w:t>s to blame</w:t>
      </w:r>
      <w:r w:rsidR="00F81221">
        <w:t xml:space="preserve"> and </w:t>
      </w:r>
      <w:r w:rsidRPr="00A428C3">
        <w:t xml:space="preserve">what to do about it. </w:t>
      </w:r>
      <w:r w:rsidRPr="00A428C3">
        <w:rPr>
          <w:i/>
        </w:rPr>
        <w:t>International Journal of Health Services</w:t>
      </w:r>
      <w:r w:rsidRPr="00A428C3">
        <w:t xml:space="preserve">, </w:t>
      </w:r>
      <w:r w:rsidRPr="00A428C3">
        <w:rPr>
          <w:b/>
        </w:rPr>
        <w:t>20</w:t>
      </w:r>
      <w:r w:rsidRPr="00A428C3">
        <w:t xml:space="preserve"> (1), 53-71.</w:t>
      </w:r>
    </w:p>
    <w:p w:rsidR="00B95188" w:rsidRPr="00A428C3" w:rsidRDefault="00B95188" w:rsidP="00B95188">
      <w:pPr>
        <w:pStyle w:val="a0"/>
      </w:pPr>
      <w:r w:rsidRPr="00A428C3">
        <w:t>Abstract: In 1971, the U.S. Congress launched a War on Cancer. Eighteen years</w:t>
      </w:r>
      <w:r w:rsidR="00F81221">
        <w:t xml:space="preserve"> and </w:t>
      </w:r>
      <w:r w:rsidRPr="00A428C3">
        <w:t xml:space="preserve">billions of dollars later, the </w:t>
      </w:r>
      <w:smartTag w:uri="urn:schemas-microsoft-com:office:smarttags" w:element="place">
        <w:smartTag w:uri="urn:schemas-microsoft-com:office:smarttags" w:element="country-region">
          <w:r w:rsidRPr="00A428C3">
            <w:t>United States</w:t>
          </w:r>
        </w:smartTag>
      </w:smartTag>
      <w:r w:rsidRPr="00A428C3">
        <w:t xml:space="preserve"> is still in the grips of a cancer epidemic-and the number of victims grows every year. Much of the money has been squandered on a fruitless search for cancer </w:t>
      </w:r>
      <w:r w:rsidR="000352E7">
        <w:t>“</w:t>
      </w:r>
      <w:r w:rsidRPr="00A428C3">
        <w:t>cures</w:t>
      </w:r>
      <w:r w:rsidR="000352E7">
        <w:t>”</w:t>
      </w:r>
      <w:r w:rsidRPr="00A428C3">
        <w:t>. Little has been done to prevent exposure to carcinogenic chemicals in the environment, despite ample evidence that chemical pollution of our air, water, food,</w:t>
      </w:r>
      <w:r w:rsidR="00F81221">
        <w:t xml:space="preserve"> and </w:t>
      </w:r>
      <w:r w:rsidRPr="00A428C3">
        <w:t>the workplace is the major cause of cancer. On the contrary, government, industry,</w:t>
      </w:r>
      <w:r w:rsidR="00F81221">
        <w:t xml:space="preserve"> and </w:t>
      </w:r>
      <w:r w:rsidRPr="00A428C3">
        <w:t>a small coterie of scientists have combined to stymie efforts to introduce preventive measures, such as strict pollution control standards. But cancer remains a preventable disease. It is up to citizens to push for action.</w:t>
      </w:r>
    </w:p>
    <w:p w:rsidR="00547FF3" w:rsidRPr="00A428C3" w:rsidRDefault="00547FF3" w:rsidP="00547FF3">
      <w:pPr>
        <w:pStyle w:val="1"/>
      </w:pPr>
      <w:r w:rsidRPr="00A428C3">
        <w:br w:type="page"/>
      </w:r>
      <w:bookmarkStart w:id="1363" w:name="_Toc317161306"/>
      <w:r w:rsidRPr="00A428C3">
        <w:lastRenderedPageBreak/>
        <w:t xml:space="preserve">Title: </w:t>
      </w:r>
      <w:r w:rsidRPr="00547FF3">
        <w:rPr>
          <w:iCs/>
        </w:rPr>
        <w:t>International Journal of Heat</w:t>
      </w:r>
      <w:r w:rsidR="00F81221">
        <w:rPr>
          <w:iCs/>
        </w:rPr>
        <w:t xml:space="preserve"> and </w:t>
      </w:r>
      <w:r w:rsidRPr="00547FF3">
        <w:rPr>
          <w:iCs/>
        </w:rPr>
        <w:t>Mass Transfer</w:t>
      </w:r>
      <w:bookmarkEnd w:id="1363"/>
    </w:p>
    <w:p w:rsidR="00547FF3" w:rsidRPr="00A428C3" w:rsidRDefault="00547FF3" w:rsidP="00B72EF9">
      <w:pPr>
        <w:pStyle w:val="12"/>
      </w:pPr>
      <w:r w:rsidRPr="00A428C3">
        <w:t xml:space="preserve">Full Journal Title: </w:t>
      </w:r>
      <w:r w:rsidRPr="00547FF3">
        <w:t>International Journal of Heat</w:t>
      </w:r>
      <w:r w:rsidR="00F81221">
        <w:t xml:space="preserve"> and </w:t>
      </w:r>
      <w:r w:rsidRPr="00547FF3">
        <w:t>Mass Transfer</w:t>
      </w:r>
    </w:p>
    <w:p w:rsidR="00547FF3" w:rsidRPr="00A428C3" w:rsidRDefault="00547FF3" w:rsidP="00B72EF9">
      <w:pPr>
        <w:pStyle w:val="12"/>
      </w:pPr>
      <w:r w:rsidRPr="00A428C3">
        <w:t xml:space="preserve">ISO Abbreviated Title: </w:t>
      </w:r>
    </w:p>
    <w:p w:rsidR="00547FF3" w:rsidRPr="00A428C3" w:rsidRDefault="00547FF3" w:rsidP="00B72EF9">
      <w:pPr>
        <w:pStyle w:val="12"/>
      </w:pPr>
      <w:r w:rsidRPr="00A428C3">
        <w:t xml:space="preserve">JCR Abbreviated Title: </w:t>
      </w:r>
    </w:p>
    <w:p w:rsidR="00547FF3" w:rsidRPr="00A428C3" w:rsidRDefault="00547FF3" w:rsidP="00B72EF9">
      <w:pPr>
        <w:pStyle w:val="12"/>
      </w:pPr>
      <w:r w:rsidRPr="00A428C3">
        <w:t xml:space="preserve">ISSN: </w:t>
      </w:r>
    </w:p>
    <w:p w:rsidR="00547FF3" w:rsidRPr="00A428C3" w:rsidRDefault="00547FF3" w:rsidP="00B72EF9">
      <w:pPr>
        <w:pStyle w:val="12"/>
      </w:pPr>
      <w:r w:rsidRPr="00A428C3">
        <w:t xml:space="preserve">Issues/Year: </w:t>
      </w:r>
    </w:p>
    <w:p w:rsidR="00547FF3" w:rsidRPr="00A428C3" w:rsidRDefault="00547FF3" w:rsidP="00B72EF9">
      <w:pPr>
        <w:pStyle w:val="12"/>
      </w:pPr>
      <w:r w:rsidRPr="00A428C3">
        <w:t xml:space="preserve">Journal Country/Territory: </w:t>
      </w:r>
    </w:p>
    <w:p w:rsidR="00547FF3" w:rsidRPr="00A428C3" w:rsidRDefault="00547FF3" w:rsidP="00B72EF9">
      <w:pPr>
        <w:pStyle w:val="12"/>
      </w:pPr>
      <w:r w:rsidRPr="00A428C3">
        <w:t xml:space="preserve">Language: </w:t>
      </w:r>
    </w:p>
    <w:p w:rsidR="00547FF3" w:rsidRPr="00A428C3" w:rsidRDefault="00547FF3" w:rsidP="00B72EF9">
      <w:pPr>
        <w:pStyle w:val="12"/>
      </w:pPr>
      <w:r w:rsidRPr="00A428C3">
        <w:t xml:space="preserve">Publisher: </w:t>
      </w:r>
    </w:p>
    <w:p w:rsidR="00547FF3" w:rsidRPr="00A428C3" w:rsidRDefault="00547FF3" w:rsidP="00B72EF9">
      <w:pPr>
        <w:pStyle w:val="12"/>
      </w:pPr>
      <w:r w:rsidRPr="00A428C3">
        <w:t xml:space="preserve">Publisher Address: </w:t>
      </w:r>
    </w:p>
    <w:p w:rsidR="00547FF3" w:rsidRPr="00A428C3" w:rsidRDefault="00547FF3" w:rsidP="00B72EF9">
      <w:pPr>
        <w:pStyle w:val="12"/>
      </w:pPr>
      <w:r w:rsidRPr="00A428C3">
        <w:t>Subject Categories:</w:t>
      </w:r>
    </w:p>
    <w:p w:rsidR="00547FF3" w:rsidRPr="00A428C3" w:rsidRDefault="00547FF3" w:rsidP="00B72EF9">
      <w:pPr>
        <w:pStyle w:val="12"/>
      </w:pPr>
      <w:r w:rsidRPr="00A428C3">
        <w:t>: Impact Factor</w:t>
      </w:r>
    </w:p>
    <w:p w:rsidR="00963441" w:rsidRDefault="00963441" w:rsidP="00963441">
      <w:pPr>
        <w:pStyle w:val="a0"/>
      </w:pPr>
      <w:r>
        <w:rPr>
          <w:rFonts w:hint="eastAsia"/>
        </w:rPr>
        <w:t>Notes: highly cited</w:t>
      </w:r>
    </w:p>
    <w:p w:rsidR="00963441" w:rsidRDefault="00963441" w:rsidP="00963441">
      <w:pPr>
        <w:pStyle w:val="a0"/>
        <w:rPr>
          <w:kern w:val="0"/>
        </w:rPr>
      </w:pPr>
      <w:r>
        <w:rPr>
          <w:rFonts w:hint="eastAsia"/>
          <w:kern w:val="0"/>
        </w:rPr>
        <w:t xml:space="preserve">? </w:t>
      </w:r>
      <w:r w:rsidRPr="00963441">
        <w:rPr>
          <w:kern w:val="0"/>
        </w:rPr>
        <w:t>Wang</w:t>
      </w:r>
      <w:r>
        <w:rPr>
          <w:rFonts w:hint="eastAsia"/>
          <w:kern w:val="0"/>
        </w:rPr>
        <w:t>,</w:t>
      </w:r>
      <w:r w:rsidRPr="00963441">
        <w:rPr>
          <w:kern w:val="0"/>
        </w:rPr>
        <w:t xml:space="preserve"> B</w:t>
      </w:r>
      <w:r>
        <w:rPr>
          <w:rFonts w:hint="eastAsia"/>
          <w:kern w:val="0"/>
        </w:rPr>
        <w:t>.</w:t>
      </w:r>
      <w:r w:rsidRPr="00963441">
        <w:rPr>
          <w:kern w:val="0"/>
        </w:rPr>
        <w:t>X</w:t>
      </w:r>
      <w:r>
        <w:rPr>
          <w:rFonts w:hint="eastAsia"/>
          <w:kern w:val="0"/>
        </w:rPr>
        <w:t>.</w:t>
      </w:r>
      <w:r w:rsidRPr="00963441">
        <w:rPr>
          <w:kern w:val="0"/>
        </w:rPr>
        <w:t>, Zhou</w:t>
      </w:r>
      <w:r>
        <w:rPr>
          <w:rFonts w:hint="eastAsia"/>
          <w:kern w:val="0"/>
        </w:rPr>
        <w:t>,</w:t>
      </w:r>
      <w:r w:rsidRPr="00963441">
        <w:rPr>
          <w:kern w:val="0"/>
        </w:rPr>
        <w:t xml:space="preserve"> L</w:t>
      </w:r>
      <w:r>
        <w:rPr>
          <w:rFonts w:hint="eastAsia"/>
          <w:kern w:val="0"/>
        </w:rPr>
        <w:t>.</w:t>
      </w:r>
      <w:r w:rsidRPr="00963441">
        <w:rPr>
          <w:kern w:val="0"/>
        </w:rPr>
        <w:t>P</w:t>
      </w:r>
      <w:r>
        <w:rPr>
          <w:rFonts w:hint="eastAsia"/>
          <w:kern w:val="0"/>
        </w:rPr>
        <w:t>.</w:t>
      </w:r>
      <w:r w:rsidR="00F81221">
        <w:rPr>
          <w:rFonts w:hint="eastAsia"/>
          <w:kern w:val="0"/>
        </w:rPr>
        <w:t xml:space="preserve"> and </w:t>
      </w:r>
      <w:r w:rsidRPr="00963441">
        <w:rPr>
          <w:kern w:val="0"/>
        </w:rPr>
        <w:t>Peng</w:t>
      </w:r>
      <w:r>
        <w:rPr>
          <w:rFonts w:hint="eastAsia"/>
          <w:kern w:val="0"/>
        </w:rPr>
        <w:t>,</w:t>
      </w:r>
      <w:r w:rsidRPr="00963441">
        <w:rPr>
          <w:kern w:val="0"/>
        </w:rPr>
        <w:t xml:space="preserve"> X</w:t>
      </w:r>
      <w:r>
        <w:rPr>
          <w:rFonts w:hint="eastAsia"/>
          <w:kern w:val="0"/>
        </w:rPr>
        <w:t>.</w:t>
      </w:r>
      <w:r w:rsidRPr="00963441">
        <w:rPr>
          <w:kern w:val="0"/>
        </w:rPr>
        <w:t>F</w:t>
      </w:r>
      <w:r>
        <w:rPr>
          <w:rFonts w:hint="eastAsia"/>
          <w:kern w:val="0"/>
        </w:rPr>
        <w:t>.</w:t>
      </w:r>
      <w:r>
        <w:rPr>
          <w:kern w:val="0"/>
        </w:rPr>
        <w:t xml:space="preserve"> (200</w:t>
      </w:r>
      <w:r>
        <w:rPr>
          <w:rFonts w:hint="eastAsia"/>
          <w:kern w:val="0"/>
        </w:rPr>
        <w:t>3</w:t>
      </w:r>
      <w:r>
        <w:rPr>
          <w:kern w:val="0"/>
        </w:rPr>
        <w:t xml:space="preserve">), </w:t>
      </w:r>
      <w:r w:rsidRPr="00963441">
        <w:rPr>
          <w:kern w:val="0"/>
        </w:rPr>
        <w:t>A fractal model for predicting the effective thermal conductivity of liquid with suspension of nanoparticles</w:t>
      </w:r>
      <w:r>
        <w:rPr>
          <w:kern w:val="0"/>
        </w:rPr>
        <w:t xml:space="preserve">. </w:t>
      </w:r>
      <w:r w:rsidRPr="00547FF3">
        <w:rPr>
          <w:i/>
          <w:iCs/>
          <w:kern w:val="0"/>
        </w:rPr>
        <w:t>International Journal of Heat</w:t>
      </w:r>
      <w:r w:rsidR="00F81221">
        <w:rPr>
          <w:i/>
          <w:iCs/>
          <w:kern w:val="0"/>
        </w:rPr>
        <w:t xml:space="preserve"> and </w:t>
      </w:r>
      <w:r w:rsidRPr="00547FF3">
        <w:rPr>
          <w:i/>
          <w:iCs/>
          <w:kern w:val="0"/>
        </w:rPr>
        <w:t>Mass Transfer</w:t>
      </w:r>
      <w:r>
        <w:rPr>
          <w:kern w:val="0"/>
        </w:rPr>
        <w:t xml:space="preserve">, </w:t>
      </w:r>
      <w:r>
        <w:rPr>
          <w:b/>
          <w:bCs/>
          <w:kern w:val="0"/>
        </w:rPr>
        <w:t>4</w:t>
      </w:r>
      <w:r>
        <w:rPr>
          <w:rFonts w:hint="eastAsia"/>
          <w:b/>
          <w:bCs/>
          <w:kern w:val="0"/>
        </w:rPr>
        <w:t>6</w:t>
      </w:r>
      <w:r>
        <w:rPr>
          <w:kern w:val="0"/>
        </w:rPr>
        <w:t xml:space="preserve"> (</w:t>
      </w:r>
      <w:r>
        <w:rPr>
          <w:rFonts w:hint="eastAsia"/>
          <w:kern w:val="0"/>
        </w:rPr>
        <w:t>14</w:t>
      </w:r>
      <w:r>
        <w:rPr>
          <w:kern w:val="0"/>
        </w:rPr>
        <w:t xml:space="preserve">), </w:t>
      </w:r>
      <w:r w:rsidRPr="00963441">
        <w:rPr>
          <w:kern w:val="0"/>
        </w:rPr>
        <w:t>2665-2672</w:t>
      </w:r>
      <w:r>
        <w:rPr>
          <w:kern w:val="0"/>
        </w:rPr>
        <w:t>.</w:t>
      </w:r>
    </w:p>
    <w:p w:rsidR="00963441" w:rsidRDefault="00963441" w:rsidP="00963441">
      <w:pPr>
        <w:pStyle w:val="a0"/>
        <w:rPr>
          <w:kern w:val="0"/>
        </w:rPr>
      </w:pPr>
      <w:r>
        <w:rPr>
          <w:rFonts w:hint="eastAsia"/>
          <w:kern w:val="0"/>
        </w:rPr>
        <w:t xml:space="preserve">Full Text: </w:t>
      </w:r>
      <w:hyperlink r:id="rId1925" w:history="1">
        <w:r w:rsidRPr="00963441">
          <w:rPr>
            <w:rStyle w:val="a5"/>
            <w:kern w:val="0"/>
          </w:rPr>
          <w:t>2003\Int J Hea Mas Tra46, 2665.pdf</w:t>
        </w:r>
      </w:hyperlink>
    </w:p>
    <w:p w:rsidR="00963441" w:rsidRPr="00963441" w:rsidRDefault="00963441" w:rsidP="00963441">
      <w:pPr>
        <w:pStyle w:val="a0"/>
        <w:rPr>
          <w:kern w:val="0"/>
        </w:rPr>
      </w:pPr>
      <w:r w:rsidRPr="00963441">
        <w:rPr>
          <w:kern w:val="0"/>
        </w:rPr>
        <w:t>Abstract: Based on the effective medium approximation</w:t>
      </w:r>
      <w:r w:rsidR="00F81221">
        <w:rPr>
          <w:kern w:val="0"/>
        </w:rPr>
        <w:t xml:space="preserve"> and </w:t>
      </w:r>
      <w:r w:rsidRPr="00963441">
        <w:rPr>
          <w:kern w:val="0"/>
        </w:rPr>
        <w:t>the fractal theory for the description of nanoparticle cluster</w:t>
      </w:r>
      <w:r w:rsidR="00F81221">
        <w:rPr>
          <w:kern w:val="0"/>
        </w:rPr>
        <w:t xml:space="preserve"> and </w:t>
      </w:r>
      <w:r w:rsidRPr="00963441">
        <w:rPr>
          <w:kern w:val="0"/>
        </w:rPr>
        <w:t xml:space="preserve">its radial distribution, a method for modeling the effective thermal conductivity of </w:t>
      </w:r>
      <w:r w:rsidR="000352E7">
        <w:rPr>
          <w:kern w:val="0"/>
        </w:rPr>
        <w:t>“</w:t>
      </w:r>
      <w:r w:rsidRPr="00963441">
        <w:rPr>
          <w:kern w:val="0"/>
        </w:rPr>
        <w:t>nanofluid</w:t>
      </w:r>
      <w:r w:rsidR="000352E7">
        <w:rPr>
          <w:kern w:val="0"/>
        </w:rPr>
        <w:t>”</w:t>
      </w:r>
      <w:r w:rsidRPr="00963441">
        <w:rPr>
          <w:kern w:val="0"/>
        </w:rPr>
        <w:t xml:space="preserve"> is established. The size effect</w:t>
      </w:r>
      <w:r w:rsidR="00F81221">
        <w:rPr>
          <w:kern w:val="0"/>
        </w:rPr>
        <w:t xml:space="preserve"> and </w:t>
      </w:r>
      <w:r w:rsidRPr="00963441">
        <w:rPr>
          <w:kern w:val="0"/>
        </w:rPr>
        <w:t>the surface adsorption of nanoparticles are taken into considerations. The proposed fractal model is discussed in detail for its application,</w:t>
      </w:r>
      <w:r w:rsidR="00F81221">
        <w:rPr>
          <w:kern w:val="0"/>
        </w:rPr>
        <w:t xml:space="preserve"> and </w:t>
      </w:r>
      <w:r w:rsidRPr="00963441">
        <w:rPr>
          <w:kern w:val="0"/>
        </w:rPr>
        <w:t>it predicts quite well with our recent measuring data for dilute suspensions of metallic oxide nanoparticles. (C) 2003 Elsevier Sc</w:t>
      </w:r>
      <w:r>
        <w:rPr>
          <w:kern w:val="0"/>
        </w:rPr>
        <w:t>ience Ltd. All rights reserved.</w:t>
      </w:r>
    </w:p>
    <w:p w:rsidR="00963441" w:rsidRPr="00963441" w:rsidRDefault="00963441" w:rsidP="00963441">
      <w:pPr>
        <w:pStyle w:val="a0"/>
        <w:rPr>
          <w:kern w:val="0"/>
        </w:rPr>
      </w:pPr>
      <w:r w:rsidRPr="00963441">
        <w:rPr>
          <w:kern w:val="0"/>
        </w:rPr>
        <w:t>Keywords: Effective Thermal Conductivity</w:t>
      </w:r>
      <w:r>
        <w:rPr>
          <w:kern w:val="0"/>
        </w:rPr>
        <w:t>,</w:t>
      </w:r>
      <w:r w:rsidRPr="00963441">
        <w:rPr>
          <w:kern w:val="0"/>
        </w:rPr>
        <w:t xml:space="preserve"> Nanoparticles</w:t>
      </w:r>
      <w:r>
        <w:rPr>
          <w:kern w:val="0"/>
        </w:rPr>
        <w:t>,</w:t>
      </w:r>
      <w:r w:rsidRPr="00963441">
        <w:rPr>
          <w:kern w:val="0"/>
        </w:rPr>
        <w:t xml:space="preserve"> Clustering</w:t>
      </w:r>
      <w:r>
        <w:rPr>
          <w:kern w:val="0"/>
        </w:rPr>
        <w:t>,</w:t>
      </w:r>
      <w:r w:rsidRPr="00963441">
        <w:rPr>
          <w:kern w:val="0"/>
        </w:rPr>
        <w:t xml:space="preserve"> Fractal Model</w:t>
      </w:r>
      <w:r>
        <w:rPr>
          <w:kern w:val="0"/>
        </w:rPr>
        <w:t>,</w:t>
      </w:r>
      <w:r w:rsidRPr="00963441">
        <w:rPr>
          <w:kern w:val="0"/>
        </w:rPr>
        <w:t xml:space="preserve"> Surface Adsorption</w:t>
      </w:r>
      <w:r>
        <w:rPr>
          <w:kern w:val="0"/>
        </w:rPr>
        <w:t>,</w:t>
      </w:r>
      <w:r w:rsidRPr="00963441">
        <w:rPr>
          <w:kern w:val="0"/>
        </w:rPr>
        <w:t xml:space="preserve"> Size Effect</w:t>
      </w:r>
      <w:r>
        <w:rPr>
          <w:kern w:val="0"/>
        </w:rPr>
        <w:t>,</w:t>
      </w:r>
      <w:r w:rsidRPr="00963441">
        <w:rPr>
          <w:kern w:val="0"/>
        </w:rPr>
        <w:t xml:space="preserve"> Nonlinear Response</w:t>
      </w:r>
      <w:r>
        <w:rPr>
          <w:kern w:val="0"/>
        </w:rPr>
        <w:t>,</w:t>
      </w:r>
      <w:r w:rsidRPr="00963441">
        <w:rPr>
          <w:kern w:val="0"/>
        </w:rPr>
        <w:t xml:space="preserve"> Dielectric-Constan</w:t>
      </w:r>
      <w:r>
        <w:rPr>
          <w:kern w:val="0"/>
        </w:rPr>
        <w:t>t, Composites, Clusters, Films</w:t>
      </w:r>
    </w:p>
    <w:p w:rsidR="00547FF3" w:rsidRDefault="00547FF3" w:rsidP="00547FF3">
      <w:pPr>
        <w:pStyle w:val="a0"/>
        <w:rPr>
          <w:kern w:val="0"/>
        </w:rPr>
      </w:pPr>
      <w:r>
        <w:rPr>
          <w:rFonts w:hint="eastAsia"/>
          <w:kern w:val="0"/>
        </w:rPr>
        <w:t xml:space="preserve">? </w:t>
      </w:r>
      <w:r>
        <w:rPr>
          <w:kern w:val="0"/>
        </w:rPr>
        <w:t>Yang, T.S., Wu, C.H.</w:t>
      </w:r>
      <w:r w:rsidR="00F81221">
        <w:rPr>
          <w:kern w:val="0"/>
        </w:rPr>
        <w:t xml:space="preserve"> and </w:t>
      </w:r>
      <w:r>
        <w:rPr>
          <w:kern w:val="0"/>
        </w:rPr>
        <w:t xml:space="preserve">Yeh, C.F. (2006), Analysis of moisture purge in high purity gas distribution systems. </w:t>
      </w:r>
      <w:r w:rsidRPr="00547FF3">
        <w:rPr>
          <w:i/>
          <w:iCs/>
          <w:kern w:val="0"/>
        </w:rPr>
        <w:t>International Journal of Heat</w:t>
      </w:r>
      <w:r w:rsidR="00F81221">
        <w:rPr>
          <w:i/>
          <w:iCs/>
          <w:kern w:val="0"/>
        </w:rPr>
        <w:t xml:space="preserve"> and </w:t>
      </w:r>
      <w:r w:rsidRPr="00547FF3">
        <w:rPr>
          <w:i/>
          <w:iCs/>
          <w:kern w:val="0"/>
        </w:rPr>
        <w:t>Mass Transfer</w:t>
      </w:r>
      <w:r>
        <w:rPr>
          <w:kern w:val="0"/>
        </w:rPr>
        <w:t xml:space="preserve">, </w:t>
      </w:r>
      <w:r>
        <w:rPr>
          <w:b/>
          <w:bCs/>
          <w:kern w:val="0"/>
        </w:rPr>
        <w:t>49</w:t>
      </w:r>
      <w:r>
        <w:rPr>
          <w:kern w:val="0"/>
        </w:rPr>
        <w:t xml:space="preserve"> (9-10), 1753-1759.</w:t>
      </w:r>
    </w:p>
    <w:p w:rsidR="00547FF3" w:rsidRDefault="00547FF3" w:rsidP="00547FF3">
      <w:pPr>
        <w:pStyle w:val="a0"/>
        <w:rPr>
          <w:kern w:val="0"/>
        </w:rPr>
      </w:pPr>
      <w:r>
        <w:rPr>
          <w:rFonts w:hint="eastAsia"/>
          <w:kern w:val="0"/>
        </w:rPr>
        <w:t xml:space="preserve">Full Text: </w:t>
      </w:r>
      <w:hyperlink r:id="rId1926" w:history="1">
        <w:r w:rsidRPr="00547FF3">
          <w:rPr>
            <w:rStyle w:val="a5"/>
            <w:kern w:val="0"/>
          </w:rPr>
          <w:t>2006\Int J Hea Mas Tra49, 1753.pdf</w:t>
        </w:r>
      </w:hyperlink>
    </w:p>
    <w:p w:rsidR="00547FF3" w:rsidRDefault="00547FF3" w:rsidP="00547FF3">
      <w:pPr>
        <w:pStyle w:val="a0"/>
        <w:rPr>
          <w:kern w:val="0"/>
        </w:rPr>
      </w:pPr>
      <w:r>
        <w:rPr>
          <w:kern w:val="0"/>
        </w:rPr>
        <w:t xml:space="preserve">Abstract: Moisture can easily adsorb on the inner surface of high purity gas distribution systems for semiconductor manufacturing processes, when the inner surface is exposed to the ambient air during regular or troubleshooting services. Before restarting the equipment, the adsorbed moisture has to be removed, typically by purging the gas distribution system with a high purity gas. An important system design issue therefore is to minimize the required moisture drydown time, so as to </w:t>
      </w:r>
      <w:r>
        <w:rPr>
          <w:kern w:val="0"/>
        </w:rPr>
        <w:lastRenderedPageBreak/>
        <w:t>increase the productivity of the equipment. Here, the moisture purge/drydown process is analyzed using a simple phenomenological model, in which the moisture desorption kinetics is extracted from experimental data for moisture drydown in a single straight pipe. Based on that model, we also propose to minimize the overall moisture drydown time of a gas distribution system by properly allocating the purging gas flowrates in all branches of the system. It is demonstrated by a case study that, without altering the piping network design</w:t>
      </w:r>
      <w:r w:rsidR="00F81221">
        <w:rPr>
          <w:kern w:val="0"/>
        </w:rPr>
        <w:t xml:space="preserve"> and </w:t>
      </w:r>
      <w:r>
        <w:rPr>
          <w:kern w:val="0"/>
        </w:rPr>
        <w:t>total flowrate, our flowrate allocation scheme substantially reduces the overall moisture drydown time of the gas distribution system. (c) 2006 Elsevier Ltd. All rights reserved.</w:t>
      </w:r>
    </w:p>
    <w:p w:rsidR="00547FF3" w:rsidRDefault="00547FF3" w:rsidP="00547FF3">
      <w:pPr>
        <w:pStyle w:val="a0"/>
        <w:rPr>
          <w:kern w:val="0"/>
        </w:rPr>
      </w:pPr>
      <w:r>
        <w:rPr>
          <w:kern w:val="0"/>
        </w:rPr>
        <w:t>Keywords: Desorption, Desorption Kinetics, Drydown, Drydown Time Minimization, Gas Distribution Systems, Kinetics, Moisture Adsorption, Purge</w:t>
      </w:r>
    </w:p>
    <w:p w:rsidR="00906B09" w:rsidRPr="001A3D2B" w:rsidRDefault="00906B09" w:rsidP="00906B09">
      <w:pPr>
        <w:pStyle w:val="1"/>
      </w:pPr>
      <w:r w:rsidRPr="001A3D2B">
        <w:br w:type="page"/>
      </w:r>
      <w:bookmarkStart w:id="1364" w:name="_Toc317161307"/>
      <w:r w:rsidRPr="001A3D2B">
        <w:lastRenderedPageBreak/>
        <w:t xml:space="preserve">Title: </w:t>
      </w:r>
      <w:r w:rsidRPr="0017351F">
        <w:rPr>
          <w:iCs/>
        </w:rPr>
        <w:t>International Journal of High Performance Computing Applications</w:t>
      </w:r>
      <w:bookmarkEnd w:id="1364"/>
    </w:p>
    <w:p w:rsidR="00906B09" w:rsidRPr="001A3D2B" w:rsidRDefault="00906B09" w:rsidP="00906B09">
      <w:pPr>
        <w:pStyle w:val="12"/>
      </w:pPr>
      <w:r w:rsidRPr="001A3D2B">
        <w:t xml:space="preserve">Full Journal Title: </w:t>
      </w:r>
      <w:r w:rsidRPr="0017351F">
        <w:rPr>
          <w:iCs/>
        </w:rPr>
        <w:t>International Journal of High Performance Computing Applications</w:t>
      </w:r>
    </w:p>
    <w:p w:rsidR="00906B09" w:rsidRPr="001A3D2B" w:rsidRDefault="00906B09" w:rsidP="00906B09">
      <w:pPr>
        <w:pStyle w:val="12"/>
      </w:pPr>
      <w:r w:rsidRPr="001A3D2B">
        <w:t xml:space="preserve">ISO Abbreviated Title: </w:t>
      </w:r>
    </w:p>
    <w:p w:rsidR="00906B09" w:rsidRPr="001A3D2B" w:rsidRDefault="00906B09" w:rsidP="00906B09">
      <w:pPr>
        <w:pStyle w:val="12"/>
      </w:pPr>
      <w:r w:rsidRPr="001A3D2B">
        <w:t xml:space="preserve">JCR Abbreviated Title: </w:t>
      </w:r>
    </w:p>
    <w:p w:rsidR="00906B09" w:rsidRPr="001A3D2B" w:rsidRDefault="00906B09" w:rsidP="00906B09">
      <w:pPr>
        <w:pStyle w:val="12"/>
      </w:pPr>
      <w:r w:rsidRPr="001A3D2B">
        <w:t xml:space="preserve">ISSN: </w:t>
      </w:r>
    </w:p>
    <w:p w:rsidR="00906B09" w:rsidRPr="001A3D2B" w:rsidRDefault="00906B09" w:rsidP="00906B09">
      <w:pPr>
        <w:pStyle w:val="12"/>
      </w:pPr>
      <w:r w:rsidRPr="001A3D2B">
        <w:t xml:space="preserve">Issues/Year: </w:t>
      </w:r>
    </w:p>
    <w:p w:rsidR="00906B09" w:rsidRPr="001A3D2B" w:rsidRDefault="00906B09" w:rsidP="00906B09">
      <w:pPr>
        <w:pStyle w:val="12"/>
      </w:pPr>
      <w:r w:rsidRPr="001A3D2B">
        <w:t xml:space="preserve">Journal Country/Territory: </w:t>
      </w:r>
    </w:p>
    <w:p w:rsidR="00906B09" w:rsidRPr="001A3D2B" w:rsidRDefault="00906B09" w:rsidP="00906B09">
      <w:pPr>
        <w:pStyle w:val="12"/>
      </w:pPr>
      <w:r w:rsidRPr="001A3D2B">
        <w:t xml:space="preserve">Language: </w:t>
      </w:r>
    </w:p>
    <w:p w:rsidR="00906B09" w:rsidRPr="001A3D2B" w:rsidRDefault="00906B09" w:rsidP="00906B09">
      <w:pPr>
        <w:pStyle w:val="12"/>
      </w:pPr>
      <w:r w:rsidRPr="001A3D2B">
        <w:t xml:space="preserve">Publisher: </w:t>
      </w:r>
    </w:p>
    <w:p w:rsidR="00906B09" w:rsidRPr="001A3D2B" w:rsidRDefault="00906B09" w:rsidP="00906B09">
      <w:pPr>
        <w:pStyle w:val="12"/>
      </w:pPr>
      <w:r w:rsidRPr="001A3D2B">
        <w:t xml:space="preserve">Publisher Address: </w:t>
      </w:r>
    </w:p>
    <w:p w:rsidR="00906B09" w:rsidRPr="001A3D2B" w:rsidRDefault="00906B09" w:rsidP="00906B09">
      <w:pPr>
        <w:pStyle w:val="12"/>
      </w:pPr>
      <w:r w:rsidRPr="001A3D2B">
        <w:t>Subject Categories:</w:t>
      </w:r>
    </w:p>
    <w:p w:rsidR="00906B09" w:rsidRPr="001A3D2B" w:rsidRDefault="00906B09" w:rsidP="00906B09">
      <w:pPr>
        <w:pStyle w:val="12"/>
      </w:pPr>
      <w:r w:rsidRPr="001A3D2B">
        <w:t>: Impact Factor</w:t>
      </w:r>
    </w:p>
    <w:p w:rsidR="00906B09" w:rsidRDefault="00906B09" w:rsidP="00906B09">
      <w:pPr>
        <w:pStyle w:val="a0"/>
        <w:rPr>
          <w:kern w:val="0"/>
        </w:rPr>
      </w:pPr>
      <w:r>
        <w:rPr>
          <w:rFonts w:hint="eastAsia"/>
          <w:kern w:val="0"/>
        </w:rPr>
        <w:t xml:space="preserve">? </w:t>
      </w:r>
      <w:r>
        <w:rPr>
          <w:kern w:val="0"/>
        </w:rPr>
        <w:t>Kandaswamy, M.A. and Kandemir, M.T. (1998), An experimental study to analyze and optimize Hartree-Fock application</w:t>
      </w:r>
      <w:r w:rsidR="000352E7">
        <w:rPr>
          <w:kern w:val="0"/>
        </w:rPr>
        <w:t>’</w:t>
      </w:r>
      <w:r>
        <w:rPr>
          <w:kern w:val="0"/>
        </w:rPr>
        <w:t xml:space="preserve">s I/O with passion. </w:t>
      </w:r>
      <w:r w:rsidRPr="0017351F">
        <w:rPr>
          <w:i/>
          <w:iCs/>
          <w:kern w:val="0"/>
        </w:rPr>
        <w:t>International Journal of High Performance Computing Applications</w:t>
      </w:r>
      <w:r>
        <w:rPr>
          <w:kern w:val="0"/>
        </w:rPr>
        <w:t xml:space="preserve">, </w:t>
      </w:r>
      <w:r>
        <w:rPr>
          <w:b/>
          <w:bCs/>
          <w:kern w:val="0"/>
        </w:rPr>
        <w:t>12</w:t>
      </w:r>
      <w:r>
        <w:rPr>
          <w:kern w:val="0"/>
        </w:rPr>
        <w:t xml:space="preserve"> (4), 411-439.</w:t>
      </w:r>
    </w:p>
    <w:p w:rsidR="00906B09" w:rsidRDefault="00906B09" w:rsidP="00906B09">
      <w:pPr>
        <w:pStyle w:val="a0"/>
        <w:rPr>
          <w:kern w:val="0"/>
        </w:rPr>
      </w:pPr>
      <w:r>
        <w:rPr>
          <w:kern w:val="0"/>
        </w:rPr>
        <w:t>Full</w:t>
      </w:r>
      <w:r>
        <w:rPr>
          <w:rFonts w:hint="eastAsia"/>
          <w:kern w:val="0"/>
        </w:rPr>
        <w:t xml:space="preserve"> Txet: </w:t>
      </w:r>
      <w:hyperlink r:id="rId1927" w:history="1">
        <w:r w:rsidRPr="0017351F">
          <w:rPr>
            <w:rStyle w:val="a5"/>
            <w:kern w:val="0"/>
          </w:rPr>
          <w:t>1998\Int J Hig Per Com App12, 411. pdf</w:t>
        </w:r>
      </w:hyperlink>
    </w:p>
    <w:p w:rsidR="00906B09" w:rsidRDefault="00906B09" w:rsidP="00906B09">
      <w:pPr>
        <w:pStyle w:val="a0"/>
        <w:rPr>
          <w:kern w:val="0"/>
        </w:rPr>
      </w:pPr>
      <w:r>
        <w:rPr>
          <w:kern w:val="0"/>
        </w:rPr>
        <w:t>Abstract: Many scientific applications tend to perform high-volume data storage, data retrieval, and data processing, all of which demand high performance from the I/O subsystem. The focus and contribution of this work is to study the I/O behavior of the Hartree-Fock (HF) method using PASSION. HF</w:t>
      </w:r>
      <w:r w:rsidR="000352E7">
        <w:rPr>
          <w:kern w:val="0"/>
        </w:rPr>
        <w:t>’</w:t>
      </w:r>
      <w:r>
        <w:rPr>
          <w:kern w:val="0"/>
        </w:rPr>
        <w:t>s I/O phases can contribute up to 62.34% of the total execution time. The authors reduce the execution time and I/O time up to 54% and 6%, respectively, of that of the original case through PASSION and its optimizations. Additionally, the authors categorize the factors that affect the I/O performance of HF into key application-related parameters and key system-related parameters. Based on extensive empirical results and within the experimental space presented in this paper, the authors order the parameters according to the their impact on HF</w:t>
      </w:r>
      <w:r w:rsidR="000352E7">
        <w:rPr>
          <w:kern w:val="0"/>
        </w:rPr>
        <w:t>’</w:t>
      </w:r>
      <w:r>
        <w:rPr>
          <w:kern w:val="0"/>
        </w:rPr>
        <w:t>s I/O performance as follows: efficient interface, prefetching, buffering, number of I/O nodes, striping factor, and striping unit. The authors conclude that application-related factors have a more significant effect on HF</w:t>
      </w:r>
      <w:r w:rsidR="000352E7">
        <w:rPr>
          <w:kern w:val="0"/>
        </w:rPr>
        <w:t>’</w:t>
      </w:r>
      <w:r>
        <w:rPr>
          <w:kern w:val="0"/>
        </w:rPr>
        <w:t>s I/O performance than the system-related factors within the experimental space presented in this paper.</w:t>
      </w:r>
    </w:p>
    <w:p w:rsidR="00906B09" w:rsidRDefault="00906B09" w:rsidP="00906B09">
      <w:pPr>
        <w:pStyle w:val="a0"/>
        <w:rPr>
          <w:kern w:val="0"/>
        </w:rPr>
      </w:pPr>
      <w:r>
        <w:rPr>
          <w:kern w:val="0"/>
        </w:rPr>
        <w:t>Keywords: Authors, Behavior, Contribution, Experimental, Impact</w:t>
      </w:r>
    </w:p>
    <w:p w:rsidR="00B95188" w:rsidRPr="00A428C3" w:rsidRDefault="00B95188" w:rsidP="00B95188">
      <w:pPr>
        <w:pStyle w:val="1"/>
      </w:pPr>
      <w:r w:rsidRPr="00A428C3">
        <w:br w:type="page"/>
      </w:r>
      <w:bookmarkStart w:id="1365" w:name="_Toc186647923"/>
      <w:bookmarkStart w:id="1366" w:name="_Toc317161308"/>
      <w:r w:rsidRPr="00A428C3">
        <w:lastRenderedPageBreak/>
        <w:t xml:space="preserve">Title: </w:t>
      </w:r>
      <w:r w:rsidRPr="00A428C3">
        <w:rPr>
          <w:iCs/>
        </w:rPr>
        <w:t>International Journal of Human-Computer Studies</w:t>
      </w:r>
      <w:bookmarkEnd w:id="1365"/>
      <w:bookmarkEnd w:id="1366"/>
    </w:p>
    <w:p w:rsidR="00B95188" w:rsidRPr="00A428C3" w:rsidRDefault="00B95188" w:rsidP="00B72EF9">
      <w:pPr>
        <w:pStyle w:val="12"/>
      </w:pPr>
      <w:r w:rsidRPr="00A428C3">
        <w:t xml:space="preserve">Full Journal Title: </w:t>
      </w:r>
      <w:hyperlink r:id="rId1928" w:history="1">
        <w:r w:rsidRPr="00A428C3">
          <w:rPr>
            <w:rStyle w:val="a5"/>
            <w:iCs/>
          </w:rPr>
          <w:t>International Journal of Human-Computer Studies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Uren, V., Shum, S.B., Bachler, M.</w:t>
      </w:r>
      <w:r w:rsidR="00F81221">
        <w:t xml:space="preserve"> and </w:t>
      </w:r>
      <w:r w:rsidRPr="00A428C3">
        <w:t>Li, G.M. (2006), Sensemaking tools for understanding research literatures: Design, implementation</w:t>
      </w:r>
      <w:r w:rsidR="00F81221">
        <w:t xml:space="preserve"> and </w:t>
      </w:r>
      <w:r w:rsidRPr="00A428C3">
        <w:t xml:space="preserve">user evaluation. </w:t>
      </w:r>
      <w:r w:rsidRPr="00A428C3">
        <w:rPr>
          <w:i/>
          <w:iCs/>
        </w:rPr>
        <w:t>International Journal of Human-Computer Studies</w:t>
      </w:r>
      <w:r w:rsidRPr="00A428C3">
        <w:t xml:space="preserve">, </w:t>
      </w:r>
      <w:r w:rsidRPr="00A428C3">
        <w:rPr>
          <w:b/>
        </w:rPr>
        <w:t>64</w:t>
      </w:r>
      <w:r w:rsidRPr="00A428C3">
        <w:t xml:space="preserve"> (5), 420-445.</w:t>
      </w:r>
    </w:p>
    <w:p w:rsidR="00B95188" w:rsidRPr="00A428C3" w:rsidRDefault="00B95188" w:rsidP="00B95188">
      <w:pPr>
        <w:pStyle w:val="a0"/>
      </w:pPr>
      <w:r w:rsidRPr="00A428C3">
        <w:t xml:space="preserve">Full Text: </w:t>
      </w:r>
      <w:hyperlink r:id="rId1929" w:history="1">
        <w:r w:rsidRPr="00A428C3">
          <w:rPr>
            <w:rStyle w:val="a5"/>
          </w:rPr>
          <w:t>2006\Int J Hum-Com Stu64, 420.pdf</w:t>
        </w:r>
      </w:hyperlink>
    </w:p>
    <w:p w:rsidR="00B95188" w:rsidRPr="00A428C3" w:rsidRDefault="00B95188" w:rsidP="00B95188">
      <w:pPr>
        <w:pStyle w:val="a0"/>
      </w:pPr>
      <w:r w:rsidRPr="00A428C3">
        <w:t>Abstract: This paper describes the work undertaken in the Scholarly Ontologies Project. The aim of the project has been to develop a computational approach to support scholarly sensemaking, through interpretation</w:t>
      </w:r>
      <w:r w:rsidR="00F81221">
        <w:t xml:space="preserve"> and </w:t>
      </w:r>
      <w:r w:rsidRPr="00A428C3">
        <w:t>argumentation, enabling researchers to make claims: to describe</w:t>
      </w:r>
      <w:r w:rsidR="00F81221">
        <w:t xml:space="preserve"> and </w:t>
      </w:r>
      <w:r w:rsidRPr="00A428C3">
        <w:t>debate their view of a document</w:t>
      </w:r>
      <w:r w:rsidR="000352E7">
        <w:t>’</w:t>
      </w:r>
      <w:r w:rsidRPr="00A428C3">
        <w:t>s key contributions</w:t>
      </w:r>
      <w:r w:rsidR="00F81221">
        <w:t xml:space="preserve"> and </w:t>
      </w:r>
      <w:r w:rsidRPr="00A428C3">
        <w:t>relationships to the literature. The project has investigated the technicalities</w:t>
      </w:r>
      <w:r w:rsidR="00F81221">
        <w:t xml:space="preserve"> and </w:t>
      </w:r>
      <w:r w:rsidRPr="00A428C3">
        <w:t>practicalities of capturing conceptual relations, within</w:t>
      </w:r>
      <w:r w:rsidR="00F81221">
        <w:t xml:space="preserve"> and </w:t>
      </w:r>
      <w:r w:rsidRPr="00A428C3">
        <w:t>between conventional documents in terms of abstract ontological structures. In this way, we have developed a new kind of index to distributed digital library systems. This paper reports a case study undertaken to test the sensemaking tools developed by the Scholarly Ontologies project. The tools used were ClaiMapper, which allows the user to sketch argument maps of individual papers</w:t>
      </w:r>
      <w:r w:rsidR="00F81221">
        <w:t xml:space="preserve"> and </w:t>
      </w:r>
      <w:r w:rsidRPr="00A428C3">
        <w:t>their connections, ClaiMaker, a server on which Such models can be stored</w:t>
      </w:r>
      <w:r w:rsidR="00F81221">
        <w:t xml:space="preserve"> and </w:t>
      </w:r>
      <w:r w:rsidRPr="00A428C3">
        <w:t>saved, which provides interpretative services to assist the querying of argument maps across multiple papers</w:t>
      </w:r>
      <w:r w:rsidR="00F81221">
        <w:t xml:space="preserve"> and </w:t>
      </w:r>
      <w:r w:rsidRPr="00A428C3">
        <w:t>ClaimFinder, a novice interface to the search services in ClaiMaker. (c) 2005 Elsevier Ltd. All rights reserved.</w:t>
      </w:r>
    </w:p>
    <w:p w:rsidR="00B95188" w:rsidRPr="00A428C3" w:rsidRDefault="00B95188" w:rsidP="00B95188">
      <w:pPr>
        <w:pStyle w:val="a0"/>
      </w:pPr>
      <w:r w:rsidRPr="00A428C3">
        <w:t>Keywords: Bibliometrics, Evaluation, Modelling Interfaces, Research, Search Interfaces, User Studies, Web</w:t>
      </w:r>
    </w:p>
    <w:p w:rsidR="00B95188" w:rsidRPr="00A428C3" w:rsidRDefault="00B95188" w:rsidP="00B95188">
      <w:pPr>
        <w:pStyle w:val="a0"/>
      </w:pPr>
      <w:r w:rsidRPr="00A428C3">
        <w:t>? Reid, E.F.</w:t>
      </w:r>
      <w:r w:rsidR="00F81221">
        <w:t xml:space="preserve"> and </w:t>
      </w:r>
      <w:r w:rsidRPr="00A428C3">
        <w:t xml:space="preserve">Chen, H.C. (2007), Mapping the contemporary terrorism research domain. </w:t>
      </w:r>
      <w:r w:rsidRPr="00A428C3">
        <w:rPr>
          <w:i/>
          <w:iCs/>
        </w:rPr>
        <w:t>International Journal of Human-Computer Studies</w:t>
      </w:r>
      <w:r w:rsidRPr="00A428C3">
        <w:t xml:space="preserve">, </w:t>
      </w:r>
      <w:r w:rsidRPr="00A428C3">
        <w:rPr>
          <w:b/>
        </w:rPr>
        <w:t>65</w:t>
      </w:r>
      <w:r w:rsidRPr="00A428C3">
        <w:t xml:space="preserve"> (1), </w:t>
      </w:r>
      <w:r w:rsidRPr="00A428C3">
        <w:rPr>
          <w:iCs/>
        </w:rPr>
        <w:t>42-56</w:t>
      </w:r>
      <w:r w:rsidRPr="00A428C3">
        <w:t>.</w:t>
      </w:r>
    </w:p>
    <w:p w:rsidR="00B95188" w:rsidRPr="00A428C3" w:rsidRDefault="00B95188" w:rsidP="00B95188">
      <w:pPr>
        <w:pStyle w:val="a0"/>
      </w:pPr>
      <w:r w:rsidRPr="00A428C3">
        <w:t xml:space="preserve">Full Text: </w:t>
      </w:r>
      <w:hyperlink r:id="rId1930" w:history="1">
        <w:r w:rsidRPr="00A428C3">
          <w:rPr>
            <w:rStyle w:val="a5"/>
          </w:rPr>
          <w:t>2007\Int J Hum-Com Stu65, 42.pdf</w:t>
        </w:r>
      </w:hyperlink>
    </w:p>
    <w:p w:rsidR="00B95188" w:rsidRPr="00A428C3" w:rsidRDefault="00B95188" w:rsidP="00B95188">
      <w:pPr>
        <w:pStyle w:val="a0"/>
      </w:pPr>
      <w:r w:rsidRPr="00A428C3">
        <w:t xml:space="preserve">Abstract: A systematic view of terrorism research to reveal the intellectual structure of </w:t>
      </w:r>
      <w:r w:rsidRPr="00A428C3">
        <w:lastRenderedPageBreak/>
        <w:t>the field</w:t>
      </w:r>
      <w:r w:rsidR="00F81221">
        <w:t xml:space="preserve"> and </w:t>
      </w:r>
      <w:r w:rsidRPr="00A428C3">
        <w:t>empirically discern the distinct set of core researchers, institutional affiliations, publications,</w:t>
      </w:r>
      <w:r w:rsidR="00F81221">
        <w:t xml:space="preserve"> and </w:t>
      </w:r>
      <w:r w:rsidRPr="00A428C3">
        <w:t>conceptual areas can help us gain a deeper understanding of approaches to terrorism. This paper responds to this need by using an integrated knowledge-mapping framework that we developed to identify the core researchers</w:t>
      </w:r>
      <w:r w:rsidR="00F81221">
        <w:t xml:space="preserve"> and </w:t>
      </w:r>
      <w:r w:rsidRPr="00A428C3">
        <w:t>knowledge creation approaches in terrorism. The framework uses three types of analysis: (a) basic analysis of scientific output using citation, bibliometric,</w:t>
      </w:r>
      <w:r w:rsidR="00F81221">
        <w:t xml:space="preserve"> and </w:t>
      </w:r>
      <w:r w:rsidRPr="00A428C3">
        <w:t>social network analyses, (b) content map analysis of large corpora of literature,</w:t>
      </w:r>
      <w:r w:rsidR="00F81221">
        <w:t xml:space="preserve"> and </w:t>
      </w:r>
      <w:r w:rsidRPr="00A428C3">
        <w:t>(c) co-citation analysis to analyse linkages among pairs of researchers. We applied domain visualization techniques such as content map analysis, block-modeling,</w:t>
      </w:r>
      <w:r w:rsidR="00F81221">
        <w:t xml:space="preserve"> and </w:t>
      </w:r>
      <w:r w:rsidRPr="00A428C3">
        <w:t>co-citation analysis to the literature</w:t>
      </w:r>
      <w:r w:rsidR="00F81221">
        <w:t xml:space="preserve"> and </w:t>
      </w:r>
      <w:r w:rsidRPr="00A428C3">
        <w:t>author citation data from the years 1965 to 2003. The data were gathered from ten databases such as the ISI Web of Science. The results reveal: (1) the names of the top 42 core terrorism researchers (e.g., Brian Jenkins, Bruce Hoffman,</w:t>
      </w:r>
      <w:r w:rsidR="00F81221">
        <w:t xml:space="preserve"> and </w:t>
      </w:r>
      <w:r w:rsidRPr="00A428C3">
        <w:t>Paul Wilkinson) as well as their institutional affiliations; (2) their influential publications; (3) clusters of terrorism researchers who work in similar areas;</w:t>
      </w:r>
      <w:r w:rsidR="00F81221">
        <w:t xml:space="preserve"> and </w:t>
      </w:r>
      <w:r w:rsidRPr="00A428C3">
        <w:t>(4) that the research focus has shifted from terrorism as a low-intensity conflict to a strategic threat to world powers with increased focus on Osama Bin Laden.</w:t>
      </w:r>
    </w:p>
    <w:p w:rsidR="00B95188" w:rsidRPr="00A428C3" w:rsidRDefault="00B95188" w:rsidP="00B95188">
      <w:pPr>
        <w:pStyle w:val="a0"/>
      </w:pPr>
      <w:r w:rsidRPr="00A428C3">
        <w:t>Keywords: Analysis, Author Cocitation Analysis, Bibliometric, Bibliometrics, Citation, Clusters, Co-Citation, Co-Citation Analysis, Cocitation, Core, Creation, Databases, Domain Visualization, Intellectual Structure, ISI, Knowledge, Output, Paper, Publications, Research, Scientific Output, Social, Social Network, Structure, Techniques, Terrorism, Visualization, Web of Science</w:t>
      </w:r>
    </w:p>
    <w:p w:rsidR="00310284" w:rsidRDefault="00310284" w:rsidP="00310284">
      <w:pPr>
        <w:pStyle w:val="a0"/>
        <w:rPr>
          <w:kern w:val="0"/>
        </w:rPr>
      </w:pPr>
      <w:r>
        <w:rPr>
          <w:rFonts w:hint="eastAsia"/>
          <w:kern w:val="0"/>
        </w:rPr>
        <w:t xml:space="preserve">? </w:t>
      </w:r>
      <w:r>
        <w:rPr>
          <w:kern w:val="0"/>
        </w:rPr>
        <w:t xml:space="preserve">Hornbaek, K. (2009), </w:t>
      </w:r>
      <w:r w:rsidR="000352E7">
        <w:rPr>
          <w:kern w:val="0"/>
        </w:rPr>
        <w:t>“</w:t>
      </w:r>
      <w:r>
        <w:rPr>
          <w:kern w:val="0"/>
        </w:rPr>
        <w:t>Most cited paper award</w:t>
      </w:r>
      <w:r w:rsidR="000352E7">
        <w:rPr>
          <w:kern w:val="0"/>
        </w:rPr>
        <w:t>”</w:t>
      </w:r>
      <w:r>
        <w:rPr>
          <w:kern w:val="0"/>
        </w:rPr>
        <w:t xml:space="preserve"> for the </w:t>
      </w:r>
      <w:r w:rsidRPr="00CF2A70">
        <w:rPr>
          <w:i/>
          <w:kern w:val="0"/>
        </w:rPr>
        <w:t>International Journal of Human</w:t>
      </w:r>
      <w:r>
        <w:rPr>
          <w:rFonts w:hint="eastAsia"/>
          <w:i/>
          <w:kern w:val="0"/>
        </w:rPr>
        <w:t>-</w:t>
      </w:r>
      <w:r w:rsidRPr="00CF2A70">
        <w:rPr>
          <w:i/>
          <w:kern w:val="0"/>
        </w:rPr>
        <w:t>Computer Studies</w:t>
      </w:r>
      <w:r>
        <w:rPr>
          <w:kern w:val="0"/>
        </w:rPr>
        <w:t xml:space="preserve"> Kasper Hornbaek. </w:t>
      </w:r>
      <w:r>
        <w:rPr>
          <w:i/>
          <w:iCs/>
          <w:kern w:val="0"/>
        </w:rPr>
        <w:t>International Journal of Human-Computer Studies</w:t>
      </w:r>
      <w:r>
        <w:rPr>
          <w:kern w:val="0"/>
        </w:rPr>
        <w:t xml:space="preserve">, </w:t>
      </w:r>
      <w:r>
        <w:rPr>
          <w:b/>
          <w:bCs/>
          <w:kern w:val="0"/>
        </w:rPr>
        <w:t>67</w:t>
      </w:r>
      <w:r>
        <w:rPr>
          <w:kern w:val="0"/>
        </w:rPr>
        <w:t xml:space="preserve"> (6), 483</w:t>
      </w:r>
      <w:r>
        <w:rPr>
          <w:rFonts w:hint="eastAsia"/>
          <w:kern w:val="0"/>
        </w:rPr>
        <w:t>.</w:t>
      </w:r>
    </w:p>
    <w:p w:rsidR="00310284" w:rsidRPr="001A3D2B" w:rsidRDefault="00310284" w:rsidP="00310284">
      <w:pPr>
        <w:pStyle w:val="a0"/>
      </w:pPr>
      <w:r w:rsidRPr="001A3D2B">
        <w:t>Full Text</w:t>
      </w:r>
      <w:bookmarkStart w:id="1367" w:name="_Toc246165331"/>
      <w:r w:rsidRPr="001A3D2B">
        <w:t xml:space="preserve">: </w:t>
      </w:r>
      <w:bookmarkEnd w:id="1367"/>
      <w:r w:rsidR="0058734C">
        <w:fldChar w:fldCharType="begin"/>
      </w:r>
      <w:r>
        <w:instrText xml:space="preserve"> HYPERLINK "2009/Int%20J%20Hum-Com%20Stu67,%20483.pdf" </w:instrText>
      </w:r>
      <w:r w:rsidR="0058734C">
        <w:fldChar w:fldCharType="separate"/>
      </w:r>
      <w:r w:rsidRPr="00310284">
        <w:rPr>
          <w:rStyle w:val="a5"/>
        </w:rPr>
        <w:t>2009\Int J Hum-Com Stu67, 483.pdf</w:t>
      </w:r>
      <w:r w:rsidR="0058734C">
        <w:fldChar w:fldCharType="end"/>
      </w:r>
    </w:p>
    <w:p w:rsidR="00310284" w:rsidRDefault="00310284" w:rsidP="00310284">
      <w:pPr>
        <w:pStyle w:val="a0"/>
        <w:rPr>
          <w:kern w:val="0"/>
        </w:rPr>
      </w:pPr>
      <w:r>
        <w:rPr>
          <w:kern w:val="0"/>
        </w:rPr>
        <w:t>Keywords: International</w:t>
      </w:r>
      <w:r>
        <w:rPr>
          <w:rFonts w:hint="eastAsia"/>
          <w:kern w:val="0"/>
        </w:rPr>
        <w:t xml:space="preserve">, </w:t>
      </w:r>
      <w:r>
        <w:rPr>
          <w:kern w:val="0"/>
        </w:rPr>
        <w:t>Journal</w:t>
      </w:r>
    </w:p>
    <w:p w:rsidR="00B0764A" w:rsidRDefault="00B0764A" w:rsidP="00B0764A">
      <w:pPr>
        <w:pStyle w:val="a0"/>
        <w:rPr>
          <w:kern w:val="0"/>
        </w:rPr>
      </w:pPr>
      <w:r>
        <w:rPr>
          <w:rFonts w:hint="eastAsia"/>
          <w:kern w:val="0"/>
        </w:rPr>
        <w:t xml:space="preserve">? </w:t>
      </w:r>
      <w:r>
        <w:rPr>
          <w:kern w:val="0"/>
        </w:rPr>
        <w:t xml:space="preserve">(2010), </w:t>
      </w:r>
      <w:r w:rsidR="000352E7">
        <w:rPr>
          <w:kern w:val="0"/>
        </w:rPr>
        <w:t>“</w:t>
      </w:r>
      <w:r>
        <w:rPr>
          <w:kern w:val="0"/>
        </w:rPr>
        <w:t>Most cited paper award</w:t>
      </w:r>
      <w:r w:rsidR="000352E7">
        <w:rPr>
          <w:kern w:val="0"/>
        </w:rPr>
        <w:t>”</w:t>
      </w:r>
      <w:r>
        <w:rPr>
          <w:kern w:val="0"/>
        </w:rPr>
        <w:t xml:space="preserve"> for the </w:t>
      </w:r>
      <w:r w:rsidR="00310284" w:rsidRPr="00310284">
        <w:rPr>
          <w:i/>
          <w:kern w:val="0"/>
        </w:rPr>
        <w:t xml:space="preserve">International Journal </w:t>
      </w:r>
      <w:r w:rsidRPr="00310284">
        <w:rPr>
          <w:i/>
          <w:kern w:val="0"/>
        </w:rPr>
        <w:t xml:space="preserve">of </w:t>
      </w:r>
      <w:r w:rsidR="00310284" w:rsidRPr="00310284">
        <w:rPr>
          <w:i/>
          <w:kern w:val="0"/>
        </w:rPr>
        <w:t>Human-Computer Studie</w:t>
      </w:r>
      <w:r w:rsidRPr="00310284">
        <w:rPr>
          <w:i/>
          <w:kern w:val="0"/>
        </w:rPr>
        <w:t>s</w:t>
      </w:r>
      <w:r>
        <w:rPr>
          <w:kern w:val="0"/>
        </w:rPr>
        <w:t xml:space="preserve">. </w:t>
      </w:r>
      <w:r>
        <w:rPr>
          <w:i/>
          <w:iCs/>
          <w:kern w:val="0"/>
        </w:rPr>
        <w:t>International Journal of Human-Computer Studies</w:t>
      </w:r>
      <w:r>
        <w:rPr>
          <w:kern w:val="0"/>
        </w:rPr>
        <w:t xml:space="preserve">, </w:t>
      </w:r>
      <w:r>
        <w:rPr>
          <w:b/>
          <w:bCs/>
          <w:kern w:val="0"/>
        </w:rPr>
        <w:t>68</w:t>
      </w:r>
      <w:r>
        <w:rPr>
          <w:kern w:val="0"/>
        </w:rPr>
        <w:t xml:space="preserve"> (4), 183-184</w:t>
      </w:r>
      <w:r w:rsidR="00310284">
        <w:rPr>
          <w:rFonts w:hint="eastAsia"/>
          <w:kern w:val="0"/>
        </w:rPr>
        <w:t>.</w:t>
      </w:r>
    </w:p>
    <w:p w:rsidR="00B0764A" w:rsidRPr="001A3D2B" w:rsidRDefault="00B0764A" w:rsidP="00B0764A">
      <w:pPr>
        <w:pStyle w:val="a0"/>
      </w:pPr>
      <w:r w:rsidRPr="001A3D2B">
        <w:t xml:space="preserve">Full Text: </w:t>
      </w:r>
      <w:hyperlink r:id="rId1931" w:history="1">
        <w:r w:rsidRPr="00661198">
          <w:rPr>
            <w:rStyle w:val="a5"/>
          </w:rPr>
          <w:t>2010\Int J Hum-Com Stu68, 183.pdf</w:t>
        </w:r>
      </w:hyperlink>
    </w:p>
    <w:p w:rsidR="00B95188" w:rsidRPr="00A428C3" w:rsidRDefault="00B95188" w:rsidP="00B95188">
      <w:pPr>
        <w:pStyle w:val="1"/>
      </w:pPr>
      <w:r w:rsidRPr="00A428C3">
        <w:br w:type="page"/>
      </w:r>
      <w:bookmarkStart w:id="1368" w:name="_Toc186647924"/>
      <w:bookmarkStart w:id="1369" w:name="_Toc317161309"/>
      <w:r w:rsidRPr="00A428C3">
        <w:lastRenderedPageBreak/>
        <w:t>Title: International Journal of Hydrogen Energy</w:t>
      </w:r>
      <w:bookmarkEnd w:id="1368"/>
      <w:bookmarkEnd w:id="1369"/>
    </w:p>
    <w:p w:rsidR="00B95188" w:rsidRPr="00A428C3" w:rsidRDefault="00B95188" w:rsidP="00B72EF9">
      <w:pPr>
        <w:pStyle w:val="12"/>
      </w:pPr>
      <w:r w:rsidRPr="00A428C3">
        <w:t xml:space="preserve">Full Journal Title: </w:t>
      </w:r>
      <w:hyperlink r:id="rId1932" w:history="1">
        <w:r w:rsidRPr="00A428C3">
          <w:rPr>
            <w:rStyle w:val="a5"/>
          </w:rPr>
          <w:t>International Journal of Hydrogen Energy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Goltsova, L.F., Garkusheva, V.A., Alimova, R.F.</w:t>
      </w:r>
      <w:r w:rsidR="00F81221">
        <w:t xml:space="preserve"> and </w:t>
      </w:r>
      <w:r w:rsidRPr="00A428C3">
        <w:t xml:space="preserve">Goltsov, V.A. (1990), Scientometric studies of the problem of </w:t>
      </w:r>
      <w:r w:rsidR="000352E7">
        <w:t>“</w:t>
      </w:r>
      <w:r w:rsidRPr="00A428C3">
        <w:t>hydrogen energy</w:t>
      </w:r>
      <w:r w:rsidR="00F81221">
        <w:t xml:space="preserve"> and </w:t>
      </w:r>
      <w:r w:rsidRPr="00A428C3">
        <w:t>technology</w:t>
      </w:r>
      <w:r w:rsidR="000352E7">
        <w:t>”</w:t>
      </w:r>
      <w:r w:rsidRPr="00A428C3">
        <w:t xml:space="preserve"> in the world. </w:t>
      </w:r>
      <w:r w:rsidRPr="00A428C3">
        <w:rPr>
          <w:i/>
        </w:rPr>
        <w:t>International Journal of Hydrogen Energy</w:t>
      </w:r>
      <w:r w:rsidRPr="00A428C3">
        <w:t xml:space="preserve">, </w:t>
      </w:r>
      <w:r w:rsidRPr="00A428C3">
        <w:rPr>
          <w:b/>
        </w:rPr>
        <w:t>15</w:t>
      </w:r>
      <w:r w:rsidRPr="00A428C3">
        <w:t xml:space="preserve"> (9), 655-661.</w:t>
      </w:r>
    </w:p>
    <w:p w:rsidR="00B95188" w:rsidRPr="00A428C3" w:rsidRDefault="00B95188" w:rsidP="00B95188">
      <w:pPr>
        <w:pStyle w:val="a0"/>
      </w:pPr>
      <w:r w:rsidRPr="00A428C3">
        <w:t xml:space="preserve">Full Text: </w:t>
      </w:r>
      <w:hyperlink r:id="rId1933" w:history="1">
        <w:r w:rsidRPr="00A428C3">
          <w:rPr>
            <w:rStyle w:val="a5"/>
          </w:rPr>
          <w:t>1990\Int J Hyd Ene15, 655.pdf</w:t>
        </w:r>
      </w:hyperlink>
    </w:p>
    <w:p w:rsidR="00B95188" w:rsidRPr="00A428C3" w:rsidRDefault="00B95188" w:rsidP="00B95188">
      <w:pPr>
        <w:pStyle w:val="a0"/>
      </w:pPr>
      <w:r w:rsidRPr="00A428C3">
        <w:t>Abstract: Scientific information structure</w:t>
      </w:r>
      <w:r w:rsidR="00F81221">
        <w:t xml:space="preserve"> and </w:t>
      </w:r>
      <w:r w:rsidRPr="00A428C3">
        <w:t xml:space="preserve">the subject classification of the problem </w:t>
      </w:r>
      <w:r w:rsidR="000352E7">
        <w:t>“</w:t>
      </w:r>
      <w:r w:rsidRPr="00A428C3">
        <w:t>hydrogen energy</w:t>
      </w:r>
      <w:r w:rsidR="00F81221">
        <w:t xml:space="preserve"> and </w:t>
      </w:r>
      <w:r w:rsidRPr="00A428C3">
        <w:t>technology</w:t>
      </w:r>
      <w:r w:rsidR="000352E7">
        <w:t>”</w:t>
      </w:r>
      <w:r w:rsidRPr="00A428C3">
        <w:t xml:space="preserve"> have been worked out. An investigation on hydrogen energy</w:t>
      </w:r>
      <w:r w:rsidR="00F81221">
        <w:t xml:space="preserve"> and </w:t>
      </w:r>
      <w:r w:rsidRPr="00A428C3">
        <w:t>technology is carried out in 39 countries of the world</w:t>
      </w:r>
      <w:r w:rsidR="00F81221">
        <w:t xml:space="preserve"> and </w:t>
      </w:r>
      <w:r w:rsidRPr="00A428C3">
        <w:t>papers are published in 21 languages. The growth in the number of publications on hydrogen energy</w:t>
      </w:r>
      <w:r w:rsidR="00F81221">
        <w:t xml:space="preserve"> and </w:t>
      </w:r>
      <w:r w:rsidRPr="00A428C3">
        <w:t>technology for 1977–1987 has been analysed</w:t>
      </w:r>
      <w:r w:rsidR="00F81221">
        <w:t xml:space="preserve"> and </w:t>
      </w:r>
      <w:r w:rsidRPr="00A428C3">
        <w:t>the core</w:t>
      </w:r>
      <w:r w:rsidR="00F81221">
        <w:t xml:space="preserve"> and </w:t>
      </w:r>
      <w:r w:rsidRPr="00A428C3">
        <w:t>zones of publications distribution have been assessed. There is shown a necessity to take into account publications of the 2nd</w:t>
      </w:r>
      <w:r w:rsidR="00F81221">
        <w:t xml:space="preserve"> and </w:t>
      </w:r>
      <w:r w:rsidRPr="00A428C3">
        <w:t>3rd zones concentrating more than 50% of the total publications.</w:t>
      </w:r>
    </w:p>
    <w:p w:rsidR="00B115DB" w:rsidRDefault="00B115DB" w:rsidP="00B115DB">
      <w:pPr>
        <w:pStyle w:val="a0"/>
      </w:pPr>
      <w:r>
        <w:rPr>
          <w:rFonts w:hint="eastAsia"/>
        </w:rPr>
        <w:t>Notes: highly cited</w:t>
      </w:r>
    </w:p>
    <w:p w:rsidR="00B115DB" w:rsidRPr="00A428C3" w:rsidRDefault="00B115DB" w:rsidP="00B115DB">
      <w:pPr>
        <w:pStyle w:val="a0"/>
      </w:pPr>
      <w:r w:rsidRPr="00A428C3">
        <w:t xml:space="preserve">? </w:t>
      </w:r>
      <w:r>
        <w:t>Das, D</w:t>
      </w:r>
      <w:r>
        <w:rPr>
          <w:rFonts w:hint="eastAsia"/>
        </w:rPr>
        <w:t>. and</w:t>
      </w:r>
      <w:r>
        <w:t xml:space="preserve"> Veziroğlu, T</w:t>
      </w:r>
      <w:r>
        <w:rPr>
          <w:rFonts w:hint="eastAsia"/>
        </w:rPr>
        <w:t>.</w:t>
      </w:r>
      <w:r>
        <w:t>N</w:t>
      </w:r>
      <w:r>
        <w:rPr>
          <w:rFonts w:hint="eastAsia"/>
        </w:rPr>
        <w:t>.</w:t>
      </w:r>
      <w:r w:rsidRPr="00A428C3">
        <w:t xml:space="preserve"> (</w:t>
      </w:r>
      <w:r>
        <w:rPr>
          <w:rFonts w:hint="eastAsia"/>
        </w:rPr>
        <w:t>2001</w:t>
      </w:r>
      <w:r w:rsidRPr="00A428C3">
        <w:t xml:space="preserve">), </w:t>
      </w:r>
      <w:r>
        <w:t>Hydrogen production by biological processes: A survey of literature</w:t>
      </w:r>
      <w:r w:rsidRPr="00A428C3">
        <w:t xml:space="preserve">. </w:t>
      </w:r>
      <w:r w:rsidRPr="00A428C3">
        <w:rPr>
          <w:i/>
        </w:rPr>
        <w:t>International Journal of Hydrogen Energy</w:t>
      </w:r>
      <w:r w:rsidRPr="00A428C3">
        <w:t xml:space="preserve">, </w:t>
      </w:r>
      <w:r>
        <w:rPr>
          <w:rFonts w:hint="eastAsia"/>
          <w:b/>
        </w:rPr>
        <w:t>26</w:t>
      </w:r>
      <w:r w:rsidRPr="00A428C3">
        <w:t xml:space="preserve"> (</w:t>
      </w:r>
      <w:r>
        <w:rPr>
          <w:rFonts w:hint="eastAsia"/>
        </w:rPr>
        <w:t>1</w:t>
      </w:r>
      <w:r w:rsidRPr="00A428C3">
        <w:t xml:space="preserve">), </w:t>
      </w:r>
      <w:r>
        <w:t>13-28</w:t>
      </w:r>
      <w:r w:rsidRPr="00A428C3">
        <w:t>.</w:t>
      </w:r>
    </w:p>
    <w:p w:rsidR="00B115DB" w:rsidRDefault="00B115DB" w:rsidP="00B115DB">
      <w:pPr>
        <w:pStyle w:val="a0"/>
      </w:pPr>
      <w:r w:rsidRPr="00A428C3">
        <w:t xml:space="preserve">Full Text: </w:t>
      </w:r>
      <w:hyperlink r:id="rId1934" w:history="1">
        <w:r w:rsidRPr="00B115DB">
          <w:rPr>
            <w:rStyle w:val="a5"/>
          </w:rPr>
          <w:t>2001\Int J Hyd Ene26, 13.pdf</w:t>
        </w:r>
      </w:hyperlink>
    </w:p>
    <w:p w:rsidR="00B115DB" w:rsidRDefault="00B115DB" w:rsidP="00B115DB">
      <w:pPr>
        <w:pStyle w:val="a0"/>
      </w:pPr>
      <w:r>
        <w:t xml:space="preserve">Abstract: Hydrogen is the fuel of the future mainly due to its high conversion efficiency, recyclability and nonpolluting nature. Biological hydrogen production processes are found to be more environment friendly and less energy intensive as compared to thermochemical and electrochemical processes. They are mostly controlled by either photosynthetic or fermentative organisms. Till today, more emphasis has been given on the former processes. Nitrogenase and hydrogenase play very important role. Genetic manipulation of cyanobacteria (hydrogenase negative gene) improves the hydrogen generation. The paper presents a survey of biological hydrogen production processes. The microorganisms and biochemical pathways involved in hydrogen </w:t>
      </w:r>
      <w:r>
        <w:lastRenderedPageBreak/>
        <w:t>generation processes are presented in some detail. Several developmental works are discussed. Immobilized system is found suitable for the continuous hydrogen production. About 28% of energy can be recovered in the form of hydrogen using sucrose as substrate. Fermentative hydrogen production processes have some edge over the other biological processes. (C) 2000 International Association for Hydrogen Energy. Published by Elsevier Science Ltd. All rights reserved.</w:t>
      </w:r>
    </w:p>
    <w:p w:rsidR="00B115DB" w:rsidRDefault="00B115DB" w:rsidP="00B115DB">
      <w:pPr>
        <w:pStyle w:val="a0"/>
      </w:pPr>
      <w:r>
        <w:t>Keywords: Hydrogen, Photosynthesis, Fermentative, Hybrid Bioreactions, Blue-Green-Algae, Rhodobacter-Sphaeroides Ou-001, Photosynthetic Bacterium, Enterobacter-Aerogenes, Waste-Water, Rhodopseudomonas-Capsulata, Phormidium-Valderianum, Halobacterium-Halobium, Anabaena-Cylindrica, Nitrogen-Fixation</w:t>
      </w:r>
    </w:p>
    <w:p w:rsidR="00B115DB" w:rsidRPr="00A428C3" w:rsidRDefault="00B115DB" w:rsidP="00B115DB">
      <w:pPr>
        <w:pStyle w:val="a0"/>
      </w:pPr>
      <w:r w:rsidRPr="00A428C3">
        <w:t xml:space="preserve">? </w:t>
      </w:r>
      <w:r>
        <w:t xml:space="preserve">Celiktas, </w:t>
      </w:r>
      <w:r>
        <w:rPr>
          <w:rFonts w:hint="eastAsia"/>
        </w:rPr>
        <w:t xml:space="preserve">M.S. and </w:t>
      </w:r>
      <w:r>
        <w:t>Kocar</w:t>
      </w:r>
      <w:r>
        <w:rPr>
          <w:rFonts w:hint="eastAsia"/>
        </w:rPr>
        <w:t>, G.</w:t>
      </w:r>
      <w:r w:rsidRPr="00A428C3">
        <w:t xml:space="preserve"> (</w:t>
      </w:r>
      <w:r>
        <w:rPr>
          <w:rFonts w:hint="eastAsia"/>
        </w:rPr>
        <w:t>2010</w:t>
      </w:r>
      <w:r w:rsidRPr="00A428C3">
        <w:t xml:space="preserve">), </w:t>
      </w:r>
      <w:r>
        <w:t>Hydrogen is not an utopia for Turkey</w:t>
      </w:r>
      <w:r w:rsidRPr="00A428C3">
        <w:t xml:space="preserve">. </w:t>
      </w:r>
      <w:r w:rsidRPr="00A428C3">
        <w:rPr>
          <w:i/>
        </w:rPr>
        <w:t>International Journal of Hydrogen Energy</w:t>
      </w:r>
      <w:r w:rsidRPr="00A428C3">
        <w:t xml:space="preserve">, </w:t>
      </w:r>
      <w:r>
        <w:rPr>
          <w:rFonts w:hint="eastAsia"/>
          <w:b/>
        </w:rPr>
        <w:t>3</w:t>
      </w:r>
      <w:r w:rsidRPr="00A428C3">
        <w:rPr>
          <w:b/>
        </w:rPr>
        <w:t>5</w:t>
      </w:r>
      <w:r w:rsidRPr="00A428C3">
        <w:t xml:space="preserve"> (</w:t>
      </w:r>
      <w:r>
        <w:rPr>
          <w:rFonts w:hint="eastAsia"/>
        </w:rPr>
        <w:t>1</w:t>
      </w:r>
      <w:r w:rsidRPr="00A428C3">
        <w:t xml:space="preserve">), </w:t>
      </w:r>
      <w:r>
        <w:t>9-18</w:t>
      </w:r>
      <w:r w:rsidRPr="00A428C3">
        <w:t>.</w:t>
      </w:r>
    </w:p>
    <w:p w:rsidR="00B115DB" w:rsidRDefault="00B115DB" w:rsidP="00B115DB">
      <w:pPr>
        <w:pStyle w:val="a0"/>
      </w:pPr>
      <w:r w:rsidRPr="00A428C3">
        <w:t xml:space="preserve">Full Text: </w:t>
      </w:r>
      <w:hyperlink r:id="rId1935" w:history="1">
        <w:r w:rsidRPr="00ED534E">
          <w:rPr>
            <w:rStyle w:val="a5"/>
          </w:rPr>
          <w:t>2010\Int J Hyd Ene35, 9.pdf</w:t>
        </w:r>
      </w:hyperlink>
    </w:p>
    <w:p w:rsidR="00ED534E" w:rsidRDefault="00ED534E" w:rsidP="00ED534E">
      <w:pPr>
        <w:pStyle w:val="a0"/>
      </w:pPr>
      <w:r>
        <w:t>Abstract</w:t>
      </w:r>
      <w:r>
        <w:rPr>
          <w:rFonts w:hint="eastAsia"/>
        </w:rPr>
        <w:t xml:space="preserve">: </w:t>
      </w:r>
      <w:r>
        <w:t>The aim of this study was to explore how the future of technological developments in hydrogen will be shaped in Turkey by using a two-round Delphi method undertaken to determine</w:t>
      </w:r>
      <w:r w:rsidR="00F81221">
        <w:t xml:space="preserve"> and </w:t>
      </w:r>
      <w:r>
        <w:t>measure the expectations of the sector representatives through online surveys where a total of 60 experts responded from 18 different locations. The article discusses not only the expert sights on hydrogen technologies but also all bibliometrical approaches. The results showed that the hydrogen economy will enhance innovations as well as economic prosperities with the support of appropriate policies. Formulating such policies requires a timely</w:t>
      </w:r>
      <w:r w:rsidR="00F81221">
        <w:t xml:space="preserve"> and </w:t>
      </w:r>
      <w:r>
        <w:t>detailed understanding of the latest R&amp;D trends</w:t>
      </w:r>
      <w:r w:rsidR="00F81221">
        <w:t xml:space="preserve"> and </w:t>
      </w:r>
      <w:r>
        <w:t>developments in science</w:t>
      </w:r>
      <w:r w:rsidR="00F81221">
        <w:t xml:space="preserve"> and </w:t>
      </w:r>
      <w:r>
        <w:t>technology policy in all developed countries,</w:t>
      </w:r>
      <w:r w:rsidR="00F81221">
        <w:t xml:space="preserve"> and </w:t>
      </w:r>
      <w:r>
        <w:t>the comprehensive analysis of these developments to enable accurate predictions of future science</w:t>
      </w:r>
      <w:r w:rsidR="00F81221">
        <w:t xml:space="preserve"> and </w:t>
      </w:r>
      <w:r>
        <w:t>technology trends. Therefore, we hope that this study can shed a light on the future use of hydrogen technologies, especially for policy makers.</w:t>
      </w:r>
    </w:p>
    <w:p w:rsidR="00ED534E" w:rsidRPr="00A428C3" w:rsidRDefault="00ED534E" w:rsidP="00ED534E">
      <w:pPr>
        <w:pStyle w:val="a0"/>
      </w:pPr>
      <w:r>
        <w:t>Keywords: Hydrogen Energy, Delphi, Technology Foresight, Energy, Technology, R&amp;D</w:t>
      </w:r>
    </w:p>
    <w:p w:rsidR="004F6E86" w:rsidRDefault="004F6E86" w:rsidP="004F6E86">
      <w:pPr>
        <w:pStyle w:val="a0"/>
        <w:rPr>
          <w:kern w:val="0"/>
        </w:rPr>
      </w:pPr>
      <w:r>
        <w:rPr>
          <w:rFonts w:hint="eastAsia"/>
          <w:kern w:val="0"/>
        </w:rPr>
        <w:t xml:space="preserve">? </w:t>
      </w:r>
      <w:r>
        <w:rPr>
          <w:kern w:val="0"/>
        </w:rPr>
        <w:t>Chen, Y.H., Chen, C.Y.</w:t>
      </w:r>
      <w:r w:rsidR="00F81221">
        <w:rPr>
          <w:kern w:val="0"/>
        </w:rPr>
        <w:t xml:space="preserve"> and </w:t>
      </w:r>
      <w:r>
        <w:rPr>
          <w:kern w:val="0"/>
        </w:rPr>
        <w:t>Lee, S.C. (2011), Technology forecasting</w:t>
      </w:r>
      <w:r w:rsidR="00F81221">
        <w:rPr>
          <w:kern w:val="0"/>
        </w:rPr>
        <w:t xml:space="preserve"> and </w:t>
      </w:r>
      <w:r>
        <w:rPr>
          <w:kern w:val="0"/>
        </w:rPr>
        <w:t>patent strategy of hydrogen energy</w:t>
      </w:r>
      <w:r w:rsidR="00F81221">
        <w:rPr>
          <w:kern w:val="0"/>
        </w:rPr>
        <w:t xml:space="preserve"> and </w:t>
      </w:r>
      <w:r>
        <w:rPr>
          <w:kern w:val="0"/>
        </w:rPr>
        <w:t xml:space="preserve">fuel cell technologies. </w:t>
      </w:r>
      <w:r>
        <w:rPr>
          <w:i/>
          <w:iCs/>
          <w:kern w:val="0"/>
        </w:rPr>
        <w:t>International Journal of Hydrogen Energy</w:t>
      </w:r>
      <w:r>
        <w:rPr>
          <w:kern w:val="0"/>
        </w:rPr>
        <w:t xml:space="preserve">, </w:t>
      </w:r>
      <w:r>
        <w:rPr>
          <w:b/>
          <w:bCs/>
          <w:kern w:val="0"/>
        </w:rPr>
        <w:t>36</w:t>
      </w:r>
      <w:r>
        <w:rPr>
          <w:kern w:val="0"/>
        </w:rPr>
        <w:t xml:space="preserve"> (12), 6957-6969.</w:t>
      </w:r>
    </w:p>
    <w:p w:rsidR="004F6E86" w:rsidRPr="001A3D2B" w:rsidRDefault="004F6E86" w:rsidP="004F6E86">
      <w:pPr>
        <w:pStyle w:val="a0"/>
      </w:pPr>
      <w:r w:rsidRPr="001A3D2B">
        <w:t xml:space="preserve">Full Text: </w:t>
      </w:r>
      <w:hyperlink r:id="rId1936" w:history="1">
        <w:r w:rsidRPr="000D405D">
          <w:rPr>
            <w:rStyle w:val="a5"/>
          </w:rPr>
          <w:t>2011\Int J Hyd Ene36, 6957.pdf</w:t>
        </w:r>
      </w:hyperlink>
    </w:p>
    <w:p w:rsidR="004F6E86" w:rsidRDefault="004F6E86" w:rsidP="004F6E86">
      <w:pPr>
        <w:pStyle w:val="a0"/>
        <w:rPr>
          <w:kern w:val="0"/>
        </w:rPr>
      </w:pPr>
      <w:r>
        <w:rPr>
          <w:kern w:val="0"/>
        </w:rPr>
        <w:t>Abstract: This study presents the technological S-curves that integrates the Bibliometric</w:t>
      </w:r>
      <w:r w:rsidR="00F81221">
        <w:rPr>
          <w:kern w:val="0"/>
        </w:rPr>
        <w:t xml:space="preserve"> and </w:t>
      </w:r>
      <w:r>
        <w:rPr>
          <w:kern w:val="0"/>
        </w:rPr>
        <w:t>patent analysis into the Logistic growth curve model for hydrogen energy</w:t>
      </w:r>
      <w:r w:rsidR="00F81221">
        <w:rPr>
          <w:kern w:val="0"/>
        </w:rPr>
        <w:t xml:space="preserve"> and </w:t>
      </w:r>
      <w:r>
        <w:rPr>
          <w:kern w:val="0"/>
        </w:rPr>
        <w:t>fuel cell technologies</w:t>
      </w:r>
      <w:r w:rsidR="00F81221">
        <w:rPr>
          <w:kern w:val="0"/>
        </w:rPr>
        <w:t xml:space="preserve"> and </w:t>
      </w:r>
      <w:r>
        <w:rPr>
          <w:kern w:val="0"/>
        </w:rPr>
        <w:t>identifies the optimal patent strategy for the fuel cell industry, including PEMFC, SOFC,</w:t>
      </w:r>
      <w:r w:rsidR="00F81221">
        <w:rPr>
          <w:kern w:val="0"/>
        </w:rPr>
        <w:t xml:space="preserve"> and </w:t>
      </w:r>
      <w:r>
        <w:rPr>
          <w:kern w:val="0"/>
        </w:rPr>
        <w:t>DMFC/DAFC. Empirical analysis is via an expert survey</w:t>
      </w:r>
      <w:r w:rsidR="00F81221">
        <w:rPr>
          <w:kern w:val="0"/>
        </w:rPr>
        <w:t xml:space="preserve"> and </w:t>
      </w:r>
      <w:r>
        <w:rPr>
          <w:kern w:val="0"/>
        </w:rPr>
        <w:t>Co-word analysis using the United States Patent</w:t>
      </w:r>
      <w:r w:rsidR="00F81221">
        <w:rPr>
          <w:kern w:val="0"/>
        </w:rPr>
        <w:t xml:space="preserve"> and </w:t>
      </w:r>
      <w:r>
        <w:rPr>
          <w:kern w:val="0"/>
        </w:rPr>
        <w:t xml:space="preserve">Trademark Office database to obtain useful data. Analytical results demonstrate that the </w:t>
      </w:r>
      <w:r>
        <w:rPr>
          <w:kern w:val="0"/>
        </w:rPr>
        <w:lastRenderedPageBreak/>
        <w:t>S-curves is a highly effective means of quantifying how technology forecasting of cumulative publication patent number. Analytical results also indicate that technologies for generating</w:t>
      </w:r>
      <w:r w:rsidR="00F81221">
        <w:rPr>
          <w:kern w:val="0"/>
        </w:rPr>
        <w:t xml:space="preserve"> and </w:t>
      </w:r>
      <w:r>
        <w:rPr>
          <w:kern w:val="0"/>
        </w:rPr>
        <w:t>storing hydrogen have not yet reached technological maturity; thus, additional R&amp;D funding is needed to accelerate the development of hydrogen technology. Conversely, fuel cell technologies have reached technological maturity,</w:t>
      </w:r>
      <w:r w:rsidR="00F81221">
        <w:rPr>
          <w:kern w:val="0"/>
        </w:rPr>
        <w:t xml:space="preserve"> and </w:t>
      </w:r>
      <w:r>
        <w:rPr>
          <w:kern w:val="0"/>
        </w:rPr>
        <w:t>related patent strategies include freedom to operate, licensing,</w:t>
      </w:r>
      <w:r w:rsidR="00F81221">
        <w:rPr>
          <w:kern w:val="0"/>
        </w:rPr>
        <w:t xml:space="preserve"> and </w:t>
      </w:r>
      <w:r>
        <w:rPr>
          <w:kern w:val="0"/>
        </w:rPr>
        <w:t>niche inventions. The proposed model can be applied to all high-technology cases,</w:t>
      </w:r>
      <w:r w:rsidR="00F81221">
        <w:rPr>
          <w:kern w:val="0"/>
        </w:rPr>
        <w:t xml:space="preserve"> and </w:t>
      </w:r>
      <w:r>
        <w:rPr>
          <w:kern w:val="0"/>
        </w:rPr>
        <w:t>particularly to new clean technologies. The study concludes by outlining the limitations of the proposed model</w:t>
      </w:r>
      <w:r w:rsidR="00F81221">
        <w:rPr>
          <w:kern w:val="0"/>
        </w:rPr>
        <w:t xml:space="preserve"> and </w:t>
      </w:r>
      <w:r>
        <w:rPr>
          <w:kern w:val="0"/>
        </w:rPr>
        <w:t>directions for further research. Copyright (C) 2011, Hydrogen Energy Publications, LLC. Published by Elsevier Ltd. All rights reserved.</w:t>
      </w:r>
    </w:p>
    <w:p w:rsidR="004F6E86" w:rsidRDefault="004F6E86" w:rsidP="004F6E86">
      <w:pPr>
        <w:pStyle w:val="a0"/>
        <w:rPr>
          <w:kern w:val="0"/>
        </w:rPr>
      </w:pPr>
      <w:r>
        <w:rPr>
          <w:kern w:val="0"/>
        </w:rPr>
        <w:t>Keywords: Bibliometric, Copyright, Databases, Development, Diffusion, Energy, Example, Fuel Cell, Gasification, Growth, Hydrogen Energy, Industry, Logistic Growth Curve, Model, Patent Strategy, Publication, Publications, Research, S-Curves, Substitution, Survey</w:t>
      </w:r>
    </w:p>
    <w:p w:rsidR="001D6375" w:rsidRDefault="001D6375" w:rsidP="001D6375">
      <w:pPr>
        <w:pStyle w:val="a0"/>
        <w:rPr>
          <w:kern w:val="0"/>
        </w:rPr>
      </w:pPr>
      <w:r>
        <w:rPr>
          <w:rFonts w:hint="eastAsia"/>
          <w:kern w:val="0"/>
        </w:rPr>
        <w:t xml:space="preserve">? </w:t>
      </w:r>
      <w:r>
        <w:rPr>
          <w:kern w:val="0"/>
        </w:rPr>
        <w:t xml:space="preserve">Morsy, F.M. (2011), Hydrogen production from acid hydrolyzed molasses by the hydrogen overproducing </w:t>
      </w:r>
      <w:r w:rsidRPr="006961C5">
        <w:rPr>
          <w:i/>
          <w:kern w:val="0"/>
        </w:rPr>
        <w:t>Escherichia coli</w:t>
      </w:r>
      <w:r>
        <w:rPr>
          <w:kern w:val="0"/>
        </w:rPr>
        <w:t xml:space="preserve"> strain HD701 and subsequent use of the waste bacterial biomass for biosorption of Cd(II) and Zn(II). </w:t>
      </w:r>
      <w:r>
        <w:rPr>
          <w:i/>
          <w:iCs/>
          <w:kern w:val="0"/>
        </w:rPr>
        <w:t>International Journal of Hydrogen Energy</w:t>
      </w:r>
      <w:r>
        <w:rPr>
          <w:kern w:val="0"/>
        </w:rPr>
        <w:t xml:space="preserve">, </w:t>
      </w:r>
      <w:r>
        <w:rPr>
          <w:b/>
          <w:bCs/>
          <w:kern w:val="0"/>
        </w:rPr>
        <w:t>36</w:t>
      </w:r>
      <w:r>
        <w:rPr>
          <w:kern w:val="0"/>
        </w:rPr>
        <w:t xml:space="preserve"> (22), 14381-14390.</w:t>
      </w:r>
    </w:p>
    <w:p w:rsidR="001D6375" w:rsidRDefault="001D6375" w:rsidP="001D6375">
      <w:pPr>
        <w:pStyle w:val="a0"/>
        <w:rPr>
          <w:kern w:val="0"/>
        </w:rPr>
      </w:pPr>
      <w:r>
        <w:rPr>
          <w:kern w:val="0"/>
        </w:rPr>
        <w:t>Full Text:</w:t>
      </w:r>
      <w:r w:rsidRPr="00B025C1">
        <w:t xml:space="preserve"> </w:t>
      </w:r>
      <w:hyperlink r:id="rId1937" w:history="1">
        <w:r w:rsidRPr="006961C5">
          <w:rPr>
            <w:rStyle w:val="a5"/>
          </w:rPr>
          <w:t>2011\Int J Hyd Ene36, 14381.pdf</w:t>
        </w:r>
      </w:hyperlink>
    </w:p>
    <w:p w:rsidR="001D6375" w:rsidRDefault="001D6375" w:rsidP="001D6375">
      <w:pPr>
        <w:pStyle w:val="a0"/>
        <w:rPr>
          <w:kern w:val="0"/>
        </w:rPr>
      </w:pPr>
      <w:r>
        <w:rPr>
          <w:kern w:val="0"/>
        </w:rPr>
        <w:t>Abstract: This study was devoted to investigate production of hydrogen gas from acid hydrolyzed molasses by Escherichia coil HD701 and to explore the possible use of the waste bacterial biomass in biosorption technology. In variable substrate concentration experiments (1, 2.5, 5, 10 and 15 g L</w:t>
      </w:r>
      <w:r>
        <w:rPr>
          <w:rFonts w:hint="eastAsia"/>
          <w:kern w:val="0"/>
          <w:vertAlign w:val="superscript"/>
        </w:rPr>
        <w:t>-1</w:t>
      </w:r>
      <w:r>
        <w:rPr>
          <w:kern w:val="0"/>
        </w:rPr>
        <w:t>), the highest cumulative hydrogen gas (570 ml H</w:t>
      </w:r>
      <w:r>
        <w:rPr>
          <w:rFonts w:hint="eastAsia"/>
          <w:kern w:val="0"/>
          <w:vertAlign w:val="subscript"/>
        </w:rPr>
        <w:t>2</w:t>
      </w:r>
      <w:r>
        <w:rPr>
          <w:kern w:val="0"/>
        </w:rPr>
        <w:t xml:space="preserve"> L</w:t>
      </w:r>
      <w:r>
        <w:rPr>
          <w:rFonts w:hint="eastAsia"/>
          <w:kern w:val="0"/>
          <w:vertAlign w:val="superscript"/>
        </w:rPr>
        <w:t>-1</w:t>
      </w:r>
      <w:r>
        <w:rPr>
          <w:kern w:val="0"/>
        </w:rPr>
        <w:t>) and formation rate (19 ml H</w:t>
      </w:r>
      <w:r>
        <w:rPr>
          <w:rFonts w:hint="eastAsia"/>
          <w:kern w:val="0"/>
          <w:vertAlign w:val="subscript"/>
        </w:rPr>
        <w:t>2</w:t>
      </w:r>
      <w:r>
        <w:rPr>
          <w:kern w:val="0"/>
        </w:rPr>
        <w:t xml:space="preserve"> h</w:t>
      </w:r>
      <w:r>
        <w:rPr>
          <w:rFonts w:hint="eastAsia"/>
          <w:kern w:val="0"/>
          <w:vertAlign w:val="superscript"/>
        </w:rPr>
        <w:t>-1</w:t>
      </w:r>
      <w:r>
        <w:rPr>
          <w:kern w:val="0"/>
        </w:rPr>
        <w:t xml:space="preserve"> L</w:t>
      </w:r>
      <w:r>
        <w:rPr>
          <w:rFonts w:hint="eastAsia"/>
          <w:kern w:val="0"/>
          <w:vertAlign w:val="superscript"/>
        </w:rPr>
        <w:t>-1</w:t>
      </w:r>
      <w:r>
        <w:rPr>
          <w:kern w:val="0"/>
        </w:rPr>
        <w:t>) were obtained from 10 g L</w:t>
      </w:r>
      <w:r>
        <w:rPr>
          <w:rFonts w:hint="eastAsia"/>
          <w:kern w:val="0"/>
          <w:vertAlign w:val="superscript"/>
        </w:rPr>
        <w:t>-1</w:t>
      </w:r>
      <w:r>
        <w:rPr>
          <w:kern w:val="0"/>
        </w:rPr>
        <w:t xml:space="preserve"> reducing sugars. However, the highest yield (132 ml H</w:t>
      </w:r>
      <w:r>
        <w:rPr>
          <w:rFonts w:hint="eastAsia"/>
          <w:kern w:val="0"/>
          <w:vertAlign w:val="subscript"/>
        </w:rPr>
        <w:t>2</w:t>
      </w:r>
      <w:r>
        <w:rPr>
          <w:kern w:val="0"/>
        </w:rPr>
        <w:t xml:space="preserve"> g</w:t>
      </w:r>
      <w:r>
        <w:rPr>
          <w:rFonts w:hint="eastAsia"/>
          <w:kern w:val="0"/>
          <w:vertAlign w:val="superscript"/>
        </w:rPr>
        <w:t>-1</w:t>
      </w:r>
      <w:r>
        <w:rPr>
          <w:kern w:val="0"/>
        </w:rPr>
        <w:t xml:space="preserve"> reducing sugars) was obtained at a moderate hydrogen formation rate (11 ml H</w:t>
      </w:r>
      <w:r>
        <w:rPr>
          <w:rFonts w:hint="eastAsia"/>
          <w:kern w:val="0"/>
          <w:vertAlign w:val="subscript"/>
        </w:rPr>
        <w:t>2</w:t>
      </w:r>
      <w:r>
        <w:rPr>
          <w:kern w:val="0"/>
        </w:rPr>
        <w:t xml:space="preserve"> h</w:t>
      </w:r>
      <w:r>
        <w:rPr>
          <w:rFonts w:hint="eastAsia"/>
          <w:kern w:val="0"/>
          <w:vertAlign w:val="superscript"/>
        </w:rPr>
        <w:t>-1</w:t>
      </w:r>
      <w:r>
        <w:rPr>
          <w:kern w:val="0"/>
        </w:rPr>
        <w:t xml:space="preserve"> L</w:t>
      </w:r>
      <w:r>
        <w:rPr>
          <w:rFonts w:hint="eastAsia"/>
          <w:kern w:val="0"/>
          <w:vertAlign w:val="superscript"/>
        </w:rPr>
        <w:t>-1</w:t>
      </w:r>
      <w:r>
        <w:rPr>
          <w:kern w:val="0"/>
        </w:rPr>
        <w:t>) from 2.5 g L</w:t>
      </w:r>
      <w:r w:rsidRPr="006961C5">
        <w:rPr>
          <w:kern w:val="0"/>
          <w:vertAlign w:val="superscript"/>
        </w:rPr>
        <w:t>-1</w:t>
      </w:r>
      <w:r>
        <w:rPr>
          <w:kern w:val="0"/>
        </w:rPr>
        <w:t xml:space="preserve"> reducing sugars. Subsequent to H2 production, the waste E. coil biomass was collected and its biosorption efficiency for Cd</w:t>
      </w:r>
      <w:r>
        <w:rPr>
          <w:rFonts w:hint="eastAsia"/>
          <w:kern w:val="0"/>
          <w:vertAlign w:val="superscript"/>
        </w:rPr>
        <w:t>2+</w:t>
      </w:r>
      <w:r>
        <w:rPr>
          <w:kern w:val="0"/>
        </w:rPr>
        <w:t xml:space="preserve"> and Zn</w:t>
      </w:r>
      <w:r>
        <w:rPr>
          <w:rFonts w:hint="eastAsia"/>
          <w:kern w:val="0"/>
          <w:vertAlign w:val="superscript"/>
        </w:rPr>
        <w:t>2+</w:t>
      </w:r>
      <w:r>
        <w:rPr>
          <w:kern w:val="0"/>
        </w:rPr>
        <w:t xml:space="preserve"> was investigated. The biosorption kinetics of both heavy metals fitted well with the pseudo second-order kinetic model. Based on the Langmuir biosorption isotherm, the maximum biosorption capacities (</w:t>
      </w:r>
      <w:r w:rsidRPr="007160C0">
        <w:rPr>
          <w:i/>
          <w:kern w:val="0"/>
        </w:rPr>
        <w:t>q</w:t>
      </w:r>
      <w:r w:rsidRPr="007160C0">
        <w:rPr>
          <w:kern w:val="0"/>
          <w:vertAlign w:val="subscript"/>
        </w:rPr>
        <w:t>max</w:t>
      </w:r>
      <w:r>
        <w:rPr>
          <w:kern w:val="0"/>
        </w:rPr>
        <w:t>) of E. coli waste biomass for Cd</w:t>
      </w:r>
      <w:r>
        <w:rPr>
          <w:rFonts w:hint="eastAsia"/>
          <w:kern w:val="0"/>
          <w:vertAlign w:val="superscript"/>
        </w:rPr>
        <w:t>2+</w:t>
      </w:r>
      <w:r>
        <w:rPr>
          <w:kern w:val="0"/>
        </w:rPr>
        <w:t xml:space="preserve"> and Zn</w:t>
      </w:r>
      <w:r>
        <w:rPr>
          <w:rFonts w:hint="eastAsia"/>
          <w:kern w:val="0"/>
          <w:vertAlign w:val="superscript"/>
        </w:rPr>
        <w:t>2+</w:t>
      </w:r>
      <w:r>
        <w:rPr>
          <w:kern w:val="0"/>
        </w:rPr>
        <w:t xml:space="preserve"> were 162.1 and 137.9 (mg/g), respectively. These qmax values are higher than those of many other previously studied biosorbents and were around three times more than that of aerobically grown </w:t>
      </w:r>
      <w:r w:rsidRPr="006961C5">
        <w:rPr>
          <w:i/>
          <w:kern w:val="0"/>
        </w:rPr>
        <w:t>E</w:t>
      </w:r>
      <w:r w:rsidRPr="006961C5">
        <w:rPr>
          <w:kern w:val="0"/>
        </w:rPr>
        <w:t>.</w:t>
      </w:r>
      <w:r w:rsidRPr="006961C5">
        <w:rPr>
          <w:i/>
          <w:kern w:val="0"/>
        </w:rPr>
        <w:t xml:space="preserve"> coli</w:t>
      </w:r>
      <w:r>
        <w:rPr>
          <w:kern w:val="0"/>
        </w:rPr>
        <w:t>. The FTIR spectra showed an appearance of strong peaks for the amine groups and an increase in the intensity of many other functional groups in the waste biomass of E. coli after hydrogen production in comparison to that of aerobically grown E. coli which explain the higher biosorption capacity for Cd</w:t>
      </w:r>
      <w:r>
        <w:rPr>
          <w:rFonts w:hint="eastAsia"/>
          <w:kern w:val="0"/>
          <w:vertAlign w:val="superscript"/>
        </w:rPr>
        <w:t>2+</w:t>
      </w:r>
      <w:r>
        <w:rPr>
          <w:kern w:val="0"/>
        </w:rPr>
        <w:t xml:space="preserve"> or Zn</w:t>
      </w:r>
      <w:r>
        <w:rPr>
          <w:rFonts w:hint="eastAsia"/>
          <w:kern w:val="0"/>
          <w:vertAlign w:val="superscript"/>
        </w:rPr>
        <w:t>2+</w:t>
      </w:r>
      <w:r>
        <w:rPr>
          <w:kern w:val="0"/>
        </w:rPr>
        <w:t xml:space="preserve"> by the waste biomass of E. coil after hydrogen production. These results </w:t>
      </w:r>
      <w:r>
        <w:rPr>
          <w:kern w:val="0"/>
        </w:rPr>
        <w:lastRenderedPageBreak/>
        <w:t>indicate that E. coli waste biomass after hydrogen production can be efficiently used in biosorption technology. Interlinking such biotechnologies is potentially possible in future applications to reduce the cost of the biosorption technology and duplicate the benefits of biological H</w:t>
      </w:r>
      <w:r w:rsidRPr="006961C5">
        <w:rPr>
          <w:kern w:val="0"/>
          <w:vertAlign w:val="subscript"/>
        </w:rPr>
        <w:t>2</w:t>
      </w:r>
      <w:r>
        <w:rPr>
          <w:kern w:val="0"/>
        </w:rPr>
        <w:t xml:space="preserve"> production technology. Copyright (C) 2011, Hydrogen Energy Publications, LLC. Published by Elsevier Ltd. All rights reserved.</w:t>
      </w:r>
    </w:p>
    <w:p w:rsidR="001D6375" w:rsidRDefault="001D6375" w:rsidP="001D6375">
      <w:pPr>
        <w:pStyle w:val="a0"/>
        <w:rPr>
          <w:kern w:val="0"/>
        </w:rPr>
      </w:pPr>
      <w:r>
        <w:rPr>
          <w:kern w:val="0"/>
        </w:rPr>
        <w:t>Keywords: Algal Biomass, Aqueous-Solutions, Biosorption, Cadmium, Cd</w:t>
      </w:r>
      <w:r>
        <w:rPr>
          <w:rFonts w:hint="eastAsia"/>
          <w:kern w:val="0"/>
          <w:vertAlign w:val="superscript"/>
        </w:rPr>
        <w:t>2+</w:t>
      </w:r>
      <w:r>
        <w:rPr>
          <w:kern w:val="0"/>
        </w:rPr>
        <w:t>, Cd(II), Copper, FTIR, Heavy Metals, Heavy-Metals, Hydrogen Production, Isotherm, Kinetic, Kinetics, Langmuir, Lead, Lyophilized Cells, Metals, Penicillium Biomass, Pseudomonas-Aeruginosa, Removal, Waste Escherichia Coli Biomass</w:t>
      </w:r>
    </w:p>
    <w:p w:rsidR="00B95188" w:rsidRPr="00A428C3" w:rsidRDefault="00B95188" w:rsidP="00B95188">
      <w:pPr>
        <w:pStyle w:val="1"/>
      </w:pPr>
      <w:r w:rsidRPr="00A428C3">
        <w:br w:type="page"/>
      </w:r>
      <w:bookmarkStart w:id="1370" w:name="_Toc186647925"/>
      <w:bookmarkStart w:id="1371" w:name="_Toc317161310"/>
      <w:r w:rsidRPr="00A428C3">
        <w:lastRenderedPageBreak/>
        <w:t>Title: International Journal of Hygiene</w:t>
      </w:r>
      <w:r w:rsidR="00F81221">
        <w:t xml:space="preserve"> and </w:t>
      </w:r>
      <w:r w:rsidRPr="00A428C3">
        <w:t>Environmental Health</w:t>
      </w:r>
      <w:bookmarkEnd w:id="1370"/>
      <w:bookmarkEnd w:id="1371"/>
    </w:p>
    <w:p w:rsidR="00B95188" w:rsidRPr="00A428C3" w:rsidRDefault="00B95188" w:rsidP="00B72EF9">
      <w:pPr>
        <w:pStyle w:val="12"/>
      </w:pPr>
      <w:r w:rsidRPr="00A428C3">
        <w:t xml:space="preserve">Full Journal Title: </w:t>
      </w:r>
      <w:hyperlink r:id="rId1938" w:history="1">
        <w:r w:rsidRPr="00A428C3">
          <w:rPr>
            <w:rStyle w:val="a5"/>
          </w:rPr>
          <w:t>International Journal of Hygiene</w:t>
        </w:r>
        <w:r w:rsidR="00F81221">
          <w:rPr>
            <w:rStyle w:val="a5"/>
          </w:rPr>
          <w:t xml:space="preserve"> and </w:t>
        </w:r>
        <w:r w:rsidRPr="00A428C3">
          <w:rPr>
            <w:rStyle w:val="a5"/>
          </w:rPr>
          <w:t>Environmental Health</w:t>
        </w:r>
      </w:hyperlink>
    </w:p>
    <w:p w:rsidR="00B95188" w:rsidRPr="00A428C3" w:rsidRDefault="00B95188" w:rsidP="00B72EF9">
      <w:pPr>
        <w:pStyle w:val="12"/>
      </w:pPr>
      <w:r w:rsidRPr="00A428C3">
        <w:t>ISO Abbreviated Title: Int. J. Hyg. Environ. Health.</w:t>
      </w:r>
    </w:p>
    <w:p w:rsidR="00B95188" w:rsidRPr="00A428C3" w:rsidRDefault="00B95188" w:rsidP="00B72EF9">
      <w:pPr>
        <w:pStyle w:val="12"/>
      </w:pPr>
      <w:r w:rsidRPr="00A428C3">
        <w:t>JCR Abbreviated Title: Int J Hyg Envir Heal</w:t>
      </w:r>
    </w:p>
    <w:p w:rsidR="00B95188" w:rsidRPr="00A428C3" w:rsidRDefault="00B95188" w:rsidP="00B72EF9">
      <w:pPr>
        <w:pStyle w:val="12"/>
      </w:pPr>
      <w:r w:rsidRPr="00A428C3">
        <w:t>ISSN: 1438-4639</w:t>
      </w:r>
    </w:p>
    <w:p w:rsidR="00B95188" w:rsidRPr="00A428C3" w:rsidRDefault="00B95188" w:rsidP="00B72EF9">
      <w:pPr>
        <w:pStyle w:val="12"/>
      </w:pPr>
      <w:r w:rsidRPr="00A428C3">
        <w:t>Issues/Year: 5</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Urban &amp; Fischer Verlag</w:t>
      </w:r>
    </w:p>
    <w:p w:rsidR="00B95188" w:rsidRPr="00A428C3" w:rsidRDefault="00B95188" w:rsidP="00B72EF9">
      <w:pPr>
        <w:pStyle w:val="12"/>
      </w:pPr>
      <w:r w:rsidRPr="00A428C3">
        <w:t xml:space="preserve">Publisher Address: Branch Office </w:t>
      </w:r>
      <w:smartTag w:uri="urn:schemas-microsoft-com:office:smarttags" w:element="City">
        <w:r w:rsidRPr="00A428C3">
          <w:t>Jena</w:t>
        </w:r>
      </w:smartTag>
      <w:r w:rsidRPr="00A428C3">
        <w:t xml:space="preserve">, </w:t>
      </w:r>
      <w:smartTag w:uri="urn:schemas-microsoft-com:office:smarttags" w:element="address">
        <w:smartTag w:uri="urn:schemas-microsoft-com:office:smarttags" w:element="Street">
          <w:r w:rsidRPr="00A428C3">
            <w:t>P O Box</w:t>
          </w:r>
        </w:smartTag>
        <w:r w:rsidRPr="00A428C3">
          <w:t xml:space="preserve"> 100537</w:t>
        </w:r>
      </w:smartTag>
      <w:r w:rsidRPr="00A428C3">
        <w:t xml:space="preserve">, D-07705 </w:t>
      </w:r>
      <w:smartTag w:uri="urn:schemas-microsoft-com:office:smarttags" w:element="place">
        <w:smartTag w:uri="urn:schemas-microsoft-com:office:smarttags" w:element="City">
          <w:r w:rsidRPr="00A428C3">
            <w:t>Jena</w:t>
          </w:r>
        </w:smartTag>
        <w:r w:rsidRPr="00A428C3">
          <w:t xml:space="preserve">, </w:t>
        </w:r>
        <w:smartTag w:uri="urn:schemas-microsoft-com:office:smarttags" w:element="country-region">
          <w:r w:rsidRPr="00A428C3">
            <w:t>Germany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Public, Environmental &amp; Occupational Health: Impact Factor 0.480, / (2001)</w:t>
      </w:r>
    </w:p>
    <w:p w:rsidR="00B95188" w:rsidRPr="00A428C3" w:rsidRDefault="00B95188" w:rsidP="00B72EF9">
      <w:pPr>
        <w:pStyle w:val="12"/>
      </w:pPr>
      <w:r w:rsidRPr="00A428C3">
        <w:t>Infectious Diseases: Impact Factor 0.480, / (2001)</w:t>
      </w:r>
    </w:p>
    <w:p w:rsidR="00B95188" w:rsidRPr="00A428C3" w:rsidRDefault="00B95188" w:rsidP="00B95188">
      <w:pPr>
        <w:pStyle w:val="a0"/>
      </w:pPr>
      <w:r w:rsidRPr="00A428C3">
        <w:t>? Alumaa, P., Kirso, U., Petersell, V.</w:t>
      </w:r>
      <w:r w:rsidR="00F81221">
        <w:t xml:space="preserve"> and </w:t>
      </w:r>
      <w:r w:rsidRPr="00A428C3">
        <w:t xml:space="preserve">Steinnes, E. (2002), Sorption of toxic heavy metals to soil. </w:t>
      </w:r>
      <w:r w:rsidRPr="00A428C3">
        <w:rPr>
          <w:i/>
          <w:iCs/>
        </w:rPr>
        <w:t>International Journal of Hygiene</w:t>
      </w:r>
      <w:r w:rsidR="00F81221">
        <w:rPr>
          <w:i/>
          <w:iCs/>
        </w:rPr>
        <w:t xml:space="preserve"> and </w:t>
      </w:r>
      <w:r w:rsidRPr="00A428C3">
        <w:rPr>
          <w:i/>
          <w:iCs/>
        </w:rPr>
        <w:t>Environmental Health</w:t>
      </w:r>
      <w:r w:rsidRPr="00A428C3">
        <w:t xml:space="preserve">, </w:t>
      </w:r>
      <w:r w:rsidRPr="00A428C3">
        <w:rPr>
          <w:b/>
        </w:rPr>
        <w:t>204</w:t>
      </w:r>
      <w:r w:rsidRPr="00A428C3">
        <w:t xml:space="preserve"> (5-6), 375-376.</w:t>
      </w:r>
    </w:p>
    <w:p w:rsidR="00B95188" w:rsidRPr="00A428C3" w:rsidRDefault="00B95188" w:rsidP="00B95188">
      <w:pPr>
        <w:pStyle w:val="a0"/>
      </w:pPr>
      <w:r w:rsidRPr="00A428C3">
        <w:t>Abstract: The surface soil is a major recipient of pollutants, including heavy metals, through atmospheric deposition, agricultural practices,</w:t>
      </w:r>
      <w:r w:rsidR="00F81221">
        <w:t xml:space="preserve"> and </w:t>
      </w:r>
      <w:r w:rsidRPr="00A428C3">
        <w:t>waste disposal. In the present work the sorption capacity of different types of soils to toxic heavy metals, i.e. chromium, copper, cadmium</w:t>
      </w:r>
      <w:r w:rsidR="00F81221">
        <w:t xml:space="preserve"> and </w:t>
      </w:r>
      <w:r w:rsidRPr="00A428C3">
        <w:t xml:space="preserve">lead has been studied. Experimental adsorption data for metals to the soil obtained by the batch method were fitted by linear isotherm. The various soils showed a very different behaviour in sorption of heavy metals. The distribution coefficient K-d, which is an indication of the adsorbing capacity of the substrate, varies within a wide range, from 57 to 53 000 </w:t>
      </w:r>
      <w:smartTag w:uri="urn:schemas-microsoft-com:office:smarttags" w:element="chmetcnv">
        <w:smartTagPr>
          <w:attr w:name="UnitName" w:val="kg"/>
          <w:attr w:name="SourceValue" w:val="1"/>
          <w:attr w:name="HasSpace" w:val="True"/>
          <w:attr w:name="Negative" w:val="False"/>
          <w:attr w:name="NumberType" w:val="1"/>
          <w:attr w:name="TCSC" w:val="0"/>
        </w:smartTagPr>
        <w:r w:rsidRPr="00A428C3">
          <w:t>1 kg</w:t>
        </w:r>
      </w:smartTag>
      <w:r w:rsidRPr="00A428C3">
        <w:rPr>
          <w:vertAlign w:val="superscript"/>
        </w:rPr>
        <w:t>-1</w:t>
      </w:r>
      <w:r w:rsidRPr="00A428C3">
        <w:t>. Desorption of metals from the solid phase was found to be small, indicating that the soil matrix is affecting the metal mobility by modifying the bonding of pollutants to the soil system consequently affecting the potential for soil remediation processes.</w:t>
      </w:r>
    </w:p>
    <w:p w:rsidR="00B95188" w:rsidRPr="00A428C3" w:rsidRDefault="00B95188" w:rsidP="00B95188">
      <w:pPr>
        <w:pStyle w:val="a0"/>
      </w:pPr>
      <w:r w:rsidRPr="00A428C3">
        <w:t>Keywords: Soil, Heavy Metals, Sorption, Distribution Coefficients</w:t>
      </w:r>
    </w:p>
    <w:p w:rsidR="00BE2AE3" w:rsidRDefault="00BE2AE3" w:rsidP="00BE2AE3">
      <w:pPr>
        <w:pStyle w:val="1"/>
      </w:pPr>
      <w:r>
        <w:rPr>
          <w:b w:val="0"/>
        </w:rPr>
        <w:br w:type="page"/>
      </w:r>
      <w:bookmarkStart w:id="1372" w:name="_Toc317161311"/>
      <w:r>
        <w:lastRenderedPageBreak/>
        <w:t xml:space="preserve">Title: </w:t>
      </w:r>
      <w:r w:rsidRPr="00F1115C">
        <w:rPr>
          <w:iCs/>
        </w:rPr>
        <w:t>International Journal of Immunogenetics</w:t>
      </w:r>
      <w:bookmarkEnd w:id="1372"/>
    </w:p>
    <w:p w:rsidR="00BE2AE3" w:rsidRDefault="00BE2AE3" w:rsidP="00BE2AE3">
      <w:pPr>
        <w:pStyle w:val="12"/>
      </w:pPr>
      <w:r>
        <w:t xml:space="preserve">Full Journal Title: </w:t>
      </w:r>
      <w:r w:rsidRPr="00F1115C">
        <w:rPr>
          <w:iCs/>
        </w:rPr>
        <w:t>International Journal of Immunogenetics</w:t>
      </w:r>
    </w:p>
    <w:p w:rsidR="00BE2AE3" w:rsidRDefault="00BE2AE3" w:rsidP="00BE2AE3">
      <w:pPr>
        <w:pStyle w:val="12"/>
      </w:pPr>
      <w:r>
        <w:t xml:space="preserve">ISO Abbreviated Title: </w:t>
      </w:r>
    </w:p>
    <w:p w:rsidR="00BE2AE3" w:rsidRDefault="00BE2AE3" w:rsidP="00BE2AE3">
      <w:pPr>
        <w:pStyle w:val="12"/>
      </w:pPr>
      <w:r>
        <w:t xml:space="preserve">JCR Abbreviated Title: </w:t>
      </w:r>
    </w:p>
    <w:p w:rsidR="00BE2AE3" w:rsidRDefault="00BE2AE3" w:rsidP="00BE2AE3">
      <w:pPr>
        <w:pStyle w:val="12"/>
      </w:pPr>
      <w:r>
        <w:t xml:space="preserve">ISSN: </w:t>
      </w:r>
    </w:p>
    <w:p w:rsidR="00BE2AE3" w:rsidRDefault="00BE2AE3" w:rsidP="00BE2AE3">
      <w:pPr>
        <w:pStyle w:val="12"/>
      </w:pPr>
      <w:r>
        <w:t xml:space="preserve">Issues/Year: </w:t>
      </w:r>
    </w:p>
    <w:p w:rsidR="00BE2AE3" w:rsidRDefault="00BE2AE3" w:rsidP="00BE2AE3">
      <w:pPr>
        <w:pStyle w:val="12"/>
      </w:pPr>
      <w:r>
        <w:t xml:space="preserve">Journal Country/Territory: </w:t>
      </w:r>
    </w:p>
    <w:p w:rsidR="00BE2AE3" w:rsidRDefault="00BE2AE3" w:rsidP="00BE2AE3">
      <w:pPr>
        <w:pStyle w:val="12"/>
      </w:pPr>
      <w:r>
        <w:t xml:space="preserve">Language: </w:t>
      </w:r>
    </w:p>
    <w:p w:rsidR="00BE2AE3" w:rsidRDefault="00BE2AE3" w:rsidP="00BE2AE3">
      <w:pPr>
        <w:pStyle w:val="12"/>
      </w:pPr>
      <w:r>
        <w:t xml:space="preserve">Publisher: </w:t>
      </w:r>
    </w:p>
    <w:p w:rsidR="00BE2AE3" w:rsidRDefault="00BE2AE3" w:rsidP="00BE2AE3">
      <w:pPr>
        <w:pStyle w:val="12"/>
      </w:pPr>
      <w:r>
        <w:t xml:space="preserve">Publisher Address: </w:t>
      </w:r>
    </w:p>
    <w:p w:rsidR="00BE2AE3" w:rsidRDefault="00BE2AE3" w:rsidP="00BE2AE3">
      <w:pPr>
        <w:pStyle w:val="12"/>
      </w:pPr>
      <w:r>
        <w:t>Subject Categories:</w:t>
      </w:r>
    </w:p>
    <w:p w:rsidR="00BE2AE3" w:rsidRDefault="00BE2AE3" w:rsidP="00BE2AE3">
      <w:pPr>
        <w:pStyle w:val="12"/>
      </w:pPr>
      <w:r>
        <w:t xml:space="preserve">: Impact Factor </w:t>
      </w:r>
    </w:p>
    <w:p w:rsidR="00BE2AE3" w:rsidRDefault="00BE2AE3" w:rsidP="00BE2AE3">
      <w:pPr>
        <w:pStyle w:val="a0"/>
        <w:rPr>
          <w:kern w:val="0"/>
        </w:rPr>
      </w:pPr>
      <w:r>
        <w:rPr>
          <w:rFonts w:hint="eastAsia"/>
          <w:kern w:val="0"/>
        </w:rPr>
        <w:t xml:space="preserve">? </w:t>
      </w:r>
      <w:r>
        <w:rPr>
          <w:kern w:val="0"/>
        </w:rPr>
        <w:t>Hu, W.</w:t>
      </w:r>
      <w:r w:rsidR="00F81221">
        <w:rPr>
          <w:kern w:val="0"/>
        </w:rPr>
        <w:t xml:space="preserve"> and </w:t>
      </w:r>
      <w:r>
        <w:rPr>
          <w:kern w:val="0"/>
        </w:rPr>
        <w:t xml:space="preserve">Ren, H. (2011), A meta-analysis of the association of IRF5 polymorphism with systemic lupus erythematosus. </w:t>
      </w:r>
      <w:r w:rsidRPr="00F1115C">
        <w:rPr>
          <w:i/>
          <w:iCs/>
          <w:kern w:val="0"/>
        </w:rPr>
        <w:t>International Journal of Immunogenetics</w:t>
      </w:r>
      <w:r>
        <w:rPr>
          <w:kern w:val="0"/>
        </w:rPr>
        <w:t xml:space="preserve">, </w:t>
      </w:r>
      <w:r>
        <w:rPr>
          <w:b/>
          <w:bCs/>
          <w:kern w:val="0"/>
        </w:rPr>
        <w:t>38</w:t>
      </w:r>
      <w:r>
        <w:rPr>
          <w:kern w:val="0"/>
        </w:rPr>
        <w:t xml:space="preserve"> (5), 411-417.</w:t>
      </w:r>
    </w:p>
    <w:p w:rsidR="00BE2AE3" w:rsidRDefault="00BE2AE3" w:rsidP="00BE2AE3">
      <w:pPr>
        <w:pStyle w:val="a0"/>
        <w:rPr>
          <w:kern w:val="0"/>
        </w:rPr>
      </w:pPr>
      <w:r>
        <w:rPr>
          <w:rFonts w:hint="eastAsia"/>
          <w:kern w:val="0"/>
        </w:rPr>
        <w:t xml:space="preserve">Full Text: </w:t>
      </w:r>
      <w:hyperlink r:id="rId1939" w:history="1">
        <w:r w:rsidRPr="00F1115C">
          <w:rPr>
            <w:rStyle w:val="a5"/>
            <w:kern w:val="0"/>
          </w:rPr>
          <w:t>2011\Int J Imm38, 411.pdf</w:t>
        </w:r>
      </w:hyperlink>
    </w:p>
    <w:p w:rsidR="00BE2AE3" w:rsidRDefault="00BE2AE3" w:rsidP="00BE2AE3">
      <w:pPr>
        <w:pStyle w:val="a0"/>
        <w:rPr>
          <w:kern w:val="0"/>
        </w:rPr>
      </w:pPr>
      <w:r>
        <w:rPr>
          <w:kern w:val="0"/>
        </w:rPr>
        <w:t>Abstract: To more precisely estimate the association between interferon regulatory factor 5 (IRF5) polymorphisms</w:t>
      </w:r>
      <w:r w:rsidR="00F81221">
        <w:rPr>
          <w:kern w:val="0"/>
        </w:rPr>
        <w:t xml:space="preserve"> and </w:t>
      </w:r>
      <w:r>
        <w:rPr>
          <w:kern w:val="0"/>
        </w:rPr>
        <w:t>systemic lupus erythematosus (SLE) risk, we surveyed studies on the association of IRF5 rs2204640, rs10954213, rs729302 or rs2280714 with SLE using PubMed, Embase</w:t>
      </w:r>
      <w:r w:rsidR="00F81221">
        <w:rPr>
          <w:kern w:val="0"/>
        </w:rPr>
        <w:t xml:space="preserve"> and </w:t>
      </w:r>
      <w:r>
        <w:rPr>
          <w:kern w:val="0"/>
        </w:rPr>
        <w:t>Web of Science up to February 2011. Two investigators independently assessed the data quality</w:t>
      </w:r>
      <w:r w:rsidR="00F81221">
        <w:rPr>
          <w:kern w:val="0"/>
        </w:rPr>
        <w:t xml:space="preserve"> and </w:t>
      </w:r>
      <w:r>
        <w:rPr>
          <w:kern w:val="0"/>
        </w:rPr>
        <w:t>extracted the data. A total of 17 comparisons from ten relevant studies involving 6403 patients</w:t>
      </w:r>
      <w:r w:rsidR="00F81221">
        <w:rPr>
          <w:kern w:val="0"/>
        </w:rPr>
        <w:t xml:space="preserve"> and </w:t>
      </w:r>
      <w:r>
        <w:rPr>
          <w:kern w:val="0"/>
        </w:rPr>
        <w:t>7475 controls were included to analyse the association between IRF5 rs2004640</w:t>
      </w:r>
      <w:r w:rsidR="00F81221">
        <w:rPr>
          <w:kern w:val="0"/>
        </w:rPr>
        <w:t xml:space="preserve"> and </w:t>
      </w:r>
      <w:r>
        <w:rPr>
          <w:kern w:val="0"/>
        </w:rPr>
        <w:t>SLE risk (odds ratio, OR = 1.41, 95% confidence interval (CI) 1.34-1.49, P = 0.000). As for rs10954213, there were ten comparisons from six relevant studies involving 3461 patients</w:t>
      </w:r>
      <w:r w:rsidR="00F81221">
        <w:rPr>
          <w:kern w:val="0"/>
        </w:rPr>
        <w:t xml:space="preserve"> and </w:t>
      </w:r>
      <w:r>
        <w:rPr>
          <w:kern w:val="0"/>
        </w:rPr>
        <w:t>3692 controls were included to analyse the association between IRF5 rs10954213</w:t>
      </w:r>
      <w:r w:rsidR="00F81221">
        <w:rPr>
          <w:kern w:val="0"/>
        </w:rPr>
        <w:t xml:space="preserve"> and </w:t>
      </w:r>
      <w:r>
        <w:rPr>
          <w:kern w:val="0"/>
        </w:rPr>
        <w:t>SLE risk (OR = 1.23, 95% CI 1.08-1.39, P = 0.002).</w:t>
      </w:r>
      <w:r w:rsidR="00F81221">
        <w:rPr>
          <w:kern w:val="0"/>
        </w:rPr>
        <w:t xml:space="preserve"> and </w:t>
      </w:r>
      <w:r>
        <w:rPr>
          <w:kern w:val="0"/>
        </w:rPr>
        <w:t>this meta-analysis also showed a significant association of rs729302 (OR = 0.78, 95% CI 0.74-0.83, P = 0.000), rs2280714 (OR = 0.90, 95% CI 0.83-0.98, P = 0.021) with SLE. In a subgroup analysis by ethnicity, significantly increased SLE risk was associated with IRF5 rs2004640 T allele in populations of European, Asian</w:t>
      </w:r>
      <w:r w:rsidR="00F81221">
        <w:rPr>
          <w:kern w:val="0"/>
        </w:rPr>
        <w:t xml:space="preserve"> and </w:t>
      </w:r>
      <w:r>
        <w:rPr>
          <w:kern w:val="0"/>
        </w:rPr>
        <w:t>Latin American origin,</w:t>
      </w:r>
      <w:r w:rsidR="00F81221">
        <w:rPr>
          <w:kern w:val="0"/>
        </w:rPr>
        <w:t xml:space="preserve"> and </w:t>
      </w:r>
      <w:r>
        <w:rPr>
          <w:kern w:val="0"/>
        </w:rPr>
        <w:t>the rs10954213 A allele is significantly associated with SLE in European origin but not in Asian origin. This meta-analysis suggested that IRF5 gene polymorphism was associated with SLE in multiple ethnic populations.</w:t>
      </w:r>
    </w:p>
    <w:p w:rsidR="00BE2AE3" w:rsidRDefault="00BE2AE3" w:rsidP="00BE2AE3">
      <w:pPr>
        <w:pStyle w:val="a0"/>
        <w:rPr>
          <w:kern w:val="0"/>
        </w:rPr>
      </w:pPr>
      <w:r>
        <w:rPr>
          <w:kern w:val="0"/>
        </w:rPr>
        <w:t xml:space="preserve">Keywords: Analysis, Ethnicity, Expression, Functional Polymorphism, Gene Polymorphism, Genetic Association, Haplotype, I Interferon System, Increased Risk, Japanese Population, Latin American, Meta Analysis, Meta-Analysis, Patients, </w:t>
      </w:r>
      <w:r>
        <w:rPr>
          <w:kern w:val="0"/>
        </w:rPr>
        <w:lastRenderedPageBreak/>
        <w:t>Polymorphism, Polymorphisms, Pubmed, Ratio, Regulatory Factor 5, Risk, Science, SLE, Susceptibility, Systemic Lupus Erythematosus, Variants, Web of Science</w:t>
      </w:r>
    </w:p>
    <w:p w:rsidR="00545E32" w:rsidRPr="00A428C3" w:rsidRDefault="00545E32" w:rsidP="00545E32">
      <w:pPr>
        <w:pStyle w:val="1"/>
      </w:pPr>
      <w:r w:rsidRPr="00A428C3">
        <w:br w:type="page"/>
      </w:r>
      <w:bookmarkStart w:id="1373" w:name="_Toc317161312"/>
      <w:r w:rsidRPr="00A428C3">
        <w:lastRenderedPageBreak/>
        <w:t xml:space="preserve">Title: </w:t>
      </w:r>
      <w:r w:rsidRPr="00545E32">
        <w:rPr>
          <w:iCs/>
        </w:rPr>
        <w:t>International Journal of Industrial Ergonomics</w:t>
      </w:r>
      <w:bookmarkEnd w:id="1373"/>
    </w:p>
    <w:p w:rsidR="00545E32" w:rsidRPr="00A428C3" w:rsidRDefault="00545E32" w:rsidP="00545E32">
      <w:pPr>
        <w:pStyle w:val="12"/>
      </w:pPr>
      <w:r w:rsidRPr="00A428C3">
        <w:t xml:space="preserve">Full Journal Title: </w:t>
      </w:r>
      <w:r w:rsidRPr="00545E32">
        <w:rPr>
          <w:iCs/>
        </w:rPr>
        <w:t>International Journal of Industrial Ergonomics</w:t>
      </w:r>
    </w:p>
    <w:p w:rsidR="00545E32" w:rsidRPr="00A428C3" w:rsidRDefault="00545E32" w:rsidP="00545E32">
      <w:pPr>
        <w:pStyle w:val="12"/>
      </w:pPr>
      <w:r w:rsidRPr="00A428C3">
        <w:t xml:space="preserve">ISO Abbreviated Title: </w:t>
      </w:r>
    </w:p>
    <w:p w:rsidR="00545E32" w:rsidRPr="00A428C3" w:rsidRDefault="00545E32" w:rsidP="00545E32">
      <w:pPr>
        <w:pStyle w:val="12"/>
      </w:pPr>
      <w:r w:rsidRPr="00A428C3">
        <w:t xml:space="preserve">JCR Abbreviated Title: </w:t>
      </w:r>
    </w:p>
    <w:p w:rsidR="00545E32" w:rsidRPr="00A428C3" w:rsidRDefault="00545E32" w:rsidP="00545E32">
      <w:pPr>
        <w:pStyle w:val="12"/>
      </w:pPr>
      <w:r w:rsidRPr="00A428C3">
        <w:t xml:space="preserve">ISSN: </w:t>
      </w:r>
    </w:p>
    <w:p w:rsidR="00545E32" w:rsidRPr="00A428C3" w:rsidRDefault="00545E32" w:rsidP="00545E32">
      <w:pPr>
        <w:pStyle w:val="12"/>
      </w:pPr>
      <w:r w:rsidRPr="00A428C3">
        <w:t xml:space="preserve">Issues/Year: </w:t>
      </w:r>
    </w:p>
    <w:p w:rsidR="00545E32" w:rsidRPr="00A428C3" w:rsidRDefault="00545E32" w:rsidP="00545E32">
      <w:pPr>
        <w:pStyle w:val="12"/>
      </w:pPr>
      <w:r w:rsidRPr="00A428C3">
        <w:t xml:space="preserve">Journal Country/Territory: </w:t>
      </w:r>
    </w:p>
    <w:p w:rsidR="00545E32" w:rsidRPr="00A428C3" w:rsidRDefault="00545E32" w:rsidP="00545E32">
      <w:pPr>
        <w:pStyle w:val="12"/>
      </w:pPr>
      <w:r w:rsidRPr="00A428C3">
        <w:t xml:space="preserve">Language: </w:t>
      </w:r>
    </w:p>
    <w:p w:rsidR="00545E32" w:rsidRPr="00A428C3" w:rsidRDefault="00545E32" w:rsidP="00545E32">
      <w:pPr>
        <w:pStyle w:val="12"/>
      </w:pPr>
      <w:r w:rsidRPr="00A428C3">
        <w:t xml:space="preserve">Publisher: </w:t>
      </w:r>
    </w:p>
    <w:p w:rsidR="00545E32" w:rsidRPr="00A428C3" w:rsidRDefault="00545E32" w:rsidP="00545E32">
      <w:pPr>
        <w:pStyle w:val="12"/>
      </w:pPr>
      <w:r w:rsidRPr="00A428C3">
        <w:t xml:space="preserve">Publisher Address: </w:t>
      </w:r>
    </w:p>
    <w:p w:rsidR="00545E32" w:rsidRPr="00A428C3" w:rsidRDefault="00545E32" w:rsidP="00545E32">
      <w:pPr>
        <w:pStyle w:val="12"/>
      </w:pPr>
      <w:r w:rsidRPr="00A428C3">
        <w:t>Subject Categories:</w:t>
      </w:r>
    </w:p>
    <w:p w:rsidR="00545E32" w:rsidRPr="00A428C3" w:rsidRDefault="00545E32" w:rsidP="00545E32">
      <w:pPr>
        <w:pStyle w:val="12"/>
      </w:pPr>
      <w:r w:rsidRPr="00A428C3">
        <w:t xml:space="preserve">: Impact Factor </w:t>
      </w:r>
    </w:p>
    <w:p w:rsidR="00545E32" w:rsidRDefault="00545E32" w:rsidP="00545E32">
      <w:pPr>
        <w:pStyle w:val="a0"/>
        <w:rPr>
          <w:kern w:val="0"/>
        </w:rPr>
      </w:pPr>
      <w:r>
        <w:rPr>
          <w:kern w:val="0"/>
        </w:rPr>
        <w:t>? Mani, R., Milosavljevic, S.</w:t>
      </w:r>
      <w:r w:rsidR="00F81221">
        <w:rPr>
          <w:kern w:val="0"/>
        </w:rPr>
        <w:t xml:space="preserve"> and </w:t>
      </w:r>
      <w:r>
        <w:rPr>
          <w:kern w:val="0"/>
        </w:rPr>
        <w:t xml:space="preserve">Sullivan, S.J. (2010), The effect of occupational whole-body vibration on standing balance: A systematic review. </w:t>
      </w:r>
      <w:r w:rsidRPr="00545E32">
        <w:rPr>
          <w:i/>
          <w:iCs/>
          <w:kern w:val="0"/>
        </w:rPr>
        <w:t>International Journal of Industrial Ergonomics</w:t>
      </w:r>
      <w:r>
        <w:rPr>
          <w:kern w:val="0"/>
        </w:rPr>
        <w:t xml:space="preserve">, </w:t>
      </w:r>
      <w:r>
        <w:rPr>
          <w:b/>
          <w:bCs/>
          <w:kern w:val="0"/>
        </w:rPr>
        <w:t>40</w:t>
      </w:r>
      <w:r>
        <w:rPr>
          <w:kern w:val="0"/>
        </w:rPr>
        <w:t xml:space="preserve"> (6), 698-709.</w:t>
      </w:r>
    </w:p>
    <w:p w:rsidR="00545E32" w:rsidRDefault="00545E32" w:rsidP="00545E32">
      <w:pPr>
        <w:pStyle w:val="a0"/>
        <w:rPr>
          <w:kern w:val="0"/>
        </w:rPr>
      </w:pPr>
      <w:r>
        <w:rPr>
          <w:kern w:val="0"/>
        </w:rPr>
        <w:t>Abstract: Adverse health effects from exposure to occupational whole-body vibration (WBV) are common among drivers. in particular some researchers consider that there is kinaesthetic</w:t>
      </w:r>
      <w:r w:rsidR="00F81221">
        <w:rPr>
          <w:kern w:val="0"/>
        </w:rPr>
        <w:t xml:space="preserve"> and </w:t>
      </w:r>
      <w:r>
        <w:rPr>
          <w:kern w:val="0"/>
        </w:rPr>
        <w:t>balance disturbance from WBV exposure in the workplace</w:t>
      </w:r>
      <w:r w:rsidR="00F81221">
        <w:rPr>
          <w:kern w:val="0"/>
        </w:rPr>
        <w:t xml:space="preserve"> and </w:t>
      </w:r>
      <w:r>
        <w:rPr>
          <w:kern w:val="0"/>
        </w:rPr>
        <w:t>this might be one of the aetiological factors responsible for occupational low back pain in drivers. The purpose of this study was to undertake a critical review of the literature to determine whether exposure to seated occupational WBV can affect standing balance performance in an actual or simulated occupational environment. Specific keywords</w:t>
      </w:r>
      <w:r w:rsidR="00F81221">
        <w:rPr>
          <w:kern w:val="0"/>
        </w:rPr>
        <w:t xml:space="preserve"> and </w:t>
      </w:r>
      <w:r>
        <w:rPr>
          <w:kern w:val="0"/>
        </w:rPr>
        <w:t>MeSH terms for three major areas included WBV, balance</w:t>
      </w:r>
      <w:r w:rsidR="00F81221">
        <w:rPr>
          <w:kern w:val="0"/>
        </w:rPr>
        <w:t xml:space="preserve"> and </w:t>
      </w:r>
      <w:r>
        <w:rPr>
          <w:kern w:val="0"/>
        </w:rPr>
        <w:t>occupation. These were used to conduct a systematic search of the following databases; Pub Med, EMBASE (Ovid), Med line (Ovid), CINAHL (EBSCO), Academic Search Complete (ASC), AMED, Scopus, Web of Science, Science Direct, Proquest, Cochrane library(OVID), IEEExplore</w:t>
      </w:r>
      <w:r w:rsidR="00F81221">
        <w:rPr>
          <w:kern w:val="0"/>
        </w:rPr>
        <w:t xml:space="preserve"> and </w:t>
      </w:r>
      <w:r>
        <w:rPr>
          <w:kern w:val="0"/>
        </w:rPr>
        <w:t>Pro Quest Dissertations</w:t>
      </w:r>
      <w:r w:rsidR="00F81221">
        <w:rPr>
          <w:kern w:val="0"/>
        </w:rPr>
        <w:t xml:space="preserve"> and </w:t>
      </w:r>
      <w:r>
        <w:rPr>
          <w:kern w:val="0"/>
        </w:rPr>
        <w:t>thesis, Google Scholar, World Cat</w:t>
      </w:r>
      <w:r w:rsidR="00F81221">
        <w:rPr>
          <w:kern w:val="0"/>
        </w:rPr>
        <w:t xml:space="preserve"> and </w:t>
      </w:r>
      <w:r>
        <w:rPr>
          <w:kern w:val="0"/>
        </w:rPr>
        <w:t>related conference proceedings. Five articles met the inclusion criteria</w:t>
      </w:r>
      <w:r w:rsidR="00F81221">
        <w:rPr>
          <w:kern w:val="0"/>
        </w:rPr>
        <w:t xml:space="preserve"> and </w:t>
      </w:r>
      <w:r>
        <w:rPr>
          <w:kern w:val="0"/>
        </w:rPr>
        <w:t>were assessed for quality. Two were field studies conducted on actual vehicles (a long haul freight truck</w:t>
      </w:r>
      <w:r w:rsidR="00F81221">
        <w:rPr>
          <w:kern w:val="0"/>
        </w:rPr>
        <w:t xml:space="preserve"> and </w:t>
      </w:r>
      <w:r>
        <w:rPr>
          <w:kern w:val="0"/>
        </w:rPr>
        <w:t>a bulldozer), while the other three were laboratory studies simulating the characteristics of the following vehicles; long-haul-dump vehicle, underground mine shuttle car,</w:t>
      </w:r>
      <w:r w:rsidR="00F81221">
        <w:rPr>
          <w:kern w:val="0"/>
        </w:rPr>
        <w:t xml:space="preserve"> and </w:t>
      </w:r>
      <w:r>
        <w:rPr>
          <w:kern w:val="0"/>
        </w:rPr>
        <w:t>helicopter. The systematic review scored the methodological quality of the included articles with an average</w:t>
      </w:r>
      <w:r w:rsidR="00F81221">
        <w:rPr>
          <w:kern w:val="0"/>
        </w:rPr>
        <w:t xml:space="preserve"> and </w:t>
      </w:r>
      <w:r>
        <w:rPr>
          <w:kern w:val="0"/>
        </w:rPr>
        <w:t>standard deviation of 76 +/- 12.3% (range 59- 93%) indicative of high quality. Three of the five studies (two field</w:t>
      </w:r>
      <w:r w:rsidR="00F81221">
        <w:rPr>
          <w:kern w:val="0"/>
        </w:rPr>
        <w:t xml:space="preserve"> and </w:t>
      </w:r>
      <w:r>
        <w:rPr>
          <w:kern w:val="0"/>
        </w:rPr>
        <w:t xml:space="preserve">one laboratory) found evidence for seated WBV decreasing standing balance performance while two laboratory studies did not find such effects. Thus there is modest evidence to suggest there is a decrease </w:t>
      </w:r>
      <w:r>
        <w:rPr>
          <w:kern w:val="0"/>
        </w:rPr>
        <w:lastRenderedPageBreak/>
        <w:t>in standing balance performance following exposure to seated occupational WBV. Relevance to industry: This systematic review suggests that balance deficits may exist immediately following exposure to occupational seated WBV</w:t>
      </w:r>
      <w:r w:rsidR="00F81221">
        <w:rPr>
          <w:kern w:val="0"/>
        </w:rPr>
        <w:t xml:space="preserve"> and </w:t>
      </w:r>
      <w:r>
        <w:rPr>
          <w:kern w:val="0"/>
        </w:rPr>
        <w:t>may predispose driver/operator to low back injury during manual material handling tasks immediately post driving. (C) 2010 Elsevier B.V. All rights reserved.</w:t>
      </w:r>
    </w:p>
    <w:p w:rsidR="00545E32" w:rsidRDefault="00545E32" w:rsidP="00545E32">
      <w:pPr>
        <w:pStyle w:val="a0"/>
        <w:rPr>
          <w:kern w:val="0"/>
        </w:rPr>
      </w:pPr>
      <w:r>
        <w:rPr>
          <w:kern w:val="0"/>
        </w:rPr>
        <w:t>Keywords: All-Terrain Vehicles, Balance, Clinical Utility, Cochrane, Databases, Disc Degeneration, Dissertations, Driving, Embase, Environment, Exposure, Foot Placement, Google Scholar, Healthy-Young, Industry, Injury, Injury Prevention, Literature, Low-Back-Pain, Occupation, Occupational, Of-Pressure Trajectories, Pain, Postural Control, Postural Control, Pub Med, Researchers, Review, Science, Scopus, Seated, Systematic, Systematic Review, Trunk, Vehicle Driving, Vibration, Web of Science, Whole-Body Vibration</w:t>
      </w:r>
    </w:p>
    <w:p w:rsidR="00967299" w:rsidRPr="00A428C3" w:rsidRDefault="00967299" w:rsidP="00967299">
      <w:pPr>
        <w:pStyle w:val="1"/>
      </w:pPr>
      <w:r w:rsidRPr="00A428C3">
        <w:br w:type="page"/>
      </w:r>
      <w:bookmarkStart w:id="1374" w:name="_Toc317161313"/>
      <w:r w:rsidRPr="00A428C3">
        <w:lastRenderedPageBreak/>
        <w:t xml:space="preserve">Title: </w:t>
      </w:r>
      <w:r w:rsidRPr="00967299">
        <w:rPr>
          <w:iCs/>
        </w:rPr>
        <w:t>International Journal of Industrial Organization</w:t>
      </w:r>
      <w:bookmarkEnd w:id="1374"/>
    </w:p>
    <w:p w:rsidR="00967299" w:rsidRPr="00A428C3" w:rsidRDefault="00967299" w:rsidP="00B72EF9">
      <w:pPr>
        <w:pStyle w:val="12"/>
      </w:pPr>
      <w:r w:rsidRPr="00A428C3">
        <w:t xml:space="preserve">Full Journal Title: </w:t>
      </w:r>
      <w:r w:rsidRPr="00967299">
        <w:t>International Journal of Industrial Organization</w:t>
      </w:r>
    </w:p>
    <w:p w:rsidR="00967299" w:rsidRPr="00A428C3" w:rsidRDefault="00967299" w:rsidP="00B72EF9">
      <w:pPr>
        <w:pStyle w:val="12"/>
      </w:pPr>
      <w:r w:rsidRPr="00A428C3">
        <w:t xml:space="preserve">ISO Abbreviated Title: </w:t>
      </w:r>
    </w:p>
    <w:p w:rsidR="00967299" w:rsidRPr="00A428C3" w:rsidRDefault="00967299" w:rsidP="00B72EF9">
      <w:pPr>
        <w:pStyle w:val="12"/>
      </w:pPr>
      <w:r w:rsidRPr="00A428C3">
        <w:t xml:space="preserve">JCR Abbreviated Title: </w:t>
      </w:r>
    </w:p>
    <w:p w:rsidR="00967299" w:rsidRPr="00A428C3" w:rsidRDefault="00967299" w:rsidP="00B72EF9">
      <w:pPr>
        <w:pStyle w:val="12"/>
      </w:pPr>
      <w:r w:rsidRPr="00A428C3">
        <w:t xml:space="preserve">ISSN: </w:t>
      </w:r>
    </w:p>
    <w:p w:rsidR="00967299" w:rsidRPr="00A428C3" w:rsidRDefault="00967299" w:rsidP="00B72EF9">
      <w:pPr>
        <w:pStyle w:val="12"/>
      </w:pPr>
      <w:r w:rsidRPr="00A428C3">
        <w:t xml:space="preserve">Issues/Year: </w:t>
      </w:r>
    </w:p>
    <w:p w:rsidR="00967299" w:rsidRPr="00A428C3" w:rsidRDefault="00967299" w:rsidP="00B72EF9">
      <w:pPr>
        <w:pStyle w:val="12"/>
      </w:pPr>
      <w:r w:rsidRPr="00A428C3">
        <w:t xml:space="preserve">Journal Country/Territory: </w:t>
      </w:r>
    </w:p>
    <w:p w:rsidR="00967299" w:rsidRPr="00A428C3" w:rsidRDefault="00967299" w:rsidP="00B72EF9">
      <w:pPr>
        <w:pStyle w:val="12"/>
      </w:pPr>
      <w:r w:rsidRPr="00A428C3">
        <w:t xml:space="preserve">Language: </w:t>
      </w:r>
    </w:p>
    <w:p w:rsidR="00967299" w:rsidRPr="00A428C3" w:rsidRDefault="00967299" w:rsidP="00B72EF9">
      <w:pPr>
        <w:pStyle w:val="12"/>
      </w:pPr>
      <w:r w:rsidRPr="00A428C3">
        <w:t xml:space="preserve">Publisher: </w:t>
      </w:r>
    </w:p>
    <w:p w:rsidR="00967299" w:rsidRPr="00A428C3" w:rsidRDefault="00967299" w:rsidP="00B72EF9">
      <w:pPr>
        <w:pStyle w:val="12"/>
      </w:pPr>
      <w:r w:rsidRPr="00A428C3">
        <w:t xml:space="preserve">Publisher Address: </w:t>
      </w:r>
    </w:p>
    <w:p w:rsidR="00967299" w:rsidRPr="00A428C3" w:rsidRDefault="00967299" w:rsidP="00B72EF9">
      <w:pPr>
        <w:pStyle w:val="12"/>
      </w:pPr>
      <w:r w:rsidRPr="00A428C3">
        <w:t>Subject Categories:</w:t>
      </w:r>
    </w:p>
    <w:p w:rsidR="00967299" w:rsidRPr="00A428C3" w:rsidRDefault="00967299" w:rsidP="00B72EF9">
      <w:pPr>
        <w:pStyle w:val="12"/>
      </w:pPr>
      <w:r w:rsidRPr="00A428C3">
        <w:t xml:space="preserve">: Impact Factor </w:t>
      </w:r>
    </w:p>
    <w:p w:rsidR="00967299" w:rsidRDefault="00967299" w:rsidP="00967299">
      <w:pPr>
        <w:pStyle w:val="a0"/>
        <w:rPr>
          <w:kern w:val="0"/>
        </w:rPr>
      </w:pPr>
      <w:r>
        <w:rPr>
          <w:rFonts w:hint="eastAsia"/>
          <w:kern w:val="0"/>
        </w:rPr>
        <w:t xml:space="preserve">? </w:t>
      </w:r>
      <w:r>
        <w:rPr>
          <w:kern w:val="0"/>
        </w:rPr>
        <w:t>Deng, Y. (2008), The value of knowledge spillovers in the U</w:t>
      </w:r>
      <w:r>
        <w:rPr>
          <w:rFonts w:hint="eastAsia"/>
          <w:kern w:val="0"/>
        </w:rPr>
        <w:t>.</w:t>
      </w:r>
      <w:r>
        <w:rPr>
          <w:kern w:val="0"/>
        </w:rPr>
        <w:t>S</w:t>
      </w:r>
      <w:r>
        <w:rPr>
          <w:rFonts w:hint="eastAsia"/>
          <w:kern w:val="0"/>
        </w:rPr>
        <w:t>.</w:t>
      </w:r>
      <w:r>
        <w:rPr>
          <w:kern w:val="0"/>
        </w:rPr>
        <w:t xml:space="preserve"> semiconductor industry. </w:t>
      </w:r>
      <w:r w:rsidRPr="00967299">
        <w:rPr>
          <w:i/>
          <w:iCs/>
          <w:kern w:val="0"/>
        </w:rPr>
        <w:t>International Journal of Industrial Organization</w:t>
      </w:r>
      <w:r>
        <w:rPr>
          <w:kern w:val="0"/>
        </w:rPr>
        <w:t xml:space="preserve">, </w:t>
      </w:r>
      <w:r>
        <w:rPr>
          <w:b/>
          <w:bCs/>
          <w:kern w:val="0"/>
        </w:rPr>
        <w:t>26</w:t>
      </w:r>
      <w:r>
        <w:rPr>
          <w:kern w:val="0"/>
        </w:rPr>
        <w:t xml:space="preserve"> (4), 1044-1058.</w:t>
      </w:r>
    </w:p>
    <w:p w:rsidR="00967299" w:rsidRDefault="00967299" w:rsidP="00967299">
      <w:pPr>
        <w:pStyle w:val="a0"/>
        <w:rPr>
          <w:kern w:val="0"/>
        </w:rPr>
      </w:pPr>
      <w:r>
        <w:rPr>
          <w:rFonts w:hint="eastAsia"/>
          <w:kern w:val="0"/>
        </w:rPr>
        <w:t xml:space="preserve">Full Text: </w:t>
      </w:r>
      <w:hyperlink r:id="rId1940" w:history="1">
        <w:r w:rsidRPr="00967299">
          <w:rPr>
            <w:rStyle w:val="a5"/>
            <w:kern w:val="0"/>
          </w:rPr>
          <w:t>2008\Int J Ind Org26, 1044.pdf</w:t>
        </w:r>
      </w:hyperlink>
    </w:p>
    <w:p w:rsidR="00967299" w:rsidRDefault="00967299" w:rsidP="00967299">
      <w:pPr>
        <w:pStyle w:val="a0"/>
        <w:rPr>
          <w:kern w:val="0"/>
        </w:rPr>
      </w:pPr>
      <w:r>
        <w:rPr>
          <w:kern w:val="0"/>
        </w:rPr>
        <w:t>Abstract: This paper aims at quantifying the economic value of knowledge spillovers by exploring information contained in patent citations. We estimate a market valuation equation of the U.S. semiconductor firms during the 1980s</w:t>
      </w:r>
      <w:r w:rsidR="00F81221">
        <w:rPr>
          <w:kern w:val="0"/>
        </w:rPr>
        <w:t xml:space="preserve"> and </w:t>
      </w:r>
      <w:r>
        <w:rPr>
          <w:kern w:val="0"/>
        </w:rPr>
        <w:t>1990s,</w:t>
      </w:r>
      <w:r w:rsidR="00F81221">
        <w:rPr>
          <w:kern w:val="0"/>
        </w:rPr>
        <w:t xml:space="preserve"> and </w:t>
      </w:r>
      <w:r>
        <w:rPr>
          <w:kern w:val="0"/>
        </w:rPr>
        <w:t xml:space="preserve">find an average value of $0.6 to 1.2 million </w:t>
      </w:r>
      <w:r w:rsidR="000352E7">
        <w:rPr>
          <w:kern w:val="0"/>
        </w:rPr>
        <w:t>“</w:t>
      </w:r>
      <w:r>
        <w:rPr>
          <w:kern w:val="0"/>
        </w:rPr>
        <w:t>R&amp;D-equivalent</w:t>
      </w:r>
      <w:r w:rsidR="000352E7">
        <w:rPr>
          <w:kern w:val="0"/>
        </w:rPr>
        <w:t>”</w:t>
      </w:r>
      <w:r>
        <w:rPr>
          <w:kern w:val="0"/>
        </w:rPr>
        <w:t xml:space="preserve"> dollars for knowledge spillovers embodied in one patent citation. For an average semiconductor firm, such an estimate implies that the total value of knowledge spillovers the firm received during the sample period can be as high as half of its actual total R&amp;D expenditures in the same period. This provides a direct measure of the economic value of social returns or externalities of relevant technological innovations. We also find that the value of knowledge spillovers declines as the size of firm</w:t>
      </w:r>
      <w:r w:rsidR="000352E7">
        <w:rPr>
          <w:kern w:val="0"/>
        </w:rPr>
        <w:t>’</w:t>
      </w:r>
      <w:r>
        <w:rPr>
          <w:kern w:val="0"/>
        </w:rPr>
        <w:t>s patent portfolio increases,</w:t>
      </w:r>
      <w:r w:rsidR="00F81221">
        <w:rPr>
          <w:kern w:val="0"/>
        </w:rPr>
        <w:t xml:space="preserve"> and </w:t>
      </w:r>
      <w:r>
        <w:rPr>
          <w:kern w:val="0"/>
        </w:rPr>
        <w:t>that self citations are more valuable than external citations, indicating a significant amount of tacit knowledge or know-how spillovers that occur within the firm. 2007 Published by Elsevier B.V.</w:t>
      </w:r>
    </w:p>
    <w:p w:rsidR="00967299" w:rsidRDefault="00967299" w:rsidP="00967299">
      <w:pPr>
        <w:pStyle w:val="a0"/>
        <w:rPr>
          <w:kern w:val="0"/>
        </w:rPr>
      </w:pPr>
      <w:r>
        <w:rPr>
          <w:kern w:val="0"/>
        </w:rPr>
        <w:t>Keywords: Citation, Citations, Knowledge Spillovers, Patent Citations, Patented Inventions, R&amp;D, Self-Citations, Semiconductor Industry, US</w:t>
      </w:r>
    </w:p>
    <w:p w:rsidR="00D82914" w:rsidRPr="00A428C3" w:rsidRDefault="00D82914" w:rsidP="00D82914">
      <w:pPr>
        <w:pStyle w:val="1"/>
      </w:pPr>
      <w:r w:rsidRPr="00A428C3">
        <w:br w:type="page"/>
      </w:r>
      <w:bookmarkStart w:id="1375" w:name="_Toc317161314"/>
      <w:r w:rsidRPr="00A428C3">
        <w:lastRenderedPageBreak/>
        <w:t xml:space="preserve">Title: </w:t>
      </w:r>
      <w:r w:rsidRPr="00D82914">
        <w:rPr>
          <w:iCs/>
        </w:rPr>
        <w:t>International Journal of Infectious Diseases</w:t>
      </w:r>
      <w:bookmarkEnd w:id="1375"/>
    </w:p>
    <w:p w:rsidR="00D82914" w:rsidRPr="00A428C3" w:rsidRDefault="00D82914" w:rsidP="00B72EF9">
      <w:pPr>
        <w:pStyle w:val="12"/>
      </w:pPr>
      <w:r w:rsidRPr="00A428C3">
        <w:t xml:space="preserve">Full Journal Title: </w:t>
      </w:r>
      <w:hyperlink r:id="rId1941" w:history="1">
        <w:r w:rsidRPr="00E46DA6">
          <w:rPr>
            <w:rStyle w:val="a5"/>
            <w:iCs/>
          </w:rPr>
          <w:t>International Journal of Infectious Diseases</w:t>
        </w:r>
      </w:hyperlink>
    </w:p>
    <w:p w:rsidR="00D82914" w:rsidRPr="00A428C3" w:rsidRDefault="00D82914" w:rsidP="00B72EF9">
      <w:pPr>
        <w:pStyle w:val="12"/>
      </w:pPr>
      <w:r w:rsidRPr="00A428C3">
        <w:t xml:space="preserve">ISO Abbreviated Title: </w:t>
      </w:r>
    </w:p>
    <w:p w:rsidR="00D82914" w:rsidRPr="00A428C3" w:rsidRDefault="00D82914" w:rsidP="00B72EF9">
      <w:pPr>
        <w:pStyle w:val="12"/>
      </w:pPr>
      <w:r w:rsidRPr="00A428C3">
        <w:t xml:space="preserve">JCR Abbreviated Title: </w:t>
      </w:r>
    </w:p>
    <w:p w:rsidR="00D82914" w:rsidRPr="00A428C3" w:rsidRDefault="00D82914" w:rsidP="00B72EF9">
      <w:pPr>
        <w:pStyle w:val="12"/>
      </w:pPr>
      <w:r w:rsidRPr="00A428C3">
        <w:t xml:space="preserve">ISSN: </w:t>
      </w:r>
    </w:p>
    <w:p w:rsidR="00D82914" w:rsidRPr="00A428C3" w:rsidRDefault="00D82914" w:rsidP="00B72EF9">
      <w:pPr>
        <w:pStyle w:val="12"/>
      </w:pPr>
      <w:r w:rsidRPr="00A428C3">
        <w:t xml:space="preserve">Issues/Year: </w:t>
      </w:r>
    </w:p>
    <w:p w:rsidR="00D82914" w:rsidRPr="00A428C3" w:rsidRDefault="00D82914" w:rsidP="00B72EF9">
      <w:pPr>
        <w:pStyle w:val="12"/>
      </w:pPr>
      <w:r w:rsidRPr="00A428C3">
        <w:t xml:space="preserve">Journal Country/Territory: </w:t>
      </w:r>
    </w:p>
    <w:p w:rsidR="00D82914" w:rsidRPr="00A428C3" w:rsidRDefault="00D82914" w:rsidP="00B72EF9">
      <w:pPr>
        <w:pStyle w:val="12"/>
      </w:pPr>
      <w:r w:rsidRPr="00A428C3">
        <w:t xml:space="preserve">Language: </w:t>
      </w:r>
    </w:p>
    <w:p w:rsidR="00D82914" w:rsidRPr="00A428C3" w:rsidRDefault="00D82914" w:rsidP="00B72EF9">
      <w:pPr>
        <w:pStyle w:val="12"/>
      </w:pPr>
      <w:r w:rsidRPr="00A428C3">
        <w:t xml:space="preserve">Publisher: </w:t>
      </w:r>
    </w:p>
    <w:p w:rsidR="00D82914" w:rsidRPr="00A428C3" w:rsidRDefault="00D82914" w:rsidP="00B72EF9">
      <w:pPr>
        <w:pStyle w:val="12"/>
      </w:pPr>
      <w:r w:rsidRPr="00A428C3">
        <w:t xml:space="preserve">Publisher Address: </w:t>
      </w:r>
    </w:p>
    <w:p w:rsidR="00D82914" w:rsidRPr="00A428C3" w:rsidRDefault="00D82914" w:rsidP="00B72EF9">
      <w:pPr>
        <w:pStyle w:val="12"/>
      </w:pPr>
      <w:r w:rsidRPr="00A428C3">
        <w:t>Subject Categories:</w:t>
      </w:r>
    </w:p>
    <w:p w:rsidR="00D82914" w:rsidRPr="00A428C3" w:rsidRDefault="00D82914" w:rsidP="00B72EF9">
      <w:pPr>
        <w:pStyle w:val="12"/>
      </w:pPr>
      <w:r w:rsidRPr="00A428C3">
        <w:t xml:space="preserve">: Impact Factor </w:t>
      </w:r>
    </w:p>
    <w:p w:rsidR="00D82914" w:rsidRPr="00A428C3" w:rsidRDefault="00D82914" w:rsidP="00D82914">
      <w:pPr>
        <w:pStyle w:val="a0"/>
      </w:pPr>
      <w:r w:rsidRPr="00A428C3">
        <w:t>? Guerrant, R.L., Moore, S.R.</w:t>
      </w:r>
      <w:r w:rsidR="00F81221">
        <w:t xml:space="preserve"> and </w:t>
      </w:r>
      <w:r w:rsidRPr="00A428C3">
        <w:t>Lima, A.A. (2000), Safe drinking water: An attainable goal, key to health</w:t>
      </w:r>
      <w:r w:rsidR="00F81221">
        <w:t xml:space="preserve"> and </w:t>
      </w:r>
      <w:r w:rsidRPr="00A428C3">
        <w:t xml:space="preserve">development, appears farther away. </w:t>
      </w:r>
      <w:r w:rsidRPr="00D82914">
        <w:rPr>
          <w:i/>
          <w:iCs/>
          <w:kern w:val="0"/>
        </w:rPr>
        <w:t>International Journal of Infectious Diseases</w:t>
      </w:r>
      <w:r w:rsidRPr="00A428C3">
        <w:t xml:space="preserve">, </w:t>
      </w:r>
      <w:r w:rsidRPr="00A428C3">
        <w:rPr>
          <w:b/>
        </w:rPr>
        <w:t>4</w:t>
      </w:r>
      <w:r w:rsidRPr="00A428C3">
        <w:t xml:space="preserve"> (1), 1-2.</w:t>
      </w:r>
    </w:p>
    <w:p w:rsidR="00D82914" w:rsidRDefault="00D82914" w:rsidP="00D82914">
      <w:pPr>
        <w:pStyle w:val="a0"/>
        <w:rPr>
          <w:kern w:val="0"/>
        </w:rPr>
      </w:pPr>
      <w:r>
        <w:rPr>
          <w:rFonts w:hint="eastAsia"/>
          <w:kern w:val="0"/>
        </w:rPr>
        <w:t>Full Text:</w:t>
      </w:r>
      <w:r w:rsidRPr="00F44E91">
        <w:rPr>
          <w:iCs/>
          <w:kern w:val="0"/>
        </w:rPr>
        <w:t xml:space="preserve"> </w:t>
      </w:r>
      <w:hyperlink r:id="rId1942" w:history="1">
        <w:r w:rsidRPr="00D82914">
          <w:rPr>
            <w:rStyle w:val="a5"/>
            <w:iCs/>
            <w:kern w:val="0"/>
          </w:rPr>
          <w:t>2000\Int J Inf Dis4, 1.pdf</w:t>
        </w:r>
      </w:hyperlink>
    </w:p>
    <w:p w:rsidR="00D82914" w:rsidRPr="00A428C3" w:rsidRDefault="00D82914" w:rsidP="00D82914">
      <w:pPr>
        <w:pStyle w:val="a0"/>
      </w:pPr>
      <w:r w:rsidRPr="00A428C3">
        <w:t xml:space="preserve">? Welch, T.P. (2000), Risk of </w:t>
      </w:r>
      <w:r w:rsidRPr="00D82914">
        <w:rPr>
          <w:iCs/>
        </w:rPr>
        <w:t>giardia</w:t>
      </w:r>
      <w:r w:rsidRPr="00D82914">
        <w:t>sis</w:t>
      </w:r>
      <w:r w:rsidRPr="00A428C3">
        <w:t xml:space="preserve"> from consumption of wilderness water in North America: A systematic review of epidemiologic data. </w:t>
      </w:r>
      <w:r w:rsidRPr="00D82914">
        <w:rPr>
          <w:i/>
          <w:iCs/>
          <w:kern w:val="0"/>
        </w:rPr>
        <w:t>International Journal of Infectious Diseases</w:t>
      </w:r>
      <w:r w:rsidRPr="00A428C3">
        <w:t xml:space="preserve">, </w:t>
      </w:r>
      <w:r w:rsidRPr="00A428C3">
        <w:rPr>
          <w:b/>
        </w:rPr>
        <w:t>4</w:t>
      </w:r>
      <w:r w:rsidRPr="00A428C3">
        <w:t xml:space="preserve"> (2), 100-103.</w:t>
      </w:r>
    </w:p>
    <w:p w:rsidR="00D82914" w:rsidRDefault="00D82914" w:rsidP="00D82914">
      <w:pPr>
        <w:pStyle w:val="a0"/>
        <w:rPr>
          <w:kern w:val="0"/>
        </w:rPr>
      </w:pPr>
      <w:r>
        <w:rPr>
          <w:rFonts w:hint="eastAsia"/>
          <w:kern w:val="0"/>
        </w:rPr>
        <w:t>Full Text:</w:t>
      </w:r>
      <w:r w:rsidRPr="00F44E91">
        <w:rPr>
          <w:iCs/>
          <w:kern w:val="0"/>
        </w:rPr>
        <w:t xml:space="preserve"> </w:t>
      </w:r>
      <w:hyperlink r:id="rId1943" w:history="1">
        <w:r w:rsidRPr="00D82914">
          <w:rPr>
            <w:rStyle w:val="a5"/>
            <w:iCs/>
            <w:kern w:val="0"/>
          </w:rPr>
          <w:t>2000\Int J Inf Dis4, 100.pdf</w:t>
        </w:r>
      </w:hyperlink>
    </w:p>
    <w:p w:rsidR="00D82914" w:rsidRPr="00A428C3" w:rsidRDefault="00D82914" w:rsidP="00D82914">
      <w:pPr>
        <w:pStyle w:val="a0"/>
      </w:pPr>
      <w:r w:rsidRPr="00A428C3">
        <w:t xml:space="preserve">Abstract: OBJECTIVES: A meta-analytic study was conducted to test the hypothesis that consumption of water from North American backcountry sources poses a statistically significant risk for acquisition of </w:t>
      </w:r>
      <w:r w:rsidRPr="00D82914">
        <w:rPr>
          <w:iCs/>
        </w:rPr>
        <w:t>Giardia</w:t>
      </w:r>
      <w:r w:rsidRPr="00D82914">
        <w:t>sis</w:t>
      </w:r>
      <w:r w:rsidRPr="00A428C3">
        <w:t>.</w:t>
      </w:r>
    </w:p>
    <w:p w:rsidR="00D82914" w:rsidRPr="00A428C3" w:rsidRDefault="00D82914" w:rsidP="00D82914">
      <w:pPr>
        <w:pStyle w:val="a0"/>
      </w:pPr>
      <w:r w:rsidRPr="00A428C3">
        <w:t>METHODS: The biomedical literature was surveyed by accessing Medline,</w:t>
      </w:r>
      <w:r w:rsidR="00F81221">
        <w:t xml:space="preserve"> and </w:t>
      </w:r>
      <w:r w:rsidRPr="00A428C3">
        <w:t>identified studies were supplemented with references in current reviews, published dissertations,</w:t>
      </w:r>
      <w:r w:rsidR="00F81221">
        <w:t xml:space="preserve"> and </w:t>
      </w:r>
      <w:r w:rsidRPr="00A428C3">
        <w:t>prior communications with state health departments. Studies were classified by methodologic design</w:t>
      </w:r>
      <w:r w:rsidR="00F81221">
        <w:t xml:space="preserve"> and </w:t>
      </w:r>
      <w:r w:rsidRPr="00A428C3">
        <w:t>subjected to predetermined inclusion criteria. Odds ratios with 95% confidence intervals, chi-squares,</w:t>
      </w:r>
      <w:r w:rsidR="00F81221">
        <w:t xml:space="preserve"> and </w:t>
      </w:r>
      <w:r w:rsidRPr="00A428C3">
        <w:t>P-values for epidemiologic surveys were either computed from raw data or abstracted directly from the included studies.</w:t>
      </w:r>
    </w:p>
    <w:p w:rsidR="00D82914" w:rsidRPr="00A428C3" w:rsidRDefault="00D82914" w:rsidP="00D82914">
      <w:pPr>
        <w:pStyle w:val="a0"/>
      </w:pPr>
      <w:r w:rsidRPr="00A428C3">
        <w:t>RESULTS: Of 104 articles identified in the initial screening, nine met the inclusion criteria. Neither of two case reports met the criteria of the Centers for Disease Control</w:t>
      </w:r>
      <w:r w:rsidR="00F81221">
        <w:t xml:space="preserve"> and </w:t>
      </w:r>
      <w:r w:rsidRPr="00A428C3">
        <w:t>Prevention (CDC) for waterborne disease outbreak. Two prospective studies were identified, but neither showed a significant association. of four case-control studies providing data, three reported an odds ratio of greater than one.</w:t>
      </w:r>
    </w:p>
    <w:p w:rsidR="00D82914" w:rsidRPr="00A428C3" w:rsidRDefault="00D82914" w:rsidP="00D82914">
      <w:pPr>
        <w:pStyle w:val="a0"/>
      </w:pPr>
      <w:r w:rsidRPr="00A428C3">
        <w:t xml:space="preserve">CONCLUSIONS: Published reports of confirmed </w:t>
      </w:r>
      <w:r w:rsidRPr="00A428C3">
        <w:rPr>
          <w:i/>
          <w:iCs/>
        </w:rPr>
        <w:t>Giardia</w:t>
      </w:r>
      <w:r w:rsidRPr="00A428C3">
        <w:t xml:space="preserve">sis among outdoor recreationalists clearly demonstrate a high incidence among this population. </w:t>
      </w:r>
      <w:r w:rsidRPr="00A428C3">
        <w:lastRenderedPageBreak/>
        <w:t>However, the evidence for an association between drinking backcountry water</w:t>
      </w:r>
      <w:r w:rsidR="00F81221">
        <w:t xml:space="preserve"> and </w:t>
      </w:r>
      <w:r w:rsidRPr="00A428C3">
        <w:t xml:space="preserve">acquiring </w:t>
      </w:r>
      <w:r w:rsidRPr="00A428C3">
        <w:rPr>
          <w:i/>
          <w:iCs/>
        </w:rPr>
        <w:t>Giardia</w:t>
      </w:r>
      <w:r w:rsidRPr="00A428C3">
        <w:t>sis is minimal. Education efforts aimed at outdoor recreationalists should place more emphasis on handwashing than on water purification. Further studies should attempt to separate the specific risk factor of drinking water from backcountry sources from other behaviors among this group that may contribute to the risk.</w:t>
      </w:r>
    </w:p>
    <w:p w:rsidR="00D82914" w:rsidRDefault="00D82914" w:rsidP="00D82914">
      <w:pPr>
        <w:pStyle w:val="a0"/>
        <w:rPr>
          <w:kern w:val="0"/>
        </w:rPr>
      </w:pPr>
      <w:r>
        <w:rPr>
          <w:rFonts w:hint="eastAsia"/>
          <w:kern w:val="0"/>
        </w:rPr>
        <w:t xml:space="preserve">? </w:t>
      </w:r>
      <w:r>
        <w:rPr>
          <w:kern w:val="0"/>
        </w:rPr>
        <w:t>Tuon, F.F., Amato, V.S.</w:t>
      </w:r>
      <w:r w:rsidR="00F81221">
        <w:rPr>
          <w:kern w:val="0"/>
        </w:rPr>
        <w:t xml:space="preserve"> and </w:t>
      </w:r>
      <w:r>
        <w:rPr>
          <w:kern w:val="0"/>
        </w:rPr>
        <w:t>Penteado, S.R. (2009), Bladder irrigation with amphotericin B</w:t>
      </w:r>
      <w:r w:rsidR="00F81221">
        <w:rPr>
          <w:kern w:val="0"/>
        </w:rPr>
        <w:t xml:space="preserve"> and </w:t>
      </w:r>
      <w:r>
        <w:rPr>
          <w:kern w:val="0"/>
        </w:rPr>
        <w:t xml:space="preserve">fungal urinary tract infection-systematic review with meta-analysis. </w:t>
      </w:r>
      <w:r w:rsidRPr="00D82914">
        <w:rPr>
          <w:i/>
          <w:iCs/>
          <w:kern w:val="0"/>
        </w:rPr>
        <w:t>International Journal of Infectious Diseases</w:t>
      </w:r>
      <w:r>
        <w:rPr>
          <w:kern w:val="0"/>
        </w:rPr>
        <w:t xml:space="preserve">, </w:t>
      </w:r>
      <w:r>
        <w:rPr>
          <w:b/>
          <w:bCs/>
          <w:kern w:val="0"/>
        </w:rPr>
        <w:t>13</w:t>
      </w:r>
      <w:r>
        <w:rPr>
          <w:kern w:val="0"/>
        </w:rPr>
        <w:t xml:space="preserve"> (6), 701-706.</w:t>
      </w:r>
    </w:p>
    <w:p w:rsidR="00D82914" w:rsidRDefault="00D82914" w:rsidP="00D82914">
      <w:pPr>
        <w:pStyle w:val="a0"/>
        <w:rPr>
          <w:kern w:val="0"/>
        </w:rPr>
      </w:pPr>
      <w:r>
        <w:rPr>
          <w:rFonts w:hint="eastAsia"/>
          <w:kern w:val="0"/>
        </w:rPr>
        <w:t>Full Text:</w:t>
      </w:r>
      <w:r w:rsidRPr="00F44E91">
        <w:rPr>
          <w:iCs/>
          <w:kern w:val="0"/>
        </w:rPr>
        <w:t xml:space="preserve"> </w:t>
      </w:r>
      <w:hyperlink r:id="rId1944" w:history="1">
        <w:r w:rsidRPr="00E46DA6">
          <w:rPr>
            <w:rStyle w:val="a5"/>
            <w:iCs/>
            <w:kern w:val="0"/>
          </w:rPr>
          <w:t>2009\Int J Inf Dis13, 701.pdf</w:t>
        </w:r>
      </w:hyperlink>
    </w:p>
    <w:p w:rsidR="00D82914" w:rsidRDefault="00D82914" w:rsidP="00D82914">
      <w:pPr>
        <w:pStyle w:val="a0"/>
        <w:rPr>
          <w:kern w:val="0"/>
        </w:rPr>
      </w:pPr>
      <w:r>
        <w:rPr>
          <w:kern w:val="0"/>
        </w:rPr>
        <w:t>Abstract: Background: Candiduria is a hospital-associated infection</w:t>
      </w:r>
      <w:r w:rsidR="00F81221">
        <w:rPr>
          <w:kern w:val="0"/>
        </w:rPr>
        <w:t xml:space="preserve"> and </w:t>
      </w:r>
      <w:r>
        <w:rPr>
          <w:kern w:val="0"/>
        </w:rPr>
        <w:t>a daily problem in the intensive care unit. The treatment of asymptomatic candiduria is not well established</w:t>
      </w:r>
      <w:r w:rsidR="00F81221">
        <w:rPr>
          <w:kern w:val="0"/>
        </w:rPr>
        <w:t xml:space="preserve"> and </w:t>
      </w:r>
      <w:r>
        <w:rPr>
          <w:kern w:val="0"/>
        </w:rPr>
        <w:t>the use of amphotericin B bladder irrigation (ABBI) is controversial. The aim of this systematic review was to determine the best place for this therapy in practice. Methods: The databases searched in this study included MEDLINE, EMBASE, Web of Science,</w:t>
      </w:r>
      <w:r w:rsidR="00F81221">
        <w:rPr>
          <w:kern w:val="0"/>
        </w:rPr>
        <w:t xml:space="preserve"> and </w:t>
      </w:r>
      <w:r>
        <w:rPr>
          <w:kern w:val="0"/>
        </w:rPr>
        <w:t>LILACS (January 1960-June 2007). We included manuscripts with data on the treatment of candiduria using ABBI. The studies were classified as comparative, dose-finding, or non-comparative. Results: From 213 studies, nine articles (377 patients) met our inclusion criteria. ABBI showed a higher clearance of the candiduria 24 hours after the end of therapy than fluconazole (odds ratio (OR) 0.57, 95% confidence interval (CI) 0.32-1.00). Fungal culture 5 days after the end of both therapies showed a similar response (OR 1.51, 95% CI 0.81-2.80). The evaluation of ABBI using an intermittent or continuous system of delivery showed an early candiduria clearance (24 hours after therapy) of 80%</w:t>
      </w:r>
      <w:r w:rsidR="00F81221">
        <w:rPr>
          <w:kern w:val="0"/>
        </w:rPr>
        <w:t xml:space="preserve"> and </w:t>
      </w:r>
      <w:r>
        <w:rPr>
          <w:kern w:val="0"/>
        </w:rPr>
        <w:t>82%, respectively (OR 0.87, 95% CI 0.52-1.36). Candiduria clearance at &gt;5 days after the therapy showed a superior response using continuous bladder irrigation with amphotericin B (OR 0.52, 95% CI 0.29-0.94). The use of continuous ABBI for more than 5 days showed a better result (88% vs. 78%) than ABBI for less than 5 days, but without significance (OR 0.55, 95% CI 0.34-1.04). Conclusion: Although the strength of the results in the underlying literature is not sufficient to allow the drawing of definitive conclusions, ABBI appears to be as effective as fluconazole, but it does not offer systemic antifungal therapy</w:t>
      </w:r>
      <w:r w:rsidR="00F81221">
        <w:rPr>
          <w:kern w:val="0"/>
        </w:rPr>
        <w:t xml:space="preserve"> and </w:t>
      </w:r>
      <w:r>
        <w:rPr>
          <w:kern w:val="0"/>
        </w:rPr>
        <w:t>should only be used for asymptomatic candiduria. (C) 2008 International Society for Infectious Diseases. Published by Elsevier Ltd. All rights reserved.</w:t>
      </w:r>
    </w:p>
    <w:p w:rsidR="00D82914" w:rsidRDefault="00D82914" w:rsidP="00D82914">
      <w:pPr>
        <w:pStyle w:val="a0"/>
        <w:rPr>
          <w:kern w:val="0"/>
        </w:rPr>
      </w:pPr>
      <w:r>
        <w:rPr>
          <w:kern w:val="0"/>
        </w:rPr>
        <w:t>Keywords: Amphotericin B, Bladder, Candida, Candidemia, Candiduria, Candiduria, Clearance, Cystitis, Diagnosis, Fluconazole, Funguria, Funguria, International, Management, Meta-Analysis, Urinary Tract Infection</w:t>
      </w:r>
    </w:p>
    <w:p w:rsidR="00545E32" w:rsidRDefault="00545E32" w:rsidP="00545E32">
      <w:pPr>
        <w:pStyle w:val="a0"/>
        <w:rPr>
          <w:kern w:val="0"/>
        </w:rPr>
      </w:pPr>
      <w:r>
        <w:rPr>
          <w:kern w:val="0"/>
        </w:rPr>
        <w:t>? Chen, T.C., Lu, P.L., Lin, C.Y., Lin, W.R.</w:t>
      </w:r>
      <w:r w:rsidR="00F81221">
        <w:rPr>
          <w:kern w:val="0"/>
        </w:rPr>
        <w:t xml:space="preserve"> and </w:t>
      </w:r>
      <w:r>
        <w:rPr>
          <w:kern w:val="0"/>
        </w:rPr>
        <w:t>Chen, Y.H. (2011), Fluoroquinolones are associated with delayed treatment</w:t>
      </w:r>
      <w:r w:rsidR="00F81221">
        <w:rPr>
          <w:kern w:val="0"/>
        </w:rPr>
        <w:t xml:space="preserve"> and </w:t>
      </w:r>
      <w:r>
        <w:rPr>
          <w:kern w:val="0"/>
        </w:rPr>
        <w:t xml:space="preserve">resistance in tuberculosis: A systematic </w:t>
      </w:r>
      <w:r>
        <w:rPr>
          <w:kern w:val="0"/>
        </w:rPr>
        <w:lastRenderedPageBreak/>
        <w:t>review</w:t>
      </w:r>
      <w:r w:rsidR="00F81221">
        <w:rPr>
          <w:kern w:val="0"/>
        </w:rPr>
        <w:t xml:space="preserve"> and </w:t>
      </w:r>
      <w:r>
        <w:rPr>
          <w:kern w:val="0"/>
        </w:rPr>
        <w:t xml:space="preserve">meta-analysis. </w:t>
      </w:r>
      <w:r>
        <w:rPr>
          <w:i/>
          <w:iCs/>
          <w:kern w:val="0"/>
        </w:rPr>
        <w:t>International Journal of Infectious Diseases</w:t>
      </w:r>
      <w:r>
        <w:rPr>
          <w:kern w:val="0"/>
        </w:rPr>
        <w:t xml:space="preserve">, </w:t>
      </w:r>
      <w:r>
        <w:rPr>
          <w:b/>
          <w:bCs/>
          <w:kern w:val="0"/>
        </w:rPr>
        <w:t>15</w:t>
      </w:r>
      <w:r>
        <w:rPr>
          <w:kern w:val="0"/>
        </w:rPr>
        <w:t xml:space="preserve"> (3), E211-E216.</w:t>
      </w:r>
    </w:p>
    <w:p w:rsidR="00545E32" w:rsidRDefault="00545E32" w:rsidP="00545E32">
      <w:pPr>
        <w:pStyle w:val="a0"/>
        <w:rPr>
          <w:kern w:val="0"/>
        </w:rPr>
      </w:pPr>
      <w:r>
        <w:rPr>
          <w:kern w:val="0"/>
        </w:rPr>
        <w:t>Abstract: Background: Current guidelines for treating community-acquired pneumonia recommend the use of fluoroquinolones for high-risk patients. Previous studies have reported controversial results as to whether fluoroquinolones are associated with delayed diagnosis</w:t>
      </w:r>
      <w:r w:rsidR="00F81221">
        <w:rPr>
          <w:kern w:val="0"/>
        </w:rPr>
        <w:t xml:space="preserve"> and </w:t>
      </w:r>
      <w:r>
        <w:rPr>
          <w:kern w:val="0"/>
        </w:rPr>
        <w:t>treatment of pulmonary tuberculosis (TB)</w:t>
      </w:r>
      <w:r w:rsidR="00F81221">
        <w:rPr>
          <w:kern w:val="0"/>
        </w:rPr>
        <w:t xml:space="preserve"> and </w:t>
      </w:r>
      <w:r>
        <w:rPr>
          <w:kern w:val="0"/>
        </w:rPr>
        <w:t>the development of fluoroquinolone-resistant Mycobacterium tuberculosis. We performed a systematic review</w:t>
      </w:r>
      <w:r w:rsidR="00F81221">
        <w:rPr>
          <w:kern w:val="0"/>
        </w:rPr>
        <w:t xml:space="preserve"> and </w:t>
      </w:r>
      <w:r>
        <w:rPr>
          <w:kern w:val="0"/>
        </w:rPr>
        <w:t>meta-analysis to clarify these issues. Methods: The following databases were searched through September 30, 2010: PUBMED, EMBASE, CINAHL, Cochrane Library, Web of Science, BIOSIS Previews,</w:t>
      </w:r>
      <w:r w:rsidR="00F81221">
        <w:rPr>
          <w:kern w:val="0"/>
        </w:rPr>
        <w:t xml:space="preserve"> and </w:t>
      </w:r>
      <w:r>
        <w:rPr>
          <w:kern w:val="0"/>
        </w:rPr>
        <w:t>the ACP Journal Club. We considered studies that addressed the issues of delay in diagnosis</w:t>
      </w:r>
      <w:r w:rsidR="00F81221">
        <w:rPr>
          <w:kern w:val="0"/>
        </w:rPr>
        <w:t xml:space="preserve"> and </w:t>
      </w:r>
      <w:r>
        <w:rPr>
          <w:kern w:val="0"/>
        </w:rPr>
        <w:t>treatment of TB</w:t>
      </w:r>
      <w:r w:rsidR="00F81221">
        <w:rPr>
          <w:kern w:val="0"/>
        </w:rPr>
        <w:t xml:space="preserve"> and </w:t>
      </w:r>
      <w:r>
        <w:rPr>
          <w:kern w:val="0"/>
        </w:rPr>
        <w:t>the development of resistance. Results: Nine eligible studies (four for delays</w:t>
      </w:r>
      <w:r w:rsidR="00F81221">
        <w:rPr>
          <w:kern w:val="0"/>
        </w:rPr>
        <w:t xml:space="preserve"> and </w:t>
      </w:r>
      <w:r>
        <w:rPr>
          <w:kern w:val="0"/>
        </w:rPr>
        <w:t>five for resistance issues) were included in the meta-analysis from the 770 articles originally identified in the database search. The mean duration of delayed diagnosis</w:t>
      </w:r>
      <w:r w:rsidR="00F81221">
        <w:rPr>
          <w:kern w:val="0"/>
        </w:rPr>
        <w:t xml:space="preserve"> and </w:t>
      </w:r>
      <w:r>
        <w:rPr>
          <w:kern w:val="0"/>
        </w:rPr>
        <w:t>treatment of pulmonary TB in the fluoroquinolone prescription group was 19.03 days, significantly longer than that in the non-fluoroquinolone group (95% confidence interval (CI) 10.87 to 27.18, p &lt; 0.001). The pooled odds ratio of developing a fluoroquinolone-resistant M. tuberculosis strain was 2.70 (95% CI 1.30 to 5.60, p = 0.008). No significant heterogeneity was found among studies in the meta-analysis. Conclusions: Empirical fluoroquinolone prescriptions for pneumonia are associated with longer delays in diagnosis</w:t>
      </w:r>
      <w:r w:rsidR="00F81221">
        <w:rPr>
          <w:kern w:val="0"/>
        </w:rPr>
        <w:t xml:space="preserve"> and </w:t>
      </w:r>
      <w:r>
        <w:rPr>
          <w:kern w:val="0"/>
        </w:rPr>
        <w:t>treatment of pulmonary TB</w:t>
      </w:r>
      <w:r w:rsidR="00F81221">
        <w:rPr>
          <w:kern w:val="0"/>
        </w:rPr>
        <w:t xml:space="preserve"> and </w:t>
      </w:r>
      <w:r>
        <w:rPr>
          <w:kern w:val="0"/>
        </w:rPr>
        <w:t>a higher risk of developing fluoroquinolone-resistant M. tuberculosis. (C) 2010 International Society for Infectious Diseases. Published by Elsevier Ltd. All rights reserved.</w:t>
      </w:r>
    </w:p>
    <w:p w:rsidR="00545E32" w:rsidRDefault="00545E32" w:rsidP="00545E32">
      <w:pPr>
        <w:pStyle w:val="a0"/>
        <w:rPr>
          <w:kern w:val="0"/>
        </w:rPr>
      </w:pPr>
      <w:r>
        <w:rPr>
          <w:kern w:val="0"/>
        </w:rPr>
        <w:t>Keywords: 1st-Line Antibiotics, Cochrane, Community-Acquired Pneumonia, Databases, Development, Diagnosis, Embase, Empiric Treatment, Exposure, Fluoroquinolone, Guidelines, High-Risk Patients, Impact, Journal, Management, Meta-Analysis, Methods, Mycobacterium-Tuberculosis, Pubmed, Pulmonary Tuberculosis, Ratio, Resistance, Review, Risk, Science, Systematic, Systematic Review, Tb, Treatment, Tuberculosis, Web of Science</w:t>
      </w:r>
    </w:p>
    <w:p w:rsidR="001D1E33" w:rsidRPr="001A3D2B" w:rsidRDefault="001D1E33" w:rsidP="001D1E33">
      <w:pPr>
        <w:pStyle w:val="1"/>
      </w:pPr>
      <w:r w:rsidRPr="001A3D2B">
        <w:br w:type="page"/>
      </w:r>
      <w:bookmarkStart w:id="1376" w:name="_Toc81215787"/>
      <w:bookmarkStart w:id="1377" w:name="_Toc246165334"/>
      <w:bookmarkStart w:id="1378" w:name="_Toc287881127"/>
      <w:bookmarkStart w:id="1379" w:name="_Toc317161315"/>
      <w:r w:rsidRPr="001A3D2B">
        <w:lastRenderedPageBreak/>
        <w:t>Title: International Journal</w:t>
      </w:r>
      <w:r>
        <w:t xml:space="preserve"> of </w:t>
      </w:r>
      <w:r w:rsidRPr="001A3D2B">
        <w:t>Information Management</w:t>
      </w:r>
      <w:bookmarkEnd w:id="1376"/>
      <w:bookmarkEnd w:id="1377"/>
      <w:bookmarkEnd w:id="1378"/>
      <w:bookmarkEnd w:id="1379"/>
    </w:p>
    <w:p w:rsidR="001D1E33" w:rsidRPr="001A3D2B" w:rsidRDefault="001D1E33" w:rsidP="001D1E33">
      <w:pPr>
        <w:pStyle w:val="12"/>
      </w:pPr>
      <w:r w:rsidRPr="001A3D2B">
        <w:t xml:space="preserve">Full Journal Title: </w:t>
      </w:r>
      <w:hyperlink r:id="rId1945" w:history="1">
        <w:r w:rsidRPr="0055631A">
          <w:rPr>
            <w:rStyle w:val="a5"/>
          </w:rPr>
          <w:t>International Journal of Information Management</w:t>
        </w:r>
      </w:hyperlink>
    </w:p>
    <w:p w:rsidR="001D1E33" w:rsidRPr="001A3D2B" w:rsidRDefault="001D1E33" w:rsidP="001D1E33">
      <w:pPr>
        <w:pStyle w:val="12"/>
      </w:pPr>
      <w:r w:rsidRPr="001A3D2B">
        <w:t xml:space="preserve">ISO Abbreviated Title: </w:t>
      </w:r>
    </w:p>
    <w:p w:rsidR="001D1E33" w:rsidRPr="001A3D2B" w:rsidRDefault="001D1E33" w:rsidP="001D1E33">
      <w:pPr>
        <w:pStyle w:val="12"/>
      </w:pPr>
      <w:r w:rsidRPr="001A3D2B">
        <w:t xml:space="preserve">JCR Abbreviated Title: </w:t>
      </w:r>
    </w:p>
    <w:p w:rsidR="001D1E33" w:rsidRPr="001A3D2B" w:rsidRDefault="001D1E33" w:rsidP="001D1E33">
      <w:pPr>
        <w:pStyle w:val="12"/>
      </w:pPr>
      <w:r w:rsidRPr="001A3D2B">
        <w:t xml:space="preserve">ISSN: </w:t>
      </w:r>
    </w:p>
    <w:p w:rsidR="001D1E33" w:rsidRPr="001A3D2B" w:rsidRDefault="001D1E33" w:rsidP="001D1E33">
      <w:pPr>
        <w:pStyle w:val="12"/>
      </w:pPr>
      <w:r w:rsidRPr="001A3D2B">
        <w:t xml:space="preserve">Issues/Year: </w:t>
      </w:r>
    </w:p>
    <w:p w:rsidR="001D1E33" w:rsidRPr="001A3D2B" w:rsidRDefault="001D1E33" w:rsidP="001D1E33">
      <w:pPr>
        <w:pStyle w:val="12"/>
      </w:pPr>
      <w:r w:rsidRPr="001A3D2B">
        <w:t xml:space="preserve">Journal Country/Territory: </w:t>
      </w:r>
    </w:p>
    <w:p w:rsidR="001D1E33" w:rsidRPr="001A3D2B" w:rsidRDefault="001D1E33" w:rsidP="001D1E33">
      <w:pPr>
        <w:pStyle w:val="12"/>
      </w:pPr>
      <w:r w:rsidRPr="001A3D2B">
        <w:t xml:space="preserve">Language: </w:t>
      </w:r>
    </w:p>
    <w:p w:rsidR="001D1E33" w:rsidRPr="001A3D2B" w:rsidRDefault="001D1E33" w:rsidP="001D1E33">
      <w:pPr>
        <w:pStyle w:val="12"/>
      </w:pPr>
      <w:r w:rsidRPr="001A3D2B">
        <w:t xml:space="preserve">Publisher: </w:t>
      </w:r>
    </w:p>
    <w:p w:rsidR="001D1E33" w:rsidRPr="001A3D2B" w:rsidRDefault="001D1E33" w:rsidP="001D1E33">
      <w:pPr>
        <w:pStyle w:val="12"/>
      </w:pPr>
      <w:r w:rsidRPr="001A3D2B">
        <w:t xml:space="preserve">Publisher Address: </w:t>
      </w:r>
    </w:p>
    <w:p w:rsidR="001D1E33" w:rsidRPr="001A3D2B" w:rsidRDefault="001D1E33" w:rsidP="001D1E33">
      <w:pPr>
        <w:pStyle w:val="12"/>
      </w:pPr>
      <w:r w:rsidRPr="001A3D2B">
        <w:t>Subject Categories:</w:t>
      </w:r>
    </w:p>
    <w:p w:rsidR="001D1E33" w:rsidRPr="001A3D2B" w:rsidRDefault="001D1E33" w:rsidP="001D1E33">
      <w:pPr>
        <w:pStyle w:val="12"/>
      </w:pPr>
      <w:r w:rsidRPr="001A3D2B">
        <w:t xml:space="preserve">: Impact Factor </w:t>
      </w:r>
    </w:p>
    <w:p w:rsidR="001D1E33" w:rsidRPr="001A3D2B" w:rsidRDefault="001D1E33" w:rsidP="001D1E33">
      <w:pPr>
        <w:pStyle w:val="a0"/>
      </w:pPr>
      <w:r w:rsidRPr="001A3D2B">
        <w:t>? Peritz, B.C. (1986), The periodical literature</w:t>
      </w:r>
      <w:r>
        <w:t xml:space="preserve"> of </w:t>
      </w:r>
      <w:r w:rsidRPr="001A3D2B">
        <w:t>demography</w:t>
      </w:r>
      <w:r w:rsidR="00F81221">
        <w:t xml:space="preserve"> and </w:t>
      </w:r>
      <w:r w:rsidRPr="001A3D2B">
        <w:t>Bradford</w:t>
      </w:r>
      <w:r w:rsidR="000352E7">
        <w:t>’</w:t>
      </w:r>
      <w:r w:rsidRPr="001A3D2B">
        <w:t xml:space="preserve">s law. </w:t>
      </w:r>
      <w:r w:rsidRPr="001A3D2B">
        <w:rPr>
          <w:i/>
          <w:iCs/>
        </w:rPr>
        <w:t>International Journal</w:t>
      </w:r>
      <w:r>
        <w:rPr>
          <w:i/>
          <w:iCs/>
        </w:rPr>
        <w:t xml:space="preserve"> of </w:t>
      </w:r>
      <w:r w:rsidRPr="001A3D2B">
        <w:rPr>
          <w:i/>
          <w:iCs/>
        </w:rPr>
        <w:t>Information Management</w:t>
      </w:r>
      <w:r w:rsidRPr="001A3D2B">
        <w:t xml:space="preserve">, </w:t>
      </w:r>
      <w:r w:rsidRPr="001A3D2B">
        <w:rPr>
          <w:b/>
          <w:bCs/>
        </w:rPr>
        <w:t>6</w:t>
      </w:r>
      <w:r w:rsidRPr="001A3D2B">
        <w:t xml:space="preserve"> (3), 145-155.</w:t>
      </w:r>
    </w:p>
    <w:p w:rsidR="001D1E33" w:rsidRDefault="001D1E33" w:rsidP="001D1E33">
      <w:pPr>
        <w:pStyle w:val="a0"/>
        <w:rPr>
          <w:kern w:val="0"/>
        </w:rPr>
      </w:pPr>
      <w:r>
        <w:rPr>
          <w:rFonts w:hint="eastAsia"/>
          <w:kern w:val="0"/>
        </w:rPr>
        <w:t xml:space="preserve">Full Text: </w:t>
      </w:r>
      <w:hyperlink r:id="rId1946" w:history="1">
        <w:r w:rsidRPr="0055631A">
          <w:rPr>
            <w:rStyle w:val="a5"/>
            <w:kern w:val="0"/>
          </w:rPr>
          <w:t>1986\Int J Inf Man6, 145.pdf</w:t>
        </w:r>
      </w:hyperlink>
    </w:p>
    <w:p w:rsidR="001D1E33" w:rsidRPr="001A3D2B" w:rsidRDefault="001D1E33" w:rsidP="001D1E33">
      <w:pPr>
        <w:pStyle w:val="a0"/>
      </w:pPr>
      <w:r w:rsidRPr="001A3D2B">
        <w:t>Abstract: This paper presents a statistical analysis</w:t>
      </w:r>
      <w:r>
        <w:t xml:space="preserve"> of </w:t>
      </w:r>
      <w:r w:rsidRPr="001A3D2B">
        <w:t>the journals</w:t>
      </w:r>
      <w:r w:rsidR="00F81221">
        <w:t xml:space="preserve"> and </w:t>
      </w:r>
      <w:r w:rsidRPr="001A3D2B">
        <w:t xml:space="preserve">papers abstracted in </w:t>
      </w:r>
      <w:r w:rsidRPr="001A3D2B">
        <w:rPr>
          <w:i/>
          <w:iCs/>
        </w:rPr>
        <w:t>Population Index</w:t>
      </w:r>
      <w:r w:rsidRPr="001A3D2B">
        <w:t xml:space="preserve">, 1984. A </w:t>
      </w:r>
      <w:smartTag w:uri="urn:schemas-microsoft-com:office:smarttags" w:element="place">
        <w:r w:rsidRPr="001A3D2B">
          <w:t>Bradford</w:t>
        </w:r>
      </w:smartTag>
      <w:r w:rsidRPr="001A3D2B">
        <w:t xml:space="preserve"> distribution is fitted to the papers in all the journals regularly scanned by </w:t>
      </w:r>
      <w:r w:rsidRPr="001A3D2B">
        <w:rPr>
          <w:i/>
          <w:iCs/>
        </w:rPr>
        <w:t>Population Index</w:t>
      </w:r>
      <w:r w:rsidRPr="001A3D2B">
        <w:t>, as well as in the journals specifically designated as demography. The fit</w:t>
      </w:r>
      <w:r>
        <w:t xml:space="preserve"> of </w:t>
      </w:r>
      <w:r w:rsidRPr="001A3D2B">
        <w:t>these distributions,</w:t>
      </w:r>
      <w:r w:rsidR="00F81221">
        <w:t xml:space="preserve"> and </w:t>
      </w:r>
      <w:r w:rsidRPr="001A3D2B">
        <w:t>in particular the second one, is remarkably close. A core</w:t>
      </w:r>
      <w:r>
        <w:t xml:space="preserve"> of </w:t>
      </w:r>
      <w:r w:rsidRPr="001A3D2B">
        <w:t>journals for demography is identified. A breakdown</w:t>
      </w:r>
      <w:r>
        <w:t xml:space="preserve"> of </w:t>
      </w:r>
      <w:r w:rsidRPr="001A3D2B">
        <w:t>the journals</w:t>
      </w:r>
      <w:r w:rsidR="00F81221">
        <w:t xml:space="preserve"> and </w:t>
      </w:r>
      <w:r w:rsidRPr="001A3D2B">
        <w:t>the papers published in them by the journal</w:t>
      </w:r>
      <w:r w:rsidR="000352E7">
        <w:t>’</w:t>
      </w:r>
      <w:r w:rsidRPr="001A3D2B">
        <w:t>s field is presented</w:t>
      </w:r>
      <w:r w:rsidR="00F81221">
        <w:t xml:space="preserve"> and </w:t>
      </w:r>
      <w:r w:rsidRPr="001A3D2B">
        <w:t>discussed. Data on the distribution</w:t>
      </w:r>
      <w:r>
        <w:t xml:space="preserve"> of </w:t>
      </w:r>
      <w:r w:rsidRPr="001A3D2B">
        <w:t>journals by country</w:t>
      </w:r>
      <w:r>
        <w:t xml:space="preserve"> of </w:t>
      </w:r>
      <w:r w:rsidRPr="001A3D2B">
        <w:t>publication are also given. An attempt is made to correlate the journal</w:t>
      </w:r>
      <w:r w:rsidR="000352E7">
        <w:t>’</w:t>
      </w:r>
      <w:r w:rsidRPr="001A3D2B">
        <w:t xml:space="preserve">s productivity according to </w:t>
      </w:r>
      <w:r w:rsidRPr="001A3D2B">
        <w:rPr>
          <w:i/>
          <w:iCs/>
        </w:rPr>
        <w:t>Population Index</w:t>
      </w:r>
      <w:r w:rsidRPr="001A3D2B">
        <w:t xml:space="preserve"> with the citation impact according to </w:t>
      </w:r>
      <w:r w:rsidRPr="001A3D2B">
        <w:rPr>
          <w:i/>
          <w:iCs/>
        </w:rPr>
        <w:t>Social Sciences Citation Index</w:t>
      </w:r>
      <w:r w:rsidRPr="001A3D2B">
        <w:t>.</w:t>
      </w:r>
    </w:p>
    <w:p w:rsidR="001D1E33" w:rsidRDefault="001D1E33" w:rsidP="001D1E33">
      <w:pPr>
        <w:pStyle w:val="a0"/>
        <w:rPr>
          <w:kern w:val="0"/>
        </w:rPr>
      </w:pPr>
      <w:r>
        <w:rPr>
          <w:rFonts w:hint="eastAsia"/>
          <w:kern w:val="0"/>
        </w:rPr>
        <w:t xml:space="preserve">? </w:t>
      </w:r>
      <w:r>
        <w:rPr>
          <w:kern w:val="0"/>
        </w:rPr>
        <w:t>Wallace, D.P., Van Fleet, C.</w:t>
      </w:r>
      <w:r w:rsidR="00F81221">
        <w:rPr>
          <w:kern w:val="0"/>
        </w:rPr>
        <w:t xml:space="preserve"> and </w:t>
      </w:r>
      <w:r>
        <w:rPr>
          <w:kern w:val="0"/>
        </w:rPr>
        <w:t xml:space="preserve">Downs, L.J. (2011), The research core of the knowledge management literature. </w:t>
      </w:r>
      <w:r>
        <w:rPr>
          <w:i/>
          <w:iCs/>
          <w:kern w:val="0"/>
        </w:rPr>
        <w:t>International Journal of Information Management</w:t>
      </w:r>
      <w:r>
        <w:rPr>
          <w:kern w:val="0"/>
        </w:rPr>
        <w:t xml:space="preserve">, </w:t>
      </w:r>
      <w:r>
        <w:rPr>
          <w:b/>
          <w:bCs/>
          <w:kern w:val="0"/>
        </w:rPr>
        <w:t>31</w:t>
      </w:r>
      <w:r>
        <w:rPr>
          <w:kern w:val="0"/>
        </w:rPr>
        <w:t xml:space="preserve"> (1), 14-20.</w:t>
      </w:r>
    </w:p>
    <w:p w:rsidR="001D1E33" w:rsidRDefault="001D1E33" w:rsidP="001D1E33">
      <w:pPr>
        <w:pStyle w:val="a0"/>
        <w:rPr>
          <w:kern w:val="0"/>
        </w:rPr>
      </w:pPr>
      <w:r>
        <w:rPr>
          <w:rFonts w:hint="eastAsia"/>
          <w:kern w:val="0"/>
        </w:rPr>
        <w:t xml:space="preserve">Full Text: </w:t>
      </w:r>
      <w:hyperlink r:id="rId1947" w:history="1">
        <w:r w:rsidRPr="005E5523">
          <w:rPr>
            <w:rStyle w:val="a5"/>
            <w:kern w:val="0"/>
          </w:rPr>
          <w:t>2011\Int J Inf Man31, 14.pdf</w:t>
        </w:r>
      </w:hyperlink>
    </w:p>
    <w:p w:rsidR="001D1E33" w:rsidRDefault="001D1E33" w:rsidP="001D1E33">
      <w:pPr>
        <w:pStyle w:val="a0"/>
        <w:rPr>
          <w:kern w:val="0"/>
        </w:rPr>
      </w:pPr>
      <w:r>
        <w:rPr>
          <w:kern w:val="0"/>
        </w:rPr>
        <w:t>Abstract: A bibliometric analysis</w:t>
      </w:r>
      <w:r w:rsidR="00F81221">
        <w:rPr>
          <w:kern w:val="0"/>
        </w:rPr>
        <w:t xml:space="preserve"> and </w:t>
      </w:r>
      <w:r>
        <w:rPr>
          <w:kern w:val="0"/>
        </w:rPr>
        <w:t xml:space="preserve">a content analysis were conducted to explore the nature of the knowledge management literature. For the bibliometric analysis, three levels of Bradford analysis were used to examine the shape of the knowledge management literature based on 21,596 references from 2771 source publications. Each of the three analyses conformed to the typical curve of the Bradford distribution. For the content analysis, the texts of 630 knowledge management articles were analyzed to address the question of what research methodologies are used in the knowledge management literature. It was found that 27.8 percent of knowledge </w:t>
      </w:r>
      <w:r>
        <w:rPr>
          <w:kern w:val="0"/>
        </w:rPr>
        <w:lastRenderedPageBreak/>
        <w:t xml:space="preserve">management-related articles in knowledge management journals used no identifiable research method. Of the remaining 455 refereed articles, 60 percent employed mainstream social sciences research methodologies. The remaining 40 percent of the articles using an identifiable methodology were characterized by the use of </w:t>
      </w:r>
      <w:r w:rsidR="000352E7">
        <w:rPr>
          <w:kern w:val="0"/>
        </w:rPr>
        <w:t>“</w:t>
      </w:r>
      <w:r>
        <w:rPr>
          <w:kern w:val="0"/>
        </w:rPr>
        <w:t>provisional methods</w:t>
      </w:r>
      <w:r w:rsidR="000352E7">
        <w:rPr>
          <w:kern w:val="0"/>
        </w:rPr>
        <w:t>”</w:t>
      </w:r>
      <w:r>
        <w:rPr>
          <w:kern w:val="0"/>
        </w:rPr>
        <w:t xml:space="preserve"> that appeared to substitute for more formally defined or scientifically based research methodologies. (C) 2010 Elsevier Ltd. All rights reserved.</w:t>
      </w:r>
    </w:p>
    <w:p w:rsidR="001D1E33" w:rsidRDefault="001D1E33" w:rsidP="001D1E33">
      <w:pPr>
        <w:pStyle w:val="a0"/>
        <w:rPr>
          <w:kern w:val="0"/>
        </w:rPr>
      </w:pPr>
      <w:r>
        <w:rPr>
          <w:kern w:val="0"/>
        </w:rPr>
        <w:t>Keywords: Analyses, Analysis, Bibliometric, Bibliometric Analysis, Bibliometrics, Bradford Law, Content Analysis, Discipline, Discourses, Distribution, Journals, Knowledge, Knowledge Management, Literature, Management, Methodologies, Methodology, Professional Literature, Publications, References, Research, Research Method, Research Methodologies, Research Methods, Rights, Sciences, Social, Social Sciences, Source, Systems</w:t>
      </w:r>
    </w:p>
    <w:p w:rsidR="008958E6" w:rsidRPr="00217FB1" w:rsidRDefault="008958E6" w:rsidP="008958E6">
      <w:pPr>
        <w:pStyle w:val="1"/>
      </w:pPr>
      <w:r w:rsidRPr="00217FB1">
        <w:br w:type="page"/>
      </w:r>
      <w:bookmarkStart w:id="1380" w:name="_Toc317161316"/>
      <w:r w:rsidRPr="00217FB1">
        <w:lastRenderedPageBreak/>
        <w:t xml:space="preserve">Title: </w:t>
      </w:r>
      <w:r w:rsidRPr="00263442">
        <w:t>International Journal of Intelligent Systems</w:t>
      </w:r>
      <w:bookmarkEnd w:id="1380"/>
    </w:p>
    <w:p w:rsidR="008958E6" w:rsidRPr="00217FB1" w:rsidRDefault="008958E6" w:rsidP="00B72EF9">
      <w:pPr>
        <w:pStyle w:val="12"/>
      </w:pPr>
      <w:r w:rsidRPr="00217FB1">
        <w:t xml:space="preserve">Full Journal Title: </w:t>
      </w:r>
      <w:r w:rsidRPr="00263442">
        <w:t>International Journal of Intelligent Systems</w:t>
      </w:r>
    </w:p>
    <w:p w:rsidR="008958E6" w:rsidRPr="00217FB1" w:rsidRDefault="008958E6" w:rsidP="00B72EF9">
      <w:pPr>
        <w:pStyle w:val="12"/>
      </w:pPr>
      <w:r w:rsidRPr="00217FB1">
        <w:t xml:space="preserve">ISO Abbreviated Title: </w:t>
      </w:r>
    </w:p>
    <w:p w:rsidR="008958E6" w:rsidRPr="00217FB1" w:rsidRDefault="008958E6" w:rsidP="00B72EF9">
      <w:pPr>
        <w:pStyle w:val="12"/>
      </w:pPr>
      <w:r w:rsidRPr="00217FB1">
        <w:t>JCR Abbreviated Title</w:t>
      </w:r>
      <w:r>
        <w:t>:</w:t>
      </w:r>
      <w:r w:rsidRPr="00217FB1">
        <w:t xml:space="preserve"> </w:t>
      </w:r>
    </w:p>
    <w:p w:rsidR="008958E6" w:rsidRPr="00217FB1" w:rsidRDefault="008958E6" w:rsidP="00B72EF9">
      <w:pPr>
        <w:pStyle w:val="12"/>
      </w:pPr>
      <w:r w:rsidRPr="00217FB1">
        <w:t xml:space="preserve">ISSN: </w:t>
      </w:r>
    </w:p>
    <w:p w:rsidR="008958E6" w:rsidRPr="00217FB1" w:rsidRDefault="008958E6" w:rsidP="00B72EF9">
      <w:pPr>
        <w:pStyle w:val="12"/>
      </w:pPr>
      <w:r w:rsidRPr="00217FB1">
        <w:t xml:space="preserve">Issues/Year: </w:t>
      </w:r>
    </w:p>
    <w:p w:rsidR="008958E6" w:rsidRPr="00217FB1" w:rsidRDefault="00FB5623" w:rsidP="00B72EF9">
      <w:pPr>
        <w:pStyle w:val="12"/>
      </w:pPr>
      <w:r>
        <w:t>Journal Country/Territory:</w:t>
      </w:r>
      <w:r w:rsidR="008958E6">
        <w:t xml:space="preserve"> </w:t>
      </w:r>
    </w:p>
    <w:p w:rsidR="008958E6" w:rsidRPr="00217FB1" w:rsidRDefault="008958E6" w:rsidP="00B72EF9">
      <w:pPr>
        <w:pStyle w:val="12"/>
      </w:pPr>
      <w:r w:rsidRPr="00217FB1">
        <w:t xml:space="preserve">Language: </w:t>
      </w:r>
    </w:p>
    <w:p w:rsidR="008958E6" w:rsidRPr="00217FB1" w:rsidRDefault="008958E6" w:rsidP="00B72EF9">
      <w:pPr>
        <w:pStyle w:val="12"/>
      </w:pPr>
      <w:r w:rsidRPr="00217FB1">
        <w:t xml:space="preserve">Publisher: </w:t>
      </w:r>
    </w:p>
    <w:p w:rsidR="008958E6" w:rsidRPr="00217FB1" w:rsidRDefault="008958E6" w:rsidP="00B72EF9">
      <w:pPr>
        <w:pStyle w:val="12"/>
      </w:pPr>
      <w:r w:rsidRPr="00217FB1">
        <w:t xml:space="preserve">Publisher Address: </w:t>
      </w:r>
    </w:p>
    <w:p w:rsidR="008958E6" w:rsidRPr="00217FB1" w:rsidRDefault="008958E6" w:rsidP="00B72EF9">
      <w:pPr>
        <w:pStyle w:val="12"/>
      </w:pPr>
      <w:r w:rsidRPr="00217FB1">
        <w:t>Subject Categories:</w:t>
      </w:r>
    </w:p>
    <w:p w:rsidR="008958E6" w:rsidRPr="00217FB1" w:rsidRDefault="008958E6" w:rsidP="00B72EF9">
      <w:pPr>
        <w:pStyle w:val="12"/>
      </w:pPr>
      <w:r w:rsidRPr="00217FB1">
        <w:t xml:space="preserve">: Impact Factor </w:t>
      </w:r>
    </w:p>
    <w:p w:rsidR="008958E6" w:rsidRDefault="008958E6" w:rsidP="008958E6">
      <w:pPr>
        <w:pStyle w:val="a0"/>
        <w:rPr>
          <w:kern w:val="0"/>
          <w:szCs w:val="24"/>
        </w:rPr>
      </w:pPr>
      <w:r>
        <w:rPr>
          <w:rFonts w:hint="eastAsia"/>
          <w:kern w:val="0"/>
          <w:szCs w:val="24"/>
        </w:rPr>
        <w:t xml:space="preserve">? </w:t>
      </w:r>
      <w:r>
        <w:rPr>
          <w:kern w:val="0"/>
          <w:szCs w:val="24"/>
        </w:rPr>
        <w:t>Nowakowska, M. (1990), Cluster-Analysis, graphs,</w:t>
      </w:r>
      <w:r w:rsidR="00F81221">
        <w:rPr>
          <w:kern w:val="0"/>
          <w:szCs w:val="24"/>
        </w:rPr>
        <w:t xml:space="preserve"> and </w:t>
      </w:r>
      <w:r>
        <w:rPr>
          <w:kern w:val="0"/>
          <w:szCs w:val="24"/>
        </w:rPr>
        <w:t>branching-processes as new methodologies for intelligent systems on example of bibliometric</w:t>
      </w:r>
      <w:r w:rsidR="00F81221">
        <w:rPr>
          <w:kern w:val="0"/>
          <w:szCs w:val="24"/>
        </w:rPr>
        <w:t xml:space="preserve"> and </w:t>
      </w:r>
      <w:r>
        <w:rPr>
          <w:kern w:val="0"/>
          <w:szCs w:val="24"/>
        </w:rPr>
        <w:t xml:space="preserve">social network data. </w:t>
      </w:r>
      <w:r>
        <w:rPr>
          <w:i/>
          <w:iCs/>
          <w:kern w:val="0"/>
          <w:szCs w:val="24"/>
        </w:rPr>
        <w:t>International Journal of Intelligent Systems</w:t>
      </w:r>
      <w:r>
        <w:rPr>
          <w:kern w:val="0"/>
          <w:szCs w:val="24"/>
        </w:rPr>
        <w:t xml:space="preserve">, </w:t>
      </w:r>
      <w:r>
        <w:rPr>
          <w:b/>
          <w:bCs/>
          <w:kern w:val="0"/>
          <w:szCs w:val="24"/>
        </w:rPr>
        <w:t>5</w:t>
      </w:r>
      <w:r>
        <w:rPr>
          <w:kern w:val="0"/>
          <w:szCs w:val="24"/>
        </w:rPr>
        <w:t xml:space="preserve"> (3), 247-263</w:t>
      </w:r>
    </w:p>
    <w:p w:rsidR="008958E6" w:rsidRDefault="008958E6" w:rsidP="008958E6">
      <w:pPr>
        <w:pStyle w:val="a0"/>
        <w:rPr>
          <w:kern w:val="0"/>
          <w:szCs w:val="24"/>
        </w:rPr>
      </w:pPr>
      <w:r>
        <w:rPr>
          <w:kern w:val="0"/>
          <w:szCs w:val="24"/>
        </w:rPr>
        <w:t>Keywords: Bibliometric</w:t>
      </w:r>
    </w:p>
    <w:p w:rsidR="00B95188" w:rsidRPr="00A428C3" w:rsidRDefault="008958E6" w:rsidP="008958E6">
      <w:pPr>
        <w:pStyle w:val="1"/>
      </w:pPr>
      <w:r w:rsidRPr="00217FB1">
        <w:br w:type="page"/>
      </w:r>
      <w:bookmarkStart w:id="1381" w:name="_Toc186647928"/>
      <w:bookmarkStart w:id="1382" w:name="_Toc317161317"/>
      <w:r w:rsidR="00B95188" w:rsidRPr="00A428C3">
        <w:lastRenderedPageBreak/>
        <w:t>Title: International Journal of Language &amp; Communication Disorders</w:t>
      </w:r>
      <w:bookmarkEnd w:id="1381"/>
      <w:bookmarkEnd w:id="1382"/>
    </w:p>
    <w:p w:rsidR="00B95188" w:rsidRPr="00A428C3" w:rsidRDefault="00B95188" w:rsidP="00B72EF9">
      <w:pPr>
        <w:pStyle w:val="12"/>
      </w:pPr>
      <w:r w:rsidRPr="00A428C3">
        <w:t>Full Journal Title: International Journal of Language &amp; Communication Disorders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1368-2822</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Lewison, G.</w:t>
      </w:r>
      <w:r w:rsidR="00F81221">
        <w:t xml:space="preserve"> and </w:t>
      </w:r>
      <w:r w:rsidRPr="00A428C3">
        <w:t xml:space="preserve">Carding, P. (2003), Evaluating </w:t>
      </w:r>
      <w:smartTag w:uri="urn:schemas-microsoft-com:office:smarttags" w:element="place">
        <w:smartTag w:uri="urn:schemas-microsoft-com:office:smarttags" w:element="country-region">
          <w:r w:rsidRPr="00A428C3">
            <w:t>UK</w:t>
          </w:r>
        </w:smartTag>
      </w:smartTag>
      <w:r w:rsidRPr="00A428C3">
        <w:t xml:space="preserve"> research in speech</w:t>
      </w:r>
      <w:r w:rsidR="00F81221">
        <w:t xml:space="preserve"> and </w:t>
      </w:r>
      <w:r w:rsidRPr="00A428C3">
        <w:t xml:space="preserve">language therapy. </w:t>
      </w:r>
      <w:r w:rsidRPr="00A428C3">
        <w:rPr>
          <w:i/>
          <w:iCs/>
        </w:rPr>
        <w:t>International Journal of Language &amp; Communication Disorders</w:t>
      </w:r>
      <w:r w:rsidRPr="00A428C3">
        <w:t xml:space="preserve">, </w:t>
      </w:r>
      <w:r w:rsidRPr="00A428C3">
        <w:rPr>
          <w:b/>
        </w:rPr>
        <w:t>38</w:t>
      </w:r>
      <w:r w:rsidRPr="00A428C3">
        <w:t xml:space="preserve"> (1), 65-84.</w:t>
      </w:r>
    </w:p>
    <w:p w:rsidR="00B95188" w:rsidRPr="00A428C3" w:rsidRDefault="00B95188" w:rsidP="00B95188">
      <w:pPr>
        <w:pStyle w:val="a0"/>
      </w:pPr>
      <w:r w:rsidRPr="00A428C3">
        <w:t xml:space="preserve">Full Text: </w:t>
      </w:r>
      <w:hyperlink r:id="rId1948" w:history="1">
        <w:r w:rsidRPr="00A428C3">
          <w:rPr>
            <w:rStyle w:val="a5"/>
          </w:rPr>
          <w:t>I\Int J Lan Com Dis38, 65.pdf</w:t>
        </w:r>
      </w:hyperlink>
    </w:p>
    <w:p w:rsidR="00B95188" w:rsidRPr="00A428C3" w:rsidRDefault="00B95188" w:rsidP="00B95188">
      <w:pPr>
        <w:pStyle w:val="a0"/>
      </w:pPr>
      <w:r w:rsidRPr="00A428C3">
        <w:t>Abstract: Background: There has been a steady growth in recent years in British higher-degree training in speech</w:t>
      </w:r>
      <w:r w:rsidR="00F81221">
        <w:t xml:space="preserve"> and </w:t>
      </w:r>
      <w:r w:rsidRPr="00A428C3">
        <w:t xml:space="preserve">language therapy. But what is the standing of </w:t>
      </w:r>
      <w:smartTag w:uri="urn:schemas-microsoft-com:office:smarttags" w:element="place">
        <w:smartTag w:uri="urn:schemas-microsoft-com:office:smarttags" w:element="country-region">
          <w:r w:rsidRPr="00A428C3">
            <w:t>UK</w:t>
          </w:r>
        </w:smartTag>
      </w:smartTag>
      <w:r w:rsidRPr="00A428C3">
        <w:t xml:space="preserve"> research in the subject</w:t>
      </w:r>
      <w:r w:rsidR="00F81221">
        <w:t xml:space="preserve"> and </w:t>
      </w:r>
      <w:r w:rsidRPr="00A428C3">
        <w:t>its component areas which should underpin</w:t>
      </w:r>
      <w:r w:rsidR="00F81221">
        <w:t xml:space="preserve"> and </w:t>
      </w:r>
      <w:r w:rsidRPr="00A428C3">
        <w:t>inform such training? How can such research be evaluated?</w:t>
      </w:r>
    </w:p>
    <w:p w:rsidR="00B95188" w:rsidRPr="00A428C3" w:rsidRDefault="00B95188" w:rsidP="00B95188">
      <w:pPr>
        <w:pStyle w:val="a0"/>
      </w:pPr>
      <w:r w:rsidRPr="00A428C3">
        <w:t xml:space="preserve">Aims: The intention was to compare </w:t>
      </w:r>
      <w:smartTag w:uri="urn:schemas-microsoft-com:office:smarttags" w:element="place">
        <w:smartTag w:uri="urn:schemas-microsoft-com:office:smarttags" w:element="country-region">
          <w:r w:rsidRPr="00A428C3">
            <w:t>UK</w:t>
          </w:r>
        </w:smartTag>
      </w:smartTag>
      <w:r w:rsidRPr="00A428C3">
        <w:t xml:space="preserve"> publications relevant to speech</w:t>
      </w:r>
      <w:r w:rsidR="00F81221">
        <w:t xml:space="preserve"> and </w:t>
      </w:r>
      <w:r w:rsidRPr="00A428C3">
        <w:t>language therapy with those of other countries, both quantitatively</w:t>
      </w:r>
      <w:r w:rsidR="00F81221">
        <w:t xml:space="preserve"> and </w:t>
      </w:r>
      <w:r w:rsidRPr="00A428C3">
        <w:t xml:space="preserve">qualitatively. We sought then to examine the </w:t>
      </w:r>
      <w:smartTag w:uri="urn:schemas-microsoft-com:office:smarttags" w:element="place">
        <w:smartTag w:uri="urn:schemas-microsoft-com:office:smarttags" w:element="country-region">
          <w:r w:rsidRPr="00A428C3">
            <w:t>UK</w:t>
          </w:r>
        </w:smartTag>
      </w:smartTag>
      <w:r w:rsidRPr="00A428C3">
        <w:t xml:space="preserve"> papers in more detail to analyse their sources of funding, their geographical distribution</w:t>
      </w:r>
      <w:r w:rsidR="00F81221">
        <w:t xml:space="preserve"> and </w:t>
      </w:r>
      <w:r w:rsidRPr="00A428C3">
        <w:t>the ways in which they could appropriately be evaluated.</w:t>
      </w:r>
    </w:p>
    <w:p w:rsidR="00B95188" w:rsidRPr="00A428C3" w:rsidRDefault="00B95188" w:rsidP="00B95188">
      <w:pPr>
        <w:pStyle w:val="a0"/>
      </w:pPr>
      <w:r w:rsidRPr="00A428C3">
        <w:t>Methods &amp; Procedures: Papers were selectively retrieved from the Science Citation Index</w:t>
      </w:r>
      <w:r w:rsidR="00F81221">
        <w:t xml:space="preserve"> and </w:t>
      </w:r>
      <w:r w:rsidRPr="00A428C3">
        <w:t>the Social Sciences Citation Index for 1991-2000 by means of a filter based on journal names</w:t>
      </w:r>
      <w:r w:rsidR="00F81221">
        <w:t xml:space="preserve"> and </w:t>
      </w:r>
      <w:r w:rsidRPr="00A428C3">
        <w:t>paper title words. They were subsequently checked to remove many false positives. The papers were classified into one of seven subject areas</w:t>
      </w:r>
      <w:r w:rsidR="00F81221">
        <w:t xml:space="preserve"> and </w:t>
      </w:r>
      <w:r w:rsidRPr="00A428C3">
        <w:t>by their research level (from clinical to basic). Their importance was estimated through their potential impact on other researchers, as determined by the citation score of their journals, by the numbers of citations they actually received</w:t>
      </w:r>
      <w:r w:rsidR="00F81221">
        <w:t xml:space="preserve"> and </w:t>
      </w:r>
      <w:r w:rsidRPr="00A428C3">
        <w:t xml:space="preserve">by the subjective esteem in which the various journals were held by </w:t>
      </w:r>
      <w:smartTag w:uri="urn:schemas-microsoft-com:office:smarttags" w:element="place">
        <w:smartTag w:uri="urn:schemas-microsoft-com:office:smarttags" w:element="country-region">
          <w:r w:rsidRPr="00A428C3">
            <w:t>UK</w:t>
          </w:r>
        </w:smartTag>
      </w:smartTag>
      <w:r w:rsidRPr="00A428C3">
        <w:t xml:space="preserve"> speech</w:t>
      </w:r>
      <w:r w:rsidR="00F81221">
        <w:t xml:space="preserve"> and </w:t>
      </w:r>
      <w:r w:rsidRPr="00A428C3">
        <w:t>language researchers.</w:t>
      </w:r>
    </w:p>
    <w:p w:rsidR="00B95188" w:rsidRPr="00A428C3" w:rsidRDefault="00B95188" w:rsidP="00B95188">
      <w:pPr>
        <w:pStyle w:val="a0"/>
      </w:pPr>
      <w:r w:rsidRPr="00A428C3">
        <w:t>Outcomes &amp; Results: World output of speech</w:t>
      </w:r>
      <w:r w:rsidR="00F81221">
        <w:t xml:space="preserve"> and </w:t>
      </w:r>
      <w:r w:rsidRPr="00A428C3">
        <w:t>language therapy papers has averaged 1000 papers per year during the 1990s,</w:t>
      </w:r>
      <w:r w:rsidR="00F81221">
        <w:t xml:space="preserve"> and </w:t>
      </w:r>
      <w:r w:rsidRPr="00A428C3">
        <w:t xml:space="preserve">has grown by half over the period. UK </w:t>
      </w:r>
      <w:r w:rsidRPr="00A428C3">
        <w:lastRenderedPageBreak/>
        <w:t>output has been about 12% of the total, compared with 10% in biomedicine,</w:t>
      </w:r>
      <w:r w:rsidR="00F81221">
        <w:t xml:space="preserve"> and </w:t>
      </w:r>
      <w:r w:rsidRPr="00A428C3">
        <w:t xml:space="preserve">is published in high impact journals relative to the norm for the field, which is quite a low rate compared with biomedicine overall. Almost half the </w:t>
      </w:r>
      <w:smartTag w:uri="urn:schemas-microsoft-com:office:smarttags" w:element="place">
        <w:smartTag w:uri="urn:schemas-microsoft-com:office:smarttags" w:element="country-region">
          <w:r w:rsidRPr="00A428C3">
            <w:t>UK</w:t>
          </w:r>
        </w:smartTag>
      </w:smartTag>
      <w:r w:rsidRPr="00A428C3">
        <w:t xml:space="preserve"> papers had no funding acknowledgements, with the private-non-profit</w:t>
      </w:r>
      <w:r w:rsidR="00F81221">
        <w:t xml:space="preserve"> and </w:t>
      </w:r>
      <w:r w:rsidRPr="00A428C3">
        <w:t>industrial sectors playing less of a role than in other biomedical areas. Papers in seven subject areas showed substantial differences in their performance on the four criteria selected.</w:t>
      </w:r>
    </w:p>
    <w:p w:rsidR="00B95188" w:rsidRPr="00A428C3" w:rsidRDefault="00B95188" w:rsidP="00B95188">
      <w:pPr>
        <w:pStyle w:val="a0"/>
      </w:pPr>
      <w:r w:rsidRPr="00A428C3">
        <w:t>Conclusions: The state of British speech</w:t>
      </w:r>
      <w:r w:rsidR="00F81221">
        <w:t xml:space="preserve"> and </w:t>
      </w:r>
      <w:r w:rsidRPr="00A428C3">
        <w:t>language research appears to be satisfactory, with an above average output in both quantity</w:t>
      </w:r>
      <w:r w:rsidR="00F81221">
        <w:t xml:space="preserve"> and </w:t>
      </w:r>
      <w:r w:rsidRPr="00A428C3">
        <w:t>quality. However, it is not attracting funding from some types of sponsors</w:t>
      </w:r>
      <w:r w:rsidR="00F81221">
        <w:t xml:space="preserve"> and </w:t>
      </w:r>
      <w:r w:rsidRPr="00A428C3">
        <w:t>is not being published in general medical journals where it might have a wider influence on general clinical practice. It is also not clear how best such research can be evaluated, although conventional citation counts may be relevant for some subject areas.</w:t>
      </w:r>
    </w:p>
    <w:p w:rsidR="00B95188" w:rsidRPr="00A428C3" w:rsidRDefault="00B95188" w:rsidP="00B95188">
      <w:pPr>
        <w:pStyle w:val="a0"/>
      </w:pPr>
      <w:r w:rsidRPr="00A428C3">
        <w:t>Keywords: Bibliometrics, Biomedical-Research, Citations, Evaluation, Funding, Journals, Research, Subfields</w:t>
      </w:r>
    </w:p>
    <w:p w:rsidR="00B95188" w:rsidRPr="00A428C3" w:rsidRDefault="00B95188" w:rsidP="00B95188">
      <w:pPr>
        <w:pStyle w:val="1"/>
      </w:pPr>
      <w:r w:rsidRPr="00A428C3">
        <w:br w:type="page"/>
      </w:r>
      <w:bookmarkStart w:id="1383" w:name="_Toc186647929"/>
      <w:bookmarkStart w:id="1384" w:name="_Toc317161318"/>
      <w:r w:rsidRPr="00A428C3">
        <w:lastRenderedPageBreak/>
        <w:t xml:space="preserve">Title: </w:t>
      </w:r>
      <w:r w:rsidRPr="00A428C3">
        <w:rPr>
          <w:szCs w:val="24"/>
        </w:rPr>
        <w:t>International Journal of Legal Medicine</w:t>
      </w:r>
      <w:bookmarkEnd w:id="1383"/>
      <w:bookmarkEnd w:id="1384"/>
    </w:p>
    <w:p w:rsidR="00B95188" w:rsidRPr="00A428C3" w:rsidRDefault="00B95188" w:rsidP="00B72EF9">
      <w:pPr>
        <w:pStyle w:val="12"/>
      </w:pPr>
      <w:r w:rsidRPr="00A428C3">
        <w:t xml:space="preserve">Full Journal Title: </w:t>
      </w:r>
      <w:hyperlink r:id="rId1949" w:history="1">
        <w:r w:rsidRPr="00A428C3">
          <w:rPr>
            <w:rStyle w:val="a5"/>
          </w:rPr>
          <w:t>International Journal of Legal Medicine</w:t>
        </w:r>
      </w:hyperlink>
    </w:p>
    <w:p w:rsidR="00B95188" w:rsidRPr="00A428C3" w:rsidRDefault="00B95188" w:rsidP="00B72EF9">
      <w:pPr>
        <w:pStyle w:val="12"/>
      </w:pPr>
      <w:r w:rsidRPr="00A428C3">
        <w:t>ISO Abbreviated Title: Int. J. Legal. Med.</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0937-9827</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 xml:space="preserve">Subject Categories: </w:t>
      </w:r>
    </w:p>
    <w:p w:rsidR="00B95188" w:rsidRPr="00A428C3" w:rsidRDefault="00B95188" w:rsidP="00B72EF9">
      <w:pPr>
        <w:pStyle w:val="12"/>
      </w:pPr>
      <w:r w:rsidRPr="00A428C3">
        <w:t>: Impact Factor</w:t>
      </w:r>
    </w:p>
    <w:p w:rsidR="00B95188" w:rsidRPr="00A428C3" w:rsidRDefault="00B95188" w:rsidP="00B95188">
      <w:pPr>
        <w:pStyle w:val="a0"/>
      </w:pPr>
      <w:r w:rsidRPr="00A428C3">
        <w:t>? Jones, A.W. (2005), Creme de la creme in forensic science</w:t>
      </w:r>
      <w:r w:rsidR="00F81221">
        <w:t xml:space="preserve"> and </w:t>
      </w:r>
      <w:r w:rsidRPr="00A428C3">
        <w:t>legal medicine - The most highly cited articles, authors</w:t>
      </w:r>
      <w:r w:rsidR="00F81221">
        <w:t xml:space="preserve"> and </w:t>
      </w:r>
      <w:r w:rsidRPr="00A428C3">
        <w:t xml:space="preserve">journals 1981-2003. </w:t>
      </w:r>
      <w:r w:rsidRPr="00A428C3">
        <w:rPr>
          <w:i/>
        </w:rPr>
        <w:t>International Journal of Legal Medicine</w:t>
      </w:r>
      <w:r w:rsidRPr="00A428C3">
        <w:t xml:space="preserve">, </w:t>
      </w:r>
      <w:r w:rsidRPr="00A428C3">
        <w:rPr>
          <w:b/>
        </w:rPr>
        <w:t>119</w:t>
      </w:r>
      <w:r w:rsidRPr="00A428C3">
        <w:t xml:space="preserve"> (2), 59-65.</w:t>
      </w:r>
    </w:p>
    <w:p w:rsidR="005C1653" w:rsidRPr="001A3D2B" w:rsidRDefault="005C1653" w:rsidP="005C1653">
      <w:pPr>
        <w:pStyle w:val="a0"/>
      </w:pPr>
      <w:r w:rsidRPr="001A3D2B">
        <w:t xml:space="preserve">Full Text: </w:t>
      </w:r>
      <w:hyperlink r:id="rId1950" w:history="1">
        <w:r w:rsidRPr="00340D41">
          <w:rPr>
            <w:rStyle w:val="a5"/>
          </w:rPr>
          <w:t>2005\Int J Leg Med119, 59.pdf</w:t>
        </w:r>
      </w:hyperlink>
    </w:p>
    <w:p w:rsidR="00B95188" w:rsidRPr="00A428C3" w:rsidRDefault="00B95188" w:rsidP="00B95188">
      <w:pPr>
        <w:pStyle w:val="a0"/>
      </w:pPr>
      <w:r w:rsidRPr="00A428C3">
        <w:t>Abstract: The importance</w:t>
      </w:r>
      <w:r w:rsidR="00F81221">
        <w:t xml:space="preserve"> and </w:t>
      </w:r>
      <w:r w:rsidRPr="00A428C3">
        <w:t>prestige of a scientific journal is increasingly being judged by the number of times the articles it publishes are cited or referenced in articles published in other scientific journals. Citation counting is also used to assess the merits of individual scientists when academic promotion</w:t>
      </w:r>
      <w:r w:rsidR="00F81221">
        <w:t xml:space="preserve"> and </w:t>
      </w:r>
      <w:r w:rsidRPr="00A428C3">
        <w:t>tenure are decided. With the help of Thomson, Institute for Scientific Information (Thomson ISI) a citation database was created for six leading forensic science</w:t>
      </w:r>
      <w:r w:rsidR="00F81221">
        <w:t xml:space="preserve"> and </w:t>
      </w:r>
      <w:r w:rsidRPr="00A428C3">
        <w:t>legal medicine journals. This database was used to determine the most highly cited articles, authors, journals</w:t>
      </w:r>
      <w:r w:rsidR="00F81221">
        <w:t xml:space="preserve"> and </w:t>
      </w:r>
      <w:r w:rsidRPr="00A428C3">
        <w:t>the most prolific authors of articles in the forensic sciences. The forensic science</w:t>
      </w:r>
      <w:r w:rsidR="00F81221">
        <w:t xml:space="preserve"> and </w:t>
      </w:r>
      <w:r w:rsidRPr="00A428C3">
        <w:t>legal medicine journals evaluated were: Journal of Forensic Sciences (JFS), Forensic Science International (FSI), International Journal of Legal Medicine (IJLM), Medicine, Science</w:t>
      </w:r>
      <w:r w:rsidR="00F81221">
        <w:t xml:space="preserve"> and </w:t>
      </w:r>
      <w:r w:rsidRPr="00A428C3">
        <w:t>the Law (MSL), American Journal of Forensic Medicine</w:t>
      </w:r>
      <w:r w:rsidR="00F81221">
        <w:t xml:space="preserve"> and </w:t>
      </w:r>
      <w:r w:rsidRPr="00A428C3">
        <w:t>Pathology (AJFMP),</w:t>
      </w:r>
      <w:r w:rsidR="00F81221">
        <w:t xml:space="preserve"> and </w:t>
      </w:r>
      <w:r w:rsidRPr="00A428C3">
        <w:t>Science</w:t>
      </w:r>
      <w:r w:rsidR="00F81221">
        <w:t xml:space="preserve"> and </w:t>
      </w:r>
      <w:r w:rsidRPr="00A428C3">
        <w:t>Justice (S&amp;J). The resulting forensics database contained 14,210 papers published between 1981</w:t>
      </w:r>
      <w:r w:rsidR="00F81221">
        <w:t xml:space="preserve"> and </w:t>
      </w:r>
      <w:r w:rsidRPr="00A428C3">
        <w:t>2003. This in-depth bibliometric analysis has identified the creme de la creme in forensic science</w:t>
      </w:r>
      <w:r w:rsidR="00F81221">
        <w:t xml:space="preserve"> and </w:t>
      </w:r>
      <w:r w:rsidRPr="00A428C3">
        <w:t>legal medicine in a quantitative</w:t>
      </w:r>
      <w:r w:rsidR="00F81221">
        <w:t xml:space="preserve"> and </w:t>
      </w:r>
      <w:r w:rsidRPr="00A428C3">
        <w:t>objective way by citation analysis with focus on articles, authors</w:t>
      </w:r>
      <w:r w:rsidR="00F81221">
        <w:t xml:space="preserve"> and </w:t>
      </w:r>
      <w:r w:rsidRPr="00A428C3">
        <w:t>journals.</w:t>
      </w:r>
    </w:p>
    <w:p w:rsidR="00B95188" w:rsidRPr="00A428C3" w:rsidRDefault="00B95188" w:rsidP="00B95188">
      <w:pPr>
        <w:pStyle w:val="a0"/>
      </w:pPr>
      <w:r w:rsidRPr="00A428C3">
        <w:t xml:space="preserve">Keywords: Academic Promotion, Bibliometric, Bibliometric Analysis, Bibliometrics, Citation, Citation Analysis, Citation-Classics, Citations, Forensic Science, Impact Factors, Impact Factors, Indicators, Institute </w:t>
      </w:r>
      <w:r w:rsidR="00D26A29" w:rsidRPr="00A428C3">
        <w:t xml:space="preserve">for </w:t>
      </w:r>
      <w:r w:rsidRPr="00A428C3">
        <w:t xml:space="preserve">Scientific Information, </w:t>
      </w:r>
      <w:r w:rsidR="00D26A29" w:rsidRPr="00A428C3">
        <w:t>ISI</w:t>
      </w:r>
      <w:r w:rsidRPr="00A428C3">
        <w:t>, Journal, Journals, Legal Medicine, Promotion, Promotion</w:t>
      </w:r>
      <w:r w:rsidR="00F81221">
        <w:t xml:space="preserve"> and </w:t>
      </w:r>
      <w:r w:rsidRPr="00A428C3">
        <w:t>Tenure, Quality, Sciences, Scientists, Tenure</w:t>
      </w:r>
    </w:p>
    <w:p w:rsidR="005C1653" w:rsidRDefault="005C1653" w:rsidP="005C1653">
      <w:pPr>
        <w:pStyle w:val="a0"/>
        <w:rPr>
          <w:kern w:val="0"/>
        </w:rPr>
      </w:pPr>
      <w:r>
        <w:rPr>
          <w:rFonts w:hint="eastAsia"/>
          <w:kern w:val="0"/>
        </w:rPr>
        <w:lastRenderedPageBreak/>
        <w:t xml:space="preserve">? </w:t>
      </w:r>
      <w:r>
        <w:rPr>
          <w:kern w:val="0"/>
        </w:rPr>
        <w:t>Ferrara, S.D., Bajanowski, T., Cecchi, R., Boscolo-Berto, R.</w:t>
      </w:r>
      <w:r w:rsidR="00F81221">
        <w:rPr>
          <w:kern w:val="0"/>
        </w:rPr>
        <w:t xml:space="preserve"> and </w:t>
      </w:r>
      <w:r>
        <w:rPr>
          <w:kern w:val="0"/>
        </w:rPr>
        <w:t xml:space="preserve">Viel, G. (2011), Bio-medicolegal scientific research in Europe: A comprehensive bibliometric overview. </w:t>
      </w:r>
      <w:r>
        <w:rPr>
          <w:i/>
          <w:iCs/>
          <w:kern w:val="0"/>
        </w:rPr>
        <w:t>International Journal of Legal Medicine</w:t>
      </w:r>
      <w:r>
        <w:rPr>
          <w:kern w:val="0"/>
        </w:rPr>
        <w:t xml:space="preserve">, </w:t>
      </w:r>
      <w:r>
        <w:rPr>
          <w:b/>
          <w:bCs/>
          <w:kern w:val="0"/>
        </w:rPr>
        <w:t>125</w:t>
      </w:r>
      <w:r>
        <w:rPr>
          <w:kern w:val="0"/>
        </w:rPr>
        <w:t xml:space="preserve"> (3), 393-402.</w:t>
      </w:r>
    </w:p>
    <w:p w:rsidR="005C1653" w:rsidRPr="001A3D2B" w:rsidRDefault="005C1653" w:rsidP="005C1653">
      <w:pPr>
        <w:pStyle w:val="a0"/>
      </w:pPr>
      <w:r w:rsidRPr="001A3D2B">
        <w:t xml:space="preserve">Full Text: </w:t>
      </w:r>
      <w:hyperlink r:id="rId1951" w:history="1">
        <w:r w:rsidRPr="005C1653">
          <w:rPr>
            <w:rStyle w:val="a5"/>
          </w:rPr>
          <w:t>2011\Int J Leg Med125, 393.pdf</w:t>
        </w:r>
      </w:hyperlink>
    </w:p>
    <w:p w:rsidR="005C1653" w:rsidRDefault="005C1653" w:rsidP="005C1653">
      <w:pPr>
        <w:pStyle w:val="a0"/>
        <w:rPr>
          <w:kern w:val="0"/>
        </w:rPr>
      </w:pPr>
      <w:r>
        <w:rPr>
          <w:kern w:val="0"/>
        </w:rPr>
        <w:t>Abstract: In times of globalisation, the future of bio-medicolegal sciences in Europe depends on the scientific community</w:t>
      </w:r>
      <w:r w:rsidR="000352E7">
        <w:rPr>
          <w:kern w:val="0"/>
        </w:rPr>
        <w:t>’</w:t>
      </w:r>
      <w:r>
        <w:rPr>
          <w:kern w:val="0"/>
        </w:rPr>
        <w:t>s ability to develop new strategies for research, to introduce new</w:t>
      </w:r>
      <w:r w:rsidR="00F81221">
        <w:rPr>
          <w:kern w:val="0"/>
        </w:rPr>
        <w:t xml:space="preserve"> and </w:t>
      </w:r>
      <w:r>
        <w:rPr>
          <w:kern w:val="0"/>
        </w:rPr>
        <w:t>generally accepted standards, to develop new analytical methods, all in order to draw up inter-site, multidisciplinary</w:t>
      </w:r>
      <w:r w:rsidR="00F81221">
        <w:rPr>
          <w:kern w:val="0"/>
        </w:rPr>
        <w:t xml:space="preserve"> and </w:t>
      </w:r>
      <w:r>
        <w:rPr>
          <w:kern w:val="0"/>
        </w:rPr>
        <w:t>interdisciplinary long-term research projects, eligible for European Union (EU) funding. To analyse the scientific output</w:t>
      </w:r>
      <w:r w:rsidR="00F81221">
        <w:rPr>
          <w:kern w:val="0"/>
        </w:rPr>
        <w:t xml:space="preserve"> and </w:t>
      </w:r>
      <w:r>
        <w:rPr>
          <w:kern w:val="0"/>
        </w:rPr>
        <w:t>to identify the topics of greatest interest</w:t>
      </w:r>
      <w:r w:rsidR="00F81221">
        <w:rPr>
          <w:kern w:val="0"/>
        </w:rPr>
        <w:t xml:space="preserve"> and </w:t>
      </w:r>
      <w:r>
        <w:rPr>
          <w:kern w:val="0"/>
        </w:rPr>
        <w:t>appeal in these sciences, an innovative method has been developed to select</w:t>
      </w:r>
      <w:r w:rsidR="00F81221">
        <w:rPr>
          <w:kern w:val="0"/>
        </w:rPr>
        <w:t xml:space="preserve"> and </w:t>
      </w:r>
      <w:r>
        <w:rPr>
          <w:kern w:val="0"/>
        </w:rPr>
        <w:t>analyse publications. This method has been applied to analyse a total of 21,176 records from PubMed out of which 5,826 papers were suitable for further analysis because they were published in national</w:t>
      </w:r>
      <w:r w:rsidR="00F81221">
        <w:rPr>
          <w:kern w:val="0"/>
        </w:rPr>
        <w:t xml:space="preserve"> and </w:t>
      </w:r>
      <w:r>
        <w:rPr>
          <w:kern w:val="0"/>
        </w:rPr>
        <w:t>international journals in the time between January 1, 2005</w:t>
      </w:r>
      <w:r w:rsidR="00F81221">
        <w:rPr>
          <w:kern w:val="0"/>
        </w:rPr>
        <w:t xml:space="preserve"> and </w:t>
      </w:r>
      <w:r>
        <w:rPr>
          <w:kern w:val="0"/>
        </w:rPr>
        <w:t>June 1, 2010 by European authors in the field of interest. In 69% of all manuscripts, authors presented results of systematic research (original articles); 84% of the papers were written in English language. The cumulative impact factor increased from 1,670 points in 2005 to 1,878 in 2009,</w:t>
      </w:r>
      <w:r w:rsidR="00F81221">
        <w:rPr>
          <w:kern w:val="0"/>
        </w:rPr>
        <w:t xml:space="preserve"> and </w:t>
      </w:r>
      <w:r>
        <w:rPr>
          <w:kern w:val="0"/>
        </w:rPr>
        <w:t>extrapolated 2,812 points in 2010. The most frequent topics were the description of new analytical methods in forensic toxicology (5.7% of all papers), the analysis of short tandem repeat systems (STR, 5.6%) as well as the analysis of injury mechanisms in forensic pathology</w:t>
      </w:r>
      <w:r w:rsidR="00F81221">
        <w:rPr>
          <w:kern w:val="0"/>
        </w:rPr>
        <w:t xml:space="preserve"> and </w:t>
      </w:r>
      <w:r>
        <w:rPr>
          <w:kern w:val="0"/>
        </w:rPr>
        <w:t>clinical forensic medicine (4.9%). If the impact factor related potential of different topics is calculated (ratio of frequency of papers</w:t>
      </w:r>
      <w:r w:rsidR="00F81221">
        <w:rPr>
          <w:kern w:val="0"/>
        </w:rPr>
        <w:t xml:space="preserve"> and </w:t>
      </w:r>
      <w:r>
        <w:rPr>
          <w:kern w:val="0"/>
        </w:rPr>
        <w:t>frequency of impact points achieved), SIDS research reaches 1.64 points, followed by studies on mtDNA (1.59)</w:t>
      </w:r>
      <w:r w:rsidR="00F81221">
        <w:rPr>
          <w:kern w:val="0"/>
        </w:rPr>
        <w:t xml:space="preserve"> and </w:t>
      </w:r>
      <w:r>
        <w:rPr>
          <w:kern w:val="0"/>
        </w:rPr>
        <w:t>the development of new analytical methods in forensic toxicology (1.49). The findings made in the present bibliometric analysis reveal a clear</w:t>
      </w:r>
      <w:r w:rsidR="00F81221">
        <w:rPr>
          <w:kern w:val="0"/>
        </w:rPr>
        <w:t xml:space="preserve"> and </w:t>
      </w:r>
      <w:r>
        <w:rPr>
          <w:kern w:val="0"/>
        </w:rPr>
        <w:t>interesting overall picture of the European scientific production</w:t>
      </w:r>
      <w:r w:rsidR="00F81221">
        <w:rPr>
          <w:kern w:val="0"/>
        </w:rPr>
        <w:t xml:space="preserve"> and </w:t>
      </w:r>
      <w:r>
        <w:rPr>
          <w:kern w:val="0"/>
        </w:rPr>
        <w:t>productivity</w:t>
      </w:r>
      <w:r w:rsidR="00F81221">
        <w:rPr>
          <w:kern w:val="0"/>
        </w:rPr>
        <w:t xml:space="preserve"> and </w:t>
      </w:r>
      <w:r>
        <w:rPr>
          <w:kern w:val="0"/>
        </w:rPr>
        <w:t>could be used to identify the most innovative research lines.</w:t>
      </w:r>
    </w:p>
    <w:p w:rsidR="005C1653" w:rsidRDefault="005C1653" w:rsidP="005C1653">
      <w:pPr>
        <w:pStyle w:val="a0"/>
        <w:rPr>
          <w:kern w:val="0"/>
        </w:rPr>
      </w:pPr>
      <w:r>
        <w:rPr>
          <w:kern w:val="0"/>
        </w:rPr>
        <w:t>Keywords: Analysis, Analytical Strategies, Articles, Authors, Authorship, Bibliometric, Bibliometric Analysis, Citation, Clinical, Clinical Forensic Medicine, Cumulative, Cumulative Impact, Development, EU, Europe, European Union, Field, Forensic, Forensic Medicine, Forensic Pathology, Forensic Toxicology, Funding, Future, Impact, Impact Factor, Injury, Interdisciplinary, International, Journals, Legal-Medicine, Long Term, Long-Term, Mechanisms, Medicine, Methods, Multidisciplinary, Papers, Pathology, Potential, Productivity, Publications, Pubmed, Quality, Records, Research, Research in Bio-Medicolegal Sciences, Sciences, Scientific Output, Scientific Production, Scientific Research, SIDS, Standards, Systems, Topics, Toxicology</w:t>
      </w:r>
    </w:p>
    <w:p w:rsidR="00236772" w:rsidRDefault="00236772" w:rsidP="00236772">
      <w:pPr>
        <w:pStyle w:val="a0"/>
        <w:rPr>
          <w:kern w:val="0"/>
        </w:rPr>
      </w:pPr>
      <w:r>
        <w:rPr>
          <w:rFonts w:hint="eastAsia"/>
          <w:kern w:val="0"/>
        </w:rPr>
        <w:t xml:space="preserve">? </w:t>
      </w:r>
      <w:r>
        <w:rPr>
          <w:kern w:val="0"/>
        </w:rPr>
        <w:t>Viel, G., Boscolo-Berto, R., Cecchi, R., Bajanowski, T., Vieira, N.D.</w:t>
      </w:r>
      <w:r w:rsidR="00F81221">
        <w:rPr>
          <w:kern w:val="0"/>
        </w:rPr>
        <w:t xml:space="preserve"> and </w:t>
      </w:r>
      <w:r>
        <w:rPr>
          <w:kern w:val="0"/>
        </w:rPr>
        <w:t xml:space="preserve">Ferrara, S.D. </w:t>
      </w:r>
      <w:r>
        <w:rPr>
          <w:kern w:val="0"/>
        </w:rPr>
        <w:lastRenderedPageBreak/>
        <w:t xml:space="preserve">(2011), Bio-medicolegal scientific research in Europe. A country-based analysis. </w:t>
      </w:r>
      <w:r>
        <w:rPr>
          <w:i/>
          <w:iCs/>
          <w:kern w:val="0"/>
        </w:rPr>
        <w:t>International Journal of Legal Medicine</w:t>
      </w:r>
      <w:r>
        <w:rPr>
          <w:kern w:val="0"/>
        </w:rPr>
        <w:t xml:space="preserve">, </w:t>
      </w:r>
      <w:r>
        <w:rPr>
          <w:b/>
          <w:bCs/>
          <w:kern w:val="0"/>
        </w:rPr>
        <w:t>125</w:t>
      </w:r>
      <w:r>
        <w:rPr>
          <w:kern w:val="0"/>
        </w:rPr>
        <w:t xml:space="preserve"> (5), 717-725.</w:t>
      </w:r>
    </w:p>
    <w:p w:rsidR="00236772" w:rsidRPr="001A3D2B" w:rsidRDefault="00236772" w:rsidP="00236772">
      <w:pPr>
        <w:pStyle w:val="a0"/>
      </w:pPr>
      <w:r w:rsidRPr="001A3D2B">
        <w:t xml:space="preserve">Full Text: </w:t>
      </w:r>
      <w:hyperlink r:id="rId1952" w:history="1">
        <w:r w:rsidR="003174D3" w:rsidRPr="003174D3">
          <w:rPr>
            <w:rStyle w:val="a5"/>
          </w:rPr>
          <w:t>2011\Int J Leg Med125, 717.pdf</w:t>
        </w:r>
      </w:hyperlink>
    </w:p>
    <w:p w:rsidR="00236772" w:rsidRDefault="00236772" w:rsidP="00236772">
      <w:pPr>
        <w:pStyle w:val="a0"/>
        <w:rPr>
          <w:kern w:val="0"/>
        </w:rPr>
      </w:pPr>
      <w:r>
        <w:rPr>
          <w:kern w:val="0"/>
        </w:rPr>
        <w:t>Abstract: The European mosaic of socio-cultural, economic</w:t>
      </w:r>
      <w:r w:rsidR="00F81221">
        <w:rPr>
          <w:kern w:val="0"/>
        </w:rPr>
        <w:t xml:space="preserve"> and </w:t>
      </w:r>
      <w:r>
        <w:rPr>
          <w:kern w:val="0"/>
        </w:rPr>
        <w:t>legal realities is reflected in forensic</w:t>
      </w:r>
      <w:r w:rsidR="00F81221">
        <w:rPr>
          <w:kern w:val="0"/>
        </w:rPr>
        <w:t xml:space="preserve"> and </w:t>
      </w:r>
      <w:r>
        <w:rPr>
          <w:kern w:val="0"/>
        </w:rPr>
        <w:t>legal medicine, in which a great variety of operational modes of forensic medical services, organisational systems, structures, functional competences</w:t>
      </w:r>
      <w:r w:rsidR="00F81221">
        <w:rPr>
          <w:kern w:val="0"/>
        </w:rPr>
        <w:t xml:space="preserve"> and </w:t>
      </w:r>
      <w:r>
        <w:rPr>
          <w:kern w:val="0"/>
        </w:rPr>
        <w:t>scientific research strategies can be observed. The present work analyses the European bio-medicolegal scientific output of the last 5.5 years (exact time window, January 1, 2005-June 1, 2010), categorising papers by nationality of the corresponding author</w:t>
      </w:r>
      <w:r w:rsidR="00F81221">
        <w:rPr>
          <w:kern w:val="0"/>
        </w:rPr>
        <w:t xml:space="preserve"> and </w:t>
      </w:r>
      <w:r>
        <w:rPr>
          <w:kern w:val="0"/>
        </w:rPr>
        <w:t>forensic sub-discipline in question, in order to identify the peculiarities of national sub-specialised competences</w:t>
      </w:r>
      <w:r w:rsidR="00F81221">
        <w:rPr>
          <w:kern w:val="0"/>
        </w:rPr>
        <w:t xml:space="preserve"> and </w:t>
      </w:r>
      <w:r>
        <w:rPr>
          <w:kern w:val="0"/>
        </w:rPr>
        <w:t>to build up international research projects. This country-based bibliometric analysis, based on the number of articles</w:t>
      </w:r>
      <w:r w:rsidR="00F81221">
        <w:rPr>
          <w:kern w:val="0"/>
        </w:rPr>
        <w:t xml:space="preserve"> and </w:t>
      </w:r>
      <w:r>
        <w:rPr>
          <w:kern w:val="0"/>
        </w:rPr>
        <w:t>the impact factor produced by each European country, also considering its economic profile (gross domestic product</w:t>
      </w:r>
      <w:r w:rsidR="00F81221">
        <w:rPr>
          <w:kern w:val="0"/>
        </w:rPr>
        <w:t xml:space="preserve"> and </w:t>
      </w:r>
      <w:r>
        <w:rPr>
          <w:kern w:val="0"/>
        </w:rPr>
        <w:t>per capita gross domestic product), highlights the prevailing productive role of Western</w:t>
      </w:r>
      <w:r w:rsidR="00F81221">
        <w:rPr>
          <w:kern w:val="0"/>
        </w:rPr>
        <w:t xml:space="preserve"> and </w:t>
      </w:r>
      <w:r>
        <w:rPr>
          <w:kern w:val="0"/>
        </w:rPr>
        <w:t>Southern Europe (Germany, Great Britain, Italy, Switzerland, Spain</w:t>
      </w:r>
      <w:r w:rsidR="00F81221">
        <w:rPr>
          <w:kern w:val="0"/>
        </w:rPr>
        <w:t xml:space="preserve"> and </w:t>
      </w:r>
      <w:r>
        <w:rPr>
          <w:kern w:val="0"/>
        </w:rPr>
        <w:t>France). Categorising scientific output by forensic sub-discipline</w:t>
      </w:r>
      <w:r w:rsidR="00F81221">
        <w:rPr>
          <w:kern w:val="0"/>
        </w:rPr>
        <w:t xml:space="preserve"> and </w:t>
      </w:r>
      <w:r>
        <w:rPr>
          <w:kern w:val="0"/>
        </w:rPr>
        <w:t>branch, significant in terms of impact factor are contributions from Germany (coming first in Pathology, Toxicology, Genetics, Anthropology</w:t>
      </w:r>
      <w:r w:rsidR="00F81221">
        <w:rPr>
          <w:kern w:val="0"/>
        </w:rPr>
        <w:t xml:space="preserve"> and </w:t>
      </w:r>
      <w:r>
        <w:rPr>
          <w:kern w:val="0"/>
        </w:rPr>
        <w:t>Biological Criminalistics), Great Britain (first in Clinical Forensic Medicine, Malpractice</w:t>
      </w:r>
      <w:r w:rsidR="00F81221">
        <w:rPr>
          <w:kern w:val="0"/>
        </w:rPr>
        <w:t xml:space="preserve"> and </w:t>
      </w:r>
      <w:r>
        <w:rPr>
          <w:kern w:val="0"/>
        </w:rPr>
        <w:t>Invalidity-Social Insurance), Switzerland (first in Criminology), Italy (second in Toxicology, Anthropology</w:t>
      </w:r>
      <w:r w:rsidR="00F81221">
        <w:rPr>
          <w:kern w:val="0"/>
        </w:rPr>
        <w:t xml:space="preserve"> and </w:t>
      </w:r>
      <w:r>
        <w:rPr>
          <w:kern w:val="0"/>
        </w:rPr>
        <w:t>Invalidity-Social Insurance), The Netherlands (third in Clinical Forensic Medicine</w:t>
      </w:r>
      <w:r w:rsidR="00F81221">
        <w:rPr>
          <w:kern w:val="0"/>
        </w:rPr>
        <w:t xml:space="preserve"> and </w:t>
      </w:r>
      <w:r>
        <w:rPr>
          <w:kern w:val="0"/>
        </w:rPr>
        <w:t>Medical Law</w:t>
      </w:r>
      <w:r w:rsidR="00F81221">
        <w:rPr>
          <w:kern w:val="0"/>
        </w:rPr>
        <w:t xml:space="preserve"> and </w:t>
      </w:r>
      <w:r>
        <w:rPr>
          <w:kern w:val="0"/>
        </w:rPr>
        <w:t>Ethics), Spain (third in Genetics, Criminalistics</w:t>
      </w:r>
      <w:r w:rsidR="00F81221">
        <w:rPr>
          <w:kern w:val="0"/>
        </w:rPr>
        <w:t xml:space="preserve"> and </w:t>
      </w:r>
      <w:r>
        <w:rPr>
          <w:kern w:val="0"/>
        </w:rPr>
        <w:t>Invalidity-Social Insurance)</w:t>
      </w:r>
      <w:r w:rsidR="00F81221">
        <w:rPr>
          <w:kern w:val="0"/>
        </w:rPr>
        <w:t xml:space="preserve"> and </w:t>
      </w:r>
      <w:r>
        <w:rPr>
          <w:kern w:val="0"/>
        </w:rPr>
        <w:t>France (third in Toxicology</w:t>
      </w:r>
      <w:r w:rsidR="00F81221">
        <w:rPr>
          <w:kern w:val="0"/>
        </w:rPr>
        <w:t xml:space="preserve"> and </w:t>
      </w:r>
      <w:r>
        <w:rPr>
          <w:kern w:val="0"/>
        </w:rPr>
        <w:t>Malpractice). Interestingly, several countries with low gross domestic product, such as Poland, Turkey</w:t>
      </w:r>
      <w:r w:rsidR="00F81221">
        <w:rPr>
          <w:kern w:val="0"/>
        </w:rPr>
        <w:t xml:space="preserve"> and </w:t>
      </w:r>
      <w:r>
        <w:rPr>
          <w:kern w:val="0"/>
        </w:rPr>
        <w:t>other Eastern European nations, show notable scientific production in specific sub-disciplines such as Pathology, Toxicology</w:t>
      </w:r>
      <w:r w:rsidR="00F81221">
        <w:rPr>
          <w:kern w:val="0"/>
        </w:rPr>
        <w:t xml:space="preserve"> and </w:t>
      </w:r>
      <w:r>
        <w:rPr>
          <w:kern w:val="0"/>
        </w:rPr>
        <w:t>Forensic Genetics, suggesting that fruitful international cooperation could be planned</w:t>
      </w:r>
      <w:r w:rsidR="00F81221">
        <w:rPr>
          <w:kern w:val="0"/>
        </w:rPr>
        <w:t xml:space="preserve"> and </w:t>
      </w:r>
      <w:r>
        <w:rPr>
          <w:kern w:val="0"/>
        </w:rPr>
        <w:t>be of interest to funding sources within the European Community, also taking into account funds reserved for depressed areas undergoing development.</w:t>
      </w:r>
    </w:p>
    <w:p w:rsidR="00236772" w:rsidRDefault="00236772" w:rsidP="00236772">
      <w:pPr>
        <w:pStyle w:val="a0"/>
        <w:rPr>
          <w:kern w:val="0"/>
        </w:rPr>
      </w:pPr>
      <w:r>
        <w:rPr>
          <w:kern w:val="0"/>
        </w:rPr>
        <w:t>Keywords: Analysis, Articles, Author, Bibliometric, Bibliometric Analysis, Biliometry, Bio-Medicolegal Sciences, Development, Ethics, Europe, Forensic Medicine, Forensic Medicine, France, Functional, Funding, Future, Genetics, Germany, Impact, Impact Factor, Interest, Italy, Journals, Law, Legal-Medicine, Medical, Medicine, Papers, Profile, Research, Sciences, Scientific Output, Scientific Production, Scientific Research, Spain, Turkey</w:t>
      </w:r>
    </w:p>
    <w:p w:rsidR="000352E7" w:rsidRDefault="000352E7" w:rsidP="000352E7">
      <w:pPr>
        <w:pStyle w:val="a0"/>
        <w:rPr>
          <w:kern w:val="0"/>
          <w:szCs w:val="24"/>
        </w:rPr>
      </w:pPr>
      <w:r>
        <w:rPr>
          <w:rFonts w:hint="eastAsia"/>
          <w:kern w:val="0"/>
          <w:szCs w:val="24"/>
        </w:rPr>
        <w:t xml:space="preserve">? Boscolo-Berto, R., Viel, G., Cecchi, R., Terranova, C., Vogliardi, S., Bajanowski, T. and Ferrara, S.D. (2012), Journals publishing bio-medicolegal research in Europe. </w:t>
      </w:r>
      <w:r>
        <w:rPr>
          <w:rFonts w:hint="eastAsia"/>
          <w:i/>
          <w:iCs/>
          <w:kern w:val="0"/>
          <w:szCs w:val="24"/>
        </w:rPr>
        <w:t>International Journal of Legal Medicine</w:t>
      </w:r>
      <w:r>
        <w:rPr>
          <w:rFonts w:hint="eastAsia"/>
          <w:kern w:val="0"/>
          <w:szCs w:val="24"/>
        </w:rPr>
        <w:t xml:space="preserve">, </w:t>
      </w:r>
      <w:r>
        <w:rPr>
          <w:rFonts w:hint="eastAsia"/>
          <w:b/>
          <w:bCs/>
          <w:kern w:val="0"/>
          <w:szCs w:val="24"/>
        </w:rPr>
        <w:t>126</w:t>
      </w:r>
      <w:r>
        <w:rPr>
          <w:rFonts w:hint="eastAsia"/>
          <w:kern w:val="0"/>
          <w:szCs w:val="24"/>
        </w:rPr>
        <w:t xml:space="preserve"> (1), 129-137.</w:t>
      </w:r>
    </w:p>
    <w:p w:rsidR="000352E7" w:rsidRDefault="000352E7" w:rsidP="000352E7">
      <w:pPr>
        <w:pStyle w:val="a0"/>
      </w:pPr>
      <w:r>
        <w:rPr>
          <w:rFonts w:hint="eastAsia"/>
        </w:rPr>
        <w:lastRenderedPageBreak/>
        <w:t xml:space="preserve">Full Text: </w:t>
      </w:r>
      <w:hyperlink r:id="rId1953" w:history="1">
        <w:r w:rsidRPr="000352E7">
          <w:rPr>
            <w:rStyle w:val="a5"/>
          </w:rPr>
          <w:t>2012\Int J Leg Med126, 129.pdf</w:t>
        </w:r>
      </w:hyperlink>
    </w:p>
    <w:p w:rsidR="000352E7" w:rsidRDefault="000352E7" w:rsidP="000352E7">
      <w:pPr>
        <w:pStyle w:val="a0"/>
        <w:rPr>
          <w:kern w:val="0"/>
          <w:szCs w:val="24"/>
        </w:rPr>
      </w:pPr>
      <w:r>
        <w:rPr>
          <w:rFonts w:hint="eastAsia"/>
          <w:kern w:val="0"/>
          <w:szCs w:val="24"/>
        </w:rPr>
        <w:t xml:space="preserve"> Abstract: Fragmentation of bio-medicolegal knowledge has led to a proliferation of ultra-specialised sub-disciplines and branches, often published in </w:t>
      </w:r>
      <w:r>
        <w:rPr>
          <w:kern w:val="0"/>
          <w:szCs w:val="24"/>
        </w:rPr>
        <w:t>‘</w:t>
      </w:r>
      <w:r>
        <w:rPr>
          <w:rFonts w:hint="eastAsia"/>
          <w:kern w:val="0"/>
          <w:szCs w:val="24"/>
        </w:rPr>
        <w:t>field-oriented</w:t>
      </w:r>
      <w:r>
        <w:rPr>
          <w:kern w:val="0"/>
          <w:szCs w:val="24"/>
        </w:rPr>
        <w:t>’</w:t>
      </w:r>
      <w:r>
        <w:rPr>
          <w:rFonts w:hint="eastAsia"/>
          <w:kern w:val="0"/>
          <w:szCs w:val="24"/>
        </w:rPr>
        <w:t xml:space="preserve"> scientific journals.The aim of this work is to provide an in-depth analytical picture of bio-medicolegal sources of publication, within and outside the traditional conception of legal medicine. An extensive search of bio-medicolegal articles published in the last five and a half years was performed on the MEDLINE database according to MeSH terms combined with free-text protocols. We performed a systematic analysis of targeted journals after merging, selecting and categorising all retrieved records, taking into account data from the 2009 JCR Science Edition (released on June 2010); 1,037 different journals were identified, of which only 48 (4.6%) focus specifically on bio-medicolegal matters, and of which only seven (14.6%) have an impact factor (IF). Despite this apparent dispersion, 47% of articles were published in bio-medicolegal journals (BML), of which 70.2% were in journals with IF (BML-IF). Articles published in BML-IF journals (33% of total papers) reach almost 50%, mainly in </w:t>
      </w:r>
      <w:r>
        <w:rPr>
          <w:kern w:val="0"/>
          <w:szCs w:val="24"/>
        </w:rPr>
        <w:t>“</w:t>
      </w:r>
      <w:r>
        <w:rPr>
          <w:rFonts w:hint="eastAsia"/>
          <w:kern w:val="0"/>
          <w:szCs w:val="24"/>
        </w:rPr>
        <w:t>Forensic Science International</w:t>
      </w:r>
      <w:r>
        <w:rPr>
          <w:kern w:val="0"/>
          <w:szCs w:val="24"/>
        </w:rPr>
        <w:t>”</w:t>
      </w:r>
      <w:r>
        <w:rPr>
          <w:rFonts w:hint="eastAsia"/>
          <w:kern w:val="0"/>
          <w:szCs w:val="24"/>
        </w:rPr>
        <w:t xml:space="preserve">, </w:t>
      </w:r>
      <w:r>
        <w:rPr>
          <w:kern w:val="0"/>
          <w:szCs w:val="24"/>
        </w:rPr>
        <w:t>“</w:t>
      </w:r>
      <w:r>
        <w:rPr>
          <w:rFonts w:hint="eastAsia"/>
          <w:kern w:val="0"/>
          <w:szCs w:val="24"/>
        </w:rPr>
        <w:t>International Journal of Legal Medicine</w:t>
      </w:r>
      <w:r>
        <w:rPr>
          <w:kern w:val="0"/>
          <w:szCs w:val="24"/>
        </w:rPr>
        <w:t>”</w:t>
      </w:r>
      <w:r>
        <w:rPr>
          <w:rFonts w:hint="eastAsia"/>
          <w:kern w:val="0"/>
          <w:szCs w:val="24"/>
        </w:rPr>
        <w:t xml:space="preserve"> and </w:t>
      </w:r>
      <w:r>
        <w:rPr>
          <w:kern w:val="0"/>
          <w:szCs w:val="24"/>
        </w:rPr>
        <w:t>“</w:t>
      </w:r>
      <w:r>
        <w:rPr>
          <w:rFonts w:hint="eastAsia"/>
          <w:kern w:val="0"/>
          <w:szCs w:val="24"/>
        </w:rPr>
        <w:t>Journal of Forensic Sciences</w:t>
      </w:r>
      <w:r>
        <w:rPr>
          <w:kern w:val="0"/>
          <w:szCs w:val="24"/>
        </w:rPr>
        <w:t>”</w:t>
      </w:r>
      <w:r>
        <w:rPr>
          <w:rFonts w:hint="eastAsia"/>
          <w:kern w:val="0"/>
          <w:szCs w:val="24"/>
        </w:rPr>
        <w:t>. Instead, publications in not specifically bio-medicolegal journals (Not BML-IF) are greatly scattered and even fragmented in about 650 journals.The sub-disciplines that appear most frequently in Not BML-IF rather than BML-IF journals are Forensic Psychiatry (48.2% vs. 5.1%), Criminology (37.1% vs. 8.3%), Malpractice (50.7% vs. 4.0%), Medical Law and Ethics (46.4% vs. 6.9%) and Clinical Forensic Medicine (39.5% vs. 21.3%). The proposed bibliometric analysis revealed the preference of Forensic Pathology, Criminalistics (Biological), Forensic Genetics, Forensic Anthropology and Forensic Entomology for journals traditionally considered pertinent to the medico-legal discipline, with a considerable dispersion involving Toxicology, Psychiatry, Criminology and Malpractice, which were published in less well-known journals. This dispersion could be reduced adapting specialised forensic sections and increasing the IF of forensic journals, in order to respond suitably to the present demand for visibility by bio-medicolegal scientists, clearly oriented towards enhancing the objective impact of their curricula and attempting to attract funding to their research projects.</w:t>
      </w:r>
    </w:p>
    <w:p w:rsidR="000352E7" w:rsidRDefault="000352E7" w:rsidP="000352E7">
      <w:pPr>
        <w:pStyle w:val="a0"/>
        <w:rPr>
          <w:kern w:val="0"/>
          <w:szCs w:val="24"/>
        </w:rPr>
      </w:pPr>
      <w:r>
        <w:rPr>
          <w:rFonts w:hint="eastAsia"/>
          <w:kern w:val="0"/>
          <w:szCs w:val="24"/>
        </w:rPr>
        <w:t>Keywords: Analysis, Articles, Bibliometric, Bibliometric Analysis, Bibliometry, Bio-Medicolegal Sciences, Dispersion, Ethics, Europe, Forensic Sciences, Fragmentation, Funding, Future, Genetics, Impact, Impact Factor, Impact Factor, JCR, Journal, Journals, Knowledge, Law, Legal Medicine, Medicine, Medline, Papers, Psychiatry, Publication, Publications, Publishing, Quality, Research, Research Assessment Exercise, Science, Systematic, Toxicology, Traditional, Visibility</w:t>
      </w:r>
    </w:p>
    <w:p w:rsidR="004B4305" w:rsidRDefault="004B4305" w:rsidP="004B4305">
      <w:pPr>
        <w:pStyle w:val="1"/>
      </w:pPr>
      <w:r>
        <w:rPr>
          <w:b w:val="0"/>
          <w:bCs/>
          <w:iCs/>
        </w:rPr>
        <w:br w:type="page"/>
      </w:r>
      <w:bookmarkStart w:id="1385" w:name="_Toc317161319"/>
      <w:r>
        <w:lastRenderedPageBreak/>
        <w:t xml:space="preserve">Title: </w:t>
      </w:r>
      <w:r w:rsidRPr="004B4305">
        <w:rPr>
          <w:iCs/>
          <w:szCs w:val="24"/>
        </w:rPr>
        <w:t>International Journal of Lexicography</w:t>
      </w:r>
      <w:bookmarkEnd w:id="1385"/>
    </w:p>
    <w:p w:rsidR="004B4305" w:rsidRDefault="004B4305" w:rsidP="00B72EF9">
      <w:pPr>
        <w:pStyle w:val="12"/>
      </w:pPr>
      <w:r>
        <w:t xml:space="preserve">Full Journal Title: </w:t>
      </w:r>
      <w:hyperlink r:id="rId1954" w:history="1">
        <w:r w:rsidRPr="004B4305">
          <w:rPr>
            <w:rStyle w:val="a5"/>
            <w:iCs/>
          </w:rPr>
          <w:t>International Journal of Lexicography</w:t>
        </w:r>
      </w:hyperlink>
    </w:p>
    <w:p w:rsidR="004B4305" w:rsidRDefault="004B4305" w:rsidP="00B72EF9">
      <w:pPr>
        <w:pStyle w:val="12"/>
      </w:pPr>
      <w:r>
        <w:t xml:space="preserve">ISO Abbreviated Title: </w:t>
      </w:r>
    </w:p>
    <w:p w:rsidR="004B4305" w:rsidRDefault="004B4305" w:rsidP="00B72EF9">
      <w:pPr>
        <w:pStyle w:val="12"/>
      </w:pPr>
      <w:r>
        <w:t xml:space="preserve">JCR Abbreviated Title: </w:t>
      </w:r>
    </w:p>
    <w:p w:rsidR="004B4305" w:rsidRDefault="004B4305" w:rsidP="00B72EF9">
      <w:pPr>
        <w:pStyle w:val="12"/>
      </w:pPr>
      <w:r>
        <w:t xml:space="preserve">ISSN: </w:t>
      </w:r>
    </w:p>
    <w:p w:rsidR="004B4305" w:rsidRDefault="004B4305" w:rsidP="00B72EF9">
      <w:pPr>
        <w:pStyle w:val="12"/>
      </w:pPr>
      <w:r>
        <w:t xml:space="preserve">Issues/Year: </w:t>
      </w:r>
    </w:p>
    <w:p w:rsidR="004B4305" w:rsidRDefault="004B4305" w:rsidP="00B72EF9">
      <w:pPr>
        <w:pStyle w:val="12"/>
      </w:pPr>
      <w:r>
        <w:t xml:space="preserve">Journal Country/Territory: </w:t>
      </w:r>
    </w:p>
    <w:p w:rsidR="004B4305" w:rsidRDefault="004B4305" w:rsidP="00B72EF9">
      <w:pPr>
        <w:pStyle w:val="12"/>
      </w:pPr>
      <w:r>
        <w:t xml:space="preserve">Language: </w:t>
      </w:r>
    </w:p>
    <w:p w:rsidR="004B4305" w:rsidRDefault="004B4305" w:rsidP="00B72EF9">
      <w:pPr>
        <w:pStyle w:val="12"/>
      </w:pPr>
      <w:r>
        <w:t xml:space="preserve">Publisher: </w:t>
      </w:r>
    </w:p>
    <w:p w:rsidR="004B4305" w:rsidRDefault="004B4305" w:rsidP="00B72EF9">
      <w:pPr>
        <w:pStyle w:val="12"/>
      </w:pPr>
      <w:r>
        <w:t xml:space="preserve">Publisher Address: </w:t>
      </w:r>
    </w:p>
    <w:p w:rsidR="004B4305" w:rsidRDefault="004B4305" w:rsidP="00B72EF9">
      <w:pPr>
        <w:pStyle w:val="12"/>
      </w:pPr>
      <w:r>
        <w:t>Subject Categories:</w:t>
      </w:r>
    </w:p>
    <w:p w:rsidR="004B4305" w:rsidRDefault="004B4305" w:rsidP="00B72EF9">
      <w:pPr>
        <w:pStyle w:val="12"/>
      </w:pPr>
      <w:r>
        <w:t>: Impact Factor</w:t>
      </w:r>
    </w:p>
    <w:p w:rsidR="004B4305" w:rsidRDefault="004B4305" w:rsidP="004B4305">
      <w:pPr>
        <w:pStyle w:val="a0"/>
        <w:rPr>
          <w:kern w:val="0"/>
          <w:szCs w:val="24"/>
        </w:rPr>
      </w:pPr>
      <w:r>
        <w:rPr>
          <w:rFonts w:hint="eastAsia"/>
          <w:kern w:val="0"/>
          <w:szCs w:val="24"/>
        </w:rPr>
        <w:t xml:space="preserve">? </w:t>
      </w:r>
      <w:r>
        <w:rPr>
          <w:kern w:val="0"/>
          <w:szCs w:val="24"/>
        </w:rPr>
        <w:t xml:space="preserve">de Schryver, G.M. (2009), Bibliometrics in lexicography. </w:t>
      </w:r>
      <w:r w:rsidRPr="004B4305">
        <w:rPr>
          <w:i/>
          <w:iCs/>
          <w:kern w:val="0"/>
          <w:szCs w:val="24"/>
        </w:rPr>
        <w:t>International Journal of Lexicography</w:t>
      </w:r>
      <w:r>
        <w:rPr>
          <w:kern w:val="0"/>
          <w:szCs w:val="24"/>
        </w:rPr>
        <w:t xml:space="preserve">, </w:t>
      </w:r>
      <w:r>
        <w:rPr>
          <w:b/>
          <w:bCs/>
          <w:kern w:val="0"/>
          <w:szCs w:val="24"/>
        </w:rPr>
        <w:t>22</w:t>
      </w:r>
      <w:r>
        <w:rPr>
          <w:kern w:val="0"/>
          <w:szCs w:val="24"/>
        </w:rPr>
        <w:t xml:space="preserve"> (4), 423-465.</w:t>
      </w:r>
    </w:p>
    <w:p w:rsidR="004B4305" w:rsidRDefault="004B4305" w:rsidP="004B4305">
      <w:pPr>
        <w:pStyle w:val="a0"/>
        <w:rPr>
          <w:kern w:val="0"/>
          <w:szCs w:val="24"/>
        </w:rPr>
      </w:pPr>
      <w:r>
        <w:rPr>
          <w:rFonts w:hint="eastAsia"/>
          <w:kern w:val="0"/>
          <w:szCs w:val="24"/>
        </w:rPr>
        <w:t xml:space="preserve">Full Text: </w:t>
      </w:r>
      <w:r>
        <w:rPr>
          <w:iCs/>
          <w:kern w:val="0"/>
          <w:szCs w:val="24"/>
        </w:rPr>
        <w:t>Int J Lex</w:t>
      </w:r>
      <w:r w:rsidRPr="004B4305">
        <w:rPr>
          <w:bCs/>
          <w:kern w:val="0"/>
          <w:szCs w:val="24"/>
        </w:rPr>
        <w:t>22</w:t>
      </w:r>
      <w:r>
        <w:rPr>
          <w:kern w:val="0"/>
          <w:szCs w:val="24"/>
        </w:rPr>
        <w:t>, 423</w:t>
      </w:r>
      <w:r>
        <w:rPr>
          <w:rFonts w:hint="eastAsia"/>
          <w:kern w:val="0"/>
          <w:szCs w:val="24"/>
        </w:rPr>
        <w:t>.pdf</w:t>
      </w:r>
    </w:p>
    <w:p w:rsidR="004B4305" w:rsidRDefault="004B4305" w:rsidP="004B4305">
      <w:pPr>
        <w:pStyle w:val="a0"/>
        <w:rPr>
          <w:kern w:val="0"/>
          <w:szCs w:val="24"/>
        </w:rPr>
      </w:pPr>
      <w:r>
        <w:rPr>
          <w:kern w:val="0"/>
          <w:szCs w:val="24"/>
        </w:rPr>
        <w:t>Abstract: Bibliometric methods may be used to study the impact of a field, the impact of certain trends</w:t>
      </w:r>
      <w:r w:rsidR="00F81221">
        <w:rPr>
          <w:kern w:val="0"/>
          <w:szCs w:val="24"/>
        </w:rPr>
        <w:t xml:space="preserve"> and </w:t>
      </w:r>
      <w:r>
        <w:rPr>
          <w:kern w:val="0"/>
          <w:szCs w:val="24"/>
        </w:rPr>
        <w:t>researchers within that field,</w:t>
      </w:r>
      <w:r w:rsidR="00F81221">
        <w:rPr>
          <w:kern w:val="0"/>
          <w:szCs w:val="24"/>
        </w:rPr>
        <w:t xml:space="preserve"> and </w:t>
      </w:r>
      <w:r>
        <w:rPr>
          <w:kern w:val="0"/>
          <w:szCs w:val="24"/>
        </w:rPr>
        <w:t>of course the impact of particular research articles. This is no different for the field of lexicography,</w:t>
      </w:r>
      <w:r w:rsidR="00F81221">
        <w:rPr>
          <w:kern w:val="0"/>
          <w:szCs w:val="24"/>
        </w:rPr>
        <w:t xml:space="preserve"> and </w:t>
      </w:r>
      <w:r>
        <w:rPr>
          <w:kern w:val="0"/>
          <w:szCs w:val="24"/>
        </w:rPr>
        <w:t>the output of both metalexicographers</w:t>
      </w:r>
      <w:r w:rsidR="00F81221">
        <w:rPr>
          <w:kern w:val="0"/>
          <w:szCs w:val="24"/>
        </w:rPr>
        <w:t xml:space="preserve"> and </w:t>
      </w:r>
      <w:r>
        <w:rPr>
          <w:kern w:val="0"/>
          <w:szCs w:val="24"/>
        </w:rPr>
        <w:t>dictionary makers alike is increasingly being measured</w:t>
      </w:r>
      <w:r w:rsidR="00F81221">
        <w:rPr>
          <w:kern w:val="0"/>
          <w:szCs w:val="24"/>
        </w:rPr>
        <w:t xml:space="preserve"> and </w:t>
      </w:r>
      <w:r>
        <w:rPr>
          <w:kern w:val="0"/>
          <w:szCs w:val="24"/>
        </w:rPr>
        <w:t>quantified. Analysing such data enables one (a) to track the growing</w:t>
      </w:r>
      <w:r w:rsidR="00F81221">
        <w:rPr>
          <w:kern w:val="0"/>
          <w:szCs w:val="24"/>
        </w:rPr>
        <w:t xml:space="preserve"> and </w:t>
      </w:r>
      <w:r>
        <w:rPr>
          <w:kern w:val="0"/>
          <w:szCs w:val="24"/>
        </w:rPr>
        <w:t>waning popularity of certain lexicographic sub-fields, (b) to pinpoint the new directions heralded by specific lexicographic papers or by new types of dictionaries,</w:t>
      </w:r>
      <w:r w:rsidR="00F81221">
        <w:rPr>
          <w:kern w:val="0"/>
          <w:szCs w:val="24"/>
        </w:rPr>
        <w:t xml:space="preserve"> and </w:t>
      </w:r>
      <w:r>
        <w:rPr>
          <w:kern w:val="0"/>
          <w:szCs w:val="24"/>
        </w:rPr>
        <w:t>(c) to map the lexicographic schools of thought that have formed around some of the pioneering or most productive scholars. In this article, bibliometrics in lexicography are investigated by taking the International Journal of Lexicography as the centre piece. In the first half of the article, various bibliometric tools relevant to lexicography are introduced,</w:t>
      </w:r>
      <w:r w:rsidR="00F81221">
        <w:rPr>
          <w:kern w:val="0"/>
          <w:szCs w:val="24"/>
        </w:rPr>
        <w:t xml:space="preserve"> and </w:t>
      </w:r>
      <w:r>
        <w:rPr>
          <w:kern w:val="0"/>
          <w:szCs w:val="24"/>
        </w:rPr>
        <w:t>in the second half these tools are used to show that lexicography has truly become an independent discipline. In the process, comparisons are also made with two other lexicographic journals (Dictionaries</w:t>
      </w:r>
      <w:r w:rsidR="00F81221">
        <w:rPr>
          <w:kern w:val="0"/>
          <w:szCs w:val="24"/>
        </w:rPr>
        <w:t xml:space="preserve"> and </w:t>
      </w:r>
      <w:r>
        <w:rPr>
          <w:kern w:val="0"/>
          <w:szCs w:val="24"/>
        </w:rPr>
        <w:t>Lexikos), as well as with two journals from other disciplines (Linguistics</w:t>
      </w:r>
      <w:r w:rsidR="00F81221">
        <w:rPr>
          <w:kern w:val="0"/>
          <w:szCs w:val="24"/>
        </w:rPr>
        <w:t xml:space="preserve"> and </w:t>
      </w:r>
      <w:r>
        <w:rPr>
          <w:kern w:val="0"/>
          <w:szCs w:val="24"/>
        </w:rPr>
        <w:t>Applied Linguistics).</w:t>
      </w:r>
    </w:p>
    <w:p w:rsidR="004B4305" w:rsidRDefault="004B4305" w:rsidP="004B4305">
      <w:pPr>
        <w:pStyle w:val="a0"/>
        <w:rPr>
          <w:kern w:val="0"/>
          <w:szCs w:val="24"/>
        </w:rPr>
      </w:pPr>
      <w:r>
        <w:rPr>
          <w:kern w:val="0"/>
          <w:szCs w:val="24"/>
        </w:rPr>
        <w:t>Keywords: Bibliometrics, Impact, International, Research</w:t>
      </w:r>
    </w:p>
    <w:p w:rsidR="00244EDC" w:rsidRDefault="00244EDC" w:rsidP="00244EDC">
      <w:pPr>
        <w:pStyle w:val="1"/>
      </w:pPr>
      <w:r>
        <w:rPr>
          <w:b w:val="0"/>
          <w:bCs/>
          <w:iCs/>
        </w:rPr>
        <w:br w:type="page"/>
      </w:r>
      <w:bookmarkStart w:id="1386" w:name="_Toc317161320"/>
      <w:r>
        <w:lastRenderedPageBreak/>
        <w:t xml:space="preserve">Title: </w:t>
      </w:r>
      <w:r w:rsidRPr="00244EDC">
        <w:rPr>
          <w:iCs/>
        </w:rPr>
        <w:t>International Journal of Library</w:t>
      </w:r>
      <w:r w:rsidR="00F81221">
        <w:rPr>
          <w:iCs/>
        </w:rPr>
        <w:t xml:space="preserve"> and </w:t>
      </w:r>
      <w:r w:rsidRPr="00244EDC">
        <w:rPr>
          <w:iCs/>
        </w:rPr>
        <w:t>Information Science</w:t>
      </w:r>
      <w:bookmarkEnd w:id="1386"/>
    </w:p>
    <w:p w:rsidR="00244EDC" w:rsidRDefault="00244EDC" w:rsidP="00B72EF9">
      <w:pPr>
        <w:pStyle w:val="12"/>
      </w:pPr>
      <w:r>
        <w:t xml:space="preserve">Full Journal Title: </w:t>
      </w:r>
      <w:hyperlink r:id="rId1955" w:history="1">
        <w:r w:rsidRPr="00244EDC">
          <w:rPr>
            <w:rStyle w:val="a5"/>
            <w:iCs/>
          </w:rPr>
          <w:t>International Journal of Library</w:t>
        </w:r>
        <w:r w:rsidR="00F81221">
          <w:rPr>
            <w:rStyle w:val="a5"/>
            <w:iCs/>
          </w:rPr>
          <w:t xml:space="preserve"> and </w:t>
        </w:r>
        <w:r w:rsidRPr="00244EDC">
          <w:rPr>
            <w:rStyle w:val="a5"/>
            <w:iCs/>
          </w:rPr>
          <w:t>Information Science</w:t>
        </w:r>
      </w:hyperlink>
    </w:p>
    <w:p w:rsidR="00244EDC" w:rsidRDefault="00244EDC" w:rsidP="00B72EF9">
      <w:pPr>
        <w:pStyle w:val="12"/>
      </w:pPr>
      <w:r>
        <w:t xml:space="preserve">ISO Abbreviated Title: </w:t>
      </w:r>
    </w:p>
    <w:p w:rsidR="00244EDC" w:rsidRDefault="00244EDC" w:rsidP="00B72EF9">
      <w:pPr>
        <w:pStyle w:val="12"/>
      </w:pPr>
      <w:r>
        <w:t xml:space="preserve">JCR Abbreviated Title: </w:t>
      </w:r>
    </w:p>
    <w:p w:rsidR="00244EDC" w:rsidRDefault="00244EDC" w:rsidP="00B72EF9">
      <w:pPr>
        <w:pStyle w:val="12"/>
      </w:pPr>
      <w:r>
        <w:t xml:space="preserve">ISSN: </w:t>
      </w:r>
    </w:p>
    <w:p w:rsidR="00244EDC" w:rsidRDefault="00244EDC" w:rsidP="00B72EF9">
      <w:pPr>
        <w:pStyle w:val="12"/>
      </w:pPr>
      <w:r>
        <w:t xml:space="preserve">Issues/Year: </w:t>
      </w:r>
    </w:p>
    <w:p w:rsidR="00244EDC" w:rsidRDefault="00244EDC" w:rsidP="00B72EF9">
      <w:pPr>
        <w:pStyle w:val="12"/>
      </w:pPr>
      <w:r>
        <w:t xml:space="preserve">Journal Country/Territory: </w:t>
      </w:r>
    </w:p>
    <w:p w:rsidR="00244EDC" w:rsidRDefault="00244EDC" w:rsidP="00B72EF9">
      <w:pPr>
        <w:pStyle w:val="12"/>
      </w:pPr>
      <w:r>
        <w:t xml:space="preserve">Language: </w:t>
      </w:r>
    </w:p>
    <w:p w:rsidR="00244EDC" w:rsidRDefault="00244EDC" w:rsidP="00B72EF9">
      <w:pPr>
        <w:pStyle w:val="12"/>
      </w:pPr>
      <w:r>
        <w:t xml:space="preserve">Publisher: </w:t>
      </w:r>
    </w:p>
    <w:p w:rsidR="00244EDC" w:rsidRDefault="00244EDC" w:rsidP="00B72EF9">
      <w:pPr>
        <w:pStyle w:val="12"/>
      </w:pPr>
      <w:r>
        <w:t xml:space="preserve">Publisher Address: </w:t>
      </w:r>
    </w:p>
    <w:p w:rsidR="00244EDC" w:rsidRDefault="00244EDC" w:rsidP="00B72EF9">
      <w:pPr>
        <w:pStyle w:val="12"/>
      </w:pPr>
      <w:r>
        <w:t>Subject Categories:</w:t>
      </w:r>
    </w:p>
    <w:p w:rsidR="00244EDC" w:rsidRDefault="00244EDC" w:rsidP="00B72EF9">
      <w:pPr>
        <w:pStyle w:val="12"/>
      </w:pPr>
      <w:r>
        <w:t>: Impact Factor</w:t>
      </w:r>
    </w:p>
    <w:p w:rsidR="00244EDC" w:rsidRDefault="00244EDC" w:rsidP="00244EDC">
      <w:pPr>
        <w:pStyle w:val="a0"/>
      </w:pPr>
      <w:r>
        <w:t>? Nattar</w:t>
      </w:r>
      <w:r>
        <w:rPr>
          <w:rFonts w:hint="eastAsia"/>
        </w:rPr>
        <w:t>, S.</w:t>
      </w:r>
      <w:r>
        <w:t xml:space="preserve"> (200</w:t>
      </w:r>
      <w:r>
        <w:rPr>
          <w:rFonts w:hint="eastAsia"/>
        </w:rPr>
        <w:t>9</w:t>
      </w:r>
      <w:r>
        <w:t xml:space="preserve">), Indian journal of physics: A scientometric analysis. </w:t>
      </w:r>
      <w:r w:rsidRPr="00244EDC">
        <w:rPr>
          <w:i/>
          <w:iCs/>
        </w:rPr>
        <w:t>International Journal of Library</w:t>
      </w:r>
      <w:r w:rsidR="00F81221">
        <w:rPr>
          <w:i/>
          <w:iCs/>
        </w:rPr>
        <w:t xml:space="preserve"> and </w:t>
      </w:r>
      <w:r w:rsidRPr="00244EDC">
        <w:rPr>
          <w:i/>
          <w:iCs/>
        </w:rPr>
        <w:t>Information Science</w:t>
      </w:r>
      <w:r>
        <w:t>,</w:t>
      </w:r>
      <w:r>
        <w:rPr>
          <w:rFonts w:hint="eastAsia"/>
        </w:rPr>
        <w:t xml:space="preserve"> </w:t>
      </w:r>
      <w:r>
        <w:rPr>
          <w:rFonts w:hint="eastAsia"/>
          <w:b/>
        </w:rPr>
        <w:t>1</w:t>
      </w:r>
      <w:r>
        <w:rPr>
          <w:rFonts w:hint="eastAsia"/>
        </w:rPr>
        <w:t xml:space="preserve"> (4),</w:t>
      </w:r>
      <w:r>
        <w:t xml:space="preserve"> </w:t>
      </w:r>
      <w:r>
        <w:rPr>
          <w:rFonts w:hint="eastAsia"/>
        </w:rPr>
        <w:t>55</w:t>
      </w:r>
      <w:r>
        <w:t>-</w:t>
      </w:r>
      <w:r>
        <w:rPr>
          <w:rFonts w:hint="eastAsia"/>
        </w:rPr>
        <w:t>61</w:t>
      </w:r>
      <w:r>
        <w:t>.</w:t>
      </w:r>
    </w:p>
    <w:p w:rsidR="00244EDC" w:rsidRDefault="00244EDC" w:rsidP="00244EDC">
      <w:pPr>
        <w:pStyle w:val="a0"/>
      </w:pPr>
      <w:r>
        <w:rPr>
          <w:rFonts w:hint="eastAsia"/>
        </w:rPr>
        <w:t xml:space="preserve">Full Text: </w:t>
      </w:r>
      <w:hyperlink r:id="rId1956" w:history="1">
        <w:r w:rsidRPr="00244EDC">
          <w:rPr>
            <w:rStyle w:val="a5"/>
          </w:rPr>
          <w:t>2009\Int J Lib Inf Sci1, 55.pdf</w:t>
        </w:r>
      </w:hyperlink>
    </w:p>
    <w:p w:rsidR="00244EDC" w:rsidRDefault="00244EDC" w:rsidP="00244EDC">
      <w:pPr>
        <w:pStyle w:val="a0"/>
      </w:pPr>
      <w:r>
        <w:rPr>
          <w:rFonts w:hint="eastAsia"/>
        </w:rPr>
        <w:t>Abstract:</w:t>
      </w:r>
      <w:r w:rsidRPr="00244EDC">
        <w:t xml:space="preserve"> </w:t>
      </w:r>
      <w:r>
        <w:t>Scientometric analysis of 829 articles published in the Indian Journal of physics during the year 2004-2008 are taken up to observe the distribution of contributions, authorship pattern, geographical</w:t>
      </w:r>
      <w:r>
        <w:rPr>
          <w:rFonts w:hint="eastAsia"/>
        </w:rPr>
        <w:t xml:space="preserve"> </w:t>
      </w:r>
      <w:r>
        <w:t>distribution of contributions</w:t>
      </w:r>
      <w:r w:rsidR="00F81221">
        <w:t xml:space="preserve"> and </w:t>
      </w:r>
      <w:r>
        <w:t>the number of pages used in each volume. Results indicate that</w:t>
      </w:r>
      <w:r>
        <w:rPr>
          <w:rFonts w:hint="eastAsia"/>
        </w:rPr>
        <w:t xml:space="preserve"> </w:t>
      </w:r>
      <w:r>
        <w:t>highest numbers of papers have been written by co- authors. The contributions in this journal from</w:t>
      </w:r>
      <w:r>
        <w:rPr>
          <w:rFonts w:hint="eastAsia"/>
        </w:rPr>
        <w:t xml:space="preserve"> </w:t>
      </w:r>
      <w:r>
        <w:t>India are slightly more than those from the other countries. The growth</w:t>
      </w:r>
      <w:r w:rsidR="00F81221">
        <w:t xml:space="preserve"> and </w:t>
      </w:r>
      <w:r>
        <w:t>popularity of this journal is</w:t>
      </w:r>
      <w:r>
        <w:rPr>
          <w:rFonts w:hint="eastAsia"/>
        </w:rPr>
        <w:t xml:space="preserve"> </w:t>
      </w:r>
      <w:r>
        <w:t>found to show an upward trend.</w:t>
      </w:r>
    </w:p>
    <w:p w:rsidR="00244EDC" w:rsidRDefault="00244EDC" w:rsidP="00244EDC">
      <w:pPr>
        <w:pStyle w:val="a0"/>
      </w:pPr>
      <w:r>
        <w:t>Keywords: Scientometrics, Distribution of Contributions, Geographical Distribution, Indian Journal of Physics</w:t>
      </w:r>
    </w:p>
    <w:p w:rsidR="00C114FB" w:rsidRDefault="00C114FB" w:rsidP="00C114FB">
      <w:pPr>
        <w:pStyle w:val="1"/>
      </w:pPr>
      <w:r>
        <w:rPr>
          <w:b w:val="0"/>
        </w:rPr>
        <w:br w:type="page"/>
      </w:r>
      <w:bookmarkStart w:id="1387" w:name="_Toc317161321"/>
      <w:r>
        <w:lastRenderedPageBreak/>
        <w:t xml:space="preserve">Title: </w:t>
      </w:r>
      <w:r w:rsidRPr="00D658AE">
        <w:rPr>
          <w:iCs/>
          <w:szCs w:val="24"/>
        </w:rPr>
        <w:t>International Journal of Life Cycle Assessment</w:t>
      </w:r>
      <w:bookmarkEnd w:id="1387"/>
    </w:p>
    <w:p w:rsidR="00C114FB" w:rsidRDefault="00C114FB" w:rsidP="00C114FB">
      <w:pPr>
        <w:pStyle w:val="12"/>
      </w:pPr>
      <w:r>
        <w:t xml:space="preserve">Full Journal Title: </w:t>
      </w:r>
      <w:r w:rsidRPr="00D658AE">
        <w:rPr>
          <w:iCs/>
        </w:rPr>
        <w:t>International Journal of Life Cycle Assessment</w:t>
      </w:r>
    </w:p>
    <w:p w:rsidR="00C114FB" w:rsidRDefault="00C114FB" w:rsidP="00C114FB">
      <w:pPr>
        <w:pStyle w:val="12"/>
      </w:pPr>
      <w:r>
        <w:t xml:space="preserve">ISO Abbreviated Title: </w:t>
      </w:r>
    </w:p>
    <w:p w:rsidR="00C114FB" w:rsidRDefault="00C114FB" w:rsidP="00C114FB">
      <w:pPr>
        <w:pStyle w:val="12"/>
      </w:pPr>
      <w:r>
        <w:t xml:space="preserve">JCR Abbreviated Title: </w:t>
      </w:r>
    </w:p>
    <w:p w:rsidR="00C114FB" w:rsidRDefault="00C114FB" w:rsidP="00C114FB">
      <w:pPr>
        <w:pStyle w:val="12"/>
      </w:pPr>
      <w:r>
        <w:t xml:space="preserve">ISSN: </w:t>
      </w:r>
    </w:p>
    <w:p w:rsidR="00C114FB" w:rsidRDefault="00C114FB" w:rsidP="00C114FB">
      <w:pPr>
        <w:pStyle w:val="12"/>
      </w:pPr>
      <w:r>
        <w:t xml:space="preserve">Issues/Year: </w:t>
      </w:r>
    </w:p>
    <w:p w:rsidR="00C114FB" w:rsidRDefault="00C114FB" w:rsidP="00C114FB">
      <w:pPr>
        <w:pStyle w:val="12"/>
      </w:pPr>
      <w:r>
        <w:t xml:space="preserve">Journal Country/Territory: </w:t>
      </w:r>
    </w:p>
    <w:p w:rsidR="00C114FB" w:rsidRDefault="00C114FB" w:rsidP="00C114FB">
      <w:pPr>
        <w:pStyle w:val="12"/>
      </w:pPr>
      <w:r>
        <w:t xml:space="preserve">Language: </w:t>
      </w:r>
    </w:p>
    <w:p w:rsidR="00C114FB" w:rsidRDefault="00C114FB" w:rsidP="00C114FB">
      <w:pPr>
        <w:pStyle w:val="12"/>
      </w:pPr>
      <w:r>
        <w:t xml:space="preserve">Publisher: </w:t>
      </w:r>
    </w:p>
    <w:p w:rsidR="00C114FB" w:rsidRDefault="00C114FB" w:rsidP="00C114FB">
      <w:pPr>
        <w:pStyle w:val="12"/>
      </w:pPr>
      <w:r>
        <w:t xml:space="preserve">Publisher Address: </w:t>
      </w:r>
    </w:p>
    <w:p w:rsidR="00C114FB" w:rsidRDefault="00C114FB" w:rsidP="00C114FB">
      <w:pPr>
        <w:pStyle w:val="12"/>
      </w:pPr>
      <w:r>
        <w:t>Subject Categories:</w:t>
      </w:r>
    </w:p>
    <w:p w:rsidR="00C114FB" w:rsidRDefault="00C114FB" w:rsidP="00C114FB">
      <w:pPr>
        <w:pStyle w:val="12"/>
      </w:pPr>
      <w:r>
        <w:t>: Impact Factor</w:t>
      </w:r>
    </w:p>
    <w:p w:rsidR="00C114FB" w:rsidRDefault="00C114FB" w:rsidP="00C114FB">
      <w:pPr>
        <w:pStyle w:val="a0"/>
        <w:rPr>
          <w:kern w:val="0"/>
          <w:szCs w:val="24"/>
        </w:rPr>
      </w:pPr>
      <w:r>
        <w:rPr>
          <w:rFonts w:hint="eastAsia"/>
          <w:kern w:val="0"/>
          <w:szCs w:val="24"/>
        </w:rPr>
        <w:t xml:space="preserve">? </w:t>
      </w:r>
      <w:r>
        <w:rPr>
          <w:kern w:val="0"/>
          <w:szCs w:val="24"/>
        </w:rPr>
        <w:t>de Souza, C.G.</w:t>
      </w:r>
      <w:r w:rsidR="00F81221">
        <w:rPr>
          <w:kern w:val="0"/>
          <w:szCs w:val="24"/>
        </w:rPr>
        <w:t xml:space="preserve"> and </w:t>
      </w:r>
      <w:r>
        <w:rPr>
          <w:kern w:val="0"/>
          <w:szCs w:val="24"/>
        </w:rPr>
        <w:t>Barbastefano, R.G. (2011), Knowledge diffusion</w:t>
      </w:r>
      <w:r w:rsidR="00F81221">
        <w:rPr>
          <w:kern w:val="0"/>
          <w:szCs w:val="24"/>
        </w:rPr>
        <w:t xml:space="preserve"> and </w:t>
      </w:r>
      <w:r>
        <w:rPr>
          <w:kern w:val="0"/>
          <w:szCs w:val="24"/>
        </w:rPr>
        <w:t xml:space="preserve">collaboration networks on life cycle assessment. </w:t>
      </w:r>
      <w:r w:rsidRPr="00D658AE">
        <w:rPr>
          <w:i/>
          <w:iCs/>
          <w:kern w:val="0"/>
          <w:szCs w:val="24"/>
        </w:rPr>
        <w:t>International Journal of Life Cycle Assessment</w:t>
      </w:r>
      <w:r>
        <w:rPr>
          <w:kern w:val="0"/>
          <w:szCs w:val="24"/>
        </w:rPr>
        <w:t xml:space="preserve">, </w:t>
      </w:r>
      <w:r>
        <w:rPr>
          <w:b/>
          <w:bCs/>
          <w:kern w:val="0"/>
          <w:szCs w:val="24"/>
        </w:rPr>
        <w:t>16</w:t>
      </w:r>
      <w:r>
        <w:rPr>
          <w:kern w:val="0"/>
          <w:szCs w:val="24"/>
        </w:rPr>
        <w:t xml:space="preserve"> (6), 561-568.</w:t>
      </w:r>
    </w:p>
    <w:p w:rsidR="00C114FB" w:rsidRDefault="00C114FB" w:rsidP="00C114FB">
      <w:pPr>
        <w:pStyle w:val="a0"/>
        <w:rPr>
          <w:kern w:val="0"/>
          <w:szCs w:val="24"/>
        </w:rPr>
      </w:pPr>
      <w:r>
        <w:rPr>
          <w:rFonts w:hint="eastAsia"/>
          <w:kern w:val="0"/>
          <w:szCs w:val="24"/>
        </w:rPr>
        <w:t>F</w:t>
      </w:r>
      <w:r>
        <w:rPr>
          <w:kern w:val="0"/>
          <w:szCs w:val="24"/>
        </w:rPr>
        <w:t>u</w:t>
      </w:r>
      <w:r>
        <w:rPr>
          <w:rFonts w:hint="eastAsia"/>
          <w:kern w:val="0"/>
          <w:szCs w:val="24"/>
        </w:rPr>
        <w:t xml:space="preserve">ll Text: </w:t>
      </w:r>
      <w:hyperlink r:id="rId1957" w:history="1">
        <w:r w:rsidRPr="00D658AE">
          <w:rPr>
            <w:rStyle w:val="a5"/>
            <w:kern w:val="0"/>
            <w:szCs w:val="24"/>
          </w:rPr>
          <w:t>2011\Int J Lif Cyc Ass16, 561.pdf</w:t>
        </w:r>
      </w:hyperlink>
    </w:p>
    <w:p w:rsidR="00C114FB" w:rsidRDefault="00C114FB" w:rsidP="00C114FB">
      <w:pPr>
        <w:pStyle w:val="a0"/>
        <w:rPr>
          <w:kern w:val="0"/>
          <w:szCs w:val="24"/>
        </w:rPr>
      </w:pPr>
      <w:r>
        <w:rPr>
          <w:kern w:val="0"/>
          <w:szCs w:val="24"/>
        </w:rPr>
        <w:t>Abstract: The interest in life cycle assessment (LCA) studies has increased over the years,</w:t>
      </w:r>
      <w:r w:rsidR="00F81221">
        <w:rPr>
          <w:kern w:val="0"/>
          <w:szCs w:val="24"/>
        </w:rPr>
        <w:t xml:space="preserve"> and </w:t>
      </w:r>
      <w:r>
        <w:rPr>
          <w:kern w:val="0"/>
          <w:szCs w:val="24"/>
        </w:rPr>
        <w:t>one of the main ways of disseminating these studies is through the publication of articles in scientific journals. Coauthorship relations form a social network where it is possible to identify how research is organized</w:t>
      </w:r>
      <w:r w:rsidR="00F81221">
        <w:rPr>
          <w:kern w:val="0"/>
          <w:szCs w:val="24"/>
        </w:rPr>
        <w:t xml:space="preserve"> and </w:t>
      </w:r>
      <w:r>
        <w:rPr>
          <w:kern w:val="0"/>
          <w:szCs w:val="24"/>
        </w:rPr>
        <w:t>structured in a specific field of knowledge. This paper aims to show the spread of these studies</w:t>
      </w:r>
      <w:r w:rsidR="00F81221">
        <w:rPr>
          <w:kern w:val="0"/>
          <w:szCs w:val="24"/>
        </w:rPr>
        <w:t xml:space="preserve"> and </w:t>
      </w:r>
      <w:r>
        <w:rPr>
          <w:kern w:val="0"/>
          <w:szCs w:val="24"/>
        </w:rPr>
        <w:t>the configuration of a collaboration network based on coauthorship relations between researchers of LCA considering some properties of social networks. The research was based on a bibliometric approach of 1,386 articles related to LCA</w:t>
      </w:r>
      <w:r w:rsidR="00F81221">
        <w:rPr>
          <w:kern w:val="0"/>
          <w:szCs w:val="24"/>
        </w:rPr>
        <w:t xml:space="preserve"> and </w:t>
      </w:r>
      <w:r>
        <w:rPr>
          <w:kern w:val="0"/>
          <w:szCs w:val="24"/>
        </w:rPr>
        <w:t>published in journals indexed in the ISI/Web of Science until 2008. A free software, Pajek, which has been largely used for the representation</w:t>
      </w:r>
      <w:r w:rsidR="00F81221">
        <w:rPr>
          <w:kern w:val="0"/>
          <w:szCs w:val="24"/>
        </w:rPr>
        <w:t xml:space="preserve"> and </w:t>
      </w:r>
      <w:r>
        <w:rPr>
          <w:kern w:val="0"/>
          <w:szCs w:val="24"/>
        </w:rPr>
        <w:t>analysis of social networks, was employed in this work. The properties of social networks analyzed in this study were power law, degrees of separation, giant component,</w:t>
      </w:r>
      <w:r w:rsidR="00F81221">
        <w:rPr>
          <w:kern w:val="0"/>
          <w:szCs w:val="24"/>
        </w:rPr>
        <w:t xml:space="preserve"> and </w:t>
      </w:r>
      <w:r>
        <w:rPr>
          <w:kern w:val="0"/>
          <w:szCs w:val="24"/>
        </w:rPr>
        <w:t>clustering. The research showed a social network formed by 2,598 authors from 60 countries, 88% of coauthored articles, a mean of 1.87 authors per article; the distribution of articles per author follows a power law (f (z) = 2,134.3 x z (-2.544)) with a high regression coefficient (R (2) = 0.9704), a degree of separation of 6.5, a giant component embracing 37% of the authors,</w:t>
      </w:r>
      <w:r w:rsidR="00F81221">
        <w:rPr>
          <w:kern w:val="0"/>
          <w:szCs w:val="24"/>
        </w:rPr>
        <w:t xml:space="preserve"> and </w:t>
      </w:r>
      <w:r>
        <w:rPr>
          <w:kern w:val="0"/>
          <w:szCs w:val="24"/>
        </w:rPr>
        <w:t xml:space="preserve">a clustering coefficient of 0.75. The LCA coauthorship network has properties following power law patterns similar to other nets such as WWW. The community forms a giant component which is still small, but which, nevertheless, might experience considerable growth in the near future. The average distance between authors follows the small-world hypothesis. The </w:t>
      </w:r>
      <w:r>
        <w:rPr>
          <w:kern w:val="0"/>
          <w:szCs w:val="24"/>
        </w:rPr>
        <w:lastRenderedPageBreak/>
        <w:t>clustering degree was also coherent with other scientific communities. In spite of being an area with less than 20 years of publications registered in the ISI/Web of Science, LCA is now experiencing fast dissemination involving a large number of articles, authors,</w:t>
      </w:r>
      <w:r w:rsidR="00F81221">
        <w:rPr>
          <w:kern w:val="0"/>
          <w:szCs w:val="24"/>
        </w:rPr>
        <w:t xml:space="preserve"> and </w:t>
      </w:r>
      <w:r>
        <w:rPr>
          <w:kern w:val="0"/>
          <w:szCs w:val="24"/>
        </w:rPr>
        <w:t>institutions. The LCA</w:t>
      </w:r>
      <w:r w:rsidR="000352E7">
        <w:rPr>
          <w:kern w:val="0"/>
          <w:szCs w:val="24"/>
        </w:rPr>
        <w:t>’</w:t>
      </w:r>
      <w:r>
        <w:rPr>
          <w:kern w:val="0"/>
          <w:szCs w:val="24"/>
        </w:rPr>
        <w:t>s coauthorship network can be characterized as a scientific community with properties verified in other networks of more consolidated academic collaboration.</w:t>
      </w:r>
    </w:p>
    <w:p w:rsidR="00C114FB" w:rsidRDefault="00C114FB" w:rsidP="00C114FB">
      <w:pPr>
        <w:pStyle w:val="a0"/>
        <w:rPr>
          <w:kern w:val="0"/>
          <w:szCs w:val="24"/>
        </w:rPr>
      </w:pPr>
      <w:r>
        <w:rPr>
          <w:kern w:val="0"/>
          <w:szCs w:val="24"/>
        </w:rPr>
        <w:t>Keywords: Assessment, Authors, Bibliometric, Bibliometrics, Co-Authorship, Coauthorship, Collaboration, Journals, Knowledge, Life Cycle Assessment, Productivity, Publication, Publications, Research, Small-World, Social Network Analysis, Web</w:t>
      </w:r>
    </w:p>
    <w:p w:rsidR="004769FA" w:rsidRDefault="004769FA" w:rsidP="004769FA">
      <w:pPr>
        <w:pStyle w:val="1"/>
      </w:pPr>
      <w:r>
        <w:rPr>
          <w:b w:val="0"/>
          <w:bCs/>
          <w:iCs/>
        </w:rPr>
        <w:br w:type="page"/>
      </w:r>
      <w:bookmarkStart w:id="1388" w:name="_Toc238871720"/>
      <w:bookmarkStart w:id="1389" w:name="_Toc317161322"/>
      <w:r>
        <w:lastRenderedPageBreak/>
        <w:t>Title: International Journal of Management</w:t>
      </w:r>
      <w:r w:rsidR="00F81221">
        <w:t xml:space="preserve"> and </w:t>
      </w:r>
      <w:r>
        <w:t>Enterprise Development</w:t>
      </w:r>
      <w:bookmarkEnd w:id="1388"/>
      <w:bookmarkEnd w:id="1389"/>
    </w:p>
    <w:p w:rsidR="004769FA" w:rsidRDefault="004769FA" w:rsidP="00B72EF9">
      <w:pPr>
        <w:pStyle w:val="12"/>
      </w:pPr>
      <w:r>
        <w:t xml:space="preserve">Full Journal Title: </w:t>
      </w:r>
      <w:hyperlink r:id="rId1958" w:history="1">
        <w:r>
          <w:rPr>
            <w:rStyle w:val="a5"/>
            <w:iCs/>
          </w:rPr>
          <w:t>International Journal of Management</w:t>
        </w:r>
        <w:r w:rsidR="00F81221">
          <w:rPr>
            <w:rStyle w:val="a5"/>
            <w:iCs/>
          </w:rPr>
          <w:t xml:space="preserve"> and </w:t>
        </w:r>
        <w:r>
          <w:rPr>
            <w:rStyle w:val="a5"/>
            <w:iCs/>
          </w:rPr>
          <w:t>Enterprise Development</w:t>
        </w:r>
      </w:hyperlink>
    </w:p>
    <w:p w:rsidR="004769FA" w:rsidRDefault="004769FA" w:rsidP="00B72EF9">
      <w:pPr>
        <w:pStyle w:val="12"/>
      </w:pPr>
      <w:r>
        <w:t xml:space="preserve">ISO Abbreviated Title: </w:t>
      </w:r>
    </w:p>
    <w:p w:rsidR="004769FA" w:rsidRDefault="004769FA" w:rsidP="00B72EF9">
      <w:pPr>
        <w:pStyle w:val="12"/>
      </w:pPr>
      <w:r>
        <w:t xml:space="preserve">JCR Abbreviated Title: </w:t>
      </w:r>
    </w:p>
    <w:p w:rsidR="004769FA" w:rsidRDefault="004769FA" w:rsidP="00B72EF9">
      <w:pPr>
        <w:pStyle w:val="12"/>
      </w:pPr>
      <w:r>
        <w:t xml:space="preserve">ISSN: </w:t>
      </w:r>
    </w:p>
    <w:p w:rsidR="004769FA" w:rsidRDefault="004769FA" w:rsidP="00B72EF9">
      <w:pPr>
        <w:pStyle w:val="12"/>
      </w:pPr>
      <w:r>
        <w:t xml:space="preserve">Issues/Year: </w:t>
      </w:r>
    </w:p>
    <w:p w:rsidR="004769FA" w:rsidRDefault="00FB5623" w:rsidP="00B72EF9">
      <w:pPr>
        <w:pStyle w:val="12"/>
      </w:pPr>
      <w:r>
        <w:t>Journal Country/Territory:</w:t>
      </w:r>
      <w:r w:rsidR="004769FA">
        <w:t xml:space="preserve"> </w:t>
      </w:r>
    </w:p>
    <w:p w:rsidR="004769FA" w:rsidRDefault="004769FA" w:rsidP="00B72EF9">
      <w:pPr>
        <w:pStyle w:val="12"/>
      </w:pPr>
      <w:r>
        <w:t xml:space="preserve">Language: </w:t>
      </w:r>
    </w:p>
    <w:p w:rsidR="004769FA" w:rsidRDefault="004769FA" w:rsidP="00B72EF9">
      <w:pPr>
        <w:pStyle w:val="12"/>
      </w:pPr>
      <w:r>
        <w:t xml:space="preserve">Publisher: </w:t>
      </w:r>
    </w:p>
    <w:p w:rsidR="004769FA" w:rsidRDefault="004769FA" w:rsidP="00B72EF9">
      <w:pPr>
        <w:pStyle w:val="12"/>
      </w:pPr>
      <w:r>
        <w:t xml:space="preserve">Publisher Address: </w:t>
      </w:r>
    </w:p>
    <w:p w:rsidR="004769FA" w:rsidRDefault="004769FA" w:rsidP="00B72EF9">
      <w:pPr>
        <w:pStyle w:val="12"/>
      </w:pPr>
      <w:r>
        <w:t>Subject Categories:</w:t>
      </w:r>
    </w:p>
    <w:p w:rsidR="004769FA" w:rsidRDefault="004769FA" w:rsidP="00B72EF9">
      <w:pPr>
        <w:pStyle w:val="12"/>
      </w:pPr>
      <w:r>
        <w:t>: Impact Factor</w:t>
      </w:r>
    </w:p>
    <w:p w:rsidR="004769FA" w:rsidRDefault="004769FA" w:rsidP="004769FA">
      <w:pPr>
        <w:pStyle w:val="a0"/>
      </w:pPr>
      <w:r>
        <w:t>? Chao, C.C., Jen, W.Y., Chi, Y.P.</w:t>
      </w:r>
      <w:r w:rsidR="00F81221">
        <w:t xml:space="preserve"> and </w:t>
      </w:r>
      <w:r>
        <w:t>Lin, B.S. (2007), Determining technology trends</w:t>
      </w:r>
      <w:r w:rsidR="00F81221">
        <w:t xml:space="preserve"> and </w:t>
      </w:r>
      <w:r>
        <w:t>forecasts of CRM through a historical review</w:t>
      </w:r>
      <w:r w:rsidR="00F81221">
        <w:t xml:space="preserve"> and </w:t>
      </w:r>
      <w:r>
        <w:t xml:space="preserve">bibliometric analysis of data from 1991 to 2005. </w:t>
      </w:r>
      <w:r>
        <w:rPr>
          <w:i/>
          <w:iCs/>
        </w:rPr>
        <w:t>International Journal of Management</w:t>
      </w:r>
      <w:r w:rsidR="00F81221">
        <w:rPr>
          <w:i/>
          <w:iCs/>
        </w:rPr>
        <w:t xml:space="preserve"> and </w:t>
      </w:r>
      <w:r>
        <w:rPr>
          <w:i/>
          <w:iCs/>
        </w:rPr>
        <w:t>Enterprise Development</w:t>
      </w:r>
      <w:r>
        <w:t>,</w:t>
      </w:r>
      <w:r w:rsidR="00FA08F6">
        <w:rPr>
          <w:rFonts w:hint="eastAsia"/>
        </w:rPr>
        <w:t xml:space="preserve"> </w:t>
      </w:r>
      <w:r w:rsidR="00FA08F6" w:rsidRPr="00FA08F6">
        <w:rPr>
          <w:rFonts w:hint="eastAsia"/>
          <w:b/>
        </w:rPr>
        <w:t>4</w:t>
      </w:r>
      <w:r w:rsidR="00FA08F6">
        <w:rPr>
          <w:rFonts w:hint="eastAsia"/>
        </w:rPr>
        <w:t xml:space="preserve"> (4),</w:t>
      </w:r>
      <w:r>
        <w:t xml:space="preserve"> 415-427.</w:t>
      </w:r>
    </w:p>
    <w:p w:rsidR="004769FA" w:rsidRDefault="004769FA" w:rsidP="004769FA">
      <w:pPr>
        <w:pStyle w:val="a0"/>
      </w:pPr>
      <w:r>
        <w:t>Abstract: Customer relationship management (CRM) has been identified as one of the greatest technological contributions to enterprises in the 21st century. This technology surged into the market rapidly. More</w:t>
      </w:r>
      <w:r w:rsidR="00F81221">
        <w:t xml:space="preserve"> and </w:t>
      </w:r>
      <w:r>
        <w:t>more enterprises are applying CRM to improve efficiency of operation</w:t>
      </w:r>
      <w:r w:rsidR="00F81221">
        <w:t xml:space="preserve"> and </w:t>
      </w:r>
      <w:r>
        <w:t>gain competitive advantage. In light of the awareness of the CRM trend</w:t>
      </w:r>
      <w:r w:rsidR="000352E7">
        <w:t>’</w:t>
      </w:r>
      <w:r>
        <w:t>s contribution, a historical review</w:t>
      </w:r>
      <w:r w:rsidR="00F81221">
        <w:t xml:space="preserve"> and </w:t>
      </w:r>
      <w:r>
        <w:t>bibliometric methods are applied in this research. CRM is examined using the bibliometric analysis technique on SCI</w:t>
      </w:r>
      <w:r w:rsidR="00F81221">
        <w:t xml:space="preserve"> and </w:t>
      </w:r>
      <w:r>
        <w:t>SSCI journals from 1991 to 2005. Also, the historical review method was applied to analyse CRM innovation, organisations</w:t>
      </w:r>
      <w:r w:rsidR="000352E7">
        <w:t>’</w:t>
      </w:r>
      <w:r>
        <w:t xml:space="preserve"> adoption,</w:t>
      </w:r>
      <w:r w:rsidR="00F81221">
        <w:t xml:space="preserve"> and </w:t>
      </w:r>
      <w:r>
        <w:t>diffusion. Moreover, from retrospective analysis findings, business, the health industry</w:t>
      </w:r>
      <w:r w:rsidR="00F81221">
        <w:t xml:space="preserve"> and </w:t>
      </w:r>
      <w:r>
        <w:t>privacy are the major trends</w:t>
      </w:r>
      <w:r w:rsidR="00F81221">
        <w:t xml:space="preserve"> and </w:t>
      </w:r>
      <w:r>
        <w:t>issues of adoption by enterprises. Furthermore, the contribution of CRM</w:t>
      </w:r>
      <w:r w:rsidR="00F81221">
        <w:t xml:space="preserve"> and </w:t>
      </w:r>
      <w:r>
        <w:t>forecast of the technology trend are also analysed. CRM will diffuse</w:t>
      </w:r>
      <w:r w:rsidR="00F81221">
        <w:t xml:space="preserve"> and </w:t>
      </w:r>
      <w:r>
        <w:t>be assimilated into our daily lives in the near future.</w:t>
      </w:r>
    </w:p>
    <w:p w:rsidR="004769FA" w:rsidRDefault="004769FA" w:rsidP="004769FA">
      <w:pPr>
        <w:pStyle w:val="a0"/>
      </w:pPr>
      <w:r>
        <w:t>Keywords: Adoption, Analysis, Bibliometric, Bibliometric Analysis, Bibliometric Methods, Business, Data, Diffusion, Efficiency, Enterprises, Forecast, Health, Historical Review, Innovation, Journals, Management, Market, Methods, Operation, Privacy, Research, Retrospective Analysis, Review, SCI, SSCI, Technology, Trend, Trends</w:t>
      </w:r>
    </w:p>
    <w:p w:rsidR="00B95188" w:rsidRPr="00A428C3" w:rsidRDefault="00B95188" w:rsidP="00B95188">
      <w:pPr>
        <w:pStyle w:val="1"/>
      </w:pPr>
      <w:r w:rsidRPr="00A428C3">
        <w:br w:type="page"/>
      </w:r>
      <w:bookmarkStart w:id="1390" w:name="_Toc186647930"/>
      <w:bookmarkStart w:id="1391" w:name="_Toc317161323"/>
      <w:r w:rsidRPr="00A428C3">
        <w:lastRenderedPageBreak/>
        <w:t>Title: International Journal of Management Reviews</w:t>
      </w:r>
      <w:bookmarkEnd w:id="1390"/>
      <w:bookmarkEnd w:id="1391"/>
    </w:p>
    <w:p w:rsidR="00B95188" w:rsidRPr="00A428C3" w:rsidRDefault="00B95188" w:rsidP="00B72EF9">
      <w:pPr>
        <w:pStyle w:val="12"/>
      </w:pPr>
      <w:r w:rsidRPr="00A428C3">
        <w:t xml:space="preserve">Full Journal Title: </w:t>
      </w:r>
      <w:hyperlink r:id="rId1959" w:history="1">
        <w:r w:rsidRPr="009E6ADB">
          <w:rPr>
            <w:rStyle w:val="a5"/>
          </w:rPr>
          <w:t>International Journal of Management Reviews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Verbeek, A., Debackere, K., Luwel, M.</w:t>
      </w:r>
      <w:r w:rsidR="00F81221">
        <w:t xml:space="preserve"> and </w:t>
      </w:r>
      <w:r w:rsidRPr="00A428C3">
        <w:t>Zimmermann, E. (2002), Measuring progress</w:t>
      </w:r>
      <w:r w:rsidR="00F81221">
        <w:t xml:space="preserve"> and </w:t>
      </w:r>
      <w:r w:rsidRPr="00A428C3">
        <w:t>evolution in science</w:t>
      </w:r>
      <w:r w:rsidR="00F81221">
        <w:t xml:space="preserve"> and </w:t>
      </w:r>
      <w:r w:rsidRPr="00A428C3">
        <w:t xml:space="preserve">technology. I: The multiple uses of bibliometric indicators. </w:t>
      </w:r>
      <w:r w:rsidRPr="00A428C3">
        <w:rPr>
          <w:i/>
          <w:iCs/>
        </w:rPr>
        <w:t>International Journal of Management Reviews</w:t>
      </w:r>
      <w:r w:rsidRPr="00A428C3">
        <w:t xml:space="preserve">, </w:t>
      </w:r>
      <w:r w:rsidRPr="00A428C3">
        <w:rPr>
          <w:b/>
        </w:rPr>
        <w:t>4</w:t>
      </w:r>
      <w:r w:rsidRPr="00A428C3">
        <w:t xml:space="preserve"> (2), 179-211.</w:t>
      </w:r>
    </w:p>
    <w:p w:rsidR="00B95188" w:rsidRPr="00A428C3" w:rsidRDefault="00B95188" w:rsidP="00B95188">
      <w:pPr>
        <w:pStyle w:val="a0"/>
      </w:pPr>
      <w:r w:rsidRPr="00A428C3">
        <w:t xml:space="preserve">Full Text: </w:t>
      </w:r>
      <w:hyperlink r:id="rId1960" w:history="1">
        <w:r w:rsidRPr="00A428C3">
          <w:rPr>
            <w:rStyle w:val="a5"/>
          </w:rPr>
          <w:t>I\Int J Man Rev4, 179.pdf</w:t>
        </w:r>
      </w:hyperlink>
    </w:p>
    <w:p w:rsidR="00B95188" w:rsidRPr="00A428C3" w:rsidRDefault="00B95188" w:rsidP="00B95188">
      <w:pPr>
        <w:pStyle w:val="a0"/>
      </w:pPr>
      <w:r w:rsidRPr="00A428C3">
        <w:t>Abstract: Science</w:t>
      </w:r>
      <w:r w:rsidR="00F81221">
        <w:t xml:space="preserve"> and </w:t>
      </w:r>
      <w:r w:rsidRPr="00A428C3">
        <w:t>technology development have become critical instruments in the public policy arena given their demonstrated impact on economic progress. As a consequence, a vast array of indicators for measuring</w:t>
      </w:r>
      <w:r w:rsidR="00F81221">
        <w:t xml:space="preserve"> and </w:t>
      </w:r>
      <w:r w:rsidRPr="00A428C3">
        <w:t>mapping scientific</w:t>
      </w:r>
      <w:r w:rsidR="00F81221">
        <w:t xml:space="preserve"> and </w:t>
      </w:r>
      <w:r w:rsidRPr="00A428C3">
        <w:t>technological activity, their progress</w:t>
      </w:r>
      <w:r w:rsidR="00F81221">
        <w:t xml:space="preserve"> and </w:t>
      </w:r>
      <w:r w:rsidRPr="00A428C3">
        <w:t>their outcomes, has been developed over recent decades (see for instance, the EU Commission, 2nd Report on S&amp;T Indicators 1997). The majority of them relate to measuring</w:t>
      </w:r>
      <w:r w:rsidR="00F81221">
        <w:t xml:space="preserve"> and </w:t>
      </w:r>
      <w:r w:rsidRPr="00A428C3">
        <w:t>mapping the published journal</w:t>
      </w:r>
      <w:r w:rsidR="00F81221">
        <w:t xml:space="preserve"> and </w:t>
      </w:r>
      <w:r w:rsidRPr="00A428C3">
        <w:t>patent literature. The first part of this review paper focuses on a state-of-the-art overview of bibliometric: indicators</w:t>
      </w:r>
      <w:r w:rsidR="00F81221">
        <w:t xml:space="preserve"> and </w:t>
      </w:r>
      <w:r w:rsidRPr="00A428C3">
        <w:t>their multiple uses in supporting the development of science</w:t>
      </w:r>
      <w:r w:rsidR="00F81221">
        <w:t xml:space="preserve"> and </w:t>
      </w:r>
      <w:r w:rsidRPr="00A428C3">
        <w:t>technology policy, The limitations</w:t>
      </w:r>
      <w:r w:rsidR="00F81221">
        <w:t xml:space="preserve"> and </w:t>
      </w:r>
      <w:r w:rsidRPr="00A428C3">
        <w:t>the pitfalls related to their use are also discussed.</w:t>
      </w:r>
    </w:p>
    <w:p w:rsidR="00B95188" w:rsidRPr="00A428C3" w:rsidRDefault="00B95188" w:rsidP="00B95188">
      <w:pPr>
        <w:pStyle w:val="a0"/>
      </w:pPr>
      <w:r w:rsidRPr="00A428C3">
        <w:t xml:space="preserve">Keywords: University-Research Performance, Citation Analysis, Basic Research, Co-Citation, Economics, </w:t>
      </w:r>
      <w:smartTag w:uri="urn:schemas-microsoft-com:office:smarttags" w:element="place">
        <w:r w:rsidRPr="00A428C3">
          <w:t>Flanders</w:t>
        </w:r>
      </w:smartTag>
      <w:r w:rsidRPr="00A428C3">
        <w:t>, Policy, Field</w:t>
      </w:r>
    </w:p>
    <w:p w:rsidR="00B95188" w:rsidRPr="00A428C3" w:rsidRDefault="00B95188" w:rsidP="00B95188">
      <w:pPr>
        <w:pStyle w:val="1"/>
      </w:pPr>
      <w:r w:rsidRPr="00A428C3">
        <w:br w:type="page"/>
      </w:r>
      <w:bookmarkStart w:id="1392" w:name="_Toc186647931"/>
      <w:bookmarkStart w:id="1393" w:name="_Toc317161324"/>
      <w:r w:rsidRPr="00A428C3">
        <w:lastRenderedPageBreak/>
        <w:t>Title: International Journal of Mass Spectrometry</w:t>
      </w:r>
      <w:bookmarkEnd w:id="1392"/>
      <w:bookmarkEnd w:id="1393"/>
    </w:p>
    <w:p w:rsidR="00B95188" w:rsidRPr="004769FA" w:rsidRDefault="00B95188" w:rsidP="00B72EF9">
      <w:pPr>
        <w:pStyle w:val="12"/>
      </w:pPr>
      <w:r w:rsidRPr="004769FA">
        <w:t>Full Journal Title: International Journal of Mass Spectrometry</w:t>
      </w:r>
    </w:p>
    <w:p w:rsidR="00B95188" w:rsidRPr="004769FA" w:rsidRDefault="00B95188" w:rsidP="00B72EF9">
      <w:pPr>
        <w:pStyle w:val="12"/>
      </w:pPr>
      <w:r w:rsidRPr="004769FA">
        <w:t>ISO Abbreviated Title: Int. J. Mass Spectrom.</w:t>
      </w:r>
    </w:p>
    <w:p w:rsidR="00B95188" w:rsidRPr="004769FA" w:rsidRDefault="00B95188" w:rsidP="00B72EF9">
      <w:pPr>
        <w:pStyle w:val="12"/>
      </w:pPr>
      <w:r w:rsidRPr="004769FA">
        <w:t>JCR Abbreviated Title: Int J Mass Spectrom</w:t>
      </w:r>
    </w:p>
    <w:p w:rsidR="00B95188" w:rsidRPr="004769FA" w:rsidRDefault="00B95188" w:rsidP="00B72EF9">
      <w:pPr>
        <w:pStyle w:val="12"/>
      </w:pPr>
      <w:r w:rsidRPr="004769FA">
        <w:t>ISSN: 1387-3806</w:t>
      </w:r>
    </w:p>
    <w:p w:rsidR="00B95188" w:rsidRPr="004769FA" w:rsidRDefault="00B95188" w:rsidP="00B72EF9">
      <w:pPr>
        <w:pStyle w:val="12"/>
      </w:pPr>
      <w:r w:rsidRPr="004769FA">
        <w:t>Issues/Year: 12</w:t>
      </w:r>
    </w:p>
    <w:p w:rsidR="00B95188" w:rsidRPr="004769FA" w:rsidRDefault="00B95188" w:rsidP="00B72EF9">
      <w:pPr>
        <w:pStyle w:val="12"/>
      </w:pPr>
      <w:r w:rsidRPr="004769FA">
        <w:t>Journal Country/Territory: Netherlands</w:t>
      </w:r>
    </w:p>
    <w:p w:rsidR="00B95188" w:rsidRPr="004769FA" w:rsidRDefault="00B95188" w:rsidP="00B72EF9">
      <w:pPr>
        <w:pStyle w:val="12"/>
      </w:pPr>
      <w:r w:rsidRPr="004769FA">
        <w:t>Language: Multi-Language</w:t>
      </w:r>
    </w:p>
    <w:p w:rsidR="00B95188" w:rsidRPr="004769FA" w:rsidRDefault="00B95188" w:rsidP="00B72EF9">
      <w:pPr>
        <w:pStyle w:val="12"/>
      </w:pPr>
      <w:r w:rsidRPr="004769FA">
        <w:t>Publisher: Elsevier Science BV</w:t>
      </w:r>
    </w:p>
    <w:p w:rsidR="00B95188" w:rsidRPr="004769FA" w:rsidRDefault="00B95188" w:rsidP="00B72EF9">
      <w:pPr>
        <w:pStyle w:val="12"/>
      </w:pPr>
      <w:r w:rsidRPr="004769FA">
        <w:t>Publisher Address: PO Box 211, 1000 AE Amsterdam, Netherlands</w:t>
      </w:r>
    </w:p>
    <w:p w:rsidR="00B95188" w:rsidRPr="004769FA" w:rsidRDefault="00B95188" w:rsidP="00B72EF9">
      <w:pPr>
        <w:pStyle w:val="12"/>
      </w:pPr>
      <w:r w:rsidRPr="004769FA">
        <w:t>Subject Categories:</w:t>
      </w:r>
    </w:p>
    <w:p w:rsidR="00B95188" w:rsidRPr="004769FA" w:rsidRDefault="00B95188" w:rsidP="00B72EF9">
      <w:pPr>
        <w:pStyle w:val="12"/>
      </w:pPr>
      <w:r w:rsidRPr="004769FA">
        <w:t>Physics, Atomic, Molecular &amp; Chemical Spectroscopy: Impact Factor</w:t>
      </w:r>
    </w:p>
    <w:p w:rsidR="00B95188" w:rsidRPr="00A428C3" w:rsidRDefault="00B95188" w:rsidP="00B95188">
      <w:pPr>
        <w:pStyle w:val="1"/>
      </w:pPr>
      <w:r w:rsidRPr="00A428C3">
        <w:br w:type="page"/>
      </w:r>
      <w:bookmarkStart w:id="1394" w:name="_Toc186647932"/>
      <w:bookmarkStart w:id="1395" w:name="_Toc317161325"/>
      <w:r w:rsidRPr="00A428C3">
        <w:lastRenderedPageBreak/>
        <w:t>Title: International Journal of Mass Spectrometry</w:t>
      </w:r>
      <w:r w:rsidR="00F81221">
        <w:t xml:space="preserve"> and </w:t>
      </w:r>
      <w:r w:rsidRPr="00A428C3">
        <w:t>Ion Processes</w:t>
      </w:r>
      <w:bookmarkEnd w:id="1394"/>
      <w:bookmarkEnd w:id="1395"/>
    </w:p>
    <w:p w:rsidR="00B95188" w:rsidRPr="00A428C3" w:rsidRDefault="00B95188" w:rsidP="00B72EF9">
      <w:pPr>
        <w:pStyle w:val="12"/>
      </w:pPr>
      <w:r w:rsidRPr="00A428C3">
        <w:t xml:space="preserve">Full Journal Title: </w:t>
      </w:r>
      <w:hyperlink r:id="rId1961" w:history="1">
        <w:r w:rsidRPr="00A428C3">
          <w:rPr>
            <w:rStyle w:val="a5"/>
          </w:rPr>
          <w:t>International Journal of Mass Spectrometry</w:t>
        </w:r>
        <w:r w:rsidR="00F81221">
          <w:rPr>
            <w:rStyle w:val="a5"/>
          </w:rPr>
          <w:t xml:space="preserve"> and </w:t>
        </w:r>
        <w:r w:rsidRPr="00A428C3">
          <w:rPr>
            <w:rStyle w:val="a5"/>
          </w:rPr>
          <w:t>Ion Processes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0168-1176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smartTag w:uri="urn:schemas-microsoft-com:office:smarttags" w:element="address">
        <w:smartTag w:uri="urn:schemas-microsoft-com:office:smarttags" w:element="Street">
          <w:r w:rsidRPr="00A428C3">
            <w:t>Elsevier Science BV</w:t>
          </w:r>
        </w:smartTag>
        <w:r w:rsidRPr="00A428C3">
          <w:t xml:space="preserve">, </w:t>
        </w:r>
        <w:smartTag w:uri="urn:schemas-microsoft-com:office:smarttags" w:element="City">
          <w:r w:rsidRPr="00A428C3">
            <w:t>Amsterdam</w:t>
          </w:r>
        </w:smartTag>
      </w:smartTag>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Gelpi, E. (1992), Trends in biochemical</w:t>
      </w:r>
      <w:r w:rsidR="00F81221">
        <w:t xml:space="preserve"> and </w:t>
      </w:r>
      <w:r w:rsidRPr="00A428C3">
        <w:t xml:space="preserve">biomedical applications of mass spectrometry. </w:t>
      </w:r>
      <w:r w:rsidRPr="00A428C3">
        <w:rPr>
          <w:i/>
          <w:iCs/>
        </w:rPr>
        <w:t>International Journal of Mass Spectrometry</w:t>
      </w:r>
      <w:r w:rsidR="00F81221">
        <w:rPr>
          <w:i/>
          <w:iCs/>
        </w:rPr>
        <w:t xml:space="preserve"> and </w:t>
      </w:r>
      <w:r w:rsidRPr="00A428C3">
        <w:rPr>
          <w:i/>
          <w:iCs/>
        </w:rPr>
        <w:t>Ion Processes</w:t>
      </w:r>
      <w:r w:rsidRPr="00A428C3">
        <w:t xml:space="preserve">, </w:t>
      </w:r>
      <w:r w:rsidRPr="00A428C3">
        <w:rPr>
          <w:b/>
        </w:rPr>
        <w:t>118</w:t>
      </w:r>
      <w:r w:rsidRPr="00A428C3">
        <w:t xml:space="preserve"> (2), 683-721.</w:t>
      </w:r>
    </w:p>
    <w:p w:rsidR="00B95188" w:rsidRPr="00A428C3" w:rsidRDefault="00B95188" w:rsidP="00B95188">
      <w:pPr>
        <w:pStyle w:val="a0"/>
      </w:pPr>
      <w:r w:rsidRPr="00A428C3">
        <w:t xml:space="preserve">Full Text: </w:t>
      </w:r>
      <w:hyperlink r:id="rId1962" w:history="1">
        <w:r w:rsidRPr="00A428C3">
          <w:rPr>
            <w:rStyle w:val="a5"/>
          </w:rPr>
          <w:t>I\Int J Mas Spe Ion Pro118-119, 683.pdf</w:t>
        </w:r>
      </w:hyperlink>
    </w:p>
    <w:p w:rsidR="00B95188" w:rsidRPr="00A428C3" w:rsidRDefault="00B95188" w:rsidP="00B95188">
      <w:pPr>
        <w:pStyle w:val="a0"/>
      </w:pPr>
      <w:r w:rsidRPr="00A428C3">
        <w:t>Abstract: This review attempts an in-depth evaluation of progress</w:t>
      </w:r>
      <w:r w:rsidR="00F81221">
        <w:t xml:space="preserve"> and </w:t>
      </w:r>
      <w:r w:rsidRPr="00A428C3">
        <w:t>achievements made since the last 11th International Mass Spectrometry Conference in the application of mass spectrometric techniques to biochemistry</w:t>
      </w:r>
      <w:r w:rsidR="00F81221">
        <w:t xml:space="preserve"> and </w:t>
      </w:r>
      <w:r w:rsidRPr="00A428C3">
        <w:t>biomedicine. For this purpose, scientific contributions in this field at major international meetings have been monitored, together with an extensive appraisal of literature data covering the period from 1988 to 1991. A bibliometric evaluation of the MEDLINE database for this period provides a total of almost 4000 entries for mass spectrometry. This allows a detailed study of literature</w:t>
      </w:r>
      <w:r w:rsidR="00F81221">
        <w:t xml:space="preserve"> and </w:t>
      </w:r>
      <w:r w:rsidRPr="00A428C3">
        <w:t>geographical sources of the most frequent applications, of disciplines where mass spectrometry is most active</w:t>
      </w:r>
      <w:r w:rsidR="00F81221">
        <w:t xml:space="preserve"> and </w:t>
      </w:r>
      <w:r w:rsidRPr="00A428C3">
        <w:t>of types of sample</w:t>
      </w:r>
      <w:r w:rsidR="00F81221">
        <w:t xml:space="preserve"> and </w:t>
      </w:r>
      <w:r w:rsidRPr="00A428C3">
        <w:t xml:space="preserve">instrumentation most commonly used. In this regard major efforts according to number of publications (over 100 literature reports) are concentrated in countries like </w:t>
      </w:r>
      <w:smartTag w:uri="urn:schemas-microsoft-com:office:smarttags" w:element="country-region">
        <w:r w:rsidRPr="00A428C3">
          <w:t>Canada</w:t>
        </w:r>
      </w:smartTag>
      <w:r w:rsidRPr="00A428C3">
        <w:t xml:space="preserve">, </w:t>
      </w:r>
      <w:smartTag w:uri="urn:schemas-microsoft-com:office:smarttags" w:element="country-region">
        <w:r w:rsidRPr="00A428C3">
          <w:t>France</w:t>
        </w:r>
      </w:smartTag>
      <w:r w:rsidRPr="00A428C3">
        <w:t xml:space="preserve">, </w:t>
      </w:r>
      <w:smartTag w:uri="urn:schemas-microsoft-com:office:smarttags" w:element="country-region">
        <w:r w:rsidRPr="00A428C3">
          <w:t>Germany</w:t>
        </w:r>
      </w:smartTag>
      <w:r w:rsidRPr="00A428C3">
        <w:t xml:space="preserve">, </w:t>
      </w:r>
      <w:smartTag w:uri="urn:schemas-microsoft-com:office:smarttags" w:element="country-region">
        <w:r w:rsidRPr="00A428C3">
          <w:t>Italy</w:t>
        </w:r>
      </w:smartTag>
      <w:r w:rsidRPr="00A428C3">
        <w:t xml:space="preserve">, </w:t>
      </w:r>
      <w:smartTag w:uri="urn:schemas-microsoft-com:office:smarttags" w:element="country-region">
        <w:r w:rsidRPr="00A428C3">
          <w:t>Japan</w:t>
        </w:r>
      </w:smartTag>
      <w:r w:rsidRPr="00A428C3">
        <w:t xml:space="preserve">, </w:t>
      </w:r>
      <w:smartTag w:uri="urn:schemas-microsoft-com:office:smarttags" w:element="country-region">
        <w:r w:rsidRPr="00A428C3">
          <w:t>Sweden</w:t>
        </w:r>
      </w:smartTag>
      <w:r w:rsidRPr="00A428C3">
        <w:t>, UK</w:t>
      </w:r>
      <w:r w:rsidR="00F81221">
        <w:t xml:space="preserve"> and </w:t>
      </w:r>
      <w:r w:rsidRPr="00A428C3">
        <w:t xml:space="preserve">the </w:t>
      </w:r>
      <w:smartTag w:uri="urn:schemas-microsoft-com:office:smarttags" w:element="place">
        <w:smartTag w:uri="urn:schemas-microsoft-com:office:smarttags" w:element="country-region">
          <w:r w:rsidRPr="00A428C3">
            <w:t>USA</w:t>
          </w:r>
        </w:smartTag>
      </w:smartTag>
      <w:r w:rsidRPr="00A428C3">
        <w:t>. Also, most of the work using mass spectrometry in biochemistry</w:t>
      </w:r>
      <w:r w:rsidR="00F81221">
        <w:t xml:space="preserve"> and </w:t>
      </w:r>
      <w:r w:rsidRPr="00A428C3">
        <w:t>biomedicine is centred on studies on biotransformation, metabolism, pharmacology, pharmacokinetics</w:t>
      </w:r>
      <w:r w:rsidR="00F81221">
        <w:t xml:space="preserve"> and </w:t>
      </w:r>
      <w:r w:rsidRPr="00A428C3">
        <w:t>toxicology, which have been carried out on samples of blood, urine, plasma</w:t>
      </w:r>
      <w:r w:rsidR="00F81221">
        <w:t xml:space="preserve"> and </w:t>
      </w:r>
      <w:r w:rsidRPr="00A428C3">
        <w:t>tissue, by order of frequency of use. Human</w:t>
      </w:r>
      <w:r w:rsidR="00F81221">
        <w:t xml:space="preserve"> and </w:t>
      </w:r>
      <w:r w:rsidRPr="00A428C3">
        <w:t xml:space="preserve">animal studies appear to be evenly distributed in terms of the number of reports published in the literature in which the authors make use of experimental animals or describe work on human samples. Along these lines, special attention is given to the real usefulness of mass spectrometry (MS) technology in routine medical practice. Thus the review </w:t>
      </w:r>
      <w:r w:rsidRPr="00A428C3">
        <w:lastRenderedPageBreak/>
        <w:t>concentrates on evaluating the progress made in disease diagnosis</w:t>
      </w:r>
      <w:r w:rsidR="00F81221">
        <w:t xml:space="preserve"> and </w:t>
      </w:r>
      <w:r w:rsidRPr="00A428C3">
        <w:t>overall patient care. As regards prevailing techniques, GC-MS continues to be the mainstay of the state of the art methods for multicomponent analysis, stable isotope tracer studies</w:t>
      </w:r>
      <w:r w:rsidR="00F81221">
        <w:t xml:space="preserve"> and </w:t>
      </w:r>
      <w:r w:rsidRPr="00A428C3">
        <w:t>metabolic profiling, while HPLC––MS</w:t>
      </w:r>
      <w:r w:rsidR="00F81221">
        <w:t xml:space="preserve"> and </w:t>
      </w:r>
      <w:r w:rsidRPr="00A428C3">
        <w:t>tandem MS are becoming increasingly important in biomedical research. However, despite the relatively large number of mass spectrometry reports in the biomedical sciences very few true routine applications are described,</w:t>
      </w:r>
      <w:r w:rsidR="00F81221">
        <w:t xml:space="preserve"> and </w:t>
      </w:r>
      <w:r w:rsidRPr="00A428C3">
        <w:t>recent technological innovations in instrumentation such as FAB-MS, electrospray, plasma or laser desorption have contributed relatively much more to structural biology, especially in biopolymer studies of macromolecules rather than to real life biomedical applications on patients</w:t>
      </w:r>
      <w:r w:rsidR="00F81221">
        <w:t xml:space="preserve"> and </w:t>
      </w:r>
      <w:r w:rsidRPr="00A428C3">
        <w:t>clinical problems.</w:t>
      </w:r>
    </w:p>
    <w:p w:rsidR="00B95188" w:rsidRPr="00A428C3" w:rsidRDefault="00B95188" w:rsidP="00B95188">
      <w:pPr>
        <w:pStyle w:val="a0"/>
      </w:pPr>
      <w:r w:rsidRPr="00A428C3">
        <w:t>Keywords: Fast-Atom-Bombardment, Performance Liquid-Chromatography, Stable-Isotope-Dilution, Supercritical-Fluid Chromatography, Bile-Acid Metabolism, O-Linked Polylactosaminoglycans, Fetal Gastrointestinal Mucins, Quadrupole Ion Trap, Chain Fatty-Acids, Skim Milk Mucins</w:t>
      </w:r>
    </w:p>
    <w:p w:rsidR="00024BC7" w:rsidRPr="00217FB1" w:rsidRDefault="00024BC7" w:rsidP="00024BC7">
      <w:pPr>
        <w:pStyle w:val="1"/>
      </w:pPr>
      <w:r w:rsidRPr="00217FB1">
        <w:br w:type="page"/>
      </w:r>
      <w:bookmarkStart w:id="1396" w:name="_Toc234338495"/>
      <w:bookmarkStart w:id="1397" w:name="_Toc317161326"/>
      <w:r w:rsidRPr="00217FB1">
        <w:lastRenderedPageBreak/>
        <w:t xml:space="preserve">Title: </w:t>
      </w:r>
      <w:r w:rsidRPr="00A6382D">
        <w:rPr>
          <w:szCs w:val="24"/>
        </w:rPr>
        <w:t>International Journal of Materials Research</w:t>
      </w:r>
      <w:bookmarkEnd w:id="1396"/>
      <w:bookmarkEnd w:id="1397"/>
    </w:p>
    <w:p w:rsidR="00024BC7" w:rsidRDefault="00024BC7" w:rsidP="00B72EF9">
      <w:pPr>
        <w:pStyle w:val="12"/>
      </w:pPr>
      <w:r w:rsidRPr="00A428C3">
        <w:t xml:space="preserve">Full Journal Title: </w:t>
      </w:r>
      <w:r w:rsidRPr="00A6382D">
        <w:t>International Journal of Materials Research</w:t>
      </w:r>
    </w:p>
    <w:p w:rsidR="00024BC7" w:rsidRPr="00A428C3" w:rsidRDefault="00024BC7" w:rsidP="00B72EF9">
      <w:pPr>
        <w:pStyle w:val="12"/>
      </w:pPr>
      <w:r w:rsidRPr="00A428C3">
        <w:t xml:space="preserve">ISO Abbreviated Title: </w:t>
      </w:r>
    </w:p>
    <w:p w:rsidR="00024BC7" w:rsidRPr="00A428C3" w:rsidRDefault="00024BC7" w:rsidP="00B72EF9">
      <w:pPr>
        <w:pStyle w:val="12"/>
      </w:pPr>
      <w:r w:rsidRPr="00A428C3">
        <w:t>JCR Abbreviated Title</w:t>
      </w:r>
      <w:r>
        <w:t>:</w:t>
      </w:r>
      <w:r w:rsidRPr="00A428C3">
        <w:t xml:space="preserve"> </w:t>
      </w:r>
    </w:p>
    <w:p w:rsidR="00024BC7" w:rsidRPr="00A428C3" w:rsidRDefault="00024BC7" w:rsidP="00B72EF9">
      <w:pPr>
        <w:pStyle w:val="12"/>
      </w:pPr>
      <w:r>
        <w:t xml:space="preserve">ISSN: </w:t>
      </w:r>
    </w:p>
    <w:p w:rsidR="00024BC7" w:rsidRPr="00A428C3" w:rsidRDefault="00024BC7" w:rsidP="00B72EF9">
      <w:pPr>
        <w:pStyle w:val="12"/>
      </w:pPr>
      <w:r w:rsidRPr="00A428C3">
        <w:t xml:space="preserve">Issues/Year: </w:t>
      </w:r>
    </w:p>
    <w:p w:rsidR="00024BC7" w:rsidRPr="00A428C3" w:rsidRDefault="00FB5623" w:rsidP="00B72EF9">
      <w:pPr>
        <w:pStyle w:val="12"/>
      </w:pPr>
      <w:r>
        <w:t>Journal Country/Territory:</w:t>
      </w:r>
      <w:r w:rsidR="00024BC7">
        <w:t xml:space="preserve"> </w:t>
      </w:r>
    </w:p>
    <w:p w:rsidR="00024BC7" w:rsidRPr="00A428C3" w:rsidRDefault="00024BC7" w:rsidP="00B72EF9">
      <w:pPr>
        <w:pStyle w:val="12"/>
      </w:pPr>
      <w:r w:rsidRPr="00A428C3">
        <w:t xml:space="preserve">Language: </w:t>
      </w:r>
    </w:p>
    <w:p w:rsidR="00024BC7" w:rsidRPr="00A428C3" w:rsidRDefault="00024BC7" w:rsidP="00B72EF9">
      <w:pPr>
        <w:pStyle w:val="12"/>
      </w:pPr>
      <w:r w:rsidRPr="00A428C3">
        <w:t xml:space="preserve">Publisher: </w:t>
      </w:r>
    </w:p>
    <w:p w:rsidR="00024BC7" w:rsidRPr="00A428C3" w:rsidRDefault="00024BC7" w:rsidP="00B72EF9">
      <w:pPr>
        <w:pStyle w:val="12"/>
      </w:pPr>
      <w:r w:rsidRPr="00A428C3">
        <w:t xml:space="preserve">Publisher Address: </w:t>
      </w:r>
    </w:p>
    <w:p w:rsidR="00024BC7" w:rsidRPr="00A428C3" w:rsidRDefault="00024BC7" w:rsidP="00B72EF9">
      <w:pPr>
        <w:pStyle w:val="12"/>
      </w:pPr>
      <w:r w:rsidRPr="00A428C3">
        <w:t>Subject Categories:</w:t>
      </w:r>
    </w:p>
    <w:p w:rsidR="00024BC7" w:rsidRPr="00A428C3" w:rsidRDefault="00024BC7" w:rsidP="00B72EF9">
      <w:pPr>
        <w:pStyle w:val="12"/>
      </w:pPr>
      <w:r w:rsidRPr="00A428C3">
        <w:t>: Impact Factor</w:t>
      </w:r>
    </w:p>
    <w:p w:rsidR="00024BC7" w:rsidRDefault="00024BC7" w:rsidP="00024BC7">
      <w:pPr>
        <w:pStyle w:val="a0"/>
        <w:rPr>
          <w:kern w:val="0"/>
          <w:szCs w:val="24"/>
        </w:rPr>
      </w:pPr>
      <w:r>
        <w:rPr>
          <w:rFonts w:hint="eastAsia"/>
          <w:kern w:val="0"/>
          <w:szCs w:val="24"/>
        </w:rPr>
        <w:t xml:space="preserve">? </w:t>
      </w:r>
      <w:r>
        <w:rPr>
          <w:kern w:val="0"/>
          <w:szCs w:val="24"/>
        </w:rPr>
        <w:t xml:space="preserve">Marx, W. (2009), The anatomy of the </w:t>
      </w:r>
      <w:r>
        <w:rPr>
          <w:i/>
          <w:iCs/>
          <w:kern w:val="0"/>
          <w:szCs w:val="24"/>
        </w:rPr>
        <w:t>International Journal of Materials Research</w:t>
      </w:r>
      <w:r>
        <w:rPr>
          <w:kern w:val="0"/>
          <w:szCs w:val="24"/>
        </w:rPr>
        <w:t xml:space="preserve"> in the light of bibliometry. </w:t>
      </w:r>
      <w:r w:rsidRPr="00A6382D">
        <w:rPr>
          <w:i/>
          <w:iCs/>
          <w:kern w:val="0"/>
          <w:szCs w:val="24"/>
        </w:rPr>
        <w:t>International Journal of Materials Research</w:t>
      </w:r>
      <w:r>
        <w:rPr>
          <w:kern w:val="0"/>
          <w:szCs w:val="24"/>
        </w:rPr>
        <w:t xml:space="preserve">, </w:t>
      </w:r>
      <w:r>
        <w:rPr>
          <w:b/>
          <w:bCs/>
          <w:kern w:val="0"/>
          <w:szCs w:val="24"/>
        </w:rPr>
        <w:t>100</w:t>
      </w:r>
      <w:r>
        <w:rPr>
          <w:kern w:val="0"/>
          <w:szCs w:val="24"/>
        </w:rPr>
        <w:t xml:space="preserve"> (1), 11-23.</w:t>
      </w:r>
    </w:p>
    <w:p w:rsidR="00024BC7" w:rsidRDefault="00024BC7" w:rsidP="00024BC7">
      <w:pPr>
        <w:pStyle w:val="a0"/>
        <w:rPr>
          <w:kern w:val="0"/>
          <w:szCs w:val="24"/>
        </w:rPr>
      </w:pPr>
      <w:r>
        <w:rPr>
          <w:kern w:val="0"/>
          <w:szCs w:val="24"/>
        </w:rPr>
        <w:t>Abstract: Bibliometric methods, in particular citation analysis, are used to evaluate the International Journal of Materials Research (IJMR)</w:t>
      </w:r>
      <w:r w:rsidR="00F81221">
        <w:rPr>
          <w:kern w:val="0"/>
          <w:szCs w:val="24"/>
        </w:rPr>
        <w:t xml:space="preserve"> and </w:t>
      </w:r>
      <w:r>
        <w:rPr>
          <w:kern w:val="0"/>
          <w:szCs w:val="24"/>
        </w:rPr>
        <w:t>its two predecessor journals Zeitschrift far Metallkunde (ZfM)</w:t>
      </w:r>
      <w:r w:rsidR="00F81221">
        <w:rPr>
          <w:kern w:val="0"/>
          <w:szCs w:val="24"/>
        </w:rPr>
        <w:t xml:space="preserve"> and </w:t>
      </w:r>
      <w:r>
        <w:rPr>
          <w:kern w:val="0"/>
          <w:szCs w:val="24"/>
        </w:rPr>
        <w:t>Internationale Zeitschrift fur Metallographie (IZfM). Firstly, the coverage of the journals by the various literature databases is discussed,</w:t>
      </w:r>
      <w:r w:rsidR="00F81221">
        <w:rPr>
          <w:kern w:val="0"/>
          <w:szCs w:val="24"/>
        </w:rPr>
        <w:t xml:space="preserve"> and </w:t>
      </w:r>
      <w:r>
        <w:rPr>
          <w:kern w:val="0"/>
          <w:szCs w:val="24"/>
        </w:rPr>
        <w:t>the number of articles per year is determined. The time evolution of the publications with respect to German</w:t>
      </w:r>
      <w:r w:rsidR="00F81221">
        <w:rPr>
          <w:kern w:val="0"/>
          <w:szCs w:val="24"/>
        </w:rPr>
        <w:t xml:space="preserve"> and </w:t>
      </w:r>
      <w:r>
        <w:rPr>
          <w:kern w:val="0"/>
          <w:szCs w:val="24"/>
        </w:rPr>
        <w:t>English as original languages is established</w:t>
      </w:r>
      <w:r w:rsidR="00F81221">
        <w:rPr>
          <w:kern w:val="0"/>
          <w:szCs w:val="24"/>
        </w:rPr>
        <w:t xml:space="preserve"> and </w:t>
      </w:r>
      <w:r>
        <w:rPr>
          <w:kern w:val="0"/>
          <w:szCs w:val="24"/>
        </w:rPr>
        <w:t>the language dependent impact is analyzed. A ranking of the most important countries of authors is given. Furthermore, the ensemble of ZfM</w:t>
      </w:r>
      <w:r w:rsidR="00F81221">
        <w:rPr>
          <w:kern w:val="0"/>
          <w:szCs w:val="24"/>
        </w:rPr>
        <w:t xml:space="preserve"> and </w:t>
      </w:r>
      <w:r>
        <w:rPr>
          <w:kern w:val="0"/>
          <w:szCs w:val="24"/>
        </w:rPr>
        <w:t>IJMR articles is analyzed with respect to the occurrence of substances (metals, alloys, compounds)</w:t>
      </w:r>
      <w:r w:rsidR="00F81221">
        <w:rPr>
          <w:kern w:val="0"/>
          <w:szCs w:val="24"/>
        </w:rPr>
        <w:t xml:space="preserve"> and </w:t>
      </w:r>
      <w:r>
        <w:rPr>
          <w:kern w:val="0"/>
          <w:szCs w:val="24"/>
        </w:rPr>
        <w:t>some subject specific terms (diffusion, microstructure, recrystallization, mechanical properties). A listing of the twenty most frequently cited articles</w:t>
      </w:r>
      <w:r w:rsidR="00F81221">
        <w:rPr>
          <w:kern w:val="0"/>
          <w:szCs w:val="24"/>
        </w:rPr>
        <w:t xml:space="preserve"> and </w:t>
      </w:r>
      <w:r>
        <w:rPr>
          <w:kern w:val="0"/>
          <w:szCs w:val="24"/>
        </w:rPr>
        <w:t>the citation time evolution (citation history) of the top three articles are presented. Moreover, the distribution of the citations on the articles is determined</w:t>
      </w:r>
      <w:r w:rsidR="00F81221">
        <w:rPr>
          <w:kern w:val="0"/>
          <w:szCs w:val="24"/>
        </w:rPr>
        <w:t xml:space="preserve"> and </w:t>
      </w:r>
      <w:r>
        <w:rPr>
          <w:kern w:val="0"/>
          <w:szCs w:val="24"/>
        </w:rPr>
        <w:t>the amount of simultaneous citations with other journals (co-citations) is given. The citing papers of the IJMR</w:t>
      </w:r>
      <w:r w:rsidR="00F81221">
        <w:rPr>
          <w:kern w:val="0"/>
          <w:szCs w:val="24"/>
        </w:rPr>
        <w:t xml:space="preserve"> and </w:t>
      </w:r>
      <w:r>
        <w:rPr>
          <w:kern w:val="0"/>
          <w:szCs w:val="24"/>
        </w:rPr>
        <w:t>ZfM articles are analyzed with respect to the most frequently appearing countries of authors</w:t>
      </w:r>
      <w:r w:rsidR="00F81221">
        <w:rPr>
          <w:kern w:val="0"/>
          <w:szCs w:val="24"/>
        </w:rPr>
        <w:t xml:space="preserve"> and </w:t>
      </w:r>
      <w:r>
        <w:rPr>
          <w:kern w:val="0"/>
          <w:szCs w:val="24"/>
        </w:rPr>
        <w:t>journals. Finally, the Journal Impact Factor (JIF), the Cited Half-Life</w:t>
      </w:r>
      <w:r w:rsidR="00F81221">
        <w:rPr>
          <w:kern w:val="0"/>
          <w:szCs w:val="24"/>
        </w:rPr>
        <w:t xml:space="preserve"> and </w:t>
      </w:r>
      <w:r>
        <w:rPr>
          <w:kern w:val="0"/>
          <w:szCs w:val="24"/>
        </w:rPr>
        <w:t>the Citing Half-Life as bibliometric indicators of a journal as a whole are analyzed. The meaning of the widely used JIF is discussed</w:t>
      </w:r>
      <w:r w:rsidR="00F81221">
        <w:rPr>
          <w:kern w:val="0"/>
          <w:szCs w:val="24"/>
        </w:rPr>
        <w:t xml:space="preserve"> and </w:t>
      </w:r>
      <w:r>
        <w:rPr>
          <w:kern w:val="0"/>
          <w:szCs w:val="24"/>
        </w:rPr>
        <w:t>hints for its careful</w:t>
      </w:r>
      <w:r w:rsidR="00F81221">
        <w:rPr>
          <w:kern w:val="0"/>
          <w:szCs w:val="24"/>
        </w:rPr>
        <w:t xml:space="preserve"> and </w:t>
      </w:r>
      <w:r>
        <w:rPr>
          <w:kern w:val="0"/>
          <w:szCs w:val="24"/>
        </w:rPr>
        <w:t>cautious use are given.</w:t>
      </w:r>
    </w:p>
    <w:p w:rsidR="00024BC7" w:rsidRDefault="00024BC7" w:rsidP="00024BC7">
      <w:pPr>
        <w:pStyle w:val="a0"/>
        <w:rPr>
          <w:kern w:val="0"/>
          <w:szCs w:val="24"/>
        </w:rPr>
      </w:pPr>
      <w:r>
        <w:rPr>
          <w:kern w:val="0"/>
          <w:szCs w:val="24"/>
        </w:rPr>
        <w:t xml:space="preserve">Keywords: Alloys, Analysis, Anatomy, Authors, Bibliometric, Bibliometric Indicators, Bibliometry, Citation, Citation Analysis, Citations, Coverage, Databases, Diffusion, Distribution, Evolution, FUR, History, History of Science, Impact, Impact Factor, Index, Indicators, Journal, Journal Impact Factor, Journals, Language, Languages, </w:t>
      </w:r>
      <w:r>
        <w:rPr>
          <w:kern w:val="0"/>
          <w:szCs w:val="24"/>
        </w:rPr>
        <w:lastRenderedPageBreak/>
        <w:t>Literature, Meaning, Mechanical Properties, Metals, Methods, Microstructure, Papers, Publications, Ranking, Research, Respect, Science, Time</w:t>
      </w:r>
    </w:p>
    <w:p w:rsidR="00B95188" w:rsidRPr="00A428C3" w:rsidRDefault="00024BC7" w:rsidP="00024BC7">
      <w:pPr>
        <w:pStyle w:val="1"/>
      </w:pPr>
      <w:r w:rsidRPr="00217FB1">
        <w:br w:type="page"/>
      </w:r>
      <w:bookmarkStart w:id="1398" w:name="_Toc186647933"/>
      <w:bookmarkStart w:id="1399" w:name="_Toc317161327"/>
      <w:r w:rsidR="00B95188" w:rsidRPr="00A428C3">
        <w:lastRenderedPageBreak/>
        <w:t xml:space="preserve">Title: </w:t>
      </w:r>
      <w:r w:rsidR="00B95188" w:rsidRPr="00A428C3">
        <w:rPr>
          <w:iCs/>
        </w:rPr>
        <w:t>International Journal of Medical Informatics</w:t>
      </w:r>
      <w:bookmarkEnd w:id="1398"/>
      <w:bookmarkEnd w:id="1399"/>
    </w:p>
    <w:p w:rsidR="00B95188" w:rsidRPr="00A428C3" w:rsidRDefault="00B95188" w:rsidP="00B72EF9">
      <w:pPr>
        <w:pStyle w:val="12"/>
      </w:pPr>
      <w:r w:rsidRPr="00A428C3">
        <w:t xml:space="preserve">Full Journal Title: </w:t>
      </w:r>
      <w:hyperlink r:id="rId1963" w:history="1">
        <w:r w:rsidRPr="00A428C3">
          <w:rPr>
            <w:rStyle w:val="a5"/>
            <w:iCs/>
          </w:rPr>
          <w:t>International Journal of Medical Informatics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545E32" w:rsidRDefault="00545E32" w:rsidP="00545E32">
      <w:pPr>
        <w:pStyle w:val="a0"/>
        <w:rPr>
          <w:kern w:val="0"/>
        </w:rPr>
      </w:pPr>
      <w:r>
        <w:rPr>
          <w:kern w:val="0"/>
        </w:rPr>
        <w:t>? Pluye, P., Grad, R.M., Dunikowski, L.G.</w:t>
      </w:r>
      <w:r w:rsidR="00F81221">
        <w:rPr>
          <w:kern w:val="0"/>
        </w:rPr>
        <w:t xml:space="preserve"> and </w:t>
      </w:r>
      <w:r>
        <w:rPr>
          <w:kern w:val="0"/>
        </w:rPr>
        <w:t>Stephenson, R. (2005), Impact of clinical information-retrieval technology on physicians: A literature review of quantitative, qualitative</w:t>
      </w:r>
      <w:r w:rsidR="00F81221">
        <w:rPr>
          <w:kern w:val="0"/>
        </w:rPr>
        <w:t xml:space="preserve"> and </w:t>
      </w:r>
      <w:r>
        <w:rPr>
          <w:kern w:val="0"/>
        </w:rPr>
        <w:t xml:space="preserve">mixed methods studies. </w:t>
      </w:r>
      <w:r>
        <w:rPr>
          <w:i/>
          <w:iCs/>
          <w:kern w:val="0"/>
        </w:rPr>
        <w:t>International Journal of Medical Informatics</w:t>
      </w:r>
      <w:r>
        <w:rPr>
          <w:kern w:val="0"/>
        </w:rPr>
        <w:t xml:space="preserve">, </w:t>
      </w:r>
      <w:r>
        <w:rPr>
          <w:b/>
          <w:bCs/>
          <w:kern w:val="0"/>
        </w:rPr>
        <w:t>74</w:t>
      </w:r>
      <w:r>
        <w:rPr>
          <w:kern w:val="0"/>
        </w:rPr>
        <w:t xml:space="preserve"> (9), 745-768.</w:t>
      </w:r>
    </w:p>
    <w:p w:rsidR="00545E32" w:rsidRDefault="00545E32" w:rsidP="00545E32">
      <w:pPr>
        <w:pStyle w:val="a0"/>
      </w:pPr>
      <w:r>
        <w:t xml:space="preserve">Full Text: </w:t>
      </w:r>
      <w:hyperlink r:id="rId1964" w:history="1">
        <w:r w:rsidR="004303F2" w:rsidRPr="004303F2">
          <w:rPr>
            <w:rStyle w:val="a5"/>
          </w:rPr>
          <w:t>2005\Int J Med Inf74, 745.pdf</w:t>
        </w:r>
      </w:hyperlink>
    </w:p>
    <w:p w:rsidR="00545E32" w:rsidRDefault="00545E32" w:rsidP="00545E32">
      <w:pPr>
        <w:pStyle w:val="a0"/>
        <w:rPr>
          <w:kern w:val="0"/>
        </w:rPr>
      </w:pPr>
      <w:r>
        <w:rPr>
          <w:kern w:val="0"/>
        </w:rPr>
        <w:t>Abstract: Purpose: This paper appraises empirical studies examining the impact of clinical information-retrieval technology on physicians</w:t>
      </w:r>
      <w:r w:rsidR="00F81221">
        <w:rPr>
          <w:kern w:val="0"/>
        </w:rPr>
        <w:t xml:space="preserve"> and </w:t>
      </w:r>
      <w:r>
        <w:rPr>
          <w:kern w:val="0"/>
        </w:rPr>
        <w:t>medical students. Methods: The world literature was reviewed up to February 2004. Two reviewers independently identified studies by scrutinising 3368</w:t>
      </w:r>
      <w:r w:rsidR="00F81221">
        <w:rPr>
          <w:kern w:val="0"/>
        </w:rPr>
        <w:t xml:space="preserve"> and </w:t>
      </w:r>
      <w:r>
        <w:rPr>
          <w:kern w:val="0"/>
        </w:rPr>
        <w:t>3249 references from bibliographic databases. Additional studies were retrieved by hand searches,</w:t>
      </w:r>
      <w:r w:rsidR="00F81221">
        <w:rPr>
          <w:kern w:val="0"/>
        </w:rPr>
        <w:t xml:space="preserve"> and </w:t>
      </w:r>
      <w:r>
        <w:rPr>
          <w:kern w:val="0"/>
        </w:rPr>
        <w:t>by searching ISI Web of Science for citations of articles. Six hundred</w:t>
      </w:r>
      <w:r w:rsidR="00F81221">
        <w:rPr>
          <w:kern w:val="0"/>
        </w:rPr>
        <w:t xml:space="preserve"> and </w:t>
      </w:r>
      <w:r>
        <w:rPr>
          <w:kern w:val="0"/>
        </w:rPr>
        <w:t>five paper-based articles were assessed for relevance. of those, 40 (6.6%) were independently appraised by two reviewers for relevance</w:t>
      </w:r>
      <w:r w:rsidR="00F81221">
        <w:rPr>
          <w:kern w:val="0"/>
        </w:rPr>
        <w:t xml:space="preserve"> and </w:t>
      </w:r>
      <w:r>
        <w:rPr>
          <w:kern w:val="0"/>
        </w:rPr>
        <w:t>methodological quality. These articles were quantitative, qualitative or of mixed methods,</w:t>
      </w:r>
      <w:r w:rsidR="00F81221">
        <w:rPr>
          <w:kern w:val="0"/>
        </w:rPr>
        <w:t xml:space="preserve"> and </w:t>
      </w:r>
      <w:r>
        <w:rPr>
          <w:kern w:val="0"/>
        </w:rPr>
        <w:t>26 (4.3%) were retained for further analysis. For each retained article, two teams used content analysis to review extracted textual material (quantitative results</w:t>
      </w:r>
      <w:r w:rsidR="00F81221">
        <w:rPr>
          <w:kern w:val="0"/>
        </w:rPr>
        <w:t xml:space="preserve"> and </w:t>
      </w:r>
      <w:r>
        <w:rPr>
          <w:kern w:val="0"/>
        </w:rPr>
        <w:t>qualitative findings). Results: Observational studies suggest that nearly one-third of searches using information-retrieval technology may have a positive impact on physicians. Two experimental</w:t>
      </w:r>
      <w:r w:rsidR="00F81221">
        <w:rPr>
          <w:kern w:val="0"/>
        </w:rPr>
        <w:t xml:space="preserve"> and </w:t>
      </w:r>
      <w:r>
        <w:rPr>
          <w:kern w:val="0"/>
        </w:rPr>
        <w:t>three laboratory studies do not reach consensus in support of a greater impact of this technology compared with other sources of information, notably printed educational material. Clinical information-retrieval technology may affect physicians,</w:t>
      </w:r>
      <w:r w:rsidR="00F81221">
        <w:rPr>
          <w:kern w:val="0"/>
        </w:rPr>
        <w:t xml:space="preserve"> and </w:t>
      </w:r>
      <w:r>
        <w:rPr>
          <w:kern w:val="0"/>
        </w:rPr>
        <w:t>further research is needed to examine its impact in everyday practice. (c) 2005 Elsevier Ireland Ltd. All rights reserved.</w:t>
      </w:r>
    </w:p>
    <w:p w:rsidR="00545E32" w:rsidRDefault="00545E32" w:rsidP="00545E32">
      <w:pPr>
        <w:pStyle w:val="a0"/>
        <w:rPr>
          <w:kern w:val="0"/>
        </w:rPr>
      </w:pPr>
      <w:r>
        <w:rPr>
          <w:kern w:val="0"/>
        </w:rPr>
        <w:t xml:space="preserve">Keywords: Analysis, Bibliographic, Bibliographic Databases, Citations, Computerised Practice Guidelines, Content Analysis, Databases, Decision-Support-Systems, </w:t>
      </w:r>
      <w:r>
        <w:rPr>
          <w:kern w:val="0"/>
        </w:rPr>
        <w:lastRenderedPageBreak/>
        <w:t>Electronic Resources, General-Practitioners, Guidelines, Hospital Library, Impact, Information, Information Retrieval, Information Services, Information Systems, Information-Retrieval, Internet, ISI, Literature, Literature Review, Medical, Medical Informatics, Methods, Mixed Methods, Online Evidence, Patient-Care, Physicians, Practice, Primary-Care Physicians, Quantitative, Randomized Controlled-Trial, Research, Review, Science, Students, Web of Science</w:t>
      </w:r>
    </w:p>
    <w:p w:rsidR="00545E32" w:rsidRDefault="00545E32" w:rsidP="00545E32">
      <w:pPr>
        <w:pStyle w:val="a0"/>
        <w:rPr>
          <w:kern w:val="0"/>
        </w:rPr>
      </w:pPr>
      <w:r>
        <w:rPr>
          <w:kern w:val="0"/>
        </w:rPr>
        <w:t>? O</w:t>
      </w:r>
      <w:r w:rsidR="000352E7">
        <w:rPr>
          <w:kern w:val="0"/>
        </w:rPr>
        <w:t>’</w:t>
      </w:r>
      <w:r>
        <w:rPr>
          <w:kern w:val="0"/>
        </w:rPr>
        <w:t xml:space="preserve">Grady, L. (2006), Future directions for depicting credibility in health care web sites. </w:t>
      </w:r>
      <w:r>
        <w:rPr>
          <w:i/>
          <w:iCs/>
          <w:kern w:val="0"/>
        </w:rPr>
        <w:t>International Journal of Medical Informatics</w:t>
      </w:r>
      <w:r>
        <w:rPr>
          <w:kern w:val="0"/>
        </w:rPr>
        <w:t xml:space="preserve">, </w:t>
      </w:r>
      <w:r>
        <w:rPr>
          <w:b/>
          <w:bCs/>
          <w:kern w:val="0"/>
        </w:rPr>
        <w:t>75</w:t>
      </w:r>
      <w:r>
        <w:rPr>
          <w:kern w:val="0"/>
        </w:rPr>
        <w:t xml:space="preserve"> (1), 58-65.</w:t>
      </w:r>
    </w:p>
    <w:p w:rsidR="00545E32" w:rsidRDefault="00545E32" w:rsidP="00545E32">
      <w:pPr>
        <w:pStyle w:val="a0"/>
      </w:pPr>
      <w:r>
        <w:t xml:space="preserve">Full Text: </w:t>
      </w:r>
      <w:hyperlink r:id="rId1965" w:history="1">
        <w:r w:rsidR="004303F2" w:rsidRPr="004303F2">
          <w:rPr>
            <w:rStyle w:val="a5"/>
          </w:rPr>
          <w:t>2006\Int J Med Inf75, 58.pdf</w:t>
        </w:r>
      </w:hyperlink>
    </w:p>
    <w:p w:rsidR="00545E32" w:rsidRDefault="00545E32" w:rsidP="00545E32">
      <w:pPr>
        <w:pStyle w:val="a0"/>
        <w:rPr>
          <w:kern w:val="0"/>
        </w:rPr>
      </w:pPr>
      <w:r>
        <w:rPr>
          <w:kern w:val="0"/>
        </w:rPr>
        <w:t>Abstract: Objectives: The purpose of the paper was to determine appropriate terminology, criteria, implementation,</w:t>
      </w:r>
      <w:r w:rsidR="00F81221">
        <w:rPr>
          <w:kern w:val="0"/>
        </w:rPr>
        <w:t xml:space="preserve"> and </w:t>
      </w:r>
      <w:r>
        <w:rPr>
          <w:kern w:val="0"/>
        </w:rPr>
        <w:t>develop a theoretical framework by which credibility in health care web sites can be depicted. Future research directions for evaluating credibility in health care web sites was also discussed. Method: A comprehensive literature review of published articles, policy papers,</w:t>
      </w:r>
      <w:r w:rsidR="00F81221">
        <w:rPr>
          <w:kern w:val="0"/>
        </w:rPr>
        <w:t xml:space="preserve"> and </w:t>
      </w:r>
      <w:r>
        <w:rPr>
          <w:kern w:val="0"/>
        </w:rPr>
        <w:t>grey literature using relevant search terms was conducted. Sources for articles reviewed included MEDLINE (from 1966 to present), PsycINFO (from 1840 to present), ERIC (from 1966 to present),</w:t>
      </w:r>
      <w:r w:rsidR="00F81221">
        <w:rPr>
          <w:kern w:val="0"/>
        </w:rPr>
        <w:t xml:space="preserve"> and </w:t>
      </w:r>
      <w:r>
        <w:rPr>
          <w:kern w:val="0"/>
        </w:rPr>
        <w:t>the Association for Computing Machinery (ACM) databases. The Web of Science citation service was continuously searched using a subscription service from 2002 to 2004. The search engine Google was also implemented. Results: A common term, credibility, was purposed for use in this context. A comprehensive set of credibility criteria, presented within a theoretical framework was also developed. Implementation by means of a browser-based graphic icon was purposed. Conclusions: Relevancy</w:t>
      </w:r>
      <w:r w:rsidR="00F81221">
        <w:rPr>
          <w:kern w:val="0"/>
        </w:rPr>
        <w:t xml:space="preserve"> and </w:t>
      </w:r>
      <w:r>
        <w:rPr>
          <w:kern w:val="0"/>
        </w:rPr>
        <w:t>readiness of the purposed common terminology, criteria,</w:t>
      </w:r>
      <w:r w:rsidR="00F81221">
        <w:rPr>
          <w:kern w:val="0"/>
        </w:rPr>
        <w:t xml:space="preserve"> and </w:t>
      </w:r>
      <w:r>
        <w:rPr>
          <w:kern w:val="0"/>
        </w:rPr>
        <w:t>implementation within the theoretical framework must be further researched. More knowledge of consumers</w:t>
      </w:r>
      <w:r w:rsidR="000352E7">
        <w:rPr>
          <w:kern w:val="0"/>
        </w:rPr>
        <w:t>’</w:t>
      </w:r>
      <w:r>
        <w:rPr>
          <w:kern w:val="0"/>
        </w:rPr>
        <w:t xml:space="preserve"> behaviour regarding use of online health content</w:t>
      </w:r>
      <w:r w:rsidR="00F81221">
        <w:rPr>
          <w:kern w:val="0"/>
        </w:rPr>
        <w:t xml:space="preserve"> and </w:t>
      </w:r>
      <w:r>
        <w:rPr>
          <w:kern w:val="0"/>
        </w:rPr>
        <w:t>collaboration with others when implementing such information should be considered in future research. (c) 2005 Elsevier Ireland Ltd. All rights reserved.</w:t>
      </w:r>
    </w:p>
    <w:p w:rsidR="00545E32" w:rsidRDefault="00545E32" w:rsidP="00545E32">
      <w:pPr>
        <w:pStyle w:val="a0"/>
        <w:rPr>
          <w:kern w:val="0"/>
        </w:rPr>
      </w:pPr>
      <w:r>
        <w:rPr>
          <w:kern w:val="0"/>
        </w:rPr>
        <w:t>Keywords: Citation, Collaboration, Consumer Participation, Databases, Electronic Communication, Health Care, Implementation, Information, Internet, Internet, Knowledge, Literature, Literature Review, Medical Information, Medline, Papers, Patient Education, Policy, Quality, Quality of Health Care, Research, Review, Science, Sources, Web of Science, World-Wide-Web</w:t>
      </w:r>
    </w:p>
    <w:p w:rsidR="004303F2" w:rsidRPr="001A3D2B" w:rsidRDefault="004303F2" w:rsidP="004303F2">
      <w:pPr>
        <w:pStyle w:val="a0"/>
      </w:pPr>
      <w:r w:rsidRPr="001A3D2B">
        <w:t>? Jen, W.Y., Chao, C.C., Hung, M.C., Li, Y.C.</w:t>
      </w:r>
      <w:r>
        <w:t xml:space="preserve"> and </w:t>
      </w:r>
      <w:r w:rsidRPr="001A3D2B">
        <w:t xml:space="preserve">Chi, Y.P. (2007), </w:t>
      </w:r>
      <w:smartTag w:uri="urn:schemas-microsoft-com:office:smarttags" w:element="place">
        <w:r w:rsidRPr="001A3D2B">
          <w:t>Mobile</w:t>
        </w:r>
      </w:smartTag>
      <w:r w:rsidRPr="001A3D2B">
        <w:t xml:space="preserve"> information</w:t>
      </w:r>
      <w:r>
        <w:t xml:space="preserve"> and </w:t>
      </w:r>
      <w:r w:rsidRPr="001A3D2B">
        <w:t xml:space="preserve">communication in the hospital outpatient service. </w:t>
      </w:r>
      <w:r w:rsidRPr="001A3D2B">
        <w:rPr>
          <w:i/>
          <w:iCs/>
        </w:rPr>
        <w:t>International Journal</w:t>
      </w:r>
      <w:r>
        <w:rPr>
          <w:i/>
          <w:iCs/>
        </w:rPr>
        <w:t xml:space="preserve"> of </w:t>
      </w:r>
      <w:r w:rsidRPr="001A3D2B">
        <w:rPr>
          <w:i/>
          <w:iCs/>
        </w:rPr>
        <w:t>Medical Informatics</w:t>
      </w:r>
      <w:r w:rsidRPr="001A3D2B">
        <w:t xml:space="preserve">, </w:t>
      </w:r>
      <w:r w:rsidRPr="001A3D2B">
        <w:rPr>
          <w:b/>
        </w:rPr>
        <w:t>76</w:t>
      </w:r>
      <w:r w:rsidRPr="001A3D2B">
        <w:t xml:space="preserve"> (8), 565-574.</w:t>
      </w:r>
    </w:p>
    <w:p w:rsidR="004303F2" w:rsidRPr="001A3D2B" w:rsidRDefault="004303F2" w:rsidP="004303F2">
      <w:pPr>
        <w:pStyle w:val="a0"/>
      </w:pPr>
      <w:r w:rsidRPr="001A3D2B">
        <w:t xml:space="preserve">Full Text: </w:t>
      </w:r>
      <w:hyperlink r:id="rId1966" w:history="1">
        <w:r w:rsidRPr="001A3D2B">
          <w:rPr>
            <w:rStyle w:val="a5"/>
          </w:rPr>
          <w:t>2007\Int J Med Inf76, 565.pdf</w:t>
        </w:r>
      </w:hyperlink>
    </w:p>
    <w:p w:rsidR="004303F2" w:rsidRPr="001A3D2B" w:rsidRDefault="004303F2" w:rsidP="004303F2">
      <w:pPr>
        <w:pStyle w:val="a0"/>
      </w:pPr>
      <w:r w:rsidRPr="001A3D2B">
        <w:t>Abstract: Objectives Most healthcare providers provide mobile service for their medical staff; however, few healthcare providers provide mobile service as part</w:t>
      </w:r>
      <w:r>
        <w:t xml:space="preserve"> of </w:t>
      </w:r>
      <w:r w:rsidRPr="001A3D2B">
        <w:t xml:space="preserve">their </w:t>
      </w:r>
      <w:r w:rsidRPr="001A3D2B">
        <w:lastRenderedPageBreak/>
        <w:t>outpatient service. The mobile outpatient service system (MOSS) focuses on illness treatment, illness prevention</w:t>
      </w:r>
      <w:r>
        <w:t xml:space="preserve"> and </w:t>
      </w:r>
      <w:r w:rsidRPr="001A3D2B">
        <w:t xml:space="preserve">patient relation management for outpatient service users. Initiated in a local hospital in </w:t>
      </w:r>
      <w:smartTag w:uri="urn:schemas-microsoft-com:office:smarttags" w:element="place">
        <w:smartTag w:uri="urn:schemas-microsoft-com:office:smarttags" w:element="country-region">
          <w:r w:rsidRPr="001A3D2B">
            <w:t>Taiwan</w:t>
          </w:r>
        </w:smartTag>
      </w:smartTag>
      <w:r w:rsidRPr="001A3D2B">
        <w:t>, the MOSS pilot project was developed to improve outpatient service quality</w:t>
      </w:r>
      <w:r>
        <w:t xml:space="preserve"> and </w:t>
      </w:r>
      <w:r w:rsidRPr="001A3D2B">
        <w:t>pursue higher patient safety. Method This study focuses on the development</w:t>
      </w:r>
      <w:r>
        <w:t xml:space="preserve"> of </w:t>
      </w:r>
      <w:r w:rsidRPr="001A3D2B">
        <w:t>the MOSS. The workflow, architecture</w:t>
      </w:r>
      <w:r>
        <w:t xml:space="preserve"> and </w:t>
      </w:r>
      <w:r w:rsidRPr="001A3D2B">
        <w:t>target users</w:t>
      </w:r>
      <w:r>
        <w:t xml:space="preserve"> of </w:t>
      </w:r>
      <w:r w:rsidRPr="001A3D2B">
        <w:t>the MOSS are delineated. In addition, there were two surveys conducted as part</w:t>
      </w:r>
      <w:r>
        <w:t xml:space="preserve"> of </w:t>
      </w:r>
      <w:r w:rsidRPr="001A3D2B">
        <w:t>this study. After a focus group</w:t>
      </w:r>
      <w:r>
        <w:t xml:space="preserve"> of </w:t>
      </w:r>
      <w:r w:rsidRPr="001A3D2B">
        <w:t>medical staff identified areas in which outpatient services might be improved by the MOSS, the first survey was administered to outpatients to confirm the focus group</w:t>
      </w:r>
      <w:r w:rsidR="000352E7">
        <w:t>’</w:t>
      </w:r>
      <w:r>
        <w:t>s</w:t>
      </w:r>
      <w:r w:rsidRPr="001A3D2B">
        <w:t xml:space="preserve"> intuitions. The second administration</w:t>
      </w:r>
      <w:r>
        <w:t xml:space="preserve"> of </w:t>
      </w:r>
      <w:r w:rsidRPr="001A3D2B">
        <w:t>the survey explored outpatient satisfaction after they used the MOSS service. Results With regard to outpatient attitudes, about 93%</w:t>
      </w:r>
      <w:r>
        <w:t xml:space="preserve"> of </w:t>
      </w:r>
      <w:r w:rsidRPr="001A3D2B">
        <w:t>participants agreed that the mobile outpatient service improved outpatient service quality. In the area</w:t>
      </w:r>
      <w:r>
        <w:t xml:space="preserve"> of </w:t>
      </w:r>
      <w:r w:rsidRPr="001A3D2B">
        <w:t>outpatient satisfaction, about 89%</w:t>
      </w:r>
      <w:r>
        <w:t xml:space="preserve"> of </w:t>
      </w:r>
      <w:r w:rsidRPr="001A3D2B">
        <w:t>participants indicated they were satisfied with the moile outpatient service. Discussion/conclusion Supported by our study finding, we propose that more diverse mobile outpatient services can be provided in the future.</w:t>
      </w:r>
    </w:p>
    <w:p w:rsidR="004303F2" w:rsidRPr="001A3D2B" w:rsidRDefault="004303F2" w:rsidP="004303F2">
      <w:pPr>
        <w:pStyle w:val="a0"/>
      </w:pPr>
      <w:r w:rsidRPr="001A3D2B">
        <w:t xml:space="preserve">Keywords: Mobile Technology, </w:t>
      </w:r>
      <w:smartTag w:uri="urn:schemas-microsoft-com:office:smarttags" w:element="place">
        <w:r w:rsidRPr="001A3D2B">
          <w:t>Mobile</w:t>
        </w:r>
      </w:smartTag>
      <w:r w:rsidRPr="001A3D2B">
        <w:t xml:space="preserve"> Outpatient Service, Healthcare Providers</w:t>
      </w:r>
    </w:p>
    <w:p w:rsidR="00545E32" w:rsidRDefault="00545E32" w:rsidP="00545E32">
      <w:pPr>
        <w:pStyle w:val="a0"/>
        <w:rPr>
          <w:kern w:val="0"/>
        </w:rPr>
      </w:pPr>
      <w:r>
        <w:rPr>
          <w:kern w:val="0"/>
        </w:rPr>
        <w:t>? Grundgeiger, T.</w:t>
      </w:r>
      <w:r w:rsidR="00F81221">
        <w:rPr>
          <w:kern w:val="0"/>
        </w:rPr>
        <w:t xml:space="preserve"> and </w:t>
      </w:r>
      <w:r>
        <w:rPr>
          <w:kern w:val="0"/>
        </w:rPr>
        <w:t xml:space="preserve">Sanderson, P. (2009), Interruptions in healthcare: Theoretical views. </w:t>
      </w:r>
      <w:r>
        <w:rPr>
          <w:i/>
          <w:iCs/>
          <w:kern w:val="0"/>
        </w:rPr>
        <w:t>International Journal of Medical Informatics</w:t>
      </w:r>
      <w:r>
        <w:rPr>
          <w:kern w:val="0"/>
        </w:rPr>
        <w:t xml:space="preserve">, </w:t>
      </w:r>
      <w:r>
        <w:rPr>
          <w:b/>
          <w:bCs/>
          <w:kern w:val="0"/>
        </w:rPr>
        <w:t>78</w:t>
      </w:r>
      <w:r>
        <w:rPr>
          <w:kern w:val="0"/>
        </w:rPr>
        <w:t xml:space="preserve"> (5), 293-307.</w:t>
      </w:r>
    </w:p>
    <w:p w:rsidR="004303F2" w:rsidRPr="001A3D2B" w:rsidRDefault="004303F2" w:rsidP="004303F2">
      <w:pPr>
        <w:pStyle w:val="a0"/>
      </w:pPr>
      <w:r w:rsidRPr="001A3D2B">
        <w:t xml:space="preserve">Full Text: </w:t>
      </w:r>
      <w:hyperlink r:id="rId1967" w:history="1">
        <w:r w:rsidRPr="00A7355D">
          <w:rPr>
            <w:rStyle w:val="a5"/>
          </w:rPr>
          <w:t>2009\Int J Med Inf78, 293.pdf</w:t>
        </w:r>
      </w:hyperlink>
    </w:p>
    <w:p w:rsidR="00545E32" w:rsidRDefault="00545E32" w:rsidP="00545E32">
      <w:pPr>
        <w:pStyle w:val="a0"/>
        <w:rPr>
          <w:kern w:val="0"/>
        </w:rPr>
      </w:pPr>
      <w:r>
        <w:rPr>
          <w:kern w:val="0"/>
        </w:rPr>
        <w:t>Abstract: Background: Researchers in healthcare have begun to investigate interruptions extensively, given evidence for the adverse effects of work interruptions in other domains</w:t>
      </w:r>
      <w:r w:rsidR="00F81221">
        <w:rPr>
          <w:kern w:val="0"/>
        </w:rPr>
        <w:t xml:space="preserve"> and </w:t>
      </w:r>
      <w:r>
        <w:rPr>
          <w:kern w:val="0"/>
        </w:rPr>
        <w:t>given the highly interruptive hospital environment. In this paper, we reviewed literature on interruptions in critical care</w:t>
      </w:r>
      <w:r w:rsidR="00F81221">
        <w:rPr>
          <w:kern w:val="0"/>
        </w:rPr>
        <w:t xml:space="preserve"> and </w:t>
      </w:r>
      <w:r>
        <w:rPr>
          <w:kern w:val="0"/>
        </w:rPr>
        <w:t>medication dispensing settings in search of evidence for a relationship between interruptions</w:t>
      </w:r>
      <w:r w:rsidR="00F81221">
        <w:rPr>
          <w:kern w:val="0"/>
        </w:rPr>
        <w:t xml:space="preserve"> and </w:t>
      </w:r>
      <w:r>
        <w:rPr>
          <w:kern w:val="0"/>
        </w:rPr>
        <w:t>adverse events. Methods: The literature search included the databases MEDLINE, CINAHL+ Pre CINHAL, Health Sources: Nursing Academic Edition, EMBASE, PsycINFO, ISI Web of Science</w:t>
      </w:r>
      <w:r w:rsidR="00F81221">
        <w:rPr>
          <w:kern w:val="0"/>
        </w:rPr>
        <w:t xml:space="preserve"> and </w:t>
      </w:r>
      <w:r>
        <w:rPr>
          <w:kern w:val="0"/>
        </w:rPr>
        <w:t>Ergonomics Abstracts. The paper titles</w:t>
      </w:r>
      <w:r w:rsidR="00F81221">
        <w:rPr>
          <w:kern w:val="0"/>
        </w:rPr>
        <w:t xml:space="preserve"> and </w:t>
      </w:r>
      <w:r>
        <w:rPr>
          <w:kern w:val="0"/>
        </w:rPr>
        <w:t>abstracts were subsequently reviewed. After the initial search, we reviewed paper titles</w:t>
      </w:r>
      <w:r w:rsidR="00F81221">
        <w:rPr>
          <w:kern w:val="0"/>
        </w:rPr>
        <w:t xml:space="preserve"> and </w:t>
      </w:r>
      <w:r>
        <w:rPr>
          <w:kern w:val="0"/>
        </w:rPr>
        <w:t>abstracts to define the subset for review. Results: We currently lack evidence in healthcare of the extent to which interruptions lead to adverse effects. The lack of evidence may be due to the descriptive rather than causal nature of most studies, the lack of theory motivating investigations of the relationship, the fact that healthcare is a complex</w:t>
      </w:r>
      <w:r w:rsidR="00F81221">
        <w:rPr>
          <w:kern w:val="0"/>
        </w:rPr>
        <w:t xml:space="preserve"> and </w:t>
      </w:r>
      <w:r>
        <w:rPr>
          <w:kern w:val="0"/>
        </w:rPr>
        <w:t>varied domain,</w:t>
      </w:r>
      <w:r w:rsidR="00F81221">
        <w:rPr>
          <w:kern w:val="0"/>
        </w:rPr>
        <w:t xml:space="preserve"> and </w:t>
      </w:r>
      <w:r>
        <w:rPr>
          <w:kern w:val="0"/>
        </w:rPr>
        <w:t>inadequate conceptualizations of accident aetiology. We identify two recent accident theories in which the relationship between activity</w:t>
      </w:r>
      <w:r w:rsidR="00F81221">
        <w:rPr>
          <w:kern w:val="0"/>
        </w:rPr>
        <w:t xml:space="preserve"> and </w:t>
      </w:r>
      <w:r>
        <w:rPr>
          <w:kern w:val="0"/>
        </w:rPr>
        <w:t>medical errors is complex, indicating that even when it is sought, causal evidence is hard to find. Discussion: Future research on interruptions in healthcare settings should focus on the following. First, prospective memory research</w:t>
      </w:r>
      <w:r w:rsidR="00F81221">
        <w:rPr>
          <w:kern w:val="0"/>
        </w:rPr>
        <w:t xml:space="preserve"> and </w:t>
      </w:r>
      <w:r>
        <w:rPr>
          <w:kern w:val="0"/>
        </w:rPr>
        <w:t xml:space="preserve">distributed cognition can provide a theoretical background for understanding the </w:t>
      </w:r>
      <w:r>
        <w:rPr>
          <w:kern w:val="0"/>
        </w:rPr>
        <w:lastRenderedPageBreak/>
        <w:t>impact of interruptions</w:t>
      </w:r>
      <w:r w:rsidR="00F81221">
        <w:rPr>
          <w:kern w:val="0"/>
        </w:rPr>
        <w:t xml:space="preserve"> and </w:t>
      </w:r>
      <w:r>
        <w:rPr>
          <w:kern w:val="0"/>
        </w:rPr>
        <w:t>so could provide guidance for future empirical research on interruptions</w:t>
      </w:r>
      <w:r w:rsidR="00F81221">
        <w:rPr>
          <w:kern w:val="0"/>
        </w:rPr>
        <w:t xml:space="preserve"> and </w:t>
      </w:r>
      <w:r>
        <w:rPr>
          <w:kern w:val="0"/>
        </w:rPr>
        <w:t>the planning of actions in healthcare. Second, studying how interruptions are successfully rather than unsuccessfully overcome may better help us understand their effects. Third, because interruptions almost always have positive</w:t>
      </w:r>
      <w:r w:rsidR="00F81221">
        <w:rPr>
          <w:kern w:val="0"/>
        </w:rPr>
        <w:t xml:space="preserve"> and </w:t>
      </w:r>
      <w:r>
        <w:rPr>
          <w:kern w:val="0"/>
        </w:rPr>
        <w:t>adverse effects, more appropriate dependent variables could be chosen. (C) 2008 Elsevier Ireland Ltd. All rights reserved.</w:t>
      </w:r>
    </w:p>
    <w:p w:rsidR="00545E32" w:rsidRDefault="00545E32" w:rsidP="00545E32">
      <w:pPr>
        <w:pStyle w:val="a0"/>
        <w:rPr>
          <w:kern w:val="0"/>
        </w:rPr>
      </w:pPr>
      <w:r>
        <w:rPr>
          <w:kern w:val="0"/>
        </w:rPr>
        <w:t>Keywords: Accident Model, Adverse Effects, Clinical Communication, Cognition, Communication, Critical Care, Databases, Decision-Making, Dispensing Errors, Distractions, Distributed Cognition, Embase, Emergency-Department, Environment, Error Theory, Health, Healthcare, Hospital, Impact, Information-Technology, Intensive-Care, Interruptions, ISI, Lead, Literature, Medical, Medication, Medication Dispensing, Medication Errors, Medline, Memory, Methods, Nursing, Patient Safety, Patient-Safety, Prospective Memory, Prospective Memory Performance, Research, Researchers, Review, Science, Sources, Theories, Theory, Web of Science, Workplace Interruptions</w:t>
      </w:r>
    </w:p>
    <w:p w:rsidR="004303F2" w:rsidRPr="001A3D2B" w:rsidRDefault="004303F2" w:rsidP="004303F2">
      <w:pPr>
        <w:pStyle w:val="a0"/>
      </w:pPr>
      <w:r w:rsidRPr="001A3D2B">
        <w:t>? Jen, W.Y., Chao, C.C., Hung, M.C., Li, Y.C.</w:t>
      </w:r>
      <w:r>
        <w:t xml:space="preserve"> and </w:t>
      </w:r>
      <w:r w:rsidRPr="001A3D2B">
        <w:t xml:space="preserve">Chi, Y.P. (2007), </w:t>
      </w:r>
      <w:smartTag w:uri="urn:schemas-microsoft-com:office:smarttags" w:element="place">
        <w:r w:rsidRPr="001A3D2B">
          <w:t>Mobile</w:t>
        </w:r>
      </w:smartTag>
      <w:r w:rsidRPr="001A3D2B">
        <w:t xml:space="preserve"> information</w:t>
      </w:r>
      <w:r>
        <w:t xml:space="preserve"> and </w:t>
      </w:r>
      <w:r w:rsidRPr="001A3D2B">
        <w:t xml:space="preserve">communication in the hospital outpatient service. </w:t>
      </w:r>
      <w:r w:rsidRPr="001A3D2B">
        <w:rPr>
          <w:i/>
          <w:iCs/>
        </w:rPr>
        <w:t>International Journal</w:t>
      </w:r>
      <w:r>
        <w:rPr>
          <w:i/>
          <w:iCs/>
        </w:rPr>
        <w:t xml:space="preserve"> of </w:t>
      </w:r>
      <w:r w:rsidRPr="001A3D2B">
        <w:rPr>
          <w:i/>
          <w:iCs/>
        </w:rPr>
        <w:t>Medical Informatics</w:t>
      </w:r>
      <w:r w:rsidRPr="001A3D2B">
        <w:t xml:space="preserve">, </w:t>
      </w:r>
      <w:r w:rsidRPr="001A3D2B">
        <w:rPr>
          <w:b/>
        </w:rPr>
        <w:t>76</w:t>
      </w:r>
      <w:r w:rsidRPr="001A3D2B">
        <w:t xml:space="preserve"> (8), 565-574.</w:t>
      </w:r>
    </w:p>
    <w:p w:rsidR="004303F2" w:rsidRPr="001A3D2B" w:rsidRDefault="004303F2" w:rsidP="004303F2">
      <w:pPr>
        <w:pStyle w:val="a0"/>
      </w:pPr>
      <w:r w:rsidRPr="001A3D2B">
        <w:t xml:space="preserve">Full Text: </w:t>
      </w:r>
      <w:hyperlink r:id="rId1968" w:history="1">
        <w:r w:rsidRPr="001A3D2B">
          <w:rPr>
            <w:rStyle w:val="a5"/>
          </w:rPr>
          <w:t>2007\Int J Med Inf76, 565.pdf</w:t>
        </w:r>
      </w:hyperlink>
    </w:p>
    <w:p w:rsidR="004303F2" w:rsidRPr="001A3D2B" w:rsidRDefault="004303F2" w:rsidP="004303F2">
      <w:pPr>
        <w:pStyle w:val="a0"/>
      </w:pPr>
      <w:r w:rsidRPr="001A3D2B">
        <w:t xml:space="preserve">Abstract: Objectives </w:t>
      </w:r>
    </w:p>
    <w:p w:rsidR="004303F2" w:rsidRPr="001A3D2B" w:rsidRDefault="004303F2" w:rsidP="004303F2">
      <w:pPr>
        <w:pStyle w:val="a0"/>
      </w:pPr>
      <w:r w:rsidRPr="001A3D2B">
        <w:t>Most healthcare providers provide mobile service for their medical staff; however, few healthcare providers provide mobile service as part</w:t>
      </w:r>
      <w:r>
        <w:t xml:space="preserve"> of </w:t>
      </w:r>
      <w:r w:rsidRPr="001A3D2B">
        <w:t>their outpatient service. The mobile outpatient service system (MOSS) focuses on illness treatment, illness prevention</w:t>
      </w:r>
      <w:r>
        <w:t xml:space="preserve"> and </w:t>
      </w:r>
      <w:r w:rsidRPr="001A3D2B">
        <w:t xml:space="preserve">patient relation management for outpatient service users. Initiated in a local hospital in </w:t>
      </w:r>
      <w:smartTag w:uri="urn:schemas-microsoft-com:office:smarttags" w:element="place">
        <w:smartTag w:uri="urn:schemas-microsoft-com:office:smarttags" w:element="country-region">
          <w:r w:rsidRPr="001A3D2B">
            <w:t>Taiwan</w:t>
          </w:r>
        </w:smartTag>
      </w:smartTag>
      <w:r w:rsidRPr="001A3D2B">
        <w:t>, the MOSS pilot project was developed to improve outpatient service quality</w:t>
      </w:r>
      <w:r>
        <w:t xml:space="preserve"> and </w:t>
      </w:r>
      <w:r w:rsidRPr="001A3D2B">
        <w:t xml:space="preserve">pursue higher patient safety. </w:t>
      </w:r>
    </w:p>
    <w:p w:rsidR="004303F2" w:rsidRPr="001A3D2B" w:rsidRDefault="004303F2" w:rsidP="004303F2">
      <w:pPr>
        <w:pStyle w:val="a0"/>
      </w:pPr>
      <w:r w:rsidRPr="001A3D2B">
        <w:t xml:space="preserve">Method </w:t>
      </w:r>
    </w:p>
    <w:p w:rsidR="004303F2" w:rsidRPr="001A3D2B" w:rsidRDefault="004303F2" w:rsidP="004303F2">
      <w:pPr>
        <w:pStyle w:val="a0"/>
      </w:pPr>
      <w:r w:rsidRPr="001A3D2B">
        <w:t>This study focuses on the development</w:t>
      </w:r>
      <w:r>
        <w:t xml:space="preserve"> of </w:t>
      </w:r>
      <w:r w:rsidRPr="001A3D2B">
        <w:t>the MOSS. The workflow, architecture</w:t>
      </w:r>
      <w:r>
        <w:t xml:space="preserve"> and </w:t>
      </w:r>
      <w:r w:rsidRPr="001A3D2B">
        <w:t>target users</w:t>
      </w:r>
      <w:r>
        <w:t xml:space="preserve"> of </w:t>
      </w:r>
      <w:r w:rsidRPr="001A3D2B">
        <w:t>the MOSS are delineated. In addition, there were two surveys conducted as part</w:t>
      </w:r>
      <w:r>
        <w:t xml:space="preserve"> of </w:t>
      </w:r>
      <w:r w:rsidRPr="001A3D2B">
        <w:t>this study. After a focus group</w:t>
      </w:r>
      <w:r>
        <w:t xml:space="preserve"> of </w:t>
      </w:r>
      <w:r w:rsidRPr="001A3D2B">
        <w:t>medical staff identified areas in which outpatient services might be improved by the MOSS, the first survey was administered to outpatients to confirm the focus group</w:t>
      </w:r>
      <w:r w:rsidR="000352E7">
        <w:t>’</w:t>
      </w:r>
      <w:r>
        <w:t>s</w:t>
      </w:r>
      <w:r w:rsidRPr="001A3D2B">
        <w:t xml:space="preserve"> intuitions. The second administration</w:t>
      </w:r>
      <w:r>
        <w:t xml:space="preserve"> of </w:t>
      </w:r>
      <w:r w:rsidRPr="001A3D2B">
        <w:t xml:space="preserve">the survey explored outpatient satisfaction after they used the MOSS service. </w:t>
      </w:r>
    </w:p>
    <w:p w:rsidR="004303F2" w:rsidRPr="001A3D2B" w:rsidRDefault="004303F2" w:rsidP="004303F2">
      <w:pPr>
        <w:pStyle w:val="a0"/>
      </w:pPr>
      <w:r w:rsidRPr="001A3D2B">
        <w:t xml:space="preserve">Results </w:t>
      </w:r>
    </w:p>
    <w:p w:rsidR="004303F2" w:rsidRPr="001A3D2B" w:rsidRDefault="004303F2" w:rsidP="004303F2">
      <w:pPr>
        <w:pStyle w:val="a0"/>
      </w:pPr>
      <w:r w:rsidRPr="001A3D2B">
        <w:t>With regard to outpatient attitudes, about 93%</w:t>
      </w:r>
      <w:r>
        <w:t xml:space="preserve"> of </w:t>
      </w:r>
      <w:r w:rsidRPr="001A3D2B">
        <w:t>participants agreed that the mobile outpatient service improved outpatient service quality. In the area</w:t>
      </w:r>
      <w:r>
        <w:t xml:space="preserve"> of </w:t>
      </w:r>
      <w:r w:rsidRPr="001A3D2B">
        <w:t>outpatient satisfaction, about 89%</w:t>
      </w:r>
      <w:r>
        <w:t xml:space="preserve"> of </w:t>
      </w:r>
      <w:r w:rsidRPr="001A3D2B">
        <w:t xml:space="preserve">participants indicated they were satisfied with the mobile outpatient service. </w:t>
      </w:r>
    </w:p>
    <w:p w:rsidR="004303F2" w:rsidRPr="001A3D2B" w:rsidRDefault="004303F2" w:rsidP="004303F2">
      <w:pPr>
        <w:pStyle w:val="a0"/>
      </w:pPr>
      <w:r w:rsidRPr="001A3D2B">
        <w:lastRenderedPageBreak/>
        <w:t>Discussion/conclusion</w:t>
      </w:r>
    </w:p>
    <w:p w:rsidR="004303F2" w:rsidRPr="001A3D2B" w:rsidRDefault="004303F2" w:rsidP="004303F2">
      <w:pPr>
        <w:pStyle w:val="a0"/>
      </w:pPr>
      <w:r w:rsidRPr="001A3D2B">
        <w:t>Supported by our study finding, we propose that more diverse mobile outpatient services can be provided in the future.</w:t>
      </w:r>
    </w:p>
    <w:p w:rsidR="004303F2" w:rsidRPr="001A3D2B" w:rsidRDefault="004303F2" w:rsidP="004303F2">
      <w:pPr>
        <w:pStyle w:val="a0"/>
      </w:pPr>
      <w:r w:rsidRPr="001A3D2B">
        <w:t xml:space="preserve">Keywords: Mobile Technology, </w:t>
      </w:r>
      <w:smartTag w:uri="urn:schemas-microsoft-com:office:smarttags" w:element="place">
        <w:r w:rsidRPr="001A3D2B">
          <w:t>Mobile</w:t>
        </w:r>
      </w:smartTag>
      <w:r w:rsidRPr="001A3D2B">
        <w:t xml:space="preserve"> Outpatient Service, Healthcare Providers</w:t>
      </w:r>
    </w:p>
    <w:p w:rsidR="00545E32" w:rsidRDefault="00545E32" w:rsidP="00545E32">
      <w:pPr>
        <w:pStyle w:val="a0"/>
        <w:rPr>
          <w:kern w:val="0"/>
        </w:rPr>
      </w:pPr>
      <w:r>
        <w:rPr>
          <w:kern w:val="0"/>
        </w:rPr>
        <w:t>? Ramadas, A., Quek, K.F., Chan, C.K.Y.</w:t>
      </w:r>
      <w:r w:rsidR="00F81221">
        <w:rPr>
          <w:kern w:val="0"/>
        </w:rPr>
        <w:t xml:space="preserve"> and </w:t>
      </w:r>
      <w:r>
        <w:rPr>
          <w:kern w:val="0"/>
        </w:rPr>
        <w:t xml:space="preserve">Oldenburg, B. (2011), Web-based interventions for the management of type 2 diabetes mellitus: A systematic review of recent evidence. </w:t>
      </w:r>
      <w:r>
        <w:rPr>
          <w:i/>
          <w:iCs/>
          <w:kern w:val="0"/>
        </w:rPr>
        <w:t>International Journal of Medical Informatics</w:t>
      </w:r>
      <w:r>
        <w:rPr>
          <w:kern w:val="0"/>
        </w:rPr>
        <w:t xml:space="preserve">, </w:t>
      </w:r>
      <w:r>
        <w:rPr>
          <w:b/>
          <w:bCs/>
          <w:kern w:val="0"/>
        </w:rPr>
        <w:t>80</w:t>
      </w:r>
      <w:r>
        <w:rPr>
          <w:kern w:val="0"/>
        </w:rPr>
        <w:t xml:space="preserve"> (6), 389-405.</w:t>
      </w:r>
    </w:p>
    <w:p w:rsidR="00545E32" w:rsidRDefault="00545E32" w:rsidP="00545E32">
      <w:pPr>
        <w:pStyle w:val="a0"/>
      </w:pPr>
      <w:r>
        <w:t xml:space="preserve">Full Text: </w:t>
      </w:r>
      <w:hyperlink r:id="rId1969" w:history="1">
        <w:r w:rsidR="004303F2" w:rsidRPr="004303F2">
          <w:rPr>
            <w:rStyle w:val="a5"/>
          </w:rPr>
          <w:t>2011\Int J Med Inf80, 389.pdf</w:t>
        </w:r>
      </w:hyperlink>
    </w:p>
    <w:p w:rsidR="00545E32" w:rsidRDefault="00545E32" w:rsidP="00545E32">
      <w:pPr>
        <w:pStyle w:val="a0"/>
        <w:rPr>
          <w:kern w:val="0"/>
        </w:rPr>
      </w:pPr>
      <w:r>
        <w:rPr>
          <w:kern w:val="0"/>
        </w:rPr>
        <w:t>Abstract: Introduction: The Internet has emerged as a potentially effective medium for information exchange. The Internet</w:t>
      </w:r>
      <w:r w:rsidR="000352E7">
        <w:rPr>
          <w:kern w:val="0"/>
        </w:rPr>
        <w:t>’</w:t>
      </w:r>
      <w:r>
        <w:rPr>
          <w:kern w:val="0"/>
        </w:rPr>
        <w:t>s potential has been recognised</w:t>
      </w:r>
      <w:r w:rsidR="00F81221">
        <w:rPr>
          <w:kern w:val="0"/>
        </w:rPr>
        <w:t xml:space="preserve"> and </w:t>
      </w:r>
      <w:r>
        <w:rPr>
          <w:kern w:val="0"/>
        </w:rPr>
        <w:t>web-based education programmes have been steadily adopted in recent years in preventing</w:t>
      </w:r>
      <w:r w:rsidR="00F81221">
        <w:rPr>
          <w:kern w:val="0"/>
        </w:rPr>
        <w:t xml:space="preserve"> and </w:t>
      </w:r>
      <w:r>
        <w:rPr>
          <w:kern w:val="0"/>
        </w:rPr>
        <w:t>managing chronic diseases such as diabetes mellitus. This review provides a descriptive discussion of web-based behavioural interventions for the management of type 2 diabetes mellitus. Method: Systematic literature searches were performed using MEDLINE, EMBASE, PUBMED, PsycINFO, Web of Science</w:t>
      </w:r>
      <w:r w:rsidR="00F81221">
        <w:rPr>
          <w:kern w:val="0"/>
        </w:rPr>
        <w:t xml:space="preserve"> and </w:t>
      </w:r>
      <w:r>
        <w:rPr>
          <w:kern w:val="0"/>
        </w:rPr>
        <w:t>Cochrane Library to retrieve articles published between 2000</w:t>
      </w:r>
      <w:r w:rsidR="00F81221">
        <w:rPr>
          <w:kern w:val="0"/>
        </w:rPr>
        <w:t xml:space="preserve"> and </w:t>
      </w:r>
      <w:r>
        <w:rPr>
          <w:kern w:val="0"/>
        </w:rPr>
        <w:t>June 2010 which fulfilled all inclusion criteria. Methodological quality assessment</w:t>
      </w:r>
      <w:r w:rsidR="00F81221">
        <w:rPr>
          <w:kern w:val="0"/>
        </w:rPr>
        <w:t xml:space="preserve"> and </w:t>
      </w:r>
      <w:r>
        <w:rPr>
          <w:kern w:val="0"/>
        </w:rPr>
        <w:t>data synthesis were then performed. Results: Twenty articles representing 13 different studies were reviewed. None of the studies were ranked as low in the methodological quality. Goal-setting, personalised coaching, interactive feedback</w:t>
      </w:r>
      <w:r w:rsidR="00F81221">
        <w:rPr>
          <w:kern w:val="0"/>
        </w:rPr>
        <w:t xml:space="preserve"> and </w:t>
      </w:r>
      <w:r>
        <w:rPr>
          <w:kern w:val="0"/>
        </w:rPr>
        <w:t>online peer support groups were some of the successful approaches which were applied in e-interventions to manage type 2 diabetes mellitus. Strong theoretical background, use of other technologies</w:t>
      </w:r>
      <w:r w:rsidR="00F81221">
        <w:rPr>
          <w:kern w:val="0"/>
        </w:rPr>
        <w:t xml:space="preserve"> and </w:t>
      </w:r>
      <w:r>
        <w:rPr>
          <w:kern w:val="0"/>
        </w:rPr>
        <w:t>longer duration of intervention were proven to be successful strategies as well. Conclusion: The web-based interventions have demonstrated some level of favourable outcomes, provided they are further enhanced with proper e-research strategies. (C) 2011 Elsevier Ireland Ltd. All rights reserved.</w:t>
      </w:r>
    </w:p>
    <w:p w:rsidR="00545E32" w:rsidRDefault="00545E32" w:rsidP="00545E32">
      <w:pPr>
        <w:pStyle w:val="a0"/>
        <w:rPr>
          <w:kern w:val="0"/>
        </w:rPr>
      </w:pPr>
      <w:r>
        <w:rPr>
          <w:kern w:val="0"/>
        </w:rPr>
        <w:t>Keywords: Adults Age 60, Assessment, Blood-Glucose, Care Management, Cochrane, Diabetes, Diabetes Mellitus, Diabetes Mellitus Type 2, Education, Embase, Feedback, Glucose Monitoring-System, Glycemic Control, Information, Internet, Intervention, Interventions, Literature, Management, Medline, Metaanalysis, Outcomes, Physical-Activity, Randomized-Controlled-Trials, Review, Science, Self-Management, Systematic, Systematic Review, Type 2, Type 2 Diabetes, Type 2 Diabetes Mellitus, Web of Science, Weight-Loss</w:t>
      </w:r>
    </w:p>
    <w:p w:rsidR="004303F2" w:rsidRDefault="004303F2" w:rsidP="004303F2">
      <w:pPr>
        <w:pStyle w:val="a0"/>
        <w:rPr>
          <w:kern w:val="0"/>
          <w:szCs w:val="24"/>
        </w:rPr>
      </w:pPr>
      <w:r>
        <w:rPr>
          <w:rFonts w:hint="eastAsia"/>
          <w:kern w:val="0"/>
          <w:szCs w:val="24"/>
        </w:rPr>
        <w:t xml:space="preserve">? </w:t>
      </w:r>
      <w:r>
        <w:rPr>
          <w:kern w:val="0"/>
          <w:szCs w:val="24"/>
        </w:rPr>
        <w:t>Lluch, M. (2011), Healthcare professionals</w:t>
      </w:r>
      <w:r w:rsidR="000352E7">
        <w:rPr>
          <w:kern w:val="0"/>
          <w:szCs w:val="24"/>
        </w:rPr>
        <w:t>’</w:t>
      </w:r>
      <w:r>
        <w:rPr>
          <w:kern w:val="0"/>
          <w:szCs w:val="24"/>
        </w:rPr>
        <w:t xml:space="preserve"> organisational barriers to health information technologies-A literature review. </w:t>
      </w:r>
      <w:r>
        <w:rPr>
          <w:i/>
          <w:iCs/>
          <w:kern w:val="0"/>
          <w:szCs w:val="24"/>
        </w:rPr>
        <w:t>International Journal of Medical Informatics</w:t>
      </w:r>
      <w:r>
        <w:rPr>
          <w:kern w:val="0"/>
          <w:szCs w:val="24"/>
        </w:rPr>
        <w:t xml:space="preserve">, </w:t>
      </w:r>
      <w:r>
        <w:rPr>
          <w:b/>
          <w:bCs/>
          <w:kern w:val="0"/>
          <w:szCs w:val="24"/>
        </w:rPr>
        <w:t>80</w:t>
      </w:r>
      <w:r>
        <w:rPr>
          <w:kern w:val="0"/>
          <w:szCs w:val="24"/>
        </w:rPr>
        <w:t xml:space="preserve"> (12), 849-862.</w:t>
      </w:r>
    </w:p>
    <w:p w:rsidR="004303F2" w:rsidRPr="001A3D2B" w:rsidRDefault="004303F2" w:rsidP="004303F2">
      <w:pPr>
        <w:pStyle w:val="a0"/>
      </w:pPr>
      <w:r w:rsidRPr="001A3D2B">
        <w:t xml:space="preserve">Full Text: </w:t>
      </w:r>
      <w:hyperlink r:id="rId1970" w:history="1">
        <w:r w:rsidRPr="004303F2">
          <w:rPr>
            <w:rStyle w:val="a5"/>
          </w:rPr>
          <w:t>2011\Int J Med Inf80, 849.pdf</w:t>
        </w:r>
      </w:hyperlink>
    </w:p>
    <w:p w:rsidR="004303F2" w:rsidRDefault="004303F2" w:rsidP="004303F2">
      <w:pPr>
        <w:pStyle w:val="a0"/>
        <w:rPr>
          <w:kern w:val="0"/>
          <w:szCs w:val="24"/>
        </w:rPr>
      </w:pPr>
      <w:r>
        <w:rPr>
          <w:kern w:val="0"/>
          <w:szCs w:val="24"/>
        </w:rPr>
        <w:t xml:space="preserve">Abstract: Objectives: This literature review identifies and categorises, from an organisational management perspective, barriers to the use of HIT or ICT for health. </w:t>
      </w:r>
      <w:r>
        <w:rPr>
          <w:kern w:val="0"/>
          <w:szCs w:val="24"/>
        </w:rPr>
        <w:lastRenderedPageBreak/>
        <w:t>Based on the review, it offers policy interventions. Methods: This systematic literature review was carried out during December 2009 and January 2010. Additional on-going reviews of updates through automated system alerts took place up until this paper was submitted. A total of thirty-one sources were searched including nine software platforms/databases, fifteen specialised websites/targeted databases, Google Scholar, ISI Science Citation Index and five journals hand-searched. Results: The study covers seventy-nine articles on organisational barriers to ICT adoption by healthcare professionals. These are categorised under five main headings - (I) Structure of healthcare organisations; (II) Tasks; (III) People policies; (IV) Incentives; and (V) Information and decision processes. A total of ten subcategories are also identified. By adopting an organisational management approach, some recommendations to remove organisational management barriers are made. Conclusions: Despite their apparent promise, health information technologies (HIT) have proved difficult to implement. This systematic review reveals the implementation barriers associated to organisational management and their interrelations. Several important future directions in the field are also suggested: (1) there is a need for further research providing evidence of HIT cost-effectiveness as well as the development of optimal HIT applications; (2) more information is needed regarding organisational change, incentives, liability issues, end-users HIT competences and skills, structure and work process issues involved in realising the benefits from HIT. Future policy interventions should consider the five dimensions identified when addressing the impact of HIT in healthcare organisational systems, and how the impact of an intervention aimed at a particular dimension would interrelate with others. (C) 2011 Elsevier Ireland Ltd. All rights reserved.</w:t>
      </w:r>
    </w:p>
    <w:p w:rsidR="004303F2" w:rsidRDefault="004303F2" w:rsidP="004303F2">
      <w:pPr>
        <w:pStyle w:val="a0"/>
        <w:rPr>
          <w:kern w:val="0"/>
          <w:szCs w:val="24"/>
        </w:rPr>
      </w:pPr>
      <w:r>
        <w:rPr>
          <w:kern w:val="0"/>
          <w:szCs w:val="24"/>
        </w:rPr>
        <w:t>Keywords: 7 Countries, Adoption, Barriers, Barriers for Adoption, Citation, Computerised Medical Records Systems, Cost-Effectiveness, Databases, Decision-Support, Development, Electronic Medical Record, Google Scholar, Health Information Technology, Healthcare, Healthcare Organisations, Healthcare Professionals, Hit Adoption, Hospital Information Systems, ICT Adoption in Healthcare, Impact, Implementation, Incentives, Information, Information and Decision Processes, Intervention, Interventions, ISI, Journals, Literature, Literature Review, Management, Medical Informatics, Medical-Care, Methods, National-Health, Order Entry, Organisational Models, People Policies, Policies, Policy, Process, Recommendations, Records, Research, Review, Science, Science Citation Index, Socio-Technical, Software, Structure, Structure of Healthcare Organisations, Systematic, Systematic Literature Review, Systematic Review, Systems, Tasks, Unintended Consequences</w:t>
      </w:r>
    </w:p>
    <w:p w:rsidR="004769FA" w:rsidRDefault="004769FA" w:rsidP="004769FA">
      <w:pPr>
        <w:pStyle w:val="1"/>
      </w:pPr>
      <w:r>
        <w:rPr>
          <w:b w:val="0"/>
          <w:bCs/>
          <w:iCs/>
        </w:rPr>
        <w:br w:type="page"/>
      </w:r>
      <w:bookmarkStart w:id="1400" w:name="_Toc238871725"/>
      <w:bookmarkStart w:id="1401" w:name="_Toc317161328"/>
      <w:r>
        <w:lastRenderedPageBreak/>
        <w:t>Title: International Journal of Medical Microbiology</w:t>
      </w:r>
      <w:bookmarkEnd w:id="1400"/>
      <w:bookmarkEnd w:id="1401"/>
    </w:p>
    <w:p w:rsidR="004769FA" w:rsidRDefault="004769FA" w:rsidP="00B72EF9">
      <w:pPr>
        <w:pStyle w:val="12"/>
      </w:pPr>
      <w:r>
        <w:t xml:space="preserve">Full Journal Title: </w:t>
      </w:r>
      <w:hyperlink r:id="rId1971" w:history="1">
        <w:r>
          <w:rPr>
            <w:rStyle w:val="a5"/>
            <w:iCs/>
          </w:rPr>
          <w:t>International Journal of Medical Microbiology</w:t>
        </w:r>
      </w:hyperlink>
    </w:p>
    <w:p w:rsidR="004769FA" w:rsidRDefault="004769FA" w:rsidP="00B72EF9">
      <w:pPr>
        <w:pStyle w:val="12"/>
      </w:pPr>
      <w:r>
        <w:t xml:space="preserve">ISO Abbreviated Title: </w:t>
      </w:r>
    </w:p>
    <w:p w:rsidR="004769FA" w:rsidRDefault="004769FA" w:rsidP="00B72EF9">
      <w:pPr>
        <w:pStyle w:val="12"/>
      </w:pPr>
      <w:r>
        <w:t xml:space="preserve">JCR Abbreviated Title: </w:t>
      </w:r>
    </w:p>
    <w:p w:rsidR="004769FA" w:rsidRDefault="004769FA" w:rsidP="00B72EF9">
      <w:pPr>
        <w:pStyle w:val="12"/>
      </w:pPr>
      <w:r>
        <w:t xml:space="preserve">ISSN: </w:t>
      </w:r>
    </w:p>
    <w:p w:rsidR="004769FA" w:rsidRDefault="004769FA" w:rsidP="00B72EF9">
      <w:pPr>
        <w:pStyle w:val="12"/>
      </w:pPr>
      <w:r>
        <w:t xml:space="preserve">Issues/Year: </w:t>
      </w:r>
    </w:p>
    <w:p w:rsidR="004769FA" w:rsidRDefault="00FB5623" w:rsidP="00B72EF9">
      <w:pPr>
        <w:pStyle w:val="12"/>
      </w:pPr>
      <w:r>
        <w:t>Journal Country/Territory:</w:t>
      </w:r>
      <w:r w:rsidR="004769FA">
        <w:t xml:space="preserve"> </w:t>
      </w:r>
    </w:p>
    <w:p w:rsidR="004769FA" w:rsidRDefault="004769FA" w:rsidP="00B72EF9">
      <w:pPr>
        <w:pStyle w:val="12"/>
      </w:pPr>
      <w:r>
        <w:t xml:space="preserve">Language: </w:t>
      </w:r>
    </w:p>
    <w:p w:rsidR="004769FA" w:rsidRDefault="004769FA" w:rsidP="00B72EF9">
      <w:pPr>
        <w:pStyle w:val="12"/>
      </w:pPr>
      <w:r>
        <w:t xml:space="preserve">Publisher: </w:t>
      </w:r>
    </w:p>
    <w:p w:rsidR="004769FA" w:rsidRDefault="004769FA" w:rsidP="00B72EF9">
      <w:pPr>
        <w:pStyle w:val="12"/>
      </w:pPr>
      <w:r>
        <w:t xml:space="preserve">Publisher Address: </w:t>
      </w:r>
    </w:p>
    <w:p w:rsidR="004769FA" w:rsidRDefault="004769FA" w:rsidP="00B72EF9">
      <w:pPr>
        <w:pStyle w:val="12"/>
      </w:pPr>
      <w:r>
        <w:t>Subject Categories:</w:t>
      </w:r>
    </w:p>
    <w:p w:rsidR="004769FA" w:rsidRDefault="004769FA" w:rsidP="00B72EF9">
      <w:pPr>
        <w:pStyle w:val="12"/>
      </w:pPr>
      <w:r>
        <w:t>: Impact Factor</w:t>
      </w:r>
    </w:p>
    <w:p w:rsidR="004769FA" w:rsidRDefault="004769FA" w:rsidP="004769FA">
      <w:pPr>
        <w:pStyle w:val="a0"/>
      </w:pPr>
      <w:r>
        <w:t>? Becker, K., Hu, Y.</w:t>
      </w:r>
      <w:r w:rsidR="00F81221">
        <w:t xml:space="preserve"> and </w:t>
      </w:r>
      <w:r>
        <w:t xml:space="preserve">Biller-Andorno, N. (2006), Infectious diseases - A global challenge. </w:t>
      </w:r>
      <w:r>
        <w:rPr>
          <w:i/>
          <w:iCs/>
        </w:rPr>
        <w:t>International Journal of Medical Microbiology</w:t>
      </w:r>
      <w:r>
        <w:t xml:space="preserve">, </w:t>
      </w:r>
      <w:r>
        <w:rPr>
          <w:b/>
          <w:bCs/>
        </w:rPr>
        <w:t>296</w:t>
      </w:r>
      <w:r>
        <w:t xml:space="preserve"> (4-5), 179-185.</w:t>
      </w:r>
    </w:p>
    <w:p w:rsidR="004769FA" w:rsidRDefault="004769FA" w:rsidP="004769FA">
      <w:pPr>
        <w:pStyle w:val="a0"/>
      </w:pPr>
      <w:r>
        <w:t xml:space="preserve">Full Text: </w:t>
      </w:r>
      <w:hyperlink r:id="rId1972" w:history="1">
        <w:r>
          <w:rPr>
            <w:rStyle w:val="a5"/>
          </w:rPr>
          <w:t>2006\Int J Med Mic296, 179.pdf</w:t>
        </w:r>
      </w:hyperlink>
    </w:p>
    <w:p w:rsidR="004769FA" w:rsidRDefault="004769FA" w:rsidP="004769FA">
      <w:pPr>
        <w:pStyle w:val="a0"/>
      </w:pPr>
      <w:r>
        <w:t>Abstract: Infectious diseases represent a continuous</w:t>
      </w:r>
      <w:r w:rsidR="00F81221">
        <w:t xml:space="preserve"> and </w:t>
      </w:r>
      <w:r>
        <w:t>increasing threat to human health</w:t>
      </w:r>
      <w:r w:rsidR="00F81221">
        <w:t xml:space="preserve"> and </w:t>
      </w:r>
      <w:r>
        <w:t>welfare. Due to emerging diseases, increasing resistances, international travelling,</w:t>
      </w:r>
      <w:r w:rsidR="00F81221">
        <w:t xml:space="preserve"> and </w:t>
      </w:r>
      <w:r>
        <w:t>the risk of bioterroristic attacks, infectious diseases concern the whole world</w:t>
      </w:r>
      <w:r w:rsidR="00F81221">
        <w:t xml:space="preserve"> and </w:t>
      </w:r>
      <w:r>
        <w:t>can only be combated by internationally coordinated</w:t>
      </w:r>
      <w:r w:rsidR="00F81221">
        <w:t xml:space="preserve"> and </w:t>
      </w:r>
      <w:r>
        <w:t>interdisciplinary approaches. When assessing the worldwide publication activities on infectious diseases in the years 1994-2004 accessible via the ISI Science Citation Index Expanded((R)), an overall increase by 24% can be monitored. Furthermore, it becomes evident that highest research priorities are given to HIV/AIDS, hepatitis C, tuberculosis, respiratory infections,</w:t>
      </w:r>
      <w:r w:rsidR="00F81221">
        <w:t xml:space="preserve"> and </w:t>
      </w:r>
      <w:r>
        <w:t>sepsis. Ten countries - including the USA, the UK, France, Germany,</w:t>
      </w:r>
      <w:r w:rsidR="00F81221">
        <w:t xml:space="preserve"> and </w:t>
      </w:r>
      <w:r>
        <w:t>Japan - contributed to more than 80% of these publications; nation-specific research priorities focusing on the current problems in the respective country can be estimated. Countries with the highest disease burdens are still not given the opportunity to contribute adequately to the scientific field. Based on our data, relatively increasing publication activities include those on respiratory infections, tuberculosis, malaria, hepatitis,</w:t>
      </w:r>
      <w:r w:rsidR="00F81221">
        <w:t xml:space="preserve"> and </w:t>
      </w:r>
      <w:r>
        <w:t>sepsis, whereas decreasing activities were determined for AIDS, diarrhoea, meningitis, schistosomiasis,</w:t>
      </w:r>
      <w:r w:rsidR="00F81221">
        <w:t xml:space="preserve"> and </w:t>
      </w:r>
      <w:r>
        <w:t>other diseases. Accordingly, the prevalence of many infectious diseases occurring in tropical countries is not clearly reflected in the worldwide publication activities. (c) 2006 Elsevier GmbH. All rights reserved.</w:t>
      </w:r>
    </w:p>
    <w:p w:rsidR="004769FA" w:rsidRDefault="004769FA" w:rsidP="004769FA">
      <w:pPr>
        <w:pStyle w:val="a0"/>
      </w:pPr>
      <w:r>
        <w:t xml:space="preserve">Keywords: AID, AIDS, Assessing, Challenge, Country, Data, Diarrhoea, Diseases, Field, France, Germany, Health, Hepatitis, Hepatitis C, HIV, AIDS, Human, Human Health, Infections, Infectious Diseases, Interdisciplinary, International, ISI, Japan, </w:t>
      </w:r>
      <w:r>
        <w:lastRenderedPageBreak/>
        <w:t>Malaria, Meningitis, Prevalence, Publication, Publications, Research, Research Priorities, Rights, Risk, Science Citation Index, Sepsis, Tropical, Tuberculosis, UK, USA, Welfare, World</w:t>
      </w:r>
    </w:p>
    <w:p w:rsidR="00B95188" w:rsidRPr="00A428C3" w:rsidRDefault="00B95188" w:rsidP="00B95188">
      <w:pPr>
        <w:pStyle w:val="1"/>
      </w:pPr>
      <w:r w:rsidRPr="00A428C3">
        <w:br w:type="page"/>
      </w:r>
      <w:bookmarkStart w:id="1402" w:name="_Toc455569486"/>
      <w:bookmarkStart w:id="1403" w:name="_Toc487190735"/>
      <w:bookmarkStart w:id="1404" w:name="_Toc487882240"/>
      <w:bookmarkStart w:id="1405" w:name="_Toc490688070"/>
      <w:bookmarkStart w:id="1406" w:name="_Toc492812182"/>
      <w:bookmarkStart w:id="1407" w:name="_Toc186647934"/>
      <w:bookmarkStart w:id="1408" w:name="_Toc317161329"/>
      <w:r w:rsidRPr="00A428C3">
        <w:lastRenderedPageBreak/>
        <w:t>Title: International Journal of Mineral Processing</w:t>
      </w:r>
      <w:bookmarkEnd w:id="1402"/>
      <w:bookmarkEnd w:id="1403"/>
      <w:bookmarkEnd w:id="1404"/>
      <w:bookmarkEnd w:id="1405"/>
      <w:bookmarkEnd w:id="1406"/>
      <w:bookmarkEnd w:id="1407"/>
      <w:bookmarkEnd w:id="1408"/>
    </w:p>
    <w:p w:rsidR="00B95188" w:rsidRPr="00A428C3" w:rsidRDefault="00B95188" w:rsidP="00B72EF9">
      <w:pPr>
        <w:pStyle w:val="12"/>
      </w:pPr>
      <w:bookmarkStart w:id="1409" w:name="Popovv"/>
      <w:r w:rsidRPr="00A428C3">
        <w:t xml:space="preserve">Full Journal Title: </w:t>
      </w:r>
      <w:hyperlink r:id="rId1973" w:history="1">
        <w:r w:rsidRPr="00A428C3">
          <w:rPr>
            <w:rStyle w:val="a5"/>
          </w:rPr>
          <w:t>International Journal of Mineral Processing</w:t>
        </w:r>
      </w:hyperlink>
    </w:p>
    <w:p w:rsidR="00B95188" w:rsidRPr="00A428C3" w:rsidRDefault="00B95188" w:rsidP="00B72EF9">
      <w:pPr>
        <w:pStyle w:val="12"/>
      </w:pPr>
      <w:r w:rsidRPr="00A428C3">
        <w:t>ISO Abbreviated Title: Int. J. Miner. Process.</w:t>
      </w:r>
    </w:p>
    <w:p w:rsidR="00B95188" w:rsidRPr="00A428C3" w:rsidRDefault="00B95188" w:rsidP="00B72EF9">
      <w:pPr>
        <w:pStyle w:val="12"/>
      </w:pPr>
      <w:r w:rsidRPr="00A428C3">
        <w:t>JCR Abbreviated Title: Int J Miner Process</w:t>
      </w:r>
    </w:p>
    <w:p w:rsidR="00B95188" w:rsidRPr="00A428C3" w:rsidRDefault="00B95188" w:rsidP="00B72EF9">
      <w:pPr>
        <w:pStyle w:val="12"/>
      </w:pPr>
      <w:r w:rsidRPr="00A428C3">
        <w:t>ISSN: 0301-7516</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Multi-Language</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Engineering, Chemical: Impact Factor 0.553, 51/110</w:t>
      </w:r>
    </w:p>
    <w:p w:rsidR="00B95188" w:rsidRPr="00A428C3" w:rsidRDefault="00B95188" w:rsidP="00B72EF9">
      <w:pPr>
        <w:pStyle w:val="12"/>
      </w:pPr>
      <w:r w:rsidRPr="00A428C3">
        <w:t>Mineralogy Mining &amp; Mineral Processing: Impact Factor</w:t>
      </w:r>
    </w:p>
    <w:bookmarkEnd w:id="1409"/>
    <w:p w:rsidR="00B95188" w:rsidRPr="00A428C3" w:rsidRDefault="00B95188" w:rsidP="00B95188">
      <w:pPr>
        <w:pStyle w:val="a0"/>
      </w:pPr>
      <w:r w:rsidRPr="00A428C3">
        <w:t>Haung, H.H.</w:t>
      </w:r>
      <w:r w:rsidR="00F81221">
        <w:t xml:space="preserve"> and </w:t>
      </w:r>
      <w:r w:rsidRPr="00A428C3">
        <w:t>Miller, J.D. (1978), Kinetics</w:t>
      </w:r>
      <w:r w:rsidR="00F81221">
        <w:t xml:space="preserve"> and </w:t>
      </w:r>
      <w:r w:rsidRPr="00A428C3">
        <w:t>thermochemistry of amyl xanthate adsorption by pyrite</w:t>
      </w:r>
      <w:r w:rsidR="00F81221">
        <w:t xml:space="preserve"> and </w:t>
      </w:r>
      <w:r w:rsidRPr="00A428C3">
        <w:t xml:space="preserve">marcasite. </w:t>
      </w:r>
      <w:r w:rsidRPr="00A428C3">
        <w:rPr>
          <w:i/>
        </w:rPr>
        <w:t>International Journal of Mineral Processing</w:t>
      </w:r>
      <w:r w:rsidRPr="00A428C3">
        <w:t xml:space="preserve">, </w:t>
      </w:r>
      <w:r w:rsidRPr="00A428C3">
        <w:rPr>
          <w:b/>
        </w:rPr>
        <w:t>5</w:t>
      </w:r>
      <w:r w:rsidRPr="00A428C3">
        <w:t xml:space="preserve"> (3), 241-266.</w:t>
      </w:r>
    </w:p>
    <w:p w:rsidR="00B95188" w:rsidRPr="00A428C3" w:rsidRDefault="00B95188" w:rsidP="00B95188">
      <w:pPr>
        <w:pStyle w:val="a0"/>
      </w:pPr>
      <w:r w:rsidRPr="00A428C3">
        <w:t xml:space="preserve">Full Text: </w:t>
      </w:r>
      <w:hyperlink r:id="rId1974" w:history="1">
        <w:r w:rsidRPr="00A428C3">
          <w:rPr>
            <w:rStyle w:val="a5"/>
          </w:rPr>
          <w:t>I\Int J Min Pro5, 241.pdf</w:t>
        </w:r>
      </w:hyperlink>
    </w:p>
    <w:p w:rsidR="00B95188" w:rsidRPr="00A428C3" w:rsidRDefault="00B95188" w:rsidP="00B95188">
      <w:pPr>
        <w:pStyle w:val="a0"/>
      </w:pPr>
      <w:r w:rsidRPr="00A428C3">
        <w:t>Abstract: The kinetics</w:t>
      </w:r>
      <w:r w:rsidR="00F81221">
        <w:t xml:space="preserve"> and </w:t>
      </w:r>
      <w:r w:rsidRPr="00A428C3">
        <w:t>thermochemistry of the xanthate adsorption reaction on pyrite</w:t>
      </w:r>
      <w:r w:rsidR="00F81221">
        <w:t xml:space="preserve"> and </w:t>
      </w:r>
      <w:r w:rsidRPr="00A428C3">
        <w:t>marcasite were evaluated with respect to the existing theory. The rate of xanthate adsorption was studied in a stirred reactor</w:t>
      </w:r>
      <w:r w:rsidR="00F81221">
        <w:t xml:space="preserve"> and </w:t>
      </w:r>
      <w:r w:rsidRPr="00A428C3">
        <w:t>the xanthate concentration was determined by UV spectrophotometry as a function of time. The heat of the adsorption reaction was measured with a microcalorimeter. The results from both experiments indicate that xanthate adsorption by pyrite or marcasite involves the formation of dixanthogen by an electrochemical reaction at the solid surface which supports the conclusions of other investigators:</w:t>
      </w:r>
    </w:p>
    <w:p w:rsidR="00B95188" w:rsidRPr="00A428C3" w:rsidRDefault="00B95188" w:rsidP="00B95188">
      <w:pPr>
        <w:pStyle w:val="a0"/>
      </w:pPr>
      <w:r>
        <w:rPr>
          <w:noProof/>
          <w:position w:val="-24"/>
        </w:rPr>
        <w:drawing>
          <wp:inline distT="0" distB="0" distL="0" distR="0">
            <wp:extent cx="3395980" cy="381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5" cstate="print"/>
                    <a:srcRect/>
                    <a:stretch>
                      <a:fillRect/>
                    </a:stretch>
                  </pic:blipFill>
                  <pic:spPr bwMode="auto">
                    <a:xfrm>
                      <a:off x="0" y="0"/>
                      <a:ext cx="3395980" cy="381000"/>
                    </a:xfrm>
                    <a:prstGeom prst="rect">
                      <a:avLst/>
                    </a:prstGeom>
                    <a:noFill/>
                    <a:ln w="9525">
                      <a:noFill/>
                      <a:miter lim="800000"/>
                      <a:headEnd/>
                      <a:tailEnd/>
                    </a:ln>
                  </pic:spPr>
                </pic:pic>
              </a:graphicData>
            </a:graphic>
          </wp:inline>
        </w:drawing>
      </w:r>
    </w:p>
    <w:p w:rsidR="00B95188" w:rsidRPr="00A428C3" w:rsidRDefault="00B95188" w:rsidP="00B95188">
      <w:pPr>
        <w:pStyle w:val="a0"/>
      </w:pPr>
      <w:r w:rsidRPr="00A428C3">
        <w:t>The rate of the adsorption reaction was found to be approximately one-half order with respect to the xanthate concentration</w:t>
      </w:r>
      <w:r w:rsidR="00F81221">
        <w:t xml:space="preserve"> and </w:t>
      </w:r>
      <w:r w:rsidRPr="00A428C3">
        <w:t>to have an activation energy of 7.5 kcal/mole. Additionally, the rate was found to have a slight dependence on pH under certain conditions. In view of these results, it appears that the adsorption reaction is controlled by electrochemical discharge at the pyrite surface. Analysis of the data in terms of an electrochemical kinetic model successfully explained the observed rate phenomena.</w:t>
      </w:r>
    </w:p>
    <w:p w:rsidR="00B95188" w:rsidRPr="00A428C3" w:rsidRDefault="00B95188" w:rsidP="00B95188">
      <w:pPr>
        <w:pStyle w:val="a0"/>
      </w:pPr>
      <w:r w:rsidRPr="00A428C3">
        <w:t>The measured heat of the adsorption reaction at low pH was found to be between −63</w:t>
      </w:r>
      <w:r w:rsidR="00F81221">
        <w:t xml:space="preserve"> and </w:t>
      </w:r>
      <w:r w:rsidRPr="00A428C3">
        <w:t>−56 kcal/mole of adsorbed dixanthogen</w:t>
      </w:r>
      <w:r w:rsidR="00F81221">
        <w:t xml:space="preserve"> and </w:t>
      </w:r>
      <w:r w:rsidRPr="00A428C3">
        <w:t xml:space="preserve">independent of surface coverage. These experimental heats of adsorption agree with the value of −57 kcal/mole of </w:t>
      </w:r>
      <w:r w:rsidRPr="00A428C3">
        <w:lastRenderedPageBreak/>
        <w:t>dixanthogen calculated for the oxidation of xanthate by oxygen from thermodynamic data reported in the literature.</w:t>
      </w:r>
    </w:p>
    <w:p w:rsidR="00B95188" w:rsidRPr="00586CD8" w:rsidRDefault="00B95188" w:rsidP="00B95188">
      <w:pPr>
        <w:pStyle w:val="a0"/>
        <w:rPr>
          <w:kern w:val="2"/>
        </w:rPr>
      </w:pPr>
      <w:r w:rsidRPr="00586CD8">
        <w:rPr>
          <w:rFonts w:hint="eastAsia"/>
          <w:kern w:val="2"/>
        </w:rPr>
        <w:t xml:space="preserve">? </w:t>
      </w:r>
      <w:r w:rsidRPr="00586CD8">
        <w:rPr>
          <w:kern w:val="2"/>
        </w:rPr>
        <w:t>Afenya, P.M. (1982), Adsorption of xanthate</w:t>
      </w:r>
      <w:r w:rsidR="00F81221">
        <w:rPr>
          <w:kern w:val="2"/>
        </w:rPr>
        <w:t xml:space="preserve"> and </w:t>
      </w:r>
      <w:r w:rsidRPr="00586CD8">
        <w:rPr>
          <w:kern w:val="2"/>
        </w:rPr>
        <w:t xml:space="preserve">starch on synthetic graphite. </w:t>
      </w:r>
      <w:r>
        <w:rPr>
          <w:i/>
          <w:iCs/>
          <w:kern w:val="0"/>
        </w:rPr>
        <w:t>International Journal of Mineral Processing</w:t>
      </w:r>
      <w:r w:rsidRPr="00586CD8">
        <w:rPr>
          <w:kern w:val="2"/>
        </w:rPr>
        <w:t xml:space="preserve">, </w:t>
      </w:r>
      <w:r>
        <w:rPr>
          <w:b/>
          <w:bCs/>
          <w:kern w:val="0"/>
        </w:rPr>
        <w:t>9</w:t>
      </w:r>
      <w:r w:rsidRPr="00586CD8">
        <w:rPr>
          <w:kern w:val="2"/>
        </w:rPr>
        <w:t xml:space="preserve"> (4), 303-319</w:t>
      </w:r>
    </w:p>
    <w:p w:rsidR="00B95188" w:rsidRDefault="00B95188" w:rsidP="00B95188">
      <w:pPr>
        <w:pStyle w:val="a0"/>
      </w:pPr>
      <w:r w:rsidRPr="00A428C3">
        <w:t xml:space="preserve">Full Text: </w:t>
      </w:r>
      <w:hyperlink r:id="rId1976" w:history="1">
        <w:r w:rsidRPr="008D34F1">
          <w:rPr>
            <w:rStyle w:val="a5"/>
          </w:rPr>
          <w:t>1982\Int J Min Pro9, 303.pdf</w:t>
        </w:r>
      </w:hyperlink>
    </w:p>
    <w:p w:rsidR="00B95188" w:rsidRPr="002624FB" w:rsidRDefault="00B95188" w:rsidP="00B95188">
      <w:pPr>
        <w:pStyle w:val="a0"/>
      </w:pPr>
      <w:r>
        <w:rPr>
          <w:rFonts w:hint="eastAsia"/>
        </w:rPr>
        <w:t xml:space="preserve">Abstract: </w:t>
      </w:r>
      <w:r w:rsidRPr="002624FB">
        <w:t>In the processing of sulphide ores containing graphite, starch is occasionally employed for depressing graphite while xanthate is used as a sulphide collector. In such a system the adsorption of starch by graphite is also influenced by xanthate. In the present investigation the adsorption of xanthate</w:t>
      </w:r>
      <w:r w:rsidR="00F81221">
        <w:t xml:space="preserve"> and </w:t>
      </w:r>
      <w:r w:rsidRPr="002624FB">
        <w:t>starch at various values of pH</w:t>
      </w:r>
      <w:r w:rsidR="00F81221">
        <w:t xml:space="preserve"> and </w:t>
      </w:r>
      <w:r w:rsidRPr="002624FB">
        <w:t>adsorbate concentrations have been carried out. The results show that xanthate is hardly adsorbed in the xanthate-N</w:t>
      </w:r>
      <w:r w:rsidRPr="002624FB">
        <w:rPr>
          <w:vertAlign w:val="subscript"/>
        </w:rPr>
        <w:t>2</w:t>
      </w:r>
      <w:r w:rsidRPr="002624FB">
        <w:t xml:space="preserve"> system, but in the presence of oxygen it is catalytically oxidised to dixanthogen which adsorbs on graphite. Xanthate</w:t>
      </w:r>
      <w:r w:rsidR="00F81221">
        <w:t xml:space="preserve"> and </w:t>
      </w:r>
      <w:r w:rsidRPr="002624FB">
        <w:t>starch are partly adsorbed at the same or adjoining sites of graphite with starch being adsorbed faster than xanthate. The ability of starch to depress graphite is reduced in the xanthate-starch system.</w:t>
      </w:r>
    </w:p>
    <w:p w:rsidR="00B95188" w:rsidRPr="00586CD8" w:rsidRDefault="00B95188" w:rsidP="00B95188">
      <w:pPr>
        <w:pStyle w:val="a0"/>
        <w:rPr>
          <w:kern w:val="2"/>
        </w:rPr>
      </w:pPr>
      <w:r w:rsidRPr="00586CD8">
        <w:rPr>
          <w:kern w:val="2"/>
        </w:rPr>
        <w:t>Keywords: Adsorption</w:t>
      </w:r>
    </w:p>
    <w:p w:rsidR="00B95188" w:rsidRPr="00A428C3" w:rsidRDefault="00B95188" w:rsidP="00B95188">
      <w:pPr>
        <w:pStyle w:val="a0"/>
      </w:pPr>
      <w:r w:rsidRPr="00A428C3">
        <w:t>? Qi, L.</w:t>
      </w:r>
      <w:r w:rsidR="00F81221">
        <w:t xml:space="preserve"> and </w:t>
      </w:r>
      <w:r w:rsidRPr="00A428C3">
        <w:t xml:space="preserve">Laskowski, J.S. (1989), The role of metal-hydroxides at mineral surfaces in dextrin adsorption. 1. Studies on modified quartz samples. </w:t>
      </w:r>
      <w:r w:rsidRPr="00A428C3">
        <w:rPr>
          <w:i/>
          <w:iCs/>
        </w:rPr>
        <w:t>International Journal of Mineral Processing</w:t>
      </w:r>
      <w:r w:rsidRPr="00A428C3">
        <w:t xml:space="preserve">, </w:t>
      </w:r>
      <w:r w:rsidRPr="00A428C3">
        <w:rPr>
          <w:b/>
        </w:rPr>
        <w:t>26</w:t>
      </w:r>
      <w:r w:rsidRPr="00A428C3">
        <w:t xml:space="preserve"> (3-4), 297-316</w:t>
      </w:r>
    </w:p>
    <w:p w:rsidR="00B95188" w:rsidRPr="00A428C3" w:rsidRDefault="00B95188" w:rsidP="00B95188">
      <w:pPr>
        <w:pStyle w:val="a0"/>
      </w:pPr>
      <w:r w:rsidRPr="00A428C3">
        <w:t xml:space="preserve">Full Text: </w:t>
      </w:r>
      <w:hyperlink r:id="rId1977" w:history="1">
        <w:r w:rsidRPr="00A428C3">
          <w:rPr>
            <w:rStyle w:val="a5"/>
          </w:rPr>
          <w:t>1989\Int J Min Pro26, 297.pdf</w:t>
        </w:r>
      </w:hyperlink>
    </w:p>
    <w:p w:rsidR="00B95188" w:rsidRPr="00A428C3" w:rsidRDefault="00B95188" w:rsidP="00B95188">
      <w:pPr>
        <w:pStyle w:val="a0"/>
      </w:pPr>
      <w:r w:rsidRPr="00A428C3">
        <w:t>Abstract: In order to investigate the interaction mechanisms between dextrin</w:t>
      </w:r>
      <w:r w:rsidR="00F81221">
        <w:t xml:space="preserve"> and </w:t>
      </w:r>
      <w:r w:rsidRPr="00A428C3">
        <w:t>mineral surfaces, the floatability, wettability</w:t>
      </w:r>
      <w:r w:rsidR="00F81221">
        <w:t xml:space="preserve"> and </w:t>
      </w:r>
      <w:r w:rsidRPr="00A428C3">
        <w:t>adsorption tests were conducted on quartz samples. The quartz samples were either made hydrophobic by methylation, or lead-coated, or subjected to both forms of surface modifications. In sharp contrast to the published results, it was observed that surface hydrophobicity does not contribute significantly to the adsorption of dextrin. The adsorption, however, depends critically on the presence of metal ionic species on solid surfaces</w:t>
      </w:r>
      <w:r w:rsidR="00F81221">
        <w:t xml:space="preserve"> and </w:t>
      </w:r>
      <w:r w:rsidRPr="00A428C3">
        <w:t>seems to result from the chemical interaction between dextrin</w:t>
      </w:r>
      <w:r w:rsidR="00F81221">
        <w:t xml:space="preserve"> and </w:t>
      </w:r>
      <w:r w:rsidRPr="00A428C3">
        <w:t>the surface metal hydroxide groups.</w:t>
      </w:r>
    </w:p>
    <w:p w:rsidR="00B95188" w:rsidRPr="00A428C3" w:rsidRDefault="00B95188" w:rsidP="00B95188">
      <w:pPr>
        <w:pStyle w:val="a0"/>
      </w:pPr>
      <w:r w:rsidRPr="00A428C3">
        <w:t>Popov, S.R.</w:t>
      </w:r>
      <w:r w:rsidR="00F81221">
        <w:t xml:space="preserve"> and </w:t>
      </w:r>
      <w:r w:rsidRPr="00A428C3">
        <w:t>Vučinić, D.R. (1992), The effect of prolonged agitation in lead ion solution on ethylxanthate adsorption</w:t>
      </w:r>
      <w:r w:rsidR="00F81221">
        <w:t xml:space="preserve"> and </w:t>
      </w:r>
      <w:r w:rsidRPr="00A428C3">
        <w:t xml:space="preserve">surface characteristics of cerussite. </w:t>
      </w:r>
      <w:r w:rsidRPr="00A428C3">
        <w:rPr>
          <w:i/>
        </w:rPr>
        <w:t>International Journal of Mineral Processing</w:t>
      </w:r>
      <w:r w:rsidRPr="00A428C3">
        <w:t xml:space="preserve">, </w:t>
      </w:r>
      <w:r w:rsidRPr="00A428C3">
        <w:rPr>
          <w:b/>
        </w:rPr>
        <w:t>35</w:t>
      </w:r>
      <w:r w:rsidRPr="00A428C3">
        <w:t xml:space="preserve"> (1-2), 85-100.</w:t>
      </w:r>
    </w:p>
    <w:p w:rsidR="00B95188" w:rsidRPr="00A428C3" w:rsidRDefault="00B95188" w:rsidP="00B95188">
      <w:pPr>
        <w:pStyle w:val="a0"/>
      </w:pPr>
      <w:r w:rsidRPr="00A428C3">
        <w:t xml:space="preserve">Full Text: </w:t>
      </w:r>
      <w:hyperlink r:id="rId1978" w:history="1">
        <w:r w:rsidRPr="00A428C3">
          <w:rPr>
            <w:rStyle w:val="a5"/>
          </w:rPr>
          <w:t>I\Int J Min Pro35, 85.pdf</w:t>
        </w:r>
      </w:hyperlink>
    </w:p>
    <w:p w:rsidR="00B95188" w:rsidRPr="00A428C3" w:rsidRDefault="00B95188" w:rsidP="00B95188">
      <w:pPr>
        <w:pStyle w:val="a0"/>
      </w:pPr>
      <w:r w:rsidRPr="00A428C3">
        <w:t>Abstract: Surface characteristics of cerussite, after adsorption of ethylxanthate on cerussite previously treated with distilled water or lead-ion solution for a determined time, were studied using Hallimond tube flotation technique, electrokinetic measurements,</w:t>
      </w:r>
      <w:r w:rsidR="00F81221">
        <w:t xml:space="preserve"> and </w:t>
      </w:r>
      <w:r w:rsidRPr="00A428C3">
        <w:t>IR data.</w:t>
      </w:r>
    </w:p>
    <w:p w:rsidR="00B95188" w:rsidRPr="00A428C3" w:rsidRDefault="00B95188" w:rsidP="00B95188">
      <w:pPr>
        <w:pStyle w:val="a0"/>
      </w:pPr>
      <w:r w:rsidRPr="00A428C3">
        <w:t>A prolonged agitation improved the cerussite flotation within the pH range in which Pb</w:t>
      </w:r>
      <w:r w:rsidRPr="00A428C3">
        <w:rPr>
          <w:vertAlign w:val="superscript"/>
        </w:rPr>
        <w:t>2+</w:t>
      </w:r>
      <w:r w:rsidR="00F81221">
        <w:t xml:space="preserve"> and </w:t>
      </w:r>
      <w:r w:rsidRPr="00A428C3">
        <w:t>Pb(OH)</w:t>
      </w:r>
      <w:r w:rsidRPr="00A428C3">
        <w:rPr>
          <w:vertAlign w:val="superscript"/>
        </w:rPr>
        <w:t>+</w:t>
      </w:r>
      <w:r w:rsidRPr="00A428C3">
        <w:t xml:space="preserve"> were the dominant species in the solution. The readsorption of </w:t>
      </w:r>
      <w:r w:rsidRPr="00A428C3">
        <w:lastRenderedPageBreak/>
        <w:t>lead</w:t>
      </w:r>
      <w:r w:rsidR="00F81221">
        <w:t xml:space="preserve"> and </w:t>
      </w:r>
      <w:r w:rsidRPr="00A428C3">
        <w:t>hydrolyzed lead ion species on the mineral surface led to a better KEX adsorption</w:t>
      </w:r>
      <w:r w:rsidR="00F81221">
        <w:t xml:space="preserve"> and </w:t>
      </w:r>
      <w:r w:rsidRPr="00A428C3">
        <w:t>a better floatability of cerussite.</w:t>
      </w:r>
    </w:p>
    <w:p w:rsidR="00B95188" w:rsidRPr="00A428C3" w:rsidRDefault="00B95188" w:rsidP="00B95188">
      <w:pPr>
        <w:pStyle w:val="a0"/>
      </w:pPr>
      <w:r w:rsidRPr="00A428C3">
        <w:t>Additional Pb</w:t>
      </w:r>
      <w:r w:rsidRPr="00A428C3">
        <w:rPr>
          <w:vertAlign w:val="superscript"/>
        </w:rPr>
        <w:t>2+</w:t>
      </w:r>
      <w:r w:rsidRPr="00A428C3">
        <w:t xml:space="preserve"> ions gave a better effect than the presence of only Pb</w:t>
      </w:r>
      <w:r w:rsidRPr="00A428C3">
        <w:rPr>
          <w:vertAlign w:val="superscript"/>
        </w:rPr>
        <w:t>2+</w:t>
      </w:r>
      <w:r w:rsidRPr="00A428C3">
        <w:t xml:space="preserve"> from the mineral lattice. There were optimum time intervals for the best cerussite flotation. The nonstoichiometric lead xanthate was necessary for the improvement of cerussite flotation.</w:t>
      </w:r>
    </w:p>
    <w:p w:rsidR="00B95188" w:rsidRPr="00A428C3" w:rsidRDefault="00B95188" w:rsidP="00B95188">
      <w:pPr>
        <w:pStyle w:val="a0"/>
      </w:pPr>
      <w:r w:rsidRPr="00A428C3">
        <w:t xml:space="preserve">? Grano, S.R., Cnossen, H., Skinner, W., </w:t>
      </w:r>
      <w:smartTag w:uri="urn:schemas-microsoft-com:office:smarttags" w:element="City">
        <w:r w:rsidRPr="00A428C3">
          <w:t>Prestidge</w:t>
        </w:r>
      </w:smartTag>
      <w:r w:rsidRPr="00A428C3">
        <w:t>, C.A.</w:t>
      </w:r>
      <w:r w:rsidR="00F81221">
        <w:t xml:space="preserve"> and </w:t>
      </w:r>
      <w:r w:rsidRPr="00A428C3">
        <w:t xml:space="preserve">Ralston, J. (1997), Surface modifications in the chalcopyrite-sulphite ion system. 2. Dithiophosphate collector adsorption study. </w:t>
      </w:r>
      <w:r w:rsidRPr="00A428C3">
        <w:rPr>
          <w:i/>
          <w:iCs/>
        </w:rPr>
        <w:t>International Journal of Mineral Processing</w:t>
      </w:r>
      <w:r w:rsidRPr="00A428C3">
        <w:t xml:space="preserve">, </w:t>
      </w:r>
      <w:r w:rsidRPr="00A428C3">
        <w:rPr>
          <w:b/>
        </w:rPr>
        <w:t>50</w:t>
      </w:r>
      <w:r w:rsidRPr="00A428C3">
        <w:t xml:space="preserve"> (1-2), 27-45.</w:t>
      </w:r>
    </w:p>
    <w:p w:rsidR="00B95188" w:rsidRPr="00A428C3" w:rsidRDefault="00B95188" w:rsidP="00B95188">
      <w:pPr>
        <w:pStyle w:val="a0"/>
      </w:pPr>
      <w:r w:rsidRPr="00A428C3">
        <w:t xml:space="preserve">Full Text: </w:t>
      </w:r>
      <w:hyperlink r:id="rId1979" w:history="1">
        <w:r w:rsidRPr="00A428C3">
          <w:rPr>
            <w:rStyle w:val="a5"/>
          </w:rPr>
          <w:t>1997\Int J Min Pro50, 27.pdf</w:t>
        </w:r>
      </w:hyperlink>
    </w:p>
    <w:p w:rsidR="00B95188" w:rsidRPr="00A428C3" w:rsidRDefault="00B95188" w:rsidP="00B95188">
      <w:pPr>
        <w:pStyle w:val="a0"/>
      </w:pPr>
      <w:r w:rsidRPr="00A428C3">
        <w:t>Abstract: The effect of sulphite</w:t>
      </w:r>
      <w:r w:rsidR="00F81221">
        <w:t xml:space="preserve"> and </w:t>
      </w:r>
      <w:r w:rsidRPr="00A428C3">
        <w:t>ferric species on the collector-induced flotation of chalcopyrite has been studied, while the effect of these species on the rate of dicresyl dithiophosphate (DCDTP) adsorption has been monitored in situ using UV spectroscopy. Chalcopyrite, which had been previously conditioned with Fe(III) species, exhibited decreased affinity for DCDTP adsorption. Under these conditions, the flotation rate</w:t>
      </w:r>
      <w:r w:rsidR="00F81221">
        <w:t xml:space="preserve"> and </w:t>
      </w:r>
      <w:r w:rsidRPr="00A428C3">
        <w:t>recovery of chalcopyrite was reduced. The extent of flotation depression by iron oxyhydroxide depended on pH, conditioning gas,</w:t>
      </w:r>
      <w:r w:rsidR="00F81221">
        <w:t xml:space="preserve"> and </w:t>
      </w:r>
      <w:r w:rsidRPr="00A428C3">
        <w:t>the presence of adsorbed collector on chalcopyrite. Prior interaction of the chalcopyrite surface with sulphite significantly increased both the adsorption rate as well as the surface coverage of DCDTP on chalcopyrite. Sulphite removes adsorbed iron oxyhydroxide, present due to its specific introduction or oxidation of chalcopyrite, from the chalcopyrite surface</w:t>
      </w:r>
      <w:r w:rsidR="00F81221">
        <w:t xml:space="preserve"> and </w:t>
      </w:r>
      <w:r w:rsidRPr="00A428C3">
        <w:t>promotes the formation of an iron-deficient chalcopyrite. The rate of DCDTP adsorption onto chalcopyrite was increased due to both removal of iron oxyhydroxide previously existing on the chalcopyrite surface</w:t>
      </w:r>
      <w:r w:rsidR="00F81221">
        <w:t xml:space="preserve"> and </w:t>
      </w:r>
      <w:r w:rsidRPr="00A428C3">
        <w:t>the formation of an iron-deficient chalcopyrite. Under these conditions, the flotation rate</w:t>
      </w:r>
      <w:r w:rsidR="00F81221">
        <w:t xml:space="preserve"> and </w:t>
      </w:r>
      <w:r w:rsidRPr="00A428C3">
        <w:t>recovery of chalcopyrite was increased. Reasons why the surface modified chalcopyrite exhibited enhanced DCDTP adsorption are discussed.</w:t>
      </w:r>
    </w:p>
    <w:p w:rsidR="00B95188" w:rsidRPr="00A428C3" w:rsidRDefault="00B95188" w:rsidP="00B95188">
      <w:pPr>
        <w:pStyle w:val="a0"/>
      </w:pPr>
      <w:r w:rsidRPr="00A428C3">
        <w:t>Keywords: Adsorption, Adsorption Rate, Chalcocite, Chalcopyrite, Collector Adsorption, Conditioning, Depression, Dithiophosphate, Ethyl Xanthate, Flotation, In Situ, Interaction, Ion, Iron, Modified, Oxidation, pH, Pyrite, Recovery, Spectroscopy, Sulfide, Sulphide Flotation, Sulphite, Surface, UV</w:t>
      </w:r>
    </w:p>
    <w:p w:rsidR="00B95188" w:rsidRPr="00A428C3" w:rsidRDefault="00B95188" w:rsidP="00B95188">
      <w:pPr>
        <w:pStyle w:val="a0"/>
      </w:pPr>
      <w:r w:rsidRPr="00A428C3">
        <w:t xml:space="preserve">? Grano, S.R., </w:t>
      </w:r>
      <w:smartTag w:uri="urn:schemas-microsoft-com:office:smarttags" w:element="City">
        <w:r w:rsidRPr="00A428C3">
          <w:t>Prestidge</w:t>
        </w:r>
      </w:smartTag>
      <w:r w:rsidRPr="00A428C3">
        <w:t>, C.A.</w:t>
      </w:r>
      <w:r w:rsidR="00F81221">
        <w:t xml:space="preserve"> and </w:t>
      </w:r>
      <w:r w:rsidRPr="00A428C3">
        <w:t>Ralston, J. (1997), Sulphite modification of galena surfaces</w:t>
      </w:r>
      <w:r w:rsidR="00F81221">
        <w:t xml:space="preserve"> and </w:t>
      </w:r>
      <w:r w:rsidRPr="00A428C3">
        <w:t>its effect on flotation</w:t>
      </w:r>
      <w:r w:rsidR="00F81221">
        <w:t xml:space="preserve"> and </w:t>
      </w:r>
      <w:r w:rsidRPr="00A428C3">
        <w:t xml:space="preserve">xanthate adsorption. </w:t>
      </w:r>
      <w:r w:rsidRPr="00A428C3">
        <w:rPr>
          <w:i/>
          <w:iCs/>
        </w:rPr>
        <w:t>International Journal of Mineral Processing</w:t>
      </w:r>
      <w:r w:rsidRPr="00A428C3">
        <w:t xml:space="preserve">, </w:t>
      </w:r>
      <w:r w:rsidRPr="00A428C3">
        <w:rPr>
          <w:b/>
        </w:rPr>
        <w:t>52</w:t>
      </w:r>
      <w:r w:rsidRPr="00A428C3">
        <w:t xml:space="preserve"> (1), 1-29.</w:t>
      </w:r>
    </w:p>
    <w:p w:rsidR="00B95188" w:rsidRPr="00A428C3" w:rsidRDefault="00B95188" w:rsidP="00B95188">
      <w:pPr>
        <w:pStyle w:val="a0"/>
      </w:pPr>
      <w:r w:rsidRPr="00A428C3">
        <w:t xml:space="preserve">Full Text: </w:t>
      </w:r>
      <w:hyperlink r:id="rId1980" w:history="1">
        <w:r w:rsidRPr="00A428C3">
          <w:rPr>
            <w:rStyle w:val="a5"/>
          </w:rPr>
          <w:t>1997\Int J Min Pro52, 1.pdf</w:t>
        </w:r>
      </w:hyperlink>
    </w:p>
    <w:p w:rsidR="00B95188" w:rsidRPr="00A428C3" w:rsidRDefault="00B95188" w:rsidP="00B95188">
      <w:pPr>
        <w:pStyle w:val="a0"/>
      </w:pPr>
      <w:r w:rsidRPr="00A428C3">
        <w:t>Abstract: The effect of sulphite interaction with galena on the mechanism of ethyl xanthate adsorption onto galena surfaces has been studied in situ using UV spectroscopy. The influence of sulphite on galena flotation has been studied. X-ray photoelectron spectroscopic (XPS)</w:t>
      </w:r>
      <w:r w:rsidR="00F81221">
        <w:t xml:space="preserve"> and </w:t>
      </w:r>
      <w:r w:rsidRPr="00A428C3">
        <w:t xml:space="preserve">dissolution studies have been used to identify </w:t>
      </w:r>
      <w:r w:rsidRPr="00A428C3">
        <w:lastRenderedPageBreak/>
        <w:t>the mechanism of interaction between sulphite</w:t>
      </w:r>
      <w:r w:rsidR="00F81221">
        <w:t xml:space="preserve"> and </w:t>
      </w:r>
      <w:r w:rsidRPr="00A428C3">
        <w:t>galena surfaces. Metastable ethyl monothiocarbonate is a significant derivative of ethyl xanthate adsorption on galena in the absence of sulphite. The concentration of surface sites which produce monothiocarbonate increases with the initial state of galena oxidation, which, is in turn, apparently dependent upon galena preconditioning time, temperature</w:t>
      </w:r>
      <w:r w:rsidR="00F81221">
        <w:t xml:space="preserve"> and </w:t>
      </w:r>
      <w:r w:rsidRPr="00A428C3">
        <w:t xml:space="preserve">oxygen concentration. Significantly different ethyl xanthate adsorption characteristics were found, after sulphite conditioning of the galena surface. In this case, ethyl xanthate adsorption rate was significantly reduced, as was the formation of monothiocarbonate. Surface complexation of lead hydroxide by adsorbed sulphite decreases the rate of ethyl xanthate adsorption onto sites which, potentially, can produce monothiocarbonate. </w:t>
      </w:r>
      <w:smartTag w:uri="urn:schemas-microsoft-com:office:smarttags" w:element="place">
        <w:smartTag w:uri="urn:schemas-microsoft-com:office:smarttags" w:element="City">
          <w:r w:rsidRPr="00A428C3">
            <w:t>Galena</w:t>
          </w:r>
        </w:smartTag>
      </w:smartTag>
      <w:r w:rsidRPr="00A428C3">
        <w:t xml:space="preserve"> dissolution studies</w:t>
      </w:r>
      <w:r w:rsidR="00F81221">
        <w:t xml:space="preserve"> and </w:t>
      </w:r>
      <w:r w:rsidRPr="00A428C3">
        <w:t>XPS examination of the galena surfaces together, confirmed the formation of insoluble lead sulphite precipitates at the galena surface. The effectiveness of sulphite depression of galena flotation is enhanced by adsorbed lead hydrolysis products on galena. (C) 1997 Elsevier Science B.V.</w:t>
      </w:r>
    </w:p>
    <w:p w:rsidR="00B95188" w:rsidRPr="00A428C3" w:rsidRDefault="00B95188" w:rsidP="00B95188">
      <w:pPr>
        <w:pStyle w:val="a0"/>
      </w:pPr>
      <w:r w:rsidRPr="00A428C3">
        <w:t>Keywords: Adsorption, Adsorption Rate, Amylxanthate, Complexation, Concentration, Conditioning, Depressants, Depression, Dissolution, Effectiveness, Ethyl Xanthate, Flotation, Hydrolysis, In Situ, Interaction, Kinetics, Lead, Mechanism, Modification, Oxidation, Oxygen, Oxygen Concentration, Products, Sites, Spectroscopy, Sulfide, Sulphide Minerals, Surface, Surfaces, Temperature, UV, Xanthate, XPS</w:t>
      </w:r>
    </w:p>
    <w:p w:rsidR="00B95188" w:rsidRPr="00A428C3" w:rsidRDefault="00B95188" w:rsidP="00B95188">
      <w:pPr>
        <w:pStyle w:val="a0"/>
      </w:pPr>
      <w:r w:rsidRPr="00A428C3">
        <w:t>Sekhar, K.C., Subramanian, S., Modak, J.M.</w:t>
      </w:r>
      <w:r w:rsidR="00F81221">
        <w:t xml:space="preserve"> and </w:t>
      </w:r>
      <w:r w:rsidRPr="00A428C3">
        <w:t xml:space="preserve">Natarajan, K.A. (1998), Removal of metal ions using an industrial biomass with reference to environmental control. </w:t>
      </w:r>
      <w:r w:rsidRPr="00A428C3">
        <w:rPr>
          <w:i/>
        </w:rPr>
        <w:t>International Journal of Mineral Processing</w:t>
      </w:r>
      <w:r w:rsidRPr="00A428C3">
        <w:t xml:space="preserve">, </w:t>
      </w:r>
      <w:r w:rsidRPr="00A428C3">
        <w:rPr>
          <w:b/>
        </w:rPr>
        <w:t>53</w:t>
      </w:r>
      <w:r w:rsidRPr="00A428C3">
        <w:t xml:space="preserve"> (1-2), 107-120.</w:t>
      </w:r>
    </w:p>
    <w:p w:rsidR="00B95188" w:rsidRPr="00A428C3" w:rsidRDefault="00B95188" w:rsidP="00B95188">
      <w:pPr>
        <w:pStyle w:val="a0"/>
      </w:pPr>
      <w:r w:rsidRPr="00A428C3">
        <w:t xml:space="preserve">Full Text: </w:t>
      </w:r>
      <w:hyperlink r:id="rId1981" w:history="1">
        <w:r w:rsidRPr="00A428C3">
          <w:rPr>
            <w:rStyle w:val="a5"/>
          </w:rPr>
          <w:t>I\Int J Min Pro53, 107.pdf</w:t>
        </w:r>
      </w:hyperlink>
    </w:p>
    <w:p w:rsidR="00B95188" w:rsidRPr="00A428C3" w:rsidRDefault="00B95188" w:rsidP="00B95188">
      <w:pPr>
        <w:pStyle w:val="a0"/>
      </w:pPr>
      <w:r w:rsidRPr="00A428C3">
        <w:t>Abstract: The utility of a waste, dead fungal biomass in the removal of various metal ions such as calcium, iron, nickel</w:t>
      </w:r>
      <w:r w:rsidR="00F81221">
        <w:t xml:space="preserve"> and </w:t>
      </w:r>
      <w:r w:rsidRPr="00A428C3">
        <w:t>chromium when present individually</w:t>
      </w:r>
      <w:r w:rsidR="00F81221">
        <w:t xml:space="preserve"> and </w:t>
      </w:r>
      <w:r w:rsidRPr="00A428C3">
        <w:t>in possible combinations has been demonstrated. Although the tests were carried out using synthetic solutions of varying pH</w:t>
      </w:r>
      <w:r w:rsidR="00F81221">
        <w:t xml:space="preserve"> and </w:t>
      </w:r>
      <w:r w:rsidRPr="00A428C3">
        <w:t>metal ion concentrations, the results are representative of typical waste effluents emanating from leather, paper, paint</w:t>
      </w:r>
      <w:r w:rsidR="00F81221">
        <w:t xml:space="preserve"> and </w:t>
      </w:r>
      <w:r w:rsidRPr="00A428C3">
        <w:t>mineral processing industries as well as electroplating circuits. The maximum metal uptake was found to be dependent on solution pH (4-5 for Fe, 4-7 for Ca, 6-7 for Ni</w:t>
      </w:r>
      <w:r w:rsidR="00F81221">
        <w:t xml:space="preserve"> and </w:t>
      </w:r>
      <w:r w:rsidRPr="00A428C3">
        <w:t>6 for Cr)</w:t>
      </w:r>
      <w:r w:rsidR="00F81221">
        <w:t xml:space="preserve"> and </w:t>
      </w:r>
      <w:r w:rsidRPr="00A428C3">
        <w:t xml:space="preserve">increased with biomass loading up to </w:t>
      </w:r>
      <w:smartTag w:uri="urn:schemas-microsoft-com:office:smarttags" w:element="chmetcnv">
        <w:smartTagPr>
          <w:attr w:name="UnitName" w:val="g"/>
          <w:attr w:name="SourceValue" w:val="10"/>
          <w:attr w:name="HasSpace" w:val="True"/>
          <w:attr w:name="Negative" w:val="False"/>
          <w:attr w:name="NumberType" w:val="1"/>
          <w:attr w:name="TCSC" w:val="0"/>
        </w:smartTagPr>
        <w:r w:rsidRPr="00A428C3">
          <w:t>10 g</w:t>
        </w:r>
      </w:smartTag>
      <w:r w:rsidRPr="00A428C3">
        <w:t>/l. The adsorption densities for various metal ions could be arranged as Ca &gt; Cr(III) &gt; Ni &gt; Fe &gt; Cr(VI). The presence of co-ions in binary, ternary</w:t>
      </w:r>
      <w:r w:rsidR="00F81221">
        <w:t xml:space="preserve"> and </w:t>
      </w:r>
      <w:r w:rsidRPr="00A428C3">
        <w:t>quarternary combinations decreased the metal uptake; the Ni uptake being most significantly affected while that of Cr(VI) the least. Possible mechanisms of metal ions removal are outlined along with a flow sheet for potential industrial application. (C) 1998 Elsevier Science B.V.</w:t>
      </w:r>
    </w:p>
    <w:p w:rsidR="00B95188" w:rsidRPr="00A428C3" w:rsidRDefault="00B95188" w:rsidP="00B95188">
      <w:pPr>
        <w:pStyle w:val="a0"/>
      </w:pPr>
      <w:r w:rsidRPr="00A428C3">
        <w:t xml:space="preserve">Keywords: </w:t>
      </w:r>
      <w:r w:rsidRPr="00A428C3">
        <w:rPr>
          <w:i/>
          <w:iCs/>
        </w:rPr>
        <w:t>Saccharomyces-Cerevisiae</w:t>
      </w:r>
      <w:r w:rsidRPr="00A428C3">
        <w:t xml:space="preserve">, </w:t>
      </w:r>
      <w:r w:rsidRPr="00A428C3">
        <w:rPr>
          <w:i/>
        </w:rPr>
        <w:t>Bacillus-Subtilis</w:t>
      </w:r>
      <w:r w:rsidRPr="00A428C3">
        <w:t xml:space="preserve">, </w:t>
      </w:r>
      <w:r w:rsidRPr="00A428C3">
        <w:rPr>
          <w:i/>
          <w:iCs/>
        </w:rPr>
        <w:t>Rhizopus-arrhizus</w:t>
      </w:r>
      <w:r w:rsidRPr="00A428C3">
        <w:t xml:space="preserve">, Fungal Biomass, Cell-Wall, Biosorption, Accumulation, Adsorption, Copper, Zinc, Waste </w:t>
      </w:r>
      <w:r w:rsidRPr="00A428C3">
        <w:lastRenderedPageBreak/>
        <w:t>Fungal Biomass, Calcium, Iron, Nickel, Chromium, Biosorption</w:t>
      </w:r>
    </w:p>
    <w:p w:rsidR="00B95188" w:rsidRPr="00A428C3" w:rsidRDefault="00B95188" w:rsidP="00B95188">
      <w:pPr>
        <w:pStyle w:val="a0"/>
      </w:pPr>
      <w:r w:rsidRPr="00A428C3">
        <w:t>Schneider, I.A.H., Rubio, J.</w:t>
      </w:r>
      <w:r w:rsidR="00F81221">
        <w:t xml:space="preserve"> and </w:t>
      </w:r>
      <w:r w:rsidRPr="00A428C3">
        <w:t xml:space="preserve">Smith, R.W. (2001), Biosorption of metals onto plant biomass: Exchange adsorption or surface precipitation? </w:t>
      </w:r>
      <w:r w:rsidRPr="00A428C3">
        <w:rPr>
          <w:i/>
        </w:rPr>
        <w:t>International Journal of Mineral Processing</w:t>
      </w:r>
      <w:r w:rsidRPr="00A428C3">
        <w:t xml:space="preserve">, </w:t>
      </w:r>
      <w:r w:rsidRPr="00A428C3">
        <w:rPr>
          <w:b/>
        </w:rPr>
        <w:t>62</w:t>
      </w:r>
      <w:r w:rsidRPr="00A428C3">
        <w:t xml:space="preserve"> (1-4), 111-120.</w:t>
      </w:r>
    </w:p>
    <w:p w:rsidR="00B95188" w:rsidRPr="00A428C3" w:rsidRDefault="00B95188" w:rsidP="00B95188">
      <w:pPr>
        <w:pStyle w:val="a0"/>
      </w:pPr>
      <w:r w:rsidRPr="00A428C3">
        <w:t xml:space="preserve">Full Text: </w:t>
      </w:r>
      <w:hyperlink r:id="rId1982" w:history="1">
        <w:r w:rsidRPr="00A428C3">
          <w:rPr>
            <w:rStyle w:val="a5"/>
          </w:rPr>
          <w:t>I\Int J Min Pro62, 111.pdf</w:t>
        </w:r>
      </w:hyperlink>
    </w:p>
    <w:p w:rsidR="00B95188" w:rsidRPr="00A428C3" w:rsidRDefault="00B95188" w:rsidP="00B95188">
      <w:pPr>
        <w:pStyle w:val="a0"/>
      </w:pPr>
      <w:r w:rsidRPr="00A428C3">
        <w:t>Abstract: Heavy metal ions readily adsorb onto the nonliving biomass of many aquaphytes. Further, in many cases the metal ions can be readily desorbed from the biomass by use of a suitable eluting agent. It has been shown in certain cases, at least, that the biomass can be subjected to a number of loading</w:t>
      </w:r>
      <w:r w:rsidR="00F81221">
        <w:t xml:space="preserve"> and </w:t>
      </w:r>
      <w:r w:rsidRPr="00A428C3">
        <w:t>elution cycles without the biomass losing its adsorption capacity. It has been widely reported that the adsorption is through a specific ion exchange mechanism</w:t>
      </w:r>
      <w:r w:rsidR="00F81221">
        <w:t xml:space="preserve"> and </w:t>
      </w:r>
      <w:r w:rsidRPr="00A428C3">
        <w:t>a number of researchers have shown experimental evidence supporting such a mechanism. However, there is also evidence that the adsorption is through simple surface precipitation of metal hydroxide species. The present study examines some of the existing data on adsorption of metal ions onto aquaphyte biomass</w:t>
      </w:r>
      <w:r w:rsidR="00F81221">
        <w:t xml:space="preserve"> and </w:t>
      </w:r>
      <w:r w:rsidRPr="00A428C3">
        <w:t>attempts to evaluate which mechanism is the more likely.</w:t>
      </w:r>
    </w:p>
    <w:p w:rsidR="00B95188" w:rsidRPr="00A428C3" w:rsidRDefault="00B95188" w:rsidP="00B95188">
      <w:pPr>
        <w:pStyle w:val="a0"/>
      </w:pPr>
      <w:r w:rsidRPr="00A428C3">
        <w:t>Keywords: Aquaphyte, Adsorption, Precipitation, Heavy Metals</w:t>
      </w:r>
    </w:p>
    <w:p w:rsidR="00B95188" w:rsidRPr="00A428C3" w:rsidRDefault="00B95188" w:rsidP="00B95188">
      <w:pPr>
        <w:pStyle w:val="a0"/>
      </w:pPr>
      <w:r w:rsidRPr="00A428C3">
        <w:t>Chandra Sekhar, K., Kamala, C.T., Chary, N.S.</w:t>
      </w:r>
      <w:r w:rsidR="00F81221">
        <w:t xml:space="preserve"> and </w:t>
      </w:r>
      <w:r w:rsidRPr="00A428C3">
        <w:t xml:space="preserve">Anjaneyulu, Y. (2003), Removal of heavy metals using a plant biomass with reference to environmental control. </w:t>
      </w:r>
      <w:r w:rsidRPr="00A428C3">
        <w:rPr>
          <w:i/>
        </w:rPr>
        <w:t>International Journal of Mineral Processing</w:t>
      </w:r>
      <w:r w:rsidRPr="00A428C3">
        <w:t xml:space="preserve">, </w:t>
      </w:r>
      <w:r w:rsidRPr="00A428C3">
        <w:rPr>
          <w:b/>
        </w:rPr>
        <w:t>68</w:t>
      </w:r>
      <w:r w:rsidRPr="00A428C3">
        <w:t xml:space="preserve"> (1-4), 37-45.</w:t>
      </w:r>
    </w:p>
    <w:p w:rsidR="00B95188" w:rsidRPr="00A428C3" w:rsidRDefault="00B95188" w:rsidP="00B95188">
      <w:pPr>
        <w:pStyle w:val="a0"/>
      </w:pPr>
      <w:r w:rsidRPr="00A428C3">
        <w:t xml:space="preserve">Full Text: </w:t>
      </w:r>
      <w:hyperlink r:id="rId1983" w:history="1">
        <w:r w:rsidRPr="00A428C3">
          <w:rPr>
            <w:rStyle w:val="a5"/>
          </w:rPr>
          <w:t>I\Int J Min Pro68, 37.pdf</w:t>
        </w:r>
      </w:hyperlink>
    </w:p>
    <w:p w:rsidR="00B95188" w:rsidRPr="00A428C3" w:rsidRDefault="00B95188" w:rsidP="00B95188">
      <w:pPr>
        <w:pStyle w:val="a0"/>
      </w:pPr>
      <w:r w:rsidRPr="00A428C3">
        <w:t>Abstract: Heavy metal pollution has become one of the most serious problems today,</w:t>
      </w:r>
      <w:r w:rsidR="00F81221">
        <w:t xml:space="preserve"> and </w:t>
      </w:r>
      <w:r w:rsidRPr="00A428C3">
        <w:t>the use of microbial</w:t>
      </w:r>
      <w:r w:rsidR="00F81221">
        <w:t xml:space="preserve"> and </w:t>
      </w:r>
      <w:r w:rsidRPr="00A428C3">
        <w:t>plant biomass for the detoxification of industrial effluents for environmental protection</w:t>
      </w:r>
      <w:r w:rsidR="00F81221">
        <w:t xml:space="preserve"> and </w:t>
      </w:r>
      <w:r w:rsidRPr="00A428C3">
        <w:t>recovery of valuable metals offers a potential alternative to existing treatment technologies.</w:t>
      </w:r>
    </w:p>
    <w:p w:rsidR="00B95188" w:rsidRPr="00A428C3" w:rsidRDefault="00B95188" w:rsidP="00B95188">
      <w:pPr>
        <w:pStyle w:val="a0"/>
      </w:pPr>
      <w:r w:rsidRPr="00A428C3">
        <w:t>In the present study, the biosorption capacity of a plant biomass was studied for different toxic metals</w:t>
      </w:r>
      <w:r w:rsidR="00F81221">
        <w:t xml:space="preserve"> and </w:t>
      </w:r>
      <w:r w:rsidRPr="00A428C3">
        <w:t>the removal was found to be higher for Pb, Zn</w:t>
      </w:r>
      <w:r w:rsidR="00F81221">
        <w:t xml:space="preserve"> and </w:t>
      </w:r>
      <w:r w:rsidRPr="00A428C3">
        <w:t>Cr among the 11 metals studied (As, Se, Zn, Fe, Ni, Co, Pb, Mn, Hg, Cr</w:t>
      </w:r>
      <w:r w:rsidR="00F81221">
        <w:t xml:space="preserve"> and </w:t>
      </w:r>
      <w:r w:rsidRPr="00A428C3">
        <w:t>Cu). The results of the biosorption studies revealed higher Pb removal followed by Cr</w:t>
      </w:r>
      <w:r w:rsidR="00F81221">
        <w:t xml:space="preserve"> and </w:t>
      </w:r>
      <w:r w:rsidRPr="00A428C3">
        <w:t>Zn at lower metal concentrations, less than 250 ppm</w:t>
      </w:r>
      <w:r w:rsidR="00F81221">
        <w:t xml:space="preserve"> and </w:t>
      </w:r>
      <w:r w:rsidRPr="00A428C3">
        <w:t xml:space="preserve">with biomass concentrations above </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t>2 g</w:t>
        </w:r>
      </w:smartTag>
      <w:r w:rsidRPr="00A428C3">
        <w:t>. The results of shake flask experiment revealed enhanced metal removal with 15 min agitation for Pb</w:t>
      </w:r>
      <w:r w:rsidR="00F81221">
        <w:t xml:space="preserve"> and </w:t>
      </w:r>
      <w:r w:rsidRPr="00A428C3">
        <w:t>180 min for Zn</w:t>
      </w:r>
      <w:r w:rsidR="00F81221">
        <w:t xml:space="preserve"> and </w:t>
      </w:r>
      <w:r w:rsidRPr="00A428C3">
        <w:t>Cr removal. Metal removal was higher at lower pH for Cr</w:t>
      </w:r>
      <w:r w:rsidR="00F81221">
        <w:t xml:space="preserve"> and </w:t>
      </w:r>
      <w:r w:rsidRPr="00A428C3">
        <w:t>Zn</w:t>
      </w:r>
      <w:r w:rsidR="00F81221">
        <w:t xml:space="preserve"> and </w:t>
      </w:r>
      <w:r w:rsidRPr="00A428C3">
        <w:t>increased pH decreased the percentage metal removal. Lead removal was unaffected by pH changes. The presence of co-ions (As, Se, Hg, etc.) did not affect Pb removal by biomass, but on the other hand, Zn</w:t>
      </w:r>
      <w:r w:rsidR="00F81221">
        <w:t xml:space="preserve"> and </w:t>
      </w:r>
      <w:r w:rsidRPr="00A428C3">
        <w:t>Cr uptakes decreased. For the reuse of biomass, the used biomass was subjected to desorption studies using HNO</w:t>
      </w:r>
      <w:r w:rsidRPr="00A428C3">
        <w:rPr>
          <w:vertAlign w:val="subscript"/>
        </w:rPr>
        <w:t>3</w:t>
      </w:r>
      <w:r w:rsidRPr="00A428C3">
        <w:t xml:space="preserve">. The retention capacity of the biomass was almost constant after three cycles of chelation–desorption, suggesting that the lifetime cycle was sufficiently long for continuous industrial application. The suggested process </w:t>
      </w:r>
      <w:r w:rsidRPr="00A428C3">
        <w:lastRenderedPageBreak/>
        <w:t>can be used as an alternative to the classical technologies for effluent decontamination</w:t>
      </w:r>
      <w:r w:rsidR="00F81221">
        <w:t xml:space="preserve"> and </w:t>
      </w:r>
      <w:r w:rsidRPr="00A428C3">
        <w:t xml:space="preserve">would also be efficient for polishing effluents treated by other methods. The biosorption model developed was applied to a </w:t>
      </w:r>
      <w:r w:rsidR="000352E7">
        <w:t>“</w:t>
      </w:r>
      <w:r w:rsidRPr="00A428C3">
        <w:t>real life system</w:t>
      </w:r>
      <w:r w:rsidR="000352E7">
        <w:t>”</w:t>
      </w:r>
      <w:r w:rsidRPr="00A428C3">
        <w:t xml:space="preserve"> successfully.</w:t>
      </w:r>
    </w:p>
    <w:p w:rsidR="00B95188" w:rsidRPr="00A428C3" w:rsidRDefault="00B95188" w:rsidP="00B95188">
      <w:pPr>
        <w:pStyle w:val="a0"/>
      </w:pPr>
      <w:r w:rsidRPr="00A428C3">
        <w:t>Keywords: Plant Biomass, Biosorption, Co-Ion Effect, Desorption</w:t>
      </w:r>
    </w:p>
    <w:p w:rsidR="00B95188" w:rsidRPr="00A428C3" w:rsidRDefault="00B95188" w:rsidP="00B95188">
      <w:pPr>
        <w:pStyle w:val="a0"/>
      </w:pPr>
      <w:r w:rsidRPr="00A428C3">
        <w:t>? Matis, K.A., Zouboulis, A.I., Lazaridis, N.K.</w:t>
      </w:r>
      <w:r w:rsidR="00F81221">
        <w:t xml:space="preserve"> and </w:t>
      </w:r>
      <w:r w:rsidRPr="00A428C3">
        <w:t xml:space="preserve">Hancock, I.C. (2003), Sorptive flotation for metal ions recovery. </w:t>
      </w:r>
      <w:r w:rsidRPr="00A428C3">
        <w:rPr>
          <w:i/>
          <w:iCs/>
        </w:rPr>
        <w:t>International Journal of Mineral Processing</w:t>
      </w:r>
      <w:r w:rsidRPr="00A428C3">
        <w:t xml:space="preserve">, </w:t>
      </w:r>
      <w:r w:rsidRPr="00A428C3">
        <w:rPr>
          <w:b/>
        </w:rPr>
        <w:t>70</w:t>
      </w:r>
      <w:r w:rsidRPr="00A428C3">
        <w:t xml:space="preserve"> (1-4), 99-108.</w:t>
      </w:r>
    </w:p>
    <w:p w:rsidR="00B95188" w:rsidRPr="00A428C3" w:rsidRDefault="00B95188" w:rsidP="00B95188">
      <w:pPr>
        <w:pStyle w:val="a0"/>
      </w:pPr>
      <w:r w:rsidRPr="00A428C3">
        <w:t xml:space="preserve">Full Text: </w:t>
      </w:r>
      <w:hyperlink r:id="rId1984" w:history="1">
        <w:r w:rsidRPr="00A428C3">
          <w:rPr>
            <w:rStyle w:val="a5"/>
          </w:rPr>
          <w:t>I\Int J Min Pro70, 99.pdf</w:t>
        </w:r>
      </w:hyperlink>
    </w:p>
    <w:p w:rsidR="00B95188" w:rsidRPr="00A428C3" w:rsidRDefault="00B95188" w:rsidP="00B95188">
      <w:pPr>
        <w:pStyle w:val="a0"/>
      </w:pPr>
      <w:r w:rsidRPr="00A428C3">
        <w:t>Abstract: In this study, the abstraction of nickel, copper</w:t>
      </w:r>
      <w:r w:rsidR="00F81221">
        <w:t xml:space="preserve"> and </w:t>
      </w:r>
      <w:r w:rsidRPr="00A428C3">
        <w:t>zinc ions from aqueous solutions has been investigated in a laboratory batch scale mode. A combined two-stage process is proposed as an alternative of the heavy metals removal from aqueous solutions. The first stage is the sorption of heavy metals onto non-living microorganisms followed by dispersed-air flotation of the loaded biomass. Three types of strains were used: Penicillium chrysogenum, Saccharomyces carlsbergensis</w:t>
      </w:r>
      <w:r w:rsidR="00F81221">
        <w:t xml:space="preserve"> and </w:t>
      </w:r>
      <w:r w:rsidRPr="00A428C3">
        <w:t>Streptomyces rimosus. The main parameters studied were solution pH, biomass concentration, surfactant concentration</w:t>
      </w:r>
      <w:r w:rsidR="00F81221">
        <w:t xml:space="preserve"> and </w:t>
      </w:r>
      <w:r w:rsidRPr="00A428C3">
        <w:t>flocculant concentration. The biomass reuse after elution was also examined. Remediation is a possible application of flotation being cost-effective</w:t>
      </w:r>
      <w:r w:rsidR="00F81221">
        <w:t xml:space="preserve"> and </w:t>
      </w:r>
      <w:r w:rsidRPr="00A428C3">
        <w:t>with readily available equipment</w:t>
      </w:r>
      <w:r w:rsidR="00F81221">
        <w:t xml:space="preserve"> and </w:t>
      </w:r>
      <w:r w:rsidRPr="00A428C3">
        <w:t>know-how. The application of this process looks promising. (C) 2003 Elsevier Science B.V. All rights reserved.</w:t>
      </w:r>
    </w:p>
    <w:p w:rsidR="00B95188" w:rsidRPr="00A428C3" w:rsidRDefault="00B95188" w:rsidP="00B95188">
      <w:pPr>
        <w:pStyle w:val="a0"/>
      </w:pPr>
      <w:r w:rsidRPr="00A428C3">
        <w:t>Keywords: Biomass, Biomass, Biosorption, Biosorption, Cadmium, Dilute-Solutions, Dispersed-Air Flotation, Metal Cations, Pyrite Fines, Removal, Streptomyces Rimosus, Waste-Water</w:t>
      </w:r>
    </w:p>
    <w:p w:rsidR="00B95188" w:rsidRPr="00A428C3" w:rsidRDefault="00B95188" w:rsidP="00B95188">
      <w:pPr>
        <w:pStyle w:val="a0"/>
      </w:pPr>
      <w:r w:rsidRPr="00A428C3">
        <w:t>Mustafa, S., Hamid, A.</w:t>
      </w:r>
      <w:r w:rsidR="00F81221">
        <w:t xml:space="preserve"> and </w:t>
      </w:r>
      <w:r w:rsidRPr="00A428C3">
        <w:t xml:space="preserve">Naeem, A. (2004), Xanthate adsorption studies on chalcopyrite ore. </w:t>
      </w:r>
      <w:r w:rsidRPr="00A428C3">
        <w:rPr>
          <w:i/>
        </w:rPr>
        <w:t>International Journal of Mineral Processing</w:t>
      </w:r>
      <w:r w:rsidRPr="00A428C3">
        <w:t xml:space="preserve">, </w:t>
      </w:r>
      <w:r w:rsidRPr="00A428C3">
        <w:rPr>
          <w:b/>
        </w:rPr>
        <w:t>74</w:t>
      </w:r>
      <w:r w:rsidRPr="00A428C3">
        <w:t xml:space="preserve"> (1-4), 317-325.</w:t>
      </w:r>
    </w:p>
    <w:p w:rsidR="00B95188" w:rsidRPr="00A428C3" w:rsidRDefault="00B95188" w:rsidP="00B95188">
      <w:pPr>
        <w:pStyle w:val="a0"/>
      </w:pPr>
      <w:r w:rsidRPr="00A428C3">
        <w:t xml:space="preserve">Full Text: </w:t>
      </w:r>
      <w:hyperlink r:id="rId1985" w:history="1">
        <w:r w:rsidRPr="00A428C3">
          <w:rPr>
            <w:rStyle w:val="a5"/>
          </w:rPr>
          <w:t>I\Int J Min Pro74, 317.pdf</w:t>
        </w:r>
      </w:hyperlink>
    </w:p>
    <w:p w:rsidR="00B95188" w:rsidRPr="00A428C3" w:rsidRDefault="00B95188" w:rsidP="00B95188">
      <w:pPr>
        <w:pStyle w:val="a0"/>
      </w:pPr>
      <w:r w:rsidRPr="00A428C3">
        <w:t>Abstract: Kinetics of xanthate ion (X</w:t>
      </w:r>
      <w:r w:rsidRPr="00A428C3">
        <w:rPr>
          <w:vertAlign w:val="superscript"/>
        </w:rPr>
        <w:t>−</w:t>
      </w:r>
      <w:r w:rsidRPr="00A428C3">
        <w:t>) sorption on chalcopyrite is studied as a function of concentration (5×10</w:t>
      </w:r>
      <w:r w:rsidRPr="00A428C3">
        <w:rPr>
          <w:vertAlign w:val="superscript"/>
        </w:rPr>
        <w:t>−5</w:t>
      </w:r>
      <w:r w:rsidRPr="00A428C3">
        <w:t>), (2×10</w:t>
      </w:r>
      <w:r w:rsidRPr="00A428C3">
        <w:rPr>
          <w:vertAlign w:val="superscript"/>
        </w:rPr>
        <w:t>−4</w:t>
      </w:r>
      <w:r w:rsidRPr="00A428C3">
        <w:t>), (6×10</w:t>
      </w:r>
      <w:r w:rsidRPr="00A428C3">
        <w:rPr>
          <w:vertAlign w:val="superscript"/>
        </w:rPr>
        <w:t>−4</w:t>
      </w:r>
      <w:r w:rsidRPr="00A428C3">
        <w:t>)</w:t>
      </w:r>
      <w:r w:rsidR="00F81221">
        <w:t xml:space="preserve"> and </w:t>
      </w:r>
      <w:r w:rsidRPr="00A428C3">
        <w:t>(1×10</w:t>
      </w:r>
      <w:r w:rsidRPr="00A428C3">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A428C3">
          <w:rPr>
            <w:vertAlign w:val="superscript"/>
          </w:rPr>
          <w:t>3</w:t>
        </w:r>
        <w:r w:rsidRPr="00A428C3">
          <w:t xml:space="preserve"> M</w:t>
        </w:r>
      </w:smartTag>
      <w:r w:rsidRPr="00A428C3">
        <w:t>)</w:t>
      </w:r>
      <w:r w:rsidR="00F81221">
        <w:t xml:space="preserve"> and </w:t>
      </w:r>
      <w:r w:rsidRPr="00A428C3">
        <w:t>temperature (278–293 K). In almost all the cases, equilibrium is established after a 10-min time interval. Lagrergren</w:t>
      </w:r>
      <w:r w:rsidR="000352E7">
        <w:t>’</w:t>
      </w:r>
      <w:r w:rsidRPr="00A428C3">
        <w:t>s first-order rate equation is applied for rate constant determination. From the temperature dependence of the rate constant, energy of activation is calculated.</w:t>
      </w:r>
      <w:r>
        <w:rPr>
          <w:rFonts w:hint="eastAsia"/>
        </w:rPr>
        <w:t xml:space="preserve"> </w:t>
      </w:r>
      <w:r w:rsidRPr="00A428C3">
        <w:t>X</w:t>
      </w:r>
      <w:r w:rsidRPr="00A428C3">
        <w:rPr>
          <w:vertAlign w:val="superscript"/>
        </w:rPr>
        <w:t>−</w:t>
      </w:r>
      <w:r w:rsidRPr="00A428C3">
        <w:t xml:space="preserve"> ion sorption on chalcopyrite is also studied as a function of pH (8–11) at 293 K in the concentration range (5×10</w:t>
      </w:r>
      <w:r w:rsidRPr="00A428C3">
        <w:rPr>
          <w:vertAlign w:val="superscript"/>
        </w:rPr>
        <w:t>−5</w:t>
      </w:r>
      <w:r w:rsidRPr="00A428C3">
        <w:t>–1×10</w:t>
      </w:r>
      <w:r w:rsidRPr="00A428C3">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A428C3">
          <w:rPr>
            <w:vertAlign w:val="superscript"/>
          </w:rPr>
          <w:t>3</w:t>
        </w:r>
        <w:r w:rsidRPr="00A428C3">
          <w:t xml:space="preserve"> M</w:t>
        </w:r>
      </w:smartTag>
      <w:r w:rsidRPr="00A428C3">
        <w:t>). Sorption of X</w:t>
      </w:r>
      <w:r w:rsidRPr="00A428C3">
        <w:rPr>
          <w:vertAlign w:val="superscript"/>
        </w:rPr>
        <w:t>−</w:t>
      </w:r>
      <w:r w:rsidRPr="00A428C3">
        <w:t xml:space="preserve"> is found to increase with pH up to pH 10</w:t>
      </w:r>
      <w:r w:rsidR="00F81221">
        <w:t xml:space="preserve"> and </w:t>
      </w:r>
      <w:r w:rsidRPr="00A428C3">
        <w:t>then decreases to pH 11. The data is found to be fitted to the Freundlich equation successfully. The dissolution studies</w:t>
      </w:r>
      <w:r w:rsidR="00F81221">
        <w:t xml:space="preserve"> and </w:t>
      </w:r>
      <w:r w:rsidRPr="00A428C3">
        <w:t>Fourier transform infrared spectroscopy (FTIR) spectra show that the process responsible for the uptake of xanthate by the chalcopyrite is the formation of cuprous xanthate on the surface of the solid.</w:t>
      </w:r>
    </w:p>
    <w:p w:rsidR="00B95188" w:rsidRPr="00A428C3" w:rsidRDefault="00B95188" w:rsidP="00B95188">
      <w:pPr>
        <w:pStyle w:val="a0"/>
      </w:pPr>
      <w:r w:rsidRPr="00A428C3">
        <w:lastRenderedPageBreak/>
        <w:t>Keywords: Chalcopyrite, Potassium Ethyl Xanthate, Adsorption, Cuprous Xanthate, Kinetics, Sulfide Minerals, Flotation, Oxidation</w:t>
      </w:r>
    </w:p>
    <w:p w:rsidR="00B95188" w:rsidRPr="00A428C3" w:rsidRDefault="00B95188" w:rsidP="00B95188">
      <w:pPr>
        <w:pStyle w:val="a0"/>
      </w:pPr>
      <w:r w:rsidRPr="00A428C3">
        <w:t>? Englert, A.H.</w:t>
      </w:r>
      <w:r w:rsidR="00F81221">
        <w:t xml:space="preserve"> and </w:t>
      </w:r>
      <w:r w:rsidRPr="00A428C3">
        <w:t>Rubio, J. (2005), Characterization</w:t>
      </w:r>
      <w:r w:rsidR="00F81221">
        <w:t xml:space="preserve"> and </w:t>
      </w:r>
      <w:r w:rsidRPr="00A428C3">
        <w:t xml:space="preserve">environmental application of a Chilean natural zeolite. </w:t>
      </w:r>
      <w:r w:rsidRPr="00A428C3">
        <w:rPr>
          <w:i/>
          <w:iCs/>
        </w:rPr>
        <w:t>International Journal of Mineral Processing</w:t>
      </w:r>
      <w:r w:rsidRPr="00A428C3">
        <w:t xml:space="preserve">, </w:t>
      </w:r>
      <w:r w:rsidRPr="00A428C3">
        <w:rPr>
          <w:b/>
        </w:rPr>
        <w:t>75</w:t>
      </w:r>
      <w:r w:rsidRPr="00A428C3">
        <w:t xml:space="preserve"> (1-2), 21-29.</w:t>
      </w:r>
    </w:p>
    <w:p w:rsidR="00B95188" w:rsidRPr="00A428C3" w:rsidRDefault="00B95188" w:rsidP="00B95188">
      <w:pPr>
        <w:pStyle w:val="a0"/>
      </w:pPr>
      <w:r w:rsidRPr="00A428C3">
        <w:t xml:space="preserve">Full Text: </w:t>
      </w:r>
      <w:hyperlink r:id="rId1986" w:history="1">
        <w:r w:rsidRPr="00A428C3">
          <w:rPr>
            <w:rStyle w:val="a5"/>
          </w:rPr>
          <w:t>I\Int J Min Pro75, 21.pdf</w:t>
        </w:r>
      </w:hyperlink>
    </w:p>
    <w:p w:rsidR="00B95188" w:rsidRPr="00A428C3" w:rsidRDefault="00B95188" w:rsidP="00B95188">
      <w:pPr>
        <w:pStyle w:val="a0"/>
      </w:pPr>
      <w:r w:rsidRPr="00A428C3">
        <w:t>Abstract: The use of natural zeolites for environmental applications is gaining new research interests mainly due to their properties</w:t>
      </w:r>
      <w:r w:rsidR="00F81221">
        <w:t xml:space="preserve"> and </w:t>
      </w:r>
      <w:r w:rsidRPr="00A428C3">
        <w:t>significant worldwide occurrence. The present work describes the characterization of a natural Chilean zeolite</w:t>
      </w:r>
      <w:r w:rsidR="00F81221">
        <w:t xml:space="preserve"> and </w:t>
      </w:r>
      <w:r w:rsidRPr="00A428C3">
        <w:t>the results as adsorbent for ammonia from aqueous solutions. The zeolitic-rich tuff sample, mainly composed of clinoptilolite</w:t>
      </w:r>
      <w:r w:rsidR="00F81221">
        <w:t xml:space="preserve"> and </w:t>
      </w:r>
      <w:r w:rsidRPr="00A428C3">
        <w:t xml:space="preserve">mordenite, consisted of 13 mum mean volumetric particle diameter, </w:t>
      </w:r>
      <w:smartTag w:uri="urn:schemas-microsoft-com:office:smarttags" w:element="chmetcnv">
        <w:smartTagPr>
          <w:attr w:name="UnitName" w:val="m2"/>
          <w:attr w:name="SourceValue" w:val="55"/>
          <w:attr w:name="HasSpace" w:val="True"/>
          <w:attr w:name="Negative" w:val="False"/>
          <w:attr w:name="NumberType" w:val="1"/>
          <w:attr w:name="TCSC" w:val="0"/>
        </w:smartTagPr>
        <w:r w:rsidRPr="00A428C3">
          <w:t>55 m</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rPr>
              <w:vertAlign w:val="superscript"/>
            </w:rPr>
            <w:t>2</w:t>
          </w:r>
        </w:smartTag>
      </w:smartTag>
      <w:r w:rsidRPr="00A428C3">
        <w:t xml:space="preserve"> g</w:t>
      </w:r>
      <w:r w:rsidRPr="00A428C3">
        <w:rPr>
          <w:vertAlign w:val="superscript"/>
        </w:rPr>
        <w:t>-1</w:t>
      </w:r>
      <w:r w:rsidRPr="00A428C3">
        <w:t xml:space="preserve"> (methylene blue adsorption)</w:t>
      </w:r>
      <w:r w:rsidR="00F81221">
        <w:t xml:space="preserve"> and </w:t>
      </w:r>
      <w:smartTag w:uri="urn:schemas-microsoft-com:office:smarttags" w:element="chmetcnv">
        <w:smartTagPr>
          <w:attr w:name="UnitName" w:val="m2"/>
          <w:attr w:name="SourceValue" w:val="177"/>
          <w:attr w:name="HasSpace" w:val="True"/>
          <w:attr w:name="Negative" w:val="False"/>
          <w:attr w:name="NumberType" w:val="1"/>
          <w:attr w:name="TCSC" w:val="0"/>
        </w:smartTagPr>
        <w:r w:rsidRPr="00A428C3">
          <w:t>177 m</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rPr>
              <w:vertAlign w:val="superscript"/>
            </w:rPr>
            <w:t>2</w:t>
          </w:r>
        </w:smartTag>
      </w:smartTag>
      <w:r w:rsidRPr="00A428C3">
        <w:t xml:space="preserve"> g</w:t>
      </w:r>
      <w:r w:rsidRPr="00A428C3">
        <w:rPr>
          <w:vertAlign w:val="superscript"/>
        </w:rPr>
        <w:t>-1</w:t>
      </w:r>
      <w:r w:rsidRPr="00A428C3">
        <w:t xml:space="preserve"> (nitrogen adsorption) of specific surface area. Particles were negatively charged over a broad pH range (with or without ammonia)</w:t>
      </w:r>
      <w:r w:rsidR="00F81221">
        <w:t xml:space="preserve"> and </w:t>
      </w:r>
      <w:r w:rsidRPr="00A428C3">
        <w:t>1.02 meq NH</w:t>
      </w:r>
      <w:r w:rsidRPr="00A428C3">
        <w:rPr>
          <w:vertAlign w:val="subscript"/>
        </w:rPr>
        <w:t>4</w:t>
      </w:r>
      <w:r w:rsidRPr="00A428C3">
        <w:rPr>
          <w:vertAlign w:val="superscript"/>
        </w:rPr>
        <w:t>+</w:t>
      </w:r>
      <w:r w:rsidRPr="00A428C3">
        <w:t xml:space="preserve"> g</w:t>
      </w:r>
      <w:r w:rsidRPr="00A428C3">
        <w:rPr>
          <w:vertAlign w:val="superscript"/>
        </w:rPr>
        <w:t>-1</w:t>
      </w:r>
      <w:r w:rsidRPr="00A428C3">
        <w:t xml:space="preserve"> cation-exchange capacity. The ammonia removal appears to proceed through ion-exchange</w:t>
      </w:r>
      <w:r w:rsidR="00F81221">
        <w:t xml:space="preserve"> and </w:t>
      </w:r>
      <w:r w:rsidRPr="00A428C3">
        <w:t>rapid kinetics (rate constant of 0.3 min</w:t>
      </w:r>
      <w:r w:rsidRPr="00A428C3">
        <w:rPr>
          <w:vertAlign w:val="superscript"/>
        </w:rPr>
        <w:t>-1</w:t>
      </w:r>
      <w:r w:rsidRPr="00A428C3">
        <w:t>) at neutral pH value, with removal capacities up to 0.68 meq NH</w:t>
      </w:r>
      <w:r w:rsidRPr="00A428C3">
        <w:rPr>
          <w:vertAlign w:val="subscript"/>
        </w:rPr>
        <w:t>4</w:t>
      </w:r>
      <w:r w:rsidRPr="00A428C3">
        <w:rPr>
          <w:vertAlign w:val="superscript"/>
        </w:rPr>
        <w:t>+</w:t>
      </w:r>
      <w:r w:rsidRPr="00A428C3">
        <w:t xml:space="preserve"> g</w:t>
      </w:r>
      <w:r w:rsidRPr="00A428C3">
        <w:rPr>
          <w:vertAlign w:val="superscript"/>
        </w:rPr>
        <w:t>-1</w:t>
      </w:r>
      <w:r w:rsidRPr="00A428C3">
        <w:t>. The Langmuir isotherm model provided excellent equilibrium data fitting (R</w:t>
      </w:r>
      <w:r w:rsidRPr="00A428C3">
        <w:rPr>
          <w:vertAlign w:val="superscript"/>
        </w:rPr>
        <w:t>2</w:t>
      </w:r>
      <w:r w:rsidRPr="00A428C3">
        <w:t xml:space="preserve"> = 0.97). Results indicate a significant potential for the Chilean natural zeolite as an adsorbent, ion-exchange material for wastewater treatment</w:t>
      </w:r>
      <w:r w:rsidR="00F81221">
        <w:t xml:space="preserve"> and </w:t>
      </w:r>
      <w:r w:rsidRPr="00A428C3">
        <w:t>water reuse applications. (C) 2004 Elsevier B.V. All rights reserved.</w:t>
      </w:r>
    </w:p>
    <w:p w:rsidR="00B95188" w:rsidRPr="00A428C3" w:rsidRDefault="00B95188" w:rsidP="00B95188">
      <w:pPr>
        <w:pStyle w:val="a0"/>
      </w:pPr>
      <w:r w:rsidRPr="00A428C3">
        <w:t>Keywords: Adsorbent, Adsorption, Ammonia, Ammonium Removal, Applications, Aqueous-Solutions, Capacity, Cation Exchange Capacity, Characterization, Clinoptilolite, Effluent Treatment, Environmental, Equilibrium, Industrial Minerals, Ion Exchange, Ion-Exchange, Isotherm, Kinetics, Langmuir, Langmuir Isotherm, Metals, Methylene Blue, Model, Mordenite, Natural, Natural Zeolite, Nitrogen, Packed-Bed, Particle, pH, Properties, Range, Rate Constant, Removal, Research, Reuse, Sedimentary, Specific Surface Area, Surface, Surface Area, Treatment, Waste-Water, Wastewater, Wastewater Treatment, Water, Water Reuse, Zeolite, Zeolites</w:t>
      </w:r>
    </w:p>
    <w:p w:rsidR="00B95188" w:rsidRPr="00A428C3" w:rsidRDefault="00B95188" w:rsidP="00B95188">
      <w:pPr>
        <w:pStyle w:val="a0"/>
      </w:pPr>
      <w:r w:rsidRPr="00A428C3">
        <w:t>? Kumari, P., Sharma, P., Srivastava, S.</w:t>
      </w:r>
      <w:r w:rsidR="00F81221">
        <w:t xml:space="preserve"> and </w:t>
      </w:r>
      <w:r w:rsidRPr="00A428C3">
        <w:t xml:space="preserve">Srivastava, M.M. (2006), Biosorption studies on shelled </w:t>
      </w:r>
      <w:r w:rsidRPr="00A428C3">
        <w:rPr>
          <w:i/>
        </w:rPr>
        <w:t>Moringa oleifera</w:t>
      </w:r>
      <w:r w:rsidRPr="00A428C3">
        <w:t xml:space="preserve"> Lamarck seed powder: Removal</w:t>
      </w:r>
      <w:r w:rsidR="00F81221">
        <w:t xml:space="preserve"> and </w:t>
      </w:r>
      <w:r w:rsidRPr="00A428C3">
        <w:t xml:space="preserve">recovery of arsenic from aqueous system. </w:t>
      </w:r>
      <w:r w:rsidRPr="00A428C3">
        <w:rPr>
          <w:i/>
        </w:rPr>
        <w:t>International Journal of Mineral Processing</w:t>
      </w:r>
      <w:r w:rsidRPr="00A428C3">
        <w:t xml:space="preserve">, </w:t>
      </w:r>
      <w:r w:rsidRPr="00A428C3">
        <w:rPr>
          <w:b/>
        </w:rPr>
        <w:t>78</w:t>
      </w:r>
      <w:r w:rsidRPr="00A428C3">
        <w:t xml:space="preserve"> (3), 131-139.</w:t>
      </w:r>
    </w:p>
    <w:p w:rsidR="00B95188" w:rsidRPr="00A428C3" w:rsidRDefault="00B95188" w:rsidP="00B95188">
      <w:pPr>
        <w:pStyle w:val="a0"/>
      </w:pPr>
      <w:r w:rsidRPr="00A428C3">
        <w:t xml:space="preserve">Full Text: </w:t>
      </w:r>
      <w:hyperlink r:id="rId1987" w:history="1">
        <w:r w:rsidRPr="00A428C3">
          <w:rPr>
            <w:rStyle w:val="a5"/>
          </w:rPr>
          <w:t>2006\Int J Min Pro78, 131.pdf</w:t>
        </w:r>
      </w:hyperlink>
    </w:p>
    <w:p w:rsidR="00B95188" w:rsidRPr="00A428C3" w:rsidRDefault="00B95188" w:rsidP="00B95188">
      <w:pPr>
        <w:pStyle w:val="a0"/>
      </w:pPr>
      <w:r w:rsidRPr="00A428C3">
        <w:t>Abstract: The present study explores the unexploited sorption property of the shelled Moringa oleifera seeds (SMOS) for decontamination of arsenic from water bodies. Sorption studies (batch experiments) result into the standardization of optimum conditions for removal of 60.21% As(III)</w:t>
      </w:r>
      <w:r w:rsidR="00F81221">
        <w:t xml:space="preserve"> and </w:t>
      </w:r>
      <w:r w:rsidRPr="00A428C3">
        <w:t xml:space="preserve">85.60% As(V) as follows: biomass </w:t>
      </w:r>
      <w:r w:rsidRPr="00A428C3">
        <w:lastRenderedPageBreak/>
        <w:t>dosage (</w:t>
      </w:r>
      <w:smartTag w:uri="urn:schemas-microsoft-com:office:smarttags" w:element="chmetcnv">
        <w:smartTagPr>
          <w:attr w:name="UnitName" w:val="g"/>
          <w:attr w:name="SourceValue" w:val="2"/>
          <w:attr w:name="HasSpace" w:val="True"/>
          <w:attr w:name="Negative" w:val="False"/>
          <w:attr w:name="NumberType" w:val="1"/>
          <w:attr w:name="TCSC" w:val="0"/>
        </w:smartTagPr>
        <w:r w:rsidRPr="00A428C3">
          <w:t>2.0 g</w:t>
        </w:r>
      </w:smartTag>
      <w:r w:rsidRPr="00A428C3">
        <w:t>), metal concentration (25 mg/L), contact time (60 min)</w:t>
      </w:r>
      <w:r w:rsidR="00F81221">
        <w:t xml:space="preserve"> and </w:t>
      </w:r>
      <w:r w:rsidRPr="00A428C3">
        <w:t>volume of the test solution (200 ml) at pH 7.5</w:t>
      </w:r>
      <w:r w:rsidR="00F81221">
        <w:t xml:space="preserve"> and </w:t>
      </w:r>
      <w:r w:rsidRPr="00A428C3">
        <w:t>2.5, respectively. The adsorption data are fitted with Langmuir isotherm. Surface area has been measured using BET surface area analyzer. Morphological changes observed in scanning electron micrograph of native</w:t>
      </w:r>
      <w:r w:rsidR="00F81221">
        <w:t xml:space="preserve"> and </w:t>
      </w:r>
      <w:r w:rsidRPr="00A428C3">
        <w:t>treated SMOS indicates the existence of biosorption process. Fourier transform infrared spectrometry of exhausted seed biomass highlights protein/amino acid–arsenic interactions responsible for sorption phenomenon. Regeneration has also been attempted for several cycles with a view to restore the sorbent to its original state. The sorption capacity of the regenerated biomass remained almost constant after three cycles of sorption process, suggesting that the lifetime cycle was sufficient for continuous application. The findings open up new avenues in the decontamination of arsenic using SMOS from arsenic contaminated water, as domestic</w:t>
      </w:r>
      <w:r w:rsidR="00F81221">
        <w:t xml:space="preserve"> and </w:t>
      </w:r>
      <w:r w:rsidRPr="00A428C3">
        <w:t>environment-friendly safe technology.</w:t>
      </w:r>
    </w:p>
    <w:p w:rsidR="00B95188" w:rsidRPr="00A428C3" w:rsidRDefault="00B95188" w:rsidP="00B95188">
      <w:pPr>
        <w:pStyle w:val="a0"/>
      </w:pPr>
      <w:r w:rsidRPr="00A428C3">
        <w:t>Keywords: Arsenic, Biosorption, Desorption, Moringa Oleifera, Protein/Amino Acid–Arsenic Interaction, Sorption Isotherm</w:t>
      </w:r>
    </w:p>
    <w:p w:rsidR="00B95188" w:rsidRPr="00A428C3" w:rsidRDefault="00B95188" w:rsidP="00B95188">
      <w:pPr>
        <w:pStyle w:val="a0"/>
      </w:pPr>
      <w:r w:rsidRPr="00A428C3">
        <w:t>? Deveci, H., Yazıcı, E.Y., Alp, I.</w:t>
      </w:r>
      <w:r w:rsidR="00F81221">
        <w:t xml:space="preserve"> and </w:t>
      </w:r>
      <w:r w:rsidRPr="00A428C3">
        <w:t>Uslu, T. (2006), Removal of cyanide from aqueous solutions by plain</w:t>
      </w:r>
      <w:r w:rsidR="00F81221">
        <w:t xml:space="preserve"> and </w:t>
      </w:r>
      <w:r w:rsidRPr="00A428C3">
        <w:t xml:space="preserve">metal-impregnated granular activated carbons. </w:t>
      </w:r>
      <w:r w:rsidRPr="00A428C3">
        <w:rPr>
          <w:i/>
        </w:rPr>
        <w:t>International Journal of Mineral Processing</w:t>
      </w:r>
      <w:r w:rsidRPr="00A428C3">
        <w:t xml:space="preserve">, </w:t>
      </w:r>
      <w:r w:rsidRPr="00A428C3">
        <w:rPr>
          <w:b/>
        </w:rPr>
        <w:t>79</w:t>
      </w:r>
      <w:r w:rsidRPr="00A428C3">
        <w:t xml:space="preserve"> (3), 198-208.</w:t>
      </w:r>
    </w:p>
    <w:p w:rsidR="00B95188" w:rsidRPr="00A428C3" w:rsidRDefault="00B95188" w:rsidP="00B95188">
      <w:pPr>
        <w:pStyle w:val="a0"/>
      </w:pPr>
      <w:r w:rsidRPr="00A428C3">
        <w:t xml:space="preserve">Full Text: </w:t>
      </w:r>
      <w:hyperlink r:id="rId1988" w:history="1">
        <w:r w:rsidRPr="00A428C3">
          <w:rPr>
            <w:rStyle w:val="a5"/>
          </w:rPr>
          <w:t>2006\Int J Min Pro79, 198.pdf</w:t>
        </w:r>
      </w:hyperlink>
    </w:p>
    <w:p w:rsidR="00B95188" w:rsidRPr="00A428C3" w:rsidRDefault="00B95188" w:rsidP="00B95188">
      <w:pPr>
        <w:pStyle w:val="a0"/>
      </w:pPr>
      <w:r w:rsidRPr="00A428C3">
        <w:t>Abstract: In this study, the removal of free cyanide from aqueous solutions by activated carbon was investigated. Effects of metal impregnation (Cu</w:t>
      </w:r>
      <w:r w:rsidR="00F81221">
        <w:t xml:space="preserve"> and </w:t>
      </w:r>
      <w:r w:rsidRPr="00A428C3">
        <w:t>Ag), aeration,</w:t>
      </w:r>
      <w:r w:rsidR="00F81221">
        <w:t xml:space="preserve"> and </w:t>
      </w:r>
      <w:r w:rsidRPr="00A428C3">
        <w:t>concentrations of adsorbent</w:t>
      </w:r>
      <w:r w:rsidR="00F81221">
        <w:t xml:space="preserve"> and </w:t>
      </w:r>
      <w:r w:rsidRPr="00A428C3">
        <w:t>cyanide on the rate</w:t>
      </w:r>
      <w:r w:rsidR="00F81221">
        <w:t xml:space="preserve"> and </w:t>
      </w:r>
      <w:r w:rsidRPr="00A428C3">
        <w:t>extent of the removal of cyanide were studied. The results have shown that the capacity of activated carbon for the removal of cyanide can be significantly improved (up to 6.3-fold) via impregnation of activated carbon with metals such as copper</w:t>
      </w:r>
      <w:r w:rsidR="00F81221">
        <w:t xml:space="preserve"> and </w:t>
      </w:r>
      <w:r w:rsidRPr="00A428C3">
        <w:t>silver. Silver-impregnated activated carbon was found to be the most effective at the reduction of cyanide level in solution. This appeared to be coupled with its comparatively high metal content after impregnation process where silver (5.07%) could be more readily loaded on activated carbon than copper (0.43%). Kinetics</w:t>
      </w:r>
      <w:r w:rsidR="00F81221">
        <w:t xml:space="preserve"> and </w:t>
      </w:r>
      <w:r w:rsidRPr="00A428C3">
        <w:t>equilibrium data for cyanide removal by plain</w:t>
      </w:r>
      <w:r w:rsidR="00F81221">
        <w:t xml:space="preserve"> and </w:t>
      </w:r>
      <w:r w:rsidRPr="00A428C3">
        <w:t>metal-impregnated activated carbons were determined to be consistent with the pseudo second-order kinetics</w:t>
      </w:r>
      <w:r w:rsidR="00F81221">
        <w:t xml:space="preserve"> and </w:t>
      </w:r>
      <w:r w:rsidRPr="00A428C3">
        <w:t>the Langmuir adsorption isotherms, respectively. Aeration (</w:t>
      </w:r>
      <w:smartTag w:uri="urn:schemas-microsoft-com:office:smarttags" w:element="chmetcnv">
        <w:smartTagPr>
          <w:attr w:name="UnitName" w:val="l"/>
          <w:attr w:name="SourceValue" w:val="0.27"/>
          <w:attr w:name="HasSpace" w:val="True"/>
          <w:attr w:name="Negative" w:val="False"/>
          <w:attr w:name="NumberType" w:val="1"/>
          <w:attr w:name="TCSC" w:val="0"/>
        </w:smartTagPr>
        <w:r w:rsidRPr="00A428C3">
          <w:t>0.27 l</w:t>
        </w:r>
      </w:smartTag>
      <w:r w:rsidRPr="00A428C3">
        <w:t>/min) was found to exert a profound effect on the process leading to a 5.5–49.1% enhancement in the performances of plain</w:t>
      </w:r>
      <w:r w:rsidR="00F81221">
        <w:t xml:space="preserve"> and </w:t>
      </w:r>
      <w:r w:rsidRPr="00A428C3">
        <w:t>metal-impregnated activated carbons. This enhancement could be attributed to the increase in the availability of active sites on activated carbon for adsorption</w:t>
      </w:r>
      <w:r w:rsidR="00F81221">
        <w:t xml:space="preserve"> and </w:t>
      </w:r>
      <w:r w:rsidRPr="00A428C3">
        <w:t>the catalytic oxidising activity of activated carbon in the presence of oxygen. Practical limiting capacity of plain, copper-</w:t>
      </w:r>
      <w:r w:rsidR="00F81221">
        <w:t xml:space="preserve"> and </w:t>
      </w:r>
      <w:r w:rsidRPr="00A428C3">
        <w:t>silver-impregnated activated carbons for the removal of cyanide were experimentally determined to be 19.7, 22.4</w:t>
      </w:r>
      <w:r w:rsidR="00F81221">
        <w:t xml:space="preserve"> and </w:t>
      </w:r>
      <w:r w:rsidRPr="00A428C3">
        <w:t>29.6 mg/g, respectively.</w:t>
      </w:r>
    </w:p>
    <w:p w:rsidR="00B95188" w:rsidRPr="00A428C3" w:rsidRDefault="00B95188" w:rsidP="00B95188">
      <w:pPr>
        <w:pStyle w:val="a0"/>
      </w:pPr>
      <w:r w:rsidRPr="00A428C3">
        <w:lastRenderedPageBreak/>
        <w:t>Keywords: Activated Carbon, Cyanide, Effluent Treatment, Adsorption, Environment</w:t>
      </w:r>
    </w:p>
    <w:p w:rsidR="00B95188" w:rsidRPr="00A428C3" w:rsidRDefault="00B95188" w:rsidP="00B95188">
      <w:pPr>
        <w:pStyle w:val="a0"/>
      </w:pPr>
      <w:r w:rsidRPr="00A428C3">
        <w:t>? Bayramoğlu, G., Tuzun, I., Celik, G., Yilmaz, M.</w:t>
      </w:r>
      <w:r w:rsidR="00F81221">
        <w:t xml:space="preserve"> and </w:t>
      </w:r>
      <w:r w:rsidRPr="00A428C3">
        <w:t>Arıca, M.Y. (2006), Biosorption of mercury(II), cadmium(II)</w:t>
      </w:r>
      <w:r w:rsidR="00F81221">
        <w:t xml:space="preserve"> and </w:t>
      </w:r>
      <w:r w:rsidRPr="00A428C3">
        <w:t xml:space="preserve">lead(II) ions from aqueous system by microalgae Chlamydomonas reinhardtii immobilized in alginate beads. </w:t>
      </w:r>
      <w:r w:rsidRPr="00A428C3">
        <w:rPr>
          <w:i/>
          <w:iCs/>
        </w:rPr>
        <w:t>International Journal of Mineral Processing</w:t>
      </w:r>
      <w:r w:rsidRPr="00A428C3">
        <w:t xml:space="preserve">, </w:t>
      </w:r>
      <w:r w:rsidRPr="00A428C3">
        <w:rPr>
          <w:b/>
        </w:rPr>
        <w:t>81</w:t>
      </w:r>
      <w:r w:rsidRPr="00A428C3">
        <w:t xml:space="preserve"> (1), 35-43.</w:t>
      </w:r>
    </w:p>
    <w:p w:rsidR="00B95188" w:rsidRPr="00A428C3" w:rsidRDefault="00B95188" w:rsidP="00B95188">
      <w:pPr>
        <w:pStyle w:val="a0"/>
      </w:pPr>
      <w:r w:rsidRPr="00A428C3">
        <w:t xml:space="preserve">Full Text: </w:t>
      </w:r>
      <w:hyperlink r:id="rId1989" w:history="1">
        <w:r w:rsidRPr="00A428C3">
          <w:rPr>
            <w:rStyle w:val="a5"/>
          </w:rPr>
          <w:t>2006\Int J Min Pro81, 35.pdf</w:t>
        </w:r>
      </w:hyperlink>
    </w:p>
    <w:p w:rsidR="00B95188" w:rsidRPr="00A428C3" w:rsidRDefault="00B95188" w:rsidP="00B95188">
      <w:pPr>
        <w:pStyle w:val="a0"/>
      </w:pPr>
      <w:r w:rsidRPr="00A428C3">
        <w:t>Abstract: The potential use of the immobilized microalgae (in Ca-alginate) of Chlamydomonas reinhardtii to remove Hg(II), Cd(II)</w:t>
      </w:r>
      <w:r w:rsidR="00F81221">
        <w:t xml:space="preserve"> and </w:t>
      </w:r>
      <w:r w:rsidRPr="00A428C3">
        <w:t>Pb(II) ions from aqueous solutions was evaluated using bare Ca-alginate bead as a control system. Ca-alginate beads containing immobilized microalgae were incubated for the uniform growth at 22 degrees C for 5 days. Effects of pH, temperature, initial concentration of metal ions</w:t>
      </w:r>
      <w:r w:rsidR="00F81221">
        <w:t xml:space="preserve"> and </w:t>
      </w:r>
      <w:r w:rsidRPr="00A428C3">
        <w:t>biosorbent dosages on the adsorption of Hg(II), Cd(II)</w:t>
      </w:r>
      <w:r w:rsidR="00F81221">
        <w:t xml:space="preserve"> and </w:t>
      </w:r>
      <w:r w:rsidRPr="00A428C3">
        <w:t>Pb(II) ions were studied. Adsorption of Hg(II), Cd(II)</w:t>
      </w:r>
      <w:r w:rsidR="00F81221">
        <w:t xml:space="preserve"> and </w:t>
      </w:r>
      <w:r w:rsidRPr="00A428C3">
        <w:t>Pb(II) ions on the immobilized microalgae showed highest values at around pH 5.0 to 6.0. The adsorption equilibrium was represented with Langnmir</w:t>
      </w:r>
      <w:r w:rsidR="00F81221">
        <w:t xml:space="preserve"> and </w:t>
      </w:r>
      <w:r w:rsidRPr="00A428C3">
        <w:t>Freundlich adsorption isotherms. The adsorption of these ions on the immobilized microalgae followed second-order kinetics</w:t>
      </w:r>
      <w:r w:rsidR="00F81221">
        <w:t xml:space="preserve"> and </w:t>
      </w:r>
      <w:r w:rsidRPr="00A428C3">
        <w:t xml:space="preserve">equilibrium was established in about 60 min. The temperature change in the range of 5-40 degrees C did not affect the adsorption capacities of the immobilized microalgae. The immobilized-algal systems can be regenerated using </w:t>
      </w:r>
      <w:smartTag w:uri="urn:schemas-microsoft-com:office:smarttags" w:element="chmetcnv">
        <w:smartTagPr>
          <w:attr w:name="UnitName" w:val="m"/>
          <w:attr w:name="SourceValue" w:val="2"/>
          <w:attr w:name="HasSpace" w:val="True"/>
          <w:attr w:name="Negative" w:val="False"/>
          <w:attr w:name="NumberType" w:val="1"/>
          <w:attr w:name="TCSC" w:val="0"/>
        </w:smartTagPr>
        <w:r w:rsidRPr="00A428C3">
          <w:t>2 M</w:t>
        </w:r>
      </w:smartTag>
      <w:r w:rsidRPr="00A428C3">
        <w:t xml:space="preserve"> NaCl for Hg(II), Cd(II)</w:t>
      </w:r>
      <w:r w:rsidR="00F81221">
        <w:t xml:space="preserve"> and </w:t>
      </w:r>
      <w:r w:rsidRPr="00A428C3">
        <w:t>Pb(II) ions. (c) 2006 Elsevier B.V. All rights reserved.</w:t>
      </w:r>
    </w:p>
    <w:p w:rsidR="00B95188" w:rsidRPr="00A428C3" w:rsidRDefault="00B95188" w:rsidP="00B95188">
      <w:pPr>
        <w:pStyle w:val="a0"/>
      </w:pPr>
      <w:r w:rsidRPr="00A428C3">
        <w:t xml:space="preserve">Keywords: Adsorption, Adsorption, Adsorption Isotherms, Adsorption Kinetic, Algae, Alginate, Binding, Biomass, Biosorption, Copper, Equilibrium, Heavy Metal, Heavy-Metals, Kinetics, Microalgae, </w:t>
      </w:r>
      <w:r>
        <w:rPr>
          <w:rFonts w:hint="eastAsia"/>
        </w:rPr>
        <w:t>p</w:t>
      </w:r>
      <w:r w:rsidRPr="00A428C3">
        <w:t>H, Removal</w:t>
      </w:r>
    </w:p>
    <w:p w:rsidR="00D83A7F" w:rsidRDefault="00D83A7F" w:rsidP="00D83A7F">
      <w:pPr>
        <w:pStyle w:val="a0"/>
        <w:rPr>
          <w:kern w:val="0"/>
        </w:rPr>
      </w:pPr>
      <w:r>
        <w:rPr>
          <w:rFonts w:hint="eastAsia"/>
          <w:kern w:val="0"/>
        </w:rPr>
        <w:t xml:space="preserve">? </w:t>
      </w:r>
      <w:r>
        <w:rPr>
          <w:kern w:val="0"/>
        </w:rPr>
        <w:t>Coleman, N.J., Trice, C.J.</w:t>
      </w:r>
      <w:r w:rsidR="00F81221">
        <w:rPr>
          <w:kern w:val="0"/>
        </w:rPr>
        <w:t xml:space="preserve"> and </w:t>
      </w:r>
      <w:r>
        <w:rPr>
          <w:kern w:val="0"/>
        </w:rPr>
        <w:t>Nicholson, J.W. (2009), 11 Å tobermorite from cement bypass dust</w:t>
      </w:r>
      <w:r w:rsidR="00F81221">
        <w:rPr>
          <w:kern w:val="0"/>
        </w:rPr>
        <w:t xml:space="preserve"> and </w:t>
      </w:r>
      <w:r>
        <w:rPr>
          <w:kern w:val="0"/>
        </w:rPr>
        <w:t xml:space="preserve">waste container glass: A feasibility study. </w:t>
      </w:r>
      <w:r>
        <w:rPr>
          <w:i/>
          <w:iCs/>
          <w:kern w:val="0"/>
        </w:rPr>
        <w:t>International Journal of Mineral Processing</w:t>
      </w:r>
      <w:r>
        <w:rPr>
          <w:kern w:val="0"/>
        </w:rPr>
        <w:t xml:space="preserve">, </w:t>
      </w:r>
      <w:r>
        <w:rPr>
          <w:b/>
          <w:bCs/>
          <w:kern w:val="0"/>
        </w:rPr>
        <w:t>93</w:t>
      </w:r>
      <w:r>
        <w:rPr>
          <w:kern w:val="0"/>
        </w:rPr>
        <w:t xml:space="preserve"> (1), 73-78.</w:t>
      </w:r>
    </w:p>
    <w:p w:rsidR="00D83A7F" w:rsidRDefault="00D83A7F" w:rsidP="00D83A7F">
      <w:pPr>
        <w:pStyle w:val="a0"/>
        <w:rPr>
          <w:kern w:val="0"/>
        </w:rPr>
      </w:pPr>
      <w:r>
        <w:rPr>
          <w:kern w:val="0"/>
        </w:rPr>
        <w:t xml:space="preserve">Full Text: </w:t>
      </w:r>
      <w:hyperlink r:id="rId1990" w:history="1">
        <w:r w:rsidRPr="008A5EF3">
          <w:rPr>
            <w:rStyle w:val="a5"/>
            <w:kern w:val="0"/>
          </w:rPr>
          <w:t>2009\Int J Min Pro93, 73.pdf</w:t>
        </w:r>
      </w:hyperlink>
    </w:p>
    <w:p w:rsidR="00D83A7F" w:rsidRDefault="00D83A7F" w:rsidP="00D83A7F">
      <w:pPr>
        <w:pStyle w:val="a0"/>
        <w:rPr>
          <w:kern w:val="0"/>
        </w:rPr>
      </w:pPr>
      <w:r>
        <w:rPr>
          <w:kern w:val="0"/>
        </w:rPr>
        <w:t>Abstract: A novel one-step hydrothermal synthesis of 11 Å</w:t>
      </w:r>
      <w:r>
        <w:rPr>
          <w:rFonts w:hint="eastAsia"/>
          <w:kern w:val="0"/>
        </w:rPr>
        <w:t xml:space="preserve"> </w:t>
      </w:r>
      <w:r>
        <w:rPr>
          <w:kern w:val="0"/>
        </w:rPr>
        <w:t>tobermorite, a cation exchanger, from a unique combination of waste materials is reported. 11 Å tobermorite was prepared from stoicheiometric quantities of cement bypass dust</w:t>
      </w:r>
      <w:r w:rsidR="00F81221">
        <w:rPr>
          <w:kern w:val="0"/>
        </w:rPr>
        <w:t xml:space="preserve"> and </w:t>
      </w:r>
      <w:r>
        <w:rPr>
          <w:kern w:val="0"/>
        </w:rPr>
        <w:t>waste container glass at 100ºC in water. The product also comprised 10 wt.% calcite</w:t>
      </w:r>
      <w:r w:rsidR="00F81221">
        <w:rPr>
          <w:kern w:val="0"/>
        </w:rPr>
        <w:t xml:space="preserve"> and </w:t>
      </w:r>
      <w:r>
        <w:rPr>
          <w:kern w:val="0"/>
        </w:rPr>
        <w:t>trace quartz as residual parent phases from the cement bypass dust. In a batch sorption study at 20ºC the uptakes of Cd</w:t>
      </w:r>
      <w:r w:rsidRPr="00E1160A">
        <w:rPr>
          <w:kern w:val="0"/>
          <w:vertAlign w:val="superscript"/>
        </w:rPr>
        <w:t>2+</w:t>
      </w:r>
      <w:r w:rsidR="00F81221">
        <w:rPr>
          <w:kern w:val="0"/>
        </w:rPr>
        <w:t xml:space="preserve"> and </w:t>
      </w:r>
      <w:r>
        <w:rPr>
          <w:kern w:val="0"/>
        </w:rPr>
        <w:t>Pb</w:t>
      </w:r>
      <w:r w:rsidRPr="00E1160A">
        <w:rPr>
          <w:kern w:val="0"/>
          <w:vertAlign w:val="superscript"/>
        </w:rPr>
        <w:t>2+</w:t>
      </w:r>
      <w:r>
        <w:rPr>
          <w:kern w:val="0"/>
        </w:rPr>
        <w:t xml:space="preserve"> by the waste-derived tobermorite product were found to be 171 mg g</w:t>
      </w:r>
      <w:r>
        <w:rPr>
          <w:rFonts w:hint="eastAsia"/>
          <w:kern w:val="0"/>
          <w:vertAlign w:val="superscript"/>
        </w:rPr>
        <w:t>-1</w:t>
      </w:r>
      <w:r w:rsidR="00F81221">
        <w:rPr>
          <w:kern w:val="0"/>
        </w:rPr>
        <w:t xml:space="preserve"> and </w:t>
      </w:r>
      <w:r>
        <w:rPr>
          <w:kern w:val="0"/>
        </w:rPr>
        <w:t>467 mg g</w:t>
      </w:r>
      <w:r>
        <w:rPr>
          <w:rFonts w:hint="eastAsia"/>
          <w:kern w:val="0"/>
          <w:vertAlign w:val="superscript"/>
        </w:rPr>
        <w:t>-1</w:t>
      </w:r>
      <w:r>
        <w:rPr>
          <w:kern w:val="0"/>
        </w:rPr>
        <w:t>, respectively,</w:t>
      </w:r>
      <w:r w:rsidR="00F81221">
        <w:rPr>
          <w:kern w:val="0"/>
        </w:rPr>
        <w:t xml:space="preserve"> and </w:t>
      </w:r>
      <w:r>
        <w:rPr>
          <w:kern w:val="0"/>
        </w:rPr>
        <w:t>in both cases the removal process could be described using a simple pseudo-second-order rate model (k(2)=2.30×10</w:t>
      </w:r>
      <w:r>
        <w:rPr>
          <w:kern w:val="0"/>
          <w:vertAlign w:val="superscript"/>
        </w:rPr>
        <w:t>-5</w:t>
      </w:r>
      <w:r>
        <w:rPr>
          <w:kern w:val="0"/>
        </w:rPr>
        <w:t xml:space="preserve"> g mg</w:t>
      </w:r>
      <w:r>
        <w:rPr>
          <w:kern w:val="0"/>
          <w:vertAlign w:val="superscript"/>
        </w:rPr>
        <w:t>-1</w:t>
      </w:r>
      <w:r>
        <w:rPr>
          <w:kern w:val="0"/>
        </w:rPr>
        <w:t xml:space="preserve"> min</w:t>
      </w:r>
      <w:r>
        <w:rPr>
          <w:kern w:val="0"/>
          <w:vertAlign w:val="superscript"/>
        </w:rPr>
        <w:t>-1</w:t>
      </w:r>
      <w:r w:rsidR="00F81221">
        <w:rPr>
          <w:kern w:val="0"/>
        </w:rPr>
        <w:t xml:space="preserve"> and </w:t>
      </w:r>
      <w:r>
        <w:rPr>
          <w:kern w:val="0"/>
        </w:rPr>
        <w:t>5.09×10</w:t>
      </w:r>
      <w:r>
        <w:rPr>
          <w:kern w:val="0"/>
          <w:vertAlign w:val="superscript"/>
        </w:rPr>
        <w:t>-5</w:t>
      </w:r>
      <w:r>
        <w:rPr>
          <w:kern w:val="0"/>
        </w:rPr>
        <w:t xml:space="preserve"> g mg</w:t>
      </w:r>
      <w:r>
        <w:rPr>
          <w:kern w:val="0"/>
          <w:vertAlign w:val="superscript"/>
        </w:rPr>
        <w:t>-1</w:t>
      </w:r>
      <w:r>
        <w:rPr>
          <w:kern w:val="0"/>
        </w:rPr>
        <w:t xml:space="preserve"> min</w:t>
      </w:r>
      <w:r>
        <w:rPr>
          <w:kern w:val="0"/>
          <w:vertAlign w:val="superscript"/>
        </w:rPr>
        <w:t>-1</w:t>
      </w:r>
      <w:r>
        <w:rPr>
          <w:kern w:val="0"/>
        </w:rPr>
        <w:t>, respectively). The sorption characteristics of the 11 angstrom tobermorite are compared with those of other waste-derived sorbents</w:t>
      </w:r>
      <w:r w:rsidR="00F81221">
        <w:rPr>
          <w:kern w:val="0"/>
        </w:rPr>
        <w:t xml:space="preserve"> and </w:t>
      </w:r>
      <w:r>
        <w:rPr>
          <w:kern w:val="0"/>
        </w:rPr>
        <w:t>potential applications are discussed. (C) 2009 Elsevier B.V. All rights reserved.</w:t>
      </w:r>
    </w:p>
    <w:p w:rsidR="00D83A7F" w:rsidRDefault="00D83A7F" w:rsidP="00D83A7F">
      <w:pPr>
        <w:pStyle w:val="a0"/>
        <w:rPr>
          <w:kern w:val="0"/>
        </w:rPr>
      </w:pPr>
      <w:r>
        <w:rPr>
          <w:kern w:val="0"/>
        </w:rPr>
        <w:lastRenderedPageBreak/>
        <w:t>Keywords: Adsorption, Aqueous-Solutions, Batch, Calcite, Cation, Cation Exchanger, Cd</w:t>
      </w:r>
      <w:r w:rsidRPr="008A5EF3">
        <w:rPr>
          <w:kern w:val="0"/>
          <w:vertAlign w:val="superscript"/>
        </w:rPr>
        <w:t>2+</w:t>
      </w:r>
      <w:r>
        <w:rPr>
          <w:kern w:val="0"/>
        </w:rPr>
        <w:t>, Cement, Characteristics, Chitosan, Dust, Exchange, Feasibility, Fly-Ash, Glass, Groundwater, Heavy Metal Removal, Hydrothermal Synthesis, Metal-Ions, Mineral Recycling, Model, Pb</w:t>
      </w:r>
      <w:r w:rsidRPr="00E1160A">
        <w:rPr>
          <w:kern w:val="0"/>
          <w:vertAlign w:val="superscript"/>
        </w:rPr>
        <w:t>2+</w:t>
      </w:r>
      <w:r>
        <w:rPr>
          <w:kern w:val="0"/>
        </w:rPr>
        <w:t>, Potential, Pseudo Second Order, Pseudo-Second-Order, Pseudo-Second-Order Kinetic Model, Pseudo-Second-Order Rate, Quartz, Remediation, Removal, Rights, Sorbents, Sorption, Sorption, Synthesis, Tobermorite, Waste, Waste Materials, Water</w:t>
      </w:r>
    </w:p>
    <w:p w:rsidR="00125ECF" w:rsidRDefault="00125ECF" w:rsidP="00125ECF">
      <w:pPr>
        <w:pStyle w:val="a0"/>
        <w:rPr>
          <w:kern w:val="0"/>
        </w:rPr>
      </w:pPr>
      <w:r>
        <w:rPr>
          <w:rFonts w:hint="eastAsia"/>
          <w:kern w:val="0"/>
        </w:rPr>
        <w:t xml:space="preserve">? </w:t>
      </w:r>
      <w:r>
        <w:rPr>
          <w:kern w:val="0"/>
        </w:rPr>
        <w:t>Rao, K.S., Chaudhury, G.R.</w:t>
      </w:r>
      <w:r w:rsidR="00F81221">
        <w:rPr>
          <w:kern w:val="0"/>
        </w:rPr>
        <w:t xml:space="preserve"> and </w:t>
      </w:r>
      <w:r>
        <w:rPr>
          <w:kern w:val="0"/>
        </w:rPr>
        <w:t>Mishra, B.K. (2010), Kinetics</w:t>
      </w:r>
      <w:r w:rsidR="00F81221">
        <w:rPr>
          <w:kern w:val="0"/>
        </w:rPr>
        <w:t xml:space="preserve"> and </w:t>
      </w:r>
      <w:r>
        <w:rPr>
          <w:kern w:val="0"/>
        </w:rPr>
        <w:t xml:space="preserve">equilibrium studies for the removal of cadmium ions from aqueous solutions using Duolite ES 467 resin. </w:t>
      </w:r>
      <w:r>
        <w:rPr>
          <w:i/>
          <w:iCs/>
          <w:kern w:val="0"/>
        </w:rPr>
        <w:t>International Journal of Mineral Processing</w:t>
      </w:r>
      <w:r>
        <w:rPr>
          <w:kern w:val="0"/>
        </w:rPr>
        <w:t xml:space="preserve">, </w:t>
      </w:r>
      <w:r>
        <w:rPr>
          <w:b/>
          <w:bCs/>
          <w:kern w:val="0"/>
        </w:rPr>
        <w:t>97</w:t>
      </w:r>
      <w:r>
        <w:rPr>
          <w:kern w:val="0"/>
        </w:rPr>
        <w:t xml:space="preserve"> (1-4), 68-73.</w:t>
      </w:r>
    </w:p>
    <w:p w:rsidR="00125ECF" w:rsidRPr="00F219CA" w:rsidRDefault="00125ECF" w:rsidP="00125ECF">
      <w:pPr>
        <w:pStyle w:val="a0"/>
        <w:rPr>
          <w:kern w:val="0"/>
        </w:rPr>
      </w:pPr>
      <w:r>
        <w:rPr>
          <w:rFonts w:hint="eastAsia"/>
          <w:kern w:val="0"/>
        </w:rPr>
        <w:t xml:space="preserve">Full Text: </w:t>
      </w:r>
      <w:hyperlink r:id="rId1991" w:history="1">
        <w:r w:rsidRPr="00125ECF">
          <w:rPr>
            <w:rStyle w:val="a5"/>
            <w:kern w:val="0"/>
          </w:rPr>
          <w:t>2010\Int J Min Pro97, 68.pdf</w:t>
        </w:r>
      </w:hyperlink>
    </w:p>
    <w:p w:rsidR="00125ECF" w:rsidRDefault="00125ECF" w:rsidP="00125ECF">
      <w:pPr>
        <w:pStyle w:val="a0"/>
        <w:rPr>
          <w:kern w:val="0"/>
        </w:rPr>
      </w:pPr>
      <w:r>
        <w:rPr>
          <w:kern w:val="0"/>
        </w:rPr>
        <w:t>Abstract: Kinetic</w:t>
      </w:r>
      <w:r w:rsidR="00F81221">
        <w:rPr>
          <w:kern w:val="0"/>
        </w:rPr>
        <w:t xml:space="preserve"> and </w:t>
      </w:r>
      <w:r>
        <w:rPr>
          <w:kern w:val="0"/>
        </w:rPr>
        <w:t>equilibrium studies were conducted with cation exchange resin (Duolite ES 467) to investigate the effectiveness of removal of cadmium ions from aqueous solutions in a batch mode. The effect of various parameters was studied, such as contact time, agitation speed, sorbent mass, sorbate concentration, pH, competitive ion</w:t>
      </w:r>
      <w:r w:rsidR="00F81221">
        <w:rPr>
          <w:kern w:val="0"/>
        </w:rPr>
        <w:t xml:space="preserve"> and </w:t>
      </w:r>
      <w:r>
        <w:rPr>
          <w:kern w:val="0"/>
        </w:rPr>
        <w:t>temperature. The kinetic data were analyzed by finding their fitness to the well-known Lagergren</w:t>
      </w:r>
      <w:r w:rsidR="00F81221">
        <w:rPr>
          <w:kern w:val="0"/>
        </w:rPr>
        <w:t xml:space="preserve"> and </w:t>
      </w:r>
      <w:r>
        <w:rPr>
          <w:kern w:val="0"/>
        </w:rPr>
        <w:t>pseudo-second-order models using linear</w:t>
      </w:r>
      <w:r w:rsidR="00F81221">
        <w:rPr>
          <w:kern w:val="0"/>
        </w:rPr>
        <w:t xml:space="preserve"> and </w:t>
      </w:r>
      <w:r>
        <w:rPr>
          <w:kern w:val="0"/>
        </w:rPr>
        <w:t>non-linear curve fitting methods. Equilibrium isotherms generated were tested by applying Langmuir</w:t>
      </w:r>
      <w:r w:rsidR="00F81221">
        <w:rPr>
          <w:kern w:val="0"/>
        </w:rPr>
        <w:t xml:space="preserve"> and </w:t>
      </w:r>
      <w:r>
        <w:rPr>
          <w:kern w:val="0"/>
        </w:rPr>
        <w:t>Freundlich isotherm models using both linear</w:t>
      </w:r>
      <w:r w:rsidR="00F81221">
        <w:rPr>
          <w:kern w:val="0"/>
        </w:rPr>
        <w:t xml:space="preserve"> and </w:t>
      </w:r>
      <w:r>
        <w:rPr>
          <w:kern w:val="0"/>
        </w:rPr>
        <w:t>non-linear methods. The optimum contact time</w:t>
      </w:r>
      <w:r w:rsidR="00F81221">
        <w:rPr>
          <w:kern w:val="0"/>
        </w:rPr>
        <w:t xml:space="preserve"> and </w:t>
      </w:r>
      <w:r>
        <w:rPr>
          <w:kern w:val="0"/>
        </w:rPr>
        <w:t>agitation speed were found to be 60 min</w:t>
      </w:r>
      <w:r w:rsidR="00F81221">
        <w:rPr>
          <w:kern w:val="0"/>
        </w:rPr>
        <w:t xml:space="preserve"> and </w:t>
      </w:r>
      <w:r>
        <w:rPr>
          <w:kern w:val="0"/>
        </w:rPr>
        <w:t>600 rpm, respectively. The presence of sodium chloride ions in solution drastically reduced the cadmium uptake. On the other hand, higher pH</w:t>
      </w:r>
      <w:r w:rsidR="00F81221">
        <w:rPr>
          <w:kern w:val="0"/>
        </w:rPr>
        <w:t xml:space="preserve"> and </w:t>
      </w:r>
      <w:r>
        <w:rPr>
          <w:kern w:val="0"/>
        </w:rPr>
        <w:t>temperature enhanced sorption. The non-linear curve fitting analysis method was found to fit the data better than the linear method. Similarly the Langmuir isotherm model has an edge over the Freundlich model. The calculated thermodynamic parameters such as Delta G(0), Delta H-0</w:t>
      </w:r>
      <w:r w:rsidR="00F81221">
        <w:rPr>
          <w:kern w:val="0"/>
        </w:rPr>
        <w:t xml:space="preserve"> and </w:t>
      </w:r>
      <w:r>
        <w:rPr>
          <w:kern w:val="0"/>
        </w:rPr>
        <w:t>Delta S-0 indicate the effectiveness of Duolite ES 467 resin to remove cadmium from solution. (C) 2010 Elsevier B.V. All rights reserved.</w:t>
      </w:r>
    </w:p>
    <w:p w:rsidR="00125ECF" w:rsidRDefault="00125ECF" w:rsidP="00125ECF">
      <w:pPr>
        <w:pStyle w:val="a0"/>
        <w:rPr>
          <w:kern w:val="0"/>
        </w:rPr>
      </w:pPr>
      <w:r>
        <w:rPr>
          <w:kern w:val="0"/>
        </w:rPr>
        <w:t>Keywords: Adsorption, Agricultural Waste, Analysis, Aqueous Solutions, Batch, Batch Mode, Bone Char, Cadmium, Cation Exchange, Contact Time, Data, Equilibrium, Equilibrium Isotherms, Exchange, Fitness, Freundlich, Freundlich Isotherm, Freundlich Model, Isotherm, Isotherm Models, Isotherms, Kinetic, Kinetics, Langmuir, Langmuir</w:t>
      </w:r>
      <w:r w:rsidR="00F81221">
        <w:rPr>
          <w:kern w:val="0"/>
        </w:rPr>
        <w:t xml:space="preserve"> and </w:t>
      </w:r>
      <w:r>
        <w:rPr>
          <w:kern w:val="0"/>
        </w:rPr>
        <w:t>Freundlich Isotherm, Langmuir Isotherm, Metal-Ions, Model, Models, pH, Pseudo Second Order, Pseudo-Second-Order, Removal, Resin, Sodium Chloride, Sorbent, Sorption, Sorption, Synthetic Resin, Temperature, Thermodynamic, Thermodynamic Parameters, Tree Fern, Uptake, Waste-Water, Wheat Bran</w:t>
      </w:r>
    </w:p>
    <w:p w:rsidR="00BC1F9C" w:rsidRDefault="00BC1F9C" w:rsidP="00BC1F9C">
      <w:pPr>
        <w:pStyle w:val="a0"/>
        <w:rPr>
          <w:kern w:val="0"/>
        </w:rPr>
      </w:pPr>
      <w:r>
        <w:rPr>
          <w:rFonts w:hint="eastAsia"/>
          <w:kern w:val="0"/>
        </w:rPr>
        <w:t xml:space="preserve">? </w:t>
      </w:r>
      <w:r>
        <w:rPr>
          <w:kern w:val="0"/>
        </w:rPr>
        <w:t xml:space="preserve">Zaghouane-Boudiaf, H. and Boutahala, M. (2011), Kinetic analysis of 2,4,5-trichlorophenol adsorption onto acid-activated montmorillonite from aqueous solution. </w:t>
      </w:r>
      <w:r>
        <w:rPr>
          <w:i/>
          <w:iCs/>
          <w:kern w:val="0"/>
        </w:rPr>
        <w:t>International Journal of Mineral Processing</w:t>
      </w:r>
      <w:r>
        <w:rPr>
          <w:kern w:val="0"/>
        </w:rPr>
        <w:t xml:space="preserve">, </w:t>
      </w:r>
      <w:r>
        <w:rPr>
          <w:b/>
          <w:bCs/>
          <w:kern w:val="0"/>
        </w:rPr>
        <w:t>100</w:t>
      </w:r>
      <w:r>
        <w:rPr>
          <w:kern w:val="0"/>
        </w:rPr>
        <w:t xml:space="preserve"> (3-4), 72-78.</w:t>
      </w:r>
    </w:p>
    <w:p w:rsidR="00BC1F9C" w:rsidRPr="007D79E8" w:rsidRDefault="00BC1F9C" w:rsidP="00BC1F9C">
      <w:pPr>
        <w:pStyle w:val="a0"/>
        <w:rPr>
          <w:kern w:val="0"/>
        </w:rPr>
      </w:pPr>
      <w:r w:rsidRPr="007D79E8">
        <w:rPr>
          <w:kern w:val="0"/>
        </w:rPr>
        <w:lastRenderedPageBreak/>
        <w:t>Full Text:</w:t>
      </w:r>
      <w:r>
        <w:rPr>
          <w:rFonts w:hint="eastAsia"/>
          <w:kern w:val="0"/>
        </w:rPr>
        <w:t xml:space="preserve"> </w:t>
      </w:r>
      <w:hyperlink r:id="rId1992" w:history="1">
        <w:r w:rsidRPr="003500A1">
          <w:rPr>
            <w:rStyle w:val="a5"/>
            <w:kern w:val="0"/>
          </w:rPr>
          <w:t>2011\Int J Min Pro100, 72.pdf</w:t>
        </w:r>
      </w:hyperlink>
    </w:p>
    <w:p w:rsidR="00BC1F9C" w:rsidRDefault="00BC1F9C" w:rsidP="00BC1F9C">
      <w:pPr>
        <w:pStyle w:val="a0"/>
        <w:rPr>
          <w:kern w:val="0"/>
        </w:rPr>
      </w:pPr>
      <w:r>
        <w:rPr>
          <w:kern w:val="0"/>
        </w:rPr>
        <w:t>Abstract: This study has investigated the potential use of acid-activated montmorillonite (AMt) as adsorbent for the removal of 2,4,5-trichlorophenol (2,4,5-TCP) from aqueous solution. The kinetics of adsorption were studied in a batch system. Important parameters which affect the adsorption, such as pH of solution, the mass of acid-activated montmorillonite, temperature and initial TCP concentration have been investigated. The increase in adsorbent mass, pH and temperature resulted in a lower TCP loading per unit weight of the acid-activated montmorillonite, but an increase of adsorption was observed when initial concentration of 2,4,5-TCP increases. The effect of different adsorption parameters was fitted to the pseudo-first-order, pseudo-second-order and the intraparticle kinetic models. The linear regression method was used to obtain the relative parameters. According to the error analysis, it was found that the pseudo-second-order kinetic model was better to predict the experimental results. The value of activation energy was calculated as 47.7 kJ/mol. The result obtained indicates that the adsorption is assigned to a physisorption. (C) 2011 Elsevier B.V. All rights reserved.</w:t>
      </w:r>
    </w:p>
    <w:p w:rsidR="00BC1F9C" w:rsidRDefault="00BC1F9C" w:rsidP="00BC1F9C">
      <w:pPr>
        <w:pStyle w:val="a0"/>
        <w:rPr>
          <w:kern w:val="0"/>
        </w:rPr>
      </w:pPr>
      <w:r>
        <w:rPr>
          <w:kern w:val="0"/>
        </w:rPr>
        <w:t>Keywords: 2,4,5-Trichlorophenol, 2,4.5-Trichlorophenol, Acid-Activated Montmorillonite, Adsorbent, Adsorption, Aqueous Solution, Bentonite, Carbon, Chlorophenols, Clay, Isotherm, Isotherms, Kinetic, Kinetic Model, Kinetic Models, Kinetics, Model, Montmorillonite, pH, Phenol, Physisorption, Pseudo Second Order, Removal, Temperature, Water, XAD-4 Resin</w:t>
      </w:r>
    </w:p>
    <w:p w:rsidR="001D6375" w:rsidRDefault="001D6375" w:rsidP="001D6375">
      <w:pPr>
        <w:pStyle w:val="a0"/>
        <w:rPr>
          <w:kern w:val="0"/>
        </w:rPr>
      </w:pPr>
      <w:r>
        <w:rPr>
          <w:rFonts w:hint="eastAsia"/>
          <w:kern w:val="0"/>
        </w:rPr>
        <w:t xml:space="preserve">? </w:t>
      </w:r>
      <w:r>
        <w:rPr>
          <w:kern w:val="0"/>
        </w:rPr>
        <w:t xml:space="preserve">Donia, A.M., Atia, A.A., Daher, A.M., Desouky, O.A. and Elshehy, E.A. (2011), Selective separation of U(VI) from its solutions using amine modified silica gel produced from leached zircon. </w:t>
      </w:r>
      <w:r>
        <w:rPr>
          <w:i/>
          <w:iCs/>
          <w:kern w:val="0"/>
        </w:rPr>
        <w:t>International Journal of Mineral Processing</w:t>
      </w:r>
      <w:r>
        <w:rPr>
          <w:kern w:val="0"/>
        </w:rPr>
        <w:t xml:space="preserve">, </w:t>
      </w:r>
      <w:r>
        <w:rPr>
          <w:b/>
          <w:bCs/>
          <w:kern w:val="0"/>
        </w:rPr>
        <w:t>101</w:t>
      </w:r>
      <w:r>
        <w:rPr>
          <w:kern w:val="0"/>
        </w:rPr>
        <w:t xml:space="preserve"> (1-4), 81-88.</w:t>
      </w:r>
    </w:p>
    <w:p w:rsidR="001D6375" w:rsidRDefault="001D6375" w:rsidP="001D6375">
      <w:pPr>
        <w:pStyle w:val="a0"/>
        <w:rPr>
          <w:kern w:val="0"/>
        </w:rPr>
      </w:pPr>
      <w:r>
        <w:rPr>
          <w:kern w:val="0"/>
        </w:rPr>
        <w:t>Full Text:</w:t>
      </w:r>
      <w:r w:rsidRPr="00B025C1">
        <w:t xml:space="preserve"> </w:t>
      </w:r>
      <w:hyperlink r:id="rId1993" w:history="1">
        <w:r w:rsidRPr="006961C5">
          <w:rPr>
            <w:rStyle w:val="a5"/>
          </w:rPr>
          <w:t>2011\Int J Min Pro101, 81.pdf</w:t>
        </w:r>
      </w:hyperlink>
    </w:p>
    <w:p w:rsidR="001D6375" w:rsidRDefault="001D6375" w:rsidP="001D6375">
      <w:pPr>
        <w:pStyle w:val="a0"/>
        <w:rPr>
          <w:kern w:val="0"/>
        </w:rPr>
      </w:pPr>
      <w:r>
        <w:rPr>
          <w:kern w:val="0"/>
        </w:rPr>
        <w:t>Abstract: A solution of sodium silicate produced from the alkali fusion of Egyptian zircon mineral as a waste was used to prepare silica gel in the pH range 6-7. The surface of the obtained silica was functionalized with diethylenetriamine (DET) and tetraethylenepentamine (TEP) to give triamine modified silica (TAMS) and pentamine modified silica (PAMS), respectively. The success of functionalization process was confirmed by means of FT-IR, energy dispersive X-ray analysis (EDX) and elemental analysis. The surface properties of the modified silica obtained were also investigated. The uptake behavior of the modified silica towards U(VI) ions at different experimental conditions of pH. time, concentration and temperature was studied. The maximum uptake values at 25°C were found to be 90.3 and 112 mg/g for TAMS and PAMS, respectively, Kinetics and thermodynamics studies showed an endothermic pseudo-second order adsorption process. Regeneration of the loaded silica was performed using 1 M HNO</w:t>
      </w:r>
      <w:r>
        <w:rPr>
          <w:rFonts w:hint="eastAsia"/>
          <w:kern w:val="0"/>
          <w:vertAlign w:val="subscript"/>
        </w:rPr>
        <w:t>3</w:t>
      </w:r>
      <w:r>
        <w:rPr>
          <w:kern w:val="0"/>
        </w:rPr>
        <w:t xml:space="preserve">. The investigated silicas have successfully </w:t>
      </w:r>
      <w:r>
        <w:rPr>
          <w:kern w:val="0"/>
        </w:rPr>
        <w:lastRenderedPageBreak/>
        <w:t>been applied for extracting of U(VI) obtained from alkaline leaching of Egyptian monazite sand. (C) 2011 Elsevier B.V. All rights reserved.</w:t>
      </w:r>
    </w:p>
    <w:p w:rsidR="001D6375" w:rsidRDefault="001D6375" w:rsidP="001D6375">
      <w:pPr>
        <w:pStyle w:val="a0"/>
        <w:rPr>
          <w:kern w:val="0"/>
        </w:rPr>
      </w:pPr>
      <w:r>
        <w:rPr>
          <w:kern w:val="0"/>
        </w:rPr>
        <w:t>Keywords: Adsorption, Adsorption, Aqueous-Solutions, Complexes, Exchange, Extraction, FTIR, Kinetics, Leaching, Metal-Ions, Modified Silica, pH, Preconcentration, Regeneration, Silica, Thermodynamics, Thorium(IV), U(VI), Uranium, Uranium VI, Uranyl, Zircon</w:t>
      </w:r>
    </w:p>
    <w:p w:rsidR="00B95188" w:rsidRPr="00A428C3" w:rsidRDefault="00B95188" w:rsidP="00B95188">
      <w:pPr>
        <w:pStyle w:val="1"/>
      </w:pPr>
      <w:r w:rsidRPr="00A428C3">
        <w:br w:type="page"/>
      </w:r>
      <w:bookmarkStart w:id="1410" w:name="_Toc317161330"/>
      <w:r w:rsidRPr="00A428C3">
        <w:lastRenderedPageBreak/>
        <w:t xml:space="preserve">Title: </w:t>
      </w:r>
      <w:r w:rsidRPr="00A428C3">
        <w:rPr>
          <w:iCs/>
        </w:rPr>
        <w:t>International Journal of Modern Physics B</w:t>
      </w:r>
      <w:bookmarkEnd w:id="1410"/>
    </w:p>
    <w:p w:rsidR="00B95188" w:rsidRPr="00A428C3" w:rsidRDefault="00B95188" w:rsidP="00B72EF9">
      <w:pPr>
        <w:pStyle w:val="12"/>
      </w:pPr>
      <w:r w:rsidRPr="00A428C3">
        <w:t xml:space="preserve">Full Journal Title: </w:t>
      </w:r>
      <w:hyperlink r:id="rId1994" w:history="1">
        <w:r w:rsidRPr="00A428C3">
          <w:rPr>
            <w:rStyle w:val="a5"/>
            <w:iCs/>
          </w:rPr>
          <w:t>International Journal of Modern Physics B</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586CD8" w:rsidRDefault="00B95188" w:rsidP="00B95188">
      <w:pPr>
        <w:pStyle w:val="a0"/>
        <w:rPr>
          <w:kern w:val="2"/>
        </w:rPr>
      </w:pPr>
      <w:r w:rsidRPr="00586CD8">
        <w:rPr>
          <w:kern w:val="2"/>
        </w:rPr>
        <w:t>? Jamnik, A.</w:t>
      </w:r>
      <w:r w:rsidR="00F81221">
        <w:rPr>
          <w:kern w:val="2"/>
        </w:rPr>
        <w:t xml:space="preserve"> and </w:t>
      </w:r>
      <w:r w:rsidRPr="00586CD8">
        <w:rPr>
          <w:kern w:val="2"/>
        </w:rPr>
        <w:t>Luo, F. (2007), Modeling of adsorption in pores by means of third order plus second order perturbation density functional theory</w:t>
      </w:r>
      <w:r w:rsidR="00F81221">
        <w:rPr>
          <w:kern w:val="2"/>
        </w:rPr>
        <w:t xml:space="preserve"> and </w:t>
      </w:r>
      <w:r w:rsidRPr="00586CD8">
        <w:rPr>
          <w:kern w:val="2"/>
        </w:rPr>
        <w:t xml:space="preserve">Monte Carlo simulation. </w:t>
      </w:r>
      <w:r w:rsidRPr="00A428C3">
        <w:rPr>
          <w:i/>
          <w:iCs/>
          <w:kern w:val="0"/>
        </w:rPr>
        <w:t>International Journal of Modern Physics B</w:t>
      </w:r>
      <w:r w:rsidRPr="00586CD8">
        <w:rPr>
          <w:kern w:val="2"/>
        </w:rPr>
        <w:t xml:space="preserve">, </w:t>
      </w:r>
      <w:r w:rsidRPr="00A428C3">
        <w:rPr>
          <w:b/>
          <w:bCs/>
          <w:kern w:val="0"/>
        </w:rPr>
        <w:t>21</w:t>
      </w:r>
      <w:r w:rsidRPr="00586CD8">
        <w:rPr>
          <w:kern w:val="2"/>
        </w:rPr>
        <w:t xml:space="preserve"> (20), 3601-3619.</w:t>
      </w:r>
    </w:p>
    <w:p w:rsidR="00B95188" w:rsidRPr="00586CD8" w:rsidRDefault="00B95188" w:rsidP="00B95188">
      <w:pPr>
        <w:pStyle w:val="a0"/>
        <w:rPr>
          <w:kern w:val="2"/>
        </w:rPr>
      </w:pPr>
      <w:r w:rsidRPr="00586CD8">
        <w:rPr>
          <w:kern w:val="2"/>
        </w:rPr>
        <w:t xml:space="preserve">Full Text: </w:t>
      </w:r>
      <w:hyperlink r:id="rId1995" w:history="1">
        <w:r w:rsidRPr="00A428C3">
          <w:rPr>
            <w:rStyle w:val="a5"/>
            <w:kern w:val="0"/>
          </w:rPr>
          <w:t>2007\Int J Mod Phy B21, 3601.pdf</w:t>
        </w:r>
      </w:hyperlink>
    </w:p>
    <w:p w:rsidR="00B95188" w:rsidRPr="00586CD8" w:rsidRDefault="00B95188" w:rsidP="00B95188">
      <w:pPr>
        <w:pStyle w:val="a0"/>
        <w:rPr>
          <w:kern w:val="2"/>
        </w:rPr>
      </w:pPr>
      <w:r w:rsidRPr="00586CD8">
        <w:rPr>
          <w:kern w:val="2"/>
        </w:rPr>
        <w:t>Abstract: Results for the inhomogeneous structure of the hard-core repulsive Yukawa (HCRY) fluid</w:t>
      </w:r>
      <w:r w:rsidR="00F81221">
        <w:rPr>
          <w:kern w:val="2"/>
        </w:rPr>
        <w:t xml:space="preserve"> and </w:t>
      </w:r>
      <w:r w:rsidRPr="00586CD8">
        <w:rPr>
          <w:kern w:val="2"/>
        </w:rPr>
        <w:t>of the hard-core attractive Yukawa (HCAY) fluid in planar</w:t>
      </w:r>
      <w:r w:rsidR="00F81221">
        <w:rPr>
          <w:kern w:val="2"/>
        </w:rPr>
        <w:t xml:space="preserve"> and </w:t>
      </w:r>
      <w:r w:rsidRPr="00586CD8">
        <w:rPr>
          <w:kern w:val="2"/>
        </w:rPr>
        <w:t>in spherical micropores are presented. The density profiles are obtained by the recently proposed third order + second order perturbation density functional approximation (DFA)</w:t>
      </w:r>
      <w:r w:rsidR="00F81221">
        <w:rPr>
          <w:kern w:val="2"/>
        </w:rPr>
        <w:t xml:space="preserve"> and </w:t>
      </w:r>
      <w:r w:rsidRPr="00586CD8">
        <w:rPr>
          <w:kern w:val="2"/>
        </w:rPr>
        <w:t>compared with the results of open ensemble Monte Carlo simulation. As known from other recent studies, the reliability of the DFA theory considered in this work is very sensitive to the accuracy of the required bulk direct correlation function (DCF) obtained by the solution of the Ornstein-Zernike (OZ) equation combined by a suitable closure relation. Comparison between the DFA results</w:t>
      </w:r>
      <w:r w:rsidR="00F81221">
        <w:rPr>
          <w:kern w:val="2"/>
        </w:rPr>
        <w:t xml:space="preserve"> and </w:t>
      </w:r>
      <w:r w:rsidRPr="00586CD8">
        <w:rPr>
          <w:kern w:val="2"/>
        </w:rPr>
        <w:t>simulation data shows that for the HCRY fluid, the DFA theory utilizing the DCF obtained by the OZ equation supplemented by Malijevsky-Labik approximation satisfies the required accuracy for a broad range of conditions. The results for the nonuniform HCAY fluid obtained in our previous work via the mean spherical approximation (MSA)/OZ DCF showed larger disagreement in some cases. In addition, the MSA/OZ equation for the HCAY model failed to have a physical solution at subcritical temperatures when approaching the vapor-liquid coexistence curve. For this reason, an improved version of the theory incorporating nonlinear optimized random phase approximation (ORPA) in the OZ equation for the RDF calculation of the HCAY fluid is applied. This leads to much better agreement of the DFA predictions with the simulation data. In addition, the calculations can also be performed at the conditions at which the MSA/OZ equation has no physical solution.</w:t>
      </w:r>
    </w:p>
    <w:p w:rsidR="00B95188" w:rsidRPr="00586CD8" w:rsidRDefault="00B95188" w:rsidP="00B95188">
      <w:pPr>
        <w:pStyle w:val="a0"/>
        <w:rPr>
          <w:kern w:val="2"/>
        </w:rPr>
      </w:pPr>
      <w:r w:rsidRPr="00586CD8">
        <w:rPr>
          <w:kern w:val="2"/>
        </w:rPr>
        <w:lastRenderedPageBreak/>
        <w:t>Keywords: Adsorption, Bridge Function, Free-Energy Model, Hard-Sphere Fluid, Inhomogeneous Systems, Lagrangian Theorem, Lennard-Jones Fluid, Molecular Theory, Monte Carlo Simulation, Nonuniform Fluid, Perturbation Density Functional Theory, Radial-Distribution Function, Solid-Liquid Interface, Theory, Uniform Fluids</w:t>
      </w:r>
    </w:p>
    <w:p w:rsidR="00EC391F" w:rsidRPr="00A428C3" w:rsidRDefault="00EC391F" w:rsidP="00EC391F">
      <w:pPr>
        <w:pStyle w:val="1"/>
      </w:pPr>
      <w:r w:rsidRPr="00A428C3">
        <w:br w:type="page"/>
      </w:r>
      <w:bookmarkStart w:id="1411" w:name="_Toc317161331"/>
      <w:r w:rsidRPr="00A428C3">
        <w:lastRenderedPageBreak/>
        <w:t xml:space="preserve">Title: </w:t>
      </w:r>
      <w:r w:rsidRPr="00EC391F">
        <w:rPr>
          <w:iCs/>
        </w:rPr>
        <w:t>International Journal of Modern Physics C</w:t>
      </w:r>
      <w:bookmarkEnd w:id="1411"/>
    </w:p>
    <w:p w:rsidR="00EC391F" w:rsidRPr="00A428C3" w:rsidRDefault="00EC391F" w:rsidP="00B72EF9">
      <w:pPr>
        <w:pStyle w:val="12"/>
      </w:pPr>
      <w:r w:rsidRPr="00A428C3">
        <w:t xml:space="preserve">Full Journal Title: </w:t>
      </w:r>
      <w:r w:rsidRPr="00EC391F">
        <w:t>International Journal of Modern Physics C</w:t>
      </w:r>
    </w:p>
    <w:p w:rsidR="00EC391F" w:rsidRPr="00A428C3" w:rsidRDefault="00EC391F" w:rsidP="00B72EF9">
      <w:pPr>
        <w:pStyle w:val="12"/>
      </w:pPr>
      <w:r w:rsidRPr="00A428C3">
        <w:t xml:space="preserve">ISO Abbreviated Title: </w:t>
      </w:r>
    </w:p>
    <w:p w:rsidR="00EC391F" w:rsidRPr="00A428C3" w:rsidRDefault="00EC391F" w:rsidP="00B72EF9">
      <w:pPr>
        <w:pStyle w:val="12"/>
      </w:pPr>
      <w:r w:rsidRPr="00A428C3">
        <w:t xml:space="preserve">JCR Abbreviated Title: </w:t>
      </w:r>
    </w:p>
    <w:p w:rsidR="00EC391F" w:rsidRPr="00A428C3" w:rsidRDefault="00EC391F" w:rsidP="00B72EF9">
      <w:pPr>
        <w:pStyle w:val="12"/>
      </w:pPr>
      <w:r w:rsidRPr="00A428C3">
        <w:t xml:space="preserve">ISSN: </w:t>
      </w:r>
    </w:p>
    <w:p w:rsidR="00EC391F" w:rsidRPr="00A428C3" w:rsidRDefault="00EC391F" w:rsidP="00B72EF9">
      <w:pPr>
        <w:pStyle w:val="12"/>
      </w:pPr>
      <w:r w:rsidRPr="00A428C3">
        <w:t xml:space="preserve">Issues/Year: </w:t>
      </w:r>
    </w:p>
    <w:p w:rsidR="00EC391F" w:rsidRPr="00A428C3" w:rsidRDefault="00EC391F" w:rsidP="00B72EF9">
      <w:pPr>
        <w:pStyle w:val="12"/>
      </w:pPr>
      <w:r w:rsidRPr="00A428C3">
        <w:t xml:space="preserve">Journal Country/Territory: </w:t>
      </w:r>
    </w:p>
    <w:p w:rsidR="00EC391F" w:rsidRPr="00A428C3" w:rsidRDefault="00EC391F" w:rsidP="00B72EF9">
      <w:pPr>
        <w:pStyle w:val="12"/>
      </w:pPr>
      <w:r w:rsidRPr="00A428C3">
        <w:t xml:space="preserve">Language: </w:t>
      </w:r>
    </w:p>
    <w:p w:rsidR="00EC391F" w:rsidRPr="00A428C3" w:rsidRDefault="00EC391F" w:rsidP="00B72EF9">
      <w:pPr>
        <w:pStyle w:val="12"/>
      </w:pPr>
      <w:r w:rsidRPr="00A428C3">
        <w:t xml:space="preserve">Publisher: </w:t>
      </w:r>
    </w:p>
    <w:p w:rsidR="00EC391F" w:rsidRPr="00A428C3" w:rsidRDefault="00EC391F" w:rsidP="00B72EF9">
      <w:pPr>
        <w:pStyle w:val="12"/>
      </w:pPr>
      <w:r w:rsidRPr="00A428C3">
        <w:t xml:space="preserve">Publisher Address: </w:t>
      </w:r>
    </w:p>
    <w:p w:rsidR="00EC391F" w:rsidRPr="00A428C3" w:rsidRDefault="00EC391F" w:rsidP="00B72EF9">
      <w:pPr>
        <w:pStyle w:val="12"/>
      </w:pPr>
      <w:r w:rsidRPr="00A428C3">
        <w:t>Subject Categories:</w:t>
      </w:r>
    </w:p>
    <w:p w:rsidR="00EC391F" w:rsidRPr="00A428C3" w:rsidRDefault="00EC391F" w:rsidP="00B72EF9">
      <w:pPr>
        <w:pStyle w:val="12"/>
      </w:pPr>
      <w:r w:rsidRPr="00A428C3">
        <w:t>: Impact Factor</w:t>
      </w:r>
    </w:p>
    <w:p w:rsidR="00EC391F" w:rsidRDefault="00EC391F" w:rsidP="00EC391F">
      <w:pPr>
        <w:pStyle w:val="a0"/>
        <w:rPr>
          <w:kern w:val="0"/>
        </w:rPr>
      </w:pPr>
      <w:r>
        <w:rPr>
          <w:kern w:val="0"/>
        </w:rPr>
        <w:t>? Ausloos, M., Lambiotte, R., Scharnhorst, A.</w:t>
      </w:r>
      <w:r w:rsidR="00F81221">
        <w:rPr>
          <w:kern w:val="0"/>
        </w:rPr>
        <w:t xml:space="preserve"> and </w:t>
      </w:r>
      <w:r>
        <w:rPr>
          <w:kern w:val="0"/>
        </w:rPr>
        <w:t xml:space="preserve">Hellsten, I. (2008), Andrzej Pekalski networks of scientific intersets with internal degrees of freedom through self-citation analysis. </w:t>
      </w:r>
      <w:r w:rsidRPr="00EC391F">
        <w:rPr>
          <w:i/>
          <w:iCs/>
          <w:kern w:val="0"/>
        </w:rPr>
        <w:t>International Journal of Modern Physics C</w:t>
      </w:r>
      <w:r>
        <w:rPr>
          <w:kern w:val="0"/>
        </w:rPr>
        <w:t xml:space="preserve">, </w:t>
      </w:r>
      <w:r>
        <w:rPr>
          <w:b/>
          <w:bCs/>
          <w:kern w:val="0"/>
        </w:rPr>
        <w:t>19</w:t>
      </w:r>
      <w:r>
        <w:rPr>
          <w:kern w:val="0"/>
        </w:rPr>
        <w:t xml:space="preserve"> (3), 371-384.</w:t>
      </w:r>
    </w:p>
    <w:p w:rsidR="00EC391F" w:rsidRDefault="00EC391F" w:rsidP="00EC391F">
      <w:pPr>
        <w:pStyle w:val="a0"/>
        <w:rPr>
          <w:kern w:val="0"/>
        </w:rPr>
      </w:pPr>
      <w:r>
        <w:rPr>
          <w:rFonts w:hint="eastAsia"/>
          <w:kern w:val="0"/>
        </w:rPr>
        <w:t xml:space="preserve">Full Text: </w:t>
      </w:r>
      <w:hyperlink r:id="rId1996" w:history="1">
        <w:r w:rsidR="00EB7B1E" w:rsidRPr="00EB7B1E">
          <w:rPr>
            <w:rStyle w:val="a5"/>
            <w:kern w:val="0"/>
          </w:rPr>
          <w:t>2008\Int J Mod Phy C19, 371.pdf</w:t>
        </w:r>
      </w:hyperlink>
    </w:p>
    <w:p w:rsidR="00EC391F" w:rsidRDefault="00EC391F" w:rsidP="00EC391F">
      <w:pPr>
        <w:pStyle w:val="a0"/>
        <w:rPr>
          <w:kern w:val="0"/>
        </w:rPr>
      </w:pPr>
      <w:r>
        <w:rPr>
          <w:kern w:val="0"/>
        </w:rPr>
        <w:t>Abstract: Old</w:t>
      </w:r>
      <w:r w:rsidR="00F81221">
        <w:rPr>
          <w:kern w:val="0"/>
        </w:rPr>
        <w:t xml:space="preserve"> and </w:t>
      </w:r>
      <w:r>
        <w:rPr>
          <w:kern w:val="0"/>
        </w:rPr>
        <w:t>recent theoretical works by Andrzej Pekalski (APE) are recalled as possible sources of interest for describing network formation</w:t>
      </w:r>
      <w:r w:rsidR="00F81221">
        <w:rPr>
          <w:kern w:val="0"/>
        </w:rPr>
        <w:t xml:space="preserve"> and </w:t>
      </w:r>
      <w:r>
        <w:rPr>
          <w:kern w:val="0"/>
        </w:rPr>
        <w:t>clustering in complex (scientific) communities, through self-organization</w:t>
      </w:r>
      <w:r w:rsidR="00F81221">
        <w:rPr>
          <w:kern w:val="0"/>
        </w:rPr>
        <w:t xml:space="preserve"> and </w:t>
      </w:r>
      <w:r>
        <w:rPr>
          <w:kern w:val="0"/>
        </w:rPr>
        <w:t>percolation processes. Emphasis is placed on APE self-citation network over four decades. The method is that used for detecting scientists</w:t>
      </w:r>
      <w:r w:rsidR="000352E7">
        <w:rPr>
          <w:kern w:val="0"/>
        </w:rPr>
        <w:t>’</w:t>
      </w:r>
      <w:r>
        <w:rPr>
          <w:kern w:val="0"/>
        </w:rPr>
        <w:t xml:space="preserve"> field mobility by focusing on author</w:t>
      </w:r>
      <w:r w:rsidR="000352E7">
        <w:rPr>
          <w:kern w:val="0"/>
        </w:rPr>
        <w:t>’</w:t>
      </w:r>
      <w:r>
        <w:rPr>
          <w:kern w:val="0"/>
        </w:rPr>
        <w:t>s self-citation, co-authorships</w:t>
      </w:r>
      <w:r w:rsidR="00F81221">
        <w:rPr>
          <w:kern w:val="0"/>
        </w:rPr>
        <w:t xml:space="preserve"> and </w:t>
      </w:r>
      <w:r>
        <w:rPr>
          <w:kern w:val="0"/>
        </w:rPr>
        <w:t>article topics networks as in Refs. 1</w:t>
      </w:r>
      <w:r w:rsidR="00F81221">
        <w:rPr>
          <w:kern w:val="0"/>
        </w:rPr>
        <w:t xml:space="preserve"> and </w:t>
      </w:r>
      <w:r>
        <w:rPr>
          <w:kern w:val="0"/>
        </w:rPr>
        <w:t>2. It is shown that APE</w:t>
      </w:r>
      <w:r w:rsidR="000352E7">
        <w:rPr>
          <w:kern w:val="0"/>
        </w:rPr>
        <w:t>’</w:t>
      </w:r>
      <w:r>
        <w:rPr>
          <w:kern w:val="0"/>
        </w:rPr>
        <w:t>s self-citation patterns reveal important information on APE interest for research topics over time as well as APE engagement on different scientific topics</w:t>
      </w:r>
      <w:r w:rsidR="00F81221">
        <w:rPr>
          <w:kern w:val="0"/>
        </w:rPr>
        <w:t xml:space="preserve"> and </w:t>
      </w:r>
      <w:r>
        <w:rPr>
          <w:kern w:val="0"/>
        </w:rPr>
        <w:t xml:space="preserve">in different networks of collaboration. Its interesting complexity results from </w:t>
      </w:r>
      <w:r w:rsidR="000352E7">
        <w:rPr>
          <w:kern w:val="0"/>
        </w:rPr>
        <w:t>“</w:t>
      </w:r>
      <w:r>
        <w:rPr>
          <w:kern w:val="0"/>
        </w:rPr>
        <w:t>degrees of freedom</w:t>
      </w:r>
      <w:r w:rsidR="000352E7">
        <w:rPr>
          <w:kern w:val="0"/>
        </w:rPr>
        <w:t>”</w:t>
      </w:r>
      <w:r w:rsidR="00F81221">
        <w:rPr>
          <w:kern w:val="0"/>
        </w:rPr>
        <w:t xml:space="preserve"> and </w:t>
      </w:r>
      <w:r>
        <w:rPr>
          <w:kern w:val="0"/>
        </w:rPr>
        <w:t>external fields leading to so called internal shock resistance. It is found that APE network of scientific interests belongs to independent clusters</w:t>
      </w:r>
      <w:r w:rsidR="00F81221">
        <w:rPr>
          <w:kern w:val="0"/>
        </w:rPr>
        <w:t xml:space="preserve"> and </w:t>
      </w:r>
      <w:r>
        <w:rPr>
          <w:kern w:val="0"/>
        </w:rPr>
        <w:t xml:space="preserve">occurs through rare or drastic events as in irreversible </w:t>
      </w:r>
      <w:r w:rsidR="000352E7">
        <w:rPr>
          <w:kern w:val="0"/>
        </w:rPr>
        <w:t>“</w:t>
      </w:r>
      <w:r>
        <w:rPr>
          <w:kern w:val="0"/>
        </w:rPr>
        <w:t>preferential attachment processes</w:t>
      </w:r>
      <w:r w:rsidR="000352E7">
        <w:rPr>
          <w:kern w:val="0"/>
        </w:rPr>
        <w:t>”</w:t>
      </w:r>
      <w:r>
        <w:rPr>
          <w:kern w:val="0"/>
        </w:rPr>
        <w:t>, similar to those found in usual mechanics</w:t>
      </w:r>
      <w:r w:rsidR="00F81221">
        <w:rPr>
          <w:kern w:val="0"/>
        </w:rPr>
        <w:t xml:space="preserve"> and </w:t>
      </w:r>
      <w:r>
        <w:rPr>
          <w:kern w:val="0"/>
        </w:rPr>
        <w:t>thermodynamics phase transitions.</w:t>
      </w:r>
    </w:p>
    <w:p w:rsidR="00EC391F" w:rsidRDefault="00EC391F" w:rsidP="00EC391F">
      <w:pPr>
        <w:pStyle w:val="a0"/>
        <w:rPr>
          <w:kern w:val="0"/>
        </w:rPr>
      </w:pPr>
      <w:r>
        <w:rPr>
          <w:kern w:val="0"/>
        </w:rPr>
        <w:t>Keywords: Analysis, Citations, Complex, Dynamics, Evolution, Evolving Population, Magnetic Lattice-Gas, Mobility, Model, Monte-Carlo, Network, Optimal Percolation Method, Oxygen Diffusion, Publications, Research, Scientometry, Self-Citation, Sex Male, Temperature, Thermodynamics</w:t>
      </w:r>
    </w:p>
    <w:p w:rsidR="00C263AA" w:rsidRPr="00A428C3" w:rsidRDefault="00C263AA" w:rsidP="00C263AA">
      <w:pPr>
        <w:pStyle w:val="1"/>
      </w:pPr>
      <w:r w:rsidRPr="00A428C3">
        <w:br w:type="page"/>
      </w:r>
      <w:bookmarkStart w:id="1412" w:name="_Toc317161332"/>
      <w:r w:rsidRPr="00A428C3">
        <w:lastRenderedPageBreak/>
        <w:t xml:space="preserve">Title: </w:t>
      </w:r>
      <w:r w:rsidRPr="00C263AA">
        <w:rPr>
          <w:iCs/>
        </w:rPr>
        <w:t>International Journal of Morphology</w:t>
      </w:r>
      <w:bookmarkEnd w:id="1412"/>
    </w:p>
    <w:p w:rsidR="00C263AA" w:rsidRPr="00A428C3" w:rsidRDefault="00C263AA" w:rsidP="00B72EF9">
      <w:pPr>
        <w:pStyle w:val="12"/>
      </w:pPr>
      <w:r w:rsidRPr="00A428C3">
        <w:t xml:space="preserve">Full Journal Title: </w:t>
      </w:r>
      <w:hyperlink r:id="rId1997" w:history="1">
        <w:r w:rsidRPr="00D80BA2">
          <w:rPr>
            <w:rStyle w:val="a5"/>
            <w:iCs/>
          </w:rPr>
          <w:t>International Journal of Morphology</w:t>
        </w:r>
      </w:hyperlink>
    </w:p>
    <w:p w:rsidR="00C263AA" w:rsidRPr="00A428C3" w:rsidRDefault="00C263AA" w:rsidP="00B72EF9">
      <w:pPr>
        <w:pStyle w:val="12"/>
      </w:pPr>
      <w:r w:rsidRPr="00A428C3">
        <w:t xml:space="preserve">ISO Abbreviated Title: </w:t>
      </w:r>
    </w:p>
    <w:p w:rsidR="00C263AA" w:rsidRPr="00A428C3" w:rsidRDefault="00C263AA" w:rsidP="00B72EF9">
      <w:pPr>
        <w:pStyle w:val="12"/>
      </w:pPr>
      <w:r w:rsidRPr="00A428C3">
        <w:t xml:space="preserve">JCR Abbreviated Title: </w:t>
      </w:r>
    </w:p>
    <w:p w:rsidR="00C263AA" w:rsidRPr="00A428C3" w:rsidRDefault="00C263AA" w:rsidP="00B72EF9">
      <w:pPr>
        <w:pStyle w:val="12"/>
      </w:pPr>
      <w:r w:rsidRPr="00A428C3">
        <w:t xml:space="preserve">ISSN: </w:t>
      </w:r>
    </w:p>
    <w:p w:rsidR="00C263AA" w:rsidRPr="00A428C3" w:rsidRDefault="00C263AA" w:rsidP="00B72EF9">
      <w:pPr>
        <w:pStyle w:val="12"/>
      </w:pPr>
      <w:r w:rsidRPr="00A428C3">
        <w:t xml:space="preserve">Issues/Year: </w:t>
      </w:r>
    </w:p>
    <w:p w:rsidR="00C263AA" w:rsidRPr="00A428C3" w:rsidRDefault="00C263AA" w:rsidP="00B72EF9">
      <w:pPr>
        <w:pStyle w:val="12"/>
      </w:pPr>
      <w:r w:rsidRPr="00A428C3">
        <w:t xml:space="preserve">Journal Country/Territory: </w:t>
      </w:r>
    </w:p>
    <w:p w:rsidR="00C263AA" w:rsidRPr="00A428C3" w:rsidRDefault="00C263AA" w:rsidP="00B72EF9">
      <w:pPr>
        <w:pStyle w:val="12"/>
      </w:pPr>
      <w:r w:rsidRPr="00A428C3">
        <w:t xml:space="preserve">Language: </w:t>
      </w:r>
    </w:p>
    <w:p w:rsidR="00C263AA" w:rsidRPr="00A428C3" w:rsidRDefault="00C263AA" w:rsidP="00B72EF9">
      <w:pPr>
        <w:pStyle w:val="12"/>
      </w:pPr>
      <w:r w:rsidRPr="00A428C3">
        <w:t xml:space="preserve">Publisher: </w:t>
      </w:r>
    </w:p>
    <w:p w:rsidR="00C263AA" w:rsidRPr="00A428C3" w:rsidRDefault="00C263AA" w:rsidP="00B72EF9">
      <w:pPr>
        <w:pStyle w:val="12"/>
      </w:pPr>
      <w:r w:rsidRPr="00A428C3">
        <w:t xml:space="preserve">Publisher Address: </w:t>
      </w:r>
    </w:p>
    <w:p w:rsidR="00C263AA" w:rsidRPr="00A428C3" w:rsidRDefault="00C263AA" w:rsidP="00B72EF9">
      <w:pPr>
        <w:pStyle w:val="12"/>
      </w:pPr>
      <w:r w:rsidRPr="00A428C3">
        <w:t>Subject Categories:</w:t>
      </w:r>
    </w:p>
    <w:p w:rsidR="00C263AA" w:rsidRPr="00A428C3" w:rsidRDefault="00C263AA" w:rsidP="00B72EF9">
      <w:pPr>
        <w:pStyle w:val="12"/>
      </w:pPr>
      <w:r w:rsidRPr="00A428C3">
        <w:t>: Impact Factor</w:t>
      </w:r>
    </w:p>
    <w:p w:rsidR="00C263AA" w:rsidRDefault="00C263AA" w:rsidP="00C263AA">
      <w:pPr>
        <w:pStyle w:val="a0"/>
        <w:rPr>
          <w:kern w:val="0"/>
        </w:rPr>
      </w:pPr>
      <w:r>
        <w:rPr>
          <w:rFonts w:hint="eastAsia"/>
          <w:kern w:val="0"/>
        </w:rPr>
        <w:t xml:space="preserve">? </w:t>
      </w:r>
      <w:r>
        <w:rPr>
          <w:kern w:val="0"/>
        </w:rPr>
        <w:t>Galdames, I.S.</w:t>
      </w:r>
      <w:r w:rsidR="00F81221">
        <w:rPr>
          <w:kern w:val="0"/>
        </w:rPr>
        <w:t xml:space="preserve"> and </w:t>
      </w:r>
      <w:r>
        <w:rPr>
          <w:kern w:val="0"/>
        </w:rPr>
        <w:t>Manterola, C. (2010), What is published in human morphology? Types of designs</w:t>
      </w:r>
      <w:r w:rsidR="00F81221">
        <w:rPr>
          <w:kern w:val="0"/>
        </w:rPr>
        <w:t xml:space="preserve"> and </w:t>
      </w:r>
      <w:r>
        <w:rPr>
          <w:kern w:val="0"/>
        </w:rPr>
        <w:t xml:space="preserve">levels of evidence. </w:t>
      </w:r>
      <w:r w:rsidRPr="00C263AA">
        <w:rPr>
          <w:i/>
          <w:iCs/>
          <w:kern w:val="0"/>
        </w:rPr>
        <w:t>International Journal of Morphology</w:t>
      </w:r>
      <w:r>
        <w:rPr>
          <w:kern w:val="0"/>
        </w:rPr>
        <w:t xml:space="preserve">, </w:t>
      </w:r>
      <w:r>
        <w:rPr>
          <w:b/>
          <w:bCs/>
          <w:kern w:val="0"/>
        </w:rPr>
        <w:t>28</w:t>
      </w:r>
      <w:r>
        <w:rPr>
          <w:kern w:val="0"/>
        </w:rPr>
        <w:t xml:space="preserve"> (2), 461-470.</w:t>
      </w:r>
    </w:p>
    <w:p w:rsidR="00C263AA" w:rsidRDefault="00C263AA" w:rsidP="00C263AA">
      <w:pPr>
        <w:pStyle w:val="a0"/>
        <w:rPr>
          <w:kern w:val="0"/>
        </w:rPr>
      </w:pPr>
      <w:r>
        <w:rPr>
          <w:rFonts w:hint="eastAsia"/>
          <w:kern w:val="0"/>
        </w:rPr>
        <w:t xml:space="preserve">Full Text: </w:t>
      </w:r>
      <w:hyperlink r:id="rId1998" w:history="1">
        <w:r w:rsidRPr="005C5E6B">
          <w:rPr>
            <w:rStyle w:val="a5"/>
            <w:kern w:val="0"/>
          </w:rPr>
          <w:t>2010\Int J Mor28, 461.pdf</w:t>
        </w:r>
      </w:hyperlink>
    </w:p>
    <w:p w:rsidR="00C263AA" w:rsidRDefault="00C263AA" w:rsidP="00C263AA">
      <w:pPr>
        <w:pStyle w:val="a0"/>
        <w:rPr>
          <w:kern w:val="0"/>
        </w:rPr>
      </w:pPr>
      <w:r>
        <w:rPr>
          <w:kern w:val="0"/>
        </w:rPr>
        <w:t>Abstract: Evidence-based medicine (EBM) employs the best available evidence in a particular time</w:t>
      </w:r>
      <w:r w:rsidR="00F81221">
        <w:rPr>
          <w:kern w:val="0"/>
        </w:rPr>
        <w:t xml:space="preserve"> and </w:t>
      </w:r>
      <w:r>
        <w:rPr>
          <w:kern w:val="0"/>
        </w:rPr>
        <w:t xml:space="preserve">context to solve specific clinical problems. This method of practicing medicine has been adopted by most of the disciplines involved in medical training; however, morphology appears to remain beyond this paradigm. The first step in evidence-based practice based on morphology is to recognize the types of studies being conducted with regard to morphology, followed by the assessment of the level of evidence that they provide, which is the purpose of this study. We designed a bibliometric study, in which journals in the Master Journal List of Thomson Reuters, selected using the keywords </w:t>
      </w:r>
      <w:r w:rsidR="000352E7">
        <w:rPr>
          <w:kern w:val="0"/>
        </w:rPr>
        <w:t>“</w:t>
      </w:r>
      <w:r>
        <w:rPr>
          <w:kern w:val="0"/>
        </w:rPr>
        <w:t>Morphology</w:t>
      </w:r>
      <w:r w:rsidR="000352E7">
        <w:rPr>
          <w:kern w:val="0"/>
        </w:rPr>
        <w:t>”</w:t>
      </w:r>
      <w:r>
        <w:rPr>
          <w:kern w:val="0"/>
        </w:rPr>
        <w:t xml:space="preserve"> or </w:t>
      </w:r>
      <w:r w:rsidR="000352E7">
        <w:rPr>
          <w:kern w:val="0"/>
        </w:rPr>
        <w:t>“</w:t>
      </w:r>
      <w:r>
        <w:rPr>
          <w:kern w:val="0"/>
        </w:rPr>
        <w:t>Anatomy,</w:t>
      </w:r>
      <w:r w:rsidR="000352E7">
        <w:rPr>
          <w:kern w:val="0"/>
        </w:rPr>
        <w:t>”</w:t>
      </w:r>
      <w:r>
        <w:rPr>
          <w:kern w:val="0"/>
        </w:rPr>
        <w:t xml:space="preserve"> available between 2007</w:t>
      </w:r>
      <w:r w:rsidR="00F81221">
        <w:rPr>
          <w:kern w:val="0"/>
        </w:rPr>
        <w:t xml:space="preserve"> and </w:t>
      </w:r>
      <w:r>
        <w:rPr>
          <w:kern w:val="0"/>
        </w:rPr>
        <w:t>2008, with access to full text in electronic version, whose languages were English</w:t>
      </w:r>
      <w:r w:rsidR="00F81221">
        <w:rPr>
          <w:kern w:val="0"/>
        </w:rPr>
        <w:t xml:space="preserve"> and </w:t>
      </w:r>
      <w:r>
        <w:rPr>
          <w:kern w:val="0"/>
        </w:rPr>
        <w:t>Spanish,</w:t>
      </w:r>
      <w:r w:rsidR="00F81221">
        <w:rPr>
          <w:kern w:val="0"/>
        </w:rPr>
        <w:t xml:space="preserve"> and </w:t>
      </w:r>
      <w:r>
        <w:rPr>
          <w:kern w:val="0"/>
        </w:rPr>
        <w:t>which only considered studies on human morphology, were included. We analyzed a total of 790 articles, of which 93.1% were descriptive, 6.5% were analytical,</w:t>
      </w:r>
      <w:r w:rsidR="00F81221">
        <w:rPr>
          <w:kern w:val="0"/>
        </w:rPr>
        <w:t xml:space="preserve"> and </w:t>
      </w:r>
      <w:r>
        <w:rPr>
          <w:kern w:val="0"/>
        </w:rPr>
        <w:t>0.4% were experimental design types. According to the stage of the study, most of the articles (94.8%) accounted for prevalence</w:t>
      </w:r>
      <w:r w:rsidR="00F81221">
        <w:rPr>
          <w:kern w:val="0"/>
        </w:rPr>
        <w:t xml:space="preserve"> and </w:t>
      </w:r>
      <w:r>
        <w:rPr>
          <w:kern w:val="0"/>
        </w:rPr>
        <w:t>differential diagnosis studies, concentrating on numerous designs such cross-section, which gave complex evidence (1 c). The use of these methodologies for the systematic morphological knowledge allowed us to widen our research to generate clinically useful recommendations or merely a teaching approach based on the systematic morphological knowledge available.</w:t>
      </w:r>
    </w:p>
    <w:p w:rsidR="00C263AA" w:rsidRDefault="00C263AA" w:rsidP="00C263AA">
      <w:pPr>
        <w:pStyle w:val="a0"/>
        <w:rPr>
          <w:kern w:val="0"/>
        </w:rPr>
      </w:pPr>
      <w:r>
        <w:rPr>
          <w:kern w:val="0"/>
        </w:rPr>
        <w:t xml:space="preserve">Keywords: Bibliometric, Bibliometrics, Cohort, Comparative Stereology, Evidence-Based Medicine, Evidence-Based Morphology, Journals, Level of </w:t>
      </w:r>
      <w:r>
        <w:rPr>
          <w:kern w:val="0"/>
        </w:rPr>
        <w:lastRenderedPageBreak/>
        <w:t>Evidence, Medicine, Quality, Research, Research Design</w:t>
      </w:r>
    </w:p>
    <w:p w:rsidR="00B95188" w:rsidRPr="00A428C3" w:rsidRDefault="00B95188" w:rsidP="00B95188">
      <w:pPr>
        <w:pStyle w:val="1"/>
      </w:pPr>
      <w:r w:rsidRPr="00A428C3">
        <w:br w:type="page"/>
      </w:r>
      <w:bookmarkStart w:id="1413" w:name="_Toc186647935"/>
      <w:bookmarkStart w:id="1414" w:name="_Toc317161333"/>
      <w:r w:rsidRPr="00A428C3">
        <w:lastRenderedPageBreak/>
        <w:t>Title: International Journal of Multiphase Flow</w:t>
      </w:r>
      <w:bookmarkEnd w:id="1413"/>
      <w:bookmarkEnd w:id="1414"/>
    </w:p>
    <w:p w:rsidR="00B95188" w:rsidRPr="00A428C3" w:rsidRDefault="00B95188" w:rsidP="00B72EF9">
      <w:pPr>
        <w:pStyle w:val="12"/>
      </w:pPr>
      <w:r w:rsidRPr="00A428C3">
        <w:t xml:space="preserve">Full Journal Title: </w:t>
      </w:r>
      <w:hyperlink r:id="rId1999" w:history="1">
        <w:r w:rsidRPr="00A428C3">
          <w:rPr>
            <w:rStyle w:val="a5"/>
          </w:rPr>
          <w:t>International Journal of Multiphase Flow</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Bilicki, Z.</w:t>
      </w:r>
      <w:r w:rsidR="00F81221">
        <w:t xml:space="preserve"> and </w:t>
      </w:r>
      <w:r w:rsidRPr="00A428C3">
        <w:t>Kestin, J. (1983), Two-phase flow in a vertical pipe</w:t>
      </w:r>
      <w:r w:rsidR="00F81221">
        <w:t xml:space="preserve"> and </w:t>
      </w:r>
      <w:r w:rsidRPr="00A428C3">
        <w:t xml:space="preserve">the phenomenon of choking: Homogeneous diffusion model. I. Homogeneous flow models. </w:t>
      </w:r>
      <w:r w:rsidRPr="00A428C3">
        <w:rPr>
          <w:i/>
          <w:iCs/>
        </w:rPr>
        <w:t>International Journal of Multiphase Flow</w:t>
      </w:r>
      <w:r w:rsidRPr="00A428C3">
        <w:t xml:space="preserve">, </w:t>
      </w:r>
      <w:r w:rsidRPr="00A428C3">
        <w:rPr>
          <w:b/>
        </w:rPr>
        <w:t>9</w:t>
      </w:r>
      <w:r w:rsidRPr="00A428C3">
        <w:t xml:space="preserve"> (3), </w:t>
      </w:r>
      <w:r w:rsidRPr="00A428C3">
        <w:rPr>
          <w:szCs w:val="19"/>
        </w:rPr>
        <w:t>269-288</w:t>
      </w:r>
      <w:r w:rsidRPr="00A428C3">
        <w:t>.</w:t>
      </w:r>
    </w:p>
    <w:p w:rsidR="00B95188" w:rsidRPr="00A428C3" w:rsidRDefault="00B95188" w:rsidP="00B95188">
      <w:pPr>
        <w:pStyle w:val="a0"/>
      </w:pPr>
      <w:r w:rsidRPr="00A428C3">
        <w:t xml:space="preserve">Full Text: </w:t>
      </w:r>
      <w:hyperlink r:id="rId2000" w:history="1">
        <w:r w:rsidRPr="00A428C3">
          <w:rPr>
            <w:rStyle w:val="a5"/>
          </w:rPr>
          <w:t>1983\Int J Mul Flo9, 269.pdf</w:t>
        </w:r>
      </w:hyperlink>
    </w:p>
    <w:p w:rsidR="00B95188" w:rsidRPr="00A428C3" w:rsidRDefault="00B95188" w:rsidP="00B95188">
      <w:pPr>
        <w:pStyle w:val="a0"/>
      </w:pPr>
      <w:r w:rsidRPr="00A428C3">
        <w:t>Namasivayam, C.</w:t>
      </w:r>
      <w:r w:rsidR="00F81221">
        <w:t xml:space="preserve"> and </w:t>
      </w:r>
      <w:r w:rsidRPr="00A428C3">
        <w:t>Yamuna, R.T. (1996), Waste biogas residual slurry as an adsorbent for the removal of Pb(II) from aqueous solution</w:t>
      </w:r>
      <w:r w:rsidR="00F81221">
        <w:t xml:space="preserve"> and </w:t>
      </w:r>
      <w:r w:rsidRPr="00A428C3">
        <w:t xml:space="preserve">radiator manufacturing industry wastewater. </w:t>
      </w:r>
      <w:r w:rsidRPr="00A428C3">
        <w:rPr>
          <w:i/>
          <w:iCs/>
        </w:rPr>
        <w:t>International Journal of Multiphase Flow</w:t>
      </w:r>
      <w:r w:rsidRPr="00A428C3">
        <w:t xml:space="preserve">, </w:t>
      </w:r>
      <w:r w:rsidRPr="00A428C3">
        <w:rPr>
          <w:b/>
        </w:rPr>
        <w:t>22</w:t>
      </w:r>
      <w:r w:rsidRPr="00A428C3">
        <w:t xml:space="preserve"> (S1), 96.</w:t>
      </w:r>
    </w:p>
    <w:p w:rsidR="00B95188" w:rsidRPr="00A428C3" w:rsidRDefault="00B95188" w:rsidP="00B95188">
      <w:pPr>
        <w:pStyle w:val="a0"/>
      </w:pPr>
      <w:r w:rsidRPr="00A428C3">
        <w:t xml:space="preserve">Full Text: </w:t>
      </w:r>
      <w:hyperlink r:id="rId2001" w:history="1">
        <w:r w:rsidRPr="00A428C3">
          <w:rPr>
            <w:rStyle w:val="a5"/>
          </w:rPr>
          <w:t>I\Int J Mul Flo22, 96.pdf</w:t>
        </w:r>
      </w:hyperlink>
    </w:p>
    <w:p w:rsidR="00B95188" w:rsidRPr="00A428C3" w:rsidRDefault="00B95188" w:rsidP="00B95188">
      <w:pPr>
        <w:pStyle w:val="a0"/>
      </w:pPr>
      <w:r w:rsidRPr="00A428C3">
        <w:t>Abstract: Waste biogas residual slurry (BRS) was used for the adsorption of Pb(II) from aqueous solution, over a range of initial metal ion concentrations (20-100 mg litre</w:t>
      </w:r>
      <w:r w:rsidRPr="00A428C3">
        <w:rPr>
          <w:vertAlign w:val="superscript"/>
        </w:rPr>
        <w:t>-1</w:t>
      </w:r>
      <w:r w:rsidRPr="00A428C3">
        <w:t>), agitation times (5-70 min), adsorbent doses (0.4</w:t>
      </w:r>
      <w:smartTag w:uri="urn:schemas-microsoft-com:office:smarttags" w:element="chmetcnv">
        <w:smartTagPr>
          <w:attr w:name="TCSC" w:val="0"/>
          <w:attr w:name="NumberType" w:val="1"/>
          <w:attr w:name="Negative" w:val="True"/>
          <w:attr w:name="HasSpace" w:val="True"/>
          <w:attr w:name="SourceValue" w:val="5"/>
          <w:attr w:name="UnitName" w:val="g"/>
        </w:smartTagPr>
        <w:r w:rsidRPr="00A428C3">
          <w:t>-5.0 g</w:t>
        </w:r>
      </w:smartTag>
      <w:r w:rsidRPr="00A428C3">
        <w:t xml:space="preserve"> litre</w:t>
      </w:r>
      <w:r w:rsidRPr="00A428C3">
        <w:rPr>
          <w:vertAlign w:val="superscript"/>
        </w:rPr>
        <w:t>-1</w:t>
      </w:r>
      <w:r w:rsidRPr="00A428C3">
        <w:t>)</w:t>
      </w:r>
      <w:r w:rsidR="00F81221">
        <w:t xml:space="preserve"> and </w:t>
      </w:r>
      <w:r w:rsidRPr="00A428C3">
        <w:t>initial pH values (1.5-6.0). The applicability of the Lagergren rate equation was also investigated. The process of uptake of Pb(II) by BRS followed the Langmuir isotherm model</w:t>
      </w:r>
      <w:r w:rsidR="00F81221">
        <w:t xml:space="preserve"> and </w:t>
      </w:r>
      <w:r w:rsidRPr="00A428C3">
        <w:t>the adsorption capacity was 28 mg g</w:t>
      </w:r>
      <w:r w:rsidRPr="00A428C3">
        <w:rPr>
          <w:vertAlign w:val="superscript"/>
        </w:rPr>
        <w:t>-1</w:t>
      </w:r>
      <w:r w:rsidRPr="00A428C3">
        <w:t>. Application of BRS for the effective removal of Pb(II) from radiator manufacturing industry wastewater has been demonstrated.</w:t>
      </w:r>
    </w:p>
    <w:p w:rsidR="00517EF7" w:rsidRPr="00A428C3" w:rsidRDefault="00517EF7" w:rsidP="00517EF7">
      <w:pPr>
        <w:pStyle w:val="1"/>
      </w:pPr>
      <w:r w:rsidRPr="00A428C3">
        <w:br w:type="page"/>
      </w:r>
      <w:bookmarkStart w:id="1415" w:name="_Toc317161334"/>
      <w:r w:rsidRPr="00A428C3">
        <w:lastRenderedPageBreak/>
        <w:t xml:space="preserve">Title: </w:t>
      </w:r>
      <w:r w:rsidRPr="00517EF7">
        <w:rPr>
          <w:iCs/>
        </w:rPr>
        <w:t>International Journal of Nanotechnology</w:t>
      </w:r>
      <w:bookmarkEnd w:id="1415"/>
    </w:p>
    <w:p w:rsidR="00517EF7" w:rsidRPr="00A428C3" w:rsidRDefault="00517EF7" w:rsidP="00B72EF9">
      <w:pPr>
        <w:pStyle w:val="12"/>
      </w:pPr>
      <w:r w:rsidRPr="00A428C3">
        <w:t xml:space="preserve">Full Journal Title: </w:t>
      </w:r>
      <w:r w:rsidRPr="00517EF7">
        <w:t>International Journal of Nanotechnology</w:t>
      </w:r>
    </w:p>
    <w:p w:rsidR="00517EF7" w:rsidRPr="00A428C3" w:rsidRDefault="00517EF7" w:rsidP="00B72EF9">
      <w:pPr>
        <w:pStyle w:val="12"/>
      </w:pPr>
      <w:r w:rsidRPr="00A428C3">
        <w:t xml:space="preserve">ISO Abbreviated Title: </w:t>
      </w:r>
    </w:p>
    <w:p w:rsidR="00517EF7" w:rsidRPr="00A428C3" w:rsidRDefault="00517EF7" w:rsidP="00B72EF9">
      <w:pPr>
        <w:pStyle w:val="12"/>
      </w:pPr>
      <w:r w:rsidRPr="00A428C3">
        <w:t xml:space="preserve">JCR Abbreviated Title: </w:t>
      </w:r>
    </w:p>
    <w:p w:rsidR="00517EF7" w:rsidRPr="00A428C3" w:rsidRDefault="00517EF7" w:rsidP="00B72EF9">
      <w:pPr>
        <w:pStyle w:val="12"/>
      </w:pPr>
      <w:r w:rsidRPr="00A428C3">
        <w:t xml:space="preserve">ISSN: </w:t>
      </w:r>
    </w:p>
    <w:p w:rsidR="00517EF7" w:rsidRPr="00A428C3" w:rsidRDefault="00517EF7" w:rsidP="00B72EF9">
      <w:pPr>
        <w:pStyle w:val="12"/>
      </w:pPr>
      <w:r w:rsidRPr="00A428C3">
        <w:t xml:space="preserve">Issues/Year: </w:t>
      </w:r>
    </w:p>
    <w:p w:rsidR="00517EF7" w:rsidRPr="00A428C3" w:rsidRDefault="00517EF7" w:rsidP="00B72EF9">
      <w:pPr>
        <w:pStyle w:val="12"/>
      </w:pPr>
      <w:r>
        <w:t>Journal Country/Territory:</w:t>
      </w:r>
      <w:r w:rsidRPr="00A428C3">
        <w:t xml:space="preserve"> </w:t>
      </w:r>
    </w:p>
    <w:p w:rsidR="00517EF7" w:rsidRPr="00A428C3" w:rsidRDefault="00517EF7" w:rsidP="00B72EF9">
      <w:pPr>
        <w:pStyle w:val="12"/>
      </w:pPr>
      <w:r w:rsidRPr="00A428C3">
        <w:t xml:space="preserve">Language: </w:t>
      </w:r>
    </w:p>
    <w:p w:rsidR="00517EF7" w:rsidRPr="00A428C3" w:rsidRDefault="00517EF7" w:rsidP="00B72EF9">
      <w:pPr>
        <w:pStyle w:val="12"/>
      </w:pPr>
      <w:r w:rsidRPr="00A428C3">
        <w:t xml:space="preserve">Publisher: </w:t>
      </w:r>
    </w:p>
    <w:p w:rsidR="00517EF7" w:rsidRPr="00A428C3" w:rsidRDefault="00517EF7" w:rsidP="00B72EF9">
      <w:pPr>
        <w:pStyle w:val="12"/>
      </w:pPr>
      <w:r w:rsidRPr="00A428C3">
        <w:t xml:space="preserve">Publisher Address: </w:t>
      </w:r>
    </w:p>
    <w:p w:rsidR="00517EF7" w:rsidRPr="00A428C3" w:rsidRDefault="00517EF7" w:rsidP="00B72EF9">
      <w:pPr>
        <w:pStyle w:val="12"/>
      </w:pPr>
      <w:r w:rsidRPr="00A428C3">
        <w:t>Subject Categories:</w:t>
      </w:r>
    </w:p>
    <w:p w:rsidR="00517EF7" w:rsidRPr="00A428C3" w:rsidRDefault="00517EF7" w:rsidP="00B72EF9">
      <w:pPr>
        <w:pStyle w:val="12"/>
      </w:pPr>
      <w:r w:rsidRPr="00A428C3">
        <w:t>: Impact Factor</w:t>
      </w:r>
    </w:p>
    <w:p w:rsidR="00517EF7" w:rsidRDefault="00517EF7" w:rsidP="00517EF7">
      <w:pPr>
        <w:pStyle w:val="a0"/>
        <w:rPr>
          <w:kern w:val="0"/>
        </w:rPr>
      </w:pPr>
      <w:r>
        <w:rPr>
          <w:rFonts w:hint="eastAsia"/>
          <w:kern w:val="0"/>
        </w:rPr>
        <w:t xml:space="preserve">? </w:t>
      </w:r>
      <w:r>
        <w:rPr>
          <w:kern w:val="0"/>
        </w:rPr>
        <w:t>Shukla, R., Ramkumar, J.</w:t>
      </w:r>
      <w:r w:rsidR="00F81221">
        <w:rPr>
          <w:kern w:val="0"/>
        </w:rPr>
        <w:t xml:space="preserve"> and </w:t>
      </w:r>
      <w:r>
        <w:rPr>
          <w:kern w:val="0"/>
        </w:rPr>
        <w:t xml:space="preserve">Tyagi, A.K. (2010), Nanocrystalline magnesia alumina mixed oxide: Efficient defluoridation sorbent. </w:t>
      </w:r>
      <w:r w:rsidRPr="00517EF7">
        <w:rPr>
          <w:i/>
          <w:iCs/>
          <w:kern w:val="0"/>
        </w:rPr>
        <w:t>International Journal of Nanotechnology</w:t>
      </w:r>
      <w:r>
        <w:rPr>
          <w:kern w:val="0"/>
        </w:rPr>
        <w:t xml:space="preserve">, </w:t>
      </w:r>
      <w:r>
        <w:rPr>
          <w:b/>
          <w:bCs/>
          <w:kern w:val="0"/>
        </w:rPr>
        <w:t>7</w:t>
      </w:r>
      <w:r>
        <w:rPr>
          <w:kern w:val="0"/>
        </w:rPr>
        <w:t xml:space="preserve"> (9-12), 989-1002.</w:t>
      </w:r>
    </w:p>
    <w:p w:rsidR="00517EF7" w:rsidRPr="00F219CA" w:rsidRDefault="00517EF7" w:rsidP="00517EF7">
      <w:pPr>
        <w:pStyle w:val="a0"/>
        <w:rPr>
          <w:kern w:val="0"/>
        </w:rPr>
      </w:pPr>
      <w:r>
        <w:rPr>
          <w:rFonts w:hint="eastAsia"/>
          <w:kern w:val="0"/>
        </w:rPr>
        <w:t>Full Text: 2010\</w:t>
      </w:r>
      <w:r w:rsidRPr="0071742F">
        <w:t>Int J Nan7, 989</w:t>
      </w:r>
      <w:r w:rsidRPr="00610138">
        <w:rPr>
          <w:kern w:val="0"/>
          <w:szCs w:val="24"/>
        </w:rPr>
        <w:t>.pdf</w:t>
      </w:r>
    </w:p>
    <w:p w:rsidR="00517EF7" w:rsidRDefault="00517EF7" w:rsidP="00517EF7">
      <w:pPr>
        <w:pStyle w:val="a0"/>
        <w:rPr>
          <w:kern w:val="0"/>
        </w:rPr>
      </w:pPr>
      <w:r>
        <w:rPr>
          <w:kern w:val="0"/>
        </w:rPr>
        <w:t>Abstract: Nanocrystalline magnesia-alumina mixed oxide (Mg0:80Al0:20O1.10) prepared by combustion synthesis method was found to be an excellent sorbent for uptake of fluoride anion of up to 120 mg L-1 concentration. The sorption was achieved at a pH of 6 with 0.015 g of oxide</w:t>
      </w:r>
      <w:r w:rsidR="00F81221">
        <w:rPr>
          <w:kern w:val="0"/>
        </w:rPr>
        <w:t xml:space="preserve"> and </w:t>
      </w:r>
      <w:r>
        <w:rPr>
          <w:kern w:val="0"/>
        </w:rPr>
        <w:t>maximum uptake could be achieved within a period of 1 h. The sorption followed both Langmuir</w:t>
      </w:r>
      <w:r w:rsidR="00F81221">
        <w:rPr>
          <w:kern w:val="0"/>
        </w:rPr>
        <w:t xml:space="preserve"> and </w:t>
      </w:r>
      <w:r>
        <w:rPr>
          <w:kern w:val="0"/>
        </w:rPr>
        <w:t>Freundlich isotherms with a maximum sorption capacity of 10 mg/g of fluoride. The uptake is a particle diffusion controlled process following pseudo second order kinetics with a rate constant of 0.0519 g mg(-1) min(-1).</w:t>
      </w:r>
    </w:p>
    <w:p w:rsidR="00517EF7" w:rsidRDefault="00517EF7" w:rsidP="00517EF7">
      <w:pPr>
        <w:pStyle w:val="a0"/>
        <w:rPr>
          <w:kern w:val="0"/>
        </w:rPr>
      </w:pPr>
      <w:r>
        <w:rPr>
          <w:kern w:val="0"/>
        </w:rPr>
        <w:t>Keywords: Activated Alumina, Adsorption, Alumina, Aqueous-Solution, Capacity, Defluoridation, Diffusion, Drinking-Water, Fluoride, Fluoride Removal, Fluoride Removal, Freundlich, Ions, Isotherms, Kinetics, Langmuir, Langmuir</w:t>
      </w:r>
      <w:r w:rsidR="00F81221">
        <w:rPr>
          <w:kern w:val="0"/>
        </w:rPr>
        <w:t xml:space="preserve"> and </w:t>
      </w:r>
      <w:r>
        <w:rPr>
          <w:kern w:val="0"/>
        </w:rPr>
        <w:t>Freundlich Isotherms, Magnesium Aluminium Mixed Oxide, Nanocrystalline, Oxide, pH, Process, Pseudo Second Order, Pseudo-Second-Order, Rate Constant, Second-Order, SI, Sorbent, Sorption, Sorption, Sorption Capacity, Synthesis, Uptake</w:t>
      </w:r>
    </w:p>
    <w:p w:rsidR="00B95188" w:rsidRPr="00A428C3" w:rsidRDefault="00B95188" w:rsidP="00B95188">
      <w:pPr>
        <w:pStyle w:val="1"/>
      </w:pPr>
      <w:r w:rsidRPr="00A428C3">
        <w:br w:type="page"/>
      </w:r>
      <w:bookmarkStart w:id="1416" w:name="_Toc186647936"/>
      <w:bookmarkStart w:id="1417" w:name="_Toc317161335"/>
      <w:r w:rsidRPr="00A428C3">
        <w:lastRenderedPageBreak/>
        <w:t>Title: International Journal of Nursing Studies</w:t>
      </w:r>
      <w:bookmarkEnd w:id="1416"/>
      <w:bookmarkEnd w:id="1417"/>
    </w:p>
    <w:p w:rsidR="00B95188" w:rsidRPr="00A428C3" w:rsidRDefault="00B95188" w:rsidP="00B72EF9">
      <w:pPr>
        <w:pStyle w:val="12"/>
      </w:pPr>
      <w:r w:rsidRPr="00A428C3">
        <w:t xml:space="preserve">Full Journal Title: </w:t>
      </w:r>
      <w:hyperlink r:id="rId2002" w:history="1">
        <w:r w:rsidRPr="00A428C3">
          <w:rPr>
            <w:rStyle w:val="a5"/>
          </w:rPr>
          <w:t>International Journal of Nursing Studies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024BC7" w:rsidRPr="0007314E" w:rsidRDefault="00024BC7" w:rsidP="00024BC7">
      <w:pPr>
        <w:pStyle w:val="a0"/>
      </w:pPr>
      <w:r w:rsidRPr="0007314E">
        <w:t>? O</w:t>
      </w:r>
      <w:r w:rsidR="000352E7">
        <w:t>’</w:t>
      </w:r>
      <w:r w:rsidRPr="0007314E">
        <w:t>May, F.</w:t>
      </w:r>
      <w:r w:rsidR="00F81221">
        <w:t xml:space="preserve"> and </w:t>
      </w:r>
      <w:r w:rsidRPr="0007314E">
        <w:t xml:space="preserve">Buchan, J. (1999), Shared governance: A literature review. </w:t>
      </w:r>
      <w:r w:rsidRPr="00DB3BEE">
        <w:rPr>
          <w:i/>
          <w:iCs/>
        </w:rPr>
        <w:t>International Journal of Nursing Studies</w:t>
      </w:r>
      <w:r w:rsidRPr="0007314E">
        <w:t xml:space="preserve">, </w:t>
      </w:r>
      <w:r w:rsidRPr="00DB3BEE">
        <w:rPr>
          <w:b/>
          <w:bCs/>
        </w:rPr>
        <w:t>36</w:t>
      </w:r>
      <w:r w:rsidRPr="0007314E">
        <w:t xml:space="preserve"> (4), 281-300.</w:t>
      </w:r>
    </w:p>
    <w:p w:rsidR="00024BC7" w:rsidRPr="00A428C3" w:rsidRDefault="00024BC7" w:rsidP="00024BC7">
      <w:pPr>
        <w:pStyle w:val="a0"/>
      </w:pPr>
      <w:r w:rsidRPr="00A428C3">
        <w:t xml:space="preserve">Full Text: </w:t>
      </w:r>
      <w:hyperlink r:id="rId2003" w:history="1">
        <w:r w:rsidRPr="00DD65AE">
          <w:rPr>
            <w:rStyle w:val="a5"/>
          </w:rPr>
          <w:t>1999\Int J Nur Stu36, 281.pdf</w:t>
        </w:r>
      </w:hyperlink>
    </w:p>
    <w:p w:rsidR="00024BC7" w:rsidRPr="0007314E" w:rsidRDefault="00024BC7" w:rsidP="00024BC7">
      <w:pPr>
        <w:pStyle w:val="a0"/>
      </w:pPr>
      <w:r w:rsidRPr="0007314E">
        <w:t>Abstract: This paper sets out to establish what is meant by shared governance, analyses the literature on shared governance implementation,</w:t>
      </w:r>
      <w:r w:rsidR="00F81221">
        <w:t xml:space="preserve"> and </w:t>
      </w:r>
      <w:r w:rsidRPr="0007314E">
        <w:t>discusses emergent issues. The paper is based on research funded by the Department of Health (England)</w:t>
      </w:r>
      <w:r w:rsidR="00F81221">
        <w:t xml:space="preserve"> and </w:t>
      </w:r>
      <w:r w:rsidRPr="0007314E">
        <w:t xml:space="preserve">by North Staffordshire NHS Trust. A literature search was undertaken using the terms </w:t>
      </w:r>
      <w:r w:rsidR="000352E7">
        <w:t>‘</w:t>
      </w:r>
      <w:r w:rsidRPr="0007314E">
        <w:t>shared governance</w:t>
      </w:r>
      <w:r w:rsidR="000352E7">
        <w:t>’</w:t>
      </w:r>
      <w:r w:rsidR="00F81221">
        <w:t xml:space="preserve"> and </w:t>
      </w:r>
      <w:r w:rsidR="000352E7">
        <w:t>‘</w:t>
      </w:r>
      <w:r w:rsidRPr="0007314E">
        <w:t>empowerment</w:t>
      </w:r>
      <w:r w:rsidR="000352E7">
        <w:t>’</w:t>
      </w:r>
      <w:r w:rsidRPr="0007314E">
        <w:t xml:space="preserve">, restricted to English language. The databases used were CINAHL, British Nursing Index, </w:t>
      </w:r>
      <w:r>
        <w:t>MEDLINE</w:t>
      </w:r>
      <w:r w:rsidRPr="0007314E">
        <w:t>, Social Sciences Citation Index</w:t>
      </w:r>
      <w:r w:rsidR="00F81221">
        <w:t xml:space="preserve"> and </w:t>
      </w:r>
      <w:r w:rsidRPr="0007314E">
        <w:t>FirstSearch,</w:t>
      </w:r>
      <w:r w:rsidR="00F81221">
        <w:t xml:space="preserve"> and </w:t>
      </w:r>
      <w:r w:rsidRPr="0007314E">
        <w:t>the search period was January 1988-May 1998. Initially, nearly 500 articles were identified. This search also highlighted articles describing participative management, professional practice models,</w:t>
      </w:r>
      <w:r w:rsidR="00F81221">
        <w:t xml:space="preserve"> and </w:t>
      </w:r>
      <w:r w:rsidRPr="0007314E">
        <w:t>self-managed work teams. For the purposes of this review, only published articles which either described and/or evaluated the implementation of shared governance were analysed. According to these criteria, 48 studies, which were obtained by the cut-off date, were included for detailed assessment. (C) 1999 Elsevier Science Ltd. All rights reserved.</w:t>
      </w:r>
    </w:p>
    <w:p w:rsidR="00024BC7" w:rsidRPr="0007314E" w:rsidRDefault="00024BC7" w:rsidP="00024BC7">
      <w:pPr>
        <w:pStyle w:val="a0"/>
      </w:pPr>
      <w:r w:rsidRPr="0007314E">
        <w:t>Keywords: Analyses, Assessment, Criteria, Databases, Empowerment, England, Governance, Implementation, Literature, Literature Review, Management, Models, North, Practice, Professional Practice, Research, Review, Rights, Work</w:t>
      </w:r>
    </w:p>
    <w:p w:rsidR="00024BC7" w:rsidRPr="008B2BB0" w:rsidRDefault="00024BC7" w:rsidP="00024BC7">
      <w:pPr>
        <w:pStyle w:val="a0"/>
      </w:pPr>
      <w:r w:rsidRPr="008B2BB0">
        <w:rPr>
          <w:rFonts w:hint="eastAsia"/>
        </w:rPr>
        <w:t xml:space="preserve">? </w:t>
      </w:r>
      <w:r w:rsidRPr="008B2BB0">
        <w:t>Norman, I. (2007), Two years into the job: An overview of published papers</w:t>
      </w:r>
      <w:r w:rsidR="00F81221">
        <w:t xml:space="preserve"> and </w:t>
      </w:r>
      <w:r w:rsidRPr="008B2BB0">
        <w:t xml:space="preserve">future directions. </w:t>
      </w:r>
      <w:r w:rsidRPr="00CE7517">
        <w:rPr>
          <w:i/>
          <w:iCs/>
        </w:rPr>
        <w:t>International Journal of Nursing Studies</w:t>
      </w:r>
      <w:r w:rsidRPr="008B2BB0">
        <w:t xml:space="preserve">, </w:t>
      </w:r>
      <w:r w:rsidRPr="00551655">
        <w:rPr>
          <w:b/>
          <w:bCs/>
        </w:rPr>
        <w:t>44</w:t>
      </w:r>
      <w:r w:rsidRPr="008B2BB0">
        <w:t xml:space="preserve"> (1), 1-8</w:t>
      </w:r>
    </w:p>
    <w:p w:rsidR="00024BC7" w:rsidRPr="00A428C3" w:rsidRDefault="00024BC7" w:rsidP="00024BC7">
      <w:pPr>
        <w:pStyle w:val="a0"/>
      </w:pPr>
      <w:r w:rsidRPr="00A428C3">
        <w:t xml:space="preserve">Full Text: </w:t>
      </w:r>
      <w:hyperlink r:id="rId2004" w:history="1">
        <w:r w:rsidRPr="005F1EE6">
          <w:rPr>
            <w:rStyle w:val="a5"/>
          </w:rPr>
          <w:t>2007\Int J Nur Stu44, 1.pdf</w:t>
        </w:r>
      </w:hyperlink>
    </w:p>
    <w:p w:rsidR="00024BC7" w:rsidRPr="003862C4" w:rsidRDefault="00024BC7" w:rsidP="00024BC7">
      <w:pPr>
        <w:pStyle w:val="a0"/>
      </w:pPr>
      <w:r w:rsidRPr="003862C4">
        <w:t>Keywords: Papers</w:t>
      </w:r>
    </w:p>
    <w:p w:rsidR="00254578" w:rsidRDefault="00254578" w:rsidP="00254578">
      <w:pPr>
        <w:pStyle w:val="a0"/>
        <w:rPr>
          <w:kern w:val="0"/>
          <w:szCs w:val="24"/>
        </w:rPr>
      </w:pPr>
      <w:r>
        <w:rPr>
          <w:rFonts w:hint="eastAsia"/>
          <w:kern w:val="0"/>
          <w:szCs w:val="24"/>
        </w:rPr>
        <w:t xml:space="preserve">? </w:t>
      </w:r>
      <w:r>
        <w:rPr>
          <w:kern w:val="0"/>
          <w:szCs w:val="24"/>
        </w:rPr>
        <w:t>Nolan, M., Ingleton, C.</w:t>
      </w:r>
      <w:r w:rsidR="00F81221">
        <w:rPr>
          <w:kern w:val="0"/>
          <w:szCs w:val="24"/>
        </w:rPr>
        <w:t xml:space="preserve"> and </w:t>
      </w:r>
      <w:r>
        <w:rPr>
          <w:kern w:val="0"/>
          <w:szCs w:val="24"/>
        </w:rPr>
        <w:t xml:space="preserve">Hayter, M. (2008), The Research Excellence Framework </w:t>
      </w:r>
      <w:r>
        <w:rPr>
          <w:kern w:val="0"/>
          <w:szCs w:val="24"/>
        </w:rPr>
        <w:lastRenderedPageBreak/>
        <w:t>(REF): A major impediment to free</w:t>
      </w:r>
      <w:r w:rsidR="00F81221">
        <w:rPr>
          <w:kern w:val="0"/>
          <w:szCs w:val="24"/>
        </w:rPr>
        <w:t xml:space="preserve"> and </w:t>
      </w:r>
      <w:r>
        <w:rPr>
          <w:kern w:val="0"/>
          <w:szCs w:val="24"/>
        </w:rPr>
        <w:t xml:space="preserve">informed debate? </w:t>
      </w:r>
      <w:r>
        <w:rPr>
          <w:i/>
          <w:iCs/>
          <w:kern w:val="0"/>
          <w:szCs w:val="24"/>
        </w:rPr>
        <w:t>International Journal of Nursing Studies</w:t>
      </w:r>
      <w:r>
        <w:rPr>
          <w:kern w:val="0"/>
          <w:szCs w:val="24"/>
        </w:rPr>
        <w:t xml:space="preserve">, </w:t>
      </w:r>
      <w:r>
        <w:rPr>
          <w:b/>
          <w:bCs/>
          <w:kern w:val="0"/>
          <w:szCs w:val="24"/>
        </w:rPr>
        <w:t>45</w:t>
      </w:r>
      <w:r>
        <w:rPr>
          <w:kern w:val="0"/>
          <w:szCs w:val="24"/>
        </w:rPr>
        <w:t xml:space="preserve"> (4), 487-488</w:t>
      </w:r>
    </w:p>
    <w:p w:rsidR="005E09DD" w:rsidRPr="00A428C3" w:rsidRDefault="005E09DD" w:rsidP="005E09DD">
      <w:pPr>
        <w:pStyle w:val="a0"/>
      </w:pPr>
      <w:r w:rsidRPr="00A428C3">
        <w:t xml:space="preserve">Full Text: </w:t>
      </w:r>
      <w:hyperlink r:id="rId2005" w:history="1">
        <w:r w:rsidRPr="005E09DD">
          <w:rPr>
            <w:rStyle w:val="a5"/>
          </w:rPr>
          <w:t>2008\Int J Nur Stu45, 487.pdf</w:t>
        </w:r>
      </w:hyperlink>
    </w:p>
    <w:p w:rsidR="00254578" w:rsidRDefault="00254578" w:rsidP="00254578">
      <w:pPr>
        <w:pStyle w:val="a0"/>
        <w:rPr>
          <w:kern w:val="0"/>
          <w:szCs w:val="24"/>
        </w:rPr>
      </w:pPr>
      <w:r>
        <w:rPr>
          <w:kern w:val="0"/>
          <w:szCs w:val="24"/>
        </w:rPr>
        <w:t>Keywords: Bibliometrics, Knowledge Translation, Research, Research Funding, UK Research Assessment Exercise, User</w:t>
      </w:r>
      <w:r w:rsidR="00F81221">
        <w:rPr>
          <w:kern w:val="0"/>
          <w:szCs w:val="24"/>
        </w:rPr>
        <w:t xml:space="preserve"> and </w:t>
      </w:r>
      <w:r>
        <w:rPr>
          <w:kern w:val="0"/>
          <w:szCs w:val="24"/>
        </w:rPr>
        <w:t>Career Involvement</w:t>
      </w:r>
    </w:p>
    <w:p w:rsidR="00024BC7" w:rsidRPr="005F1EE6" w:rsidRDefault="00024BC7" w:rsidP="00024BC7">
      <w:pPr>
        <w:pStyle w:val="a0"/>
      </w:pPr>
      <w:r w:rsidRPr="005F1EE6">
        <w:rPr>
          <w:rFonts w:hint="eastAsia"/>
        </w:rPr>
        <w:t xml:space="preserve">? </w:t>
      </w:r>
      <w:r w:rsidRPr="005F1EE6">
        <w:t>Oermann, M.H., Nordstrom, C.K., Wilmes, N.A., Denison, D., Webb, S.A., Featherston, D.E., Bednarz, H.</w:t>
      </w:r>
      <w:r w:rsidR="00F81221">
        <w:t xml:space="preserve"> and </w:t>
      </w:r>
      <w:r w:rsidRPr="005F1EE6">
        <w:t xml:space="preserve">Striz, P. (2008), Information sources for developing the nursing literature. </w:t>
      </w:r>
      <w:r w:rsidRPr="00A40B2C">
        <w:rPr>
          <w:i/>
        </w:rPr>
        <w:t>International Journal of Nursing Studies</w:t>
      </w:r>
      <w:r w:rsidRPr="005F1EE6">
        <w:t xml:space="preserve">, </w:t>
      </w:r>
      <w:r w:rsidRPr="00A40B2C">
        <w:rPr>
          <w:b/>
        </w:rPr>
        <w:t>45</w:t>
      </w:r>
      <w:r w:rsidRPr="005F1EE6">
        <w:t xml:space="preserve"> (4), 580-587.</w:t>
      </w:r>
    </w:p>
    <w:p w:rsidR="00024BC7" w:rsidRPr="00A428C3" w:rsidRDefault="00024BC7" w:rsidP="00024BC7">
      <w:pPr>
        <w:pStyle w:val="a0"/>
      </w:pPr>
      <w:r w:rsidRPr="00A428C3">
        <w:t xml:space="preserve">Full Text: </w:t>
      </w:r>
      <w:hyperlink r:id="rId2006" w:history="1">
        <w:r w:rsidRPr="00EC2413">
          <w:rPr>
            <w:rStyle w:val="a5"/>
          </w:rPr>
          <w:t>2008\Int J Nur Stu45, 580.pdf</w:t>
        </w:r>
      </w:hyperlink>
    </w:p>
    <w:p w:rsidR="00024BC7" w:rsidRPr="003862C4" w:rsidRDefault="00024BC7" w:rsidP="00024BC7">
      <w:pPr>
        <w:pStyle w:val="a0"/>
      </w:pPr>
      <w:r w:rsidRPr="003862C4">
        <w:t>Abstract: Background: Journals are an important method for disseminating research findings</w:t>
      </w:r>
      <w:r w:rsidR="00F81221">
        <w:t xml:space="preserve"> and </w:t>
      </w:r>
      <w:r w:rsidRPr="003862C4">
        <w:t>other evidence for practice to nurses. Bibliometric analyses of nursing journals can reveal information about authorship, types of documents cited,</w:t>
      </w:r>
      <w:r w:rsidR="00F81221">
        <w:t xml:space="preserve"> and </w:t>
      </w:r>
      <w:r w:rsidRPr="003862C4">
        <w:t>how information is communicated in nursing, among other characteristics. Objectives: The purposes of our study were to describe the types of documents used to develop the clinical</w:t>
      </w:r>
      <w:r w:rsidR="00F81221">
        <w:t xml:space="preserve"> and </w:t>
      </w:r>
      <w:r w:rsidRPr="003862C4">
        <w:t>research literature in nursing,</w:t>
      </w:r>
      <w:r w:rsidR="00F81221">
        <w:t xml:space="preserve"> and </w:t>
      </w:r>
      <w:r w:rsidRPr="003862C4">
        <w:t>extent of gray literature cited in those publications. Design: This was a descriptive study of 18,901 citations of articles in clinical specialty</w:t>
      </w:r>
      <w:r w:rsidR="00F81221">
        <w:t xml:space="preserve"> and </w:t>
      </w:r>
      <w:r w:rsidRPr="003862C4">
        <w:t>research journals in nursing published between January 2004</w:t>
      </w:r>
      <w:r w:rsidR="00F81221">
        <w:t xml:space="preserve"> and </w:t>
      </w:r>
      <w:r w:rsidRPr="003862C4">
        <w:t>June 2005. Methods: The research team reviewed each citation to assess if the cited document was a journal article, book chapter or book, or document falling into the category of gray literature. Frequency counts for each type of cited document were recorded. Results: Most of the citations were to journal articles (n=14, 392, 76.1%)</w:t>
      </w:r>
      <w:r w:rsidR="00F81221">
        <w:t xml:space="preserve"> and </w:t>
      </w:r>
      <w:r w:rsidRPr="003862C4">
        <w:t>among those, to articles in medical journals (n=7719, 40.8% of all the citations). This was true for the literature as a whole</w:t>
      </w:r>
      <w:r w:rsidR="00F81221">
        <w:t xml:space="preserve"> and </w:t>
      </w:r>
      <w:r w:rsidRPr="003862C4">
        <w:t>for the clinical specialty</w:t>
      </w:r>
      <w:r w:rsidR="00F81221">
        <w:t xml:space="preserve"> and </w:t>
      </w:r>
      <w:r w:rsidRPr="003862C4">
        <w:t>research literature separately. Although citations to medical journals were most common, in the clinical nursing literature there was a significantly higher proportion of citations to medical journal articles (n=6332, 44.5%) than in the nursing research literature (LRX2= 326.7, p &lt; 0.0001). Nearly 10% of the citations were to gray literature. There was an increase in citations to websites (5.7%) compared to a study done only a few years earlier. Conclusions: Our study documented that journal literature was the primary source of information for communication within nursing. This is consistent with other biomedical</w:t>
      </w:r>
      <w:r w:rsidR="00F81221">
        <w:t xml:space="preserve"> and </w:t>
      </w:r>
      <w:r w:rsidRPr="003862C4">
        <w:t>hard sciences where the transfer, assimilation,</w:t>
      </w:r>
      <w:r w:rsidR="00F81221">
        <w:t xml:space="preserve"> and </w:t>
      </w:r>
      <w:r w:rsidRPr="003862C4">
        <w:t>use of information occur mainly within the scientific community. With a reliance on journal articles for dissemination of research</w:t>
      </w:r>
      <w:r w:rsidR="00F81221">
        <w:t xml:space="preserve"> and </w:t>
      </w:r>
      <w:r w:rsidRPr="003862C4">
        <w:t>evidence for clinical practice, improved methods will be needed for integrating this knowledge</w:t>
      </w:r>
      <w:r w:rsidR="00F81221">
        <w:t xml:space="preserve"> and </w:t>
      </w:r>
      <w:r w:rsidRPr="003862C4">
        <w:t>presenting it in a usable form to clinicians. As journals proliferate, it will become increasingly difficult for clinicians to keep current with research findings to guide their practice. The development</w:t>
      </w:r>
      <w:r w:rsidR="00F81221">
        <w:t xml:space="preserve"> and </w:t>
      </w:r>
      <w:r w:rsidRPr="003862C4">
        <w:t>testing of new methods for integrating</w:t>
      </w:r>
      <w:r w:rsidR="00F81221">
        <w:t xml:space="preserve"> and </w:t>
      </w:r>
      <w:r w:rsidRPr="003862C4">
        <w:t xml:space="preserve">disseminating research evidence to busy clinicians will be increasingly important in </w:t>
      </w:r>
      <w:r w:rsidRPr="003862C4">
        <w:lastRenderedPageBreak/>
        <w:t>nursing. Gray literature was nearly 10% of the citations. The study also revealed an increase in citations to websites, which is anticipated to continue in the future. Further study is needed on the indexing of gray literature relevant to research use</w:t>
      </w:r>
      <w:r w:rsidR="00F81221">
        <w:t xml:space="preserve"> and </w:t>
      </w:r>
      <w:r w:rsidRPr="003862C4">
        <w:t>evidence-based practice in nursing</w:t>
      </w:r>
      <w:r w:rsidR="00F81221">
        <w:t xml:space="preserve"> and </w:t>
      </w:r>
      <w:r w:rsidRPr="003862C4">
        <w:t>on how to make this literature easily available to clinicians. (c) 2006 Elsevier Ltd. All rights reserved.</w:t>
      </w:r>
    </w:p>
    <w:p w:rsidR="00024BC7" w:rsidRPr="003862C4" w:rsidRDefault="00024BC7" w:rsidP="00024BC7">
      <w:pPr>
        <w:pStyle w:val="a0"/>
      </w:pPr>
      <w:r w:rsidRPr="003862C4">
        <w:t>Keywords: Access, Analyses, Authorship, Bibliometrics, Biomedical, Characteristics, Citation, Citation Analysis, Citations, Clinical, Clinical Practice, Communication, Community, Developing, Development, Digital Library, Epistemic Origins, Evidence, Evidence Based, Evidence-Based, Frameworks, Gray Literature, Indexing, Information, Journal, Journal Article, Journal Articles, Journals, Knowledge, Literature, Medical, Medical Journals, Methods, Nurses, Nursing, Nursing Literature, Practice, Primary, Publications, Research, Research Journals, Rights, Sciences, Scientific Communication, Scientific Communication, Services, Social-Sciences, Source, Sources, Specialty, Testing</w:t>
      </w:r>
    </w:p>
    <w:p w:rsidR="00024BC7" w:rsidRPr="0007314E" w:rsidRDefault="00024BC7" w:rsidP="00024BC7">
      <w:pPr>
        <w:pStyle w:val="a0"/>
      </w:pPr>
      <w:r w:rsidRPr="0007314E">
        <w:t>? Del Bal, N., Gastmans, C.</w:t>
      </w:r>
      <w:r w:rsidR="00F81221">
        <w:t xml:space="preserve"> and </w:t>
      </w:r>
      <w:r w:rsidR="00817F30">
        <w:rPr>
          <w:rFonts w:hint="eastAsia"/>
        </w:rPr>
        <w:t>Di</w:t>
      </w:r>
      <w:r w:rsidRPr="0007314E">
        <w:t>erckx de Casterle, B. (2008), Nurses</w:t>
      </w:r>
      <w:r w:rsidR="000352E7">
        <w:t>’</w:t>
      </w:r>
      <w:r w:rsidRPr="0007314E">
        <w:t xml:space="preserve"> involvement in the care of patients requesting euthanasia: </w:t>
      </w:r>
      <w:r w:rsidR="00764A51" w:rsidRPr="0007314E">
        <w:t xml:space="preserve">A </w:t>
      </w:r>
      <w:r w:rsidRPr="0007314E">
        <w:t xml:space="preserve">review of the literature. </w:t>
      </w:r>
      <w:r w:rsidRPr="00DB3BEE">
        <w:rPr>
          <w:i/>
          <w:iCs/>
        </w:rPr>
        <w:t>International Journal of Nursing Studies</w:t>
      </w:r>
      <w:r w:rsidRPr="0007314E">
        <w:t xml:space="preserve">, </w:t>
      </w:r>
      <w:r w:rsidRPr="00DB3BEE">
        <w:rPr>
          <w:b/>
          <w:bCs/>
        </w:rPr>
        <w:t>45</w:t>
      </w:r>
      <w:r w:rsidRPr="0007314E">
        <w:t xml:space="preserve"> (4), 626-644.</w:t>
      </w:r>
    </w:p>
    <w:p w:rsidR="00024BC7" w:rsidRPr="00A428C3" w:rsidRDefault="00024BC7" w:rsidP="00024BC7">
      <w:pPr>
        <w:pStyle w:val="a0"/>
      </w:pPr>
      <w:r w:rsidRPr="00A428C3">
        <w:t xml:space="preserve">Full Text: </w:t>
      </w:r>
      <w:hyperlink r:id="rId2007" w:history="1">
        <w:r w:rsidRPr="005824D5">
          <w:rPr>
            <w:rStyle w:val="a5"/>
          </w:rPr>
          <w:t>2008\Int J Nur Stu45, 626.pdf</w:t>
        </w:r>
      </w:hyperlink>
    </w:p>
    <w:p w:rsidR="00024BC7" w:rsidRPr="0007314E" w:rsidRDefault="00024BC7" w:rsidP="00024BC7">
      <w:pPr>
        <w:pStyle w:val="a0"/>
      </w:pPr>
      <w:r w:rsidRPr="0007314E">
        <w:t>Abstract: OBJECTIVES: The aim of this paper is to thoroughly examine the involvement</w:t>
      </w:r>
      <w:r w:rsidR="00F81221">
        <w:t xml:space="preserve"> and </w:t>
      </w:r>
      <w:r w:rsidRPr="0007314E">
        <w:t>experiences of nurses in the care of mentally competent, adult patients requesting euthanasia (i.e. administration of lethal drugs by someone other than the person concerned with the explicit intention of ending a patient</w:t>
      </w:r>
      <w:r w:rsidR="000352E7">
        <w:t>’</w:t>
      </w:r>
      <w:r w:rsidRPr="0007314E">
        <w:t>s life, at the latter</w:t>
      </w:r>
      <w:r w:rsidR="000352E7">
        <w:t>’</w:t>
      </w:r>
      <w:r w:rsidRPr="0007314E">
        <w:t>s explicit request) by means of a literature review. DESIGN: A keyword search was used to identify relevant journal articles</w:t>
      </w:r>
      <w:r w:rsidR="00F81221">
        <w:t xml:space="preserve"> and </w:t>
      </w:r>
      <w:r w:rsidRPr="0007314E">
        <w:t>books published between 1990</w:t>
      </w:r>
      <w:r w:rsidR="00F81221">
        <w:t xml:space="preserve"> and </w:t>
      </w:r>
      <w:r w:rsidRPr="0007314E">
        <w:t>2007. Manual searches of review article bibliographies were also conducted as well as searches of archives</w:t>
      </w:r>
      <w:r w:rsidR="00F81221">
        <w:t xml:space="preserve"> and </w:t>
      </w:r>
      <w:r w:rsidRPr="0007314E">
        <w:t xml:space="preserve">collections of key journals. DATA SOURCES: The electronic databases </w:t>
      </w:r>
      <w:r>
        <w:t>MEDLINE</w:t>
      </w:r>
      <w:r w:rsidRPr="0007314E">
        <w:t>, Cinahl, PsycINFO, The Cochrane Library, Social Sciences Citation Index,</w:t>
      </w:r>
      <w:r w:rsidR="00F81221">
        <w:t xml:space="preserve"> and </w:t>
      </w:r>
      <w:r w:rsidRPr="0007314E">
        <w:t>Invert were searched using a combination of keywords</w:t>
      </w:r>
      <w:r w:rsidR="00F81221">
        <w:t xml:space="preserve"> and </w:t>
      </w:r>
      <w:r w:rsidRPr="0007314E">
        <w:t>carefully constructed inclusion criteria. REVIEW METHODS: Forty-two publications of empirical research were identified</w:t>
      </w:r>
      <w:r w:rsidR="00F81221">
        <w:t xml:space="preserve"> and </w:t>
      </w:r>
      <w:r w:rsidRPr="0007314E">
        <w:t>included in the present study after critical appraisal. The included publications represented 35 separated studies (20 quantitative, 11 qualitative</w:t>
      </w:r>
      <w:r w:rsidR="00F81221">
        <w:t xml:space="preserve"> and </w:t>
      </w:r>
      <w:r w:rsidRPr="0007314E">
        <w:t>4 mixed-method publications)</w:t>
      </w:r>
      <w:r w:rsidR="00F81221">
        <w:t xml:space="preserve"> and </w:t>
      </w:r>
      <w:r w:rsidRPr="0007314E">
        <w:t>28 different research samples. RESULTS: Analysis of these studies revealed that nurses across diverse geographic</w:t>
      </w:r>
      <w:r w:rsidR="00F81221">
        <w:t xml:space="preserve"> and </w:t>
      </w:r>
      <w:r w:rsidRPr="0007314E">
        <w:t>clinical settings play a major role in caring for</w:t>
      </w:r>
      <w:r w:rsidR="00F81221">
        <w:t xml:space="preserve"> and </w:t>
      </w:r>
      <w:r w:rsidRPr="0007314E">
        <w:t>showing a personal interest in patients requesting euthanasia. The nurses</w:t>
      </w:r>
      <w:r w:rsidR="000352E7">
        <w:t>’</w:t>
      </w:r>
      <w:r w:rsidRPr="0007314E">
        <w:t xml:space="preserve"> feelings about euthanasia</w:t>
      </w:r>
      <w:r w:rsidR="00F81221">
        <w:t xml:space="preserve"> and </w:t>
      </w:r>
      <w:r w:rsidRPr="0007314E">
        <w:t>their involvement are extremely complex. Descriptions of personal conflict, moral uncertainty, frustration, fear, secrecy,</w:t>
      </w:r>
      <w:r w:rsidR="00F81221">
        <w:rPr>
          <w:rFonts w:hint="eastAsia"/>
        </w:rPr>
        <w:t xml:space="preserve"> and </w:t>
      </w:r>
      <w:r w:rsidRPr="0007314E">
        <w:t>guilt appear to reflect a complex array of personal</w:t>
      </w:r>
      <w:r w:rsidR="00F81221">
        <w:t xml:space="preserve"> and </w:t>
      </w:r>
      <w:r w:rsidRPr="0007314E">
        <w:t>professional values as well as social, religious,</w:t>
      </w:r>
      <w:r w:rsidR="00F81221">
        <w:t xml:space="preserve"> and </w:t>
      </w:r>
      <w:r w:rsidRPr="0007314E">
        <w:t xml:space="preserve">legal rules. CONCLUSIONS: Nurses can make a significant contribution to the </w:t>
      </w:r>
      <w:r w:rsidRPr="0007314E">
        <w:lastRenderedPageBreak/>
        <w:t>quality of care by assisting</w:t>
      </w:r>
      <w:r w:rsidR="00F81221">
        <w:t xml:space="preserve"> and </w:t>
      </w:r>
      <w:r w:rsidRPr="0007314E">
        <w:t>counseling patients</w:t>
      </w:r>
      <w:r w:rsidR="00F81221">
        <w:t xml:space="preserve"> and </w:t>
      </w:r>
      <w:r w:rsidRPr="0007314E">
        <w:t>their families, physicians,</w:t>
      </w:r>
      <w:r w:rsidR="00F81221">
        <w:t xml:space="preserve"> and </w:t>
      </w:r>
      <w:r w:rsidRPr="0007314E">
        <w:t>their nursing colleagues in a professional manner, even in countries where euthanasia is not legal. However, research on nurses</w:t>
      </w:r>
      <w:r w:rsidR="000352E7">
        <w:t>’</w:t>
      </w:r>
      <w:r w:rsidRPr="0007314E">
        <w:t xml:space="preserve"> involvement in euthanasia has methodological</w:t>
      </w:r>
      <w:r w:rsidR="00F81221">
        <w:t xml:space="preserve"> and </w:t>
      </w:r>
      <w:r w:rsidRPr="0007314E">
        <w:t>terminological problems,leading to our recommendation for more carefully designed qualitative studies that explore in-depth the experiences of nurses in caring for patients requesting euthanasia.</w:t>
      </w:r>
    </w:p>
    <w:p w:rsidR="00024BC7" w:rsidRPr="0007314E" w:rsidRDefault="00024BC7" w:rsidP="00024BC7">
      <w:pPr>
        <w:pStyle w:val="a0"/>
      </w:pPr>
      <w:r w:rsidRPr="0007314E">
        <w:t>Keywords: Administration, Adult, Bibliographies, Care, Caring, Clinical, Constructed, Criteria, Databases, Drugs, Euthanasia, Families, Fear, Journal, Journal Articles, Journals, Legal, Lethal Drugs, Life, Literature, Literature Review, Methods, Nurses, Nursing, Patients, Person, Physicians, Psycinfo, Publications, Qualitative, Quality, Quality of, Quality of Care, Research, Review, Role, Social, Sources, Uncertainty</w:t>
      </w:r>
    </w:p>
    <w:p w:rsidR="00024BC7" w:rsidRDefault="00024BC7" w:rsidP="00024BC7">
      <w:pPr>
        <w:pStyle w:val="a0"/>
        <w:rPr>
          <w:kern w:val="0"/>
          <w:szCs w:val="24"/>
        </w:rPr>
      </w:pPr>
      <w:r>
        <w:rPr>
          <w:rFonts w:hint="eastAsia"/>
          <w:kern w:val="0"/>
          <w:szCs w:val="24"/>
        </w:rPr>
        <w:t xml:space="preserve">? </w:t>
      </w:r>
      <w:r>
        <w:rPr>
          <w:kern w:val="0"/>
          <w:szCs w:val="24"/>
        </w:rPr>
        <w:t xml:space="preserve">Griffiths, P. (2008), What does </w:t>
      </w:r>
      <w:r w:rsidR="000352E7">
        <w:rPr>
          <w:kern w:val="0"/>
          <w:szCs w:val="24"/>
        </w:rPr>
        <w:t>“</w:t>
      </w:r>
      <w:r>
        <w:rPr>
          <w:kern w:val="0"/>
          <w:szCs w:val="24"/>
        </w:rPr>
        <w:t>international</w:t>
      </w:r>
      <w:r w:rsidR="000352E7">
        <w:rPr>
          <w:kern w:val="0"/>
          <w:szCs w:val="24"/>
        </w:rPr>
        <w:t>”</w:t>
      </w:r>
      <w:r>
        <w:rPr>
          <w:kern w:val="0"/>
          <w:szCs w:val="24"/>
        </w:rPr>
        <w:t xml:space="preserve"> mean for an </w:t>
      </w:r>
      <w:r w:rsidR="000352E7">
        <w:rPr>
          <w:kern w:val="0"/>
          <w:szCs w:val="24"/>
        </w:rPr>
        <w:t>“</w:t>
      </w:r>
      <w:r>
        <w:rPr>
          <w:kern w:val="0"/>
          <w:szCs w:val="24"/>
        </w:rPr>
        <w:t>international</w:t>
      </w:r>
      <w:r w:rsidR="000352E7">
        <w:rPr>
          <w:kern w:val="0"/>
          <w:szCs w:val="24"/>
        </w:rPr>
        <w:t>”</w:t>
      </w:r>
      <w:r>
        <w:rPr>
          <w:kern w:val="0"/>
          <w:szCs w:val="24"/>
        </w:rPr>
        <w:t xml:space="preserve"> journal? </w:t>
      </w:r>
      <w:r>
        <w:rPr>
          <w:i/>
          <w:iCs/>
          <w:kern w:val="0"/>
          <w:szCs w:val="24"/>
        </w:rPr>
        <w:t>International Journal of Nursing Studies</w:t>
      </w:r>
      <w:r>
        <w:rPr>
          <w:kern w:val="0"/>
          <w:szCs w:val="24"/>
        </w:rPr>
        <w:t xml:space="preserve">, </w:t>
      </w:r>
      <w:r>
        <w:rPr>
          <w:b/>
          <w:bCs/>
          <w:kern w:val="0"/>
          <w:szCs w:val="24"/>
        </w:rPr>
        <w:t>45</w:t>
      </w:r>
      <w:r>
        <w:rPr>
          <w:kern w:val="0"/>
          <w:szCs w:val="24"/>
        </w:rPr>
        <w:t xml:space="preserve"> (12), 1711-1714</w:t>
      </w:r>
      <w:r>
        <w:rPr>
          <w:rFonts w:hint="eastAsia"/>
          <w:kern w:val="0"/>
          <w:szCs w:val="24"/>
        </w:rPr>
        <w:t>.</w:t>
      </w:r>
    </w:p>
    <w:p w:rsidR="00024BC7" w:rsidRPr="00A428C3" w:rsidRDefault="00024BC7" w:rsidP="00024BC7">
      <w:pPr>
        <w:pStyle w:val="a0"/>
      </w:pPr>
      <w:r w:rsidRPr="00A428C3">
        <w:t xml:space="preserve">Full Text: </w:t>
      </w:r>
      <w:hyperlink r:id="rId2008" w:history="1">
        <w:r w:rsidRPr="00AD0CDC">
          <w:rPr>
            <w:rStyle w:val="a5"/>
          </w:rPr>
          <w:t>2008\Int J Nur Stu45, 1711.pdf</w:t>
        </w:r>
      </w:hyperlink>
    </w:p>
    <w:p w:rsidR="00024BC7" w:rsidRDefault="00024BC7" w:rsidP="00024BC7">
      <w:pPr>
        <w:pStyle w:val="a0"/>
        <w:rPr>
          <w:kern w:val="0"/>
          <w:szCs w:val="24"/>
        </w:rPr>
      </w:pPr>
      <w:r>
        <w:rPr>
          <w:kern w:val="0"/>
          <w:szCs w:val="24"/>
        </w:rPr>
        <w:t>Keywords: Bibliometrics, Care Nurses, Chinese Version, English Hospitals, Health Nurses, Interview Survey, Job-Satisfaction, Journal, Korean Women, Nursing Research, Periodicals, Quality-of-Life, Scale Development, Sectional Questionnaire Survey</w:t>
      </w:r>
    </w:p>
    <w:p w:rsidR="00024BC7" w:rsidRDefault="00024BC7" w:rsidP="00024BC7">
      <w:pPr>
        <w:pStyle w:val="a0"/>
        <w:rPr>
          <w:kern w:val="0"/>
          <w:szCs w:val="24"/>
        </w:rPr>
      </w:pPr>
      <w:r>
        <w:rPr>
          <w:rFonts w:hint="eastAsia"/>
          <w:kern w:val="0"/>
          <w:szCs w:val="24"/>
        </w:rPr>
        <w:t xml:space="preserve">? </w:t>
      </w:r>
      <w:r>
        <w:rPr>
          <w:kern w:val="0"/>
          <w:szCs w:val="24"/>
        </w:rPr>
        <w:t>Ketefian, S.</w:t>
      </w:r>
      <w:r w:rsidR="00F81221">
        <w:rPr>
          <w:kern w:val="0"/>
          <w:szCs w:val="24"/>
        </w:rPr>
        <w:t xml:space="preserve"> and </w:t>
      </w:r>
      <w:r>
        <w:rPr>
          <w:kern w:val="0"/>
          <w:szCs w:val="24"/>
        </w:rPr>
        <w:t>Freda, M.C. (2009), Impact factors</w:t>
      </w:r>
      <w:r w:rsidR="00F81221">
        <w:rPr>
          <w:kern w:val="0"/>
          <w:szCs w:val="24"/>
        </w:rPr>
        <w:t xml:space="preserve"> and </w:t>
      </w:r>
      <w:r>
        <w:rPr>
          <w:kern w:val="0"/>
          <w:szCs w:val="24"/>
        </w:rPr>
        <w:t xml:space="preserve">citations counts: A state of disquiet. </w:t>
      </w:r>
      <w:r>
        <w:rPr>
          <w:i/>
          <w:iCs/>
          <w:kern w:val="0"/>
          <w:szCs w:val="24"/>
        </w:rPr>
        <w:t>International Journal of Nursing Studies</w:t>
      </w:r>
      <w:r>
        <w:rPr>
          <w:kern w:val="0"/>
          <w:szCs w:val="24"/>
        </w:rPr>
        <w:t xml:space="preserve">, </w:t>
      </w:r>
      <w:r>
        <w:rPr>
          <w:b/>
          <w:bCs/>
          <w:kern w:val="0"/>
          <w:szCs w:val="24"/>
        </w:rPr>
        <w:t>46</w:t>
      </w:r>
      <w:r>
        <w:rPr>
          <w:kern w:val="0"/>
          <w:szCs w:val="24"/>
        </w:rPr>
        <w:t xml:space="preserve"> (6), 751-752</w:t>
      </w:r>
    </w:p>
    <w:p w:rsidR="005E09DD" w:rsidRPr="00A428C3" w:rsidRDefault="005E09DD" w:rsidP="005E09DD">
      <w:pPr>
        <w:pStyle w:val="a0"/>
      </w:pPr>
      <w:r w:rsidRPr="00A428C3">
        <w:t xml:space="preserve">Full Text: </w:t>
      </w:r>
      <w:hyperlink r:id="rId2009" w:history="1">
        <w:r w:rsidRPr="005E09DD">
          <w:rPr>
            <w:rStyle w:val="a5"/>
          </w:rPr>
          <w:t>2009\Int J Nur Stu46, 751.pdf</w:t>
        </w:r>
      </w:hyperlink>
    </w:p>
    <w:p w:rsidR="00024BC7" w:rsidRDefault="00024BC7" w:rsidP="00024BC7">
      <w:pPr>
        <w:pStyle w:val="a0"/>
        <w:rPr>
          <w:kern w:val="0"/>
          <w:szCs w:val="24"/>
        </w:rPr>
      </w:pPr>
      <w:r>
        <w:rPr>
          <w:kern w:val="0"/>
          <w:szCs w:val="24"/>
        </w:rPr>
        <w:t>Keywords: Bibliometrics, Citations, Impact Factors, Nursing Journals</w:t>
      </w:r>
    </w:p>
    <w:p w:rsidR="006D0A3C" w:rsidRDefault="006D0A3C" w:rsidP="006D0A3C">
      <w:pPr>
        <w:pStyle w:val="a0"/>
        <w:rPr>
          <w:kern w:val="0"/>
        </w:rPr>
      </w:pPr>
      <w:r>
        <w:rPr>
          <w:kern w:val="0"/>
        </w:rPr>
        <w:t>? Ilott, I., Booth, A., Rick, J.</w:t>
      </w:r>
      <w:r w:rsidR="00F81221">
        <w:rPr>
          <w:kern w:val="0"/>
        </w:rPr>
        <w:t xml:space="preserve"> and </w:t>
      </w:r>
      <w:r>
        <w:rPr>
          <w:kern w:val="0"/>
        </w:rPr>
        <w:t>Patterson, M. (2010), How do nurses, midwives</w:t>
      </w:r>
      <w:r w:rsidR="00F81221">
        <w:rPr>
          <w:kern w:val="0"/>
        </w:rPr>
        <w:t xml:space="preserve"> and </w:t>
      </w:r>
      <w:r>
        <w:rPr>
          <w:kern w:val="0"/>
        </w:rPr>
        <w:t xml:space="preserve">health visitors contribute to protocol-based care? A synthesis of the UK literature. </w:t>
      </w:r>
      <w:r>
        <w:rPr>
          <w:i/>
          <w:iCs/>
          <w:kern w:val="0"/>
        </w:rPr>
        <w:t>International Journal of Nursing Studies</w:t>
      </w:r>
      <w:r>
        <w:rPr>
          <w:kern w:val="0"/>
        </w:rPr>
        <w:t xml:space="preserve">, </w:t>
      </w:r>
      <w:r>
        <w:rPr>
          <w:b/>
          <w:bCs/>
          <w:kern w:val="0"/>
        </w:rPr>
        <w:t>47</w:t>
      </w:r>
      <w:r>
        <w:rPr>
          <w:kern w:val="0"/>
        </w:rPr>
        <w:t xml:space="preserve"> (6), 770-780.</w:t>
      </w:r>
    </w:p>
    <w:p w:rsidR="006D0A3C" w:rsidRDefault="006D0A3C" w:rsidP="006D0A3C">
      <w:pPr>
        <w:pStyle w:val="a0"/>
        <w:rPr>
          <w:kern w:val="0"/>
        </w:rPr>
      </w:pPr>
      <w:r>
        <w:rPr>
          <w:kern w:val="0"/>
        </w:rPr>
        <w:t>Abstract: Objectives To explore how nurses, midwives</w:t>
      </w:r>
      <w:r w:rsidR="00F81221">
        <w:rPr>
          <w:kern w:val="0"/>
        </w:rPr>
        <w:t xml:space="preserve"> and </w:t>
      </w:r>
      <w:r>
        <w:rPr>
          <w:kern w:val="0"/>
        </w:rPr>
        <w:t>health visitors contribute to the development, implementation</w:t>
      </w:r>
      <w:r w:rsidR="00F81221">
        <w:rPr>
          <w:kern w:val="0"/>
        </w:rPr>
        <w:t xml:space="preserve"> and </w:t>
      </w:r>
      <w:r>
        <w:rPr>
          <w:kern w:val="0"/>
        </w:rPr>
        <w:t>audit of protocol-based care Protocol-based care refers to the use of documents that set standards for clinical care processes with the intent of reducing unacceptable variations in practice Documents such as protocols, clinical guidelines</w:t>
      </w:r>
      <w:r w:rsidR="00F81221">
        <w:rPr>
          <w:kern w:val="0"/>
        </w:rPr>
        <w:t xml:space="preserve"> and </w:t>
      </w:r>
      <w:r>
        <w:rPr>
          <w:kern w:val="0"/>
        </w:rPr>
        <w:t>care pathways underpin evidence-based practice throughout the world Methods An interpretative review using the five-stage systematic literature review process The data sources were the British Nursing Index, CINAHL, EMBASE, MEDLINE</w:t>
      </w:r>
      <w:r w:rsidR="00F81221">
        <w:rPr>
          <w:kern w:val="0"/>
        </w:rPr>
        <w:t xml:space="preserve"> and </w:t>
      </w:r>
      <w:r>
        <w:rPr>
          <w:kern w:val="0"/>
        </w:rPr>
        <w:t>Web of Science nom onset to 2005 The Journal of Integrated Care Pathways was hand searched (1997-June 2006) Thirty three studies about protocol-based care in the United Kingdom wet e appraised using the Qualitative Assessment</w:t>
      </w:r>
      <w:r w:rsidR="00F81221">
        <w:rPr>
          <w:kern w:val="0"/>
        </w:rPr>
        <w:t xml:space="preserve"> and </w:t>
      </w:r>
      <w:r>
        <w:rPr>
          <w:kern w:val="0"/>
        </w:rPr>
        <w:t>Review Instrument (QARI version 2) The literature was synthesized inductively</w:t>
      </w:r>
      <w:r w:rsidR="00F81221">
        <w:rPr>
          <w:kern w:val="0"/>
        </w:rPr>
        <w:t xml:space="preserve"> and </w:t>
      </w:r>
      <w:r>
        <w:rPr>
          <w:kern w:val="0"/>
        </w:rPr>
        <w:t>deductively, using an official 12-step guide for development as a framework for the deductive synthesis Results Most papers were descriptive, offering practitioner knowledge</w:t>
      </w:r>
      <w:r w:rsidR="00F81221">
        <w:rPr>
          <w:kern w:val="0"/>
        </w:rPr>
        <w:t xml:space="preserve"> and </w:t>
      </w:r>
      <w:r>
        <w:rPr>
          <w:kern w:val="0"/>
        </w:rPr>
        <w:t xml:space="preserve">positive findings about a locally </w:t>
      </w:r>
      <w:r>
        <w:rPr>
          <w:kern w:val="0"/>
        </w:rPr>
        <w:lastRenderedPageBreak/>
        <w:t>developed</w:t>
      </w:r>
      <w:r w:rsidR="00F81221">
        <w:rPr>
          <w:kern w:val="0"/>
        </w:rPr>
        <w:t xml:space="preserve"> and </w:t>
      </w:r>
      <w:r>
        <w:rPr>
          <w:kern w:val="0"/>
        </w:rPr>
        <w:t>owned protocol-based care The majority were instigated in response to clinical need or service re-design Development of protocol-based care was a non-linear. idiosyncratic process, with steps omitted, repeated or completed in a different order The context</w:t>
      </w:r>
      <w:r w:rsidR="00F81221">
        <w:rPr>
          <w:kern w:val="0"/>
        </w:rPr>
        <w:t xml:space="preserve"> and </w:t>
      </w:r>
      <w:r>
        <w:rPr>
          <w:kern w:val="0"/>
        </w:rPr>
        <w:t>the multiple purposes of protocol-based care influenced the development process Implementation</w:t>
      </w:r>
      <w:r w:rsidR="00F81221">
        <w:rPr>
          <w:kern w:val="0"/>
        </w:rPr>
        <w:t xml:space="preserve"> and </w:t>
      </w:r>
      <w:r>
        <w:rPr>
          <w:kern w:val="0"/>
        </w:rPr>
        <w:t>sustainability were rarely mentioned, or theorised as a change The roles</w:t>
      </w:r>
      <w:r w:rsidR="00F81221">
        <w:rPr>
          <w:kern w:val="0"/>
        </w:rPr>
        <w:t xml:space="preserve"> and </w:t>
      </w:r>
      <w:r>
        <w:rPr>
          <w:kern w:val="0"/>
        </w:rPr>
        <w:t>activities of nurses were so understated as to be almost invisible There were notable gaps in the literature about the resource use costs, the engagement of patients in the decision-making process, leadership</w:t>
      </w:r>
      <w:r w:rsidR="00F81221">
        <w:rPr>
          <w:kern w:val="0"/>
        </w:rPr>
        <w:t xml:space="preserve"> and </w:t>
      </w:r>
      <w:r>
        <w:rPr>
          <w:kern w:val="0"/>
        </w:rPr>
        <w:t>the impact of formalisation</w:t>
      </w:r>
      <w:r w:rsidR="00F81221">
        <w:rPr>
          <w:kern w:val="0"/>
        </w:rPr>
        <w:t xml:space="preserve"> and </w:t>
      </w:r>
      <w:r>
        <w:rPr>
          <w:kern w:val="0"/>
        </w:rPr>
        <w:t>new roles on inter-professional relations Conclusions Documents that standardise clinical care are part of the history of nursing as well as contemporary evidence-based care</w:t>
      </w:r>
      <w:r w:rsidR="00F81221">
        <w:rPr>
          <w:kern w:val="0"/>
        </w:rPr>
        <w:t xml:space="preserve"> and </w:t>
      </w:r>
      <w:r>
        <w:rPr>
          <w:kern w:val="0"/>
        </w:rPr>
        <w:t>expanded roles Considering the proliferation</w:t>
      </w:r>
      <w:r w:rsidR="00F81221">
        <w:rPr>
          <w:kern w:val="0"/>
        </w:rPr>
        <w:t xml:space="preserve"> and </w:t>
      </w:r>
      <w:r>
        <w:rPr>
          <w:kern w:val="0"/>
        </w:rPr>
        <w:t>contested nature of protocol-based care, the dearth of literature about the contribution, experience</w:t>
      </w:r>
      <w:r w:rsidR="00F81221">
        <w:rPr>
          <w:kern w:val="0"/>
        </w:rPr>
        <w:t xml:space="preserve"> and </w:t>
      </w:r>
      <w:r>
        <w:rPr>
          <w:kern w:val="0"/>
        </w:rPr>
        <w:t>outcomes for nurses, midwives</w:t>
      </w:r>
      <w:r w:rsidR="00F81221">
        <w:rPr>
          <w:kern w:val="0"/>
        </w:rPr>
        <w:t xml:space="preserve"> and </w:t>
      </w:r>
      <w:r>
        <w:rPr>
          <w:kern w:val="0"/>
        </w:rPr>
        <w:t>health visitors is noteworthy</w:t>
      </w:r>
      <w:r w:rsidR="00F81221">
        <w:rPr>
          <w:kern w:val="0"/>
        </w:rPr>
        <w:t xml:space="preserve"> and </w:t>
      </w:r>
      <w:r>
        <w:rPr>
          <w:kern w:val="0"/>
        </w:rPr>
        <w:t>requires further investigation (C) 2010 Elsevier Ltd All rights reserved.</w:t>
      </w:r>
    </w:p>
    <w:p w:rsidR="006D0A3C" w:rsidRDefault="006D0A3C" w:rsidP="006D0A3C">
      <w:pPr>
        <w:pStyle w:val="a0"/>
        <w:rPr>
          <w:kern w:val="0"/>
        </w:rPr>
      </w:pPr>
      <w:r>
        <w:rPr>
          <w:kern w:val="0"/>
        </w:rPr>
        <w:t>Keywords: Activities, Art, Assessment, Care, Clinical Guidelines, Clinical Pathways, Contribution, Costs, Decision Making, Decision-Making, Development, Embase, Evidence-Based Practice, Guidelines, History, Impact, Implementation, Journal, Knowledge, Literature, Literature Review, Medline, Methods, Nurses, Nursing, Outcomes, Papers, Practice, Practitioners, Protocol-Based Care, Review, Science, Standards, Systematic, Systematic Literature Review, UK, United Kingdom, Web of Science</w:t>
      </w:r>
    </w:p>
    <w:p w:rsidR="0087032A" w:rsidRDefault="0087032A" w:rsidP="0087032A">
      <w:pPr>
        <w:pStyle w:val="a0"/>
        <w:rPr>
          <w:kern w:val="0"/>
        </w:rPr>
      </w:pPr>
      <w:r>
        <w:rPr>
          <w:rFonts w:hint="eastAsia"/>
          <w:kern w:val="0"/>
        </w:rPr>
        <w:t xml:space="preserve">? </w:t>
      </w:r>
      <w:r>
        <w:rPr>
          <w:kern w:val="0"/>
        </w:rPr>
        <w:t>Smith, D.R. (2010), A longitudinal analysis of bibliometric</w:t>
      </w:r>
      <w:r w:rsidR="00F81221">
        <w:rPr>
          <w:kern w:val="0"/>
        </w:rPr>
        <w:t xml:space="preserve"> and </w:t>
      </w:r>
      <w:r>
        <w:rPr>
          <w:kern w:val="0"/>
        </w:rPr>
        <w:t xml:space="preserve">impact factor trends among the core international journals of nursing, 1977-2008. </w:t>
      </w:r>
      <w:r>
        <w:rPr>
          <w:i/>
          <w:iCs/>
          <w:kern w:val="0"/>
        </w:rPr>
        <w:t>International Journal of Nursing Studies</w:t>
      </w:r>
      <w:r>
        <w:rPr>
          <w:kern w:val="0"/>
        </w:rPr>
        <w:t xml:space="preserve">, </w:t>
      </w:r>
      <w:r>
        <w:rPr>
          <w:b/>
          <w:bCs/>
          <w:kern w:val="0"/>
        </w:rPr>
        <w:t>47</w:t>
      </w:r>
      <w:r>
        <w:rPr>
          <w:kern w:val="0"/>
        </w:rPr>
        <w:t xml:space="preserve"> (12), 1491-1499.</w:t>
      </w:r>
    </w:p>
    <w:p w:rsidR="0087032A" w:rsidRPr="001A3D2B" w:rsidRDefault="0087032A" w:rsidP="0087032A">
      <w:pPr>
        <w:pStyle w:val="a0"/>
      </w:pPr>
      <w:r w:rsidRPr="001A3D2B">
        <w:t xml:space="preserve">Full Text: </w:t>
      </w:r>
      <w:hyperlink r:id="rId2010" w:history="1">
        <w:r w:rsidRPr="00A735D5">
          <w:rPr>
            <w:rStyle w:val="a5"/>
          </w:rPr>
          <w:t>2010\Int J Nur Stu47, 1491.pdf</w:t>
        </w:r>
      </w:hyperlink>
    </w:p>
    <w:p w:rsidR="0087032A" w:rsidRDefault="0087032A" w:rsidP="0087032A">
      <w:pPr>
        <w:pStyle w:val="a0"/>
        <w:rPr>
          <w:kern w:val="0"/>
        </w:rPr>
      </w:pPr>
      <w:r>
        <w:rPr>
          <w:kern w:val="0"/>
        </w:rPr>
        <w:t>Abstract: Background Although bibliometric analysis affords significant insight into the progression</w:t>
      </w:r>
      <w:r w:rsidR="00F81221">
        <w:rPr>
          <w:kern w:val="0"/>
        </w:rPr>
        <w:t xml:space="preserve"> and </w:t>
      </w:r>
      <w:r>
        <w:rPr>
          <w:kern w:val="0"/>
        </w:rPr>
        <w:t>distribution of information within a particular research field detailed longitudinal studies of this type are rare within the field of nursing Objectives This study aimed to investigate from a bibliometric perspective the progression</w:t>
      </w:r>
      <w:r w:rsidR="00F81221">
        <w:rPr>
          <w:kern w:val="0"/>
        </w:rPr>
        <w:t xml:space="preserve"> and </w:t>
      </w:r>
      <w:r>
        <w:rPr>
          <w:kern w:val="0"/>
        </w:rPr>
        <w:t>trends of core international nursing journals over the longest possible time period Methods A detailed bibliometric analysis was undertaken among 7 core international nursing periodicals using custom historical data sourced from the Thomson Reuters Journal Citation Reports (R) Results In the 32 years between 1977</w:t>
      </w:r>
      <w:r w:rsidR="00F81221">
        <w:rPr>
          <w:kern w:val="0"/>
        </w:rPr>
        <w:t xml:space="preserve"> and </w:t>
      </w:r>
      <w:r>
        <w:rPr>
          <w:kern w:val="0"/>
        </w:rPr>
        <w:t>2008 the number of citations received by these 7 journals increased over 700% A sustained</w:t>
      </w:r>
      <w:r w:rsidR="00F81221">
        <w:rPr>
          <w:kern w:val="0"/>
        </w:rPr>
        <w:t xml:space="preserve"> and </w:t>
      </w:r>
      <w:r>
        <w:rPr>
          <w:kern w:val="0"/>
        </w:rPr>
        <w:t xml:space="preserve">statistically significant (p &lt; 0 001) 3-fold increase was also observed in the average impact factor score during this period Statistical analysis revealed that all periodicals experienced significant (p &lt; 0 001) improvements in their Impact factors over time with gains ranging from approximately 2- to 78-fold Conclusions Overall this study </w:t>
      </w:r>
      <w:r>
        <w:rPr>
          <w:kern w:val="0"/>
        </w:rPr>
        <w:lastRenderedPageBreak/>
        <w:t>provides one of the most comprehensive longitudinal bibliometric analyses ever conducted in the field of nursing Impressive</w:t>
      </w:r>
      <w:r w:rsidR="00F81221">
        <w:rPr>
          <w:kern w:val="0"/>
        </w:rPr>
        <w:t xml:space="preserve"> and </w:t>
      </w:r>
      <w:r>
        <w:rPr>
          <w:kern w:val="0"/>
        </w:rPr>
        <w:t>continual impact factor gains suggest that published nursing research is being increasingly seen heard</w:t>
      </w:r>
      <w:r w:rsidR="00F81221">
        <w:rPr>
          <w:kern w:val="0"/>
        </w:rPr>
        <w:t xml:space="preserve"> and </w:t>
      </w:r>
      <w:r>
        <w:rPr>
          <w:kern w:val="0"/>
        </w:rPr>
        <w:t>cited in the international academic community (C) 2010 Elsevier Ltd All rights reserved.</w:t>
      </w:r>
    </w:p>
    <w:p w:rsidR="0087032A" w:rsidRDefault="0087032A" w:rsidP="0087032A">
      <w:pPr>
        <w:pStyle w:val="a0"/>
        <w:rPr>
          <w:kern w:val="0"/>
        </w:rPr>
      </w:pPr>
      <w:r>
        <w:rPr>
          <w:kern w:val="0"/>
        </w:rPr>
        <w:t>Keywords: Analysis, Bibliometric, Bibliometric Analysis, Bibliometrics, Category, Citation, Citation Analysis, Citation Analysis, Citations, Data, Editorial Nurses, Evolution, Field, Impact Factor, Impact Factors, Journal Citation Reports, Journals, Medical Journals, Nursing, Occupational-Health, Ophthalmology, Periodicals, Publications, Quality, Reports, Research, Science, Statistical Analysis, Trends</w:t>
      </w:r>
    </w:p>
    <w:p w:rsidR="00E14033" w:rsidRDefault="00E14033" w:rsidP="00E14033">
      <w:pPr>
        <w:pStyle w:val="a0"/>
        <w:rPr>
          <w:kern w:val="0"/>
        </w:rPr>
      </w:pPr>
      <w:r>
        <w:rPr>
          <w:rFonts w:hint="eastAsia"/>
          <w:kern w:val="0"/>
        </w:rPr>
        <w:t xml:space="preserve">? </w:t>
      </w:r>
      <w:r>
        <w:rPr>
          <w:kern w:val="0"/>
        </w:rPr>
        <w:t>Thompson, C.</w:t>
      </w:r>
      <w:r w:rsidR="00F81221">
        <w:rPr>
          <w:kern w:val="0"/>
        </w:rPr>
        <w:t xml:space="preserve"> and </w:t>
      </w:r>
      <w:r>
        <w:rPr>
          <w:kern w:val="0"/>
        </w:rPr>
        <w:t>Stapley, S. (2011), Do educational interventions improve nurses</w:t>
      </w:r>
      <w:r w:rsidR="000352E7">
        <w:rPr>
          <w:kern w:val="0"/>
        </w:rPr>
        <w:t>’</w:t>
      </w:r>
      <w:r>
        <w:rPr>
          <w:kern w:val="0"/>
        </w:rPr>
        <w:t xml:space="preserve"> clinical decision making</w:t>
      </w:r>
      <w:r w:rsidR="00F81221">
        <w:rPr>
          <w:kern w:val="0"/>
        </w:rPr>
        <w:t xml:space="preserve"> and </w:t>
      </w:r>
      <w:r>
        <w:rPr>
          <w:kern w:val="0"/>
        </w:rPr>
        <w:t xml:space="preserve">judgement? A systematic review. </w:t>
      </w:r>
      <w:r>
        <w:rPr>
          <w:i/>
          <w:iCs/>
          <w:kern w:val="0"/>
        </w:rPr>
        <w:t>International Journal of Nursing Studies</w:t>
      </w:r>
      <w:r>
        <w:rPr>
          <w:kern w:val="0"/>
        </w:rPr>
        <w:t xml:space="preserve">, </w:t>
      </w:r>
      <w:r>
        <w:rPr>
          <w:b/>
          <w:bCs/>
          <w:kern w:val="0"/>
        </w:rPr>
        <w:t>48</w:t>
      </w:r>
      <w:r>
        <w:rPr>
          <w:kern w:val="0"/>
        </w:rPr>
        <w:t xml:space="preserve"> (7), 881-893.</w:t>
      </w:r>
    </w:p>
    <w:p w:rsidR="00E14033" w:rsidRPr="001A3D2B" w:rsidRDefault="00E14033" w:rsidP="00E14033">
      <w:pPr>
        <w:pStyle w:val="a0"/>
      </w:pPr>
      <w:r w:rsidRPr="001A3D2B">
        <w:t xml:space="preserve">Full Text: </w:t>
      </w:r>
      <w:hyperlink r:id="rId2011" w:history="1">
        <w:r w:rsidRPr="007E777A">
          <w:rPr>
            <w:rStyle w:val="a5"/>
          </w:rPr>
          <w:t>2011\Int J Nur Stu48, 881.pdf</w:t>
        </w:r>
      </w:hyperlink>
    </w:p>
    <w:p w:rsidR="00E14033" w:rsidRDefault="00E14033" w:rsidP="00E14033">
      <w:pPr>
        <w:pStyle w:val="a0"/>
        <w:rPr>
          <w:kern w:val="0"/>
        </w:rPr>
      </w:pPr>
      <w:r>
        <w:rPr>
          <w:kern w:val="0"/>
        </w:rPr>
        <w:t>Abstract: Objectives: Despite the growing popularity of decision making in nursing curricula, the effectiveness of educational interventions to improve nursing judgement</w:t>
      </w:r>
      <w:r w:rsidR="00F81221">
        <w:rPr>
          <w:kern w:val="0"/>
        </w:rPr>
        <w:t xml:space="preserve"> and </w:t>
      </w:r>
      <w:r>
        <w:rPr>
          <w:kern w:val="0"/>
        </w:rPr>
        <w:t>decision making is unknown. We sought to synthesise</w:t>
      </w:r>
      <w:r w:rsidR="00F81221">
        <w:rPr>
          <w:kern w:val="0"/>
        </w:rPr>
        <w:t xml:space="preserve"> and </w:t>
      </w:r>
      <w:r>
        <w:rPr>
          <w:kern w:val="0"/>
        </w:rPr>
        <w:t>summarise the comparative evidence for educational interventions to improve nursing judgements</w:t>
      </w:r>
      <w:r w:rsidR="00F81221">
        <w:rPr>
          <w:kern w:val="0"/>
        </w:rPr>
        <w:t xml:space="preserve"> and </w:t>
      </w:r>
      <w:r>
        <w:rPr>
          <w:kern w:val="0"/>
        </w:rPr>
        <w:t>clinical decisions. Design: A systematic review. Data sources: Electronic databases: Cochrane Central Register of Controlled Trials (CENTRAL), MEDLINE, CINAHL</w:t>
      </w:r>
      <w:r w:rsidR="00F81221">
        <w:rPr>
          <w:kern w:val="0"/>
        </w:rPr>
        <w:t xml:space="preserve"> and </w:t>
      </w:r>
      <w:r>
        <w:rPr>
          <w:kern w:val="0"/>
        </w:rPr>
        <w:t>PsycINFO, Social Sciences Citation Index, OpenSIGLE conference proceedings</w:t>
      </w:r>
      <w:r w:rsidR="00F81221">
        <w:rPr>
          <w:kern w:val="0"/>
        </w:rPr>
        <w:t xml:space="preserve"> and </w:t>
      </w:r>
      <w:r>
        <w:rPr>
          <w:kern w:val="0"/>
        </w:rPr>
        <w:t>hand searching nursing journals. Review methods: Studies published since 1960, reporting any educational intervention that aimed to improve nurses</w:t>
      </w:r>
      <w:r w:rsidR="000352E7">
        <w:rPr>
          <w:kern w:val="0"/>
        </w:rPr>
        <w:t>’</w:t>
      </w:r>
      <w:r>
        <w:rPr>
          <w:kern w:val="0"/>
        </w:rPr>
        <w:t xml:space="preserve"> clinical judgements or decision making were included. Studies were assessed for relevance</w:t>
      </w:r>
      <w:r w:rsidR="00F81221">
        <w:rPr>
          <w:kern w:val="0"/>
        </w:rPr>
        <w:t xml:space="preserve"> and </w:t>
      </w:r>
      <w:r>
        <w:rPr>
          <w:kern w:val="0"/>
        </w:rPr>
        <w:t>quality. Data extracted included study design; educational setting; the nature of participants; whether the study was concerned with the clinical application of skills or the application of theory; the type of decision targeted by the intervention (e.g. diagnostic reasoning)</w:t>
      </w:r>
      <w:r w:rsidR="00F81221">
        <w:rPr>
          <w:kern w:val="0"/>
        </w:rPr>
        <w:t xml:space="preserve"> and </w:t>
      </w:r>
      <w:r>
        <w:rPr>
          <w:kern w:val="0"/>
        </w:rPr>
        <w:t>whether the evaluation of the intervention focused on efficacy or effectiveness. A narrative approach to study synthesis was used due to heterogeneity in interventions, study samples, outcomes</w:t>
      </w:r>
      <w:r w:rsidR="00F81221">
        <w:rPr>
          <w:kern w:val="0"/>
        </w:rPr>
        <w:t xml:space="preserve"> and </w:t>
      </w:r>
      <w:r>
        <w:rPr>
          <w:kern w:val="0"/>
        </w:rPr>
        <w:t>settings</w:t>
      </w:r>
      <w:r w:rsidR="00F81221">
        <w:rPr>
          <w:kern w:val="0"/>
        </w:rPr>
        <w:t xml:space="preserve"> and </w:t>
      </w:r>
      <w:r>
        <w:rPr>
          <w:kern w:val="0"/>
        </w:rPr>
        <w:t>incomplete reporting of effect sizes. Results: From 5262 initial citations 24 studies were included in the review. A variety of educational approaches were reported. Study quality</w:t>
      </w:r>
      <w:r w:rsidR="00F81221">
        <w:rPr>
          <w:kern w:val="0"/>
        </w:rPr>
        <w:t xml:space="preserve"> and </w:t>
      </w:r>
      <w:r>
        <w:rPr>
          <w:kern w:val="0"/>
        </w:rPr>
        <w:t>content reporting was generally poor. Pedagogical theories were widely used but use of decision theory (with the exception of subjective expected utility theory implicit in decision analysis) was rare. The effectiveness</w:t>
      </w:r>
      <w:r w:rsidR="00F81221">
        <w:rPr>
          <w:kern w:val="0"/>
        </w:rPr>
        <w:t xml:space="preserve"> and </w:t>
      </w:r>
      <w:r>
        <w:rPr>
          <w:kern w:val="0"/>
        </w:rPr>
        <w:t>efficacy of interventions was mixed. Conclusions: Educational interventions to improve nurses</w:t>
      </w:r>
      <w:r w:rsidR="000352E7">
        <w:rPr>
          <w:kern w:val="0"/>
        </w:rPr>
        <w:t>’</w:t>
      </w:r>
      <w:r>
        <w:rPr>
          <w:kern w:val="0"/>
        </w:rPr>
        <w:t xml:space="preserve"> judgements</w:t>
      </w:r>
      <w:r w:rsidR="00F81221">
        <w:rPr>
          <w:kern w:val="0"/>
        </w:rPr>
        <w:t xml:space="preserve"> and </w:t>
      </w:r>
      <w:r>
        <w:rPr>
          <w:kern w:val="0"/>
        </w:rPr>
        <w:t>decisions are complex</w:t>
      </w:r>
      <w:r w:rsidR="00F81221">
        <w:rPr>
          <w:kern w:val="0"/>
        </w:rPr>
        <w:t xml:space="preserve"> and </w:t>
      </w:r>
      <w:r>
        <w:rPr>
          <w:kern w:val="0"/>
        </w:rPr>
        <w:t xml:space="preserve">the evidence from comparative studies does little to reduce the uncertainty about </w:t>
      </w:r>
      <w:r w:rsidR="000352E7">
        <w:rPr>
          <w:kern w:val="0"/>
        </w:rPr>
        <w:t>‘</w:t>
      </w:r>
      <w:r>
        <w:rPr>
          <w:kern w:val="0"/>
        </w:rPr>
        <w:t>what works</w:t>
      </w:r>
      <w:r w:rsidR="000352E7">
        <w:rPr>
          <w:kern w:val="0"/>
        </w:rPr>
        <w:t>’</w:t>
      </w:r>
      <w:r>
        <w:rPr>
          <w:kern w:val="0"/>
        </w:rPr>
        <w:t>. Nurse educators need to pay attention to decision, as well as pedagogical, theory in the design of interventions. Study design</w:t>
      </w:r>
      <w:r w:rsidR="00F81221">
        <w:rPr>
          <w:kern w:val="0"/>
        </w:rPr>
        <w:t xml:space="preserve"> and </w:t>
      </w:r>
      <w:r>
        <w:rPr>
          <w:kern w:val="0"/>
        </w:rPr>
        <w:t xml:space="preserve">reporting requires </w:t>
      </w:r>
      <w:r>
        <w:rPr>
          <w:kern w:val="0"/>
        </w:rPr>
        <w:lastRenderedPageBreak/>
        <w:t>improvement to maximise the information contained in reports of educational interventions. (C) 2011 Elsevier Ltd. All rights reserved.</w:t>
      </w:r>
    </w:p>
    <w:p w:rsidR="00E14033" w:rsidRDefault="00E14033" w:rsidP="00E14033">
      <w:pPr>
        <w:pStyle w:val="a0"/>
        <w:rPr>
          <w:kern w:val="0"/>
        </w:rPr>
      </w:pPr>
      <w:r>
        <w:rPr>
          <w:kern w:val="0"/>
        </w:rPr>
        <w:t>Keywords: Citation, Citations, Databases, Decision Making, Decision-Making, Design, Educational Activities, Efficacy, Evaluation, Health-Care, Information, Intervention, Interventions, Journals, Judgement, Medline, Nurses, Nursing, Nursing Journals, Nursing-Students, Outcomes, Quality, Review, Social Sciences, Strategies, Students Critical Thinking, Systematic Review, Trial</w:t>
      </w:r>
    </w:p>
    <w:p w:rsidR="00457B78" w:rsidRDefault="00457B78" w:rsidP="00457B78">
      <w:pPr>
        <w:pStyle w:val="a0"/>
        <w:rPr>
          <w:kern w:val="0"/>
        </w:rPr>
      </w:pPr>
      <w:r>
        <w:rPr>
          <w:rFonts w:hint="eastAsia"/>
          <w:kern w:val="0"/>
        </w:rPr>
        <w:t xml:space="preserve">? </w:t>
      </w:r>
      <w:r>
        <w:rPr>
          <w:kern w:val="0"/>
        </w:rPr>
        <w:t>Mahieu, L., Van Elssen, K. and Gastmans, C. (2011), Nurses</w:t>
      </w:r>
      <w:r w:rsidR="000352E7">
        <w:rPr>
          <w:kern w:val="0"/>
        </w:rPr>
        <w:t>’</w:t>
      </w:r>
      <w:r>
        <w:rPr>
          <w:kern w:val="0"/>
        </w:rPr>
        <w:t xml:space="preserve"> perceptions of sexuality in institutionalized elderly: A literature review. </w:t>
      </w:r>
      <w:r>
        <w:rPr>
          <w:i/>
          <w:iCs/>
          <w:kern w:val="0"/>
        </w:rPr>
        <w:t>International Journal of Nursing Studies</w:t>
      </w:r>
      <w:r>
        <w:rPr>
          <w:kern w:val="0"/>
        </w:rPr>
        <w:t xml:space="preserve">, </w:t>
      </w:r>
      <w:r>
        <w:rPr>
          <w:b/>
          <w:bCs/>
          <w:kern w:val="0"/>
        </w:rPr>
        <w:t>48</w:t>
      </w:r>
      <w:r>
        <w:rPr>
          <w:kern w:val="0"/>
        </w:rPr>
        <w:t xml:space="preserve"> (9), 1140-1154.</w:t>
      </w:r>
    </w:p>
    <w:p w:rsidR="00457B78" w:rsidRPr="001A3D2B" w:rsidRDefault="00457B78" w:rsidP="00457B78">
      <w:pPr>
        <w:pStyle w:val="a0"/>
      </w:pPr>
      <w:r w:rsidRPr="001A3D2B">
        <w:t xml:space="preserve">Full Text: </w:t>
      </w:r>
      <w:hyperlink r:id="rId2012" w:history="1">
        <w:r w:rsidRPr="00457B78">
          <w:rPr>
            <w:rStyle w:val="a5"/>
          </w:rPr>
          <w:t>2011\Int J Nur Stu48, 1140.pdf</w:t>
        </w:r>
      </w:hyperlink>
    </w:p>
    <w:p w:rsidR="00457B78" w:rsidRDefault="00457B78" w:rsidP="00457B78">
      <w:pPr>
        <w:pStyle w:val="a0"/>
        <w:rPr>
          <w:kern w:val="0"/>
        </w:rPr>
      </w:pPr>
      <w:r>
        <w:rPr>
          <w:kern w:val="0"/>
        </w:rPr>
        <w:t>Abstract: Background: Institutionalized elderly continue to have the need for sexual expression and intimacy. Nurses often display negative responses when they are confronted with the sexual behavior of residents. They feel ashamed and do not know how to react. This generates feelings of discomfort, resulting in the denial of resident</w:t>
      </w:r>
      <w:r w:rsidR="000352E7">
        <w:rPr>
          <w:kern w:val="0"/>
        </w:rPr>
        <w:t>’</w:t>
      </w:r>
      <w:r>
        <w:rPr>
          <w:kern w:val="0"/>
        </w:rPr>
        <w:t>s needs and desires for sexual fulfillment. Objectives: The objective of this review is to thoroughly analyze the literature about the knowledge, attitudes, and experiences of nursing staff toward sexuality in institutionalized elderly. We shed light onto the relationship between knowledge and attitudes, and determined whether certain demographic factors relate to the knowledge and attitudes of nursing home caregivers. Design: We conducted an extensive search of the electronic databases Medline, Cinahl, Psychinfo, Web of Science, Philosophers Index, Google Scholar, and Invert for papers published between January 1980 and September 2010. A broad range of search keywords was used. Findings: The quantitative studies revealed nursing staff to show rather positive attitudes toward later-life sexuality. However, the extent of the staffs knowledge regarding sexuality in the aged seemed to be very limited. There was no consensus found about the relationship between knowledge and attitudes. As regards the influence of demographic variables, the results were very ambiguous. The qualitative studies showed that caregivers hold rather conservative attitudes toward sexuality in institutionalized elderly. Feelings of discomfort prevailed. The responses to residents</w:t>
      </w:r>
      <w:r w:rsidR="000352E7">
        <w:rPr>
          <w:kern w:val="0"/>
        </w:rPr>
        <w:t>’</w:t>
      </w:r>
      <w:r>
        <w:rPr>
          <w:kern w:val="0"/>
        </w:rPr>
        <w:t xml:space="preserve"> sexual behavior were influenced by the staffs own level of comfort related to sexuality issues and the ethos within the institution where they work. Conclusions: This review gives us a broad outline of the knowledge, attitudes, and experiences of geriatric nurses toward sexuality in institutionalized elderly. If we want the sexual needs of residents to be recognized, more research is needed. Especially needed are more in-depth qualitative studies that explore the experiences of nurses and managers. The development of a more accurate educational program could increase the knowledge of later-life sexuality and cultivate positive and permissive attitudes toward sexuality in the aged. (C) 2011 </w:t>
      </w:r>
      <w:r>
        <w:rPr>
          <w:kern w:val="0"/>
        </w:rPr>
        <w:lastRenderedPageBreak/>
        <w:t>Elsevier Ltd. All rights reserved.</w:t>
      </w:r>
    </w:p>
    <w:p w:rsidR="00457B78" w:rsidRDefault="00457B78" w:rsidP="00457B78">
      <w:pPr>
        <w:pStyle w:val="a0"/>
        <w:rPr>
          <w:kern w:val="0"/>
        </w:rPr>
      </w:pPr>
      <w:r>
        <w:rPr>
          <w:kern w:val="0"/>
        </w:rPr>
        <w:t>Keywords: Active Older Persons, Aged, Attitudes, Behavior, Care, Databases, Dementia, Development, Elderly, Geriatric, Google Scholar, Home Residents, Increase, Knowledge, Literature, Literature Review, Medline, Nurses, Nurses Perceptions, Nursing, Nursing Homes, Nursing-Students Attitudes, Papers, People, Perceptions, Quantitative, Research, Residents, Review, Science, Sexual Behavior, Sexuality, Staff, Web of Science</w:t>
      </w:r>
    </w:p>
    <w:p w:rsidR="00B95188" w:rsidRPr="00A428C3" w:rsidRDefault="00B95188" w:rsidP="00B95188">
      <w:pPr>
        <w:pStyle w:val="1"/>
      </w:pPr>
      <w:r w:rsidRPr="00A428C3">
        <w:br w:type="page"/>
      </w:r>
      <w:bookmarkStart w:id="1418" w:name="_Toc186647937"/>
      <w:bookmarkStart w:id="1419" w:name="_Toc317161336"/>
      <w:r w:rsidRPr="00A428C3">
        <w:lastRenderedPageBreak/>
        <w:t>Title: International Journal of Obesity</w:t>
      </w:r>
      <w:bookmarkEnd w:id="1418"/>
      <w:bookmarkEnd w:id="1419"/>
    </w:p>
    <w:p w:rsidR="00B95188" w:rsidRPr="00A428C3" w:rsidRDefault="00B95188" w:rsidP="00B72EF9">
      <w:pPr>
        <w:pStyle w:val="12"/>
      </w:pPr>
      <w:r w:rsidRPr="00A428C3">
        <w:t>Full Journal Title: International Journal of Obesity</w:t>
      </w:r>
    </w:p>
    <w:p w:rsidR="00B95188" w:rsidRPr="00A428C3" w:rsidRDefault="00B95188" w:rsidP="00B72EF9">
      <w:pPr>
        <w:pStyle w:val="12"/>
      </w:pPr>
      <w:r w:rsidRPr="00A428C3">
        <w:t>ISO Abbreviated Title: Int. J. Obes.</w:t>
      </w:r>
    </w:p>
    <w:p w:rsidR="00B95188" w:rsidRPr="00A428C3" w:rsidRDefault="00B95188" w:rsidP="00B72EF9">
      <w:pPr>
        <w:pStyle w:val="12"/>
      </w:pPr>
      <w:r w:rsidRPr="00A428C3">
        <w:t>JCR Abbreviated Title: Int J Obesity</w:t>
      </w:r>
    </w:p>
    <w:p w:rsidR="00B95188" w:rsidRPr="00A428C3" w:rsidRDefault="00B95188" w:rsidP="00B72EF9">
      <w:pPr>
        <w:pStyle w:val="12"/>
      </w:pPr>
      <w:r w:rsidRPr="00A428C3">
        <w:t>ISSN: 0307-0565</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Nature Publishing Group</w:t>
      </w:r>
    </w:p>
    <w:p w:rsidR="00B95188" w:rsidRPr="00A428C3" w:rsidRDefault="00B95188" w:rsidP="00B72EF9">
      <w:pPr>
        <w:pStyle w:val="12"/>
      </w:pPr>
      <w:r w:rsidRPr="00A428C3">
        <w:t xml:space="preserve">Publisher Address: </w:t>
      </w:r>
      <w:smartTag w:uri="urn:schemas-microsoft-com:office:smarttags" w:element="PlaceName">
        <w:r w:rsidRPr="00A428C3">
          <w:t>Macmillan</w:t>
        </w:r>
      </w:smartTag>
      <w:r w:rsidRPr="00A428C3">
        <w:t xml:space="preserve"> </w:t>
      </w:r>
      <w:smartTag w:uri="urn:schemas-microsoft-com:office:smarttags" w:element="PlaceType">
        <w:r w:rsidRPr="00A428C3">
          <w:t>Building</w:t>
        </w:r>
      </w:smartTag>
      <w:r w:rsidRPr="00A428C3">
        <w:t xml:space="preserve">, </w:t>
      </w:r>
      <w:smartTag w:uri="urn:schemas-microsoft-com:office:smarttags" w:element="place">
        <w:r w:rsidRPr="00A428C3">
          <w:t xml:space="preserve">4 Crinan St, </w:t>
        </w:r>
        <w:smartTag w:uri="urn:schemas-microsoft-com:office:smarttags" w:element="City">
          <w:r w:rsidRPr="00A428C3">
            <w:t>London</w:t>
          </w:r>
        </w:smartTag>
        <w:r w:rsidRPr="00A428C3">
          <w:t xml:space="preserve"> </w:t>
        </w:r>
        <w:smartTag w:uri="urn:schemas-microsoft-com:office:smarttags" w:element="PostalCode">
          <w:r w:rsidRPr="00A428C3">
            <w:t>N1 9XW</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Endocrinology &amp; Metabolism: Impact Factor 2.794, 33/88 (2003)</w:t>
      </w:r>
    </w:p>
    <w:p w:rsidR="00B95188" w:rsidRPr="00A428C3" w:rsidRDefault="00B95188" w:rsidP="00B72EF9">
      <w:pPr>
        <w:pStyle w:val="12"/>
      </w:pPr>
      <w:r w:rsidRPr="00A428C3">
        <w:t>Nutrition &amp; Dietetics: Impact Factor 2.794, 24/53 (2003)</w:t>
      </w:r>
    </w:p>
    <w:p w:rsidR="006D0A3C" w:rsidRDefault="006D0A3C" w:rsidP="006D0A3C">
      <w:pPr>
        <w:pStyle w:val="a0"/>
        <w:rPr>
          <w:kern w:val="0"/>
        </w:rPr>
      </w:pPr>
      <w:r>
        <w:rPr>
          <w:kern w:val="0"/>
        </w:rPr>
        <w:t>? Tsiros, M.D., Olds, T., Buckley, J.D., Grimshaw, P., Brennan, L., Walkley, J., Hills, A.P., Howe, P.R.C.</w:t>
      </w:r>
      <w:r w:rsidR="00F81221">
        <w:rPr>
          <w:kern w:val="0"/>
        </w:rPr>
        <w:t xml:space="preserve"> and </w:t>
      </w:r>
      <w:r>
        <w:rPr>
          <w:kern w:val="0"/>
        </w:rPr>
        <w:t>Coates, A.M. (2009), Health-related quality of life in obese children</w:t>
      </w:r>
      <w:r w:rsidR="00F81221">
        <w:rPr>
          <w:kern w:val="0"/>
        </w:rPr>
        <w:t xml:space="preserve"> and </w:t>
      </w:r>
      <w:r>
        <w:rPr>
          <w:kern w:val="0"/>
        </w:rPr>
        <w:t xml:space="preserve">adolescents. </w:t>
      </w:r>
      <w:r>
        <w:rPr>
          <w:i/>
          <w:iCs/>
          <w:kern w:val="0"/>
        </w:rPr>
        <w:t>International Journal of Obesity</w:t>
      </w:r>
      <w:r>
        <w:rPr>
          <w:kern w:val="0"/>
        </w:rPr>
        <w:t xml:space="preserve">, </w:t>
      </w:r>
      <w:r>
        <w:rPr>
          <w:b/>
          <w:bCs/>
          <w:kern w:val="0"/>
        </w:rPr>
        <w:t>33</w:t>
      </w:r>
      <w:r>
        <w:rPr>
          <w:kern w:val="0"/>
        </w:rPr>
        <w:t xml:space="preserve"> (4), 387-400.</w:t>
      </w:r>
    </w:p>
    <w:p w:rsidR="006D0A3C" w:rsidRDefault="006D0A3C" w:rsidP="006D0A3C">
      <w:pPr>
        <w:pStyle w:val="a0"/>
        <w:rPr>
          <w:kern w:val="0"/>
        </w:rPr>
      </w:pPr>
      <w:r>
        <w:rPr>
          <w:kern w:val="0"/>
        </w:rPr>
        <w:t>Abstract: Objective: This review addresses the effect of overweight</w:t>
      </w:r>
      <w:r w:rsidR="00F81221">
        <w:rPr>
          <w:kern w:val="0"/>
        </w:rPr>
        <w:t xml:space="preserve"> and </w:t>
      </w:r>
      <w:r>
        <w:rPr>
          <w:kern w:val="0"/>
        </w:rPr>
        <w:t>obese weight status on pediatric health-related quality of life (HRQOL). Method: Web of Science, MEDLINE, CINAHL, Cochrane Library, EMBASE, AMED</w:t>
      </w:r>
      <w:r w:rsidR="00F81221">
        <w:rPr>
          <w:kern w:val="0"/>
        </w:rPr>
        <w:t xml:space="preserve"> and </w:t>
      </w:r>
      <w:r>
        <w:rPr>
          <w:kern w:val="0"/>
        </w:rPr>
        <w:t>PUBMED were searched for peer-reviewed studies in English reporting HRQOL</w:t>
      </w:r>
      <w:r w:rsidR="00F81221">
        <w:rPr>
          <w:kern w:val="0"/>
        </w:rPr>
        <w:t xml:space="preserve"> and </w:t>
      </w:r>
      <w:r>
        <w:rPr>
          <w:kern w:val="0"/>
        </w:rPr>
        <w:t>weight status in youth (&lt;21 years), published before March 2008. Results: Twenty-eight articles were identified. Regression of HRQOL against body mass index (BMI) using pooled data from 13 studies utilizing the Pediatric Quality of Life Inventory identified an inverse relationship between BMI</w:t>
      </w:r>
      <w:r w:rsidR="00F81221">
        <w:rPr>
          <w:kern w:val="0"/>
        </w:rPr>
        <w:t xml:space="preserve"> and </w:t>
      </w:r>
      <w:r>
        <w:rPr>
          <w:kern w:val="0"/>
        </w:rPr>
        <w:t>pediatric HRQOL (r = -0.7, P = 0.008), with impairments in physical</w:t>
      </w:r>
      <w:r w:rsidR="00F81221">
        <w:rPr>
          <w:kern w:val="0"/>
        </w:rPr>
        <w:t xml:space="preserve"> and </w:t>
      </w:r>
      <w:r>
        <w:rPr>
          <w:kern w:val="0"/>
        </w:rPr>
        <w:t>social functioning consistently reported. HRQOL seemed to improve with weight loss, but randomized controlled trials were few</w:t>
      </w:r>
      <w:r w:rsidR="00F81221">
        <w:rPr>
          <w:kern w:val="0"/>
        </w:rPr>
        <w:t xml:space="preserve"> and </w:t>
      </w:r>
      <w:r>
        <w:rPr>
          <w:kern w:val="0"/>
        </w:rPr>
        <w:t>lacked long-term follow-up. Conclusions: Little is known about the factors associated with reduced HRQOL among overweight or obese youth, although gender, age</w:t>
      </w:r>
      <w:r w:rsidR="00F81221">
        <w:rPr>
          <w:kern w:val="0"/>
        </w:rPr>
        <w:t xml:space="preserve"> and </w:t>
      </w:r>
      <w:r>
        <w:rPr>
          <w:kern w:val="0"/>
        </w:rPr>
        <w:t>obesity-related co-morbidities may play a role. Few studies have examined the differences in HRQOL between community</w:t>
      </w:r>
      <w:r w:rsidR="00F81221">
        <w:rPr>
          <w:kern w:val="0"/>
        </w:rPr>
        <w:t xml:space="preserve"> and </w:t>
      </w:r>
      <w:r>
        <w:rPr>
          <w:kern w:val="0"/>
        </w:rPr>
        <w:t>treatment-seeking samples. Pooled regressions suggest pediatric self-reported HRQOL can be predicted from parent proxy reports, although parents of obese youths tend to perceive worse HRQOL than children do about themselves. Thus, future research should include both pediatric</w:t>
      </w:r>
      <w:r w:rsidR="00F81221">
        <w:rPr>
          <w:kern w:val="0"/>
        </w:rPr>
        <w:t xml:space="preserve"> and </w:t>
      </w:r>
      <w:r>
        <w:rPr>
          <w:kern w:val="0"/>
        </w:rPr>
        <w:t>parent proxy perspectives.</w:t>
      </w:r>
    </w:p>
    <w:p w:rsidR="006D0A3C" w:rsidRDefault="006D0A3C" w:rsidP="006D0A3C">
      <w:pPr>
        <w:pStyle w:val="a0"/>
        <w:rPr>
          <w:kern w:val="0"/>
        </w:rPr>
      </w:pPr>
      <w:r>
        <w:rPr>
          <w:kern w:val="0"/>
        </w:rPr>
        <w:t xml:space="preserve">Keywords: Adolescents, Age Subgroups, Behavior-Modification, Bmi, Body Mass Index, Children, Cochrane, Embase, Follow-Up, Gender, Generic Core Scales, Health-Related Quality of Life, Hrqol, Intervention, Losing Weight, Low-Energy </w:t>
      </w:r>
      <w:r>
        <w:rPr>
          <w:kern w:val="0"/>
        </w:rPr>
        <w:lastRenderedPageBreak/>
        <w:t>Diet, Overweight, Overweight Youth, Parent, Parents, Pediatric, Pedsql(Tm)-4.0, Pubmed, Quality, Quality of Life, Randomized Controlled Trials, Research, Review, School-Children, Science, Social, Trial, Web of Science, Youth</w:t>
      </w:r>
    </w:p>
    <w:p w:rsidR="006D0A3C" w:rsidRDefault="006D0A3C" w:rsidP="006D0A3C">
      <w:pPr>
        <w:pStyle w:val="a0"/>
        <w:rPr>
          <w:kern w:val="0"/>
        </w:rPr>
      </w:pPr>
      <w:r>
        <w:rPr>
          <w:kern w:val="0"/>
        </w:rPr>
        <w:t>? Owen, C.G., Whincup, P.H., Orfei, L., Chou, Q.A., Rudnicka, A.R., Wathern, A.K., Kaye, S.J., Eriksson, J.G., Osmond, C.</w:t>
      </w:r>
      <w:r w:rsidR="00F81221">
        <w:rPr>
          <w:kern w:val="0"/>
        </w:rPr>
        <w:t xml:space="preserve"> and </w:t>
      </w:r>
      <w:r>
        <w:rPr>
          <w:kern w:val="0"/>
        </w:rPr>
        <w:t xml:space="preserve">Cook, D.G. (2009), Is body mass index before middle age related to coronary heart disease risk in later life? Evidence from observational studies. </w:t>
      </w:r>
      <w:r>
        <w:rPr>
          <w:i/>
          <w:iCs/>
          <w:kern w:val="0"/>
        </w:rPr>
        <w:t>International Journal of Obesity</w:t>
      </w:r>
      <w:r>
        <w:rPr>
          <w:kern w:val="0"/>
        </w:rPr>
        <w:t xml:space="preserve">, </w:t>
      </w:r>
      <w:r>
        <w:rPr>
          <w:b/>
          <w:bCs/>
          <w:kern w:val="0"/>
        </w:rPr>
        <w:t>33</w:t>
      </w:r>
      <w:r>
        <w:rPr>
          <w:kern w:val="0"/>
        </w:rPr>
        <w:t xml:space="preserve"> (8), 866-877.</w:t>
      </w:r>
    </w:p>
    <w:p w:rsidR="006D0A3C" w:rsidRDefault="006D0A3C" w:rsidP="006D0A3C">
      <w:pPr>
        <w:pStyle w:val="a0"/>
        <w:rPr>
          <w:kern w:val="0"/>
        </w:rPr>
      </w:pPr>
      <w:r>
        <w:rPr>
          <w:kern w:val="0"/>
        </w:rPr>
        <w:t>Abstract: Objective: Although obesity beginning early in life is becoming more common, its implications for coronary heart disease (CHD) risk in later life remain uncertain. We examined the relationship of body mass index (BMI) before 30 years of age to CHD risk in later life. Design: Systematic review of published studies relating BMI between age 2</w:t>
      </w:r>
      <w:r w:rsidR="00F81221">
        <w:rPr>
          <w:kern w:val="0"/>
        </w:rPr>
        <w:t xml:space="preserve"> and </w:t>
      </w:r>
      <w:r>
        <w:rPr>
          <w:kern w:val="0"/>
        </w:rPr>
        <w:t>30 years to later CHD risk. Studies were identified using MEDLINE (1950 onwards), EMBASE (1980 onwards)</w:t>
      </w:r>
      <w:r w:rsidR="00F81221">
        <w:rPr>
          <w:kern w:val="0"/>
        </w:rPr>
        <w:t xml:space="preserve"> and </w:t>
      </w:r>
      <w:r>
        <w:rPr>
          <w:kern w:val="0"/>
        </w:rPr>
        <w:t>Web of Science (1970 onwards) databases (to November 2007). Measurements: Relative risks (RR) of CHD associated with a 1 standard deviation (s.d.) higher BMI (most based on a narrow age range at measurement) were extracted by two authors independently,</w:t>
      </w:r>
      <w:r w:rsidR="00F81221">
        <w:rPr>
          <w:kern w:val="0"/>
        </w:rPr>
        <w:t xml:space="preserve"> and </w:t>
      </w:r>
      <w:r>
        <w:rPr>
          <w:kern w:val="0"/>
        </w:rPr>
        <w:t>combined using random-effect models. Results: A total of 15 studies provided 17 estimates (731 337 participants, 23 894 CHD events) of the association of early BMI to later CHD outcome. BMI in early childhood (2-6 years, 3 estimates) showed a weak inverse association with CHD risk (RR 0.94, 95% CI 0.82-1.07). BMI in later childhood (7 to &lt; 18 years, 7 estimates)</w:t>
      </w:r>
      <w:r w:rsidR="00F81221">
        <w:rPr>
          <w:kern w:val="0"/>
        </w:rPr>
        <w:t xml:space="preserve"> and </w:t>
      </w:r>
      <w:r>
        <w:rPr>
          <w:kern w:val="0"/>
        </w:rPr>
        <w:t>BMI in early adult life (18-30 years, 7 estimates) were both positively related to later CHD risk (RR 1.09, 95% CI 1.00-1.20; RR 1.19, 95% CI 1.11-1.29 respectively). However, there was considerable statistical heterogeneity between study estimates. Results were unaffected by adjustment for social class and/or cigarette smoking, blood pressure and/or total cholesterol, in studies with available data. Gender</w:t>
      </w:r>
      <w:r w:rsidR="00F81221">
        <w:rPr>
          <w:kern w:val="0"/>
        </w:rPr>
        <w:t xml:space="preserve"> and </w:t>
      </w:r>
      <w:r>
        <w:rPr>
          <w:kern w:val="0"/>
        </w:rPr>
        <w:t>year of birth (1900-1976) had little effect on the association. Conclusions: BMI is positively related to CHD risk from childhood onwards; the associations in young adults are consistent with those observed in middle age. Long-term control of BMI from childhood may be important to reduce the risk of CHD. International Journal of Obesity (2009) 33, 866-877; doi: 10.1038/ijo.2009.102; published online 9 June 2009.</w:t>
      </w:r>
    </w:p>
    <w:p w:rsidR="006D0A3C" w:rsidRDefault="006D0A3C" w:rsidP="006D0A3C">
      <w:pPr>
        <w:pStyle w:val="a0"/>
        <w:rPr>
          <w:kern w:val="0"/>
        </w:rPr>
      </w:pPr>
      <w:r>
        <w:rPr>
          <w:kern w:val="0"/>
        </w:rPr>
        <w:t>Keywords: 1950s Prospective Cohort, Aberdeen Children, Adolescent, Adult, Adult Cardiovascular Mortality, Adults, Authors, Birth-Weight, Blood, Blood Pressure, Blood-Pressure, Bmi, Body Mass Index, Child, Children, Childhood Obesity, Control, Coronary Heart Disease, Databases, Disease, Disease Risk, Follow-Up, Gender, Journal, Measurement, Metabolic Syndrome, Obesity, Observational Studies, Outcome, Pressure, Review, Risk, Science, Smoking, Social, Social Class, Statistical, Systematic, Systematic Review, Total Cholesterol, Web of Science, X-Ray Absorptiometry, Young Adults, Young-Finns</w:t>
      </w:r>
    </w:p>
    <w:p w:rsidR="006D0A3C" w:rsidRDefault="006D0A3C" w:rsidP="006D0A3C">
      <w:pPr>
        <w:pStyle w:val="a0"/>
        <w:rPr>
          <w:kern w:val="0"/>
        </w:rPr>
      </w:pPr>
      <w:r>
        <w:rPr>
          <w:kern w:val="0"/>
        </w:rPr>
        <w:lastRenderedPageBreak/>
        <w:t>? Okorodudu, D.O., Jumean, M.F., Montori, V.M., Romero-Corral, A., Somers, V.K., Erwin, P.J.</w:t>
      </w:r>
      <w:r w:rsidR="00F81221">
        <w:rPr>
          <w:kern w:val="0"/>
        </w:rPr>
        <w:t xml:space="preserve"> and </w:t>
      </w:r>
      <w:r>
        <w:rPr>
          <w:kern w:val="0"/>
        </w:rPr>
        <w:t>Lopez-Jimenez, F. (2010), Diagnostic performance of body mass index to identify obesity as defined by body adiposity: A systematic review</w:t>
      </w:r>
      <w:r w:rsidR="00F81221">
        <w:rPr>
          <w:kern w:val="0"/>
        </w:rPr>
        <w:t xml:space="preserve"> and </w:t>
      </w:r>
      <w:r>
        <w:rPr>
          <w:kern w:val="0"/>
        </w:rPr>
        <w:t xml:space="preserve">meta-analysis. </w:t>
      </w:r>
      <w:r>
        <w:rPr>
          <w:i/>
          <w:iCs/>
          <w:kern w:val="0"/>
        </w:rPr>
        <w:t>International Journal of Obesity</w:t>
      </w:r>
      <w:r>
        <w:rPr>
          <w:kern w:val="0"/>
        </w:rPr>
        <w:t xml:space="preserve">, </w:t>
      </w:r>
      <w:r>
        <w:rPr>
          <w:b/>
          <w:bCs/>
          <w:kern w:val="0"/>
        </w:rPr>
        <w:t>34</w:t>
      </w:r>
      <w:r>
        <w:rPr>
          <w:kern w:val="0"/>
        </w:rPr>
        <w:t xml:space="preserve"> (5), 791-799.</w:t>
      </w:r>
    </w:p>
    <w:p w:rsidR="006D0A3C" w:rsidRDefault="006D0A3C" w:rsidP="006D0A3C">
      <w:pPr>
        <w:pStyle w:val="a0"/>
        <w:rPr>
          <w:kern w:val="0"/>
        </w:rPr>
      </w:pPr>
      <w:r>
        <w:rPr>
          <w:kern w:val="0"/>
        </w:rPr>
        <w:t>Abstract: Objective: We performed a systematic review</w:t>
      </w:r>
      <w:r w:rsidR="00F81221">
        <w:rPr>
          <w:kern w:val="0"/>
        </w:rPr>
        <w:t xml:space="preserve"> and </w:t>
      </w:r>
      <w:r>
        <w:rPr>
          <w:kern w:val="0"/>
        </w:rPr>
        <w:t>meta-analysis of studies that assessed the performance of body mass index (BMI) to detect body adiposity. Design: Data sources were MEDLINE, EMBASE, Cochrane, Database of Systematic Reviews, Cochrane CENTRAL, Web of Science,</w:t>
      </w:r>
      <w:r w:rsidR="00F81221">
        <w:rPr>
          <w:kern w:val="0"/>
        </w:rPr>
        <w:t xml:space="preserve"> and </w:t>
      </w:r>
      <w:r>
        <w:rPr>
          <w:kern w:val="0"/>
        </w:rPr>
        <w:t>SCOPUS. To be included, studies must have assessed the performance of BMI to measure body adiposity, provided standard values of diagnostic performance,</w:t>
      </w:r>
      <w:r w:rsidR="00F81221">
        <w:rPr>
          <w:kern w:val="0"/>
        </w:rPr>
        <w:t xml:space="preserve"> and </w:t>
      </w:r>
      <w:r>
        <w:rPr>
          <w:kern w:val="0"/>
        </w:rPr>
        <w:t>used a body composition technique as the reference standard for body fat percent (BF%) measurement. We obtained pooled summary statistics for sensitivity, specificity, positive</w:t>
      </w:r>
      <w:r w:rsidR="00F81221">
        <w:rPr>
          <w:kern w:val="0"/>
        </w:rPr>
        <w:t xml:space="preserve"> and </w:t>
      </w:r>
      <w:r>
        <w:rPr>
          <w:kern w:val="0"/>
        </w:rPr>
        <w:t>negative likelihood ratios (LRs),</w:t>
      </w:r>
      <w:r w:rsidR="00F81221">
        <w:rPr>
          <w:kern w:val="0"/>
        </w:rPr>
        <w:t xml:space="preserve"> and </w:t>
      </w:r>
      <w:r>
        <w:rPr>
          <w:kern w:val="0"/>
        </w:rPr>
        <w:t>diagnostic odds ratio (DOR). The inconsistency statistic (I2) assessed potential heterogeneity. Results: The search strategy yielded 3341 potentially relevant abstracts,</w:t>
      </w:r>
      <w:r w:rsidR="00F81221">
        <w:rPr>
          <w:kern w:val="0"/>
        </w:rPr>
        <w:t xml:space="preserve"> and </w:t>
      </w:r>
      <w:r>
        <w:rPr>
          <w:kern w:val="0"/>
        </w:rPr>
        <w:t>25 articles met our predefined inclusion criteria. These studies evaluated 32 different samples totaling 31 968 patients. Commonly used BMI cutoffs to diagnose obesity showed a pooled sensitivity to detect high adiposity of 0.50 (95% confidence interval (CI): 0.43-0.57)</w:t>
      </w:r>
      <w:r w:rsidR="00F81221">
        <w:rPr>
          <w:kern w:val="0"/>
        </w:rPr>
        <w:t xml:space="preserve"> and </w:t>
      </w:r>
      <w:r>
        <w:rPr>
          <w:kern w:val="0"/>
        </w:rPr>
        <w:t>a pooled specificity of 0.90 (CI: 0.86-0.94). Positive LR was 5.88 (CI: 4.24-8.15), I(2) = 97.8%; the negative LR was 0.43 (CI: 0.37-0.50), I(2) = 98.5%;</w:t>
      </w:r>
      <w:r w:rsidR="00F81221">
        <w:rPr>
          <w:kern w:val="0"/>
        </w:rPr>
        <w:t xml:space="preserve"> and </w:t>
      </w:r>
      <w:r>
        <w:rPr>
          <w:kern w:val="0"/>
        </w:rPr>
        <w:t>the DOR was 17.91 (CI: 12.56-25.53), I(2) = 91.7%. Analysis of studies that used BMI cutoffs &gt;= 30 had a pooled sensitivity of 0.42 (CI: 0.31-0.43)</w:t>
      </w:r>
      <w:r w:rsidR="00F81221">
        <w:rPr>
          <w:kern w:val="0"/>
        </w:rPr>
        <w:t xml:space="preserve"> and </w:t>
      </w:r>
      <w:r>
        <w:rPr>
          <w:kern w:val="0"/>
        </w:rPr>
        <w:t>a pooled specificity of 0.97 (CI: 0.96-0.97). Cutoff values</w:t>
      </w:r>
      <w:r w:rsidR="00F81221">
        <w:rPr>
          <w:kern w:val="0"/>
        </w:rPr>
        <w:t xml:space="preserve"> and </w:t>
      </w:r>
      <w:r>
        <w:rPr>
          <w:kern w:val="0"/>
        </w:rPr>
        <w:t>regional origin of the studies can only partially explain the heterogeneity seen in pooled DOR estimates. Conclusion: Commonly used BMI cutoff values to diagnose obesity have high specificity, but low sensitivity to identify adiposity, as they fail to identify half of the people with excess BF%. International Journal of Obesity (2010) 34, 791-799; doi: 10.1038/ijo.2010.5; published online 2 February 2010.</w:t>
      </w:r>
    </w:p>
    <w:p w:rsidR="006D0A3C" w:rsidRDefault="006D0A3C" w:rsidP="006D0A3C">
      <w:pPr>
        <w:pStyle w:val="a0"/>
        <w:rPr>
          <w:kern w:val="0"/>
        </w:rPr>
      </w:pPr>
      <w:r>
        <w:rPr>
          <w:kern w:val="0"/>
        </w:rPr>
        <w:t>Keywords: Adiposity, Association, BMI, Body Composition, Body Mass Index, Chinese, Cochrane, Embase, Fat, Fat Mass, Journal, Measurement, Medline, Meta-Analysis, Mortality, Obesity, Population, Postmenopausal Women, Ratio, Review, Science, Scopus, Statistics, Strategy, Systematic, Systematic Review, To-Hip Ratio, Waist Circumference, Web of Science, Young-Adults</w:t>
      </w:r>
    </w:p>
    <w:p w:rsidR="00B95188" w:rsidRPr="00A428C3" w:rsidRDefault="00B95188" w:rsidP="00B95188">
      <w:pPr>
        <w:pStyle w:val="1"/>
      </w:pPr>
      <w:r w:rsidRPr="00A428C3">
        <w:br w:type="page"/>
      </w:r>
      <w:bookmarkStart w:id="1420" w:name="_Toc487192729"/>
      <w:bookmarkStart w:id="1421" w:name="_Toc489709761"/>
      <w:bookmarkStart w:id="1422" w:name="_Toc490688071"/>
      <w:bookmarkStart w:id="1423" w:name="_Toc492812183"/>
      <w:bookmarkStart w:id="1424" w:name="_Toc186647938"/>
      <w:bookmarkStart w:id="1425" w:name="_Toc317161337"/>
      <w:r w:rsidRPr="00A428C3">
        <w:lastRenderedPageBreak/>
        <w:t>Title: Int J Occup Environ Health</w:t>
      </w:r>
      <w:bookmarkEnd w:id="1420"/>
      <w:bookmarkEnd w:id="1421"/>
      <w:bookmarkEnd w:id="1422"/>
      <w:bookmarkEnd w:id="1423"/>
      <w:bookmarkEnd w:id="1424"/>
      <w:bookmarkEnd w:id="1425"/>
    </w:p>
    <w:p w:rsidR="00B95188" w:rsidRPr="00A428C3" w:rsidRDefault="00B95188" w:rsidP="00B95188">
      <w:pPr>
        <w:pStyle w:val="a0"/>
      </w:pPr>
      <w:r w:rsidRPr="00A428C3">
        <w:t>(Int. J. Occup. Environ. Health)</w:t>
      </w:r>
    </w:p>
    <w:p w:rsidR="00B95188" w:rsidRPr="00A428C3" w:rsidRDefault="00B95188" w:rsidP="00B95188">
      <w:pPr>
        <w:pStyle w:val="a0"/>
      </w:pPr>
      <w:r w:rsidRPr="00A428C3">
        <w:t xml:space="preserve">? Cho, S.I., Li, Q., Yang, J., Chen, C., Padungtod, C., Ryan, L., </w:t>
      </w:r>
      <w:smartTag w:uri="urn:schemas-microsoft-com:office:smarttags" w:element="City">
        <w:r w:rsidRPr="00A428C3">
          <w:t>Christiani</w:t>
        </w:r>
      </w:smartTag>
      <w:r w:rsidRPr="00A428C3">
        <w:t>, D.C.</w:t>
      </w:r>
      <w:r w:rsidR="00F81221">
        <w:t xml:space="preserve"> and </w:t>
      </w:r>
      <w:r w:rsidRPr="00A428C3">
        <w:t>Xu, X. (1999), Drinking water source</w:t>
      </w:r>
      <w:r w:rsidR="00F81221">
        <w:t xml:space="preserve"> and </w:t>
      </w:r>
      <w:r w:rsidRPr="00A428C3">
        <w:t xml:space="preserve">spontaneous abortion: A cross-sectional study in a rural Chinese population. </w:t>
      </w:r>
      <w:r w:rsidRPr="00A428C3">
        <w:rPr>
          <w:i/>
        </w:rPr>
        <w:t>Int J Occup Environ Health</w:t>
      </w:r>
      <w:r w:rsidRPr="00A428C3">
        <w:t xml:space="preserve">, </w:t>
      </w:r>
      <w:r w:rsidRPr="00A428C3">
        <w:rPr>
          <w:b/>
        </w:rPr>
        <w:t>5</w:t>
      </w:r>
      <w:r w:rsidRPr="00A428C3">
        <w:t xml:space="preserve"> (3), 164-169.</w:t>
      </w:r>
    </w:p>
    <w:p w:rsidR="00B95188" w:rsidRPr="00A428C3" w:rsidRDefault="00B95188" w:rsidP="00B95188">
      <w:pPr>
        <w:pStyle w:val="a0"/>
      </w:pPr>
      <w:r w:rsidRPr="00A428C3">
        <w:t>Abstract: The authors examined the association between the risk of spontaneous abortion</w:t>
      </w:r>
      <w:r w:rsidR="00F81221">
        <w:t xml:space="preserve"> and </w:t>
      </w:r>
      <w:r w:rsidRPr="00A428C3">
        <w:t>the type of drinking water source in a rural Chinese population. Information about pregnancy outcomes</w:t>
      </w:r>
      <w:r w:rsidR="00F81221">
        <w:t xml:space="preserve"> and </w:t>
      </w:r>
      <w:r w:rsidRPr="00A428C3">
        <w:t>various exposures was collected by means of a detailed interview questionnaire. 2,876 pregnancies occurring in 1989-1993 among 2,201 nonsmoking</w:t>
      </w:r>
      <w:r w:rsidR="00F81221">
        <w:t xml:space="preserve"> and </w:t>
      </w:r>
      <w:r w:rsidRPr="00A428C3">
        <w:t>non-alcohol-drinking women were analyzed by logistic regression. Generalized estimating equations were used to adjust for correlations between multiple pregnancies in the same woman. The use of pond water as a drinking water source was associated with a higher risk of spontaneous abortion than the use of well or river water (odds ratio, 1.63; 95% confidence interval, 1.11 to 2.39), adjusting for potential confounders. More studies are needed to identify the agents responsible for the observed association. The results of this study emphasize the importance of monitoring potential drinking-water contamination in communities.</w:t>
      </w:r>
    </w:p>
    <w:p w:rsidR="00B95188" w:rsidRPr="00A428C3" w:rsidRDefault="00B95188" w:rsidP="00B95188">
      <w:pPr>
        <w:pStyle w:val="1"/>
      </w:pPr>
      <w:r w:rsidRPr="00A428C3">
        <w:br w:type="page"/>
      </w:r>
      <w:bookmarkStart w:id="1426" w:name="_Toc488418625"/>
      <w:bookmarkStart w:id="1427" w:name="_Toc488467660"/>
      <w:bookmarkStart w:id="1428" w:name="_Toc489709762"/>
      <w:bookmarkStart w:id="1429" w:name="_Toc490688072"/>
      <w:bookmarkStart w:id="1430" w:name="_Toc492812184"/>
      <w:bookmarkStart w:id="1431" w:name="_Toc186647939"/>
      <w:bookmarkStart w:id="1432" w:name="_Toc317161338"/>
      <w:r w:rsidRPr="00A428C3">
        <w:lastRenderedPageBreak/>
        <w:t>Title: International Journal of Offender Therapy</w:t>
      </w:r>
      <w:r w:rsidR="00F81221">
        <w:t xml:space="preserve"> and </w:t>
      </w:r>
      <w:r w:rsidRPr="00A428C3">
        <w:t>Comparative Criminology</w:t>
      </w:r>
      <w:bookmarkEnd w:id="1426"/>
      <w:bookmarkEnd w:id="1427"/>
      <w:bookmarkEnd w:id="1428"/>
      <w:bookmarkEnd w:id="1429"/>
      <w:bookmarkEnd w:id="1430"/>
      <w:bookmarkEnd w:id="1431"/>
      <w:bookmarkEnd w:id="1432"/>
    </w:p>
    <w:p w:rsidR="00B95188" w:rsidRPr="00A428C3" w:rsidRDefault="00B95188" w:rsidP="00B72EF9">
      <w:pPr>
        <w:pStyle w:val="12"/>
      </w:pPr>
      <w:r w:rsidRPr="00A428C3">
        <w:t>Full Journal Title: International Journal of Offender Therapy</w:t>
      </w:r>
      <w:r w:rsidR="00F81221">
        <w:t xml:space="preserve"> and </w:t>
      </w:r>
      <w:r w:rsidRPr="00A428C3">
        <w:t>Comparative Criminology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Pelletier, D., Coutu, S.</w:t>
      </w:r>
      <w:r w:rsidR="00F81221">
        <w:t xml:space="preserve"> and </w:t>
      </w:r>
      <w:r w:rsidRPr="00A428C3">
        <w:t>Lamonde, A. (1996), Work</w:t>
      </w:r>
      <w:r w:rsidR="00F81221">
        <w:t xml:space="preserve"> and </w:t>
      </w:r>
      <w:r w:rsidRPr="00A428C3">
        <w:t xml:space="preserve">gender issues in secure juvenile delinquency facilities. </w:t>
      </w:r>
      <w:r w:rsidRPr="00A428C3">
        <w:rPr>
          <w:i/>
        </w:rPr>
        <w:t>International Journal of Offender Therapy</w:t>
      </w:r>
      <w:r w:rsidR="00F81221">
        <w:rPr>
          <w:i/>
        </w:rPr>
        <w:t xml:space="preserve"> and </w:t>
      </w:r>
      <w:r w:rsidRPr="00A428C3">
        <w:rPr>
          <w:i/>
        </w:rPr>
        <w:t>Comparative Criminology</w:t>
      </w:r>
      <w:r w:rsidRPr="00A428C3">
        <w:t xml:space="preserve">, </w:t>
      </w:r>
      <w:r w:rsidRPr="00A428C3">
        <w:rPr>
          <w:b/>
        </w:rPr>
        <w:t>40</w:t>
      </w:r>
      <w:r w:rsidRPr="00A428C3">
        <w:t xml:space="preserve"> (1), 32-43.</w:t>
      </w:r>
    </w:p>
    <w:p w:rsidR="00B95188" w:rsidRPr="00A428C3" w:rsidRDefault="00B95188" w:rsidP="00B95188">
      <w:pPr>
        <w:pStyle w:val="a0"/>
      </w:pPr>
      <w:r w:rsidRPr="00A428C3">
        <w:t xml:space="preserve">Abstract: The aim of this research was to study the effects of a majority or minority status in the work environment (referred to as </w:t>
      </w:r>
      <w:r w:rsidR="000352E7">
        <w:t>“</w:t>
      </w:r>
      <w:r w:rsidRPr="00A428C3">
        <w:t>tokenism</w:t>
      </w:r>
      <w:r w:rsidR="000352E7">
        <w:t>”</w:t>
      </w:r>
      <w:r w:rsidRPr="00A428C3">
        <w:t xml:space="preserve"> by R. M. Kanter) on certain markers of work-life quality among direct care staff working with juvenile delinquents in sexually segregated residential facilities. A sample of 401 youth counselors (162 men</w:t>
      </w:r>
      <w:r w:rsidR="00F81221">
        <w:t xml:space="preserve"> and </w:t>
      </w:r>
      <w:r w:rsidRPr="00A428C3">
        <w:t>239 women) participated in the research. Four groups of subjects representing gender majorities</w:t>
      </w:r>
      <w:r w:rsidR="00F81221">
        <w:t xml:space="preserve"> and </w:t>
      </w:r>
      <w:r w:rsidRPr="00A428C3">
        <w:t>minorities were created: men (n = 125)</w:t>
      </w:r>
      <w:r w:rsidR="00F81221">
        <w:t xml:space="preserve"> and </w:t>
      </w:r>
      <w:r w:rsidRPr="00A428C3">
        <w:t>women (n = 60) working with delinquent boys,</w:t>
      </w:r>
      <w:r w:rsidR="00F81221">
        <w:t xml:space="preserve"> and </w:t>
      </w:r>
      <w:r w:rsidRPr="00A428C3">
        <w:t>women (n = 179)</w:t>
      </w:r>
      <w:r w:rsidR="00F81221">
        <w:t xml:space="preserve"> and </w:t>
      </w:r>
      <w:r w:rsidRPr="00A428C3">
        <w:t>men (n = 37) working with delinquent girls. Self-report written assessments were used to measure sources of job stress, coping, job satisfaction,</w:t>
      </w:r>
      <w:r w:rsidR="00F81221">
        <w:t xml:space="preserve"> and </w:t>
      </w:r>
      <w:r w:rsidRPr="00A428C3">
        <w:t>burnout. Results indicated that ratios interact with gender to create different levels of work-life quality for majority</w:t>
      </w:r>
      <w:r w:rsidR="00F81221">
        <w:t xml:space="preserve"> and </w:t>
      </w:r>
      <w:r w:rsidRPr="00A428C3">
        <w:t>minority men</w:t>
      </w:r>
      <w:r w:rsidR="00F81221">
        <w:t xml:space="preserve"> and </w:t>
      </w:r>
      <w:r w:rsidRPr="00A428C3">
        <w:t>women.</w:t>
      </w:r>
    </w:p>
    <w:p w:rsidR="00B95188" w:rsidRPr="00A428C3" w:rsidRDefault="00B95188" w:rsidP="00B95188">
      <w:pPr>
        <w:pStyle w:val="a0"/>
      </w:pPr>
      <w:r w:rsidRPr="00A428C3">
        <w:t>Keywords: Social Support, Male Nurses, Burnout, Women, Stress, Sex, Tokenism, Professionals, Perspective, Impact</w:t>
      </w:r>
    </w:p>
    <w:p w:rsidR="00254578" w:rsidRPr="003862C4" w:rsidRDefault="00254578" w:rsidP="00254578">
      <w:pPr>
        <w:pStyle w:val="a0"/>
      </w:pPr>
      <w:r w:rsidRPr="008B2BB0">
        <w:rPr>
          <w:rFonts w:hint="eastAsia"/>
        </w:rPr>
        <w:t xml:space="preserve">? </w:t>
      </w:r>
      <w:r w:rsidRPr="008B2BB0">
        <w:t>Russo, S.P., Fiorellini, J.P., Weber, H.P.</w:t>
      </w:r>
      <w:r w:rsidR="00F81221">
        <w:t xml:space="preserve"> and </w:t>
      </w:r>
      <w:r w:rsidRPr="008B2BB0">
        <w:t xml:space="preserve">Niederman, R. (2000), Benchmarking the dental implant evidence on MEDLINE. </w:t>
      </w:r>
      <w:r w:rsidRPr="00CE7517">
        <w:rPr>
          <w:i/>
          <w:iCs/>
        </w:rPr>
        <w:t>International Journal of Oral &amp; Maxillofacial Implants</w:t>
      </w:r>
      <w:r w:rsidRPr="008B2BB0">
        <w:t xml:space="preserve">, </w:t>
      </w:r>
      <w:r w:rsidRPr="00551655">
        <w:rPr>
          <w:b/>
          <w:bCs/>
        </w:rPr>
        <w:t>15</w:t>
      </w:r>
      <w:r w:rsidRPr="003862C4">
        <w:t xml:space="preserve"> (6), 792-800.</w:t>
      </w:r>
    </w:p>
    <w:p w:rsidR="00254578" w:rsidRPr="003862C4" w:rsidRDefault="00254578" w:rsidP="00254578">
      <w:pPr>
        <w:pStyle w:val="a0"/>
      </w:pPr>
      <w:r w:rsidRPr="003862C4">
        <w:t>Abstract: The purpose of this study was to estimate the quantity of dental implant literature available on MEDLINE for evidence-based clinical decision-making</w:t>
      </w:r>
      <w:r w:rsidR="00F81221">
        <w:t xml:space="preserve"> and </w:t>
      </w:r>
      <w:r w:rsidRPr="003862C4">
        <w:t xml:space="preserve">to identify its location. A search strategy based on Medical Subject Headings for dental implants was developed to examine MEDLINE using the Ovid Web Gateway search </w:t>
      </w:r>
      <w:r w:rsidRPr="003862C4">
        <w:lastRenderedPageBreak/>
        <w:t>engine. Sensitive</w:t>
      </w:r>
      <w:r w:rsidR="00F81221">
        <w:t xml:space="preserve"> and </w:t>
      </w:r>
      <w:r w:rsidRPr="003862C4">
        <w:t>specific methodologic search filters identified 4 categories of information: etiology, diagnosis, therapy,</w:t>
      </w:r>
      <w:r w:rsidR="00F81221">
        <w:t xml:space="preserve"> and </w:t>
      </w:r>
      <w:r w:rsidRPr="003862C4">
        <w:t>prognosis. The results were then subdivided by year to identify trends</w:t>
      </w:r>
      <w:r w:rsidR="00F81221">
        <w:t xml:space="preserve"> and </w:t>
      </w:r>
      <w:r w:rsidRPr="003862C4">
        <w:t>sorted to identify the sources of publications. The searches identified 4,655 articles published in English between 1989</w:t>
      </w:r>
      <w:r w:rsidR="00F81221">
        <w:t xml:space="preserve"> and </w:t>
      </w:r>
      <w:r w:rsidRPr="003862C4">
        <w:t>1999 on human dental implants on MEDLINE, The mean number of articles (</w:t>
      </w:r>
      <w:r>
        <w:t>±</w:t>
      </w:r>
      <w:r w:rsidRPr="003862C4">
        <w:t>SD) per year ranged from 15</w:t>
      </w:r>
      <w:r>
        <w:t>±</w:t>
      </w:r>
      <w:r w:rsidRPr="003862C4">
        <w:t>11 for specific searches to 107</w:t>
      </w:r>
      <w:r>
        <w:t>±</w:t>
      </w:r>
      <w:r w:rsidRPr="003862C4">
        <w:t>50 for sensitive searches. The number of articles increased by 14% to 43% each year for the sensitive search. When subdivided by clinical category, the mean numbers of articles per year for sensitive</w:t>
      </w:r>
      <w:r w:rsidR="00F81221">
        <w:t xml:space="preserve"> and </w:t>
      </w:r>
      <w:r w:rsidRPr="003862C4">
        <w:t>specific searches were, respectively: diagnosis 12</w:t>
      </w:r>
      <w:r>
        <w:t>±</w:t>
      </w:r>
      <w:r w:rsidRPr="003862C4">
        <w:t>7.5</w:t>
      </w:r>
      <w:r w:rsidR="00F81221">
        <w:t xml:space="preserve"> and </w:t>
      </w:r>
      <w:r w:rsidRPr="003862C4">
        <w:t>1.5</w:t>
      </w:r>
      <w:r>
        <w:t>±</w:t>
      </w:r>
      <w:r w:rsidRPr="003862C4">
        <w:t>1.6, etiology 58</w:t>
      </w:r>
      <w:r>
        <w:t>±</w:t>
      </w:r>
      <w:r w:rsidRPr="003862C4">
        <w:t>33</w:t>
      </w:r>
      <w:r w:rsidR="00F81221">
        <w:t xml:space="preserve"> and </w:t>
      </w:r>
      <w:r w:rsidRPr="003862C4">
        <w:t>1.9</w:t>
      </w:r>
      <w:r>
        <w:t>±</w:t>
      </w:r>
      <w:r w:rsidRPr="003862C4">
        <w:t>2.5, therapy 23</w:t>
      </w:r>
      <w:r>
        <w:t>±</w:t>
      </w:r>
      <w:r w:rsidRPr="003862C4">
        <w:t>15</w:t>
      </w:r>
      <w:r w:rsidR="00F81221">
        <w:t xml:space="preserve"> and </w:t>
      </w:r>
      <w:r w:rsidRPr="003862C4">
        <w:t>0.3</w:t>
      </w:r>
      <w:r>
        <w:t>±</w:t>
      </w:r>
      <w:r w:rsidRPr="003862C4">
        <w:t>0.5</w:t>
      </w:r>
      <w:r w:rsidR="00F81221">
        <w:t xml:space="preserve"> and </w:t>
      </w:r>
      <w:r w:rsidRPr="003862C4">
        <w:t>prognosis 67</w:t>
      </w:r>
      <w:r>
        <w:t>±</w:t>
      </w:r>
      <w:r w:rsidRPr="003862C4">
        <w:t>33</w:t>
      </w:r>
      <w:r w:rsidR="00F81221">
        <w:t xml:space="preserve"> and </w:t>
      </w:r>
      <w:r w:rsidRPr="003862C4">
        <w:t>12</w:t>
      </w:r>
      <w:r>
        <w:t>±</w:t>
      </w:r>
      <w:r w:rsidRPr="003862C4">
        <w:t>8.3. Four dental journals account for approximately half of these publications. These results provide 6 key central findings: (1) there appears to be a substantial literature of clinically relevant information on implants upon which to base clinical decisions; (2) the implant literature is significantly biased toward articles addressing prognosis; (3) to stay current, one would need to read between 1</w:t>
      </w:r>
      <w:r w:rsidR="00F81221">
        <w:t xml:space="preserve"> and </w:t>
      </w:r>
      <w:r w:rsidRPr="003862C4">
        <w:t>2 articles per week 52 weeks per year,</w:t>
      </w:r>
      <w:r w:rsidR="00F81221">
        <w:t xml:space="preserve"> and </w:t>
      </w:r>
      <w:r w:rsidRPr="003862C4">
        <w:t>this number increases significantly each year; (4) approximately 50% of the articles were published in 4 journals, whereas the remainder reside in approximately 97 other journals, making it difficult to stay current; (5) these trends reaffirm the need for lifelong learning; (6) these trends also suggest the need for computer-based clinical knowledge systems.</w:t>
      </w:r>
    </w:p>
    <w:p w:rsidR="00254578" w:rsidRPr="003862C4" w:rsidRDefault="00254578" w:rsidP="00254578">
      <w:pPr>
        <w:pStyle w:val="a0"/>
      </w:pPr>
      <w:r w:rsidRPr="003862C4">
        <w:t xml:space="preserve">Keywords: Clinical, Decision Making, Decision-Making, Diagnosis, Engine, Etiology, Evidence, Evidence Based, Evidence-Based, Human, Information, Journals, Knowledge, Learning, Literature, Location, </w:t>
      </w:r>
      <w:r>
        <w:t>MEDLINE</w:t>
      </w:r>
      <w:r w:rsidRPr="003862C4">
        <w:t>, Prognosis, Publications, Purpose, Search Strategy, Sources, Systems, Therapy, Trends</w:t>
      </w:r>
    </w:p>
    <w:p w:rsidR="00B95188" w:rsidRPr="00A428C3" w:rsidRDefault="00B95188" w:rsidP="00B95188">
      <w:pPr>
        <w:pStyle w:val="1"/>
      </w:pPr>
      <w:r w:rsidRPr="00A428C3">
        <w:br w:type="page"/>
      </w:r>
      <w:bookmarkStart w:id="1433" w:name="_Toc490688067"/>
      <w:bookmarkStart w:id="1434" w:name="_Toc492812185"/>
      <w:bookmarkStart w:id="1435" w:name="_Toc186647940"/>
      <w:bookmarkStart w:id="1436" w:name="_Toc487192728"/>
      <w:bookmarkStart w:id="1437" w:name="_Toc489709759"/>
      <w:bookmarkStart w:id="1438" w:name="_Toc317161339"/>
      <w:r w:rsidRPr="00A428C3">
        <w:lastRenderedPageBreak/>
        <w:t>Title: International Journal of Oncology</w:t>
      </w:r>
      <w:bookmarkEnd w:id="1433"/>
      <w:bookmarkEnd w:id="1434"/>
      <w:bookmarkEnd w:id="1435"/>
      <w:bookmarkEnd w:id="1438"/>
    </w:p>
    <w:p w:rsidR="00B95188" w:rsidRPr="00A428C3" w:rsidRDefault="00B95188" w:rsidP="00B72EF9">
      <w:pPr>
        <w:pStyle w:val="12"/>
      </w:pPr>
      <w:r w:rsidRPr="00A428C3">
        <w:t>Full Journal Title: International Journal of Oncology</w:t>
      </w:r>
    </w:p>
    <w:p w:rsidR="00B95188" w:rsidRPr="00A428C3" w:rsidRDefault="00B95188" w:rsidP="00B72EF9">
      <w:pPr>
        <w:pStyle w:val="12"/>
      </w:pPr>
      <w:r w:rsidRPr="00A428C3">
        <w:t>ISO Abbreviated Title: Int. J. Oncol.</w:t>
      </w:r>
    </w:p>
    <w:p w:rsidR="00B95188" w:rsidRPr="00A428C3" w:rsidRDefault="00B95188" w:rsidP="00B72EF9">
      <w:pPr>
        <w:pStyle w:val="12"/>
      </w:pPr>
      <w:r w:rsidRPr="00A428C3">
        <w:t>JCR Abbreviated Title: Int J Oncol</w:t>
      </w:r>
    </w:p>
    <w:p w:rsidR="00B95188" w:rsidRPr="00A428C3" w:rsidRDefault="00B95188" w:rsidP="00B72EF9">
      <w:pPr>
        <w:pStyle w:val="12"/>
      </w:pPr>
      <w:r w:rsidRPr="00A428C3">
        <w:t>ISSN: 1019-6439</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Greece</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Professor D A Spandidos</w:t>
      </w:r>
    </w:p>
    <w:p w:rsidR="00B95188" w:rsidRPr="00A428C3" w:rsidRDefault="00B95188" w:rsidP="00B72EF9">
      <w:pPr>
        <w:pStyle w:val="12"/>
      </w:pPr>
      <w:r w:rsidRPr="00A428C3">
        <w:t xml:space="preserve">Publisher Address: 1, </w:t>
      </w:r>
      <w:smartTag w:uri="urn:schemas-microsoft-com:office:smarttags" w:element="Street">
        <w:smartTag w:uri="urn:schemas-microsoft-com:office:smarttags" w:element="address">
          <w:r w:rsidRPr="00A428C3">
            <w:t>S Merkouri St</w:t>
          </w:r>
        </w:smartTag>
      </w:smartTag>
      <w:r w:rsidRPr="00A428C3">
        <w:t xml:space="preserve">, Editorial Office, </w:t>
      </w:r>
      <w:smartTag w:uri="urn:schemas-microsoft-com:office:smarttags" w:element="City">
        <w:r w:rsidRPr="00A428C3">
          <w:t>Athens</w:t>
        </w:r>
      </w:smartTag>
      <w:r w:rsidRPr="00A428C3">
        <w:t xml:space="preserve"> 116 35, </w:t>
      </w:r>
      <w:smartTag w:uri="urn:schemas-microsoft-com:office:smarttags" w:element="place">
        <w:smartTag w:uri="urn:schemas-microsoft-com:office:smarttags" w:element="country-region">
          <w:r w:rsidRPr="00A428C3">
            <w:t>Greece</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Oncology: Impact Factor 2.931, 31/114 (2002)</w:t>
      </w:r>
    </w:p>
    <w:p w:rsidR="00B95188" w:rsidRPr="00A428C3" w:rsidRDefault="00B95188" w:rsidP="00B95188">
      <w:pPr>
        <w:pStyle w:val="a0"/>
      </w:pPr>
      <w:r w:rsidRPr="00A428C3">
        <w:t>? Takeda, S., Sim, P.G., Horrobin, D.F., Chisholm, K.A., Simmons, V.A., Ells, G.W., Jenkins, D.K.</w:t>
      </w:r>
      <w:r w:rsidR="00F81221">
        <w:t xml:space="preserve"> and </w:t>
      </w:r>
      <w:r w:rsidRPr="00A428C3">
        <w:t>Morsefisher, N.L. (1992), Intracellular free fatty-acid release</w:t>
      </w:r>
      <w:r w:rsidR="00F81221">
        <w:t xml:space="preserve"> and </w:t>
      </w:r>
      <w:r w:rsidRPr="00A428C3">
        <w:t xml:space="preserve">lipid-peroxidation incultured human breast-cancer cells in response to gamma-linolenic acid with iron (gla (Fe)). </w:t>
      </w:r>
      <w:r w:rsidRPr="00A428C3">
        <w:rPr>
          <w:i/>
        </w:rPr>
        <w:t>International Journal of Oncology</w:t>
      </w:r>
      <w:r w:rsidRPr="00A428C3">
        <w:t xml:space="preserve">, </w:t>
      </w:r>
      <w:r w:rsidRPr="00A428C3">
        <w:rPr>
          <w:b/>
        </w:rPr>
        <w:t>1</w:t>
      </w:r>
      <w:r w:rsidRPr="00A428C3">
        <w:t xml:space="preserve"> (7), 759-763.</w:t>
      </w:r>
    </w:p>
    <w:p w:rsidR="00B95188" w:rsidRPr="00A428C3" w:rsidRDefault="00B95188" w:rsidP="00B95188">
      <w:pPr>
        <w:pStyle w:val="a0"/>
      </w:pPr>
      <w:r w:rsidRPr="00A428C3">
        <w:t xml:space="preserve">Full Text: </w:t>
      </w:r>
      <w:r w:rsidRPr="00A428C3">
        <w:rPr>
          <w:iCs/>
        </w:rPr>
        <w:t>Int J Onc1</w:t>
      </w:r>
      <w:r w:rsidRPr="00A428C3">
        <w:t>, 759</w:t>
      </w:r>
    </w:p>
    <w:p w:rsidR="00B95188" w:rsidRPr="00A428C3" w:rsidRDefault="00B95188" w:rsidP="00B95188">
      <w:pPr>
        <w:pStyle w:val="a0"/>
      </w:pPr>
      <w:r w:rsidRPr="00A428C3">
        <w:t>Abstract: Intracellular free fatty acid (FFA) release</w:t>
      </w:r>
      <w:r w:rsidR="00F81221">
        <w:t xml:space="preserve"> and </w:t>
      </w:r>
      <w:r w:rsidRPr="00A428C3">
        <w:t>peroxidation ofpolyunsaturated fatty acid (PUFA) were studied in cultured human breast cancer cells (Z</w:t>
      </w:r>
      <w:smartTag w:uri="urn:schemas-microsoft-com:office:smarttags" w:element="chsdate">
        <w:smartTagPr>
          <w:attr w:name="IsROCDate" w:val="False"/>
          <w:attr w:name="IsLunarDate" w:val="False"/>
          <w:attr w:name="Day" w:val="1"/>
          <w:attr w:name="Month" w:val="1"/>
          <w:attr w:name="Year" w:val="1837"/>
        </w:smartTagPr>
        <w:r w:rsidRPr="00A428C3">
          <w:t>R-75-1</w:t>
        </w:r>
      </w:smartTag>
      <w:r w:rsidRPr="00A428C3">
        <w:t>) exposed to gamma-linolenic acid with iron (GLA + Fe). This treatment results in cell death. Increased intracellular FFA were observed in associationwith both the accelerated peroxidation of PUFA</w:t>
      </w:r>
      <w:r w:rsidR="00F81221">
        <w:t xml:space="preserve"> and </w:t>
      </w:r>
      <w:r w:rsidRPr="00A428C3">
        <w:t>the killing effect. Vitamin E reduced all three effects. The FFA were methyl esterified</w:t>
      </w:r>
      <w:r w:rsidR="00F81221">
        <w:t xml:space="preserve"> and </w:t>
      </w:r>
      <w:r w:rsidRPr="00A428C3">
        <w:t>analyzed by gas chromatography-mass spectrometry. The identified FFAs were 16: 0, 18: 3, 20: 3</w:t>
      </w:r>
      <w:r w:rsidR="00F81221">
        <w:t xml:space="preserve"> and </w:t>
      </w:r>
      <w:r w:rsidRPr="00A428C3">
        <w:t>20: 4 (numbers of carbons</w:t>
      </w:r>
      <w:r w:rsidR="00F81221">
        <w:t xml:space="preserve"> and </w:t>
      </w:r>
      <w:r w:rsidRPr="00A428C3">
        <w:t>double bonds indicated). These results suggest an association of intracellular FFA release with the peroxidation of PUFA</w:t>
      </w:r>
      <w:r w:rsidR="00F81221">
        <w:t xml:space="preserve"> and </w:t>
      </w:r>
      <w:r w:rsidRPr="00A428C3">
        <w:t>the cancer cell-killing by GLA in the presence of iron.</w:t>
      </w:r>
    </w:p>
    <w:p w:rsidR="00B95188" w:rsidRPr="00A428C3" w:rsidRDefault="00B95188" w:rsidP="00B95188">
      <w:pPr>
        <w:pStyle w:val="a0"/>
      </w:pPr>
      <w:r w:rsidRPr="00A428C3">
        <w:t>Keywords: Neuro-Blastoma Cells, Carcinoma-Cells, Reversibility, Intracellular Free Fatty Acid (Intracellular Ffa), Lipid Peroxidation, Polyunsaturated Fatty Acid (Pufa), Gamma-Linolenic Acid (Gla), Human Breast Cancer Cells (Z</w:t>
      </w:r>
      <w:smartTag w:uri="urn:schemas-microsoft-com:office:smarttags" w:element="chsdate">
        <w:smartTagPr>
          <w:attr w:name="IsROCDate" w:val="False"/>
          <w:attr w:name="IsLunarDate" w:val="False"/>
          <w:attr w:name="Day" w:val="1"/>
          <w:attr w:name="Month" w:val="1"/>
          <w:attr w:name="Year" w:val="1837"/>
        </w:smartTagPr>
        <w:r w:rsidRPr="00A428C3">
          <w:t>r-75-1</w:t>
        </w:r>
      </w:smartTag>
      <w:r w:rsidRPr="00A428C3">
        <w:t>), Gas-Chromatography Mass-Spectrometry (GC-MS)</w:t>
      </w:r>
    </w:p>
    <w:p w:rsidR="00B95188" w:rsidRPr="00A428C3" w:rsidRDefault="00B95188" w:rsidP="00B95188">
      <w:pPr>
        <w:pStyle w:val="a0"/>
      </w:pPr>
      <w:bookmarkStart w:id="1439" w:name="_Toc487192730"/>
      <w:bookmarkEnd w:id="1436"/>
      <w:bookmarkEnd w:id="1437"/>
      <w:r w:rsidRPr="00A428C3">
        <w:t xml:space="preserve">? </w:t>
      </w:r>
      <w:smartTag w:uri="urn:schemas-microsoft-com:office:smarttags" w:element="place">
        <w:smartTag w:uri="urn:schemas-microsoft-com:office:smarttags" w:element="City">
          <w:r w:rsidRPr="00A428C3">
            <w:t>Alhasan</w:t>
          </w:r>
        </w:smartTag>
        <w:r w:rsidRPr="00A428C3">
          <w:t xml:space="preserve">, </w:t>
        </w:r>
        <w:smartTag w:uri="urn:schemas-microsoft-com:office:smarttags" w:element="country-region">
          <w:r w:rsidRPr="00A428C3">
            <w:t>S.A.</w:t>
          </w:r>
        </w:smartTag>
      </w:smartTag>
      <w:r w:rsidRPr="00A428C3">
        <w:t>, Ensley, J.F.</w:t>
      </w:r>
      <w:r w:rsidR="00F81221">
        <w:t xml:space="preserve"> and </w:t>
      </w:r>
      <w:r w:rsidRPr="00A428C3">
        <w:t>Sarkar, F.H. (2000), Genistein induced molecular changes in a squamous cell carcinoma of the head</w:t>
      </w:r>
      <w:r w:rsidR="00F81221">
        <w:t xml:space="preserve"> and </w:t>
      </w:r>
      <w:r w:rsidRPr="00A428C3">
        <w:t xml:space="preserve">neck cell line. </w:t>
      </w:r>
      <w:r w:rsidRPr="00A428C3">
        <w:rPr>
          <w:i/>
        </w:rPr>
        <w:t>International Journal of Oncology</w:t>
      </w:r>
      <w:r w:rsidRPr="00A428C3">
        <w:t xml:space="preserve">, </w:t>
      </w:r>
      <w:r w:rsidRPr="00A428C3">
        <w:rPr>
          <w:b/>
        </w:rPr>
        <w:t>16</w:t>
      </w:r>
      <w:r w:rsidRPr="00A428C3">
        <w:t xml:space="preserve"> (2), 333-338.</w:t>
      </w:r>
    </w:p>
    <w:p w:rsidR="00B95188" w:rsidRPr="00A428C3" w:rsidRDefault="00B95188" w:rsidP="00B95188">
      <w:pPr>
        <w:pStyle w:val="a0"/>
      </w:pPr>
      <w:r w:rsidRPr="00A428C3">
        <w:t xml:space="preserve">Full Text: </w:t>
      </w:r>
      <w:r w:rsidRPr="00A428C3">
        <w:rPr>
          <w:iCs/>
        </w:rPr>
        <w:t>Int J Onc16</w:t>
      </w:r>
      <w:r w:rsidRPr="00A428C3">
        <w:t>, 333</w:t>
      </w:r>
    </w:p>
    <w:p w:rsidR="00B95188" w:rsidRPr="00A428C3" w:rsidRDefault="00B95188" w:rsidP="00B95188">
      <w:pPr>
        <w:pStyle w:val="a0"/>
      </w:pPr>
      <w:r w:rsidRPr="00A428C3">
        <w:t>Abstract: Epidemiological studies have shown lower incidence of breast</w:t>
      </w:r>
      <w:r w:rsidR="00F81221">
        <w:t xml:space="preserve"> and </w:t>
      </w:r>
      <w:r w:rsidRPr="00A428C3">
        <w:t xml:space="preserve">prostate </w:t>
      </w:r>
      <w:r w:rsidRPr="00A428C3">
        <w:lastRenderedPageBreak/>
        <w:t>cancers in Asian populations consuming a traditional diet rich in soy. Protection from these cancers was attributed to the isoflavones, particularly genistein</w:t>
      </w:r>
      <w:r w:rsidR="00F81221">
        <w:t xml:space="preserve"> and </w:t>
      </w:r>
      <w:r w:rsidRPr="00A428C3">
        <w:t>daidzein found in vivo as the major metabolites of soy isoflavones. However, the role of isoflavones in head</w:t>
      </w:r>
      <w:r w:rsidR="00F81221">
        <w:t xml:space="preserve"> and </w:t>
      </w:r>
      <w:r w:rsidRPr="00A428C3">
        <w:t>neck cancer is less clear. In our previous studies we reported that genistein can induce cell growth inhibition by arresting the cells at S/G2-M phases,</w:t>
      </w:r>
      <w:r w:rsidR="00F81221">
        <w:t xml:space="preserve"> and </w:t>
      </w:r>
      <w:r w:rsidRPr="00A428C3">
        <w:t>also induces apoptosis in HN4 squamous cell carcinoma of the head</w:t>
      </w:r>
      <w:r w:rsidR="00F81221">
        <w:t xml:space="preserve"> and </w:t>
      </w:r>
      <w:r w:rsidRPr="00A428C3">
        <w:t>neck cell line (HNSCC). In this report we show that these changes are accompanied by the down-regulation of Cdk1,</w:t>
      </w:r>
      <w:r w:rsidR="00F81221">
        <w:t xml:space="preserve"> and </w:t>
      </w:r>
      <w:r w:rsidRPr="00A428C3">
        <w:t>CyclinB1,</w:t>
      </w:r>
      <w:r w:rsidR="00F81221">
        <w:t xml:space="preserve"> and </w:t>
      </w:r>
      <w:r w:rsidRPr="00A428C3">
        <w:t>up-regulation of the cyclin dependent kinase (Cdk) inhibitor p21(WAF1), which may be responsible for the induction of cell cycle arrest</w:t>
      </w:r>
      <w:r w:rsidR="00F81221">
        <w:t xml:space="preserve"> and </w:t>
      </w:r>
      <w:r w:rsidRPr="00A428C3">
        <w:t>apoptosis. The evidence for the induction of apoptosis was supported by the appearance of DNA ladder as reported previously,</w:t>
      </w:r>
      <w:r w:rsidR="00F81221">
        <w:t xml:space="preserve"> and </w:t>
      </w:r>
      <w:r w:rsidRPr="00A428C3">
        <w:t>further supported by our current results on the cleavage of poly-ADP-ribose polymerase (PARP), hallmark of apoptosis. This was also accompanied by the up-regulation of Bax, with modest down-regulation of Bcl-2 protein expression, which changes the balance between pro-</w:t>
      </w:r>
      <w:r w:rsidR="00F81221">
        <w:t xml:space="preserve"> and </w:t>
      </w:r>
      <w:r w:rsidRPr="00A428C3">
        <w:t>anti-apoptosis molecules in favor of pro-apoptosis. Furthermore, we also observed downregulation</w:t>
      </w:r>
      <w:r w:rsidR="00F81221">
        <w:t xml:space="preserve"> and </w:t>
      </w:r>
      <w:r w:rsidRPr="00A428C3">
        <w:t>degradation of Cdc</w:t>
      </w:r>
      <w:smartTag w:uri="urn:schemas-microsoft-com:office:smarttags" w:element="chmetcnv">
        <w:smartTagPr>
          <w:attr w:name="TCSC" w:val="0"/>
          <w:attr w:name="NumberType" w:val="1"/>
          <w:attr w:name="Negative" w:val="False"/>
          <w:attr w:name="HasSpace" w:val="False"/>
          <w:attr w:name="SourceValue" w:val="25"/>
          <w:attr w:name="UnitName" w:val="C"/>
        </w:smartTagPr>
        <w:r w:rsidRPr="00A428C3">
          <w:t>25C</w:t>
        </w:r>
      </w:smartTag>
      <w:r w:rsidRPr="00A428C3">
        <w:t>, which is a marker of cell proliferation,</w:t>
      </w:r>
      <w:r w:rsidR="00F81221">
        <w:t xml:space="preserve"> and </w:t>
      </w:r>
      <w:r w:rsidRPr="00A428C3">
        <w:t>plays important role in CyclinB-Cdk1 complex activation. The down-regulation followed by the degradation of Cdc</w:t>
      </w:r>
      <w:smartTag w:uri="urn:schemas-microsoft-com:office:smarttags" w:element="chmetcnv">
        <w:smartTagPr>
          <w:attr w:name="TCSC" w:val="0"/>
          <w:attr w:name="NumberType" w:val="1"/>
          <w:attr w:name="Negative" w:val="False"/>
          <w:attr w:name="HasSpace" w:val="False"/>
          <w:attr w:name="SourceValue" w:val="25"/>
          <w:attr w:name="UnitName" w:val="C"/>
        </w:smartTagPr>
        <w:r w:rsidRPr="00A428C3">
          <w:t>25C</w:t>
        </w:r>
      </w:smartTag>
      <w:r w:rsidRPr="00A428C3">
        <w:t xml:space="preserve"> is an indicator of G2/M arrest</w:t>
      </w:r>
      <w:r w:rsidR="00F81221">
        <w:t xml:space="preserve"> and </w:t>
      </w:r>
      <w:r w:rsidRPr="00A428C3">
        <w:t>anti-proliferation effects of genistein. Collectively, these data provide strong molecular evidence for the anti-tumor activity of genistein in HNSCC cells.</w:t>
      </w:r>
    </w:p>
    <w:p w:rsidR="00B95188" w:rsidRPr="00A428C3" w:rsidRDefault="00B95188" w:rsidP="00B95188">
      <w:pPr>
        <w:pStyle w:val="a0"/>
      </w:pPr>
      <w:r w:rsidRPr="00A428C3">
        <w:t>Keywords: p21(WAF1), Bax, CyclinB1, Cdc</w:t>
      </w:r>
      <w:smartTag w:uri="urn:schemas-microsoft-com:office:smarttags" w:element="chmetcnv">
        <w:smartTagPr>
          <w:attr w:name="TCSC" w:val="0"/>
          <w:attr w:name="NumberType" w:val="1"/>
          <w:attr w:name="Negative" w:val="False"/>
          <w:attr w:name="HasSpace" w:val="False"/>
          <w:attr w:name="SourceValue" w:val="25"/>
          <w:attr w:name="UnitName" w:val="C"/>
        </w:smartTagPr>
        <w:r w:rsidRPr="00A428C3">
          <w:t>25C</w:t>
        </w:r>
      </w:smartTag>
      <w:r w:rsidRPr="00A428C3">
        <w:t>, PARP, Bcl-2, Genistein, Apoptosis, Head</w:t>
      </w:r>
      <w:r w:rsidR="00F81221">
        <w:t xml:space="preserve"> and </w:t>
      </w:r>
      <w:r w:rsidRPr="00A428C3">
        <w:t>Neck Cancer, Dna-Replication, Leukemia-Cells, Growth Arrest, Cytochrome-C, In-Vitro, Permeability Transition, Isolated-Mitochondria, Cancer Cells, Apoptosis, Inhibitor</w:t>
      </w:r>
    </w:p>
    <w:p w:rsidR="00B95188" w:rsidRPr="00A428C3" w:rsidRDefault="00B95188" w:rsidP="00B95188">
      <w:pPr>
        <w:pStyle w:val="1"/>
      </w:pPr>
      <w:r w:rsidRPr="00A428C3">
        <w:br w:type="page"/>
      </w:r>
      <w:bookmarkStart w:id="1440" w:name="_Toc186647941"/>
      <w:bookmarkStart w:id="1441" w:name="_Toc317161340"/>
      <w:r w:rsidRPr="00A428C3">
        <w:lastRenderedPageBreak/>
        <w:t>Title: International Journal of Operations &amp; Production Management</w:t>
      </w:r>
      <w:bookmarkEnd w:id="1440"/>
      <w:bookmarkEnd w:id="1441"/>
    </w:p>
    <w:p w:rsidR="00B95188" w:rsidRPr="00A428C3" w:rsidRDefault="00B95188" w:rsidP="00B72EF9">
      <w:pPr>
        <w:pStyle w:val="12"/>
      </w:pPr>
      <w:r w:rsidRPr="00A428C3">
        <w:t xml:space="preserve">Full Journal Title: </w:t>
      </w:r>
      <w:hyperlink r:id="rId2013" w:history="1">
        <w:r w:rsidRPr="0058319E">
          <w:rPr>
            <w:rStyle w:val="a5"/>
          </w:rPr>
          <w:t>International Journal of Operations &amp; Production Management</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Pilkington, A.</w:t>
      </w:r>
      <w:r w:rsidR="00F81221">
        <w:t xml:space="preserve"> and </w:t>
      </w:r>
      <w:r w:rsidRPr="00A428C3">
        <w:t>Liston-Heyes, C. (1999), Is production</w:t>
      </w:r>
      <w:r w:rsidR="00F81221">
        <w:t xml:space="preserve"> and </w:t>
      </w:r>
      <w:r w:rsidRPr="00A428C3">
        <w:t xml:space="preserve">operations management a discipline? A citation/co-citation study. </w:t>
      </w:r>
      <w:r w:rsidRPr="00A428C3">
        <w:rPr>
          <w:i/>
          <w:iCs/>
        </w:rPr>
        <w:t>International Journal of Operations &amp; Production Management</w:t>
      </w:r>
      <w:r w:rsidRPr="00A428C3">
        <w:t xml:space="preserve">, </w:t>
      </w:r>
      <w:r w:rsidRPr="00A428C3">
        <w:rPr>
          <w:b/>
        </w:rPr>
        <w:t>19</w:t>
      </w:r>
      <w:r w:rsidRPr="00A428C3">
        <w:t xml:space="preserve"> (1), 7-20.</w:t>
      </w:r>
    </w:p>
    <w:p w:rsidR="00B95188" w:rsidRPr="00A428C3" w:rsidRDefault="00B95188" w:rsidP="00B95188">
      <w:pPr>
        <w:pStyle w:val="a0"/>
      </w:pPr>
      <w:r w:rsidRPr="00A428C3">
        <w:t xml:space="preserve">Full Text: </w:t>
      </w:r>
      <w:hyperlink r:id="rId2014" w:history="1">
        <w:r w:rsidRPr="00A428C3">
          <w:rPr>
            <w:rStyle w:val="a5"/>
          </w:rPr>
          <w:t>I\Int J Ope Pro Man19, 7.pdf</w:t>
        </w:r>
      </w:hyperlink>
    </w:p>
    <w:p w:rsidR="00B95188" w:rsidRPr="00A428C3" w:rsidRDefault="00B95188" w:rsidP="00B95188">
      <w:pPr>
        <w:pStyle w:val="a0"/>
      </w:pPr>
      <w:r w:rsidRPr="00A428C3">
        <w:t>Abstract: For the past 20 years, the field of production</w:t>
      </w:r>
      <w:r w:rsidR="00F81221">
        <w:t xml:space="preserve"> and </w:t>
      </w:r>
      <w:r w:rsidRPr="00A428C3">
        <w:t>operations management (POM) has tried to establish itself as a discipline distinct from operations research (OR), management science (MS)</w:t>
      </w:r>
      <w:r w:rsidR="00F81221">
        <w:t xml:space="preserve"> and </w:t>
      </w:r>
      <w:r w:rsidRPr="00A428C3">
        <w:t>industrial engineering (IE). Sceptics argue that POM has failed to develop its own body of literature, lacks a distinct intellectual structure</w:t>
      </w:r>
      <w:r w:rsidR="00F81221">
        <w:t xml:space="preserve"> and </w:t>
      </w:r>
      <w:r w:rsidRPr="00A428C3">
        <w:t>that there is little appreciation of what it stands for. In this paper we use bibliometric techniques (a factor analysis of co-citations) to investigate the intellectual pillars of the POM literature</w:t>
      </w:r>
      <w:r w:rsidR="00F81221">
        <w:t xml:space="preserve"> and </w:t>
      </w:r>
      <w:r w:rsidRPr="00A428C3">
        <w:t>explore whether these are distinct from those commonly associated with its rival fields. We also use simple non-parametric techniques to show that the research agenda of European POM scholars differs substantially from that of their North American counterparts,</w:t>
      </w:r>
      <w:r w:rsidR="00F81221">
        <w:t xml:space="preserve"> and </w:t>
      </w:r>
      <w:r w:rsidRPr="00A428C3">
        <w:t>argue that such transatlantic differences may have exacerbated the difficulties POM has experienced in developing as a respected academic discipline.</w:t>
      </w:r>
    </w:p>
    <w:p w:rsidR="00B95188" w:rsidRPr="00A428C3" w:rsidRDefault="00B95188" w:rsidP="00B95188">
      <w:pPr>
        <w:pStyle w:val="a0"/>
      </w:pPr>
      <w:r w:rsidRPr="00A428C3">
        <w:t>Keywords: Author Cocitation, Factor Analysis, Implementation, Just-</w:t>
      </w:r>
      <w:r w:rsidR="0058319E" w:rsidRPr="00A428C3">
        <w:t>in</w:t>
      </w:r>
      <w:r w:rsidRPr="00A428C3">
        <w:t>-Time, Lean Production, Literature, Manufacturing Strategy, Performance, Production Competence, Production Management, Quality Management, Research, Toyota Production System, United-States</w:t>
      </w:r>
    </w:p>
    <w:bookmarkEnd w:id="1439"/>
    <w:p w:rsidR="007A23A3" w:rsidRDefault="007A23A3" w:rsidP="007A23A3">
      <w:pPr>
        <w:pStyle w:val="a0"/>
        <w:rPr>
          <w:kern w:val="0"/>
        </w:rPr>
      </w:pPr>
      <w:r>
        <w:rPr>
          <w:rFonts w:hint="eastAsia"/>
          <w:kern w:val="0"/>
        </w:rPr>
        <w:t xml:space="preserve">? </w:t>
      </w:r>
      <w:r>
        <w:rPr>
          <w:kern w:val="0"/>
        </w:rPr>
        <w:t>Roy, S., Nagpaul, P.S.</w:t>
      </w:r>
      <w:r w:rsidR="00F81221">
        <w:rPr>
          <w:kern w:val="0"/>
        </w:rPr>
        <w:t xml:space="preserve"> and </w:t>
      </w:r>
      <w:r>
        <w:rPr>
          <w:kern w:val="0"/>
        </w:rPr>
        <w:t xml:space="preserve">Mohapatra, P.K. (2003), Developing a model to measure the effectiveness of research units. </w:t>
      </w:r>
      <w:r>
        <w:rPr>
          <w:i/>
          <w:iCs/>
          <w:kern w:val="0"/>
        </w:rPr>
        <w:t>International Journal of Operations &amp; Production Management</w:t>
      </w:r>
      <w:r>
        <w:rPr>
          <w:kern w:val="0"/>
        </w:rPr>
        <w:t xml:space="preserve">, </w:t>
      </w:r>
      <w:r>
        <w:rPr>
          <w:b/>
          <w:bCs/>
          <w:kern w:val="0"/>
        </w:rPr>
        <w:t>23</w:t>
      </w:r>
      <w:r>
        <w:rPr>
          <w:kern w:val="0"/>
        </w:rPr>
        <w:t xml:space="preserve"> (11-12), 1514-1531.</w:t>
      </w:r>
    </w:p>
    <w:p w:rsidR="007A23A3" w:rsidRPr="00A428C3" w:rsidRDefault="007A23A3" w:rsidP="007A23A3">
      <w:pPr>
        <w:pStyle w:val="a0"/>
      </w:pPr>
      <w:r w:rsidRPr="00A428C3">
        <w:t xml:space="preserve">Full Text: </w:t>
      </w:r>
      <w:hyperlink r:id="rId2015" w:history="1">
        <w:r w:rsidRPr="00AE6B5B">
          <w:rPr>
            <w:rStyle w:val="a5"/>
          </w:rPr>
          <w:t>2003\Int J Ope Pro Man23, 1514.pdf</w:t>
        </w:r>
      </w:hyperlink>
    </w:p>
    <w:p w:rsidR="007A23A3" w:rsidRDefault="007A23A3" w:rsidP="007A23A3">
      <w:pPr>
        <w:pStyle w:val="a0"/>
        <w:rPr>
          <w:kern w:val="0"/>
        </w:rPr>
      </w:pPr>
      <w:r>
        <w:rPr>
          <w:kern w:val="0"/>
        </w:rPr>
        <w:lastRenderedPageBreak/>
        <w:t>Abstract: Research</w:t>
      </w:r>
      <w:r w:rsidR="00F81221">
        <w:rPr>
          <w:kern w:val="0"/>
        </w:rPr>
        <w:t xml:space="preserve"> and </w:t>
      </w:r>
      <w:r>
        <w:rPr>
          <w:kern w:val="0"/>
        </w:rPr>
        <w:t>development (R&amp;D) effectiveness has traditionally been measured in quantitative terms using measures such as the number of published papers (in journals, conference proceedings, etc.); patents; technologies successfully transferred or the external cash flow secured by a R&amp;D organization. These are at times coupled with qualitative indicators such as the impact factor of the journals in which the papers are published</w:t>
      </w:r>
      <w:r w:rsidR="00F81221">
        <w:rPr>
          <w:kern w:val="0"/>
        </w:rPr>
        <w:t xml:space="preserve"> and </w:t>
      </w:r>
      <w:r>
        <w:rPr>
          <w:kern w:val="0"/>
        </w:rPr>
        <w:t>science citation index. However, all these measures often fail to adequately evaluate the effectiveness of research units (RUs) that carry out technological innovation projects. The present study examines this important conceptual question. The study attempts to develop a subjective measure of effectiveness of RU functioning within the laboratories under the Council of Scientific</w:t>
      </w:r>
      <w:r w:rsidR="00F81221">
        <w:rPr>
          <w:kern w:val="0"/>
        </w:rPr>
        <w:t xml:space="preserve"> and </w:t>
      </w:r>
      <w:r>
        <w:rPr>
          <w:kern w:val="0"/>
        </w:rPr>
        <w:t>Industrial Research (CSIR), India, in terms of peer review at four levels - self assessment, head of the RU, external scientific,</w:t>
      </w:r>
      <w:r w:rsidR="00F81221">
        <w:rPr>
          <w:kern w:val="0"/>
        </w:rPr>
        <w:t xml:space="preserve"> and </w:t>
      </w:r>
      <w:r>
        <w:rPr>
          <w:kern w:val="0"/>
        </w:rPr>
        <w:t>external administrative evaluators, using data from 236 RUs working in different laboratories functioning under CSIR. The measurement model component of structural equation modeling methodology using the LISREL 7.16 program has been adopted as the primary methodology for the study. In the measurement model presented, the observed indicators of the different effectiveness measure concepts (R&amp;D effectiveness, user-oriented effectiveness, administrative effectiveness</w:t>
      </w:r>
      <w:r w:rsidR="00F81221">
        <w:rPr>
          <w:kern w:val="0"/>
        </w:rPr>
        <w:t xml:space="preserve"> and </w:t>
      </w:r>
      <w:r>
        <w:rPr>
          <w:kern w:val="0"/>
        </w:rPr>
        <w:t>recognition) are assumed to possess causal relations with one another. Since subjective measures have not only weak measurement properties, but are also influenced by systematic</w:t>
      </w:r>
      <w:r w:rsidR="00F81221">
        <w:rPr>
          <w:kern w:val="0"/>
        </w:rPr>
        <w:t xml:space="preserve"> and </w:t>
      </w:r>
      <w:r>
        <w:rPr>
          <w:kern w:val="0"/>
        </w:rPr>
        <w:t>random measurement errors, the model</w:t>
      </w:r>
      <w:r w:rsidR="000352E7">
        <w:rPr>
          <w:kern w:val="0"/>
        </w:rPr>
        <w:t>’</w:t>
      </w:r>
      <w:r>
        <w:rPr>
          <w:kern w:val="0"/>
        </w:rPr>
        <w:t>s reliability</w:t>
      </w:r>
      <w:r w:rsidR="00F81221">
        <w:rPr>
          <w:kern w:val="0"/>
        </w:rPr>
        <w:t xml:space="preserve"> and </w:t>
      </w:r>
      <w:r>
        <w:rPr>
          <w:kern w:val="0"/>
        </w:rPr>
        <w:t>construct validity - both in terms of convergent validity</w:t>
      </w:r>
      <w:r w:rsidR="00F81221">
        <w:rPr>
          <w:kern w:val="0"/>
        </w:rPr>
        <w:t xml:space="preserve"> and </w:t>
      </w:r>
      <w:r>
        <w:rPr>
          <w:kern w:val="0"/>
        </w:rPr>
        <w:t>discriminate validity - have been ascertained.</w:t>
      </w:r>
    </w:p>
    <w:p w:rsidR="007A23A3" w:rsidRDefault="007A23A3" w:rsidP="007A23A3">
      <w:pPr>
        <w:pStyle w:val="a0"/>
        <w:rPr>
          <w:kern w:val="0"/>
        </w:rPr>
      </w:pPr>
      <w:r>
        <w:rPr>
          <w:kern w:val="0"/>
        </w:rPr>
        <w:t>Keywords: Assessment, Citation, Convergent Validity, Cost Effectiveness, Covariance, Error, FIT, Goodness, Impact, Impact Factor, Indexes, India, Indicators, Journals, Measurement, Model, Modeling, Patents, Peer Review, Peer-Review, Performance-Measurement, Primary, R&amp;D, Reliability, Reliability Management, Research, Research</w:t>
      </w:r>
      <w:r w:rsidR="00F81221">
        <w:rPr>
          <w:kern w:val="0"/>
        </w:rPr>
        <w:t xml:space="preserve"> and </w:t>
      </w:r>
      <w:r>
        <w:rPr>
          <w:kern w:val="0"/>
        </w:rPr>
        <w:t>Development, Research Institutes, Research Work, Research-and-Development, Review, Science, Science Citation Index, Technological Innovation, Tests</w:t>
      </w:r>
    </w:p>
    <w:p w:rsidR="0058319E" w:rsidRDefault="0058319E" w:rsidP="0058319E">
      <w:pPr>
        <w:pStyle w:val="a0"/>
        <w:rPr>
          <w:kern w:val="0"/>
        </w:rPr>
      </w:pPr>
      <w:r>
        <w:rPr>
          <w:rFonts w:hint="eastAsia"/>
          <w:kern w:val="0"/>
        </w:rPr>
        <w:t xml:space="preserve">? </w:t>
      </w:r>
      <w:r>
        <w:rPr>
          <w:kern w:val="0"/>
        </w:rPr>
        <w:t>Lehtinen, J.</w:t>
      </w:r>
      <w:r w:rsidR="00F81221">
        <w:rPr>
          <w:kern w:val="0"/>
        </w:rPr>
        <w:t xml:space="preserve"> and </w:t>
      </w:r>
      <w:r>
        <w:rPr>
          <w:kern w:val="0"/>
        </w:rPr>
        <w:t xml:space="preserve">Ahola, T. (2010), Is performance measurement suitable for an extended enterprise? </w:t>
      </w:r>
      <w:r>
        <w:rPr>
          <w:i/>
          <w:iCs/>
          <w:kern w:val="0"/>
        </w:rPr>
        <w:t>International Journal of Operations &amp; Production Management</w:t>
      </w:r>
      <w:r>
        <w:rPr>
          <w:kern w:val="0"/>
        </w:rPr>
        <w:t xml:space="preserve">, </w:t>
      </w:r>
      <w:r>
        <w:rPr>
          <w:b/>
          <w:bCs/>
          <w:kern w:val="0"/>
        </w:rPr>
        <w:t>30</w:t>
      </w:r>
      <w:r>
        <w:rPr>
          <w:kern w:val="0"/>
        </w:rPr>
        <w:t xml:space="preserve"> (2), 181-204.</w:t>
      </w:r>
    </w:p>
    <w:p w:rsidR="0058319E" w:rsidRPr="00A428C3" w:rsidRDefault="0058319E" w:rsidP="0058319E">
      <w:pPr>
        <w:pStyle w:val="a0"/>
      </w:pPr>
      <w:r w:rsidRPr="00A428C3">
        <w:t xml:space="preserve">Full Text: </w:t>
      </w:r>
      <w:hyperlink r:id="rId2016" w:history="1">
        <w:r w:rsidRPr="0058319E">
          <w:rPr>
            <w:rStyle w:val="a5"/>
          </w:rPr>
          <w:t>2010\Int J Ope Pro Man30, 181.pdf</w:t>
        </w:r>
      </w:hyperlink>
    </w:p>
    <w:p w:rsidR="0058319E" w:rsidRDefault="0058319E" w:rsidP="0058319E">
      <w:pPr>
        <w:pStyle w:val="a0"/>
        <w:rPr>
          <w:kern w:val="0"/>
        </w:rPr>
      </w:pPr>
      <w:r>
        <w:rPr>
          <w:kern w:val="0"/>
        </w:rPr>
        <w:t>Abstract: Purpose - The purpose of this paper is to assess whether performance measurement literature</w:t>
      </w:r>
      <w:r w:rsidR="00F81221">
        <w:rPr>
          <w:kern w:val="0"/>
        </w:rPr>
        <w:t xml:space="preserve"> and </w:t>
      </w:r>
      <w:r>
        <w:rPr>
          <w:kern w:val="0"/>
        </w:rPr>
        <w:t>as a result, practical applications, models</w:t>
      </w:r>
      <w:r w:rsidR="00F81221">
        <w:rPr>
          <w:kern w:val="0"/>
        </w:rPr>
        <w:t xml:space="preserve"> and </w:t>
      </w:r>
      <w:r>
        <w:rPr>
          <w:kern w:val="0"/>
        </w:rPr>
        <w:t xml:space="preserve">frameworks drawing from this literature are compatible with the central features of extended enterprises. Design/methodology/approach - The paper is based on a bibliometric study that is supplemented with an empirical case study. Findings - The </w:t>
      </w:r>
      <w:r>
        <w:rPr>
          <w:kern w:val="0"/>
        </w:rPr>
        <w:lastRenderedPageBreak/>
        <w:t>results of this paper indicate that literature on performance measurement</w:t>
      </w:r>
      <w:r w:rsidR="00F81221">
        <w:rPr>
          <w:kern w:val="0"/>
        </w:rPr>
        <w:t xml:space="preserve"> and </w:t>
      </w:r>
      <w:r>
        <w:rPr>
          <w:kern w:val="0"/>
        </w:rPr>
        <w:t>literature on extended enterprises are only partially compatible. The common underlying reasons for measuring performance are highly valid also in the context of an extended enterprise. However, performance measurement processes</w:t>
      </w:r>
      <w:r w:rsidR="00F81221">
        <w:rPr>
          <w:kern w:val="0"/>
        </w:rPr>
        <w:t xml:space="preserve"> and </w:t>
      </w:r>
      <w:r>
        <w:rPr>
          <w:kern w:val="0"/>
        </w:rPr>
        <w:t>practices utilized within firms are to a considerable degree incompatible with central characteristics of extended enterprises. A highly apparent conflict between the two streams of literature is related to choosing individual performance measures (i.e. the question of what to measure). Performance measurement literature emphasizes intral-organizational measures which conflicts starkly with the emphasis of inter-organizational collaboration dominant in literature addressing extended enterprises. Research limitations/implications - The sample consists of articles published in many leading academic journals. The primary implication of this paper is that the importance of inter-organizational relations</w:t>
      </w:r>
      <w:r w:rsidR="00F81221">
        <w:rPr>
          <w:kern w:val="0"/>
        </w:rPr>
        <w:t xml:space="preserve"> and </w:t>
      </w:r>
      <w:r>
        <w:rPr>
          <w:kern w:val="0"/>
        </w:rPr>
        <w:t>collaboration,</w:t>
      </w:r>
      <w:r w:rsidR="00F81221">
        <w:rPr>
          <w:kern w:val="0"/>
        </w:rPr>
        <w:t xml:space="preserve"> and </w:t>
      </w:r>
      <w:r>
        <w:rPr>
          <w:kern w:val="0"/>
        </w:rPr>
        <w:t>the lack of a central decision-making authority should be taken into consideration when designing</w:t>
      </w:r>
      <w:r w:rsidR="00F81221">
        <w:rPr>
          <w:kern w:val="0"/>
        </w:rPr>
        <w:t xml:space="preserve"> and </w:t>
      </w:r>
      <w:r>
        <w:rPr>
          <w:kern w:val="0"/>
        </w:rPr>
        <w:t>implementing performance measurement systems for extended enterprises. Practical implications - Managers implementing performance measurement systems may tend to adopt solutions recommended by industry actors</w:t>
      </w:r>
      <w:r w:rsidR="00F81221">
        <w:rPr>
          <w:kern w:val="0"/>
        </w:rPr>
        <w:t xml:space="preserve"> and </w:t>
      </w:r>
      <w:r>
        <w:rPr>
          <w:kern w:val="0"/>
        </w:rPr>
        <w:t>dominant performance measurement literature. As increasingly many firms operate as a part of an extended enterprise, the adoption of these off-the-shelf solutions poses considerable risks. Originality/value - The main contribution of this paper is that it systematically assesses the compatibility of performance measurement</w:t>
      </w:r>
      <w:r w:rsidR="00F81221">
        <w:rPr>
          <w:kern w:val="0"/>
        </w:rPr>
        <w:t xml:space="preserve"> and </w:t>
      </w:r>
      <w:r>
        <w:rPr>
          <w:kern w:val="0"/>
        </w:rPr>
        <w:t>extended enterprise literature by means of a bibliometric analysis. In addition, the paper identifies key contributions from both streams of literature. An empirical case representing the shipbuilding industry is carried out to validate obtained findings.</w:t>
      </w:r>
    </w:p>
    <w:p w:rsidR="0058319E" w:rsidRDefault="0058319E" w:rsidP="0058319E">
      <w:pPr>
        <w:pStyle w:val="a0"/>
        <w:rPr>
          <w:kern w:val="0"/>
        </w:rPr>
      </w:pPr>
      <w:r>
        <w:rPr>
          <w:kern w:val="0"/>
        </w:rPr>
        <w:t>Keywords: Applications, Articles, Balanced Scorecard, Bibliometric, Bibliometric Analysis, Bibliometric Study, Business Enterprise, Characteristics, Collaboration, Contribution, Data Envelopment Analysis, Evolution, Framework, Issues, Journals, Literature, Logistics, Measurement Systems, Models, Networks, Organization, Performance Measurement (Quality), Primary, Research, Research Work, Solutions, Supply-Chain Management</w:t>
      </w:r>
    </w:p>
    <w:p w:rsidR="00041873" w:rsidRPr="00A428C3" w:rsidRDefault="00041873" w:rsidP="00041873">
      <w:pPr>
        <w:pStyle w:val="1"/>
      </w:pPr>
      <w:r w:rsidRPr="00A428C3">
        <w:br w:type="page"/>
      </w:r>
      <w:bookmarkStart w:id="1442" w:name="_Toc317161341"/>
      <w:r w:rsidRPr="00A428C3">
        <w:lastRenderedPageBreak/>
        <w:t xml:space="preserve">Title: </w:t>
      </w:r>
      <w:r w:rsidRPr="00041873">
        <w:rPr>
          <w:iCs/>
        </w:rPr>
        <w:t>International Journal of Ophthalmology</w:t>
      </w:r>
      <w:bookmarkEnd w:id="1442"/>
    </w:p>
    <w:p w:rsidR="00041873" w:rsidRPr="00A428C3" w:rsidRDefault="00041873" w:rsidP="00041873">
      <w:pPr>
        <w:pStyle w:val="12"/>
      </w:pPr>
      <w:r w:rsidRPr="00A428C3">
        <w:t xml:space="preserve">Full Journal Title: </w:t>
      </w:r>
      <w:hyperlink r:id="rId2017" w:history="1">
        <w:r w:rsidRPr="00041873">
          <w:rPr>
            <w:rStyle w:val="a5"/>
            <w:iCs/>
          </w:rPr>
          <w:t>International Journal of Ophthalmology</w:t>
        </w:r>
      </w:hyperlink>
    </w:p>
    <w:p w:rsidR="00041873" w:rsidRPr="00A428C3" w:rsidRDefault="00041873" w:rsidP="00041873">
      <w:pPr>
        <w:pStyle w:val="12"/>
      </w:pPr>
      <w:r w:rsidRPr="00A428C3">
        <w:t xml:space="preserve">ISO Abbreviated Title: </w:t>
      </w:r>
    </w:p>
    <w:p w:rsidR="00041873" w:rsidRPr="00A428C3" w:rsidRDefault="00041873" w:rsidP="00041873">
      <w:pPr>
        <w:pStyle w:val="12"/>
      </w:pPr>
      <w:r w:rsidRPr="00A428C3">
        <w:t xml:space="preserve">JCR Abbreviated Title: </w:t>
      </w:r>
    </w:p>
    <w:p w:rsidR="00041873" w:rsidRPr="00A428C3" w:rsidRDefault="00041873" w:rsidP="00041873">
      <w:pPr>
        <w:pStyle w:val="12"/>
      </w:pPr>
      <w:r w:rsidRPr="00A428C3">
        <w:t xml:space="preserve">ISSN: </w:t>
      </w:r>
      <w:r w:rsidRPr="00041873">
        <w:t>1672-5123</w:t>
      </w:r>
    </w:p>
    <w:p w:rsidR="00041873" w:rsidRPr="00A428C3" w:rsidRDefault="00041873" w:rsidP="00041873">
      <w:pPr>
        <w:pStyle w:val="12"/>
      </w:pPr>
      <w:r w:rsidRPr="00A428C3">
        <w:t xml:space="preserve">Issues/Year: </w:t>
      </w:r>
    </w:p>
    <w:p w:rsidR="00041873" w:rsidRPr="00A428C3" w:rsidRDefault="00041873" w:rsidP="00041873">
      <w:pPr>
        <w:pStyle w:val="12"/>
      </w:pPr>
      <w:r w:rsidRPr="00A428C3">
        <w:t xml:space="preserve">Journal Country/Territory: </w:t>
      </w:r>
    </w:p>
    <w:p w:rsidR="00041873" w:rsidRPr="00A428C3" w:rsidRDefault="00041873" w:rsidP="00041873">
      <w:pPr>
        <w:pStyle w:val="12"/>
      </w:pPr>
      <w:r w:rsidRPr="00A428C3">
        <w:t xml:space="preserve">Language: </w:t>
      </w:r>
    </w:p>
    <w:p w:rsidR="00041873" w:rsidRPr="00A428C3" w:rsidRDefault="00041873" w:rsidP="00041873">
      <w:pPr>
        <w:pStyle w:val="12"/>
      </w:pPr>
      <w:r w:rsidRPr="00A428C3">
        <w:t xml:space="preserve">Publisher: </w:t>
      </w:r>
    </w:p>
    <w:p w:rsidR="00041873" w:rsidRPr="00A428C3" w:rsidRDefault="00041873" w:rsidP="00041873">
      <w:pPr>
        <w:pStyle w:val="12"/>
      </w:pPr>
      <w:r w:rsidRPr="00A428C3">
        <w:t xml:space="preserve">Publisher Address: </w:t>
      </w:r>
    </w:p>
    <w:p w:rsidR="00041873" w:rsidRPr="00A428C3" w:rsidRDefault="00041873" w:rsidP="00041873">
      <w:pPr>
        <w:pStyle w:val="12"/>
      </w:pPr>
      <w:r w:rsidRPr="00A428C3">
        <w:t>Subject Categories:</w:t>
      </w:r>
    </w:p>
    <w:p w:rsidR="00041873" w:rsidRPr="00A428C3" w:rsidRDefault="00041873" w:rsidP="00041873">
      <w:pPr>
        <w:pStyle w:val="12"/>
      </w:pPr>
      <w:r w:rsidRPr="00A428C3">
        <w:t>: Impact Factor</w:t>
      </w:r>
    </w:p>
    <w:p w:rsidR="00041873" w:rsidRDefault="00041873" w:rsidP="00041873">
      <w:pPr>
        <w:pStyle w:val="a0"/>
        <w:rPr>
          <w:kern w:val="0"/>
        </w:rPr>
      </w:pPr>
      <w:r>
        <w:rPr>
          <w:rFonts w:hint="eastAsia"/>
          <w:kern w:val="0"/>
        </w:rPr>
        <w:t xml:space="preserve">? </w:t>
      </w:r>
      <w:r>
        <w:rPr>
          <w:kern w:val="0"/>
        </w:rPr>
        <w:t>Xu, C.T., Li, S.Q., Lu, Y.G.</w:t>
      </w:r>
      <w:r w:rsidR="00F81221">
        <w:rPr>
          <w:kern w:val="0"/>
        </w:rPr>
        <w:t xml:space="preserve"> and </w:t>
      </w:r>
      <w:r>
        <w:rPr>
          <w:kern w:val="0"/>
        </w:rPr>
        <w:t xml:space="preserve">Pan, B.R. (2011), Development of biomedical publications on ametropia research in PubMed from 1845 to 2010: A bibliometric analysis. </w:t>
      </w:r>
      <w:r w:rsidRPr="00041873">
        <w:rPr>
          <w:i/>
          <w:iCs/>
          <w:kern w:val="0"/>
        </w:rPr>
        <w:t>International Journal of Ophthalmology</w:t>
      </w:r>
      <w:r>
        <w:rPr>
          <w:kern w:val="0"/>
        </w:rPr>
        <w:t xml:space="preserve">, </w:t>
      </w:r>
      <w:r>
        <w:rPr>
          <w:b/>
          <w:bCs/>
          <w:kern w:val="0"/>
        </w:rPr>
        <w:t>4</w:t>
      </w:r>
      <w:r>
        <w:rPr>
          <w:kern w:val="0"/>
        </w:rPr>
        <w:t xml:space="preserve"> (1), 1-7.</w:t>
      </w:r>
    </w:p>
    <w:p w:rsidR="005A61E3" w:rsidRDefault="005A61E3" w:rsidP="005A61E3">
      <w:pPr>
        <w:pStyle w:val="a0"/>
        <w:rPr>
          <w:kern w:val="0"/>
        </w:rPr>
      </w:pPr>
      <w:r>
        <w:rPr>
          <w:rFonts w:hint="eastAsia"/>
          <w:kern w:val="0"/>
        </w:rPr>
        <w:t xml:space="preserve">Full Text: </w:t>
      </w:r>
      <w:hyperlink r:id="rId2018" w:history="1">
        <w:r w:rsidR="00E47045" w:rsidRPr="00E47045">
          <w:rPr>
            <w:rStyle w:val="a5"/>
            <w:kern w:val="0"/>
          </w:rPr>
          <w:t>2011\Int J Oph4, 1.docx</w:t>
        </w:r>
      </w:hyperlink>
    </w:p>
    <w:p w:rsidR="00041873" w:rsidRDefault="00041873" w:rsidP="00041873">
      <w:pPr>
        <w:pStyle w:val="a0"/>
        <w:rPr>
          <w:kern w:val="0"/>
        </w:rPr>
      </w:pPr>
      <w:r>
        <w:rPr>
          <w:kern w:val="0"/>
        </w:rPr>
        <w:t>Abstract: We have carried out a bibliometric analysis on the development of ametropia literature to determine its growth rule</w:t>
      </w:r>
      <w:r w:rsidR="00F81221">
        <w:rPr>
          <w:kern w:val="0"/>
        </w:rPr>
        <w:t xml:space="preserve"> and </w:t>
      </w:r>
      <w:r>
        <w:rPr>
          <w:kern w:val="0"/>
        </w:rPr>
        <w:t>tendency,</w:t>
      </w:r>
      <w:r w:rsidR="00F81221">
        <w:rPr>
          <w:kern w:val="0"/>
        </w:rPr>
        <w:t xml:space="preserve"> and </w:t>
      </w:r>
      <w:r>
        <w:rPr>
          <w:kern w:val="0"/>
        </w:rPr>
        <w:t>to provide the basis for the problems related to ametropia research. Literatures that contained the descriptors of ametropia in title or paper published before Nov. 10, 2010 in PubMed databases (www.ncbi.nlm.nih.gov/Pubmed) were selected. As bibliometric indicators of ametropia, biomedical journals referring to ophthalmology by ISSN were calculated. The principal bibliometric indicators: Price</w:t>
      </w:r>
      <w:r w:rsidR="000352E7">
        <w:rPr>
          <w:kern w:val="0"/>
        </w:rPr>
        <w:t>’</w:t>
      </w:r>
      <w:r>
        <w:rPr>
          <w:kern w:val="0"/>
        </w:rPr>
        <w:t>s</w:t>
      </w:r>
      <w:r w:rsidR="00F81221">
        <w:rPr>
          <w:kern w:val="0"/>
        </w:rPr>
        <w:t xml:space="preserve"> and </w:t>
      </w:r>
      <w:r>
        <w:rPr>
          <w:kern w:val="0"/>
        </w:rPr>
        <w:t>Bradford</w:t>
      </w:r>
      <w:r w:rsidR="000352E7">
        <w:rPr>
          <w:kern w:val="0"/>
        </w:rPr>
        <w:t>’</w:t>
      </w:r>
      <w:r>
        <w:rPr>
          <w:kern w:val="0"/>
        </w:rPr>
        <w:t>s laws were applied on the increase or dispersion of scientific literature, the participation index of languages</w:t>
      </w:r>
      <w:r w:rsidR="00F81221">
        <w:rPr>
          <w:kern w:val="0"/>
        </w:rPr>
        <w:t xml:space="preserve"> and </w:t>
      </w:r>
      <w:r>
        <w:rPr>
          <w:kern w:val="0"/>
        </w:rPr>
        <w:t>the journals. By means of manual coding, literatures were classified according to documents study</w:t>
      </w:r>
      <w:r w:rsidR="00F81221">
        <w:rPr>
          <w:kern w:val="0"/>
        </w:rPr>
        <w:t xml:space="preserve"> and </w:t>
      </w:r>
      <w:r>
        <w:rPr>
          <w:kern w:val="0"/>
        </w:rPr>
        <w:t>statistical analysis. The literatures cited in ametropia, astigmatism, myopia</w:t>
      </w:r>
      <w:r w:rsidR="00F81221">
        <w:rPr>
          <w:kern w:val="0"/>
        </w:rPr>
        <w:t xml:space="preserve"> and </w:t>
      </w:r>
      <w:r>
        <w:rPr>
          <w:kern w:val="0"/>
        </w:rPr>
        <w:t>hypermetropia had accumulated to 26475, which consists of Review (n =1560), Randomized Controlled Trial (n =776), Practice Guideline (n =10), Meta-Analysis (n=23), Letter (n=1222), Editorial (n =328), Clinical Trial ( n =1726)</w:t>
      </w:r>
      <w:r w:rsidR="00F81221">
        <w:rPr>
          <w:kern w:val="0"/>
        </w:rPr>
        <w:t xml:space="preserve"> and </w:t>
      </w:r>
      <w:r>
        <w:rPr>
          <w:kern w:val="0"/>
        </w:rPr>
        <w:t>Others (n=20830);</w:t>
      </w:r>
      <w:r w:rsidR="00F81221">
        <w:rPr>
          <w:kern w:val="0"/>
        </w:rPr>
        <w:t xml:space="preserve"> and </w:t>
      </w:r>
      <w:r>
        <w:rPr>
          <w:kern w:val="0"/>
        </w:rPr>
        <w:t>Humans (n=23073), Animals (n=1434)</w:t>
      </w:r>
      <w:r w:rsidR="00F81221">
        <w:rPr>
          <w:kern w:val="0"/>
        </w:rPr>
        <w:t xml:space="preserve"> and </w:t>
      </w:r>
      <w:r>
        <w:rPr>
          <w:kern w:val="0"/>
        </w:rPr>
        <w:t>Others ( n=1968). 1136 literatures were included in PubMed Central, 22384 in MEDLINE</w:t>
      </w:r>
      <w:r w:rsidR="00F81221">
        <w:rPr>
          <w:kern w:val="0"/>
        </w:rPr>
        <w:t xml:space="preserve"> and </w:t>
      </w:r>
      <w:r>
        <w:rPr>
          <w:kern w:val="0"/>
        </w:rPr>
        <w:t xml:space="preserve">2955 in others. The ametropia literatures rose every 5 years which of the ametropia-year cumulated amount of the literatures had three periods: before 1900, slowly increasing from 1901 to 1950, rapidly rising from 1951 to 2010 (increased approximate exponentiation exponent). Sixty kinds of languages were listed in PubMed databases, of which English was dominant for aborting to ametropia research documents before 2010 (77.32%, 20471/26475). The document </w:t>
      </w:r>
      <w:r>
        <w:rPr>
          <w:kern w:val="0"/>
        </w:rPr>
        <w:lastRenderedPageBreak/>
        <w:t>language of top eight accounted for 95.58% (English, German, French, Japanese, Russian, Italian, Spanish, Chinese),</w:t>
      </w:r>
      <w:r w:rsidR="00F81221">
        <w:rPr>
          <w:kern w:val="0"/>
        </w:rPr>
        <w:t xml:space="preserve"> and </w:t>
      </w:r>
      <w:r>
        <w:rPr>
          <w:kern w:val="0"/>
        </w:rPr>
        <w:t>others for 4.42% (1171/26475). The SCI database includes 48 ophthalmologic journals</w:t>
      </w:r>
      <w:r w:rsidR="00F81221">
        <w:rPr>
          <w:kern w:val="0"/>
        </w:rPr>
        <w:t xml:space="preserve"> and </w:t>
      </w:r>
      <w:r>
        <w:rPr>
          <w:kern w:val="0"/>
        </w:rPr>
        <w:t>the impact factor of 39 journals is &gt;= 1 on Thomson-Reuters in 2010. Of 48 ophthalmologic journals, there were 14785 documents (55.85%) of ametropia, astigmatism, myopia,</w:t>
      </w:r>
      <w:r w:rsidR="00F81221">
        <w:rPr>
          <w:kern w:val="0"/>
        </w:rPr>
        <w:t xml:space="preserve"> and </w:t>
      </w:r>
      <w:r>
        <w:rPr>
          <w:kern w:val="0"/>
        </w:rPr>
        <w:t>hypermetropia. Others were without exception. The bibliometric analysis results show that ametropia literature are increased progressively, approximate exponentiation Exponent during 1951-2010. In addition, ametropia research has become more popular since nearly half century.</w:t>
      </w:r>
    </w:p>
    <w:p w:rsidR="00041873" w:rsidRDefault="00041873" w:rsidP="00041873">
      <w:pPr>
        <w:pStyle w:val="a0"/>
        <w:rPr>
          <w:kern w:val="0"/>
        </w:rPr>
      </w:pPr>
      <w:r>
        <w:rPr>
          <w:kern w:val="0"/>
        </w:rPr>
        <w:t>Keywords: Ametropia, Analysis, Astigmatism, Bibliometric, Bibliometric Analysis, Bibliometric Indicators, Bioethics, Biomedical, Biomedical Journals, Biomedical Publications, Cataract-Surgery, Chinese, Choroidal Neovascularization, Coding, Database, Databases, Development, Dispersion, Femtosecond Laser, Growth, High Myopia, Humans, Impact, Impact Factor, Implantation, Index, Indicators, Intraocular-Lens, Journal, Journals, Languages, Lasik, Laws, Literature, MEDLINE, Participation, Pathological Myopia, Publications, PUBMED, Research, SCI, Scientific Literature, Statistical Analysis</w:t>
      </w:r>
    </w:p>
    <w:p w:rsidR="00E47045" w:rsidRDefault="00E47045" w:rsidP="00E47045">
      <w:pPr>
        <w:pStyle w:val="a0"/>
        <w:rPr>
          <w:kern w:val="0"/>
        </w:rPr>
      </w:pPr>
      <w:r>
        <w:rPr>
          <w:rFonts w:hint="eastAsia"/>
          <w:kern w:val="0"/>
        </w:rPr>
        <w:t xml:space="preserve">? </w:t>
      </w:r>
      <w:r>
        <w:rPr>
          <w:kern w:val="0"/>
        </w:rPr>
        <w:t>Zhao, Z.G., Guo, X.G., Xu, C.T., Pan, B.R.</w:t>
      </w:r>
      <w:r w:rsidR="00F81221">
        <w:rPr>
          <w:kern w:val="0"/>
        </w:rPr>
        <w:t xml:space="preserve"> and </w:t>
      </w:r>
      <w:r>
        <w:rPr>
          <w:kern w:val="0"/>
        </w:rPr>
        <w:t xml:space="preserve">Xu, L.X. (2011), Bibliometric analysis on retinoblastoma literatures in PubMed during 1929 to 2010. </w:t>
      </w:r>
      <w:r>
        <w:rPr>
          <w:i/>
          <w:iCs/>
          <w:kern w:val="0"/>
        </w:rPr>
        <w:t>International Journal of Ophthalmology</w:t>
      </w:r>
      <w:r>
        <w:rPr>
          <w:kern w:val="0"/>
        </w:rPr>
        <w:t xml:space="preserve">, </w:t>
      </w:r>
      <w:r>
        <w:rPr>
          <w:b/>
          <w:bCs/>
          <w:kern w:val="0"/>
        </w:rPr>
        <w:t>4</w:t>
      </w:r>
      <w:r>
        <w:rPr>
          <w:kern w:val="0"/>
        </w:rPr>
        <w:t xml:space="preserve"> (2), 115-120.</w:t>
      </w:r>
    </w:p>
    <w:p w:rsidR="00E47045" w:rsidRDefault="00E47045" w:rsidP="00E47045">
      <w:pPr>
        <w:pStyle w:val="a0"/>
        <w:rPr>
          <w:kern w:val="0"/>
        </w:rPr>
      </w:pPr>
      <w:r>
        <w:rPr>
          <w:rFonts w:hint="eastAsia"/>
          <w:kern w:val="0"/>
        </w:rPr>
        <w:t xml:space="preserve">Full Text: </w:t>
      </w:r>
      <w:r w:rsidRPr="009A0A8F">
        <w:rPr>
          <w:kern w:val="0"/>
        </w:rPr>
        <w:t>2011\Int J Oph4, 1</w:t>
      </w:r>
      <w:r>
        <w:rPr>
          <w:rFonts w:hint="eastAsia"/>
          <w:kern w:val="0"/>
        </w:rPr>
        <w:t>15</w:t>
      </w:r>
      <w:r>
        <w:rPr>
          <w:kern w:val="0"/>
        </w:rPr>
        <w:t>.</w:t>
      </w:r>
      <w:r>
        <w:rPr>
          <w:rFonts w:hint="eastAsia"/>
          <w:kern w:val="0"/>
        </w:rPr>
        <w:t>pdf</w:t>
      </w:r>
    </w:p>
    <w:p w:rsidR="00E47045" w:rsidRDefault="00E47045" w:rsidP="00E47045">
      <w:pPr>
        <w:pStyle w:val="a0"/>
        <w:rPr>
          <w:kern w:val="0"/>
        </w:rPr>
      </w:pPr>
      <w:r>
        <w:rPr>
          <w:kern w:val="0"/>
        </w:rPr>
        <w:t>Abstract: AIM: To determine the growth rule</w:t>
      </w:r>
      <w:r w:rsidR="00F81221">
        <w:rPr>
          <w:kern w:val="0"/>
        </w:rPr>
        <w:t xml:space="preserve"> and </w:t>
      </w:r>
      <w:r>
        <w:rPr>
          <w:kern w:val="0"/>
        </w:rPr>
        <w:t>tendency of retinoblastoma (Rb) literature,</w:t>
      </w:r>
      <w:r w:rsidR="00F81221">
        <w:rPr>
          <w:kern w:val="0"/>
        </w:rPr>
        <w:t xml:space="preserve"> and </w:t>
      </w:r>
      <w:r>
        <w:rPr>
          <w:kern w:val="0"/>
        </w:rPr>
        <w:t>to provide the basis for research of diagnosis, treatment</w:t>
      </w:r>
      <w:r w:rsidR="00F81221">
        <w:rPr>
          <w:kern w:val="0"/>
        </w:rPr>
        <w:t xml:space="preserve"> and </w:t>
      </w:r>
      <w:r>
        <w:rPr>
          <w:kern w:val="0"/>
        </w:rPr>
        <w:t>on Rb. METHODS: Bibliometric analyses were carried out on Rb literatures which contain the descriptors of Rb in their titles or texts from 1929 to 2010 in PubMed database (www.ncbi.nlm. nih.gov/Pubmed). The biomedical journals referring to Rb by using bibliometric indicators were calculated. The principal bibliometric indicators, i.e, Price</w:t>
      </w:r>
      <w:r w:rsidR="000352E7">
        <w:rPr>
          <w:kern w:val="0"/>
        </w:rPr>
        <w:t>’</w:t>
      </w:r>
      <w:r>
        <w:rPr>
          <w:kern w:val="0"/>
        </w:rPr>
        <w:t>s</w:t>
      </w:r>
      <w:r w:rsidR="00F81221">
        <w:rPr>
          <w:kern w:val="0"/>
        </w:rPr>
        <w:t xml:space="preserve"> and </w:t>
      </w:r>
      <w:r>
        <w:rPr>
          <w:kern w:val="0"/>
        </w:rPr>
        <w:t>Bradford</w:t>
      </w:r>
      <w:r w:rsidR="000352E7">
        <w:rPr>
          <w:kern w:val="0"/>
        </w:rPr>
        <w:t>’</w:t>
      </w:r>
      <w:r>
        <w:rPr>
          <w:kern w:val="0"/>
        </w:rPr>
        <w:t>s laws to the increase or distribution of scientific literature, the participation index of languages</w:t>
      </w:r>
      <w:r w:rsidR="00F81221">
        <w:rPr>
          <w:kern w:val="0"/>
        </w:rPr>
        <w:t xml:space="preserve"> and </w:t>
      </w:r>
      <w:r>
        <w:rPr>
          <w:kern w:val="0"/>
        </w:rPr>
        <w:t>the journals were applied. By means of manual coding, Rb documents were classified according to documents studied</w:t>
      </w:r>
      <w:r w:rsidR="00F81221">
        <w:rPr>
          <w:kern w:val="0"/>
        </w:rPr>
        <w:t xml:space="preserve"> and </w:t>
      </w:r>
      <w:r>
        <w:rPr>
          <w:kern w:val="0"/>
        </w:rPr>
        <w:t>to statistical analysis. RESULTS: During 1929-2010, there were 16162 literatures in the PubMed database including the word Rb. According to the literature type, it includes Review (n=2026), Randomized Controlled Trial (n = 7), Practice guideline (n = 3), meta-analysis (n = 4), letter (n = 215), editorial (n = 98), clinical trial (n = 115)</w:t>
      </w:r>
      <w:r w:rsidR="00F81221">
        <w:rPr>
          <w:kern w:val="0"/>
        </w:rPr>
        <w:t xml:space="preserve"> and </w:t>
      </w:r>
      <w:r>
        <w:rPr>
          <w:kern w:val="0"/>
        </w:rPr>
        <w:t>others (n = 13694). By the statistical analysis, its equation is near power index (y = 3.0477 x(2.6088), R-2 = 0.9666). From 1929 to 2010, Rb literatures in English were primarily dominant (90.71%)</w:t>
      </w:r>
      <w:r w:rsidR="00F81221">
        <w:rPr>
          <w:kern w:val="0"/>
        </w:rPr>
        <w:t xml:space="preserve"> and </w:t>
      </w:r>
      <w:r>
        <w:rPr>
          <w:kern w:val="0"/>
        </w:rPr>
        <w:t>the amount of the literature in Chinese ranked the fourth (1.37%). By searching PubMed, 1420 (8.8%) literatures covered were from 41 of 48 ophthalmological,</w:t>
      </w:r>
      <w:r w:rsidR="00F81221">
        <w:rPr>
          <w:kern w:val="0"/>
        </w:rPr>
        <w:t xml:space="preserve"> and </w:t>
      </w:r>
      <w:r>
        <w:rPr>
          <w:kern w:val="0"/>
        </w:rPr>
        <w:t xml:space="preserve">406 (2.5%) literatures from 44 of 86 pediatrics journals </w:t>
      </w:r>
      <w:r>
        <w:rPr>
          <w:kern w:val="0"/>
        </w:rPr>
        <w:lastRenderedPageBreak/>
        <w:t>that correlated with retinoblastoma (SCI-indexed). The data showed that the literatures of Rb were gradually increasing year by year</w:t>
      </w:r>
      <w:r w:rsidR="00F81221">
        <w:rPr>
          <w:kern w:val="0"/>
        </w:rPr>
        <w:t xml:space="preserve"> and </w:t>
      </w:r>
      <w:r>
        <w:rPr>
          <w:kern w:val="0"/>
        </w:rPr>
        <w:t>were approximate near power index during 1929-2010,</w:t>
      </w:r>
      <w:r w:rsidR="00F81221">
        <w:rPr>
          <w:kern w:val="0"/>
        </w:rPr>
        <w:t xml:space="preserve"> and </w:t>
      </w:r>
      <w:r>
        <w:rPr>
          <w:kern w:val="0"/>
        </w:rPr>
        <w:t>the document publishes published mainly in ophthalmological journals,</w:t>
      </w:r>
      <w:r w:rsidR="00F81221">
        <w:rPr>
          <w:kern w:val="0"/>
        </w:rPr>
        <w:t xml:space="preserve"> and </w:t>
      </w:r>
      <w:r>
        <w:rPr>
          <w:kern w:val="0"/>
        </w:rPr>
        <w:t>in English (90.71%),</w:t>
      </w:r>
      <w:r w:rsidR="00F81221">
        <w:rPr>
          <w:kern w:val="0"/>
        </w:rPr>
        <w:t xml:space="preserve"> and </w:t>
      </w:r>
      <w:r>
        <w:rPr>
          <w:kern w:val="0"/>
        </w:rPr>
        <w:t>showing that the study on Rb is a popular subject in the last half century. CONCLUSION: The literatures of Rb are gradually increasing, mainly English in ophthalmologic journals.</w:t>
      </w:r>
    </w:p>
    <w:p w:rsidR="00E47045" w:rsidRDefault="00E47045" w:rsidP="00E47045">
      <w:pPr>
        <w:pStyle w:val="a0"/>
        <w:rPr>
          <w:kern w:val="0"/>
        </w:rPr>
      </w:pPr>
      <w:r>
        <w:rPr>
          <w:kern w:val="0"/>
        </w:rPr>
        <w:t>Keywords: Assisted Reproductive Technology, Bibliometric Analysis, Biomedical Publications, Evolution, Journal, Literature, Retinoblastoma, Scientific Literature, Tumors</w:t>
      </w:r>
    </w:p>
    <w:p w:rsidR="00C82CAD" w:rsidRDefault="00C82CAD" w:rsidP="00C82CAD">
      <w:pPr>
        <w:pStyle w:val="a0"/>
        <w:rPr>
          <w:kern w:val="0"/>
        </w:rPr>
      </w:pPr>
      <w:r>
        <w:rPr>
          <w:rFonts w:hint="eastAsia"/>
          <w:kern w:val="0"/>
        </w:rPr>
        <w:t xml:space="preserve">? </w:t>
      </w:r>
      <w:r>
        <w:rPr>
          <w:kern w:val="0"/>
        </w:rPr>
        <w:t xml:space="preserve">Liu, L., Jiao, J.H. and Chen, L. (2011), Bibliometric study of diabetic retinopathy during 2000-2010 by ISI. </w:t>
      </w:r>
      <w:r>
        <w:rPr>
          <w:i/>
          <w:iCs/>
          <w:kern w:val="0"/>
        </w:rPr>
        <w:t>International Journal of Ophthalmology</w:t>
      </w:r>
      <w:r>
        <w:rPr>
          <w:kern w:val="0"/>
        </w:rPr>
        <w:t xml:space="preserve">, </w:t>
      </w:r>
      <w:r>
        <w:rPr>
          <w:b/>
          <w:bCs/>
          <w:kern w:val="0"/>
        </w:rPr>
        <w:t>4</w:t>
      </w:r>
      <w:r>
        <w:rPr>
          <w:kern w:val="0"/>
        </w:rPr>
        <w:t xml:space="preserve"> (4), 333-336.</w:t>
      </w:r>
    </w:p>
    <w:p w:rsidR="00C82CAD" w:rsidRDefault="00C82CAD" w:rsidP="00C82CAD">
      <w:pPr>
        <w:pStyle w:val="a0"/>
        <w:rPr>
          <w:kern w:val="0"/>
        </w:rPr>
      </w:pPr>
      <w:r>
        <w:rPr>
          <w:rFonts w:hint="eastAsia"/>
          <w:kern w:val="0"/>
        </w:rPr>
        <w:t xml:space="preserve">Full Text: </w:t>
      </w:r>
      <w:r w:rsidRPr="009A0A8F">
        <w:rPr>
          <w:kern w:val="0"/>
        </w:rPr>
        <w:t xml:space="preserve">2011\Int J Oph4, </w:t>
      </w:r>
      <w:r>
        <w:rPr>
          <w:rFonts w:hint="eastAsia"/>
          <w:kern w:val="0"/>
        </w:rPr>
        <w:t>333</w:t>
      </w:r>
      <w:r>
        <w:rPr>
          <w:kern w:val="0"/>
        </w:rPr>
        <w:t>.</w:t>
      </w:r>
      <w:r>
        <w:rPr>
          <w:rFonts w:hint="eastAsia"/>
          <w:kern w:val="0"/>
        </w:rPr>
        <w:t>pdf</w:t>
      </w:r>
    </w:p>
    <w:p w:rsidR="00C82CAD" w:rsidRDefault="00C82CAD" w:rsidP="00C82CAD">
      <w:pPr>
        <w:pStyle w:val="a0"/>
        <w:rPr>
          <w:kern w:val="0"/>
        </w:rPr>
      </w:pPr>
      <w:r>
        <w:rPr>
          <w:kern w:val="0"/>
        </w:rPr>
        <w:t>Abstract: AIM: To analyze the progress in diabetic retinopathy (DR) researches between 2000 and 2010 through bibliometric study. METHODS: Using ISI Web of Science database for statistical sources, we retrieved DR literatures during 2000-2010, analyzed “the number of published articles per year, authors, source publications, subject category, document type, document language, institution and country/region” by bibliometric statistical methods. RESULTS: The total number of published articles that were retrieved for the years during 2000-2010 was 8590. DR researches changed as a linear upward trend, the main researches focused on ophthalmology, endocrine and metabolic diseases. Article was the main document type. Harvard University was the major research institution. CONCLUSION: There has achieved a significant increase in the number of ISI publications and collaborations in DR literatures from 2000 to 2010. With the rising of the number of diabetes in the world, diabetic retinopathy has become a focus of scientific researches.</w:t>
      </w:r>
    </w:p>
    <w:p w:rsidR="00C82CAD" w:rsidRDefault="00C82CAD" w:rsidP="00C82CAD">
      <w:pPr>
        <w:pStyle w:val="a0"/>
        <w:rPr>
          <w:kern w:val="0"/>
        </w:rPr>
      </w:pPr>
      <w:r>
        <w:rPr>
          <w:kern w:val="0"/>
        </w:rPr>
        <w:t>Keywords: Articles, Author, Authors, Bibliometric, Bibliometric Study, China, Collaborations, Diabetes, Diabetic Retinopathy, ISI, ISI Web of Science, ISI Web of Science Database, Prevalence, Publications, Research, Retinopathy, Science, Statistical, Statistical Methods, Subject Category, Trend, University, Web of Science, Web-of-Science</w:t>
      </w:r>
    </w:p>
    <w:p w:rsidR="003E7D54" w:rsidRDefault="003E7D54" w:rsidP="003E7D54">
      <w:pPr>
        <w:pStyle w:val="1"/>
      </w:pPr>
      <w:r>
        <w:rPr>
          <w:b w:val="0"/>
          <w:bCs/>
          <w:iCs/>
        </w:rPr>
        <w:br w:type="page"/>
      </w:r>
      <w:bookmarkStart w:id="1443" w:name="_Toc317161342"/>
      <w:r>
        <w:lastRenderedPageBreak/>
        <w:t xml:space="preserve">Title: </w:t>
      </w:r>
      <w:r>
        <w:rPr>
          <w:iCs/>
        </w:rPr>
        <w:t>International Journal of Oral</w:t>
      </w:r>
      <w:r w:rsidR="00F81221">
        <w:rPr>
          <w:iCs/>
        </w:rPr>
        <w:t xml:space="preserve"> and </w:t>
      </w:r>
      <w:r>
        <w:rPr>
          <w:iCs/>
        </w:rPr>
        <w:t>Maxillofacial Surgery</w:t>
      </w:r>
      <w:bookmarkEnd w:id="1443"/>
    </w:p>
    <w:p w:rsidR="003E7D54" w:rsidRDefault="003E7D54" w:rsidP="003E7D54">
      <w:pPr>
        <w:pStyle w:val="12"/>
      </w:pPr>
      <w:r>
        <w:t xml:space="preserve">Full Journal Title: </w:t>
      </w:r>
      <w:r>
        <w:rPr>
          <w:iCs/>
        </w:rPr>
        <w:t>International Journal of Oral</w:t>
      </w:r>
      <w:r w:rsidR="00F81221">
        <w:rPr>
          <w:iCs/>
        </w:rPr>
        <w:t xml:space="preserve"> and </w:t>
      </w:r>
      <w:r>
        <w:rPr>
          <w:iCs/>
        </w:rPr>
        <w:t>Maxillofacial Surgery</w:t>
      </w:r>
    </w:p>
    <w:p w:rsidR="003E7D54" w:rsidRDefault="003E7D54" w:rsidP="003E7D54">
      <w:pPr>
        <w:pStyle w:val="12"/>
      </w:pPr>
      <w:r>
        <w:t xml:space="preserve">ISO Abbreviated Title: </w:t>
      </w:r>
    </w:p>
    <w:p w:rsidR="003E7D54" w:rsidRDefault="003E7D54" w:rsidP="003E7D54">
      <w:pPr>
        <w:pStyle w:val="12"/>
      </w:pPr>
      <w:r>
        <w:t xml:space="preserve">JCR Abbreviated Title: </w:t>
      </w:r>
    </w:p>
    <w:p w:rsidR="003E7D54" w:rsidRDefault="003E7D54" w:rsidP="003E7D54">
      <w:pPr>
        <w:pStyle w:val="12"/>
      </w:pPr>
      <w:r>
        <w:t xml:space="preserve">ISSN: </w:t>
      </w:r>
    </w:p>
    <w:p w:rsidR="003E7D54" w:rsidRDefault="003E7D54" w:rsidP="003E7D54">
      <w:pPr>
        <w:pStyle w:val="12"/>
      </w:pPr>
      <w:r>
        <w:t xml:space="preserve">Issues/Year: </w:t>
      </w:r>
    </w:p>
    <w:p w:rsidR="003E7D54" w:rsidRDefault="003E7D54" w:rsidP="003E7D54">
      <w:pPr>
        <w:pStyle w:val="12"/>
      </w:pPr>
      <w:r>
        <w:t xml:space="preserve">Journal Country/Territory: </w:t>
      </w:r>
    </w:p>
    <w:p w:rsidR="003E7D54" w:rsidRDefault="003E7D54" w:rsidP="003E7D54">
      <w:pPr>
        <w:pStyle w:val="12"/>
      </w:pPr>
      <w:r>
        <w:t xml:space="preserve">Language: </w:t>
      </w:r>
    </w:p>
    <w:p w:rsidR="003E7D54" w:rsidRDefault="003E7D54" w:rsidP="003E7D54">
      <w:pPr>
        <w:pStyle w:val="12"/>
      </w:pPr>
      <w:r>
        <w:t xml:space="preserve">Publisher: </w:t>
      </w:r>
    </w:p>
    <w:p w:rsidR="003E7D54" w:rsidRDefault="003E7D54" w:rsidP="003E7D54">
      <w:pPr>
        <w:pStyle w:val="12"/>
      </w:pPr>
      <w:r>
        <w:t xml:space="preserve">Publisher Address: </w:t>
      </w:r>
    </w:p>
    <w:p w:rsidR="003E7D54" w:rsidRDefault="003E7D54" w:rsidP="003E7D54">
      <w:pPr>
        <w:pStyle w:val="12"/>
      </w:pPr>
      <w:r>
        <w:t>Subject Categories:</w:t>
      </w:r>
    </w:p>
    <w:p w:rsidR="003E7D54" w:rsidRDefault="003E7D54" w:rsidP="003E7D54">
      <w:pPr>
        <w:pStyle w:val="12"/>
      </w:pPr>
      <w:r>
        <w:t>: Impact Factor</w:t>
      </w:r>
    </w:p>
    <w:p w:rsidR="003E7D54" w:rsidRDefault="003E7D54" w:rsidP="003E7D54">
      <w:pPr>
        <w:pStyle w:val="a0"/>
        <w:rPr>
          <w:kern w:val="0"/>
        </w:rPr>
      </w:pPr>
      <w:r>
        <w:rPr>
          <w:kern w:val="0"/>
        </w:rPr>
        <w:t>? Lagravere, M.O., Major, P.W.</w:t>
      </w:r>
      <w:r w:rsidR="00F81221">
        <w:rPr>
          <w:kern w:val="0"/>
        </w:rPr>
        <w:t xml:space="preserve"> and </w:t>
      </w:r>
      <w:r>
        <w:rPr>
          <w:kern w:val="0"/>
        </w:rPr>
        <w:t>Flores-Mir, C. (2006), Dental</w:t>
      </w:r>
      <w:r w:rsidR="00F81221">
        <w:rPr>
          <w:kern w:val="0"/>
        </w:rPr>
        <w:t xml:space="preserve"> and </w:t>
      </w:r>
      <w:r>
        <w:rPr>
          <w:kern w:val="0"/>
        </w:rPr>
        <w:t xml:space="preserve">skeletal changes following surgically assisted rapid maxillary expansion. </w:t>
      </w:r>
      <w:r>
        <w:rPr>
          <w:i/>
          <w:iCs/>
          <w:kern w:val="0"/>
        </w:rPr>
        <w:t>International Journal of Oral</w:t>
      </w:r>
      <w:r w:rsidR="00F81221">
        <w:rPr>
          <w:i/>
          <w:iCs/>
          <w:kern w:val="0"/>
        </w:rPr>
        <w:t xml:space="preserve"> and </w:t>
      </w:r>
      <w:r>
        <w:rPr>
          <w:i/>
          <w:iCs/>
          <w:kern w:val="0"/>
        </w:rPr>
        <w:t>Maxillofacial Surgery</w:t>
      </w:r>
      <w:r>
        <w:rPr>
          <w:kern w:val="0"/>
        </w:rPr>
        <w:t xml:space="preserve">, </w:t>
      </w:r>
      <w:r>
        <w:rPr>
          <w:b/>
          <w:bCs/>
          <w:kern w:val="0"/>
        </w:rPr>
        <w:t>35</w:t>
      </w:r>
      <w:r>
        <w:rPr>
          <w:kern w:val="0"/>
        </w:rPr>
        <w:t xml:space="preserve"> (6), 481-487.</w:t>
      </w:r>
    </w:p>
    <w:p w:rsidR="003E7D54" w:rsidRDefault="003E7D54" w:rsidP="003E7D54">
      <w:pPr>
        <w:pStyle w:val="a0"/>
        <w:rPr>
          <w:kern w:val="0"/>
        </w:rPr>
      </w:pPr>
      <w:r>
        <w:rPr>
          <w:kern w:val="0"/>
        </w:rPr>
        <w:t>Abstract: The aim of this study was to evaluate skeletal</w:t>
      </w:r>
      <w:r w:rsidR="00F81221">
        <w:rPr>
          <w:kern w:val="0"/>
        </w:rPr>
        <w:t xml:space="preserve"> and </w:t>
      </w:r>
      <w:r>
        <w:rPr>
          <w:kern w:val="0"/>
        </w:rPr>
        <w:t>dental changes after surgically assisted rapid maxillary expansion (SARME). Clinical trials were carried out that assessed skeletal</w:t>
      </w:r>
      <w:r w:rsidR="00F81221">
        <w:rPr>
          <w:kern w:val="0"/>
        </w:rPr>
        <w:t xml:space="preserve"> and </w:t>
      </w:r>
      <w:r>
        <w:rPr>
          <w:kern w:val="0"/>
        </w:rPr>
        <w:t>dental changes through cephalograms, computer tomographs or dental casts. No other simultaneous treatment during the active expansion period was accepted. Electronic databases (PUBMED, MEDLINE, MEDLINE In-Process &amp; Other Non-Indexed Citations, All Evidence-based Medicine Reviews, EMBASE, Web of Science</w:t>
      </w:r>
      <w:r w:rsidR="00F81221">
        <w:rPr>
          <w:kern w:val="0"/>
        </w:rPr>
        <w:t xml:space="preserve"> and </w:t>
      </w:r>
      <w:r>
        <w:rPr>
          <w:kern w:val="0"/>
        </w:rPr>
        <w:t>Lilacs) were searched. Abstracts which appeared to fulfil the selection criteria were selected by consensus. The original articles were then retrieved</w:t>
      </w:r>
      <w:r w:rsidR="00F81221">
        <w:rPr>
          <w:kern w:val="0"/>
        </w:rPr>
        <w:t xml:space="preserve"> and </w:t>
      </w:r>
      <w:r>
        <w:rPr>
          <w:kern w:val="0"/>
        </w:rPr>
        <w:t>evaluated with a methodological checklist. Their references were hand searched for possible missing articles. Only 12 articles fulfilled the selection criteria. All presented methodological flaws. An individual methodological analysis of these articles was made. Expansion was greater at the molars</w:t>
      </w:r>
      <w:r w:rsidR="00F81221">
        <w:rPr>
          <w:kern w:val="0"/>
        </w:rPr>
        <w:t xml:space="preserve"> and </w:t>
      </w:r>
      <w:r>
        <w:rPr>
          <w:kern w:val="0"/>
        </w:rPr>
        <w:t>diminished progressively to the anterior part of the dental arch in all the evaluation periods. Vertical</w:t>
      </w:r>
      <w:r w:rsidR="00F81221">
        <w:rPr>
          <w:kern w:val="0"/>
        </w:rPr>
        <w:t xml:space="preserve"> and </w:t>
      </w:r>
      <w:r>
        <w:rPr>
          <w:kern w:val="0"/>
        </w:rPr>
        <w:t>sagittal skeletal changes were nil or not clinically significant. The nasal portion of the maxillary complex showed an increase in dimensions thereby improving nasal patency. An overall dental relapse of 0.5-1 mm is reported after 1 year of orthodontic treatment. The conclusions should be considered with caution because only a secondary level of evidence was found.</w:t>
      </w:r>
    </w:p>
    <w:p w:rsidR="003E7D54" w:rsidRDefault="003E7D54" w:rsidP="003E7D54">
      <w:pPr>
        <w:pStyle w:val="a0"/>
        <w:rPr>
          <w:kern w:val="0"/>
        </w:rPr>
      </w:pPr>
      <w:r>
        <w:rPr>
          <w:kern w:val="0"/>
        </w:rPr>
        <w:t>Keywords: Adults, Age, Analysis, Citations, Clinical Trials, Databases, Evaluation, Long-Term Stability, Palatal Expansion, Quality, Rapid Maxillary Expansion, Rapid Palatal Expansion, Science, Surgical, Suture, Treatment, Trials, Web of Science</w:t>
      </w:r>
    </w:p>
    <w:p w:rsidR="00BE1044" w:rsidRPr="00A428C3" w:rsidRDefault="00BE1044" w:rsidP="00BE1044">
      <w:pPr>
        <w:pStyle w:val="1"/>
      </w:pPr>
      <w:r w:rsidRPr="00A428C3">
        <w:br w:type="page"/>
      </w:r>
      <w:bookmarkStart w:id="1444" w:name="_Toc317161343"/>
      <w:r w:rsidRPr="00A428C3">
        <w:lastRenderedPageBreak/>
        <w:t xml:space="preserve">Title: </w:t>
      </w:r>
      <w:r w:rsidRPr="00BE1044">
        <w:rPr>
          <w:iCs/>
        </w:rPr>
        <w:t>International Journal of Osteoarchaeology</w:t>
      </w:r>
      <w:bookmarkEnd w:id="1444"/>
    </w:p>
    <w:p w:rsidR="00BE1044" w:rsidRPr="00A428C3" w:rsidRDefault="00BE1044" w:rsidP="00B72EF9">
      <w:pPr>
        <w:pStyle w:val="12"/>
      </w:pPr>
      <w:r w:rsidRPr="00A428C3">
        <w:t xml:space="preserve">Full Journal Title: </w:t>
      </w:r>
      <w:hyperlink r:id="rId2019" w:history="1">
        <w:r w:rsidRPr="00495DCE">
          <w:rPr>
            <w:rStyle w:val="a5"/>
            <w:iCs/>
          </w:rPr>
          <w:t>International Journal of Osteoarchaeology</w:t>
        </w:r>
      </w:hyperlink>
    </w:p>
    <w:p w:rsidR="00BE1044" w:rsidRPr="00A428C3" w:rsidRDefault="00BE1044" w:rsidP="00B72EF9">
      <w:pPr>
        <w:pStyle w:val="12"/>
      </w:pPr>
      <w:r w:rsidRPr="00A428C3">
        <w:t xml:space="preserve">ISO Abbreviated Title: </w:t>
      </w:r>
    </w:p>
    <w:p w:rsidR="00BE1044" w:rsidRPr="00A428C3" w:rsidRDefault="00BE1044" w:rsidP="00B72EF9">
      <w:pPr>
        <w:pStyle w:val="12"/>
      </w:pPr>
      <w:r w:rsidRPr="00A428C3">
        <w:t xml:space="preserve">JCR Abbreviated Title: </w:t>
      </w:r>
    </w:p>
    <w:p w:rsidR="00BE1044" w:rsidRPr="00A428C3" w:rsidRDefault="00BE1044" w:rsidP="00B72EF9">
      <w:pPr>
        <w:pStyle w:val="12"/>
      </w:pPr>
      <w:r w:rsidRPr="00A428C3">
        <w:t xml:space="preserve">ISSN: </w:t>
      </w:r>
    </w:p>
    <w:p w:rsidR="00BE1044" w:rsidRPr="00A428C3" w:rsidRDefault="00BE1044" w:rsidP="00B72EF9">
      <w:pPr>
        <w:pStyle w:val="12"/>
      </w:pPr>
      <w:r w:rsidRPr="00A428C3">
        <w:t xml:space="preserve">Issues/Year: </w:t>
      </w:r>
    </w:p>
    <w:p w:rsidR="00BE1044" w:rsidRPr="00A428C3" w:rsidRDefault="00BE1044" w:rsidP="00B72EF9">
      <w:pPr>
        <w:pStyle w:val="12"/>
      </w:pPr>
      <w:r w:rsidRPr="00A428C3">
        <w:t xml:space="preserve">Journal Country/Territory: </w:t>
      </w:r>
    </w:p>
    <w:p w:rsidR="00BE1044" w:rsidRPr="00A428C3" w:rsidRDefault="00BE1044" w:rsidP="00B72EF9">
      <w:pPr>
        <w:pStyle w:val="12"/>
      </w:pPr>
      <w:r w:rsidRPr="00A428C3">
        <w:t xml:space="preserve">Language: </w:t>
      </w:r>
    </w:p>
    <w:p w:rsidR="00BE1044" w:rsidRPr="00A428C3" w:rsidRDefault="00BE1044" w:rsidP="00B72EF9">
      <w:pPr>
        <w:pStyle w:val="12"/>
      </w:pPr>
      <w:r w:rsidRPr="00A428C3">
        <w:t xml:space="preserve">Publisher: </w:t>
      </w:r>
    </w:p>
    <w:p w:rsidR="00BE1044" w:rsidRPr="00A428C3" w:rsidRDefault="00BE1044" w:rsidP="00B72EF9">
      <w:pPr>
        <w:pStyle w:val="12"/>
      </w:pPr>
      <w:r w:rsidRPr="00A428C3">
        <w:t xml:space="preserve">Publisher Address: </w:t>
      </w:r>
    </w:p>
    <w:p w:rsidR="00BE1044" w:rsidRPr="00A428C3" w:rsidRDefault="00BE1044" w:rsidP="00B72EF9">
      <w:pPr>
        <w:pStyle w:val="12"/>
      </w:pPr>
      <w:r w:rsidRPr="00A428C3">
        <w:t>Subject Categories:</w:t>
      </w:r>
    </w:p>
    <w:p w:rsidR="00BE1044" w:rsidRPr="00A428C3" w:rsidRDefault="00BE1044" w:rsidP="00B72EF9">
      <w:pPr>
        <w:pStyle w:val="12"/>
      </w:pPr>
      <w:r w:rsidRPr="00A428C3">
        <w:t>: Impact Factor</w:t>
      </w:r>
    </w:p>
    <w:p w:rsidR="00BE1044" w:rsidRDefault="00BE1044" w:rsidP="00BE1044">
      <w:pPr>
        <w:pStyle w:val="a0"/>
        <w:rPr>
          <w:kern w:val="0"/>
        </w:rPr>
      </w:pPr>
      <w:r>
        <w:rPr>
          <w:rFonts w:hint="eastAsia"/>
          <w:kern w:val="0"/>
        </w:rPr>
        <w:t xml:space="preserve">? </w:t>
      </w:r>
      <w:r w:rsidRPr="00A5601E">
        <w:rPr>
          <w:kern w:val="0"/>
        </w:rPr>
        <w:t xml:space="preserve">Mays, S. (2010), Human Osteoarchaeology in the UK 2001-2007: A bibliometric perspective. </w:t>
      </w:r>
      <w:r w:rsidRPr="00BE1044">
        <w:rPr>
          <w:i/>
          <w:iCs/>
          <w:kern w:val="0"/>
        </w:rPr>
        <w:t>International Journal of Osteoarchaeology</w:t>
      </w:r>
      <w:r w:rsidRPr="00A5601E">
        <w:rPr>
          <w:kern w:val="0"/>
        </w:rPr>
        <w:t xml:space="preserve">, </w:t>
      </w:r>
      <w:r w:rsidRPr="00A5601E">
        <w:rPr>
          <w:b/>
          <w:bCs/>
          <w:kern w:val="0"/>
        </w:rPr>
        <w:t>20</w:t>
      </w:r>
      <w:r w:rsidRPr="00A5601E">
        <w:rPr>
          <w:kern w:val="0"/>
        </w:rPr>
        <w:t xml:space="preserve"> (2), 192-204</w:t>
      </w:r>
      <w:r>
        <w:rPr>
          <w:rFonts w:hint="eastAsia"/>
          <w:kern w:val="0"/>
        </w:rPr>
        <w:t>.</w:t>
      </w:r>
    </w:p>
    <w:p w:rsidR="00BE1044" w:rsidRPr="00A5601E" w:rsidRDefault="00BE1044" w:rsidP="00BE1044">
      <w:pPr>
        <w:pStyle w:val="a0"/>
        <w:rPr>
          <w:kern w:val="0"/>
        </w:rPr>
      </w:pPr>
      <w:r>
        <w:rPr>
          <w:rFonts w:hint="eastAsia"/>
          <w:kern w:val="0"/>
        </w:rPr>
        <w:t xml:space="preserve">Full Text: </w:t>
      </w:r>
      <w:hyperlink r:id="rId2020" w:history="1">
        <w:r w:rsidRPr="00495DCE">
          <w:rPr>
            <w:rStyle w:val="a5"/>
            <w:kern w:val="0"/>
          </w:rPr>
          <w:t>2010\Int J Ost20, 192.pdf</w:t>
        </w:r>
      </w:hyperlink>
    </w:p>
    <w:p w:rsidR="00BE1044" w:rsidRPr="00A5601E" w:rsidRDefault="00BE1044" w:rsidP="00BE1044">
      <w:pPr>
        <w:pStyle w:val="a0"/>
        <w:rPr>
          <w:kern w:val="0"/>
        </w:rPr>
      </w:pPr>
      <w:r w:rsidRPr="00A5601E">
        <w:rPr>
          <w:kern w:val="0"/>
        </w:rPr>
        <w:t>Abstract: Bibliometric analysis of osteoarchaeology publications covering the period 2001-2007 in leading journals was carried out The aims were two-fold firstly, to characterise research in this field in the UK</w:t>
      </w:r>
      <w:r w:rsidR="00F81221">
        <w:rPr>
          <w:kern w:val="0"/>
        </w:rPr>
        <w:t xml:space="preserve"> and </w:t>
      </w:r>
      <w:r w:rsidRPr="00A5601E">
        <w:rPr>
          <w:kern w:val="0"/>
        </w:rPr>
        <w:t>make comparisons with selected other countries,</w:t>
      </w:r>
      <w:r w:rsidR="00F81221">
        <w:rPr>
          <w:kern w:val="0"/>
        </w:rPr>
        <w:t xml:space="preserve"> and </w:t>
      </w:r>
      <w:r w:rsidRPr="00A5601E">
        <w:rPr>
          <w:kern w:val="0"/>
        </w:rPr>
        <w:t>secondly, to shed light on the use of skeletal collections It was found that, since a previous survey of this type,covering the period 1991-1995, isotopic</w:t>
      </w:r>
      <w:r w:rsidR="00F81221">
        <w:rPr>
          <w:kern w:val="0"/>
        </w:rPr>
        <w:t xml:space="preserve"> and </w:t>
      </w:r>
      <w:r w:rsidRPr="00A5601E">
        <w:rPr>
          <w:kern w:val="0"/>
        </w:rPr>
        <w:t>DNA studies have increased In the UK, work on biodistance studies is minor compared with other countries,</w:t>
      </w:r>
      <w:r w:rsidR="00F81221">
        <w:rPr>
          <w:kern w:val="0"/>
        </w:rPr>
        <w:t xml:space="preserve"> and </w:t>
      </w:r>
      <w:r w:rsidRPr="00A5601E">
        <w:rPr>
          <w:kern w:val="0"/>
        </w:rPr>
        <w:t>the proportion of palaeopathology work is high In palaeopathology, substantial effort continues to be devoted to case studies, particularly in the UK where the frequency of problem-orientated work directed at understanding earlier populations has not increased since the early 1990s Although it is argued that the case study still has a place in osteoarchaeology, the balance of work needs to shift further in favour of population studies, particularly in the UK Skeletal collections are vital for primary osteoarchaeological work,</w:t>
      </w:r>
      <w:r w:rsidR="00F81221">
        <w:rPr>
          <w:kern w:val="0"/>
        </w:rPr>
        <w:t xml:space="preserve"> and </w:t>
      </w:r>
      <w:r w:rsidRPr="00A5601E">
        <w:rPr>
          <w:kern w:val="0"/>
        </w:rPr>
        <w:t>there was little evidence for any great use of skeletal databases such as the Standard Osteological Database Skeletal collections from the UK were the most used for the research papers analysed, demonstrating the importance of UK-held collections for research that leads to high profile publication in the international scientific literature These observations are pertinent since legal, ethical</w:t>
      </w:r>
      <w:r w:rsidR="00F81221">
        <w:rPr>
          <w:kern w:val="0"/>
        </w:rPr>
        <w:t xml:space="preserve"> and </w:t>
      </w:r>
      <w:r w:rsidRPr="00A5601E">
        <w:rPr>
          <w:kern w:val="0"/>
        </w:rPr>
        <w:t>practical issues in the treatment of human remains, particularly those connected with retention of skeletal collections. are now coming under closer scrutiny in the UK Copyright (C) 2008 John Wiley &amp; Sons, Ltd.</w:t>
      </w:r>
    </w:p>
    <w:p w:rsidR="00BE1044" w:rsidRPr="00A5601E" w:rsidRDefault="00BE1044" w:rsidP="00BE1044">
      <w:pPr>
        <w:pStyle w:val="a0"/>
        <w:rPr>
          <w:kern w:val="0"/>
        </w:rPr>
      </w:pPr>
      <w:r w:rsidRPr="00A5601E">
        <w:rPr>
          <w:kern w:val="0"/>
        </w:rPr>
        <w:t>Keywords: Archaeology</w:t>
      </w:r>
      <w:r>
        <w:rPr>
          <w:kern w:val="0"/>
        </w:rPr>
        <w:t xml:space="preserve">, </w:t>
      </w:r>
      <w:r w:rsidRPr="00A5601E">
        <w:rPr>
          <w:kern w:val="0"/>
        </w:rPr>
        <w:t>Bibliometric</w:t>
      </w:r>
      <w:r>
        <w:rPr>
          <w:kern w:val="0"/>
        </w:rPr>
        <w:t xml:space="preserve">, </w:t>
      </w:r>
      <w:r w:rsidRPr="00A5601E">
        <w:rPr>
          <w:kern w:val="0"/>
        </w:rPr>
        <w:t>Bibliometric Analysis</w:t>
      </w:r>
      <w:r>
        <w:rPr>
          <w:kern w:val="0"/>
        </w:rPr>
        <w:t xml:space="preserve">, </w:t>
      </w:r>
      <w:r w:rsidRPr="00A5601E">
        <w:rPr>
          <w:kern w:val="0"/>
        </w:rPr>
        <w:t>Biodistance</w:t>
      </w:r>
      <w:r>
        <w:rPr>
          <w:kern w:val="0"/>
        </w:rPr>
        <w:t xml:space="preserve">, </w:t>
      </w:r>
      <w:r w:rsidRPr="00A5601E">
        <w:rPr>
          <w:kern w:val="0"/>
        </w:rPr>
        <w:t>Britain</w:t>
      </w:r>
      <w:r>
        <w:rPr>
          <w:kern w:val="0"/>
        </w:rPr>
        <w:t xml:space="preserve">, </w:t>
      </w:r>
      <w:r w:rsidRPr="00A5601E">
        <w:rPr>
          <w:kern w:val="0"/>
        </w:rPr>
        <w:lastRenderedPageBreak/>
        <w:t>Burial</w:t>
      </w:r>
      <w:r>
        <w:rPr>
          <w:kern w:val="0"/>
        </w:rPr>
        <w:t xml:space="preserve">, </w:t>
      </w:r>
      <w:r w:rsidRPr="00A5601E">
        <w:rPr>
          <w:kern w:val="0"/>
        </w:rPr>
        <w:t>Carbon</w:t>
      </w:r>
      <w:r>
        <w:rPr>
          <w:kern w:val="0"/>
        </w:rPr>
        <w:t xml:space="preserve">, </w:t>
      </w:r>
      <w:r w:rsidRPr="00A5601E">
        <w:rPr>
          <w:kern w:val="0"/>
        </w:rPr>
        <w:t>Case Studies</w:t>
      </w:r>
      <w:r>
        <w:rPr>
          <w:kern w:val="0"/>
        </w:rPr>
        <w:t xml:space="preserve">, </w:t>
      </w:r>
      <w:r w:rsidRPr="00A5601E">
        <w:rPr>
          <w:kern w:val="0"/>
        </w:rPr>
        <w:t>Database</w:t>
      </w:r>
      <w:r>
        <w:rPr>
          <w:kern w:val="0"/>
        </w:rPr>
        <w:t xml:space="preserve">, </w:t>
      </w:r>
      <w:r w:rsidRPr="00A5601E">
        <w:rPr>
          <w:kern w:val="0"/>
        </w:rPr>
        <w:t>Databases</w:t>
      </w:r>
      <w:r>
        <w:rPr>
          <w:kern w:val="0"/>
        </w:rPr>
        <w:t xml:space="preserve">, </w:t>
      </w:r>
      <w:r w:rsidRPr="00A5601E">
        <w:rPr>
          <w:kern w:val="0"/>
        </w:rPr>
        <w:t>Dna</w:t>
      </w:r>
      <w:r>
        <w:rPr>
          <w:kern w:val="0"/>
        </w:rPr>
        <w:t xml:space="preserve">, </w:t>
      </w:r>
      <w:r w:rsidRPr="00A5601E">
        <w:rPr>
          <w:kern w:val="0"/>
        </w:rPr>
        <w:t>Human Remains</w:t>
      </w:r>
      <w:r>
        <w:rPr>
          <w:kern w:val="0"/>
        </w:rPr>
        <w:t xml:space="preserve">, </w:t>
      </w:r>
      <w:r w:rsidRPr="00A5601E">
        <w:rPr>
          <w:kern w:val="0"/>
        </w:rPr>
        <w:t>Isotope Analysis</w:t>
      </w:r>
      <w:r>
        <w:rPr>
          <w:kern w:val="0"/>
        </w:rPr>
        <w:t xml:space="preserve">, </w:t>
      </w:r>
      <w:r w:rsidRPr="00A5601E">
        <w:rPr>
          <w:kern w:val="0"/>
        </w:rPr>
        <w:t>Journals</w:t>
      </w:r>
      <w:r>
        <w:rPr>
          <w:kern w:val="0"/>
        </w:rPr>
        <w:t xml:space="preserve">, </w:t>
      </w:r>
      <w:r w:rsidRPr="00A5601E">
        <w:rPr>
          <w:kern w:val="0"/>
        </w:rPr>
        <w:t>Literature</w:t>
      </w:r>
      <w:r>
        <w:rPr>
          <w:kern w:val="0"/>
        </w:rPr>
        <w:t xml:space="preserve">, </w:t>
      </w:r>
      <w:r w:rsidRPr="00A5601E">
        <w:rPr>
          <w:kern w:val="0"/>
        </w:rPr>
        <w:t>Medieval Wharram-Percy</w:t>
      </w:r>
      <w:r>
        <w:rPr>
          <w:kern w:val="0"/>
        </w:rPr>
        <w:t xml:space="preserve">, </w:t>
      </w:r>
      <w:r w:rsidRPr="00A5601E">
        <w:rPr>
          <w:kern w:val="0"/>
        </w:rPr>
        <w:t>Museum</w:t>
      </w:r>
      <w:r>
        <w:rPr>
          <w:kern w:val="0"/>
        </w:rPr>
        <w:t xml:space="preserve">, </w:t>
      </w:r>
      <w:r w:rsidRPr="00A5601E">
        <w:rPr>
          <w:kern w:val="0"/>
        </w:rPr>
        <w:t>Palaeopathology</w:t>
      </w:r>
      <w:r>
        <w:rPr>
          <w:kern w:val="0"/>
        </w:rPr>
        <w:t xml:space="preserve">, </w:t>
      </w:r>
      <w:r w:rsidRPr="00A5601E">
        <w:rPr>
          <w:kern w:val="0"/>
        </w:rPr>
        <w:t>Physical-Anthropology</w:t>
      </w:r>
      <w:r>
        <w:rPr>
          <w:kern w:val="0"/>
        </w:rPr>
        <w:t xml:space="preserve">, </w:t>
      </w:r>
      <w:r w:rsidRPr="00A5601E">
        <w:rPr>
          <w:kern w:val="0"/>
        </w:rPr>
        <w:t>Primary</w:t>
      </w:r>
      <w:r>
        <w:rPr>
          <w:kern w:val="0"/>
        </w:rPr>
        <w:t xml:space="preserve">, </w:t>
      </w:r>
      <w:r w:rsidRPr="00A5601E">
        <w:rPr>
          <w:kern w:val="0"/>
        </w:rPr>
        <w:t>Publication</w:t>
      </w:r>
      <w:r>
        <w:rPr>
          <w:kern w:val="0"/>
        </w:rPr>
        <w:t xml:space="preserve">, </w:t>
      </w:r>
      <w:r w:rsidRPr="00A5601E">
        <w:rPr>
          <w:kern w:val="0"/>
        </w:rPr>
        <w:t>Publications</w:t>
      </w:r>
      <w:r>
        <w:rPr>
          <w:kern w:val="0"/>
        </w:rPr>
        <w:t xml:space="preserve">, </w:t>
      </w:r>
      <w:r w:rsidRPr="00A5601E">
        <w:rPr>
          <w:kern w:val="0"/>
        </w:rPr>
        <w:t>Reburial</w:t>
      </w:r>
      <w:r>
        <w:rPr>
          <w:kern w:val="0"/>
        </w:rPr>
        <w:t xml:space="preserve">, </w:t>
      </w:r>
      <w:r w:rsidRPr="00A5601E">
        <w:rPr>
          <w:kern w:val="0"/>
        </w:rPr>
        <w:t>Remains</w:t>
      </w:r>
      <w:r>
        <w:rPr>
          <w:kern w:val="0"/>
        </w:rPr>
        <w:t xml:space="preserve">, </w:t>
      </w:r>
      <w:r w:rsidRPr="00A5601E">
        <w:rPr>
          <w:kern w:val="0"/>
        </w:rPr>
        <w:t>Research</w:t>
      </w:r>
      <w:r>
        <w:rPr>
          <w:kern w:val="0"/>
        </w:rPr>
        <w:t xml:space="preserve">, </w:t>
      </w:r>
      <w:r w:rsidRPr="00A5601E">
        <w:rPr>
          <w:kern w:val="0"/>
        </w:rPr>
        <w:t>Research Papers</w:t>
      </w:r>
      <w:r>
        <w:rPr>
          <w:kern w:val="0"/>
        </w:rPr>
        <w:t xml:space="preserve">, </w:t>
      </w:r>
      <w:r w:rsidRPr="00A5601E">
        <w:rPr>
          <w:kern w:val="0"/>
        </w:rPr>
        <w:t>Retention</w:t>
      </w:r>
      <w:r>
        <w:rPr>
          <w:kern w:val="0"/>
        </w:rPr>
        <w:t xml:space="preserve">, </w:t>
      </w:r>
      <w:r w:rsidRPr="00A5601E">
        <w:rPr>
          <w:kern w:val="0"/>
        </w:rPr>
        <w:t>Scientific Literature</w:t>
      </w:r>
      <w:r>
        <w:rPr>
          <w:kern w:val="0"/>
        </w:rPr>
        <w:t xml:space="preserve">, </w:t>
      </w:r>
      <w:r w:rsidRPr="00A5601E">
        <w:rPr>
          <w:kern w:val="0"/>
        </w:rPr>
        <w:t>Skeleton</w:t>
      </w:r>
      <w:r>
        <w:rPr>
          <w:kern w:val="0"/>
        </w:rPr>
        <w:t xml:space="preserve">, </w:t>
      </w:r>
      <w:r w:rsidRPr="00A5601E">
        <w:rPr>
          <w:kern w:val="0"/>
        </w:rPr>
        <w:t>Treatment</w:t>
      </w:r>
      <w:r>
        <w:rPr>
          <w:kern w:val="0"/>
        </w:rPr>
        <w:t xml:space="preserve">, </w:t>
      </w:r>
      <w:r w:rsidRPr="00A5601E">
        <w:rPr>
          <w:kern w:val="0"/>
        </w:rPr>
        <w:t>Trends</w:t>
      </w:r>
      <w:r>
        <w:rPr>
          <w:kern w:val="0"/>
        </w:rPr>
        <w:t xml:space="preserve">, </w:t>
      </w:r>
      <w:r w:rsidRPr="00A5601E">
        <w:rPr>
          <w:kern w:val="0"/>
        </w:rPr>
        <w:t>UK</w:t>
      </w:r>
    </w:p>
    <w:p w:rsidR="00B95188" w:rsidRPr="00A428C3" w:rsidRDefault="00B95188" w:rsidP="00B95188">
      <w:pPr>
        <w:pStyle w:val="1"/>
      </w:pPr>
      <w:r w:rsidRPr="00A428C3">
        <w:br w:type="page"/>
      </w:r>
      <w:bookmarkStart w:id="1445" w:name="_Toc489709763"/>
      <w:bookmarkStart w:id="1446" w:name="_Toc490688073"/>
      <w:bookmarkStart w:id="1447" w:name="_Toc492812186"/>
      <w:bookmarkStart w:id="1448" w:name="_Toc186647942"/>
      <w:bookmarkStart w:id="1449" w:name="_Toc317161344"/>
      <w:r w:rsidRPr="00A428C3">
        <w:lastRenderedPageBreak/>
        <w:t xml:space="preserve">Title: </w:t>
      </w:r>
      <w:bookmarkEnd w:id="1445"/>
      <w:bookmarkEnd w:id="1446"/>
      <w:bookmarkEnd w:id="1447"/>
      <w:r w:rsidRPr="00A428C3">
        <w:t>International Journal for Parasitology</w:t>
      </w:r>
      <w:bookmarkEnd w:id="1448"/>
      <w:bookmarkEnd w:id="1449"/>
    </w:p>
    <w:p w:rsidR="00B95188" w:rsidRPr="00A428C3" w:rsidRDefault="00B95188" w:rsidP="00B72EF9">
      <w:pPr>
        <w:pStyle w:val="12"/>
      </w:pPr>
      <w:r w:rsidRPr="00A428C3">
        <w:t>Full Journal Title: International Journal for Parasitology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Lukashenko, N.P. (1971), Problems of epidemiology</w:t>
      </w:r>
      <w:r w:rsidR="00F81221">
        <w:t xml:space="preserve"> and </w:t>
      </w:r>
      <w:r w:rsidRPr="00A428C3">
        <w:t xml:space="preserve">prophylaxis of alveococcosis (multilocular echinococcosis): A general review––with particular reference to the U.S.S.R. </w:t>
      </w:r>
      <w:r w:rsidRPr="00A428C3">
        <w:rPr>
          <w:i/>
          <w:iCs/>
        </w:rPr>
        <w:t>International Journal for Parasitology</w:t>
      </w:r>
      <w:r w:rsidRPr="00A428C3">
        <w:t xml:space="preserve">, </w:t>
      </w:r>
      <w:r w:rsidRPr="00A428C3">
        <w:rPr>
          <w:b/>
        </w:rPr>
        <w:t>1</w:t>
      </w:r>
      <w:r w:rsidRPr="00A428C3">
        <w:t xml:space="preserve"> (2), 125-134.</w:t>
      </w:r>
    </w:p>
    <w:p w:rsidR="00B95188" w:rsidRPr="00A428C3" w:rsidRDefault="00B95188" w:rsidP="00B95188">
      <w:pPr>
        <w:pStyle w:val="a0"/>
      </w:pPr>
      <w:r w:rsidRPr="00A428C3">
        <w:t xml:space="preserve">Full Text: </w:t>
      </w:r>
      <w:hyperlink r:id="rId2021" w:history="1">
        <w:r w:rsidRPr="00A428C3">
          <w:rPr>
            <w:rStyle w:val="a5"/>
          </w:rPr>
          <w:t>I\Int J Par1, 125.pdf</w:t>
        </w:r>
      </w:hyperlink>
    </w:p>
    <w:p w:rsidR="00B95188" w:rsidRPr="00A428C3" w:rsidRDefault="00B95188" w:rsidP="00B95188">
      <w:pPr>
        <w:pStyle w:val="a0"/>
      </w:pPr>
      <w:r w:rsidRPr="00A428C3">
        <w:t>Abstract: Lukashenko N.P., 1971. Problems of epidemiology</w:t>
      </w:r>
      <w:r w:rsidR="00F81221">
        <w:t xml:space="preserve"> and </w:t>
      </w:r>
      <w:r w:rsidRPr="00A428C3">
        <w:t xml:space="preserve">prophylaxis of alveococcosis (multilocular echinococcosis): a general review––with particular reference to the U.S.S.R. </w:t>
      </w:r>
      <w:r w:rsidRPr="00A428C3">
        <w:rPr>
          <w:i/>
          <w:iCs/>
        </w:rPr>
        <w:t>International Journal for Parasitology</w:t>
      </w:r>
      <w:r w:rsidRPr="00A428C3">
        <w:t xml:space="preserve">, 1: 125–134. </w:t>
      </w:r>
      <w:r w:rsidRPr="00A428C3">
        <w:rPr>
          <w:i/>
          <w:iCs/>
        </w:rPr>
        <w:t>Alveococcus multilocularis</w:t>
      </w:r>
      <w:r w:rsidRPr="00A428C3">
        <w:t xml:space="preserve"> is an extremely dangerous, often fatal, parasite of man. The main endemic areas are southern G.F.R., </w:t>
      </w:r>
      <w:smartTag w:uri="urn:schemas-microsoft-com:office:smarttags" w:element="country-region">
        <w:r w:rsidRPr="00A428C3">
          <w:t>Austria</w:t>
        </w:r>
      </w:smartTag>
      <w:r w:rsidRPr="00A428C3">
        <w:t xml:space="preserve">, </w:t>
      </w:r>
      <w:smartTag w:uri="urn:schemas-microsoft-com:office:smarttags" w:element="country-region">
        <w:r w:rsidRPr="00A428C3">
          <w:t>Switzerland</w:t>
        </w:r>
      </w:smartTag>
      <w:r w:rsidRPr="00A428C3">
        <w:t xml:space="preserve">, northern </w:t>
      </w:r>
      <w:smartTag w:uri="urn:schemas-microsoft-com:office:smarttags" w:element="country-region">
        <w:r w:rsidRPr="00A428C3">
          <w:t>U.S.A.</w:t>
        </w:r>
      </w:smartTag>
      <w:r w:rsidRPr="00A428C3">
        <w:t>, Canada</w:t>
      </w:r>
      <w:r w:rsidR="00F81221">
        <w:t xml:space="preserve"> and </w:t>
      </w:r>
      <w:r w:rsidRPr="00A428C3">
        <w:t xml:space="preserve">Japan. The circulation of </w:t>
      </w:r>
      <w:r w:rsidRPr="00A428C3">
        <w:rPr>
          <w:i/>
          <w:iCs/>
        </w:rPr>
        <w:t>Alveococcus</w:t>
      </w:r>
      <w:r w:rsidRPr="00A428C3">
        <w:t xml:space="preserve"> depends on complex biocenotic relationships between certain carnivores</w:t>
      </w:r>
      <w:r w:rsidR="00F81221">
        <w:t xml:space="preserve"> and </w:t>
      </w:r>
      <w:r w:rsidRPr="00A428C3">
        <w:t>numerous microtine rodents. Their roles vary widely according to terrain, reproduction, season, epizootics, animals of prey</w:t>
      </w:r>
      <w:r w:rsidR="00F81221">
        <w:t xml:space="preserve"> and </w:t>
      </w:r>
      <w:r w:rsidRPr="00A428C3">
        <w:t>interspecific rivalry. The infection rate of definitive hosts each year depends on the prevailing numbers of intermediate hosts in the corresponding biotope,</w:t>
      </w:r>
      <w:r w:rsidR="00F81221">
        <w:t xml:space="preserve"> and </w:t>
      </w:r>
      <w:r w:rsidRPr="00A428C3">
        <w:t>vice versa. The significance of the fox, polar fox, dog fox, wolf</w:t>
      </w:r>
      <w:r w:rsidR="00F81221">
        <w:t xml:space="preserve"> and </w:t>
      </w:r>
      <w:r w:rsidRPr="00A428C3">
        <w:t>spotted cat as definitive hosts is considered. Twenty-nine species of rodents have been recorded as intermediate hosts but the roles of insectivores appear insignificant, while those of birds</w:t>
      </w:r>
      <w:r w:rsidR="00F81221">
        <w:t xml:space="preserve"> and </w:t>
      </w:r>
      <w:r w:rsidRPr="00A428C3">
        <w:t xml:space="preserve">wild ungulates have yet to be studied. Domestic ungulates probably do not take part in the life-cycle of </w:t>
      </w:r>
      <w:r w:rsidRPr="00A428C3">
        <w:rPr>
          <w:i/>
          <w:iCs/>
        </w:rPr>
        <w:t>A. multilocularis</w:t>
      </w:r>
      <w:r w:rsidRPr="00A428C3">
        <w:t>. Domestic cats</w:t>
      </w:r>
      <w:r w:rsidR="00F81221">
        <w:t xml:space="preserve"> and </w:t>
      </w:r>
      <w:r w:rsidRPr="00A428C3">
        <w:t>dogs may be involved accidentally. The role of synanthropic rodents has not yet been fully elucidated but house mice show a high degree of infectivity. Human infection is influenced by ecological factors, living conditions, occupation</w:t>
      </w:r>
      <w:r w:rsidR="00F81221">
        <w:t xml:space="preserve"> and </w:t>
      </w:r>
      <w:r w:rsidRPr="00A428C3">
        <w:t>level of hygiene practised: dangerous sources of infection are team dogs, unboiled drinking water from melted ice, the skins of fur animals</w:t>
      </w:r>
      <w:r w:rsidR="00F81221">
        <w:t xml:space="preserve"> and </w:t>
      </w:r>
      <w:r w:rsidRPr="00A428C3">
        <w:t>possibly insects. Secondary sources are other contaminated waters, dust, wild berries</w:t>
      </w:r>
      <w:r w:rsidR="00F81221">
        <w:t xml:space="preserve"> and </w:t>
      </w:r>
      <w:r w:rsidRPr="00A428C3">
        <w:t xml:space="preserve">possibly vegetables. Data on the </w:t>
      </w:r>
      <w:r w:rsidRPr="00A428C3">
        <w:lastRenderedPageBreak/>
        <w:t>incidence of alveococcosis according to sex is contradictory; the differences between the infection rates of men</w:t>
      </w:r>
      <w:r w:rsidR="00F81221">
        <w:t xml:space="preserve"> and </w:t>
      </w:r>
      <w:r w:rsidRPr="00A428C3">
        <w:t>women in different regions almost certainly depend on their several modes of life</w:t>
      </w:r>
      <w:r w:rsidR="00F81221">
        <w:t xml:space="preserve"> and </w:t>
      </w:r>
      <w:hyperlink r:id="rId2022" w:anchor="hit5" w:history="1"/>
      <w:r w:rsidRPr="00A428C3">
        <w:t>occupations. The majority of diseased persons are between 19</w:t>
      </w:r>
      <w:r w:rsidR="00F81221">
        <w:t xml:space="preserve"> and </w:t>
      </w:r>
      <w:r w:rsidRPr="00A428C3">
        <w:t>40 years old; infection probably takes place during childhood</w:t>
      </w:r>
      <w:r w:rsidR="00F81221">
        <w:t xml:space="preserve"> and </w:t>
      </w:r>
      <w:r w:rsidRPr="00A428C3">
        <w:t>is fatal before old age. Prophylactic measures differ markedly from those for (unilocular) echinococcosis,</w:t>
      </w:r>
      <w:r w:rsidR="00F81221">
        <w:t xml:space="preserve"> and </w:t>
      </w:r>
      <w:r w:rsidRPr="00A428C3">
        <w:t>must be directed towards eliminating the possibility of infecting definitive hosts</w:t>
      </w:r>
      <w:r w:rsidR="00F81221">
        <w:t xml:space="preserve"> and </w:t>
      </w:r>
      <w:r w:rsidRPr="00A428C3">
        <w:t>towards increased hygiene education.</w:t>
      </w:r>
    </w:p>
    <w:p w:rsidR="00B95188" w:rsidRPr="00A428C3" w:rsidRDefault="00B95188" w:rsidP="00B95188">
      <w:pPr>
        <w:pStyle w:val="a0"/>
      </w:pPr>
      <w:r w:rsidRPr="00A428C3">
        <w:t xml:space="preserve">Keywords: Epidemiology, Prophylaxis, </w:t>
      </w:r>
      <w:r w:rsidRPr="00A428C3">
        <w:rPr>
          <w:i/>
          <w:iCs/>
        </w:rPr>
        <w:t>Echinococcus Multilocularis</w:t>
      </w:r>
      <w:r w:rsidRPr="00A428C3">
        <w:t xml:space="preserve">, </w:t>
      </w:r>
      <w:r w:rsidRPr="00A428C3">
        <w:rPr>
          <w:i/>
          <w:iCs/>
        </w:rPr>
        <w:t>Alveococcus Multilocularis</w:t>
      </w:r>
      <w:r w:rsidRPr="00A428C3">
        <w:t>, Echinococcosis, Alveococcosis, U.S.S.R., Distribution</w:t>
      </w:r>
    </w:p>
    <w:p w:rsidR="006A6519" w:rsidRPr="001A3D2B" w:rsidRDefault="006A6519" w:rsidP="006A6519">
      <w:pPr>
        <w:pStyle w:val="1"/>
      </w:pPr>
      <w:r w:rsidRPr="001A3D2B">
        <w:br w:type="page"/>
      </w:r>
      <w:bookmarkStart w:id="1450" w:name="_Toc317161345"/>
      <w:r w:rsidRPr="001A3D2B">
        <w:lastRenderedPageBreak/>
        <w:t xml:space="preserve">Title: </w:t>
      </w:r>
      <w:r w:rsidRPr="00402C49">
        <w:rPr>
          <w:iCs/>
        </w:rPr>
        <w:t>International Journal of Pediatric Otorhinolaryngology</w:t>
      </w:r>
      <w:bookmarkEnd w:id="1450"/>
    </w:p>
    <w:p w:rsidR="006A6519" w:rsidRPr="001A3D2B" w:rsidRDefault="006A6519" w:rsidP="006A6519">
      <w:pPr>
        <w:pStyle w:val="12"/>
      </w:pPr>
      <w:r w:rsidRPr="001A3D2B">
        <w:t xml:space="preserve">Full Journal Title: </w:t>
      </w:r>
      <w:r w:rsidRPr="00402C49">
        <w:rPr>
          <w:iCs/>
        </w:rPr>
        <w:t>International Journal of Pediatric Otorhinolaryngology</w:t>
      </w:r>
    </w:p>
    <w:p w:rsidR="006A6519" w:rsidRPr="001A3D2B" w:rsidRDefault="006A6519" w:rsidP="006A6519">
      <w:pPr>
        <w:pStyle w:val="12"/>
      </w:pPr>
      <w:r w:rsidRPr="001A3D2B">
        <w:t xml:space="preserve">ISO Abbreviated Title: </w:t>
      </w:r>
    </w:p>
    <w:p w:rsidR="006A6519" w:rsidRPr="001A3D2B" w:rsidRDefault="006A6519" w:rsidP="006A6519">
      <w:pPr>
        <w:pStyle w:val="12"/>
      </w:pPr>
      <w:r w:rsidRPr="001A3D2B">
        <w:t xml:space="preserve">JCR Abbreviated Title: </w:t>
      </w:r>
    </w:p>
    <w:p w:rsidR="006A6519" w:rsidRPr="001A3D2B" w:rsidRDefault="006A6519" w:rsidP="006A6519">
      <w:pPr>
        <w:pStyle w:val="12"/>
      </w:pPr>
      <w:r>
        <w:t xml:space="preserve">ISSN: </w:t>
      </w:r>
    </w:p>
    <w:p w:rsidR="006A6519" w:rsidRPr="001A3D2B" w:rsidRDefault="006A6519" w:rsidP="006A6519">
      <w:pPr>
        <w:pStyle w:val="12"/>
      </w:pPr>
      <w:r w:rsidRPr="001A3D2B">
        <w:t xml:space="preserve">Issues/Year: </w:t>
      </w:r>
    </w:p>
    <w:p w:rsidR="006A6519" w:rsidRPr="001A3D2B" w:rsidRDefault="006A6519" w:rsidP="006A6519">
      <w:pPr>
        <w:pStyle w:val="12"/>
      </w:pPr>
      <w:r w:rsidRPr="001A3D2B">
        <w:t xml:space="preserve">Journal Country/Territory: </w:t>
      </w:r>
    </w:p>
    <w:p w:rsidR="006A6519" w:rsidRPr="001A3D2B" w:rsidRDefault="006A6519" w:rsidP="006A6519">
      <w:pPr>
        <w:pStyle w:val="12"/>
      </w:pPr>
      <w:r w:rsidRPr="001A3D2B">
        <w:t xml:space="preserve">Language: </w:t>
      </w:r>
    </w:p>
    <w:p w:rsidR="006A6519" w:rsidRPr="001A3D2B" w:rsidRDefault="006A6519" w:rsidP="006A6519">
      <w:pPr>
        <w:pStyle w:val="12"/>
      </w:pPr>
      <w:r w:rsidRPr="001A3D2B">
        <w:t xml:space="preserve">Publisher: </w:t>
      </w:r>
    </w:p>
    <w:p w:rsidR="006A6519" w:rsidRPr="001A3D2B" w:rsidRDefault="006A6519" w:rsidP="006A6519">
      <w:pPr>
        <w:pStyle w:val="12"/>
      </w:pPr>
      <w:r w:rsidRPr="001A3D2B">
        <w:t xml:space="preserve">Publisher Address: </w:t>
      </w:r>
    </w:p>
    <w:p w:rsidR="006A6519" w:rsidRPr="001A3D2B" w:rsidRDefault="006A6519" w:rsidP="006A6519">
      <w:pPr>
        <w:pStyle w:val="12"/>
      </w:pPr>
      <w:r w:rsidRPr="001A3D2B">
        <w:t>Subject Categories:</w:t>
      </w:r>
    </w:p>
    <w:p w:rsidR="006A6519" w:rsidRPr="001A3D2B" w:rsidRDefault="006A6519" w:rsidP="006A6519">
      <w:pPr>
        <w:pStyle w:val="12"/>
      </w:pPr>
      <w:r w:rsidRPr="001A3D2B">
        <w:t>: Impact Factor</w:t>
      </w:r>
    </w:p>
    <w:p w:rsidR="003E7D54" w:rsidRDefault="003E7D54" w:rsidP="003E7D54">
      <w:pPr>
        <w:pStyle w:val="a0"/>
        <w:rPr>
          <w:kern w:val="0"/>
        </w:rPr>
      </w:pPr>
      <w:r>
        <w:rPr>
          <w:kern w:val="0"/>
        </w:rPr>
        <w:t>? Lin, F.R.</w:t>
      </w:r>
      <w:r w:rsidR="00F81221">
        <w:rPr>
          <w:kern w:val="0"/>
        </w:rPr>
        <w:t xml:space="preserve"> and </w:t>
      </w:r>
      <w:r>
        <w:rPr>
          <w:kern w:val="0"/>
        </w:rPr>
        <w:t xml:space="preserve">Niparko, J.K. (2006), Measuring health-related quality of life after pediatric cochlear implantation: A systematic review. </w:t>
      </w:r>
      <w:r>
        <w:rPr>
          <w:i/>
          <w:iCs/>
          <w:kern w:val="0"/>
        </w:rPr>
        <w:t>International Journal of Pediatric Otorhinolaryngology</w:t>
      </w:r>
      <w:r>
        <w:rPr>
          <w:kern w:val="0"/>
        </w:rPr>
        <w:t xml:space="preserve">, </w:t>
      </w:r>
      <w:r>
        <w:rPr>
          <w:b/>
          <w:bCs/>
          <w:kern w:val="0"/>
        </w:rPr>
        <w:t>70</w:t>
      </w:r>
      <w:r>
        <w:rPr>
          <w:kern w:val="0"/>
        </w:rPr>
        <w:t xml:space="preserve"> (10), 1695-1706.</w:t>
      </w:r>
    </w:p>
    <w:p w:rsidR="003E7D54" w:rsidRDefault="003E7D54" w:rsidP="003E7D54">
      <w:pPr>
        <w:pStyle w:val="a0"/>
        <w:rPr>
          <w:kern w:val="0"/>
        </w:rPr>
      </w:pPr>
      <w:r>
        <w:rPr>
          <w:kern w:val="0"/>
        </w:rPr>
        <w:t>Full Text: 2006\Int J Ped Oto70, 1695.pdf</w:t>
      </w:r>
    </w:p>
    <w:p w:rsidR="003E7D54" w:rsidRDefault="003E7D54" w:rsidP="003E7D54">
      <w:pPr>
        <w:pStyle w:val="a0"/>
        <w:rPr>
          <w:kern w:val="0"/>
        </w:rPr>
      </w:pPr>
      <w:r>
        <w:rPr>
          <w:kern w:val="0"/>
        </w:rPr>
        <w:t>Abstract: Objective: The measurement of health-related quality of life (HRQL) in children presents conceptual</w:t>
      </w:r>
      <w:r w:rsidR="00F81221">
        <w:rPr>
          <w:kern w:val="0"/>
        </w:rPr>
        <w:t xml:space="preserve"> and </w:t>
      </w:r>
      <w:r>
        <w:rPr>
          <w:kern w:val="0"/>
        </w:rPr>
        <w:t>methodological challenges owing to the multidimensionality of the required information</w:t>
      </w:r>
      <w:r w:rsidR="00F81221">
        <w:rPr>
          <w:kern w:val="0"/>
        </w:rPr>
        <w:t xml:space="preserve"> and </w:t>
      </w:r>
      <w:r>
        <w:rPr>
          <w:kern w:val="0"/>
        </w:rPr>
        <w:t>limitations in patient self-report. HRQL results provide a broad measure of treatment impact from the patient</w:t>
      </w:r>
      <w:r w:rsidR="00F81221">
        <w:rPr>
          <w:kern w:val="0"/>
        </w:rPr>
        <w:t xml:space="preserve"> and </w:t>
      </w:r>
      <w:r>
        <w:rPr>
          <w:kern w:val="0"/>
        </w:rPr>
        <w:t>family perspective</w:t>
      </w:r>
      <w:r w:rsidR="00F81221">
        <w:rPr>
          <w:kern w:val="0"/>
        </w:rPr>
        <w:t xml:space="preserve"> and </w:t>
      </w:r>
      <w:r>
        <w:rPr>
          <w:kern w:val="0"/>
        </w:rPr>
        <w:t>are crucial to guiding clinical</w:t>
      </w:r>
      <w:r w:rsidR="00F81221">
        <w:rPr>
          <w:kern w:val="0"/>
        </w:rPr>
        <w:t xml:space="preserve"> and </w:t>
      </w:r>
      <w:r>
        <w:rPr>
          <w:kern w:val="0"/>
        </w:rPr>
        <w:t>policy decisions. The objective of this study was to evaluate how HRQL in children with cochlear implants has been measured in published studies in order to draw conclusions that could inform future investigations of this area of clinical research. Methods: We searched PUBMED, EMBASE, CINAHL, PsychoInfo,</w:t>
      </w:r>
      <w:r w:rsidR="00F81221">
        <w:rPr>
          <w:kern w:val="0"/>
        </w:rPr>
        <w:t xml:space="preserve"> and </w:t>
      </w:r>
      <w:r>
        <w:rPr>
          <w:kern w:val="0"/>
        </w:rPr>
        <w:t>Web of Science databases using a defined search string</w:t>
      </w:r>
      <w:r w:rsidR="00F81221">
        <w:rPr>
          <w:kern w:val="0"/>
        </w:rPr>
        <w:t xml:space="preserve"> and </w:t>
      </w:r>
      <w:r>
        <w:rPr>
          <w:kern w:val="0"/>
        </w:rPr>
        <w:t>hand-searched reference lists of relevant articles</w:t>
      </w:r>
      <w:r w:rsidR="00F81221">
        <w:rPr>
          <w:kern w:val="0"/>
        </w:rPr>
        <w:t xml:space="preserve"> and </w:t>
      </w:r>
      <w:r>
        <w:rPr>
          <w:kern w:val="0"/>
        </w:rPr>
        <w:t>personal files. Retrieved citations were reviewed in two stages, a title</w:t>
      </w:r>
      <w:r w:rsidR="00F81221">
        <w:rPr>
          <w:kern w:val="0"/>
        </w:rPr>
        <w:t xml:space="preserve"> and </w:t>
      </w:r>
      <w:r>
        <w:rPr>
          <w:kern w:val="0"/>
        </w:rPr>
        <w:t>abstract screen followed by review of the full-length article. Inclusion criteria for studies were: (1) original peer-reviewed research article; (2) enrolled subjects &lt; 18 years old with cochlear implants; (3) use of a HRQL instrument that incorporated components of physical, mental,</w:t>
      </w:r>
      <w:r w:rsidR="00F81221">
        <w:rPr>
          <w:kern w:val="0"/>
        </w:rPr>
        <w:t xml:space="preserve"> and </w:t>
      </w:r>
      <w:r>
        <w:rPr>
          <w:kern w:val="0"/>
        </w:rPr>
        <w:t>social health;</w:t>
      </w:r>
      <w:r w:rsidR="00F81221">
        <w:rPr>
          <w:kern w:val="0"/>
        </w:rPr>
        <w:t xml:space="preserve"> and </w:t>
      </w:r>
      <w:r>
        <w:rPr>
          <w:kern w:val="0"/>
        </w:rPr>
        <w:t>(4) in English. Data from full-length articles were extracted by a single-investigator. Results: We retrieved 671 citations with our search strategy,</w:t>
      </w:r>
      <w:r w:rsidR="00F81221">
        <w:rPr>
          <w:kern w:val="0"/>
        </w:rPr>
        <w:t xml:space="preserve"> and </w:t>
      </w:r>
      <w:r>
        <w:rPr>
          <w:kern w:val="0"/>
        </w:rPr>
        <w:t>10 citations were found to be eligible for inclusion. All studies used a cross-sectional design,</w:t>
      </w:r>
      <w:r w:rsidR="00F81221">
        <w:rPr>
          <w:kern w:val="0"/>
        </w:rPr>
        <w:t xml:space="preserve"> and </w:t>
      </w:r>
      <w:r>
        <w:rPr>
          <w:kern w:val="0"/>
        </w:rPr>
        <w:t>three types of HRQL instruments were used: generic questionnaires, ad hoc instruments designed specifically for the purposes of the study,</w:t>
      </w:r>
      <w:r w:rsidR="00F81221">
        <w:rPr>
          <w:kern w:val="0"/>
        </w:rPr>
        <w:t xml:space="preserve"> and </w:t>
      </w:r>
      <w:r>
        <w:rPr>
          <w:kern w:val="0"/>
        </w:rPr>
        <w:t>the parents views</w:t>
      </w:r>
      <w:r w:rsidR="00F81221">
        <w:rPr>
          <w:kern w:val="0"/>
        </w:rPr>
        <w:t xml:space="preserve"> and </w:t>
      </w:r>
      <w:r>
        <w:rPr>
          <w:kern w:val="0"/>
        </w:rPr>
        <w:t>experiences with pediatric Cl questionnaire. Heterogeneity in study design</w:t>
      </w:r>
      <w:r w:rsidR="00F81221">
        <w:rPr>
          <w:kern w:val="0"/>
        </w:rPr>
        <w:t xml:space="preserve"> and </w:t>
      </w:r>
      <w:r>
        <w:rPr>
          <w:kern w:val="0"/>
        </w:rPr>
        <w:t xml:space="preserve">instruments prevented a </w:t>
      </w:r>
      <w:r>
        <w:rPr>
          <w:kern w:val="0"/>
        </w:rPr>
        <w:lastRenderedPageBreak/>
        <w:t>quantitative, meta-analysis of the data. Conclusions: Studies that used well-validated, generic HRQL instruments supported conclusions that were less subject to potential bias from the perspective of the clinician investigator. Most studies did not use well-defined cohorts with respect to age at implantation</w:t>
      </w:r>
      <w:r w:rsidR="00F81221">
        <w:rPr>
          <w:kern w:val="0"/>
        </w:rPr>
        <w:t xml:space="preserve"> and </w:t>
      </w:r>
      <w:r>
        <w:rPr>
          <w:kern w:val="0"/>
        </w:rPr>
        <w:t>duration of implant use,</w:t>
      </w:r>
      <w:r w:rsidR="00F81221">
        <w:rPr>
          <w:kern w:val="0"/>
        </w:rPr>
        <w:t xml:space="preserve"> and </w:t>
      </w:r>
      <w:r>
        <w:rPr>
          <w:kern w:val="0"/>
        </w:rPr>
        <w:t>conclusions in these studies were also subject to potential bias. No well-validated, deafness-specific HRQL instruments are currently available. Future research should be done with existing, generic HRQL instruments</w:t>
      </w:r>
      <w:r w:rsidR="00F81221">
        <w:rPr>
          <w:kern w:val="0"/>
        </w:rPr>
        <w:t xml:space="preserve"> and </w:t>
      </w:r>
      <w:r>
        <w:rPr>
          <w:kern w:val="0"/>
        </w:rPr>
        <w:t>with strict study inclusion criteria. Suggested generic HRQL instruments are discussed. (C) 2006 Elsevier Ireland Ltd. All rights reserved.</w:t>
      </w:r>
    </w:p>
    <w:p w:rsidR="003E7D54" w:rsidRDefault="003E7D54" w:rsidP="003E7D54">
      <w:pPr>
        <w:pStyle w:val="a0"/>
        <w:rPr>
          <w:kern w:val="0"/>
        </w:rPr>
      </w:pPr>
      <w:r>
        <w:rPr>
          <w:kern w:val="0"/>
        </w:rPr>
        <w:t>Keywords: Achievement, Bias, Children, Citations, Clinical Research, Databases, Deaf-Children, Embase, Health-Related Quality of Life, Impact, Implants, Information, Language, Measurement, Meta-Analysis, Methodology, Methods, Outcomes, Outcomes, Parents, Pediatric, Pediatric Cochlear Implantation, Policy, Pubmed, Quality of Life, Quantitative, Questionnaire, Questionnaires, Recipients, Research, Review, Science, Social, State Preferences, Strategy, Systematic, Systematic Review, Technology, Treatment, Web of Science</w:t>
      </w:r>
    </w:p>
    <w:p w:rsidR="00E176A1" w:rsidRDefault="00E176A1" w:rsidP="00E176A1">
      <w:pPr>
        <w:pStyle w:val="a0"/>
        <w:rPr>
          <w:kern w:val="0"/>
        </w:rPr>
      </w:pPr>
      <w:r>
        <w:rPr>
          <w:rFonts w:hint="eastAsia"/>
          <w:kern w:val="0"/>
        </w:rPr>
        <w:t xml:space="preserve">? </w:t>
      </w:r>
      <w:r>
        <w:rPr>
          <w:kern w:val="0"/>
        </w:rPr>
        <w:t>Ruben, R.J. (2009), The most cited</w:t>
      </w:r>
      <w:r w:rsidR="00F81221">
        <w:rPr>
          <w:kern w:val="0"/>
        </w:rPr>
        <w:t xml:space="preserve"> and </w:t>
      </w:r>
      <w:r>
        <w:rPr>
          <w:kern w:val="0"/>
        </w:rPr>
        <w:t xml:space="preserve">requested articles published in the </w:t>
      </w:r>
      <w:r w:rsidRPr="00E176A1">
        <w:rPr>
          <w:i/>
          <w:kern w:val="0"/>
        </w:rPr>
        <w:t>International Journal of Pediatric Otorhinolaryngology</w:t>
      </w:r>
      <w:r>
        <w:rPr>
          <w:kern w:val="0"/>
        </w:rPr>
        <w:t xml:space="preserve"> discussion. </w:t>
      </w:r>
      <w:r>
        <w:rPr>
          <w:i/>
          <w:iCs/>
          <w:kern w:val="0"/>
        </w:rPr>
        <w:t>International Journal of Pediatric Otorhinolaryngology</w:t>
      </w:r>
      <w:r>
        <w:rPr>
          <w:kern w:val="0"/>
        </w:rPr>
        <w:t xml:space="preserve">, </w:t>
      </w:r>
      <w:r>
        <w:rPr>
          <w:b/>
          <w:bCs/>
          <w:kern w:val="0"/>
        </w:rPr>
        <w:t>73</w:t>
      </w:r>
      <w:r>
        <w:rPr>
          <w:kern w:val="0"/>
        </w:rPr>
        <w:t xml:space="preserve"> (4), 513-522</w:t>
      </w:r>
      <w:r w:rsidR="00BE5031">
        <w:rPr>
          <w:rFonts w:hint="eastAsia"/>
          <w:kern w:val="0"/>
        </w:rPr>
        <w:t>.</w:t>
      </w:r>
    </w:p>
    <w:p w:rsidR="00E176A1" w:rsidRDefault="00E176A1" w:rsidP="00E176A1">
      <w:pPr>
        <w:pStyle w:val="a0"/>
        <w:rPr>
          <w:kern w:val="0"/>
        </w:rPr>
      </w:pPr>
      <w:r>
        <w:rPr>
          <w:rFonts w:hint="eastAsia"/>
          <w:kern w:val="0"/>
        </w:rPr>
        <w:t xml:space="preserve">Full Text: </w:t>
      </w:r>
      <w:hyperlink r:id="rId2023" w:history="1">
        <w:r w:rsidRPr="00C9086E">
          <w:rPr>
            <w:rStyle w:val="a5"/>
            <w:kern w:val="0"/>
          </w:rPr>
          <w:t>2009\Int J Ped Oto73, 513.pdf</w:t>
        </w:r>
      </w:hyperlink>
    </w:p>
    <w:p w:rsidR="00E176A1" w:rsidRDefault="00E176A1" w:rsidP="00E176A1">
      <w:pPr>
        <w:pStyle w:val="a0"/>
        <w:rPr>
          <w:kern w:val="0"/>
        </w:rPr>
      </w:pPr>
      <w:r>
        <w:rPr>
          <w:kern w:val="0"/>
        </w:rPr>
        <w:t>Keywords: Children</w:t>
      </w:r>
    </w:p>
    <w:p w:rsidR="006A6519" w:rsidRDefault="006A6519" w:rsidP="006A6519">
      <w:pPr>
        <w:pStyle w:val="a0"/>
        <w:rPr>
          <w:kern w:val="0"/>
        </w:rPr>
      </w:pPr>
      <w:r>
        <w:rPr>
          <w:rFonts w:hint="eastAsia"/>
          <w:kern w:val="0"/>
        </w:rPr>
        <w:t xml:space="preserve">? </w:t>
      </w:r>
      <w:r>
        <w:rPr>
          <w:kern w:val="0"/>
        </w:rPr>
        <w:t>Foltran, F., Gregori, D.</w:t>
      </w:r>
      <w:r w:rsidR="00F81221">
        <w:rPr>
          <w:kern w:val="0"/>
        </w:rPr>
        <w:t xml:space="preserve"> and </w:t>
      </w:r>
      <w:r>
        <w:rPr>
          <w:kern w:val="0"/>
        </w:rPr>
        <w:t xml:space="preserve">Passali, D. (2011), Foreign bodies inhalation as a research field: What can we learn from a bibliometric perspective over 30 years of literature? </w:t>
      </w:r>
      <w:r w:rsidRPr="00402C49">
        <w:rPr>
          <w:i/>
          <w:iCs/>
          <w:kern w:val="0"/>
        </w:rPr>
        <w:t>International Journal of Pediatric Otorhinolaryngology</w:t>
      </w:r>
      <w:r>
        <w:rPr>
          <w:kern w:val="0"/>
        </w:rPr>
        <w:t xml:space="preserve">, </w:t>
      </w:r>
      <w:r>
        <w:rPr>
          <w:b/>
          <w:bCs/>
          <w:kern w:val="0"/>
        </w:rPr>
        <w:t>75</w:t>
      </w:r>
      <w:r>
        <w:rPr>
          <w:kern w:val="0"/>
        </w:rPr>
        <w:t xml:space="preserve"> (5), 721-722</w:t>
      </w:r>
      <w:r>
        <w:rPr>
          <w:rFonts w:hint="eastAsia"/>
          <w:kern w:val="0"/>
        </w:rPr>
        <w:t>.</w:t>
      </w:r>
    </w:p>
    <w:p w:rsidR="006A6519" w:rsidRDefault="006A6519" w:rsidP="006A6519">
      <w:pPr>
        <w:pStyle w:val="a0"/>
        <w:rPr>
          <w:kern w:val="0"/>
        </w:rPr>
      </w:pPr>
      <w:r>
        <w:rPr>
          <w:rFonts w:hint="eastAsia"/>
          <w:kern w:val="0"/>
        </w:rPr>
        <w:t xml:space="preserve">Full Text: </w:t>
      </w:r>
      <w:hyperlink r:id="rId2024" w:history="1">
        <w:r w:rsidRPr="00402C49">
          <w:rPr>
            <w:rStyle w:val="a5"/>
            <w:kern w:val="0"/>
          </w:rPr>
          <w:t>2011\Int J Ped Oto75, 721.pdf</w:t>
        </w:r>
      </w:hyperlink>
    </w:p>
    <w:p w:rsidR="006A6519" w:rsidRDefault="006A6519" w:rsidP="006A6519">
      <w:pPr>
        <w:pStyle w:val="a0"/>
        <w:rPr>
          <w:kern w:val="0"/>
        </w:rPr>
      </w:pPr>
      <w:r>
        <w:rPr>
          <w:kern w:val="0"/>
        </w:rPr>
        <w:t>Keywords: Bibliometric, Literature, Research</w:t>
      </w:r>
    </w:p>
    <w:p w:rsidR="00B95188" w:rsidRPr="00A428C3" w:rsidRDefault="00B95188" w:rsidP="00B95188">
      <w:pPr>
        <w:pStyle w:val="1"/>
      </w:pPr>
      <w:r w:rsidRPr="00A428C3">
        <w:br w:type="page"/>
      </w:r>
      <w:bookmarkStart w:id="1451" w:name="_Toc186647943"/>
      <w:bookmarkStart w:id="1452" w:name="_Toc317161346"/>
      <w:r w:rsidRPr="00A428C3">
        <w:lastRenderedPageBreak/>
        <w:t xml:space="preserve">Title: International Journal of </w:t>
      </w:r>
      <w:smartTag w:uri="urn:schemas-microsoft-com:office:smarttags" w:element="place">
        <w:r w:rsidRPr="00A428C3">
          <w:t>Pest</w:t>
        </w:r>
      </w:smartTag>
      <w:r w:rsidRPr="00A428C3">
        <w:t xml:space="preserve"> Management</w:t>
      </w:r>
      <w:bookmarkEnd w:id="1451"/>
      <w:bookmarkEnd w:id="1452"/>
    </w:p>
    <w:p w:rsidR="00B95188" w:rsidRPr="00A428C3" w:rsidRDefault="00B95188" w:rsidP="00B72EF9">
      <w:pPr>
        <w:pStyle w:val="12"/>
      </w:pPr>
      <w:r w:rsidRPr="00A428C3">
        <w:t xml:space="preserve">Full Journal Title: International Journal of </w:t>
      </w:r>
      <w:smartTag w:uri="urn:schemas-microsoft-com:office:smarttags" w:element="place">
        <w:r w:rsidRPr="00A428C3">
          <w:t>Pest</w:t>
        </w:r>
      </w:smartTag>
      <w:r w:rsidRPr="00A428C3">
        <w:t xml:space="preserve"> Management</w:t>
      </w:r>
    </w:p>
    <w:p w:rsidR="00B95188" w:rsidRPr="00A428C3" w:rsidRDefault="00B95188" w:rsidP="00B72EF9">
      <w:pPr>
        <w:pStyle w:val="12"/>
      </w:pPr>
      <w:r w:rsidRPr="00A428C3">
        <w:t xml:space="preserve">ISO Abbreviated Title: Int. J. </w:t>
      </w:r>
      <w:smartTag w:uri="urn:schemas-microsoft-com:office:smarttags" w:element="place">
        <w:r w:rsidRPr="00A428C3">
          <w:t>Pest</w:t>
        </w:r>
      </w:smartTag>
      <w:r w:rsidRPr="00A428C3">
        <w:t xml:space="preserve"> Manage.</w:t>
      </w:r>
    </w:p>
    <w:p w:rsidR="00B95188" w:rsidRPr="00A428C3" w:rsidRDefault="00B95188" w:rsidP="00B72EF9">
      <w:pPr>
        <w:pStyle w:val="12"/>
      </w:pPr>
      <w:r w:rsidRPr="00A428C3">
        <w:t>JCR Abbreviated Title: Int J Pest Manage</w:t>
      </w:r>
    </w:p>
    <w:p w:rsidR="00B95188" w:rsidRPr="00A428C3" w:rsidRDefault="00B95188" w:rsidP="00B72EF9">
      <w:pPr>
        <w:pStyle w:val="12"/>
      </w:pPr>
      <w:r w:rsidRPr="00A428C3">
        <w:t>ISSN: 0967-0874</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Taylor &amp; Francis Ltd</w:t>
      </w:r>
    </w:p>
    <w:p w:rsidR="00B95188" w:rsidRPr="00A428C3" w:rsidRDefault="00B95188" w:rsidP="00B72EF9">
      <w:pPr>
        <w:pStyle w:val="12"/>
      </w:pPr>
      <w:r w:rsidRPr="00A428C3">
        <w:t xml:space="preserve">Publisher Address: </w:t>
      </w:r>
      <w:smartTag w:uri="urn:schemas-microsoft-com:office:smarttags" w:element="place">
        <w:r w:rsidRPr="00A428C3">
          <w:t xml:space="preserve">One Gunpowder Square, </w:t>
        </w:r>
        <w:smartTag w:uri="urn:schemas-microsoft-com:office:smarttags" w:element="City">
          <w:r w:rsidRPr="00A428C3">
            <w:t>London</w:t>
          </w:r>
        </w:smartTag>
        <w:r w:rsidRPr="00A428C3">
          <w:t xml:space="preserve"> </w:t>
        </w:r>
        <w:smartTag w:uri="urn:schemas-microsoft-com:office:smarttags" w:element="PostalCode">
          <w:r w:rsidRPr="00A428C3">
            <w:t>EC</w:t>
          </w:r>
          <w:smartTag w:uri="urn:schemas-microsoft-com:office:smarttags" w:element="chmetcnv">
            <w:smartTagPr>
              <w:attr w:name="TCSC" w:val="0"/>
              <w:attr w:name="NumberType" w:val="1"/>
              <w:attr w:name="Negative" w:val="False"/>
              <w:attr w:name="HasSpace" w:val="False"/>
              <w:attr w:name="SourceValue" w:val="4"/>
              <w:attr w:name="UnitName" w:val="a"/>
            </w:smartTagPr>
            <w:r w:rsidRPr="00A428C3">
              <w:t>4A</w:t>
            </w:r>
          </w:smartTag>
          <w:r w:rsidRPr="00A428C3">
            <w:t xml:space="preserve"> 3DE</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Agriculture Entomology:</w:t>
      </w:r>
      <w:r w:rsidRPr="00A428C3">
        <w:rPr>
          <w:color w:val="008000"/>
        </w:rPr>
        <w:t xml:space="preserve"> Impact Factor</w:t>
      </w:r>
    </w:p>
    <w:p w:rsidR="00B95188" w:rsidRPr="00A428C3" w:rsidRDefault="00B95188" w:rsidP="00B95188">
      <w:pPr>
        <w:pStyle w:val="a0"/>
      </w:pPr>
      <w:r w:rsidRPr="00A428C3">
        <w:t>? Meerman, F., Vande Ven, G.W.J., van Keulen, H.</w:t>
      </w:r>
      <w:r w:rsidR="00F81221">
        <w:t xml:space="preserve"> and </w:t>
      </w:r>
      <w:r w:rsidRPr="00A428C3">
        <w:t xml:space="preserve">Breman, H. (1996), Integrated crop management: An approach to sustainable agricultural development. </w:t>
      </w:r>
      <w:r w:rsidRPr="00A428C3">
        <w:rPr>
          <w:i/>
        </w:rPr>
        <w:t xml:space="preserve">International Journal of </w:t>
      </w:r>
      <w:smartTag w:uri="urn:schemas-microsoft-com:office:smarttags" w:element="place">
        <w:r w:rsidRPr="00A428C3">
          <w:rPr>
            <w:i/>
          </w:rPr>
          <w:t>Pest</w:t>
        </w:r>
      </w:smartTag>
      <w:r w:rsidRPr="00A428C3">
        <w:rPr>
          <w:i/>
        </w:rPr>
        <w:t xml:space="preserve"> Management</w:t>
      </w:r>
      <w:r w:rsidRPr="00A428C3">
        <w:t xml:space="preserve">, </w:t>
      </w:r>
      <w:r w:rsidRPr="00A428C3">
        <w:rPr>
          <w:b/>
        </w:rPr>
        <w:t>42</w:t>
      </w:r>
      <w:r w:rsidRPr="00A428C3">
        <w:t xml:space="preserve"> (1), 13-24.</w:t>
      </w:r>
    </w:p>
    <w:p w:rsidR="00B95188" w:rsidRPr="00A428C3" w:rsidRDefault="00B95188" w:rsidP="00B95188">
      <w:pPr>
        <w:pStyle w:val="a0"/>
      </w:pPr>
      <w:r w:rsidRPr="00A428C3">
        <w:t>Abstract: In developing countries, agriculture is being intensified to produce more food</w:t>
      </w:r>
      <w:r w:rsidR="00F81221">
        <w:t xml:space="preserve"> and </w:t>
      </w:r>
      <w:r w:rsidRPr="00A428C3">
        <w:t>agricultural products. In most agricultural development strategies, the order of priorities is on: (i) increasing yields, (ii) crop protection,</w:t>
      </w:r>
      <w:r w:rsidR="00F81221">
        <w:t xml:space="preserve"> and </w:t>
      </w:r>
      <w:r w:rsidRPr="00A428C3">
        <w:t>(iii) human health, environmental</w:t>
      </w:r>
      <w:r w:rsidR="00F81221">
        <w:t xml:space="preserve"> and </w:t>
      </w:r>
      <w:r w:rsidRPr="00A428C3">
        <w:t>social aspects. This sequential rather than integrated approach contributes to many problems related to sustainability in agriculture. Examples of increased problems with soil erosion, secondary salinization</w:t>
      </w:r>
      <w:r w:rsidR="00F81221">
        <w:t xml:space="preserve"> and </w:t>
      </w:r>
      <w:r w:rsidRPr="00A428C3">
        <w:t>waterlogging, soil nutrient depletion, increased pest problems, public health hazards</w:t>
      </w:r>
      <w:r w:rsidR="00F81221">
        <w:t xml:space="preserve"> and </w:t>
      </w:r>
      <w:r w:rsidRPr="00A428C3">
        <w:t>environmental pollution illustrate this phenomenon. To improve the present situation, agricultural development strategies should be based on an integration of factors determining the agricultural production potential of a particular zone: the biophysical environment, the land reclamation level,</w:t>
      </w:r>
      <w:r w:rsidR="00F81221">
        <w:t xml:space="preserve"> and </w:t>
      </w:r>
      <w:r w:rsidRPr="00A428C3">
        <w:t>external input use. Integrated Crop Management</w:t>
      </w:r>
      <w:r w:rsidR="00F81221">
        <w:t xml:space="preserve"> and </w:t>
      </w:r>
      <w:r w:rsidRPr="00A428C3">
        <w:t>systems analyses can help to put these factors in the best perspective,</w:t>
      </w:r>
      <w:r w:rsidR="00F81221">
        <w:t xml:space="preserve"> and </w:t>
      </w:r>
      <w:r w:rsidRPr="00A428C3">
        <w:t>to set the priorities for agricultural research</w:t>
      </w:r>
      <w:r w:rsidR="00F81221">
        <w:t xml:space="preserve"> and </w:t>
      </w:r>
      <w:r w:rsidRPr="00A428C3">
        <w:t>development accordingly. Techniques aimed at sustainability are listed,</w:t>
      </w:r>
      <w:r w:rsidR="00F81221">
        <w:t xml:space="preserve"> and </w:t>
      </w:r>
      <w:r w:rsidRPr="00A428C3">
        <w:t>their use is discussed in areas with different production potentials. To assess the impact of cropping techniques on the sustainability of agricultural production systems, suggestions are made for the monitoring of selected physical, chemical</w:t>
      </w:r>
      <w:r w:rsidR="00F81221">
        <w:t xml:space="preserve"> and </w:t>
      </w:r>
      <w:r w:rsidRPr="00A428C3">
        <w:t>biotic characteristics of agro-ecosystems.</w:t>
      </w:r>
    </w:p>
    <w:p w:rsidR="008F778D" w:rsidRPr="001A3D2B" w:rsidRDefault="008F778D" w:rsidP="008F778D">
      <w:pPr>
        <w:pStyle w:val="1"/>
      </w:pPr>
      <w:r w:rsidRPr="001A3D2B">
        <w:br w:type="page"/>
      </w:r>
      <w:bookmarkStart w:id="1453" w:name="_Toc317161347"/>
      <w:r w:rsidRPr="001A3D2B">
        <w:lastRenderedPageBreak/>
        <w:t xml:space="preserve">Title: </w:t>
      </w:r>
      <w:r w:rsidRPr="008F778D">
        <w:rPr>
          <w:iCs/>
        </w:rPr>
        <w:t>International Journal of Pharmaceutics</w:t>
      </w:r>
      <w:bookmarkEnd w:id="1453"/>
    </w:p>
    <w:p w:rsidR="008F778D" w:rsidRPr="001A3D2B" w:rsidRDefault="008F778D" w:rsidP="008F778D">
      <w:pPr>
        <w:pStyle w:val="12"/>
      </w:pPr>
      <w:r w:rsidRPr="001A3D2B">
        <w:t xml:space="preserve">Full Journal Title: </w:t>
      </w:r>
      <w:r w:rsidRPr="008F778D">
        <w:rPr>
          <w:iCs/>
        </w:rPr>
        <w:t>International Journal of Pharmaceutics</w:t>
      </w:r>
    </w:p>
    <w:p w:rsidR="008F778D" w:rsidRPr="001A3D2B" w:rsidRDefault="008F778D" w:rsidP="008F778D">
      <w:pPr>
        <w:pStyle w:val="12"/>
      </w:pPr>
      <w:r w:rsidRPr="001A3D2B">
        <w:t xml:space="preserve">ISO Abbreviated Title: </w:t>
      </w:r>
    </w:p>
    <w:p w:rsidR="008F778D" w:rsidRPr="001A3D2B" w:rsidRDefault="008F778D" w:rsidP="008F778D">
      <w:pPr>
        <w:pStyle w:val="12"/>
      </w:pPr>
      <w:r w:rsidRPr="001A3D2B">
        <w:t xml:space="preserve">JCR Abbreviated Title: </w:t>
      </w:r>
    </w:p>
    <w:p w:rsidR="008F778D" w:rsidRPr="001A3D2B" w:rsidRDefault="008F778D" w:rsidP="008F778D">
      <w:pPr>
        <w:pStyle w:val="12"/>
      </w:pPr>
      <w:r>
        <w:t xml:space="preserve">ISSN: </w:t>
      </w:r>
    </w:p>
    <w:p w:rsidR="008F778D" w:rsidRPr="001A3D2B" w:rsidRDefault="008F778D" w:rsidP="008F778D">
      <w:pPr>
        <w:pStyle w:val="12"/>
      </w:pPr>
      <w:r w:rsidRPr="001A3D2B">
        <w:t xml:space="preserve">Issues/Year: </w:t>
      </w:r>
    </w:p>
    <w:p w:rsidR="008F778D" w:rsidRPr="001A3D2B" w:rsidRDefault="008F778D" w:rsidP="008F778D">
      <w:pPr>
        <w:pStyle w:val="12"/>
      </w:pPr>
      <w:r w:rsidRPr="001A3D2B">
        <w:t xml:space="preserve">Journal Country/Territory: </w:t>
      </w:r>
    </w:p>
    <w:p w:rsidR="008F778D" w:rsidRPr="001A3D2B" w:rsidRDefault="008F778D" w:rsidP="008F778D">
      <w:pPr>
        <w:pStyle w:val="12"/>
      </w:pPr>
      <w:r w:rsidRPr="001A3D2B">
        <w:t xml:space="preserve">Language: </w:t>
      </w:r>
    </w:p>
    <w:p w:rsidR="008F778D" w:rsidRPr="001A3D2B" w:rsidRDefault="008F778D" w:rsidP="008F778D">
      <w:pPr>
        <w:pStyle w:val="12"/>
      </w:pPr>
      <w:r w:rsidRPr="001A3D2B">
        <w:t xml:space="preserve">Publisher: </w:t>
      </w:r>
    </w:p>
    <w:p w:rsidR="008F778D" w:rsidRPr="001A3D2B" w:rsidRDefault="008F778D" w:rsidP="008F778D">
      <w:pPr>
        <w:pStyle w:val="12"/>
      </w:pPr>
      <w:r w:rsidRPr="001A3D2B">
        <w:t xml:space="preserve">Publisher Address: </w:t>
      </w:r>
    </w:p>
    <w:p w:rsidR="008F778D" w:rsidRPr="001A3D2B" w:rsidRDefault="008F778D" w:rsidP="008F778D">
      <w:pPr>
        <w:pStyle w:val="12"/>
      </w:pPr>
      <w:r w:rsidRPr="001A3D2B">
        <w:t>Subject Categories:</w:t>
      </w:r>
    </w:p>
    <w:p w:rsidR="008F778D" w:rsidRPr="001A3D2B" w:rsidRDefault="008F778D" w:rsidP="008F778D">
      <w:pPr>
        <w:pStyle w:val="12"/>
      </w:pPr>
      <w:r w:rsidRPr="001A3D2B">
        <w:t>: Impact Factor</w:t>
      </w:r>
    </w:p>
    <w:p w:rsidR="008F778D" w:rsidRDefault="008F778D" w:rsidP="008F778D">
      <w:pPr>
        <w:pStyle w:val="a0"/>
        <w:rPr>
          <w:kern w:val="0"/>
        </w:rPr>
      </w:pPr>
      <w:r>
        <w:rPr>
          <w:rFonts w:hint="eastAsia"/>
          <w:kern w:val="0"/>
        </w:rPr>
        <w:t xml:space="preserve">? </w:t>
      </w:r>
      <w:r>
        <w:rPr>
          <w:kern w:val="0"/>
        </w:rPr>
        <w:t>Chen, Z., Pierre, D., He, H., Tan, S.H., Chuong, P.H., Hong, H.</w:t>
      </w:r>
      <w:r w:rsidR="00F81221">
        <w:rPr>
          <w:kern w:val="0"/>
        </w:rPr>
        <w:t xml:space="preserve"> and </w:t>
      </w:r>
      <w:r>
        <w:rPr>
          <w:kern w:val="0"/>
        </w:rPr>
        <w:t xml:space="preserve">Huang, J.L. (2011), Adsorption behavior of epirubicin hydrochloride on carboxylated carbon nanotubes. </w:t>
      </w:r>
      <w:r w:rsidRPr="008F778D">
        <w:rPr>
          <w:i/>
          <w:iCs/>
          <w:kern w:val="0"/>
        </w:rPr>
        <w:t>International Journal of Pharmaceutics</w:t>
      </w:r>
      <w:r>
        <w:rPr>
          <w:kern w:val="0"/>
        </w:rPr>
        <w:t xml:space="preserve">, </w:t>
      </w:r>
      <w:r>
        <w:rPr>
          <w:b/>
          <w:bCs/>
          <w:kern w:val="0"/>
        </w:rPr>
        <w:t>405</w:t>
      </w:r>
      <w:r>
        <w:rPr>
          <w:kern w:val="0"/>
        </w:rPr>
        <w:t xml:space="preserve"> (1-2), 153-161.</w:t>
      </w:r>
    </w:p>
    <w:p w:rsidR="008F778D" w:rsidRPr="007D79E8" w:rsidRDefault="008F778D" w:rsidP="008F778D">
      <w:pPr>
        <w:pStyle w:val="a0"/>
        <w:rPr>
          <w:kern w:val="0"/>
        </w:rPr>
      </w:pPr>
      <w:r w:rsidRPr="007D79E8">
        <w:rPr>
          <w:kern w:val="0"/>
        </w:rPr>
        <w:t xml:space="preserve">Full Text: </w:t>
      </w:r>
      <w:hyperlink r:id="rId2025" w:history="1">
        <w:r w:rsidRPr="00142A57">
          <w:rPr>
            <w:rStyle w:val="a5"/>
            <w:kern w:val="0"/>
          </w:rPr>
          <w:t>2011\Int J Pha405, 153.pdf</w:t>
        </w:r>
      </w:hyperlink>
    </w:p>
    <w:p w:rsidR="008F778D" w:rsidRDefault="008F778D" w:rsidP="008F778D">
      <w:pPr>
        <w:pStyle w:val="a0"/>
        <w:rPr>
          <w:kern w:val="0"/>
        </w:rPr>
      </w:pPr>
      <w:r>
        <w:rPr>
          <w:kern w:val="0"/>
        </w:rPr>
        <w:t>Abstract: The aim of this study was to understand the interaction between carboxylated carbon nanotubes (c-CNTs)</w:t>
      </w:r>
      <w:r w:rsidR="00F81221">
        <w:rPr>
          <w:kern w:val="0"/>
        </w:rPr>
        <w:t xml:space="preserve"> and </w:t>
      </w:r>
      <w:r>
        <w:rPr>
          <w:kern w:val="0"/>
        </w:rPr>
        <w:t>anticancer agents</w:t>
      </w:r>
      <w:r w:rsidR="00F81221">
        <w:rPr>
          <w:kern w:val="0"/>
        </w:rPr>
        <w:t xml:space="preserve"> and </w:t>
      </w:r>
      <w:r>
        <w:rPr>
          <w:kern w:val="0"/>
        </w:rPr>
        <w:t>evaluate the drug-loading ability of c-CNTs. We prepared carboxylated multi-walled carbon nanotubes (c-MWNTs) with nitric acid treatment, then evaluated the adsorption ability of c-MWNTs as adsorbents for loading of the anticancer drug, epirubicin hydrochloride (EPI),</w:t>
      </w:r>
      <w:r w:rsidR="00F81221">
        <w:rPr>
          <w:kern w:val="0"/>
        </w:rPr>
        <w:t xml:space="preserve"> and </w:t>
      </w:r>
      <w:r>
        <w:rPr>
          <w:kern w:val="0"/>
        </w:rPr>
        <w:t>investigated the adsorption behavior of EPI on c-MWNTs. Unmodified multi-walled carbon nanotubes (MWNTs)</w:t>
      </w:r>
      <w:r w:rsidR="00F81221">
        <w:rPr>
          <w:kern w:val="0"/>
        </w:rPr>
        <w:t xml:space="preserve"> and </w:t>
      </w:r>
      <w:r>
        <w:rPr>
          <w:kern w:val="0"/>
        </w:rPr>
        <w:t>single-walled carbon nanotubes (SWNTs) were included as comparative adsorbents. The results showed that carbon nanotubes were able to form supramolecular complexes with EPI via pi-pi stacking</w:t>
      </w:r>
      <w:r w:rsidR="00F81221">
        <w:rPr>
          <w:kern w:val="0"/>
        </w:rPr>
        <w:t xml:space="preserve"> and </w:t>
      </w:r>
      <w:r>
        <w:rPr>
          <w:kern w:val="0"/>
        </w:rPr>
        <w:t>possessed favorable loading properties as drug carriers. The Freundilich adsorption model was successfully employed to describe the adsorption process. Because of the high surface area</w:t>
      </w:r>
      <w:r w:rsidR="00F81221">
        <w:rPr>
          <w:kern w:val="0"/>
        </w:rPr>
        <w:t xml:space="preserve"> and </w:t>
      </w:r>
      <w:r>
        <w:rPr>
          <w:kern w:val="0"/>
        </w:rPr>
        <w:t>hydrogen bonding, c-MWNTs</w:t>
      </w:r>
      <w:r w:rsidR="000352E7">
        <w:rPr>
          <w:kern w:val="0"/>
        </w:rPr>
        <w:t>’</w:t>
      </w:r>
      <w:r>
        <w:rPr>
          <w:kern w:val="0"/>
        </w:rPr>
        <w:t xml:space="preserve"> adsorption efficiency was the highest</w:t>
      </w:r>
      <w:r w:rsidR="00F81221">
        <w:rPr>
          <w:kern w:val="0"/>
        </w:rPr>
        <w:t xml:space="preserve"> and </w:t>
      </w:r>
      <w:r>
        <w:rPr>
          <w:kern w:val="0"/>
        </w:rPr>
        <w:t>the most stable</w:t>
      </w:r>
      <w:r w:rsidR="00F81221">
        <w:rPr>
          <w:kern w:val="0"/>
        </w:rPr>
        <w:t xml:space="preserve"> and </w:t>
      </w:r>
      <w:r>
        <w:rPr>
          <w:kern w:val="0"/>
        </w:rPr>
        <w:t>their drug-loading capacity was superior to that of MWNTs. With the increase of pH, the adsorption capacity of EPI on the c-MWNTs increased. Low-temperature facilitated the adsorption. More rapid EPI adsorption rate</w:t>
      </w:r>
      <w:r w:rsidR="00F81221">
        <w:rPr>
          <w:kern w:val="0"/>
        </w:rPr>
        <w:t xml:space="preserve"> and </w:t>
      </w:r>
      <w:r>
        <w:rPr>
          <w:kern w:val="0"/>
        </w:rPr>
        <w:t>higher drug-loading ability were observed from c-MWNTs with smaller diameter. Moreover, the adsorption kinetics of EPI on c-MWNTs could be well depicted by using the pseudo-second-order kinetic model. (C) 2010 Elsevier B.V. All rights reserved.</w:t>
      </w:r>
    </w:p>
    <w:p w:rsidR="008F778D" w:rsidRDefault="008F778D" w:rsidP="008F778D">
      <w:pPr>
        <w:pStyle w:val="a0"/>
        <w:rPr>
          <w:kern w:val="0"/>
        </w:rPr>
      </w:pPr>
      <w:r>
        <w:rPr>
          <w:kern w:val="0"/>
        </w:rPr>
        <w:t xml:space="preserve">Keywords: Adsorption, Carboxylated Carbon Nanotubes, Cells, Doxorubicin, Drug Delivery, Drug-Delivery, Epirubicin Hydrochloride, Functionalization, </w:t>
      </w:r>
      <w:r>
        <w:rPr>
          <w:kern w:val="0"/>
        </w:rPr>
        <w:lastRenderedPageBreak/>
        <w:t>Immobilization, In-Vitro, Kinetic Model, Kinetics, Organic-Chemicals, pH, Pi-Pi Stacking, Release, Targeted Delivery, Therapeutics</w:t>
      </w:r>
    </w:p>
    <w:p w:rsidR="003E7D54" w:rsidRDefault="003E7D54" w:rsidP="003E7D54">
      <w:pPr>
        <w:pStyle w:val="1"/>
      </w:pPr>
      <w:r>
        <w:rPr>
          <w:b w:val="0"/>
          <w:bCs/>
          <w:iCs/>
        </w:rPr>
        <w:br w:type="page"/>
      </w:r>
      <w:bookmarkStart w:id="1454" w:name="_Toc317161348"/>
      <w:r>
        <w:lastRenderedPageBreak/>
        <w:t xml:space="preserve">Title: </w:t>
      </w:r>
      <w:r>
        <w:rPr>
          <w:iCs/>
        </w:rPr>
        <w:t>International Journal of Pharmacology</w:t>
      </w:r>
      <w:bookmarkEnd w:id="1454"/>
    </w:p>
    <w:p w:rsidR="003E7D54" w:rsidRDefault="003E7D54" w:rsidP="003E7D54">
      <w:pPr>
        <w:pStyle w:val="12"/>
      </w:pPr>
      <w:r>
        <w:t xml:space="preserve">Full Journal Title: </w:t>
      </w:r>
      <w:r>
        <w:rPr>
          <w:iCs/>
        </w:rPr>
        <w:t>International Journal of Pharmacology</w:t>
      </w:r>
    </w:p>
    <w:p w:rsidR="003E7D54" w:rsidRDefault="003E7D54" w:rsidP="003E7D54">
      <w:pPr>
        <w:pStyle w:val="12"/>
      </w:pPr>
      <w:r>
        <w:t xml:space="preserve">ISO Abbreviated Title: </w:t>
      </w:r>
    </w:p>
    <w:p w:rsidR="003E7D54" w:rsidRDefault="003E7D54" w:rsidP="003E7D54">
      <w:pPr>
        <w:pStyle w:val="12"/>
      </w:pPr>
      <w:r>
        <w:t xml:space="preserve">JCR Abbreviated Title: </w:t>
      </w:r>
    </w:p>
    <w:p w:rsidR="003E7D54" w:rsidRDefault="003E7D54" w:rsidP="003E7D54">
      <w:pPr>
        <w:pStyle w:val="12"/>
      </w:pPr>
      <w:r>
        <w:t xml:space="preserve">ISSN: </w:t>
      </w:r>
    </w:p>
    <w:p w:rsidR="003E7D54" w:rsidRDefault="003E7D54" w:rsidP="003E7D54">
      <w:pPr>
        <w:pStyle w:val="12"/>
      </w:pPr>
      <w:r>
        <w:t xml:space="preserve">Issues/Year: </w:t>
      </w:r>
    </w:p>
    <w:p w:rsidR="003E7D54" w:rsidRDefault="003E7D54" w:rsidP="003E7D54">
      <w:pPr>
        <w:pStyle w:val="12"/>
      </w:pPr>
      <w:r>
        <w:t xml:space="preserve">Journal Country/Territory: </w:t>
      </w:r>
    </w:p>
    <w:p w:rsidR="003E7D54" w:rsidRDefault="003E7D54" w:rsidP="003E7D54">
      <w:pPr>
        <w:pStyle w:val="12"/>
      </w:pPr>
      <w:r>
        <w:t xml:space="preserve">Language: </w:t>
      </w:r>
    </w:p>
    <w:p w:rsidR="003E7D54" w:rsidRDefault="003E7D54" w:rsidP="003E7D54">
      <w:pPr>
        <w:pStyle w:val="12"/>
      </w:pPr>
      <w:r>
        <w:t xml:space="preserve">Publisher: </w:t>
      </w:r>
    </w:p>
    <w:p w:rsidR="003E7D54" w:rsidRDefault="003E7D54" w:rsidP="003E7D54">
      <w:pPr>
        <w:pStyle w:val="12"/>
      </w:pPr>
      <w:r>
        <w:t xml:space="preserve">Publisher Address: </w:t>
      </w:r>
    </w:p>
    <w:p w:rsidR="003E7D54" w:rsidRDefault="003E7D54" w:rsidP="003E7D54">
      <w:pPr>
        <w:pStyle w:val="12"/>
      </w:pPr>
      <w:r>
        <w:t>Subject Categories:</w:t>
      </w:r>
    </w:p>
    <w:p w:rsidR="003E7D54" w:rsidRDefault="003E7D54" w:rsidP="003E7D54">
      <w:pPr>
        <w:pStyle w:val="12"/>
      </w:pPr>
      <w:r>
        <w:t>: Impact Factor</w:t>
      </w:r>
    </w:p>
    <w:p w:rsidR="003E7D54" w:rsidRDefault="003E7D54" w:rsidP="003E7D54">
      <w:pPr>
        <w:pStyle w:val="a0"/>
        <w:rPr>
          <w:kern w:val="0"/>
        </w:rPr>
      </w:pPr>
      <w:r>
        <w:rPr>
          <w:kern w:val="0"/>
        </w:rPr>
        <w:t>? Hasani-Ranjbar, S., Vahidi, H., Taslimi, S., Karimi, N., Larijani, B.</w:t>
      </w:r>
      <w:r w:rsidR="00F81221">
        <w:rPr>
          <w:kern w:val="0"/>
        </w:rPr>
        <w:t xml:space="preserve"> and </w:t>
      </w:r>
      <w:r>
        <w:rPr>
          <w:kern w:val="0"/>
        </w:rPr>
        <w:t xml:space="preserve">Abdollahi, M. (2010), A systematic review on the efficacy of herbal medicines in the management of human drug-induced hyperprolactinemia; potential sources for the development of novel drugs. </w:t>
      </w:r>
      <w:r>
        <w:rPr>
          <w:i/>
          <w:iCs/>
          <w:kern w:val="0"/>
        </w:rPr>
        <w:t>International Journal of Pharmacology</w:t>
      </w:r>
      <w:r>
        <w:rPr>
          <w:kern w:val="0"/>
        </w:rPr>
        <w:t xml:space="preserve">, </w:t>
      </w:r>
      <w:r>
        <w:rPr>
          <w:b/>
          <w:bCs/>
          <w:kern w:val="0"/>
        </w:rPr>
        <w:t>6</w:t>
      </w:r>
      <w:r>
        <w:rPr>
          <w:kern w:val="0"/>
        </w:rPr>
        <w:t xml:space="preserve"> (5), 691-695.</w:t>
      </w:r>
    </w:p>
    <w:p w:rsidR="00CC1A13" w:rsidRDefault="00CC1A13" w:rsidP="00CC1A13">
      <w:pPr>
        <w:pStyle w:val="a0"/>
        <w:rPr>
          <w:kern w:val="0"/>
        </w:rPr>
      </w:pPr>
      <w:r>
        <w:rPr>
          <w:rFonts w:hint="eastAsia"/>
          <w:kern w:val="0"/>
        </w:rPr>
        <w:t xml:space="preserve">Full Text: </w:t>
      </w:r>
      <w:hyperlink r:id="rId2026" w:history="1">
        <w:r w:rsidRPr="005C4442">
          <w:rPr>
            <w:rStyle w:val="a5"/>
            <w:kern w:val="0"/>
          </w:rPr>
          <w:t>2010\Int J Pha6, 691.pdf</w:t>
        </w:r>
      </w:hyperlink>
    </w:p>
    <w:p w:rsidR="003E7D54" w:rsidRDefault="003E7D54" w:rsidP="003E7D54">
      <w:pPr>
        <w:pStyle w:val="a0"/>
        <w:rPr>
          <w:kern w:val="0"/>
        </w:rPr>
      </w:pPr>
      <w:r>
        <w:rPr>
          <w:kern w:val="0"/>
        </w:rPr>
        <w:t>Abstract: Several drugs may increase blood prolactin concentration. Dopamine receptor antagonists are one of the most common causes of hyperprolactinemia. To reduce happening of hyperprolactinemia, some medicinal plants have been traditionally used. This review focuses on the efficacy of effective herbal medicines in the management of human drug-induced hyperprolactinemia. PUBMED, Scopus, Web of science, Cochrane library database were searched for any relevant studies that investigated the effect of herbal medicines on drug induced hyperprolactinemia up to May 2010. The inclusion criteria were clinical trials studied efficacy of herbal medicines in drug-induced hyperprolactinemia. Among different compounds, four herbal supplements including Shakuyalcu-kanzo-to (TJ-68), Peony-Glycyrrhiza Decoction (POD), Zhuangyang capsule, Tongdatang serial recipe (TDT) were found clinically effective</w:t>
      </w:r>
      <w:r w:rsidR="00F81221">
        <w:rPr>
          <w:kern w:val="0"/>
        </w:rPr>
        <w:t xml:space="preserve"> and </w:t>
      </w:r>
      <w:r>
        <w:rPr>
          <w:kern w:val="0"/>
        </w:rPr>
        <w:t>safe in management of drug-induced hyperprolactinemia. Although, the quality of included clinical trials was low not allowing us to conduct a meta-analysis but positive results on efficacy (TJ-68), (POD), Zhuangyang capsule</w:t>
      </w:r>
      <w:r w:rsidR="00F81221">
        <w:rPr>
          <w:kern w:val="0"/>
        </w:rPr>
        <w:t xml:space="preserve"> and </w:t>
      </w:r>
      <w:r>
        <w:rPr>
          <w:kern w:val="0"/>
        </w:rPr>
        <w:t>(TDT) cannot be ignored. Interestingly compounds with prolactin-suppressive effects have a number of diterpenes mainly clerodadienols that seem almost identical for their efficacy. Further studies to isolate</w:t>
      </w:r>
      <w:r w:rsidR="00F81221">
        <w:rPr>
          <w:kern w:val="0"/>
        </w:rPr>
        <w:t xml:space="preserve"> and </w:t>
      </w:r>
      <w:r>
        <w:rPr>
          <w:kern w:val="0"/>
        </w:rPr>
        <w:t>characterize constituents of the effective herbs are needed to reach novel therapeutic</w:t>
      </w:r>
      <w:r w:rsidR="00F81221">
        <w:rPr>
          <w:kern w:val="0"/>
        </w:rPr>
        <w:t xml:space="preserve"> and </w:t>
      </w:r>
      <w:r>
        <w:rPr>
          <w:kern w:val="0"/>
        </w:rPr>
        <w:t>more effective agents.</w:t>
      </w:r>
    </w:p>
    <w:p w:rsidR="003E7D54" w:rsidRDefault="003E7D54" w:rsidP="003E7D54">
      <w:pPr>
        <w:pStyle w:val="a0"/>
        <w:rPr>
          <w:kern w:val="0"/>
        </w:rPr>
      </w:pPr>
      <w:r>
        <w:rPr>
          <w:kern w:val="0"/>
        </w:rPr>
        <w:t xml:space="preserve">Keywords: Antipsychotics, Blood, Bromocriptine, Clinical Trials, Cochrane, Diseases, Disorders, Dopamine, Drug, Drugs, Efficacy, Galactorrhea, Herbal Medicine, </w:t>
      </w:r>
      <w:r>
        <w:rPr>
          <w:kern w:val="0"/>
        </w:rPr>
        <w:lastRenderedPageBreak/>
        <w:t>Human, Hyperprolactinemia, Induced, Management, Meta-Analysis, Neuroleptic, Neuroleptic-Induced Hyperprolactinemia, New Drugs, Olanzapine, Plants, Prolactinoma, Prolactinomas, Pubmed, Review, Risperidone-Induced Hyperprolactinemia, Schizophrenia, Schizophrenic-Patients, Science, Scopus, Shakuyaku-Kanzo-To, Sources, Systematic, Systematic Review, Web of Science</w:t>
      </w:r>
    </w:p>
    <w:p w:rsidR="003E7D54" w:rsidRDefault="003E7D54" w:rsidP="003E7D54">
      <w:pPr>
        <w:pStyle w:val="a0"/>
        <w:rPr>
          <w:kern w:val="0"/>
        </w:rPr>
      </w:pPr>
      <w:r>
        <w:rPr>
          <w:kern w:val="0"/>
        </w:rPr>
        <w:t>? Nikfar, S., rvish-Damavandi, M.</w:t>
      </w:r>
      <w:r w:rsidR="00F81221">
        <w:rPr>
          <w:kern w:val="0"/>
        </w:rPr>
        <w:t xml:space="preserve"> and </w:t>
      </w:r>
      <w:r>
        <w:rPr>
          <w:kern w:val="0"/>
        </w:rPr>
        <w:t>Abdollahi, M. (2010), A review</w:t>
      </w:r>
      <w:r w:rsidR="00F81221">
        <w:rPr>
          <w:kern w:val="0"/>
        </w:rPr>
        <w:t xml:space="preserve"> and </w:t>
      </w:r>
      <w:r>
        <w:rPr>
          <w:kern w:val="0"/>
        </w:rPr>
        <w:t>meta-analysis of the efficacy of antibiotics</w:t>
      </w:r>
      <w:r w:rsidR="00F81221">
        <w:rPr>
          <w:kern w:val="0"/>
        </w:rPr>
        <w:t xml:space="preserve"> and </w:t>
      </w:r>
      <w:r>
        <w:rPr>
          <w:kern w:val="0"/>
        </w:rPr>
        <w:t xml:space="preserve">probiotics in management of pouchitis. </w:t>
      </w:r>
      <w:r>
        <w:rPr>
          <w:i/>
          <w:iCs/>
          <w:kern w:val="0"/>
        </w:rPr>
        <w:t>International Journal of Pharmacology</w:t>
      </w:r>
      <w:r>
        <w:rPr>
          <w:kern w:val="0"/>
        </w:rPr>
        <w:t xml:space="preserve">, </w:t>
      </w:r>
      <w:r>
        <w:rPr>
          <w:b/>
          <w:bCs/>
          <w:kern w:val="0"/>
        </w:rPr>
        <w:t>6</w:t>
      </w:r>
      <w:r>
        <w:rPr>
          <w:kern w:val="0"/>
        </w:rPr>
        <w:t xml:space="preserve"> (6), 826-835.</w:t>
      </w:r>
    </w:p>
    <w:p w:rsidR="00CC1A13" w:rsidRDefault="00CC1A13" w:rsidP="00CC1A13">
      <w:pPr>
        <w:pStyle w:val="a0"/>
        <w:rPr>
          <w:kern w:val="0"/>
        </w:rPr>
      </w:pPr>
      <w:r>
        <w:rPr>
          <w:rFonts w:hint="eastAsia"/>
          <w:kern w:val="0"/>
        </w:rPr>
        <w:t xml:space="preserve">Full Text: </w:t>
      </w:r>
      <w:hyperlink r:id="rId2027" w:history="1">
        <w:r w:rsidRPr="00CC1A13">
          <w:rPr>
            <w:rStyle w:val="a5"/>
            <w:kern w:val="0"/>
          </w:rPr>
          <w:t>2010\Int J Pha6, 826.pdf</w:t>
        </w:r>
      </w:hyperlink>
    </w:p>
    <w:p w:rsidR="003E7D54" w:rsidRDefault="003E7D54" w:rsidP="003E7D54">
      <w:pPr>
        <w:pStyle w:val="a0"/>
        <w:rPr>
          <w:kern w:val="0"/>
        </w:rPr>
      </w:pPr>
      <w:r>
        <w:rPr>
          <w:kern w:val="0"/>
        </w:rPr>
        <w:t>Abstract: Pouchitis is the most frequent long-term complication of Ileal Pouch-Anal Anastomosies (IPAA) surgery for Ulcerative Colitis (UC) which is a nonspecific inflammation of the ileal reservoir. Its clinical frequency varies depending on the definition</w:t>
      </w:r>
      <w:r w:rsidR="00F81221">
        <w:rPr>
          <w:kern w:val="0"/>
        </w:rPr>
        <w:t xml:space="preserve"> and </w:t>
      </w:r>
      <w:r>
        <w:rPr>
          <w:kern w:val="0"/>
        </w:rPr>
        <w:t>the follow up but is approximately 50% after a decade. Antibiotics</w:t>
      </w:r>
      <w:r w:rsidR="00F81221">
        <w:rPr>
          <w:kern w:val="0"/>
        </w:rPr>
        <w:t xml:space="preserve"> and </w:t>
      </w:r>
      <w:r>
        <w:rPr>
          <w:kern w:val="0"/>
        </w:rPr>
        <w:t>probiotics are currently the most widely accepted treatment in pouchitis patients. Objective of this study was to meta-analyze efficacy of probiotics</w:t>
      </w:r>
      <w:r w:rsidR="00F81221">
        <w:rPr>
          <w:kern w:val="0"/>
        </w:rPr>
        <w:t xml:space="preserve"> and </w:t>
      </w:r>
      <w:r>
        <w:rPr>
          <w:kern w:val="0"/>
        </w:rPr>
        <w:t>antibiotics in the management of pouchitis. All databases specially PUBMED, Web of Science, Scopus, Cochrane</w:t>
      </w:r>
      <w:r w:rsidR="00F81221">
        <w:rPr>
          <w:kern w:val="0"/>
        </w:rPr>
        <w:t xml:space="preserve"> and </w:t>
      </w:r>
      <w:r>
        <w:rPr>
          <w:kern w:val="0"/>
        </w:rPr>
        <w:t>Google Scholar were searched between 1965</w:t>
      </w:r>
      <w:r w:rsidR="00F81221">
        <w:rPr>
          <w:kern w:val="0"/>
        </w:rPr>
        <w:t xml:space="preserve"> and </w:t>
      </w:r>
      <w:r>
        <w:rPr>
          <w:kern w:val="0"/>
        </w:rPr>
        <w:t>December 2009</w:t>
      </w:r>
      <w:r w:rsidR="00F81221">
        <w:rPr>
          <w:kern w:val="0"/>
        </w:rPr>
        <w:t xml:space="preserve"> and </w:t>
      </w:r>
      <w:r>
        <w:rPr>
          <w:kern w:val="0"/>
        </w:rPr>
        <w:t>relevant controlled clinical trials were extracted, reviewed</w:t>
      </w:r>
      <w:r w:rsidR="00F81221">
        <w:rPr>
          <w:kern w:val="0"/>
        </w:rPr>
        <w:t xml:space="preserve"> and </w:t>
      </w:r>
      <w:r>
        <w:rPr>
          <w:kern w:val="0"/>
        </w:rPr>
        <w:t>validated according to the study protocol. The outcome of interest was defined by a Pouchitis Disease Activity Index (PDAI)&lt;7. Thirteen clinical trials were included in the meta-analysis. Pooling of the results from eight trials yielded a Relative Risk (RR) of 5.33 with a 95% CI of 2.12-13.35</w:t>
      </w:r>
      <w:r w:rsidR="00F81221">
        <w:rPr>
          <w:kern w:val="0"/>
        </w:rPr>
        <w:t xml:space="preserve"> and </w:t>
      </w:r>
      <w:r>
        <w:rPr>
          <w:kern w:val="0"/>
        </w:rPr>
        <w:t>a significant RR (p = 0.0004) in all kind of probiotics treatment group in comparison with the placebo group. Summary RR for clinical improvement in six trials was 14.17 with a 95% Cl of 1.19-168.93 (p = 0.036) in efficacy of VSL#3 (all doses) comparing to placebo</w:t>
      </w:r>
      <w:r w:rsidR="00F81221">
        <w:rPr>
          <w:kern w:val="0"/>
        </w:rPr>
        <w:t xml:space="preserve"> and </w:t>
      </w:r>
      <w:r>
        <w:rPr>
          <w:kern w:val="0"/>
        </w:rPr>
        <w:t>slightly more effective for VSL#3 (6 g day(-1)) comparing to placebo with RR of 20.35 with a 95% Cl of 6.16-67.22 (p&lt;0.0001). Efficacy of antibiotics comparing to placebo showed a summary RR of 2.68 with a 95% Cl of 0.4-17.99</w:t>
      </w:r>
      <w:r w:rsidR="00F81221">
        <w:rPr>
          <w:kern w:val="0"/>
        </w:rPr>
        <w:t xml:space="preserve"> and </w:t>
      </w:r>
      <w:r>
        <w:rPr>
          <w:kern w:val="0"/>
        </w:rPr>
        <w:t>p = 0.3107 for clinical improvement in three trials. The summary RR for efficacy of ciprofloxacin comparing to metronidazole was 0.68 with a 95% CI of 0.44-1.06 (p = 0.8913). In conclusion, alongside the benefit of probiotics</w:t>
      </w:r>
      <w:r w:rsidR="00F81221">
        <w:rPr>
          <w:kern w:val="0"/>
        </w:rPr>
        <w:t xml:space="preserve"> and </w:t>
      </w:r>
      <w:r>
        <w:rPr>
          <w:kern w:val="0"/>
        </w:rPr>
        <w:t>antibiotics in the management of pouchitis, effects of probiotics</w:t>
      </w:r>
      <w:r w:rsidR="00F81221">
        <w:rPr>
          <w:kern w:val="0"/>
        </w:rPr>
        <w:t xml:space="preserve"> and </w:t>
      </w:r>
      <w:r>
        <w:rPr>
          <w:kern w:val="0"/>
        </w:rPr>
        <w:t>antibiotics on pouchitis vary according to different mixtures of microorganisms strains in probiotics</w:t>
      </w:r>
      <w:r w:rsidR="00F81221">
        <w:rPr>
          <w:kern w:val="0"/>
        </w:rPr>
        <w:t xml:space="preserve"> and </w:t>
      </w:r>
      <w:r>
        <w:rPr>
          <w:kern w:val="0"/>
        </w:rPr>
        <w:t>different spectrums of antibiotics.</w:t>
      </w:r>
    </w:p>
    <w:p w:rsidR="003E7D54" w:rsidRDefault="003E7D54" w:rsidP="003E7D54">
      <w:pPr>
        <w:pStyle w:val="a0"/>
        <w:rPr>
          <w:kern w:val="0"/>
        </w:rPr>
      </w:pPr>
      <w:r>
        <w:rPr>
          <w:kern w:val="0"/>
        </w:rPr>
        <w:t xml:space="preserve">Keywords: Active Ulcerative-Colitis, Anal Anastomosis, Antibiotic, Antibiotics, Clinical Trials, Cochrane, Controlled Clinical Trials, Controlled Clinical-Trials, Crohns-Disease, Databases, Double-Blind, Efficacy, Follow-Up, Frequency, Google Scholar, Interest, Irritable-Bowel-Syndrome, Lactobacillus-Rhamnosus </w:t>
      </w:r>
      <w:r w:rsidR="00962C4F">
        <w:rPr>
          <w:kern w:val="0"/>
        </w:rPr>
        <w:t>GG</w:t>
      </w:r>
      <w:r>
        <w:rPr>
          <w:kern w:val="0"/>
        </w:rPr>
        <w:t xml:space="preserve">, Maintaining Remission, Management, Meta Analysis, Meta-Analysis, </w:t>
      </w:r>
      <w:r>
        <w:rPr>
          <w:kern w:val="0"/>
        </w:rPr>
        <w:lastRenderedPageBreak/>
        <w:t>Microorganisms, Outcome, Placebo-Controlled Trial, Pouchitis, Probiotic, Probiotics, Protocol, Refractory Pouchitis, Review, Science, Scopus, Surgery, Treatment, Web of Science</w:t>
      </w:r>
    </w:p>
    <w:p w:rsidR="00CC1A13" w:rsidRDefault="00CC1A13" w:rsidP="00CC1A13">
      <w:pPr>
        <w:pStyle w:val="a0"/>
        <w:rPr>
          <w:kern w:val="0"/>
        </w:rPr>
      </w:pPr>
      <w:r>
        <w:rPr>
          <w:rFonts w:hint="eastAsia"/>
          <w:kern w:val="0"/>
        </w:rPr>
        <w:t xml:space="preserve">? </w:t>
      </w:r>
      <w:r>
        <w:rPr>
          <w:kern w:val="0"/>
        </w:rPr>
        <w:t>Mohammadirad, A.</w:t>
      </w:r>
      <w:r w:rsidR="00F81221">
        <w:rPr>
          <w:kern w:val="0"/>
        </w:rPr>
        <w:t xml:space="preserve"> and </w:t>
      </w:r>
      <w:r>
        <w:rPr>
          <w:kern w:val="0"/>
        </w:rPr>
        <w:t xml:space="preserve">Abdollahi, M. (2011), A systematic review on oxidant/antioxidant imbalance in aluminium toxicity. </w:t>
      </w:r>
      <w:r>
        <w:rPr>
          <w:i/>
          <w:iCs/>
          <w:kern w:val="0"/>
        </w:rPr>
        <w:t>International Journal of Pharmacology</w:t>
      </w:r>
      <w:r>
        <w:rPr>
          <w:kern w:val="0"/>
        </w:rPr>
        <w:t xml:space="preserve">, </w:t>
      </w:r>
      <w:r>
        <w:rPr>
          <w:b/>
          <w:bCs/>
          <w:kern w:val="0"/>
        </w:rPr>
        <w:t>7</w:t>
      </w:r>
      <w:r>
        <w:rPr>
          <w:kern w:val="0"/>
        </w:rPr>
        <w:t xml:space="preserve"> (1), 12-21.</w:t>
      </w:r>
    </w:p>
    <w:p w:rsidR="00CC1A13" w:rsidRDefault="00CC1A13" w:rsidP="00CC1A13">
      <w:pPr>
        <w:pStyle w:val="a0"/>
        <w:rPr>
          <w:kern w:val="0"/>
        </w:rPr>
      </w:pPr>
      <w:r>
        <w:rPr>
          <w:rFonts w:hint="eastAsia"/>
          <w:kern w:val="0"/>
        </w:rPr>
        <w:t xml:space="preserve">Full Text: </w:t>
      </w:r>
      <w:hyperlink r:id="rId2028" w:history="1">
        <w:r w:rsidRPr="005C4442">
          <w:rPr>
            <w:rStyle w:val="a5"/>
            <w:kern w:val="0"/>
          </w:rPr>
          <w:t>2011\Int J Pha7, 12.pdf</w:t>
        </w:r>
      </w:hyperlink>
    </w:p>
    <w:p w:rsidR="00CC1A13" w:rsidRDefault="00CC1A13" w:rsidP="00CC1A13">
      <w:pPr>
        <w:pStyle w:val="a0"/>
        <w:rPr>
          <w:kern w:val="0"/>
        </w:rPr>
      </w:pPr>
      <w:r>
        <w:rPr>
          <w:kern w:val="0"/>
        </w:rPr>
        <w:t>Abstract: The purpose of this study was to provide a systematic review on the animal or human evidences linking aluminium (Al) toxicity to oxidant/antioxidant imbalance. Embase, Scopus, Pubmed, Web of Science, Google Scholar</w:t>
      </w:r>
      <w:r w:rsidR="00F81221">
        <w:rPr>
          <w:kern w:val="0"/>
        </w:rPr>
        <w:t xml:space="preserve"> and </w:t>
      </w:r>
      <w:r>
        <w:rPr>
          <w:kern w:val="0"/>
        </w:rPr>
        <w:t>SID databases were searched up to 1st October 2010. Over 50 studies including animal</w:t>
      </w:r>
      <w:r w:rsidR="00F81221">
        <w:rPr>
          <w:kern w:val="0"/>
        </w:rPr>
        <w:t xml:space="preserve"> and </w:t>
      </w:r>
      <w:r>
        <w:rPr>
          <w:kern w:val="0"/>
        </w:rPr>
        <w:t>human linking oxidative stress to Al were reviewed. Most of animal</w:t>
      </w:r>
      <w:r w:rsidR="00F81221">
        <w:rPr>
          <w:kern w:val="0"/>
        </w:rPr>
        <w:t xml:space="preserve"> and </w:t>
      </w:r>
      <w:r>
        <w:rPr>
          <w:kern w:val="0"/>
        </w:rPr>
        <w:t>human studies show a significant increase in lipid peroxidation (LPO) by Al. The maximum LPO was reported in the brain. Data about changes of enzymatic antioxidants such as Superoxide Dismutase (SOD), Catalase (CAT), Glutathione Peroxidase (GPx) post exposure to Al are controversial. Animal studies showed that vitamin E, C, melatonin</w:t>
      </w:r>
      <w:r w:rsidR="00F81221">
        <w:rPr>
          <w:kern w:val="0"/>
        </w:rPr>
        <w:t xml:space="preserve"> and </w:t>
      </w:r>
      <w:r>
        <w:rPr>
          <w:kern w:val="0"/>
        </w:rPr>
        <w:t>pinoline reduce LPO in Al-exposed subjects. Al can affect body oxidant/antioxidant balance in favor of oxidative toxic stress. Among parameters tested in various studies, LPO seems the best indicator of Al toxicity. The role of iron homeostasis in mediation of cytotoxic effects of Al seems important. Since, oxidant/antioxidant imbalance is involved in the pathogenesis of many diseases including inflammatory bowel diseases, diabetes, osteoporosis, it would not be surprising to track roles of Al in many deliberating diseases in future.</w:t>
      </w:r>
    </w:p>
    <w:p w:rsidR="00CC1A13" w:rsidRDefault="00CC1A13" w:rsidP="00CC1A13">
      <w:pPr>
        <w:pStyle w:val="a0"/>
        <w:rPr>
          <w:kern w:val="0"/>
        </w:rPr>
      </w:pPr>
      <w:r>
        <w:rPr>
          <w:kern w:val="0"/>
        </w:rPr>
        <w:t>Keywords: Aluminium, Alzheimers-Disease, Animal, Balance, Biochemical Parameters, Brain, Controlled Clinical-Trial, Databases, Diabetes, Exposure, Google Scholar, Human, Induced Oxidative Stress, Inflammatory-Bowel-Disease, Iron, Lipid, Mediated Lipid-Peroxidation, Melatonin, Metals, Osteoporosis, Oxidant, Antioxidant Balance, Oxidative Stress, Pathogenesis, Protective Role, Rat-Brain, Reactive Oxygen Species, Review, Science, Scopus, Stress, Superoxide-Dismutase, Systematic, Systematic Review, Toxicity, Vitamin E, Vitamin-E, Web of Science</w:t>
      </w:r>
    </w:p>
    <w:p w:rsidR="000F3615" w:rsidRDefault="000F3615" w:rsidP="000F3615">
      <w:pPr>
        <w:pStyle w:val="a0"/>
        <w:rPr>
          <w:kern w:val="0"/>
        </w:rPr>
      </w:pPr>
      <w:r>
        <w:rPr>
          <w:rFonts w:hint="eastAsia"/>
          <w:kern w:val="0"/>
        </w:rPr>
        <w:t xml:space="preserve">? </w:t>
      </w:r>
      <w:r>
        <w:rPr>
          <w:kern w:val="0"/>
        </w:rPr>
        <w:t>Mehri, A., Hasani-Ranjbar, S., Larijani, B.</w:t>
      </w:r>
      <w:r w:rsidR="00F81221">
        <w:rPr>
          <w:kern w:val="0"/>
        </w:rPr>
        <w:t xml:space="preserve"> and </w:t>
      </w:r>
      <w:r>
        <w:rPr>
          <w:kern w:val="0"/>
        </w:rPr>
        <w:t>Abdollahi, M. (2011), A systematic review of efficacy</w:t>
      </w:r>
      <w:r w:rsidR="00F81221">
        <w:rPr>
          <w:kern w:val="0"/>
        </w:rPr>
        <w:t xml:space="preserve"> and </w:t>
      </w:r>
      <w:r>
        <w:rPr>
          <w:kern w:val="0"/>
        </w:rPr>
        <w:t xml:space="preserve">safety of </w:t>
      </w:r>
      <w:r w:rsidRPr="00390668">
        <w:rPr>
          <w:i/>
          <w:kern w:val="0"/>
        </w:rPr>
        <w:t>Urtica dioica</w:t>
      </w:r>
      <w:r>
        <w:rPr>
          <w:kern w:val="0"/>
        </w:rPr>
        <w:t xml:space="preserve"> in the treatment of diabetes. </w:t>
      </w:r>
      <w:r>
        <w:rPr>
          <w:i/>
          <w:iCs/>
          <w:kern w:val="0"/>
        </w:rPr>
        <w:t>International Journal of Pharmacology</w:t>
      </w:r>
      <w:r>
        <w:rPr>
          <w:kern w:val="0"/>
        </w:rPr>
        <w:t xml:space="preserve">, </w:t>
      </w:r>
      <w:r>
        <w:rPr>
          <w:b/>
          <w:bCs/>
          <w:kern w:val="0"/>
        </w:rPr>
        <w:t>7</w:t>
      </w:r>
      <w:r>
        <w:rPr>
          <w:kern w:val="0"/>
        </w:rPr>
        <w:t xml:space="preserve"> (2), 161-170.</w:t>
      </w:r>
    </w:p>
    <w:p w:rsidR="000F3615" w:rsidRDefault="000F3615" w:rsidP="000F3615">
      <w:pPr>
        <w:pStyle w:val="a0"/>
        <w:rPr>
          <w:kern w:val="0"/>
        </w:rPr>
      </w:pPr>
      <w:r>
        <w:rPr>
          <w:rFonts w:hint="eastAsia"/>
          <w:kern w:val="0"/>
        </w:rPr>
        <w:t xml:space="preserve">Full Text: </w:t>
      </w:r>
      <w:hyperlink r:id="rId2029" w:history="1">
        <w:r w:rsidRPr="00390668">
          <w:rPr>
            <w:rStyle w:val="a5"/>
            <w:kern w:val="0"/>
          </w:rPr>
          <w:t>2011\Int J Pha7, 161.pdf</w:t>
        </w:r>
      </w:hyperlink>
    </w:p>
    <w:p w:rsidR="000F3615" w:rsidRDefault="000F3615" w:rsidP="000F3615">
      <w:pPr>
        <w:pStyle w:val="a0"/>
        <w:rPr>
          <w:kern w:val="0"/>
        </w:rPr>
      </w:pPr>
      <w:r>
        <w:rPr>
          <w:kern w:val="0"/>
        </w:rPr>
        <w:t>Abstract: This review focuses on the efficacy</w:t>
      </w:r>
      <w:r w:rsidR="00F81221">
        <w:rPr>
          <w:kern w:val="0"/>
        </w:rPr>
        <w:t xml:space="preserve"> and </w:t>
      </w:r>
      <w:r>
        <w:rPr>
          <w:kern w:val="0"/>
        </w:rPr>
        <w:t>safety of Urtica dioica which has been utilized in traditional medicine for management of diabetes. All relevant databases including Pubmed, Google Scholar, Web of Science, Scopus, Iranmedex</w:t>
      </w:r>
      <w:r w:rsidR="00F81221">
        <w:rPr>
          <w:kern w:val="0"/>
        </w:rPr>
        <w:t xml:space="preserve"> and </w:t>
      </w:r>
      <w:r>
        <w:rPr>
          <w:kern w:val="0"/>
        </w:rPr>
        <w:t>MD Consult were searched for the terms diabetes mellitus</w:t>
      </w:r>
      <w:r w:rsidR="00F81221">
        <w:rPr>
          <w:kern w:val="0"/>
        </w:rPr>
        <w:t xml:space="preserve"> and </w:t>
      </w:r>
      <w:r>
        <w:rPr>
          <w:kern w:val="0"/>
        </w:rPr>
        <w:t xml:space="preserve">Urtica dioica without limitation up to 15th September 2010. All the animal studies with the outcome of </w:t>
      </w:r>
      <w:r>
        <w:rPr>
          <w:kern w:val="0"/>
        </w:rPr>
        <w:lastRenderedPageBreak/>
        <w:t>change in blood glucose or other relevant complications of diabetes</w:t>
      </w:r>
      <w:r w:rsidR="00F81221">
        <w:rPr>
          <w:kern w:val="0"/>
        </w:rPr>
        <w:t xml:space="preserve"> and </w:t>
      </w:r>
      <w:r>
        <w:rPr>
          <w:kern w:val="0"/>
        </w:rPr>
        <w:t>all available abstracts were included. Review articles</w:t>
      </w:r>
      <w:r w:rsidR="00F81221">
        <w:rPr>
          <w:kern w:val="0"/>
        </w:rPr>
        <w:t xml:space="preserve"> and </w:t>
      </w:r>
      <w:r>
        <w:rPr>
          <w:kern w:val="0"/>
        </w:rPr>
        <w:t>letters to the editor were excluded. Search of databases resulted in 724 articles which 87 were potentially relevant studies on Urtica dioica</w:t>
      </w:r>
      <w:r w:rsidR="00F81221">
        <w:rPr>
          <w:kern w:val="0"/>
        </w:rPr>
        <w:t xml:space="preserve"> and </w:t>
      </w:r>
      <w:r>
        <w:rPr>
          <w:kern w:val="0"/>
        </w:rPr>
        <w:t>diabetes. On the basis of inclusion/exclusion criteria, 21 studies were finally included. One human</w:t>
      </w:r>
      <w:r w:rsidR="00F81221">
        <w:rPr>
          <w:kern w:val="0"/>
        </w:rPr>
        <w:t xml:space="preserve"> and </w:t>
      </w:r>
      <w:r>
        <w:rPr>
          <w:kern w:val="0"/>
        </w:rPr>
        <w:t>20 animal studies were reviewed for the efficacy of Urtica dioica. Most of these studies showed significant decrease in blood glucose</w:t>
      </w:r>
      <w:r w:rsidR="00F81221">
        <w:rPr>
          <w:kern w:val="0"/>
        </w:rPr>
        <w:t xml:space="preserve"> and </w:t>
      </w:r>
      <w:r>
        <w:rPr>
          <w:kern w:val="0"/>
        </w:rPr>
        <w:t>complications of diabetes by use of Urtica dioica. Urtica dioica can affect both pancreatic</w:t>
      </w:r>
      <w:r w:rsidR="00F81221">
        <w:rPr>
          <w:kern w:val="0"/>
        </w:rPr>
        <w:t xml:space="preserve"> and </w:t>
      </w:r>
      <w:r>
        <w:rPr>
          <w:kern w:val="0"/>
        </w:rPr>
        <w:t>extra pancreatic pathways. Available evidences suggest that Urtica dioica can be used to treat diabetes</w:t>
      </w:r>
      <w:r w:rsidR="00F81221">
        <w:rPr>
          <w:kern w:val="0"/>
        </w:rPr>
        <w:t xml:space="preserve"> and </w:t>
      </w:r>
      <w:r>
        <w:rPr>
          <w:kern w:val="0"/>
        </w:rPr>
        <w:t>its long-term complications. Of course, further experiments would help determine exact mechanisms of action, effects</w:t>
      </w:r>
      <w:r w:rsidR="00F81221">
        <w:rPr>
          <w:kern w:val="0"/>
        </w:rPr>
        <w:t xml:space="preserve"> and </w:t>
      </w:r>
      <w:r>
        <w:rPr>
          <w:kern w:val="0"/>
        </w:rPr>
        <w:t>side effects of this herbal medicine.</w:t>
      </w:r>
    </w:p>
    <w:p w:rsidR="000F3615" w:rsidRDefault="000F3615" w:rsidP="000F3615">
      <w:pPr>
        <w:pStyle w:val="a0"/>
        <w:rPr>
          <w:kern w:val="0"/>
        </w:rPr>
      </w:pPr>
      <w:r>
        <w:rPr>
          <w:kern w:val="0"/>
        </w:rPr>
        <w:t>Keywords: Benign Prostatic Hyperplasia, Blood, Cells, Complications, Databases, Dentate Gyrus, Diabetes, Diabetes Mellitus, Efficacy, Extract, Google Scholar, Herbal Medicine, Human, Management, Mechanisms, Medicinal Plants, Medicinal-Plants, Medicine, Mellitus, Nod Mice, Outcome, Rats, Review, Review Articles, Safety, Science, Scopus, Setarud Imod(TM), Side Effects, Stress, Systematic, Systematic Review, Traditional, Traditional Medicine, Treatment, Urtica Dioica, Web of Science</w:t>
      </w:r>
    </w:p>
    <w:p w:rsidR="000F3615" w:rsidRDefault="000F3615" w:rsidP="000F3615">
      <w:pPr>
        <w:pStyle w:val="a0"/>
        <w:rPr>
          <w:kern w:val="0"/>
        </w:rPr>
      </w:pPr>
      <w:r>
        <w:rPr>
          <w:rFonts w:hint="eastAsia"/>
          <w:kern w:val="0"/>
        </w:rPr>
        <w:t xml:space="preserve">? </w:t>
      </w:r>
      <w:r>
        <w:rPr>
          <w:kern w:val="0"/>
        </w:rPr>
        <w:t>Nikfar, S., Ehteshami-Afshar, S.</w:t>
      </w:r>
      <w:r w:rsidR="00F81221">
        <w:rPr>
          <w:kern w:val="0"/>
        </w:rPr>
        <w:t xml:space="preserve"> and </w:t>
      </w:r>
      <w:r>
        <w:rPr>
          <w:kern w:val="0"/>
        </w:rPr>
        <w:t>Abdollahi, M. (2011), A systematic review</w:t>
      </w:r>
      <w:r w:rsidR="00F81221">
        <w:rPr>
          <w:kern w:val="0"/>
        </w:rPr>
        <w:t xml:space="preserve"> and </w:t>
      </w:r>
      <w:r>
        <w:rPr>
          <w:kern w:val="0"/>
        </w:rPr>
        <w:t>meta-analysis of the efficacy</w:t>
      </w:r>
      <w:r w:rsidR="00F81221">
        <w:rPr>
          <w:kern w:val="0"/>
        </w:rPr>
        <w:t xml:space="preserve"> and </w:t>
      </w:r>
      <w:r>
        <w:rPr>
          <w:kern w:val="0"/>
        </w:rPr>
        <w:t>adverse events of infliximab in comparison to corticosteroids</w:t>
      </w:r>
      <w:r w:rsidR="00F81221">
        <w:rPr>
          <w:kern w:val="0"/>
        </w:rPr>
        <w:t xml:space="preserve"> and </w:t>
      </w:r>
      <w:r>
        <w:rPr>
          <w:kern w:val="0"/>
        </w:rPr>
        <w:t xml:space="preserve">placebo in active ulcerative colitis. </w:t>
      </w:r>
      <w:r>
        <w:rPr>
          <w:i/>
          <w:iCs/>
          <w:kern w:val="0"/>
        </w:rPr>
        <w:t>International Journal of Pharmacology</w:t>
      </w:r>
      <w:r>
        <w:rPr>
          <w:kern w:val="0"/>
        </w:rPr>
        <w:t xml:space="preserve">, </w:t>
      </w:r>
      <w:r>
        <w:rPr>
          <w:b/>
          <w:bCs/>
          <w:kern w:val="0"/>
        </w:rPr>
        <w:t>7</w:t>
      </w:r>
      <w:r>
        <w:rPr>
          <w:kern w:val="0"/>
        </w:rPr>
        <w:t xml:space="preserve"> (3), 325-332.</w:t>
      </w:r>
    </w:p>
    <w:p w:rsidR="000F3615" w:rsidRDefault="000F3615" w:rsidP="000F3615">
      <w:pPr>
        <w:pStyle w:val="a0"/>
        <w:rPr>
          <w:kern w:val="0"/>
        </w:rPr>
      </w:pPr>
      <w:r>
        <w:rPr>
          <w:rFonts w:hint="eastAsia"/>
          <w:kern w:val="0"/>
        </w:rPr>
        <w:t xml:space="preserve">Full Text: </w:t>
      </w:r>
      <w:hyperlink r:id="rId2030" w:history="1">
        <w:r w:rsidRPr="00390668">
          <w:rPr>
            <w:rStyle w:val="a5"/>
            <w:kern w:val="0"/>
          </w:rPr>
          <w:t>2011\Int J Pha7, 325.pdf</w:t>
        </w:r>
      </w:hyperlink>
    </w:p>
    <w:p w:rsidR="000F3615" w:rsidRDefault="000F3615" w:rsidP="000F3615">
      <w:pPr>
        <w:pStyle w:val="a0"/>
        <w:rPr>
          <w:kern w:val="0"/>
        </w:rPr>
      </w:pPr>
      <w:r>
        <w:rPr>
          <w:kern w:val="0"/>
        </w:rPr>
        <w:t>Abstract: The proinflammatory cytokine tumor necrosis factor alpha (TNF-alpha) plays a major role in severity of Ulcerative Colitis (UC)</w:t>
      </w:r>
      <w:r w:rsidR="00F81221">
        <w:rPr>
          <w:kern w:val="0"/>
        </w:rPr>
        <w:t xml:space="preserve"> and </w:t>
      </w:r>
      <w:r>
        <w:rPr>
          <w:kern w:val="0"/>
        </w:rPr>
        <w:t>thus inhibition of TNF-alpha is used to control severe cases of UC. The present meta-analysis was performed to collect</w:t>
      </w:r>
      <w:r w:rsidR="00F81221">
        <w:rPr>
          <w:kern w:val="0"/>
        </w:rPr>
        <w:t xml:space="preserve"> and </w:t>
      </w:r>
      <w:r>
        <w:rPr>
          <w:kern w:val="0"/>
        </w:rPr>
        <w:t>review all the clinical trials that investigated the efficacy</w:t>
      </w:r>
      <w:r w:rsidR="00F81221">
        <w:rPr>
          <w:kern w:val="0"/>
        </w:rPr>
        <w:t xml:space="preserve"> and </w:t>
      </w:r>
      <w:r>
        <w:rPr>
          <w:kern w:val="0"/>
        </w:rPr>
        <w:t>tolerability of infliximab in order to determine whether infliximab is more effective than placebo or corticosteroids in inducing response</w:t>
      </w:r>
      <w:r w:rsidR="00F81221">
        <w:rPr>
          <w:kern w:val="0"/>
        </w:rPr>
        <w:t xml:space="preserve"> and </w:t>
      </w:r>
      <w:r>
        <w:rPr>
          <w:kern w:val="0"/>
        </w:rPr>
        <w:t>remission in UC. All bibliographic databases such as PubMed, Scopus, Web of Science</w:t>
      </w:r>
      <w:r w:rsidR="00F81221">
        <w:rPr>
          <w:kern w:val="0"/>
        </w:rPr>
        <w:t xml:space="preserve"> and </w:t>
      </w:r>
      <w:r>
        <w:rPr>
          <w:kern w:val="0"/>
        </w:rPr>
        <w:t>Cochrane Central Register of Controlled Trials were searched for studies investigated the efficacy of infliximab for the management of UC. Data were collected from 1966 to September 2010. Three trials represented 57 patients with UC who were randomized to receive infliximab or corticosteroids</w:t>
      </w:r>
      <w:r w:rsidR="00F81221">
        <w:rPr>
          <w:kern w:val="0"/>
        </w:rPr>
        <w:t xml:space="preserve"> and </w:t>
      </w:r>
      <w:r>
        <w:rPr>
          <w:kern w:val="0"/>
        </w:rPr>
        <w:t>5 trials represented 827 patients with UC who were randomized to receive infliximab or placebo were included in the analysis. The summary Relative Risk (RR) for clinical remission in comparison of infliximab with placebo was 1.93 with a 95% Confidence Interval (CI) of 1.62-2.3</w:t>
      </w:r>
      <w:r w:rsidR="00F81221">
        <w:rPr>
          <w:kern w:val="0"/>
        </w:rPr>
        <w:t xml:space="preserve"> and </w:t>
      </w:r>
      <w:r>
        <w:rPr>
          <w:kern w:val="0"/>
        </w:rPr>
        <w:t xml:space="preserve">a significant RR (p&lt;0.0001). Summary RR for adverse events of infliximab comparing to placebo was 1.07 with a 95% CI of 0.99-1.14, a non-significant RR (p = 0.0725). The summary RR for </w:t>
      </w:r>
      <w:r>
        <w:rPr>
          <w:kern w:val="0"/>
        </w:rPr>
        <w:lastRenderedPageBreak/>
        <w:t>serious adverse events of infliximab comparing to placebo was 0.83 with a 95% CI of 0.44-1.54 as a non-significant RR (p = 0.5472). The summary RR for clinical remission of infliximab comparing to corticosteroids was 1.07 with a 95% CI of 0.87-1.31 as a non-significant RR (p = 0.5353). Patients receiving infliximab were 1.93</w:t>
      </w:r>
      <w:r w:rsidR="00F81221">
        <w:rPr>
          <w:kern w:val="0"/>
        </w:rPr>
        <w:t xml:space="preserve"> and </w:t>
      </w:r>
      <w:r>
        <w:rPr>
          <w:kern w:val="0"/>
        </w:rPr>
        <w:t>1.07 times more likely to go to the remission as compared to those receiving placebo</w:t>
      </w:r>
      <w:r w:rsidR="00F81221">
        <w:rPr>
          <w:kern w:val="0"/>
        </w:rPr>
        <w:t xml:space="preserve"> and </w:t>
      </w:r>
      <w:r>
        <w:rPr>
          <w:kern w:val="0"/>
        </w:rPr>
        <w:t>corticosteroids, respectively. Meanwhile, the risk of adverse events in the patients receiving infliximab was 1.07 times more than placebo group. The risk of opportunistic infection was high in patients who have failed steroids</w:t>
      </w:r>
      <w:r w:rsidR="00F81221">
        <w:rPr>
          <w:kern w:val="0"/>
        </w:rPr>
        <w:t xml:space="preserve"> and </w:t>
      </w:r>
      <w:r>
        <w:rPr>
          <w:kern w:val="0"/>
        </w:rPr>
        <w:t>cyclosporine</w:t>
      </w:r>
      <w:r w:rsidR="00F81221">
        <w:rPr>
          <w:kern w:val="0"/>
        </w:rPr>
        <w:t xml:space="preserve"> and </w:t>
      </w:r>
      <w:r>
        <w:rPr>
          <w:kern w:val="0"/>
        </w:rPr>
        <w:t>were using infliximab. Although infliximab is more effective than corticosteroids in inducing clinical remission, we believe further trials are still needed to judge stronger in this respect.</w:t>
      </w:r>
    </w:p>
    <w:p w:rsidR="000F3615" w:rsidRDefault="000F3615" w:rsidP="000F3615">
      <w:pPr>
        <w:pStyle w:val="a0"/>
        <w:rPr>
          <w:kern w:val="0"/>
        </w:rPr>
      </w:pPr>
      <w:r>
        <w:rPr>
          <w:kern w:val="0"/>
        </w:rPr>
        <w:t>Keywords: Adverse Events, Analysis, Antibiotic-Therapy, Bibliographic, Bibliographic Databases, Clinical Remission, Clinical Response, Clinical Trials, Cochrane, Control, Controlled Clinical-Trials, Corticoseteriod, Corticosteroids, Crohns-Disease, Databases, Efficacy, Infection, Inflammatory-Bowel-Disease, Infliximab, Inhibition, Maintenance, Management, Meta Analysis, Meta-Analysis, Patients, Pouch-Anal Anastomosis, Pubmed, Remission, Review, Risk, Science, Scopus, Serious Adverse Events, Single-Center Cohort, Systematic, Systematic Review, Term-Follow-up, Tumour Necrosis Factor, Ulcerative Colitis, Web of Science</w:t>
      </w:r>
    </w:p>
    <w:p w:rsidR="00693A80" w:rsidRPr="001A3D2B" w:rsidRDefault="00693A80" w:rsidP="00693A80">
      <w:pPr>
        <w:pStyle w:val="1"/>
      </w:pPr>
      <w:r w:rsidRPr="001A3D2B">
        <w:br w:type="page"/>
      </w:r>
      <w:bookmarkStart w:id="1455" w:name="_Toc317161349"/>
      <w:r w:rsidRPr="001A3D2B">
        <w:lastRenderedPageBreak/>
        <w:t xml:space="preserve">Title: </w:t>
      </w:r>
      <w:r w:rsidRPr="0001326A">
        <w:rPr>
          <w:iCs/>
        </w:rPr>
        <w:t>International Journal of Philosophical Studies</w:t>
      </w:r>
      <w:bookmarkEnd w:id="1455"/>
    </w:p>
    <w:p w:rsidR="00693A80" w:rsidRPr="001A3D2B" w:rsidRDefault="00693A80" w:rsidP="00B72EF9">
      <w:pPr>
        <w:pStyle w:val="12"/>
      </w:pPr>
      <w:r w:rsidRPr="001A3D2B">
        <w:t xml:space="preserve">Full Journal Title: </w:t>
      </w:r>
      <w:r w:rsidRPr="0001326A">
        <w:t>International Journal of Philosophical Studies</w:t>
      </w:r>
    </w:p>
    <w:p w:rsidR="00693A80" w:rsidRPr="001A3D2B" w:rsidRDefault="00693A80" w:rsidP="00B72EF9">
      <w:pPr>
        <w:pStyle w:val="12"/>
      </w:pPr>
      <w:r w:rsidRPr="001A3D2B">
        <w:t xml:space="preserve">ISO Abbreviated Title: </w:t>
      </w:r>
    </w:p>
    <w:p w:rsidR="00693A80" w:rsidRPr="001A3D2B" w:rsidRDefault="00693A80" w:rsidP="00B72EF9">
      <w:pPr>
        <w:pStyle w:val="12"/>
      </w:pPr>
      <w:r w:rsidRPr="001A3D2B">
        <w:t xml:space="preserve">JCR Abbreviated Title: </w:t>
      </w:r>
    </w:p>
    <w:p w:rsidR="00693A80" w:rsidRPr="001A3D2B" w:rsidRDefault="00693A80" w:rsidP="00B72EF9">
      <w:pPr>
        <w:pStyle w:val="12"/>
      </w:pPr>
      <w:r>
        <w:t xml:space="preserve">ISSN: </w:t>
      </w:r>
    </w:p>
    <w:p w:rsidR="00693A80" w:rsidRPr="001A3D2B" w:rsidRDefault="00693A80" w:rsidP="00B72EF9">
      <w:pPr>
        <w:pStyle w:val="12"/>
      </w:pPr>
      <w:r w:rsidRPr="001A3D2B">
        <w:t xml:space="preserve">Issues/Year: </w:t>
      </w:r>
    </w:p>
    <w:p w:rsidR="00693A80" w:rsidRPr="001A3D2B" w:rsidRDefault="00693A80" w:rsidP="00B72EF9">
      <w:pPr>
        <w:pStyle w:val="12"/>
      </w:pPr>
      <w:r w:rsidRPr="001A3D2B">
        <w:t xml:space="preserve">Journal Country/Territory: </w:t>
      </w:r>
    </w:p>
    <w:p w:rsidR="00693A80" w:rsidRPr="001A3D2B" w:rsidRDefault="00693A80" w:rsidP="00B72EF9">
      <w:pPr>
        <w:pStyle w:val="12"/>
      </w:pPr>
      <w:r w:rsidRPr="001A3D2B">
        <w:t xml:space="preserve">Language: </w:t>
      </w:r>
    </w:p>
    <w:p w:rsidR="00693A80" w:rsidRPr="001A3D2B" w:rsidRDefault="00693A80" w:rsidP="00B72EF9">
      <w:pPr>
        <w:pStyle w:val="12"/>
      </w:pPr>
      <w:r w:rsidRPr="001A3D2B">
        <w:t xml:space="preserve">Publisher: </w:t>
      </w:r>
    </w:p>
    <w:p w:rsidR="00693A80" w:rsidRPr="001A3D2B" w:rsidRDefault="00693A80" w:rsidP="00B72EF9">
      <w:pPr>
        <w:pStyle w:val="12"/>
      </w:pPr>
      <w:r w:rsidRPr="001A3D2B">
        <w:t xml:space="preserve">Publisher Address: </w:t>
      </w:r>
    </w:p>
    <w:p w:rsidR="00693A80" w:rsidRPr="001A3D2B" w:rsidRDefault="00693A80" w:rsidP="00B72EF9">
      <w:pPr>
        <w:pStyle w:val="12"/>
      </w:pPr>
      <w:r w:rsidRPr="001A3D2B">
        <w:t>Subject Categories:</w:t>
      </w:r>
    </w:p>
    <w:p w:rsidR="00693A80" w:rsidRPr="001A3D2B" w:rsidRDefault="00693A80" w:rsidP="00B72EF9">
      <w:pPr>
        <w:pStyle w:val="12"/>
      </w:pPr>
      <w:r w:rsidRPr="001A3D2B">
        <w:t>: Impact Factor</w:t>
      </w:r>
    </w:p>
    <w:p w:rsidR="00693A80" w:rsidRDefault="00693A80" w:rsidP="00693A80">
      <w:pPr>
        <w:pStyle w:val="a0"/>
        <w:rPr>
          <w:kern w:val="0"/>
        </w:rPr>
      </w:pPr>
      <w:r>
        <w:rPr>
          <w:rFonts w:hint="eastAsia"/>
          <w:kern w:val="0"/>
        </w:rPr>
        <w:t xml:space="preserve">? </w:t>
      </w:r>
      <w:r>
        <w:rPr>
          <w:kern w:val="0"/>
        </w:rPr>
        <w:t xml:space="preserve">Haddad, S. (2006), Reading Derrida reading Derrida: Deconstruction as self-inheritance. </w:t>
      </w:r>
      <w:r w:rsidRPr="0001326A">
        <w:rPr>
          <w:i/>
          <w:iCs/>
          <w:kern w:val="0"/>
        </w:rPr>
        <w:t>International Journal of Philosophical Studies</w:t>
      </w:r>
      <w:r>
        <w:rPr>
          <w:kern w:val="0"/>
        </w:rPr>
        <w:t xml:space="preserve">, </w:t>
      </w:r>
      <w:r>
        <w:rPr>
          <w:b/>
          <w:bCs/>
          <w:kern w:val="0"/>
        </w:rPr>
        <w:t>14</w:t>
      </w:r>
      <w:r>
        <w:rPr>
          <w:kern w:val="0"/>
        </w:rPr>
        <w:t xml:space="preserve"> (4), 505-520.</w:t>
      </w:r>
    </w:p>
    <w:p w:rsidR="00693A80" w:rsidRDefault="00693A80" w:rsidP="00693A80">
      <w:pPr>
        <w:pStyle w:val="a0"/>
        <w:rPr>
          <w:kern w:val="0"/>
        </w:rPr>
      </w:pPr>
      <w:r>
        <w:rPr>
          <w:rFonts w:hint="eastAsia"/>
          <w:kern w:val="0"/>
        </w:rPr>
        <w:t xml:space="preserve">Full Text: </w:t>
      </w:r>
      <w:hyperlink r:id="rId2031" w:history="1">
        <w:r w:rsidRPr="00322FB9">
          <w:rPr>
            <w:rStyle w:val="a5"/>
            <w:kern w:val="0"/>
          </w:rPr>
          <w:t>2006\Int J Phi Stu14, 505.pdf</w:t>
        </w:r>
      </w:hyperlink>
    </w:p>
    <w:p w:rsidR="00693A80" w:rsidRDefault="00693A80" w:rsidP="00693A80">
      <w:pPr>
        <w:pStyle w:val="a0"/>
        <w:rPr>
          <w:kern w:val="0"/>
        </w:rPr>
      </w:pPr>
      <w:r>
        <w:rPr>
          <w:kern w:val="0"/>
        </w:rPr>
        <w:t>Abstract: Derrida argued at great length early on in his career that texts live on in the absence of their author. The question remains, however, of precisely how this survival takes place. In this paper I argue that the life of Derrida</w:t>
      </w:r>
      <w:r w:rsidR="000352E7">
        <w:rPr>
          <w:kern w:val="0"/>
        </w:rPr>
        <w:t>’</w:t>
      </w:r>
      <w:r>
        <w:rPr>
          <w:kern w:val="0"/>
        </w:rPr>
        <w:t>s own oeuvre is sustained through his particular practice of self-inheritance. I justify this claim by focusing on one moment in the text Rogues: Two Essays on Reason, in which Derrida inherits from himself through self-citation. In citing himself while at the same time modifying his citation, Derrida sets into motion a deconstruction of his own text that he does not seem to anticipate. It is this movement of deconstruction that enables Derrida</w:t>
      </w:r>
      <w:r w:rsidR="000352E7">
        <w:rPr>
          <w:kern w:val="0"/>
        </w:rPr>
        <w:t>’</w:t>
      </w:r>
      <w:r>
        <w:rPr>
          <w:kern w:val="0"/>
        </w:rPr>
        <w:t>s text to live on.</w:t>
      </w:r>
    </w:p>
    <w:p w:rsidR="00693A80" w:rsidRDefault="00693A80" w:rsidP="00693A80">
      <w:pPr>
        <w:pStyle w:val="a0"/>
        <w:rPr>
          <w:kern w:val="0"/>
        </w:rPr>
      </w:pPr>
      <w:r>
        <w:rPr>
          <w:kern w:val="0"/>
        </w:rPr>
        <w:t>Keywords: Author, Authorial Intention, Autoimmunity, Citation, Deconstruction, Inheritance, Jacques Derrida, Self-Citation, Survival</w:t>
      </w:r>
    </w:p>
    <w:p w:rsidR="00B95188" w:rsidRPr="00A428C3" w:rsidRDefault="00B95188" w:rsidP="00B95188">
      <w:pPr>
        <w:pStyle w:val="1"/>
      </w:pPr>
      <w:r w:rsidRPr="00A428C3">
        <w:br w:type="page"/>
      </w:r>
      <w:bookmarkStart w:id="1456" w:name="_Toc317161350"/>
      <w:r w:rsidRPr="00A428C3">
        <w:lastRenderedPageBreak/>
        <w:t xml:space="preserve">Title: </w:t>
      </w:r>
      <w:r w:rsidRPr="008A286D">
        <w:rPr>
          <w:iCs/>
        </w:rPr>
        <w:t>International Journal of Photoenergy</w:t>
      </w:r>
      <w:bookmarkEnd w:id="1456"/>
    </w:p>
    <w:p w:rsidR="00B95188" w:rsidRPr="00A428C3" w:rsidRDefault="00B95188" w:rsidP="00B72EF9">
      <w:pPr>
        <w:pStyle w:val="12"/>
      </w:pPr>
      <w:r w:rsidRPr="00A428C3">
        <w:t xml:space="preserve">Full Journal Title: </w:t>
      </w:r>
      <w:hyperlink r:id="rId2032" w:history="1">
        <w:r w:rsidRPr="00B65975">
          <w:rPr>
            <w:rStyle w:val="a5"/>
            <w:iCs/>
          </w:rPr>
          <w:t>International Journal of Photoenergy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586CD8" w:rsidRDefault="00B95188" w:rsidP="00B95188">
      <w:pPr>
        <w:pStyle w:val="a0"/>
        <w:rPr>
          <w:kern w:val="2"/>
        </w:rPr>
      </w:pPr>
      <w:r w:rsidRPr="00586CD8">
        <w:rPr>
          <w:rFonts w:hint="eastAsia"/>
          <w:kern w:val="2"/>
        </w:rPr>
        <w:t xml:space="preserve">? </w:t>
      </w:r>
      <w:r w:rsidRPr="00586CD8">
        <w:rPr>
          <w:kern w:val="2"/>
        </w:rPr>
        <w:t>Holliman, P.J., Velasco, B.V., Butler, I., Wijdekop, M.</w:t>
      </w:r>
      <w:r w:rsidR="00F81221">
        <w:rPr>
          <w:kern w:val="2"/>
        </w:rPr>
        <w:t xml:space="preserve"> and </w:t>
      </w:r>
      <w:r w:rsidRPr="00586CD8">
        <w:rPr>
          <w:kern w:val="2"/>
        </w:rPr>
        <w:t>Worsley, D.A. (2008), Studies of dye sensitisation kinetics</w:t>
      </w:r>
      <w:r w:rsidR="00F81221">
        <w:rPr>
          <w:kern w:val="2"/>
        </w:rPr>
        <w:t xml:space="preserve"> and </w:t>
      </w:r>
      <w:r w:rsidRPr="00586CD8">
        <w:rPr>
          <w:kern w:val="2"/>
        </w:rPr>
        <w:t xml:space="preserve">sorption isotherms of direct red 23 on Titania. </w:t>
      </w:r>
      <w:r w:rsidRPr="008A286D">
        <w:rPr>
          <w:i/>
          <w:iCs/>
          <w:kern w:val="0"/>
        </w:rPr>
        <w:t>International Journal of Photoenergy</w:t>
      </w:r>
      <w:r w:rsidRPr="00586CD8">
        <w:rPr>
          <w:kern w:val="2"/>
        </w:rPr>
        <w:t>.</w:t>
      </w:r>
      <w:r w:rsidRPr="008A286D">
        <w:t xml:space="preserve"> </w:t>
      </w:r>
      <w:r w:rsidRPr="00586CD8">
        <w:rPr>
          <w:kern w:val="2"/>
        </w:rPr>
        <w:t>Article Number: 827605</w:t>
      </w:r>
      <w:r w:rsidRPr="00586CD8">
        <w:rPr>
          <w:rFonts w:hint="eastAsia"/>
          <w:kern w:val="2"/>
        </w:rPr>
        <w:t>.</w:t>
      </w:r>
    </w:p>
    <w:p w:rsidR="00B95188" w:rsidRPr="00586CD8" w:rsidRDefault="00B95188" w:rsidP="00B95188">
      <w:pPr>
        <w:pStyle w:val="a0"/>
        <w:rPr>
          <w:kern w:val="2"/>
        </w:rPr>
      </w:pPr>
      <w:r w:rsidRPr="00586CD8">
        <w:rPr>
          <w:rFonts w:hint="eastAsia"/>
          <w:kern w:val="2"/>
        </w:rPr>
        <w:t xml:space="preserve">Full Text: </w:t>
      </w:r>
      <w:hyperlink r:id="rId2033" w:history="1">
        <w:r w:rsidRPr="008A286D">
          <w:rPr>
            <w:rStyle w:val="a5"/>
            <w:kern w:val="0"/>
          </w:rPr>
          <w:t>2008\Int J Pho827605.pdf</w:t>
        </w:r>
      </w:hyperlink>
    </w:p>
    <w:p w:rsidR="00B95188" w:rsidRPr="00586CD8" w:rsidRDefault="00B95188" w:rsidP="00B95188">
      <w:pPr>
        <w:pStyle w:val="a0"/>
        <w:rPr>
          <w:kern w:val="2"/>
        </w:rPr>
      </w:pPr>
      <w:r w:rsidRPr="00586CD8">
        <w:rPr>
          <w:kern w:val="2"/>
        </w:rPr>
        <w:t>Abstract: Sorption kinetics</w:t>
      </w:r>
      <w:r w:rsidR="00F81221">
        <w:rPr>
          <w:kern w:val="2"/>
        </w:rPr>
        <w:t xml:space="preserve"> and </w:t>
      </w:r>
      <w:r w:rsidRPr="00586CD8">
        <w:rPr>
          <w:kern w:val="2"/>
        </w:rPr>
        <w:t>isotherms have been measured for a commercial dye (Direct Red 23) on different samples of powdered Titania,</w:t>
      </w:r>
      <w:r w:rsidR="00F81221">
        <w:rPr>
          <w:kern w:val="2"/>
        </w:rPr>
        <w:t xml:space="preserve"> and </w:t>
      </w:r>
      <w:r w:rsidRPr="00586CD8">
        <w:rPr>
          <w:kern w:val="2"/>
        </w:rPr>
        <w:t>the data were analysed to better understand the dye sensitization process for dye sensitised solar cells (DSSCs). For the sorption kinetics, the data show rapid initial sorption (&lt;1 hour) followed by slower rate of increasing uptake between 1</w:t>
      </w:r>
      <w:r w:rsidR="00F81221">
        <w:rPr>
          <w:kern w:val="2"/>
        </w:rPr>
        <w:t xml:space="preserve"> and </w:t>
      </w:r>
      <w:r w:rsidRPr="00586CD8">
        <w:rPr>
          <w:kern w:val="2"/>
        </w:rPr>
        <w:t>24 hours. While higher initial concentrations of dye correspond to higher sorption overall, less dye is absorbed from higher initial dye concentrations when considered as percentage uptake. The correlation between the sorption data</w:t>
      </w:r>
      <w:r w:rsidR="00F81221">
        <w:rPr>
          <w:kern w:val="2"/>
        </w:rPr>
        <w:t xml:space="preserve"> and </w:t>
      </w:r>
      <w:r w:rsidRPr="00586CD8">
        <w:rPr>
          <w:kern w:val="2"/>
        </w:rPr>
        <w:t>model isotherms has been considered with time. The Langmuir model shows better correlations compared to the Freundlich isotherm. The dye uptake data has also been correlated with Titania characterization data (X-ray diffraction, scanning electron microscopy, BET</w:t>
      </w:r>
      <w:r w:rsidR="00F81221">
        <w:rPr>
          <w:kern w:val="2"/>
        </w:rPr>
        <w:t xml:space="preserve"> and </w:t>
      </w:r>
      <w:r w:rsidRPr="00586CD8">
        <w:rPr>
          <w:kern w:val="2"/>
        </w:rPr>
        <w:t>zero point charge analysis). Kinetic data show significantly better fits to second-order models compared to first order. This suggests that chemisorption is taking place</w:t>
      </w:r>
      <w:r w:rsidR="00F81221">
        <w:rPr>
          <w:kern w:val="2"/>
        </w:rPr>
        <w:t xml:space="preserve"> and </w:t>
      </w:r>
      <w:r w:rsidRPr="00586CD8">
        <w:rPr>
          <w:kern w:val="2"/>
        </w:rPr>
        <w:t>that the interaction between the dye sorbate</w:t>
      </w:r>
      <w:r w:rsidR="00F81221">
        <w:rPr>
          <w:kern w:val="2"/>
        </w:rPr>
        <w:t xml:space="preserve"> and </w:t>
      </w:r>
      <w:r w:rsidRPr="00586CD8">
        <w:rPr>
          <w:kern w:val="2"/>
        </w:rPr>
        <w:t>the Titania sorbent involves electron sharing to form an ester bond.</w:t>
      </w:r>
    </w:p>
    <w:p w:rsidR="00B95188" w:rsidRPr="00586CD8" w:rsidRDefault="00B95188" w:rsidP="00B95188">
      <w:pPr>
        <w:pStyle w:val="a0"/>
        <w:rPr>
          <w:kern w:val="2"/>
        </w:rPr>
      </w:pPr>
      <w:r w:rsidRPr="00586CD8">
        <w:rPr>
          <w:kern w:val="2"/>
        </w:rPr>
        <w:t>Keywords: Adsorption, Analysis, Bet, Characterization, Charge, Chemisorption, Correlations, Dye, Electron Microscopy, First, First Order, Freundlich, Freundlich Isotherm, Interaction, Isotherm, Isotherms, Kinetic, Kinetics, Kinetics</w:t>
      </w:r>
      <w:r w:rsidR="00F81221">
        <w:rPr>
          <w:kern w:val="2"/>
        </w:rPr>
        <w:t xml:space="preserve"> and </w:t>
      </w:r>
      <w:r w:rsidRPr="00586CD8">
        <w:rPr>
          <w:kern w:val="2"/>
        </w:rPr>
        <w:t>Sorption, Langmuir, Langmuir Model, Mechanism, Methylene-Blue, Model, Models, Nanocrystalline TiO</w:t>
      </w:r>
      <w:r w:rsidRPr="00094558">
        <w:rPr>
          <w:kern w:val="0"/>
          <w:vertAlign w:val="subscript"/>
        </w:rPr>
        <w:t>2</w:t>
      </w:r>
      <w:r w:rsidRPr="00586CD8">
        <w:rPr>
          <w:kern w:val="2"/>
        </w:rPr>
        <w:t xml:space="preserve">, Scanning Electron Microscopy, Second Order, Second-Order, Sensitization, Silica, Solar-Cells, Sorbate, Sorbent, Sorption, Sorption Isotherms, </w:t>
      </w:r>
      <w:r w:rsidRPr="00586CD8">
        <w:rPr>
          <w:kern w:val="2"/>
        </w:rPr>
        <w:lastRenderedPageBreak/>
        <w:t>Sorption Kinetics, X-Ray, X-Ray Diffraction, Zero Point Charge</w:t>
      </w:r>
    </w:p>
    <w:p w:rsidR="004C2F95" w:rsidRPr="00A428C3" w:rsidRDefault="004C2F95" w:rsidP="004C2F95">
      <w:pPr>
        <w:pStyle w:val="1"/>
      </w:pPr>
      <w:r w:rsidRPr="00A428C3">
        <w:br w:type="page"/>
      </w:r>
      <w:bookmarkStart w:id="1457" w:name="_Toc317161351"/>
      <w:r w:rsidRPr="00A428C3">
        <w:lastRenderedPageBreak/>
        <w:t xml:space="preserve">Title: </w:t>
      </w:r>
      <w:r w:rsidR="00481348">
        <w:t xml:space="preserve">International Journal of </w:t>
      </w:r>
      <w:r w:rsidR="00294F48">
        <w:rPr>
          <w:rFonts w:hint="eastAsia"/>
        </w:rPr>
        <w:t xml:space="preserve">the </w:t>
      </w:r>
      <w:r w:rsidR="00481348">
        <w:t>Physical Sciences</w:t>
      </w:r>
      <w:bookmarkEnd w:id="1457"/>
    </w:p>
    <w:p w:rsidR="004C2F95" w:rsidRPr="00A428C3" w:rsidRDefault="004C2F95" w:rsidP="00B72EF9">
      <w:pPr>
        <w:pStyle w:val="12"/>
      </w:pPr>
      <w:r w:rsidRPr="00A428C3">
        <w:t xml:space="preserve">Full Journal Title: </w:t>
      </w:r>
      <w:hyperlink r:id="rId2034" w:history="1">
        <w:r w:rsidR="00481348">
          <w:rPr>
            <w:rStyle w:val="a5"/>
          </w:rPr>
          <w:t xml:space="preserve">International Journal of </w:t>
        </w:r>
        <w:r w:rsidR="00294F48">
          <w:rPr>
            <w:rStyle w:val="a5"/>
            <w:rFonts w:hint="eastAsia"/>
          </w:rPr>
          <w:t xml:space="preserve">the </w:t>
        </w:r>
        <w:r w:rsidR="00481348">
          <w:rPr>
            <w:rStyle w:val="a5"/>
          </w:rPr>
          <w:t>Physical Sciences</w:t>
        </w:r>
      </w:hyperlink>
    </w:p>
    <w:p w:rsidR="00481348" w:rsidRDefault="00481348" w:rsidP="00B72EF9">
      <w:pPr>
        <w:pStyle w:val="12"/>
      </w:pPr>
      <w:r>
        <w:t>ISO Abbrev. Title: Int. J. Phys. Sci.</w:t>
      </w:r>
    </w:p>
    <w:p w:rsidR="00481348" w:rsidRDefault="00481348" w:rsidP="00B72EF9">
      <w:pPr>
        <w:pStyle w:val="12"/>
      </w:pPr>
      <w:r>
        <w:t>JCR Abbrev. Title: Int J Phys Sci</w:t>
      </w:r>
    </w:p>
    <w:p w:rsidR="00481348" w:rsidRDefault="00481348" w:rsidP="00B72EF9">
      <w:pPr>
        <w:pStyle w:val="12"/>
      </w:pPr>
      <w:r>
        <w:t>ISSN: 1992-1950</w:t>
      </w:r>
    </w:p>
    <w:p w:rsidR="00481348" w:rsidRDefault="00481348" w:rsidP="00B72EF9">
      <w:pPr>
        <w:pStyle w:val="12"/>
      </w:pPr>
      <w:r>
        <w:t>Issues/Year: 12</w:t>
      </w:r>
    </w:p>
    <w:p w:rsidR="00481348" w:rsidRDefault="00481348" w:rsidP="00B72EF9">
      <w:pPr>
        <w:pStyle w:val="12"/>
      </w:pPr>
      <w:r>
        <w:t>Language: English</w:t>
      </w:r>
    </w:p>
    <w:p w:rsidR="00481348" w:rsidRDefault="00481348" w:rsidP="00B72EF9">
      <w:pPr>
        <w:pStyle w:val="12"/>
      </w:pPr>
      <w:r>
        <w:t>Journal Country/Territory: Nigeria</w:t>
      </w:r>
    </w:p>
    <w:p w:rsidR="00481348" w:rsidRDefault="00481348" w:rsidP="00B72EF9">
      <w:pPr>
        <w:pStyle w:val="12"/>
      </w:pPr>
      <w:r>
        <w:t>Publisher: Academic Journals</w:t>
      </w:r>
    </w:p>
    <w:p w:rsidR="00481348" w:rsidRDefault="00481348" w:rsidP="00B72EF9">
      <w:pPr>
        <w:pStyle w:val="12"/>
      </w:pPr>
      <w:r>
        <w:t>Publisher Address: P O Box 5170-00200 Nairobi, Victoria Island, Lagos 73023, Nigeria</w:t>
      </w:r>
    </w:p>
    <w:p w:rsidR="004C2F95" w:rsidRPr="00A428C3" w:rsidRDefault="004C2F95" w:rsidP="00B72EF9">
      <w:pPr>
        <w:pStyle w:val="12"/>
      </w:pPr>
      <w:r w:rsidRPr="00A428C3">
        <w:t>Subject Categories:</w:t>
      </w:r>
    </w:p>
    <w:p w:rsidR="004C2F95" w:rsidRDefault="00481348" w:rsidP="00B72EF9">
      <w:pPr>
        <w:pStyle w:val="12"/>
      </w:pPr>
      <w:r>
        <w:t>Multidisciplinary Sciences</w:t>
      </w:r>
      <w:r w:rsidR="004C2F95" w:rsidRPr="00A428C3">
        <w:t xml:space="preserve">: Impact Factor </w:t>
      </w:r>
      <w:r w:rsidR="00694ED9">
        <w:rPr>
          <w:rFonts w:hint="eastAsia"/>
        </w:rPr>
        <w:t>0.554, 26/48 (2009)</w:t>
      </w:r>
      <w:r w:rsidR="00294F48">
        <w:rPr>
          <w:rFonts w:hint="eastAsia"/>
        </w:rPr>
        <w:t xml:space="preserve">; </w:t>
      </w:r>
      <w:r w:rsidR="00294F48" w:rsidRPr="00A428C3">
        <w:t xml:space="preserve">Impact Factor </w:t>
      </w:r>
      <w:r w:rsidR="00294F48">
        <w:rPr>
          <w:rFonts w:hint="eastAsia"/>
        </w:rPr>
        <w:t>0.540, 26/59 (2010)</w:t>
      </w:r>
    </w:p>
    <w:p w:rsidR="009A08BD" w:rsidRDefault="009A08BD" w:rsidP="009A08BD">
      <w:pPr>
        <w:pStyle w:val="a0"/>
        <w:rPr>
          <w:kern w:val="0"/>
        </w:rPr>
      </w:pPr>
      <w:r>
        <w:rPr>
          <w:kern w:val="0"/>
        </w:rPr>
        <w:t xml:space="preserve">? </w:t>
      </w:r>
      <w:r w:rsidRPr="009A08BD">
        <w:rPr>
          <w:kern w:val="2"/>
        </w:rPr>
        <w:t>Hema, M</w:t>
      </w:r>
      <w:r>
        <w:rPr>
          <w:rFonts w:hint="eastAsia"/>
          <w:kern w:val="2"/>
        </w:rPr>
        <w:t>.</w:t>
      </w:r>
      <w:r w:rsidR="00F81221">
        <w:rPr>
          <w:rFonts w:hint="eastAsia"/>
          <w:kern w:val="2"/>
        </w:rPr>
        <w:t xml:space="preserve"> and </w:t>
      </w:r>
      <w:r w:rsidRPr="009A08BD">
        <w:rPr>
          <w:kern w:val="2"/>
        </w:rPr>
        <w:t>Arivoli, S</w:t>
      </w:r>
      <w:r>
        <w:rPr>
          <w:rFonts w:hint="eastAsia"/>
          <w:kern w:val="2"/>
        </w:rPr>
        <w:t>.</w:t>
      </w:r>
      <w:r>
        <w:rPr>
          <w:kern w:val="0"/>
        </w:rPr>
        <w:t xml:space="preserve"> (200</w:t>
      </w:r>
      <w:r>
        <w:rPr>
          <w:rFonts w:hint="eastAsia"/>
          <w:kern w:val="0"/>
        </w:rPr>
        <w:t>7</w:t>
      </w:r>
      <w:r>
        <w:rPr>
          <w:kern w:val="0"/>
        </w:rPr>
        <w:t xml:space="preserve">), </w:t>
      </w:r>
      <w:r w:rsidRPr="009A08BD">
        <w:rPr>
          <w:kern w:val="2"/>
        </w:rPr>
        <w:t>Comparative study on the adsorption kinetics</w:t>
      </w:r>
      <w:r w:rsidR="00F81221">
        <w:rPr>
          <w:kern w:val="2"/>
        </w:rPr>
        <w:t xml:space="preserve"> and </w:t>
      </w:r>
      <w:r w:rsidRPr="009A08BD">
        <w:rPr>
          <w:kern w:val="2"/>
        </w:rPr>
        <w:t>thermodynamics of dyes onto acid activated low cost carbon</w:t>
      </w:r>
      <w:r>
        <w:rPr>
          <w:kern w:val="0"/>
        </w:rPr>
        <w:t xml:space="preserve">. </w:t>
      </w:r>
      <w:r>
        <w:rPr>
          <w:i/>
          <w:iCs/>
          <w:kern w:val="0"/>
        </w:rPr>
        <w:t xml:space="preserve">International Journal of </w:t>
      </w:r>
      <w:r w:rsidR="00294F48">
        <w:rPr>
          <w:rFonts w:hint="eastAsia"/>
          <w:i/>
          <w:iCs/>
          <w:kern w:val="0"/>
        </w:rPr>
        <w:t xml:space="preserve">the </w:t>
      </w:r>
      <w:r>
        <w:rPr>
          <w:i/>
          <w:iCs/>
          <w:kern w:val="0"/>
        </w:rPr>
        <w:t>Physical Sciences</w:t>
      </w:r>
      <w:r>
        <w:rPr>
          <w:kern w:val="0"/>
        </w:rPr>
        <w:t xml:space="preserve">, </w:t>
      </w:r>
      <w:r>
        <w:rPr>
          <w:rFonts w:hint="eastAsia"/>
          <w:b/>
          <w:bCs/>
          <w:kern w:val="0"/>
        </w:rPr>
        <w:t>2</w:t>
      </w:r>
      <w:r>
        <w:rPr>
          <w:kern w:val="0"/>
        </w:rPr>
        <w:t xml:space="preserve"> (1), </w:t>
      </w:r>
      <w:r w:rsidRPr="009A08BD">
        <w:rPr>
          <w:kern w:val="2"/>
        </w:rPr>
        <w:t>10-17</w:t>
      </w:r>
      <w:r>
        <w:rPr>
          <w:kern w:val="0"/>
        </w:rPr>
        <w:t>.</w:t>
      </w:r>
    </w:p>
    <w:p w:rsidR="009A08BD" w:rsidRDefault="009A08BD" w:rsidP="009A08BD">
      <w:pPr>
        <w:pStyle w:val="a0"/>
        <w:rPr>
          <w:kern w:val="2"/>
        </w:rPr>
      </w:pPr>
      <w:r w:rsidRPr="00FC7835">
        <w:t xml:space="preserve">Full Text: </w:t>
      </w:r>
      <w:hyperlink r:id="rId2035" w:history="1">
        <w:r w:rsidRPr="009A08BD">
          <w:rPr>
            <w:rStyle w:val="a5"/>
          </w:rPr>
          <w:t>2007\Int J Phy Sci2, 10.pdf</w:t>
        </w:r>
      </w:hyperlink>
    </w:p>
    <w:p w:rsidR="009A08BD" w:rsidRPr="009A08BD" w:rsidRDefault="009A08BD" w:rsidP="009A08BD">
      <w:pPr>
        <w:pStyle w:val="a0"/>
        <w:rPr>
          <w:kern w:val="2"/>
        </w:rPr>
      </w:pPr>
      <w:r w:rsidRPr="009A08BD">
        <w:rPr>
          <w:kern w:val="2"/>
        </w:rPr>
        <w:t>Abstract: Batch experiments are carried out for the sorption of Congo red, Malachite green</w:t>
      </w:r>
      <w:r w:rsidR="00F81221">
        <w:rPr>
          <w:kern w:val="2"/>
        </w:rPr>
        <w:t xml:space="preserve"> and </w:t>
      </w:r>
      <w:r w:rsidRPr="009A08BD">
        <w:rPr>
          <w:kern w:val="2"/>
        </w:rPr>
        <w:t>Rhodamine B dyes onto acid activated carbon. The operating variables studied are initial dye concentration, pH, temperature</w:t>
      </w:r>
      <w:r w:rsidR="00F81221">
        <w:rPr>
          <w:kern w:val="2"/>
        </w:rPr>
        <w:t xml:space="preserve"> and </w:t>
      </w:r>
      <w:r w:rsidRPr="009A08BD">
        <w:rPr>
          <w:kern w:val="2"/>
        </w:rPr>
        <w:t>contact time. The equilibrium data are fitted to the Langmuir</w:t>
      </w:r>
      <w:r w:rsidR="00F81221">
        <w:rPr>
          <w:kern w:val="2"/>
        </w:rPr>
        <w:t xml:space="preserve"> and </w:t>
      </w:r>
      <w:r w:rsidRPr="009A08BD">
        <w:rPr>
          <w:kern w:val="2"/>
        </w:rPr>
        <w:t>Freundlich isotherm equations. From these the adsorption efficiency, adsorption energy, adsorption capacity, intensity of adsorption</w:t>
      </w:r>
      <w:r w:rsidR="00F81221">
        <w:rPr>
          <w:kern w:val="2"/>
        </w:rPr>
        <w:t xml:space="preserve"> and </w:t>
      </w:r>
      <w:r w:rsidRPr="009A08BD">
        <w:rPr>
          <w:kern w:val="2"/>
        </w:rPr>
        <w:t>dimensionless separation factor are calculated. The rate constant value for the adsorption process is calculated. The temperature thermodynamic parameters like Delta G degrees, Delta H degrees,</w:t>
      </w:r>
      <w:r w:rsidR="00F81221">
        <w:rPr>
          <w:kern w:val="2"/>
        </w:rPr>
        <w:t xml:space="preserve"> and </w:t>
      </w:r>
      <w:r w:rsidRPr="009A08BD">
        <w:rPr>
          <w:kern w:val="2"/>
        </w:rPr>
        <w:t>Delta S degrees are calculated from the effect of temperature. The mechanism of dye adsorption for that dye onto carbon is investigated by u</w:t>
      </w:r>
      <w:r>
        <w:rPr>
          <w:kern w:val="2"/>
        </w:rPr>
        <w:t>sing the experimental results.</w:t>
      </w:r>
    </w:p>
    <w:p w:rsidR="009A08BD" w:rsidRDefault="009A08BD" w:rsidP="009A08BD">
      <w:pPr>
        <w:pStyle w:val="a0"/>
        <w:rPr>
          <w:kern w:val="2"/>
        </w:rPr>
      </w:pPr>
      <w:r w:rsidRPr="009A08BD">
        <w:rPr>
          <w:kern w:val="2"/>
        </w:rPr>
        <w:t>Keywords: Pandanus Carbon</w:t>
      </w:r>
      <w:r>
        <w:rPr>
          <w:kern w:val="2"/>
        </w:rPr>
        <w:t>,</w:t>
      </w:r>
      <w:r w:rsidRPr="009A08BD">
        <w:rPr>
          <w:kern w:val="2"/>
        </w:rPr>
        <w:t xml:space="preserve"> Congo Red</w:t>
      </w:r>
      <w:r>
        <w:rPr>
          <w:kern w:val="2"/>
        </w:rPr>
        <w:t>,</w:t>
      </w:r>
      <w:r w:rsidRPr="009A08BD">
        <w:rPr>
          <w:kern w:val="2"/>
        </w:rPr>
        <w:t xml:space="preserve"> Malachite Green</w:t>
      </w:r>
      <w:r>
        <w:rPr>
          <w:kern w:val="2"/>
        </w:rPr>
        <w:t>,</w:t>
      </w:r>
      <w:r w:rsidRPr="009A08BD">
        <w:rPr>
          <w:kern w:val="2"/>
        </w:rPr>
        <w:t xml:space="preserve"> Rhodamine B Dyes</w:t>
      </w:r>
      <w:r>
        <w:rPr>
          <w:kern w:val="2"/>
        </w:rPr>
        <w:t>,</w:t>
      </w:r>
      <w:r w:rsidRPr="009A08BD">
        <w:rPr>
          <w:kern w:val="2"/>
        </w:rPr>
        <w:t xml:space="preserve"> Adsorption Isotherms-Langmuir</w:t>
      </w:r>
      <w:r w:rsidR="00F81221">
        <w:rPr>
          <w:kern w:val="2"/>
        </w:rPr>
        <w:t xml:space="preserve"> and </w:t>
      </w:r>
      <w:r w:rsidRPr="009A08BD">
        <w:rPr>
          <w:kern w:val="2"/>
        </w:rPr>
        <w:t>Freundlich Isotherms</w:t>
      </w:r>
      <w:r>
        <w:rPr>
          <w:kern w:val="2"/>
        </w:rPr>
        <w:t>,</w:t>
      </w:r>
      <w:r w:rsidRPr="009A08BD">
        <w:rPr>
          <w:kern w:val="2"/>
        </w:rPr>
        <w:t xml:space="preserve"> Adsorption Energy</w:t>
      </w:r>
      <w:r>
        <w:rPr>
          <w:kern w:val="2"/>
        </w:rPr>
        <w:t>,</w:t>
      </w:r>
      <w:r w:rsidRPr="009A08BD">
        <w:rPr>
          <w:kern w:val="2"/>
        </w:rPr>
        <w:t xml:space="preserve"> Adsorption Efficiency</w:t>
      </w:r>
      <w:r>
        <w:rPr>
          <w:kern w:val="2"/>
        </w:rPr>
        <w:t>,</w:t>
      </w:r>
      <w:r w:rsidRPr="009A08BD">
        <w:rPr>
          <w:kern w:val="2"/>
        </w:rPr>
        <w:t xml:space="preserve"> Kinetic Studies</w:t>
      </w:r>
      <w:r>
        <w:rPr>
          <w:kern w:val="2"/>
        </w:rPr>
        <w:t>,</w:t>
      </w:r>
      <w:r w:rsidRPr="009A08BD">
        <w:rPr>
          <w:kern w:val="2"/>
        </w:rPr>
        <w:t xml:space="preserve"> Thermodynamic Parameters</w:t>
      </w:r>
      <w:r>
        <w:rPr>
          <w:kern w:val="2"/>
        </w:rPr>
        <w:t>,</w:t>
      </w:r>
      <w:r w:rsidRPr="009A08BD">
        <w:rPr>
          <w:kern w:val="2"/>
        </w:rPr>
        <w:t xml:space="preserve"> Ph Effect</w:t>
      </w:r>
      <w:r>
        <w:rPr>
          <w:kern w:val="2"/>
        </w:rPr>
        <w:t>,</w:t>
      </w:r>
      <w:r w:rsidRPr="009A08BD">
        <w:rPr>
          <w:kern w:val="2"/>
        </w:rPr>
        <w:t xml:space="preserve"> Effect Of Other Ions</w:t>
      </w:r>
      <w:r>
        <w:rPr>
          <w:kern w:val="2"/>
        </w:rPr>
        <w:t>,</w:t>
      </w:r>
      <w:r w:rsidRPr="009A08BD">
        <w:rPr>
          <w:kern w:val="2"/>
        </w:rPr>
        <w:t xml:space="preserve"> Regeneration Pattern</w:t>
      </w:r>
      <w:r>
        <w:rPr>
          <w:kern w:val="2"/>
        </w:rPr>
        <w:t>,</w:t>
      </w:r>
      <w:r w:rsidRPr="009A08BD">
        <w:rPr>
          <w:kern w:val="2"/>
        </w:rPr>
        <w:t xml:space="preserve"> Aqueous-Solutions</w:t>
      </w:r>
      <w:r>
        <w:rPr>
          <w:kern w:val="2"/>
        </w:rPr>
        <w:t>,</w:t>
      </w:r>
      <w:r w:rsidRPr="009A08BD">
        <w:rPr>
          <w:kern w:val="2"/>
        </w:rPr>
        <w:t xml:space="preserve"> Orange Peel</w:t>
      </w:r>
      <w:r>
        <w:rPr>
          <w:kern w:val="2"/>
        </w:rPr>
        <w:t>,</w:t>
      </w:r>
      <w:r w:rsidRPr="009A08BD">
        <w:rPr>
          <w:kern w:val="2"/>
        </w:rPr>
        <w:t xml:space="preserve"> R</w:t>
      </w:r>
      <w:r>
        <w:rPr>
          <w:kern w:val="2"/>
        </w:rPr>
        <w:t>emoval, Equilibrium, Adsorbent</w:t>
      </w:r>
    </w:p>
    <w:p w:rsidR="00684ACF" w:rsidRDefault="00684ACF" w:rsidP="00684ACF">
      <w:pPr>
        <w:pStyle w:val="a0"/>
        <w:rPr>
          <w:kern w:val="0"/>
        </w:rPr>
      </w:pPr>
      <w:r>
        <w:rPr>
          <w:kern w:val="0"/>
        </w:rPr>
        <w:t xml:space="preserve">? </w:t>
      </w:r>
      <w:r w:rsidRPr="00684ACF">
        <w:rPr>
          <w:kern w:val="2"/>
        </w:rPr>
        <w:t>Venkateswarlu, P</w:t>
      </w:r>
      <w:r>
        <w:rPr>
          <w:rFonts w:hint="eastAsia"/>
          <w:kern w:val="2"/>
        </w:rPr>
        <w:t xml:space="preserve">., </w:t>
      </w:r>
      <w:r w:rsidRPr="00684ACF">
        <w:rPr>
          <w:kern w:val="2"/>
        </w:rPr>
        <w:t>Ratnam, M</w:t>
      </w:r>
      <w:r>
        <w:rPr>
          <w:rFonts w:hint="eastAsia"/>
          <w:kern w:val="2"/>
        </w:rPr>
        <w:t>.</w:t>
      </w:r>
      <w:r w:rsidRPr="00684ACF">
        <w:rPr>
          <w:kern w:val="2"/>
        </w:rPr>
        <w:t>V</w:t>
      </w:r>
      <w:r>
        <w:rPr>
          <w:rFonts w:hint="eastAsia"/>
          <w:kern w:val="2"/>
        </w:rPr>
        <w:t>.,</w:t>
      </w:r>
      <w:r w:rsidRPr="00684ACF">
        <w:rPr>
          <w:kern w:val="2"/>
        </w:rPr>
        <w:t xml:space="preserve"> Rao, D</w:t>
      </w:r>
      <w:r>
        <w:rPr>
          <w:rFonts w:hint="eastAsia"/>
          <w:kern w:val="2"/>
        </w:rPr>
        <w:t>.</w:t>
      </w:r>
      <w:r w:rsidRPr="00684ACF">
        <w:rPr>
          <w:kern w:val="2"/>
        </w:rPr>
        <w:t>S</w:t>
      </w:r>
      <w:r>
        <w:rPr>
          <w:rFonts w:hint="eastAsia"/>
          <w:kern w:val="2"/>
        </w:rPr>
        <w:t>.</w:t>
      </w:r>
      <w:r w:rsidR="00F81221">
        <w:rPr>
          <w:rFonts w:hint="eastAsia"/>
          <w:kern w:val="2"/>
        </w:rPr>
        <w:t xml:space="preserve"> and </w:t>
      </w:r>
      <w:r w:rsidRPr="00684ACF">
        <w:rPr>
          <w:kern w:val="2"/>
        </w:rPr>
        <w:t>Rao, M</w:t>
      </w:r>
      <w:r>
        <w:rPr>
          <w:rFonts w:hint="eastAsia"/>
          <w:kern w:val="2"/>
        </w:rPr>
        <w:t>.</w:t>
      </w:r>
      <w:r w:rsidRPr="00684ACF">
        <w:rPr>
          <w:kern w:val="2"/>
        </w:rPr>
        <w:t>V</w:t>
      </w:r>
      <w:r>
        <w:rPr>
          <w:rFonts w:hint="eastAsia"/>
          <w:kern w:val="2"/>
        </w:rPr>
        <w:t>.</w:t>
      </w:r>
      <w:r>
        <w:rPr>
          <w:kern w:val="0"/>
        </w:rPr>
        <w:t xml:space="preserve"> (200</w:t>
      </w:r>
      <w:r>
        <w:rPr>
          <w:rFonts w:hint="eastAsia"/>
          <w:kern w:val="0"/>
        </w:rPr>
        <w:t>7</w:t>
      </w:r>
      <w:r>
        <w:rPr>
          <w:kern w:val="0"/>
        </w:rPr>
        <w:t xml:space="preserve">), </w:t>
      </w:r>
      <w:r w:rsidRPr="00684ACF">
        <w:rPr>
          <w:kern w:val="2"/>
        </w:rPr>
        <w:t xml:space="preserve">Removal of chromium from an aqueous solution using </w:t>
      </w:r>
      <w:r w:rsidRPr="00684ACF">
        <w:rPr>
          <w:i/>
          <w:kern w:val="2"/>
        </w:rPr>
        <w:t>Azadirachta indica</w:t>
      </w:r>
      <w:r w:rsidRPr="00684ACF">
        <w:rPr>
          <w:kern w:val="2"/>
        </w:rPr>
        <w:t xml:space="preserve"> (neem) leaf powder as an adsorbent</w:t>
      </w:r>
      <w:r>
        <w:rPr>
          <w:kern w:val="0"/>
        </w:rPr>
        <w:t xml:space="preserve">. </w:t>
      </w:r>
      <w:r>
        <w:rPr>
          <w:i/>
          <w:iCs/>
          <w:kern w:val="0"/>
        </w:rPr>
        <w:t xml:space="preserve">International Journal of </w:t>
      </w:r>
      <w:r w:rsidR="00294F48">
        <w:rPr>
          <w:rFonts w:hint="eastAsia"/>
          <w:i/>
          <w:iCs/>
          <w:kern w:val="0"/>
        </w:rPr>
        <w:t xml:space="preserve">the </w:t>
      </w:r>
      <w:r>
        <w:rPr>
          <w:i/>
          <w:iCs/>
          <w:kern w:val="0"/>
        </w:rPr>
        <w:t>Physical Sciences</w:t>
      </w:r>
      <w:r>
        <w:rPr>
          <w:kern w:val="0"/>
        </w:rPr>
        <w:t xml:space="preserve">, </w:t>
      </w:r>
      <w:r>
        <w:rPr>
          <w:rFonts w:hint="eastAsia"/>
          <w:b/>
          <w:bCs/>
          <w:kern w:val="0"/>
        </w:rPr>
        <w:t>2</w:t>
      </w:r>
      <w:r>
        <w:rPr>
          <w:kern w:val="0"/>
        </w:rPr>
        <w:t xml:space="preserve"> (</w:t>
      </w:r>
      <w:r>
        <w:rPr>
          <w:rFonts w:hint="eastAsia"/>
          <w:kern w:val="0"/>
        </w:rPr>
        <w:t>8</w:t>
      </w:r>
      <w:r>
        <w:rPr>
          <w:kern w:val="0"/>
        </w:rPr>
        <w:t xml:space="preserve">), </w:t>
      </w:r>
      <w:r w:rsidRPr="00684ACF">
        <w:rPr>
          <w:kern w:val="2"/>
        </w:rPr>
        <w:t>188-195</w:t>
      </w:r>
      <w:r>
        <w:rPr>
          <w:kern w:val="0"/>
        </w:rPr>
        <w:t>.</w:t>
      </w:r>
    </w:p>
    <w:p w:rsidR="00684ACF" w:rsidRDefault="00684ACF" w:rsidP="00684ACF">
      <w:pPr>
        <w:pStyle w:val="a0"/>
        <w:rPr>
          <w:kern w:val="2"/>
        </w:rPr>
      </w:pPr>
      <w:r w:rsidRPr="00FC7835">
        <w:t xml:space="preserve">Full Text: </w:t>
      </w:r>
      <w:hyperlink r:id="rId2036" w:history="1">
        <w:r w:rsidRPr="00684ACF">
          <w:rPr>
            <w:rStyle w:val="a5"/>
          </w:rPr>
          <w:t>2007\Int J Phy Sci2, 188.pdf</w:t>
        </w:r>
      </w:hyperlink>
    </w:p>
    <w:p w:rsidR="00684ACF" w:rsidRPr="00684ACF" w:rsidRDefault="00684ACF" w:rsidP="00684ACF">
      <w:pPr>
        <w:pStyle w:val="a0"/>
        <w:rPr>
          <w:kern w:val="2"/>
        </w:rPr>
      </w:pPr>
      <w:r w:rsidRPr="00684ACF">
        <w:rPr>
          <w:kern w:val="2"/>
        </w:rPr>
        <w:t xml:space="preserve">Abstract: In the present investigation, Azadirachta indica (neem) leaf powder is used as </w:t>
      </w:r>
      <w:r w:rsidRPr="00684ACF">
        <w:rPr>
          <w:kern w:val="2"/>
        </w:rPr>
        <w:lastRenderedPageBreak/>
        <w:t>an adsorbent for the removal of chromium from aqueous solutions. The equilibrium studies are systematically carried out in a batch process, covering various process parameters that include agitation time, adsorbent size</w:t>
      </w:r>
      <w:r w:rsidR="00F81221">
        <w:rPr>
          <w:kern w:val="2"/>
        </w:rPr>
        <w:t xml:space="preserve"> and </w:t>
      </w:r>
      <w:r w:rsidRPr="00684ACF">
        <w:rPr>
          <w:kern w:val="2"/>
        </w:rPr>
        <w:t>dosage, initial chromium concentration, volume of aqueous solution</w:t>
      </w:r>
      <w:r w:rsidR="00F81221">
        <w:rPr>
          <w:kern w:val="2"/>
        </w:rPr>
        <w:t xml:space="preserve"> and </w:t>
      </w:r>
      <w:r w:rsidRPr="00684ACF">
        <w:rPr>
          <w:kern w:val="2"/>
        </w:rPr>
        <w:t>pH of the aqueous solution. Adsorption behavior is found to follow Freundlich</w:t>
      </w:r>
      <w:r w:rsidR="00F81221">
        <w:rPr>
          <w:kern w:val="2"/>
        </w:rPr>
        <w:t xml:space="preserve"> and </w:t>
      </w:r>
      <w:r w:rsidRPr="00684ACF">
        <w:rPr>
          <w:kern w:val="2"/>
        </w:rPr>
        <w:t xml:space="preserve">Langmuir isotherms. The adsorption mechanism is described by </w:t>
      </w:r>
      <w:r>
        <w:rPr>
          <w:kern w:val="2"/>
        </w:rPr>
        <w:t>a pseudo second order kinetics.</w:t>
      </w:r>
    </w:p>
    <w:p w:rsidR="00684ACF" w:rsidRDefault="00684ACF" w:rsidP="00684ACF">
      <w:pPr>
        <w:pStyle w:val="a0"/>
        <w:rPr>
          <w:kern w:val="2"/>
        </w:rPr>
      </w:pPr>
      <w:r w:rsidRPr="00684ACF">
        <w:rPr>
          <w:kern w:val="2"/>
        </w:rPr>
        <w:t>Keywords: Adsorption</w:t>
      </w:r>
      <w:r>
        <w:rPr>
          <w:kern w:val="2"/>
        </w:rPr>
        <w:t>,</w:t>
      </w:r>
      <w:r w:rsidRPr="00684ACF">
        <w:rPr>
          <w:kern w:val="2"/>
        </w:rPr>
        <w:t xml:space="preserve"> Neem</w:t>
      </w:r>
      <w:r>
        <w:rPr>
          <w:kern w:val="2"/>
        </w:rPr>
        <w:t>,</w:t>
      </w:r>
      <w:r w:rsidRPr="00684ACF">
        <w:rPr>
          <w:kern w:val="2"/>
        </w:rPr>
        <w:t xml:space="preserve"> Chromium</w:t>
      </w:r>
      <w:r>
        <w:rPr>
          <w:kern w:val="2"/>
        </w:rPr>
        <w:t>,</w:t>
      </w:r>
      <w:r w:rsidRPr="00684ACF">
        <w:rPr>
          <w:kern w:val="2"/>
        </w:rPr>
        <w:t xml:space="preserve"> Kinetics</w:t>
      </w:r>
      <w:r>
        <w:rPr>
          <w:kern w:val="2"/>
        </w:rPr>
        <w:t>,</w:t>
      </w:r>
      <w:r w:rsidRPr="00684ACF">
        <w:rPr>
          <w:kern w:val="2"/>
        </w:rPr>
        <w:t xml:space="preserve"> Activated Carbon</w:t>
      </w:r>
      <w:r>
        <w:rPr>
          <w:kern w:val="2"/>
        </w:rPr>
        <w:t>,</w:t>
      </w:r>
      <w:r w:rsidRPr="00684ACF">
        <w:rPr>
          <w:kern w:val="2"/>
        </w:rPr>
        <w:t xml:space="preserve"> Adsorption Properties</w:t>
      </w:r>
      <w:r>
        <w:rPr>
          <w:kern w:val="2"/>
        </w:rPr>
        <w:t>,</w:t>
      </w:r>
      <w:r w:rsidRPr="00684ACF">
        <w:rPr>
          <w:kern w:val="2"/>
        </w:rPr>
        <w:t xml:space="preserve"> Industrial-Waste</w:t>
      </w:r>
      <w:r>
        <w:rPr>
          <w:kern w:val="2"/>
        </w:rPr>
        <w:t>,</w:t>
      </w:r>
      <w:r w:rsidRPr="00684ACF">
        <w:rPr>
          <w:kern w:val="2"/>
        </w:rPr>
        <w:t xml:space="preserve"> Cr(VI)</w:t>
      </w:r>
      <w:r>
        <w:rPr>
          <w:kern w:val="2"/>
        </w:rPr>
        <w:t>,</w:t>
      </w:r>
      <w:r w:rsidRPr="00684ACF">
        <w:rPr>
          <w:kern w:val="2"/>
        </w:rPr>
        <w:t xml:space="preserve"> Equilibrium</w:t>
      </w:r>
      <w:r>
        <w:rPr>
          <w:kern w:val="2"/>
        </w:rPr>
        <w:t>,</w:t>
      </w:r>
      <w:r w:rsidRPr="00684ACF">
        <w:rPr>
          <w:kern w:val="2"/>
        </w:rPr>
        <w:t xml:space="preserve"> Kinetics</w:t>
      </w:r>
      <w:r>
        <w:rPr>
          <w:kern w:val="2"/>
        </w:rPr>
        <w:t>,</w:t>
      </w:r>
      <w:r w:rsidRPr="00684ACF">
        <w:rPr>
          <w:kern w:val="2"/>
        </w:rPr>
        <w:t xml:space="preserve"> Sorp</w:t>
      </w:r>
      <w:r>
        <w:rPr>
          <w:kern w:val="2"/>
        </w:rPr>
        <w:t>tion, Sawdust, Biomass, Cu(II)</w:t>
      </w:r>
    </w:p>
    <w:p w:rsidR="009A08BD" w:rsidRDefault="009A08BD" w:rsidP="009A08BD">
      <w:pPr>
        <w:pStyle w:val="a0"/>
        <w:rPr>
          <w:kern w:val="0"/>
        </w:rPr>
      </w:pPr>
      <w:r>
        <w:rPr>
          <w:kern w:val="0"/>
        </w:rPr>
        <w:t>? Hefne, J.A., Mekhemer, W.K., Alandis, N.M., Aldayel, O.A.</w:t>
      </w:r>
      <w:r w:rsidR="00F81221">
        <w:rPr>
          <w:kern w:val="0"/>
        </w:rPr>
        <w:t xml:space="preserve"> and </w:t>
      </w:r>
      <w:r>
        <w:rPr>
          <w:kern w:val="0"/>
        </w:rPr>
        <w:t>Alajyan, T. (2008), Kinetic</w:t>
      </w:r>
      <w:r w:rsidR="00F81221">
        <w:rPr>
          <w:kern w:val="0"/>
        </w:rPr>
        <w:t xml:space="preserve"> and </w:t>
      </w:r>
      <w:r>
        <w:rPr>
          <w:kern w:val="0"/>
        </w:rPr>
        <w:t>thermodynamic study of the adsorption of Pb(II) from aqueous solution to the natural</w:t>
      </w:r>
      <w:r w:rsidR="00F81221">
        <w:rPr>
          <w:kern w:val="0"/>
        </w:rPr>
        <w:t xml:space="preserve"> and </w:t>
      </w:r>
      <w:r>
        <w:rPr>
          <w:kern w:val="0"/>
        </w:rPr>
        <w:t xml:space="preserve">treated bentonite. </w:t>
      </w:r>
      <w:r w:rsidR="00294F48">
        <w:rPr>
          <w:i/>
          <w:iCs/>
          <w:kern w:val="0"/>
        </w:rPr>
        <w:t>International Journal of the Physical Sciences</w:t>
      </w:r>
      <w:r>
        <w:rPr>
          <w:kern w:val="0"/>
        </w:rPr>
        <w:t xml:space="preserve">, </w:t>
      </w:r>
      <w:r>
        <w:rPr>
          <w:b/>
          <w:bCs/>
          <w:kern w:val="0"/>
        </w:rPr>
        <w:t>3</w:t>
      </w:r>
      <w:r>
        <w:rPr>
          <w:kern w:val="0"/>
        </w:rPr>
        <w:t xml:space="preserve"> (11), 281-288.</w:t>
      </w:r>
    </w:p>
    <w:p w:rsidR="009A08BD" w:rsidRDefault="009A08BD" w:rsidP="009A08BD">
      <w:pPr>
        <w:pStyle w:val="a0"/>
        <w:rPr>
          <w:kern w:val="2"/>
        </w:rPr>
      </w:pPr>
      <w:r w:rsidRPr="00FC7835">
        <w:t xml:space="preserve">Full Text: </w:t>
      </w:r>
      <w:hyperlink r:id="rId2037" w:history="1">
        <w:r w:rsidRPr="009A08BD">
          <w:rPr>
            <w:rStyle w:val="a5"/>
          </w:rPr>
          <w:t>2008\Int J Phy Sci3, 281.pdf</w:t>
        </w:r>
      </w:hyperlink>
    </w:p>
    <w:p w:rsidR="006D21C1" w:rsidRDefault="006D21C1" w:rsidP="006D21C1">
      <w:pPr>
        <w:pStyle w:val="a0"/>
        <w:rPr>
          <w:kern w:val="0"/>
        </w:rPr>
      </w:pPr>
      <w:r>
        <w:rPr>
          <w:kern w:val="0"/>
        </w:rPr>
        <w:t>Abstract: Lead (Pb) is one of the major environmental pollutants. Adsorption appears to be the most widely used for the removal of heavy metals. The aim of this work is to investigate the adsorption potential of commercial natural bentonite (NB) in the removal of Pb(II) ions from aqueous solution. The effect of different variables, such as, concentration of Pb, mass of NB, pH, time, NB washing</w:t>
      </w:r>
      <w:r w:rsidR="00F81221">
        <w:rPr>
          <w:kern w:val="0"/>
        </w:rPr>
        <w:t xml:space="preserve"> and </w:t>
      </w:r>
      <w:r>
        <w:rPr>
          <w:kern w:val="0"/>
        </w:rPr>
        <w:t>heat treatment</w:t>
      </w:r>
      <w:r w:rsidR="00F81221">
        <w:rPr>
          <w:kern w:val="0"/>
        </w:rPr>
        <w:t xml:space="preserve"> and </w:t>
      </w:r>
      <w:r>
        <w:rPr>
          <w:kern w:val="0"/>
        </w:rPr>
        <w:t>temperature was investigated. The bentonite sample under the heat</w:t>
      </w:r>
      <w:r w:rsidR="00F81221">
        <w:rPr>
          <w:kern w:val="0"/>
        </w:rPr>
        <w:t xml:space="preserve"> and </w:t>
      </w:r>
      <w:r>
        <w:rPr>
          <w:kern w:val="0"/>
        </w:rPr>
        <w:t>washed treatment are labeled as CB</w:t>
      </w:r>
      <w:r w:rsidR="00F81221">
        <w:rPr>
          <w:kern w:val="0"/>
        </w:rPr>
        <w:t xml:space="preserve"> and </w:t>
      </w:r>
      <w:r>
        <w:rPr>
          <w:kern w:val="0"/>
        </w:rPr>
        <w:t>WB respectively. The adsorption experiments were carried out using batch process. The equilibrium time for Pb(II) adsorption on NB was 5 min, the processes conforming to second order kinetics. NB had a much higher adsorption capacity for Pb(II) with the Langmuir monolayer capacity (qm) of 107, 110</w:t>
      </w:r>
      <w:r w:rsidR="00F81221">
        <w:rPr>
          <w:kern w:val="0"/>
        </w:rPr>
        <w:t xml:space="preserve"> and </w:t>
      </w:r>
      <w:r>
        <w:rPr>
          <w:kern w:val="0"/>
        </w:rPr>
        <w:t>120 mg g</w:t>
      </w:r>
      <w:r w:rsidRPr="006D21C1">
        <w:rPr>
          <w:kern w:val="0"/>
          <w:vertAlign w:val="superscript"/>
        </w:rPr>
        <w:t>-1</w:t>
      </w:r>
      <w:r>
        <w:rPr>
          <w:kern w:val="0"/>
        </w:rPr>
        <w:t xml:space="preserve"> at 293, 313</w:t>
      </w:r>
      <w:r w:rsidR="00F81221">
        <w:rPr>
          <w:kern w:val="0"/>
        </w:rPr>
        <w:t xml:space="preserve"> and </w:t>
      </w:r>
      <w:r>
        <w:rPr>
          <w:kern w:val="0"/>
        </w:rPr>
        <w:t>333 K respectively compared to others adsorbents. Thermodynamic parameters such as Delta H degrees, Delta S degrees</w:t>
      </w:r>
      <w:r w:rsidR="00F81221">
        <w:rPr>
          <w:kern w:val="0"/>
        </w:rPr>
        <w:t xml:space="preserve"> and </w:t>
      </w:r>
      <w:r>
        <w:rPr>
          <w:kern w:val="0"/>
        </w:rPr>
        <w:t>Delta G degrees were calculated. The adsorption process was found to be endothermic</w:t>
      </w:r>
      <w:r w:rsidR="00F81221">
        <w:rPr>
          <w:kern w:val="0"/>
        </w:rPr>
        <w:t xml:space="preserve"> and </w:t>
      </w:r>
      <w:r>
        <w:rPr>
          <w:kern w:val="0"/>
        </w:rPr>
        <w:t>spontaneous. The enthalpy change for Pb(II) by NB adsorption has been estimated as 33 kJ mol</w:t>
      </w:r>
      <w:r w:rsidRPr="006D21C1">
        <w:rPr>
          <w:kern w:val="0"/>
          <w:vertAlign w:val="superscript"/>
        </w:rPr>
        <w:t>-1</w:t>
      </w:r>
      <w:r>
        <w:rPr>
          <w:kern w:val="0"/>
        </w:rPr>
        <w:t>, indicating that the adsorption of Pb(II) by NB corresponds to a physical reaction. The adsorption capacity of washed bentonite WB was very high compared to NB</w:t>
      </w:r>
      <w:r w:rsidR="00F81221">
        <w:rPr>
          <w:kern w:val="0"/>
        </w:rPr>
        <w:t xml:space="preserve"> and </w:t>
      </w:r>
      <w:r>
        <w:rPr>
          <w:kern w:val="0"/>
        </w:rPr>
        <w:t>CB.</w:t>
      </w:r>
    </w:p>
    <w:p w:rsidR="006D21C1" w:rsidRDefault="006D21C1" w:rsidP="006D21C1">
      <w:pPr>
        <w:pStyle w:val="a0"/>
        <w:rPr>
          <w:kern w:val="0"/>
        </w:rPr>
      </w:pPr>
      <w:r>
        <w:rPr>
          <w:kern w:val="0"/>
        </w:rPr>
        <w:t>Keywords: Adsorption, Bentonite, Cadmium Ions, Clay Minerals, Clay-Minerals, Heavy-Metals, Lead, Lead, Modified Kaolinite, Montmorillonite, Pb(II), Removal, Sorption, Wastewater Treatment, Water</w:t>
      </w:r>
    </w:p>
    <w:p w:rsidR="004C2F95" w:rsidRDefault="004C2F95" w:rsidP="004C2F95">
      <w:pPr>
        <w:pStyle w:val="a0"/>
        <w:rPr>
          <w:kern w:val="0"/>
        </w:rPr>
      </w:pPr>
      <w:r>
        <w:rPr>
          <w:rFonts w:hint="eastAsia"/>
          <w:kern w:val="0"/>
        </w:rPr>
        <w:t xml:space="preserve">? </w:t>
      </w:r>
      <w:r>
        <w:rPr>
          <w:kern w:val="0"/>
        </w:rPr>
        <w:t>Alzaydien, A.S.</w:t>
      </w:r>
      <w:r w:rsidR="00F81221">
        <w:rPr>
          <w:kern w:val="0"/>
        </w:rPr>
        <w:t xml:space="preserve"> and </w:t>
      </w:r>
      <w:r>
        <w:rPr>
          <w:kern w:val="0"/>
        </w:rPr>
        <w:t>Manasreh, W. (2009), Equilibrium, kinetic</w:t>
      </w:r>
      <w:r w:rsidR="00F81221">
        <w:rPr>
          <w:kern w:val="0"/>
        </w:rPr>
        <w:t xml:space="preserve"> and </w:t>
      </w:r>
      <w:r>
        <w:rPr>
          <w:kern w:val="0"/>
        </w:rPr>
        <w:t xml:space="preserve">thermodynamic studies on the adsorption of phenol onto activated phosphate rock. </w:t>
      </w:r>
      <w:r w:rsidR="00294F48">
        <w:rPr>
          <w:i/>
          <w:iCs/>
          <w:kern w:val="0"/>
        </w:rPr>
        <w:t>International Journal of the Physical Sciences</w:t>
      </w:r>
      <w:r>
        <w:rPr>
          <w:kern w:val="0"/>
        </w:rPr>
        <w:t xml:space="preserve">, </w:t>
      </w:r>
      <w:r>
        <w:rPr>
          <w:b/>
          <w:bCs/>
          <w:kern w:val="0"/>
        </w:rPr>
        <w:t>4</w:t>
      </w:r>
      <w:r>
        <w:rPr>
          <w:kern w:val="0"/>
        </w:rPr>
        <w:t xml:space="preserve"> (4), 172-181.</w:t>
      </w:r>
    </w:p>
    <w:p w:rsidR="004C2F95" w:rsidRDefault="004C2F95" w:rsidP="004C2F95">
      <w:pPr>
        <w:pStyle w:val="a0"/>
        <w:rPr>
          <w:kern w:val="2"/>
        </w:rPr>
      </w:pPr>
      <w:r w:rsidRPr="00FC7835">
        <w:t xml:space="preserve">Full Text: </w:t>
      </w:r>
      <w:hyperlink r:id="rId2038" w:history="1">
        <w:r w:rsidRPr="003B1B7B">
          <w:rPr>
            <w:rStyle w:val="a5"/>
          </w:rPr>
          <w:t>2009\Int J Phy Sci4, 172.pdf</w:t>
        </w:r>
      </w:hyperlink>
    </w:p>
    <w:p w:rsidR="004C2F95" w:rsidRDefault="004C2F95" w:rsidP="004C2F95">
      <w:pPr>
        <w:pStyle w:val="a0"/>
        <w:rPr>
          <w:kern w:val="0"/>
        </w:rPr>
      </w:pPr>
      <w:r>
        <w:rPr>
          <w:kern w:val="0"/>
        </w:rPr>
        <w:t>Abstract: Phosphate rock being locally abundant</w:t>
      </w:r>
      <w:r w:rsidR="00F81221">
        <w:rPr>
          <w:kern w:val="0"/>
        </w:rPr>
        <w:t xml:space="preserve"> and </w:t>
      </w:r>
      <w:r>
        <w:rPr>
          <w:kern w:val="0"/>
        </w:rPr>
        <w:t xml:space="preserve">cheap material in Jordan can be </w:t>
      </w:r>
      <w:r>
        <w:rPr>
          <w:kern w:val="0"/>
        </w:rPr>
        <w:lastRenderedPageBreak/>
        <w:t>easily activated to become a promising adsorbent for phenol removal from aqueous solution. The phosphate rock before</w:t>
      </w:r>
      <w:r w:rsidR="00F81221">
        <w:rPr>
          <w:kern w:val="0"/>
        </w:rPr>
        <w:t xml:space="preserve"> and </w:t>
      </w:r>
      <w:r>
        <w:rPr>
          <w:kern w:val="0"/>
        </w:rPr>
        <w:t>after activation was characterized using XRD</w:t>
      </w:r>
      <w:r w:rsidR="00F81221">
        <w:rPr>
          <w:kern w:val="0"/>
        </w:rPr>
        <w:t xml:space="preserve"> and </w:t>
      </w:r>
      <w:r>
        <w:rPr>
          <w:kern w:val="0"/>
        </w:rPr>
        <w:t>IR techniques. The effects of various experimental parameters, such as initial phenol concentration, temperature, pH, contact time</w:t>
      </w:r>
      <w:r w:rsidR="00F81221">
        <w:rPr>
          <w:kern w:val="0"/>
        </w:rPr>
        <w:t xml:space="preserve"> and </w:t>
      </w:r>
      <w:r>
        <w:rPr>
          <w:kern w:val="0"/>
        </w:rPr>
        <w:t>adsorbent dose on the adsorption extent were investigated. Langmuir adsorption model was used for the mathematical description of the adsorption equilibrium</w:t>
      </w:r>
      <w:r w:rsidR="00F81221">
        <w:rPr>
          <w:kern w:val="0"/>
        </w:rPr>
        <w:t xml:space="preserve"> and </w:t>
      </w:r>
      <w:r>
        <w:rPr>
          <w:kern w:val="0"/>
        </w:rPr>
        <w:t>the equilibrium data fixed very well with this model. The activated phosphate rock had the monolayer adsorption capacity equal to 38.34 mg/g at pH value of 8.0</w:t>
      </w:r>
      <w:r w:rsidR="00F81221">
        <w:rPr>
          <w:kern w:val="0"/>
        </w:rPr>
        <w:t xml:space="preserve"> and </w:t>
      </w:r>
      <w:r>
        <w:rPr>
          <w:kern w:val="0"/>
        </w:rPr>
        <w:t>20</w:t>
      </w:r>
      <w:r w:rsidR="008A4591">
        <w:rPr>
          <w:kern w:val="0"/>
        </w:rPr>
        <w:t>°</w:t>
      </w:r>
      <w:r>
        <w:rPr>
          <w:kern w:val="0"/>
        </w:rPr>
        <w:t>C, adsorption measurements show that the process is very fast</w:t>
      </w:r>
      <w:r w:rsidR="00F81221">
        <w:rPr>
          <w:kern w:val="0"/>
        </w:rPr>
        <w:t xml:space="preserve"> and </w:t>
      </w:r>
      <w:r>
        <w:rPr>
          <w:kern w:val="0"/>
        </w:rPr>
        <w:t>physical in nature. The extent of the phenol removal increased with decrease in the initial concentration of the phenol</w:t>
      </w:r>
      <w:r w:rsidR="00F81221">
        <w:rPr>
          <w:kern w:val="0"/>
        </w:rPr>
        <w:t xml:space="preserve"> and </w:t>
      </w:r>
      <w:r>
        <w:rPr>
          <w:kern w:val="0"/>
        </w:rPr>
        <w:t>temperature of solution. The results showed that as the amount of the adsorbent was increased, the % of phenol removal increased accordingly. Adsorption data were modeled using the pseudo-first</w:t>
      </w:r>
      <w:r w:rsidR="00F81221">
        <w:rPr>
          <w:kern w:val="0"/>
        </w:rPr>
        <w:t xml:space="preserve"> and </w:t>
      </w:r>
      <w:r>
        <w:rPr>
          <w:kern w:val="0"/>
        </w:rPr>
        <w:t>pseudo-second-order kinetic equations, Elovich</w:t>
      </w:r>
      <w:r w:rsidR="00F81221">
        <w:rPr>
          <w:kern w:val="0"/>
        </w:rPr>
        <w:t xml:space="preserve"> and </w:t>
      </w:r>
      <w:r>
        <w:rPr>
          <w:kern w:val="0"/>
        </w:rPr>
        <w:t>intra-particle diffusion models. It was seen that the pseudo-second-order kinetic equation could best describe the sorption kinetics. Thermodynamic parameters showed that the adsorption of phenol on activated phosphate rock was endothermic</w:t>
      </w:r>
      <w:r w:rsidR="00F81221">
        <w:rPr>
          <w:kern w:val="0"/>
        </w:rPr>
        <w:t xml:space="preserve"> and </w:t>
      </w:r>
      <w:r>
        <w:rPr>
          <w:kern w:val="0"/>
        </w:rPr>
        <w:t>spontaneous in nature.</w:t>
      </w:r>
    </w:p>
    <w:p w:rsidR="004C2F95" w:rsidRDefault="004C2F95" w:rsidP="004C2F95">
      <w:pPr>
        <w:pStyle w:val="a0"/>
        <w:rPr>
          <w:kern w:val="0"/>
        </w:rPr>
      </w:pPr>
      <w:r>
        <w:rPr>
          <w:kern w:val="0"/>
        </w:rPr>
        <w:t xml:space="preserve">Keywords: Activated Phosphate Rock, Adsorbent, Adsorption, Adsorption Isotherm, Aqueous-Solution, Carbon, Coir Pith, Fly-Ash, Intra-Particle Diffusion, Kinetics Of Adsorption, Langmuir, </w:t>
      </w:r>
      <w:r>
        <w:rPr>
          <w:rFonts w:hint="eastAsia"/>
          <w:kern w:val="0"/>
        </w:rPr>
        <w:t>p</w:t>
      </w:r>
      <w:r>
        <w:rPr>
          <w:kern w:val="0"/>
        </w:rPr>
        <w:t>H, Phenol, Rate Constants, Removal, Soils, Sorption, Thermodynamic Parameters, Waste-Water</w:t>
      </w:r>
    </w:p>
    <w:p w:rsidR="006D21C1" w:rsidRDefault="006D21C1" w:rsidP="006D21C1">
      <w:pPr>
        <w:pStyle w:val="a0"/>
        <w:rPr>
          <w:kern w:val="0"/>
        </w:rPr>
      </w:pPr>
      <w:r>
        <w:rPr>
          <w:rFonts w:hint="eastAsia"/>
          <w:kern w:val="0"/>
        </w:rPr>
        <w:t xml:space="preserve">? </w:t>
      </w:r>
      <w:r>
        <w:rPr>
          <w:kern w:val="0"/>
        </w:rPr>
        <w:t>Aluyor, E.O., Oboh, I.O.</w:t>
      </w:r>
      <w:r w:rsidR="00F81221">
        <w:rPr>
          <w:kern w:val="0"/>
        </w:rPr>
        <w:t xml:space="preserve"> and </w:t>
      </w:r>
      <w:r>
        <w:rPr>
          <w:kern w:val="0"/>
        </w:rPr>
        <w:t xml:space="preserve">Obahiagbon, K.O. (2009), Equilibrium sorption isotherm for lead (Pb) ions on hydrogen peroxide modified rice hulls. </w:t>
      </w:r>
      <w:r w:rsidR="00294F48">
        <w:rPr>
          <w:i/>
          <w:iCs/>
          <w:kern w:val="0"/>
        </w:rPr>
        <w:t>International Journal of the Physical Sciences</w:t>
      </w:r>
      <w:r>
        <w:rPr>
          <w:kern w:val="0"/>
        </w:rPr>
        <w:t xml:space="preserve">, </w:t>
      </w:r>
      <w:r>
        <w:rPr>
          <w:b/>
          <w:bCs/>
          <w:kern w:val="0"/>
        </w:rPr>
        <w:t>4</w:t>
      </w:r>
      <w:r>
        <w:rPr>
          <w:kern w:val="0"/>
        </w:rPr>
        <w:t xml:space="preserve"> (8), 423-427.</w:t>
      </w:r>
    </w:p>
    <w:p w:rsidR="006D21C1" w:rsidRDefault="006D21C1" w:rsidP="006D21C1">
      <w:pPr>
        <w:pStyle w:val="a0"/>
        <w:rPr>
          <w:kern w:val="0"/>
        </w:rPr>
      </w:pPr>
      <w:r>
        <w:rPr>
          <w:rFonts w:hint="eastAsia"/>
          <w:kern w:val="0"/>
        </w:rPr>
        <w:t xml:space="preserve">Full Text: </w:t>
      </w:r>
      <w:hyperlink r:id="rId2039" w:history="1">
        <w:r w:rsidR="008A4591" w:rsidRPr="008A4591">
          <w:rPr>
            <w:rStyle w:val="a5"/>
            <w:kern w:val="0"/>
          </w:rPr>
          <w:t>2009\Int J Phy Sci4, 423.pdf</w:t>
        </w:r>
      </w:hyperlink>
    </w:p>
    <w:p w:rsidR="006D21C1" w:rsidRDefault="006D21C1" w:rsidP="006D21C1">
      <w:pPr>
        <w:pStyle w:val="a0"/>
        <w:rPr>
          <w:kern w:val="0"/>
        </w:rPr>
      </w:pPr>
      <w:r>
        <w:rPr>
          <w:kern w:val="0"/>
        </w:rPr>
        <w:t>Abstract: Modified ri</w:t>
      </w:r>
      <w:r w:rsidR="008A4591">
        <w:rPr>
          <w:kern w:val="0"/>
        </w:rPr>
        <w:t>ce hulls system for removing Pb</w:t>
      </w:r>
      <w:r>
        <w:rPr>
          <w:kern w:val="0"/>
        </w:rPr>
        <w:t>(II) from aqueous solutions has been investigated. Rice hulls are agricultural waste product. The experimental condition was the modification of the rice hulls (sorbent) with different concentrations of hydrogen peroxide solution. The experimental results were fitted to the Langmuir</w:t>
      </w:r>
      <w:r w:rsidR="00F81221">
        <w:rPr>
          <w:kern w:val="0"/>
        </w:rPr>
        <w:t xml:space="preserve"> and </w:t>
      </w:r>
      <w:r>
        <w:rPr>
          <w:kern w:val="0"/>
        </w:rPr>
        <w:t>Freundlich isotherms to obtain the characteristic parameters of each model. The Langmuir isotherm was found to well represent the results. The maximum sorption capacities of various concentrations of hydrogen peroxide modified rice hulls were 2.57, 3.15, 5.15, 8.57, 10.97</w:t>
      </w:r>
      <w:r w:rsidR="00F81221">
        <w:rPr>
          <w:kern w:val="0"/>
        </w:rPr>
        <w:t xml:space="preserve"> and </w:t>
      </w:r>
      <w:r>
        <w:rPr>
          <w:kern w:val="0"/>
        </w:rPr>
        <w:t>11.88 mg/g for 0.1, 0.3, 0.6, 0.9, 1.2</w:t>
      </w:r>
      <w:r w:rsidR="00F81221">
        <w:rPr>
          <w:kern w:val="0"/>
        </w:rPr>
        <w:t xml:space="preserve"> and </w:t>
      </w:r>
      <w:r>
        <w:rPr>
          <w:kern w:val="0"/>
        </w:rPr>
        <w:t>1.5 M hydrogen peroxide solution respectively. It was noted that increasing the concentration for modification resulted in a higher metal uptake per unit weight of the modified rice hulls.</w:t>
      </w:r>
    </w:p>
    <w:p w:rsidR="006D21C1" w:rsidRDefault="006D21C1" w:rsidP="006D21C1">
      <w:pPr>
        <w:pStyle w:val="a0"/>
        <w:rPr>
          <w:kern w:val="0"/>
        </w:rPr>
      </w:pPr>
      <w:r>
        <w:rPr>
          <w:kern w:val="0"/>
        </w:rPr>
        <w:t>Keywords: Agricultural, Agricultural Waste, Aqueous Solutions, Concentration, Equilibrium, Experimental, Freundlich, Husk Ash, Hydrogen, Hydrogen Peroxide, Ions, Isotherm, Isotherms, Langmuir, Langmuir</w:t>
      </w:r>
      <w:r w:rsidR="00F81221">
        <w:rPr>
          <w:kern w:val="0"/>
        </w:rPr>
        <w:t xml:space="preserve"> and </w:t>
      </w:r>
      <w:r>
        <w:rPr>
          <w:kern w:val="0"/>
        </w:rPr>
        <w:t xml:space="preserve">Freundlich Isotherms, Langmuir </w:t>
      </w:r>
      <w:r>
        <w:rPr>
          <w:kern w:val="0"/>
        </w:rPr>
        <w:lastRenderedPageBreak/>
        <w:t>Isotherm, Lead, Metal, Metal Uptake, Metal-Ions, Model, Modification, Modified, Pb, Rice, Rice Hulls, Solution, Solutions, Sorbent, Sorption, Sorption Isotherm, Uptake, Waste</w:t>
      </w:r>
    </w:p>
    <w:p w:rsidR="008A4591" w:rsidRDefault="008A4591" w:rsidP="008A4591">
      <w:pPr>
        <w:pStyle w:val="a0"/>
        <w:rPr>
          <w:kern w:val="0"/>
        </w:rPr>
      </w:pPr>
      <w:r>
        <w:rPr>
          <w:rFonts w:hint="eastAsia"/>
          <w:kern w:val="0"/>
        </w:rPr>
        <w:t xml:space="preserve">? </w:t>
      </w:r>
      <w:r>
        <w:rPr>
          <w:kern w:val="0"/>
        </w:rPr>
        <w:t>Ong, S.T., Tay, E.H., Ha, S.T., Lee, W.N.</w:t>
      </w:r>
      <w:r w:rsidR="00F81221">
        <w:rPr>
          <w:kern w:val="0"/>
        </w:rPr>
        <w:t xml:space="preserve"> and </w:t>
      </w:r>
      <w:r>
        <w:rPr>
          <w:kern w:val="0"/>
        </w:rPr>
        <w:t>Keng, P.S. (2009), Equilibrium</w:t>
      </w:r>
      <w:r w:rsidR="00F81221">
        <w:rPr>
          <w:kern w:val="0"/>
        </w:rPr>
        <w:t xml:space="preserve"> and </w:t>
      </w:r>
      <w:r>
        <w:rPr>
          <w:kern w:val="0"/>
        </w:rPr>
        <w:t xml:space="preserve">continuous flow studies on the sorption of Congo Red using ethylenediamine modified rice hulls. </w:t>
      </w:r>
      <w:r w:rsidR="00294F48">
        <w:rPr>
          <w:i/>
          <w:iCs/>
          <w:kern w:val="0"/>
        </w:rPr>
        <w:t>International Journal of the Physical Sciences</w:t>
      </w:r>
      <w:r>
        <w:rPr>
          <w:kern w:val="0"/>
        </w:rPr>
        <w:t xml:space="preserve">, </w:t>
      </w:r>
      <w:r>
        <w:rPr>
          <w:b/>
          <w:bCs/>
          <w:kern w:val="0"/>
        </w:rPr>
        <w:t>4</w:t>
      </w:r>
      <w:r>
        <w:rPr>
          <w:kern w:val="0"/>
        </w:rPr>
        <w:t xml:space="preserve"> (11), 683-690.</w:t>
      </w:r>
    </w:p>
    <w:p w:rsidR="008A4591" w:rsidRDefault="008A4591" w:rsidP="008A4591">
      <w:pPr>
        <w:pStyle w:val="a0"/>
        <w:rPr>
          <w:kern w:val="0"/>
        </w:rPr>
      </w:pPr>
      <w:r>
        <w:rPr>
          <w:kern w:val="0"/>
        </w:rPr>
        <w:t>Full Text:</w:t>
      </w:r>
      <w:r w:rsidRPr="00B025C1">
        <w:t xml:space="preserve"> </w:t>
      </w:r>
      <w:hyperlink r:id="rId2040" w:history="1">
        <w:r w:rsidRPr="008A4591">
          <w:rPr>
            <w:rStyle w:val="a5"/>
          </w:rPr>
          <w:t>2009\Int J Phy Sci4, 683.pdf</w:t>
        </w:r>
      </w:hyperlink>
    </w:p>
    <w:p w:rsidR="008A4591" w:rsidRDefault="008A4591" w:rsidP="008A4591">
      <w:pPr>
        <w:pStyle w:val="a0"/>
        <w:rPr>
          <w:kern w:val="0"/>
        </w:rPr>
      </w:pPr>
      <w:r>
        <w:rPr>
          <w:kern w:val="0"/>
        </w:rPr>
        <w:t>Abstract: The effectiveness of using ethylenediamine rice hulls (EDA-RH) to remove Congo Red (CR) from synthetic dye solution was carried out in batch</w:t>
      </w:r>
      <w:r w:rsidR="00F81221">
        <w:rPr>
          <w:kern w:val="0"/>
        </w:rPr>
        <w:t xml:space="preserve"> and </w:t>
      </w:r>
      <w:r>
        <w:rPr>
          <w:kern w:val="0"/>
        </w:rPr>
        <w:t>column experiments under various experimental conditions. Surface morphology analysis was carried out also using atomic force microscopy (AFM). The experimental data obtained at different initial dye concentrations fitted well to pseudo-second order kinetic model. Application of Langmuir isotherm indicated that maximum sorption capacity of EDA-RH for CR was enhanced by 2-fold as compared to natural rice hulls. Column studies revealed that the breakthrough curves of CR followed the typical S shape of packed-bed systems</w:t>
      </w:r>
      <w:r w:rsidR="00F81221">
        <w:rPr>
          <w:kern w:val="0"/>
        </w:rPr>
        <w:t xml:space="preserve"> and </w:t>
      </w:r>
      <w:r>
        <w:rPr>
          <w:kern w:val="0"/>
        </w:rPr>
        <w:t>it was bed-depth</w:t>
      </w:r>
      <w:r w:rsidR="00F81221">
        <w:rPr>
          <w:kern w:val="0"/>
        </w:rPr>
        <w:t xml:space="preserve"> and </w:t>
      </w:r>
      <w:r>
        <w:rPr>
          <w:kern w:val="0"/>
        </w:rPr>
        <w:t>influent-concentration dependent. The BDST model was used to predict the bed-depth service time data at different bed depths. A plot of BDST at 50% breakthrough yielded a straight line that, however, does not pass through the origin.</w:t>
      </w:r>
    </w:p>
    <w:p w:rsidR="008A4591" w:rsidRDefault="008A4591" w:rsidP="008A4591">
      <w:pPr>
        <w:pStyle w:val="a0"/>
        <w:rPr>
          <w:kern w:val="0"/>
        </w:rPr>
      </w:pPr>
      <w:r>
        <w:rPr>
          <w:kern w:val="0"/>
        </w:rPr>
        <w:t>Keywords: Adsorption, AFM, Analysis, Aqueous-Solution, Atomic Force Microscopy, Batch, Batch Study, BDST, BDST Model, Breakthrough, Breakthrough Curves, Capacity, Column, Column Experiments, Column Study, Congo Red, Cr, Data, Dye, Effectiveness, Equilibrium, Ethylenediamine, Ethylenediamine Rice Hulls, Experimental, Experiments, Flow, Force, Husk, Isotherm, Kinetic, Kinetic Model, Langmuir, Langmuir Isotherm, Methylene-Blue, Model, Modified, Morphology, Natural, NOV, Origin, Packed Bed, Pseudo Second Order, Pseudo-Second Order, Pseudo-Second-Order, Reactive Dyes, Removal, Rice, Rice Hulls, Sawdust, Service, Solution, Sorbent, Sorption, Sorption Capacity, Systems</w:t>
      </w:r>
    </w:p>
    <w:p w:rsidR="00353E57" w:rsidRDefault="00353E57" w:rsidP="00353E57">
      <w:pPr>
        <w:pStyle w:val="a0"/>
        <w:rPr>
          <w:kern w:val="0"/>
        </w:rPr>
      </w:pPr>
      <w:r>
        <w:rPr>
          <w:kern w:val="0"/>
        </w:rPr>
        <w:t>? Ibezim-Ezeani, M.U.</w:t>
      </w:r>
      <w:r w:rsidR="00F81221">
        <w:rPr>
          <w:kern w:val="0"/>
        </w:rPr>
        <w:t xml:space="preserve"> and </w:t>
      </w:r>
      <w:r>
        <w:rPr>
          <w:kern w:val="0"/>
        </w:rPr>
        <w:t>Anusiem, A.C.I. (2010), Kinetic studies of adsorption of palmitate</w:t>
      </w:r>
      <w:r w:rsidR="00F81221">
        <w:rPr>
          <w:kern w:val="0"/>
        </w:rPr>
        <w:t xml:space="preserve"> and </w:t>
      </w:r>
      <w:r>
        <w:rPr>
          <w:kern w:val="0"/>
        </w:rPr>
        <w:t xml:space="preserve">laurate soaps onto some metal ores in aqueous media. </w:t>
      </w:r>
      <w:r w:rsidR="00294F48">
        <w:rPr>
          <w:i/>
          <w:iCs/>
          <w:kern w:val="0"/>
        </w:rPr>
        <w:t>International Journal of the Physical Sciences</w:t>
      </w:r>
      <w:r>
        <w:rPr>
          <w:kern w:val="0"/>
        </w:rPr>
        <w:t xml:space="preserve">, </w:t>
      </w:r>
      <w:r>
        <w:rPr>
          <w:b/>
          <w:bCs/>
          <w:kern w:val="0"/>
        </w:rPr>
        <w:t>5</w:t>
      </w:r>
      <w:r>
        <w:rPr>
          <w:kern w:val="0"/>
        </w:rPr>
        <w:t xml:space="preserve"> (1), 62-67.</w:t>
      </w:r>
    </w:p>
    <w:p w:rsidR="00353E57" w:rsidRPr="00F03D2F" w:rsidRDefault="00353E57" w:rsidP="00353E57">
      <w:pPr>
        <w:pStyle w:val="a0"/>
        <w:rPr>
          <w:kern w:val="0"/>
        </w:rPr>
      </w:pPr>
      <w:r w:rsidRPr="00F03D2F">
        <w:rPr>
          <w:kern w:val="0"/>
        </w:rPr>
        <w:t>Full Text:</w:t>
      </w:r>
      <w:r w:rsidRPr="00D7601C">
        <w:t xml:space="preserve"> </w:t>
      </w:r>
      <w:hyperlink r:id="rId2041" w:history="1">
        <w:r w:rsidRPr="00C4766E">
          <w:rPr>
            <w:rStyle w:val="a5"/>
          </w:rPr>
          <w:t>2010\Int J Phy Sci5, 62.pdf</w:t>
        </w:r>
      </w:hyperlink>
    </w:p>
    <w:p w:rsidR="00353E57" w:rsidRDefault="00353E57" w:rsidP="00353E57">
      <w:pPr>
        <w:pStyle w:val="a0"/>
        <w:rPr>
          <w:kern w:val="0"/>
        </w:rPr>
      </w:pPr>
      <w:r>
        <w:rPr>
          <w:kern w:val="0"/>
        </w:rPr>
        <w:t>Abstract: The kinetics of adsorption of sodium-palmitate</w:t>
      </w:r>
      <w:r w:rsidR="00F81221">
        <w:rPr>
          <w:kern w:val="0"/>
        </w:rPr>
        <w:t xml:space="preserve"> and </w:t>
      </w:r>
      <w:r>
        <w:rPr>
          <w:kern w:val="0"/>
        </w:rPr>
        <w:t>sodium-laurate onto galena, hematite</w:t>
      </w:r>
      <w:r w:rsidR="00F81221">
        <w:rPr>
          <w:kern w:val="0"/>
        </w:rPr>
        <w:t xml:space="preserve"> and </w:t>
      </w:r>
      <w:r>
        <w:rPr>
          <w:kern w:val="0"/>
        </w:rPr>
        <w:t>cassiterite in aqueous media was investigated at various concentrations, times</w:t>
      </w:r>
      <w:r w:rsidR="00F81221">
        <w:rPr>
          <w:kern w:val="0"/>
        </w:rPr>
        <w:t xml:space="preserve"> and </w:t>
      </w:r>
      <w:r>
        <w:rPr>
          <w:kern w:val="0"/>
        </w:rPr>
        <w:t>temperatures. Experimental results were analysed using the pseudo-first</w:t>
      </w:r>
      <w:r w:rsidR="00F81221">
        <w:rPr>
          <w:kern w:val="0"/>
        </w:rPr>
        <w:t xml:space="preserve"> and </w:t>
      </w:r>
      <w:r>
        <w:rPr>
          <w:kern w:val="0"/>
        </w:rPr>
        <w:t>pseudo-second order kinetic models. The pseudo-first order model with higher correlation coefficient values described the adsorption kinetics better than the pseudo-second order model. The rate constant from the pseudo-first order model [0.109 min</w:t>
      </w:r>
      <w:r>
        <w:rPr>
          <w:kern w:val="0"/>
          <w:vertAlign w:val="superscript"/>
        </w:rPr>
        <w:t>-1</w:t>
      </w:r>
      <w:r>
        <w:rPr>
          <w:kern w:val="0"/>
        </w:rPr>
        <w:t xml:space="preserve"> for galena, 0.102 min</w:t>
      </w:r>
      <w:r>
        <w:rPr>
          <w:kern w:val="0"/>
          <w:vertAlign w:val="superscript"/>
        </w:rPr>
        <w:t>-1</w:t>
      </w:r>
      <w:r>
        <w:rPr>
          <w:kern w:val="0"/>
        </w:rPr>
        <w:t xml:space="preserve"> for hematite, 0.085 min</w:t>
      </w:r>
      <w:r>
        <w:rPr>
          <w:kern w:val="0"/>
          <w:vertAlign w:val="superscript"/>
        </w:rPr>
        <w:t>-1</w:t>
      </w:r>
      <w:r>
        <w:rPr>
          <w:kern w:val="0"/>
        </w:rPr>
        <w:t xml:space="preserve"> for cassiterite </w:t>
      </w:r>
      <w:r>
        <w:rPr>
          <w:kern w:val="0"/>
        </w:rPr>
        <w:lastRenderedPageBreak/>
        <w:t>(in the sodium-palmitate adsorption)</w:t>
      </w:r>
      <w:r w:rsidR="00F81221">
        <w:rPr>
          <w:kern w:val="0"/>
        </w:rPr>
        <w:t xml:space="preserve"> and </w:t>
      </w:r>
      <w:r>
        <w:rPr>
          <w:kern w:val="0"/>
        </w:rPr>
        <w:t>0.127 min</w:t>
      </w:r>
      <w:r>
        <w:rPr>
          <w:kern w:val="0"/>
          <w:vertAlign w:val="superscript"/>
        </w:rPr>
        <w:t>-1</w:t>
      </w:r>
      <w:r>
        <w:rPr>
          <w:kern w:val="0"/>
        </w:rPr>
        <w:t xml:space="preserve"> for galena, 0.109 min</w:t>
      </w:r>
      <w:r>
        <w:rPr>
          <w:kern w:val="0"/>
          <w:vertAlign w:val="superscript"/>
        </w:rPr>
        <w:t>-1</w:t>
      </w:r>
      <w:r>
        <w:rPr>
          <w:kern w:val="0"/>
        </w:rPr>
        <w:t xml:space="preserve"> for hematite, 0.095 min</w:t>
      </w:r>
      <w:r>
        <w:rPr>
          <w:kern w:val="0"/>
          <w:vertAlign w:val="superscript"/>
        </w:rPr>
        <w:t>-1</w:t>
      </w:r>
      <w:r>
        <w:rPr>
          <w:kern w:val="0"/>
        </w:rPr>
        <w:t xml:space="preserve"> for cassiterite (in the sodium-laurate adsorption) at 29ºC] show these rates in the order: galena &gt; hematite &gt; cassiterite for the adsorbents;</w:t>
      </w:r>
      <w:r w:rsidR="00F81221">
        <w:rPr>
          <w:kern w:val="0"/>
        </w:rPr>
        <w:t xml:space="preserve"> and </w:t>
      </w:r>
      <w:r>
        <w:rPr>
          <w:kern w:val="0"/>
        </w:rPr>
        <w:t>sodium-laurate &gt; sodium-palmitate for the adsorbates. Some kinetic parameters were computed</w:t>
      </w:r>
      <w:r w:rsidR="00F81221">
        <w:rPr>
          <w:kern w:val="0"/>
        </w:rPr>
        <w:t xml:space="preserve"> and </w:t>
      </w:r>
      <w:r>
        <w:rPr>
          <w:kern w:val="0"/>
        </w:rPr>
        <w:t>the values obtained indicate that the adsorption processes occurred at reasonable rate, low temperature</w:t>
      </w:r>
      <w:r w:rsidR="00F81221">
        <w:rPr>
          <w:kern w:val="0"/>
        </w:rPr>
        <w:t xml:space="preserve"> and </w:t>
      </w:r>
      <w:r>
        <w:rPr>
          <w:kern w:val="0"/>
        </w:rPr>
        <w:t>low energy suggesting physical adsorption as the dominant process.</w:t>
      </w:r>
    </w:p>
    <w:p w:rsidR="00353E57" w:rsidRDefault="00353E57" w:rsidP="00353E57">
      <w:pPr>
        <w:pStyle w:val="a0"/>
        <w:rPr>
          <w:kern w:val="0"/>
        </w:rPr>
      </w:pPr>
      <w:r>
        <w:rPr>
          <w:kern w:val="0"/>
        </w:rPr>
        <w:t xml:space="preserve">Keywords: Adsorbents, Adsorption, Adsorption Kinetics, Biosorption, Cadmium(II), Collector Reagent, Correlation, Correlation Coefficient, Energy, Equilibrium, Hematite, Ions, Kinetic, Kinetic Models, Kinetic Parameters, Kinetic Studies, Kinetics, Kinetics </w:t>
      </w:r>
      <w:r w:rsidR="007A3BB1">
        <w:rPr>
          <w:kern w:val="0"/>
        </w:rPr>
        <w:t xml:space="preserve">of </w:t>
      </w:r>
      <w:r>
        <w:rPr>
          <w:kern w:val="0"/>
        </w:rPr>
        <w:t>Adsorption, Lead, Low Temperature, Manihot-Sculenta Cranz, Media, Metal, Model, Models, Physical, Pseudo First Order, Pseudo Second Order, Pseudo-First and, Pseudo-First Order, Pseudo-First-Order, Pseudo-Second Order, Pseudo-Second Order Model, Pseudo-Second-Order, Rate Constant, Rates, Removal, Soap, Sorption, Temperature, Waste Biomass, Zinc(II)</w:t>
      </w:r>
    </w:p>
    <w:p w:rsidR="007A3BB1" w:rsidRDefault="007A3BB1" w:rsidP="007A3BB1">
      <w:pPr>
        <w:pStyle w:val="a0"/>
        <w:rPr>
          <w:kern w:val="0"/>
        </w:rPr>
      </w:pPr>
      <w:r>
        <w:rPr>
          <w:kern w:val="0"/>
        </w:rPr>
        <w:t>? Ong, S.T., Lee, W.N., Keng, P.S., Lee, S.L., Hung, Y.T.</w:t>
      </w:r>
      <w:r w:rsidR="00F81221">
        <w:rPr>
          <w:kern w:val="0"/>
        </w:rPr>
        <w:t xml:space="preserve"> and </w:t>
      </w:r>
      <w:r>
        <w:rPr>
          <w:kern w:val="0"/>
        </w:rPr>
        <w:t>Ha, S.T. (2010), Equilibrium studies</w:t>
      </w:r>
      <w:r w:rsidR="00F81221">
        <w:rPr>
          <w:kern w:val="0"/>
        </w:rPr>
        <w:t xml:space="preserve"> and </w:t>
      </w:r>
      <w:r>
        <w:rPr>
          <w:kern w:val="0"/>
        </w:rPr>
        <w:t>kinetics mechanism for the removal of basic</w:t>
      </w:r>
      <w:r w:rsidR="00F81221">
        <w:rPr>
          <w:kern w:val="0"/>
        </w:rPr>
        <w:t xml:space="preserve"> and </w:t>
      </w:r>
      <w:r>
        <w:rPr>
          <w:kern w:val="0"/>
        </w:rPr>
        <w:t>reactive dyes in both single</w:t>
      </w:r>
      <w:r w:rsidR="00F81221">
        <w:rPr>
          <w:kern w:val="0"/>
        </w:rPr>
        <w:t xml:space="preserve"> and </w:t>
      </w:r>
      <w:r>
        <w:rPr>
          <w:kern w:val="0"/>
        </w:rPr>
        <w:t xml:space="preserve">binary systems using EDTA modified rice husk. </w:t>
      </w:r>
      <w:r w:rsidR="00294F48">
        <w:rPr>
          <w:i/>
          <w:iCs/>
          <w:kern w:val="0"/>
        </w:rPr>
        <w:t>International Journal of the Physical Sciences</w:t>
      </w:r>
      <w:r>
        <w:rPr>
          <w:kern w:val="0"/>
        </w:rPr>
        <w:t xml:space="preserve">, </w:t>
      </w:r>
      <w:r>
        <w:rPr>
          <w:b/>
          <w:bCs/>
          <w:kern w:val="0"/>
        </w:rPr>
        <w:t>5</w:t>
      </w:r>
      <w:r>
        <w:rPr>
          <w:kern w:val="0"/>
        </w:rPr>
        <w:t xml:space="preserve"> (5), 582-595.</w:t>
      </w:r>
    </w:p>
    <w:p w:rsidR="007A3BB1" w:rsidRPr="00F03D2F" w:rsidRDefault="007A3BB1" w:rsidP="007A3BB1">
      <w:pPr>
        <w:pStyle w:val="a0"/>
        <w:rPr>
          <w:kern w:val="0"/>
        </w:rPr>
      </w:pPr>
      <w:r w:rsidRPr="00F03D2F">
        <w:rPr>
          <w:kern w:val="0"/>
        </w:rPr>
        <w:t>Full Text:</w:t>
      </w:r>
      <w:r w:rsidRPr="00D7601C">
        <w:t xml:space="preserve"> </w:t>
      </w:r>
      <w:hyperlink r:id="rId2042" w:history="1">
        <w:r w:rsidRPr="00CF37A2">
          <w:rPr>
            <w:rStyle w:val="a5"/>
          </w:rPr>
          <w:t>2010\Int J Phy Sci5, 582.pdf</w:t>
        </w:r>
      </w:hyperlink>
    </w:p>
    <w:p w:rsidR="007A3BB1" w:rsidRDefault="007A3BB1" w:rsidP="007A3BB1">
      <w:pPr>
        <w:pStyle w:val="a0"/>
        <w:rPr>
          <w:kern w:val="0"/>
        </w:rPr>
      </w:pPr>
      <w:r>
        <w:rPr>
          <w:kern w:val="0"/>
        </w:rPr>
        <w:t>Abstract: The potential of using ethylenediamine tetraacetic acid modified rice husk (ERH) to remove different types of dyes, namely basic</w:t>
      </w:r>
      <w:r w:rsidR="00F81221">
        <w:rPr>
          <w:kern w:val="0"/>
        </w:rPr>
        <w:t xml:space="preserve"> and </w:t>
      </w:r>
      <w:r>
        <w:rPr>
          <w:kern w:val="0"/>
        </w:rPr>
        <w:t>reactive dyes were studied. Sorption characteristic of ERH showed that it was pH dependent. The kinetics of sorption for both dyes was rapid within the first 60 min regardless of its initial concentration. Using the pseudo-second order kinetics model, the predicted uptakes of Methylene Blue (MB)</w:t>
      </w:r>
      <w:r w:rsidR="00F81221">
        <w:rPr>
          <w:kern w:val="0"/>
        </w:rPr>
        <w:t xml:space="preserve"> and </w:t>
      </w:r>
      <w:r>
        <w:rPr>
          <w:kern w:val="0"/>
        </w:rPr>
        <w:t>Reactive Orange 16 (RO16) agreed closely with experimental values obtained. Three isotherm models were used to fit with equilibrium data, namely Langmuir, Freundlich</w:t>
      </w:r>
      <w:r w:rsidR="00F81221">
        <w:rPr>
          <w:kern w:val="0"/>
        </w:rPr>
        <w:t xml:space="preserve"> and </w:t>
      </w:r>
      <w:r>
        <w:rPr>
          <w:kern w:val="0"/>
        </w:rPr>
        <w:t>BET models. It was found that the equilibrium fitted well in Freundlich isotherm with higher regression coefficient value, R-2. Thermodynamic parameters showed that the sorption of process of MB</w:t>
      </w:r>
      <w:r w:rsidR="00F81221">
        <w:rPr>
          <w:kern w:val="0"/>
        </w:rPr>
        <w:t xml:space="preserve"> and </w:t>
      </w:r>
      <w:r>
        <w:rPr>
          <w:kern w:val="0"/>
        </w:rPr>
        <w:t>RO16 are exothermic</w:t>
      </w:r>
      <w:r w:rsidR="00F81221">
        <w:rPr>
          <w:kern w:val="0"/>
        </w:rPr>
        <w:t xml:space="preserve"> and </w:t>
      </w:r>
      <w:r>
        <w:rPr>
          <w:kern w:val="0"/>
        </w:rPr>
        <w:t>endothermic, respectively. Decrease in sorbent particle size led to an increase in the sorption of dyes. The study revealed that ERH is suitable to use as a single sorbent to remove both MB</w:t>
      </w:r>
      <w:r w:rsidR="00F81221">
        <w:rPr>
          <w:kern w:val="0"/>
        </w:rPr>
        <w:t xml:space="preserve"> and </w:t>
      </w:r>
      <w:r>
        <w:rPr>
          <w:kern w:val="0"/>
        </w:rPr>
        <w:t>RO16 in all systems.</w:t>
      </w:r>
    </w:p>
    <w:p w:rsidR="007A3BB1" w:rsidRDefault="007A3BB1" w:rsidP="007A3BB1">
      <w:pPr>
        <w:pStyle w:val="a0"/>
        <w:rPr>
          <w:kern w:val="0"/>
        </w:rPr>
      </w:pPr>
      <w:r>
        <w:rPr>
          <w:kern w:val="0"/>
        </w:rPr>
        <w:t xml:space="preserve">Keywords: Adsorption, Adsorption, Aqueous-Solutions, Bagasse Pith, BET, Binary Mixture System, Biosorption, Concentration, Data, Dyes, EDTA, EDTA Modified Rice Husk, Endothermic, Equilibrium, Equilibrium Studies, Ethylenediamine, Exothermic, Experimental, First, Freundlich, Freundlich Isotherm, Hull, Isotherm, Kinetics, Kinetics Model, Langmuir, Mb, Mechanism, Metal-Ions, Methylene Blue, Methylene-Blue, Model, Models, Modified, Particle Size, pH, pH-Dependent, </w:t>
      </w:r>
      <w:r>
        <w:rPr>
          <w:kern w:val="0"/>
        </w:rPr>
        <w:lastRenderedPageBreak/>
        <w:t>Potential, Pseudo Second Order, Pseudo Second Order Kinetics, Pseudo-Second Order, Pseudo-Second Order Kinetics, Pseudo-Second-Order, Reactive Dyes, Reactive Orange 16, Regression, Removal, Rice, Rice Husk, Rice-Husk, Size, Sorbent, Sorption, Systems, Thermodynamic, Thermodynamic Parameters, Value, Waste-Water, Wheat Bran</w:t>
      </w:r>
    </w:p>
    <w:p w:rsidR="003B132D" w:rsidRDefault="003B132D" w:rsidP="003B132D">
      <w:pPr>
        <w:pStyle w:val="a0"/>
        <w:rPr>
          <w:kern w:val="0"/>
        </w:rPr>
      </w:pPr>
      <w:r>
        <w:rPr>
          <w:kern w:val="0"/>
        </w:rPr>
        <w:t>? Ong, S.T., Keng, P.S., Lee, S.L., Leong, M.H.</w:t>
      </w:r>
      <w:r w:rsidR="00F81221">
        <w:rPr>
          <w:kern w:val="0"/>
        </w:rPr>
        <w:t xml:space="preserve"> and </w:t>
      </w:r>
      <w:r>
        <w:rPr>
          <w:kern w:val="0"/>
        </w:rPr>
        <w:t>Hung, Y.T. (2010), Equilibrium studies for the removal of basic dye by sunflower seed husk (</w:t>
      </w:r>
      <w:r w:rsidRPr="0034659E">
        <w:rPr>
          <w:i/>
          <w:kern w:val="0"/>
        </w:rPr>
        <w:t>Helianthus annuus</w:t>
      </w:r>
      <w:r>
        <w:rPr>
          <w:kern w:val="0"/>
        </w:rPr>
        <w:t xml:space="preserve">). </w:t>
      </w:r>
      <w:r w:rsidR="00294F48">
        <w:rPr>
          <w:i/>
          <w:iCs/>
          <w:kern w:val="0"/>
        </w:rPr>
        <w:t>International Journal of the Physical Sciences</w:t>
      </w:r>
      <w:r>
        <w:rPr>
          <w:kern w:val="0"/>
        </w:rPr>
        <w:t xml:space="preserve">, </w:t>
      </w:r>
      <w:r>
        <w:rPr>
          <w:b/>
          <w:bCs/>
          <w:kern w:val="0"/>
        </w:rPr>
        <w:t>5</w:t>
      </w:r>
      <w:r>
        <w:rPr>
          <w:kern w:val="0"/>
        </w:rPr>
        <w:t xml:space="preserve"> (8), 1270-1276.</w:t>
      </w:r>
    </w:p>
    <w:p w:rsidR="003B132D" w:rsidRPr="00F03D2F" w:rsidRDefault="003B132D" w:rsidP="003B132D">
      <w:pPr>
        <w:pStyle w:val="a0"/>
        <w:rPr>
          <w:kern w:val="0"/>
        </w:rPr>
      </w:pPr>
      <w:r w:rsidRPr="00F03D2F">
        <w:rPr>
          <w:kern w:val="0"/>
        </w:rPr>
        <w:t>Full Text:</w:t>
      </w:r>
      <w:r w:rsidRPr="00D7601C">
        <w:t xml:space="preserve"> </w:t>
      </w:r>
      <w:hyperlink r:id="rId2043" w:history="1">
        <w:r w:rsidRPr="00914D13">
          <w:rPr>
            <w:rStyle w:val="a5"/>
          </w:rPr>
          <w:t>2010\Int J Phy Sci5, 1270.pdf</w:t>
        </w:r>
      </w:hyperlink>
    </w:p>
    <w:p w:rsidR="003B132D" w:rsidRDefault="003B132D" w:rsidP="003B132D">
      <w:pPr>
        <w:pStyle w:val="a0"/>
        <w:rPr>
          <w:kern w:val="0"/>
        </w:rPr>
      </w:pPr>
      <w:r>
        <w:rPr>
          <w:kern w:val="0"/>
        </w:rPr>
        <w:t>Abstract: The sorption characteristics of sunflower (</w:t>
      </w:r>
      <w:r w:rsidRPr="0034659E">
        <w:rPr>
          <w:i/>
          <w:kern w:val="0"/>
        </w:rPr>
        <w:t>Helianthus annuus</w:t>
      </w:r>
      <w:r>
        <w:rPr>
          <w:kern w:val="0"/>
        </w:rPr>
        <w:t>) seed husk (SSH) to remove Methylene Blue (MB) from aqueous solution under batch conditions have been investigated. Sorption of MB was found to be pH, concentration</w:t>
      </w:r>
      <w:r w:rsidR="00F81221">
        <w:rPr>
          <w:kern w:val="0"/>
        </w:rPr>
        <w:t xml:space="preserve"> and </w:t>
      </w:r>
      <w:r>
        <w:rPr>
          <w:kern w:val="0"/>
        </w:rPr>
        <w:t>agitation dependent. The kinetics of sorption was rapid with 80% sorption taking place within the first 60 min regardless of its initial concentration. The fast attainment of equilibrium implying the biosorbent could be suitable for continuous flow system. Using the pseudo-second order kinetics model, the predictive model for MB sorbed at time t (q(t)) with the initial concentration of (C-o) is given by q(t) = C(o)t/[0.0607C(o) + 2.0762 + (0.0012C(o) + 5.1949) t]. Results indicated that the predicted uptakes of MB agreed closely with experimental values obtained. The experimental data fitted well to Langmuir isotherm model with the correlation coefficient of 0.9860</w:t>
      </w:r>
      <w:r w:rsidR="00F81221">
        <w:rPr>
          <w:kern w:val="0"/>
        </w:rPr>
        <w:t xml:space="preserve"> and </w:t>
      </w:r>
      <w:r>
        <w:rPr>
          <w:kern w:val="0"/>
        </w:rPr>
        <w:t>maximum monolayer sorption capacity of 45.25 mg/g.</w:t>
      </w:r>
    </w:p>
    <w:p w:rsidR="003B132D" w:rsidRDefault="003B132D" w:rsidP="003B132D">
      <w:pPr>
        <w:pStyle w:val="a0"/>
        <w:rPr>
          <w:kern w:val="0"/>
        </w:rPr>
      </w:pPr>
      <w:r>
        <w:rPr>
          <w:kern w:val="0"/>
        </w:rPr>
        <w:t>Keywords: Adsorbent, Adsorption, Agitation, Aqueous Solution, Aqueous-Solution, Basic Dye, Batch, Biosorbent, Capacity, Characteristics, Co, Concentration, Correlation, Correlation Coefficient, Data, Dye, Equilibrium, Equilibrium Studies, Experimental, First, Flow, Isotherm, Isotherm Model, Kinetics, Kinetics, Kinetics Model, Langmuir, Langmuir Isotherm, Langmuir Isotherm Model, Mb, Methylene Blue, Methylene-Blue, Model, Modelling, Monolayer, Ph, Predictive, Predictive Model, Pseudo Second Order, Pseudo Second Order Kinetics, Pseudo-Second Order, Pseudo-Second Order Kinetics, Pseudo-Second-Order, Removal, Sawdust, Solution, Sorption, Sorption, Sorption Capacity, Sunflower Seed Husk, T, Waste</w:t>
      </w:r>
    </w:p>
    <w:p w:rsidR="00B95188" w:rsidRPr="00A428C3" w:rsidRDefault="00B95188" w:rsidP="00B95188">
      <w:pPr>
        <w:pStyle w:val="1"/>
      </w:pPr>
      <w:r w:rsidRPr="00A428C3">
        <w:br w:type="page"/>
      </w:r>
      <w:bookmarkStart w:id="1458" w:name="_Toc317161352"/>
      <w:r w:rsidRPr="00A428C3">
        <w:lastRenderedPageBreak/>
        <w:t xml:space="preserve">Title: </w:t>
      </w:r>
      <w:r>
        <w:t>International Journal of Phytoremediation</w:t>
      </w:r>
      <w:bookmarkEnd w:id="1458"/>
    </w:p>
    <w:p w:rsidR="00B95188" w:rsidRPr="00A428C3" w:rsidRDefault="00B95188" w:rsidP="00B72EF9">
      <w:pPr>
        <w:pStyle w:val="12"/>
      </w:pPr>
      <w:r w:rsidRPr="00A428C3">
        <w:t xml:space="preserve">Full Journal Title: </w:t>
      </w:r>
      <w:hyperlink r:id="rId2044" w:history="1">
        <w:r w:rsidRPr="00D366FD">
          <w:rPr>
            <w:rStyle w:val="a5"/>
          </w:rPr>
          <w:t>International Journal of Phytoremediation</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w:t>
      </w:r>
    </w:p>
    <w:p w:rsidR="00B95188" w:rsidRPr="00A428C3" w:rsidRDefault="00B95188" w:rsidP="00B72EF9">
      <w:pPr>
        <w:pStyle w:val="12"/>
      </w:pPr>
      <w:r>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Default="00B95188" w:rsidP="00B95188">
      <w:pPr>
        <w:pStyle w:val="a0"/>
      </w:pPr>
      <w:r w:rsidRPr="00A428C3">
        <w:t xml:space="preserve">? </w:t>
      </w:r>
      <w:r>
        <w:t>Rai</w:t>
      </w:r>
      <w:r>
        <w:rPr>
          <w:rFonts w:hint="eastAsia"/>
        </w:rPr>
        <w:t>,</w:t>
      </w:r>
      <w:r>
        <w:t xml:space="preserve"> P</w:t>
      </w:r>
      <w:r>
        <w:rPr>
          <w:rFonts w:hint="eastAsia"/>
        </w:rPr>
        <w:t>.</w:t>
      </w:r>
      <w:r>
        <w:t>K</w:t>
      </w:r>
      <w:r>
        <w:rPr>
          <w:rFonts w:hint="eastAsia"/>
        </w:rPr>
        <w:t>.</w:t>
      </w:r>
      <w:r w:rsidRPr="00A428C3">
        <w:t xml:space="preserve"> (200</w:t>
      </w:r>
      <w:r>
        <w:rPr>
          <w:rFonts w:hint="eastAsia"/>
        </w:rPr>
        <w:t>8</w:t>
      </w:r>
      <w:r w:rsidRPr="00A428C3">
        <w:t xml:space="preserve">), </w:t>
      </w:r>
      <w:r>
        <w:t>Heavy metal pollution in aquatic ecosystems</w:t>
      </w:r>
      <w:r w:rsidR="00F81221">
        <w:t xml:space="preserve"> and </w:t>
      </w:r>
      <w:r>
        <w:t>its phytoremediation using wetland plants: An ecosustainable approach</w:t>
      </w:r>
      <w:r w:rsidRPr="00A428C3">
        <w:t xml:space="preserve">. </w:t>
      </w:r>
      <w:r w:rsidRPr="0055775B">
        <w:rPr>
          <w:i/>
        </w:rPr>
        <w:t>International Journal of Phytoremediation</w:t>
      </w:r>
      <w:r w:rsidRPr="00A428C3">
        <w:t xml:space="preserve">, </w:t>
      </w:r>
      <w:r>
        <w:rPr>
          <w:rFonts w:hint="eastAsia"/>
          <w:b/>
        </w:rPr>
        <w:t>10</w:t>
      </w:r>
      <w:r w:rsidRPr="00A428C3">
        <w:t xml:space="preserve"> (</w:t>
      </w:r>
      <w:r>
        <w:rPr>
          <w:rFonts w:hint="eastAsia"/>
        </w:rPr>
        <w:t>2</w:t>
      </w:r>
      <w:r w:rsidRPr="00A428C3">
        <w:t xml:space="preserve">), </w:t>
      </w:r>
      <w:r>
        <w:t>133-160</w:t>
      </w:r>
      <w:r w:rsidRPr="00A428C3">
        <w:t>.</w:t>
      </w:r>
    </w:p>
    <w:p w:rsidR="00B95188" w:rsidRPr="00586CD8" w:rsidRDefault="00B95188" w:rsidP="00B95188">
      <w:pPr>
        <w:pStyle w:val="a0"/>
        <w:rPr>
          <w:kern w:val="2"/>
        </w:rPr>
      </w:pPr>
      <w:r w:rsidRPr="00586CD8">
        <w:rPr>
          <w:rFonts w:hint="eastAsia"/>
          <w:kern w:val="2"/>
        </w:rPr>
        <w:t xml:space="preserve">Full Text: </w:t>
      </w:r>
      <w:hyperlink r:id="rId2045" w:history="1">
        <w:r w:rsidRPr="00892FDE">
          <w:rPr>
            <w:rStyle w:val="a5"/>
            <w:kern w:val="0"/>
          </w:rPr>
          <w:t>2008\Int J Phy10, 133.pdf</w:t>
        </w:r>
      </w:hyperlink>
    </w:p>
    <w:p w:rsidR="00B95188" w:rsidRDefault="00B95188" w:rsidP="00B95188">
      <w:pPr>
        <w:pStyle w:val="a0"/>
      </w:pPr>
      <w:r>
        <w:t>Abstract: This review addresses the global problem of heavymetal pollution originating from increased industrialization</w:t>
      </w:r>
      <w:r w:rsidR="00F81221">
        <w:t xml:space="preserve"> and </w:t>
      </w:r>
      <w:r>
        <w:t>urbanization</w:t>
      </w:r>
      <w:r w:rsidR="00F81221">
        <w:t xml:space="preserve"> and </w:t>
      </w:r>
      <w:r>
        <w:t>its amelioration by using wetland plants both in a microcosm as well as natural/field condition. Heavymetal contamination in aquatic ecosystems due to discharge of industrial effluents may pose a serious threat to human health. Alkaline precipitation, ion exchange columns, electrochemical removal, filtration,</w:t>
      </w:r>
      <w:r w:rsidR="00F81221">
        <w:t xml:space="preserve"> and </w:t>
      </w:r>
      <w:r>
        <w:t>membrane technologies are the currently available technologies for heavy metal removal. These conventional technologies are not economical</w:t>
      </w:r>
      <w:r w:rsidR="00F81221">
        <w:t xml:space="preserve"> and </w:t>
      </w:r>
      <w:r>
        <w:t xml:space="preserve">may produce adverse impacts on aquatic ecosystems. Phytoremediation of metals is a cost-effective </w:t>
      </w:r>
      <w:r w:rsidR="000352E7">
        <w:t>“</w:t>
      </w:r>
      <w:r>
        <w:t>green</w:t>
      </w:r>
      <w:r w:rsidR="000352E7">
        <w:t>”</w:t>
      </w:r>
      <w:r>
        <w:t xml:space="preserve"> technology based on the use of specially selected metal-accumulating plants to remove toxic metals from soils</w:t>
      </w:r>
      <w:r w:rsidR="00F81221">
        <w:t xml:space="preserve"> and </w:t>
      </w:r>
      <w:r>
        <w:t>water. Wetland plants are important tools for heavy metal removal. The Ramsar convention, one of the earlier modern global conservation treaties, was adopted at Ramsar, Iran, in 1971</w:t>
      </w:r>
      <w:r w:rsidR="00F81221">
        <w:t xml:space="preserve"> and </w:t>
      </w:r>
      <w:r>
        <w:t>became effective in 1975. This convention emphasized the wise use of wetlands</w:t>
      </w:r>
      <w:r w:rsidR="00F81221">
        <w:t xml:space="preserve"> and </w:t>
      </w:r>
      <w:r>
        <w:t>their resources. This review mentions salient features of wetland ecosystems, their vegetation component,</w:t>
      </w:r>
      <w:r w:rsidR="00F81221">
        <w:t xml:space="preserve"> and </w:t>
      </w:r>
      <w:r>
        <w:t>the pros</w:t>
      </w:r>
      <w:r w:rsidR="00F81221">
        <w:t xml:space="preserve"> and </w:t>
      </w:r>
      <w:r>
        <w:t>cons involved in heavy metal removal. Wetland plants are preferred over other bio-agents due to their low cost, frequent abundance in aquatic ecosystems,</w:t>
      </w:r>
      <w:r w:rsidR="00F81221">
        <w:t xml:space="preserve"> and </w:t>
      </w:r>
      <w:r>
        <w:t xml:space="preserve">easy handling. The extensive rhizosphere of wetland plants provides an enriched culture zone for the microbes involved in degradation. The wetland sediment zone provides reducing conditions that are conducive to the metal removal pathway. Constructed wetlands proved to be effective for the abatement of heavymetal pollution from acid mine </w:t>
      </w:r>
      <w:r>
        <w:lastRenderedPageBreak/>
        <w:t>drainage; landfill leachate; thermal power;</w:t>
      </w:r>
      <w:r w:rsidR="00F81221">
        <w:t xml:space="preserve"> and </w:t>
      </w:r>
      <w:r>
        <w:t>municipal, agricultural, refinery,</w:t>
      </w:r>
      <w:r w:rsidR="00F81221">
        <w:t xml:space="preserve"> and </w:t>
      </w:r>
      <w:r>
        <w:t>chlor-alkali effluent. the physicochemical properties of wetlands provide many positive attributes for remediating heavy metals. Typha, Phragmites, Eichhornia, Azolla, Lemna,</w:t>
      </w:r>
      <w:r w:rsidR="00F81221">
        <w:t xml:space="preserve"> and </w:t>
      </w:r>
      <w:r>
        <w:t>other aquatic macrophytes are some of the potent wetland plants for heavy metal removal. Biomass disposal problem</w:t>
      </w:r>
      <w:r w:rsidR="00F81221">
        <w:t xml:space="preserve"> and </w:t>
      </w:r>
      <w:r>
        <w:t>seasonal growth of aquatic macrophytes are some limitations in the transfer of phytoremediation technology from the laboratory to the field. However, the disposed biomass of macrophytes may be used for various fruitful applications. An ecosustainable model has been developed through the author</w:t>
      </w:r>
      <w:r w:rsidR="000352E7">
        <w:t>’</w:t>
      </w:r>
      <w:r>
        <w:t>s various works, which may ameliorate some of the limitations. The creation of more areas for phytoremediation may also aid in wetlands conservation. Genetic engineering</w:t>
      </w:r>
      <w:r w:rsidR="00F81221">
        <w:t xml:space="preserve"> and </w:t>
      </w:r>
      <w:r>
        <w:t>biodiversity prospecting of endangered wetland plants are important future prospects in this regard.</w:t>
      </w:r>
    </w:p>
    <w:p w:rsidR="00B95188" w:rsidRPr="00A428C3" w:rsidRDefault="00B95188" w:rsidP="00B95188">
      <w:pPr>
        <w:pStyle w:val="a0"/>
      </w:pPr>
      <w:r>
        <w:t>Keywords: Heavy Metals, Constructed Wetland, Phytoremediation, Biodiversity Prospecting, Genetic Engineering, Coal Mine, Waste-Water Treatment, Acid-Mine Drainage, Mississippi River-Basin, Trin. EX Steudel, Constructed Wetlands, Phragmites-Australis, Trace-Metals, Submersed Macrophytes, Industrial Effluents, Artificial Wetlands</w:t>
      </w:r>
    </w:p>
    <w:p w:rsidR="00B95188" w:rsidRPr="00586CD8" w:rsidRDefault="00B95188" w:rsidP="00B95188">
      <w:pPr>
        <w:pStyle w:val="a0"/>
        <w:rPr>
          <w:kern w:val="2"/>
        </w:rPr>
      </w:pPr>
      <w:r w:rsidRPr="00586CD8">
        <w:rPr>
          <w:rFonts w:hint="eastAsia"/>
          <w:kern w:val="2"/>
        </w:rPr>
        <w:t xml:space="preserve">? </w:t>
      </w:r>
      <w:r w:rsidRPr="00586CD8">
        <w:rPr>
          <w:kern w:val="2"/>
        </w:rPr>
        <w:t>Doshi, H., Ray, A.</w:t>
      </w:r>
      <w:r w:rsidR="00F81221">
        <w:rPr>
          <w:kern w:val="2"/>
        </w:rPr>
        <w:t xml:space="preserve"> and </w:t>
      </w:r>
      <w:r w:rsidRPr="00586CD8">
        <w:rPr>
          <w:kern w:val="2"/>
        </w:rPr>
        <w:t xml:space="preserve">Kothari, I.L. (2008), Bioremediation potential of </w:t>
      </w:r>
      <w:r w:rsidRPr="00C4226A">
        <w:rPr>
          <w:i/>
          <w:kern w:val="0"/>
        </w:rPr>
        <w:t>Chlorella</w:t>
      </w:r>
      <w:r w:rsidRPr="00586CD8">
        <w:rPr>
          <w:kern w:val="2"/>
        </w:rPr>
        <w:t>: Spectroscopic, kinetics,</w:t>
      </w:r>
      <w:r w:rsidR="00F81221">
        <w:rPr>
          <w:kern w:val="2"/>
        </w:rPr>
        <w:t xml:space="preserve"> and </w:t>
      </w:r>
      <w:r w:rsidRPr="00586CD8">
        <w:rPr>
          <w:kern w:val="2"/>
        </w:rPr>
        <w:t xml:space="preserve">SEM studies. </w:t>
      </w:r>
      <w:r>
        <w:rPr>
          <w:i/>
          <w:iCs/>
          <w:kern w:val="0"/>
        </w:rPr>
        <w:t>International Journal of Phytoremediation</w:t>
      </w:r>
      <w:r w:rsidRPr="00586CD8">
        <w:rPr>
          <w:kern w:val="2"/>
        </w:rPr>
        <w:t xml:space="preserve">, </w:t>
      </w:r>
      <w:r>
        <w:rPr>
          <w:b/>
          <w:bCs/>
          <w:kern w:val="0"/>
        </w:rPr>
        <w:t>10</w:t>
      </w:r>
      <w:r w:rsidRPr="00586CD8">
        <w:rPr>
          <w:kern w:val="2"/>
        </w:rPr>
        <w:t xml:space="preserve"> (4), 264-277.</w:t>
      </w:r>
    </w:p>
    <w:p w:rsidR="00B95188" w:rsidRPr="00586CD8" w:rsidRDefault="00B95188" w:rsidP="00B95188">
      <w:pPr>
        <w:pStyle w:val="a0"/>
        <w:rPr>
          <w:kern w:val="2"/>
        </w:rPr>
      </w:pPr>
      <w:r w:rsidRPr="00586CD8">
        <w:rPr>
          <w:rFonts w:hint="eastAsia"/>
          <w:kern w:val="2"/>
        </w:rPr>
        <w:t xml:space="preserve">Full Text: </w:t>
      </w:r>
      <w:hyperlink r:id="rId2046" w:history="1">
        <w:r w:rsidRPr="00892FDE">
          <w:rPr>
            <w:rStyle w:val="a5"/>
            <w:kern w:val="0"/>
          </w:rPr>
          <w:t>2008\Int J Phy10, 264.pdf</w:t>
        </w:r>
      </w:hyperlink>
    </w:p>
    <w:p w:rsidR="00B95188" w:rsidRPr="00586CD8" w:rsidRDefault="00B95188" w:rsidP="00B95188">
      <w:pPr>
        <w:pStyle w:val="a0"/>
        <w:rPr>
          <w:kern w:val="2"/>
        </w:rPr>
      </w:pPr>
      <w:r w:rsidRPr="00586CD8">
        <w:rPr>
          <w:kern w:val="2"/>
        </w:rPr>
        <w:t>Abstract: A dead dried alga, Chlorella sp., was used for the uptake of Cr</w:t>
      </w:r>
      <w:r w:rsidRPr="00E311E6">
        <w:rPr>
          <w:kern w:val="0"/>
          <w:vertAlign w:val="superscript"/>
        </w:rPr>
        <w:t>+</w:t>
      </w:r>
      <w:r>
        <w:rPr>
          <w:rFonts w:hint="eastAsia"/>
          <w:kern w:val="0"/>
          <w:vertAlign w:val="superscript"/>
        </w:rPr>
        <w:t>3</w:t>
      </w:r>
      <w:r w:rsidRPr="00586CD8">
        <w:rPr>
          <w:kern w:val="2"/>
        </w:rPr>
        <w:t>, Cr</w:t>
      </w:r>
      <w:r w:rsidRPr="00E311E6">
        <w:rPr>
          <w:kern w:val="0"/>
          <w:vertAlign w:val="subscript"/>
        </w:rPr>
        <w:t>2</w:t>
      </w:r>
      <w:r w:rsidRPr="00586CD8">
        <w:rPr>
          <w:kern w:val="2"/>
        </w:rPr>
        <w:t>O</w:t>
      </w:r>
      <w:r w:rsidRPr="00E311E6">
        <w:rPr>
          <w:kern w:val="0"/>
          <w:vertAlign w:val="subscript"/>
        </w:rPr>
        <w:t>7</w:t>
      </w:r>
      <w:r w:rsidRPr="00E311E6">
        <w:rPr>
          <w:kern w:val="0"/>
          <w:vertAlign w:val="superscript"/>
        </w:rPr>
        <w:t>-2</w:t>
      </w:r>
      <w:r w:rsidRPr="00586CD8">
        <w:rPr>
          <w:kern w:val="2"/>
        </w:rPr>
        <w:t>, Cu</w:t>
      </w:r>
      <w:r w:rsidRPr="00E311E6">
        <w:rPr>
          <w:kern w:val="0"/>
          <w:vertAlign w:val="superscript"/>
        </w:rPr>
        <w:t>+2</w:t>
      </w:r>
      <w:r w:rsidRPr="00586CD8">
        <w:rPr>
          <w:kern w:val="2"/>
        </w:rPr>
        <w:t>,</w:t>
      </w:r>
      <w:r w:rsidR="00F81221">
        <w:rPr>
          <w:kern w:val="2"/>
        </w:rPr>
        <w:t xml:space="preserve"> and </w:t>
      </w:r>
      <w:r w:rsidRPr="00586CD8">
        <w:rPr>
          <w:kern w:val="2"/>
        </w:rPr>
        <w:t>Ni</w:t>
      </w:r>
      <w:r w:rsidRPr="00E311E6">
        <w:rPr>
          <w:kern w:val="0"/>
          <w:vertAlign w:val="superscript"/>
        </w:rPr>
        <w:t>+2</w:t>
      </w:r>
      <w:r w:rsidRPr="00586CD8">
        <w:rPr>
          <w:kern w:val="2"/>
        </w:rPr>
        <w:t xml:space="preserve"> from the aqueous solutions of these metal ions. The equilibrium data were fitted using the Langmuir</w:t>
      </w:r>
      <w:r w:rsidR="00F81221">
        <w:rPr>
          <w:kern w:val="2"/>
        </w:rPr>
        <w:t xml:space="preserve"> and </w:t>
      </w:r>
      <w:r w:rsidRPr="00586CD8">
        <w:rPr>
          <w:kern w:val="2"/>
        </w:rPr>
        <w:t>Freundlich isotherm model</w:t>
      </w:r>
      <w:r w:rsidR="00F81221">
        <w:rPr>
          <w:kern w:val="2"/>
        </w:rPr>
        <w:t xml:space="preserve"> and </w:t>
      </w:r>
      <w:r w:rsidRPr="00586CD8">
        <w:rPr>
          <w:kern w:val="2"/>
        </w:rPr>
        <w:t>the maximum uptakes for Cr</w:t>
      </w:r>
      <w:r w:rsidRPr="00E311E6">
        <w:rPr>
          <w:kern w:val="0"/>
          <w:vertAlign w:val="superscript"/>
        </w:rPr>
        <w:t>+</w:t>
      </w:r>
      <w:r>
        <w:rPr>
          <w:rFonts w:hint="eastAsia"/>
          <w:kern w:val="0"/>
          <w:vertAlign w:val="superscript"/>
        </w:rPr>
        <w:t>3</w:t>
      </w:r>
      <w:r w:rsidRPr="00586CD8">
        <w:rPr>
          <w:kern w:val="2"/>
        </w:rPr>
        <w:t>, Cr</w:t>
      </w:r>
      <w:r w:rsidRPr="00E311E6">
        <w:rPr>
          <w:kern w:val="0"/>
          <w:vertAlign w:val="subscript"/>
        </w:rPr>
        <w:t>2</w:t>
      </w:r>
      <w:r w:rsidRPr="00586CD8">
        <w:rPr>
          <w:kern w:val="2"/>
        </w:rPr>
        <w:t>O</w:t>
      </w:r>
      <w:r w:rsidRPr="00E311E6">
        <w:rPr>
          <w:kern w:val="0"/>
          <w:vertAlign w:val="subscript"/>
        </w:rPr>
        <w:t>7</w:t>
      </w:r>
      <w:r w:rsidRPr="00E311E6">
        <w:rPr>
          <w:kern w:val="0"/>
          <w:vertAlign w:val="superscript"/>
        </w:rPr>
        <w:t>-2</w:t>
      </w:r>
      <w:r w:rsidRPr="00586CD8">
        <w:rPr>
          <w:kern w:val="2"/>
        </w:rPr>
        <w:t>, Ni</w:t>
      </w:r>
      <w:r w:rsidRPr="00E311E6">
        <w:rPr>
          <w:kern w:val="0"/>
          <w:vertAlign w:val="superscript"/>
        </w:rPr>
        <w:t>+2</w:t>
      </w:r>
      <w:r w:rsidRPr="00586CD8">
        <w:rPr>
          <w:kern w:val="2"/>
        </w:rPr>
        <w:t>,</w:t>
      </w:r>
      <w:r w:rsidR="00F81221">
        <w:rPr>
          <w:kern w:val="2"/>
        </w:rPr>
        <w:t xml:space="preserve"> and </w:t>
      </w:r>
      <w:r w:rsidRPr="00586CD8">
        <w:rPr>
          <w:kern w:val="2"/>
        </w:rPr>
        <w:t>Cu</w:t>
      </w:r>
      <w:r w:rsidRPr="00E311E6">
        <w:rPr>
          <w:kern w:val="0"/>
          <w:vertAlign w:val="superscript"/>
        </w:rPr>
        <w:t>+2</w:t>
      </w:r>
      <w:r w:rsidRPr="00586CD8">
        <w:rPr>
          <w:kern w:val="2"/>
        </w:rPr>
        <w:t xml:space="preserve"> were 98, 104, 108,</w:t>
      </w:r>
      <w:r w:rsidR="00F81221">
        <w:rPr>
          <w:kern w:val="2"/>
        </w:rPr>
        <w:t xml:space="preserve"> and </w:t>
      </w:r>
      <w:r w:rsidRPr="00586CD8">
        <w:rPr>
          <w:kern w:val="2"/>
        </w:rPr>
        <w:t>183 mg/g, respectively. The Freundlich model, in comparison to the Langmuir model, better represented the sorption process. The kinetics of metal ions uptake by Chlorella sp. was best described by a pseudo-second order rate equation. Infrared spectroscopic data were employed to identify the site(s) of bonding in Chlorella sp. A scanning electron microscopic (SEM) study of pure dead Chlorella sp.</w:t>
      </w:r>
      <w:r w:rsidR="00F81221">
        <w:rPr>
          <w:kern w:val="2"/>
        </w:rPr>
        <w:t xml:space="preserve"> and </w:t>
      </w:r>
      <w:r w:rsidRPr="00586CD8">
        <w:rPr>
          <w:kern w:val="2"/>
        </w:rPr>
        <w:t>the species treated with different metal ions provided an idea of the extent of metal uptake by this species. The dead Chlorella sp took up maximum Cu(II). The size of the cell of the metal-treated Chlorella sp. obtained from SEM data is in agreement with the extent of metal uptake.</w:t>
      </w:r>
    </w:p>
    <w:p w:rsidR="00B95188" w:rsidRPr="00586CD8" w:rsidRDefault="00B95188" w:rsidP="00B95188">
      <w:pPr>
        <w:pStyle w:val="a0"/>
        <w:rPr>
          <w:kern w:val="2"/>
        </w:rPr>
      </w:pPr>
      <w:r w:rsidRPr="00586CD8">
        <w:rPr>
          <w:kern w:val="2"/>
        </w:rPr>
        <w:t xml:space="preserve">Keywords: Aqueous Solutions, Aqueous-Solution, Biosorption, Biosorption, Carbon, Chlorella sp., Chromium, Comparison, Copper, Cu(II), Equilibrium, Freundlich, Freundlich Isotherm, Freundlich Model, Infrared (IR), Isotherm, Isotherm Model, Kinetics, Langmuir, Langmuir Model, Metal, Metal Ions, Metal Uptake, Metals, Model, Nickel, Potential, Pseudo Second Order, Pseudo-Second Order, </w:t>
      </w:r>
      <w:r w:rsidRPr="00586CD8">
        <w:rPr>
          <w:kern w:val="2"/>
        </w:rPr>
        <w:lastRenderedPageBreak/>
        <w:t>Pseudo-Second-Order, Scanning Electron Microscopic (SEM), SEM, Size, Sorption, Sorption Process</w:t>
      </w:r>
    </w:p>
    <w:p w:rsidR="00B95188" w:rsidRPr="00A428C3" w:rsidRDefault="00B95188" w:rsidP="00B95188">
      <w:pPr>
        <w:pStyle w:val="1"/>
      </w:pPr>
      <w:r w:rsidRPr="00A428C3">
        <w:br w:type="page"/>
      </w:r>
      <w:bookmarkStart w:id="1459" w:name="_Toc186647945"/>
      <w:bookmarkStart w:id="1460" w:name="_Toc317161353"/>
      <w:r w:rsidRPr="00A428C3">
        <w:lastRenderedPageBreak/>
        <w:t>Title: International Journal of Plant Sciences</w:t>
      </w:r>
      <w:bookmarkEnd w:id="1459"/>
      <w:bookmarkEnd w:id="1460"/>
    </w:p>
    <w:p w:rsidR="00B95188" w:rsidRPr="00A428C3" w:rsidRDefault="00B95188" w:rsidP="00B72EF9">
      <w:pPr>
        <w:pStyle w:val="12"/>
      </w:pPr>
      <w:r w:rsidRPr="00A428C3">
        <w:t>Full Journal Title: International Journal of Plant Sciences</w:t>
      </w:r>
    </w:p>
    <w:p w:rsidR="00B95188" w:rsidRPr="00A428C3" w:rsidRDefault="00B95188" w:rsidP="00B72EF9">
      <w:pPr>
        <w:pStyle w:val="12"/>
      </w:pPr>
      <w:r w:rsidRPr="00A428C3">
        <w:t>ISO Abbreviated Title: Int. J. Plant Sci.</w:t>
      </w:r>
    </w:p>
    <w:p w:rsidR="00B95188" w:rsidRPr="00A428C3" w:rsidRDefault="00B95188" w:rsidP="00B72EF9">
      <w:pPr>
        <w:pStyle w:val="12"/>
      </w:pPr>
      <w:r w:rsidRPr="00A428C3">
        <w:t>JCR Abbreviated Title: Int J Plant Sci</w:t>
      </w:r>
    </w:p>
    <w:p w:rsidR="00B95188" w:rsidRPr="00A428C3" w:rsidRDefault="00B95188" w:rsidP="00B72EF9">
      <w:pPr>
        <w:pStyle w:val="12"/>
      </w:pPr>
      <w:r w:rsidRPr="00A428C3">
        <w:t>ISSN: 1058-5893</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Univ Chicago Press</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1427 E 60th St</w:t>
          </w:r>
        </w:smartTag>
        <w:r w:rsidRPr="00A428C3">
          <w:t xml:space="preserve">, </w:t>
        </w:r>
        <w:smartTag w:uri="urn:schemas-microsoft-com:office:smarttags" w:element="City">
          <w:r w:rsidRPr="00A428C3">
            <w:t>Chicago</w:t>
          </w:r>
        </w:smartTag>
        <w:r w:rsidRPr="00A428C3">
          <w:t xml:space="preserve">, </w:t>
        </w:r>
        <w:smartTag w:uri="urn:schemas-microsoft-com:office:smarttags" w:element="State">
          <w:r w:rsidRPr="00A428C3">
            <w:t>IL</w:t>
          </w:r>
        </w:smartTag>
        <w:r w:rsidRPr="00A428C3">
          <w:t xml:space="preserve"> </w:t>
        </w:r>
        <w:smartTag w:uri="urn:schemas-microsoft-com:office:smarttags" w:element="PostalCode">
          <w:r w:rsidRPr="00A428C3">
            <w:t>60637-2954</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Plant Sciences: Impact Factor 1.524, / (2001)</w:t>
      </w:r>
    </w:p>
    <w:p w:rsidR="00B95188" w:rsidRPr="00A428C3" w:rsidRDefault="00B95188" w:rsidP="00B95188">
      <w:pPr>
        <w:pStyle w:val="a0"/>
      </w:pPr>
      <w:r w:rsidRPr="00A428C3">
        <w:t>Tidwell, W.D.</w:t>
      </w:r>
      <w:r w:rsidR="00F81221">
        <w:t xml:space="preserve"> and </w:t>
      </w:r>
      <w:r w:rsidRPr="00A428C3">
        <w:t xml:space="preserve">Hebbert, N. (1992), Species of the cretaceous tree fern Tempskya from </w:t>
      </w:r>
      <w:smartTag w:uri="urn:schemas-microsoft-com:office:smarttags" w:element="place">
        <w:smartTag w:uri="urn:schemas-microsoft-com:office:smarttags" w:element="State">
          <w:r w:rsidRPr="00A428C3">
            <w:t>Utah</w:t>
          </w:r>
        </w:smartTag>
      </w:smartTag>
      <w:r w:rsidRPr="00A428C3">
        <w:t xml:space="preserve">. </w:t>
      </w:r>
      <w:r w:rsidRPr="00A428C3">
        <w:rPr>
          <w:i/>
          <w:iCs/>
        </w:rPr>
        <w:t>International Journal of Plant Sciences</w:t>
      </w:r>
      <w:r w:rsidRPr="00A428C3">
        <w:t xml:space="preserve">, </w:t>
      </w:r>
      <w:r w:rsidRPr="00A428C3">
        <w:rPr>
          <w:b/>
        </w:rPr>
        <w:t>153</w:t>
      </w:r>
      <w:r w:rsidRPr="00A428C3">
        <w:t xml:space="preserve"> (3), 513-528.</w:t>
      </w:r>
    </w:p>
    <w:p w:rsidR="00B95188" w:rsidRPr="00A428C3" w:rsidRDefault="00B95188" w:rsidP="00B95188">
      <w:pPr>
        <w:pStyle w:val="a0"/>
      </w:pPr>
      <w:r w:rsidRPr="00A428C3">
        <w:t xml:space="preserve">Abstract: Nine species of the permineralized stems of Tempskya were investigated from the upper </w:t>
      </w:r>
      <w:smartTag w:uri="urn:schemas-microsoft-com:office:smarttags" w:element="PlaceName">
        <w:r w:rsidRPr="00A428C3">
          <w:t>Lower</w:t>
        </w:r>
      </w:smartTag>
      <w:r w:rsidRPr="00A428C3">
        <w:t xml:space="preserve"> </w:t>
      </w:r>
      <w:smartTag w:uri="urn:schemas-microsoft-com:office:smarttags" w:element="PlaceName">
        <w:r w:rsidRPr="00A428C3">
          <w:t>Cretaceous</w:t>
        </w:r>
      </w:smartTag>
      <w:r w:rsidRPr="00A428C3">
        <w:t xml:space="preserve"> </w:t>
      </w:r>
      <w:smartTag w:uri="urn:schemas-microsoft-com:office:smarttags" w:element="PlaceName">
        <w:r w:rsidRPr="00A428C3">
          <w:t>Cedar</w:t>
        </w:r>
      </w:smartTag>
      <w:r w:rsidRPr="00A428C3">
        <w:t xml:space="preserve"> Mountain</w:t>
      </w:r>
      <w:r w:rsidR="00F81221">
        <w:t xml:space="preserve"> and </w:t>
      </w:r>
      <w:r w:rsidRPr="00A428C3">
        <w:t xml:space="preserve">Burro </w:t>
      </w:r>
      <w:smartTag w:uri="urn:schemas-microsoft-com:office:smarttags" w:element="PlaceType">
        <w:r w:rsidRPr="00A428C3">
          <w:t>Canyon</w:t>
        </w:r>
      </w:smartTag>
      <w:r w:rsidRPr="00A428C3">
        <w:t xml:space="preserve"> Formations,</w:t>
      </w:r>
      <w:r w:rsidR="00F81221">
        <w:t xml:space="preserve"> and </w:t>
      </w:r>
      <w:r w:rsidRPr="00A428C3">
        <w:t>the lower Upper Cretaceous Dakota Formation in central</w:t>
      </w:r>
      <w:r w:rsidR="00F81221">
        <w:t xml:space="preserve"> and </w:t>
      </w:r>
      <w:r w:rsidRPr="00A428C3">
        <w:t xml:space="preserve">southeastern </w:t>
      </w:r>
      <w:smartTag w:uri="urn:schemas-microsoft-com:office:smarttags" w:element="place">
        <w:smartTag w:uri="urn:schemas-microsoft-com:office:smarttags" w:element="State">
          <w:r w:rsidRPr="00A428C3">
            <w:t>Utah</w:t>
          </w:r>
        </w:smartTag>
      </w:smartTag>
      <w:r w:rsidRPr="00A428C3">
        <w:t>. Tempskya jonesii, T. stichkae,</w:t>
      </w:r>
      <w:r w:rsidR="00F81221">
        <w:t xml:space="preserve"> and </w:t>
      </w:r>
      <w:r w:rsidRPr="00A428C3">
        <w:t>T readii are new</w:t>
      </w:r>
      <w:r w:rsidR="00F81221">
        <w:t xml:space="preserve"> and </w:t>
      </w:r>
      <w:r w:rsidRPr="00A428C3">
        <w:t>are differentiated on the basis of the radial orientation of their dorsiventral stems, their internodal lengths, the lack of sclerenchyma in the inner cortex of T. jonesii, the three nearly continuous zones of sclerenchyma in the inner cortex of T. stichkae,</w:t>
      </w:r>
      <w:r w:rsidR="00F81221">
        <w:t xml:space="preserve"> and </w:t>
      </w:r>
      <w:r w:rsidRPr="00A428C3">
        <w:t>the completely sclerotic inner cortex of T. readii. Specimens of T. jonesii</w:t>
      </w:r>
      <w:r w:rsidR="00F81221">
        <w:t xml:space="preserve"> and </w:t>
      </w:r>
      <w:r w:rsidRPr="00A428C3">
        <w:t xml:space="preserve">T. minor were collected in growth position near Castle </w:t>
      </w:r>
      <w:smartTag w:uri="urn:schemas-microsoft-com:office:smarttags" w:element="City">
        <w:r w:rsidRPr="00A428C3">
          <w:t>Dale</w:t>
        </w:r>
      </w:smartTag>
      <w:r w:rsidRPr="00A428C3">
        <w:t xml:space="preserve">, </w:t>
      </w:r>
      <w:smartTag w:uri="urn:schemas-microsoft-com:office:smarttags" w:element="State">
        <w:r w:rsidRPr="00A428C3">
          <w:t>Utah</w:t>
        </w:r>
      </w:smartTag>
      <w:r w:rsidRPr="00A428C3">
        <w:t xml:space="preserve">, which is the first time Tempskya has been collected in this position in </w:t>
      </w:r>
      <w:smartTag w:uri="urn:schemas-microsoft-com:office:smarttags" w:element="place">
        <w:r w:rsidRPr="00A428C3">
          <w:t>North America</w:t>
        </w:r>
      </w:smartTag>
      <w:r w:rsidRPr="00A428C3">
        <w:t>. Thin leaves were also observed for the first time in Tempskya in specimens of T. wyomingense. Tunnels containing three sizes of fecal pellets are common in tissues of stems, roots, petioles,</w:t>
      </w:r>
      <w:r w:rsidR="00F81221">
        <w:t xml:space="preserve"> and </w:t>
      </w:r>
      <w:r w:rsidRPr="00A428C3">
        <w:t>epidermal hairs of the false trunks of Tempskya, indicating that three different grazers fed upon these plants. Arbuscules of vesicular-arbuscular (V-A) mycorrhizal fungi occur in some roots of the false trunks of T. jonesii. Specific characters of Tempskya</w:t>
      </w:r>
      <w:r w:rsidR="00F81221">
        <w:t xml:space="preserve"> and </w:t>
      </w:r>
      <w:r w:rsidRPr="00A428C3">
        <w:t>possible environmental circumstances under which these plants grew are reviewed,</w:t>
      </w:r>
      <w:r w:rsidR="00F81221">
        <w:t xml:space="preserve"> and </w:t>
      </w:r>
      <w:r w:rsidRPr="00A428C3">
        <w:t>we conclude that they grew under relatively humid conditions in swamps on flood plains.</w:t>
      </w:r>
    </w:p>
    <w:p w:rsidR="00B95188" w:rsidRPr="00A428C3" w:rsidRDefault="00B95188" w:rsidP="00B95188">
      <w:pPr>
        <w:pStyle w:val="a0"/>
      </w:pPr>
      <w:r w:rsidRPr="00A428C3">
        <w:t xml:space="preserve">Keywords: </w:t>
      </w:r>
      <w:smartTag w:uri="urn:schemas-microsoft-com:office:smarttags" w:element="PlaceName">
        <w:r w:rsidRPr="00A428C3">
          <w:t>Cedar</w:t>
        </w:r>
      </w:smartTag>
      <w:r w:rsidRPr="00A428C3">
        <w:t xml:space="preserve"> </w:t>
      </w:r>
      <w:smartTag w:uri="urn:schemas-microsoft-com:office:smarttags" w:element="PlaceType">
        <w:r w:rsidRPr="00A428C3">
          <w:t>Mountain</w:t>
        </w:r>
      </w:smartTag>
      <w:r w:rsidRPr="00A428C3">
        <w:t xml:space="preserve"> Formation, </w:t>
      </w:r>
      <w:smartTag w:uri="urn:schemas-microsoft-com:office:smarttags" w:element="place">
        <w:smartTag w:uri="urn:schemas-microsoft-com:office:smarttags" w:element="State">
          <w:r w:rsidRPr="00A428C3">
            <w:t>Colorado</w:t>
          </w:r>
        </w:smartTag>
      </w:smartTag>
      <w:r w:rsidRPr="00A428C3">
        <w:t>, Flora</w:t>
      </w:r>
    </w:p>
    <w:p w:rsidR="003B132D" w:rsidRPr="00A428C3" w:rsidRDefault="003B132D" w:rsidP="003B132D">
      <w:pPr>
        <w:pStyle w:val="1"/>
      </w:pPr>
      <w:r w:rsidRPr="00A428C3">
        <w:br w:type="page"/>
      </w:r>
      <w:bookmarkStart w:id="1461" w:name="_Toc186647944"/>
      <w:bookmarkStart w:id="1462" w:name="_Toc317161354"/>
      <w:r w:rsidRPr="00A428C3">
        <w:lastRenderedPageBreak/>
        <w:t xml:space="preserve">Title: </w:t>
      </w:r>
      <w:bookmarkEnd w:id="1461"/>
      <w:r w:rsidRPr="003B132D">
        <w:rPr>
          <w:iCs/>
        </w:rPr>
        <w:t>International Journal of Plant Sciences</w:t>
      </w:r>
      <w:bookmarkEnd w:id="1462"/>
    </w:p>
    <w:p w:rsidR="003B132D" w:rsidRPr="00A428C3" w:rsidRDefault="003B132D" w:rsidP="00B72EF9">
      <w:pPr>
        <w:pStyle w:val="12"/>
      </w:pPr>
      <w:r w:rsidRPr="00A428C3">
        <w:t xml:space="preserve">Full Journal Title: </w:t>
      </w:r>
      <w:r w:rsidRPr="003B132D">
        <w:t>International Journal of Plant Sciences</w:t>
      </w:r>
    </w:p>
    <w:p w:rsidR="003B132D" w:rsidRPr="00A428C3" w:rsidRDefault="003B132D" w:rsidP="00B72EF9">
      <w:pPr>
        <w:pStyle w:val="12"/>
      </w:pPr>
      <w:r w:rsidRPr="00A428C3">
        <w:t xml:space="preserve">ISO Abbreviated Title: </w:t>
      </w:r>
    </w:p>
    <w:p w:rsidR="003B132D" w:rsidRPr="00A428C3" w:rsidRDefault="003B132D" w:rsidP="00B72EF9">
      <w:pPr>
        <w:pStyle w:val="12"/>
      </w:pPr>
      <w:r w:rsidRPr="00A428C3">
        <w:t>JCR Abbreviated Title:</w:t>
      </w:r>
    </w:p>
    <w:p w:rsidR="003B132D" w:rsidRPr="00A428C3" w:rsidRDefault="003B132D" w:rsidP="00B72EF9">
      <w:pPr>
        <w:pStyle w:val="12"/>
      </w:pPr>
      <w:r w:rsidRPr="00A428C3">
        <w:t xml:space="preserve">ISSN: </w:t>
      </w:r>
    </w:p>
    <w:p w:rsidR="003B132D" w:rsidRPr="00A428C3" w:rsidRDefault="003B132D" w:rsidP="00B72EF9">
      <w:pPr>
        <w:pStyle w:val="12"/>
      </w:pPr>
      <w:r w:rsidRPr="00A428C3">
        <w:t xml:space="preserve">Issues/Year: </w:t>
      </w:r>
    </w:p>
    <w:p w:rsidR="003B132D" w:rsidRPr="00A428C3" w:rsidRDefault="003B132D" w:rsidP="00B72EF9">
      <w:pPr>
        <w:pStyle w:val="12"/>
      </w:pPr>
      <w:r w:rsidRPr="00A428C3">
        <w:t xml:space="preserve">Journal Country/Territory: </w:t>
      </w:r>
    </w:p>
    <w:p w:rsidR="003B132D" w:rsidRPr="00A428C3" w:rsidRDefault="003B132D" w:rsidP="00B72EF9">
      <w:pPr>
        <w:pStyle w:val="12"/>
      </w:pPr>
      <w:r w:rsidRPr="00A428C3">
        <w:t xml:space="preserve">Language: </w:t>
      </w:r>
    </w:p>
    <w:p w:rsidR="003B132D" w:rsidRPr="00A428C3" w:rsidRDefault="003B132D" w:rsidP="00B72EF9">
      <w:pPr>
        <w:pStyle w:val="12"/>
      </w:pPr>
      <w:r w:rsidRPr="00A428C3">
        <w:t xml:space="preserve">Publisher: </w:t>
      </w:r>
    </w:p>
    <w:p w:rsidR="003B132D" w:rsidRPr="00A428C3" w:rsidRDefault="003B132D" w:rsidP="00B72EF9">
      <w:pPr>
        <w:pStyle w:val="12"/>
      </w:pPr>
      <w:r w:rsidRPr="00A428C3">
        <w:t xml:space="preserve">Publisher Address: </w:t>
      </w:r>
    </w:p>
    <w:p w:rsidR="003B132D" w:rsidRPr="00A428C3" w:rsidRDefault="003B132D" w:rsidP="00B72EF9">
      <w:pPr>
        <w:pStyle w:val="12"/>
      </w:pPr>
      <w:r w:rsidRPr="00A428C3">
        <w:t>Subject Categories:</w:t>
      </w:r>
    </w:p>
    <w:p w:rsidR="003B132D" w:rsidRPr="00A428C3" w:rsidRDefault="003B132D" w:rsidP="00B72EF9">
      <w:pPr>
        <w:pStyle w:val="12"/>
      </w:pPr>
      <w:r w:rsidRPr="00A428C3">
        <w:t xml:space="preserve">Plant Sciences: Impact Factor </w:t>
      </w:r>
    </w:p>
    <w:p w:rsidR="003B132D" w:rsidRPr="00A428C3" w:rsidRDefault="003B132D" w:rsidP="003B132D">
      <w:pPr>
        <w:pStyle w:val="a0"/>
      </w:pPr>
      <w:r w:rsidRPr="00A428C3">
        <w:t>? Hafez, H.S., Ali, A.E.H.</w:t>
      </w:r>
      <w:r w:rsidR="00F81221">
        <w:t xml:space="preserve"> and </w:t>
      </w:r>
      <w:r w:rsidRPr="00A428C3">
        <w:t xml:space="preserve">Abdel-Mottaleb, M.S.A. (2005), Photocatalytic efficiency of titanium dioxide immobilized on PVP/AAc hydrogel membranes: A comparative study for safe disposal of wastewater of Remazol Red RB-133 textile dye. </w:t>
      </w:r>
      <w:r w:rsidRPr="003B132D">
        <w:rPr>
          <w:i/>
          <w:iCs/>
        </w:rPr>
        <w:t>International Journal of Plant Sciences</w:t>
      </w:r>
      <w:r w:rsidRPr="00A428C3">
        <w:t xml:space="preserve">, </w:t>
      </w:r>
      <w:r w:rsidRPr="00A428C3">
        <w:rPr>
          <w:b/>
        </w:rPr>
        <w:t>7</w:t>
      </w:r>
      <w:r w:rsidRPr="00A428C3">
        <w:t xml:space="preserve"> (4), 181-185.</w:t>
      </w:r>
    </w:p>
    <w:p w:rsidR="003B132D" w:rsidRPr="00A428C3" w:rsidRDefault="003B132D" w:rsidP="003B132D">
      <w:pPr>
        <w:pStyle w:val="a0"/>
      </w:pPr>
      <w:r w:rsidRPr="00A13428">
        <w:t>Abstract:</w:t>
      </w:r>
      <w:r w:rsidRPr="00A428C3">
        <w:t xml:space="preserve"> The paper reports on the photocatalytic efficiency of TiO</w:t>
      </w:r>
      <w:r w:rsidRPr="00A428C3">
        <w:rPr>
          <w:vertAlign w:val="subscript"/>
        </w:rPr>
        <w:t>2</w:t>
      </w:r>
      <w:r w:rsidRPr="00A428C3">
        <w:t xml:space="preserve"> nanoparticles immobilized on polyvinyl pyrrolidone/acrylic acid (PVP/ AAc) copolymer hydrogels, which are prepared by means of gamma- rays induced homo-</w:t>
      </w:r>
      <w:r w:rsidR="00F81221">
        <w:t xml:space="preserve"> and </w:t>
      </w:r>
      <w:r w:rsidRPr="00A428C3">
        <w:t>copolymerization. The efficiency of immobilized photocatalyst is tested on a commercial textile dye namely Remazol Red RB- 133. The results are compared with photocatalytic efficiencies of different types of non supported TiO</w:t>
      </w:r>
      <w:r w:rsidRPr="00A428C3">
        <w:rPr>
          <w:vertAlign w:val="subscript"/>
        </w:rPr>
        <w:t>2</w:t>
      </w:r>
      <w:r w:rsidRPr="00A428C3">
        <w:t xml:space="preserve"> photocatalysts such as aqueous slurries of colloidal TiO</w:t>
      </w:r>
      <w:r w:rsidRPr="00A428C3">
        <w:rPr>
          <w:vertAlign w:val="subscript"/>
        </w:rPr>
        <w:t>2</w:t>
      </w:r>
      <w:r w:rsidRPr="00A428C3">
        <w:t xml:space="preserve"> prepared by sol- gel technique,</w:t>
      </w:r>
      <w:r w:rsidR="00F81221">
        <w:t xml:space="preserve"> and </w:t>
      </w:r>
      <w:r w:rsidRPr="00A428C3">
        <w:t>commercially available Degussa P25. Although less efficient than nonsupported ones, the hydrogel supported TiO</w:t>
      </w:r>
      <w:r w:rsidRPr="00A428C3">
        <w:rPr>
          <w:vertAlign w:val="subscript"/>
        </w:rPr>
        <w:t>2</w:t>
      </w:r>
      <w:r w:rsidRPr="00A428C3">
        <w:t xml:space="preserve"> photocatalyst has the practical advantages of easy separation</w:t>
      </w:r>
      <w:r w:rsidR="00F81221">
        <w:t xml:space="preserve"> and </w:t>
      </w:r>
      <w:r w:rsidRPr="00A428C3">
        <w:t>removal from the reactors. This makes it a viable technique for the safe disposal of textile wastewater into the water streams.</w:t>
      </w:r>
    </w:p>
    <w:p w:rsidR="003B132D" w:rsidRPr="00A428C3" w:rsidRDefault="003B132D" w:rsidP="003B132D">
      <w:pPr>
        <w:pStyle w:val="a0"/>
      </w:pPr>
      <w:r w:rsidRPr="00A13428">
        <w:t>Keywords:</w:t>
      </w:r>
      <w:r w:rsidRPr="00A428C3">
        <w:t xml:space="preserve"> TiO</w:t>
      </w:r>
      <w:r w:rsidRPr="00A428C3">
        <w:rPr>
          <w:vertAlign w:val="subscript"/>
        </w:rPr>
        <w:t>2</w:t>
      </w:r>
      <w:r w:rsidRPr="00A428C3">
        <w:t xml:space="preserve"> Thin-Films, Degradation, Adsorption, Removal, Ions, Acid</w:t>
      </w:r>
    </w:p>
    <w:p w:rsidR="00B95188" w:rsidRPr="00A428C3" w:rsidRDefault="00B95188" w:rsidP="00B95188">
      <w:pPr>
        <w:pStyle w:val="1"/>
      </w:pPr>
      <w:r w:rsidRPr="00A428C3">
        <w:br w:type="page"/>
      </w:r>
      <w:bookmarkStart w:id="1463" w:name="_Toc186647946"/>
      <w:bookmarkStart w:id="1464" w:name="_Toc317161355"/>
      <w:r w:rsidRPr="00A428C3">
        <w:lastRenderedPageBreak/>
        <w:t>Title: International Journal of Primatology</w:t>
      </w:r>
      <w:bookmarkEnd w:id="1463"/>
      <w:bookmarkEnd w:id="1464"/>
    </w:p>
    <w:p w:rsidR="00B95188" w:rsidRPr="00A428C3" w:rsidRDefault="00B95188" w:rsidP="00B72EF9">
      <w:pPr>
        <w:pStyle w:val="12"/>
      </w:pPr>
      <w:r w:rsidRPr="00A428C3">
        <w:t>Full Journal Title: International Journal of Primatology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0164-0291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Cooney, D.O.</w:t>
      </w:r>
      <w:r w:rsidR="00F81221">
        <w:t xml:space="preserve"> and </w:t>
      </w:r>
      <w:r w:rsidRPr="00A428C3">
        <w:t xml:space="preserve">Struhsaker, T.T. (1997), Adsorptive capacity of charcoals eaten by </w:t>
      </w:r>
      <w:smartTag w:uri="urn:schemas-microsoft-com:office:smarttags" w:element="place">
        <w:smartTag w:uri="urn:schemas-microsoft-com:office:smarttags" w:element="City">
          <w:r w:rsidRPr="00A428C3">
            <w:t>Zanzibar</w:t>
          </w:r>
        </w:smartTag>
      </w:smartTag>
      <w:r w:rsidRPr="00A428C3">
        <w:t xml:space="preserve"> red colobus monkeys: Implications for reducing dietary toxins. </w:t>
      </w:r>
      <w:r w:rsidRPr="00A428C3">
        <w:rPr>
          <w:i/>
          <w:iCs/>
        </w:rPr>
        <w:t>International Journal of Primatology</w:t>
      </w:r>
      <w:r w:rsidRPr="00A428C3">
        <w:t xml:space="preserve">, </w:t>
      </w:r>
      <w:r w:rsidRPr="00A428C3">
        <w:rPr>
          <w:b/>
        </w:rPr>
        <w:t>18</w:t>
      </w:r>
      <w:r w:rsidRPr="00A428C3">
        <w:t xml:space="preserve"> (2), 235-246.</w:t>
      </w:r>
    </w:p>
    <w:p w:rsidR="00B95188" w:rsidRPr="00A428C3" w:rsidRDefault="00B95188" w:rsidP="00B95188">
      <w:pPr>
        <w:pStyle w:val="a0"/>
      </w:pPr>
      <w:r w:rsidRPr="00A428C3">
        <w:t xml:space="preserve">Abstract: Colobus monkeys on the African </w:t>
      </w:r>
      <w:smartTag w:uri="urn:schemas-microsoft-com:office:smarttags" w:element="place">
        <w:smartTag w:uri="urn:schemas-microsoft-com:office:smarttags" w:element="PlaceType">
          <w:r w:rsidRPr="00A428C3">
            <w:t>island</w:t>
          </w:r>
        </w:smartTag>
        <w:r w:rsidRPr="00A428C3">
          <w:t xml:space="preserve"> of </w:t>
        </w:r>
        <w:smartTag w:uri="urn:schemas-microsoft-com:office:smarttags" w:element="PlaceName">
          <w:r w:rsidRPr="00A428C3">
            <w:t>Zanzibar</w:t>
          </w:r>
        </w:smartTag>
      </w:smartTag>
      <w:r w:rsidRPr="00A428C3">
        <w:t xml:space="preserve"> eat charcoal from burned trees</w:t>
      </w:r>
      <w:r w:rsidR="00F81221">
        <w:t xml:space="preserve"> and </w:t>
      </w:r>
      <w:r w:rsidRPr="00A428C3">
        <w:t>lying near kilns, where if is produced for cooking. This behavior may be a learned response for counteracting toxicity due to phenolic</w:t>
      </w:r>
      <w:r w:rsidR="00F81221">
        <w:t xml:space="preserve"> and </w:t>
      </w:r>
      <w:r w:rsidRPr="00A428C3">
        <w:t>similar compounds that occur in significant concentrations in the Indian almond (Terminalia catappa) leaves</w:t>
      </w:r>
      <w:r w:rsidR="00F81221">
        <w:t xml:space="preserve"> and </w:t>
      </w:r>
      <w:r w:rsidRPr="00A428C3">
        <w:t>mango (Mangifera indica) leaves which constitute a major part of their diet. Accordingly, we studied the adsorption of organic materials from hot water extracts of Indian almond</w:t>
      </w:r>
      <w:r w:rsidR="00F81221">
        <w:t xml:space="preserve"> and </w:t>
      </w:r>
      <w:r w:rsidRPr="00A428C3">
        <w:t xml:space="preserve">mango leaves by five charcoals collected in </w:t>
      </w:r>
      <w:smartTag w:uri="urn:schemas-microsoft-com:office:smarttags" w:element="place">
        <w:smartTag w:uri="urn:schemas-microsoft-com:office:smarttags" w:element="City">
          <w:r w:rsidRPr="00A428C3">
            <w:t>Zanzibar</w:t>
          </w:r>
        </w:smartTag>
      </w:smartTag>
      <w:r w:rsidRPr="00A428C3">
        <w:t xml:space="preserve"> For comparison, we also evaluated three commercial powdered activated charcoals. Three African charcoals collected at kilns adsorbed more organic material than two kinds collected from burned tree stumps. The commercial activated charcoals adsorbed the organic material best, as expected, yet the African kiln charcoals adsorbed surprisingly well. Thus, the hypothesized function of charcoal eating is supported.</w:t>
      </w:r>
    </w:p>
    <w:p w:rsidR="00B95188" w:rsidRPr="00A428C3" w:rsidRDefault="00B95188" w:rsidP="00B95188">
      <w:pPr>
        <w:pStyle w:val="a0"/>
      </w:pPr>
      <w:r w:rsidRPr="00A428C3">
        <w:t>Keywords: Procolobus Kirkii, Charcoal, Feeding, Adsorption, Phenolics</w:t>
      </w:r>
    </w:p>
    <w:p w:rsidR="005A65D2" w:rsidRPr="00217FB1" w:rsidRDefault="005A65D2" w:rsidP="005A65D2">
      <w:pPr>
        <w:pStyle w:val="1"/>
      </w:pPr>
      <w:r w:rsidRPr="00217FB1">
        <w:br w:type="page"/>
      </w:r>
      <w:bookmarkStart w:id="1465" w:name="_Toc317161356"/>
      <w:r w:rsidRPr="00217FB1">
        <w:lastRenderedPageBreak/>
        <w:t xml:space="preserve">Title: </w:t>
      </w:r>
      <w:r w:rsidRPr="00EF390C">
        <w:rPr>
          <w:iCs/>
        </w:rPr>
        <w:t>International Journal of Production Economics</w:t>
      </w:r>
      <w:bookmarkEnd w:id="1465"/>
    </w:p>
    <w:p w:rsidR="005A65D2" w:rsidRPr="00217FB1" w:rsidRDefault="005A65D2" w:rsidP="00B72EF9">
      <w:pPr>
        <w:pStyle w:val="12"/>
      </w:pPr>
      <w:r w:rsidRPr="00217FB1">
        <w:t xml:space="preserve">Full Journal Title: </w:t>
      </w:r>
      <w:hyperlink r:id="rId2047" w:history="1">
        <w:r w:rsidRPr="00EF390C">
          <w:rPr>
            <w:rStyle w:val="a5"/>
            <w:iCs/>
          </w:rPr>
          <w:t>International Journal of Production Economics</w:t>
        </w:r>
      </w:hyperlink>
    </w:p>
    <w:p w:rsidR="005A65D2" w:rsidRPr="00217FB1" w:rsidRDefault="005A65D2" w:rsidP="00B72EF9">
      <w:pPr>
        <w:pStyle w:val="12"/>
      </w:pPr>
      <w:r w:rsidRPr="00217FB1">
        <w:t xml:space="preserve">ISO Abbreviated Title: </w:t>
      </w:r>
    </w:p>
    <w:p w:rsidR="005A65D2" w:rsidRPr="00217FB1" w:rsidRDefault="005A65D2" w:rsidP="00B72EF9">
      <w:pPr>
        <w:pStyle w:val="12"/>
      </w:pPr>
      <w:r w:rsidRPr="00217FB1">
        <w:t>JCR Abbreviated Title</w:t>
      </w:r>
      <w:r>
        <w:t>:</w:t>
      </w:r>
      <w:r w:rsidRPr="00217FB1">
        <w:t xml:space="preserve"> </w:t>
      </w:r>
    </w:p>
    <w:p w:rsidR="005A65D2" w:rsidRPr="00217FB1" w:rsidRDefault="005A65D2" w:rsidP="00B72EF9">
      <w:pPr>
        <w:pStyle w:val="12"/>
      </w:pPr>
      <w:r w:rsidRPr="00217FB1">
        <w:t xml:space="preserve">ISSN: </w:t>
      </w:r>
    </w:p>
    <w:p w:rsidR="005A65D2" w:rsidRPr="00217FB1" w:rsidRDefault="005A65D2" w:rsidP="00B72EF9">
      <w:pPr>
        <w:pStyle w:val="12"/>
      </w:pPr>
      <w:r w:rsidRPr="00217FB1">
        <w:t xml:space="preserve">Issues/Year: </w:t>
      </w:r>
    </w:p>
    <w:p w:rsidR="005A65D2" w:rsidRPr="00217FB1" w:rsidRDefault="005A65D2" w:rsidP="00B72EF9">
      <w:pPr>
        <w:pStyle w:val="12"/>
      </w:pPr>
      <w:r>
        <w:t xml:space="preserve">Journal Country/Territory: </w:t>
      </w:r>
    </w:p>
    <w:p w:rsidR="005A65D2" w:rsidRPr="00217FB1" w:rsidRDefault="005A65D2" w:rsidP="00B72EF9">
      <w:pPr>
        <w:pStyle w:val="12"/>
      </w:pPr>
      <w:r w:rsidRPr="00217FB1">
        <w:t xml:space="preserve">Language: </w:t>
      </w:r>
    </w:p>
    <w:p w:rsidR="005A65D2" w:rsidRPr="00217FB1" w:rsidRDefault="005A65D2" w:rsidP="00B72EF9">
      <w:pPr>
        <w:pStyle w:val="12"/>
      </w:pPr>
      <w:r w:rsidRPr="00217FB1">
        <w:t xml:space="preserve">Publisher: </w:t>
      </w:r>
    </w:p>
    <w:p w:rsidR="005A65D2" w:rsidRPr="00217FB1" w:rsidRDefault="005A65D2" w:rsidP="00B72EF9">
      <w:pPr>
        <w:pStyle w:val="12"/>
      </w:pPr>
      <w:r w:rsidRPr="00217FB1">
        <w:t xml:space="preserve">Publisher Address: </w:t>
      </w:r>
    </w:p>
    <w:p w:rsidR="005A65D2" w:rsidRPr="00217FB1" w:rsidRDefault="005A65D2" w:rsidP="00B72EF9">
      <w:pPr>
        <w:pStyle w:val="12"/>
      </w:pPr>
      <w:r w:rsidRPr="00217FB1">
        <w:t>Subject Categories:</w:t>
      </w:r>
    </w:p>
    <w:p w:rsidR="005A65D2" w:rsidRPr="00217FB1" w:rsidRDefault="005A65D2" w:rsidP="00B72EF9">
      <w:pPr>
        <w:pStyle w:val="12"/>
      </w:pPr>
      <w:r w:rsidRPr="00217FB1">
        <w:t xml:space="preserve">: </w:t>
      </w:r>
      <w:r>
        <w:t>Impact Factor</w:t>
      </w:r>
      <w:r w:rsidRPr="00217FB1">
        <w:t xml:space="preserve"> </w:t>
      </w:r>
    </w:p>
    <w:p w:rsidR="005A65D2" w:rsidRDefault="005A65D2" w:rsidP="005A65D2">
      <w:pPr>
        <w:pStyle w:val="a0"/>
        <w:rPr>
          <w:kern w:val="0"/>
        </w:rPr>
      </w:pPr>
      <w:r>
        <w:rPr>
          <w:rFonts w:hint="eastAsia"/>
          <w:kern w:val="0"/>
        </w:rPr>
        <w:t xml:space="preserve">? </w:t>
      </w:r>
      <w:r>
        <w:rPr>
          <w:kern w:val="0"/>
        </w:rPr>
        <w:t>Hsieh, P.N.</w:t>
      </w:r>
      <w:r w:rsidR="00F81221">
        <w:rPr>
          <w:kern w:val="0"/>
        </w:rPr>
        <w:t xml:space="preserve"> and </w:t>
      </w:r>
      <w:r>
        <w:rPr>
          <w:kern w:val="0"/>
        </w:rPr>
        <w:t>Chang, P.L. (2009), An assessment of world-wide research productivity in production</w:t>
      </w:r>
      <w:r w:rsidR="00F81221">
        <w:rPr>
          <w:kern w:val="0"/>
        </w:rPr>
        <w:t xml:space="preserve"> and </w:t>
      </w:r>
      <w:r>
        <w:rPr>
          <w:kern w:val="0"/>
        </w:rPr>
        <w:t xml:space="preserve">operations management. </w:t>
      </w:r>
      <w:r w:rsidRPr="00EF390C">
        <w:rPr>
          <w:i/>
          <w:iCs/>
          <w:kern w:val="0"/>
        </w:rPr>
        <w:t>International Journal of Production Economics</w:t>
      </w:r>
      <w:r>
        <w:rPr>
          <w:kern w:val="0"/>
        </w:rPr>
        <w:t xml:space="preserve">, </w:t>
      </w:r>
      <w:r>
        <w:rPr>
          <w:b/>
          <w:bCs/>
          <w:kern w:val="0"/>
        </w:rPr>
        <w:t>120</w:t>
      </w:r>
      <w:r>
        <w:rPr>
          <w:kern w:val="0"/>
        </w:rPr>
        <w:t xml:space="preserve"> (2), 540-551.</w:t>
      </w:r>
    </w:p>
    <w:p w:rsidR="005A65D2" w:rsidRDefault="005A65D2" w:rsidP="005A65D2">
      <w:pPr>
        <w:pStyle w:val="a0"/>
        <w:rPr>
          <w:kern w:val="0"/>
        </w:rPr>
      </w:pPr>
      <w:r>
        <w:rPr>
          <w:rFonts w:hint="eastAsia"/>
          <w:kern w:val="0"/>
        </w:rPr>
        <w:t xml:space="preserve">Full Text: </w:t>
      </w:r>
      <w:hyperlink r:id="rId2048" w:history="1">
        <w:r w:rsidRPr="00EF390C">
          <w:rPr>
            <w:rStyle w:val="a5"/>
            <w:kern w:val="0"/>
          </w:rPr>
          <w:t>2009\Int J Pro Eco120, 540.pdf</w:t>
        </w:r>
      </w:hyperlink>
    </w:p>
    <w:p w:rsidR="005A65D2" w:rsidRDefault="005A65D2" w:rsidP="005A65D2">
      <w:pPr>
        <w:pStyle w:val="a0"/>
        <w:rPr>
          <w:kern w:val="0"/>
        </w:rPr>
      </w:pPr>
      <w:r>
        <w:rPr>
          <w:kern w:val="0"/>
        </w:rPr>
        <w:t>Abstract: Journal publications are important to facilitate knowledge sharing among production</w:t>
      </w:r>
      <w:r w:rsidR="00F81221">
        <w:rPr>
          <w:kern w:val="0"/>
        </w:rPr>
        <w:t xml:space="preserve"> and </w:t>
      </w:r>
      <w:r>
        <w:rPr>
          <w:kern w:val="0"/>
        </w:rPr>
        <w:t>operations management (POM) academics</w:t>
      </w:r>
      <w:r w:rsidR="00F81221">
        <w:rPr>
          <w:kern w:val="0"/>
        </w:rPr>
        <w:t xml:space="preserve"> and </w:t>
      </w:r>
      <w:r>
        <w:rPr>
          <w:kern w:val="0"/>
        </w:rPr>
        <w:t>practitioners. The purpose of this study was to explore the global POM research performance based on papers published in 20 core POM journals in the past half century. The data for the study were obtained from Thomson Reuters</w:t>
      </w:r>
      <w:r w:rsidR="000352E7">
        <w:rPr>
          <w:kern w:val="0"/>
        </w:rPr>
        <w:t>’</w:t>
      </w:r>
      <w:r>
        <w:rPr>
          <w:kern w:val="0"/>
        </w:rPr>
        <w:t xml:space="preserve"> Web of Science/Knowledge databases, from 1959 to 2008, when 63,776 papers were published in POM journals. The annual distribution of papers published shows a significant growth in POM research productivity over the time period 1959 to 2008. The most productive authors in these five decades were T.C. Edwin Cheng from The Hong Kong Polytechnic University, Hong Kong; Gilbert Laporte from HEC Montreal, Canada; S.K. Goyal from Concordia University, Canada; S. Eilon from the University of London, UK;</w:t>
      </w:r>
      <w:r w:rsidR="00F81221">
        <w:rPr>
          <w:kern w:val="0"/>
        </w:rPr>
        <w:t xml:space="preserve"> and </w:t>
      </w:r>
      <w:r>
        <w:rPr>
          <w:kern w:val="0"/>
        </w:rPr>
        <w:t>Oded Berman from the University of Toronto, Canada. The five most productive institutions were as follows: Massachusetts Institute of Technology, Georgia Institute of Technology, Columbia University, Purdue University,</w:t>
      </w:r>
      <w:r w:rsidR="00F81221">
        <w:rPr>
          <w:kern w:val="0"/>
        </w:rPr>
        <w:t xml:space="preserve"> and </w:t>
      </w:r>
      <w:r>
        <w:rPr>
          <w:kern w:val="0"/>
        </w:rPr>
        <w:t>the University of Michigan. The countries found to have the highest outputs were the USA, the UK, Canada, the Netherlands</w:t>
      </w:r>
      <w:r w:rsidR="00F81221">
        <w:rPr>
          <w:kern w:val="0"/>
        </w:rPr>
        <w:t xml:space="preserve"> and </w:t>
      </w:r>
      <w:r>
        <w:rPr>
          <w:kern w:val="0"/>
        </w:rPr>
        <w:t>Taiwan. (C) 2009 Elsevier B.V. All rights reserved.</w:t>
      </w:r>
    </w:p>
    <w:p w:rsidR="005A65D2" w:rsidRDefault="005A65D2" w:rsidP="005A65D2">
      <w:pPr>
        <w:pStyle w:val="a0"/>
        <w:rPr>
          <w:kern w:val="0"/>
        </w:rPr>
      </w:pPr>
      <w:r>
        <w:rPr>
          <w:kern w:val="0"/>
        </w:rPr>
        <w:t>Keywords: Assessment, Bibliometric Analysis, Bibliometric Distributions, Business-Research, Finance Literature, Future-Research, Institutional Research Productivity, Journals, Knowledge, Management, Patterns, POM Research, Production</w:t>
      </w:r>
      <w:r w:rsidR="00F81221">
        <w:rPr>
          <w:kern w:val="0"/>
        </w:rPr>
        <w:t xml:space="preserve"> and </w:t>
      </w:r>
      <w:r>
        <w:rPr>
          <w:kern w:val="0"/>
        </w:rPr>
        <w:t>Operations Management, Publications, Research, Research Output, Research Productivity, Retail Supply Chains, Scientific Productivity, UK, University</w:t>
      </w:r>
    </w:p>
    <w:p w:rsidR="005D74CB" w:rsidRDefault="005D74CB" w:rsidP="005D74CB">
      <w:pPr>
        <w:pStyle w:val="a0"/>
        <w:rPr>
          <w:kern w:val="0"/>
        </w:rPr>
      </w:pPr>
      <w:r>
        <w:rPr>
          <w:rFonts w:hint="eastAsia"/>
          <w:kern w:val="0"/>
        </w:rPr>
        <w:lastRenderedPageBreak/>
        <w:t xml:space="preserve">? </w:t>
      </w:r>
      <w:r>
        <w:rPr>
          <w:kern w:val="0"/>
        </w:rPr>
        <w:t xml:space="preserve">Hsieh, P.N. (2010), </w:t>
      </w:r>
      <w:r w:rsidRPr="005D74CB">
        <w:rPr>
          <w:kern w:val="0"/>
        </w:rPr>
        <w:t>Addendum</w:t>
      </w:r>
      <w:r>
        <w:rPr>
          <w:rFonts w:hint="eastAsia"/>
          <w:kern w:val="0"/>
        </w:rPr>
        <w:t xml:space="preserve"> </w:t>
      </w:r>
      <w:r w:rsidRPr="005D74CB">
        <w:rPr>
          <w:kern w:val="0"/>
        </w:rPr>
        <w:t>to</w:t>
      </w:r>
      <w:r>
        <w:rPr>
          <w:rFonts w:hint="eastAsia"/>
          <w:kern w:val="0"/>
        </w:rPr>
        <w:t xml:space="preserve"> </w:t>
      </w:r>
      <w:r w:rsidR="000352E7">
        <w:rPr>
          <w:kern w:val="0"/>
        </w:rPr>
        <w:t>“</w:t>
      </w:r>
      <w:r w:rsidRPr="005D74CB">
        <w:rPr>
          <w:kern w:val="0"/>
        </w:rPr>
        <w:t>an</w:t>
      </w:r>
      <w:r>
        <w:rPr>
          <w:rFonts w:hint="eastAsia"/>
          <w:kern w:val="0"/>
        </w:rPr>
        <w:t xml:space="preserve"> </w:t>
      </w:r>
      <w:r w:rsidRPr="005D74CB">
        <w:rPr>
          <w:kern w:val="0"/>
        </w:rPr>
        <w:t>assessment</w:t>
      </w:r>
      <w:r>
        <w:rPr>
          <w:rFonts w:hint="eastAsia"/>
          <w:kern w:val="0"/>
        </w:rPr>
        <w:t xml:space="preserve"> </w:t>
      </w:r>
      <w:r w:rsidRPr="005D74CB">
        <w:rPr>
          <w:kern w:val="0"/>
        </w:rPr>
        <w:t>of</w:t>
      </w:r>
      <w:r>
        <w:rPr>
          <w:rFonts w:hint="eastAsia"/>
          <w:kern w:val="0"/>
        </w:rPr>
        <w:t xml:space="preserve"> </w:t>
      </w:r>
      <w:r w:rsidRPr="005D74CB">
        <w:rPr>
          <w:kern w:val="0"/>
        </w:rPr>
        <w:t>world-wide</w:t>
      </w:r>
      <w:r>
        <w:rPr>
          <w:rFonts w:hint="eastAsia"/>
          <w:kern w:val="0"/>
        </w:rPr>
        <w:t xml:space="preserve"> </w:t>
      </w:r>
      <w:r w:rsidRPr="005D74CB">
        <w:rPr>
          <w:kern w:val="0"/>
        </w:rPr>
        <w:t>research</w:t>
      </w:r>
      <w:r>
        <w:rPr>
          <w:rFonts w:hint="eastAsia"/>
          <w:kern w:val="0"/>
        </w:rPr>
        <w:t xml:space="preserve"> </w:t>
      </w:r>
      <w:r>
        <w:rPr>
          <w:kern w:val="0"/>
        </w:rPr>
        <w:t>productiv</w:t>
      </w:r>
      <w:r w:rsidRPr="005D74CB">
        <w:rPr>
          <w:kern w:val="0"/>
        </w:rPr>
        <w:t>ity</w:t>
      </w:r>
      <w:r>
        <w:rPr>
          <w:rFonts w:hint="eastAsia"/>
          <w:kern w:val="0"/>
        </w:rPr>
        <w:t xml:space="preserve"> </w:t>
      </w:r>
      <w:r w:rsidRPr="005D74CB">
        <w:rPr>
          <w:kern w:val="0"/>
        </w:rPr>
        <w:t>in</w:t>
      </w:r>
      <w:r>
        <w:rPr>
          <w:rFonts w:hint="eastAsia"/>
          <w:kern w:val="0"/>
        </w:rPr>
        <w:t xml:space="preserve"> </w:t>
      </w:r>
      <w:r w:rsidRPr="005D74CB">
        <w:rPr>
          <w:kern w:val="0"/>
        </w:rPr>
        <w:t>production</w:t>
      </w:r>
      <w:r w:rsidR="00F81221">
        <w:rPr>
          <w:kern w:val="0"/>
        </w:rPr>
        <w:t xml:space="preserve"> and </w:t>
      </w:r>
      <w:r w:rsidRPr="005D74CB">
        <w:rPr>
          <w:kern w:val="0"/>
        </w:rPr>
        <w:t>operations</w:t>
      </w:r>
      <w:r>
        <w:rPr>
          <w:rFonts w:hint="eastAsia"/>
          <w:kern w:val="0"/>
        </w:rPr>
        <w:t xml:space="preserve"> </w:t>
      </w:r>
      <w:r w:rsidRPr="005D74CB">
        <w:rPr>
          <w:kern w:val="0"/>
        </w:rPr>
        <w:t>management</w:t>
      </w:r>
      <w:r w:rsidR="000352E7">
        <w:rPr>
          <w:kern w:val="0"/>
        </w:rPr>
        <w:t>”</w:t>
      </w:r>
      <w:r>
        <w:rPr>
          <w:kern w:val="0"/>
        </w:rPr>
        <w:t xml:space="preserve">. </w:t>
      </w:r>
      <w:r>
        <w:rPr>
          <w:i/>
          <w:iCs/>
          <w:kern w:val="0"/>
        </w:rPr>
        <w:t>International Journal of Production Economics</w:t>
      </w:r>
      <w:r>
        <w:rPr>
          <w:kern w:val="0"/>
        </w:rPr>
        <w:t xml:space="preserve">, </w:t>
      </w:r>
      <w:r>
        <w:rPr>
          <w:b/>
          <w:bCs/>
          <w:kern w:val="0"/>
        </w:rPr>
        <w:t>125</w:t>
      </w:r>
      <w:r>
        <w:rPr>
          <w:kern w:val="0"/>
        </w:rPr>
        <w:t xml:space="preserve"> (2), 335-338.</w:t>
      </w:r>
    </w:p>
    <w:p w:rsidR="005D74CB" w:rsidRPr="001A3D2B" w:rsidRDefault="005D74CB" w:rsidP="005D74CB">
      <w:pPr>
        <w:pStyle w:val="a0"/>
        <w:rPr>
          <w:kern w:val="0"/>
        </w:rPr>
      </w:pPr>
      <w:r w:rsidRPr="001A3D2B">
        <w:rPr>
          <w:kern w:val="0"/>
        </w:rPr>
        <w:t xml:space="preserve">Full Text: </w:t>
      </w:r>
      <w:hyperlink r:id="rId2049" w:history="1">
        <w:r w:rsidRPr="00E6297A">
          <w:rPr>
            <w:rStyle w:val="a5"/>
            <w:kern w:val="0"/>
          </w:rPr>
          <w:t>2010\Int J Pro Eco125, 335.pdf</w:t>
        </w:r>
      </w:hyperlink>
    </w:p>
    <w:p w:rsidR="005D74CB" w:rsidRDefault="005D74CB" w:rsidP="005D74CB">
      <w:pPr>
        <w:pStyle w:val="a0"/>
        <w:rPr>
          <w:kern w:val="0"/>
        </w:rPr>
      </w:pPr>
      <w:r>
        <w:rPr>
          <w:kern w:val="0"/>
        </w:rPr>
        <w:t>Abstract: This note updates some results in Hsieh</w:t>
      </w:r>
      <w:r w:rsidR="00F81221">
        <w:rPr>
          <w:kern w:val="0"/>
        </w:rPr>
        <w:t xml:space="preserve"> and </w:t>
      </w:r>
      <w:r>
        <w:rPr>
          <w:kern w:val="0"/>
        </w:rPr>
        <w:t>Chang (2009) in view of the fact that there had been title changes for four of the 20 core POM journals surveyed.</w:t>
      </w:r>
    </w:p>
    <w:p w:rsidR="005D74CB" w:rsidRDefault="005D74CB" w:rsidP="005D74CB">
      <w:pPr>
        <w:pStyle w:val="a0"/>
        <w:rPr>
          <w:kern w:val="0"/>
        </w:rPr>
      </w:pPr>
      <w:r>
        <w:rPr>
          <w:kern w:val="0"/>
        </w:rPr>
        <w:t>Keywords: Assessment, Bibliometric Analysis, Core, Journals, Management, Production</w:t>
      </w:r>
      <w:r w:rsidR="00F81221">
        <w:rPr>
          <w:kern w:val="0"/>
        </w:rPr>
        <w:t xml:space="preserve"> and </w:t>
      </w:r>
      <w:r>
        <w:rPr>
          <w:kern w:val="0"/>
        </w:rPr>
        <w:t>Operations Management, Productivity, Research, Research Productivity, Scientific Productivity</w:t>
      </w:r>
    </w:p>
    <w:p w:rsidR="00C54B72" w:rsidRPr="00A428C3" w:rsidRDefault="00C54B72" w:rsidP="00C54B72">
      <w:pPr>
        <w:pStyle w:val="1"/>
      </w:pPr>
      <w:r w:rsidRPr="00A428C3">
        <w:br w:type="page"/>
      </w:r>
      <w:bookmarkStart w:id="1466" w:name="_Toc317161357"/>
      <w:r w:rsidRPr="00A428C3">
        <w:lastRenderedPageBreak/>
        <w:t xml:space="preserve">Title: </w:t>
      </w:r>
      <w:r w:rsidRPr="00C54B72">
        <w:rPr>
          <w:iCs/>
        </w:rPr>
        <w:t>International Journal of Production Research</w:t>
      </w:r>
      <w:bookmarkEnd w:id="1466"/>
    </w:p>
    <w:p w:rsidR="00C54B72" w:rsidRPr="00A428C3" w:rsidRDefault="00C54B72" w:rsidP="00B72EF9">
      <w:pPr>
        <w:pStyle w:val="12"/>
      </w:pPr>
      <w:r w:rsidRPr="00A428C3">
        <w:t>Full Journal Title:</w:t>
      </w:r>
      <w:r>
        <w:rPr>
          <w:rFonts w:hint="eastAsia"/>
        </w:rPr>
        <w:t xml:space="preserve"> </w:t>
      </w:r>
      <w:r w:rsidRPr="00C54B72">
        <w:t>International Journal of Production Research</w:t>
      </w:r>
    </w:p>
    <w:p w:rsidR="00C54B72" w:rsidRPr="00A428C3" w:rsidRDefault="00C54B72" w:rsidP="00B72EF9">
      <w:pPr>
        <w:pStyle w:val="12"/>
      </w:pPr>
      <w:r w:rsidRPr="00A428C3">
        <w:t xml:space="preserve">ISO Abbreviated Title: </w:t>
      </w:r>
    </w:p>
    <w:p w:rsidR="00C54B72" w:rsidRPr="00A428C3" w:rsidRDefault="00C54B72" w:rsidP="00B72EF9">
      <w:pPr>
        <w:pStyle w:val="12"/>
      </w:pPr>
      <w:r w:rsidRPr="00A428C3">
        <w:t xml:space="preserve">JCR Abbreviated Title: </w:t>
      </w:r>
    </w:p>
    <w:p w:rsidR="00C54B72" w:rsidRPr="00A428C3" w:rsidRDefault="00C54B72" w:rsidP="00B72EF9">
      <w:pPr>
        <w:pStyle w:val="12"/>
      </w:pPr>
      <w:r w:rsidRPr="00A428C3">
        <w:t xml:space="preserve">ISSN: </w:t>
      </w:r>
    </w:p>
    <w:p w:rsidR="00C54B72" w:rsidRPr="00A428C3" w:rsidRDefault="00C54B72" w:rsidP="00B72EF9">
      <w:pPr>
        <w:pStyle w:val="12"/>
      </w:pPr>
      <w:r w:rsidRPr="00A428C3">
        <w:t xml:space="preserve">Issues/Year: </w:t>
      </w:r>
    </w:p>
    <w:p w:rsidR="00C54B72" w:rsidRPr="00A428C3" w:rsidRDefault="00C54B72" w:rsidP="00B72EF9">
      <w:pPr>
        <w:pStyle w:val="12"/>
      </w:pPr>
      <w:r w:rsidRPr="00A428C3">
        <w:t xml:space="preserve">Journal Country/Territory: </w:t>
      </w:r>
    </w:p>
    <w:p w:rsidR="00C54B72" w:rsidRPr="00A428C3" w:rsidRDefault="00C54B72" w:rsidP="00B72EF9">
      <w:pPr>
        <w:pStyle w:val="12"/>
      </w:pPr>
      <w:r w:rsidRPr="00A428C3">
        <w:t xml:space="preserve">Language: </w:t>
      </w:r>
    </w:p>
    <w:p w:rsidR="00C54B72" w:rsidRPr="00A428C3" w:rsidRDefault="00C54B72" w:rsidP="00B72EF9">
      <w:pPr>
        <w:pStyle w:val="12"/>
      </w:pPr>
      <w:r w:rsidRPr="00A428C3">
        <w:t xml:space="preserve">Publisher: </w:t>
      </w:r>
    </w:p>
    <w:p w:rsidR="00C54B72" w:rsidRPr="00A428C3" w:rsidRDefault="00C54B72" w:rsidP="00B72EF9">
      <w:pPr>
        <w:pStyle w:val="12"/>
      </w:pPr>
      <w:r w:rsidRPr="00A428C3">
        <w:t xml:space="preserve">Publisher Address: </w:t>
      </w:r>
    </w:p>
    <w:p w:rsidR="00C54B72" w:rsidRPr="00A428C3" w:rsidRDefault="00C54B72" w:rsidP="00B72EF9">
      <w:pPr>
        <w:pStyle w:val="12"/>
      </w:pPr>
      <w:r w:rsidRPr="00A428C3">
        <w:t>Subject Categories:</w:t>
      </w:r>
    </w:p>
    <w:p w:rsidR="00C54B72" w:rsidRPr="00A428C3" w:rsidRDefault="00C54B72" w:rsidP="00B72EF9">
      <w:pPr>
        <w:pStyle w:val="12"/>
      </w:pPr>
      <w:r w:rsidRPr="00A428C3">
        <w:t>: Impact Factor</w:t>
      </w:r>
    </w:p>
    <w:p w:rsidR="00C54B72" w:rsidRDefault="00C54B72" w:rsidP="00C54B72">
      <w:pPr>
        <w:pStyle w:val="a0"/>
        <w:rPr>
          <w:kern w:val="0"/>
        </w:rPr>
      </w:pPr>
      <w:r>
        <w:rPr>
          <w:rFonts w:hint="eastAsia"/>
          <w:kern w:val="0"/>
        </w:rPr>
        <w:t xml:space="preserve">? </w:t>
      </w:r>
      <w:r>
        <w:rPr>
          <w:kern w:val="0"/>
        </w:rPr>
        <w:t>Irani, Z., Gunasekaran, A.</w:t>
      </w:r>
      <w:r w:rsidR="00F81221">
        <w:rPr>
          <w:kern w:val="0"/>
        </w:rPr>
        <w:t xml:space="preserve"> and </w:t>
      </w:r>
      <w:r>
        <w:rPr>
          <w:kern w:val="0"/>
        </w:rPr>
        <w:t>Dwivedi, Y.K. (2010), Radio frequency identification (RFID): Research trends</w:t>
      </w:r>
      <w:r w:rsidR="00F81221">
        <w:rPr>
          <w:kern w:val="0"/>
        </w:rPr>
        <w:t xml:space="preserve"> and </w:t>
      </w:r>
      <w:r>
        <w:rPr>
          <w:kern w:val="0"/>
        </w:rPr>
        <w:t xml:space="preserve">framework. </w:t>
      </w:r>
      <w:r w:rsidRPr="00C54B72">
        <w:rPr>
          <w:i/>
          <w:iCs/>
          <w:kern w:val="0"/>
        </w:rPr>
        <w:t>International Journal of Production Research</w:t>
      </w:r>
      <w:r>
        <w:rPr>
          <w:kern w:val="0"/>
        </w:rPr>
        <w:t xml:space="preserve">, </w:t>
      </w:r>
      <w:r>
        <w:rPr>
          <w:b/>
          <w:bCs/>
          <w:kern w:val="0"/>
        </w:rPr>
        <w:t>48</w:t>
      </w:r>
      <w:r>
        <w:rPr>
          <w:kern w:val="0"/>
        </w:rPr>
        <w:t xml:space="preserve"> (9), 2485-2511.</w:t>
      </w:r>
    </w:p>
    <w:p w:rsidR="00D20E3F" w:rsidRDefault="00D20E3F" w:rsidP="00D20E3F">
      <w:pPr>
        <w:pStyle w:val="a0"/>
        <w:rPr>
          <w:kern w:val="0"/>
        </w:rPr>
      </w:pPr>
      <w:r>
        <w:rPr>
          <w:rFonts w:hint="eastAsia"/>
          <w:kern w:val="0"/>
        </w:rPr>
        <w:t xml:space="preserve">Full Text: </w:t>
      </w:r>
      <w:hyperlink r:id="rId2050" w:history="1">
        <w:r w:rsidRPr="009E3791">
          <w:rPr>
            <w:rStyle w:val="a5"/>
            <w:kern w:val="0"/>
          </w:rPr>
          <w:t>2010\Int J Pro Res48, 2485.pdf</w:t>
        </w:r>
      </w:hyperlink>
    </w:p>
    <w:p w:rsidR="00C54B72" w:rsidRDefault="00C54B72" w:rsidP="00C54B72">
      <w:pPr>
        <w:pStyle w:val="a0"/>
        <w:rPr>
          <w:kern w:val="0"/>
        </w:rPr>
      </w:pPr>
      <w:r>
        <w:rPr>
          <w:kern w:val="0"/>
        </w:rPr>
        <w:t>Abstract: With the rapidly decreasing price of the RFID tag, its adoption</w:t>
      </w:r>
      <w:r w:rsidR="00F81221">
        <w:rPr>
          <w:kern w:val="0"/>
        </w:rPr>
        <w:t xml:space="preserve"> and </w:t>
      </w:r>
      <w:r>
        <w:rPr>
          <w:kern w:val="0"/>
        </w:rPr>
        <w:t>utilisation is increasing swiftly in various contexts including organisations for supply chain management, hospitals for various types of uses</w:t>
      </w:r>
      <w:r w:rsidR="00F81221">
        <w:rPr>
          <w:kern w:val="0"/>
        </w:rPr>
        <w:t xml:space="preserve"> and </w:t>
      </w:r>
      <w:r>
        <w:rPr>
          <w:kern w:val="0"/>
        </w:rPr>
        <w:t>other public sector organisations. Inline with its rapid adoption, researchers from various academic fields are investigating development</w:t>
      </w:r>
      <w:r w:rsidR="00F81221">
        <w:rPr>
          <w:kern w:val="0"/>
        </w:rPr>
        <w:t xml:space="preserve"> and </w:t>
      </w:r>
      <w:r>
        <w:rPr>
          <w:kern w:val="0"/>
        </w:rPr>
        <w:t>management related issues. Nowadays, RFID is popularly known as a technology for the automatic identification by radio frequency of physical objects</w:t>
      </w:r>
      <w:r w:rsidR="00F81221">
        <w:rPr>
          <w:kern w:val="0"/>
        </w:rPr>
        <w:t xml:space="preserve"> and </w:t>
      </w:r>
      <w:r>
        <w:rPr>
          <w:kern w:val="0"/>
        </w:rPr>
        <w:t>people. Therefore, a large number of studies have appeared but scattered in a number of unrelated publishing outlets which may hamper the use of such published resources. This provided us with motivation to analyse the existing research for categorising</w:t>
      </w:r>
      <w:r w:rsidR="00F81221">
        <w:rPr>
          <w:kern w:val="0"/>
        </w:rPr>
        <w:t xml:space="preserve"> and </w:t>
      </w:r>
      <w:r>
        <w:rPr>
          <w:kern w:val="0"/>
        </w:rPr>
        <w:t>synthesising it in a meaningful manner. Hence, the aim of this paper is to provide a comprehensive</w:t>
      </w:r>
      <w:r w:rsidR="00F81221">
        <w:rPr>
          <w:kern w:val="0"/>
        </w:rPr>
        <w:t xml:space="preserve"> and </w:t>
      </w:r>
      <w:r>
        <w:rPr>
          <w:kern w:val="0"/>
        </w:rPr>
        <w:t xml:space="preserve">systematic survey of the literature pertaining to RFID related research issues in order to ascertain the current </w:t>
      </w:r>
      <w:r w:rsidR="000352E7">
        <w:rPr>
          <w:kern w:val="0"/>
        </w:rPr>
        <w:t>‘</w:t>
      </w:r>
      <w:r>
        <w:rPr>
          <w:kern w:val="0"/>
        </w:rPr>
        <w:t>state of play</w:t>
      </w:r>
      <w:r w:rsidR="000352E7">
        <w:rPr>
          <w:kern w:val="0"/>
        </w:rPr>
        <w:t>’</w:t>
      </w:r>
      <w:r>
        <w:rPr>
          <w:kern w:val="0"/>
        </w:rPr>
        <w:t xml:space="preserve"> of the field along a number of dimensions. The following research objectives were proposed to achieve the stated aim: (1) to analyse the distribution/ trends of RFID research across subject category, source titles (journals), geographical locations, document types</w:t>
      </w:r>
      <w:r w:rsidR="00F81221">
        <w:rPr>
          <w:kern w:val="0"/>
        </w:rPr>
        <w:t xml:space="preserve"> and </w:t>
      </w:r>
      <w:r>
        <w:rPr>
          <w:kern w:val="0"/>
        </w:rPr>
        <w:t>year of publications; (2) to determine the frequently published authors</w:t>
      </w:r>
      <w:r w:rsidR="00F81221">
        <w:rPr>
          <w:kern w:val="0"/>
        </w:rPr>
        <w:t xml:space="preserve"> and </w:t>
      </w:r>
      <w:r>
        <w:rPr>
          <w:kern w:val="0"/>
        </w:rPr>
        <w:t>productive institutions for conducting RFID related research; (3) to explore the trend of topics/research issues</w:t>
      </w:r>
      <w:r w:rsidR="00F81221">
        <w:rPr>
          <w:kern w:val="0"/>
        </w:rPr>
        <w:t xml:space="preserve"> and </w:t>
      </w:r>
      <w:r>
        <w:rPr>
          <w:kern w:val="0"/>
        </w:rPr>
        <w:t>utilised methods;</w:t>
      </w:r>
      <w:r w:rsidR="00F81221">
        <w:rPr>
          <w:kern w:val="0"/>
        </w:rPr>
        <w:t xml:space="preserve"> and </w:t>
      </w:r>
      <w:r>
        <w:rPr>
          <w:kern w:val="0"/>
        </w:rPr>
        <w:t>finally (4) to synthesise the existing research to develop a research model/framework that reflects current status</w:t>
      </w:r>
      <w:r w:rsidR="00F81221">
        <w:rPr>
          <w:kern w:val="0"/>
        </w:rPr>
        <w:t xml:space="preserve"> and </w:t>
      </w:r>
      <w:r>
        <w:rPr>
          <w:kern w:val="0"/>
        </w:rPr>
        <w:t>trends of RFID research</w:t>
      </w:r>
      <w:r w:rsidR="00F81221">
        <w:rPr>
          <w:kern w:val="0"/>
        </w:rPr>
        <w:t xml:space="preserve"> and </w:t>
      </w:r>
      <w:r>
        <w:rPr>
          <w:kern w:val="0"/>
        </w:rPr>
        <w:t>may guide the practitioner for implementing</w:t>
      </w:r>
      <w:r w:rsidR="00F81221">
        <w:rPr>
          <w:kern w:val="0"/>
        </w:rPr>
        <w:t xml:space="preserve"> and </w:t>
      </w:r>
      <w:r>
        <w:rPr>
          <w:kern w:val="0"/>
        </w:rPr>
        <w:t>managing RFID applications in both public</w:t>
      </w:r>
      <w:r w:rsidR="00F81221">
        <w:rPr>
          <w:kern w:val="0"/>
        </w:rPr>
        <w:t xml:space="preserve"> and </w:t>
      </w:r>
      <w:r>
        <w:rPr>
          <w:kern w:val="0"/>
        </w:rPr>
        <w:t xml:space="preserve">private sectors. </w:t>
      </w:r>
      <w:r>
        <w:rPr>
          <w:kern w:val="0"/>
        </w:rPr>
        <w:lastRenderedPageBreak/>
        <w:t>Information on a series of variables were extracted after conducting a review of 666 articles on RFID related issues, published in various source titles/journals from different subject categories (such as operations management,</w:t>
      </w:r>
      <w:r w:rsidR="00F81221">
        <w:rPr>
          <w:kern w:val="0"/>
        </w:rPr>
        <w:t xml:space="preserve"> and </w:t>
      </w:r>
      <w:r>
        <w:rPr>
          <w:kern w:val="0"/>
        </w:rPr>
        <w:t>information systems) between 1984</w:t>
      </w:r>
      <w:r w:rsidR="00F81221">
        <w:rPr>
          <w:kern w:val="0"/>
        </w:rPr>
        <w:t xml:space="preserve"> and </w:t>
      </w:r>
      <w:r>
        <w:rPr>
          <w:kern w:val="0"/>
        </w:rPr>
        <w:t>2007. Results of this research may have implications for both private</w:t>
      </w:r>
      <w:r w:rsidR="00F81221">
        <w:rPr>
          <w:kern w:val="0"/>
        </w:rPr>
        <w:t xml:space="preserve"> and </w:t>
      </w:r>
      <w:r>
        <w:rPr>
          <w:kern w:val="0"/>
        </w:rPr>
        <w:t>public sector organisations interested in implementing RFID, researchers, journal editors, reviewers</w:t>
      </w:r>
      <w:r w:rsidR="00F81221">
        <w:rPr>
          <w:kern w:val="0"/>
        </w:rPr>
        <w:t xml:space="preserve"> and </w:t>
      </w:r>
      <w:r>
        <w:rPr>
          <w:kern w:val="0"/>
        </w:rPr>
        <w:t>universities.</w:t>
      </w:r>
    </w:p>
    <w:p w:rsidR="00C54B72" w:rsidRDefault="00C54B72" w:rsidP="00C54B72">
      <w:pPr>
        <w:pStyle w:val="a0"/>
        <w:rPr>
          <w:kern w:val="0"/>
        </w:rPr>
      </w:pPr>
      <w:r>
        <w:rPr>
          <w:kern w:val="0"/>
        </w:rPr>
        <w:t>Keywords: Adoption, Applications, Articles, Bibliometric Analysis, Empirical-Research, Enterprise, Information Systems, Information-Systems, Journal, Journals, Keyword Classification Scheme, Literature, Logistics Control, Meta-Analysis, Metaanalysis, Methods, Operations Management, Publications, Publishing, Radio Frequency Identification, Radio Frequency Identification (RFID), Research, Research Issues, Research Method, Research Trends, Researchers, Review, RFID, State, Supply-Chain Management, Technology, Technology Acceptance Model, Trends, Universities</w:t>
      </w:r>
    </w:p>
    <w:p w:rsidR="00B95188" w:rsidRPr="00A428C3" w:rsidRDefault="00B95188" w:rsidP="00B95188">
      <w:pPr>
        <w:pStyle w:val="1"/>
      </w:pPr>
      <w:r w:rsidRPr="00A428C3">
        <w:br w:type="page"/>
      </w:r>
      <w:bookmarkStart w:id="1467" w:name="_Toc186647947"/>
      <w:bookmarkStart w:id="1468" w:name="_Toc317161358"/>
      <w:r w:rsidRPr="00A428C3">
        <w:lastRenderedPageBreak/>
        <w:t>Title: International Journal of Project Management</w:t>
      </w:r>
      <w:bookmarkEnd w:id="1467"/>
      <w:bookmarkEnd w:id="1468"/>
    </w:p>
    <w:p w:rsidR="00B95188" w:rsidRPr="00A428C3" w:rsidRDefault="00B95188" w:rsidP="00B72EF9">
      <w:pPr>
        <w:pStyle w:val="12"/>
      </w:pPr>
      <w:r w:rsidRPr="00A428C3">
        <w:t xml:space="preserve">Full Journal Title: </w:t>
      </w:r>
      <w:hyperlink r:id="rId2051" w:history="1">
        <w:r w:rsidRPr="00A428C3">
          <w:rPr>
            <w:rStyle w:val="a5"/>
          </w:rPr>
          <w:t>International Journal of Project Management</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Betts, M.</w:t>
      </w:r>
      <w:r w:rsidR="00F81221">
        <w:t xml:space="preserve"> and </w:t>
      </w:r>
      <w:r w:rsidRPr="00A428C3">
        <w:t xml:space="preserve">Lansley, P. (1995), </w:t>
      </w:r>
      <w:r w:rsidRPr="005A65D2">
        <w:rPr>
          <w:i/>
          <w:color w:val="000000"/>
        </w:rPr>
        <w:t>International Journal of Project Management</w:t>
      </w:r>
      <w:r w:rsidRPr="00A428C3">
        <w:rPr>
          <w:color w:val="000000"/>
        </w:rPr>
        <w:t>: A review of the first ten years</w:t>
      </w:r>
      <w:r w:rsidRPr="00A428C3">
        <w:t xml:space="preserve">. </w:t>
      </w:r>
      <w:r w:rsidRPr="00A428C3">
        <w:rPr>
          <w:i/>
          <w:iCs/>
        </w:rPr>
        <w:t>International Journal of Project Management</w:t>
      </w:r>
      <w:r w:rsidRPr="00A428C3">
        <w:t xml:space="preserve">, </w:t>
      </w:r>
      <w:r w:rsidRPr="00A428C3">
        <w:rPr>
          <w:b/>
        </w:rPr>
        <w:t>13</w:t>
      </w:r>
      <w:r w:rsidRPr="00A428C3">
        <w:t xml:space="preserve"> (4), 207-217.</w:t>
      </w:r>
    </w:p>
    <w:p w:rsidR="00B95188" w:rsidRPr="00A428C3" w:rsidRDefault="00B95188" w:rsidP="00B95188">
      <w:pPr>
        <w:pStyle w:val="a0"/>
      </w:pPr>
      <w:r w:rsidRPr="00A428C3">
        <w:t xml:space="preserve">Full Text: </w:t>
      </w:r>
      <w:hyperlink r:id="rId2052" w:history="1">
        <w:r w:rsidRPr="00DE6280">
          <w:rPr>
            <w:rStyle w:val="a5"/>
          </w:rPr>
          <w:t>1995\Int J Pro Man13, 207.pdf</w:t>
        </w:r>
      </w:hyperlink>
    </w:p>
    <w:p w:rsidR="00B95188" w:rsidRPr="00A428C3" w:rsidRDefault="00B95188" w:rsidP="00B95188">
      <w:pPr>
        <w:pStyle w:val="a0"/>
      </w:pPr>
      <w:r w:rsidRPr="00A428C3">
        <w:t>Abstract: The management of projects within various industrial sectors is an internationally recognised professional discipline which enjoys support from a small but growing community of researchers, scholars</w:t>
      </w:r>
      <w:r w:rsidR="00F81221">
        <w:t xml:space="preserve"> and </w:t>
      </w:r>
      <w:r w:rsidRPr="00A428C3">
        <w:t>enquiring practitioners. Specialist academic</w:t>
      </w:r>
      <w:r w:rsidR="00F81221">
        <w:t xml:space="preserve"> and </w:t>
      </w:r>
      <w:r w:rsidRPr="00A428C3">
        <w:t xml:space="preserve">professional journals which serve the field are relatively new. One of the prime journals, the </w:t>
      </w:r>
      <w:r w:rsidRPr="00A428C3">
        <w:rPr>
          <w:i/>
          <w:iCs/>
        </w:rPr>
        <w:t>International Journal of Project Management</w:t>
      </w:r>
      <w:r w:rsidRPr="00A428C3">
        <w:t xml:space="preserve">, celebrated ten years of continuous publication in 1992. In the ten years since its inception, the </w:t>
      </w:r>
      <w:r w:rsidRPr="00A428C3">
        <w:rPr>
          <w:i/>
          <w:iCs/>
        </w:rPr>
        <w:t>International Journal of Project Management</w:t>
      </w:r>
      <w:r w:rsidRPr="00A428C3">
        <w:t xml:space="preserve"> has reached a level of stability in terms of the numbers of papers it publishes. Its papers predominantly review practical experience</w:t>
      </w:r>
      <w:r w:rsidR="00F81221">
        <w:t xml:space="preserve"> and </w:t>
      </w:r>
      <w:r w:rsidRPr="00A428C3">
        <w:t>literature. Some case studies have been published, but relatively few published papers have been based on empirical data. Most of the papers contribute interesting insights</w:t>
      </w:r>
      <w:r w:rsidR="00F81221">
        <w:t xml:space="preserve"> and </w:t>
      </w:r>
      <w:r w:rsidRPr="00A428C3">
        <w:t>describe new techniques, but few have contributed to the more formal aspects of the development of the discipline of project management by building</w:t>
      </w:r>
      <w:r w:rsidR="00F81221">
        <w:t xml:space="preserve"> and </w:t>
      </w:r>
      <w:r w:rsidRPr="00A428C3">
        <w:t>testing models</w:t>
      </w:r>
      <w:r w:rsidR="00F81221">
        <w:t xml:space="preserve"> and </w:t>
      </w:r>
      <w:r w:rsidRPr="00A428C3">
        <w:t>theories. The papers address a broad range of aspects of project management in an increasingly wide variety of industrial sectors, although the construction industry remains predominant. The journal attracts papers from practitioners</w:t>
      </w:r>
      <w:r w:rsidR="00F81221">
        <w:t xml:space="preserve"> and </w:t>
      </w:r>
      <w:r w:rsidRPr="00A428C3">
        <w:t>academics from various types of department, in both cases from many parts of the world. The journal has achieved a great deal in providing a forum for scholarly insights</w:t>
      </w:r>
      <w:r w:rsidR="00F81221">
        <w:t xml:space="preserve"> and </w:t>
      </w:r>
      <w:r w:rsidRPr="00A428C3">
        <w:t xml:space="preserve">debate about project management. However, progress has been less dramatic in terms of the development of the underlying theoretical basis of project management. Given that no other journals appear to fulfil this role, the paper concludes by speculating on the future </w:t>
      </w:r>
      <w:r w:rsidRPr="00A428C3">
        <w:lastRenderedPageBreak/>
        <w:t>development of project management as a discipline.</w:t>
      </w:r>
    </w:p>
    <w:p w:rsidR="00B95188" w:rsidRPr="00A428C3" w:rsidRDefault="00B95188" w:rsidP="00B95188">
      <w:pPr>
        <w:pStyle w:val="a0"/>
      </w:pPr>
      <w:r w:rsidRPr="00A428C3">
        <w:t>Keywords: Bibliometrics, Research Trends, Discipline Reviews, Meta-Analysis</w:t>
      </w:r>
    </w:p>
    <w:p w:rsidR="00B95188" w:rsidRPr="00A428C3" w:rsidRDefault="00B95188" w:rsidP="00B95188">
      <w:pPr>
        <w:pStyle w:val="a0"/>
      </w:pPr>
      <w:r w:rsidRPr="00A428C3">
        <w:t>? Artto, K.A.</w:t>
      </w:r>
      <w:r w:rsidR="00F81221">
        <w:t xml:space="preserve"> and </w:t>
      </w:r>
      <w:r w:rsidRPr="00A428C3">
        <w:t xml:space="preserve">Wikström, K. (2005), What is project business? </w:t>
      </w:r>
      <w:r w:rsidRPr="00A428C3">
        <w:rPr>
          <w:i/>
          <w:iCs/>
        </w:rPr>
        <w:t>International Journal of Project Management</w:t>
      </w:r>
      <w:r w:rsidRPr="00A428C3">
        <w:t xml:space="preserve">, </w:t>
      </w:r>
      <w:r w:rsidRPr="00A428C3">
        <w:rPr>
          <w:b/>
        </w:rPr>
        <w:t>23</w:t>
      </w:r>
      <w:r w:rsidRPr="00A428C3">
        <w:t xml:space="preserve"> (5), </w:t>
      </w:r>
      <w:r w:rsidRPr="00A428C3">
        <w:rPr>
          <w:iCs/>
        </w:rPr>
        <w:t>343-353</w:t>
      </w:r>
      <w:r w:rsidRPr="00A428C3">
        <w:t>.</w:t>
      </w:r>
    </w:p>
    <w:p w:rsidR="00B95188" w:rsidRPr="00A428C3" w:rsidRDefault="00B95188" w:rsidP="00B95188">
      <w:pPr>
        <w:pStyle w:val="a0"/>
      </w:pPr>
      <w:r w:rsidRPr="00A428C3">
        <w:t xml:space="preserve">Full Text: </w:t>
      </w:r>
      <w:hyperlink r:id="rId2053" w:history="1">
        <w:r w:rsidRPr="00A428C3">
          <w:rPr>
            <w:rStyle w:val="a5"/>
          </w:rPr>
          <w:t>2005\Int J Pro Man23, 343.pdf</w:t>
        </w:r>
      </w:hyperlink>
    </w:p>
    <w:p w:rsidR="00B95188" w:rsidRPr="00A428C3" w:rsidRDefault="00B95188" w:rsidP="00B95188">
      <w:pPr>
        <w:pStyle w:val="a0"/>
      </w:pPr>
      <w:r w:rsidRPr="00A428C3">
        <w:t>Abstract: This article defines project business</w:t>
      </w:r>
      <w:r w:rsidR="00F81221">
        <w:t xml:space="preserve"> and </w:t>
      </w:r>
      <w:r w:rsidRPr="00A428C3">
        <w:t>employs a bibliometric study for considering the relevant characteristics of this concept. The motivation for this study is the shallow definition of project business in contemporary project studies. Furthermore, there is no overview on such relevant academic business sources that the project business concept would be built on. The research methodology utilises a bibliometric study of the most cited business journals. The bibliometric study results in key sources that can be considered as one scientific foundation for project business. However, this research goes beyond an ordinary bibliometric study, as the key sources were read</w:t>
      </w:r>
      <w:r w:rsidR="00F81221">
        <w:t xml:space="preserve"> and </w:t>
      </w:r>
      <w:r w:rsidRPr="00A428C3">
        <w:t>their content was carefully analysed. In this analysis, we constructed eleven article clusters, whilst simultaneously building up an understanding of the interrelatedness between articles</w:t>
      </w:r>
      <w:r w:rsidR="00F81221">
        <w:t xml:space="preserve"> and </w:t>
      </w:r>
      <w:r w:rsidRPr="00A428C3">
        <w:t>article clusters. The analysis results in seven findings that explore project business. The findings indicate that there is a need for several theoretical foundations: organisation theory, innovation theories, sociological</w:t>
      </w:r>
      <w:r w:rsidR="00F81221">
        <w:t xml:space="preserve"> and </w:t>
      </w:r>
      <w:r w:rsidRPr="00A428C3">
        <w:t>psychometric theories. Furthermore, in the future, there may be a need for a stronger body of strategy research. The analysis results in a definition of project business. According to this definition, the unit of analysis is a firm rather than a project. The firm</w:t>
      </w:r>
      <w:r w:rsidR="00F81221">
        <w:t xml:space="preserve"> and </w:t>
      </w:r>
      <w:r w:rsidRPr="00A428C3">
        <w:t>its business are in a focal role, whereas projects may be secondary. The findings, project business definition,</w:t>
      </w:r>
      <w:r w:rsidR="00F81221">
        <w:t xml:space="preserve"> and </w:t>
      </w:r>
      <w:r w:rsidRPr="00A428C3">
        <w:t>related reasoning contribute to new knowledge about the characteristics of project business. This knowledge is also relevant for further theory building</w:t>
      </w:r>
      <w:r w:rsidR="00F81221">
        <w:t xml:space="preserve"> and </w:t>
      </w:r>
      <w:r w:rsidRPr="00A428C3">
        <w:t>for developing novel managerial applications in business.</w:t>
      </w:r>
    </w:p>
    <w:p w:rsidR="00B95188" w:rsidRPr="00A428C3" w:rsidRDefault="00B95188" w:rsidP="00B95188">
      <w:pPr>
        <w:pStyle w:val="a0"/>
      </w:pPr>
      <w:r w:rsidRPr="00A428C3">
        <w:t>Keywords: Project Business, Project, Business, Firm</w:t>
      </w:r>
    </w:p>
    <w:p w:rsidR="00254578" w:rsidRDefault="00254578" w:rsidP="00254578">
      <w:pPr>
        <w:pStyle w:val="a0"/>
        <w:rPr>
          <w:kern w:val="0"/>
          <w:szCs w:val="24"/>
        </w:rPr>
      </w:pPr>
      <w:r>
        <w:rPr>
          <w:rFonts w:hint="eastAsia"/>
          <w:kern w:val="0"/>
          <w:szCs w:val="24"/>
        </w:rPr>
        <w:t xml:space="preserve">? </w:t>
      </w:r>
      <w:r>
        <w:rPr>
          <w:kern w:val="0"/>
          <w:szCs w:val="24"/>
        </w:rPr>
        <w:t>Artto, K., Martinsuo, M., Gemundne, H.G.</w:t>
      </w:r>
      <w:r w:rsidR="00F81221">
        <w:rPr>
          <w:kern w:val="0"/>
          <w:szCs w:val="24"/>
        </w:rPr>
        <w:t xml:space="preserve"> and </w:t>
      </w:r>
      <w:r>
        <w:rPr>
          <w:kern w:val="0"/>
          <w:szCs w:val="24"/>
        </w:rPr>
        <w:t xml:space="preserve">Murtoaro, J. (2009), Foundations of program management: A bibliometric view. </w:t>
      </w:r>
      <w:r>
        <w:rPr>
          <w:i/>
          <w:iCs/>
          <w:kern w:val="0"/>
          <w:szCs w:val="24"/>
        </w:rPr>
        <w:t>International Journal of Project Management</w:t>
      </w:r>
      <w:r>
        <w:rPr>
          <w:kern w:val="0"/>
          <w:szCs w:val="24"/>
        </w:rPr>
        <w:t xml:space="preserve">, </w:t>
      </w:r>
      <w:r>
        <w:rPr>
          <w:b/>
          <w:bCs/>
          <w:kern w:val="0"/>
          <w:szCs w:val="24"/>
        </w:rPr>
        <w:t>27</w:t>
      </w:r>
      <w:r>
        <w:rPr>
          <w:kern w:val="0"/>
          <w:szCs w:val="24"/>
        </w:rPr>
        <w:t xml:space="preserve"> (1), 1-18.</w:t>
      </w:r>
    </w:p>
    <w:p w:rsidR="00254578" w:rsidRPr="00217FB1" w:rsidRDefault="00254578" w:rsidP="00254578">
      <w:pPr>
        <w:pStyle w:val="a0"/>
      </w:pPr>
      <w:r>
        <w:t xml:space="preserve">Full Text: </w:t>
      </w:r>
      <w:hyperlink r:id="rId2054" w:history="1">
        <w:r w:rsidRPr="00AD0CDC">
          <w:rPr>
            <w:rStyle w:val="a5"/>
          </w:rPr>
          <w:t>2009\Int J Pro Man27, 1.pdf</w:t>
        </w:r>
      </w:hyperlink>
    </w:p>
    <w:p w:rsidR="00254578" w:rsidRDefault="00254578" w:rsidP="00254578">
      <w:pPr>
        <w:pStyle w:val="a0"/>
        <w:rPr>
          <w:kern w:val="0"/>
          <w:szCs w:val="24"/>
        </w:rPr>
      </w:pPr>
      <w:r>
        <w:rPr>
          <w:kern w:val="0"/>
          <w:szCs w:val="24"/>
        </w:rPr>
        <w:t>Abstract: Are programs just scale-ups of projects, or do they represent something unique? Recent articles stress the difference of project</w:t>
      </w:r>
      <w:r w:rsidR="00F81221">
        <w:rPr>
          <w:kern w:val="0"/>
          <w:szCs w:val="24"/>
        </w:rPr>
        <w:t xml:space="preserve"> and </w:t>
      </w:r>
      <w:r>
        <w:rPr>
          <w:kern w:val="0"/>
          <w:szCs w:val="24"/>
        </w:rPr>
        <w:t>program management, but do neither show consensus nor precise definitions of program management. Our comparative bibliometric study of 517 program articles</w:t>
      </w:r>
      <w:r w:rsidR="00F81221">
        <w:rPr>
          <w:kern w:val="0"/>
          <w:szCs w:val="24"/>
        </w:rPr>
        <w:t xml:space="preserve"> and </w:t>
      </w:r>
      <w:r>
        <w:rPr>
          <w:kern w:val="0"/>
          <w:szCs w:val="24"/>
        </w:rPr>
        <w:t>1164 project articles published in the last 21 years in leading scientific business journals identifies similarities</w:t>
      </w:r>
      <w:r w:rsidR="00F81221">
        <w:rPr>
          <w:kern w:val="0"/>
          <w:szCs w:val="24"/>
        </w:rPr>
        <w:t xml:space="preserve"> and </w:t>
      </w:r>
      <w:r>
        <w:rPr>
          <w:kern w:val="0"/>
          <w:szCs w:val="24"/>
        </w:rPr>
        <w:t>differences in theoretical foundations, indicated by the sources cited,</w:t>
      </w:r>
      <w:r w:rsidR="00F81221">
        <w:rPr>
          <w:kern w:val="0"/>
          <w:szCs w:val="24"/>
        </w:rPr>
        <w:t xml:space="preserve"> and </w:t>
      </w:r>
      <w:r>
        <w:rPr>
          <w:kern w:val="0"/>
          <w:szCs w:val="24"/>
        </w:rPr>
        <w:t xml:space="preserve">themes, indicated by the keywords. We show that programs have several theoretical bases, such as organizational theories, strategy, product development, </w:t>
      </w:r>
      <w:r>
        <w:rPr>
          <w:kern w:val="0"/>
          <w:szCs w:val="24"/>
        </w:rPr>
        <w:lastRenderedPageBreak/>
        <w:t>manufacturing</w:t>
      </w:r>
      <w:r w:rsidR="00F81221">
        <w:rPr>
          <w:kern w:val="0"/>
          <w:szCs w:val="24"/>
        </w:rPr>
        <w:t xml:space="preserve"> and </w:t>
      </w:r>
      <w:r>
        <w:rPr>
          <w:kern w:val="0"/>
          <w:szCs w:val="24"/>
        </w:rPr>
        <w:t>change. Programs take an open system view</w:t>
      </w:r>
      <w:r w:rsidR="00F81221">
        <w:rPr>
          <w:kern w:val="0"/>
          <w:szCs w:val="24"/>
        </w:rPr>
        <w:t xml:space="preserve"> and </w:t>
      </w:r>
      <w:r>
        <w:rPr>
          <w:kern w:val="0"/>
          <w:szCs w:val="24"/>
        </w:rPr>
        <w:t>seek change in permanent organizations. Projects, in turn, have product development as the dominant theory basis. We elaborate eleven distinctive characteristics of program</w:t>
      </w:r>
      <w:r w:rsidR="00F81221">
        <w:rPr>
          <w:kern w:val="0"/>
          <w:szCs w:val="24"/>
        </w:rPr>
        <w:t xml:space="preserve"> and </w:t>
      </w:r>
      <w:r>
        <w:rPr>
          <w:kern w:val="0"/>
          <w:szCs w:val="24"/>
        </w:rPr>
        <w:t>project management research. Our study proposes themes upon which future theories</w:t>
      </w:r>
      <w:r w:rsidR="00F81221">
        <w:rPr>
          <w:kern w:val="0"/>
          <w:szCs w:val="24"/>
        </w:rPr>
        <w:t xml:space="preserve"> and </w:t>
      </w:r>
      <w:r>
        <w:rPr>
          <w:kern w:val="0"/>
          <w:szCs w:val="24"/>
        </w:rPr>
        <w:t>empirical studies of programs can be established. (c) 2007 Elsevier Ltd</w:t>
      </w:r>
      <w:r w:rsidR="00F81221">
        <w:rPr>
          <w:kern w:val="0"/>
          <w:szCs w:val="24"/>
        </w:rPr>
        <w:t xml:space="preserve"> and </w:t>
      </w:r>
      <w:r>
        <w:rPr>
          <w:kern w:val="0"/>
          <w:szCs w:val="24"/>
        </w:rPr>
        <w:t>IPMA. All rights reserved.</w:t>
      </w:r>
    </w:p>
    <w:p w:rsidR="00254578" w:rsidRDefault="00254578" w:rsidP="00254578">
      <w:pPr>
        <w:pStyle w:val="a0"/>
        <w:rPr>
          <w:kern w:val="0"/>
          <w:szCs w:val="24"/>
        </w:rPr>
      </w:pPr>
      <w:r>
        <w:rPr>
          <w:kern w:val="0"/>
          <w:szCs w:val="24"/>
        </w:rPr>
        <w:t>Keywords: Bibliometric, Bibliometric Study, Development, Journals, Management, Program Management, Project Implementation, Project Management, Research, System, Theory</w:t>
      </w:r>
    </w:p>
    <w:p w:rsidR="00B95188" w:rsidRPr="00A428C3" w:rsidRDefault="00B95188" w:rsidP="00B95188">
      <w:pPr>
        <w:pStyle w:val="1"/>
      </w:pPr>
      <w:r w:rsidRPr="00A428C3">
        <w:br w:type="page"/>
      </w:r>
      <w:bookmarkStart w:id="1469" w:name="_Toc518780862"/>
      <w:bookmarkStart w:id="1470" w:name="_Toc186647948"/>
      <w:bookmarkStart w:id="1471" w:name="_Toc317161359"/>
      <w:r w:rsidRPr="00A428C3">
        <w:lastRenderedPageBreak/>
        <w:t>Title: International Journal of Prosthodontics</w:t>
      </w:r>
      <w:bookmarkEnd w:id="1469"/>
      <w:bookmarkEnd w:id="1470"/>
      <w:bookmarkEnd w:id="1471"/>
    </w:p>
    <w:p w:rsidR="00B95188" w:rsidRPr="00A428C3" w:rsidRDefault="00B95188" w:rsidP="00B72EF9">
      <w:pPr>
        <w:pStyle w:val="12"/>
      </w:pPr>
      <w:r w:rsidRPr="00A428C3">
        <w:t>Full Journal Title: International Journal of Prosthodontics</w:t>
      </w:r>
    </w:p>
    <w:p w:rsidR="00B95188" w:rsidRPr="00A428C3" w:rsidRDefault="00B95188" w:rsidP="00B72EF9">
      <w:pPr>
        <w:pStyle w:val="12"/>
      </w:pPr>
      <w:r w:rsidRPr="00A428C3">
        <w:t>ISO Abbreviated Title: Int. J. Prosthodont.</w:t>
      </w:r>
    </w:p>
    <w:p w:rsidR="00B95188" w:rsidRPr="00A428C3" w:rsidRDefault="00B95188" w:rsidP="00B72EF9">
      <w:pPr>
        <w:pStyle w:val="12"/>
      </w:pPr>
      <w:r w:rsidRPr="00A428C3">
        <w:t>JCR Abbreviated Title: Int J Prosthodont</w:t>
      </w:r>
    </w:p>
    <w:p w:rsidR="00B95188" w:rsidRPr="00A428C3" w:rsidRDefault="00B95188" w:rsidP="00B72EF9">
      <w:pPr>
        <w:pStyle w:val="12"/>
      </w:pPr>
      <w:r w:rsidRPr="00A428C3">
        <w:t>ISSN: 0893-2174</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Quintessence Publ Co Inc</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551 North Kimberly DR</w:t>
          </w:r>
        </w:smartTag>
        <w:r w:rsidRPr="00A428C3">
          <w:t xml:space="preserve">, </w:t>
        </w:r>
        <w:smartTag w:uri="urn:schemas-microsoft-com:office:smarttags" w:element="City">
          <w:r w:rsidRPr="00A428C3">
            <w:t>Carol Stream</w:t>
          </w:r>
        </w:smartTag>
        <w:r w:rsidRPr="00A428C3">
          <w:t xml:space="preserve">, </w:t>
        </w:r>
        <w:smartTag w:uri="urn:schemas-microsoft-com:office:smarttags" w:element="State">
          <w:r w:rsidRPr="00A428C3">
            <w:t>IL</w:t>
          </w:r>
        </w:smartTag>
        <w:r w:rsidRPr="00A428C3">
          <w:t xml:space="preserve"> </w:t>
        </w:r>
        <w:smartTag w:uri="urn:schemas-microsoft-com:office:smarttags" w:element="PostalCode">
          <w:r w:rsidRPr="00A428C3">
            <w:t>60188-1881</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Dentistry, Oral Surgery &amp; Medicine: Impact Factor 0.985, / (2001)</w:t>
      </w:r>
    </w:p>
    <w:p w:rsidR="00B95188" w:rsidRPr="00A428C3" w:rsidRDefault="00B95188" w:rsidP="00B95188">
      <w:pPr>
        <w:pStyle w:val="a0"/>
      </w:pPr>
      <w:r w:rsidRPr="00A428C3">
        <w:t>? Al Hiyasat, A.S., Saunders, W.P., Sharkey, S.W., Smith, G.M.</w:t>
      </w:r>
      <w:r w:rsidR="00F81221">
        <w:t xml:space="preserve"> and </w:t>
      </w:r>
      <w:r w:rsidRPr="00A428C3">
        <w:t>Gilmour, W.H. (1997), The abrasive effect of glazed, unglazed,</w:t>
      </w:r>
      <w:r w:rsidR="00F81221">
        <w:t xml:space="preserve"> and </w:t>
      </w:r>
      <w:r w:rsidRPr="00A428C3">
        <w:t>polished porcelain on the wear of human enamel,</w:t>
      </w:r>
      <w:r w:rsidR="00F81221">
        <w:t xml:space="preserve"> and </w:t>
      </w:r>
      <w:r w:rsidRPr="00A428C3">
        <w:t xml:space="preserve">the influence of carbonated soft drinks on the rate of wear. </w:t>
      </w:r>
      <w:r w:rsidRPr="00A428C3">
        <w:rPr>
          <w:i/>
        </w:rPr>
        <w:t>International Journal of Prosthodontics</w:t>
      </w:r>
      <w:r w:rsidRPr="00A428C3">
        <w:t xml:space="preserve">, </w:t>
      </w:r>
      <w:r w:rsidRPr="00A428C3">
        <w:rPr>
          <w:b/>
        </w:rPr>
        <w:t>10</w:t>
      </w:r>
      <w:r w:rsidRPr="00A428C3">
        <w:t xml:space="preserve"> (3), 269-282.</w:t>
      </w:r>
    </w:p>
    <w:p w:rsidR="00B95188" w:rsidRPr="00A428C3" w:rsidRDefault="00B95188" w:rsidP="00B95188">
      <w:pPr>
        <w:pStyle w:val="a0"/>
      </w:pPr>
      <w:r w:rsidRPr="00A428C3">
        <w:t>Abstract: The abrasive effect of various porcelain surfaces on human enamel was studied in vitro. Sixty pairs of tooth-porcelain specimens were tested under a standard load</w:t>
      </w:r>
      <w:r w:rsidR="00F81221">
        <w:t xml:space="preserve"> and </w:t>
      </w:r>
      <w:r w:rsidRPr="00A428C3">
        <w:t>rate in distilled water</w:t>
      </w:r>
      <w:r w:rsidR="00F81221">
        <w:t xml:space="preserve"> and </w:t>
      </w:r>
      <w:r w:rsidRPr="00A428C3">
        <w:t>with</w:t>
      </w:r>
      <w:r w:rsidR="00F81221">
        <w:t xml:space="preserve"> and </w:t>
      </w:r>
      <w:r w:rsidRPr="00A428C3">
        <w:t>without intermittent exposure to a carbonated beverage. The amount of wear of enamel</w:t>
      </w:r>
      <w:r w:rsidR="00F81221">
        <w:t xml:space="preserve"> and </w:t>
      </w:r>
      <w:r w:rsidRPr="00A428C3">
        <w:t>porcelain specimens was determined after 5,000, 15,000,</w:t>
      </w:r>
      <w:r w:rsidR="00F81221">
        <w:t xml:space="preserve"> and </w:t>
      </w:r>
      <w:r w:rsidRPr="00A428C3">
        <w:t>25,000 cycles. After 25,000 cycles there was no significant difference in the enamel wear between glazed</w:t>
      </w:r>
      <w:r w:rsidR="00F81221">
        <w:t xml:space="preserve"> and </w:t>
      </w:r>
      <w:r w:rsidRPr="00A428C3">
        <w:t>polished groups, but wear produced by the unglazed groups was significantly higher (P&lt;.05). Overall, exposure to a carbonated beverage significantly increased the amount of enamel wear produced by all porcelain surfaces (P&lt;.001). The finish of the porcelain surface did not influence its wear.</w:t>
      </w:r>
    </w:p>
    <w:p w:rsidR="00B95188" w:rsidRPr="00A428C3" w:rsidRDefault="00B95188" w:rsidP="00B95188">
      <w:pPr>
        <w:pStyle w:val="a0"/>
      </w:pPr>
      <w:r w:rsidRPr="00A428C3">
        <w:t>Keywords: Restorative Materials, Dental Erosion, Surfaces, Machine, Invitro, Gold</w:t>
      </w:r>
    </w:p>
    <w:p w:rsidR="003E7D54" w:rsidRDefault="003E7D54" w:rsidP="003E7D54">
      <w:pPr>
        <w:pStyle w:val="a0"/>
        <w:rPr>
          <w:kern w:val="0"/>
        </w:rPr>
      </w:pPr>
      <w:r>
        <w:rPr>
          <w:kern w:val="0"/>
        </w:rPr>
        <w:t>? Smith, G.C.S.</w:t>
      </w:r>
      <w:r w:rsidR="00F81221">
        <w:rPr>
          <w:kern w:val="0"/>
        </w:rPr>
        <w:t xml:space="preserve"> and </w:t>
      </w:r>
      <w:r>
        <w:rPr>
          <w:kern w:val="0"/>
        </w:rPr>
        <w:t>Pell, J.P. (2006), Parachute use to prevent death</w:t>
      </w:r>
      <w:r w:rsidR="00F81221">
        <w:rPr>
          <w:kern w:val="0"/>
        </w:rPr>
        <w:t xml:space="preserve"> and </w:t>
      </w:r>
      <w:r>
        <w:rPr>
          <w:kern w:val="0"/>
        </w:rPr>
        <w:t xml:space="preserve">major trauma related to gravitational challenge: Systematic review of randomised controlled trials. </w:t>
      </w:r>
      <w:r>
        <w:rPr>
          <w:i/>
          <w:iCs/>
          <w:kern w:val="0"/>
        </w:rPr>
        <w:t>International Journal of Prosthodontics</w:t>
      </w:r>
      <w:r>
        <w:rPr>
          <w:kern w:val="0"/>
        </w:rPr>
        <w:t xml:space="preserve">, </w:t>
      </w:r>
      <w:r>
        <w:rPr>
          <w:b/>
          <w:bCs/>
          <w:kern w:val="0"/>
        </w:rPr>
        <w:t>19</w:t>
      </w:r>
      <w:r>
        <w:rPr>
          <w:kern w:val="0"/>
        </w:rPr>
        <w:t xml:space="preserve"> (2), 126-128.</w:t>
      </w:r>
    </w:p>
    <w:p w:rsidR="003E7D54" w:rsidRDefault="003E7D54" w:rsidP="003E7D54">
      <w:pPr>
        <w:pStyle w:val="a0"/>
        <w:rPr>
          <w:kern w:val="0"/>
        </w:rPr>
      </w:pPr>
      <w:r>
        <w:rPr>
          <w:kern w:val="0"/>
        </w:rPr>
        <w:t>Abstract: Objectives: To determine whether parachutes are effective in preventing major trauma related to gravitational challenge. Design Systematic review of randomised controlled trials. Data Sources: MEDLINE, Web of Science, EMBASE,</w:t>
      </w:r>
      <w:r w:rsidR="00F81221">
        <w:rPr>
          <w:kern w:val="0"/>
        </w:rPr>
        <w:t xml:space="preserve"> and </w:t>
      </w:r>
      <w:r>
        <w:rPr>
          <w:kern w:val="0"/>
        </w:rPr>
        <w:t>the Cochrane Library databases; appropriate internet sites</w:t>
      </w:r>
      <w:r w:rsidR="00F81221">
        <w:rPr>
          <w:kern w:val="0"/>
        </w:rPr>
        <w:t xml:space="preserve"> and </w:t>
      </w:r>
      <w:r>
        <w:rPr>
          <w:kern w:val="0"/>
        </w:rPr>
        <w:t xml:space="preserve">citation lists. Study Selection: Studies showing the effects of using a parachute during free fall. Main Outcome Measure: Death or major trauma, defined as an injury severity score &gt; 15. Results: We were unable to identify any randomised controlled trials of </w:t>
      </w:r>
      <w:r>
        <w:rPr>
          <w:kern w:val="0"/>
        </w:rPr>
        <w:lastRenderedPageBreak/>
        <w:t>parachute intervention. Conclusions: As with many interventions intended to prevent ill health, the effectiveness of parachutes has not been subjected to rigorous evaluation by using randomised controlled trials. Advocates of evidence based medicine have criticised the adoption of interventions evaluated by using only observational data. We think that everyone might benefit if the most radical protagonists of evidence based medicine organised</w:t>
      </w:r>
      <w:r w:rsidR="00F81221">
        <w:rPr>
          <w:kern w:val="0"/>
        </w:rPr>
        <w:t xml:space="preserve"> and </w:t>
      </w:r>
      <w:r>
        <w:rPr>
          <w:kern w:val="0"/>
        </w:rPr>
        <w:t>participated in a double blind, randomised, placebo controlled, crossover trial of the parachute.</w:t>
      </w:r>
    </w:p>
    <w:p w:rsidR="003E7D54" w:rsidRDefault="003E7D54" w:rsidP="003E7D54">
      <w:pPr>
        <w:pStyle w:val="a0"/>
        <w:rPr>
          <w:kern w:val="0"/>
        </w:rPr>
      </w:pPr>
      <w:r>
        <w:rPr>
          <w:kern w:val="0"/>
        </w:rPr>
        <w:t>Keywords: Citation, Cochrane, Databases, Effectiveness, Evaluation, Injuries, Injury, Intervention, Interventions, Medicine, Quality, Review, Science, Sources, Systematic, Systematic Review, Trauma, Web of Science</w:t>
      </w:r>
    </w:p>
    <w:p w:rsidR="003E7D54" w:rsidRDefault="003E7D54" w:rsidP="003E7D54">
      <w:pPr>
        <w:pStyle w:val="a0"/>
        <w:rPr>
          <w:kern w:val="0"/>
        </w:rPr>
      </w:pPr>
      <w:r>
        <w:rPr>
          <w:kern w:val="0"/>
        </w:rPr>
        <w:t>? Kroeplin, B.S.</w:t>
      </w:r>
      <w:r w:rsidR="00F81221">
        <w:rPr>
          <w:kern w:val="0"/>
        </w:rPr>
        <w:t xml:space="preserve"> and </w:t>
      </w:r>
      <w:r>
        <w:rPr>
          <w:kern w:val="0"/>
        </w:rPr>
        <w:t xml:space="preserve">Strub, J.R. (2011), Implant dentistry curriculum in undergraduate education: Part 1-A literature review. </w:t>
      </w:r>
      <w:r>
        <w:rPr>
          <w:i/>
          <w:iCs/>
          <w:kern w:val="0"/>
        </w:rPr>
        <w:t>International Journal of Prosthodontics</w:t>
      </w:r>
      <w:r>
        <w:rPr>
          <w:kern w:val="0"/>
        </w:rPr>
        <w:t xml:space="preserve">, </w:t>
      </w:r>
      <w:r>
        <w:rPr>
          <w:b/>
          <w:bCs/>
          <w:kern w:val="0"/>
        </w:rPr>
        <w:t>24</w:t>
      </w:r>
      <w:r>
        <w:rPr>
          <w:kern w:val="0"/>
        </w:rPr>
        <w:t xml:space="preserve"> (3), 221-234.</w:t>
      </w:r>
    </w:p>
    <w:p w:rsidR="003E7D54" w:rsidRDefault="003E7D54" w:rsidP="003E7D54">
      <w:pPr>
        <w:pStyle w:val="a0"/>
        <w:rPr>
          <w:kern w:val="0"/>
        </w:rPr>
      </w:pPr>
      <w:r>
        <w:rPr>
          <w:kern w:val="0"/>
        </w:rPr>
        <w:t>Abstract: Purpose: The aim of this literature review was to evaluate to what extent oral implant dentistry was integrated into undergraduate educational programs worldwide. Materials</w:t>
      </w:r>
      <w:r w:rsidR="00F81221">
        <w:rPr>
          <w:kern w:val="0"/>
        </w:rPr>
        <w:t xml:space="preserve"> and </w:t>
      </w:r>
      <w:r>
        <w:rPr>
          <w:kern w:val="0"/>
        </w:rPr>
        <w:t>Methods: An online search of PUBMED (MEDLINE</w:t>
      </w:r>
      <w:r w:rsidR="00F81221">
        <w:rPr>
          <w:kern w:val="0"/>
        </w:rPr>
        <w:t xml:space="preserve"> and </w:t>
      </w:r>
      <w:r>
        <w:rPr>
          <w:kern w:val="0"/>
        </w:rPr>
        <w:t xml:space="preserve">additional life science journals) was performed for articles published from 1966 to January 2010 using combinations of select medical subject headings. Additionally, the ISI Web of Knowledge database (MEDLINE: 1950 to present, Web of Science: 1945 to present) was searched using </w:t>
      </w:r>
      <w:r w:rsidR="000352E7">
        <w:rPr>
          <w:kern w:val="0"/>
        </w:rPr>
        <w:t>“</w:t>
      </w:r>
      <w:r>
        <w:rPr>
          <w:kern w:val="0"/>
        </w:rPr>
        <w:t>education</w:t>
      </w:r>
      <w:r w:rsidR="000352E7">
        <w:rPr>
          <w:kern w:val="0"/>
        </w:rPr>
        <w:t>”</w:t>
      </w:r>
      <w:r w:rsidR="00F81221">
        <w:rPr>
          <w:kern w:val="0"/>
        </w:rPr>
        <w:t xml:space="preserve"> and </w:t>
      </w:r>
      <w:r w:rsidR="000352E7">
        <w:rPr>
          <w:kern w:val="0"/>
        </w:rPr>
        <w:t>“</w:t>
      </w:r>
      <w:r>
        <w:rPr>
          <w:kern w:val="0"/>
        </w:rPr>
        <w:t>implant</w:t>
      </w:r>
      <w:r w:rsidR="000352E7">
        <w:rPr>
          <w:kern w:val="0"/>
        </w:rPr>
        <w:t>”</w:t>
      </w:r>
      <w:r>
        <w:rPr>
          <w:kern w:val="0"/>
        </w:rPr>
        <w:t xml:space="preserve"> as search terms. The online search was supplemented with a manual search of dental journals in the fields of education, prosthodontics,</w:t>
      </w:r>
      <w:r w:rsidR="00F81221">
        <w:rPr>
          <w:kern w:val="0"/>
        </w:rPr>
        <w:t xml:space="preserve"> and </w:t>
      </w:r>
      <w:r>
        <w:rPr>
          <w:kern w:val="0"/>
        </w:rPr>
        <w:t>implant dentistry</w:t>
      </w:r>
      <w:r w:rsidR="00F81221">
        <w:rPr>
          <w:kern w:val="0"/>
        </w:rPr>
        <w:t xml:space="preserve"> and </w:t>
      </w:r>
      <w:r>
        <w:rPr>
          <w:kern w:val="0"/>
        </w:rPr>
        <w:t>of the reference lists of selected full-text articles. Surveys comparing different undergraduate dental implant curricula</w:t>
      </w:r>
      <w:r w:rsidR="00F81221">
        <w:rPr>
          <w:kern w:val="0"/>
        </w:rPr>
        <w:t xml:space="preserve"> and </w:t>
      </w:r>
      <w:r>
        <w:rPr>
          <w:kern w:val="0"/>
        </w:rPr>
        <w:t>articles describing the undergraduate dental implant curriculum of a single university were identified. Postgraduate or continuing education programs for dental practitioners or master</w:t>
      </w:r>
      <w:r w:rsidR="00F81221">
        <w:rPr>
          <w:kern w:val="0"/>
        </w:rPr>
        <w:t xml:space="preserve"> and </w:t>
      </w:r>
      <w:r>
        <w:rPr>
          <w:kern w:val="0"/>
        </w:rPr>
        <w:t>specialist programs were excluded. Results: Twenty-five articles met the inclusion criteria of this review. The percentage of universities that included implant dentistry in undergraduate education increased from 51% in 1974 to 97% in 2006 for universities in the United States</w:t>
      </w:r>
      <w:r w:rsidR="00F81221">
        <w:rPr>
          <w:kern w:val="0"/>
        </w:rPr>
        <w:t xml:space="preserve"> and </w:t>
      </w:r>
      <w:r>
        <w:rPr>
          <w:kern w:val="0"/>
        </w:rPr>
        <w:t>to 100% for surveyed European universities. All curricula included lectures (mostly 1 to 20 hours)</w:t>
      </w:r>
      <w:r w:rsidR="00F81221">
        <w:rPr>
          <w:kern w:val="0"/>
        </w:rPr>
        <w:t xml:space="preserve"> and </w:t>
      </w:r>
      <w:r>
        <w:rPr>
          <w:kern w:val="0"/>
        </w:rPr>
        <w:t>30% to 42% included laboratory courses, but the level of clinical experience differed greatly between surveyed universities. Conclusion: Because oral implant dentistry has become a standard treatment alternative, the undergraduate dental curricula should include its application in treatment planning, observation of placing</w:t>
      </w:r>
      <w:r w:rsidR="00F81221">
        <w:rPr>
          <w:kern w:val="0"/>
        </w:rPr>
        <w:t xml:space="preserve"> and </w:t>
      </w:r>
      <w:r>
        <w:rPr>
          <w:kern w:val="0"/>
        </w:rPr>
        <w:t>restoring implants,</w:t>
      </w:r>
      <w:r w:rsidR="00F81221">
        <w:rPr>
          <w:kern w:val="0"/>
        </w:rPr>
        <w:t xml:space="preserve"> and </w:t>
      </w:r>
      <w:r>
        <w:rPr>
          <w:kern w:val="0"/>
        </w:rPr>
        <w:t>treating patients with implant-retained or -supported restorations. Int J Prosthodont 2011;24.221-234.</w:t>
      </w:r>
    </w:p>
    <w:p w:rsidR="003E7D54" w:rsidRDefault="003E7D54" w:rsidP="003E7D54">
      <w:pPr>
        <w:pStyle w:val="a0"/>
        <w:rPr>
          <w:kern w:val="0"/>
        </w:rPr>
      </w:pPr>
      <w:r>
        <w:rPr>
          <w:kern w:val="0"/>
        </w:rPr>
        <w:t xml:space="preserve">Keywords: Complication Rates, Continuing Education, Dental Education, Education, Implants, ISI, Journals, Knowledge, Least 5 Years, Literature, Literature Review, Medical, Medline, Methods, Observation, Observation Period, Partial Dentures Fpds, </w:t>
      </w:r>
      <w:r>
        <w:rPr>
          <w:kern w:val="0"/>
        </w:rPr>
        <w:lastRenderedPageBreak/>
        <w:t>Program, Pubmed, Review, Schools, Science, Survival, Treatment, United-Kingdom, University, Web of Knowledge, Web of Science</w:t>
      </w:r>
    </w:p>
    <w:p w:rsidR="0084232B" w:rsidRPr="001A3D2B" w:rsidRDefault="0084232B" w:rsidP="0084232B">
      <w:pPr>
        <w:pStyle w:val="1"/>
      </w:pPr>
      <w:r w:rsidRPr="001A3D2B">
        <w:br w:type="page"/>
      </w:r>
      <w:bookmarkStart w:id="1472" w:name="_Toc317161360"/>
      <w:r w:rsidRPr="001A3D2B">
        <w:lastRenderedPageBreak/>
        <w:t xml:space="preserve">Title: </w:t>
      </w:r>
      <w:r w:rsidRPr="00872650">
        <w:rPr>
          <w:iCs/>
        </w:rPr>
        <w:t>International Journal of Psychiatry in Medicine</w:t>
      </w:r>
      <w:bookmarkEnd w:id="1472"/>
    </w:p>
    <w:p w:rsidR="0084232B" w:rsidRPr="001A3D2B" w:rsidRDefault="0084232B" w:rsidP="0084232B">
      <w:pPr>
        <w:pStyle w:val="12"/>
      </w:pPr>
      <w:r w:rsidRPr="001A3D2B">
        <w:t xml:space="preserve">Full Journal Title: </w:t>
      </w:r>
      <w:r w:rsidRPr="00872650">
        <w:rPr>
          <w:iCs/>
        </w:rPr>
        <w:t>International Journal of Psychiatry in Medicine</w:t>
      </w:r>
    </w:p>
    <w:p w:rsidR="0084232B" w:rsidRPr="001A3D2B" w:rsidRDefault="0084232B" w:rsidP="0084232B">
      <w:pPr>
        <w:pStyle w:val="12"/>
      </w:pPr>
      <w:r w:rsidRPr="001A3D2B">
        <w:t xml:space="preserve">ISO Abbreviated Title: </w:t>
      </w:r>
    </w:p>
    <w:p w:rsidR="0084232B" w:rsidRPr="001A3D2B" w:rsidRDefault="0084232B" w:rsidP="0084232B">
      <w:pPr>
        <w:pStyle w:val="12"/>
      </w:pPr>
      <w:r w:rsidRPr="001A3D2B">
        <w:t xml:space="preserve">JCR Abbreviated Title: </w:t>
      </w:r>
    </w:p>
    <w:p w:rsidR="0084232B" w:rsidRPr="001A3D2B" w:rsidRDefault="0084232B" w:rsidP="0084232B">
      <w:pPr>
        <w:pStyle w:val="12"/>
      </w:pPr>
      <w:r w:rsidRPr="001A3D2B">
        <w:t xml:space="preserve">ISSN: </w:t>
      </w:r>
    </w:p>
    <w:p w:rsidR="0084232B" w:rsidRPr="001A3D2B" w:rsidRDefault="0084232B" w:rsidP="0084232B">
      <w:pPr>
        <w:pStyle w:val="12"/>
      </w:pPr>
      <w:r w:rsidRPr="001A3D2B">
        <w:t xml:space="preserve">Issues/Year: </w:t>
      </w:r>
    </w:p>
    <w:p w:rsidR="0084232B" w:rsidRPr="001A3D2B" w:rsidRDefault="0084232B" w:rsidP="0084232B">
      <w:pPr>
        <w:pStyle w:val="12"/>
      </w:pPr>
      <w:r w:rsidRPr="001A3D2B">
        <w:t xml:space="preserve">Journal Country/Territory: </w:t>
      </w:r>
    </w:p>
    <w:p w:rsidR="0084232B" w:rsidRPr="001A3D2B" w:rsidRDefault="0084232B" w:rsidP="0084232B">
      <w:pPr>
        <w:pStyle w:val="12"/>
      </w:pPr>
      <w:r w:rsidRPr="001A3D2B">
        <w:t xml:space="preserve">Language: </w:t>
      </w:r>
    </w:p>
    <w:p w:rsidR="0084232B" w:rsidRPr="001A3D2B" w:rsidRDefault="0084232B" w:rsidP="0084232B">
      <w:pPr>
        <w:pStyle w:val="12"/>
      </w:pPr>
      <w:r w:rsidRPr="001A3D2B">
        <w:t xml:space="preserve">Publisher: </w:t>
      </w:r>
    </w:p>
    <w:p w:rsidR="0084232B" w:rsidRPr="001A3D2B" w:rsidRDefault="0084232B" w:rsidP="0084232B">
      <w:pPr>
        <w:pStyle w:val="12"/>
      </w:pPr>
      <w:r w:rsidRPr="001A3D2B">
        <w:t xml:space="preserve">Publisher Address: </w:t>
      </w:r>
    </w:p>
    <w:p w:rsidR="0084232B" w:rsidRPr="001A3D2B" w:rsidRDefault="0084232B" w:rsidP="0084232B">
      <w:pPr>
        <w:pStyle w:val="12"/>
      </w:pPr>
      <w:r w:rsidRPr="001A3D2B">
        <w:t>Subject Categories:</w:t>
      </w:r>
    </w:p>
    <w:p w:rsidR="0084232B" w:rsidRPr="001A3D2B" w:rsidRDefault="0084232B" w:rsidP="0084232B">
      <w:pPr>
        <w:pStyle w:val="12"/>
      </w:pPr>
      <w:r w:rsidRPr="001A3D2B">
        <w:t>: Impact Factor</w:t>
      </w:r>
    </w:p>
    <w:p w:rsidR="0084232B" w:rsidRDefault="0084232B" w:rsidP="0084232B">
      <w:pPr>
        <w:pStyle w:val="a0"/>
        <w:rPr>
          <w:kern w:val="0"/>
        </w:rPr>
      </w:pPr>
      <w:r>
        <w:rPr>
          <w:rFonts w:hint="eastAsia"/>
          <w:kern w:val="0"/>
        </w:rPr>
        <w:t xml:space="preserve">? </w:t>
      </w:r>
      <w:r>
        <w:rPr>
          <w:kern w:val="0"/>
        </w:rPr>
        <w:t>Schaefer, F.C., Blazer, D.G.</w:t>
      </w:r>
      <w:r w:rsidR="00F81221">
        <w:rPr>
          <w:kern w:val="0"/>
        </w:rPr>
        <w:t xml:space="preserve"> and </w:t>
      </w:r>
      <w:r>
        <w:rPr>
          <w:kern w:val="0"/>
        </w:rPr>
        <w:t>Koenig, H.G. (2008), Religious</w:t>
      </w:r>
      <w:r w:rsidR="00F81221">
        <w:rPr>
          <w:kern w:val="0"/>
        </w:rPr>
        <w:t xml:space="preserve"> and </w:t>
      </w:r>
      <w:r>
        <w:rPr>
          <w:kern w:val="0"/>
        </w:rPr>
        <w:t>spiritual factors</w:t>
      </w:r>
      <w:r w:rsidR="00F81221">
        <w:rPr>
          <w:kern w:val="0"/>
        </w:rPr>
        <w:t xml:space="preserve"> and </w:t>
      </w:r>
      <w:r>
        <w:rPr>
          <w:kern w:val="0"/>
        </w:rPr>
        <w:t>the consequences of trauma: A review</w:t>
      </w:r>
      <w:r w:rsidR="00F81221">
        <w:rPr>
          <w:kern w:val="0"/>
        </w:rPr>
        <w:t xml:space="preserve"> and </w:t>
      </w:r>
      <w:r>
        <w:rPr>
          <w:kern w:val="0"/>
        </w:rPr>
        <w:t xml:space="preserve">model of the interrelationship. </w:t>
      </w:r>
      <w:r w:rsidRPr="00872650">
        <w:rPr>
          <w:i/>
          <w:iCs/>
          <w:kern w:val="0"/>
        </w:rPr>
        <w:t>International Journal of Psychiatry in Medicine</w:t>
      </w:r>
      <w:r>
        <w:rPr>
          <w:kern w:val="0"/>
        </w:rPr>
        <w:t xml:space="preserve">, </w:t>
      </w:r>
      <w:r>
        <w:rPr>
          <w:b/>
          <w:bCs/>
          <w:kern w:val="0"/>
        </w:rPr>
        <w:t>38</w:t>
      </w:r>
      <w:r>
        <w:rPr>
          <w:kern w:val="0"/>
        </w:rPr>
        <w:t xml:space="preserve"> (4), 507-524.</w:t>
      </w:r>
    </w:p>
    <w:p w:rsidR="0084232B" w:rsidRDefault="0084232B" w:rsidP="0084232B">
      <w:pPr>
        <w:pStyle w:val="a0"/>
        <w:rPr>
          <w:kern w:val="0"/>
        </w:rPr>
      </w:pPr>
      <w:r>
        <w:rPr>
          <w:kern w:val="0"/>
        </w:rPr>
        <w:t>Abstract: Objective: An increasing body of literature examines the association of religious factors with posttraumatic stress as well as posttraumatic growth. This review of selected empirical studies describes religious</w:t>
      </w:r>
      <w:r w:rsidR="00F81221">
        <w:rPr>
          <w:kern w:val="0"/>
        </w:rPr>
        <w:t xml:space="preserve"> and </w:t>
      </w:r>
      <w:r>
        <w:rPr>
          <w:kern w:val="0"/>
        </w:rPr>
        <w:t>spiritual factors that have been examined in their association with the consequences of trauma. A comprehensive model is proposed to explain the complex interrelationship. Method: We performed a qualitative review of empirical research in August 2006, updated in February 2008, using MEDLINE (1950-present), PsychInfo (1806-present), Web of Science (1900-present),</w:t>
      </w:r>
      <w:r w:rsidR="00F81221">
        <w:rPr>
          <w:kern w:val="0"/>
        </w:rPr>
        <w:t xml:space="preserve"> and </w:t>
      </w:r>
      <w:r>
        <w:rPr>
          <w:kern w:val="0"/>
        </w:rPr>
        <w:t>PILOTS (1960-present). We searched the terms posttraumatic, posttraumatic stress, posttraumatic growth,</w:t>
      </w:r>
      <w:r w:rsidR="00F81221">
        <w:rPr>
          <w:kern w:val="0"/>
        </w:rPr>
        <w:t xml:space="preserve"> and </w:t>
      </w:r>
      <w:r>
        <w:rPr>
          <w:kern w:val="0"/>
        </w:rPr>
        <w:t>religion, religious, spirituality, spiritual, meditation,</w:t>
      </w:r>
      <w:r w:rsidR="00F81221">
        <w:rPr>
          <w:kern w:val="0"/>
        </w:rPr>
        <w:t xml:space="preserve"> and </w:t>
      </w:r>
      <w:r>
        <w:rPr>
          <w:kern w:val="0"/>
        </w:rPr>
        <w:t>forgiveness. Based on supporting data from reviewed literature, we then developed a model for key religious factors derived from this review predictive of the response to trauma over time. Results: Twenty-three studies were identified that describe religious pre-trauma characteristics, religious trauma-appraisal</w:t>
      </w:r>
      <w:r w:rsidR="00F81221">
        <w:rPr>
          <w:kern w:val="0"/>
        </w:rPr>
        <w:t xml:space="preserve"> and </w:t>
      </w:r>
      <w:r>
        <w:rPr>
          <w:kern w:val="0"/>
        </w:rPr>
        <w:t>post-trauma adjustment factors. The association of these factors with posttraumatic stress</w:t>
      </w:r>
      <w:r w:rsidR="00F81221">
        <w:rPr>
          <w:kern w:val="0"/>
        </w:rPr>
        <w:t xml:space="preserve"> and </w:t>
      </w:r>
      <w:r>
        <w:rPr>
          <w:kern w:val="0"/>
        </w:rPr>
        <w:t>growth is described. Conclusions: Intrinsic religious orientation, in particular, appears to be a useful construct in measuring religiosity in the association with the consequences of trauma. There are preliminary indications that the association between intrinsic religiosity</w:t>
      </w:r>
      <w:r w:rsidR="00F81221">
        <w:rPr>
          <w:kern w:val="0"/>
        </w:rPr>
        <w:t xml:space="preserve"> and </w:t>
      </w:r>
      <w:r>
        <w:rPr>
          <w:kern w:val="0"/>
        </w:rPr>
        <w:t>the consequences of trauma may change depending on the time after the event. Future studies should stratify outcome by the time after trauma or use longitudinal designs.</w:t>
      </w:r>
    </w:p>
    <w:p w:rsidR="0084232B" w:rsidRDefault="0084232B" w:rsidP="0084232B">
      <w:pPr>
        <w:pStyle w:val="a0"/>
        <w:rPr>
          <w:kern w:val="0"/>
        </w:rPr>
      </w:pPr>
      <w:r>
        <w:rPr>
          <w:kern w:val="0"/>
        </w:rPr>
        <w:t xml:space="preserve">Keywords: African-American Women, Community Survey, Events, Growth, Intrinsic Religiosity, Literature, Model, Outcome, Posttraumatic Growth, Posttraumatic Stress, </w:t>
      </w:r>
      <w:r>
        <w:rPr>
          <w:kern w:val="0"/>
        </w:rPr>
        <w:lastRenderedPageBreak/>
        <w:t>Posttraumatic-Stress-Disorder, Religion, Research, Resilience, Review, Science, Social Support, Spirituality, Stress, Survivors, Symptoms, Trauma, Violent Trauma, Web of Science</w:t>
      </w:r>
    </w:p>
    <w:p w:rsidR="00B95188" w:rsidRPr="00A428C3" w:rsidRDefault="00B95188" w:rsidP="00B95188">
      <w:pPr>
        <w:pStyle w:val="1"/>
      </w:pPr>
      <w:r w:rsidRPr="00A428C3">
        <w:br w:type="page"/>
      </w:r>
      <w:bookmarkStart w:id="1473" w:name="_Toc186647949"/>
      <w:bookmarkStart w:id="1474" w:name="_Toc317161361"/>
      <w:r w:rsidRPr="00A428C3">
        <w:lastRenderedPageBreak/>
        <w:t>Title: International Journal of Psychology</w:t>
      </w:r>
      <w:bookmarkEnd w:id="1473"/>
      <w:bookmarkEnd w:id="1474"/>
    </w:p>
    <w:p w:rsidR="00B95188" w:rsidRPr="00A428C3" w:rsidRDefault="00B95188" w:rsidP="00B72EF9">
      <w:pPr>
        <w:pStyle w:val="12"/>
      </w:pPr>
      <w:r w:rsidRPr="00A428C3">
        <w:t>Full Journal Title: International Journal of Psychology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254578" w:rsidRDefault="00254578" w:rsidP="00254578">
      <w:pPr>
        <w:pStyle w:val="a0"/>
        <w:rPr>
          <w:kern w:val="0"/>
          <w:szCs w:val="24"/>
        </w:rPr>
      </w:pPr>
      <w:r>
        <w:rPr>
          <w:rFonts w:hint="eastAsia"/>
          <w:kern w:val="0"/>
          <w:szCs w:val="24"/>
        </w:rPr>
        <w:t xml:space="preserve">? </w:t>
      </w:r>
      <w:r>
        <w:rPr>
          <w:kern w:val="0"/>
          <w:szCs w:val="24"/>
        </w:rPr>
        <w:t>Saiz, D.</w:t>
      </w:r>
      <w:r w:rsidR="00F81221">
        <w:rPr>
          <w:kern w:val="0"/>
          <w:szCs w:val="24"/>
        </w:rPr>
        <w:t xml:space="preserve"> and </w:t>
      </w:r>
      <w:r>
        <w:rPr>
          <w:kern w:val="0"/>
          <w:szCs w:val="24"/>
        </w:rPr>
        <w:t xml:space="preserve">Saiz, M. (1992), A </w:t>
      </w:r>
      <w:r w:rsidR="00AF62A6">
        <w:rPr>
          <w:kern w:val="0"/>
          <w:szCs w:val="24"/>
        </w:rPr>
        <w:t xml:space="preserve">bibliometric </w:t>
      </w:r>
      <w:r>
        <w:rPr>
          <w:kern w:val="0"/>
          <w:szCs w:val="24"/>
        </w:rPr>
        <w:t xml:space="preserve">approximation to contemporary catalan psychology. </w:t>
      </w:r>
      <w:r>
        <w:rPr>
          <w:i/>
          <w:iCs/>
          <w:kern w:val="0"/>
          <w:szCs w:val="24"/>
        </w:rPr>
        <w:t>International Journal of Psychology</w:t>
      </w:r>
      <w:r>
        <w:rPr>
          <w:kern w:val="0"/>
          <w:szCs w:val="24"/>
        </w:rPr>
        <w:t xml:space="preserve">, </w:t>
      </w:r>
      <w:r>
        <w:rPr>
          <w:b/>
          <w:bCs/>
          <w:kern w:val="0"/>
          <w:szCs w:val="24"/>
        </w:rPr>
        <w:t>27</w:t>
      </w:r>
      <w:r>
        <w:rPr>
          <w:kern w:val="0"/>
          <w:szCs w:val="24"/>
        </w:rPr>
        <w:t xml:space="preserve"> (3-4), 532-533</w:t>
      </w:r>
      <w:r w:rsidR="00AF62A6">
        <w:rPr>
          <w:rFonts w:hint="eastAsia"/>
          <w:kern w:val="0"/>
          <w:szCs w:val="24"/>
        </w:rPr>
        <w:t>.</w:t>
      </w:r>
    </w:p>
    <w:p w:rsidR="00AF62A6" w:rsidRDefault="00AF62A6" w:rsidP="00AF62A6">
      <w:pPr>
        <w:pStyle w:val="a0"/>
        <w:rPr>
          <w:kern w:val="0"/>
        </w:rPr>
      </w:pPr>
      <w:r>
        <w:rPr>
          <w:rFonts w:hint="eastAsia"/>
          <w:kern w:val="0"/>
        </w:rPr>
        <w:t xml:space="preserve">Full Text: </w:t>
      </w:r>
      <w:r>
        <w:rPr>
          <w:kern w:val="0"/>
        </w:rPr>
        <w:t>199</w:t>
      </w:r>
      <w:r>
        <w:rPr>
          <w:rFonts w:hint="eastAsia"/>
          <w:kern w:val="0"/>
        </w:rPr>
        <w:t>2</w:t>
      </w:r>
      <w:r>
        <w:rPr>
          <w:kern w:val="0"/>
        </w:rPr>
        <w:t>\Int J Psy</w:t>
      </w:r>
      <w:r>
        <w:rPr>
          <w:rFonts w:hint="eastAsia"/>
          <w:kern w:val="0"/>
        </w:rPr>
        <w:t>27</w:t>
      </w:r>
      <w:r>
        <w:rPr>
          <w:kern w:val="0"/>
        </w:rPr>
        <w:t xml:space="preserve">, </w:t>
      </w:r>
      <w:r>
        <w:rPr>
          <w:rFonts w:hint="eastAsia"/>
          <w:kern w:val="0"/>
        </w:rPr>
        <w:t>523</w:t>
      </w:r>
      <w:r w:rsidRPr="00AF62A6">
        <w:rPr>
          <w:kern w:val="0"/>
        </w:rPr>
        <w:t>.pdf</w:t>
      </w:r>
    </w:p>
    <w:p w:rsidR="00254578" w:rsidRDefault="00254578" w:rsidP="00254578">
      <w:pPr>
        <w:pStyle w:val="a0"/>
        <w:rPr>
          <w:kern w:val="0"/>
          <w:szCs w:val="24"/>
        </w:rPr>
      </w:pPr>
      <w:r>
        <w:rPr>
          <w:kern w:val="0"/>
          <w:szCs w:val="24"/>
        </w:rPr>
        <w:t>Keywords: Bibliometric</w:t>
      </w:r>
    </w:p>
    <w:p w:rsidR="00B95188" w:rsidRPr="00A428C3" w:rsidRDefault="00AF62A6" w:rsidP="00B95188">
      <w:pPr>
        <w:pStyle w:val="a0"/>
      </w:pPr>
      <w:r>
        <w:t>? Cumming, G., Siddle, D.</w:t>
      </w:r>
      <w:r w:rsidR="00F81221">
        <w:t xml:space="preserve"> and </w:t>
      </w:r>
      <w:r w:rsidR="00B95188" w:rsidRPr="00A428C3">
        <w:t xml:space="preserve">Hyslop, W. (1997), Psychological science in </w:t>
      </w:r>
      <w:smartTag w:uri="urn:schemas-microsoft-com:office:smarttags" w:element="place">
        <w:smartTag w:uri="urn:schemas-microsoft-com:office:smarttags" w:element="country-region">
          <w:r w:rsidR="00B95188" w:rsidRPr="00A428C3">
            <w:t>Australia</w:t>
          </w:r>
        </w:smartTag>
      </w:smartTag>
      <w:r w:rsidR="00B95188" w:rsidRPr="00A428C3">
        <w:t xml:space="preserve">. </w:t>
      </w:r>
      <w:r w:rsidR="00B95188" w:rsidRPr="00A428C3">
        <w:rPr>
          <w:i/>
          <w:iCs/>
        </w:rPr>
        <w:t>International Journal of Psychology</w:t>
      </w:r>
      <w:r w:rsidR="00B95188" w:rsidRPr="00A428C3">
        <w:t xml:space="preserve">, </w:t>
      </w:r>
      <w:r w:rsidR="00B95188" w:rsidRPr="00A428C3">
        <w:rPr>
          <w:b/>
        </w:rPr>
        <w:t>32</w:t>
      </w:r>
      <w:r w:rsidR="00B95188" w:rsidRPr="00A428C3">
        <w:t xml:space="preserve"> (6), 409-424.</w:t>
      </w:r>
    </w:p>
    <w:p w:rsidR="00AF62A6" w:rsidRDefault="00AF62A6" w:rsidP="00AF62A6">
      <w:pPr>
        <w:pStyle w:val="a0"/>
        <w:rPr>
          <w:kern w:val="0"/>
        </w:rPr>
      </w:pPr>
      <w:r>
        <w:rPr>
          <w:rFonts w:hint="eastAsia"/>
          <w:kern w:val="0"/>
        </w:rPr>
        <w:t xml:space="preserve">Full Text: </w:t>
      </w:r>
      <w:hyperlink r:id="rId2055" w:history="1">
        <w:r w:rsidRPr="00286873">
          <w:rPr>
            <w:rStyle w:val="a5"/>
            <w:kern w:val="0"/>
          </w:rPr>
          <w:t>1997\Int J Psy32, 409.pdf</w:t>
        </w:r>
      </w:hyperlink>
    </w:p>
    <w:p w:rsidR="00B95188" w:rsidRPr="00A428C3" w:rsidRDefault="00B95188" w:rsidP="00B95188">
      <w:pPr>
        <w:pStyle w:val="a0"/>
        <w:rPr>
          <w:lang w:val="fr-FR"/>
        </w:rPr>
      </w:pPr>
      <w:r w:rsidRPr="00A428C3">
        <w:t>Abstract: This paper is a brief account of the Australian Strategic Review of the Psychology Discipline</w:t>
      </w:r>
      <w:r w:rsidR="00F81221">
        <w:t xml:space="preserve"> and </w:t>
      </w:r>
      <w:r w:rsidRPr="00A428C3">
        <w:t>its Research. Issues discussed include Australia</w:t>
      </w:r>
      <w:r w:rsidR="000352E7">
        <w:t>’</w:t>
      </w:r>
      <w:r w:rsidRPr="00A428C3">
        <w:t>s contribution to world research in psychological science, research funding, the age</w:t>
      </w:r>
      <w:r w:rsidR="00F81221">
        <w:t xml:space="preserve"> and </w:t>
      </w:r>
      <w:r w:rsidRPr="00A428C3">
        <w:t>qualifications of researchers, the social</w:t>
      </w:r>
      <w:r w:rsidR="00F81221">
        <w:t xml:space="preserve"> and </w:t>
      </w:r>
      <w:r w:rsidRPr="00A428C3">
        <w:t>economic benefits arising from the applications of research outcomes, multidisciplinary issues, the role of psychology in industry, links between the discipline</w:t>
      </w:r>
      <w:r w:rsidR="00F81221">
        <w:t xml:space="preserve"> and </w:t>
      </w:r>
      <w:r w:rsidRPr="00A428C3">
        <w:t>the profession of psychology, professional training, cross-cultural issues,</w:t>
      </w:r>
      <w:r w:rsidR="00F81221">
        <w:t xml:space="preserve"> and </w:t>
      </w:r>
      <w:r w:rsidRPr="00A428C3">
        <w:t>educational issues. Priorities for development of research</w:t>
      </w:r>
      <w:r w:rsidR="00F81221">
        <w:t xml:space="preserve"> and </w:t>
      </w:r>
      <w:r w:rsidRPr="00A428C3">
        <w:t>postgraduate training are identified,</w:t>
      </w:r>
      <w:r w:rsidR="00F81221">
        <w:t xml:space="preserve"> and </w:t>
      </w:r>
      <w:r w:rsidRPr="00A428C3">
        <w:t>include human factors</w:t>
      </w:r>
      <w:r w:rsidR="00F81221">
        <w:t xml:space="preserve"> and </w:t>
      </w:r>
      <w:r w:rsidRPr="00A428C3">
        <w:t>other areas related to technological change, clinical psychology with particular attention to health psychology, industrial</w:t>
      </w:r>
      <w:r w:rsidR="00F81221">
        <w:t xml:space="preserve"> and </w:t>
      </w:r>
      <w:r w:rsidRPr="00A428C3">
        <w:t>organizational psychology,</w:t>
      </w:r>
      <w:r w:rsidR="00F81221">
        <w:t xml:space="preserve"> and </w:t>
      </w:r>
      <w:r w:rsidRPr="00A428C3">
        <w:t>neuroscience</w:t>
      </w:r>
      <w:r w:rsidR="00F81221">
        <w:t xml:space="preserve"> and </w:t>
      </w:r>
      <w:r w:rsidRPr="00A428C3">
        <w:t xml:space="preserve">physiological psychology. </w:t>
      </w:r>
      <w:r w:rsidRPr="00A428C3">
        <w:rPr>
          <w:lang w:val="fr-FR"/>
        </w:rPr>
        <w:t>Cet article est un expose succinct de la &lt;&lt; Revue strategique australienne de la psychologie en tant que discipline et domaine de recherché &gt;&gt;. Parmi les questions abordees se trouvent la contribution australienne a la recherche mondiale en psychologie, le financement de cette recherche, l</w:t>
      </w:r>
      <w:r w:rsidR="000352E7">
        <w:rPr>
          <w:lang w:val="fr-FR"/>
        </w:rPr>
        <w:t>’</w:t>
      </w:r>
      <w:r w:rsidRPr="00A428C3">
        <w:rPr>
          <w:lang w:val="fr-FR"/>
        </w:rPr>
        <w:t>age et les qualifications des chercheurs, les benefices sociaux et economiques qui resultent de l</w:t>
      </w:r>
      <w:r w:rsidR="000352E7">
        <w:rPr>
          <w:lang w:val="fr-FR"/>
        </w:rPr>
        <w:t>’</w:t>
      </w:r>
      <w:r w:rsidRPr="00A428C3">
        <w:rPr>
          <w:lang w:val="fr-FR"/>
        </w:rPr>
        <w:t>application des resultats de recherche, les aspects multidisciplinaires, le role de la psychologie dans l</w:t>
      </w:r>
      <w:r w:rsidR="000352E7">
        <w:rPr>
          <w:lang w:val="fr-FR"/>
        </w:rPr>
        <w:t>’</w:t>
      </w:r>
      <w:r w:rsidRPr="00A428C3">
        <w:rPr>
          <w:lang w:val="fr-FR"/>
        </w:rPr>
        <w:t xml:space="preserve">industrie, les liens entre la discipline et la profession, la formation professionelle, les dimensions </w:t>
      </w:r>
      <w:r w:rsidRPr="00A428C3">
        <w:rPr>
          <w:lang w:val="fr-FR"/>
        </w:rPr>
        <w:lastRenderedPageBreak/>
        <w:t>multiculturelles, et les problemes relies a l</w:t>
      </w:r>
      <w:r w:rsidR="000352E7">
        <w:rPr>
          <w:lang w:val="fr-FR"/>
        </w:rPr>
        <w:t>’</w:t>
      </w:r>
      <w:r w:rsidRPr="00A428C3">
        <w:rPr>
          <w:lang w:val="fr-FR"/>
        </w:rPr>
        <w:t>enseignement. Les priorites dans le developpement de la recherche et da la formation postgradues sont identifies, parmi lesquelles sont incluses l</w:t>
      </w:r>
      <w:r w:rsidR="000352E7">
        <w:rPr>
          <w:lang w:val="fr-FR"/>
        </w:rPr>
        <w:t>’</w:t>
      </w:r>
      <w:r w:rsidRPr="00A428C3">
        <w:rPr>
          <w:lang w:val="fr-FR"/>
        </w:rPr>
        <w:t>ergonomie et autres domaines associes aux changements technologiques, la psychologie clinique (surtout la psychologie de la sante), la psychologie industrielle et organisationelle, les neurosciences et la psychophysiologie.</w:t>
      </w:r>
    </w:p>
    <w:p w:rsidR="00693A80" w:rsidRDefault="00693A80" w:rsidP="00693A80">
      <w:pPr>
        <w:pStyle w:val="a0"/>
        <w:rPr>
          <w:kern w:val="0"/>
        </w:rPr>
      </w:pPr>
      <w:r>
        <w:rPr>
          <w:rFonts w:hint="eastAsia"/>
          <w:kern w:val="0"/>
        </w:rPr>
        <w:t xml:space="preserve">? </w:t>
      </w:r>
      <w:r>
        <w:rPr>
          <w:kern w:val="0"/>
        </w:rPr>
        <w:t>Anseel, F.</w:t>
      </w:r>
      <w:r w:rsidR="00F81221">
        <w:rPr>
          <w:kern w:val="0"/>
        </w:rPr>
        <w:t xml:space="preserve"> and </w:t>
      </w:r>
      <w:r>
        <w:rPr>
          <w:kern w:val="0"/>
        </w:rPr>
        <w:t xml:space="preserve">Duyck, W. (2004), The effect of self-citing on impact factors of psychology journals. </w:t>
      </w:r>
      <w:r>
        <w:rPr>
          <w:i/>
          <w:iCs/>
          <w:kern w:val="0"/>
        </w:rPr>
        <w:t>International Journal of Psychology</w:t>
      </w:r>
      <w:r>
        <w:rPr>
          <w:kern w:val="0"/>
        </w:rPr>
        <w:t xml:space="preserve">, </w:t>
      </w:r>
      <w:r>
        <w:rPr>
          <w:b/>
          <w:bCs/>
          <w:kern w:val="0"/>
        </w:rPr>
        <w:t>39</w:t>
      </w:r>
      <w:r>
        <w:rPr>
          <w:kern w:val="0"/>
        </w:rPr>
        <w:t xml:space="preserve"> (5-6), 19</w:t>
      </w:r>
      <w:r>
        <w:rPr>
          <w:rFonts w:hint="eastAsia"/>
          <w:kern w:val="0"/>
        </w:rPr>
        <w:t>.</w:t>
      </w:r>
    </w:p>
    <w:p w:rsidR="00693A80" w:rsidRDefault="00693A80" w:rsidP="00693A80">
      <w:pPr>
        <w:pStyle w:val="a0"/>
        <w:rPr>
          <w:kern w:val="0"/>
        </w:rPr>
      </w:pPr>
      <w:r>
        <w:rPr>
          <w:rFonts w:hint="eastAsia"/>
          <w:kern w:val="0"/>
        </w:rPr>
        <w:t>Full Text: 2004\</w:t>
      </w:r>
      <w:r w:rsidRPr="00693A80">
        <w:rPr>
          <w:iCs/>
          <w:kern w:val="0"/>
        </w:rPr>
        <w:t>Int</w:t>
      </w:r>
      <w:r>
        <w:rPr>
          <w:iCs/>
          <w:kern w:val="0"/>
        </w:rPr>
        <w:t xml:space="preserve"> J Psy</w:t>
      </w:r>
      <w:r w:rsidRPr="00693A80">
        <w:rPr>
          <w:bCs/>
          <w:kern w:val="0"/>
        </w:rPr>
        <w:t>39</w:t>
      </w:r>
      <w:r>
        <w:rPr>
          <w:kern w:val="0"/>
        </w:rPr>
        <w:t>, 19</w:t>
      </w:r>
      <w:r>
        <w:rPr>
          <w:rFonts w:hint="eastAsia"/>
          <w:kern w:val="0"/>
        </w:rPr>
        <w:t>.pdf</w:t>
      </w:r>
    </w:p>
    <w:p w:rsidR="00AF62A6" w:rsidRPr="00AF62A6" w:rsidRDefault="00AF62A6" w:rsidP="00AF62A6">
      <w:pPr>
        <w:pStyle w:val="a0"/>
        <w:rPr>
          <w:kern w:val="0"/>
        </w:rPr>
      </w:pPr>
      <w:r w:rsidRPr="00AF62A6">
        <w:rPr>
          <w:kern w:val="0"/>
        </w:rPr>
        <w:t>Multidisciplinary research has shown that self-citations influence journal impact factors. Unfortunately, little is known about self-citing in psychology journals. The current study found that high impact journals received proportionally less self-citations compared to middle</w:t>
      </w:r>
      <w:r w:rsidR="00F81221">
        <w:rPr>
          <w:kern w:val="0"/>
        </w:rPr>
        <w:t xml:space="preserve"> and </w:t>
      </w:r>
      <w:r w:rsidRPr="00AF62A6">
        <w:rPr>
          <w:kern w:val="0"/>
        </w:rPr>
        <w:t>low impact journals. Adjusting for self-citations, impact factors of high impact journals dropped by 15%, whereas impact factors of middle</w:t>
      </w:r>
      <w:r w:rsidR="00F81221">
        <w:rPr>
          <w:kern w:val="0"/>
        </w:rPr>
        <w:t xml:space="preserve"> and </w:t>
      </w:r>
      <w:r w:rsidRPr="00AF62A6">
        <w:rPr>
          <w:kern w:val="0"/>
        </w:rPr>
        <w:t>low impact journals dropped by 35%</w:t>
      </w:r>
      <w:r w:rsidR="00F81221">
        <w:rPr>
          <w:kern w:val="0"/>
        </w:rPr>
        <w:t xml:space="preserve"> and </w:t>
      </w:r>
      <w:r w:rsidRPr="00AF62A6">
        <w:rPr>
          <w:kern w:val="0"/>
        </w:rPr>
        <w:t>45% respectively. Thus, the impact factors of high impact journals are actually underestimated relative to middle</w:t>
      </w:r>
      <w:r w:rsidR="00F81221">
        <w:rPr>
          <w:kern w:val="0"/>
        </w:rPr>
        <w:t xml:space="preserve"> and </w:t>
      </w:r>
      <w:r w:rsidRPr="00AF62A6">
        <w:rPr>
          <w:kern w:val="0"/>
        </w:rPr>
        <w:t>low impact journals. Implications for rankings of psychology journals are discussed.</w:t>
      </w:r>
    </w:p>
    <w:p w:rsidR="00693A80" w:rsidRDefault="00693A80" w:rsidP="00693A80">
      <w:pPr>
        <w:pStyle w:val="a0"/>
        <w:rPr>
          <w:kern w:val="0"/>
        </w:rPr>
      </w:pPr>
      <w:r>
        <w:rPr>
          <w:kern w:val="0"/>
        </w:rPr>
        <w:t>Keywords: Journals</w:t>
      </w:r>
    </w:p>
    <w:p w:rsidR="000C2272" w:rsidRDefault="000C2272" w:rsidP="000C2272">
      <w:pPr>
        <w:pStyle w:val="1"/>
      </w:pPr>
      <w:r>
        <w:rPr>
          <w:b w:val="0"/>
          <w:bCs/>
          <w:iCs/>
        </w:rPr>
        <w:br w:type="page"/>
      </w:r>
      <w:bookmarkStart w:id="1475" w:name="_Toc238871734"/>
      <w:bookmarkStart w:id="1476" w:name="_Toc317161362"/>
      <w:r>
        <w:lastRenderedPageBreak/>
        <w:t>Title: International Journal of Psychophysiology</w:t>
      </w:r>
      <w:bookmarkEnd w:id="1475"/>
      <w:bookmarkEnd w:id="1476"/>
    </w:p>
    <w:p w:rsidR="000C2272" w:rsidRDefault="000C2272" w:rsidP="00B72EF9">
      <w:pPr>
        <w:pStyle w:val="12"/>
      </w:pPr>
      <w:r>
        <w:t xml:space="preserve">Full Journal Title: </w:t>
      </w:r>
      <w:hyperlink r:id="rId2056" w:history="1">
        <w:r>
          <w:rPr>
            <w:rStyle w:val="a5"/>
            <w:iCs/>
          </w:rPr>
          <w:t>International Journal of Psychophysiology</w:t>
        </w:r>
      </w:hyperlink>
    </w:p>
    <w:p w:rsidR="000C2272" w:rsidRDefault="000C2272" w:rsidP="00B72EF9">
      <w:pPr>
        <w:pStyle w:val="12"/>
      </w:pPr>
      <w:r>
        <w:t xml:space="preserve">ISO Abbreviated Title: </w:t>
      </w:r>
    </w:p>
    <w:p w:rsidR="000C2272" w:rsidRDefault="000C2272" w:rsidP="00B72EF9">
      <w:pPr>
        <w:pStyle w:val="12"/>
      </w:pPr>
      <w:r>
        <w:t xml:space="preserve">JCR Abbreviated Title: </w:t>
      </w:r>
    </w:p>
    <w:p w:rsidR="000C2272" w:rsidRDefault="000C2272" w:rsidP="00B72EF9">
      <w:pPr>
        <w:pStyle w:val="12"/>
      </w:pPr>
      <w:r>
        <w:t xml:space="preserve">ISSN: </w:t>
      </w:r>
    </w:p>
    <w:p w:rsidR="000C2272" w:rsidRDefault="000C2272" w:rsidP="00B72EF9">
      <w:pPr>
        <w:pStyle w:val="12"/>
      </w:pPr>
      <w:r>
        <w:t xml:space="preserve">Issues/Year: </w:t>
      </w:r>
    </w:p>
    <w:p w:rsidR="000C2272" w:rsidRDefault="00FB5623" w:rsidP="00B72EF9">
      <w:pPr>
        <w:pStyle w:val="12"/>
      </w:pPr>
      <w:r>
        <w:t>Journal Country/Territory:</w:t>
      </w:r>
      <w:r w:rsidR="000C2272">
        <w:t xml:space="preserve"> </w:t>
      </w:r>
    </w:p>
    <w:p w:rsidR="000C2272" w:rsidRDefault="000C2272" w:rsidP="00B72EF9">
      <w:pPr>
        <w:pStyle w:val="12"/>
      </w:pPr>
      <w:r>
        <w:t xml:space="preserve">Language: </w:t>
      </w:r>
    </w:p>
    <w:p w:rsidR="000C2272" w:rsidRDefault="000C2272" w:rsidP="00B72EF9">
      <w:pPr>
        <w:pStyle w:val="12"/>
      </w:pPr>
      <w:r>
        <w:t xml:space="preserve">Publisher: </w:t>
      </w:r>
    </w:p>
    <w:p w:rsidR="000C2272" w:rsidRDefault="000C2272" w:rsidP="00B72EF9">
      <w:pPr>
        <w:pStyle w:val="12"/>
      </w:pPr>
      <w:r>
        <w:t xml:space="preserve">Publisher Address: </w:t>
      </w:r>
    </w:p>
    <w:p w:rsidR="000C2272" w:rsidRDefault="000C2272" w:rsidP="00B72EF9">
      <w:pPr>
        <w:pStyle w:val="12"/>
      </w:pPr>
      <w:r>
        <w:t>Subject Categories:</w:t>
      </w:r>
    </w:p>
    <w:p w:rsidR="000C2272" w:rsidRDefault="000C2272" w:rsidP="00B72EF9">
      <w:pPr>
        <w:pStyle w:val="12"/>
      </w:pPr>
      <w:r>
        <w:t>: Impact Factor</w:t>
      </w:r>
    </w:p>
    <w:p w:rsidR="000C2272" w:rsidRDefault="000C2272" w:rsidP="000C2272">
      <w:pPr>
        <w:pStyle w:val="a0"/>
      </w:pPr>
      <w:r>
        <w:t>Notes: TTopic</w:t>
      </w:r>
    </w:p>
    <w:p w:rsidR="000C2272" w:rsidRDefault="000C2272" w:rsidP="000C2272">
      <w:pPr>
        <w:pStyle w:val="a0"/>
      </w:pPr>
      <w:r>
        <w:t xml:space="preserve">? Bandettini, P. (2007), Functional MRI today. </w:t>
      </w:r>
      <w:r>
        <w:rPr>
          <w:i/>
          <w:iCs/>
        </w:rPr>
        <w:t>International Journal of Psychophysiology</w:t>
      </w:r>
      <w:r>
        <w:t xml:space="preserve">, </w:t>
      </w:r>
      <w:r>
        <w:rPr>
          <w:b/>
          <w:bCs/>
        </w:rPr>
        <w:t>63</w:t>
      </w:r>
      <w:r>
        <w:t xml:space="preserve"> (2), 138-145.</w:t>
      </w:r>
    </w:p>
    <w:p w:rsidR="000C2272" w:rsidRDefault="000C2272" w:rsidP="000C2272">
      <w:pPr>
        <w:pStyle w:val="a0"/>
      </w:pPr>
      <w:r>
        <w:t xml:space="preserve">Full Text: </w:t>
      </w:r>
      <w:hyperlink r:id="rId2057" w:history="1">
        <w:r>
          <w:rPr>
            <w:rStyle w:val="a5"/>
          </w:rPr>
          <w:t>2007\Int J Psy63, 138.pdf</w:t>
        </w:r>
      </w:hyperlink>
    </w:p>
    <w:p w:rsidR="000C2272" w:rsidRDefault="000C2272" w:rsidP="000C2272">
      <w:pPr>
        <w:pStyle w:val="a0"/>
      </w:pPr>
      <w:r>
        <w:t>Abstract: Most brain imaging researchers would agree with the assertion that functional MRI (fMRI) is progressing. Since fMRI began in 1991, the number of people, papers,</w:t>
      </w:r>
      <w:r w:rsidR="00F81221">
        <w:t xml:space="preserve"> and </w:t>
      </w:r>
      <w:r>
        <w:t>abstracts related to fMRI has been increasing; the technology</w:t>
      </w:r>
      <w:r w:rsidR="00F81221">
        <w:t xml:space="preserve"> and </w:t>
      </w:r>
      <w:r>
        <w:t>methodology has shown advances in robustness</w:t>
      </w:r>
      <w:r w:rsidR="00F81221">
        <w:t xml:space="preserve"> and </w:t>
      </w:r>
      <w:r>
        <w:t>sophistication; the physiology of the signal is better understood; and, even though it hasn</w:t>
      </w:r>
      <w:r w:rsidR="000352E7">
        <w:t>’</w:t>
      </w:r>
      <w:r>
        <w:t>t yet made significant headway into the clinical setting, applications are widening. Questions that stem from this optimistic</w:t>
      </w:r>
      <w:r w:rsidR="00F81221">
        <w:t xml:space="preserve"> and </w:t>
      </w:r>
      <w:r>
        <w:t>perhaps overly general set of observations include those that ask what the ultimate theoretical</w:t>
      </w:r>
      <w:r w:rsidR="00F81221">
        <w:t xml:space="preserve"> and </w:t>
      </w:r>
      <w:r>
        <w:t>practical limits of fMRI are</w:t>
      </w:r>
      <w:r w:rsidR="00F81221">
        <w:t xml:space="preserve"> and </w:t>
      </w:r>
      <w:r>
        <w:t>how close are we to approaching these limits. In this commentary, I attempt to provide a snapshot of fMRI as it exists at the end of 2005,</w:t>
      </w:r>
      <w:r w:rsidR="00F81221">
        <w:t xml:space="preserve"> and </w:t>
      </w:r>
      <w:r>
        <w:t xml:space="preserve">to give a clear impression that not only are we progressing by </w:t>
      </w:r>
      <w:r w:rsidR="000352E7">
        <w:t>“</w:t>
      </w:r>
      <w:r>
        <w:t>dotting the i</w:t>
      </w:r>
      <w:r w:rsidR="000352E7">
        <w:t>’</w:t>
      </w:r>
      <w:r>
        <w:t>s</w:t>
      </w:r>
      <w:r w:rsidR="00F81221">
        <w:t xml:space="preserve"> and </w:t>
      </w:r>
      <w:r>
        <w:t>crossing the t</w:t>
      </w:r>
      <w:r w:rsidR="000352E7">
        <w:t>’</w:t>
      </w:r>
      <w:r>
        <w:t>s</w:t>
      </w:r>
      <w:r w:rsidR="000352E7">
        <w:t>”</w:t>
      </w:r>
      <w:r>
        <w:t xml:space="preserve"> but that fundamental changes in fMRI methodology</w:t>
      </w:r>
      <w:r w:rsidR="00F81221">
        <w:t xml:space="preserve"> and </w:t>
      </w:r>
      <w:r>
        <w:t>processing are being put forth as the field matures. Published by Elsevier B.V.</w:t>
      </w:r>
    </w:p>
    <w:p w:rsidR="000C2272" w:rsidRDefault="000C2272" w:rsidP="000C2272">
      <w:pPr>
        <w:pStyle w:val="a0"/>
      </w:pPr>
      <w:r>
        <w:t>Keywords: Advances, Brain, Changes, Clinical, Crossing, Field, General, Methodology, MRI, Papers, Physiology, Robustness, Technology</w:t>
      </w:r>
    </w:p>
    <w:p w:rsidR="0084232B" w:rsidRPr="001A3D2B" w:rsidRDefault="0084232B" w:rsidP="0084232B">
      <w:pPr>
        <w:pStyle w:val="1"/>
      </w:pPr>
      <w:r w:rsidRPr="001A3D2B">
        <w:rPr>
          <w:lang w:val="fr-FR"/>
        </w:rPr>
        <w:br w:type="page"/>
      </w:r>
      <w:bookmarkStart w:id="1477" w:name="_Toc317161363"/>
      <w:r w:rsidRPr="001A3D2B">
        <w:lastRenderedPageBreak/>
        <w:t xml:space="preserve">Title: </w:t>
      </w:r>
      <w:r w:rsidRPr="00872650">
        <w:rPr>
          <w:iCs/>
        </w:rPr>
        <w:t>International Journal of Public Health</w:t>
      </w:r>
      <w:bookmarkEnd w:id="1477"/>
    </w:p>
    <w:p w:rsidR="0084232B" w:rsidRPr="001A3D2B" w:rsidRDefault="0084232B" w:rsidP="0084232B">
      <w:pPr>
        <w:pStyle w:val="12"/>
      </w:pPr>
      <w:r w:rsidRPr="001A3D2B">
        <w:t xml:space="preserve">Full Journal Title: </w:t>
      </w:r>
      <w:r w:rsidRPr="00872650">
        <w:rPr>
          <w:iCs/>
        </w:rPr>
        <w:t>International Journal of Public Health</w:t>
      </w:r>
    </w:p>
    <w:p w:rsidR="0084232B" w:rsidRPr="001A3D2B" w:rsidRDefault="0084232B" w:rsidP="0084232B">
      <w:pPr>
        <w:pStyle w:val="12"/>
      </w:pPr>
      <w:r w:rsidRPr="001A3D2B">
        <w:t xml:space="preserve">ISO Abbreviated Title: </w:t>
      </w:r>
    </w:p>
    <w:p w:rsidR="0084232B" w:rsidRPr="001A3D2B" w:rsidRDefault="0084232B" w:rsidP="0084232B">
      <w:pPr>
        <w:pStyle w:val="12"/>
      </w:pPr>
      <w:r w:rsidRPr="001A3D2B">
        <w:t xml:space="preserve">JCR Abbreviated Title: </w:t>
      </w:r>
    </w:p>
    <w:p w:rsidR="0084232B" w:rsidRPr="001A3D2B" w:rsidRDefault="0084232B" w:rsidP="0084232B">
      <w:pPr>
        <w:pStyle w:val="12"/>
      </w:pPr>
      <w:r w:rsidRPr="001A3D2B">
        <w:t xml:space="preserve">ISSN: </w:t>
      </w:r>
    </w:p>
    <w:p w:rsidR="0084232B" w:rsidRPr="001A3D2B" w:rsidRDefault="0084232B" w:rsidP="0084232B">
      <w:pPr>
        <w:pStyle w:val="12"/>
      </w:pPr>
      <w:r w:rsidRPr="001A3D2B">
        <w:t xml:space="preserve">Issues/Year: </w:t>
      </w:r>
    </w:p>
    <w:p w:rsidR="0084232B" w:rsidRPr="001A3D2B" w:rsidRDefault="0084232B" w:rsidP="0084232B">
      <w:pPr>
        <w:pStyle w:val="12"/>
      </w:pPr>
      <w:r w:rsidRPr="001A3D2B">
        <w:t>Journal Country/Territory:</w:t>
      </w:r>
    </w:p>
    <w:p w:rsidR="0084232B" w:rsidRPr="001A3D2B" w:rsidRDefault="0084232B" w:rsidP="0084232B">
      <w:pPr>
        <w:pStyle w:val="12"/>
      </w:pPr>
      <w:r w:rsidRPr="001A3D2B">
        <w:t xml:space="preserve">Language: </w:t>
      </w:r>
    </w:p>
    <w:p w:rsidR="0084232B" w:rsidRPr="001A3D2B" w:rsidRDefault="0084232B" w:rsidP="0084232B">
      <w:pPr>
        <w:pStyle w:val="12"/>
      </w:pPr>
      <w:r w:rsidRPr="001A3D2B">
        <w:t xml:space="preserve">Publisher: </w:t>
      </w:r>
    </w:p>
    <w:p w:rsidR="0084232B" w:rsidRPr="001A3D2B" w:rsidRDefault="0084232B" w:rsidP="0084232B">
      <w:pPr>
        <w:pStyle w:val="12"/>
      </w:pPr>
      <w:r w:rsidRPr="001A3D2B">
        <w:t xml:space="preserve">Publisher Address: </w:t>
      </w:r>
    </w:p>
    <w:p w:rsidR="0084232B" w:rsidRPr="001A3D2B" w:rsidRDefault="0084232B" w:rsidP="0084232B">
      <w:pPr>
        <w:pStyle w:val="12"/>
      </w:pPr>
      <w:r w:rsidRPr="001A3D2B">
        <w:t>Subject Categories:</w:t>
      </w:r>
    </w:p>
    <w:p w:rsidR="0084232B" w:rsidRPr="001A3D2B" w:rsidRDefault="0084232B" w:rsidP="0084232B">
      <w:pPr>
        <w:pStyle w:val="12"/>
      </w:pPr>
      <w:r w:rsidRPr="001A3D2B">
        <w:t>Impact Factor</w:t>
      </w:r>
    </w:p>
    <w:p w:rsidR="0084232B" w:rsidRDefault="0084232B" w:rsidP="0084232B">
      <w:pPr>
        <w:pStyle w:val="a0"/>
        <w:rPr>
          <w:kern w:val="0"/>
        </w:rPr>
      </w:pPr>
      <w:r>
        <w:rPr>
          <w:rFonts w:hint="eastAsia"/>
          <w:kern w:val="0"/>
        </w:rPr>
        <w:t xml:space="preserve">? </w:t>
      </w:r>
      <w:r>
        <w:rPr>
          <w:kern w:val="0"/>
        </w:rPr>
        <w:t>Goodman, P.G., Haw, S., Kabir, Z.</w:t>
      </w:r>
      <w:r w:rsidR="00F81221">
        <w:rPr>
          <w:kern w:val="0"/>
        </w:rPr>
        <w:t xml:space="preserve"> and </w:t>
      </w:r>
      <w:r>
        <w:rPr>
          <w:kern w:val="0"/>
        </w:rPr>
        <w:t xml:space="preserve">Clancy, L. (2009), Are there health benefits associated with comprehensive smoke-free laws. </w:t>
      </w:r>
      <w:r w:rsidRPr="00872650">
        <w:rPr>
          <w:i/>
          <w:iCs/>
          <w:kern w:val="0"/>
        </w:rPr>
        <w:t>International Journal of Public Health</w:t>
      </w:r>
      <w:r>
        <w:rPr>
          <w:kern w:val="0"/>
        </w:rPr>
        <w:t xml:space="preserve">, </w:t>
      </w:r>
      <w:r>
        <w:rPr>
          <w:b/>
          <w:bCs/>
          <w:kern w:val="0"/>
        </w:rPr>
        <w:t>54</w:t>
      </w:r>
      <w:r>
        <w:rPr>
          <w:kern w:val="0"/>
        </w:rPr>
        <w:t xml:space="preserve"> (6), 367-378.</w:t>
      </w:r>
    </w:p>
    <w:p w:rsidR="0084232B" w:rsidRDefault="0084232B" w:rsidP="0084232B">
      <w:pPr>
        <w:pStyle w:val="a0"/>
        <w:rPr>
          <w:kern w:val="0"/>
        </w:rPr>
      </w:pPr>
      <w:r>
        <w:rPr>
          <w:kern w:val="0"/>
        </w:rPr>
        <w:t>Abstract: In the past few years, comprehensive smoke-free laws that prohibit smoking in all workplaces have been introduced in many jurisdictions in the US, Canada,</w:t>
      </w:r>
      <w:r w:rsidR="00F81221">
        <w:rPr>
          <w:kern w:val="0"/>
        </w:rPr>
        <w:t xml:space="preserve"> and </w:t>
      </w:r>
      <w:r>
        <w:rPr>
          <w:kern w:val="0"/>
        </w:rPr>
        <w:t>Europe. In this paper, we review published studies to ascertain if there is any evidence of health benefits resulting from the implementation of these laws. All papers relating to smoke-free legislation published in or after 2004 were considered for inclusion in this review. We used PUBMED, Google scholar,</w:t>
      </w:r>
      <w:r w:rsidR="00F81221">
        <w:rPr>
          <w:kern w:val="0"/>
        </w:rPr>
        <w:t xml:space="preserve"> and </w:t>
      </w:r>
      <w:r>
        <w:rPr>
          <w:kern w:val="0"/>
        </w:rPr>
        <w:t>Web of Science as the main search tools. The primary focus of the paper is on health outcomes,</w:t>
      </w:r>
      <w:r w:rsidR="00F81221">
        <w:rPr>
          <w:kern w:val="0"/>
        </w:rPr>
        <w:t xml:space="preserve"> and </w:t>
      </w:r>
      <w:r>
        <w:rPr>
          <w:kern w:val="0"/>
        </w:rPr>
        <w:t>thus many papers that only report exposure data are not included. Studies using subjective measures of respiratory health based on questionnaire data alone consistently reported that workers experience fewer respiratory</w:t>
      </w:r>
      <w:r w:rsidR="00F81221">
        <w:rPr>
          <w:kern w:val="0"/>
        </w:rPr>
        <w:t xml:space="preserve"> and </w:t>
      </w:r>
      <w:r>
        <w:rPr>
          <w:kern w:val="0"/>
        </w:rPr>
        <w:t>irritant symptoms following the introduction of smoke-free laws. Some studies also found measured improvements in the lung function of workers. However, the most dramatic health outcome associated with smoke-free laws has been the reduction in myocardial infarction in the general population. This outcome has been observed in the US, Canada,</w:t>
      </w:r>
      <w:r w:rsidR="00F81221">
        <w:rPr>
          <w:kern w:val="0"/>
        </w:rPr>
        <w:t xml:space="preserve"> and </w:t>
      </w:r>
      <w:r>
        <w:rPr>
          <w:kern w:val="0"/>
        </w:rPr>
        <w:t>Europe, with studies reporting reductions of between 6</w:t>
      </w:r>
      <w:r w:rsidR="00F81221">
        <w:rPr>
          <w:kern w:val="0"/>
        </w:rPr>
        <w:t xml:space="preserve"> and </w:t>
      </w:r>
      <w:r>
        <w:rPr>
          <w:kern w:val="0"/>
        </w:rPr>
        <w:t>40%, post-legislation, the larger reductions being mostly from studies with smaller population groups. The evidence as to whether these smoke-free laws have helped smokers to stop smoking or to reduce tobacco consumption is less clear. There is now significant body of published literature that demonstrates that smoke-free laws can lead to improvements in the health of both workers who are occupationally exposed</w:t>
      </w:r>
      <w:r w:rsidR="00F81221">
        <w:rPr>
          <w:kern w:val="0"/>
        </w:rPr>
        <w:t xml:space="preserve"> and </w:t>
      </w:r>
      <w:r>
        <w:rPr>
          <w:kern w:val="0"/>
        </w:rPr>
        <w:t xml:space="preserve">of the general population. There is no longer any reason why non-smokers should be exposed to SHS in any workplace. We recommend that all </w:t>
      </w:r>
      <w:r>
        <w:rPr>
          <w:kern w:val="0"/>
        </w:rPr>
        <w:lastRenderedPageBreak/>
        <w:t>countries adopt national smoke-free laws that are in line with article 8 of the WHO Framework Convention on Tobacco Control that sets out recommendations for the development, implementation,</w:t>
      </w:r>
      <w:r w:rsidR="00F81221">
        <w:rPr>
          <w:kern w:val="0"/>
        </w:rPr>
        <w:t xml:space="preserve"> and </w:t>
      </w:r>
      <w:r>
        <w:rPr>
          <w:kern w:val="0"/>
        </w:rPr>
        <w:t>enforcement of national, comprehensive smoke-free laws.</w:t>
      </w:r>
    </w:p>
    <w:p w:rsidR="0084232B" w:rsidRDefault="0084232B" w:rsidP="0084232B">
      <w:pPr>
        <w:pStyle w:val="a0"/>
        <w:rPr>
          <w:kern w:val="0"/>
        </w:rPr>
      </w:pPr>
      <w:r>
        <w:rPr>
          <w:kern w:val="0"/>
        </w:rPr>
        <w:t>Keywords: 2nd-Hand Smoke, Acute Myocardial-Infarction, Bar Workers, Canada, Coronary-Heart-Disease, Cross-Sectional Survey, Development, Environmental Tobacco-Smoke, Europe, Free Workplace Legislation, Google Scholar, Health Benefits, Health Outcomes, Lead, Literature, Myocardial Infarction, Outcome, Outcomes, Papers, Particulate Air-Pollution, Primary, Public Places, Questionnaire, Review, Science, Secondhand Smoke, Smoke-Free Laws, Smoking, Smoking Policies, Symptoms, Tobacco, Tobacco Consumption, US, Web of Science, WHO</w:t>
      </w:r>
    </w:p>
    <w:p w:rsidR="00B95188" w:rsidRPr="00A428C3" w:rsidRDefault="00B95188" w:rsidP="00B95188">
      <w:pPr>
        <w:pStyle w:val="1"/>
      </w:pPr>
      <w:r w:rsidRPr="00A428C3">
        <w:br w:type="page"/>
      </w:r>
      <w:bookmarkStart w:id="1478" w:name="_Toc487192731"/>
      <w:bookmarkStart w:id="1479" w:name="_Toc489709764"/>
      <w:bookmarkStart w:id="1480" w:name="_Toc490688074"/>
      <w:bookmarkStart w:id="1481" w:name="_Toc492812187"/>
      <w:bookmarkStart w:id="1482" w:name="_Toc186647950"/>
      <w:bookmarkStart w:id="1483" w:name="_Toc317161364"/>
      <w:r w:rsidRPr="00A428C3">
        <w:lastRenderedPageBreak/>
        <w:t>Title: International Journal of Public Sector Management</w:t>
      </w:r>
      <w:bookmarkEnd w:id="1478"/>
      <w:bookmarkEnd w:id="1479"/>
      <w:bookmarkEnd w:id="1480"/>
      <w:bookmarkEnd w:id="1481"/>
      <w:bookmarkEnd w:id="1482"/>
      <w:bookmarkEnd w:id="1483"/>
    </w:p>
    <w:p w:rsidR="00B95188" w:rsidRPr="00A428C3" w:rsidRDefault="00B95188" w:rsidP="00B72EF9">
      <w:pPr>
        <w:pStyle w:val="12"/>
      </w:pPr>
      <w:r w:rsidRPr="00A428C3">
        <w:t>Full Journal Title: International Journal of Public Sector Management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Larbi G.A. (1998), Contracting-out in public health</w:t>
      </w:r>
      <w:r w:rsidR="00F81221">
        <w:t xml:space="preserve"> and </w:t>
      </w:r>
      <w:r w:rsidRPr="00A428C3">
        <w:t xml:space="preserve">water services in </w:t>
      </w:r>
      <w:smartTag w:uri="urn:schemas-microsoft-com:office:smarttags" w:element="place">
        <w:smartTag w:uri="urn:schemas-microsoft-com:office:smarttags" w:element="country-region">
          <w:r w:rsidRPr="00A428C3">
            <w:t>Ghana</w:t>
          </w:r>
        </w:smartTag>
      </w:smartTag>
      <w:r w:rsidRPr="00A428C3">
        <w:t xml:space="preserve">. </w:t>
      </w:r>
      <w:r w:rsidRPr="00A428C3">
        <w:rPr>
          <w:i/>
        </w:rPr>
        <w:t>International Journal of Public Sector Management</w:t>
      </w:r>
      <w:r w:rsidRPr="00A428C3">
        <w:t xml:space="preserve">, </w:t>
      </w:r>
      <w:r w:rsidRPr="00A428C3">
        <w:rPr>
          <w:b/>
        </w:rPr>
        <w:t>11</w:t>
      </w:r>
      <w:r w:rsidRPr="00A428C3">
        <w:t xml:space="preserve"> (23), 154-163.</w:t>
      </w:r>
    </w:p>
    <w:p w:rsidR="00B95188" w:rsidRPr="00A428C3" w:rsidRDefault="00B95188" w:rsidP="00B95188">
      <w:pPr>
        <w:pStyle w:val="a0"/>
      </w:pPr>
      <w:r w:rsidRPr="00A428C3">
        <w:t>Abstract: This article examines contracting-out in practice in public health</w:t>
      </w:r>
      <w:r w:rsidR="00F81221">
        <w:t xml:space="preserve"> and </w:t>
      </w:r>
      <w:r w:rsidRPr="00A428C3">
        <w:t xml:space="preserve">water services in </w:t>
      </w:r>
      <w:smartTag w:uri="urn:schemas-microsoft-com:office:smarttags" w:element="place">
        <w:smartTag w:uri="urn:schemas-microsoft-com:office:smarttags" w:element="country-region">
          <w:r w:rsidRPr="00A428C3">
            <w:t>Ghana</w:t>
          </w:r>
        </w:smartTag>
      </w:smartTag>
      <w:r w:rsidRPr="00A428C3">
        <w:t>. Drawing on in-depth interviews</w:t>
      </w:r>
      <w:r w:rsidR="00F81221">
        <w:t xml:space="preserve"> and </w:t>
      </w:r>
      <w:r w:rsidRPr="00A428C3">
        <w:t>discussions with knowledgeable officials, complemented by documentary analysis</w:t>
      </w:r>
      <w:r w:rsidR="00F81221">
        <w:t xml:space="preserve"> and </w:t>
      </w:r>
      <w:r w:rsidRPr="00A428C3">
        <w:t>secondary sources, the article provides insights into some of the institutional constraints</w:t>
      </w:r>
      <w:r w:rsidR="00F81221">
        <w:t xml:space="preserve"> and </w:t>
      </w:r>
      <w:r w:rsidRPr="00A428C3">
        <w:t>capacity issues that policy-makers</w:t>
      </w:r>
      <w:r w:rsidR="00F81221">
        <w:t xml:space="preserve"> and </w:t>
      </w:r>
      <w:r w:rsidRPr="00A428C3">
        <w:t>implementers need to be aware of in seeking to introduce</w:t>
      </w:r>
      <w:r w:rsidR="00F81221">
        <w:t xml:space="preserve"> and </w:t>
      </w:r>
      <w:r w:rsidRPr="00A428C3">
        <w:t>implement contracting-out policies in a developing country context. Though contracting-out in Ghana</w:t>
      </w:r>
      <w:r w:rsidR="000352E7">
        <w:t>’</w:t>
      </w:r>
      <w:r w:rsidRPr="00A428C3">
        <w:t>s health</w:t>
      </w:r>
      <w:r w:rsidR="00F81221">
        <w:t xml:space="preserve"> and </w:t>
      </w:r>
      <w:r w:rsidRPr="00A428C3">
        <w:t>water sectors has so far been used in the provision of support services, attempts to broaden its application to include the direct provision of core services raise a number of capacity questions related to regulatory frameworks, enforcement</w:t>
      </w:r>
      <w:r w:rsidR="00F81221">
        <w:t xml:space="preserve"> and </w:t>
      </w:r>
      <w:r w:rsidRPr="00A428C3">
        <w:t>monitoring mechanisms, development of management information systems</w:t>
      </w:r>
      <w:r w:rsidR="00F81221">
        <w:t xml:space="preserve"> and </w:t>
      </w:r>
      <w:r w:rsidRPr="00A428C3">
        <w:t>skills for contract management. The capacity</w:t>
      </w:r>
      <w:r w:rsidR="00F81221">
        <w:t xml:space="preserve"> and </w:t>
      </w:r>
      <w:r w:rsidRPr="00A428C3">
        <w:t>willingness of the private sector to take on direct provision of public services are also crucial.</w:t>
      </w:r>
    </w:p>
    <w:p w:rsidR="00B95188" w:rsidRPr="00A428C3" w:rsidRDefault="00B95188" w:rsidP="00B95188">
      <w:pPr>
        <w:pStyle w:val="a0"/>
      </w:pPr>
      <w:r w:rsidRPr="00A428C3">
        <w:t xml:space="preserve">Keywords: </w:t>
      </w:r>
      <w:smartTag w:uri="urn:schemas-microsoft-com:office:smarttags" w:element="place">
        <w:smartTag w:uri="urn:schemas-microsoft-com:office:smarttags" w:element="City">
          <w:r w:rsidRPr="00A428C3">
            <w:t>Contracting-Out</w:t>
          </w:r>
        </w:smartTag>
        <w:r w:rsidRPr="00A428C3">
          <w:t xml:space="preserve">, </w:t>
        </w:r>
        <w:smartTag w:uri="urn:schemas-microsoft-com:office:smarttags" w:element="country-region">
          <w:r w:rsidRPr="00A428C3">
            <w:t>Ghana</w:t>
          </w:r>
        </w:smartTag>
      </w:smartTag>
      <w:r w:rsidRPr="00A428C3">
        <w:t>, Health Service, Water Industry</w:t>
      </w:r>
    </w:p>
    <w:p w:rsidR="002A224C" w:rsidRDefault="002A224C" w:rsidP="002A224C">
      <w:pPr>
        <w:pStyle w:val="1"/>
      </w:pPr>
      <w:r w:rsidRPr="00F7056F">
        <w:rPr>
          <w:lang w:val="fr-FR"/>
        </w:rPr>
        <w:br w:type="page"/>
      </w:r>
      <w:bookmarkStart w:id="1484" w:name="_Toc234328560"/>
      <w:bookmarkStart w:id="1485" w:name="_Toc317161365"/>
      <w:r>
        <w:lastRenderedPageBreak/>
        <w:t>Title: International Journal for Quality in Health Care</w:t>
      </w:r>
      <w:bookmarkEnd w:id="1484"/>
      <w:bookmarkEnd w:id="1485"/>
    </w:p>
    <w:p w:rsidR="002A224C" w:rsidRDefault="002A224C" w:rsidP="00B72EF9">
      <w:pPr>
        <w:pStyle w:val="12"/>
      </w:pPr>
      <w:r w:rsidRPr="003C172D">
        <w:t xml:space="preserve">Full Journal Title: </w:t>
      </w:r>
      <w:hyperlink r:id="rId2058" w:history="1">
        <w:r w:rsidRPr="00EF3C0E">
          <w:rPr>
            <w:rStyle w:val="a5"/>
          </w:rPr>
          <w:t>International Journal for Quality in Health Care</w:t>
        </w:r>
      </w:hyperlink>
    </w:p>
    <w:p w:rsidR="002A224C" w:rsidRPr="003C172D" w:rsidRDefault="002A224C" w:rsidP="00B72EF9">
      <w:pPr>
        <w:pStyle w:val="12"/>
      </w:pPr>
      <w:r w:rsidRPr="003C172D">
        <w:t xml:space="preserve">ISO Abbreviated Title: </w:t>
      </w:r>
    </w:p>
    <w:p w:rsidR="002A224C" w:rsidRPr="003C172D" w:rsidRDefault="002A224C" w:rsidP="00B72EF9">
      <w:pPr>
        <w:pStyle w:val="12"/>
      </w:pPr>
      <w:r w:rsidRPr="003C172D">
        <w:t>JCR Abbreviated Title</w:t>
      </w:r>
      <w:r>
        <w:t>:</w:t>
      </w:r>
      <w:r w:rsidRPr="003C172D">
        <w:t xml:space="preserve"> </w:t>
      </w:r>
    </w:p>
    <w:p w:rsidR="002A224C" w:rsidRPr="003C172D" w:rsidRDefault="002A224C" w:rsidP="00B72EF9">
      <w:pPr>
        <w:pStyle w:val="12"/>
      </w:pPr>
      <w:r w:rsidRPr="003C172D">
        <w:t xml:space="preserve">ISSN: </w:t>
      </w:r>
    </w:p>
    <w:p w:rsidR="002A224C" w:rsidRPr="003C172D" w:rsidRDefault="002A224C" w:rsidP="00B72EF9">
      <w:pPr>
        <w:pStyle w:val="12"/>
      </w:pPr>
      <w:r w:rsidRPr="003C172D">
        <w:t xml:space="preserve">Issues/Year: </w:t>
      </w:r>
    </w:p>
    <w:p w:rsidR="002A224C" w:rsidRPr="003C172D" w:rsidRDefault="002A224C" w:rsidP="00B72EF9">
      <w:pPr>
        <w:pStyle w:val="12"/>
      </w:pPr>
      <w:r w:rsidRPr="003C172D">
        <w:t>Journal Country/Territory:</w:t>
      </w:r>
    </w:p>
    <w:p w:rsidR="002A224C" w:rsidRPr="003C172D" w:rsidRDefault="002A224C" w:rsidP="00B72EF9">
      <w:pPr>
        <w:pStyle w:val="12"/>
      </w:pPr>
      <w:r w:rsidRPr="003C172D">
        <w:t xml:space="preserve">Language: </w:t>
      </w:r>
    </w:p>
    <w:p w:rsidR="002A224C" w:rsidRPr="003C172D" w:rsidRDefault="002A224C" w:rsidP="00B72EF9">
      <w:pPr>
        <w:pStyle w:val="12"/>
      </w:pPr>
      <w:r w:rsidRPr="003C172D">
        <w:t xml:space="preserve">Publisher: </w:t>
      </w:r>
    </w:p>
    <w:p w:rsidR="002A224C" w:rsidRPr="003C172D" w:rsidRDefault="002A224C" w:rsidP="00B72EF9">
      <w:pPr>
        <w:pStyle w:val="12"/>
      </w:pPr>
      <w:r w:rsidRPr="003C172D">
        <w:t xml:space="preserve">Publisher Address: </w:t>
      </w:r>
    </w:p>
    <w:p w:rsidR="002A224C" w:rsidRPr="003C172D" w:rsidRDefault="002A224C" w:rsidP="00B72EF9">
      <w:pPr>
        <w:pStyle w:val="12"/>
      </w:pPr>
      <w:r w:rsidRPr="003C172D">
        <w:t>Subject Categories:</w:t>
      </w:r>
    </w:p>
    <w:p w:rsidR="002A224C" w:rsidRPr="003C172D" w:rsidRDefault="002A224C" w:rsidP="00B72EF9">
      <w:pPr>
        <w:pStyle w:val="12"/>
      </w:pPr>
      <w:r w:rsidRPr="003C172D">
        <w:t>Impact Factor</w:t>
      </w:r>
    </w:p>
    <w:p w:rsidR="002A224C" w:rsidRDefault="002A224C" w:rsidP="002A224C">
      <w:pPr>
        <w:pStyle w:val="a0"/>
      </w:pPr>
      <w:r>
        <w:rPr>
          <w:rFonts w:hint="eastAsia"/>
        </w:rPr>
        <w:t xml:space="preserve">? </w:t>
      </w:r>
      <w:r>
        <w:t>Walshe</w:t>
      </w:r>
      <w:r>
        <w:rPr>
          <w:rFonts w:hint="eastAsia"/>
        </w:rPr>
        <w:t>,</w:t>
      </w:r>
      <w:r>
        <w:t xml:space="preserve"> K</w:t>
      </w:r>
      <w:r>
        <w:rPr>
          <w:rFonts w:hint="eastAsia"/>
        </w:rPr>
        <w:t>.</w:t>
      </w:r>
      <w:r>
        <w:t xml:space="preserve"> (</w:t>
      </w:r>
      <w:r>
        <w:rPr>
          <w:rFonts w:hint="eastAsia"/>
        </w:rPr>
        <w:t>2009</w:t>
      </w:r>
      <w:r>
        <w:t>), Pseudoinnovation: the development</w:t>
      </w:r>
      <w:r w:rsidR="00F81221">
        <w:t xml:space="preserve"> and </w:t>
      </w:r>
      <w:r>
        <w:t xml:space="preserve">spread of healthcare quality improvement methodologies. </w:t>
      </w:r>
      <w:r w:rsidRPr="00EF3C0E">
        <w:rPr>
          <w:i/>
          <w:iCs/>
        </w:rPr>
        <w:t>International Journal for Quality in Health Care</w:t>
      </w:r>
      <w:r>
        <w:t xml:space="preserve">, </w:t>
      </w:r>
      <w:r>
        <w:rPr>
          <w:rFonts w:hint="eastAsia"/>
          <w:b/>
        </w:rPr>
        <w:t>21</w:t>
      </w:r>
      <w:r>
        <w:t xml:space="preserve"> (</w:t>
      </w:r>
      <w:r>
        <w:rPr>
          <w:rFonts w:hint="eastAsia"/>
        </w:rPr>
        <w:t>3</w:t>
      </w:r>
      <w:r>
        <w:t>),</w:t>
      </w:r>
      <w:r>
        <w:rPr>
          <w:rFonts w:hint="eastAsia"/>
        </w:rPr>
        <w:t xml:space="preserve"> </w:t>
      </w:r>
      <w:r>
        <w:t>153-159.</w:t>
      </w:r>
    </w:p>
    <w:p w:rsidR="002A224C" w:rsidRDefault="002A224C" w:rsidP="002A224C">
      <w:pPr>
        <w:pStyle w:val="a0"/>
      </w:pPr>
      <w:r>
        <w:rPr>
          <w:rFonts w:hint="eastAsia"/>
        </w:rPr>
        <w:t xml:space="preserve">Full Text: </w:t>
      </w:r>
      <w:hyperlink r:id="rId2059" w:history="1"/>
      <w:hyperlink r:id="rId2060" w:history="1">
        <w:r w:rsidRPr="00EF3C0E">
          <w:rPr>
            <w:rStyle w:val="a5"/>
          </w:rPr>
          <w:t>2009\Int J Qua Hea Car21, 153.pdf</w:t>
        </w:r>
      </w:hyperlink>
    </w:p>
    <w:p w:rsidR="002A224C" w:rsidRDefault="002A224C" w:rsidP="002A224C">
      <w:pPr>
        <w:pStyle w:val="a0"/>
      </w:pPr>
      <w:r>
        <w:t>Abstract: Over the last two decades, we have seen the successive rise</w:t>
      </w:r>
      <w:r w:rsidR="00F81221">
        <w:t xml:space="preserve"> and </w:t>
      </w:r>
      <w:r>
        <w:t>fall of a number of concepts, ideas or methods in healthcare quality improvement (QI). Paradoxically, the content of many of these QI methodologies is very similar, though their presentation often seeks to differentiate or distinguish them.</w:t>
      </w:r>
    </w:p>
    <w:p w:rsidR="002A224C" w:rsidRDefault="002A224C" w:rsidP="002A224C">
      <w:pPr>
        <w:pStyle w:val="a0"/>
      </w:pPr>
      <w:r>
        <w:t>This paper sets out to explore the processes by which new QI methodologies are developed</w:t>
      </w:r>
      <w:r w:rsidR="00F81221">
        <w:t xml:space="preserve"> and </w:t>
      </w:r>
      <w:r>
        <w:t>disseminated</w:t>
      </w:r>
      <w:r w:rsidR="00F81221">
        <w:t xml:space="preserve"> and </w:t>
      </w:r>
      <w:r>
        <w:t>the impact this has on the effectiveness of QI programmes in healthcare organizations. It draws on both a bibliometric analysis of the QI literature over the period from 1988 to 2007</w:t>
      </w:r>
      <w:r w:rsidR="00F81221">
        <w:t xml:space="preserve"> and </w:t>
      </w:r>
      <w:r>
        <w:t>a review of the literature on the effectiveness of QI programmes</w:t>
      </w:r>
      <w:r w:rsidR="00F81221">
        <w:t xml:space="preserve"> and </w:t>
      </w:r>
      <w:r>
        <w:t>their evaluation.</w:t>
      </w:r>
    </w:p>
    <w:p w:rsidR="002A224C" w:rsidRDefault="002A224C" w:rsidP="002A224C">
      <w:pPr>
        <w:pStyle w:val="a0"/>
      </w:pPr>
      <w:r>
        <w:t>The repeated presentation of an essentially similar set of QI ideas</w:t>
      </w:r>
      <w:r w:rsidR="00F81221">
        <w:t xml:space="preserve"> and </w:t>
      </w:r>
      <w:r>
        <w:t>methods under different names</w:t>
      </w:r>
      <w:r w:rsidR="00F81221">
        <w:t xml:space="preserve"> and </w:t>
      </w:r>
      <w:r>
        <w:t xml:space="preserve">terminologies is a process of </w:t>
      </w:r>
      <w:r w:rsidR="000352E7">
        <w:t>‘</w:t>
      </w:r>
      <w:r>
        <w:t>pseudoinnovation</w:t>
      </w:r>
      <w:r w:rsidR="000352E7">
        <w:t>’</w:t>
      </w:r>
      <w:r>
        <w:t>, which may be driven by both the incentives for QI methodology developers</w:t>
      </w:r>
      <w:r w:rsidR="00F81221">
        <w:t xml:space="preserve"> and </w:t>
      </w:r>
      <w:r>
        <w:t>the demands</w:t>
      </w:r>
      <w:r w:rsidR="00F81221">
        <w:t xml:space="preserve"> and </w:t>
      </w:r>
      <w:r>
        <w:t>expectations of those responsible for QI in healthcare organizations. We argue that this process has important disbenefits because QI programmes need sustained</w:t>
      </w:r>
      <w:r w:rsidR="00F81221">
        <w:t xml:space="preserve"> and </w:t>
      </w:r>
      <w:r>
        <w:t>long-term investment</w:t>
      </w:r>
      <w:r w:rsidR="00F81221">
        <w:t xml:space="preserve"> and </w:t>
      </w:r>
      <w:r>
        <w:t>support in order to bring about significant improvements. The repeated redesign of QI programmes may have damaged or limited their effectiveness in many healthcare organizations.</w:t>
      </w:r>
    </w:p>
    <w:p w:rsidR="002A224C" w:rsidRDefault="002A224C" w:rsidP="002A224C">
      <w:pPr>
        <w:pStyle w:val="a0"/>
      </w:pPr>
      <w:r>
        <w:t>A more sceptical</w:t>
      </w:r>
      <w:r w:rsidR="00F81221">
        <w:t xml:space="preserve"> and </w:t>
      </w:r>
      <w:r>
        <w:t>scientifically rigorous approach to the development, evaluation</w:t>
      </w:r>
      <w:r w:rsidR="00F81221">
        <w:t xml:space="preserve"> and </w:t>
      </w:r>
      <w:r>
        <w:t>dissemination of QI methodologies is needed, in which a combination of theoretical, empirical</w:t>
      </w:r>
      <w:r w:rsidR="00F81221">
        <w:t xml:space="preserve"> and </w:t>
      </w:r>
      <w:r>
        <w:t>experiential evidence is used to guide</w:t>
      </w:r>
      <w:r w:rsidR="00F81221">
        <w:t xml:space="preserve"> and </w:t>
      </w:r>
      <w:r>
        <w:t xml:space="preserve">plan their uptake. Our expectations of the evidence base for QI methodologies should be on a par with </w:t>
      </w:r>
      <w:r>
        <w:lastRenderedPageBreak/>
        <w:t>our expectations in relation to other forms of healthcare interventions.</w:t>
      </w:r>
    </w:p>
    <w:p w:rsidR="002A224C" w:rsidRDefault="002A224C" w:rsidP="002A224C">
      <w:pPr>
        <w:pStyle w:val="a0"/>
      </w:pPr>
      <w:r>
        <w:t>Keywords: Quality Management, Measurement of Quality, General Methodology, Healthcare System, Clinical Governance, Management, NHS, Reorganization, Implementation, Innovations, Involvement, Diffusion, Progress, England</w:t>
      </w:r>
    </w:p>
    <w:p w:rsidR="00F709D3" w:rsidRDefault="00F709D3" w:rsidP="00F709D3">
      <w:pPr>
        <w:pStyle w:val="a0"/>
        <w:rPr>
          <w:kern w:val="0"/>
        </w:rPr>
      </w:pPr>
      <w:r>
        <w:rPr>
          <w:kern w:val="0"/>
        </w:rPr>
        <w:t>? Wafula, F.N.</w:t>
      </w:r>
      <w:r w:rsidR="00F81221">
        <w:rPr>
          <w:kern w:val="0"/>
        </w:rPr>
        <w:t xml:space="preserve"> and </w:t>
      </w:r>
      <w:r>
        <w:rPr>
          <w:kern w:val="0"/>
        </w:rPr>
        <w:t xml:space="preserve">Goodman, C.A. (2010), Are interventions for improving the quality of services provided by specialized drug shops effective in sub-Saharan Africa? A systematic review of the literature. </w:t>
      </w:r>
      <w:r>
        <w:rPr>
          <w:i/>
          <w:iCs/>
          <w:kern w:val="0"/>
        </w:rPr>
        <w:t>International Journal for Quality in Health Care</w:t>
      </w:r>
      <w:r>
        <w:rPr>
          <w:kern w:val="0"/>
        </w:rPr>
        <w:t xml:space="preserve">, </w:t>
      </w:r>
      <w:r>
        <w:rPr>
          <w:b/>
          <w:bCs/>
          <w:kern w:val="0"/>
        </w:rPr>
        <w:t>22</w:t>
      </w:r>
      <w:r>
        <w:rPr>
          <w:kern w:val="0"/>
        </w:rPr>
        <w:t xml:space="preserve"> (4), 316-323.</w:t>
      </w:r>
    </w:p>
    <w:p w:rsidR="00F709D3" w:rsidRDefault="00F709D3" w:rsidP="00F709D3">
      <w:pPr>
        <w:pStyle w:val="a0"/>
      </w:pPr>
      <w:r>
        <w:t>Full Text: 2010\Int J Qua Hea Car22, 316.pdf</w:t>
      </w:r>
    </w:p>
    <w:p w:rsidR="00F709D3" w:rsidRDefault="00F709D3" w:rsidP="00F709D3">
      <w:pPr>
        <w:pStyle w:val="a0"/>
        <w:rPr>
          <w:kern w:val="0"/>
        </w:rPr>
      </w:pPr>
      <w:r>
        <w:rPr>
          <w:kern w:val="0"/>
        </w:rPr>
        <w:t>Abstract: We set out to determine effectiveness of interventions for improving the quality of services provided by specialized drug shops in sub-Saharan Africa. We searched PUBMED, CAB Abstracts, Web of Science, PsycINFO</w:t>
      </w:r>
      <w:r w:rsidR="00F81221">
        <w:rPr>
          <w:kern w:val="0"/>
        </w:rPr>
        <w:t xml:space="preserve"> and </w:t>
      </w:r>
      <w:r>
        <w:rPr>
          <w:kern w:val="0"/>
        </w:rPr>
        <w:t>Eldis databases</w:t>
      </w:r>
      <w:r w:rsidR="00F81221">
        <w:rPr>
          <w:kern w:val="0"/>
        </w:rPr>
        <w:t xml:space="preserve"> and </w:t>
      </w:r>
      <w:r>
        <w:rPr>
          <w:kern w:val="0"/>
        </w:rPr>
        <w:t>websites for organizations such as WHO</w:t>
      </w:r>
      <w:r w:rsidR="00F81221">
        <w:rPr>
          <w:kern w:val="0"/>
        </w:rPr>
        <w:t xml:space="preserve"> and </w:t>
      </w:r>
      <w:r>
        <w:rPr>
          <w:kern w:val="0"/>
        </w:rPr>
        <w:t>Management Sciences for Health. Finally, we searched manually through the references of retrieved articles. Our search strategy included randomized trials, time-series studies</w:t>
      </w:r>
      <w:r w:rsidR="00F81221">
        <w:rPr>
          <w:kern w:val="0"/>
        </w:rPr>
        <w:t xml:space="preserve"> and </w:t>
      </w:r>
      <w:r>
        <w:rPr>
          <w:kern w:val="0"/>
        </w:rPr>
        <w:t>before</w:t>
      </w:r>
      <w:r w:rsidR="00F81221">
        <w:rPr>
          <w:kern w:val="0"/>
        </w:rPr>
        <w:t xml:space="preserve"> and </w:t>
      </w:r>
      <w:r>
        <w:rPr>
          <w:kern w:val="0"/>
        </w:rPr>
        <w:t>after studies evaluating six interventions; education, peer review, reorganizing administrative structures, incentives, regulation</w:t>
      </w:r>
      <w:r w:rsidR="00F81221">
        <w:rPr>
          <w:kern w:val="0"/>
        </w:rPr>
        <w:t xml:space="preserve"> and </w:t>
      </w:r>
      <w:r>
        <w:rPr>
          <w:kern w:val="0"/>
        </w:rPr>
        <w:t>legislation. We extracted information on design features, participants, interventions</w:t>
      </w:r>
      <w:r w:rsidR="00F81221">
        <w:rPr>
          <w:kern w:val="0"/>
        </w:rPr>
        <w:t xml:space="preserve"> and </w:t>
      </w:r>
      <w:r>
        <w:rPr>
          <w:kern w:val="0"/>
        </w:rPr>
        <w:t>outcomes assessed studies for methodological quality,</w:t>
      </w:r>
      <w:r w:rsidR="00F81221">
        <w:rPr>
          <w:kern w:val="0"/>
        </w:rPr>
        <w:t xml:space="preserve"> and </w:t>
      </w:r>
      <w:r>
        <w:rPr>
          <w:kern w:val="0"/>
        </w:rPr>
        <w:t>extracted results, all using uniform checklists. We obtained 10 studies, all implementing educational interventions. Outcome measures were heterogeneous</w:t>
      </w:r>
      <w:r w:rsidR="00F81221">
        <w:rPr>
          <w:kern w:val="0"/>
        </w:rPr>
        <w:t xml:space="preserve"> and </w:t>
      </w:r>
      <w:r>
        <w:rPr>
          <w:kern w:val="0"/>
        </w:rPr>
        <w:t>included knowledge, communication</w:t>
      </w:r>
      <w:r w:rsidR="00F81221">
        <w:rPr>
          <w:kern w:val="0"/>
        </w:rPr>
        <w:t xml:space="preserve"> and </w:t>
      </w:r>
      <w:r>
        <w:rPr>
          <w:kern w:val="0"/>
        </w:rPr>
        <w:t>dispensing practices. Education improved knowledge across studies, but gave mixed results on communication between sellers</w:t>
      </w:r>
      <w:r w:rsidR="00F81221">
        <w:rPr>
          <w:kern w:val="0"/>
        </w:rPr>
        <w:t xml:space="preserve"> and </w:t>
      </w:r>
      <w:r>
        <w:rPr>
          <w:kern w:val="0"/>
        </w:rPr>
        <w:t>clients, dispensing of appropriate treatments</w:t>
      </w:r>
      <w:r w:rsidR="00F81221">
        <w:rPr>
          <w:kern w:val="0"/>
        </w:rPr>
        <w:t xml:space="preserve"> and </w:t>
      </w:r>
      <w:r>
        <w:rPr>
          <w:kern w:val="0"/>
        </w:rPr>
        <w:t>referring of patients to health facilities. Profit incentives appeared to constrain behaviour change in certain instances, although cases of shops adopting practices at the expense of sales revenue were also reported. Evidence suggests that knowledge</w:t>
      </w:r>
      <w:r w:rsidR="00F81221">
        <w:rPr>
          <w:kern w:val="0"/>
        </w:rPr>
        <w:t xml:space="preserve"> and </w:t>
      </w:r>
      <w:r>
        <w:rPr>
          <w:kern w:val="0"/>
        </w:rPr>
        <w:t>practices of pharmacies</w:t>
      </w:r>
      <w:r w:rsidR="00F81221">
        <w:rPr>
          <w:kern w:val="0"/>
        </w:rPr>
        <w:t xml:space="preserve"> and </w:t>
      </w:r>
      <w:r>
        <w:rPr>
          <w:kern w:val="0"/>
        </w:rPr>
        <w:t>drug shops can be improved across a range of diseases</w:t>
      </w:r>
      <w:r w:rsidR="00F81221">
        <w:rPr>
          <w:kern w:val="0"/>
        </w:rPr>
        <w:t xml:space="preserve"> and </w:t>
      </w:r>
      <w:r>
        <w:rPr>
          <w:kern w:val="0"/>
        </w:rPr>
        <w:t>countries/regions, although variations were reported across studies. Profit incentives appear to bear some influence on the level of success of interventions. More work is required to extend the geographical base of evidence, investigate cost-effectiveness</w:t>
      </w:r>
      <w:r w:rsidR="00F81221">
        <w:rPr>
          <w:kern w:val="0"/>
        </w:rPr>
        <w:t xml:space="preserve"> and </w:t>
      </w:r>
      <w:r>
        <w:rPr>
          <w:kern w:val="0"/>
        </w:rPr>
        <w:t>evaluate sustainability of interventions over periods longer than 1 year.</w:t>
      </w:r>
    </w:p>
    <w:p w:rsidR="00F709D3" w:rsidRDefault="00F709D3" w:rsidP="00F709D3">
      <w:pPr>
        <w:pStyle w:val="a0"/>
        <w:rPr>
          <w:kern w:val="0"/>
        </w:rPr>
      </w:pPr>
      <w:r>
        <w:rPr>
          <w:kern w:val="0"/>
        </w:rPr>
        <w:t>Keywords: Africa, Behavior, Communication, Cost-Effectiveness, Databases, Developing Countries, Developing-Countries, Drug, Education, Effectiveness, Health, Incentives, Infections, Information, Interventions, Knowledge, Literature, Malaria, Management, Outcomes, Patient-Provider Communication, Peer Review, Peer-Review, Pharmacies, Pharmacy, Pharmacy Practice, Private Health-Care, Pubmed, Quality Improvement, Review, Science, Strategy, Sub-Saharan Africa, Success, Systematic, Systematic Review, Training, Web of Science, Websites, Who</w:t>
      </w:r>
    </w:p>
    <w:p w:rsidR="00F709D3" w:rsidRDefault="00F709D3" w:rsidP="00F709D3">
      <w:pPr>
        <w:pStyle w:val="a0"/>
        <w:rPr>
          <w:kern w:val="0"/>
        </w:rPr>
      </w:pPr>
      <w:r>
        <w:rPr>
          <w:kern w:val="0"/>
        </w:rPr>
        <w:lastRenderedPageBreak/>
        <w:t>? Pirkle, C.M., Dumont, A.</w:t>
      </w:r>
      <w:r w:rsidR="00F81221">
        <w:rPr>
          <w:kern w:val="0"/>
        </w:rPr>
        <w:t xml:space="preserve"> and </w:t>
      </w:r>
      <w:r>
        <w:rPr>
          <w:kern w:val="0"/>
        </w:rPr>
        <w:t>Zunzunegui, M.V. (2011), Criterion-based clinical audit to assess quality of obstetrical care in low-</w:t>
      </w:r>
      <w:r w:rsidR="00F81221">
        <w:rPr>
          <w:kern w:val="0"/>
        </w:rPr>
        <w:t xml:space="preserve"> and </w:t>
      </w:r>
      <w:r>
        <w:rPr>
          <w:kern w:val="0"/>
        </w:rPr>
        <w:t xml:space="preserve">middle-income countries: A systematic review. </w:t>
      </w:r>
      <w:r>
        <w:rPr>
          <w:i/>
          <w:iCs/>
          <w:kern w:val="0"/>
        </w:rPr>
        <w:t>International Journal for Quality in Health Care</w:t>
      </w:r>
      <w:r>
        <w:rPr>
          <w:kern w:val="0"/>
        </w:rPr>
        <w:t xml:space="preserve">, </w:t>
      </w:r>
      <w:r>
        <w:rPr>
          <w:b/>
          <w:bCs/>
          <w:kern w:val="0"/>
        </w:rPr>
        <w:t>23</w:t>
      </w:r>
      <w:r>
        <w:rPr>
          <w:kern w:val="0"/>
        </w:rPr>
        <w:t xml:space="preserve"> (4), 456-463.</w:t>
      </w:r>
    </w:p>
    <w:p w:rsidR="00F709D3" w:rsidRDefault="00F709D3" w:rsidP="00F709D3">
      <w:pPr>
        <w:pStyle w:val="a0"/>
      </w:pPr>
      <w:r>
        <w:t>Full Text: 2011\Int J Qua Hea Car23, 456.pdf</w:t>
      </w:r>
    </w:p>
    <w:p w:rsidR="00F709D3" w:rsidRDefault="00F709D3" w:rsidP="00F709D3">
      <w:pPr>
        <w:pStyle w:val="a0"/>
        <w:rPr>
          <w:kern w:val="0"/>
        </w:rPr>
      </w:pPr>
      <w:r>
        <w:rPr>
          <w:kern w:val="0"/>
        </w:rPr>
        <w:t>Abstract: Purpose. Low-quality obstetric care in low-and middle-income countries contributes to high in-hospital maternal mortality. Criterion-based clinical audits are increasingly used to measure</w:t>
      </w:r>
      <w:r w:rsidR="00F81221">
        <w:rPr>
          <w:kern w:val="0"/>
        </w:rPr>
        <w:t xml:space="preserve"> and </w:t>
      </w:r>
      <w:r>
        <w:rPr>
          <w:kern w:val="0"/>
        </w:rPr>
        <w:t>improve obstetric care in these settings. This article systematically reviews peer-reviewed literature to determine if these audits are feasible, valid</w:t>
      </w:r>
      <w:r w:rsidR="00F81221">
        <w:rPr>
          <w:kern w:val="0"/>
        </w:rPr>
        <w:t xml:space="preserve"> and </w:t>
      </w:r>
      <w:r>
        <w:rPr>
          <w:kern w:val="0"/>
        </w:rPr>
        <w:t>reliable measurement tools for assessing the quality of obstetric care. Data sources. PUBMED, Google Scholar</w:t>
      </w:r>
      <w:r w:rsidR="00F81221">
        <w:rPr>
          <w:kern w:val="0"/>
        </w:rPr>
        <w:t xml:space="preserve"> and </w:t>
      </w:r>
      <w:r>
        <w:rPr>
          <w:kern w:val="0"/>
        </w:rPr>
        <w:t>Web of Science databases were searched for peer-reviewed articles published between 1995</w:t>
      </w:r>
      <w:r w:rsidR="00F81221">
        <w:rPr>
          <w:kern w:val="0"/>
        </w:rPr>
        <w:t xml:space="preserve"> and </w:t>
      </w:r>
      <w:r>
        <w:rPr>
          <w:kern w:val="0"/>
        </w:rPr>
        <w:t>2009</w:t>
      </w:r>
      <w:r w:rsidR="00F81221">
        <w:rPr>
          <w:kern w:val="0"/>
        </w:rPr>
        <w:t xml:space="preserve"> and </w:t>
      </w:r>
      <w:r>
        <w:rPr>
          <w:kern w:val="0"/>
        </w:rPr>
        <w:t>which used criterion-based clinical audits to measure the quality of obstetric care in low-and middle-income countries. Study selection. Sixty-nine studies were identified by key terms</w:t>
      </w:r>
      <w:r w:rsidR="00F81221">
        <w:rPr>
          <w:kern w:val="0"/>
        </w:rPr>
        <w:t xml:space="preserve"> and </w:t>
      </w:r>
      <w:r>
        <w:rPr>
          <w:kern w:val="0"/>
        </w:rPr>
        <w:t>subsequently reviewed. Ten were retained based on inclusion/exclusion criteria. Data extraction. (i) General characteristics of the study; (ii) compliance with expected standards of care</w:t>
      </w:r>
      <w:r w:rsidR="00F81221">
        <w:rPr>
          <w:kern w:val="0"/>
        </w:rPr>
        <w:t xml:space="preserve"> and </w:t>
      </w:r>
      <w:r>
        <w:rPr>
          <w:kern w:val="0"/>
        </w:rPr>
        <w:t>on maternal/child health outcomes; (iii) selection of the study population</w:t>
      </w:r>
      <w:r w:rsidR="00F81221">
        <w:rPr>
          <w:kern w:val="0"/>
        </w:rPr>
        <w:t xml:space="preserve"> and </w:t>
      </w:r>
      <w:r>
        <w:rPr>
          <w:kern w:val="0"/>
        </w:rPr>
        <w:t>sampling methods;</w:t>
      </w:r>
      <w:r w:rsidR="00F81221">
        <w:rPr>
          <w:kern w:val="0"/>
        </w:rPr>
        <w:t xml:space="preserve"> and </w:t>
      </w:r>
      <w:r>
        <w:rPr>
          <w:kern w:val="0"/>
        </w:rPr>
        <w:t>(iv) quality control</w:t>
      </w:r>
      <w:r w:rsidR="00F81221">
        <w:rPr>
          <w:kern w:val="0"/>
        </w:rPr>
        <w:t xml:space="preserve"> and </w:t>
      </w:r>
      <w:r>
        <w:rPr>
          <w:kern w:val="0"/>
        </w:rPr>
        <w:t>reliability. Results of data synthesis. Criterion-based clinical audit is increasingly used in low-and middle-income countries. Most audits were conducted in sub-Saharan Africa. Studies had cross-sectional study or before-and-after designs. Sampling methods were poorly reported</w:t>
      </w:r>
      <w:r w:rsidR="00F81221">
        <w:rPr>
          <w:kern w:val="0"/>
        </w:rPr>
        <w:t xml:space="preserve"> and </w:t>
      </w:r>
      <w:r>
        <w:rPr>
          <w:kern w:val="0"/>
        </w:rPr>
        <w:t>selection bias was a concern. No studies compared audit against other measures of quality of care or against patient outcomes. Methods for quality control</w:t>
      </w:r>
      <w:r w:rsidR="00F81221">
        <w:rPr>
          <w:kern w:val="0"/>
        </w:rPr>
        <w:t xml:space="preserve"> and </w:t>
      </w:r>
      <w:r>
        <w:rPr>
          <w:kern w:val="0"/>
        </w:rPr>
        <w:t>assurance were generally not documented</w:t>
      </w:r>
      <w:r w:rsidR="00F81221">
        <w:rPr>
          <w:kern w:val="0"/>
        </w:rPr>
        <w:t xml:space="preserve"> and </w:t>
      </w:r>
      <w:r>
        <w:rPr>
          <w:kern w:val="0"/>
        </w:rPr>
        <w:t>reliability was mostly unaddressed. Conclusions. Criterion-based clinical audit appears feasible. No studies have rigorously evaluated its measurement properties in low-and middle-income countries. Without such evaluation, measurement properties of the audit remain under question.</w:t>
      </w:r>
    </w:p>
    <w:p w:rsidR="00F709D3" w:rsidRDefault="00F709D3" w:rsidP="00F709D3">
      <w:pPr>
        <w:pStyle w:val="a0"/>
        <w:rPr>
          <w:kern w:val="0"/>
        </w:rPr>
      </w:pPr>
      <w:r>
        <w:rPr>
          <w:kern w:val="0"/>
        </w:rPr>
        <w:t>Keywords: Africa, Bias, Compliance, Control, Criterion-Based Clinical Audit, Databases, Evaluation, Google Scholar, Health Outcomes, Literature, Low-</w:t>
      </w:r>
      <w:r w:rsidR="00F81221">
        <w:rPr>
          <w:kern w:val="0"/>
        </w:rPr>
        <w:t xml:space="preserve"> and </w:t>
      </w:r>
      <w:r>
        <w:rPr>
          <w:kern w:val="0"/>
        </w:rPr>
        <w:t>Middle-Income Countries, Management, Maternal Mortality, Maternal Mortality, Measurement, Methods, Mortality, Outcomes, Patient Outcomes, Quality Control, Quality of Care, Reliability, Review, Science, Selection Bias, Standards, Sub-Saharan Africa, Systematic, Systematic Review, Uganda, Web of Science</w:t>
      </w:r>
    </w:p>
    <w:p w:rsidR="00B95188" w:rsidRPr="00A428C3" w:rsidRDefault="002A224C" w:rsidP="002A224C">
      <w:pPr>
        <w:pStyle w:val="1"/>
      </w:pPr>
      <w:r w:rsidRPr="00F7056F">
        <w:rPr>
          <w:lang w:val="fr-FR"/>
        </w:rPr>
        <w:br w:type="page"/>
      </w:r>
      <w:bookmarkStart w:id="1486" w:name="_Toc186647951"/>
      <w:bookmarkStart w:id="1487" w:name="_Toc317161366"/>
      <w:r w:rsidR="00B95188" w:rsidRPr="00A428C3">
        <w:lastRenderedPageBreak/>
        <w:t>Title: International Journal of Quantum Chemistry</w:t>
      </w:r>
      <w:bookmarkEnd w:id="1486"/>
      <w:bookmarkEnd w:id="1487"/>
    </w:p>
    <w:p w:rsidR="00B95188" w:rsidRPr="00A428C3" w:rsidRDefault="00B95188" w:rsidP="00B72EF9">
      <w:pPr>
        <w:pStyle w:val="12"/>
      </w:pPr>
      <w:r w:rsidRPr="00A428C3">
        <w:t>Full Journal Title: International Journal of Quantum Chemistry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0020-7608</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Binkley, J.S.</w:t>
      </w:r>
      <w:r w:rsidR="00F81221">
        <w:t xml:space="preserve"> and </w:t>
      </w:r>
      <w:r w:rsidRPr="00A428C3">
        <w:t xml:space="preserve">Pople, J.A. (1975), Møller-Plesset theory for atomic ground-state energies. </w:t>
      </w:r>
      <w:r w:rsidRPr="00A428C3">
        <w:rPr>
          <w:i/>
        </w:rPr>
        <w:t>International Journal of Quantum Chemistry</w:t>
      </w:r>
      <w:r w:rsidRPr="00A428C3">
        <w:t xml:space="preserve">, </w:t>
      </w:r>
      <w:r w:rsidRPr="00A428C3">
        <w:rPr>
          <w:b/>
        </w:rPr>
        <w:t>9</w:t>
      </w:r>
      <w:r w:rsidRPr="00A428C3">
        <w:t xml:space="preserve"> (2), 229-236.</w:t>
      </w:r>
    </w:p>
    <w:p w:rsidR="00B95188" w:rsidRPr="00A428C3" w:rsidRDefault="00B95188" w:rsidP="00B95188">
      <w:pPr>
        <w:pStyle w:val="a0"/>
      </w:pPr>
      <w:r w:rsidRPr="00A428C3">
        <w:t xml:space="preserve">Full Text: </w:t>
      </w:r>
      <w:hyperlink r:id="rId2061" w:history="1">
        <w:r w:rsidRPr="00A428C3">
          <w:rPr>
            <w:rStyle w:val="a5"/>
          </w:rPr>
          <w:t>1960-80\Int J Qua Che9, 229.pdf</w:t>
        </w:r>
      </w:hyperlink>
    </w:p>
    <w:p w:rsidR="00B95188" w:rsidRPr="00A428C3" w:rsidRDefault="00B95188" w:rsidP="00B95188">
      <w:pPr>
        <w:pStyle w:val="a0"/>
      </w:pPr>
      <w:r w:rsidRPr="00A428C3">
        <w:t xml:space="preserve">Abstracts: Møller-Plesset theory, in which electron correlation energy is calculated by perturbation techniques, is used in second order to calculate energies of the ground states of atoms up to neon. The unrestricted Hartree-Fock </w:t>
      </w:r>
      <w:r w:rsidRPr="00A428C3">
        <w:rPr>
          <w:szCs w:val="13"/>
        </w:rPr>
        <w:t xml:space="preserve">(UHF) </w:t>
      </w:r>
      <w:r w:rsidRPr="00A428C3">
        <w:t xml:space="preserve">Hamiltonian is used as the unperturbed system </w:t>
      </w:r>
      <w:r w:rsidR="000352E7">
        <w:t>‘</w:t>
      </w:r>
      <w:r w:rsidRPr="00A428C3">
        <w:t xml:space="preserve">and the technique is then described as unrestricted Møller-Plesset to second order </w:t>
      </w:r>
      <w:r w:rsidRPr="00A428C3">
        <w:rPr>
          <w:szCs w:val="13"/>
        </w:rPr>
        <w:t xml:space="preserve">(U M P 2) . </w:t>
      </w:r>
      <w:r w:rsidRPr="00A428C3">
        <w:t xml:space="preserve">Use of large Gaussian basis sets suggests that the limiting </w:t>
      </w:r>
      <w:r w:rsidRPr="00A428C3">
        <w:rPr>
          <w:szCs w:val="12"/>
        </w:rPr>
        <w:t xml:space="preserve">U M P ~ </w:t>
      </w:r>
      <w:r w:rsidRPr="00A428C3">
        <w:t xml:space="preserve">energies with a complete basis of </w:t>
      </w:r>
      <w:r w:rsidRPr="00A428C3">
        <w:rPr>
          <w:szCs w:val="11"/>
        </w:rPr>
        <w:t xml:space="preserve">.i, </w:t>
      </w:r>
      <w:r w:rsidRPr="00A428C3">
        <w:t>p,</w:t>
      </w:r>
      <w:r w:rsidR="00F81221">
        <w:t xml:space="preserve"> and </w:t>
      </w:r>
      <w:r w:rsidRPr="00A428C3">
        <w:rPr>
          <w:szCs w:val="18"/>
        </w:rPr>
        <w:t xml:space="preserve">d </w:t>
      </w:r>
      <w:r w:rsidRPr="00A428C3">
        <w:t xml:space="preserve">functions account for 75-8404 of the correlation energy. Preliminary estimates of the contributions of basis functions with higher angular quantum numbers indicate that full </w:t>
      </w:r>
      <w:r w:rsidRPr="00A428C3">
        <w:rPr>
          <w:szCs w:val="12"/>
        </w:rPr>
        <w:t xml:space="preserve">U M P 2 </w:t>
      </w:r>
      <w:r w:rsidRPr="00A428C3">
        <w:t>limits give even more accurate total energies.</w:t>
      </w:r>
    </w:p>
    <w:p w:rsidR="00B95188" w:rsidRPr="00A428C3" w:rsidRDefault="00B95188" w:rsidP="00B95188">
      <w:pPr>
        <w:pStyle w:val="1"/>
      </w:pPr>
      <w:r w:rsidRPr="00A428C3">
        <w:br w:type="page"/>
      </w:r>
      <w:bookmarkStart w:id="1488" w:name="_Toc489709765"/>
      <w:bookmarkStart w:id="1489" w:name="_Toc490688075"/>
      <w:bookmarkStart w:id="1490" w:name="_Toc492812188"/>
      <w:bookmarkStart w:id="1491" w:name="_Toc186647952"/>
      <w:bookmarkStart w:id="1492" w:name="_Toc317161367"/>
      <w:r w:rsidRPr="00A428C3">
        <w:lastRenderedPageBreak/>
        <w:t xml:space="preserve">Title: </w:t>
      </w:r>
      <w:bookmarkEnd w:id="1488"/>
      <w:r w:rsidRPr="00A428C3">
        <w:t>International Journal of Radiation Biology</w:t>
      </w:r>
      <w:bookmarkEnd w:id="1489"/>
      <w:bookmarkEnd w:id="1490"/>
      <w:bookmarkEnd w:id="1491"/>
      <w:bookmarkEnd w:id="1492"/>
    </w:p>
    <w:p w:rsidR="00B95188" w:rsidRPr="00A428C3" w:rsidRDefault="00B95188" w:rsidP="00B72EF9">
      <w:pPr>
        <w:pStyle w:val="12"/>
      </w:pPr>
      <w:r w:rsidRPr="00A428C3">
        <w:t>Full Journal Title: International Journal of Radiation Biology</w:t>
      </w:r>
    </w:p>
    <w:p w:rsidR="00B95188" w:rsidRPr="00A428C3" w:rsidRDefault="00B95188" w:rsidP="00B72EF9">
      <w:pPr>
        <w:pStyle w:val="12"/>
      </w:pPr>
      <w:r w:rsidRPr="00A428C3">
        <w:t>ISO Abbreviated Title: Int. J. Radiat. Biol.</w:t>
      </w:r>
    </w:p>
    <w:p w:rsidR="00B95188" w:rsidRPr="00A428C3" w:rsidRDefault="00B95188" w:rsidP="00B72EF9">
      <w:pPr>
        <w:pStyle w:val="12"/>
      </w:pPr>
      <w:r w:rsidRPr="00A428C3">
        <w:t>JCR Abbreviated Title: Int J Radiat Biol</w:t>
      </w:r>
    </w:p>
    <w:p w:rsidR="00B95188" w:rsidRPr="00A428C3" w:rsidRDefault="00B95188" w:rsidP="00B72EF9">
      <w:pPr>
        <w:pStyle w:val="12"/>
      </w:pPr>
      <w:r w:rsidRPr="00A428C3">
        <w:t>ISSN: 0955-3002</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England</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Taylor &amp; Francis Ltd</w:t>
      </w:r>
    </w:p>
    <w:p w:rsidR="00B95188" w:rsidRPr="00A428C3" w:rsidRDefault="00B95188" w:rsidP="00B72EF9">
      <w:pPr>
        <w:pStyle w:val="12"/>
      </w:pPr>
      <w:r w:rsidRPr="00A428C3">
        <w:t xml:space="preserve">Publisher Address: </w:t>
      </w:r>
      <w:smartTag w:uri="urn:schemas-microsoft-com:office:smarttags" w:element="place">
        <w:r w:rsidRPr="00A428C3">
          <w:t xml:space="preserve">One Gunpowder Square, </w:t>
        </w:r>
        <w:smartTag w:uri="urn:schemas-microsoft-com:office:smarttags" w:element="City">
          <w:r w:rsidRPr="00A428C3">
            <w:t>London</w:t>
          </w:r>
        </w:smartTag>
        <w:r w:rsidRPr="00A428C3">
          <w:t xml:space="preserve"> </w:t>
        </w:r>
        <w:smartTag w:uri="urn:schemas-microsoft-com:office:smarttags" w:element="PostalCode">
          <w:r w:rsidRPr="00A428C3">
            <w:t>EC</w:t>
          </w:r>
          <w:smartTag w:uri="urn:schemas-microsoft-com:office:smarttags" w:element="chmetcnv">
            <w:smartTagPr>
              <w:attr w:name="TCSC" w:val="0"/>
              <w:attr w:name="NumberType" w:val="1"/>
              <w:attr w:name="Negative" w:val="False"/>
              <w:attr w:name="HasSpace" w:val="False"/>
              <w:attr w:name="SourceValue" w:val="4"/>
              <w:attr w:name="UnitName" w:val="a"/>
            </w:smartTagPr>
            <w:r w:rsidRPr="00A428C3">
              <w:t>4A</w:t>
            </w:r>
          </w:smartTag>
          <w:r w:rsidRPr="00A428C3">
            <w:t xml:space="preserve"> 3DE</w:t>
          </w:r>
        </w:smartTag>
        <w:r w:rsidRPr="00A428C3">
          <w:t xml:space="preserve">, </w:t>
        </w:r>
        <w:smartTag w:uri="urn:schemas-microsoft-com:office:smarttags" w:element="country-region">
          <w:r w:rsidRPr="00A428C3">
            <w:t>England</w:t>
          </w:r>
        </w:smartTag>
      </w:smartTag>
    </w:p>
    <w:p w:rsidR="00B95188" w:rsidRPr="00A428C3" w:rsidRDefault="00B95188" w:rsidP="00B72EF9">
      <w:pPr>
        <w:pStyle w:val="12"/>
      </w:pPr>
      <w:r w:rsidRPr="00A428C3">
        <w:t>Subject Categories:</w:t>
      </w:r>
    </w:p>
    <w:p w:rsidR="00B95188" w:rsidRPr="00A428C3" w:rsidRDefault="00B95188" w:rsidP="00B95188">
      <w:pPr>
        <w:pStyle w:val="a0"/>
      </w:pPr>
      <w:r w:rsidRPr="00A428C3">
        <w:t>Biology, Miscellaneous Nuclear Science &amp; Technology Radiology, Nuclear Medicine &amp; Medical Imaging: Impact Factor</w:t>
      </w:r>
    </w:p>
    <w:p w:rsidR="00B95188" w:rsidRPr="00A428C3" w:rsidRDefault="00B95188" w:rsidP="00B95188">
      <w:pPr>
        <w:pStyle w:val="a0"/>
      </w:pPr>
      <w:r w:rsidRPr="00A428C3">
        <w:t>? Volf, V., Burgada, R., Raymond, K.N.</w:t>
      </w:r>
      <w:r w:rsidR="00F81221">
        <w:t xml:space="preserve"> and </w:t>
      </w:r>
      <w:r w:rsidRPr="00A428C3">
        <w:t>Durbin, P.W. (1996), Treatment with 3,4,3-LIHOPO of simulated wounds contaminated with plutonium</w:t>
      </w:r>
      <w:r w:rsidR="00F81221">
        <w:t xml:space="preserve"> and </w:t>
      </w:r>
      <w:r w:rsidRPr="00A428C3">
        <w:t xml:space="preserve">Americium in rat. </w:t>
      </w:r>
      <w:r w:rsidRPr="00A428C3">
        <w:rPr>
          <w:i/>
        </w:rPr>
        <w:t>International Journal of Radiation Biology</w:t>
      </w:r>
      <w:r w:rsidRPr="00A428C3">
        <w:t xml:space="preserve">, </w:t>
      </w:r>
      <w:r w:rsidRPr="00A428C3">
        <w:rPr>
          <w:b/>
        </w:rPr>
        <w:t>70</w:t>
      </w:r>
      <w:r w:rsidRPr="00A428C3">
        <w:t xml:space="preserve"> (1), 109-114.</w:t>
      </w:r>
    </w:p>
    <w:p w:rsidR="00B95188" w:rsidRPr="00A428C3" w:rsidRDefault="00B95188" w:rsidP="00B95188">
      <w:pPr>
        <w:pStyle w:val="a0"/>
      </w:pPr>
      <w:r w:rsidRPr="00A428C3">
        <w:t>Abstract: The effect of a siderophore analogue 3,4,3-LIHOPO has been investigated in rat after intramuscular injection of 238Pu, 239Pu</w:t>
      </w:r>
      <w:r w:rsidR="00F81221">
        <w:t xml:space="preserve"> and </w:t>
      </w:r>
      <w:r w:rsidRPr="00A428C3">
        <w:t>241Am simulating puncture wounds. Various treatment regimens were used to remove the radioactivity from its injection site</w:t>
      </w:r>
      <w:r w:rsidR="00F81221">
        <w:t xml:space="preserve"> and </w:t>
      </w:r>
      <w:r w:rsidRPr="00A428C3">
        <w:t>to reduce its retention in body tissues. The local deposits could be reduced to 9% of that in untreated controls by a single local injection of 30 mumol kg</w:t>
      </w:r>
      <w:r w:rsidRPr="00A428C3">
        <w:rPr>
          <w:vertAlign w:val="superscript"/>
        </w:rPr>
        <w:t>-1</w:t>
      </w:r>
      <w:r w:rsidRPr="00A428C3">
        <w:t xml:space="preserve"> 3,4,3-LIHOPO administered 1 day after the actinides. Tissue retention of radioactivity was most effectively reduced (to 3% of controls) by continuous subcutaneous infusion of 3,4,3-LIHOPO (3 </w:t>
      </w:r>
      <w:r w:rsidRPr="00A428C3">
        <w:sym w:font="Symbol" w:char="F06D"/>
      </w:r>
      <w:r w:rsidRPr="00A428C3">
        <w:t>mol kg</w:t>
      </w:r>
      <w:r w:rsidRPr="00A428C3">
        <w:rPr>
          <w:vertAlign w:val="superscript"/>
        </w:rPr>
        <w:t>-1</w:t>
      </w:r>
      <w:r w:rsidRPr="00A428C3">
        <w:t xml:space="preserve"> day</w:t>
      </w:r>
      <w:r w:rsidRPr="00A428C3">
        <w:rPr>
          <w:vertAlign w:val="superscript"/>
        </w:rPr>
        <w:t>-1</w:t>
      </w:r>
      <w:r w:rsidRPr="00A428C3">
        <w:t>), starting immediately after the injection of actinides</w:t>
      </w:r>
      <w:r w:rsidR="00F81221">
        <w:t xml:space="preserve"> and </w:t>
      </w:r>
      <w:r w:rsidRPr="00A428C3">
        <w:t>continuing for 2 weeks. The administration of 3,4,3-LIHOPO in drinking water was least effective. Treatment efficacy was substantially higher with 238Pu than with an equal activity of 239Pu (the 238Pu mass, however, was almost 300 times lower than that of 239Pu). Accordingly, the biokinetics</w:t>
      </w:r>
      <w:r w:rsidR="00F81221">
        <w:t xml:space="preserve"> and </w:t>
      </w:r>
      <w:r w:rsidRPr="00A428C3">
        <w:t>removal of 241Am changed when it was injected with 239Pu instead of 238Pu. Continuous infusion of 3,4,3-LIHOPO (3 mumol kg</w:t>
      </w:r>
      <w:r w:rsidRPr="00A428C3">
        <w:rPr>
          <w:vertAlign w:val="superscript"/>
        </w:rPr>
        <w:t>-1</w:t>
      </w:r>
      <w:r w:rsidRPr="00A428C3">
        <w:t>day</w:t>
      </w:r>
      <w:r w:rsidRPr="00A428C3">
        <w:rPr>
          <w:vertAlign w:val="superscript"/>
        </w:rPr>
        <w:t>-1</w:t>
      </w:r>
      <w:r w:rsidRPr="00A428C3">
        <w:t>), starting 4</w:t>
      </w:r>
      <w:r w:rsidR="00F81221">
        <w:t xml:space="preserve"> and </w:t>
      </w:r>
      <w:r w:rsidRPr="00A428C3">
        <w:t>30 days after intramuscular injection of 238Pu</w:t>
      </w:r>
      <w:r w:rsidR="00F81221">
        <w:t xml:space="preserve"> and </w:t>
      </w:r>
      <w:r w:rsidRPr="00A428C3">
        <w:t>241Am reduced their femoral retention after 1 month to 20</w:t>
      </w:r>
      <w:r w:rsidR="00F81221">
        <w:t xml:space="preserve"> and </w:t>
      </w:r>
      <w:r w:rsidRPr="00A428C3">
        <w:t>60% of controls respectively; whole-body retention of 241Am was reduced to 20</w:t>
      </w:r>
      <w:r w:rsidR="00F81221">
        <w:t xml:space="preserve"> and </w:t>
      </w:r>
      <w:r w:rsidRPr="00A428C3">
        <w:t>70% of controls respectively.</w:t>
      </w:r>
    </w:p>
    <w:p w:rsidR="00B95188" w:rsidRPr="00A428C3" w:rsidRDefault="00B95188" w:rsidP="00B95188">
      <w:pPr>
        <w:pStyle w:val="1"/>
      </w:pPr>
      <w:r w:rsidRPr="00A428C3">
        <w:br w:type="page"/>
      </w:r>
      <w:bookmarkStart w:id="1493" w:name="_Toc186647953"/>
      <w:bookmarkStart w:id="1494" w:name="_Toc317161368"/>
      <w:r w:rsidRPr="00A428C3">
        <w:lastRenderedPageBreak/>
        <w:t>Title: International Journal of Radiation Oncology Biology Physics</w:t>
      </w:r>
      <w:bookmarkEnd w:id="1493"/>
      <w:bookmarkEnd w:id="1494"/>
    </w:p>
    <w:p w:rsidR="00B95188" w:rsidRPr="00A428C3" w:rsidRDefault="00B95188" w:rsidP="00B72EF9">
      <w:pPr>
        <w:pStyle w:val="12"/>
      </w:pPr>
      <w:r w:rsidRPr="00A428C3">
        <w:t xml:space="preserve">Full Journal Title: </w:t>
      </w:r>
      <w:hyperlink r:id="rId2062" w:history="1">
        <w:r w:rsidRPr="00A428C3">
          <w:rPr>
            <w:rStyle w:val="a5"/>
          </w:rPr>
          <w:t>International Journal of Radiation Oncology Biology Physics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3D3703" w:rsidRDefault="003D3703" w:rsidP="003D3703">
      <w:pPr>
        <w:pStyle w:val="a0"/>
        <w:rPr>
          <w:kern w:val="0"/>
        </w:rPr>
      </w:pPr>
      <w:r>
        <w:rPr>
          <w:rFonts w:hint="eastAsia"/>
          <w:kern w:val="0"/>
        </w:rPr>
        <w:t xml:space="preserve">? </w:t>
      </w:r>
      <w:r>
        <w:rPr>
          <w:kern w:val="0"/>
        </w:rPr>
        <w:t>Roach, M., Hanks, G., Thames, H., Schellhammer, P., Shipley, W.U., Sokol, G.H.</w:t>
      </w:r>
      <w:r w:rsidR="00F81221">
        <w:rPr>
          <w:kern w:val="0"/>
        </w:rPr>
        <w:t xml:space="preserve"> and </w:t>
      </w:r>
      <w:r>
        <w:rPr>
          <w:kern w:val="0"/>
        </w:rPr>
        <w:t xml:space="preserve">Sandler, H. (2006), Defining biochemical failure following radiotherapy with or without hormonal therapy in men with clinically localized prostate cancer: Recommendations of the RTOG-ASTRO Phoenix Consensus Conference. </w:t>
      </w:r>
      <w:r>
        <w:rPr>
          <w:i/>
          <w:iCs/>
          <w:kern w:val="0"/>
        </w:rPr>
        <w:t>International Journal of Radiation Oncology Biology Physics</w:t>
      </w:r>
      <w:r>
        <w:rPr>
          <w:kern w:val="0"/>
        </w:rPr>
        <w:t xml:space="preserve">, </w:t>
      </w:r>
      <w:r>
        <w:rPr>
          <w:b/>
          <w:bCs/>
          <w:kern w:val="0"/>
        </w:rPr>
        <w:t>65</w:t>
      </w:r>
      <w:r>
        <w:rPr>
          <w:kern w:val="0"/>
        </w:rPr>
        <w:t xml:space="preserve"> (4), 965-974.</w:t>
      </w:r>
    </w:p>
    <w:p w:rsidR="003D3703" w:rsidRPr="00A428C3" w:rsidRDefault="003D3703" w:rsidP="003D3703">
      <w:pPr>
        <w:pStyle w:val="a0"/>
      </w:pPr>
      <w:r w:rsidRPr="00A428C3">
        <w:t xml:space="preserve">Full Text: </w:t>
      </w:r>
      <w:hyperlink r:id="rId2063" w:history="1">
        <w:r w:rsidRPr="003D3703">
          <w:rPr>
            <w:rStyle w:val="a5"/>
          </w:rPr>
          <w:t>2006\Int J Rad Onc Bio Phy65, 965.pdf</w:t>
        </w:r>
      </w:hyperlink>
    </w:p>
    <w:p w:rsidR="003D3703" w:rsidRDefault="003D3703" w:rsidP="003D3703">
      <w:pPr>
        <w:pStyle w:val="a0"/>
        <w:rPr>
          <w:kern w:val="0"/>
        </w:rPr>
      </w:pPr>
      <w:r>
        <w:rPr>
          <w:kern w:val="0"/>
        </w:rPr>
        <w:t>Abstract: In 1996 the American Society for Therapeutic Radiology</w:t>
      </w:r>
      <w:r w:rsidR="00F81221">
        <w:rPr>
          <w:kern w:val="0"/>
        </w:rPr>
        <w:t xml:space="preserve"> and </w:t>
      </w:r>
      <w:r>
        <w:rPr>
          <w:kern w:val="0"/>
        </w:rPr>
        <w:t>Oncology (ASTRO) sponsored a Consensus Conference to establish a definition of biochemical failure after external beam radiotherapy (EBRT). The ASTRO definition defined prostate specific antigen (PSA) failure as occurring after three consecutive PSA rises after a nadir with the date of failure as the point halfway between the nadir date</w:t>
      </w:r>
      <w:r w:rsidR="00F81221">
        <w:rPr>
          <w:kern w:val="0"/>
        </w:rPr>
        <w:t xml:space="preserve"> and </w:t>
      </w:r>
      <w:r>
        <w:rPr>
          <w:kern w:val="0"/>
        </w:rPr>
        <w:t>the first rise or any rise great enough to provoke initiation of therapy. This definition was not linked to clinical progression or survival; it performed poorly in patients undergoing hormonal therapy (HT),</w:t>
      </w:r>
      <w:r w:rsidR="00F81221">
        <w:rPr>
          <w:kern w:val="0"/>
        </w:rPr>
        <w:t xml:space="preserve"> and </w:t>
      </w:r>
      <w:r>
        <w:rPr>
          <w:kern w:val="0"/>
        </w:rPr>
        <w:t>backdating biased the Kaplan-Meier estimates of event-free survival. A second Consensus Conference was sponsored by ASTRO</w:t>
      </w:r>
      <w:r w:rsidR="00F81221">
        <w:rPr>
          <w:kern w:val="0"/>
        </w:rPr>
        <w:t xml:space="preserve"> and </w:t>
      </w:r>
      <w:r>
        <w:rPr>
          <w:kern w:val="0"/>
        </w:rPr>
        <w:t xml:space="preserve">the Radiation Therapy Oncology Group in Phoenix, Arizona, on January 21, 2005, to revise the ASTRO definition. The panel recommended: (1) a rise by 2 ng/mL or more above the nadir PSA be considered the standard definition for biochemical failure after EBRT with or without HT; (2) the date of failure be determined </w:t>
      </w:r>
      <w:r w:rsidR="000352E7">
        <w:rPr>
          <w:kern w:val="0"/>
        </w:rPr>
        <w:t>“</w:t>
      </w:r>
      <w:r>
        <w:rPr>
          <w:kern w:val="0"/>
        </w:rPr>
        <w:t>at call</w:t>
      </w:r>
      <w:r w:rsidR="000352E7">
        <w:rPr>
          <w:kern w:val="0"/>
        </w:rPr>
        <w:t>”</w:t>
      </w:r>
      <w:r>
        <w:rPr>
          <w:kern w:val="0"/>
        </w:rPr>
        <w:t xml:space="preserve"> (not backdated). They recommended that investigators be allowed to use the ASTRO Consensus Definition after EBRT alone (no hormonal therapy) with strict adherence to guidelines as to </w:t>
      </w:r>
      <w:r w:rsidR="000352E7">
        <w:rPr>
          <w:kern w:val="0"/>
        </w:rPr>
        <w:t>“</w:t>
      </w:r>
      <w:r>
        <w:rPr>
          <w:kern w:val="0"/>
        </w:rPr>
        <w:t>adequate follow-up.</w:t>
      </w:r>
      <w:r w:rsidR="000352E7">
        <w:rPr>
          <w:kern w:val="0"/>
        </w:rPr>
        <w:t>”</w:t>
      </w:r>
      <w:r>
        <w:rPr>
          <w:kern w:val="0"/>
        </w:rPr>
        <w:t xml:space="preserve"> To avoid the artifacts resulting from short follow-up, the reported date of control should be listed as 2 years short of the median follow-up. For example, if the median follow-up is 5 </w:t>
      </w:r>
      <w:r>
        <w:rPr>
          <w:kern w:val="0"/>
        </w:rPr>
        <w:lastRenderedPageBreak/>
        <w:t>years, control rates at 3 years should be cited. Retaining a strict version of the ASTRO definition would allow comparisons with a large existing body of literature. (c) 2006 Elsevier Inc.</w:t>
      </w:r>
    </w:p>
    <w:p w:rsidR="003D3703" w:rsidRDefault="003D3703" w:rsidP="003D3703">
      <w:pPr>
        <w:pStyle w:val="a0"/>
        <w:rPr>
          <w:kern w:val="0"/>
        </w:rPr>
      </w:pPr>
      <w:r>
        <w:rPr>
          <w:kern w:val="0"/>
        </w:rPr>
        <w:t>Keywords: Adherence, Cancer, Conference, Literature</w:t>
      </w:r>
    </w:p>
    <w:p w:rsidR="00B95188" w:rsidRPr="00A428C3" w:rsidRDefault="00B95188" w:rsidP="00B95188">
      <w:pPr>
        <w:pStyle w:val="a0"/>
      </w:pPr>
      <w:r w:rsidRPr="00A428C3">
        <w:t>? Stegman, L.D.</w:t>
      </w:r>
      <w:r w:rsidR="00F81221">
        <w:t xml:space="preserve"> and </w:t>
      </w:r>
      <w:r w:rsidRPr="00A428C3">
        <w:t>Alektiar, K.M. (2006), Trends in the publication of radiotherapy research</w:t>
      </w:r>
      <w:r w:rsidR="00F81221">
        <w:t xml:space="preserve"> and </w:t>
      </w:r>
      <w:r w:rsidRPr="00A428C3">
        <w:t xml:space="preserve">randomized controlled trials involving radiotherapy: A bibliometric analysis. </w:t>
      </w:r>
      <w:r w:rsidRPr="00A428C3">
        <w:rPr>
          <w:i/>
        </w:rPr>
        <w:t>International Journal of Radiation Oncology Biology Physics</w:t>
      </w:r>
      <w:r w:rsidRPr="00A428C3">
        <w:t xml:space="preserve">, </w:t>
      </w:r>
      <w:r w:rsidRPr="00A428C3">
        <w:rPr>
          <w:b/>
        </w:rPr>
        <w:t>66</w:t>
      </w:r>
      <w:r w:rsidRPr="00A428C3">
        <w:t xml:space="preserve"> (3), S459.</w:t>
      </w:r>
    </w:p>
    <w:p w:rsidR="00B95188" w:rsidRPr="00A428C3" w:rsidRDefault="00B95188" w:rsidP="00B95188">
      <w:pPr>
        <w:pStyle w:val="a0"/>
      </w:pPr>
      <w:r w:rsidRPr="00A428C3">
        <w:t xml:space="preserve">Full Text: </w:t>
      </w:r>
      <w:hyperlink r:id="rId2064" w:history="1">
        <w:r w:rsidRPr="00A428C3">
          <w:rPr>
            <w:rStyle w:val="a5"/>
          </w:rPr>
          <w:t>2006\Int J Rad Onc Bio Phy66, S459.pdf</w:t>
        </w:r>
      </w:hyperlink>
    </w:p>
    <w:p w:rsidR="00B95188" w:rsidRPr="00A428C3" w:rsidRDefault="00B95188" w:rsidP="00B95188">
      <w:pPr>
        <w:pStyle w:val="a0"/>
      </w:pPr>
      <w:r w:rsidRPr="00A428C3">
        <w:t>Keywords: Analysis, Bibliometric, Bibliometric Analysis, Publication, Radiotherapy, Randomized, Randomized Controlled Trials, Research</w:t>
      </w:r>
    </w:p>
    <w:p w:rsidR="00254578" w:rsidRDefault="00254578" w:rsidP="00254578">
      <w:pPr>
        <w:pStyle w:val="a0"/>
        <w:rPr>
          <w:kern w:val="0"/>
          <w:szCs w:val="24"/>
        </w:rPr>
      </w:pPr>
      <w:r>
        <w:rPr>
          <w:rFonts w:hint="eastAsia"/>
          <w:kern w:val="0"/>
          <w:szCs w:val="24"/>
        </w:rPr>
        <w:t xml:space="preserve">? </w:t>
      </w:r>
      <w:r>
        <w:rPr>
          <w:kern w:val="0"/>
          <w:szCs w:val="24"/>
        </w:rPr>
        <w:t>Choi, M., Fuller, C.D.</w:t>
      </w:r>
      <w:r w:rsidR="00F81221">
        <w:rPr>
          <w:kern w:val="0"/>
          <w:szCs w:val="24"/>
        </w:rPr>
        <w:t xml:space="preserve"> and </w:t>
      </w:r>
      <w:r>
        <w:rPr>
          <w:kern w:val="0"/>
          <w:szCs w:val="24"/>
        </w:rPr>
        <w:t>Thomas, C.R. (2009), Estimation of citation-based scholarly activity among radiation oncology faculty at domestic residency</w:t>
      </w:r>
      <w:r>
        <w:rPr>
          <w:rFonts w:hint="eastAsia"/>
          <w:kern w:val="0"/>
          <w:szCs w:val="24"/>
        </w:rPr>
        <w:t xml:space="preserve"> </w:t>
      </w:r>
      <w:r>
        <w:rPr>
          <w:kern w:val="0"/>
          <w:szCs w:val="24"/>
        </w:rPr>
        <w:t xml:space="preserve">training institutions: 1996-2007. </w:t>
      </w:r>
      <w:r>
        <w:rPr>
          <w:i/>
          <w:iCs/>
          <w:kern w:val="0"/>
          <w:szCs w:val="24"/>
        </w:rPr>
        <w:t>International Journal of Radiation Oncology Biology Physics</w:t>
      </w:r>
      <w:r>
        <w:rPr>
          <w:kern w:val="0"/>
          <w:szCs w:val="24"/>
        </w:rPr>
        <w:t xml:space="preserve">, </w:t>
      </w:r>
      <w:r>
        <w:rPr>
          <w:b/>
          <w:bCs/>
          <w:kern w:val="0"/>
          <w:szCs w:val="24"/>
        </w:rPr>
        <w:t>74</w:t>
      </w:r>
      <w:r>
        <w:rPr>
          <w:kern w:val="0"/>
          <w:szCs w:val="24"/>
        </w:rPr>
        <w:t xml:space="preserve"> (1), 172-178.</w:t>
      </w:r>
    </w:p>
    <w:p w:rsidR="00254578" w:rsidRDefault="00254578" w:rsidP="00254578">
      <w:pPr>
        <w:pStyle w:val="a0"/>
      </w:pPr>
      <w:r>
        <w:rPr>
          <w:rFonts w:hint="eastAsia"/>
        </w:rPr>
        <w:t xml:space="preserve">Full Text: </w:t>
      </w:r>
      <w:hyperlink r:id="rId2065" w:history="1">
        <w:r w:rsidRPr="00AD0CDC">
          <w:rPr>
            <w:rStyle w:val="a5"/>
          </w:rPr>
          <w:t>2009\Int J Rad Onc Bio Phy74, 172.pdf</w:t>
        </w:r>
      </w:hyperlink>
    </w:p>
    <w:p w:rsidR="00254578" w:rsidRDefault="00254578" w:rsidP="00254578">
      <w:pPr>
        <w:pStyle w:val="a0"/>
        <w:rPr>
          <w:kern w:val="0"/>
          <w:szCs w:val="24"/>
        </w:rPr>
      </w:pPr>
      <w:r>
        <w:rPr>
          <w:kern w:val="0"/>
          <w:szCs w:val="24"/>
        </w:rPr>
        <w:t>Abstract: Purpose: Advancement in academic radiation oncology is largely contingent on research productivity</w:t>
      </w:r>
      <w:r w:rsidR="00F81221">
        <w:rPr>
          <w:kern w:val="0"/>
          <w:szCs w:val="24"/>
        </w:rPr>
        <w:t xml:space="preserve"> and </w:t>
      </w:r>
      <w:r>
        <w:rPr>
          <w:kern w:val="0"/>
          <w:szCs w:val="24"/>
        </w:rPr>
        <w:t>the perceived external influence of an individual</w:t>
      </w:r>
      <w:r w:rsidR="000352E7">
        <w:rPr>
          <w:kern w:val="0"/>
          <w:szCs w:val="24"/>
        </w:rPr>
        <w:t>’</w:t>
      </w:r>
      <w:r>
        <w:rPr>
          <w:kern w:val="0"/>
          <w:szCs w:val="24"/>
        </w:rPr>
        <w:t>s scholarly work. The purpose of this study was to use the Hirsch index (h-index) to estimate the research productivity of current radiation oncology faculty at U.S. academic institutions between 1996</w:t>
      </w:r>
      <w:r w:rsidR="00F81221">
        <w:rPr>
          <w:kern w:val="0"/>
          <w:szCs w:val="24"/>
        </w:rPr>
        <w:t xml:space="preserve"> and </w:t>
      </w:r>
      <w:r>
        <w:rPr>
          <w:kern w:val="0"/>
          <w:szCs w:val="24"/>
        </w:rPr>
        <w:t>2007. Methods</w:t>
      </w:r>
      <w:r w:rsidR="00F81221">
        <w:rPr>
          <w:kern w:val="0"/>
          <w:szCs w:val="24"/>
        </w:rPr>
        <w:t xml:space="preserve"> and </w:t>
      </w:r>
      <w:r>
        <w:rPr>
          <w:kern w:val="0"/>
          <w:szCs w:val="24"/>
        </w:rPr>
        <w:t>Materials: We performed bibliometric citation database searches for available radiation oncology faculty at domestic residency-training institutions (n = 826). The outcomes analyzed included the total number of manuscripts, total number of citations,</w:t>
      </w:r>
      <w:r w:rsidR="00F81221">
        <w:rPr>
          <w:kern w:val="0"/>
          <w:szCs w:val="24"/>
        </w:rPr>
        <w:t xml:space="preserve"> and </w:t>
      </w:r>
      <w:r>
        <w:rPr>
          <w:kern w:val="0"/>
          <w:szCs w:val="24"/>
        </w:rPr>
        <w:t>the h-index between 1996</w:t>
      </w:r>
      <w:r w:rsidR="00F81221">
        <w:rPr>
          <w:kern w:val="0"/>
          <w:szCs w:val="24"/>
        </w:rPr>
        <w:t xml:space="preserve"> and </w:t>
      </w:r>
      <w:r>
        <w:rPr>
          <w:kern w:val="0"/>
          <w:szCs w:val="24"/>
        </w:rPr>
        <w:t>2007. Analysis of overall h-index rankings with stratification by academic ranking, junior vs. senior faculty status,</w:t>
      </w:r>
      <w:r w:rsidR="00F81221">
        <w:rPr>
          <w:kern w:val="0"/>
          <w:szCs w:val="24"/>
        </w:rPr>
        <w:t xml:space="preserve"> and </w:t>
      </w:r>
      <w:r>
        <w:rPr>
          <w:kern w:val="0"/>
          <w:szCs w:val="24"/>
        </w:rPr>
        <w:t>gender was performed. Results: Of the 826 radiation oncologists, the mean h-index was 8.5. Of the individuals in the top 10% by the h-index, 34% were chairpersons, 88% were senior faculty,</w:t>
      </w:r>
      <w:r w:rsidR="00F81221">
        <w:rPr>
          <w:kern w:val="0"/>
          <w:szCs w:val="24"/>
        </w:rPr>
        <w:t xml:space="preserve"> and </w:t>
      </w:r>
      <w:r>
        <w:rPr>
          <w:kern w:val="0"/>
          <w:szCs w:val="24"/>
        </w:rPr>
        <w:t>13% were women. A greater h-index was associated with a higher academic ranking</w:t>
      </w:r>
      <w:r w:rsidR="00F81221">
        <w:rPr>
          <w:kern w:val="0"/>
          <w:szCs w:val="24"/>
        </w:rPr>
        <w:t xml:space="preserve"> and </w:t>
      </w:r>
      <w:r>
        <w:rPr>
          <w:kern w:val="0"/>
          <w:szCs w:val="24"/>
        </w:rPr>
        <w:t>senior faculty status. Recursive partitioning analysis revealed an h-index threshold of 15 (p &lt;0.0001) as an identified breakpoint between the senior</w:t>
      </w:r>
      <w:r w:rsidR="00F81221">
        <w:rPr>
          <w:kern w:val="0"/>
          <w:szCs w:val="24"/>
        </w:rPr>
        <w:t xml:space="preserve"> and </w:t>
      </w:r>
      <w:r>
        <w:rPr>
          <w:kern w:val="0"/>
          <w:szCs w:val="24"/>
        </w:rPr>
        <w:t>junior faculty. Overall, women had lower h-indexes compared with men (mean, 6.4 vs. 9.4); however, when stratified by academic ranking, the gender differential all but disappeared. Conclusion: Using the h-index as a partial surrogate for research productivity, it appears that radiation oncologists in academia today comprise a prolific group, however, with a highly skewed distribution. According to the present analysis, the h-index correlated with academic ranking. Thus, it potentially has utility in the process of promotion decisions. Overall, women in radiation oncology were less academically productive than men; the possible reasons for the gender differential are discussed. (C) 2009 Elsevier Inc.</w:t>
      </w:r>
    </w:p>
    <w:p w:rsidR="00254578" w:rsidRDefault="00254578" w:rsidP="00254578">
      <w:pPr>
        <w:pStyle w:val="a0"/>
        <w:rPr>
          <w:kern w:val="0"/>
          <w:szCs w:val="24"/>
        </w:rPr>
      </w:pPr>
      <w:r>
        <w:rPr>
          <w:kern w:val="0"/>
          <w:szCs w:val="24"/>
        </w:rPr>
        <w:lastRenderedPageBreak/>
        <w:t xml:space="preserve">Keywords: Academia, Academic, Academic Productivity, Analysis, Authorship, Bibliometric, Bibliometrics, Citation, Citations, Database, Decisions, Distribution, Faculty, Gender, Group, </w:t>
      </w:r>
      <w:r>
        <w:rPr>
          <w:rFonts w:hint="eastAsia"/>
          <w:kern w:val="0"/>
          <w:szCs w:val="24"/>
        </w:rPr>
        <w:t>h</w:t>
      </w:r>
      <w:r>
        <w:rPr>
          <w:kern w:val="0"/>
          <w:szCs w:val="24"/>
        </w:rPr>
        <w:t xml:space="preserve"> Index, </w:t>
      </w:r>
      <w:r>
        <w:rPr>
          <w:rFonts w:hint="eastAsia"/>
          <w:kern w:val="0"/>
          <w:szCs w:val="24"/>
        </w:rPr>
        <w:t>h</w:t>
      </w:r>
      <w:r>
        <w:rPr>
          <w:kern w:val="0"/>
          <w:szCs w:val="24"/>
        </w:rPr>
        <w:t>-Index, Hirsch, Hirsch Index, Honorary, Index, Influence, Institutions, Medical Journals, Men, Oncology, Outcomes, Partitioning, Prevalence, Process, Productivity, Promotion, Purpose, Radiation, Radiation Oncology, Ranking, Rankings, Research, Research Productivity, Residency Training, Status, Stratification, Surrogate, Trends, Utility, Women, Work</w:t>
      </w:r>
    </w:p>
    <w:p w:rsidR="006740F5" w:rsidRDefault="006740F5" w:rsidP="006740F5">
      <w:pPr>
        <w:pStyle w:val="a0"/>
        <w:rPr>
          <w:kern w:val="0"/>
        </w:rPr>
      </w:pPr>
      <w:r>
        <w:rPr>
          <w:rFonts w:hint="eastAsia"/>
          <w:kern w:val="0"/>
        </w:rPr>
        <w:t xml:space="preserve">? </w:t>
      </w:r>
      <w:r>
        <w:rPr>
          <w:kern w:val="0"/>
        </w:rPr>
        <w:t>Morgan, P.B., Sopka, D.M., Kathpal, M., Haynes, J.C., Lally, B.E.</w:t>
      </w:r>
      <w:r w:rsidR="00F81221">
        <w:rPr>
          <w:kern w:val="0"/>
        </w:rPr>
        <w:t xml:space="preserve"> and </w:t>
      </w:r>
      <w:r>
        <w:rPr>
          <w:kern w:val="0"/>
        </w:rPr>
        <w:t xml:space="preserve">Li, L. (2009), First author research productivity of United States radiation oncology residents: 2002-2007. </w:t>
      </w:r>
      <w:r>
        <w:rPr>
          <w:i/>
          <w:iCs/>
          <w:kern w:val="0"/>
        </w:rPr>
        <w:t>International Journal of Radiation Oncology Biology Physics</w:t>
      </w:r>
      <w:r>
        <w:rPr>
          <w:kern w:val="0"/>
        </w:rPr>
        <w:t xml:space="preserve">, </w:t>
      </w:r>
      <w:r>
        <w:rPr>
          <w:b/>
          <w:bCs/>
          <w:kern w:val="0"/>
        </w:rPr>
        <w:t>74</w:t>
      </w:r>
      <w:r>
        <w:rPr>
          <w:kern w:val="0"/>
        </w:rPr>
        <w:t xml:space="preserve"> (5), 1567-1572.</w:t>
      </w:r>
    </w:p>
    <w:p w:rsidR="006740F5" w:rsidRPr="001A3D2B" w:rsidRDefault="006740F5" w:rsidP="006740F5">
      <w:pPr>
        <w:pStyle w:val="a0"/>
      </w:pPr>
      <w:r w:rsidRPr="001A3D2B">
        <w:t xml:space="preserve">Full Text: </w:t>
      </w:r>
      <w:hyperlink r:id="rId2066" w:history="1">
        <w:r w:rsidRPr="006740F5">
          <w:rPr>
            <w:rStyle w:val="a5"/>
          </w:rPr>
          <w:t>2009\Int J Rad Onc Bio Phy74, 1567.pdf</w:t>
        </w:r>
      </w:hyperlink>
    </w:p>
    <w:p w:rsidR="006740F5" w:rsidRDefault="006740F5" w:rsidP="006740F5">
      <w:pPr>
        <w:pStyle w:val="a0"/>
        <w:rPr>
          <w:kern w:val="0"/>
        </w:rPr>
      </w:pPr>
      <w:r>
        <w:rPr>
          <w:kern w:val="0"/>
        </w:rPr>
        <w:t>Abstract: Purpose: Participation in investigative research is a required element of radiation oncology residency in the United States. Our purpose was to quantify the first author research productivity of recent U.S. radiation oncology residents during their residency training. Methods</w:t>
      </w:r>
      <w:r w:rsidR="00F81221">
        <w:rPr>
          <w:kern w:val="0"/>
        </w:rPr>
        <w:t xml:space="preserve"> and </w:t>
      </w:r>
      <w:r>
        <w:rPr>
          <w:kern w:val="0"/>
        </w:rPr>
        <w:t>Materials: We performed a computer-based search of PubMed</w:t>
      </w:r>
      <w:r w:rsidR="00F81221">
        <w:rPr>
          <w:kern w:val="0"/>
        </w:rPr>
        <w:t xml:space="preserve"> and </w:t>
      </w:r>
      <w:r>
        <w:rPr>
          <w:kern w:val="0"/>
        </w:rPr>
        <w:t>a manual review of the proceedings of the annual meetings of the American Society for Therapeutic Radiology</w:t>
      </w:r>
      <w:r w:rsidR="00F81221">
        <w:rPr>
          <w:kern w:val="0"/>
        </w:rPr>
        <w:t xml:space="preserve"> and </w:t>
      </w:r>
      <w:r>
        <w:rPr>
          <w:kern w:val="0"/>
        </w:rPr>
        <w:t>Oncology to identify all publications</w:t>
      </w:r>
      <w:r w:rsidR="00F81221">
        <w:rPr>
          <w:kern w:val="0"/>
        </w:rPr>
        <w:t xml:space="preserve"> and </w:t>
      </w:r>
      <w:r>
        <w:rPr>
          <w:kern w:val="0"/>
        </w:rPr>
        <w:t>presented abstracts with a radiation oncology resident as the first author between 2002</w:t>
      </w:r>
      <w:r w:rsidR="00F81221">
        <w:rPr>
          <w:kern w:val="0"/>
        </w:rPr>
        <w:t xml:space="preserve"> and </w:t>
      </w:r>
      <w:r>
        <w:rPr>
          <w:kern w:val="0"/>
        </w:rPr>
        <w:t>2007. Results: Of 1,098 residents trained at 81 programs, 50% published &gt;= 1 article (range, 0-9),</w:t>
      </w:r>
      <w:r w:rsidR="00F81221">
        <w:rPr>
          <w:kern w:val="0"/>
        </w:rPr>
        <w:t xml:space="preserve"> and </w:t>
      </w:r>
      <w:r>
        <w:rPr>
          <w:kern w:val="0"/>
        </w:rPr>
        <w:t>53% presented &gt;= 1 abstract (range, 0-3) at an American Society for Therapeutic Radiology</w:t>
      </w:r>
      <w:r w:rsidR="00F81221">
        <w:rPr>
          <w:kern w:val="0"/>
        </w:rPr>
        <w:t xml:space="preserve"> and </w:t>
      </w:r>
      <w:r>
        <w:rPr>
          <w:kern w:val="0"/>
        </w:rPr>
        <w:t>Oncology annual meeting. The national average was 1.01 articles published</w:t>
      </w:r>
      <w:r w:rsidR="00F81221">
        <w:rPr>
          <w:kern w:val="0"/>
        </w:rPr>
        <w:t xml:space="preserve"> and </w:t>
      </w:r>
      <w:r>
        <w:rPr>
          <w:kern w:val="0"/>
        </w:rPr>
        <w:t>1.09 abstracts presented per resident during 4 years of training. Of 678 articles published, 82% represented original research</w:t>
      </w:r>
      <w:r w:rsidR="00F81221">
        <w:rPr>
          <w:kern w:val="0"/>
        </w:rPr>
        <w:t xml:space="preserve"> and </w:t>
      </w:r>
      <w:r>
        <w:rPr>
          <w:kern w:val="0"/>
        </w:rPr>
        <w:t>18% were review articles. Residents contributed 15% of all abstracts at American Society for Therapeutic Radiology</w:t>
      </w:r>
      <w:r w:rsidR="00F81221">
        <w:rPr>
          <w:kern w:val="0"/>
        </w:rPr>
        <w:t xml:space="preserve"> and </w:t>
      </w:r>
      <w:r>
        <w:rPr>
          <w:kern w:val="0"/>
        </w:rPr>
        <w:t>Oncology annual meetings,</w:t>
      </w:r>
      <w:r w:rsidR="00F81221">
        <w:rPr>
          <w:kern w:val="0"/>
        </w:rPr>
        <w:t xml:space="preserve"> and </w:t>
      </w:r>
      <w:r>
        <w:rPr>
          <w:kern w:val="0"/>
        </w:rPr>
        <w:t>the resident contribution to orally presented abstracts increased from 12% to 21% during the study period. Individuals training at programs with &gt;6 residents produced roughly twice as many articles</w:t>
      </w:r>
      <w:r w:rsidR="00F81221">
        <w:rPr>
          <w:kern w:val="0"/>
        </w:rPr>
        <w:t xml:space="preserve"> and </w:t>
      </w:r>
      <w:r>
        <w:rPr>
          <w:kern w:val="0"/>
        </w:rPr>
        <w:t>abstracts. Holman Research Pathway residents produced double the national average of articles</w:t>
      </w:r>
      <w:r w:rsidR="00F81221">
        <w:rPr>
          <w:kern w:val="0"/>
        </w:rPr>
        <w:t xml:space="preserve"> and </w:t>
      </w:r>
      <w:r>
        <w:rPr>
          <w:kern w:val="0"/>
        </w:rPr>
        <w:t>abstracts. Conclusion: Although variability exists among individuals</w:t>
      </w:r>
      <w:r w:rsidR="00F81221">
        <w:rPr>
          <w:kern w:val="0"/>
        </w:rPr>
        <w:t xml:space="preserve"> and </w:t>
      </w:r>
      <w:r>
        <w:rPr>
          <w:kern w:val="0"/>
        </w:rPr>
        <w:t>among training programs, U.S. radiation oncology residents routinely participate in investigative research suitable for publication or presentation at a scientific meeting. These data provide national research benchmarks that can assist current</w:t>
      </w:r>
      <w:r w:rsidR="00F81221">
        <w:rPr>
          <w:kern w:val="0"/>
        </w:rPr>
        <w:t xml:space="preserve"> and </w:t>
      </w:r>
      <w:r>
        <w:rPr>
          <w:kern w:val="0"/>
        </w:rPr>
        <w:t>future radiation oncology residents</w:t>
      </w:r>
      <w:r w:rsidR="00F81221">
        <w:rPr>
          <w:kern w:val="0"/>
        </w:rPr>
        <w:t xml:space="preserve"> and </w:t>
      </w:r>
      <w:r>
        <w:rPr>
          <w:kern w:val="0"/>
        </w:rPr>
        <w:t>training programs in their self-assessment</w:t>
      </w:r>
      <w:r w:rsidR="00F81221">
        <w:rPr>
          <w:kern w:val="0"/>
        </w:rPr>
        <w:t xml:space="preserve"> and </w:t>
      </w:r>
      <w:r>
        <w:rPr>
          <w:kern w:val="0"/>
        </w:rPr>
        <w:t>research planning. (C) 2009 Elsevier Inc.</w:t>
      </w:r>
    </w:p>
    <w:p w:rsidR="006740F5" w:rsidRDefault="006740F5" w:rsidP="006740F5">
      <w:pPr>
        <w:pStyle w:val="a0"/>
        <w:rPr>
          <w:kern w:val="0"/>
        </w:rPr>
      </w:pPr>
      <w:r>
        <w:rPr>
          <w:kern w:val="0"/>
        </w:rPr>
        <w:t>Keywords: Author, Contribution, Graduate Medical Education, Productivity, Publication, Publications, PubMed, Radiation Oncology Residency, Research, Resident Training</w:t>
      </w:r>
    </w:p>
    <w:p w:rsidR="000F2DC9" w:rsidRDefault="000F2DC9" w:rsidP="000F2DC9">
      <w:pPr>
        <w:pStyle w:val="a0"/>
        <w:rPr>
          <w:kern w:val="0"/>
          <w:szCs w:val="24"/>
        </w:rPr>
      </w:pPr>
      <w:r>
        <w:rPr>
          <w:rFonts w:hint="eastAsia"/>
          <w:kern w:val="0"/>
          <w:szCs w:val="24"/>
        </w:rPr>
        <w:lastRenderedPageBreak/>
        <w:t xml:space="preserve">? </w:t>
      </w:r>
      <w:r>
        <w:rPr>
          <w:kern w:val="0"/>
          <w:szCs w:val="24"/>
        </w:rPr>
        <w:t>Njeh, C.F. (2011), Citation</w:t>
      </w:r>
      <w:r w:rsidR="00F81221">
        <w:rPr>
          <w:kern w:val="0"/>
          <w:szCs w:val="24"/>
        </w:rPr>
        <w:t xml:space="preserve"> and </w:t>
      </w:r>
      <w:r>
        <w:rPr>
          <w:kern w:val="0"/>
          <w:szCs w:val="24"/>
        </w:rPr>
        <w:t xml:space="preserve">quotation errors: in Regards to Qiu et al. (Int J Radiat Oncol Biol Phys 2010;78/288-296). </w:t>
      </w:r>
      <w:r>
        <w:rPr>
          <w:i/>
          <w:iCs/>
          <w:kern w:val="0"/>
          <w:szCs w:val="24"/>
        </w:rPr>
        <w:t>International Journal of Radiation Oncology Biology Physics</w:t>
      </w:r>
      <w:r>
        <w:rPr>
          <w:kern w:val="0"/>
          <w:szCs w:val="24"/>
        </w:rPr>
        <w:t xml:space="preserve">, </w:t>
      </w:r>
      <w:r>
        <w:rPr>
          <w:b/>
          <w:bCs/>
          <w:kern w:val="0"/>
          <w:szCs w:val="24"/>
        </w:rPr>
        <w:t>79</w:t>
      </w:r>
      <w:r>
        <w:rPr>
          <w:kern w:val="0"/>
          <w:szCs w:val="24"/>
        </w:rPr>
        <w:t xml:space="preserve"> (3), 957</w:t>
      </w:r>
      <w:r>
        <w:rPr>
          <w:rFonts w:hint="eastAsia"/>
          <w:kern w:val="0"/>
          <w:szCs w:val="24"/>
        </w:rPr>
        <w:t>.</w:t>
      </w:r>
    </w:p>
    <w:p w:rsidR="000F2DC9" w:rsidRPr="001A3D2B" w:rsidRDefault="000F2DC9" w:rsidP="000F2DC9">
      <w:pPr>
        <w:pStyle w:val="a0"/>
      </w:pPr>
      <w:r w:rsidRPr="001A3D2B">
        <w:t xml:space="preserve">Full Text: </w:t>
      </w:r>
      <w:hyperlink r:id="rId2067" w:history="1">
        <w:r w:rsidRPr="000F2DC9">
          <w:rPr>
            <w:rStyle w:val="a5"/>
          </w:rPr>
          <w:t>2011\Int J Rad Onc Bio Phy79, 957.pdf</w:t>
        </w:r>
      </w:hyperlink>
    </w:p>
    <w:p w:rsidR="000F2DC9" w:rsidRDefault="000F2DC9" w:rsidP="000F2DC9">
      <w:pPr>
        <w:pStyle w:val="a0"/>
        <w:rPr>
          <w:kern w:val="0"/>
          <w:szCs w:val="24"/>
        </w:rPr>
      </w:pPr>
      <w:r>
        <w:rPr>
          <w:kern w:val="0"/>
          <w:szCs w:val="24"/>
        </w:rPr>
        <w:t>Keywords: Accuracy, Authors Check, Citation, Mar, Partial-Breast Irradiation, References</w:t>
      </w:r>
    </w:p>
    <w:p w:rsidR="00AA7734" w:rsidRDefault="00AA7734" w:rsidP="00AA7734">
      <w:pPr>
        <w:pStyle w:val="a0"/>
        <w:rPr>
          <w:kern w:val="0"/>
        </w:rPr>
      </w:pPr>
      <w:r>
        <w:rPr>
          <w:kern w:val="0"/>
        </w:rPr>
        <w:t xml:space="preserve">? Salvo, N., Doble, B., Khan, L., Amirthevasar, G., Dennis, K., Pharm, M.P., DeAngelis, C., Tsao, M. and Chow, E. (2012), Prophylaxis of radiation-induced nausea and vomiting using 5-hydroxytryptamine-3 serotonin receptor antagonists: A systematic review of randomized trials. </w:t>
      </w:r>
      <w:r>
        <w:rPr>
          <w:i/>
          <w:iCs/>
          <w:kern w:val="0"/>
        </w:rPr>
        <w:t>International Journal of Radiation Oncology Biology Physics</w:t>
      </w:r>
      <w:r>
        <w:rPr>
          <w:kern w:val="0"/>
        </w:rPr>
        <w:t xml:space="preserve">, </w:t>
      </w:r>
      <w:r>
        <w:rPr>
          <w:b/>
          <w:bCs/>
          <w:kern w:val="0"/>
        </w:rPr>
        <w:t>82</w:t>
      </w:r>
      <w:r>
        <w:rPr>
          <w:kern w:val="0"/>
        </w:rPr>
        <w:t xml:space="preserve"> (1), 408-417.</w:t>
      </w:r>
    </w:p>
    <w:p w:rsidR="00AA7734" w:rsidRDefault="00AA7734" w:rsidP="00AA7734">
      <w:pPr>
        <w:pStyle w:val="a0"/>
      </w:pPr>
      <w:r>
        <w:t xml:space="preserve">Full Text: </w:t>
      </w:r>
      <w:hyperlink r:id="rId2068" w:history="1">
        <w:r>
          <w:rPr>
            <w:rStyle w:val="a5"/>
          </w:rPr>
          <w:t>2012\Int J Rad Onc Bio Phy82, 408.pdf</w:t>
        </w:r>
      </w:hyperlink>
    </w:p>
    <w:p w:rsidR="00AA7734" w:rsidRDefault="00AA7734" w:rsidP="00AA7734">
      <w:pPr>
        <w:pStyle w:val="a0"/>
        <w:rPr>
          <w:kern w:val="0"/>
        </w:rPr>
      </w:pPr>
      <w:r>
        <w:rPr>
          <w:kern w:val="0"/>
        </w:rPr>
        <w:t xml:space="preserve">Abstract: Purpose: To systematically review the effectiveness and safety of 5-hydroxytryptamine-3 receptor antagonists (5-HT3 RAs) compared with other antiemetic medication or placebo for prophylaxis of radiation-induced nausea and vomiting. Methods and Materials: We searched the following electronic databases: MEDLINE, Embase, the Cochrane Central Register of Controlled Clinical Trials, and Web of Science. We also hand-searched reference lists of included studies. Randomized, controlled trials that compared a 5-HT3 RA with another antiemetic medication or placebo for preventing radiation-induced nausea and vomiting were included. We excluded studies recruiting patients receiving concomitant chemotherapy. When appropriate, meta-analysis was conducted using Review Manager (v5) software. Relative risks were calculated using inverse variance as the statistical method under a random-effects model. We assessed the quality of evidence by outcome using the Grading of Recommendations Assessment, Development, and Evaluation approach. Results: Eligibility screening of 47 articles resulted in 9 included in the review. The overall methodologic quality was moderate. Meta-analysis of 5-HT3 RAs vs. placebo showed significant benefit for 5-HT3 RAs (relative risk [RR] 0.70; 95% confidence interval [CI] 0.57-0.86 for emesis; RR 0.84, 95% CI 0.73-0.96 for nausea). Meta-analysis comparing 5-HT3 RAs vs. metoclopramide showed a significant benefit of the 5-HT3 RAs for emetic control (RR 0.27, 95% CI 0.15-0.47). Conclusion: 5-Hydroxytryptamine-3 RAs are superior to placebo and other antiemetics for prevention of emesis, but little benefit was identified for nausea prevention. 5-Hydroxytryptamine-3 RAs are suggested for prevention of emesis. Limited evidence was found regarding delayed emesis, adverse events, quality of life, or need for rescue medication. Future randomized, controlled trials should evaluate different 5-HT3 antiemetics and new agents with novel mechanisms of action such at the NK(1) receptor antagonists to determine the most effective drug. Delayed nausea and vomiting should be a focus of future study, </w:t>
      </w:r>
      <w:r>
        <w:rPr>
          <w:kern w:val="0"/>
        </w:rPr>
        <w:lastRenderedPageBreak/>
        <w:t>perhaps concentrating on the palliative cancer population. (C) 2012 Elsevier Inc.</w:t>
      </w:r>
    </w:p>
    <w:p w:rsidR="00AA7734" w:rsidRDefault="00AA7734" w:rsidP="00AA7734">
      <w:pPr>
        <w:pStyle w:val="a0"/>
        <w:rPr>
          <w:kern w:val="0"/>
        </w:rPr>
      </w:pPr>
      <w:r>
        <w:rPr>
          <w:kern w:val="0"/>
        </w:rPr>
        <w:t>Keywords: 5-HT3 Receptor Antagonist, Abdominal Radiotherapy, Adverse Events, Antiemetics, Assessment, Cancer, Chemotherapy, Cochrane, Control, Databases, Dexamethasone, Double-Blind, Drug, Effectiveness, Efficacy, Evaluation, Granisetron, Induced Emesis, Mechanisms, Medication, Medline, Meta Analysis, Meta-Analysis, Methods, Model, National-Cancer-Institute, Ondansetron, Outcome, Palliative, Patients, Prevention, Prophylaxis, Quality, Quality of Life, Radiation-Induced Nausea And Vomiting, Radiotherapy-Induced Nausea, Relative Risk, Review, Risk, Safety, Science, Screening, Serotonin, Software, Statistical, Systematic, Systematic Review, Web of Science</w:t>
      </w:r>
    </w:p>
    <w:p w:rsidR="00BF14DC" w:rsidRPr="00A428C3" w:rsidRDefault="00BF14DC" w:rsidP="00BF14DC">
      <w:pPr>
        <w:pStyle w:val="1"/>
      </w:pPr>
      <w:r w:rsidRPr="00A428C3">
        <w:br w:type="page"/>
      </w:r>
      <w:bookmarkStart w:id="1495" w:name="_Toc317161369"/>
      <w:r w:rsidRPr="00A428C3">
        <w:lastRenderedPageBreak/>
        <w:t xml:space="preserve">Title: </w:t>
      </w:r>
      <w:r w:rsidRPr="00BF14DC">
        <w:rPr>
          <w:iCs/>
        </w:rPr>
        <w:t>International Journal of Refractory Metals &amp; Hard Materials</w:t>
      </w:r>
      <w:bookmarkEnd w:id="1495"/>
    </w:p>
    <w:p w:rsidR="00BF14DC" w:rsidRPr="00A428C3" w:rsidRDefault="00BF14DC" w:rsidP="00B72EF9">
      <w:pPr>
        <w:pStyle w:val="12"/>
      </w:pPr>
      <w:r w:rsidRPr="00A428C3">
        <w:t xml:space="preserve">Full Journal Title: </w:t>
      </w:r>
      <w:hyperlink r:id="rId2069" w:history="1">
        <w:r w:rsidRPr="00BF14DC">
          <w:rPr>
            <w:rStyle w:val="a5"/>
            <w:iCs/>
          </w:rPr>
          <w:t>International Journal of Refractory Metals &amp; Hard Materials</w:t>
        </w:r>
      </w:hyperlink>
    </w:p>
    <w:p w:rsidR="00BF14DC" w:rsidRPr="00A428C3" w:rsidRDefault="00BF14DC" w:rsidP="00B72EF9">
      <w:pPr>
        <w:pStyle w:val="12"/>
      </w:pPr>
      <w:r w:rsidRPr="00A428C3">
        <w:t xml:space="preserve">ISO Abbreviated Title: </w:t>
      </w:r>
    </w:p>
    <w:p w:rsidR="00BF14DC" w:rsidRPr="00A428C3" w:rsidRDefault="00BF14DC" w:rsidP="00B72EF9">
      <w:pPr>
        <w:pStyle w:val="12"/>
      </w:pPr>
      <w:r w:rsidRPr="00A428C3">
        <w:t xml:space="preserve">JCR Abbreviated Title: </w:t>
      </w:r>
    </w:p>
    <w:p w:rsidR="00BF14DC" w:rsidRPr="00A428C3" w:rsidRDefault="00BF14DC" w:rsidP="00B72EF9">
      <w:pPr>
        <w:pStyle w:val="12"/>
      </w:pPr>
      <w:r w:rsidRPr="00A428C3">
        <w:t xml:space="preserve">ISSN: </w:t>
      </w:r>
    </w:p>
    <w:p w:rsidR="00BF14DC" w:rsidRPr="00A428C3" w:rsidRDefault="00BF14DC" w:rsidP="00B72EF9">
      <w:pPr>
        <w:pStyle w:val="12"/>
      </w:pPr>
      <w:r w:rsidRPr="00A428C3">
        <w:t xml:space="preserve">Issues/Year: </w:t>
      </w:r>
    </w:p>
    <w:p w:rsidR="00BF14DC" w:rsidRPr="00A428C3" w:rsidRDefault="00BF14DC" w:rsidP="00B72EF9">
      <w:pPr>
        <w:pStyle w:val="12"/>
      </w:pPr>
      <w:r w:rsidRPr="00A428C3">
        <w:t>Journal Country/Territory:</w:t>
      </w:r>
    </w:p>
    <w:p w:rsidR="00BF14DC" w:rsidRPr="00A428C3" w:rsidRDefault="00BF14DC" w:rsidP="00B72EF9">
      <w:pPr>
        <w:pStyle w:val="12"/>
      </w:pPr>
      <w:r w:rsidRPr="00A428C3">
        <w:t xml:space="preserve">Language: </w:t>
      </w:r>
    </w:p>
    <w:p w:rsidR="00BF14DC" w:rsidRPr="00A428C3" w:rsidRDefault="00BF14DC" w:rsidP="00B72EF9">
      <w:pPr>
        <w:pStyle w:val="12"/>
      </w:pPr>
      <w:r w:rsidRPr="00A428C3">
        <w:t xml:space="preserve">Publisher: </w:t>
      </w:r>
    </w:p>
    <w:p w:rsidR="00BF14DC" w:rsidRPr="00A428C3" w:rsidRDefault="00BF14DC" w:rsidP="00B72EF9">
      <w:pPr>
        <w:pStyle w:val="12"/>
      </w:pPr>
      <w:r w:rsidRPr="00A428C3">
        <w:t xml:space="preserve">Publisher Address: </w:t>
      </w:r>
    </w:p>
    <w:p w:rsidR="00BF14DC" w:rsidRPr="00A428C3" w:rsidRDefault="00BF14DC" w:rsidP="00B72EF9">
      <w:pPr>
        <w:pStyle w:val="12"/>
      </w:pPr>
      <w:r w:rsidRPr="00A428C3">
        <w:t>Subject Categories:</w:t>
      </w:r>
    </w:p>
    <w:p w:rsidR="00BF14DC" w:rsidRPr="00A428C3" w:rsidRDefault="00BF14DC" w:rsidP="00B72EF9">
      <w:pPr>
        <w:pStyle w:val="12"/>
      </w:pPr>
      <w:r w:rsidRPr="00A428C3">
        <w:t>Impact Factor</w:t>
      </w:r>
    </w:p>
    <w:p w:rsidR="00BF14DC" w:rsidRDefault="00BF14DC" w:rsidP="00BF14DC">
      <w:pPr>
        <w:pStyle w:val="a0"/>
        <w:rPr>
          <w:kern w:val="0"/>
        </w:rPr>
      </w:pPr>
      <w:r>
        <w:rPr>
          <w:rFonts w:hint="eastAsia"/>
          <w:kern w:val="0"/>
        </w:rPr>
        <w:t xml:space="preserve">? </w:t>
      </w:r>
      <w:r>
        <w:rPr>
          <w:kern w:val="0"/>
        </w:rPr>
        <w:t>Ortner, H.M. (2010), The impact factor</w:t>
      </w:r>
      <w:r w:rsidR="00F81221">
        <w:rPr>
          <w:kern w:val="0"/>
        </w:rPr>
        <w:t xml:space="preserve"> and </w:t>
      </w:r>
      <w:r>
        <w:rPr>
          <w:kern w:val="0"/>
        </w:rPr>
        <w:t xml:space="preserve">other performance measures - much used with little knowledge about. </w:t>
      </w:r>
      <w:r w:rsidRPr="00BF14DC">
        <w:rPr>
          <w:i/>
          <w:iCs/>
          <w:kern w:val="0"/>
        </w:rPr>
        <w:t>International Journal of Refractory Metals &amp; Hard Materials</w:t>
      </w:r>
      <w:r>
        <w:rPr>
          <w:kern w:val="0"/>
        </w:rPr>
        <w:t xml:space="preserve">, </w:t>
      </w:r>
      <w:r>
        <w:rPr>
          <w:b/>
          <w:bCs/>
          <w:kern w:val="0"/>
        </w:rPr>
        <w:t>28</w:t>
      </w:r>
      <w:r>
        <w:rPr>
          <w:kern w:val="0"/>
        </w:rPr>
        <w:t xml:space="preserve"> (5), 559-566.</w:t>
      </w:r>
    </w:p>
    <w:p w:rsidR="00BF14DC" w:rsidRDefault="00BF14DC" w:rsidP="00BF14DC">
      <w:pPr>
        <w:pStyle w:val="a0"/>
        <w:rPr>
          <w:kern w:val="0"/>
        </w:rPr>
      </w:pPr>
      <w:r>
        <w:rPr>
          <w:rFonts w:hint="eastAsia"/>
          <w:kern w:val="0"/>
        </w:rPr>
        <w:t xml:space="preserve">Full Text: </w:t>
      </w:r>
      <w:hyperlink r:id="rId2070" w:history="1">
        <w:r w:rsidR="00940B21" w:rsidRPr="00940B21">
          <w:rPr>
            <w:rStyle w:val="a5"/>
            <w:kern w:val="0"/>
          </w:rPr>
          <w:t>2010\Int J Ref Met Har Mat28, 559.pdf</w:t>
        </w:r>
      </w:hyperlink>
    </w:p>
    <w:p w:rsidR="00BF14DC" w:rsidRDefault="00BF14DC" w:rsidP="00BF14DC">
      <w:pPr>
        <w:pStyle w:val="a0"/>
        <w:rPr>
          <w:kern w:val="0"/>
        </w:rPr>
      </w:pPr>
      <w:r>
        <w:rPr>
          <w:kern w:val="0"/>
        </w:rPr>
        <w:t>Abstract: It is generally believed that the IF is an objective measure of a journal</w:t>
      </w:r>
      <w:r w:rsidR="000352E7">
        <w:rPr>
          <w:kern w:val="0"/>
        </w:rPr>
        <w:t>’</w:t>
      </w:r>
      <w:r>
        <w:rPr>
          <w:kern w:val="0"/>
        </w:rPr>
        <w:t>s scientific quality. However, the IF is good for a relative comparison at best because it is not directly related to the journal</w:t>
      </w:r>
      <w:r w:rsidR="000352E7">
        <w:rPr>
          <w:kern w:val="0"/>
        </w:rPr>
        <w:t>’</w:t>
      </w:r>
      <w:r>
        <w:rPr>
          <w:kern w:val="0"/>
        </w:rPr>
        <w:t>s quality. It is the aim of this paper to provide important information on how the IF is derived</w:t>
      </w:r>
      <w:r w:rsidR="00F81221">
        <w:rPr>
          <w:kern w:val="0"/>
        </w:rPr>
        <w:t xml:space="preserve"> and </w:t>
      </w:r>
      <w:r>
        <w:rPr>
          <w:kern w:val="0"/>
        </w:rPr>
        <w:t>what it can tell you. The value of the IF is, however, affected by sociological</w:t>
      </w:r>
      <w:r w:rsidR="00F81221">
        <w:rPr>
          <w:kern w:val="0"/>
        </w:rPr>
        <w:t xml:space="preserve"> and </w:t>
      </w:r>
      <w:r>
        <w:rPr>
          <w:kern w:val="0"/>
        </w:rPr>
        <w:t>statistical factors. Sociological factors: Type of journal (publishing mainly letters, full papers or reviews) Average number of authors per paper (this is related to the subject area) Time (month) of publication The publish or perish phenomenon Factors specific to the technical field: Subject area of the journal (i.e. number of scientists working in this area) Size of the journal Number of scientists working the field Type of scientists working in the field (industry vs. university) Further, IFs are statistical measures</w:t>
      </w:r>
      <w:r w:rsidR="00F81221">
        <w:rPr>
          <w:kern w:val="0"/>
        </w:rPr>
        <w:t xml:space="preserve"> and </w:t>
      </w:r>
      <w:r>
        <w:rPr>
          <w:kern w:val="0"/>
        </w:rPr>
        <w:t>as such they are correlated to the number of workers in a certain area. Since this number varies greatly for various fields of science the respective IFs are not directly comparable. Hence, comparisons of IFs should only be made for journals in the same subject area. This knowledge is essential for every scientist but it is only infrequently discussed. In addition, a multitude of further performance measures have been recently proposed for both: The evaluation of journals</w:t>
      </w:r>
      <w:r w:rsidR="00F81221">
        <w:rPr>
          <w:kern w:val="0"/>
        </w:rPr>
        <w:t xml:space="preserve"> and </w:t>
      </w:r>
      <w:r>
        <w:rPr>
          <w:kern w:val="0"/>
        </w:rPr>
        <w:t>The quantification of an individual</w:t>
      </w:r>
      <w:r w:rsidR="000352E7">
        <w:rPr>
          <w:kern w:val="0"/>
        </w:rPr>
        <w:t>’</w:t>
      </w:r>
      <w:r>
        <w:rPr>
          <w:kern w:val="0"/>
        </w:rPr>
        <w:t xml:space="preserve">s scientific research output It is attempted to give a short overview on this still developing field as far as it seems necessary for general use in the scientific community rather than in the highly specialized field of bibliometrics. (C) 2010 </w:t>
      </w:r>
      <w:r>
        <w:rPr>
          <w:kern w:val="0"/>
        </w:rPr>
        <w:lastRenderedPageBreak/>
        <w:t>Elsevier Ltd. All rights reserved.</w:t>
      </w:r>
    </w:p>
    <w:p w:rsidR="00BF14DC" w:rsidRDefault="00BF14DC" w:rsidP="00BF14DC">
      <w:pPr>
        <w:pStyle w:val="a0"/>
        <w:rPr>
          <w:kern w:val="0"/>
        </w:rPr>
      </w:pPr>
      <w:r>
        <w:rPr>
          <w:kern w:val="0"/>
        </w:rPr>
        <w:t>Keywords: Bibliometrics, Impact Factor, Index, Journal Performance Measures, Journal Quality, Journals, Publication, Research, Research Output, Science</w:t>
      </w:r>
    </w:p>
    <w:p w:rsidR="00B95188" w:rsidRPr="00A428C3" w:rsidRDefault="00B95188" w:rsidP="00B95188">
      <w:pPr>
        <w:pStyle w:val="1"/>
      </w:pPr>
      <w:r w:rsidRPr="00A428C3">
        <w:br w:type="page"/>
      </w:r>
      <w:bookmarkStart w:id="1496" w:name="_Toc488418626"/>
      <w:bookmarkStart w:id="1497" w:name="_Toc488467661"/>
      <w:bookmarkStart w:id="1498" w:name="_Toc489709766"/>
      <w:bookmarkStart w:id="1499" w:name="_Toc490688076"/>
      <w:bookmarkStart w:id="1500" w:name="_Toc492812189"/>
      <w:bookmarkStart w:id="1501" w:name="_Toc186647954"/>
      <w:bookmarkStart w:id="1502" w:name="_Toc487192732"/>
      <w:bookmarkStart w:id="1503" w:name="_Toc317161370"/>
      <w:r w:rsidRPr="00A428C3">
        <w:lastRenderedPageBreak/>
        <w:t>Title: International Journal of Rehabilitation Research</w:t>
      </w:r>
      <w:bookmarkEnd w:id="1496"/>
      <w:bookmarkEnd w:id="1497"/>
      <w:bookmarkEnd w:id="1498"/>
      <w:bookmarkEnd w:id="1499"/>
      <w:bookmarkEnd w:id="1500"/>
      <w:bookmarkEnd w:id="1501"/>
      <w:bookmarkEnd w:id="1503"/>
    </w:p>
    <w:p w:rsidR="00B95188" w:rsidRPr="00A428C3" w:rsidRDefault="00B95188" w:rsidP="00B72EF9">
      <w:pPr>
        <w:pStyle w:val="12"/>
      </w:pPr>
      <w:r w:rsidRPr="00A428C3">
        <w:t>Full Journal Title: International Journal of Rehabilitation Research</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254578" w:rsidRDefault="00254578" w:rsidP="00254578">
      <w:pPr>
        <w:pStyle w:val="a0"/>
        <w:rPr>
          <w:kern w:val="0"/>
          <w:szCs w:val="24"/>
        </w:rPr>
      </w:pPr>
      <w:r>
        <w:rPr>
          <w:rFonts w:hint="eastAsia"/>
          <w:kern w:val="0"/>
          <w:szCs w:val="24"/>
        </w:rPr>
        <w:t xml:space="preserve">? </w:t>
      </w:r>
      <w:r>
        <w:rPr>
          <w:kern w:val="0"/>
          <w:szCs w:val="24"/>
        </w:rPr>
        <w:t>Shearer, B., Burnham, J., Wall, J.C.</w:t>
      </w:r>
      <w:r w:rsidR="00F81221">
        <w:rPr>
          <w:kern w:val="0"/>
          <w:szCs w:val="24"/>
        </w:rPr>
        <w:t xml:space="preserve"> and </w:t>
      </w:r>
      <w:r>
        <w:rPr>
          <w:kern w:val="0"/>
          <w:szCs w:val="24"/>
        </w:rPr>
        <w:t>Turnbull, G.I. (1995), Physical</w:t>
      </w:r>
      <w:r w:rsidR="00F81221">
        <w:rPr>
          <w:kern w:val="0"/>
          <w:szCs w:val="24"/>
        </w:rPr>
        <w:t xml:space="preserve"> and </w:t>
      </w:r>
      <w:r>
        <w:rPr>
          <w:kern w:val="0"/>
          <w:szCs w:val="24"/>
        </w:rPr>
        <w:t>occupational-therapy - whats common</w:t>
      </w:r>
      <w:r w:rsidR="00F81221">
        <w:rPr>
          <w:kern w:val="0"/>
          <w:szCs w:val="24"/>
        </w:rPr>
        <w:t xml:space="preserve"> and </w:t>
      </w:r>
      <w:r>
        <w:rPr>
          <w:kern w:val="0"/>
          <w:szCs w:val="24"/>
        </w:rPr>
        <w:t xml:space="preserve">whats not. </w:t>
      </w:r>
      <w:r>
        <w:rPr>
          <w:i/>
          <w:iCs/>
          <w:kern w:val="0"/>
          <w:szCs w:val="24"/>
        </w:rPr>
        <w:t>International Journal of Rehabilitation Research</w:t>
      </w:r>
      <w:r>
        <w:rPr>
          <w:kern w:val="0"/>
          <w:szCs w:val="24"/>
        </w:rPr>
        <w:t xml:space="preserve">, </w:t>
      </w:r>
      <w:r>
        <w:rPr>
          <w:b/>
          <w:bCs/>
          <w:kern w:val="0"/>
          <w:szCs w:val="24"/>
        </w:rPr>
        <w:t>18</w:t>
      </w:r>
      <w:r>
        <w:rPr>
          <w:kern w:val="0"/>
          <w:szCs w:val="24"/>
        </w:rPr>
        <w:t xml:space="preserve"> (2), 168-174</w:t>
      </w:r>
    </w:p>
    <w:p w:rsidR="00254578" w:rsidRPr="00217FB1" w:rsidRDefault="00254578" w:rsidP="00254578">
      <w:pPr>
        <w:pStyle w:val="a0"/>
      </w:pPr>
      <w:r>
        <w:rPr>
          <w:kern w:val="0"/>
          <w:szCs w:val="24"/>
        </w:rPr>
        <w:t>Keywords: Bibliometric Analysis, Occupational Therapy, Physical Therapy, Similarities</w:t>
      </w:r>
    </w:p>
    <w:p w:rsidR="00B95188" w:rsidRPr="00A428C3" w:rsidRDefault="00B95188" w:rsidP="00B95188">
      <w:pPr>
        <w:pStyle w:val="a0"/>
      </w:pPr>
      <w:r w:rsidRPr="00A428C3">
        <w:t>? Woodend, A.K., Nair, R.C.</w:t>
      </w:r>
      <w:r w:rsidR="00F81221">
        <w:t xml:space="preserve"> and </w:t>
      </w:r>
      <w:r w:rsidRPr="00A428C3">
        <w:t xml:space="preserve">Tang, A.S.L. (1997), Definition of life quality from a patient versus health care professional perspective. </w:t>
      </w:r>
      <w:r w:rsidRPr="00A428C3">
        <w:rPr>
          <w:i/>
        </w:rPr>
        <w:t>International Journal of Rehabilitation Research</w:t>
      </w:r>
      <w:r w:rsidRPr="00A428C3">
        <w:t xml:space="preserve">, </w:t>
      </w:r>
      <w:r w:rsidRPr="00A428C3">
        <w:rPr>
          <w:b/>
        </w:rPr>
        <w:t>20</w:t>
      </w:r>
      <w:r w:rsidRPr="00A428C3">
        <w:t xml:space="preserve"> (1), 71-80.</w:t>
      </w:r>
    </w:p>
    <w:p w:rsidR="00B95188" w:rsidRPr="00A428C3" w:rsidRDefault="00B95188" w:rsidP="00B95188">
      <w:pPr>
        <w:pStyle w:val="a0"/>
      </w:pPr>
      <w:r w:rsidRPr="00A428C3">
        <w:t>Abstract: Quality of life assessment is increasingly acknowledged as an important component in selecting optimal health interventions for persons with cardiovascular disease. We hypothesized that cardiac out-patients have the same perception of what comprises quality of life as do their health care providers. A list of items was compiled from all quality of life measures</w:t>
      </w:r>
      <w:r w:rsidR="00F81221">
        <w:t xml:space="preserve"> and </w:t>
      </w:r>
      <w:r w:rsidRPr="00A428C3">
        <w:t>quality of life research. Staff members, cardiac out-patients</w:t>
      </w:r>
      <w:r w:rsidR="00F81221">
        <w:t xml:space="preserve"> and </w:t>
      </w:r>
      <w:r w:rsidRPr="00A428C3">
        <w:t>family members were asked what they considered important to the patients</w:t>
      </w:r>
      <w:r w:rsidR="000352E7">
        <w:t>’</w:t>
      </w:r>
      <w:r w:rsidRPr="00A428C3">
        <w:t xml:space="preserve"> quality of life by rating the relative importance of each item on the list. The three groups differed in their ratings. of the top ten items ranked by patients, only three items appeared on the staff top ten List,</w:t>
      </w:r>
      <w:r w:rsidR="00F81221">
        <w:t xml:space="preserve"> and </w:t>
      </w:r>
      <w:r w:rsidRPr="00A428C3">
        <w:t>five on the family member</w:t>
      </w:r>
      <w:r w:rsidR="000352E7">
        <w:t>’</w:t>
      </w:r>
      <w:r w:rsidRPr="00A428C3">
        <w:t>s list. The patients, in contrast with staff</w:t>
      </w:r>
      <w:r w:rsidR="00F81221">
        <w:t xml:space="preserve"> and </w:t>
      </w:r>
      <w:r w:rsidRPr="00A428C3">
        <w:t>family, chose aspects of QL that reflected the positive aspects of life. These differences were more marked in the physical, psychological,</w:t>
      </w:r>
      <w:r w:rsidR="00F81221">
        <w:t xml:space="preserve"> and </w:t>
      </w:r>
      <w:r w:rsidRPr="00A428C3">
        <w:t>activity domains than in the social domain. The study suggests that QL measures developed from the perspective of primary caregivers are probably invalid</w:t>
      </w:r>
      <w:r w:rsidR="00F81221">
        <w:t xml:space="preserve"> and </w:t>
      </w:r>
      <w:r w:rsidRPr="00A428C3">
        <w:t>therefore QL measures should be developed from a patient perspective.</w:t>
      </w:r>
    </w:p>
    <w:p w:rsidR="00B95188" w:rsidRPr="00A428C3" w:rsidRDefault="00B95188" w:rsidP="00B95188">
      <w:pPr>
        <w:pStyle w:val="a0"/>
      </w:pPr>
      <w:r w:rsidRPr="00A428C3">
        <w:t xml:space="preserve">Keywords: Acute Myocardial-Infarction, Of-Life, Heart-Transplantation, Improve Quality, Follow-Up, Rehabilitation, Surgery, Failure, Therapy, Impact, Artificial Cardiac Pacing, Cardiovascular Diseases, Cardiac Rehabilitation, Measurement, </w:t>
      </w:r>
      <w:r w:rsidRPr="00A428C3">
        <w:lastRenderedPageBreak/>
        <w:t>Quality of Life</w:t>
      </w:r>
    </w:p>
    <w:p w:rsidR="00B95188" w:rsidRPr="00A428C3" w:rsidRDefault="00B95188" w:rsidP="00B95188">
      <w:pPr>
        <w:pStyle w:val="a0"/>
      </w:pPr>
      <w:r w:rsidRPr="00A428C3">
        <w:t>? Schwartz, C.</w:t>
      </w:r>
      <w:r w:rsidR="00F81221">
        <w:t xml:space="preserve"> and </w:t>
      </w:r>
      <w:r w:rsidRPr="00A428C3">
        <w:t xml:space="preserve">BenMenachem, Y. (1999), Assessing quality of life among adults with mental retardation living in various settings. </w:t>
      </w:r>
      <w:r w:rsidRPr="00A428C3">
        <w:rPr>
          <w:i/>
        </w:rPr>
        <w:t>International Journal of Rehabilitation Research</w:t>
      </w:r>
      <w:r w:rsidRPr="00A428C3">
        <w:t xml:space="preserve">, </w:t>
      </w:r>
      <w:r w:rsidRPr="00A428C3">
        <w:rPr>
          <w:b/>
        </w:rPr>
        <w:t>22</w:t>
      </w:r>
      <w:r w:rsidRPr="00A428C3">
        <w:t xml:space="preserve"> (2), 123-130.</w:t>
      </w:r>
    </w:p>
    <w:p w:rsidR="00B95188" w:rsidRPr="00A428C3" w:rsidRDefault="00B95188" w:rsidP="00B95188">
      <w:pPr>
        <w:pStyle w:val="a0"/>
      </w:pPr>
      <w:r w:rsidRPr="00A428C3">
        <w:t xml:space="preserve">Abstract: Fifty-eight Israeli adults with mild to moderate mental retardation, living in </w:t>
      </w:r>
      <w:smartTag w:uri="urn:schemas-microsoft-com:office:smarttags" w:element="place">
        <w:smartTag w:uri="urn:schemas-microsoft-com:office:smarttags" w:element="City">
          <w:r w:rsidRPr="00A428C3">
            <w:t>Jerusalem</w:t>
          </w:r>
        </w:smartTag>
      </w:smartTag>
      <w:r w:rsidRPr="00A428C3">
        <w:t>, either in a residential institution, various sheltered apartments or in their parents</w:t>
      </w:r>
      <w:r w:rsidR="000352E7">
        <w:t>’</w:t>
      </w:r>
      <w:r w:rsidRPr="00A428C3">
        <w:t xml:space="preserve"> home, were studied with respect to their quality of life. Quality of life was evaluated through the assessment of individual</w:t>
      </w:r>
      <w:r w:rsidR="000352E7">
        <w:t>’</w:t>
      </w:r>
      <w:r w:rsidRPr="00A428C3">
        <w:t>s satisfaction with different elements of life. The results are presented in this article. Overall, significant differences were found in satisfaction with: current residence, friends</w:t>
      </w:r>
      <w:r w:rsidR="00F81221">
        <w:t xml:space="preserve"> and </w:t>
      </w:r>
      <w:r w:rsidRPr="00A428C3">
        <w:t>free time.</w:t>
      </w:r>
      <w:r w:rsidR="00F81221">
        <w:t xml:space="preserve"> and </w:t>
      </w:r>
      <w:r w:rsidRPr="00A428C3">
        <w:t>total lifestyle satisfaction. Residents of sheltered apartments expressed the most satisfaction in these three domains. Persons living in the residential institution expressed the least satisfaction with current residence.</w:t>
      </w:r>
      <w:r w:rsidR="00F81221">
        <w:t xml:space="preserve"> and </w:t>
      </w:r>
      <w:r w:rsidRPr="00A428C3">
        <w:t>people living in their parents</w:t>
      </w:r>
      <w:r w:rsidR="000352E7">
        <w:t>’</w:t>
      </w:r>
      <w:r w:rsidRPr="00A428C3">
        <w:t xml:space="preserve"> home expressed the least satisfaction with friends</w:t>
      </w:r>
      <w:r w:rsidR="00F81221">
        <w:t xml:space="preserve"> and </w:t>
      </w:r>
      <w:r w:rsidRPr="00A428C3">
        <w:t>free time</w:t>
      </w:r>
      <w:r w:rsidR="00F81221">
        <w:t xml:space="preserve"> and </w:t>
      </w:r>
      <w:r w:rsidRPr="00A428C3">
        <w:t>with total lifestyle satisfaction. The three groups differ significantly on the three domains of life satisfaction even after controlling for background</w:t>
      </w:r>
      <w:r w:rsidR="00F81221">
        <w:t xml:space="preserve"> and </w:t>
      </w:r>
      <w:r w:rsidRPr="00A428C3">
        <w:t>environmental characteristics such as: age, health limitations, adaptive behaviour, participation in leisure activities,</w:t>
      </w:r>
      <w:r w:rsidR="00F81221">
        <w:t xml:space="preserve"> and </w:t>
      </w:r>
      <w:r w:rsidRPr="00A428C3">
        <w:t>opportunity to choose</w:t>
      </w:r>
      <w:r w:rsidR="00F81221">
        <w:t xml:space="preserve"> and </w:t>
      </w:r>
      <w:r w:rsidRPr="00A428C3">
        <w:t>decide.</w:t>
      </w:r>
    </w:p>
    <w:p w:rsidR="00B95188" w:rsidRPr="00A428C3" w:rsidRDefault="00B95188" w:rsidP="00B95188">
      <w:pPr>
        <w:pStyle w:val="a0"/>
      </w:pPr>
      <w:r w:rsidRPr="00A428C3">
        <w:t>Keywords: Retarded Adults, Of-Life, Satisfaction, Adjustment, Placement, Services, Clients, Life Satisfaction, Living in Various Settings, Mental Retardation, Quality of Life</w:t>
      </w:r>
    </w:p>
    <w:p w:rsidR="00715FFE" w:rsidRDefault="00715FFE" w:rsidP="00715FFE">
      <w:pPr>
        <w:pStyle w:val="a0"/>
        <w:rPr>
          <w:kern w:val="0"/>
        </w:rPr>
      </w:pPr>
      <w:r>
        <w:rPr>
          <w:rFonts w:hint="eastAsia"/>
          <w:kern w:val="0"/>
        </w:rPr>
        <w:t xml:space="preserve">? </w:t>
      </w:r>
      <w:r>
        <w:rPr>
          <w:kern w:val="0"/>
        </w:rPr>
        <w:t>Leung, D.P.K.</w:t>
      </w:r>
      <w:r w:rsidR="00F81221">
        <w:rPr>
          <w:kern w:val="0"/>
        </w:rPr>
        <w:t xml:space="preserve"> and </w:t>
      </w:r>
      <w:r>
        <w:rPr>
          <w:kern w:val="0"/>
        </w:rPr>
        <w:t>Liu, K.P.Y. (2011), Review of self-awareness</w:t>
      </w:r>
      <w:r w:rsidR="00F81221">
        <w:rPr>
          <w:kern w:val="0"/>
        </w:rPr>
        <w:t xml:space="preserve"> and </w:t>
      </w:r>
      <w:r>
        <w:rPr>
          <w:kern w:val="0"/>
        </w:rPr>
        <w:t xml:space="preserve">its clinical application in stroke rehabilitation. </w:t>
      </w:r>
      <w:r w:rsidRPr="00711CAA">
        <w:rPr>
          <w:i/>
          <w:iCs/>
          <w:kern w:val="0"/>
        </w:rPr>
        <w:t>International Journal of Rehabilitation Research</w:t>
      </w:r>
      <w:r>
        <w:rPr>
          <w:kern w:val="0"/>
        </w:rPr>
        <w:t xml:space="preserve">, </w:t>
      </w:r>
      <w:r>
        <w:rPr>
          <w:b/>
          <w:bCs/>
          <w:kern w:val="0"/>
        </w:rPr>
        <w:t>34</w:t>
      </w:r>
      <w:r>
        <w:rPr>
          <w:kern w:val="0"/>
        </w:rPr>
        <w:t xml:space="preserve"> (3), 187-195.</w:t>
      </w:r>
    </w:p>
    <w:p w:rsidR="00715FFE" w:rsidRDefault="00715FFE" w:rsidP="00715FFE">
      <w:pPr>
        <w:pStyle w:val="a0"/>
        <w:rPr>
          <w:kern w:val="0"/>
        </w:rPr>
      </w:pPr>
      <w:r>
        <w:rPr>
          <w:kern w:val="0"/>
        </w:rPr>
        <w:t>Abstract: The objectives of this study were (i) to explore, following a literature review, the concepts of self-awareness, its assessment,</w:t>
      </w:r>
      <w:r w:rsidR="00F81221">
        <w:rPr>
          <w:kern w:val="0"/>
        </w:rPr>
        <w:t xml:space="preserve"> and </w:t>
      </w:r>
      <w:r>
        <w:rPr>
          <w:kern w:val="0"/>
        </w:rPr>
        <w:t>intervention for self-awareness deficits, as well as its clinical significance in stroke rehabilitation;</w:t>
      </w:r>
      <w:r w:rsidR="00F81221">
        <w:rPr>
          <w:kern w:val="0"/>
        </w:rPr>
        <w:t xml:space="preserve"> and </w:t>
      </w:r>
      <w:r>
        <w:rPr>
          <w:kern w:val="0"/>
        </w:rPr>
        <w:t>(ii) to apply the concepts of self-awareness in the context of a rehabilitation program. The search was conducted by the electronic databases Web of Science, Science Direct, MEDLINE,</w:t>
      </w:r>
      <w:r w:rsidR="00F81221">
        <w:rPr>
          <w:kern w:val="0"/>
        </w:rPr>
        <w:t xml:space="preserve"> and </w:t>
      </w:r>
      <w:r>
        <w:rPr>
          <w:kern w:val="0"/>
        </w:rPr>
        <w:t>PsychcInfo. A systematic literature search of publications written in English between 1980</w:t>
      </w:r>
      <w:r w:rsidR="00F81221">
        <w:rPr>
          <w:kern w:val="0"/>
        </w:rPr>
        <w:t xml:space="preserve"> and </w:t>
      </w:r>
      <w:r>
        <w:rPr>
          <w:kern w:val="0"/>
        </w:rPr>
        <w:t>2010 was conducted using the keywords, self-awareness or self-regulation. The search was limited to the following keywords: stroke, deficits, assessment, intervention,</w:t>
      </w:r>
      <w:r w:rsidR="00F81221">
        <w:rPr>
          <w:kern w:val="0"/>
        </w:rPr>
        <w:t xml:space="preserve"> and </w:t>
      </w:r>
      <w:r>
        <w:rPr>
          <w:kern w:val="0"/>
        </w:rPr>
        <w:t>rehabilitation. Two important conceptual models, namely, the Pyramid Model of Self-Awareness</w:t>
      </w:r>
      <w:r w:rsidR="00F81221">
        <w:rPr>
          <w:kern w:val="0"/>
        </w:rPr>
        <w:t xml:space="preserve"> and </w:t>
      </w:r>
      <w:r>
        <w:rPr>
          <w:kern w:val="0"/>
        </w:rPr>
        <w:t>the Dynamic Comprehensive Model of Awareness, were reviewed. Suggestions were made to the constraint-induced movement therapy for enhancement of both assessment</w:t>
      </w:r>
      <w:r w:rsidR="00F81221">
        <w:rPr>
          <w:kern w:val="0"/>
        </w:rPr>
        <w:t xml:space="preserve"> and </w:t>
      </w:r>
      <w:r>
        <w:rPr>
          <w:kern w:val="0"/>
        </w:rPr>
        <w:t xml:space="preserve">treatment of self-awareness deficits. In conclusion, self-awareness is essential for the success of rehabilitation. It is hoped that more studies can be conducted on the effectiveness of awareness enhancement programs incorporated in on-going </w:t>
      </w:r>
      <w:r>
        <w:rPr>
          <w:kern w:val="0"/>
        </w:rPr>
        <w:lastRenderedPageBreak/>
        <w:t>therapies can be conducted, so that the evidence base can be further built up in this evolving area of practice. International Journal of Rehabilitation Research 34:187-195 (C) 2011 Wolters Kluwer Health | Lippincott Williams &amp; Wilkins.</w:t>
      </w:r>
    </w:p>
    <w:p w:rsidR="00715FFE" w:rsidRDefault="00715FFE" w:rsidP="00715FFE">
      <w:pPr>
        <w:pStyle w:val="a0"/>
        <w:rPr>
          <w:kern w:val="0"/>
        </w:rPr>
      </w:pPr>
      <w:r>
        <w:rPr>
          <w:kern w:val="0"/>
        </w:rPr>
        <w:t>Keywords: Assessment, Awareness, Brain Injuries, Databases, Deficits, Effectiveness, Health, Intervention, Interventions, Journal, Literature, Literature Review, Medline, Model, Movement, Practice, Publications, Rehabilitation, Research, Review, Science, Self-Awareness, Stroke, Stroke Rehabilitation, Success, Systematic, Therapy, Traumatic Brain-Injury, Treatment, Web of Science</w:t>
      </w:r>
    </w:p>
    <w:p w:rsidR="00B95188" w:rsidRPr="00A428C3" w:rsidRDefault="00B95188" w:rsidP="00B95188">
      <w:pPr>
        <w:pStyle w:val="1"/>
      </w:pPr>
      <w:r w:rsidRPr="00A428C3">
        <w:br w:type="page"/>
      </w:r>
      <w:bookmarkStart w:id="1504" w:name="_Toc186647955"/>
      <w:bookmarkStart w:id="1505" w:name="_Toc317161371"/>
      <w:r w:rsidRPr="00A428C3">
        <w:lastRenderedPageBreak/>
        <w:t>Title: International Journal of Remote Sensing</w:t>
      </w:r>
      <w:bookmarkEnd w:id="1504"/>
      <w:bookmarkEnd w:id="1505"/>
    </w:p>
    <w:p w:rsidR="00B95188" w:rsidRPr="00A428C3" w:rsidRDefault="00B95188" w:rsidP="00B72EF9">
      <w:pPr>
        <w:pStyle w:val="12"/>
      </w:pPr>
      <w:r w:rsidRPr="00A428C3">
        <w:t>Full Journal Title: International Journal of Remote Sensing</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0143-1161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McMorrow, J.M., Cutler, M.E.J., Evans, M.G.</w:t>
      </w:r>
      <w:r w:rsidR="00F81221">
        <w:t xml:space="preserve"> and </w:t>
      </w:r>
      <w:r w:rsidRPr="00A428C3">
        <w:t xml:space="preserve">Al-Roichdi, A. (2004), Hyperspectral indices for characterizing upland peat composition. </w:t>
      </w:r>
      <w:r w:rsidRPr="00A428C3">
        <w:rPr>
          <w:i/>
        </w:rPr>
        <w:t>International Journal of Remote Sensing</w:t>
      </w:r>
      <w:r w:rsidRPr="00A428C3">
        <w:t xml:space="preserve">, </w:t>
      </w:r>
      <w:r w:rsidRPr="00A428C3">
        <w:rPr>
          <w:b/>
        </w:rPr>
        <w:t>25</w:t>
      </w:r>
      <w:r w:rsidRPr="00A428C3">
        <w:t xml:space="preserve"> (2), 313-325.</w:t>
      </w:r>
    </w:p>
    <w:p w:rsidR="00B95188" w:rsidRPr="00A428C3" w:rsidRDefault="00B95188" w:rsidP="00B95188">
      <w:pPr>
        <w:pStyle w:val="a0"/>
      </w:pPr>
      <w:r w:rsidRPr="00A428C3">
        <w:t xml:space="preserve">Abstract: The erosion of blanket peat is a major environmental issue in the </w:t>
      </w:r>
      <w:smartTag w:uri="urn:schemas-microsoft-com:office:smarttags" w:element="place">
        <w:smartTag w:uri="urn:schemas-microsoft-com:office:smarttags" w:element="country-region">
          <w:r w:rsidRPr="00A428C3">
            <w:t>UK</w:t>
          </w:r>
        </w:smartTag>
      </w:smartTag>
      <w:r w:rsidRPr="00A428C3">
        <w:t>. Maps of erosion extent</w:t>
      </w:r>
      <w:r w:rsidR="00F81221">
        <w:t xml:space="preserve"> and </w:t>
      </w:r>
      <w:r w:rsidRPr="00A428C3">
        <w:t>peat composition, especially humification</w:t>
      </w:r>
      <w:r w:rsidR="00F81221">
        <w:t xml:space="preserve"> and </w:t>
      </w:r>
      <w:r w:rsidRPr="00A428C3">
        <w:t>moisture content, would aid our understanding of the erosion process</w:t>
      </w:r>
      <w:r w:rsidR="00F81221">
        <w:t xml:space="preserve"> and </w:t>
      </w:r>
      <w:r w:rsidRPr="00A428C3">
        <w:t>provide information for management decisions. HyMap images, acquired as part of the SAR</w:t>
      </w:r>
      <w:r w:rsidR="00F81221">
        <w:t xml:space="preserve"> and </w:t>
      </w:r>
      <w:r w:rsidRPr="00A428C3">
        <w:t xml:space="preserve">Hyperspectral Airborne Campaign (SHAC), were used to test candidate indices of peat composition for eroded blanket peat in the southern </w:t>
      </w:r>
      <w:smartTag w:uri="urn:schemas-microsoft-com:office:smarttags" w:element="place">
        <w:r w:rsidRPr="00A428C3">
          <w:t>Pennines</w:t>
        </w:r>
      </w:smartTag>
      <w:r w:rsidRPr="00A428C3">
        <w:t>. Peat physical properties, including moisture content</w:t>
      </w:r>
      <w:r w:rsidR="00F81221">
        <w:t xml:space="preserve"> and </w:t>
      </w:r>
      <w:r w:rsidRPr="00A428C3">
        <w:t>degree of humification (measured as transmission), were derived in the laboratory</w:t>
      </w:r>
      <w:r w:rsidR="00F81221">
        <w:t xml:space="preserve"> and </w:t>
      </w:r>
      <w:r w:rsidRPr="00A428C3">
        <w:t>related to the remotely sensed data. Strong correlations were found between HyMap SWIR reflectance</w:t>
      </w:r>
      <w:r w:rsidR="00F81221">
        <w:t xml:space="preserve"> and </w:t>
      </w:r>
      <w:r w:rsidRPr="00A428C3">
        <w:t>transmission, but other peat physical properties were not significantly correlated. Spectral indices were calculated to express the depth of cellulose, lignin</w:t>
      </w:r>
      <w:r w:rsidR="00F81221">
        <w:t xml:space="preserve"> and </w:t>
      </w:r>
      <w:r w:rsidRPr="00A428C3">
        <w:t>water absorption features. Strong positive correlations were found between transmission</w:t>
      </w:r>
      <w:r w:rsidR="00F81221">
        <w:t xml:space="preserve"> and </w:t>
      </w:r>
      <w:r w:rsidRPr="00A428C3">
        <w:t>an adjusted cellulose absorption index (CAI), r 0.71,</w:t>
      </w:r>
      <w:r w:rsidR="00F81221">
        <w:t xml:space="preserve"> and </w:t>
      </w:r>
      <w:r w:rsidRPr="00A428C3">
        <w:t>the gradient of its shoulders between 2020</w:t>
      </w:r>
      <w:r w:rsidR="00F81221">
        <w:t xml:space="preserve"> and </w:t>
      </w:r>
      <w:r w:rsidRPr="00A428C3">
        <w:t>2200 nm, r 0.89. Other indices also performed well. Normalized indices performed better because they allowed for differences in brightness. Higher moisture content in poorly humified peats may have reinforced the effect of deeper ligno-celluloic absorptions, but further sampling is required to test this. The results suggest the potential for hyperspectral remote sensing to provide information on surface peat composition across large areas.</w:t>
      </w:r>
    </w:p>
    <w:p w:rsidR="00B95188" w:rsidRPr="00A428C3" w:rsidRDefault="00B95188" w:rsidP="00B95188">
      <w:pPr>
        <w:pStyle w:val="a0"/>
      </w:pPr>
      <w:r w:rsidRPr="00A428C3">
        <w:t>Keywords: Infrared Reflectance Spectroscopy, Litter Decomposition, Derivative Analysis, Soil Reflectance, Organic-Matter, Long-Term, Nitrogen, Spectra, Lignin, Leaf</w:t>
      </w:r>
    </w:p>
    <w:p w:rsidR="00B95188" w:rsidRPr="00A428C3" w:rsidRDefault="00B95188" w:rsidP="00B95188">
      <w:pPr>
        <w:pStyle w:val="1"/>
      </w:pPr>
      <w:r w:rsidRPr="00A428C3">
        <w:br w:type="page"/>
      </w:r>
      <w:bookmarkStart w:id="1506" w:name="_Toc186647956"/>
      <w:bookmarkStart w:id="1507" w:name="_Toc317161372"/>
      <w:r w:rsidRPr="00A428C3">
        <w:lastRenderedPageBreak/>
        <w:t>Title: International Journal of Research in Marketing</w:t>
      </w:r>
      <w:bookmarkEnd w:id="1506"/>
      <w:bookmarkEnd w:id="1507"/>
    </w:p>
    <w:p w:rsidR="00B95188" w:rsidRPr="00A428C3" w:rsidRDefault="00B95188" w:rsidP="00B72EF9">
      <w:pPr>
        <w:pStyle w:val="12"/>
      </w:pPr>
      <w:r w:rsidRPr="00A428C3">
        <w:t xml:space="preserve">Full Journal Title: </w:t>
      </w:r>
      <w:hyperlink r:id="rId2071" w:history="1">
        <w:r w:rsidRPr="00A428C3">
          <w:rPr>
            <w:rStyle w:val="a5"/>
          </w:rPr>
          <w:t>International Journal of Research in Marketing</w:t>
        </w:r>
      </w:hyperlink>
    </w:p>
    <w:p w:rsidR="00B95188" w:rsidRPr="00A428C3" w:rsidRDefault="00B95188" w:rsidP="00B72EF9">
      <w:pPr>
        <w:pStyle w:val="12"/>
      </w:pPr>
      <w:r w:rsidRPr="00A428C3">
        <w:t>ISO Abbreviated Title: Int. J. Res. Mark.</w:t>
      </w:r>
    </w:p>
    <w:p w:rsidR="00B95188" w:rsidRPr="00A428C3" w:rsidRDefault="00B95188" w:rsidP="00B72EF9">
      <w:pPr>
        <w:pStyle w:val="12"/>
      </w:pPr>
      <w:r w:rsidRPr="00A428C3">
        <w:t>JCR Abbreviated Title: Int J Res Mark</w:t>
      </w:r>
    </w:p>
    <w:p w:rsidR="00B95188" w:rsidRPr="00A428C3" w:rsidRDefault="00B95188" w:rsidP="00B72EF9">
      <w:pPr>
        <w:pStyle w:val="12"/>
      </w:pPr>
      <w:r w:rsidRPr="00A428C3">
        <w:t>ISSN: 0167-8116</w:t>
      </w:r>
    </w:p>
    <w:p w:rsidR="00B95188" w:rsidRPr="00A428C3" w:rsidRDefault="00B95188" w:rsidP="00B72EF9">
      <w:pPr>
        <w:pStyle w:val="12"/>
      </w:pPr>
      <w:r w:rsidRPr="00A428C3">
        <w:t>Issues/Year: 3</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Netherlands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Street">
        <w:smartTag w:uri="urn:schemas-microsoft-com:office:smarttags" w:element="address">
          <w:r w:rsidRPr="00A428C3">
            <w:t>Elsevier Science BV</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211</w:t>
        </w:r>
      </w:smartTag>
      <w:r w:rsidRPr="00A428C3">
        <w:t xml:space="preserve">, 1000 AE </w:t>
      </w:r>
      <w:smartTag w:uri="urn:schemas-microsoft-com:office:smarttags" w:element="place">
        <w:smartTag w:uri="urn:schemas-microsoft-com:office:smarttags" w:element="City">
          <w:r w:rsidRPr="00A428C3">
            <w:t>Amsterdam</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Business: Impact Factor 1.188 (2002)</w:t>
      </w:r>
    </w:p>
    <w:p w:rsidR="00B95188" w:rsidRPr="00A428C3" w:rsidRDefault="00B95188" w:rsidP="00B95188">
      <w:pPr>
        <w:pStyle w:val="a0"/>
      </w:pPr>
      <w:r w:rsidRPr="00A428C3">
        <w:t>Pieters, R., Baumgartner, H., Vermunt, J.</w:t>
      </w:r>
      <w:r w:rsidR="00F81221">
        <w:t xml:space="preserve"> and </w:t>
      </w:r>
      <w:r w:rsidRPr="00A428C3">
        <w:t>Bijmolt, T. (1999), Importance</w:t>
      </w:r>
      <w:r w:rsidR="00F81221">
        <w:t xml:space="preserve"> and </w:t>
      </w:r>
      <w:r w:rsidRPr="00A428C3">
        <w:t xml:space="preserve">similarity in the evolving citation network of the </w:t>
      </w:r>
      <w:r w:rsidRPr="00A428C3">
        <w:rPr>
          <w:i/>
          <w:iCs/>
        </w:rPr>
        <w:t>International Journal of Research in Marketing</w:t>
      </w:r>
      <w:r w:rsidRPr="00A428C3">
        <w:t xml:space="preserve">. </w:t>
      </w:r>
      <w:r w:rsidRPr="00A428C3">
        <w:rPr>
          <w:i/>
          <w:iCs/>
        </w:rPr>
        <w:t>International Journal of Research in Marketing</w:t>
      </w:r>
      <w:r w:rsidRPr="00A428C3">
        <w:t xml:space="preserve">, </w:t>
      </w:r>
      <w:r w:rsidRPr="00A428C3">
        <w:rPr>
          <w:b/>
        </w:rPr>
        <w:t>16</w:t>
      </w:r>
      <w:r w:rsidRPr="00A428C3">
        <w:t xml:space="preserve"> (2), 113-127.</w:t>
      </w:r>
    </w:p>
    <w:p w:rsidR="00B95188" w:rsidRPr="00A428C3" w:rsidRDefault="00B95188" w:rsidP="00B95188">
      <w:pPr>
        <w:pStyle w:val="a0"/>
      </w:pPr>
      <w:r w:rsidRPr="00A428C3">
        <w:t xml:space="preserve">Full Text: </w:t>
      </w:r>
      <w:hyperlink r:id="rId2072" w:history="1">
        <w:r w:rsidRPr="00A428C3">
          <w:rPr>
            <w:rStyle w:val="a5"/>
          </w:rPr>
          <w:t>I\Int J Res Mar16, 113.pdf</w:t>
        </w:r>
      </w:hyperlink>
    </w:p>
    <w:p w:rsidR="00B95188" w:rsidRPr="00A428C3" w:rsidRDefault="00B95188" w:rsidP="00B95188">
      <w:pPr>
        <w:pStyle w:val="a0"/>
      </w:pPr>
      <w:r w:rsidRPr="00A428C3">
        <w:t xml:space="preserve">Abstract: The citation network of the </w:t>
      </w:r>
      <w:r w:rsidRPr="00A428C3">
        <w:rPr>
          <w:i/>
          <w:iCs/>
        </w:rPr>
        <w:t>International Journal of Research in Marketing</w:t>
      </w:r>
      <w:r w:rsidRPr="00A428C3">
        <w:t xml:space="preserve"> (</w:t>
      </w:r>
      <w:r w:rsidRPr="00A428C3">
        <w:rPr>
          <w:i/>
          <w:iCs/>
        </w:rPr>
        <w:t>IJRM</w:t>
      </w:r>
      <w:r w:rsidRPr="00A428C3">
        <w:t>) is examined from 1981 to 1995. A time-heterogenous log-multiplicative model is estimated to examine simultaneously the importance</w:t>
      </w:r>
      <w:r w:rsidR="00F81221">
        <w:t xml:space="preserve"> and </w:t>
      </w:r>
      <w:r w:rsidRPr="00A428C3">
        <w:t>similarity of journals in the network over time. Two distinct types of journal similarity, cohesion</w:t>
      </w:r>
      <w:r w:rsidR="00F81221">
        <w:t xml:space="preserve"> and </w:t>
      </w:r>
      <w:r w:rsidRPr="00A428C3">
        <w:t>structural equivalence, are considered</w:t>
      </w:r>
      <w:r w:rsidR="00F81221">
        <w:t xml:space="preserve"> and </w:t>
      </w:r>
      <w:r w:rsidRPr="00A428C3">
        <w:t xml:space="preserve">modeled in an integrative fashion. The findings show that the overall importance of </w:t>
      </w:r>
      <w:r w:rsidRPr="00A428C3">
        <w:rPr>
          <w:i/>
          <w:iCs/>
        </w:rPr>
        <w:t>IJRM</w:t>
      </w:r>
      <w:r w:rsidRPr="00A428C3">
        <w:t xml:space="preserve"> in its network is growing rapidly albeit from a low base. The importance of psychology journals in the network appears to be decreasing. Clear cohesive</w:t>
      </w:r>
      <w:r w:rsidR="00F81221">
        <w:t xml:space="preserve"> and </w:t>
      </w:r>
      <w:r w:rsidRPr="00A428C3">
        <w:t>structurally equivalent groups of core marketing, methodology, managerial</w:t>
      </w:r>
      <w:r w:rsidR="00F81221">
        <w:t xml:space="preserve"> and </w:t>
      </w:r>
      <w:r w:rsidRPr="00A428C3">
        <w:t>psychology journals with distinct functions in the network are identified. Recommendations for future citation research are offered as well.</w:t>
      </w:r>
    </w:p>
    <w:p w:rsidR="00B95188" w:rsidRPr="00A428C3" w:rsidRDefault="00B95188" w:rsidP="00B95188">
      <w:pPr>
        <w:pStyle w:val="a0"/>
      </w:pPr>
      <w:r w:rsidRPr="00A428C3">
        <w:t>Keywords: Citation Analysis, Social Networks, Log-Multiplicative Models, Bibliometrics</w:t>
      </w:r>
    </w:p>
    <w:p w:rsidR="005848C0" w:rsidRDefault="005848C0" w:rsidP="005848C0">
      <w:pPr>
        <w:pStyle w:val="a0"/>
        <w:rPr>
          <w:kern w:val="0"/>
        </w:rPr>
      </w:pPr>
      <w:r>
        <w:rPr>
          <w:kern w:val="0"/>
        </w:rPr>
        <w:t xml:space="preserve">? Talukdar, D., Hariharan, V.G. and Boo, C. (2011), Empirical regularity in academic research productivity patterns in marketing. </w:t>
      </w:r>
      <w:r>
        <w:rPr>
          <w:i/>
          <w:iCs/>
          <w:kern w:val="0"/>
        </w:rPr>
        <w:t>International Journal of Research in Marketing</w:t>
      </w:r>
      <w:r>
        <w:rPr>
          <w:kern w:val="0"/>
        </w:rPr>
        <w:t xml:space="preserve">, </w:t>
      </w:r>
      <w:r>
        <w:rPr>
          <w:b/>
          <w:bCs/>
          <w:kern w:val="0"/>
        </w:rPr>
        <w:t>28</w:t>
      </w:r>
      <w:r>
        <w:rPr>
          <w:kern w:val="0"/>
        </w:rPr>
        <w:t xml:space="preserve"> (3), 248-257.</w:t>
      </w:r>
    </w:p>
    <w:p w:rsidR="005848C0" w:rsidRPr="001A3D2B" w:rsidRDefault="005848C0" w:rsidP="005848C0">
      <w:pPr>
        <w:pStyle w:val="a0"/>
      </w:pPr>
      <w:r w:rsidRPr="001A3D2B">
        <w:t xml:space="preserve">Full Text: </w:t>
      </w:r>
      <w:hyperlink r:id="rId2073" w:history="1">
        <w:r w:rsidRPr="001413F9">
          <w:rPr>
            <w:rStyle w:val="a5"/>
          </w:rPr>
          <w:t>2011\Int J Res Mar28, 248.pdf</w:t>
        </w:r>
      </w:hyperlink>
    </w:p>
    <w:p w:rsidR="005848C0" w:rsidRDefault="005848C0" w:rsidP="005848C0">
      <w:pPr>
        <w:pStyle w:val="a0"/>
        <w:rPr>
          <w:kern w:val="0"/>
        </w:rPr>
      </w:pPr>
      <w:r>
        <w:rPr>
          <w:kern w:val="0"/>
        </w:rPr>
        <w:t xml:space="preserve">Abstract: In any academic discipline, published articles in their respective journals represent </w:t>
      </w:r>
      <w:r w:rsidR="000352E7">
        <w:rPr>
          <w:kern w:val="0"/>
        </w:rPr>
        <w:t>“</w:t>
      </w:r>
      <w:r>
        <w:rPr>
          <w:kern w:val="0"/>
        </w:rPr>
        <w:t>production units</w:t>
      </w:r>
      <w:r w:rsidR="000352E7">
        <w:rPr>
          <w:kern w:val="0"/>
        </w:rPr>
        <w:t>”</w:t>
      </w:r>
      <w:r>
        <w:rPr>
          <w:kern w:val="0"/>
        </w:rPr>
        <w:t xml:space="preserve"> of scientific knowledge, and bibliometric distributions reflect the patterns in this productivity across authors or </w:t>
      </w:r>
      <w:r w:rsidR="000352E7">
        <w:rPr>
          <w:kern w:val="0"/>
        </w:rPr>
        <w:t>“</w:t>
      </w:r>
      <w:r>
        <w:rPr>
          <w:kern w:val="0"/>
        </w:rPr>
        <w:t>producers</w:t>
      </w:r>
      <w:r w:rsidR="000352E7">
        <w:rPr>
          <w:kern w:val="0"/>
        </w:rPr>
        <w:t>”</w:t>
      </w:r>
      <w:r>
        <w:rPr>
          <w:kern w:val="0"/>
        </w:rPr>
        <w:t xml:space="preserve">. We use a comprehensive data set from 11 leading marketing journals to examine whether there </w:t>
      </w:r>
      <w:r>
        <w:rPr>
          <w:kern w:val="0"/>
        </w:rPr>
        <w:lastRenderedPageBreak/>
        <w:t>is any empirical regularity in the patterns of research productivity in the marketing literature. Our results present strong evidence that there is indeed a distinct empirical regularity. It is the so-called generalized Lotka</w:t>
      </w:r>
      <w:r w:rsidR="000352E7">
        <w:rPr>
          <w:kern w:val="0"/>
        </w:rPr>
        <w:t>’</w:t>
      </w:r>
      <w:r>
        <w:rPr>
          <w:kern w:val="0"/>
        </w:rPr>
        <w:t>s Law of patterns in scientific productivity: the number of authors publishing n papers is approximately 1/n(c) of those publishing one paper. We find the empirically estimated value of the exponent c to be 2.05 for the overall bibliometric data across the leading marketing journals. For individual journals, the estimated values of c range from 2.15 to 2.83, with lower values indicating higher authorship concentration levels. We also find that variations in authorship concentration levels across journals and over time are driven by a journal</w:t>
      </w:r>
      <w:r w:rsidR="000352E7">
        <w:rPr>
          <w:kern w:val="0"/>
        </w:rPr>
        <w:t>’</w:t>
      </w:r>
      <w:r>
        <w:rPr>
          <w:kern w:val="0"/>
        </w:rPr>
        <w:t>s maturity, its topical focus, its attractiveness as a publication outlet, the characteristics of its review process, and the extent of author collaboration present in the journal. We discuss the general implications of our findings. (C) 2011 Elsevier B.V. All rights reserved.</w:t>
      </w:r>
    </w:p>
    <w:p w:rsidR="005848C0" w:rsidRDefault="005848C0" w:rsidP="005848C0">
      <w:pPr>
        <w:pStyle w:val="a0"/>
        <w:rPr>
          <w:kern w:val="0"/>
        </w:rPr>
      </w:pPr>
      <w:r>
        <w:rPr>
          <w:kern w:val="0"/>
        </w:rPr>
        <w:t>Keywords: Author, Author Concentration, Authors, Authorship, Bibliometric, Bibliometric Distributions, Bibliometric Distributions, Collaboration, Cumulative Advantage, Cumulative Advantage, Editors, Empirical Regularity, Impact, Journal, Journals, Knowledge, Law, Literature, Lotka</w:t>
      </w:r>
      <w:r w:rsidR="000352E7">
        <w:rPr>
          <w:kern w:val="0"/>
        </w:rPr>
        <w:t>’</w:t>
      </w:r>
      <w:r>
        <w:rPr>
          <w:kern w:val="0"/>
        </w:rPr>
        <w:t>s Law, Lotkas Law, Mechanism, Papers, Productivity, Productivity Patterns, Publication, Publishing, Quality, Research, Research Productivity, Review, Scientific Productivity, Search</w:t>
      </w:r>
    </w:p>
    <w:p w:rsidR="00B95188" w:rsidRPr="00A428C3" w:rsidRDefault="00B95188" w:rsidP="00B95188">
      <w:pPr>
        <w:pStyle w:val="1"/>
      </w:pPr>
      <w:r w:rsidRPr="00A428C3">
        <w:br w:type="page"/>
      </w:r>
      <w:bookmarkStart w:id="1508" w:name="_Toc186647957"/>
      <w:bookmarkStart w:id="1509" w:name="_Toc317161373"/>
      <w:r w:rsidRPr="00A428C3">
        <w:lastRenderedPageBreak/>
        <w:t>Title: International Journal of R</w:t>
      </w:r>
      <w:r w:rsidRPr="00A428C3">
        <w:rPr>
          <w:szCs w:val="11"/>
        </w:rPr>
        <w:t>etail &amp; Distribution Management</w:t>
      </w:r>
      <w:bookmarkEnd w:id="1508"/>
      <w:bookmarkEnd w:id="1509"/>
    </w:p>
    <w:p w:rsidR="00B95188" w:rsidRPr="00A428C3" w:rsidRDefault="00B95188" w:rsidP="00B72EF9">
      <w:pPr>
        <w:pStyle w:val="12"/>
      </w:pPr>
      <w:r w:rsidRPr="00A428C3">
        <w:t>Full Journal Title: International Journal of Retail &amp; Distribution Management</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0959-0552</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smartTag w:uri="urn:schemas-microsoft-com:office:smarttags" w:element="City">
        <w:r w:rsidRPr="00A428C3">
          <w:t>Findlay</w:t>
        </w:r>
      </w:smartTag>
      <w:r w:rsidRPr="00A428C3">
        <w:t>, A.</w:t>
      </w:r>
      <w:r w:rsidR="00F81221">
        <w:t xml:space="preserve"> and </w:t>
      </w:r>
      <w:r w:rsidRPr="00A428C3">
        <w:t xml:space="preserve">Sparks, L. (2002), </w:t>
      </w:r>
      <w:r w:rsidRPr="00A428C3">
        <w:rPr>
          <w:szCs w:val="12"/>
        </w:rPr>
        <w:t>European retail journals: A bibliometric analysis</w:t>
      </w:r>
      <w:r w:rsidRPr="00A428C3">
        <w:t xml:space="preserve">. </w:t>
      </w:r>
      <w:r w:rsidRPr="00A428C3">
        <w:rPr>
          <w:i/>
          <w:iCs/>
        </w:rPr>
        <w:t>International Journal of Retail &amp; Distribution Management</w:t>
      </w:r>
      <w:r w:rsidRPr="00A428C3">
        <w:t xml:space="preserve">, </w:t>
      </w:r>
      <w:r w:rsidRPr="00A428C3">
        <w:rPr>
          <w:b/>
        </w:rPr>
        <w:t>30</w:t>
      </w:r>
      <w:r w:rsidRPr="00A428C3">
        <w:t xml:space="preserve"> (8), 373-382.</w:t>
      </w:r>
    </w:p>
    <w:p w:rsidR="00B95188" w:rsidRPr="00A428C3" w:rsidRDefault="00B95188" w:rsidP="00B95188">
      <w:pPr>
        <w:pStyle w:val="a0"/>
      </w:pPr>
      <w:r w:rsidRPr="00A428C3">
        <w:t xml:space="preserve">Full Text: </w:t>
      </w:r>
      <w:hyperlink r:id="rId2074" w:history="1">
        <w:r w:rsidRPr="00A428C3">
          <w:rPr>
            <w:rStyle w:val="a5"/>
          </w:rPr>
          <w:t>I\Int J Ret Dis Man30, 373.pdf</w:t>
        </w:r>
      </w:hyperlink>
    </w:p>
    <w:p w:rsidR="00B95188" w:rsidRPr="00A428C3" w:rsidRDefault="00B95188" w:rsidP="00B95188">
      <w:pPr>
        <w:pStyle w:val="a0"/>
      </w:pPr>
      <w:r w:rsidRPr="00A428C3">
        <w:t>Abstract: The 1990s have seen a major expansion in both the interest in retailing as an academic research subject</w:t>
      </w:r>
      <w:r w:rsidR="00F81221">
        <w:t xml:space="preserve"> and </w:t>
      </w:r>
      <w:r w:rsidRPr="00A428C3">
        <w:t>in the availability of European retail academic journals. Using a bibliometric approach, this paper investigates the development of published academic retail research in these journals. It identifies different emphases within the retail journals</w:t>
      </w:r>
      <w:r w:rsidR="00F81221">
        <w:t xml:space="preserve"> and </w:t>
      </w:r>
      <w:r w:rsidRPr="00A428C3">
        <w:t>retail research. Overall, however, retailing is identified increasingly as a synthetic rather than an interdisciplinary subject. A gulf between the direction that European scholars</w:t>
      </w:r>
      <w:r w:rsidR="00F81221">
        <w:t xml:space="preserve"> and </w:t>
      </w:r>
      <w:r w:rsidRPr="00A428C3">
        <w:t>US scholars are following is considered.</w:t>
      </w:r>
    </w:p>
    <w:p w:rsidR="00B95188" w:rsidRPr="00A428C3" w:rsidRDefault="00B95188" w:rsidP="00B95188">
      <w:pPr>
        <w:pStyle w:val="a0"/>
      </w:pPr>
      <w:r w:rsidRPr="00A428C3">
        <w:t>Keywords: Retailing, Journal Publishing, Research Measurement</w:t>
      </w:r>
    </w:p>
    <w:p w:rsidR="00B95188" w:rsidRPr="00A428C3" w:rsidRDefault="00B95188" w:rsidP="00B95188">
      <w:pPr>
        <w:pStyle w:val="1"/>
      </w:pPr>
      <w:r w:rsidRPr="00A428C3">
        <w:rPr>
          <w:szCs w:val="11"/>
        </w:rPr>
        <w:br w:type="page"/>
      </w:r>
      <w:bookmarkStart w:id="1510" w:name="_Toc186647958"/>
      <w:bookmarkStart w:id="1511" w:name="_Toc317161374"/>
      <w:r w:rsidRPr="00A428C3">
        <w:lastRenderedPageBreak/>
        <w:t>Title: International Journal of Social Research Methodology</w:t>
      </w:r>
      <w:bookmarkEnd w:id="1510"/>
      <w:bookmarkEnd w:id="1511"/>
    </w:p>
    <w:p w:rsidR="00B95188" w:rsidRPr="00A428C3" w:rsidRDefault="00B95188" w:rsidP="00B72EF9">
      <w:pPr>
        <w:pStyle w:val="12"/>
      </w:pPr>
      <w:r w:rsidRPr="00A428C3">
        <w:t>Full Journal Title: International Journal of Social Research Methodology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Lee, R.M.</w:t>
      </w:r>
      <w:r w:rsidR="00F81221">
        <w:t xml:space="preserve"> and </w:t>
      </w:r>
      <w:r w:rsidRPr="00A428C3">
        <w:t>Esterhuizen, L. (2000), Computer software</w:t>
      </w:r>
      <w:r w:rsidR="00F81221">
        <w:t xml:space="preserve"> and </w:t>
      </w:r>
      <w:r w:rsidRPr="00A428C3">
        <w:t>qualitative analysis: trends, issues</w:t>
      </w:r>
      <w:r w:rsidR="00F81221">
        <w:t xml:space="preserve"> and </w:t>
      </w:r>
      <w:r w:rsidRPr="00A428C3">
        <w:t xml:space="preserve">resources. </w:t>
      </w:r>
      <w:r w:rsidRPr="00A428C3">
        <w:rPr>
          <w:i/>
          <w:iCs/>
        </w:rPr>
        <w:t>International Journal of Social Research Methodology</w:t>
      </w:r>
      <w:r w:rsidRPr="00A428C3">
        <w:t xml:space="preserve">, </w:t>
      </w:r>
      <w:r w:rsidRPr="00A428C3">
        <w:rPr>
          <w:b/>
        </w:rPr>
        <w:t>3</w:t>
      </w:r>
      <w:r w:rsidRPr="00A428C3">
        <w:t xml:space="preserve"> (3), 231-243.</w:t>
      </w:r>
    </w:p>
    <w:p w:rsidR="00B95188" w:rsidRPr="00A428C3" w:rsidRDefault="00B95188" w:rsidP="00B95188">
      <w:pPr>
        <w:pStyle w:val="a0"/>
      </w:pPr>
      <w:r w:rsidRPr="00A428C3">
        <w:t>Full Text: Int J Soc Res Met3, 231</w:t>
      </w:r>
    </w:p>
    <w:p w:rsidR="00B95188" w:rsidRPr="00A428C3" w:rsidRDefault="00B95188" w:rsidP="00B95188">
      <w:pPr>
        <w:pStyle w:val="a0"/>
      </w:pPr>
      <w:r w:rsidRPr="00A428C3">
        <w:t>Abstract: Developments during the 1990s in the use of computer software for qualitative data analysis are surveyed. Salient trends are identified as are wider issues associated with software use. Also listed are some of the resources now available to potential</w:t>
      </w:r>
      <w:r w:rsidR="00F81221">
        <w:t xml:space="preserve"> and </w:t>
      </w:r>
      <w:r w:rsidRPr="00A428C3">
        <w:t>actual users of computer-assisted qualitative data analysis software (CAQDAS).</w:t>
      </w:r>
    </w:p>
    <w:p w:rsidR="00B95188" w:rsidRPr="00A428C3" w:rsidRDefault="00B95188" w:rsidP="00B95188">
      <w:pPr>
        <w:pStyle w:val="1"/>
      </w:pPr>
      <w:r w:rsidRPr="00A428C3">
        <w:rPr>
          <w:szCs w:val="11"/>
        </w:rPr>
        <w:br w:type="page"/>
      </w:r>
      <w:bookmarkStart w:id="1512" w:name="_Toc186647959"/>
      <w:bookmarkStart w:id="1513" w:name="_Toc317161375"/>
      <w:r w:rsidRPr="00A428C3">
        <w:lastRenderedPageBreak/>
        <w:t>Title: International Journal of Special Libraries</w:t>
      </w:r>
      <w:bookmarkEnd w:id="1512"/>
      <w:bookmarkEnd w:id="1513"/>
    </w:p>
    <w:p w:rsidR="00B95188" w:rsidRPr="00A428C3" w:rsidRDefault="00B95188" w:rsidP="00B72EF9">
      <w:pPr>
        <w:pStyle w:val="12"/>
      </w:pPr>
      <w:r w:rsidRPr="00A428C3">
        <w:t>Full Journal Title: International Journal of Special Libraries</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0019-0217</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Fan, W.Y. (2001), The traditional Chinese medical literature analysis</w:t>
      </w:r>
      <w:r w:rsidR="00F81221">
        <w:t xml:space="preserve"> and </w:t>
      </w:r>
      <w:r w:rsidRPr="00A428C3">
        <w:t>retrieval system (TCMLARS)</w:t>
      </w:r>
      <w:r w:rsidR="00F81221">
        <w:t xml:space="preserve"> and </w:t>
      </w:r>
      <w:r w:rsidRPr="00A428C3">
        <w:t xml:space="preserve">its application. </w:t>
      </w:r>
      <w:r w:rsidRPr="00A428C3">
        <w:rPr>
          <w:i/>
          <w:iCs/>
        </w:rPr>
        <w:t>International Journal of Special Libraries</w:t>
      </w:r>
      <w:r w:rsidRPr="00A428C3">
        <w:t xml:space="preserve">, </w:t>
      </w:r>
      <w:r w:rsidRPr="00A428C3">
        <w:rPr>
          <w:b/>
        </w:rPr>
        <w:t>35</w:t>
      </w:r>
      <w:r w:rsidRPr="00A428C3">
        <w:t xml:space="preserve"> (3), 147-156.</w:t>
      </w:r>
    </w:p>
    <w:p w:rsidR="00B95188" w:rsidRPr="00A428C3" w:rsidRDefault="00B95188" w:rsidP="00B95188">
      <w:pPr>
        <w:pStyle w:val="a0"/>
      </w:pPr>
      <w:r w:rsidRPr="00A428C3">
        <w:t xml:space="preserve">Full Text: </w:t>
      </w:r>
      <w:hyperlink r:id="rId2075" w:history="1">
        <w:r w:rsidRPr="00A428C3">
          <w:rPr>
            <w:rStyle w:val="a5"/>
          </w:rPr>
          <w:t>I\Int J Spe Lib35, 147.pdf</w:t>
        </w:r>
      </w:hyperlink>
    </w:p>
    <w:p w:rsidR="00B95188" w:rsidRPr="00A428C3" w:rsidRDefault="00B95188" w:rsidP="00B95188">
      <w:pPr>
        <w:pStyle w:val="a0"/>
      </w:pPr>
      <w:r w:rsidRPr="00A428C3">
        <w:t>Abstract: The Traditional Chinese Medical Literature Analysis</w:t>
      </w:r>
      <w:r w:rsidR="00F81221">
        <w:t xml:space="preserve"> and </w:t>
      </w:r>
      <w:r w:rsidRPr="00A428C3">
        <w:t xml:space="preserve">Retrieval System TCMLARS is a database system established by the </w:t>
      </w:r>
      <w:smartTag w:uri="urn:schemas-microsoft-com:office:smarttags" w:element="place">
        <w:smartTag w:uri="urn:schemas-microsoft-com:office:smarttags" w:element="PlaceType">
          <w:r w:rsidRPr="00A428C3">
            <w:t>Institute</w:t>
          </w:r>
        </w:smartTag>
        <w:r w:rsidRPr="00A428C3">
          <w:t xml:space="preserve"> of </w:t>
        </w:r>
        <w:smartTag w:uri="urn:schemas-microsoft-com:office:smarttags" w:element="PlaceName">
          <w:r w:rsidRPr="00A428C3">
            <w:t>Information</w:t>
          </w:r>
        </w:smartTag>
      </w:smartTag>
      <w:r w:rsidRPr="00A428C3">
        <w:t xml:space="preserve"> on Traditional Chinese Medicine, China Academy of Traditional Chinese Medicine, to meet the increased need for traditional Chinese medical information services in the 1980</w:t>
      </w:r>
      <w:r w:rsidR="000352E7">
        <w:t>’</w:t>
      </w:r>
      <w:r w:rsidRPr="00A428C3">
        <w:t>s. The system contained over 340,000 references</w:t>
      </w:r>
      <w:r w:rsidR="00F81221">
        <w:t xml:space="preserve"> and </w:t>
      </w:r>
      <w:r w:rsidRPr="00A428C3">
        <w:t>abstracts to literature on Traditional Chinese Medicine including Chinese materia medica, acupuncture, qigong, Chinese massage</w:t>
      </w:r>
      <w:r w:rsidR="00F81221">
        <w:t xml:space="preserve"> and </w:t>
      </w:r>
      <w:r w:rsidRPr="00A428C3">
        <w:t>health promotion. Source material for TCMLARS is drawn from more than 800 Chinese biomedical journals published since 1984. Over 30,000 records are added to the system annually. There are 15 databases in the system, 4 of which include both Chinese</w:t>
      </w:r>
      <w:r w:rsidR="00F81221">
        <w:t xml:space="preserve"> and </w:t>
      </w:r>
      <w:r w:rsidRPr="00A428C3">
        <w:t xml:space="preserve">English versions. Extensive indexing according to </w:t>
      </w:r>
      <w:r w:rsidRPr="00A428C3">
        <w:rPr>
          <w:i/>
          <w:iCs/>
        </w:rPr>
        <w:t>Chinese Traditional Medicine</w:t>
      </w:r>
      <w:r w:rsidR="00F81221">
        <w:rPr>
          <w:i/>
          <w:iCs/>
        </w:rPr>
        <w:t xml:space="preserve"> and </w:t>
      </w:r>
      <w:r w:rsidRPr="00A428C3">
        <w:rPr>
          <w:i/>
          <w:iCs/>
        </w:rPr>
        <w:t>Materia Medica Subject Headings</w:t>
      </w:r>
      <w:r w:rsidR="00F81221">
        <w:rPr>
          <w:i/>
          <w:iCs/>
        </w:rPr>
        <w:t xml:space="preserve"> and </w:t>
      </w:r>
      <w:r w:rsidRPr="00A428C3">
        <w:rPr>
          <w:i/>
          <w:iCs/>
        </w:rPr>
        <w:t xml:space="preserve">Medical Subject Headings </w:t>
      </w:r>
      <w:r w:rsidRPr="00A428C3">
        <w:t>(MeSH) is done for each citation. Information can be searched from almost all of the fields including title, author, author affiliation, subject headings, key words, classification, publication type,</w:t>
      </w:r>
      <w:r w:rsidR="00F81221">
        <w:t xml:space="preserve"> and </w:t>
      </w:r>
      <w:r w:rsidRPr="00A428C3">
        <w:t>abstract. The database system is available via website (</w:t>
      </w:r>
      <w:r w:rsidRPr="00A428C3">
        <w:rPr>
          <w:rFonts w:eastAsia="新細明體"/>
          <w:color w:val="0000FF"/>
        </w:rPr>
        <w:t>http://www.cintcm.com</w:t>
      </w:r>
      <w:r w:rsidRPr="00A428C3">
        <w:t xml:space="preserve">, </w:t>
      </w:r>
      <w:r w:rsidRPr="00A428C3">
        <w:rPr>
          <w:color w:val="0000FF"/>
        </w:rPr>
        <w:t>http://www.cintcm.ac.cn, http://www.sinomd.com</w:t>
      </w:r>
      <w:r w:rsidR="005E6E43">
        <w:rPr>
          <w:color w:val="0000FF"/>
        </w:rPr>
        <w:t>)</w:t>
      </w:r>
      <w:r w:rsidRPr="00A428C3">
        <w:t xml:space="preserve">, or CD-ROM or floppy disk. A bibliometric study reviewing the traditional Chinese medical literature on neoplasm was conducted using TCMLARS. 10, 185 references were pulled up from the databases (1984-1998) by the subject heading </w:t>
      </w:r>
      <w:r w:rsidR="000352E7">
        <w:t>“</w:t>
      </w:r>
      <w:r w:rsidRPr="00A428C3">
        <w:t>neoplasms</w:t>
      </w:r>
      <w:r w:rsidR="000352E7">
        <w:t>”</w:t>
      </w:r>
      <w:r w:rsidRPr="00A428C3">
        <w:t xml:space="preserve">. For advanced searches, the following subheadings were used: traditional Chinese drug therapy, acupuncture-moxibustion therapy, qigong therapy, massage therapy, acupoint </w:t>
      </w:r>
      <w:r w:rsidRPr="00A428C3">
        <w:lastRenderedPageBreak/>
        <w:t>therapy, integrated Chinese traditional</w:t>
      </w:r>
      <w:r w:rsidR="00F81221">
        <w:t xml:space="preserve"> and </w:t>
      </w:r>
      <w:r w:rsidRPr="00A428C3">
        <w:t>Western medicine therapy. Further analyses were performed on neoplasm type, year of publication, author</w:t>
      </w:r>
      <w:r w:rsidR="000352E7">
        <w:t>’</w:t>
      </w:r>
      <w:r w:rsidRPr="00A428C3">
        <w:t>s organizational affiliation, type of literature,</w:t>
      </w:r>
      <w:r w:rsidR="00F81221">
        <w:t xml:space="preserve"> and </w:t>
      </w:r>
      <w:r w:rsidRPr="00A428C3">
        <w:t xml:space="preserve">the </w:t>
      </w:r>
      <w:smartTag w:uri="urn:schemas-microsoft-com:office:smarttags" w:element="PersonName">
        <w:smartTagPr>
          <w:attr w:name="ProductID" w:val="research grant."/>
        </w:smartTagPr>
        <w:r w:rsidRPr="00A428C3">
          <w:t>research grant.</w:t>
        </w:r>
      </w:smartTag>
      <w:r w:rsidRPr="00A428C3">
        <w:t xml:space="preserve"> This study clearly outlines the extent of clinical work</w:t>
      </w:r>
      <w:r w:rsidR="00F81221">
        <w:t xml:space="preserve"> and </w:t>
      </w:r>
      <w:r w:rsidRPr="00A428C3">
        <w:t xml:space="preserve">research on neoplasms treated by Traditional Chinese Medicine in </w:t>
      </w:r>
      <w:smartTag w:uri="urn:schemas-microsoft-com:office:smarttags" w:element="place">
        <w:smartTag w:uri="urn:schemas-microsoft-com:office:smarttags" w:element="country-region">
          <w:r w:rsidRPr="00A428C3">
            <w:t>China</w:t>
          </w:r>
        </w:smartTag>
      </w:smartTag>
      <w:r w:rsidRPr="00A428C3">
        <w:t>. TCMLARS is proving to be the most efficient</w:t>
      </w:r>
      <w:r w:rsidR="00F81221">
        <w:t xml:space="preserve"> and </w:t>
      </w:r>
      <w:r w:rsidRPr="00A428C3">
        <w:t>effective means of literature retrieval</w:t>
      </w:r>
      <w:r w:rsidR="00F81221">
        <w:t xml:space="preserve"> and </w:t>
      </w:r>
      <w:r w:rsidRPr="00A428C3">
        <w:t>analysis for Traditional Chinese Medicine in the world.</w:t>
      </w:r>
    </w:p>
    <w:p w:rsidR="00B95188" w:rsidRPr="00A428C3" w:rsidRDefault="00B95188" w:rsidP="00B95188">
      <w:pPr>
        <w:pStyle w:val="a0"/>
        <w:rPr>
          <w:sz w:val="20"/>
        </w:rPr>
      </w:pPr>
      <w:r w:rsidRPr="00A428C3">
        <w:t>Keywords: Literature Database, Traditional Chinese Medicine, Neoplasms, Bibliometrics</w:t>
      </w:r>
    </w:p>
    <w:p w:rsidR="00B37B63" w:rsidRPr="001A3D2B" w:rsidRDefault="00B37B63" w:rsidP="00B37B63">
      <w:pPr>
        <w:pStyle w:val="1"/>
      </w:pPr>
      <w:r w:rsidRPr="001A3D2B">
        <w:br w:type="page"/>
      </w:r>
      <w:bookmarkStart w:id="1514" w:name="_Toc317161376"/>
      <w:r w:rsidRPr="001A3D2B">
        <w:lastRenderedPageBreak/>
        <w:t xml:space="preserve">Title: </w:t>
      </w:r>
      <w:r w:rsidRPr="00B37B63">
        <w:rPr>
          <w:iCs/>
        </w:rPr>
        <w:t>International Journal of Sport Finance</w:t>
      </w:r>
      <w:bookmarkEnd w:id="1514"/>
    </w:p>
    <w:p w:rsidR="00B37B63" w:rsidRPr="001A3D2B" w:rsidRDefault="00B37B63" w:rsidP="00B37B63">
      <w:pPr>
        <w:pStyle w:val="12"/>
      </w:pPr>
      <w:r w:rsidRPr="001A3D2B">
        <w:t xml:space="preserve">Full Journal Title: </w:t>
      </w:r>
      <w:r w:rsidRPr="00B37B63">
        <w:rPr>
          <w:iCs/>
        </w:rPr>
        <w:t>International Journal of Sport Finance</w:t>
      </w:r>
    </w:p>
    <w:p w:rsidR="00B37B63" w:rsidRPr="001A3D2B" w:rsidRDefault="00B37B63" w:rsidP="00B37B63">
      <w:pPr>
        <w:pStyle w:val="12"/>
      </w:pPr>
      <w:r w:rsidRPr="001A3D2B">
        <w:t xml:space="preserve">ISO Abbreviated Title: </w:t>
      </w:r>
    </w:p>
    <w:p w:rsidR="00B37B63" w:rsidRPr="001A3D2B" w:rsidRDefault="00B37B63" w:rsidP="00B37B63">
      <w:pPr>
        <w:pStyle w:val="12"/>
      </w:pPr>
      <w:r w:rsidRPr="001A3D2B">
        <w:t xml:space="preserve">JCR Abbreviated Title: </w:t>
      </w:r>
    </w:p>
    <w:p w:rsidR="00B37B63" w:rsidRPr="001A3D2B" w:rsidRDefault="00B37B63" w:rsidP="00B37B63">
      <w:pPr>
        <w:pStyle w:val="12"/>
      </w:pPr>
      <w:r w:rsidRPr="001A3D2B">
        <w:t xml:space="preserve">ISSN: </w:t>
      </w:r>
    </w:p>
    <w:p w:rsidR="00B37B63" w:rsidRPr="001A3D2B" w:rsidRDefault="00B37B63" w:rsidP="00B37B63">
      <w:pPr>
        <w:pStyle w:val="12"/>
      </w:pPr>
      <w:r w:rsidRPr="001A3D2B">
        <w:t xml:space="preserve">Issues/Year: </w:t>
      </w:r>
    </w:p>
    <w:p w:rsidR="00B37B63" w:rsidRPr="001A3D2B" w:rsidRDefault="00B37B63" w:rsidP="00B37B63">
      <w:pPr>
        <w:pStyle w:val="12"/>
      </w:pPr>
      <w:r w:rsidRPr="001A3D2B">
        <w:t xml:space="preserve">Journal Country/Territory: </w:t>
      </w:r>
    </w:p>
    <w:p w:rsidR="00B37B63" w:rsidRPr="001A3D2B" w:rsidRDefault="00B37B63" w:rsidP="00B37B63">
      <w:pPr>
        <w:pStyle w:val="12"/>
      </w:pPr>
      <w:r w:rsidRPr="001A3D2B">
        <w:t xml:space="preserve">Language: </w:t>
      </w:r>
    </w:p>
    <w:p w:rsidR="00B37B63" w:rsidRPr="001A3D2B" w:rsidRDefault="00B37B63" w:rsidP="00B37B63">
      <w:pPr>
        <w:pStyle w:val="12"/>
      </w:pPr>
      <w:r w:rsidRPr="001A3D2B">
        <w:t xml:space="preserve">Publisher: </w:t>
      </w:r>
    </w:p>
    <w:p w:rsidR="00B37B63" w:rsidRPr="001A3D2B" w:rsidRDefault="00B37B63" w:rsidP="00B37B63">
      <w:pPr>
        <w:pStyle w:val="12"/>
      </w:pPr>
      <w:r w:rsidRPr="001A3D2B">
        <w:t xml:space="preserve">Publisher Address: </w:t>
      </w:r>
    </w:p>
    <w:p w:rsidR="00B37B63" w:rsidRPr="001A3D2B" w:rsidRDefault="00B37B63" w:rsidP="00B37B63">
      <w:pPr>
        <w:pStyle w:val="12"/>
      </w:pPr>
      <w:r w:rsidRPr="001A3D2B">
        <w:t>Subject Categories:</w:t>
      </w:r>
    </w:p>
    <w:p w:rsidR="00B37B63" w:rsidRPr="001A3D2B" w:rsidRDefault="00B37B63" w:rsidP="00B37B63">
      <w:pPr>
        <w:pStyle w:val="12"/>
      </w:pPr>
      <w:r w:rsidRPr="001A3D2B">
        <w:t xml:space="preserve">: Impact Factor </w:t>
      </w:r>
    </w:p>
    <w:p w:rsidR="00B37B63" w:rsidRDefault="00B37B63" w:rsidP="00B37B63">
      <w:pPr>
        <w:pStyle w:val="a0"/>
        <w:rPr>
          <w:kern w:val="0"/>
        </w:rPr>
      </w:pPr>
      <w:r>
        <w:rPr>
          <w:rFonts w:hint="eastAsia"/>
          <w:kern w:val="0"/>
        </w:rPr>
        <w:t xml:space="preserve">? </w:t>
      </w:r>
      <w:r>
        <w:rPr>
          <w:kern w:val="0"/>
        </w:rPr>
        <w:t>Santos, J.M.S.</w:t>
      </w:r>
      <w:r w:rsidR="00F81221">
        <w:rPr>
          <w:kern w:val="0"/>
        </w:rPr>
        <w:t xml:space="preserve"> and </w:t>
      </w:r>
      <w:r>
        <w:rPr>
          <w:kern w:val="0"/>
        </w:rPr>
        <w:t xml:space="preserve">Garcia, P.C. (2011), A bibliometric analysis of sport economics research. </w:t>
      </w:r>
      <w:r w:rsidRPr="00B37B63">
        <w:rPr>
          <w:i/>
          <w:iCs/>
          <w:kern w:val="0"/>
        </w:rPr>
        <w:t>International Journal of Sport Finance</w:t>
      </w:r>
      <w:r>
        <w:rPr>
          <w:kern w:val="0"/>
        </w:rPr>
        <w:t xml:space="preserve">, </w:t>
      </w:r>
      <w:r>
        <w:rPr>
          <w:b/>
          <w:bCs/>
          <w:kern w:val="0"/>
        </w:rPr>
        <w:t>6</w:t>
      </w:r>
      <w:r>
        <w:rPr>
          <w:kern w:val="0"/>
        </w:rPr>
        <w:t xml:space="preserve"> (3), 222-244.</w:t>
      </w:r>
    </w:p>
    <w:p w:rsidR="00B37B63" w:rsidRDefault="00B37B63" w:rsidP="00B37B63">
      <w:pPr>
        <w:pStyle w:val="a0"/>
        <w:rPr>
          <w:kern w:val="0"/>
        </w:rPr>
      </w:pPr>
      <w:r>
        <w:rPr>
          <w:rFonts w:hint="eastAsia"/>
          <w:kern w:val="0"/>
        </w:rPr>
        <w:t>Full Text: 2011\</w:t>
      </w:r>
      <w:r>
        <w:rPr>
          <w:iCs/>
          <w:kern w:val="0"/>
        </w:rPr>
        <w:t>Int J Sp</w:t>
      </w:r>
      <w:r>
        <w:rPr>
          <w:rFonts w:hint="eastAsia"/>
          <w:iCs/>
          <w:kern w:val="0"/>
        </w:rPr>
        <w:t>o</w:t>
      </w:r>
      <w:r>
        <w:rPr>
          <w:iCs/>
          <w:kern w:val="0"/>
        </w:rPr>
        <w:t xml:space="preserve"> Fi</w:t>
      </w:r>
      <w:r>
        <w:rPr>
          <w:rFonts w:hint="eastAsia"/>
          <w:iCs/>
          <w:kern w:val="0"/>
        </w:rPr>
        <w:t>n</w:t>
      </w:r>
      <w:r w:rsidRPr="0045122A">
        <w:rPr>
          <w:bCs/>
          <w:kern w:val="0"/>
        </w:rPr>
        <w:t>6</w:t>
      </w:r>
      <w:r>
        <w:rPr>
          <w:kern w:val="0"/>
        </w:rPr>
        <w:t>, 222</w:t>
      </w:r>
      <w:r>
        <w:rPr>
          <w:rFonts w:hint="eastAsia"/>
          <w:kern w:val="0"/>
        </w:rPr>
        <w:t>.pdf</w:t>
      </w:r>
    </w:p>
    <w:p w:rsidR="00B37B63" w:rsidRDefault="00B37B63" w:rsidP="00B37B63">
      <w:pPr>
        <w:pStyle w:val="a0"/>
        <w:rPr>
          <w:kern w:val="0"/>
        </w:rPr>
      </w:pPr>
      <w:r>
        <w:rPr>
          <w:kern w:val="0"/>
        </w:rPr>
        <w:t>Abstract: In this paper, we carry out a bibliometric study of sports economics research indexed in the Social Sciences Citation Index (SSCI) database from 1956 to 2009. Quantitative evidence provided by some standard bibliometric indicators supports the idea that sports economics can be considered as a successful</w:t>
      </w:r>
      <w:r w:rsidR="00F81221">
        <w:rPr>
          <w:kern w:val="0"/>
        </w:rPr>
        <w:t xml:space="preserve"> and </w:t>
      </w:r>
      <w:r>
        <w:rPr>
          <w:kern w:val="0"/>
        </w:rPr>
        <w:t>fast-growing area. The statistical analysis of publications</w:t>
      </w:r>
      <w:r w:rsidR="000352E7">
        <w:rPr>
          <w:kern w:val="0"/>
        </w:rPr>
        <w:t>’</w:t>
      </w:r>
      <w:r>
        <w:rPr>
          <w:kern w:val="0"/>
        </w:rPr>
        <w:t xml:space="preserve"> counts allows us to identify the authors, journals,</w:t>
      </w:r>
      <w:r w:rsidR="00F81221">
        <w:rPr>
          <w:kern w:val="0"/>
        </w:rPr>
        <w:t xml:space="preserve"> and </w:t>
      </w:r>
      <w:r>
        <w:rPr>
          <w:kern w:val="0"/>
        </w:rPr>
        <w:t>countries that have contributed in a decisive way to the progress of sports economics research. Furthermore, most recent authorship</w:t>
      </w:r>
      <w:r w:rsidR="00F81221">
        <w:rPr>
          <w:kern w:val="0"/>
        </w:rPr>
        <w:t xml:space="preserve"> and </w:t>
      </w:r>
      <w:r>
        <w:rPr>
          <w:kern w:val="0"/>
        </w:rPr>
        <w:t>citation concentration trends also reveal an advanced process of consolidation of this research field. In addition to journals specializing in sports which, mainly in recent years, have become significant channels for publishing sports economics research articles published in general journals maintain a significant relative weight within the total output. This reveals that the interest of research on sports economics goes beyond this specific field.</w:t>
      </w:r>
    </w:p>
    <w:p w:rsidR="00B37B63" w:rsidRDefault="00B37B63" w:rsidP="00B37B63">
      <w:pPr>
        <w:pStyle w:val="a0"/>
        <w:rPr>
          <w:kern w:val="0"/>
        </w:rPr>
      </w:pPr>
      <w:r>
        <w:rPr>
          <w:kern w:val="0"/>
        </w:rPr>
        <w:t>Keywords: Analysis, Authors, Authorship, Bibliometric, Bibliometric Indicators, Bibliometric Study, Bibliometrics, Citation, Departments, Economics, Interest, Journals, Market, Patterns, Publications, Published Research, Publishing, Relative Impacts, Research, Social Sciences, Social Sciences Citation Index, Sports, Sports Economics, SSCI, Statistical, Trends</w:t>
      </w:r>
    </w:p>
    <w:p w:rsidR="00715FFE" w:rsidRPr="001A3D2B" w:rsidRDefault="00715FFE" w:rsidP="00715FFE">
      <w:pPr>
        <w:pStyle w:val="1"/>
      </w:pPr>
      <w:r w:rsidRPr="001A3D2B">
        <w:br w:type="page"/>
      </w:r>
      <w:bookmarkStart w:id="1515" w:name="_Toc317161377"/>
      <w:r w:rsidRPr="001A3D2B">
        <w:lastRenderedPageBreak/>
        <w:t xml:space="preserve">Title: </w:t>
      </w:r>
      <w:r w:rsidRPr="00711CAA">
        <w:rPr>
          <w:iCs/>
        </w:rPr>
        <w:t>International Journal of Sport Nutrition</w:t>
      </w:r>
      <w:r w:rsidR="00F81221">
        <w:rPr>
          <w:iCs/>
        </w:rPr>
        <w:t xml:space="preserve"> and </w:t>
      </w:r>
      <w:r w:rsidRPr="00711CAA">
        <w:rPr>
          <w:iCs/>
        </w:rPr>
        <w:t>Exercise Metabolism</w:t>
      </w:r>
      <w:bookmarkEnd w:id="1515"/>
    </w:p>
    <w:p w:rsidR="00715FFE" w:rsidRPr="001A3D2B" w:rsidRDefault="00715FFE" w:rsidP="00715FFE">
      <w:pPr>
        <w:pStyle w:val="12"/>
      </w:pPr>
      <w:r w:rsidRPr="001A3D2B">
        <w:t xml:space="preserve">Full Journal Title: </w:t>
      </w:r>
      <w:r w:rsidRPr="00711CAA">
        <w:rPr>
          <w:iCs/>
        </w:rPr>
        <w:t>International Journal of Sport Nutrition</w:t>
      </w:r>
      <w:r w:rsidR="00F81221">
        <w:rPr>
          <w:iCs/>
        </w:rPr>
        <w:t xml:space="preserve"> and </w:t>
      </w:r>
      <w:r w:rsidRPr="00711CAA">
        <w:rPr>
          <w:iCs/>
        </w:rPr>
        <w:t>Exercise Metabolism</w:t>
      </w:r>
    </w:p>
    <w:p w:rsidR="00715FFE" w:rsidRPr="001A3D2B" w:rsidRDefault="00715FFE" w:rsidP="00715FFE">
      <w:pPr>
        <w:pStyle w:val="12"/>
      </w:pPr>
      <w:r w:rsidRPr="001A3D2B">
        <w:t xml:space="preserve">ISO Abbreviated Title: </w:t>
      </w:r>
    </w:p>
    <w:p w:rsidR="00715FFE" w:rsidRPr="001A3D2B" w:rsidRDefault="00715FFE" w:rsidP="00715FFE">
      <w:pPr>
        <w:pStyle w:val="12"/>
      </w:pPr>
      <w:r w:rsidRPr="001A3D2B">
        <w:t xml:space="preserve">JCR Abbreviated Title: </w:t>
      </w:r>
    </w:p>
    <w:p w:rsidR="00715FFE" w:rsidRPr="001A3D2B" w:rsidRDefault="00715FFE" w:rsidP="00715FFE">
      <w:pPr>
        <w:pStyle w:val="12"/>
      </w:pPr>
      <w:r w:rsidRPr="001A3D2B">
        <w:t xml:space="preserve">ISSN: </w:t>
      </w:r>
    </w:p>
    <w:p w:rsidR="00715FFE" w:rsidRPr="001A3D2B" w:rsidRDefault="00715FFE" w:rsidP="00715FFE">
      <w:pPr>
        <w:pStyle w:val="12"/>
      </w:pPr>
      <w:r w:rsidRPr="001A3D2B">
        <w:t xml:space="preserve">Issues/Year: </w:t>
      </w:r>
    </w:p>
    <w:p w:rsidR="00715FFE" w:rsidRPr="001A3D2B" w:rsidRDefault="00715FFE" w:rsidP="00715FFE">
      <w:pPr>
        <w:pStyle w:val="12"/>
      </w:pPr>
      <w:r w:rsidRPr="001A3D2B">
        <w:t xml:space="preserve">Journal Country/Territory: </w:t>
      </w:r>
    </w:p>
    <w:p w:rsidR="00715FFE" w:rsidRPr="001A3D2B" w:rsidRDefault="00715FFE" w:rsidP="00715FFE">
      <w:pPr>
        <w:pStyle w:val="12"/>
      </w:pPr>
      <w:r w:rsidRPr="001A3D2B">
        <w:t xml:space="preserve">Language: </w:t>
      </w:r>
    </w:p>
    <w:p w:rsidR="00715FFE" w:rsidRPr="001A3D2B" w:rsidRDefault="00715FFE" w:rsidP="00715FFE">
      <w:pPr>
        <w:pStyle w:val="12"/>
      </w:pPr>
      <w:r w:rsidRPr="001A3D2B">
        <w:t xml:space="preserve">Publisher: </w:t>
      </w:r>
    </w:p>
    <w:p w:rsidR="00715FFE" w:rsidRPr="001A3D2B" w:rsidRDefault="00715FFE" w:rsidP="00715FFE">
      <w:pPr>
        <w:pStyle w:val="12"/>
      </w:pPr>
      <w:r w:rsidRPr="001A3D2B">
        <w:t xml:space="preserve">Publisher Address: </w:t>
      </w:r>
    </w:p>
    <w:p w:rsidR="00715FFE" w:rsidRPr="001A3D2B" w:rsidRDefault="00715FFE" w:rsidP="00715FFE">
      <w:pPr>
        <w:pStyle w:val="12"/>
      </w:pPr>
      <w:r w:rsidRPr="001A3D2B">
        <w:t>Subject Categories:</w:t>
      </w:r>
    </w:p>
    <w:p w:rsidR="00715FFE" w:rsidRPr="001A3D2B" w:rsidRDefault="00715FFE" w:rsidP="00715FFE">
      <w:pPr>
        <w:pStyle w:val="12"/>
      </w:pPr>
      <w:r w:rsidRPr="001A3D2B">
        <w:t xml:space="preserve">: Impact Factor </w:t>
      </w:r>
    </w:p>
    <w:p w:rsidR="00715FFE" w:rsidRDefault="00715FFE" w:rsidP="00715FFE">
      <w:pPr>
        <w:pStyle w:val="a0"/>
        <w:rPr>
          <w:kern w:val="0"/>
        </w:rPr>
      </w:pPr>
      <w:r>
        <w:rPr>
          <w:rFonts w:hint="eastAsia"/>
          <w:kern w:val="0"/>
        </w:rPr>
        <w:t xml:space="preserve">? </w:t>
      </w:r>
      <w:r>
        <w:rPr>
          <w:kern w:val="0"/>
        </w:rPr>
        <w:t>Burdon, C.A., O</w:t>
      </w:r>
      <w:r w:rsidR="000352E7">
        <w:rPr>
          <w:kern w:val="0"/>
        </w:rPr>
        <w:t>’</w:t>
      </w:r>
      <w:r>
        <w:rPr>
          <w:kern w:val="0"/>
        </w:rPr>
        <w:t>Connor, H.T., Gifford, J.A.</w:t>
      </w:r>
      <w:r w:rsidR="00F81221">
        <w:rPr>
          <w:kern w:val="0"/>
        </w:rPr>
        <w:t xml:space="preserve"> and </w:t>
      </w:r>
      <w:r>
        <w:rPr>
          <w:kern w:val="0"/>
        </w:rPr>
        <w:t xml:space="preserve">Shirreffs, S.M. (2010), Influence of beverage temperature on exercise performance in the heat: A systematic review. </w:t>
      </w:r>
      <w:r w:rsidRPr="00711CAA">
        <w:rPr>
          <w:i/>
          <w:iCs/>
          <w:kern w:val="0"/>
        </w:rPr>
        <w:t>International Journal of Sport Nutrition</w:t>
      </w:r>
      <w:r w:rsidR="00F81221">
        <w:rPr>
          <w:i/>
          <w:iCs/>
          <w:kern w:val="0"/>
        </w:rPr>
        <w:t xml:space="preserve"> and </w:t>
      </w:r>
      <w:r w:rsidRPr="00711CAA">
        <w:rPr>
          <w:i/>
          <w:iCs/>
          <w:kern w:val="0"/>
        </w:rPr>
        <w:t>Exercise Metabolism</w:t>
      </w:r>
      <w:r>
        <w:rPr>
          <w:kern w:val="0"/>
        </w:rPr>
        <w:t xml:space="preserve">, </w:t>
      </w:r>
      <w:r>
        <w:rPr>
          <w:b/>
          <w:bCs/>
          <w:kern w:val="0"/>
        </w:rPr>
        <w:t>20</w:t>
      </w:r>
      <w:r>
        <w:rPr>
          <w:kern w:val="0"/>
        </w:rPr>
        <w:t xml:space="preserve"> (2), 166-174.</w:t>
      </w:r>
    </w:p>
    <w:p w:rsidR="00715FFE" w:rsidRDefault="00715FFE" w:rsidP="00715FFE">
      <w:pPr>
        <w:pStyle w:val="a0"/>
        <w:rPr>
          <w:kern w:val="0"/>
        </w:rPr>
      </w:pPr>
      <w:r>
        <w:rPr>
          <w:kern w:val="0"/>
        </w:rPr>
        <w:t>Abstract: Purpose: Increased core temperature (T(c)), impaired cardiovascular function,</w:t>
      </w:r>
      <w:r w:rsidR="00F81221">
        <w:rPr>
          <w:kern w:val="0"/>
        </w:rPr>
        <w:t xml:space="preserve"> and </w:t>
      </w:r>
      <w:r>
        <w:rPr>
          <w:kern w:val="0"/>
        </w:rPr>
        <w:t>dehydration contribute to fatigue during prolonged exercise in the heat. Although many studies have examined mechanisms addressing these factors, few have investigated the effect of cold beverage temperature on thermoregulation</w:t>
      </w:r>
      <w:r w:rsidR="00F81221">
        <w:rPr>
          <w:kern w:val="0"/>
        </w:rPr>
        <w:t xml:space="preserve"> and </w:t>
      </w:r>
      <w:r>
        <w:rPr>
          <w:kern w:val="0"/>
        </w:rPr>
        <w:t>exercise performance in the heat. Methods: Citations from MEDLINE (Ovid), Sport Discus (EBSCOhost), AUSPORT</w:t>
      </w:r>
      <w:r w:rsidR="00F81221">
        <w:rPr>
          <w:kern w:val="0"/>
        </w:rPr>
        <w:t xml:space="preserve"> and </w:t>
      </w:r>
      <w:r>
        <w:rPr>
          <w:kern w:val="0"/>
        </w:rPr>
        <w:t>AusportMed (Informit), Web of Science,</w:t>
      </w:r>
      <w:r w:rsidR="00F81221">
        <w:rPr>
          <w:kern w:val="0"/>
        </w:rPr>
        <w:t xml:space="preserve"> and </w:t>
      </w:r>
      <w:r>
        <w:rPr>
          <w:kern w:val="0"/>
        </w:rPr>
        <w:t>SCOPUS were identified from the earliest record until September 2008 using the search terms drink temperature, beverage temperature, fluid temperature, water temperature,</w:t>
      </w:r>
      <w:r w:rsidR="00F81221">
        <w:rPr>
          <w:kern w:val="0"/>
        </w:rPr>
        <w:t xml:space="preserve"> and </w:t>
      </w:r>
      <w:r>
        <w:rPr>
          <w:kern w:val="0"/>
        </w:rPr>
        <w:t>cold fluid combined with body temperature</w:t>
      </w:r>
      <w:r w:rsidR="00F81221">
        <w:rPr>
          <w:kern w:val="0"/>
        </w:rPr>
        <w:t xml:space="preserve"> and </w:t>
      </w:r>
      <w:r>
        <w:rPr>
          <w:kern w:val="0"/>
        </w:rPr>
        <w:t>thermoregulation. To be included, studies needed to assess core or rectal temperature during exercise in moderate or hot environmental conditions. After quality rating was completed by two reviewers, the difference in mean T(c)</w:t>
      </w:r>
      <w:r w:rsidR="00F81221">
        <w:rPr>
          <w:kern w:val="0"/>
        </w:rPr>
        <w:t xml:space="preserve"> and </w:t>
      </w:r>
      <w:r>
        <w:rPr>
          <w:kern w:val="0"/>
        </w:rPr>
        <w:t>exercise performance was calculated. Results: Ten studies meeting search inclusion criteria were available for analysis. Three were excluded because sufficient detail or statistical data were not reported. A meta-analysis was not performed because the studies were deemed too different to group. Three of the remaining 7 studies found modulated T(c) with cold beverage consumption,</w:t>
      </w:r>
      <w:r w:rsidR="00F81221">
        <w:rPr>
          <w:kern w:val="0"/>
        </w:rPr>
        <w:t xml:space="preserve"> and </w:t>
      </w:r>
      <w:r>
        <w:rPr>
          <w:kern w:val="0"/>
        </w:rPr>
        <w:t>from the 4 that conducted exercise performance tests, performance improved by 10% with cold fluids. Conclusion: Cold fluid may attenuate T(c) rise</w:t>
      </w:r>
      <w:r w:rsidR="00F81221">
        <w:rPr>
          <w:kern w:val="0"/>
        </w:rPr>
        <w:t xml:space="preserve"> and </w:t>
      </w:r>
      <w:r>
        <w:rPr>
          <w:kern w:val="0"/>
        </w:rPr>
        <w:t>improve exercise performance in the heat; however, study findings are mixed. Research using well-trained athletes</w:t>
      </w:r>
      <w:r w:rsidR="00F81221">
        <w:rPr>
          <w:kern w:val="0"/>
        </w:rPr>
        <w:t xml:space="preserve"> and </w:t>
      </w:r>
      <w:r>
        <w:rPr>
          <w:kern w:val="0"/>
        </w:rPr>
        <w:t xml:space="preserve">fluid-ingestion protocols replicating competition scenarios is required. Potential sensory effects of cold fluid in </w:t>
      </w:r>
      <w:r>
        <w:rPr>
          <w:kern w:val="0"/>
        </w:rPr>
        <w:lastRenderedPageBreak/>
        <w:t>maintaining motivation also need to be assessed as a mechanism underpinning improved performance.</w:t>
      </w:r>
    </w:p>
    <w:p w:rsidR="00715FFE" w:rsidRDefault="00715FFE" w:rsidP="00715FFE">
      <w:pPr>
        <w:pStyle w:val="a0"/>
        <w:rPr>
          <w:kern w:val="0"/>
        </w:rPr>
      </w:pPr>
      <w:r>
        <w:rPr>
          <w:kern w:val="0"/>
        </w:rPr>
        <w:t>Keywords: Analysis, Carbohydrate Mouth Rinse, Cardiovascular, Citations, Dehydration, Drink Temperature, Endurance Capacity, Endurance Performance, Environmental, Exercise, Fatigue, Fluid Ingestion, Fluid Temperature, Intensity Exercise, Meal Temperature, Mechanism, Medline, Meta-Analysis, Methods, Performance, Prolonged Exercise, Research, Review, Science, Scopus, Statistical, Systematic, Systematic Review, Thermoregulation, Thermoregulatory Responses, Volume, Voluntary Dehydration, Web of Science</w:t>
      </w:r>
    </w:p>
    <w:p w:rsidR="00B95188" w:rsidRPr="00A428C3" w:rsidRDefault="00B95188" w:rsidP="00B95188">
      <w:pPr>
        <w:pStyle w:val="1"/>
      </w:pPr>
      <w:r w:rsidRPr="00A428C3">
        <w:br w:type="page"/>
      </w:r>
      <w:bookmarkStart w:id="1516" w:name="_Toc489709767"/>
      <w:bookmarkStart w:id="1517" w:name="_Toc490688077"/>
      <w:bookmarkStart w:id="1518" w:name="_Toc492812190"/>
      <w:bookmarkStart w:id="1519" w:name="_Toc186647960"/>
      <w:bookmarkStart w:id="1520" w:name="_Toc317161378"/>
      <w:r w:rsidRPr="00A428C3">
        <w:lastRenderedPageBreak/>
        <w:t xml:space="preserve">Title: </w:t>
      </w:r>
      <w:bookmarkEnd w:id="1502"/>
      <w:bookmarkEnd w:id="1516"/>
      <w:r w:rsidRPr="00A428C3">
        <w:t>International Journal of Sports Medicine</w:t>
      </w:r>
      <w:bookmarkEnd w:id="1517"/>
      <w:bookmarkEnd w:id="1518"/>
      <w:bookmarkEnd w:id="1519"/>
      <w:bookmarkEnd w:id="1520"/>
    </w:p>
    <w:p w:rsidR="00B95188" w:rsidRPr="00A428C3" w:rsidRDefault="00B95188" w:rsidP="00B72EF9">
      <w:pPr>
        <w:pStyle w:val="12"/>
      </w:pPr>
      <w:r w:rsidRPr="00A428C3">
        <w:t>Full Journal Title: International Journal of Sports Medicine</w:t>
      </w:r>
    </w:p>
    <w:p w:rsidR="00B95188" w:rsidRPr="00A428C3" w:rsidRDefault="00B95188" w:rsidP="00B72EF9">
      <w:pPr>
        <w:pStyle w:val="12"/>
      </w:pPr>
      <w:r w:rsidRPr="00A428C3">
        <w:t>ISO Abbreviated Title: Int. J. Sports Med.</w:t>
      </w:r>
    </w:p>
    <w:p w:rsidR="00B95188" w:rsidRPr="00A428C3" w:rsidRDefault="00B95188" w:rsidP="00B72EF9">
      <w:pPr>
        <w:pStyle w:val="12"/>
      </w:pPr>
      <w:r w:rsidRPr="00A428C3">
        <w:t>JCR Abbreviated Title: Int J Sports Med</w:t>
      </w:r>
    </w:p>
    <w:p w:rsidR="00B95188" w:rsidRPr="00A428C3" w:rsidRDefault="00B95188" w:rsidP="00B72EF9">
      <w:pPr>
        <w:pStyle w:val="12"/>
      </w:pPr>
      <w:r w:rsidRPr="00A428C3">
        <w:t>ISSN: 0172-4622</w:t>
      </w:r>
    </w:p>
    <w:p w:rsidR="00B95188" w:rsidRPr="00A428C3" w:rsidRDefault="00B95188" w:rsidP="00B72EF9">
      <w:pPr>
        <w:pStyle w:val="12"/>
      </w:pPr>
      <w:r w:rsidRPr="00A428C3">
        <w:t>Issues/Year: 8</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Germany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Georg Thieme Verlag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30 11 20</w:t>
        </w:r>
      </w:smartTag>
      <w:r w:rsidRPr="00A428C3">
        <w:t xml:space="preserve">, D-70451 </w:t>
      </w:r>
      <w:smartTag w:uri="urn:schemas-microsoft-com:office:smarttags" w:element="place">
        <w:smartTag w:uri="urn:schemas-microsoft-com:office:smarttags" w:element="City">
          <w:r w:rsidRPr="00A428C3">
            <w:t>Stuttgart</w:t>
          </w:r>
        </w:smartTag>
        <w:r w:rsidRPr="00A428C3">
          <w:t xml:space="preserve">, </w:t>
        </w:r>
        <w:smartTag w:uri="urn:schemas-microsoft-com:office:smarttags" w:element="country-region">
          <w:r w:rsidRPr="00A428C3">
            <w:t>Germany</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Sport Sciences: Impact Factor</w:t>
      </w:r>
    </w:p>
    <w:p w:rsidR="00B95188" w:rsidRPr="00A428C3" w:rsidRDefault="00B95188" w:rsidP="00B95188">
      <w:pPr>
        <w:pStyle w:val="a0"/>
      </w:pPr>
      <w:r w:rsidRPr="00A428C3">
        <w:t xml:space="preserve">? Brenner, </w:t>
      </w:r>
      <w:smartTag w:uri="urn:schemas-microsoft-com:office:smarttags" w:element="place">
        <w:r w:rsidRPr="00A428C3">
          <w:t>I.</w:t>
        </w:r>
      </w:smartTag>
      <w:r w:rsidRPr="00A428C3">
        <w:t>, Shek, P.N., Zamecnik, J.</w:t>
      </w:r>
      <w:r w:rsidR="00F81221">
        <w:t xml:space="preserve"> and </w:t>
      </w:r>
      <w:r w:rsidRPr="00A428C3">
        <w:t>Shephard, R.J. (1998), Stress hormones</w:t>
      </w:r>
      <w:r w:rsidR="00F81221">
        <w:t xml:space="preserve"> and </w:t>
      </w:r>
      <w:r w:rsidRPr="00A428C3">
        <w:t>the immunological responses to heat</w:t>
      </w:r>
      <w:r w:rsidR="00F81221">
        <w:t xml:space="preserve"> and </w:t>
      </w:r>
      <w:r w:rsidRPr="00A428C3">
        <w:t xml:space="preserve">exercise. </w:t>
      </w:r>
      <w:r w:rsidRPr="00A428C3">
        <w:rPr>
          <w:i/>
        </w:rPr>
        <w:t>International Journal of Sports Medicine</w:t>
      </w:r>
      <w:r w:rsidRPr="00A428C3">
        <w:t xml:space="preserve">, </w:t>
      </w:r>
      <w:r w:rsidRPr="00A428C3">
        <w:rPr>
          <w:b/>
        </w:rPr>
        <w:t>19</w:t>
      </w:r>
      <w:r w:rsidRPr="00A428C3">
        <w:t xml:space="preserve"> (2), 130-143.</w:t>
      </w:r>
    </w:p>
    <w:p w:rsidR="00B95188" w:rsidRPr="00A428C3" w:rsidRDefault="00B95188" w:rsidP="00B95188">
      <w:pPr>
        <w:pStyle w:val="a0"/>
      </w:pPr>
      <w:r w:rsidRPr="00A428C3">
        <w:t xml:space="preserve">Abstract: This review focuses on the response of </w:t>
      </w:r>
      <w:r w:rsidR="000352E7">
        <w:t>“</w:t>
      </w:r>
      <w:r w:rsidRPr="00A428C3">
        <w:t>stress</w:t>
      </w:r>
      <w:r w:rsidR="000352E7">
        <w:t>”</w:t>
      </w:r>
      <w:r w:rsidRPr="00A428C3">
        <w:t xml:space="preserve"> hormones to heat, exercise (single or repeated bouts),</w:t>
      </w:r>
      <w:r w:rsidR="00F81221">
        <w:t xml:space="preserve"> and </w:t>
      </w:r>
      <w:r w:rsidRPr="00A428C3">
        <w:t>combinations of these stimuli, with particular reference to their impact upon immune function. Very hot conditions induce a typical stress response, with secretion of catecholamines</w:t>
      </w:r>
      <w:r w:rsidR="00F81221">
        <w:t xml:space="preserve"> and </w:t>
      </w:r>
      <w:r w:rsidRPr="00A428C3">
        <w:t>cortisol. The catecholamines induce a demargination of leukocytes,</w:t>
      </w:r>
      <w:r w:rsidR="00F81221">
        <w:t xml:space="preserve"> and </w:t>
      </w:r>
      <w:r w:rsidRPr="00A428C3">
        <w:t>cortisol subsequently causes cells to migrate to lymphoid tissue. Sustained exercise, even in a thermally comfortable environment, induces a larger hormonal response than moderate thermal stress. With moderate exercise, increases in leukocyte numbers are related mainly to plasma norepinephrine concentrations, but with more intense exercise epinephrine concentrations assume a major importance. As exercise continues, plasma cortisol levels also rise, inducing an influx of neutrophils from bone marrow</w:t>
      </w:r>
      <w:r w:rsidR="00F81221">
        <w:t xml:space="preserve"> and </w:t>
      </w:r>
      <w:r w:rsidRPr="00A428C3">
        <w:t>an efflux of other leukocyte subsets. A combination of exercise</w:t>
      </w:r>
      <w:r w:rsidR="00F81221">
        <w:t xml:space="preserve"> and </w:t>
      </w:r>
      <w:r w:rsidRPr="00A428C3">
        <w:t>heat stress augments both hormonal</w:t>
      </w:r>
      <w:r w:rsidR="00F81221">
        <w:t xml:space="preserve"> and </w:t>
      </w:r>
      <w:r w:rsidRPr="00A428C3">
        <w:t>leukocyte responses. But these changes seem to be reversed if temperatures are clamped by exercising in cold water. If a second bout of exercise is performed with an inter-test interval of 30-45 min, neither hormone concentrations nor immune responses show any great cumulative effect under temperate conditions. However, in a hot environment the second exercise bout induces a larger</w:t>
      </w:r>
      <w:r w:rsidR="00F81221">
        <w:t xml:space="preserve"> and </w:t>
      </w:r>
      <w:r w:rsidRPr="00A428C3">
        <w:t>more persistent neutrophilia. Training influences these various responses mainly by decreasing the stress imposed when exercising at a given absolute work-rate.</w:t>
      </w:r>
    </w:p>
    <w:p w:rsidR="00B95188" w:rsidRPr="00A428C3" w:rsidRDefault="00B95188" w:rsidP="00B95188">
      <w:pPr>
        <w:pStyle w:val="1"/>
      </w:pPr>
      <w:r w:rsidRPr="00A428C3">
        <w:br w:type="page"/>
      </w:r>
      <w:bookmarkStart w:id="1521" w:name="_Toc186647961"/>
      <w:bookmarkStart w:id="1522" w:name="_Toc317161379"/>
      <w:r w:rsidRPr="00A428C3">
        <w:lastRenderedPageBreak/>
        <w:t>Title: International Journal of Surgery</w:t>
      </w:r>
      <w:bookmarkEnd w:id="1521"/>
      <w:bookmarkEnd w:id="1522"/>
    </w:p>
    <w:p w:rsidR="00B95188" w:rsidRPr="00A428C3" w:rsidRDefault="00B95188" w:rsidP="00B72EF9">
      <w:pPr>
        <w:pStyle w:val="12"/>
      </w:pPr>
      <w:r w:rsidRPr="00A428C3">
        <w:t xml:space="preserve">Full Journal Title: </w:t>
      </w:r>
      <w:hyperlink r:id="rId2076" w:history="1">
        <w:r w:rsidRPr="00A428C3">
          <w:rPr>
            <w:rStyle w:val="a5"/>
          </w:rPr>
          <w:t>International Journal of Surgery</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Jaffer, U.</w:t>
      </w:r>
      <w:r w:rsidR="00F81221">
        <w:t xml:space="preserve"> and </w:t>
      </w:r>
      <w:r w:rsidRPr="00A428C3">
        <w:t>Cameron, A.E.P. (2006), Deceit</w:t>
      </w:r>
      <w:r w:rsidR="00F81221">
        <w:t xml:space="preserve"> and </w:t>
      </w:r>
      <w:r w:rsidRPr="00A428C3">
        <w:t xml:space="preserve">fraud in medical research. </w:t>
      </w:r>
      <w:r w:rsidRPr="00A428C3">
        <w:rPr>
          <w:i/>
        </w:rPr>
        <w:t>International Journal of Surgery</w:t>
      </w:r>
      <w:r w:rsidRPr="00A428C3">
        <w:t xml:space="preserve">, </w:t>
      </w:r>
      <w:r w:rsidR="00FF7FAA">
        <w:rPr>
          <w:rFonts w:hint="eastAsia"/>
          <w:b/>
        </w:rPr>
        <w:t>4</w:t>
      </w:r>
      <w:r w:rsidRPr="00A428C3">
        <w:t xml:space="preserve"> (</w:t>
      </w:r>
      <w:r w:rsidR="00FF7FAA">
        <w:rPr>
          <w:rFonts w:hint="eastAsia"/>
        </w:rPr>
        <w:t>2</w:t>
      </w:r>
      <w:r w:rsidRPr="00A428C3">
        <w:t xml:space="preserve">), </w:t>
      </w:r>
      <w:r w:rsidR="00FF7FAA">
        <w:rPr>
          <w:rFonts w:hint="eastAsia"/>
        </w:rPr>
        <w:t>122</w:t>
      </w:r>
      <w:r w:rsidR="00FF7FAA">
        <w:t>-</w:t>
      </w:r>
      <w:r w:rsidR="00FF7FAA">
        <w:rPr>
          <w:rFonts w:hint="eastAsia"/>
        </w:rPr>
        <w:t>126</w:t>
      </w:r>
      <w:r w:rsidRPr="00A428C3">
        <w:t>.</w:t>
      </w:r>
    </w:p>
    <w:p w:rsidR="00B95188" w:rsidRPr="00A428C3" w:rsidRDefault="00B95188" w:rsidP="00B95188">
      <w:pPr>
        <w:pStyle w:val="a0"/>
      </w:pPr>
      <w:r w:rsidRPr="00A428C3">
        <w:t xml:space="preserve">Full Text: </w:t>
      </w:r>
      <w:hyperlink r:id="rId2077" w:history="1">
        <w:r w:rsidR="00FF7FAA" w:rsidRPr="00FF7FAA">
          <w:rPr>
            <w:rStyle w:val="a5"/>
          </w:rPr>
          <w:t>2006\Int J Sur4, 122.pdf</w:t>
        </w:r>
      </w:hyperlink>
    </w:p>
    <w:p w:rsidR="00B95188" w:rsidRPr="00A428C3" w:rsidRDefault="00B95188" w:rsidP="00B95188">
      <w:pPr>
        <w:pStyle w:val="a0"/>
      </w:pPr>
      <w:r w:rsidRPr="00A428C3">
        <w:t>Abstract: Deceit</w:t>
      </w:r>
      <w:r w:rsidR="00F81221">
        <w:t xml:space="preserve"> and </w:t>
      </w:r>
      <w:r w:rsidRPr="00A428C3">
        <w:t>fraud in medical research is a serious problem for the credibility of published literature. Although estimating its prevalence is difficult, reported incidences are alarming. The spectrum of the problem ranges from what may seem as rather innocuous gift authorship to wholesale fabrication of data. Potential factors which may have promoted fraud</w:t>
      </w:r>
      <w:r w:rsidR="00F81221">
        <w:t xml:space="preserve"> and </w:t>
      </w:r>
      <w:r w:rsidRPr="00A428C3">
        <w:t>deceit include financial gain, personal fame, the competitive scientific environment</w:t>
      </w:r>
      <w:r w:rsidR="00F81221">
        <w:t xml:space="preserve"> and </w:t>
      </w:r>
      <w:r w:rsidRPr="00A428C3">
        <w:t>scientific hubris. Fraud</w:t>
      </w:r>
      <w:r w:rsidR="00F81221">
        <w:t xml:space="preserve"> and </w:t>
      </w:r>
      <w:r w:rsidRPr="00A428C3">
        <w:t>deceit are difficult to detect</w:t>
      </w:r>
      <w:r w:rsidR="00F81221">
        <w:t xml:space="preserve"> and </w:t>
      </w:r>
      <w:r w:rsidRPr="00A428C3">
        <w:t>are generally brought to the fore by whistleblowers. Although most cases may be dealt with at an institutional level, regulatory organisations such as the Committee on Publication Ethics (COPE)</w:t>
      </w:r>
      <w:r w:rsidR="00F81221">
        <w:t xml:space="preserve"> and </w:t>
      </w:r>
      <w:r w:rsidRPr="00A428C3">
        <w:t>Medical Research Ethics Committee (MREC) have been established to monitor</w:t>
      </w:r>
      <w:r w:rsidR="00F81221">
        <w:t xml:space="preserve"> and </w:t>
      </w:r>
      <w:r w:rsidRPr="00A428C3">
        <w:t>try to remedy the problem.</w:t>
      </w:r>
    </w:p>
    <w:p w:rsidR="00B95188" w:rsidRPr="00A428C3" w:rsidRDefault="00B95188" w:rsidP="00B95188">
      <w:pPr>
        <w:pStyle w:val="a0"/>
      </w:pPr>
      <w:r w:rsidRPr="00A428C3">
        <w:t>Keywords: Fraud</w:t>
      </w:r>
      <w:r w:rsidR="008764E4">
        <w:rPr>
          <w:rFonts w:hint="eastAsia"/>
        </w:rPr>
        <w:t>,</w:t>
      </w:r>
      <w:r w:rsidRPr="00A428C3">
        <w:t xml:space="preserve"> Deceit, Medical Research, Medical Ethics</w:t>
      </w:r>
    </w:p>
    <w:p w:rsidR="008764E4" w:rsidRDefault="008764E4" w:rsidP="008764E4">
      <w:pPr>
        <w:pStyle w:val="a0"/>
        <w:rPr>
          <w:kern w:val="0"/>
        </w:rPr>
      </w:pPr>
      <w:r>
        <w:rPr>
          <w:rFonts w:hint="eastAsia"/>
          <w:kern w:val="0"/>
        </w:rPr>
        <w:t xml:space="preserve">? </w:t>
      </w:r>
      <w:r>
        <w:rPr>
          <w:kern w:val="0"/>
        </w:rPr>
        <w:t xml:space="preserve">Markar, S.R., Venkat-Raman, V., Ho, A., Karthikesalingam, A., Kinross, J., Evans, J. and Bloom, I. (2011), Laparoscopic versus open appendicectomy in obese patients. </w:t>
      </w:r>
      <w:r>
        <w:rPr>
          <w:i/>
          <w:iCs/>
          <w:kern w:val="0"/>
        </w:rPr>
        <w:t>International Journal of Surgery</w:t>
      </w:r>
      <w:r>
        <w:rPr>
          <w:kern w:val="0"/>
        </w:rPr>
        <w:t xml:space="preserve">, </w:t>
      </w:r>
      <w:r>
        <w:rPr>
          <w:b/>
          <w:bCs/>
          <w:kern w:val="0"/>
        </w:rPr>
        <w:t>9</w:t>
      </w:r>
      <w:r>
        <w:rPr>
          <w:kern w:val="0"/>
        </w:rPr>
        <w:t xml:space="preserve"> (6), 451-455.</w:t>
      </w:r>
    </w:p>
    <w:p w:rsidR="007C12CA" w:rsidRPr="00A428C3" w:rsidRDefault="007C12CA" w:rsidP="007C12CA">
      <w:pPr>
        <w:pStyle w:val="a0"/>
      </w:pPr>
      <w:r w:rsidRPr="00A428C3">
        <w:t xml:space="preserve">Full Text: </w:t>
      </w:r>
      <w:hyperlink r:id="rId2078" w:history="1">
        <w:r w:rsidRPr="007D5A89">
          <w:rPr>
            <w:rStyle w:val="a5"/>
          </w:rPr>
          <w:t>2011\Int J Sur9, 451.pdf</w:t>
        </w:r>
      </w:hyperlink>
    </w:p>
    <w:p w:rsidR="008764E4" w:rsidRDefault="008764E4" w:rsidP="008764E4">
      <w:pPr>
        <w:pStyle w:val="a0"/>
        <w:rPr>
          <w:kern w:val="0"/>
        </w:rPr>
      </w:pPr>
      <w:r>
        <w:rPr>
          <w:kern w:val="0"/>
        </w:rPr>
        <w:t xml:space="preserve">Abstract: Background: Although there appears to be no outright benefit of laparoscopic versus open surgery for acute appendicitis in the general population, it has been suggested that in obese patients a laparoscopic approach may offer more conclusive gains. The aim of this pooled analysis of comparative studies was to evaluate clinical outcome following laparoscopic and open appendicectomy in the obese population. Methods: A systematic literature search of MEDLINE, Embase, Web of Science and the Cochrane Library databases was performed. Primary outcomes were length of </w:t>
      </w:r>
      <w:r>
        <w:rPr>
          <w:kern w:val="0"/>
        </w:rPr>
        <w:lastRenderedPageBreak/>
        <w:t>operation (min) and length of hospital stay (days). Secondary outcomes were presence of post-operative complications, wound and intra-abdominal complications. Weighted mean differences were calculated to assess the size of the effect of laparoscopic appendicectomy on continuous variables and Pooled odds ratio were calculated for discrete variables. Results: 2309 appendicectomies were included in this analysis, 1122 laparoscopic and 1187 open appendicectomies. Analysis of primary outcome measures revealed a shorter length of post-operative stay associated with laparoscopic appendicectomy (weighted mean difference = -1.26; 95% confidence interval = -2.36 to -0.16; p = 0.02). There was no significant difference between the groups for length of operation, post-operative complications, intra-abdominal or wound complications. Conclusion: The results of this pooled analysis indicate that laparoscopic appendicectomy may be beneficial in the obese population with a shorter length of hospital stay, and a similar incidence of postoperative complications. (C) 2011 Surgical Associates Ltd. Published by Elsevier Ltd. All rights reserved.</w:t>
      </w:r>
    </w:p>
    <w:p w:rsidR="008764E4" w:rsidRDefault="008764E4" w:rsidP="008764E4">
      <w:pPr>
        <w:pStyle w:val="a0"/>
        <w:rPr>
          <w:kern w:val="0"/>
        </w:rPr>
      </w:pPr>
      <w:r>
        <w:rPr>
          <w:kern w:val="0"/>
        </w:rPr>
        <w:t>Keywords: Acute, Analysis, Appendectomy, Appendicectomy, Appendicitis, Author, Choice, Cochrane, Complications, Databases, Differences, England, Hospital, Incidence, Laparoscopy, Literature, Medline, Metaanalysis, Methods, Obesity, Outcome, Outcomes, Patients, Pooled Analysis, Postoperative Complications, Primary, Ratio, Science, Surgery, Systematic, Web of Science</w:t>
      </w:r>
    </w:p>
    <w:p w:rsidR="00B95188" w:rsidRPr="00A428C3" w:rsidRDefault="00B95188" w:rsidP="00B95188">
      <w:pPr>
        <w:pStyle w:val="1"/>
      </w:pPr>
      <w:r w:rsidRPr="00A428C3">
        <w:br w:type="page"/>
      </w:r>
      <w:bookmarkStart w:id="1523" w:name="_Toc186647962"/>
      <w:bookmarkStart w:id="1524" w:name="_Toc317161380"/>
      <w:r w:rsidRPr="00A428C3">
        <w:lastRenderedPageBreak/>
        <w:t>Title: International Journal of Surgical Pathology</w:t>
      </w:r>
      <w:bookmarkEnd w:id="1523"/>
      <w:bookmarkEnd w:id="1524"/>
    </w:p>
    <w:p w:rsidR="00B95188" w:rsidRPr="00A428C3" w:rsidRDefault="00B95188" w:rsidP="00B72EF9">
      <w:pPr>
        <w:pStyle w:val="12"/>
      </w:pPr>
      <w:r w:rsidRPr="00A428C3">
        <w:t>Full Journal Title: International Journal of Surgical Pathology</w:t>
      </w:r>
    </w:p>
    <w:p w:rsidR="00B95188" w:rsidRPr="00A428C3" w:rsidRDefault="00B95188" w:rsidP="00B72EF9">
      <w:pPr>
        <w:pStyle w:val="12"/>
      </w:pPr>
      <w:r w:rsidRPr="00A428C3">
        <w:t>ISO Abbreviated Title: Int. J. Surg. Pathol.</w:t>
      </w:r>
    </w:p>
    <w:p w:rsidR="00B95188" w:rsidRPr="00A428C3" w:rsidRDefault="00B95188" w:rsidP="00B72EF9">
      <w:pPr>
        <w:pStyle w:val="12"/>
      </w:pPr>
      <w:r w:rsidRPr="00A428C3">
        <w:t>JCR Abbreviated Title: Int J Surg Pathol</w:t>
      </w:r>
    </w:p>
    <w:p w:rsidR="00B95188" w:rsidRPr="00A428C3" w:rsidRDefault="00B95188" w:rsidP="00B72EF9">
      <w:pPr>
        <w:pStyle w:val="12"/>
      </w:pPr>
      <w:r w:rsidRPr="00A428C3">
        <w:t>ISSN: 1066-8969</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Westminster Publ Inc</w:t>
      </w:r>
    </w:p>
    <w:p w:rsidR="00B95188" w:rsidRPr="00A428C3" w:rsidRDefault="00B95188" w:rsidP="00B72EF9">
      <w:pPr>
        <w:pStyle w:val="12"/>
      </w:pPr>
      <w:r w:rsidRPr="00A428C3">
        <w:t xml:space="preserve">Publisher Address: </w:t>
      </w:r>
      <w:smartTag w:uri="urn:schemas-microsoft-com:office:smarttags" w:element="Street">
        <w:smartTag w:uri="urn:schemas-microsoft-com:office:smarttags" w:element="address">
          <w:r w:rsidRPr="00A428C3">
            <w:t>708 Glen Cove Ave</w:t>
          </w:r>
        </w:smartTag>
      </w:smartTag>
      <w:r w:rsidRPr="00A428C3">
        <w:t xml:space="preserve">, Glen </w:t>
      </w:r>
      <w:smartTag w:uri="urn:schemas-microsoft-com:office:smarttags" w:element="place">
        <w:smartTag w:uri="urn:schemas-microsoft-com:office:smarttags" w:element="City">
          <w:r w:rsidRPr="00A428C3">
            <w:t>Head</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11545</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Pathology: Impact Factor 0.663, / (2002)</w:t>
      </w:r>
    </w:p>
    <w:p w:rsidR="00B95188" w:rsidRPr="00A428C3" w:rsidRDefault="00B95188" w:rsidP="00B72EF9">
      <w:pPr>
        <w:pStyle w:val="12"/>
      </w:pPr>
      <w:r w:rsidRPr="00A428C3">
        <w:t>Surgery: Impact Factor 0.663, / (2002)</w:t>
      </w:r>
    </w:p>
    <w:p w:rsidR="00B95188" w:rsidRPr="00A428C3" w:rsidRDefault="00B95188" w:rsidP="00B95188">
      <w:pPr>
        <w:pStyle w:val="a0"/>
      </w:pPr>
      <w:r w:rsidRPr="00A428C3">
        <w:t>Yan, K.W.</w:t>
      </w:r>
      <w:r w:rsidR="00F81221">
        <w:t xml:space="preserve"> and </w:t>
      </w:r>
      <w:r w:rsidRPr="00A428C3">
        <w:t xml:space="preserve">Chan, J.K.C. (2003), Pulmonary pathology of severe acute respiratory syndrome (SARS). </w:t>
      </w:r>
      <w:r w:rsidRPr="00A428C3">
        <w:rPr>
          <w:i/>
          <w:iCs/>
        </w:rPr>
        <w:t>International Journal of Surgical Pathology</w:t>
      </w:r>
      <w:r w:rsidRPr="00A428C3">
        <w:t xml:space="preserve">, </w:t>
      </w:r>
      <w:r w:rsidRPr="00A428C3">
        <w:rPr>
          <w:b/>
        </w:rPr>
        <w:t>11</w:t>
      </w:r>
      <w:r w:rsidRPr="00A428C3">
        <w:t xml:space="preserve"> (2), 118.</w:t>
      </w:r>
    </w:p>
    <w:p w:rsidR="00B95188" w:rsidRPr="00A428C3" w:rsidRDefault="00B95188" w:rsidP="00B95188">
      <w:pPr>
        <w:pStyle w:val="a0"/>
      </w:pPr>
      <w:r w:rsidRPr="00A428C3">
        <w:t xml:space="preserve">Full Text: </w:t>
      </w:r>
      <w:hyperlink r:id="rId2079" w:history="1">
        <w:r w:rsidRPr="00A428C3">
          <w:rPr>
            <w:rStyle w:val="a5"/>
          </w:rPr>
          <w:t>I\Int J Sur Pat11, 118.pdf</w:t>
        </w:r>
      </w:hyperlink>
    </w:p>
    <w:p w:rsidR="00B95188" w:rsidRPr="00A428C3" w:rsidRDefault="00B95188" w:rsidP="00B95188">
      <w:pPr>
        <w:pStyle w:val="1"/>
      </w:pPr>
      <w:r w:rsidRPr="00A428C3">
        <w:br w:type="page"/>
      </w:r>
      <w:bookmarkStart w:id="1525" w:name="_Toc186647963"/>
      <w:bookmarkStart w:id="1526" w:name="_Toc317161381"/>
      <w:r w:rsidRPr="00A428C3">
        <w:lastRenderedPageBreak/>
        <w:t>Title: International Journal of Technology Assessment in Health Care</w:t>
      </w:r>
      <w:bookmarkEnd w:id="1525"/>
      <w:bookmarkEnd w:id="1526"/>
    </w:p>
    <w:p w:rsidR="00B95188" w:rsidRPr="00A428C3" w:rsidRDefault="00B95188" w:rsidP="00B72EF9">
      <w:pPr>
        <w:pStyle w:val="12"/>
      </w:pPr>
      <w:r w:rsidRPr="00A428C3">
        <w:t>Full Journal Title: International Journal of Technology Assessment in Health Care</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0266-4623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Eckerlund, I.</w:t>
      </w:r>
      <w:r w:rsidR="00F81221">
        <w:t xml:space="preserve"> and </w:t>
      </w:r>
      <w:r w:rsidRPr="00A428C3">
        <w:t xml:space="preserve">Gerdtham, U.G. (1998), Econometric analysis of variation in cesarean section rates: A cross-sectional study of 59 obstetrical departments in </w:t>
      </w:r>
      <w:smartTag w:uri="urn:schemas-microsoft-com:office:smarttags" w:element="place">
        <w:smartTag w:uri="urn:schemas-microsoft-com:office:smarttags" w:element="country-region">
          <w:r w:rsidRPr="00A428C3">
            <w:t>Sweden</w:t>
          </w:r>
        </w:smartTag>
      </w:smartTag>
      <w:r w:rsidRPr="00A428C3">
        <w:t xml:space="preserve">. </w:t>
      </w:r>
      <w:r w:rsidRPr="00A428C3">
        <w:rPr>
          <w:i/>
          <w:iCs/>
        </w:rPr>
        <w:t>International Journal of Technology Assessment in Health Care</w:t>
      </w:r>
      <w:r w:rsidRPr="00A428C3">
        <w:t xml:space="preserve">, </w:t>
      </w:r>
      <w:r w:rsidRPr="00A428C3">
        <w:rPr>
          <w:b/>
        </w:rPr>
        <w:t>14</w:t>
      </w:r>
      <w:r w:rsidRPr="00A428C3">
        <w:t xml:space="preserve"> (4), 774-787.</w:t>
      </w:r>
    </w:p>
    <w:p w:rsidR="00563F78" w:rsidRPr="001A3D2B" w:rsidRDefault="00563F78" w:rsidP="00563F78">
      <w:pPr>
        <w:pStyle w:val="a0"/>
      </w:pPr>
      <w:r w:rsidRPr="001A3D2B">
        <w:t xml:space="preserve">Full Text: </w:t>
      </w:r>
      <w:r>
        <w:rPr>
          <w:rFonts w:hint="eastAsia"/>
        </w:rPr>
        <w:t>1998\</w:t>
      </w:r>
      <w:r w:rsidRPr="001A3D2B">
        <w:t>Int J Tec Ass Hea Car14, 774.pdf</w:t>
      </w:r>
    </w:p>
    <w:p w:rsidR="00B95188" w:rsidRPr="00A428C3" w:rsidRDefault="00B95188" w:rsidP="00B95188">
      <w:pPr>
        <w:pStyle w:val="a0"/>
      </w:pPr>
      <w:r w:rsidRPr="00A428C3">
        <w:t>Abstract: The objective of this study was to explain the variation in cesarean section rates among hospitals (obstetrical departments) in Sweden,</w:t>
      </w:r>
      <w:r w:rsidR="00F81221">
        <w:t xml:space="preserve"> and </w:t>
      </w:r>
      <w:r w:rsidRPr="00A428C3">
        <w:t>to discuss its potential economic consequences. Using data from The Swedish Medical Birth Registry 1991, we made a cross-sectional study of the cesarean section rate at the departmental level. We identified some 20 determinants, demand-related as well as supply-related. A general model including all these regressors was specified, After reducing this model, we were able to explain about one-quarter of the variation, We conclude that the large variation in cesarean section rates indicates inefficiency, due mainly to overutilization, but perhaps also underutilization. It is difficult to calculate the economic consequences or the welfare loss to society, We estimated an additional cost for unnecessary cesarean sections of 13-16 million Swedish crowns (SEK) per year.</w:t>
      </w:r>
    </w:p>
    <w:p w:rsidR="00B95188" w:rsidRPr="00A428C3" w:rsidRDefault="00B95188" w:rsidP="00B95188">
      <w:pPr>
        <w:pStyle w:val="a0"/>
      </w:pPr>
      <w:r w:rsidRPr="00A428C3">
        <w:t>Keywords: Cesarean Section, Practice Patterns, Economics, Regression Analysis, Medical-Care, Health-Insurance, Birth-Rate, Delivery, Demand, Cost, Information, Technology, Behavior</w:t>
      </w:r>
    </w:p>
    <w:p w:rsidR="00B95188" w:rsidRPr="00A428C3" w:rsidRDefault="00B95188" w:rsidP="00B95188">
      <w:pPr>
        <w:pStyle w:val="a0"/>
      </w:pPr>
      <w:r w:rsidRPr="00A428C3">
        <w:t xml:space="preserve">? Ramsay, C.R., Grant, A.M., </w:t>
      </w:r>
      <w:smartTag w:uri="urn:schemas-microsoft-com:office:smarttags" w:element="place">
        <w:smartTag w:uri="urn:schemas-microsoft-com:office:smarttags" w:element="City">
          <w:r w:rsidRPr="00A428C3">
            <w:t>Wallace</w:t>
          </w:r>
        </w:smartTag>
        <w:r w:rsidRPr="00A428C3">
          <w:t xml:space="preserve">, </w:t>
        </w:r>
        <w:smartTag w:uri="urn:schemas-microsoft-com:office:smarttags" w:element="country-region">
          <w:r w:rsidRPr="00A428C3">
            <w:t>S.A.</w:t>
          </w:r>
        </w:smartTag>
      </w:smartTag>
      <w:r w:rsidRPr="00A428C3">
        <w:t>, Garthwaite, P.H., Monk, A.F.</w:t>
      </w:r>
      <w:r w:rsidR="00F81221">
        <w:t xml:space="preserve"> and </w:t>
      </w:r>
      <w:r w:rsidRPr="00A428C3">
        <w:t xml:space="preserve">Russell, I.T. (2000), Assessment of the learning curve in health technologies: A systematic review. </w:t>
      </w:r>
      <w:r w:rsidRPr="00A428C3">
        <w:rPr>
          <w:i/>
          <w:iCs/>
        </w:rPr>
        <w:t>International Journal of Technology Assessment in Health Care</w:t>
      </w:r>
      <w:r w:rsidRPr="00A428C3">
        <w:t xml:space="preserve">, </w:t>
      </w:r>
      <w:r w:rsidRPr="00A428C3">
        <w:rPr>
          <w:b/>
        </w:rPr>
        <w:t>16</w:t>
      </w:r>
      <w:r w:rsidRPr="00A428C3">
        <w:t xml:space="preserve"> (4), 1095-1108.</w:t>
      </w:r>
    </w:p>
    <w:p w:rsidR="00423145" w:rsidRPr="001A3D2B" w:rsidRDefault="00423145" w:rsidP="00423145">
      <w:pPr>
        <w:pStyle w:val="a0"/>
      </w:pPr>
      <w:r w:rsidRPr="001A3D2B">
        <w:lastRenderedPageBreak/>
        <w:t xml:space="preserve">Full Text: </w:t>
      </w:r>
      <w:hyperlink r:id="rId2080" w:history="1">
        <w:r w:rsidRPr="001A3D2B">
          <w:rPr>
            <w:rStyle w:val="a5"/>
            <w:szCs w:val="24"/>
          </w:rPr>
          <w:t>2000\Int J Tec Ass Hea Car16, 1095.pdf</w:t>
        </w:r>
      </w:hyperlink>
    </w:p>
    <w:p w:rsidR="00B95188" w:rsidRPr="00A428C3" w:rsidRDefault="00B95188" w:rsidP="00B95188">
      <w:pPr>
        <w:pStyle w:val="a0"/>
      </w:pPr>
      <w:r w:rsidRPr="00A428C3">
        <w:t>Abstract: Objective: We reviewed</w:t>
      </w:r>
      <w:r w:rsidR="00F81221">
        <w:t xml:space="preserve"> and </w:t>
      </w:r>
      <w:r w:rsidRPr="00A428C3">
        <w:t xml:space="preserve">appraised the methods by which the issue of the learning curve has been addressed during health technology assessment in the past. </w:t>
      </w:r>
    </w:p>
    <w:p w:rsidR="00B95188" w:rsidRPr="00A428C3" w:rsidRDefault="00B95188" w:rsidP="00B95188">
      <w:pPr>
        <w:pStyle w:val="a0"/>
      </w:pPr>
      <w:r w:rsidRPr="00A428C3">
        <w:t>Method: We performed a systematic review of papers in clinical databases (BIOSIS, CINAHL, Cochrane Library, EMBASE, HealthSTAR, MEDLINE, Science Citation Index,</w:t>
      </w:r>
      <w:r w:rsidR="00F81221">
        <w:t xml:space="preserve"> and </w:t>
      </w:r>
      <w:r w:rsidRPr="00A428C3">
        <w:t xml:space="preserve">Social Science Citation Index) using the search term </w:t>
      </w:r>
      <w:r w:rsidR="000352E7">
        <w:t>“</w:t>
      </w:r>
      <w:r w:rsidRPr="00A428C3">
        <w:t>learning curve:</w:t>
      </w:r>
      <w:r w:rsidR="000352E7">
        <w:t>”</w:t>
      </w:r>
    </w:p>
    <w:p w:rsidR="00B95188" w:rsidRPr="00A428C3" w:rsidRDefault="00B95188" w:rsidP="00B95188">
      <w:pPr>
        <w:pStyle w:val="a0"/>
      </w:pPr>
      <w:r w:rsidRPr="00A428C3">
        <w:t>Results: The clinical search retrieved 4,571 abstracts for assessment, of which 559 (12%) published articles were eligible for review. Of these, 272 were judged to have formally assessed a learning curve. The procedures assessed were minimal access (51%), other surgical (41%),</w:t>
      </w:r>
      <w:r w:rsidR="00F81221">
        <w:t xml:space="preserve"> and </w:t>
      </w:r>
      <w:r w:rsidRPr="00A428C3">
        <w:t>diagnostic (8%). The majority of the studies were case series (95%). Some 47% of studies addressed only individual operator performance</w:t>
      </w:r>
      <w:r w:rsidR="00F81221">
        <w:t xml:space="preserve"> and </w:t>
      </w:r>
      <w:r w:rsidRPr="00A428C3">
        <w:t>52% addressed institutional performance. The data were collected prospectively in 40%, retrospectively in 26%,</w:t>
      </w:r>
      <w:r w:rsidR="00F81221">
        <w:t xml:space="preserve"> and </w:t>
      </w:r>
      <w:r w:rsidRPr="00A428C3">
        <w:t>the method was unclear for 31%. The statistical methods used were simple graphs (44%), splitting the data chronologically</w:t>
      </w:r>
      <w:r w:rsidR="00F81221">
        <w:t xml:space="preserve"> and </w:t>
      </w:r>
      <w:r w:rsidRPr="00A428C3">
        <w:t>performing a t test or chi-squared test (60%), curve fitting (12%),</w:t>
      </w:r>
      <w:r w:rsidR="00F81221">
        <w:t xml:space="preserve"> and </w:t>
      </w:r>
      <w:r w:rsidRPr="00A428C3">
        <w:t>other model fitting (5%).</w:t>
      </w:r>
    </w:p>
    <w:p w:rsidR="00B95188" w:rsidRPr="00A428C3" w:rsidRDefault="00B95188" w:rsidP="00B95188">
      <w:pPr>
        <w:pStyle w:val="a0"/>
      </w:pPr>
      <w:r w:rsidRPr="00A428C3">
        <w:t>Conclusions: Learning curves are rarely considered formally in health technology assessment. Where they are, the reporting of the studies</w:t>
      </w:r>
      <w:r w:rsidR="00F81221">
        <w:t xml:space="preserve"> and </w:t>
      </w:r>
      <w:r w:rsidRPr="00A428C3">
        <w:t>the statistical methods used are weak. As a minimum, reporting of learning should include the number</w:t>
      </w:r>
      <w:r w:rsidR="00F81221">
        <w:t xml:space="preserve"> and </w:t>
      </w:r>
      <w:r w:rsidRPr="00A428C3">
        <w:t>experience of the operators</w:t>
      </w:r>
      <w:r w:rsidR="00F81221">
        <w:t xml:space="preserve"> and </w:t>
      </w:r>
      <w:r w:rsidRPr="00A428C3">
        <w:t>a detailed description of data collection. Improved statistical methods would enhance the assessment of health technologies that require learning.</w:t>
      </w:r>
    </w:p>
    <w:p w:rsidR="00B95188" w:rsidRPr="00A428C3" w:rsidRDefault="00B95188" w:rsidP="00B95188">
      <w:pPr>
        <w:pStyle w:val="a0"/>
      </w:pPr>
      <w:r w:rsidRPr="00A428C3">
        <w:t>Keywords: Learning, Clinical Competence, Technology Assessment, Biomedical Models, Statistical, Laparoscopic Colorectal Surgery, Randomized Controlled Trial, Heart-Transplantation, Radiofrequency Ablation, Vein Harvest, Experience, Complications, Competence, Cholecystectomy, Outcomes</w:t>
      </w:r>
    </w:p>
    <w:p w:rsidR="00423145" w:rsidRPr="001A3D2B" w:rsidRDefault="00423145" w:rsidP="00423145">
      <w:pPr>
        <w:pStyle w:val="a0"/>
      </w:pPr>
      <w:r w:rsidRPr="001A3D2B">
        <w:t>? Royle, P.</w:t>
      </w:r>
      <w:r w:rsidR="00F81221">
        <w:t xml:space="preserve"> and </w:t>
      </w:r>
      <w:r w:rsidRPr="001A3D2B">
        <w:t xml:space="preserve">Milne, R. (2003), Literature searching for randomized controlled trials used in Cochrane reviews: Rapid versus exhaustive searches. </w:t>
      </w:r>
      <w:r w:rsidRPr="001A3D2B">
        <w:rPr>
          <w:i/>
          <w:iCs/>
        </w:rPr>
        <w:t>International Journal</w:t>
      </w:r>
      <w:r>
        <w:rPr>
          <w:i/>
          <w:iCs/>
        </w:rPr>
        <w:t xml:space="preserve"> of </w:t>
      </w:r>
      <w:r w:rsidRPr="001A3D2B">
        <w:rPr>
          <w:i/>
          <w:iCs/>
        </w:rPr>
        <w:t>Technology Assessment in Health Care</w:t>
      </w:r>
      <w:r w:rsidRPr="001A3D2B">
        <w:t xml:space="preserve">, </w:t>
      </w:r>
      <w:r w:rsidRPr="001A3D2B">
        <w:rPr>
          <w:b/>
          <w:bCs/>
        </w:rPr>
        <w:t>19</w:t>
      </w:r>
      <w:r w:rsidRPr="001A3D2B">
        <w:t xml:space="preserve"> (4), 591-603.</w:t>
      </w:r>
    </w:p>
    <w:p w:rsidR="00423145" w:rsidRPr="001A3D2B" w:rsidRDefault="00423145" w:rsidP="00423145">
      <w:pPr>
        <w:pStyle w:val="a0"/>
      </w:pPr>
      <w:r w:rsidRPr="001A3D2B">
        <w:t xml:space="preserve">Full Text: </w:t>
      </w:r>
      <w:hyperlink r:id="rId2081" w:history="1">
        <w:r w:rsidRPr="001A3D2B">
          <w:rPr>
            <w:rStyle w:val="a5"/>
            <w:szCs w:val="24"/>
          </w:rPr>
          <w:t>2003\Int J Tec Ass Hea Car19, 591.pdf</w:t>
        </w:r>
      </w:hyperlink>
    </w:p>
    <w:p w:rsidR="00423145" w:rsidRPr="001A3D2B" w:rsidRDefault="00423145" w:rsidP="00423145">
      <w:pPr>
        <w:pStyle w:val="a0"/>
      </w:pPr>
      <w:r w:rsidRPr="001A3D2B">
        <w:t>Abstract: Objectives: To analyze sources searched in Cochrane reviews, to determine the proportion</w:t>
      </w:r>
      <w:r>
        <w:t xml:space="preserve"> of </w:t>
      </w:r>
      <w:r w:rsidRPr="001A3D2B">
        <w:t>trials included in reviews that are indexed in major databases,</w:t>
      </w:r>
      <w:r w:rsidR="00F81221">
        <w:t xml:space="preserve"> and </w:t>
      </w:r>
      <w:r w:rsidRPr="001A3D2B">
        <w:t>to compare the quality</w:t>
      </w:r>
      <w:r>
        <w:t xml:space="preserve"> of </w:t>
      </w:r>
      <w:r w:rsidRPr="001A3D2B">
        <w:t>these trials with those from other sources. Methods: All new systematic reviews in the Cochrane Library, Issue1 2001, that were restricted to randomized controlled trials (RCTs) or quasi-RCTs were selected. The sources searched in the reviews were recorded,</w:t>
      </w:r>
      <w:r w:rsidR="00F81221">
        <w:t xml:space="preserve"> and </w:t>
      </w:r>
      <w:r w:rsidRPr="001A3D2B">
        <w:t>the trials included were checked to see whether they were indexed in four major databases. Trials not indexed were checked to determine how they could be identified. The quality</w:t>
      </w:r>
      <w:r>
        <w:t xml:space="preserve"> of </w:t>
      </w:r>
      <w:r w:rsidRPr="001A3D2B">
        <w:t xml:space="preserve">trials found in major databases was compared with those found from other sources. Results: The range in </w:t>
      </w:r>
      <w:r w:rsidRPr="001A3D2B">
        <w:lastRenderedPageBreak/>
        <w:t>the number</w:t>
      </w:r>
      <w:r>
        <w:t xml:space="preserve"> of </w:t>
      </w:r>
      <w:r w:rsidRPr="001A3D2B">
        <w:t>databases searched per review ranged between one</w:t>
      </w:r>
      <w:r w:rsidR="00F81221">
        <w:t xml:space="preserve"> and </w:t>
      </w:r>
      <w:r w:rsidRPr="001A3D2B">
        <w:t>twenty-seven. The proportion</w:t>
      </w:r>
      <w:r>
        <w:t xml:space="preserve"> of </w:t>
      </w:r>
      <w:r w:rsidRPr="001A3D2B">
        <w:t>the trials in the four databases were Cochrane Controlled Trials Register = 78.5%, MEDLINE = 68.8%, Embase = 65.0%,</w:t>
      </w:r>
      <w:r w:rsidR="00F81221">
        <w:t xml:space="preserve"> and </w:t>
      </w:r>
      <w:r w:rsidRPr="001A3D2B">
        <w:t>Science/Social Sciences Citation Index = 60.7%. Searching another twenty-six databases after Cochrane Controlled Trials Register (CCTR), MEDLINE,</w:t>
      </w:r>
      <w:r w:rsidR="00F81221">
        <w:t xml:space="preserve"> and </w:t>
      </w:r>
      <w:r w:rsidRPr="001A3D2B">
        <w:t>Embase only found 2.4% additional trials. There was no significant difference between trials found in the CCTR, MEDLINE,</w:t>
      </w:r>
      <w:r w:rsidR="00F81221">
        <w:t xml:space="preserve"> and </w:t>
      </w:r>
      <w:r w:rsidRPr="001A3D2B">
        <w:t>Embase compared with other trials, with respect to adequate allocation concealment or sample size. Conclusions: There was a large variation between reviews in the exhaustiveness</w:t>
      </w:r>
      <w:r>
        <w:t xml:space="preserve"> of </w:t>
      </w:r>
      <w:r w:rsidRPr="001A3D2B">
        <w:t>the literature searches. CCTR was the single best source</w:t>
      </w:r>
      <w:r>
        <w:t xml:space="preserve"> of </w:t>
      </w:r>
      <w:r w:rsidRPr="001A3D2B">
        <w:t>RCTs. Additional database searching retrieved only a small percentage</w:t>
      </w:r>
      <w:r>
        <w:t xml:space="preserve"> of </w:t>
      </w:r>
      <w:r w:rsidRPr="001A3D2B">
        <w:t>extra trials. Contacting authors</w:t>
      </w:r>
      <w:r w:rsidR="00F81221">
        <w:t xml:space="preserve"> and </w:t>
      </w:r>
      <w:r w:rsidRPr="001A3D2B">
        <w:t>manufacturers to find unpublished trials appeared to be a more effective method</w:t>
      </w:r>
      <w:r>
        <w:t xml:space="preserve"> of </w:t>
      </w:r>
      <w:r w:rsidRPr="001A3D2B">
        <w:t>obtaining the additional better quality trials.</w:t>
      </w:r>
    </w:p>
    <w:p w:rsidR="00423145" w:rsidRPr="001A3D2B" w:rsidRDefault="00423145" w:rsidP="00423145">
      <w:pPr>
        <w:pStyle w:val="a0"/>
      </w:pPr>
      <w:r w:rsidRPr="001A3D2B">
        <w:t>Keywords: Allocation, Database, Databases, Literature, MEDLINE, Quality, Quality of, Randomized, Randomized Controlled Trials, Review, Reviews, Sample Size, Size, Small, Source, Sources, Systematic Reviews</w:t>
      </w:r>
    </w:p>
    <w:p w:rsidR="00563F78" w:rsidRDefault="00563F78" w:rsidP="00563F78">
      <w:pPr>
        <w:pStyle w:val="a0"/>
        <w:rPr>
          <w:kern w:val="0"/>
          <w:szCs w:val="24"/>
        </w:rPr>
      </w:pPr>
      <w:r>
        <w:rPr>
          <w:rFonts w:hint="eastAsia"/>
          <w:kern w:val="0"/>
          <w:szCs w:val="24"/>
        </w:rPr>
        <w:t xml:space="preserve">? </w:t>
      </w:r>
      <w:r>
        <w:rPr>
          <w:kern w:val="0"/>
          <w:szCs w:val="24"/>
        </w:rPr>
        <w:t>Hopewell, S.</w:t>
      </w:r>
      <w:r w:rsidR="00F81221">
        <w:rPr>
          <w:kern w:val="0"/>
          <w:szCs w:val="24"/>
        </w:rPr>
        <w:t xml:space="preserve"> and </w:t>
      </w:r>
      <w:r>
        <w:rPr>
          <w:kern w:val="0"/>
          <w:szCs w:val="24"/>
        </w:rPr>
        <w:t xml:space="preserve">Clarke, M. (2003), How important is the size of a reprint order? </w:t>
      </w:r>
      <w:r>
        <w:rPr>
          <w:i/>
          <w:iCs/>
          <w:kern w:val="0"/>
          <w:szCs w:val="24"/>
        </w:rPr>
        <w:t>International Journal of Technology Assessment in Health Care</w:t>
      </w:r>
      <w:r>
        <w:rPr>
          <w:kern w:val="0"/>
          <w:szCs w:val="24"/>
        </w:rPr>
        <w:t xml:space="preserve">, </w:t>
      </w:r>
      <w:r>
        <w:rPr>
          <w:b/>
          <w:bCs/>
          <w:kern w:val="0"/>
          <w:szCs w:val="24"/>
        </w:rPr>
        <w:t>19</w:t>
      </w:r>
      <w:r>
        <w:rPr>
          <w:kern w:val="0"/>
          <w:szCs w:val="24"/>
        </w:rPr>
        <w:t xml:space="preserve"> (4), 711-714.</w:t>
      </w:r>
    </w:p>
    <w:p w:rsidR="00563F78" w:rsidRPr="001A3D2B" w:rsidRDefault="00563F78" w:rsidP="00563F78">
      <w:pPr>
        <w:pStyle w:val="a0"/>
      </w:pPr>
      <w:r w:rsidRPr="001A3D2B">
        <w:t xml:space="preserve">Full Text: </w:t>
      </w:r>
      <w:hyperlink r:id="rId2082" w:history="1">
        <w:r w:rsidRPr="00180DB9">
          <w:rPr>
            <w:rStyle w:val="a5"/>
          </w:rPr>
          <w:t>2003\Int J Tec Ass Hea Car19, 711.pdf</w:t>
        </w:r>
      </w:hyperlink>
    </w:p>
    <w:p w:rsidR="00563F78" w:rsidRDefault="00563F78" w:rsidP="00563F78">
      <w:pPr>
        <w:pStyle w:val="a0"/>
        <w:rPr>
          <w:kern w:val="0"/>
          <w:szCs w:val="24"/>
        </w:rPr>
      </w:pPr>
      <w:r>
        <w:rPr>
          <w:kern w:val="0"/>
          <w:szCs w:val="24"/>
        </w:rPr>
        <w:t>Abstract: Objectives: This study aims to assess the impact of articles with very high reprint orders (</w:t>
      </w:r>
      <w:r w:rsidR="000352E7">
        <w:rPr>
          <w:kern w:val="0"/>
          <w:szCs w:val="24"/>
        </w:rPr>
        <w:t>“</w:t>
      </w:r>
      <w:r>
        <w:rPr>
          <w:kern w:val="0"/>
          <w:szCs w:val="24"/>
        </w:rPr>
        <w:t>high-reprint articles</w:t>
      </w:r>
      <w:r w:rsidR="000352E7">
        <w:rPr>
          <w:kern w:val="0"/>
          <w:szCs w:val="24"/>
        </w:rPr>
        <w:t>”</w:t>
      </w:r>
      <w:r>
        <w:rPr>
          <w:kern w:val="0"/>
          <w:szCs w:val="24"/>
        </w:rPr>
        <w:t>) by measuring their citation in the subsequent literature as compared with a control group of articles. Methods: The twenty-one articles (published in the Lancet in 1998) with reprint orders of over 10,000 were matched with a control set of twenty-one articles with smaller reprint orders. The Science Citation Index was used to obtain the number of citations for each of the forty-two articles. Results: The twenty-one high-reprint articles were cited 2,548 times; the mean number of citations was 121 (range, 3 to 499 citations per article). Five of the twenty-one high-reprint articles had more than 200 citations, but seven (33%) were cited twenty-five times or fewer. The twenty-one control articles were cited 986 times; the mean number of citations was forty-seven (range, 1 to 165). Fifteen (71%) of the twenty-one control articles were cited twenty-five times or fewer. Thirteen of the high-reprint articles were reports of randomized trials with a mean of 163 citations. In the control articles, six were reports of randomized trials with a mean of eighty-eight citations. Conclusions: Articles with a high-reprint order were cited more frequently than other articles. However, some high-reprint articles were cited infrequently. If the size of a reprint order is related to the importance of an article, those articles with very high reprint orders may, therefore, be perceived as more important. Further research is needed to explore other aspects of the relative importance</w:t>
      </w:r>
      <w:r w:rsidR="00F81221">
        <w:rPr>
          <w:kern w:val="0"/>
          <w:szCs w:val="24"/>
        </w:rPr>
        <w:t xml:space="preserve"> and </w:t>
      </w:r>
      <w:r>
        <w:rPr>
          <w:kern w:val="0"/>
          <w:szCs w:val="24"/>
        </w:rPr>
        <w:t>impact of high-reprint articles.</w:t>
      </w:r>
    </w:p>
    <w:p w:rsidR="00563F78" w:rsidRDefault="00563F78" w:rsidP="00563F78">
      <w:pPr>
        <w:pStyle w:val="a0"/>
        <w:rPr>
          <w:kern w:val="0"/>
          <w:szCs w:val="24"/>
        </w:rPr>
      </w:pPr>
      <w:r>
        <w:rPr>
          <w:kern w:val="0"/>
          <w:szCs w:val="24"/>
        </w:rPr>
        <w:lastRenderedPageBreak/>
        <w:t>Keywords: Citation, Citation Analysis, Citations, Literature, Publication Bias, Reprints, Research</w:t>
      </w:r>
    </w:p>
    <w:p w:rsidR="00715FFE" w:rsidRDefault="00715FFE" w:rsidP="00715FFE">
      <w:pPr>
        <w:pStyle w:val="a0"/>
        <w:rPr>
          <w:kern w:val="0"/>
        </w:rPr>
      </w:pPr>
      <w:r>
        <w:rPr>
          <w:rFonts w:hint="eastAsia"/>
          <w:kern w:val="0"/>
        </w:rPr>
        <w:t xml:space="preserve">? </w:t>
      </w:r>
      <w:r>
        <w:rPr>
          <w:kern w:val="0"/>
        </w:rPr>
        <w:t>Meads, C.</w:t>
      </w:r>
      <w:r w:rsidR="00F81221">
        <w:rPr>
          <w:kern w:val="0"/>
        </w:rPr>
        <w:t xml:space="preserve"> and </w:t>
      </w:r>
      <w:r>
        <w:rPr>
          <w:kern w:val="0"/>
        </w:rPr>
        <w:t xml:space="preserve">Nouwen, A. (2005), Does emotional disclosure have any effects? A systematic review of the literature with meta-analyses. </w:t>
      </w:r>
      <w:r>
        <w:rPr>
          <w:i/>
          <w:iCs/>
          <w:kern w:val="0"/>
        </w:rPr>
        <w:t>International Journal of Technology Assessment in Health Care</w:t>
      </w:r>
      <w:r>
        <w:rPr>
          <w:kern w:val="0"/>
        </w:rPr>
        <w:t xml:space="preserve">, </w:t>
      </w:r>
      <w:r>
        <w:rPr>
          <w:b/>
          <w:bCs/>
          <w:kern w:val="0"/>
        </w:rPr>
        <w:t>21</w:t>
      </w:r>
      <w:r>
        <w:rPr>
          <w:kern w:val="0"/>
        </w:rPr>
        <w:t xml:space="preserve"> (2), 153-164.</w:t>
      </w:r>
    </w:p>
    <w:p w:rsidR="00715FFE" w:rsidRPr="001A3D2B" w:rsidRDefault="00715FFE" w:rsidP="00715FFE">
      <w:pPr>
        <w:pStyle w:val="a0"/>
      </w:pPr>
      <w:r w:rsidRPr="001A3D2B">
        <w:t xml:space="preserve">Full Text: </w:t>
      </w:r>
      <w:r w:rsidRPr="00C949E2">
        <w:t>2</w:t>
      </w:r>
      <w:r>
        <w:t>00</w:t>
      </w:r>
      <w:r>
        <w:rPr>
          <w:rFonts w:hint="eastAsia"/>
        </w:rPr>
        <w:t>5</w:t>
      </w:r>
      <w:r>
        <w:t>\Int J Tec Ass Hea Car2</w:t>
      </w:r>
      <w:r>
        <w:rPr>
          <w:rFonts w:hint="eastAsia"/>
        </w:rPr>
        <w:t>1</w:t>
      </w:r>
      <w:r>
        <w:t xml:space="preserve">, </w:t>
      </w:r>
      <w:r>
        <w:rPr>
          <w:rFonts w:hint="eastAsia"/>
        </w:rPr>
        <w:t>153</w:t>
      </w:r>
      <w:r w:rsidRPr="00C949E2">
        <w:t>.pdf</w:t>
      </w:r>
    </w:p>
    <w:p w:rsidR="00715FFE" w:rsidRDefault="00715FFE" w:rsidP="00715FFE">
      <w:pPr>
        <w:pStyle w:val="a0"/>
        <w:rPr>
          <w:kern w:val="0"/>
        </w:rPr>
      </w:pPr>
      <w:r>
        <w:rPr>
          <w:kern w:val="0"/>
        </w:rPr>
        <w:t>Abstract: Objectives: Emotional disclosure has been widely publicized as having beneficial effects on physical</w:t>
      </w:r>
      <w:r w:rsidR="00F81221">
        <w:rPr>
          <w:kern w:val="0"/>
        </w:rPr>
        <w:t xml:space="preserve"> and </w:t>
      </w:r>
      <w:r>
        <w:rPr>
          <w:kern w:val="0"/>
        </w:rPr>
        <w:t>psychological health. A full systematic review was undertaken, with standard health technology appraisal methods, with the aim to assess the effects of emotional disclosure on healthy participants</w:t>
      </w:r>
      <w:r w:rsidR="00F81221">
        <w:rPr>
          <w:kern w:val="0"/>
        </w:rPr>
        <w:t xml:space="preserve"> and </w:t>
      </w:r>
      <w:r>
        <w:rPr>
          <w:kern w:val="0"/>
        </w:rPr>
        <w:t>those with pre-existing morbidity, particularly on longer-term physical health, performance,</w:t>
      </w:r>
      <w:r w:rsidR="00F81221">
        <w:rPr>
          <w:kern w:val="0"/>
        </w:rPr>
        <w:t xml:space="preserve"> and </w:t>
      </w:r>
      <w:r>
        <w:rPr>
          <w:kern w:val="0"/>
        </w:rPr>
        <w:t>psychological outcomes. Methods: Randomized controlled trials of emotional disclosure were obtained from database searches (MEDLINE (1966-2003), EMBASE (1980-2003), Cochrane Library (2002, issue 4), Web of Science (1981-2003), Cinahl (1982-2003),</w:t>
      </w:r>
      <w:r w:rsidR="00F81221">
        <w:rPr>
          <w:kern w:val="0"/>
        </w:rPr>
        <w:t xml:space="preserve"> and </w:t>
      </w:r>
      <w:r>
        <w:rPr>
          <w:kern w:val="0"/>
        </w:rPr>
        <w:t>Theses (March 2003), Internet sites (including Professor J.W. Pennebaker</w:t>
      </w:r>
      <w:r w:rsidR="000352E7">
        <w:rPr>
          <w:kern w:val="0"/>
        </w:rPr>
        <w:t>’</w:t>
      </w:r>
      <w:r>
        <w:rPr>
          <w:kern w:val="0"/>
        </w:rPr>
        <w:t>s home pages),</w:t>
      </w:r>
      <w:r w:rsidR="00F81221">
        <w:rPr>
          <w:kern w:val="0"/>
        </w:rPr>
        <w:t xml:space="preserve"> and </w:t>
      </w:r>
      <w:r>
        <w:rPr>
          <w:kern w:val="0"/>
        </w:rPr>
        <w:t>personal contacts. Quality was assessed qualitatively</w:t>
      </w:r>
      <w:r w:rsidR="00F81221">
        <w:rPr>
          <w:kern w:val="0"/>
        </w:rPr>
        <w:t xml:space="preserve"> and </w:t>
      </w:r>
      <w:r>
        <w:rPr>
          <w:kern w:val="0"/>
        </w:rPr>
        <w:t>by Jadad score. Meta-analysis was conducted, using Revman 4.1 software, where more than two trials reported the same outcome. Results: Sixty-one trials were found meeting the inclusion criteria. Most had less than 100 participants</w:t>
      </w:r>
      <w:r w:rsidR="00F81221">
        <w:rPr>
          <w:kern w:val="0"/>
        </w:rPr>
        <w:t xml:space="preserve"> and </w:t>
      </w:r>
      <w:r>
        <w:rPr>
          <w:kern w:val="0"/>
        </w:rPr>
        <w:t>the median Jadad score was 0. A wide variety of physical, physiological, immunological, performance,</w:t>
      </w:r>
      <w:r w:rsidR="00F81221">
        <w:rPr>
          <w:kern w:val="0"/>
        </w:rPr>
        <w:t xml:space="preserve"> and </w:t>
      </w:r>
      <w:r>
        <w:rPr>
          <w:kern w:val="0"/>
        </w:rPr>
        <w:t>psychological outcomes were measured, but fewer were reported. There was no clear improvement for emotional disclosure compared with controls in objectively measured physical health</w:t>
      </w:r>
      <w:r w:rsidR="00F81221">
        <w:rPr>
          <w:kern w:val="0"/>
        </w:rPr>
        <w:t xml:space="preserve"> and </w:t>
      </w:r>
      <w:r>
        <w:rPr>
          <w:kern w:val="0"/>
        </w:rPr>
        <w:t>most other outcomes assessed. Conclusions: The opinion that this intervention is beneficial needs to be reassessed in light of the totality of evidence available.</w:t>
      </w:r>
    </w:p>
    <w:p w:rsidR="00715FFE" w:rsidRDefault="00715FFE" w:rsidP="00715FFE">
      <w:pPr>
        <w:pStyle w:val="a0"/>
        <w:rPr>
          <w:kern w:val="0"/>
        </w:rPr>
      </w:pPr>
      <w:r>
        <w:rPr>
          <w:kern w:val="0"/>
        </w:rPr>
        <w:t>Keywords: Cochrane, Disclosure, Emotional Disclosure, Events, Expression, Health Technology Assessment, Internet, Intervention, Literature, Meta Analysis, Meta-Analysis, Methods, Morbidity, Outcome, Outcomes, Physical Health, Psychotherapy, Quality, Randomized Controlled Trials, Randomized-Trials, Review, Rheumatoid-Arthritis, Science, Self-Regulation, Software, Stressful Experiences, Systematic, Systematic Review, Traumatic Experiences, Web of Science, Written Disclosure</w:t>
      </w:r>
    </w:p>
    <w:p w:rsidR="00423145" w:rsidRDefault="00423145" w:rsidP="00423145">
      <w:pPr>
        <w:pStyle w:val="a0"/>
        <w:rPr>
          <w:kern w:val="0"/>
          <w:szCs w:val="24"/>
        </w:rPr>
      </w:pPr>
      <w:r>
        <w:rPr>
          <w:rFonts w:hint="eastAsia"/>
          <w:kern w:val="0"/>
          <w:szCs w:val="24"/>
        </w:rPr>
        <w:t xml:space="preserve">? </w:t>
      </w:r>
      <w:r>
        <w:rPr>
          <w:kern w:val="0"/>
          <w:szCs w:val="24"/>
        </w:rPr>
        <w:t>Cook, J.A., Ramsay, C.R.</w:t>
      </w:r>
      <w:r w:rsidR="00F81221">
        <w:rPr>
          <w:kern w:val="0"/>
          <w:szCs w:val="24"/>
        </w:rPr>
        <w:t xml:space="preserve"> and </w:t>
      </w:r>
      <w:r>
        <w:rPr>
          <w:kern w:val="0"/>
          <w:szCs w:val="24"/>
        </w:rPr>
        <w:t xml:space="preserve">Fayers, P. (2007), Using the literature to quantify the learning curve: A case study. </w:t>
      </w:r>
      <w:r>
        <w:rPr>
          <w:i/>
          <w:iCs/>
          <w:kern w:val="0"/>
          <w:szCs w:val="24"/>
        </w:rPr>
        <w:t>International Journal of Technology Assessment in Health Care</w:t>
      </w:r>
      <w:r>
        <w:rPr>
          <w:kern w:val="0"/>
          <w:szCs w:val="24"/>
        </w:rPr>
        <w:t xml:space="preserve">, </w:t>
      </w:r>
      <w:r>
        <w:rPr>
          <w:b/>
          <w:bCs/>
          <w:kern w:val="0"/>
          <w:szCs w:val="24"/>
        </w:rPr>
        <w:t>23</w:t>
      </w:r>
      <w:r>
        <w:rPr>
          <w:kern w:val="0"/>
          <w:szCs w:val="24"/>
        </w:rPr>
        <w:t xml:space="preserve"> (2), 255-260.</w:t>
      </w:r>
    </w:p>
    <w:p w:rsidR="00423145" w:rsidRPr="001A3D2B" w:rsidRDefault="00423145" w:rsidP="00423145">
      <w:pPr>
        <w:pStyle w:val="a0"/>
      </w:pPr>
      <w:r w:rsidRPr="001A3D2B">
        <w:t xml:space="preserve">Full Text: </w:t>
      </w:r>
      <w:hyperlink r:id="rId2083" w:history="1">
        <w:r w:rsidRPr="00423145">
          <w:rPr>
            <w:rStyle w:val="a5"/>
          </w:rPr>
          <w:t>2007\Int J Tec Ass Hea Car23, 255.pdf</w:t>
        </w:r>
      </w:hyperlink>
    </w:p>
    <w:p w:rsidR="00423145" w:rsidRDefault="00423145" w:rsidP="00423145">
      <w:pPr>
        <w:pStyle w:val="a0"/>
        <w:rPr>
          <w:kern w:val="0"/>
          <w:szCs w:val="24"/>
        </w:rPr>
      </w:pPr>
      <w:r>
        <w:rPr>
          <w:kern w:val="0"/>
          <w:szCs w:val="24"/>
        </w:rPr>
        <w:t xml:space="preserve">Abstract: Objectives: The aim of this study was to assess whether a literature review of a technology can allow a learning curve to be quantified. Methods: The literature for fiberoptic intubation was searched for studies reporting information relevant to the </w:t>
      </w:r>
      <w:r>
        <w:rPr>
          <w:kern w:val="0"/>
          <w:szCs w:val="24"/>
        </w:rPr>
        <w:lastRenderedPageBreak/>
        <w:t>learning curve. The Cochrane Library, Medline, Embase,</w:t>
      </w:r>
      <w:r w:rsidR="00F81221">
        <w:rPr>
          <w:kern w:val="0"/>
          <w:szCs w:val="24"/>
        </w:rPr>
        <w:t xml:space="preserve"> and </w:t>
      </w:r>
      <w:r>
        <w:rPr>
          <w:kern w:val="0"/>
          <w:szCs w:val="24"/>
        </w:rPr>
        <w:t>Science Citation index were searched. Studies that reported a procedure time were included. Data were abstracted on the three features of learning: initial level, rate of learning,</w:t>
      </w:r>
      <w:r w:rsidR="00F81221">
        <w:rPr>
          <w:kern w:val="0"/>
          <w:szCs w:val="24"/>
        </w:rPr>
        <w:t xml:space="preserve"> and </w:t>
      </w:r>
      <w:r>
        <w:rPr>
          <w:kern w:val="0"/>
          <w:szCs w:val="24"/>
        </w:rPr>
        <w:t>asymptote level. Random effects meta-analysis was performed. Results: Only twenty-one studies gave explicit information concerning the previous experience of the operator(s). There were thirty-two different definitions of procedure time. From four studies of fiberoptic nasotracheal intubation, the mean starting level</w:t>
      </w:r>
      <w:r w:rsidR="00F81221">
        <w:rPr>
          <w:kern w:val="0"/>
          <w:szCs w:val="24"/>
        </w:rPr>
        <w:t xml:space="preserve"> and </w:t>
      </w:r>
      <w:r>
        <w:rPr>
          <w:kern w:val="0"/>
          <w:szCs w:val="24"/>
        </w:rPr>
        <w:t>time for the 10th procedure was estimated to be 133 seconds (95 percent confidence interval, 113-153)</w:t>
      </w:r>
      <w:r w:rsidR="00F81221">
        <w:rPr>
          <w:kern w:val="0"/>
          <w:szCs w:val="24"/>
        </w:rPr>
        <w:t xml:space="preserve"> and </w:t>
      </w:r>
      <w:r>
        <w:rPr>
          <w:kern w:val="0"/>
          <w:szCs w:val="24"/>
        </w:rPr>
        <w:t>71 seconds (95 percent confidence interval, 62-79), respectively. Conclusions: The review approach allowed learning to be quantified for our example technology Poor</w:t>
      </w:r>
      <w:r w:rsidR="00F81221">
        <w:rPr>
          <w:kern w:val="0"/>
          <w:szCs w:val="24"/>
        </w:rPr>
        <w:t xml:space="preserve"> and </w:t>
      </w:r>
      <w:r>
        <w:rPr>
          <w:kern w:val="0"/>
          <w:szCs w:val="24"/>
        </w:rPr>
        <w:t>insufficient reporting constrained formal statistical estimation. Standardized reporting of nondrug techniques with adequate learning curve details is needed to inform trial design</w:t>
      </w:r>
      <w:r w:rsidR="00F81221">
        <w:rPr>
          <w:kern w:val="0"/>
          <w:szCs w:val="24"/>
        </w:rPr>
        <w:t xml:space="preserve"> and </w:t>
      </w:r>
      <w:r>
        <w:rPr>
          <w:kern w:val="0"/>
          <w:szCs w:val="24"/>
        </w:rPr>
        <w:t>cost-effectiveness analysis.</w:t>
      </w:r>
    </w:p>
    <w:p w:rsidR="00423145" w:rsidRDefault="00423145" w:rsidP="00423145">
      <w:pPr>
        <w:pStyle w:val="a0"/>
        <w:rPr>
          <w:kern w:val="0"/>
          <w:szCs w:val="24"/>
        </w:rPr>
      </w:pPr>
      <w:r>
        <w:rPr>
          <w:kern w:val="0"/>
          <w:szCs w:val="24"/>
        </w:rPr>
        <w:t>Keywords: Airway, Citation, Clinical Competence, Fiberoptic Nasotracheal Endoscopy, Learning, Literature, Literature Review, Meta-Analysis, Randomized Controlled Trials, Randomized Trials, Review, Tracheal Intubation</w:t>
      </w:r>
    </w:p>
    <w:p w:rsidR="00254578" w:rsidRPr="00B8101F" w:rsidRDefault="00254578" w:rsidP="00254578">
      <w:pPr>
        <w:pStyle w:val="a0"/>
      </w:pPr>
      <w:r w:rsidRPr="00B8101F">
        <w:rPr>
          <w:rFonts w:hint="eastAsia"/>
        </w:rPr>
        <w:t xml:space="preserve">? </w:t>
      </w:r>
      <w:r w:rsidRPr="00B8101F">
        <w:t>Lundberg, J., Brommels, M., Skår, J.</w:t>
      </w:r>
      <w:r w:rsidR="00F81221">
        <w:t xml:space="preserve"> and </w:t>
      </w:r>
      <w:r w:rsidRPr="00B8101F">
        <w:t xml:space="preserve">Tomson, G. (2008), Measuring the validity of early health technology assessment: Bibliometrics as a tool to indicate its scientific basis. </w:t>
      </w:r>
      <w:r w:rsidRPr="00B8101F">
        <w:rPr>
          <w:i/>
          <w:iCs/>
        </w:rPr>
        <w:t>International Journal of Technology Assessment in Health Care</w:t>
      </w:r>
      <w:r w:rsidRPr="00B8101F">
        <w:t xml:space="preserve">, </w:t>
      </w:r>
      <w:r w:rsidRPr="00B8101F">
        <w:rPr>
          <w:b/>
          <w:bCs/>
        </w:rPr>
        <w:t>24</w:t>
      </w:r>
      <w:r w:rsidRPr="00B8101F">
        <w:t xml:space="preserve"> (1), 70-75.</w:t>
      </w:r>
    </w:p>
    <w:p w:rsidR="00254578" w:rsidRPr="00B8101F" w:rsidRDefault="00254578" w:rsidP="00254578">
      <w:pPr>
        <w:pStyle w:val="a0"/>
      </w:pPr>
      <w:r w:rsidRPr="00B8101F">
        <w:t xml:space="preserve">Full Text: </w:t>
      </w:r>
      <w:hyperlink r:id="rId2084" w:history="1">
        <w:r w:rsidRPr="00347B96">
          <w:rPr>
            <w:rStyle w:val="a5"/>
            <w:szCs w:val="24"/>
          </w:rPr>
          <w:t>2008\Int J Tec Ass Hea Car24, 70.pdf</w:t>
        </w:r>
      </w:hyperlink>
    </w:p>
    <w:p w:rsidR="00254578" w:rsidRPr="00B8101F" w:rsidRDefault="00254578" w:rsidP="00254578">
      <w:pPr>
        <w:pStyle w:val="a0"/>
      </w:pPr>
      <w:r w:rsidRPr="00B8101F">
        <w:t>Abstract: Objectives: The aim of this study was to assess whether publications of importance for improving the health system</w:t>
      </w:r>
      <w:r w:rsidR="00F81221">
        <w:t xml:space="preserve"> and </w:t>
      </w:r>
      <w:r w:rsidRPr="00B8101F">
        <w:t>its technologies are highly cited intrascientifically. Methods: Bibliometric assessment of the 596 publications used as sources in the fifty SBU Alerts from 2001 to 2004 from the Swedish Council on Technology Assessment in Health Care was carried out using the Thomson Scientific citation indexes. Normalized citation scores were calculated for all included studies. Additional factors such as the time</w:t>
      </w:r>
      <w:r w:rsidR="00F81221">
        <w:t xml:space="preserve"> and </w:t>
      </w:r>
      <w:r w:rsidRPr="00B8101F">
        <w:t>place of the research, subject categories,</w:t>
      </w:r>
      <w:r w:rsidR="00F81221">
        <w:t xml:space="preserve"> and </w:t>
      </w:r>
      <w:r w:rsidRPr="00B8101F">
        <w:t>journal source were analyzed. Results: On average, the sources in SBU Alert have been cited eight times more than the world average consistently during the time period</w:t>
      </w:r>
      <w:r w:rsidR="00F81221">
        <w:t xml:space="preserve"> and </w:t>
      </w:r>
      <w:r w:rsidRPr="00B8101F">
        <w:t>across research areas. Articles used as its scientific basis are often published in a few, high impact, general medical journals. However, many of the articles are published in field-specific journals with low impact factors. Most articles used in SBU Alert are published by authors based in the United States or the United Kingdom. However, Swedish, Danish,</w:t>
      </w:r>
      <w:r w:rsidR="00F81221">
        <w:t xml:space="preserve"> and </w:t>
      </w:r>
      <w:r w:rsidRPr="00B8101F">
        <w:t>Dutch publications are overrepresented in its science base, whereas Japanese, Taiwanese, Indian,</w:t>
      </w:r>
      <w:r w:rsidR="00F81221">
        <w:t xml:space="preserve"> and </w:t>
      </w:r>
      <w:r w:rsidRPr="00B8101F">
        <w:t>Russian publications are underrepresented. Conclusions: Publications used as sources in a Swedish system for identification</w:t>
      </w:r>
      <w:r w:rsidR="00F81221">
        <w:t xml:space="preserve"> and </w:t>
      </w:r>
      <w:r w:rsidRPr="00B8101F">
        <w:t xml:space="preserve">early assessment of new methods in health care are also highly cited within the scientific community. This finding increases the appropriateness of </w:t>
      </w:r>
      <w:r w:rsidRPr="00B8101F">
        <w:lastRenderedPageBreak/>
        <w:t>using bibliometric indicators in evaluations of clinical research</w:t>
      </w:r>
      <w:r w:rsidR="00F81221">
        <w:t xml:space="preserve"> and </w:t>
      </w:r>
      <w:r w:rsidRPr="00B8101F">
        <w:t>suggests that decision makers through SBU Alert are getting scientifically sound advice.</w:t>
      </w:r>
    </w:p>
    <w:p w:rsidR="00254578" w:rsidRPr="00B8101F" w:rsidRDefault="00254578" w:rsidP="00254578">
      <w:pPr>
        <w:pStyle w:val="a0"/>
      </w:pPr>
      <w:r w:rsidRPr="00B8101F">
        <w:t>Keywords: Assessment, Authors, Bibliometric, Bibliometric Indicators, Bibliometrics, Biomedical, Biomedical Funding Decisions, Biomedical Research, Care, Citation, Citation Indexes, Clinical, Clinical Research, Community, Decision, Dutch, Evaluating Payback, General, Health, Health Care, Health System, Health Technology Assessment, Identification, Impact, Impact Factors, Indian, Indicators, Japanese, Journal, Journals, Medical, Medical Journals, Methods, Performance, Publications, Research, Russian, Science, Source, Sources, Taiwanese, Technologies, Technology, Technology Assessment, Tool, United Kingdom, United States, Validity, World</w:t>
      </w:r>
    </w:p>
    <w:p w:rsidR="00B95188" w:rsidRPr="00A428C3" w:rsidRDefault="00B95188" w:rsidP="00B95188">
      <w:pPr>
        <w:pStyle w:val="1"/>
      </w:pPr>
      <w:r w:rsidRPr="00A428C3">
        <w:br w:type="page"/>
      </w:r>
      <w:bookmarkStart w:id="1527" w:name="_Toc186647964"/>
      <w:bookmarkStart w:id="1528" w:name="_Toc317161382"/>
      <w:r w:rsidRPr="00A428C3">
        <w:lastRenderedPageBreak/>
        <w:t xml:space="preserve">Title: </w:t>
      </w:r>
      <w:r w:rsidRPr="00A428C3">
        <w:rPr>
          <w:iCs/>
        </w:rPr>
        <w:t>International Journal of Technology Management</w:t>
      </w:r>
      <w:bookmarkEnd w:id="1527"/>
      <w:bookmarkEnd w:id="1528"/>
    </w:p>
    <w:p w:rsidR="00B95188" w:rsidRPr="00A428C3" w:rsidRDefault="00B95188" w:rsidP="00B72EF9">
      <w:pPr>
        <w:pStyle w:val="12"/>
      </w:pPr>
      <w:r w:rsidRPr="00A428C3">
        <w:t>Full Journal Title: International Journal of Technology Management</w:t>
      </w:r>
    </w:p>
    <w:p w:rsidR="00C94020" w:rsidRDefault="00C94020" w:rsidP="00C94020">
      <w:pPr>
        <w:pStyle w:val="12"/>
      </w:pPr>
      <w:r>
        <w:t>ISO Abbrev. Title: Int. J. Technol. Manage.</w:t>
      </w:r>
    </w:p>
    <w:p w:rsidR="00C94020" w:rsidRDefault="00C94020" w:rsidP="00C94020">
      <w:pPr>
        <w:pStyle w:val="12"/>
      </w:pPr>
      <w:r>
        <w:t>JCR Abbrev. Title: Int J Technol Manage</w:t>
      </w:r>
    </w:p>
    <w:p w:rsidR="00C94020" w:rsidRDefault="00C94020" w:rsidP="00C94020">
      <w:pPr>
        <w:pStyle w:val="12"/>
      </w:pPr>
      <w:r>
        <w:t>ISSN: 0267-5730</w:t>
      </w:r>
    </w:p>
    <w:p w:rsidR="00C94020" w:rsidRDefault="00C94020" w:rsidP="00C94020">
      <w:pPr>
        <w:pStyle w:val="12"/>
      </w:pPr>
      <w:r>
        <w:t>Issues/Year: 8</w:t>
      </w:r>
    </w:p>
    <w:p w:rsidR="00C94020" w:rsidRDefault="00C94020" w:rsidP="00C94020">
      <w:pPr>
        <w:pStyle w:val="12"/>
      </w:pPr>
      <w:r>
        <w:t>Language: English</w:t>
      </w:r>
    </w:p>
    <w:p w:rsidR="00C94020" w:rsidRDefault="00C94020" w:rsidP="00C94020">
      <w:pPr>
        <w:pStyle w:val="12"/>
      </w:pPr>
      <w:r>
        <w:t>Journal Country/Territory: Switzerland</w:t>
      </w:r>
    </w:p>
    <w:p w:rsidR="00C94020" w:rsidRDefault="00C94020" w:rsidP="00C94020">
      <w:pPr>
        <w:pStyle w:val="12"/>
      </w:pPr>
      <w:r>
        <w:t>Publisher: Inderscience Enterprises Ltd</w:t>
      </w:r>
    </w:p>
    <w:p w:rsidR="00C94020" w:rsidRDefault="00C94020" w:rsidP="00C94020">
      <w:pPr>
        <w:pStyle w:val="12"/>
      </w:pPr>
      <w:r>
        <w:t>Publisher Address: World Trade Center Bldg, 29 Route De Pre-Bois, Case Postale 896, CH-1215 Geneva, Switzerland</w:t>
      </w:r>
    </w:p>
    <w:p w:rsidR="00C94020" w:rsidRDefault="00C94020" w:rsidP="00C94020">
      <w:pPr>
        <w:pStyle w:val="12"/>
      </w:pPr>
      <w:r>
        <w:t>Subject Categories:</w:t>
      </w:r>
    </w:p>
    <w:p w:rsidR="00C94020" w:rsidRPr="00A428C3" w:rsidRDefault="00C94020" w:rsidP="00C94020">
      <w:pPr>
        <w:pStyle w:val="12"/>
      </w:pPr>
      <w:r>
        <w:t>Engineering, Multidisciplinary</w:t>
      </w:r>
      <w:r w:rsidRPr="00A428C3">
        <w:t>: Impact Factor</w:t>
      </w:r>
      <w:r>
        <w:rPr>
          <w:rFonts w:hint="eastAsia"/>
        </w:rPr>
        <w:t xml:space="preserve"> 0.419, 53/79 (2009)</w:t>
      </w:r>
    </w:p>
    <w:p w:rsidR="00C94020" w:rsidRPr="00A428C3" w:rsidRDefault="00C94020" w:rsidP="00C94020">
      <w:pPr>
        <w:pStyle w:val="12"/>
      </w:pPr>
      <w:r>
        <w:t>Operations Research &amp; Management Science</w:t>
      </w:r>
      <w:r w:rsidRPr="00A428C3">
        <w:t>: Impact Factor</w:t>
      </w:r>
      <w:r>
        <w:rPr>
          <w:rFonts w:hint="eastAsia"/>
        </w:rPr>
        <w:t xml:space="preserve"> 0.419, 66/73 (2009)</w:t>
      </w:r>
    </w:p>
    <w:p w:rsidR="00C7544D" w:rsidRDefault="00C7544D" w:rsidP="00C7544D">
      <w:pPr>
        <w:pStyle w:val="a0"/>
        <w:rPr>
          <w:kern w:val="0"/>
          <w:szCs w:val="24"/>
        </w:rPr>
      </w:pPr>
      <w:r>
        <w:rPr>
          <w:rFonts w:hint="eastAsia"/>
          <w:kern w:val="0"/>
          <w:szCs w:val="24"/>
        </w:rPr>
        <w:t xml:space="preserve">? </w:t>
      </w:r>
      <w:r>
        <w:rPr>
          <w:kern w:val="0"/>
          <w:szCs w:val="24"/>
        </w:rPr>
        <w:t xml:space="preserve">Geisler, E. (2002), The metrics of technology evaluation: </w:t>
      </w:r>
      <w:r w:rsidR="00941CBE">
        <w:rPr>
          <w:kern w:val="0"/>
          <w:szCs w:val="24"/>
        </w:rPr>
        <w:t xml:space="preserve">Where </w:t>
      </w:r>
      <w:r>
        <w:rPr>
          <w:kern w:val="0"/>
          <w:szCs w:val="24"/>
        </w:rPr>
        <w:t>we stand</w:t>
      </w:r>
      <w:r w:rsidR="00F81221">
        <w:rPr>
          <w:kern w:val="0"/>
          <w:szCs w:val="24"/>
        </w:rPr>
        <w:t xml:space="preserve"> and </w:t>
      </w:r>
      <w:r>
        <w:rPr>
          <w:kern w:val="0"/>
          <w:szCs w:val="24"/>
        </w:rPr>
        <w:t xml:space="preserve">where we should go from here. </w:t>
      </w:r>
      <w:r>
        <w:rPr>
          <w:i/>
          <w:iCs/>
          <w:kern w:val="0"/>
          <w:szCs w:val="24"/>
        </w:rPr>
        <w:t>International Journal of Technology Management</w:t>
      </w:r>
      <w:r>
        <w:rPr>
          <w:kern w:val="0"/>
          <w:szCs w:val="24"/>
        </w:rPr>
        <w:t xml:space="preserve">, </w:t>
      </w:r>
      <w:r>
        <w:rPr>
          <w:b/>
          <w:bCs/>
          <w:kern w:val="0"/>
          <w:szCs w:val="24"/>
        </w:rPr>
        <w:t>24</w:t>
      </w:r>
      <w:r>
        <w:rPr>
          <w:kern w:val="0"/>
          <w:szCs w:val="24"/>
        </w:rPr>
        <w:t xml:space="preserve"> (4), 341-374.</w:t>
      </w:r>
    </w:p>
    <w:p w:rsidR="00C94020" w:rsidRDefault="00C94020" w:rsidP="00C94020">
      <w:pPr>
        <w:pStyle w:val="a0"/>
        <w:rPr>
          <w:kern w:val="0"/>
          <w:szCs w:val="24"/>
        </w:rPr>
      </w:pPr>
      <w:r>
        <w:rPr>
          <w:rFonts w:hint="eastAsia"/>
          <w:kern w:val="0"/>
          <w:szCs w:val="24"/>
        </w:rPr>
        <w:t>Full Text: 2002\</w:t>
      </w:r>
      <w:r>
        <w:rPr>
          <w:iCs/>
          <w:kern w:val="0"/>
          <w:szCs w:val="24"/>
        </w:rPr>
        <w:t>Int</w:t>
      </w:r>
      <w:r w:rsidRPr="00941CBE">
        <w:rPr>
          <w:iCs/>
          <w:kern w:val="0"/>
          <w:szCs w:val="24"/>
        </w:rPr>
        <w:t xml:space="preserve"> </w:t>
      </w:r>
      <w:r>
        <w:rPr>
          <w:iCs/>
          <w:kern w:val="0"/>
          <w:szCs w:val="24"/>
        </w:rPr>
        <w:t>J Tec Man</w:t>
      </w:r>
      <w:r w:rsidRPr="00941CBE">
        <w:rPr>
          <w:bCs/>
          <w:kern w:val="0"/>
          <w:szCs w:val="24"/>
        </w:rPr>
        <w:t>24</w:t>
      </w:r>
      <w:r>
        <w:rPr>
          <w:kern w:val="0"/>
          <w:szCs w:val="24"/>
        </w:rPr>
        <w:t>, 341</w:t>
      </w:r>
      <w:r>
        <w:rPr>
          <w:rFonts w:hint="eastAsia"/>
          <w:kern w:val="0"/>
          <w:szCs w:val="24"/>
        </w:rPr>
        <w:t>.pdf</w:t>
      </w:r>
    </w:p>
    <w:p w:rsidR="00C7544D" w:rsidRDefault="00C7544D" w:rsidP="00C7544D">
      <w:pPr>
        <w:pStyle w:val="a0"/>
        <w:rPr>
          <w:kern w:val="0"/>
          <w:szCs w:val="24"/>
        </w:rPr>
      </w:pPr>
      <w:r>
        <w:rPr>
          <w:kern w:val="0"/>
          <w:szCs w:val="24"/>
        </w:rPr>
        <w:t>Abstract: The complexities of technology generation, transfer,</w:t>
      </w:r>
      <w:r w:rsidR="00F81221">
        <w:rPr>
          <w:kern w:val="0"/>
          <w:szCs w:val="24"/>
        </w:rPr>
        <w:t xml:space="preserve"> and </w:t>
      </w:r>
      <w:r>
        <w:rPr>
          <w:kern w:val="0"/>
          <w:szCs w:val="24"/>
        </w:rPr>
        <w:t>commercialisation processes have always gravely taxed the way we measure</w:t>
      </w:r>
      <w:r w:rsidR="00F81221">
        <w:rPr>
          <w:kern w:val="0"/>
          <w:szCs w:val="24"/>
        </w:rPr>
        <w:t xml:space="preserve"> and </w:t>
      </w:r>
      <w:r>
        <w:rPr>
          <w:kern w:val="0"/>
          <w:szCs w:val="24"/>
        </w:rPr>
        <w:t>assess them. This paper reviews the existing metrics for evaluation of science</w:t>
      </w:r>
      <w:r w:rsidR="00F81221">
        <w:rPr>
          <w:kern w:val="0"/>
          <w:szCs w:val="24"/>
        </w:rPr>
        <w:t xml:space="preserve"> and </w:t>
      </w:r>
      <w:r>
        <w:rPr>
          <w:kern w:val="0"/>
          <w:szCs w:val="24"/>
        </w:rPr>
        <w:t>technology, with emphasis on evaluation of industrial R&amp;D</w:t>
      </w:r>
      <w:r w:rsidR="00F81221">
        <w:rPr>
          <w:kern w:val="0"/>
          <w:szCs w:val="24"/>
        </w:rPr>
        <w:t xml:space="preserve"> and </w:t>
      </w:r>
      <w:r>
        <w:rPr>
          <w:kern w:val="0"/>
          <w:szCs w:val="24"/>
        </w:rPr>
        <w:t>technology. Among the categories of metrics, this paper reviews econometric methods, patents, process methods,</w:t>
      </w:r>
      <w:r w:rsidR="00F81221">
        <w:rPr>
          <w:kern w:val="0"/>
          <w:szCs w:val="24"/>
        </w:rPr>
        <w:t xml:space="preserve"> and </w:t>
      </w:r>
      <w:r>
        <w:rPr>
          <w:kern w:val="0"/>
          <w:szCs w:val="24"/>
        </w:rPr>
        <w:t>bibliometric methods. The paper also reviews models of the innovation continuum, in an effort to link such models to the metrics categories. Based on the review of the state of the art, the paper proposes future directions for the development</w:t>
      </w:r>
      <w:r w:rsidR="00F81221">
        <w:rPr>
          <w:kern w:val="0"/>
          <w:szCs w:val="24"/>
        </w:rPr>
        <w:t xml:space="preserve"> and </w:t>
      </w:r>
      <w:r>
        <w:rPr>
          <w:kern w:val="0"/>
          <w:szCs w:val="24"/>
        </w:rPr>
        <w:t>the application of metrics of technology evaluation. A process-outcomes stage model is outlined</w:t>
      </w:r>
      <w:r w:rsidR="00F81221">
        <w:rPr>
          <w:kern w:val="0"/>
          <w:szCs w:val="24"/>
        </w:rPr>
        <w:t xml:space="preserve"> and </w:t>
      </w:r>
      <w:r>
        <w:rPr>
          <w:kern w:val="0"/>
          <w:szCs w:val="24"/>
        </w:rPr>
        <w:t>its advantages are listed. This stage-model is suggested as a more effective method to evaluate R&amp;D</w:t>
      </w:r>
      <w:r w:rsidR="00F81221">
        <w:rPr>
          <w:kern w:val="0"/>
          <w:szCs w:val="24"/>
        </w:rPr>
        <w:t xml:space="preserve"> and </w:t>
      </w:r>
      <w:r>
        <w:rPr>
          <w:kern w:val="0"/>
          <w:szCs w:val="24"/>
        </w:rPr>
        <w:t>technology along the entire innovation continuum.</w:t>
      </w:r>
    </w:p>
    <w:p w:rsidR="00C7544D" w:rsidRDefault="00C7544D" w:rsidP="00C7544D">
      <w:pPr>
        <w:pStyle w:val="a0"/>
        <w:rPr>
          <w:kern w:val="0"/>
          <w:szCs w:val="24"/>
        </w:rPr>
      </w:pPr>
      <w:r>
        <w:rPr>
          <w:kern w:val="0"/>
          <w:szCs w:val="24"/>
        </w:rPr>
        <w:t>Keywords: Bibliometric, Bibliometric Methods, Development, Development Performance, Development Portfolios, Evaluation, Industrial Innovation, Innovation, Metrics, Patents, Process Model, R&amp;D, Science, Science</w:t>
      </w:r>
      <w:r w:rsidR="00F81221">
        <w:rPr>
          <w:kern w:val="0"/>
          <w:szCs w:val="24"/>
        </w:rPr>
        <w:t xml:space="preserve"> and </w:t>
      </w:r>
      <w:r>
        <w:rPr>
          <w:kern w:val="0"/>
          <w:szCs w:val="24"/>
        </w:rPr>
        <w:t>Technology, Technology</w:t>
      </w:r>
    </w:p>
    <w:p w:rsidR="00B95188" w:rsidRPr="00A428C3" w:rsidRDefault="00B95188" w:rsidP="00B95188">
      <w:pPr>
        <w:pStyle w:val="a0"/>
      </w:pPr>
      <w:r w:rsidRPr="00A428C3">
        <w:t>? Etemad, H. (2004), E-commerce: the emergence of a field</w:t>
      </w:r>
      <w:r w:rsidR="00F81221">
        <w:t xml:space="preserve"> and </w:t>
      </w:r>
      <w:r w:rsidRPr="00A428C3">
        <w:t xml:space="preserve">its knowledge network. </w:t>
      </w:r>
      <w:r w:rsidRPr="00A428C3">
        <w:rPr>
          <w:i/>
          <w:iCs/>
        </w:rPr>
        <w:t>International Journal of Technology Management</w:t>
      </w:r>
      <w:r w:rsidRPr="00A428C3">
        <w:t xml:space="preserve">, </w:t>
      </w:r>
      <w:r w:rsidRPr="00A428C3">
        <w:rPr>
          <w:b/>
        </w:rPr>
        <w:t>28</w:t>
      </w:r>
      <w:r w:rsidRPr="00A428C3">
        <w:t xml:space="preserve"> (7-8), 776-800.</w:t>
      </w:r>
    </w:p>
    <w:p w:rsidR="00B95188" w:rsidRPr="00A428C3" w:rsidRDefault="00B95188" w:rsidP="00B95188">
      <w:pPr>
        <w:pStyle w:val="a0"/>
      </w:pPr>
      <w:r w:rsidRPr="00A428C3">
        <w:t xml:space="preserve">Abstract: Electronic commerce (e-commerce) describes the manner in which </w:t>
      </w:r>
      <w:r w:rsidRPr="00A428C3">
        <w:lastRenderedPageBreak/>
        <w:t>transactions take place over electronic networks, mostly over the internet. It includes the process of supplying, buying</w:t>
      </w:r>
      <w:r w:rsidR="00F81221">
        <w:t xml:space="preserve"> and </w:t>
      </w:r>
      <w:r w:rsidRPr="00A428C3">
        <w:t>selling goods, services</w:t>
      </w:r>
      <w:r w:rsidR="00F81221">
        <w:t xml:space="preserve"> and </w:t>
      </w:r>
      <w:r w:rsidRPr="00A428C3">
        <w:t xml:space="preserve">information electronically. This paper uses bibliometric epistemology to suggest that a number of publications have played catalytic roles in the formation of a knowledge network that underlies the rapidly developing field of e-commerce. The first four of the six properties of knowledge (Latour, 1987) the </w:t>
      </w:r>
      <w:r w:rsidR="000352E7">
        <w:t>‘</w:t>
      </w:r>
      <w:r w:rsidRPr="00A428C3">
        <w:t>what</w:t>
      </w:r>
      <w:r w:rsidR="000352E7">
        <w:t>’</w:t>
      </w:r>
      <w:r w:rsidRPr="00A428C3">
        <w:t xml:space="preserve">, </w:t>
      </w:r>
      <w:r w:rsidR="000352E7">
        <w:t>‘</w:t>
      </w:r>
      <w:r w:rsidRPr="00A428C3">
        <w:t>where</w:t>
      </w:r>
      <w:r w:rsidR="000352E7">
        <w:t>’</w:t>
      </w:r>
      <w:r w:rsidRPr="00A428C3">
        <w:t xml:space="preserve">, </w:t>
      </w:r>
      <w:r w:rsidR="000352E7">
        <w:t>‘</w:t>
      </w:r>
      <w:r w:rsidRPr="00A428C3">
        <w:t>when</w:t>
      </w:r>
      <w:r w:rsidR="000352E7">
        <w:t>’</w:t>
      </w:r>
      <w:r w:rsidRPr="00A428C3">
        <w:t xml:space="preserve">, by </w:t>
      </w:r>
      <w:r w:rsidR="000352E7">
        <w:t>‘</w:t>
      </w:r>
      <w:r w:rsidRPr="00A428C3">
        <w:t>whom</w:t>
      </w:r>
      <w:r w:rsidR="000352E7">
        <w:t>’</w:t>
      </w:r>
      <w:r w:rsidRPr="00A428C3">
        <w:t xml:space="preserve">, </w:t>
      </w:r>
      <w:r w:rsidR="000352E7">
        <w:t>‘</w:t>
      </w:r>
      <w:r w:rsidRPr="00A428C3">
        <w:t>how</w:t>
      </w:r>
      <w:r w:rsidR="000352E7">
        <w:t>’</w:t>
      </w:r>
      <w:r w:rsidRPr="00A428C3">
        <w:t>,</w:t>
      </w:r>
      <w:r w:rsidR="00F81221">
        <w:t xml:space="preserve"> and </w:t>
      </w:r>
      <w:r w:rsidR="000352E7">
        <w:t>‘</w:t>
      </w:r>
      <w:r w:rsidRPr="00A428C3">
        <w:t>why</w:t>
      </w:r>
      <w:r w:rsidR="000352E7">
        <w:t>’</w:t>
      </w:r>
      <w:r w:rsidRPr="00A428C3">
        <w:t>, - are presented in the results. The paper presents the most highly cited e-commerce documents (including books</w:t>
      </w:r>
      <w:r w:rsidR="00F81221">
        <w:t xml:space="preserve"> and </w:t>
      </w:r>
      <w:r w:rsidRPr="00A428C3">
        <w:t>journals), highly cited researchers, their respective fields, topics</w:t>
      </w:r>
      <w:r w:rsidR="00F81221">
        <w:t xml:space="preserve"> and </w:t>
      </w:r>
      <w:r w:rsidRPr="00A428C3">
        <w:t>the publication media that disseminated their works. The formation stages of e-commerce clearly point to the emergence of an inter-disciplinary</w:t>
      </w:r>
      <w:r w:rsidR="00F81221">
        <w:t xml:space="preserve"> and </w:t>
      </w:r>
      <w:r w:rsidRPr="00A428C3">
        <w:t>comprehensive field.</w:t>
      </w:r>
    </w:p>
    <w:p w:rsidR="00B95188" w:rsidRPr="00A428C3" w:rsidRDefault="00B95188" w:rsidP="00B95188">
      <w:pPr>
        <w:pStyle w:val="a0"/>
      </w:pPr>
      <w:r w:rsidRPr="00A428C3">
        <w:t>Keywords: Bibliometric, Bibliometric Epistemology, E-Commerce, Entrepreneurship, Inter-Disciplinary Studies, Journals, Knowledge Network, Management, Network, Publication, Publications</w:t>
      </w:r>
    </w:p>
    <w:p w:rsidR="00941CBE" w:rsidRDefault="00941CBE" w:rsidP="00941CBE">
      <w:pPr>
        <w:pStyle w:val="a0"/>
        <w:rPr>
          <w:kern w:val="0"/>
        </w:rPr>
      </w:pPr>
      <w:r>
        <w:rPr>
          <w:rFonts w:hint="eastAsia"/>
          <w:kern w:val="0"/>
        </w:rPr>
        <w:t xml:space="preserve">? </w:t>
      </w:r>
      <w:r>
        <w:rPr>
          <w:kern w:val="0"/>
        </w:rPr>
        <w:t>Lin, C.H., Yang, H.L.</w:t>
      </w:r>
      <w:r w:rsidR="00F81221">
        <w:rPr>
          <w:kern w:val="0"/>
        </w:rPr>
        <w:t xml:space="preserve"> and </w:t>
      </w:r>
      <w:r>
        <w:rPr>
          <w:kern w:val="0"/>
        </w:rPr>
        <w:t>Liou, D.Y. (2010), A cross-national comparative analysis of industrial policy</w:t>
      </w:r>
      <w:r w:rsidR="00F81221">
        <w:rPr>
          <w:kern w:val="0"/>
        </w:rPr>
        <w:t xml:space="preserve"> and </w:t>
      </w:r>
      <w:r>
        <w:rPr>
          <w:kern w:val="0"/>
        </w:rPr>
        <w:t xml:space="preserve">competitive advantage. </w:t>
      </w:r>
      <w:r>
        <w:rPr>
          <w:i/>
          <w:iCs/>
          <w:kern w:val="0"/>
        </w:rPr>
        <w:t>International Journal of Technology Management</w:t>
      </w:r>
      <w:r>
        <w:rPr>
          <w:kern w:val="0"/>
        </w:rPr>
        <w:t xml:space="preserve">, </w:t>
      </w:r>
      <w:r>
        <w:rPr>
          <w:b/>
          <w:bCs/>
          <w:kern w:val="0"/>
        </w:rPr>
        <w:t>49</w:t>
      </w:r>
      <w:r>
        <w:rPr>
          <w:kern w:val="0"/>
        </w:rPr>
        <w:t xml:space="preserve"> (1-3), 93-106.</w:t>
      </w:r>
    </w:p>
    <w:p w:rsidR="00C94020" w:rsidRDefault="00C94020" w:rsidP="00941CBE">
      <w:pPr>
        <w:pStyle w:val="a0"/>
        <w:rPr>
          <w:kern w:val="0"/>
        </w:rPr>
      </w:pPr>
      <w:r>
        <w:rPr>
          <w:rFonts w:hint="eastAsia"/>
          <w:kern w:val="0"/>
          <w:szCs w:val="24"/>
        </w:rPr>
        <w:t>2010\</w:t>
      </w:r>
      <w:r>
        <w:rPr>
          <w:iCs/>
          <w:kern w:val="0"/>
          <w:szCs w:val="24"/>
        </w:rPr>
        <w:t>Int</w:t>
      </w:r>
      <w:r w:rsidRPr="00941CBE">
        <w:rPr>
          <w:iCs/>
          <w:kern w:val="0"/>
          <w:szCs w:val="24"/>
        </w:rPr>
        <w:t xml:space="preserve"> </w:t>
      </w:r>
      <w:r>
        <w:rPr>
          <w:iCs/>
          <w:kern w:val="0"/>
          <w:szCs w:val="24"/>
        </w:rPr>
        <w:t>J Tec Man</w:t>
      </w:r>
      <w:r>
        <w:rPr>
          <w:rFonts w:hint="eastAsia"/>
          <w:bCs/>
          <w:kern w:val="0"/>
          <w:szCs w:val="24"/>
        </w:rPr>
        <w:t>49</w:t>
      </w:r>
      <w:r>
        <w:rPr>
          <w:kern w:val="0"/>
          <w:szCs w:val="24"/>
        </w:rPr>
        <w:t xml:space="preserve">, </w:t>
      </w:r>
      <w:r>
        <w:rPr>
          <w:rFonts w:hint="eastAsia"/>
          <w:kern w:val="0"/>
          <w:szCs w:val="24"/>
        </w:rPr>
        <w:t>93.pdf</w:t>
      </w:r>
    </w:p>
    <w:p w:rsidR="00941CBE" w:rsidRDefault="00941CBE" w:rsidP="00941CBE">
      <w:pPr>
        <w:pStyle w:val="a0"/>
        <w:rPr>
          <w:kern w:val="0"/>
        </w:rPr>
      </w:pPr>
      <w:r>
        <w:rPr>
          <w:kern w:val="0"/>
        </w:rPr>
        <w:t>Abstract: While many schools of thought in economic planning agree that innovation constitutes the driving force behind the competitive performance of nations, the efficiency of its supporting industrial policy is still subject to debate. This paper applies the performance framework in competitive advantage issues associated with the data envelopment analysis (DEA) method to evaluate the relative efficiency of industrial technology investments across countries. Each country</w:t>
      </w:r>
      <w:r w:rsidR="000352E7">
        <w:rPr>
          <w:kern w:val="0"/>
        </w:rPr>
        <w:t>’</w:t>
      </w:r>
      <w:r>
        <w:rPr>
          <w:kern w:val="0"/>
        </w:rPr>
        <w:t>s annual research</w:t>
      </w:r>
      <w:r w:rsidR="00F81221">
        <w:rPr>
          <w:kern w:val="0"/>
        </w:rPr>
        <w:t xml:space="preserve"> and </w:t>
      </w:r>
      <w:r>
        <w:rPr>
          <w:kern w:val="0"/>
        </w:rPr>
        <w:t>development (R&amp;D) expenditures are treated as input while patents</w:t>
      </w:r>
      <w:r w:rsidR="00F81221">
        <w:rPr>
          <w:kern w:val="0"/>
        </w:rPr>
        <w:t xml:space="preserve"> and </w:t>
      </w:r>
      <w:r>
        <w:rPr>
          <w:kern w:val="0"/>
        </w:rPr>
        <w:t>academic publications, indexed by Science Citation Index (SCI)</w:t>
      </w:r>
      <w:r w:rsidR="00F81221">
        <w:rPr>
          <w:kern w:val="0"/>
        </w:rPr>
        <w:t xml:space="preserve"> and </w:t>
      </w:r>
      <w:r>
        <w:rPr>
          <w:kern w:val="0"/>
        </w:rPr>
        <w:t>Engineering Index (EI), are considered as outputs. Three of the ten countries studied were the most efficient: China, Singapore</w:t>
      </w:r>
      <w:r w:rsidR="00F81221">
        <w:rPr>
          <w:kern w:val="0"/>
        </w:rPr>
        <w:t xml:space="preserve"> and </w:t>
      </w:r>
      <w:r>
        <w:rPr>
          <w:kern w:val="0"/>
        </w:rPr>
        <w:t xml:space="preserve">Taiwan. The latter two are members of </w:t>
      </w:r>
      <w:r w:rsidR="000352E7">
        <w:rPr>
          <w:kern w:val="0"/>
        </w:rPr>
        <w:t>‘</w:t>
      </w:r>
      <w:r>
        <w:rPr>
          <w:kern w:val="0"/>
        </w:rPr>
        <w:t>the East Asian Tigers</w:t>
      </w:r>
      <w:r w:rsidR="000352E7">
        <w:rPr>
          <w:kern w:val="0"/>
        </w:rPr>
        <w:t>’</w:t>
      </w:r>
      <w:r>
        <w:rPr>
          <w:kern w:val="0"/>
        </w:rPr>
        <w:t>. Further, Malmquist Index (MI) analysis indicates that the total observed countries achieved higher efficiency in 2003 compared with 2002. Technological change contributed more to the improvement of MI than did technical efficiency change.</w:t>
      </w:r>
    </w:p>
    <w:p w:rsidR="00941CBE" w:rsidRDefault="00941CBE" w:rsidP="00941CBE">
      <w:pPr>
        <w:pStyle w:val="a0"/>
        <w:rPr>
          <w:kern w:val="0"/>
        </w:rPr>
      </w:pPr>
      <w:r>
        <w:rPr>
          <w:kern w:val="0"/>
        </w:rPr>
        <w:t>Keywords: China, Citation, Competitive Advantage, Data Envelope Analysis, DEA, Economic, Efficiency, Industrial Policy, Innovation, Input, Output, Patents, Productivity, Publications, R&amp;D, Research, Research</w:t>
      </w:r>
      <w:r w:rsidR="00F81221">
        <w:rPr>
          <w:kern w:val="0"/>
        </w:rPr>
        <w:t xml:space="preserve"> and </w:t>
      </w:r>
      <w:r>
        <w:rPr>
          <w:kern w:val="0"/>
        </w:rPr>
        <w:t>Development, SCI, Science, Science Citation Index, Technology</w:t>
      </w:r>
    </w:p>
    <w:p w:rsidR="005E2787" w:rsidRDefault="005E2787" w:rsidP="005E2787">
      <w:pPr>
        <w:pStyle w:val="a0"/>
        <w:rPr>
          <w:kern w:val="0"/>
        </w:rPr>
      </w:pPr>
      <w:r>
        <w:rPr>
          <w:rFonts w:hint="eastAsia"/>
          <w:kern w:val="0"/>
        </w:rPr>
        <w:t xml:space="preserve">? </w:t>
      </w:r>
      <w:r>
        <w:rPr>
          <w:kern w:val="0"/>
        </w:rPr>
        <w:t>Klincewicz, K.</w:t>
      </w:r>
      <w:r w:rsidR="00F81221">
        <w:rPr>
          <w:kern w:val="0"/>
        </w:rPr>
        <w:t xml:space="preserve"> and </w:t>
      </w:r>
      <w:r>
        <w:rPr>
          <w:kern w:val="0"/>
        </w:rPr>
        <w:t xml:space="preserve">Miyazaki, K. (2011), Sectoral systems of innovation in Asia. The case of software research activities. </w:t>
      </w:r>
      <w:r>
        <w:rPr>
          <w:i/>
          <w:iCs/>
          <w:kern w:val="0"/>
        </w:rPr>
        <w:t>International Journal of Technology Management</w:t>
      </w:r>
      <w:r>
        <w:rPr>
          <w:kern w:val="0"/>
        </w:rPr>
        <w:t xml:space="preserve">, </w:t>
      </w:r>
      <w:r>
        <w:rPr>
          <w:b/>
          <w:bCs/>
          <w:kern w:val="0"/>
        </w:rPr>
        <w:t>53</w:t>
      </w:r>
      <w:r>
        <w:rPr>
          <w:kern w:val="0"/>
        </w:rPr>
        <w:t xml:space="preserve"> (2-4), 161-189.</w:t>
      </w:r>
    </w:p>
    <w:p w:rsidR="00BC3300" w:rsidRDefault="00BC3300" w:rsidP="00BC3300">
      <w:pPr>
        <w:pStyle w:val="a0"/>
        <w:rPr>
          <w:kern w:val="0"/>
          <w:szCs w:val="24"/>
        </w:rPr>
      </w:pPr>
      <w:r>
        <w:rPr>
          <w:rFonts w:hint="eastAsia"/>
          <w:kern w:val="0"/>
          <w:szCs w:val="24"/>
        </w:rPr>
        <w:lastRenderedPageBreak/>
        <w:t xml:space="preserve">Full Text: </w:t>
      </w:r>
      <w:hyperlink r:id="rId2085" w:history="1">
        <w:r w:rsidRPr="00A06FDB">
          <w:rPr>
            <w:rStyle w:val="a5"/>
            <w:kern w:val="0"/>
            <w:szCs w:val="24"/>
          </w:rPr>
          <w:t>2011\Int J Tec Man53, 161.pdf</w:t>
        </w:r>
      </w:hyperlink>
    </w:p>
    <w:p w:rsidR="005E2787" w:rsidRDefault="005E2787" w:rsidP="005E2787">
      <w:pPr>
        <w:pStyle w:val="a0"/>
        <w:rPr>
          <w:kern w:val="0"/>
        </w:rPr>
      </w:pPr>
      <w:r>
        <w:rPr>
          <w:kern w:val="0"/>
        </w:rPr>
        <w:t>Abstract: The article compares sectoral systems of innovation (SSI) related to software in the selected Asian countries: China, India, Japan, Korea, Singapore</w:t>
      </w:r>
      <w:r w:rsidR="00F81221">
        <w:rPr>
          <w:kern w:val="0"/>
        </w:rPr>
        <w:t xml:space="preserve"> and </w:t>
      </w:r>
      <w:r>
        <w:rPr>
          <w:kern w:val="0"/>
        </w:rPr>
        <w:t>Taiwan, focusing on outputs of scientific research for years 2002-2006</w:t>
      </w:r>
      <w:r w:rsidR="00F81221">
        <w:rPr>
          <w:kern w:val="0"/>
        </w:rPr>
        <w:t xml:space="preserve"> and </w:t>
      </w:r>
      <w:r>
        <w:rPr>
          <w:kern w:val="0"/>
        </w:rPr>
        <w:t>using tech mining research method. The paper characterises the relative importance of specific domains of applied software research in every country</w:t>
      </w:r>
      <w:r w:rsidR="00F81221">
        <w:rPr>
          <w:kern w:val="0"/>
        </w:rPr>
        <w:t xml:space="preserve"> and </w:t>
      </w:r>
      <w:r>
        <w:rPr>
          <w:kern w:val="0"/>
        </w:rPr>
        <w:t>measures the responsiveness of researchers to emerging technologies. The analysis helps identify potential inefficiencies</w:t>
      </w:r>
      <w:r w:rsidR="00F81221">
        <w:rPr>
          <w:kern w:val="0"/>
        </w:rPr>
        <w:t xml:space="preserve"> and </w:t>
      </w:r>
      <w:r>
        <w:rPr>
          <w:kern w:val="0"/>
        </w:rPr>
        <w:t>strategic threats in the software sectors of the concerned countries.</w:t>
      </w:r>
    </w:p>
    <w:p w:rsidR="005E2787" w:rsidRDefault="005E2787" w:rsidP="005E2787">
      <w:pPr>
        <w:pStyle w:val="a0"/>
        <w:rPr>
          <w:kern w:val="0"/>
        </w:rPr>
      </w:pPr>
      <w:r>
        <w:rPr>
          <w:kern w:val="0"/>
        </w:rPr>
        <w:t>Keywords: Analysis, Asia, Asian, Bibliometrics, China, Country, Emerging Technologies, India, Innovation, Japan, Korea, Mining, Potential, R&amp;D Management, Research, Research Method, Scientific Research, Software, Software Industry, Strategic, System of Innovation, Systems, Taiwan, Tech Mining, Technologies, Technology Transfer</w:t>
      </w:r>
    </w:p>
    <w:p w:rsidR="00B95188" w:rsidRPr="00A428C3" w:rsidRDefault="00B95188" w:rsidP="00B95188">
      <w:pPr>
        <w:pStyle w:val="1"/>
      </w:pPr>
      <w:r w:rsidRPr="00A428C3">
        <w:br w:type="page"/>
      </w:r>
      <w:bookmarkStart w:id="1529" w:name="_Toc186647965"/>
      <w:bookmarkStart w:id="1530" w:name="_Toc317161383"/>
      <w:r w:rsidRPr="00A428C3">
        <w:lastRenderedPageBreak/>
        <w:t>Title: International Journal of Thermophysics</w:t>
      </w:r>
      <w:bookmarkEnd w:id="1529"/>
      <w:bookmarkEnd w:id="1530"/>
    </w:p>
    <w:p w:rsidR="00B95188" w:rsidRPr="00A428C3" w:rsidRDefault="00B95188" w:rsidP="00B72EF9">
      <w:pPr>
        <w:pStyle w:val="12"/>
      </w:pPr>
      <w:r w:rsidRPr="00A428C3">
        <w:t xml:space="preserve">Full Journal Title: </w:t>
      </w:r>
      <w:hyperlink r:id="rId2086" w:history="1">
        <w:r w:rsidRPr="00A428C3">
          <w:rPr>
            <w:rStyle w:val="a5"/>
          </w:rPr>
          <w:t>International Journal of Thermophysics</w:t>
        </w:r>
      </w:hyperlink>
    </w:p>
    <w:p w:rsidR="00B95188" w:rsidRPr="00A428C3" w:rsidRDefault="00B95188" w:rsidP="00B72EF9">
      <w:pPr>
        <w:pStyle w:val="12"/>
      </w:pPr>
      <w:r w:rsidRPr="00A428C3">
        <w:t>ISO Abbreviated Title: Int. J. Thermophys.</w:t>
      </w:r>
    </w:p>
    <w:p w:rsidR="00B95188" w:rsidRPr="00A428C3" w:rsidRDefault="00B95188" w:rsidP="00B72EF9">
      <w:pPr>
        <w:pStyle w:val="12"/>
      </w:pPr>
      <w:r w:rsidRPr="00A428C3">
        <w:t>JCR Abbreviated Title: Int J Thermophys</w:t>
      </w:r>
    </w:p>
    <w:p w:rsidR="00B95188" w:rsidRPr="00A428C3" w:rsidRDefault="00B95188" w:rsidP="00B72EF9">
      <w:pPr>
        <w:pStyle w:val="12"/>
      </w:pPr>
      <w:r w:rsidRPr="00A428C3">
        <w:t>ISSN: 0195-928X</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Kluwer Academic/Plenum Publ</w:t>
      </w:r>
    </w:p>
    <w:p w:rsidR="00B95188" w:rsidRPr="00A428C3" w:rsidRDefault="00B95188" w:rsidP="00B72EF9">
      <w:pPr>
        <w:pStyle w:val="12"/>
      </w:pPr>
      <w:r w:rsidRPr="00A428C3">
        <w:t xml:space="preserve">Publisher Address: 233 Spring St, </w:t>
      </w:r>
      <w:smartTag w:uri="urn:schemas-microsoft-com:office:smarttags" w:element="place">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10013</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Thermodynamics: Impact Factor 0.773, / (2001)</w:t>
      </w:r>
    </w:p>
    <w:p w:rsidR="00B95188" w:rsidRPr="00A428C3" w:rsidRDefault="00B95188" w:rsidP="00B72EF9">
      <w:pPr>
        <w:pStyle w:val="12"/>
      </w:pPr>
      <w:r w:rsidRPr="00A428C3">
        <w:t>Chemistry, Physical: Impact Factor 0.773, / (2001)</w:t>
      </w:r>
    </w:p>
    <w:p w:rsidR="00B95188" w:rsidRPr="00A428C3" w:rsidRDefault="00B95188" w:rsidP="00B72EF9">
      <w:pPr>
        <w:pStyle w:val="12"/>
      </w:pPr>
      <w:r w:rsidRPr="00A428C3">
        <w:t>Mechanics: Impact Factor 0.773, / (2001)</w:t>
      </w:r>
    </w:p>
    <w:p w:rsidR="00B95188" w:rsidRPr="00A428C3" w:rsidRDefault="00B95188" w:rsidP="00B72EF9">
      <w:pPr>
        <w:pStyle w:val="12"/>
      </w:pPr>
      <w:r w:rsidRPr="00A428C3">
        <w:t>Physics, Applied: Impact Factor 0.773, / (2001)</w:t>
      </w:r>
    </w:p>
    <w:p w:rsidR="00B95188" w:rsidRPr="00A428C3" w:rsidRDefault="00B95188" w:rsidP="00B95188">
      <w:pPr>
        <w:pStyle w:val="a0"/>
      </w:pPr>
      <w:r w:rsidRPr="00A428C3">
        <w:t>? Shukla, K.</w:t>
      </w:r>
      <w:r w:rsidR="00F81221">
        <w:t xml:space="preserve"> and </w:t>
      </w:r>
      <w:r w:rsidRPr="00A428C3">
        <w:t>Rajagopalan, R. (1995), Structures</w:t>
      </w:r>
      <w:r w:rsidR="00F81221">
        <w:t xml:space="preserve"> and </w:t>
      </w:r>
      <w:r w:rsidRPr="00A428C3">
        <w:t>phase-transitions in colloidal dispersions from theory</w:t>
      </w:r>
      <w:r w:rsidR="00F81221">
        <w:t xml:space="preserve"> and </w:t>
      </w:r>
      <w:r w:rsidRPr="00A428C3">
        <w:t xml:space="preserve">simulation. </w:t>
      </w:r>
      <w:r w:rsidRPr="00A428C3">
        <w:rPr>
          <w:i/>
          <w:iCs/>
        </w:rPr>
        <w:t>International Journal of Thermophysics</w:t>
      </w:r>
      <w:r w:rsidRPr="00A428C3">
        <w:t xml:space="preserve">, </w:t>
      </w:r>
      <w:r w:rsidRPr="00A428C3">
        <w:rPr>
          <w:b/>
        </w:rPr>
        <w:t>16</w:t>
      </w:r>
      <w:r w:rsidRPr="00A428C3">
        <w:t xml:space="preserve"> (2), 327-335.</w:t>
      </w:r>
    </w:p>
    <w:p w:rsidR="00B95188" w:rsidRPr="00A428C3" w:rsidRDefault="00B95188" w:rsidP="00B95188">
      <w:pPr>
        <w:pStyle w:val="a0"/>
      </w:pPr>
      <w:r w:rsidRPr="00A428C3">
        <w:t>Abstract: Equilibrium properties of uncharged colloidal dispersions with particles interacting via harsh short-ranged repulsive forces</w:t>
      </w:r>
      <w:r w:rsidR="00F81221">
        <w:t xml:space="preserve"> and </w:t>
      </w:r>
      <w:r w:rsidRPr="00A428C3">
        <w:t>strong short-ranged attractive forces are determined by means of an approach in which colloids are treated as supramolecular versions of simple fluids. The interparticle interactions are represented by short-ranged square-well potentials. Structure factors</w:t>
      </w:r>
      <w:r w:rsidR="00F81221">
        <w:t xml:space="preserve"> and </w:t>
      </w:r>
      <w:r w:rsidRPr="00A428C3">
        <w:t>phase diagrams for the dispersions are determined analytically by mapping the square-well potential onto the adhesive-hard-sphere model by equating the respective second virial coefficients. Theoretical predictions are compared with molecular simulation results for the conditions relevant to real colloidal dispersions. Our results show that the adhesive-hard-sphere model can describe accurately structure factors</w:t>
      </w:r>
      <w:r w:rsidR="00F81221">
        <w:t xml:space="preserve"> and </w:t>
      </w:r>
      <w:r w:rsidRPr="00A428C3">
        <w:t>phase diagrams of nonionic microemulsions</w:t>
      </w:r>
      <w:r w:rsidR="00F81221">
        <w:t xml:space="preserve"> and </w:t>
      </w:r>
      <w:r w:rsidRPr="00A428C3">
        <w:t>inverted micellar systems containing AOT surfactant dispersed in oil. Both upper-critical</w:t>
      </w:r>
      <w:r w:rsidR="00F81221">
        <w:t xml:space="preserve"> and </w:t>
      </w:r>
      <w:r w:rsidRPr="00A428C3">
        <w:t>lower-critical consolute points in colloidal dispersions dominated by short-ranged attractive forces can be described using the same formalism.</w:t>
      </w:r>
    </w:p>
    <w:p w:rsidR="00B95188" w:rsidRPr="00A428C3" w:rsidRDefault="00B95188" w:rsidP="00B95188">
      <w:pPr>
        <w:pStyle w:val="a0"/>
      </w:pPr>
      <w:r w:rsidRPr="00A428C3">
        <w:t>Keywords: Adhesive Hard Spheres, Colloidal Dispersions, Interparticle Interactions, Micellar Systems, Microemulsions, Phase Transitions, Monte-Carlo Simulation, Gibbs Ensemble, Scattering, Equilibria, Fluids, Model</w:t>
      </w:r>
    </w:p>
    <w:p w:rsidR="00B95188" w:rsidRPr="00A428C3" w:rsidRDefault="00B95188" w:rsidP="00B95188">
      <w:pPr>
        <w:pStyle w:val="1"/>
      </w:pPr>
      <w:r w:rsidRPr="00A428C3">
        <w:br w:type="page"/>
      </w:r>
      <w:bookmarkStart w:id="1531" w:name="_Toc186647966"/>
      <w:bookmarkStart w:id="1532" w:name="_Toc317161384"/>
      <w:r w:rsidRPr="00A428C3">
        <w:lastRenderedPageBreak/>
        <w:t>Title: International Journal of Toxicology</w:t>
      </w:r>
      <w:bookmarkEnd w:id="1531"/>
      <w:bookmarkEnd w:id="1532"/>
    </w:p>
    <w:p w:rsidR="00B95188" w:rsidRPr="00A428C3" w:rsidRDefault="00B95188" w:rsidP="00B72EF9">
      <w:pPr>
        <w:pStyle w:val="12"/>
      </w:pPr>
      <w:r w:rsidRPr="00A428C3">
        <w:t>Full Journal Title: International Journal of Toxicology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1091-5818</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(2001), Final report on the safety assessment of Lard Glyceride, Hydrogenated Lard Glyceride, Lard Glycerides, Hydrogenated Lard Glycerides, Lard,</w:t>
      </w:r>
      <w:r w:rsidR="00F81221">
        <w:t xml:space="preserve"> and </w:t>
      </w:r>
      <w:r w:rsidRPr="00A428C3">
        <w:t xml:space="preserve">Hydrogenated Lard. </w:t>
      </w:r>
      <w:r w:rsidRPr="00A428C3">
        <w:rPr>
          <w:i/>
          <w:iCs/>
        </w:rPr>
        <w:t>International Journal of Toxicology</w:t>
      </w:r>
      <w:r w:rsidRPr="00A428C3">
        <w:t xml:space="preserve">, </w:t>
      </w:r>
      <w:r w:rsidRPr="00A428C3">
        <w:rPr>
          <w:b/>
        </w:rPr>
        <w:t>20</w:t>
      </w:r>
      <w:r w:rsidRPr="00A428C3">
        <w:t xml:space="preserve"> (3S), 57-64.</w:t>
      </w:r>
    </w:p>
    <w:p w:rsidR="00B95188" w:rsidRPr="00A428C3" w:rsidRDefault="00B95188" w:rsidP="00B95188">
      <w:pPr>
        <w:pStyle w:val="a0"/>
      </w:pPr>
      <w:r w:rsidRPr="00A428C3">
        <w:t xml:space="preserve">Full Text: </w:t>
      </w:r>
      <w:hyperlink r:id="rId2087" w:history="1">
        <w:r w:rsidRPr="00A428C3">
          <w:rPr>
            <w:rStyle w:val="a5"/>
          </w:rPr>
          <w:t>I\Int J Tox20, 57.pdf</w:t>
        </w:r>
      </w:hyperlink>
    </w:p>
    <w:p w:rsidR="00B95188" w:rsidRPr="00A428C3" w:rsidRDefault="00B95188" w:rsidP="00B95188">
      <w:pPr>
        <w:pStyle w:val="a0"/>
      </w:pPr>
      <w:r w:rsidRPr="00A428C3">
        <w:t>Abstract: Lard obtained from the rendering of fatty porcine tissue is used in cosmetic products, as are several of its derivatives. These derivatives include Lard Glycerides (mono-, di-,</w:t>
      </w:r>
      <w:r w:rsidR="00F81221">
        <w:t xml:space="preserve"> and </w:t>
      </w:r>
      <w:r w:rsidRPr="00A428C3">
        <w:t>triglycerides derived from Lard), Lard Glyceride (the monoglycerides only), Hydrogenated Lard Glycerides, Hydrogenated Lard Glyceride,</w:t>
      </w:r>
      <w:r w:rsidR="00F81221">
        <w:t xml:space="preserve"> and </w:t>
      </w:r>
      <w:r w:rsidRPr="00A428C3">
        <w:t>Hydrogenated Lard. The latter three are produced by controlled hydrogenation of the described precursor. These ingredients function as skin-conditioning agents and, with the exception of Lard, as viscosity-increasing agents in several cosmetic products. No information was available regarding the fate during processing of impurities such as pesticides or heavy metals that may be found in animal tissue. Lard itself is established by the Food</w:t>
      </w:r>
      <w:r w:rsidR="00F81221">
        <w:t xml:space="preserve"> and </w:t>
      </w:r>
      <w:r w:rsidRPr="00A428C3">
        <w:t>Drug Administration (FDA) as a GRAS (generally recognized as safe) substance. Animal studies report adverse effects expected with the feeding of high fat diets, but other animal toxicity data were not available. Lard was not mutagenic in transgenic mice. Cell proliferation assays showed more proliferation in mice fed Lard compared to those fed plant-source fats, but another study showed no difference. Cocarcinogenic effects were observed when high-fat diets containing Lard were fed, with known carcinogens, to mice, rats,</w:t>
      </w:r>
      <w:r w:rsidR="00F81221">
        <w:t xml:space="preserve"> and </w:t>
      </w:r>
      <w:r w:rsidRPr="00A428C3">
        <w:t xml:space="preserve">hamsters. Consistent with the FDA GRAS determination, it was concluded that these ingredients may be used safely in cosmetic formulations. However, it was considered important to limit the presence of heavy metals and/or polychlorinated biphenyl (PCB) or other pesticide contamination. Accordingly, limits were established as follows: lead, not more than 0.1 ppm; arsenic (as As), less than or equal to3 ppm; </w:t>
      </w:r>
      <w:r w:rsidRPr="00A428C3">
        <w:lastRenderedPageBreak/>
        <w:t>mercury (as Hg), less than or equal to1 ppm;</w:t>
      </w:r>
      <w:r w:rsidR="00F81221">
        <w:t xml:space="preserve"> and </w:t>
      </w:r>
      <w:r w:rsidRPr="00A428C3">
        <w:t>total PCB/pesticide contamination, not more than 40 ppm, with not more than 10 ppm for any specific residue.</w:t>
      </w:r>
    </w:p>
    <w:p w:rsidR="00B95188" w:rsidRPr="00A428C3" w:rsidRDefault="00B95188" w:rsidP="00B95188">
      <w:pPr>
        <w:pStyle w:val="a0"/>
      </w:pPr>
      <w:r w:rsidRPr="00A428C3">
        <w:t xml:space="preserve">Keywords: Different Dietary Fats, </w:t>
      </w:r>
      <w:smartTag w:uri="urn:schemas-microsoft-com:office:smarttags" w:element="place">
        <w:smartTag w:uri="urn:schemas-microsoft-com:office:smarttags" w:element="City">
          <w:r w:rsidRPr="00A428C3">
            <w:t>Colon</w:t>
          </w:r>
        </w:smartTag>
      </w:smartTag>
      <w:r w:rsidRPr="00A428C3">
        <w:t xml:space="preserve"> Carcinogenesis, Mammary Carcinogenesis, Corn-Oil, Rats, Inhibition, Promotion, Quantity, Hamsters, Lipids</w:t>
      </w:r>
    </w:p>
    <w:p w:rsidR="00B95188" w:rsidRPr="00A428C3" w:rsidRDefault="00B95188" w:rsidP="00B95188">
      <w:pPr>
        <w:pStyle w:val="1"/>
      </w:pPr>
      <w:r w:rsidRPr="00A428C3">
        <w:br w:type="page"/>
      </w:r>
      <w:bookmarkStart w:id="1533" w:name="_Toc42870256"/>
      <w:bookmarkStart w:id="1534" w:name="_Toc186647967"/>
      <w:bookmarkStart w:id="1535" w:name="_Toc317161385"/>
      <w:r w:rsidRPr="00A428C3">
        <w:lastRenderedPageBreak/>
        <w:t>Title: International Journal of Tuberculosis</w:t>
      </w:r>
      <w:r w:rsidR="00F81221">
        <w:t xml:space="preserve"> and </w:t>
      </w:r>
      <w:r w:rsidRPr="00A428C3">
        <w:t>Lung Disease</w:t>
      </w:r>
      <w:bookmarkEnd w:id="1533"/>
      <w:bookmarkEnd w:id="1534"/>
      <w:bookmarkEnd w:id="1535"/>
    </w:p>
    <w:p w:rsidR="00B95188" w:rsidRPr="00A428C3" w:rsidRDefault="00B95188" w:rsidP="00B72EF9">
      <w:pPr>
        <w:pStyle w:val="12"/>
      </w:pPr>
      <w:r w:rsidRPr="00A428C3">
        <w:t>Full Journal Title: International Journal of Tuberculosis</w:t>
      </w:r>
      <w:r w:rsidR="00F81221">
        <w:t xml:space="preserve"> and </w:t>
      </w:r>
      <w:r w:rsidRPr="00A428C3">
        <w:t>Lung Disease</w:t>
      </w:r>
    </w:p>
    <w:p w:rsidR="00B95188" w:rsidRPr="00A428C3" w:rsidRDefault="00B95188" w:rsidP="00B72EF9">
      <w:pPr>
        <w:pStyle w:val="12"/>
      </w:pPr>
      <w:r w:rsidRPr="00A428C3">
        <w:t>ISO Abbreviated Title: Int. J. Tuberc. Lung Dis.</w:t>
      </w:r>
    </w:p>
    <w:p w:rsidR="00B95188" w:rsidRPr="00A428C3" w:rsidRDefault="00B95188" w:rsidP="00B72EF9">
      <w:pPr>
        <w:pStyle w:val="12"/>
      </w:pPr>
      <w:r w:rsidRPr="00A428C3">
        <w:t>JCR Abbreviated Title: Int J Tuberc Lung D</w:t>
      </w:r>
    </w:p>
    <w:p w:rsidR="00B95188" w:rsidRPr="00A428C3" w:rsidRDefault="00B95188" w:rsidP="00B72EF9">
      <w:pPr>
        <w:pStyle w:val="12"/>
      </w:pPr>
      <w:r w:rsidRPr="00A428C3">
        <w:t>ISSN: 1027-3719</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France</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Int Union Against Tuberculosis Lung Disease (I U A T L D)</w:t>
      </w:r>
    </w:p>
    <w:p w:rsidR="00B95188" w:rsidRPr="00A428C3" w:rsidRDefault="00B95188" w:rsidP="00B72EF9">
      <w:pPr>
        <w:pStyle w:val="12"/>
      </w:pPr>
      <w:r w:rsidRPr="00A428C3">
        <w:t xml:space="preserve">Publisher Address: 68 Boulevard Saint-Michel, 75006 </w:t>
      </w:r>
      <w:smartTag w:uri="urn:schemas-microsoft-com:office:smarttags" w:element="place">
        <w:smartTag w:uri="urn:schemas-microsoft-com:office:smarttags" w:element="City">
          <w:r w:rsidRPr="00A428C3">
            <w:t>Paris</w:t>
          </w:r>
        </w:smartTag>
        <w:r w:rsidRPr="00A428C3">
          <w:t xml:space="preserve">, </w:t>
        </w:r>
        <w:smartTag w:uri="urn:schemas-microsoft-com:office:smarttags" w:element="country-region">
          <w:r w:rsidRPr="00A428C3">
            <w:t>France</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Infectious Diseases: Impact Factor 1.737, / (2001)</w:t>
      </w:r>
    </w:p>
    <w:p w:rsidR="00B95188" w:rsidRPr="00A428C3" w:rsidRDefault="00B95188" w:rsidP="00B72EF9">
      <w:pPr>
        <w:pStyle w:val="12"/>
      </w:pPr>
      <w:r w:rsidRPr="00A428C3">
        <w:t>Respiratory System: Impact Factor 1.737, / (2001)</w:t>
      </w:r>
    </w:p>
    <w:p w:rsidR="00B95188" w:rsidRPr="00A428C3" w:rsidRDefault="00B95188" w:rsidP="00B95188">
      <w:pPr>
        <w:pStyle w:val="a0"/>
      </w:pPr>
      <w:r w:rsidRPr="00A428C3">
        <w:t xml:space="preserve">? Chan-Yeung, M. (2003), Severe acute respiratory syndrome: A lesson in infectious disease. </w:t>
      </w:r>
      <w:r w:rsidRPr="00A428C3">
        <w:rPr>
          <w:i/>
          <w:iCs/>
        </w:rPr>
        <w:t>International Journal of Tuberculosis</w:t>
      </w:r>
      <w:r w:rsidR="00F81221">
        <w:rPr>
          <w:i/>
          <w:iCs/>
        </w:rPr>
        <w:t xml:space="preserve"> and </w:t>
      </w:r>
      <w:r w:rsidRPr="00A428C3">
        <w:rPr>
          <w:i/>
          <w:iCs/>
        </w:rPr>
        <w:t>Lung Disease</w:t>
      </w:r>
      <w:r w:rsidRPr="00A428C3">
        <w:t xml:space="preserve">, </w:t>
      </w:r>
      <w:r w:rsidRPr="00A428C3">
        <w:rPr>
          <w:b/>
        </w:rPr>
        <w:t>7</w:t>
      </w:r>
      <w:r w:rsidRPr="00A428C3">
        <w:t xml:space="preserve"> (5), 407-408.</w:t>
      </w:r>
    </w:p>
    <w:p w:rsidR="00715FFE" w:rsidRDefault="00715FFE" w:rsidP="00715FFE">
      <w:pPr>
        <w:pStyle w:val="a0"/>
        <w:rPr>
          <w:kern w:val="0"/>
        </w:rPr>
      </w:pPr>
      <w:r>
        <w:rPr>
          <w:rFonts w:hint="eastAsia"/>
          <w:kern w:val="0"/>
        </w:rPr>
        <w:t xml:space="preserve">? </w:t>
      </w:r>
      <w:r>
        <w:rPr>
          <w:kern w:val="0"/>
        </w:rPr>
        <w:t>Angeby, K.A.K., Hoffner, S.E.</w:t>
      </w:r>
      <w:r w:rsidR="00F81221">
        <w:rPr>
          <w:kern w:val="0"/>
        </w:rPr>
        <w:t xml:space="preserve"> and </w:t>
      </w:r>
      <w:r>
        <w:rPr>
          <w:kern w:val="0"/>
        </w:rPr>
        <w:t xml:space="preserve">Diwan, V.K. (2004), Should the </w:t>
      </w:r>
      <w:r w:rsidR="000352E7">
        <w:rPr>
          <w:kern w:val="0"/>
        </w:rPr>
        <w:t>‘</w:t>
      </w:r>
      <w:r>
        <w:rPr>
          <w:kern w:val="0"/>
        </w:rPr>
        <w:t>bleach microscopy method</w:t>
      </w:r>
      <w:r w:rsidR="000352E7">
        <w:rPr>
          <w:kern w:val="0"/>
        </w:rPr>
        <w:t>’</w:t>
      </w:r>
      <w:r>
        <w:rPr>
          <w:kern w:val="0"/>
        </w:rPr>
        <w:t xml:space="preserve"> be recommended for improved case detection of tuberculosis? Literature review</w:t>
      </w:r>
      <w:r w:rsidR="00F81221">
        <w:rPr>
          <w:kern w:val="0"/>
        </w:rPr>
        <w:t xml:space="preserve"> and </w:t>
      </w:r>
      <w:r>
        <w:rPr>
          <w:kern w:val="0"/>
        </w:rPr>
        <w:t xml:space="preserve">key person analysis. </w:t>
      </w:r>
      <w:r>
        <w:rPr>
          <w:i/>
          <w:iCs/>
          <w:kern w:val="0"/>
        </w:rPr>
        <w:t>International Journal of Tuberculosis</w:t>
      </w:r>
      <w:r w:rsidR="00F81221">
        <w:rPr>
          <w:i/>
          <w:iCs/>
          <w:kern w:val="0"/>
        </w:rPr>
        <w:t xml:space="preserve"> and </w:t>
      </w:r>
      <w:r>
        <w:rPr>
          <w:i/>
          <w:iCs/>
          <w:kern w:val="0"/>
        </w:rPr>
        <w:t>Lung Disease</w:t>
      </w:r>
      <w:r>
        <w:rPr>
          <w:kern w:val="0"/>
        </w:rPr>
        <w:t xml:space="preserve">, </w:t>
      </w:r>
      <w:r>
        <w:rPr>
          <w:b/>
          <w:bCs/>
          <w:kern w:val="0"/>
        </w:rPr>
        <w:t>8</w:t>
      </w:r>
      <w:r>
        <w:rPr>
          <w:kern w:val="0"/>
        </w:rPr>
        <w:t xml:space="preserve"> (7), 806-815.</w:t>
      </w:r>
    </w:p>
    <w:p w:rsidR="00715FFE" w:rsidRDefault="00715FFE" w:rsidP="00715FFE">
      <w:pPr>
        <w:pStyle w:val="a0"/>
        <w:rPr>
          <w:kern w:val="0"/>
        </w:rPr>
      </w:pPr>
      <w:r>
        <w:rPr>
          <w:kern w:val="0"/>
        </w:rPr>
        <w:t>Abstract: SETTING: it has been proposed that the sensitivity of direct sputum smear microscopy can be improved if sputum is liquefied with sodium hypochlorite (NaOCl or household bleach),</w:t>
      </w:r>
      <w:r w:rsidR="00F81221">
        <w:rPr>
          <w:kern w:val="0"/>
        </w:rPr>
        <w:t xml:space="preserve"> and </w:t>
      </w:r>
      <w:r>
        <w:rPr>
          <w:kern w:val="0"/>
        </w:rPr>
        <w:t>concentrated by centrifugation before acid-fast staining. OBJECTIVE: To summarise the results of the studies of the bleach method for improved sensitivity of sputum microscopy</w:t>
      </w:r>
      <w:r w:rsidR="00F81221">
        <w:rPr>
          <w:kern w:val="0"/>
        </w:rPr>
        <w:t xml:space="preserve"> and </w:t>
      </w:r>
      <w:r>
        <w:rPr>
          <w:kern w:val="0"/>
        </w:rPr>
        <w:t>to describe the opinions</w:t>
      </w:r>
      <w:r w:rsidR="00F81221">
        <w:rPr>
          <w:kern w:val="0"/>
        </w:rPr>
        <w:t xml:space="preserve"> and </w:t>
      </w:r>
      <w:r>
        <w:rPr>
          <w:kern w:val="0"/>
        </w:rPr>
        <w:t>knowledge of key persons in National Tuberculosis Control Programmes (NTPs) about this method. DESIGN: We searched MEDLINE, EMBASE</w:t>
      </w:r>
      <w:r w:rsidR="00F81221">
        <w:rPr>
          <w:kern w:val="0"/>
        </w:rPr>
        <w:t xml:space="preserve"> and </w:t>
      </w:r>
      <w:r>
        <w:rPr>
          <w:kern w:val="0"/>
        </w:rPr>
        <w:t>Web of Science for studies comparing the bleach method to direct sputum smear microscopy in low- or middle-income countries. Each study was assessed regarding methodology</w:t>
      </w:r>
      <w:r w:rsidR="00F81221">
        <w:rPr>
          <w:kern w:val="0"/>
        </w:rPr>
        <w:t xml:space="preserve"> and </w:t>
      </w:r>
      <w:r>
        <w:rPr>
          <w:kern w:val="0"/>
        </w:rPr>
        <w:t xml:space="preserve">field applicability. We also sent out questionnaires concerning the bleach method to key persons in NTPs in 85 countries. RESULTS: In 15 of the 19 studies identified there was a statistically significant improvement in the proportion of positive tests or sensitivity ranging from 7-253%. The majority (73%) of the key persons had heard of the bleach method. Forty-four per cent thought it could improve case detection in their countries, while 49% did not know; 93% of them would promote the bleach method; the most common reasons for doing so would be recommendations from the WHO or the IUATLD, or favourable studies performed in their own country. The bleach method was used routinely in only three countries. CONCLUSION: There is </w:t>
      </w:r>
      <w:r>
        <w:rPr>
          <w:kern w:val="0"/>
        </w:rPr>
        <w:lastRenderedPageBreak/>
        <w:t>enough evidence to recommend the evaluation</w:t>
      </w:r>
      <w:r w:rsidR="00F81221">
        <w:rPr>
          <w:kern w:val="0"/>
        </w:rPr>
        <w:t xml:space="preserve"> and </w:t>
      </w:r>
      <w:r>
        <w:rPr>
          <w:kern w:val="0"/>
        </w:rPr>
        <w:t>introduction of the bleach method in most settings where mycobacterial culture is not performed routinely.</w:t>
      </w:r>
    </w:p>
    <w:p w:rsidR="00715FFE" w:rsidRDefault="00715FFE" w:rsidP="00715FFE">
      <w:pPr>
        <w:pStyle w:val="a0"/>
        <w:rPr>
          <w:kern w:val="0"/>
        </w:rPr>
      </w:pPr>
      <w:r>
        <w:rPr>
          <w:kern w:val="0"/>
        </w:rPr>
        <w:t>Keywords: Acid-Fast Bacilli, Analysis, Culture, Design, Developing-Countries, Diagnosis, Diagnosis, Digestion, Embase, Evaluation, Improved Sensitivity, Knowledge, Literature Review, Methodology, Microscopy, Pulmonary Tuberculosis, Questionnaires, Review, Science, Sedimentation, Sodium Hypochlorite, Sputum, Sputum Smear Technique, Tuberculosis, Web of Science, Who</w:t>
      </w:r>
    </w:p>
    <w:p w:rsidR="00C7544D" w:rsidRDefault="00C7544D" w:rsidP="00C7544D">
      <w:pPr>
        <w:pStyle w:val="a0"/>
        <w:rPr>
          <w:kern w:val="0"/>
          <w:szCs w:val="24"/>
        </w:rPr>
      </w:pPr>
      <w:r>
        <w:rPr>
          <w:rFonts w:hint="eastAsia"/>
          <w:kern w:val="0"/>
          <w:szCs w:val="24"/>
        </w:rPr>
        <w:t xml:space="preserve">? </w:t>
      </w:r>
      <w:r>
        <w:rPr>
          <w:kern w:val="0"/>
          <w:szCs w:val="24"/>
        </w:rPr>
        <w:t>Ramos, J.M., Padilla, S., Masia, M.</w:t>
      </w:r>
      <w:r w:rsidR="00F81221">
        <w:rPr>
          <w:kern w:val="0"/>
          <w:szCs w:val="24"/>
        </w:rPr>
        <w:t xml:space="preserve"> and </w:t>
      </w:r>
      <w:r>
        <w:rPr>
          <w:kern w:val="0"/>
          <w:szCs w:val="24"/>
        </w:rPr>
        <w:t xml:space="preserve">Gutierrez, F. (2008), A bibliometric analysis of tuberculosis research indexed in PubMed, 1997-2006. </w:t>
      </w:r>
      <w:r>
        <w:rPr>
          <w:i/>
          <w:iCs/>
          <w:kern w:val="0"/>
          <w:szCs w:val="24"/>
        </w:rPr>
        <w:t>International Journal of Tuberculosis</w:t>
      </w:r>
      <w:r w:rsidR="00F81221">
        <w:rPr>
          <w:i/>
          <w:iCs/>
          <w:kern w:val="0"/>
          <w:szCs w:val="24"/>
        </w:rPr>
        <w:t xml:space="preserve"> and </w:t>
      </w:r>
      <w:r>
        <w:rPr>
          <w:i/>
          <w:iCs/>
          <w:kern w:val="0"/>
          <w:szCs w:val="24"/>
        </w:rPr>
        <w:t>Lung Disease</w:t>
      </w:r>
      <w:r>
        <w:rPr>
          <w:kern w:val="0"/>
          <w:szCs w:val="24"/>
        </w:rPr>
        <w:t xml:space="preserve">, </w:t>
      </w:r>
      <w:r>
        <w:rPr>
          <w:b/>
          <w:bCs/>
          <w:kern w:val="0"/>
          <w:szCs w:val="24"/>
        </w:rPr>
        <w:t>12</w:t>
      </w:r>
      <w:r>
        <w:rPr>
          <w:kern w:val="0"/>
          <w:szCs w:val="24"/>
        </w:rPr>
        <w:t xml:space="preserve"> (12), 1461-1468.</w:t>
      </w:r>
    </w:p>
    <w:p w:rsidR="00C7544D" w:rsidRDefault="00C7544D" w:rsidP="00C7544D">
      <w:pPr>
        <w:pStyle w:val="a0"/>
        <w:rPr>
          <w:kern w:val="0"/>
          <w:szCs w:val="24"/>
        </w:rPr>
      </w:pPr>
      <w:r>
        <w:rPr>
          <w:kern w:val="0"/>
          <w:szCs w:val="24"/>
        </w:rPr>
        <w:t>Abstract: OBJECTIVE: To describe a bibliometric review of the literature oil tuberculosis (TB)) research indexed in PubMed over a 10-year period. METHODS: Medline was used via the PubMed online service of the US National Library of Medicine from 1997 to 2006. The search strategy was: [(tuberculosis) OR (tuberculosis) In all fields]. RESULTS: A total of 35735 references were located. The average annual growth rate was +4.7%. The articles were published in 2874 scientific journals. Sixteen journals contained 25% of the TB journal literature. The main journal was the International Journal of Tuberculosis</w:t>
      </w:r>
      <w:r w:rsidR="00F81221">
        <w:rPr>
          <w:kern w:val="0"/>
          <w:szCs w:val="24"/>
        </w:rPr>
        <w:t xml:space="preserve"> and </w:t>
      </w:r>
      <w:r>
        <w:rPr>
          <w:kern w:val="0"/>
          <w:szCs w:val="24"/>
        </w:rPr>
        <w:t>Lung Disease. Western Europe was the most productive region, with 31.1% of the articles. The USA ranked second (21%)and Asia third (19.9%). The USA is the predominant country, followed by India Japan</w:t>
      </w:r>
      <w:r w:rsidR="00F81221">
        <w:rPr>
          <w:kern w:val="0"/>
          <w:szCs w:val="24"/>
        </w:rPr>
        <w:t xml:space="preserve"> and </w:t>
      </w:r>
      <w:r>
        <w:rPr>
          <w:kern w:val="0"/>
          <w:szCs w:val="24"/>
        </w:rPr>
        <w:t>the United Kingdom. When normalised by population, the order of prominence is Switzerland, New Zealand</w:t>
      </w:r>
      <w:r w:rsidR="00F81221">
        <w:rPr>
          <w:kern w:val="0"/>
          <w:szCs w:val="24"/>
        </w:rPr>
        <w:t xml:space="preserve"> and </w:t>
      </w:r>
      <w:r>
        <w:rPr>
          <w:kern w:val="0"/>
          <w:szCs w:val="24"/>
        </w:rPr>
        <w:t>Denmark. Normalised by GDP, Gambia, Malawi</w:t>
      </w:r>
      <w:r w:rsidR="00F81221">
        <w:rPr>
          <w:kern w:val="0"/>
          <w:szCs w:val="24"/>
        </w:rPr>
        <w:t xml:space="preserve"> and </w:t>
      </w:r>
      <w:r>
        <w:rPr>
          <w:kern w:val="0"/>
          <w:szCs w:val="24"/>
        </w:rPr>
        <w:t>Guinea-Bissau were the most productive countries. Normalised by estimated number of TB cases, Iceland, Switzerland</w:t>
      </w:r>
      <w:r w:rsidR="00F81221">
        <w:rPr>
          <w:kern w:val="0"/>
          <w:szCs w:val="24"/>
        </w:rPr>
        <w:t xml:space="preserve"> and </w:t>
      </w:r>
      <w:r>
        <w:rPr>
          <w:kern w:val="0"/>
          <w:szCs w:val="24"/>
        </w:rPr>
        <w:t>Norway were in leading positions. CONCLUSIONS: There was increasing research activity in the field of TB during the period 1997-2006. The countries with more estimated cases of TB produced less research in TB than industrialised countries.</w:t>
      </w:r>
    </w:p>
    <w:p w:rsidR="00C7544D" w:rsidRDefault="00C7544D" w:rsidP="00C7544D">
      <w:pPr>
        <w:pStyle w:val="a0"/>
        <w:rPr>
          <w:kern w:val="0"/>
          <w:szCs w:val="24"/>
        </w:rPr>
      </w:pPr>
      <w:r>
        <w:rPr>
          <w:kern w:val="0"/>
          <w:szCs w:val="24"/>
        </w:rPr>
        <w:t>Keywords: Activity, Analysis, Asia, Bibliometric, Bibliometric Analysis, Bibliometry, Cases, Country, Denmark, Europe, European-Union, Field, Geography, Growth, Growth Rate, Health Research, Iceland, Impact, India, Japan, Journal, Journals, Literature, Literature Review, Malawi, Methods, New Zealand, Norway, Parasitology, Population, Publications, PUBMED, References, Research, Research Productivity, Results, Review, Scientific Journals, Search, Search Strategy, Service, Strategy, Switzerland, Trends, Tuberculosis, United Kingdom, US, USA, Western Europe, Western-Europe</w:t>
      </w:r>
    </w:p>
    <w:p w:rsidR="00192E95" w:rsidRPr="00217FB1" w:rsidRDefault="00192E95" w:rsidP="00192E95">
      <w:pPr>
        <w:pStyle w:val="1"/>
      </w:pPr>
      <w:r w:rsidRPr="00217FB1">
        <w:br w:type="page"/>
      </w:r>
      <w:bookmarkStart w:id="1536" w:name="_Toc317161386"/>
      <w:r w:rsidRPr="00217FB1">
        <w:lastRenderedPageBreak/>
        <w:t xml:space="preserve">Title: </w:t>
      </w:r>
      <w:r w:rsidRPr="005C18D7">
        <w:t>International Journal of Uncertainty Fuzziness</w:t>
      </w:r>
      <w:r w:rsidR="00F81221">
        <w:t xml:space="preserve"> and </w:t>
      </w:r>
      <w:r w:rsidRPr="005C18D7">
        <w:t>Knowledge-Based Systems</w:t>
      </w:r>
      <w:bookmarkEnd w:id="1536"/>
    </w:p>
    <w:p w:rsidR="00192E95" w:rsidRDefault="00192E95" w:rsidP="00B72EF9">
      <w:pPr>
        <w:pStyle w:val="12"/>
      </w:pPr>
      <w:r w:rsidRPr="00217FB1">
        <w:t xml:space="preserve">Full Journal Title: </w:t>
      </w:r>
      <w:r w:rsidRPr="005C18D7">
        <w:t>International Journal of Uncertainty Fuzziness</w:t>
      </w:r>
      <w:r w:rsidR="00F81221">
        <w:t xml:space="preserve"> and </w:t>
      </w:r>
      <w:r w:rsidRPr="005C18D7">
        <w:t>Knowledge-Based Systems</w:t>
      </w:r>
    </w:p>
    <w:p w:rsidR="00192E95" w:rsidRDefault="00192E95" w:rsidP="00B72EF9">
      <w:pPr>
        <w:pStyle w:val="12"/>
      </w:pPr>
      <w:r w:rsidRPr="00217FB1">
        <w:t xml:space="preserve">ISO Abbreviated Title: </w:t>
      </w:r>
    </w:p>
    <w:p w:rsidR="00192E95" w:rsidRPr="00217FB1" w:rsidRDefault="00192E95" w:rsidP="00B72EF9">
      <w:pPr>
        <w:pStyle w:val="12"/>
      </w:pPr>
      <w:r w:rsidRPr="00217FB1">
        <w:t>JCR Abbreviated Title</w:t>
      </w:r>
      <w:r>
        <w:t>:</w:t>
      </w:r>
      <w:r w:rsidRPr="00217FB1">
        <w:t xml:space="preserve"> </w:t>
      </w:r>
    </w:p>
    <w:p w:rsidR="00192E95" w:rsidRPr="00217FB1" w:rsidRDefault="00192E95" w:rsidP="00B72EF9">
      <w:pPr>
        <w:pStyle w:val="12"/>
      </w:pPr>
      <w:r w:rsidRPr="00217FB1">
        <w:t xml:space="preserve">ISSN: </w:t>
      </w:r>
    </w:p>
    <w:p w:rsidR="00192E95" w:rsidRPr="00217FB1" w:rsidRDefault="00192E95" w:rsidP="00B72EF9">
      <w:pPr>
        <w:pStyle w:val="12"/>
      </w:pPr>
      <w:r w:rsidRPr="00217FB1">
        <w:t xml:space="preserve">Issues/Year: </w:t>
      </w:r>
    </w:p>
    <w:p w:rsidR="00192E95" w:rsidRPr="00217FB1" w:rsidRDefault="00192E95" w:rsidP="00B72EF9">
      <w:pPr>
        <w:pStyle w:val="12"/>
      </w:pPr>
      <w:r>
        <w:t>Journal Country/Territory:</w:t>
      </w:r>
    </w:p>
    <w:p w:rsidR="00192E95" w:rsidRPr="00217FB1" w:rsidRDefault="00192E95" w:rsidP="00B72EF9">
      <w:pPr>
        <w:pStyle w:val="12"/>
      </w:pPr>
      <w:r w:rsidRPr="00217FB1">
        <w:t xml:space="preserve">Language: </w:t>
      </w:r>
    </w:p>
    <w:p w:rsidR="00192E95" w:rsidRPr="00217FB1" w:rsidRDefault="00192E95" w:rsidP="00B72EF9">
      <w:pPr>
        <w:pStyle w:val="12"/>
      </w:pPr>
      <w:r w:rsidRPr="00217FB1">
        <w:t xml:space="preserve">Publisher: </w:t>
      </w:r>
    </w:p>
    <w:p w:rsidR="00192E95" w:rsidRPr="00217FB1" w:rsidRDefault="00192E95" w:rsidP="00B72EF9">
      <w:pPr>
        <w:pStyle w:val="12"/>
      </w:pPr>
      <w:r w:rsidRPr="00217FB1">
        <w:t xml:space="preserve">Publisher Address: </w:t>
      </w:r>
    </w:p>
    <w:p w:rsidR="00192E95" w:rsidRPr="00217FB1" w:rsidRDefault="00192E95" w:rsidP="00B72EF9">
      <w:pPr>
        <w:pStyle w:val="12"/>
      </w:pPr>
      <w:r w:rsidRPr="00217FB1">
        <w:t>Subject Categories:</w:t>
      </w:r>
    </w:p>
    <w:p w:rsidR="00192E95" w:rsidRPr="00217FB1" w:rsidRDefault="00192E95" w:rsidP="00B72EF9">
      <w:pPr>
        <w:pStyle w:val="12"/>
      </w:pPr>
      <w:r w:rsidRPr="00217FB1">
        <w:t>Impact Factor</w:t>
      </w:r>
    </w:p>
    <w:p w:rsidR="00192E95" w:rsidRDefault="00192E95" w:rsidP="00192E95">
      <w:pPr>
        <w:pStyle w:val="a0"/>
        <w:rPr>
          <w:kern w:val="0"/>
          <w:szCs w:val="24"/>
        </w:rPr>
      </w:pPr>
      <w:r>
        <w:rPr>
          <w:rFonts w:hint="eastAsia"/>
          <w:kern w:val="0"/>
          <w:szCs w:val="24"/>
        </w:rPr>
        <w:t xml:space="preserve">? </w:t>
      </w:r>
      <w:r>
        <w:rPr>
          <w:kern w:val="0"/>
          <w:szCs w:val="24"/>
        </w:rPr>
        <w:t>Van Eck, N.J.</w:t>
      </w:r>
      <w:r w:rsidR="00F81221">
        <w:rPr>
          <w:kern w:val="0"/>
          <w:szCs w:val="24"/>
        </w:rPr>
        <w:t xml:space="preserve"> and </w:t>
      </w:r>
      <w:r>
        <w:rPr>
          <w:kern w:val="0"/>
          <w:szCs w:val="24"/>
        </w:rPr>
        <w:t xml:space="preserve">Waltman, L. (2007), Bibliometric mapping of the computational intelligence field. </w:t>
      </w:r>
      <w:r>
        <w:rPr>
          <w:i/>
          <w:iCs/>
          <w:kern w:val="0"/>
          <w:szCs w:val="24"/>
        </w:rPr>
        <w:t>International Journal of Uncertainty Fuzziness</w:t>
      </w:r>
      <w:r w:rsidR="00F81221">
        <w:rPr>
          <w:i/>
          <w:iCs/>
          <w:kern w:val="0"/>
          <w:szCs w:val="24"/>
        </w:rPr>
        <w:t xml:space="preserve"> and </w:t>
      </w:r>
      <w:r>
        <w:rPr>
          <w:i/>
          <w:iCs/>
          <w:kern w:val="0"/>
          <w:szCs w:val="24"/>
        </w:rPr>
        <w:t>Knowledge-Based Systems</w:t>
      </w:r>
      <w:r>
        <w:rPr>
          <w:kern w:val="0"/>
          <w:szCs w:val="24"/>
        </w:rPr>
        <w:t xml:space="preserve">, </w:t>
      </w:r>
      <w:r>
        <w:rPr>
          <w:b/>
          <w:bCs/>
          <w:kern w:val="0"/>
          <w:szCs w:val="24"/>
        </w:rPr>
        <w:t>15</w:t>
      </w:r>
      <w:r>
        <w:rPr>
          <w:kern w:val="0"/>
          <w:szCs w:val="24"/>
        </w:rPr>
        <w:t xml:space="preserve"> (5), 625-645.</w:t>
      </w:r>
    </w:p>
    <w:p w:rsidR="00192E95" w:rsidRDefault="00192E95" w:rsidP="00192E95">
      <w:pPr>
        <w:pStyle w:val="a0"/>
        <w:rPr>
          <w:kern w:val="0"/>
          <w:szCs w:val="24"/>
        </w:rPr>
      </w:pPr>
      <w:r>
        <w:rPr>
          <w:kern w:val="0"/>
          <w:szCs w:val="24"/>
        </w:rPr>
        <w:t>Abstract: In this paper, a bibliometric study of the computational intelligence field is presented. Bibliometric maps showing the associations between the main concepts in the field are provided for the periods 1996-2000</w:t>
      </w:r>
      <w:r w:rsidR="00F81221">
        <w:rPr>
          <w:kern w:val="0"/>
          <w:szCs w:val="24"/>
        </w:rPr>
        <w:t xml:space="preserve"> and </w:t>
      </w:r>
      <w:r>
        <w:rPr>
          <w:kern w:val="0"/>
          <w:szCs w:val="24"/>
        </w:rPr>
        <w:t>2001-2005. Both the current structure of the field</w:t>
      </w:r>
      <w:r w:rsidR="00F81221">
        <w:rPr>
          <w:kern w:val="0"/>
          <w:szCs w:val="24"/>
        </w:rPr>
        <w:t xml:space="preserve"> and </w:t>
      </w:r>
      <w:r>
        <w:rPr>
          <w:kern w:val="0"/>
          <w:szCs w:val="24"/>
        </w:rPr>
        <w:t>the evolution of the field over the last decade are analyzed. In addition, a number of emerging areas in the fild are identified. It turns out that the computational intelligence can best be seen as a field that is structured around four important types of problems, namely control problems, classification problems, regression problemsm</w:t>
      </w:r>
      <w:r w:rsidR="00F81221">
        <w:rPr>
          <w:kern w:val="0"/>
          <w:szCs w:val="24"/>
        </w:rPr>
        <w:t xml:space="preserve"> and </w:t>
      </w:r>
      <w:r>
        <w:rPr>
          <w:kern w:val="0"/>
          <w:szCs w:val="24"/>
        </w:rPr>
        <w:t>optimization problems. Within the computational intelligence field, the neural networks</w:t>
      </w:r>
      <w:r w:rsidR="00F81221">
        <w:rPr>
          <w:kern w:val="0"/>
          <w:szCs w:val="24"/>
        </w:rPr>
        <w:t xml:space="preserve"> and </w:t>
      </w:r>
      <w:r>
        <w:rPr>
          <w:kern w:val="0"/>
          <w:szCs w:val="24"/>
        </w:rPr>
        <w:t>fuzzy systems sudfields are fairly intertwined, whereas the evolutionary computation subfield has a relatively independent postion.</w:t>
      </w:r>
    </w:p>
    <w:p w:rsidR="00192E95" w:rsidRDefault="00192E95" w:rsidP="00192E95">
      <w:pPr>
        <w:pStyle w:val="a0"/>
        <w:rPr>
          <w:kern w:val="0"/>
          <w:szCs w:val="24"/>
        </w:rPr>
      </w:pPr>
      <w:r>
        <w:rPr>
          <w:kern w:val="0"/>
          <w:szCs w:val="24"/>
        </w:rPr>
        <w:t>Keywords: Bibliometric, Bibliometric Mapping, Bibliometric Study, Bibliometrics, Classification, Computational Intelligence, Discipline, Evolutionary Computation, Fuzzy Systems, Intelligence, Jackknife, Maps, Neural Networks, Neural-Network Research, Science</w:t>
      </w:r>
    </w:p>
    <w:p w:rsidR="00B95188" w:rsidRPr="00A428C3" w:rsidRDefault="00192E95" w:rsidP="00192E95">
      <w:pPr>
        <w:pStyle w:val="1"/>
      </w:pPr>
      <w:r w:rsidRPr="00217FB1">
        <w:br w:type="page"/>
      </w:r>
      <w:bookmarkStart w:id="1537" w:name="_Toc186647968"/>
      <w:bookmarkStart w:id="1538" w:name="_Toc317161387"/>
      <w:r w:rsidR="00B95188" w:rsidRPr="00A428C3">
        <w:lastRenderedPageBreak/>
        <w:t>Title: International Journal of Urban</w:t>
      </w:r>
      <w:r w:rsidR="00F81221">
        <w:t xml:space="preserve"> and </w:t>
      </w:r>
      <w:r w:rsidR="00B95188" w:rsidRPr="00A428C3">
        <w:t>Regional Research</w:t>
      </w:r>
      <w:bookmarkEnd w:id="1537"/>
      <w:bookmarkEnd w:id="1538"/>
    </w:p>
    <w:p w:rsidR="00B95188" w:rsidRPr="00A428C3" w:rsidRDefault="00B95188" w:rsidP="00B72EF9">
      <w:pPr>
        <w:pStyle w:val="12"/>
      </w:pPr>
      <w:r w:rsidRPr="00A428C3">
        <w:t xml:space="preserve">Full Journal Title: </w:t>
      </w:r>
      <w:hyperlink r:id="rId2088" w:history="1">
        <w:r w:rsidRPr="00A428C3">
          <w:rPr>
            <w:rStyle w:val="a5"/>
          </w:rPr>
          <w:t>International Journal of Urban</w:t>
        </w:r>
        <w:r w:rsidR="00F81221">
          <w:rPr>
            <w:rStyle w:val="a5"/>
          </w:rPr>
          <w:t xml:space="preserve"> and </w:t>
        </w:r>
        <w:r w:rsidRPr="00A428C3">
          <w:rPr>
            <w:rStyle w:val="a5"/>
          </w:rPr>
          <w:t>Regional Research</w:t>
        </w:r>
      </w:hyperlink>
    </w:p>
    <w:p w:rsidR="00B95188" w:rsidRPr="00A428C3" w:rsidRDefault="00B95188" w:rsidP="00B72EF9">
      <w:pPr>
        <w:pStyle w:val="12"/>
      </w:pPr>
      <w:r w:rsidRPr="00A428C3">
        <w:t>ISO Abbreviated Title: Int. J. Urban Regional</w:t>
      </w:r>
    </w:p>
    <w:p w:rsidR="00B95188" w:rsidRPr="00A428C3" w:rsidRDefault="00B95188" w:rsidP="00B72EF9">
      <w:pPr>
        <w:pStyle w:val="12"/>
      </w:pPr>
      <w:r w:rsidRPr="00A428C3">
        <w:t>JCR Abbreviated Title: Int J Urban Regional</w:t>
      </w:r>
    </w:p>
    <w:p w:rsidR="00B95188" w:rsidRPr="00A428C3" w:rsidRDefault="00B95188" w:rsidP="00B72EF9">
      <w:pPr>
        <w:pStyle w:val="12"/>
      </w:pPr>
      <w:r w:rsidRPr="00A428C3">
        <w:t>ISSN: 0309-1317</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Blackwell Publ Ltd, </w:t>
      </w:r>
      <w:smartTag w:uri="urn:schemas-microsoft-com:office:smarttags" w:element="place">
        <w:smartTag w:uri="urn:schemas-microsoft-com:office:smarttags" w:element="City">
          <w:r w:rsidRPr="00A428C3">
            <w:t>Oxford</w:t>
          </w:r>
        </w:smartTag>
      </w:smartTag>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smartTag w:uri="urn:schemas-microsoft-com:office:smarttags" w:element="place">
        <w:smartTag w:uri="urn:schemas-microsoft-com:office:smarttags" w:element="City">
          <w:r w:rsidRPr="00A428C3">
            <w:t>Findlay</w:t>
          </w:r>
        </w:smartTag>
      </w:smartTag>
      <w:r w:rsidRPr="00A428C3">
        <w:t>, A.M., Jones, H.</w:t>
      </w:r>
      <w:r w:rsidR="00F81221">
        <w:t xml:space="preserve"> and </w:t>
      </w:r>
      <w:r w:rsidRPr="00A428C3">
        <w:t xml:space="preserve">Davidson, G.M. (1998), Migration transition or migration transformation in the Asian dragon economies? </w:t>
      </w:r>
      <w:r w:rsidRPr="00A428C3">
        <w:rPr>
          <w:i/>
          <w:iCs/>
        </w:rPr>
        <w:t>International Journal of Urban</w:t>
      </w:r>
      <w:r w:rsidR="00F81221">
        <w:rPr>
          <w:i/>
          <w:iCs/>
        </w:rPr>
        <w:t xml:space="preserve"> and </w:t>
      </w:r>
      <w:r w:rsidRPr="00A428C3">
        <w:rPr>
          <w:i/>
          <w:iCs/>
        </w:rPr>
        <w:t>Regional Research</w:t>
      </w:r>
      <w:r w:rsidRPr="00A428C3">
        <w:t xml:space="preserve">, </w:t>
      </w:r>
      <w:r w:rsidRPr="00A428C3">
        <w:rPr>
          <w:b/>
        </w:rPr>
        <w:t>22</w:t>
      </w:r>
      <w:r w:rsidRPr="00A428C3">
        <w:t xml:space="preserve"> (4), 643-663.</w:t>
      </w:r>
    </w:p>
    <w:p w:rsidR="00B95188" w:rsidRPr="00A428C3" w:rsidRDefault="00B95188" w:rsidP="00B95188">
      <w:pPr>
        <w:pStyle w:val="a0"/>
      </w:pPr>
      <w:r w:rsidRPr="00A428C3">
        <w:t xml:space="preserve">Full Text: </w:t>
      </w:r>
      <w:hyperlink r:id="rId2089" w:history="1">
        <w:r w:rsidRPr="00A428C3">
          <w:rPr>
            <w:rStyle w:val="a5"/>
          </w:rPr>
          <w:t>I\Int J Urb Reg Res22, 643.pdf</w:t>
        </w:r>
      </w:hyperlink>
    </w:p>
    <w:p w:rsidR="00B95188" w:rsidRPr="00A428C3" w:rsidRDefault="00B95188" w:rsidP="00B95188">
      <w:pPr>
        <w:pStyle w:val="a0"/>
      </w:pPr>
      <w:r w:rsidRPr="00A428C3">
        <w:t xml:space="preserve">Abstract: There has been a marked tendency to interpret the recent transformation of international migration systems in </w:t>
      </w:r>
      <w:smartTag w:uri="urn:schemas-microsoft-com:office:smarttags" w:element="place">
        <w:r w:rsidRPr="00A428C3">
          <w:t>Eastern Asia</w:t>
        </w:r>
      </w:smartTag>
      <w:r w:rsidRPr="00A428C3">
        <w:t xml:space="preserve"> in terms of a </w:t>
      </w:r>
      <w:r w:rsidR="000352E7">
        <w:t>‘</w:t>
      </w:r>
      <w:r w:rsidRPr="00A428C3">
        <w:t>migration transition</w:t>
      </w:r>
      <w:r w:rsidR="000352E7">
        <w:t>’</w:t>
      </w:r>
      <w:r w:rsidRPr="00A428C3">
        <w:t xml:space="preserve"> model. The transition in these countries from net emigration to net immigration, with major inflows from poorer adjacent countries, is seen as being driven by an intricate regional pattern of uneven development but growing economic integration. This paper challenges this view through an examination of the trade, investment</w:t>
      </w:r>
      <w:r w:rsidR="00F81221">
        <w:t xml:space="preserve"> and </w:t>
      </w:r>
      <w:r w:rsidRPr="00A428C3">
        <w:t>migration linkages of the region</w:t>
      </w:r>
      <w:r w:rsidR="000352E7">
        <w:t>’</w:t>
      </w:r>
      <w:r w:rsidRPr="00A428C3">
        <w:t xml:space="preserve">s four dragon economies (Hong Kong, </w:t>
      </w:r>
      <w:smartTag w:uri="urn:schemas-microsoft-com:office:smarttags" w:element="country-region">
        <w:r w:rsidRPr="00A428C3">
          <w:t>Singapore</w:t>
        </w:r>
      </w:smartTag>
      <w:r w:rsidRPr="00A428C3">
        <w:t>, South Korea</w:t>
      </w:r>
      <w:r w:rsidR="00F81221">
        <w:t xml:space="preserve"> and </w:t>
      </w:r>
      <w:r w:rsidRPr="00A428C3">
        <w:t>Taiwan). It argues that the key influences on their international migration streams reflect, above all, the functions of these states as second-order, global city regions. Their place in the global capitalist system creates a shared demand for very particular types of both highly skilled</w:t>
      </w:r>
      <w:r w:rsidR="00F81221">
        <w:t xml:space="preserve"> and </w:t>
      </w:r>
      <w:r w:rsidRPr="00A428C3">
        <w:t>unskilled labour, but the migration policies of the four states are independently,</w:t>
      </w:r>
      <w:r w:rsidR="00F81221">
        <w:t xml:space="preserve"> and </w:t>
      </w:r>
      <w:r w:rsidRPr="00A428C3">
        <w:t>therefore distinctively, socially constructed.</w:t>
      </w:r>
    </w:p>
    <w:p w:rsidR="00B95188" w:rsidRPr="00A428C3" w:rsidRDefault="00B95188" w:rsidP="00B95188">
      <w:pPr>
        <w:pStyle w:val="a0"/>
      </w:pPr>
      <w:r w:rsidRPr="00A428C3">
        <w:t>Keywords: World</w:t>
      </w:r>
    </w:p>
    <w:p w:rsidR="00B95188" w:rsidRPr="00A428C3" w:rsidRDefault="00B95188" w:rsidP="00B95188">
      <w:pPr>
        <w:pStyle w:val="1"/>
      </w:pPr>
      <w:r w:rsidRPr="00A428C3">
        <w:br w:type="page"/>
      </w:r>
      <w:bookmarkStart w:id="1539" w:name="_Toc186647969"/>
      <w:bookmarkStart w:id="1540" w:name="_Toc317161388"/>
      <w:r w:rsidRPr="00A428C3">
        <w:lastRenderedPageBreak/>
        <w:t>Title: International Journal of Water</w:t>
      </w:r>
      <w:bookmarkEnd w:id="1539"/>
      <w:bookmarkEnd w:id="1540"/>
    </w:p>
    <w:p w:rsidR="00B95188" w:rsidRPr="00A428C3" w:rsidRDefault="00B95188" w:rsidP="00B72EF9">
      <w:pPr>
        <w:pStyle w:val="12"/>
      </w:pPr>
      <w:r w:rsidRPr="00A428C3">
        <w:t xml:space="preserve">Full Journal Title: </w:t>
      </w:r>
      <w:hyperlink r:id="rId2090" w:history="1">
        <w:r w:rsidRPr="00A428C3">
          <w:rPr>
            <w:rStyle w:val="a5"/>
          </w:rPr>
          <w:t>International Journal of Water</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Balkaya</w:t>
      </w:r>
      <w:r w:rsidRPr="00A428C3">
        <w:rPr>
          <w:rFonts w:eastAsia="Arial Unicode MS"/>
        </w:rPr>
        <w:t>, N.</w:t>
      </w:r>
      <w:r w:rsidRPr="00A428C3">
        <w:t xml:space="preserve"> (2002), Pesticide removal from wastewater. </w:t>
      </w:r>
      <w:r w:rsidRPr="00A428C3">
        <w:rPr>
          <w:i/>
          <w:iCs/>
        </w:rPr>
        <w:t>International Journal of Water</w:t>
      </w:r>
      <w:r w:rsidRPr="00A428C3">
        <w:t xml:space="preserve">, </w:t>
      </w:r>
      <w:r w:rsidRPr="00A428C3">
        <w:rPr>
          <w:b/>
        </w:rPr>
        <w:t>2</w:t>
      </w:r>
      <w:r w:rsidRPr="00A428C3">
        <w:t xml:space="preserve"> (2-3), 212-219.</w:t>
      </w:r>
    </w:p>
    <w:p w:rsidR="00B95188" w:rsidRPr="00A428C3" w:rsidRDefault="00B95188" w:rsidP="00B95188">
      <w:pPr>
        <w:pStyle w:val="a0"/>
      </w:pPr>
      <w:r w:rsidRPr="00A428C3">
        <w:t>Full Text: Int J Env Watl2, 212</w:t>
      </w:r>
    </w:p>
    <w:p w:rsidR="00B95188" w:rsidRPr="00A428C3" w:rsidRDefault="00B95188" w:rsidP="00B95188">
      <w:pPr>
        <w:pStyle w:val="a0"/>
        <w:rPr>
          <w:rFonts w:eastAsia="Arial Unicode MS"/>
        </w:rPr>
      </w:pPr>
      <w:r w:rsidRPr="00A428C3">
        <w:t xml:space="preserve">Abstract: In this study, the removal of 2,2 – dichlorovinyl – o,o – dimethyl phosphate (DDVP) from wastewater by adsorption was carried out. DDVP is an organophosphorus insecticide widely used in agriculture in </w:t>
      </w:r>
      <w:smartTag w:uri="urn:schemas-microsoft-com:office:smarttags" w:element="place">
        <w:smartTag w:uri="urn:schemas-microsoft-com:office:smarttags" w:element="country-region">
          <w:r w:rsidRPr="00A428C3">
            <w:t>Turkey</w:t>
          </w:r>
        </w:smartTag>
      </w:smartTag>
      <w:r w:rsidRPr="00A428C3">
        <w:t>. Adsorbents used in the study were agricultural waste straw, wood chips</w:t>
      </w:r>
      <w:r w:rsidR="00F81221">
        <w:t xml:space="preserve"> and </w:t>
      </w:r>
      <w:r w:rsidRPr="00A428C3">
        <w:t>ground corncobs. Adsorption of DDVP onto these materials from wastewater was evaluated by using a batch system. Optimum experimental conditions such as optimum adsorbent dose</w:t>
      </w:r>
      <w:r w:rsidR="00F81221">
        <w:t xml:space="preserve"> and </w:t>
      </w:r>
      <w:r w:rsidRPr="00A428C3">
        <w:t>contact time were investigated. Straw, wood chip</w:t>
      </w:r>
      <w:r w:rsidR="00F81221">
        <w:t xml:space="preserve"> and </w:t>
      </w:r>
      <w:r w:rsidRPr="00A428C3">
        <w:t>ground corncob were compared with each other for their ability to remove DDVP. As a result, it was concluded that these materials can be used for DDVP removal from wastewater.</w:t>
      </w:r>
    </w:p>
    <w:p w:rsidR="00B95188" w:rsidRPr="00A428C3" w:rsidRDefault="00B95188" w:rsidP="00B95188">
      <w:pPr>
        <w:pStyle w:val="a0"/>
        <w:rPr>
          <w:rFonts w:eastAsia="Arial Unicode MS"/>
        </w:rPr>
      </w:pPr>
      <w:r w:rsidRPr="00A428C3">
        <w:t>Keywords: DDVP Removal, Adsorption, Wastewater, Straw, Wood Chips, Ground Corncobs, Pesticides, Pesticide Removal</w:t>
      </w:r>
    </w:p>
    <w:p w:rsidR="00B95188" w:rsidRPr="00A428C3" w:rsidRDefault="00B95188" w:rsidP="00B95188">
      <w:pPr>
        <w:pStyle w:val="1"/>
      </w:pPr>
      <w:r w:rsidRPr="00A428C3">
        <w:br w:type="page"/>
      </w:r>
      <w:bookmarkStart w:id="1541" w:name="_Toc186647970"/>
      <w:bookmarkStart w:id="1542" w:name="_Toc317161389"/>
      <w:r w:rsidRPr="00A428C3">
        <w:lastRenderedPageBreak/>
        <w:t>Title: International Library Review</w:t>
      </w:r>
      <w:bookmarkEnd w:id="1541"/>
      <w:bookmarkEnd w:id="1542"/>
    </w:p>
    <w:p w:rsidR="00B95188" w:rsidRPr="00A428C3" w:rsidRDefault="00B95188" w:rsidP="00B72EF9">
      <w:pPr>
        <w:pStyle w:val="12"/>
      </w:pPr>
      <w:r w:rsidRPr="00A428C3">
        <w:t xml:space="preserve">Continued as </w:t>
      </w:r>
      <w:hyperlink r:id="rId2091" w:history="1">
        <w:r w:rsidRPr="00A428C3">
          <w:rPr>
            <w:rStyle w:val="a5"/>
          </w:rPr>
          <w:t>The International Information &amp; Library Review</w:t>
        </w:r>
      </w:hyperlink>
    </w:p>
    <w:p w:rsidR="00B95188" w:rsidRPr="00A428C3" w:rsidRDefault="00B95188" w:rsidP="00B72EF9">
      <w:pPr>
        <w:pStyle w:val="12"/>
      </w:pPr>
      <w:r w:rsidRPr="00A428C3">
        <w:t xml:space="preserve">Full Journal Title: </w:t>
      </w:r>
      <w:hyperlink r:id="rId2092" w:history="1">
        <w:r w:rsidRPr="00A428C3">
          <w:rPr>
            <w:rStyle w:val="a5"/>
          </w:rPr>
          <w:t>International Library Review</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192E95" w:rsidRDefault="00192E95" w:rsidP="00192E95">
      <w:pPr>
        <w:pStyle w:val="a0"/>
        <w:rPr>
          <w:kern w:val="0"/>
          <w:szCs w:val="24"/>
        </w:rPr>
      </w:pPr>
      <w:r>
        <w:rPr>
          <w:rFonts w:hint="eastAsia"/>
          <w:kern w:val="0"/>
          <w:szCs w:val="24"/>
        </w:rPr>
        <w:t xml:space="preserve">? </w:t>
      </w:r>
      <w:r>
        <w:rPr>
          <w:kern w:val="0"/>
          <w:szCs w:val="24"/>
        </w:rPr>
        <w:t xml:space="preserve">Adeniran, O.R. (1988), Bibliometrics of computer-science literature in Nigeria. </w:t>
      </w:r>
      <w:r>
        <w:rPr>
          <w:i/>
          <w:iCs/>
          <w:kern w:val="0"/>
          <w:szCs w:val="24"/>
        </w:rPr>
        <w:t>International Library Review</w:t>
      </w:r>
      <w:r>
        <w:rPr>
          <w:kern w:val="0"/>
          <w:szCs w:val="24"/>
        </w:rPr>
        <w:t xml:space="preserve">, </w:t>
      </w:r>
      <w:r>
        <w:rPr>
          <w:b/>
          <w:bCs/>
          <w:kern w:val="0"/>
          <w:szCs w:val="24"/>
        </w:rPr>
        <w:t>20</w:t>
      </w:r>
      <w:r>
        <w:rPr>
          <w:kern w:val="0"/>
          <w:szCs w:val="24"/>
        </w:rPr>
        <w:t xml:space="preserve"> (3), 347-359</w:t>
      </w:r>
    </w:p>
    <w:p w:rsidR="00192E95" w:rsidRDefault="00192E95" w:rsidP="00192E95">
      <w:pPr>
        <w:pStyle w:val="a0"/>
        <w:rPr>
          <w:kern w:val="0"/>
          <w:szCs w:val="24"/>
        </w:rPr>
      </w:pPr>
      <w:r>
        <w:rPr>
          <w:kern w:val="0"/>
          <w:szCs w:val="24"/>
        </w:rPr>
        <w:t>Keywords: Bibliometrics</w:t>
      </w:r>
    </w:p>
    <w:p w:rsidR="00B95188" w:rsidRPr="00A428C3" w:rsidRDefault="00B95188" w:rsidP="00B95188">
      <w:pPr>
        <w:pStyle w:val="a0"/>
      </w:pPr>
      <w:r w:rsidRPr="00A428C3">
        <w:t>Shalini, R.</w:t>
      </w:r>
      <w:r w:rsidR="00F81221">
        <w:t xml:space="preserve"> and </w:t>
      </w:r>
      <w:r w:rsidRPr="00A428C3">
        <w:t xml:space="preserve">Khan, M.A. (1989), Communication behaviour of Indian geophysicists: A citation analysis. </w:t>
      </w:r>
      <w:r w:rsidRPr="00A428C3">
        <w:rPr>
          <w:i/>
          <w:iCs/>
        </w:rPr>
        <w:t>International Library Review</w:t>
      </w:r>
      <w:r w:rsidRPr="00A428C3">
        <w:t xml:space="preserve">, </w:t>
      </w:r>
      <w:r w:rsidRPr="00A428C3">
        <w:rPr>
          <w:b/>
        </w:rPr>
        <w:t>19</w:t>
      </w:r>
      <w:r w:rsidRPr="00A428C3">
        <w:t xml:space="preserve"> (4), 401-411.</w:t>
      </w:r>
    </w:p>
    <w:p w:rsidR="00B95188" w:rsidRPr="00A428C3" w:rsidRDefault="00B95188" w:rsidP="00B95188">
      <w:pPr>
        <w:pStyle w:val="a0"/>
      </w:pPr>
      <w:r w:rsidRPr="00A428C3">
        <w:t xml:space="preserve">Full Text: </w:t>
      </w:r>
      <w:hyperlink r:id="rId2093" w:history="1">
        <w:r w:rsidRPr="00A428C3">
          <w:rPr>
            <w:rStyle w:val="a5"/>
          </w:rPr>
          <w:t>I\Int Lib Rev19, 401.pdf</w:t>
        </w:r>
      </w:hyperlink>
    </w:p>
    <w:p w:rsidR="00B95188" w:rsidRPr="00A428C3" w:rsidRDefault="00B95188" w:rsidP="00B95188">
      <w:pPr>
        <w:pStyle w:val="a0"/>
      </w:pPr>
      <w:r w:rsidRPr="00A428C3">
        <w:t>Islam, M. (1989), Research</w:t>
      </w:r>
      <w:r w:rsidR="00F81221">
        <w:t xml:space="preserve"> and </w:t>
      </w:r>
      <w:r w:rsidRPr="00A428C3">
        <w:t xml:space="preserve">scientific publication in </w:t>
      </w:r>
      <w:smartTag w:uri="urn:schemas-microsoft-com:office:smarttags" w:element="place">
        <w:smartTag w:uri="urn:schemas-microsoft-com:office:smarttags" w:element="country-region">
          <w:r w:rsidRPr="00A428C3">
            <w:t>Saudi Arabia</w:t>
          </w:r>
        </w:smartTag>
      </w:smartTag>
      <w:r w:rsidRPr="00A428C3">
        <w:t xml:space="preserve">. </w:t>
      </w:r>
      <w:r w:rsidRPr="00A428C3">
        <w:rPr>
          <w:i/>
          <w:iCs/>
        </w:rPr>
        <w:t>International Library Review</w:t>
      </w:r>
      <w:r w:rsidRPr="00A428C3">
        <w:t xml:space="preserve">, </w:t>
      </w:r>
      <w:r w:rsidRPr="00A428C3">
        <w:rPr>
          <w:b/>
        </w:rPr>
        <w:t>21</w:t>
      </w:r>
      <w:r w:rsidRPr="00A428C3">
        <w:t xml:space="preserve"> (3), 355-361.</w:t>
      </w:r>
    </w:p>
    <w:p w:rsidR="00B95188" w:rsidRPr="00A428C3" w:rsidRDefault="00B95188" w:rsidP="00B95188">
      <w:pPr>
        <w:pStyle w:val="a0"/>
      </w:pPr>
      <w:r w:rsidRPr="00A428C3">
        <w:t xml:space="preserve">Full Text: </w:t>
      </w:r>
      <w:hyperlink r:id="rId2094" w:history="1">
        <w:r w:rsidRPr="00A428C3">
          <w:rPr>
            <w:rStyle w:val="a5"/>
          </w:rPr>
          <w:t>I\Int Lib Rev21, 355.pdf</w:t>
        </w:r>
      </w:hyperlink>
    </w:p>
    <w:p w:rsidR="00B95188" w:rsidRPr="00A428C3" w:rsidRDefault="00B95188" w:rsidP="00B95188">
      <w:pPr>
        <w:pStyle w:val="1"/>
      </w:pPr>
      <w:r w:rsidRPr="00A428C3">
        <w:br w:type="page"/>
      </w:r>
      <w:bookmarkStart w:id="1543" w:name="_Toc186647971"/>
      <w:bookmarkStart w:id="1544" w:name="_Toc317161390"/>
      <w:r w:rsidRPr="00A428C3">
        <w:lastRenderedPageBreak/>
        <w:t xml:space="preserve">Title: </w:t>
      </w:r>
      <w:r w:rsidRPr="00A428C3">
        <w:rPr>
          <w:szCs w:val="19"/>
        </w:rPr>
        <w:t>I</w:t>
      </w:r>
      <w:r w:rsidRPr="00A428C3">
        <w:rPr>
          <w:szCs w:val="14"/>
        </w:rPr>
        <w:t xml:space="preserve">nternational </w:t>
      </w:r>
      <w:r w:rsidRPr="00A428C3">
        <w:rPr>
          <w:szCs w:val="19"/>
        </w:rPr>
        <w:t>M</w:t>
      </w:r>
      <w:r w:rsidRPr="00A428C3">
        <w:rPr>
          <w:szCs w:val="14"/>
        </w:rPr>
        <w:t>icrobiology</w:t>
      </w:r>
      <w:bookmarkEnd w:id="1543"/>
      <w:bookmarkEnd w:id="1544"/>
    </w:p>
    <w:p w:rsidR="00B95188" w:rsidRPr="00A428C3" w:rsidRDefault="00B95188" w:rsidP="00B72EF9">
      <w:pPr>
        <w:pStyle w:val="12"/>
      </w:pPr>
      <w:r w:rsidRPr="00A428C3">
        <w:t xml:space="preserve">Full Journal Title: </w:t>
      </w:r>
      <w:hyperlink r:id="rId2095" w:history="1">
        <w:r w:rsidRPr="00A428C3">
          <w:rPr>
            <w:rStyle w:val="a5"/>
          </w:rPr>
          <w:t>I</w:t>
        </w:r>
        <w:r w:rsidRPr="00A428C3">
          <w:rPr>
            <w:rStyle w:val="a5"/>
            <w:szCs w:val="14"/>
          </w:rPr>
          <w:t xml:space="preserve">nternational </w:t>
        </w:r>
        <w:r w:rsidRPr="00A428C3">
          <w:rPr>
            <w:rStyle w:val="a5"/>
          </w:rPr>
          <w:t>M</w:t>
        </w:r>
        <w:r w:rsidRPr="00A428C3">
          <w:rPr>
            <w:rStyle w:val="a5"/>
            <w:szCs w:val="14"/>
          </w:rPr>
          <w:t>icrobiology</w:t>
        </w:r>
      </w:hyperlink>
    </w:p>
    <w:p w:rsidR="00B95188" w:rsidRPr="00A428C3" w:rsidRDefault="00B95188" w:rsidP="00B72EF9">
      <w:pPr>
        <w:pStyle w:val="12"/>
      </w:pPr>
      <w:r w:rsidRPr="00A428C3">
        <w:t xml:space="preserve">ISO Abbreviated Title: </w:t>
      </w:r>
      <w:r w:rsidRPr="00A428C3">
        <w:rPr>
          <w:szCs w:val="16"/>
        </w:rPr>
        <w:t>I</w:t>
      </w:r>
      <w:r w:rsidRPr="00A428C3">
        <w:rPr>
          <w:szCs w:val="12"/>
        </w:rPr>
        <w:t xml:space="preserve">nternatl. </w:t>
      </w:r>
      <w:r w:rsidRPr="00A428C3">
        <w:rPr>
          <w:szCs w:val="16"/>
        </w:rPr>
        <w:t>M</w:t>
      </w:r>
      <w:r w:rsidRPr="00A428C3">
        <w:rPr>
          <w:szCs w:val="12"/>
        </w:rPr>
        <w:t>icrobiol.</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Vieira,</w:t>
      </w:r>
      <w:r w:rsidRPr="00A428C3">
        <w:rPr>
          <w:szCs w:val="10"/>
        </w:rPr>
        <w:t xml:space="preserve"> </w:t>
      </w:r>
      <w:r w:rsidRPr="00A428C3">
        <w:t>R.H.S.F.</w:t>
      </w:r>
      <w:r w:rsidR="00F81221">
        <w:t xml:space="preserve"> and </w:t>
      </w:r>
      <w:r w:rsidRPr="00A428C3">
        <w:t xml:space="preserve">Volesky, B. (2000), </w:t>
      </w:r>
      <w:r w:rsidRPr="00A428C3">
        <w:rPr>
          <w:szCs w:val="36"/>
        </w:rPr>
        <w:t>Biosorption: A solution to pollution?</w:t>
      </w:r>
      <w:r w:rsidRPr="00A428C3">
        <w:t xml:space="preserve"> </w:t>
      </w:r>
      <w:r w:rsidRPr="00A428C3">
        <w:rPr>
          <w:i/>
          <w:iCs/>
        </w:rPr>
        <w:t>I</w:t>
      </w:r>
      <w:r w:rsidRPr="00A428C3">
        <w:rPr>
          <w:i/>
          <w:iCs/>
          <w:szCs w:val="14"/>
        </w:rPr>
        <w:t xml:space="preserve">nternational </w:t>
      </w:r>
      <w:r w:rsidRPr="00A428C3">
        <w:rPr>
          <w:i/>
          <w:iCs/>
        </w:rPr>
        <w:t>M</w:t>
      </w:r>
      <w:r w:rsidRPr="00A428C3">
        <w:rPr>
          <w:i/>
          <w:iCs/>
          <w:szCs w:val="14"/>
        </w:rPr>
        <w:t>icrobiology</w:t>
      </w:r>
      <w:r w:rsidRPr="00A428C3">
        <w:t xml:space="preserve">, </w:t>
      </w:r>
      <w:r w:rsidRPr="00A428C3">
        <w:rPr>
          <w:b/>
        </w:rPr>
        <w:t>3</w:t>
      </w:r>
      <w:r w:rsidRPr="00A428C3">
        <w:t xml:space="preserve"> (??), 17-24.</w:t>
      </w:r>
    </w:p>
    <w:p w:rsidR="00B95188" w:rsidRPr="00A428C3" w:rsidRDefault="00B95188" w:rsidP="00B95188">
      <w:pPr>
        <w:pStyle w:val="a0"/>
      </w:pPr>
      <w:r w:rsidRPr="00A428C3">
        <w:t xml:space="preserve">Full Text: </w:t>
      </w:r>
      <w:hyperlink r:id="rId2096" w:history="1">
        <w:r w:rsidRPr="00A428C3">
          <w:rPr>
            <w:rStyle w:val="a5"/>
          </w:rPr>
          <w:t>I\Int Mic3, 17.pdf</w:t>
        </w:r>
      </w:hyperlink>
    </w:p>
    <w:p w:rsidR="00B95188" w:rsidRPr="00A428C3" w:rsidRDefault="00B95188" w:rsidP="00B95188">
      <w:pPr>
        <w:pStyle w:val="a0"/>
      </w:pPr>
      <w:r w:rsidRPr="00A428C3">
        <w:t>Abstract: To solve the water pollution problem by toxic heavy metal contamination resulting from humans technological activities has for long presented a challenge. Biosorption can be a part of the solution. Some types of biosorbents such as seaweeds, molds, yeasts, bacteria or crab shells are examples of biomass tested for metal biosorption with very encouraging results. The uptake of heavy metals by biomass can in some cases reach up to 50% of the biomass dry weight. New biosorbents can be manipulated for better efficiency</w:t>
      </w:r>
      <w:r w:rsidR="00F81221">
        <w:t xml:space="preserve"> and </w:t>
      </w:r>
      <w:r w:rsidRPr="00A428C3">
        <w:t>multiple re-use to increase their economic attractiveness.</w:t>
      </w:r>
    </w:p>
    <w:p w:rsidR="00B95188" w:rsidRPr="00A428C3" w:rsidRDefault="00B95188" w:rsidP="00B95188">
      <w:pPr>
        <w:pStyle w:val="a0"/>
      </w:pPr>
      <w:r w:rsidRPr="00A428C3">
        <w:t>Keywords: Pollution, Biosorption, Biosorbents, Heavy Metals, Decontamination</w:t>
      </w:r>
    </w:p>
    <w:p w:rsidR="00192E95" w:rsidRDefault="00192E95" w:rsidP="00192E95">
      <w:pPr>
        <w:pStyle w:val="a0"/>
        <w:rPr>
          <w:kern w:val="0"/>
          <w:szCs w:val="24"/>
        </w:rPr>
      </w:pPr>
      <w:r>
        <w:rPr>
          <w:rFonts w:hint="eastAsia"/>
          <w:kern w:val="0"/>
          <w:szCs w:val="24"/>
        </w:rPr>
        <w:t xml:space="preserve">? </w:t>
      </w:r>
      <w:r>
        <w:rPr>
          <w:kern w:val="0"/>
          <w:szCs w:val="24"/>
        </w:rPr>
        <w:t>Arguimbau, L. (2008), Global trends in research resources</w:t>
      </w:r>
      <w:r w:rsidR="00F81221">
        <w:rPr>
          <w:kern w:val="0"/>
          <w:szCs w:val="24"/>
        </w:rPr>
        <w:t xml:space="preserve"> and </w:t>
      </w:r>
      <w:r>
        <w:rPr>
          <w:kern w:val="0"/>
          <w:szCs w:val="24"/>
        </w:rPr>
        <w:t xml:space="preserve">scientific output in microbiology in Spain (1998-2007). </w:t>
      </w:r>
      <w:r>
        <w:rPr>
          <w:i/>
          <w:iCs/>
          <w:kern w:val="0"/>
          <w:szCs w:val="24"/>
        </w:rPr>
        <w:t>International Microbiology</w:t>
      </w:r>
      <w:r>
        <w:rPr>
          <w:kern w:val="0"/>
          <w:szCs w:val="24"/>
        </w:rPr>
        <w:t xml:space="preserve">, </w:t>
      </w:r>
      <w:r>
        <w:rPr>
          <w:b/>
          <w:bCs/>
          <w:kern w:val="0"/>
          <w:szCs w:val="24"/>
        </w:rPr>
        <w:t>11</w:t>
      </w:r>
      <w:r>
        <w:rPr>
          <w:kern w:val="0"/>
          <w:szCs w:val="24"/>
        </w:rPr>
        <w:t xml:space="preserve"> (3), 213-220.</w:t>
      </w:r>
    </w:p>
    <w:p w:rsidR="00192E95" w:rsidRPr="00A428C3" w:rsidRDefault="00192E95" w:rsidP="00192E95">
      <w:pPr>
        <w:pStyle w:val="a0"/>
      </w:pPr>
      <w:r w:rsidRPr="00A428C3">
        <w:t xml:space="preserve">Full Text: </w:t>
      </w:r>
      <w:hyperlink r:id="rId2097" w:history="1">
        <w:r w:rsidRPr="00AD0CDC">
          <w:rPr>
            <w:rStyle w:val="a5"/>
          </w:rPr>
          <w:t>2008\Int Mic11, 213.pdf</w:t>
        </w:r>
      </w:hyperlink>
    </w:p>
    <w:p w:rsidR="00192E95" w:rsidRDefault="00192E95" w:rsidP="00192E95">
      <w:pPr>
        <w:pStyle w:val="a0"/>
        <w:rPr>
          <w:kern w:val="0"/>
          <w:szCs w:val="24"/>
        </w:rPr>
      </w:pPr>
      <w:r>
        <w:rPr>
          <w:kern w:val="0"/>
          <w:szCs w:val="24"/>
        </w:rPr>
        <w:t>Abstract: This work assesses the main features of microbiological research developed in Spain over the last decade (1998-2007), observing its changes</w:t>
      </w:r>
      <w:r w:rsidR="00F81221">
        <w:rPr>
          <w:kern w:val="0"/>
          <w:szCs w:val="24"/>
        </w:rPr>
        <w:t xml:space="preserve"> and </w:t>
      </w:r>
      <w:r>
        <w:rPr>
          <w:kern w:val="0"/>
          <w:szCs w:val="24"/>
        </w:rPr>
        <w:t>trends along the time</w:t>
      </w:r>
      <w:r w:rsidR="00F81221">
        <w:rPr>
          <w:kern w:val="0"/>
          <w:szCs w:val="24"/>
        </w:rPr>
        <w:t xml:space="preserve"> and </w:t>
      </w:r>
      <w:r>
        <w:rPr>
          <w:kern w:val="0"/>
          <w:szCs w:val="24"/>
        </w:rPr>
        <w:t>comparing them to those which have taken place in other life sciences. This analysis encompasses the entire scientific cycle: the organizations involved (basically, universities, research centers, scientific societies,</w:t>
      </w:r>
      <w:r w:rsidR="00F81221">
        <w:rPr>
          <w:kern w:val="0"/>
          <w:szCs w:val="24"/>
        </w:rPr>
        <w:t xml:space="preserve"> and </w:t>
      </w:r>
      <w:r>
        <w:rPr>
          <w:kern w:val="0"/>
          <w:szCs w:val="24"/>
        </w:rPr>
        <w:t>companies), resources invested (human</w:t>
      </w:r>
      <w:r w:rsidR="00F81221">
        <w:rPr>
          <w:kern w:val="0"/>
          <w:szCs w:val="24"/>
        </w:rPr>
        <w:t xml:space="preserve"> and </w:t>
      </w:r>
      <w:r>
        <w:rPr>
          <w:kern w:val="0"/>
          <w:szCs w:val="24"/>
        </w:rPr>
        <w:t>economic),</w:t>
      </w:r>
      <w:r w:rsidR="00F81221">
        <w:rPr>
          <w:kern w:val="0"/>
          <w:szCs w:val="24"/>
        </w:rPr>
        <w:t xml:space="preserve"> and </w:t>
      </w:r>
      <w:r>
        <w:rPr>
          <w:kern w:val="0"/>
          <w:szCs w:val="24"/>
        </w:rPr>
        <w:t>outputs or results obtained (journals, articles, doctoral theses,</w:t>
      </w:r>
      <w:r w:rsidR="00F81221">
        <w:rPr>
          <w:kern w:val="0"/>
          <w:szCs w:val="24"/>
        </w:rPr>
        <w:t xml:space="preserve"> and </w:t>
      </w:r>
      <w:r>
        <w:rPr>
          <w:kern w:val="0"/>
          <w:szCs w:val="24"/>
        </w:rPr>
        <w:t>other documents or publications). Summarizing, there is a positive trend in Spanish microbiology regarding research projects</w:t>
      </w:r>
      <w:r w:rsidR="00F81221">
        <w:rPr>
          <w:kern w:val="0"/>
          <w:szCs w:val="24"/>
        </w:rPr>
        <w:t xml:space="preserve"> and </w:t>
      </w:r>
      <w:r>
        <w:rPr>
          <w:kern w:val="0"/>
          <w:szCs w:val="24"/>
        </w:rPr>
        <w:t>scientific articles; the scientific output (research articles) of Spanish microbiologists ranks 6th in the world, which is higher than the ranking of Spain with respect to economic development.</w:t>
      </w:r>
    </w:p>
    <w:p w:rsidR="00192E95" w:rsidRDefault="00192E95" w:rsidP="00192E95">
      <w:pPr>
        <w:pStyle w:val="a0"/>
        <w:rPr>
          <w:kern w:val="0"/>
          <w:szCs w:val="24"/>
        </w:rPr>
      </w:pPr>
      <w:r>
        <w:rPr>
          <w:kern w:val="0"/>
          <w:szCs w:val="24"/>
        </w:rPr>
        <w:lastRenderedPageBreak/>
        <w:t>Keywords: Analysis, Bibliometric Analysis, Changes, Companies, Developed, Development, Economic, Economic Development, Human, Journals, Life, Life Sciences, Microbiology, Organizations, Publications, Ranking, Research, Research Productivity, Resources, Respect, Sciences, Scientific Output, Spain, Spanish, Time, Trend, Trends, Universities, Work, World</w:t>
      </w:r>
    </w:p>
    <w:p w:rsidR="00B95188" w:rsidRPr="00A428C3" w:rsidRDefault="00B95188" w:rsidP="00B95188">
      <w:pPr>
        <w:pStyle w:val="1"/>
      </w:pPr>
      <w:r w:rsidRPr="00A428C3">
        <w:br w:type="page"/>
      </w:r>
      <w:bookmarkStart w:id="1545" w:name="_Toc489709768"/>
      <w:bookmarkStart w:id="1546" w:name="_Toc490688078"/>
      <w:bookmarkStart w:id="1547" w:name="_Toc492812191"/>
      <w:bookmarkStart w:id="1548" w:name="_Toc186647972"/>
      <w:bookmarkStart w:id="1549" w:name="_Toc317161391"/>
      <w:r w:rsidRPr="00A428C3">
        <w:lastRenderedPageBreak/>
        <w:t xml:space="preserve">Title: </w:t>
      </w:r>
      <w:bookmarkEnd w:id="1545"/>
      <w:bookmarkEnd w:id="1546"/>
      <w:bookmarkEnd w:id="1547"/>
      <w:r w:rsidRPr="00A428C3">
        <w:t>International Nursing Review</w:t>
      </w:r>
      <w:bookmarkEnd w:id="1548"/>
      <w:bookmarkEnd w:id="1549"/>
    </w:p>
    <w:p w:rsidR="00B95188" w:rsidRPr="00A428C3" w:rsidRDefault="00B95188" w:rsidP="00B72EF9">
      <w:pPr>
        <w:pStyle w:val="12"/>
      </w:pPr>
      <w:r w:rsidRPr="00A428C3">
        <w:t xml:space="preserve">Full Journal Title: </w:t>
      </w:r>
      <w:hyperlink r:id="rId2098" w:history="1">
        <w:r w:rsidRPr="00A428C3">
          <w:rPr>
            <w:rStyle w:val="a5"/>
          </w:rPr>
          <w:t>International Nursing Review</w:t>
        </w:r>
      </w:hyperlink>
    </w:p>
    <w:p w:rsidR="00B95188" w:rsidRPr="00A428C3" w:rsidRDefault="00B95188" w:rsidP="00B72EF9">
      <w:pPr>
        <w:pStyle w:val="12"/>
      </w:pPr>
      <w:r w:rsidRPr="00A428C3">
        <w:t>ISO Abbreviated Title: Int. Nurs. Rev.</w:t>
      </w:r>
    </w:p>
    <w:p w:rsidR="00B95188" w:rsidRPr="00A428C3" w:rsidRDefault="00B95188" w:rsidP="00B72EF9">
      <w:pPr>
        <w:pStyle w:val="12"/>
      </w:pPr>
      <w:r w:rsidRPr="00A428C3">
        <w:t>JCR Abbreviated Title: Int Nurs Rev</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 Fox, P.G.</w:t>
      </w:r>
      <w:r w:rsidR="00F81221">
        <w:t xml:space="preserve"> and </w:t>
      </w:r>
      <w:r w:rsidRPr="00A428C3">
        <w:t xml:space="preserve">Kumchum, S. (1996), Caring for </w:t>
      </w:r>
      <w:smartTag w:uri="urn:schemas-microsoft-com:office:smarttags" w:element="country-region">
        <w:r w:rsidRPr="00A428C3">
          <w:t>Myanmar</w:t>
        </w:r>
      </w:smartTag>
      <w:r w:rsidRPr="00A428C3">
        <w:t xml:space="preserve"> refugees in </w:t>
      </w:r>
      <w:smartTag w:uri="urn:schemas-microsoft-com:office:smarttags" w:element="place">
        <w:smartTag w:uri="urn:schemas-microsoft-com:office:smarttags" w:element="country-region">
          <w:r w:rsidRPr="00A428C3">
            <w:t>Thailand</w:t>
          </w:r>
        </w:smartTag>
      </w:smartTag>
      <w:r w:rsidRPr="00A428C3">
        <w:t xml:space="preserve">. </w:t>
      </w:r>
      <w:r w:rsidRPr="00A428C3">
        <w:rPr>
          <w:i/>
          <w:iCs/>
        </w:rPr>
        <w:t>International Nursing Review</w:t>
      </w:r>
      <w:r w:rsidRPr="00A428C3">
        <w:t xml:space="preserve">, </w:t>
      </w:r>
      <w:r w:rsidRPr="00A428C3">
        <w:rPr>
          <w:b/>
        </w:rPr>
        <w:t>43</w:t>
      </w:r>
      <w:r w:rsidRPr="00A428C3">
        <w:t xml:space="preserve"> (5), 154-158.</w:t>
      </w:r>
    </w:p>
    <w:p w:rsidR="00B62E0D" w:rsidRDefault="00B62E0D" w:rsidP="00B62E0D">
      <w:pPr>
        <w:pStyle w:val="a0"/>
        <w:rPr>
          <w:kern w:val="0"/>
        </w:rPr>
      </w:pPr>
      <w:r>
        <w:rPr>
          <w:rFonts w:hint="eastAsia"/>
          <w:kern w:val="0"/>
        </w:rPr>
        <w:t xml:space="preserve">Full Text: </w:t>
      </w:r>
      <w:r w:rsidR="0001232A">
        <w:rPr>
          <w:kern w:val="0"/>
        </w:rPr>
        <w:t>Int Nur Rev</w:t>
      </w:r>
      <w:r w:rsidR="0001232A">
        <w:rPr>
          <w:rFonts w:hint="eastAsia"/>
          <w:kern w:val="0"/>
        </w:rPr>
        <w:t>43</w:t>
      </w:r>
      <w:r w:rsidR="0001232A">
        <w:rPr>
          <w:kern w:val="0"/>
        </w:rPr>
        <w:t xml:space="preserve">, </w:t>
      </w:r>
      <w:r w:rsidR="0001232A">
        <w:rPr>
          <w:rFonts w:hint="eastAsia"/>
          <w:kern w:val="0"/>
        </w:rPr>
        <w:t>154</w:t>
      </w:r>
      <w:r w:rsidR="0001232A" w:rsidRPr="00B62E0D">
        <w:rPr>
          <w:kern w:val="0"/>
        </w:rPr>
        <w:t>.pdf</w:t>
      </w:r>
    </w:p>
    <w:p w:rsidR="00B95188" w:rsidRPr="00A428C3" w:rsidRDefault="00B95188" w:rsidP="00B95188">
      <w:pPr>
        <w:pStyle w:val="a0"/>
      </w:pPr>
      <w:r w:rsidRPr="00A428C3">
        <w:t>Abstract: Massive refugee movements continue due to conflicts between</w:t>
      </w:r>
      <w:r w:rsidR="00F81221">
        <w:t xml:space="preserve"> and </w:t>
      </w:r>
      <w:r w:rsidRPr="00A428C3">
        <w:t>within nations. To combat the major causes of mortality in refugee camps-undernutrition, measles, diarrhoea, pneumonia</w:t>
      </w:r>
      <w:r w:rsidR="00F81221">
        <w:t xml:space="preserve"> and </w:t>
      </w:r>
      <w:r w:rsidRPr="00A428C3">
        <w:t>malaria13-nurses are following the principles of primary health care</w:t>
      </w:r>
      <w:r w:rsidR="00F81221">
        <w:t xml:space="preserve"> and </w:t>
      </w:r>
      <w:r w:rsidRPr="00A428C3">
        <w:t>are promoting adequate food, safe drinking water, shelter, environmental sanitation</w:t>
      </w:r>
      <w:r w:rsidR="00F81221">
        <w:t xml:space="preserve"> and </w:t>
      </w:r>
      <w:r w:rsidRPr="00A428C3">
        <w:t>immunization.</w:t>
      </w:r>
    </w:p>
    <w:p w:rsidR="004B5495" w:rsidRDefault="004B5495" w:rsidP="004B5495">
      <w:pPr>
        <w:pStyle w:val="a0"/>
        <w:rPr>
          <w:kern w:val="0"/>
        </w:rPr>
      </w:pPr>
      <w:r>
        <w:rPr>
          <w:rFonts w:hint="eastAsia"/>
          <w:kern w:val="0"/>
        </w:rPr>
        <w:t xml:space="preserve">? </w:t>
      </w:r>
      <w:r>
        <w:rPr>
          <w:kern w:val="0"/>
        </w:rPr>
        <w:t>Bjø</w:t>
      </w:r>
      <w:r w:rsidRPr="00184BFC">
        <w:rPr>
          <w:kern w:val="0"/>
        </w:rPr>
        <w:t>rn</w:t>
      </w:r>
      <w:r>
        <w:rPr>
          <w:rFonts w:hint="eastAsia"/>
          <w:kern w:val="0"/>
        </w:rPr>
        <w:t>,</w:t>
      </w:r>
      <w:r w:rsidRPr="00184BFC">
        <w:rPr>
          <w:kern w:val="0"/>
        </w:rPr>
        <w:t xml:space="preserve"> A</w:t>
      </w:r>
      <w:r>
        <w:rPr>
          <w:rFonts w:hint="eastAsia"/>
          <w:kern w:val="0"/>
        </w:rPr>
        <w:t>.,</w:t>
      </w:r>
      <w:r w:rsidRPr="00184BFC">
        <w:rPr>
          <w:kern w:val="0"/>
        </w:rPr>
        <w:t xml:space="preserve"> Hundrup</w:t>
      </w:r>
      <w:r>
        <w:rPr>
          <w:rFonts w:hint="eastAsia"/>
          <w:kern w:val="0"/>
        </w:rPr>
        <w:t>,</w:t>
      </w:r>
      <w:r w:rsidRPr="00184BFC">
        <w:rPr>
          <w:kern w:val="0"/>
        </w:rPr>
        <w:t xml:space="preserve"> Y</w:t>
      </w:r>
      <w:r>
        <w:rPr>
          <w:rFonts w:hint="eastAsia"/>
          <w:kern w:val="0"/>
        </w:rPr>
        <w:t>.</w:t>
      </w:r>
      <w:r w:rsidRPr="00184BFC">
        <w:rPr>
          <w:kern w:val="0"/>
        </w:rPr>
        <w:t>A</w:t>
      </w:r>
      <w:r>
        <w:rPr>
          <w:rFonts w:hint="eastAsia"/>
          <w:kern w:val="0"/>
        </w:rPr>
        <w:t>.</w:t>
      </w:r>
      <w:r w:rsidR="00F81221">
        <w:rPr>
          <w:rFonts w:hint="eastAsia"/>
          <w:kern w:val="0"/>
        </w:rPr>
        <w:t xml:space="preserve"> and </w:t>
      </w:r>
      <w:r w:rsidRPr="00184BFC">
        <w:rPr>
          <w:kern w:val="0"/>
        </w:rPr>
        <w:t>Wagner</w:t>
      </w:r>
      <w:r>
        <w:rPr>
          <w:rFonts w:hint="eastAsia"/>
          <w:kern w:val="0"/>
        </w:rPr>
        <w:t>,</w:t>
      </w:r>
      <w:r w:rsidRPr="00184BFC">
        <w:rPr>
          <w:kern w:val="0"/>
        </w:rPr>
        <w:t xml:space="preserve"> L</w:t>
      </w:r>
      <w:r>
        <w:rPr>
          <w:rFonts w:hint="eastAsia"/>
          <w:kern w:val="0"/>
        </w:rPr>
        <w:t>.</w:t>
      </w:r>
      <w:r>
        <w:rPr>
          <w:kern w:val="0"/>
        </w:rPr>
        <w:t xml:space="preserve"> (20</w:t>
      </w:r>
      <w:r>
        <w:rPr>
          <w:rFonts w:hint="eastAsia"/>
          <w:kern w:val="0"/>
        </w:rPr>
        <w:t>08</w:t>
      </w:r>
      <w:r>
        <w:rPr>
          <w:kern w:val="0"/>
        </w:rPr>
        <w:t xml:space="preserve">), </w:t>
      </w:r>
      <w:r w:rsidRPr="00184BFC">
        <w:rPr>
          <w:kern w:val="0"/>
        </w:rPr>
        <w:t>Doctoral prepared nurses in Denmark</w:t>
      </w:r>
      <w:r w:rsidR="00F81221">
        <w:rPr>
          <w:kern w:val="0"/>
        </w:rPr>
        <w:t xml:space="preserve"> and </w:t>
      </w:r>
      <w:r w:rsidRPr="00184BFC">
        <w:rPr>
          <w:kern w:val="0"/>
        </w:rPr>
        <w:t>their scientific production between 1976</w:t>
      </w:r>
      <w:r w:rsidR="00F81221">
        <w:rPr>
          <w:kern w:val="0"/>
        </w:rPr>
        <w:t xml:space="preserve"> and </w:t>
      </w:r>
      <w:r w:rsidRPr="00184BFC">
        <w:rPr>
          <w:kern w:val="0"/>
        </w:rPr>
        <w:t>2005</w:t>
      </w:r>
      <w:r>
        <w:rPr>
          <w:kern w:val="0"/>
        </w:rPr>
        <w:t xml:space="preserve">. </w:t>
      </w:r>
      <w:r>
        <w:rPr>
          <w:i/>
          <w:iCs/>
          <w:kern w:val="0"/>
        </w:rPr>
        <w:t>International Nursing Review</w:t>
      </w:r>
      <w:r>
        <w:rPr>
          <w:kern w:val="0"/>
        </w:rPr>
        <w:t xml:space="preserve">, </w:t>
      </w:r>
      <w:r>
        <w:rPr>
          <w:b/>
          <w:bCs/>
          <w:kern w:val="0"/>
        </w:rPr>
        <w:t>5</w:t>
      </w:r>
      <w:r>
        <w:rPr>
          <w:rFonts w:hint="eastAsia"/>
          <w:b/>
          <w:bCs/>
          <w:kern w:val="0"/>
        </w:rPr>
        <w:t>5</w:t>
      </w:r>
      <w:r>
        <w:rPr>
          <w:kern w:val="0"/>
        </w:rPr>
        <w:t xml:space="preserve"> (</w:t>
      </w:r>
      <w:r>
        <w:rPr>
          <w:rFonts w:hint="eastAsia"/>
          <w:kern w:val="0"/>
        </w:rPr>
        <w:t>2</w:t>
      </w:r>
      <w:r>
        <w:rPr>
          <w:kern w:val="0"/>
        </w:rPr>
        <w:t xml:space="preserve">), </w:t>
      </w:r>
      <w:r w:rsidRPr="00184BFC">
        <w:rPr>
          <w:kern w:val="0"/>
        </w:rPr>
        <w:t>227-233</w:t>
      </w:r>
      <w:r>
        <w:rPr>
          <w:kern w:val="0"/>
        </w:rPr>
        <w:t>.</w:t>
      </w:r>
    </w:p>
    <w:p w:rsidR="004B5495" w:rsidRDefault="004B5495" w:rsidP="004B5495">
      <w:pPr>
        <w:pStyle w:val="a0"/>
        <w:rPr>
          <w:kern w:val="0"/>
        </w:rPr>
      </w:pPr>
      <w:r>
        <w:rPr>
          <w:rFonts w:hint="eastAsia"/>
          <w:kern w:val="0"/>
        </w:rPr>
        <w:t xml:space="preserve">Full Text: </w:t>
      </w:r>
      <w:hyperlink r:id="rId2099" w:history="1">
        <w:r w:rsidRPr="00184BFC">
          <w:rPr>
            <w:rStyle w:val="a5"/>
            <w:kern w:val="0"/>
          </w:rPr>
          <w:t>2008\Int Nur Rev55, 227.pdf</w:t>
        </w:r>
      </w:hyperlink>
    </w:p>
    <w:p w:rsidR="004B5495" w:rsidRPr="00184BFC" w:rsidRDefault="004B5495" w:rsidP="004B5495">
      <w:pPr>
        <w:pStyle w:val="a0"/>
        <w:rPr>
          <w:kern w:val="0"/>
        </w:rPr>
      </w:pPr>
      <w:r w:rsidRPr="00184BFC">
        <w:rPr>
          <w:kern w:val="0"/>
        </w:rPr>
        <w:t>Abstract: Background: Nursing research in Denmark has evolved over the last 30 years. By 2005, 48 Danish nurses had earned a doctoral degree. The Danish Nurses Organization formalized a strategy for development of nursing research for the period 1999-2002. The strategy was evaluated in 2004. One point in the evaluation was that the nurses</w:t>
      </w:r>
      <w:r w:rsidR="000352E7">
        <w:rPr>
          <w:kern w:val="0"/>
        </w:rPr>
        <w:t>’</w:t>
      </w:r>
      <w:r w:rsidRPr="00184BFC">
        <w:rPr>
          <w:kern w:val="0"/>
        </w:rPr>
        <w:t xml:space="preserve"> publication of peer-reviewed articles in journals with an Impact Factor did not show in the bibliographic measure used in health sciences.</w:t>
      </w:r>
    </w:p>
    <w:p w:rsidR="004B5495" w:rsidRPr="00184BFC" w:rsidRDefault="004B5495" w:rsidP="004B5495">
      <w:pPr>
        <w:pStyle w:val="a0"/>
        <w:rPr>
          <w:kern w:val="0"/>
        </w:rPr>
      </w:pPr>
      <w:r w:rsidRPr="00184BFC">
        <w:rPr>
          <w:kern w:val="0"/>
        </w:rPr>
        <w:t>Purpose: The purpose of this study is to identify the number of Danish nurses holding a doctoral degree by the end of 2005</w:t>
      </w:r>
      <w:r w:rsidR="00F81221">
        <w:rPr>
          <w:kern w:val="0"/>
        </w:rPr>
        <w:t xml:space="preserve"> and </w:t>
      </w:r>
      <w:r w:rsidRPr="00184BFC">
        <w:rPr>
          <w:kern w:val="0"/>
        </w:rPr>
        <w:t>to document their scientific production.</w:t>
      </w:r>
    </w:p>
    <w:p w:rsidR="004B5495" w:rsidRPr="00184BFC" w:rsidRDefault="004B5495" w:rsidP="004B5495">
      <w:pPr>
        <w:pStyle w:val="a0"/>
        <w:rPr>
          <w:kern w:val="0"/>
        </w:rPr>
      </w:pPr>
      <w:r w:rsidRPr="00184BFC">
        <w:rPr>
          <w:kern w:val="0"/>
        </w:rPr>
        <w:t>Methods: A descriptive design based on a national register of all nurses in Denmark holding doctoral degrees was used to explore the curricula vitae</w:t>
      </w:r>
      <w:r w:rsidR="00F81221">
        <w:rPr>
          <w:kern w:val="0"/>
        </w:rPr>
        <w:t xml:space="preserve"> and </w:t>
      </w:r>
      <w:r w:rsidRPr="00184BFC">
        <w:rPr>
          <w:kern w:val="0"/>
        </w:rPr>
        <w:t>publication lists of 38 out of 48 (79%) nurses on the register. Authorship of all 48 graduated nurses was sought in the databases: PubMed</w:t>
      </w:r>
      <w:r w:rsidR="00F81221">
        <w:rPr>
          <w:kern w:val="0"/>
        </w:rPr>
        <w:t xml:space="preserve"> and </w:t>
      </w:r>
      <w:r w:rsidRPr="00184BFC">
        <w:rPr>
          <w:kern w:val="0"/>
        </w:rPr>
        <w:t>CINAHL.</w:t>
      </w:r>
    </w:p>
    <w:p w:rsidR="004B5495" w:rsidRPr="00184BFC" w:rsidRDefault="004B5495" w:rsidP="004B5495">
      <w:pPr>
        <w:pStyle w:val="a0"/>
        <w:rPr>
          <w:kern w:val="0"/>
        </w:rPr>
      </w:pPr>
      <w:r w:rsidRPr="00184BFC">
        <w:rPr>
          <w:kern w:val="0"/>
        </w:rPr>
        <w:t xml:space="preserve">Conclusion: A pattern of growing engagement in publishing peer-reviewed articles was </w:t>
      </w:r>
      <w:r w:rsidRPr="00184BFC">
        <w:rPr>
          <w:kern w:val="0"/>
        </w:rPr>
        <w:lastRenderedPageBreak/>
        <w:t>identified among the Danish nurses holding a doctoral degree. Fifty per cent of these doctoral prepared nurses published peer-reviewed papers. The majority apparently pursued a career in health sciences. Nursing as an academic discipline is evolving in Denmark but, with its roots in clinical nursing, scientists may have to be aware of the necessity to prevail as a discipline through scientific production.</w:t>
      </w:r>
    </w:p>
    <w:p w:rsidR="004B5495" w:rsidRDefault="004B5495" w:rsidP="004B5495">
      <w:pPr>
        <w:pStyle w:val="a0"/>
        <w:rPr>
          <w:kern w:val="0"/>
        </w:rPr>
      </w:pPr>
      <w:r w:rsidRPr="00184BFC">
        <w:rPr>
          <w:kern w:val="0"/>
        </w:rPr>
        <w:t>Keywords: Denmark</w:t>
      </w:r>
      <w:r>
        <w:rPr>
          <w:kern w:val="0"/>
        </w:rPr>
        <w:t>,</w:t>
      </w:r>
      <w:r w:rsidRPr="00184BFC">
        <w:rPr>
          <w:kern w:val="0"/>
        </w:rPr>
        <w:t xml:space="preserve"> Doctoral Prepared Nurses</w:t>
      </w:r>
      <w:r>
        <w:rPr>
          <w:kern w:val="0"/>
        </w:rPr>
        <w:t>,</w:t>
      </w:r>
      <w:r w:rsidRPr="00184BFC">
        <w:rPr>
          <w:kern w:val="0"/>
        </w:rPr>
        <w:t xml:space="preserve"> Nursing Science</w:t>
      </w:r>
      <w:r>
        <w:rPr>
          <w:kern w:val="0"/>
        </w:rPr>
        <w:t>,</w:t>
      </w:r>
      <w:r w:rsidRPr="00184BFC">
        <w:rPr>
          <w:kern w:val="0"/>
        </w:rPr>
        <w:t xml:space="preserve"> Peer Review</w:t>
      </w:r>
      <w:r>
        <w:rPr>
          <w:kern w:val="0"/>
        </w:rPr>
        <w:t>,</w:t>
      </w:r>
      <w:r w:rsidRPr="00184BFC">
        <w:rPr>
          <w:kern w:val="0"/>
        </w:rPr>
        <w:t xml:space="preserve"> PhD</w:t>
      </w:r>
      <w:r>
        <w:rPr>
          <w:kern w:val="0"/>
        </w:rPr>
        <w:t>,</w:t>
      </w:r>
      <w:r w:rsidRPr="00184BFC">
        <w:rPr>
          <w:kern w:val="0"/>
        </w:rPr>
        <w:t xml:space="preserve"> Publishing</w:t>
      </w:r>
      <w:r>
        <w:rPr>
          <w:kern w:val="0"/>
        </w:rPr>
        <w:t>,</w:t>
      </w:r>
      <w:r w:rsidRPr="00184BFC">
        <w:rPr>
          <w:kern w:val="0"/>
        </w:rPr>
        <w:t xml:space="preserve"> Research</w:t>
      </w:r>
      <w:r>
        <w:rPr>
          <w:kern w:val="0"/>
        </w:rPr>
        <w:t>,</w:t>
      </w:r>
      <w:r w:rsidRPr="00184BFC">
        <w:rPr>
          <w:kern w:val="0"/>
        </w:rPr>
        <w:t xml:space="preserve"> Nursin</w:t>
      </w:r>
      <w:r>
        <w:rPr>
          <w:kern w:val="0"/>
        </w:rPr>
        <w:t>g-Research</w:t>
      </w:r>
    </w:p>
    <w:p w:rsidR="00715FFE" w:rsidRDefault="00715FFE" w:rsidP="00715FFE">
      <w:pPr>
        <w:pStyle w:val="a0"/>
        <w:rPr>
          <w:kern w:val="0"/>
        </w:rPr>
      </w:pPr>
      <w:r>
        <w:rPr>
          <w:rFonts w:hint="eastAsia"/>
          <w:kern w:val="0"/>
        </w:rPr>
        <w:t xml:space="preserve">? </w:t>
      </w:r>
      <w:r>
        <w:rPr>
          <w:kern w:val="0"/>
        </w:rPr>
        <w:t>Bennett, P.N.</w:t>
      </w:r>
      <w:r w:rsidR="00F81221">
        <w:rPr>
          <w:kern w:val="0"/>
        </w:rPr>
        <w:t xml:space="preserve"> and </w:t>
      </w:r>
      <w:r>
        <w:rPr>
          <w:kern w:val="0"/>
        </w:rPr>
        <w:t xml:space="preserve">Hany, A. (2009), Barriers to kidney transplants in Indonesia: A literature review. </w:t>
      </w:r>
      <w:r>
        <w:rPr>
          <w:i/>
          <w:iCs/>
          <w:kern w:val="0"/>
        </w:rPr>
        <w:t>International Nursing Review</w:t>
      </w:r>
      <w:r>
        <w:rPr>
          <w:kern w:val="0"/>
        </w:rPr>
        <w:t xml:space="preserve">, </w:t>
      </w:r>
      <w:r>
        <w:rPr>
          <w:b/>
          <w:bCs/>
          <w:kern w:val="0"/>
        </w:rPr>
        <w:t>56</w:t>
      </w:r>
      <w:r>
        <w:rPr>
          <w:kern w:val="0"/>
        </w:rPr>
        <w:t xml:space="preserve"> (1), 41-49.</w:t>
      </w:r>
    </w:p>
    <w:p w:rsidR="00715FFE" w:rsidRDefault="00715FFE" w:rsidP="00715FFE">
      <w:pPr>
        <w:pStyle w:val="a0"/>
        <w:rPr>
          <w:kern w:val="0"/>
        </w:rPr>
      </w:pPr>
      <w:r>
        <w:rPr>
          <w:rFonts w:hint="eastAsia"/>
          <w:kern w:val="0"/>
        </w:rPr>
        <w:t xml:space="preserve">Full Text: </w:t>
      </w:r>
      <w:r>
        <w:rPr>
          <w:kern w:val="0"/>
        </w:rPr>
        <w:t>200</w:t>
      </w:r>
      <w:r>
        <w:rPr>
          <w:rFonts w:hint="eastAsia"/>
          <w:kern w:val="0"/>
        </w:rPr>
        <w:t>9</w:t>
      </w:r>
      <w:r>
        <w:rPr>
          <w:kern w:val="0"/>
        </w:rPr>
        <w:t>\Int Nur Rev5</w:t>
      </w:r>
      <w:r>
        <w:rPr>
          <w:rFonts w:hint="eastAsia"/>
          <w:kern w:val="0"/>
        </w:rPr>
        <w:t>6</w:t>
      </w:r>
      <w:r>
        <w:rPr>
          <w:kern w:val="0"/>
        </w:rPr>
        <w:t xml:space="preserve">, </w:t>
      </w:r>
      <w:r>
        <w:rPr>
          <w:rFonts w:hint="eastAsia"/>
          <w:kern w:val="0"/>
        </w:rPr>
        <w:t>41</w:t>
      </w:r>
      <w:r w:rsidRPr="00C949E2">
        <w:rPr>
          <w:kern w:val="0"/>
        </w:rPr>
        <w:t>.pdf</w:t>
      </w:r>
    </w:p>
    <w:p w:rsidR="00715FFE" w:rsidRDefault="00715FFE" w:rsidP="00715FFE">
      <w:pPr>
        <w:pStyle w:val="a0"/>
        <w:rPr>
          <w:kern w:val="0"/>
        </w:rPr>
      </w:pPr>
      <w:r>
        <w:rPr>
          <w:kern w:val="0"/>
        </w:rPr>
        <w:t>Abstract: People living with chronic kidney disease will require renal dialysis or a kidney transplant to maintain life. Although Indonesia has a developing healthcare industry, Indonesia</w:t>
      </w:r>
      <w:r w:rsidR="000352E7">
        <w:rPr>
          <w:kern w:val="0"/>
        </w:rPr>
        <w:t>’</w:t>
      </w:r>
      <w:r>
        <w:rPr>
          <w:kern w:val="0"/>
        </w:rPr>
        <w:t>s kidney transplant rates are lower than comparable nations. To explore the healthcare literature to identify barriers to kidney transplants in particular in relation to Indonesia. Healthcare databases were searched (CINAHL, MEDLINE, EBSCOhostEJS, Blackwell Synergy, Web of Science, PUBMED, Google Scholar</w:t>
      </w:r>
      <w:r w:rsidR="00F81221">
        <w:rPr>
          <w:kern w:val="0"/>
        </w:rPr>
        <w:t xml:space="preserve"> and </w:t>
      </w:r>
      <w:r>
        <w:rPr>
          <w:kern w:val="0"/>
        </w:rPr>
        <w:t>Proquest 5000) using the search terms: transplant, kidney disease, renal, dialysis, haemodialysis, Indonesia</w:t>
      </w:r>
      <w:r w:rsidR="00F81221">
        <w:rPr>
          <w:kern w:val="0"/>
        </w:rPr>
        <w:t xml:space="preserve"> and </w:t>
      </w:r>
      <w:r>
        <w:rPr>
          <w:kern w:val="0"/>
        </w:rPr>
        <w:t>nursing. The search was limited to English</w:t>
      </w:r>
      <w:r w:rsidR="00F81221">
        <w:rPr>
          <w:kern w:val="0"/>
        </w:rPr>
        <w:t xml:space="preserve"> and </w:t>
      </w:r>
      <w:r>
        <w:rPr>
          <w:kern w:val="0"/>
        </w:rPr>
        <w:t>Indonesian language data sources from 1997 to 2007. Reference lists of salient academic articles were hand searched. The results of our search identified six articles that met our criteria. Costs are the major barrier to kidney transplant in Indonesia, followed by cultural beliefs, perception of the law, lack of information</w:t>
      </w:r>
      <w:r w:rsidR="00F81221">
        <w:rPr>
          <w:kern w:val="0"/>
        </w:rPr>
        <w:t xml:space="preserve"> and </w:t>
      </w:r>
      <w:r>
        <w:rPr>
          <w:kern w:val="0"/>
        </w:rPr>
        <w:t>lack of infrastructure. In addition, kidney disease prevention strategies are required. There are many complex socio-economic, geographical, legal, cultural</w:t>
      </w:r>
      <w:r w:rsidR="00F81221">
        <w:rPr>
          <w:kern w:val="0"/>
        </w:rPr>
        <w:t xml:space="preserve"> and </w:t>
      </w:r>
      <w:r>
        <w:rPr>
          <w:kern w:val="0"/>
        </w:rPr>
        <w:t>religious factors that contribute to low kidney transplant rates in Indonesia. Although an increase in transplantation rates will require strategies from various agencies, healthcare professionals, including nurses, can play a role in overcoming some barriers. Community education programmes, improving their own education levels</w:t>
      </w:r>
      <w:r w:rsidR="00F81221">
        <w:rPr>
          <w:kern w:val="0"/>
        </w:rPr>
        <w:t xml:space="preserve"> and </w:t>
      </w:r>
      <w:r>
        <w:rPr>
          <w:kern w:val="0"/>
        </w:rPr>
        <w:t>by increasing empowerment in nursing we may contribute to improved kidney transplant rates in Indonesia.</w:t>
      </w:r>
    </w:p>
    <w:p w:rsidR="00715FFE" w:rsidRDefault="00715FFE" w:rsidP="00715FFE">
      <w:pPr>
        <w:pStyle w:val="a0"/>
        <w:rPr>
          <w:kern w:val="0"/>
        </w:rPr>
      </w:pPr>
      <w:r>
        <w:rPr>
          <w:kern w:val="0"/>
        </w:rPr>
        <w:t>Keywords: Asia, Barriers, Chronic Kidney Disease, Community, Databases, Developing-Countries, Dialysis, Dialysis, Disease, Disease Prevention, Donors, Education, Google Scholar, Healthcare, Healthcare Professionals, Indonesia, Industry, Information, Kidney, Kidney Disease, Kidney Transplant, Literature, Literature Review, Nurses, Nursing, Organ Donation, Perception, Prevention, Pubmed, Quality-Of-Life, Recipients, Renal, Replacement Therapy, Review, Science, Stage Renal-Disease, Synergy, Transplant, Web of Science</w:t>
      </w:r>
    </w:p>
    <w:p w:rsidR="00715FFE" w:rsidRDefault="00715FFE" w:rsidP="00715FFE">
      <w:pPr>
        <w:pStyle w:val="a0"/>
        <w:rPr>
          <w:kern w:val="0"/>
        </w:rPr>
      </w:pPr>
      <w:r>
        <w:rPr>
          <w:rFonts w:hint="eastAsia"/>
          <w:kern w:val="0"/>
        </w:rPr>
        <w:t xml:space="preserve">? </w:t>
      </w:r>
      <w:r>
        <w:rPr>
          <w:kern w:val="0"/>
        </w:rPr>
        <w:t>Woodbridge, M.</w:t>
      </w:r>
      <w:r w:rsidR="00F81221">
        <w:rPr>
          <w:kern w:val="0"/>
        </w:rPr>
        <w:t xml:space="preserve"> and </w:t>
      </w:r>
      <w:r>
        <w:rPr>
          <w:kern w:val="0"/>
        </w:rPr>
        <w:t xml:space="preserve">Bland, M. (2010), Supporting Indian nurses migrating to New Zealand: A literature review. </w:t>
      </w:r>
      <w:r>
        <w:rPr>
          <w:i/>
          <w:iCs/>
          <w:kern w:val="0"/>
        </w:rPr>
        <w:t>International Nursing Review</w:t>
      </w:r>
      <w:r>
        <w:rPr>
          <w:kern w:val="0"/>
        </w:rPr>
        <w:t xml:space="preserve">, </w:t>
      </w:r>
      <w:r>
        <w:rPr>
          <w:b/>
          <w:bCs/>
          <w:kern w:val="0"/>
        </w:rPr>
        <w:t>57</w:t>
      </w:r>
      <w:r>
        <w:rPr>
          <w:kern w:val="0"/>
        </w:rPr>
        <w:t xml:space="preserve"> (1), 40-48.</w:t>
      </w:r>
    </w:p>
    <w:p w:rsidR="00715FFE" w:rsidRDefault="00715FFE" w:rsidP="00715FFE">
      <w:pPr>
        <w:pStyle w:val="a0"/>
        <w:rPr>
          <w:kern w:val="0"/>
        </w:rPr>
      </w:pPr>
      <w:r>
        <w:rPr>
          <w:rFonts w:hint="eastAsia"/>
          <w:kern w:val="0"/>
        </w:rPr>
        <w:lastRenderedPageBreak/>
        <w:t xml:space="preserve">Full Text: </w:t>
      </w:r>
      <w:r>
        <w:rPr>
          <w:kern w:val="0"/>
        </w:rPr>
        <w:t>20</w:t>
      </w:r>
      <w:r>
        <w:rPr>
          <w:rFonts w:hint="eastAsia"/>
          <w:kern w:val="0"/>
        </w:rPr>
        <w:t>10</w:t>
      </w:r>
      <w:r>
        <w:rPr>
          <w:kern w:val="0"/>
        </w:rPr>
        <w:t>\Int Nur Rev5</w:t>
      </w:r>
      <w:r>
        <w:rPr>
          <w:rFonts w:hint="eastAsia"/>
          <w:kern w:val="0"/>
        </w:rPr>
        <w:t>7</w:t>
      </w:r>
      <w:r>
        <w:rPr>
          <w:kern w:val="0"/>
        </w:rPr>
        <w:t xml:space="preserve">, </w:t>
      </w:r>
      <w:r>
        <w:rPr>
          <w:rFonts w:hint="eastAsia"/>
          <w:kern w:val="0"/>
        </w:rPr>
        <w:t>40</w:t>
      </w:r>
      <w:r w:rsidRPr="00C949E2">
        <w:rPr>
          <w:kern w:val="0"/>
        </w:rPr>
        <w:t>.pdf</w:t>
      </w:r>
    </w:p>
    <w:p w:rsidR="00715FFE" w:rsidRDefault="00715FFE" w:rsidP="00715FFE">
      <w:pPr>
        <w:pStyle w:val="a0"/>
        <w:rPr>
          <w:kern w:val="0"/>
        </w:rPr>
      </w:pPr>
      <w:r>
        <w:rPr>
          <w:kern w:val="0"/>
        </w:rPr>
        <w:t>Abstract: Background: New Zealand, like many other Western countries, is struggling to cope with increasing demands for nursing services. Registered nurses are being actively recruited internationally</w:t>
      </w:r>
      <w:r w:rsidR="00F81221">
        <w:rPr>
          <w:kern w:val="0"/>
        </w:rPr>
        <w:t xml:space="preserve"> and </w:t>
      </w:r>
      <w:r>
        <w:rPr>
          <w:kern w:val="0"/>
        </w:rPr>
        <w:t>New Zealand has become a popular destination for nurses who wish to emigrate, including those from India. These nurses have unique cultural, professional</w:t>
      </w:r>
      <w:r w:rsidR="00F81221">
        <w:rPr>
          <w:kern w:val="0"/>
        </w:rPr>
        <w:t xml:space="preserve"> and </w:t>
      </w:r>
      <w:r>
        <w:rPr>
          <w:kern w:val="0"/>
        </w:rPr>
        <w:t>educational needs yet it is unclear how to best support them as they move to their destination countries. Aims: The issues around nursing migration</w:t>
      </w:r>
      <w:r w:rsidR="00F81221">
        <w:rPr>
          <w:kern w:val="0"/>
        </w:rPr>
        <w:t xml:space="preserve"> and </w:t>
      </w:r>
      <w:r>
        <w:rPr>
          <w:kern w:val="0"/>
        </w:rPr>
        <w:t>its effects have been discussed in many forums, but there is evidence of a gap in understanding the issues around acculturation</w:t>
      </w:r>
      <w:r w:rsidR="00F81221">
        <w:rPr>
          <w:kern w:val="0"/>
        </w:rPr>
        <w:t xml:space="preserve"> and </w:t>
      </w:r>
      <w:r>
        <w:rPr>
          <w:kern w:val="0"/>
        </w:rPr>
        <w:t>socialization. This selected literature review sought to identify the significant factors that impact on migrating nurses becoming competent</w:t>
      </w:r>
      <w:r w:rsidR="00F81221">
        <w:rPr>
          <w:kern w:val="0"/>
        </w:rPr>
        <w:t xml:space="preserve"> and </w:t>
      </w:r>
      <w:r>
        <w:rPr>
          <w:kern w:val="0"/>
        </w:rPr>
        <w:t>confident registered nurses in the New Zealand practice environment. Methods: A bibliographical database search was undertaken (Web of Knowledge, Web of Science, CINAHL, MEDLINE, Academic Search Elite,</w:t>
      </w:r>
      <w:r w:rsidR="00F81221">
        <w:rPr>
          <w:kern w:val="0"/>
        </w:rPr>
        <w:t xml:space="preserve"> and </w:t>
      </w:r>
      <w:r>
        <w:rPr>
          <w:kern w:val="0"/>
        </w:rPr>
        <w:t>Ebscohost EJS) along with national</w:t>
      </w:r>
      <w:r w:rsidR="00F81221">
        <w:rPr>
          <w:kern w:val="0"/>
        </w:rPr>
        <w:t xml:space="preserve"> and </w:t>
      </w:r>
      <w:r>
        <w:rPr>
          <w:kern w:val="0"/>
        </w:rPr>
        <w:t>international nursing websites for the period 2002-2009. Search terms included Indian nurse, international nurse, migration, experience, cultural safety, globalization, nurse migration, nurse recruitment, New Zealand</w:t>
      </w:r>
      <w:r w:rsidR="00F81221">
        <w:rPr>
          <w:kern w:val="0"/>
        </w:rPr>
        <w:t xml:space="preserve"> and </w:t>
      </w:r>
      <w:r>
        <w:rPr>
          <w:kern w:val="0"/>
        </w:rPr>
        <w:t>research. The search was limited to texts published in English, with preference given to peer-reviewed research-based articles. Results: A significant volume of literature was located. The key themes that arose were migration, education, language, nursing skills, competence, cultural safety</w:t>
      </w:r>
      <w:r w:rsidR="00F81221">
        <w:rPr>
          <w:kern w:val="0"/>
        </w:rPr>
        <w:t xml:space="preserve"> and </w:t>
      </w:r>
      <w:r>
        <w:rPr>
          <w:kern w:val="0"/>
        </w:rPr>
        <w:t>reflection on practice. Literature considered to best reflect these main themes,</w:t>
      </w:r>
      <w:r w:rsidR="00F81221">
        <w:rPr>
          <w:kern w:val="0"/>
        </w:rPr>
        <w:t xml:space="preserve"> and </w:t>
      </w:r>
      <w:r>
        <w:rPr>
          <w:kern w:val="0"/>
        </w:rPr>
        <w:t>of most relevance to New Zealand, was selected for this review, with preference given to research reports</w:t>
      </w:r>
      <w:r w:rsidR="00F81221">
        <w:rPr>
          <w:kern w:val="0"/>
        </w:rPr>
        <w:t xml:space="preserve"> and </w:t>
      </w:r>
      <w:r>
        <w:rPr>
          <w:kern w:val="0"/>
        </w:rPr>
        <w:t>official nursing publications. Conclusion: Strategies such as providing ongoing professional education, ensuring cultural safety</w:t>
      </w:r>
      <w:r w:rsidR="00F81221">
        <w:rPr>
          <w:kern w:val="0"/>
        </w:rPr>
        <w:t xml:space="preserve"> and </w:t>
      </w:r>
      <w:r>
        <w:rPr>
          <w:kern w:val="0"/>
        </w:rPr>
        <w:t>offering mentoring in practice environments will contribute to a safe passage for migrating nurses. Further research is required into the acculturation</w:t>
      </w:r>
      <w:r w:rsidR="00F81221">
        <w:rPr>
          <w:kern w:val="0"/>
        </w:rPr>
        <w:t xml:space="preserve"> and </w:t>
      </w:r>
      <w:r>
        <w:rPr>
          <w:kern w:val="0"/>
        </w:rPr>
        <w:t>socialization of Indian nurses, especially those moving to New Zealand.</w:t>
      </w:r>
    </w:p>
    <w:p w:rsidR="00715FFE" w:rsidRDefault="00715FFE" w:rsidP="00715FFE">
      <w:pPr>
        <w:pStyle w:val="a0"/>
        <w:rPr>
          <w:kern w:val="0"/>
        </w:rPr>
      </w:pPr>
      <w:r>
        <w:rPr>
          <w:kern w:val="0"/>
        </w:rPr>
        <w:t>Keywords: Acculturation, Barriers, Bibliographical Database, Cultural Safety, Education, Environment, Experiences, Globalization, Impact, India, Internationally Educated Nurses, Knowledge, Literature, Literature Review, Methods, New Zealand, Nurse Migration, Nurses, Nursing, Nursing-Students, Practice, Professional, Publications, Recruitment, Research, Review, Safety, Science, Trends, Web of Knowledge, Web of Science, Websites</w:t>
      </w:r>
    </w:p>
    <w:p w:rsidR="00B62E0D" w:rsidRDefault="00B62E0D" w:rsidP="00B62E0D">
      <w:pPr>
        <w:pStyle w:val="a0"/>
        <w:rPr>
          <w:kern w:val="0"/>
        </w:rPr>
      </w:pPr>
      <w:r>
        <w:rPr>
          <w:rFonts w:hint="eastAsia"/>
          <w:kern w:val="0"/>
        </w:rPr>
        <w:t xml:space="preserve">? </w:t>
      </w:r>
      <w:r>
        <w:rPr>
          <w:kern w:val="0"/>
        </w:rPr>
        <w:t>Ergul, S., Ardahan, M., Temel, A.B.</w:t>
      </w:r>
      <w:r w:rsidR="00F81221">
        <w:rPr>
          <w:kern w:val="0"/>
        </w:rPr>
        <w:t xml:space="preserve"> and </w:t>
      </w:r>
      <w:r>
        <w:rPr>
          <w:kern w:val="0"/>
        </w:rPr>
        <w:t xml:space="preserve">Yildirim, B.Ö. (2010), Bibliometric review of references of nursing research papers during the decade 1994-2003 in Turkey. </w:t>
      </w:r>
      <w:r>
        <w:rPr>
          <w:i/>
          <w:iCs/>
          <w:kern w:val="0"/>
        </w:rPr>
        <w:t>International Nursing Review</w:t>
      </w:r>
      <w:r>
        <w:rPr>
          <w:kern w:val="0"/>
        </w:rPr>
        <w:t xml:space="preserve">, </w:t>
      </w:r>
      <w:r>
        <w:rPr>
          <w:b/>
          <w:bCs/>
          <w:kern w:val="0"/>
        </w:rPr>
        <w:t>57</w:t>
      </w:r>
      <w:r>
        <w:rPr>
          <w:kern w:val="0"/>
        </w:rPr>
        <w:t xml:space="preserve"> (1), 49-55.</w:t>
      </w:r>
    </w:p>
    <w:p w:rsidR="00B62E0D" w:rsidRDefault="00B62E0D" w:rsidP="00B62E0D">
      <w:pPr>
        <w:pStyle w:val="a0"/>
        <w:rPr>
          <w:kern w:val="0"/>
        </w:rPr>
      </w:pPr>
      <w:r>
        <w:rPr>
          <w:rFonts w:hint="eastAsia"/>
          <w:kern w:val="0"/>
        </w:rPr>
        <w:t xml:space="preserve">Full Text: </w:t>
      </w:r>
      <w:hyperlink r:id="rId2100" w:history="1">
        <w:r w:rsidRPr="00FD0D5F">
          <w:rPr>
            <w:rStyle w:val="a5"/>
            <w:kern w:val="0"/>
          </w:rPr>
          <w:t>2010\Int Nur Rev57, 49.pdf</w:t>
        </w:r>
      </w:hyperlink>
    </w:p>
    <w:p w:rsidR="00B62E0D" w:rsidRDefault="00B62E0D" w:rsidP="00B62E0D">
      <w:pPr>
        <w:pStyle w:val="a0"/>
        <w:rPr>
          <w:kern w:val="0"/>
        </w:rPr>
      </w:pPr>
      <w:r>
        <w:rPr>
          <w:kern w:val="0"/>
        </w:rPr>
        <w:t>Abstract: Aim: To identify important information on the state of academic nursing</w:t>
      </w:r>
      <w:r w:rsidR="00F81221">
        <w:rPr>
          <w:kern w:val="0"/>
        </w:rPr>
        <w:t xml:space="preserve"> and </w:t>
      </w:r>
      <w:r>
        <w:rPr>
          <w:kern w:val="0"/>
        </w:rPr>
        <w:t xml:space="preserve">the characteristics of academic nursing publications in Turkey. Methods: The study </w:t>
      </w:r>
      <w:r>
        <w:rPr>
          <w:kern w:val="0"/>
        </w:rPr>
        <w:lastRenderedPageBreak/>
        <w:t>consists of retrospective bibliometric research. The selected sample of the research consisted of six Turkish nursing journals published between 1994-2003 from a total population of ten journals. Seventy-four issues of these six journals were included</w:t>
      </w:r>
      <w:r w:rsidR="00F81221">
        <w:rPr>
          <w:kern w:val="0"/>
        </w:rPr>
        <w:t xml:space="preserve"> and </w:t>
      </w:r>
      <w:r>
        <w:rPr>
          <w:kern w:val="0"/>
        </w:rPr>
        <w:t>825 research papers were analysed. A series of classic bibliometric indexes were used. Results: The average number of references per scientific paper is 16.19 [+/- standard deviation (SD) 8.56]. The changes in the number of references taken from journals over time do not show strong fluctuations but were statistically significant (P &lt; 0.001). The average number of references per paper is 17.71 (+/- SD 8.09) for research papers, while it is 14.50 (+/- SD 8.76) for reviews. The Price</w:t>
      </w:r>
      <w:r w:rsidR="000352E7">
        <w:rPr>
          <w:kern w:val="0"/>
        </w:rPr>
        <w:t>’</w:t>
      </w:r>
      <w:r>
        <w:rPr>
          <w:kern w:val="0"/>
        </w:rPr>
        <w:t>s index is 23.8%</w:t>
      </w:r>
      <w:r w:rsidR="00F81221">
        <w:rPr>
          <w:kern w:val="0"/>
        </w:rPr>
        <w:t xml:space="preserve"> and </w:t>
      </w:r>
      <w:r>
        <w:rPr>
          <w:kern w:val="0"/>
        </w:rPr>
        <w:t>the insularity index is 31.8%. Conclusions: The number of references used for papers has been increasing in recent years. The use of journals within references is high while the use of books is low. The Price</w:t>
      </w:r>
      <w:r w:rsidR="000352E7">
        <w:rPr>
          <w:kern w:val="0"/>
        </w:rPr>
        <w:t>’</w:t>
      </w:r>
      <w:r>
        <w:rPr>
          <w:kern w:val="0"/>
        </w:rPr>
        <w:t>s index tendency is decreasing. The high insularity index observed in the articles may be considered as a negative indicator of nursing journals in Turkey.</w:t>
      </w:r>
    </w:p>
    <w:p w:rsidR="00B62E0D" w:rsidRDefault="00B62E0D" w:rsidP="00B62E0D">
      <w:pPr>
        <w:pStyle w:val="a0"/>
        <w:rPr>
          <w:kern w:val="0"/>
        </w:rPr>
      </w:pPr>
      <w:r>
        <w:rPr>
          <w:kern w:val="0"/>
        </w:rPr>
        <w:t>Keywords: Analysis of References, Articles, Bibliometric, Bibliometric Indexes, Bibliometric Research, Bibliometrics, Books, Education, Impact, Journals, Nursing Research, Publications, Research, Research Papers, Review, Turkey</w:t>
      </w:r>
    </w:p>
    <w:p w:rsidR="00715FFE" w:rsidRDefault="00715FFE" w:rsidP="00715FFE">
      <w:pPr>
        <w:pStyle w:val="a0"/>
        <w:rPr>
          <w:kern w:val="0"/>
        </w:rPr>
      </w:pPr>
      <w:r>
        <w:rPr>
          <w:rFonts w:hint="eastAsia"/>
          <w:kern w:val="0"/>
        </w:rPr>
        <w:t xml:space="preserve">? </w:t>
      </w:r>
      <w:r>
        <w:rPr>
          <w:kern w:val="0"/>
        </w:rPr>
        <w:t>Kiekkas, P., Theodorakopoulou, G., Spyratos, F.</w:t>
      </w:r>
      <w:r w:rsidR="00F81221">
        <w:rPr>
          <w:kern w:val="0"/>
        </w:rPr>
        <w:t xml:space="preserve"> and </w:t>
      </w:r>
      <w:r>
        <w:rPr>
          <w:kern w:val="0"/>
        </w:rPr>
        <w:t>Baltopoulos, G.I. (2010), Psychological distress</w:t>
      </w:r>
      <w:r w:rsidR="00F81221">
        <w:rPr>
          <w:kern w:val="0"/>
        </w:rPr>
        <w:t xml:space="preserve"> and </w:t>
      </w:r>
      <w:r>
        <w:rPr>
          <w:kern w:val="0"/>
        </w:rPr>
        <w:t xml:space="preserve">delusional memories after critical care: A literature review. </w:t>
      </w:r>
      <w:r>
        <w:rPr>
          <w:i/>
          <w:iCs/>
          <w:kern w:val="0"/>
        </w:rPr>
        <w:t>International Nursing Review</w:t>
      </w:r>
      <w:r>
        <w:rPr>
          <w:kern w:val="0"/>
        </w:rPr>
        <w:t xml:space="preserve">, </w:t>
      </w:r>
      <w:r>
        <w:rPr>
          <w:b/>
          <w:bCs/>
          <w:kern w:val="0"/>
        </w:rPr>
        <w:t>57</w:t>
      </w:r>
      <w:r>
        <w:rPr>
          <w:kern w:val="0"/>
        </w:rPr>
        <w:t xml:space="preserve"> (3), 288-296.</w:t>
      </w:r>
    </w:p>
    <w:p w:rsidR="00715FFE" w:rsidRDefault="00715FFE" w:rsidP="00715FFE">
      <w:pPr>
        <w:pStyle w:val="a0"/>
        <w:rPr>
          <w:kern w:val="0"/>
        </w:rPr>
      </w:pPr>
      <w:r>
        <w:rPr>
          <w:rFonts w:hint="eastAsia"/>
          <w:kern w:val="0"/>
        </w:rPr>
        <w:t xml:space="preserve">Full Text: </w:t>
      </w:r>
      <w:r>
        <w:rPr>
          <w:kern w:val="0"/>
        </w:rPr>
        <w:t>20</w:t>
      </w:r>
      <w:r>
        <w:rPr>
          <w:rFonts w:hint="eastAsia"/>
          <w:kern w:val="0"/>
        </w:rPr>
        <w:t>10</w:t>
      </w:r>
      <w:r>
        <w:rPr>
          <w:kern w:val="0"/>
        </w:rPr>
        <w:t>\Int Nur Rev5</w:t>
      </w:r>
      <w:r>
        <w:rPr>
          <w:rFonts w:hint="eastAsia"/>
          <w:kern w:val="0"/>
        </w:rPr>
        <w:t>7</w:t>
      </w:r>
      <w:r>
        <w:rPr>
          <w:kern w:val="0"/>
        </w:rPr>
        <w:t>, 2</w:t>
      </w:r>
      <w:r>
        <w:rPr>
          <w:rFonts w:hint="eastAsia"/>
          <w:kern w:val="0"/>
        </w:rPr>
        <w:t>88</w:t>
      </w:r>
      <w:r w:rsidRPr="00C949E2">
        <w:rPr>
          <w:kern w:val="0"/>
        </w:rPr>
        <w:t>.pdf</w:t>
      </w:r>
    </w:p>
    <w:p w:rsidR="00715FFE" w:rsidRDefault="00715FFE" w:rsidP="00715FFE">
      <w:pPr>
        <w:pStyle w:val="a0"/>
        <w:rPr>
          <w:kern w:val="0"/>
        </w:rPr>
      </w:pPr>
      <w:r>
        <w:rPr>
          <w:kern w:val="0"/>
        </w:rPr>
        <w:t>Abstract: Background: A considerable number of intensive care unit (ICU) survivors report delusional memories, which refer to dreams, nightmares, paranoid delusions</w:t>
      </w:r>
      <w:r w:rsidR="00F81221">
        <w:rPr>
          <w:kern w:val="0"/>
        </w:rPr>
        <w:t xml:space="preserve"> and </w:t>
      </w:r>
      <w:r>
        <w:rPr>
          <w:kern w:val="0"/>
        </w:rPr>
        <w:t>hallucinations experienced in the ICU. These memories often have a strong vividness, long duration</w:t>
      </w:r>
      <w:r w:rsidR="00F81221">
        <w:rPr>
          <w:kern w:val="0"/>
        </w:rPr>
        <w:t xml:space="preserve"> and </w:t>
      </w:r>
      <w:r>
        <w:rPr>
          <w:kern w:val="0"/>
        </w:rPr>
        <w:t>high emotional impact. Aim: The aim of this review was to investigate</w:t>
      </w:r>
      <w:r w:rsidR="00F81221">
        <w:rPr>
          <w:kern w:val="0"/>
        </w:rPr>
        <w:t xml:space="preserve"> and </w:t>
      </w:r>
      <w:r>
        <w:rPr>
          <w:kern w:val="0"/>
        </w:rPr>
        <w:t>synthesize published literature about psychological distress associated with delusional memories of adult ICU survivors. Methods: Using key terms, a search was conducted in major health care electronic databases [Cumulative Index for Nursing</w:t>
      </w:r>
      <w:r w:rsidR="00F81221">
        <w:rPr>
          <w:kern w:val="0"/>
        </w:rPr>
        <w:t xml:space="preserve"> and </w:t>
      </w:r>
      <w:r>
        <w:rPr>
          <w:kern w:val="0"/>
        </w:rPr>
        <w:t>Allied Health Literature (CINAHL), PUBMED, Web of Science</w:t>
      </w:r>
      <w:r w:rsidR="00F81221">
        <w:rPr>
          <w:kern w:val="0"/>
        </w:rPr>
        <w:t xml:space="preserve"> and </w:t>
      </w:r>
      <w:r>
        <w:rPr>
          <w:kern w:val="0"/>
        </w:rPr>
        <w:t>PsycInfo] focusing on articles published between 1990</w:t>
      </w:r>
      <w:r w:rsidR="00F81221">
        <w:rPr>
          <w:kern w:val="0"/>
        </w:rPr>
        <w:t xml:space="preserve"> and </w:t>
      </w:r>
      <w:r>
        <w:rPr>
          <w:kern w:val="0"/>
        </w:rPr>
        <w:t>2009 in English-language journals. Findings: Ten articles met the inclusion criteria. Recall of delusional memories at various intervals after ICU discharge was associated with post-traumatic stress disorder (PTSD)-related symptoms in many studies, while associations with other aspects of psychological distress, mainly feelings of fear, anxiety</w:t>
      </w:r>
      <w:r w:rsidR="00F81221">
        <w:rPr>
          <w:kern w:val="0"/>
        </w:rPr>
        <w:t xml:space="preserve"> and </w:t>
      </w:r>
      <w:r>
        <w:rPr>
          <w:kern w:val="0"/>
        </w:rPr>
        <w:t>depression, were also reported. Recent studies did not seem to confirm the protective role of factual memories. Conclusions: The findings support the association between delusional memories</w:t>
      </w:r>
      <w:r w:rsidR="00F81221">
        <w:rPr>
          <w:kern w:val="0"/>
        </w:rPr>
        <w:t xml:space="preserve"> and </w:t>
      </w:r>
      <w:r>
        <w:rPr>
          <w:kern w:val="0"/>
        </w:rPr>
        <w:t xml:space="preserve">PTSD-related symptoms, but further research is needed to confirm their association with other psychological disorders. Development of a safety sense in the ICU can protect patients against the emotional </w:t>
      </w:r>
      <w:r>
        <w:rPr>
          <w:kern w:val="0"/>
        </w:rPr>
        <w:lastRenderedPageBreak/>
        <w:t>impact of both delusional</w:t>
      </w:r>
      <w:r w:rsidR="00F81221">
        <w:rPr>
          <w:kern w:val="0"/>
        </w:rPr>
        <w:t xml:space="preserve"> and </w:t>
      </w:r>
      <w:r>
        <w:rPr>
          <w:kern w:val="0"/>
        </w:rPr>
        <w:t>stressful factual ICU memories. Appropriate follow-up of high-risk patients could improve their long-term psychological recovery.</w:t>
      </w:r>
    </w:p>
    <w:p w:rsidR="00715FFE" w:rsidRDefault="00715FFE" w:rsidP="00715FFE">
      <w:pPr>
        <w:pStyle w:val="a0"/>
        <w:rPr>
          <w:kern w:val="0"/>
        </w:rPr>
      </w:pPr>
      <w:r>
        <w:rPr>
          <w:kern w:val="0"/>
        </w:rPr>
        <w:t>Keywords: Adult, Anxiety, Care, Critical, Critical Care, Databases, Depression, Disorder, Distress, Experiences, Follow-Up, Hallucinations, Health, Health Care, High-Risk Patients, Hypothesis, Icu, Impact, Intensive, Intensive Care, Intensive Care Unit, Intensive-Care, International Issues, Journals, Literature, Literature Review, Methods, Nursing, Posttraumatic Stress, Posttraumatic Stress Disorder, Posttraumatic-Stress-Disorder, Psychological, Psychology, Pubmed, Quality-Of-Life, Research, Review, Safety, Science, Sedation, Stress, Symptoms, Trauma, Unit, Web of Science</w:t>
      </w:r>
    </w:p>
    <w:p w:rsidR="004E32F3" w:rsidRDefault="004E32F3" w:rsidP="004E32F3">
      <w:pPr>
        <w:pStyle w:val="a0"/>
        <w:rPr>
          <w:kern w:val="0"/>
        </w:rPr>
      </w:pPr>
      <w:r>
        <w:rPr>
          <w:rFonts w:hint="eastAsia"/>
          <w:kern w:val="0"/>
        </w:rPr>
        <w:t xml:space="preserve">? </w:t>
      </w:r>
      <w:r>
        <w:rPr>
          <w:kern w:val="0"/>
        </w:rPr>
        <w:t>Peng, J.</w:t>
      </w:r>
      <w:r w:rsidR="00F81221">
        <w:rPr>
          <w:kern w:val="0"/>
        </w:rPr>
        <w:t xml:space="preserve"> and </w:t>
      </w:r>
      <w:r>
        <w:rPr>
          <w:kern w:val="0"/>
        </w:rPr>
        <w:t xml:space="preserve">Hui, Z.Y. (2011), Nursing research in three regions in China: A bibliometric study. </w:t>
      </w:r>
      <w:r>
        <w:rPr>
          <w:i/>
          <w:iCs/>
          <w:kern w:val="0"/>
        </w:rPr>
        <w:t>International Nursing Review</w:t>
      </w:r>
      <w:r>
        <w:rPr>
          <w:kern w:val="0"/>
        </w:rPr>
        <w:t xml:space="preserve">, </w:t>
      </w:r>
      <w:r>
        <w:rPr>
          <w:b/>
          <w:bCs/>
          <w:kern w:val="0"/>
        </w:rPr>
        <w:t>58</w:t>
      </w:r>
      <w:r>
        <w:rPr>
          <w:kern w:val="0"/>
        </w:rPr>
        <w:t xml:space="preserve"> (1), 21-25.</w:t>
      </w:r>
    </w:p>
    <w:p w:rsidR="004E32F3" w:rsidRDefault="004E32F3" w:rsidP="004E32F3">
      <w:pPr>
        <w:pStyle w:val="a0"/>
        <w:rPr>
          <w:kern w:val="0"/>
        </w:rPr>
      </w:pPr>
      <w:r>
        <w:rPr>
          <w:rFonts w:hint="eastAsia"/>
          <w:kern w:val="0"/>
        </w:rPr>
        <w:t xml:space="preserve">Full Text: </w:t>
      </w:r>
      <w:hyperlink r:id="rId2101" w:history="1">
        <w:r w:rsidRPr="009701FE">
          <w:rPr>
            <w:rStyle w:val="a5"/>
            <w:kern w:val="0"/>
          </w:rPr>
          <w:t>2011\Int Nur Rev58, 21.pdf</w:t>
        </w:r>
      </w:hyperlink>
    </w:p>
    <w:p w:rsidR="004E32F3" w:rsidRDefault="004E32F3" w:rsidP="004E32F3">
      <w:pPr>
        <w:pStyle w:val="a0"/>
        <w:rPr>
          <w:kern w:val="0"/>
        </w:rPr>
      </w:pPr>
      <w:r>
        <w:rPr>
          <w:kern w:val="0"/>
        </w:rPr>
        <w:t>Abstract: Objective: To analyse scientific papers published by Chinese authors in nursing journals included in the Science Citation Index Expanded</w:t>
      </w:r>
      <w:r w:rsidR="00F81221">
        <w:rPr>
          <w:kern w:val="0"/>
        </w:rPr>
        <w:t xml:space="preserve"> and </w:t>
      </w:r>
      <w:r>
        <w:rPr>
          <w:kern w:val="0"/>
        </w:rPr>
        <w:t>compare the published scientific papers from mainland China (ML), Taiwan (TW)</w:t>
      </w:r>
      <w:r w:rsidR="00F81221">
        <w:rPr>
          <w:kern w:val="0"/>
        </w:rPr>
        <w:t xml:space="preserve"> and </w:t>
      </w:r>
      <w:r>
        <w:rPr>
          <w:kern w:val="0"/>
        </w:rPr>
        <w:t>Hong Kong (HK). Methods: All articles published in 62 journals that were related to nursing originating from ML, TW</w:t>
      </w:r>
      <w:r w:rsidR="00F81221">
        <w:rPr>
          <w:kern w:val="0"/>
        </w:rPr>
        <w:t xml:space="preserve"> and </w:t>
      </w:r>
      <w:r>
        <w:rPr>
          <w:kern w:val="0"/>
        </w:rPr>
        <w:t>HK from 1999 to 2008 were retrieved from the PubMed</w:t>
      </w:r>
      <w:r w:rsidR="00F81221">
        <w:rPr>
          <w:kern w:val="0"/>
        </w:rPr>
        <w:t xml:space="preserve"> and </w:t>
      </w:r>
      <w:r>
        <w:rPr>
          <w:kern w:val="0"/>
        </w:rPr>
        <w:t>Institute for Scientific Information (ISI) Web of Knowledge database. The total number of articles published in nursing journals, impact factors</w:t>
      </w:r>
      <w:r w:rsidR="00F81221">
        <w:rPr>
          <w:kern w:val="0"/>
        </w:rPr>
        <w:t xml:space="preserve"> and </w:t>
      </w:r>
      <w:r>
        <w:rPr>
          <w:kern w:val="0"/>
        </w:rPr>
        <w:t>citation reports</w:t>
      </w:r>
      <w:r w:rsidR="00F81221">
        <w:rPr>
          <w:kern w:val="0"/>
        </w:rPr>
        <w:t xml:space="preserve"> and </w:t>
      </w:r>
      <w:r>
        <w:rPr>
          <w:kern w:val="0"/>
        </w:rPr>
        <w:t>articles were estimated for quantity</w:t>
      </w:r>
      <w:r w:rsidR="00F81221">
        <w:rPr>
          <w:kern w:val="0"/>
        </w:rPr>
        <w:t xml:space="preserve"> and </w:t>
      </w:r>
      <w:r>
        <w:rPr>
          <w:kern w:val="0"/>
        </w:rPr>
        <w:t>quality comparisons. Results: The number of articles from the three regions increased significantly from 1999 to 2008. There were 1015 articles in total from the three regions: ML (48), HK (414)</w:t>
      </w:r>
      <w:r w:rsidR="00F81221">
        <w:rPr>
          <w:kern w:val="0"/>
        </w:rPr>
        <w:t xml:space="preserve"> and </w:t>
      </w:r>
      <w:r>
        <w:rPr>
          <w:kern w:val="0"/>
        </w:rPr>
        <w:t>TW (553) in PubMed. In the ISI Web of Knowledge database, TW derived the highest total citations (1755 citations from 500 articles), followed by HK (1316 citations from 347 articles)</w:t>
      </w:r>
      <w:r w:rsidR="00F81221">
        <w:rPr>
          <w:kern w:val="0"/>
        </w:rPr>
        <w:t xml:space="preserve"> and </w:t>
      </w:r>
      <w:r>
        <w:rPr>
          <w:kern w:val="0"/>
        </w:rPr>
        <w:t>ML (158 citations from 55 articles). HK had the highest average citations of 3.79, followed by TW (3.51)</w:t>
      </w:r>
      <w:r w:rsidR="00F81221">
        <w:rPr>
          <w:kern w:val="0"/>
        </w:rPr>
        <w:t xml:space="preserve"> and </w:t>
      </w:r>
      <w:r>
        <w:rPr>
          <w:kern w:val="0"/>
        </w:rPr>
        <w:t>then ML (2.87). Discussion: The difference between the quantity</w:t>
      </w:r>
      <w:r w:rsidR="00F81221">
        <w:rPr>
          <w:kern w:val="0"/>
        </w:rPr>
        <w:t xml:space="preserve"> and </w:t>
      </w:r>
      <w:r>
        <w:rPr>
          <w:kern w:val="0"/>
        </w:rPr>
        <w:t>quality of nursing research articles published in ML, TW</w:t>
      </w:r>
      <w:r w:rsidR="00F81221">
        <w:rPr>
          <w:kern w:val="0"/>
        </w:rPr>
        <w:t xml:space="preserve"> and </w:t>
      </w:r>
      <w:r>
        <w:rPr>
          <w:kern w:val="0"/>
        </w:rPr>
        <w:t>HK is significant, although the gap appears to be narrowing. Long-term job stresses, low levels of education</w:t>
      </w:r>
      <w:r w:rsidR="00F81221">
        <w:rPr>
          <w:kern w:val="0"/>
        </w:rPr>
        <w:t xml:space="preserve"> and </w:t>
      </w:r>
      <w:r>
        <w:rPr>
          <w:kern w:val="0"/>
        </w:rPr>
        <w:t>language barriers are likely the main factors. ML, TW</w:t>
      </w:r>
      <w:r w:rsidR="00F81221">
        <w:rPr>
          <w:kern w:val="0"/>
        </w:rPr>
        <w:t xml:space="preserve"> and </w:t>
      </w:r>
      <w:r>
        <w:rPr>
          <w:kern w:val="0"/>
        </w:rPr>
        <w:t>HK have the same culture</w:t>
      </w:r>
      <w:r w:rsidR="00F81221">
        <w:rPr>
          <w:kern w:val="0"/>
        </w:rPr>
        <w:t xml:space="preserve"> and </w:t>
      </w:r>
      <w:r>
        <w:rPr>
          <w:kern w:val="0"/>
        </w:rPr>
        <w:t>ethnicity. We expect that ML will benefit significantly from increased exchanges with TW</w:t>
      </w:r>
      <w:r w:rsidR="00F81221">
        <w:rPr>
          <w:kern w:val="0"/>
        </w:rPr>
        <w:t xml:space="preserve"> and </w:t>
      </w:r>
      <w:r>
        <w:rPr>
          <w:kern w:val="0"/>
        </w:rPr>
        <w:t>HK in nursing research</w:t>
      </w:r>
      <w:r w:rsidR="00F81221">
        <w:rPr>
          <w:kern w:val="0"/>
        </w:rPr>
        <w:t xml:space="preserve"> and </w:t>
      </w:r>
      <w:r>
        <w:rPr>
          <w:kern w:val="0"/>
        </w:rPr>
        <w:t>education. We also speculate that TW</w:t>
      </w:r>
      <w:r w:rsidR="00F81221">
        <w:rPr>
          <w:kern w:val="0"/>
        </w:rPr>
        <w:t xml:space="preserve"> and </w:t>
      </w:r>
      <w:r>
        <w:rPr>
          <w:kern w:val="0"/>
        </w:rPr>
        <w:t>HK will benefit from exchanges because ML may have diverse nursing problems.</w:t>
      </w:r>
    </w:p>
    <w:p w:rsidR="004E32F3" w:rsidRDefault="004E32F3" w:rsidP="004E32F3">
      <w:pPr>
        <w:pStyle w:val="a0"/>
        <w:rPr>
          <w:kern w:val="0"/>
        </w:rPr>
      </w:pPr>
      <w:r>
        <w:rPr>
          <w:kern w:val="0"/>
        </w:rPr>
        <w:t xml:space="preserve">Keywords: Authors, Barriers, Bibliometric, Bibliometric Study, China, Chinese, Citation, Citations, Culture, Database, Education, Ethnicity, Hong Kong, Impact, Impact Factor, Impact Factors, Institute for Scientific Information, ISI, Journals, Mainland China, Mar, Nursing, Nursing Journals, Nursing Research, Papers, Pubmed, Quality, Quality of, Research, Science, Science Citation Index, Science Citation </w:t>
      </w:r>
      <w:r>
        <w:rPr>
          <w:kern w:val="0"/>
        </w:rPr>
        <w:lastRenderedPageBreak/>
        <w:t>Index Expanded, Taiwan</w:t>
      </w:r>
    </w:p>
    <w:p w:rsidR="004E32F3" w:rsidRDefault="004E32F3" w:rsidP="004E32F3">
      <w:pPr>
        <w:pStyle w:val="a0"/>
        <w:rPr>
          <w:kern w:val="0"/>
        </w:rPr>
      </w:pPr>
      <w:r>
        <w:rPr>
          <w:rFonts w:hint="eastAsia"/>
          <w:kern w:val="0"/>
        </w:rPr>
        <w:t xml:space="preserve">? </w:t>
      </w:r>
      <w:r>
        <w:rPr>
          <w:kern w:val="0"/>
        </w:rPr>
        <w:t xml:space="preserve">Traynor, M. (2011), Bibliometrics as politics: The case of emerging disciplines. </w:t>
      </w:r>
      <w:r>
        <w:rPr>
          <w:i/>
          <w:iCs/>
          <w:kern w:val="0"/>
        </w:rPr>
        <w:t>International Nursing Review</w:t>
      </w:r>
      <w:r>
        <w:rPr>
          <w:kern w:val="0"/>
        </w:rPr>
        <w:t xml:space="preserve">, </w:t>
      </w:r>
      <w:r>
        <w:rPr>
          <w:b/>
          <w:bCs/>
          <w:kern w:val="0"/>
        </w:rPr>
        <w:t>58</w:t>
      </w:r>
      <w:r>
        <w:rPr>
          <w:kern w:val="0"/>
        </w:rPr>
        <w:t xml:space="preserve"> (1), 26-27.</w:t>
      </w:r>
    </w:p>
    <w:p w:rsidR="004E32F3" w:rsidRDefault="004E32F3" w:rsidP="004E32F3">
      <w:pPr>
        <w:pStyle w:val="a0"/>
        <w:rPr>
          <w:kern w:val="0"/>
        </w:rPr>
      </w:pPr>
      <w:r>
        <w:rPr>
          <w:rFonts w:hint="eastAsia"/>
          <w:kern w:val="0"/>
        </w:rPr>
        <w:t xml:space="preserve">Full Text: </w:t>
      </w:r>
      <w:hyperlink r:id="rId2102" w:history="1">
        <w:r w:rsidRPr="00C9412C">
          <w:rPr>
            <w:rStyle w:val="a5"/>
            <w:kern w:val="0"/>
          </w:rPr>
          <w:t>2011\Int Nur Rev58, 26.pdf</w:t>
        </w:r>
      </w:hyperlink>
    </w:p>
    <w:p w:rsidR="004E32F3" w:rsidRDefault="004E32F3" w:rsidP="004E32F3">
      <w:pPr>
        <w:pStyle w:val="a0"/>
        <w:rPr>
          <w:kern w:val="0"/>
        </w:rPr>
      </w:pPr>
      <w:r>
        <w:rPr>
          <w:kern w:val="0"/>
        </w:rPr>
        <w:t>Abstract: Academic nurses are increasingly turning to bibliometrics to assess the state</w:t>
      </w:r>
      <w:r w:rsidR="00F81221">
        <w:rPr>
          <w:kern w:val="0"/>
        </w:rPr>
        <w:t xml:space="preserve"> and </w:t>
      </w:r>
      <w:r>
        <w:rPr>
          <w:kern w:val="0"/>
        </w:rPr>
        <w:t>status of research publication in nursing in countries around the world. Early bibliometric studies were carried out by Cattell as part of a project to advance research in psychology in the early decades of the 20th century. There are some echoes in nursing</w:t>
      </w:r>
      <w:r w:rsidR="000352E7">
        <w:rPr>
          <w:kern w:val="0"/>
        </w:rPr>
        <w:t>’</w:t>
      </w:r>
      <w:r>
        <w:rPr>
          <w:kern w:val="0"/>
        </w:rPr>
        <w:t>s moves to increase its standing over the last 40 years. The interpretation of bibliometric studies can reveal embedded values about academic disciplinary activity</w:t>
      </w:r>
      <w:r w:rsidR="00F81221">
        <w:rPr>
          <w:kern w:val="0"/>
        </w:rPr>
        <w:t xml:space="preserve"> and </w:t>
      </w:r>
      <w:r>
        <w:rPr>
          <w:kern w:val="0"/>
        </w:rPr>
        <w:t>normative views of scientific work. Patterns of publishing by nurse academics appear increasingly to resemble those in biomedicine as a whole.</w:t>
      </w:r>
    </w:p>
    <w:p w:rsidR="004E32F3" w:rsidRDefault="004E32F3" w:rsidP="004E32F3">
      <w:pPr>
        <w:pStyle w:val="a0"/>
        <w:rPr>
          <w:kern w:val="0"/>
        </w:rPr>
      </w:pPr>
      <w:r>
        <w:rPr>
          <w:kern w:val="0"/>
        </w:rPr>
        <w:t>Keywords: Advance, Bibliometric, Bibliometric Studies, Bibliometrics, Biomedicine, Mar, Nurses, Nursing, Nursing Research, Politics, Professionalization, Psychology, Publication, Publishing, Research, State, Work, World</w:t>
      </w:r>
    </w:p>
    <w:p w:rsidR="008D25AC" w:rsidRPr="001A3D2B" w:rsidRDefault="008D25AC" w:rsidP="008D25AC">
      <w:pPr>
        <w:pStyle w:val="1"/>
      </w:pPr>
      <w:r w:rsidRPr="001A3D2B">
        <w:br w:type="page"/>
      </w:r>
      <w:bookmarkStart w:id="1550" w:name="_Toc317161392"/>
      <w:r w:rsidRPr="001A3D2B">
        <w:lastRenderedPageBreak/>
        <w:t xml:space="preserve">Title: </w:t>
      </w:r>
      <w:r w:rsidRPr="0092026B">
        <w:rPr>
          <w:iCs/>
        </w:rPr>
        <w:t>International Orthopaedics</w:t>
      </w:r>
      <w:bookmarkEnd w:id="1550"/>
    </w:p>
    <w:p w:rsidR="008D25AC" w:rsidRPr="001A3D2B" w:rsidRDefault="008D25AC" w:rsidP="00B72EF9">
      <w:pPr>
        <w:pStyle w:val="12"/>
      </w:pPr>
      <w:r w:rsidRPr="001A3D2B">
        <w:t xml:space="preserve">Full Journal Title: </w:t>
      </w:r>
      <w:hyperlink r:id="rId2103" w:history="1">
        <w:r w:rsidRPr="002D161A">
          <w:rPr>
            <w:rStyle w:val="a5"/>
            <w:iCs/>
          </w:rPr>
          <w:t>International Orthopaedics</w:t>
        </w:r>
      </w:hyperlink>
    </w:p>
    <w:p w:rsidR="008D25AC" w:rsidRPr="001A3D2B" w:rsidRDefault="008D25AC" w:rsidP="00B72EF9">
      <w:pPr>
        <w:pStyle w:val="12"/>
      </w:pPr>
      <w:r w:rsidRPr="001A3D2B">
        <w:t xml:space="preserve">ISO Abbreviated Title: </w:t>
      </w:r>
    </w:p>
    <w:p w:rsidR="008D25AC" w:rsidRPr="001A3D2B" w:rsidRDefault="008D25AC" w:rsidP="00B72EF9">
      <w:pPr>
        <w:pStyle w:val="12"/>
      </w:pPr>
      <w:r w:rsidRPr="001A3D2B">
        <w:t xml:space="preserve">JCR Abbreviated Title: </w:t>
      </w:r>
    </w:p>
    <w:p w:rsidR="008D25AC" w:rsidRPr="001A3D2B" w:rsidRDefault="008D25AC" w:rsidP="00B72EF9">
      <w:pPr>
        <w:pStyle w:val="12"/>
      </w:pPr>
      <w:r w:rsidRPr="001A3D2B">
        <w:t xml:space="preserve">ISSN: </w:t>
      </w:r>
    </w:p>
    <w:p w:rsidR="008D25AC" w:rsidRPr="001A3D2B" w:rsidRDefault="008D25AC" w:rsidP="00B72EF9">
      <w:pPr>
        <w:pStyle w:val="12"/>
      </w:pPr>
      <w:r w:rsidRPr="001A3D2B">
        <w:t xml:space="preserve">Issues/Year: </w:t>
      </w:r>
    </w:p>
    <w:p w:rsidR="008D25AC" w:rsidRPr="001A3D2B" w:rsidRDefault="008D25AC" w:rsidP="00B72EF9">
      <w:pPr>
        <w:pStyle w:val="12"/>
      </w:pPr>
      <w:r w:rsidRPr="001A3D2B">
        <w:t>Journal Country/Territory:</w:t>
      </w:r>
    </w:p>
    <w:p w:rsidR="008D25AC" w:rsidRPr="001A3D2B" w:rsidRDefault="008D25AC" w:rsidP="00B72EF9">
      <w:pPr>
        <w:pStyle w:val="12"/>
      </w:pPr>
      <w:r w:rsidRPr="001A3D2B">
        <w:t xml:space="preserve">Language: </w:t>
      </w:r>
    </w:p>
    <w:p w:rsidR="008D25AC" w:rsidRPr="001A3D2B" w:rsidRDefault="008D25AC" w:rsidP="00B72EF9">
      <w:pPr>
        <w:pStyle w:val="12"/>
      </w:pPr>
      <w:r w:rsidRPr="001A3D2B">
        <w:t xml:space="preserve">Publisher: </w:t>
      </w:r>
    </w:p>
    <w:p w:rsidR="008D25AC" w:rsidRPr="001A3D2B" w:rsidRDefault="008D25AC" w:rsidP="00B72EF9">
      <w:pPr>
        <w:pStyle w:val="12"/>
      </w:pPr>
      <w:r w:rsidRPr="001A3D2B">
        <w:t xml:space="preserve">Publisher Address: </w:t>
      </w:r>
    </w:p>
    <w:p w:rsidR="008D25AC" w:rsidRPr="001A3D2B" w:rsidRDefault="008D25AC" w:rsidP="00B72EF9">
      <w:pPr>
        <w:pStyle w:val="12"/>
      </w:pPr>
      <w:r w:rsidRPr="001A3D2B">
        <w:t>Subject Categories:</w:t>
      </w:r>
    </w:p>
    <w:p w:rsidR="008D25AC" w:rsidRPr="001A3D2B" w:rsidRDefault="008D25AC" w:rsidP="00B72EF9">
      <w:pPr>
        <w:pStyle w:val="12"/>
      </w:pPr>
      <w:r w:rsidRPr="001A3D2B">
        <w:t>Impact Factor</w:t>
      </w:r>
    </w:p>
    <w:p w:rsidR="008D25AC" w:rsidRDefault="008D25AC" w:rsidP="008D25AC">
      <w:pPr>
        <w:pStyle w:val="a0"/>
        <w:rPr>
          <w:kern w:val="0"/>
        </w:rPr>
      </w:pPr>
      <w:r>
        <w:rPr>
          <w:rFonts w:hint="eastAsia"/>
          <w:kern w:val="0"/>
        </w:rPr>
        <w:t xml:space="preserve">? </w:t>
      </w:r>
      <w:r>
        <w:rPr>
          <w:kern w:val="0"/>
        </w:rPr>
        <w:t>Changulani, M., Okonkwo, U., Keswani, T.</w:t>
      </w:r>
      <w:r w:rsidR="00F81221">
        <w:rPr>
          <w:kern w:val="0"/>
        </w:rPr>
        <w:t xml:space="preserve"> and </w:t>
      </w:r>
      <w:r>
        <w:rPr>
          <w:kern w:val="0"/>
        </w:rPr>
        <w:t>Kalairajah, Y. (2008), Outcome evaluation measures for wrist</w:t>
      </w:r>
      <w:r w:rsidR="00F81221">
        <w:rPr>
          <w:kern w:val="0"/>
        </w:rPr>
        <w:t xml:space="preserve"> and </w:t>
      </w:r>
      <w:r>
        <w:rPr>
          <w:kern w:val="0"/>
        </w:rPr>
        <w:t xml:space="preserve">hand - which one to choose? </w:t>
      </w:r>
      <w:r w:rsidRPr="0092026B">
        <w:rPr>
          <w:i/>
          <w:iCs/>
          <w:kern w:val="0"/>
        </w:rPr>
        <w:t>International Orthopaedics</w:t>
      </w:r>
      <w:r>
        <w:rPr>
          <w:kern w:val="0"/>
        </w:rPr>
        <w:t xml:space="preserve">, </w:t>
      </w:r>
      <w:r>
        <w:rPr>
          <w:b/>
          <w:bCs/>
          <w:kern w:val="0"/>
        </w:rPr>
        <w:t>32</w:t>
      </w:r>
      <w:r>
        <w:rPr>
          <w:kern w:val="0"/>
        </w:rPr>
        <w:t xml:space="preserve"> (1), 1-6.</w:t>
      </w:r>
    </w:p>
    <w:p w:rsidR="008D25AC" w:rsidRDefault="008D25AC" w:rsidP="008D25AC">
      <w:pPr>
        <w:pStyle w:val="a0"/>
        <w:rPr>
          <w:kern w:val="0"/>
        </w:rPr>
      </w:pPr>
      <w:r>
        <w:rPr>
          <w:rFonts w:hint="eastAsia"/>
          <w:kern w:val="0"/>
        </w:rPr>
        <w:t xml:space="preserve">Full Text: </w:t>
      </w:r>
      <w:hyperlink r:id="rId2104" w:history="1">
        <w:r w:rsidRPr="0092026B">
          <w:rPr>
            <w:rStyle w:val="a5"/>
            <w:kern w:val="0"/>
          </w:rPr>
          <w:t>2008\Int Ort32, 1.pdf</w:t>
        </w:r>
      </w:hyperlink>
    </w:p>
    <w:p w:rsidR="008D25AC" w:rsidRDefault="008D25AC" w:rsidP="008D25AC">
      <w:pPr>
        <w:pStyle w:val="a0"/>
        <w:rPr>
          <w:kern w:val="0"/>
        </w:rPr>
      </w:pPr>
      <w:r>
        <w:rPr>
          <w:kern w:val="0"/>
        </w:rPr>
        <w:t>Abstract: The aim of this study was to critically analyse the various outcome measures available for assessing wrist</w:t>
      </w:r>
      <w:r w:rsidR="00F81221">
        <w:rPr>
          <w:kern w:val="0"/>
        </w:rPr>
        <w:t xml:space="preserve"> and </w:t>
      </w:r>
      <w:r>
        <w:rPr>
          <w:kern w:val="0"/>
        </w:rPr>
        <w:t>hand function. To this end, an extensive literature search was performed on Medline, PubMed</w:t>
      </w:r>
      <w:r w:rsidR="00F81221">
        <w:rPr>
          <w:kern w:val="0"/>
        </w:rPr>
        <w:t xml:space="preserve"> and </w:t>
      </w:r>
      <w:r>
        <w:rPr>
          <w:kern w:val="0"/>
        </w:rPr>
        <w:t>the Science Citation Index, focusing on terms associated with the method of development of the outcome measures item generation, item reduction, validity, reliability, internal consistency</w:t>
      </w:r>
      <w:r w:rsidR="00F81221">
        <w:rPr>
          <w:kern w:val="0"/>
        </w:rPr>
        <w:t xml:space="preserve"> and </w:t>
      </w:r>
      <w:r>
        <w:rPr>
          <w:kern w:val="0"/>
        </w:rPr>
        <w:t>their strengths</w:t>
      </w:r>
      <w:r w:rsidR="00F81221">
        <w:rPr>
          <w:kern w:val="0"/>
        </w:rPr>
        <w:t xml:space="preserve"> and </w:t>
      </w:r>
      <w:r>
        <w:rPr>
          <w:kern w:val="0"/>
        </w:rPr>
        <w:t>weaknesses. The most commonly used outcome measures described in literature were the DASH score (disability of shoulder, arm</w:t>
      </w:r>
      <w:r w:rsidR="00F81221">
        <w:rPr>
          <w:kern w:val="0"/>
        </w:rPr>
        <w:t xml:space="preserve"> and </w:t>
      </w:r>
      <w:r>
        <w:rPr>
          <w:kern w:val="0"/>
        </w:rPr>
        <w:t>hand questionnaire), the PRWE score (patient-rated wrist evaluation questionnaire), the Brigham</w:t>
      </w:r>
      <w:r w:rsidR="00F81221">
        <w:rPr>
          <w:kern w:val="0"/>
        </w:rPr>
        <w:t xml:space="preserve"> and </w:t>
      </w:r>
      <w:r>
        <w:rPr>
          <w:kern w:val="0"/>
        </w:rPr>
        <w:t>Women</w:t>
      </w:r>
      <w:r w:rsidR="000352E7">
        <w:rPr>
          <w:kern w:val="0"/>
        </w:rPr>
        <w:t>’</w:t>
      </w:r>
      <w:r>
        <w:rPr>
          <w:kern w:val="0"/>
        </w:rPr>
        <w:t>s carpal tunnel questionnaire</w:t>
      </w:r>
      <w:r w:rsidR="00F81221">
        <w:rPr>
          <w:kern w:val="0"/>
        </w:rPr>
        <w:t xml:space="preserve"> and </w:t>
      </w:r>
      <w:r>
        <w:rPr>
          <w:kern w:val="0"/>
        </w:rPr>
        <w:t>the Gartland</w:t>
      </w:r>
      <w:r w:rsidR="00F81221">
        <w:rPr>
          <w:kern w:val="0"/>
        </w:rPr>
        <w:t xml:space="preserve"> and </w:t>
      </w:r>
      <w:r>
        <w:rPr>
          <w:kern w:val="0"/>
        </w:rPr>
        <w:t>Werley score. Our study provides very useful evidence to suggest that the PRWE score is the most responsive instrument for evaluating the outcome in patients with distal radius fractures, while the DASH score is the best instrument for evaluating patients with disorders involving multiple joints of the upper limb. The Brigham</w:t>
      </w:r>
      <w:r w:rsidR="00F81221">
        <w:rPr>
          <w:kern w:val="0"/>
        </w:rPr>
        <w:t xml:space="preserve"> and </w:t>
      </w:r>
      <w:r>
        <w:rPr>
          <w:kern w:val="0"/>
        </w:rPr>
        <w:t>Women</w:t>
      </w:r>
      <w:r w:rsidR="000352E7">
        <w:rPr>
          <w:kern w:val="0"/>
        </w:rPr>
        <w:t>’</w:t>
      </w:r>
      <w:r>
        <w:rPr>
          <w:kern w:val="0"/>
        </w:rPr>
        <w:t>s score is a disease-specific outcome instrument for carpal tunnel syndrome; it has been validated</w:t>
      </w:r>
      <w:r w:rsidR="00F81221">
        <w:rPr>
          <w:kern w:val="0"/>
        </w:rPr>
        <w:t xml:space="preserve"> and </w:t>
      </w:r>
      <w:r>
        <w:rPr>
          <w:kern w:val="0"/>
        </w:rPr>
        <w:t>demonstrated to show good responsiveness</w:t>
      </w:r>
      <w:r w:rsidR="00F81221">
        <w:rPr>
          <w:kern w:val="0"/>
        </w:rPr>
        <w:t xml:space="preserve"> and </w:t>
      </w:r>
      <w:r>
        <w:rPr>
          <w:kern w:val="0"/>
        </w:rPr>
        <w:t>reliability in evaluating outcome in patients with carpal tunnel release. The Gartland</w:t>
      </w:r>
      <w:r w:rsidR="00F81221">
        <w:rPr>
          <w:kern w:val="0"/>
        </w:rPr>
        <w:t xml:space="preserve"> and </w:t>
      </w:r>
      <w:r>
        <w:rPr>
          <w:kern w:val="0"/>
        </w:rPr>
        <w:t>Werley score, although the most commonly described instrument in the literature for evaluating outcome after wrist surgery, has not been validated so to date.</w:t>
      </w:r>
    </w:p>
    <w:p w:rsidR="008D25AC" w:rsidRDefault="008D25AC" w:rsidP="008D25AC">
      <w:pPr>
        <w:pStyle w:val="a0"/>
        <w:rPr>
          <w:kern w:val="0"/>
        </w:rPr>
      </w:pPr>
      <w:r>
        <w:rPr>
          <w:kern w:val="0"/>
        </w:rPr>
        <w:t>Keywords: Arm, Citation, Development, Disability, Evaluation, Fracture, Literature, Medline, Questionnaire, Reduction, Reliability, Science, Science Citation Index, Shoulder, Surgery, Validity</w:t>
      </w:r>
    </w:p>
    <w:p w:rsidR="008D25AC" w:rsidRDefault="008D25AC" w:rsidP="008D25AC">
      <w:pPr>
        <w:pStyle w:val="a0"/>
        <w:rPr>
          <w:kern w:val="0"/>
        </w:rPr>
      </w:pPr>
      <w:r>
        <w:rPr>
          <w:rFonts w:hint="eastAsia"/>
          <w:kern w:val="0"/>
        </w:rPr>
        <w:lastRenderedPageBreak/>
        <w:t xml:space="preserve">? </w:t>
      </w:r>
      <w:r>
        <w:rPr>
          <w:kern w:val="0"/>
        </w:rPr>
        <w:t>Ibrahim, T., Tleyjeh, I.M.</w:t>
      </w:r>
      <w:r w:rsidR="00F81221">
        <w:rPr>
          <w:kern w:val="0"/>
        </w:rPr>
        <w:t xml:space="preserve"> and </w:t>
      </w:r>
      <w:r>
        <w:rPr>
          <w:kern w:val="0"/>
        </w:rPr>
        <w:t xml:space="preserve">Gabbar, O. (2008), Surgical versus non-surgical treatment of chronic low back pain: A meta-analysis of randomised trials. </w:t>
      </w:r>
      <w:r>
        <w:rPr>
          <w:i/>
          <w:iCs/>
          <w:kern w:val="0"/>
        </w:rPr>
        <w:t>International Orthopaedics</w:t>
      </w:r>
      <w:r>
        <w:rPr>
          <w:kern w:val="0"/>
        </w:rPr>
        <w:t xml:space="preserve">, </w:t>
      </w:r>
      <w:r>
        <w:rPr>
          <w:b/>
          <w:bCs/>
          <w:kern w:val="0"/>
        </w:rPr>
        <w:t>32</w:t>
      </w:r>
      <w:r>
        <w:rPr>
          <w:kern w:val="0"/>
        </w:rPr>
        <w:t xml:space="preserve"> (1), 107-113.</w:t>
      </w:r>
    </w:p>
    <w:p w:rsidR="008D25AC" w:rsidRDefault="008D25AC" w:rsidP="008D25AC">
      <w:pPr>
        <w:pStyle w:val="a0"/>
        <w:rPr>
          <w:kern w:val="0"/>
        </w:rPr>
      </w:pPr>
      <w:r>
        <w:rPr>
          <w:rFonts w:hint="eastAsia"/>
          <w:kern w:val="0"/>
        </w:rPr>
        <w:t xml:space="preserve">Full Text: </w:t>
      </w:r>
      <w:hyperlink r:id="rId2105" w:history="1">
        <w:r w:rsidRPr="002D161A">
          <w:rPr>
            <w:rStyle w:val="a5"/>
            <w:kern w:val="0"/>
          </w:rPr>
          <w:t>2008\Int Ort32, 107.pdf</w:t>
        </w:r>
      </w:hyperlink>
    </w:p>
    <w:p w:rsidR="008D25AC" w:rsidRDefault="008D25AC" w:rsidP="008D25AC">
      <w:pPr>
        <w:pStyle w:val="a0"/>
        <w:rPr>
          <w:kern w:val="0"/>
        </w:rPr>
      </w:pPr>
      <w:r>
        <w:rPr>
          <w:kern w:val="0"/>
        </w:rPr>
        <w:t>Abstract: We performed a meta-analysis of randomised controlled trials to investigate the effectiveness of surgical fusion for the treatment of chronic low back pain compared to non-surgical intervention. Several electronic databases (MEDLINE, EMBASE, CINAHL</w:t>
      </w:r>
      <w:r w:rsidR="00F81221">
        <w:rPr>
          <w:kern w:val="0"/>
        </w:rPr>
        <w:t xml:space="preserve"> and </w:t>
      </w:r>
      <w:r>
        <w:rPr>
          <w:kern w:val="0"/>
        </w:rPr>
        <w:t>Science Citation Index) were searched from 1966 to 2005. The meta-analysis comparison was based on the mean difference in Oswestry Disability Index (ODI) change from baseline to the specified follow-up of patients undergoing surgical versus non-surgical treatment. Of the 58 articles identified, three studies were eligible for primary analysis</w:t>
      </w:r>
      <w:r w:rsidR="00F81221">
        <w:rPr>
          <w:kern w:val="0"/>
        </w:rPr>
        <w:t xml:space="preserve"> and </w:t>
      </w:r>
      <w:r>
        <w:rPr>
          <w:kern w:val="0"/>
        </w:rPr>
        <w:t>one study for sensitivity analysis, with a total of 634 patients. The pooled mean difference in ODI between the surgical</w:t>
      </w:r>
      <w:r w:rsidR="00F81221">
        <w:rPr>
          <w:kern w:val="0"/>
        </w:rPr>
        <w:t xml:space="preserve"> and </w:t>
      </w:r>
      <w:r>
        <w:rPr>
          <w:kern w:val="0"/>
        </w:rPr>
        <w:t>non-surgical groups was in favour of surgery (mean difference of ODI: 4.13, 95%CI: -0.82 to 9.08, p = 0.10, I-2 = 44.4%). Surgical treatment was associated with a 16% pooled rate of early complication (95%CI: 12-20, I-2 = 0%). Surgical fusion for chronic low back pain favoured a marginal improvement in the ODI compared to non-surgical intervention. This difference in ODI was not statistically significant</w:t>
      </w:r>
      <w:r w:rsidR="00F81221">
        <w:rPr>
          <w:kern w:val="0"/>
        </w:rPr>
        <w:t xml:space="preserve"> and </w:t>
      </w:r>
      <w:r>
        <w:rPr>
          <w:kern w:val="0"/>
        </w:rPr>
        <w:t>is of minimal clinical importance. Surgery was found to be associated with a significant risk of complications. Therefore, the cumulative evidence at the present time does not support routine surgical fusion for the treatment of chronic low back pain.</w:t>
      </w:r>
    </w:p>
    <w:p w:rsidR="008D25AC" w:rsidRDefault="008D25AC" w:rsidP="008D25AC">
      <w:pPr>
        <w:pStyle w:val="a0"/>
        <w:rPr>
          <w:kern w:val="0"/>
        </w:rPr>
      </w:pPr>
      <w:r>
        <w:rPr>
          <w:kern w:val="0"/>
        </w:rPr>
        <w:t>Keywords: Articles, Change, Chronic, Citation, Clinical-Trials, Comparison, Databases, Disability, Effectiveness, Fusion, Groups, Instrumentation, Intensive Rehabilitation, Intervention, Medline, Meta-Analysis, Multicenter, Pain, Primary, Randomised Trials, Risk, Science, Science Citation Index, Sensitivity Analysis, Spondylolisthesis, Stabilization, Surgery, Swedish-Lumbar-Spine, Systematic Reviews, Treatment</w:t>
      </w:r>
    </w:p>
    <w:p w:rsidR="00B95188" w:rsidRPr="00A428C3" w:rsidRDefault="00B95188" w:rsidP="00B95188">
      <w:pPr>
        <w:pStyle w:val="1"/>
      </w:pPr>
      <w:r w:rsidRPr="00A428C3">
        <w:br w:type="page"/>
      </w:r>
      <w:bookmarkStart w:id="1551" w:name="_Toc455569487"/>
      <w:bookmarkStart w:id="1552" w:name="_Toc487190736"/>
      <w:bookmarkStart w:id="1553" w:name="_Toc487882241"/>
      <w:bookmarkStart w:id="1554" w:name="_Toc490688079"/>
      <w:bookmarkStart w:id="1555" w:name="_Toc492812192"/>
      <w:bookmarkStart w:id="1556" w:name="_Toc186647973"/>
      <w:bookmarkStart w:id="1557" w:name="_Toc317161393"/>
      <w:r w:rsidRPr="00A428C3">
        <w:lastRenderedPageBreak/>
        <w:t>Title: International Peat Journal</w:t>
      </w:r>
      <w:bookmarkEnd w:id="1551"/>
      <w:bookmarkEnd w:id="1552"/>
      <w:bookmarkEnd w:id="1553"/>
      <w:bookmarkEnd w:id="1554"/>
      <w:bookmarkEnd w:id="1555"/>
      <w:bookmarkEnd w:id="1556"/>
      <w:bookmarkEnd w:id="1557"/>
    </w:p>
    <w:p w:rsidR="00B95188" w:rsidRPr="00A428C3" w:rsidRDefault="00B95188" w:rsidP="00B95188">
      <w:pPr>
        <w:pStyle w:val="a0"/>
      </w:pPr>
      <w:r w:rsidRPr="00A428C3">
        <w:t>(Int. Peat J.)</w:t>
      </w:r>
    </w:p>
    <w:p w:rsidR="00B95188" w:rsidRPr="00A428C3" w:rsidRDefault="00B95188" w:rsidP="00B95188">
      <w:pPr>
        <w:pStyle w:val="a0"/>
      </w:pPr>
      <w:r w:rsidRPr="00A428C3">
        <w:t>McLellan, J.K.</w:t>
      </w:r>
      <w:r w:rsidR="00F81221">
        <w:t xml:space="preserve"> and </w:t>
      </w:r>
      <w:r w:rsidRPr="00A428C3">
        <w:t xml:space="preserve">Rock, </w:t>
      </w:r>
      <w:smartTag w:uri="urn:schemas-microsoft-com:office:smarttags" w:element="country-region">
        <w:r w:rsidRPr="00A428C3">
          <w:t>C.A.</w:t>
        </w:r>
      </w:smartTag>
      <w:r w:rsidRPr="00A428C3">
        <w:t xml:space="preserve"> (1986), The application of peat in enviromental polution control: A review. </w:t>
      </w:r>
      <w:r w:rsidRPr="00A428C3">
        <w:rPr>
          <w:i/>
        </w:rPr>
        <w:t>International Peat Journal</w:t>
      </w:r>
      <w:r w:rsidRPr="00A428C3">
        <w:t xml:space="preserve">, </w:t>
      </w:r>
      <w:r w:rsidRPr="00A428C3">
        <w:rPr>
          <w:b/>
        </w:rPr>
        <w:t>1</w:t>
      </w:r>
      <w:r w:rsidRPr="00A428C3">
        <w:t>, 1-14.</w:t>
      </w:r>
    </w:p>
    <w:p w:rsidR="00A633AE" w:rsidRPr="00217FB1" w:rsidRDefault="00A633AE" w:rsidP="00A633AE">
      <w:pPr>
        <w:pStyle w:val="1"/>
      </w:pPr>
      <w:r w:rsidRPr="00217FB1">
        <w:br w:type="page"/>
      </w:r>
      <w:bookmarkStart w:id="1558" w:name="_Toc317161394"/>
      <w:r w:rsidRPr="00217FB1">
        <w:lastRenderedPageBreak/>
        <w:t>Title:</w:t>
      </w:r>
      <w:r>
        <w:rPr>
          <w:rFonts w:hint="eastAsia"/>
        </w:rPr>
        <w:t xml:space="preserve"> </w:t>
      </w:r>
      <w:r w:rsidRPr="00D50499">
        <w:t>International Psychogeriatrics</w:t>
      </w:r>
      <w:bookmarkEnd w:id="1558"/>
    </w:p>
    <w:p w:rsidR="00A633AE" w:rsidRPr="00217FB1" w:rsidRDefault="00A633AE" w:rsidP="00B72EF9">
      <w:pPr>
        <w:pStyle w:val="12"/>
      </w:pPr>
      <w:r w:rsidRPr="00217FB1">
        <w:t xml:space="preserve">Full Journal Title: </w:t>
      </w:r>
      <w:r w:rsidRPr="00D50499">
        <w:t>International Psychogeriatrics</w:t>
      </w:r>
    </w:p>
    <w:p w:rsidR="00A633AE" w:rsidRPr="00217FB1" w:rsidRDefault="00A633AE" w:rsidP="00B72EF9">
      <w:pPr>
        <w:pStyle w:val="12"/>
      </w:pPr>
      <w:r w:rsidRPr="00217FB1">
        <w:t xml:space="preserve">ISO Abbreviated Title: </w:t>
      </w:r>
    </w:p>
    <w:p w:rsidR="00A633AE" w:rsidRPr="00217FB1" w:rsidRDefault="00A633AE" w:rsidP="00B72EF9">
      <w:pPr>
        <w:pStyle w:val="12"/>
      </w:pPr>
      <w:r w:rsidRPr="00217FB1">
        <w:t>JCR Abbreviated Title</w:t>
      </w:r>
      <w:r>
        <w:t>:</w:t>
      </w:r>
      <w:r w:rsidRPr="00217FB1">
        <w:t xml:space="preserve"> </w:t>
      </w:r>
    </w:p>
    <w:p w:rsidR="00A633AE" w:rsidRPr="00217FB1" w:rsidRDefault="00A633AE" w:rsidP="00B72EF9">
      <w:pPr>
        <w:pStyle w:val="12"/>
      </w:pPr>
      <w:r w:rsidRPr="00217FB1">
        <w:t xml:space="preserve">ISSN: </w:t>
      </w:r>
    </w:p>
    <w:p w:rsidR="00A633AE" w:rsidRPr="00217FB1" w:rsidRDefault="00A633AE" w:rsidP="00B72EF9">
      <w:pPr>
        <w:pStyle w:val="12"/>
      </w:pPr>
      <w:r w:rsidRPr="00217FB1">
        <w:t xml:space="preserve">Issues/Year: </w:t>
      </w:r>
    </w:p>
    <w:p w:rsidR="00A633AE" w:rsidRPr="00217FB1" w:rsidRDefault="00A633AE" w:rsidP="00B72EF9">
      <w:pPr>
        <w:pStyle w:val="12"/>
      </w:pPr>
      <w:r>
        <w:t>Journal Country/Territory:</w:t>
      </w:r>
    </w:p>
    <w:p w:rsidR="00A633AE" w:rsidRPr="00217FB1" w:rsidRDefault="00A633AE" w:rsidP="00B72EF9">
      <w:pPr>
        <w:pStyle w:val="12"/>
      </w:pPr>
      <w:r w:rsidRPr="00217FB1">
        <w:t xml:space="preserve">Language: </w:t>
      </w:r>
    </w:p>
    <w:p w:rsidR="00A633AE" w:rsidRPr="00217FB1" w:rsidRDefault="00A633AE" w:rsidP="00B72EF9">
      <w:pPr>
        <w:pStyle w:val="12"/>
      </w:pPr>
      <w:r w:rsidRPr="00217FB1">
        <w:t xml:space="preserve">Publisher: </w:t>
      </w:r>
    </w:p>
    <w:p w:rsidR="00A633AE" w:rsidRPr="00217FB1" w:rsidRDefault="00A633AE" w:rsidP="00B72EF9">
      <w:pPr>
        <w:pStyle w:val="12"/>
      </w:pPr>
      <w:r w:rsidRPr="00217FB1">
        <w:t xml:space="preserve">Publisher Address: </w:t>
      </w:r>
    </w:p>
    <w:p w:rsidR="00A633AE" w:rsidRPr="00217FB1" w:rsidRDefault="00A633AE" w:rsidP="00B72EF9">
      <w:pPr>
        <w:pStyle w:val="12"/>
      </w:pPr>
      <w:r w:rsidRPr="00217FB1">
        <w:t>Subject Categories:</w:t>
      </w:r>
    </w:p>
    <w:p w:rsidR="00A633AE" w:rsidRPr="00217FB1" w:rsidRDefault="00A633AE" w:rsidP="00B72EF9">
      <w:pPr>
        <w:pStyle w:val="12"/>
      </w:pPr>
      <w:r w:rsidRPr="00217FB1">
        <w:t>Impact Factor</w:t>
      </w:r>
    </w:p>
    <w:p w:rsidR="00715FFE" w:rsidRDefault="00715FFE" w:rsidP="00715FFE">
      <w:pPr>
        <w:pStyle w:val="a0"/>
        <w:rPr>
          <w:kern w:val="0"/>
        </w:rPr>
      </w:pPr>
      <w:r>
        <w:rPr>
          <w:rFonts w:hint="eastAsia"/>
          <w:kern w:val="0"/>
        </w:rPr>
        <w:t xml:space="preserve">? </w:t>
      </w:r>
      <w:r>
        <w:rPr>
          <w:kern w:val="0"/>
        </w:rPr>
        <w:t>Sampson, E.L., Ritchie, C.W., Lai, R., Raven, P.W.</w:t>
      </w:r>
      <w:r w:rsidR="00F81221">
        <w:rPr>
          <w:kern w:val="0"/>
        </w:rPr>
        <w:t xml:space="preserve"> and </w:t>
      </w:r>
      <w:r>
        <w:rPr>
          <w:kern w:val="0"/>
        </w:rPr>
        <w:t xml:space="preserve">Blanchard, M.R. (2005), A systematic review of the scientific evidence for the efficacy of a palliative care approach in advanced dementia. </w:t>
      </w:r>
      <w:r>
        <w:rPr>
          <w:i/>
          <w:iCs/>
          <w:kern w:val="0"/>
        </w:rPr>
        <w:t>International Psychogeriatrics</w:t>
      </w:r>
      <w:r>
        <w:rPr>
          <w:kern w:val="0"/>
        </w:rPr>
        <w:t xml:space="preserve">, </w:t>
      </w:r>
      <w:r>
        <w:rPr>
          <w:b/>
          <w:bCs/>
          <w:kern w:val="0"/>
        </w:rPr>
        <w:t>17</w:t>
      </w:r>
      <w:r>
        <w:rPr>
          <w:kern w:val="0"/>
        </w:rPr>
        <w:t xml:space="preserve"> (1), 31-40.</w:t>
      </w:r>
    </w:p>
    <w:p w:rsidR="005F0F94" w:rsidRPr="001A3D2B" w:rsidRDefault="005F0F94" w:rsidP="005F0F94">
      <w:pPr>
        <w:pStyle w:val="a0"/>
        <w:rPr>
          <w:kern w:val="0"/>
        </w:rPr>
      </w:pPr>
      <w:r w:rsidRPr="001A3D2B">
        <w:rPr>
          <w:kern w:val="0"/>
        </w:rPr>
        <w:t xml:space="preserve">Full Text: </w:t>
      </w:r>
      <w:hyperlink r:id="rId2106" w:history="1">
        <w:r w:rsidRPr="004F6D74">
          <w:rPr>
            <w:rStyle w:val="a5"/>
            <w:kern w:val="0"/>
          </w:rPr>
          <w:t>2005\Int Psy17, 31.pdf</w:t>
        </w:r>
      </w:hyperlink>
    </w:p>
    <w:p w:rsidR="00715FFE" w:rsidRDefault="00715FFE" w:rsidP="00715FFE">
      <w:pPr>
        <w:pStyle w:val="a0"/>
        <w:rPr>
          <w:kern w:val="0"/>
        </w:rPr>
      </w:pPr>
      <w:r>
        <w:rPr>
          <w:kern w:val="0"/>
        </w:rPr>
        <w:t>Abstract: Background: Patients with dementia often receive poor end-of-life care, with inadequate pain control</w:t>
      </w:r>
      <w:r w:rsidR="00F81221">
        <w:rPr>
          <w:kern w:val="0"/>
        </w:rPr>
        <w:t xml:space="preserve"> and </w:t>
      </w:r>
      <w:r>
        <w:rPr>
          <w:kern w:val="0"/>
        </w:rPr>
        <w:t>without access to the palliative care services that patients with cancer are offered. This has been identified as an area of need in recent U.K. Government reports</w:t>
      </w:r>
      <w:r w:rsidR="00F81221">
        <w:rPr>
          <w:kern w:val="0"/>
        </w:rPr>
        <w:t xml:space="preserve"> and </w:t>
      </w:r>
      <w:r>
        <w:rPr>
          <w:kern w:val="0"/>
        </w:rPr>
        <w:t>by the Alzheimer</w:t>
      </w:r>
      <w:r w:rsidR="000352E7">
        <w:rPr>
          <w:kern w:val="0"/>
        </w:rPr>
        <w:t>’</w:t>
      </w:r>
      <w:r>
        <w:rPr>
          <w:kern w:val="0"/>
        </w:rPr>
        <w:t>s Society (U.K.). Our objective was to perform a systematic review of the scientific literature regarding the efficacy of a palliative care model in patients with dementia. Methods: A systematic review was carried out to identify controlled trials that investigated the efficacy of palliative care in patients with dementia. Data sources included were MEDLINE, EMBASE, PsycINFO, CINAHL, British Nursing Index, AMED, Cochrane Database of Systematic Reviews, Web of Science, Cochrane Central Register of Controlled Trials, International Standard Randomised Controlled Trial register, the NHS Economic Evaluation Database</w:t>
      </w:r>
      <w:r w:rsidR="00F81221">
        <w:rPr>
          <w:kern w:val="0"/>
        </w:rPr>
        <w:t xml:space="preserve"> and </w:t>
      </w:r>
      <w:r>
        <w:rPr>
          <w:kern w:val="0"/>
        </w:rPr>
        <w:t>the System for Information on Grey Literature in Europe. Other data was sourced from hand searches of papers identified on electronic databases</w:t>
      </w:r>
      <w:r w:rsidR="00F81221">
        <w:rPr>
          <w:kern w:val="0"/>
        </w:rPr>
        <w:t xml:space="preserve"> and </w:t>
      </w:r>
      <w:r>
        <w:rPr>
          <w:kern w:val="0"/>
        </w:rPr>
        <w:t>review articles. Results: The search identified 30 review articles, but only four papers were eligible for full appraisal</w:t>
      </w:r>
      <w:r w:rsidR="00F81221">
        <w:rPr>
          <w:kern w:val="0"/>
        </w:rPr>
        <w:t xml:space="preserve"> and </w:t>
      </w:r>
      <w:r>
        <w:rPr>
          <w:kern w:val="0"/>
        </w:rPr>
        <w:t>only two of these met the full criteria for inclusion. These papers gave equivocal evidence of the efficacy for a palliative model of care in dementia. Conclusion: Despite the increased interest in palliative care for patients with dementia there is currently little evidence on which to base such an approach. This may in part be due to the ethical difficulties surrounding such research, prognostic uncertainty in clinicians</w:t>
      </w:r>
      <w:r w:rsidR="00F81221">
        <w:rPr>
          <w:kern w:val="0"/>
        </w:rPr>
        <w:t xml:space="preserve"> and </w:t>
      </w:r>
      <w:r>
        <w:rPr>
          <w:kern w:val="0"/>
        </w:rPr>
        <w:t xml:space="preserve">the lack of clear outcome measures for patients who are unable to express their needs or wishes. Further </w:t>
      </w:r>
      <w:r>
        <w:rPr>
          <w:kern w:val="0"/>
        </w:rPr>
        <w:lastRenderedPageBreak/>
        <w:t>systematic research is urgently needed to educate an important</w:t>
      </w:r>
      <w:r w:rsidR="00F81221">
        <w:rPr>
          <w:kern w:val="0"/>
        </w:rPr>
        <w:t xml:space="preserve"> and </w:t>
      </w:r>
      <w:r>
        <w:rPr>
          <w:kern w:val="0"/>
        </w:rPr>
        <w:t>developing area of clinical practice.</w:t>
      </w:r>
    </w:p>
    <w:p w:rsidR="00715FFE" w:rsidRDefault="00715FFE" w:rsidP="00715FFE">
      <w:pPr>
        <w:pStyle w:val="a0"/>
        <w:rPr>
          <w:kern w:val="0"/>
        </w:rPr>
      </w:pPr>
      <w:r>
        <w:rPr>
          <w:kern w:val="0"/>
        </w:rPr>
        <w:t>Keywords: Alzheimer</w:t>
      </w:r>
      <w:r w:rsidR="000352E7">
        <w:rPr>
          <w:kern w:val="0"/>
        </w:rPr>
        <w:t>’</w:t>
      </w:r>
      <w:r>
        <w:rPr>
          <w:kern w:val="0"/>
        </w:rPr>
        <w:t>S Disease, Alzheimers-Disease, Cancer, Caregivers, Clinician, Cochrane, Control, Databases, Death, Dementia, Efficacy, Embase, End-Of-Life Care, End-Stage Dementia, Europe, Evaluation, Families, Hospice, Interest, Literature, Metastatic Cancer, Methods, Model, Nursing, Of-Life Care, Outcome, Pain, Palliative Care, Papers, Practice, Research, Review, Science, Systematic, Systematic Review, Terminal Care, Web of Science</w:t>
      </w:r>
    </w:p>
    <w:p w:rsidR="00A633AE" w:rsidRDefault="00A633AE" w:rsidP="00A633AE">
      <w:pPr>
        <w:pStyle w:val="a0"/>
        <w:rPr>
          <w:kern w:val="0"/>
        </w:rPr>
      </w:pPr>
      <w:r>
        <w:rPr>
          <w:rFonts w:hint="eastAsia"/>
          <w:kern w:val="0"/>
        </w:rPr>
        <w:t xml:space="preserve">? </w:t>
      </w:r>
      <w:r>
        <w:rPr>
          <w:kern w:val="0"/>
        </w:rPr>
        <w:t xml:space="preserve">Unutzer, J. (2009), Top cited papers in </w:t>
      </w:r>
      <w:r w:rsidRPr="00D50499">
        <w:rPr>
          <w:i/>
          <w:iCs/>
          <w:kern w:val="0"/>
        </w:rPr>
        <w:t>International Psychogeriatrics</w:t>
      </w:r>
      <w:r>
        <w:rPr>
          <w:kern w:val="0"/>
        </w:rPr>
        <w:t>: 2. Quality adjusted life years in older adults with depressive symptoms</w:t>
      </w:r>
      <w:r w:rsidR="00F81221">
        <w:rPr>
          <w:kern w:val="0"/>
        </w:rPr>
        <w:t xml:space="preserve"> and </w:t>
      </w:r>
      <w:r>
        <w:rPr>
          <w:kern w:val="0"/>
        </w:rPr>
        <w:t xml:space="preserve">chronic medical disorders. </w:t>
      </w:r>
      <w:r>
        <w:rPr>
          <w:i/>
          <w:iCs/>
          <w:kern w:val="0"/>
        </w:rPr>
        <w:t>International Psychogeriatrics</w:t>
      </w:r>
      <w:r>
        <w:rPr>
          <w:kern w:val="0"/>
        </w:rPr>
        <w:t xml:space="preserve">, </w:t>
      </w:r>
      <w:r>
        <w:rPr>
          <w:b/>
          <w:bCs/>
          <w:kern w:val="0"/>
        </w:rPr>
        <w:t>21</w:t>
      </w:r>
      <w:r>
        <w:rPr>
          <w:kern w:val="0"/>
        </w:rPr>
        <w:t xml:space="preserve"> (2), 265-267</w:t>
      </w:r>
      <w:r>
        <w:rPr>
          <w:rFonts w:hint="eastAsia"/>
          <w:kern w:val="0"/>
        </w:rPr>
        <w:t>.</w:t>
      </w:r>
    </w:p>
    <w:p w:rsidR="005F0F94" w:rsidRDefault="005F0F94" w:rsidP="005F0F94">
      <w:pPr>
        <w:pStyle w:val="a0"/>
        <w:rPr>
          <w:kern w:val="0"/>
        </w:rPr>
      </w:pPr>
      <w:r>
        <w:rPr>
          <w:rFonts w:hint="eastAsia"/>
          <w:kern w:val="0"/>
        </w:rPr>
        <w:t xml:space="preserve">Full Text: </w:t>
      </w:r>
      <w:hyperlink r:id="rId2107" w:history="1">
        <w:r w:rsidRPr="004F6D74">
          <w:rPr>
            <w:rStyle w:val="a5"/>
            <w:kern w:val="0"/>
          </w:rPr>
          <w:t>2009\Int Psy21, 265.pdf</w:t>
        </w:r>
      </w:hyperlink>
    </w:p>
    <w:p w:rsidR="00A633AE" w:rsidRDefault="00A633AE" w:rsidP="00A633AE">
      <w:pPr>
        <w:pStyle w:val="a0"/>
        <w:rPr>
          <w:kern w:val="0"/>
        </w:rPr>
      </w:pPr>
      <w:r>
        <w:rPr>
          <w:kern w:val="0"/>
        </w:rPr>
        <w:t xml:space="preserve">Keywords: Chronic Diseases, Collaborative Care, Cost, Health-Services, </w:t>
      </w:r>
      <w:r w:rsidR="005F0F94">
        <w:rPr>
          <w:kern w:val="0"/>
        </w:rPr>
        <w:t>HMO</w:t>
      </w:r>
      <w:r>
        <w:rPr>
          <w:kern w:val="0"/>
        </w:rPr>
        <w:t>, Major Depression, Management, Outcomes, Primary-Care Patients, Randomized Controlled-Trial</w:t>
      </w:r>
    </w:p>
    <w:p w:rsidR="00A633AE" w:rsidRDefault="00A633AE" w:rsidP="00A633AE">
      <w:pPr>
        <w:pStyle w:val="a0"/>
        <w:rPr>
          <w:kern w:val="0"/>
        </w:rPr>
      </w:pPr>
      <w:r>
        <w:rPr>
          <w:rFonts w:hint="eastAsia"/>
          <w:kern w:val="0"/>
        </w:rPr>
        <w:t xml:space="preserve">? </w:t>
      </w:r>
      <w:r>
        <w:rPr>
          <w:kern w:val="0"/>
        </w:rPr>
        <w:t>Gauthier, S.</w:t>
      </w:r>
      <w:r w:rsidR="00F81221">
        <w:rPr>
          <w:kern w:val="0"/>
        </w:rPr>
        <w:t xml:space="preserve"> and </w:t>
      </w:r>
      <w:r>
        <w:rPr>
          <w:kern w:val="0"/>
        </w:rPr>
        <w:t>O</w:t>
      </w:r>
      <w:r w:rsidR="000352E7">
        <w:rPr>
          <w:kern w:val="0"/>
        </w:rPr>
        <w:t>’</w:t>
      </w:r>
      <w:r>
        <w:rPr>
          <w:kern w:val="0"/>
        </w:rPr>
        <w:t xml:space="preserve">Brien, J. (2009), Top cited papers in </w:t>
      </w:r>
      <w:r w:rsidRPr="00674042">
        <w:rPr>
          <w:i/>
          <w:iCs/>
          <w:kern w:val="0"/>
        </w:rPr>
        <w:t>International Psychogeriatrics</w:t>
      </w:r>
      <w:r>
        <w:rPr>
          <w:kern w:val="0"/>
        </w:rPr>
        <w:t>: 3. Efficacy of donepezil on behavioral symptoms in patients with moderate to severe Alzheimer</w:t>
      </w:r>
      <w:r w:rsidR="000352E7">
        <w:rPr>
          <w:kern w:val="0"/>
        </w:rPr>
        <w:t>’</w:t>
      </w:r>
      <w:r>
        <w:rPr>
          <w:rFonts w:hint="eastAsia"/>
          <w:kern w:val="0"/>
        </w:rPr>
        <w:t>s</w:t>
      </w:r>
      <w:r>
        <w:rPr>
          <w:kern w:val="0"/>
        </w:rPr>
        <w:t xml:space="preserve"> disease. </w:t>
      </w:r>
      <w:r>
        <w:rPr>
          <w:i/>
          <w:iCs/>
          <w:kern w:val="0"/>
        </w:rPr>
        <w:t>International Psychogeriatrics</w:t>
      </w:r>
      <w:r>
        <w:rPr>
          <w:kern w:val="0"/>
        </w:rPr>
        <w:t xml:space="preserve">, </w:t>
      </w:r>
      <w:r>
        <w:rPr>
          <w:b/>
          <w:bCs/>
          <w:kern w:val="0"/>
        </w:rPr>
        <w:t>21</w:t>
      </w:r>
      <w:r>
        <w:rPr>
          <w:kern w:val="0"/>
        </w:rPr>
        <w:t xml:space="preserve"> (3), 454-456</w:t>
      </w:r>
      <w:r>
        <w:rPr>
          <w:rFonts w:hint="eastAsia"/>
          <w:kern w:val="0"/>
        </w:rPr>
        <w:t>.</w:t>
      </w:r>
    </w:p>
    <w:p w:rsidR="00715FFE" w:rsidRPr="001A3D2B" w:rsidRDefault="00715FFE" w:rsidP="00715FFE">
      <w:pPr>
        <w:pStyle w:val="a0"/>
        <w:rPr>
          <w:kern w:val="0"/>
        </w:rPr>
      </w:pPr>
      <w:r w:rsidRPr="001A3D2B">
        <w:rPr>
          <w:kern w:val="0"/>
        </w:rPr>
        <w:t xml:space="preserve">Full Text: </w:t>
      </w:r>
      <w:hyperlink r:id="rId2108" w:history="1">
        <w:r w:rsidR="005F0F94" w:rsidRPr="005F0F94">
          <w:rPr>
            <w:rStyle w:val="a5"/>
            <w:kern w:val="0"/>
          </w:rPr>
          <w:t>2009\Int Psy21, 454.pdf</w:t>
        </w:r>
      </w:hyperlink>
    </w:p>
    <w:p w:rsidR="00A633AE" w:rsidRDefault="00A633AE" w:rsidP="00A633AE">
      <w:pPr>
        <w:pStyle w:val="a0"/>
        <w:rPr>
          <w:kern w:val="0"/>
        </w:rPr>
      </w:pPr>
      <w:r>
        <w:rPr>
          <w:kern w:val="0"/>
        </w:rPr>
        <w:t>Keywords: BPSD, Memantine, Psychological Symptoms</w:t>
      </w:r>
    </w:p>
    <w:p w:rsidR="00A633AE" w:rsidRDefault="00A633AE" w:rsidP="00A633AE">
      <w:pPr>
        <w:pStyle w:val="a0"/>
        <w:rPr>
          <w:kern w:val="0"/>
        </w:rPr>
      </w:pPr>
      <w:r>
        <w:rPr>
          <w:rFonts w:hint="eastAsia"/>
          <w:kern w:val="0"/>
        </w:rPr>
        <w:t xml:space="preserve">? </w:t>
      </w:r>
      <w:r>
        <w:rPr>
          <w:kern w:val="0"/>
        </w:rPr>
        <w:t xml:space="preserve">Gerdner, L.A. (2009), Top cited papers in </w:t>
      </w:r>
      <w:r w:rsidRPr="00674042">
        <w:rPr>
          <w:i/>
          <w:iCs/>
          <w:kern w:val="0"/>
        </w:rPr>
        <w:t>International Psychogeriatrics</w:t>
      </w:r>
      <w:r>
        <w:rPr>
          <w:kern w:val="0"/>
        </w:rPr>
        <w:t xml:space="preserve">: 4. Effects of individualized vs. classical </w:t>
      </w:r>
      <w:r w:rsidR="000352E7">
        <w:rPr>
          <w:kern w:val="0"/>
        </w:rPr>
        <w:t>“</w:t>
      </w:r>
      <w:r>
        <w:rPr>
          <w:kern w:val="0"/>
        </w:rPr>
        <w:t>relaxation</w:t>
      </w:r>
      <w:r w:rsidR="000352E7">
        <w:rPr>
          <w:kern w:val="0"/>
        </w:rPr>
        <w:t>”</w:t>
      </w:r>
      <w:r>
        <w:rPr>
          <w:kern w:val="0"/>
        </w:rPr>
        <w:t xml:space="preserve"> music on the frequency of agitation in elderly persons with Alzheimer</w:t>
      </w:r>
      <w:r w:rsidR="000352E7">
        <w:rPr>
          <w:kern w:val="0"/>
        </w:rPr>
        <w:t>’</w:t>
      </w:r>
      <w:r>
        <w:rPr>
          <w:rFonts w:hint="eastAsia"/>
          <w:kern w:val="0"/>
        </w:rPr>
        <w:t>s</w:t>
      </w:r>
      <w:r>
        <w:rPr>
          <w:kern w:val="0"/>
        </w:rPr>
        <w:t xml:space="preserve"> disease</w:t>
      </w:r>
      <w:r w:rsidR="00F81221">
        <w:rPr>
          <w:kern w:val="0"/>
        </w:rPr>
        <w:t xml:space="preserve"> and </w:t>
      </w:r>
      <w:r>
        <w:rPr>
          <w:kern w:val="0"/>
        </w:rPr>
        <w:t xml:space="preserve">related disorders. </w:t>
      </w:r>
      <w:r>
        <w:rPr>
          <w:i/>
          <w:iCs/>
          <w:kern w:val="0"/>
        </w:rPr>
        <w:t>International Psychogeriatrics</w:t>
      </w:r>
      <w:r>
        <w:rPr>
          <w:kern w:val="0"/>
        </w:rPr>
        <w:t xml:space="preserve">, </w:t>
      </w:r>
      <w:r>
        <w:rPr>
          <w:b/>
          <w:bCs/>
          <w:kern w:val="0"/>
        </w:rPr>
        <w:t>21</w:t>
      </w:r>
      <w:r>
        <w:rPr>
          <w:kern w:val="0"/>
        </w:rPr>
        <w:t xml:space="preserve"> (4), 667-671</w:t>
      </w:r>
      <w:r>
        <w:rPr>
          <w:rFonts w:hint="eastAsia"/>
          <w:kern w:val="0"/>
        </w:rPr>
        <w:t>.</w:t>
      </w:r>
    </w:p>
    <w:p w:rsidR="005F0F94" w:rsidRPr="001A3D2B" w:rsidRDefault="005F0F94" w:rsidP="005F0F94">
      <w:pPr>
        <w:pStyle w:val="a0"/>
        <w:rPr>
          <w:kern w:val="0"/>
        </w:rPr>
      </w:pPr>
      <w:r w:rsidRPr="001A3D2B">
        <w:rPr>
          <w:kern w:val="0"/>
        </w:rPr>
        <w:t xml:space="preserve">Full Text: </w:t>
      </w:r>
      <w:hyperlink r:id="rId2109" w:history="1">
        <w:r w:rsidRPr="004F6D74">
          <w:rPr>
            <w:rStyle w:val="a5"/>
            <w:kern w:val="0"/>
          </w:rPr>
          <w:t>2009\Int Psy21, 667.pdf</w:t>
        </w:r>
      </w:hyperlink>
    </w:p>
    <w:p w:rsidR="00A633AE" w:rsidRDefault="00A633AE" w:rsidP="00A633AE">
      <w:pPr>
        <w:pStyle w:val="a0"/>
        <w:rPr>
          <w:kern w:val="0"/>
        </w:rPr>
      </w:pPr>
      <w:r>
        <w:rPr>
          <w:kern w:val="0"/>
        </w:rPr>
        <w:t>Keywords: Dementia, Residents</w:t>
      </w:r>
    </w:p>
    <w:p w:rsidR="00B95C9E" w:rsidRDefault="00B95C9E" w:rsidP="00B95C9E">
      <w:pPr>
        <w:pStyle w:val="a0"/>
        <w:rPr>
          <w:kern w:val="0"/>
        </w:rPr>
      </w:pPr>
      <w:r>
        <w:rPr>
          <w:rFonts w:hint="eastAsia"/>
          <w:kern w:val="0"/>
        </w:rPr>
        <w:t xml:space="preserve">? </w:t>
      </w:r>
      <w:r>
        <w:rPr>
          <w:kern w:val="0"/>
        </w:rPr>
        <w:t>O</w:t>
      </w:r>
      <w:r w:rsidR="000352E7">
        <w:rPr>
          <w:kern w:val="0"/>
        </w:rPr>
        <w:t>’</w:t>
      </w:r>
      <w:r>
        <w:rPr>
          <w:kern w:val="0"/>
        </w:rPr>
        <w:t xml:space="preserve">Brien, J.T. (2009), Top </w:t>
      </w:r>
      <w:r w:rsidR="005F0F94">
        <w:rPr>
          <w:kern w:val="0"/>
        </w:rPr>
        <w:t>cited pa</w:t>
      </w:r>
      <w:r>
        <w:rPr>
          <w:kern w:val="0"/>
        </w:rPr>
        <w:t xml:space="preserve">pers in </w:t>
      </w:r>
      <w:r w:rsidRPr="00FC2F1C">
        <w:rPr>
          <w:i/>
          <w:kern w:val="0"/>
        </w:rPr>
        <w:t>International Psychogeriatrics</w:t>
      </w:r>
      <w:r>
        <w:rPr>
          <w:kern w:val="0"/>
        </w:rPr>
        <w:t xml:space="preserve">: 5. </w:t>
      </w:r>
      <w:r w:rsidR="00715FFE">
        <w:rPr>
          <w:kern w:val="0"/>
        </w:rPr>
        <w:t xml:space="preserve">A </w:t>
      </w:r>
      <w:r>
        <w:rPr>
          <w:kern w:val="0"/>
        </w:rPr>
        <w:t xml:space="preserve">controlled study of repetitive transcranial magnetic stimulation as a treatment of depression in the elderly. </w:t>
      </w:r>
      <w:r>
        <w:rPr>
          <w:i/>
          <w:iCs/>
          <w:kern w:val="0"/>
        </w:rPr>
        <w:t>International Psychogeriatrics</w:t>
      </w:r>
      <w:r>
        <w:rPr>
          <w:kern w:val="0"/>
        </w:rPr>
        <w:t xml:space="preserve">, </w:t>
      </w:r>
      <w:r>
        <w:rPr>
          <w:b/>
          <w:bCs/>
          <w:kern w:val="0"/>
        </w:rPr>
        <w:t>21</w:t>
      </w:r>
      <w:r>
        <w:rPr>
          <w:kern w:val="0"/>
        </w:rPr>
        <w:t xml:space="preserve"> (5), 855-860</w:t>
      </w:r>
      <w:r>
        <w:rPr>
          <w:rFonts w:hint="eastAsia"/>
          <w:kern w:val="0"/>
        </w:rPr>
        <w:t>.</w:t>
      </w:r>
    </w:p>
    <w:p w:rsidR="00715FFE" w:rsidRPr="001A3D2B" w:rsidRDefault="00715FFE" w:rsidP="00715FFE">
      <w:pPr>
        <w:pStyle w:val="a0"/>
        <w:rPr>
          <w:kern w:val="0"/>
        </w:rPr>
      </w:pPr>
      <w:r w:rsidRPr="001A3D2B">
        <w:rPr>
          <w:kern w:val="0"/>
        </w:rPr>
        <w:t xml:space="preserve">Full Text: </w:t>
      </w:r>
      <w:hyperlink r:id="rId2110" w:history="1">
        <w:r w:rsidR="005F0F94" w:rsidRPr="005F0F94">
          <w:rPr>
            <w:rStyle w:val="a5"/>
            <w:kern w:val="0"/>
          </w:rPr>
          <w:t>2009\Int Psy21, 855.pdf</w:t>
        </w:r>
      </w:hyperlink>
    </w:p>
    <w:p w:rsidR="00B95C9E" w:rsidRDefault="00B95C9E" w:rsidP="00B95C9E">
      <w:pPr>
        <w:pStyle w:val="a0"/>
        <w:rPr>
          <w:kern w:val="0"/>
        </w:rPr>
      </w:pPr>
      <w:r>
        <w:rPr>
          <w:kern w:val="0"/>
        </w:rPr>
        <w:t>Keywords: Consensus Statement, Depression, Electroconvulsive-Therapy, Geriatric Depression, Late-Life Depression, Major Depression, Subcortical Hyperintensities, Subsyndromal Depression, Treatment Response, Vascular Depression, White-Matter Hyperintensities</w:t>
      </w:r>
    </w:p>
    <w:p w:rsidR="00E176A1" w:rsidRDefault="00E176A1" w:rsidP="00E176A1">
      <w:pPr>
        <w:pStyle w:val="a0"/>
        <w:rPr>
          <w:kern w:val="0"/>
        </w:rPr>
      </w:pPr>
      <w:r>
        <w:rPr>
          <w:rFonts w:hint="eastAsia"/>
          <w:kern w:val="0"/>
        </w:rPr>
        <w:t xml:space="preserve">? </w:t>
      </w:r>
      <w:r>
        <w:rPr>
          <w:kern w:val="0"/>
        </w:rPr>
        <w:t>Ballard, C., Margallo-Lana, M., O</w:t>
      </w:r>
      <w:r w:rsidR="000352E7">
        <w:rPr>
          <w:kern w:val="0"/>
        </w:rPr>
        <w:t>’</w:t>
      </w:r>
      <w:r>
        <w:rPr>
          <w:kern w:val="0"/>
        </w:rPr>
        <w:t>Brien, J.T., James, I., Howard, R.</w:t>
      </w:r>
      <w:r w:rsidR="00F81221">
        <w:rPr>
          <w:kern w:val="0"/>
        </w:rPr>
        <w:t xml:space="preserve"> and </w:t>
      </w:r>
      <w:r>
        <w:rPr>
          <w:kern w:val="0"/>
        </w:rPr>
        <w:t xml:space="preserve">Fossey, J. (2009), Top cited papers in international psychogeriatrics: 6A. </w:t>
      </w:r>
      <w:r w:rsidR="00715FFE">
        <w:rPr>
          <w:kern w:val="0"/>
        </w:rPr>
        <w:t xml:space="preserve">Quality </w:t>
      </w:r>
      <w:r>
        <w:rPr>
          <w:kern w:val="0"/>
        </w:rPr>
        <w:t>of life for people with dementia living in residential</w:t>
      </w:r>
      <w:r w:rsidR="00F81221">
        <w:rPr>
          <w:kern w:val="0"/>
        </w:rPr>
        <w:t xml:space="preserve"> and </w:t>
      </w:r>
      <w:r>
        <w:rPr>
          <w:kern w:val="0"/>
        </w:rPr>
        <w:t>nursing home care: the impact of performance on activities of daily living, behavioral</w:t>
      </w:r>
      <w:r w:rsidR="00F81221">
        <w:rPr>
          <w:kern w:val="0"/>
        </w:rPr>
        <w:t xml:space="preserve"> and </w:t>
      </w:r>
      <w:r>
        <w:rPr>
          <w:kern w:val="0"/>
        </w:rPr>
        <w:t xml:space="preserve">psychological symptoms, </w:t>
      </w:r>
      <w:r>
        <w:rPr>
          <w:kern w:val="0"/>
        </w:rPr>
        <w:lastRenderedPageBreak/>
        <w:t>language skills,</w:t>
      </w:r>
      <w:r w:rsidR="00F81221">
        <w:rPr>
          <w:kern w:val="0"/>
        </w:rPr>
        <w:t xml:space="preserve"> and </w:t>
      </w:r>
      <w:r>
        <w:rPr>
          <w:kern w:val="0"/>
        </w:rPr>
        <w:t xml:space="preserve">psychotropic drugs. </w:t>
      </w:r>
      <w:r>
        <w:rPr>
          <w:i/>
          <w:iCs/>
          <w:kern w:val="0"/>
        </w:rPr>
        <w:t>International Psychogeriatrics</w:t>
      </w:r>
      <w:r>
        <w:rPr>
          <w:kern w:val="0"/>
        </w:rPr>
        <w:t xml:space="preserve">, </w:t>
      </w:r>
      <w:r>
        <w:rPr>
          <w:b/>
          <w:bCs/>
          <w:kern w:val="0"/>
        </w:rPr>
        <w:t>21</w:t>
      </w:r>
      <w:r>
        <w:rPr>
          <w:kern w:val="0"/>
        </w:rPr>
        <w:t xml:space="preserve"> (6), 1026-1030</w:t>
      </w:r>
      <w:r w:rsidR="00B95C9E">
        <w:rPr>
          <w:rFonts w:hint="eastAsia"/>
          <w:kern w:val="0"/>
        </w:rPr>
        <w:t>.</w:t>
      </w:r>
    </w:p>
    <w:p w:rsidR="005F0F94" w:rsidRDefault="005F0F94" w:rsidP="005F0F94">
      <w:pPr>
        <w:pStyle w:val="a0"/>
        <w:rPr>
          <w:kern w:val="0"/>
        </w:rPr>
      </w:pPr>
      <w:r>
        <w:rPr>
          <w:rFonts w:hint="eastAsia"/>
          <w:kern w:val="0"/>
        </w:rPr>
        <w:t xml:space="preserve">Full Text: </w:t>
      </w:r>
      <w:hyperlink r:id="rId2111" w:history="1">
        <w:r w:rsidRPr="004F6D74">
          <w:rPr>
            <w:rStyle w:val="a5"/>
            <w:kern w:val="0"/>
          </w:rPr>
          <w:t>2009\Int Psy21, 1026.pdf</w:t>
        </w:r>
      </w:hyperlink>
    </w:p>
    <w:p w:rsidR="00E176A1" w:rsidRDefault="00E176A1" w:rsidP="00E176A1">
      <w:pPr>
        <w:pStyle w:val="a0"/>
        <w:rPr>
          <w:kern w:val="0"/>
        </w:rPr>
      </w:pPr>
      <w:r>
        <w:rPr>
          <w:kern w:val="0"/>
        </w:rPr>
        <w:t>Keywords: Agitation, Disease, Facilities, Management, Nursing, Randomized-Trial</w:t>
      </w:r>
    </w:p>
    <w:p w:rsidR="00381953" w:rsidRDefault="00381953" w:rsidP="00381953">
      <w:pPr>
        <w:pStyle w:val="a0"/>
        <w:rPr>
          <w:kern w:val="0"/>
        </w:rPr>
      </w:pPr>
      <w:r>
        <w:rPr>
          <w:rFonts w:hint="eastAsia"/>
          <w:kern w:val="0"/>
        </w:rPr>
        <w:t xml:space="preserve">? </w:t>
      </w:r>
      <w:r>
        <w:rPr>
          <w:kern w:val="0"/>
        </w:rPr>
        <w:t>Fuh, J.L.</w:t>
      </w:r>
      <w:r w:rsidR="00F81221">
        <w:rPr>
          <w:kern w:val="0"/>
        </w:rPr>
        <w:t xml:space="preserve"> and </w:t>
      </w:r>
      <w:r>
        <w:rPr>
          <w:kern w:val="0"/>
        </w:rPr>
        <w:t xml:space="preserve">Cummings, J.L. (2009), Top cited papers in </w:t>
      </w:r>
      <w:r w:rsidRPr="00381953">
        <w:rPr>
          <w:i/>
          <w:kern w:val="0"/>
        </w:rPr>
        <w:t>International Psychogeriatrics</w:t>
      </w:r>
      <w:r>
        <w:rPr>
          <w:kern w:val="0"/>
        </w:rPr>
        <w:t xml:space="preserve">: 6B. </w:t>
      </w:r>
      <w:r w:rsidR="00715FFE">
        <w:rPr>
          <w:kern w:val="0"/>
        </w:rPr>
        <w:t xml:space="preserve">Behavioral </w:t>
      </w:r>
      <w:r>
        <w:rPr>
          <w:kern w:val="0"/>
        </w:rPr>
        <w:t>disorders</w:t>
      </w:r>
      <w:r w:rsidR="00F81221">
        <w:rPr>
          <w:kern w:val="0"/>
        </w:rPr>
        <w:t xml:space="preserve"> and </w:t>
      </w:r>
      <w:r>
        <w:rPr>
          <w:kern w:val="0"/>
        </w:rPr>
        <w:t>caregivers</w:t>
      </w:r>
      <w:r w:rsidR="000352E7">
        <w:rPr>
          <w:kern w:val="0"/>
        </w:rPr>
        <w:t>’</w:t>
      </w:r>
      <w:r>
        <w:rPr>
          <w:kern w:val="0"/>
        </w:rPr>
        <w:t xml:space="preserve"> reaction in Taiwanese patients with Alzheimer</w:t>
      </w:r>
      <w:r w:rsidR="000352E7">
        <w:rPr>
          <w:kern w:val="0"/>
        </w:rPr>
        <w:t>’</w:t>
      </w:r>
      <w:r>
        <w:rPr>
          <w:kern w:val="0"/>
        </w:rPr>
        <w:t xml:space="preserve">s disease. </w:t>
      </w:r>
      <w:r>
        <w:rPr>
          <w:i/>
          <w:iCs/>
          <w:kern w:val="0"/>
        </w:rPr>
        <w:t>International Psychogeriatrics</w:t>
      </w:r>
      <w:r>
        <w:rPr>
          <w:kern w:val="0"/>
        </w:rPr>
        <w:t xml:space="preserve">, </w:t>
      </w:r>
      <w:r>
        <w:rPr>
          <w:b/>
          <w:bCs/>
          <w:kern w:val="0"/>
        </w:rPr>
        <w:t>21</w:t>
      </w:r>
      <w:r>
        <w:rPr>
          <w:kern w:val="0"/>
        </w:rPr>
        <w:t xml:space="preserve"> (6), 1031-1036</w:t>
      </w:r>
      <w:r w:rsidR="00B95C9E">
        <w:rPr>
          <w:rFonts w:hint="eastAsia"/>
          <w:kern w:val="0"/>
        </w:rPr>
        <w:t>.</w:t>
      </w:r>
    </w:p>
    <w:p w:rsidR="00381953" w:rsidRDefault="00381953" w:rsidP="00381953">
      <w:pPr>
        <w:pStyle w:val="a0"/>
        <w:rPr>
          <w:kern w:val="0"/>
        </w:rPr>
      </w:pPr>
      <w:r>
        <w:rPr>
          <w:rFonts w:hint="eastAsia"/>
          <w:kern w:val="0"/>
        </w:rPr>
        <w:t xml:space="preserve">Full Text: </w:t>
      </w:r>
      <w:hyperlink r:id="rId2112" w:history="1">
        <w:r w:rsidR="005F0F94" w:rsidRPr="005F0F94">
          <w:rPr>
            <w:rStyle w:val="a5"/>
            <w:kern w:val="0"/>
          </w:rPr>
          <w:t>2009\Int Psy21, 1031.pdf</w:t>
        </w:r>
      </w:hyperlink>
    </w:p>
    <w:p w:rsidR="00381953" w:rsidRDefault="00381953" w:rsidP="00381953">
      <w:pPr>
        <w:pStyle w:val="a0"/>
        <w:rPr>
          <w:kern w:val="0"/>
        </w:rPr>
      </w:pPr>
      <w:r>
        <w:rPr>
          <w:kern w:val="0"/>
        </w:rPr>
        <w:t>Keywords: Abilities Screening Instrument, Chinese Version, Dementia Patients, Mental-State-Examination, Mild Cognitive Impairment, Neuropsychiatric-Inventory, Nursing-Home Residents, of-the-Literature, Older-Adults, Psychological Symptoms</w:t>
      </w:r>
    </w:p>
    <w:p w:rsidR="00B95C9E" w:rsidRDefault="00B95C9E" w:rsidP="00B95C9E">
      <w:pPr>
        <w:pStyle w:val="a0"/>
        <w:rPr>
          <w:kern w:val="0"/>
        </w:rPr>
      </w:pPr>
      <w:r>
        <w:rPr>
          <w:rFonts w:hint="eastAsia"/>
          <w:kern w:val="0"/>
        </w:rPr>
        <w:t xml:space="preserve">? </w:t>
      </w:r>
      <w:r>
        <w:rPr>
          <w:kern w:val="0"/>
        </w:rPr>
        <w:t>Han, L.</w:t>
      </w:r>
      <w:r w:rsidR="00F81221">
        <w:rPr>
          <w:kern w:val="0"/>
        </w:rPr>
        <w:t xml:space="preserve"> and </w:t>
      </w:r>
      <w:r>
        <w:rPr>
          <w:kern w:val="0"/>
        </w:rPr>
        <w:t xml:space="preserve">Ames, D. (2009), Top cited papers in </w:t>
      </w:r>
      <w:r w:rsidRPr="00574E83">
        <w:rPr>
          <w:i/>
          <w:kern w:val="0"/>
        </w:rPr>
        <w:t>International Psychogeriatrics</w:t>
      </w:r>
      <w:r>
        <w:rPr>
          <w:kern w:val="0"/>
        </w:rPr>
        <w:t>: 6C. tracking cognitive decline in Alzheimer</w:t>
      </w:r>
      <w:r w:rsidR="000352E7">
        <w:rPr>
          <w:kern w:val="0"/>
        </w:rPr>
        <w:t>’</w:t>
      </w:r>
      <w:r>
        <w:rPr>
          <w:kern w:val="0"/>
        </w:rPr>
        <w:t>s disease using the mini-mental state examination: A meta-analysis (</w:t>
      </w:r>
      <w:r w:rsidR="000352E7">
        <w:rPr>
          <w:kern w:val="0"/>
        </w:rPr>
        <w:t>“</w:t>
      </w:r>
      <w:r>
        <w:rPr>
          <w:kern w:val="0"/>
        </w:rPr>
        <w:t>Mini</w:t>
      </w:r>
      <w:r w:rsidR="000352E7">
        <w:rPr>
          <w:kern w:val="0"/>
        </w:rPr>
        <w:t>”</w:t>
      </w:r>
      <w:r>
        <w:rPr>
          <w:kern w:val="0"/>
        </w:rPr>
        <w:t xml:space="preserve"> Is Not Necessarily Trivial!). </w:t>
      </w:r>
      <w:r>
        <w:rPr>
          <w:i/>
          <w:iCs/>
          <w:kern w:val="0"/>
        </w:rPr>
        <w:t>International Psychogeriatrics</w:t>
      </w:r>
      <w:r>
        <w:rPr>
          <w:kern w:val="0"/>
        </w:rPr>
        <w:t xml:space="preserve">, </w:t>
      </w:r>
      <w:r>
        <w:rPr>
          <w:b/>
          <w:bCs/>
          <w:kern w:val="0"/>
        </w:rPr>
        <w:t>21</w:t>
      </w:r>
      <w:r>
        <w:rPr>
          <w:kern w:val="0"/>
        </w:rPr>
        <w:t xml:space="preserve"> (6), 1037-1040</w:t>
      </w:r>
      <w:r>
        <w:rPr>
          <w:rFonts w:hint="eastAsia"/>
          <w:kern w:val="0"/>
        </w:rPr>
        <w:t>.</w:t>
      </w:r>
    </w:p>
    <w:p w:rsidR="004A0C3B" w:rsidRDefault="004A0C3B" w:rsidP="004A0C3B">
      <w:pPr>
        <w:pStyle w:val="a0"/>
        <w:rPr>
          <w:kern w:val="0"/>
        </w:rPr>
      </w:pPr>
      <w:r>
        <w:rPr>
          <w:rFonts w:hint="eastAsia"/>
          <w:kern w:val="0"/>
        </w:rPr>
        <w:t xml:space="preserve">Full Text: </w:t>
      </w:r>
      <w:hyperlink r:id="rId2113" w:history="1">
        <w:r w:rsidRPr="00C6308C">
          <w:rPr>
            <w:rStyle w:val="a5"/>
            <w:kern w:val="0"/>
          </w:rPr>
          <w:t>2009\Int Psy21, 1037.pdf</w:t>
        </w:r>
      </w:hyperlink>
    </w:p>
    <w:p w:rsidR="00B95C9E" w:rsidRDefault="00B95C9E" w:rsidP="00B95C9E">
      <w:pPr>
        <w:pStyle w:val="a0"/>
        <w:rPr>
          <w:kern w:val="0"/>
        </w:rPr>
      </w:pPr>
      <w:r>
        <w:rPr>
          <w:kern w:val="0"/>
        </w:rPr>
        <w:t>Keywords: Care, Dementia, Efficacy</w:t>
      </w:r>
    </w:p>
    <w:p w:rsidR="00715FFE" w:rsidRDefault="00715FFE" w:rsidP="00715FFE">
      <w:pPr>
        <w:pStyle w:val="a0"/>
        <w:rPr>
          <w:kern w:val="0"/>
        </w:rPr>
      </w:pPr>
      <w:r>
        <w:rPr>
          <w:rFonts w:hint="eastAsia"/>
          <w:kern w:val="0"/>
        </w:rPr>
        <w:t xml:space="preserve">? </w:t>
      </w:r>
      <w:r>
        <w:rPr>
          <w:kern w:val="0"/>
        </w:rPr>
        <w:t>Vasse, E., Vernooij-Dassen, M., Spijker, A., Rikkert, M.O.</w:t>
      </w:r>
      <w:r w:rsidR="00F81221">
        <w:rPr>
          <w:kern w:val="0"/>
        </w:rPr>
        <w:t xml:space="preserve"> and </w:t>
      </w:r>
      <w:r>
        <w:rPr>
          <w:kern w:val="0"/>
        </w:rPr>
        <w:t>Koopmans, R. (2010), A systematic review of communication strategies for people with dementia in residential</w:t>
      </w:r>
      <w:r w:rsidR="00F81221">
        <w:rPr>
          <w:kern w:val="0"/>
        </w:rPr>
        <w:t xml:space="preserve"> and </w:t>
      </w:r>
      <w:r>
        <w:rPr>
          <w:kern w:val="0"/>
        </w:rPr>
        <w:t xml:space="preserve">nursing homes. </w:t>
      </w:r>
      <w:r>
        <w:rPr>
          <w:i/>
          <w:iCs/>
          <w:kern w:val="0"/>
        </w:rPr>
        <w:t>International Psychogeriatrics</w:t>
      </w:r>
      <w:r>
        <w:rPr>
          <w:kern w:val="0"/>
        </w:rPr>
        <w:t xml:space="preserve">, </w:t>
      </w:r>
      <w:r>
        <w:rPr>
          <w:b/>
          <w:bCs/>
          <w:kern w:val="0"/>
        </w:rPr>
        <w:t>22</w:t>
      </w:r>
      <w:r>
        <w:rPr>
          <w:kern w:val="0"/>
        </w:rPr>
        <w:t xml:space="preserve"> (2), 189-200.</w:t>
      </w:r>
    </w:p>
    <w:p w:rsidR="004A0C3B" w:rsidRPr="001A3D2B" w:rsidRDefault="004A0C3B" w:rsidP="004A0C3B">
      <w:pPr>
        <w:pStyle w:val="a0"/>
        <w:rPr>
          <w:kern w:val="0"/>
        </w:rPr>
      </w:pPr>
      <w:r w:rsidRPr="001A3D2B">
        <w:rPr>
          <w:kern w:val="0"/>
        </w:rPr>
        <w:t xml:space="preserve">Full Text: </w:t>
      </w:r>
      <w:hyperlink r:id="rId2114" w:history="1">
        <w:r w:rsidRPr="00C6308C">
          <w:rPr>
            <w:rStyle w:val="a5"/>
            <w:kern w:val="0"/>
          </w:rPr>
          <w:t>2010\Int Psy22, 189.pdf</w:t>
        </w:r>
      </w:hyperlink>
    </w:p>
    <w:p w:rsidR="00715FFE" w:rsidRDefault="00715FFE" w:rsidP="00715FFE">
      <w:pPr>
        <w:pStyle w:val="a0"/>
        <w:rPr>
          <w:kern w:val="0"/>
        </w:rPr>
      </w:pPr>
      <w:r>
        <w:rPr>
          <w:kern w:val="0"/>
        </w:rPr>
        <w:t>Abstract: Background: The impairment of verbal skills of people with dementia challenges communication. The aim of this review was to study the effects of nonpharmacological interventions in residential</w:t>
      </w:r>
      <w:r w:rsidR="00F81221">
        <w:rPr>
          <w:kern w:val="0"/>
        </w:rPr>
        <w:t xml:space="preserve"> and </w:t>
      </w:r>
      <w:r>
        <w:rPr>
          <w:kern w:val="0"/>
        </w:rPr>
        <w:t>nursing homes on (1) communication between residents with dementia</w:t>
      </w:r>
      <w:r w:rsidR="00F81221">
        <w:rPr>
          <w:kern w:val="0"/>
        </w:rPr>
        <w:t xml:space="preserve"> and </w:t>
      </w:r>
      <w:r>
        <w:rPr>
          <w:kern w:val="0"/>
        </w:rPr>
        <w:t>care staff,</w:t>
      </w:r>
      <w:r w:rsidR="00F81221">
        <w:rPr>
          <w:kern w:val="0"/>
        </w:rPr>
        <w:t xml:space="preserve"> and </w:t>
      </w:r>
      <w:r>
        <w:rPr>
          <w:kern w:val="0"/>
        </w:rPr>
        <w:t>(2) the neuropsychiatric symptoms of residents with dementia. Method: PUBMED, PsychInfo, Web of Science, the Cochrane Library,</w:t>
      </w:r>
      <w:r w:rsidR="00F81221">
        <w:rPr>
          <w:kern w:val="0"/>
        </w:rPr>
        <w:t xml:space="preserve"> and </w:t>
      </w:r>
      <w:r>
        <w:rPr>
          <w:kern w:val="0"/>
        </w:rPr>
        <w:t>reference lists from relevant publications were systematically searched to find articles about controlled interventions with communication strategies. The data collected were pooled</w:t>
      </w:r>
      <w:r w:rsidR="00F81221">
        <w:rPr>
          <w:kern w:val="0"/>
        </w:rPr>
        <w:t xml:space="preserve"> and </w:t>
      </w:r>
      <w:r>
        <w:rPr>
          <w:kern w:val="0"/>
        </w:rPr>
        <w:t>subjected to a meta-analysis. Results: Nineteen intervention studies were selected for this review. They included structured</w:t>
      </w:r>
      <w:r w:rsidR="00F81221">
        <w:rPr>
          <w:kern w:val="0"/>
        </w:rPr>
        <w:t xml:space="preserve"> and </w:t>
      </w:r>
      <w:r>
        <w:rPr>
          <w:kern w:val="0"/>
        </w:rPr>
        <w:t xml:space="preserve">communicative </w:t>
      </w:r>
      <w:r w:rsidR="000352E7">
        <w:rPr>
          <w:kern w:val="0"/>
        </w:rPr>
        <w:t>“</w:t>
      </w:r>
      <w:r>
        <w:rPr>
          <w:kern w:val="0"/>
        </w:rPr>
        <w:t>sessions at set times</w:t>
      </w:r>
      <w:r w:rsidR="000352E7">
        <w:rPr>
          <w:kern w:val="0"/>
        </w:rPr>
        <w:t>”</w:t>
      </w:r>
      <w:r>
        <w:rPr>
          <w:kern w:val="0"/>
        </w:rPr>
        <w:t xml:space="preserve"> for residents (e.g. life review)</w:t>
      </w:r>
      <w:r w:rsidR="00F81221">
        <w:rPr>
          <w:kern w:val="0"/>
        </w:rPr>
        <w:t xml:space="preserve"> and </w:t>
      </w:r>
      <w:r>
        <w:rPr>
          <w:kern w:val="0"/>
        </w:rPr>
        <w:t xml:space="preserve">communication techniques in activities of </w:t>
      </w:r>
      <w:r w:rsidR="000352E7">
        <w:rPr>
          <w:kern w:val="0"/>
        </w:rPr>
        <w:t>“</w:t>
      </w:r>
      <w:r>
        <w:rPr>
          <w:kern w:val="0"/>
        </w:rPr>
        <w:t>daily care</w:t>
      </w:r>
      <w:r w:rsidR="000352E7">
        <w:rPr>
          <w:kern w:val="0"/>
        </w:rPr>
        <w:t>”</w:t>
      </w:r>
      <w:r>
        <w:rPr>
          <w:kern w:val="0"/>
        </w:rPr>
        <w:t xml:space="preserve"> applied by care staff (e.g. sensitivity to nonverbal communication). A meta-analysis of five set-time interventions (communication)</w:t>
      </w:r>
      <w:r w:rsidR="00F81221">
        <w:rPr>
          <w:kern w:val="0"/>
        </w:rPr>
        <w:t xml:space="preserve"> and </w:t>
      </w:r>
      <w:r>
        <w:rPr>
          <w:kern w:val="0"/>
        </w:rPr>
        <w:t xml:space="preserve">another meta-analysis of four set-time interventions (neuropsychiatric outcomes) found no significant overall effects. Individual set-time intervention studies report positive effects on communication when interventions are single-task sessions, like life review or one-on-one conversation. Interventions around daily care activities had positive </w:t>
      </w:r>
      <w:r>
        <w:rPr>
          <w:kern w:val="0"/>
        </w:rPr>
        <w:lastRenderedPageBreak/>
        <w:t>effects on communication outcomes. Effects of both types of interventions on neuropsychiatric symptoms were divergent. Conclusion: This review indicates that care staff can improve their communication with residents with dementia when strategies are embedded in daily care activities or interventions are single-task sessions at set times. These results offer the possibility of improving the quality of care, but not of directly reducing neuropsychiatric symptoms. More research is needed to study the effect of communication interventions on neuropsychiatric symptoms.</w:t>
      </w:r>
    </w:p>
    <w:p w:rsidR="00715FFE" w:rsidRDefault="00715FFE" w:rsidP="00715FFE">
      <w:pPr>
        <w:pStyle w:val="a0"/>
        <w:rPr>
          <w:kern w:val="0"/>
        </w:rPr>
      </w:pPr>
      <w:r>
        <w:rPr>
          <w:kern w:val="0"/>
        </w:rPr>
        <w:t>Keywords: Activities, Alzheimers-Disease, Assistants, Caregivers, Clinical-Trial, Cochrane, Cognitive Impairment, Communication, Dementia, Homes, Intervention, Intervention Studies, Interventions, Meta-Analysis, Metaanalysis, Morning Care, Neuropsychiatric Symptoms, Nonpharmacological Intervention, Nursing, Nursing Homes, Outcomes, Program, Psychosocial Intervention, Publications, Quality of Care, Research, Residential, Residential Facilities, Residents, Review, Science, Symptoms, Systematic, Systematic Review, Therapy, Web of Science</w:t>
      </w:r>
    </w:p>
    <w:p w:rsidR="00715FFE" w:rsidRDefault="00715FFE" w:rsidP="00715FFE">
      <w:pPr>
        <w:pStyle w:val="a0"/>
        <w:rPr>
          <w:kern w:val="0"/>
        </w:rPr>
      </w:pPr>
      <w:r>
        <w:rPr>
          <w:rFonts w:hint="eastAsia"/>
          <w:kern w:val="0"/>
        </w:rPr>
        <w:t xml:space="preserve">? </w:t>
      </w:r>
      <w:r>
        <w:rPr>
          <w:kern w:val="0"/>
        </w:rPr>
        <w:t>Pitfield, C., Shahriyarmolki, K.</w:t>
      </w:r>
      <w:r w:rsidR="00F81221">
        <w:rPr>
          <w:kern w:val="0"/>
        </w:rPr>
        <w:t xml:space="preserve"> and </w:t>
      </w:r>
      <w:r>
        <w:rPr>
          <w:kern w:val="0"/>
        </w:rPr>
        <w:t xml:space="preserve">Livingston, G. (2011), A systematic review of stress in staff caring for people with dementia living in 24-hour care settings. </w:t>
      </w:r>
      <w:r>
        <w:rPr>
          <w:i/>
          <w:iCs/>
          <w:kern w:val="0"/>
        </w:rPr>
        <w:t>International Psychogeriatrics</w:t>
      </w:r>
      <w:r>
        <w:rPr>
          <w:kern w:val="0"/>
        </w:rPr>
        <w:t xml:space="preserve">, </w:t>
      </w:r>
      <w:r>
        <w:rPr>
          <w:b/>
          <w:bCs/>
          <w:kern w:val="0"/>
        </w:rPr>
        <w:t>23</w:t>
      </w:r>
      <w:r>
        <w:rPr>
          <w:kern w:val="0"/>
        </w:rPr>
        <w:t xml:space="preserve"> (1), 4-9.</w:t>
      </w:r>
    </w:p>
    <w:p w:rsidR="004A0C3B" w:rsidRPr="001A3D2B" w:rsidRDefault="004A0C3B" w:rsidP="004A0C3B">
      <w:pPr>
        <w:pStyle w:val="a0"/>
        <w:rPr>
          <w:kern w:val="0"/>
        </w:rPr>
      </w:pPr>
      <w:r w:rsidRPr="001A3D2B">
        <w:rPr>
          <w:kern w:val="0"/>
        </w:rPr>
        <w:t xml:space="preserve">Full Text: </w:t>
      </w:r>
      <w:hyperlink r:id="rId2115" w:history="1">
        <w:r w:rsidRPr="00C6308C">
          <w:rPr>
            <w:rStyle w:val="a5"/>
            <w:kern w:val="0"/>
          </w:rPr>
          <w:t>2011\Int Psy23, 4.pdf</w:t>
        </w:r>
      </w:hyperlink>
    </w:p>
    <w:p w:rsidR="00715FFE" w:rsidRDefault="00715FFE" w:rsidP="00715FFE">
      <w:pPr>
        <w:pStyle w:val="a0"/>
        <w:rPr>
          <w:kern w:val="0"/>
        </w:rPr>
      </w:pPr>
      <w:r>
        <w:rPr>
          <w:kern w:val="0"/>
        </w:rPr>
        <w:t>Abstract: Background: Family carers of people with dementia are at risk of psychological morbidity,</w:t>
      </w:r>
      <w:r w:rsidR="00F81221">
        <w:rPr>
          <w:kern w:val="0"/>
        </w:rPr>
        <w:t xml:space="preserve"> and </w:t>
      </w:r>
      <w:r>
        <w:rPr>
          <w:kern w:val="0"/>
        </w:rPr>
        <w:t>it is suggested that this may also be the case in paid carers as caring for people with dementia can be emotionally</w:t>
      </w:r>
      <w:r w:rsidR="00F81221">
        <w:rPr>
          <w:kern w:val="0"/>
        </w:rPr>
        <w:t xml:space="preserve"> and </w:t>
      </w:r>
      <w:r>
        <w:rPr>
          <w:kern w:val="0"/>
        </w:rPr>
        <w:t>physically demanding. Care homes have historically had difficulty recruiting</w:t>
      </w:r>
      <w:r w:rsidR="00F81221">
        <w:rPr>
          <w:kern w:val="0"/>
        </w:rPr>
        <w:t xml:space="preserve"> and </w:t>
      </w:r>
      <w:r>
        <w:rPr>
          <w:kern w:val="0"/>
        </w:rPr>
        <w:t>retaining staff,</w:t>
      </w:r>
      <w:r w:rsidR="00F81221">
        <w:rPr>
          <w:kern w:val="0"/>
        </w:rPr>
        <w:t xml:space="preserve"> and </w:t>
      </w:r>
      <w:r>
        <w:rPr>
          <w:kern w:val="0"/>
        </w:rPr>
        <w:t>job stress has previously been linked to high turnover amongst long-term care staff. We performed a systematic review of studies of the prevalence of psychological stress in staff caring for people with dementia in residential long-term care settings. Methods: We conducted a comprehensive literature search of MEDLINE, PsychINFO</w:t>
      </w:r>
      <w:r w:rsidR="00F81221">
        <w:rPr>
          <w:kern w:val="0"/>
        </w:rPr>
        <w:t xml:space="preserve"> and </w:t>
      </w:r>
      <w:r>
        <w:rPr>
          <w:kern w:val="0"/>
        </w:rPr>
        <w:t>Web of Science databases up to May 2009, supplemented by a search of the references of all relevant articles. Search terms encompassed nursing staff, residential care</w:t>
      </w:r>
      <w:r w:rsidR="00F81221">
        <w:rPr>
          <w:kern w:val="0"/>
        </w:rPr>
        <w:t xml:space="preserve"> and </w:t>
      </w:r>
      <w:r>
        <w:rPr>
          <w:kern w:val="0"/>
        </w:rPr>
        <w:t>psychological distress. Validity of studies was graded by two authors independently using a standardized checklist. Results: We identified 601 studies of which five met our inclusion criteria. Two studies reported on prevalence rates of staff distress</w:t>
      </w:r>
      <w:r w:rsidR="00F81221">
        <w:rPr>
          <w:kern w:val="0"/>
        </w:rPr>
        <w:t xml:space="preserve"> and </w:t>
      </w:r>
      <w:r>
        <w:rPr>
          <w:kern w:val="0"/>
        </w:rPr>
        <w:t>found 37%</w:t>
      </w:r>
      <w:r w:rsidR="00F81221">
        <w:rPr>
          <w:kern w:val="0"/>
        </w:rPr>
        <w:t xml:space="preserve"> and </w:t>
      </w:r>
      <w:r>
        <w:rPr>
          <w:kern w:val="0"/>
        </w:rPr>
        <w:t xml:space="preserve">5% levels of being </w:t>
      </w:r>
      <w:r w:rsidR="000352E7">
        <w:rPr>
          <w:kern w:val="0"/>
        </w:rPr>
        <w:t>“</w:t>
      </w:r>
      <w:r>
        <w:rPr>
          <w:kern w:val="0"/>
        </w:rPr>
        <w:t>at risk</w:t>
      </w:r>
      <w:r w:rsidR="000352E7">
        <w:rPr>
          <w:kern w:val="0"/>
        </w:rPr>
        <w:t>”</w:t>
      </w:r>
      <w:r>
        <w:rPr>
          <w:kern w:val="0"/>
        </w:rPr>
        <w:t xml:space="preserve"> from burnout, four studies reported mean stress scores</w:t>
      </w:r>
      <w:r w:rsidR="00F81221">
        <w:rPr>
          <w:kern w:val="0"/>
        </w:rPr>
        <w:t xml:space="preserve"> and </w:t>
      </w:r>
      <w:r>
        <w:rPr>
          <w:kern w:val="0"/>
        </w:rPr>
        <w:t>all were low. Conclusions: All studies were either small or used instruments with unsatisfactory psychometric properties</w:t>
      </w:r>
      <w:r w:rsidR="00F81221">
        <w:rPr>
          <w:kern w:val="0"/>
        </w:rPr>
        <w:t xml:space="preserve"> and </w:t>
      </w:r>
      <w:r>
        <w:rPr>
          <w:kern w:val="0"/>
        </w:rPr>
        <w:t>so our conclusions are limited by the lack of good quality evidence. The preliminary evidence suggests that most staff who remain working in homes do not have a high prevalence of psychological stress or level of symptoms.</w:t>
      </w:r>
    </w:p>
    <w:p w:rsidR="00715FFE" w:rsidRDefault="00715FFE" w:rsidP="00715FFE">
      <w:pPr>
        <w:pStyle w:val="a0"/>
        <w:rPr>
          <w:kern w:val="0"/>
        </w:rPr>
      </w:pPr>
      <w:r>
        <w:rPr>
          <w:kern w:val="0"/>
        </w:rPr>
        <w:lastRenderedPageBreak/>
        <w:t>Keywords: Attitudes, Authors, Burnout, Burnout, Care, Caregivers, Carers, Databases, Dementia, Distress, Homes, Homes, Job Strain, Laser-Ad, Literature, Long-Term Care, Medline, Methods, Morbidity, Nursing, Nursing Staff, Old Age, Prevalence, Psychological Stress, Residential, Residents, Review, Risk, Satisfaction, Science, Stress, Symptoms, Systematic, Systematic Review, Web of Science, Workers</w:t>
      </w:r>
    </w:p>
    <w:p w:rsidR="00715FFE" w:rsidRDefault="00715FFE" w:rsidP="00715FFE">
      <w:pPr>
        <w:pStyle w:val="a0"/>
        <w:rPr>
          <w:kern w:val="0"/>
        </w:rPr>
      </w:pPr>
      <w:r>
        <w:rPr>
          <w:rFonts w:hint="eastAsia"/>
          <w:kern w:val="0"/>
        </w:rPr>
        <w:t xml:space="preserve">? </w:t>
      </w:r>
      <w:r>
        <w:rPr>
          <w:kern w:val="0"/>
        </w:rPr>
        <w:t>Lapp, L.K., Agbokou, C.</w:t>
      </w:r>
      <w:r w:rsidR="00F81221">
        <w:rPr>
          <w:kern w:val="0"/>
        </w:rPr>
        <w:t xml:space="preserve"> and </w:t>
      </w:r>
      <w:r>
        <w:rPr>
          <w:kern w:val="0"/>
        </w:rPr>
        <w:t>Ferreri, F. (2011), PTSD in the elderly: The interaction between trauma</w:t>
      </w:r>
      <w:r w:rsidR="00F81221">
        <w:rPr>
          <w:kern w:val="0"/>
        </w:rPr>
        <w:t xml:space="preserve"> and </w:t>
      </w:r>
      <w:r>
        <w:rPr>
          <w:kern w:val="0"/>
        </w:rPr>
        <w:t xml:space="preserve">aging. </w:t>
      </w:r>
      <w:r>
        <w:rPr>
          <w:i/>
          <w:iCs/>
          <w:kern w:val="0"/>
        </w:rPr>
        <w:t>International Psychogeriatrics</w:t>
      </w:r>
      <w:r>
        <w:rPr>
          <w:kern w:val="0"/>
        </w:rPr>
        <w:t xml:space="preserve">, </w:t>
      </w:r>
      <w:r>
        <w:rPr>
          <w:b/>
          <w:bCs/>
          <w:kern w:val="0"/>
        </w:rPr>
        <w:t>23</w:t>
      </w:r>
      <w:r>
        <w:rPr>
          <w:kern w:val="0"/>
        </w:rPr>
        <w:t xml:space="preserve"> (6), 858-868.</w:t>
      </w:r>
    </w:p>
    <w:p w:rsidR="00715FFE" w:rsidRPr="001A3D2B" w:rsidRDefault="00715FFE" w:rsidP="00715FFE">
      <w:pPr>
        <w:pStyle w:val="a0"/>
        <w:rPr>
          <w:kern w:val="0"/>
        </w:rPr>
      </w:pPr>
      <w:r w:rsidRPr="001A3D2B">
        <w:rPr>
          <w:kern w:val="0"/>
        </w:rPr>
        <w:t xml:space="preserve">Full Text: </w:t>
      </w:r>
      <w:hyperlink r:id="rId2116" w:history="1">
        <w:r w:rsidR="004A0C3B" w:rsidRPr="004A0C3B">
          <w:rPr>
            <w:rStyle w:val="a5"/>
            <w:kern w:val="0"/>
          </w:rPr>
          <w:t>2011\Int Psy23, 858.pdf</w:t>
        </w:r>
      </w:hyperlink>
    </w:p>
    <w:p w:rsidR="00715FFE" w:rsidRDefault="00715FFE" w:rsidP="00715FFE">
      <w:pPr>
        <w:pStyle w:val="a0"/>
        <w:rPr>
          <w:kern w:val="0"/>
        </w:rPr>
      </w:pPr>
      <w:r>
        <w:rPr>
          <w:kern w:val="0"/>
        </w:rPr>
        <w:t>Abstract: Background: Because an increasingly large cohort of individuals is approaching their elderly years, there is concern about how the healthcare system will cope with the greater demands placed upon it. One area of concern is the impact of trauma</w:t>
      </w:r>
      <w:r w:rsidR="00F81221">
        <w:rPr>
          <w:kern w:val="0"/>
        </w:rPr>
        <w:t xml:space="preserve"> and </w:t>
      </w:r>
      <w:r>
        <w:rPr>
          <w:kern w:val="0"/>
        </w:rPr>
        <w:t>post traumatic stress disorder (PTSD) in the aged. Although several reviews have highlighted the lack of knowledge</w:t>
      </w:r>
      <w:r w:rsidR="00F81221">
        <w:rPr>
          <w:kern w:val="0"/>
        </w:rPr>
        <w:t xml:space="preserve"> and </w:t>
      </w:r>
      <w:r>
        <w:rPr>
          <w:kern w:val="0"/>
        </w:rPr>
        <w:t>research on the topic, there still remain gaps in the literature. Nevertheless, some recent behavioral, endocrinological</w:t>
      </w:r>
      <w:r w:rsidR="00F81221">
        <w:rPr>
          <w:kern w:val="0"/>
        </w:rPr>
        <w:t xml:space="preserve"> and </w:t>
      </w:r>
      <w:r>
        <w:rPr>
          <w:kern w:val="0"/>
        </w:rPr>
        <w:t>neuroimaging studies may provide new insights into the discussion. The central aims of this paper are to summarize the etiological, epidemiological</w:t>
      </w:r>
      <w:r w:rsidR="00F81221">
        <w:rPr>
          <w:kern w:val="0"/>
        </w:rPr>
        <w:t xml:space="preserve"> and </w:t>
      </w:r>
      <w:r>
        <w:rPr>
          <w:kern w:val="0"/>
        </w:rPr>
        <w:t>clinical aspects of PTSD, trauma,</w:t>
      </w:r>
      <w:r w:rsidR="00F81221">
        <w:rPr>
          <w:kern w:val="0"/>
        </w:rPr>
        <w:t xml:space="preserve"> and </w:t>
      </w:r>
      <w:r>
        <w:rPr>
          <w:kern w:val="0"/>
        </w:rPr>
        <w:t>the elderly,</w:t>
      </w:r>
      <w:r w:rsidR="00F81221">
        <w:rPr>
          <w:kern w:val="0"/>
        </w:rPr>
        <w:t xml:space="preserve"> and </w:t>
      </w:r>
      <w:r>
        <w:rPr>
          <w:kern w:val="0"/>
        </w:rPr>
        <w:t>to integrate this knowledge with (i) what is known about PTSD in adults,</w:t>
      </w:r>
      <w:r w:rsidR="00F81221">
        <w:rPr>
          <w:kern w:val="0"/>
        </w:rPr>
        <w:t xml:space="preserve"> and </w:t>
      </w:r>
      <w:r>
        <w:rPr>
          <w:kern w:val="0"/>
        </w:rPr>
        <w:t>(ii) the behavioral, hormonal</w:t>
      </w:r>
      <w:r w:rsidR="00F81221">
        <w:rPr>
          <w:kern w:val="0"/>
        </w:rPr>
        <w:t xml:space="preserve"> and </w:t>
      </w:r>
      <w:r>
        <w:rPr>
          <w:kern w:val="0"/>
        </w:rPr>
        <w:t>cerebral changes associated with healthy aging. Methods: A comprehensive search was performed with ISI Web of Science</w:t>
      </w:r>
      <w:r w:rsidR="00F81221">
        <w:rPr>
          <w:kern w:val="0"/>
        </w:rPr>
        <w:t xml:space="preserve"> and </w:t>
      </w:r>
      <w:r>
        <w:rPr>
          <w:kern w:val="0"/>
        </w:rPr>
        <w:t>PUBMED for articles pertinent to the psychology</w:t>
      </w:r>
      <w:r w:rsidR="00F81221">
        <w:rPr>
          <w:kern w:val="0"/>
        </w:rPr>
        <w:t xml:space="preserve"> and </w:t>
      </w:r>
      <w:r>
        <w:rPr>
          <w:kern w:val="0"/>
        </w:rPr>
        <w:t>biology of PTSD, trauma,</w:t>
      </w:r>
      <w:r w:rsidR="00F81221">
        <w:rPr>
          <w:kern w:val="0"/>
        </w:rPr>
        <w:t xml:space="preserve"> and </w:t>
      </w:r>
      <w:r>
        <w:rPr>
          <w:kern w:val="0"/>
        </w:rPr>
        <w:t>the elderly. Results: There exist both significant similarities</w:t>
      </w:r>
      <w:r w:rsidR="00F81221">
        <w:rPr>
          <w:kern w:val="0"/>
        </w:rPr>
        <w:t xml:space="preserve"> and </w:t>
      </w:r>
      <w:r>
        <w:rPr>
          <w:kern w:val="0"/>
        </w:rPr>
        <w:t>differences between adults</w:t>
      </w:r>
      <w:r w:rsidR="00F81221">
        <w:rPr>
          <w:kern w:val="0"/>
        </w:rPr>
        <w:t xml:space="preserve"> and </w:t>
      </w:r>
      <w:r>
        <w:rPr>
          <w:kern w:val="0"/>
        </w:rPr>
        <w:t>elderly with PTSD concerning cognitive</w:t>
      </w:r>
      <w:r w:rsidR="00F81221">
        <w:rPr>
          <w:kern w:val="0"/>
        </w:rPr>
        <w:t xml:space="preserve"> and </w:t>
      </w:r>
      <w:r>
        <w:rPr>
          <w:kern w:val="0"/>
        </w:rPr>
        <w:t>biological profile. Evidence suggests that PTSD in the elderly does not follow a simple clinical trajectory. Conclusions: PTSD in the elderly must be considered within the context of normal aging. Strong claims about an interaction between PTSD</w:t>
      </w:r>
      <w:r w:rsidR="00F81221">
        <w:rPr>
          <w:kern w:val="0"/>
        </w:rPr>
        <w:t xml:space="preserve"> and </w:t>
      </w:r>
      <w:r>
        <w:rPr>
          <w:kern w:val="0"/>
        </w:rPr>
        <w:t>aging are difficult to make due to sample heterogeneity, but it is clear that PTSD in this age group presents unique aspects not seen in younger cohorts. Further research must integrate their studies with the biological, psychological,</w:t>
      </w:r>
      <w:r w:rsidR="00F81221">
        <w:rPr>
          <w:kern w:val="0"/>
        </w:rPr>
        <w:t xml:space="preserve"> and </w:t>
      </w:r>
      <w:r>
        <w:rPr>
          <w:kern w:val="0"/>
        </w:rPr>
        <w:t>social changes already associated with the aging process.</w:t>
      </w:r>
    </w:p>
    <w:p w:rsidR="00715FFE" w:rsidRDefault="00715FFE" w:rsidP="00715FFE">
      <w:pPr>
        <w:pStyle w:val="a0"/>
        <w:rPr>
          <w:kern w:val="0"/>
        </w:rPr>
      </w:pPr>
      <w:r>
        <w:rPr>
          <w:kern w:val="0"/>
        </w:rPr>
        <w:t>Keywords: Adults, Aged, Aging, Biology, Case Series, Combat Veterans, Disorder, Elderly, Former Prisoners, Hippocampal Volume, Holocaust Survivors, Impact, ISI, Knowledge, Literature, Methods, Myocardial-Infarction, Normal, Older-Adults, Posttraumatic-Stress-Disorder, Profile, Ptsd, Pubmed, Research, Risk-Factors, Science, Social, Stress, Trajectory, Trauma, War-</w:t>
      </w:r>
      <w:r w:rsidR="004A0C3B">
        <w:rPr>
          <w:kern w:val="0"/>
        </w:rPr>
        <w:t xml:space="preserve">II </w:t>
      </w:r>
      <w:r>
        <w:rPr>
          <w:kern w:val="0"/>
        </w:rPr>
        <w:t>Survivors, Web of Science</w:t>
      </w:r>
    </w:p>
    <w:p w:rsidR="004A0C3B" w:rsidRDefault="004A0C3B" w:rsidP="004A0C3B">
      <w:pPr>
        <w:pStyle w:val="a0"/>
        <w:rPr>
          <w:kern w:val="0"/>
        </w:rPr>
      </w:pPr>
      <w:r>
        <w:rPr>
          <w:rFonts w:hint="eastAsia"/>
          <w:kern w:val="0"/>
        </w:rPr>
        <w:t xml:space="preserve">? </w:t>
      </w:r>
      <w:r>
        <w:rPr>
          <w:kern w:val="0"/>
        </w:rPr>
        <w:t>Robinson, L., Gemski, A., Abley, C., Bond, J., Keady, J., Campbell, S., Samsi, K.</w:t>
      </w:r>
      <w:r w:rsidR="00F81221">
        <w:rPr>
          <w:kern w:val="0"/>
        </w:rPr>
        <w:t xml:space="preserve"> and </w:t>
      </w:r>
      <w:r>
        <w:rPr>
          <w:kern w:val="0"/>
        </w:rPr>
        <w:t>Manthorpe, J. (2011), The transition to dementia - individual</w:t>
      </w:r>
      <w:r w:rsidR="00F81221">
        <w:rPr>
          <w:kern w:val="0"/>
        </w:rPr>
        <w:t xml:space="preserve"> and </w:t>
      </w:r>
      <w:r>
        <w:rPr>
          <w:kern w:val="0"/>
        </w:rPr>
        <w:t xml:space="preserve">family experiences of receiving a diagnosis: A review. </w:t>
      </w:r>
      <w:r>
        <w:rPr>
          <w:i/>
          <w:iCs/>
          <w:kern w:val="0"/>
        </w:rPr>
        <w:t>International Psychogeriatrics</w:t>
      </w:r>
      <w:r>
        <w:rPr>
          <w:kern w:val="0"/>
        </w:rPr>
        <w:t xml:space="preserve">, </w:t>
      </w:r>
      <w:r>
        <w:rPr>
          <w:b/>
          <w:bCs/>
          <w:kern w:val="0"/>
        </w:rPr>
        <w:t>23</w:t>
      </w:r>
      <w:r>
        <w:rPr>
          <w:kern w:val="0"/>
        </w:rPr>
        <w:t xml:space="preserve"> (7), 1026-1043.</w:t>
      </w:r>
    </w:p>
    <w:p w:rsidR="004A0C3B" w:rsidRPr="001A3D2B" w:rsidRDefault="004A0C3B" w:rsidP="004A0C3B">
      <w:pPr>
        <w:pStyle w:val="a0"/>
        <w:rPr>
          <w:kern w:val="0"/>
        </w:rPr>
      </w:pPr>
      <w:r w:rsidRPr="001A3D2B">
        <w:rPr>
          <w:kern w:val="0"/>
        </w:rPr>
        <w:lastRenderedPageBreak/>
        <w:t xml:space="preserve">Full Text: </w:t>
      </w:r>
      <w:hyperlink r:id="rId2117" w:history="1">
        <w:r w:rsidRPr="004A0C3B">
          <w:rPr>
            <w:rStyle w:val="a5"/>
            <w:kern w:val="0"/>
          </w:rPr>
          <w:t>2011\Int Psy23, 1026.pdf</w:t>
        </w:r>
      </w:hyperlink>
    </w:p>
    <w:p w:rsidR="004A0C3B" w:rsidRDefault="004A0C3B" w:rsidP="004A0C3B">
      <w:pPr>
        <w:pStyle w:val="a0"/>
        <w:rPr>
          <w:kern w:val="0"/>
        </w:rPr>
      </w:pPr>
      <w:r>
        <w:rPr>
          <w:kern w:val="0"/>
        </w:rPr>
        <w:t>Abstract: Background: Consensus recommends early recognition of memory problems through multi-disciplinary assessment in memory clinics; however, little is known about the experiences of people accessing such services. The aim of this review was to synthesis empirical evidence on patient</w:t>
      </w:r>
      <w:r w:rsidR="00F81221">
        <w:rPr>
          <w:kern w:val="0"/>
        </w:rPr>
        <w:t xml:space="preserve"> and </w:t>
      </w:r>
      <w:r>
        <w:rPr>
          <w:kern w:val="0"/>
        </w:rPr>
        <w:t>carer experiences in the transition to dementia. Methods: This review updates an earlier review (Bamford et al., 2004) on the topic of disclosure of the diagnosis of dementia. Key electronic databases were searched including OVID Medline, CINAHL, Web of Science, EMBASE,</w:t>
      </w:r>
      <w:r w:rsidR="00F81221">
        <w:rPr>
          <w:kern w:val="0"/>
        </w:rPr>
        <w:t xml:space="preserve"> and </w:t>
      </w:r>
      <w:r>
        <w:rPr>
          <w:kern w:val="0"/>
        </w:rPr>
        <w:t>Sociological Abstracts; this was supplemented by hand searching of reference lists</w:t>
      </w:r>
      <w:r w:rsidR="00F81221">
        <w:rPr>
          <w:kern w:val="0"/>
        </w:rPr>
        <w:t xml:space="preserve"> and </w:t>
      </w:r>
      <w:r>
        <w:rPr>
          <w:kern w:val="0"/>
        </w:rPr>
        <w:t>contact with experts in the field. Only papers published after 2003 were included. Results: of the 35 papers included in the review, only one study observed the process of disclosure</w:t>
      </w:r>
      <w:r w:rsidR="00F81221">
        <w:rPr>
          <w:kern w:val="0"/>
        </w:rPr>
        <w:t xml:space="preserve"> and </w:t>
      </w:r>
      <w:r>
        <w:rPr>
          <w:kern w:val="0"/>
        </w:rPr>
        <w:t>only two papers explored the effects on the person with dementia</w:t>
      </w:r>
      <w:r w:rsidR="000352E7">
        <w:rPr>
          <w:kern w:val="0"/>
        </w:rPr>
        <w:t>’</w:t>
      </w:r>
      <w:r>
        <w:rPr>
          <w:kern w:val="0"/>
        </w:rPr>
        <w:t>s health. The vast majority of people with dementia wished to know their diagnosis. The key challenges for the person with dementia were coming to terms with losses on multiple levels. Although there may be short-term distress, the majority of people with dementia do not appear to experience long-term negative effects on their psychological health. For family carers, becoming the main decision-maker</w:t>
      </w:r>
      <w:r w:rsidR="00F81221">
        <w:rPr>
          <w:kern w:val="0"/>
        </w:rPr>
        <w:t xml:space="preserve"> and </w:t>
      </w:r>
      <w:r>
        <w:rPr>
          <w:kern w:val="0"/>
        </w:rPr>
        <w:t>adjusting to increased responsibility were common concerns. Conclusions: There is still little empirical research observing the process of diagnostic disclosure in dementia. Studies exploring the views of patients</w:t>
      </w:r>
      <w:r w:rsidR="00F81221">
        <w:rPr>
          <w:kern w:val="0"/>
        </w:rPr>
        <w:t xml:space="preserve"> and </w:t>
      </w:r>
      <w:r>
        <w:rPr>
          <w:kern w:val="0"/>
        </w:rPr>
        <w:t>their families suggest this should be an ongoing process with the provision of support</w:t>
      </w:r>
      <w:r w:rsidR="00F81221">
        <w:rPr>
          <w:kern w:val="0"/>
        </w:rPr>
        <w:t xml:space="preserve"> and </w:t>
      </w:r>
      <w:r>
        <w:rPr>
          <w:kern w:val="0"/>
        </w:rPr>
        <w:t xml:space="preserve">information tailored to individual needs. The term </w:t>
      </w:r>
      <w:r w:rsidR="000352E7">
        <w:rPr>
          <w:kern w:val="0"/>
        </w:rPr>
        <w:t>“</w:t>
      </w:r>
      <w:r>
        <w:rPr>
          <w:kern w:val="0"/>
        </w:rPr>
        <w:t>Alzheimer</w:t>
      </w:r>
      <w:r w:rsidR="000352E7">
        <w:rPr>
          <w:kern w:val="0"/>
        </w:rPr>
        <w:t>’</w:t>
      </w:r>
      <w:r>
        <w:rPr>
          <w:kern w:val="0"/>
        </w:rPr>
        <w:t>s disease</w:t>
      </w:r>
      <w:r w:rsidR="000352E7">
        <w:rPr>
          <w:kern w:val="0"/>
        </w:rPr>
        <w:t>”</w:t>
      </w:r>
      <w:r>
        <w:rPr>
          <w:kern w:val="0"/>
        </w:rPr>
        <w:t xml:space="preserve"> appears to have more negative connotations than the word </w:t>
      </w:r>
      <w:r w:rsidR="000352E7">
        <w:rPr>
          <w:kern w:val="0"/>
        </w:rPr>
        <w:t>“</w:t>
      </w:r>
      <w:r>
        <w:rPr>
          <w:kern w:val="0"/>
        </w:rPr>
        <w:t>dementia</w:t>
      </w:r>
      <w:r w:rsidR="000352E7">
        <w:rPr>
          <w:kern w:val="0"/>
        </w:rPr>
        <w:t>”</w:t>
      </w:r>
      <w:r>
        <w:rPr>
          <w:kern w:val="0"/>
        </w:rPr>
        <w:t>.</w:t>
      </w:r>
    </w:p>
    <w:p w:rsidR="004A0C3B" w:rsidRDefault="004A0C3B" w:rsidP="004A0C3B">
      <w:pPr>
        <w:pStyle w:val="a0"/>
        <w:rPr>
          <w:kern w:val="0"/>
        </w:rPr>
      </w:pPr>
      <w:r>
        <w:rPr>
          <w:kern w:val="0"/>
        </w:rPr>
        <w:t>Keywords: Alzheimers-Disease, Assessment, Attitudes, Caregivers, Carers, Databases, Dementia, Diagnosis, Disclosure, Distress, Embase, Families, Family, Hand, Impact, Information, Life, Memory, Methods, Mild Cognitive Impairment, Papers, Patients, Perspectives, Primary-Care, Psychological, Research, Review, Science, Sense, Web of Science</w:t>
      </w:r>
    </w:p>
    <w:p w:rsidR="003B1FB9" w:rsidRPr="001A3D2B" w:rsidRDefault="003B1FB9" w:rsidP="003B1FB9">
      <w:pPr>
        <w:pStyle w:val="1"/>
      </w:pPr>
      <w:r w:rsidRPr="001A3D2B">
        <w:br w:type="page"/>
      </w:r>
      <w:bookmarkStart w:id="1559" w:name="_Toc317161395"/>
      <w:r w:rsidRPr="001A3D2B">
        <w:lastRenderedPageBreak/>
        <w:t xml:space="preserve">Title: </w:t>
      </w:r>
      <w:r w:rsidRPr="00EB62FA">
        <w:rPr>
          <w:iCs/>
        </w:rPr>
        <w:t>International Review of Administrative Sciences</w:t>
      </w:r>
      <w:bookmarkEnd w:id="1559"/>
    </w:p>
    <w:p w:rsidR="003B1FB9" w:rsidRPr="001A3D2B" w:rsidRDefault="003B1FB9" w:rsidP="00B72EF9">
      <w:pPr>
        <w:pStyle w:val="12"/>
      </w:pPr>
      <w:r w:rsidRPr="001A3D2B">
        <w:t xml:space="preserve">Full Journal Title: </w:t>
      </w:r>
      <w:hyperlink r:id="rId2118" w:history="1">
        <w:r w:rsidRPr="00EB62FA">
          <w:rPr>
            <w:rStyle w:val="a5"/>
            <w:iCs/>
          </w:rPr>
          <w:t>International Review of Administrative Sciences</w:t>
        </w:r>
      </w:hyperlink>
    </w:p>
    <w:p w:rsidR="003B1FB9" w:rsidRPr="001A3D2B" w:rsidRDefault="003B1FB9" w:rsidP="00B72EF9">
      <w:pPr>
        <w:pStyle w:val="12"/>
      </w:pPr>
      <w:r w:rsidRPr="001A3D2B">
        <w:t xml:space="preserve">ISO Abbreviated Title: </w:t>
      </w:r>
    </w:p>
    <w:p w:rsidR="003B1FB9" w:rsidRPr="001A3D2B" w:rsidRDefault="003B1FB9" w:rsidP="00B72EF9">
      <w:pPr>
        <w:pStyle w:val="12"/>
      </w:pPr>
      <w:r w:rsidRPr="001A3D2B">
        <w:t xml:space="preserve">JCR Abbreviated Title: </w:t>
      </w:r>
    </w:p>
    <w:p w:rsidR="003B1FB9" w:rsidRPr="001A3D2B" w:rsidRDefault="003B1FB9" w:rsidP="00B72EF9">
      <w:pPr>
        <w:pStyle w:val="12"/>
      </w:pPr>
      <w:r w:rsidRPr="001A3D2B">
        <w:t xml:space="preserve">ISSN: </w:t>
      </w:r>
    </w:p>
    <w:p w:rsidR="003B1FB9" w:rsidRPr="001A3D2B" w:rsidRDefault="003B1FB9" w:rsidP="00B72EF9">
      <w:pPr>
        <w:pStyle w:val="12"/>
      </w:pPr>
      <w:r w:rsidRPr="001A3D2B">
        <w:t xml:space="preserve">Issues/Year: </w:t>
      </w:r>
    </w:p>
    <w:p w:rsidR="003B1FB9" w:rsidRPr="001A3D2B" w:rsidRDefault="003B1FB9" w:rsidP="00B72EF9">
      <w:pPr>
        <w:pStyle w:val="12"/>
      </w:pPr>
      <w:r w:rsidRPr="001A3D2B">
        <w:t>Journal Country/Territory:</w:t>
      </w:r>
    </w:p>
    <w:p w:rsidR="003B1FB9" w:rsidRPr="001A3D2B" w:rsidRDefault="003B1FB9" w:rsidP="00B72EF9">
      <w:pPr>
        <w:pStyle w:val="12"/>
      </w:pPr>
      <w:r w:rsidRPr="001A3D2B">
        <w:t xml:space="preserve">Language: </w:t>
      </w:r>
    </w:p>
    <w:p w:rsidR="003B1FB9" w:rsidRPr="001A3D2B" w:rsidRDefault="003B1FB9" w:rsidP="00B72EF9">
      <w:pPr>
        <w:pStyle w:val="12"/>
      </w:pPr>
      <w:r w:rsidRPr="001A3D2B">
        <w:t xml:space="preserve">Publisher: </w:t>
      </w:r>
    </w:p>
    <w:p w:rsidR="003B1FB9" w:rsidRPr="001A3D2B" w:rsidRDefault="003B1FB9" w:rsidP="00B72EF9">
      <w:pPr>
        <w:pStyle w:val="12"/>
      </w:pPr>
      <w:r w:rsidRPr="001A3D2B">
        <w:t xml:space="preserve">Publisher Address: </w:t>
      </w:r>
    </w:p>
    <w:p w:rsidR="003B1FB9" w:rsidRPr="001A3D2B" w:rsidRDefault="003B1FB9" w:rsidP="00B72EF9">
      <w:pPr>
        <w:pStyle w:val="12"/>
      </w:pPr>
      <w:r w:rsidRPr="001A3D2B">
        <w:t>Subject Categories:</w:t>
      </w:r>
    </w:p>
    <w:p w:rsidR="003B1FB9" w:rsidRPr="001A3D2B" w:rsidRDefault="003B1FB9" w:rsidP="00B72EF9">
      <w:pPr>
        <w:pStyle w:val="12"/>
      </w:pPr>
      <w:r w:rsidRPr="001A3D2B">
        <w:t>Impact Factor</w:t>
      </w:r>
    </w:p>
    <w:p w:rsidR="003B1FB9" w:rsidRDefault="003B1FB9" w:rsidP="003B1FB9">
      <w:pPr>
        <w:pStyle w:val="a0"/>
        <w:rPr>
          <w:kern w:val="0"/>
        </w:rPr>
      </w:pPr>
      <w:r>
        <w:rPr>
          <w:rFonts w:hint="eastAsia"/>
          <w:kern w:val="0"/>
        </w:rPr>
        <w:t xml:space="preserve">? </w:t>
      </w:r>
      <w:r>
        <w:rPr>
          <w:kern w:val="0"/>
        </w:rPr>
        <w:t>Hu, G.W., Pan, W.W.</w:t>
      </w:r>
      <w:r w:rsidR="00F81221">
        <w:rPr>
          <w:kern w:val="0"/>
        </w:rPr>
        <w:t xml:space="preserve"> and </w:t>
      </w:r>
      <w:r>
        <w:rPr>
          <w:kern w:val="0"/>
        </w:rPr>
        <w:t>Wang, J. (2010), The distinctive lexicon</w:t>
      </w:r>
      <w:r w:rsidR="00F81221">
        <w:rPr>
          <w:kern w:val="0"/>
        </w:rPr>
        <w:t xml:space="preserve"> and </w:t>
      </w:r>
      <w:r>
        <w:rPr>
          <w:kern w:val="0"/>
        </w:rPr>
        <w:t xml:space="preserve">consensual conception of e-Government: An exploratory perspective. </w:t>
      </w:r>
      <w:r w:rsidRPr="00EB62FA">
        <w:rPr>
          <w:i/>
          <w:iCs/>
          <w:kern w:val="0"/>
        </w:rPr>
        <w:t>International Review of Administrative Sciences</w:t>
      </w:r>
      <w:r>
        <w:rPr>
          <w:kern w:val="0"/>
        </w:rPr>
        <w:t xml:space="preserve">, </w:t>
      </w:r>
      <w:r>
        <w:rPr>
          <w:b/>
          <w:bCs/>
          <w:kern w:val="0"/>
        </w:rPr>
        <w:t>76</w:t>
      </w:r>
      <w:r>
        <w:rPr>
          <w:kern w:val="0"/>
        </w:rPr>
        <w:t xml:space="preserve"> (3), 577-597.</w:t>
      </w:r>
    </w:p>
    <w:p w:rsidR="003B1FB9" w:rsidRDefault="003B1FB9" w:rsidP="003B1FB9">
      <w:pPr>
        <w:pStyle w:val="a0"/>
        <w:rPr>
          <w:kern w:val="0"/>
        </w:rPr>
      </w:pPr>
      <w:r>
        <w:rPr>
          <w:rFonts w:hint="eastAsia"/>
          <w:kern w:val="0"/>
        </w:rPr>
        <w:t xml:space="preserve">Full Text: </w:t>
      </w:r>
      <w:hyperlink r:id="rId2119" w:history="1">
        <w:r w:rsidRPr="003B1FB9">
          <w:rPr>
            <w:rStyle w:val="a5"/>
            <w:kern w:val="0"/>
          </w:rPr>
          <w:t>2010\Int Rev Adm Sci76, 577.pdf</w:t>
        </w:r>
      </w:hyperlink>
    </w:p>
    <w:p w:rsidR="003B1FB9" w:rsidRDefault="003B1FB9" w:rsidP="003B1FB9">
      <w:pPr>
        <w:pStyle w:val="a0"/>
        <w:rPr>
          <w:kern w:val="0"/>
        </w:rPr>
      </w:pPr>
      <w:r>
        <w:rPr>
          <w:kern w:val="0"/>
        </w:rPr>
        <w:t>Abstract: Presently, the field of e-Government still lacks a coherent identity. For its future development, it would be useful to identify a distinctive lexicon</w:t>
      </w:r>
      <w:r w:rsidR="00F81221">
        <w:rPr>
          <w:kern w:val="0"/>
        </w:rPr>
        <w:t xml:space="preserve"> and </w:t>
      </w:r>
      <w:r>
        <w:rPr>
          <w:kern w:val="0"/>
        </w:rPr>
        <w:t>widely shared conception to help scholars understand its essence. In this study, exploratory work was conducted using a large-scale survey of e-Government articles from 1993 to 2008. A total of 752 abstracts from the world</w:t>
      </w:r>
      <w:r w:rsidR="000352E7">
        <w:rPr>
          <w:kern w:val="0"/>
        </w:rPr>
        <w:t>’</w:t>
      </w:r>
      <w:r>
        <w:rPr>
          <w:kern w:val="0"/>
        </w:rPr>
        <w:t>s leading databases (i.e. Science Citation Index Expanded (SCIE), Social Sciences Citation Index (SSCI), Arts &amp; Humanities Citation Index (A&amp;HCI)</w:t>
      </w:r>
      <w:r w:rsidR="00F81221">
        <w:rPr>
          <w:kern w:val="0"/>
        </w:rPr>
        <w:t xml:space="preserve"> and </w:t>
      </w:r>
      <w:r>
        <w:rPr>
          <w:kern w:val="0"/>
        </w:rPr>
        <w:t>Conference Proceedings Citation Index-Science (CPCI-S)) were retrieved,</w:t>
      </w:r>
      <w:r w:rsidR="00F81221">
        <w:rPr>
          <w:kern w:val="0"/>
        </w:rPr>
        <w:t xml:space="preserve"> and </w:t>
      </w:r>
      <w:r>
        <w:rPr>
          <w:kern w:val="0"/>
        </w:rPr>
        <w:t>528 were analyzed using Computer-Aided Text Analysis (CATA) software. Based on the content analysis, a widely shared conception of the field held by its members was determined</w:t>
      </w:r>
      <w:r w:rsidR="00F81221">
        <w:rPr>
          <w:kern w:val="0"/>
        </w:rPr>
        <w:t xml:space="preserve"> and </w:t>
      </w:r>
      <w:r>
        <w:rPr>
          <w:kern w:val="0"/>
        </w:rPr>
        <w:t>a methodology to obtain a consensual definition of an academic field was designed.</w:t>
      </w:r>
    </w:p>
    <w:p w:rsidR="003B1FB9" w:rsidRDefault="003B1FB9" w:rsidP="003B1FB9">
      <w:pPr>
        <w:pStyle w:val="a0"/>
        <w:rPr>
          <w:kern w:val="0"/>
        </w:rPr>
      </w:pPr>
      <w:r>
        <w:rPr>
          <w:kern w:val="0"/>
        </w:rPr>
        <w:t>Keywords: Citation, Cities, Conceptual Construction, Consensual Conception, E-Govemment, E-Government, Electronic Government, Firm, Issues, Knowledge, Lexicographic Analysis, Management, Opinion, Public Administration, Public-Services, Science Citation Index, Science Citation Index Expanded, Semantic Reasoning, United-States</w:t>
      </w:r>
    </w:p>
    <w:p w:rsidR="00470DC3" w:rsidRPr="00217FB1" w:rsidRDefault="00470DC3" w:rsidP="00470DC3">
      <w:pPr>
        <w:pStyle w:val="1"/>
      </w:pPr>
      <w:r w:rsidRPr="00217FB1">
        <w:br w:type="page"/>
      </w:r>
      <w:bookmarkStart w:id="1560" w:name="_Toc317161396"/>
      <w:r w:rsidRPr="00217FB1">
        <w:lastRenderedPageBreak/>
        <w:t>Title:</w:t>
      </w:r>
      <w:r>
        <w:rPr>
          <w:rFonts w:hint="eastAsia"/>
        </w:rPr>
        <w:t xml:space="preserve"> </w:t>
      </w:r>
      <w:r w:rsidRPr="00470DC3">
        <w:t>International Review of Chemical Engineering</w:t>
      </w:r>
      <w:bookmarkEnd w:id="1560"/>
    </w:p>
    <w:p w:rsidR="00470DC3" w:rsidRPr="00217FB1" w:rsidRDefault="00470DC3" w:rsidP="00B72EF9">
      <w:pPr>
        <w:pStyle w:val="12"/>
      </w:pPr>
      <w:r w:rsidRPr="00217FB1">
        <w:t xml:space="preserve">Full Journal Title: </w:t>
      </w:r>
      <w:r w:rsidRPr="00470DC3">
        <w:t>International Review of Chemical Engineering</w:t>
      </w:r>
    </w:p>
    <w:p w:rsidR="00470DC3" w:rsidRPr="00217FB1" w:rsidRDefault="00470DC3" w:rsidP="00B72EF9">
      <w:pPr>
        <w:pStyle w:val="12"/>
      </w:pPr>
      <w:r w:rsidRPr="00217FB1">
        <w:t xml:space="preserve">ISO Abbreviated Title: </w:t>
      </w:r>
    </w:p>
    <w:p w:rsidR="00470DC3" w:rsidRPr="00217FB1" w:rsidRDefault="00470DC3" w:rsidP="00B72EF9">
      <w:pPr>
        <w:pStyle w:val="12"/>
      </w:pPr>
      <w:r w:rsidRPr="00217FB1">
        <w:t>JCR Abbreviated Title</w:t>
      </w:r>
      <w:r>
        <w:t>:</w:t>
      </w:r>
      <w:r w:rsidRPr="00217FB1">
        <w:t xml:space="preserve"> </w:t>
      </w:r>
    </w:p>
    <w:p w:rsidR="00470DC3" w:rsidRPr="00217FB1" w:rsidRDefault="00470DC3" w:rsidP="00B72EF9">
      <w:pPr>
        <w:pStyle w:val="12"/>
      </w:pPr>
      <w:r w:rsidRPr="00217FB1">
        <w:t xml:space="preserve">ISSN: </w:t>
      </w:r>
    </w:p>
    <w:p w:rsidR="00470DC3" w:rsidRPr="00217FB1" w:rsidRDefault="00470DC3" w:rsidP="00B72EF9">
      <w:pPr>
        <w:pStyle w:val="12"/>
      </w:pPr>
      <w:r w:rsidRPr="00217FB1">
        <w:t xml:space="preserve">Issues/Year: </w:t>
      </w:r>
    </w:p>
    <w:p w:rsidR="00470DC3" w:rsidRPr="00217FB1" w:rsidRDefault="00470DC3" w:rsidP="00B72EF9">
      <w:pPr>
        <w:pStyle w:val="12"/>
      </w:pPr>
      <w:r>
        <w:t>Journal Country/Territory:</w:t>
      </w:r>
    </w:p>
    <w:p w:rsidR="00470DC3" w:rsidRPr="00217FB1" w:rsidRDefault="00470DC3" w:rsidP="00B72EF9">
      <w:pPr>
        <w:pStyle w:val="12"/>
      </w:pPr>
      <w:r w:rsidRPr="00217FB1">
        <w:t xml:space="preserve">Language: </w:t>
      </w:r>
    </w:p>
    <w:p w:rsidR="00470DC3" w:rsidRPr="00217FB1" w:rsidRDefault="00470DC3" w:rsidP="00B72EF9">
      <w:pPr>
        <w:pStyle w:val="12"/>
      </w:pPr>
      <w:r w:rsidRPr="00217FB1">
        <w:t xml:space="preserve">Publisher: </w:t>
      </w:r>
    </w:p>
    <w:p w:rsidR="00470DC3" w:rsidRPr="00217FB1" w:rsidRDefault="00470DC3" w:rsidP="00B72EF9">
      <w:pPr>
        <w:pStyle w:val="12"/>
      </w:pPr>
      <w:r w:rsidRPr="00217FB1">
        <w:t xml:space="preserve">Publisher Address: </w:t>
      </w:r>
    </w:p>
    <w:p w:rsidR="00470DC3" w:rsidRPr="00217FB1" w:rsidRDefault="00470DC3" w:rsidP="00B72EF9">
      <w:pPr>
        <w:pStyle w:val="12"/>
      </w:pPr>
      <w:r w:rsidRPr="00217FB1">
        <w:t>Subject Categories:</w:t>
      </w:r>
    </w:p>
    <w:p w:rsidR="00470DC3" w:rsidRPr="00217FB1" w:rsidRDefault="00470DC3" w:rsidP="00B72EF9">
      <w:pPr>
        <w:pStyle w:val="12"/>
      </w:pPr>
      <w:r w:rsidRPr="00217FB1">
        <w:t>Impact Factor</w:t>
      </w:r>
    </w:p>
    <w:p w:rsidR="00470DC3" w:rsidRDefault="00470DC3" w:rsidP="00470DC3">
      <w:pPr>
        <w:pStyle w:val="a0"/>
        <w:rPr>
          <w:kern w:val="0"/>
        </w:rPr>
      </w:pPr>
      <w:r>
        <w:rPr>
          <w:rFonts w:hint="eastAsia"/>
          <w:kern w:val="0"/>
        </w:rPr>
        <w:t xml:space="preserve">? </w:t>
      </w:r>
      <w:r w:rsidRPr="00470DC3">
        <w:rPr>
          <w:kern w:val="0"/>
        </w:rPr>
        <w:t>Giraldo,</w:t>
      </w:r>
      <w:r>
        <w:rPr>
          <w:rFonts w:hint="eastAsia"/>
          <w:kern w:val="0"/>
        </w:rPr>
        <w:t xml:space="preserve"> L.</w:t>
      </w:r>
      <w:r w:rsidR="00F81221">
        <w:rPr>
          <w:rFonts w:hint="eastAsia"/>
          <w:kern w:val="0"/>
        </w:rPr>
        <w:t xml:space="preserve"> and </w:t>
      </w:r>
      <w:r w:rsidRPr="00470DC3">
        <w:rPr>
          <w:kern w:val="0"/>
        </w:rPr>
        <w:t>Moreno-Piraján</w:t>
      </w:r>
      <w:r>
        <w:rPr>
          <w:rFonts w:hint="eastAsia"/>
          <w:kern w:val="0"/>
        </w:rPr>
        <w:t>, J.C.</w:t>
      </w:r>
      <w:r>
        <w:rPr>
          <w:kern w:val="0"/>
        </w:rPr>
        <w:t xml:space="preserve"> (20</w:t>
      </w:r>
      <w:r>
        <w:rPr>
          <w:rFonts w:hint="eastAsia"/>
          <w:kern w:val="0"/>
        </w:rPr>
        <w:t>10</w:t>
      </w:r>
      <w:r>
        <w:rPr>
          <w:kern w:val="0"/>
        </w:rPr>
        <w:t xml:space="preserve">), </w:t>
      </w:r>
      <w:r w:rsidRPr="00470DC3">
        <w:rPr>
          <w:kern w:val="0"/>
        </w:rPr>
        <w:t>Removal of copper(II) from aqueous solutions with activated carbon obtained by chemical activation of orange peel</w:t>
      </w:r>
      <w:r>
        <w:rPr>
          <w:kern w:val="0"/>
        </w:rPr>
        <w:t xml:space="preserve">. </w:t>
      </w:r>
      <w:r w:rsidRPr="00470DC3">
        <w:rPr>
          <w:i/>
          <w:iCs/>
          <w:kern w:val="0"/>
        </w:rPr>
        <w:t>International Review of Chemical Engineering</w:t>
      </w:r>
      <w:r>
        <w:rPr>
          <w:kern w:val="0"/>
        </w:rPr>
        <w:t xml:space="preserve">, </w:t>
      </w:r>
      <w:r>
        <w:rPr>
          <w:rFonts w:hint="eastAsia"/>
          <w:b/>
          <w:bCs/>
          <w:kern w:val="0"/>
        </w:rPr>
        <w:t>July</w:t>
      </w:r>
      <w:r>
        <w:rPr>
          <w:rFonts w:hint="eastAsia"/>
          <w:kern w:val="0"/>
        </w:rPr>
        <w:t>.</w:t>
      </w:r>
    </w:p>
    <w:p w:rsidR="00470DC3" w:rsidRPr="00470DC3" w:rsidRDefault="00470DC3" w:rsidP="00470DC3">
      <w:pPr>
        <w:pStyle w:val="a0"/>
        <w:rPr>
          <w:kern w:val="0"/>
        </w:rPr>
      </w:pPr>
      <w:r w:rsidRPr="00470DC3">
        <w:rPr>
          <w:kern w:val="0"/>
        </w:rPr>
        <w:t>Abstract</w:t>
      </w:r>
      <w:r>
        <w:rPr>
          <w:rFonts w:hint="eastAsia"/>
          <w:kern w:val="0"/>
        </w:rPr>
        <w:t>:</w:t>
      </w:r>
      <w:r w:rsidRPr="00470DC3">
        <w:rPr>
          <w:kern w:val="0"/>
        </w:rPr>
        <w:t xml:space="preserve"> Activated carbons (ACs) were prepared by pyrolysis of orange peel in the presence of zinc chloride (ZnCl</w:t>
      </w:r>
      <w:r w:rsidRPr="00470DC3">
        <w:rPr>
          <w:kern w:val="0"/>
          <w:vertAlign w:val="subscript"/>
        </w:rPr>
        <w:t>2</w:t>
      </w:r>
      <w:r w:rsidRPr="00470DC3">
        <w:rPr>
          <w:kern w:val="0"/>
        </w:rPr>
        <w:t>) (chemical activation). Orange peel from the Colombian orange cultivar was impregnated with aqueous solutions of ZnCl</w:t>
      </w:r>
      <w:r w:rsidRPr="00470DC3">
        <w:rPr>
          <w:kern w:val="0"/>
          <w:vertAlign w:val="subscript"/>
        </w:rPr>
        <w:t>2</w:t>
      </w:r>
      <w:r w:rsidRPr="00470DC3">
        <w:rPr>
          <w:kern w:val="0"/>
        </w:rPr>
        <w:t xml:space="preserve"> following a variation of the incipient wetness method. Different concentrations were used to produce impregnation ratios of 40, 70, 110</w:t>
      </w:r>
      <w:r w:rsidR="00F81221">
        <w:rPr>
          <w:kern w:val="0"/>
        </w:rPr>
        <w:t xml:space="preserve"> and </w:t>
      </w:r>
      <w:r w:rsidRPr="00470DC3">
        <w:rPr>
          <w:kern w:val="0"/>
        </w:rPr>
        <w:t>160 wt%. Activation was carried out under an argon flow at a temperature of 823 K with a 4 h soaking time. The porous texture of the obtained ACs was characterized by physical adsorptions of N</w:t>
      </w:r>
      <w:r w:rsidRPr="00470DC3">
        <w:rPr>
          <w:kern w:val="0"/>
          <w:vertAlign w:val="subscript"/>
        </w:rPr>
        <w:t>2</w:t>
      </w:r>
      <w:r w:rsidRPr="00470DC3">
        <w:rPr>
          <w:kern w:val="0"/>
        </w:rPr>
        <w:t xml:space="preserve"> at 77 K</w:t>
      </w:r>
      <w:r w:rsidR="00F81221">
        <w:rPr>
          <w:kern w:val="0"/>
        </w:rPr>
        <w:t xml:space="preserve"> and </w:t>
      </w:r>
      <w:r w:rsidRPr="00470DC3">
        <w:rPr>
          <w:kern w:val="0"/>
        </w:rPr>
        <w:t>CO</w:t>
      </w:r>
      <w:r w:rsidRPr="00470DC3">
        <w:rPr>
          <w:kern w:val="0"/>
          <w:vertAlign w:val="subscript"/>
        </w:rPr>
        <w:t>2</w:t>
      </w:r>
      <w:r w:rsidRPr="00470DC3">
        <w:rPr>
          <w:kern w:val="0"/>
        </w:rPr>
        <w:t xml:space="preserve"> at 273 K. The impregnation ratio had a strong influence on the pore structure of these ACs, which could be easily controlled by simply varying the proportion of ZnCl</w:t>
      </w:r>
      <w:r w:rsidRPr="00470DC3">
        <w:rPr>
          <w:kern w:val="0"/>
          <w:vertAlign w:val="subscript"/>
        </w:rPr>
        <w:t>2</w:t>
      </w:r>
      <w:r w:rsidRPr="00470DC3">
        <w:rPr>
          <w:kern w:val="0"/>
        </w:rPr>
        <w:t xml:space="preserve"> used in the activation. Thus, a low impregnation ratio led to essentially microporous ACs. At intermediate impregnation ratios, ACs with a wider pore size distribution (from micropores to mesopores) were obtained. Finally, high impregnation ratios yielded essentially mesoporous carbons with a large surface area</w:t>
      </w:r>
      <w:r w:rsidR="00F81221">
        <w:rPr>
          <w:kern w:val="0"/>
        </w:rPr>
        <w:t xml:space="preserve"> and </w:t>
      </w:r>
      <w:r w:rsidRPr="00470DC3">
        <w:rPr>
          <w:kern w:val="0"/>
        </w:rPr>
        <w:t>pore volume. The four best-fit three-parameter isotherms Sips, Toth, Prausnitz-Radke</w:t>
      </w:r>
      <w:r w:rsidR="00F81221">
        <w:rPr>
          <w:kern w:val="0"/>
        </w:rPr>
        <w:t xml:space="preserve"> and </w:t>
      </w:r>
      <w:r w:rsidRPr="00470DC3">
        <w:rPr>
          <w:kern w:val="0"/>
        </w:rPr>
        <w:t>Vieth-Sladek suggest that the adsorption capacity of activated carbons from orange peel for copper ions was 63 mg/g.</w:t>
      </w:r>
    </w:p>
    <w:p w:rsidR="00470DC3" w:rsidRPr="00470DC3" w:rsidRDefault="00470DC3" w:rsidP="00470DC3">
      <w:pPr>
        <w:pStyle w:val="a0"/>
        <w:rPr>
          <w:kern w:val="0"/>
        </w:rPr>
      </w:pPr>
      <w:r w:rsidRPr="00470DC3">
        <w:rPr>
          <w:kern w:val="0"/>
        </w:rPr>
        <w:t>Keywords: Orange Peel</w:t>
      </w:r>
      <w:r>
        <w:rPr>
          <w:kern w:val="0"/>
        </w:rPr>
        <w:t>,</w:t>
      </w:r>
      <w:r w:rsidRPr="00470DC3">
        <w:rPr>
          <w:kern w:val="0"/>
        </w:rPr>
        <w:t xml:space="preserve"> Adsorption</w:t>
      </w:r>
      <w:r>
        <w:rPr>
          <w:kern w:val="0"/>
        </w:rPr>
        <w:t>,</w:t>
      </w:r>
      <w:r w:rsidRPr="00470DC3">
        <w:rPr>
          <w:kern w:val="0"/>
        </w:rPr>
        <w:t xml:space="preserve"> Surface Area</w:t>
      </w:r>
      <w:r>
        <w:rPr>
          <w:kern w:val="0"/>
        </w:rPr>
        <w:t>,</w:t>
      </w:r>
      <w:r w:rsidRPr="00470DC3">
        <w:rPr>
          <w:kern w:val="0"/>
        </w:rPr>
        <w:t xml:space="preserve"> Activated Car</w:t>
      </w:r>
      <w:r>
        <w:rPr>
          <w:kern w:val="0"/>
        </w:rPr>
        <w:t>bon, Langmuir, Prausnitz-Radlke</w:t>
      </w:r>
    </w:p>
    <w:p w:rsidR="0018369B" w:rsidRPr="001A3D2B" w:rsidRDefault="0018369B" w:rsidP="0018369B">
      <w:pPr>
        <w:pStyle w:val="1"/>
      </w:pPr>
      <w:r w:rsidRPr="001A3D2B">
        <w:br w:type="page"/>
      </w:r>
      <w:bookmarkStart w:id="1561" w:name="_Toc303340880"/>
      <w:bookmarkStart w:id="1562" w:name="_Toc317161397"/>
      <w:r w:rsidRPr="001A3D2B">
        <w:lastRenderedPageBreak/>
        <w:t xml:space="preserve">Title: </w:t>
      </w:r>
      <w:bookmarkEnd w:id="1561"/>
      <w:r w:rsidRPr="0018369B">
        <w:rPr>
          <w:iCs/>
        </w:rPr>
        <w:t>International Review of Psychiatry</w:t>
      </w:r>
      <w:bookmarkEnd w:id="1562"/>
    </w:p>
    <w:p w:rsidR="0018369B" w:rsidRPr="001A3D2B" w:rsidRDefault="0018369B" w:rsidP="0018369B">
      <w:pPr>
        <w:pStyle w:val="12"/>
      </w:pPr>
      <w:r w:rsidRPr="001A3D2B">
        <w:t xml:space="preserve">Full Journal Title: </w:t>
      </w:r>
      <w:r w:rsidRPr="0018369B">
        <w:rPr>
          <w:iCs/>
        </w:rPr>
        <w:t>International Review of Psychiatry</w:t>
      </w:r>
    </w:p>
    <w:p w:rsidR="0018369B" w:rsidRPr="001A3D2B" w:rsidRDefault="0018369B" w:rsidP="0018369B">
      <w:pPr>
        <w:pStyle w:val="12"/>
      </w:pPr>
      <w:r w:rsidRPr="001A3D2B">
        <w:t xml:space="preserve">ISO Abbreviated Title: </w:t>
      </w:r>
    </w:p>
    <w:p w:rsidR="0018369B" w:rsidRPr="001A3D2B" w:rsidRDefault="0018369B" w:rsidP="0018369B">
      <w:pPr>
        <w:pStyle w:val="12"/>
      </w:pPr>
      <w:r w:rsidRPr="001A3D2B">
        <w:t xml:space="preserve">JCR Abbreviated Title: </w:t>
      </w:r>
    </w:p>
    <w:p w:rsidR="0018369B" w:rsidRPr="001A3D2B" w:rsidRDefault="0018369B" w:rsidP="0018369B">
      <w:pPr>
        <w:pStyle w:val="12"/>
      </w:pPr>
      <w:r w:rsidRPr="001A3D2B">
        <w:t xml:space="preserve">ISSN: </w:t>
      </w:r>
    </w:p>
    <w:p w:rsidR="0018369B" w:rsidRPr="001A3D2B" w:rsidRDefault="0018369B" w:rsidP="0018369B">
      <w:pPr>
        <w:pStyle w:val="12"/>
      </w:pPr>
      <w:r w:rsidRPr="001A3D2B">
        <w:t xml:space="preserve">Issues/Year: </w:t>
      </w:r>
    </w:p>
    <w:p w:rsidR="0018369B" w:rsidRPr="001A3D2B" w:rsidRDefault="0018369B" w:rsidP="0018369B">
      <w:pPr>
        <w:pStyle w:val="12"/>
      </w:pPr>
      <w:r w:rsidRPr="001A3D2B">
        <w:t>Journal Country/Territory:</w:t>
      </w:r>
    </w:p>
    <w:p w:rsidR="0018369B" w:rsidRPr="001A3D2B" w:rsidRDefault="0018369B" w:rsidP="0018369B">
      <w:pPr>
        <w:pStyle w:val="12"/>
      </w:pPr>
      <w:r w:rsidRPr="001A3D2B">
        <w:t xml:space="preserve">Language: </w:t>
      </w:r>
    </w:p>
    <w:p w:rsidR="0018369B" w:rsidRPr="001A3D2B" w:rsidRDefault="0018369B" w:rsidP="0018369B">
      <w:pPr>
        <w:pStyle w:val="12"/>
      </w:pPr>
      <w:r w:rsidRPr="001A3D2B">
        <w:t xml:space="preserve">Publisher: </w:t>
      </w:r>
    </w:p>
    <w:p w:rsidR="0018369B" w:rsidRPr="001A3D2B" w:rsidRDefault="0018369B" w:rsidP="0018369B">
      <w:pPr>
        <w:pStyle w:val="12"/>
      </w:pPr>
      <w:r w:rsidRPr="001A3D2B">
        <w:t xml:space="preserve">Publisher Address: </w:t>
      </w:r>
    </w:p>
    <w:p w:rsidR="0018369B" w:rsidRPr="001A3D2B" w:rsidRDefault="0018369B" w:rsidP="0018369B">
      <w:pPr>
        <w:pStyle w:val="12"/>
      </w:pPr>
      <w:r w:rsidRPr="001A3D2B">
        <w:t>Subject Categories:</w:t>
      </w:r>
    </w:p>
    <w:p w:rsidR="0018369B" w:rsidRPr="001A3D2B" w:rsidRDefault="0018369B" w:rsidP="0018369B">
      <w:pPr>
        <w:pStyle w:val="12"/>
      </w:pPr>
      <w:r w:rsidRPr="001A3D2B">
        <w:t>Impact Factor</w:t>
      </w:r>
    </w:p>
    <w:p w:rsidR="0018369B" w:rsidRDefault="0018369B" w:rsidP="0018369B">
      <w:pPr>
        <w:pStyle w:val="a0"/>
        <w:rPr>
          <w:kern w:val="0"/>
        </w:rPr>
      </w:pPr>
      <w:r>
        <w:rPr>
          <w:rFonts w:hint="eastAsia"/>
          <w:kern w:val="0"/>
        </w:rPr>
        <w:t xml:space="preserve">? </w:t>
      </w:r>
      <w:r>
        <w:rPr>
          <w:kern w:val="0"/>
        </w:rPr>
        <w:t>White, C.J., de Burgh, H.T., Fear, N.T.</w:t>
      </w:r>
      <w:r w:rsidR="00F81221">
        <w:rPr>
          <w:kern w:val="0"/>
        </w:rPr>
        <w:t xml:space="preserve"> and </w:t>
      </w:r>
      <w:r>
        <w:rPr>
          <w:kern w:val="0"/>
        </w:rPr>
        <w:t xml:space="preserve">Iversen, A.C. (2011), The impact of deployment to Iraq or Afghanistan on military children: A review of the literature. </w:t>
      </w:r>
      <w:r w:rsidRPr="0018369B">
        <w:rPr>
          <w:i/>
          <w:iCs/>
          <w:kern w:val="0"/>
        </w:rPr>
        <w:t>International Review of Psychiatry</w:t>
      </w:r>
      <w:r>
        <w:rPr>
          <w:kern w:val="0"/>
        </w:rPr>
        <w:t xml:space="preserve">, </w:t>
      </w:r>
      <w:r>
        <w:rPr>
          <w:b/>
          <w:bCs/>
          <w:kern w:val="0"/>
        </w:rPr>
        <w:t>23</w:t>
      </w:r>
      <w:r>
        <w:rPr>
          <w:kern w:val="0"/>
        </w:rPr>
        <w:t xml:space="preserve"> (2), 210-217.</w:t>
      </w:r>
    </w:p>
    <w:p w:rsidR="0018369B" w:rsidRDefault="0018369B" w:rsidP="0018369B">
      <w:pPr>
        <w:pStyle w:val="a0"/>
        <w:rPr>
          <w:kern w:val="0"/>
        </w:rPr>
      </w:pPr>
      <w:r>
        <w:rPr>
          <w:kern w:val="0"/>
        </w:rPr>
        <w:t>Abstract: The aim of this review is to evaluate what is known about the impact on children of parental deployment to Iraq or Afghanistan. We searched for relevant studies with a minimum sample size of 50 which were published between 2003</w:t>
      </w:r>
      <w:r w:rsidR="00F81221">
        <w:rPr>
          <w:kern w:val="0"/>
        </w:rPr>
        <w:t xml:space="preserve"> and </w:t>
      </w:r>
      <w:r>
        <w:rPr>
          <w:kern w:val="0"/>
        </w:rPr>
        <w:t>2010 using Google Scholar, MEDLINE, PUBMED, PsycINFO</w:t>
      </w:r>
      <w:r w:rsidR="00F81221">
        <w:rPr>
          <w:kern w:val="0"/>
        </w:rPr>
        <w:t xml:space="preserve"> and </w:t>
      </w:r>
      <w:r>
        <w:rPr>
          <w:kern w:val="0"/>
        </w:rPr>
        <w:t>Web of Science. Bibliographies of retrieved articles were also searched. Nine US-based studies were identified for inclusion in the review, five were cross-sectional, two were longitudinal</w:t>
      </w:r>
      <w:r w:rsidR="00F81221">
        <w:rPr>
          <w:kern w:val="0"/>
        </w:rPr>
        <w:t xml:space="preserve"> and </w:t>
      </w:r>
      <w:r>
        <w:rPr>
          <w:kern w:val="0"/>
        </w:rPr>
        <w:t>two were analyses of routinely collected data. Researchers found an increase in emotional</w:t>
      </w:r>
      <w:r w:rsidR="00F81221">
        <w:rPr>
          <w:kern w:val="0"/>
        </w:rPr>
        <w:t xml:space="preserve"> and </w:t>
      </w:r>
      <w:r>
        <w:rPr>
          <w:kern w:val="0"/>
        </w:rPr>
        <w:t>behavioral problems in children when a parent was deployed. Several mediating factors were identified, such as the family demographics</w:t>
      </w:r>
      <w:r w:rsidR="00F81221">
        <w:rPr>
          <w:kern w:val="0"/>
        </w:rPr>
        <w:t xml:space="preserve"> and </w:t>
      </w:r>
      <w:r>
        <w:rPr>
          <w:kern w:val="0"/>
        </w:rPr>
        <w:t>the number</w:t>
      </w:r>
      <w:r w:rsidR="00F81221">
        <w:rPr>
          <w:kern w:val="0"/>
        </w:rPr>
        <w:t xml:space="preserve"> and </w:t>
      </w:r>
      <w:r>
        <w:rPr>
          <w:kern w:val="0"/>
        </w:rPr>
        <w:t>duration of parental deployments. Parental psychopathology was most consistently identified as a risk factor for childhood emotional</w:t>
      </w:r>
      <w:r w:rsidR="00F81221">
        <w:rPr>
          <w:kern w:val="0"/>
        </w:rPr>
        <w:t xml:space="preserve"> and </w:t>
      </w:r>
      <w:r>
        <w:rPr>
          <w:kern w:val="0"/>
        </w:rPr>
        <w:t>behavioral disorders in the research. Limitations of the current research</w:t>
      </w:r>
      <w:r w:rsidR="00F81221">
        <w:rPr>
          <w:kern w:val="0"/>
        </w:rPr>
        <w:t xml:space="preserve"> and </w:t>
      </w:r>
      <w:r>
        <w:rPr>
          <w:kern w:val="0"/>
        </w:rPr>
        <w:t>subsequent recommendations for future research are also outlined.</w:t>
      </w:r>
    </w:p>
    <w:p w:rsidR="0018369B" w:rsidRDefault="0018369B" w:rsidP="0018369B">
      <w:pPr>
        <w:pStyle w:val="a0"/>
        <w:rPr>
          <w:kern w:val="0"/>
        </w:rPr>
      </w:pPr>
      <w:r>
        <w:rPr>
          <w:kern w:val="0"/>
        </w:rPr>
        <w:t>Keywords: Army, Behavior, Bibliographies, Children, Families, Google Scholar, Impact, Induced Separation, Literature, Maltreatment, Medline, Parent, Parental Deployment, Pubmed, Research, Researchers, Resilience, Review, Risk, Science, Service Members, Veterans, Web of Science, Young-Children</w:t>
      </w:r>
    </w:p>
    <w:p w:rsidR="00B95188" w:rsidRPr="00A428C3" w:rsidRDefault="00B95188" w:rsidP="00B95188">
      <w:pPr>
        <w:pStyle w:val="1"/>
      </w:pPr>
      <w:r w:rsidRPr="00A428C3">
        <w:br w:type="page"/>
      </w:r>
      <w:bookmarkStart w:id="1563" w:name="_Toc487190737"/>
      <w:bookmarkStart w:id="1564" w:name="_Toc487882242"/>
      <w:bookmarkStart w:id="1565" w:name="_Toc490688080"/>
      <w:bookmarkStart w:id="1566" w:name="_Toc492812193"/>
      <w:bookmarkStart w:id="1567" w:name="_Toc186647974"/>
      <w:bookmarkStart w:id="1568" w:name="_Toc317161398"/>
      <w:r w:rsidRPr="00A428C3">
        <w:lastRenderedPageBreak/>
        <w:t>Title: International Society for Fluoride Research</w:t>
      </w:r>
      <w:bookmarkEnd w:id="1563"/>
      <w:bookmarkEnd w:id="1564"/>
      <w:bookmarkEnd w:id="1565"/>
      <w:bookmarkEnd w:id="1566"/>
      <w:bookmarkEnd w:id="1567"/>
      <w:bookmarkEnd w:id="1568"/>
    </w:p>
    <w:p w:rsidR="0018369B" w:rsidRPr="001A3D2B" w:rsidRDefault="0018369B" w:rsidP="0018369B">
      <w:pPr>
        <w:pStyle w:val="12"/>
      </w:pPr>
      <w:r w:rsidRPr="001A3D2B">
        <w:t xml:space="preserve">Full Journal Title: </w:t>
      </w:r>
      <w:r w:rsidRPr="00A428C3">
        <w:t>International Society for Fluoride Research</w:t>
      </w:r>
    </w:p>
    <w:p w:rsidR="0018369B" w:rsidRPr="001A3D2B" w:rsidRDefault="0018369B" w:rsidP="0018369B">
      <w:pPr>
        <w:pStyle w:val="12"/>
      </w:pPr>
      <w:r w:rsidRPr="001A3D2B">
        <w:t xml:space="preserve">ISO Abbreviated Title: </w:t>
      </w:r>
    </w:p>
    <w:p w:rsidR="0018369B" w:rsidRPr="001A3D2B" w:rsidRDefault="0018369B" w:rsidP="0018369B">
      <w:pPr>
        <w:pStyle w:val="12"/>
      </w:pPr>
      <w:r w:rsidRPr="001A3D2B">
        <w:t xml:space="preserve">JCR Abbreviated Title: </w:t>
      </w:r>
    </w:p>
    <w:p w:rsidR="0018369B" w:rsidRPr="001A3D2B" w:rsidRDefault="0018369B" w:rsidP="0018369B">
      <w:pPr>
        <w:pStyle w:val="12"/>
      </w:pPr>
      <w:r w:rsidRPr="001A3D2B">
        <w:t xml:space="preserve">ISSN: </w:t>
      </w:r>
    </w:p>
    <w:p w:rsidR="0018369B" w:rsidRPr="001A3D2B" w:rsidRDefault="0018369B" w:rsidP="0018369B">
      <w:pPr>
        <w:pStyle w:val="12"/>
      </w:pPr>
      <w:r w:rsidRPr="001A3D2B">
        <w:t xml:space="preserve">Issues/Year: </w:t>
      </w:r>
    </w:p>
    <w:p w:rsidR="0018369B" w:rsidRPr="001A3D2B" w:rsidRDefault="0018369B" w:rsidP="0018369B">
      <w:pPr>
        <w:pStyle w:val="12"/>
      </w:pPr>
      <w:r w:rsidRPr="001A3D2B">
        <w:t>Journal Country/Territory:</w:t>
      </w:r>
    </w:p>
    <w:p w:rsidR="0018369B" w:rsidRPr="001A3D2B" w:rsidRDefault="0018369B" w:rsidP="0018369B">
      <w:pPr>
        <w:pStyle w:val="12"/>
      </w:pPr>
      <w:r w:rsidRPr="001A3D2B">
        <w:t xml:space="preserve">Language: </w:t>
      </w:r>
    </w:p>
    <w:p w:rsidR="0018369B" w:rsidRPr="001A3D2B" w:rsidRDefault="0018369B" w:rsidP="0018369B">
      <w:pPr>
        <w:pStyle w:val="12"/>
      </w:pPr>
      <w:r w:rsidRPr="001A3D2B">
        <w:t xml:space="preserve">Publisher: </w:t>
      </w:r>
    </w:p>
    <w:p w:rsidR="0018369B" w:rsidRPr="001A3D2B" w:rsidRDefault="0018369B" w:rsidP="0018369B">
      <w:pPr>
        <w:pStyle w:val="12"/>
      </w:pPr>
      <w:r w:rsidRPr="001A3D2B">
        <w:t xml:space="preserve">Publisher Address: </w:t>
      </w:r>
    </w:p>
    <w:p w:rsidR="0018369B" w:rsidRPr="001A3D2B" w:rsidRDefault="0018369B" w:rsidP="0018369B">
      <w:pPr>
        <w:pStyle w:val="12"/>
      </w:pPr>
      <w:r w:rsidRPr="001A3D2B">
        <w:t>Subject Categories:</w:t>
      </w:r>
    </w:p>
    <w:p w:rsidR="0018369B" w:rsidRPr="001A3D2B" w:rsidRDefault="0018369B" w:rsidP="0018369B">
      <w:pPr>
        <w:pStyle w:val="12"/>
      </w:pPr>
      <w:r w:rsidRPr="001A3D2B">
        <w:t>Impact Factor</w:t>
      </w:r>
    </w:p>
    <w:p w:rsidR="00B95188" w:rsidRPr="00A428C3" w:rsidRDefault="00B95188" w:rsidP="00B95188">
      <w:pPr>
        <w:pStyle w:val="a0"/>
      </w:pPr>
      <w:r w:rsidRPr="00A428C3">
        <w:t>? Phantumvanit, P.</w:t>
      </w:r>
      <w:r w:rsidR="00F81221">
        <w:t xml:space="preserve"> and </w:t>
      </w:r>
      <w:r w:rsidRPr="00A428C3">
        <w:t xml:space="preserve">LeGeros, R.Z. (1997), Characteristics of bone char related to efficacy of fluoride removal from highly fluoridated water. </w:t>
      </w:r>
      <w:r w:rsidRPr="00A428C3">
        <w:rPr>
          <w:i/>
        </w:rPr>
        <w:t>International Society for Fluoride Research</w:t>
      </w:r>
      <w:r w:rsidRPr="00A428C3">
        <w:t xml:space="preserve">, </w:t>
      </w:r>
      <w:r w:rsidRPr="00A428C3">
        <w:rPr>
          <w:b/>
        </w:rPr>
        <w:t>30</w:t>
      </w:r>
      <w:r w:rsidRPr="00A428C3">
        <w:t xml:space="preserve"> (4), 207-218.</w:t>
      </w:r>
    </w:p>
    <w:p w:rsidR="0018369B" w:rsidRPr="001A3D2B" w:rsidRDefault="0018369B" w:rsidP="0018369B">
      <w:pPr>
        <w:pStyle w:val="1"/>
      </w:pPr>
      <w:r w:rsidRPr="001A3D2B">
        <w:br w:type="page"/>
      </w:r>
      <w:bookmarkStart w:id="1569" w:name="_Toc317161399"/>
      <w:r w:rsidRPr="001A3D2B">
        <w:lastRenderedPageBreak/>
        <w:t xml:space="preserve">Title: </w:t>
      </w:r>
      <w:r w:rsidRPr="003832E9">
        <w:rPr>
          <w:iCs/>
        </w:rPr>
        <w:t>International Sportmed Journal</w:t>
      </w:r>
      <w:bookmarkEnd w:id="1569"/>
    </w:p>
    <w:p w:rsidR="0018369B" w:rsidRPr="001A3D2B" w:rsidRDefault="0018369B" w:rsidP="0018369B">
      <w:pPr>
        <w:pStyle w:val="12"/>
      </w:pPr>
      <w:r w:rsidRPr="001A3D2B">
        <w:t xml:space="preserve">Full Journal Title: </w:t>
      </w:r>
      <w:r w:rsidRPr="003832E9">
        <w:rPr>
          <w:iCs/>
        </w:rPr>
        <w:t>International Sportmed Journal</w:t>
      </w:r>
    </w:p>
    <w:p w:rsidR="0018369B" w:rsidRPr="001A3D2B" w:rsidRDefault="0018369B" w:rsidP="0018369B">
      <w:pPr>
        <w:pStyle w:val="12"/>
      </w:pPr>
      <w:r w:rsidRPr="001A3D2B">
        <w:t xml:space="preserve">ISO Abbreviated Title: </w:t>
      </w:r>
    </w:p>
    <w:p w:rsidR="0018369B" w:rsidRPr="001A3D2B" w:rsidRDefault="0018369B" w:rsidP="0018369B">
      <w:pPr>
        <w:pStyle w:val="12"/>
      </w:pPr>
      <w:r w:rsidRPr="001A3D2B">
        <w:t xml:space="preserve">JCR Abbreviated Title: </w:t>
      </w:r>
    </w:p>
    <w:p w:rsidR="0018369B" w:rsidRPr="001A3D2B" w:rsidRDefault="0018369B" w:rsidP="0018369B">
      <w:pPr>
        <w:pStyle w:val="12"/>
      </w:pPr>
      <w:r w:rsidRPr="001A3D2B">
        <w:t xml:space="preserve">ISSN: </w:t>
      </w:r>
    </w:p>
    <w:p w:rsidR="0018369B" w:rsidRPr="001A3D2B" w:rsidRDefault="0018369B" w:rsidP="0018369B">
      <w:pPr>
        <w:pStyle w:val="12"/>
      </w:pPr>
      <w:r w:rsidRPr="001A3D2B">
        <w:t xml:space="preserve">Issues/Year: </w:t>
      </w:r>
    </w:p>
    <w:p w:rsidR="0018369B" w:rsidRPr="001A3D2B" w:rsidRDefault="0018369B" w:rsidP="0018369B">
      <w:pPr>
        <w:pStyle w:val="12"/>
      </w:pPr>
      <w:r w:rsidRPr="001A3D2B">
        <w:t>Journal Country/Territory:</w:t>
      </w:r>
    </w:p>
    <w:p w:rsidR="0018369B" w:rsidRPr="001A3D2B" w:rsidRDefault="0018369B" w:rsidP="0018369B">
      <w:pPr>
        <w:pStyle w:val="12"/>
      </w:pPr>
      <w:r w:rsidRPr="001A3D2B">
        <w:t xml:space="preserve">Language: </w:t>
      </w:r>
    </w:p>
    <w:p w:rsidR="0018369B" w:rsidRPr="001A3D2B" w:rsidRDefault="0018369B" w:rsidP="0018369B">
      <w:pPr>
        <w:pStyle w:val="12"/>
      </w:pPr>
      <w:r w:rsidRPr="001A3D2B">
        <w:t xml:space="preserve">Publisher: </w:t>
      </w:r>
    </w:p>
    <w:p w:rsidR="0018369B" w:rsidRPr="001A3D2B" w:rsidRDefault="0018369B" w:rsidP="0018369B">
      <w:pPr>
        <w:pStyle w:val="12"/>
      </w:pPr>
      <w:r w:rsidRPr="001A3D2B">
        <w:t xml:space="preserve">Publisher Address: </w:t>
      </w:r>
    </w:p>
    <w:p w:rsidR="0018369B" w:rsidRPr="001A3D2B" w:rsidRDefault="0018369B" w:rsidP="0018369B">
      <w:pPr>
        <w:pStyle w:val="12"/>
      </w:pPr>
      <w:r w:rsidRPr="001A3D2B">
        <w:t>Subject Categories:</w:t>
      </w:r>
    </w:p>
    <w:p w:rsidR="0018369B" w:rsidRPr="001A3D2B" w:rsidRDefault="0018369B" w:rsidP="0018369B">
      <w:pPr>
        <w:pStyle w:val="12"/>
      </w:pPr>
      <w:r w:rsidRPr="001A3D2B">
        <w:t>Impact Factor</w:t>
      </w:r>
    </w:p>
    <w:p w:rsidR="0018369B" w:rsidRDefault="0018369B" w:rsidP="0018369B">
      <w:pPr>
        <w:pStyle w:val="a0"/>
        <w:rPr>
          <w:kern w:val="0"/>
        </w:rPr>
      </w:pPr>
      <w:r>
        <w:rPr>
          <w:rFonts w:hint="eastAsia"/>
          <w:kern w:val="0"/>
        </w:rPr>
        <w:t xml:space="preserve">? </w:t>
      </w:r>
      <w:r>
        <w:rPr>
          <w:kern w:val="0"/>
        </w:rPr>
        <w:t>Schwabe, K., de Villiers, R., Collins, M.</w:t>
      </w:r>
      <w:r w:rsidR="00F81221">
        <w:rPr>
          <w:kern w:val="0"/>
        </w:rPr>
        <w:t xml:space="preserve"> and </w:t>
      </w:r>
      <w:r>
        <w:rPr>
          <w:kern w:val="0"/>
        </w:rPr>
        <w:t xml:space="preserve">Schwellnus, M.P. (2007), Achilles tendon blood flow changes in response to acute exercise. </w:t>
      </w:r>
      <w:r w:rsidRPr="003832E9">
        <w:rPr>
          <w:i/>
          <w:iCs/>
          <w:kern w:val="0"/>
        </w:rPr>
        <w:t>International Sportmed Journal</w:t>
      </w:r>
      <w:r>
        <w:rPr>
          <w:kern w:val="0"/>
        </w:rPr>
        <w:t xml:space="preserve">, </w:t>
      </w:r>
      <w:r>
        <w:rPr>
          <w:b/>
          <w:bCs/>
          <w:kern w:val="0"/>
        </w:rPr>
        <w:t>8</w:t>
      </w:r>
      <w:r>
        <w:rPr>
          <w:kern w:val="0"/>
        </w:rPr>
        <w:t xml:space="preserve"> (3), 117-140.</w:t>
      </w:r>
    </w:p>
    <w:p w:rsidR="0018369B" w:rsidRDefault="0018369B" w:rsidP="0018369B">
      <w:pPr>
        <w:pStyle w:val="a0"/>
        <w:rPr>
          <w:kern w:val="0"/>
        </w:rPr>
      </w:pPr>
      <w:r>
        <w:rPr>
          <w:kern w:val="0"/>
        </w:rPr>
        <w:t>Abstract: Objective: This review examines the relationship between symptoms/signs of Achilles tendon injury</w:t>
      </w:r>
      <w:r w:rsidR="00F81221">
        <w:rPr>
          <w:kern w:val="0"/>
        </w:rPr>
        <w:t xml:space="preserve"> and </w:t>
      </w:r>
      <w:r>
        <w:rPr>
          <w:kern w:val="0"/>
        </w:rPr>
        <w:t>changes in morphology</w:t>
      </w:r>
      <w:r w:rsidR="00F81221">
        <w:rPr>
          <w:kern w:val="0"/>
        </w:rPr>
        <w:t xml:space="preserve"> and </w:t>
      </w:r>
      <w:r>
        <w:rPr>
          <w:kern w:val="0"/>
        </w:rPr>
        <w:t>blood flow in the tendon</w:t>
      </w:r>
      <w:r w:rsidR="00F81221">
        <w:rPr>
          <w:kern w:val="0"/>
        </w:rPr>
        <w:t xml:space="preserve"> and </w:t>
      </w:r>
      <w:r>
        <w:rPr>
          <w:kern w:val="0"/>
        </w:rPr>
        <w:t>also the effects of an acute exercise bout on morphology</w:t>
      </w:r>
      <w:r w:rsidR="00F81221">
        <w:rPr>
          <w:kern w:val="0"/>
        </w:rPr>
        <w:t xml:space="preserve"> and </w:t>
      </w:r>
      <w:r>
        <w:rPr>
          <w:kern w:val="0"/>
        </w:rPr>
        <w:t>blood flow in the Achilles tendon. Data sources: PUBMED</w:t>
      </w:r>
      <w:r w:rsidR="00F81221">
        <w:rPr>
          <w:kern w:val="0"/>
        </w:rPr>
        <w:t xml:space="preserve"> and </w:t>
      </w:r>
      <w:r>
        <w:rPr>
          <w:kern w:val="0"/>
        </w:rPr>
        <w:t>ISI Web of Science were searched from 1983 to 2007 using the terms Achilles tendon, blood flow</w:t>
      </w:r>
      <w:r w:rsidR="00F81221">
        <w:rPr>
          <w:kern w:val="0"/>
        </w:rPr>
        <w:t xml:space="preserve"> and </w:t>
      </w:r>
      <w:r>
        <w:rPr>
          <w:kern w:val="0"/>
        </w:rPr>
        <w:t>vascular, disease, imaging</w:t>
      </w:r>
      <w:r w:rsidR="00F81221">
        <w:rPr>
          <w:kern w:val="0"/>
        </w:rPr>
        <w:t xml:space="preserve"> and </w:t>
      </w:r>
      <w:r>
        <w:rPr>
          <w:kern w:val="0"/>
        </w:rPr>
        <w:t>ultrasound,</w:t>
      </w:r>
      <w:r w:rsidR="00F81221">
        <w:rPr>
          <w:kern w:val="0"/>
        </w:rPr>
        <w:t xml:space="preserve"> and </w:t>
      </w:r>
      <w:r>
        <w:rPr>
          <w:kern w:val="0"/>
        </w:rPr>
        <w:t>exercise. Additionally, the references of papers identified through this search were examined for relevant studies. Study section: One hundred</w:t>
      </w:r>
      <w:r w:rsidR="00F81221">
        <w:rPr>
          <w:kern w:val="0"/>
        </w:rPr>
        <w:t xml:space="preserve"> and </w:t>
      </w:r>
      <w:r>
        <w:rPr>
          <w:kern w:val="0"/>
        </w:rPr>
        <w:t>fourteen studies were identified that examined Achilles tendon disorders, risk factors for disease,</w:t>
      </w:r>
      <w:r w:rsidR="00F81221">
        <w:rPr>
          <w:kern w:val="0"/>
        </w:rPr>
        <w:t xml:space="preserve"> and </w:t>
      </w:r>
      <w:r>
        <w:rPr>
          <w:kern w:val="0"/>
        </w:rPr>
        <w:t>imaging of the Achilles tendon. A further twenty-four studies were identified that looked at the vascularity of the Achilles tendon, the association of the vascularity with symptoms</w:t>
      </w:r>
      <w:r w:rsidR="00F81221">
        <w:rPr>
          <w:kern w:val="0"/>
        </w:rPr>
        <w:t xml:space="preserve"> and </w:t>
      </w:r>
      <w:r>
        <w:rPr>
          <w:kern w:val="0"/>
        </w:rPr>
        <w:t>pathology,</w:t>
      </w:r>
      <w:r w:rsidR="00F81221">
        <w:rPr>
          <w:kern w:val="0"/>
        </w:rPr>
        <w:t xml:space="preserve"> and </w:t>
      </w:r>
      <w:r>
        <w:rPr>
          <w:kern w:val="0"/>
        </w:rPr>
        <w:t>the effect of exercise on tendon vascularity. Data extraction: Studies were critically evaluated</w:t>
      </w:r>
      <w:r w:rsidR="00F81221">
        <w:rPr>
          <w:kern w:val="0"/>
        </w:rPr>
        <w:t xml:space="preserve"> and </w:t>
      </w:r>
      <w:r>
        <w:rPr>
          <w:kern w:val="0"/>
        </w:rPr>
        <w:t>summarised in this review. No meta-analytic procedures were performed. Data synthesis: There is not always a clear relationship between morphological changes</w:t>
      </w:r>
      <w:r w:rsidR="00F81221">
        <w:rPr>
          <w:kern w:val="0"/>
        </w:rPr>
        <w:t xml:space="preserve"> and </w:t>
      </w:r>
      <w:r>
        <w:rPr>
          <w:kern w:val="0"/>
        </w:rPr>
        <w:t>the presence of symptoms</w:t>
      </w:r>
      <w:r w:rsidR="00F81221">
        <w:rPr>
          <w:kern w:val="0"/>
        </w:rPr>
        <w:t xml:space="preserve"> and </w:t>
      </w:r>
      <w:r>
        <w:rPr>
          <w:kern w:val="0"/>
        </w:rPr>
        <w:t>signs. The majority of studies show that there is a relationship between neovacularisation</w:t>
      </w:r>
      <w:r w:rsidR="00F81221">
        <w:rPr>
          <w:kern w:val="0"/>
        </w:rPr>
        <w:t xml:space="preserve"> and </w:t>
      </w:r>
      <w:r>
        <w:rPr>
          <w:kern w:val="0"/>
        </w:rPr>
        <w:t>chronic painful tendinosis. However, more recent studies show no association between tendon symptoms</w:t>
      </w:r>
      <w:r w:rsidR="00F81221">
        <w:rPr>
          <w:kern w:val="0"/>
        </w:rPr>
        <w:t xml:space="preserve"> and </w:t>
      </w:r>
      <w:r>
        <w:rPr>
          <w:kern w:val="0"/>
        </w:rPr>
        <w:t>the presence on neovascularisation. Studies show an increase in the blood flow in the Achilles tendon in response to exercise. Conclusions: Some, but not all, studies show an association between neovascularisation</w:t>
      </w:r>
      <w:r w:rsidR="00F81221">
        <w:rPr>
          <w:kern w:val="0"/>
        </w:rPr>
        <w:t xml:space="preserve"> and </w:t>
      </w:r>
      <w:r>
        <w:rPr>
          <w:kern w:val="0"/>
        </w:rPr>
        <w:t>chronic painful tendons. Studies show that blood flow in a tendon increases in response to an acute bout of exercise,</w:t>
      </w:r>
      <w:r w:rsidR="00F81221">
        <w:rPr>
          <w:kern w:val="0"/>
        </w:rPr>
        <w:t xml:space="preserve"> and </w:t>
      </w:r>
      <w:r>
        <w:rPr>
          <w:kern w:val="0"/>
        </w:rPr>
        <w:t>that this returns back to normal post-exercise</w:t>
      </w:r>
      <w:r w:rsidR="00F81221">
        <w:rPr>
          <w:kern w:val="0"/>
        </w:rPr>
        <w:t xml:space="preserve"> and </w:t>
      </w:r>
      <w:r>
        <w:rPr>
          <w:kern w:val="0"/>
        </w:rPr>
        <w:t xml:space="preserve">that this response may not always </w:t>
      </w:r>
      <w:r>
        <w:rPr>
          <w:kern w:val="0"/>
        </w:rPr>
        <w:lastRenderedPageBreak/>
        <w:t>be pathological. Future studies should examine the long-term consequences of this repeated transient increase in tendon blood flow in response to an acute exercise bout. The precise mechanism for these changes in blood flow will also require further investigation.</w:t>
      </w:r>
    </w:p>
    <w:p w:rsidR="0018369B" w:rsidRDefault="0018369B" w:rsidP="0018369B">
      <w:pPr>
        <w:pStyle w:val="a0"/>
        <w:rPr>
          <w:kern w:val="0"/>
        </w:rPr>
      </w:pPr>
      <w:r>
        <w:rPr>
          <w:kern w:val="0"/>
        </w:rPr>
        <w:t>Keywords: Achilles Tendon, Badminton Players, Blood, Blood Flow, Color Doppler, Disease, Exercise, Imaging, Injury, Intrinsic Risk-Factors, Ironman Triathlon, ISI, Mechanism, Normal, Papers, Patellar Tendons, Pathology, Peritendinous Tissue, Power Doppler, Pubmed, Review, Risk, Risk Factors, Science, Skeletal-Muscle, Surgical Findings, Symptoms, Tendon, Ultrasound, Ultrasound Stimulation, Web of Science</w:t>
      </w:r>
    </w:p>
    <w:p w:rsidR="00724D54" w:rsidRPr="001A3D2B" w:rsidRDefault="00724D54" w:rsidP="00724D54">
      <w:pPr>
        <w:pStyle w:val="1"/>
      </w:pPr>
      <w:r w:rsidRPr="001A3D2B">
        <w:br w:type="page"/>
      </w:r>
      <w:bookmarkStart w:id="1570" w:name="_Toc317161400"/>
      <w:r w:rsidRPr="001A3D2B">
        <w:lastRenderedPageBreak/>
        <w:t xml:space="preserve">Title: </w:t>
      </w:r>
      <w:r w:rsidRPr="006E5CC1">
        <w:rPr>
          <w:iCs/>
          <w:szCs w:val="24"/>
        </w:rPr>
        <w:t>International Studies Perspectives</w:t>
      </w:r>
      <w:bookmarkEnd w:id="1570"/>
    </w:p>
    <w:p w:rsidR="00724D54" w:rsidRPr="001A3D2B" w:rsidRDefault="00724D54" w:rsidP="00B72EF9">
      <w:pPr>
        <w:pStyle w:val="12"/>
      </w:pPr>
      <w:r w:rsidRPr="001A3D2B">
        <w:t xml:space="preserve">Full Journal Title: </w:t>
      </w:r>
      <w:r w:rsidRPr="006E5CC1">
        <w:t>International Studies Perspectives</w:t>
      </w:r>
    </w:p>
    <w:p w:rsidR="00724D54" w:rsidRPr="001A3D2B" w:rsidRDefault="00724D54" w:rsidP="00B72EF9">
      <w:pPr>
        <w:pStyle w:val="12"/>
      </w:pPr>
      <w:r w:rsidRPr="001A3D2B">
        <w:t xml:space="preserve">ISO Abbreviated Title: </w:t>
      </w:r>
    </w:p>
    <w:p w:rsidR="00724D54" w:rsidRPr="001A3D2B" w:rsidRDefault="00724D54" w:rsidP="00B72EF9">
      <w:pPr>
        <w:pStyle w:val="12"/>
      </w:pPr>
      <w:r w:rsidRPr="001A3D2B">
        <w:t xml:space="preserve">JCR Abbreviated Title: </w:t>
      </w:r>
    </w:p>
    <w:p w:rsidR="00724D54" w:rsidRPr="001A3D2B" w:rsidRDefault="00724D54" w:rsidP="00B72EF9">
      <w:pPr>
        <w:pStyle w:val="12"/>
      </w:pPr>
      <w:r w:rsidRPr="001A3D2B">
        <w:t xml:space="preserve">ISSN: </w:t>
      </w:r>
    </w:p>
    <w:p w:rsidR="00724D54" w:rsidRPr="001A3D2B" w:rsidRDefault="00724D54" w:rsidP="00B72EF9">
      <w:pPr>
        <w:pStyle w:val="12"/>
      </w:pPr>
      <w:r w:rsidRPr="001A3D2B">
        <w:t xml:space="preserve">Issues/Year: </w:t>
      </w:r>
    </w:p>
    <w:p w:rsidR="00724D54" w:rsidRPr="001A3D2B" w:rsidRDefault="00724D54" w:rsidP="00B72EF9">
      <w:pPr>
        <w:pStyle w:val="12"/>
      </w:pPr>
      <w:r w:rsidRPr="001A3D2B">
        <w:t>Journal Country/Territory:</w:t>
      </w:r>
    </w:p>
    <w:p w:rsidR="00724D54" w:rsidRPr="001A3D2B" w:rsidRDefault="00724D54" w:rsidP="00B72EF9">
      <w:pPr>
        <w:pStyle w:val="12"/>
      </w:pPr>
      <w:r w:rsidRPr="001A3D2B">
        <w:t xml:space="preserve">Language: </w:t>
      </w:r>
    </w:p>
    <w:p w:rsidR="00724D54" w:rsidRPr="001A3D2B" w:rsidRDefault="00724D54" w:rsidP="00B72EF9">
      <w:pPr>
        <w:pStyle w:val="12"/>
      </w:pPr>
      <w:r w:rsidRPr="001A3D2B">
        <w:t xml:space="preserve">Publisher: </w:t>
      </w:r>
    </w:p>
    <w:p w:rsidR="00724D54" w:rsidRPr="001A3D2B" w:rsidRDefault="00724D54" w:rsidP="00B72EF9">
      <w:pPr>
        <w:pStyle w:val="12"/>
      </w:pPr>
      <w:r w:rsidRPr="001A3D2B">
        <w:t xml:space="preserve">Publisher Address: </w:t>
      </w:r>
    </w:p>
    <w:p w:rsidR="00724D54" w:rsidRPr="001A3D2B" w:rsidRDefault="00724D54" w:rsidP="00B72EF9">
      <w:pPr>
        <w:pStyle w:val="12"/>
      </w:pPr>
      <w:r w:rsidRPr="001A3D2B">
        <w:t>Subject Categories:</w:t>
      </w:r>
    </w:p>
    <w:p w:rsidR="00724D54" w:rsidRPr="001A3D2B" w:rsidRDefault="00724D54" w:rsidP="00B72EF9">
      <w:pPr>
        <w:pStyle w:val="12"/>
      </w:pPr>
      <w:r w:rsidRPr="001A3D2B">
        <w:t>Impact Factor</w:t>
      </w:r>
    </w:p>
    <w:p w:rsidR="00724D54" w:rsidRDefault="00724D54" w:rsidP="00724D54">
      <w:pPr>
        <w:pStyle w:val="a0"/>
        <w:rPr>
          <w:kern w:val="0"/>
          <w:szCs w:val="24"/>
        </w:rPr>
      </w:pPr>
      <w:r>
        <w:rPr>
          <w:rFonts w:hint="eastAsia"/>
          <w:kern w:val="0"/>
          <w:szCs w:val="24"/>
        </w:rPr>
        <w:t xml:space="preserve">? </w:t>
      </w:r>
      <w:r>
        <w:rPr>
          <w:kern w:val="0"/>
          <w:szCs w:val="24"/>
        </w:rPr>
        <w:t>Sillanpaa, A.</w:t>
      </w:r>
      <w:r w:rsidR="00F81221">
        <w:rPr>
          <w:kern w:val="0"/>
          <w:szCs w:val="24"/>
        </w:rPr>
        <w:t xml:space="preserve"> and </w:t>
      </w:r>
      <w:r>
        <w:rPr>
          <w:kern w:val="0"/>
          <w:szCs w:val="24"/>
        </w:rPr>
        <w:t xml:space="preserve">Koivula, T. (2010), Mapping conflict research: A bibliometric study of contemporary scientific discourses. </w:t>
      </w:r>
      <w:r w:rsidRPr="006E5CC1">
        <w:rPr>
          <w:i/>
          <w:iCs/>
          <w:kern w:val="0"/>
          <w:szCs w:val="24"/>
        </w:rPr>
        <w:t>International Studies Perspectives</w:t>
      </w:r>
      <w:r>
        <w:rPr>
          <w:kern w:val="0"/>
          <w:szCs w:val="24"/>
        </w:rPr>
        <w:t xml:space="preserve">, </w:t>
      </w:r>
      <w:r>
        <w:rPr>
          <w:b/>
          <w:bCs/>
          <w:kern w:val="0"/>
          <w:szCs w:val="24"/>
        </w:rPr>
        <w:t>11</w:t>
      </w:r>
      <w:r>
        <w:rPr>
          <w:kern w:val="0"/>
          <w:szCs w:val="24"/>
        </w:rPr>
        <w:t xml:space="preserve"> (2), 148-171.</w:t>
      </w:r>
    </w:p>
    <w:p w:rsidR="00724D54" w:rsidRDefault="00724D54" w:rsidP="00724D54">
      <w:pPr>
        <w:pStyle w:val="a0"/>
        <w:rPr>
          <w:kern w:val="0"/>
          <w:szCs w:val="24"/>
        </w:rPr>
      </w:pPr>
      <w:r>
        <w:rPr>
          <w:kern w:val="0"/>
          <w:szCs w:val="24"/>
        </w:rPr>
        <w:t>Abstract: This paper employs bibliometric methods to map the structure of conflict research. Citation information is restructured by means of cluster</w:t>
      </w:r>
      <w:r w:rsidR="00F81221">
        <w:rPr>
          <w:kern w:val="0"/>
          <w:szCs w:val="24"/>
        </w:rPr>
        <w:t xml:space="preserve"> and </w:t>
      </w:r>
      <w:r>
        <w:rPr>
          <w:kern w:val="0"/>
          <w:szCs w:val="24"/>
        </w:rPr>
        <w:t>network analyses for the purpose of identifying the different discourses</w:t>
      </w:r>
      <w:r w:rsidR="00F81221">
        <w:rPr>
          <w:kern w:val="0"/>
          <w:szCs w:val="24"/>
        </w:rPr>
        <w:t xml:space="preserve"> and </w:t>
      </w:r>
      <w:r>
        <w:rPr>
          <w:kern w:val="0"/>
          <w:szCs w:val="24"/>
        </w:rPr>
        <w:t>fields contributing to conflict research. The data are derived from more than 1,300 articles published in 40 high-quality journals between 2000</w:t>
      </w:r>
      <w:r w:rsidR="00F81221">
        <w:rPr>
          <w:kern w:val="0"/>
          <w:szCs w:val="24"/>
        </w:rPr>
        <w:t xml:space="preserve"> and </w:t>
      </w:r>
      <w:r>
        <w:rPr>
          <w:kern w:val="0"/>
          <w:szCs w:val="24"/>
        </w:rPr>
        <w:t>2006. Four main discourses are identified within the field,</w:t>
      </w:r>
      <w:r w:rsidR="00F81221">
        <w:rPr>
          <w:kern w:val="0"/>
          <w:szCs w:val="24"/>
        </w:rPr>
        <w:t xml:space="preserve"> and </w:t>
      </w:r>
      <w:r>
        <w:rPr>
          <w:kern w:val="0"/>
          <w:szCs w:val="24"/>
        </w:rPr>
        <w:t>it is concluded that Democratic Peace Theory constitutes a powerful discursive core of contemporary conflict research, affecting most other discourses as well. It is suggested that instead of systemic foci, contemporary conflict research is dominated by the investigation of dyadic forms of interaction</w:t>
      </w:r>
      <w:r w:rsidR="00F81221">
        <w:rPr>
          <w:kern w:val="0"/>
          <w:szCs w:val="24"/>
        </w:rPr>
        <w:t xml:space="preserve"> and </w:t>
      </w:r>
      <w:r>
        <w:rPr>
          <w:kern w:val="0"/>
          <w:szCs w:val="24"/>
        </w:rPr>
        <w:t>that, somewhat surprisingly, the substantive focus of the most frequently cited research has remained on interstate war. The study intends to help researchers to be sensitive to gaps</w:t>
      </w:r>
      <w:r w:rsidR="00F81221">
        <w:rPr>
          <w:kern w:val="0"/>
          <w:szCs w:val="24"/>
        </w:rPr>
        <w:t xml:space="preserve"> and </w:t>
      </w:r>
      <w:r>
        <w:rPr>
          <w:kern w:val="0"/>
          <w:szCs w:val="24"/>
        </w:rPr>
        <w:t>focal points in contemporary research,</w:t>
      </w:r>
      <w:r w:rsidR="00F81221">
        <w:rPr>
          <w:kern w:val="0"/>
          <w:szCs w:val="24"/>
        </w:rPr>
        <w:t xml:space="preserve"> and </w:t>
      </w:r>
      <w:r>
        <w:rPr>
          <w:kern w:val="0"/>
          <w:szCs w:val="24"/>
        </w:rPr>
        <w:t>promote further discussion about the current state of the field. Applied approach provides academics, students,</w:t>
      </w:r>
      <w:r w:rsidR="00F81221">
        <w:rPr>
          <w:kern w:val="0"/>
          <w:szCs w:val="24"/>
        </w:rPr>
        <w:t xml:space="preserve"> and </w:t>
      </w:r>
      <w:r>
        <w:rPr>
          <w:kern w:val="0"/>
          <w:szCs w:val="24"/>
        </w:rPr>
        <w:t>practitioners with a usable</w:t>
      </w:r>
      <w:r w:rsidR="00F81221">
        <w:rPr>
          <w:kern w:val="0"/>
          <w:szCs w:val="24"/>
        </w:rPr>
        <w:t xml:space="preserve"> and </w:t>
      </w:r>
      <w:r>
        <w:rPr>
          <w:kern w:val="0"/>
          <w:szCs w:val="24"/>
        </w:rPr>
        <w:t>transparent procedure for structuring discourses</w:t>
      </w:r>
      <w:r w:rsidR="00F81221">
        <w:rPr>
          <w:kern w:val="0"/>
          <w:szCs w:val="24"/>
        </w:rPr>
        <w:t xml:space="preserve"> and </w:t>
      </w:r>
      <w:r>
        <w:rPr>
          <w:kern w:val="0"/>
          <w:szCs w:val="24"/>
        </w:rPr>
        <w:t>communicating about them further.</w:t>
      </w:r>
    </w:p>
    <w:p w:rsidR="00724D54" w:rsidRDefault="00724D54" w:rsidP="00724D54">
      <w:pPr>
        <w:pStyle w:val="a0"/>
        <w:rPr>
          <w:kern w:val="0"/>
          <w:szCs w:val="24"/>
        </w:rPr>
      </w:pPr>
      <w:r>
        <w:rPr>
          <w:kern w:val="0"/>
          <w:szCs w:val="24"/>
        </w:rPr>
        <w:t>Keywords: Bibliometric, Bibliometrics, Citation, Citation Analysis, Citation Analysis, Civil-War, Cocitation Analysis, Conflict Research, Democracy, Disputes, Domestic Conflict, Economic Interdependence, International Conflict, Journals, Liberal Peace, Research, Researchers, Scientific Discourse, Trade</w:t>
      </w:r>
    </w:p>
    <w:p w:rsidR="00FD7249" w:rsidRPr="001A3D2B" w:rsidRDefault="00FD7249" w:rsidP="00FD7249">
      <w:pPr>
        <w:pStyle w:val="1"/>
      </w:pPr>
      <w:r w:rsidRPr="001A3D2B">
        <w:br w:type="page"/>
      </w:r>
      <w:bookmarkStart w:id="1571" w:name="_Toc317161401"/>
      <w:r w:rsidRPr="001A3D2B">
        <w:lastRenderedPageBreak/>
        <w:t xml:space="preserve">Title: </w:t>
      </w:r>
      <w:r w:rsidRPr="00285158">
        <w:rPr>
          <w:iCs/>
        </w:rPr>
        <w:t>International Studies Quarterly</w:t>
      </w:r>
      <w:bookmarkEnd w:id="1571"/>
    </w:p>
    <w:p w:rsidR="00FD7249" w:rsidRPr="001A3D2B" w:rsidRDefault="00FD7249" w:rsidP="00B72EF9">
      <w:pPr>
        <w:pStyle w:val="12"/>
      </w:pPr>
      <w:r w:rsidRPr="001A3D2B">
        <w:t xml:space="preserve">Full Journal Title: </w:t>
      </w:r>
      <w:r w:rsidRPr="00285158">
        <w:t>International Studies Quarterly</w:t>
      </w:r>
    </w:p>
    <w:p w:rsidR="00FD7249" w:rsidRPr="001A3D2B" w:rsidRDefault="00FD7249" w:rsidP="00B72EF9">
      <w:pPr>
        <w:pStyle w:val="12"/>
      </w:pPr>
      <w:r w:rsidRPr="001A3D2B">
        <w:t xml:space="preserve">ISO Abbreviated Title: </w:t>
      </w:r>
    </w:p>
    <w:p w:rsidR="00FD7249" w:rsidRPr="001A3D2B" w:rsidRDefault="00FD7249" w:rsidP="00B72EF9">
      <w:pPr>
        <w:pStyle w:val="12"/>
      </w:pPr>
      <w:r w:rsidRPr="001A3D2B">
        <w:t xml:space="preserve">JCR Abbreviated Title: </w:t>
      </w:r>
    </w:p>
    <w:p w:rsidR="00FD7249" w:rsidRPr="001A3D2B" w:rsidRDefault="00FD7249" w:rsidP="00B72EF9">
      <w:pPr>
        <w:pStyle w:val="12"/>
      </w:pPr>
      <w:r w:rsidRPr="001A3D2B">
        <w:t xml:space="preserve">ISSN: </w:t>
      </w:r>
    </w:p>
    <w:p w:rsidR="00FD7249" w:rsidRPr="001A3D2B" w:rsidRDefault="00FD7249" w:rsidP="00B72EF9">
      <w:pPr>
        <w:pStyle w:val="12"/>
      </w:pPr>
      <w:r w:rsidRPr="001A3D2B">
        <w:t xml:space="preserve">Issues/Year: </w:t>
      </w:r>
    </w:p>
    <w:p w:rsidR="00FD7249" w:rsidRPr="001A3D2B" w:rsidRDefault="00FD7249" w:rsidP="00B72EF9">
      <w:pPr>
        <w:pStyle w:val="12"/>
      </w:pPr>
      <w:r w:rsidRPr="001A3D2B">
        <w:t>Journal Country/Territory:</w:t>
      </w:r>
    </w:p>
    <w:p w:rsidR="00FD7249" w:rsidRPr="001A3D2B" w:rsidRDefault="00FD7249" w:rsidP="00B72EF9">
      <w:pPr>
        <w:pStyle w:val="12"/>
      </w:pPr>
      <w:r w:rsidRPr="001A3D2B">
        <w:t xml:space="preserve">Language: </w:t>
      </w:r>
    </w:p>
    <w:p w:rsidR="00FD7249" w:rsidRPr="001A3D2B" w:rsidRDefault="00FD7249" w:rsidP="00B72EF9">
      <w:pPr>
        <w:pStyle w:val="12"/>
      </w:pPr>
      <w:r w:rsidRPr="001A3D2B">
        <w:t xml:space="preserve">Publisher: </w:t>
      </w:r>
    </w:p>
    <w:p w:rsidR="00FD7249" w:rsidRPr="001A3D2B" w:rsidRDefault="00FD7249" w:rsidP="00B72EF9">
      <w:pPr>
        <w:pStyle w:val="12"/>
      </w:pPr>
      <w:r w:rsidRPr="001A3D2B">
        <w:t xml:space="preserve">Publisher Address: </w:t>
      </w:r>
    </w:p>
    <w:p w:rsidR="00FD7249" w:rsidRPr="001A3D2B" w:rsidRDefault="00FD7249" w:rsidP="00B72EF9">
      <w:pPr>
        <w:pStyle w:val="12"/>
      </w:pPr>
      <w:r w:rsidRPr="001A3D2B">
        <w:t>Subject Categories:</w:t>
      </w:r>
    </w:p>
    <w:p w:rsidR="00FD7249" w:rsidRPr="001A3D2B" w:rsidRDefault="00FD7249" w:rsidP="00B72EF9">
      <w:pPr>
        <w:pStyle w:val="12"/>
      </w:pPr>
      <w:r w:rsidRPr="001A3D2B">
        <w:t>Impact Factor</w:t>
      </w:r>
    </w:p>
    <w:p w:rsidR="00FD7249" w:rsidRDefault="00FD7249" w:rsidP="00FD7249">
      <w:pPr>
        <w:pStyle w:val="a0"/>
        <w:rPr>
          <w:kern w:val="0"/>
        </w:rPr>
      </w:pPr>
      <w:r>
        <w:rPr>
          <w:rFonts w:hint="eastAsia"/>
          <w:kern w:val="0"/>
        </w:rPr>
        <w:t xml:space="preserve">? </w:t>
      </w:r>
      <w:r>
        <w:rPr>
          <w:kern w:val="0"/>
        </w:rPr>
        <w:t>Lake, D.A. (2010), Rightful rules: Authority, order,</w:t>
      </w:r>
      <w:r w:rsidR="00F81221">
        <w:rPr>
          <w:kern w:val="0"/>
        </w:rPr>
        <w:t xml:space="preserve"> and </w:t>
      </w:r>
      <w:r>
        <w:rPr>
          <w:kern w:val="0"/>
        </w:rPr>
        <w:t xml:space="preserve">the foundations of global governance. </w:t>
      </w:r>
      <w:r w:rsidRPr="00285158">
        <w:rPr>
          <w:i/>
          <w:iCs/>
          <w:kern w:val="0"/>
        </w:rPr>
        <w:t>International Studies Quarterly</w:t>
      </w:r>
      <w:r>
        <w:rPr>
          <w:kern w:val="0"/>
        </w:rPr>
        <w:t xml:space="preserve">, </w:t>
      </w:r>
      <w:r>
        <w:rPr>
          <w:b/>
          <w:bCs/>
          <w:kern w:val="0"/>
        </w:rPr>
        <w:t>54</w:t>
      </w:r>
      <w:r>
        <w:rPr>
          <w:kern w:val="0"/>
        </w:rPr>
        <w:t xml:space="preserve"> (3), 587-613.</w:t>
      </w:r>
    </w:p>
    <w:p w:rsidR="00FD7249" w:rsidRDefault="00FD7249" w:rsidP="00FD7249">
      <w:pPr>
        <w:pStyle w:val="a0"/>
        <w:rPr>
          <w:kern w:val="0"/>
        </w:rPr>
      </w:pPr>
      <w:r>
        <w:rPr>
          <w:rFonts w:hint="eastAsia"/>
          <w:kern w:val="0"/>
        </w:rPr>
        <w:t xml:space="preserve">Full Text: </w:t>
      </w:r>
      <w:hyperlink r:id="rId2120" w:history="1">
        <w:r w:rsidRPr="00FD7249">
          <w:rPr>
            <w:rStyle w:val="a5"/>
            <w:kern w:val="0"/>
          </w:rPr>
          <w:t>2010\Int Stu Qua54, 587.pdf</w:t>
        </w:r>
      </w:hyperlink>
    </w:p>
    <w:p w:rsidR="00FD7249" w:rsidRDefault="00FD7249" w:rsidP="00FD7249">
      <w:pPr>
        <w:pStyle w:val="a0"/>
        <w:rPr>
          <w:kern w:val="0"/>
        </w:rPr>
      </w:pPr>
      <w:r>
        <w:rPr>
          <w:kern w:val="0"/>
        </w:rPr>
        <w:t>Abstract: Global governance is an important</w:t>
      </w:r>
      <w:r w:rsidR="00F81221">
        <w:rPr>
          <w:kern w:val="0"/>
        </w:rPr>
        <w:t xml:space="preserve"> and </w:t>
      </w:r>
      <w:r>
        <w:rPr>
          <w:kern w:val="0"/>
        </w:rPr>
        <w:t>increasingly popular topic of inquiry. Nonetheless, existing research remains too statist, privileging states</w:t>
      </w:r>
      <w:r w:rsidR="00F81221">
        <w:rPr>
          <w:kern w:val="0"/>
        </w:rPr>
        <w:t xml:space="preserve"> and </w:t>
      </w:r>
      <w:r>
        <w:rPr>
          <w:kern w:val="0"/>
        </w:rPr>
        <w:t>limiting other forms of governance to the interstices of state power. Drawing on social contract theory, I offer an alternative approach that begins with the central role of authority in political life</w:t>
      </w:r>
      <w:r w:rsidR="00F81221">
        <w:rPr>
          <w:kern w:val="0"/>
        </w:rPr>
        <w:t xml:space="preserve"> and </w:t>
      </w:r>
      <w:r>
        <w:rPr>
          <w:kern w:val="0"/>
        </w:rPr>
        <w:t>develops a synthetic understanding of governance that applies equally to its myriad forms. I argue that we have, as a discipline, relied on a formal-legal conception of authority that is inappropriate to an international setting</w:t>
      </w:r>
      <w:r w:rsidR="00F81221">
        <w:rPr>
          <w:kern w:val="0"/>
        </w:rPr>
        <w:t xml:space="preserve"> and </w:t>
      </w:r>
      <w:r>
        <w:rPr>
          <w:kern w:val="0"/>
        </w:rPr>
        <w:t>has unduly limited enforcement to violence. I propose that global governance</w:t>
      </w:r>
      <w:r w:rsidR="00F81221">
        <w:rPr>
          <w:kern w:val="0"/>
        </w:rPr>
        <w:t xml:space="preserve"> and </w:t>
      </w:r>
      <w:r>
        <w:rPr>
          <w:kern w:val="0"/>
        </w:rPr>
        <w:t>its many forms can be understood</w:t>
      </w:r>
      <w:r w:rsidR="00F81221">
        <w:rPr>
          <w:kern w:val="0"/>
        </w:rPr>
        <w:t xml:space="preserve"> and </w:t>
      </w:r>
      <w:r>
        <w:rPr>
          <w:kern w:val="0"/>
        </w:rPr>
        <w:t>unified by a concept of relational authority, which treats authority as a social contract in which a governor provides a political order of value to a community in exchange for compliance by the governed with the rules necessary to produce that order. This conception of relational authority is followed by three illustrations of its central logic in (i) state-to-state hierarchy by the United States over Caribbean states, (ii) supranational authority by the World Trade Organization over member states,</w:t>
      </w:r>
      <w:r w:rsidR="00F81221">
        <w:rPr>
          <w:kern w:val="0"/>
        </w:rPr>
        <w:t xml:space="preserve"> and </w:t>
      </w:r>
      <w:r>
        <w:rPr>
          <w:kern w:val="0"/>
        </w:rPr>
        <w:t>(iii) private authority by credit rating agencies over corporations</w:t>
      </w:r>
      <w:r w:rsidR="00F81221">
        <w:rPr>
          <w:kern w:val="0"/>
        </w:rPr>
        <w:t xml:space="preserve"> and </w:t>
      </w:r>
      <w:r>
        <w:rPr>
          <w:kern w:val="0"/>
        </w:rPr>
        <w:t>sovereign borrowers. The conclusion outlines the research agenda that follows from this approach.</w:t>
      </w:r>
    </w:p>
    <w:p w:rsidR="00FD7249" w:rsidRDefault="00FD7249" w:rsidP="00FD7249">
      <w:pPr>
        <w:pStyle w:val="a0"/>
        <w:rPr>
          <w:kern w:val="0"/>
        </w:rPr>
      </w:pPr>
      <w:r>
        <w:rPr>
          <w:kern w:val="0"/>
        </w:rPr>
        <w:t>Keywords: Anarchy, Choice, Institutions, Politics, Power, Research</w:t>
      </w:r>
    </w:p>
    <w:p w:rsidR="00B95188" w:rsidRPr="00A428C3" w:rsidRDefault="00B95188" w:rsidP="00B95188">
      <w:pPr>
        <w:pStyle w:val="1"/>
      </w:pPr>
      <w:r w:rsidRPr="00A428C3">
        <w:br w:type="page"/>
      </w:r>
      <w:bookmarkStart w:id="1572" w:name="_Toc487190738"/>
      <w:bookmarkStart w:id="1573" w:name="_Toc487882243"/>
      <w:bookmarkStart w:id="1574" w:name="_Toc490688081"/>
      <w:bookmarkStart w:id="1575" w:name="_Toc492812194"/>
      <w:bookmarkStart w:id="1576" w:name="_Toc186647975"/>
      <w:bookmarkStart w:id="1577" w:name="_Toc317161402"/>
      <w:r w:rsidRPr="00A428C3">
        <w:lastRenderedPageBreak/>
        <w:t>Title: International Sugar Journal</w:t>
      </w:r>
      <w:bookmarkEnd w:id="1572"/>
      <w:bookmarkEnd w:id="1573"/>
      <w:bookmarkEnd w:id="1574"/>
      <w:bookmarkEnd w:id="1575"/>
      <w:bookmarkEnd w:id="1576"/>
      <w:bookmarkEnd w:id="1577"/>
    </w:p>
    <w:p w:rsidR="00B95188" w:rsidRPr="00A428C3" w:rsidRDefault="00B95188" w:rsidP="00B72EF9">
      <w:pPr>
        <w:pStyle w:val="12"/>
      </w:pPr>
      <w:r w:rsidRPr="00A428C3">
        <w:t>Full Journal Title: International Sugar Journal</w:t>
      </w:r>
    </w:p>
    <w:p w:rsidR="00B95188" w:rsidRPr="00A428C3" w:rsidRDefault="00B95188" w:rsidP="00B72EF9">
      <w:pPr>
        <w:pStyle w:val="12"/>
      </w:pPr>
      <w:r w:rsidRPr="00A428C3">
        <w:t>ISO Abbreviated Title: Int. Sugar J.</w:t>
      </w:r>
    </w:p>
    <w:p w:rsidR="00B95188" w:rsidRPr="00A428C3" w:rsidRDefault="00B95188" w:rsidP="00B72EF9">
      <w:pPr>
        <w:pStyle w:val="12"/>
      </w:pPr>
      <w:r w:rsidRPr="00A428C3">
        <w:t>JCR Abbreviated Title: Int Sugar J</w:t>
      </w:r>
    </w:p>
    <w:p w:rsidR="00B95188" w:rsidRPr="00A428C3" w:rsidRDefault="00B95188" w:rsidP="00B72EF9">
      <w:pPr>
        <w:pStyle w:val="12"/>
      </w:pPr>
      <w:r w:rsidRPr="00A428C3">
        <w:t>ISSN: 0020-8841</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Wales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Int Sugar Journal Ltd</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w:t>
          </w:r>
        </w:smartTag>
        <w:r w:rsidRPr="00A428C3">
          <w:t xml:space="preserve"> 26N</w:t>
        </w:r>
      </w:smartTag>
      <w:r w:rsidRPr="00A428C3">
        <w:t xml:space="preserve"> St Port Talbot, </w:t>
      </w:r>
      <w:smartTag w:uri="urn:schemas-microsoft-com:office:smarttags" w:element="place">
        <w:r w:rsidRPr="00A428C3">
          <w:t>West Glamorgan</w:t>
        </w:r>
      </w:smartTag>
      <w:r w:rsidRPr="00A428C3">
        <w:t xml:space="preserve"> SA13 1NX, Wales</w:t>
      </w:r>
    </w:p>
    <w:p w:rsidR="00B95188" w:rsidRPr="00A428C3" w:rsidRDefault="00B95188" w:rsidP="00B72EF9">
      <w:pPr>
        <w:pStyle w:val="12"/>
      </w:pPr>
      <w:r w:rsidRPr="00A428C3">
        <w:t>Subject Categories:</w:t>
      </w:r>
    </w:p>
    <w:p w:rsidR="00B95188" w:rsidRPr="00A428C3" w:rsidRDefault="00B95188" w:rsidP="00B72EF9">
      <w:pPr>
        <w:pStyle w:val="12"/>
      </w:pPr>
      <w:r w:rsidRPr="00A428C3">
        <w:t>Agriculture Food Science &amp; Technology: Impact Factor</w:t>
      </w:r>
    </w:p>
    <w:p w:rsidR="00B95188" w:rsidRPr="00A428C3" w:rsidRDefault="00B95188" w:rsidP="00B95188">
      <w:pPr>
        <w:pStyle w:val="a0"/>
      </w:pPr>
      <w:r w:rsidRPr="00A428C3">
        <w:t>? Abdel Kader, A., Aly, A.N.H.</w:t>
      </w:r>
      <w:r w:rsidR="00F81221">
        <w:t xml:space="preserve"> and </w:t>
      </w:r>
      <w:r w:rsidRPr="00A428C3">
        <w:t xml:space="preserve">Girgis, B.S. (1996), Bone char decolorization efficiency: A laboratory study over four consecutive cycles. </w:t>
      </w:r>
      <w:r w:rsidRPr="00A428C3">
        <w:rPr>
          <w:i/>
        </w:rPr>
        <w:t>International Sugar Journal</w:t>
      </w:r>
      <w:r w:rsidRPr="00A428C3">
        <w:t xml:space="preserve">, </w:t>
      </w:r>
      <w:r w:rsidRPr="00A428C3">
        <w:rPr>
          <w:b/>
        </w:rPr>
        <w:t>98</w:t>
      </w:r>
      <w:r w:rsidRPr="00A428C3">
        <w:t xml:space="preserve"> (1174), 546-548.</w:t>
      </w:r>
    </w:p>
    <w:p w:rsidR="00B95188" w:rsidRPr="00A428C3" w:rsidRDefault="00B95188" w:rsidP="00B95188">
      <w:pPr>
        <w:pStyle w:val="1"/>
      </w:pPr>
      <w:r w:rsidRPr="00A428C3">
        <w:rPr>
          <w:lang w:val="en-GB"/>
        </w:rPr>
        <w:br w:type="page"/>
      </w:r>
      <w:bookmarkStart w:id="1578" w:name="_Toc487190739"/>
      <w:bookmarkStart w:id="1579" w:name="_Toc487882244"/>
      <w:bookmarkStart w:id="1580" w:name="_Toc490688082"/>
      <w:bookmarkStart w:id="1581" w:name="_Toc492812195"/>
      <w:bookmarkStart w:id="1582" w:name="_Toc186647976"/>
      <w:bookmarkStart w:id="1583" w:name="_Toc317161403"/>
      <w:r w:rsidRPr="00A428C3">
        <w:lastRenderedPageBreak/>
        <w:t>Title: International Symposium on Extraction</w:t>
      </w:r>
      <w:r w:rsidR="00F81221">
        <w:t xml:space="preserve"> and </w:t>
      </w:r>
      <w:r w:rsidRPr="00A428C3">
        <w:t>Processing for the Treatment</w:t>
      </w:r>
      <w:r w:rsidR="00F81221">
        <w:t xml:space="preserve"> and </w:t>
      </w:r>
      <w:r w:rsidRPr="00A428C3">
        <w:t>Minimixation of Wastes</w:t>
      </w:r>
      <w:bookmarkEnd w:id="1578"/>
      <w:bookmarkEnd w:id="1579"/>
      <w:bookmarkEnd w:id="1580"/>
      <w:bookmarkEnd w:id="1581"/>
      <w:bookmarkEnd w:id="1582"/>
      <w:bookmarkEnd w:id="1583"/>
    </w:p>
    <w:p w:rsidR="00B95188" w:rsidRPr="00A428C3" w:rsidRDefault="00B95188" w:rsidP="00B95188">
      <w:pPr>
        <w:pStyle w:val="a0"/>
      </w:pPr>
      <w:r w:rsidRPr="00A428C3">
        <w:rPr>
          <w:lang w:val="nl-NL"/>
        </w:rPr>
        <w:t xml:space="preserve">? Green, D.H. </w:t>
      </w:r>
      <w:r w:rsidRPr="00A428C3">
        <w:rPr>
          <w:i/>
          <w:lang w:val="nl-NL"/>
        </w:rPr>
        <w:t>et al.</w:t>
      </w:r>
      <w:r w:rsidRPr="00A428C3">
        <w:rPr>
          <w:lang w:val="nl-NL"/>
        </w:rPr>
        <w:t xml:space="preserve"> </w:t>
      </w:r>
      <w:r w:rsidRPr="00A428C3">
        <w:t>(1994), A technical</w:t>
      </w:r>
      <w:r w:rsidR="00F81221">
        <w:t xml:space="preserve"> and </w:t>
      </w:r>
      <w:r w:rsidRPr="00A428C3">
        <w:t>economic comparison between conventional precipitation</w:t>
      </w:r>
      <w:r w:rsidR="00F81221">
        <w:t xml:space="preserve"> and </w:t>
      </w:r>
      <w:r w:rsidRPr="00A428C3">
        <w:t xml:space="preserve">membrance-midia treatment of the wastewater at the ASARCO Globe Plant, </w:t>
      </w:r>
      <w:smartTag w:uri="urn:schemas-microsoft-com:office:smarttags" w:element="place">
        <w:smartTag w:uri="urn:schemas-microsoft-com:office:smarttags" w:element="City">
          <w:r w:rsidRPr="00A428C3">
            <w:t>Denver</w:t>
          </w:r>
        </w:smartTag>
        <w:r w:rsidRPr="00A428C3">
          <w:t xml:space="preserve">, </w:t>
        </w:r>
        <w:smartTag w:uri="urn:schemas-microsoft-com:office:smarttags" w:element="State">
          <w:r w:rsidRPr="00A428C3">
            <w:t>Colorado</w:t>
          </w:r>
        </w:smartTag>
      </w:smartTag>
      <w:r w:rsidRPr="00A428C3">
        <w:t xml:space="preserve">. </w:t>
      </w:r>
      <w:r w:rsidRPr="00A428C3">
        <w:rPr>
          <w:i/>
        </w:rPr>
        <w:t>International Symposium on Extraction</w:t>
      </w:r>
      <w:r w:rsidR="00F81221">
        <w:rPr>
          <w:i/>
        </w:rPr>
        <w:t xml:space="preserve"> and </w:t>
      </w:r>
      <w:r w:rsidRPr="00A428C3">
        <w:rPr>
          <w:i/>
        </w:rPr>
        <w:t>Processing for the Treatment</w:t>
      </w:r>
      <w:r w:rsidR="00F81221">
        <w:rPr>
          <w:i/>
        </w:rPr>
        <w:t xml:space="preserve"> and </w:t>
      </w:r>
      <w:r w:rsidRPr="00A428C3">
        <w:rPr>
          <w:i/>
        </w:rPr>
        <w:t>Minimixation of Wastes</w:t>
      </w:r>
      <w:r w:rsidRPr="00A428C3">
        <w:t xml:space="preserve">, February 27 – March 3, in </w:t>
      </w:r>
      <w:smartTag w:uri="urn:schemas-microsoft-com:office:smarttags" w:element="place">
        <w:smartTag w:uri="urn:schemas-microsoft-com:office:smarttags" w:element="City">
          <w:r w:rsidRPr="00A428C3">
            <w:t>San Francisco</w:t>
          </w:r>
        </w:smartTag>
        <w:r w:rsidRPr="00A428C3">
          <w:t xml:space="preserve">, </w:t>
        </w:r>
        <w:smartTag w:uri="urn:schemas-microsoft-com:office:smarttags" w:element="State">
          <w:r w:rsidRPr="00A428C3">
            <w:t>California</w:t>
          </w:r>
        </w:smartTag>
      </w:smartTag>
      <w:r w:rsidRPr="00A428C3">
        <w:t>.</w:t>
      </w:r>
    </w:p>
    <w:p w:rsidR="00B95188" w:rsidRPr="00A428C3" w:rsidRDefault="00B95188" w:rsidP="00B95188">
      <w:pPr>
        <w:pStyle w:val="1"/>
      </w:pPr>
      <w:r w:rsidRPr="00A428C3">
        <w:br w:type="page"/>
      </w:r>
      <w:bookmarkStart w:id="1584" w:name="_Toc455569488"/>
      <w:bookmarkStart w:id="1585" w:name="_Toc487190740"/>
      <w:bookmarkStart w:id="1586" w:name="_Toc487882245"/>
      <w:bookmarkStart w:id="1587" w:name="_Toc490688083"/>
      <w:bookmarkStart w:id="1588" w:name="_Toc492812196"/>
      <w:bookmarkStart w:id="1589" w:name="_Toc186647977"/>
      <w:bookmarkStart w:id="1590" w:name="_Toc317161404"/>
      <w:r w:rsidRPr="00A428C3">
        <w:lastRenderedPageBreak/>
        <w:t>Title: International Symposium on Peat/Peatland</w:t>
      </w:r>
      <w:bookmarkEnd w:id="1584"/>
      <w:bookmarkEnd w:id="1585"/>
      <w:bookmarkEnd w:id="1586"/>
      <w:bookmarkEnd w:id="1587"/>
      <w:bookmarkEnd w:id="1588"/>
      <w:bookmarkEnd w:id="1589"/>
      <w:bookmarkEnd w:id="1590"/>
    </w:p>
    <w:p w:rsidR="00B95188" w:rsidRPr="00A428C3" w:rsidRDefault="00B95188" w:rsidP="00B95188">
      <w:pPr>
        <w:pStyle w:val="a0"/>
      </w:pPr>
      <w:bookmarkStart w:id="1591" w:name="Morine"/>
      <w:r w:rsidRPr="00A428C3">
        <w:t>Morine</w:t>
      </w:r>
      <w:bookmarkEnd w:id="1591"/>
      <w:r w:rsidRPr="00A428C3">
        <w:t xml:space="preserve">, G., </w:t>
      </w:r>
      <w:bookmarkStart w:id="1592" w:name="King"/>
      <w:r w:rsidRPr="00A428C3">
        <w:t>King</w:t>
      </w:r>
      <w:bookmarkEnd w:id="1592"/>
      <w:r w:rsidRPr="00A428C3">
        <w:t xml:space="preserve">, P., </w:t>
      </w:r>
      <w:bookmarkStart w:id="1593" w:name="Spigarelli"/>
      <w:r w:rsidRPr="00A428C3">
        <w:t>Spigarelli</w:t>
      </w:r>
      <w:bookmarkEnd w:id="1593"/>
      <w:r w:rsidRPr="00A428C3">
        <w:t>, S.</w:t>
      </w:r>
      <w:r w:rsidR="00F81221">
        <w:t xml:space="preserve"> and </w:t>
      </w:r>
      <w:bookmarkStart w:id="1594" w:name="Marken"/>
      <w:r w:rsidRPr="00A428C3">
        <w:t>Marken</w:t>
      </w:r>
      <w:bookmarkEnd w:id="1594"/>
      <w:r w:rsidRPr="00A428C3">
        <w:t>, J. (1989), Adsorption of aqueous Cu(II)</w:t>
      </w:r>
      <w:r w:rsidR="00F81221">
        <w:t xml:space="preserve"> and </w:t>
      </w:r>
      <w:r w:rsidRPr="00A428C3">
        <w:t>Cr(III) ions on peat</w:t>
      </w:r>
      <w:r w:rsidR="00F81221">
        <w:t xml:space="preserve"> and </w:t>
      </w:r>
      <w:r w:rsidRPr="00A428C3">
        <w:t xml:space="preserve">processed peats. </w:t>
      </w:r>
      <w:r w:rsidRPr="00A428C3">
        <w:rPr>
          <w:i/>
        </w:rPr>
        <w:t>International Symposium on Peat/Peatland</w:t>
      </w:r>
      <w:r w:rsidRPr="00A428C3">
        <w:t>, 302-309.</w:t>
      </w:r>
    </w:p>
    <w:p w:rsidR="00B95188" w:rsidRPr="00A428C3" w:rsidRDefault="00B95188" w:rsidP="00B95188">
      <w:pPr>
        <w:pStyle w:val="1"/>
      </w:pPr>
      <w:r w:rsidRPr="00A428C3">
        <w:br w:type="page"/>
      </w:r>
      <w:bookmarkStart w:id="1595" w:name="_Toc487190742"/>
      <w:bookmarkStart w:id="1596" w:name="_Toc487882247"/>
      <w:bookmarkStart w:id="1597" w:name="_Toc490688085"/>
      <w:bookmarkStart w:id="1598" w:name="_Toc492812198"/>
      <w:bookmarkStart w:id="1599" w:name="_Toc186647979"/>
      <w:bookmarkStart w:id="1600" w:name="_Toc317161405"/>
      <w:r w:rsidRPr="00A428C3">
        <w:lastRenderedPageBreak/>
        <w:t>Title: Introduction to the Principles of Heterogeneous Catalysis</w:t>
      </w:r>
      <w:bookmarkEnd w:id="1595"/>
      <w:bookmarkEnd w:id="1596"/>
      <w:bookmarkEnd w:id="1597"/>
      <w:bookmarkEnd w:id="1598"/>
      <w:bookmarkEnd w:id="1599"/>
      <w:bookmarkEnd w:id="1600"/>
    </w:p>
    <w:p w:rsidR="00B95188" w:rsidRPr="00A428C3" w:rsidRDefault="00B95188" w:rsidP="00B95188">
      <w:pPr>
        <w:pStyle w:val="a0"/>
      </w:pPr>
      <w:r w:rsidRPr="00A428C3">
        <w:t xml:space="preserve">Academic Press, </w:t>
      </w:r>
      <w:smartTag w:uri="urn:schemas-microsoft-com:office:smarttags" w:element="place">
        <w:smartTag w:uri="urn:schemas-microsoft-com:office:smarttags" w:element="State">
          <w:r w:rsidRPr="00A428C3">
            <w:t>New York</w:t>
          </w:r>
        </w:smartTag>
      </w:smartTag>
    </w:p>
    <w:p w:rsidR="00B95188" w:rsidRPr="00A428C3" w:rsidRDefault="00B95188" w:rsidP="00B95188">
      <w:pPr>
        <w:pStyle w:val="a0"/>
      </w:pPr>
      <w:r w:rsidRPr="00A428C3">
        <w:t>? Thomas, J.M.</w:t>
      </w:r>
      <w:r w:rsidR="00F81221">
        <w:t xml:space="preserve"> and </w:t>
      </w:r>
      <w:r w:rsidRPr="00A428C3">
        <w:t xml:space="preserve">Thomas, W.J. (1967), </w:t>
      </w:r>
      <w:r w:rsidRPr="00A428C3">
        <w:rPr>
          <w:i/>
        </w:rPr>
        <w:t>Introduction to the Principles of Heterogeneous Catalysis</w:t>
      </w:r>
      <w:r w:rsidRPr="00A428C3">
        <w:t xml:space="preserve">, Academic Press Inc., </w:t>
      </w:r>
      <w:smartTag w:uri="urn:schemas-microsoft-com:office:smarttags" w:element="place">
        <w:smartTag w:uri="urn:schemas-microsoft-com:office:smarttags" w:element="City">
          <w:r w:rsidRPr="00A428C3">
            <w:t>London</w:t>
          </w:r>
        </w:smartTag>
      </w:smartTag>
      <w:r w:rsidRPr="00A428C3">
        <w:t>, 32.</w:t>
      </w:r>
    </w:p>
    <w:p w:rsidR="00614FC9" w:rsidRPr="00217FB1" w:rsidRDefault="00614FC9" w:rsidP="00614FC9">
      <w:pPr>
        <w:pStyle w:val="1"/>
      </w:pPr>
      <w:r w:rsidRPr="00217FB1">
        <w:br w:type="page"/>
      </w:r>
      <w:bookmarkStart w:id="1601" w:name="_Toc317161406"/>
      <w:r w:rsidRPr="00217FB1">
        <w:lastRenderedPageBreak/>
        <w:t>Title:</w:t>
      </w:r>
      <w:r>
        <w:rPr>
          <w:rFonts w:hint="eastAsia"/>
        </w:rPr>
        <w:t xml:space="preserve"> </w:t>
      </w:r>
      <w:r w:rsidRPr="00614FC9">
        <w:rPr>
          <w:iCs/>
          <w:szCs w:val="24"/>
        </w:rPr>
        <w:t>International Urology</w:t>
      </w:r>
      <w:r w:rsidR="00F81221">
        <w:rPr>
          <w:iCs/>
          <w:szCs w:val="24"/>
        </w:rPr>
        <w:t xml:space="preserve"> and </w:t>
      </w:r>
      <w:r w:rsidRPr="00614FC9">
        <w:rPr>
          <w:iCs/>
          <w:szCs w:val="24"/>
        </w:rPr>
        <w:t>Nephrology</w:t>
      </w:r>
      <w:bookmarkEnd w:id="1601"/>
    </w:p>
    <w:p w:rsidR="00614FC9" w:rsidRPr="00217FB1" w:rsidRDefault="00614FC9" w:rsidP="00614FC9">
      <w:pPr>
        <w:pStyle w:val="12"/>
      </w:pPr>
      <w:r w:rsidRPr="00217FB1">
        <w:t xml:space="preserve">Full Journal Title: </w:t>
      </w:r>
      <w:r w:rsidRPr="00614FC9">
        <w:rPr>
          <w:iCs/>
        </w:rPr>
        <w:t>International Urology</w:t>
      </w:r>
      <w:r w:rsidR="00F81221">
        <w:rPr>
          <w:iCs/>
        </w:rPr>
        <w:t xml:space="preserve"> and </w:t>
      </w:r>
      <w:r w:rsidRPr="00614FC9">
        <w:rPr>
          <w:iCs/>
        </w:rPr>
        <w:t>Nephrology</w:t>
      </w:r>
    </w:p>
    <w:p w:rsidR="00614FC9" w:rsidRPr="00217FB1" w:rsidRDefault="00614FC9" w:rsidP="00614FC9">
      <w:pPr>
        <w:pStyle w:val="12"/>
      </w:pPr>
      <w:r w:rsidRPr="00217FB1">
        <w:t xml:space="preserve">ISO Abbreviated Title: </w:t>
      </w:r>
    </w:p>
    <w:p w:rsidR="00614FC9" w:rsidRPr="00217FB1" w:rsidRDefault="00614FC9" w:rsidP="00614FC9">
      <w:pPr>
        <w:pStyle w:val="12"/>
      </w:pPr>
      <w:r w:rsidRPr="00217FB1">
        <w:t>JCR Abbreviated Title</w:t>
      </w:r>
      <w:r>
        <w:t>:</w:t>
      </w:r>
      <w:r w:rsidRPr="00217FB1">
        <w:t xml:space="preserve"> </w:t>
      </w:r>
    </w:p>
    <w:p w:rsidR="00614FC9" w:rsidRPr="00217FB1" w:rsidRDefault="00614FC9" w:rsidP="00614FC9">
      <w:pPr>
        <w:pStyle w:val="12"/>
      </w:pPr>
      <w:r w:rsidRPr="00217FB1">
        <w:t xml:space="preserve">ISSN: </w:t>
      </w:r>
    </w:p>
    <w:p w:rsidR="00614FC9" w:rsidRPr="00217FB1" w:rsidRDefault="00614FC9" w:rsidP="00614FC9">
      <w:pPr>
        <w:pStyle w:val="12"/>
      </w:pPr>
      <w:r w:rsidRPr="00217FB1">
        <w:t xml:space="preserve">Issues/Year: </w:t>
      </w:r>
    </w:p>
    <w:p w:rsidR="00614FC9" w:rsidRPr="00217FB1" w:rsidRDefault="00614FC9" w:rsidP="00614FC9">
      <w:pPr>
        <w:pStyle w:val="12"/>
      </w:pPr>
      <w:r>
        <w:t>Journal Country/Territory:</w:t>
      </w:r>
    </w:p>
    <w:p w:rsidR="00614FC9" w:rsidRPr="00217FB1" w:rsidRDefault="00614FC9" w:rsidP="00614FC9">
      <w:pPr>
        <w:pStyle w:val="12"/>
      </w:pPr>
      <w:r w:rsidRPr="00217FB1">
        <w:t xml:space="preserve">Language: </w:t>
      </w:r>
    </w:p>
    <w:p w:rsidR="00614FC9" w:rsidRPr="00217FB1" w:rsidRDefault="00614FC9" w:rsidP="00614FC9">
      <w:pPr>
        <w:pStyle w:val="12"/>
      </w:pPr>
      <w:r w:rsidRPr="00217FB1">
        <w:t xml:space="preserve">Publisher: </w:t>
      </w:r>
    </w:p>
    <w:p w:rsidR="00614FC9" w:rsidRPr="00217FB1" w:rsidRDefault="00614FC9" w:rsidP="00614FC9">
      <w:pPr>
        <w:pStyle w:val="12"/>
      </w:pPr>
      <w:r w:rsidRPr="00217FB1">
        <w:t xml:space="preserve">Publisher Address: </w:t>
      </w:r>
    </w:p>
    <w:p w:rsidR="00614FC9" w:rsidRPr="00217FB1" w:rsidRDefault="00614FC9" w:rsidP="00614FC9">
      <w:pPr>
        <w:pStyle w:val="12"/>
      </w:pPr>
      <w:r w:rsidRPr="00217FB1">
        <w:t>Subject Categories:</w:t>
      </w:r>
    </w:p>
    <w:p w:rsidR="00614FC9" w:rsidRPr="00217FB1" w:rsidRDefault="00614FC9" w:rsidP="00614FC9">
      <w:pPr>
        <w:pStyle w:val="12"/>
      </w:pPr>
      <w:r w:rsidRPr="00217FB1">
        <w:t>Impact Factor</w:t>
      </w:r>
    </w:p>
    <w:p w:rsidR="00614FC9" w:rsidRDefault="00614FC9" w:rsidP="00614FC9">
      <w:pPr>
        <w:pStyle w:val="a0"/>
        <w:rPr>
          <w:kern w:val="0"/>
          <w:szCs w:val="24"/>
        </w:rPr>
      </w:pPr>
      <w:r>
        <w:rPr>
          <w:kern w:val="0"/>
          <w:szCs w:val="24"/>
        </w:rPr>
        <w:t>? Diokno, A.C. (2010), Editorial comment: Hippocratic Oath</w:t>
      </w:r>
      <w:r w:rsidR="00F81221">
        <w:rPr>
          <w:kern w:val="0"/>
          <w:szCs w:val="24"/>
        </w:rPr>
        <w:t xml:space="preserve"> and </w:t>
      </w:r>
      <w:r>
        <w:rPr>
          <w:kern w:val="0"/>
          <w:szCs w:val="24"/>
        </w:rPr>
        <w:t xml:space="preserve">plagiarism. </w:t>
      </w:r>
      <w:r w:rsidRPr="00614FC9">
        <w:rPr>
          <w:i/>
          <w:iCs/>
          <w:kern w:val="0"/>
          <w:szCs w:val="24"/>
        </w:rPr>
        <w:t>International Urology</w:t>
      </w:r>
      <w:r w:rsidR="00F81221">
        <w:rPr>
          <w:i/>
          <w:iCs/>
          <w:kern w:val="0"/>
          <w:szCs w:val="24"/>
        </w:rPr>
        <w:t xml:space="preserve"> and </w:t>
      </w:r>
      <w:r w:rsidRPr="00614FC9">
        <w:rPr>
          <w:i/>
          <w:iCs/>
          <w:kern w:val="0"/>
          <w:szCs w:val="24"/>
        </w:rPr>
        <w:t>Nephrology</w:t>
      </w:r>
      <w:r>
        <w:rPr>
          <w:kern w:val="0"/>
          <w:szCs w:val="24"/>
        </w:rPr>
        <w:t xml:space="preserve">, </w:t>
      </w:r>
      <w:r>
        <w:rPr>
          <w:b/>
          <w:bCs/>
          <w:kern w:val="0"/>
          <w:szCs w:val="24"/>
        </w:rPr>
        <w:t>42</w:t>
      </w:r>
      <w:r>
        <w:rPr>
          <w:kern w:val="0"/>
          <w:szCs w:val="24"/>
        </w:rPr>
        <w:t xml:space="preserve"> (3), 709.</w:t>
      </w:r>
    </w:p>
    <w:p w:rsidR="00614FC9" w:rsidRDefault="00614FC9" w:rsidP="00614FC9">
      <w:pPr>
        <w:pStyle w:val="a0"/>
        <w:rPr>
          <w:kern w:val="0"/>
          <w:szCs w:val="24"/>
        </w:rPr>
      </w:pPr>
      <w:r>
        <w:rPr>
          <w:kern w:val="0"/>
          <w:szCs w:val="24"/>
        </w:rPr>
        <w:t>Keywords: Plagiarism</w:t>
      </w:r>
    </w:p>
    <w:p w:rsidR="000F578B" w:rsidRPr="00217FB1" w:rsidRDefault="000F578B" w:rsidP="000F578B">
      <w:pPr>
        <w:pStyle w:val="1"/>
      </w:pPr>
      <w:r w:rsidRPr="00217FB1">
        <w:br w:type="page"/>
      </w:r>
      <w:bookmarkStart w:id="1602" w:name="_Toc234338520"/>
      <w:bookmarkStart w:id="1603" w:name="_Toc317161407"/>
      <w:r w:rsidRPr="00217FB1">
        <w:lastRenderedPageBreak/>
        <w:t>Title:</w:t>
      </w:r>
      <w:r>
        <w:rPr>
          <w:rFonts w:hint="eastAsia"/>
        </w:rPr>
        <w:t xml:space="preserve"> </w:t>
      </w:r>
      <w:r>
        <w:t>International Urogynecology Journal</w:t>
      </w:r>
      <w:bookmarkEnd w:id="1602"/>
      <w:bookmarkEnd w:id="1603"/>
    </w:p>
    <w:p w:rsidR="000F578B" w:rsidRPr="00217FB1" w:rsidRDefault="000F578B" w:rsidP="00B72EF9">
      <w:pPr>
        <w:pStyle w:val="12"/>
      </w:pPr>
      <w:r w:rsidRPr="00217FB1">
        <w:t xml:space="preserve">Full Journal Title: </w:t>
      </w:r>
      <w:r>
        <w:t>International Urogynecology Journal</w:t>
      </w:r>
    </w:p>
    <w:p w:rsidR="000F578B" w:rsidRPr="00217FB1" w:rsidRDefault="000F578B" w:rsidP="00B72EF9">
      <w:pPr>
        <w:pStyle w:val="12"/>
      </w:pPr>
      <w:r w:rsidRPr="00217FB1">
        <w:t xml:space="preserve">ISO Abbreviated Title: </w:t>
      </w:r>
    </w:p>
    <w:p w:rsidR="000F578B" w:rsidRPr="00217FB1" w:rsidRDefault="000F578B" w:rsidP="00B72EF9">
      <w:pPr>
        <w:pStyle w:val="12"/>
      </w:pPr>
      <w:r w:rsidRPr="00217FB1">
        <w:t>JCR Abbreviated Title</w:t>
      </w:r>
      <w:r>
        <w:t>:</w:t>
      </w:r>
      <w:r w:rsidRPr="00217FB1">
        <w:t xml:space="preserve"> </w:t>
      </w:r>
    </w:p>
    <w:p w:rsidR="000F578B" w:rsidRPr="00217FB1" w:rsidRDefault="000F578B" w:rsidP="00B72EF9">
      <w:pPr>
        <w:pStyle w:val="12"/>
      </w:pPr>
      <w:r w:rsidRPr="00217FB1">
        <w:t xml:space="preserve">ISSN: </w:t>
      </w:r>
    </w:p>
    <w:p w:rsidR="000F578B" w:rsidRPr="00217FB1" w:rsidRDefault="000F578B" w:rsidP="00B72EF9">
      <w:pPr>
        <w:pStyle w:val="12"/>
      </w:pPr>
      <w:r w:rsidRPr="00217FB1">
        <w:t xml:space="preserve">Issues/Year: </w:t>
      </w:r>
    </w:p>
    <w:p w:rsidR="000F578B" w:rsidRPr="00217FB1" w:rsidRDefault="000F578B" w:rsidP="00B72EF9">
      <w:pPr>
        <w:pStyle w:val="12"/>
      </w:pPr>
      <w:r>
        <w:t>Journal Country/Territory:</w:t>
      </w:r>
    </w:p>
    <w:p w:rsidR="000F578B" w:rsidRPr="00217FB1" w:rsidRDefault="000F578B" w:rsidP="00B72EF9">
      <w:pPr>
        <w:pStyle w:val="12"/>
      </w:pPr>
      <w:r w:rsidRPr="00217FB1">
        <w:t xml:space="preserve">Language: </w:t>
      </w:r>
    </w:p>
    <w:p w:rsidR="000F578B" w:rsidRPr="00217FB1" w:rsidRDefault="000F578B" w:rsidP="00B72EF9">
      <w:pPr>
        <w:pStyle w:val="12"/>
      </w:pPr>
      <w:r w:rsidRPr="00217FB1">
        <w:t xml:space="preserve">Publisher: </w:t>
      </w:r>
    </w:p>
    <w:p w:rsidR="000F578B" w:rsidRPr="00217FB1" w:rsidRDefault="000F578B" w:rsidP="00B72EF9">
      <w:pPr>
        <w:pStyle w:val="12"/>
      </w:pPr>
      <w:r w:rsidRPr="00217FB1">
        <w:t xml:space="preserve">Publisher Address: </w:t>
      </w:r>
    </w:p>
    <w:p w:rsidR="000F578B" w:rsidRPr="00217FB1" w:rsidRDefault="000F578B" w:rsidP="00B72EF9">
      <w:pPr>
        <w:pStyle w:val="12"/>
      </w:pPr>
      <w:r w:rsidRPr="00217FB1">
        <w:t>Subject Categories:</w:t>
      </w:r>
    </w:p>
    <w:p w:rsidR="000F578B" w:rsidRPr="00217FB1" w:rsidRDefault="000F578B" w:rsidP="00B72EF9">
      <w:pPr>
        <w:pStyle w:val="12"/>
      </w:pPr>
      <w:r w:rsidRPr="00217FB1">
        <w:t>Impact Factor</w:t>
      </w:r>
    </w:p>
    <w:p w:rsidR="000F578B" w:rsidRDefault="000F578B" w:rsidP="000F578B">
      <w:pPr>
        <w:pStyle w:val="a0"/>
      </w:pPr>
      <w:r>
        <w:rPr>
          <w:rFonts w:hint="eastAsia"/>
        </w:rPr>
        <w:t>?</w:t>
      </w:r>
      <w:r w:rsidRPr="003D0438">
        <w:t xml:space="preserve"> </w:t>
      </w:r>
      <w:r>
        <w:t>Cartwright</w:t>
      </w:r>
      <w:r>
        <w:rPr>
          <w:rFonts w:hint="eastAsia"/>
        </w:rPr>
        <w:t>,</w:t>
      </w:r>
      <w:r>
        <w:t xml:space="preserve"> R</w:t>
      </w:r>
      <w:r>
        <w:rPr>
          <w:rFonts w:hint="eastAsia"/>
        </w:rPr>
        <w:t>.</w:t>
      </w:r>
      <w:r w:rsidR="00F81221">
        <w:rPr>
          <w:rFonts w:hint="eastAsia"/>
        </w:rPr>
        <w:t xml:space="preserve"> and </w:t>
      </w:r>
      <w:r>
        <w:t>Cardozo</w:t>
      </w:r>
      <w:r>
        <w:rPr>
          <w:rFonts w:hint="eastAsia"/>
        </w:rPr>
        <w:t>,</w:t>
      </w:r>
      <w:r>
        <w:t xml:space="preserve"> L</w:t>
      </w:r>
      <w:r>
        <w:rPr>
          <w:rFonts w:hint="eastAsia"/>
        </w:rPr>
        <w:t>.</w:t>
      </w:r>
      <w:r>
        <w:t xml:space="preserve"> (</w:t>
      </w:r>
      <w:r>
        <w:rPr>
          <w:rFonts w:hint="eastAsia"/>
        </w:rPr>
        <w:t>2007</w:t>
      </w:r>
      <w:r w:rsidRPr="00217FB1">
        <w:t xml:space="preserve">), </w:t>
      </w:r>
      <w:r>
        <w:t>What is the best method of assessing academic performance in urogynaecology? Comparison of peer evaluation</w:t>
      </w:r>
      <w:r w:rsidR="00F81221">
        <w:t xml:space="preserve"> and </w:t>
      </w:r>
      <w:r>
        <w:t>bibliometric indices</w:t>
      </w:r>
      <w:r w:rsidRPr="00217FB1">
        <w:t xml:space="preserve">. </w:t>
      </w:r>
      <w:r w:rsidRPr="003D0438">
        <w:rPr>
          <w:i/>
          <w:iCs/>
        </w:rPr>
        <w:t>International Urogynecology Journal</w:t>
      </w:r>
      <w:r w:rsidRPr="00217FB1">
        <w:t xml:space="preserve">, </w:t>
      </w:r>
      <w:r w:rsidRPr="00217FB1">
        <w:rPr>
          <w:b/>
        </w:rPr>
        <w:t>1</w:t>
      </w:r>
      <w:r>
        <w:rPr>
          <w:rFonts w:hint="eastAsia"/>
          <w:b/>
        </w:rPr>
        <w:t>8</w:t>
      </w:r>
      <w:r w:rsidRPr="00217FB1">
        <w:t xml:space="preserve"> </w:t>
      </w:r>
      <w:r>
        <w:t>(</w:t>
      </w:r>
      <w:r>
        <w:rPr>
          <w:rFonts w:hint="eastAsia"/>
        </w:rPr>
        <w:t>S1</w:t>
      </w:r>
      <w:r w:rsidRPr="00217FB1">
        <w:t xml:space="preserve">), </w:t>
      </w:r>
      <w:r>
        <w:t>S97-S98</w:t>
      </w:r>
      <w:r w:rsidRPr="00217FB1">
        <w:t>.</w:t>
      </w:r>
    </w:p>
    <w:p w:rsidR="00B95188" w:rsidRPr="00A428C3" w:rsidRDefault="000F578B" w:rsidP="000F578B">
      <w:pPr>
        <w:pStyle w:val="1"/>
      </w:pPr>
      <w:r w:rsidRPr="00217FB1">
        <w:br w:type="page"/>
      </w:r>
      <w:bookmarkStart w:id="1604" w:name="_Toc455569490"/>
      <w:bookmarkStart w:id="1605" w:name="_Toc487190743"/>
      <w:bookmarkStart w:id="1606" w:name="_Toc487882248"/>
      <w:bookmarkStart w:id="1607" w:name="_Toc490688086"/>
      <w:bookmarkStart w:id="1608" w:name="_Toc492812199"/>
      <w:bookmarkStart w:id="1609" w:name="_Toc186647980"/>
      <w:bookmarkStart w:id="1610" w:name="_Toc317161408"/>
      <w:r w:rsidR="00B95188" w:rsidRPr="00A428C3">
        <w:lastRenderedPageBreak/>
        <w:t>Title: Introduction to Wastewater Treatment Processes</w:t>
      </w:r>
      <w:bookmarkEnd w:id="1604"/>
      <w:bookmarkEnd w:id="1605"/>
      <w:bookmarkEnd w:id="1606"/>
      <w:bookmarkEnd w:id="1607"/>
      <w:bookmarkEnd w:id="1608"/>
      <w:bookmarkEnd w:id="1609"/>
      <w:bookmarkEnd w:id="1610"/>
    </w:p>
    <w:p w:rsidR="00B95188" w:rsidRPr="00A428C3" w:rsidRDefault="00B95188" w:rsidP="00B95188">
      <w:pPr>
        <w:pStyle w:val="a0"/>
      </w:pPr>
      <w:r w:rsidRPr="00A428C3">
        <w:t xml:space="preserve">Academic Press Inc., </w:t>
      </w:r>
      <w:smartTag w:uri="urn:schemas-microsoft-com:office:smarttags" w:element="place">
        <w:smartTag w:uri="urn:schemas-microsoft-com:office:smarttags" w:element="City">
          <w:r w:rsidRPr="00A428C3">
            <w:t>London</w:t>
          </w:r>
        </w:smartTag>
      </w:smartTag>
    </w:p>
    <w:p w:rsidR="00B95188" w:rsidRPr="00A428C3" w:rsidRDefault="00B95188" w:rsidP="00B95188">
      <w:pPr>
        <w:pStyle w:val="a0"/>
      </w:pPr>
      <w:r w:rsidRPr="00A428C3">
        <w:t xml:space="preserve">Ramalho, R.S. (1983), </w:t>
      </w:r>
      <w:r w:rsidRPr="00A428C3">
        <w:rPr>
          <w:i/>
        </w:rPr>
        <w:t>Introduction to Wastewater Treatment Processes</w:t>
      </w:r>
      <w:r w:rsidRPr="00A428C3">
        <w:t xml:space="preserve">, Academic Press Inc., </w:t>
      </w:r>
      <w:smartTag w:uri="urn:schemas-microsoft-com:office:smarttags" w:element="place">
        <w:smartTag w:uri="urn:schemas-microsoft-com:office:smarttags" w:element="City">
          <w:r w:rsidRPr="00A428C3">
            <w:t>London</w:t>
          </w:r>
        </w:smartTag>
      </w:smartTag>
      <w:r w:rsidRPr="00A428C3">
        <w:t>.</w:t>
      </w:r>
    </w:p>
    <w:p w:rsidR="00B95188" w:rsidRPr="00A428C3" w:rsidRDefault="00B95188" w:rsidP="00B95188">
      <w:pPr>
        <w:pStyle w:val="1"/>
      </w:pPr>
      <w:r w:rsidRPr="00A428C3">
        <w:br w:type="page"/>
      </w:r>
      <w:bookmarkStart w:id="1611" w:name="_Toc490688087"/>
      <w:bookmarkStart w:id="1612" w:name="_Toc492812200"/>
      <w:bookmarkStart w:id="1613" w:name="_Toc186647981"/>
      <w:bookmarkStart w:id="1614" w:name="_Toc455569491"/>
      <w:bookmarkStart w:id="1615" w:name="_Toc487190744"/>
      <w:bookmarkStart w:id="1616" w:name="_Toc487882249"/>
      <w:bookmarkStart w:id="1617" w:name="_Toc317161409"/>
      <w:r w:rsidRPr="00A428C3">
        <w:lastRenderedPageBreak/>
        <w:t>Title: Investigational New Drugs</w:t>
      </w:r>
      <w:bookmarkEnd w:id="1611"/>
      <w:bookmarkEnd w:id="1612"/>
      <w:bookmarkEnd w:id="1613"/>
      <w:bookmarkEnd w:id="1617"/>
    </w:p>
    <w:p w:rsidR="00B95188" w:rsidRPr="00A428C3" w:rsidRDefault="00B95188" w:rsidP="00B72EF9">
      <w:pPr>
        <w:pStyle w:val="12"/>
      </w:pPr>
      <w:r w:rsidRPr="00A428C3">
        <w:t xml:space="preserve">Full Journal Title: </w:t>
      </w:r>
      <w:hyperlink r:id="rId2121" w:history="1">
        <w:r w:rsidRPr="00A428C3">
          <w:rPr>
            <w:rStyle w:val="a5"/>
          </w:rPr>
          <w:t>Investigational New Drugs</w:t>
        </w:r>
      </w:hyperlink>
    </w:p>
    <w:p w:rsidR="00B95188" w:rsidRPr="00A428C3" w:rsidRDefault="00B95188" w:rsidP="00B72EF9">
      <w:pPr>
        <w:pStyle w:val="12"/>
      </w:pPr>
      <w:r w:rsidRPr="00A428C3">
        <w:t>ISO Abbreviated Title: Invest. New Drugs</w:t>
      </w:r>
    </w:p>
    <w:p w:rsidR="00B95188" w:rsidRPr="00A428C3" w:rsidRDefault="00B95188" w:rsidP="00B72EF9">
      <w:pPr>
        <w:pStyle w:val="12"/>
      </w:pPr>
      <w:r w:rsidRPr="00A428C3">
        <w:t>JCR Abbreviated Title: Invest New Drug</w:t>
      </w:r>
    </w:p>
    <w:p w:rsidR="00B95188" w:rsidRPr="00A428C3" w:rsidRDefault="00B95188" w:rsidP="00B72EF9">
      <w:pPr>
        <w:pStyle w:val="12"/>
      </w:pPr>
      <w:r w:rsidRPr="00A428C3">
        <w:t>ISSN: 0167-6997</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United States</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Kluwer Academic Publ</w:t>
      </w:r>
    </w:p>
    <w:p w:rsidR="00B95188" w:rsidRPr="00A428C3" w:rsidRDefault="00B95188" w:rsidP="00B72EF9">
      <w:pPr>
        <w:pStyle w:val="12"/>
      </w:pPr>
      <w:r w:rsidRPr="00A428C3">
        <w:t xml:space="preserve">Publisher Address: Spuiboulevard 50, </w:t>
      </w:r>
      <w:smartTag w:uri="urn:schemas-microsoft-com:office:smarttags" w:element="address">
        <w:smartTag w:uri="urn:schemas-microsoft-com:office:smarttags" w:element="Street">
          <w:r w:rsidRPr="00A428C3">
            <w:t>PO Box</w:t>
          </w:r>
        </w:smartTag>
        <w:r w:rsidRPr="00A428C3">
          <w:t xml:space="preserve"> 17</w:t>
        </w:r>
      </w:smartTag>
      <w:r w:rsidRPr="00A428C3">
        <w:t xml:space="preserve">, 3300 AA </w:t>
      </w:r>
      <w:smartTag w:uri="urn:schemas-microsoft-com:office:smarttags" w:element="place">
        <w:smartTag w:uri="urn:schemas-microsoft-com:office:smarttags" w:element="City">
          <w:r w:rsidRPr="00A428C3">
            <w:t>Dordrecht</w:t>
          </w:r>
        </w:smartTag>
        <w:r w:rsidRPr="00A428C3">
          <w:t xml:space="preserve">, </w:t>
        </w:r>
        <w:smartTag w:uri="urn:schemas-microsoft-com:office:smarttags" w:element="country-region">
          <w:r w:rsidRPr="00A428C3">
            <w:t>Netherlands</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Oncology: Impact Factor 2.842, 34/114 (2001)</w:t>
      </w:r>
    </w:p>
    <w:p w:rsidR="00B95188" w:rsidRPr="00A428C3" w:rsidRDefault="00B95188" w:rsidP="00B72EF9">
      <w:pPr>
        <w:pStyle w:val="12"/>
      </w:pPr>
      <w:r w:rsidRPr="00A428C3">
        <w:t>Pharmacology &amp; Pharmacy: Impact Factor181 (2000)</w:t>
      </w:r>
    </w:p>
    <w:p w:rsidR="00B95188" w:rsidRPr="00A428C3" w:rsidRDefault="00B95188" w:rsidP="00B95188">
      <w:pPr>
        <w:pStyle w:val="a0"/>
      </w:pPr>
      <w:r w:rsidRPr="00A428C3">
        <w:t>? Wojtowiczpraga, S.M., Dickson, R.B.</w:t>
      </w:r>
      <w:r w:rsidR="00F81221">
        <w:t xml:space="preserve"> and </w:t>
      </w:r>
      <w:r w:rsidRPr="00A428C3">
        <w:t xml:space="preserve">Hawkins, M.J. (1997), Matrix metalloproteinase inhibitors. </w:t>
      </w:r>
      <w:r w:rsidRPr="00A428C3">
        <w:rPr>
          <w:i/>
        </w:rPr>
        <w:t>Investigational New Drugs</w:t>
      </w:r>
      <w:r w:rsidRPr="00A428C3">
        <w:t xml:space="preserve">, </w:t>
      </w:r>
      <w:r w:rsidRPr="00A428C3">
        <w:rPr>
          <w:b/>
        </w:rPr>
        <w:t>15</w:t>
      </w:r>
      <w:r w:rsidRPr="00A428C3">
        <w:t xml:space="preserve"> (1), 61-75.</w:t>
      </w:r>
    </w:p>
    <w:p w:rsidR="00B95188" w:rsidRPr="00A428C3" w:rsidRDefault="00B95188" w:rsidP="00B95188">
      <w:pPr>
        <w:pStyle w:val="a0"/>
      </w:pPr>
      <w:r w:rsidRPr="00A428C3">
        <w:t>Abstract: The matrix metalloproteinases (MMPs) are a family of at least fifteen secreted</w:t>
      </w:r>
      <w:r w:rsidR="00F81221">
        <w:t xml:space="preserve"> and </w:t>
      </w:r>
      <w:r w:rsidRPr="00A428C3">
        <w:t>membrane-bound zinc-endopeptidases. Collectively, these enzymes can degrade all of the components of the extracellular matrix, including fibrallar</w:t>
      </w:r>
      <w:r w:rsidR="00F81221">
        <w:t xml:space="preserve"> and </w:t>
      </w:r>
      <w:r w:rsidRPr="00A428C3">
        <w:t>non-fibrallar collagens, fibronectin, laminin</w:t>
      </w:r>
      <w:r w:rsidR="00F81221">
        <w:t xml:space="preserve"> and </w:t>
      </w:r>
      <w:r w:rsidRPr="00A428C3">
        <w:t>basement membrane glycoproteins. MMPs are thought to be essential for the diverse invasive processes of angiogenesis</w:t>
      </w:r>
      <w:r w:rsidR="00F81221">
        <w:t xml:space="preserve"> and </w:t>
      </w:r>
      <w:r w:rsidRPr="00A428C3">
        <w:t>tumor metastasis. Numerous studies have shown that there is a close association between expression of various members of the MMP family by tumors</w:t>
      </w:r>
      <w:r w:rsidR="00F81221">
        <w:t xml:space="preserve"> and </w:t>
      </w:r>
      <w:r w:rsidRPr="00A428C3">
        <w:t>their proliferative</w:t>
      </w:r>
      <w:r w:rsidR="00F81221">
        <w:t xml:space="preserve"> and </w:t>
      </w:r>
      <w:r w:rsidRPr="00A428C3">
        <w:t>invasive behavior</w:t>
      </w:r>
      <w:r w:rsidR="00F81221">
        <w:t xml:space="preserve"> and </w:t>
      </w:r>
      <w:r w:rsidRPr="00A428C3">
        <w:t>metastatic potential. In some of human cancers a positive correlation has also been demonstrated between the intensity of new blood vessel growth (angiogenesis)</w:t>
      </w:r>
      <w:r w:rsidR="00F81221">
        <w:t xml:space="preserve"> and </w:t>
      </w:r>
      <w:r w:rsidRPr="00A428C3">
        <w:t>the likelihood of developing metastases. Thus, control of MMP activity in these two different contexts has generated considerable interest as a possible therapeutic target. The tissue inhibitors of metalloproteinases (TIMPs) are naturally occurring proteins that specifically inhibit matrix metalloproteinases, thus maintaining balance between matrix destruction</w:t>
      </w:r>
      <w:r w:rsidR="00F81221">
        <w:t xml:space="preserve"> and </w:t>
      </w:r>
      <w:r w:rsidRPr="00A428C3">
        <w:t>formation. An imbalance between MMPs</w:t>
      </w:r>
      <w:r w:rsidR="00F81221">
        <w:t xml:space="preserve"> and </w:t>
      </w:r>
      <w:r w:rsidRPr="00A428C3">
        <w:t>the associated TIMPs may play a significant role in the invasive phenotype of malignant tumors. TIMP-1 has been shown to inhibit tumor-induced angiogenesis in experimental systems. These findings raised the possibility of using an agent that affects expression or activity of MMPs as an anti-cancer therapy. TIMPs are probably not suitable for pharmacologic applications due to their short half-life in vivo. Batimastat (BB-94)</w:t>
      </w:r>
      <w:r w:rsidR="00F81221">
        <w:t xml:space="preserve"> and </w:t>
      </w:r>
      <w:r w:rsidRPr="00A428C3">
        <w:t xml:space="preserve">marimastat (BB-2516) are synthetic, low-molecular weight MMP inhibitors. They have a collagen-mimicking hydroxamate structure, which facilitates chelation of the zinc ion in the active site of </w:t>
      </w:r>
      <w:r w:rsidRPr="00A428C3">
        <w:lastRenderedPageBreak/>
        <w:t>the MMPs. These compounds inhibit MMPs potently</w:t>
      </w:r>
      <w:r w:rsidR="00F81221">
        <w:t xml:space="preserve"> and </w:t>
      </w:r>
      <w:r w:rsidRPr="00A428C3">
        <w:t>specifically. Batimastat was the first synthetic MMP inhibitor studied in humans with advanced malignancies, but its usefulness has been limited by extremely poor water solubility, which required intraperitoneal administration of the drug as a detergent emulsion. Marimastat belongs to a second generation of MMP inhibitors. In contrast to batimastat, marimastat is orally available. Both of these agents are currently in Phase I/II trials in US, Europe</w:t>
      </w:r>
      <w:r w:rsidR="00F81221">
        <w:t xml:space="preserve"> and </w:t>
      </w:r>
      <w:r w:rsidRPr="00A428C3">
        <w:t>Canada. Some other new agents, currently in clinical trials, have been shown to inhibit MMP production. Bryostatins, naturally occurring macrocyclic lactones, have both in vitro</w:t>
      </w:r>
      <w:r w:rsidR="00F81221">
        <w:t xml:space="preserve"> and </w:t>
      </w:r>
      <w:r w:rsidRPr="00A428C3">
        <w:t>in vivo activity in numerous murine</w:t>
      </w:r>
      <w:r w:rsidR="00F81221">
        <w:t xml:space="preserve"> and </w:t>
      </w:r>
      <w:r w:rsidRPr="00A428C3">
        <w:t>human tumors. In culture, bryostatin-l has been shown to induce differentiation</w:t>
      </w:r>
      <w:r w:rsidR="00F81221">
        <w:t xml:space="preserve"> and </w:t>
      </w:r>
      <w:r w:rsidRPr="00A428C3">
        <w:t>halt the growth of several malignant cell lines. While the exact mechanism responsible for anti-tumor activity is unclear, an initial event in the action of bryostatin-l is activation of protein kinase C (PKC), followed by its down regulation. Bryostatin-l does not directly affect the activity of MMPs, but it can inhibit the production of MMP-1, 3, 9, 10</w:t>
      </w:r>
      <w:r w:rsidR="00F81221">
        <w:t xml:space="preserve"> and </w:t>
      </w:r>
      <w:r w:rsidRPr="00A428C3">
        <w:t>1 1 by inhibiting PKC. TIMP-1 levels could also be modulated by bryostatin-l, as it is encoded by a PKC responsive gene.</w:t>
      </w:r>
    </w:p>
    <w:p w:rsidR="00B95188" w:rsidRPr="00A428C3" w:rsidRDefault="00B95188" w:rsidP="00B95188">
      <w:pPr>
        <w:pStyle w:val="a0"/>
      </w:pPr>
      <w:r w:rsidRPr="00A428C3">
        <w:t>Keywords: Matrix Metalloproteinase Inhibitors, Angiogenesis, Human Malignancies, Clinical Trials, human tissue inhibitor, abdominal aortic-aneurysm, melanoma cell-adhesion, IV collagenase, gelatinase-A, breast-cancer, tumor-cells, human colon, in-vivo, interstitial collagenase</w:t>
      </w:r>
    </w:p>
    <w:p w:rsidR="00B95188" w:rsidRPr="00A428C3" w:rsidRDefault="00B95188" w:rsidP="00B95188">
      <w:pPr>
        <w:pStyle w:val="1"/>
      </w:pPr>
      <w:r w:rsidRPr="00A428C3">
        <w:br w:type="page"/>
      </w:r>
      <w:bookmarkStart w:id="1618" w:name="_Toc490688088"/>
      <w:bookmarkStart w:id="1619" w:name="_Toc492812201"/>
      <w:bookmarkStart w:id="1620" w:name="_Toc186647982"/>
      <w:bookmarkStart w:id="1621" w:name="_Toc317161410"/>
      <w:r w:rsidRPr="00A428C3">
        <w:lastRenderedPageBreak/>
        <w:t>Title: In Vitro Cellular</w:t>
      </w:r>
      <w:r w:rsidR="00F81221">
        <w:t xml:space="preserve"> and </w:t>
      </w:r>
      <w:r w:rsidRPr="00A428C3">
        <w:t>Developmental Biology-Animal</w:t>
      </w:r>
      <w:bookmarkEnd w:id="1618"/>
      <w:bookmarkEnd w:id="1619"/>
      <w:bookmarkEnd w:id="1620"/>
      <w:bookmarkEnd w:id="1621"/>
    </w:p>
    <w:p w:rsidR="00B95188" w:rsidRPr="00A428C3" w:rsidRDefault="00B95188" w:rsidP="00B95188">
      <w:pPr>
        <w:pStyle w:val="a0"/>
      </w:pPr>
      <w:r w:rsidRPr="00A428C3">
        <w:t>? Nicholson, D.L., Maier, R.H.</w:t>
      </w:r>
      <w:r w:rsidR="00F81221">
        <w:t xml:space="preserve"> and </w:t>
      </w:r>
      <w:r w:rsidRPr="00A428C3">
        <w:t>Pories, W.J. (1993), Zinc-enhanced cytotoxicity in cisplatin sensitive</w:t>
      </w:r>
      <w:r w:rsidR="00F81221">
        <w:t xml:space="preserve"> and </w:t>
      </w:r>
      <w:r w:rsidRPr="00A428C3">
        <w:t xml:space="preserve">resistant human ovarian-cancer cells. </w:t>
      </w:r>
      <w:r w:rsidRPr="00A428C3">
        <w:rPr>
          <w:i/>
        </w:rPr>
        <w:t>In Vitro Cellular</w:t>
      </w:r>
      <w:r w:rsidR="00F81221">
        <w:rPr>
          <w:i/>
        </w:rPr>
        <w:t xml:space="preserve"> and </w:t>
      </w:r>
      <w:r w:rsidRPr="00A428C3">
        <w:rPr>
          <w:i/>
        </w:rPr>
        <w:t>Developmental Biology-Animal</w:t>
      </w:r>
      <w:r w:rsidRPr="00A428C3">
        <w:t xml:space="preserve">, </w:t>
      </w:r>
      <w:smartTag w:uri="urn:schemas-microsoft-com:office:smarttags" w:element="chmetcnv">
        <w:smartTagPr>
          <w:attr w:name="TCSC" w:val="0"/>
          <w:attr w:name="NumberType" w:val="1"/>
          <w:attr w:name="Negative" w:val="False"/>
          <w:attr w:name="HasSpace" w:val="False"/>
          <w:attr w:name="SourceValue" w:val="29"/>
          <w:attr w:name="UnitName" w:val="a"/>
        </w:smartTagPr>
        <w:r w:rsidRPr="00A428C3">
          <w:rPr>
            <w:b/>
          </w:rPr>
          <w:t>29A</w:t>
        </w:r>
      </w:smartTag>
      <w:r w:rsidRPr="00A428C3">
        <w:t xml:space="preserve"> (8), 625-626.</w:t>
      </w:r>
    </w:p>
    <w:p w:rsidR="000F578B" w:rsidRPr="00A428C3" w:rsidRDefault="000F578B" w:rsidP="000F578B">
      <w:pPr>
        <w:pStyle w:val="1"/>
      </w:pPr>
      <w:r w:rsidRPr="00A428C3">
        <w:br w:type="page"/>
      </w:r>
      <w:bookmarkStart w:id="1622" w:name="_Toc234338523"/>
      <w:bookmarkStart w:id="1623" w:name="_Toc317161411"/>
      <w:r w:rsidRPr="00A428C3">
        <w:lastRenderedPageBreak/>
        <w:t xml:space="preserve">Title: </w:t>
      </w:r>
      <w:r w:rsidR="007C323B">
        <w:rPr>
          <w:szCs w:val="24"/>
        </w:rPr>
        <w:t>Investigació</w:t>
      </w:r>
      <w:r w:rsidRPr="00AD0CDC">
        <w:rPr>
          <w:szCs w:val="24"/>
        </w:rPr>
        <w:t>n Bibliotecol</w:t>
      </w:r>
      <w:r w:rsidR="007C323B">
        <w:rPr>
          <w:szCs w:val="24"/>
        </w:rPr>
        <w:t>ó</w:t>
      </w:r>
      <w:r w:rsidRPr="00AD0CDC">
        <w:rPr>
          <w:szCs w:val="24"/>
        </w:rPr>
        <w:t>gica</w:t>
      </w:r>
      <w:bookmarkEnd w:id="1622"/>
      <w:bookmarkEnd w:id="1623"/>
    </w:p>
    <w:p w:rsidR="000F578B" w:rsidRPr="00A428C3" w:rsidRDefault="000F578B" w:rsidP="00B72EF9">
      <w:pPr>
        <w:pStyle w:val="12"/>
      </w:pPr>
      <w:r w:rsidRPr="00A428C3">
        <w:t xml:space="preserve">Full Journal Title: </w:t>
      </w:r>
      <w:hyperlink r:id="rId2122" w:history="1">
        <w:r w:rsidRPr="007C323B">
          <w:rPr>
            <w:rStyle w:val="a5"/>
          </w:rPr>
          <w:t>Investigacion Bibliotecologica</w:t>
        </w:r>
      </w:hyperlink>
    </w:p>
    <w:p w:rsidR="000F578B" w:rsidRPr="00A428C3" w:rsidRDefault="000F578B" w:rsidP="00B72EF9">
      <w:pPr>
        <w:pStyle w:val="12"/>
      </w:pPr>
      <w:r>
        <w:t xml:space="preserve">ISO Abbreviated Title: </w:t>
      </w:r>
    </w:p>
    <w:p w:rsidR="000F578B" w:rsidRPr="00A428C3" w:rsidRDefault="000F578B" w:rsidP="00B72EF9">
      <w:pPr>
        <w:pStyle w:val="12"/>
      </w:pPr>
      <w:r>
        <w:t xml:space="preserve">JCR Abbreviated Title: </w:t>
      </w:r>
    </w:p>
    <w:p w:rsidR="000F578B" w:rsidRPr="00A428C3" w:rsidRDefault="000F578B" w:rsidP="00B72EF9">
      <w:pPr>
        <w:pStyle w:val="12"/>
      </w:pPr>
      <w:r w:rsidRPr="00A428C3">
        <w:t xml:space="preserve">ISSN: </w:t>
      </w:r>
    </w:p>
    <w:p w:rsidR="000F578B" w:rsidRPr="00A428C3" w:rsidRDefault="000F578B" w:rsidP="00B72EF9">
      <w:pPr>
        <w:pStyle w:val="12"/>
      </w:pPr>
      <w:r w:rsidRPr="00A428C3">
        <w:t xml:space="preserve">Issues/Year: </w:t>
      </w:r>
    </w:p>
    <w:p w:rsidR="000F578B" w:rsidRPr="00A428C3" w:rsidRDefault="000F578B" w:rsidP="00B72EF9">
      <w:pPr>
        <w:pStyle w:val="12"/>
      </w:pPr>
      <w:r w:rsidRPr="00A428C3">
        <w:t>Journal Country/Territory:</w:t>
      </w:r>
    </w:p>
    <w:p w:rsidR="000F578B" w:rsidRPr="00A428C3" w:rsidRDefault="000F578B" w:rsidP="00B72EF9">
      <w:pPr>
        <w:pStyle w:val="12"/>
      </w:pPr>
      <w:r w:rsidRPr="00A428C3">
        <w:t xml:space="preserve">Language: </w:t>
      </w:r>
    </w:p>
    <w:p w:rsidR="000F578B" w:rsidRPr="00A428C3" w:rsidRDefault="000F578B" w:rsidP="00B72EF9">
      <w:pPr>
        <w:pStyle w:val="12"/>
      </w:pPr>
      <w:r w:rsidRPr="00A428C3">
        <w:t xml:space="preserve">Publisher: </w:t>
      </w:r>
    </w:p>
    <w:p w:rsidR="000F578B" w:rsidRPr="00A428C3" w:rsidRDefault="000F578B" w:rsidP="00B72EF9">
      <w:pPr>
        <w:pStyle w:val="12"/>
      </w:pPr>
      <w:r w:rsidRPr="00A428C3">
        <w:t xml:space="preserve">Publisher Address: </w:t>
      </w:r>
    </w:p>
    <w:p w:rsidR="000F578B" w:rsidRPr="00A428C3" w:rsidRDefault="000F578B" w:rsidP="00B72EF9">
      <w:pPr>
        <w:pStyle w:val="12"/>
      </w:pPr>
      <w:r w:rsidRPr="00A428C3">
        <w:t>Subject Categories:</w:t>
      </w:r>
    </w:p>
    <w:p w:rsidR="000F578B" w:rsidRPr="00A428C3" w:rsidRDefault="000F578B" w:rsidP="00B72EF9">
      <w:pPr>
        <w:pStyle w:val="12"/>
      </w:pPr>
      <w:r w:rsidRPr="00A428C3">
        <w:t>Impact Factor</w:t>
      </w:r>
    </w:p>
    <w:p w:rsidR="000F578B" w:rsidRDefault="000F578B" w:rsidP="000F578B">
      <w:pPr>
        <w:pStyle w:val="a0"/>
        <w:rPr>
          <w:kern w:val="0"/>
          <w:szCs w:val="24"/>
        </w:rPr>
      </w:pPr>
      <w:r>
        <w:rPr>
          <w:rFonts w:hint="eastAsia"/>
          <w:kern w:val="0"/>
          <w:szCs w:val="24"/>
        </w:rPr>
        <w:t xml:space="preserve">? </w:t>
      </w:r>
      <w:r>
        <w:rPr>
          <w:kern w:val="0"/>
          <w:szCs w:val="24"/>
        </w:rPr>
        <w:t>Costas, R.</w:t>
      </w:r>
      <w:r w:rsidR="00F81221">
        <w:rPr>
          <w:kern w:val="0"/>
          <w:szCs w:val="24"/>
        </w:rPr>
        <w:t xml:space="preserve"> and </w:t>
      </w:r>
      <w:r>
        <w:rPr>
          <w:kern w:val="0"/>
          <w:szCs w:val="24"/>
        </w:rPr>
        <w:t xml:space="preserve">Bordons, M. (2007), Algorithms to solve the lack of normalization in author names in bibliometric studies. </w:t>
      </w:r>
      <w:r>
        <w:rPr>
          <w:i/>
          <w:iCs/>
          <w:kern w:val="0"/>
          <w:szCs w:val="24"/>
        </w:rPr>
        <w:t>Investigaci</w:t>
      </w:r>
      <w:r w:rsidR="007C323B">
        <w:rPr>
          <w:i/>
          <w:iCs/>
          <w:kern w:val="0"/>
          <w:szCs w:val="24"/>
        </w:rPr>
        <w:t>ó</w:t>
      </w:r>
      <w:r>
        <w:rPr>
          <w:i/>
          <w:iCs/>
          <w:kern w:val="0"/>
          <w:szCs w:val="24"/>
        </w:rPr>
        <w:t>n Bibliotecol</w:t>
      </w:r>
      <w:r w:rsidR="007C323B">
        <w:rPr>
          <w:i/>
          <w:iCs/>
          <w:kern w:val="0"/>
          <w:szCs w:val="24"/>
        </w:rPr>
        <w:t>ó</w:t>
      </w:r>
      <w:r>
        <w:rPr>
          <w:i/>
          <w:iCs/>
          <w:kern w:val="0"/>
          <w:szCs w:val="24"/>
        </w:rPr>
        <w:t>gica</w:t>
      </w:r>
      <w:r>
        <w:rPr>
          <w:kern w:val="0"/>
          <w:szCs w:val="24"/>
        </w:rPr>
        <w:t xml:space="preserve">, </w:t>
      </w:r>
      <w:r>
        <w:rPr>
          <w:b/>
          <w:bCs/>
          <w:kern w:val="0"/>
          <w:szCs w:val="24"/>
        </w:rPr>
        <w:t>21</w:t>
      </w:r>
      <w:r>
        <w:rPr>
          <w:kern w:val="0"/>
          <w:szCs w:val="24"/>
        </w:rPr>
        <w:t xml:space="preserve"> (42), 13-32.</w:t>
      </w:r>
    </w:p>
    <w:p w:rsidR="00C25FE5" w:rsidRDefault="00C25FE5" w:rsidP="000F578B">
      <w:pPr>
        <w:pStyle w:val="a0"/>
        <w:rPr>
          <w:kern w:val="0"/>
          <w:szCs w:val="24"/>
        </w:rPr>
      </w:pPr>
      <w:r>
        <w:rPr>
          <w:rFonts w:hint="eastAsia"/>
          <w:kern w:val="0"/>
          <w:szCs w:val="24"/>
        </w:rPr>
        <w:t xml:space="preserve">Full Text: </w:t>
      </w:r>
      <w:r>
        <w:rPr>
          <w:iCs/>
          <w:kern w:val="0"/>
          <w:szCs w:val="24"/>
        </w:rPr>
        <w:t>Inv Bib</w:t>
      </w:r>
      <w:r w:rsidRPr="00C25FE5">
        <w:rPr>
          <w:bCs/>
          <w:kern w:val="0"/>
          <w:szCs w:val="24"/>
        </w:rPr>
        <w:t>21</w:t>
      </w:r>
      <w:r>
        <w:rPr>
          <w:kern w:val="0"/>
          <w:szCs w:val="24"/>
        </w:rPr>
        <w:t>, 13</w:t>
      </w:r>
      <w:r>
        <w:rPr>
          <w:rFonts w:hint="eastAsia"/>
          <w:kern w:val="0"/>
          <w:szCs w:val="24"/>
        </w:rPr>
        <w:t>.pdf</w:t>
      </w:r>
    </w:p>
    <w:p w:rsidR="000F578B" w:rsidRDefault="000F578B" w:rsidP="000F578B">
      <w:pPr>
        <w:pStyle w:val="a0"/>
        <w:rPr>
          <w:kern w:val="0"/>
          <w:szCs w:val="24"/>
        </w:rPr>
      </w:pPr>
      <w:r>
        <w:rPr>
          <w:kern w:val="0"/>
          <w:szCs w:val="24"/>
        </w:rPr>
        <w:t>Abstract: Two algorithms to detect</w:t>
      </w:r>
      <w:r w:rsidR="00F81221">
        <w:rPr>
          <w:kern w:val="0"/>
          <w:szCs w:val="24"/>
        </w:rPr>
        <w:t xml:space="preserve"> and </w:t>
      </w:r>
      <w:r>
        <w:rPr>
          <w:kern w:val="0"/>
          <w:szCs w:val="24"/>
        </w:rPr>
        <w:t>solve normalization problems of author names in data originated in Thomson</w:t>
      </w:r>
      <w:r w:rsidR="000352E7">
        <w:rPr>
          <w:kern w:val="0"/>
          <w:szCs w:val="24"/>
        </w:rPr>
        <w:t>’</w:t>
      </w:r>
      <w:r>
        <w:rPr>
          <w:kern w:val="0"/>
          <w:szCs w:val="24"/>
        </w:rPr>
        <w:t>s ISI Science Citation Index are presented. The first algorithm allows detection of different names which could belong to the same person. The second One, based on the degree of similarity between two variants of the same name on a document, helps to determine whether two similar names correspond or not to the same person. In order to determine the efficacy of the algorithms, a control of normalized author data from a previous study has been used. The First algorithm detects 67% of name variants existing in the Population under study,</w:t>
      </w:r>
      <w:r w:rsidR="00F81221">
        <w:rPr>
          <w:kern w:val="0"/>
          <w:szCs w:val="24"/>
        </w:rPr>
        <w:t xml:space="preserve"> and </w:t>
      </w:r>
      <w:r>
        <w:rPr>
          <w:kern w:val="0"/>
          <w:szCs w:val="24"/>
        </w:rPr>
        <w:t>the second one was successful in 74% of the cases.</w:t>
      </w:r>
    </w:p>
    <w:p w:rsidR="000F578B" w:rsidRDefault="000F578B" w:rsidP="000F578B">
      <w:pPr>
        <w:pStyle w:val="a0"/>
        <w:rPr>
          <w:kern w:val="0"/>
          <w:szCs w:val="24"/>
        </w:rPr>
      </w:pPr>
      <w:r>
        <w:rPr>
          <w:kern w:val="0"/>
          <w:szCs w:val="24"/>
        </w:rPr>
        <w:t>Keywords: Algorithms, Author Name Normalization, Bibliometric, Bibliometric Studies, Citation, Citation Index, Medline, Model, Name Variations, Science, Science Citation Index, Similarity, Thomson Isi</w:t>
      </w:r>
    </w:p>
    <w:p w:rsidR="000F578B" w:rsidRDefault="000F578B" w:rsidP="000F578B">
      <w:pPr>
        <w:pStyle w:val="a0"/>
        <w:rPr>
          <w:kern w:val="0"/>
          <w:szCs w:val="24"/>
        </w:rPr>
      </w:pPr>
      <w:r>
        <w:rPr>
          <w:rFonts w:hint="eastAsia"/>
          <w:kern w:val="0"/>
          <w:szCs w:val="24"/>
        </w:rPr>
        <w:t xml:space="preserve">? </w:t>
      </w:r>
      <w:r>
        <w:rPr>
          <w:kern w:val="0"/>
          <w:szCs w:val="24"/>
        </w:rPr>
        <w:t>Portal, S.G. (2007), Foremost Latin American journals in library</w:t>
      </w:r>
      <w:r w:rsidR="00F81221">
        <w:rPr>
          <w:kern w:val="0"/>
          <w:szCs w:val="24"/>
        </w:rPr>
        <w:t xml:space="preserve"> and </w:t>
      </w:r>
      <w:r>
        <w:rPr>
          <w:kern w:val="0"/>
          <w:szCs w:val="24"/>
        </w:rPr>
        <w:t xml:space="preserve">information science: </w:t>
      </w:r>
      <w:r w:rsidR="00C25FE5">
        <w:rPr>
          <w:kern w:val="0"/>
          <w:szCs w:val="24"/>
        </w:rPr>
        <w:t xml:space="preserve">Their </w:t>
      </w:r>
      <w:r>
        <w:rPr>
          <w:kern w:val="0"/>
          <w:szCs w:val="24"/>
        </w:rPr>
        <w:t>subject</w:t>
      </w:r>
      <w:r w:rsidR="00F81221">
        <w:rPr>
          <w:kern w:val="0"/>
          <w:szCs w:val="24"/>
        </w:rPr>
        <w:t xml:space="preserve"> and </w:t>
      </w:r>
      <w:r>
        <w:rPr>
          <w:kern w:val="0"/>
          <w:szCs w:val="24"/>
        </w:rPr>
        <w:t>geographic dissemination</w:t>
      </w:r>
      <w:r w:rsidR="00F81221">
        <w:rPr>
          <w:kern w:val="0"/>
          <w:szCs w:val="24"/>
        </w:rPr>
        <w:t xml:space="preserve"> and </w:t>
      </w:r>
      <w:r>
        <w:rPr>
          <w:kern w:val="0"/>
          <w:szCs w:val="24"/>
        </w:rPr>
        <w:t xml:space="preserve">concentration. </w:t>
      </w:r>
      <w:r w:rsidR="007C323B">
        <w:rPr>
          <w:i/>
          <w:iCs/>
          <w:kern w:val="0"/>
          <w:szCs w:val="24"/>
        </w:rPr>
        <w:t>Investigación Bibliotecológica</w:t>
      </w:r>
      <w:r>
        <w:rPr>
          <w:kern w:val="0"/>
          <w:szCs w:val="24"/>
        </w:rPr>
        <w:t xml:space="preserve">, </w:t>
      </w:r>
      <w:r>
        <w:rPr>
          <w:b/>
          <w:bCs/>
          <w:kern w:val="0"/>
          <w:szCs w:val="24"/>
        </w:rPr>
        <w:t>21</w:t>
      </w:r>
      <w:r>
        <w:rPr>
          <w:kern w:val="0"/>
          <w:szCs w:val="24"/>
        </w:rPr>
        <w:t xml:space="preserve"> (42), 79-108.</w:t>
      </w:r>
    </w:p>
    <w:p w:rsidR="00C25FE5" w:rsidRDefault="00C25FE5" w:rsidP="00C25FE5">
      <w:pPr>
        <w:pStyle w:val="a0"/>
        <w:rPr>
          <w:kern w:val="0"/>
          <w:szCs w:val="24"/>
        </w:rPr>
      </w:pPr>
      <w:r>
        <w:rPr>
          <w:rFonts w:hint="eastAsia"/>
          <w:kern w:val="0"/>
          <w:szCs w:val="24"/>
        </w:rPr>
        <w:t xml:space="preserve">Full Text: </w:t>
      </w:r>
      <w:r>
        <w:rPr>
          <w:iCs/>
          <w:kern w:val="0"/>
          <w:szCs w:val="24"/>
        </w:rPr>
        <w:t>Inv Bib</w:t>
      </w:r>
      <w:r w:rsidRPr="00C25FE5">
        <w:rPr>
          <w:bCs/>
          <w:kern w:val="0"/>
          <w:szCs w:val="24"/>
        </w:rPr>
        <w:t>21</w:t>
      </w:r>
      <w:r>
        <w:rPr>
          <w:kern w:val="0"/>
          <w:szCs w:val="24"/>
        </w:rPr>
        <w:t>, 79</w:t>
      </w:r>
      <w:r>
        <w:rPr>
          <w:rFonts w:hint="eastAsia"/>
          <w:kern w:val="0"/>
          <w:szCs w:val="24"/>
        </w:rPr>
        <w:t>.pdf</w:t>
      </w:r>
    </w:p>
    <w:p w:rsidR="000F578B" w:rsidRDefault="000F578B" w:rsidP="000F578B">
      <w:pPr>
        <w:pStyle w:val="a0"/>
        <w:rPr>
          <w:kern w:val="0"/>
          <w:szCs w:val="24"/>
        </w:rPr>
      </w:pPr>
      <w:r>
        <w:rPr>
          <w:kern w:val="0"/>
          <w:szCs w:val="24"/>
        </w:rPr>
        <w:t>Abstract: A study is presented on the principal Latin American scientific journals in library</w:t>
      </w:r>
      <w:r w:rsidR="00F81221">
        <w:rPr>
          <w:kern w:val="0"/>
          <w:szCs w:val="24"/>
        </w:rPr>
        <w:t xml:space="preserve"> and </w:t>
      </w:r>
      <w:r>
        <w:rPr>
          <w:kern w:val="0"/>
          <w:szCs w:val="24"/>
        </w:rPr>
        <w:t>information science processed by the INFOBILA System. Starting from the most productive publication nucleus, the level of dissemination attained by these journals in the main commercial data bases</w:t>
      </w:r>
      <w:r w:rsidR="00F81221">
        <w:rPr>
          <w:kern w:val="0"/>
          <w:szCs w:val="24"/>
        </w:rPr>
        <w:t xml:space="preserve"> and </w:t>
      </w:r>
      <w:r>
        <w:rPr>
          <w:kern w:val="0"/>
          <w:szCs w:val="24"/>
        </w:rPr>
        <w:t>specialized services (ULRICH, LISA, ISA, LL</w:t>
      </w:r>
      <w:r w:rsidR="00F81221">
        <w:rPr>
          <w:kern w:val="0"/>
          <w:szCs w:val="24"/>
        </w:rPr>
        <w:t xml:space="preserve"> and </w:t>
      </w:r>
      <w:r>
        <w:rPr>
          <w:kern w:val="0"/>
          <w:szCs w:val="24"/>
        </w:rPr>
        <w:t>others) is determined,</w:t>
      </w:r>
      <w:r w:rsidR="00F81221">
        <w:rPr>
          <w:kern w:val="0"/>
          <w:szCs w:val="24"/>
        </w:rPr>
        <w:t xml:space="preserve"> and </w:t>
      </w:r>
      <w:r>
        <w:rPr>
          <w:kern w:val="0"/>
          <w:szCs w:val="24"/>
        </w:rPr>
        <w:t>their subject</w:t>
      </w:r>
      <w:r w:rsidR="00F81221">
        <w:rPr>
          <w:kern w:val="0"/>
          <w:szCs w:val="24"/>
        </w:rPr>
        <w:t xml:space="preserve"> and </w:t>
      </w:r>
      <w:r>
        <w:rPr>
          <w:kern w:val="0"/>
          <w:szCs w:val="24"/>
        </w:rPr>
        <w:t>geographic concentration, through the application of Pratt</w:t>
      </w:r>
      <w:r w:rsidR="000352E7">
        <w:rPr>
          <w:kern w:val="0"/>
          <w:szCs w:val="24"/>
        </w:rPr>
        <w:t>’</w:t>
      </w:r>
      <w:r>
        <w:rPr>
          <w:kern w:val="0"/>
          <w:szCs w:val="24"/>
        </w:rPr>
        <w:t xml:space="preserve">s Index, is also shown. Application of this indicator </w:t>
      </w:r>
      <w:r>
        <w:rPr>
          <w:kern w:val="0"/>
          <w:szCs w:val="24"/>
        </w:rPr>
        <w:lastRenderedPageBreak/>
        <w:t>in these disciplines in the Latin American region reveals a high Subject dispersion</w:t>
      </w:r>
      <w:r w:rsidR="00F81221">
        <w:rPr>
          <w:kern w:val="0"/>
          <w:szCs w:val="24"/>
        </w:rPr>
        <w:t xml:space="preserve"> and </w:t>
      </w:r>
      <w:r>
        <w:rPr>
          <w:kern w:val="0"/>
          <w:szCs w:val="24"/>
        </w:rPr>
        <w:t xml:space="preserve">a high geographic concentration among the 25 </w:t>
      </w:r>
      <w:r w:rsidR="000352E7">
        <w:rPr>
          <w:kern w:val="0"/>
          <w:szCs w:val="24"/>
        </w:rPr>
        <w:t>“</w:t>
      </w:r>
      <w:r>
        <w:rPr>
          <w:kern w:val="0"/>
          <w:szCs w:val="24"/>
        </w:rPr>
        <w:t>key</w:t>
      </w:r>
      <w:r w:rsidR="000352E7">
        <w:rPr>
          <w:kern w:val="0"/>
          <w:szCs w:val="24"/>
        </w:rPr>
        <w:t>”</w:t>
      </w:r>
      <w:r>
        <w:rPr>
          <w:kern w:val="0"/>
          <w:szCs w:val="24"/>
        </w:rPr>
        <w:t xml:space="preserve"> journals studied, while the correspondence analysis between the subject</w:t>
      </w:r>
      <w:r w:rsidR="00F81221">
        <w:rPr>
          <w:kern w:val="0"/>
          <w:szCs w:val="24"/>
        </w:rPr>
        <w:t xml:space="preserve"> and </w:t>
      </w:r>
      <w:r>
        <w:rPr>
          <w:kern w:val="0"/>
          <w:szCs w:val="24"/>
        </w:rPr>
        <w:t>the Country of edition of the journals corroborates these patterns of behavior, as indicated by the spatial distribution between these two variables.</w:t>
      </w:r>
    </w:p>
    <w:p w:rsidR="000F578B" w:rsidRDefault="000F578B" w:rsidP="000F578B">
      <w:pPr>
        <w:pStyle w:val="a0"/>
        <w:rPr>
          <w:kern w:val="0"/>
          <w:szCs w:val="24"/>
        </w:rPr>
      </w:pPr>
      <w:r>
        <w:rPr>
          <w:kern w:val="0"/>
          <w:szCs w:val="24"/>
        </w:rPr>
        <w:t>Keywords: Analysis, Bibliometric Survey, Correspondence Analysis, Geographic Concentration, Information Science, Journals, Latin American Region, Library</w:t>
      </w:r>
      <w:r w:rsidR="00F81221">
        <w:rPr>
          <w:kern w:val="0"/>
          <w:szCs w:val="24"/>
        </w:rPr>
        <w:t xml:space="preserve"> and </w:t>
      </w:r>
      <w:r>
        <w:rPr>
          <w:kern w:val="0"/>
          <w:szCs w:val="24"/>
        </w:rPr>
        <w:t>Information Science, Library</w:t>
      </w:r>
      <w:r w:rsidR="00F81221">
        <w:rPr>
          <w:kern w:val="0"/>
          <w:szCs w:val="24"/>
        </w:rPr>
        <w:t xml:space="preserve"> and </w:t>
      </w:r>
      <w:r>
        <w:rPr>
          <w:kern w:val="0"/>
          <w:szCs w:val="24"/>
        </w:rPr>
        <w:t>Information Science Periodicals, Pratt</w:t>
      </w:r>
      <w:r w:rsidR="000352E7">
        <w:rPr>
          <w:kern w:val="0"/>
          <w:szCs w:val="24"/>
        </w:rPr>
        <w:t>’</w:t>
      </w:r>
      <w:r>
        <w:rPr>
          <w:kern w:val="0"/>
          <w:szCs w:val="24"/>
        </w:rPr>
        <w:t>S Index, Publication, Science, Scientific Journals, Subject Concentration</w:t>
      </w:r>
    </w:p>
    <w:p w:rsidR="000F578B" w:rsidRDefault="000F578B" w:rsidP="000F578B">
      <w:pPr>
        <w:pStyle w:val="a0"/>
        <w:rPr>
          <w:kern w:val="0"/>
          <w:szCs w:val="24"/>
        </w:rPr>
      </w:pPr>
      <w:r>
        <w:rPr>
          <w:rFonts w:hint="eastAsia"/>
          <w:kern w:val="0"/>
          <w:szCs w:val="24"/>
        </w:rPr>
        <w:t xml:space="preserve">? </w:t>
      </w:r>
      <w:r>
        <w:rPr>
          <w:kern w:val="0"/>
          <w:szCs w:val="24"/>
        </w:rPr>
        <w:t>Miguel, S., Moya-Anegon, F.</w:t>
      </w:r>
      <w:r w:rsidR="00F81221">
        <w:rPr>
          <w:kern w:val="0"/>
          <w:szCs w:val="24"/>
        </w:rPr>
        <w:t xml:space="preserve"> and </w:t>
      </w:r>
      <w:r>
        <w:rPr>
          <w:kern w:val="0"/>
          <w:szCs w:val="24"/>
        </w:rPr>
        <w:t xml:space="preserve">Herrero-Solana, V. (2007), Co-citation analysis as research method in Library Information Science. </w:t>
      </w:r>
      <w:r w:rsidR="007C323B">
        <w:rPr>
          <w:i/>
          <w:iCs/>
          <w:kern w:val="0"/>
          <w:szCs w:val="24"/>
        </w:rPr>
        <w:t>Investigación Bibliotecológica</w:t>
      </w:r>
      <w:r>
        <w:rPr>
          <w:kern w:val="0"/>
          <w:szCs w:val="24"/>
        </w:rPr>
        <w:t xml:space="preserve">, </w:t>
      </w:r>
      <w:r>
        <w:rPr>
          <w:b/>
          <w:bCs/>
          <w:kern w:val="0"/>
          <w:szCs w:val="24"/>
        </w:rPr>
        <w:t>21</w:t>
      </w:r>
      <w:r>
        <w:rPr>
          <w:kern w:val="0"/>
          <w:szCs w:val="24"/>
        </w:rPr>
        <w:t xml:space="preserve"> (43), 139-155.</w:t>
      </w:r>
    </w:p>
    <w:p w:rsidR="00C25FE5" w:rsidRDefault="00C25FE5" w:rsidP="00C25FE5">
      <w:pPr>
        <w:pStyle w:val="a0"/>
        <w:rPr>
          <w:kern w:val="0"/>
          <w:szCs w:val="24"/>
        </w:rPr>
      </w:pPr>
      <w:r>
        <w:rPr>
          <w:rFonts w:hint="eastAsia"/>
          <w:kern w:val="0"/>
          <w:szCs w:val="24"/>
        </w:rPr>
        <w:t xml:space="preserve">Full Text: </w:t>
      </w:r>
      <w:r>
        <w:rPr>
          <w:iCs/>
          <w:kern w:val="0"/>
          <w:szCs w:val="24"/>
        </w:rPr>
        <w:t>Inv Bib</w:t>
      </w:r>
      <w:r w:rsidRPr="00C25FE5">
        <w:rPr>
          <w:bCs/>
          <w:kern w:val="0"/>
          <w:szCs w:val="24"/>
        </w:rPr>
        <w:t>21</w:t>
      </w:r>
      <w:r>
        <w:rPr>
          <w:kern w:val="0"/>
          <w:szCs w:val="24"/>
        </w:rPr>
        <w:t xml:space="preserve">, </w:t>
      </w:r>
      <w:r>
        <w:rPr>
          <w:rFonts w:hint="eastAsia"/>
          <w:kern w:val="0"/>
          <w:szCs w:val="24"/>
        </w:rPr>
        <w:t>139.pdf</w:t>
      </w:r>
    </w:p>
    <w:p w:rsidR="000F578B" w:rsidRDefault="000F578B" w:rsidP="000F578B">
      <w:pPr>
        <w:pStyle w:val="a0"/>
        <w:rPr>
          <w:kern w:val="0"/>
          <w:szCs w:val="24"/>
        </w:rPr>
      </w:pPr>
      <w:r>
        <w:rPr>
          <w:kern w:val="0"/>
          <w:szCs w:val="24"/>
        </w:rPr>
        <w:t>Abstract: The pertinence</w:t>
      </w:r>
      <w:r w:rsidR="00F81221">
        <w:rPr>
          <w:kern w:val="0"/>
          <w:szCs w:val="24"/>
        </w:rPr>
        <w:t xml:space="preserve"> and </w:t>
      </w:r>
      <w:r>
        <w:rPr>
          <w:kern w:val="0"/>
          <w:szCs w:val="24"/>
        </w:rPr>
        <w:t>Utility of co-citation analysis as a research method in Library</w:t>
      </w:r>
      <w:r w:rsidR="00F81221">
        <w:rPr>
          <w:kern w:val="0"/>
          <w:szCs w:val="24"/>
        </w:rPr>
        <w:t xml:space="preserve"> and </w:t>
      </w:r>
      <w:r>
        <w:rPr>
          <w:kern w:val="0"/>
          <w:szCs w:val="24"/>
        </w:rPr>
        <w:t>Information Science (LIS) are shown by means of bibliometric nd content analysis of the main works published on this topic. The size</w:t>
      </w:r>
      <w:r w:rsidR="00F81221">
        <w:rPr>
          <w:kern w:val="0"/>
          <w:szCs w:val="24"/>
        </w:rPr>
        <w:t xml:space="preserve"> and </w:t>
      </w:r>
      <w:r>
        <w:rPr>
          <w:kern w:val="0"/>
          <w:szCs w:val="24"/>
        </w:rPr>
        <w:t>evolution of the literature are analysed, as well as the documentary typology</w:t>
      </w:r>
      <w:r w:rsidR="00F81221">
        <w:rPr>
          <w:kern w:val="0"/>
          <w:szCs w:val="24"/>
        </w:rPr>
        <w:t xml:space="preserve"> and </w:t>
      </w:r>
      <w:r>
        <w:rPr>
          <w:kern w:val="0"/>
          <w:szCs w:val="24"/>
        </w:rPr>
        <w:t>the subject of the journals where the main contributions are published. The most frequently used methods</w:t>
      </w:r>
      <w:r w:rsidR="00F81221">
        <w:rPr>
          <w:kern w:val="0"/>
          <w:szCs w:val="24"/>
        </w:rPr>
        <w:t xml:space="preserve"> and </w:t>
      </w:r>
      <w:r>
        <w:rPr>
          <w:kern w:val="0"/>
          <w:szCs w:val="24"/>
        </w:rPr>
        <w:t>techniques for the analysis</w:t>
      </w:r>
      <w:r w:rsidR="00F81221">
        <w:rPr>
          <w:kern w:val="0"/>
          <w:szCs w:val="24"/>
        </w:rPr>
        <w:t xml:space="preserve"> and </w:t>
      </w:r>
      <w:r>
        <w:rPr>
          <w:kern w:val="0"/>
          <w:szCs w:val="24"/>
        </w:rPr>
        <w:t>visualization of the knowledge structures of scientific domains are described,</w:t>
      </w:r>
      <w:r w:rsidR="00F81221">
        <w:rPr>
          <w:kern w:val="0"/>
          <w:szCs w:val="24"/>
        </w:rPr>
        <w:t xml:space="preserve"> and </w:t>
      </w:r>
      <w:r>
        <w:rPr>
          <w:kern w:val="0"/>
          <w:szCs w:val="24"/>
        </w:rPr>
        <w:t>the proposed models of maps are presented. Some of the applications</w:t>
      </w:r>
      <w:r w:rsidR="00F81221">
        <w:rPr>
          <w:kern w:val="0"/>
          <w:szCs w:val="24"/>
        </w:rPr>
        <w:t xml:space="preserve"> and </w:t>
      </w:r>
      <w:r>
        <w:rPr>
          <w:kern w:val="0"/>
          <w:szCs w:val="24"/>
        </w:rPr>
        <w:t>possible uses of the results of these analyses are shown, as well as their advantages</w:t>
      </w:r>
      <w:r w:rsidR="00F81221">
        <w:rPr>
          <w:kern w:val="0"/>
          <w:szCs w:val="24"/>
        </w:rPr>
        <w:t xml:space="preserve"> and </w:t>
      </w:r>
      <w:r>
        <w:rPr>
          <w:kern w:val="0"/>
          <w:szCs w:val="24"/>
        </w:rPr>
        <w:t>limitations.</w:t>
      </w:r>
    </w:p>
    <w:p w:rsidR="000F578B" w:rsidRDefault="000F578B" w:rsidP="000F578B">
      <w:pPr>
        <w:pStyle w:val="a0"/>
        <w:rPr>
          <w:kern w:val="0"/>
          <w:szCs w:val="24"/>
        </w:rPr>
      </w:pPr>
      <w:r>
        <w:rPr>
          <w:kern w:val="0"/>
          <w:szCs w:val="24"/>
        </w:rPr>
        <w:t>Keywords: Analysis, Author Cocitation, Bibliometric, Bibliometrics, Co-Citation, Co-Citation Analysis, Cocitation Analysis, Content Analysis, Decision-Support Systems, Domains, Intellectual Structure, Journals, Knowledge, Library</w:t>
      </w:r>
      <w:r w:rsidR="00F81221">
        <w:rPr>
          <w:kern w:val="0"/>
          <w:szCs w:val="24"/>
        </w:rPr>
        <w:t xml:space="preserve"> and </w:t>
      </w:r>
      <w:r>
        <w:rPr>
          <w:kern w:val="0"/>
          <w:szCs w:val="24"/>
        </w:rPr>
        <w:t>Information Science, Literature, Literatures, Representation, Research, Research Methods, Retrieval, Scholarly Communication, Science, Science Maps, Visualization</w:t>
      </w:r>
    </w:p>
    <w:p w:rsidR="000F578B" w:rsidRDefault="000F578B" w:rsidP="000F578B">
      <w:pPr>
        <w:pStyle w:val="a0"/>
        <w:rPr>
          <w:kern w:val="0"/>
          <w:szCs w:val="24"/>
        </w:rPr>
      </w:pPr>
      <w:r>
        <w:rPr>
          <w:rFonts w:hint="eastAsia"/>
          <w:kern w:val="0"/>
          <w:szCs w:val="24"/>
        </w:rPr>
        <w:t xml:space="preserve">? </w:t>
      </w:r>
      <w:r>
        <w:rPr>
          <w:kern w:val="0"/>
          <w:szCs w:val="24"/>
        </w:rPr>
        <w:t>Alvarado, R.U.</w:t>
      </w:r>
      <w:r w:rsidR="00F81221">
        <w:rPr>
          <w:kern w:val="0"/>
          <w:szCs w:val="24"/>
        </w:rPr>
        <w:t xml:space="preserve"> and </w:t>
      </w:r>
      <w:r>
        <w:rPr>
          <w:kern w:val="0"/>
          <w:szCs w:val="24"/>
        </w:rPr>
        <w:t>Suarez, J. (2008), Epidemic theory in the literature on Lotka</w:t>
      </w:r>
      <w:r w:rsidR="000352E7">
        <w:rPr>
          <w:kern w:val="0"/>
          <w:szCs w:val="24"/>
        </w:rPr>
        <w:t>’</w:t>
      </w:r>
      <w:r>
        <w:rPr>
          <w:kern w:val="0"/>
          <w:szCs w:val="24"/>
        </w:rPr>
        <w:t xml:space="preserve">s law. </w:t>
      </w:r>
      <w:r w:rsidR="007C323B">
        <w:rPr>
          <w:i/>
          <w:iCs/>
          <w:kern w:val="0"/>
          <w:szCs w:val="24"/>
        </w:rPr>
        <w:t>Investigación Bibliotecológica</w:t>
      </w:r>
      <w:r>
        <w:rPr>
          <w:kern w:val="0"/>
          <w:szCs w:val="24"/>
        </w:rPr>
        <w:t xml:space="preserve">, </w:t>
      </w:r>
      <w:r>
        <w:rPr>
          <w:b/>
          <w:bCs/>
          <w:kern w:val="0"/>
          <w:szCs w:val="24"/>
        </w:rPr>
        <w:t>22</w:t>
      </w:r>
      <w:r>
        <w:rPr>
          <w:kern w:val="0"/>
          <w:szCs w:val="24"/>
        </w:rPr>
        <w:t xml:space="preserve"> (46), 91-111.</w:t>
      </w:r>
    </w:p>
    <w:p w:rsidR="00C25FE5" w:rsidRDefault="00C25FE5" w:rsidP="00C25FE5">
      <w:pPr>
        <w:pStyle w:val="a0"/>
        <w:rPr>
          <w:kern w:val="0"/>
          <w:szCs w:val="24"/>
        </w:rPr>
      </w:pPr>
      <w:r>
        <w:rPr>
          <w:rFonts w:hint="eastAsia"/>
          <w:kern w:val="0"/>
          <w:szCs w:val="24"/>
        </w:rPr>
        <w:t xml:space="preserve">Full Text: </w:t>
      </w:r>
      <w:r>
        <w:rPr>
          <w:iCs/>
          <w:kern w:val="0"/>
          <w:szCs w:val="24"/>
        </w:rPr>
        <w:t>Inv Bib</w:t>
      </w:r>
      <w:r w:rsidRPr="00C25FE5">
        <w:rPr>
          <w:bCs/>
          <w:kern w:val="0"/>
          <w:szCs w:val="24"/>
        </w:rPr>
        <w:t>2</w:t>
      </w:r>
      <w:r>
        <w:rPr>
          <w:rFonts w:hint="eastAsia"/>
          <w:bCs/>
          <w:kern w:val="0"/>
          <w:szCs w:val="24"/>
        </w:rPr>
        <w:t>2</w:t>
      </w:r>
      <w:r>
        <w:rPr>
          <w:kern w:val="0"/>
          <w:szCs w:val="24"/>
        </w:rPr>
        <w:t xml:space="preserve">, </w:t>
      </w:r>
      <w:r>
        <w:rPr>
          <w:rFonts w:hint="eastAsia"/>
          <w:kern w:val="0"/>
          <w:szCs w:val="24"/>
        </w:rPr>
        <w:t>91.pdf</w:t>
      </w:r>
    </w:p>
    <w:p w:rsidR="000F578B" w:rsidRDefault="000F578B" w:rsidP="000F578B">
      <w:pPr>
        <w:pStyle w:val="a0"/>
        <w:rPr>
          <w:kern w:val="0"/>
          <w:szCs w:val="24"/>
        </w:rPr>
      </w:pPr>
      <w:r>
        <w:rPr>
          <w:kern w:val="0"/>
          <w:szCs w:val="24"/>
        </w:rPr>
        <w:t>Abstract: The objective of the present study is to analyse the epidemic model as a deterministic process represented by a system of differential equations</w:t>
      </w:r>
      <w:r w:rsidR="00F81221">
        <w:rPr>
          <w:kern w:val="0"/>
          <w:szCs w:val="24"/>
        </w:rPr>
        <w:t xml:space="preserve"> and </w:t>
      </w:r>
      <w:r>
        <w:rPr>
          <w:kern w:val="0"/>
          <w:szCs w:val="24"/>
        </w:rPr>
        <w:t>apply it to authors producing literature on Lotka</w:t>
      </w:r>
      <w:r w:rsidR="000352E7">
        <w:rPr>
          <w:kern w:val="0"/>
          <w:szCs w:val="24"/>
        </w:rPr>
        <w:t>’</w:t>
      </w:r>
      <w:r>
        <w:rPr>
          <w:kern w:val="0"/>
          <w:szCs w:val="24"/>
        </w:rPr>
        <w:t>s law from 1922 to 2005. An epidemic process starting in 1965</w:t>
      </w:r>
      <w:r w:rsidR="00F81221">
        <w:rPr>
          <w:kern w:val="0"/>
          <w:szCs w:val="24"/>
        </w:rPr>
        <w:t xml:space="preserve"> and </w:t>
      </w:r>
      <w:r>
        <w:rPr>
          <w:kern w:val="0"/>
          <w:szCs w:val="24"/>
        </w:rPr>
        <w:t>showing a high rate or transient authors is observed. Those authors publishing in languages different from English found the area already infected.</w:t>
      </w:r>
    </w:p>
    <w:p w:rsidR="000F578B" w:rsidRDefault="000F578B" w:rsidP="000F578B">
      <w:pPr>
        <w:pStyle w:val="a0"/>
        <w:rPr>
          <w:kern w:val="0"/>
          <w:szCs w:val="24"/>
        </w:rPr>
      </w:pPr>
      <w:r>
        <w:rPr>
          <w:kern w:val="0"/>
          <w:szCs w:val="24"/>
        </w:rPr>
        <w:t>Keywords: Authors, Authors</w:t>
      </w:r>
      <w:r w:rsidR="000352E7">
        <w:rPr>
          <w:kern w:val="0"/>
          <w:szCs w:val="24"/>
        </w:rPr>
        <w:t>’</w:t>
      </w:r>
      <w:r>
        <w:rPr>
          <w:kern w:val="0"/>
          <w:szCs w:val="24"/>
        </w:rPr>
        <w:t xml:space="preserve"> Productivity, Bibliometrics, Communication, Epidemic, Epidemic Process, Goffman</w:t>
      </w:r>
      <w:r w:rsidR="000352E7">
        <w:rPr>
          <w:kern w:val="0"/>
          <w:szCs w:val="24"/>
        </w:rPr>
        <w:t>’</w:t>
      </w:r>
      <w:r>
        <w:rPr>
          <w:rFonts w:hint="eastAsia"/>
          <w:kern w:val="0"/>
          <w:szCs w:val="24"/>
        </w:rPr>
        <w:t>s</w:t>
      </w:r>
      <w:r>
        <w:rPr>
          <w:kern w:val="0"/>
          <w:szCs w:val="24"/>
        </w:rPr>
        <w:t xml:space="preserve"> Law, Growth, Ideas, Infected, Informetrics, Languages, Law, Literature, Lotka</w:t>
      </w:r>
      <w:r w:rsidR="000352E7">
        <w:rPr>
          <w:kern w:val="0"/>
          <w:szCs w:val="24"/>
        </w:rPr>
        <w:t>’</w:t>
      </w:r>
      <w:r>
        <w:rPr>
          <w:rFonts w:hint="eastAsia"/>
          <w:kern w:val="0"/>
          <w:szCs w:val="24"/>
        </w:rPr>
        <w:t>s</w:t>
      </w:r>
      <w:r>
        <w:rPr>
          <w:kern w:val="0"/>
          <w:szCs w:val="24"/>
        </w:rPr>
        <w:t xml:space="preserve"> Law, Mathematical Approach, Model, Objective, Process, </w:t>
      </w:r>
      <w:r>
        <w:rPr>
          <w:kern w:val="0"/>
          <w:szCs w:val="24"/>
        </w:rPr>
        <w:lastRenderedPageBreak/>
        <w:t>Publishing, Scientometrics, Spread, Transient</w:t>
      </w:r>
    </w:p>
    <w:p w:rsidR="004B4305" w:rsidRDefault="004B4305" w:rsidP="004B4305">
      <w:pPr>
        <w:pStyle w:val="a0"/>
        <w:rPr>
          <w:kern w:val="0"/>
          <w:szCs w:val="24"/>
        </w:rPr>
      </w:pPr>
      <w:r>
        <w:rPr>
          <w:rFonts w:hint="eastAsia"/>
          <w:kern w:val="0"/>
          <w:szCs w:val="24"/>
        </w:rPr>
        <w:t xml:space="preserve">? </w:t>
      </w:r>
      <w:r>
        <w:rPr>
          <w:kern w:val="0"/>
          <w:szCs w:val="24"/>
        </w:rPr>
        <w:t>Sierra-Flores, M.M.</w:t>
      </w:r>
      <w:r w:rsidR="00F81221">
        <w:rPr>
          <w:kern w:val="0"/>
          <w:szCs w:val="24"/>
        </w:rPr>
        <w:t xml:space="preserve"> and </w:t>
      </w:r>
      <w:r>
        <w:rPr>
          <w:kern w:val="0"/>
          <w:szCs w:val="24"/>
        </w:rPr>
        <w:t xml:space="preserve">Barnard, J.M.R. (2009), The most productive research groups of the National Autonomous University of Mexico (UNAM) in the area of physics, 1990-1999. </w:t>
      </w:r>
      <w:r w:rsidR="007C323B">
        <w:rPr>
          <w:i/>
          <w:iCs/>
          <w:kern w:val="0"/>
          <w:szCs w:val="24"/>
        </w:rPr>
        <w:t>Investigación Bibliotecológica</w:t>
      </w:r>
      <w:r>
        <w:rPr>
          <w:kern w:val="0"/>
          <w:szCs w:val="24"/>
        </w:rPr>
        <w:t xml:space="preserve">, </w:t>
      </w:r>
      <w:r>
        <w:rPr>
          <w:b/>
          <w:bCs/>
          <w:kern w:val="0"/>
          <w:szCs w:val="24"/>
        </w:rPr>
        <w:t>23</w:t>
      </w:r>
      <w:r>
        <w:rPr>
          <w:kern w:val="0"/>
          <w:szCs w:val="24"/>
        </w:rPr>
        <w:t xml:space="preserve"> (48), 127-155.</w:t>
      </w:r>
    </w:p>
    <w:p w:rsidR="00C25FE5" w:rsidRDefault="00C25FE5" w:rsidP="00C25FE5">
      <w:pPr>
        <w:pStyle w:val="a0"/>
        <w:rPr>
          <w:kern w:val="0"/>
          <w:szCs w:val="24"/>
        </w:rPr>
      </w:pPr>
      <w:r>
        <w:rPr>
          <w:rFonts w:hint="eastAsia"/>
          <w:kern w:val="0"/>
          <w:szCs w:val="24"/>
        </w:rPr>
        <w:t xml:space="preserve">Full Text: </w:t>
      </w:r>
      <w:r>
        <w:rPr>
          <w:iCs/>
          <w:kern w:val="0"/>
          <w:szCs w:val="24"/>
        </w:rPr>
        <w:t>Inv Bib</w:t>
      </w:r>
      <w:r w:rsidRPr="00C25FE5">
        <w:rPr>
          <w:bCs/>
          <w:kern w:val="0"/>
          <w:szCs w:val="24"/>
        </w:rPr>
        <w:t>2</w:t>
      </w:r>
      <w:r>
        <w:rPr>
          <w:rFonts w:hint="eastAsia"/>
          <w:bCs/>
          <w:kern w:val="0"/>
          <w:szCs w:val="24"/>
        </w:rPr>
        <w:t>3</w:t>
      </w:r>
      <w:r>
        <w:rPr>
          <w:kern w:val="0"/>
          <w:szCs w:val="24"/>
        </w:rPr>
        <w:t xml:space="preserve">, </w:t>
      </w:r>
      <w:r>
        <w:rPr>
          <w:rFonts w:hint="eastAsia"/>
          <w:kern w:val="0"/>
          <w:szCs w:val="24"/>
        </w:rPr>
        <w:t>127.pdf</w:t>
      </w:r>
    </w:p>
    <w:p w:rsidR="004B4305" w:rsidRDefault="004B4305" w:rsidP="004B4305">
      <w:pPr>
        <w:pStyle w:val="a0"/>
        <w:rPr>
          <w:kern w:val="0"/>
          <w:szCs w:val="24"/>
        </w:rPr>
      </w:pPr>
      <w:r>
        <w:rPr>
          <w:kern w:val="0"/>
          <w:szCs w:val="24"/>
        </w:rPr>
        <w:t>Abstract: In today</w:t>
      </w:r>
      <w:r w:rsidR="000352E7">
        <w:rPr>
          <w:kern w:val="0"/>
          <w:szCs w:val="24"/>
        </w:rPr>
        <w:t>’</w:t>
      </w:r>
      <w:r>
        <w:rPr>
          <w:kern w:val="0"/>
          <w:szCs w:val="24"/>
        </w:rPr>
        <w:t>s world knowledge exchange</w:t>
      </w:r>
      <w:r w:rsidR="00F81221">
        <w:rPr>
          <w:kern w:val="0"/>
          <w:szCs w:val="24"/>
        </w:rPr>
        <w:t xml:space="preserve"> and </w:t>
      </w:r>
      <w:r>
        <w:rPr>
          <w:kern w:val="0"/>
          <w:szCs w:val="24"/>
        </w:rPr>
        <w:t>scientific collaboration have become fundamental for the scientific development of countries. Consequently, the study of collaboration</w:t>
      </w:r>
      <w:r w:rsidR="00F81221">
        <w:rPr>
          <w:kern w:val="0"/>
          <w:szCs w:val="24"/>
        </w:rPr>
        <w:t xml:space="preserve"> and </w:t>
      </w:r>
      <w:r>
        <w:rPr>
          <w:kern w:val="0"/>
          <w:szCs w:val="24"/>
        </w:rPr>
        <w:t>its characteristics should constitute an element of analysis</w:t>
      </w:r>
      <w:r w:rsidR="00F81221">
        <w:rPr>
          <w:kern w:val="0"/>
          <w:szCs w:val="24"/>
        </w:rPr>
        <w:t xml:space="preserve"> and </w:t>
      </w:r>
      <w:r>
        <w:rPr>
          <w:kern w:val="0"/>
          <w:szCs w:val="24"/>
        </w:rPr>
        <w:t>evaluation for regional</w:t>
      </w:r>
      <w:r w:rsidR="00F81221">
        <w:rPr>
          <w:kern w:val="0"/>
          <w:szCs w:val="24"/>
        </w:rPr>
        <w:t xml:space="preserve"> and </w:t>
      </w:r>
      <w:r>
        <w:rPr>
          <w:kern w:val="0"/>
          <w:szCs w:val="24"/>
        </w:rPr>
        <w:t>national organizations, as well as for science policy units associated with universities. Bibliometrics is one of the techniques applied to the study of collaboration, which has permitted the identification of research groups</w:t>
      </w:r>
      <w:r w:rsidR="00F81221">
        <w:rPr>
          <w:kern w:val="0"/>
          <w:szCs w:val="24"/>
        </w:rPr>
        <w:t xml:space="preserve"> and </w:t>
      </w:r>
      <w:r>
        <w:rPr>
          <w:kern w:val="0"/>
          <w:szCs w:val="24"/>
        </w:rPr>
        <w:t>their dynamics over time. Although many Studies have been carried Out on collaboration, these have been primarily at macro level; few are available on more micro levels of analysis within universities. For this reason, the present paper focuses on the application of metric indicators for the Study of physics research at the National Autonomous University of Mexico (UNAM)</w:t>
      </w:r>
      <w:r w:rsidR="00F81221">
        <w:rPr>
          <w:kern w:val="0"/>
          <w:szCs w:val="24"/>
        </w:rPr>
        <w:t xml:space="preserve"> and </w:t>
      </w:r>
      <w:r>
        <w:rPr>
          <w:kern w:val="0"/>
          <w:szCs w:val="24"/>
        </w:rPr>
        <w:t>its characteristic specialists groups in the decade of the 90s. In particular, the characteristics of the highly productive research groups (GIMP)</w:t>
      </w:r>
      <w:r w:rsidR="00F81221">
        <w:rPr>
          <w:kern w:val="0"/>
          <w:szCs w:val="24"/>
        </w:rPr>
        <w:t xml:space="preserve"> and </w:t>
      </w:r>
      <w:r>
        <w:rPr>
          <w:kern w:val="0"/>
          <w:szCs w:val="24"/>
        </w:rPr>
        <w:t>their evolution are explored. The results</w:t>
      </w:r>
      <w:r w:rsidR="00F81221">
        <w:rPr>
          <w:kern w:val="0"/>
          <w:szCs w:val="24"/>
        </w:rPr>
        <w:t xml:space="preserve"> and </w:t>
      </w:r>
      <w:r>
        <w:rPr>
          <w:kern w:val="0"/>
          <w:szCs w:val="24"/>
        </w:rPr>
        <w:t>the methodology applied can be extrapolated to other knowledge areas</w:t>
      </w:r>
      <w:r w:rsidR="00F81221">
        <w:rPr>
          <w:kern w:val="0"/>
          <w:szCs w:val="24"/>
        </w:rPr>
        <w:t xml:space="preserve"> and </w:t>
      </w:r>
      <w:r>
        <w:rPr>
          <w:kern w:val="0"/>
          <w:szCs w:val="24"/>
        </w:rPr>
        <w:t>can be used as a point of comparison</w:t>
      </w:r>
      <w:r w:rsidR="00F81221">
        <w:rPr>
          <w:kern w:val="0"/>
          <w:szCs w:val="24"/>
        </w:rPr>
        <w:t xml:space="preserve"> and </w:t>
      </w:r>
      <w:r>
        <w:rPr>
          <w:kern w:val="0"/>
          <w:szCs w:val="24"/>
        </w:rPr>
        <w:t>evaluation for other disciplines at the UNAM</w:t>
      </w:r>
      <w:r w:rsidR="00F81221">
        <w:rPr>
          <w:kern w:val="0"/>
          <w:szCs w:val="24"/>
        </w:rPr>
        <w:t xml:space="preserve"> and </w:t>
      </w:r>
      <w:r>
        <w:rPr>
          <w:kern w:val="0"/>
          <w:szCs w:val="24"/>
        </w:rPr>
        <w:t>like universities.</w:t>
      </w:r>
    </w:p>
    <w:p w:rsidR="004B4305" w:rsidRDefault="004B4305" w:rsidP="004B4305">
      <w:pPr>
        <w:pStyle w:val="a0"/>
        <w:rPr>
          <w:kern w:val="0"/>
          <w:szCs w:val="24"/>
        </w:rPr>
      </w:pPr>
      <w:r>
        <w:rPr>
          <w:kern w:val="0"/>
          <w:szCs w:val="24"/>
        </w:rPr>
        <w:t>Keywords: Bibliometric Indicators, Bibliometrics, Collaboration, Cooperation, Evaluation, Groups, Indicators, Physics, Research, Science, Scientific Co-Authorship, Scientific Collaboration, UNAM, Universities</w:t>
      </w:r>
    </w:p>
    <w:p w:rsidR="004B4305" w:rsidRDefault="004B4305" w:rsidP="004B4305">
      <w:pPr>
        <w:pStyle w:val="a0"/>
        <w:rPr>
          <w:kern w:val="0"/>
          <w:szCs w:val="24"/>
        </w:rPr>
      </w:pPr>
      <w:r>
        <w:rPr>
          <w:rFonts w:hint="eastAsia"/>
          <w:kern w:val="0"/>
          <w:szCs w:val="24"/>
        </w:rPr>
        <w:t xml:space="preserve">? </w:t>
      </w:r>
      <w:r>
        <w:rPr>
          <w:kern w:val="0"/>
          <w:szCs w:val="24"/>
        </w:rPr>
        <w:t>Portal, S.G.</w:t>
      </w:r>
      <w:r w:rsidR="00F81221">
        <w:rPr>
          <w:kern w:val="0"/>
          <w:szCs w:val="24"/>
        </w:rPr>
        <w:t xml:space="preserve"> and </w:t>
      </w:r>
      <w:r>
        <w:rPr>
          <w:kern w:val="0"/>
          <w:szCs w:val="24"/>
        </w:rPr>
        <w:t xml:space="preserve">Uriza, M.A. (2009), Serialized </w:t>
      </w:r>
      <w:r w:rsidRPr="007C323B">
        <w:rPr>
          <w:i/>
          <w:kern w:val="0"/>
          <w:szCs w:val="24"/>
        </w:rPr>
        <w:t>Journals on Library</w:t>
      </w:r>
      <w:r w:rsidR="00F81221">
        <w:rPr>
          <w:i/>
          <w:kern w:val="0"/>
          <w:szCs w:val="24"/>
        </w:rPr>
        <w:t xml:space="preserve"> and </w:t>
      </w:r>
      <w:r w:rsidRPr="007C323B">
        <w:rPr>
          <w:i/>
          <w:kern w:val="0"/>
          <w:szCs w:val="24"/>
        </w:rPr>
        <w:t>Information Science</w:t>
      </w:r>
      <w:r>
        <w:rPr>
          <w:kern w:val="0"/>
          <w:szCs w:val="24"/>
        </w:rPr>
        <w:t xml:space="preserve">: Current </w:t>
      </w:r>
      <w:r w:rsidR="007C323B">
        <w:rPr>
          <w:kern w:val="0"/>
          <w:szCs w:val="24"/>
        </w:rPr>
        <w:t>status</w:t>
      </w:r>
      <w:r>
        <w:rPr>
          <w:kern w:val="0"/>
          <w:szCs w:val="24"/>
        </w:rPr>
        <w:t xml:space="preserve">. </w:t>
      </w:r>
      <w:r w:rsidR="007C323B">
        <w:rPr>
          <w:i/>
          <w:iCs/>
          <w:kern w:val="0"/>
          <w:szCs w:val="24"/>
        </w:rPr>
        <w:t>Investigación Bibliotecológica</w:t>
      </w:r>
      <w:r>
        <w:rPr>
          <w:kern w:val="0"/>
          <w:szCs w:val="24"/>
        </w:rPr>
        <w:t xml:space="preserve">, </w:t>
      </w:r>
      <w:r>
        <w:rPr>
          <w:b/>
          <w:bCs/>
          <w:kern w:val="0"/>
          <w:szCs w:val="24"/>
        </w:rPr>
        <w:t>23</w:t>
      </w:r>
      <w:r>
        <w:rPr>
          <w:kern w:val="0"/>
          <w:szCs w:val="24"/>
        </w:rPr>
        <w:t xml:space="preserve"> (48), 179-209.</w:t>
      </w:r>
    </w:p>
    <w:p w:rsidR="00C25FE5" w:rsidRDefault="00C25FE5" w:rsidP="00C25FE5">
      <w:pPr>
        <w:pStyle w:val="a0"/>
        <w:rPr>
          <w:kern w:val="0"/>
          <w:szCs w:val="24"/>
        </w:rPr>
      </w:pPr>
      <w:r>
        <w:rPr>
          <w:rFonts w:hint="eastAsia"/>
          <w:kern w:val="0"/>
          <w:szCs w:val="24"/>
        </w:rPr>
        <w:t xml:space="preserve">Full Text: </w:t>
      </w:r>
      <w:r>
        <w:rPr>
          <w:iCs/>
          <w:kern w:val="0"/>
          <w:szCs w:val="24"/>
        </w:rPr>
        <w:t>Inv Bib</w:t>
      </w:r>
      <w:r w:rsidRPr="00C25FE5">
        <w:rPr>
          <w:bCs/>
          <w:kern w:val="0"/>
          <w:szCs w:val="24"/>
        </w:rPr>
        <w:t>2</w:t>
      </w:r>
      <w:r>
        <w:rPr>
          <w:rFonts w:hint="eastAsia"/>
          <w:bCs/>
          <w:kern w:val="0"/>
          <w:szCs w:val="24"/>
        </w:rPr>
        <w:t>3</w:t>
      </w:r>
      <w:r>
        <w:rPr>
          <w:kern w:val="0"/>
          <w:szCs w:val="24"/>
        </w:rPr>
        <w:t xml:space="preserve">, </w:t>
      </w:r>
      <w:r>
        <w:rPr>
          <w:rFonts w:hint="eastAsia"/>
          <w:kern w:val="0"/>
          <w:szCs w:val="24"/>
        </w:rPr>
        <w:t>179.pdf</w:t>
      </w:r>
    </w:p>
    <w:p w:rsidR="004B4305" w:rsidRDefault="004B4305" w:rsidP="004B4305">
      <w:pPr>
        <w:pStyle w:val="a0"/>
        <w:rPr>
          <w:kern w:val="0"/>
          <w:szCs w:val="24"/>
        </w:rPr>
      </w:pPr>
      <w:r>
        <w:rPr>
          <w:kern w:val="0"/>
          <w:szCs w:val="24"/>
        </w:rPr>
        <w:t>Abstract: A general overview of serialized journals on Library</w:t>
      </w:r>
      <w:r w:rsidR="00F81221">
        <w:rPr>
          <w:kern w:val="0"/>
          <w:szCs w:val="24"/>
        </w:rPr>
        <w:t xml:space="preserve"> and </w:t>
      </w:r>
      <w:r>
        <w:rPr>
          <w:kern w:val="0"/>
          <w:szCs w:val="24"/>
        </w:rPr>
        <w:t>Information Science is provided based on their bibliometric behavior in sources such as ULRICH</w:t>
      </w:r>
      <w:r w:rsidR="000352E7">
        <w:rPr>
          <w:kern w:val="0"/>
          <w:szCs w:val="24"/>
        </w:rPr>
        <w:t>’</w:t>
      </w:r>
      <w:r>
        <w:rPr>
          <w:kern w:val="0"/>
          <w:szCs w:val="24"/>
        </w:rPr>
        <w:t>S</w:t>
      </w:r>
      <w:r w:rsidR="00F81221">
        <w:rPr>
          <w:kern w:val="0"/>
          <w:szCs w:val="24"/>
        </w:rPr>
        <w:t xml:space="preserve"> and </w:t>
      </w:r>
      <w:r>
        <w:rPr>
          <w:kern w:val="0"/>
          <w:szCs w:val="24"/>
        </w:rPr>
        <w:t>JCR-SSCI; additionally, using the specialized services of the Library</w:t>
      </w:r>
      <w:r w:rsidR="00F81221">
        <w:rPr>
          <w:kern w:val="0"/>
          <w:szCs w:val="24"/>
        </w:rPr>
        <w:t xml:space="preserve"> and </w:t>
      </w:r>
      <w:r>
        <w:rPr>
          <w:kern w:val="0"/>
          <w:szCs w:val="24"/>
        </w:rPr>
        <w:t xml:space="preserve">Information Sciences Abstracts (LISA), in accord with the Bradford Mathematical Model, a nucleus of the most </w:t>
      </w:r>
      <w:r w:rsidR="000352E7">
        <w:rPr>
          <w:kern w:val="0"/>
          <w:szCs w:val="24"/>
        </w:rPr>
        <w:t>“</w:t>
      </w:r>
      <w:r>
        <w:rPr>
          <w:kern w:val="0"/>
          <w:szCs w:val="24"/>
        </w:rPr>
        <w:t>productive</w:t>
      </w:r>
      <w:r w:rsidR="000352E7">
        <w:rPr>
          <w:kern w:val="0"/>
          <w:szCs w:val="24"/>
        </w:rPr>
        <w:t>”</w:t>
      </w:r>
      <w:r>
        <w:rPr>
          <w:kern w:val="0"/>
          <w:szCs w:val="24"/>
        </w:rPr>
        <w:t xml:space="preserve"> journals is identified. The journals making up this nucleus are assessed in accord with the algorithm developed by Ali, Young</w:t>
      </w:r>
      <w:r w:rsidR="00F81221">
        <w:rPr>
          <w:kern w:val="0"/>
          <w:szCs w:val="24"/>
        </w:rPr>
        <w:t xml:space="preserve"> and </w:t>
      </w:r>
      <w:r>
        <w:rPr>
          <w:kern w:val="0"/>
          <w:szCs w:val="24"/>
        </w:rPr>
        <w:t>Ali.</w:t>
      </w:r>
    </w:p>
    <w:p w:rsidR="004B4305" w:rsidRDefault="004B4305" w:rsidP="004B4305">
      <w:pPr>
        <w:pStyle w:val="a0"/>
        <w:rPr>
          <w:kern w:val="0"/>
          <w:szCs w:val="24"/>
        </w:rPr>
      </w:pPr>
      <w:r>
        <w:rPr>
          <w:kern w:val="0"/>
          <w:szCs w:val="24"/>
        </w:rPr>
        <w:t>Keywords: Bibliometrics, Citation Analysis, Evaluation of Scientific Journals, Library</w:t>
      </w:r>
      <w:r w:rsidR="00F81221">
        <w:rPr>
          <w:kern w:val="0"/>
          <w:szCs w:val="24"/>
        </w:rPr>
        <w:t xml:space="preserve"> and </w:t>
      </w:r>
      <w:r>
        <w:rPr>
          <w:kern w:val="0"/>
          <w:szCs w:val="24"/>
        </w:rPr>
        <w:t>Information Sciences, Scientific Journals</w:t>
      </w:r>
    </w:p>
    <w:p w:rsidR="00B95188" w:rsidRPr="00A428C3" w:rsidRDefault="000F578B" w:rsidP="000F578B">
      <w:pPr>
        <w:pStyle w:val="1"/>
      </w:pPr>
      <w:r w:rsidRPr="00217FB1">
        <w:br w:type="page"/>
      </w:r>
      <w:bookmarkStart w:id="1624" w:name="_Toc186647983"/>
      <w:bookmarkStart w:id="1625" w:name="_Toc317161412"/>
      <w:r w:rsidR="00B95188" w:rsidRPr="00A428C3">
        <w:lastRenderedPageBreak/>
        <w:t>Title: Inzynieria Chemiczna I Procesowa</w:t>
      </w:r>
      <w:bookmarkEnd w:id="1624"/>
      <w:bookmarkEnd w:id="1625"/>
    </w:p>
    <w:p w:rsidR="00B95188" w:rsidRPr="00A428C3" w:rsidRDefault="00B95188" w:rsidP="00B72EF9">
      <w:pPr>
        <w:pStyle w:val="12"/>
      </w:pPr>
      <w:r w:rsidRPr="00A428C3">
        <w:t>Full Journal Title: Inzynieria Chemiczna I Procesowa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0208-6425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Chojnacka, K.</w:t>
      </w:r>
      <w:r w:rsidR="00F81221">
        <w:t xml:space="preserve"> and </w:t>
      </w:r>
      <w:r w:rsidRPr="00A428C3">
        <w:t xml:space="preserve">Noworyta, A. (2001), Mechanism of heavy metal ions biosorption by a blue-green alga </w:t>
      </w:r>
      <w:r w:rsidRPr="00A428C3">
        <w:rPr>
          <w:i/>
          <w:iCs/>
        </w:rPr>
        <w:t>Spirulina</w:t>
      </w:r>
      <w:r w:rsidRPr="00A428C3">
        <w:t xml:space="preserve"> sp. </w:t>
      </w:r>
      <w:r w:rsidRPr="00A428C3">
        <w:rPr>
          <w:i/>
          <w:iCs/>
        </w:rPr>
        <w:t>Inzynieria Chemiczna I Procesowa</w:t>
      </w:r>
      <w:r w:rsidRPr="00A428C3">
        <w:t xml:space="preserve">, </w:t>
      </w:r>
      <w:r w:rsidRPr="00A428C3">
        <w:rPr>
          <w:b/>
        </w:rPr>
        <w:t>22</w:t>
      </w:r>
      <w:r w:rsidRPr="00A428C3">
        <w:t xml:space="preserve"> (3B), 331-336.</w:t>
      </w:r>
    </w:p>
    <w:p w:rsidR="00B95188" w:rsidRPr="00A428C3" w:rsidRDefault="00B95188" w:rsidP="00B95188">
      <w:pPr>
        <w:pStyle w:val="a0"/>
      </w:pPr>
      <w:r w:rsidRPr="00A428C3">
        <w:t>Abstract: The paper presents research carried on biosorption of heavy metals mechanism recognition, particularly Cr</w:t>
      </w:r>
      <w:r w:rsidRPr="00A428C3">
        <w:rPr>
          <w:vertAlign w:val="superscript"/>
        </w:rPr>
        <w:t>3+</w:t>
      </w:r>
      <w:r w:rsidRPr="00A428C3">
        <w:t>, Cd</w:t>
      </w:r>
      <w:r w:rsidRPr="00A428C3">
        <w:rPr>
          <w:vertAlign w:val="superscript"/>
        </w:rPr>
        <w:t>2+</w:t>
      </w:r>
      <w:r w:rsidR="00F81221">
        <w:t xml:space="preserve"> and </w:t>
      </w:r>
      <w:r w:rsidRPr="00A428C3">
        <w:t>Cu</w:t>
      </w:r>
      <w:r w:rsidRPr="00A428C3">
        <w:rPr>
          <w:vertAlign w:val="superscript"/>
        </w:rPr>
        <w:t>2+</w:t>
      </w:r>
      <w:r w:rsidRPr="00A428C3">
        <w:t xml:space="preserve">, carried by a blue-green alga </w:t>
      </w:r>
      <w:r w:rsidRPr="00A428C3">
        <w:rPr>
          <w:i/>
          <w:iCs/>
        </w:rPr>
        <w:t>Spirulina</w:t>
      </w:r>
      <w:r w:rsidRPr="00A428C3">
        <w:t xml:space="preserve"> sp. cultivated in photoautotrophic</w:t>
      </w:r>
      <w:r w:rsidR="00F81221">
        <w:t xml:space="preserve"> and </w:t>
      </w:r>
      <w:r w:rsidRPr="00A428C3">
        <w:t>mixotrophic</w:t>
      </w:r>
      <w:r w:rsidR="00F81221">
        <w:t xml:space="preserve"> and </w:t>
      </w:r>
      <w:r w:rsidRPr="00A428C3">
        <w:t>manner, as well as cell lyophilisate. 4 hypothetical biosorption mechanisms were considered: sorption, microprecipitation, ion exchange</w:t>
      </w:r>
      <w:r w:rsidR="00F81221">
        <w:t xml:space="preserve"> and </w:t>
      </w:r>
      <w:r w:rsidRPr="00A428C3">
        <w:t>metal uptake into the cell</w:t>
      </w:r>
      <w:r w:rsidR="000352E7">
        <w:t>’</w:t>
      </w:r>
      <w:r w:rsidRPr="00A428C3">
        <w:t>s interior. Performed experiments revealed dominating mechanism of ion exchange.</w:t>
      </w:r>
    </w:p>
    <w:p w:rsidR="00B95188" w:rsidRPr="00A428C3" w:rsidRDefault="00B95188" w:rsidP="00B95188">
      <w:pPr>
        <w:pStyle w:val="a0"/>
      </w:pPr>
      <w:r w:rsidRPr="00A428C3">
        <w:t>? Zapala, W.</w:t>
      </w:r>
      <w:r w:rsidR="00F81221">
        <w:t xml:space="preserve"> and </w:t>
      </w:r>
      <w:r w:rsidRPr="00A428C3">
        <w:t xml:space="preserve">Petrus, R. (2001), Mathematical modelling of the effect of modifier concentration with the use of stoichiometric sorption kinetics. </w:t>
      </w:r>
      <w:r w:rsidRPr="00A428C3">
        <w:rPr>
          <w:i/>
          <w:iCs/>
        </w:rPr>
        <w:t>Inzynieria Chemiczna I Procesowa</w:t>
      </w:r>
      <w:r w:rsidRPr="00A428C3">
        <w:t xml:space="preserve">, </w:t>
      </w:r>
      <w:r w:rsidRPr="00A428C3">
        <w:rPr>
          <w:b/>
        </w:rPr>
        <w:t>22</w:t>
      </w:r>
      <w:r w:rsidRPr="00A428C3">
        <w:t xml:space="preserve"> (3E), 1531-1536.</w:t>
      </w:r>
    </w:p>
    <w:p w:rsidR="00B95188" w:rsidRPr="00A428C3" w:rsidRDefault="00B95188" w:rsidP="00B95188">
      <w:pPr>
        <w:pStyle w:val="a0"/>
      </w:pPr>
      <w:r w:rsidRPr="00A428C3">
        <w:t>Abstract: The aim of this paper is to present preliminary results of the mathematical analyse of the effect of modifier concentration in mobile phase on the retention of chromatographic peaks in the case of chromatographic separation of ortho-</w:t>
      </w:r>
      <w:r w:rsidR="00F81221">
        <w:t xml:space="preserve"> and </w:t>
      </w:r>
      <w:r w:rsidRPr="00A428C3">
        <w:t>para- chloronitrobenzene isomers with the use of multicomponent eluent. The analysis was conducted basing on mathematical model of chromatographic column with the stechiometric kinetic equation.</w:t>
      </w:r>
    </w:p>
    <w:p w:rsidR="00B95188" w:rsidRPr="00A428C3" w:rsidRDefault="00B95188" w:rsidP="00B95188">
      <w:pPr>
        <w:pStyle w:val="a0"/>
      </w:pPr>
      <w:r w:rsidRPr="00A428C3">
        <w:t>Keywords: Analysis, Concentration, Kinetic, Kinetics, Mathematical Model, Model, Modelling, Paper, Retention, Separation, Sorption, Sorption Kinetics</w:t>
      </w:r>
    </w:p>
    <w:p w:rsidR="00B95188" w:rsidRPr="00A428C3" w:rsidRDefault="00B95188" w:rsidP="00B95188">
      <w:pPr>
        <w:pStyle w:val="a0"/>
      </w:pPr>
      <w:r w:rsidRPr="00A428C3">
        <w:t>? Rogacki, G., Modrzejewska, Z.</w:t>
      </w:r>
      <w:r w:rsidR="00F81221">
        <w:t xml:space="preserve"> and </w:t>
      </w:r>
      <w:r w:rsidRPr="00A428C3">
        <w:t xml:space="preserve">Wawrzyniak, P. (2004), Formation of chitosan microgranules in supercritical drying process. </w:t>
      </w:r>
      <w:r w:rsidRPr="00A428C3">
        <w:rPr>
          <w:i/>
          <w:iCs/>
        </w:rPr>
        <w:t>Inzynieria Chemiczna I Procesowa</w:t>
      </w:r>
      <w:r w:rsidRPr="00A428C3">
        <w:t xml:space="preserve">, </w:t>
      </w:r>
      <w:r w:rsidRPr="00A428C3">
        <w:rPr>
          <w:b/>
        </w:rPr>
        <w:t>25</w:t>
      </w:r>
      <w:r w:rsidRPr="00A428C3">
        <w:t xml:space="preserve"> (2), 375-380.</w:t>
      </w:r>
    </w:p>
    <w:p w:rsidR="00B95188" w:rsidRPr="00A428C3" w:rsidRDefault="00B95188" w:rsidP="00B95188">
      <w:pPr>
        <w:pStyle w:val="a0"/>
      </w:pPr>
      <w:r w:rsidRPr="00A428C3">
        <w:t>? Gluszcz, P., Zakrzewska, K.</w:t>
      </w:r>
      <w:r w:rsidR="00F81221">
        <w:t xml:space="preserve"> and </w:t>
      </w:r>
      <w:r w:rsidRPr="00A428C3">
        <w:t>Ledakowicz, S. (2004), Mercury sorption from aqueous solutions: Equilibrium</w:t>
      </w:r>
      <w:r w:rsidR="00F81221">
        <w:t xml:space="preserve"> and </w:t>
      </w:r>
      <w:r w:rsidRPr="00A428C3">
        <w:t xml:space="preserve">kinetics. </w:t>
      </w:r>
      <w:r w:rsidRPr="00A428C3">
        <w:rPr>
          <w:i/>
          <w:iCs/>
        </w:rPr>
        <w:t>Inzynieria Chemiczna I Procesowa</w:t>
      </w:r>
      <w:r w:rsidRPr="00A428C3">
        <w:t xml:space="preserve">, </w:t>
      </w:r>
      <w:r w:rsidRPr="00A428C3">
        <w:rPr>
          <w:b/>
        </w:rPr>
        <w:t>25</w:t>
      </w:r>
      <w:r w:rsidRPr="00A428C3">
        <w:t xml:space="preserve"> </w:t>
      </w:r>
      <w:r w:rsidRPr="00A428C3">
        <w:lastRenderedPageBreak/>
        <w:t>(3), 889-894.</w:t>
      </w:r>
    </w:p>
    <w:p w:rsidR="00B95188" w:rsidRPr="00A428C3" w:rsidRDefault="00B95188" w:rsidP="00B95188">
      <w:pPr>
        <w:pStyle w:val="a0"/>
      </w:pPr>
      <w:r w:rsidRPr="00A428C3">
        <w:t>Abstract: The results of the equilibrium</w:t>
      </w:r>
      <w:r w:rsidR="00F81221">
        <w:t xml:space="preserve"> and </w:t>
      </w:r>
      <w:r w:rsidRPr="00A428C3">
        <w:t>kinetics investigations for the process of mercury sorption from aqueous solutions onto seven different types of active carbon are presented. The effective diffusion coefficients in the particles were obtained from the transient-state sorption experiments</w:t>
      </w:r>
      <w:r w:rsidR="00F81221">
        <w:t xml:space="preserve"> and </w:t>
      </w:r>
      <w:r w:rsidRPr="00A428C3">
        <w:t>the isotherms, saturation capacity of the sorbents</w:t>
      </w:r>
      <w:r w:rsidR="00F81221">
        <w:t xml:space="preserve"> and </w:t>
      </w:r>
      <w:r w:rsidRPr="00A428C3">
        <w:t>its dependence on the temperature</w:t>
      </w:r>
      <w:r w:rsidR="00F81221">
        <w:t xml:space="preserve"> and </w:t>
      </w:r>
      <w:r w:rsidRPr="00A428C3">
        <w:t>pH were identified.</w:t>
      </w:r>
    </w:p>
    <w:p w:rsidR="00B95188" w:rsidRPr="00A428C3" w:rsidRDefault="00B95188" w:rsidP="00B95188">
      <w:pPr>
        <w:pStyle w:val="a0"/>
      </w:pPr>
      <w:r w:rsidRPr="00A428C3">
        <w:t>? Kaminski, W., Tomczak, E.</w:t>
      </w:r>
      <w:r w:rsidR="00F81221">
        <w:t xml:space="preserve"> and </w:t>
      </w:r>
      <w:r w:rsidRPr="00A428C3">
        <w:t xml:space="preserve">Jaros, K. (2007), Sorption kinetics of heavy metal ions from multicomponent solutions on a chitosan sorbent. </w:t>
      </w:r>
      <w:r w:rsidRPr="00A428C3">
        <w:rPr>
          <w:i/>
          <w:iCs/>
        </w:rPr>
        <w:t>Inzynieria Chemiczna I Procesowa</w:t>
      </w:r>
      <w:r w:rsidRPr="00A428C3">
        <w:t xml:space="preserve">, </w:t>
      </w:r>
      <w:r w:rsidRPr="00A428C3">
        <w:rPr>
          <w:b/>
        </w:rPr>
        <w:t>28</w:t>
      </w:r>
      <w:r w:rsidRPr="00A428C3">
        <w:t xml:space="preserve"> (3), 725-734.</w:t>
      </w:r>
    </w:p>
    <w:p w:rsidR="00B95188" w:rsidRPr="00A428C3" w:rsidRDefault="00B95188" w:rsidP="00B95188">
      <w:pPr>
        <w:pStyle w:val="a0"/>
      </w:pPr>
      <w:r w:rsidRPr="00A428C3">
        <w:t>Abstract: The aim of this study was to determine</w:t>
      </w:r>
      <w:r w:rsidR="00F81221">
        <w:t xml:space="preserve"> and </w:t>
      </w:r>
      <w:r w:rsidRPr="00A428C3">
        <w:t>formulate equations describing the sorption kinetics of copper(II), chromium(VI)</w:t>
      </w:r>
      <w:r w:rsidR="00F81221">
        <w:t xml:space="preserve"> and </w:t>
      </w:r>
      <w:r w:rsidRPr="00A428C3">
        <w:t>zinc(II) ions in a glass column filled with chitosan beads in water solutions. The sorption efficiency of single ions</w:t>
      </w:r>
      <w:r w:rsidR="00F81221">
        <w:t xml:space="preserve"> and </w:t>
      </w:r>
      <w:r w:rsidRPr="00A428C3">
        <w:t>ions in mixtures has been analysed.</w:t>
      </w:r>
    </w:p>
    <w:p w:rsidR="00B95188" w:rsidRPr="00A428C3" w:rsidRDefault="00B95188" w:rsidP="00B95188">
      <w:pPr>
        <w:pStyle w:val="a0"/>
      </w:pPr>
      <w:r w:rsidRPr="00A428C3">
        <w:t>Keywords: Adsorption</w:t>
      </w:r>
    </w:p>
    <w:p w:rsidR="00B95188" w:rsidRPr="00A428C3" w:rsidRDefault="00B95188" w:rsidP="00B95188">
      <w:pPr>
        <w:pStyle w:val="1"/>
      </w:pPr>
      <w:r w:rsidRPr="00A428C3">
        <w:br w:type="page"/>
      </w:r>
      <w:bookmarkStart w:id="1626" w:name="_Toc490688089"/>
      <w:bookmarkStart w:id="1627" w:name="_Toc492812202"/>
      <w:bookmarkStart w:id="1628" w:name="_Toc186647984"/>
      <w:bookmarkStart w:id="1629" w:name="_Toc317161413"/>
      <w:r w:rsidRPr="00A428C3">
        <w:lastRenderedPageBreak/>
        <w:t>Title: Ion Exchange</w:t>
      </w:r>
      <w:bookmarkEnd w:id="1614"/>
      <w:bookmarkEnd w:id="1615"/>
      <w:bookmarkEnd w:id="1616"/>
      <w:bookmarkEnd w:id="1626"/>
      <w:bookmarkEnd w:id="1627"/>
      <w:bookmarkEnd w:id="1628"/>
      <w:bookmarkEnd w:id="1629"/>
    </w:p>
    <w:p w:rsidR="00B95188" w:rsidRPr="00A428C3" w:rsidRDefault="00B95188" w:rsidP="00B95188">
      <w:pPr>
        <w:pStyle w:val="a0"/>
      </w:pPr>
      <w:smartTag w:uri="urn:schemas-microsoft-com:office:smarttags" w:element="place">
        <w:smartTag w:uri="urn:schemas-microsoft-com:office:smarttags" w:element="City">
          <w:r w:rsidRPr="00A428C3">
            <w:t>McGraw-Hill</w:t>
          </w:r>
        </w:smartTag>
        <w:r w:rsidRPr="00A428C3">
          <w:t xml:space="preserve">, </w:t>
        </w:r>
        <w:smartTag w:uri="urn:schemas-microsoft-com:office:smarttags" w:element="State">
          <w:r w:rsidRPr="00A428C3">
            <w:t>New York</w:t>
          </w:r>
        </w:smartTag>
      </w:smartTag>
    </w:p>
    <w:p w:rsidR="00B95188" w:rsidRPr="00A428C3" w:rsidRDefault="00B95188" w:rsidP="00B95188">
      <w:pPr>
        <w:pStyle w:val="a0"/>
      </w:pPr>
      <w:r w:rsidRPr="00A428C3">
        <w:t xml:space="preserve">Helfferich, F. (1962), </w:t>
      </w:r>
      <w:r w:rsidRPr="00A428C3">
        <w:rPr>
          <w:i/>
        </w:rPr>
        <w:t>Ion Exchange</w:t>
      </w:r>
      <w:r w:rsidRPr="00A428C3">
        <w:t xml:space="preserve">, </w:t>
      </w:r>
      <w:smartTag w:uri="urn:schemas-microsoft-com:office:smarttags" w:element="place">
        <w:smartTag w:uri="urn:schemas-microsoft-com:office:smarttags" w:element="City">
          <w:r w:rsidRPr="00A428C3">
            <w:t>McGraw-Hill</w:t>
          </w:r>
        </w:smartTag>
        <w:r w:rsidRPr="00A428C3">
          <w:t xml:space="preserve">, </w:t>
        </w:r>
        <w:smartTag w:uri="urn:schemas-microsoft-com:office:smarttags" w:element="State">
          <w:r w:rsidRPr="00A428C3">
            <w:t>New York</w:t>
          </w:r>
        </w:smartTag>
      </w:smartTag>
      <w:r w:rsidRPr="00A428C3">
        <w:t>.</w:t>
      </w:r>
    </w:p>
    <w:p w:rsidR="00B95188" w:rsidRPr="00A428C3" w:rsidRDefault="00B95188" w:rsidP="00B95188">
      <w:pPr>
        <w:pStyle w:val="1"/>
      </w:pPr>
      <w:r w:rsidRPr="00A428C3">
        <w:br w:type="page"/>
      </w:r>
      <w:bookmarkStart w:id="1630" w:name="_Toc186647985"/>
      <w:bookmarkStart w:id="1631" w:name="_Toc317161414"/>
      <w:r w:rsidRPr="00A428C3">
        <w:lastRenderedPageBreak/>
        <w:t>Title: Ion Exchange</w:t>
      </w:r>
      <w:r w:rsidR="00F81221">
        <w:t xml:space="preserve"> and </w:t>
      </w:r>
      <w:r w:rsidRPr="00A428C3">
        <w:t>Adsorption</w:t>
      </w:r>
      <w:bookmarkEnd w:id="1630"/>
      <w:bookmarkEnd w:id="1631"/>
    </w:p>
    <w:p w:rsidR="00B95188" w:rsidRPr="00A428C3" w:rsidRDefault="00B95188" w:rsidP="00B72EF9">
      <w:pPr>
        <w:pStyle w:val="12"/>
      </w:pPr>
      <w:r w:rsidRPr="00A428C3">
        <w:t>Full Journal Title: Ion Exchange</w:t>
      </w:r>
      <w:r w:rsidR="00F81221">
        <w:t xml:space="preserve"> and </w:t>
      </w:r>
      <w:r w:rsidRPr="00A428C3">
        <w:t>Adsorption</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1001-5493</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Zhan, Y.Z., Yang, X.D.</w:t>
      </w:r>
      <w:r w:rsidR="00F81221">
        <w:t xml:space="preserve"> and </w:t>
      </w:r>
      <w:r w:rsidRPr="00A428C3">
        <w:t xml:space="preserve">Li, Y.B. (2006), Adsorption characteristic of </w:t>
      </w:r>
      <w:smartTag w:uri="urn:schemas-microsoft-com:office:smarttags" w:element="place">
        <w:smartTag w:uri="urn:schemas-microsoft-com:office:smarttags" w:element="country-region">
          <w:r w:rsidRPr="00A428C3">
            <w:t>congo</w:t>
          </w:r>
        </w:smartTag>
      </w:smartTag>
      <w:r w:rsidRPr="00A428C3">
        <w:t xml:space="preserve"> red</w:t>
      </w:r>
      <w:r w:rsidR="00F81221">
        <w:t xml:space="preserve"> and </w:t>
      </w:r>
      <w:r w:rsidRPr="00A428C3">
        <w:t xml:space="preserve">crystal violet onto sawdust. </w:t>
      </w:r>
      <w:r w:rsidRPr="00A428C3">
        <w:rPr>
          <w:i/>
        </w:rPr>
        <w:t>Ion Exchange</w:t>
      </w:r>
      <w:r w:rsidR="00F81221">
        <w:rPr>
          <w:i/>
        </w:rPr>
        <w:t xml:space="preserve"> and </w:t>
      </w:r>
      <w:r w:rsidRPr="00A428C3">
        <w:rPr>
          <w:i/>
        </w:rPr>
        <w:t>Adsorption</w:t>
      </w:r>
      <w:r w:rsidRPr="00A428C3">
        <w:t xml:space="preserve">, </w:t>
      </w:r>
      <w:r w:rsidRPr="00A428C3">
        <w:rPr>
          <w:b/>
        </w:rPr>
        <w:t>22</w:t>
      </w:r>
      <w:r w:rsidRPr="00A428C3">
        <w:t xml:space="preserve"> (2), 134-139.</w:t>
      </w:r>
    </w:p>
    <w:p w:rsidR="00B95188" w:rsidRPr="00A428C3" w:rsidRDefault="00B95188" w:rsidP="00B95188">
      <w:pPr>
        <w:pStyle w:val="a0"/>
      </w:pPr>
      <w:r w:rsidRPr="00A428C3">
        <w:t xml:space="preserve">Full Text: </w:t>
      </w:r>
      <w:hyperlink r:id="rId2123" w:history="1">
        <w:r w:rsidRPr="00A428C3">
          <w:rPr>
            <w:rStyle w:val="a5"/>
          </w:rPr>
          <w:t>2006\Ion Exc Ads22, 134.pdf</w:t>
        </w:r>
      </w:hyperlink>
    </w:p>
    <w:p w:rsidR="00B95188" w:rsidRPr="00A428C3" w:rsidRDefault="00B95188" w:rsidP="00B95188">
      <w:pPr>
        <w:pStyle w:val="a0"/>
      </w:pPr>
      <w:r w:rsidRPr="00A428C3">
        <w:t>Abstract: The adsorption characteristics of Congo red</w:t>
      </w:r>
      <w:r w:rsidR="00F81221">
        <w:t xml:space="preserve"> and </w:t>
      </w:r>
      <w:r w:rsidRPr="00A428C3">
        <w:t>crystal violet onto sawdust were investigated by static adsorption method. The result shows that the sawdust is effective low cost adsorbent with high removal of dyes. The best percent color removal of these two dyes is about 96%. The crystal violet adsorption by sawdust is almost unaffected by pH in the range 4-10. With the increase of pH, the color removal decreases slowly from 96.6% to 91.1%. The system pH plays significant role in Congo red adsorption. As pH increase from 4 to 7, the color removal increases rapidly from 22.5% to max 96.0%,</w:t>
      </w:r>
      <w:r w:rsidR="00F81221">
        <w:t xml:space="preserve"> and </w:t>
      </w:r>
      <w:r w:rsidRPr="00A428C3">
        <w:t>then decreases slowly to 91.4% as the increase of pH. The adsorption isotherm of two dyes can be well fitted the Freundlich equation. The adsorption kinetics can be well described by the pseudo-second order kinetics model. The parameters of adsorption isotherm</w:t>
      </w:r>
      <w:r w:rsidR="00F81221">
        <w:t xml:space="preserve"> and </w:t>
      </w:r>
      <w:r w:rsidRPr="00A428C3">
        <w:t>kinetics are calculated.</w:t>
      </w:r>
    </w:p>
    <w:p w:rsidR="00B95188" w:rsidRPr="00A428C3" w:rsidRDefault="00B95188" w:rsidP="00B95188">
      <w:pPr>
        <w:pStyle w:val="a0"/>
      </w:pPr>
      <w:r w:rsidRPr="00A428C3">
        <w:t>Keywords: Dye, Adsorption, Sawdust, Adsorption Isotherm, Pseudo-Second Order Kinetics</w:t>
      </w:r>
    </w:p>
    <w:p w:rsidR="00B95188" w:rsidRPr="00A428C3" w:rsidRDefault="00B95188" w:rsidP="00B95188">
      <w:pPr>
        <w:pStyle w:val="1"/>
      </w:pPr>
      <w:r w:rsidRPr="00A428C3">
        <w:br w:type="page"/>
      </w:r>
      <w:bookmarkStart w:id="1632" w:name="_Toc487190745"/>
      <w:bookmarkStart w:id="1633" w:name="_Toc487882250"/>
      <w:bookmarkStart w:id="1634" w:name="_Toc490688090"/>
      <w:bookmarkStart w:id="1635" w:name="_Toc492812203"/>
      <w:bookmarkStart w:id="1636" w:name="_Toc186647986"/>
      <w:bookmarkStart w:id="1637" w:name="_Toc317161415"/>
      <w:r w:rsidRPr="00A428C3">
        <w:lastRenderedPageBreak/>
        <w:t>Title: Ion Exchange Developments</w:t>
      </w:r>
      <w:r w:rsidR="00F81221">
        <w:t xml:space="preserve"> and </w:t>
      </w:r>
      <w:r w:rsidRPr="00A428C3">
        <w:t>Applications</w:t>
      </w:r>
      <w:bookmarkEnd w:id="1632"/>
      <w:bookmarkEnd w:id="1633"/>
      <w:bookmarkEnd w:id="1634"/>
      <w:bookmarkEnd w:id="1635"/>
      <w:bookmarkEnd w:id="1636"/>
      <w:bookmarkEnd w:id="1637"/>
    </w:p>
    <w:p w:rsidR="00B95188" w:rsidRPr="00A428C3" w:rsidRDefault="00B95188" w:rsidP="00B95188">
      <w:pPr>
        <w:pStyle w:val="a0"/>
      </w:pPr>
      <w:r w:rsidRPr="00A428C3">
        <w:t xml:space="preserve">The Royal Society of Chemistry, </w:t>
      </w:r>
    </w:p>
    <w:p w:rsidR="00B95188" w:rsidRPr="00A428C3" w:rsidRDefault="00B95188" w:rsidP="00B95188">
      <w:pPr>
        <w:pStyle w:val="a0"/>
      </w:pPr>
      <w:r w:rsidRPr="00A428C3">
        <w:t>Weatherley, L.R., Aker, G.A.</w:t>
      </w:r>
      <w:r w:rsidR="00F81221">
        <w:t xml:space="preserve"> and </w:t>
      </w:r>
      <w:r w:rsidRPr="00A428C3">
        <w:t xml:space="preserve">Al-Duri, B. (1996), Acid dye removal from textile industry effluent using biologically active carbon adsorbent. in </w:t>
      </w:r>
      <w:r w:rsidRPr="00A428C3">
        <w:rPr>
          <w:i/>
        </w:rPr>
        <w:t>Ion Exchange Developments</w:t>
      </w:r>
      <w:r w:rsidR="00F81221">
        <w:rPr>
          <w:i/>
        </w:rPr>
        <w:t xml:space="preserve"> and </w:t>
      </w:r>
      <w:r w:rsidRPr="00A428C3">
        <w:rPr>
          <w:i/>
        </w:rPr>
        <w:t>Applications</w:t>
      </w:r>
      <w:r w:rsidRPr="00A428C3">
        <w:t>, (Edited by Greig, J.A.), The Royal Society of Chemistry, 120-127.</w:t>
      </w:r>
    </w:p>
    <w:p w:rsidR="00B95188" w:rsidRPr="00A428C3" w:rsidRDefault="00B95188" w:rsidP="00B95188">
      <w:pPr>
        <w:pStyle w:val="a0"/>
      </w:pPr>
      <w:r w:rsidRPr="00A428C3">
        <w:t>Webb, M. (1996), Synthtic clay anion exchangers: Their structure, modification</w:t>
      </w:r>
      <w:r w:rsidR="00F81221">
        <w:t xml:space="preserve"> and </w:t>
      </w:r>
      <w:r w:rsidRPr="00A428C3">
        <w:t>application in removing colour</w:t>
      </w:r>
      <w:r w:rsidR="00F81221">
        <w:t xml:space="preserve"> and </w:t>
      </w:r>
      <w:r w:rsidRPr="00A428C3">
        <w:t xml:space="preserve">toxins from textile process waters. in </w:t>
      </w:r>
      <w:r w:rsidRPr="00A428C3">
        <w:rPr>
          <w:i/>
        </w:rPr>
        <w:t>Ion Exchange Developments</w:t>
      </w:r>
      <w:r w:rsidR="00F81221">
        <w:rPr>
          <w:i/>
        </w:rPr>
        <w:t xml:space="preserve"> and </w:t>
      </w:r>
      <w:r w:rsidRPr="00A428C3">
        <w:rPr>
          <w:i/>
        </w:rPr>
        <w:t>Applications</w:t>
      </w:r>
      <w:r w:rsidRPr="00A428C3">
        <w:t>, (Edited by Greig, J.A.), The Royal Society of Chemistry, 135-142.</w:t>
      </w:r>
    </w:p>
    <w:p w:rsidR="00B95188" w:rsidRPr="00A428C3" w:rsidRDefault="00B95188" w:rsidP="00B95188">
      <w:pPr>
        <w:pStyle w:val="a0"/>
      </w:pPr>
      <w:r w:rsidRPr="00A428C3">
        <w:t xml:space="preserve">Ulmanu, M., Segarceanu, T., Vasiliu, C. ans Anger, </w:t>
      </w:r>
      <w:smartTag w:uri="urn:schemas-microsoft-com:office:smarttags" w:element="place">
        <w:r w:rsidRPr="00A428C3">
          <w:t>I.</w:t>
        </w:r>
      </w:smartTag>
      <w:r w:rsidRPr="00A428C3">
        <w:t xml:space="preserve"> (1996), Removal of copper from dilute aqueous solutions by adsorbent</w:t>
      </w:r>
      <w:r w:rsidR="00F81221">
        <w:t xml:space="preserve"> and </w:t>
      </w:r>
      <w:r w:rsidRPr="00A428C3">
        <w:t xml:space="preserve">ion exchange materials. in </w:t>
      </w:r>
      <w:r w:rsidRPr="00A428C3">
        <w:rPr>
          <w:i/>
        </w:rPr>
        <w:t>Ion Exchange Developments</w:t>
      </w:r>
      <w:r w:rsidR="00F81221">
        <w:rPr>
          <w:i/>
        </w:rPr>
        <w:t xml:space="preserve"> and </w:t>
      </w:r>
      <w:r w:rsidRPr="00A428C3">
        <w:rPr>
          <w:i/>
        </w:rPr>
        <w:t>Applications</w:t>
      </w:r>
      <w:r w:rsidRPr="00A428C3">
        <w:t>, (Edited by Greig, J.A.), The Royal Society of Chemistry, 151-159.</w:t>
      </w:r>
    </w:p>
    <w:p w:rsidR="00B95188" w:rsidRPr="00A428C3" w:rsidRDefault="00B95188" w:rsidP="00B95188">
      <w:pPr>
        <w:pStyle w:val="a0"/>
      </w:pPr>
      <w:r w:rsidRPr="00A428C3">
        <w:t>Cortina, J.L., Miralles, N.</w:t>
      </w:r>
      <w:r w:rsidR="00F81221">
        <w:t xml:space="preserve"> and </w:t>
      </w:r>
      <w:r w:rsidRPr="00A428C3">
        <w:t xml:space="preserve">Aguilar, M. (1996), Kinetics studies on heavy metal ions removal by impregnated resins containing organophosphorus extractants. in </w:t>
      </w:r>
      <w:r w:rsidRPr="00A428C3">
        <w:rPr>
          <w:i/>
        </w:rPr>
        <w:t>Ion Exchange Developments</w:t>
      </w:r>
      <w:r w:rsidR="00F81221">
        <w:rPr>
          <w:i/>
        </w:rPr>
        <w:t xml:space="preserve"> and </w:t>
      </w:r>
      <w:r w:rsidRPr="00A428C3">
        <w:rPr>
          <w:i/>
        </w:rPr>
        <w:t>Applications</w:t>
      </w:r>
      <w:r w:rsidRPr="00A428C3">
        <w:t>, (Edited by Greig, J.A.), The Royal Society of Chemistry, 396-403.</w:t>
      </w:r>
    </w:p>
    <w:p w:rsidR="00B95188" w:rsidRPr="00A428C3" w:rsidRDefault="00B95188" w:rsidP="00B95188">
      <w:pPr>
        <w:pStyle w:val="a0"/>
      </w:pPr>
      <w:r w:rsidRPr="00A428C3">
        <w:t>Ponomareva, E.I., Zagorodnyaya, A.N., Abisheva, Z.S., Abishev, D.N.</w:t>
      </w:r>
      <w:r w:rsidR="00F81221">
        <w:t xml:space="preserve"> and </w:t>
      </w:r>
      <w:r w:rsidRPr="00A428C3">
        <w:t xml:space="preserve">Zharmenov, A.A. (1996), Kinetics of rhenium sorption from sulphuric acid medium using weak base anioite AH-21. in </w:t>
      </w:r>
      <w:r w:rsidRPr="00A428C3">
        <w:rPr>
          <w:i/>
        </w:rPr>
        <w:t>Ion Exchange Developments</w:t>
      </w:r>
      <w:r w:rsidR="00F81221">
        <w:rPr>
          <w:i/>
        </w:rPr>
        <w:t xml:space="preserve"> and </w:t>
      </w:r>
      <w:r w:rsidRPr="00A428C3">
        <w:rPr>
          <w:i/>
        </w:rPr>
        <w:t>Applications</w:t>
      </w:r>
      <w:r w:rsidRPr="00A428C3">
        <w:t>, (Edited by Greig, J.A.), The Royal Society of Chemistry, 435-441.</w:t>
      </w:r>
    </w:p>
    <w:p w:rsidR="00B95188" w:rsidRPr="00A428C3" w:rsidRDefault="00B95188" w:rsidP="00B95188">
      <w:pPr>
        <w:pStyle w:val="1"/>
      </w:pPr>
      <w:r w:rsidRPr="00A428C3">
        <w:br w:type="page"/>
      </w:r>
      <w:bookmarkStart w:id="1638" w:name="_Toc487190746"/>
      <w:bookmarkStart w:id="1639" w:name="_Toc487882251"/>
      <w:bookmarkStart w:id="1640" w:name="_Toc490688091"/>
      <w:bookmarkStart w:id="1641" w:name="_Toc492812204"/>
      <w:bookmarkStart w:id="1642" w:name="_Toc186647987"/>
      <w:bookmarkStart w:id="1643" w:name="_Toc317161416"/>
      <w:r w:rsidRPr="00A428C3">
        <w:lastRenderedPageBreak/>
        <w:t>Title: Ion Exchange Technology: Advances in Pollution Control</w:t>
      </w:r>
      <w:bookmarkEnd w:id="1638"/>
      <w:bookmarkEnd w:id="1639"/>
      <w:bookmarkEnd w:id="1640"/>
      <w:bookmarkEnd w:id="1641"/>
      <w:bookmarkEnd w:id="1642"/>
      <w:bookmarkEnd w:id="1643"/>
    </w:p>
    <w:p w:rsidR="00B95188" w:rsidRPr="00A428C3" w:rsidRDefault="00B95188" w:rsidP="00B95188">
      <w:pPr>
        <w:pStyle w:val="a0"/>
      </w:pPr>
      <w:r w:rsidRPr="00A428C3">
        <w:t>Technomic Publishing Co.</w:t>
      </w:r>
    </w:p>
    <w:p w:rsidR="00B95188" w:rsidRPr="00A428C3" w:rsidRDefault="00B95188" w:rsidP="00B95188">
      <w:pPr>
        <w:pStyle w:val="a0"/>
      </w:pPr>
      <w:r w:rsidRPr="00A428C3">
        <w:t xml:space="preserve">? </w:t>
      </w:r>
      <w:smartTag w:uri="urn:schemas-microsoft-com:office:smarttags" w:element="place">
        <w:smartTag w:uri="urn:schemas-microsoft-com:office:smarttags" w:element="City">
          <w:r w:rsidRPr="00A428C3">
            <w:t>Trujillo</w:t>
          </w:r>
        </w:smartTag>
      </w:smartTag>
      <w:r w:rsidRPr="00A428C3">
        <w:t>, E.M., Spinti, M.</w:t>
      </w:r>
      <w:r w:rsidR="00F81221">
        <w:t xml:space="preserve"> and </w:t>
      </w:r>
      <w:r w:rsidRPr="00A428C3">
        <w:t xml:space="preserve">Zhuang, H. (1995), Immobilized biomass: A new class of heavy-metalselective ion exchangers. in </w:t>
      </w:r>
      <w:r w:rsidRPr="00A428C3">
        <w:rPr>
          <w:i/>
        </w:rPr>
        <w:t>Ion Exchange Technology: Advances in Pollution Control</w:t>
      </w:r>
      <w:r w:rsidRPr="00A428C3">
        <w:t>, (Edited by Sengupta, A.K.), Technomic Publishing Co., 225-270.</w:t>
      </w:r>
    </w:p>
    <w:p w:rsidR="007B73C6" w:rsidRPr="00A428C3" w:rsidRDefault="007B73C6" w:rsidP="007B73C6">
      <w:pPr>
        <w:pStyle w:val="1"/>
      </w:pPr>
      <w:r w:rsidRPr="00A428C3">
        <w:br w:type="page"/>
      </w:r>
      <w:bookmarkStart w:id="1644" w:name="_Toc317161417"/>
      <w:r w:rsidRPr="00A428C3">
        <w:lastRenderedPageBreak/>
        <w:t xml:space="preserve">Title: </w:t>
      </w:r>
      <w:r>
        <w:t>Iranian Journal of Biotechnology</w:t>
      </w:r>
      <w:bookmarkEnd w:id="1644"/>
    </w:p>
    <w:p w:rsidR="007B73C6" w:rsidRPr="00A428C3" w:rsidRDefault="007B73C6" w:rsidP="00B72EF9">
      <w:pPr>
        <w:pStyle w:val="12"/>
      </w:pPr>
      <w:r w:rsidRPr="00A428C3">
        <w:t xml:space="preserve">Full Journal Title: </w:t>
      </w:r>
      <w:hyperlink r:id="rId2124" w:history="1">
        <w:r w:rsidRPr="003D0AD0">
          <w:rPr>
            <w:rStyle w:val="a5"/>
          </w:rPr>
          <w:t>Iranian Journal of Biotechnology</w:t>
        </w:r>
      </w:hyperlink>
    </w:p>
    <w:p w:rsidR="007B73C6" w:rsidRPr="00A428C3" w:rsidRDefault="007B73C6" w:rsidP="00B72EF9">
      <w:pPr>
        <w:pStyle w:val="12"/>
      </w:pPr>
      <w:r w:rsidRPr="00A428C3">
        <w:t xml:space="preserve">ISO Abbreviated Title: </w:t>
      </w:r>
    </w:p>
    <w:p w:rsidR="007B73C6" w:rsidRPr="00A428C3" w:rsidRDefault="007B73C6" w:rsidP="00B72EF9">
      <w:pPr>
        <w:pStyle w:val="12"/>
      </w:pPr>
      <w:r w:rsidRPr="00A428C3">
        <w:t xml:space="preserve">JCR Abbreviated Title: </w:t>
      </w:r>
    </w:p>
    <w:p w:rsidR="007B73C6" w:rsidRPr="005536C0" w:rsidRDefault="007B73C6" w:rsidP="00B72EF9">
      <w:pPr>
        <w:pStyle w:val="12"/>
      </w:pPr>
      <w:r w:rsidRPr="00A428C3">
        <w:t xml:space="preserve">ISSN: </w:t>
      </w:r>
    </w:p>
    <w:p w:rsidR="007B73C6" w:rsidRPr="00A428C3" w:rsidRDefault="007B73C6" w:rsidP="00B72EF9">
      <w:pPr>
        <w:pStyle w:val="12"/>
      </w:pPr>
      <w:r w:rsidRPr="00A428C3">
        <w:t xml:space="preserve">Issues/Year: </w:t>
      </w:r>
    </w:p>
    <w:p w:rsidR="007B73C6" w:rsidRPr="00A428C3" w:rsidRDefault="007B73C6" w:rsidP="00B72EF9">
      <w:pPr>
        <w:pStyle w:val="12"/>
      </w:pPr>
      <w:r w:rsidRPr="00A428C3">
        <w:t>Journal Country/Territory:</w:t>
      </w:r>
    </w:p>
    <w:p w:rsidR="007B73C6" w:rsidRPr="00A428C3" w:rsidRDefault="007B73C6" w:rsidP="00B72EF9">
      <w:pPr>
        <w:pStyle w:val="12"/>
      </w:pPr>
      <w:r w:rsidRPr="00A428C3">
        <w:t xml:space="preserve">Language: </w:t>
      </w:r>
    </w:p>
    <w:p w:rsidR="007B73C6" w:rsidRPr="00A428C3" w:rsidRDefault="007B73C6" w:rsidP="00B72EF9">
      <w:pPr>
        <w:pStyle w:val="12"/>
      </w:pPr>
      <w:r w:rsidRPr="00A428C3">
        <w:t xml:space="preserve">Publisher: </w:t>
      </w:r>
    </w:p>
    <w:p w:rsidR="007B73C6" w:rsidRPr="00A428C3" w:rsidRDefault="007B73C6" w:rsidP="00B72EF9">
      <w:pPr>
        <w:pStyle w:val="12"/>
      </w:pPr>
      <w:r w:rsidRPr="00A428C3">
        <w:t xml:space="preserve">Publisher Address: </w:t>
      </w:r>
    </w:p>
    <w:p w:rsidR="007B73C6" w:rsidRPr="00A428C3" w:rsidRDefault="007B73C6" w:rsidP="00B72EF9">
      <w:pPr>
        <w:pStyle w:val="12"/>
      </w:pPr>
      <w:r w:rsidRPr="00A428C3">
        <w:t>Subject Categories:</w:t>
      </w:r>
    </w:p>
    <w:p w:rsidR="007B73C6" w:rsidRPr="00A428C3" w:rsidRDefault="007B73C6" w:rsidP="00B72EF9">
      <w:pPr>
        <w:pStyle w:val="12"/>
      </w:pPr>
      <w:r w:rsidRPr="00A428C3">
        <w:t>Impact Factor</w:t>
      </w:r>
    </w:p>
    <w:p w:rsidR="00B95188" w:rsidRPr="00A428C3" w:rsidRDefault="00B95188" w:rsidP="00B95188">
      <w:pPr>
        <w:pStyle w:val="1"/>
      </w:pPr>
      <w:r w:rsidRPr="00A428C3">
        <w:br w:type="page"/>
      </w:r>
      <w:bookmarkStart w:id="1645" w:name="_Toc317161418"/>
      <w:r w:rsidRPr="00A428C3">
        <w:lastRenderedPageBreak/>
        <w:t xml:space="preserve">Title: </w:t>
      </w:r>
      <w:r>
        <w:t>Iranian Journal of Chemistry &amp; Chemical Engineering-International English Edition</w:t>
      </w:r>
      <w:bookmarkEnd w:id="1645"/>
    </w:p>
    <w:p w:rsidR="00322B39" w:rsidRDefault="00322B39" w:rsidP="00322B39">
      <w:pPr>
        <w:pStyle w:val="12"/>
      </w:pPr>
      <w:r>
        <w:t>Full Journal Title: Iranian Journal of Chemistry &amp; Chemical Engineering-International English Edition</w:t>
      </w:r>
    </w:p>
    <w:p w:rsidR="00322B39" w:rsidRDefault="00322B39" w:rsidP="00322B39">
      <w:pPr>
        <w:pStyle w:val="12"/>
      </w:pPr>
      <w:r>
        <w:t>ISO Abbrev. Title: Iran J. Chem. Chem. Eng.-Int. Engl. Ed.</w:t>
      </w:r>
    </w:p>
    <w:p w:rsidR="00322B39" w:rsidRDefault="00322B39" w:rsidP="00322B39">
      <w:pPr>
        <w:pStyle w:val="12"/>
      </w:pPr>
      <w:r>
        <w:t>JCR Abbrev. Title: Iran J Chem Chem Eng</w:t>
      </w:r>
    </w:p>
    <w:p w:rsidR="00322B39" w:rsidRDefault="00322B39" w:rsidP="00322B39">
      <w:pPr>
        <w:pStyle w:val="12"/>
      </w:pPr>
      <w:r>
        <w:t>ISSN: 1021-9986</w:t>
      </w:r>
    </w:p>
    <w:p w:rsidR="00322B39" w:rsidRDefault="00322B39" w:rsidP="00322B39">
      <w:pPr>
        <w:pStyle w:val="12"/>
      </w:pPr>
      <w:r>
        <w:t>Issues/Year: 4</w:t>
      </w:r>
    </w:p>
    <w:p w:rsidR="00322B39" w:rsidRDefault="00322B39" w:rsidP="00322B39">
      <w:pPr>
        <w:pStyle w:val="12"/>
      </w:pPr>
      <w:r>
        <w:t>Language: English</w:t>
      </w:r>
    </w:p>
    <w:p w:rsidR="00322B39" w:rsidRDefault="00322B39" w:rsidP="00322B39">
      <w:pPr>
        <w:pStyle w:val="12"/>
      </w:pPr>
      <w:r>
        <w:t>Journal Country/Territory: Iran</w:t>
      </w:r>
    </w:p>
    <w:p w:rsidR="00322B39" w:rsidRDefault="00322B39" w:rsidP="00322B39">
      <w:pPr>
        <w:pStyle w:val="12"/>
      </w:pPr>
      <w:r>
        <w:t>Publisher: Jihad Daneshgahi</w:t>
      </w:r>
    </w:p>
    <w:p w:rsidR="00322B39" w:rsidRDefault="00322B39" w:rsidP="00322B39">
      <w:pPr>
        <w:pStyle w:val="12"/>
      </w:pPr>
      <w:r>
        <w:t>Publisher Address: Po Box 13145-1494, Tehran 00000, Iran</w:t>
      </w:r>
    </w:p>
    <w:p w:rsidR="00322B39" w:rsidRDefault="00322B39" w:rsidP="00322B39">
      <w:pPr>
        <w:pStyle w:val="12"/>
      </w:pPr>
      <w:r>
        <w:t>Subject Categories:</w:t>
      </w:r>
    </w:p>
    <w:p w:rsidR="00322B39" w:rsidRDefault="00322B39" w:rsidP="00322B39">
      <w:pPr>
        <w:pStyle w:val="12"/>
      </w:pPr>
      <w:r>
        <w:t>Chemistry, Multidisciplinary</w:t>
      </w:r>
      <w:r>
        <w:rPr>
          <w:rFonts w:hint="eastAsia"/>
        </w:rPr>
        <w:t>:</w:t>
      </w:r>
      <w:r w:rsidRPr="00322B39">
        <w:t xml:space="preserve"> </w:t>
      </w:r>
      <w:r w:rsidRPr="00A428C3">
        <w:t>Impact Factor</w:t>
      </w:r>
      <w:r>
        <w:rPr>
          <w:rFonts w:hint="eastAsia"/>
        </w:rPr>
        <w:t xml:space="preserve"> 0.124, 143/147 (2010)</w:t>
      </w:r>
    </w:p>
    <w:p w:rsidR="00322B39" w:rsidRDefault="00322B39" w:rsidP="00322B39">
      <w:pPr>
        <w:pStyle w:val="12"/>
      </w:pPr>
      <w:r>
        <w:t>Engineering, Chemical</w:t>
      </w:r>
      <w:r>
        <w:rPr>
          <w:rFonts w:hint="eastAsia"/>
        </w:rPr>
        <w:t>:</w:t>
      </w:r>
      <w:r w:rsidRPr="00322B39">
        <w:t xml:space="preserve"> </w:t>
      </w:r>
      <w:r w:rsidRPr="00A428C3">
        <w:t>Impact Factor</w:t>
      </w:r>
      <w:r>
        <w:rPr>
          <w:rFonts w:hint="eastAsia"/>
        </w:rPr>
        <w:t xml:space="preserve"> 0.124, 125/135 (2010)</w:t>
      </w:r>
    </w:p>
    <w:p w:rsidR="00B95188" w:rsidRDefault="00B95188" w:rsidP="00B95188">
      <w:pPr>
        <w:pStyle w:val="a0"/>
      </w:pPr>
      <w:r w:rsidRPr="00A428C3">
        <w:t xml:space="preserve">? </w:t>
      </w:r>
      <w:r>
        <w:t>Ghazy</w:t>
      </w:r>
      <w:r>
        <w:rPr>
          <w:rFonts w:hint="eastAsia"/>
        </w:rPr>
        <w:t>,</w:t>
      </w:r>
      <w:r>
        <w:t xml:space="preserve"> S</w:t>
      </w:r>
      <w:r>
        <w:rPr>
          <w:rFonts w:hint="eastAsia"/>
        </w:rPr>
        <w:t>.</w:t>
      </w:r>
      <w:r>
        <w:t>E</w:t>
      </w:r>
      <w:r>
        <w:rPr>
          <w:rFonts w:hint="eastAsia"/>
        </w:rPr>
        <w:t>.</w:t>
      </w:r>
      <w:r w:rsidR="00F81221">
        <w:rPr>
          <w:rFonts w:hint="eastAsia"/>
        </w:rPr>
        <w:t xml:space="preserve"> and </w:t>
      </w:r>
      <w:r>
        <w:t>Ragab</w:t>
      </w:r>
      <w:r>
        <w:rPr>
          <w:rFonts w:hint="eastAsia"/>
        </w:rPr>
        <w:t>,</w:t>
      </w:r>
      <w:r>
        <w:t xml:space="preserve"> A</w:t>
      </w:r>
      <w:r>
        <w:rPr>
          <w:rFonts w:hint="eastAsia"/>
        </w:rPr>
        <w:t>.</w:t>
      </w:r>
      <w:r>
        <w:t>H</w:t>
      </w:r>
      <w:r>
        <w:rPr>
          <w:rFonts w:hint="eastAsia"/>
        </w:rPr>
        <w:t>.</w:t>
      </w:r>
      <w:r w:rsidRPr="00A428C3">
        <w:t xml:space="preserve"> (2005), </w:t>
      </w:r>
      <w:r>
        <w:t>Removal of lead ions from aqueous solution by sorptive-flotation using limestone</w:t>
      </w:r>
      <w:r w:rsidR="00F81221">
        <w:t xml:space="preserve"> and </w:t>
      </w:r>
      <w:r>
        <w:t>oleic acid</w:t>
      </w:r>
      <w:r w:rsidRPr="00A428C3">
        <w:t xml:space="preserve">. </w:t>
      </w:r>
      <w:r w:rsidRPr="005536C0">
        <w:rPr>
          <w:i/>
        </w:rPr>
        <w:t>Iranian Journal of Chemistry &amp; Chemical Engineering-International English Edition</w:t>
      </w:r>
      <w:r w:rsidRPr="00A428C3">
        <w:t xml:space="preserve">, </w:t>
      </w:r>
      <w:r>
        <w:rPr>
          <w:rFonts w:hint="eastAsia"/>
          <w:b/>
        </w:rPr>
        <w:t>26</w:t>
      </w:r>
      <w:r w:rsidRPr="00A428C3">
        <w:t xml:space="preserve"> (</w:t>
      </w:r>
      <w:r>
        <w:rPr>
          <w:rFonts w:hint="eastAsia"/>
        </w:rPr>
        <w:t>4</w:t>
      </w:r>
      <w:r w:rsidRPr="00A428C3">
        <w:t xml:space="preserve">), </w:t>
      </w:r>
      <w:r>
        <w:t>83-92</w:t>
      </w:r>
      <w:r w:rsidRPr="00A428C3">
        <w:t>.</w:t>
      </w:r>
    </w:p>
    <w:p w:rsidR="00810E7F" w:rsidRDefault="00810E7F" w:rsidP="00B95188">
      <w:pPr>
        <w:pStyle w:val="a0"/>
      </w:pPr>
      <w:r>
        <w:rPr>
          <w:rFonts w:hint="eastAsia"/>
        </w:rPr>
        <w:t xml:space="preserve">Full Text: </w:t>
      </w:r>
      <w:hyperlink r:id="rId2125" w:history="1">
        <w:r w:rsidRPr="00810E7F">
          <w:rPr>
            <w:rStyle w:val="a5"/>
          </w:rPr>
          <w:t>2005\Ira J Che Che Eng-Int Eng Edi26, 83.pdf</w:t>
        </w:r>
      </w:hyperlink>
    </w:p>
    <w:p w:rsidR="00B95188" w:rsidRDefault="00B95188" w:rsidP="00B95188">
      <w:pPr>
        <w:pStyle w:val="a0"/>
      </w:pPr>
      <w:r>
        <w:t>Abstract: A simple, rapid</w:t>
      </w:r>
      <w:r w:rsidR="00F81221">
        <w:t xml:space="preserve"> and </w:t>
      </w:r>
      <w:r>
        <w:t>economic procedure was presented to remove lead(II) from aqueous solution under the optimized conditions. It is bayed on the sorption of Pb</w:t>
      </w:r>
      <w:r w:rsidRPr="005536C0">
        <w:rPr>
          <w:vertAlign w:val="superscript"/>
        </w:rPr>
        <w:t>2+</w:t>
      </w:r>
      <w:r>
        <w:t xml:space="preserve"> ions from aqueous solutions onto limestone fines (LS), which is an inexpensive</w:t>
      </w:r>
      <w:r w:rsidR="00F81221">
        <w:t xml:space="preserve"> and </w:t>
      </w:r>
      <w:r>
        <w:t>widespread over the globe, followed by flotation with oleic acid (HOL) surfactant. The different parameters (namely: solution pH, sorbent, surfactant</w:t>
      </w:r>
      <w:r w:rsidR="00F81221">
        <w:t xml:space="preserve"> and </w:t>
      </w:r>
      <w:r>
        <w:t>lead concentrations, shaking times, ionic strength, temperature</w:t>
      </w:r>
      <w:r w:rsidR="00F81221">
        <w:t xml:space="preserve"> and </w:t>
      </w:r>
      <w:r>
        <w:t>the presence of foreign ions) influencing the sorptive-flotation process were examined. Nearly, 99% of Pb</w:t>
      </w:r>
      <w:r w:rsidRPr="005536C0">
        <w:rPr>
          <w:vertAlign w:val="superscript"/>
        </w:rPr>
        <w:t>2+</w:t>
      </w:r>
      <w:r>
        <w:t xml:space="preserve"> ions were removed from aqueous solutions at pH 7 after shaking for 5 min</w:t>
      </w:r>
      <w:r w:rsidR="00F81221">
        <w:t xml:space="preserve"> and </w:t>
      </w:r>
      <w:r>
        <w:t>at room temperature (similar to 25 degrees C). The procedure was successfully applied to recover lead(II) spiked to some natural water samples. A. mechanism for sorption</w:t>
      </w:r>
      <w:r w:rsidR="00F81221">
        <w:t xml:space="preserve"> and </w:t>
      </w:r>
      <w:r>
        <w:t>flotation is suggested.</w:t>
      </w:r>
    </w:p>
    <w:p w:rsidR="00B95188" w:rsidRPr="00A428C3" w:rsidRDefault="00B95188" w:rsidP="00B95188">
      <w:pPr>
        <w:pStyle w:val="a0"/>
      </w:pPr>
      <w:r>
        <w:t>Keywords: Lead, Sorptive-Flotation, Limestone, Oleic Acid, Activated Carbon, Water Samples, Calcite, Aluminum, Cadmium, Preconcentration, Hydroxyapatite, Surfactant, Separation, Retention</w:t>
      </w:r>
    </w:p>
    <w:p w:rsidR="00F71716" w:rsidRDefault="00F71716" w:rsidP="00F71716">
      <w:pPr>
        <w:pStyle w:val="a0"/>
        <w:rPr>
          <w:kern w:val="0"/>
        </w:rPr>
      </w:pPr>
      <w:r>
        <w:rPr>
          <w:rFonts w:hint="eastAsia"/>
          <w:kern w:val="0"/>
        </w:rPr>
        <w:t xml:space="preserve">? </w:t>
      </w:r>
      <w:r>
        <w:rPr>
          <w:kern w:val="0"/>
        </w:rPr>
        <w:t>Bashardoost, R., Vahabzadeh, F., Shokrollahzadeh, S.</w:t>
      </w:r>
      <w:r w:rsidR="00F81221">
        <w:rPr>
          <w:kern w:val="0"/>
        </w:rPr>
        <w:t xml:space="preserve"> and </w:t>
      </w:r>
      <w:r>
        <w:rPr>
          <w:kern w:val="0"/>
        </w:rPr>
        <w:t>Monazzami, A.R. (2010), Sorption performance of live</w:t>
      </w:r>
      <w:r w:rsidR="00F81221">
        <w:rPr>
          <w:kern w:val="0"/>
        </w:rPr>
        <w:t xml:space="preserve"> and </w:t>
      </w:r>
      <w:r>
        <w:rPr>
          <w:kern w:val="0"/>
        </w:rPr>
        <w:t xml:space="preserve">heat-inactivated loofa-immobilized </w:t>
      </w:r>
      <w:r w:rsidRPr="002402F7">
        <w:rPr>
          <w:i/>
          <w:kern w:val="0"/>
        </w:rPr>
        <w:t>Phanerochaete chrysosporium</w:t>
      </w:r>
      <w:r>
        <w:rPr>
          <w:kern w:val="0"/>
        </w:rPr>
        <w:t xml:space="preserve"> in mercury removal from aqueous solution. </w:t>
      </w:r>
      <w:r>
        <w:rPr>
          <w:i/>
          <w:iCs/>
          <w:kern w:val="0"/>
        </w:rPr>
        <w:t>Iranian Journal of Chemistry &amp; Chemical Engineering-International English Edition</w:t>
      </w:r>
      <w:r>
        <w:rPr>
          <w:kern w:val="0"/>
        </w:rPr>
        <w:t xml:space="preserve">, </w:t>
      </w:r>
      <w:r>
        <w:rPr>
          <w:b/>
          <w:bCs/>
          <w:kern w:val="0"/>
        </w:rPr>
        <w:t>29</w:t>
      </w:r>
      <w:r>
        <w:rPr>
          <w:kern w:val="0"/>
        </w:rPr>
        <w:t xml:space="preserve"> (4), 79-89.</w:t>
      </w:r>
    </w:p>
    <w:p w:rsidR="00F71716" w:rsidRPr="007D79E8" w:rsidRDefault="00F71716" w:rsidP="00F71716">
      <w:pPr>
        <w:pStyle w:val="a0"/>
        <w:rPr>
          <w:kern w:val="0"/>
        </w:rPr>
      </w:pPr>
      <w:r w:rsidRPr="007D79E8">
        <w:rPr>
          <w:kern w:val="0"/>
        </w:rPr>
        <w:lastRenderedPageBreak/>
        <w:t>Full Text:</w:t>
      </w:r>
      <w:r>
        <w:rPr>
          <w:rFonts w:hint="eastAsia"/>
          <w:kern w:val="0"/>
        </w:rPr>
        <w:t xml:space="preserve"> </w:t>
      </w:r>
      <w:hyperlink r:id="rId2126" w:history="1">
        <w:r w:rsidRPr="002402F7">
          <w:rPr>
            <w:rStyle w:val="a5"/>
            <w:kern w:val="0"/>
          </w:rPr>
          <w:t>2011\Ira J Che Che Eng-Int Eng Edi29, 79.pdf</w:t>
        </w:r>
      </w:hyperlink>
    </w:p>
    <w:p w:rsidR="00F71716" w:rsidRDefault="00F71716" w:rsidP="00F71716">
      <w:pPr>
        <w:pStyle w:val="a0"/>
        <w:rPr>
          <w:kern w:val="0"/>
        </w:rPr>
      </w:pPr>
      <w:r>
        <w:rPr>
          <w:kern w:val="0"/>
        </w:rPr>
        <w:t>Abstract: The sorption behavior of loofa-immobilized Phanerochaete chrysosporium mycelia in two forms, Live (L)</w:t>
      </w:r>
      <w:r w:rsidR="00F81221">
        <w:rPr>
          <w:kern w:val="0"/>
        </w:rPr>
        <w:t xml:space="preserve"> and </w:t>
      </w:r>
      <w:r>
        <w:rPr>
          <w:kern w:val="0"/>
        </w:rPr>
        <w:t>Heat-Inactivated (HIA), was studied for the removal of Hg</w:t>
      </w:r>
      <w:r>
        <w:rPr>
          <w:rFonts w:hint="eastAsia"/>
          <w:kern w:val="0"/>
          <w:vertAlign w:val="superscript"/>
        </w:rPr>
        <w:t>2+</w:t>
      </w:r>
      <w:r>
        <w:rPr>
          <w:kern w:val="0"/>
        </w:rPr>
        <w:t xml:space="preserve"> ions from aqueous solution. Using the Langmuir isotherm, the two key parameters for the sorption performance, q(m)</w:t>
      </w:r>
      <w:r w:rsidR="00F81221">
        <w:rPr>
          <w:kern w:val="0"/>
        </w:rPr>
        <w:t xml:space="preserve"> and </w:t>
      </w:r>
      <w:r>
        <w:rPr>
          <w:kern w:val="0"/>
        </w:rPr>
        <w:t>the coefficient b, were obtained; the qm values for Hg</w:t>
      </w:r>
      <w:r>
        <w:rPr>
          <w:rFonts w:hint="eastAsia"/>
          <w:kern w:val="0"/>
          <w:vertAlign w:val="superscript"/>
        </w:rPr>
        <w:t>2+</w:t>
      </w:r>
      <w:r>
        <w:rPr>
          <w:kern w:val="0"/>
        </w:rPr>
        <w:t xml:space="preserve"> ions were 72.46 mg/g</w:t>
      </w:r>
      <w:r w:rsidR="00F81221">
        <w:rPr>
          <w:kern w:val="0"/>
        </w:rPr>
        <w:t xml:space="preserve"> and </w:t>
      </w:r>
      <w:r>
        <w:rPr>
          <w:kern w:val="0"/>
        </w:rPr>
        <w:t>92.59 mg/g</w:t>
      </w:r>
      <w:r w:rsidR="00F81221">
        <w:rPr>
          <w:kern w:val="0"/>
        </w:rPr>
        <w:t xml:space="preserve"> and </w:t>
      </w:r>
      <w:r>
        <w:rPr>
          <w:kern w:val="0"/>
        </w:rPr>
        <w:t>the b coefficients were 0.073 L/mg</w:t>
      </w:r>
      <w:r w:rsidR="00F81221">
        <w:rPr>
          <w:kern w:val="0"/>
        </w:rPr>
        <w:t xml:space="preserve"> and </w:t>
      </w:r>
      <w:r>
        <w:rPr>
          <w:kern w:val="0"/>
        </w:rPr>
        <w:t>0.114 L/mg for the L</w:t>
      </w:r>
      <w:r w:rsidR="00F81221">
        <w:rPr>
          <w:kern w:val="0"/>
        </w:rPr>
        <w:t xml:space="preserve"> and </w:t>
      </w:r>
      <w:r>
        <w:rPr>
          <w:kern w:val="0"/>
        </w:rPr>
        <w:t>HIA biosorbents, respectively. Using the Freundlich isotherm, the values of k(F) were determined as 13.28</w:t>
      </w:r>
      <w:r w:rsidR="00F81221">
        <w:rPr>
          <w:kern w:val="0"/>
        </w:rPr>
        <w:t xml:space="preserve"> and </w:t>
      </w:r>
      <w:r>
        <w:rPr>
          <w:kern w:val="0"/>
        </w:rPr>
        <w:t>21.30,</w:t>
      </w:r>
      <w:r w:rsidR="00F81221">
        <w:rPr>
          <w:kern w:val="0"/>
        </w:rPr>
        <w:t xml:space="preserve"> and </w:t>
      </w:r>
      <w:r>
        <w:rPr>
          <w:kern w:val="0"/>
        </w:rPr>
        <w:t>the values of the coefficient n were 3.22</w:t>
      </w:r>
      <w:r w:rsidR="00F81221">
        <w:rPr>
          <w:kern w:val="0"/>
        </w:rPr>
        <w:t xml:space="preserve"> and </w:t>
      </w:r>
      <w:r>
        <w:rPr>
          <w:kern w:val="0"/>
        </w:rPr>
        <w:t>3.51 for the L</w:t>
      </w:r>
      <w:r w:rsidR="00F81221">
        <w:rPr>
          <w:kern w:val="0"/>
        </w:rPr>
        <w:t xml:space="preserve"> and </w:t>
      </w:r>
      <w:r>
        <w:rPr>
          <w:kern w:val="0"/>
        </w:rPr>
        <w:t>HIA biosorbents, respectively. Although the biosorption data were well fitted by both the Langmuir</w:t>
      </w:r>
      <w:r w:rsidR="00F81221">
        <w:rPr>
          <w:kern w:val="0"/>
        </w:rPr>
        <w:t xml:space="preserve"> and </w:t>
      </w:r>
      <w:r>
        <w:rPr>
          <w:kern w:val="0"/>
        </w:rPr>
        <w:t>Freundlich models, the Langmuir isotherm gave a better fit, with a higher correlation coefficient than the Freundlich model. Moreover, the essential characteristic of the Langmuir isotherm model, described as the separation factor, was indicative of the favorable adsorption of Hg</w:t>
      </w:r>
      <w:r>
        <w:rPr>
          <w:rFonts w:hint="eastAsia"/>
          <w:kern w:val="0"/>
          <w:vertAlign w:val="superscript"/>
        </w:rPr>
        <w:t>2+</w:t>
      </w:r>
      <w:r>
        <w:rPr>
          <w:kern w:val="0"/>
        </w:rPr>
        <w:t xml:space="preserve"> onto both of the test biosorbents (0 &lt; R &lt; 1). A pseudo-second-order rate equation, as suggested by Lagergren</w:t>
      </w:r>
      <w:r w:rsidR="00F81221">
        <w:rPr>
          <w:kern w:val="0"/>
        </w:rPr>
        <w:t xml:space="preserve"> and </w:t>
      </w:r>
      <w:r>
        <w:rPr>
          <w:kern w:val="0"/>
        </w:rPr>
        <w:t>modified by Ho</w:t>
      </w:r>
      <w:r w:rsidR="00F81221">
        <w:rPr>
          <w:kern w:val="0"/>
        </w:rPr>
        <w:t xml:space="preserve"> and </w:t>
      </w:r>
      <w:r>
        <w:rPr>
          <w:kern w:val="0"/>
        </w:rPr>
        <w:t>Mckay, was used for the kinetic analysis,</w:t>
      </w:r>
      <w:r w:rsidR="00F81221">
        <w:rPr>
          <w:kern w:val="0"/>
        </w:rPr>
        <w:t xml:space="preserve"> and </w:t>
      </w:r>
      <w:r>
        <w:rPr>
          <w:kern w:val="0"/>
        </w:rPr>
        <w:t>the resulting values of K(2ads) were 1.16x10(-3) g/mg.min</w:t>
      </w:r>
      <w:r w:rsidR="00F81221">
        <w:rPr>
          <w:kern w:val="0"/>
        </w:rPr>
        <w:t xml:space="preserve"> and </w:t>
      </w:r>
      <w:r>
        <w:rPr>
          <w:kern w:val="0"/>
        </w:rPr>
        <w:t>1.08x10(-3) g/mg.min for the L</w:t>
      </w:r>
      <w:r w:rsidR="00F81221">
        <w:rPr>
          <w:kern w:val="0"/>
        </w:rPr>
        <w:t xml:space="preserve"> and </w:t>
      </w:r>
      <w:r>
        <w:rPr>
          <w:kern w:val="0"/>
        </w:rPr>
        <w:t>HIA biosorbents, respectively. Regenerating the biosorbents was possible using hydrochloric acid to leach the sequestered mercury ions, providing an easy way to reduce the cost of the process. The prevailing criteria in the industrial selection</w:t>
      </w:r>
      <w:r w:rsidR="00F81221">
        <w:rPr>
          <w:kern w:val="0"/>
        </w:rPr>
        <w:t xml:space="preserve"> and </w:t>
      </w:r>
      <w:r>
        <w:rPr>
          <w:kern w:val="0"/>
        </w:rPr>
        <w:t>use of biosorbents were satisfactorily met by this system.</w:t>
      </w:r>
    </w:p>
    <w:p w:rsidR="00F71716" w:rsidRDefault="00F71716" w:rsidP="00F71716">
      <w:pPr>
        <w:pStyle w:val="a0"/>
        <w:rPr>
          <w:kern w:val="0"/>
        </w:rPr>
      </w:pPr>
      <w:r>
        <w:rPr>
          <w:kern w:val="0"/>
        </w:rPr>
        <w:t>Keywords: Adsorption, Aqueous Solution, Biomass, Biosorbents, Biosorption, Biosorption Kinetics, Cadmium, Freundlich, Freundlich Isotherm, Hg(II), Immobilization, Ions, Isotherm, Kinetic, Langmuir, Langmuir Adsorption Isotherm, Langmuir</w:t>
      </w:r>
      <w:r w:rsidR="00F81221">
        <w:rPr>
          <w:kern w:val="0"/>
        </w:rPr>
        <w:t xml:space="preserve"> and </w:t>
      </w:r>
      <w:r>
        <w:rPr>
          <w:kern w:val="0"/>
        </w:rPr>
        <w:t>Freundlich Models, Langmuir Isotherm, Lead, Loofa Sponge, Mercury, Mercury Ions, Metal Removal, Pb(II), Phanerochaete Chrysosporium, Removal, Separation, Sorption, Sponge</w:t>
      </w:r>
    </w:p>
    <w:p w:rsidR="00EE7BA1" w:rsidRDefault="00EE7BA1" w:rsidP="00EE7BA1">
      <w:pPr>
        <w:pStyle w:val="a0"/>
        <w:rPr>
          <w:kern w:val="0"/>
        </w:rPr>
      </w:pPr>
      <w:r>
        <w:rPr>
          <w:rFonts w:hint="eastAsia"/>
          <w:kern w:val="0"/>
        </w:rPr>
        <w:t xml:space="preserve">? </w:t>
      </w:r>
      <w:r>
        <w:rPr>
          <w:kern w:val="0"/>
        </w:rPr>
        <w:t xml:space="preserve">Itodo, A.U., Abdulrahman, F.W., Hassan, L.G., Maigandi, S.A. and Happiness, U.O. (2011), Chemistry of pyrolysis and kinetic studies of shea nut </w:t>
      </w:r>
      <w:r w:rsidRPr="008F3D75">
        <w:rPr>
          <w:i/>
          <w:kern w:val="0"/>
        </w:rPr>
        <w:t>(Vitellaria paradoxa</w:t>
      </w:r>
      <w:r>
        <w:rPr>
          <w:kern w:val="0"/>
        </w:rPr>
        <w:t xml:space="preserve">) shells activated carbon for textile wastewater treatment. </w:t>
      </w:r>
      <w:r>
        <w:rPr>
          <w:i/>
          <w:iCs/>
          <w:kern w:val="0"/>
        </w:rPr>
        <w:t>Iranian Journal of Chemistry &amp; Chemical Engineering-International English Edition</w:t>
      </w:r>
      <w:r>
        <w:rPr>
          <w:kern w:val="0"/>
        </w:rPr>
        <w:t xml:space="preserve">, </w:t>
      </w:r>
      <w:r>
        <w:rPr>
          <w:b/>
          <w:bCs/>
          <w:kern w:val="0"/>
        </w:rPr>
        <w:t>30</w:t>
      </w:r>
      <w:r>
        <w:rPr>
          <w:kern w:val="0"/>
        </w:rPr>
        <w:t xml:space="preserve"> (2), 51-57.</w:t>
      </w:r>
    </w:p>
    <w:p w:rsidR="00EE7BA1" w:rsidRPr="007D79E8" w:rsidRDefault="00EE7BA1" w:rsidP="00EE7BA1">
      <w:pPr>
        <w:pStyle w:val="a0"/>
        <w:rPr>
          <w:kern w:val="0"/>
        </w:rPr>
      </w:pPr>
      <w:r w:rsidRPr="007D79E8">
        <w:rPr>
          <w:kern w:val="0"/>
        </w:rPr>
        <w:t>Full Text:</w:t>
      </w:r>
      <w:r>
        <w:rPr>
          <w:rFonts w:hint="eastAsia"/>
          <w:kern w:val="0"/>
        </w:rPr>
        <w:t xml:space="preserve"> </w:t>
      </w:r>
      <w:hyperlink r:id="rId2127" w:history="1">
        <w:r w:rsidRPr="005C552A">
          <w:rPr>
            <w:rStyle w:val="a5"/>
            <w:kern w:val="0"/>
          </w:rPr>
          <w:t>2011\Ira J Che Che Eng-Int Eng Edi30, 51.pdf</w:t>
        </w:r>
      </w:hyperlink>
    </w:p>
    <w:p w:rsidR="00EE7BA1" w:rsidRDefault="00EE7BA1" w:rsidP="00EE7BA1">
      <w:pPr>
        <w:pStyle w:val="a0"/>
        <w:rPr>
          <w:kern w:val="0"/>
        </w:rPr>
      </w:pPr>
      <w:r>
        <w:rPr>
          <w:kern w:val="0"/>
        </w:rPr>
        <w:t>Abstract: Phosphoric acid (H</w:t>
      </w:r>
      <w:r>
        <w:rPr>
          <w:rFonts w:hint="eastAsia"/>
          <w:kern w:val="0"/>
          <w:vertAlign w:val="subscript"/>
        </w:rPr>
        <w:t>3</w:t>
      </w:r>
      <w:r>
        <w:rPr>
          <w:kern w:val="0"/>
        </w:rPr>
        <w:t>PO</w:t>
      </w:r>
      <w:r>
        <w:rPr>
          <w:rFonts w:hint="eastAsia"/>
          <w:kern w:val="0"/>
          <w:vertAlign w:val="subscript"/>
        </w:rPr>
        <w:t>4</w:t>
      </w:r>
      <w:r>
        <w:rPr>
          <w:kern w:val="0"/>
        </w:rPr>
        <w:t>) and Zinc chloride (ZnCl</w:t>
      </w:r>
      <w:r>
        <w:rPr>
          <w:rFonts w:hint="eastAsia"/>
          <w:kern w:val="0"/>
          <w:vertAlign w:val="subscript"/>
        </w:rPr>
        <w:t>2</w:t>
      </w:r>
      <w:r>
        <w:rPr>
          <w:kern w:val="0"/>
        </w:rPr>
        <w:t>) catalyzed shea nut shells, subjected to a one way activation scheme was employed to study the adsorption kinetics and mode of diffusion of industrial dye uptake. Thermodynamics data obtained in this study indicate that the sorption of dye spontaneously increases with time and decreases after equilibration was reached. The adsorption follows the pseudo second order kinetic model which gave the least % SSE (0.449-1.348), best linearity (R</w:t>
      </w:r>
      <w:r w:rsidRPr="008F3D75">
        <w:rPr>
          <w:kern w:val="0"/>
          <w:vertAlign w:val="superscript"/>
        </w:rPr>
        <w:t>2</w:t>
      </w:r>
      <w:r>
        <w:rPr>
          <w:rFonts w:hint="eastAsia"/>
          <w:kern w:val="0"/>
        </w:rPr>
        <w:t xml:space="preserve"> </w:t>
      </w:r>
      <w:r>
        <w:rPr>
          <w:kern w:val="0"/>
        </w:rPr>
        <w:t>=</w:t>
      </w:r>
      <w:r>
        <w:rPr>
          <w:rFonts w:hint="eastAsia"/>
          <w:kern w:val="0"/>
        </w:rPr>
        <w:t xml:space="preserve"> </w:t>
      </w:r>
      <w:r>
        <w:rPr>
          <w:kern w:val="0"/>
        </w:rPr>
        <w:t xml:space="preserve">0.998-0.999) and closer agreement between the experimental and </w:t>
      </w:r>
      <w:r>
        <w:rPr>
          <w:kern w:val="0"/>
        </w:rPr>
        <w:lastRenderedPageBreak/>
        <w:t xml:space="preserve">calculated </w:t>
      </w:r>
      <w:r w:rsidRPr="008F3D75">
        <w:rPr>
          <w:i/>
          <w:kern w:val="0"/>
        </w:rPr>
        <w:t>q</w:t>
      </w:r>
      <w:r>
        <w:rPr>
          <w:rFonts w:hint="eastAsia"/>
          <w:kern w:val="0"/>
          <w:vertAlign w:val="subscript"/>
        </w:rPr>
        <w:t>e</w:t>
      </w:r>
      <w:r>
        <w:rPr>
          <w:kern w:val="0"/>
        </w:rPr>
        <w:t xml:space="preserve"> values (</w:t>
      </w:r>
      <w:r w:rsidRPr="008F3D75">
        <w:rPr>
          <w:i/>
          <w:kern w:val="0"/>
        </w:rPr>
        <w:t>q</w:t>
      </w:r>
      <w:r>
        <w:rPr>
          <w:rFonts w:hint="eastAsia"/>
          <w:kern w:val="0"/>
          <w:vertAlign w:val="subscript"/>
        </w:rPr>
        <w:t>e</w:t>
      </w:r>
      <w:r>
        <w:rPr>
          <w:kern w:val="0"/>
        </w:rPr>
        <w:t xml:space="preserve"> exp., 96.985/</w:t>
      </w:r>
      <w:r w:rsidRPr="008F3D75">
        <w:rPr>
          <w:i/>
          <w:kern w:val="0"/>
        </w:rPr>
        <w:t>q</w:t>
      </w:r>
      <w:r>
        <w:rPr>
          <w:rFonts w:hint="eastAsia"/>
          <w:kern w:val="0"/>
          <w:vertAlign w:val="subscript"/>
        </w:rPr>
        <w:t>e</w:t>
      </w:r>
      <w:r>
        <w:rPr>
          <w:kern w:val="0"/>
        </w:rPr>
        <w:t xml:space="preserve"> cal., 100.00). Mode of transport deviate from the intraparticle diffusion model. According to this study, percent dye removal coupled with the close proximity of generated data to those reviewed in literatures, is an indication that shea nut shells could compare, to a good extent with commercial activated carbon for organic dye removal from dyestuff wastewater.</w:t>
      </w:r>
    </w:p>
    <w:p w:rsidR="00EE7BA1" w:rsidRDefault="00EE7BA1" w:rsidP="00EE7BA1">
      <w:pPr>
        <w:pStyle w:val="a0"/>
        <w:rPr>
          <w:kern w:val="0"/>
        </w:rPr>
      </w:pPr>
      <w:r>
        <w:rPr>
          <w:kern w:val="0"/>
        </w:rPr>
        <w:t>Keywords: Activated Carbon, Adsorption, Adsorption Kinetics, Carbon, Chloride, Diffusion, Dye, Dye Removal, Kinetic, Kinetic Model, Kinetics, Pseudo Second Order, Pyrolysis, Removal, Shea Nuts, Sorption, Textile Effluent, Thermodynamics, Transport, Uptake, Vitellaria Paradoxa, Wastewater, Zinc</w:t>
      </w:r>
    </w:p>
    <w:p w:rsidR="00EE7BA1" w:rsidRDefault="00EE7BA1" w:rsidP="00EE7BA1">
      <w:pPr>
        <w:pStyle w:val="a0"/>
        <w:rPr>
          <w:kern w:val="0"/>
        </w:rPr>
      </w:pPr>
      <w:r>
        <w:rPr>
          <w:rFonts w:hint="eastAsia"/>
          <w:kern w:val="0"/>
        </w:rPr>
        <w:t xml:space="preserve">? </w:t>
      </w:r>
      <w:r>
        <w:rPr>
          <w:kern w:val="0"/>
        </w:rPr>
        <w:t xml:space="preserve">Xiong, C.H., Meng, Y. and Yao, C.P. (2011), Characters of kinetic and equilibrium of adsorption of Eu(III) by an cation exchange resin. </w:t>
      </w:r>
      <w:r>
        <w:rPr>
          <w:i/>
          <w:iCs/>
          <w:kern w:val="0"/>
        </w:rPr>
        <w:t>Iranian Journal of Chemistry &amp; Chemical Engineering-International English Edition</w:t>
      </w:r>
      <w:r>
        <w:rPr>
          <w:kern w:val="0"/>
        </w:rPr>
        <w:t xml:space="preserve">, </w:t>
      </w:r>
      <w:r>
        <w:rPr>
          <w:b/>
          <w:bCs/>
          <w:kern w:val="0"/>
        </w:rPr>
        <w:t>30</w:t>
      </w:r>
      <w:r>
        <w:rPr>
          <w:kern w:val="0"/>
        </w:rPr>
        <w:t xml:space="preserve"> (1), 97-105.</w:t>
      </w:r>
    </w:p>
    <w:p w:rsidR="00EE7BA1" w:rsidRPr="007D79E8" w:rsidRDefault="00EE7BA1" w:rsidP="00EE7BA1">
      <w:pPr>
        <w:pStyle w:val="a0"/>
        <w:rPr>
          <w:kern w:val="0"/>
        </w:rPr>
      </w:pPr>
      <w:r w:rsidRPr="007D79E8">
        <w:rPr>
          <w:kern w:val="0"/>
        </w:rPr>
        <w:t>Full Text:</w:t>
      </w:r>
      <w:r>
        <w:rPr>
          <w:rFonts w:hint="eastAsia"/>
          <w:kern w:val="0"/>
        </w:rPr>
        <w:t xml:space="preserve"> </w:t>
      </w:r>
      <w:hyperlink r:id="rId2128" w:history="1">
        <w:r w:rsidRPr="00EE2EA9">
          <w:rPr>
            <w:rStyle w:val="a5"/>
            <w:kern w:val="0"/>
          </w:rPr>
          <w:t>2011\Ira J Che Che Eng-Int Eng Edi30, 97.pdf</w:t>
        </w:r>
      </w:hyperlink>
    </w:p>
    <w:p w:rsidR="00EE7BA1" w:rsidRDefault="00EE7BA1" w:rsidP="00EE7BA1">
      <w:pPr>
        <w:pStyle w:val="a0"/>
        <w:rPr>
          <w:kern w:val="0"/>
        </w:rPr>
      </w:pPr>
      <w:r>
        <w:rPr>
          <w:kern w:val="0"/>
        </w:rPr>
        <w:t>Abstract: The sorption and desorption behaviors of Eu(III) from aqueous solutions with cation exchange resins containing carboxyl groups (D155 resin) were studied in terms of varied Eu(III) concentration, adsorbent dosage, pH, contact time and temperature. Batch shaking sorption experiments were carried out to evaluate the performance of D155 resin in the removal of Eu(III) from aqueous solutions. The loading of Eu(III) ions onto D155 resin was found to increase significantly with the initial Eu(III) concentration increasing. The sorption was strongly dependent on pH of the medium with enhanced sorption as the pH changes from 4.00 to 6.40. The concentration of Eu(III) in aqueous solution was determined by UV-visible spectrophotometer. The adsorption kinetics, tested with Lagergren-first-order model and pseudo-second-order model, showed better agreement with Lagergren-first-order kinetics. The suitability of the Freundlich and Langmuir adsorption models was also investigated for europium sorbent system. The thermodynamic parameters such as ΔG, which were all negative, indicated that the adsorption of Eu(III) ions onto D155 resin was spontaneous and the positive value of ΔH showed that the adsorption was endothermic in nature. Eu(III) ions can be eluted by using the 0.5mol/L HCl solution. The surface characteristic of Eu(III) on D155 resin before and after adsorption was shown using IR spectroscopic technique. Therefore, it has a good potential of the removal of Eu(III) from aqueous solutions.</w:t>
      </w:r>
    </w:p>
    <w:p w:rsidR="00EE7BA1" w:rsidRDefault="00EE7BA1" w:rsidP="00EE7BA1">
      <w:pPr>
        <w:pStyle w:val="a0"/>
        <w:rPr>
          <w:kern w:val="0"/>
        </w:rPr>
      </w:pPr>
      <w:r>
        <w:rPr>
          <w:kern w:val="0"/>
        </w:rPr>
        <w:t>Keywords: Adsorbent, Adsorption, Adsorption Kinetics, Aqueous Solution, Aqueous-Solutions, Batch, Cation Exchange, Cation Exchange Resin (D155 Resin), Chelating Resin, Desorption, Equilibrium, Eu(III), Europium, Europium(III), Freundlich, Kinetic, Kinetics, Langmuir, Metal-Ions, N,N,N</w:t>
      </w:r>
      <w:r w:rsidR="000352E7">
        <w:rPr>
          <w:kern w:val="0"/>
        </w:rPr>
        <w:t>’</w:t>
      </w:r>
      <w:r>
        <w:rPr>
          <w:kern w:val="0"/>
        </w:rPr>
        <w:t>,N</w:t>
      </w:r>
      <w:r w:rsidR="000352E7">
        <w:rPr>
          <w:kern w:val="0"/>
        </w:rPr>
        <w:t>’</w:t>
      </w:r>
      <w:r>
        <w:rPr>
          <w:kern w:val="0"/>
        </w:rPr>
        <w:t>-Tetraoctyl Diglycolamide, Peat, pH, Pseudo Second Order, Rare-Earth-Elements, Removal, Resin, Resins, Sorbent, Sorption, Stationary-Phase, Temperature, Thermodynamic, Thermodynamic Parameters, Waste-Water</w:t>
      </w:r>
    </w:p>
    <w:p w:rsidR="00A3771A" w:rsidRPr="00A428C3" w:rsidRDefault="00A3771A" w:rsidP="00A3771A">
      <w:pPr>
        <w:pStyle w:val="1"/>
      </w:pPr>
      <w:r w:rsidRPr="00A428C3">
        <w:lastRenderedPageBreak/>
        <w:br w:type="page"/>
      </w:r>
      <w:bookmarkStart w:id="1646" w:name="_Toc317161419"/>
      <w:r w:rsidRPr="00A428C3">
        <w:lastRenderedPageBreak/>
        <w:t xml:space="preserve">Title: </w:t>
      </w:r>
      <w:r w:rsidRPr="00A3771A">
        <w:rPr>
          <w:rFonts w:hint="eastAsia"/>
          <w:iCs/>
        </w:rPr>
        <w:t>Iranica Journal of Energy &amp; Environment</w:t>
      </w:r>
      <w:bookmarkEnd w:id="1646"/>
    </w:p>
    <w:p w:rsidR="00A3771A" w:rsidRPr="00A428C3" w:rsidRDefault="00A3771A" w:rsidP="00A3771A">
      <w:pPr>
        <w:pStyle w:val="12"/>
      </w:pPr>
      <w:r w:rsidRPr="00A428C3">
        <w:t xml:space="preserve">Full Journal Title: </w:t>
      </w:r>
      <w:hyperlink r:id="rId2129" w:history="1">
        <w:r w:rsidRPr="004130A3">
          <w:rPr>
            <w:rStyle w:val="a5"/>
            <w:rFonts w:hint="eastAsia"/>
            <w:iCs/>
          </w:rPr>
          <w:t>Iranica Journal of Energy &amp; Environment</w:t>
        </w:r>
      </w:hyperlink>
    </w:p>
    <w:p w:rsidR="00A3771A" w:rsidRPr="00A428C3" w:rsidRDefault="00A3771A" w:rsidP="00A3771A">
      <w:pPr>
        <w:pStyle w:val="12"/>
      </w:pPr>
      <w:r w:rsidRPr="00A428C3">
        <w:t xml:space="preserve">ISO Abbreviated Title: </w:t>
      </w:r>
    </w:p>
    <w:p w:rsidR="00A3771A" w:rsidRPr="00A428C3" w:rsidRDefault="00A3771A" w:rsidP="00A3771A">
      <w:pPr>
        <w:pStyle w:val="12"/>
      </w:pPr>
      <w:r w:rsidRPr="00A428C3">
        <w:t xml:space="preserve">JCR Abbreviated Title: </w:t>
      </w:r>
    </w:p>
    <w:p w:rsidR="00A3771A" w:rsidRPr="00A428C3" w:rsidRDefault="00A3771A" w:rsidP="00A3771A">
      <w:pPr>
        <w:pStyle w:val="12"/>
      </w:pPr>
      <w:r>
        <w:t xml:space="preserve">ISSN: </w:t>
      </w:r>
    </w:p>
    <w:p w:rsidR="00A3771A" w:rsidRPr="00A428C3" w:rsidRDefault="00A3771A" w:rsidP="00A3771A">
      <w:pPr>
        <w:pStyle w:val="12"/>
      </w:pPr>
      <w:r w:rsidRPr="00A428C3">
        <w:t xml:space="preserve">Issues/Year: </w:t>
      </w:r>
    </w:p>
    <w:p w:rsidR="00A3771A" w:rsidRPr="00A428C3" w:rsidRDefault="00A3771A" w:rsidP="00A3771A">
      <w:pPr>
        <w:pStyle w:val="12"/>
      </w:pPr>
      <w:r w:rsidRPr="00A428C3">
        <w:t>Journal Country/Territory:</w:t>
      </w:r>
    </w:p>
    <w:p w:rsidR="00A3771A" w:rsidRPr="00A428C3" w:rsidRDefault="00A3771A" w:rsidP="00A3771A">
      <w:pPr>
        <w:pStyle w:val="12"/>
      </w:pPr>
      <w:r w:rsidRPr="00A428C3">
        <w:t xml:space="preserve">Language: </w:t>
      </w:r>
    </w:p>
    <w:p w:rsidR="00A3771A" w:rsidRPr="00A428C3" w:rsidRDefault="00A3771A" w:rsidP="00A3771A">
      <w:pPr>
        <w:pStyle w:val="12"/>
      </w:pPr>
      <w:r w:rsidRPr="00A428C3">
        <w:t xml:space="preserve">Publisher: </w:t>
      </w:r>
    </w:p>
    <w:p w:rsidR="00A3771A" w:rsidRPr="00A428C3" w:rsidRDefault="00A3771A" w:rsidP="00A3771A">
      <w:pPr>
        <w:pStyle w:val="12"/>
      </w:pPr>
      <w:r w:rsidRPr="00A428C3">
        <w:t xml:space="preserve">Publisher Address: </w:t>
      </w:r>
    </w:p>
    <w:p w:rsidR="00A3771A" w:rsidRPr="00A428C3" w:rsidRDefault="00A3771A" w:rsidP="00A3771A">
      <w:pPr>
        <w:pStyle w:val="12"/>
      </w:pPr>
      <w:r w:rsidRPr="00A428C3">
        <w:t>Subject Categories:</w:t>
      </w:r>
    </w:p>
    <w:p w:rsidR="00A3771A" w:rsidRPr="00A428C3" w:rsidRDefault="00A3771A" w:rsidP="00A3771A">
      <w:pPr>
        <w:pStyle w:val="12"/>
      </w:pPr>
      <w:r w:rsidRPr="00A428C3">
        <w:t>Impact Factor</w:t>
      </w:r>
    </w:p>
    <w:p w:rsidR="004130A3" w:rsidRDefault="004130A3" w:rsidP="004130A3">
      <w:pPr>
        <w:pStyle w:val="a0"/>
        <w:rPr>
          <w:kern w:val="0"/>
        </w:rPr>
      </w:pPr>
      <w:r>
        <w:rPr>
          <w:rFonts w:hint="eastAsia"/>
          <w:kern w:val="0"/>
        </w:rPr>
        <w:t>? Radia, H</w:t>
      </w:r>
      <w:r>
        <w:rPr>
          <w:kern w:val="0"/>
        </w:rPr>
        <w:t>.</w:t>
      </w:r>
      <w:r>
        <w:rPr>
          <w:rFonts w:hint="eastAsia"/>
          <w:kern w:val="0"/>
        </w:rPr>
        <w:t>, Ghoreyshi, A.A.</w:t>
      </w:r>
      <w:r w:rsidR="00F81221">
        <w:rPr>
          <w:rFonts w:hint="eastAsia"/>
          <w:kern w:val="0"/>
        </w:rPr>
        <w:t xml:space="preserve"> and </w:t>
      </w:r>
      <w:r>
        <w:rPr>
          <w:rFonts w:hint="eastAsia"/>
          <w:kern w:val="0"/>
        </w:rPr>
        <w:t>Younesi, H.</w:t>
      </w:r>
      <w:r>
        <w:rPr>
          <w:kern w:val="0"/>
        </w:rPr>
        <w:t xml:space="preserve"> (20</w:t>
      </w:r>
      <w:r>
        <w:rPr>
          <w:rFonts w:hint="eastAsia"/>
          <w:kern w:val="0"/>
        </w:rPr>
        <w:t>11</w:t>
      </w:r>
      <w:r>
        <w:rPr>
          <w:kern w:val="0"/>
        </w:rPr>
        <w:t xml:space="preserve">), </w:t>
      </w:r>
      <w:r>
        <w:rPr>
          <w:rFonts w:hint="eastAsia"/>
          <w:kern w:val="0"/>
        </w:rPr>
        <w:t>Isotherm</w:t>
      </w:r>
      <w:r w:rsidR="00F81221">
        <w:rPr>
          <w:rFonts w:hint="eastAsia"/>
          <w:kern w:val="0"/>
        </w:rPr>
        <w:t xml:space="preserve"> and </w:t>
      </w:r>
      <w:r>
        <w:rPr>
          <w:rFonts w:hint="eastAsia"/>
          <w:kern w:val="0"/>
        </w:rPr>
        <w:t>kinetics of Fe(II) adsorption onto chitosan in a batch process</w:t>
      </w:r>
      <w:r>
        <w:rPr>
          <w:kern w:val="0"/>
        </w:rPr>
        <w:t xml:space="preserve">. </w:t>
      </w:r>
      <w:r w:rsidRPr="00A3771A">
        <w:rPr>
          <w:rFonts w:hint="eastAsia"/>
          <w:i/>
          <w:iCs/>
          <w:kern w:val="0"/>
        </w:rPr>
        <w:t>Iranica Journal of Energy &amp; Environment</w:t>
      </w:r>
      <w:r>
        <w:rPr>
          <w:kern w:val="0"/>
        </w:rPr>
        <w:t xml:space="preserve">, </w:t>
      </w:r>
      <w:r>
        <w:rPr>
          <w:rFonts w:hint="eastAsia"/>
          <w:b/>
          <w:bCs/>
          <w:kern w:val="0"/>
        </w:rPr>
        <w:t>2</w:t>
      </w:r>
      <w:r>
        <w:rPr>
          <w:kern w:val="0"/>
        </w:rPr>
        <w:t xml:space="preserve"> (</w:t>
      </w:r>
      <w:r>
        <w:rPr>
          <w:rFonts w:hint="eastAsia"/>
          <w:kern w:val="0"/>
        </w:rPr>
        <w:t>3</w:t>
      </w:r>
      <w:r>
        <w:rPr>
          <w:kern w:val="0"/>
        </w:rPr>
        <w:t xml:space="preserve">), </w:t>
      </w:r>
      <w:r>
        <w:rPr>
          <w:rFonts w:hint="eastAsia"/>
          <w:kern w:val="0"/>
        </w:rPr>
        <w:t>250-257</w:t>
      </w:r>
      <w:r>
        <w:rPr>
          <w:kern w:val="0"/>
        </w:rPr>
        <w:t>.</w:t>
      </w:r>
    </w:p>
    <w:p w:rsidR="004130A3" w:rsidRDefault="004130A3" w:rsidP="004130A3">
      <w:pPr>
        <w:pStyle w:val="a0"/>
        <w:rPr>
          <w:sz w:val="20"/>
        </w:rPr>
      </w:pPr>
      <w:r w:rsidRPr="00A428C3">
        <w:t xml:space="preserve">Full Text: </w:t>
      </w:r>
      <w:hyperlink r:id="rId2130" w:history="1">
        <w:r w:rsidRPr="00A3771A">
          <w:rPr>
            <w:rStyle w:val="a5"/>
          </w:rPr>
          <w:t>2011\Ira J Ene Env2, 250.pdf</w:t>
        </w:r>
      </w:hyperlink>
    </w:p>
    <w:p w:rsidR="00B95188" w:rsidRPr="00A428C3" w:rsidRDefault="00B95188" w:rsidP="00B95188">
      <w:pPr>
        <w:pStyle w:val="1"/>
      </w:pPr>
      <w:r w:rsidRPr="00A428C3">
        <w:br w:type="page"/>
      </w:r>
      <w:bookmarkStart w:id="1647" w:name="_Toc186647988"/>
      <w:bookmarkStart w:id="1648" w:name="_Toc317161420"/>
      <w:r w:rsidRPr="00A428C3">
        <w:lastRenderedPageBreak/>
        <w:t>Title: Iranian Journal of Environmental Health Science &amp; Engineering</w:t>
      </w:r>
      <w:bookmarkEnd w:id="1647"/>
      <w:bookmarkEnd w:id="1648"/>
    </w:p>
    <w:p w:rsidR="00B95188" w:rsidRPr="00A428C3" w:rsidRDefault="00B95188" w:rsidP="00B72EF9">
      <w:pPr>
        <w:pStyle w:val="12"/>
      </w:pPr>
      <w:r w:rsidRPr="00A428C3">
        <w:t xml:space="preserve">Full Journal Title: </w:t>
      </w:r>
      <w:hyperlink r:id="rId2131" w:history="1">
        <w:r w:rsidRPr="00595772">
          <w:rPr>
            <w:rStyle w:val="a5"/>
          </w:rPr>
          <w:t>Iranian Journal of Environmental Health Science &amp; Engineering</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1735-1979</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597190" w:rsidRDefault="00597190" w:rsidP="00597190">
      <w:pPr>
        <w:pStyle w:val="a0"/>
        <w:rPr>
          <w:kern w:val="0"/>
        </w:rPr>
      </w:pPr>
      <w:r>
        <w:rPr>
          <w:rFonts w:hint="eastAsia"/>
          <w:kern w:val="0"/>
        </w:rPr>
        <w:t xml:space="preserve">? </w:t>
      </w:r>
      <w:r>
        <w:rPr>
          <w:kern w:val="0"/>
        </w:rPr>
        <w:t>Barkhordar, B.</w:t>
      </w:r>
      <w:r w:rsidR="00F81221">
        <w:rPr>
          <w:kern w:val="0"/>
        </w:rPr>
        <w:t xml:space="preserve"> and </w:t>
      </w:r>
      <w:r>
        <w:rPr>
          <w:kern w:val="0"/>
        </w:rPr>
        <w:t>Ghiasseddin, M. (2004), Comparision of Langmuir</w:t>
      </w:r>
      <w:r w:rsidR="00F81221">
        <w:rPr>
          <w:kern w:val="0"/>
        </w:rPr>
        <w:t xml:space="preserve"> and </w:t>
      </w:r>
      <w:r>
        <w:rPr>
          <w:kern w:val="0"/>
        </w:rPr>
        <w:t>Freundlich equilibriums in Cr, Cu</w:t>
      </w:r>
      <w:r w:rsidR="00F81221">
        <w:rPr>
          <w:kern w:val="0"/>
        </w:rPr>
        <w:t xml:space="preserve"> and </w:t>
      </w:r>
      <w:r>
        <w:rPr>
          <w:kern w:val="0"/>
        </w:rPr>
        <w:t xml:space="preserve">Ni adsorption by </w:t>
      </w:r>
      <w:r w:rsidRPr="003D64AE">
        <w:rPr>
          <w:i/>
          <w:kern w:val="0"/>
        </w:rPr>
        <w:t>Sargassum</w:t>
      </w:r>
      <w:r>
        <w:rPr>
          <w:kern w:val="0"/>
        </w:rPr>
        <w:t xml:space="preserve">. </w:t>
      </w:r>
      <w:r>
        <w:rPr>
          <w:i/>
          <w:iCs/>
          <w:kern w:val="0"/>
        </w:rPr>
        <w:t>Iranian Journal of Environmental Health Science &amp; Engineering</w:t>
      </w:r>
      <w:r>
        <w:rPr>
          <w:kern w:val="0"/>
        </w:rPr>
        <w:t xml:space="preserve">, </w:t>
      </w:r>
      <w:r>
        <w:rPr>
          <w:b/>
          <w:bCs/>
          <w:kern w:val="0"/>
        </w:rPr>
        <w:t>1</w:t>
      </w:r>
      <w:r>
        <w:rPr>
          <w:kern w:val="0"/>
        </w:rPr>
        <w:t xml:space="preserve"> (2), 58-64.</w:t>
      </w:r>
    </w:p>
    <w:p w:rsidR="00597190" w:rsidRPr="00A428C3" w:rsidRDefault="00597190" w:rsidP="00597190">
      <w:pPr>
        <w:pStyle w:val="a0"/>
        <w:rPr>
          <w:sz w:val="20"/>
        </w:rPr>
      </w:pPr>
      <w:r w:rsidRPr="00A428C3">
        <w:t xml:space="preserve">Full Text: </w:t>
      </w:r>
      <w:hyperlink r:id="rId2132" w:history="1">
        <w:r w:rsidRPr="00597190">
          <w:rPr>
            <w:rStyle w:val="a5"/>
          </w:rPr>
          <w:t>2004\Ira J Env Hea Sci Eng1, 58.pdf</w:t>
        </w:r>
      </w:hyperlink>
    </w:p>
    <w:p w:rsidR="00597190" w:rsidRDefault="00597190" w:rsidP="00597190">
      <w:pPr>
        <w:pStyle w:val="a0"/>
        <w:rPr>
          <w:kern w:val="0"/>
        </w:rPr>
      </w:pPr>
      <w:r>
        <w:rPr>
          <w:kern w:val="0"/>
        </w:rPr>
        <w:t>Abstract: Heavy metals are present in different types of industrial effluents, being responsible for environmental pollution. Biosorption is a promising alternative method to treat industrial effluents, mainly because of its low cost</w:t>
      </w:r>
      <w:r w:rsidR="00F81221">
        <w:rPr>
          <w:kern w:val="0"/>
        </w:rPr>
        <w:t xml:space="preserve"> and </w:t>
      </w:r>
      <w:r>
        <w:rPr>
          <w:kern w:val="0"/>
        </w:rPr>
        <w:t>high metal binding capacity. In this work application of Langmuir</w:t>
      </w:r>
      <w:r w:rsidR="00F81221">
        <w:rPr>
          <w:kern w:val="0"/>
        </w:rPr>
        <w:t xml:space="preserve"> and </w:t>
      </w:r>
      <w:r>
        <w:rPr>
          <w:kern w:val="0"/>
        </w:rPr>
        <w:t>Freundlich sorption models for chromium, copper</w:t>
      </w:r>
      <w:r w:rsidR="00F81221">
        <w:rPr>
          <w:kern w:val="0"/>
        </w:rPr>
        <w:t xml:space="preserve"> and </w:t>
      </w:r>
      <w:r>
        <w:rPr>
          <w:kern w:val="0"/>
        </w:rPr>
        <w:t>nickel biosorption process by Sargassum seaweed biomass was studied in batch system. The work considered the effects of some important parameters such as retention time</w:t>
      </w:r>
      <w:r w:rsidR="00F81221">
        <w:rPr>
          <w:kern w:val="0"/>
        </w:rPr>
        <w:t xml:space="preserve"> and </w:t>
      </w:r>
      <w:r>
        <w:rPr>
          <w:kern w:val="0"/>
        </w:rPr>
        <w:t>initial concentration on remained concentration of heavy metals. Dried Sargassum was contacted with metal solution on different retention times (10, 20, 30, 45</w:t>
      </w:r>
      <w:r w:rsidR="00F81221">
        <w:rPr>
          <w:kern w:val="0"/>
        </w:rPr>
        <w:t xml:space="preserve"> and </w:t>
      </w:r>
      <w:r>
        <w:rPr>
          <w:kern w:val="0"/>
        </w:rPr>
        <w:t>60 min)</w:t>
      </w:r>
      <w:r w:rsidR="00F81221">
        <w:rPr>
          <w:kern w:val="0"/>
        </w:rPr>
        <w:t xml:space="preserve"> and </w:t>
      </w:r>
      <w:r>
        <w:rPr>
          <w:kern w:val="0"/>
        </w:rPr>
        <w:t>variation of initial concentration (10, 25, 50, 75 and100 mg/l) at constant pH</w:t>
      </w:r>
      <w:r w:rsidR="00F81221">
        <w:rPr>
          <w:kern w:val="0"/>
        </w:rPr>
        <w:t xml:space="preserve"> and </w:t>
      </w:r>
      <w:r>
        <w:rPr>
          <w:kern w:val="0"/>
        </w:rPr>
        <w:t>temperature. The obtained charts were linear for Langmuir</w:t>
      </w:r>
      <w:r w:rsidR="00F81221">
        <w:rPr>
          <w:kern w:val="0"/>
        </w:rPr>
        <w:t xml:space="preserve"> and </w:t>
      </w:r>
      <w:r>
        <w:rPr>
          <w:kern w:val="0"/>
        </w:rPr>
        <w:t>Freundlich equilibriums</w:t>
      </w:r>
      <w:r w:rsidR="00F81221">
        <w:rPr>
          <w:kern w:val="0"/>
        </w:rPr>
        <w:t xml:space="preserve"> and </w:t>
      </w:r>
      <w:r>
        <w:rPr>
          <w:kern w:val="0"/>
        </w:rPr>
        <w:t>their slopes</w:t>
      </w:r>
      <w:r w:rsidR="00F81221">
        <w:rPr>
          <w:kern w:val="0"/>
        </w:rPr>
        <w:t xml:space="preserve"> and </w:t>
      </w:r>
      <w:r>
        <w:rPr>
          <w:kern w:val="0"/>
        </w:rPr>
        <w:t>y-intercepts were calculated (Constants a, b, n, k). Results showed that the constants were in a same range; therefore Langmuir</w:t>
      </w:r>
      <w:r w:rsidR="00F81221">
        <w:rPr>
          <w:kern w:val="0"/>
        </w:rPr>
        <w:t xml:space="preserve"> and </w:t>
      </w:r>
      <w:r>
        <w:rPr>
          <w:kern w:val="0"/>
        </w:rPr>
        <w:t>Freundlich sorption models were in good agreement with experimental results.</w:t>
      </w:r>
    </w:p>
    <w:p w:rsidR="00597190" w:rsidRDefault="00597190" w:rsidP="00597190">
      <w:pPr>
        <w:pStyle w:val="a0"/>
        <w:rPr>
          <w:kern w:val="0"/>
        </w:rPr>
      </w:pPr>
      <w:r>
        <w:rPr>
          <w:kern w:val="0"/>
        </w:rPr>
        <w:t>Keywords: Adsorption, Batch System, Biomass, Biosorption, Capacity, Chromium, Copper, Cu, Freundlich, Heavy Metals, Langmuir, Metal, Metals, Models, Nickel, Ph, Sargassum, Sorption, Sorption Models, System, Temperature</w:t>
      </w:r>
    </w:p>
    <w:p w:rsidR="00B95188" w:rsidRPr="00A428C3" w:rsidRDefault="00B95188" w:rsidP="00B95188">
      <w:pPr>
        <w:pStyle w:val="a0"/>
      </w:pPr>
      <w:r w:rsidRPr="00A428C3">
        <w:t xml:space="preserve">? </w:t>
      </w:r>
      <w:r w:rsidRPr="00A428C3">
        <w:rPr>
          <w:szCs w:val="23"/>
        </w:rPr>
        <w:t>Izanloo, H.</w:t>
      </w:r>
      <w:r w:rsidR="00F81221">
        <w:rPr>
          <w:szCs w:val="23"/>
        </w:rPr>
        <w:t xml:space="preserve"> and </w:t>
      </w:r>
      <w:r w:rsidRPr="00A428C3">
        <w:rPr>
          <w:szCs w:val="23"/>
        </w:rPr>
        <w:t>Nasseri, S.</w:t>
      </w:r>
      <w:r w:rsidRPr="00A428C3">
        <w:t xml:space="preserve"> (2005), </w:t>
      </w:r>
      <w:r w:rsidRPr="00A428C3">
        <w:rPr>
          <w:szCs w:val="35"/>
        </w:rPr>
        <w:t>Cadmium removal from aqueous solutions by ground pine cone</w:t>
      </w:r>
      <w:r w:rsidRPr="00A428C3">
        <w:t xml:space="preserve">. </w:t>
      </w:r>
      <w:r w:rsidRPr="00A428C3">
        <w:rPr>
          <w:i/>
        </w:rPr>
        <w:t>Iranian Journal of Environmental Health Science &amp; Engineering</w:t>
      </w:r>
      <w:r w:rsidRPr="00A428C3">
        <w:t xml:space="preserve">, </w:t>
      </w:r>
      <w:r w:rsidRPr="00A428C3">
        <w:rPr>
          <w:b/>
        </w:rPr>
        <w:t>2</w:t>
      </w:r>
      <w:r w:rsidRPr="00A428C3">
        <w:t xml:space="preserve"> (1), 33-42.</w:t>
      </w:r>
    </w:p>
    <w:p w:rsidR="00B95188" w:rsidRPr="00A428C3" w:rsidRDefault="00B95188" w:rsidP="00B95188">
      <w:pPr>
        <w:pStyle w:val="a0"/>
        <w:rPr>
          <w:sz w:val="20"/>
        </w:rPr>
      </w:pPr>
      <w:r w:rsidRPr="00A428C3">
        <w:lastRenderedPageBreak/>
        <w:t xml:space="preserve">Full </w:t>
      </w:r>
      <w:smartTag w:uri="urn:schemas-microsoft-com:office:smarttags" w:element="State">
        <w:r w:rsidRPr="00A428C3">
          <w:t>Tex</w:t>
        </w:r>
      </w:smartTag>
      <w:r w:rsidRPr="00A428C3">
        <w:t xml:space="preserve">t: </w:t>
      </w:r>
      <w:hyperlink r:id="rId2133" w:history="1">
        <w:r w:rsidRPr="00A428C3">
          <w:rPr>
            <w:rStyle w:val="a5"/>
          </w:rPr>
          <w:t>2005\Ira J Env Hea Sci Eng2, 33.pdf</w:t>
        </w:r>
      </w:hyperlink>
    </w:p>
    <w:p w:rsidR="00B95188" w:rsidRPr="00A428C3" w:rsidRDefault="00B95188" w:rsidP="00B95188">
      <w:pPr>
        <w:pStyle w:val="a0"/>
        <w:rPr>
          <w:sz w:val="20"/>
        </w:rPr>
      </w:pPr>
      <w:r w:rsidRPr="00A428C3">
        <w:t>Abstract: A study on the removal of cadmium ions from aqueous solutions by pine cone was conducted in batch conditions. Kinetic data</w:t>
      </w:r>
      <w:r w:rsidR="00F81221">
        <w:t xml:space="preserve"> and </w:t>
      </w:r>
      <w:r w:rsidRPr="00A428C3">
        <w:t>equilibrium removal isotherms were obtained. The influence of different experimental parameters such as contact time, initial concentration of cadmium, pine cone mass</w:t>
      </w:r>
      <w:r w:rsidR="00F81221">
        <w:t xml:space="preserve"> and </w:t>
      </w:r>
      <w:r w:rsidRPr="00A428C3">
        <w:t>particle size,</w:t>
      </w:r>
      <w:r w:rsidR="00F81221">
        <w:t xml:space="preserve"> and </w:t>
      </w:r>
      <w:r w:rsidRPr="00A428C3">
        <w:t>temperature on the kinetics of cadmium removal was studied. Results showed that the main parameters that played an important role in removal phenomenon were initial cadmium concentration, particle size</w:t>
      </w:r>
      <w:r w:rsidR="00F81221">
        <w:t xml:space="preserve"> and </w:t>
      </w:r>
      <w:r w:rsidRPr="00A428C3">
        <w:t>pine cone mass. The necessary time to reach equilibrium was between 4</w:t>
      </w:r>
      <w:r w:rsidR="00F81221">
        <w:t xml:space="preserve"> and </w:t>
      </w:r>
      <w:r w:rsidRPr="00A428C3">
        <w:t>7 hours based on the initial concentration of cadmium. The capacity of cadmium adsorption at equilibrium increased with the decrease of pine cone particle size. The capacity of cadmium adsorption at equilibrium by pine cone increased with the quantity of pine cone introduced (1–</w:t>
      </w:r>
      <w:smartTag w:uri="urn:schemas-microsoft-com:office:smarttags" w:element="chmetcnv">
        <w:smartTagPr>
          <w:attr w:name="TCSC" w:val="0"/>
          <w:attr w:name="NumberType" w:val="1"/>
          <w:attr w:name="Negative" w:val="False"/>
          <w:attr w:name="HasSpace" w:val="True"/>
          <w:attr w:name="SourceValue" w:val="4"/>
          <w:attr w:name="UnitName" w:val="g"/>
        </w:smartTagPr>
        <w:r w:rsidRPr="00A428C3">
          <w:t>4 g</w:t>
        </w:r>
      </w:smartTag>
      <w:r w:rsidRPr="00A428C3">
        <w:t>/L). Temperature in the range of 20</w:t>
      </w:r>
      <w:smartTag w:uri="urn:schemas-microsoft-com:office:smarttags" w:element="chmetcnv">
        <w:smartTagPr>
          <w:attr w:name="TCSC" w:val="0"/>
          <w:attr w:name="NumberType" w:val="1"/>
          <w:attr w:name="Negative" w:val="True"/>
          <w:attr w:name="HasSpace" w:val="False"/>
          <w:attr w:name="SourceValue" w:val="30"/>
          <w:attr w:name="UnitName" w:val="ﾰC"/>
        </w:smartTagPr>
        <w:r w:rsidRPr="00A428C3">
          <w:t>-30°C</w:t>
        </w:r>
      </w:smartTag>
      <w:r w:rsidRPr="00A428C3">
        <w:t xml:space="preserve"> showed a restricted effect on the removal kinetics (13.56 mg/g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A428C3">
          <w:t>20°C</w:t>
        </w:r>
      </w:smartTag>
      <w:r w:rsidR="00F81221">
        <w:t xml:space="preserve"> and </w:t>
      </w:r>
      <w:r w:rsidRPr="00A428C3">
        <w:t xml:space="preserve">a low capacity of adsorption about 11.48 mg/g at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A428C3">
          <w:t>30°C</w:t>
        </w:r>
      </w:smartTag>
      <w:r w:rsidRPr="00A428C3">
        <w:t>). The process followed pseudo second-order kinetics. The cadmium uptake of pine cone was quantitatively evaluated using adsorption isotherms. Results indicated that the Langmuir model gave a better fit to the experimental data in comparison with the Freundlich equation.</w:t>
      </w:r>
    </w:p>
    <w:p w:rsidR="00B95188" w:rsidRPr="00A428C3" w:rsidRDefault="00B95188" w:rsidP="00B95188">
      <w:pPr>
        <w:pStyle w:val="a0"/>
      </w:pPr>
      <w:r w:rsidRPr="00A428C3">
        <w:t>Keywords: Cadmium Removal, Kinetic, Equilibrium, Pine Cone, Isotherm Models, Adsorption</w:t>
      </w:r>
    </w:p>
    <w:p w:rsidR="00B95188" w:rsidRPr="00A428C3" w:rsidRDefault="00B95188" w:rsidP="00B95188">
      <w:pPr>
        <w:pStyle w:val="a0"/>
      </w:pPr>
      <w:r w:rsidRPr="00A428C3">
        <w:t>? Nabizadeh, R., Naddafi, K., Saeedi, R., Mahvi, A.H., Vaezi, F., Yaghmaeian, K.</w:t>
      </w:r>
      <w:r w:rsidR="00F81221">
        <w:t xml:space="preserve"> and </w:t>
      </w:r>
      <w:r w:rsidRPr="00A428C3">
        <w:t>Nazmara, S. (2005), Kinetic</w:t>
      </w:r>
      <w:r w:rsidR="00F81221">
        <w:t xml:space="preserve"> and </w:t>
      </w:r>
      <w:r w:rsidRPr="00A428C3">
        <w:t>equilibrium studies of lead</w:t>
      </w:r>
      <w:r w:rsidR="00F81221">
        <w:t xml:space="preserve"> and </w:t>
      </w:r>
      <w:r w:rsidRPr="00A428C3">
        <w:t xml:space="preserve">cadmium biosorption from aqueous solutions by sargassum spp. biomass. </w:t>
      </w:r>
      <w:r w:rsidRPr="00A428C3">
        <w:rPr>
          <w:i/>
        </w:rPr>
        <w:t>Iranian Journal of Environmental Health Science &amp; Engineering</w:t>
      </w:r>
      <w:r w:rsidRPr="00A428C3">
        <w:t xml:space="preserve">, </w:t>
      </w:r>
      <w:r w:rsidRPr="00A428C3">
        <w:rPr>
          <w:b/>
        </w:rPr>
        <w:t>2</w:t>
      </w:r>
      <w:r w:rsidRPr="00A428C3">
        <w:t xml:space="preserve"> (3), 159-168.</w:t>
      </w:r>
    </w:p>
    <w:p w:rsidR="00B95188" w:rsidRPr="00A428C3" w:rsidRDefault="00B95188" w:rsidP="00B95188">
      <w:pPr>
        <w:pStyle w:val="a0"/>
      </w:pPr>
      <w:r w:rsidRPr="00A428C3">
        <w:t xml:space="preserve">Full </w:t>
      </w:r>
      <w:smartTag w:uri="urn:schemas-microsoft-com:office:smarttags" w:element="State">
        <w:r w:rsidRPr="00A428C3">
          <w:t>Tex</w:t>
        </w:r>
      </w:smartTag>
      <w:r w:rsidRPr="00A428C3">
        <w:t xml:space="preserve">t: </w:t>
      </w:r>
      <w:hyperlink r:id="rId2134" w:history="1">
        <w:r w:rsidRPr="00A428C3">
          <w:rPr>
            <w:rStyle w:val="a5"/>
          </w:rPr>
          <w:t>2005\Ira J Env Hea Sci Eng2, 159.pdf</w:t>
        </w:r>
      </w:hyperlink>
    </w:p>
    <w:p w:rsidR="00B95188" w:rsidRPr="00A428C3" w:rsidRDefault="00B95188" w:rsidP="00B95188">
      <w:pPr>
        <w:pStyle w:val="a0"/>
      </w:pPr>
      <w:r w:rsidRPr="00A428C3">
        <w:t>Abstract: Contamination of the aqueous environment by heavy metals is a worldwide environmental problem. Biosorption of lead(II)</w:t>
      </w:r>
      <w:r w:rsidR="00F81221">
        <w:t xml:space="preserve"> and </w:t>
      </w:r>
      <w:r w:rsidRPr="00A428C3">
        <w:t xml:space="preserve">cadmium(II) from aqueous solutions by brown algae </w:t>
      </w:r>
      <w:r w:rsidRPr="00A428C3">
        <w:rPr>
          <w:i/>
          <w:iCs/>
        </w:rPr>
        <w:t>Sargassum spp</w:t>
      </w:r>
      <w:r w:rsidRPr="00A428C3">
        <w:t>. biomass was studied in a batch system. The heavy metals uptake was found to be rapid</w:t>
      </w:r>
      <w:r w:rsidR="00F81221">
        <w:t xml:space="preserve"> and </w:t>
      </w:r>
      <w:r w:rsidRPr="00A428C3">
        <w:t>reached to 88-96% of equilibrium capacity of biosorption in 15min. The pseudo second-order</w:t>
      </w:r>
      <w:r w:rsidR="00F81221">
        <w:t xml:space="preserve"> and </w:t>
      </w:r>
      <w:r w:rsidRPr="00A428C3">
        <w:t>saturation rate equations were found in the best fitness with the kinetic data (</w:t>
      </w:r>
      <w:r w:rsidRPr="00A428C3">
        <w:rPr>
          <w:i/>
          <w:iCs/>
        </w:rPr>
        <w:t>R</w:t>
      </w:r>
      <w:r w:rsidRPr="00A428C3">
        <w:rPr>
          <w:i/>
          <w:iCs/>
          <w:vertAlign w:val="superscript"/>
        </w:rPr>
        <w:t>2</w:t>
      </w:r>
      <w:r w:rsidRPr="00A428C3">
        <w:t xml:space="preserve"> &gt; 0.99). The data obtained from experiments of single-component biosorption isotherm were analyzed using the Freundlich, Langmuir, Freundlich-Langmuir</w:t>
      </w:r>
      <w:r w:rsidR="00F81221">
        <w:t xml:space="preserve"> and </w:t>
      </w:r>
      <w:r w:rsidRPr="00A428C3">
        <w:t>Redlich-Peterson isotherm models. The Redlich-Peterson equation described the biosorption isotherm of Pb</w:t>
      </w:r>
      <w:r w:rsidRPr="00A428C3">
        <w:rPr>
          <w:vertAlign w:val="superscript"/>
        </w:rPr>
        <w:t>2+</w:t>
      </w:r>
      <w:r w:rsidR="00F81221">
        <w:rPr>
          <w:vertAlign w:val="superscript"/>
        </w:rPr>
        <w:t xml:space="preserve"> and </w:t>
      </w:r>
      <w:r w:rsidRPr="00A428C3">
        <w:t>Cd</w:t>
      </w:r>
      <w:r w:rsidRPr="00A428C3">
        <w:rPr>
          <w:vertAlign w:val="superscript"/>
        </w:rPr>
        <w:t xml:space="preserve">2+ </w:t>
      </w:r>
      <w:r w:rsidRPr="00A428C3">
        <w:t>with high correlation coefficient (</w:t>
      </w:r>
      <w:r w:rsidRPr="00A428C3">
        <w:rPr>
          <w:i/>
          <w:iCs/>
        </w:rPr>
        <w:t>R</w:t>
      </w:r>
      <w:r w:rsidRPr="00A428C3">
        <w:rPr>
          <w:i/>
          <w:iCs/>
          <w:vertAlign w:val="superscript"/>
        </w:rPr>
        <w:t>2</w:t>
      </w:r>
      <w:r w:rsidRPr="00A428C3">
        <w:t xml:space="preserve"> &gt; 0.99)</w:t>
      </w:r>
      <w:r w:rsidR="00F81221">
        <w:t xml:space="preserve"> and </w:t>
      </w:r>
      <w:r w:rsidRPr="00A428C3">
        <w:t>better than the other equations. The effect of Na</w:t>
      </w:r>
      <w:r w:rsidRPr="00A428C3">
        <w:rPr>
          <w:vertAlign w:val="superscript"/>
        </w:rPr>
        <w:t>+</w:t>
      </w:r>
      <w:r w:rsidRPr="00A428C3">
        <w:t>, K</w:t>
      </w:r>
      <w:r w:rsidRPr="00A428C3">
        <w:rPr>
          <w:vertAlign w:val="superscript"/>
        </w:rPr>
        <w:t>+</w:t>
      </w:r>
      <w:r w:rsidRPr="00A428C3">
        <w:t>, Mg</w:t>
      </w:r>
      <w:r w:rsidRPr="00A428C3">
        <w:rPr>
          <w:vertAlign w:val="superscript"/>
        </w:rPr>
        <w:t>2+</w:t>
      </w:r>
      <w:r w:rsidR="00F81221">
        <w:t xml:space="preserve"> and </w:t>
      </w:r>
      <w:r w:rsidRPr="00A428C3">
        <w:t>Ca</w:t>
      </w:r>
      <w:r w:rsidRPr="00A428C3">
        <w:rPr>
          <w:vertAlign w:val="superscript"/>
        </w:rPr>
        <w:t>2+</w:t>
      </w:r>
      <w:r w:rsidRPr="00A428C3">
        <w:t xml:space="preserve"> on the biosorption of Pb</w:t>
      </w:r>
      <w:r w:rsidRPr="00A428C3">
        <w:rPr>
          <w:vertAlign w:val="superscript"/>
        </w:rPr>
        <w:t>2+</w:t>
      </w:r>
      <w:r w:rsidRPr="00A428C3">
        <w:t xml:space="preserve"> was not significant, but the metal ions affected the biosorption of Cd</w:t>
      </w:r>
      <w:r w:rsidRPr="00A428C3">
        <w:rPr>
          <w:vertAlign w:val="superscript"/>
        </w:rPr>
        <w:t xml:space="preserve">2+ </w:t>
      </w:r>
      <w:r w:rsidRPr="00A428C3">
        <w:t>considerably. According to the Langmuir model, the maximum uptake capacities (</w:t>
      </w:r>
      <w:r w:rsidRPr="00A428C3">
        <w:rPr>
          <w:i/>
          <w:iCs/>
        </w:rPr>
        <w:t>qm</w:t>
      </w:r>
      <w:r w:rsidRPr="00A428C3">
        <w:t xml:space="preserve">) of </w:t>
      </w:r>
      <w:r w:rsidRPr="00A428C3">
        <w:rPr>
          <w:i/>
          <w:iCs/>
        </w:rPr>
        <w:t>Sargassum</w:t>
      </w:r>
      <w:r w:rsidRPr="00A428C3">
        <w:t xml:space="preserve"> spp. for Pb</w:t>
      </w:r>
      <w:r w:rsidRPr="00A428C3">
        <w:rPr>
          <w:vertAlign w:val="superscript"/>
        </w:rPr>
        <w:t>2+</w:t>
      </w:r>
      <w:r w:rsidR="00F81221">
        <w:rPr>
          <w:vertAlign w:val="superscript"/>
        </w:rPr>
        <w:t xml:space="preserve"> and </w:t>
      </w:r>
      <w:r w:rsidRPr="00A428C3">
        <w:t>Cd</w:t>
      </w:r>
      <w:r w:rsidRPr="00A428C3">
        <w:rPr>
          <w:vertAlign w:val="superscript"/>
        </w:rPr>
        <w:t>2+</w:t>
      </w:r>
      <w:r w:rsidRPr="00A428C3">
        <w:t xml:space="preserve"> were obtained as 1.70</w:t>
      </w:r>
      <w:r w:rsidR="00F81221">
        <w:t xml:space="preserve"> and </w:t>
      </w:r>
      <w:r w:rsidRPr="00A428C3">
        <w:t xml:space="preserve">1.02 </w:t>
      </w:r>
      <w:r w:rsidRPr="00A428C3">
        <w:lastRenderedPageBreak/>
        <w:t xml:space="preserve">mmol/g, respectively. Although the </w:t>
      </w:r>
      <w:r w:rsidRPr="00A428C3">
        <w:rPr>
          <w:i/>
          <w:iCs/>
        </w:rPr>
        <w:t xml:space="preserve">Sargassum spp. </w:t>
      </w:r>
      <w:r w:rsidRPr="00A428C3">
        <w:t>used in this study can be classified as an efficient biosorbent.</w:t>
      </w:r>
    </w:p>
    <w:p w:rsidR="00800D11" w:rsidRDefault="00800D11" w:rsidP="00800D11">
      <w:pPr>
        <w:pStyle w:val="a0"/>
        <w:rPr>
          <w:kern w:val="0"/>
        </w:rPr>
      </w:pPr>
      <w:r>
        <w:rPr>
          <w:kern w:val="0"/>
        </w:rPr>
        <w:t>Keywords: Aqueous, Batch System, Biomass, Biosorbent, Biosorption, Brown Algae, Cadmium, Capacity, Contamination, Equilibrium, Freundlich, Heavy Metals, Isotherm, Kinetic, Langmuir, Langmuir Model, Lead, Metal, Metal Ions, Metals, Models, Pb</w:t>
      </w:r>
      <w:r w:rsidRPr="003D64AE">
        <w:rPr>
          <w:kern w:val="0"/>
          <w:vertAlign w:val="superscript"/>
        </w:rPr>
        <w:t>2+</w:t>
      </w:r>
      <w:r>
        <w:rPr>
          <w:kern w:val="0"/>
        </w:rPr>
        <w:t>, Pseudo Second Order, Pseudo Second-Order, Pseudo-Second-Order, Sargassum, Second Order, Solutions, System</w:t>
      </w:r>
    </w:p>
    <w:p w:rsidR="00800D11" w:rsidRDefault="00800D11" w:rsidP="00800D11">
      <w:pPr>
        <w:pStyle w:val="a0"/>
        <w:rPr>
          <w:kern w:val="0"/>
        </w:rPr>
      </w:pPr>
      <w:r>
        <w:rPr>
          <w:rFonts w:hint="eastAsia"/>
          <w:kern w:val="0"/>
        </w:rPr>
        <w:t xml:space="preserve">? </w:t>
      </w:r>
      <w:r>
        <w:rPr>
          <w:kern w:val="0"/>
        </w:rPr>
        <w:t>Dehghani, M., Nasseri, S., Amin, S., Naddafi, K., Taghavi, M., Yunosian, M.</w:t>
      </w:r>
      <w:r w:rsidR="00F81221">
        <w:rPr>
          <w:kern w:val="0"/>
        </w:rPr>
        <w:t xml:space="preserve"> and </w:t>
      </w:r>
      <w:r>
        <w:rPr>
          <w:kern w:val="0"/>
        </w:rPr>
        <w:t xml:space="preserve">Maleki, N. (2005), Atrazine adsorption desorption behavior in Darehasaluie Kavar corn field soil in Fars Province of Iran. </w:t>
      </w:r>
      <w:r>
        <w:rPr>
          <w:i/>
          <w:iCs/>
          <w:kern w:val="0"/>
        </w:rPr>
        <w:t>Iranian Journal of Environmental Health Science &amp; Engineering</w:t>
      </w:r>
      <w:r>
        <w:rPr>
          <w:kern w:val="0"/>
        </w:rPr>
        <w:t xml:space="preserve">, </w:t>
      </w:r>
      <w:r>
        <w:rPr>
          <w:b/>
          <w:bCs/>
          <w:kern w:val="0"/>
        </w:rPr>
        <w:t>2</w:t>
      </w:r>
      <w:r>
        <w:rPr>
          <w:kern w:val="0"/>
        </w:rPr>
        <w:t xml:space="preserve"> (4), 221-228.</w:t>
      </w:r>
    </w:p>
    <w:p w:rsidR="00800D11" w:rsidRPr="00A428C3" w:rsidRDefault="00800D11" w:rsidP="00800D11">
      <w:pPr>
        <w:pStyle w:val="a0"/>
        <w:rPr>
          <w:sz w:val="20"/>
        </w:rPr>
      </w:pPr>
      <w:r w:rsidRPr="00A428C3">
        <w:t xml:space="preserve">Full Text: </w:t>
      </w:r>
      <w:hyperlink r:id="rId2135" w:history="1">
        <w:r w:rsidRPr="00800D11">
          <w:rPr>
            <w:rStyle w:val="a5"/>
          </w:rPr>
          <w:t>2005\Ira J Env Hea Sci Eng2, 221.pdf</w:t>
        </w:r>
      </w:hyperlink>
    </w:p>
    <w:p w:rsidR="00800D11" w:rsidRDefault="00800D11" w:rsidP="00800D11">
      <w:pPr>
        <w:pStyle w:val="a0"/>
        <w:rPr>
          <w:kern w:val="0"/>
        </w:rPr>
      </w:pPr>
      <w:r>
        <w:rPr>
          <w:kern w:val="0"/>
        </w:rPr>
        <w:t>Abstract: Adsorption desorption behaviors of widely applied atrazine soil were studied, employing a batch technique as a case study in Darehasaluie Kavar corn field in Fars Province in 2005. Samples were collected into 0 to 20 cm soil depth, where was cultivated under a crop rotation (corn-wheat) during the past 10 years. Sorption kinetics exhibited two phenomena: an immediate rapid sorption (1.31 g/g soil after 12 hours) followed by a slow sorption process (1.37 g/g soil after 24 hours). Desorption behavior of atrazine was similar to its adsorption, but at a very slower rate. Atrazine desorption efficiencies were much less effective</w:t>
      </w:r>
      <w:r w:rsidR="00F81221">
        <w:rPr>
          <w:kern w:val="0"/>
        </w:rPr>
        <w:t xml:space="preserve"> and </w:t>
      </w:r>
      <w:r>
        <w:rPr>
          <w:kern w:val="0"/>
        </w:rPr>
        <w:t>incomplete even after a long equilibration time (only 9.16% after 96 hours). The adsorption desorption rate for most of the time was positively related to the amount of applied atrazine</w:t>
      </w:r>
      <w:r w:rsidR="00F81221">
        <w:rPr>
          <w:kern w:val="0"/>
        </w:rPr>
        <w:t xml:space="preserve"> and </w:t>
      </w:r>
      <w:r>
        <w:rPr>
          <w:kern w:val="0"/>
        </w:rPr>
        <w:t>the time required for equilibration (P&lt;0.01). Desorption data exhibited hysteresis phenomena. Atrazine adsorption data described well according to Freundlich (r2=0.95), Langmuir (r2=0.82)</w:t>
      </w:r>
      <w:r w:rsidR="00F81221">
        <w:rPr>
          <w:kern w:val="0"/>
        </w:rPr>
        <w:t xml:space="preserve"> and </w:t>
      </w:r>
      <w:r>
        <w:rPr>
          <w:kern w:val="0"/>
        </w:rPr>
        <w:t>Temkin (r2=0.84) isotherms. However, the fit to Freundlich adsorption model in a non linear form (1/n &lt;1) was closer than the others. Desorption isotherm could be well described by the Temkin (r2=0.96)</w:t>
      </w:r>
      <w:r w:rsidR="00F81221">
        <w:rPr>
          <w:kern w:val="0"/>
        </w:rPr>
        <w:t xml:space="preserve"> and </w:t>
      </w:r>
      <w:r>
        <w:rPr>
          <w:kern w:val="0"/>
        </w:rPr>
        <w:t>Freundlich (r2=0.92) isotherms, but the fit to Temkin model was closer than that of Freundlich.</w:t>
      </w:r>
    </w:p>
    <w:p w:rsidR="00800D11" w:rsidRDefault="00800D11" w:rsidP="00800D11">
      <w:pPr>
        <w:pStyle w:val="a0"/>
        <w:rPr>
          <w:kern w:val="0"/>
        </w:rPr>
      </w:pPr>
      <w:r>
        <w:rPr>
          <w:kern w:val="0"/>
        </w:rPr>
        <w:t>Keywords: Adsorption, Atrazine, Desorption, Freundlich, Iran, Isotherm, Isotherms, Kinetics, Langmuir, Sorption, Sorption Kinetics</w:t>
      </w:r>
    </w:p>
    <w:p w:rsidR="00E53AF5" w:rsidRDefault="00E53AF5" w:rsidP="00E53AF5">
      <w:pPr>
        <w:pStyle w:val="a0"/>
        <w:rPr>
          <w:kern w:val="0"/>
        </w:rPr>
      </w:pPr>
      <w:r>
        <w:rPr>
          <w:rFonts w:hint="eastAsia"/>
          <w:kern w:val="0"/>
        </w:rPr>
        <w:t xml:space="preserve">? </w:t>
      </w:r>
      <w:r>
        <w:rPr>
          <w:kern w:val="0"/>
        </w:rPr>
        <w:t>Gholami, F., Mahvi, A., Omrani, G., Nazmara, S.</w:t>
      </w:r>
      <w:r w:rsidR="00F81221">
        <w:rPr>
          <w:kern w:val="0"/>
        </w:rPr>
        <w:t xml:space="preserve"> and </w:t>
      </w:r>
      <w:r>
        <w:rPr>
          <w:kern w:val="0"/>
        </w:rPr>
        <w:t xml:space="preserve">Ghasri, A. (2006), Removal of chromium(VI) from aqueous solution by </w:t>
      </w:r>
      <w:r w:rsidRPr="00F74E44">
        <w:rPr>
          <w:i/>
          <w:kern w:val="0"/>
        </w:rPr>
        <w:t>Ulmus</w:t>
      </w:r>
      <w:r>
        <w:rPr>
          <w:kern w:val="0"/>
        </w:rPr>
        <w:t xml:space="preserve"> leaves. </w:t>
      </w:r>
      <w:r>
        <w:rPr>
          <w:i/>
          <w:iCs/>
          <w:kern w:val="0"/>
        </w:rPr>
        <w:t>Iranian Journal of Environmental Health Science &amp; Engineering</w:t>
      </w:r>
      <w:r>
        <w:rPr>
          <w:kern w:val="0"/>
        </w:rPr>
        <w:t xml:space="preserve">, </w:t>
      </w:r>
      <w:r>
        <w:rPr>
          <w:b/>
          <w:bCs/>
          <w:kern w:val="0"/>
        </w:rPr>
        <w:t>3</w:t>
      </w:r>
      <w:r>
        <w:rPr>
          <w:kern w:val="0"/>
        </w:rPr>
        <w:t xml:space="preserve"> (2), 97-102.</w:t>
      </w:r>
    </w:p>
    <w:p w:rsidR="00E53AF5" w:rsidRPr="00A428C3" w:rsidRDefault="00E53AF5" w:rsidP="00E53AF5">
      <w:pPr>
        <w:pStyle w:val="a0"/>
        <w:rPr>
          <w:sz w:val="20"/>
        </w:rPr>
      </w:pPr>
      <w:r w:rsidRPr="00A428C3">
        <w:t xml:space="preserve">Full Text: </w:t>
      </w:r>
      <w:hyperlink r:id="rId2136" w:history="1">
        <w:r w:rsidRPr="00E53AF5">
          <w:rPr>
            <w:rStyle w:val="a5"/>
          </w:rPr>
          <w:t>2006\Ira J Env Hea Sci Eng3, 97.pdf</w:t>
        </w:r>
      </w:hyperlink>
    </w:p>
    <w:p w:rsidR="00E53AF5" w:rsidRDefault="00E53AF5" w:rsidP="00E53AF5">
      <w:pPr>
        <w:pStyle w:val="a0"/>
        <w:rPr>
          <w:kern w:val="0"/>
        </w:rPr>
      </w:pPr>
      <w:r>
        <w:rPr>
          <w:kern w:val="0"/>
        </w:rPr>
        <w:t>Abstract: The Cr(VI) adsorption characteristics of Ulmus leaves (UL)</w:t>
      </w:r>
      <w:r w:rsidR="00F81221">
        <w:rPr>
          <w:kern w:val="0"/>
        </w:rPr>
        <w:t xml:space="preserve"> and </w:t>
      </w:r>
      <w:r>
        <w:rPr>
          <w:kern w:val="0"/>
        </w:rPr>
        <w:t>their ash were examined as a function of contact time, initial pH,</w:t>
      </w:r>
      <w:r w:rsidR="00F81221">
        <w:rPr>
          <w:kern w:val="0"/>
        </w:rPr>
        <w:t xml:space="preserve"> and </w:t>
      </w:r>
      <w:r>
        <w:rPr>
          <w:kern w:val="0"/>
        </w:rPr>
        <w:t>initial metal ion concentration. Batch adsorption experiments were performed. The effects of Ca</w:t>
      </w:r>
      <w:r w:rsidRPr="00C74288">
        <w:rPr>
          <w:kern w:val="0"/>
          <w:vertAlign w:val="superscript"/>
        </w:rPr>
        <w:t>2+</w:t>
      </w:r>
      <w:r>
        <w:rPr>
          <w:kern w:val="0"/>
        </w:rPr>
        <w:t>, Mg</w:t>
      </w:r>
      <w:r w:rsidRPr="00C74288">
        <w:rPr>
          <w:kern w:val="0"/>
          <w:vertAlign w:val="superscript"/>
        </w:rPr>
        <w:t>2+</w:t>
      </w:r>
      <w:r>
        <w:rPr>
          <w:kern w:val="0"/>
        </w:rPr>
        <w:t>, Na</w:t>
      </w:r>
      <w:r w:rsidRPr="00C74288">
        <w:rPr>
          <w:kern w:val="0"/>
          <w:vertAlign w:val="superscript"/>
        </w:rPr>
        <w:t>+</w:t>
      </w:r>
      <w:r w:rsidR="00F81221">
        <w:rPr>
          <w:kern w:val="0"/>
        </w:rPr>
        <w:t xml:space="preserve"> and </w:t>
      </w:r>
      <w:r>
        <w:rPr>
          <w:kern w:val="0"/>
        </w:rPr>
        <w:t>K</w:t>
      </w:r>
      <w:r w:rsidRPr="00C74288">
        <w:rPr>
          <w:kern w:val="0"/>
          <w:vertAlign w:val="superscript"/>
        </w:rPr>
        <w:t>+</w:t>
      </w:r>
      <w:r>
        <w:rPr>
          <w:kern w:val="0"/>
        </w:rPr>
        <w:t xml:space="preserve"> on adsorption were studied. Maximum removal was achieved in </w:t>
      </w:r>
      <w:r>
        <w:rPr>
          <w:kern w:val="0"/>
        </w:rPr>
        <w:lastRenderedPageBreak/>
        <w:t>the pH</w:t>
      </w:r>
      <w:r w:rsidR="00C74288">
        <w:rPr>
          <w:rFonts w:hint="eastAsia"/>
          <w:kern w:val="0"/>
        </w:rPr>
        <w:t xml:space="preserve"> </w:t>
      </w:r>
      <w:r>
        <w:rPr>
          <w:kern w:val="0"/>
        </w:rPr>
        <w:t>=</w:t>
      </w:r>
      <w:r w:rsidR="00C74288">
        <w:rPr>
          <w:rFonts w:hint="eastAsia"/>
          <w:kern w:val="0"/>
        </w:rPr>
        <w:t xml:space="preserve"> </w:t>
      </w:r>
      <w:r>
        <w:rPr>
          <w:kern w:val="0"/>
        </w:rPr>
        <w:t>7, contact time of 60 minutes</w:t>
      </w:r>
      <w:r w:rsidR="00F81221">
        <w:rPr>
          <w:kern w:val="0"/>
        </w:rPr>
        <w:t xml:space="preserve"> and </w:t>
      </w:r>
      <w:r>
        <w:rPr>
          <w:kern w:val="0"/>
        </w:rPr>
        <w:t>with initial Cr(VI) concentration of 2 mg/L. Because at pH6.5, precipitation of chromium may take place, optimum pH was selected at 6. Maximum adsorption rate values were found at the first 60 min at pH</w:t>
      </w:r>
      <w:r>
        <w:rPr>
          <w:rFonts w:hint="eastAsia"/>
          <w:kern w:val="0"/>
        </w:rPr>
        <w:t xml:space="preserve"> </w:t>
      </w:r>
      <w:r>
        <w:rPr>
          <w:kern w:val="0"/>
        </w:rPr>
        <w:t>=</w:t>
      </w:r>
      <w:r>
        <w:rPr>
          <w:rFonts w:hint="eastAsia"/>
          <w:kern w:val="0"/>
        </w:rPr>
        <w:t xml:space="preserve"> </w:t>
      </w:r>
      <w:r>
        <w:rPr>
          <w:kern w:val="0"/>
        </w:rPr>
        <w:t>6. The effect of the adsorbent on COD removal from aqueous solution showed that 2 g/L of adsorbent caused 130</w:t>
      </w:r>
      <w:r w:rsidR="00F81221">
        <w:rPr>
          <w:kern w:val="0"/>
        </w:rPr>
        <w:t xml:space="preserve"> and </w:t>
      </w:r>
      <w:r>
        <w:rPr>
          <w:kern w:val="0"/>
        </w:rPr>
        <w:t>75 mg/L increase in COD of deionized water in 60 min for UL</w:t>
      </w:r>
      <w:r w:rsidR="00F81221">
        <w:rPr>
          <w:kern w:val="0"/>
        </w:rPr>
        <w:t xml:space="preserve"> and </w:t>
      </w:r>
      <w:r>
        <w:rPr>
          <w:kern w:val="0"/>
        </w:rPr>
        <w:t>its ash, respectively. The chromium adsorption data obtained under the optimum condition were described by the Langmuir</w:t>
      </w:r>
      <w:r w:rsidR="00F81221">
        <w:rPr>
          <w:kern w:val="0"/>
        </w:rPr>
        <w:t xml:space="preserve"> and </w:t>
      </w:r>
      <w:r>
        <w:rPr>
          <w:kern w:val="0"/>
        </w:rPr>
        <w:t>Freundlich isotherms. Studies showed that the Langmuir adsorption model better fitted than Freundlich, with R2</w:t>
      </w:r>
      <w:r>
        <w:rPr>
          <w:rFonts w:hint="eastAsia"/>
          <w:kern w:val="0"/>
        </w:rPr>
        <w:t xml:space="preserve"> </w:t>
      </w:r>
      <w:r>
        <w:rPr>
          <w:kern w:val="0"/>
        </w:rPr>
        <w:t>&gt;</w:t>
      </w:r>
      <w:r>
        <w:rPr>
          <w:rFonts w:hint="eastAsia"/>
          <w:kern w:val="0"/>
        </w:rPr>
        <w:t xml:space="preserve"> </w:t>
      </w:r>
      <w:r>
        <w:rPr>
          <w:kern w:val="0"/>
        </w:rPr>
        <w:t>0.99. Also UL ash was more efficient than living leaves in removing chromium from aqueous solution.</w:t>
      </w:r>
    </w:p>
    <w:p w:rsidR="00E53AF5" w:rsidRDefault="00E53AF5" w:rsidP="00E53AF5">
      <w:pPr>
        <w:pStyle w:val="a0"/>
        <w:rPr>
          <w:kern w:val="0"/>
        </w:rPr>
      </w:pPr>
      <w:r>
        <w:rPr>
          <w:kern w:val="0"/>
        </w:rPr>
        <w:t>Keywords: Adsorption, Adsorption Rate, Aqueous, Batch Adsorption, Chromium, Chromium Adsorption, COD, Freundlich, Freundlich Isotherms, Isotherms, Langmuir, Langmuir</w:t>
      </w:r>
      <w:r w:rsidR="00F81221">
        <w:rPr>
          <w:kern w:val="0"/>
        </w:rPr>
        <w:t xml:space="preserve"> and </w:t>
      </w:r>
      <w:r>
        <w:rPr>
          <w:kern w:val="0"/>
        </w:rPr>
        <w:t xml:space="preserve">Freundlich Isotherms, Metal, </w:t>
      </w:r>
      <w:r>
        <w:rPr>
          <w:rFonts w:hint="eastAsia"/>
          <w:kern w:val="0"/>
        </w:rPr>
        <w:t>p</w:t>
      </w:r>
      <w:r>
        <w:rPr>
          <w:kern w:val="0"/>
        </w:rPr>
        <w:t>H, Removal, Water</w:t>
      </w:r>
    </w:p>
    <w:p w:rsidR="00E53AF5" w:rsidRDefault="00E53AF5" w:rsidP="00E53AF5">
      <w:pPr>
        <w:pStyle w:val="a0"/>
        <w:rPr>
          <w:kern w:val="0"/>
        </w:rPr>
      </w:pPr>
      <w:r>
        <w:rPr>
          <w:rFonts w:hint="eastAsia"/>
          <w:kern w:val="0"/>
        </w:rPr>
        <w:t xml:space="preserve">? </w:t>
      </w:r>
      <w:r>
        <w:rPr>
          <w:kern w:val="0"/>
        </w:rPr>
        <w:t>Reddy, S.</w:t>
      </w:r>
      <w:r w:rsidR="00F81221">
        <w:rPr>
          <w:kern w:val="0"/>
        </w:rPr>
        <w:t xml:space="preserve"> and </w:t>
      </w:r>
      <w:r>
        <w:rPr>
          <w:kern w:val="0"/>
        </w:rPr>
        <w:t>Kotaiah, B. (2006), Comparative evaluation of commercial</w:t>
      </w:r>
      <w:r w:rsidR="00F81221">
        <w:rPr>
          <w:kern w:val="0"/>
        </w:rPr>
        <w:t xml:space="preserve"> and </w:t>
      </w:r>
      <w:r>
        <w:rPr>
          <w:kern w:val="0"/>
        </w:rPr>
        <w:t xml:space="preserve">sewage sludge based activated carbons for the removal of textile dyes from aqueous solutions. </w:t>
      </w:r>
      <w:r>
        <w:rPr>
          <w:i/>
          <w:iCs/>
          <w:kern w:val="0"/>
        </w:rPr>
        <w:t>Iranian Journal of Environmental Health Science &amp; Engineering</w:t>
      </w:r>
      <w:r>
        <w:rPr>
          <w:kern w:val="0"/>
        </w:rPr>
        <w:t xml:space="preserve">, </w:t>
      </w:r>
      <w:r>
        <w:rPr>
          <w:b/>
          <w:bCs/>
          <w:kern w:val="0"/>
        </w:rPr>
        <w:t>3</w:t>
      </w:r>
      <w:r>
        <w:rPr>
          <w:kern w:val="0"/>
        </w:rPr>
        <w:t xml:space="preserve"> (4), 239-246.</w:t>
      </w:r>
    </w:p>
    <w:p w:rsidR="00E53AF5" w:rsidRPr="00A428C3" w:rsidRDefault="00E53AF5" w:rsidP="00E53AF5">
      <w:pPr>
        <w:pStyle w:val="a0"/>
        <w:rPr>
          <w:sz w:val="20"/>
        </w:rPr>
      </w:pPr>
      <w:r w:rsidRPr="00A428C3">
        <w:t xml:space="preserve">Full Text: </w:t>
      </w:r>
      <w:hyperlink r:id="rId2137" w:history="1">
        <w:r w:rsidRPr="00E53AF5">
          <w:rPr>
            <w:rStyle w:val="a5"/>
          </w:rPr>
          <w:t>2006\Ira J Env Hea Sci Eng3, 239.pdf</w:t>
        </w:r>
      </w:hyperlink>
    </w:p>
    <w:p w:rsidR="00E53AF5" w:rsidRDefault="00E53AF5" w:rsidP="00E53AF5">
      <w:pPr>
        <w:pStyle w:val="a0"/>
        <w:rPr>
          <w:kern w:val="0"/>
        </w:rPr>
      </w:pPr>
      <w:r>
        <w:rPr>
          <w:kern w:val="0"/>
        </w:rPr>
        <w:t>Abstract: The sorption of dyes from aqueous solutions on to sludge-based activated carbon have been studied</w:t>
      </w:r>
      <w:r w:rsidR="00F81221">
        <w:rPr>
          <w:kern w:val="0"/>
        </w:rPr>
        <w:t xml:space="preserve"> and </w:t>
      </w:r>
      <w:r>
        <w:rPr>
          <w:kern w:val="0"/>
        </w:rPr>
        <w:t>compared with commercial activated carbon. Adsorption parameters for the Langmuir</w:t>
      </w:r>
      <w:r w:rsidR="00F81221">
        <w:rPr>
          <w:kern w:val="0"/>
        </w:rPr>
        <w:t xml:space="preserve"> and </w:t>
      </w:r>
      <w:r>
        <w:rPr>
          <w:kern w:val="0"/>
        </w:rPr>
        <w:t>Freundlich isotherms were determined</w:t>
      </w:r>
      <w:r w:rsidR="00F81221">
        <w:rPr>
          <w:kern w:val="0"/>
        </w:rPr>
        <w:t xml:space="preserve"> and </w:t>
      </w:r>
      <w:r>
        <w:rPr>
          <w:kern w:val="0"/>
        </w:rPr>
        <w:t>the effects of effluent pH, adsorbent dosage, contact time</w:t>
      </w:r>
      <w:r w:rsidR="00F81221">
        <w:rPr>
          <w:kern w:val="0"/>
        </w:rPr>
        <w:t xml:space="preserve"> and </w:t>
      </w:r>
      <w:r>
        <w:rPr>
          <w:kern w:val="0"/>
        </w:rPr>
        <w:t>initial dye concentration were studied. A pseudo-second order kinetic model has been proposed to correlate the experimental data.</w:t>
      </w:r>
    </w:p>
    <w:p w:rsidR="00E53AF5" w:rsidRDefault="00E53AF5" w:rsidP="00E53AF5">
      <w:pPr>
        <w:pStyle w:val="a0"/>
        <w:rPr>
          <w:kern w:val="0"/>
        </w:rPr>
      </w:pPr>
      <w:r>
        <w:rPr>
          <w:kern w:val="0"/>
        </w:rPr>
        <w:t>Keywords: Activated Carbon, Adsorption, Aqueous, Carbon, Dye, Dyes, Evaluation, Freundlich, Freundlich Isotherms, Isotherms, Kinetic, Langmuir, Langmuir</w:t>
      </w:r>
      <w:r w:rsidR="00F81221">
        <w:rPr>
          <w:kern w:val="0"/>
        </w:rPr>
        <w:t xml:space="preserve"> and </w:t>
      </w:r>
      <w:r>
        <w:rPr>
          <w:kern w:val="0"/>
        </w:rPr>
        <w:t xml:space="preserve">Freundlich Isotherms, </w:t>
      </w:r>
      <w:r>
        <w:rPr>
          <w:rFonts w:hint="eastAsia"/>
          <w:kern w:val="0"/>
        </w:rPr>
        <w:t>p</w:t>
      </w:r>
      <w:r>
        <w:rPr>
          <w:kern w:val="0"/>
        </w:rPr>
        <w:t>H, Pseudo Second Order, Pseudo-Second Order, Pseudo-Second-Order, Removal, Sludge, Solutions, Sorption</w:t>
      </w:r>
    </w:p>
    <w:p w:rsidR="00FB3376" w:rsidRDefault="00FB3376" w:rsidP="00FB3376">
      <w:pPr>
        <w:pStyle w:val="a0"/>
        <w:rPr>
          <w:kern w:val="0"/>
        </w:rPr>
      </w:pPr>
      <w:r>
        <w:rPr>
          <w:rFonts w:hint="eastAsia"/>
          <w:kern w:val="0"/>
        </w:rPr>
        <w:t xml:space="preserve">? </w:t>
      </w:r>
      <w:r>
        <w:rPr>
          <w:kern w:val="0"/>
        </w:rPr>
        <w:t>Sen, M.</w:t>
      </w:r>
      <w:r w:rsidR="00F81221">
        <w:rPr>
          <w:kern w:val="0"/>
        </w:rPr>
        <w:t xml:space="preserve"> and </w:t>
      </w:r>
      <w:r>
        <w:rPr>
          <w:kern w:val="0"/>
        </w:rPr>
        <w:t xml:space="preserve">Dastidar, M. (2007), Biosorption of Cr (VI) by resting cells of Aspergillus sp. </w:t>
      </w:r>
      <w:r>
        <w:rPr>
          <w:i/>
          <w:iCs/>
          <w:kern w:val="0"/>
        </w:rPr>
        <w:t>Iranian Journal of Environmental Health Science &amp; Engineering</w:t>
      </w:r>
      <w:r>
        <w:rPr>
          <w:kern w:val="0"/>
        </w:rPr>
        <w:t xml:space="preserve">, </w:t>
      </w:r>
      <w:r>
        <w:rPr>
          <w:b/>
          <w:bCs/>
          <w:kern w:val="0"/>
        </w:rPr>
        <w:t>4</w:t>
      </w:r>
      <w:r>
        <w:rPr>
          <w:kern w:val="0"/>
        </w:rPr>
        <w:t xml:space="preserve"> (1), 9-12.</w:t>
      </w:r>
    </w:p>
    <w:p w:rsidR="00FB3376" w:rsidRPr="00A428C3" w:rsidRDefault="00FB3376" w:rsidP="00FB3376">
      <w:pPr>
        <w:pStyle w:val="a0"/>
        <w:rPr>
          <w:sz w:val="20"/>
        </w:rPr>
      </w:pPr>
      <w:r w:rsidRPr="00A428C3">
        <w:t xml:space="preserve">Full Text: </w:t>
      </w:r>
      <w:hyperlink r:id="rId2138" w:history="1">
        <w:r w:rsidR="00AE79F4" w:rsidRPr="00AE79F4">
          <w:rPr>
            <w:rStyle w:val="a5"/>
          </w:rPr>
          <w:t>2007\Ira J Env Hea Sci Eng4, 9.pdf</w:t>
        </w:r>
      </w:hyperlink>
    </w:p>
    <w:p w:rsidR="00FB3376" w:rsidRDefault="00FB3376" w:rsidP="00FB3376">
      <w:pPr>
        <w:pStyle w:val="a0"/>
        <w:rPr>
          <w:kern w:val="0"/>
        </w:rPr>
      </w:pPr>
      <w:r>
        <w:rPr>
          <w:kern w:val="0"/>
        </w:rPr>
        <w:t>Abstract: Biosorption of Cr(VI) from aqueous solution was studied in a batch bioreactor using the resting cells of filamentous fungal biomass (Aspergillus sp.) isolated from industrial wastewaters. The specific Cr(VI) removal (mg/g of dried biomass) decreased with increase in pH</w:t>
      </w:r>
      <w:r w:rsidR="00F81221">
        <w:rPr>
          <w:kern w:val="0"/>
        </w:rPr>
        <w:t xml:space="preserve"> and </w:t>
      </w:r>
      <w:r>
        <w:rPr>
          <w:kern w:val="0"/>
        </w:rPr>
        <w:t xml:space="preserve">increased with increase in initial Cr(VI) concentration, upto 500 mg/L. By increasing biomass concentration from 2.4 to 5.2 g/L, the specific metal removal remained almost constant. The studies carried out by using the resting cells from various stages of growth indicated maximum Cr(VI) </w:t>
      </w:r>
      <w:r>
        <w:rPr>
          <w:kern w:val="0"/>
        </w:rPr>
        <w:lastRenderedPageBreak/>
        <w:t>removal of 34.8 mg/g using the biomass from the beginning of the stationary phase. The adsorption equilibrium constants Q (42.9 mg/g)</w:t>
      </w:r>
      <w:r w:rsidR="00F81221">
        <w:rPr>
          <w:kern w:val="0"/>
        </w:rPr>
        <w:t xml:space="preserve"> and </w:t>
      </w:r>
      <w:r>
        <w:rPr>
          <w:kern w:val="0"/>
        </w:rPr>
        <w:t>b (0.0091/mg) were obtained from the Langmuir adsorption isotherm model.</w:t>
      </w:r>
    </w:p>
    <w:p w:rsidR="00FB3376" w:rsidRDefault="00FB3376" w:rsidP="00FB3376">
      <w:pPr>
        <w:pStyle w:val="a0"/>
        <w:rPr>
          <w:kern w:val="0"/>
        </w:rPr>
      </w:pPr>
      <w:r>
        <w:rPr>
          <w:kern w:val="0"/>
        </w:rPr>
        <w:t xml:space="preserve">Keywords: Adsorption, Adsorption Isotherm, Aqueous, Biomass, Biosorption, Cr(VI), Cr(VI) Removal, Equilibrium, Fungal Biomass, Isotherm, Langmuir, Metal, </w:t>
      </w:r>
      <w:r>
        <w:rPr>
          <w:rFonts w:hint="eastAsia"/>
          <w:kern w:val="0"/>
        </w:rPr>
        <w:t>p</w:t>
      </w:r>
      <w:r>
        <w:rPr>
          <w:kern w:val="0"/>
        </w:rPr>
        <w:t>H, Removal</w:t>
      </w:r>
    </w:p>
    <w:p w:rsidR="00FB3376" w:rsidRDefault="00FB3376" w:rsidP="00FB3376">
      <w:pPr>
        <w:pStyle w:val="a0"/>
        <w:rPr>
          <w:kern w:val="0"/>
        </w:rPr>
      </w:pPr>
      <w:r>
        <w:rPr>
          <w:rFonts w:hint="eastAsia"/>
          <w:kern w:val="0"/>
        </w:rPr>
        <w:t xml:space="preserve">? </w:t>
      </w:r>
      <w:r>
        <w:rPr>
          <w:kern w:val="0"/>
        </w:rPr>
        <w:t>Mamisahebei, S., Khaniki, G., Torabian, A., Nasseri, S.</w:t>
      </w:r>
      <w:r w:rsidR="00F81221">
        <w:rPr>
          <w:kern w:val="0"/>
        </w:rPr>
        <w:t xml:space="preserve"> and </w:t>
      </w:r>
      <w:r>
        <w:rPr>
          <w:kern w:val="0"/>
        </w:rPr>
        <w:t xml:space="preserve">Naddafi, K. (2007), Removal of arsenic from an aqueous solution by pretreated waste tea fungal biomass. </w:t>
      </w:r>
      <w:r>
        <w:rPr>
          <w:i/>
          <w:iCs/>
          <w:kern w:val="0"/>
        </w:rPr>
        <w:t>Iranian Journal of Environmental Health Science &amp; Engineering</w:t>
      </w:r>
      <w:r>
        <w:rPr>
          <w:kern w:val="0"/>
        </w:rPr>
        <w:t xml:space="preserve">, </w:t>
      </w:r>
      <w:r>
        <w:rPr>
          <w:b/>
          <w:bCs/>
          <w:kern w:val="0"/>
        </w:rPr>
        <w:t>4</w:t>
      </w:r>
      <w:r>
        <w:rPr>
          <w:kern w:val="0"/>
        </w:rPr>
        <w:t xml:space="preserve"> (2), 85-92.</w:t>
      </w:r>
    </w:p>
    <w:p w:rsidR="00FB3376" w:rsidRPr="00A428C3" w:rsidRDefault="00FB3376" w:rsidP="00FB3376">
      <w:pPr>
        <w:pStyle w:val="a0"/>
        <w:rPr>
          <w:sz w:val="20"/>
        </w:rPr>
      </w:pPr>
      <w:r w:rsidRPr="00A428C3">
        <w:t xml:space="preserve">Full Text: </w:t>
      </w:r>
      <w:hyperlink r:id="rId2139" w:history="1">
        <w:r w:rsidR="00AE79F4" w:rsidRPr="00AE79F4">
          <w:rPr>
            <w:rStyle w:val="a5"/>
          </w:rPr>
          <w:t>2007\Ira J Env Hea Sci Eng4, 85.pdf</w:t>
        </w:r>
      </w:hyperlink>
    </w:p>
    <w:p w:rsidR="00FB3376" w:rsidRDefault="00FB3376" w:rsidP="00FB3376">
      <w:pPr>
        <w:pStyle w:val="a0"/>
        <w:rPr>
          <w:kern w:val="0"/>
        </w:rPr>
      </w:pPr>
      <w:r>
        <w:rPr>
          <w:kern w:val="0"/>
        </w:rPr>
        <w:t>Abstract: Arsenic contamination in water poses a serious threat on human health. The tea fungus known as Kombucha is a waste produced during black tea fermentation. The objective of this study was to examine the main aspect of a possible strategy for the removal of arsenates employing tea fungal biomass. The pretreatment of biomass with FeCl</w:t>
      </w:r>
      <w:r w:rsidRPr="00AE79F4">
        <w:rPr>
          <w:kern w:val="0"/>
          <w:vertAlign w:val="subscript"/>
        </w:rPr>
        <w:t>3</w:t>
      </w:r>
      <w:r>
        <w:rPr>
          <w:kern w:val="0"/>
        </w:rPr>
        <w:t xml:space="preserve"> was found to improve the biosorption efficiency. Arsenics uptake was found to be rapid for all concentrations</w:t>
      </w:r>
      <w:r w:rsidR="00F81221">
        <w:rPr>
          <w:kern w:val="0"/>
        </w:rPr>
        <w:t xml:space="preserve"> and </w:t>
      </w:r>
      <w:r>
        <w:rPr>
          <w:kern w:val="0"/>
        </w:rPr>
        <w:t>reached to 79% of equilibrium capacity of biosorption in 20 min</w:t>
      </w:r>
      <w:r w:rsidR="00F81221">
        <w:rPr>
          <w:kern w:val="0"/>
        </w:rPr>
        <w:t xml:space="preserve"> and </w:t>
      </w:r>
      <w:r>
        <w:rPr>
          <w:kern w:val="0"/>
        </w:rPr>
        <w:t>reached equilibrium in 90 min. The pseudo second-order</w:t>
      </w:r>
      <w:r w:rsidR="00F81221">
        <w:rPr>
          <w:kern w:val="0"/>
        </w:rPr>
        <w:t xml:space="preserve"> and </w:t>
      </w:r>
      <w:r>
        <w:rPr>
          <w:kern w:val="0"/>
        </w:rPr>
        <w:t>first-order models described</w:t>
      </w:r>
      <w:r w:rsidR="00AE79F4">
        <w:rPr>
          <w:kern w:val="0"/>
        </w:rPr>
        <w:t xml:space="preserve"> the biosorption kinetics of As</w:t>
      </w:r>
      <w:r>
        <w:rPr>
          <w:kern w:val="0"/>
        </w:rPr>
        <w:t>(V) with good correlation coefficient (R2</w:t>
      </w:r>
      <w:r w:rsidR="00AE79F4">
        <w:rPr>
          <w:rFonts w:hint="eastAsia"/>
          <w:kern w:val="0"/>
        </w:rPr>
        <w:t xml:space="preserve"> </w:t>
      </w:r>
      <w:r>
        <w:rPr>
          <w:kern w:val="0"/>
        </w:rPr>
        <w:t>&gt;</w:t>
      </w:r>
      <w:r w:rsidR="00AE79F4">
        <w:rPr>
          <w:rFonts w:hint="eastAsia"/>
          <w:kern w:val="0"/>
        </w:rPr>
        <w:t xml:space="preserve"> </w:t>
      </w:r>
      <w:r>
        <w:rPr>
          <w:kern w:val="0"/>
        </w:rPr>
        <w:t>0.93)</w:t>
      </w:r>
      <w:r w:rsidR="00F81221">
        <w:rPr>
          <w:kern w:val="0"/>
        </w:rPr>
        <w:t xml:space="preserve"> and </w:t>
      </w:r>
      <w:r>
        <w:rPr>
          <w:kern w:val="0"/>
        </w:rPr>
        <w:t>better than the other equations. The data obtained from the experiment of biosorption isotherm were analyzed using the Freundlich</w:t>
      </w:r>
      <w:r w:rsidR="00F81221">
        <w:rPr>
          <w:kern w:val="0"/>
        </w:rPr>
        <w:t xml:space="preserve"> and </w:t>
      </w:r>
      <w:r>
        <w:rPr>
          <w:kern w:val="0"/>
        </w:rPr>
        <w:t>Langmuir isotherm models. The equati</w:t>
      </w:r>
      <w:r w:rsidR="00AE79F4">
        <w:rPr>
          <w:kern w:val="0"/>
        </w:rPr>
        <w:t>on described the isotherm of As</w:t>
      </w:r>
      <w:r>
        <w:rPr>
          <w:kern w:val="0"/>
        </w:rPr>
        <w:t>(V) biosorption with relatively high correlation coefficient (R2</w:t>
      </w:r>
      <w:r w:rsidR="00AE79F4">
        <w:rPr>
          <w:rFonts w:hint="eastAsia"/>
          <w:kern w:val="0"/>
        </w:rPr>
        <w:t xml:space="preserve"> </w:t>
      </w:r>
      <w:r>
        <w:rPr>
          <w:kern w:val="0"/>
        </w:rPr>
        <w:t>&gt;</w:t>
      </w:r>
      <w:r w:rsidR="00AE79F4">
        <w:rPr>
          <w:rFonts w:hint="eastAsia"/>
          <w:kern w:val="0"/>
        </w:rPr>
        <w:t xml:space="preserve"> </w:t>
      </w:r>
      <w:r>
        <w:rPr>
          <w:kern w:val="0"/>
        </w:rPr>
        <w:t>0.93). According to the Langmuir model, the maximum uptake capacities (q</w:t>
      </w:r>
      <w:r w:rsidR="00AE79F4">
        <w:rPr>
          <w:kern w:val="0"/>
        </w:rPr>
        <w:t>m) of tea fungal biomass for As</w:t>
      </w:r>
      <w:r>
        <w:rPr>
          <w:kern w:val="0"/>
        </w:rPr>
        <w:t>(V) were obtained 3.98</w:t>
      </w:r>
      <w:r w:rsidR="00AE79F4">
        <w:rPr>
          <w:kern w:val="0"/>
        </w:rPr>
        <w:sym w:font="Symbol" w:char="F0B4"/>
      </w:r>
      <w:r>
        <w:rPr>
          <w:kern w:val="0"/>
        </w:rPr>
        <w:t>10</w:t>
      </w:r>
      <w:r w:rsidRPr="00AE79F4">
        <w:rPr>
          <w:kern w:val="0"/>
          <w:vertAlign w:val="superscript"/>
        </w:rPr>
        <w:t>-3</w:t>
      </w:r>
      <w:r>
        <w:rPr>
          <w:kern w:val="0"/>
        </w:rPr>
        <w:t xml:space="preserve"> mmol/gr. The effect of Na</w:t>
      </w:r>
      <w:r w:rsidRPr="00AE79F4">
        <w:rPr>
          <w:kern w:val="0"/>
          <w:vertAlign w:val="superscript"/>
        </w:rPr>
        <w:t>+</w:t>
      </w:r>
      <w:r>
        <w:rPr>
          <w:kern w:val="0"/>
        </w:rPr>
        <w:t>, K</w:t>
      </w:r>
      <w:r w:rsidRPr="00AE79F4">
        <w:rPr>
          <w:kern w:val="0"/>
          <w:vertAlign w:val="superscript"/>
        </w:rPr>
        <w:t>+</w:t>
      </w:r>
      <w:r>
        <w:rPr>
          <w:kern w:val="0"/>
        </w:rPr>
        <w:t>, Mg</w:t>
      </w:r>
      <w:r w:rsidRPr="00AE79F4">
        <w:rPr>
          <w:kern w:val="0"/>
          <w:vertAlign w:val="superscript"/>
        </w:rPr>
        <w:t>+2</w:t>
      </w:r>
      <w:r w:rsidR="00F81221">
        <w:rPr>
          <w:kern w:val="0"/>
        </w:rPr>
        <w:t xml:space="preserve"> and </w:t>
      </w:r>
      <w:r>
        <w:rPr>
          <w:kern w:val="0"/>
        </w:rPr>
        <w:t>Ca</w:t>
      </w:r>
      <w:r w:rsidRPr="00AE79F4">
        <w:rPr>
          <w:kern w:val="0"/>
          <w:vertAlign w:val="superscript"/>
        </w:rPr>
        <w:t>+2</w:t>
      </w:r>
      <w:r>
        <w:rPr>
          <w:kern w:val="0"/>
        </w:rPr>
        <w:t xml:space="preserve"> on equilibrium capacities of As was not significant. The variation of sorption efficiency with pH showed that optimum biosorption takes place in the pH ranges of 6 to 8. Promising results were obtained in laborato</w:t>
      </w:r>
      <w:r w:rsidR="00AE79F4">
        <w:rPr>
          <w:kern w:val="0"/>
        </w:rPr>
        <w:t>ry experiments</w:t>
      </w:r>
      <w:r w:rsidR="00F81221">
        <w:rPr>
          <w:kern w:val="0"/>
        </w:rPr>
        <w:t xml:space="preserve"> and </w:t>
      </w:r>
      <w:r w:rsidR="00AE79F4">
        <w:rPr>
          <w:kern w:val="0"/>
        </w:rPr>
        <w:t>effective As</w:t>
      </w:r>
      <w:r>
        <w:rPr>
          <w:kern w:val="0"/>
        </w:rPr>
        <w:t>(V) removals were observed.</w:t>
      </w:r>
    </w:p>
    <w:p w:rsidR="00FB3376" w:rsidRDefault="00FB3376" w:rsidP="00FB3376">
      <w:pPr>
        <w:pStyle w:val="a0"/>
        <w:rPr>
          <w:kern w:val="0"/>
        </w:rPr>
      </w:pPr>
      <w:r>
        <w:rPr>
          <w:kern w:val="0"/>
        </w:rPr>
        <w:t xml:space="preserve">Keywords: Aqueous, Arsenic, Biomass, Biosorption, Biosorption Kinetics, Capacity, Equilibrium, First Order, Freundlich, Fungal Biomass, Fungus, Isotherm, Kinetics, Langmuir, Langmuir Isotherm, Langmuir Model, Models, </w:t>
      </w:r>
      <w:r>
        <w:rPr>
          <w:rFonts w:hint="eastAsia"/>
          <w:kern w:val="0"/>
        </w:rPr>
        <w:t>p</w:t>
      </w:r>
      <w:r>
        <w:rPr>
          <w:kern w:val="0"/>
        </w:rPr>
        <w:t>H, Pseudo Second Order, Pseudo Second-Order, Pseudo-Second-Order, Removal, Second Order, Sorption, Water</w:t>
      </w:r>
    </w:p>
    <w:p w:rsidR="00FB3376" w:rsidRDefault="00FB3376" w:rsidP="00FB3376">
      <w:pPr>
        <w:pStyle w:val="a0"/>
        <w:rPr>
          <w:kern w:val="0"/>
        </w:rPr>
      </w:pPr>
      <w:r>
        <w:rPr>
          <w:rFonts w:hint="eastAsia"/>
          <w:kern w:val="0"/>
        </w:rPr>
        <w:t xml:space="preserve">? </w:t>
      </w:r>
      <w:r>
        <w:rPr>
          <w:kern w:val="0"/>
        </w:rPr>
        <w:t>Tiwari, R., Ramudu, P., Srivastava, R.</w:t>
      </w:r>
      <w:r w:rsidR="00F81221">
        <w:rPr>
          <w:kern w:val="0"/>
        </w:rPr>
        <w:t xml:space="preserve"> and </w:t>
      </w:r>
      <w:r>
        <w:rPr>
          <w:kern w:val="0"/>
        </w:rPr>
        <w:t>Gupta, M. (2007), Sorption</w:t>
      </w:r>
      <w:r w:rsidR="00F81221">
        <w:rPr>
          <w:kern w:val="0"/>
        </w:rPr>
        <w:t xml:space="preserve"> and </w:t>
      </w:r>
      <w:r>
        <w:rPr>
          <w:kern w:val="0"/>
        </w:rPr>
        <w:t xml:space="preserve">desorption studies of metallic zinc on an alluvial soil. </w:t>
      </w:r>
      <w:r>
        <w:rPr>
          <w:i/>
          <w:iCs/>
          <w:kern w:val="0"/>
        </w:rPr>
        <w:t>Iranian Journal of Environmental Health Science &amp; Engineering</w:t>
      </w:r>
      <w:r>
        <w:rPr>
          <w:kern w:val="0"/>
        </w:rPr>
        <w:t xml:space="preserve">, </w:t>
      </w:r>
      <w:r>
        <w:rPr>
          <w:b/>
          <w:bCs/>
          <w:kern w:val="0"/>
        </w:rPr>
        <w:t>4</w:t>
      </w:r>
      <w:r>
        <w:rPr>
          <w:kern w:val="0"/>
        </w:rPr>
        <w:t xml:space="preserve"> (3), 139-146.</w:t>
      </w:r>
    </w:p>
    <w:p w:rsidR="00FB3376" w:rsidRPr="00A428C3" w:rsidRDefault="00FB3376" w:rsidP="00FB3376">
      <w:pPr>
        <w:pStyle w:val="a0"/>
        <w:rPr>
          <w:sz w:val="20"/>
        </w:rPr>
      </w:pPr>
      <w:r w:rsidRPr="00A428C3">
        <w:t xml:space="preserve">Full Text: </w:t>
      </w:r>
      <w:hyperlink r:id="rId2140" w:history="1">
        <w:r w:rsidRPr="00FB3376">
          <w:rPr>
            <w:rStyle w:val="a5"/>
          </w:rPr>
          <w:t>2007\Ira J Env Hea Sci Eng4, 139.pdf</w:t>
        </w:r>
      </w:hyperlink>
    </w:p>
    <w:p w:rsidR="00FB3376" w:rsidRDefault="00FB3376" w:rsidP="00FB3376">
      <w:pPr>
        <w:pStyle w:val="a0"/>
        <w:rPr>
          <w:kern w:val="0"/>
        </w:rPr>
      </w:pPr>
      <w:r>
        <w:rPr>
          <w:kern w:val="0"/>
        </w:rPr>
        <w:t xml:space="preserve">Abstract: The sorption of metallic zinc from the pH-adjusted aqueous solution at varying initial concentrations onto a clay soil through batch equilibrium experiments </w:t>
      </w:r>
      <w:r>
        <w:rPr>
          <w:kern w:val="0"/>
        </w:rPr>
        <w:lastRenderedPageBreak/>
        <w:t>has been studied. The pH of the initial concentrations ranging between 50 mg/L to 250 mg/L has been varied from 3 to 7. The sorption data fitted very well with both Langmuir</w:t>
      </w:r>
      <w:r w:rsidR="00F81221">
        <w:rPr>
          <w:kern w:val="0"/>
        </w:rPr>
        <w:t xml:space="preserve"> and </w:t>
      </w:r>
      <w:r>
        <w:rPr>
          <w:kern w:val="0"/>
        </w:rPr>
        <w:t>Freundlich isotherm models</w:t>
      </w:r>
      <w:r w:rsidR="00F81221">
        <w:rPr>
          <w:kern w:val="0"/>
        </w:rPr>
        <w:t xml:space="preserve"> and </w:t>
      </w:r>
      <w:r>
        <w:rPr>
          <w:kern w:val="0"/>
        </w:rPr>
        <w:t>Freundlich model gave higher correlation coefficients. The maximum sorption of metallic zinc occurred at pH=6. The pseudo-second order kinetics model was most agreeable with the experimental sorption data, whereas the pseudo-first order model was found to be insufficient. A nonionic surfactant was tested for its desorption potential</w:t>
      </w:r>
      <w:r w:rsidR="00F81221">
        <w:rPr>
          <w:kern w:val="0"/>
        </w:rPr>
        <w:t xml:space="preserve"> and </w:t>
      </w:r>
      <w:r>
        <w:rPr>
          <w:kern w:val="0"/>
        </w:rPr>
        <w:t>was found to be fairly effective at 2% concentration with removal of more than 60% sorbed Zinc.</w:t>
      </w:r>
    </w:p>
    <w:p w:rsidR="00FB3376" w:rsidRDefault="00FB3376" w:rsidP="00FB3376">
      <w:pPr>
        <w:pStyle w:val="a0"/>
        <w:rPr>
          <w:kern w:val="0"/>
        </w:rPr>
      </w:pPr>
      <w:r>
        <w:rPr>
          <w:kern w:val="0"/>
        </w:rPr>
        <w:t xml:space="preserve">Keywords: Aqueous, Clay, Desorption, Desorption Studies, Equilibrium, Freundlich, Freundlich Isotherm, Isotherm, Kinetics, Langmuir, Models, </w:t>
      </w:r>
      <w:r>
        <w:rPr>
          <w:rFonts w:hint="eastAsia"/>
          <w:kern w:val="0"/>
        </w:rPr>
        <w:t>p</w:t>
      </w:r>
      <w:r>
        <w:rPr>
          <w:kern w:val="0"/>
        </w:rPr>
        <w:t>H, Pseudo Second Order, Pseudo Second Order Kinetics, Pseudo-First Order, Pseudo-Second Order, Pseudo-Second Order Kinetics, Pseudo-Second-Order, Removal, Sorption, Surfactant, Zinc</w:t>
      </w:r>
    </w:p>
    <w:p w:rsidR="00FB3376" w:rsidRDefault="00FB3376" w:rsidP="00FB3376">
      <w:pPr>
        <w:pStyle w:val="a0"/>
        <w:rPr>
          <w:kern w:val="0"/>
        </w:rPr>
      </w:pPr>
      <w:r>
        <w:rPr>
          <w:rFonts w:hint="eastAsia"/>
          <w:kern w:val="0"/>
        </w:rPr>
        <w:t xml:space="preserve">? </w:t>
      </w:r>
      <w:r>
        <w:rPr>
          <w:kern w:val="0"/>
        </w:rPr>
        <w:t>Salmasi, R.</w:t>
      </w:r>
      <w:r w:rsidR="00F81221">
        <w:rPr>
          <w:kern w:val="0"/>
        </w:rPr>
        <w:t xml:space="preserve"> and </w:t>
      </w:r>
      <w:r>
        <w:rPr>
          <w:kern w:val="0"/>
        </w:rPr>
        <w:t xml:space="preserve">Salmasi, F. (2007), Influences of soil properties on chromium(III) sorption. </w:t>
      </w:r>
      <w:r>
        <w:rPr>
          <w:i/>
          <w:iCs/>
          <w:kern w:val="0"/>
        </w:rPr>
        <w:t>Iranian Journal of Environmental Health Science &amp; Engineering</w:t>
      </w:r>
      <w:r>
        <w:rPr>
          <w:kern w:val="0"/>
        </w:rPr>
        <w:t xml:space="preserve">, </w:t>
      </w:r>
      <w:r>
        <w:rPr>
          <w:b/>
          <w:bCs/>
          <w:kern w:val="0"/>
        </w:rPr>
        <w:t>4</w:t>
      </w:r>
      <w:r>
        <w:rPr>
          <w:kern w:val="0"/>
        </w:rPr>
        <w:t xml:space="preserve"> (3), 169-172.</w:t>
      </w:r>
    </w:p>
    <w:p w:rsidR="00FB3376" w:rsidRPr="00A428C3" w:rsidRDefault="00FB3376" w:rsidP="00FB3376">
      <w:pPr>
        <w:pStyle w:val="a0"/>
        <w:rPr>
          <w:sz w:val="20"/>
        </w:rPr>
      </w:pPr>
      <w:r w:rsidRPr="00A428C3">
        <w:t xml:space="preserve">Full Text: </w:t>
      </w:r>
      <w:hyperlink r:id="rId2141" w:history="1">
        <w:r w:rsidRPr="00FB3376">
          <w:rPr>
            <w:rStyle w:val="a5"/>
          </w:rPr>
          <w:t>2007\Ira J Env Hea Sci Eng4, 169.pdf</w:t>
        </w:r>
      </w:hyperlink>
    </w:p>
    <w:p w:rsidR="00FB3376" w:rsidRDefault="00FB3376" w:rsidP="00FB3376">
      <w:pPr>
        <w:pStyle w:val="a0"/>
        <w:rPr>
          <w:kern w:val="0"/>
        </w:rPr>
      </w:pPr>
      <w:r>
        <w:rPr>
          <w:kern w:val="0"/>
        </w:rPr>
        <w:t>Abstract: Soil adsorbing properties reduce sorption ability of the metal, which in turn may influence decision for remediation at contaminated sites. The objective of this study is presentation of a model based on soil properties to estimate the sorption of Cr(III) in chromium contaminated soils. Twenty uncontaminated soil samples, with properties similar to the contaminated soils were selected from around of city of Tabriz</w:t>
      </w:r>
      <w:r w:rsidR="00F81221">
        <w:rPr>
          <w:kern w:val="0"/>
        </w:rPr>
        <w:t xml:space="preserve"> and </w:t>
      </w:r>
      <w:r>
        <w:rPr>
          <w:kern w:val="0"/>
        </w:rPr>
        <w:t>treated with Cr as CrCl3. A multiple regression analysis with statgraph software was used to drive an expression that related Cr sorption to common soil properties. The results showed that four soil properties were important in determining the amount of Cr adsorbed by the soils including pH, cation exchange capacity, total inorganic carbon</w:t>
      </w:r>
      <w:r w:rsidR="00F81221">
        <w:rPr>
          <w:kern w:val="0"/>
        </w:rPr>
        <w:t xml:space="preserve"> and </w:t>
      </w:r>
      <w:r>
        <w:rPr>
          <w:kern w:val="0"/>
        </w:rPr>
        <w:t>clay content with nearly 80% variability in Cr sorption</w:t>
      </w:r>
      <w:r w:rsidR="00F81221">
        <w:rPr>
          <w:kern w:val="0"/>
        </w:rPr>
        <w:t xml:space="preserve"> and </w:t>
      </w:r>
      <w:r>
        <w:rPr>
          <w:kern w:val="0"/>
        </w:rPr>
        <w:t>a reasonable level of confidence by this model. The obtained model suggested that Cr(III) sorption was enhanced by higher soil pH, more total inorganic carbon, more clay,</w:t>
      </w:r>
      <w:r w:rsidR="00F81221">
        <w:rPr>
          <w:kern w:val="0"/>
        </w:rPr>
        <w:t xml:space="preserve"> and </w:t>
      </w:r>
      <w:r>
        <w:rPr>
          <w:kern w:val="0"/>
        </w:rPr>
        <w:t>higher cation exchange capacity.</w:t>
      </w:r>
    </w:p>
    <w:p w:rsidR="00FB3376" w:rsidRDefault="00FB3376" w:rsidP="00FB3376">
      <w:pPr>
        <w:pStyle w:val="a0"/>
        <w:rPr>
          <w:kern w:val="0"/>
        </w:rPr>
      </w:pPr>
      <w:r>
        <w:rPr>
          <w:kern w:val="0"/>
        </w:rPr>
        <w:t xml:space="preserve">Keywords: Capacity, Carbon, Cation Exchange, Chromium, Clay, Cr(III), Cr(III) Sorption, Metal, </w:t>
      </w:r>
      <w:r>
        <w:rPr>
          <w:rFonts w:hint="eastAsia"/>
          <w:kern w:val="0"/>
        </w:rPr>
        <w:t>p</w:t>
      </w:r>
      <w:r>
        <w:rPr>
          <w:kern w:val="0"/>
        </w:rPr>
        <w:t>H, Remediation, Software, Soil, Soils, Sorption</w:t>
      </w:r>
    </w:p>
    <w:p w:rsidR="001D7548" w:rsidRDefault="001D7548" w:rsidP="001D7548">
      <w:pPr>
        <w:pStyle w:val="a0"/>
        <w:rPr>
          <w:kern w:val="0"/>
        </w:rPr>
      </w:pPr>
      <w:r>
        <w:rPr>
          <w:rFonts w:hint="eastAsia"/>
          <w:kern w:val="0"/>
        </w:rPr>
        <w:t xml:space="preserve">? </w:t>
      </w:r>
      <w:r>
        <w:rPr>
          <w:kern w:val="0"/>
        </w:rPr>
        <w:t>Mahvi, A.</w:t>
      </w:r>
      <w:r w:rsidRPr="001D7548">
        <w:rPr>
          <w:kern w:val="0"/>
        </w:rPr>
        <w:t>H.</w:t>
      </w:r>
      <w:r>
        <w:rPr>
          <w:rFonts w:hint="eastAsia"/>
          <w:kern w:val="0"/>
        </w:rPr>
        <w:t>,</w:t>
      </w:r>
      <w:r>
        <w:rPr>
          <w:kern w:val="0"/>
        </w:rPr>
        <w:t xml:space="preserve"> Nabizadeh, R.</w:t>
      </w:r>
      <w:r>
        <w:rPr>
          <w:rFonts w:hint="eastAsia"/>
          <w:kern w:val="0"/>
        </w:rPr>
        <w:t>,</w:t>
      </w:r>
      <w:r>
        <w:rPr>
          <w:kern w:val="0"/>
        </w:rPr>
        <w:t xml:space="preserve"> Gholami, F.</w:t>
      </w:r>
      <w:r w:rsidR="00F81221">
        <w:rPr>
          <w:rFonts w:hint="eastAsia"/>
          <w:kern w:val="0"/>
        </w:rPr>
        <w:t xml:space="preserve"> and </w:t>
      </w:r>
      <w:r w:rsidRPr="001D7548">
        <w:rPr>
          <w:kern w:val="0"/>
        </w:rPr>
        <w:t>Khairi, A.</w:t>
      </w:r>
      <w:r>
        <w:rPr>
          <w:kern w:val="0"/>
        </w:rPr>
        <w:t xml:space="preserve"> (200</w:t>
      </w:r>
      <w:r>
        <w:rPr>
          <w:rFonts w:hint="eastAsia"/>
          <w:kern w:val="0"/>
        </w:rPr>
        <w:t>7</w:t>
      </w:r>
      <w:r>
        <w:rPr>
          <w:kern w:val="0"/>
        </w:rPr>
        <w:t xml:space="preserve">), </w:t>
      </w:r>
      <w:r w:rsidRPr="001D7548">
        <w:rPr>
          <w:kern w:val="0"/>
        </w:rPr>
        <w:t xml:space="preserve">Adsorption of chromium from wastewater by </w:t>
      </w:r>
      <w:r w:rsidRPr="001D7548">
        <w:rPr>
          <w:i/>
          <w:kern w:val="0"/>
        </w:rPr>
        <w:t>Platanus orientalis</w:t>
      </w:r>
      <w:r w:rsidRPr="001D7548">
        <w:rPr>
          <w:kern w:val="0"/>
        </w:rPr>
        <w:t xml:space="preserve"> leaves</w:t>
      </w:r>
      <w:r>
        <w:rPr>
          <w:kern w:val="0"/>
        </w:rPr>
        <w:t xml:space="preserve">. </w:t>
      </w:r>
      <w:r>
        <w:rPr>
          <w:i/>
          <w:iCs/>
          <w:kern w:val="0"/>
        </w:rPr>
        <w:t>Iranian Journal of Environmental Health Science &amp; Engineering</w:t>
      </w:r>
      <w:r>
        <w:rPr>
          <w:kern w:val="0"/>
        </w:rPr>
        <w:t xml:space="preserve">, </w:t>
      </w:r>
      <w:r>
        <w:rPr>
          <w:rFonts w:hint="eastAsia"/>
          <w:b/>
          <w:bCs/>
          <w:kern w:val="0"/>
        </w:rPr>
        <w:t>4</w:t>
      </w:r>
      <w:r>
        <w:rPr>
          <w:kern w:val="0"/>
        </w:rPr>
        <w:t xml:space="preserve"> (3), </w:t>
      </w:r>
      <w:r w:rsidRPr="001D7548">
        <w:rPr>
          <w:kern w:val="0"/>
        </w:rPr>
        <w:t>191-196</w:t>
      </w:r>
      <w:r>
        <w:rPr>
          <w:kern w:val="0"/>
        </w:rPr>
        <w:t>.</w:t>
      </w:r>
    </w:p>
    <w:p w:rsidR="001D7548" w:rsidRDefault="001D7548" w:rsidP="001D7548">
      <w:pPr>
        <w:pStyle w:val="a0"/>
        <w:rPr>
          <w:kern w:val="0"/>
        </w:rPr>
      </w:pPr>
      <w:r>
        <w:rPr>
          <w:rFonts w:hint="eastAsia"/>
          <w:kern w:val="0"/>
        </w:rPr>
        <w:t xml:space="preserve">Full Text: </w:t>
      </w:r>
      <w:hyperlink r:id="rId2142" w:history="1">
        <w:r w:rsidRPr="001D7548">
          <w:rPr>
            <w:rStyle w:val="a5"/>
            <w:kern w:val="0"/>
          </w:rPr>
          <w:t>2007\Ira J Env Hea Sci Eng4, 191.pdf</w:t>
        </w:r>
      </w:hyperlink>
    </w:p>
    <w:p w:rsidR="001D7548" w:rsidRPr="001D7548" w:rsidRDefault="001D7548" w:rsidP="001D7548">
      <w:pPr>
        <w:pStyle w:val="a0"/>
        <w:rPr>
          <w:kern w:val="0"/>
        </w:rPr>
      </w:pPr>
      <w:r>
        <w:rPr>
          <w:kern w:val="0"/>
        </w:rPr>
        <w:t>Abstract: The Cr</w:t>
      </w:r>
      <w:r w:rsidRPr="001D7548">
        <w:rPr>
          <w:kern w:val="0"/>
        </w:rPr>
        <w:t>(VI) adsorption characteristics of Platanus orientalis leaves</w:t>
      </w:r>
      <w:r w:rsidR="00F81221">
        <w:rPr>
          <w:kern w:val="0"/>
        </w:rPr>
        <w:t xml:space="preserve"> and </w:t>
      </w:r>
      <w:r w:rsidRPr="001D7548">
        <w:rPr>
          <w:kern w:val="0"/>
        </w:rPr>
        <w:t>their ash were examined as a function of contact time, initial pH</w:t>
      </w:r>
      <w:r w:rsidR="00F81221">
        <w:rPr>
          <w:kern w:val="0"/>
        </w:rPr>
        <w:t xml:space="preserve"> and </w:t>
      </w:r>
      <w:r w:rsidRPr="001D7548">
        <w:rPr>
          <w:kern w:val="0"/>
        </w:rPr>
        <w:t>metal ion concentration. Batch adsorption experiments were performed. The effects of Ca</w:t>
      </w:r>
      <w:r w:rsidRPr="001D7548">
        <w:rPr>
          <w:kern w:val="0"/>
          <w:vertAlign w:val="superscript"/>
        </w:rPr>
        <w:t>2+</w:t>
      </w:r>
      <w:r w:rsidRPr="001D7548">
        <w:rPr>
          <w:kern w:val="0"/>
        </w:rPr>
        <w:t xml:space="preserve">, </w:t>
      </w:r>
      <w:r w:rsidRPr="001D7548">
        <w:rPr>
          <w:kern w:val="0"/>
        </w:rPr>
        <w:lastRenderedPageBreak/>
        <w:t>Mg</w:t>
      </w:r>
      <w:r w:rsidRPr="001D7548">
        <w:rPr>
          <w:kern w:val="0"/>
          <w:vertAlign w:val="superscript"/>
        </w:rPr>
        <w:t>2+</w:t>
      </w:r>
      <w:r w:rsidRPr="001D7548">
        <w:rPr>
          <w:kern w:val="0"/>
        </w:rPr>
        <w:t>, Na</w:t>
      </w:r>
      <w:r w:rsidRPr="001D7548">
        <w:rPr>
          <w:kern w:val="0"/>
          <w:vertAlign w:val="superscript"/>
        </w:rPr>
        <w:t>+</w:t>
      </w:r>
      <w:r w:rsidR="00F81221">
        <w:rPr>
          <w:kern w:val="0"/>
        </w:rPr>
        <w:t xml:space="preserve"> and </w:t>
      </w:r>
      <w:r w:rsidRPr="001D7548">
        <w:rPr>
          <w:kern w:val="0"/>
        </w:rPr>
        <w:t>K</w:t>
      </w:r>
      <w:r w:rsidRPr="001D7548">
        <w:rPr>
          <w:kern w:val="0"/>
          <w:vertAlign w:val="superscript"/>
        </w:rPr>
        <w:t>+</w:t>
      </w:r>
      <w:r w:rsidRPr="001D7548">
        <w:rPr>
          <w:kern w:val="0"/>
        </w:rPr>
        <w:t xml:space="preserve"> on adsorption were studied. The effect of this adsorbent on COD in wastewater showed that 2</w:t>
      </w:r>
      <w:r>
        <w:rPr>
          <w:rFonts w:hint="eastAsia"/>
          <w:kern w:val="0"/>
        </w:rPr>
        <w:t xml:space="preserve"> </w:t>
      </w:r>
      <w:r w:rsidRPr="001D7548">
        <w:rPr>
          <w:kern w:val="0"/>
        </w:rPr>
        <w:t>g/L of adsorbent caused increase of 110 mg/L</w:t>
      </w:r>
      <w:r w:rsidR="00F81221">
        <w:rPr>
          <w:kern w:val="0"/>
        </w:rPr>
        <w:t xml:space="preserve"> and </w:t>
      </w:r>
      <w:r w:rsidRPr="001D7548">
        <w:rPr>
          <w:kern w:val="0"/>
        </w:rPr>
        <w:t>76 mg/L COD in deionized water in 120 minutes for Platanus orientalis leaves</w:t>
      </w:r>
      <w:r w:rsidR="00F81221">
        <w:rPr>
          <w:kern w:val="0"/>
        </w:rPr>
        <w:t xml:space="preserve"> and </w:t>
      </w:r>
      <w:r w:rsidRPr="001D7548">
        <w:rPr>
          <w:kern w:val="0"/>
        </w:rPr>
        <w:t>their ash, respectively. The maximum removal took place in the pH range of 6-7, contact time of 60 minutes</w:t>
      </w:r>
      <w:r w:rsidR="00F81221">
        <w:rPr>
          <w:kern w:val="0"/>
        </w:rPr>
        <w:t xml:space="preserve"> and </w:t>
      </w:r>
      <w:r w:rsidRPr="001D7548">
        <w:rPr>
          <w:kern w:val="0"/>
        </w:rPr>
        <w:t>initial concentration of 2 mg/L. Studies showed that the Freundlich adsorption model better fitted with the results than Langmuir with R2</w:t>
      </w:r>
      <w:r>
        <w:rPr>
          <w:rFonts w:hint="eastAsia"/>
          <w:kern w:val="0"/>
        </w:rPr>
        <w:t xml:space="preserve"> </w:t>
      </w:r>
      <w:r w:rsidRPr="001D7548">
        <w:rPr>
          <w:kern w:val="0"/>
        </w:rPr>
        <w:t>&gt;</w:t>
      </w:r>
      <w:r>
        <w:rPr>
          <w:rFonts w:hint="eastAsia"/>
          <w:kern w:val="0"/>
        </w:rPr>
        <w:t xml:space="preserve"> </w:t>
      </w:r>
      <w:r w:rsidRPr="001D7548">
        <w:rPr>
          <w:kern w:val="0"/>
        </w:rPr>
        <w:t>0.85. The study showed Platanus orientalis leaves ash was more favorable than living ones as well as in removing chromium from the aqueous solution.</w:t>
      </w:r>
    </w:p>
    <w:p w:rsidR="00FB3376" w:rsidRDefault="00FB3376" w:rsidP="00FB3376">
      <w:pPr>
        <w:pStyle w:val="a0"/>
        <w:rPr>
          <w:kern w:val="0"/>
        </w:rPr>
      </w:pPr>
      <w:r>
        <w:rPr>
          <w:rFonts w:hint="eastAsia"/>
          <w:kern w:val="0"/>
        </w:rPr>
        <w:t xml:space="preserve">? </w:t>
      </w:r>
      <w:r>
        <w:rPr>
          <w:kern w:val="0"/>
        </w:rPr>
        <w:t>Arivoli, S., Hema, M.</w:t>
      </w:r>
      <w:r w:rsidR="00F81221">
        <w:rPr>
          <w:kern w:val="0"/>
        </w:rPr>
        <w:t xml:space="preserve"> and </w:t>
      </w:r>
      <w:r>
        <w:rPr>
          <w:kern w:val="0"/>
        </w:rPr>
        <w:t>Barathiraja, C. (2008), Comparative study on metal ions adsorption on a low cost carbonaceous adsorbent kinetic equilibrium</w:t>
      </w:r>
      <w:r w:rsidR="00F81221">
        <w:rPr>
          <w:kern w:val="0"/>
        </w:rPr>
        <w:t xml:space="preserve"> and </w:t>
      </w:r>
      <w:r>
        <w:rPr>
          <w:kern w:val="0"/>
        </w:rPr>
        <w:t xml:space="preserve">mechanistic studies. </w:t>
      </w:r>
      <w:r>
        <w:rPr>
          <w:i/>
          <w:iCs/>
          <w:kern w:val="0"/>
        </w:rPr>
        <w:t>Iranian Journal of Environmental Health Science &amp; Engineering</w:t>
      </w:r>
      <w:r>
        <w:rPr>
          <w:kern w:val="0"/>
        </w:rPr>
        <w:t xml:space="preserve">, </w:t>
      </w:r>
      <w:r>
        <w:rPr>
          <w:b/>
          <w:bCs/>
          <w:kern w:val="0"/>
        </w:rPr>
        <w:t>5</w:t>
      </w:r>
      <w:r>
        <w:rPr>
          <w:kern w:val="0"/>
        </w:rPr>
        <w:t xml:space="preserve"> (1), 1-10.</w:t>
      </w:r>
    </w:p>
    <w:p w:rsidR="00FB3376" w:rsidRPr="00A428C3" w:rsidRDefault="00FB3376" w:rsidP="00FB3376">
      <w:pPr>
        <w:pStyle w:val="a0"/>
        <w:rPr>
          <w:sz w:val="20"/>
        </w:rPr>
      </w:pPr>
      <w:r w:rsidRPr="00A428C3">
        <w:t xml:space="preserve">Full Text: </w:t>
      </w:r>
      <w:hyperlink r:id="rId2143" w:history="1">
        <w:r w:rsidRPr="00FB3376">
          <w:rPr>
            <w:rStyle w:val="a5"/>
          </w:rPr>
          <w:t>2008\Ira J Env Hea Sci Eng5, 1.pdf</w:t>
        </w:r>
      </w:hyperlink>
    </w:p>
    <w:p w:rsidR="00FB3376" w:rsidRDefault="00FB3376" w:rsidP="00FB3376">
      <w:pPr>
        <w:pStyle w:val="a0"/>
        <w:rPr>
          <w:kern w:val="0"/>
        </w:rPr>
      </w:pPr>
      <w:r>
        <w:rPr>
          <w:kern w:val="0"/>
        </w:rPr>
        <w:t>Abstract: A carbonaceous adsorbent prepared from an indigenous waste</w:t>
      </w:r>
      <w:r w:rsidR="00F81221">
        <w:rPr>
          <w:kern w:val="0"/>
        </w:rPr>
        <w:t xml:space="preserve"> and </w:t>
      </w:r>
      <w:r>
        <w:rPr>
          <w:kern w:val="0"/>
        </w:rPr>
        <w:t>treated by acid was tested for its efficiency in removing metal ions of Fe(II), Co(II)</w:t>
      </w:r>
      <w:r w:rsidR="00F81221">
        <w:rPr>
          <w:kern w:val="0"/>
        </w:rPr>
        <w:t xml:space="preserve"> and </w:t>
      </w:r>
      <w:r>
        <w:rPr>
          <w:kern w:val="0"/>
        </w:rPr>
        <w:t>Ni(II). The process parameters studied included agitation time, initial metal ion concentration, carbon dosage, pH, other ions</w:t>
      </w:r>
      <w:r w:rsidR="00F81221">
        <w:rPr>
          <w:kern w:val="0"/>
        </w:rPr>
        <w:t xml:space="preserve"> and </w:t>
      </w:r>
      <w:r>
        <w:rPr>
          <w:kern w:val="0"/>
        </w:rPr>
        <w:t>temperature. The kinetics of adsorption followed first order reaction equation</w:t>
      </w:r>
      <w:r w:rsidR="00F81221">
        <w:rPr>
          <w:kern w:val="0"/>
        </w:rPr>
        <w:t xml:space="preserve"> and </w:t>
      </w:r>
      <w:r>
        <w:rPr>
          <w:kern w:val="0"/>
        </w:rPr>
        <w:t>the rate was mainly controlled by intraparticle diffusion. Freundlich</w:t>
      </w:r>
      <w:r w:rsidR="00F81221">
        <w:rPr>
          <w:kern w:val="0"/>
        </w:rPr>
        <w:t xml:space="preserve"> and </w:t>
      </w:r>
      <w:r>
        <w:rPr>
          <w:kern w:val="0"/>
        </w:rPr>
        <w:t>Langmuir isotherm models were applied to the equilibrium data. The adsorption capacity obtained from the Langmuir isotherm plots was found around 28mg/g for all selected metal ions at an initial pH of 6. The temperature variation study showed that the metal ions adsorption is endothermic</w:t>
      </w:r>
      <w:r w:rsidR="00F81221">
        <w:rPr>
          <w:kern w:val="0"/>
        </w:rPr>
        <w:t xml:space="preserve"> and </w:t>
      </w:r>
      <w:r>
        <w:rPr>
          <w:kern w:val="0"/>
        </w:rPr>
        <w:t>spontaneous with increased randomness at the solid solution interface. Significant effect on adsorption was observed on varying pH of the metal ion solutions. The type I</w:t>
      </w:r>
      <w:r w:rsidR="00F81221">
        <w:rPr>
          <w:kern w:val="0"/>
        </w:rPr>
        <w:t xml:space="preserve"> and </w:t>
      </w:r>
      <w:r>
        <w:rPr>
          <w:kern w:val="0"/>
        </w:rPr>
        <w:t>II isotherms obtained, positive Delta H-0 values, pH dependent results</w:t>
      </w:r>
      <w:r w:rsidR="00F81221">
        <w:rPr>
          <w:kern w:val="0"/>
        </w:rPr>
        <w:t xml:space="preserve"> and </w:t>
      </w:r>
      <w:r>
        <w:rPr>
          <w:kern w:val="0"/>
        </w:rPr>
        <w:t>desorption of metal ions in mineral acid suggests that the adsorption of metal ions on this type of adsorbent involves both chemisorption</w:t>
      </w:r>
      <w:r w:rsidR="00F81221">
        <w:rPr>
          <w:kern w:val="0"/>
        </w:rPr>
        <w:t xml:space="preserve"> and </w:t>
      </w:r>
      <w:r>
        <w:rPr>
          <w:kern w:val="0"/>
        </w:rPr>
        <w:t>physical adsorption mechanisms.</w:t>
      </w:r>
    </w:p>
    <w:p w:rsidR="00FB3376" w:rsidRDefault="00FB3376" w:rsidP="00FB3376">
      <w:pPr>
        <w:pStyle w:val="a0"/>
        <w:rPr>
          <w:kern w:val="0"/>
        </w:rPr>
      </w:pPr>
      <w:r>
        <w:rPr>
          <w:kern w:val="0"/>
        </w:rPr>
        <w:t xml:space="preserve">Keywords: Adsorption, Adsorption Capacity, Capacity, Carbon, Chemisorption, Desorption, Diffusion, Endothermic, Equilibrium, First Order, Freundlich, Intraparticle Diffusion, Isotherm, Isotherms, Kinetic, Kinetics, Kinetics of Adsorption, Langmuir, Langmuir Isotherm, Mechanisms, Metal, Metal Ions, Models, Ni(II), </w:t>
      </w:r>
      <w:r>
        <w:rPr>
          <w:rFonts w:hint="eastAsia"/>
          <w:kern w:val="0"/>
        </w:rPr>
        <w:t>p</w:t>
      </w:r>
      <w:r>
        <w:rPr>
          <w:kern w:val="0"/>
        </w:rPr>
        <w:t>H, Positive, Solutions, Temperature</w:t>
      </w:r>
    </w:p>
    <w:p w:rsidR="00FB3376" w:rsidRDefault="00FB3376" w:rsidP="00FB3376">
      <w:pPr>
        <w:pStyle w:val="a0"/>
        <w:rPr>
          <w:kern w:val="0"/>
        </w:rPr>
      </w:pPr>
      <w:r>
        <w:rPr>
          <w:rFonts w:hint="eastAsia"/>
          <w:kern w:val="0"/>
        </w:rPr>
        <w:t xml:space="preserve">? </w:t>
      </w:r>
      <w:r>
        <w:rPr>
          <w:kern w:val="0"/>
        </w:rPr>
        <w:t>Kazemian, H.</w:t>
      </w:r>
      <w:r w:rsidR="00F81221">
        <w:rPr>
          <w:kern w:val="0"/>
        </w:rPr>
        <w:t xml:space="preserve"> and </w:t>
      </w:r>
      <w:r>
        <w:rPr>
          <w:kern w:val="0"/>
        </w:rPr>
        <w:t xml:space="preserve">Mallah, M.H. (2008), Removal of chromate ion from contaminated synthetic water using MCM-41/ZSM-5 composite. </w:t>
      </w:r>
      <w:r>
        <w:rPr>
          <w:i/>
          <w:iCs/>
          <w:kern w:val="0"/>
        </w:rPr>
        <w:t>Iranian Journal of Environmental Health Science &amp; Engineering</w:t>
      </w:r>
      <w:r>
        <w:rPr>
          <w:kern w:val="0"/>
        </w:rPr>
        <w:t xml:space="preserve">, </w:t>
      </w:r>
      <w:r>
        <w:rPr>
          <w:b/>
          <w:bCs/>
          <w:kern w:val="0"/>
        </w:rPr>
        <w:t>5</w:t>
      </w:r>
      <w:r>
        <w:rPr>
          <w:kern w:val="0"/>
        </w:rPr>
        <w:t xml:space="preserve"> (1), 73-77.</w:t>
      </w:r>
    </w:p>
    <w:p w:rsidR="00FB3376" w:rsidRPr="00A428C3" w:rsidRDefault="00FB3376" w:rsidP="00FB3376">
      <w:pPr>
        <w:pStyle w:val="a0"/>
        <w:rPr>
          <w:sz w:val="20"/>
        </w:rPr>
      </w:pPr>
      <w:r w:rsidRPr="00A428C3">
        <w:t xml:space="preserve">Full Text: </w:t>
      </w:r>
      <w:hyperlink r:id="rId2144" w:history="1">
        <w:r w:rsidRPr="00FB3376">
          <w:rPr>
            <w:rStyle w:val="a5"/>
          </w:rPr>
          <w:t>2008\Ira J Env Hea Sci Eng5, 73.pdf</w:t>
        </w:r>
      </w:hyperlink>
    </w:p>
    <w:p w:rsidR="00FB3376" w:rsidRDefault="00FB3376" w:rsidP="00FB3376">
      <w:pPr>
        <w:pStyle w:val="a0"/>
        <w:rPr>
          <w:kern w:val="0"/>
        </w:rPr>
      </w:pPr>
      <w:r>
        <w:rPr>
          <w:kern w:val="0"/>
        </w:rPr>
        <w:t>Abstract: In the present study removal of chromate anion (CrO</w:t>
      </w:r>
      <w:r w:rsidRPr="007D3BB3">
        <w:rPr>
          <w:kern w:val="0"/>
          <w:vertAlign w:val="subscript"/>
        </w:rPr>
        <w:t>4</w:t>
      </w:r>
      <w:r w:rsidRPr="007D3BB3">
        <w:rPr>
          <w:kern w:val="0"/>
          <w:vertAlign w:val="superscript"/>
        </w:rPr>
        <w:t>2-</w:t>
      </w:r>
      <w:r>
        <w:rPr>
          <w:kern w:val="0"/>
        </w:rPr>
        <w:t>) from a synthetic aqueous solution by a synthesized MCM-41/ZSM-5 composite</w:t>
      </w:r>
      <w:r w:rsidR="00F81221">
        <w:rPr>
          <w:kern w:val="0"/>
        </w:rPr>
        <w:t xml:space="preserve"> and </w:t>
      </w:r>
      <w:r>
        <w:rPr>
          <w:kern w:val="0"/>
        </w:rPr>
        <w:t xml:space="preserve">its modified form </w:t>
      </w:r>
      <w:r>
        <w:rPr>
          <w:kern w:val="0"/>
        </w:rPr>
        <w:lastRenderedPageBreak/>
        <w:t>with the anionic surfactant of hexadecyl-teri methyl ammonium bromide; (surfactant modified composite) was investigated. According to the data obtained from batch test of MCM-41/ZSM-5 composite</w:t>
      </w:r>
      <w:r w:rsidR="00F81221">
        <w:rPr>
          <w:kern w:val="0"/>
        </w:rPr>
        <w:t xml:space="preserve"> and </w:t>
      </w:r>
      <w:r>
        <w:rPr>
          <w:kern w:val="0"/>
        </w:rPr>
        <w:t>surfactant modified composite, it is obvious that modification of the composite with anionic surfactant improves its affinity toward the oxyanion (917mL/g for MCM-41/ZSM-5 composite in comparison to 1870mL/g for surfactant modified composite). It was concluded that sorption capacity</w:t>
      </w:r>
      <w:r w:rsidR="00F81221">
        <w:rPr>
          <w:kern w:val="0"/>
        </w:rPr>
        <w:t xml:space="preserve"> and </w:t>
      </w:r>
      <w:r>
        <w:rPr>
          <w:kern w:val="0"/>
        </w:rPr>
        <w:t>selectivity of the composite will be remarkly improve toward chromate anion by modification of its surface by a surfactant; therefore surfactant modified composite is a suitable candidate for removal of chromate anion from contaminated solutions.</w:t>
      </w:r>
    </w:p>
    <w:p w:rsidR="00FB3376" w:rsidRDefault="00FB3376" w:rsidP="00FB3376">
      <w:pPr>
        <w:pStyle w:val="a0"/>
        <w:rPr>
          <w:kern w:val="0"/>
        </w:rPr>
      </w:pPr>
      <w:r>
        <w:rPr>
          <w:kern w:val="0"/>
        </w:rPr>
        <w:t>Keywords: Aqueous, Capacity, Chromate, Composite, Removal, Solutions, Sorption, Surfactant, Water</w:t>
      </w:r>
    </w:p>
    <w:p w:rsidR="00FB3376" w:rsidRDefault="00FB3376" w:rsidP="00FB3376">
      <w:pPr>
        <w:pStyle w:val="a0"/>
        <w:rPr>
          <w:kern w:val="0"/>
        </w:rPr>
      </w:pPr>
      <w:r>
        <w:rPr>
          <w:rFonts w:hint="eastAsia"/>
          <w:kern w:val="0"/>
        </w:rPr>
        <w:t xml:space="preserve">? </w:t>
      </w:r>
      <w:r>
        <w:rPr>
          <w:kern w:val="0"/>
        </w:rPr>
        <w:t>Khanafari, A., Eshghdoost, S.</w:t>
      </w:r>
      <w:r w:rsidR="00F81221">
        <w:rPr>
          <w:kern w:val="0"/>
        </w:rPr>
        <w:t xml:space="preserve"> and </w:t>
      </w:r>
      <w:r>
        <w:rPr>
          <w:kern w:val="0"/>
        </w:rPr>
        <w:t>Mashinchian, A. (2008), Removal of lead</w:t>
      </w:r>
      <w:r w:rsidR="00F81221">
        <w:rPr>
          <w:kern w:val="0"/>
        </w:rPr>
        <w:t xml:space="preserve"> and </w:t>
      </w:r>
      <w:r>
        <w:rPr>
          <w:kern w:val="0"/>
        </w:rPr>
        <w:t xml:space="preserve">chromium from aqueous solution by </w:t>
      </w:r>
      <w:r w:rsidRPr="00FB3376">
        <w:rPr>
          <w:i/>
          <w:kern w:val="0"/>
        </w:rPr>
        <w:t>Bacillus circulans</w:t>
      </w:r>
      <w:r>
        <w:rPr>
          <w:kern w:val="0"/>
        </w:rPr>
        <w:t xml:space="preserve"> biofilm. </w:t>
      </w:r>
      <w:r>
        <w:rPr>
          <w:i/>
          <w:iCs/>
          <w:kern w:val="0"/>
        </w:rPr>
        <w:t>Iranian Journal of Environmental Health Science &amp; Engineering</w:t>
      </w:r>
      <w:r>
        <w:rPr>
          <w:kern w:val="0"/>
        </w:rPr>
        <w:t xml:space="preserve"> , </w:t>
      </w:r>
      <w:r>
        <w:rPr>
          <w:b/>
          <w:bCs/>
          <w:kern w:val="0"/>
        </w:rPr>
        <w:t>5</w:t>
      </w:r>
      <w:r>
        <w:rPr>
          <w:kern w:val="0"/>
        </w:rPr>
        <w:t xml:space="preserve"> (3), 195-200.</w:t>
      </w:r>
    </w:p>
    <w:p w:rsidR="00FB3376" w:rsidRPr="00A428C3" w:rsidRDefault="00FB3376" w:rsidP="00FB3376">
      <w:pPr>
        <w:pStyle w:val="a0"/>
        <w:rPr>
          <w:sz w:val="20"/>
        </w:rPr>
      </w:pPr>
      <w:r w:rsidRPr="00A428C3">
        <w:t xml:space="preserve">Full Text: </w:t>
      </w:r>
      <w:hyperlink r:id="rId2145" w:history="1">
        <w:r w:rsidRPr="00FB3376">
          <w:rPr>
            <w:rStyle w:val="a5"/>
          </w:rPr>
          <w:t>2008\Ira J Env Hea Sci Eng5, 195.pdf</w:t>
        </w:r>
      </w:hyperlink>
    </w:p>
    <w:p w:rsidR="00FB3376" w:rsidRDefault="00FB3376" w:rsidP="00FB3376">
      <w:pPr>
        <w:pStyle w:val="a0"/>
        <w:rPr>
          <w:kern w:val="0"/>
        </w:rPr>
      </w:pPr>
      <w:r>
        <w:rPr>
          <w:kern w:val="0"/>
        </w:rPr>
        <w:t>Abstract: The different methods are used for the removal of heavy metals as important contaminants in water</w:t>
      </w:r>
      <w:r w:rsidR="00F81221">
        <w:rPr>
          <w:kern w:val="0"/>
        </w:rPr>
        <w:t xml:space="preserve"> and </w:t>
      </w:r>
      <w:r>
        <w:rPr>
          <w:kern w:val="0"/>
        </w:rPr>
        <w:t>wastewater. Biosorption is an alternative to traditional physicochemical in removing toxic metals from wastewaters</w:t>
      </w:r>
      <w:r w:rsidR="00F81221">
        <w:rPr>
          <w:kern w:val="0"/>
        </w:rPr>
        <w:t xml:space="preserve"> and </w:t>
      </w:r>
      <w:r>
        <w:rPr>
          <w:kern w:val="0"/>
        </w:rPr>
        <w:t>groundwater resources. In this study biosorption of lead</w:t>
      </w:r>
      <w:r w:rsidR="00F81221">
        <w:rPr>
          <w:kern w:val="0"/>
        </w:rPr>
        <w:t xml:space="preserve"> and </w:t>
      </w:r>
      <w:r>
        <w:rPr>
          <w:kern w:val="0"/>
        </w:rPr>
        <w:t>chromium ions from solution was studied using Bacillus circulans isolated from Anzali wetland in batch</w:t>
      </w:r>
      <w:r w:rsidR="00F81221">
        <w:rPr>
          <w:kern w:val="0"/>
        </w:rPr>
        <w:t xml:space="preserve"> and </w:t>
      </w:r>
      <w:r>
        <w:rPr>
          <w:kern w:val="0"/>
        </w:rPr>
        <w:t>biofilter modes</w:t>
      </w:r>
      <w:r w:rsidR="00F81221">
        <w:rPr>
          <w:kern w:val="0"/>
        </w:rPr>
        <w:t xml:space="preserve"> and </w:t>
      </w:r>
      <w:r>
        <w:rPr>
          <w:kern w:val="0"/>
        </w:rPr>
        <w:t>optimum conditions were determined. The experimental results showed 900-950 mg/L</w:t>
      </w:r>
      <w:r w:rsidR="00F81221">
        <w:rPr>
          <w:kern w:val="0"/>
        </w:rPr>
        <w:t xml:space="preserve"> and </w:t>
      </w:r>
      <w:r>
        <w:rPr>
          <w:kern w:val="0"/>
        </w:rPr>
        <w:t>1050-1100 mg/L, for minimum bactericidal concentration</w:t>
      </w:r>
      <w:r w:rsidR="00F81221">
        <w:rPr>
          <w:kern w:val="0"/>
        </w:rPr>
        <w:t xml:space="preserve"> and </w:t>
      </w:r>
      <w:r>
        <w:rPr>
          <w:kern w:val="0"/>
        </w:rPr>
        <w:t>minimum inhibitory concenteration for lead</w:t>
      </w:r>
      <w:r w:rsidR="00F81221">
        <w:rPr>
          <w:kern w:val="0"/>
        </w:rPr>
        <w:t xml:space="preserve"> and </w:t>
      </w:r>
      <w:r>
        <w:rPr>
          <w:kern w:val="0"/>
        </w:rPr>
        <w:t>chromium, respectively. Results of metal concentration in solution containing 500 mg/L in batch culture showed a reduction about 65%</w:t>
      </w:r>
      <w:r w:rsidR="00F81221">
        <w:rPr>
          <w:kern w:val="0"/>
        </w:rPr>
        <w:t xml:space="preserve"> and </w:t>
      </w:r>
      <w:r>
        <w:rPr>
          <w:kern w:val="0"/>
        </w:rPr>
        <w:t>48% in five</w:t>
      </w:r>
      <w:r w:rsidR="00F81221">
        <w:rPr>
          <w:kern w:val="0"/>
        </w:rPr>
        <w:t xml:space="preserve"> and </w:t>
      </w:r>
      <w:r>
        <w:rPr>
          <w:kern w:val="0"/>
        </w:rPr>
        <w:t>four days for lead</w:t>
      </w:r>
      <w:r w:rsidR="00F81221">
        <w:rPr>
          <w:kern w:val="0"/>
        </w:rPr>
        <w:t xml:space="preserve"> and </w:t>
      </w:r>
      <w:r>
        <w:rPr>
          <w:kern w:val="0"/>
        </w:rPr>
        <w:t>chromium, respectively. The highest value of lead</w:t>
      </w:r>
      <w:r w:rsidR="00F81221">
        <w:rPr>
          <w:kern w:val="0"/>
        </w:rPr>
        <w:t xml:space="preserve"> and </w:t>
      </w:r>
      <w:r>
        <w:rPr>
          <w:kern w:val="0"/>
        </w:rPr>
        <w:t>chromium uptake in solution with 500 mg/L was 78%</w:t>
      </w:r>
      <w:r w:rsidR="00F81221">
        <w:rPr>
          <w:kern w:val="0"/>
        </w:rPr>
        <w:t xml:space="preserve"> and </w:t>
      </w:r>
      <w:r>
        <w:rPr>
          <w:kern w:val="0"/>
        </w:rPr>
        <w:t>40% in biofilter mode, respectively. The biosorption of lead</w:t>
      </w:r>
      <w:r w:rsidR="00F81221">
        <w:rPr>
          <w:kern w:val="0"/>
        </w:rPr>
        <w:t xml:space="preserve"> and </w:t>
      </w:r>
      <w:r>
        <w:rPr>
          <w:kern w:val="0"/>
        </w:rPr>
        <w:t>chromium were increased up to pH=5.5, 6, 5.5</w:t>
      </w:r>
      <w:r w:rsidR="00F81221">
        <w:rPr>
          <w:kern w:val="0"/>
        </w:rPr>
        <w:t xml:space="preserve"> and </w:t>
      </w:r>
      <w:r>
        <w:rPr>
          <w:kern w:val="0"/>
        </w:rPr>
        <w:t>7, respectively. In the other hand, maximum sorption occurred at neutral pH. There was a significant decreasing of biosorption levels by lowering pH fewer than 3. Accumulation of lead</w:t>
      </w:r>
      <w:r w:rsidR="00F81221">
        <w:rPr>
          <w:kern w:val="0"/>
        </w:rPr>
        <w:t xml:space="preserve"> and </w:t>
      </w:r>
      <w:r>
        <w:rPr>
          <w:kern w:val="0"/>
        </w:rPr>
        <w:t>chromium was determined by scanning electron microscopy analysis of the biofilm exposed to 500 mg/L metal concentration. Based on this analysis, the highest metal concentrations were observed in regions with including bacteria.</w:t>
      </w:r>
    </w:p>
    <w:p w:rsidR="00FB3376" w:rsidRDefault="00FB3376" w:rsidP="00FB3376">
      <w:pPr>
        <w:pStyle w:val="a0"/>
        <w:rPr>
          <w:kern w:val="0"/>
        </w:rPr>
      </w:pPr>
      <w:r>
        <w:rPr>
          <w:kern w:val="0"/>
        </w:rPr>
        <w:t xml:space="preserve">Keywords: Aqueous, Biofilm, Biofilter, Biosorption, Chromium, Heavy Metals, Lead, Metal, Metals, </w:t>
      </w:r>
      <w:r>
        <w:rPr>
          <w:rFonts w:hint="eastAsia"/>
          <w:kern w:val="0"/>
        </w:rPr>
        <w:t>p</w:t>
      </w:r>
      <w:r>
        <w:rPr>
          <w:kern w:val="0"/>
        </w:rPr>
        <w:t>H, Removal, Sorption, Toxic Metals, Wastewater, Water</w:t>
      </w:r>
    </w:p>
    <w:p w:rsidR="00FB3376" w:rsidRDefault="00FB3376" w:rsidP="00FB3376">
      <w:pPr>
        <w:pStyle w:val="a0"/>
        <w:rPr>
          <w:kern w:val="0"/>
        </w:rPr>
      </w:pPr>
      <w:r>
        <w:rPr>
          <w:rFonts w:hint="eastAsia"/>
          <w:kern w:val="0"/>
        </w:rPr>
        <w:t xml:space="preserve">? </w:t>
      </w:r>
      <w:r>
        <w:rPr>
          <w:kern w:val="0"/>
        </w:rPr>
        <w:t>Asgari, A., Vaezi, F., Nasseri, S., Dordelmann, O., Mahvi, A.</w:t>
      </w:r>
      <w:r w:rsidR="00F81221">
        <w:rPr>
          <w:kern w:val="0"/>
        </w:rPr>
        <w:t xml:space="preserve"> and </w:t>
      </w:r>
      <w:r>
        <w:rPr>
          <w:kern w:val="0"/>
        </w:rPr>
        <w:t xml:space="preserve">Fard, E. (2008), Removal of hexavalent chromium from drinking water by granular ferric hydroxide. </w:t>
      </w:r>
      <w:r>
        <w:rPr>
          <w:i/>
          <w:iCs/>
          <w:kern w:val="0"/>
        </w:rPr>
        <w:t>Iranian Journal of Environmental Health Science &amp; Engineering</w:t>
      </w:r>
      <w:r>
        <w:rPr>
          <w:kern w:val="0"/>
        </w:rPr>
        <w:t xml:space="preserve">, </w:t>
      </w:r>
      <w:r>
        <w:rPr>
          <w:b/>
          <w:bCs/>
          <w:kern w:val="0"/>
        </w:rPr>
        <w:t>5</w:t>
      </w:r>
      <w:r>
        <w:rPr>
          <w:kern w:val="0"/>
        </w:rPr>
        <w:t xml:space="preserve"> (4), 277-282.</w:t>
      </w:r>
    </w:p>
    <w:p w:rsidR="00FB3376" w:rsidRPr="00A428C3" w:rsidRDefault="00FB3376" w:rsidP="00FB3376">
      <w:pPr>
        <w:pStyle w:val="a0"/>
        <w:rPr>
          <w:sz w:val="20"/>
        </w:rPr>
      </w:pPr>
      <w:r w:rsidRPr="00A428C3">
        <w:lastRenderedPageBreak/>
        <w:t xml:space="preserve">Full Text: </w:t>
      </w:r>
      <w:hyperlink r:id="rId2146" w:history="1">
        <w:r w:rsidRPr="00FB3376">
          <w:rPr>
            <w:rStyle w:val="a5"/>
          </w:rPr>
          <w:t>2008\Ira J Env Hea Sci Eng5, 277.pdf</w:t>
        </w:r>
      </w:hyperlink>
    </w:p>
    <w:p w:rsidR="00FB3376" w:rsidRDefault="00FB3376" w:rsidP="00FB3376">
      <w:pPr>
        <w:pStyle w:val="a0"/>
        <w:rPr>
          <w:kern w:val="0"/>
        </w:rPr>
      </w:pPr>
      <w:r>
        <w:rPr>
          <w:kern w:val="0"/>
        </w:rPr>
        <w:t>Abstract: Removal of chromium can be accomplished by various methods but none of them is cost-effective in meeting drinking water standards. For this study, granular ferric hydroxide was used as adsorbent for removal of hexavalent chromium. Besides, the effects of changing contact time, pH</w:t>
      </w:r>
      <w:r w:rsidR="00F81221">
        <w:rPr>
          <w:kern w:val="0"/>
        </w:rPr>
        <w:t xml:space="preserve"> and </w:t>
      </w:r>
      <w:r>
        <w:rPr>
          <w:kern w:val="0"/>
        </w:rPr>
        <w:t>concentrations of competitive anions were determined for different amounts of granular ferric hydroxide. It was found that granular ferric hydroxide has a high capacity for adsorption of hexavalent chromium from water at pH7</w:t>
      </w:r>
      <w:r w:rsidR="00F81221">
        <w:rPr>
          <w:kern w:val="0"/>
        </w:rPr>
        <w:t xml:space="preserve"> and </w:t>
      </w:r>
      <w:r>
        <w:rPr>
          <w:kern w:val="0"/>
        </w:rPr>
        <w:t>in 90 min contact time. Maximum adsorption capacity was determined to be 0.788 mg Cr+6/g granular ferric hydroxide. Although relatively good adsorption of sulfate</w:t>
      </w:r>
      <w:r w:rsidR="00F81221">
        <w:rPr>
          <w:kern w:val="0"/>
        </w:rPr>
        <w:t xml:space="preserve"> and </w:t>
      </w:r>
      <w:r>
        <w:rPr>
          <w:kern w:val="0"/>
        </w:rPr>
        <w:t>chloride had been specified in this study, the interfering effects of these two anions had not been detected in concentrations of 200</w:t>
      </w:r>
      <w:r w:rsidR="00F81221">
        <w:rPr>
          <w:kern w:val="0"/>
        </w:rPr>
        <w:t xml:space="preserve"> and </w:t>
      </w:r>
      <w:r>
        <w:rPr>
          <w:kern w:val="0"/>
        </w:rPr>
        <w:t>400 mg/L. The absorbability of hexavalent chromium by granular ferric hydroxide could be expressed by Freundlich isotherm with R2&gt;0.968. However, the disadvantage was that the iron concentration in water was increased by the granular ferric hydroxide. Nevertheless, granular ferric hydroxide is a promising adsorbent for chromium removal, even in the presence of other interfering compounds, because granular ferric hydroxide treatment can easily be accomplished</w:t>
      </w:r>
      <w:r w:rsidR="00F81221">
        <w:rPr>
          <w:kern w:val="0"/>
        </w:rPr>
        <w:t xml:space="preserve"> and </w:t>
      </w:r>
      <w:r>
        <w:rPr>
          <w:kern w:val="0"/>
        </w:rPr>
        <w:t>removal of excess iron is a simple practice for conventional water treatment plants. Thus, this method could be regarded as a safe</w:t>
      </w:r>
      <w:r w:rsidR="00F81221">
        <w:rPr>
          <w:kern w:val="0"/>
        </w:rPr>
        <w:t xml:space="preserve"> and </w:t>
      </w:r>
      <w:r>
        <w:rPr>
          <w:kern w:val="0"/>
        </w:rPr>
        <w:t>convenient solution to the problem of chromium-polluted water resources.</w:t>
      </w:r>
    </w:p>
    <w:p w:rsidR="00FB3376" w:rsidRDefault="00FB3376" w:rsidP="00FB3376">
      <w:pPr>
        <w:pStyle w:val="a0"/>
        <w:rPr>
          <w:kern w:val="0"/>
        </w:rPr>
      </w:pPr>
      <w:r>
        <w:rPr>
          <w:kern w:val="0"/>
        </w:rPr>
        <w:t xml:space="preserve">Keywords: Adsorption, Adsorption Capacity, Capacity, Chromium, Chromium Removal, Freundlich, Freundlich Isotherm, Hexavalent Chromium, Isotherm, </w:t>
      </w:r>
      <w:r>
        <w:rPr>
          <w:rFonts w:hint="eastAsia"/>
          <w:kern w:val="0"/>
        </w:rPr>
        <w:t>p</w:t>
      </w:r>
      <w:r>
        <w:rPr>
          <w:kern w:val="0"/>
        </w:rPr>
        <w:t>H, Removal, Standards, Sulfate, Treatment, Water, Water Treatment</w:t>
      </w:r>
    </w:p>
    <w:p w:rsidR="005A72BB" w:rsidRDefault="005A72BB" w:rsidP="005A72BB">
      <w:pPr>
        <w:pStyle w:val="a0"/>
        <w:rPr>
          <w:kern w:val="0"/>
        </w:rPr>
      </w:pPr>
      <w:r>
        <w:rPr>
          <w:rFonts w:hint="eastAsia"/>
          <w:kern w:val="0"/>
        </w:rPr>
        <w:t xml:space="preserve">? </w:t>
      </w:r>
      <w:r>
        <w:rPr>
          <w:kern w:val="0"/>
        </w:rPr>
        <w:t>Gaur, N.</w:t>
      </w:r>
      <w:r w:rsidR="00F81221">
        <w:rPr>
          <w:kern w:val="0"/>
        </w:rPr>
        <w:t xml:space="preserve"> and </w:t>
      </w:r>
      <w:r>
        <w:rPr>
          <w:kern w:val="0"/>
        </w:rPr>
        <w:t>Dhankhar, R. (2009), Equilibrium modelling</w:t>
      </w:r>
      <w:r w:rsidR="00F81221">
        <w:rPr>
          <w:kern w:val="0"/>
        </w:rPr>
        <w:t xml:space="preserve"> and </w:t>
      </w:r>
      <w:r>
        <w:rPr>
          <w:kern w:val="0"/>
        </w:rPr>
        <w:t xml:space="preserve">spectroscopic studies for the biosorption of </w:t>
      </w:r>
      <w:r>
        <w:rPr>
          <w:rFonts w:hint="eastAsia"/>
          <w:kern w:val="0"/>
        </w:rPr>
        <w:t>Z</w:t>
      </w:r>
      <w:r>
        <w:rPr>
          <w:kern w:val="0"/>
        </w:rPr>
        <w:t>n</w:t>
      </w:r>
      <w:r w:rsidRPr="003D64AE">
        <w:rPr>
          <w:kern w:val="0"/>
          <w:vertAlign w:val="superscript"/>
        </w:rPr>
        <w:t>+2</w:t>
      </w:r>
      <w:r>
        <w:rPr>
          <w:kern w:val="0"/>
        </w:rPr>
        <w:t xml:space="preserve"> ions from aqueous solution using immobilized </w:t>
      </w:r>
      <w:r w:rsidRPr="003D64AE">
        <w:rPr>
          <w:i/>
          <w:kern w:val="0"/>
        </w:rPr>
        <w:t>Spirulina platensis</w:t>
      </w:r>
      <w:r>
        <w:rPr>
          <w:kern w:val="0"/>
        </w:rPr>
        <w:t xml:space="preserve">. </w:t>
      </w:r>
      <w:r>
        <w:rPr>
          <w:i/>
          <w:iCs/>
          <w:kern w:val="0"/>
        </w:rPr>
        <w:t>Iranian Journal of Environmental Health Science &amp; Engineering</w:t>
      </w:r>
      <w:r>
        <w:rPr>
          <w:kern w:val="0"/>
        </w:rPr>
        <w:t xml:space="preserve">, </w:t>
      </w:r>
      <w:r>
        <w:rPr>
          <w:b/>
          <w:bCs/>
          <w:kern w:val="0"/>
        </w:rPr>
        <w:t>6</w:t>
      </w:r>
      <w:r>
        <w:rPr>
          <w:kern w:val="0"/>
        </w:rPr>
        <w:t xml:space="preserve"> (1), 1-6.</w:t>
      </w:r>
    </w:p>
    <w:p w:rsidR="005A72BB" w:rsidRPr="00A428C3" w:rsidRDefault="005A72BB" w:rsidP="005A72BB">
      <w:pPr>
        <w:pStyle w:val="a0"/>
        <w:rPr>
          <w:sz w:val="20"/>
        </w:rPr>
      </w:pPr>
      <w:r w:rsidRPr="00A428C3">
        <w:t xml:space="preserve">Full Text: </w:t>
      </w:r>
      <w:hyperlink r:id="rId2147" w:history="1">
        <w:r w:rsidR="00C513CB" w:rsidRPr="00C513CB">
          <w:rPr>
            <w:rStyle w:val="a5"/>
          </w:rPr>
          <w:t>2009\Ira J Env Hea Sci Eng6, 1.pdf</w:t>
        </w:r>
      </w:hyperlink>
    </w:p>
    <w:p w:rsidR="005A72BB" w:rsidRDefault="005A72BB" w:rsidP="005A72BB">
      <w:pPr>
        <w:pStyle w:val="a0"/>
        <w:rPr>
          <w:kern w:val="0"/>
        </w:rPr>
      </w:pPr>
      <w:r>
        <w:rPr>
          <w:kern w:val="0"/>
        </w:rPr>
        <w:t>Abstract: Biosorption equilibrium of zinc ions to Spirulina platensis both in free</w:t>
      </w:r>
      <w:r w:rsidR="00F81221">
        <w:rPr>
          <w:kern w:val="0"/>
        </w:rPr>
        <w:t xml:space="preserve"> and </w:t>
      </w:r>
      <w:r>
        <w:rPr>
          <w:kern w:val="0"/>
        </w:rPr>
        <w:t>immobilized forms were studied in batch system with respect to pH, metal ion concentration, algal dosages</w:t>
      </w:r>
      <w:r w:rsidR="00F81221">
        <w:rPr>
          <w:kern w:val="0"/>
        </w:rPr>
        <w:t xml:space="preserve"> and </w:t>
      </w:r>
      <w:r>
        <w:rPr>
          <w:kern w:val="0"/>
        </w:rPr>
        <w:t>time. The maximum adsorption was observed at pH=8, optimum metal ion concentration</w:t>
      </w:r>
      <w:r w:rsidR="00F81221">
        <w:rPr>
          <w:kern w:val="0"/>
        </w:rPr>
        <w:t xml:space="preserve"> and </w:t>
      </w:r>
      <w:r>
        <w:rPr>
          <w:kern w:val="0"/>
        </w:rPr>
        <w:t>algal dose were 100 mg/L</w:t>
      </w:r>
      <w:r w:rsidR="00F81221">
        <w:rPr>
          <w:kern w:val="0"/>
        </w:rPr>
        <w:t xml:space="preserve"> and </w:t>
      </w:r>
      <w:r>
        <w:rPr>
          <w:kern w:val="0"/>
        </w:rPr>
        <w:t>1g/100mL, respectively. Biosorption equilibrium was established in 90 minutes. The maximum attainable biosorption was found to be 97.1% for Spirulina platensis. The equilibrium adsorption capacities of adsorbents used for zinc ions were measured</w:t>
      </w:r>
      <w:r w:rsidR="00F81221">
        <w:rPr>
          <w:kern w:val="0"/>
        </w:rPr>
        <w:t xml:space="preserve"> and </w:t>
      </w:r>
      <w:r>
        <w:rPr>
          <w:kern w:val="0"/>
        </w:rPr>
        <w:t>extrapolated using Langmuir</w:t>
      </w:r>
      <w:r w:rsidR="00F81221">
        <w:rPr>
          <w:kern w:val="0"/>
        </w:rPr>
        <w:t xml:space="preserve"> and </w:t>
      </w:r>
      <w:r>
        <w:rPr>
          <w:kern w:val="0"/>
        </w:rPr>
        <w:t>Freundlich isotherms models. Langmuir model was found to be in better correlation with experimental data. The maximum Langmuir constants Q(o) (mg/g)</w:t>
      </w:r>
      <w:r w:rsidR="00F81221">
        <w:rPr>
          <w:kern w:val="0"/>
        </w:rPr>
        <w:t xml:space="preserve"> and </w:t>
      </w:r>
      <w:r>
        <w:rPr>
          <w:kern w:val="0"/>
        </w:rPr>
        <w:t>b were 92.93</w:t>
      </w:r>
      <w:r w:rsidR="00F81221">
        <w:rPr>
          <w:kern w:val="0"/>
        </w:rPr>
        <w:t xml:space="preserve"> and </w:t>
      </w:r>
      <w:r>
        <w:rPr>
          <w:kern w:val="0"/>
        </w:rPr>
        <w:t xml:space="preserve">0.0012, respectively for Spirulina platensis embedded in calcium alginate matrix. The immobilized Spirulina platensis </w:t>
      </w:r>
      <w:r>
        <w:rPr>
          <w:kern w:val="0"/>
        </w:rPr>
        <w:lastRenderedPageBreak/>
        <w:t>in calcium of alginate matrix was the best biosorbent. 0.1 M EDTA was used as an eluant, which allowed the reuse of biomass in three biosorption-desorption cycles without considerable loss in biosorption capacity. 8995 % zinc ions were desorbed with EDTA. The functional groups involved in zinc biosorption were identified by using Fourier Transform Infra Red spectroscopy. Spectroscopic analysis of algae revealed the presence of carboxyl, hydroxyl, amino, amide</w:t>
      </w:r>
      <w:r w:rsidR="00F81221">
        <w:rPr>
          <w:kern w:val="0"/>
        </w:rPr>
        <w:t xml:space="preserve"> and </w:t>
      </w:r>
      <w:r>
        <w:rPr>
          <w:kern w:val="0"/>
        </w:rPr>
        <w:t>imine groups, which were responsible for biosorption of zinc ions.</w:t>
      </w:r>
    </w:p>
    <w:p w:rsidR="005A72BB" w:rsidRDefault="005A72BB" w:rsidP="005A72BB">
      <w:pPr>
        <w:pStyle w:val="a0"/>
        <w:rPr>
          <w:kern w:val="0"/>
        </w:rPr>
      </w:pPr>
      <w:r>
        <w:rPr>
          <w:kern w:val="0"/>
        </w:rPr>
        <w:t>Keywords: Adsorption, Alginate, Batch System, Biomass, Biosorbent, Biosorption, Capacity, Edta, Equilibrium, Freundlich, Freundlich Isotherms, Groups, Immobilized, Isotherms, Langmuir, Langmuir</w:t>
      </w:r>
      <w:r w:rsidR="00F81221">
        <w:rPr>
          <w:kern w:val="0"/>
        </w:rPr>
        <w:t xml:space="preserve"> and </w:t>
      </w:r>
      <w:r>
        <w:rPr>
          <w:kern w:val="0"/>
        </w:rPr>
        <w:t xml:space="preserve">Freundlich Isotherms, Langmuir Model, Metal, Models, </w:t>
      </w:r>
      <w:r>
        <w:rPr>
          <w:rFonts w:hint="eastAsia"/>
          <w:kern w:val="0"/>
        </w:rPr>
        <w:t>p</w:t>
      </w:r>
      <w:r>
        <w:rPr>
          <w:kern w:val="0"/>
        </w:rPr>
        <w:t>H, Spectroscopy, Spirulina, Spirulina Platensis, System</w:t>
      </w:r>
    </w:p>
    <w:p w:rsidR="005A72BB" w:rsidRDefault="005A72BB" w:rsidP="005A72BB">
      <w:pPr>
        <w:pStyle w:val="a0"/>
        <w:rPr>
          <w:kern w:val="0"/>
        </w:rPr>
      </w:pPr>
      <w:r>
        <w:rPr>
          <w:rFonts w:hint="eastAsia"/>
          <w:kern w:val="0"/>
        </w:rPr>
        <w:t xml:space="preserve">? </w:t>
      </w:r>
      <w:r>
        <w:rPr>
          <w:kern w:val="0"/>
        </w:rPr>
        <w:t>Shokoohi, R., Saghi, M.H., Ghafari, H.R.</w:t>
      </w:r>
      <w:r w:rsidR="00F81221">
        <w:rPr>
          <w:kern w:val="0"/>
        </w:rPr>
        <w:t xml:space="preserve"> and </w:t>
      </w:r>
      <w:r>
        <w:rPr>
          <w:kern w:val="0"/>
        </w:rPr>
        <w:t xml:space="preserve">Hadi, M. (2009), Biosorption of Iron from aqueous solution by dried biomass of activated sludge. </w:t>
      </w:r>
      <w:r>
        <w:rPr>
          <w:i/>
          <w:iCs/>
          <w:kern w:val="0"/>
        </w:rPr>
        <w:t>Iranian Journal of Environmental Health Science &amp; Engineering</w:t>
      </w:r>
      <w:r>
        <w:rPr>
          <w:kern w:val="0"/>
        </w:rPr>
        <w:t xml:space="preserve">, </w:t>
      </w:r>
      <w:r>
        <w:rPr>
          <w:b/>
          <w:bCs/>
          <w:kern w:val="0"/>
        </w:rPr>
        <w:t>6</w:t>
      </w:r>
      <w:r>
        <w:rPr>
          <w:kern w:val="0"/>
        </w:rPr>
        <w:t xml:space="preserve"> (2), 107-114.</w:t>
      </w:r>
    </w:p>
    <w:p w:rsidR="005A72BB" w:rsidRPr="00A428C3" w:rsidRDefault="005A72BB" w:rsidP="005A72BB">
      <w:pPr>
        <w:pStyle w:val="a0"/>
        <w:rPr>
          <w:sz w:val="20"/>
        </w:rPr>
      </w:pPr>
      <w:r w:rsidRPr="00A428C3">
        <w:t xml:space="preserve">Full Text: </w:t>
      </w:r>
      <w:hyperlink r:id="rId2148" w:history="1">
        <w:r w:rsidR="00C513CB" w:rsidRPr="00C513CB">
          <w:rPr>
            <w:rStyle w:val="a5"/>
          </w:rPr>
          <w:t>2009\Ira J Env Hea Sci Eng6, 107.pdf</w:t>
        </w:r>
      </w:hyperlink>
    </w:p>
    <w:p w:rsidR="005A72BB" w:rsidRDefault="005A72BB" w:rsidP="005A72BB">
      <w:pPr>
        <w:pStyle w:val="a0"/>
        <w:rPr>
          <w:kern w:val="0"/>
        </w:rPr>
      </w:pPr>
      <w:r>
        <w:rPr>
          <w:kern w:val="0"/>
        </w:rPr>
        <w:t>Abstract: This study was conducted to investigate the removal of iron by dried biomass of activated sludge. Dried activated sludge, prepared as a powder, was tested as a sorbent for the removal of iron from aqueous solutions. The effects of various experimental parameters including initial iron concentration, mass of biomass</w:t>
      </w:r>
      <w:r w:rsidR="00F81221">
        <w:rPr>
          <w:kern w:val="0"/>
        </w:rPr>
        <w:t xml:space="preserve"> and </w:t>
      </w:r>
      <w:r>
        <w:rPr>
          <w:kern w:val="0"/>
        </w:rPr>
        <w:t>contact time were examined</w:t>
      </w:r>
      <w:r w:rsidR="00F81221">
        <w:rPr>
          <w:kern w:val="0"/>
        </w:rPr>
        <w:t xml:space="preserve"> and </w:t>
      </w:r>
      <w:r>
        <w:rPr>
          <w:kern w:val="0"/>
        </w:rPr>
        <w:t>optimal experimental conditions were obtained. The equilibrium time for iron adsorption onto biomass was determined as 150 min. The rate of iron removal was directly correlated to biomass amount</w:t>
      </w:r>
      <w:r w:rsidR="00F81221">
        <w:rPr>
          <w:kern w:val="0"/>
        </w:rPr>
        <w:t xml:space="preserve"> and </w:t>
      </w:r>
      <w:r>
        <w:rPr>
          <w:kern w:val="0"/>
        </w:rPr>
        <w:t>contact time. Increasing contact time from 0.5</w:t>
      </w:r>
      <w:r w:rsidR="00C513CB">
        <w:rPr>
          <w:rFonts w:hint="eastAsia"/>
          <w:kern w:val="0"/>
        </w:rPr>
        <w:t xml:space="preserve"> </w:t>
      </w:r>
      <w:r>
        <w:rPr>
          <w:kern w:val="0"/>
        </w:rPr>
        <w:t>h to 2.5</w:t>
      </w:r>
      <w:r w:rsidR="00C513CB">
        <w:rPr>
          <w:rFonts w:hint="eastAsia"/>
          <w:kern w:val="0"/>
        </w:rPr>
        <w:t xml:space="preserve"> </w:t>
      </w:r>
      <w:r>
        <w:rPr>
          <w:kern w:val="0"/>
        </w:rPr>
        <w:t>h resulted in 25% improvement in iron removal efficiency. When the weight of the biomass increased from 0.1g to 0.9 g, the iron removal efficiency increased from 62% to 95%. High initial iron concentration had an adverse effect on iron removal efficiency. Increasing initial iron concentration from 2 to 10 (mg/L) caused declining the iron removal efficiency from 70% to 56%. Freundlich, Langmuir, Dubinin-Radushkevich</w:t>
      </w:r>
      <w:r w:rsidR="00F81221">
        <w:rPr>
          <w:kern w:val="0"/>
        </w:rPr>
        <w:t xml:space="preserve"> and </w:t>
      </w:r>
      <w:r>
        <w:rPr>
          <w:kern w:val="0"/>
        </w:rPr>
        <w:t>Temkin isotherm models could describe the adsorption equilibrium of the iron onto the activated sludge. Meanwhile, Freundlich isotherm represented a better correlation compared to other isotherms (R-2 &gt; 0.999). Also Elovich kinetic models fits well with experimental data (R-2&gt;0.997).</w:t>
      </w:r>
    </w:p>
    <w:p w:rsidR="005A72BB" w:rsidRDefault="005A72BB" w:rsidP="005A72BB">
      <w:pPr>
        <w:pStyle w:val="a0"/>
        <w:rPr>
          <w:kern w:val="0"/>
        </w:rPr>
      </w:pPr>
      <w:r>
        <w:rPr>
          <w:kern w:val="0"/>
        </w:rPr>
        <w:t>Keywords: Adsorption, Aqueous, Biomass, Biosorption, Elovich, Equilibrium, Freundlich, Freundlich Isotherm, Iron, Isotherm, Isotherms, Kinetic, Kinetic Models, Langmuir, Models, Removal, Sludge, Solutions, Temkin Isotherm</w:t>
      </w:r>
    </w:p>
    <w:p w:rsidR="001D7548" w:rsidRDefault="001D7548" w:rsidP="001D7548">
      <w:pPr>
        <w:pStyle w:val="a0"/>
        <w:rPr>
          <w:kern w:val="0"/>
        </w:rPr>
      </w:pPr>
      <w:r>
        <w:rPr>
          <w:rFonts w:hint="eastAsia"/>
          <w:kern w:val="0"/>
        </w:rPr>
        <w:t xml:space="preserve">? </w:t>
      </w:r>
      <w:r>
        <w:rPr>
          <w:kern w:val="0"/>
        </w:rPr>
        <w:t>Nagda, G.K.</w:t>
      </w:r>
      <w:r w:rsidR="00F81221">
        <w:rPr>
          <w:kern w:val="0"/>
        </w:rPr>
        <w:t xml:space="preserve"> and </w:t>
      </w:r>
      <w:r>
        <w:rPr>
          <w:kern w:val="0"/>
        </w:rPr>
        <w:t xml:space="preserve">Ghole, V.S. (2009), Biosorption of </w:t>
      </w:r>
      <w:r w:rsidR="0072492C">
        <w:rPr>
          <w:kern w:val="0"/>
        </w:rPr>
        <w:t xml:space="preserve">Congo </w:t>
      </w:r>
      <w:r>
        <w:rPr>
          <w:kern w:val="0"/>
        </w:rPr>
        <w:t xml:space="preserve">red by hydrogen peroxide treated Tendu waste. </w:t>
      </w:r>
      <w:r>
        <w:rPr>
          <w:i/>
          <w:iCs/>
          <w:kern w:val="0"/>
        </w:rPr>
        <w:t>Iranian Journal of Environmental Health Science &amp; Engineering</w:t>
      </w:r>
      <w:r>
        <w:rPr>
          <w:kern w:val="0"/>
        </w:rPr>
        <w:t xml:space="preserve">, </w:t>
      </w:r>
      <w:r>
        <w:rPr>
          <w:b/>
          <w:bCs/>
          <w:kern w:val="0"/>
        </w:rPr>
        <w:t>6</w:t>
      </w:r>
      <w:r>
        <w:rPr>
          <w:kern w:val="0"/>
        </w:rPr>
        <w:t xml:space="preserve"> (3), 195-200.</w:t>
      </w:r>
    </w:p>
    <w:p w:rsidR="001D7548" w:rsidRDefault="001D7548" w:rsidP="001D7548">
      <w:pPr>
        <w:pStyle w:val="a0"/>
        <w:rPr>
          <w:kern w:val="0"/>
        </w:rPr>
      </w:pPr>
      <w:r>
        <w:rPr>
          <w:rFonts w:hint="eastAsia"/>
          <w:kern w:val="0"/>
        </w:rPr>
        <w:t xml:space="preserve">Full Text: </w:t>
      </w:r>
      <w:hyperlink r:id="rId2149" w:history="1">
        <w:r w:rsidRPr="00203DE1">
          <w:rPr>
            <w:rStyle w:val="a5"/>
            <w:kern w:val="0"/>
          </w:rPr>
          <w:t>2009\Ira J Env Hea Sci Eng6, 195.pdf</w:t>
        </w:r>
      </w:hyperlink>
    </w:p>
    <w:p w:rsidR="00595772" w:rsidRDefault="00595772" w:rsidP="00595772">
      <w:pPr>
        <w:pStyle w:val="a0"/>
        <w:rPr>
          <w:kern w:val="0"/>
        </w:rPr>
      </w:pPr>
      <w:r>
        <w:rPr>
          <w:kern w:val="0"/>
        </w:rPr>
        <w:lastRenderedPageBreak/>
        <w:t>Abstract: Solid wastes from agro-industrial operations can be recycled as non-conventional adsorbents if they are inert</w:t>
      </w:r>
      <w:r w:rsidR="00F81221">
        <w:rPr>
          <w:kern w:val="0"/>
        </w:rPr>
        <w:t xml:space="preserve"> and </w:t>
      </w:r>
      <w:r>
        <w:rPr>
          <w:kern w:val="0"/>
        </w:rPr>
        <w:t>harmless</w:t>
      </w:r>
      <w:r w:rsidR="00F81221">
        <w:rPr>
          <w:kern w:val="0"/>
        </w:rPr>
        <w:t xml:space="preserve"> and </w:t>
      </w:r>
      <w:r>
        <w:rPr>
          <w:kern w:val="0"/>
        </w:rPr>
        <w:t>reduce the cost of wastewater treatment. Tendu leaf Diospyros melanoxylon is the second largest forest product in India after timber</w:t>
      </w:r>
      <w:r w:rsidR="00F81221">
        <w:rPr>
          <w:kern w:val="0"/>
        </w:rPr>
        <w:t xml:space="preserve"> and </w:t>
      </w:r>
      <w:r>
        <w:rPr>
          <w:kern w:val="0"/>
        </w:rPr>
        <w:t>is exclusively used in making local cigarette called Bidi. Waste leaf cutting remaining after making cigarette was used in present study as a biosorbent for the removal of Congo red dye from aqueous solution. It was treated with hydrogen peroxide to obtain biosorbent with increased adsorption capacity. Batch type experiments were conducted to study the influence of different parameters such as pH, initial dye concentration</w:t>
      </w:r>
      <w:r w:rsidR="00F81221">
        <w:rPr>
          <w:kern w:val="0"/>
        </w:rPr>
        <w:t xml:space="preserve"> and </w:t>
      </w:r>
      <w:r>
        <w:rPr>
          <w:kern w:val="0"/>
        </w:rPr>
        <w:t>dosage of adsorbent on biosorption evaluated. The adsorption occured very fast initially</w:t>
      </w:r>
      <w:r w:rsidR="00F81221">
        <w:rPr>
          <w:kern w:val="0"/>
        </w:rPr>
        <w:t xml:space="preserve"> and </w:t>
      </w:r>
      <w:r>
        <w:rPr>
          <w:kern w:val="0"/>
        </w:rPr>
        <w:t>attains equilibrium within 60 min at pH= 6.2</w:t>
      </w:r>
      <w:r w:rsidR="00F81221">
        <w:rPr>
          <w:kern w:val="0"/>
        </w:rPr>
        <w:t xml:space="preserve"> and </w:t>
      </w:r>
      <w:r>
        <w:rPr>
          <w:kern w:val="0"/>
        </w:rPr>
        <w:t>the equilibrium attained faster after hydrogen peroxide modification. Kinetic studies showed that the biosorption of Congo red on tendu waste followed pseudo-second-order rate equation. The data fitted well to Langmuir</w:t>
      </w:r>
      <w:r w:rsidR="00F81221">
        <w:rPr>
          <w:kern w:val="0"/>
        </w:rPr>
        <w:t xml:space="preserve"> and </w:t>
      </w:r>
      <w:r>
        <w:rPr>
          <w:kern w:val="0"/>
        </w:rPr>
        <w:t>Freundlich isotherm models. Comparison was done on the extent of biosorption between untreated</w:t>
      </w:r>
      <w:r w:rsidR="00F81221">
        <w:rPr>
          <w:kern w:val="0"/>
        </w:rPr>
        <w:t xml:space="preserve"> and </w:t>
      </w:r>
      <w:r>
        <w:rPr>
          <w:kern w:val="0"/>
        </w:rPr>
        <w:t>treated forms of the tendu waste. The maximum adsorption capacity for untreated tendu waste was found to be 46.95 mg/g, which was enhanced by 2.8 times after hydrogen peroxide treatment</w:t>
      </w:r>
      <w:r w:rsidR="00F81221">
        <w:rPr>
          <w:kern w:val="0"/>
        </w:rPr>
        <w:t xml:space="preserve"> and </w:t>
      </w:r>
      <w:r>
        <w:rPr>
          <w:kern w:val="0"/>
        </w:rPr>
        <w:t>was found to be 134.4 mg/g. The adsorption process was in conformity with Freundlich</w:t>
      </w:r>
      <w:r w:rsidR="00F81221">
        <w:rPr>
          <w:kern w:val="0"/>
        </w:rPr>
        <w:t xml:space="preserve"> and </w:t>
      </w:r>
      <w:r>
        <w:rPr>
          <w:kern w:val="0"/>
        </w:rPr>
        <w:t>Langmuir isotherms for Congo red adsorption from aqueous solution. The study demonstrated use of milder chemical treatment of tendu waste to obtain a biosorbent with enhanced dye removal capacity.</w:t>
      </w:r>
    </w:p>
    <w:p w:rsidR="00595772" w:rsidRDefault="00595772" w:rsidP="00595772">
      <w:pPr>
        <w:pStyle w:val="a0"/>
        <w:rPr>
          <w:kern w:val="0"/>
        </w:rPr>
      </w:pPr>
      <w:r>
        <w:rPr>
          <w:kern w:val="0"/>
        </w:rPr>
        <w:t>Keywords: Adsorbent, Adsorbents, Adsorption, Adsorption Capacity, Aqueous Solution, Aqueous-Solution, Biomass, Biosorbent, Biosorption, Capacity, Chemical, Chemical Modification, Concentration, Congo Red, Congo Red Dye, Cost, Data, Diospyros Melanoxylon, Dye, Dye Removal, Equilibrium, Experiments, Forest, Forms, Freundlich, Freundlich Isotherm, Hydrogen, Hydrogen Peroxide, India, Isotherm, Isotherms, Kinetic, Kinetic Studies, Kinetics, Langmuir, Langmuir Isotherms, Local, Low-Cost Adsorbents, Models, Modification, Ph, Powder, Pseudo Second Order, Pseudo-Second-Order, Pseudo-Second-Order Rate, Removal, Rice Straw, Solution, Sorption, Tendu Waste, Treatment, Waste, Wastewater, Wastewater Treatment, Water</w:t>
      </w:r>
    </w:p>
    <w:p w:rsidR="00060FD3" w:rsidRDefault="00060FD3" w:rsidP="00060FD3">
      <w:pPr>
        <w:pStyle w:val="a0"/>
        <w:rPr>
          <w:kern w:val="0"/>
        </w:rPr>
      </w:pPr>
      <w:r>
        <w:rPr>
          <w:rFonts w:hint="eastAsia"/>
          <w:kern w:val="0"/>
        </w:rPr>
        <w:t xml:space="preserve">? </w:t>
      </w:r>
      <w:r>
        <w:rPr>
          <w:kern w:val="0"/>
        </w:rPr>
        <w:t>Samarghandi, M.R., Hadi, M., Moayedi, S.</w:t>
      </w:r>
      <w:r w:rsidR="00F81221">
        <w:rPr>
          <w:kern w:val="0"/>
        </w:rPr>
        <w:t xml:space="preserve"> and </w:t>
      </w:r>
      <w:r>
        <w:rPr>
          <w:kern w:val="0"/>
        </w:rPr>
        <w:t xml:space="preserve">Askari, F.B. (2009), Two-parameter isotherms of methyl orange sorption by pinecone derived activated carbon. </w:t>
      </w:r>
      <w:r>
        <w:rPr>
          <w:i/>
          <w:iCs/>
          <w:kern w:val="0"/>
        </w:rPr>
        <w:t>Iranian Journal of Environmental Health Science &amp; Engineering</w:t>
      </w:r>
      <w:r>
        <w:rPr>
          <w:kern w:val="0"/>
        </w:rPr>
        <w:t xml:space="preserve">, </w:t>
      </w:r>
      <w:r>
        <w:rPr>
          <w:b/>
          <w:bCs/>
          <w:kern w:val="0"/>
        </w:rPr>
        <w:t>6</w:t>
      </w:r>
      <w:r>
        <w:rPr>
          <w:kern w:val="0"/>
        </w:rPr>
        <w:t xml:space="preserve"> (4), </w:t>
      </w:r>
      <w:r w:rsidRPr="00477F01">
        <w:rPr>
          <w:kern w:val="0"/>
        </w:rPr>
        <w:t>285</w:t>
      </w:r>
      <w:r>
        <w:rPr>
          <w:kern w:val="0"/>
        </w:rPr>
        <w:t>-294.</w:t>
      </w:r>
    </w:p>
    <w:p w:rsidR="00060FD3" w:rsidRDefault="00060FD3" w:rsidP="00060FD3">
      <w:pPr>
        <w:pStyle w:val="a0"/>
        <w:rPr>
          <w:kern w:val="0"/>
        </w:rPr>
      </w:pPr>
      <w:r>
        <w:rPr>
          <w:rFonts w:hint="eastAsia"/>
          <w:kern w:val="0"/>
        </w:rPr>
        <w:t xml:space="preserve">Full Text: </w:t>
      </w:r>
      <w:hyperlink r:id="rId2150" w:history="1">
        <w:r w:rsidRPr="00060FD3">
          <w:rPr>
            <w:rStyle w:val="a5"/>
            <w:kern w:val="0"/>
          </w:rPr>
          <w:t>2009\Ira J Env Hea Sci Eng6, 285.pdf</w:t>
        </w:r>
      </w:hyperlink>
    </w:p>
    <w:p w:rsidR="00060FD3" w:rsidRDefault="00060FD3" w:rsidP="00060FD3">
      <w:pPr>
        <w:pStyle w:val="a0"/>
        <w:rPr>
          <w:kern w:val="0"/>
        </w:rPr>
      </w:pPr>
      <w:r>
        <w:rPr>
          <w:kern w:val="0"/>
        </w:rPr>
        <w:t>Abstract: The adsorption of a mono azo dye methyl-orange (MeO) onto granular pinecone derived activated carbon (GPAC), from aqueous solutions, was studied in a batch system. Seven two-parameter isotherm models Langmuir, Freundlich, Dubinin-Radushkevic, Temkin, Halsey, Jovanovic</w:t>
      </w:r>
      <w:r w:rsidR="00F81221">
        <w:rPr>
          <w:kern w:val="0"/>
        </w:rPr>
        <w:t xml:space="preserve"> and </w:t>
      </w:r>
      <w:r>
        <w:rPr>
          <w:kern w:val="0"/>
        </w:rPr>
        <w:t xml:space="preserve">Hurkins- Jura were used to fit </w:t>
      </w:r>
      <w:r>
        <w:rPr>
          <w:kern w:val="0"/>
        </w:rPr>
        <w:lastRenderedPageBreak/>
        <w:t>the experimental data. The results revealed that the adsorption isotherm models fitted the data in the order of Jovanovic (χ</w:t>
      </w:r>
      <w:r w:rsidRPr="00D87DBD">
        <w:rPr>
          <w:rFonts w:hint="eastAsia"/>
          <w:kern w:val="0"/>
          <w:vertAlign w:val="superscript"/>
        </w:rPr>
        <w:t>2</w:t>
      </w:r>
      <w:r>
        <w:rPr>
          <w:kern w:val="0"/>
        </w:rPr>
        <w:t>=1.374) &gt; Langmuir &gt; Dubinin-Radushkevic &gt; Temkin &gt; Freundlich &gt; Halsey &gt; Hurkins- Jura isotherms. Adsorption isotherms modeling showed that the interaction of dye with activated carbon surface is localized monolayer adsorption. A comparison of kinetic models was evaluated for the pseudo-second order, Elovich</w:t>
      </w:r>
      <w:r w:rsidR="00F81221">
        <w:rPr>
          <w:kern w:val="0"/>
        </w:rPr>
        <w:t xml:space="preserve"> and </w:t>
      </w:r>
      <w:r>
        <w:rPr>
          <w:kern w:val="0"/>
        </w:rPr>
        <w:t>Lagergren kinetic models. Lagergren first order model was found to agree well with the experimental data (χ</w:t>
      </w:r>
      <w:r w:rsidRPr="00D87DBD">
        <w:rPr>
          <w:rFonts w:hint="eastAsia"/>
          <w:kern w:val="0"/>
          <w:vertAlign w:val="superscript"/>
        </w:rPr>
        <w:t>2</w:t>
      </w:r>
      <w:r>
        <w:rPr>
          <w:kern w:val="0"/>
        </w:rPr>
        <w:t>=9.231). In order to determine the best-fit isotherm</w:t>
      </w:r>
      <w:r w:rsidR="00F81221">
        <w:rPr>
          <w:kern w:val="0"/>
        </w:rPr>
        <w:t xml:space="preserve"> and </w:t>
      </w:r>
      <w:r>
        <w:rPr>
          <w:kern w:val="0"/>
        </w:rPr>
        <w:t>kinetic models, two error analysis methods of Residual Mean Square Error</w:t>
      </w:r>
      <w:r w:rsidR="00F81221">
        <w:rPr>
          <w:kern w:val="0"/>
        </w:rPr>
        <w:t xml:space="preserve"> and </w:t>
      </w:r>
      <w:r>
        <w:rPr>
          <w:kern w:val="0"/>
        </w:rPr>
        <w:t>Chi-square statistic (χ</w:t>
      </w:r>
      <w:r w:rsidRPr="00D87DBD">
        <w:rPr>
          <w:rFonts w:hint="eastAsia"/>
          <w:kern w:val="0"/>
          <w:vertAlign w:val="superscript"/>
        </w:rPr>
        <w:t>2</w:t>
      </w:r>
      <w:r>
        <w:rPr>
          <w:kern w:val="0"/>
        </w:rPr>
        <w:t>) were used to evaluate the data.</w:t>
      </w:r>
    </w:p>
    <w:p w:rsidR="00060FD3" w:rsidRDefault="00060FD3" w:rsidP="00060FD3">
      <w:pPr>
        <w:pStyle w:val="a0"/>
        <w:rPr>
          <w:kern w:val="0"/>
        </w:rPr>
      </w:pPr>
      <w:r>
        <w:rPr>
          <w:kern w:val="0"/>
        </w:rPr>
        <w:t>Keywords: Activated Carbon, Adsorbents, Adsorption, Adsorption Isotherm, Adsorption Isotherm Models, Adsorption Isotherms, Analysis, Aqueous Solutions, Aqueous-Solution, Azo Dye, Batch, Batch System, Carbon, Chi-Square, Comparison, Data, Dye, Dyes, Elovich, Error, Error Analysis, Experimental, First, First Order, Freundlich, Gases, Interaction, Isotherm, Isotherm Models, Isotherms, Kinetic, Kinetic Models, Kinetics, Langmuir, Methods, Methyl Orange, Model, Modeling, Models, Monolayer, Pseudo Second Order, Pseudo-Second Order, Pseudo-Second-Order, Removal, Solids, Solutions, Sorption, Surface</w:t>
      </w:r>
    </w:p>
    <w:p w:rsidR="00E96DCA" w:rsidRDefault="00E96DCA" w:rsidP="00E96DCA">
      <w:pPr>
        <w:pStyle w:val="a0"/>
        <w:rPr>
          <w:kern w:val="0"/>
        </w:rPr>
      </w:pPr>
      <w:r>
        <w:rPr>
          <w:kern w:val="0"/>
        </w:rPr>
        <w:t>? Ghadiri, S.K., Nabizadeh, R., Mahvi, A.H., Nasseri, S., Kazemian, H., Mesdaghinia, A.R.</w:t>
      </w:r>
      <w:r w:rsidR="00F81221">
        <w:rPr>
          <w:kern w:val="0"/>
        </w:rPr>
        <w:t xml:space="preserve"> and </w:t>
      </w:r>
      <w:r>
        <w:rPr>
          <w:kern w:val="0"/>
        </w:rPr>
        <w:t xml:space="preserve">Nazmara, S. (2010), Methyl tert-butyl ether adsorption on surfactant modified natural zeolites. </w:t>
      </w:r>
      <w:r>
        <w:rPr>
          <w:i/>
          <w:iCs/>
          <w:kern w:val="0"/>
        </w:rPr>
        <w:t>Iranian Journal of Environmental Health Science &amp; Engineering</w:t>
      </w:r>
      <w:r>
        <w:rPr>
          <w:kern w:val="0"/>
        </w:rPr>
        <w:t xml:space="preserve">, </w:t>
      </w:r>
      <w:r>
        <w:rPr>
          <w:b/>
          <w:bCs/>
          <w:kern w:val="0"/>
        </w:rPr>
        <w:t>7</w:t>
      </w:r>
      <w:r>
        <w:rPr>
          <w:kern w:val="0"/>
        </w:rPr>
        <w:t xml:space="preserve"> (3), 241-252.</w:t>
      </w:r>
    </w:p>
    <w:p w:rsidR="00E96DCA" w:rsidRPr="00F03D2F" w:rsidRDefault="00E96DCA" w:rsidP="00E96DCA">
      <w:pPr>
        <w:pStyle w:val="a0"/>
        <w:rPr>
          <w:kern w:val="0"/>
        </w:rPr>
      </w:pPr>
      <w:r w:rsidRPr="00F03D2F">
        <w:rPr>
          <w:kern w:val="0"/>
        </w:rPr>
        <w:t>Full Text:</w:t>
      </w:r>
      <w:r w:rsidRPr="00D7601C">
        <w:t xml:space="preserve"> </w:t>
      </w:r>
      <w:hyperlink r:id="rId2151" w:history="1">
        <w:r w:rsidRPr="00FC1A08">
          <w:rPr>
            <w:rStyle w:val="a5"/>
          </w:rPr>
          <w:t>2010\Ira J Env Hea Sci Eng7, 241.pdf</w:t>
        </w:r>
      </w:hyperlink>
    </w:p>
    <w:p w:rsidR="00E96DCA" w:rsidRDefault="00E96DCA" w:rsidP="00E96DCA">
      <w:pPr>
        <w:pStyle w:val="a0"/>
        <w:rPr>
          <w:kern w:val="0"/>
        </w:rPr>
      </w:pPr>
      <w:r>
        <w:rPr>
          <w:kern w:val="0"/>
        </w:rPr>
        <w:t>Abstract: Surfactant-modified clinoptilolite-rich tuff was used for the removal of methyl tert-butyl ether (MTBE) from aqueous solutions. Clinoptilolite zeolite from Miyaneh region of Iran was treated with sodium chloride</w:t>
      </w:r>
      <w:r w:rsidR="00F81221">
        <w:rPr>
          <w:kern w:val="0"/>
        </w:rPr>
        <w:t xml:space="preserve"> and </w:t>
      </w:r>
      <w:r>
        <w:rPr>
          <w:kern w:val="0"/>
        </w:rPr>
        <w:t>then modified with hexadecyltrimethylammonium chloride (HDTMA-Cl)</w:t>
      </w:r>
      <w:r w:rsidR="00F81221">
        <w:rPr>
          <w:kern w:val="0"/>
        </w:rPr>
        <w:t xml:space="preserve"> and </w:t>
      </w:r>
      <w:r>
        <w:rPr>
          <w:kern w:val="0"/>
        </w:rPr>
        <w:t>n-Cetylpyridinium bromide (CPB) to be used in different experimental conditions. The ability of raw or Non-Modified Zeolite (NMZ)</w:t>
      </w:r>
      <w:r w:rsidR="00F81221">
        <w:rPr>
          <w:kern w:val="0"/>
        </w:rPr>
        <w:t xml:space="preserve"> and </w:t>
      </w:r>
      <w:r>
        <w:rPr>
          <w:kern w:val="0"/>
        </w:rPr>
        <w:t>Surfactant-Modified Zeolites (SMZ) to remove MTBE from aqueous solutions was investigated as a function of contact time, pH</w:t>
      </w:r>
      <w:r w:rsidR="00F81221">
        <w:rPr>
          <w:kern w:val="0"/>
        </w:rPr>
        <w:t xml:space="preserve"> and </w:t>
      </w:r>
      <w:r>
        <w:rPr>
          <w:kern w:val="0"/>
        </w:rPr>
        <w:t>concentrations of adsorbent</w:t>
      </w:r>
      <w:r w:rsidR="00F81221">
        <w:rPr>
          <w:kern w:val="0"/>
        </w:rPr>
        <w:t xml:space="preserve"> and </w:t>
      </w:r>
      <w:r>
        <w:rPr>
          <w:kern w:val="0"/>
        </w:rPr>
        <w:t>adsorbate, by using a batch technique in aqueous system. The removal of MTBE from aqueous solutions by modified zeolites seemed to be more effective than non-modified samples. Also, HDTMA-modified zeolite had more effective performance than CPB-modified zeolite. The adsorption efficiency of MTBE onto SMZ(s) was found to increase by contact time</w:t>
      </w:r>
      <w:r w:rsidR="00F81221">
        <w:rPr>
          <w:kern w:val="0"/>
        </w:rPr>
        <w:t xml:space="preserve"> and </w:t>
      </w:r>
      <w:r>
        <w:rPr>
          <w:kern w:val="0"/>
        </w:rPr>
        <w:t>adsorbent concentrations,</w:t>
      </w:r>
      <w:r w:rsidR="00F81221">
        <w:rPr>
          <w:kern w:val="0"/>
        </w:rPr>
        <w:t xml:space="preserve"> and </w:t>
      </w:r>
      <w:r>
        <w:rPr>
          <w:kern w:val="0"/>
        </w:rPr>
        <w:t>by decreasing of pH</w:t>
      </w:r>
      <w:r w:rsidR="00F81221">
        <w:rPr>
          <w:kern w:val="0"/>
        </w:rPr>
        <w:t xml:space="preserve"> and </w:t>
      </w:r>
      <w:r>
        <w:rPr>
          <w:kern w:val="0"/>
        </w:rPr>
        <w:t>adsorbate concentrations. Empirical adsorption models of Langmuir</w:t>
      </w:r>
      <w:r w:rsidR="00F81221">
        <w:rPr>
          <w:kern w:val="0"/>
        </w:rPr>
        <w:t xml:space="preserve"> and </w:t>
      </w:r>
      <w:r>
        <w:rPr>
          <w:kern w:val="0"/>
        </w:rPr>
        <w:t xml:space="preserve">Freundlich were applied for the experimental data. Results showed that Langmuir isotherm was more suitable for this process. The experimental data fitted very well with the pseudo-second-order kinetic </w:t>
      </w:r>
      <w:r>
        <w:rPr>
          <w:kern w:val="0"/>
        </w:rPr>
        <w:lastRenderedPageBreak/>
        <w:t>model. It was overally found that Surfactant-Modified Zeolites is an effective adsorbent for removal of methyl tert-butyl ether from contaminated solutions.</w:t>
      </w:r>
    </w:p>
    <w:p w:rsidR="00E96DCA" w:rsidRDefault="00E96DCA" w:rsidP="00E96DCA">
      <w:pPr>
        <w:pStyle w:val="a0"/>
        <w:rPr>
          <w:kern w:val="0"/>
        </w:rPr>
      </w:pPr>
      <w:r>
        <w:rPr>
          <w:kern w:val="0"/>
        </w:rPr>
        <w:t>Keywords: Adsorbent, Adsorption, Aqueous Solutions, Aqueous-Solutions, Batch, Bromide, Chloride, Clinoptilolite, Clinoptilolite Zeolite, Contaminated Water, Data, Degradation, Efficiency, Ether, Experimental, Freundlich, Function, Hexadecyltrimethylammonium, Iran, Isotherm, Kinetic, Kinetic Model, Langmuir, Langmuir Isotherm, Methyl Tert-Butyl Ether, Model, Models, Modified, MTBE, Oxidation, Performance, pH, Phenol, Pseudo Second Order, Pseudo-Second-Order, Pseudo-Second-Order Kinetic Model, Removal, Sodium, Sodium Chloride, Solutions, Sorbents, Sorption, Surfactant, Surfactant Modified Zeolites, Volatile Organic-Compounds, Zeolite, Zeolites</w:t>
      </w:r>
    </w:p>
    <w:p w:rsidR="00D77A62" w:rsidRDefault="00D77A62" w:rsidP="00D77A62">
      <w:pPr>
        <w:pStyle w:val="a0"/>
        <w:rPr>
          <w:kern w:val="0"/>
        </w:rPr>
      </w:pPr>
      <w:r>
        <w:rPr>
          <w:rFonts w:hint="eastAsia"/>
          <w:kern w:val="0"/>
        </w:rPr>
        <w:t xml:space="preserve">? </w:t>
      </w:r>
      <w:r>
        <w:rPr>
          <w:kern w:val="0"/>
        </w:rPr>
        <w:t>Ehrampoush, M.H., Ghanizadeh, G.</w:t>
      </w:r>
      <w:r w:rsidR="00F81221">
        <w:rPr>
          <w:kern w:val="0"/>
        </w:rPr>
        <w:t xml:space="preserve"> and </w:t>
      </w:r>
      <w:r>
        <w:rPr>
          <w:kern w:val="0"/>
        </w:rPr>
        <w:t>Ghaneian, M.T. (2011), Equilibrium</w:t>
      </w:r>
      <w:r w:rsidR="00F81221">
        <w:rPr>
          <w:kern w:val="0"/>
        </w:rPr>
        <w:t xml:space="preserve"> and </w:t>
      </w:r>
      <w:r>
        <w:rPr>
          <w:kern w:val="0"/>
        </w:rPr>
        <w:t xml:space="preserve">kinetics study of reactive red 123 dye removal from aqueous solution by adsorption on eggshell. </w:t>
      </w:r>
      <w:r>
        <w:rPr>
          <w:i/>
          <w:iCs/>
          <w:kern w:val="0"/>
        </w:rPr>
        <w:t>Iranian Journal of Environmental Health Science &amp; Engineering</w:t>
      </w:r>
      <w:r>
        <w:rPr>
          <w:kern w:val="0"/>
        </w:rPr>
        <w:t xml:space="preserve">, </w:t>
      </w:r>
      <w:r>
        <w:rPr>
          <w:b/>
          <w:bCs/>
          <w:kern w:val="0"/>
        </w:rPr>
        <w:t>8</w:t>
      </w:r>
      <w:r>
        <w:rPr>
          <w:kern w:val="0"/>
        </w:rPr>
        <w:t xml:space="preserve"> (2), 101-108.</w:t>
      </w:r>
    </w:p>
    <w:p w:rsidR="00D77A62" w:rsidRPr="007D79E8" w:rsidRDefault="00D77A62" w:rsidP="00D77A62">
      <w:pPr>
        <w:pStyle w:val="a0"/>
        <w:rPr>
          <w:kern w:val="0"/>
        </w:rPr>
      </w:pPr>
      <w:r w:rsidRPr="007D79E8">
        <w:rPr>
          <w:kern w:val="0"/>
        </w:rPr>
        <w:t>Full Text:</w:t>
      </w:r>
      <w:r>
        <w:rPr>
          <w:rFonts w:hint="eastAsia"/>
          <w:kern w:val="0"/>
        </w:rPr>
        <w:t xml:space="preserve"> </w:t>
      </w:r>
      <w:hyperlink r:id="rId2152" w:history="1">
        <w:r w:rsidRPr="0068235C">
          <w:rPr>
            <w:rStyle w:val="a5"/>
            <w:kern w:val="0"/>
          </w:rPr>
          <w:t>2011\Ira J Env Hea Sci Eng8, 101.pdf</w:t>
        </w:r>
      </w:hyperlink>
    </w:p>
    <w:p w:rsidR="00D77A62" w:rsidRDefault="00D77A62" w:rsidP="00D77A62">
      <w:pPr>
        <w:pStyle w:val="a0"/>
        <w:rPr>
          <w:kern w:val="0"/>
        </w:rPr>
      </w:pPr>
      <w:r>
        <w:rPr>
          <w:kern w:val="0"/>
        </w:rPr>
        <w:t>Abstract: The aim of this study was to determine the equilibrium</w:t>
      </w:r>
      <w:r w:rsidR="00F81221">
        <w:rPr>
          <w:kern w:val="0"/>
        </w:rPr>
        <w:t xml:space="preserve"> and </w:t>
      </w:r>
      <w:r>
        <w:rPr>
          <w:kern w:val="0"/>
        </w:rPr>
        <w:t>kinetics adsorption of reactive red 123 dye (RR 123) from aqueous solution with chicken</w:t>
      </w:r>
      <w:r w:rsidR="000352E7">
        <w:rPr>
          <w:kern w:val="0"/>
        </w:rPr>
        <w:t>’</w:t>
      </w:r>
      <w:r>
        <w:rPr>
          <w:kern w:val="0"/>
        </w:rPr>
        <w:t>s eggshell as an adsorbent. The initial concentrations of reactive red 123 dye were selected in the range of 25</w:t>
      </w:r>
      <w:r w:rsidR="00F81221">
        <w:rPr>
          <w:kern w:val="0"/>
        </w:rPr>
        <w:t xml:space="preserve"> and </w:t>
      </w:r>
      <w:r>
        <w:rPr>
          <w:kern w:val="0"/>
        </w:rPr>
        <w:t>50 mg/L. The target adsorbent was prepared in laboratory conditions</w:t>
      </w:r>
      <w:r w:rsidR="00F81221">
        <w:rPr>
          <w:kern w:val="0"/>
        </w:rPr>
        <w:t xml:space="preserve"> and </w:t>
      </w:r>
      <w:r>
        <w:rPr>
          <w:kern w:val="0"/>
        </w:rPr>
        <w:t>pulverized by ASTM standard sieves. Measurement of the adsorbent surface area was carried out via Brunauer-Emmett-Teller isotherm. The experimental data were analyzed with Langmuir, Freundlich</w:t>
      </w:r>
      <w:r w:rsidR="00F81221">
        <w:rPr>
          <w:kern w:val="0"/>
        </w:rPr>
        <w:t xml:space="preserve"> and </w:t>
      </w:r>
      <w:r>
        <w:rPr>
          <w:kern w:val="0"/>
        </w:rPr>
        <w:t>Temkin isotherm models. The results showed that the calcium components were the main constituents of eggshell (around 95% Ca). The experimental adsorption isotherm was in good concordance with -Langmuir</w:t>
      </w:r>
      <w:r w:rsidR="00F81221">
        <w:rPr>
          <w:kern w:val="0"/>
        </w:rPr>
        <w:t xml:space="preserve"> and </w:t>
      </w:r>
      <w:r>
        <w:rPr>
          <w:kern w:val="0"/>
        </w:rPr>
        <w:t>Freundlich models (R</w:t>
      </w:r>
      <w:r>
        <w:rPr>
          <w:rFonts w:hint="eastAsia"/>
          <w:kern w:val="0"/>
          <w:vertAlign w:val="superscript"/>
        </w:rPr>
        <w:t>2</w:t>
      </w:r>
      <w:r>
        <w:rPr>
          <w:rFonts w:hint="eastAsia"/>
          <w:kern w:val="0"/>
        </w:rPr>
        <w:t xml:space="preserve"> </w:t>
      </w:r>
      <w:r>
        <w:rPr>
          <w:kern w:val="0"/>
        </w:rPr>
        <w:t>&gt;</w:t>
      </w:r>
      <w:r>
        <w:rPr>
          <w:rFonts w:hint="eastAsia"/>
          <w:kern w:val="0"/>
        </w:rPr>
        <w:t xml:space="preserve"> </w:t>
      </w:r>
      <w:r>
        <w:rPr>
          <w:kern w:val="0"/>
        </w:rPr>
        <w:t>0.90)</w:t>
      </w:r>
      <w:r w:rsidR="00F81221">
        <w:rPr>
          <w:kern w:val="0"/>
        </w:rPr>
        <w:t xml:space="preserve"> and </w:t>
      </w:r>
      <w:r>
        <w:rPr>
          <w:kern w:val="0"/>
        </w:rPr>
        <w:t>based on the Langmuir isotherm the maximum amount of adsorption (</w:t>
      </w:r>
      <w:r w:rsidRPr="00C105F1">
        <w:rPr>
          <w:i/>
          <w:kern w:val="0"/>
        </w:rPr>
        <w:t>q</w:t>
      </w:r>
      <w:r>
        <w:rPr>
          <w:rFonts w:hint="eastAsia"/>
          <w:kern w:val="0"/>
          <w:vertAlign w:val="subscript"/>
        </w:rPr>
        <w:t>max</w:t>
      </w:r>
      <w:r>
        <w:rPr>
          <w:kern w:val="0"/>
        </w:rPr>
        <w:t>) was 1.26 mg/g. Increase of the eggshell dose</w:t>
      </w:r>
      <w:r w:rsidR="00F81221">
        <w:rPr>
          <w:kern w:val="0"/>
        </w:rPr>
        <w:t xml:space="preserve"> and </w:t>
      </w:r>
      <w:r>
        <w:rPr>
          <w:kern w:val="0"/>
        </w:rPr>
        <w:t>the solution temperature beyond 45ºC led to decrease of the adsorbed dye per mass unit of the adsorbent, but increase of the solution pH up to 9 led to the improvement of dye adsorption. The kinetic studies revealed that the adsorption of reactive red 123 was rapid</w:t>
      </w:r>
      <w:r w:rsidR="00F81221">
        <w:rPr>
          <w:kern w:val="0"/>
        </w:rPr>
        <w:t xml:space="preserve"> and </w:t>
      </w:r>
      <w:r>
        <w:rPr>
          <w:kern w:val="0"/>
        </w:rPr>
        <w:t>complied with pseudo-second order kinetic (R</w:t>
      </w:r>
      <w:r>
        <w:rPr>
          <w:rFonts w:hint="eastAsia"/>
          <w:kern w:val="0"/>
          <w:vertAlign w:val="superscript"/>
        </w:rPr>
        <w:t>2</w:t>
      </w:r>
      <w:r>
        <w:rPr>
          <w:rFonts w:hint="eastAsia"/>
          <w:kern w:val="0"/>
        </w:rPr>
        <w:t xml:space="preserve"> </w:t>
      </w:r>
      <w:r>
        <w:rPr>
          <w:kern w:val="0"/>
        </w:rPr>
        <w:t>= 0.99), with the kinetic constant of 0.02 g/mg.min.</w:t>
      </w:r>
    </w:p>
    <w:p w:rsidR="00D77A62" w:rsidRDefault="00D77A62" w:rsidP="00D77A62">
      <w:pPr>
        <w:pStyle w:val="a0"/>
        <w:rPr>
          <w:kern w:val="0"/>
        </w:rPr>
      </w:pPr>
      <w:r>
        <w:rPr>
          <w:kern w:val="0"/>
        </w:rPr>
        <w:t>Keywords: Adsorbent, Adsorption, Adsorption Isotherm, Aqueous Solution, Biomass, Biosorption, Blue, Bone Char, Calcium, Cationic Dyes, Dye, Dye Adsorption, Eggshell, Eggshell Waste, Equilibrium, Freundlich, Isotherm, Kaolinite, Kinetic, Kinetics, Langmuir, Langmuir</w:t>
      </w:r>
      <w:r w:rsidR="00F81221">
        <w:rPr>
          <w:kern w:val="0"/>
        </w:rPr>
        <w:t xml:space="preserve"> and </w:t>
      </w:r>
      <w:r>
        <w:rPr>
          <w:kern w:val="0"/>
        </w:rPr>
        <w:t>Freundlich Models, Langmuir Isotherm, Natural Sorbent, pH, Reactive Red 123 Dye, Removal, Sorption Kinetics, Temperature, Textile Waste-Water</w:t>
      </w:r>
    </w:p>
    <w:p w:rsidR="00D77A62" w:rsidRDefault="00D77A62" w:rsidP="00D77A62">
      <w:pPr>
        <w:pStyle w:val="a0"/>
        <w:rPr>
          <w:kern w:val="0"/>
        </w:rPr>
      </w:pPr>
      <w:r>
        <w:rPr>
          <w:rFonts w:hint="eastAsia"/>
          <w:kern w:val="0"/>
        </w:rPr>
        <w:t xml:space="preserve">? </w:t>
      </w:r>
      <w:r>
        <w:rPr>
          <w:kern w:val="0"/>
        </w:rPr>
        <w:t>Samarghandi, M.R., Azizian, S., Siboni, M.S., Jafari, S.J.</w:t>
      </w:r>
      <w:r w:rsidR="00F81221">
        <w:rPr>
          <w:kern w:val="0"/>
        </w:rPr>
        <w:t xml:space="preserve"> and </w:t>
      </w:r>
      <w:r>
        <w:rPr>
          <w:kern w:val="0"/>
        </w:rPr>
        <w:t xml:space="preserve">Rahimi, S. (2011), </w:t>
      </w:r>
      <w:r>
        <w:rPr>
          <w:kern w:val="0"/>
        </w:rPr>
        <w:lastRenderedPageBreak/>
        <w:t>Removal of divalent nickel from aqueous solutions by adsorption onto modified holly sawdust: Equilibrium</w:t>
      </w:r>
      <w:r w:rsidR="00F81221">
        <w:rPr>
          <w:kern w:val="0"/>
        </w:rPr>
        <w:t xml:space="preserve"> and </w:t>
      </w:r>
      <w:r>
        <w:rPr>
          <w:kern w:val="0"/>
        </w:rPr>
        <w:t xml:space="preserve">kinetics. </w:t>
      </w:r>
      <w:r>
        <w:rPr>
          <w:i/>
          <w:iCs/>
          <w:kern w:val="0"/>
        </w:rPr>
        <w:t>Iranian Journal of Environmental Health Science &amp; Engineering</w:t>
      </w:r>
      <w:r>
        <w:rPr>
          <w:kern w:val="0"/>
        </w:rPr>
        <w:t xml:space="preserve">, </w:t>
      </w:r>
      <w:r>
        <w:rPr>
          <w:b/>
          <w:bCs/>
          <w:kern w:val="0"/>
        </w:rPr>
        <w:t>8</w:t>
      </w:r>
      <w:r>
        <w:rPr>
          <w:kern w:val="0"/>
        </w:rPr>
        <w:t xml:space="preserve"> (2), 181-188.</w:t>
      </w:r>
    </w:p>
    <w:p w:rsidR="00D77A62" w:rsidRPr="007D79E8" w:rsidRDefault="00D77A62" w:rsidP="00D77A62">
      <w:pPr>
        <w:pStyle w:val="a0"/>
        <w:rPr>
          <w:kern w:val="0"/>
        </w:rPr>
      </w:pPr>
      <w:r w:rsidRPr="007D79E8">
        <w:rPr>
          <w:kern w:val="0"/>
        </w:rPr>
        <w:t>Full Text:</w:t>
      </w:r>
      <w:r>
        <w:rPr>
          <w:rFonts w:hint="eastAsia"/>
          <w:kern w:val="0"/>
        </w:rPr>
        <w:t xml:space="preserve"> </w:t>
      </w:r>
      <w:hyperlink r:id="rId2153" w:history="1">
        <w:r w:rsidR="00D074C1" w:rsidRPr="00D074C1">
          <w:rPr>
            <w:rStyle w:val="a5"/>
            <w:kern w:val="0"/>
          </w:rPr>
          <w:t>2011\Ira J Env Hea Sci Eng8, 181.pdf</w:t>
        </w:r>
      </w:hyperlink>
    </w:p>
    <w:p w:rsidR="00D77A62" w:rsidRDefault="00D77A62" w:rsidP="00D77A62">
      <w:pPr>
        <w:pStyle w:val="a0"/>
        <w:rPr>
          <w:kern w:val="0"/>
        </w:rPr>
      </w:pPr>
      <w:r>
        <w:rPr>
          <w:kern w:val="0"/>
        </w:rPr>
        <w:t>Abstract: The removal of divalent nickel from aqueous solutions on modified holly sawdust was studied at varying contact times, pH initial divalent nickel concentrations</w:t>
      </w:r>
      <w:r w:rsidR="00F81221">
        <w:rPr>
          <w:kern w:val="0"/>
        </w:rPr>
        <w:t xml:space="preserve"> and </w:t>
      </w:r>
      <w:r>
        <w:rPr>
          <w:kern w:val="0"/>
        </w:rPr>
        <w:t>adsorbent dose. Results showed the removal efficiency by increasing of pH increased</w:t>
      </w:r>
      <w:r w:rsidR="00F81221">
        <w:rPr>
          <w:kern w:val="0"/>
        </w:rPr>
        <w:t xml:space="preserve"> and </w:t>
      </w:r>
      <w:r>
        <w:rPr>
          <w:kern w:val="0"/>
        </w:rPr>
        <w:t>decreased with initial nickel divalent concentration. By increasing pH from 2 to 12 (equilibrium time 240 min, adsorbent dose</w:t>
      </w:r>
      <w:r>
        <w:rPr>
          <w:rFonts w:hint="eastAsia"/>
          <w:kern w:val="0"/>
        </w:rPr>
        <w:t xml:space="preserve"> </w:t>
      </w:r>
      <w:r>
        <w:rPr>
          <w:kern w:val="0"/>
        </w:rPr>
        <w:t>= 0.6g/100 mL, divalent nickel concentrations</w:t>
      </w:r>
      <w:r>
        <w:rPr>
          <w:rFonts w:hint="eastAsia"/>
          <w:kern w:val="0"/>
        </w:rPr>
        <w:t xml:space="preserve"> </w:t>
      </w:r>
      <w:r>
        <w:rPr>
          <w:kern w:val="0"/>
        </w:rPr>
        <w:t>= 60 mg/L), the removal efficiency increased from 17.47 % to 81.76 %. Also removal efficiency was decreased from 98 % to 19.3 % by increasing of initial divalent nickel concentrations from 20 mg/l to 100 mg/L. Also the results showed the removal efficiency was increased by increasing of adsorbent dose</w:t>
      </w:r>
      <w:r w:rsidR="00F81221">
        <w:rPr>
          <w:kern w:val="0"/>
        </w:rPr>
        <w:t xml:space="preserve"> and </w:t>
      </w:r>
      <w:r>
        <w:rPr>
          <w:kern w:val="0"/>
        </w:rPr>
        <w:t>contact time. By increasing of adsorbent dose from 0.2 g/100CC to 1 g/100CC, the removal efficiency increased from 32.78% to 99.98%. The removal efficiency increased from 34.7% to 83.67% by increasing of contact time from 5 min to 240 min. Experimental equilibrium</w:t>
      </w:r>
      <w:r w:rsidR="00F81221">
        <w:rPr>
          <w:kern w:val="0"/>
        </w:rPr>
        <w:t xml:space="preserve"> and </w:t>
      </w:r>
      <w:r>
        <w:rPr>
          <w:kern w:val="0"/>
        </w:rPr>
        <w:t>kinetics data were fitted by Langmuir</w:t>
      </w:r>
      <w:r w:rsidR="00F81221">
        <w:rPr>
          <w:kern w:val="0"/>
        </w:rPr>
        <w:t xml:space="preserve"> and </w:t>
      </w:r>
      <w:r>
        <w:rPr>
          <w:kern w:val="0"/>
        </w:rPr>
        <w:t>Freundlich isotherms</w:t>
      </w:r>
      <w:r w:rsidR="00F81221">
        <w:rPr>
          <w:kern w:val="0"/>
        </w:rPr>
        <w:t xml:space="preserve"> and </w:t>
      </w:r>
      <w:r>
        <w:rPr>
          <w:kern w:val="0"/>
        </w:rPr>
        <w:t>pseudo-first-order</w:t>
      </w:r>
      <w:r w:rsidR="00F81221">
        <w:rPr>
          <w:kern w:val="0"/>
        </w:rPr>
        <w:t xml:space="preserve"> and </w:t>
      </w:r>
      <w:r>
        <w:rPr>
          <w:kern w:val="0"/>
        </w:rPr>
        <w:t>pseudo-second-order kinetics models, respectively. The results show that the equilibrium data follow Langmuir isotherm</w:t>
      </w:r>
      <w:r w:rsidR="00F81221">
        <w:rPr>
          <w:kern w:val="0"/>
        </w:rPr>
        <w:t xml:space="preserve"> and </w:t>
      </w:r>
      <w:r>
        <w:rPr>
          <w:kern w:val="0"/>
        </w:rPr>
        <w:t>the kinetic data follow pseudo-second-order model. The obtained maximum adsorption capacity was 22.47 mg/g at a pH 7. The results show that the modified holly sawdust can be used for the treatment of aqueous solutions containing nickel as a low cost adsorbent.</w:t>
      </w:r>
    </w:p>
    <w:p w:rsidR="00D77A62" w:rsidRDefault="00D77A62" w:rsidP="00D77A62">
      <w:pPr>
        <w:pStyle w:val="a0"/>
        <w:rPr>
          <w:kern w:val="0"/>
        </w:rPr>
      </w:pPr>
      <w:r>
        <w:rPr>
          <w:kern w:val="0"/>
        </w:rPr>
        <w:t>Keywords: Activated Carbon, Adsorbent, Adsorption, Copper, Cu(II), Divalent Nickel, Equilibrium, Freundlich, Freundlich Isotherms, Heavy-Metals, Ions, Isotherm, Isotherm Models, Isotherms, Kinetic, Kinetic Models, Kinetics, Langmuir, Langmuir Isotherm, Modified, Ni(II), Nickel, pH, Removal, Sawdust, Shells, Treated Sawdust, Waste, Water</w:t>
      </w:r>
    </w:p>
    <w:p w:rsidR="00B95188" w:rsidRPr="00A428C3" w:rsidRDefault="00B95188" w:rsidP="00B95188">
      <w:pPr>
        <w:pStyle w:val="1"/>
      </w:pPr>
      <w:r w:rsidRPr="00A428C3">
        <w:br w:type="page"/>
      </w:r>
      <w:bookmarkStart w:id="1649" w:name="_Toc487190747"/>
      <w:bookmarkStart w:id="1650" w:name="_Toc487882252"/>
      <w:bookmarkStart w:id="1651" w:name="_Toc490688092"/>
      <w:bookmarkStart w:id="1652" w:name="_Toc492812205"/>
      <w:bookmarkStart w:id="1653" w:name="_Toc186647989"/>
      <w:bookmarkStart w:id="1654" w:name="_Toc317161421"/>
      <w:r w:rsidRPr="00A428C3">
        <w:lastRenderedPageBreak/>
        <w:t>Title: Iranian Polymer Journal</w:t>
      </w:r>
      <w:bookmarkEnd w:id="1649"/>
      <w:bookmarkEnd w:id="1650"/>
      <w:bookmarkEnd w:id="1651"/>
      <w:bookmarkEnd w:id="1652"/>
      <w:bookmarkEnd w:id="1653"/>
      <w:bookmarkEnd w:id="1654"/>
    </w:p>
    <w:p w:rsidR="00B95188" w:rsidRPr="00A428C3" w:rsidRDefault="00B95188" w:rsidP="00B72EF9">
      <w:pPr>
        <w:pStyle w:val="12"/>
      </w:pPr>
      <w:r w:rsidRPr="00A428C3">
        <w:t>Full Journal Title: Iranian Polymer Journal</w:t>
      </w:r>
    </w:p>
    <w:p w:rsidR="00B95188" w:rsidRPr="00A428C3" w:rsidRDefault="00B95188" w:rsidP="00B72EF9">
      <w:pPr>
        <w:pStyle w:val="12"/>
      </w:pPr>
      <w:r w:rsidRPr="00A428C3">
        <w:t xml:space="preserve">ISO Abbreviated Title: </w:t>
      </w:r>
      <w:smartTag w:uri="urn:schemas-microsoft-com:office:smarttags" w:element="place">
        <w:smartTag w:uri="urn:schemas-microsoft-com:office:smarttags" w:element="country-region">
          <w:r w:rsidRPr="00A428C3">
            <w:t>Iran</w:t>
          </w:r>
        </w:smartTag>
      </w:smartTag>
      <w:r w:rsidRPr="00A428C3">
        <w:t>. Polym. J.</w:t>
      </w:r>
    </w:p>
    <w:p w:rsidR="00B95188" w:rsidRPr="00A428C3" w:rsidRDefault="00B95188" w:rsidP="00B72EF9">
      <w:pPr>
        <w:pStyle w:val="12"/>
      </w:pPr>
      <w:r w:rsidRPr="00A428C3">
        <w:t>JCR Abbreviated Title: Iran Polym J</w:t>
      </w:r>
    </w:p>
    <w:p w:rsidR="00B95188" w:rsidRPr="00A428C3" w:rsidRDefault="00B95188" w:rsidP="00B72EF9">
      <w:pPr>
        <w:pStyle w:val="12"/>
      </w:pPr>
      <w:r w:rsidRPr="00A428C3">
        <w:t>ISSN: 1026-1265</w:t>
      </w:r>
    </w:p>
    <w:p w:rsidR="00B95188" w:rsidRPr="00A428C3" w:rsidRDefault="00B95188" w:rsidP="00B72EF9">
      <w:pPr>
        <w:pStyle w:val="12"/>
      </w:pPr>
      <w:r w:rsidRPr="00A428C3">
        <w:t>Issues/Year: 4</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Iran</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 xml:space="preserve">Publisher: </w:t>
      </w:r>
      <w:smartTag w:uri="urn:schemas-microsoft-com:office:smarttags" w:element="place">
        <w:smartTag w:uri="urn:schemas-microsoft-com:office:smarttags" w:element="City">
          <w:r w:rsidRPr="00A428C3">
            <w:t>Polymer Research Center</w:t>
          </w:r>
        </w:smartTag>
        <w:r w:rsidRPr="00A428C3">
          <w:t xml:space="preserve"> </w:t>
        </w:r>
        <w:smartTag w:uri="urn:schemas-microsoft-com:office:smarttags" w:element="country-region">
          <w:r w:rsidRPr="00A428C3">
            <w:t>Iran</w:t>
          </w:r>
        </w:smartTag>
      </w:smartTag>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PO Box 14185-515</w:t>
          </w:r>
        </w:smartTag>
        <w:r w:rsidRPr="00A428C3">
          <w:t xml:space="preserve">, </w:t>
        </w:r>
        <w:smartTag w:uri="urn:schemas-microsoft-com:office:smarttags" w:element="City">
          <w:r w:rsidRPr="00A428C3">
            <w:t>Tehran</w:t>
          </w:r>
        </w:smartTag>
        <w:r w:rsidRPr="00A428C3">
          <w:t xml:space="preserve">, </w:t>
        </w:r>
        <w:smartTag w:uri="urn:schemas-microsoft-com:office:smarttags" w:element="country-region">
          <w:r w:rsidRPr="00A428C3">
            <w:t>Iran</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Polymer Science: Impact Factor 0.127, 64/69 (2000)</w:t>
      </w:r>
    </w:p>
    <w:p w:rsidR="00B95188" w:rsidRPr="00A428C3" w:rsidRDefault="00B95188" w:rsidP="00B95188">
      <w:pPr>
        <w:pStyle w:val="a0"/>
      </w:pPr>
      <w:r w:rsidRPr="00A428C3">
        <w:t>? Annadurai, G.</w:t>
      </w:r>
      <w:r w:rsidR="00F81221">
        <w:t xml:space="preserve"> and </w:t>
      </w:r>
      <w:r w:rsidRPr="00A428C3">
        <w:t>Krishnan, M.R.V. (1997), Batch equilibrium adsorption of reactive dye onto natural biopolymer.</w:t>
      </w:r>
      <w:r w:rsidRPr="00A428C3">
        <w:rPr>
          <w:i/>
        </w:rPr>
        <w:t xml:space="preserve"> Iranian Polymer Journal</w:t>
      </w:r>
      <w:r w:rsidRPr="00A428C3">
        <w:t xml:space="preserve">, </w:t>
      </w:r>
      <w:r w:rsidRPr="00A428C3">
        <w:rPr>
          <w:b/>
        </w:rPr>
        <w:t>6</w:t>
      </w:r>
      <w:r w:rsidRPr="00A428C3">
        <w:t xml:space="preserve"> (3), 169-175.</w:t>
      </w:r>
    </w:p>
    <w:p w:rsidR="00E57A22" w:rsidRPr="00F03D2F" w:rsidRDefault="00E57A22" w:rsidP="00E57A22">
      <w:pPr>
        <w:pStyle w:val="a0"/>
        <w:rPr>
          <w:kern w:val="0"/>
        </w:rPr>
      </w:pPr>
      <w:r w:rsidRPr="00F03D2F">
        <w:rPr>
          <w:kern w:val="0"/>
        </w:rPr>
        <w:t>Full Text:</w:t>
      </w:r>
      <w:r w:rsidRPr="00D7601C">
        <w:t xml:space="preserve"> </w:t>
      </w:r>
      <w:hyperlink r:id="rId2154" w:history="1">
        <w:r w:rsidRPr="00E57A22">
          <w:rPr>
            <w:rStyle w:val="a5"/>
          </w:rPr>
          <w:t>1997\Ira Pol J6, 169.pdf</w:t>
        </w:r>
      </w:hyperlink>
    </w:p>
    <w:p w:rsidR="00B95188" w:rsidRPr="00A428C3" w:rsidRDefault="00B95188" w:rsidP="00B95188">
      <w:pPr>
        <w:pStyle w:val="a0"/>
      </w:pPr>
      <w:r w:rsidRPr="00A428C3">
        <w:t>Abstract: We have investigated the possibility of using chitosan which has amino groups,</w:t>
      </w:r>
      <w:r w:rsidR="00F81221">
        <w:t xml:space="preserve"> and </w:t>
      </w:r>
      <w:r w:rsidRPr="00A428C3">
        <w:t>therefore, has the advantage of more adsorption capacity</w:t>
      </w:r>
      <w:r w:rsidR="00F81221">
        <w:t xml:space="preserve"> and </w:t>
      </w:r>
      <w:r w:rsidRPr="00A428C3">
        <w:t>much easier desorption. Chitosan is produced by deacetylation of chitin which is a natural biopolymer extracted from the shells of arthropods such as lobsters, shrimps</w:t>
      </w:r>
      <w:r w:rsidR="00F81221">
        <w:t xml:space="preserve"> and </w:t>
      </w:r>
      <w:r w:rsidRPr="00A428C3">
        <w:t>crabs. In the present work, results for the batch equilibrium of adsorption of reactive dye on chitosan from its aqueous solution at different particle sizes</w:t>
      </w:r>
      <w:r w:rsidR="00F81221">
        <w:t xml:space="preserve"> and </w:t>
      </w:r>
      <w:r w:rsidRPr="00A428C3">
        <w:t>temperatures have been reported. The adsorption isotherms are found to be described by Langmuir, Freundlich</w:t>
      </w:r>
      <w:r w:rsidR="00F81221">
        <w:t xml:space="preserve"> and </w:t>
      </w:r>
      <w:r w:rsidRPr="00A428C3">
        <w:t>Redlich-Peterson types of equations. From the adsorption isotherms, the adsorption capacity, energy of adsorption, number of layers</w:t>
      </w:r>
      <w:r w:rsidR="00F81221">
        <w:t xml:space="preserve"> and </w:t>
      </w:r>
      <w:r w:rsidRPr="00A428C3">
        <w:t>the rate constants are evaluated. The rate of adsorption on chitosan is found to be dictated by variables such as temperature</w:t>
      </w:r>
      <w:r w:rsidR="00F81221">
        <w:t xml:space="preserve"> and </w:t>
      </w:r>
      <w:r w:rsidRPr="00A428C3">
        <w:t>particle size at a fixed pH. Differential scanning calorimeter signals obtained with dye adsorbed on chitosan samples indicate that the dye is chemisorbed on chitosan;</w:t>
      </w:r>
      <w:r w:rsidR="00F81221">
        <w:t xml:space="preserve"> and </w:t>
      </w:r>
      <w:r w:rsidRPr="00A428C3">
        <w:t xml:space="preserve">the value of </w:t>
      </w:r>
      <w:r w:rsidR="00C223D9">
        <w:sym w:font="Symbol" w:char="F044"/>
      </w:r>
      <w:r w:rsidRPr="00A428C3">
        <w:t>H is 23.685 J/g in the temperature range of 120-180</w:t>
      </w:r>
      <w:r w:rsidR="00C223D9">
        <w:t>°</w:t>
      </w:r>
      <w:r w:rsidRPr="00A428C3">
        <w:t>C.</w:t>
      </w:r>
    </w:p>
    <w:p w:rsidR="00C223D9" w:rsidRDefault="00C223D9" w:rsidP="00C223D9">
      <w:pPr>
        <w:pStyle w:val="a0"/>
        <w:rPr>
          <w:kern w:val="0"/>
        </w:rPr>
      </w:pPr>
      <w:r>
        <w:rPr>
          <w:kern w:val="0"/>
        </w:rPr>
        <w:t>? Liu, Y., Luo, L., Chen, G.L., Xie, M.J.</w:t>
      </w:r>
      <w:r w:rsidR="00F81221">
        <w:rPr>
          <w:kern w:val="0"/>
        </w:rPr>
        <w:t xml:space="preserve"> and </w:t>
      </w:r>
      <w:r>
        <w:rPr>
          <w:kern w:val="0"/>
        </w:rPr>
        <w:t xml:space="preserve">Yu, Z.L. (2010), Adsorption of lead ions on ground tyre rubber grafted with maleic anhydride via surface-initiated ATRP polymerization. </w:t>
      </w:r>
      <w:r>
        <w:rPr>
          <w:i/>
          <w:iCs/>
          <w:kern w:val="0"/>
        </w:rPr>
        <w:t>Iranian Polymer Journal</w:t>
      </w:r>
      <w:r>
        <w:rPr>
          <w:kern w:val="0"/>
        </w:rPr>
        <w:t xml:space="preserve">, </w:t>
      </w:r>
      <w:r>
        <w:rPr>
          <w:b/>
          <w:bCs/>
          <w:kern w:val="0"/>
        </w:rPr>
        <w:t>19</w:t>
      </w:r>
      <w:r>
        <w:rPr>
          <w:kern w:val="0"/>
        </w:rPr>
        <w:t xml:space="preserve"> (3), 207-218.</w:t>
      </w:r>
    </w:p>
    <w:p w:rsidR="00E57A22" w:rsidRPr="00F03D2F" w:rsidRDefault="00E57A22" w:rsidP="00E57A22">
      <w:pPr>
        <w:pStyle w:val="a0"/>
        <w:rPr>
          <w:kern w:val="0"/>
        </w:rPr>
      </w:pPr>
      <w:r w:rsidRPr="00F03D2F">
        <w:rPr>
          <w:kern w:val="0"/>
        </w:rPr>
        <w:t>Full Text:</w:t>
      </w:r>
      <w:r w:rsidRPr="00D7601C">
        <w:t xml:space="preserve"> </w:t>
      </w:r>
      <w:hyperlink r:id="rId2155" w:history="1">
        <w:r w:rsidRPr="00E57A22">
          <w:rPr>
            <w:rStyle w:val="a5"/>
          </w:rPr>
          <w:t>2010\Ira Pol J19, 207.pdf</w:t>
        </w:r>
      </w:hyperlink>
    </w:p>
    <w:p w:rsidR="00C223D9" w:rsidRDefault="00C223D9" w:rsidP="00C223D9">
      <w:pPr>
        <w:pStyle w:val="a0"/>
        <w:rPr>
          <w:kern w:val="0"/>
        </w:rPr>
      </w:pPr>
      <w:r>
        <w:rPr>
          <w:kern w:val="0"/>
        </w:rPr>
        <w:t>Abstract: The surface modification of ground tyre rubber (GTR) containing hydroxyl groups was carried out by atom transfer radical polymerization using a two-step reaction procedure. The process consisted of immobilization of an ATRP initiator such as 2-bromoisobutyryl bromide</w:t>
      </w:r>
      <w:r w:rsidR="00F81221">
        <w:rPr>
          <w:kern w:val="0"/>
        </w:rPr>
        <w:t xml:space="preserve"> and </w:t>
      </w:r>
      <w:r>
        <w:rPr>
          <w:kern w:val="0"/>
        </w:rPr>
        <w:t xml:space="preserve">controllable radical polymerization of maleic </w:t>
      </w:r>
      <w:r>
        <w:rPr>
          <w:kern w:val="0"/>
        </w:rPr>
        <w:lastRenderedPageBreak/>
        <w:t>anhydride (MAH). The resulting GTR-g-MAH was characterized by Fourier transform infrared spectroscopy</w:t>
      </w:r>
      <w:r w:rsidR="00F81221">
        <w:rPr>
          <w:kern w:val="0"/>
        </w:rPr>
        <w:t xml:space="preserve"> and </w:t>
      </w:r>
      <w:r>
        <w:rPr>
          <w:kern w:val="0"/>
        </w:rPr>
        <w:t>X-ray photoelectron spectroscopy. The results demonstrated that the graft yield of new polymer could reach 69.4% on GTR surface. Then the grafted GTR was used as an adsorbent for removal of lead ions from aqueous solution. It was observed that factors such as solution pH, contact time, initial lead concentration</w:t>
      </w:r>
      <w:r w:rsidR="00F81221">
        <w:rPr>
          <w:kern w:val="0"/>
        </w:rPr>
        <w:t xml:space="preserve"> and </w:t>
      </w:r>
      <w:r>
        <w:rPr>
          <w:kern w:val="0"/>
        </w:rPr>
        <w:t>graft yield exerted considerable influence on lead adsorption capacity of GTR-g-MAH. The adsorption process indicated that the pseudo-second-order kinetic model fitted the experimental data well,</w:t>
      </w:r>
      <w:r w:rsidR="00F81221">
        <w:rPr>
          <w:kern w:val="0"/>
        </w:rPr>
        <w:t xml:space="preserve"> and </w:t>
      </w:r>
      <w:r>
        <w:rPr>
          <w:kern w:val="0"/>
        </w:rPr>
        <w:t>the equilibrium of adsorption could be described by Freundlich isotherm model. The maximum adsorption capacity of GTR-g-MAH calculated from Langmuir isotherm reached 144 mg.g</w:t>
      </w:r>
      <w:r>
        <w:rPr>
          <w:kern w:val="0"/>
          <w:vertAlign w:val="superscript"/>
        </w:rPr>
        <w:t>-1</w:t>
      </w:r>
      <w:r>
        <w:rPr>
          <w:kern w:val="0"/>
        </w:rPr>
        <w:t>. It was found that the GTR-g-MAH particles had significantly greater adsorption capacity</w:t>
      </w:r>
      <w:r w:rsidR="00F81221">
        <w:rPr>
          <w:kern w:val="0"/>
        </w:rPr>
        <w:t xml:space="preserve"> and </w:t>
      </w:r>
      <w:r>
        <w:rPr>
          <w:kern w:val="0"/>
        </w:rPr>
        <w:t>faster adsorption kinetics for lead adsorption than unmodified GTR particles.</w:t>
      </w:r>
    </w:p>
    <w:p w:rsidR="00C223D9" w:rsidRDefault="00C223D9" w:rsidP="00C223D9">
      <w:pPr>
        <w:pStyle w:val="a0"/>
        <w:rPr>
          <w:kern w:val="0"/>
        </w:rPr>
      </w:pPr>
      <w:r>
        <w:rPr>
          <w:kern w:val="0"/>
        </w:rPr>
        <w:t xml:space="preserve">Keywords: Acid, Activated Carbon, Adsorbent, Adsorption, Adsorption Capacity, Adsorption Kinetics, Aqueous Solution, Aqueous-Solutions, Atom Transfer Radical Polymerization, Biomass, Bromide, Capacity, Concentration, Copper, Data, Equilibrium, Experimental, Freundlich, Freundlich Isotherm, Freundlich Isotherm Model, Graft, Grafted, Ground Tyre Rubber, GTR-g-MAH, Immobilization, Infrared Spectroscopy, Ions, Isotherm, Isotherm Model, Kinetic, Kinetic Model, Kinetics, Langmuir, Langmuir Isotherm, Lead, Lead Adsorption, Mar, Mercury, Model, Modification, Particles, </w:t>
      </w:r>
      <w:r>
        <w:rPr>
          <w:rFonts w:hint="eastAsia"/>
          <w:kern w:val="0"/>
        </w:rPr>
        <w:t>p</w:t>
      </w:r>
      <w:r>
        <w:rPr>
          <w:kern w:val="0"/>
        </w:rPr>
        <w:t>H, Polymer, Polymerization, Procedure, Pseudo Second Order, Pseudo-Second-Order, Pseudo-Second-Order Kinetic Model, Radical Polymerization, Reaction, Removal, Solution, Spectroscopy, Surface, Surface Modification, Time, Tire Rubber, Tyre, Water, X-Ray, X-Ray Photoelectron Spectroscopy</w:t>
      </w:r>
    </w:p>
    <w:p w:rsidR="00934861" w:rsidRDefault="00934861" w:rsidP="00934861">
      <w:pPr>
        <w:pStyle w:val="a0"/>
        <w:rPr>
          <w:kern w:val="0"/>
        </w:rPr>
      </w:pPr>
      <w:r>
        <w:rPr>
          <w:kern w:val="0"/>
        </w:rPr>
        <w:t>? Ansari, R.</w:t>
      </w:r>
      <w:r w:rsidR="00F81221">
        <w:rPr>
          <w:kern w:val="0"/>
        </w:rPr>
        <w:t xml:space="preserve"> and </w:t>
      </w:r>
      <w:r>
        <w:rPr>
          <w:kern w:val="0"/>
        </w:rPr>
        <w:t xml:space="preserve">Mosayebzadeh, Z. (2010), Removal of Eosin Y, an anionic dye, from aqueous solutions using conducting electroactive polymers. </w:t>
      </w:r>
      <w:r>
        <w:rPr>
          <w:i/>
          <w:iCs/>
          <w:kern w:val="0"/>
        </w:rPr>
        <w:t>Iranian Polymer Journal</w:t>
      </w:r>
      <w:r>
        <w:rPr>
          <w:kern w:val="0"/>
        </w:rPr>
        <w:t xml:space="preserve">, </w:t>
      </w:r>
      <w:r>
        <w:rPr>
          <w:b/>
          <w:bCs/>
          <w:kern w:val="0"/>
        </w:rPr>
        <w:t>19</w:t>
      </w:r>
      <w:r>
        <w:rPr>
          <w:kern w:val="0"/>
        </w:rPr>
        <w:t xml:space="preserve"> (7), 541-551.</w:t>
      </w:r>
    </w:p>
    <w:p w:rsidR="00934861" w:rsidRPr="00F03D2F" w:rsidRDefault="00934861" w:rsidP="00934861">
      <w:pPr>
        <w:pStyle w:val="a0"/>
        <w:rPr>
          <w:kern w:val="0"/>
        </w:rPr>
      </w:pPr>
      <w:r w:rsidRPr="00F03D2F">
        <w:rPr>
          <w:kern w:val="0"/>
        </w:rPr>
        <w:t>Full Text:</w:t>
      </w:r>
      <w:r w:rsidRPr="00D7601C">
        <w:t xml:space="preserve"> </w:t>
      </w:r>
      <w:hyperlink r:id="rId2156" w:history="1">
        <w:r w:rsidR="00E57A22" w:rsidRPr="00E57A22">
          <w:rPr>
            <w:rStyle w:val="a5"/>
          </w:rPr>
          <w:t>2010\Ira Pol J19, 541.pdf</w:t>
        </w:r>
      </w:hyperlink>
    </w:p>
    <w:p w:rsidR="00934861" w:rsidRDefault="00934861" w:rsidP="00934861">
      <w:pPr>
        <w:pStyle w:val="a0"/>
        <w:rPr>
          <w:kern w:val="0"/>
        </w:rPr>
      </w:pPr>
      <w:r>
        <w:rPr>
          <w:kern w:val="0"/>
        </w:rPr>
        <w:t>Abstract: Polypyrrole (PPy)</w:t>
      </w:r>
      <w:r w:rsidR="00F81221">
        <w:rPr>
          <w:kern w:val="0"/>
        </w:rPr>
        <w:t xml:space="preserve"> and </w:t>
      </w:r>
      <w:r>
        <w:rPr>
          <w:kern w:val="0"/>
        </w:rPr>
        <w:t>polyaniline (PAni) conducting polymers were synthesized chemically on the surface of wood sawdust (SD) to remove Eosin Y (EY), an anionic dye, from aqueous solution. The important parameters such as pH, initial concentration, sorbent dosage</w:t>
      </w:r>
      <w:r w:rsidR="00F81221">
        <w:rPr>
          <w:kern w:val="0"/>
        </w:rPr>
        <w:t xml:space="preserve"> and </w:t>
      </w:r>
      <w:r>
        <w:rPr>
          <w:kern w:val="0"/>
        </w:rPr>
        <w:t>contact time on uptake of EY solution were also investigated. The experiments were carried out using both batch</w:t>
      </w:r>
      <w:r w:rsidR="00F81221">
        <w:rPr>
          <w:kern w:val="0"/>
        </w:rPr>
        <w:t xml:space="preserve"> and </w:t>
      </w:r>
      <w:r>
        <w:rPr>
          <w:kern w:val="0"/>
        </w:rPr>
        <w:t>column systems at room temperature. It was found that both polymers can be used to remove anionic dyes such as EY from aqueous solutions very efficiently. The sorption process of EY dye using both polypyrrole</w:t>
      </w:r>
      <w:r w:rsidR="00F81221">
        <w:rPr>
          <w:kern w:val="0"/>
        </w:rPr>
        <w:t xml:space="preserve"> and </w:t>
      </w:r>
      <w:r>
        <w:rPr>
          <w:kern w:val="0"/>
        </w:rPr>
        <w:t>polyaniline coated onto sawdust (respectively termed as PPy/SD</w:t>
      </w:r>
      <w:r w:rsidR="00F81221">
        <w:rPr>
          <w:kern w:val="0"/>
        </w:rPr>
        <w:t xml:space="preserve"> and </w:t>
      </w:r>
      <w:r>
        <w:rPr>
          <w:kern w:val="0"/>
        </w:rPr>
        <w:t xml:space="preserve">PAni/SD) was less dependent on the pH of the solutions at least at pH values from 2-10. Considerable decrease in sorption </w:t>
      </w:r>
      <w:r>
        <w:rPr>
          <w:kern w:val="0"/>
        </w:rPr>
        <w:lastRenderedPageBreak/>
        <w:t xml:space="preserve">performance occurred only at high pH values (pH ≥ 12). According to our </w:t>
      </w:r>
      <w:r w:rsidR="000352E7">
        <w:rPr>
          <w:kern w:val="0"/>
        </w:rPr>
        <w:t>“</w:t>
      </w:r>
      <w:r>
        <w:rPr>
          <w:kern w:val="0"/>
        </w:rPr>
        <w:t>breakthrough analysis</w:t>
      </w:r>
      <w:r w:rsidR="000352E7">
        <w:rPr>
          <w:kern w:val="0"/>
        </w:rPr>
        <w:t>”</w:t>
      </w:r>
      <w:r>
        <w:rPr>
          <w:kern w:val="0"/>
        </w:rPr>
        <w:t>, it was found that PAni/SD adsorbent is more efficient for EY removal in flow or column system. Adsorption of EY on the PPy/SD</w:t>
      </w:r>
      <w:r w:rsidR="00F81221">
        <w:rPr>
          <w:kern w:val="0"/>
        </w:rPr>
        <w:t xml:space="preserve"> and </w:t>
      </w:r>
      <w:r>
        <w:rPr>
          <w:kern w:val="0"/>
        </w:rPr>
        <w:t>PAni/SD under different conditions was examined by pseudo-first-order</w:t>
      </w:r>
      <w:r w:rsidR="00F81221">
        <w:rPr>
          <w:kern w:val="0"/>
        </w:rPr>
        <w:t xml:space="preserve"> and </w:t>
      </w:r>
      <w:r>
        <w:rPr>
          <w:kern w:val="0"/>
        </w:rPr>
        <w:t>pseudo-second-order models,</w:t>
      </w:r>
      <w:r w:rsidR="00F81221">
        <w:rPr>
          <w:kern w:val="0"/>
        </w:rPr>
        <w:t xml:space="preserve"> and </w:t>
      </w:r>
      <w:r>
        <w:rPr>
          <w:kern w:val="0"/>
        </w:rPr>
        <w:t>their respective rate constants of first-order adsorption (k(1))</w:t>
      </w:r>
      <w:r w:rsidR="00F81221">
        <w:rPr>
          <w:kern w:val="0"/>
        </w:rPr>
        <w:t xml:space="preserve"> and </w:t>
      </w:r>
      <w:r>
        <w:rPr>
          <w:kern w:val="0"/>
        </w:rPr>
        <w:t>second-order adsorption (k(2)) were estimated. The experimental data fitted very well into pseudo-second-order kinetic model. The experimental data were also analyzed by the Langmuir</w:t>
      </w:r>
      <w:r w:rsidR="00F81221">
        <w:rPr>
          <w:kern w:val="0"/>
        </w:rPr>
        <w:t xml:space="preserve"> and </w:t>
      </w:r>
      <w:r>
        <w:rPr>
          <w:kern w:val="0"/>
        </w:rPr>
        <w:t>Freundlich models of adsorption. Based on the correlation coefficient values obtained (R-2), it was found that equilibrium data fitted well with both models. In order to find out the possibility of desorption for frequent use, the chemical regeneration of the employed adsorbents was also investigated. It was found that more than 96% of the EY dye can be recovered from PPy/SD column using a dilute NaOH solution (0.05 M).</w:t>
      </w:r>
    </w:p>
    <w:p w:rsidR="00934861" w:rsidRDefault="00934861" w:rsidP="00934861">
      <w:pPr>
        <w:pStyle w:val="a0"/>
        <w:rPr>
          <w:kern w:val="0"/>
        </w:rPr>
      </w:pPr>
      <w:r>
        <w:rPr>
          <w:kern w:val="0"/>
        </w:rPr>
        <w:t>Keywords: Acid, Adsorbent, Adsorbents, Adsorption, Anionic Dyes, Aqueous Solution, Aqueous Solutions, Batch, Behavior, Chemical, Coated, Column, Concentration, Conducting Polymers, Correlation, Correlation Coefficient, Data, Desorption, Dye, Dyes, Effluents, Eosin Y, Equilibrium, Experimental, Experiments, First Order, Flow, Freundlich, Ion, Kinetic, Kinetic Model, Langmuir, Model, Models, NaOH, Oxidation, Performance, pH, Polyaniline, Polyaniline, Polymers, Polypyrrole, Pseudo First Order, Pseudo Second Order, Pseudo-First-Order, Pseudo-Second-Order, Pseudo-Second-Order Kinetic Model, Rate Constants, Regeneration, Removal, Room Temperature, Sawdust, Sawdust, Second Order, Second-Order, Solution, Solutions, Sorbent, Sorption, Sorption Process, Surface, Systems, Temperature, Uptake, Wood</w:t>
      </w:r>
    </w:p>
    <w:p w:rsidR="001D7D59" w:rsidRPr="00217FB1" w:rsidRDefault="001D7D59" w:rsidP="001D7D59">
      <w:pPr>
        <w:pStyle w:val="1"/>
      </w:pPr>
      <w:r w:rsidRPr="00217FB1">
        <w:br w:type="page"/>
      </w:r>
      <w:bookmarkStart w:id="1655" w:name="_Toc317161422"/>
      <w:r w:rsidRPr="00217FB1">
        <w:lastRenderedPageBreak/>
        <w:t xml:space="preserve">Title: </w:t>
      </w:r>
      <w:r w:rsidRPr="00925F52">
        <w:t>Iranian Journal of Public Health</w:t>
      </w:r>
      <w:bookmarkEnd w:id="1655"/>
    </w:p>
    <w:p w:rsidR="001D7D59" w:rsidRPr="00217FB1" w:rsidRDefault="001D7D59" w:rsidP="00B72EF9">
      <w:pPr>
        <w:pStyle w:val="12"/>
      </w:pPr>
      <w:r w:rsidRPr="00217FB1">
        <w:t xml:space="preserve">Full Journal Title: </w:t>
      </w:r>
      <w:r w:rsidRPr="00925F52">
        <w:t>Iranian Journal of Public Health</w:t>
      </w:r>
    </w:p>
    <w:p w:rsidR="001D7D59" w:rsidRPr="00217FB1" w:rsidRDefault="001D7D59" w:rsidP="00B72EF9">
      <w:pPr>
        <w:pStyle w:val="12"/>
      </w:pPr>
      <w:r w:rsidRPr="00217FB1">
        <w:t xml:space="preserve">ISO Abbreviated Title: </w:t>
      </w:r>
    </w:p>
    <w:p w:rsidR="001D7D59" w:rsidRPr="00217FB1" w:rsidRDefault="001D7D59" w:rsidP="00B72EF9">
      <w:pPr>
        <w:pStyle w:val="12"/>
      </w:pPr>
      <w:r w:rsidRPr="00217FB1">
        <w:t>JCR Abbreviated Title</w:t>
      </w:r>
      <w:r>
        <w:t>:</w:t>
      </w:r>
    </w:p>
    <w:p w:rsidR="001D7D59" w:rsidRPr="00217FB1" w:rsidRDefault="001D7D59" w:rsidP="00B72EF9">
      <w:pPr>
        <w:pStyle w:val="12"/>
      </w:pPr>
      <w:r>
        <w:t xml:space="preserve">ISSN: </w:t>
      </w:r>
    </w:p>
    <w:p w:rsidR="001D7D59" w:rsidRPr="00217FB1" w:rsidRDefault="001D7D59" w:rsidP="00B72EF9">
      <w:pPr>
        <w:pStyle w:val="12"/>
      </w:pPr>
      <w:r>
        <w:t xml:space="preserve">Issues/Year: </w:t>
      </w:r>
    </w:p>
    <w:p w:rsidR="001D7D59" w:rsidRPr="00217FB1" w:rsidRDefault="00FB5623" w:rsidP="00B72EF9">
      <w:pPr>
        <w:pStyle w:val="12"/>
      </w:pPr>
      <w:r>
        <w:t>Journal Country/Territory:</w:t>
      </w:r>
      <w:r w:rsidR="001D7D59">
        <w:t xml:space="preserve"> </w:t>
      </w:r>
    </w:p>
    <w:p w:rsidR="001D7D59" w:rsidRPr="00217FB1" w:rsidRDefault="001D7D59" w:rsidP="00B72EF9">
      <w:pPr>
        <w:pStyle w:val="12"/>
      </w:pPr>
      <w:r>
        <w:t xml:space="preserve">Language: </w:t>
      </w:r>
    </w:p>
    <w:p w:rsidR="001D7D59" w:rsidRPr="00217FB1" w:rsidRDefault="001D7D59" w:rsidP="00B72EF9">
      <w:pPr>
        <w:pStyle w:val="12"/>
      </w:pPr>
      <w:r>
        <w:t xml:space="preserve">Publisher: </w:t>
      </w:r>
    </w:p>
    <w:p w:rsidR="001D7D59" w:rsidRPr="00217FB1" w:rsidRDefault="001D7D59" w:rsidP="00B72EF9">
      <w:pPr>
        <w:pStyle w:val="12"/>
      </w:pPr>
      <w:r>
        <w:t xml:space="preserve">Publisher Address: </w:t>
      </w:r>
    </w:p>
    <w:p w:rsidR="001D7D59" w:rsidRPr="00217FB1" w:rsidRDefault="001D7D59" w:rsidP="00B72EF9">
      <w:pPr>
        <w:pStyle w:val="12"/>
      </w:pPr>
      <w:r w:rsidRPr="00217FB1">
        <w:t>Subject Categories:</w:t>
      </w:r>
    </w:p>
    <w:p w:rsidR="001D7D59" w:rsidRDefault="001D7D59" w:rsidP="001D7D59">
      <w:pPr>
        <w:pStyle w:val="a0"/>
        <w:rPr>
          <w:kern w:val="0"/>
          <w:szCs w:val="24"/>
        </w:rPr>
      </w:pPr>
      <w:r>
        <w:rPr>
          <w:rFonts w:hint="eastAsia"/>
          <w:kern w:val="0"/>
          <w:szCs w:val="24"/>
        </w:rPr>
        <w:t xml:space="preserve">? </w:t>
      </w:r>
      <w:r>
        <w:rPr>
          <w:kern w:val="0"/>
          <w:szCs w:val="24"/>
        </w:rPr>
        <w:t>Malekafzali, H., Eftekhari, M.B., Peykari, N., Gholami, F.S., Nia, S.H.D., Owlia, P., Habibi, E., Mesgarpour, B.</w:t>
      </w:r>
      <w:r w:rsidR="00F81221">
        <w:rPr>
          <w:kern w:val="0"/>
          <w:szCs w:val="24"/>
        </w:rPr>
        <w:t xml:space="preserve"> and </w:t>
      </w:r>
      <w:r>
        <w:rPr>
          <w:kern w:val="0"/>
          <w:szCs w:val="24"/>
        </w:rPr>
        <w:t xml:space="preserve">Vasei, M. (2009), Research </w:t>
      </w:r>
      <w:r w:rsidR="005A65D2">
        <w:rPr>
          <w:kern w:val="0"/>
          <w:szCs w:val="24"/>
        </w:rPr>
        <w:t xml:space="preserve">assessment </w:t>
      </w:r>
      <w:r>
        <w:rPr>
          <w:kern w:val="0"/>
          <w:szCs w:val="24"/>
        </w:rPr>
        <w:t xml:space="preserve">of Iranian </w:t>
      </w:r>
      <w:r w:rsidR="005A65D2">
        <w:rPr>
          <w:kern w:val="0"/>
          <w:szCs w:val="24"/>
        </w:rPr>
        <w:t>medical universities, an experience from a developing co</w:t>
      </w:r>
      <w:r>
        <w:rPr>
          <w:kern w:val="0"/>
          <w:szCs w:val="24"/>
        </w:rPr>
        <w:t xml:space="preserve">untry. </w:t>
      </w:r>
      <w:r>
        <w:rPr>
          <w:i/>
          <w:iCs/>
          <w:kern w:val="0"/>
          <w:szCs w:val="24"/>
        </w:rPr>
        <w:t>Iranian Journal of Public Health</w:t>
      </w:r>
      <w:r>
        <w:rPr>
          <w:kern w:val="0"/>
          <w:szCs w:val="24"/>
        </w:rPr>
        <w:t xml:space="preserve">, </w:t>
      </w:r>
      <w:r>
        <w:rPr>
          <w:b/>
          <w:bCs/>
          <w:kern w:val="0"/>
          <w:szCs w:val="24"/>
        </w:rPr>
        <w:t>38</w:t>
      </w:r>
      <w:r>
        <w:rPr>
          <w:kern w:val="0"/>
          <w:szCs w:val="24"/>
        </w:rPr>
        <w:t>, 47-49.</w:t>
      </w:r>
    </w:p>
    <w:p w:rsidR="008756B0" w:rsidRDefault="008756B0" w:rsidP="008756B0">
      <w:pPr>
        <w:pStyle w:val="a0"/>
        <w:rPr>
          <w:kern w:val="0"/>
          <w:szCs w:val="24"/>
        </w:rPr>
      </w:pPr>
      <w:r>
        <w:rPr>
          <w:kern w:val="0"/>
          <w:szCs w:val="24"/>
        </w:rPr>
        <w:t xml:space="preserve">Full Text: </w:t>
      </w:r>
      <w:hyperlink r:id="rId2157" w:history="1">
        <w:r>
          <w:rPr>
            <w:rStyle w:val="a5"/>
            <w:szCs w:val="24"/>
          </w:rPr>
          <w:t>2009\Ira J Pub Hea38, 47.pdf</w:t>
        </w:r>
      </w:hyperlink>
    </w:p>
    <w:p w:rsidR="001D7D59" w:rsidRDefault="001D7D59" w:rsidP="001D7D59">
      <w:pPr>
        <w:pStyle w:val="a0"/>
        <w:rPr>
          <w:kern w:val="0"/>
          <w:szCs w:val="24"/>
        </w:rPr>
      </w:pPr>
      <w:r>
        <w:rPr>
          <w:kern w:val="0"/>
          <w:szCs w:val="24"/>
        </w:rPr>
        <w:t>Abstract: International ranking of universities by bibliometric assays has received a great attention in recent years. The developing countries have commenced to build their own infrastructure of research</w:t>
      </w:r>
      <w:r w:rsidR="00F81221">
        <w:rPr>
          <w:kern w:val="0"/>
          <w:szCs w:val="24"/>
        </w:rPr>
        <w:t xml:space="preserve"> and </w:t>
      </w:r>
      <w:r>
        <w:rPr>
          <w:kern w:val="0"/>
          <w:szCs w:val="24"/>
        </w:rPr>
        <w:t>post graduate training during the past couple of years. In 2000, the Ministry of Health</w:t>
      </w:r>
      <w:r w:rsidR="00F81221">
        <w:rPr>
          <w:kern w:val="0"/>
          <w:szCs w:val="24"/>
        </w:rPr>
        <w:t xml:space="preserve"> and </w:t>
      </w:r>
      <w:r>
        <w:rPr>
          <w:kern w:val="0"/>
          <w:szCs w:val="24"/>
        </w:rPr>
        <w:t>Medical Education of Iran began an annual national survey for assessing research activities in medical universities</w:t>
      </w:r>
      <w:r w:rsidR="00F81221">
        <w:rPr>
          <w:kern w:val="0"/>
          <w:szCs w:val="24"/>
        </w:rPr>
        <w:t xml:space="preserve"> and </w:t>
      </w:r>
      <w:r>
        <w:rPr>
          <w:kern w:val="0"/>
          <w:szCs w:val="24"/>
        </w:rPr>
        <w:t>their affiliated institutions by applying a customized ranking method. Research indicators were scored in three topics; Stewardship, Capacity Building,</w:t>
      </w:r>
      <w:r w:rsidR="00F81221">
        <w:rPr>
          <w:kern w:val="0"/>
          <w:szCs w:val="24"/>
        </w:rPr>
        <w:t xml:space="preserve"> and </w:t>
      </w:r>
      <w:r>
        <w:rPr>
          <w:kern w:val="0"/>
          <w:szCs w:val="24"/>
        </w:rPr>
        <w:t>Knowledge Production. In 2000, there were about 300 published medical articles in ISI/Thomson</w:t>
      </w:r>
      <w:r w:rsidR="00F81221">
        <w:rPr>
          <w:kern w:val="0"/>
          <w:szCs w:val="24"/>
        </w:rPr>
        <w:t xml:space="preserve"> and </w:t>
      </w:r>
      <w:r>
        <w:rPr>
          <w:kern w:val="0"/>
          <w:szCs w:val="24"/>
        </w:rPr>
        <w:t>PUBMED from the whole country. This number increased up to 3376 in 2007. The score of indexed papers in international databases per academic member rose from 0.1 in 2000 to 0.63 in 2007. The share of global articles (in the field of Medicine) grew from 0.06% in 2000 to 0.55% in 2007. This rising in article output led to a change from grade 57(th) in 2000 to 27(th) in 2007 in the ranking system of Scopus database. The number of local medical journals, which were 53 in 2000, increased to 141 at the end of 2008. This rising scores was ongoing while the growth of the total staff of the academic members was about 25% (from 9086 in 2000 to 11324 in 2007). The number of the short training courses rose from 458 in 2000 to 1097 in 2007. The registered research projects in health topic rose from less than 3878 in 2000 to 6816 in 2007.</w:t>
      </w:r>
    </w:p>
    <w:p w:rsidR="001D7D59" w:rsidRDefault="001D7D59" w:rsidP="001D7D59">
      <w:pPr>
        <w:pStyle w:val="a0"/>
        <w:rPr>
          <w:kern w:val="0"/>
          <w:szCs w:val="24"/>
        </w:rPr>
      </w:pPr>
      <w:r>
        <w:rPr>
          <w:kern w:val="0"/>
          <w:szCs w:val="24"/>
        </w:rPr>
        <w:t xml:space="preserve">Keywords: Bibliometric, Countries, Database, Databases, Developing Countries, Growth, Health Research System, Indicators, Iran, Journals, Knowledge, Medical, </w:t>
      </w:r>
      <w:r>
        <w:rPr>
          <w:kern w:val="0"/>
          <w:szCs w:val="24"/>
        </w:rPr>
        <w:lastRenderedPageBreak/>
        <w:t>Medical Journals, Papers, Ranking, Research, Survey, System, Universities, University Ranking, WHO</w:t>
      </w:r>
    </w:p>
    <w:p w:rsidR="00B95188" w:rsidRPr="00A428C3" w:rsidRDefault="001D7D59" w:rsidP="001D7D59">
      <w:pPr>
        <w:pStyle w:val="1"/>
      </w:pPr>
      <w:r w:rsidRPr="00217FB1">
        <w:br w:type="page"/>
      </w:r>
      <w:bookmarkStart w:id="1656" w:name="_Toc455569492"/>
      <w:bookmarkStart w:id="1657" w:name="_Toc487190748"/>
      <w:bookmarkStart w:id="1658" w:name="_Toc487882253"/>
      <w:bookmarkStart w:id="1659" w:name="_Toc490688093"/>
      <w:bookmarkStart w:id="1660" w:name="_Toc492812206"/>
      <w:bookmarkStart w:id="1661" w:name="_Toc186647990"/>
      <w:bookmarkStart w:id="1662" w:name="_Toc317161423"/>
      <w:r w:rsidR="00B95188" w:rsidRPr="00A428C3">
        <w:lastRenderedPageBreak/>
        <w:t>Title: Irish Journal of Food Science</w:t>
      </w:r>
      <w:r w:rsidR="00F81221">
        <w:t xml:space="preserve"> and </w:t>
      </w:r>
      <w:r w:rsidR="00B95188" w:rsidRPr="00A428C3">
        <w:t>Technology</w:t>
      </w:r>
      <w:bookmarkEnd w:id="1656"/>
      <w:bookmarkEnd w:id="1657"/>
      <w:bookmarkEnd w:id="1658"/>
      <w:bookmarkEnd w:id="1659"/>
      <w:bookmarkEnd w:id="1660"/>
      <w:bookmarkEnd w:id="1661"/>
      <w:bookmarkEnd w:id="1662"/>
    </w:p>
    <w:p w:rsidR="00B95188" w:rsidRPr="00A428C3" w:rsidRDefault="00B95188" w:rsidP="00B72EF9">
      <w:pPr>
        <w:pStyle w:val="12"/>
      </w:pPr>
      <w:r w:rsidRPr="00A428C3">
        <w:t>Full Journal Title: Irish Journal of Food Science</w:t>
      </w:r>
      <w:r w:rsidR="00F81221">
        <w:t xml:space="preserve"> and </w:t>
      </w:r>
      <w:r w:rsidRPr="00A428C3">
        <w:t>Technology</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McKay, G., Murphy, W.R.</w:t>
      </w:r>
      <w:r w:rsidR="00F81221">
        <w:t xml:space="preserve"> and </w:t>
      </w:r>
      <w:r w:rsidRPr="00A428C3">
        <w:t>Jodieri-Daddaghzadeh, S. (1989), Settling</w:t>
      </w:r>
      <w:r w:rsidR="00F81221">
        <w:t xml:space="preserve"> and </w:t>
      </w:r>
      <w:r w:rsidRPr="00A428C3">
        <w:t xml:space="preserve">fluidization characteristics of carrot particles in water. </w:t>
      </w:r>
      <w:r w:rsidRPr="00A428C3">
        <w:rPr>
          <w:i/>
        </w:rPr>
        <w:t>Irish Journal of Food Science</w:t>
      </w:r>
      <w:r w:rsidR="00F81221">
        <w:rPr>
          <w:i/>
        </w:rPr>
        <w:t xml:space="preserve"> and </w:t>
      </w:r>
      <w:r w:rsidRPr="00A428C3">
        <w:rPr>
          <w:i/>
        </w:rPr>
        <w:t>Technology</w:t>
      </w:r>
      <w:r w:rsidRPr="00A428C3">
        <w:t xml:space="preserve">, </w:t>
      </w:r>
      <w:r w:rsidRPr="00A428C3">
        <w:rPr>
          <w:b/>
        </w:rPr>
        <w:t>13</w:t>
      </w:r>
      <w:r w:rsidRPr="00A428C3">
        <w:t>, 51-69.</w:t>
      </w:r>
    </w:p>
    <w:p w:rsidR="00A20F42" w:rsidRPr="00A428C3" w:rsidRDefault="00A20F42" w:rsidP="00A20F42">
      <w:pPr>
        <w:pStyle w:val="1"/>
      </w:pPr>
      <w:r w:rsidRPr="00A428C3">
        <w:br w:type="page"/>
      </w:r>
      <w:bookmarkStart w:id="1663" w:name="_Toc317161424"/>
      <w:r w:rsidRPr="00A428C3">
        <w:lastRenderedPageBreak/>
        <w:t xml:space="preserve">Title: </w:t>
      </w:r>
      <w:r w:rsidRPr="00AC56E2">
        <w:rPr>
          <w:iCs/>
        </w:rPr>
        <w:t>ISIJ International</w:t>
      </w:r>
      <w:bookmarkEnd w:id="1663"/>
    </w:p>
    <w:p w:rsidR="00A20F42" w:rsidRPr="00A428C3" w:rsidRDefault="00A20F42" w:rsidP="00B72EF9">
      <w:pPr>
        <w:pStyle w:val="12"/>
      </w:pPr>
      <w:r w:rsidRPr="00A428C3">
        <w:t xml:space="preserve">Full Journal Title: </w:t>
      </w:r>
      <w:r w:rsidRPr="00AC56E2">
        <w:rPr>
          <w:iCs/>
        </w:rPr>
        <w:t>ISIJ International</w:t>
      </w:r>
    </w:p>
    <w:p w:rsidR="00A20F42" w:rsidRPr="00A428C3" w:rsidRDefault="00A20F42" w:rsidP="00B72EF9">
      <w:pPr>
        <w:pStyle w:val="12"/>
      </w:pPr>
      <w:r w:rsidRPr="00A428C3">
        <w:t xml:space="preserve">ISO Abbreviated Title: </w:t>
      </w:r>
    </w:p>
    <w:p w:rsidR="00A20F42" w:rsidRPr="00A428C3" w:rsidRDefault="00A20F42" w:rsidP="00B72EF9">
      <w:pPr>
        <w:pStyle w:val="12"/>
      </w:pPr>
      <w:r w:rsidRPr="00A428C3">
        <w:t xml:space="preserve">JCR Abbreviated Title: </w:t>
      </w:r>
    </w:p>
    <w:p w:rsidR="00A20F42" w:rsidRPr="00A428C3" w:rsidRDefault="00A20F42" w:rsidP="00B72EF9">
      <w:pPr>
        <w:pStyle w:val="12"/>
      </w:pPr>
      <w:r w:rsidRPr="00A428C3">
        <w:t xml:space="preserve">ISSN: </w:t>
      </w:r>
    </w:p>
    <w:p w:rsidR="00A20F42" w:rsidRPr="00A428C3" w:rsidRDefault="00A20F42" w:rsidP="00B72EF9">
      <w:pPr>
        <w:pStyle w:val="12"/>
      </w:pPr>
      <w:r w:rsidRPr="00A428C3">
        <w:t xml:space="preserve">Issues/Year: </w:t>
      </w:r>
    </w:p>
    <w:p w:rsidR="00A20F42" w:rsidRPr="00A428C3" w:rsidRDefault="00A20F42" w:rsidP="00B72EF9">
      <w:pPr>
        <w:pStyle w:val="12"/>
      </w:pPr>
      <w:r w:rsidRPr="00A428C3">
        <w:t>Journal Country/Territory:</w:t>
      </w:r>
    </w:p>
    <w:p w:rsidR="00A20F42" w:rsidRPr="00A428C3" w:rsidRDefault="00A20F42" w:rsidP="00B72EF9">
      <w:pPr>
        <w:pStyle w:val="12"/>
      </w:pPr>
      <w:r w:rsidRPr="00A428C3">
        <w:t xml:space="preserve">Language: </w:t>
      </w:r>
    </w:p>
    <w:p w:rsidR="00A20F42" w:rsidRPr="00A428C3" w:rsidRDefault="00A20F42" w:rsidP="00B72EF9">
      <w:pPr>
        <w:pStyle w:val="12"/>
      </w:pPr>
      <w:r w:rsidRPr="00A428C3">
        <w:t xml:space="preserve">Publisher: </w:t>
      </w:r>
    </w:p>
    <w:p w:rsidR="00A20F42" w:rsidRPr="00A428C3" w:rsidRDefault="00A20F42" w:rsidP="00B72EF9">
      <w:pPr>
        <w:pStyle w:val="12"/>
      </w:pPr>
      <w:r w:rsidRPr="00A428C3">
        <w:t xml:space="preserve">Publisher Address: </w:t>
      </w:r>
    </w:p>
    <w:p w:rsidR="00A20F42" w:rsidRPr="00A428C3" w:rsidRDefault="00A20F42" w:rsidP="00B72EF9">
      <w:pPr>
        <w:pStyle w:val="12"/>
      </w:pPr>
      <w:r w:rsidRPr="00A428C3">
        <w:t>Subject Categories:</w:t>
      </w:r>
    </w:p>
    <w:p w:rsidR="00A20F42" w:rsidRPr="00A428C3" w:rsidRDefault="00A20F42" w:rsidP="00B72EF9">
      <w:pPr>
        <w:pStyle w:val="12"/>
      </w:pPr>
      <w:r w:rsidRPr="00A428C3">
        <w:t>Impact Factor</w:t>
      </w:r>
    </w:p>
    <w:p w:rsidR="00A20F42" w:rsidRPr="00586CD8" w:rsidRDefault="00A20F42" w:rsidP="00A20F42">
      <w:pPr>
        <w:pStyle w:val="a0"/>
        <w:rPr>
          <w:kern w:val="2"/>
        </w:rPr>
      </w:pPr>
      <w:r w:rsidRPr="00586CD8">
        <w:rPr>
          <w:rFonts w:hint="eastAsia"/>
          <w:kern w:val="2"/>
        </w:rPr>
        <w:t xml:space="preserve">? </w:t>
      </w:r>
      <w:r w:rsidRPr="00586CD8">
        <w:rPr>
          <w:kern w:val="2"/>
        </w:rPr>
        <w:t>Okido, M., Takakuwa, T., Eskandarpour, A., Ichino, R.</w:t>
      </w:r>
      <w:r w:rsidR="00F81221">
        <w:rPr>
          <w:kern w:val="2"/>
        </w:rPr>
        <w:t xml:space="preserve"> and </w:t>
      </w:r>
      <w:r w:rsidRPr="00586CD8">
        <w:rPr>
          <w:kern w:val="2"/>
        </w:rPr>
        <w:t xml:space="preserve">Iwai, K. (2008), Evaluation of selective separation of phosphorous components from plating baths using schwertmannite. </w:t>
      </w:r>
      <w:r>
        <w:rPr>
          <w:i/>
          <w:iCs/>
          <w:kern w:val="0"/>
        </w:rPr>
        <w:t>ISIJ International</w:t>
      </w:r>
      <w:r w:rsidRPr="00586CD8">
        <w:rPr>
          <w:kern w:val="2"/>
        </w:rPr>
        <w:t xml:space="preserve">, </w:t>
      </w:r>
      <w:r>
        <w:rPr>
          <w:b/>
          <w:bCs/>
          <w:kern w:val="0"/>
        </w:rPr>
        <w:t>48</w:t>
      </w:r>
      <w:r w:rsidRPr="00586CD8">
        <w:rPr>
          <w:kern w:val="2"/>
        </w:rPr>
        <w:t xml:space="preserve"> (5), 685-689.</w:t>
      </w:r>
    </w:p>
    <w:p w:rsidR="00A20F42" w:rsidRPr="00586CD8" w:rsidRDefault="00A20F42" w:rsidP="00A20F42">
      <w:pPr>
        <w:pStyle w:val="a0"/>
        <w:rPr>
          <w:kern w:val="2"/>
        </w:rPr>
      </w:pPr>
      <w:r w:rsidRPr="00586CD8">
        <w:rPr>
          <w:kern w:val="2"/>
        </w:rPr>
        <w:t>Abstract: Selective separation of phosphorous ion compounds in plating baths is of great interest. Schwertmannite, found as a strong P-sorbent in our pervious works, was used for this purpose as an inorganic chemical adsorbent, The effect of pH as a significant operating parameter on P-adsorption on schwertmannite in this process as well as on the stability of schwertmannite was thoroughly investigated. The experimental results showed that the hypophosphite H</w:t>
      </w:r>
      <w:r w:rsidRPr="008E0B90">
        <w:rPr>
          <w:kern w:val="0"/>
          <w:vertAlign w:val="subscript"/>
        </w:rPr>
        <w:t>2</w:t>
      </w:r>
      <w:r w:rsidRPr="00586CD8">
        <w:rPr>
          <w:kern w:val="2"/>
        </w:rPr>
        <w:t>PO</w:t>
      </w:r>
      <w:r w:rsidRPr="008E0B90">
        <w:rPr>
          <w:kern w:val="0"/>
          <w:vertAlign w:val="subscript"/>
        </w:rPr>
        <w:t>2</w:t>
      </w:r>
      <w:r w:rsidRPr="008E0B90">
        <w:rPr>
          <w:kern w:val="0"/>
          <w:vertAlign w:val="superscript"/>
        </w:rPr>
        <w:t>-</w:t>
      </w:r>
      <w:r w:rsidRPr="00586CD8">
        <w:rPr>
          <w:kern w:val="2"/>
        </w:rPr>
        <w:t xml:space="preserve"> was relatively difficult to exchange with sulfate units in schwertmannite in comparison with monoorthophpsphite H</w:t>
      </w:r>
      <w:r w:rsidRPr="008E0B90">
        <w:rPr>
          <w:kern w:val="0"/>
          <w:vertAlign w:val="subscript"/>
        </w:rPr>
        <w:t>2</w:t>
      </w:r>
      <w:r w:rsidRPr="00586CD8">
        <w:rPr>
          <w:kern w:val="2"/>
        </w:rPr>
        <w:t>PO</w:t>
      </w:r>
      <w:r w:rsidRPr="008E0B90">
        <w:rPr>
          <w:kern w:val="0"/>
          <w:vertAlign w:val="subscript"/>
        </w:rPr>
        <w:t>3</w:t>
      </w:r>
      <w:r w:rsidR="00F81221">
        <w:rPr>
          <w:kern w:val="2"/>
        </w:rPr>
        <w:t xml:space="preserve"> and </w:t>
      </w:r>
      <w:r w:rsidRPr="00586CD8">
        <w:rPr>
          <w:kern w:val="2"/>
        </w:rPr>
        <w:t>monoorthophosphate H</w:t>
      </w:r>
      <w:r w:rsidRPr="008E0B90">
        <w:rPr>
          <w:kern w:val="0"/>
          <w:vertAlign w:val="subscript"/>
        </w:rPr>
        <w:t>2</w:t>
      </w:r>
      <w:r w:rsidRPr="00586CD8">
        <w:rPr>
          <w:kern w:val="2"/>
        </w:rPr>
        <w:t>PO</w:t>
      </w:r>
      <w:r w:rsidRPr="008E0B90">
        <w:rPr>
          <w:kern w:val="0"/>
          <w:vertAlign w:val="subscript"/>
        </w:rPr>
        <w:t>4</w:t>
      </w:r>
      <w:r w:rsidRPr="00586CD8">
        <w:rPr>
          <w:kern w:val="2"/>
        </w:rPr>
        <w:t>. Moreover, batch kinetic trials revealed that the obtained data was fairly fitted to pseudo-second-order models.</w:t>
      </w:r>
    </w:p>
    <w:p w:rsidR="00A20F42" w:rsidRPr="00586CD8" w:rsidRDefault="00A20F42" w:rsidP="00A20F42">
      <w:pPr>
        <w:pStyle w:val="a0"/>
        <w:rPr>
          <w:kern w:val="2"/>
        </w:rPr>
      </w:pPr>
      <w:r w:rsidRPr="00586CD8">
        <w:rPr>
          <w:kern w:val="2"/>
        </w:rPr>
        <w:t>Keywords: Acid-Mine Drainage, Adsorbent, Comparison, Experimental, Iron-Oxide Hydroxide, Kinetic, Magnetic Removal, Models, pH, Phosphate, Phosphorous, Plating Baths, Schwertmannite, Selective Separation, Separation, Stability, Sulfate, Waste-Water</w:t>
      </w:r>
    </w:p>
    <w:p w:rsidR="00B95188" w:rsidRPr="00A428C3" w:rsidRDefault="00B95188" w:rsidP="00B95188">
      <w:pPr>
        <w:pStyle w:val="1"/>
      </w:pPr>
      <w:r w:rsidRPr="00A428C3">
        <w:br w:type="page"/>
      </w:r>
      <w:bookmarkStart w:id="1664" w:name="_Toc186647991"/>
      <w:bookmarkStart w:id="1665" w:name="_Toc317161425"/>
      <w:r w:rsidRPr="00A428C3">
        <w:lastRenderedPageBreak/>
        <w:t xml:space="preserve">Title: </w:t>
      </w:r>
      <w:r w:rsidR="003D5E47" w:rsidRPr="00A428C3">
        <w:t>Isis</w:t>
      </w:r>
      <w:bookmarkEnd w:id="1664"/>
      <w:bookmarkEnd w:id="1665"/>
    </w:p>
    <w:p w:rsidR="00B95188" w:rsidRPr="00AC56E2" w:rsidRDefault="00B95188" w:rsidP="00B72EF9">
      <w:pPr>
        <w:pStyle w:val="12"/>
      </w:pPr>
      <w:r w:rsidRPr="00AC56E2">
        <w:t xml:space="preserve">Full Journal Title: </w:t>
      </w:r>
      <w:r w:rsidR="003D5E47" w:rsidRPr="00AC56E2">
        <w:t>Isis</w:t>
      </w:r>
    </w:p>
    <w:p w:rsidR="00B95188" w:rsidRPr="00AC56E2" w:rsidRDefault="00B95188" w:rsidP="00B72EF9">
      <w:pPr>
        <w:pStyle w:val="12"/>
      </w:pPr>
      <w:r w:rsidRPr="00AC56E2">
        <w:t>ISO Abbreviated Title: Isis</w:t>
      </w:r>
    </w:p>
    <w:p w:rsidR="00B95188" w:rsidRPr="00AC56E2" w:rsidRDefault="00B95188" w:rsidP="00B72EF9">
      <w:pPr>
        <w:pStyle w:val="12"/>
      </w:pPr>
      <w:r w:rsidRPr="00AC56E2">
        <w:t>JCR Abbreviated Title: Isis</w:t>
      </w:r>
    </w:p>
    <w:p w:rsidR="00B95188" w:rsidRPr="00AC56E2" w:rsidRDefault="00B95188" w:rsidP="00B72EF9">
      <w:pPr>
        <w:pStyle w:val="12"/>
      </w:pPr>
      <w:r w:rsidRPr="00AC56E2">
        <w:t>ISSN: 0021-1753</w:t>
      </w:r>
    </w:p>
    <w:p w:rsidR="00B95188" w:rsidRPr="00AC56E2" w:rsidRDefault="00B95188" w:rsidP="00B72EF9">
      <w:pPr>
        <w:pStyle w:val="12"/>
      </w:pPr>
      <w:r w:rsidRPr="00AC56E2">
        <w:t>Issues/Year: 4</w:t>
      </w:r>
    </w:p>
    <w:p w:rsidR="00B95188" w:rsidRPr="00AC56E2" w:rsidRDefault="00B95188" w:rsidP="00B72EF9">
      <w:pPr>
        <w:pStyle w:val="12"/>
      </w:pPr>
      <w:r w:rsidRPr="00AC56E2">
        <w:t>Journal Country/Territory: United States</w:t>
      </w:r>
    </w:p>
    <w:p w:rsidR="00B95188" w:rsidRPr="00AC56E2" w:rsidRDefault="00B95188" w:rsidP="00B72EF9">
      <w:pPr>
        <w:pStyle w:val="12"/>
      </w:pPr>
      <w:r w:rsidRPr="00AC56E2">
        <w:t>Language: English</w:t>
      </w:r>
    </w:p>
    <w:p w:rsidR="00B95188" w:rsidRPr="00AC56E2" w:rsidRDefault="00B95188" w:rsidP="00B72EF9">
      <w:pPr>
        <w:pStyle w:val="12"/>
      </w:pPr>
      <w:r w:rsidRPr="00AC56E2">
        <w:t>Publisher: Univ Chicago Press</w:t>
      </w:r>
    </w:p>
    <w:p w:rsidR="00B95188" w:rsidRPr="00AC56E2" w:rsidRDefault="00B95188" w:rsidP="00B72EF9">
      <w:pPr>
        <w:pStyle w:val="12"/>
      </w:pPr>
      <w:r w:rsidRPr="00AC56E2">
        <w:t>Publisher Address: 1427 E 60TH ST, CHICAGO, IL 60637-2954</w:t>
      </w:r>
    </w:p>
    <w:p w:rsidR="00B95188" w:rsidRPr="00AC56E2" w:rsidRDefault="00B95188" w:rsidP="00B72EF9">
      <w:pPr>
        <w:pStyle w:val="12"/>
      </w:pPr>
      <w:r w:rsidRPr="00AC56E2">
        <w:t>Subject Categories:</w:t>
      </w:r>
    </w:p>
    <w:p w:rsidR="00B95188" w:rsidRPr="00AC56E2" w:rsidRDefault="00B95188" w:rsidP="00B72EF9">
      <w:pPr>
        <w:pStyle w:val="12"/>
      </w:pPr>
      <w:r w:rsidRPr="00AC56E2">
        <w:t>History &amp; Philosophy of Science: Impact Factor 0.286, / (2001) SSCI</w:t>
      </w:r>
    </w:p>
    <w:p w:rsidR="00B95188" w:rsidRPr="00A428C3" w:rsidRDefault="00B95188" w:rsidP="00B95188">
      <w:pPr>
        <w:pStyle w:val="a0"/>
      </w:pPr>
      <w:r w:rsidRPr="00A428C3">
        <w:t xml:space="preserve">Merton, R.K. (1988), </w:t>
      </w:r>
      <w:r w:rsidRPr="00A428C3">
        <w:rPr>
          <w:sz w:val="27"/>
        </w:rPr>
        <w:t xml:space="preserve">The </w:t>
      </w:r>
      <w:r w:rsidRPr="00A428C3">
        <w:t>Matthew effect in science, II: Cumulative advantage</w:t>
      </w:r>
      <w:r w:rsidR="00F81221">
        <w:t xml:space="preserve"> and </w:t>
      </w:r>
      <w:r w:rsidRPr="00A428C3">
        <w:t xml:space="preserve">the symbolism of intellectual property. </w:t>
      </w:r>
      <w:r w:rsidR="003D5E47" w:rsidRPr="00A428C3">
        <w:rPr>
          <w:i/>
          <w:iCs/>
        </w:rPr>
        <w:t>Isis</w:t>
      </w:r>
      <w:r w:rsidRPr="00A428C3">
        <w:t xml:space="preserve">, </w:t>
      </w:r>
      <w:r w:rsidRPr="00A428C3">
        <w:rPr>
          <w:b/>
        </w:rPr>
        <w:t>79</w:t>
      </w:r>
      <w:r w:rsidR="000D674C">
        <w:rPr>
          <w:rFonts w:hint="eastAsia"/>
        </w:rPr>
        <w:t xml:space="preserve"> (4),</w:t>
      </w:r>
      <w:r w:rsidRPr="00A428C3">
        <w:t xml:space="preserve"> 606-623.</w:t>
      </w:r>
    </w:p>
    <w:p w:rsidR="003D5E47" w:rsidRPr="001A3D2B" w:rsidRDefault="003D5E47" w:rsidP="003D5E47">
      <w:pPr>
        <w:pStyle w:val="a0"/>
      </w:pPr>
      <w:r w:rsidRPr="001A3D2B">
        <w:t xml:space="preserve">Full Text: </w:t>
      </w:r>
      <w:hyperlink r:id="rId2158" w:history="1">
        <w:r w:rsidRPr="001A3D2B">
          <w:rPr>
            <w:rStyle w:val="a5"/>
          </w:rPr>
          <w:t>1988\Isis79, 606.pdf</w:t>
        </w:r>
      </w:hyperlink>
    </w:p>
    <w:p w:rsidR="00EB57FB" w:rsidRPr="00610775" w:rsidRDefault="00EB57FB" w:rsidP="00EB57FB">
      <w:pPr>
        <w:pStyle w:val="a0"/>
        <w:rPr>
          <w:rFonts w:asciiTheme="majorBidi" w:hAnsiTheme="majorBidi" w:cstheme="majorBidi"/>
          <w:kern w:val="0"/>
          <w:szCs w:val="24"/>
        </w:rPr>
      </w:pPr>
      <w:r>
        <w:rPr>
          <w:rFonts w:asciiTheme="majorBidi" w:hAnsiTheme="majorBidi" w:cstheme="majorBidi" w:hint="eastAsia"/>
          <w:kern w:val="0"/>
          <w:szCs w:val="24"/>
        </w:rPr>
        <w:t xml:space="preserve">? </w:t>
      </w:r>
      <w:r w:rsidRPr="00610775">
        <w:rPr>
          <w:rFonts w:asciiTheme="majorBidi" w:hAnsiTheme="majorBidi" w:cstheme="majorBidi"/>
          <w:kern w:val="0"/>
          <w:szCs w:val="24"/>
        </w:rPr>
        <w:t xml:space="preserve">Cueto, M. (1996), Bibliographica Medica Hispanica 1475-1950, vol 9, Bibliometrics of journals, 1736-1950 - Spanish - Pinero, JML, Terrada, MLL. </w:t>
      </w:r>
      <w:r w:rsidR="003D5E47" w:rsidRPr="00610775">
        <w:rPr>
          <w:rFonts w:asciiTheme="majorBidi" w:hAnsiTheme="majorBidi" w:cstheme="majorBidi"/>
          <w:i/>
          <w:iCs/>
          <w:kern w:val="0"/>
          <w:szCs w:val="24"/>
        </w:rPr>
        <w:t>Isis</w:t>
      </w:r>
      <w:r w:rsidRPr="00610775">
        <w:rPr>
          <w:rFonts w:asciiTheme="majorBidi" w:hAnsiTheme="majorBidi" w:cstheme="majorBidi"/>
          <w:kern w:val="0"/>
          <w:szCs w:val="24"/>
        </w:rPr>
        <w:t xml:space="preserve">, </w:t>
      </w:r>
      <w:r w:rsidRPr="00610775">
        <w:rPr>
          <w:rFonts w:asciiTheme="majorBidi" w:hAnsiTheme="majorBidi" w:cstheme="majorBidi"/>
          <w:b/>
          <w:bCs/>
          <w:kern w:val="0"/>
          <w:szCs w:val="24"/>
        </w:rPr>
        <w:t>87</w:t>
      </w:r>
      <w:r w:rsidRPr="00610775">
        <w:rPr>
          <w:rFonts w:asciiTheme="majorBidi" w:hAnsiTheme="majorBidi" w:cstheme="majorBidi"/>
          <w:kern w:val="0"/>
          <w:szCs w:val="24"/>
        </w:rPr>
        <w:t xml:space="preserve"> (4), 709-710</w:t>
      </w:r>
      <w:r>
        <w:rPr>
          <w:rFonts w:asciiTheme="majorBidi" w:hAnsiTheme="majorBidi" w:cstheme="majorBidi" w:hint="eastAsia"/>
          <w:kern w:val="0"/>
          <w:szCs w:val="24"/>
        </w:rPr>
        <w:t>.</w:t>
      </w:r>
    </w:p>
    <w:p w:rsidR="00D57016" w:rsidRPr="00A428C3" w:rsidRDefault="00D57016" w:rsidP="00D57016">
      <w:pPr>
        <w:pStyle w:val="a0"/>
      </w:pPr>
      <w:r w:rsidRPr="00A428C3">
        <w:t xml:space="preserve">Full Text: </w:t>
      </w:r>
      <w:hyperlink r:id="rId2159" w:history="1">
        <w:r w:rsidRPr="00825B2C">
          <w:rPr>
            <w:rStyle w:val="a5"/>
          </w:rPr>
          <w:t>1996\Isis87, 709.pdf</w:t>
        </w:r>
      </w:hyperlink>
    </w:p>
    <w:p w:rsidR="00EB57FB" w:rsidRPr="00610775" w:rsidRDefault="00EB57FB" w:rsidP="00EB57FB">
      <w:pPr>
        <w:pStyle w:val="a0"/>
        <w:rPr>
          <w:rFonts w:asciiTheme="majorBidi" w:hAnsiTheme="majorBidi" w:cstheme="majorBidi"/>
          <w:kern w:val="0"/>
          <w:szCs w:val="24"/>
        </w:rPr>
      </w:pPr>
      <w:r w:rsidRPr="00610775">
        <w:rPr>
          <w:rFonts w:asciiTheme="majorBidi" w:hAnsiTheme="majorBidi" w:cstheme="majorBidi"/>
          <w:kern w:val="0"/>
          <w:szCs w:val="24"/>
        </w:rPr>
        <w:t>Keywords: Bibliometrics</w:t>
      </w:r>
      <w:r>
        <w:rPr>
          <w:rFonts w:asciiTheme="majorBidi" w:hAnsiTheme="majorBidi" w:cstheme="majorBidi"/>
          <w:kern w:val="0"/>
          <w:szCs w:val="24"/>
        </w:rPr>
        <w:t xml:space="preserve">, </w:t>
      </w:r>
      <w:r w:rsidRPr="00610775">
        <w:rPr>
          <w:rFonts w:asciiTheme="majorBidi" w:hAnsiTheme="majorBidi" w:cstheme="majorBidi"/>
          <w:kern w:val="0"/>
          <w:szCs w:val="24"/>
        </w:rPr>
        <w:t>Journals</w:t>
      </w:r>
      <w:r>
        <w:rPr>
          <w:rFonts w:asciiTheme="majorBidi" w:hAnsiTheme="majorBidi" w:cstheme="majorBidi"/>
          <w:kern w:val="0"/>
          <w:szCs w:val="24"/>
        </w:rPr>
        <w:t xml:space="preserve">, </w:t>
      </w:r>
      <w:r w:rsidRPr="00610775">
        <w:rPr>
          <w:rFonts w:asciiTheme="majorBidi" w:hAnsiTheme="majorBidi" w:cstheme="majorBidi"/>
          <w:kern w:val="0"/>
          <w:szCs w:val="24"/>
        </w:rPr>
        <w:t>Spanish</w:t>
      </w:r>
    </w:p>
    <w:p w:rsidR="00B95188" w:rsidRPr="00A428C3" w:rsidRDefault="00B95188" w:rsidP="00B95188">
      <w:pPr>
        <w:pStyle w:val="a0"/>
      </w:pPr>
      <w:r w:rsidRPr="00A428C3">
        <w:t>? Cahan, D. (1999), Bibliometric profiles of the institutes of the Kaiser-Wilhelm-Gesellschaft zur Forderung der Wissenschaften (1923-1943): Institutes of the sections for chemistry-physics-technology</w:t>
      </w:r>
      <w:r w:rsidR="00F81221">
        <w:t xml:space="preserve"> and </w:t>
      </w:r>
      <w:r w:rsidRPr="00A428C3">
        <w:t xml:space="preserve">for biology-medicine by Parthey H. </w:t>
      </w:r>
      <w:r w:rsidR="003D5E47" w:rsidRPr="00A428C3">
        <w:rPr>
          <w:i/>
          <w:iCs/>
        </w:rPr>
        <w:t>Isis</w:t>
      </w:r>
      <w:r w:rsidRPr="00A428C3">
        <w:t xml:space="preserve">, </w:t>
      </w:r>
      <w:r w:rsidRPr="00A428C3">
        <w:rPr>
          <w:b/>
        </w:rPr>
        <w:t>90</w:t>
      </w:r>
      <w:r w:rsidRPr="00A428C3">
        <w:t xml:space="preserve"> (2), 387-388.</w:t>
      </w:r>
    </w:p>
    <w:p w:rsidR="00B95188" w:rsidRPr="00A428C3" w:rsidRDefault="00B95188" w:rsidP="00B95188">
      <w:pPr>
        <w:pStyle w:val="a0"/>
      </w:pPr>
      <w:r w:rsidRPr="00A428C3">
        <w:t xml:space="preserve">Full Text: </w:t>
      </w:r>
      <w:hyperlink r:id="rId2160" w:history="1">
        <w:r w:rsidR="000D674C" w:rsidRPr="000D674C">
          <w:rPr>
            <w:rStyle w:val="a5"/>
          </w:rPr>
          <w:t>1999\Isis90, 387.pdf</w:t>
        </w:r>
      </w:hyperlink>
    </w:p>
    <w:p w:rsidR="003D5E47" w:rsidRPr="001A3D2B" w:rsidRDefault="003D5E47" w:rsidP="003D5E47">
      <w:pPr>
        <w:pStyle w:val="a0"/>
        <w:rPr>
          <w:kern w:val="0"/>
          <w:szCs w:val="24"/>
        </w:rPr>
      </w:pPr>
      <w:r w:rsidRPr="001A3D2B">
        <w:rPr>
          <w:kern w:val="0"/>
          <w:szCs w:val="24"/>
        </w:rPr>
        <w:t>Keywords: Bibliometric, Jun, Profiles</w:t>
      </w:r>
    </w:p>
    <w:p w:rsidR="00B95188" w:rsidRPr="00A428C3" w:rsidRDefault="00B95188" w:rsidP="00B95188">
      <w:pPr>
        <w:pStyle w:val="1"/>
      </w:pPr>
      <w:r w:rsidRPr="00A428C3">
        <w:br w:type="page"/>
      </w:r>
      <w:bookmarkStart w:id="1666" w:name="_Toc490688094"/>
      <w:bookmarkStart w:id="1667" w:name="_Toc492812207"/>
      <w:bookmarkStart w:id="1668" w:name="_Toc186647992"/>
      <w:bookmarkStart w:id="1669" w:name="_Toc317161426"/>
      <w:r w:rsidRPr="00A428C3">
        <w:lastRenderedPageBreak/>
        <w:t xml:space="preserve">Title: </w:t>
      </w:r>
      <w:smartTag w:uri="urn:schemas-microsoft-com:office:smarttags" w:element="place">
        <w:r w:rsidRPr="00A428C3">
          <w:t>Island</w:t>
        </w:r>
      </w:smartTag>
      <w:r w:rsidRPr="00A428C3">
        <w:t xml:space="preserve"> Arc</w:t>
      </w:r>
      <w:bookmarkEnd w:id="1666"/>
      <w:bookmarkEnd w:id="1667"/>
      <w:bookmarkEnd w:id="1668"/>
      <w:bookmarkEnd w:id="1669"/>
    </w:p>
    <w:p w:rsidR="00B95188" w:rsidRPr="00A20F42" w:rsidRDefault="00B95188" w:rsidP="00B72EF9">
      <w:pPr>
        <w:pStyle w:val="12"/>
      </w:pPr>
      <w:r w:rsidRPr="00A20F42">
        <w:t>Full Journal Title: Island Arc</w:t>
      </w:r>
    </w:p>
    <w:p w:rsidR="00B95188" w:rsidRPr="00A20F42" w:rsidRDefault="00B95188" w:rsidP="00B72EF9">
      <w:pPr>
        <w:pStyle w:val="12"/>
      </w:pPr>
      <w:r w:rsidRPr="00A20F42">
        <w:t>ISO Abbreviated Title: Isl. Arc.</w:t>
      </w:r>
    </w:p>
    <w:p w:rsidR="00B95188" w:rsidRPr="00A20F42" w:rsidRDefault="00B95188" w:rsidP="00B72EF9">
      <w:pPr>
        <w:pStyle w:val="12"/>
      </w:pPr>
      <w:r w:rsidRPr="00A20F42">
        <w:t>JCR Abbreviated Title: Isl Arc</w:t>
      </w:r>
    </w:p>
    <w:p w:rsidR="00B95188" w:rsidRPr="00A20F42" w:rsidRDefault="00B95188" w:rsidP="00B72EF9">
      <w:pPr>
        <w:pStyle w:val="12"/>
      </w:pPr>
      <w:r w:rsidRPr="00A20F42">
        <w:t>ISSN: 1038-4871</w:t>
      </w:r>
    </w:p>
    <w:p w:rsidR="00B95188" w:rsidRPr="00A20F42" w:rsidRDefault="00B95188" w:rsidP="00B72EF9">
      <w:pPr>
        <w:pStyle w:val="12"/>
      </w:pPr>
      <w:r w:rsidRPr="00A20F42">
        <w:t>Issues/Year: 4</w:t>
      </w:r>
    </w:p>
    <w:p w:rsidR="00B95188" w:rsidRPr="00A20F42" w:rsidRDefault="00B95188" w:rsidP="00B72EF9">
      <w:pPr>
        <w:pStyle w:val="12"/>
      </w:pPr>
      <w:r w:rsidRPr="00A20F42">
        <w:t>Journal Country/Territory: Australia</w:t>
      </w:r>
    </w:p>
    <w:p w:rsidR="00B95188" w:rsidRPr="00A20F42" w:rsidRDefault="00B95188" w:rsidP="00B72EF9">
      <w:pPr>
        <w:pStyle w:val="12"/>
      </w:pPr>
      <w:r w:rsidRPr="00A20F42">
        <w:t>Language: English</w:t>
      </w:r>
    </w:p>
    <w:p w:rsidR="00B95188" w:rsidRPr="00A20F42" w:rsidRDefault="00B95188" w:rsidP="00B72EF9">
      <w:pPr>
        <w:pStyle w:val="12"/>
      </w:pPr>
      <w:r w:rsidRPr="00A20F42">
        <w:t>Publisher: Blackwell Science Asia</w:t>
      </w:r>
    </w:p>
    <w:p w:rsidR="00B95188" w:rsidRPr="00A20F42" w:rsidRDefault="00B95188" w:rsidP="00B72EF9">
      <w:pPr>
        <w:pStyle w:val="12"/>
      </w:pPr>
      <w:r w:rsidRPr="00A20F42">
        <w:t>Publisher Address: 54 University St, PO Box 378, Carlton, Victoria 3053, Australia</w:t>
      </w:r>
    </w:p>
    <w:p w:rsidR="00B95188" w:rsidRPr="00A20F42" w:rsidRDefault="00B95188" w:rsidP="00B72EF9">
      <w:pPr>
        <w:pStyle w:val="12"/>
      </w:pPr>
      <w:r w:rsidRPr="00A20F42">
        <w:t>Subject Categories:</w:t>
      </w:r>
    </w:p>
    <w:p w:rsidR="00B95188" w:rsidRPr="00A20F42" w:rsidRDefault="00B95188" w:rsidP="00B72EF9">
      <w:pPr>
        <w:pStyle w:val="12"/>
      </w:pPr>
      <w:r w:rsidRPr="00A20F42">
        <w:t>Geosciences, Interdisciplinary: Impact Factor</w:t>
      </w:r>
    </w:p>
    <w:p w:rsidR="00B95188" w:rsidRPr="00A428C3" w:rsidRDefault="00B95188" w:rsidP="00B95188">
      <w:pPr>
        <w:pStyle w:val="a0"/>
      </w:pPr>
      <w:r w:rsidRPr="00A428C3">
        <w:t>Lin, A.M., Maruyama, T.</w:t>
      </w:r>
      <w:r w:rsidR="00F81221">
        <w:t xml:space="preserve"> and </w:t>
      </w:r>
      <w:r w:rsidRPr="00A428C3">
        <w:t>Miyata, T. (1998), Paleoseismic events</w:t>
      </w:r>
      <w:r w:rsidR="00F81221">
        <w:t xml:space="preserve"> and </w:t>
      </w:r>
      <w:r w:rsidRPr="00A428C3">
        <w:t xml:space="preserve">the 1596 Keicho-Fushimi large earthquake produced by a slip on the Gosukebashi fault at the eastern Rokko Mountains, Japan. </w:t>
      </w:r>
      <w:r w:rsidRPr="00A428C3">
        <w:rPr>
          <w:i/>
        </w:rPr>
        <w:t>Island Arc</w:t>
      </w:r>
      <w:r w:rsidRPr="00A428C3">
        <w:t xml:space="preserve">, </w:t>
      </w:r>
      <w:r w:rsidRPr="00A428C3">
        <w:rPr>
          <w:b/>
        </w:rPr>
        <w:t>7</w:t>
      </w:r>
      <w:r w:rsidRPr="00A428C3">
        <w:t xml:space="preserve"> (4), 621-636.</w:t>
      </w:r>
    </w:p>
    <w:p w:rsidR="00B95188" w:rsidRPr="00A428C3" w:rsidRDefault="00B95188" w:rsidP="00B95188">
      <w:pPr>
        <w:pStyle w:val="a0"/>
      </w:pPr>
      <w:r w:rsidRPr="00A428C3">
        <w:t xml:space="preserve">Full Text: </w:t>
      </w:r>
      <w:hyperlink r:id="rId2161" w:history="1">
        <w:r w:rsidRPr="00A428C3">
          <w:rPr>
            <w:rStyle w:val="a5"/>
          </w:rPr>
          <w:t>I\Isl Arc7, 621.pdf</w:t>
        </w:r>
      </w:hyperlink>
    </w:p>
    <w:p w:rsidR="00B95188" w:rsidRPr="00A428C3" w:rsidRDefault="00B95188" w:rsidP="00B95188">
      <w:pPr>
        <w:pStyle w:val="a0"/>
      </w:pPr>
      <w:r w:rsidRPr="00A428C3">
        <w:t>Abstract: Field surveys</w:t>
      </w:r>
      <w:r w:rsidR="00F81221">
        <w:t xml:space="preserve"> and </w:t>
      </w:r>
      <w:r w:rsidRPr="00A428C3">
        <w:t xml:space="preserve">trench excavation investigations revealed that there were at least four large seismic events produced by slips on the Gosukebashi fault in the Holocene in the southeastern </w:t>
      </w:r>
      <w:smartTag w:uri="urn:schemas-microsoft-com:office:smarttags" w:element="PlaceName">
        <w:r w:rsidRPr="00A428C3">
          <w:t>Rokko</w:t>
        </w:r>
      </w:smartTag>
      <w:r w:rsidRPr="00A428C3">
        <w:t xml:space="preserve"> </w:t>
      </w:r>
      <w:smartTag w:uri="urn:schemas-microsoft-com:office:smarttags" w:element="PlaceType">
        <w:r w:rsidRPr="00A428C3">
          <w:t>Mountains</w:t>
        </w:r>
      </w:smartTag>
      <w:r w:rsidRPr="00A428C3">
        <w:t xml:space="preserve"> of </w:t>
      </w:r>
      <w:smartTag w:uri="urn:schemas-microsoft-com:office:smarttags" w:element="place">
        <w:smartTag w:uri="urn:schemas-microsoft-com:office:smarttags" w:element="country-region">
          <w:r w:rsidRPr="00A428C3">
            <w:t>Japan</w:t>
          </w:r>
        </w:smartTag>
      </w:smartTag>
      <w:r w:rsidRPr="00A428C3">
        <w:t>. The characteristics of deformed topographies</w:t>
      </w:r>
      <w:r w:rsidR="00F81221">
        <w:t xml:space="preserve"> and </w:t>
      </w:r>
      <w:r w:rsidRPr="00A428C3">
        <w:t xml:space="preserve">three-dimensionally excavated exposures show that this fault is a right-lateral strike-slip fault having an average slip rate of </w:t>
      </w:r>
      <w:smartTag w:uri="urn:schemas-microsoft-com:office:smarttags" w:element="chmetcnv">
        <w:smartTagPr>
          <w:attr w:name="TCSC" w:val="0"/>
          <w:attr w:name="NumberType" w:val="1"/>
          <w:attr w:name="Negative" w:val="False"/>
          <w:attr w:name="HasSpace" w:val="True"/>
          <w:attr w:name="SourceValue" w:val="1"/>
          <w:attr w:name="UnitName" w:val="mm"/>
        </w:smartTagPr>
        <w:r w:rsidRPr="00A428C3">
          <w:t>1.0 mm</w:t>
        </w:r>
      </w:smartTag>
      <w:r w:rsidRPr="00A428C3">
        <w:t>/year, with a reverse displacement component. The principle indicators of past faulting events ase: (i) termination of secondary faults; (ii) sedimentary deposits related to faulting;</w:t>
      </w:r>
      <w:r w:rsidR="00F81221">
        <w:t xml:space="preserve"> and </w:t>
      </w:r>
      <w:r w:rsidRPr="00A428C3">
        <w:t>(iii) injection veins of fault gouge related to seismic faulting in the fractured zone. Radiocarbon dates indicate that the events occurred pre-1660 BC, 1660 BC-220 AD, from similar to 30-220 to 600 AD</w:t>
      </w:r>
      <w:r w:rsidR="00F81221">
        <w:t xml:space="preserve"> and </w:t>
      </w:r>
      <w:r w:rsidRPr="00A428C3">
        <w:t>15th century AD. The youngest event is probably associated with the large 1596 AD Keicho-Fushimi earthquake which occurred in the area around Kyoto</w:t>
      </w:r>
      <w:r w:rsidR="00F81221">
        <w:t xml:space="preserve"> and </w:t>
      </w:r>
      <w:r w:rsidRPr="00A428C3">
        <w:t xml:space="preserve">Kobe </w:t>
      </w:r>
      <w:smartTag w:uri="urn:schemas-microsoft-com:office:smarttags" w:element="PlaceType">
        <w:r w:rsidRPr="00A428C3">
          <w:t>Cities</w:t>
        </w:r>
      </w:smartTag>
      <w:r w:rsidRPr="00A428C3">
        <w:t xml:space="preserve">. The second younger event is probably correlated with the 416 AD Yamato earthquake, which is the oldest historic earthquake in Japanese historic records. The results of trench surveys show that the horizontal displacement produced by an individual event is similar to </w:t>
      </w:r>
      <w:smartTag w:uri="urn:schemas-microsoft-com:office:smarttags" w:element="chmetcnv">
        <w:smartTagPr>
          <w:attr w:name="TCSC" w:val="0"/>
          <w:attr w:name="NumberType" w:val="1"/>
          <w:attr w:name="Negative" w:val="False"/>
          <w:attr w:name="HasSpace" w:val="False"/>
          <w:attr w:name="SourceValue" w:val="1.5"/>
          <w:attr w:name="UnitName" w:val="m"/>
        </w:smartTagPr>
        <w:r w:rsidRPr="00A428C3">
          <w:t>1.5m</w:t>
        </w:r>
      </w:smartTag>
      <w:r w:rsidRPr="00A428C3">
        <w:t>,</w:t>
      </w:r>
      <w:r w:rsidR="00F81221">
        <w:t xml:space="preserve"> and </w:t>
      </w:r>
      <w:r w:rsidRPr="00A428C3">
        <w:t>the recurrence of seismic event intervals is similar to 1200 years in the Gosukebashi fault.</w:t>
      </w:r>
    </w:p>
    <w:p w:rsidR="00A20F42" w:rsidRDefault="00A20F42" w:rsidP="00A20F42">
      <w:pPr>
        <w:pStyle w:val="1"/>
      </w:pPr>
      <w:r>
        <w:rPr>
          <w:b w:val="0"/>
          <w:bCs/>
          <w:iCs/>
        </w:rPr>
        <w:br w:type="page"/>
      </w:r>
      <w:bookmarkStart w:id="1670" w:name="_Toc238871748"/>
      <w:bookmarkStart w:id="1671" w:name="_Toc317161427"/>
      <w:r>
        <w:lastRenderedPageBreak/>
        <w:t xml:space="preserve">Title: </w:t>
      </w:r>
      <w:r>
        <w:rPr>
          <w:iCs/>
          <w:szCs w:val="24"/>
        </w:rPr>
        <w:t>ISMOT</w:t>
      </w:r>
      <w:r w:rsidR="000352E7">
        <w:rPr>
          <w:iCs/>
          <w:szCs w:val="24"/>
        </w:rPr>
        <w:t>’</w:t>
      </w:r>
      <w:r>
        <w:rPr>
          <w:iCs/>
          <w:szCs w:val="24"/>
        </w:rPr>
        <w:t>07: Proceedings of the Fifth International Symposium on Management of Technology, Vols 1</w:t>
      </w:r>
      <w:r w:rsidR="00F81221">
        <w:rPr>
          <w:iCs/>
          <w:szCs w:val="24"/>
        </w:rPr>
        <w:t xml:space="preserve"> and </w:t>
      </w:r>
      <w:r>
        <w:rPr>
          <w:iCs/>
          <w:szCs w:val="24"/>
        </w:rPr>
        <w:t>2 - Managing Total Innovation</w:t>
      </w:r>
      <w:r w:rsidR="00F81221">
        <w:rPr>
          <w:iCs/>
          <w:szCs w:val="24"/>
        </w:rPr>
        <w:t xml:space="preserve"> and </w:t>
      </w:r>
      <w:r>
        <w:rPr>
          <w:iCs/>
          <w:szCs w:val="24"/>
        </w:rPr>
        <w:t>Open Innovation in the 21st Century</w:t>
      </w:r>
      <w:bookmarkEnd w:id="1670"/>
      <w:bookmarkEnd w:id="1671"/>
    </w:p>
    <w:p w:rsidR="00A20F42" w:rsidRDefault="00A20F42" w:rsidP="00B72EF9">
      <w:pPr>
        <w:pStyle w:val="12"/>
      </w:pPr>
      <w:r>
        <w:t>Full Journal Title: ISMOT</w:t>
      </w:r>
      <w:r w:rsidR="000352E7">
        <w:t>’</w:t>
      </w:r>
      <w:r>
        <w:t>07: Proceedings of the Fifth International Symposium on Management of Technology, Vols 1</w:t>
      </w:r>
      <w:r w:rsidR="00F81221">
        <w:t xml:space="preserve"> and </w:t>
      </w:r>
      <w:r>
        <w:t>2 - Managing Total Innovation</w:t>
      </w:r>
      <w:r w:rsidR="00F81221">
        <w:t xml:space="preserve"> and </w:t>
      </w:r>
      <w:r>
        <w:t>Open Innovation in the 21st Century</w:t>
      </w:r>
    </w:p>
    <w:p w:rsidR="00A20F42" w:rsidRDefault="00A20F42" w:rsidP="00B72EF9">
      <w:pPr>
        <w:pStyle w:val="12"/>
      </w:pPr>
      <w:r>
        <w:t xml:space="preserve">ISO Abbreviated Title: </w:t>
      </w:r>
    </w:p>
    <w:p w:rsidR="00A20F42" w:rsidRDefault="00A20F42" w:rsidP="00B72EF9">
      <w:pPr>
        <w:pStyle w:val="12"/>
      </w:pPr>
      <w:r>
        <w:t xml:space="preserve">JCR Abbreviated Title: </w:t>
      </w:r>
    </w:p>
    <w:p w:rsidR="00A20F42" w:rsidRDefault="00A20F42" w:rsidP="00B72EF9">
      <w:pPr>
        <w:pStyle w:val="12"/>
      </w:pPr>
      <w:r>
        <w:t>IDS Number: BGL01</w:t>
      </w:r>
    </w:p>
    <w:p w:rsidR="00A20F42" w:rsidRDefault="00A20F42" w:rsidP="00B72EF9">
      <w:pPr>
        <w:pStyle w:val="12"/>
      </w:pPr>
      <w:r>
        <w:t>ISBN: 978-7-89490-375-4</w:t>
      </w:r>
    </w:p>
    <w:p w:rsidR="00A20F42" w:rsidRDefault="00A20F42" w:rsidP="00B72EF9">
      <w:pPr>
        <w:pStyle w:val="12"/>
      </w:pPr>
      <w:r>
        <w:t xml:space="preserve">ISSN: </w:t>
      </w:r>
    </w:p>
    <w:p w:rsidR="00A20F42" w:rsidRDefault="00A20F42" w:rsidP="00B72EF9">
      <w:pPr>
        <w:pStyle w:val="12"/>
      </w:pPr>
      <w:r>
        <w:t xml:space="preserve">Issues/Year: </w:t>
      </w:r>
    </w:p>
    <w:p w:rsidR="00A20F42" w:rsidRDefault="00A20F42" w:rsidP="00B72EF9">
      <w:pPr>
        <w:pStyle w:val="12"/>
      </w:pPr>
      <w:r>
        <w:t>Journal Country/Territory:</w:t>
      </w:r>
    </w:p>
    <w:p w:rsidR="00A20F42" w:rsidRDefault="00A20F42" w:rsidP="00B72EF9">
      <w:pPr>
        <w:pStyle w:val="12"/>
      </w:pPr>
      <w:r>
        <w:t xml:space="preserve">Language: </w:t>
      </w:r>
    </w:p>
    <w:p w:rsidR="00A20F42" w:rsidRDefault="00A20F42" w:rsidP="00B72EF9">
      <w:pPr>
        <w:pStyle w:val="12"/>
      </w:pPr>
      <w:r>
        <w:t xml:space="preserve">Publisher: </w:t>
      </w:r>
    </w:p>
    <w:p w:rsidR="00A20F42" w:rsidRDefault="00A20F42" w:rsidP="00B72EF9">
      <w:pPr>
        <w:pStyle w:val="12"/>
      </w:pPr>
      <w:r>
        <w:t xml:space="preserve">Publisher Address: </w:t>
      </w:r>
    </w:p>
    <w:p w:rsidR="00A20F42" w:rsidRDefault="00A20F42" w:rsidP="00B72EF9">
      <w:pPr>
        <w:pStyle w:val="12"/>
      </w:pPr>
      <w:r>
        <w:t>Subject Categories:</w:t>
      </w:r>
    </w:p>
    <w:p w:rsidR="00A20F42" w:rsidRDefault="00A20F42" w:rsidP="00B72EF9">
      <w:pPr>
        <w:pStyle w:val="12"/>
      </w:pPr>
      <w:r>
        <w:t>Impact Factor</w:t>
      </w:r>
    </w:p>
    <w:p w:rsidR="00A20F42" w:rsidRDefault="00A20F42" w:rsidP="00A20F42">
      <w:pPr>
        <w:pStyle w:val="a0"/>
      </w:pPr>
      <w:r>
        <w:t>? Zeyuan, L., Yongxia, L., Jie, P.</w:t>
      </w:r>
      <w:r w:rsidR="00F81221">
        <w:t xml:space="preserve"> and </w:t>
      </w:r>
      <w:r>
        <w:t xml:space="preserve">Hui, L. (2007), Bibliometrics analysis on service innovation from 1994 to 2006. </w:t>
      </w:r>
      <w:r>
        <w:rPr>
          <w:i/>
          <w:iCs/>
        </w:rPr>
        <w:t>ISMOT</w:t>
      </w:r>
      <w:r w:rsidR="000352E7">
        <w:rPr>
          <w:i/>
          <w:iCs/>
        </w:rPr>
        <w:t>’</w:t>
      </w:r>
      <w:r>
        <w:rPr>
          <w:i/>
          <w:iCs/>
        </w:rPr>
        <w:t>07: Proceedings of the Fifth International Symposium on Management of Technology, Vols 1</w:t>
      </w:r>
      <w:r w:rsidR="00F81221">
        <w:rPr>
          <w:i/>
          <w:iCs/>
        </w:rPr>
        <w:t xml:space="preserve"> and </w:t>
      </w:r>
      <w:r>
        <w:rPr>
          <w:i/>
          <w:iCs/>
        </w:rPr>
        <w:t>2 - Managing Total Innovation</w:t>
      </w:r>
      <w:r w:rsidR="00F81221">
        <w:rPr>
          <w:i/>
          <w:iCs/>
        </w:rPr>
        <w:t xml:space="preserve"> and </w:t>
      </w:r>
      <w:r>
        <w:rPr>
          <w:i/>
          <w:iCs/>
        </w:rPr>
        <w:t>Open Innovation in the 21st Century</w:t>
      </w:r>
      <w:r>
        <w:t>, 737-739.</w:t>
      </w:r>
    </w:p>
    <w:p w:rsidR="00A20F42" w:rsidRDefault="00A20F42" w:rsidP="00A20F42">
      <w:pPr>
        <w:pStyle w:val="a0"/>
      </w:pPr>
      <w:r>
        <w:t>Abstract: Using the literatures on service innovation since 1994 in SCI-E, this paper statistically classifies the papers from the aspects, of their numbers, types, source journals, authors, institutions, regions</w:t>
      </w:r>
      <w:r w:rsidR="00F81221">
        <w:t xml:space="preserve"> and </w:t>
      </w:r>
      <w:r>
        <w:t>subject categories, hoping to show the current research situation</w:t>
      </w:r>
      <w:r w:rsidR="00F81221">
        <w:t xml:space="preserve"> and </w:t>
      </w:r>
      <w:r>
        <w:t>some problems of service innovation studies.</w:t>
      </w:r>
    </w:p>
    <w:p w:rsidR="00A20F42" w:rsidRDefault="00A20F42" w:rsidP="00A20F42">
      <w:pPr>
        <w:pStyle w:val="a0"/>
      </w:pPr>
      <w:r>
        <w:t>Keywords: Analysis, Authors, Bibiometrics, Bibliometrics, Innovation, Institutions, Journals, Papers, Research, Science Citation Index-Expanded, Service, Service Innovation, Source, Toolkits, Users</w:t>
      </w:r>
    </w:p>
    <w:p w:rsidR="00815D75" w:rsidRPr="001A3D2B" w:rsidRDefault="00815D75" w:rsidP="00815D75">
      <w:pPr>
        <w:pStyle w:val="1"/>
      </w:pPr>
      <w:r w:rsidRPr="001A3D2B">
        <w:br w:type="page"/>
      </w:r>
      <w:bookmarkStart w:id="1672" w:name="_Toc317161428"/>
      <w:r w:rsidRPr="001A3D2B">
        <w:lastRenderedPageBreak/>
        <w:t xml:space="preserve">Title: </w:t>
      </w:r>
      <w:r w:rsidRPr="00530DDC">
        <w:rPr>
          <w:iCs/>
        </w:rPr>
        <w:t>First International Workshop on Database Technology</w:t>
      </w:r>
      <w:r w:rsidR="00F81221">
        <w:rPr>
          <w:iCs/>
        </w:rPr>
        <w:t xml:space="preserve"> and </w:t>
      </w:r>
      <w:r w:rsidRPr="00530DDC">
        <w:rPr>
          <w:iCs/>
        </w:rPr>
        <w:t>Applications, Proceedings</w:t>
      </w:r>
      <w:bookmarkEnd w:id="1672"/>
    </w:p>
    <w:p w:rsidR="00815D75" w:rsidRPr="001A3D2B" w:rsidRDefault="00815D75" w:rsidP="00B72EF9">
      <w:pPr>
        <w:pStyle w:val="12"/>
      </w:pPr>
      <w:r w:rsidRPr="001A3D2B">
        <w:t xml:space="preserve">Full Journal Title: </w:t>
      </w:r>
      <w:r w:rsidRPr="00530DDC">
        <w:t>First International Workshop on Database Technology</w:t>
      </w:r>
      <w:r w:rsidR="00F81221">
        <w:t xml:space="preserve"> and </w:t>
      </w:r>
      <w:r w:rsidRPr="00530DDC">
        <w:t>Applications, Proceedings</w:t>
      </w:r>
    </w:p>
    <w:p w:rsidR="00815D75" w:rsidRPr="001A3D2B" w:rsidRDefault="00815D75" w:rsidP="00B72EF9">
      <w:pPr>
        <w:pStyle w:val="12"/>
      </w:pPr>
      <w:r w:rsidRPr="001A3D2B">
        <w:t xml:space="preserve">ISO Abbreviated Title: </w:t>
      </w:r>
    </w:p>
    <w:p w:rsidR="00815D75" w:rsidRPr="001A3D2B" w:rsidRDefault="00815D75" w:rsidP="00B72EF9">
      <w:pPr>
        <w:pStyle w:val="12"/>
      </w:pPr>
      <w:r w:rsidRPr="001A3D2B">
        <w:t xml:space="preserve">JCR Abbreviated Title: </w:t>
      </w:r>
    </w:p>
    <w:p w:rsidR="00815D75" w:rsidRPr="001A3D2B" w:rsidRDefault="00815D75" w:rsidP="00B72EF9">
      <w:pPr>
        <w:pStyle w:val="12"/>
      </w:pPr>
      <w:r w:rsidRPr="001A3D2B">
        <w:t xml:space="preserve">ISSN: </w:t>
      </w:r>
    </w:p>
    <w:p w:rsidR="00815D75" w:rsidRPr="001A3D2B" w:rsidRDefault="00815D75" w:rsidP="00B72EF9">
      <w:pPr>
        <w:pStyle w:val="12"/>
      </w:pPr>
      <w:r w:rsidRPr="001A3D2B">
        <w:t xml:space="preserve">Issues/Year: </w:t>
      </w:r>
    </w:p>
    <w:p w:rsidR="00815D75" w:rsidRPr="001A3D2B" w:rsidRDefault="00815D75" w:rsidP="00B72EF9">
      <w:pPr>
        <w:pStyle w:val="12"/>
      </w:pPr>
      <w:r w:rsidRPr="001A3D2B">
        <w:t>Journal Country/Territory:</w:t>
      </w:r>
    </w:p>
    <w:p w:rsidR="00815D75" w:rsidRPr="001A3D2B" w:rsidRDefault="00815D75" w:rsidP="00B72EF9">
      <w:pPr>
        <w:pStyle w:val="12"/>
      </w:pPr>
      <w:r w:rsidRPr="001A3D2B">
        <w:t xml:space="preserve">Language: </w:t>
      </w:r>
    </w:p>
    <w:p w:rsidR="00815D75" w:rsidRPr="001A3D2B" w:rsidRDefault="00815D75" w:rsidP="00B72EF9">
      <w:pPr>
        <w:pStyle w:val="12"/>
      </w:pPr>
      <w:r w:rsidRPr="001A3D2B">
        <w:t xml:space="preserve">Publisher: </w:t>
      </w:r>
    </w:p>
    <w:p w:rsidR="00815D75" w:rsidRPr="001A3D2B" w:rsidRDefault="00815D75" w:rsidP="00B72EF9">
      <w:pPr>
        <w:pStyle w:val="12"/>
      </w:pPr>
      <w:r w:rsidRPr="001A3D2B">
        <w:t xml:space="preserve">Publisher Address: </w:t>
      </w:r>
    </w:p>
    <w:p w:rsidR="00815D75" w:rsidRPr="001A3D2B" w:rsidRDefault="00815D75" w:rsidP="00B72EF9">
      <w:pPr>
        <w:pStyle w:val="12"/>
      </w:pPr>
      <w:r w:rsidRPr="001A3D2B">
        <w:t>Subject Categories:</w:t>
      </w:r>
    </w:p>
    <w:p w:rsidR="00815D75" w:rsidRPr="001A3D2B" w:rsidRDefault="00815D75" w:rsidP="00B72EF9">
      <w:pPr>
        <w:pStyle w:val="12"/>
      </w:pPr>
      <w:r w:rsidRPr="001A3D2B">
        <w:t>Impact Factor</w:t>
      </w:r>
    </w:p>
    <w:p w:rsidR="00815D75" w:rsidRDefault="00815D75" w:rsidP="00815D75">
      <w:pPr>
        <w:pStyle w:val="a0"/>
        <w:rPr>
          <w:kern w:val="0"/>
        </w:rPr>
      </w:pPr>
      <w:r>
        <w:rPr>
          <w:rFonts w:hint="eastAsia"/>
          <w:kern w:val="0"/>
        </w:rPr>
        <w:t xml:space="preserve">? </w:t>
      </w:r>
      <w:r>
        <w:rPr>
          <w:kern w:val="0"/>
        </w:rPr>
        <w:t>Deng, S., Tian, Y.G.</w:t>
      </w:r>
      <w:r w:rsidR="00F81221">
        <w:rPr>
          <w:kern w:val="0"/>
        </w:rPr>
        <w:t xml:space="preserve"> and </w:t>
      </w:r>
      <w:r>
        <w:rPr>
          <w:kern w:val="0"/>
        </w:rPr>
        <w:t xml:space="preserve">Zhang, H. (2009), Using the bibliometric analysis to evaluate global scientific production of data mining papers. </w:t>
      </w:r>
      <w:r w:rsidRPr="00530DDC">
        <w:rPr>
          <w:i/>
          <w:iCs/>
          <w:kern w:val="0"/>
        </w:rPr>
        <w:t>First International Workshop on Database Technology</w:t>
      </w:r>
      <w:r w:rsidR="00F81221">
        <w:rPr>
          <w:i/>
          <w:iCs/>
          <w:kern w:val="0"/>
        </w:rPr>
        <w:t xml:space="preserve"> and </w:t>
      </w:r>
      <w:r w:rsidRPr="00530DDC">
        <w:rPr>
          <w:i/>
          <w:iCs/>
          <w:kern w:val="0"/>
        </w:rPr>
        <w:t>Applications, Proceedings</w:t>
      </w:r>
      <w:r>
        <w:rPr>
          <w:kern w:val="0"/>
        </w:rPr>
        <w:t>, 233-238.</w:t>
      </w:r>
    </w:p>
    <w:p w:rsidR="00815D75" w:rsidRDefault="00815D75" w:rsidP="00815D75">
      <w:pPr>
        <w:pStyle w:val="a0"/>
        <w:rPr>
          <w:kern w:val="0"/>
        </w:rPr>
      </w:pPr>
      <w:r>
        <w:rPr>
          <w:kern w:val="0"/>
        </w:rPr>
        <w:t>Abstract: A bibliometric analysis was applied in this work to evaluate global scientific production of data mining papers of the Science Citation Index (SCI), which was compiled by Institute for Scientific Information (ISI), Philadelphia, USA. The published output analysis showed that data mining research steadily increased over the past 20 years</w:t>
      </w:r>
      <w:r w:rsidR="00F81221">
        <w:rPr>
          <w:kern w:val="0"/>
        </w:rPr>
        <w:t xml:space="preserve"> and </w:t>
      </w:r>
      <w:r>
        <w:rPr>
          <w:kern w:val="0"/>
        </w:rPr>
        <w:t>the annual paper production in 2007 was about three times that in 1999. The analytical results eventually lead to several key findings. Several author keywords became the focus in the last few years,</w:t>
      </w:r>
      <w:r w:rsidR="00F81221">
        <w:rPr>
          <w:kern w:val="0"/>
        </w:rPr>
        <w:t xml:space="preserve"> and </w:t>
      </w:r>
      <w:r>
        <w:rPr>
          <w:kern w:val="0"/>
        </w:rPr>
        <w:t>might be a new research direction in the future. There are clear distinctions among author keywords used in publications from the five most productive countries (USA, China, Germany, England</w:t>
      </w:r>
      <w:r w:rsidR="00F81221">
        <w:rPr>
          <w:kern w:val="0"/>
        </w:rPr>
        <w:t xml:space="preserve"> and </w:t>
      </w:r>
      <w:r>
        <w:rPr>
          <w:kern w:val="0"/>
        </w:rPr>
        <w:t>Canada) in data mining research. Bibliometric methods could quantitatively characterize the development of global scientific production in a specific research field.</w:t>
      </w:r>
    </w:p>
    <w:p w:rsidR="00815D75" w:rsidRDefault="00815D75" w:rsidP="00815D75">
      <w:pPr>
        <w:pStyle w:val="a0"/>
        <w:rPr>
          <w:kern w:val="0"/>
        </w:rPr>
      </w:pPr>
      <w:r>
        <w:rPr>
          <w:kern w:val="0"/>
        </w:rPr>
        <w:t>Keywords: Bibliometric, Bibliometric Analysis, China, Citation, Citation Analysis, Data Mining, ISI, Lead, Publications, Research, SCI, Science, Science Citation Index, Scientific Production, The Science Citation Index</w:t>
      </w:r>
      <w:r>
        <w:rPr>
          <w:rFonts w:hint="eastAsia"/>
          <w:kern w:val="0"/>
        </w:rPr>
        <w:t xml:space="preserve"> </w:t>
      </w:r>
      <w:r>
        <w:rPr>
          <w:kern w:val="0"/>
        </w:rPr>
        <w:t>(SCI), USA, Web</w:t>
      </w:r>
    </w:p>
    <w:p w:rsidR="00A20F42" w:rsidRDefault="00A20F42" w:rsidP="00A20F42">
      <w:pPr>
        <w:pStyle w:val="1"/>
      </w:pPr>
      <w:r>
        <w:rPr>
          <w:b w:val="0"/>
          <w:bCs/>
          <w:iCs/>
        </w:rPr>
        <w:br w:type="page"/>
      </w:r>
      <w:bookmarkStart w:id="1673" w:name="_Toc238871749"/>
      <w:bookmarkStart w:id="1674" w:name="_Toc317161429"/>
      <w:r>
        <w:lastRenderedPageBreak/>
        <w:t xml:space="preserve">Title: </w:t>
      </w:r>
      <w:r>
        <w:rPr>
          <w:szCs w:val="24"/>
        </w:rPr>
        <w:t>WKDD: 2009 Second International Workshop on Knowledge Discovery</w:t>
      </w:r>
      <w:r w:rsidR="00F81221">
        <w:rPr>
          <w:szCs w:val="24"/>
        </w:rPr>
        <w:t xml:space="preserve"> and </w:t>
      </w:r>
      <w:r>
        <w:rPr>
          <w:szCs w:val="24"/>
        </w:rPr>
        <w:t>Data Mining, Proceedings</w:t>
      </w:r>
      <w:bookmarkEnd w:id="1673"/>
      <w:bookmarkEnd w:id="1674"/>
    </w:p>
    <w:p w:rsidR="00A20F42" w:rsidRDefault="00A20F42" w:rsidP="00B72EF9">
      <w:pPr>
        <w:pStyle w:val="12"/>
      </w:pPr>
      <w:r>
        <w:t>Full Journal Title: WKDD: 2009 Second International Workshop on Knowledge Discovery</w:t>
      </w:r>
      <w:r w:rsidR="00F81221">
        <w:t xml:space="preserve"> and </w:t>
      </w:r>
      <w:r>
        <w:t>Data Mining, Proceedings</w:t>
      </w:r>
    </w:p>
    <w:p w:rsidR="00A20F42" w:rsidRDefault="00A20F42" w:rsidP="00B72EF9">
      <w:pPr>
        <w:pStyle w:val="12"/>
      </w:pPr>
      <w:r>
        <w:t xml:space="preserve">ISO Abbreviated Title: </w:t>
      </w:r>
    </w:p>
    <w:p w:rsidR="00A20F42" w:rsidRDefault="00A20F42" w:rsidP="00B72EF9">
      <w:pPr>
        <w:pStyle w:val="12"/>
      </w:pPr>
      <w:r>
        <w:t xml:space="preserve">JCR Abbreviated Title: </w:t>
      </w:r>
    </w:p>
    <w:p w:rsidR="00A20F42" w:rsidRDefault="00A20F42" w:rsidP="00B72EF9">
      <w:pPr>
        <w:pStyle w:val="12"/>
      </w:pPr>
      <w:r>
        <w:t xml:space="preserve">ISSN: </w:t>
      </w:r>
    </w:p>
    <w:p w:rsidR="00A20F42" w:rsidRDefault="00A20F42" w:rsidP="00B72EF9">
      <w:pPr>
        <w:pStyle w:val="12"/>
      </w:pPr>
      <w:r>
        <w:t xml:space="preserve">Issues/Year: </w:t>
      </w:r>
    </w:p>
    <w:p w:rsidR="00A20F42" w:rsidRDefault="00A20F42" w:rsidP="00B72EF9">
      <w:pPr>
        <w:pStyle w:val="12"/>
      </w:pPr>
      <w:r>
        <w:t>Journal Country/Territory:</w:t>
      </w:r>
    </w:p>
    <w:p w:rsidR="00A20F42" w:rsidRDefault="00A20F42" w:rsidP="00B72EF9">
      <w:pPr>
        <w:pStyle w:val="12"/>
      </w:pPr>
      <w:r>
        <w:t xml:space="preserve">Language: </w:t>
      </w:r>
    </w:p>
    <w:p w:rsidR="00A20F42" w:rsidRDefault="00A20F42" w:rsidP="00B72EF9">
      <w:pPr>
        <w:pStyle w:val="12"/>
      </w:pPr>
      <w:r>
        <w:t xml:space="preserve">Publisher: </w:t>
      </w:r>
    </w:p>
    <w:p w:rsidR="00A20F42" w:rsidRDefault="00A20F42" w:rsidP="00B72EF9">
      <w:pPr>
        <w:pStyle w:val="12"/>
      </w:pPr>
      <w:r>
        <w:t xml:space="preserve">Publisher Address: </w:t>
      </w:r>
    </w:p>
    <w:p w:rsidR="00A20F42" w:rsidRDefault="00A20F42" w:rsidP="00B72EF9">
      <w:pPr>
        <w:pStyle w:val="12"/>
      </w:pPr>
      <w:r>
        <w:t>Subject Categories:</w:t>
      </w:r>
    </w:p>
    <w:p w:rsidR="00A20F42" w:rsidRDefault="00A20F42" w:rsidP="00B72EF9">
      <w:pPr>
        <w:pStyle w:val="12"/>
      </w:pPr>
      <w:r>
        <w:t>Impact Factor</w:t>
      </w:r>
    </w:p>
    <w:p w:rsidR="00A20F42" w:rsidRDefault="00A20F42" w:rsidP="00A20F42">
      <w:pPr>
        <w:pStyle w:val="a0"/>
        <w:rPr>
          <w:kern w:val="0"/>
          <w:szCs w:val="24"/>
        </w:rPr>
      </w:pPr>
      <w:r>
        <w:rPr>
          <w:kern w:val="0"/>
          <w:szCs w:val="24"/>
        </w:rPr>
        <w:t>? Li, C.</w:t>
      </w:r>
      <w:r w:rsidR="00F81221">
        <w:rPr>
          <w:kern w:val="0"/>
          <w:szCs w:val="24"/>
        </w:rPr>
        <w:t xml:space="preserve"> and </w:t>
      </w:r>
      <w:r>
        <w:rPr>
          <w:kern w:val="0"/>
          <w:szCs w:val="24"/>
        </w:rPr>
        <w:t xml:space="preserve">Ke, J. (2009), Bibliometric Analysis of Data Mining in the Chinese Social Science Circle. </w:t>
      </w:r>
      <w:r>
        <w:rPr>
          <w:i/>
          <w:iCs/>
          <w:kern w:val="0"/>
          <w:szCs w:val="24"/>
        </w:rPr>
        <w:t>WKDD: 2009 Second International Workshop on Knowledge Discovery</w:t>
      </w:r>
      <w:r w:rsidR="00F81221">
        <w:rPr>
          <w:i/>
          <w:iCs/>
          <w:kern w:val="0"/>
          <w:szCs w:val="24"/>
        </w:rPr>
        <w:t xml:space="preserve"> and </w:t>
      </w:r>
      <w:r>
        <w:rPr>
          <w:i/>
          <w:iCs/>
          <w:kern w:val="0"/>
          <w:szCs w:val="24"/>
        </w:rPr>
        <w:t>Data Mining, Proceedings</w:t>
      </w:r>
      <w:r>
        <w:rPr>
          <w:kern w:val="0"/>
          <w:szCs w:val="24"/>
        </w:rPr>
        <w:t>, 231-234.</w:t>
      </w:r>
    </w:p>
    <w:p w:rsidR="00A20F42" w:rsidRDefault="00A20F42" w:rsidP="00A20F42">
      <w:pPr>
        <w:pStyle w:val="a0"/>
        <w:rPr>
          <w:kern w:val="0"/>
          <w:szCs w:val="24"/>
        </w:rPr>
      </w:pPr>
      <w:r>
        <w:rPr>
          <w:kern w:val="0"/>
          <w:szCs w:val="24"/>
        </w:rPr>
        <w:t>Abstract: In this paper, papers about data mining recorded by CSSCI (1998 similar to 2007) are collected</w:t>
      </w:r>
      <w:r w:rsidR="00F81221">
        <w:rPr>
          <w:kern w:val="0"/>
          <w:szCs w:val="24"/>
        </w:rPr>
        <w:t xml:space="preserve"> and </w:t>
      </w:r>
      <w:r>
        <w:rPr>
          <w:kern w:val="0"/>
          <w:szCs w:val="24"/>
        </w:rPr>
        <w:t>analyzed with statistical analysis</w:t>
      </w:r>
      <w:r w:rsidR="00F81221">
        <w:rPr>
          <w:kern w:val="0"/>
          <w:szCs w:val="24"/>
        </w:rPr>
        <w:t xml:space="preserve"> and </w:t>
      </w:r>
      <w:r>
        <w:rPr>
          <w:kern w:val="0"/>
          <w:szCs w:val="24"/>
        </w:rPr>
        <w:t>bibliometric analysis such as year distribution, journal distribution, subject distribution, the core author</w:t>
      </w:r>
      <w:r w:rsidR="00F81221">
        <w:rPr>
          <w:kern w:val="0"/>
          <w:szCs w:val="24"/>
        </w:rPr>
        <w:t xml:space="preserve"> and </w:t>
      </w:r>
      <w:r>
        <w:rPr>
          <w:kern w:val="0"/>
          <w:szCs w:val="24"/>
        </w:rPr>
        <w:t>the geographical distribution of the author. So we can identify the core author, core journals, research institutes</w:t>
      </w:r>
      <w:r w:rsidR="00F81221">
        <w:rPr>
          <w:kern w:val="0"/>
          <w:szCs w:val="24"/>
        </w:rPr>
        <w:t xml:space="preserve"> and </w:t>
      </w:r>
      <w:r>
        <w:rPr>
          <w:kern w:val="0"/>
          <w:szCs w:val="24"/>
        </w:rPr>
        <w:t>the law of research on data mining in the Chinese social science circle,</w:t>
      </w:r>
      <w:r w:rsidR="00F81221">
        <w:rPr>
          <w:kern w:val="0"/>
          <w:szCs w:val="24"/>
        </w:rPr>
        <w:t xml:space="preserve"> and </w:t>
      </w:r>
      <w:r>
        <w:rPr>
          <w:kern w:val="0"/>
          <w:szCs w:val="24"/>
        </w:rPr>
        <w:t>reveal the review of data mining study</w:t>
      </w:r>
      <w:r w:rsidR="00F81221">
        <w:rPr>
          <w:kern w:val="0"/>
          <w:szCs w:val="24"/>
        </w:rPr>
        <w:t xml:space="preserve"> and </w:t>
      </w:r>
      <w:r>
        <w:rPr>
          <w:kern w:val="0"/>
          <w:szCs w:val="24"/>
        </w:rPr>
        <w:t>the main theme in the Chinese social science circle. In collusion, this paper indicates some problems</w:t>
      </w:r>
      <w:r w:rsidR="00F81221">
        <w:rPr>
          <w:kern w:val="0"/>
          <w:szCs w:val="24"/>
        </w:rPr>
        <w:t xml:space="preserve"> and </w:t>
      </w:r>
      <w:r>
        <w:rPr>
          <w:kern w:val="0"/>
          <w:szCs w:val="24"/>
        </w:rPr>
        <w:t>trends about study on data mining.</w:t>
      </w:r>
    </w:p>
    <w:p w:rsidR="00A20F42" w:rsidRDefault="00A20F42" w:rsidP="00A20F42">
      <w:pPr>
        <w:pStyle w:val="a0"/>
        <w:rPr>
          <w:kern w:val="0"/>
          <w:szCs w:val="24"/>
        </w:rPr>
      </w:pPr>
      <w:r>
        <w:rPr>
          <w:kern w:val="0"/>
          <w:szCs w:val="24"/>
        </w:rPr>
        <w:t>Keywords: Analysis, Bibliometric, Bibliometric Analysis, Chinese, Collusion, Data, Data Mining, Data-Mining, Distribution, Journal, Journals, Law, Mining, Papers, Research, Review, Science, Social, Social Science, Statistical, Statistical Analysis, The Chinese Social Science Circle, Trends</w:t>
      </w:r>
    </w:p>
    <w:p w:rsidR="003F6B07" w:rsidRPr="00A428C3" w:rsidRDefault="003F6B07" w:rsidP="003F6B07">
      <w:pPr>
        <w:pStyle w:val="1"/>
      </w:pPr>
      <w:r w:rsidRPr="00A428C3">
        <w:br w:type="page"/>
      </w:r>
      <w:bookmarkStart w:id="1675" w:name="_Toc317161430"/>
      <w:r w:rsidRPr="00A428C3">
        <w:lastRenderedPageBreak/>
        <w:t xml:space="preserve">Title: </w:t>
      </w:r>
      <w:r w:rsidRPr="003F6B07">
        <w:t>Ionics</w:t>
      </w:r>
      <w:bookmarkEnd w:id="1675"/>
    </w:p>
    <w:p w:rsidR="003F6B07" w:rsidRPr="00A428C3" w:rsidRDefault="003F6B07" w:rsidP="00B72EF9">
      <w:pPr>
        <w:pStyle w:val="12"/>
      </w:pPr>
      <w:r w:rsidRPr="00A428C3">
        <w:t xml:space="preserve">Full Journal Title: </w:t>
      </w:r>
      <w:hyperlink r:id="rId2162" w:history="1">
        <w:r w:rsidRPr="003F6B07">
          <w:rPr>
            <w:rStyle w:val="a5"/>
          </w:rPr>
          <w:t>Ionics</w:t>
        </w:r>
      </w:hyperlink>
    </w:p>
    <w:p w:rsidR="008A3F65" w:rsidRDefault="008A3F65" w:rsidP="00B72EF9">
      <w:pPr>
        <w:pStyle w:val="12"/>
      </w:pPr>
      <w:r>
        <w:t>ISO Abbrev. Title: Ionics</w:t>
      </w:r>
    </w:p>
    <w:p w:rsidR="008A3F65" w:rsidRDefault="008A3F65" w:rsidP="00B72EF9">
      <w:pPr>
        <w:pStyle w:val="12"/>
      </w:pPr>
      <w:r>
        <w:t>JCR Abbrev. Title: Ionics</w:t>
      </w:r>
    </w:p>
    <w:p w:rsidR="008A3F65" w:rsidRDefault="008A3F65" w:rsidP="00B72EF9">
      <w:pPr>
        <w:pStyle w:val="12"/>
      </w:pPr>
      <w:r>
        <w:t>ISSN: 0947-7047</w:t>
      </w:r>
    </w:p>
    <w:p w:rsidR="008A3F65" w:rsidRDefault="008A3F65" w:rsidP="00B72EF9">
      <w:pPr>
        <w:pStyle w:val="12"/>
      </w:pPr>
      <w:r>
        <w:t>Issues/Year: 6</w:t>
      </w:r>
    </w:p>
    <w:p w:rsidR="008A3F65" w:rsidRDefault="008A3F65" w:rsidP="00B72EF9">
      <w:pPr>
        <w:pStyle w:val="12"/>
      </w:pPr>
      <w:r>
        <w:t>Language: English</w:t>
      </w:r>
    </w:p>
    <w:p w:rsidR="008A3F65" w:rsidRDefault="008A3F65" w:rsidP="00B72EF9">
      <w:pPr>
        <w:pStyle w:val="12"/>
      </w:pPr>
      <w:r>
        <w:t>Journal Country/Territory: Germany</w:t>
      </w:r>
    </w:p>
    <w:p w:rsidR="008A3F65" w:rsidRDefault="008A3F65" w:rsidP="00B72EF9">
      <w:pPr>
        <w:pStyle w:val="12"/>
      </w:pPr>
      <w:r>
        <w:t>Publisher: Springer Heidelberg</w:t>
      </w:r>
    </w:p>
    <w:p w:rsidR="008A3F65" w:rsidRDefault="008A3F65" w:rsidP="00B72EF9">
      <w:pPr>
        <w:pStyle w:val="12"/>
      </w:pPr>
      <w:r>
        <w:t>Publisher Address: Tiergartenstrasse 17, D-69121 Heidelberg, Germany</w:t>
      </w:r>
    </w:p>
    <w:p w:rsidR="008A3F65" w:rsidRDefault="008A3F65" w:rsidP="00B72EF9">
      <w:pPr>
        <w:pStyle w:val="12"/>
      </w:pPr>
      <w:r>
        <w:t>Subject Categories:</w:t>
      </w:r>
    </w:p>
    <w:p w:rsidR="008A3F65" w:rsidRDefault="008A3F65" w:rsidP="00B72EF9">
      <w:pPr>
        <w:pStyle w:val="12"/>
      </w:pPr>
      <w:r>
        <w:t>Chemistry, Physical:</w:t>
      </w:r>
      <w:r w:rsidRPr="008A3F65">
        <w:t xml:space="preserve"> </w:t>
      </w:r>
      <w:r w:rsidRPr="00A428C3">
        <w:t>Impact Factor</w:t>
      </w:r>
      <w:r>
        <w:rPr>
          <w:rFonts w:hint="eastAsia"/>
        </w:rPr>
        <w:t xml:space="preserve"> 0.899, 92/121 (2009)</w:t>
      </w:r>
    </w:p>
    <w:p w:rsidR="008A3F65" w:rsidRDefault="008A3F65" w:rsidP="00B72EF9">
      <w:pPr>
        <w:pStyle w:val="12"/>
      </w:pPr>
      <w:r>
        <w:t>Electrochemistry:</w:t>
      </w:r>
      <w:r w:rsidRPr="008A3F65">
        <w:t xml:space="preserve"> </w:t>
      </w:r>
      <w:r w:rsidRPr="00A428C3">
        <w:t>Impact Factor</w:t>
      </w:r>
      <w:r>
        <w:rPr>
          <w:rFonts w:hint="eastAsia"/>
        </w:rPr>
        <w:t xml:space="preserve"> 0.899, 19/24 (2009)</w:t>
      </w:r>
    </w:p>
    <w:p w:rsidR="008A3F65" w:rsidRPr="00A428C3" w:rsidRDefault="008A3F65" w:rsidP="00B72EF9">
      <w:pPr>
        <w:pStyle w:val="12"/>
      </w:pPr>
      <w:r>
        <w:t>Physics, Condensed Matter</w:t>
      </w:r>
      <w:r>
        <w:rPr>
          <w:rFonts w:hint="eastAsia"/>
        </w:rPr>
        <w:t>:</w:t>
      </w:r>
      <w:r w:rsidRPr="008A3F65">
        <w:t xml:space="preserve"> </w:t>
      </w:r>
      <w:r w:rsidRPr="00A428C3">
        <w:t>Impact Factor</w:t>
      </w:r>
      <w:r>
        <w:rPr>
          <w:rFonts w:hint="eastAsia"/>
        </w:rPr>
        <w:t xml:space="preserve"> 0.899, 46/66 (2009)</w:t>
      </w:r>
    </w:p>
    <w:p w:rsidR="006E59DD" w:rsidRDefault="006E59DD" w:rsidP="006E59DD">
      <w:pPr>
        <w:pStyle w:val="a0"/>
        <w:rPr>
          <w:kern w:val="0"/>
        </w:rPr>
      </w:pPr>
      <w:r>
        <w:rPr>
          <w:rFonts w:hint="eastAsia"/>
          <w:kern w:val="0"/>
        </w:rPr>
        <w:t xml:space="preserve">? </w:t>
      </w:r>
      <w:r>
        <w:rPr>
          <w:kern w:val="0"/>
        </w:rPr>
        <w:t>Badawy, N.A., El-Bayaa, A.A.</w:t>
      </w:r>
      <w:r w:rsidR="00F81221">
        <w:rPr>
          <w:kern w:val="0"/>
        </w:rPr>
        <w:t xml:space="preserve"> and </w:t>
      </w:r>
      <w:r>
        <w:rPr>
          <w:kern w:val="0"/>
        </w:rPr>
        <w:t>bd AlKhalik, E. (2010), Vermiculite as an exchanger for copper(II)</w:t>
      </w:r>
      <w:r w:rsidR="00F81221">
        <w:rPr>
          <w:kern w:val="0"/>
        </w:rPr>
        <w:t xml:space="preserve"> and </w:t>
      </w:r>
      <w:r>
        <w:rPr>
          <w:kern w:val="0"/>
        </w:rPr>
        <w:t xml:space="preserve">Cr(III) ions, kinetic studies. </w:t>
      </w:r>
      <w:r>
        <w:rPr>
          <w:i/>
          <w:iCs/>
          <w:kern w:val="0"/>
        </w:rPr>
        <w:t>Ionics</w:t>
      </w:r>
      <w:r>
        <w:rPr>
          <w:kern w:val="0"/>
        </w:rPr>
        <w:t xml:space="preserve">, </w:t>
      </w:r>
      <w:r>
        <w:rPr>
          <w:b/>
          <w:bCs/>
          <w:kern w:val="0"/>
        </w:rPr>
        <w:t>16</w:t>
      </w:r>
      <w:r>
        <w:rPr>
          <w:kern w:val="0"/>
        </w:rPr>
        <w:t xml:space="preserve"> (8), 733-739.</w:t>
      </w:r>
    </w:p>
    <w:p w:rsidR="006E59DD" w:rsidRDefault="006E59DD" w:rsidP="006E59DD">
      <w:pPr>
        <w:pStyle w:val="a0"/>
        <w:rPr>
          <w:kern w:val="0"/>
        </w:rPr>
      </w:pPr>
      <w:r>
        <w:rPr>
          <w:rFonts w:hint="eastAsia"/>
          <w:kern w:val="0"/>
        </w:rPr>
        <w:t xml:space="preserve">Full Text: </w:t>
      </w:r>
      <w:hyperlink r:id="rId2163" w:history="1">
        <w:r w:rsidRPr="006E59DD">
          <w:rPr>
            <w:rStyle w:val="a5"/>
            <w:kern w:val="0"/>
          </w:rPr>
          <w:t>2010\Ionics16, 733.pdf</w:t>
        </w:r>
      </w:hyperlink>
    </w:p>
    <w:p w:rsidR="006E59DD" w:rsidRDefault="006E59DD" w:rsidP="006E59DD">
      <w:pPr>
        <w:pStyle w:val="a0"/>
        <w:rPr>
          <w:kern w:val="0"/>
        </w:rPr>
      </w:pPr>
      <w:r>
        <w:rPr>
          <w:kern w:val="0"/>
        </w:rPr>
        <w:t>Abstract: The adsorption of CLOD</w:t>
      </w:r>
      <w:r w:rsidR="00F81221">
        <w:rPr>
          <w:kern w:val="0"/>
        </w:rPr>
        <w:t xml:space="preserve"> and </w:t>
      </w:r>
      <w:r>
        <w:rPr>
          <w:kern w:val="0"/>
        </w:rPr>
        <w:t>Cr(III) ions by pure clay mineral, vermiculite, was examined in aqueous solution with respect to the adsorbent dose, initial metal ion concentration, pH,</w:t>
      </w:r>
      <w:r w:rsidR="00F81221">
        <w:rPr>
          <w:kern w:val="0"/>
        </w:rPr>
        <w:t xml:space="preserve"> and </w:t>
      </w:r>
      <w:r>
        <w:rPr>
          <w:kern w:val="0"/>
        </w:rPr>
        <w:t>contact time. The studies showed that vermiculite can be used as an adsorbent material for the moderate removal of Cr(III)</w:t>
      </w:r>
      <w:r w:rsidR="00F81221">
        <w:rPr>
          <w:kern w:val="0"/>
        </w:rPr>
        <w:t xml:space="preserve"> and </w:t>
      </w:r>
      <w:r>
        <w:rPr>
          <w:kern w:val="0"/>
        </w:rPr>
        <w:t>Cu(II) from aqueous solutions. Lagergren first-order, pseudo-second-order,</w:t>
      </w:r>
      <w:r w:rsidR="00F81221">
        <w:rPr>
          <w:kern w:val="0"/>
        </w:rPr>
        <w:t xml:space="preserve"> and </w:t>
      </w:r>
      <w:r>
        <w:rPr>
          <w:kern w:val="0"/>
        </w:rPr>
        <w:t>intraparticle diffusion models were used to describe the kinetic data. The kinetics of adsorption indicates that the process fitted well the intraparticle diffusion model.</w:t>
      </w:r>
    </w:p>
    <w:p w:rsidR="006E59DD" w:rsidRDefault="006E59DD" w:rsidP="006E59DD">
      <w:pPr>
        <w:pStyle w:val="a0"/>
        <w:rPr>
          <w:kern w:val="0"/>
        </w:rPr>
      </w:pPr>
      <w:r>
        <w:rPr>
          <w:kern w:val="0"/>
        </w:rPr>
        <w:t>Keywords: Adsorbent, Adsorption, Adsorption-Kinetics, Aqueous Solutions, Aqueous-Solution, Clay, Contact Time, Copper(II), Cr(III), Cu(II), Data, Diffusion, Equilibrium, Heavy Metals, Heavy-Metals, Intraparticle Diffusion, Kinetic, Kinetics, Lead(II), Model, Models, pH, Process, Pseudo Second Order, Pseudo-Second-Order, Pure Clay Mineral, Removal, Resins, Sorption, Temperature, Vermiculite, Waste-Water</w:t>
      </w:r>
    </w:p>
    <w:p w:rsidR="00113C68" w:rsidRDefault="00113C68" w:rsidP="00113C68">
      <w:pPr>
        <w:pStyle w:val="a0"/>
        <w:rPr>
          <w:kern w:val="0"/>
        </w:rPr>
      </w:pPr>
      <w:r>
        <w:rPr>
          <w:rFonts w:hint="eastAsia"/>
          <w:kern w:val="0"/>
        </w:rPr>
        <w:t xml:space="preserve">? </w:t>
      </w:r>
      <w:r>
        <w:rPr>
          <w:kern w:val="0"/>
        </w:rPr>
        <w:t>Liu, Y., Zheng, Y.A.</w:t>
      </w:r>
      <w:r w:rsidR="00F81221">
        <w:rPr>
          <w:kern w:val="0"/>
        </w:rPr>
        <w:t xml:space="preserve"> and </w:t>
      </w:r>
      <w:r>
        <w:rPr>
          <w:kern w:val="0"/>
        </w:rPr>
        <w:t xml:space="preserve">Wang, A.Q. (2011), Effect of biotite content of hydrogels on enhanced removal of methylene blue from aqueous solution. </w:t>
      </w:r>
      <w:r>
        <w:rPr>
          <w:i/>
          <w:iCs/>
          <w:kern w:val="0"/>
        </w:rPr>
        <w:t>Ionics</w:t>
      </w:r>
      <w:r>
        <w:rPr>
          <w:kern w:val="0"/>
        </w:rPr>
        <w:t xml:space="preserve">, </w:t>
      </w:r>
      <w:r>
        <w:rPr>
          <w:b/>
          <w:bCs/>
          <w:kern w:val="0"/>
        </w:rPr>
        <w:t>17</w:t>
      </w:r>
      <w:r>
        <w:rPr>
          <w:kern w:val="0"/>
        </w:rPr>
        <w:t xml:space="preserve"> (6), 535-543.</w:t>
      </w:r>
    </w:p>
    <w:p w:rsidR="00113C68" w:rsidRPr="001A3D2B" w:rsidRDefault="00113C68" w:rsidP="00113C68">
      <w:pPr>
        <w:pStyle w:val="a0"/>
        <w:rPr>
          <w:kern w:val="0"/>
        </w:rPr>
      </w:pPr>
      <w:r w:rsidRPr="001A3D2B">
        <w:rPr>
          <w:kern w:val="0"/>
        </w:rPr>
        <w:t xml:space="preserve">Full Text: </w:t>
      </w:r>
      <w:hyperlink r:id="rId2164" w:history="1">
        <w:r w:rsidRPr="00113C68">
          <w:rPr>
            <w:rStyle w:val="a5"/>
            <w:kern w:val="0"/>
          </w:rPr>
          <w:t>2011\Ionics17, 535.pdf</w:t>
        </w:r>
      </w:hyperlink>
    </w:p>
    <w:p w:rsidR="00113C68" w:rsidRDefault="00113C68" w:rsidP="00113C68">
      <w:pPr>
        <w:pStyle w:val="a0"/>
        <w:rPr>
          <w:kern w:val="0"/>
        </w:rPr>
      </w:pPr>
      <w:r>
        <w:rPr>
          <w:kern w:val="0"/>
        </w:rPr>
        <w:t>Abstract: A series of chitosan-g-poly(acrylic acid)/biotite (CTS-g-PAA/BT) hydrogels with unique clay biotite (BT) were prepared</w:t>
      </w:r>
      <w:r w:rsidR="00F81221">
        <w:rPr>
          <w:kern w:val="0"/>
        </w:rPr>
        <w:t xml:space="preserve"> and </w:t>
      </w:r>
      <w:r>
        <w:rPr>
          <w:kern w:val="0"/>
        </w:rPr>
        <w:t xml:space="preserve">used to remove cationic dye methylene blue (MB) from aqueous solution by batch adsorption experiments. Variables of the system including BT content, initial pH, contact time, initial </w:t>
      </w:r>
      <w:r>
        <w:rPr>
          <w:kern w:val="0"/>
        </w:rPr>
        <w:lastRenderedPageBreak/>
        <w:t>concentration,</w:t>
      </w:r>
      <w:r w:rsidR="00F81221">
        <w:rPr>
          <w:kern w:val="0"/>
        </w:rPr>
        <w:t xml:space="preserve"> and </w:t>
      </w:r>
      <w:r>
        <w:rPr>
          <w:kern w:val="0"/>
        </w:rPr>
        <w:t>temperature affecting the adsorption efficiency of MB by CTS-g-PAA/BT hydrogels were investigated. Kinetic studies indicated that the adsorption data well followed pseudo-second-order kinetics. Langmuir</w:t>
      </w:r>
      <w:r w:rsidR="00F81221">
        <w:rPr>
          <w:kern w:val="0"/>
        </w:rPr>
        <w:t xml:space="preserve"> and </w:t>
      </w:r>
      <w:r>
        <w:rPr>
          <w:kern w:val="0"/>
        </w:rPr>
        <w:t>Freundlich isotherm models were applied to experimental equilibrium data of MB adsorption depending on temperature. The adsorption equilibrium data obeyed Langmuir isotherm,</w:t>
      </w:r>
      <w:r w:rsidR="00F81221">
        <w:rPr>
          <w:kern w:val="0"/>
        </w:rPr>
        <w:t xml:space="preserve"> and </w:t>
      </w:r>
      <w:r>
        <w:rPr>
          <w:kern w:val="0"/>
        </w:rPr>
        <w:t>the monolayer adsorption capacity calculated from the Langmuir isotherm was 2,125.70 mg/g for CTS-g-PAA/10% BT at 30 A degrees C. The adsorption capacity was much higher compared with other hydrogels with the same content of other clays. The introduction of BT into the hydrogel could effectively improve its adsorption properties</w:t>
      </w:r>
      <w:r w:rsidR="00F81221">
        <w:rPr>
          <w:kern w:val="0"/>
        </w:rPr>
        <w:t xml:space="preserve"> and </w:t>
      </w:r>
      <w:r>
        <w:rPr>
          <w:kern w:val="0"/>
        </w:rPr>
        <w:t>reduce the cost. Thermodynamic parameters were evaluated for the dye-adsorbent systems</w:t>
      </w:r>
      <w:r w:rsidR="00F81221">
        <w:rPr>
          <w:kern w:val="0"/>
        </w:rPr>
        <w:t xml:space="preserve"> and </w:t>
      </w:r>
      <w:r>
        <w:rPr>
          <w:kern w:val="0"/>
        </w:rPr>
        <w:t>revealed that the adsorption process was spontaneous</w:t>
      </w:r>
      <w:r w:rsidR="00F81221">
        <w:rPr>
          <w:kern w:val="0"/>
        </w:rPr>
        <w:t xml:space="preserve"> and </w:t>
      </w:r>
      <w:r>
        <w:rPr>
          <w:kern w:val="0"/>
        </w:rPr>
        <w:t>exothermic in nature. All the information gave an indication that CTS-g-PAA/10% BT could potentially be applied as an efficient adsorbent for cationic dye removal from aqueous solution.</w:t>
      </w:r>
    </w:p>
    <w:p w:rsidR="00113C68" w:rsidRDefault="00113C68" w:rsidP="00113C68">
      <w:pPr>
        <w:pStyle w:val="a0"/>
        <w:rPr>
          <w:kern w:val="0"/>
        </w:rPr>
      </w:pPr>
      <w:r>
        <w:rPr>
          <w:kern w:val="0"/>
        </w:rPr>
        <w:t>Keywords: Adsorption, Adsorption Equilibrium, Adsorptive Removal, Anionic Dye, Biotite, Carbon, Chitosan, Equilibrium, Fly-Ash, Hydrogel, Information, Isotherm, Kinetic, Kinetics, Kinetics, Langmuir Isotherm, Methylene Blue, Montmorillonite, Nanocomposite, Pseudo-Second-Order, Thermodynamic, Water</w:t>
      </w:r>
    </w:p>
    <w:p w:rsidR="00764092" w:rsidRPr="00A428C3" w:rsidRDefault="00764092" w:rsidP="00764092">
      <w:pPr>
        <w:pStyle w:val="1"/>
      </w:pPr>
      <w:r w:rsidRPr="00A428C3">
        <w:br w:type="page"/>
      </w:r>
      <w:bookmarkStart w:id="1676" w:name="_Toc317161431"/>
      <w:r w:rsidRPr="00A428C3">
        <w:lastRenderedPageBreak/>
        <w:t xml:space="preserve">Title: </w:t>
      </w:r>
      <w:r w:rsidRPr="00764092">
        <w:rPr>
          <w:iCs/>
        </w:rPr>
        <w:t>Isokinetics</w:t>
      </w:r>
      <w:r w:rsidR="00F81221">
        <w:rPr>
          <w:iCs/>
        </w:rPr>
        <w:t xml:space="preserve"> and </w:t>
      </w:r>
      <w:r w:rsidRPr="00764092">
        <w:rPr>
          <w:iCs/>
        </w:rPr>
        <w:t>Exercise Science</w:t>
      </w:r>
      <w:bookmarkEnd w:id="1676"/>
    </w:p>
    <w:p w:rsidR="00764092" w:rsidRPr="00A428C3" w:rsidRDefault="00764092" w:rsidP="00764092">
      <w:pPr>
        <w:pStyle w:val="12"/>
      </w:pPr>
      <w:r w:rsidRPr="00A428C3">
        <w:t xml:space="preserve">Full Journal Title: </w:t>
      </w:r>
      <w:r w:rsidRPr="00764092">
        <w:rPr>
          <w:iCs/>
        </w:rPr>
        <w:t>Isokinetics</w:t>
      </w:r>
      <w:r w:rsidR="00F81221">
        <w:rPr>
          <w:iCs/>
        </w:rPr>
        <w:t xml:space="preserve"> and </w:t>
      </w:r>
      <w:r w:rsidRPr="00764092">
        <w:rPr>
          <w:iCs/>
        </w:rPr>
        <w:t>Exercise Science</w:t>
      </w:r>
    </w:p>
    <w:p w:rsidR="00764092" w:rsidRPr="00A428C3" w:rsidRDefault="00764092" w:rsidP="00764092">
      <w:pPr>
        <w:pStyle w:val="12"/>
      </w:pPr>
      <w:r w:rsidRPr="00A428C3">
        <w:t xml:space="preserve">ISO Abbreviated Title: </w:t>
      </w:r>
    </w:p>
    <w:p w:rsidR="00764092" w:rsidRPr="00A428C3" w:rsidRDefault="00764092" w:rsidP="00764092">
      <w:pPr>
        <w:pStyle w:val="12"/>
      </w:pPr>
      <w:r w:rsidRPr="00A428C3">
        <w:t xml:space="preserve">JCR Abbreviated Title: </w:t>
      </w:r>
    </w:p>
    <w:p w:rsidR="00764092" w:rsidRPr="00A428C3" w:rsidRDefault="00764092" w:rsidP="00764092">
      <w:pPr>
        <w:pStyle w:val="12"/>
      </w:pPr>
      <w:r w:rsidRPr="00A428C3">
        <w:t xml:space="preserve">ISSN: </w:t>
      </w:r>
    </w:p>
    <w:p w:rsidR="00764092" w:rsidRPr="00A428C3" w:rsidRDefault="00764092" w:rsidP="00764092">
      <w:pPr>
        <w:pStyle w:val="12"/>
      </w:pPr>
      <w:r w:rsidRPr="00A428C3">
        <w:t xml:space="preserve">Issues/Year: </w:t>
      </w:r>
    </w:p>
    <w:p w:rsidR="00764092" w:rsidRPr="00A428C3" w:rsidRDefault="00764092" w:rsidP="00764092">
      <w:pPr>
        <w:pStyle w:val="12"/>
      </w:pPr>
      <w:r w:rsidRPr="00A428C3">
        <w:t xml:space="preserve">Journal Country/Territory: </w:t>
      </w:r>
    </w:p>
    <w:p w:rsidR="00764092" w:rsidRPr="00A428C3" w:rsidRDefault="00764092" w:rsidP="00764092">
      <w:pPr>
        <w:pStyle w:val="12"/>
      </w:pPr>
      <w:r w:rsidRPr="00A428C3">
        <w:t xml:space="preserve">Language: </w:t>
      </w:r>
    </w:p>
    <w:p w:rsidR="00764092" w:rsidRPr="00A428C3" w:rsidRDefault="00764092" w:rsidP="00764092">
      <w:pPr>
        <w:pStyle w:val="12"/>
      </w:pPr>
      <w:r w:rsidRPr="00A428C3">
        <w:t xml:space="preserve">Publisher: </w:t>
      </w:r>
    </w:p>
    <w:p w:rsidR="00764092" w:rsidRPr="00A428C3" w:rsidRDefault="00764092" w:rsidP="00764092">
      <w:pPr>
        <w:pStyle w:val="12"/>
      </w:pPr>
      <w:r w:rsidRPr="00A428C3">
        <w:t xml:space="preserve">Publisher Address: </w:t>
      </w:r>
    </w:p>
    <w:p w:rsidR="00764092" w:rsidRPr="00A428C3" w:rsidRDefault="00764092" w:rsidP="00764092">
      <w:pPr>
        <w:pStyle w:val="12"/>
      </w:pPr>
      <w:r w:rsidRPr="00A428C3">
        <w:t>Subject Categories:</w:t>
      </w:r>
    </w:p>
    <w:p w:rsidR="00764092" w:rsidRPr="00A428C3" w:rsidRDefault="00764092" w:rsidP="00764092">
      <w:pPr>
        <w:pStyle w:val="12"/>
      </w:pPr>
      <w:r w:rsidRPr="00A428C3">
        <w:t>: Impact Factor</w:t>
      </w:r>
    </w:p>
    <w:p w:rsidR="00764092" w:rsidRDefault="00764092" w:rsidP="00764092">
      <w:pPr>
        <w:pStyle w:val="a0"/>
        <w:rPr>
          <w:kern w:val="0"/>
        </w:rPr>
      </w:pPr>
      <w:r>
        <w:rPr>
          <w:rFonts w:hint="eastAsia"/>
          <w:kern w:val="0"/>
        </w:rPr>
        <w:t xml:space="preserve">? </w:t>
      </w:r>
      <w:r>
        <w:rPr>
          <w:kern w:val="0"/>
        </w:rPr>
        <w:t xml:space="preserve">Bohannon, R.W. (2011), Literature reporting normative data for muscle strength measured by hand-held dynamometry: A systematic review. </w:t>
      </w:r>
      <w:r w:rsidRPr="00764092">
        <w:rPr>
          <w:i/>
          <w:iCs/>
          <w:kern w:val="0"/>
        </w:rPr>
        <w:t>Isokinetics</w:t>
      </w:r>
      <w:r w:rsidR="00F81221">
        <w:rPr>
          <w:i/>
          <w:iCs/>
          <w:kern w:val="0"/>
        </w:rPr>
        <w:t xml:space="preserve"> and </w:t>
      </w:r>
      <w:r w:rsidRPr="00764092">
        <w:rPr>
          <w:i/>
          <w:iCs/>
          <w:kern w:val="0"/>
        </w:rPr>
        <w:t>Exercise Science</w:t>
      </w:r>
      <w:r>
        <w:rPr>
          <w:kern w:val="0"/>
        </w:rPr>
        <w:t xml:space="preserve">, </w:t>
      </w:r>
      <w:r>
        <w:rPr>
          <w:b/>
          <w:bCs/>
          <w:kern w:val="0"/>
        </w:rPr>
        <w:t>19</w:t>
      </w:r>
      <w:r>
        <w:rPr>
          <w:kern w:val="0"/>
        </w:rPr>
        <w:t xml:space="preserve"> (3), 143-147.</w:t>
      </w:r>
    </w:p>
    <w:p w:rsidR="00764092" w:rsidRDefault="00764092" w:rsidP="00764092">
      <w:pPr>
        <w:pStyle w:val="a0"/>
        <w:rPr>
          <w:kern w:val="0"/>
        </w:rPr>
      </w:pPr>
      <w:r>
        <w:rPr>
          <w:rFonts w:hint="eastAsia"/>
          <w:kern w:val="0"/>
        </w:rPr>
        <w:t>Full Text: 2011\</w:t>
      </w:r>
      <w:r>
        <w:rPr>
          <w:iCs/>
          <w:kern w:val="0"/>
        </w:rPr>
        <w:t>Iso Exe Sci</w:t>
      </w:r>
      <w:r w:rsidRPr="00D74E89">
        <w:rPr>
          <w:bCs/>
          <w:kern w:val="0"/>
        </w:rPr>
        <w:t>19</w:t>
      </w:r>
      <w:r>
        <w:rPr>
          <w:kern w:val="0"/>
        </w:rPr>
        <w:t>, 143</w:t>
      </w:r>
      <w:r>
        <w:rPr>
          <w:rFonts w:hint="eastAsia"/>
          <w:kern w:val="0"/>
        </w:rPr>
        <w:t>.pdf</w:t>
      </w:r>
    </w:p>
    <w:p w:rsidR="00764092" w:rsidRDefault="00764092" w:rsidP="00764092">
      <w:pPr>
        <w:pStyle w:val="a0"/>
        <w:rPr>
          <w:kern w:val="0"/>
        </w:rPr>
      </w:pPr>
      <w:r>
        <w:rPr>
          <w:kern w:val="0"/>
        </w:rPr>
        <w:t>Abstract: This review was conducted to identify, summarize,</w:t>
      </w:r>
      <w:r w:rsidR="00F81221">
        <w:rPr>
          <w:kern w:val="0"/>
        </w:rPr>
        <w:t xml:space="preserve"> and </w:t>
      </w:r>
      <w:r>
        <w:rPr>
          <w:kern w:val="0"/>
        </w:rPr>
        <w:t>discuss literature purporting to present normative data for measurements obtained using a hand-held dynamometer (HHD). Relevant literature was identified through electronic searches of 4 databases: PubMed, Science Citation Index, Scopus</w:t>
      </w:r>
      <w:r w:rsidR="00F81221">
        <w:rPr>
          <w:kern w:val="0"/>
        </w:rPr>
        <w:t xml:space="preserve"> and </w:t>
      </w:r>
      <w:r>
        <w:rPr>
          <w:kern w:val="0"/>
        </w:rPr>
        <w:t>Cumulative Index of Nursing</w:t>
      </w:r>
      <w:r w:rsidR="00F81221">
        <w:rPr>
          <w:kern w:val="0"/>
        </w:rPr>
        <w:t xml:space="preserve"> and </w:t>
      </w:r>
      <w:r>
        <w:rPr>
          <w:kern w:val="0"/>
        </w:rPr>
        <w:t>Allied Health. Articles identified via the searches were reviewed to determine if they presented normative data obtained with a HHD from healthy individuals. Articles were excluded if the data were not presented within age</w:t>
      </w:r>
      <w:r w:rsidR="00F81221">
        <w:rPr>
          <w:kern w:val="0"/>
        </w:rPr>
        <w:t xml:space="preserve"> and </w:t>
      </w:r>
      <w:r>
        <w:rPr>
          <w:kern w:val="0"/>
        </w:rPr>
        <w:t>gender strata. Data on testing</w:t>
      </w:r>
      <w:r w:rsidR="00F81221">
        <w:rPr>
          <w:kern w:val="0"/>
        </w:rPr>
        <w:t xml:space="preserve"> and </w:t>
      </w:r>
      <w:r>
        <w:rPr>
          <w:kern w:val="0"/>
        </w:rPr>
        <w:t>participant specifics were retrieved. Fifteen studies presented normative data within age</w:t>
      </w:r>
      <w:r w:rsidR="00F81221">
        <w:rPr>
          <w:kern w:val="0"/>
        </w:rPr>
        <w:t xml:space="preserve"> and </w:t>
      </w:r>
      <w:r>
        <w:rPr>
          <w:kern w:val="0"/>
        </w:rPr>
        <w:t>gender strata for measurements obtained with a HHD. Norms were presented for neck flexion</w:t>
      </w:r>
      <w:r w:rsidR="00F81221">
        <w:rPr>
          <w:kern w:val="0"/>
        </w:rPr>
        <w:t xml:space="preserve"> and </w:t>
      </w:r>
      <w:r>
        <w:rPr>
          <w:kern w:val="0"/>
        </w:rPr>
        <w:t>numerous actions at the shoulder, elbow, wrist, fingers, hip, knee</w:t>
      </w:r>
      <w:r w:rsidR="00F81221">
        <w:rPr>
          <w:kern w:val="0"/>
        </w:rPr>
        <w:t xml:space="preserve"> and </w:t>
      </w:r>
      <w:r>
        <w:rPr>
          <w:kern w:val="0"/>
        </w:rPr>
        <w:t>ankle. Norms were presented for a wide age span-children to older adults. Many of these norms are compromised. Norms for older adults (&gt;= 80 years) are lacking. Although norms are available, they should be used with caution. Specifics of testing</w:t>
      </w:r>
      <w:r w:rsidR="00F81221">
        <w:rPr>
          <w:kern w:val="0"/>
        </w:rPr>
        <w:t xml:space="preserve"> and </w:t>
      </w:r>
      <w:r>
        <w:rPr>
          <w:kern w:val="0"/>
        </w:rPr>
        <w:t>samples tested restrict the applicability of the measures.</w:t>
      </w:r>
    </w:p>
    <w:p w:rsidR="00764092" w:rsidRDefault="00764092" w:rsidP="00764092">
      <w:pPr>
        <w:pStyle w:val="a0"/>
        <w:rPr>
          <w:kern w:val="0"/>
        </w:rPr>
      </w:pPr>
      <w:r>
        <w:rPr>
          <w:kern w:val="0"/>
        </w:rPr>
        <w:t>Keywords: Adults, Aged 20, Articles, Citation, Databases, Dynamometry, Force, Gender, Health, Literature, Measurement, Muscle Strength, Nursing, Older Adults, PUBMED, Reference Values, Reliability, Review, Science, Science Citation Index, Scopus, Strength, Systematic, Systematic Review</w:t>
      </w:r>
    </w:p>
    <w:p w:rsidR="00B95188" w:rsidRPr="00A428C3" w:rsidRDefault="00B95188" w:rsidP="00B95188">
      <w:pPr>
        <w:pStyle w:val="1"/>
      </w:pPr>
      <w:r w:rsidRPr="00A428C3">
        <w:br w:type="page"/>
      </w:r>
      <w:bookmarkStart w:id="1677" w:name="_Toc186647993"/>
      <w:bookmarkStart w:id="1678" w:name="_Toc317161432"/>
      <w:r w:rsidRPr="00A428C3">
        <w:lastRenderedPageBreak/>
        <w:t>Title: Isotopenpraxis</w:t>
      </w:r>
      <w:bookmarkEnd w:id="1677"/>
      <w:bookmarkEnd w:id="1678"/>
    </w:p>
    <w:p w:rsidR="00B95188" w:rsidRPr="00A428C3" w:rsidRDefault="00B95188" w:rsidP="00B72EF9">
      <w:pPr>
        <w:pStyle w:val="12"/>
      </w:pPr>
      <w:r w:rsidRPr="00A428C3">
        <w:t>Full Journal Title: Isotopenpraxis</w:t>
      </w:r>
    </w:p>
    <w:p w:rsidR="00B95188" w:rsidRPr="00A428C3" w:rsidRDefault="00B95188" w:rsidP="00B72EF9">
      <w:pPr>
        <w:pStyle w:val="12"/>
      </w:pPr>
      <w:r w:rsidRPr="00A428C3">
        <w:t>ISO Abbreviated Title: Isotopenpraxis</w:t>
      </w:r>
    </w:p>
    <w:p w:rsidR="00B95188" w:rsidRPr="00A428C3" w:rsidRDefault="00B95188" w:rsidP="00B72EF9">
      <w:pPr>
        <w:pStyle w:val="12"/>
      </w:pPr>
      <w:r w:rsidRPr="00A428C3">
        <w:t>JCR Abbreviated Title: Isotopenpraxis</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Winzer, A.</w:t>
      </w:r>
      <w:r w:rsidR="00F81221">
        <w:t xml:space="preserve"> and </w:t>
      </w:r>
      <w:r w:rsidRPr="00A428C3">
        <w:t>Geyer, R. (1977), Kinetics of adsorption of Na-22(+), K-42(+)</w:t>
      </w:r>
      <w:r w:rsidR="00F81221">
        <w:t xml:space="preserve"> and </w:t>
      </w:r>
      <w:r w:rsidRPr="00A428C3">
        <w:t xml:space="preserve">Rb-86(+) tracer from mixed-solvents on activated carbon. </w:t>
      </w:r>
      <w:r w:rsidRPr="00A428C3">
        <w:rPr>
          <w:i/>
          <w:iCs/>
        </w:rPr>
        <w:t>Isotopenpraxis</w:t>
      </w:r>
      <w:r w:rsidRPr="00A428C3">
        <w:t xml:space="preserve">, </w:t>
      </w:r>
      <w:r w:rsidRPr="00A428C3">
        <w:rPr>
          <w:b/>
        </w:rPr>
        <w:t>13</w:t>
      </w:r>
      <w:r w:rsidRPr="00A428C3">
        <w:t xml:space="preserve"> (12), 431-435.</w:t>
      </w:r>
    </w:p>
    <w:p w:rsidR="00B95188" w:rsidRPr="00A428C3" w:rsidRDefault="00B95188" w:rsidP="00B95188">
      <w:pPr>
        <w:pStyle w:val="1"/>
      </w:pPr>
      <w:r w:rsidRPr="00A428C3">
        <w:br w:type="page"/>
      </w:r>
      <w:bookmarkStart w:id="1679" w:name="_Toc186647994"/>
      <w:bookmarkStart w:id="1680" w:name="_Toc317161433"/>
      <w:r w:rsidRPr="00A428C3">
        <w:lastRenderedPageBreak/>
        <w:t xml:space="preserve">Title: </w:t>
      </w:r>
      <w:r w:rsidRPr="00A428C3">
        <w:rPr>
          <w:iCs/>
        </w:rPr>
        <w:t>Isotopes in Environmental</w:t>
      </w:r>
      <w:r w:rsidR="00F81221">
        <w:rPr>
          <w:iCs/>
        </w:rPr>
        <w:t xml:space="preserve"> and </w:t>
      </w:r>
      <w:r w:rsidRPr="00A428C3">
        <w:rPr>
          <w:iCs/>
        </w:rPr>
        <w:t>Health Studies</w:t>
      </w:r>
      <w:bookmarkEnd w:id="1679"/>
      <w:bookmarkEnd w:id="1680"/>
    </w:p>
    <w:p w:rsidR="00B95188" w:rsidRPr="00A428C3" w:rsidRDefault="00B95188" w:rsidP="00B72EF9">
      <w:pPr>
        <w:pStyle w:val="12"/>
      </w:pPr>
      <w:r w:rsidRPr="00A428C3">
        <w:t xml:space="preserve">Full Journal Title: </w:t>
      </w:r>
      <w:hyperlink r:id="rId2165" w:anchor="A18" w:history="1">
        <w:r w:rsidRPr="00A428C3">
          <w:rPr>
            <w:rStyle w:val="a5"/>
          </w:rPr>
          <w:t>Isotopes in Environmental</w:t>
        </w:r>
        <w:r w:rsidR="00F81221">
          <w:rPr>
            <w:rStyle w:val="a5"/>
          </w:rPr>
          <w:t xml:space="preserve"> and </w:t>
        </w:r>
        <w:r w:rsidRPr="00A428C3">
          <w:rPr>
            <w:rStyle w:val="a5"/>
          </w:rPr>
          <w:t>Health Studies</w:t>
        </w:r>
      </w:hyperlink>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1025-6016</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Cecal, A., Popa, K., Caraus, I.</w:t>
      </w:r>
      <w:r w:rsidR="00F81221">
        <w:t xml:space="preserve"> and </w:t>
      </w:r>
      <w:r w:rsidRPr="00A428C3">
        <w:t xml:space="preserve">Potoroaca, V. (2002), Bioaccumulation of Zn-65(2+) ions by some hydrophytic plants. </w:t>
      </w:r>
      <w:r w:rsidRPr="00A428C3">
        <w:rPr>
          <w:i/>
          <w:iCs/>
        </w:rPr>
        <w:t>Isotopes in Environmental</w:t>
      </w:r>
      <w:r w:rsidR="00F81221">
        <w:rPr>
          <w:i/>
          <w:iCs/>
        </w:rPr>
        <w:t xml:space="preserve"> and </w:t>
      </w:r>
      <w:r w:rsidRPr="00A428C3">
        <w:rPr>
          <w:i/>
          <w:iCs/>
        </w:rPr>
        <w:t>Health Studies</w:t>
      </w:r>
      <w:r w:rsidRPr="00A428C3">
        <w:t xml:space="preserve">, </w:t>
      </w:r>
      <w:r w:rsidRPr="00A428C3">
        <w:rPr>
          <w:b/>
        </w:rPr>
        <w:t>38</w:t>
      </w:r>
      <w:r w:rsidRPr="00A428C3">
        <w:t xml:space="preserve"> (1), 33-37.</w:t>
      </w:r>
    </w:p>
    <w:p w:rsidR="00B95188" w:rsidRPr="00A428C3" w:rsidRDefault="00B95188" w:rsidP="00B95188">
      <w:pPr>
        <w:pStyle w:val="a0"/>
      </w:pPr>
      <w:r w:rsidRPr="00A428C3">
        <w:t>Abstract: This paper deals with a study on the retention of radioactive ions Zn-65(2+) from diluted waste solutions by the hydrophytic plants Lemna minor</w:t>
      </w:r>
      <w:r>
        <w:t>,</w:t>
      </w:r>
      <w:r w:rsidRPr="00A428C3">
        <w:t xml:space="preserve"> Elodea canadensis</w:t>
      </w:r>
      <w:r>
        <w:t>,</w:t>
      </w:r>
      <w:r w:rsidRPr="00A428C3">
        <w:t xml:space="preserve"> </w:t>
      </w:r>
      <w:r w:rsidRPr="00A428C3">
        <w:rPr>
          <w:i/>
        </w:rPr>
        <w:t>Pistia stratiotes</w:t>
      </w:r>
      <w:r w:rsidR="00F81221">
        <w:t xml:space="preserve"> and </w:t>
      </w:r>
      <w:r w:rsidRPr="00A428C3">
        <w:t>Riccia fluitans. The bioaccumulation degree decreases in the following order: Riccia fluitansapproximate to</w:t>
      </w:r>
      <w:r w:rsidRPr="00A428C3">
        <w:rPr>
          <w:i/>
        </w:rPr>
        <w:t>Pistia stratiotes</w:t>
      </w:r>
      <w:r w:rsidRPr="00A428C3">
        <w:t>greater than or equal toLemna minor&gt;Elodea canadensis The possibility to improve the bioaccumulation degree varying the temperature</w:t>
      </w:r>
      <w:r w:rsidR="00F81221">
        <w:t xml:space="preserve"> and </w:t>
      </w:r>
      <w:r w:rsidRPr="00A428C3">
        <w:t>the solution pH, in the absence of other cations, has been studied. The thin layer radiochromatography method has been used</w:t>
      </w:r>
      <w:r w:rsidR="00F81221">
        <w:t xml:space="preserve"> and </w:t>
      </w:r>
      <w:r w:rsidRPr="00A428C3">
        <w:t>it proved that the saccharides</w:t>
      </w:r>
      <w:r w:rsidR="00F81221">
        <w:t xml:space="preserve"> and </w:t>
      </w:r>
      <w:r w:rsidRPr="00A428C3">
        <w:t>lipids are the biochemical fractions responsible for the Zn-65(2+) retention.</w:t>
      </w:r>
    </w:p>
    <w:p w:rsidR="00B95188" w:rsidRPr="00A428C3" w:rsidRDefault="00B95188" w:rsidP="00B95188">
      <w:pPr>
        <w:pStyle w:val="a0"/>
      </w:pPr>
      <w:r w:rsidRPr="00A428C3">
        <w:t xml:space="preserve">Keywords: Barks, Bioaccumulation, Elodea Canadensis, Heavy-Metal Ions, Immobilization, Lemna Minor, Mobilization, </w:t>
      </w:r>
      <w:r w:rsidRPr="00A428C3">
        <w:rPr>
          <w:i/>
        </w:rPr>
        <w:t>Pistia Stratiotes</w:t>
      </w:r>
      <w:r w:rsidRPr="00A428C3">
        <w:t>, Radiochromatography, Removal, Riccia Fluitans, UO</w:t>
      </w:r>
      <w:r w:rsidRPr="00A428C3">
        <w:rPr>
          <w:vertAlign w:val="subscript"/>
        </w:rPr>
        <w:t>2</w:t>
      </w:r>
      <w:r w:rsidRPr="00A428C3">
        <w:rPr>
          <w:vertAlign w:val="superscript"/>
        </w:rPr>
        <w:t>2+</w:t>
      </w:r>
      <w:r w:rsidRPr="00A428C3">
        <w:t xml:space="preserve"> Ions, Uranyl Ions, Waters, Zn-65</w:t>
      </w:r>
    </w:p>
    <w:p w:rsidR="00B95188" w:rsidRPr="00A428C3" w:rsidRDefault="00B95188" w:rsidP="00B95188">
      <w:pPr>
        <w:pStyle w:val="1"/>
      </w:pPr>
      <w:r w:rsidRPr="00A428C3">
        <w:br w:type="page"/>
      </w:r>
      <w:bookmarkStart w:id="1681" w:name="_Toc186647995"/>
      <w:bookmarkStart w:id="1682" w:name="_Toc317161434"/>
      <w:r w:rsidRPr="00A428C3">
        <w:lastRenderedPageBreak/>
        <w:t xml:space="preserve">Title: </w:t>
      </w:r>
      <w:smartTag w:uri="urn:schemas-microsoft-com:office:smarttags" w:element="place">
        <w:smartTag w:uri="urn:schemas-microsoft-com:office:smarttags" w:element="country-region">
          <w:r w:rsidRPr="00A428C3">
            <w:t>Israel</w:t>
          </w:r>
        </w:smartTag>
      </w:smartTag>
      <w:r w:rsidRPr="00A428C3">
        <w:t xml:space="preserve"> Journal of Chemistry</w:t>
      </w:r>
      <w:bookmarkEnd w:id="1681"/>
      <w:bookmarkEnd w:id="1682"/>
    </w:p>
    <w:p w:rsidR="00B95188" w:rsidRPr="00A428C3" w:rsidRDefault="00B95188" w:rsidP="00B72EF9">
      <w:pPr>
        <w:pStyle w:val="12"/>
      </w:pPr>
      <w:r w:rsidRPr="00A428C3">
        <w:t xml:space="preserve">Full Journal Title: </w:t>
      </w:r>
      <w:smartTag w:uri="urn:schemas-microsoft-com:office:smarttags" w:element="place">
        <w:smartTag w:uri="urn:schemas-microsoft-com:office:smarttags" w:element="country-region">
          <w:r w:rsidRPr="00A428C3">
            <w:t>Israel</w:t>
          </w:r>
        </w:smartTag>
      </w:smartTag>
      <w:r w:rsidRPr="00A428C3">
        <w:t xml:space="preserve"> Journal of Chemistry</w:t>
      </w:r>
    </w:p>
    <w:p w:rsidR="00B95188" w:rsidRPr="00A428C3" w:rsidRDefault="00B95188" w:rsidP="00B72EF9">
      <w:pPr>
        <w:pStyle w:val="12"/>
      </w:pPr>
      <w:r w:rsidRPr="00A428C3">
        <w:t>ISO Abbreviated Title: Isr. J. Chem.</w:t>
      </w:r>
    </w:p>
    <w:p w:rsidR="00B95188" w:rsidRPr="00A428C3" w:rsidRDefault="00B95188" w:rsidP="00B72EF9">
      <w:pPr>
        <w:pStyle w:val="12"/>
      </w:pPr>
      <w:r w:rsidRPr="00A428C3">
        <w:t>JCR Abbreviated Title: Isr J Chem</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xml:space="preserve">? Hodara, </w:t>
      </w:r>
      <w:smartTag w:uri="urn:schemas-microsoft-com:office:smarttags" w:element="place">
        <w:r w:rsidRPr="00A428C3">
          <w:t>I.</w:t>
        </w:r>
      </w:smartTag>
      <w:r w:rsidRPr="00A428C3">
        <w:t xml:space="preserve"> (1970), Kinetic</w:t>
      </w:r>
      <w:r w:rsidR="00F81221">
        <w:t xml:space="preserve"> and </w:t>
      </w:r>
      <w:r w:rsidRPr="00A428C3">
        <w:t xml:space="preserve">adsorption effects in polarographic reduction of chlorate catalyzed by molybdenum-tungsten mixtures. </w:t>
      </w:r>
      <w:smartTag w:uri="urn:schemas-microsoft-com:office:smarttags" w:element="place">
        <w:smartTag w:uri="urn:schemas-microsoft-com:office:smarttags" w:element="country-region">
          <w:r w:rsidRPr="00A428C3">
            <w:rPr>
              <w:i/>
              <w:iCs/>
            </w:rPr>
            <w:t>Israel</w:t>
          </w:r>
        </w:smartTag>
      </w:smartTag>
      <w:r w:rsidRPr="00A428C3">
        <w:rPr>
          <w:i/>
          <w:iCs/>
        </w:rPr>
        <w:t xml:space="preserve"> Journal of Chemistry</w:t>
      </w:r>
      <w:r w:rsidRPr="00A428C3">
        <w:t xml:space="preserve">, </w:t>
      </w:r>
      <w:r w:rsidRPr="00A428C3">
        <w:rPr>
          <w:b/>
        </w:rPr>
        <w:t>8</w:t>
      </w:r>
      <w:r w:rsidRPr="00A428C3">
        <w:t xml:space="preserve"> (6), 831-??.</w:t>
      </w:r>
    </w:p>
    <w:p w:rsidR="00B95188" w:rsidRPr="00A428C3" w:rsidRDefault="00B95188" w:rsidP="00B95188">
      <w:pPr>
        <w:pStyle w:val="a0"/>
      </w:pPr>
      <w:r w:rsidRPr="00A428C3">
        <w:t>? Kashtikaplan, S.</w:t>
      </w:r>
      <w:r w:rsidR="00F81221">
        <w:t xml:space="preserve"> and </w:t>
      </w:r>
      <w:r w:rsidRPr="00A428C3">
        <w:t xml:space="preserve">Kirowaeisner, E. (1979), Effect of adsorption conformation of intermediates on kinetic- parameters of electrode-reactions - mechanism of the electroreduction of dihalopyridines on the DME. </w:t>
      </w:r>
      <w:smartTag w:uri="urn:schemas-microsoft-com:office:smarttags" w:element="place">
        <w:smartTag w:uri="urn:schemas-microsoft-com:office:smarttags" w:element="country-region">
          <w:r w:rsidRPr="00A428C3">
            <w:rPr>
              <w:i/>
              <w:iCs/>
            </w:rPr>
            <w:t>Israel</w:t>
          </w:r>
        </w:smartTag>
      </w:smartTag>
      <w:r w:rsidRPr="00A428C3">
        <w:rPr>
          <w:i/>
          <w:iCs/>
        </w:rPr>
        <w:t xml:space="preserve"> Journal of Chemistry</w:t>
      </w:r>
      <w:r w:rsidRPr="00A428C3">
        <w:t xml:space="preserve">, </w:t>
      </w:r>
      <w:r w:rsidRPr="00A428C3">
        <w:rPr>
          <w:b/>
        </w:rPr>
        <w:t>18</w:t>
      </w:r>
      <w:r w:rsidRPr="00A428C3">
        <w:t xml:space="preserve"> (1-2), 75-79.</w:t>
      </w:r>
    </w:p>
    <w:p w:rsidR="00B95188" w:rsidRPr="00A428C3" w:rsidRDefault="00B95188" w:rsidP="00B95188">
      <w:pPr>
        <w:pStyle w:val="1"/>
      </w:pPr>
      <w:r w:rsidRPr="00A428C3">
        <w:br w:type="page"/>
      </w:r>
      <w:bookmarkStart w:id="1683" w:name="_Toc488467662"/>
      <w:bookmarkStart w:id="1684" w:name="_Toc489709769"/>
      <w:bookmarkStart w:id="1685" w:name="_Toc490688095"/>
      <w:bookmarkStart w:id="1686" w:name="_Toc492812208"/>
      <w:bookmarkStart w:id="1687" w:name="_Toc186647996"/>
      <w:bookmarkStart w:id="1688" w:name="_Toc487192733"/>
      <w:bookmarkStart w:id="1689" w:name="_Toc317161435"/>
      <w:r w:rsidRPr="00A428C3">
        <w:lastRenderedPageBreak/>
        <w:t xml:space="preserve">Title: </w:t>
      </w:r>
      <w:smartTag w:uri="urn:schemas-microsoft-com:office:smarttags" w:element="place">
        <w:smartTag w:uri="urn:schemas-microsoft-com:office:smarttags" w:element="country-region">
          <w:r w:rsidRPr="00A428C3">
            <w:t>Israel</w:t>
          </w:r>
        </w:smartTag>
      </w:smartTag>
      <w:r w:rsidRPr="00A428C3">
        <w:t xml:space="preserve"> Journal of Medical Sciences</w:t>
      </w:r>
      <w:bookmarkEnd w:id="1683"/>
      <w:bookmarkEnd w:id="1684"/>
      <w:bookmarkEnd w:id="1685"/>
      <w:bookmarkEnd w:id="1686"/>
      <w:bookmarkEnd w:id="1687"/>
      <w:bookmarkEnd w:id="1689"/>
    </w:p>
    <w:p w:rsidR="00B95188" w:rsidRPr="00A428C3" w:rsidRDefault="00B95188" w:rsidP="00B72EF9">
      <w:pPr>
        <w:pStyle w:val="12"/>
      </w:pPr>
      <w:r w:rsidRPr="00A428C3">
        <w:t xml:space="preserve">Full Journal Title: </w:t>
      </w:r>
      <w:hyperlink r:id="rId2166" w:history="1">
        <w:r w:rsidRPr="000F2DC9">
          <w:rPr>
            <w:rStyle w:val="a5"/>
          </w:rPr>
          <w:t>Israel Journal of Medical Sciences</w:t>
        </w:r>
      </w:hyperlink>
    </w:p>
    <w:p w:rsidR="00B95188" w:rsidRPr="000F2DC9" w:rsidRDefault="00B95188" w:rsidP="000F2DC9">
      <w:pPr>
        <w:pStyle w:val="12"/>
      </w:pPr>
      <w:r w:rsidRPr="000F2DC9">
        <w:t>ISO Abbreviated Title: Isr. J. Med. Sci.</w:t>
      </w:r>
    </w:p>
    <w:p w:rsidR="00B95188" w:rsidRPr="000F2DC9" w:rsidRDefault="00B95188" w:rsidP="000F2DC9">
      <w:pPr>
        <w:pStyle w:val="12"/>
      </w:pPr>
      <w:r w:rsidRPr="000F2DC9">
        <w:t>JCR Abbreviated Title: Israel J Med Sci</w:t>
      </w:r>
    </w:p>
    <w:p w:rsidR="00B95188" w:rsidRPr="000F2DC9" w:rsidRDefault="00B95188" w:rsidP="000F2DC9">
      <w:pPr>
        <w:pStyle w:val="12"/>
      </w:pPr>
      <w:r w:rsidRPr="000F2DC9">
        <w:t>ISSN: 0021-2180</w:t>
      </w:r>
    </w:p>
    <w:p w:rsidR="00B95188" w:rsidRPr="000F2DC9" w:rsidRDefault="00B95188" w:rsidP="000F2DC9">
      <w:pPr>
        <w:pStyle w:val="12"/>
      </w:pPr>
      <w:r w:rsidRPr="000F2DC9">
        <w:t>Issues/Year: 7</w:t>
      </w:r>
    </w:p>
    <w:p w:rsidR="00B95188" w:rsidRPr="000F2DC9" w:rsidRDefault="00B95188" w:rsidP="000F2DC9">
      <w:pPr>
        <w:pStyle w:val="12"/>
      </w:pPr>
      <w:r w:rsidRPr="000F2DC9">
        <w:t>Journal Country/Territory: Israel</w:t>
      </w:r>
    </w:p>
    <w:p w:rsidR="00B95188" w:rsidRPr="000F2DC9" w:rsidRDefault="00B95188" w:rsidP="000F2DC9">
      <w:pPr>
        <w:pStyle w:val="12"/>
      </w:pPr>
      <w:r w:rsidRPr="000F2DC9">
        <w:t>Language: English</w:t>
      </w:r>
    </w:p>
    <w:p w:rsidR="00B95188" w:rsidRPr="000F2DC9" w:rsidRDefault="00B95188" w:rsidP="000F2DC9">
      <w:pPr>
        <w:pStyle w:val="12"/>
      </w:pPr>
      <w:r w:rsidRPr="000F2DC9">
        <w:t>Publisher: Israel Journal Med Sciences</w:t>
      </w:r>
    </w:p>
    <w:p w:rsidR="00B95188" w:rsidRPr="000F2DC9" w:rsidRDefault="00B95188" w:rsidP="000F2DC9">
      <w:pPr>
        <w:pStyle w:val="12"/>
      </w:pPr>
      <w:r w:rsidRPr="000F2DC9">
        <w:t>Publisher Address: 2 Etzel St, French Hill, Jerusalem 97853, Israel</w:t>
      </w:r>
    </w:p>
    <w:p w:rsidR="00B95188" w:rsidRPr="000F2DC9" w:rsidRDefault="00B95188" w:rsidP="000F2DC9">
      <w:pPr>
        <w:pStyle w:val="12"/>
      </w:pPr>
      <w:r w:rsidRPr="000F2DC9">
        <w:t>Subject Categories:</w:t>
      </w:r>
    </w:p>
    <w:p w:rsidR="00B95188" w:rsidRPr="000F2DC9" w:rsidRDefault="00B95188" w:rsidP="000F2DC9">
      <w:pPr>
        <w:pStyle w:val="12"/>
      </w:pPr>
      <w:r w:rsidRPr="000F2DC9">
        <w:t>Medicine, General &amp; Internal: Impact Factor</w:t>
      </w:r>
    </w:p>
    <w:p w:rsidR="00B95188" w:rsidRPr="00A428C3" w:rsidRDefault="00B95188" w:rsidP="00B95188">
      <w:pPr>
        <w:pStyle w:val="a0"/>
      </w:pPr>
      <w:r w:rsidRPr="00A428C3">
        <w:t>? Tulchinsky, T.H., Levine, I., Abrookin, R.</w:t>
      </w:r>
      <w:r w:rsidR="00F81221">
        <w:t xml:space="preserve"> and </w:t>
      </w:r>
      <w:r w:rsidRPr="00A428C3">
        <w:t xml:space="preserve">Halperin, R. (1988), Waterborne enteric disease outbreaks in </w:t>
      </w:r>
      <w:smartTag w:uri="urn:schemas-microsoft-com:office:smarttags" w:element="place">
        <w:smartTag w:uri="urn:schemas-microsoft-com:office:smarttags" w:element="country-region">
          <w:r w:rsidRPr="00A428C3">
            <w:t>Israel</w:t>
          </w:r>
        </w:smartTag>
      </w:smartTag>
      <w:r w:rsidRPr="00A428C3">
        <w:t xml:space="preserve"> (1976), -1985. </w:t>
      </w:r>
      <w:smartTag w:uri="urn:schemas-microsoft-com:office:smarttags" w:element="place">
        <w:smartTag w:uri="urn:schemas-microsoft-com:office:smarttags" w:element="country-region">
          <w:r w:rsidRPr="00A428C3">
            <w:rPr>
              <w:i/>
            </w:rPr>
            <w:t>Israel</w:t>
          </w:r>
        </w:smartTag>
      </w:smartTag>
      <w:r w:rsidRPr="00A428C3">
        <w:rPr>
          <w:i/>
        </w:rPr>
        <w:t xml:space="preserve"> Journal of Medical Sciences</w:t>
      </w:r>
      <w:r w:rsidRPr="00A428C3">
        <w:t xml:space="preserve">, </w:t>
      </w:r>
      <w:r w:rsidRPr="00A428C3">
        <w:rPr>
          <w:b/>
        </w:rPr>
        <w:t>24</w:t>
      </w:r>
      <w:r w:rsidRPr="00A428C3">
        <w:t xml:space="preserve"> (11), 644-651.</w:t>
      </w:r>
    </w:p>
    <w:p w:rsidR="00B95188" w:rsidRPr="00A428C3" w:rsidRDefault="00B95188" w:rsidP="00B95188">
      <w:pPr>
        <w:pStyle w:val="a0"/>
      </w:pPr>
      <w:r w:rsidRPr="00A428C3">
        <w:t>Abstract: Waterborne enteric disease remains a major public health problem in developing countries, as well as in developed countries, such that the World Health Organization declared 1981-90 the International Water Decade. Israeli experience with waterborne disease outbreaks in the decade 1976-85 is reviewed. Community water systems accounted for 52 outbreaks, with 25 occurring between 1976</w:t>
      </w:r>
      <w:r w:rsidR="00F81221">
        <w:t xml:space="preserve"> and </w:t>
      </w:r>
      <w:r w:rsidRPr="00A428C3">
        <w:t>1980</w:t>
      </w:r>
      <w:r w:rsidR="00F81221">
        <w:t xml:space="preserve"> and </w:t>
      </w:r>
      <w:r w:rsidRPr="00A428C3">
        <w:t>27 between 1981</w:t>
      </w:r>
      <w:r w:rsidR="00F81221">
        <w:t xml:space="preserve"> and </w:t>
      </w:r>
      <w:r w:rsidRPr="00A428C3">
        <w:t>1985. Total cases reported in these outbreaks were 7, 681</w:t>
      </w:r>
      <w:r w:rsidR="00F81221">
        <w:t xml:space="preserve"> and </w:t>
      </w:r>
      <w:r w:rsidRPr="00A428C3">
        <w:t>10, 880 respectively. In the latter period, reported cases resulting from these outbreaks constituted a very high percentage of the total reported cases of diarrheal disease in the country. The waterborne disease outbreaks were mostly due to secondary contamination of water systems due to human error</w:t>
      </w:r>
      <w:r w:rsidR="00F81221">
        <w:t xml:space="preserve"> and </w:t>
      </w:r>
      <w:r w:rsidRPr="00A428C3">
        <w:t xml:space="preserve">poor maintenance. In comparison with the </w:t>
      </w:r>
      <w:smartTag w:uri="urn:schemas-microsoft-com:office:smarttags" w:element="country-region">
        <w:r w:rsidRPr="00A428C3">
          <w:t>United States</w:t>
        </w:r>
      </w:smartTag>
      <w:r w:rsidRPr="00A428C3">
        <w:t xml:space="preserve">, </w:t>
      </w:r>
      <w:smartTag w:uri="urn:schemas-microsoft-com:office:smarttags" w:element="place">
        <w:smartTag w:uri="urn:schemas-microsoft-com:office:smarttags" w:element="country-region">
          <w:r w:rsidRPr="00A428C3">
            <w:t>Israel</w:t>
          </w:r>
        </w:smartTag>
      </w:smartTag>
      <w:r w:rsidRPr="00A428C3">
        <w:t xml:space="preserve"> experienced 18.7 times as many community waterborne disease outbreaks per capita. The need for routine preventive chlorination,</w:t>
      </w:r>
      <w:r w:rsidR="00F81221">
        <w:t xml:space="preserve"> and </w:t>
      </w:r>
      <w:r w:rsidRPr="00A428C3">
        <w:t>filtration on a selective basis, of community drinking water systems is strongly indicated, as recommended in current United States</w:t>
      </w:r>
      <w:r w:rsidR="00F81221">
        <w:t xml:space="preserve"> and </w:t>
      </w:r>
      <w:r w:rsidRPr="00A428C3">
        <w:t>World Health Organization guidelines in order to improve this grossly substandard aspect of Israeli public health.</w:t>
      </w:r>
    </w:p>
    <w:p w:rsidR="00B95188" w:rsidRPr="00A428C3" w:rsidRDefault="00B95188" w:rsidP="00B95188">
      <w:pPr>
        <w:pStyle w:val="a0"/>
      </w:pPr>
      <w:r w:rsidRPr="00A428C3">
        <w:t>? Tulchinsky, T.H., Zohar, Y., Goldenberg, E.</w:t>
      </w:r>
      <w:r w:rsidR="00F81221">
        <w:t xml:space="preserve"> and </w:t>
      </w:r>
      <w:r w:rsidRPr="00A428C3">
        <w:t xml:space="preserve">Halperin, R. (1988), Microbiologic drinking water quality in </w:t>
      </w:r>
      <w:smartTag w:uri="urn:schemas-microsoft-com:office:smarttags" w:element="place">
        <w:smartTag w:uri="urn:schemas-microsoft-com:office:smarttags" w:element="country-region">
          <w:r w:rsidRPr="00A428C3">
            <w:t>Israel</w:t>
          </w:r>
        </w:smartTag>
      </w:smartTag>
      <w:r w:rsidRPr="00A428C3">
        <w:t>: Standards, monitoring,</w:t>
      </w:r>
      <w:r w:rsidR="00F81221">
        <w:t xml:space="preserve"> and </w:t>
      </w:r>
      <w:r w:rsidRPr="00A428C3">
        <w:t xml:space="preserve">treatment. </w:t>
      </w:r>
      <w:smartTag w:uri="urn:schemas-microsoft-com:office:smarttags" w:element="place">
        <w:smartTag w:uri="urn:schemas-microsoft-com:office:smarttags" w:element="country-region">
          <w:r w:rsidRPr="00A428C3">
            <w:rPr>
              <w:i/>
            </w:rPr>
            <w:t>Israel</w:t>
          </w:r>
        </w:smartTag>
      </w:smartTag>
      <w:r w:rsidRPr="00A428C3">
        <w:rPr>
          <w:i/>
        </w:rPr>
        <w:t xml:space="preserve"> Journal of Medical Sciences</w:t>
      </w:r>
      <w:r w:rsidRPr="00A428C3">
        <w:t xml:space="preserve">, </w:t>
      </w:r>
      <w:r w:rsidRPr="00A428C3">
        <w:rPr>
          <w:b/>
        </w:rPr>
        <w:t>24</w:t>
      </w:r>
      <w:r w:rsidRPr="00A428C3">
        <w:t xml:space="preserve"> (11), 652-659.</w:t>
      </w:r>
    </w:p>
    <w:p w:rsidR="00B95188" w:rsidRPr="00A428C3" w:rsidRDefault="00B95188" w:rsidP="00B95188">
      <w:pPr>
        <w:pStyle w:val="a0"/>
      </w:pPr>
      <w:r w:rsidRPr="00A428C3">
        <w:t>Abstract: Drinking water quality depends on standards, monitoring</w:t>
      </w:r>
      <w:r w:rsidR="00F81221">
        <w:t xml:space="preserve"> and </w:t>
      </w:r>
      <w:r w:rsidRPr="00A428C3">
        <w:t>treatment. Israel</w:t>
      </w:r>
      <w:r w:rsidR="000352E7">
        <w:t>’</w:t>
      </w:r>
      <w:r w:rsidRPr="00A428C3">
        <w:t>s microbiologic water standards are less stringent than those currently recommended internationally,</w:t>
      </w:r>
      <w:r w:rsidR="00F81221">
        <w:t xml:space="preserve"> and </w:t>
      </w:r>
      <w:r w:rsidRPr="00A428C3">
        <w:t xml:space="preserve">have focused primarily on bacteriologic levels. </w:t>
      </w:r>
      <w:r w:rsidRPr="00A428C3">
        <w:lastRenderedPageBreak/>
        <w:t xml:space="preserve">Compliance with routine monitoring requirements averaged 86% in 1985-86. However, compliance with retesting of contaminated samples averaged 49% in 1985-86. Compliance with treatment recommendations of district sanitary engineers has also been poor. Poor water quality continues to be a public health problem in </w:t>
      </w:r>
      <w:smartTag w:uri="urn:schemas-microsoft-com:office:smarttags" w:element="place">
        <w:smartTag w:uri="urn:schemas-microsoft-com:office:smarttags" w:element="country-region">
          <w:r w:rsidRPr="00A428C3">
            <w:t>Israel</w:t>
          </w:r>
        </w:smartTag>
      </w:smartTag>
      <w:r w:rsidRPr="00A428C3">
        <w:t>,</w:t>
      </w:r>
      <w:r w:rsidR="00F81221">
        <w:t xml:space="preserve"> and </w:t>
      </w:r>
      <w:r w:rsidRPr="00A428C3">
        <w:t>has contributed to a relatively high incidence of waterborne disease. Current international guidelines recommend filtration</w:t>
      </w:r>
      <w:r w:rsidR="00F81221">
        <w:t xml:space="preserve"> and </w:t>
      </w:r>
      <w:r w:rsidRPr="00A428C3">
        <w:t>chlorination, particularly for surface water</w:t>
      </w:r>
      <w:r w:rsidR="00F81221">
        <w:t xml:space="preserve"> and </w:t>
      </w:r>
      <w:r w:rsidRPr="00A428C3">
        <w:t xml:space="preserve">other contaminated sources. </w:t>
      </w:r>
      <w:smartTag w:uri="urn:schemas-microsoft-com:office:smarttags" w:element="place">
        <w:smartTag w:uri="urn:schemas-microsoft-com:office:smarttags" w:element="country-region">
          <w:r w:rsidRPr="00A428C3">
            <w:t>Israel</w:t>
          </w:r>
        </w:smartTag>
      </w:smartTag>
      <w:r w:rsidRPr="00A428C3">
        <w:t xml:space="preserve"> should make this a major public health priority.</w:t>
      </w:r>
    </w:p>
    <w:p w:rsidR="00B95188" w:rsidRPr="00A428C3" w:rsidRDefault="00B95188" w:rsidP="00B95188">
      <w:pPr>
        <w:pStyle w:val="a0"/>
      </w:pPr>
      <w:r w:rsidRPr="00A428C3">
        <w:t>? Yosipovitch, G., Heller, I.</w:t>
      </w:r>
      <w:r w:rsidR="00F81221">
        <w:t xml:space="preserve"> and </w:t>
      </w:r>
      <w:r w:rsidRPr="00A428C3">
        <w:t xml:space="preserve">Belhassen, B. (1990), A bibliometric study of cardiology in </w:t>
      </w:r>
      <w:smartTag w:uri="urn:schemas-microsoft-com:office:smarttags" w:element="place">
        <w:smartTag w:uri="urn:schemas-microsoft-com:office:smarttags" w:element="country-region">
          <w:r w:rsidRPr="00A428C3">
            <w:t>Israel</w:t>
          </w:r>
        </w:smartTag>
      </w:smartTag>
      <w:r w:rsidRPr="00A428C3">
        <w:t xml:space="preserve"> a comparison of the years 1978 1983</w:t>
      </w:r>
      <w:r w:rsidR="00F81221">
        <w:t xml:space="preserve"> and </w:t>
      </w:r>
      <w:r w:rsidRPr="00A428C3">
        <w:t xml:space="preserve">1988. </w:t>
      </w:r>
      <w:smartTag w:uri="urn:schemas-microsoft-com:office:smarttags" w:element="place">
        <w:smartTag w:uri="urn:schemas-microsoft-com:office:smarttags" w:element="country-region">
          <w:r w:rsidRPr="00A428C3">
            <w:rPr>
              <w:i/>
              <w:iCs/>
            </w:rPr>
            <w:t>Israel</w:t>
          </w:r>
        </w:smartTag>
      </w:smartTag>
      <w:r w:rsidRPr="00A428C3">
        <w:rPr>
          <w:i/>
          <w:iCs/>
        </w:rPr>
        <w:t xml:space="preserve"> Journal of Medical Sciences</w:t>
      </w:r>
      <w:r w:rsidRPr="00A428C3">
        <w:t xml:space="preserve">, </w:t>
      </w:r>
      <w:r w:rsidRPr="00A428C3">
        <w:rPr>
          <w:b/>
        </w:rPr>
        <w:t>26</w:t>
      </w:r>
      <w:r w:rsidRPr="00A428C3">
        <w:t xml:space="preserve"> (4), 225.</w:t>
      </w:r>
    </w:p>
    <w:p w:rsidR="00B95188" w:rsidRPr="00A428C3" w:rsidRDefault="00B95188" w:rsidP="00B95188">
      <w:pPr>
        <w:pStyle w:val="a0"/>
      </w:pPr>
      <w:r w:rsidRPr="00A428C3">
        <w:t>? Putterman, C.</w:t>
      </w:r>
      <w:r w:rsidR="00F81221">
        <w:t xml:space="preserve"> and </w:t>
      </w:r>
      <w:r w:rsidRPr="00A428C3">
        <w:t xml:space="preserve">Lossos, I.S. (1991), Author, verify your references - or, the accuracy of references in Israeli medical journals. </w:t>
      </w:r>
      <w:smartTag w:uri="urn:schemas-microsoft-com:office:smarttags" w:element="place">
        <w:smartTag w:uri="urn:schemas-microsoft-com:office:smarttags" w:element="country-region">
          <w:r w:rsidRPr="00A428C3">
            <w:rPr>
              <w:i/>
            </w:rPr>
            <w:t>Israel</w:t>
          </w:r>
        </w:smartTag>
      </w:smartTag>
      <w:r w:rsidRPr="00A428C3">
        <w:rPr>
          <w:i/>
        </w:rPr>
        <w:t xml:space="preserve"> Journal of Medical Sciences</w:t>
      </w:r>
      <w:r w:rsidRPr="00A428C3">
        <w:t xml:space="preserve">, </w:t>
      </w:r>
      <w:r w:rsidRPr="00A428C3">
        <w:rPr>
          <w:b/>
        </w:rPr>
        <w:t>27</w:t>
      </w:r>
      <w:r w:rsidRPr="00A428C3">
        <w:t xml:space="preserve"> (2), 109-112.</w:t>
      </w:r>
    </w:p>
    <w:p w:rsidR="00B95188" w:rsidRPr="00A428C3" w:rsidRDefault="00B95188" w:rsidP="00B95188">
      <w:pPr>
        <w:pStyle w:val="a0"/>
      </w:pPr>
      <w:r w:rsidRPr="00A428C3">
        <w:t>Abstract: The high rate of citation errors in bibliographies in medical journals has been a source of concern in recent years. We examined the accuracy of references published during 1 year in two Israeli medical journals. Only two-thirds of the randomly selected references examined were error free; 8% had major errors preventing identification of the cited article. Most of the errors found (76%) were in referencing the author(s) or title of the article. We conclude that errors in citation appear also in Israeli medical journals. Editors should emphasize the importance of reference verification; however, primary responsibility for the accuracy of the reference list rests with the author. Authors should exercise more care in preparing bibliographies</w:t>
      </w:r>
      <w:r w:rsidR="00F81221">
        <w:t xml:space="preserve"> and </w:t>
      </w:r>
      <w:r w:rsidRPr="00A428C3">
        <w:t>should invest more effort in verification of quoted references.</w:t>
      </w:r>
    </w:p>
    <w:p w:rsidR="00B95188" w:rsidRPr="00A428C3" w:rsidRDefault="00B95188" w:rsidP="00B95188">
      <w:pPr>
        <w:pStyle w:val="a0"/>
      </w:pPr>
      <w:r w:rsidRPr="00A428C3">
        <w:t>Keywords: Medical Journals, Citation Errors, Authorship</w:t>
      </w:r>
    </w:p>
    <w:p w:rsidR="00B95188" w:rsidRPr="00A428C3" w:rsidRDefault="00B95188" w:rsidP="00B95188">
      <w:pPr>
        <w:pStyle w:val="a0"/>
      </w:pPr>
      <w:r w:rsidRPr="00A428C3">
        <w:t>? Yosipovitch, G., Heller, I.</w:t>
      </w:r>
      <w:r w:rsidR="00F81221">
        <w:t xml:space="preserve"> and </w:t>
      </w:r>
      <w:r w:rsidRPr="00A428C3">
        <w:t xml:space="preserve">Belhassen, B. (1990), Bibliometric Study of Cardiology in </w:t>
      </w:r>
      <w:smartTag w:uri="urn:schemas-microsoft-com:office:smarttags" w:element="place">
        <w:smartTag w:uri="urn:schemas-microsoft-com:office:smarttags" w:element="country-region">
          <w:r w:rsidRPr="00A428C3">
            <w:t>Israel</w:t>
          </w:r>
        </w:smartTag>
      </w:smartTag>
      <w:r w:rsidRPr="00A428C3">
        <w:t xml:space="preserve"> in 1978 1983</w:t>
      </w:r>
      <w:r w:rsidR="00F81221">
        <w:t xml:space="preserve"> and </w:t>
      </w:r>
      <w:r w:rsidRPr="00A428C3">
        <w:t xml:space="preserve">1988. </w:t>
      </w:r>
      <w:smartTag w:uri="urn:schemas-microsoft-com:office:smarttags" w:element="place">
        <w:smartTag w:uri="urn:schemas-microsoft-com:office:smarttags" w:element="country-region">
          <w:r w:rsidRPr="00A428C3">
            <w:rPr>
              <w:i/>
              <w:iCs/>
            </w:rPr>
            <w:t>Israel</w:t>
          </w:r>
        </w:smartTag>
      </w:smartTag>
      <w:r w:rsidRPr="00A428C3">
        <w:rPr>
          <w:i/>
          <w:iCs/>
        </w:rPr>
        <w:t xml:space="preserve"> Journal of Medical Sciences</w:t>
      </w:r>
      <w:r w:rsidRPr="00A428C3">
        <w:t xml:space="preserve">, </w:t>
      </w:r>
      <w:r w:rsidRPr="00A428C3">
        <w:rPr>
          <w:b/>
        </w:rPr>
        <w:t>27</w:t>
      </w:r>
      <w:r w:rsidRPr="00A428C3">
        <w:t xml:space="preserve"> (4), 234-238.</w:t>
      </w:r>
    </w:p>
    <w:p w:rsidR="00B95188" w:rsidRPr="00A428C3" w:rsidRDefault="00B95188" w:rsidP="00B95188">
      <w:pPr>
        <w:pStyle w:val="a0"/>
      </w:pPr>
      <w:r w:rsidRPr="00A428C3">
        <w:t xml:space="preserve">Abstract: This work presents the results of the first bibliometric study of scientific papers in the field of cardiology in </w:t>
      </w:r>
      <w:smartTag w:uri="urn:schemas-microsoft-com:office:smarttags" w:element="place">
        <w:smartTag w:uri="urn:schemas-microsoft-com:office:smarttags" w:element="country-region">
          <w:r w:rsidRPr="00A428C3">
            <w:t>Israel</w:t>
          </w:r>
        </w:smartTag>
      </w:smartTag>
      <w:r w:rsidRPr="00A428C3">
        <w:t>. Using a computer-aided search (Medline), papers published in three selected years (1978, 1983</w:t>
      </w:r>
      <w:r w:rsidR="00F81221">
        <w:t xml:space="preserve"> and </w:t>
      </w:r>
      <w:r w:rsidRPr="00A428C3">
        <w:t>1988) were comapred with respect to quantity, type</w:t>
      </w:r>
      <w:r w:rsidR="00F81221">
        <w:t xml:space="preserve"> and </w:t>
      </w:r>
      <w:r w:rsidRPr="00A428C3">
        <w:t>topic of publication</w:t>
      </w:r>
      <w:r w:rsidR="00F81221">
        <w:t xml:space="preserve"> and </w:t>
      </w:r>
      <w:r w:rsidRPr="00A428C3">
        <w:t xml:space="preserve">impact factor. An activity index was designed to measure the relative academic effort devoted to the field of cardiology in </w:t>
      </w:r>
      <w:smartTag w:uri="urn:schemas-microsoft-com:office:smarttags" w:element="place">
        <w:smartTag w:uri="urn:schemas-microsoft-com:office:smarttags" w:element="country-region">
          <w:r w:rsidRPr="00A428C3">
            <w:t>Israel</w:t>
          </w:r>
        </w:smartTag>
      </w:smartTag>
      <w:r w:rsidRPr="00A428C3">
        <w:t>. A survey of several cardiological publications worldwide was also carried out. The impact factor</w:t>
      </w:r>
      <w:r w:rsidR="00F81221">
        <w:t xml:space="preserve"> and </w:t>
      </w:r>
      <w:r w:rsidRPr="00A428C3">
        <w:t>the activity index of Israeli publications markedly increased from 1978 to 1983 but decreased bwteen 1983</w:t>
      </w:r>
      <w:r w:rsidR="00F81221">
        <w:t xml:space="preserve"> and </w:t>
      </w:r>
      <w:r w:rsidRPr="00A428C3">
        <w:t>1988. The ratio of Israeli to world cardiological publications increased from 1978 to 1983, but remained unchanged between 1983</w:t>
      </w:r>
      <w:r w:rsidR="00F81221">
        <w:t xml:space="preserve"> and </w:t>
      </w:r>
      <w:r w:rsidRPr="00A428C3">
        <w:t>1988.</w:t>
      </w:r>
    </w:p>
    <w:p w:rsidR="000F578B" w:rsidRDefault="000F578B" w:rsidP="000F578B">
      <w:pPr>
        <w:pStyle w:val="a0"/>
        <w:rPr>
          <w:kern w:val="0"/>
          <w:szCs w:val="24"/>
        </w:rPr>
      </w:pPr>
      <w:r>
        <w:rPr>
          <w:rFonts w:hint="eastAsia"/>
          <w:kern w:val="0"/>
          <w:szCs w:val="24"/>
        </w:rPr>
        <w:t xml:space="preserve">? </w:t>
      </w:r>
      <w:r>
        <w:rPr>
          <w:kern w:val="0"/>
          <w:szCs w:val="24"/>
        </w:rPr>
        <w:t>Yosipovitch, G., Heller, I.</w:t>
      </w:r>
      <w:r w:rsidR="00F81221">
        <w:rPr>
          <w:kern w:val="0"/>
          <w:szCs w:val="24"/>
        </w:rPr>
        <w:t xml:space="preserve"> and </w:t>
      </w:r>
      <w:r>
        <w:rPr>
          <w:kern w:val="0"/>
          <w:szCs w:val="24"/>
        </w:rPr>
        <w:t xml:space="preserve">Belhassen, B. (1991), Bibliometric Study of </w:t>
      </w:r>
      <w:r>
        <w:rPr>
          <w:kern w:val="0"/>
          <w:szCs w:val="24"/>
        </w:rPr>
        <w:lastRenderedPageBreak/>
        <w:t>Cardiology in Israel in 1978, 1983</w:t>
      </w:r>
      <w:r w:rsidR="00F81221">
        <w:rPr>
          <w:kern w:val="0"/>
          <w:szCs w:val="24"/>
        </w:rPr>
        <w:t xml:space="preserve"> and </w:t>
      </w:r>
      <w:r>
        <w:rPr>
          <w:kern w:val="0"/>
          <w:szCs w:val="24"/>
        </w:rPr>
        <w:t xml:space="preserve">1988. </w:t>
      </w:r>
      <w:r>
        <w:rPr>
          <w:i/>
          <w:iCs/>
          <w:kern w:val="0"/>
          <w:szCs w:val="24"/>
        </w:rPr>
        <w:t>Israel Journal of Medical Sciences</w:t>
      </w:r>
      <w:r>
        <w:rPr>
          <w:kern w:val="0"/>
          <w:szCs w:val="24"/>
        </w:rPr>
        <w:t xml:space="preserve">, </w:t>
      </w:r>
      <w:r>
        <w:rPr>
          <w:b/>
          <w:bCs/>
          <w:kern w:val="0"/>
          <w:szCs w:val="24"/>
        </w:rPr>
        <w:t>27</w:t>
      </w:r>
      <w:r>
        <w:rPr>
          <w:kern w:val="0"/>
          <w:szCs w:val="24"/>
        </w:rPr>
        <w:t xml:space="preserve"> (4), 234-238.</w:t>
      </w:r>
    </w:p>
    <w:p w:rsidR="000F578B" w:rsidRDefault="000F578B" w:rsidP="000F578B">
      <w:pPr>
        <w:pStyle w:val="a0"/>
        <w:rPr>
          <w:kern w:val="0"/>
          <w:szCs w:val="24"/>
        </w:rPr>
      </w:pPr>
      <w:r>
        <w:rPr>
          <w:kern w:val="0"/>
          <w:szCs w:val="24"/>
        </w:rPr>
        <w:t>Abstract: This work presents the results of the first bibliometric study of scientific papers in the field of cardiology in Israel. Using a computer-aided search (Medline), papers published in three selected years (1978, 1983</w:t>
      </w:r>
      <w:r w:rsidR="00F81221">
        <w:rPr>
          <w:kern w:val="0"/>
          <w:szCs w:val="24"/>
        </w:rPr>
        <w:t xml:space="preserve"> and </w:t>
      </w:r>
      <w:r>
        <w:rPr>
          <w:kern w:val="0"/>
          <w:szCs w:val="24"/>
        </w:rPr>
        <w:t>1988) were compared with respect to quantity, type</w:t>
      </w:r>
      <w:r w:rsidR="00F81221">
        <w:rPr>
          <w:kern w:val="0"/>
          <w:szCs w:val="24"/>
        </w:rPr>
        <w:t xml:space="preserve"> and </w:t>
      </w:r>
      <w:r>
        <w:rPr>
          <w:kern w:val="0"/>
          <w:szCs w:val="24"/>
        </w:rPr>
        <w:t>topic of publication</w:t>
      </w:r>
      <w:r w:rsidR="00F81221">
        <w:rPr>
          <w:kern w:val="0"/>
          <w:szCs w:val="24"/>
        </w:rPr>
        <w:t xml:space="preserve"> and </w:t>
      </w:r>
      <w:r>
        <w:rPr>
          <w:kern w:val="0"/>
          <w:szCs w:val="24"/>
        </w:rPr>
        <w:t>impact factor. An activity index was designed to measure the relative academic effort devoted to the field of cardiology in Israel. A survey of several cardiological publications worldwide was also carried out. The impact factor</w:t>
      </w:r>
      <w:r w:rsidR="00F81221">
        <w:rPr>
          <w:kern w:val="0"/>
          <w:szCs w:val="24"/>
        </w:rPr>
        <w:t xml:space="preserve"> and </w:t>
      </w:r>
      <w:r>
        <w:rPr>
          <w:kern w:val="0"/>
          <w:szCs w:val="24"/>
        </w:rPr>
        <w:t>the activity index of Israeli publications markedly increased from 1978 to 1983 but decreased between 1983</w:t>
      </w:r>
      <w:r w:rsidR="00F81221">
        <w:rPr>
          <w:kern w:val="0"/>
          <w:szCs w:val="24"/>
        </w:rPr>
        <w:t xml:space="preserve"> and </w:t>
      </w:r>
      <w:r>
        <w:rPr>
          <w:kern w:val="0"/>
          <w:szCs w:val="24"/>
        </w:rPr>
        <w:t>1988. The ratio of Israeli to world cardiological publications increased from 1978 to 1983, but remained unchanged between 1983</w:t>
      </w:r>
      <w:r w:rsidR="00F81221">
        <w:rPr>
          <w:kern w:val="0"/>
          <w:szCs w:val="24"/>
        </w:rPr>
        <w:t xml:space="preserve"> and </w:t>
      </w:r>
      <w:r>
        <w:rPr>
          <w:kern w:val="0"/>
          <w:szCs w:val="24"/>
        </w:rPr>
        <w:t>1988.</w:t>
      </w:r>
    </w:p>
    <w:p w:rsidR="000F578B" w:rsidRDefault="000F578B" w:rsidP="000F578B">
      <w:pPr>
        <w:pStyle w:val="a0"/>
        <w:rPr>
          <w:kern w:val="0"/>
          <w:szCs w:val="24"/>
        </w:rPr>
      </w:pPr>
      <w:r>
        <w:rPr>
          <w:kern w:val="0"/>
          <w:szCs w:val="24"/>
        </w:rPr>
        <w:t>Keywords: Academic Cardiology, Bibliometric, Bibliometric Study, Impact, Impact Factor, Medline, Papers, Publication, Publications, Survey</w:t>
      </w:r>
    </w:p>
    <w:p w:rsidR="00B95188" w:rsidRPr="00A428C3" w:rsidRDefault="00B95188" w:rsidP="00B95188">
      <w:pPr>
        <w:pStyle w:val="a0"/>
      </w:pPr>
      <w:r w:rsidRPr="00A428C3">
        <w:t xml:space="preserve">? Putterman, C. (1992), Quotation accuracy: Fact or fiction. </w:t>
      </w:r>
      <w:smartTag w:uri="urn:schemas-microsoft-com:office:smarttags" w:element="place">
        <w:smartTag w:uri="urn:schemas-microsoft-com:office:smarttags" w:element="country-region">
          <w:r w:rsidRPr="00A428C3">
            <w:rPr>
              <w:i/>
            </w:rPr>
            <w:t>Israel</w:t>
          </w:r>
        </w:smartTag>
      </w:smartTag>
      <w:r w:rsidRPr="00A428C3">
        <w:rPr>
          <w:i/>
        </w:rPr>
        <w:t xml:space="preserve"> Journal of Medical Sciences</w:t>
      </w:r>
      <w:r w:rsidRPr="00A428C3">
        <w:t xml:space="preserve">, </w:t>
      </w:r>
      <w:r w:rsidRPr="00A428C3">
        <w:rPr>
          <w:b/>
        </w:rPr>
        <w:t>28</w:t>
      </w:r>
      <w:r w:rsidRPr="00A428C3">
        <w:t xml:space="preserve"> (7), 465-470.</w:t>
      </w:r>
    </w:p>
    <w:p w:rsidR="00B95188" w:rsidRPr="00A428C3" w:rsidRDefault="00B95188" w:rsidP="00B95188">
      <w:pPr>
        <w:pStyle w:val="a0"/>
      </w:pPr>
      <w:r w:rsidRPr="00A428C3">
        <w:t>Abstract: Results from original studies are not always correctly represented in subsequent medical publications. In this study, randomly selected quotations from Israeli medical journals were examined. Less than 80% of the examined statements were in complete agreement with the original source. In about 7% the cited reference failed to substantiate the previous author</w:t>
      </w:r>
      <w:r w:rsidR="000352E7">
        <w:t>’</w:t>
      </w:r>
      <w:r w:rsidRPr="00A428C3">
        <w:t>s statement. Similar results were found over a range of American</w:t>
      </w:r>
      <w:r w:rsidR="00F81221">
        <w:t xml:space="preserve"> and </w:t>
      </w:r>
      <w:r w:rsidRPr="00A428C3">
        <w:t>European general</w:t>
      </w:r>
      <w:r w:rsidR="00F81221">
        <w:t xml:space="preserve"> and </w:t>
      </w:r>
      <w:r w:rsidRPr="00A428C3">
        <w:t>speciality journals. It is concluded that errors in quotation are a widespread problem in the biomedical literature. Editors</w:t>
      </w:r>
      <w:r w:rsidR="00F81221">
        <w:t xml:space="preserve"> and </w:t>
      </w:r>
      <w:r w:rsidRPr="00A428C3">
        <w:t>peer reviewers can improve quotation accuracy by stressing this issue in decisions regarding publication. Nevertheless, it seems that the most efficient solution would be for authors to increase their vigilance in accurately quoting results</w:t>
      </w:r>
      <w:r w:rsidR="00F81221">
        <w:t xml:space="preserve"> and </w:t>
      </w:r>
      <w:r w:rsidRPr="00A428C3">
        <w:t>statements from previous publications.</w:t>
      </w:r>
    </w:p>
    <w:p w:rsidR="00B95188" w:rsidRPr="00A428C3" w:rsidRDefault="00B95188" w:rsidP="00B95188">
      <w:pPr>
        <w:pStyle w:val="a0"/>
      </w:pPr>
      <w:r w:rsidRPr="00A428C3">
        <w:t>Keywords: Peer Review, Quotation Errors, Medical Journals, Medical Editors, Medical Journals, References</w:t>
      </w:r>
    </w:p>
    <w:p w:rsidR="00B95188" w:rsidRPr="00A428C3" w:rsidRDefault="00B95188" w:rsidP="00B95188">
      <w:pPr>
        <w:pStyle w:val="a0"/>
      </w:pPr>
      <w:r w:rsidRPr="00A428C3">
        <w:t>? Bar Sela, S., Levy, M., Westin, J.B., Laster, R.</w:t>
      </w:r>
      <w:r w:rsidR="00F81221">
        <w:t xml:space="preserve"> and </w:t>
      </w:r>
      <w:r w:rsidRPr="00A428C3">
        <w:t xml:space="preserve">Richter, E.D. (1992), Medical findings in nickel-cadmium battery workers. </w:t>
      </w:r>
      <w:smartTag w:uri="urn:schemas-microsoft-com:office:smarttags" w:element="place">
        <w:smartTag w:uri="urn:schemas-microsoft-com:office:smarttags" w:element="country-region">
          <w:r w:rsidRPr="00A428C3">
            <w:rPr>
              <w:i/>
            </w:rPr>
            <w:t>Israel</w:t>
          </w:r>
        </w:smartTag>
      </w:smartTag>
      <w:r w:rsidRPr="00A428C3">
        <w:rPr>
          <w:i/>
        </w:rPr>
        <w:t xml:space="preserve"> Journal of Medical Sciences</w:t>
      </w:r>
      <w:r w:rsidRPr="00A428C3">
        <w:t xml:space="preserve">, </w:t>
      </w:r>
      <w:r w:rsidRPr="00A428C3">
        <w:rPr>
          <w:b/>
        </w:rPr>
        <w:t>28</w:t>
      </w:r>
      <w:r w:rsidRPr="00A428C3">
        <w:t xml:space="preserve"> (8-9), 578-583.</w:t>
      </w:r>
    </w:p>
    <w:p w:rsidR="00B95188" w:rsidRPr="00A428C3" w:rsidRDefault="00B95188" w:rsidP="00B95188">
      <w:pPr>
        <w:pStyle w:val="a0"/>
      </w:pPr>
      <w:r w:rsidRPr="00A428C3">
        <w:t>Abstract: Thirty-eight workers from a factory producing nickel-cadmium</w:t>
      </w:r>
      <w:r w:rsidR="00F81221">
        <w:t xml:space="preserve"> and </w:t>
      </w:r>
      <w:r w:rsidRPr="00A428C3">
        <w:t>other types of batteries came to us for medical evaluation. They included 21 women</w:t>
      </w:r>
      <w:r w:rsidR="00F81221">
        <w:t xml:space="preserve"> and </w:t>
      </w:r>
      <w:r w:rsidRPr="00A428C3">
        <w:t>17 men (seniority 2-20 years, age range 31-63 years),</w:t>
      </w:r>
      <w:r w:rsidR="00F81221">
        <w:t xml:space="preserve"> and </w:t>
      </w:r>
      <w:r w:rsidRPr="00A428C3">
        <w:t>represented a self-selected subset of 700-900 ever-employed</w:t>
      </w:r>
      <w:r w:rsidR="00F81221">
        <w:t xml:space="preserve"> and </w:t>
      </w:r>
      <w:r w:rsidRPr="00A428C3">
        <w:t>200+ recently or currently employed workers in the factory. Thirty-four worked on the nickel-cadmium assembly line. Symptoms</w:t>
      </w:r>
      <w:r w:rsidR="00F81221">
        <w:t xml:space="preserve"> and </w:t>
      </w:r>
      <w:r w:rsidRPr="00A428C3">
        <w:t>signs included: headache in 34; weakness, fatigue</w:t>
      </w:r>
      <w:r w:rsidR="00F81221">
        <w:t xml:space="preserve"> and </w:t>
      </w:r>
      <w:r w:rsidRPr="00A428C3">
        <w:t>lassitude in 26; dizziness in 16; pruritus</w:t>
      </w:r>
      <w:r w:rsidR="00F81221">
        <w:t xml:space="preserve"> and </w:t>
      </w:r>
      <w:r w:rsidRPr="00A428C3">
        <w:t>skin eruptions in 37; gingivitis, teeth loss</w:t>
      </w:r>
      <w:r w:rsidR="00F81221">
        <w:t xml:space="preserve"> and </w:t>
      </w:r>
      <w:r w:rsidRPr="00A428C3">
        <w:t xml:space="preserve">caries in 34; nasal </w:t>
      </w:r>
      <w:r w:rsidRPr="00A428C3">
        <w:lastRenderedPageBreak/>
        <w:t>congestion, nosebleeds</w:t>
      </w:r>
      <w:r w:rsidR="00F81221">
        <w:t xml:space="preserve"> and </w:t>
      </w:r>
      <w:r w:rsidRPr="00A428C3">
        <w:t>anosmia in 30; cough, phlegm production, wheezing</w:t>
      </w:r>
      <w:r w:rsidR="00F81221">
        <w:t xml:space="preserve"> and </w:t>
      </w:r>
      <w:r w:rsidRPr="00A428C3">
        <w:t xml:space="preserve">shortness of breath in 26; </w:t>
      </w:r>
      <w:r w:rsidR="000352E7">
        <w:t>“</w:t>
      </w:r>
      <w:r w:rsidRPr="00A428C3">
        <w:t>asthma</w:t>
      </w:r>
      <w:r w:rsidR="000352E7">
        <w:t>”</w:t>
      </w:r>
      <w:r w:rsidRPr="00A428C3">
        <w:t xml:space="preserve"> in 14; bone pain in 18; urinary frequency, beta 2 microglobulinuria</w:t>
      </w:r>
      <w:r w:rsidR="00F81221">
        <w:t xml:space="preserve"> and </w:t>
      </w:r>
      <w:r w:rsidRPr="00A428C3">
        <w:t>kidney stones in 17;</w:t>
      </w:r>
      <w:r w:rsidR="00F81221">
        <w:t xml:space="preserve"> and </w:t>
      </w:r>
      <w:r w:rsidRPr="00A428C3">
        <w:t xml:space="preserve">sterility or multiple abortions (33) in 8 of 21 women. One additional patient had died from an </w:t>
      </w:r>
      <w:r w:rsidR="000352E7">
        <w:t>“</w:t>
      </w:r>
      <w:r w:rsidRPr="00A428C3">
        <w:t>amyotrophic lateral sclerosis-like syndrome</w:t>
      </w:r>
      <w:r w:rsidR="000352E7">
        <w:t>”</w:t>
      </w:r>
      <w:r w:rsidRPr="00A428C3">
        <w:t>, while CT scans in six workers revealed brain atrophy. One other worker had leukemia,</w:t>
      </w:r>
      <w:r w:rsidR="00F81221">
        <w:t xml:space="preserve"> and </w:t>
      </w:r>
      <w:r w:rsidRPr="00A428C3">
        <w:t>two had died from cancer (lung</w:t>
      </w:r>
      <w:r w:rsidR="00F81221">
        <w:t xml:space="preserve"> and </w:t>
      </w:r>
      <w:r w:rsidRPr="00A428C3">
        <w:t>pancreas). Those who had worked for more than 10 years had more symptoms</w:t>
      </w:r>
      <w:r w:rsidR="00F81221">
        <w:t xml:space="preserve"> and </w:t>
      </w:r>
      <w:r w:rsidRPr="00A428C3">
        <w:t>signs than shorter-term employees, especially neurological illness, bone pain</w:t>
      </w:r>
      <w:r w:rsidR="00F81221">
        <w:t xml:space="preserve"> and </w:t>
      </w:r>
      <w:r w:rsidRPr="00A428C3">
        <w:t>urinary tract problems, including beta 2 microglobulinuria. Past blood</w:t>
      </w:r>
      <w:r w:rsidR="00F81221">
        <w:t xml:space="preserve"> and </w:t>
      </w:r>
      <w:r w:rsidRPr="00A428C3">
        <w:t>urinary cadmium levels were in the range of 1.6-8.7 micrograms/dl</w:t>
      </w:r>
      <w:r w:rsidR="00F81221">
        <w:t xml:space="preserve"> and </w:t>
      </w:r>
      <w:r w:rsidRPr="00A428C3">
        <w:t>8-306 micrograms/l, respectively. Our findings indicated that: a) health risks for workers were not confined to the nickel-cadmium assembly line or to older workers, b) hazardous exposures still existed</w:t>
      </w:r>
      <w:r w:rsidR="00F81221">
        <w:t xml:space="preserve"> and </w:t>
      </w:r>
      <w:r w:rsidRPr="00A428C3">
        <w:t>illness appeared in new workers after a clean-up</w:t>
      </w:r>
      <w:r w:rsidR="00F81221">
        <w:t xml:space="preserve"> and </w:t>
      </w:r>
      <w:r w:rsidRPr="00A428C3">
        <w:t>intervention program,</w:t>
      </w:r>
      <w:r w:rsidR="00F81221">
        <w:t xml:space="preserve"> and </w:t>
      </w:r>
      <w:r w:rsidRPr="00A428C3">
        <w:t>c) exposures involved increased risks for renal disease</w:t>
      </w:r>
      <w:r w:rsidR="00F81221">
        <w:t xml:space="preserve"> and </w:t>
      </w:r>
      <w:r w:rsidRPr="00A428C3">
        <w:t>cancers. Finally, there is a need to control exposures</w:t>
      </w:r>
      <w:r w:rsidR="00F81221">
        <w:t xml:space="preserve"> and </w:t>
      </w:r>
      <w:r w:rsidRPr="00A428C3">
        <w:t>determine health risks in the full cohort of those ever employed, in the workers</w:t>
      </w:r>
      <w:r w:rsidR="000352E7">
        <w:t>’</w:t>
      </w:r>
      <w:r w:rsidRPr="00A428C3">
        <w:t xml:space="preserve"> children,</w:t>
      </w:r>
      <w:r w:rsidR="00F81221">
        <w:t xml:space="preserve"> and </w:t>
      </w:r>
      <w:r w:rsidRPr="00A428C3">
        <w:t>in the surrounding environment (air, ground, water) due to the dumping of waste from the plant.</w:t>
      </w:r>
    </w:p>
    <w:p w:rsidR="00B95188" w:rsidRPr="00A428C3" w:rsidRDefault="00B95188" w:rsidP="00B95188">
      <w:pPr>
        <w:pStyle w:val="a0"/>
      </w:pPr>
      <w:r w:rsidRPr="00A428C3">
        <w:t>? Steinberg, A. (1994), The terminally ill-Secular</w:t>
      </w:r>
      <w:r w:rsidR="00F81221">
        <w:t xml:space="preserve"> and </w:t>
      </w:r>
      <w:r w:rsidRPr="00A428C3">
        <w:t xml:space="preserve">Jewish ethical aspects. </w:t>
      </w:r>
      <w:smartTag w:uri="urn:schemas-microsoft-com:office:smarttags" w:element="place">
        <w:smartTag w:uri="urn:schemas-microsoft-com:office:smarttags" w:element="country-region">
          <w:r w:rsidRPr="00A428C3">
            <w:rPr>
              <w:i/>
            </w:rPr>
            <w:t>Israel</w:t>
          </w:r>
        </w:smartTag>
      </w:smartTag>
      <w:r w:rsidRPr="00A428C3">
        <w:rPr>
          <w:i/>
        </w:rPr>
        <w:t xml:space="preserve"> Journal of Medical Sciences</w:t>
      </w:r>
      <w:r w:rsidRPr="00A428C3">
        <w:t xml:space="preserve">, </w:t>
      </w:r>
      <w:r w:rsidRPr="00A428C3">
        <w:rPr>
          <w:b/>
        </w:rPr>
        <w:t>30</w:t>
      </w:r>
      <w:r w:rsidRPr="00A428C3">
        <w:t xml:space="preserve"> (1), 130-135.</w:t>
      </w:r>
    </w:p>
    <w:p w:rsidR="00B95188" w:rsidRPr="00A428C3" w:rsidRDefault="00B95188" w:rsidP="00B95188">
      <w:pPr>
        <w:pStyle w:val="a0"/>
      </w:pPr>
      <w:r w:rsidRPr="00A428C3">
        <w:t>Abstract: Many ethical, religious, social</w:t>
      </w:r>
      <w:r w:rsidR="00F81221">
        <w:t xml:space="preserve"> and </w:t>
      </w:r>
      <w:r w:rsidRPr="00A428C3">
        <w:t>legal dilemmas are involved in the care of dying patients. Major changes</w:t>
      </w:r>
      <w:r w:rsidR="00F81221">
        <w:t xml:space="preserve"> and </w:t>
      </w:r>
      <w:r w:rsidRPr="00A428C3">
        <w:t>developments in recent years have greatly intensified these moral problems. In this article a comprehensive analysis of the relevant principles</w:t>
      </w:r>
      <w:r w:rsidR="00F81221">
        <w:t xml:space="preserve"> and </w:t>
      </w:r>
      <w:r w:rsidRPr="00A428C3">
        <w:t>practical approaches is offered in order to enhance the ability of health care providers to attain morally sound decisions concerning the dying patient. The relevant ethical principles include the following: value of life, quality of life, nonmaleficence, beneficence, autonomy, paternalism, justice,</w:t>
      </w:r>
      <w:r w:rsidR="00F81221">
        <w:t xml:space="preserve"> and </w:t>
      </w:r>
      <w:r w:rsidRPr="00A428C3">
        <w:t>the physician</w:t>
      </w:r>
      <w:r w:rsidR="000352E7">
        <w:t>’</w:t>
      </w:r>
      <w:r w:rsidRPr="00A428C3">
        <w:t>s integrity. In practical terms, there are three major categories: the patient, the treatment</w:t>
      </w:r>
      <w:r w:rsidR="00F81221">
        <w:t xml:space="preserve"> and </w:t>
      </w:r>
      <w:r w:rsidRPr="00A428C3">
        <w:t>the decision maker. A comparative analysis between secular</w:t>
      </w:r>
      <w:r w:rsidR="00F81221">
        <w:t xml:space="preserve"> and </w:t>
      </w:r>
      <w:r w:rsidRPr="00A428C3">
        <w:t>Jewish attitudes towards the terminally ill patient has revealed significant differences both in the fundamental underlying principles as well as in the practical solutions to the diverse</w:t>
      </w:r>
      <w:r w:rsidR="00F81221">
        <w:t xml:space="preserve"> and </w:t>
      </w:r>
      <w:r w:rsidRPr="00A428C3">
        <w:t>difficult ethical problems.</w:t>
      </w:r>
    </w:p>
    <w:p w:rsidR="00B95188" w:rsidRPr="00A428C3" w:rsidRDefault="00B95188" w:rsidP="00B95188">
      <w:pPr>
        <w:pStyle w:val="a0"/>
      </w:pPr>
      <w:r w:rsidRPr="00A428C3">
        <w:t xml:space="preserve">Keywords: Ethics, Jewish Ethics, Terminally </w:t>
      </w:r>
      <w:smartTag w:uri="urn:schemas-microsoft-com:office:smarttags" w:element="place">
        <w:smartTag w:uri="urn:schemas-microsoft-com:office:smarttags" w:element="State">
          <w:r w:rsidRPr="00A428C3">
            <w:t>Ill</w:t>
          </w:r>
        </w:smartTag>
      </w:smartTag>
      <w:r w:rsidRPr="00A428C3">
        <w:t>, Euthanasia</w:t>
      </w:r>
    </w:p>
    <w:bookmarkEnd w:id="1688"/>
    <w:p w:rsidR="007D4DAA" w:rsidRPr="00A428C3" w:rsidRDefault="007D4DAA" w:rsidP="007D4DAA">
      <w:pPr>
        <w:pStyle w:val="1"/>
      </w:pPr>
      <w:r w:rsidRPr="00A428C3">
        <w:br w:type="page"/>
      </w:r>
      <w:bookmarkStart w:id="1690" w:name="_Toc317161436"/>
      <w:r w:rsidRPr="00A428C3">
        <w:lastRenderedPageBreak/>
        <w:t xml:space="preserve">Title: </w:t>
      </w:r>
      <w:r w:rsidRPr="007D4DAA">
        <w:t>ISRN Chemical Engineering</w:t>
      </w:r>
      <w:bookmarkEnd w:id="1690"/>
    </w:p>
    <w:p w:rsidR="007D4DAA" w:rsidRPr="007D4DAA" w:rsidRDefault="007D4DAA" w:rsidP="007D4DAA">
      <w:pPr>
        <w:pStyle w:val="12"/>
      </w:pPr>
      <w:r w:rsidRPr="007D4DAA">
        <w:t>Full Journal Title: ISRN Chemical Engineering</w:t>
      </w:r>
    </w:p>
    <w:p w:rsidR="007D4DAA" w:rsidRPr="00A428C3" w:rsidRDefault="007D4DAA" w:rsidP="007D4DAA">
      <w:pPr>
        <w:pStyle w:val="12"/>
      </w:pPr>
      <w:r w:rsidRPr="00A428C3">
        <w:t xml:space="preserve">ISO Abbreviated Title: </w:t>
      </w:r>
    </w:p>
    <w:p w:rsidR="007D4DAA" w:rsidRPr="00A428C3" w:rsidRDefault="007D4DAA" w:rsidP="007D4DAA">
      <w:pPr>
        <w:pStyle w:val="12"/>
      </w:pPr>
      <w:r w:rsidRPr="00A428C3">
        <w:t xml:space="preserve">JCR Abbreviated Title: </w:t>
      </w:r>
    </w:p>
    <w:p w:rsidR="007D4DAA" w:rsidRPr="00A428C3" w:rsidRDefault="007D4DAA" w:rsidP="007D4DAA">
      <w:pPr>
        <w:pStyle w:val="12"/>
      </w:pPr>
      <w:r w:rsidRPr="00A428C3">
        <w:t xml:space="preserve">ISSN: </w:t>
      </w:r>
    </w:p>
    <w:p w:rsidR="007D4DAA" w:rsidRPr="00A428C3" w:rsidRDefault="007D4DAA" w:rsidP="007D4DAA">
      <w:pPr>
        <w:pStyle w:val="12"/>
      </w:pPr>
      <w:r w:rsidRPr="00A428C3">
        <w:t xml:space="preserve">Issues/Year: </w:t>
      </w:r>
    </w:p>
    <w:p w:rsidR="007D4DAA" w:rsidRPr="00A428C3" w:rsidRDefault="007D4DAA" w:rsidP="007D4DAA">
      <w:pPr>
        <w:pStyle w:val="12"/>
      </w:pPr>
      <w:r w:rsidRPr="00A428C3">
        <w:t xml:space="preserve">Journal Country/Territory: </w:t>
      </w:r>
    </w:p>
    <w:p w:rsidR="007D4DAA" w:rsidRPr="00A428C3" w:rsidRDefault="007D4DAA" w:rsidP="007D4DAA">
      <w:pPr>
        <w:pStyle w:val="12"/>
      </w:pPr>
      <w:r w:rsidRPr="00A428C3">
        <w:t xml:space="preserve">Language: </w:t>
      </w:r>
    </w:p>
    <w:p w:rsidR="007D4DAA" w:rsidRPr="00A428C3" w:rsidRDefault="007D4DAA" w:rsidP="007D4DAA">
      <w:pPr>
        <w:pStyle w:val="12"/>
      </w:pPr>
      <w:r w:rsidRPr="00A428C3">
        <w:t xml:space="preserve">Publisher: </w:t>
      </w:r>
    </w:p>
    <w:p w:rsidR="007D4DAA" w:rsidRPr="00A428C3" w:rsidRDefault="007D4DAA" w:rsidP="007D4DAA">
      <w:pPr>
        <w:pStyle w:val="12"/>
      </w:pPr>
      <w:r w:rsidRPr="00A428C3">
        <w:t xml:space="preserve">Publisher Address: </w:t>
      </w:r>
    </w:p>
    <w:p w:rsidR="007D4DAA" w:rsidRPr="00A428C3" w:rsidRDefault="007D4DAA" w:rsidP="007D4DAA">
      <w:pPr>
        <w:pStyle w:val="12"/>
      </w:pPr>
      <w:r w:rsidRPr="00A428C3">
        <w:t>Subject Categories:</w:t>
      </w:r>
    </w:p>
    <w:p w:rsidR="007D4DAA" w:rsidRPr="00A428C3" w:rsidRDefault="007D4DAA" w:rsidP="007D4DAA">
      <w:pPr>
        <w:pStyle w:val="12"/>
      </w:pPr>
      <w:r w:rsidRPr="00A428C3">
        <w:t>: Impact Factor</w:t>
      </w:r>
    </w:p>
    <w:p w:rsidR="007D4DAA" w:rsidRPr="00A428C3" w:rsidRDefault="007D4DAA" w:rsidP="007D4DAA">
      <w:pPr>
        <w:pStyle w:val="a0"/>
      </w:pPr>
    </w:p>
    <w:p w:rsidR="00B95188" w:rsidRPr="00A428C3" w:rsidRDefault="00B95188" w:rsidP="00B95188">
      <w:pPr>
        <w:pStyle w:val="1"/>
      </w:pPr>
      <w:r w:rsidRPr="00A428C3">
        <w:br w:type="page"/>
      </w:r>
      <w:bookmarkStart w:id="1691" w:name="_Toc186647997"/>
      <w:bookmarkStart w:id="1692" w:name="_Toc317161437"/>
      <w:r w:rsidRPr="00A428C3">
        <w:lastRenderedPageBreak/>
        <w:t>Title: Issues &amp; Studies</w:t>
      </w:r>
      <w:bookmarkEnd w:id="1691"/>
      <w:bookmarkEnd w:id="1692"/>
    </w:p>
    <w:p w:rsidR="00B95188" w:rsidRPr="00A428C3" w:rsidRDefault="00B95188" w:rsidP="00B72EF9">
      <w:pPr>
        <w:pStyle w:val="12"/>
      </w:pPr>
      <w:r w:rsidRPr="00A428C3">
        <w:t>Full Journal Title:</w:t>
      </w:r>
      <w:r w:rsidR="00E34A8B" w:rsidRPr="00E34A8B">
        <w:t xml:space="preserve"> </w:t>
      </w:r>
      <w:hyperlink r:id="rId2167" w:history="1">
        <w:r w:rsidR="00E34A8B" w:rsidRPr="00E34A8B">
          <w:rPr>
            <w:rStyle w:val="a5"/>
          </w:rPr>
          <w:t>Issues &amp; Studies</w:t>
        </w:r>
      </w:hyperlink>
      <w:r w:rsidR="00E34A8B">
        <w:rPr>
          <w:rFonts w:hint="eastAsia"/>
        </w:rPr>
        <w:t>;</w:t>
      </w:r>
      <w:r w:rsidRPr="00A428C3">
        <w:t xml:space="preserve"> </w:t>
      </w:r>
      <w:hyperlink r:id="rId2168" w:history="1">
        <w:r w:rsidRPr="00A428C3">
          <w:rPr>
            <w:rStyle w:val="a5"/>
          </w:rPr>
          <w:t>Issues &amp; Studies</w:t>
        </w:r>
      </w:hyperlink>
    </w:p>
    <w:p w:rsidR="00B95188" w:rsidRPr="00A428C3" w:rsidRDefault="00B95188" w:rsidP="00B72EF9">
      <w:pPr>
        <w:pStyle w:val="12"/>
      </w:pPr>
      <w:r w:rsidRPr="00A428C3">
        <w:t>ISO Abbreviated Title: Issues Stud.</w:t>
      </w:r>
    </w:p>
    <w:p w:rsidR="00B95188" w:rsidRPr="00A428C3" w:rsidRDefault="00B95188" w:rsidP="00B72EF9">
      <w:pPr>
        <w:pStyle w:val="12"/>
      </w:pPr>
      <w:r w:rsidRPr="00A428C3">
        <w:t>JCR Abbreviated Title: Issues Stud</w:t>
      </w:r>
    </w:p>
    <w:p w:rsidR="00B95188" w:rsidRPr="00A428C3" w:rsidRDefault="00B95188" w:rsidP="00B72EF9">
      <w:pPr>
        <w:pStyle w:val="12"/>
      </w:pPr>
      <w:r w:rsidRPr="00A428C3">
        <w:t>ISSN: 1013-2511</w:t>
      </w:r>
    </w:p>
    <w:p w:rsidR="00B95188" w:rsidRPr="00A428C3" w:rsidRDefault="00B95188" w:rsidP="00B72EF9">
      <w:pPr>
        <w:pStyle w:val="12"/>
      </w:pPr>
      <w:r w:rsidRPr="00A428C3">
        <w:t>Issues/Year: 12</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Taiwan</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Inst Internat Relations</w:t>
      </w:r>
    </w:p>
    <w:p w:rsidR="00B95188" w:rsidRPr="00A428C3" w:rsidRDefault="00B95188" w:rsidP="00B72EF9">
      <w:pPr>
        <w:pStyle w:val="12"/>
      </w:pPr>
      <w:r w:rsidRPr="00A428C3">
        <w:t xml:space="preserve">Publisher Address: 64 Wan </w:t>
      </w:r>
      <w:smartTag w:uri="urn:schemas-microsoft-com:office:smarttags" w:element="Street">
        <w:smartTag w:uri="urn:schemas-microsoft-com:office:smarttags" w:element="address">
          <w:r w:rsidRPr="00A428C3">
            <w:t>Shou Road</w:t>
          </w:r>
        </w:smartTag>
      </w:smartTag>
      <w:r w:rsidRPr="00A428C3">
        <w:t xml:space="preserve">, Mucha, </w:t>
      </w:r>
      <w:smartTag w:uri="urn:schemas-microsoft-com:office:smarttags" w:element="place">
        <w:smartTag w:uri="urn:schemas-microsoft-com:office:smarttags" w:element="City">
          <w:r w:rsidRPr="00A428C3">
            <w:t>Taipei</w:t>
          </w:r>
        </w:smartTag>
        <w:r w:rsidRPr="00A428C3">
          <w:t xml:space="preserve">, </w:t>
        </w:r>
        <w:smartTag w:uri="urn:schemas-microsoft-com:office:smarttags" w:element="country-region">
          <w:r w:rsidRPr="00A428C3">
            <w:t>Taiwan</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International Relations: Impact Factor 0.149, 43/50 (1997); Impact Factor 0.092, 49/52 (1998); Impact Factor 0.194, 40/52 (1999); Impact Factor 0.218, 41/52 (2000); Impact Factor 0.177, 37/52 (2001); Impact Factor 0.286, 38/53 (2002) SSCI</w:t>
      </w:r>
    </w:p>
    <w:p w:rsidR="00B95188" w:rsidRPr="00A428C3" w:rsidRDefault="00B95188" w:rsidP="00B72EF9">
      <w:pPr>
        <w:pStyle w:val="12"/>
      </w:pPr>
      <w:r w:rsidRPr="00A428C3">
        <w:t>Political Science: Impact Factor 0.149, 63/73 (1997); Impact Factor 0.092, 66/73 (1998); Impact Factor 0.194, 57/76 (1999); Impact Factor 0.218, 59/77 (2000); Impact Factor 0.177, 63/78 (2001); Impact Factor 0.286, 53/80 (2002) SSCI</w:t>
      </w:r>
    </w:p>
    <w:p w:rsidR="00B95188" w:rsidRPr="00A428C3" w:rsidRDefault="00B95188" w:rsidP="00B95188">
      <w:pPr>
        <w:pStyle w:val="a0"/>
      </w:pPr>
      <w:r w:rsidRPr="00A428C3">
        <w:t>? Melin, G., Danell, R.</w:t>
      </w:r>
      <w:r w:rsidR="00F81221">
        <w:t xml:space="preserve"> and </w:t>
      </w:r>
      <w:r w:rsidRPr="00A428C3">
        <w:t xml:space="preserve">Persson, O. (2000), A bibliometric mapping of the scientific landscape on </w:t>
      </w:r>
      <w:smartTag w:uri="urn:schemas-microsoft-com:office:smarttags" w:element="place">
        <w:smartTag w:uri="urn:schemas-microsoft-com:office:smarttags" w:element="country-region">
          <w:r w:rsidRPr="00A428C3">
            <w:t>Taiwan</w:t>
          </w:r>
        </w:smartTag>
      </w:smartTag>
      <w:r w:rsidRPr="00A428C3">
        <w:t xml:space="preserve">. </w:t>
      </w:r>
      <w:r w:rsidRPr="00A428C3">
        <w:rPr>
          <w:i/>
          <w:iCs/>
        </w:rPr>
        <w:t>Issues &amp; Studies</w:t>
      </w:r>
      <w:r w:rsidRPr="00A428C3">
        <w:t xml:space="preserve">, </w:t>
      </w:r>
      <w:r w:rsidRPr="00A428C3">
        <w:rPr>
          <w:b/>
        </w:rPr>
        <w:t>36</w:t>
      </w:r>
      <w:r w:rsidRPr="00A428C3">
        <w:t xml:space="preserve"> (5), 61-82.</w:t>
      </w:r>
    </w:p>
    <w:p w:rsidR="00E34A8B" w:rsidRPr="00217FB1" w:rsidRDefault="00E34A8B" w:rsidP="00E34A8B">
      <w:pPr>
        <w:pStyle w:val="a0"/>
      </w:pPr>
      <w:r>
        <w:rPr>
          <w:rFonts w:hint="eastAsia"/>
        </w:rPr>
        <w:t>Full Text:</w:t>
      </w:r>
      <w:r w:rsidRPr="00C3115C">
        <w:rPr>
          <w:iCs/>
        </w:rPr>
        <w:t xml:space="preserve"> </w:t>
      </w:r>
      <w:hyperlink r:id="rId2169" w:history="1">
        <w:r w:rsidRPr="00C3115C">
          <w:rPr>
            <w:rStyle w:val="a5"/>
            <w:iCs/>
          </w:rPr>
          <w:t>2000\Iss Stu36, 61.pdf</w:t>
        </w:r>
      </w:hyperlink>
    </w:p>
    <w:p w:rsidR="00B95188" w:rsidRPr="00A428C3" w:rsidRDefault="00B95188" w:rsidP="00B95188">
      <w:pPr>
        <w:pStyle w:val="a0"/>
      </w:pPr>
      <w:r w:rsidRPr="00A428C3">
        <w:t xml:space="preserve">Abstract: This study makes an attempt to explore the scientific landscape on </w:t>
      </w:r>
      <w:smartTag w:uri="urn:schemas-microsoft-com:office:smarttags" w:element="place">
        <w:smartTag w:uri="urn:schemas-microsoft-com:office:smarttags" w:element="country-region">
          <w:r w:rsidRPr="00A428C3">
            <w:t>Taiwan</w:t>
          </w:r>
        </w:smartTag>
      </w:smartTag>
      <w:r w:rsidRPr="00A428C3">
        <w:t>. Through bibliometric citation analysis</w:t>
      </w:r>
      <w:r w:rsidR="00F81221">
        <w:t xml:space="preserve"> and </w:t>
      </w:r>
      <w:r w:rsidRPr="00A428C3">
        <w:t>mapping techniques the main actors at the university level are identified</w:t>
      </w:r>
      <w:r w:rsidR="00F81221">
        <w:t xml:space="preserve"> and </w:t>
      </w:r>
      <w:r w:rsidRPr="00A428C3">
        <w:t>the structure of the national research</w:t>
      </w:r>
      <w:r w:rsidR="00F81221">
        <w:t xml:space="preserve"> and </w:t>
      </w:r>
      <w:r w:rsidRPr="00A428C3">
        <w:t>development (R&amp;D) system is described with respect to article production</w:t>
      </w:r>
      <w:r w:rsidR="00F81221">
        <w:t xml:space="preserve"> and </w:t>
      </w:r>
      <w:r w:rsidRPr="00A428C3">
        <w:t xml:space="preserve">publication patterns. Special attention is paid to patterns of research collaboration, nationally as well as internationally. This paper concludes that </w:t>
      </w:r>
      <w:smartTag w:uri="urn:schemas-microsoft-com:office:smarttags" w:element="place">
        <w:smartTag w:uri="urn:schemas-microsoft-com:office:smarttags" w:element="country-region">
          <w:r w:rsidRPr="00A428C3">
            <w:t>Taiwan</w:t>
          </w:r>
        </w:smartTag>
      </w:smartTag>
      <w:r w:rsidRPr="00A428C3">
        <w:t xml:space="preserve"> is well integrated in the international scientific macro-networks. However the findings do not give support to the idea that Asian science</w:t>
      </w:r>
      <w:r w:rsidR="00F81221">
        <w:t xml:space="preserve"> and </w:t>
      </w:r>
      <w:r w:rsidRPr="00A428C3">
        <w:t xml:space="preserve">scientific thinking would differ from Western science; on the contrary, </w:t>
      </w:r>
      <w:smartTag w:uri="urn:schemas-microsoft-com:office:smarttags" w:element="place">
        <w:smartTag w:uri="urn:schemas-microsoft-com:office:smarttags" w:element="country-region">
          <w:r w:rsidRPr="00A428C3">
            <w:t>Taiwan</w:t>
          </w:r>
        </w:smartTag>
      </w:smartTag>
      <w:r w:rsidRPr="00A428C3">
        <w:t xml:space="preserve"> has developed quickly into a science nation of significance by adapting Western scientific traditions</w:t>
      </w:r>
      <w:r w:rsidR="00F81221">
        <w:t xml:space="preserve"> and </w:t>
      </w:r>
      <w:r w:rsidRPr="00A428C3">
        <w:t>becoming integrated in international scientific networks.</w:t>
      </w:r>
    </w:p>
    <w:p w:rsidR="00B95188" w:rsidRPr="00A428C3" w:rsidRDefault="00B95188" w:rsidP="00B95188">
      <w:pPr>
        <w:pStyle w:val="a0"/>
      </w:pPr>
      <w:r w:rsidRPr="00A428C3">
        <w:t xml:space="preserve">Keywords: Bibliometrics, Co-Authorship, Research Collaboration, </w:t>
      </w:r>
      <w:smartTag w:uri="urn:schemas-microsoft-com:office:smarttags" w:element="country-region">
        <w:r w:rsidRPr="00A428C3">
          <w:t>Taiwan</w:t>
        </w:r>
      </w:smartTag>
      <w:r w:rsidRPr="00A428C3">
        <w:t xml:space="preserve"> R&amp;D, Scientific Networks, Research Collaboration, Science, Universities, </w:t>
      </w:r>
      <w:smartTag w:uri="urn:schemas-microsoft-com:office:smarttags" w:element="place">
        <w:r w:rsidRPr="00A428C3">
          <w:t>Asia</w:t>
        </w:r>
      </w:smartTag>
    </w:p>
    <w:p w:rsidR="00B95188" w:rsidRPr="00A428C3" w:rsidRDefault="00B95188" w:rsidP="00B95188">
      <w:pPr>
        <w:pStyle w:val="1"/>
      </w:pPr>
      <w:r w:rsidRPr="00A428C3">
        <w:br w:type="page"/>
      </w:r>
      <w:bookmarkStart w:id="1693" w:name="_Toc186647998"/>
      <w:bookmarkStart w:id="1694" w:name="_Toc317161438"/>
      <w:r w:rsidRPr="00A428C3">
        <w:lastRenderedPageBreak/>
        <w:t xml:space="preserve">Title: </w:t>
      </w:r>
      <w:r w:rsidRPr="00A428C3">
        <w:rPr>
          <w:iCs/>
        </w:rPr>
        <w:t>Italian Journal of Animal Science</w:t>
      </w:r>
      <w:bookmarkEnd w:id="1693"/>
      <w:bookmarkEnd w:id="1694"/>
    </w:p>
    <w:p w:rsidR="00B95188" w:rsidRPr="00A428C3" w:rsidRDefault="00B95188" w:rsidP="00B72EF9">
      <w:pPr>
        <w:pStyle w:val="12"/>
      </w:pPr>
      <w:r w:rsidRPr="00A428C3">
        <w:t>Full Journal Title: Italian Journal of Animal Science</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FB5623" w:rsidP="00B72EF9">
      <w:pPr>
        <w:pStyle w:val="12"/>
      </w:pPr>
      <w:r>
        <w:t>Journal Country/Territory:</w:t>
      </w:r>
      <w:r w:rsidR="00B95188" w:rsidRPr="00A428C3">
        <w:t xml:space="preserve">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Pulina, G.</w:t>
      </w:r>
      <w:r w:rsidR="00F81221">
        <w:t xml:space="preserve"> and </w:t>
      </w:r>
      <w:r w:rsidRPr="00A428C3">
        <w:t xml:space="preserve">Francesconi, A.H.D. (2007), Some bibliometric indexes for members of the Scientific Association of Animal Production (ASPA). </w:t>
      </w:r>
      <w:r w:rsidRPr="00A428C3">
        <w:rPr>
          <w:i/>
          <w:iCs/>
        </w:rPr>
        <w:t>Italian Journal of Animal Science</w:t>
      </w:r>
      <w:r w:rsidRPr="00A428C3">
        <w:t xml:space="preserve">, </w:t>
      </w:r>
      <w:r w:rsidRPr="00A428C3">
        <w:rPr>
          <w:b/>
        </w:rPr>
        <w:t>6</w:t>
      </w:r>
      <w:r w:rsidRPr="00A428C3">
        <w:t xml:space="preserve"> (1), 83-103.</w:t>
      </w:r>
    </w:p>
    <w:p w:rsidR="00B95188" w:rsidRPr="00A428C3" w:rsidRDefault="00B95188" w:rsidP="00B95188">
      <w:pPr>
        <w:pStyle w:val="a0"/>
      </w:pPr>
      <w:r w:rsidRPr="00A428C3">
        <w:t>Abstract: This study calculated several bibliometric indexes to analyze the scientific output of 363 members of the Scientific Association of Animal Production (ASPA) in Italy, based on their publications listed by ISI-Thompson, Web of Science database (search period from 1989 until 2006). Five main research areas were considered: AGR/17 (Animal genetics</w:t>
      </w:r>
      <w:r w:rsidR="00F81221">
        <w:t xml:space="preserve"> and </w:t>
      </w:r>
      <w:r w:rsidRPr="00A428C3">
        <w:t>breeding), AGR/18 (Animal nutrition</w:t>
      </w:r>
      <w:r w:rsidR="00F81221">
        <w:t xml:space="preserve"> and </w:t>
      </w:r>
      <w:r w:rsidRPr="00A428C3">
        <w:t>feeding), AGR/19 (Animal husbandry), AGR/20 (Poultry, rabbits</w:t>
      </w:r>
      <w:r w:rsidR="00F81221">
        <w:t xml:space="preserve"> and </w:t>
      </w:r>
      <w:r w:rsidRPr="00A428C3">
        <w:t>fish production)</w:t>
      </w:r>
      <w:r w:rsidR="00F81221">
        <w:t xml:space="preserve"> and </w:t>
      </w:r>
      <w:r w:rsidRPr="00A428C3">
        <w:t>External researcher (Ere). Position groups were: FP (Full Professor), AP (Associate Professor), Re (Researcher), EReUni (scientists working temporarily at the University or professors of an area different from AGR/17-20),</w:t>
      </w:r>
      <w:r w:rsidR="00F81221">
        <w:t xml:space="preserve"> and </w:t>
      </w:r>
      <w:r w:rsidRPr="00A428C3">
        <w:t xml:space="preserve">EReInst (scientists working at other institutions). Each institution was classified according to three geographical areas of </w:t>
      </w:r>
      <w:smartTag w:uri="urn:schemas-microsoft-com:office:smarttags" w:element="place">
        <w:smartTag w:uri="urn:schemas-microsoft-com:office:smarttags" w:element="country-region">
          <w:r w:rsidRPr="00A428C3">
            <w:t>Italy</w:t>
          </w:r>
        </w:smartTag>
      </w:smartTag>
      <w:r w:rsidRPr="00A428C3">
        <w:t>: North, Centre</w:t>
      </w:r>
      <w:r w:rsidR="00F81221">
        <w:t xml:space="preserve"> and </w:t>
      </w:r>
      <w:r w:rsidRPr="00A428C3">
        <w:t>South. Main calculated bibliometric indexes were: N-i = total number of papers published by member i over y(i) years; y(i) = number of years publishing of member i; C, = total number of citations of member i; IFPpersonal. = C-i/N-i, Personal Impact factor of member i; Total IFjournal. = Sum of impact factor reported by the ISI-Thompson database of the journal in which a paper of member i was published (Journal Citation Reports Science Edition, 2004); Mean IFjournal. Mean impact factor of all papers published in journals having a recognized IFJournal. by the ISI-Thompson database for member i; h = number of papers with at least h citations; m = h/y, i.e. average increase of h over the y(i) years publishing;</w:t>
      </w:r>
      <w:r w:rsidR="00F81221">
        <w:t xml:space="preserve"> and </w:t>
      </w:r>
      <w:r w:rsidRPr="00A428C3">
        <w:t>a = C-i/h(2). Among the studied bibliometric indexes, N-i, C-i, Total IFjournal</w:t>
      </w:r>
      <w:r w:rsidR="00F81221">
        <w:t xml:space="preserve"> and </w:t>
      </w:r>
      <w:r w:rsidRPr="00A428C3">
        <w:t>h are reliable, while IFpersonal,</w:t>
      </w:r>
      <w:r w:rsidR="00F81221">
        <w:t xml:space="preserve"> and </w:t>
      </w:r>
      <w:r w:rsidRPr="00A428C3">
        <w:t xml:space="preserve">Mean IFjournal are not, to evaluate the scientific career of Animal Scientists in </w:t>
      </w:r>
      <w:smartTag w:uri="urn:schemas-microsoft-com:office:smarttags" w:element="place">
        <w:smartTag w:uri="urn:schemas-microsoft-com:office:smarttags" w:element="country-region">
          <w:r w:rsidRPr="00A428C3">
            <w:lastRenderedPageBreak/>
            <w:t>Italy</w:t>
          </w:r>
        </w:smartTag>
      </w:smartTag>
      <w:r w:rsidRPr="00A428C3">
        <w:t>. FP</w:t>
      </w:r>
      <w:r w:rsidR="00F81221">
        <w:t xml:space="preserve"> and </w:t>
      </w:r>
      <w:r w:rsidRPr="00A428C3">
        <w:t>members of AGP/17 tend to show the highest values of bibliometric indexes. Most ASPA members work in the North of Italy, which shows the highest median</w:t>
      </w:r>
      <w:r w:rsidR="00F81221">
        <w:t xml:space="preserve"> and </w:t>
      </w:r>
      <w:r w:rsidRPr="00A428C3">
        <w:t xml:space="preserve">highest percentage of scientists with maximum values for most bibliometric parameters. The scientific system of Animal Science in </w:t>
      </w:r>
      <w:smartTag w:uri="urn:schemas-microsoft-com:office:smarttags" w:element="place">
        <w:smartTag w:uri="urn:schemas-microsoft-com:office:smarttags" w:element="country-region">
          <w:r w:rsidRPr="00A428C3">
            <w:t>Italy</w:t>
          </w:r>
        </w:smartTag>
      </w:smartTag>
      <w:r w:rsidRPr="00A428C3">
        <w:t xml:space="preserve"> has a fairly good degree of internationalization, but greater efforts should be made to increase the productivity</w:t>
      </w:r>
      <w:r w:rsidR="00F81221">
        <w:t xml:space="preserve"> and </w:t>
      </w:r>
      <w:r w:rsidRPr="00A428C3">
        <w:t>impact of Animal Scientists.</w:t>
      </w:r>
    </w:p>
    <w:p w:rsidR="00B95188" w:rsidRPr="00A428C3" w:rsidRDefault="00B95188" w:rsidP="00B95188">
      <w:pPr>
        <w:pStyle w:val="a0"/>
      </w:pPr>
      <w:r w:rsidRPr="00A428C3">
        <w:t>Keywords: ASPA, Bibliometric, Bibliometry, Breeding, Citations, Evaluation, Feeding, Fish, Genetics, Groups, Impact, Impact Factor, Institutions, Italy, Journal, Journal Citation Reports, Journals, Made, Ni, Nutrition, Output, Paper, Parameters, Production, Productivity, Publications, Publishing, Rabbits, Research, Scientific Output, Scientometry, Web of Science</w:t>
      </w:r>
    </w:p>
    <w:p w:rsidR="00B95188" w:rsidRPr="00A428C3" w:rsidRDefault="00B95188" w:rsidP="00B95188">
      <w:pPr>
        <w:pStyle w:val="1"/>
      </w:pPr>
      <w:r w:rsidRPr="00A428C3">
        <w:br w:type="page"/>
      </w:r>
      <w:bookmarkStart w:id="1695" w:name="_Toc186647999"/>
      <w:bookmarkStart w:id="1696" w:name="_Toc317161439"/>
      <w:r w:rsidRPr="00A428C3">
        <w:lastRenderedPageBreak/>
        <w:t>Title: Italian Journal of Neurological Sciences</w:t>
      </w:r>
      <w:bookmarkEnd w:id="1695"/>
      <w:bookmarkEnd w:id="1696"/>
    </w:p>
    <w:p w:rsidR="003A16CC" w:rsidRPr="00217FB1" w:rsidRDefault="003A16CC" w:rsidP="00B72EF9">
      <w:pPr>
        <w:pStyle w:val="12"/>
      </w:pPr>
      <w:r w:rsidRPr="00217FB1">
        <w:t xml:space="preserve">Full Journal Title: </w:t>
      </w:r>
      <w:hyperlink r:id="rId2170" w:history="1">
        <w:r w:rsidRPr="00D94C8C">
          <w:rPr>
            <w:rStyle w:val="a5"/>
          </w:rPr>
          <w:t>Italian Journal of Neurological Sciences</w:t>
        </w:r>
      </w:hyperlink>
    </w:p>
    <w:p w:rsidR="00B95188" w:rsidRPr="00A428C3" w:rsidRDefault="00B95188" w:rsidP="00B72EF9">
      <w:pPr>
        <w:pStyle w:val="12"/>
      </w:pPr>
      <w:r w:rsidRPr="00A428C3">
        <w:t>ISO Abbreviated Title: Ital. J. Neurol. Sci.</w:t>
      </w:r>
    </w:p>
    <w:p w:rsidR="00B95188" w:rsidRPr="00A428C3" w:rsidRDefault="00B95188" w:rsidP="00B72EF9">
      <w:pPr>
        <w:pStyle w:val="12"/>
      </w:pPr>
      <w:r w:rsidRPr="00A428C3">
        <w:t>JCR Abbreviated Title: Ital J Neurol Sci</w:t>
      </w:r>
    </w:p>
    <w:p w:rsidR="00B95188" w:rsidRPr="00A428C3" w:rsidRDefault="00B95188" w:rsidP="00B72EF9">
      <w:pPr>
        <w:pStyle w:val="12"/>
      </w:pPr>
      <w:r w:rsidRPr="00A428C3">
        <w:t>ISSN: 0392-0461</w:t>
      </w:r>
    </w:p>
    <w:p w:rsidR="00B95188" w:rsidRPr="00A428C3" w:rsidRDefault="00B95188" w:rsidP="00B72EF9">
      <w:pPr>
        <w:pStyle w:val="12"/>
      </w:pPr>
      <w:r w:rsidRPr="00A428C3">
        <w:t>Issues/Year: 6</w:t>
      </w:r>
    </w:p>
    <w:p w:rsidR="00B95188" w:rsidRPr="00A428C3" w:rsidRDefault="00B95188" w:rsidP="00B72EF9">
      <w:pPr>
        <w:pStyle w:val="12"/>
      </w:pPr>
      <w:r w:rsidRPr="00A428C3">
        <w:t xml:space="preserve">Journal Country/Territory: </w:t>
      </w:r>
      <w:smartTag w:uri="urn:schemas-microsoft-com:office:smarttags" w:element="place">
        <w:smartTag w:uri="urn:schemas-microsoft-com:office:smarttags" w:element="country-region">
          <w:r w:rsidRPr="00A428C3">
            <w:t>Italy</w:t>
          </w:r>
        </w:smartTag>
      </w:smartTag>
    </w:p>
    <w:p w:rsidR="00B95188" w:rsidRPr="00A428C3" w:rsidRDefault="00B95188" w:rsidP="00B72EF9">
      <w:pPr>
        <w:pStyle w:val="12"/>
      </w:pPr>
      <w:r w:rsidRPr="00A428C3">
        <w:t>Language: English</w:t>
      </w:r>
    </w:p>
    <w:p w:rsidR="00B95188" w:rsidRPr="00A428C3" w:rsidRDefault="00B95188" w:rsidP="00B72EF9">
      <w:pPr>
        <w:pStyle w:val="12"/>
      </w:pPr>
      <w:r w:rsidRPr="00A428C3">
        <w:t>Publisher: Springer-Verlag</w:t>
      </w:r>
    </w:p>
    <w:p w:rsidR="00B95188" w:rsidRPr="00A428C3" w:rsidRDefault="00B95188" w:rsidP="00B72EF9">
      <w:pPr>
        <w:pStyle w:val="12"/>
      </w:pPr>
      <w:r w:rsidRPr="00A428C3">
        <w:t xml:space="preserve">Publisher Address: </w:t>
      </w:r>
      <w:smartTag w:uri="urn:schemas-microsoft-com:office:smarttags" w:element="address">
        <w:smartTag w:uri="urn:schemas-microsoft-com:office:smarttags" w:element="Street">
          <w:r w:rsidRPr="00A428C3">
            <w:t>175 Fifth Ave</w:t>
          </w:r>
        </w:smartTag>
        <w:r w:rsidRPr="00A428C3">
          <w:t xml:space="preserve">, </w:t>
        </w:r>
        <w:smartTag w:uri="urn:schemas-microsoft-com:office:smarttags" w:element="City">
          <w:r w:rsidRPr="00A428C3">
            <w:t>New York</w:t>
          </w:r>
        </w:smartTag>
        <w:r w:rsidRPr="00A428C3">
          <w:t xml:space="preserve">, </w:t>
        </w:r>
        <w:smartTag w:uri="urn:schemas-microsoft-com:office:smarttags" w:element="State">
          <w:r w:rsidRPr="00A428C3">
            <w:t>NY</w:t>
          </w:r>
        </w:smartTag>
        <w:r w:rsidRPr="00A428C3">
          <w:t xml:space="preserve"> </w:t>
        </w:r>
        <w:smartTag w:uri="urn:schemas-microsoft-com:office:smarttags" w:element="PostalCode">
          <w:r w:rsidRPr="00A428C3">
            <w:t>10010</w:t>
          </w:r>
        </w:smartTag>
      </w:smartTag>
    </w:p>
    <w:p w:rsidR="00B95188" w:rsidRPr="00A428C3" w:rsidRDefault="00B95188" w:rsidP="00B72EF9">
      <w:pPr>
        <w:pStyle w:val="12"/>
      </w:pPr>
      <w:r w:rsidRPr="00A428C3">
        <w:t>Subject Categories:</w:t>
      </w:r>
    </w:p>
    <w:p w:rsidR="00B95188" w:rsidRPr="00A428C3" w:rsidRDefault="00B95188" w:rsidP="00B72EF9">
      <w:pPr>
        <w:pStyle w:val="12"/>
      </w:pPr>
      <w:r w:rsidRPr="00A428C3">
        <w:t>Clinical Neurology: Impact Factor 0.635, / (2001)</w:t>
      </w:r>
    </w:p>
    <w:p w:rsidR="00B95188" w:rsidRPr="00A428C3" w:rsidRDefault="00B95188" w:rsidP="00B72EF9">
      <w:pPr>
        <w:pStyle w:val="12"/>
      </w:pPr>
      <w:r w:rsidRPr="00A428C3">
        <w:t>Neurosciences: Impact Factor 0.635, / (2001)</w:t>
      </w:r>
    </w:p>
    <w:p w:rsidR="00B95188" w:rsidRDefault="00B95188" w:rsidP="00B95188">
      <w:pPr>
        <w:pStyle w:val="a0"/>
      </w:pPr>
      <w:r w:rsidRPr="00A428C3">
        <w:t>? Tesio, L., Gamba, C., Capelli, A.</w:t>
      </w:r>
      <w:r w:rsidR="00F81221">
        <w:t xml:space="preserve"> and </w:t>
      </w:r>
      <w:r w:rsidRPr="00A428C3">
        <w:t xml:space="preserve">Franchignoni, F.P. (1995), Rehabilitation - the cinderella of neurological research: A bibliometric study. </w:t>
      </w:r>
      <w:r w:rsidRPr="00A428C3">
        <w:rPr>
          <w:i/>
          <w:iCs/>
        </w:rPr>
        <w:t>Italian Journal of Neurological Sciences</w:t>
      </w:r>
      <w:r w:rsidRPr="00A428C3">
        <w:t xml:space="preserve">, </w:t>
      </w:r>
      <w:r w:rsidRPr="00A428C3">
        <w:rPr>
          <w:b/>
        </w:rPr>
        <w:t>16</w:t>
      </w:r>
      <w:r w:rsidRPr="00A428C3">
        <w:t xml:space="preserve"> (7), 473-477.</w:t>
      </w:r>
    </w:p>
    <w:p w:rsidR="00C03302" w:rsidRPr="00A428C3" w:rsidRDefault="00C03302" w:rsidP="00C03302">
      <w:pPr>
        <w:pStyle w:val="a0"/>
      </w:pPr>
      <w:r>
        <w:rPr>
          <w:rFonts w:hint="eastAsia"/>
        </w:rPr>
        <w:t xml:space="preserve">Full Text: </w:t>
      </w:r>
      <w:hyperlink r:id="rId2171" w:history="1">
        <w:r w:rsidRPr="000A01FE">
          <w:rPr>
            <w:rStyle w:val="a5"/>
          </w:rPr>
          <w:t>1995\Ita J Neu Sci16, 473.pdf</w:t>
        </w:r>
      </w:hyperlink>
    </w:p>
    <w:p w:rsidR="00B95188" w:rsidRPr="00A428C3" w:rsidRDefault="00B95188" w:rsidP="00B95188">
      <w:pPr>
        <w:pStyle w:val="a0"/>
      </w:pPr>
      <w:r w:rsidRPr="00A428C3">
        <w:t>Abstract: Rehabilitation is under-represented in the neurological literature on disabling diseases. A Medline search was conducted to retrieve the articles published between January 1991</w:t>
      </w:r>
      <w:r w:rsidR="00F81221">
        <w:t xml:space="preserve"> and </w:t>
      </w:r>
      <w:r w:rsidRPr="00A428C3">
        <w:t>June 1994 under the main headings of Stroke, Parkinson</w:t>
      </w:r>
      <w:r w:rsidR="000352E7">
        <w:t>’</w:t>
      </w:r>
      <w:r w:rsidRPr="00A428C3">
        <w:t>s disease, Multiple sclerosis, Brain injury, Ataxia</w:t>
      </w:r>
      <w:r w:rsidR="00F81221">
        <w:t xml:space="preserve"> and </w:t>
      </w:r>
      <w:r w:rsidRPr="00A428C3">
        <w:t>Dementia. These were then combined with the sub-heading Rehabilitation The former search yielded 27724 articles, the latter 1272 (4.6%), In 1992, the Journal of Citation Reports (JCR) assigned to Journals publishing rehabilitation papers an average Impact Factor (IF) of 0.7-2.8 (median 1.8): that is, 31-90% (depending on the various main headings, median 68%) of the average IF given to Journals publishing non-rehabilitation papers, In the present study, the weight of the literature was defined as the product of the number of articles multiplied by the IF of the corresponding Journal (IF = 0 for non-JCR Journals), Across the various neurologic conditions, the weight of the Rehab literature was 0.1-7% (median 2%) of the weight of the non-Rehab literature, The results suggest that neurology is still reluctant to face the disability challenge.</w:t>
      </w:r>
    </w:p>
    <w:p w:rsidR="00B95188" w:rsidRPr="00A428C3" w:rsidRDefault="00B95188" w:rsidP="00B95188">
      <w:pPr>
        <w:pStyle w:val="a0"/>
      </w:pPr>
      <w:r w:rsidRPr="00A428C3">
        <w:t>Keywords: Bibliometrics, Research, Neurology, Rehabilitation, Physical Medicine, Journals</w:t>
      </w:r>
    </w:p>
    <w:p w:rsidR="00DF1966" w:rsidRPr="00A428C3" w:rsidRDefault="00DF1966" w:rsidP="00DF1966">
      <w:pPr>
        <w:pStyle w:val="1"/>
      </w:pPr>
      <w:r w:rsidRPr="00A428C3">
        <w:br w:type="page"/>
      </w:r>
      <w:bookmarkStart w:id="1697" w:name="_Toc317161440"/>
      <w:r w:rsidRPr="00A428C3">
        <w:lastRenderedPageBreak/>
        <w:t xml:space="preserve">Title: </w:t>
      </w:r>
      <w:r w:rsidRPr="00DF1966">
        <w:rPr>
          <w:iCs/>
        </w:rPr>
        <w:t>Italian Studies</w:t>
      </w:r>
      <w:bookmarkEnd w:id="1697"/>
    </w:p>
    <w:p w:rsidR="00DF1966" w:rsidRPr="00A428C3" w:rsidRDefault="00DF1966" w:rsidP="00B72EF9">
      <w:pPr>
        <w:pStyle w:val="12"/>
      </w:pPr>
      <w:r w:rsidRPr="00A428C3">
        <w:t xml:space="preserve">Full Journal Title: </w:t>
      </w:r>
      <w:r w:rsidRPr="00DF1966">
        <w:rPr>
          <w:iCs/>
        </w:rPr>
        <w:t>Italian Studies</w:t>
      </w:r>
    </w:p>
    <w:p w:rsidR="00DF1966" w:rsidRPr="00A428C3" w:rsidRDefault="00DF1966" w:rsidP="00B72EF9">
      <w:pPr>
        <w:pStyle w:val="12"/>
      </w:pPr>
      <w:r w:rsidRPr="00A428C3">
        <w:t xml:space="preserve">ISO Abbreviated Title: </w:t>
      </w:r>
    </w:p>
    <w:p w:rsidR="00DF1966" w:rsidRPr="00A428C3" w:rsidRDefault="00DF1966" w:rsidP="00B72EF9">
      <w:pPr>
        <w:pStyle w:val="12"/>
      </w:pPr>
      <w:r w:rsidRPr="00A428C3">
        <w:t xml:space="preserve">JCR Abbreviated Title: </w:t>
      </w:r>
    </w:p>
    <w:p w:rsidR="00DF1966" w:rsidRPr="00A428C3" w:rsidRDefault="00DF1966" w:rsidP="00B72EF9">
      <w:pPr>
        <w:pStyle w:val="12"/>
      </w:pPr>
      <w:r w:rsidRPr="00A428C3">
        <w:t xml:space="preserve">ISSN: </w:t>
      </w:r>
    </w:p>
    <w:p w:rsidR="00DF1966" w:rsidRPr="00A428C3" w:rsidRDefault="00DF1966" w:rsidP="00B72EF9">
      <w:pPr>
        <w:pStyle w:val="12"/>
      </w:pPr>
      <w:r w:rsidRPr="00A428C3">
        <w:t xml:space="preserve">Issues/Year: </w:t>
      </w:r>
    </w:p>
    <w:p w:rsidR="00DF1966" w:rsidRPr="00A428C3" w:rsidRDefault="00DF1966" w:rsidP="00B72EF9">
      <w:pPr>
        <w:pStyle w:val="12"/>
      </w:pPr>
      <w:r>
        <w:t>Journal Country/Territory:</w:t>
      </w:r>
      <w:r w:rsidRPr="00A428C3">
        <w:t xml:space="preserve"> </w:t>
      </w:r>
    </w:p>
    <w:p w:rsidR="00DF1966" w:rsidRPr="00A428C3" w:rsidRDefault="00DF1966" w:rsidP="00B72EF9">
      <w:pPr>
        <w:pStyle w:val="12"/>
      </w:pPr>
      <w:r w:rsidRPr="00A428C3">
        <w:t xml:space="preserve">Language: </w:t>
      </w:r>
    </w:p>
    <w:p w:rsidR="00DF1966" w:rsidRPr="00A428C3" w:rsidRDefault="00DF1966" w:rsidP="00B72EF9">
      <w:pPr>
        <w:pStyle w:val="12"/>
      </w:pPr>
      <w:r w:rsidRPr="00A428C3">
        <w:t xml:space="preserve">Publisher: </w:t>
      </w:r>
    </w:p>
    <w:p w:rsidR="00DF1966" w:rsidRPr="00A428C3" w:rsidRDefault="00DF1966" w:rsidP="00B72EF9">
      <w:pPr>
        <w:pStyle w:val="12"/>
      </w:pPr>
      <w:r w:rsidRPr="00A428C3">
        <w:t xml:space="preserve">Publisher Address: </w:t>
      </w:r>
    </w:p>
    <w:p w:rsidR="00DF1966" w:rsidRPr="00A428C3" w:rsidRDefault="00DF1966" w:rsidP="00B72EF9">
      <w:pPr>
        <w:pStyle w:val="12"/>
      </w:pPr>
      <w:r w:rsidRPr="00A428C3">
        <w:t>Subject Categories:</w:t>
      </w:r>
    </w:p>
    <w:p w:rsidR="00DF1966" w:rsidRPr="00A428C3" w:rsidRDefault="00DF1966" w:rsidP="00B72EF9">
      <w:pPr>
        <w:pStyle w:val="12"/>
      </w:pPr>
      <w:r w:rsidRPr="00A428C3">
        <w:t xml:space="preserve">: Impact Factor </w:t>
      </w:r>
    </w:p>
    <w:p w:rsidR="00DF1966" w:rsidRDefault="00DF1966" w:rsidP="00DF1966">
      <w:pPr>
        <w:pStyle w:val="a0"/>
        <w:rPr>
          <w:kern w:val="0"/>
        </w:rPr>
      </w:pPr>
      <w:r>
        <w:rPr>
          <w:rFonts w:hint="eastAsia"/>
          <w:kern w:val="0"/>
        </w:rPr>
        <w:t xml:space="preserve">? </w:t>
      </w:r>
      <w:r>
        <w:rPr>
          <w:kern w:val="0"/>
        </w:rPr>
        <w:t>Bonsaver, G. (2008), Authorial echoes: Textuality</w:t>
      </w:r>
      <w:r w:rsidR="00F81221">
        <w:rPr>
          <w:kern w:val="0"/>
        </w:rPr>
        <w:t xml:space="preserve"> and </w:t>
      </w:r>
      <w:r>
        <w:rPr>
          <w:kern w:val="0"/>
        </w:rPr>
        <w:t xml:space="preserve">self-plagiarism in the narrative of Luigi Pirandello. </w:t>
      </w:r>
      <w:r w:rsidRPr="00DF1966">
        <w:rPr>
          <w:i/>
          <w:iCs/>
          <w:kern w:val="0"/>
        </w:rPr>
        <w:t>Italian Studies</w:t>
      </w:r>
      <w:r>
        <w:rPr>
          <w:kern w:val="0"/>
        </w:rPr>
        <w:t xml:space="preserve">, </w:t>
      </w:r>
      <w:r>
        <w:rPr>
          <w:b/>
          <w:bCs/>
          <w:kern w:val="0"/>
        </w:rPr>
        <w:t>63</w:t>
      </w:r>
      <w:r>
        <w:rPr>
          <w:kern w:val="0"/>
        </w:rPr>
        <w:t xml:space="preserve"> (1), 159-160.</w:t>
      </w:r>
    </w:p>
    <w:p w:rsidR="00DF1966" w:rsidRDefault="00DF1966" w:rsidP="00DF1966">
      <w:pPr>
        <w:pStyle w:val="a0"/>
        <w:rPr>
          <w:kern w:val="0"/>
        </w:rPr>
      </w:pPr>
      <w:r>
        <w:rPr>
          <w:rFonts w:hint="eastAsia"/>
          <w:kern w:val="0"/>
        </w:rPr>
        <w:t xml:space="preserve">Full Text: </w:t>
      </w:r>
      <w:hyperlink r:id="rId2172" w:history="1">
        <w:r w:rsidRPr="00DF1966">
          <w:rPr>
            <w:rStyle w:val="a5"/>
            <w:kern w:val="0"/>
          </w:rPr>
          <w:t>2008\Ita Stu63, 159.pdf</w:t>
        </w:r>
      </w:hyperlink>
    </w:p>
    <w:p w:rsidR="00B95188" w:rsidRPr="00A428C3" w:rsidRDefault="00B95188" w:rsidP="00B95188">
      <w:pPr>
        <w:pStyle w:val="1"/>
      </w:pPr>
      <w:r w:rsidRPr="00A428C3">
        <w:br w:type="page"/>
      </w:r>
      <w:bookmarkStart w:id="1698" w:name="_Toc455569493"/>
      <w:bookmarkStart w:id="1699" w:name="_Toc487190749"/>
      <w:bookmarkStart w:id="1700" w:name="_Toc487882254"/>
      <w:bookmarkStart w:id="1701" w:name="_Toc490688096"/>
      <w:bookmarkStart w:id="1702" w:name="_Toc492812209"/>
      <w:bookmarkStart w:id="1703" w:name="_Toc186648000"/>
      <w:bookmarkStart w:id="1704" w:name="_Toc317161441"/>
      <w:r w:rsidRPr="00A428C3">
        <w:lastRenderedPageBreak/>
        <w:t>Title: ITT Research Institute Report</w:t>
      </w:r>
      <w:bookmarkEnd w:id="1698"/>
      <w:bookmarkEnd w:id="1699"/>
      <w:bookmarkEnd w:id="1700"/>
      <w:bookmarkEnd w:id="1701"/>
      <w:bookmarkEnd w:id="1702"/>
      <w:bookmarkEnd w:id="1703"/>
      <w:bookmarkEnd w:id="1704"/>
    </w:p>
    <w:p w:rsidR="00B95188" w:rsidRPr="00A428C3" w:rsidRDefault="00B95188" w:rsidP="00B95188">
      <w:pPr>
        <w:pStyle w:val="a0"/>
      </w:pPr>
      <w:bookmarkStart w:id="1705" w:name="Hass"/>
      <w:r w:rsidRPr="00A428C3">
        <w:t>Hass</w:t>
      </w:r>
      <w:bookmarkEnd w:id="1705"/>
      <w:r w:rsidRPr="00A428C3">
        <w:t>, W.R.</w:t>
      </w:r>
      <w:r w:rsidR="00F81221">
        <w:t xml:space="preserve"> and </w:t>
      </w:r>
      <w:r w:rsidRPr="00A428C3">
        <w:t xml:space="preserve">Miller, S. (1972), Evaluation of lead plant wastewater treatment methods. </w:t>
      </w:r>
      <w:r w:rsidRPr="00A428C3">
        <w:rPr>
          <w:i/>
        </w:rPr>
        <w:t>ITT Research Institute Report</w:t>
      </w:r>
      <w:r w:rsidRPr="00A428C3">
        <w:t xml:space="preserve">, </w:t>
      </w:r>
      <w:r w:rsidRPr="00A428C3">
        <w:rPr>
          <w:b/>
        </w:rPr>
        <w:t>117</w:t>
      </w:r>
      <w:r w:rsidRPr="00A428C3">
        <w:t>, RT: C8213.</w:t>
      </w:r>
    </w:p>
    <w:p w:rsidR="00B95188" w:rsidRPr="00A428C3" w:rsidRDefault="00B95188" w:rsidP="00B95188">
      <w:pPr>
        <w:pStyle w:val="1"/>
      </w:pPr>
      <w:r w:rsidRPr="00A428C3">
        <w:br w:type="page"/>
      </w:r>
      <w:bookmarkStart w:id="1706" w:name="_Toc186648001"/>
      <w:bookmarkStart w:id="1707" w:name="_Toc317161442"/>
      <w:r w:rsidRPr="00A428C3">
        <w:lastRenderedPageBreak/>
        <w:t>Title: Izvestiya Akademii Nauk Fizika Atmosfery I Okeana</w:t>
      </w:r>
      <w:bookmarkEnd w:id="1706"/>
      <w:bookmarkEnd w:id="1707"/>
    </w:p>
    <w:p w:rsidR="00B95188" w:rsidRPr="00A428C3" w:rsidRDefault="00B95188" w:rsidP="00B72EF9">
      <w:pPr>
        <w:pStyle w:val="12"/>
      </w:pPr>
      <w:r w:rsidRPr="00A428C3">
        <w:t>Full Journal Title: Izvestiya Akademii Nauk Fizika Atmosfery I Okeana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ISSN: 0002-3515</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Pr="00A428C3" w:rsidRDefault="00B95188" w:rsidP="00B95188">
      <w:pPr>
        <w:pStyle w:val="a0"/>
      </w:pPr>
      <w:r w:rsidRPr="00A428C3">
        <w:t xml:space="preserve">? Fotsenko, S.F. (1994), The Black-Sea tsunami. </w:t>
      </w:r>
      <w:r w:rsidRPr="00A428C3">
        <w:rPr>
          <w:i/>
          <w:iCs/>
        </w:rPr>
        <w:t>Izvestiya Akademii Nauk Fizika Atmosfery I Okeana</w:t>
      </w:r>
      <w:r w:rsidRPr="00A428C3">
        <w:t xml:space="preserve">, </w:t>
      </w:r>
      <w:r w:rsidRPr="00A428C3">
        <w:rPr>
          <w:b/>
        </w:rPr>
        <w:t>30</w:t>
      </w:r>
      <w:r w:rsidRPr="00A428C3">
        <w:t xml:space="preserve"> (4), 513-519.</w:t>
      </w:r>
    </w:p>
    <w:p w:rsidR="00B95188" w:rsidRPr="00A428C3" w:rsidRDefault="00B95188" w:rsidP="00B95188">
      <w:pPr>
        <w:pStyle w:val="a0"/>
      </w:pPr>
      <w:r w:rsidRPr="00A428C3">
        <w:t xml:space="preserve">Abstract: The results of the analysis of tsunami in the </w:t>
      </w:r>
      <w:smartTag w:uri="urn:schemas-microsoft-com:office:smarttags" w:element="place">
        <w:r w:rsidRPr="00A428C3">
          <w:t>Black Sea</w:t>
        </w:r>
      </w:smartTag>
      <w:r w:rsidRPr="00A428C3">
        <w:t xml:space="preserve"> are presented. Most realistic zones of seismic tsunami generation in the region are established. The characteristics of four historical tsunami in the </w:t>
      </w:r>
      <w:smartTag w:uri="urn:schemas-microsoft-com:office:smarttags" w:element="place">
        <w:r w:rsidRPr="00A428C3">
          <w:t>Black Sea</w:t>
        </w:r>
      </w:smartTag>
      <w:r w:rsidRPr="00A428C3">
        <w:t xml:space="preserve"> are collected. A numerical ray model of surface gravity waves propagation in bounded basins is developed. Its application allowed to investigate the properties of tsunami refraction in the </w:t>
      </w:r>
      <w:smartTag w:uri="urn:schemas-microsoft-com:office:smarttags" w:element="place">
        <w:r w:rsidRPr="00A428C3">
          <w:t>Black Sea</w:t>
        </w:r>
      </w:smartTag>
      <w:r w:rsidRPr="00A428C3">
        <w:t>.</w:t>
      </w:r>
    </w:p>
    <w:p w:rsidR="00B95188" w:rsidRPr="00A428C3" w:rsidRDefault="00B95188" w:rsidP="00B95188">
      <w:pPr>
        <w:pStyle w:val="a0"/>
      </w:pPr>
      <w:r w:rsidRPr="00A428C3">
        <w:t xml:space="preserve">? Filonov, A.E. (1999), Tsunami waves on the shelf near the west coast of </w:t>
      </w:r>
      <w:smartTag w:uri="urn:schemas-microsoft-com:office:smarttags" w:element="place">
        <w:smartTag w:uri="urn:schemas-microsoft-com:office:smarttags" w:element="country-region">
          <w:r w:rsidRPr="00A428C3">
            <w:t>Mexico</w:t>
          </w:r>
        </w:smartTag>
      </w:smartTag>
      <w:r w:rsidRPr="00A428C3">
        <w:t xml:space="preserve"> (October 9, 1995). </w:t>
      </w:r>
      <w:r w:rsidRPr="00A428C3">
        <w:rPr>
          <w:i/>
          <w:iCs/>
        </w:rPr>
        <w:t>Izvestiya Akademii Nauk Fizika Atmosfery I Okeana</w:t>
      </w:r>
      <w:r w:rsidRPr="00A428C3">
        <w:t xml:space="preserve">, </w:t>
      </w:r>
      <w:r w:rsidRPr="00A428C3">
        <w:rPr>
          <w:b/>
        </w:rPr>
        <w:t>35</w:t>
      </w:r>
      <w:r w:rsidRPr="00A428C3">
        <w:t xml:space="preserve"> (3), 406-416.</w:t>
      </w:r>
    </w:p>
    <w:p w:rsidR="00B95188" w:rsidRPr="00A428C3" w:rsidRDefault="00B95188" w:rsidP="00B95188">
      <w:pPr>
        <w:pStyle w:val="a0"/>
      </w:pPr>
      <w:r w:rsidRPr="00A428C3">
        <w:t xml:space="preserve">Abstract: The materials obtained by Submerged buoy stations on the shelf,of the west coast of </w:t>
      </w:r>
      <w:smartTag w:uri="urn:schemas-microsoft-com:office:smarttags" w:element="place">
        <w:smartTag w:uri="urn:schemas-microsoft-com:office:smarttags" w:element="country-region">
          <w:r w:rsidRPr="00A428C3">
            <w:t>Mexico</w:t>
          </w:r>
        </w:smartTag>
      </w:smartTag>
      <w:r w:rsidRPr="00A428C3">
        <w:t xml:space="preserve"> were analyzed. The stations were equipped with autonomous sensors of temperature, temperature, electric conductivity,</w:t>
      </w:r>
      <w:r w:rsidR="00F81221">
        <w:t xml:space="preserve"> and </w:t>
      </w:r>
      <w:r w:rsidRPr="00A428C3">
        <w:t>pressure. The parameters of tsunami waves in the open sea were measured,</w:t>
      </w:r>
      <w:r w:rsidR="00F81221">
        <w:t xml:space="preserve"> and </w:t>
      </w:r>
      <w:r w:rsidRPr="00A428C3">
        <w:t>their interaction with the internal tide was registered.</w:t>
      </w:r>
    </w:p>
    <w:p w:rsidR="00B95188" w:rsidRPr="00A428C3" w:rsidRDefault="00B95188" w:rsidP="00B95188">
      <w:pPr>
        <w:pStyle w:val="1"/>
        <w:rPr>
          <w:lang w:val="de-DE"/>
        </w:rPr>
      </w:pPr>
      <w:r w:rsidRPr="00A428C3">
        <w:rPr>
          <w:lang w:val="de-DE"/>
        </w:rPr>
        <w:br w:type="page"/>
      </w:r>
      <w:bookmarkStart w:id="1708" w:name="_Toc487190750"/>
      <w:bookmarkStart w:id="1709" w:name="_Toc487882255"/>
      <w:bookmarkStart w:id="1710" w:name="_Toc490688097"/>
      <w:bookmarkStart w:id="1711" w:name="_Toc492812210"/>
      <w:bookmarkStart w:id="1712" w:name="_Toc186648002"/>
      <w:bookmarkStart w:id="1713" w:name="_Toc317161443"/>
      <w:r w:rsidRPr="00A428C3">
        <w:rPr>
          <w:lang w:val="de-DE"/>
        </w:rPr>
        <w:lastRenderedPageBreak/>
        <w:t>Title: Izvestiya Akademii Nauk SSSR</w:t>
      </w:r>
      <w:bookmarkEnd w:id="1708"/>
      <w:bookmarkEnd w:id="1709"/>
      <w:bookmarkEnd w:id="1710"/>
      <w:bookmarkEnd w:id="1711"/>
      <w:bookmarkEnd w:id="1712"/>
      <w:bookmarkEnd w:id="1713"/>
    </w:p>
    <w:p w:rsidR="00B95188" w:rsidRPr="00A428C3" w:rsidRDefault="00B95188" w:rsidP="00B95188">
      <w:pPr>
        <w:pStyle w:val="a0"/>
        <w:rPr>
          <w:lang w:val="de-DE"/>
        </w:rPr>
      </w:pPr>
      <w:r w:rsidRPr="00A428C3">
        <w:rPr>
          <w:lang w:val="de-DE"/>
        </w:rPr>
        <w:t>Izv. Akad. Nauk SSSR Ser. Khim.</w:t>
      </w:r>
    </w:p>
    <w:p w:rsidR="00B95188" w:rsidRPr="00A428C3" w:rsidRDefault="00B95188" w:rsidP="00B95188">
      <w:pPr>
        <w:pStyle w:val="a0"/>
        <w:rPr>
          <w:lang w:val="de-DE"/>
        </w:rPr>
      </w:pPr>
      <w:r w:rsidRPr="00A428C3">
        <w:rPr>
          <w:lang w:val="de-DE"/>
        </w:rPr>
        <w:t>Izvestiya Akademii Nauk Sssr Fizika Atmosfery I Okeana</w:t>
      </w:r>
    </w:p>
    <w:p w:rsidR="00B95188" w:rsidRPr="00A428C3" w:rsidRDefault="00B95188" w:rsidP="00B95188">
      <w:pPr>
        <w:pStyle w:val="a0"/>
        <w:rPr>
          <w:lang w:val="de-DE"/>
        </w:rPr>
      </w:pPr>
      <w:r w:rsidRPr="00A428C3">
        <w:rPr>
          <w:lang w:val="de-DE"/>
        </w:rPr>
        <w:t>Izvestiya Akademii Nauk Sssr Fizika Zemli</w:t>
      </w:r>
    </w:p>
    <w:p w:rsidR="00B95188" w:rsidRPr="00A428C3" w:rsidRDefault="00B95188" w:rsidP="00B95188">
      <w:pPr>
        <w:pStyle w:val="a0"/>
        <w:rPr>
          <w:lang w:val="de-DE"/>
        </w:rPr>
      </w:pPr>
      <w:r w:rsidRPr="00A428C3">
        <w:rPr>
          <w:lang w:val="de-DE"/>
        </w:rPr>
        <w:t>Izvestiya Akademii Nauk Sssr Seriya Biologicheskaya</w:t>
      </w:r>
    </w:p>
    <w:p w:rsidR="00B95188" w:rsidRPr="00A428C3" w:rsidRDefault="00B95188" w:rsidP="00B95188">
      <w:pPr>
        <w:pStyle w:val="a0"/>
        <w:rPr>
          <w:lang w:val="de-DE"/>
        </w:rPr>
      </w:pPr>
      <w:r w:rsidRPr="00A428C3">
        <w:rPr>
          <w:lang w:val="de-DE"/>
        </w:rPr>
        <w:t>Izvestiya Akademii Nauk Sssr Seriya Fizicheskaya</w:t>
      </w:r>
    </w:p>
    <w:p w:rsidR="00B95188" w:rsidRPr="00A428C3" w:rsidRDefault="00B95188" w:rsidP="00B95188">
      <w:pPr>
        <w:pStyle w:val="a0"/>
        <w:rPr>
          <w:lang w:val="de-DE"/>
        </w:rPr>
      </w:pPr>
      <w:r w:rsidRPr="00A428C3">
        <w:rPr>
          <w:lang w:val="de-DE"/>
        </w:rPr>
        <w:t>Izvestiya Akademii Nauk Sssr Seriya Geologicheskaya</w:t>
      </w:r>
    </w:p>
    <w:p w:rsidR="00B95188" w:rsidRPr="00A428C3" w:rsidRDefault="00B95188" w:rsidP="00B95188">
      <w:pPr>
        <w:pStyle w:val="a0"/>
        <w:rPr>
          <w:lang w:val="de-DE"/>
        </w:rPr>
      </w:pPr>
      <w:r w:rsidRPr="00A428C3">
        <w:rPr>
          <w:lang w:val="de-DE"/>
        </w:rPr>
        <w:t>Izvestiya Akademii Nauk Sssr-Seriya Khimicheskaya</w:t>
      </w:r>
    </w:p>
    <w:p w:rsidR="00B95188" w:rsidRPr="00A428C3" w:rsidRDefault="00B95188" w:rsidP="00B95188">
      <w:pPr>
        <w:pStyle w:val="a0"/>
      </w:pPr>
      <w:r w:rsidRPr="00A428C3">
        <w:t>(Izv. Akad. Nauk SSSR)</w:t>
      </w:r>
    </w:p>
    <w:p w:rsidR="00B95188" w:rsidRPr="00A428C3" w:rsidRDefault="00B95188" w:rsidP="00B72EF9">
      <w:pPr>
        <w:pStyle w:val="12"/>
      </w:pPr>
      <w:r w:rsidRPr="00A428C3">
        <w:t>Full Journal Title: Izvestiya Akademii Nauk SSSR</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 Impact Factor </w:t>
      </w:r>
    </w:p>
    <w:p w:rsidR="00B95188" w:rsidRDefault="00B95188" w:rsidP="00B95188">
      <w:pPr>
        <w:pStyle w:val="a0"/>
      </w:pPr>
      <w:r>
        <w:rPr>
          <w:rFonts w:hint="eastAsia"/>
        </w:rPr>
        <w:t>N</w:t>
      </w:r>
      <w:r>
        <w:t>o</w:t>
      </w:r>
      <w:r>
        <w:rPr>
          <w:rFonts w:hint="eastAsia"/>
        </w:rPr>
        <w:t>tes: MModel</w:t>
      </w:r>
    </w:p>
    <w:p w:rsidR="00B95188" w:rsidRPr="00A428C3" w:rsidRDefault="00B95188" w:rsidP="00B95188">
      <w:pPr>
        <w:pStyle w:val="a0"/>
      </w:pPr>
      <w:r w:rsidRPr="00A428C3">
        <w:t>?? Elovich, S.Y.</w:t>
      </w:r>
      <w:r w:rsidR="00F81221">
        <w:t xml:space="preserve"> and </w:t>
      </w:r>
      <w:r w:rsidRPr="00A428C3">
        <w:t>Lanirov, O.G. (1962), Theory of adsorption from solutions of nonelectrolytites on solid adsorbents (I) equation adsorption isotherm from solutions</w:t>
      </w:r>
      <w:r w:rsidR="00F81221">
        <w:t xml:space="preserve"> and </w:t>
      </w:r>
      <w:r w:rsidRPr="00A428C3">
        <w:t xml:space="preserve">the analysis of its simplest from, (II) verification of the equation of adsorption isotherm from solution. </w:t>
      </w:r>
      <w:r w:rsidRPr="00A428C3">
        <w:rPr>
          <w:i/>
        </w:rPr>
        <w:t>Izvestiya Akademii Nauk SSSR</w:t>
      </w:r>
      <w:r w:rsidRPr="00A428C3">
        <w:t xml:space="preserve">, </w:t>
      </w:r>
      <w:r w:rsidRPr="00A428C3">
        <w:rPr>
          <w:b/>
        </w:rPr>
        <w:t>2</w:t>
      </w:r>
      <w:r w:rsidRPr="00A428C3">
        <w:t>, 209-216.</w:t>
      </w:r>
    </w:p>
    <w:p w:rsidR="00B95188" w:rsidRPr="00A428C3" w:rsidRDefault="00B95188" w:rsidP="00B95188">
      <w:pPr>
        <w:pStyle w:val="a0"/>
      </w:pPr>
      <w:r w:rsidRPr="00A428C3">
        <w:t>? Bering, B.P., Serpinskii, V.V.</w:t>
      </w:r>
      <w:r w:rsidR="00F81221">
        <w:t xml:space="preserve"> and </w:t>
      </w:r>
      <w:r w:rsidRPr="00A428C3">
        <w:t xml:space="preserve">Surinova, S.I. (1965), Adsorption of a gas mixture. Communication 7. Joint adsorption of a binary mixture of vapors on activated charcoal. </w:t>
      </w:r>
      <w:r w:rsidRPr="00A428C3">
        <w:rPr>
          <w:i/>
        </w:rPr>
        <w:t>Izvestiya Akademii Nauk SSSR</w:t>
      </w:r>
      <w:r w:rsidRPr="00A428C3">
        <w:t xml:space="preserve">, </w:t>
      </w:r>
      <w:r w:rsidRPr="00A428C3">
        <w:rPr>
          <w:b/>
        </w:rPr>
        <w:t>5</w:t>
      </w:r>
      <w:r w:rsidRPr="00A428C3">
        <w:t>, 769-776.</w:t>
      </w:r>
    </w:p>
    <w:p w:rsidR="00B95188" w:rsidRPr="00A428C3" w:rsidRDefault="00B95188" w:rsidP="00B95188">
      <w:pPr>
        <w:pStyle w:val="a0"/>
      </w:pPr>
      <w:r w:rsidRPr="00A428C3">
        <w:t>? Dubinin, M.M.</w:t>
      </w:r>
      <w:r w:rsidR="00F81221">
        <w:t xml:space="preserve"> and </w:t>
      </w:r>
      <w:r w:rsidRPr="00A428C3">
        <w:t>Astakhov, V.A. (1971), Development of the concepts of volume filling of microporous in the adsorption of gasses</w:t>
      </w:r>
      <w:r w:rsidR="00F81221">
        <w:t xml:space="preserve"> and </w:t>
      </w:r>
      <w:r w:rsidRPr="00A428C3">
        <w:t xml:space="preserve">vapors by microporous adsorbents. </w:t>
      </w:r>
      <w:r w:rsidRPr="00A428C3">
        <w:rPr>
          <w:i/>
        </w:rPr>
        <w:t>Izvestiya Akademii Nauk SSSR</w:t>
      </w:r>
      <w:r w:rsidRPr="00A428C3">
        <w:t xml:space="preserve">, </w:t>
      </w:r>
      <w:r w:rsidRPr="00A428C3">
        <w:rPr>
          <w:b/>
        </w:rPr>
        <w:t>5??</w:t>
      </w:r>
      <w:r w:rsidRPr="00A428C3">
        <w:t>, 5-11.</w:t>
      </w:r>
    </w:p>
    <w:p w:rsidR="00B95188" w:rsidRPr="004C022D" w:rsidRDefault="00B95188" w:rsidP="00B95188">
      <w:pPr>
        <w:pStyle w:val="a0"/>
      </w:pPr>
      <w:r>
        <w:rPr>
          <w:rFonts w:hint="eastAsia"/>
        </w:rPr>
        <w:t xml:space="preserve">?? </w:t>
      </w:r>
      <w:r w:rsidRPr="00A429E3">
        <w:t>Dubinin, M.M.</w:t>
      </w:r>
      <w:r w:rsidR="00F81221">
        <w:rPr>
          <w:rFonts w:hint="eastAsia"/>
        </w:rPr>
        <w:t xml:space="preserve"> and </w:t>
      </w:r>
      <w:r w:rsidRPr="00A429E3">
        <w:t>Astakhov,</w:t>
      </w:r>
      <w:r w:rsidRPr="00D43576">
        <w:t xml:space="preserve"> </w:t>
      </w:r>
      <w:r w:rsidRPr="00A429E3">
        <w:t>V.A.</w:t>
      </w:r>
      <w:r>
        <w:rPr>
          <w:rFonts w:hint="eastAsia"/>
        </w:rPr>
        <w:t xml:space="preserve"> (1971),</w:t>
      </w:r>
      <w:r w:rsidRPr="00A429E3">
        <w:t xml:space="preserve"> Description of adsorption equilibrium of vapors on</w:t>
      </w:r>
      <w:r>
        <w:rPr>
          <w:rFonts w:hint="eastAsia"/>
        </w:rPr>
        <w:t xml:space="preserve"> </w:t>
      </w:r>
      <w:r w:rsidRPr="00A429E3">
        <w:t>zeolites over wide ranges of temperatures</w:t>
      </w:r>
      <w:r w:rsidR="00F81221">
        <w:t xml:space="preserve"> and </w:t>
      </w:r>
      <w:r w:rsidRPr="00A429E3">
        <w:t xml:space="preserve">pressure. </w:t>
      </w:r>
      <w:r w:rsidRPr="00A428C3">
        <w:rPr>
          <w:i/>
        </w:rPr>
        <w:t>Izvestiya Akademii Nauk SSSR</w:t>
      </w:r>
      <w:r w:rsidRPr="004C022D">
        <w:t>,</w:t>
      </w:r>
      <w:r w:rsidRPr="00A429E3">
        <w:t xml:space="preserve"> </w:t>
      </w:r>
      <w:r w:rsidRPr="00D43576">
        <w:rPr>
          <w:b/>
        </w:rPr>
        <w:t>5</w:t>
      </w:r>
      <w:r>
        <w:rPr>
          <w:rFonts w:hint="eastAsia"/>
        </w:rPr>
        <w:t>,</w:t>
      </w:r>
      <w:r w:rsidRPr="00A429E3">
        <w:t xml:space="preserve"> 5-9.</w:t>
      </w:r>
    </w:p>
    <w:p w:rsidR="00B95188" w:rsidRPr="00A428C3" w:rsidRDefault="00B95188" w:rsidP="00B95188">
      <w:pPr>
        <w:pStyle w:val="a0"/>
      </w:pPr>
      <w:r w:rsidRPr="00A428C3">
        <w:t>? Bering, B.P., Kabanova, O.N., Servinskii, V.V., Surinova, S.I.</w:t>
      </w:r>
      <w:r w:rsidR="00F81221">
        <w:t xml:space="preserve"> and </w:t>
      </w:r>
      <w:r w:rsidRPr="00A428C3">
        <w:t xml:space="preserve">Yakubov T.S. (1971), A new method of calculation of the adsorption of binary mixtures of vapors on microporous adsorbents. </w:t>
      </w:r>
      <w:r w:rsidRPr="00A428C3">
        <w:rPr>
          <w:i/>
        </w:rPr>
        <w:t>Izvestiya Akademii Nauk SSSR</w:t>
      </w:r>
      <w:r w:rsidRPr="00A428C3">
        <w:t xml:space="preserve">, </w:t>
      </w:r>
      <w:r w:rsidRPr="00A428C3">
        <w:rPr>
          <w:b/>
        </w:rPr>
        <w:t>12</w:t>
      </w:r>
      <w:r w:rsidRPr="00A428C3">
        <w:t>, 2641-2648.</w:t>
      </w:r>
    </w:p>
    <w:p w:rsidR="00B95188" w:rsidRPr="00A428C3" w:rsidRDefault="00B95188" w:rsidP="00B95188">
      <w:pPr>
        <w:pStyle w:val="1"/>
      </w:pPr>
      <w:r w:rsidRPr="00A428C3">
        <w:br w:type="page"/>
      </w:r>
      <w:bookmarkStart w:id="1714" w:name="_Toc186648003"/>
      <w:bookmarkStart w:id="1715" w:name="_Toc317161444"/>
      <w:r w:rsidRPr="00A428C3">
        <w:lastRenderedPageBreak/>
        <w:t>Title: Izvestiya Akademii Nauk SSSR-Seriya Khimicheskaya</w:t>
      </w:r>
      <w:bookmarkEnd w:id="1714"/>
      <w:bookmarkEnd w:id="1715"/>
    </w:p>
    <w:p w:rsidR="00B95188" w:rsidRPr="00A428C3" w:rsidRDefault="00B95188" w:rsidP="00B72EF9">
      <w:pPr>
        <w:pStyle w:val="12"/>
      </w:pPr>
      <w:r w:rsidRPr="00A428C3">
        <w:t>Full Journal Title: Izvestiya Akademii Nauk SSSR-Seriya Khimicheskaya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 Izv Akad Nauk SSSR Ser Khim</w:t>
      </w:r>
    </w:p>
    <w:p w:rsidR="00B95188" w:rsidRPr="00A428C3" w:rsidRDefault="00B95188" w:rsidP="00B72EF9">
      <w:pPr>
        <w:pStyle w:val="12"/>
      </w:pPr>
      <w:r w:rsidRPr="00A428C3">
        <w:t xml:space="preserve">ISSN: </w:t>
      </w:r>
    </w:p>
    <w:p w:rsidR="00B95188" w:rsidRPr="00A428C3" w:rsidRDefault="00B95188" w:rsidP="00B72EF9">
      <w:pPr>
        <w:pStyle w:val="12"/>
      </w:pPr>
      <w:r w:rsidRPr="00A428C3">
        <w:t>IDS Number: T0671</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 xml:space="preserve">Journal Country/Territory: </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Mezhdunarodnaya Kniga, 39 Dimitrova UL., 113095 </w:t>
      </w:r>
      <w:smartTag w:uri="urn:schemas-microsoft-com:office:smarttags" w:element="place">
        <w:smartTag w:uri="urn:schemas-microsoft-com:office:smarttags" w:element="City">
          <w:r w:rsidRPr="00A428C3">
            <w:t>Moscow</w:t>
          </w:r>
        </w:smartTag>
        <w:r w:rsidRPr="00A428C3">
          <w:t xml:space="preserve">, </w:t>
        </w:r>
        <w:smartTag w:uri="urn:schemas-microsoft-com:office:smarttags" w:element="country-region">
          <w:r w:rsidRPr="00A428C3">
            <w:t>Russia</w:t>
          </w:r>
        </w:smartTag>
      </w:smartTag>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Impact Factor</w:t>
      </w:r>
    </w:p>
    <w:p w:rsidR="00B95188" w:rsidRPr="00A428C3" w:rsidRDefault="00B95188" w:rsidP="00B95188">
      <w:pPr>
        <w:pStyle w:val="a0"/>
      </w:pPr>
      <w:r w:rsidRPr="00A428C3">
        <w:t>? Bering, B.P.</w:t>
      </w:r>
      <w:r w:rsidR="00F81221">
        <w:t xml:space="preserve"> and </w:t>
      </w:r>
      <w:r w:rsidRPr="00A428C3">
        <w:t xml:space="preserve">Serpinsk, V.V. (1970), On kinetics of non-isothermal adsorption. </w:t>
      </w:r>
      <w:r w:rsidRPr="00A428C3">
        <w:rPr>
          <w:i/>
          <w:iCs/>
        </w:rPr>
        <w:t>Izvestiya Akademii Nauk SSSR-Seriya Khimicheskaya</w:t>
      </w:r>
      <w:r w:rsidRPr="00A428C3">
        <w:t>, (6), 1421-??.</w:t>
      </w:r>
    </w:p>
    <w:p w:rsidR="00B95188" w:rsidRPr="00A428C3" w:rsidRDefault="00B95188" w:rsidP="00B95188">
      <w:pPr>
        <w:pStyle w:val="a0"/>
      </w:pPr>
      <w:r w:rsidRPr="00A428C3">
        <w:t>? Bering, B.P.</w:t>
      </w:r>
      <w:r w:rsidR="00F81221">
        <w:t xml:space="preserve"> and </w:t>
      </w:r>
      <w:r w:rsidRPr="00A428C3">
        <w:t xml:space="preserve">Serpinsk, V.V. (1970), On calculation of true adsorption isotherms for components of solution from composite adsorption isotherm. </w:t>
      </w:r>
      <w:r w:rsidRPr="00A428C3">
        <w:rPr>
          <w:i/>
          <w:iCs/>
        </w:rPr>
        <w:t>Izvestiya Akademii Nauk SSSR-Seriya Khimicheskaya</w:t>
      </w:r>
      <w:r w:rsidRPr="00A428C3">
        <w:t>, (6), 1232-??.</w:t>
      </w:r>
    </w:p>
    <w:p w:rsidR="00B95188" w:rsidRPr="00A428C3" w:rsidRDefault="00B95188" w:rsidP="00B95188">
      <w:pPr>
        <w:pStyle w:val="a0"/>
      </w:pPr>
      <w:r w:rsidRPr="00A428C3">
        <w:t xml:space="preserve">? Zolotare, P.P. (1970), On adsorption dynamics process in immobile bed of adsorbent grains of different sizes in case of a linear isotherm. </w:t>
      </w:r>
      <w:r w:rsidRPr="00A428C3">
        <w:rPr>
          <w:i/>
          <w:iCs/>
        </w:rPr>
        <w:t>Izvestiya Akademii Nauk SSSR-Seriya Khimicheskaya</w:t>
      </w:r>
      <w:r w:rsidRPr="00A428C3">
        <w:t>, (8), 1703-??.</w:t>
      </w:r>
    </w:p>
    <w:p w:rsidR="00B95188" w:rsidRPr="00A428C3" w:rsidRDefault="00B95188" w:rsidP="00B95188">
      <w:pPr>
        <w:pStyle w:val="a0"/>
      </w:pPr>
      <w:r w:rsidRPr="00A428C3">
        <w:t>? Zolotare, P.P. (1970), Theory of adsorption kinetics with allowance made for mal effects - rate of process is limited by external mass</w:t>
      </w:r>
      <w:r w:rsidR="00F81221">
        <w:t xml:space="preserve"> and </w:t>
      </w:r>
      <w:r w:rsidRPr="00A428C3">
        <w:t xml:space="preserve">heat transfer. </w:t>
      </w:r>
      <w:r w:rsidRPr="00A428C3">
        <w:rPr>
          <w:i/>
          <w:iCs/>
        </w:rPr>
        <w:t>Izvestiya Akademii Nauk SSSR-Seriya Khimicheskaya</w:t>
      </w:r>
      <w:r w:rsidRPr="00A428C3">
        <w:t>, (12), 2831-??.</w:t>
      </w:r>
    </w:p>
    <w:p w:rsidR="00B95188" w:rsidRPr="00A428C3" w:rsidRDefault="00B95188" w:rsidP="00B95188">
      <w:pPr>
        <w:pStyle w:val="a0"/>
      </w:pPr>
      <w:r w:rsidRPr="00A428C3">
        <w:t>? Dubini, M.M.</w:t>
      </w:r>
      <w:r w:rsidR="00F81221">
        <w:t xml:space="preserve"> and </w:t>
      </w:r>
      <w:r w:rsidRPr="00A428C3">
        <w:t xml:space="preserve">Astakhov, B.A. (1971), ??. </w:t>
      </w:r>
      <w:r w:rsidRPr="00A428C3">
        <w:rPr>
          <w:i/>
          <w:iCs/>
        </w:rPr>
        <w:t>Izvestiya Akademii Nauk SSSR-Seriya Khimicheskaya</w:t>
      </w:r>
      <w:r w:rsidRPr="00A428C3">
        <w:t>, (??), 5-??.</w:t>
      </w:r>
    </w:p>
    <w:p w:rsidR="00B95188" w:rsidRPr="00A428C3" w:rsidRDefault="00B95188" w:rsidP="00B95188">
      <w:pPr>
        <w:pStyle w:val="a0"/>
      </w:pPr>
      <w:r w:rsidRPr="00A428C3">
        <w:t xml:space="preserve">? Zolotare, P.P. (1971), Adsorption kinetics of mixture of 2 substances when external mass-transfer is its limiting stage. </w:t>
      </w:r>
      <w:r w:rsidRPr="00A428C3">
        <w:rPr>
          <w:i/>
          <w:iCs/>
        </w:rPr>
        <w:t>Izvestiya Akademii Nauk SSSR-Seriya Khimicheskaya</w:t>
      </w:r>
      <w:r w:rsidRPr="00A428C3">
        <w:t>, (9), 2055-&amp;.</w:t>
      </w:r>
    </w:p>
    <w:p w:rsidR="00B95188" w:rsidRPr="00A428C3" w:rsidRDefault="00B95188" w:rsidP="00B95188">
      <w:pPr>
        <w:pStyle w:val="a0"/>
      </w:pPr>
      <w:r w:rsidRPr="00A428C3">
        <w:t>? Bering, B.P., Kabanova, O.N., Serpinsk, V.V., Surinova, S.I.</w:t>
      </w:r>
      <w:r w:rsidR="00F81221">
        <w:t xml:space="preserve"> and </w:t>
      </w:r>
      <w:r w:rsidRPr="00A428C3">
        <w:t xml:space="preserve">Yakubov, T.S. (1971), New method for calculation of adsorption of binary vapour mixtures on microporous adsorbents. </w:t>
      </w:r>
      <w:r w:rsidRPr="00A428C3">
        <w:rPr>
          <w:i/>
          <w:iCs/>
        </w:rPr>
        <w:t>Izvestiya Akademii Nauk SSSR-Seriya Khimicheskaya</w:t>
      </w:r>
      <w:r w:rsidRPr="00A428C3">
        <w:t>, (12), 2641-&amp;.</w:t>
      </w:r>
    </w:p>
    <w:p w:rsidR="00B95188" w:rsidRPr="00A428C3" w:rsidRDefault="00B95188" w:rsidP="00B95188">
      <w:pPr>
        <w:pStyle w:val="a0"/>
      </w:pPr>
      <w:r w:rsidRPr="00A428C3">
        <w:t>? Bering, B.P., Serpinsk, V.V.</w:t>
      </w:r>
      <w:r w:rsidR="00F81221">
        <w:t xml:space="preserve"> and </w:t>
      </w:r>
      <w:r w:rsidRPr="00A428C3">
        <w:t>Surinova, S.I. (1972), Adsorption of vapor mixtures of propane</w:t>
      </w:r>
      <w:r w:rsidR="00F81221">
        <w:t xml:space="preserve"> and </w:t>
      </w:r>
      <w:r w:rsidRPr="00A428C3">
        <w:t xml:space="preserve">ethyl chloride on zeolite NaX. </w:t>
      </w:r>
      <w:r w:rsidRPr="00A428C3">
        <w:rPr>
          <w:i/>
          <w:iCs/>
        </w:rPr>
        <w:t>Izvestiya Akademii Nauk SSSR-Seriya Khimicheskaya</w:t>
      </w:r>
      <w:r w:rsidRPr="00A428C3">
        <w:t>, (2), 436-&amp;.</w:t>
      </w:r>
    </w:p>
    <w:p w:rsidR="00B95188" w:rsidRPr="00A428C3" w:rsidRDefault="00B95188" w:rsidP="00B95188">
      <w:pPr>
        <w:pStyle w:val="a0"/>
      </w:pPr>
      <w:r w:rsidRPr="00A428C3">
        <w:t>? Zolotare, P.P. (1972), Adsorption kinetics in case of rectangular isotherm</w:t>
      </w:r>
      <w:r w:rsidR="00F81221">
        <w:t xml:space="preserve"> and </w:t>
      </w:r>
      <w:r w:rsidRPr="00A428C3">
        <w:t xml:space="preserve">varying </w:t>
      </w:r>
      <w:r w:rsidRPr="00A428C3">
        <w:lastRenderedPageBreak/>
        <w:t xml:space="preserve">concentration of adsorptive on grain-boundary. </w:t>
      </w:r>
      <w:r w:rsidRPr="00A428C3">
        <w:rPr>
          <w:i/>
          <w:iCs/>
        </w:rPr>
        <w:t>Izvestiya Akademii Nauk SSSR-Seriya Khimicheskaya</w:t>
      </w:r>
      <w:r w:rsidRPr="00A428C3">
        <w:t>, (3), 526-&amp;.</w:t>
      </w:r>
    </w:p>
    <w:p w:rsidR="00B95188" w:rsidRPr="00A428C3" w:rsidRDefault="00B95188" w:rsidP="00B95188">
      <w:pPr>
        <w:pStyle w:val="a0"/>
      </w:pPr>
      <w:r w:rsidRPr="00A428C3">
        <w:t xml:space="preserve">? Zolotare, P.P., Dubinin, M.M., </w:t>
      </w:r>
      <w:smartTag w:uri="urn:schemas-microsoft-com:office:smarttags" w:element="place">
        <w:smartTag w:uri="urn:schemas-microsoft-com:office:smarttags" w:element="City">
          <w:r w:rsidRPr="00A428C3">
            <w:t>Polyakov</w:t>
          </w:r>
        </w:smartTag>
        <w:r w:rsidRPr="00A428C3">
          <w:t xml:space="preserve">, </w:t>
        </w:r>
        <w:smartTag w:uri="urn:schemas-microsoft-com:office:smarttags" w:element="State">
          <w:r w:rsidRPr="00A428C3">
            <w:t>N.S.</w:t>
          </w:r>
        </w:smartTag>
      </w:smartTag>
      <w:r w:rsidRPr="00A428C3">
        <w:t>, Nikolaev, K.M.</w:t>
      </w:r>
      <w:r w:rsidR="00F81221">
        <w:t xml:space="preserve"> and </w:t>
      </w:r>
      <w:r w:rsidRPr="00A428C3">
        <w:t xml:space="preserve">Radushke, L.V. (1972), Investigation of adsorption dynamics in wide-range of concentrations. 3. Fundamentals of theory of process. </w:t>
      </w:r>
      <w:r w:rsidRPr="00A428C3">
        <w:rPr>
          <w:i/>
          <w:iCs/>
        </w:rPr>
        <w:t>Izvestiya Akademii Nauk SSSR-Seriya Khimicheskaya</w:t>
      </w:r>
      <w:r w:rsidRPr="00A428C3">
        <w:t>, (7), 1484-&amp;.</w:t>
      </w:r>
    </w:p>
    <w:p w:rsidR="00B95188" w:rsidRPr="00A428C3" w:rsidRDefault="00B95188" w:rsidP="00B95188">
      <w:pPr>
        <w:pStyle w:val="a0"/>
      </w:pPr>
      <w:r w:rsidRPr="00A428C3">
        <w:t>? Bering, B.P., Serpinsk, V.V.</w:t>
      </w:r>
      <w:r w:rsidR="00F81221">
        <w:t xml:space="preserve"> and </w:t>
      </w:r>
      <w:r w:rsidRPr="00A428C3">
        <w:t xml:space="preserve">Surinova, S.I. (1973), Calculation of excess adsorption isotherm from solution on non- porous adsorbent based on individual adsorption isotherms from gas-phase. </w:t>
      </w:r>
      <w:r w:rsidRPr="00A428C3">
        <w:rPr>
          <w:i/>
          <w:iCs/>
        </w:rPr>
        <w:t>Izvestiya Akademii Nauk SSSR-Seriya Khimicheskaya</w:t>
      </w:r>
      <w:r w:rsidRPr="00A428C3">
        <w:t>, (1), 3-6.</w:t>
      </w:r>
    </w:p>
    <w:p w:rsidR="00B95188" w:rsidRPr="00A428C3" w:rsidRDefault="00B95188" w:rsidP="00B95188">
      <w:pPr>
        <w:pStyle w:val="a0"/>
      </w:pPr>
      <w:r w:rsidRPr="00A428C3">
        <w:t xml:space="preserve">? Zolotare, P.P. (1973), Influence of incidental variation of adsorptive concentration in a flow on adsorption kinetics in adsorbent grain. </w:t>
      </w:r>
      <w:r w:rsidRPr="00A428C3">
        <w:rPr>
          <w:i/>
          <w:iCs/>
        </w:rPr>
        <w:t>Izvestiya Akademii Nauk SSSR-Seriya Khimicheskaya</w:t>
      </w:r>
      <w:r w:rsidRPr="00A428C3">
        <w:t>, (1), 116-119.</w:t>
      </w:r>
    </w:p>
    <w:p w:rsidR="00B95188" w:rsidRPr="00A428C3" w:rsidRDefault="00B95188" w:rsidP="00B95188">
      <w:pPr>
        <w:pStyle w:val="a0"/>
      </w:pPr>
      <w:r w:rsidRPr="00A428C3">
        <w:t xml:space="preserve">? Dubinin, M.M., Zolotare, P.P., Nikolaev, K.M., </w:t>
      </w:r>
      <w:smartTag w:uri="urn:schemas-microsoft-com:office:smarttags" w:element="place">
        <w:smartTag w:uri="urn:schemas-microsoft-com:office:smarttags" w:element="City">
          <w:r w:rsidRPr="00A428C3">
            <w:t>Polyakov</w:t>
          </w:r>
        </w:smartTag>
        <w:r w:rsidRPr="00A428C3">
          <w:t xml:space="preserve">, </w:t>
        </w:r>
        <w:smartTag w:uri="urn:schemas-microsoft-com:office:smarttags" w:element="State">
          <w:r w:rsidRPr="00A428C3">
            <w:t>N.S.</w:t>
          </w:r>
        </w:smartTag>
      </w:smartTag>
      <w:r w:rsidRPr="00A428C3">
        <w:t>, Petrova, L.I.</w:t>
      </w:r>
      <w:r w:rsidR="00F81221">
        <w:t xml:space="preserve"> and </w:t>
      </w:r>
      <w:r w:rsidRPr="00A428C3">
        <w:t xml:space="preserve">Radushke, L.V. (1973), Study of adsorption dynamics in broad range of brake down concentrations. 4. Theoretical analysis of experimental-data. </w:t>
      </w:r>
      <w:r w:rsidRPr="00A428C3">
        <w:rPr>
          <w:i/>
          <w:iCs/>
        </w:rPr>
        <w:t>Izvestiya Akademii Nauk SSSR-Seriya Khimicheskaya</w:t>
      </w:r>
      <w:r w:rsidRPr="00A428C3">
        <w:t>, (2), 293-297.</w:t>
      </w:r>
    </w:p>
    <w:p w:rsidR="00B95188" w:rsidRPr="00A428C3" w:rsidRDefault="00B95188" w:rsidP="00B95188">
      <w:pPr>
        <w:pStyle w:val="a0"/>
      </w:pPr>
      <w:r w:rsidRPr="00A428C3">
        <w:t>? Bering, B.P., Serpinsk, V.V.</w:t>
      </w:r>
      <w:r w:rsidR="00F81221">
        <w:t xml:space="preserve"> and </w:t>
      </w:r>
      <w:r w:rsidRPr="00A428C3">
        <w:t xml:space="preserve">Surinova, S.I. (1973), Calculation of excess adsorption isotherm from solution on non-porous adsorbent based on individual adsorption isotherms from gas-phase. </w:t>
      </w:r>
      <w:r w:rsidRPr="00A428C3">
        <w:rPr>
          <w:i/>
          <w:iCs/>
        </w:rPr>
        <w:t>Izvestiya Akademii Nauk SSSR-Seriya Khimicheskaya</w:t>
      </w:r>
      <w:r w:rsidRPr="00A428C3">
        <w:t>, (1), 3-6.</w:t>
      </w:r>
    </w:p>
    <w:p w:rsidR="00B95188" w:rsidRPr="00A428C3" w:rsidRDefault="00B95188" w:rsidP="00B95188">
      <w:pPr>
        <w:pStyle w:val="a0"/>
      </w:pPr>
      <w:r w:rsidRPr="00A428C3">
        <w:t>? Bering, B.P., Serpinsk, V.V.</w:t>
      </w:r>
      <w:r w:rsidR="00F81221">
        <w:t xml:space="preserve"> and </w:t>
      </w:r>
      <w:r w:rsidRPr="00A428C3">
        <w:t>Surinova, S.I. (1973), Adsorption of benzene</w:t>
      </w:r>
      <w:r w:rsidR="00F81221">
        <w:t xml:space="preserve"> and </w:t>
      </w:r>
      <w:r w:rsidRPr="00A428C3">
        <w:t xml:space="preserve">trimethylpentane vapors mixtures on graphitized carbon-black. </w:t>
      </w:r>
      <w:r w:rsidRPr="00A428C3">
        <w:rPr>
          <w:i/>
          <w:iCs/>
        </w:rPr>
        <w:t>Izvestiya Akademii Nauk SSSR-Seriya Khimicheskaya</w:t>
      </w:r>
      <w:r w:rsidRPr="00A428C3">
        <w:t>, (1), 7-10.</w:t>
      </w:r>
    </w:p>
    <w:p w:rsidR="00B95188" w:rsidRPr="00A428C3" w:rsidRDefault="00B95188" w:rsidP="00B95188">
      <w:pPr>
        <w:pStyle w:val="1"/>
      </w:pPr>
      <w:r w:rsidRPr="00A428C3">
        <w:br w:type="page"/>
      </w:r>
      <w:bookmarkStart w:id="1716" w:name="_Toc186648004"/>
      <w:bookmarkStart w:id="1717" w:name="_Toc317161445"/>
      <w:r w:rsidRPr="00A428C3">
        <w:lastRenderedPageBreak/>
        <w:t>Title: Izvestiya Vysshikh Uchebnykh Zavedenii Fizika</w:t>
      </w:r>
      <w:bookmarkEnd w:id="1716"/>
      <w:bookmarkEnd w:id="1717"/>
    </w:p>
    <w:p w:rsidR="00B95188" w:rsidRPr="00A428C3" w:rsidRDefault="00B95188" w:rsidP="00B72EF9">
      <w:pPr>
        <w:pStyle w:val="12"/>
      </w:pPr>
      <w:r w:rsidRPr="00A428C3">
        <w:t>Full Journal Title: Izvestiya Vysshikh Uchebnykh Zavedenii Fizika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JCR Abbreviated Title: Izv Vyssh Uch Zav Fiz</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 xml:space="preserve">Impact Factor </w:t>
      </w:r>
    </w:p>
    <w:p w:rsidR="00B95188" w:rsidRPr="00A428C3" w:rsidRDefault="00B95188" w:rsidP="00B95188">
      <w:pPr>
        <w:pStyle w:val="a0"/>
      </w:pPr>
      <w:r w:rsidRPr="00A428C3">
        <w:t>? Sivov, Y.A., Styrov, V.V.</w:t>
      </w:r>
      <w:r w:rsidR="00F81221">
        <w:t xml:space="preserve"> and </w:t>
      </w:r>
      <w:r w:rsidRPr="00A428C3">
        <w:t xml:space="preserve">Yagnova, L.I. (1970), Effect of oxygen adsorption on RRL kinetics of phosphors. </w:t>
      </w:r>
      <w:r w:rsidRPr="00A428C3">
        <w:rPr>
          <w:i/>
          <w:iCs/>
        </w:rPr>
        <w:t>Izvestiya Vysshikh Uchebnykh Zavedenii Fizika</w:t>
      </w:r>
      <w:r w:rsidRPr="00A428C3">
        <w:t>, (9), 124-??.</w:t>
      </w:r>
    </w:p>
    <w:p w:rsidR="00B95188" w:rsidRPr="00A428C3" w:rsidRDefault="00B95188" w:rsidP="00B95188">
      <w:pPr>
        <w:pStyle w:val="a0"/>
      </w:pPr>
      <w:r w:rsidRPr="00A428C3">
        <w:t xml:space="preserve">? Kozlov, S.N. (1975), Kinetics of semiconductor surface charging at adsorption. </w:t>
      </w:r>
      <w:r w:rsidRPr="00A428C3">
        <w:rPr>
          <w:i/>
          <w:iCs/>
        </w:rPr>
        <w:t>Izvestiya Vysshikh Uchebnykh Zavedenii Fizika</w:t>
      </w:r>
      <w:r w:rsidRPr="00A428C3">
        <w:t>, (2), 116-120.</w:t>
      </w:r>
    </w:p>
    <w:p w:rsidR="00B95188" w:rsidRPr="00A428C3" w:rsidRDefault="00B95188" w:rsidP="00B95188">
      <w:pPr>
        <w:pStyle w:val="1"/>
      </w:pPr>
      <w:r w:rsidRPr="00A428C3">
        <w:br w:type="page"/>
      </w:r>
      <w:bookmarkStart w:id="1718" w:name="_Toc455569494"/>
      <w:bookmarkStart w:id="1719" w:name="_Toc487190751"/>
      <w:bookmarkStart w:id="1720" w:name="_Toc487882256"/>
      <w:bookmarkStart w:id="1721" w:name="_Toc490688098"/>
      <w:bookmarkStart w:id="1722" w:name="_Toc492812211"/>
      <w:bookmarkStart w:id="1723" w:name="_Toc186648005"/>
      <w:bookmarkStart w:id="1724" w:name="_Toc317161446"/>
      <w:r w:rsidRPr="00A428C3">
        <w:lastRenderedPageBreak/>
        <w:t>Title: Izvestiya Vysshikh Uchebnykh Zavedenii Khimiya I Khimicheskaya Tekhnologiya</w:t>
      </w:r>
      <w:bookmarkEnd w:id="1718"/>
      <w:bookmarkEnd w:id="1719"/>
      <w:bookmarkEnd w:id="1720"/>
      <w:bookmarkEnd w:id="1721"/>
      <w:bookmarkEnd w:id="1722"/>
      <w:bookmarkEnd w:id="1723"/>
      <w:bookmarkEnd w:id="1724"/>
    </w:p>
    <w:p w:rsidR="00B95188" w:rsidRPr="00A428C3" w:rsidRDefault="00B95188" w:rsidP="00B95188">
      <w:pPr>
        <w:pStyle w:val="a0"/>
      </w:pPr>
      <w:r w:rsidRPr="00A428C3">
        <w:t>(IVUKA; Izv. VUZ Khim. i Khim. Tekhnol.; Izv. Vyssh. Uchebn. Zaved. Khim. Tekhnol.)</w:t>
      </w:r>
    </w:p>
    <w:p w:rsidR="00B95188" w:rsidRPr="00A428C3" w:rsidRDefault="00B95188" w:rsidP="00B72EF9">
      <w:pPr>
        <w:pStyle w:val="12"/>
      </w:pPr>
      <w:r w:rsidRPr="00A428C3">
        <w:t>Full Journal Title: Izvestiya Vysshikh Uchebnykh Zavedenii Khimiya I Khimicheskaya Tekhnologiya</w:t>
      </w:r>
    </w:p>
    <w:p w:rsidR="00B95188" w:rsidRPr="00A428C3" w:rsidRDefault="00B95188" w:rsidP="00B72EF9">
      <w:pPr>
        <w:pStyle w:val="12"/>
      </w:pPr>
      <w:r w:rsidRPr="00A428C3">
        <w:t xml:space="preserve">ISO Abbreviated Title: </w:t>
      </w:r>
    </w:p>
    <w:p w:rsidR="00B95188" w:rsidRPr="00A428C3" w:rsidRDefault="00B95188" w:rsidP="00B72EF9">
      <w:pPr>
        <w:pStyle w:val="12"/>
      </w:pPr>
      <w:r w:rsidRPr="00A428C3">
        <w:t xml:space="preserve">JCR Abbreviated Title: </w:t>
      </w:r>
    </w:p>
    <w:p w:rsidR="00B95188" w:rsidRPr="00A428C3" w:rsidRDefault="00B95188" w:rsidP="00B72EF9">
      <w:pPr>
        <w:pStyle w:val="12"/>
      </w:pPr>
      <w:r w:rsidRPr="00A428C3">
        <w:t xml:space="preserve">ISSN: </w:t>
      </w:r>
    </w:p>
    <w:p w:rsidR="00B95188" w:rsidRPr="00A428C3" w:rsidRDefault="00B95188" w:rsidP="00B72EF9">
      <w:pPr>
        <w:pStyle w:val="12"/>
      </w:pPr>
      <w:r w:rsidRPr="00A428C3">
        <w:t xml:space="preserve">Issues/Year: </w:t>
      </w:r>
    </w:p>
    <w:p w:rsidR="00B95188" w:rsidRPr="00A428C3" w:rsidRDefault="00B95188" w:rsidP="00B72EF9">
      <w:pPr>
        <w:pStyle w:val="12"/>
      </w:pPr>
      <w:r w:rsidRPr="00A428C3">
        <w:t>Journal Country/Territory:</w:t>
      </w:r>
    </w:p>
    <w:p w:rsidR="00B95188" w:rsidRPr="00A428C3" w:rsidRDefault="00B95188" w:rsidP="00B72EF9">
      <w:pPr>
        <w:pStyle w:val="12"/>
      </w:pPr>
      <w:r w:rsidRPr="00A428C3">
        <w:t xml:space="preserve">Language: </w:t>
      </w:r>
    </w:p>
    <w:p w:rsidR="00B95188" w:rsidRPr="00A428C3" w:rsidRDefault="00B95188" w:rsidP="00B72EF9">
      <w:pPr>
        <w:pStyle w:val="12"/>
      </w:pPr>
      <w:r w:rsidRPr="00A428C3">
        <w:t xml:space="preserve">Publisher: </w:t>
      </w:r>
    </w:p>
    <w:p w:rsidR="00B95188" w:rsidRPr="00A428C3" w:rsidRDefault="00B95188" w:rsidP="00B72EF9">
      <w:pPr>
        <w:pStyle w:val="12"/>
      </w:pPr>
      <w:r w:rsidRPr="00A428C3">
        <w:t xml:space="preserve">Publisher Address: </w:t>
      </w:r>
    </w:p>
    <w:p w:rsidR="00B95188" w:rsidRPr="00A428C3" w:rsidRDefault="00B95188" w:rsidP="00B72EF9">
      <w:pPr>
        <w:pStyle w:val="12"/>
      </w:pPr>
      <w:r w:rsidRPr="00A428C3">
        <w:t>Subject Categories:</w:t>
      </w:r>
    </w:p>
    <w:p w:rsidR="00B95188" w:rsidRPr="00A428C3" w:rsidRDefault="00B95188" w:rsidP="00B72EF9">
      <w:pPr>
        <w:pStyle w:val="12"/>
      </w:pPr>
      <w:r w:rsidRPr="00A428C3">
        <w:t>Impact Factor</w:t>
      </w:r>
    </w:p>
    <w:p w:rsidR="00B95188" w:rsidRPr="00A428C3" w:rsidRDefault="00B95188" w:rsidP="00B95188">
      <w:pPr>
        <w:pStyle w:val="a0"/>
      </w:pPr>
      <w:r w:rsidRPr="00A428C3">
        <w:t>Skrylev, L.D., Beldii, M.G., Beldii, S.K.</w:t>
      </w:r>
      <w:r w:rsidR="00F81221">
        <w:t xml:space="preserve"> and </w:t>
      </w:r>
      <w:r w:rsidRPr="00A428C3">
        <w:t xml:space="preserve">Kostik, V.V. (1992), Finely-dispersed saponified peat wax as flotation collector of heavy-metal ions. </w:t>
      </w:r>
      <w:r w:rsidRPr="00A428C3">
        <w:rPr>
          <w:i/>
        </w:rPr>
        <w:t>Izvestiya Vysshikh Uchebnykh Zavedenii Khimiya I Khimicheskaya Tekhnologiya</w:t>
      </w:r>
      <w:r w:rsidRPr="00A428C3">
        <w:t xml:space="preserve">, </w:t>
      </w:r>
      <w:r w:rsidRPr="00A428C3">
        <w:rPr>
          <w:b/>
        </w:rPr>
        <w:t>35</w:t>
      </w:r>
      <w:r w:rsidRPr="00A428C3">
        <w:t>, 74-80.</w:t>
      </w:r>
    </w:p>
    <w:p w:rsidR="00B95188" w:rsidRPr="00A428C3" w:rsidRDefault="00B95188" w:rsidP="00B95188">
      <w:pPr>
        <w:pStyle w:val="a0"/>
      </w:pPr>
      <w:bookmarkStart w:id="1725" w:name="Skrylev"/>
      <w:r w:rsidRPr="00A428C3">
        <w:t>Skrylev</w:t>
      </w:r>
      <w:bookmarkEnd w:id="1725"/>
      <w:r w:rsidRPr="00A428C3">
        <w:t xml:space="preserve">, L.D., </w:t>
      </w:r>
      <w:bookmarkStart w:id="1726" w:name="Beldii"/>
      <w:r w:rsidRPr="00A428C3">
        <w:t>Beldii</w:t>
      </w:r>
      <w:bookmarkEnd w:id="1726"/>
      <w:r w:rsidRPr="00A428C3">
        <w:t xml:space="preserve">, M.G., </w:t>
      </w:r>
      <w:bookmarkStart w:id="1727" w:name="Babinets"/>
      <w:r w:rsidRPr="00A428C3">
        <w:t>Babinets</w:t>
      </w:r>
      <w:bookmarkEnd w:id="1727"/>
      <w:r w:rsidRPr="00A428C3">
        <w:t>, S.K.</w:t>
      </w:r>
      <w:r w:rsidR="00F81221">
        <w:t xml:space="preserve"> and </w:t>
      </w:r>
      <w:bookmarkStart w:id="1728" w:name="Kostik"/>
      <w:r w:rsidRPr="00A428C3">
        <w:t>Kostik</w:t>
      </w:r>
      <w:bookmarkEnd w:id="1728"/>
      <w:r w:rsidRPr="00A428C3">
        <w:t xml:space="preserve">, V.V. (1992), Flotation </w:t>
      </w:r>
      <w:bookmarkStart w:id="1729" w:name="isolation"/>
      <w:r w:rsidRPr="00A428C3">
        <w:t>isolation</w:t>
      </w:r>
      <w:bookmarkEnd w:id="1729"/>
      <w:r w:rsidRPr="00A428C3">
        <w:t xml:space="preserve"> of thorium ions collected through </w:t>
      </w:r>
      <w:bookmarkStart w:id="1730" w:name="tin"/>
      <w:r w:rsidRPr="00A428C3">
        <w:t>tin</w:t>
      </w:r>
      <w:bookmarkEnd w:id="1730"/>
      <w:r w:rsidRPr="00A428C3">
        <w:t xml:space="preserve">-emulsified solutions of </w:t>
      </w:r>
      <w:bookmarkStart w:id="1731" w:name="aliphatic"/>
      <w:r w:rsidRPr="00A428C3">
        <w:t>aliphatic</w:t>
      </w:r>
      <w:bookmarkEnd w:id="1731"/>
      <w:r w:rsidRPr="00A428C3">
        <w:t xml:space="preserve">-acid in </w:t>
      </w:r>
      <w:bookmarkStart w:id="1732" w:name="benzene"/>
      <w:r w:rsidRPr="00A428C3">
        <w:t>benzene</w:t>
      </w:r>
      <w:bookmarkEnd w:id="1732"/>
      <w:r w:rsidRPr="00A428C3">
        <w:t xml:space="preserve">. </w:t>
      </w:r>
      <w:r w:rsidRPr="00A428C3">
        <w:rPr>
          <w:i/>
        </w:rPr>
        <w:t>Izvestiya Vysshikh Uchebnykh Zavedenii Khimiya I Khimicheskaya Tekhnologiya</w:t>
      </w:r>
      <w:r w:rsidRPr="00A428C3">
        <w:t xml:space="preserve">, </w:t>
      </w:r>
      <w:r w:rsidRPr="00A428C3">
        <w:rPr>
          <w:b/>
        </w:rPr>
        <w:t>35</w:t>
      </w:r>
      <w:r w:rsidRPr="00A428C3">
        <w:t>, 74-80.</w:t>
      </w:r>
    </w:p>
    <w:sectPr w:rsidR="00B95188" w:rsidRPr="00A428C3" w:rsidSect="00CF3A97">
      <w:footerReference w:type="default" r:id="rId2173"/>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27A" w:rsidRDefault="0046427A" w:rsidP="006200B7">
      <w:r>
        <w:separator/>
      </w:r>
    </w:p>
  </w:endnote>
  <w:endnote w:type="continuationSeparator" w:id="0">
    <w:p w:rsidR="0046427A" w:rsidRDefault="0046427A" w:rsidP="006200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siatische Schriftart verwende">
    <w:altName w:val="Times New Roman"/>
    <w:panose1 w:val="00000000000000000000"/>
    <w:charset w:val="00"/>
    <w:family w:val="roman"/>
    <w:notTrueType/>
    <w:pitch w:val="default"/>
    <w:sig w:usb0="00000000" w:usb1="00000000" w:usb2="00000000" w:usb3="00000000" w:csb0="00000000" w:csb1="00000000"/>
  </w:font>
  <w:font w:name="AdvTT6a9e2faf.B">
    <w:altName w:val="Times New Roman"/>
    <w:panose1 w:val="00000000000000000000"/>
    <w:charset w:val="00"/>
    <w:family w:val="roman"/>
    <w:notTrueType/>
    <w:pitch w:val="default"/>
    <w:sig w:usb0="00000003" w:usb1="00000000" w:usb2="00000000" w:usb3="00000000" w:csb0="00000001" w:csb1="00000000"/>
  </w:font>
  <w:font w:name="MSTT31d4d75701O17105800">
    <w:altName w:val="Arial Unicode MS"/>
    <w:panose1 w:val="00000000000000000000"/>
    <w:charset w:val="88"/>
    <w:family w:val="auto"/>
    <w:notTrueType/>
    <w:pitch w:val="default"/>
    <w:sig w:usb0="00000001" w:usb1="08080000" w:usb2="00000010" w:usb3="00000000" w:csb0="00100000" w:csb1="00000000"/>
  </w:font>
  <w:font w:name="AdvP4C4E59">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Pr="00806017" w:rsidRDefault="003B46CA">
    <w:pPr>
      <w:jc w:val="center"/>
      <w:rPr>
        <w:sz w:val="20"/>
      </w:rPr>
    </w:pPr>
    <w:r w:rsidRPr="00806017">
      <w:rPr>
        <w:sz w:val="20"/>
      </w:rPr>
      <w:fldChar w:fldCharType="begin"/>
    </w:r>
    <w:r w:rsidRPr="00806017">
      <w:rPr>
        <w:sz w:val="20"/>
      </w:rPr>
      <w:instrText xml:space="preserve"> PAGE </w:instrText>
    </w:r>
    <w:r w:rsidRPr="00806017">
      <w:rPr>
        <w:sz w:val="20"/>
      </w:rPr>
      <w:fldChar w:fldCharType="separate"/>
    </w:r>
    <w:r w:rsidR="00C82CAD">
      <w:rPr>
        <w:noProof/>
        <w:sz w:val="20"/>
      </w:rPr>
      <w:t>1905</w:t>
    </w:r>
    <w:r w:rsidRPr="00806017">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27A" w:rsidRDefault="0046427A" w:rsidP="006200B7">
      <w:r>
        <w:separator/>
      </w:r>
    </w:p>
  </w:footnote>
  <w:footnote w:type="continuationSeparator" w:id="0">
    <w:p w:rsidR="0046427A" w:rsidRDefault="0046427A" w:rsidP="006200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CA" w:rsidRDefault="003B46CA"/>
  <w:p w:rsidR="003B46CA" w:rsidRDefault="003B46CA"/>
  <w:p w:rsidR="003B46CA" w:rsidRDefault="003B46CA"/>
  <w:p w:rsidR="003B46CA" w:rsidRDefault="003B46CA"/>
  <w:p w:rsidR="003B46CA" w:rsidRDefault="003B46CA"/>
  <w:p w:rsidR="003B46CA" w:rsidRDefault="003B46C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27BD25F8"/>
    <w:multiLevelType w:val="hybridMultilevel"/>
    <w:tmpl w:val="E5C8BD56"/>
    <w:lvl w:ilvl="0" w:tplc="5DA6339A">
      <w:start w:val="1"/>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stylePaneFormatFilter w:val="1028"/>
  <w:defaultTabStop w:val="480"/>
  <w:drawingGridHorizontalSpacing w:val="120"/>
  <w:displayHorizontalDrawingGridEvery w:val="0"/>
  <w:displayVerticalDrawingGridEvery w:val="2"/>
  <w:characterSpacingControl w:val="compressPunctuation"/>
  <w:hdrShapeDefaults>
    <o:shapedefaults v:ext="edit" spidmax="1563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5188"/>
    <w:rsid w:val="00002825"/>
    <w:rsid w:val="00002D5A"/>
    <w:rsid w:val="000047BD"/>
    <w:rsid w:val="00005AE7"/>
    <w:rsid w:val="0001232A"/>
    <w:rsid w:val="00015646"/>
    <w:rsid w:val="000160FF"/>
    <w:rsid w:val="00016414"/>
    <w:rsid w:val="0001673D"/>
    <w:rsid w:val="000169B8"/>
    <w:rsid w:val="00017426"/>
    <w:rsid w:val="00017484"/>
    <w:rsid w:val="00020019"/>
    <w:rsid w:val="00023AB0"/>
    <w:rsid w:val="00023D16"/>
    <w:rsid w:val="000241AC"/>
    <w:rsid w:val="00024BC7"/>
    <w:rsid w:val="00024F55"/>
    <w:rsid w:val="000263A5"/>
    <w:rsid w:val="00026BE2"/>
    <w:rsid w:val="00026F4B"/>
    <w:rsid w:val="00031260"/>
    <w:rsid w:val="00031E3A"/>
    <w:rsid w:val="000320FD"/>
    <w:rsid w:val="00032FB6"/>
    <w:rsid w:val="00033623"/>
    <w:rsid w:val="000346F5"/>
    <w:rsid w:val="000352E7"/>
    <w:rsid w:val="000355C4"/>
    <w:rsid w:val="000366D3"/>
    <w:rsid w:val="00037582"/>
    <w:rsid w:val="00040719"/>
    <w:rsid w:val="00040D58"/>
    <w:rsid w:val="00041873"/>
    <w:rsid w:val="0004369E"/>
    <w:rsid w:val="00043B1C"/>
    <w:rsid w:val="00044627"/>
    <w:rsid w:val="00044CA7"/>
    <w:rsid w:val="0004525C"/>
    <w:rsid w:val="0005004B"/>
    <w:rsid w:val="00052E94"/>
    <w:rsid w:val="00053358"/>
    <w:rsid w:val="0005468F"/>
    <w:rsid w:val="00055391"/>
    <w:rsid w:val="00056454"/>
    <w:rsid w:val="00056549"/>
    <w:rsid w:val="00060D16"/>
    <w:rsid w:val="00060FD3"/>
    <w:rsid w:val="000624D9"/>
    <w:rsid w:val="000634E2"/>
    <w:rsid w:val="00064C5B"/>
    <w:rsid w:val="00065258"/>
    <w:rsid w:val="00065802"/>
    <w:rsid w:val="000658CF"/>
    <w:rsid w:val="000659CC"/>
    <w:rsid w:val="00065EA6"/>
    <w:rsid w:val="00066EF8"/>
    <w:rsid w:val="00070241"/>
    <w:rsid w:val="000710A5"/>
    <w:rsid w:val="00071326"/>
    <w:rsid w:val="000732B3"/>
    <w:rsid w:val="000734E8"/>
    <w:rsid w:val="00073595"/>
    <w:rsid w:val="00074995"/>
    <w:rsid w:val="00074DAE"/>
    <w:rsid w:val="00075209"/>
    <w:rsid w:val="00075804"/>
    <w:rsid w:val="00077B31"/>
    <w:rsid w:val="00080AC3"/>
    <w:rsid w:val="00080ADA"/>
    <w:rsid w:val="000815B4"/>
    <w:rsid w:val="00081B31"/>
    <w:rsid w:val="00083688"/>
    <w:rsid w:val="00084315"/>
    <w:rsid w:val="0008467B"/>
    <w:rsid w:val="000865D5"/>
    <w:rsid w:val="00091BE3"/>
    <w:rsid w:val="00091C16"/>
    <w:rsid w:val="00091E9E"/>
    <w:rsid w:val="00092604"/>
    <w:rsid w:val="00092A67"/>
    <w:rsid w:val="0009400A"/>
    <w:rsid w:val="000950C3"/>
    <w:rsid w:val="000968EF"/>
    <w:rsid w:val="0009713E"/>
    <w:rsid w:val="000A02BC"/>
    <w:rsid w:val="000A2664"/>
    <w:rsid w:val="000A2E05"/>
    <w:rsid w:val="000A4EDD"/>
    <w:rsid w:val="000A64EF"/>
    <w:rsid w:val="000B020A"/>
    <w:rsid w:val="000B2519"/>
    <w:rsid w:val="000B27B6"/>
    <w:rsid w:val="000B2F82"/>
    <w:rsid w:val="000B3F68"/>
    <w:rsid w:val="000B5F78"/>
    <w:rsid w:val="000B66DD"/>
    <w:rsid w:val="000B6A55"/>
    <w:rsid w:val="000B7369"/>
    <w:rsid w:val="000B7F65"/>
    <w:rsid w:val="000C0000"/>
    <w:rsid w:val="000C01CB"/>
    <w:rsid w:val="000C08B3"/>
    <w:rsid w:val="000C2272"/>
    <w:rsid w:val="000C33EA"/>
    <w:rsid w:val="000C45A4"/>
    <w:rsid w:val="000C4951"/>
    <w:rsid w:val="000C4A44"/>
    <w:rsid w:val="000C5BDC"/>
    <w:rsid w:val="000C5C26"/>
    <w:rsid w:val="000C657B"/>
    <w:rsid w:val="000C6586"/>
    <w:rsid w:val="000C75D5"/>
    <w:rsid w:val="000D033C"/>
    <w:rsid w:val="000D0464"/>
    <w:rsid w:val="000D0E25"/>
    <w:rsid w:val="000D10BE"/>
    <w:rsid w:val="000D14AF"/>
    <w:rsid w:val="000D1E6A"/>
    <w:rsid w:val="000D28DF"/>
    <w:rsid w:val="000D2AD8"/>
    <w:rsid w:val="000D35B9"/>
    <w:rsid w:val="000D3C7D"/>
    <w:rsid w:val="000D3F62"/>
    <w:rsid w:val="000D4186"/>
    <w:rsid w:val="000D4C3E"/>
    <w:rsid w:val="000D674C"/>
    <w:rsid w:val="000D762B"/>
    <w:rsid w:val="000D785B"/>
    <w:rsid w:val="000E0E09"/>
    <w:rsid w:val="000E3813"/>
    <w:rsid w:val="000E40DC"/>
    <w:rsid w:val="000E528D"/>
    <w:rsid w:val="000E6FE9"/>
    <w:rsid w:val="000E757A"/>
    <w:rsid w:val="000E7A91"/>
    <w:rsid w:val="000F0661"/>
    <w:rsid w:val="000F1F8F"/>
    <w:rsid w:val="000F1FDE"/>
    <w:rsid w:val="000F2DC9"/>
    <w:rsid w:val="000F3382"/>
    <w:rsid w:val="000F3615"/>
    <w:rsid w:val="000F3D6B"/>
    <w:rsid w:val="000F4484"/>
    <w:rsid w:val="000F578B"/>
    <w:rsid w:val="000F57FF"/>
    <w:rsid w:val="000F5B41"/>
    <w:rsid w:val="000F5ECB"/>
    <w:rsid w:val="000F628F"/>
    <w:rsid w:val="000F67A0"/>
    <w:rsid w:val="001007EA"/>
    <w:rsid w:val="00100D0E"/>
    <w:rsid w:val="0010174E"/>
    <w:rsid w:val="00101AAA"/>
    <w:rsid w:val="00101E6F"/>
    <w:rsid w:val="00102061"/>
    <w:rsid w:val="001029C3"/>
    <w:rsid w:val="00102D62"/>
    <w:rsid w:val="00102F21"/>
    <w:rsid w:val="00103AD5"/>
    <w:rsid w:val="00104A74"/>
    <w:rsid w:val="00105D2E"/>
    <w:rsid w:val="00106935"/>
    <w:rsid w:val="001077FF"/>
    <w:rsid w:val="00110225"/>
    <w:rsid w:val="00110558"/>
    <w:rsid w:val="0011359F"/>
    <w:rsid w:val="00113C68"/>
    <w:rsid w:val="001145A0"/>
    <w:rsid w:val="00117C1C"/>
    <w:rsid w:val="0012014B"/>
    <w:rsid w:val="0012023C"/>
    <w:rsid w:val="00120ACC"/>
    <w:rsid w:val="001218C0"/>
    <w:rsid w:val="00123BB3"/>
    <w:rsid w:val="0012422D"/>
    <w:rsid w:val="00124DD9"/>
    <w:rsid w:val="00125ECF"/>
    <w:rsid w:val="00126922"/>
    <w:rsid w:val="00126F76"/>
    <w:rsid w:val="0013008D"/>
    <w:rsid w:val="00130635"/>
    <w:rsid w:val="00130944"/>
    <w:rsid w:val="00130B38"/>
    <w:rsid w:val="00131A88"/>
    <w:rsid w:val="00131DC4"/>
    <w:rsid w:val="00133C36"/>
    <w:rsid w:val="001345D3"/>
    <w:rsid w:val="0013486F"/>
    <w:rsid w:val="00134A85"/>
    <w:rsid w:val="00134EFB"/>
    <w:rsid w:val="00136B61"/>
    <w:rsid w:val="00136E27"/>
    <w:rsid w:val="00137C0F"/>
    <w:rsid w:val="00137D2D"/>
    <w:rsid w:val="00140311"/>
    <w:rsid w:val="00140DCA"/>
    <w:rsid w:val="0014199A"/>
    <w:rsid w:val="00142646"/>
    <w:rsid w:val="001427E8"/>
    <w:rsid w:val="00142E22"/>
    <w:rsid w:val="00143A21"/>
    <w:rsid w:val="00144C40"/>
    <w:rsid w:val="001456BA"/>
    <w:rsid w:val="00145AFE"/>
    <w:rsid w:val="00145B5C"/>
    <w:rsid w:val="001554E6"/>
    <w:rsid w:val="00155B7C"/>
    <w:rsid w:val="00155BED"/>
    <w:rsid w:val="001563CA"/>
    <w:rsid w:val="00156F25"/>
    <w:rsid w:val="001571B9"/>
    <w:rsid w:val="00161685"/>
    <w:rsid w:val="00161B2E"/>
    <w:rsid w:val="00162904"/>
    <w:rsid w:val="001630AF"/>
    <w:rsid w:val="001630C2"/>
    <w:rsid w:val="00163183"/>
    <w:rsid w:val="00163DC2"/>
    <w:rsid w:val="001656AA"/>
    <w:rsid w:val="00167403"/>
    <w:rsid w:val="001674B2"/>
    <w:rsid w:val="00167F3A"/>
    <w:rsid w:val="00171077"/>
    <w:rsid w:val="0017194F"/>
    <w:rsid w:val="00171CD2"/>
    <w:rsid w:val="00172020"/>
    <w:rsid w:val="001726B3"/>
    <w:rsid w:val="00174029"/>
    <w:rsid w:val="0017503E"/>
    <w:rsid w:val="00176A8D"/>
    <w:rsid w:val="001776BA"/>
    <w:rsid w:val="00180C2B"/>
    <w:rsid w:val="0018232B"/>
    <w:rsid w:val="00183574"/>
    <w:rsid w:val="0018369B"/>
    <w:rsid w:val="00183B79"/>
    <w:rsid w:val="00186424"/>
    <w:rsid w:val="00186FA0"/>
    <w:rsid w:val="0018763C"/>
    <w:rsid w:val="0019196F"/>
    <w:rsid w:val="001925B7"/>
    <w:rsid w:val="00192E91"/>
    <w:rsid w:val="00192E95"/>
    <w:rsid w:val="00193854"/>
    <w:rsid w:val="00196362"/>
    <w:rsid w:val="00197884"/>
    <w:rsid w:val="00197C60"/>
    <w:rsid w:val="00197CB6"/>
    <w:rsid w:val="001A18B2"/>
    <w:rsid w:val="001A3117"/>
    <w:rsid w:val="001A335A"/>
    <w:rsid w:val="001A4270"/>
    <w:rsid w:val="001A491F"/>
    <w:rsid w:val="001A6273"/>
    <w:rsid w:val="001B0772"/>
    <w:rsid w:val="001B2244"/>
    <w:rsid w:val="001B26D2"/>
    <w:rsid w:val="001B288C"/>
    <w:rsid w:val="001B3B1F"/>
    <w:rsid w:val="001B6258"/>
    <w:rsid w:val="001B6455"/>
    <w:rsid w:val="001B6A21"/>
    <w:rsid w:val="001B77C8"/>
    <w:rsid w:val="001B7823"/>
    <w:rsid w:val="001B7B1C"/>
    <w:rsid w:val="001C12C8"/>
    <w:rsid w:val="001C1466"/>
    <w:rsid w:val="001C157D"/>
    <w:rsid w:val="001C33A5"/>
    <w:rsid w:val="001C35DA"/>
    <w:rsid w:val="001C39AF"/>
    <w:rsid w:val="001C54A4"/>
    <w:rsid w:val="001C56A1"/>
    <w:rsid w:val="001C5EC9"/>
    <w:rsid w:val="001C6B49"/>
    <w:rsid w:val="001D03D8"/>
    <w:rsid w:val="001D1E33"/>
    <w:rsid w:val="001D40A4"/>
    <w:rsid w:val="001D417B"/>
    <w:rsid w:val="001D6375"/>
    <w:rsid w:val="001D6AC9"/>
    <w:rsid w:val="001D7548"/>
    <w:rsid w:val="001D7D59"/>
    <w:rsid w:val="001E07EF"/>
    <w:rsid w:val="001E0AD1"/>
    <w:rsid w:val="001E14B6"/>
    <w:rsid w:val="001E16A9"/>
    <w:rsid w:val="001E3802"/>
    <w:rsid w:val="001E3EA3"/>
    <w:rsid w:val="001E4C91"/>
    <w:rsid w:val="001E689B"/>
    <w:rsid w:val="001E7767"/>
    <w:rsid w:val="001F0AFC"/>
    <w:rsid w:val="001F16E8"/>
    <w:rsid w:val="001F2314"/>
    <w:rsid w:val="001F26EA"/>
    <w:rsid w:val="001F2918"/>
    <w:rsid w:val="001F3C30"/>
    <w:rsid w:val="001F3D18"/>
    <w:rsid w:val="001F6124"/>
    <w:rsid w:val="00201CD7"/>
    <w:rsid w:val="00203DE1"/>
    <w:rsid w:val="00205E99"/>
    <w:rsid w:val="002061CB"/>
    <w:rsid w:val="00206D6A"/>
    <w:rsid w:val="00207450"/>
    <w:rsid w:val="00213348"/>
    <w:rsid w:val="00214578"/>
    <w:rsid w:val="002153E1"/>
    <w:rsid w:val="002166A1"/>
    <w:rsid w:val="00221545"/>
    <w:rsid w:val="00221B00"/>
    <w:rsid w:val="0022229E"/>
    <w:rsid w:val="00222719"/>
    <w:rsid w:val="00222B82"/>
    <w:rsid w:val="00222FAD"/>
    <w:rsid w:val="0022329C"/>
    <w:rsid w:val="002242FF"/>
    <w:rsid w:val="00226269"/>
    <w:rsid w:val="00226630"/>
    <w:rsid w:val="00230EB8"/>
    <w:rsid w:val="002337FC"/>
    <w:rsid w:val="00233CCD"/>
    <w:rsid w:val="0023444C"/>
    <w:rsid w:val="002344C5"/>
    <w:rsid w:val="00235BBD"/>
    <w:rsid w:val="00236329"/>
    <w:rsid w:val="00236772"/>
    <w:rsid w:val="00236E5C"/>
    <w:rsid w:val="00237121"/>
    <w:rsid w:val="00237D30"/>
    <w:rsid w:val="002401B7"/>
    <w:rsid w:val="00240609"/>
    <w:rsid w:val="00240F09"/>
    <w:rsid w:val="0024230F"/>
    <w:rsid w:val="00242AF9"/>
    <w:rsid w:val="00243584"/>
    <w:rsid w:val="00243B9A"/>
    <w:rsid w:val="00243D38"/>
    <w:rsid w:val="00244306"/>
    <w:rsid w:val="00244EDC"/>
    <w:rsid w:val="00245D1C"/>
    <w:rsid w:val="00246F52"/>
    <w:rsid w:val="002479BF"/>
    <w:rsid w:val="00247F20"/>
    <w:rsid w:val="002503DB"/>
    <w:rsid w:val="00250403"/>
    <w:rsid w:val="00250A96"/>
    <w:rsid w:val="00250AB2"/>
    <w:rsid w:val="0025162D"/>
    <w:rsid w:val="002525F4"/>
    <w:rsid w:val="002543C2"/>
    <w:rsid w:val="00254578"/>
    <w:rsid w:val="00254851"/>
    <w:rsid w:val="00254D7E"/>
    <w:rsid w:val="00256597"/>
    <w:rsid w:val="00257C79"/>
    <w:rsid w:val="0026285D"/>
    <w:rsid w:val="00262E4D"/>
    <w:rsid w:val="00263229"/>
    <w:rsid w:val="00263953"/>
    <w:rsid w:val="00263A0B"/>
    <w:rsid w:val="00263E28"/>
    <w:rsid w:val="00264E5D"/>
    <w:rsid w:val="00265F76"/>
    <w:rsid w:val="00266B0F"/>
    <w:rsid w:val="002673B0"/>
    <w:rsid w:val="00270130"/>
    <w:rsid w:val="002724B5"/>
    <w:rsid w:val="00272C1E"/>
    <w:rsid w:val="0027416B"/>
    <w:rsid w:val="0027486A"/>
    <w:rsid w:val="00275958"/>
    <w:rsid w:val="00277A57"/>
    <w:rsid w:val="00281990"/>
    <w:rsid w:val="0028263D"/>
    <w:rsid w:val="00282FEC"/>
    <w:rsid w:val="00284284"/>
    <w:rsid w:val="00284734"/>
    <w:rsid w:val="00284A44"/>
    <w:rsid w:val="0028639C"/>
    <w:rsid w:val="00291399"/>
    <w:rsid w:val="00292050"/>
    <w:rsid w:val="00292964"/>
    <w:rsid w:val="002936C6"/>
    <w:rsid w:val="00294F48"/>
    <w:rsid w:val="002955E2"/>
    <w:rsid w:val="0029573B"/>
    <w:rsid w:val="00295983"/>
    <w:rsid w:val="00295C5B"/>
    <w:rsid w:val="00297A77"/>
    <w:rsid w:val="00297F23"/>
    <w:rsid w:val="002A13D9"/>
    <w:rsid w:val="002A1D79"/>
    <w:rsid w:val="002A224C"/>
    <w:rsid w:val="002A3115"/>
    <w:rsid w:val="002A31D4"/>
    <w:rsid w:val="002A4EF6"/>
    <w:rsid w:val="002A50CC"/>
    <w:rsid w:val="002A629B"/>
    <w:rsid w:val="002A6A72"/>
    <w:rsid w:val="002A75B7"/>
    <w:rsid w:val="002A7CEF"/>
    <w:rsid w:val="002B1D5F"/>
    <w:rsid w:val="002B32DB"/>
    <w:rsid w:val="002B3943"/>
    <w:rsid w:val="002B4818"/>
    <w:rsid w:val="002B6890"/>
    <w:rsid w:val="002B7587"/>
    <w:rsid w:val="002C13E8"/>
    <w:rsid w:val="002C2252"/>
    <w:rsid w:val="002C418D"/>
    <w:rsid w:val="002C4CA5"/>
    <w:rsid w:val="002C51E8"/>
    <w:rsid w:val="002C5FA6"/>
    <w:rsid w:val="002C625A"/>
    <w:rsid w:val="002C73E8"/>
    <w:rsid w:val="002C7EEE"/>
    <w:rsid w:val="002D0087"/>
    <w:rsid w:val="002D0619"/>
    <w:rsid w:val="002D0CC8"/>
    <w:rsid w:val="002D15F2"/>
    <w:rsid w:val="002D18C8"/>
    <w:rsid w:val="002D290A"/>
    <w:rsid w:val="002D3B43"/>
    <w:rsid w:val="002D7C16"/>
    <w:rsid w:val="002E016E"/>
    <w:rsid w:val="002E0277"/>
    <w:rsid w:val="002E075A"/>
    <w:rsid w:val="002E16CB"/>
    <w:rsid w:val="002E17E8"/>
    <w:rsid w:val="002E1BC2"/>
    <w:rsid w:val="002E1FD1"/>
    <w:rsid w:val="002E2B21"/>
    <w:rsid w:val="002E340C"/>
    <w:rsid w:val="002E434C"/>
    <w:rsid w:val="002E6FD4"/>
    <w:rsid w:val="002E774D"/>
    <w:rsid w:val="002F0196"/>
    <w:rsid w:val="002F117B"/>
    <w:rsid w:val="002F1E82"/>
    <w:rsid w:val="002F2A85"/>
    <w:rsid w:val="002F4867"/>
    <w:rsid w:val="002F5241"/>
    <w:rsid w:val="002F6BCF"/>
    <w:rsid w:val="002F7D3E"/>
    <w:rsid w:val="00301807"/>
    <w:rsid w:val="00304535"/>
    <w:rsid w:val="00304960"/>
    <w:rsid w:val="00304CC9"/>
    <w:rsid w:val="0030535D"/>
    <w:rsid w:val="0030635D"/>
    <w:rsid w:val="00310284"/>
    <w:rsid w:val="00310A62"/>
    <w:rsid w:val="00310DC5"/>
    <w:rsid w:val="00311366"/>
    <w:rsid w:val="00312205"/>
    <w:rsid w:val="0031245F"/>
    <w:rsid w:val="00313F06"/>
    <w:rsid w:val="0031722D"/>
    <w:rsid w:val="003174D3"/>
    <w:rsid w:val="0031797E"/>
    <w:rsid w:val="00320B81"/>
    <w:rsid w:val="00321429"/>
    <w:rsid w:val="003217D5"/>
    <w:rsid w:val="003218E0"/>
    <w:rsid w:val="003220C6"/>
    <w:rsid w:val="00322B39"/>
    <w:rsid w:val="00322BCA"/>
    <w:rsid w:val="00323EA7"/>
    <w:rsid w:val="00324689"/>
    <w:rsid w:val="00325383"/>
    <w:rsid w:val="00325431"/>
    <w:rsid w:val="00326E18"/>
    <w:rsid w:val="00326E86"/>
    <w:rsid w:val="00327CC1"/>
    <w:rsid w:val="0033020B"/>
    <w:rsid w:val="00333A4C"/>
    <w:rsid w:val="0033419D"/>
    <w:rsid w:val="0033454A"/>
    <w:rsid w:val="003348E1"/>
    <w:rsid w:val="00334A4B"/>
    <w:rsid w:val="003351F0"/>
    <w:rsid w:val="00336CF1"/>
    <w:rsid w:val="00336F7F"/>
    <w:rsid w:val="00337572"/>
    <w:rsid w:val="003406F2"/>
    <w:rsid w:val="00340957"/>
    <w:rsid w:val="00340A0E"/>
    <w:rsid w:val="00341326"/>
    <w:rsid w:val="00342866"/>
    <w:rsid w:val="003443B3"/>
    <w:rsid w:val="003448C1"/>
    <w:rsid w:val="00344ACA"/>
    <w:rsid w:val="00344BAA"/>
    <w:rsid w:val="0034644D"/>
    <w:rsid w:val="00346EA6"/>
    <w:rsid w:val="003475F4"/>
    <w:rsid w:val="00350951"/>
    <w:rsid w:val="00352FDD"/>
    <w:rsid w:val="00353C8E"/>
    <w:rsid w:val="00353E57"/>
    <w:rsid w:val="00355817"/>
    <w:rsid w:val="003605E1"/>
    <w:rsid w:val="00360743"/>
    <w:rsid w:val="00364597"/>
    <w:rsid w:val="003652F4"/>
    <w:rsid w:val="0036542C"/>
    <w:rsid w:val="0036592D"/>
    <w:rsid w:val="00365CDF"/>
    <w:rsid w:val="003672F6"/>
    <w:rsid w:val="0037022A"/>
    <w:rsid w:val="0037060C"/>
    <w:rsid w:val="00370712"/>
    <w:rsid w:val="00371127"/>
    <w:rsid w:val="00371531"/>
    <w:rsid w:val="00371D8E"/>
    <w:rsid w:val="0037257F"/>
    <w:rsid w:val="00372FF7"/>
    <w:rsid w:val="00376A7C"/>
    <w:rsid w:val="003808BA"/>
    <w:rsid w:val="0038091A"/>
    <w:rsid w:val="00381953"/>
    <w:rsid w:val="00381A70"/>
    <w:rsid w:val="00381E35"/>
    <w:rsid w:val="003829DC"/>
    <w:rsid w:val="0038506A"/>
    <w:rsid w:val="003863E6"/>
    <w:rsid w:val="00386DF3"/>
    <w:rsid w:val="003877CE"/>
    <w:rsid w:val="0038783C"/>
    <w:rsid w:val="0039034F"/>
    <w:rsid w:val="003926A5"/>
    <w:rsid w:val="00392719"/>
    <w:rsid w:val="00393A9C"/>
    <w:rsid w:val="00393B89"/>
    <w:rsid w:val="00394779"/>
    <w:rsid w:val="00394FB1"/>
    <w:rsid w:val="003960A6"/>
    <w:rsid w:val="00396D9D"/>
    <w:rsid w:val="003A055C"/>
    <w:rsid w:val="003A16CC"/>
    <w:rsid w:val="003A1B39"/>
    <w:rsid w:val="003A2201"/>
    <w:rsid w:val="003A26C4"/>
    <w:rsid w:val="003A7AA0"/>
    <w:rsid w:val="003B00FF"/>
    <w:rsid w:val="003B0CE0"/>
    <w:rsid w:val="003B132D"/>
    <w:rsid w:val="003B1FB9"/>
    <w:rsid w:val="003B2C1E"/>
    <w:rsid w:val="003B46CA"/>
    <w:rsid w:val="003C1273"/>
    <w:rsid w:val="003C1D50"/>
    <w:rsid w:val="003C2356"/>
    <w:rsid w:val="003C4191"/>
    <w:rsid w:val="003C574E"/>
    <w:rsid w:val="003C62C2"/>
    <w:rsid w:val="003C6793"/>
    <w:rsid w:val="003C68CC"/>
    <w:rsid w:val="003C6919"/>
    <w:rsid w:val="003D0888"/>
    <w:rsid w:val="003D0AD0"/>
    <w:rsid w:val="003D0E3A"/>
    <w:rsid w:val="003D1385"/>
    <w:rsid w:val="003D1525"/>
    <w:rsid w:val="003D1E55"/>
    <w:rsid w:val="003D1EC7"/>
    <w:rsid w:val="003D2018"/>
    <w:rsid w:val="003D29BF"/>
    <w:rsid w:val="003D2AD0"/>
    <w:rsid w:val="003D3703"/>
    <w:rsid w:val="003D4C0B"/>
    <w:rsid w:val="003D54B6"/>
    <w:rsid w:val="003D5623"/>
    <w:rsid w:val="003D5E47"/>
    <w:rsid w:val="003D6231"/>
    <w:rsid w:val="003D6F33"/>
    <w:rsid w:val="003D78F7"/>
    <w:rsid w:val="003E07AA"/>
    <w:rsid w:val="003E133C"/>
    <w:rsid w:val="003E1D2F"/>
    <w:rsid w:val="003E209C"/>
    <w:rsid w:val="003E2F74"/>
    <w:rsid w:val="003E4865"/>
    <w:rsid w:val="003E5E9F"/>
    <w:rsid w:val="003E6083"/>
    <w:rsid w:val="003E7D54"/>
    <w:rsid w:val="003F129C"/>
    <w:rsid w:val="003F2E2E"/>
    <w:rsid w:val="003F4246"/>
    <w:rsid w:val="003F4B91"/>
    <w:rsid w:val="003F6610"/>
    <w:rsid w:val="003F6B07"/>
    <w:rsid w:val="003F6E2D"/>
    <w:rsid w:val="00401A90"/>
    <w:rsid w:val="0040388A"/>
    <w:rsid w:val="00405C85"/>
    <w:rsid w:val="00406088"/>
    <w:rsid w:val="0040614B"/>
    <w:rsid w:val="00407DDD"/>
    <w:rsid w:val="004104A0"/>
    <w:rsid w:val="00412994"/>
    <w:rsid w:val="00412E35"/>
    <w:rsid w:val="004130A3"/>
    <w:rsid w:val="004134E7"/>
    <w:rsid w:val="00414503"/>
    <w:rsid w:val="00414528"/>
    <w:rsid w:val="004158EE"/>
    <w:rsid w:val="00415D9E"/>
    <w:rsid w:val="00421763"/>
    <w:rsid w:val="004229E1"/>
    <w:rsid w:val="00423145"/>
    <w:rsid w:val="004236A0"/>
    <w:rsid w:val="00424471"/>
    <w:rsid w:val="00424CF3"/>
    <w:rsid w:val="00425D09"/>
    <w:rsid w:val="0042631C"/>
    <w:rsid w:val="0042685D"/>
    <w:rsid w:val="00427CBC"/>
    <w:rsid w:val="004303F2"/>
    <w:rsid w:val="00431316"/>
    <w:rsid w:val="00431A1D"/>
    <w:rsid w:val="00433672"/>
    <w:rsid w:val="00433AB4"/>
    <w:rsid w:val="00433CF0"/>
    <w:rsid w:val="00434315"/>
    <w:rsid w:val="0043449F"/>
    <w:rsid w:val="00434A71"/>
    <w:rsid w:val="004356BD"/>
    <w:rsid w:val="00435BD4"/>
    <w:rsid w:val="004369F1"/>
    <w:rsid w:val="00440451"/>
    <w:rsid w:val="0044058F"/>
    <w:rsid w:val="004425F8"/>
    <w:rsid w:val="0044340B"/>
    <w:rsid w:val="00443EDD"/>
    <w:rsid w:val="0044433B"/>
    <w:rsid w:val="004460FF"/>
    <w:rsid w:val="00446165"/>
    <w:rsid w:val="004466C7"/>
    <w:rsid w:val="004517EB"/>
    <w:rsid w:val="004518E2"/>
    <w:rsid w:val="00451F8A"/>
    <w:rsid w:val="0045245E"/>
    <w:rsid w:val="00452E3F"/>
    <w:rsid w:val="004532A6"/>
    <w:rsid w:val="00454B61"/>
    <w:rsid w:val="00455342"/>
    <w:rsid w:val="00456729"/>
    <w:rsid w:val="00457B78"/>
    <w:rsid w:val="0046357D"/>
    <w:rsid w:val="0046369C"/>
    <w:rsid w:val="0046427A"/>
    <w:rsid w:val="00464A03"/>
    <w:rsid w:val="00464FC9"/>
    <w:rsid w:val="00465C71"/>
    <w:rsid w:val="00465EF7"/>
    <w:rsid w:val="004660C1"/>
    <w:rsid w:val="00470DC3"/>
    <w:rsid w:val="00472B63"/>
    <w:rsid w:val="004746B1"/>
    <w:rsid w:val="004769FA"/>
    <w:rsid w:val="00476D22"/>
    <w:rsid w:val="0048104C"/>
    <w:rsid w:val="00481348"/>
    <w:rsid w:val="00481504"/>
    <w:rsid w:val="00482006"/>
    <w:rsid w:val="004832F0"/>
    <w:rsid w:val="00483960"/>
    <w:rsid w:val="00484D22"/>
    <w:rsid w:val="00484D53"/>
    <w:rsid w:val="004856E5"/>
    <w:rsid w:val="00487EA2"/>
    <w:rsid w:val="00492852"/>
    <w:rsid w:val="00493EB2"/>
    <w:rsid w:val="0049526E"/>
    <w:rsid w:val="004956F7"/>
    <w:rsid w:val="004967B4"/>
    <w:rsid w:val="00496903"/>
    <w:rsid w:val="004970B8"/>
    <w:rsid w:val="00497CA1"/>
    <w:rsid w:val="004A0C3B"/>
    <w:rsid w:val="004A18E9"/>
    <w:rsid w:val="004A1946"/>
    <w:rsid w:val="004A39FF"/>
    <w:rsid w:val="004A3EA5"/>
    <w:rsid w:val="004A43B8"/>
    <w:rsid w:val="004A46B8"/>
    <w:rsid w:val="004B0126"/>
    <w:rsid w:val="004B0944"/>
    <w:rsid w:val="004B192F"/>
    <w:rsid w:val="004B289A"/>
    <w:rsid w:val="004B2D1C"/>
    <w:rsid w:val="004B36D6"/>
    <w:rsid w:val="004B36F6"/>
    <w:rsid w:val="004B4305"/>
    <w:rsid w:val="004B4923"/>
    <w:rsid w:val="004B5495"/>
    <w:rsid w:val="004B5678"/>
    <w:rsid w:val="004B6986"/>
    <w:rsid w:val="004B6A9E"/>
    <w:rsid w:val="004C1D82"/>
    <w:rsid w:val="004C24DF"/>
    <w:rsid w:val="004C2503"/>
    <w:rsid w:val="004C2F95"/>
    <w:rsid w:val="004C316B"/>
    <w:rsid w:val="004C42CA"/>
    <w:rsid w:val="004C46C4"/>
    <w:rsid w:val="004C5DE8"/>
    <w:rsid w:val="004C79E3"/>
    <w:rsid w:val="004D0932"/>
    <w:rsid w:val="004D339D"/>
    <w:rsid w:val="004D3F32"/>
    <w:rsid w:val="004D4CF6"/>
    <w:rsid w:val="004D5F02"/>
    <w:rsid w:val="004E001C"/>
    <w:rsid w:val="004E0784"/>
    <w:rsid w:val="004E0D49"/>
    <w:rsid w:val="004E2164"/>
    <w:rsid w:val="004E32F3"/>
    <w:rsid w:val="004E43E2"/>
    <w:rsid w:val="004E4C3C"/>
    <w:rsid w:val="004E5920"/>
    <w:rsid w:val="004E5B58"/>
    <w:rsid w:val="004F01A3"/>
    <w:rsid w:val="004F0D41"/>
    <w:rsid w:val="004F50E2"/>
    <w:rsid w:val="004F5971"/>
    <w:rsid w:val="004F6E86"/>
    <w:rsid w:val="005006F6"/>
    <w:rsid w:val="005015DA"/>
    <w:rsid w:val="00501C5D"/>
    <w:rsid w:val="00502B61"/>
    <w:rsid w:val="00502EC5"/>
    <w:rsid w:val="0050332A"/>
    <w:rsid w:val="00505446"/>
    <w:rsid w:val="00507344"/>
    <w:rsid w:val="005109E3"/>
    <w:rsid w:val="00510A85"/>
    <w:rsid w:val="00510B44"/>
    <w:rsid w:val="00510C9B"/>
    <w:rsid w:val="0051116B"/>
    <w:rsid w:val="00512D72"/>
    <w:rsid w:val="0051348E"/>
    <w:rsid w:val="00513C1A"/>
    <w:rsid w:val="00517EF7"/>
    <w:rsid w:val="005224F2"/>
    <w:rsid w:val="0052279A"/>
    <w:rsid w:val="005229AF"/>
    <w:rsid w:val="00522DB4"/>
    <w:rsid w:val="00524C18"/>
    <w:rsid w:val="00525537"/>
    <w:rsid w:val="00525C54"/>
    <w:rsid w:val="00526888"/>
    <w:rsid w:val="0052695D"/>
    <w:rsid w:val="0052796D"/>
    <w:rsid w:val="005348EC"/>
    <w:rsid w:val="005349B6"/>
    <w:rsid w:val="00536EA2"/>
    <w:rsid w:val="0053757F"/>
    <w:rsid w:val="00537771"/>
    <w:rsid w:val="00537DDD"/>
    <w:rsid w:val="005402E7"/>
    <w:rsid w:val="0054077C"/>
    <w:rsid w:val="00540CED"/>
    <w:rsid w:val="00540D73"/>
    <w:rsid w:val="00543B8E"/>
    <w:rsid w:val="005445A5"/>
    <w:rsid w:val="00545E32"/>
    <w:rsid w:val="00547FF3"/>
    <w:rsid w:val="00554E0E"/>
    <w:rsid w:val="005563BB"/>
    <w:rsid w:val="005617DC"/>
    <w:rsid w:val="005621C1"/>
    <w:rsid w:val="00563F78"/>
    <w:rsid w:val="00564BB5"/>
    <w:rsid w:val="0056584E"/>
    <w:rsid w:val="00565BAB"/>
    <w:rsid w:val="00567FB2"/>
    <w:rsid w:val="005708D6"/>
    <w:rsid w:val="005710C8"/>
    <w:rsid w:val="00571DFD"/>
    <w:rsid w:val="005724FC"/>
    <w:rsid w:val="00573641"/>
    <w:rsid w:val="005738AA"/>
    <w:rsid w:val="00574296"/>
    <w:rsid w:val="005750DE"/>
    <w:rsid w:val="00575181"/>
    <w:rsid w:val="00575C97"/>
    <w:rsid w:val="0057788C"/>
    <w:rsid w:val="0058319E"/>
    <w:rsid w:val="005843B2"/>
    <w:rsid w:val="00584886"/>
    <w:rsid w:val="005848C0"/>
    <w:rsid w:val="005852D5"/>
    <w:rsid w:val="00586BEC"/>
    <w:rsid w:val="0058734C"/>
    <w:rsid w:val="0058766C"/>
    <w:rsid w:val="00590CC1"/>
    <w:rsid w:val="00590DD0"/>
    <w:rsid w:val="00591957"/>
    <w:rsid w:val="005921F6"/>
    <w:rsid w:val="0059242D"/>
    <w:rsid w:val="00592C14"/>
    <w:rsid w:val="00592D7E"/>
    <w:rsid w:val="00593C75"/>
    <w:rsid w:val="005940D1"/>
    <w:rsid w:val="00595772"/>
    <w:rsid w:val="00595E91"/>
    <w:rsid w:val="0059651C"/>
    <w:rsid w:val="00596C9E"/>
    <w:rsid w:val="00597190"/>
    <w:rsid w:val="00597254"/>
    <w:rsid w:val="005A07D2"/>
    <w:rsid w:val="005A0A2F"/>
    <w:rsid w:val="005A0DDB"/>
    <w:rsid w:val="005A2DEC"/>
    <w:rsid w:val="005A4C8C"/>
    <w:rsid w:val="005A61E3"/>
    <w:rsid w:val="005A65D2"/>
    <w:rsid w:val="005A72BB"/>
    <w:rsid w:val="005A7DB3"/>
    <w:rsid w:val="005B02A3"/>
    <w:rsid w:val="005B2AC2"/>
    <w:rsid w:val="005B329E"/>
    <w:rsid w:val="005B5CE2"/>
    <w:rsid w:val="005B686A"/>
    <w:rsid w:val="005B7217"/>
    <w:rsid w:val="005B72D3"/>
    <w:rsid w:val="005C07E9"/>
    <w:rsid w:val="005C0A3C"/>
    <w:rsid w:val="005C0B13"/>
    <w:rsid w:val="005C1653"/>
    <w:rsid w:val="005C366B"/>
    <w:rsid w:val="005C3C87"/>
    <w:rsid w:val="005C54B6"/>
    <w:rsid w:val="005C5D0C"/>
    <w:rsid w:val="005C61CB"/>
    <w:rsid w:val="005C6B83"/>
    <w:rsid w:val="005D0446"/>
    <w:rsid w:val="005D25BF"/>
    <w:rsid w:val="005D2646"/>
    <w:rsid w:val="005D28FA"/>
    <w:rsid w:val="005D3476"/>
    <w:rsid w:val="005D5634"/>
    <w:rsid w:val="005D74CB"/>
    <w:rsid w:val="005D7EE5"/>
    <w:rsid w:val="005E0692"/>
    <w:rsid w:val="005E09DD"/>
    <w:rsid w:val="005E2787"/>
    <w:rsid w:val="005E2933"/>
    <w:rsid w:val="005E4465"/>
    <w:rsid w:val="005E49ED"/>
    <w:rsid w:val="005E51D5"/>
    <w:rsid w:val="005E657B"/>
    <w:rsid w:val="005E6B9E"/>
    <w:rsid w:val="005E6E43"/>
    <w:rsid w:val="005E7047"/>
    <w:rsid w:val="005F0F94"/>
    <w:rsid w:val="005F13C0"/>
    <w:rsid w:val="005F1EA7"/>
    <w:rsid w:val="005F3D51"/>
    <w:rsid w:val="005F5FD2"/>
    <w:rsid w:val="00600C01"/>
    <w:rsid w:val="0060205D"/>
    <w:rsid w:val="00603369"/>
    <w:rsid w:val="00604713"/>
    <w:rsid w:val="006059F2"/>
    <w:rsid w:val="006075BB"/>
    <w:rsid w:val="00607CE6"/>
    <w:rsid w:val="00614FC9"/>
    <w:rsid w:val="00616111"/>
    <w:rsid w:val="006163F3"/>
    <w:rsid w:val="00617C5E"/>
    <w:rsid w:val="006200B7"/>
    <w:rsid w:val="006207C2"/>
    <w:rsid w:val="006210EB"/>
    <w:rsid w:val="0062211A"/>
    <w:rsid w:val="00623864"/>
    <w:rsid w:val="00625661"/>
    <w:rsid w:val="0062580C"/>
    <w:rsid w:val="00627B26"/>
    <w:rsid w:val="0063148A"/>
    <w:rsid w:val="0063169E"/>
    <w:rsid w:val="00631C89"/>
    <w:rsid w:val="0063245D"/>
    <w:rsid w:val="00632773"/>
    <w:rsid w:val="0063324B"/>
    <w:rsid w:val="006339DC"/>
    <w:rsid w:val="00634B7C"/>
    <w:rsid w:val="0063714B"/>
    <w:rsid w:val="0064058C"/>
    <w:rsid w:val="00642BA0"/>
    <w:rsid w:val="00643772"/>
    <w:rsid w:val="00643B14"/>
    <w:rsid w:val="00644F88"/>
    <w:rsid w:val="006461BB"/>
    <w:rsid w:val="0064661A"/>
    <w:rsid w:val="00646705"/>
    <w:rsid w:val="00647709"/>
    <w:rsid w:val="00651906"/>
    <w:rsid w:val="006548C1"/>
    <w:rsid w:val="006550E8"/>
    <w:rsid w:val="00655D5A"/>
    <w:rsid w:val="00656505"/>
    <w:rsid w:val="006566F1"/>
    <w:rsid w:val="00657FFE"/>
    <w:rsid w:val="00666834"/>
    <w:rsid w:val="0066719C"/>
    <w:rsid w:val="006671A3"/>
    <w:rsid w:val="00672E43"/>
    <w:rsid w:val="006740E7"/>
    <w:rsid w:val="006740F5"/>
    <w:rsid w:val="00675296"/>
    <w:rsid w:val="00677212"/>
    <w:rsid w:val="0067796D"/>
    <w:rsid w:val="0068120A"/>
    <w:rsid w:val="00681408"/>
    <w:rsid w:val="006815FB"/>
    <w:rsid w:val="00681ADC"/>
    <w:rsid w:val="0068304B"/>
    <w:rsid w:val="006830B6"/>
    <w:rsid w:val="0068366A"/>
    <w:rsid w:val="00684ACF"/>
    <w:rsid w:val="00685F85"/>
    <w:rsid w:val="00686D32"/>
    <w:rsid w:val="00687670"/>
    <w:rsid w:val="00687841"/>
    <w:rsid w:val="0069050B"/>
    <w:rsid w:val="00691DFC"/>
    <w:rsid w:val="00692522"/>
    <w:rsid w:val="00692B8F"/>
    <w:rsid w:val="00693A80"/>
    <w:rsid w:val="006941DC"/>
    <w:rsid w:val="00694704"/>
    <w:rsid w:val="00694A21"/>
    <w:rsid w:val="00694ED9"/>
    <w:rsid w:val="006955BA"/>
    <w:rsid w:val="00695BCE"/>
    <w:rsid w:val="0069644F"/>
    <w:rsid w:val="006973CB"/>
    <w:rsid w:val="00697C5E"/>
    <w:rsid w:val="006A09B8"/>
    <w:rsid w:val="006A0CDC"/>
    <w:rsid w:val="006A0FC2"/>
    <w:rsid w:val="006A165B"/>
    <w:rsid w:val="006A21F8"/>
    <w:rsid w:val="006A2512"/>
    <w:rsid w:val="006A374F"/>
    <w:rsid w:val="006A3E74"/>
    <w:rsid w:val="006A5B9E"/>
    <w:rsid w:val="006A6519"/>
    <w:rsid w:val="006A799B"/>
    <w:rsid w:val="006B00F9"/>
    <w:rsid w:val="006B08DD"/>
    <w:rsid w:val="006B0E85"/>
    <w:rsid w:val="006B1E7F"/>
    <w:rsid w:val="006B2574"/>
    <w:rsid w:val="006B42A0"/>
    <w:rsid w:val="006B4FD8"/>
    <w:rsid w:val="006B7373"/>
    <w:rsid w:val="006B7713"/>
    <w:rsid w:val="006C14A9"/>
    <w:rsid w:val="006C1676"/>
    <w:rsid w:val="006C1FD8"/>
    <w:rsid w:val="006C3A20"/>
    <w:rsid w:val="006C4092"/>
    <w:rsid w:val="006C4848"/>
    <w:rsid w:val="006C5334"/>
    <w:rsid w:val="006C6B4D"/>
    <w:rsid w:val="006C7E86"/>
    <w:rsid w:val="006D01B9"/>
    <w:rsid w:val="006D0A3C"/>
    <w:rsid w:val="006D0ACE"/>
    <w:rsid w:val="006D0BBA"/>
    <w:rsid w:val="006D1FA3"/>
    <w:rsid w:val="006D21C1"/>
    <w:rsid w:val="006D2887"/>
    <w:rsid w:val="006D474E"/>
    <w:rsid w:val="006D516B"/>
    <w:rsid w:val="006D51DC"/>
    <w:rsid w:val="006D6308"/>
    <w:rsid w:val="006D6469"/>
    <w:rsid w:val="006D6BE3"/>
    <w:rsid w:val="006E31BD"/>
    <w:rsid w:val="006E384A"/>
    <w:rsid w:val="006E3BBE"/>
    <w:rsid w:val="006E3EE4"/>
    <w:rsid w:val="006E4DF4"/>
    <w:rsid w:val="006E59DD"/>
    <w:rsid w:val="006F0227"/>
    <w:rsid w:val="006F06A9"/>
    <w:rsid w:val="006F1F0D"/>
    <w:rsid w:val="006F22F1"/>
    <w:rsid w:val="006F2A2F"/>
    <w:rsid w:val="006F5C35"/>
    <w:rsid w:val="00700B62"/>
    <w:rsid w:val="00700E04"/>
    <w:rsid w:val="00703A7C"/>
    <w:rsid w:val="00703A88"/>
    <w:rsid w:val="00704055"/>
    <w:rsid w:val="007044A8"/>
    <w:rsid w:val="00704667"/>
    <w:rsid w:val="007048B2"/>
    <w:rsid w:val="00705457"/>
    <w:rsid w:val="007068E2"/>
    <w:rsid w:val="00706A5D"/>
    <w:rsid w:val="00706B62"/>
    <w:rsid w:val="00710E82"/>
    <w:rsid w:val="0071108C"/>
    <w:rsid w:val="00711D16"/>
    <w:rsid w:val="00713900"/>
    <w:rsid w:val="00713E82"/>
    <w:rsid w:val="007155BE"/>
    <w:rsid w:val="00715940"/>
    <w:rsid w:val="00715FFE"/>
    <w:rsid w:val="007175A8"/>
    <w:rsid w:val="00720326"/>
    <w:rsid w:val="00720644"/>
    <w:rsid w:val="0072155C"/>
    <w:rsid w:val="007215A2"/>
    <w:rsid w:val="00722814"/>
    <w:rsid w:val="007243D0"/>
    <w:rsid w:val="0072492C"/>
    <w:rsid w:val="00724D54"/>
    <w:rsid w:val="007263A8"/>
    <w:rsid w:val="007272B3"/>
    <w:rsid w:val="0073013D"/>
    <w:rsid w:val="00731CF3"/>
    <w:rsid w:val="00735710"/>
    <w:rsid w:val="0073754D"/>
    <w:rsid w:val="00737D56"/>
    <w:rsid w:val="007428CE"/>
    <w:rsid w:val="007437B2"/>
    <w:rsid w:val="00743FF9"/>
    <w:rsid w:val="0074515A"/>
    <w:rsid w:val="007459B5"/>
    <w:rsid w:val="00746DE7"/>
    <w:rsid w:val="00750E66"/>
    <w:rsid w:val="007517E9"/>
    <w:rsid w:val="0075240C"/>
    <w:rsid w:val="00753907"/>
    <w:rsid w:val="007543D0"/>
    <w:rsid w:val="007544D9"/>
    <w:rsid w:val="0075482F"/>
    <w:rsid w:val="007559BA"/>
    <w:rsid w:val="00756F42"/>
    <w:rsid w:val="007600F4"/>
    <w:rsid w:val="0076157E"/>
    <w:rsid w:val="00761AF3"/>
    <w:rsid w:val="00762CC0"/>
    <w:rsid w:val="00764092"/>
    <w:rsid w:val="00764966"/>
    <w:rsid w:val="00764A51"/>
    <w:rsid w:val="00765541"/>
    <w:rsid w:val="00766DF9"/>
    <w:rsid w:val="00767532"/>
    <w:rsid w:val="0076753F"/>
    <w:rsid w:val="00772715"/>
    <w:rsid w:val="007732DE"/>
    <w:rsid w:val="0077430B"/>
    <w:rsid w:val="007752BB"/>
    <w:rsid w:val="00775B77"/>
    <w:rsid w:val="00776238"/>
    <w:rsid w:val="00776CFF"/>
    <w:rsid w:val="0077708F"/>
    <w:rsid w:val="00777F95"/>
    <w:rsid w:val="007839D5"/>
    <w:rsid w:val="00784859"/>
    <w:rsid w:val="00784A67"/>
    <w:rsid w:val="007866E2"/>
    <w:rsid w:val="00786EE2"/>
    <w:rsid w:val="007873CA"/>
    <w:rsid w:val="00790E6B"/>
    <w:rsid w:val="0079165F"/>
    <w:rsid w:val="00791AEF"/>
    <w:rsid w:val="00793F3F"/>
    <w:rsid w:val="00794326"/>
    <w:rsid w:val="0079605F"/>
    <w:rsid w:val="0079712C"/>
    <w:rsid w:val="007A0915"/>
    <w:rsid w:val="007A1584"/>
    <w:rsid w:val="007A23A3"/>
    <w:rsid w:val="007A254E"/>
    <w:rsid w:val="007A26DE"/>
    <w:rsid w:val="007A3B00"/>
    <w:rsid w:val="007A3BB1"/>
    <w:rsid w:val="007A46A1"/>
    <w:rsid w:val="007A4812"/>
    <w:rsid w:val="007A7000"/>
    <w:rsid w:val="007A7AC4"/>
    <w:rsid w:val="007B2D95"/>
    <w:rsid w:val="007B3F28"/>
    <w:rsid w:val="007B59F4"/>
    <w:rsid w:val="007B73C6"/>
    <w:rsid w:val="007C05BD"/>
    <w:rsid w:val="007C12CA"/>
    <w:rsid w:val="007C1EFD"/>
    <w:rsid w:val="007C323B"/>
    <w:rsid w:val="007C38E6"/>
    <w:rsid w:val="007C449E"/>
    <w:rsid w:val="007C57AF"/>
    <w:rsid w:val="007C5FF3"/>
    <w:rsid w:val="007C6358"/>
    <w:rsid w:val="007D22A4"/>
    <w:rsid w:val="007D2D61"/>
    <w:rsid w:val="007D2E48"/>
    <w:rsid w:val="007D2E74"/>
    <w:rsid w:val="007D30A7"/>
    <w:rsid w:val="007D3301"/>
    <w:rsid w:val="007D4BE5"/>
    <w:rsid w:val="007D4DAA"/>
    <w:rsid w:val="007D51BF"/>
    <w:rsid w:val="007D763D"/>
    <w:rsid w:val="007D7913"/>
    <w:rsid w:val="007D7BF1"/>
    <w:rsid w:val="007E0EFB"/>
    <w:rsid w:val="007E130E"/>
    <w:rsid w:val="007E253C"/>
    <w:rsid w:val="007E25F8"/>
    <w:rsid w:val="007E368E"/>
    <w:rsid w:val="007E3FEC"/>
    <w:rsid w:val="007E5083"/>
    <w:rsid w:val="007E6D06"/>
    <w:rsid w:val="007F154F"/>
    <w:rsid w:val="007F1569"/>
    <w:rsid w:val="007F1F63"/>
    <w:rsid w:val="007F22FE"/>
    <w:rsid w:val="007F306C"/>
    <w:rsid w:val="007F31D4"/>
    <w:rsid w:val="007F37A8"/>
    <w:rsid w:val="007F561B"/>
    <w:rsid w:val="007F5DD6"/>
    <w:rsid w:val="007F61A6"/>
    <w:rsid w:val="007F6B4A"/>
    <w:rsid w:val="007F7F74"/>
    <w:rsid w:val="00800551"/>
    <w:rsid w:val="00800AF3"/>
    <w:rsid w:val="00800D11"/>
    <w:rsid w:val="00800E3D"/>
    <w:rsid w:val="00800F07"/>
    <w:rsid w:val="00801170"/>
    <w:rsid w:val="00801510"/>
    <w:rsid w:val="00805493"/>
    <w:rsid w:val="00805EE6"/>
    <w:rsid w:val="00806017"/>
    <w:rsid w:val="00806868"/>
    <w:rsid w:val="00810049"/>
    <w:rsid w:val="008108AE"/>
    <w:rsid w:val="00810E7F"/>
    <w:rsid w:val="008119C5"/>
    <w:rsid w:val="00815391"/>
    <w:rsid w:val="00815A99"/>
    <w:rsid w:val="00815D75"/>
    <w:rsid w:val="00817079"/>
    <w:rsid w:val="008170AE"/>
    <w:rsid w:val="00817C3F"/>
    <w:rsid w:val="00817F30"/>
    <w:rsid w:val="00821B03"/>
    <w:rsid w:val="0082638E"/>
    <w:rsid w:val="00826A90"/>
    <w:rsid w:val="008274A5"/>
    <w:rsid w:val="008278F4"/>
    <w:rsid w:val="00827DC9"/>
    <w:rsid w:val="00831577"/>
    <w:rsid w:val="00831E53"/>
    <w:rsid w:val="00832A6C"/>
    <w:rsid w:val="00832C2B"/>
    <w:rsid w:val="00832D74"/>
    <w:rsid w:val="00834143"/>
    <w:rsid w:val="008341D2"/>
    <w:rsid w:val="0083660C"/>
    <w:rsid w:val="008370C8"/>
    <w:rsid w:val="008405D6"/>
    <w:rsid w:val="008409FB"/>
    <w:rsid w:val="008409FF"/>
    <w:rsid w:val="008416EB"/>
    <w:rsid w:val="00841DAD"/>
    <w:rsid w:val="008422AD"/>
    <w:rsid w:val="0084232B"/>
    <w:rsid w:val="0084320D"/>
    <w:rsid w:val="00843ABD"/>
    <w:rsid w:val="00843C43"/>
    <w:rsid w:val="008443D0"/>
    <w:rsid w:val="008451F5"/>
    <w:rsid w:val="00845E52"/>
    <w:rsid w:val="00846358"/>
    <w:rsid w:val="00846D24"/>
    <w:rsid w:val="008475F0"/>
    <w:rsid w:val="008507AB"/>
    <w:rsid w:val="00852028"/>
    <w:rsid w:val="008521C1"/>
    <w:rsid w:val="00853790"/>
    <w:rsid w:val="00854267"/>
    <w:rsid w:val="00854441"/>
    <w:rsid w:val="00856E2C"/>
    <w:rsid w:val="00862D57"/>
    <w:rsid w:val="00863CE7"/>
    <w:rsid w:val="008643D8"/>
    <w:rsid w:val="0086551D"/>
    <w:rsid w:val="00866BAC"/>
    <w:rsid w:val="0087032A"/>
    <w:rsid w:val="00872A8B"/>
    <w:rsid w:val="00873262"/>
    <w:rsid w:val="00873577"/>
    <w:rsid w:val="008736EC"/>
    <w:rsid w:val="00874908"/>
    <w:rsid w:val="008749C8"/>
    <w:rsid w:val="00874A02"/>
    <w:rsid w:val="00875058"/>
    <w:rsid w:val="008755F4"/>
    <w:rsid w:val="008756B0"/>
    <w:rsid w:val="00875A33"/>
    <w:rsid w:val="008764E4"/>
    <w:rsid w:val="008815F3"/>
    <w:rsid w:val="00881FD8"/>
    <w:rsid w:val="00883439"/>
    <w:rsid w:val="00883EA4"/>
    <w:rsid w:val="0088442D"/>
    <w:rsid w:val="00884811"/>
    <w:rsid w:val="00884E31"/>
    <w:rsid w:val="00884E37"/>
    <w:rsid w:val="00886924"/>
    <w:rsid w:val="00890120"/>
    <w:rsid w:val="008902BD"/>
    <w:rsid w:val="00892742"/>
    <w:rsid w:val="00893C29"/>
    <w:rsid w:val="00894F11"/>
    <w:rsid w:val="008958E6"/>
    <w:rsid w:val="008A3F65"/>
    <w:rsid w:val="008A40FC"/>
    <w:rsid w:val="008A4591"/>
    <w:rsid w:val="008A676A"/>
    <w:rsid w:val="008A6919"/>
    <w:rsid w:val="008A75EC"/>
    <w:rsid w:val="008A7975"/>
    <w:rsid w:val="008A7E71"/>
    <w:rsid w:val="008B09B3"/>
    <w:rsid w:val="008B104B"/>
    <w:rsid w:val="008B39BC"/>
    <w:rsid w:val="008B439A"/>
    <w:rsid w:val="008B534A"/>
    <w:rsid w:val="008B61D6"/>
    <w:rsid w:val="008B6607"/>
    <w:rsid w:val="008C148F"/>
    <w:rsid w:val="008C23BB"/>
    <w:rsid w:val="008C242D"/>
    <w:rsid w:val="008C252C"/>
    <w:rsid w:val="008C2823"/>
    <w:rsid w:val="008C3B5E"/>
    <w:rsid w:val="008C60A1"/>
    <w:rsid w:val="008C657D"/>
    <w:rsid w:val="008C71D5"/>
    <w:rsid w:val="008D115B"/>
    <w:rsid w:val="008D25AC"/>
    <w:rsid w:val="008D2FBF"/>
    <w:rsid w:val="008D3F94"/>
    <w:rsid w:val="008D47EC"/>
    <w:rsid w:val="008D4AEC"/>
    <w:rsid w:val="008D4E06"/>
    <w:rsid w:val="008D5B60"/>
    <w:rsid w:val="008D6E46"/>
    <w:rsid w:val="008D6F83"/>
    <w:rsid w:val="008D745F"/>
    <w:rsid w:val="008E0383"/>
    <w:rsid w:val="008E122E"/>
    <w:rsid w:val="008E1AA6"/>
    <w:rsid w:val="008E2422"/>
    <w:rsid w:val="008E2A05"/>
    <w:rsid w:val="008E58C7"/>
    <w:rsid w:val="008E600B"/>
    <w:rsid w:val="008E62CD"/>
    <w:rsid w:val="008E6EEA"/>
    <w:rsid w:val="008F0136"/>
    <w:rsid w:val="008F2A8D"/>
    <w:rsid w:val="008F409C"/>
    <w:rsid w:val="008F40D7"/>
    <w:rsid w:val="008F4E6C"/>
    <w:rsid w:val="008F5B4F"/>
    <w:rsid w:val="008F7568"/>
    <w:rsid w:val="008F778D"/>
    <w:rsid w:val="008F77CD"/>
    <w:rsid w:val="00900258"/>
    <w:rsid w:val="009007C7"/>
    <w:rsid w:val="00900A7C"/>
    <w:rsid w:val="00900CEE"/>
    <w:rsid w:val="00900FA4"/>
    <w:rsid w:val="00903090"/>
    <w:rsid w:val="00904B7C"/>
    <w:rsid w:val="00906ADC"/>
    <w:rsid w:val="00906B09"/>
    <w:rsid w:val="00907286"/>
    <w:rsid w:val="00907AAD"/>
    <w:rsid w:val="009112E5"/>
    <w:rsid w:val="009134A5"/>
    <w:rsid w:val="00913792"/>
    <w:rsid w:val="00913866"/>
    <w:rsid w:val="00917480"/>
    <w:rsid w:val="00924E00"/>
    <w:rsid w:val="0092545A"/>
    <w:rsid w:val="00926B26"/>
    <w:rsid w:val="00930913"/>
    <w:rsid w:val="00930E3C"/>
    <w:rsid w:val="0093193E"/>
    <w:rsid w:val="00932765"/>
    <w:rsid w:val="00932D92"/>
    <w:rsid w:val="00932E5F"/>
    <w:rsid w:val="00934583"/>
    <w:rsid w:val="00934861"/>
    <w:rsid w:val="0093509E"/>
    <w:rsid w:val="00935FD0"/>
    <w:rsid w:val="0093722B"/>
    <w:rsid w:val="009379DB"/>
    <w:rsid w:val="00937E6C"/>
    <w:rsid w:val="00940B21"/>
    <w:rsid w:val="0094155E"/>
    <w:rsid w:val="00941CBE"/>
    <w:rsid w:val="0094328E"/>
    <w:rsid w:val="0094335E"/>
    <w:rsid w:val="009441C0"/>
    <w:rsid w:val="00944900"/>
    <w:rsid w:val="009471C4"/>
    <w:rsid w:val="00947899"/>
    <w:rsid w:val="00950CA3"/>
    <w:rsid w:val="00951A5B"/>
    <w:rsid w:val="009528C4"/>
    <w:rsid w:val="0095338A"/>
    <w:rsid w:val="00953A1B"/>
    <w:rsid w:val="009543C6"/>
    <w:rsid w:val="00954507"/>
    <w:rsid w:val="009550CF"/>
    <w:rsid w:val="00955C44"/>
    <w:rsid w:val="009560CF"/>
    <w:rsid w:val="00956712"/>
    <w:rsid w:val="00957348"/>
    <w:rsid w:val="00957DC7"/>
    <w:rsid w:val="0096020E"/>
    <w:rsid w:val="00960295"/>
    <w:rsid w:val="00960D57"/>
    <w:rsid w:val="009612DB"/>
    <w:rsid w:val="009619BD"/>
    <w:rsid w:val="00962049"/>
    <w:rsid w:val="00962461"/>
    <w:rsid w:val="00962C4F"/>
    <w:rsid w:val="00963441"/>
    <w:rsid w:val="0096386A"/>
    <w:rsid w:val="00963B15"/>
    <w:rsid w:val="00964D44"/>
    <w:rsid w:val="00966572"/>
    <w:rsid w:val="00967290"/>
    <w:rsid w:val="00967299"/>
    <w:rsid w:val="0096756E"/>
    <w:rsid w:val="009678E6"/>
    <w:rsid w:val="00970786"/>
    <w:rsid w:val="00970787"/>
    <w:rsid w:val="00972330"/>
    <w:rsid w:val="009723E5"/>
    <w:rsid w:val="00973481"/>
    <w:rsid w:val="009749F2"/>
    <w:rsid w:val="009752FD"/>
    <w:rsid w:val="00975F8E"/>
    <w:rsid w:val="0097718B"/>
    <w:rsid w:val="009800FB"/>
    <w:rsid w:val="00981134"/>
    <w:rsid w:val="009818E1"/>
    <w:rsid w:val="00982590"/>
    <w:rsid w:val="00982B3A"/>
    <w:rsid w:val="00984944"/>
    <w:rsid w:val="00984A04"/>
    <w:rsid w:val="00986E2D"/>
    <w:rsid w:val="009873F1"/>
    <w:rsid w:val="00987D22"/>
    <w:rsid w:val="009903A8"/>
    <w:rsid w:val="0099161A"/>
    <w:rsid w:val="00994145"/>
    <w:rsid w:val="00996864"/>
    <w:rsid w:val="00997110"/>
    <w:rsid w:val="00997DB2"/>
    <w:rsid w:val="009A08BD"/>
    <w:rsid w:val="009A1C18"/>
    <w:rsid w:val="009A255D"/>
    <w:rsid w:val="009A2C90"/>
    <w:rsid w:val="009A314D"/>
    <w:rsid w:val="009A4763"/>
    <w:rsid w:val="009A53A9"/>
    <w:rsid w:val="009A5AE9"/>
    <w:rsid w:val="009A660F"/>
    <w:rsid w:val="009B0C58"/>
    <w:rsid w:val="009B175B"/>
    <w:rsid w:val="009B1EBE"/>
    <w:rsid w:val="009B27B9"/>
    <w:rsid w:val="009B2F8F"/>
    <w:rsid w:val="009B4045"/>
    <w:rsid w:val="009B407B"/>
    <w:rsid w:val="009B47B4"/>
    <w:rsid w:val="009B7BE7"/>
    <w:rsid w:val="009C0552"/>
    <w:rsid w:val="009C08A9"/>
    <w:rsid w:val="009C0E9E"/>
    <w:rsid w:val="009C164B"/>
    <w:rsid w:val="009C26D7"/>
    <w:rsid w:val="009C3A98"/>
    <w:rsid w:val="009C58D5"/>
    <w:rsid w:val="009C5D1C"/>
    <w:rsid w:val="009C68F0"/>
    <w:rsid w:val="009C7B52"/>
    <w:rsid w:val="009D01FC"/>
    <w:rsid w:val="009D0E09"/>
    <w:rsid w:val="009D2A8B"/>
    <w:rsid w:val="009D326F"/>
    <w:rsid w:val="009D774A"/>
    <w:rsid w:val="009D7894"/>
    <w:rsid w:val="009D7C16"/>
    <w:rsid w:val="009E15EA"/>
    <w:rsid w:val="009E34F7"/>
    <w:rsid w:val="009E6AC1"/>
    <w:rsid w:val="009E6ADB"/>
    <w:rsid w:val="009E6B99"/>
    <w:rsid w:val="009E72B9"/>
    <w:rsid w:val="009E76B8"/>
    <w:rsid w:val="009E7D04"/>
    <w:rsid w:val="009F0496"/>
    <w:rsid w:val="009F3D04"/>
    <w:rsid w:val="009F4051"/>
    <w:rsid w:val="009F5FC6"/>
    <w:rsid w:val="009F6C18"/>
    <w:rsid w:val="009F719C"/>
    <w:rsid w:val="00A0036B"/>
    <w:rsid w:val="00A0142F"/>
    <w:rsid w:val="00A02F25"/>
    <w:rsid w:val="00A03BBF"/>
    <w:rsid w:val="00A04858"/>
    <w:rsid w:val="00A055EF"/>
    <w:rsid w:val="00A06C25"/>
    <w:rsid w:val="00A0766B"/>
    <w:rsid w:val="00A0772F"/>
    <w:rsid w:val="00A11DB1"/>
    <w:rsid w:val="00A13FC9"/>
    <w:rsid w:val="00A14387"/>
    <w:rsid w:val="00A146A0"/>
    <w:rsid w:val="00A162E4"/>
    <w:rsid w:val="00A167B6"/>
    <w:rsid w:val="00A169A0"/>
    <w:rsid w:val="00A1745E"/>
    <w:rsid w:val="00A17BCA"/>
    <w:rsid w:val="00A17DBC"/>
    <w:rsid w:val="00A20F42"/>
    <w:rsid w:val="00A22BA9"/>
    <w:rsid w:val="00A240F0"/>
    <w:rsid w:val="00A24566"/>
    <w:rsid w:val="00A249FA"/>
    <w:rsid w:val="00A24A28"/>
    <w:rsid w:val="00A24B6B"/>
    <w:rsid w:val="00A25BB1"/>
    <w:rsid w:val="00A25FD7"/>
    <w:rsid w:val="00A26328"/>
    <w:rsid w:val="00A263E7"/>
    <w:rsid w:val="00A26787"/>
    <w:rsid w:val="00A2756F"/>
    <w:rsid w:val="00A27720"/>
    <w:rsid w:val="00A30796"/>
    <w:rsid w:val="00A30FB3"/>
    <w:rsid w:val="00A3164E"/>
    <w:rsid w:val="00A31F23"/>
    <w:rsid w:val="00A33368"/>
    <w:rsid w:val="00A35423"/>
    <w:rsid w:val="00A356AB"/>
    <w:rsid w:val="00A3620A"/>
    <w:rsid w:val="00A37193"/>
    <w:rsid w:val="00A3771A"/>
    <w:rsid w:val="00A400D7"/>
    <w:rsid w:val="00A453DA"/>
    <w:rsid w:val="00A47709"/>
    <w:rsid w:val="00A47D7A"/>
    <w:rsid w:val="00A51D29"/>
    <w:rsid w:val="00A527D6"/>
    <w:rsid w:val="00A52DAC"/>
    <w:rsid w:val="00A53E12"/>
    <w:rsid w:val="00A55D2F"/>
    <w:rsid w:val="00A563BA"/>
    <w:rsid w:val="00A5666F"/>
    <w:rsid w:val="00A572F7"/>
    <w:rsid w:val="00A57C8F"/>
    <w:rsid w:val="00A60203"/>
    <w:rsid w:val="00A60350"/>
    <w:rsid w:val="00A6085F"/>
    <w:rsid w:val="00A61214"/>
    <w:rsid w:val="00A623E3"/>
    <w:rsid w:val="00A6241E"/>
    <w:rsid w:val="00A633AE"/>
    <w:rsid w:val="00A66C05"/>
    <w:rsid w:val="00A70349"/>
    <w:rsid w:val="00A7167E"/>
    <w:rsid w:val="00A71774"/>
    <w:rsid w:val="00A74136"/>
    <w:rsid w:val="00A754E9"/>
    <w:rsid w:val="00A75FBE"/>
    <w:rsid w:val="00A76A1B"/>
    <w:rsid w:val="00A77EFA"/>
    <w:rsid w:val="00A81ABC"/>
    <w:rsid w:val="00A8264A"/>
    <w:rsid w:val="00A82B07"/>
    <w:rsid w:val="00A835B7"/>
    <w:rsid w:val="00A83E02"/>
    <w:rsid w:val="00A8410E"/>
    <w:rsid w:val="00A86403"/>
    <w:rsid w:val="00A8676E"/>
    <w:rsid w:val="00A868A8"/>
    <w:rsid w:val="00A86E67"/>
    <w:rsid w:val="00A8777C"/>
    <w:rsid w:val="00A91BE3"/>
    <w:rsid w:val="00A9229A"/>
    <w:rsid w:val="00A927D8"/>
    <w:rsid w:val="00A92EEF"/>
    <w:rsid w:val="00A93C19"/>
    <w:rsid w:val="00A93D4E"/>
    <w:rsid w:val="00A940A1"/>
    <w:rsid w:val="00A942E9"/>
    <w:rsid w:val="00A957B9"/>
    <w:rsid w:val="00A961ED"/>
    <w:rsid w:val="00A97049"/>
    <w:rsid w:val="00A977B1"/>
    <w:rsid w:val="00A978AD"/>
    <w:rsid w:val="00A97CC1"/>
    <w:rsid w:val="00AA0182"/>
    <w:rsid w:val="00AA0681"/>
    <w:rsid w:val="00AA177B"/>
    <w:rsid w:val="00AA567D"/>
    <w:rsid w:val="00AA5993"/>
    <w:rsid w:val="00AA6014"/>
    <w:rsid w:val="00AA7734"/>
    <w:rsid w:val="00AB0A2A"/>
    <w:rsid w:val="00AB1561"/>
    <w:rsid w:val="00AB175F"/>
    <w:rsid w:val="00AB18CE"/>
    <w:rsid w:val="00AB1C68"/>
    <w:rsid w:val="00AB2291"/>
    <w:rsid w:val="00AB2335"/>
    <w:rsid w:val="00AB2622"/>
    <w:rsid w:val="00AB2A53"/>
    <w:rsid w:val="00AB3786"/>
    <w:rsid w:val="00AB5961"/>
    <w:rsid w:val="00AB712B"/>
    <w:rsid w:val="00AB79E3"/>
    <w:rsid w:val="00AB7F47"/>
    <w:rsid w:val="00AC11CA"/>
    <w:rsid w:val="00AC3CFB"/>
    <w:rsid w:val="00AC4F83"/>
    <w:rsid w:val="00AC5CE2"/>
    <w:rsid w:val="00AC64E8"/>
    <w:rsid w:val="00AD1027"/>
    <w:rsid w:val="00AD13A8"/>
    <w:rsid w:val="00AD1E07"/>
    <w:rsid w:val="00AD3097"/>
    <w:rsid w:val="00AD328C"/>
    <w:rsid w:val="00AD32ED"/>
    <w:rsid w:val="00AD3AD9"/>
    <w:rsid w:val="00AD401A"/>
    <w:rsid w:val="00AD5CC0"/>
    <w:rsid w:val="00AD6FFD"/>
    <w:rsid w:val="00AD7925"/>
    <w:rsid w:val="00AE0ADB"/>
    <w:rsid w:val="00AE2E27"/>
    <w:rsid w:val="00AE3B3D"/>
    <w:rsid w:val="00AE40E0"/>
    <w:rsid w:val="00AE4A53"/>
    <w:rsid w:val="00AE4CF8"/>
    <w:rsid w:val="00AE5537"/>
    <w:rsid w:val="00AE67FD"/>
    <w:rsid w:val="00AE79F4"/>
    <w:rsid w:val="00AF3600"/>
    <w:rsid w:val="00AF58C3"/>
    <w:rsid w:val="00AF5C23"/>
    <w:rsid w:val="00AF5C9F"/>
    <w:rsid w:val="00AF601B"/>
    <w:rsid w:val="00AF62A6"/>
    <w:rsid w:val="00AF6A2C"/>
    <w:rsid w:val="00B00854"/>
    <w:rsid w:val="00B02776"/>
    <w:rsid w:val="00B02E92"/>
    <w:rsid w:val="00B02EEC"/>
    <w:rsid w:val="00B07161"/>
    <w:rsid w:val="00B0764A"/>
    <w:rsid w:val="00B10737"/>
    <w:rsid w:val="00B1087A"/>
    <w:rsid w:val="00B115DB"/>
    <w:rsid w:val="00B136A6"/>
    <w:rsid w:val="00B170FA"/>
    <w:rsid w:val="00B17A95"/>
    <w:rsid w:val="00B20869"/>
    <w:rsid w:val="00B20C8D"/>
    <w:rsid w:val="00B20DC7"/>
    <w:rsid w:val="00B2231E"/>
    <w:rsid w:val="00B223B9"/>
    <w:rsid w:val="00B242B5"/>
    <w:rsid w:val="00B24A75"/>
    <w:rsid w:val="00B25473"/>
    <w:rsid w:val="00B27D4C"/>
    <w:rsid w:val="00B307B5"/>
    <w:rsid w:val="00B32E34"/>
    <w:rsid w:val="00B33580"/>
    <w:rsid w:val="00B33FB0"/>
    <w:rsid w:val="00B341FB"/>
    <w:rsid w:val="00B372BB"/>
    <w:rsid w:val="00B37B63"/>
    <w:rsid w:val="00B409CD"/>
    <w:rsid w:val="00B4305B"/>
    <w:rsid w:val="00B435EC"/>
    <w:rsid w:val="00B44E47"/>
    <w:rsid w:val="00B461D4"/>
    <w:rsid w:val="00B46A78"/>
    <w:rsid w:val="00B46BEE"/>
    <w:rsid w:val="00B47C10"/>
    <w:rsid w:val="00B51178"/>
    <w:rsid w:val="00B54473"/>
    <w:rsid w:val="00B54FB3"/>
    <w:rsid w:val="00B553F0"/>
    <w:rsid w:val="00B5594F"/>
    <w:rsid w:val="00B56848"/>
    <w:rsid w:val="00B60013"/>
    <w:rsid w:val="00B619E3"/>
    <w:rsid w:val="00B6220D"/>
    <w:rsid w:val="00B623F6"/>
    <w:rsid w:val="00B62E0D"/>
    <w:rsid w:val="00B639BA"/>
    <w:rsid w:val="00B63D0E"/>
    <w:rsid w:val="00B65796"/>
    <w:rsid w:val="00B71E97"/>
    <w:rsid w:val="00B72EF9"/>
    <w:rsid w:val="00B731A4"/>
    <w:rsid w:val="00B81DEC"/>
    <w:rsid w:val="00B8221E"/>
    <w:rsid w:val="00B82335"/>
    <w:rsid w:val="00B84D5A"/>
    <w:rsid w:val="00B90319"/>
    <w:rsid w:val="00B90CF7"/>
    <w:rsid w:val="00B92134"/>
    <w:rsid w:val="00B9344F"/>
    <w:rsid w:val="00B95188"/>
    <w:rsid w:val="00B95348"/>
    <w:rsid w:val="00B95C9E"/>
    <w:rsid w:val="00B95D3A"/>
    <w:rsid w:val="00BA057B"/>
    <w:rsid w:val="00BA0BA4"/>
    <w:rsid w:val="00BA105F"/>
    <w:rsid w:val="00BA1A3E"/>
    <w:rsid w:val="00BA253B"/>
    <w:rsid w:val="00BA2781"/>
    <w:rsid w:val="00BA2FAB"/>
    <w:rsid w:val="00BA7B80"/>
    <w:rsid w:val="00BA7BE3"/>
    <w:rsid w:val="00BB1A46"/>
    <w:rsid w:val="00BB311A"/>
    <w:rsid w:val="00BB3A0C"/>
    <w:rsid w:val="00BB4CE8"/>
    <w:rsid w:val="00BB508D"/>
    <w:rsid w:val="00BB509E"/>
    <w:rsid w:val="00BB543A"/>
    <w:rsid w:val="00BB5821"/>
    <w:rsid w:val="00BB714A"/>
    <w:rsid w:val="00BB7579"/>
    <w:rsid w:val="00BC028B"/>
    <w:rsid w:val="00BC0454"/>
    <w:rsid w:val="00BC06E6"/>
    <w:rsid w:val="00BC07A0"/>
    <w:rsid w:val="00BC0D8D"/>
    <w:rsid w:val="00BC10E1"/>
    <w:rsid w:val="00BC149E"/>
    <w:rsid w:val="00BC1CC3"/>
    <w:rsid w:val="00BC1D0F"/>
    <w:rsid w:val="00BC1F9C"/>
    <w:rsid w:val="00BC3300"/>
    <w:rsid w:val="00BC4160"/>
    <w:rsid w:val="00BC42B4"/>
    <w:rsid w:val="00BC46C8"/>
    <w:rsid w:val="00BC4940"/>
    <w:rsid w:val="00BC6897"/>
    <w:rsid w:val="00BC6FBD"/>
    <w:rsid w:val="00BD0892"/>
    <w:rsid w:val="00BD155A"/>
    <w:rsid w:val="00BD3FDF"/>
    <w:rsid w:val="00BD4C45"/>
    <w:rsid w:val="00BD6A1F"/>
    <w:rsid w:val="00BD7782"/>
    <w:rsid w:val="00BD790B"/>
    <w:rsid w:val="00BE1044"/>
    <w:rsid w:val="00BE1678"/>
    <w:rsid w:val="00BE1CDB"/>
    <w:rsid w:val="00BE23E7"/>
    <w:rsid w:val="00BE2AE3"/>
    <w:rsid w:val="00BE2CDA"/>
    <w:rsid w:val="00BE3923"/>
    <w:rsid w:val="00BE4441"/>
    <w:rsid w:val="00BE5031"/>
    <w:rsid w:val="00BE7871"/>
    <w:rsid w:val="00BE7EFC"/>
    <w:rsid w:val="00BF14DC"/>
    <w:rsid w:val="00BF1DD4"/>
    <w:rsid w:val="00BF38BB"/>
    <w:rsid w:val="00BF38C2"/>
    <w:rsid w:val="00BF449A"/>
    <w:rsid w:val="00BF5CB0"/>
    <w:rsid w:val="00BF5D03"/>
    <w:rsid w:val="00BF640E"/>
    <w:rsid w:val="00BF7658"/>
    <w:rsid w:val="00BF77DA"/>
    <w:rsid w:val="00BF7D0F"/>
    <w:rsid w:val="00BF7E5F"/>
    <w:rsid w:val="00C00818"/>
    <w:rsid w:val="00C01996"/>
    <w:rsid w:val="00C01EFA"/>
    <w:rsid w:val="00C03185"/>
    <w:rsid w:val="00C03302"/>
    <w:rsid w:val="00C04007"/>
    <w:rsid w:val="00C04023"/>
    <w:rsid w:val="00C043E1"/>
    <w:rsid w:val="00C047F1"/>
    <w:rsid w:val="00C04973"/>
    <w:rsid w:val="00C04AA8"/>
    <w:rsid w:val="00C05025"/>
    <w:rsid w:val="00C062CD"/>
    <w:rsid w:val="00C063BE"/>
    <w:rsid w:val="00C114FB"/>
    <w:rsid w:val="00C14381"/>
    <w:rsid w:val="00C152FD"/>
    <w:rsid w:val="00C163A6"/>
    <w:rsid w:val="00C167F0"/>
    <w:rsid w:val="00C16D0A"/>
    <w:rsid w:val="00C200CF"/>
    <w:rsid w:val="00C20620"/>
    <w:rsid w:val="00C21AFA"/>
    <w:rsid w:val="00C21EF9"/>
    <w:rsid w:val="00C223D9"/>
    <w:rsid w:val="00C22417"/>
    <w:rsid w:val="00C2260A"/>
    <w:rsid w:val="00C23F8D"/>
    <w:rsid w:val="00C245B0"/>
    <w:rsid w:val="00C24876"/>
    <w:rsid w:val="00C2527E"/>
    <w:rsid w:val="00C25FE5"/>
    <w:rsid w:val="00C263AA"/>
    <w:rsid w:val="00C314A4"/>
    <w:rsid w:val="00C31B5B"/>
    <w:rsid w:val="00C32820"/>
    <w:rsid w:val="00C3461B"/>
    <w:rsid w:val="00C34869"/>
    <w:rsid w:val="00C34A7C"/>
    <w:rsid w:val="00C36826"/>
    <w:rsid w:val="00C369CF"/>
    <w:rsid w:val="00C40083"/>
    <w:rsid w:val="00C445D8"/>
    <w:rsid w:val="00C4513C"/>
    <w:rsid w:val="00C454CD"/>
    <w:rsid w:val="00C45AB8"/>
    <w:rsid w:val="00C47C4C"/>
    <w:rsid w:val="00C47C91"/>
    <w:rsid w:val="00C50313"/>
    <w:rsid w:val="00C506D4"/>
    <w:rsid w:val="00C50CE9"/>
    <w:rsid w:val="00C50F7B"/>
    <w:rsid w:val="00C513CB"/>
    <w:rsid w:val="00C539AF"/>
    <w:rsid w:val="00C5448B"/>
    <w:rsid w:val="00C54B72"/>
    <w:rsid w:val="00C54C77"/>
    <w:rsid w:val="00C55728"/>
    <w:rsid w:val="00C568E1"/>
    <w:rsid w:val="00C57443"/>
    <w:rsid w:val="00C61249"/>
    <w:rsid w:val="00C6184C"/>
    <w:rsid w:val="00C62C62"/>
    <w:rsid w:val="00C632D8"/>
    <w:rsid w:val="00C63D21"/>
    <w:rsid w:val="00C644DE"/>
    <w:rsid w:val="00C67E87"/>
    <w:rsid w:val="00C72F2A"/>
    <w:rsid w:val="00C7409C"/>
    <w:rsid w:val="00C74288"/>
    <w:rsid w:val="00C7544D"/>
    <w:rsid w:val="00C75645"/>
    <w:rsid w:val="00C760B3"/>
    <w:rsid w:val="00C761EE"/>
    <w:rsid w:val="00C76FD7"/>
    <w:rsid w:val="00C77FC8"/>
    <w:rsid w:val="00C81E06"/>
    <w:rsid w:val="00C82CAD"/>
    <w:rsid w:val="00C83368"/>
    <w:rsid w:val="00C84017"/>
    <w:rsid w:val="00C8510D"/>
    <w:rsid w:val="00C8623A"/>
    <w:rsid w:val="00C86C7A"/>
    <w:rsid w:val="00C87E8B"/>
    <w:rsid w:val="00C903C5"/>
    <w:rsid w:val="00C90419"/>
    <w:rsid w:val="00C915FF"/>
    <w:rsid w:val="00C93359"/>
    <w:rsid w:val="00C94020"/>
    <w:rsid w:val="00C94204"/>
    <w:rsid w:val="00C95653"/>
    <w:rsid w:val="00C95768"/>
    <w:rsid w:val="00C96209"/>
    <w:rsid w:val="00C97596"/>
    <w:rsid w:val="00C9789F"/>
    <w:rsid w:val="00CA06FB"/>
    <w:rsid w:val="00CA20DD"/>
    <w:rsid w:val="00CA2426"/>
    <w:rsid w:val="00CA3181"/>
    <w:rsid w:val="00CA4594"/>
    <w:rsid w:val="00CA549B"/>
    <w:rsid w:val="00CA57F2"/>
    <w:rsid w:val="00CB0995"/>
    <w:rsid w:val="00CB110A"/>
    <w:rsid w:val="00CB113F"/>
    <w:rsid w:val="00CB242D"/>
    <w:rsid w:val="00CB242E"/>
    <w:rsid w:val="00CB24B4"/>
    <w:rsid w:val="00CB488E"/>
    <w:rsid w:val="00CB57D7"/>
    <w:rsid w:val="00CC0DC3"/>
    <w:rsid w:val="00CC1A13"/>
    <w:rsid w:val="00CC1F35"/>
    <w:rsid w:val="00CC2C25"/>
    <w:rsid w:val="00CC2E3F"/>
    <w:rsid w:val="00CC4E8C"/>
    <w:rsid w:val="00CC5795"/>
    <w:rsid w:val="00CC7A99"/>
    <w:rsid w:val="00CD0D90"/>
    <w:rsid w:val="00CD1131"/>
    <w:rsid w:val="00CD1274"/>
    <w:rsid w:val="00CD2391"/>
    <w:rsid w:val="00CD2A52"/>
    <w:rsid w:val="00CD4407"/>
    <w:rsid w:val="00CD4675"/>
    <w:rsid w:val="00CD790C"/>
    <w:rsid w:val="00CD7D34"/>
    <w:rsid w:val="00CE0760"/>
    <w:rsid w:val="00CE22D6"/>
    <w:rsid w:val="00CE3A8E"/>
    <w:rsid w:val="00CE75B5"/>
    <w:rsid w:val="00CF125E"/>
    <w:rsid w:val="00CF1593"/>
    <w:rsid w:val="00CF278D"/>
    <w:rsid w:val="00CF2FF7"/>
    <w:rsid w:val="00CF3892"/>
    <w:rsid w:val="00CF3A97"/>
    <w:rsid w:val="00CF4218"/>
    <w:rsid w:val="00CF4243"/>
    <w:rsid w:val="00CF4560"/>
    <w:rsid w:val="00CF5852"/>
    <w:rsid w:val="00CF74C4"/>
    <w:rsid w:val="00CF757F"/>
    <w:rsid w:val="00D0026F"/>
    <w:rsid w:val="00D00CD0"/>
    <w:rsid w:val="00D02307"/>
    <w:rsid w:val="00D025E2"/>
    <w:rsid w:val="00D043A8"/>
    <w:rsid w:val="00D05673"/>
    <w:rsid w:val="00D05847"/>
    <w:rsid w:val="00D06075"/>
    <w:rsid w:val="00D074C1"/>
    <w:rsid w:val="00D07CB7"/>
    <w:rsid w:val="00D07D09"/>
    <w:rsid w:val="00D07FD3"/>
    <w:rsid w:val="00D1000F"/>
    <w:rsid w:val="00D1148D"/>
    <w:rsid w:val="00D15191"/>
    <w:rsid w:val="00D1650C"/>
    <w:rsid w:val="00D17143"/>
    <w:rsid w:val="00D17744"/>
    <w:rsid w:val="00D200FC"/>
    <w:rsid w:val="00D20B89"/>
    <w:rsid w:val="00D20E3F"/>
    <w:rsid w:val="00D23691"/>
    <w:rsid w:val="00D245D3"/>
    <w:rsid w:val="00D26A29"/>
    <w:rsid w:val="00D27657"/>
    <w:rsid w:val="00D27922"/>
    <w:rsid w:val="00D27999"/>
    <w:rsid w:val="00D302C9"/>
    <w:rsid w:val="00D31D72"/>
    <w:rsid w:val="00D34131"/>
    <w:rsid w:val="00D3598A"/>
    <w:rsid w:val="00D37763"/>
    <w:rsid w:val="00D434B6"/>
    <w:rsid w:val="00D43F25"/>
    <w:rsid w:val="00D44204"/>
    <w:rsid w:val="00D4498E"/>
    <w:rsid w:val="00D4656A"/>
    <w:rsid w:val="00D47611"/>
    <w:rsid w:val="00D51021"/>
    <w:rsid w:val="00D52031"/>
    <w:rsid w:val="00D52E98"/>
    <w:rsid w:val="00D55740"/>
    <w:rsid w:val="00D56FF5"/>
    <w:rsid w:val="00D56FFA"/>
    <w:rsid w:val="00D57016"/>
    <w:rsid w:val="00D649FD"/>
    <w:rsid w:val="00D65879"/>
    <w:rsid w:val="00D6597B"/>
    <w:rsid w:val="00D672FC"/>
    <w:rsid w:val="00D71E96"/>
    <w:rsid w:val="00D723BC"/>
    <w:rsid w:val="00D7355A"/>
    <w:rsid w:val="00D73AFC"/>
    <w:rsid w:val="00D76E97"/>
    <w:rsid w:val="00D777EF"/>
    <w:rsid w:val="00D77A62"/>
    <w:rsid w:val="00D80505"/>
    <w:rsid w:val="00D80BA2"/>
    <w:rsid w:val="00D81200"/>
    <w:rsid w:val="00D82625"/>
    <w:rsid w:val="00D82914"/>
    <w:rsid w:val="00D83773"/>
    <w:rsid w:val="00D83965"/>
    <w:rsid w:val="00D83A7F"/>
    <w:rsid w:val="00D86718"/>
    <w:rsid w:val="00D9093B"/>
    <w:rsid w:val="00D90953"/>
    <w:rsid w:val="00D909BA"/>
    <w:rsid w:val="00D91792"/>
    <w:rsid w:val="00D96BD1"/>
    <w:rsid w:val="00D97A79"/>
    <w:rsid w:val="00DA048A"/>
    <w:rsid w:val="00DA1AA0"/>
    <w:rsid w:val="00DA2938"/>
    <w:rsid w:val="00DA31AF"/>
    <w:rsid w:val="00DA369A"/>
    <w:rsid w:val="00DA3F17"/>
    <w:rsid w:val="00DA5195"/>
    <w:rsid w:val="00DA5D74"/>
    <w:rsid w:val="00DA7ED3"/>
    <w:rsid w:val="00DB0C81"/>
    <w:rsid w:val="00DB189D"/>
    <w:rsid w:val="00DB2A5F"/>
    <w:rsid w:val="00DB4361"/>
    <w:rsid w:val="00DB45FC"/>
    <w:rsid w:val="00DB639C"/>
    <w:rsid w:val="00DC044E"/>
    <w:rsid w:val="00DC3591"/>
    <w:rsid w:val="00DC5A1E"/>
    <w:rsid w:val="00DC5BBF"/>
    <w:rsid w:val="00DD059E"/>
    <w:rsid w:val="00DD095F"/>
    <w:rsid w:val="00DD27D6"/>
    <w:rsid w:val="00DD49CE"/>
    <w:rsid w:val="00DD4D6F"/>
    <w:rsid w:val="00DD597A"/>
    <w:rsid w:val="00DD645D"/>
    <w:rsid w:val="00DD71AD"/>
    <w:rsid w:val="00DE0561"/>
    <w:rsid w:val="00DE5905"/>
    <w:rsid w:val="00DE5B67"/>
    <w:rsid w:val="00DE799C"/>
    <w:rsid w:val="00DF063B"/>
    <w:rsid w:val="00DF070F"/>
    <w:rsid w:val="00DF1966"/>
    <w:rsid w:val="00DF3711"/>
    <w:rsid w:val="00DF4CDC"/>
    <w:rsid w:val="00DF66B7"/>
    <w:rsid w:val="00E00C6A"/>
    <w:rsid w:val="00E00DFE"/>
    <w:rsid w:val="00E01018"/>
    <w:rsid w:val="00E02E33"/>
    <w:rsid w:val="00E0321D"/>
    <w:rsid w:val="00E038B9"/>
    <w:rsid w:val="00E038D0"/>
    <w:rsid w:val="00E04876"/>
    <w:rsid w:val="00E04BB8"/>
    <w:rsid w:val="00E056DA"/>
    <w:rsid w:val="00E06002"/>
    <w:rsid w:val="00E10741"/>
    <w:rsid w:val="00E10AC9"/>
    <w:rsid w:val="00E11936"/>
    <w:rsid w:val="00E12842"/>
    <w:rsid w:val="00E13A92"/>
    <w:rsid w:val="00E14033"/>
    <w:rsid w:val="00E14432"/>
    <w:rsid w:val="00E15B60"/>
    <w:rsid w:val="00E16A79"/>
    <w:rsid w:val="00E16B2F"/>
    <w:rsid w:val="00E176A1"/>
    <w:rsid w:val="00E21371"/>
    <w:rsid w:val="00E23969"/>
    <w:rsid w:val="00E24658"/>
    <w:rsid w:val="00E26A43"/>
    <w:rsid w:val="00E26B64"/>
    <w:rsid w:val="00E2711B"/>
    <w:rsid w:val="00E278B9"/>
    <w:rsid w:val="00E31452"/>
    <w:rsid w:val="00E319CB"/>
    <w:rsid w:val="00E32314"/>
    <w:rsid w:val="00E34789"/>
    <w:rsid w:val="00E34A8B"/>
    <w:rsid w:val="00E35126"/>
    <w:rsid w:val="00E357BA"/>
    <w:rsid w:val="00E364C2"/>
    <w:rsid w:val="00E371C1"/>
    <w:rsid w:val="00E43661"/>
    <w:rsid w:val="00E43C6B"/>
    <w:rsid w:val="00E43FC4"/>
    <w:rsid w:val="00E454C8"/>
    <w:rsid w:val="00E47045"/>
    <w:rsid w:val="00E50BCE"/>
    <w:rsid w:val="00E52187"/>
    <w:rsid w:val="00E5261F"/>
    <w:rsid w:val="00E52835"/>
    <w:rsid w:val="00E53AF5"/>
    <w:rsid w:val="00E541D7"/>
    <w:rsid w:val="00E548D7"/>
    <w:rsid w:val="00E54D43"/>
    <w:rsid w:val="00E56198"/>
    <w:rsid w:val="00E573E8"/>
    <w:rsid w:val="00E57598"/>
    <w:rsid w:val="00E57A22"/>
    <w:rsid w:val="00E603DF"/>
    <w:rsid w:val="00E60A52"/>
    <w:rsid w:val="00E619BF"/>
    <w:rsid w:val="00E61CE1"/>
    <w:rsid w:val="00E6278C"/>
    <w:rsid w:val="00E62ED1"/>
    <w:rsid w:val="00E6387D"/>
    <w:rsid w:val="00E6512D"/>
    <w:rsid w:val="00E65F2C"/>
    <w:rsid w:val="00E67820"/>
    <w:rsid w:val="00E708DA"/>
    <w:rsid w:val="00E7117F"/>
    <w:rsid w:val="00E724A8"/>
    <w:rsid w:val="00E72A86"/>
    <w:rsid w:val="00E72DC0"/>
    <w:rsid w:val="00E74AD4"/>
    <w:rsid w:val="00E75FE0"/>
    <w:rsid w:val="00E76A50"/>
    <w:rsid w:val="00E76A7E"/>
    <w:rsid w:val="00E800E6"/>
    <w:rsid w:val="00E80B74"/>
    <w:rsid w:val="00E816B5"/>
    <w:rsid w:val="00E81D95"/>
    <w:rsid w:val="00E846C0"/>
    <w:rsid w:val="00E84C94"/>
    <w:rsid w:val="00E86D35"/>
    <w:rsid w:val="00E912BB"/>
    <w:rsid w:val="00E913A6"/>
    <w:rsid w:val="00E96B21"/>
    <w:rsid w:val="00E96DCA"/>
    <w:rsid w:val="00EA17E4"/>
    <w:rsid w:val="00EA29FA"/>
    <w:rsid w:val="00EA2C6F"/>
    <w:rsid w:val="00EA3233"/>
    <w:rsid w:val="00EA53AB"/>
    <w:rsid w:val="00EA53E9"/>
    <w:rsid w:val="00EA53EA"/>
    <w:rsid w:val="00EA620A"/>
    <w:rsid w:val="00EB067D"/>
    <w:rsid w:val="00EB1500"/>
    <w:rsid w:val="00EB2408"/>
    <w:rsid w:val="00EB2BE2"/>
    <w:rsid w:val="00EB3652"/>
    <w:rsid w:val="00EB4537"/>
    <w:rsid w:val="00EB57E3"/>
    <w:rsid w:val="00EB57FB"/>
    <w:rsid w:val="00EB6B1B"/>
    <w:rsid w:val="00EB7B1E"/>
    <w:rsid w:val="00EB7B95"/>
    <w:rsid w:val="00EC1474"/>
    <w:rsid w:val="00EC27D1"/>
    <w:rsid w:val="00EC2A67"/>
    <w:rsid w:val="00EC391F"/>
    <w:rsid w:val="00EC3BF1"/>
    <w:rsid w:val="00EC4845"/>
    <w:rsid w:val="00EC5098"/>
    <w:rsid w:val="00EC6DF0"/>
    <w:rsid w:val="00EC723F"/>
    <w:rsid w:val="00EC734D"/>
    <w:rsid w:val="00EC7D13"/>
    <w:rsid w:val="00ED00EE"/>
    <w:rsid w:val="00ED1DF1"/>
    <w:rsid w:val="00ED2699"/>
    <w:rsid w:val="00ED2C8A"/>
    <w:rsid w:val="00ED4DE2"/>
    <w:rsid w:val="00ED534E"/>
    <w:rsid w:val="00ED54A0"/>
    <w:rsid w:val="00ED6647"/>
    <w:rsid w:val="00ED7928"/>
    <w:rsid w:val="00EE0B7D"/>
    <w:rsid w:val="00EE1E5B"/>
    <w:rsid w:val="00EE236A"/>
    <w:rsid w:val="00EE289C"/>
    <w:rsid w:val="00EE3983"/>
    <w:rsid w:val="00EE3DC8"/>
    <w:rsid w:val="00EE4540"/>
    <w:rsid w:val="00EE5410"/>
    <w:rsid w:val="00EE55B5"/>
    <w:rsid w:val="00EE72C8"/>
    <w:rsid w:val="00EE7BA1"/>
    <w:rsid w:val="00EF1038"/>
    <w:rsid w:val="00EF6E16"/>
    <w:rsid w:val="00EF7527"/>
    <w:rsid w:val="00F024D8"/>
    <w:rsid w:val="00F037A3"/>
    <w:rsid w:val="00F06CAB"/>
    <w:rsid w:val="00F07064"/>
    <w:rsid w:val="00F076B8"/>
    <w:rsid w:val="00F076C3"/>
    <w:rsid w:val="00F076FF"/>
    <w:rsid w:val="00F10CE2"/>
    <w:rsid w:val="00F11066"/>
    <w:rsid w:val="00F1155F"/>
    <w:rsid w:val="00F1166E"/>
    <w:rsid w:val="00F1215A"/>
    <w:rsid w:val="00F12F45"/>
    <w:rsid w:val="00F15381"/>
    <w:rsid w:val="00F15826"/>
    <w:rsid w:val="00F158CE"/>
    <w:rsid w:val="00F15C20"/>
    <w:rsid w:val="00F15FBD"/>
    <w:rsid w:val="00F16552"/>
    <w:rsid w:val="00F166AF"/>
    <w:rsid w:val="00F17EF1"/>
    <w:rsid w:val="00F20489"/>
    <w:rsid w:val="00F22818"/>
    <w:rsid w:val="00F2436C"/>
    <w:rsid w:val="00F24A04"/>
    <w:rsid w:val="00F254D1"/>
    <w:rsid w:val="00F269BA"/>
    <w:rsid w:val="00F26A33"/>
    <w:rsid w:val="00F2719C"/>
    <w:rsid w:val="00F272C2"/>
    <w:rsid w:val="00F27ABA"/>
    <w:rsid w:val="00F323EA"/>
    <w:rsid w:val="00F329C3"/>
    <w:rsid w:val="00F334BB"/>
    <w:rsid w:val="00F33671"/>
    <w:rsid w:val="00F35EB4"/>
    <w:rsid w:val="00F35FAB"/>
    <w:rsid w:val="00F36508"/>
    <w:rsid w:val="00F36F7A"/>
    <w:rsid w:val="00F41093"/>
    <w:rsid w:val="00F41CDE"/>
    <w:rsid w:val="00F4269F"/>
    <w:rsid w:val="00F45C2A"/>
    <w:rsid w:val="00F46553"/>
    <w:rsid w:val="00F5056A"/>
    <w:rsid w:val="00F520E5"/>
    <w:rsid w:val="00F54399"/>
    <w:rsid w:val="00F54F64"/>
    <w:rsid w:val="00F552B7"/>
    <w:rsid w:val="00F55B09"/>
    <w:rsid w:val="00F56C2B"/>
    <w:rsid w:val="00F56F93"/>
    <w:rsid w:val="00F6226F"/>
    <w:rsid w:val="00F6254C"/>
    <w:rsid w:val="00F62B6D"/>
    <w:rsid w:val="00F62D24"/>
    <w:rsid w:val="00F62EF2"/>
    <w:rsid w:val="00F651EE"/>
    <w:rsid w:val="00F6544C"/>
    <w:rsid w:val="00F65F77"/>
    <w:rsid w:val="00F70519"/>
    <w:rsid w:val="00F7093F"/>
    <w:rsid w:val="00F709D3"/>
    <w:rsid w:val="00F715C5"/>
    <w:rsid w:val="00F71716"/>
    <w:rsid w:val="00F7178E"/>
    <w:rsid w:val="00F75B88"/>
    <w:rsid w:val="00F76A07"/>
    <w:rsid w:val="00F806A4"/>
    <w:rsid w:val="00F8101F"/>
    <w:rsid w:val="00F81221"/>
    <w:rsid w:val="00F81EDF"/>
    <w:rsid w:val="00F82559"/>
    <w:rsid w:val="00F82AAC"/>
    <w:rsid w:val="00F834A9"/>
    <w:rsid w:val="00F83DD9"/>
    <w:rsid w:val="00F84404"/>
    <w:rsid w:val="00F84736"/>
    <w:rsid w:val="00F84ADB"/>
    <w:rsid w:val="00F84C3D"/>
    <w:rsid w:val="00F84F83"/>
    <w:rsid w:val="00F85BFA"/>
    <w:rsid w:val="00F913D7"/>
    <w:rsid w:val="00F92EDA"/>
    <w:rsid w:val="00F9434F"/>
    <w:rsid w:val="00F9614C"/>
    <w:rsid w:val="00F9698A"/>
    <w:rsid w:val="00F96E5B"/>
    <w:rsid w:val="00F97C2C"/>
    <w:rsid w:val="00FA004B"/>
    <w:rsid w:val="00FA08F6"/>
    <w:rsid w:val="00FA106E"/>
    <w:rsid w:val="00FA1EBF"/>
    <w:rsid w:val="00FA46A8"/>
    <w:rsid w:val="00FA53F9"/>
    <w:rsid w:val="00FA72A0"/>
    <w:rsid w:val="00FA7BD8"/>
    <w:rsid w:val="00FA7D48"/>
    <w:rsid w:val="00FB002E"/>
    <w:rsid w:val="00FB0160"/>
    <w:rsid w:val="00FB110F"/>
    <w:rsid w:val="00FB2F85"/>
    <w:rsid w:val="00FB3376"/>
    <w:rsid w:val="00FB3D77"/>
    <w:rsid w:val="00FB5623"/>
    <w:rsid w:val="00FB6205"/>
    <w:rsid w:val="00FB637E"/>
    <w:rsid w:val="00FC00FF"/>
    <w:rsid w:val="00FC0AB0"/>
    <w:rsid w:val="00FC1B87"/>
    <w:rsid w:val="00FC47C9"/>
    <w:rsid w:val="00FC5B82"/>
    <w:rsid w:val="00FC6C2E"/>
    <w:rsid w:val="00FC6F46"/>
    <w:rsid w:val="00FD2023"/>
    <w:rsid w:val="00FD3BC9"/>
    <w:rsid w:val="00FD4664"/>
    <w:rsid w:val="00FD4E62"/>
    <w:rsid w:val="00FD52C5"/>
    <w:rsid w:val="00FD56D5"/>
    <w:rsid w:val="00FD5F85"/>
    <w:rsid w:val="00FD6303"/>
    <w:rsid w:val="00FD7249"/>
    <w:rsid w:val="00FE072E"/>
    <w:rsid w:val="00FE1CAE"/>
    <w:rsid w:val="00FE2423"/>
    <w:rsid w:val="00FE261D"/>
    <w:rsid w:val="00FE4CA3"/>
    <w:rsid w:val="00FE62A3"/>
    <w:rsid w:val="00FE7665"/>
    <w:rsid w:val="00FE77A2"/>
    <w:rsid w:val="00FF09AF"/>
    <w:rsid w:val="00FF308B"/>
    <w:rsid w:val="00FF36C9"/>
    <w:rsid w:val="00FF466E"/>
    <w:rsid w:val="00FF569D"/>
    <w:rsid w:val="00FF7AF3"/>
    <w:rsid w:val="00FF7FA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hsdate"/>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63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D23691"/>
    <w:pPr>
      <w:widowControl w:val="0"/>
    </w:pPr>
    <w:rPr>
      <w:rFonts w:eastAsia="標楷體"/>
      <w:szCs w:val="20"/>
    </w:rPr>
  </w:style>
  <w:style w:type="paragraph" w:styleId="1">
    <w:name w:val="heading 1"/>
    <w:basedOn w:val="a"/>
    <w:next w:val="a"/>
    <w:link w:val="10"/>
    <w:qFormat/>
    <w:rsid w:val="00B95188"/>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B95188"/>
    <w:pPr>
      <w:keepNext/>
      <w:spacing w:before="240" w:after="240"/>
      <w:outlineLvl w:val="1"/>
    </w:pPr>
    <w:rPr>
      <w:rFonts w:eastAsia="新細明體"/>
      <w:b/>
      <w:sz w:val="32"/>
    </w:rPr>
  </w:style>
  <w:style w:type="paragraph" w:styleId="3">
    <w:name w:val="heading 3"/>
    <w:basedOn w:val="a"/>
    <w:link w:val="30"/>
    <w:qFormat/>
    <w:rsid w:val="00B95188"/>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B95188"/>
    <w:pPr>
      <w:widowControl/>
      <w:spacing w:before="100" w:beforeAutospacing="1" w:after="100" w:afterAutospacing="1"/>
      <w:outlineLvl w:val="3"/>
    </w:pPr>
    <w:rPr>
      <w:rFonts w:ascii="Arial Unicode MS" w:eastAsia="Arial Unicode MS" w:hAnsi="Arial Unicode MS" w:cs="Arial Unicode MS"/>
      <w:b/>
      <w:bCs/>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rsid w:val="00B95188"/>
    <w:pPr>
      <w:ind w:left="284" w:hanging="284"/>
      <w:jc w:val="both"/>
    </w:pPr>
    <w:rPr>
      <w:kern w:val="52"/>
    </w:rPr>
  </w:style>
  <w:style w:type="character" w:customStyle="1" w:styleId="a4">
    <w:name w:val="本文 字元"/>
    <w:basedOn w:val="a1"/>
    <w:link w:val="a0"/>
    <w:uiPriority w:val="99"/>
    <w:rsid w:val="00B95188"/>
    <w:rPr>
      <w:rFonts w:eastAsia="標楷體"/>
      <w:kern w:val="52"/>
      <w:szCs w:val="20"/>
    </w:rPr>
  </w:style>
  <w:style w:type="character" w:customStyle="1" w:styleId="10">
    <w:name w:val="標題 1 字元"/>
    <w:basedOn w:val="a1"/>
    <w:link w:val="1"/>
    <w:rsid w:val="00B95188"/>
    <w:rPr>
      <w:rFonts w:eastAsia="標楷體"/>
      <w:b/>
      <w:noProof/>
      <w:kern w:val="0"/>
      <w:sz w:val="32"/>
      <w:szCs w:val="20"/>
    </w:rPr>
  </w:style>
  <w:style w:type="character" w:customStyle="1" w:styleId="20">
    <w:name w:val="標題 2 字元"/>
    <w:basedOn w:val="a1"/>
    <w:link w:val="2"/>
    <w:rsid w:val="00B95188"/>
    <w:rPr>
      <w:b/>
      <w:sz w:val="32"/>
      <w:szCs w:val="20"/>
    </w:rPr>
  </w:style>
  <w:style w:type="character" w:customStyle="1" w:styleId="30">
    <w:name w:val="標題 3 字元"/>
    <w:basedOn w:val="a1"/>
    <w:link w:val="3"/>
    <w:rsid w:val="00B95188"/>
    <w:rPr>
      <w:rFonts w:ascii="Arial Unicode MS" w:eastAsia="Arial Unicode MS" w:hAnsi="Arial Unicode MS" w:cs="Arial Unicode MS"/>
      <w:b/>
      <w:bCs/>
      <w:kern w:val="0"/>
      <w:sz w:val="27"/>
      <w:szCs w:val="27"/>
    </w:rPr>
  </w:style>
  <w:style w:type="character" w:customStyle="1" w:styleId="40">
    <w:name w:val="標題 4 字元"/>
    <w:basedOn w:val="a1"/>
    <w:link w:val="4"/>
    <w:rsid w:val="00B95188"/>
    <w:rPr>
      <w:rFonts w:ascii="Arial Unicode MS" w:eastAsia="Arial Unicode MS" w:hAnsi="Arial Unicode MS" w:cs="Arial Unicode MS"/>
      <w:b/>
      <w:bCs/>
      <w:kern w:val="0"/>
    </w:rPr>
  </w:style>
  <w:style w:type="paragraph" w:styleId="11">
    <w:name w:val="toc 1"/>
    <w:basedOn w:val="a"/>
    <w:next w:val="a"/>
    <w:autoRedefine/>
    <w:uiPriority w:val="39"/>
    <w:rsid w:val="00B95188"/>
    <w:pPr>
      <w:ind w:left="567" w:right="1134" w:hanging="567"/>
    </w:pPr>
  </w:style>
  <w:style w:type="paragraph" w:styleId="21">
    <w:name w:val="toc 2"/>
    <w:basedOn w:val="a"/>
    <w:next w:val="a"/>
    <w:autoRedefine/>
    <w:uiPriority w:val="39"/>
    <w:rsid w:val="00B95188"/>
    <w:pPr>
      <w:ind w:left="480"/>
    </w:pPr>
  </w:style>
  <w:style w:type="paragraph" w:styleId="31">
    <w:name w:val="toc 3"/>
    <w:basedOn w:val="a"/>
    <w:next w:val="a"/>
    <w:autoRedefine/>
    <w:uiPriority w:val="39"/>
    <w:rsid w:val="00B95188"/>
    <w:pPr>
      <w:ind w:left="960"/>
    </w:pPr>
  </w:style>
  <w:style w:type="paragraph" w:styleId="41">
    <w:name w:val="toc 4"/>
    <w:basedOn w:val="a"/>
    <w:next w:val="a"/>
    <w:autoRedefine/>
    <w:uiPriority w:val="39"/>
    <w:rsid w:val="00B95188"/>
    <w:pPr>
      <w:ind w:left="1440"/>
    </w:pPr>
  </w:style>
  <w:style w:type="paragraph" w:styleId="5">
    <w:name w:val="toc 5"/>
    <w:basedOn w:val="a"/>
    <w:next w:val="a"/>
    <w:autoRedefine/>
    <w:uiPriority w:val="39"/>
    <w:unhideWhenUsed/>
    <w:rsid w:val="00E62ED1"/>
    <w:pPr>
      <w:ind w:left="1920"/>
    </w:pPr>
    <w:rPr>
      <w:rFonts w:asciiTheme="minorHAnsi" w:eastAsiaTheme="minorEastAsia" w:hAnsiTheme="minorHAnsi" w:cstheme="minorBidi"/>
      <w:szCs w:val="22"/>
    </w:rPr>
  </w:style>
  <w:style w:type="character" w:styleId="a5">
    <w:name w:val="Hyperlink"/>
    <w:basedOn w:val="a1"/>
    <w:uiPriority w:val="99"/>
    <w:rsid w:val="00B95188"/>
    <w:rPr>
      <w:rFonts w:ascii="Times New Roman" w:eastAsia="標楷體" w:hAnsi="Times New Roman"/>
      <w:dstrike w:val="0"/>
      <w:color w:val="0000FF"/>
      <w:sz w:val="24"/>
      <w:u w:val="single"/>
      <w:vertAlign w:val="baseline"/>
      <w:em w:val="none"/>
    </w:rPr>
  </w:style>
  <w:style w:type="paragraph" w:styleId="6">
    <w:name w:val="toc 6"/>
    <w:basedOn w:val="a"/>
    <w:next w:val="a"/>
    <w:autoRedefine/>
    <w:uiPriority w:val="39"/>
    <w:unhideWhenUsed/>
    <w:rsid w:val="00E62ED1"/>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62ED1"/>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62ED1"/>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E62ED1"/>
    <w:pPr>
      <w:ind w:left="3840"/>
    </w:pPr>
    <w:rPr>
      <w:rFonts w:asciiTheme="minorHAnsi" w:eastAsiaTheme="minorEastAsia" w:hAnsiTheme="minorHAnsi" w:cstheme="minorBidi"/>
      <w:szCs w:val="22"/>
    </w:rPr>
  </w:style>
  <w:style w:type="paragraph" w:styleId="z-">
    <w:name w:val="HTML Bottom of Form"/>
    <w:basedOn w:val="a"/>
    <w:next w:val="a"/>
    <w:link w:val="z-0"/>
    <w:hidden/>
    <w:rsid w:val="00B95188"/>
    <w:pPr>
      <w:widowControl/>
      <w:pBdr>
        <w:top w:val="single" w:sz="6" w:space="1" w:color="auto"/>
      </w:pBdr>
      <w:jc w:val="center"/>
    </w:pPr>
    <w:rPr>
      <w:rFonts w:ascii="Arial" w:eastAsia="新細明體" w:hAnsi="Arial" w:cs="Arial"/>
      <w:vanish/>
      <w:kern w:val="0"/>
      <w:sz w:val="16"/>
      <w:szCs w:val="16"/>
    </w:rPr>
  </w:style>
  <w:style w:type="character" w:customStyle="1" w:styleId="z-0">
    <w:name w:val="z-表單的底部 字元"/>
    <w:basedOn w:val="a1"/>
    <w:link w:val="z-"/>
    <w:rsid w:val="00B95188"/>
    <w:rPr>
      <w:rFonts w:ascii="Arial" w:hAnsi="Arial" w:cs="Arial"/>
      <w:vanish/>
      <w:kern w:val="0"/>
      <w:sz w:val="16"/>
      <w:szCs w:val="16"/>
    </w:rPr>
  </w:style>
  <w:style w:type="character" w:customStyle="1" w:styleId="fieldlabel1">
    <w:name w:val="fieldlabel1"/>
    <w:basedOn w:val="a1"/>
    <w:semiHidden/>
    <w:rsid w:val="00B95188"/>
    <w:rPr>
      <w:rFonts w:ascii="Verdana" w:hAnsi="Verdana" w:hint="default"/>
      <w:b/>
      <w:bCs/>
    </w:rPr>
  </w:style>
  <w:style w:type="paragraph" w:styleId="z-1">
    <w:name w:val="HTML Top of Form"/>
    <w:basedOn w:val="a"/>
    <w:next w:val="a"/>
    <w:link w:val="z-2"/>
    <w:hidden/>
    <w:rsid w:val="00B95188"/>
    <w:pPr>
      <w:widowControl/>
      <w:pBdr>
        <w:bottom w:val="single" w:sz="6" w:space="1" w:color="auto"/>
      </w:pBdr>
      <w:jc w:val="center"/>
    </w:pPr>
    <w:rPr>
      <w:rFonts w:ascii="Arial" w:eastAsia="新細明體" w:hAnsi="Arial" w:cs="Arial"/>
      <w:vanish/>
      <w:kern w:val="0"/>
      <w:sz w:val="16"/>
      <w:szCs w:val="16"/>
    </w:rPr>
  </w:style>
  <w:style w:type="character" w:customStyle="1" w:styleId="z-2">
    <w:name w:val="z-表單的頂端 字元"/>
    <w:basedOn w:val="a1"/>
    <w:link w:val="z-1"/>
    <w:rsid w:val="00B95188"/>
    <w:rPr>
      <w:rFonts w:ascii="Arial" w:hAnsi="Arial" w:cs="Arial"/>
      <w:vanish/>
      <w:kern w:val="0"/>
      <w:sz w:val="16"/>
      <w:szCs w:val="16"/>
    </w:rPr>
  </w:style>
  <w:style w:type="paragraph" w:customStyle="1" w:styleId="12">
    <w:name w:val="本文1"/>
    <w:basedOn w:val="a0"/>
    <w:autoRedefine/>
    <w:qFormat/>
    <w:rsid w:val="007D4DAA"/>
    <w:pPr>
      <w:jc w:val="left"/>
    </w:pPr>
    <w:rPr>
      <w:color w:val="0000FF"/>
      <w:kern w:val="0"/>
      <w:szCs w:val="24"/>
    </w:rPr>
  </w:style>
  <w:style w:type="paragraph" w:styleId="a6">
    <w:name w:val="Balloon Text"/>
    <w:basedOn w:val="a"/>
    <w:link w:val="a7"/>
    <w:uiPriority w:val="99"/>
    <w:semiHidden/>
    <w:unhideWhenUsed/>
    <w:rsid w:val="00024BC7"/>
    <w:rPr>
      <w:rFonts w:asciiTheme="majorHAnsi" w:eastAsiaTheme="majorEastAsia" w:hAnsiTheme="majorHAnsi" w:cstheme="majorBidi"/>
      <w:sz w:val="18"/>
      <w:szCs w:val="18"/>
    </w:rPr>
  </w:style>
  <w:style w:type="character" w:customStyle="1" w:styleId="a7">
    <w:name w:val="註解方塊文字 字元"/>
    <w:basedOn w:val="a1"/>
    <w:link w:val="a6"/>
    <w:uiPriority w:val="99"/>
    <w:semiHidden/>
    <w:rsid w:val="00024BC7"/>
    <w:rPr>
      <w:rFonts w:asciiTheme="majorHAnsi" w:eastAsiaTheme="majorEastAsia" w:hAnsiTheme="majorHAnsi" w:cstheme="majorBidi"/>
      <w:sz w:val="18"/>
      <w:szCs w:val="18"/>
    </w:rPr>
  </w:style>
  <w:style w:type="character" w:styleId="a8">
    <w:name w:val="FollowedHyperlink"/>
    <w:basedOn w:val="a1"/>
    <w:semiHidden/>
    <w:unhideWhenUsed/>
    <w:rsid w:val="00CE75B5"/>
    <w:rPr>
      <w:color w:val="800080" w:themeColor="followedHyperlink"/>
      <w:u w:val="single"/>
    </w:rPr>
  </w:style>
  <w:style w:type="paragraph" w:styleId="a9">
    <w:name w:val="header"/>
    <w:basedOn w:val="a"/>
    <w:link w:val="aa"/>
    <w:uiPriority w:val="99"/>
    <w:semiHidden/>
    <w:unhideWhenUsed/>
    <w:rsid w:val="00575C97"/>
    <w:pPr>
      <w:tabs>
        <w:tab w:val="center" w:pos="4153"/>
        <w:tab w:val="right" w:pos="8306"/>
      </w:tabs>
      <w:snapToGrid w:val="0"/>
    </w:pPr>
    <w:rPr>
      <w:sz w:val="20"/>
    </w:rPr>
  </w:style>
  <w:style w:type="character" w:customStyle="1" w:styleId="aa">
    <w:name w:val="頁首 字元"/>
    <w:basedOn w:val="a1"/>
    <w:link w:val="a9"/>
    <w:uiPriority w:val="99"/>
    <w:semiHidden/>
    <w:rsid w:val="00575C97"/>
    <w:rPr>
      <w:rFonts w:eastAsia="標楷體"/>
      <w:sz w:val="20"/>
      <w:szCs w:val="20"/>
    </w:rPr>
  </w:style>
  <w:style w:type="paragraph" w:styleId="ab">
    <w:name w:val="footer"/>
    <w:basedOn w:val="a"/>
    <w:link w:val="ac"/>
    <w:semiHidden/>
    <w:unhideWhenUsed/>
    <w:rsid w:val="00575C97"/>
    <w:pPr>
      <w:tabs>
        <w:tab w:val="center" w:pos="4153"/>
        <w:tab w:val="right" w:pos="8306"/>
      </w:tabs>
      <w:snapToGrid w:val="0"/>
    </w:pPr>
    <w:rPr>
      <w:sz w:val="20"/>
    </w:rPr>
  </w:style>
  <w:style w:type="character" w:customStyle="1" w:styleId="ac">
    <w:name w:val="頁尾 字元"/>
    <w:basedOn w:val="a1"/>
    <w:link w:val="ab"/>
    <w:semiHidden/>
    <w:rsid w:val="00575C97"/>
    <w:rPr>
      <w:rFonts w:eastAsia="標楷體"/>
      <w:sz w:val="20"/>
      <w:szCs w:val="20"/>
    </w:rPr>
  </w:style>
  <w:style w:type="character" w:customStyle="1" w:styleId="label">
    <w:name w:val="label"/>
    <w:basedOn w:val="a1"/>
    <w:rsid w:val="00DB2A5F"/>
  </w:style>
  <w:style w:type="character" w:customStyle="1" w:styleId="databold">
    <w:name w:val="data_bold"/>
    <w:basedOn w:val="a1"/>
    <w:rsid w:val="00C82CAD"/>
  </w:style>
</w:styles>
</file>

<file path=word/webSettings.xml><?xml version="1.0" encoding="utf-8"?>
<w:webSettings xmlns:r="http://schemas.openxmlformats.org/officeDocument/2006/relationships" xmlns:w="http://schemas.openxmlformats.org/wordprocessingml/2006/main">
  <w:divs>
    <w:div w:id="6293019">
      <w:bodyDiv w:val="1"/>
      <w:marLeft w:val="0"/>
      <w:marRight w:val="0"/>
      <w:marTop w:val="0"/>
      <w:marBottom w:val="0"/>
      <w:divBdr>
        <w:top w:val="none" w:sz="0" w:space="0" w:color="auto"/>
        <w:left w:val="none" w:sz="0" w:space="0" w:color="auto"/>
        <w:bottom w:val="none" w:sz="0" w:space="0" w:color="auto"/>
        <w:right w:val="none" w:sz="0" w:space="0" w:color="auto"/>
      </w:divBdr>
    </w:div>
    <w:div w:id="26879812">
      <w:bodyDiv w:val="1"/>
      <w:marLeft w:val="0"/>
      <w:marRight w:val="0"/>
      <w:marTop w:val="0"/>
      <w:marBottom w:val="0"/>
      <w:divBdr>
        <w:top w:val="none" w:sz="0" w:space="0" w:color="auto"/>
        <w:left w:val="none" w:sz="0" w:space="0" w:color="auto"/>
        <w:bottom w:val="none" w:sz="0" w:space="0" w:color="auto"/>
        <w:right w:val="none" w:sz="0" w:space="0" w:color="auto"/>
      </w:divBdr>
    </w:div>
    <w:div w:id="126944822">
      <w:bodyDiv w:val="1"/>
      <w:marLeft w:val="0"/>
      <w:marRight w:val="0"/>
      <w:marTop w:val="0"/>
      <w:marBottom w:val="0"/>
      <w:divBdr>
        <w:top w:val="none" w:sz="0" w:space="0" w:color="auto"/>
        <w:left w:val="none" w:sz="0" w:space="0" w:color="auto"/>
        <w:bottom w:val="none" w:sz="0" w:space="0" w:color="auto"/>
        <w:right w:val="none" w:sz="0" w:space="0" w:color="auto"/>
      </w:divBdr>
    </w:div>
    <w:div w:id="160584529">
      <w:bodyDiv w:val="1"/>
      <w:marLeft w:val="0"/>
      <w:marRight w:val="0"/>
      <w:marTop w:val="0"/>
      <w:marBottom w:val="0"/>
      <w:divBdr>
        <w:top w:val="none" w:sz="0" w:space="0" w:color="auto"/>
        <w:left w:val="none" w:sz="0" w:space="0" w:color="auto"/>
        <w:bottom w:val="none" w:sz="0" w:space="0" w:color="auto"/>
        <w:right w:val="none" w:sz="0" w:space="0" w:color="auto"/>
      </w:divBdr>
    </w:div>
    <w:div w:id="190802157">
      <w:bodyDiv w:val="1"/>
      <w:marLeft w:val="0"/>
      <w:marRight w:val="0"/>
      <w:marTop w:val="0"/>
      <w:marBottom w:val="0"/>
      <w:divBdr>
        <w:top w:val="none" w:sz="0" w:space="0" w:color="auto"/>
        <w:left w:val="none" w:sz="0" w:space="0" w:color="auto"/>
        <w:bottom w:val="none" w:sz="0" w:space="0" w:color="auto"/>
        <w:right w:val="none" w:sz="0" w:space="0" w:color="auto"/>
      </w:divBdr>
    </w:div>
    <w:div w:id="269972437">
      <w:bodyDiv w:val="1"/>
      <w:marLeft w:val="0"/>
      <w:marRight w:val="0"/>
      <w:marTop w:val="0"/>
      <w:marBottom w:val="0"/>
      <w:divBdr>
        <w:top w:val="none" w:sz="0" w:space="0" w:color="auto"/>
        <w:left w:val="none" w:sz="0" w:space="0" w:color="auto"/>
        <w:bottom w:val="none" w:sz="0" w:space="0" w:color="auto"/>
        <w:right w:val="none" w:sz="0" w:space="0" w:color="auto"/>
      </w:divBdr>
    </w:div>
    <w:div w:id="325060417">
      <w:bodyDiv w:val="1"/>
      <w:marLeft w:val="0"/>
      <w:marRight w:val="0"/>
      <w:marTop w:val="0"/>
      <w:marBottom w:val="0"/>
      <w:divBdr>
        <w:top w:val="none" w:sz="0" w:space="0" w:color="auto"/>
        <w:left w:val="none" w:sz="0" w:space="0" w:color="auto"/>
        <w:bottom w:val="none" w:sz="0" w:space="0" w:color="auto"/>
        <w:right w:val="none" w:sz="0" w:space="0" w:color="auto"/>
      </w:divBdr>
    </w:div>
    <w:div w:id="331568135">
      <w:bodyDiv w:val="1"/>
      <w:marLeft w:val="0"/>
      <w:marRight w:val="0"/>
      <w:marTop w:val="0"/>
      <w:marBottom w:val="0"/>
      <w:divBdr>
        <w:top w:val="none" w:sz="0" w:space="0" w:color="auto"/>
        <w:left w:val="none" w:sz="0" w:space="0" w:color="auto"/>
        <w:bottom w:val="none" w:sz="0" w:space="0" w:color="auto"/>
        <w:right w:val="none" w:sz="0" w:space="0" w:color="auto"/>
      </w:divBdr>
    </w:div>
    <w:div w:id="370960740">
      <w:bodyDiv w:val="1"/>
      <w:marLeft w:val="0"/>
      <w:marRight w:val="0"/>
      <w:marTop w:val="0"/>
      <w:marBottom w:val="0"/>
      <w:divBdr>
        <w:top w:val="none" w:sz="0" w:space="0" w:color="auto"/>
        <w:left w:val="none" w:sz="0" w:space="0" w:color="auto"/>
        <w:bottom w:val="none" w:sz="0" w:space="0" w:color="auto"/>
        <w:right w:val="none" w:sz="0" w:space="0" w:color="auto"/>
      </w:divBdr>
    </w:div>
    <w:div w:id="393547716">
      <w:bodyDiv w:val="1"/>
      <w:marLeft w:val="0"/>
      <w:marRight w:val="0"/>
      <w:marTop w:val="0"/>
      <w:marBottom w:val="0"/>
      <w:divBdr>
        <w:top w:val="none" w:sz="0" w:space="0" w:color="auto"/>
        <w:left w:val="none" w:sz="0" w:space="0" w:color="auto"/>
        <w:bottom w:val="none" w:sz="0" w:space="0" w:color="auto"/>
        <w:right w:val="none" w:sz="0" w:space="0" w:color="auto"/>
      </w:divBdr>
    </w:div>
    <w:div w:id="395977577">
      <w:bodyDiv w:val="1"/>
      <w:marLeft w:val="0"/>
      <w:marRight w:val="0"/>
      <w:marTop w:val="0"/>
      <w:marBottom w:val="0"/>
      <w:divBdr>
        <w:top w:val="none" w:sz="0" w:space="0" w:color="auto"/>
        <w:left w:val="none" w:sz="0" w:space="0" w:color="auto"/>
        <w:bottom w:val="none" w:sz="0" w:space="0" w:color="auto"/>
        <w:right w:val="none" w:sz="0" w:space="0" w:color="auto"/>
      </w:divBdr>
    </w:div>
    <w:div w:id="435977209">
      <w:bodyDiv w:val="1"/>
      <w:marLeft w:val="0"/>
      <w:marRight w:val="0"/>
      <w:marTop w:val="0"/>
      <w:marBottom w:val="0"/>
      <w:divBdr>
        <w:top w:val="none" w:sz="0" w:space="0" w:color="auto"/>
        <w:left w:val="none" w:sz="0" w:space="0" w:color="auto"/>
        <w:bottom w:val="none" w:sz="0" w:space="0" w:color="auto"/>
        <w:right w:val="none" w:sz="0" w:space="0" w:color="auto"/>
      </w:divBdr>
    </w:div>
    <w:div w:id="444690081">
      <w:bodyDiv w:val="1"/>
      <w:marLeft w:val="0"/>
      <w:marRight w:val="0"/>
      <w:marTop w:val="0"/>
      <w:marBottom w:val="0"/>
      <w:divBdr>
        <w:top w:val="none" w:sz="0" w:space="0" w:color="auto"/>
        <w:left w:val="none" w:sz="0" w:space="0" w:color="auto"/>
        <w:bottom w:val="none" w:sz="0" w:space="0" w:color="auto"/>
        <w:right w:val="none" w:sz="0" w:space="0" w:color="auto"/>
      </w:divBdr>
    </w:div>
    <w:div w:id="471404294">
      <w:bodyDiv w:val="1"/>
      <w:marLeft w:val="0"/>
      <w:marRight w:val="0"/>
      <w:marTop w:val="0"/>
      <w:marBottom w:val="0"/>
      <w:divBdr>
        <w:top w:val="none" w:sz="0" w:space="0" w:color="auto"/>
        <w:left w:val="none" w:sz="0" w:space="0" w:color="auto"/>
        <w:bottom w:val="none" w:sz="0" w:space="0" w:color="auto"/>
        <w:right w:val="none" w:sz="0" w:space="0" w:color="auto"/>
      </w:divBdr>
    </w:div>
    <w:div w:id="490490579">
      <w:bodyDiv w:val="1"/>
      <w:marLeft w:val="0"/>
      <w:marRight w:val="0"/>
      <w:marTop w:val="0"/>
      <w:marBottom w:val="0"/>
      <w:divBdr>
        <w:top w:val="none" w:sz="0" w:space="0" w:color="auto"/>
        <w:left w:val="none" w:sz="0" w:space="0" w:color="auto"/>
        <w:bottom w:val="none" w:sz="0" w:space="0" w:color="auto"/>
        <w:right w:val="none" w:sz="0" w:space="0" w:color="auto"/>
      </w:divBdr>
    </w:div>
    <w:div w:id="541094650">
      <w:bodyDiv w:val="1"/>
      <w:marLeft w:val="0"/>
      <w:marRight w:val="0"/>
      <w:marTop w:val="0"/>
      <w:marBottom w:val="0"/>
      <w:divBdr>
        <w:top w:val="none" w:sz="0" w:space="0" w:color="auto"/>
        <w:left w:val="none" w:sz="0" w:space="0" w:color="auto"/>
        <w:bottom w:val="none" w:sz="0" w:space="0" w:color="auto"/>
        <w:right w:val="none" w:sz="0" w:space="0" w:color="auto"/>
      </w:divBdr>
    </w:div>
    <w:div w:id="577399550">
      <w:bodyDiv w:val="1"/>
      <w:marLeft w:val="0"/>
      <w:marRight w:val="0"/>
      <w:marTop w:val="0"/>
      <w:marBottom w:val="0"/>
      <w:divBdr>
        <w:top w:val="none" w:sz="0" w:space="0" w:color="auto"/>
        <w:left w:val="none" w:sz="0" w:space="0" w:color="auto"/>
        <w:bottom w:val="none" w:sz="0" w:space="0" w:color="auto"/>
        <w:right w:val="none" w:sz="0" w:space="0" w:color="auto"/>
      </w:divBdr>
    </w:div>
    <w:div w:id="614362916">
      <w:bodyDiv w:val="1"/>
      <w:marLeft w:val="0"/>
      <w:marRight w:val="0"/>
      <w:marTop w:val="0"/>
      <w:marBottom w:val="0"/>
      <w:divBdr>
        <w:top w:val="none" w:sz="0" w:space="0" w:color="auto"/>
        <w:left w:val="none" w:sz="0" w:space="0" w:color="auto"/>
        <w:bottom w:val="none" w:sz="0" w:space="0" w:color="auto"/>
        <w:right w:val="none" w:sz="0" w:space="0" w:color="auto"/>
      </w:divBdr>
    </w:div>
    <w:div w:id="648098613">
      <w:bodyDiv w:val="1"/>
      <w:marLeft w:val="0"/>
      <w:marRight w:val="0"/>
      <w:marTop w:val="0"/>
      <w:marBottom w:val="0"/>
      <w:divBdr>
        <w:top w:val="none" w:sz="0" w:space="0" w:color="auto"/>
        <w:left w:val="none" w:sz="0" w:space="0" w:color="auto"/>
        <w:bottom w:val="none" w:sz="0" w:space="0" w:color="auto"/>
        <w:right w:val="none" w:sz="0" w:space="0" w:color="auto"/>
      </w:divBdr>
    </w:div>
    <w:div w:id="655761647">
      <w:bodyDiv w:val="1"/>
      <w:marLeft w:val="0"/>
      <w:marRight w:val="0"/>
      <w:marTop w:val="0"/>
      <w:marBottom w:val="0"/>
      <w:divBdr>
        <w:top w:val="none" w:sz="0" w:space="0" w:color="auto"/>
        <w:left w:val="none" w:sz="0" w:space="0" w:color="auto"/>
        <w:bottom w:val="none" w:sz="0" w:space="0" w:color="auto"/>
        <w:right w:val="none" w:sz="0" w:space="0" w:color="auto"/>
      </w:divBdr>
    </w:div>
    <w:div w:id="681274711">
      <w:bodyDiv w:val="1"/>
      <w:marLeft w:val="0"/>
      <w:marRight w:val="0"/>
      <w:marTop w:val="0"/>
      <w:marBottom w:val="0"/>
      <w:divBdr>
        <w:top w:val="none" w:sz="0" w:space="0" w:color="auto"/>
        <w:left w:val="none" w:sz="0" w:space="0" w:color="auto"/>
        <w:bottom w:val="none" w:sz="0" w:space="0" w:color="auto"/>
        <w:right w:val="none" w:sz="0" w:space="0" w:color="auto"/>
      </w:divBdr>
    </w:div>
    <w:div w:id="688219530">
      <w:bodyDiv w:val="1"/>
      <w:marLeft w:val="0"/>
      <w:marRight w:val="0"/>
      <w:marTop w:val="0"/>
      <w:marBottom w:val="0"/>
      <w:divBdr>
        <w:top w:val="none" w:sz="0" w:space="0" w:color="auto"/>
        <w:left w:val="none" w:sz="0" w:space="0" w:color="auto"/>
        <w:bottom w:val="none" w:sz="0" w:space="0" w:color="auto"/>
        <w:right w:val="none" w:sz="0" w:space="0" w:color="auto"/>
      </w:divBdr>
    </w:div>
    <w:div w:id="719746132">
      <w:bodyDiv w:val="1"/>
      <w:marLeft w:val="0"/>
      <w:marRight w:val="0"/>
      <w:marTop w:val="0"/>
      <w:marBottom w:val="0"/>
      <w:divBdr>
        <w:top w:val="none" w:sz="0" w:space="0" w:color="auto"/>
        <w:left w:val="none" w:sz="0" w:space="0" w:color="auto"/>
        <w:bottom w:val="none" w:sz="0" w:space="0" w:color="auto"/>
        <w:right w:val="none" w:sz="0" w:space="0" w:color="auto"/>
      </w:divBdr>
    </w:div>
    <w:div w:id="743599888">
      <w:bodyDiv w:val="1"/>
      <w:marLeft w:val="0"/>
      <w:marRight w:val="0"/>
      <w:marTop w:val="0"/>
      <w:marBottom w:val="0"/>
      <w:divBdr>
        <w:top w:val="none" w:sz="0" w:space="0" w:color="auto"/>
        <w:left w:val="none" w:sz="0" w:space="0" w:color="auto"/>
        <w:bottom w:val="none" w:sz="0" w:space="0" w:color="auto"/>
        <w:right w:val="none" w:sz="0" w:space="0" w:color="auto"/>
      </w:divBdr>
    </w:div>
    <w:div w:id="755905545">
      <w:bodyDiv w:val="1"/>
      <w:marLeft w:val="0"/>
      <w:marRight w:val="0"/>
      <w:marTop w:val="0"/>
      <w:marBottom w:val="0"/>
      <w:divBdr>
        <w:top w:val="none" w:sz="0" w:space="0" w:color="auto"/>
        <w:left w:val="none" w:sz="0" w:space="0" w:color="auto"/>
        <w:bottom w:val="none" w:sz="0" w:space="0" w:color="auto"/>
        <w:right w:val="none" w:sz="0" w:space="0" w:color="auto"/>
      </w:divBdr>
    </w:div>
    <w:div w:id="832186399">
      <w:bodyDiv w:val="1"/>
      <w:marLeft w:val="0"/>
      <w:marRight w:val="0"/>
      <w:marTop w:val="0"/>
      <w:marBottom w:val="0"/>
      <w:divBdr>
        <w:top w:val="none" w:sz="0" w:space="0" w:color="auto"/>
        <w:left w:val="none" w:sz="0" w:space="0" w:color="auto"/>
        <w:bottom w:val="none" w:sz="0" w:space="0" w:color="auto"/>
        <w:right w:val="none" w:sz="0" w:space="0" w:color="auto"/>
      </w:divBdr>
    </w:div>
    <w:div w:id="895973476">
      <w:bodyDiv w:val="1"/>
      <w:marLeft w:val="0"/>
      <w:marRight w:val="0"/>
      <w:marTop w:val="0"/>
      <w:marBottom w:val="0"/>
      <w:divBdr>
        <w:top w:val="none" w:sz="0" w:space="0" w:color="auto"/>
        <w:left w:val="none" w:sz="0" w:space="0" w:color="auto"/>
        <w:bottom w:val="none" w:sz="0" w:space="0" w:color="auto"/>
        <w:right w:val="none" w:sz="0" w:space="0" w:color="auto"/>
      </w:divBdr>
    </w:div>
    <w:div w:id="990324935">
      <w:bodyDiv w:val="1"/>
      <w:marLeft w:val="0"/>
      <w:marRight w:val="0"/>
      <w:marTop w:val="0"/>
      <w:marBottom w:val="0"/>
      <w:divBdr>
        <w:top w:val="none" w:sz="0" w:space="0" w:color="auto"/>
        <w:left w:val="none" w:sz="0" w:space="0" w:color="auto"/>
        <w:bottom w:val="none" w:sz="0" w:space="0" w:color="auto"/>
        <w:right w:val="none" w:sz="0" w:space="0" w:color="auto"/>
      </w:divBdr>
    </w:div>
    <w:div w:id="1013847853">
      <w:bodyDiv w:val="1"/>
      <w:marLeft w:val="0"/>
      <w:marRight w:val="0"/>
      <w:marTop w:val="0"/>
      <w:marBottom w:val="0"/>
      <w:divBdr>
        <w:top w:val="none" w:sz="0" w:space="0" w:color="auto"/>
        <w:left w:val="none" w:sz="0" w:space="0" w:color="auto"/>
        <w:bottom w:val="none" w:sz="0" w:space="0" w:color="auto"/>
        <w:right w:val="none" w:sz="0" w:space="0" w:color="auto"/>
      </w:divBdr>
    </w:div>
    <w:div w:id="1108428977">
      <w:bodyDiv w:val="1"/>
      <w:marLeft w:val="0"/>
      <w:marRight w:val="0"/>
      <w:marTop w:val="0"/>
      <w:marBottom w:val="0"/>
      <w:divBdr>
        <w:top w:val="none" w:sz="0" w:space="0" w:color="auto"/>
        <w:left w:val="none" w:sz="0" w:space="0" w:color="auto"/>
        <w:bottom w:val="none" w:sz="0" w:space="0" w:color="auto"/>
        <w:right w:val="none" w:sz="0" w:space="0" w:color="auto"/>
      </w:divBdr>
    </w:div>
    <w:div w:id="1120227327">
      <w:bodyDiv w:val="1"/>
      <w:marLeft w:val="0"/>
      <w:marRight w:val="0"/>
      <w:marTop w:val="0"/>
      <w:marBottom w:val="0"/>
      <w:divBdr>
        <w:top w:val="none" w:sz="0" w:space="0" w:color="auto"/>
        <w:left w:val="none" w:sz="0" w:space="0" w:color="auto"/>
        <w:bottom w:val="none" w:sz="0" w:space="0" w:color="auto"/>
        <w:right w:val="none" w:sz="0" w:space="0" w:color="auto"/>
      </w:divBdr>
    </w:div>
    <w:div w:id="1144007466">
      <w:bodyDiv w:val="1"/>
      <w:marLeft w:val="0"/>
      <w:marRight w:val="0"/>
      <w:marTop w:val="0"/>
      <w:marBottom w:val="0"/>
      <w:divBdr>
        <w:top w:val="none" w:sz="0" w:space="0" w:color="auto"/>
        <w:left w:val="none" w:sz="0" w:space="0" w:color="auto"/>
        <w:bottom w:val="none" w:sz="0" w:space="0" w:color="auto"/>
        <w:right w:val="none" w:sz="0" w:space="0" w:color="auto"/>
      </w:divBdr>
    </w:div>
    <w:div w:id="1244071528">
      <w:bodyDiv w:val="1"/>
      <w:marLeft w:val="0"/>
      <w:marRight w:val="0"/>
      <w:marTop w:val="0"/>
      <w:marBottom w:val="0"/>
      <w:divBdr>
        <w:top w:val="none" w:sz="0" w:space="0" w:color="auto"/>
        <w:left w:val="none" w:sz="0" w:space="0" w:color="auto"/>
        <w:bottom w:val="none" w:sz="0" w:space="0" w:color="auto"/>
        <w:right w:val="none" w:sz="0" w:space="0" w:color="auto"/>
      </w:divBdr>
    </w:div>
    <w:div w:id="1255364663">
      <w:bodyDiv w:val="1"/>
      <w:marLeft w:val="0"/>
      <w:marRight w:val="0"/>
      <w:marTop w:val="0"/>
      <w:marBottom w:val="0"/>
      <w:divBdr>
        <w:top w:val="none" w:sz="0" w:space="0" w:color="auto"/>
        <w:left w:val="none" w:sz="0" w:space="0" w:color="auto"/>
        <w:bottom w:val="none" w:sz="0" w:space="0" w:color="auto"/>
        <w:right w:val="none" w:sz="0" w:space="0" w:color="auto"/>
      </w:divBdr>
    </w:div>
    <w:div w:id="1290477420">
      <w:bodyDiv w:val="1"/>
      <w:marLeft w:val="0"/>
      <w:marRight w:val="0"/>
      <w:marTop w:val="0"/>
      <w:marBottom w:val="0"/>
      <w:divBdr>
        <w:top w:val="none" w:sz="0" w:space="0" w:color="auto"/>
        <w:left w:val="none" w:sz="0" w:space="0" w:color="auto"/>
        <w:bottom w:val="none" w:sz="0" w:space="0" w:color="auto"/>
        <w:right w:val="none" w:sz="0" w:space="0" w:color="auto"/>
      </w:divBdr>
    </w:div>
    <w:div w:id="1308706025">
      <w:bodyDiv w:val="1"/>
      <w:marLeft w:val="0"/>
      <w:marRight w:val="0"/>
      <w:marTop w:val="0"/>
      <w:marBottom w:val="0"/>
      <w:divBdr>
        <w:top w:val="none" w:sz="0" w:space="0" w:color="auto"/>
        <w:left w:val="none" w:sz="0" w:space="0" w:color="auto"/>
        <w:bottom w:val="none" w:sz="0" w:space="0" w:color="auto"/>
        <w:right w:val="none" w:sz="0" w:space="0" w:color="auto"/>
      </w:divBdr>
    </w:div>
    <w:div w:id="1383409846">
      <w:bodyDiv w:val="1"/>
      <w:marLeft w:val="0"/>
      <w:marRight w:val="0"/>
      <w:marTop w:val="0"/>
      <w:marBottom w:val="0"/>
      <w:divBdr>
        <w:top w:val="none" w:sz="0" w:space="0" w:color="auto"/>
        <w:left w:val="none" w:sz="0" w:space="0" w:color="auto"/>
        <w:bottom w:val="none" w:sz="0" w:space="0" w:color="auto"/>
        <w:right w:val="none" w:sz="0" w:space="0" w:color="auto"/>
      </w:divBdr>
    </w:div>
    <w:div w:id="1498498050">
      <w:bodyDiv w:val="1"/>
      <w:marLeft w:val="0"/>
      <w:marRight w:val="0"/>
      <w:marTop w:val="0"/>
      <w:marBottom w:val="0"/>
      <w:divBdr>
        <w:top w:val="none" w:sz="0" w:space="0" w:color="auto"/>
        <w:left w:val="none" w:sz="0" w:space="0" w:color="auto"/>
        <w:bottom w:val="none" w:sz="0" w:space="0" w:color="auto"/>
        <w:right w:val="none" w:sz="0" w:space="0" w:color="auto"/>
      </w:divBdr>
      <w:divsChild>
        <w:div w:id="637107621">
          <w:marLeft w:val="0"/>
          <w:marRight w:val="0"/>
          <w:marTop w:val="0"/>
          <w:marBottom w:val="75"/>
          <w:divBdr>
            <w:top w:val="none" w:sz="0" w:space="0" w:color="auto"/>
            <w:left w:val="none" w:sz="0" w:space="0" w:color="auto"/>
            <w:bottom w:val="none" w:sz="0" w:space="0" w:color="auto"/>
            <w:right w:val="none" w:sz="0" w:space="0" w:color="auto"/>
          </w:divBdr>
          <w:divsChild>
            <w:div w:id="53543341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56428311">
      <w:bodyDiv w:val="1"/>
      <w:marLeft w:val="0"/>
      <w:marRight w:val="0"/>
      <w:marTop w:val="0"/>
      <w:marBottom w:val="0"/>
      <w:divBdr>
        <w:top w:val="none" w:sz="0" w:space="0" w:color="auto"/>
        <w:left w:val="none" w:sz="0" w:space="0" w:color="auto"/>
        <w:bottom w:val="none" w:sz="0" w:space="0" w:color="auto"/>
        <w:right w:val="none" w:sz="0" w:space="0" w:color="auto"/>
      </w:divBdr>
    </w:div>
    <w:div w:id="1574661064">
      <w:bodyDiv w:val="1"/>
      <w:marLeft w:val="0"/>
      <w:marRight w:val="0"/>
      <w:marTop w:val="0"/>
      <w:marBottom w:val="0"/>
      <w:divBdr>
        <w:top w:val="none" w:sz="0" w:space="0" w:color="auto"/>
        <w:left w:val="none" w:sz="0" w:space="0" w:color="auto"/>
        <w:bottom w:val="none" w:sz="0" w:space="0" w:color="auto"/>
        <w:right w:val="none" w:sz="0" w:space="0" w:color="auto"/>
      </w:divBdr>
    </w:div>
    <w:div w:id="1594632152">
      <w:bodyDiv w:val="1"/>
      <w:marLeft w:val="0"/>
      <w:marRight w:val="0"/>
      <w:marTop w:val="0"/>
      <w:marBottom w:val="0"/>
      <w:divBdr>
        <w:top w:val="none" w:sz="0" w:space="0" w:color="auto"/>
        <w:left w:val="none" w:sz="0" w:space="0" w:color="auto"/>
        <w:bottom w:val="none" w:sz="0" w:space="0" w:color="auto"/>
        <w:right w:val="none" w:sz="0" w:space="0" w:color="auto"/>
      </w:divBdr>
    </w:div>
    <w:div w:id="1604806199">
      <w:bodyDiv w:val="1"/>
      <w:marLeft w:val="0"/>
      <w:marRight w:val="0"/>
      <w:marTop w:val="0"/>
      <w:marBottom w:val="0"/>
      <w:divBdr>
        <w:top w:val="none" w:sz="0" w:space="0" w:color="auto"/>
        <w:left w:val="none" w:sz="0" w:space="0" w:color="auto"/>
        <w:bottom w:val="none" w:sz="0" w:space="0" w:color="auto"/>
        <w:right w:val="none" w:sz="0" w:space="0" w:color="auto"/>
      </w:divBdr>
    </w:div>
    <w:div w:id="1656640351">
      <w:bodyDiv w:val="1"/>
      <w:marLeft w:val="0"/>
      <w:marRight w:val="0"/>
      <w:marTop w:val="0"/>
      <w:marBottom w:val="0"/>
      <w:divBdr>
        <w:top w:val="none" w:sz="0" w:space="0" w:color="auto"/>
        <w:left w:val="none" w:sz="0" w:space="0" w:color="auto"/>
        <w:bottom w:val="none" w:sz="0" w:space="0" w:color="auto"/>
        <w:right w:val="none" w:sz="0" w:space="0" w:color="auto"/>
      </w:divBdr>
    </w:div>
    <w:div w:id="1692804425">
      <w:bodyDiv w:val="1"/>
      <w:marLeft w:val="0"/>
      <w:marRight w:val="0"/>
      <w:marTop w:val="0"/>
      <w:marBottom w:val="0"/>
      <w:divBdr>
        <w:top w:val="none" w:sz="0" w:space="0" w:color="auto"/>
        <w:left w:val="none" w:sz="0" w:space="0" w:color="auto"/>
        <w:bottom w:val="none" w:sz="0" w:space="0" w:color="auto"/>
        <w:right w:val="none" w:sz="0" w:space="0" w:color="auto"/>
      </w:divBdr>
    </w:div>
    <w:div w:id="1778788382">
      <w:bodyDiv w:val="1"/>
      <w:marLeft w:val="0"/>
      <w:marRight w:val="0"/>
      <w:marTop w:val="0"/>
      <w:marBottom w:val="0"/>
      <w:divBdr>
        <w:top w:val="none" w:sz="0" w:space="0" w:color="auto"/>
        <w:left w:val="none" w:sz="0" w:space="0" w:color="auto"/>
        <w:bottom w:val="none" w:sz="0" w:space="0" w:color="auto"/>
        <w:right w:val="none" w:sz="0" w:space="0" w:color="auto"/>
      </w:divBdr>
    </w:div>
    <w:div w:id="1883974909">
      <w:bodyDiv w:val="1"/>
      <w:marLeft w:val="0"/>
      <w:marRight w:val="0"/>
      <w:marTop w:val="0"/>
      <w:marBottom w:val="0"/>
      <w:divBdr>
        <w:top w:val="none" w:sz="0" w:space="0" w:color="auto"/>
        <w:left w:val="none" w:sz="0" w:space="0" w:color="auto"/>
        <w:bottom w:val="none" w:sz="0" w:space="0" w:color="auto"/>
        <w:right w:val="none" w:sz="0" w:space="0" w:color="auto"/>
      </w:divBdr>
    </w:div>
    <w:div w:id="1970092489">
      <w:bodyDiv w:val="1"/>
      <w:marLeft w:val="0"/>
      <w:marRight w:val="0"/>
      <w:marTop w:val="0"/>
      <w:marBottom w:val="0"/>
      <w:divBdr>
        <w:top w:val="none" w:sz="0" w:space="0" w:color="auto"/>
        <w:left w:val="none" w:sz="0" w:space="0" w:color="auto"/>
        <w:bottom w:val="none" w:sz="0" w:space="0" w:color="auto"/>
        <w:right w:val="none" w:sz="0" w:space="0" w:color="auto"/>
      </w:divBdr>
    </w:div>
    <w:div w:id="205634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sciencedirect.com/science?_ob=JournalURL&amp;_cdi=5245&amp;_auth=y&amp;_acct=C000011279&amp;_version=1&amp;_urlVersion=0&amp;_userid=1134284&amp;md5=8bf101c19978279d8f1dfcdca617b29c" TargetMode="External"/><Relationship Id="rId1827" Type="http://schemas.openxmlformats.org/officeDocument/2006/relationships/hyperlink" Target="2009/Int%20J%20Env%20Res%20Pub%20Hea6,%201856.pdf" TargetMode="External"/><Relationship Id="rId21" Type="http://schemas.openxmlformats.org/officeDocument/2006/relationships/hyperlink" Target="http://www.fasebj.org/contents-by-date.0.shtml" TargetMode="External"/><Relationship Id="rId2089" Type="http://schemas.openxmlformats.org/officeDocument/2006/relationships/hyperlink" Target="I/Int%20J%20Urb%20Reg%20Res22,%20643.pdf" TargetMode="External"/><Relationship Id="rId170" Type="http://schemas.openxmlformats.org/officeDocument/2006/relationships/hyperlink" Target="2005/Fre%20Env%20Bul14,%201129.pdf" TargetMode="External"/><Relationship Id="rId268" Type="http://schemas.openxmlformats.org/officeDocument/2006/relationships/hyperlink" Target="2011/Fue%20Pro%20Tec92,%201322.pdf" TargetMode="External"/><Relationship Id="rId475" Type="http://schemas.openxmlformats.org/officeDocument/2006/relationships/hyperlink" Target="2006/Glo%20Env%20Cha16,%20240.pdf" TargetMode="External"/><Relationship Id="rId682" Type="http://schemas.openxmlformats.org/officeDocument/2006/relationships/hyperlink" Target="2002/Hum%20Bra%20Map17,%20143.pdf" TargetMode="External"/><Relationship Id="rId2156" Type="http://schemas.openxmlformats.org/officeDocument/2006/relationships/hyperlink" Target="2010/Ira%20Pol%20J19,%20541.pdf" TargetMode="External"/><Relationship Id="rId128" Type="http://schemas.openxmlformats.org/officeDocument/2006/relationships/hyperlink" Target="F/Fre%20Rad%20Bio%20Med27,%201182.pdf" TargetMode="External"/><Relationship Id="rId335" Type="http://schemas.openxmlformats.org/officeDocument/2006/relationships/hyperlink" Target="http://www.thieme-connect.com/ejournals/toc/gebfra" TargetMode="External"/><Relationship Id="rId542" Type="http://schemas.openxmlformats.org/officeDocument/2006/relationships/hyperlink" Target="1998/Hea%20Eco7,%20313.pdf" TargetMode="External"/><Relationship Id="rId987" Type="http://schemas.openxmlformats.org/officeDocument/2006/relationships/hyperlink" Target="I/Ind%20Eng%20Che42,%201315.pdf" TargetMode="External"/><Relationship Id="rId1172" Type="http://schemas.openxmlformats.org/officeDocument/2006/relationships/hyperlink" Target="2001/Ind%20Eng%20Che%20Res40,%206004.pdf" TargetMode="External"/><Relationship Id="rId2016" Type="http://schemas.openxmlformats.org/officeDocument/2006/relationships/hyperlink" Target="2010/Int%20J%20Ope%20Pro%20Man30,%20181.pdf" TargetMode="External"/><Relationship Id="rId402" Type="http://schemas.openxmlformats.org/officeDocument/2006/relationships/hyperlink" Target="G/Geoderma5,%2053.pdf" TargetMode="External"/><Relationship Id="rId847" Type="http://schemas.openxmlformats.org/officeDocument/2006/relationships/hyperlink" Target="http://nopr.niscair.res.in/handle/123456789/55" TargetMode="External"/><Relationship Id="rId1032" Type="http://schemas.openxmlformats.org/officeDocument/2006/relationships/hyperlink" Target="I/Ind%20Eng%20Che%20Fun13,%20347.pdf" TargetMode="External"/><Relationship Id="rId1477" Type="http://schemas.openxmlformats.org/officeDocument/2006/relationships/hyperlink" Target="2005/Inf%20Sci23,%201349.pdf" TargetMode="External"/><Relationship Id="rId1684" Type="http://schemas.openxmlformats.org/officeDocument/2006/relationships/hyperlink" Target="2010/Int%20J%20Car140,%20362.pdf" TargetMode="External"/><Relationship Id="rId1891" Type="http://schemas.openxmlformats.org/officeDocument/2006/relationships/hyperlink" Target="I/Int%20J%20Epi29,%20715.pdf" TargetMode="External"/><Relationship Id="rId707" Type="http://schemas.openxmlformats.org/officeDocument/2006/relationships/hyperlink" Target="2000/Hyd%20Pro14,%202861.pdf" TargetMode="External"/><Relationship Id="rId914" Type="http://schemas.openxmlformats.org/officeDocument/2006/relationships/hyperlink" Target="2009/Ind%20J%20Che%20Tec16,%2038.pdf" TargetMode="External"/><Relationship Id="rId1337" Type="http://schemas.openxmlformats.org/officeDocument/2006/relationships/hyperlink" Target="2011/Ind%20Eng%20Che%20Res50,%2013288.pdf" TargetMode="External"/><Relationship Id="rId1544" Type="http://schemas.openxmlformats.org/officeDocument/2006/relationships/hyperlink" Target="2007/Interciencia32,%20643.pdf" TargetMode="External"/><Relationship Id="rId1751" Type="http://schemas.openxmlformats.org/officeDocument/2006/relationships/hyperlink" Target="I/Int%20J%20Env%20Pol21,%20105.pdf" TargetMode="External"/><Relationship Id="rId1989" Type="http://schemas.openxmlformats.org/officeDocument/2006/relationships/hyperlink" Target="2006/Int%20J%20Min%20Pro81,%2035.pdf" TargetMode="External"/><Relationship Id="rId43" Type="http://schemas.openxmlformats.org/officeDocument/2006/relationships/hyperlink" Target="F/FEMS%20Mic%20Rev14,%20291.pdf" TargetMode="External"/><Relationship Id="rId1404" Type="http://schemas.openxmlformats.org/officeDocument/2006/relationships/hyperlink" Target="2001/Inf%20Pro%20Man37,%20817.pdf" TargetMode="External"/><Relationship Id="rId1611" Type="http://schemas.openxmlformats.org/officeDocument/2006/relationships/hyperlink" Target="http://www.atypon-link.com/CFA/loi/ifor" TargetMode="External"/><Relationship Id="rId1849" Type="http://schemas.openxmlformats.org/officeDocument/2006/relationships/hyperlink" Target="2009/Int%20J%20Env%20Sci%20Tec6,%20183.pdf" TargetMode="External"/><Relationship Id="rId192" Type="http://schemas.openxmlformats.org/officeDocument/2006/relationships/hyperlink" Target="2011/Fre%20Env%20Bul20,%2051.pdf" TargetMode="External"/><Relationship Id="rId1709" Type="http://schemas.openxmlformats.org/officeDocument/2006/relationships/hyperlink" Target="2011/Int%20J%20Cli%20Hea%20Psy11,%20549.pdf" TargetMode="External"/><Relationship Id="rId1916" Type="http://schemas.openxmlformats.org/officeDocument/2006/relationships/hyperlink" Target="http://journals.lww.com/ijgc/pages/issuelist.aspx" TargetMode="External"/><Relationship Id="rId497" Type="http://schemas.openxmlformats.org/officeDocument/2006/relationships/hyperlink" Target="2008/Gro%20Pro%20Int%20Rel11,%20575.pdf" TargetMode="External"/><Relationship Id="rId2080" Type="http://schemas.openxmlformats.org/officeDocument/2006/relationships/hyperlink" Target="2000/Int%20J%20Tec%20Ass%20Hea%20Car16,%201095.pdf" TargetMode="External"/><Relationship Id="rId357" Type="http://schemas.openxmlformats.org/officeDocument/2006/relationships/hyperlink" Target="G/Geo%20Cos%20Act58,%20553.pdf" TargetMode="External"/><Relationship Id="rId1194" Type="http://schemas.openxmlformats.org/officeDocument/2006/relationships/hyperlink" Target="I/Ind%20Eng%20Che%20Res42,%203458.pdf" TargetMode="External"/><Relationship Id="rId2038" Type="http://schemas.openxmlformats.org/officeDocument/2006/relationships/hyperlink" Target="2009/Int%20J%20Phy%20Sci4,%20172.pdf" TargetMode="External"/><Relationship Id="rId217" Type="http://schemas.openxmlformats.org/officeDocument/2006/relationships/hyperlink" Target="2009/Fro%20Env%20Sci%20Eng%20Chi,%203,%20313.pdf" TargetMode="External"/><Relationship Id="rId564" Type="http://schemas.openxmlformats.org/officeDocument/2006/relationships/hyperlink" Target="2011/Hea%20Inf%20Lib%20J28,%20216.pdf" TargetMode="External"/><Relationship Id="rId771" Type="http://schemas.openxmlformats.org/officeDocument/2006/relationships/hyperlink" Target="H/Hydrometallurgy72,%20319.pdf" TargetMode="External"/><Relationship Id="rId869" Type="http://schemas.openxmlformats.org/officeDocument/2006/relationships/hyperlink" Target="2005/Ind%20J%20Che%20Tec12,%20407.pdf" TargetMode="External"/><Relationship Id="rId1499" Type="http://schemas.openxmlformats.org/officeDocument/2006/relationships/hyperlink" Target="1960-80/Inf%20Sto%20Ret7,%20127.pdf" TargetMode="External"/><Relationship Id="rId424" Type="http://schemas.openxmlformats.org/officeDocument/2006/relationships/hyperlink" Target="2007/Geoderma137,%20388.pdf" TargetMode="External"/><Relationship Id="rId631" Type="http://schemas.openxmlformats.org/officeDocument/2006/relationships/hyperlink" Target="2010/Hem%20Ind64,%20295.pdf" TargetMode="External"/><Relationship Id="rId729" Type="http://schemas.openxmlformats.org/officeDocument/2006/relationships/hyperlink" Target="H/Hydrometallurgy45,%20333.pdf" TargetMode="External"/><Relationship Id="rId1054" Type="http://schemas.openxmlformats.org/officeDocument/2006/relationships/hyperlink" Target="1960-80/Ind%20Eng%20Che%20Pro%20Res%20Dev14,%20131.pdf" TargetMode="External"/><Relationship Id="rId1261" Type="http://schemas.openxmlformats.org/officeDocument/2006/relationships/hyperlink" Target="2007/Ind%20Eng%20Che%20Res46,%201326.pdf" TargetMode="External"/><Relationship Id="rId1359" Type="http://schemas.openxmlformats.org/officeDocument/2006/relationships/hyperlink" Target="1993/Inf%20Man24,%20339.pdf" TargetMode="External"/><Relationship Id="rId2105" Type="http://schemas.openxmlformats.org/officeDocument/2006/relationships/hyperlink" Target="2008/Int%20Ort32,%20107.pdf" TargetMode="External"/><Relationship Id="rId936" Type="http://schemas.openxmlformats.org/officeDocument/2006/relationships/hyperlink" Target="2010/Ind%20J%20Che%20Tec17,%20346.pdf" TargetMode="External"/><Relationship Id="rId1121" Type="http://schemas.openxmlformats.org/officeDocument/2006/relationships/hyperlink" Target="I/Ind%20Eng%20Che%20Res38,%204938.pdf" TargetMode="External"/><Relationship Id="rId1219" Type="http://schemas.openxmlformats.org/officeDocument/2006/relationships/hyperlink" Target="I/Ind%20Eng%20Che%20Res-Ho.pdf" TargetMode="External"/><Relationship Id="rId1566" Type="http://schemas.openxmlformats.org/officeDocument/2006/relationships/hyperlink" Target="2005/Int%20App%20Mec41,%201085.pdf" TargetMode="External"/><Relationship Id="rId1773" Type="http://schemas.openxmlformats.org/officeDocument/2006/relationships/hyperlink" Target="2008/Int%20J%20Env%20Pol34,%20246.pdf" TargetMode="External"/><Relationship Id="rId1980" Type="http://schemas.openxmlformats.org/officeDocument/2006/relationships/hyperlink" Target="1997/Int%20J%20Min%20Pro52,%201.pdf" TargetMode="External"/><Relationship Id="rId65" Type="http://schemas.openxmlformats.org/officeDocument/2006/relationships/hyperlink" Target="2005/Fin%20Uve-Cze%20J%20Eco%20Fin55,%20563.pdf" TargetMode="External"/><Relationship Id="rId1426" Type="http://schemas.openxmlformats.org/officeDocument/2006/relationships/hyperlink" Target="2006/Inf%20Pro%20Man42,%201567.pdf" TargetMode="External"/><Relationship Id="rId1633" Type="http://schemas.openxmlformats.org/officeDocument/2006/relationships/hyperlink" Target="2011/Int%20J%20App%20Rea52,%201312.pdf" TargetMode="External"/><Relationship Id="rId1840" Type="http://schemas.openxmlformats.org/officeDocument/2006/relationships/hyperlink" Target="2008/Int%20J%20Env%20Sci%20Tec5,%2035.pdf" TargetMode="External"/><Relationship Id="rId1700" Type="http://schemas.openxmlformats.org/officeDocument/2006/relationships/hyperlink" Target="2010/Int%20J%20Che%20Rea%20Eng8,%20A151.pdf" TargetMode="External"/><Relationship Id="rId1938" Type="http://schemas.openxmlformats.org/officeDocument/2006/relationships/hyperlink" Target="http://www.sciencedirect.com/science?_ob=JournalURL&amp;_cdi=20443&amp;_auth=y&amp;_acct=C000047720&amp;_version=1&amp;_urlVersion=0&amp;_userid=2007471&amp;md5=333ede8ac2ac40418c7f5a12b6889436" TargetMode="External"/><Relationship Id="rId281" Type="http://schemas.openxmlformats.org/officeDocument/2006/relationships/hyperlink" Target="http://www3.interscience.wiley.com/journal/117978161/home" TargetMode="External"/><Relationship Id="rId141" Type="http://schemas.openxmlformats.org/officeDocument/2006/relationships/hyperlink" Target="2002/Fre%20Env%20Bul11,%201066.pdf" TargetMode="External"/><Relationship Id="rId379" Type="http://schemas.openxmlformats.org/officeDocument/2006/relationships/hyperlink" Target="G/Geo%20Cos%20Act64,%201159.pdf" TargetMode="External"/><Relationship Id="rId586" Type="http://schemas.openxmlformats.org/officeDocument/2006/relationships/hyperlink" Target="http://www.hta.ac.uk/project/htapubs.asp" TargetMode="External"/><Relationship Id="rId793" Type="http://schemas.openxmlformats.org/officeDocument/2006/relationships/hyperlink" Target="2007/Hydrometallurgy87,%20133.pdf" TargetMode="External"/><Relationship Id="rId7" Type="http://schemas.openxmlformats.org/officeDocument/2006/relationships/header" Target="header1.xml"/><Relationship Id="rId239" Type="http://schemas.openxmlformats.org/officeDocument/2006/relationships/hyperlink" Target="F/Fuel80,%20851.pdf" TargetMode="External"/><Relationship Id="rId446" Type="http://schemas.openxmlformats.org/officeDocument/2006/relationships/hyperlink" Target="1994/Geo%20Res%20Let21,%202519.pdf" TargetMode="External"/><Relationship Id="rId653" Type="http://schemas.openxmlformats.org/officeDocument/2006/relationships/hyperlink" Target="http://taylorandfrancis.metapress.com/(3eszqa24fx3j40jo03pc1055)/app/home/journal.asp?referrer=parent&amp;backto=linkingpublicationresults,1:104590,1" TargetMode="External"/><Relationship Id="rId1076" Type="http://schemas.openxmlformats.org/officeDocument/2006/relationships/hyperlink" Target="I/Ind%20Eng%20Che%20Res31,%202774.pdf" TargetMode="External"/><Relationship Id="rId1283" Type="http://schemas.openxmlformats.org/officeDocument/2006/relationships/hyperlink" Target="2008/Ind%20Eng%20Che%20Res47,%205433.pdf" TargetMode="External"/><Relationship Id="rId1490" Type="http://schemas.openxmlformats.org/officeDocument/2006/relationships/hyperlink" Target="2008/Inf%20Sof%20Tec50,%202.pdf" TargetMode="External"/><Relationship Id="rId2127" Type="http://schemas.openxmlformats.org/officeDocument/2006/relationships/hyperlink" Target="2011/Ira%20J%20Che%20Che%20Eng-Int%20Eng%20Edi30,%2051.pdf" TargetMode="External"/><Relationship Id="rId306" Type="http://schemas.openxmlformats.org/officeDocument/2006/relationships/hyperlink" Target="2008/Gai%20Pos27,%20559.pdf" TargetMode="External"/><Relationship Id="rId860" Type="http://schemas.openxmlformats.org/officeDocument/2006/relationships/hyperlink" Target="2004/Ind%20J%20Che%20Tec11,%20704.pdf" TargetMode="External"/><Relationship Id="rId958" Type="http://schemas.openxmlformats.org/officeDocument/2006/relationships/hyperlink" Target="http://indianpediatrics.net/" TargetMode="External"/><Relationship Id="rId1143" Type="http://schemas.openxmlformats.org/officeDocument/2006/relationships/hyperlink" Target="I/Ind%20Eng%20Che%20Res39,%203034.pdf" TargetMode="External"/><Relationship Id="rId1588" Type="http://schemas.openxmlformats.org/officeDocument/2006/relationships/hyperlink" Target="I/Int%20Bio%20Bio50,%2095.pdf" TargetMode="External"/><Relationship Id="rId1795" Type="http://schemas.openxmlformats.org/officeDocument/2006/relationships/hyperlink" Target="2001/Int%20J%20Env%20Ana%20Che80,%20167.pdf" TargetMode="External"/><Relationship Id="rId87" Type="http://schemas.openxmlformats.org/officeDocument/2006/relationships/hyperlink" Target="F/Foo%20Che%20Tox38,%20S51.pdf" TargetMode="External"/><Relationship Id="rId513" Type="http://schemas.openxmlformats.org/officeDocument/2006/relationships/hyperlink" Target="http://www3.interscience.wiley.com/journal/119485086/home" TargetMode="External"/><Relationship Id="rId720" Type="http://schemas.openxmlformats.org/officeDocument/2006/relationships/hyperlink" Target="H/Hydrometallurgy28,%2065.pdf" TargetMode="External"/><Relationship Id="rId818" Type="http://schemas.openxmlformats.org/officeDocument/2006/relationships/hyperlink" Target="2009/IEE%20Sof26,%2012.pdf" TargetMode="External"/><Relationship Id="rId1350" Type="http://schemas.openxmlformats.org/officeDocument/2006/relationships/hyperlink" Target="2008/Ind%20Wat%20Tre28,%2017.pdf" TargetMode="External"/><Relationship Id="rId1448" Type="http://schemas.openxmlformats.org/officeDocument/2006/relationships/hyperlink" Target="http://informationr.net/ir/" TargetMode="External"/><Relationship Id="rId1655" Type="http://schemas.openxmlformats.org/officeDocument/2006/relationships/hyperlink" Target="2006/Int%20J%20Bio%20Mac-Ho1.pdf" TargetMode="External"/><Relationship Id="rId1003" Type="http://schemas.openxmlformats.org/officeDocument/2006/relationships/hyperlink" Target="http://pubs3.acs.org/acs/journals/toc.page?incoden=iepra6" TargetMode="External"/><Relationship Id="rId1210" Type="http://schemas.openxmlformats.org/officeDocument/2006/relationships/hyperlink" Target="I/Ind%20Eng%20Che%20Res43,%202356.pdf" TargetMode="External"/><Relationship Id="rId1308" Type="http://schemas.openxmlformats.org/officeDocument/2006/relationships/hyperlink" Target="2009/Ind%20Eng%20Che%20Res48,%2010584.pdf" TargetMode="External"/><Relationship Id="rId1862" Type="http://schemas.openxmlformats.org/officeDocument/2006/relationships/hyperlink" Target="2010/Int%20J%20Env%20Sci%20Tec7,%20395.pdf" TargetMode="External"/><Relationship Id="rId1515" Type="http://schemas.openxmlformats.org/officeDocument/2006/relationships/hyperlink" Target="2010/Ing%20Qui38,%2033.pdf" TargetMode="External"/><Relationship Id="rId1722" Type="http://schemas.openxmlformats.org/officeDocument/2006/relationships/hyperlink" Target="2002/Int%20J%20Coa%20Geo50,%20413.pdf" TargetMode="External"/><Relationship Id="rId14" Type="http://schemas.openxmlformats.org/officeDocument/2006/relationships/footer" Target="footer4.xml"/><Relationship Id="rId163" Type="http://schemas.openxmlformats.org/officeDocument/2006/relationships/hyperlink" Target="2005/Fre%20Env%20Bul14,%20509.pdf" TargetMode="External"/><Relationship Id="rId370" Type="http://schemas.openxmlformats.org/officeDocument/2006/relationships/hyperlink" Target="G/Geo%20Cos%20Act62,%201919.pdf" TargetMode="External"/><Relationship Id="rId2051" Type="http://schemas.openxmlformats.org/officeDocument/2006/relationships/hyperlink" Target="http://sdos.ejournal.ascc.net/cgi-bin/sciserv.pl?collection=journals&amp;journal=02637863" TargetMode="External"/><Relationship Id="rId230" Type="http://schemas.openxmlformats.org/officeDocument/2006/relationships/hyperlink" Target="F/Fuel69,%20189.pdf" TargetMode="External"/><Relationship Id="rId468" Type="http://schemas.openxmlformats.org/officeDocument/2006/relationships/hyperlink" Target="1990/Gif%20Chi%20Qua34,%20116.pdf" TargetMode="External"/><Relationship Id="rId675" Type="http://schemas.openxmlformats.org/officeDocument/2006/relationships/hyperlink" Target="http://www.sciencedirect.com/science/journal/14754916" TargetMode="External"/><Relationship Id="rId882" Type="http://schemas.openxmlformats.org/officeDocument/2006/relationships/hyperlink" Target="2006/Ind%20J%20Che%20Tec13,%20433.pdf" TargetMode="External"/><Relationship Id="rId1098" Type="http://schemas.openxmlformats.org/officeDocument/2006/relationships/hyperlink" Target="1997/Ind%20Eng%20Che%20Res36,%203480.pdf" TargetMode="External"/><Relationship Id="rId2149" Type="http://schemas.openxmlformats.org/officeDocument/2006/relationships/hyperlink" Target="2009/Ira%20J%20Env%20Hea%20Sci%20Eng6,%20195.pdf" TargetMode="External"/><Relationship Id="rId328" Type="http://schemas.openxmlformats.org/officeDocument/2006/relationships/hyperlink" Target="http://www.sciencedirect.com/science/journal/00165085" TargetMode="External"/><Relationship Id="rId535" Type="http://schemas.openxmlformats.org/officeDocument/2006/relationships/hyperlink" Target="2010/Headache50,%20588.pdf" TargetMode="External"/><Relationship Id="rId742" Type="http://schemas.openxmlformats.org/officeDocument/2006/relationships/hyperlink" Target="H/Hydrometallurgy59,%20203.pdf" TargetMode="External"/><Relationship Id="rId1165" Type="http://schemas.openxmlformats.org/officeDocument/2006/relationships/hyperlink" Target="I/Ind%20Eng%20Che%20Res40,%203965.pdf" TargetMode="External"/><Relationship Id="rId1372" Type="http://schemas.openxmlformats.org/officeDocument/2006/relationships/hyperlink" Target="1987/Inf%20Pro%20Man23,%20155.pdf" TargetMode="External"/><Relationship Id="rId2009" Type="http://schemas.openxmlformats.org/officeDocument/2006/relationships/hyperlink" Target="2009/Int%20J%20Nur%20Stu46,%20751.pdf" TargetMode="External"/><Relationship Id="rId602" Type="http://schemas.openxmlformats.org/officeDocument/2006/relationships/hyperlink" Target="2010/Hea%20Tec%20Ass14-45,%201.pdf" TargetMode="External"/><Relationship Id="rId1025" Type="http://schemas.openxmlformats.org/officeDocument/2006/relationships/hyperlink" Target="I/Ind%20Eng%20Che%20Fun11,%20445.pdf" TargetMode="External"/><Relationship Id="rId1232" Type="http://schemas.openxmlformats.org/officeDocument/2006/relationships/hyperlink" Target="I/Ind%20Eng%20Che%20Res44,%202091.pdf" TargetMode="External"/><Relationship Id="rId1677" Type="http://schemas.openxmlformats.org/officeDocument/2006/relationships/hyperlink" Target="2001/Int%20J%20Can91,%20575.pdf" TargetMode="External"/><Relationship Id="rId1884" Type="http://schemas.openxmlformats.org/officeDocument/2006/relationships/hyperlink" Target="1996/Int%20J%20Epi25,%201220.pdf" TargetMode="External"/><Relationship Id="rId907" Type="http://schemas.openxmlformats.org/officeDocument/2006/relationships/hyperlink" Target="2008/Ind%20J%20Che%20Tec15,%20417.pdf" TargetMode="External"/><Relationship Id="rId1537" Type="http://schemas.openxmlformats.org/officeDocument/2006/relationships/hyperlink" Target="1999/Interciencia24,%20107.pdf" TargetMode="External"/><Relationship Id="rId1744" Type="http://schemas.openxmlformats.org/officeDocument/2006/relationships/hyperlink" Target="I/Int%20J%20Env%20Pol18,%20181.pdf" TargetMode="External"/><Relationship Id="rId1951" Type="http://schemas.openxmlformats.org/officeDocument/2006/relationships/hyperlink" Target="2011/Int%20J%20Leg%20Med125,%20393.pdf" TargetMode="External"/><Relationship Id="rId36" Type="http://schemas.openxmlformats.org/officeDocument/2006/relationships/hyperlink" Target="1992/FEMS%20Mic%20Let99,%20221.pdf" TargetMode="External"/><Relationship Id="rId1604" Type="http://schemas.openxmlformats.org/officeDocument/2006/relationships/hyperlink" Target="2000/Int%20Con%20Com%20Tec%20Pro1,%203.pdf" TargetMode="External"/><Relationship Id="rId185" Type="http://schemas.openxmlformats.org/officeDocument/2006/relationships/hyperlink" Target="2010/Fre%20Env%20Bul19,%20773.pdf" TargetMode="External"/><Relationship Id="rId1811" Type="http://schemas.openxmlformats.org/officeDocument/2006/relationships/hyperlink" Target="2009/Int%20J%20Env%20Res3,%2013.pdf" TargetMode="External"/><Relationship Id="rId1909" Type="http://schemas.openxmlformats.org/officeDocument/2006/relationships/hyperlink" Target="I/Int%20J%20Foo%20Mic30,%20101.pdf" TargetMode="External"/><Relationship Id="rId392" Type="http://schemas.openxmlformats.org/officeDocument/2006/relationships/hyperlink" Target="http://www.sciencedirect.com/science?_ob=ArticleURL&amp;_aset=V-WA-A-W-CYD-MsSAYWA-UUW-U-AAVUEEEBDC-AABYCYUADC-ZAEUEDDZB-CYD-U&amp;_rdoc=5&amp;_fmt=full&amp;_udi=B6V66-4J4H8K7-1&amp;_coverDate=02%2F01%2F2006&amp;_cdi=5806&amp;_orig=search&amp;_st=13&amp;_sort=d&amp;view=c&amp;_acct=C000053193&amp;_version=1&amp;_urlVersion=0&amp;_userid=1495547&amp;md5=74fb13903a695504d6053a589f15c989" TargetMode="External"/><Relationship Id="rId697" Type="http://schemas.openxmlformats.org/officeDocument/2006/relationships/hyperlink" Target="http://www.springerlink.com/content/0018-8158/" TargetMode="External"/><Relationship Id="rId2073" Type="http://schemas.openxmlformats.org/officeDocument/2006/relationships/hyperlink" Target="2011/Int%20J%20Res%20Mar28,%20248.pdf" TargetMode="External"/><Relationship Id="rId252" Type="http://schemas.openxmlformats.org/officeDocument/2006/relationships/hyperlink" Target="2012/Fuel92,%20204.pdf" TargetMode="External"/><Relationship Id="rId1187" Type="http://schemas.openxmlformats.org/officeDocument/2006/relationships/hyperlink" Target="I/Ind%20&amp;%20Eng%20Che%20Res41,%206149.pdf" TargetMode="External"/><Relationship Id="rId2140" Type="http://schemas.openxmlformats.org/officeDocument/2006/relationships/hyperlink" Target="2007/Ira%20J%20Env%20Hea%20Sci%20Eng4,%20139.pdf" TargetMode="External"/><Relationship Id="rId112" Type="http://schemas.openxmlformats.org/officeDocument/2006/relationships/hyperlink" Target="http://www.sciencedirect.com/science?_ob=JournalURL&amp;_cdi=5041&amp;_auth=y&amp;_acct=C000011279&amp;_version=1&amp;_urlVersion=0&amp;_userid=1134284&amp;md5=ac82239fa9cbda5cc2ef1b4e015e45f3" TargetMode="External"/><Relationship Id="rId557" Type="http://schemas.openxmlformats.org/officeDocument/2006/relationships/hyperlink" Target="H/Hea%20Inf%20Lib%20J21,%2014.pdf" TargetMode="External"/><Relationship Id="rId764" Type="http://schemas.openxmlformats.org/officeDocument/2006/relationships/hyperlink" Target="H/Hydrometallurgy71,%20191.pdf" TargetMode="External"/><Relationship Id="rId971" Type="http://schemas.openxmlformats.org/officeDocument/2006/relationships/hyperlink" Target="http://www.sciencedirect.com/science/journal/09266690" TargetMode="External"/><Relationship Id="rId1394" Type="http://schemas.openxmlformats.org/officeDocument/2006/relationships/hyperlink" Target="1996/Inf%20Pro%20Man32,%20697.pdf" TargetMode="External"/><Relationship Id="rId1699" Type="http://schemas.openxmlformats.org/officeDocument/2006/relationships/hyperlink" Target="2010/Int%20J%20Che%20Rea%20Eng8,%20A143.pdf" TargetMode="External"/><Relationship Id="rId2000" Type="http://schemas.openxmlformats.org/officeDocument/2006/relationships/hyperlink" Target="1983/Int%20J%20Mul%20Flo9,%20269.pdf" TargetMode="External"/><Relationship Id="rId417" Type="http://schemas.openxmlformats.org/officeDocument/2006/relationships/hyperlink" Target="2001/Geoderma100,%20217.pdf" TargetMode="External"/><Relationship Id="rId624" Type="http://schemas.openxmlformats.org/officeDocument/2006/relationships/hyperlink" Target="http://www.springerlink.com/content/1438-387x/" TargetMode="External"/><Relationship Id="rId831" Type="http://schemas.openxmlformats.org/officeDocument/2006/relationships/hyperlink" Target="2003/IEEE%20Tra%20Nuc%20Sci50,%20457.pdf" TargetMode="External"/><Relationship Id="rId1047" Type="http://schemas.openxmlformats.org/officeDocument/2006/relationships/hyperlink" Target="I/Ind%20Eng%20Che%20Pro%20Des%20Dev17,%20406.pdf" TargetMode="External"/><Relationship Id="rId1254" Type="http://schemas.openxmlformats.org/officeDocument/2006/relationships/hyperlink" Target="2006/Ind%20Eng%20Che%20Res45,%207232.pdf" TargetMode="External"/><Relationship Id="rId1461" Type="http://schemas.openxmlformats.org/officeDocument/2006/relationships/hyperlink" Target="2009/Inf%20Res14,%20397.pdf" TargetMode="External"/><Relationship Id="rId929" Type="http://schemas.openxmlformats.org/officeDocument/2006/relationships/hyperlink" Target="2010/Ind%20J%20Che%20Tec17,%2017.pdf" TargetMode="External"/><Relationship Id="rId1114" Type="http://schemas.openxmlformats.org/officeDocument/2006/relationships/hyperlink" Target="I/Ind%20Eng%20Che%20Res37,%204816.pdf" TargetMode="External"/><Relationship Id="rId1321" Type="http://schemas.openxmlformats.org/officeDocument/2006/relationships/hyperlink" Target="2010/Ind%20Eng%20Che%20Res49,%208106.pdf" TargetMode="External"/><Relationship Id="rId1559" Type="http://schemas.openxmlformats.org/officeDocument/2006/relationships/hyperlink" Target="2009/Int%20Med48,%202069.pdf" TargetMode="External"/><Relationship Id="rId1766" Type="http://schemas.openxmlformats.org/officeDocument/2006/relationships/hyperlink" Target="2008/Int%20J%20Env%20Pol34,%20140.pdf" TargetMode="External"/><Relationship Id="rId1973" Type="http://schemas.openxmlformats.org/officeDocument/2006/relationships/hyperlink" Target="http://www.sciencedirect.com/science?_ob=JournalURL&amp;_cdi=5931&amp;_auth=y&amp;_acct=C000011279&amp;_version=1&amp;_urlVersion=0&amp;_userid=1134284&amp;md5=e7dd344da560ebe7bd5ecaa28efbb13a" TargetMode="External"/><Relationship Id="rId58" Type="http://schemas.openxmlformats.org/officeDocument/2006/relationships/hyperlink" Target="2010/Fib%20Pol11,%20177.pdf" TargetMode="External"/><Relationship Id="rId1419" Type="http://schemas.openxmlformats.org/officeDocument/2006/relationships/hyperlink" Target="2005/Inf%20Pro%20Man41,%201481.pdf" TargetMode="External"/><Relationship Id="rId1626" Type="http://schemas.openxmlformats.org/officeDocument/2006/relationships/hyperlink" Target="I/Int%20Inf%20Lib%20Rev34,%20235.pdf" TargetMode="External"/><Relationship Id="rId1833" Type="http://schemas.openxmlformats.org/officeDocument/2006/relationships/hyperlink" Target="2007/Int%20J%20Env%20Sci%20Tec4,%2067.pdf" TargetMode="External"/><Relationship Id="rId1900" Type="http://schemas.openxmlformats.org/officeDocument/2006/relationships/hyperlink" Target="2011/Int%20J%20Epi40,%20685.pdf" TargetMode="External"/><Relationship Id="rId2095" Type="http://schemas.openxmlformats.org/officeDocument/2006/relationships/hyperlink" Target="http://www.im.microbios.org/" TargetMode="External"/><Relationship Id="rId274" Type="http://schemas.openxmlformats.org/officeDocument/2006/relationships/hyperlink" Target="F/Fun%20Eco10,%20741.pdf" TargetMode="External"/><Relationship Id="rId481" Type="http://schemas.openxmlformats.org/officeDocument/2006/relationships/hyperlink" Target="G/Glo%20Nes%20Int%20J4,%2075.pdf" TargetMode="External"/><Relationship Id="rId2162" Type="http://schemas.openxmlformats.org/officeDocument/2006/relationships/hyperlink" Target="http://www.springerlink.com/content/120106/?p=7a04c59eddaa45a3acf7f788f93f3c42&amp;pi=0" TargetMode="External"/><Relationship Id="rId134" Type="http://schemas.openxmlformats.org/officeDocument/2006/relationships/hyperlink" Target="2001/Fre%20Env%20Bul10,%20717.pdf" TargetMode="External"/><Relationship Id="rId579" Type="http://schemas.openxmlformats.org/officeDocument/2006/relationships/hyperlink" Target="2008/Hea%20Ris%20Soc10,%20241.pdf" TargetMode="External"/><Relationship Id="rId786" Type="http://schemas.openxmlformats.org/officeDocument/2006/relationships/hyperlink" Target="2005/Hydrometallurgy80,%2098.pdf" TargetMode="External"/><Relationship Id="rId993" Type="http://schemas.openxmlformats.org/officeDocument/2006/relationships/hyperlink" Target="I/Ind%20Eng%20Che45,%201456.pdf" TargetMode="External"/><Relationship Id="rId341" Type="http://schemas.openxmlformats.org/officeDocument/2006/relationships/hyperlink" Target="http://genomebiology.com/home" TargetMode="External"/><Relationship Id="rId439" Type="http://schemas.openxmlformats.org/officeDocument/2006/relationships/hyperlink" Target="G/Geo%20J21,%20159.pdf" TargetMode="External"/><Relationship Id="rId646" Type="http://schemas.openxmlformats.org/officeDocument/2006/relationships/hyperlink" Target="2009/Hig%20Edu57,%20155.pdf" TargetMode="External"/><Relationship Id="rId1069" Type="http://schemas.openxmlformats.org/officeDocument/2006/relationships/hyperlink" Target="I/Ind%20Eng%20Che%20Res30,%201893.pdf" TargetMode="External"/><Relationship Id="rId1276" Type="http://schemas.openxmlformats.org/officeDocument/2006/relationships/hyperlink" Target="2008/Ind%20Eng%20Che%20Res47,%201620.pdf" TargetMode="External"/><Relationship Id="rId1483" Type="http://schemas.openxmlformats.org/officeDocument/2006/relationships/hyperlink" Target="2012/Inf%20Sci185,%2018.pdf" TargetMode="External"/><Relationship Id="rId2022" Type="http://schemas.openxmlformats.org/officeDocument/2006/relationships/hyperlink" Target="http://www.sciencedirect.com/" TargetMode="External"/><Relationship Id="rId201" Type="http://schemas.openxmlformats.org/officeDocument/2006/relationships/hyperlink" Target="http://www.springerlink.com/app/home/journal.asp?wasp=4ca97f5dd72047659823e7c5f1637885&amp;referrer=parent&amp;backto=linkingpublicationresults,1:110258,1" TargetMode="External"/><Relationship Id="rId506" Type="http://schemas.openxmlformats.org/officeDocument/2006/relationships/hyperlink" Target="G/Gut40,%20754.pdf" TargetMode="External"/><Relationship Id="rId853" Type="http://schemas.openxmlformats.org/officeDocument/2006/relationships/hyperlink" Target="2004/Ind%20J%20Che%20Tec11,%2059.pdf" TargetMode="External"/><Relationship Id="rId1136" Type="http://schemas.openxmlformats.org/officeDocument/2006/relationships/hyperlink" Target="2000/Ind%20Eng%20Che%20Res39,%202427.pdf" TargetMode="External"/><Relationship Id="rId1690" Type="http://schemas.openxmlformats.org/officeDocument/2006/relationships/hyperlink" Target="2008/Int%20J%20Che%20Rea%20Eng6,%20A67.pdf" TargetMode="External"/><Relationship Id="rId1788" Type="http://schemas.openxmlformats.org/officeDocument/2006/relationships/hyperlink" Target="2008/Int%20J%20Env%20Pol34,%20466.pdf" TargetMode="External"/><Relationship Id="rId1995" Type="http://schemas.openxmlformats.org/officeDocument/2006/relationships/hyperlink" Target="2007/Int%20J%20Mod%20Phy%20B21,%203601.pdf" TargetMode="External"/><Relationship Id="rId713" Type="http://schemas.openxmlformats.org/officeDocument/2006/relationships/hyperlink" Target="H/Hydrometallurgy2,%20285.pdf" TargetMode="External"/><Relationship Id="rId920" Type="http://schemas.openxmlformats.org/officeDocument/2006/relationships/hyperlink" Target="2009/Ind%20J%20Che%20Tec16,%20245.pdf" TargetMode="External"/><Relationship Id="rId1343" Type="http://schemas.openxmlformats.org/officeDocument/2006/relationships/hyperlink" Target="2008/Ind%20Hea46,%20519.pdf" TargetMode="External"/><Relationship Id="rId1550" Type="http://schemas.openxmlformats.org/officeDocument/2006/relationships/hyperlink" Target="2010/Interciencia35,%20619.pdf" TargetMode="External"/><Relationship Id="rId1648" Type="http://schemas.openxmlformats.org/officeDocument/2006/relationships/hyperlink" Target="I/Int%20J%20Bio%20Mac29,%2019.pdf" TargetMode="External"/><Relationship Id="rId1203" Type="http://schemas.openxmlformats.org/officeDocument/2006/relationships/hyperlink" Target="I/Ind%20Eng%20Che%20Res43,%201665.pdf" TargetMode="External"/><Relationship Id="rId1410" Type="http://schemas.openxmlformats.org/officeDocument/2006/relationships/hyperlink" Target="2004/Inf%20Pro%20Man40,%20365.pdf" TargetMode="External"/><Relationship Id="rId1508" Type="http://schemas.openxmlformats.org/officeDocument/2006/relationships/hyperlink" Target="http://www.atypon-link.com/INF/loi/isre" TargetMode="External"/><Relationship Id="rId1855" Type="http://schemas.openxmlformats.org/officeDocument/2006/relationships/hyperlink" Target="2009/Int%20J%20Env%20Sci%20Tec6,%20539.pdf" TargetMode="External"/><Relationship Id="rId1715" Type="http://schemas.openxmlformats.org/officeDocument/2006/relationships/hyperlink" Target="I/Int%20J%20Coa%20Geo27,%2059.pdf" TargetMode="External"/><Relationship Id="rId1922" Type="http://schemas.openxmlformats.org/officeDocument/2006/relationships/hyperlink" Target="http://www.ij-healthgeographics.com/" TargetMode="External"/><Relationship Id="rId296" Type="http://schemas.openxmlformats.org/officeDocument/2006/relationships/hyperlink" Target="2007/Gac%20San21,%20408.pdf" TargetMode="External"/><Relationship Id="rId156" Type="http://schemas.openxmlformats.org/officeDocument/2006/relationships/hyperlink" Target="2004/Fre%20Env%20Bul13,%20524.pdf" TargetMode="External"/><Relationship Id="rId363" Type="http://schemas.openxmlformats.org/officeDocument/2006/relationships/hyperlink" Target="G/Geo%20Cos%20Act61,%202223.pdf" TargetMode="External"/><Relationship Id="rId570" Type="http://schemas.openxmlformats.org/officeDocument/2006/relationships/hyperlink" Target="H/Hea%20Pol36,%20155.pdf" TargetMode="External"/><Relationship Id="rId2044" Type="http://schemas.openxmlformats.org/officeDocument/2006/relationships/hyperlink" Target="http://www.informaworld.com/smpp/title~content=t713610150~link=cover" TargetMode="External"/><Relationship Id="rId223" Type="http://schemas.openxmlformats.org/officeDocument/2006/relationships/hyperlink" Target="2011/Fruits66,%20131.pdf" TargetMode="External"/><Relationship Id="rId430" Type="http://schemas.openxmlformats.org/officeDocument/2006/relationships/hyperlink" Target="2010/Geo%20Ana42,%207.pdf" TargetMode="External"/><Relationship Id="rId668" Type="http://schemas.openxmlformats.org/officeDocument/2006/relationships/hyperlink" Target="http://www.springerlink.com/app/home/journal.asp?wasp=h83akkxwqn1jvaylwa7w&amp;referrer=parent&amp;backto=linkingpublicationresults,id:102503,1" TargetMode="External"/><Relationship Id="rId875" Type="http://schemas.openxmlformats.org/officeDocument/2006/relationships/hyperlink" Target="2005/Ind%20J%20Che%20Tec13,%2024.pdf" TargetMode="External"/><Relationship Id="rId1060" Type="http://schemas.openxmlformats.org/officeDocument/2006/relationships/hyperlink" Target="http://pubs3.acs.org/acs/journals/toc.page?incoden=iecfa7" TargetMode="External"/><Relationship Id="rId1298" Type="http://schemas.openxmlformats.org/officeDocument/2006/relationships/hyperlink" Target="2009/Ind%20Eng%20Che%20Res48,%204688.pdf" TargetMode="External"/><Relationship Id="rId2111" Type="http://schemas.openxmlformats.org/officeDocument/2006/relationships/hyperlink" Target="2009/Int%20Psy21,%201026.pdf" TargetMode="External"/><Relationship Id="rId528" Type="http://schemas.openxmlformats.org/officeDocument/2006/relationships/hyperlink" Target="2010/Har%20Rev%20Psy18,%20207.pdf" TargetMode="External"/><Relationship Id="rId735" Type="http://schemas.openxmlformats.org/officeDocument/2006/relationships/hyperlink" Target="H/Hydrometallurgy52,%20189.pdf" TargetMode="External"/><Relationship Id="rId942" Type="http://schemas.openxmlformats.org/officeDocument/2006/relationships/hyperlink" Target="2011/Ind%20J%20Che%20Tec18,%20391.pdf" TargetMode="External"/><Relationship Id="rId1158" Type="http://schemas.openxmlformats.org/officeDocument/2006/relationships/hyperlink" Target="I/Ind%20Eng%20Che%20Res40,%201686.pdf" TargetMode="External"/><Relationship Id="rId1365" Type="http://schemas.openxmlformats.org/officeDocument/2006/relationships/hyperlink" Target="1983/Inf%20Pro%20Man19,%20151.pdf" TargetMode="External"/><Relationship Id="rId1572" Type="http://schemas.openxmlformats.org/officeDocument/2006/relationships/hyperlink" Target="I/Int%20Bio%20Bio31,%201.pdf" TargetMode="External"/><Relationship Id="rId1018" Type="http://schemas.openxmlformats.org/officeDocument/2006/relationships/hyperlink" Target="I/Ind%20Eng%20Che%20Fun8,%20464.pdf" TargetMode="External"/><Relationship Id="rId1225" Type="http://schemas.openxmlformats.org/officeDocument/2006/relationships/hyperlink" Target="2004/Ind%20Eng%20Che%20Res43,%207861.pdf" TargetMode="External"/><Relationship Id="rId1432" Type="http://schemas.openxmlformats.org/officeDocument/2006/relationships/hyperlink" Target="2008/Inf%20Pro%20Man44,%20738.pdf" TargetMode="External"/><Relationship Id="rId1877" Type="http://schemas.openxmlformats.org/officeDocument/2006/relationships/hyperlink" Target="http://ije.oxfordjournals.org/archive/" TargetMode="External"/><Relationship Id="rId71" Type="http://schemas.openxmlformats.org/officeDocument/2006/relationships/hyperlink" Target="1985/Flu%20Pha%20Equ24,%2025.pdf" TargetMode="External"/><Relationship Id="rId802" Type="http://schemas.openxmlformats.org/officeDocument/2006/relationships/hyperlink" Target="2009/Hydrometallurgy98,%20206.pdf" TargetMode="External"/><Relationship Id="rId1737" Type="http://schemas.openxmlformats.org/officeDocument/2006/relationships/hyperlink" Target="I/Int%20J%20Ene%20Res21,%20899.pdf" TargetMode="External"/><Relationship Id="rId1944" Type="http://schemas.openxmlformats.org/officeDocument/2006/relationships/hyperlink" Target="2009/Int%20J%20Inf%20Dis13,%20701.pdf" TargetMode="External"/><Relationship Id="rId29" Type="http://schemas.openxmlformats.org/officeDocument/2006/relationships/hyperlink" Target="http://www3.interscience.wiley.com/journal/119877016/tocgroup" TargetMode="External"/><Relationship Id="rId178" Type="http://schemas.openxmlformats.org/officeDocument/2006/relationships/hyperlink" Target="2006/Fre%20Env%20Bul15,%201491.pdf" TargetMode="External"/><Relationship Id="rId1804" Type="http://schemas.openxmlformats.org/officeDocument/2006/relationships/hyperlink" Target="2008/Int%20J%20Env%20Res2,%20177.pdf" TargetMode="External"/><Relationship Id="rId385" Type="http://schemas.openxmlformats.org/officeDocument/2006/relationships/hyperlink" Target="G/Geo%20Cos%20Act65,%202709.pdf" TargetMode="External"/><Relationship Id="rId592" Type="http://schemas.openxmlformats.org/officeDocument/2006/relationships/hyperlink" Target="2009/Hea%20Tec%20Ass13-61,%201.pdf" TargetMode="External"/><Relationship Id="rId2066" Type="http://schemas.openxmlformats.org/officeDocument/2006/relationships/hyperlink" Target="2009/Int%20J%20Rad%20Onc%20Bio%20Phy74,%201567.pdf" TargetMode="External"/><Relationship Id="rId245" Type="http://schemas.openxmlformats.org/officeDocument/2006/relationships/hyperlink" Target="2007/Fuel86,%20455.pdf" TargetMode="External"/><Relationship Id="rId452" Type="http://schemas.openxmlformats.org/officeDocument/2006/relationships/hyperlink" Target="1997/Geo%20Res%20Let24,%202223.pdf" TargetMode="External"/><Relationship Id="rId897" Type="http://schemas.openxmlformats.org/officeDocument/2006/relationships/hyperlink" Target="2007/Ind%20J%20Che%20Tec14,%20597.pdf" TargetMode="External"/><Relationship Id="rId1082" Type="http://schemas.openxmlformats.org/officeDocument/2006/relationships/hyperlink" Target="I/Ind%20Eng%20Che%20Res34,%20185.pdf" TargetMode="External"/><Relationship Id="rId2133" Type="http://schemas.openxmlformats.org/officeDocument/2006/relationships/hyperlink" Target="2005/Ira%20J%20Env%20Hea%20Sci%20Eng2,%2033.pdf" TargetMode="External"/><Relationship Id="rId105" Type="http://schemas.openxmlformats.org/officeDocument/2006/relationships/hyperlink" Target="F/Foo%20Mic15,%20511.pdf" TargetMode="External"/><Relationship Id="rId312" Type="http://schemas.openxmlformats.org/officeDocument/2006/relationships/hyperlink" Target="2005/Gas%20Ads%20Equ,%2017.pdf" TargetMode="External"/><Relationship Id="rId757" Type="http://schemas.openxmlformats.org/officeDocument/2006/relationships/hyperlink" Target="H/Hydrometallurgy66,%20107.pdf" TargetMode="External"/><Relationship Id="rId964" Type="http://schemas.openxmlformats.org/officeDocument/2006/relationships/hyperlink" Target="2005/Ind%20Ped42,%20140.pdf" TargetMode="External"/><Relationship Id="rId1387" Type="http://schemas.openxmlformats.org/officeDocument/2006/relationships/hyperlink" Target="1992/Inf%20Pro%20Man28,%2019.pdf" TargetMode="External"/><Relationship Id="rId1594" Type="http://schemas.openxmlformats.org/officeDocument/2006/relationships/hyperlink" Target="2011/Int%20Bio%20Bio65,%20294.pdf" TargetMode="External"/><Relationship Id="rId93" Type="http://schemas.openxmlformats.org/officeDocument/2006/relationships/hyperlink" Target="2010/Foo%20Che%20Tox48,%20482.pdf" TargetMode="External"/><Relationship Id="rId617" Type="http://schemas.openxmlformats.org/officeDocument/2006/relationships/hyperlink" Target="2011/Heart97,%201034.pdf" TargetMode="External"/><Relationship Id="rId824" Type="http://schemas.openxmlformats.org/officeDocument/2006/relationships/hyperlink" Target="2008/IEEE%20Tra%20Fuz%20Sys16,%20795.pdf" TargetMode="External"/><Relationship Id="rId1247" Type="http://schemas.openxmlformats.org/officeDocument/2006/relationships/hyperlink" Target="2006/Ind%20Eng%20Che%20Res45,%203896.pdf" TargetMode="External"/><Relationship Id="rId1454" Type="http://schemas.openxmlformats.org/officeDocument/2006/relationships/hyperlink" Target="2003/Inf%20Res8,%20151.pdf" TargetMode="External"/><Relationship Id="rId1661" Type="http://schemas.openxmlformats.org/officeDocument/2006/relationships/hyperlink" Target="2010/Int%20J%20Bio%20Mac47,%20146.pdf" TargetMode="External"/><Relationship Id="rId1899" Type="http://schemas.openxmlformats.org/officeDocument/2006/relationships/hyperlink" Target="2011/Int%20J%20Epi40,%20121.pdf" TargetMode="External"/><Relationship Id="rId1107" Type="http://schemas.openxmlformats.org/officeDocument/2006/relationships/hyperlink" Target="I/Ind%20Eng%20Che%20Res37,%201324.pdf" TargetMode="External"/><Relationship Id="rId1314" Type="http://schemas.openxmlformats.org/officeDocument/2006/relationships/hyperlink" Target="2010/Ind%20Eng%20Che%20Res49,%202562.pdf" TargetMode="External"/><Relationship Id="rId1521" Type="http://schemas.openxmlformats.org/officeDocument/2006/relationships/hyperlink" Target="2009/Ino%20Che%20Com12,%201145.pdf" TargetMode="External"/><Relationship Id="rId1759" Type="http://schemas.openxmlformats.org/officeDocument/2006/relationships/hyperlink" Target="2008/Int%20J%20Env%20Pol34,%2043.pdf" TargetMode="External"/><Relationship Id="rId1966" Type="http://schemas.openxmlformats.org/officeDocument/2006/relationships/hyperlink" Target="2007/Int%20J%20Med%20Inf76,%20565.pdf" TargetMode="External"/><Relationship Id="rId1619" Type="http://schemas.openxmlformats.org/officeDocument/2006/relationships/hyperlink" Target="I/Int%20Inf%20Lib%20Rev26,%20139.pdf" TargetMode="External"/><Relationship Id="rId1826" Type="http://schemas.openxmlformats.org/officeDocument/2006/relationships/hyperlink" Target="2009/Int%20J%20Env%20Res%20Pub%20Hea6,%201418.pdf" TargetMode="External"/><Relationship Id="rId20" Type="http://schemas.openxmlformats.org/officeDocument/2006/relationships/hyperlink" Target="http://xlink.rsc.org/jumptojournal.cfm?journal_code=FD" TargetMode="External"/><Relationship Id="rId2088" Type="http://schemas.openxmlformats.org/officeDocument/2006/relationships/hyperlink" Target="http://www.blackwell-synergy.com/servlet/useragent?func=showIssues&amp;code=ijur" TargetMode="External"/><Relationship Id="rId267" Type="http://schemas.openxmlformats.org/officeDocument/2006/relationships/hyperlink" Target="2009/Fue%20Pro%20Tec90,%20435.pdf" TargetMode="External"/><Relationship Id="rId474" Type="http://schemas.openxmlformats.org/officeDocument/2006/relationships/hyperlink" Target="http://www.sciencedirect.com/science?_ob=JournalURL&amp;_cdi=6020&amp;_auth=y&amp;_acct=C000053193&amp;_version=1&amp;_urlVersion=0&amp;_userid=1495547&amp;md5=73f3cac9f2f4cb1456b8d74a58f36bee" TargetMode="External"/><Relationship Id="rId2155" Type="http://schemas.openxmlformats.org/officeDocument/2006/relationships/hyperlink" Target="2010/Ira%20Pol%20J19,%20207.pdf" TargetMode="External"/><Relationship Id="rId127" Type="http://schemas.openxmlformats.org/officeDocument/2006/relationships/hyperlink" Target="1992/Fre%20Rad%20Bio%20Med12,%20397.pdf" TargetMode="External"/><Relationship Id="rId681" Type="http://schemas.openxmlformats.org/officeDocument/2006/relationships/hyperlink" Target="1999/Hum%20Bra%20Map7,%20254.pdf" TargetMode="External"/><Relationship Id="rId779" Type="http://schemas.openxmlformats.org/officeDocument/2006/relationships/hyperlink" Target="H/Hydrometallurgy75,%2011.pdf" TargetMode="External"/><Relationship Id="rId986" Type="http://schemas.openxmlformats.org/officeDocument/2006/relationships/hyperlink" Target="I/Ind%20Eng%20Che42,%201287.pdf" TargetMode="External"/><Relationship Id="rId334" Type="http://schemas.openxmlformats.org/officeDocument/2006/relationships/hyperlink" Target="2011/Gastroenterology140,%20S444.pdf" TargetMode="External"/><Relationship Id="rId541" Type="http://schemas.openxmlformats.org/officeDocument/2006/relationships/hyperlink" Target="http://www3.interscience.wiley.com/cgi-bin/jhome/5749" TargetMode="External"/><Relationship Id="rId639" Type="http://schemas.openxmlformats.org/officeDocument/2006/relationships/hyperlink" Target="2010/Her%20Rus%20Aca%20Sci80,%2057.pdf" TargetMode="External"/><Relationship Id="rId1171" Type="http://schemas.openxmlformats.org/officeDocument/2006/relationships/hyperlink" Target="I/Ind%20Eng%20Che%20Res40,%204570.pdf" TargetMode="External"/><Relationship Id="rId1269" Type="http://schemas.openxmlformats.org/officeDocument/2006/relationships/hyperlink" Target="2007/Ind%20Eng%20Che%20Res46,%205405.pdf" TargetMode="External"/><Relationship Id="rId1476" Type="http://schemas.openxmlformats.org/officeDocument/2006/relationships/hyperlink" Target="2005/Inf%20Sci23,%20207.pdf" TargetMode="External"/><Relationship Id="rId2015" Type="http://schemas.openxmlformats.org/officeDocument/2006/relationships/hyperlink" Target="2003/Int%20J%20Ope%20Pro%20Man23,%201514.pdf" TargetMode="External"/><Relationship Id="rId401" Type="http://schemas.openxmlformats.org/officeDocument/2006/relationships/hyperlink" Target="http://www.sciencedirect.com/science?_ob=PublicationURL&amp;_cdi=5807&amp;_pubType=J&amp;_auth=y&amp;_acct=C000053193&amp;_version=1&amp;_urlVersion=0&amp;_userid=1495547&amp;md5=aaab132f6387578565c127d4d8c5257e" TargetMode="External"/><Relationship Id="rId846" Type="http://schemas.openxmlformats.org/officeDocument/2006/relationships/hyperlink" Target="2007/Ind%20Che%20Eng49,%20196.pdf" TargetMode="External"/><Relationship Id="rId1031" Type="http://schemas.openxmlformats.org/officeDocument/2006/relationships/hyperlink" Target="1960-80/Ind%20Eng%20Che%20Fun13,%20293.pdf" TargetMode="External"/><Relationship Id="rId1129" Type="http://schemas.openxmlformats.org/officeDocument/2006/relationships/hyperlink" Target="I/Ind%20Eng%20Che%20Res39,%201111.pdf" TargetMode="External"/><Relationship Id="rId1683" Type="http://schemas.openxmlformats.org/officeDocument/2006/relationships/hyperlink" Target="2010/Int%20J%20Car140,%20361.pdf" TargetMode="External"/><Relationship Id="rId1890" Type="http://schemas.openxmlformats.org/officeDocument/2006/relationships/hyperlink" Target="1998/Int%20J%20Epi27,%20871.pdf" TargetMode="External"/><Relationship Id="rId1988" Type="http://schemas.openxmlformats.org/officeDocument/2006/relationships/hyperlink" Target="2006/Int%20J%20Min%20Pro79,%20198.pdf" TargetMode="External"/><Relationship Id="rId706" Type="http://schemas.openxmlformats.org/officeDocument/2006/relationships/hyperlink" Target="1996/Hyd%20Pro10,%20315.pdf" TargetMode="External"/><Relationship Id="rId913" Type="http://schemas.openxmlformats.org/officeDocument/2006/relationships/hyperlink" Target="2008/Ind%20J%20Che%20Tec15,%20541.pdf" TargetMode="External"/><Relationship Id="rId1336" Type="http://schemas.openxmlformats.org/officeDocument/2006/relationships/hyperlink" Target="2011/Ind%20Eng%20Che%20Res50,%209557.pdf" TargetMode="External"/><Relationship Id="rId1543" Type="http://schemas.openxmlformats.org/officeDocument/2006/relationships/hyperlink" Target="2006/Interciencia31,%20704.pdf" TargetMode="External"/><Relationship Id="rId1750" Type="http://schemas.openxmlformats.org/officeDocument/2006/relationships/hyperlink" Target="I/Int%20J%20Env%20Pol21,%2097.pdf" TargetMode="External"/><Relationship Id="rId42" Type="http://schemas.openxmlformats.org/officeDocument/2006/relationships/hyperlink" Target="1993/FEMS%20Mic%20Rev11,%2087.pdf" TargetMode="External"/><Relationship Id="rId1403" Type="http://schemas.openxmlformats.org/officeDocument/2006/relationships/hyperlink" Target="1999/Inf%20Pro%20Man35,%2031.pdf" TargetMode="External"/><Relationship Id="rId1610" Type="http://schemas.openxmlformats.org/officeDocument/2006/relationships/hyperlink" Target="2009/Int%20Den%20J59,%20210.pdf" TargetMode="External"/><Relationship Id="rId1848" Type="http://schemas.openxmlformats.org/officeDocument/2006/relationships/hyperlink" Target="2009/Int%20J%20Env%20Sci%20Tec6,%2077.pdf" TargetMode="External"/><Relationship Id="rId191" Type="http://schemas.openxmlformats.org/officeDocument/2006/relationships/hyperlink" Target="2010/Fre%20Env%20Bul19,%202911.pdf" TargetMode="External"/><Relationship Id="rId1708" Type="http://schemas.openxmlformats.org/officeDocument/2006/relationships/hyperlink" Target="2006/Int%20J%20Cli%20Hea%20Psy6,%20401.pdf" TargetMode="External"/><Relationship Id="rId1915" Type="http://schemas.openxmlformats.org/officeDocument/2006/relationships/hyperlink" Target="I/Int%20J%20Gro%20Ten31,%20317.pdf" TargetMode="External"/><Relationship Id="rId289" Type="http://schemas.openxmlformats.org/officeDocument/2006/relationships/hyperlink" Target="F/Futures33,%20371.pdf" TargetMode="External"/><Relationship Id="rId496" Type="http://schemas.openxmlformats.org/officeDocument/2006/relationships/hyperlink" Target="http://gpi.sagepub.com/archive/" TargetMode="External"/><Relationship Id="rId149" Type="http://schemas.openxmlformats.org/officeDocument/2006/relationships/hyperlink" Target="2003/Fre%20Env%20Bul12,%201400.pdf" TargetMode="External"/><Relationship Id="rId356" Type="http://schemas.openxmlformats.org/officeDocument/2006/relationships/hyperlink" Target="1993/Geo%20Cos%20Act57,%202271.pdf" TargetMode="External"/><Relationship Id="rId563" Type="http://schemas.openxmlformats.org/officeDocument/2006/relationships/hyperlink" Target="2009/Hea%20Inf%20Lib%20J26,%20240.pdf" TargetMode="External"/><Relationship Id="rId770" Type="http://schemas.openxmlformats.org/officeDocument/2006/relationships/hyperlink" Target="H/Hydrometallurgy72,%20291.pdf" TargetMode="External"/><Relationship Id="rId1193" Type="http://schemas.openxmlformats.org/officeDocument/2006/relationships/hyperlink" Target="I/Ind%20Eng%20Che%20Res42,%203397.pdf" TargetMode="External"/><Relationship Id="rId2037" Type="http://schemas.openxmlformats.org/officeDocument/2006/relationships/hyperlink" Target="2008/Int%20J%20Phy%20Sci3,%20281.pdf" TargetMode="External"/><Relationship Id="rId216" Type="http://schemas.openxmlformats.org/officeDocument/2006/relationships/hyperlink" Target="2009/Fro%20Env%20Sci%20Eng%20Chi3,%20171.pdf" TargetMode="External"/><Relationship Id="rId423" Type="http://schemas.openxmlformats.org/officeDocument/2006/relationships/hyperlink" Target="2006/Geoderma137,%20161.pdf" TargetMode="External"/><Relationship Id="rId868" Type="http://schemas.openxmlformats.org/officeDocument/2006/relationships/hyperlink" Target="2005/Ind%20J%20Che%20Tec12,%20296.pdf" TargetMode="External"/><Relationship Id="rId1053" Type="http://schemas.openxmlformats.org/officeDocument/2006/relationships/hyperlink" Target="http://pubs3.acs.org/acs/journals/toc.page?incoden=iepra6" TargetMode="External"/><Relationship Id="rId1260" Type="http://schemas.openxmlformats.org/officeDocument/2006/relationships/hyperlink" Target="2006/Ind%20Eng%20Che%20Res45,%209144.pdf" TargetMode="External"/><Relationship Id="rId1498" Type="http://schemas.openxmlformats.org/officeDocument/2006/relationships/hyperlink" Target="1960-80/Inf%20Sto%20Ret7,%20103.pdf" TargetMode="External"/><Relationship Id="rId2104" Type="http://schemas.openxmlformats.org/officeDocument/2006/relationships/hyperlink" Target="2008/Int%20Ort32,%201.pdf" TargetMode="External"/><Relationship Id="rId630" Type="http://schemas.openxmlformats.org/officeDocument/2006/relationships/hyperlink" Target="2007/Hem%20Ind61,%2013.pdf" TargetMode="External"/><Relationship Id="rId728" Type="http://schemas.openxmlformats.org/officeDocument/2006/relationships/hyperlink" Target="H/Hydrometallurgy44,%20317.pdf" TargetMode="External"/><Relationship Id="rId935" Type="http://schemas.openxmlformats.org/officeDocument/2006/relationships/hyperlink" Target="2010/Ind%20J%20Che%20Tec17,%20329.pdf" TargetMode="External"/><Relationship Id="rId1358" Type="http://schemas.openxmlformats.org/officeDocument/2006/relationships/hyperlink" Target="http://www.sciencedirect.com/science?_ob=JournalURL&amp;_cdi=5968&amp;_auth=y&amp;_acct=C000011279&amp;_version=1&amp;_urlVersion=0&amp;_userid=1134284&amp;md5=59e46df62ae76552476ee4cb929cf21f" TargetMode="External"/><Relationship Id="rId1565" Type="http://schemas.openxmlformats.org/officeDocument/2006/relationships/hyperlink" Target="2010/Int%20Med%20J40,%20587.pdf" TargetMode="External"/><Relationship Id="rId1772" Type="http://schemas.openxmlformats.org/officeDocument/2006/relationships/hyperlink" Target="2008/Int%20J%20Env%20Pol34,%20231.pdf" TargetMode="External"/><Relationship Id="rId64" Type="http://schemas.openxmlformats.org/officeDocument/2006/relationships/hyperlink" Target="F/Fil%20Sep35,%2037.pdf" TargetMode="External"/><Relationship Id="rId1120" Type="http://schemas.openxmlformats.org/officeDocument/2006/relationships/hyperlink" Target="I/Ind%20Eng%20Che%20Res38,%204868.pdf" TargetMode="External"/><Relationship Id="rId1218" Type="http://schemas.openxmlformats.org/officeDocument/2006/relationships/hyperlink" Target="I/Ind%20Eng%20Che%20Res43,%206265.pdf" TargetMode="External"/><Relationship Id="rId1425" Type="http://schemas.openxmlformats.org/officeDocument/2006/relationships/hyperlink" Target="2006/Inf%20Pro%20Man42,%201513.pdf" TargetMode="External"/><Relationship Id="rId1632" Type="http://schemas.openxmlformats.org/officeDocument/2006/relationships/hyperlink" Target="2006/Int%20J%20Adv%20Man%20Tec28,%20873.pdf" TargetMode="External"/><Relationship Id="rId1937" Type="http://schemas.openxmlformats.org/officeDocument/2006/relationships/hyperlink" Target="2011/Int%20J%20Hyd%20Ene36,%2014381.pdf" TargetMode="External"/><Relationship Id="rId280" Type="http://schemas.openxmlformats.org/officeDocument/2006/relationships/hyperlink" Target="F/Fun%20App%20Tox29,%20168.pdf" TargetMode="External"/><Relationship Id="rId140" Type="http://schemas.openxmlformats.org/officeDocument/2006/relationships/hyperlink" Target="2002/Fre%20Env%20Bul11,%20985.pdf" TargetMode="External"/><Relationship Id="rId378" Type="http://schemas.openxmlformats.org/officeDocument/2006/relationships/hyperlink" Target="G/Geo%20Cos%20Act64,%2051.pdf" TargetMode="External"/><Relationship Id="rId585" Type="http://schemas.openxmlformats.org/officeDocument/2006/relationships/hyperlink" Target="2003/Hea%20Ser%20Res38,%20675.pdf" TargetMode="External"/><Relationship Id="rId792" Type="http://schemas.openxmlformats.org/officeDocument/2006/relationships/hyperlink" Target="2007/Hydrometallurgy86,%20105.pdf" TargetMode="External"/><Relationship Id="rId2059" Type="http://schemas.openxmlformats.org/officeDocument/2006/relationships/hyperlink" Target="2006/Int%20J%20Rad%20Onc%20Bio%20Phy66,%20S459.pdf" TargetMode="External"/><Relationship Id="rId6" Type="http://schemas.openxmlformats.org/officeDocument/2006/relationships/endnotes" Target="endnotes.xml"/><Relationship Id="rId238" Type="http://schemas.openxmlformats.org/officeDocument/2006/relationships/hyperlink" Target="F/Fuel78,%20133.pdf" TargetMode="External"/><Relationship Id="rId445" Type="http://schemas.openxmlformats.org/officeDocument/2006/relationships/hyperlink" Target="1994/Geo%20Res%20Let21,%20967.pdf" TargetMode="External"/><Relationship Id="rId652" Type="http://schemas.openxmlformats.org/officeDocument/2006/relationships/hyperlink" Target="2011/Hig%20Edu62,%20483.pdf" TargetMode="External"/><Relationship Id="rId1075" Type="http://schemas.openxmlformats.org/officeDocument/2006/relationships/hyperlink" Target="1992/Ind%20Eng%20Che%20Res31,%202024.pdf" TargetMode="External"/><Relationship Id="rId1282" Type="http://schemas.openxmlformats.org/officeDocument/2006/relationships/hyperlink" Target="2008/Ind%20Eng%20Che%20Res47,%205267.pdf" TargetMode="External"/><Relationship Id="rId2126" Type="http://schemas.openxmlformats.org/officeDocument/2006/relationships/hyperlink" Target="2011/Ira%20J%20Che%20Che%20Eng-Int%20Eng%20Edi29,%2079.pdf" TargetMode="External"/><Relationship Id="rId305" Type="http://schemas.openxmlformats.org/officeDocument/2006/relationships/hyperlink" Target="http://www.sciencedirect.com/science/journal/09666362" TargetMode="External"/><Relationship Id="rId512" Type="http://schemas.openxmlformats.org/officeDocument/2006/relationships/hyperlink" Target="G/Gyn%20Onc55,%20S38.pdf" TargetMode="External"/><Relationship Id="rId957" Type="http://schemas.openxmlformats.org/officeDocument/2006/relationships/hyperlink" Target="http://www.ijo.in/backissues.asp" TargetMode="External"/><Relationship Id="rId1142" Type="http://schemas.openxmlformats.org/officeDocument/2006/relationships/hyperlink" Target="I/Ind%20Eng%20Che%20Res39,%202817.pdf" TargetMode="External"/><Relationship Id="rId1587" Type="http://schemas.openxmlformats.org/officeDocument/2006/relationships/hyperlink" Target="I/Int%20Bio%20Bio46,%2019.pdf" TargetMode="External"/><Relationship Id="rId1794" Type="http://schemas.openxmlformats.org/officeDocument/2006/relationships/hyperlink" Target="http://www.informaworld.com/smpp/title~db=all~content=t713640455" TargetMode="External"/><Relationship Id="rId86" Type="http://schemas.openxmlformats.org/officeDocument/2006/relationships/hyperlink" Target="F/Foo%20Che%20Tox38,%20S37.pdf" TargetMode="External"/><Relationship Id="rId817" Type="http://schemas.openxmlformats.org/officeDocument/2006/relationships/hyperlink" Target="2005/IEE%20Sof22,%208.pdf" TargetMode="External"/><Relationship Id="rId1002" Type="http://schemas.openxmlformats.org/officeDocument/2006/relationships/hyperlink" Target="http://pubs3.acs.org/acs/journals/toc.page?incoden=iepdaw" TargetMode="External"/><Relationship Id="rId1447" Type="http://schemas.openxmlformats.org/officeDocument/2006/relationships/hyperlink" Target="2012/Inf%20Pro%20Man48,%20120.pdf" TargetMode="External"/><Relationship Id="rId1654" Type="http://schemas.openxmlformats.org/officeDocument/2006/relationships/hyperlink" Target="2006/Int%20J%20Bio%20Mac38,%20148.pdf" TargetMode="External"/><Relationship Id="rId1861" Type="http://schemas.openxmlformats.org/officeDocument/2006/relationships/hyperlink" Target="2010/Int%20J%20Env%20Sci%20Tec7,%20235.pdf" TargetMode="External"/><Relationship Id="rId1307" Type="http://schemas.openxmlformats.org/officeDocument/2006/relationships/hyperlink" Target="2009/Ind%20Eng%20Che%20Res48,%208373.pdf" TargetMode="External"/><Relationship Id="rId1514" Type="http://schemas.openxmlformats.org/officeDocument/2006/relationships/hyperlink" Target="2003/Inf%20Tec%20Lib22,%20183.pdf" TargetMode="External"/><Relationship Id="rId1721" Type="http://schemas.openxmlformats.org/officeDocument/2006/relationships/hyperlink" Target="I/Int%20J%20Coa%20Geo47,%20255.pdf" TargetMode="External"/><Relationship Id="rId1959" Type="http://schemas.openxmlformats.org/officeDocument/2006/relationships/hyperlink" Target="http://www3.interscience.wiley.com/journal/118498732/home" TargetMode="External"/><Relationship Id="rId13" Type="http://schemas.openxmlformats.org/officeDocument/2006/relationships/header" Target="header4.xml"/><Relationship Id="rId1819" Type="http://schemas.openxmlformats.org/officeDocument/2006/relationships/hyperlink" Target="2010/Int%20J%20Env%20Res4,%20281.pdf" TargetMode="External"/><Relationship Id="rId162" Type="http://schemas.openxmlformats.org/officeDocument/2006/relationships/hyperlink" Target="2005/Fre%20Env%20Bul14,%20435.pdf" TargetMode="External"/><Relationship Id="rId467" Type="http://schemas.openxmlformats.org/officeDocument/2006/relationships/hyperlink" Target="2011/Ger%20Nur31,%20419.pdf" TargetMode="External"/><Relationship Id="rId1097" Type="http://schemas.openxmlformats.org/officeDocument/2006/relationships/hyperlink" Target="I/Ind%20Eng%20Che%20Res36,%202207.pdf" TargetMode="External"/><Relationship Id="rId2050" Type="http://schemas.openxmlformats.org/officeDocument/2006/relationships/hyperlink" Target="2010/Int%20J%20Pro%20Res48,%202485.pdf" TargetMode="External"/><Relationship Id="rId2148" Type="http://schemas.openxmlformats.org/officeDocument/2006/relationships/hyperlink" Target="2009/Ira%20J%20Env%20Hea%20Sci%20Eng6,%20107.pdf" TargetMode="External"/><Relationship Id="rId674" Type="http://schemas.openxmlformats.org/officeDocument/2006/relationships/hyperlink" Target="http://www.extenza-eps.com/extenza/contentviewing/viewJournal.do?journalId=364" TargetMode="External"/><Relationship Id="rId881" Type="http://schemas.openxmlformats.org/officeDocument/2006/relationships/hyperlink" Target="2006/Ind%20J%20Che%20Tec13,%20414.pdf" TargetMode="External"/><Relationship Id="rId979" Type="http://schemas.openxmlformats.org/officeDocument/2006/relationships/hyperlink" Target="-1959/Ind%20Eng%20Che15,%20818.pdf" TargetMode="External"/><Relationship Id="rId327" Type="http://schemas.openxmlformats.org/officeDocument/2006/relationships/hyperlink" Target="http://www.sciencedirect.com/science/journal/03998320" TargetMode="External"/><Relationship Id="rId534" Type="http://schemas.openxmlformats.org/officeDocument/2006/relationships/hyperlink" Target="http://www3.interscience.wiley.com/journal/118518032/home" TargetMode="External"/><Relationship Id="rId741" Type="http://schemas.openxmlformats.org/officeDocument/2006/relationships/hyperlink" Target="H/Hydrometallurgy59,%20115.pdf" TargetMode="External"/><Relationship Id="rId839" Type="http://schemas.openxmlformats.org/officeDocument/2006/relationships/hyperlink" Target="http://www.implementationscience.com/articles/browse.asp" TargetMode="External"/><Relationship Id="rId1164" Type="http://schemas.openxmlformats.org/officeDocument/2006/relationships/hyperlink" Target="I/Ind%20Eng%20Che%20Res40,%203855.pdf" TargetMode="External"/><Relationship Id="rId1371" Type="http://schemas.openxmlformats.org/officeDocument/2006/relationships/hyperlink" Target="1986/Inf%20Pro%20Man22,%20417.pdf" TargetMode="External"/><Relationship Id="rId1469" Type="http://schemas.openxmlformats.org/officeDocument/2006/relationships/hyperlink" Target="2000/Inf%20Sci18,%20927.pdf" TargetMode="External"/><Relationship Id="rId2008" Type="http://schemas.openxmlformats.org/officeDocument/2006/relationships/hyperlink" Target="2008/Int%20J%20Nur%20Stu45,%201711.pdf" TargetMode="External"/><Relationship Id="rId601" Type="http://schemas.openxmlformats.org/officeDocument/2006/relationships/hyperlink" Target="2010/Hea%20Tec%20Ass14-40,%201.pdf" TargetMode="External"/><Relationship Id="rId1024" Type="http://schemas.openxmlformats.org/officeDocument/2006/relationships/hyperlink" Target="I/Ind%20Eng%20Che%20Fun11,%20123.pdf" TargetMode="External"/><Relationship Id="rId1231" Type="http://schemas.openxmlformats.org/officeDocument/2006/relationships/hyperlink" Target="I/Ind%20Eng%20Che%20Res44,%201987.pdf" TargetMode="External"/><Relationship Id="rId1676" Type="http://schemas.openxmlformats.org/officeDocument/2006/relationships/hyperlink" Target="I/Int%20J%20Can93,%20880.pdf" TargetMode="External"/><Relationship Id="rId1883" Type="http://schemas.openxmlformats.org/officeDocument/2006/relationships/hyperlink" Target="1996/Int%20J%20Epi25,%20821.pdf" TargetMode="External"/><Relationship Id="rId906" Type="http://schemas.openxmlformats.org/officeDocument/2006/relationships/hyperlink" Target="2008/Ind%20J%20Che%20Tec15,%20397.pdf" TargetMode="External"/><Relationship Id="rId1329" Type="http://schemas.openxmlformats.org/officeDocument/2006/relationships/hyperlink" Target="2011/Ind%20Eng%20Che%20Res50,%202891.pdf" TargetMode="External"/><Relationship Id="rId1536" Type="http://schemas.openxmlformats.org/officeDocument/2006/relationships/hyperlink" Target="1998/Interciencia23,%20328.pdf" TargetMode="External"/><Relationship Id="rId1743" Type="http://schemas.openxmlformats.org/officeDocument/2006/relationships/hyperlink" Target="I/Int%20J%20Env%20Pol17,%2082.pdf" TargetMode="External"/><Relationship Id="rId1950" Type="http://schemas.openxmlformats.org/officeDocument/2006/relationships/hyperlink" Target="2005/Int%20J%20Leg%20Med119,%2059.pdf" TargetMode="External"/><Relationship Id="rId35" Type="http://schemas.openxmlformats.org/officeDocument/2006/relationships/hyperlink" Target="F/FEMS%20Mic%20Let92,%20181.pdf" TargetMode="External"/><Relationship Id="rId1603" Type="http://schemas.openxmlformats.org/officeDocument/2006/relationships/hyperlink" Target="http://ieeexplore.ieee.org/xpl/tocresult.jsp?isnumber=19245&amp;isYear=2000" TargetMode="External"/><Relationship Id="rId1810" Type="http://schemas.openxmlformats.org/officeDocument/2006/relationships/hyperlink" Target="2009/Int%20J%20Env%20Res3,%201.pdf" TargetMode="External"/><Relationship Id="rId184" Type="http://schemas.openxmlformats.org/officeDocument/2006/relationships/hyperlink" Target="2009/Fre%20Env%20Bul18,%202093.pdf" TargetMode="External"/><Relationship Id="rId391" Type="http://schemas.openxmlformats.org/officeDocument/2006/relationships/hyperlink" Target="2006/Geo%20Cos%20Act70,%20533.pdf" TargetMode="External"/><Relationship Id="rId1908" Type="http://schemas.openxmlformats.org/officeDocument/2006/relationships/hyperlink" Target="I/Int%20J%20Foo%20Mic30,%2087.pdf" TargetMode="External"/><Relationship Id="rId2072" Type="http://schemas.openxmlformats.org/officeDocument/2006/relationships/hyperlink" Target="I/Int%20J%20Res%20Mar16,%20113.pdf" TargetMode="External"/><Relationship Id="rId251" Type="http://schemas.openxmlformats.org/officeDocument/2006/relationships/hyperlink" Target="2010/Fuel89,%203012.pdf" TargetMode="External"/><Relationship Id="rId489" Type="http://schemas.openxmlformats.org/officeDocument/2006/relationships/hyperlink" Target="2011/Glo%20Pla%20Cha-Li.pdf" TargetMode="External"/><Relationship Id="rId696" Type="http://schemas.openxmlformats.org/officeDocument/2006/relationships/hyperlink" Target="http://www.kluweronline.com/issn/0018-8158/contents" TargetMode="External"/><Relationship Id="rId349" Type="http://schemas.openxmlformats.org/officeDocument/2006/relationships/hyperlink" Target="G/Geo%20Cos%20Act46,%201041.pdf" TargetMode="External"/><Relationship Id="rId556" Type="http://schemas.openxmlformats.org/officeDocument/2006/relationships/hyperlink" Target="H/Hea%20Inf%20Lib%20J20,%20185.pdf" TargetMode="External"/><Relationship Id="rId763" Type="http://schemas.openxmlformats.org/officeDocument/2006/relationships/hyperlink" Target="H/Hydrometallurgy71,%20179.pdf" TargetMode="External"/><Relationship Id="rId1186" Type="http://schemas.openxmlformats.org/officeDocument/2006/relationships/hyperlink" Target="I/Ind%20&amp;%20Eng%20Che%20Res41,%206042.pdf" TargetMode="External"/><Relationship Id="rId1393" Type="http://schemas.openxmlformats.org/officeDocument/2006/relationships/hyperlink" Target="1996/Inf%20Pro%20Man32,%20489.pdf" TargetMode="External"/><Relationship Id="rId111" Type="http://schemas.openxmlformats.org/officeDocument/2006/relationships/hyperlink" Target="2011/Foo%20Sci%20Tec%20Int17,%20549.pdf" TargetMode="External"/><Relationship Id="rId209" Type="http://schemas.openxmlformats.org/officeDocument/2006/relationships/hyperlink" Target="http://www.springerlink.com/(ttqeai550hawzgmprzwwlp45)/app/home/contribution.asp?referrer=parent&amp;backto=issue,12,24;journal,334,1986;linkingpublicationresults,1:100417,1" TargetMode="External"/><Relationship Id="rId416" Type="http://schemas.openxmlformats.org/officeDocument/2006/relationships/hyperlink" Target="G/Geoderma99,%20225.pdf" TargetMode="External"/><Relationship Id="rId970" Type="http://schemas.openxmlformats.org/officeDocument/2006/relationships/hyperlink" Target="I/Ind%20Cor%20Cha12,%20235.pdf" TargetMode="External"/><Relationship Id="rId1046" Type="http://schemas.openxmlformats.org/officeDocument/2006/relationships/hyperlink" Target="1960-80/Ind%20Eng%20Che%20Pro%20Des%20Dev14,%20209.pdf" TargetMode="External"/><Relationship Id="rId1253" Type="http://schemas.openxmlformats.org/officeDocument/2006/relationships/hyperlink" Target="2006/Ind%20Eng%20Che%20Res45,%206531.pdf" TargetMode="External"/><Relationship Id="rId1698" Type="http://schemas.openxmlformats.org/officeDocument/2006/relationships/hyperlink" Target="2010/Int%20J%20Che%20Rea%20Eng8,%20A139.pdf" TargetMode="External"/><Relationship Id="rId623" Type="http://schemas.openxmlformats.org/officeDocument/2006/relationships/hyperlink" Target="2009/Hea%20Met%20Env,%20Ho.pdf" TargetMode="External"/><Relationship Id="rId830" Type="http://schemas.openxmlformats.org/officeDocument/2006/relationships/hyperlink" Target="http://ieeexplore.ieee.org/Xplore/dynhome.jsp" TargetMode="External"/><Relationship Id="rId928" Type="http://schemas.openxmlformats.org/officeDocument/2006/relationships/hyperlink" Target="2010/Ind%20J%20Che%20Tec17,%207.pdf" TargetMode="External"/><Relationship Id="rId1460" Type="http://schemas.openxmlformats.org/officeDocument/2006/relationships/hyperlink" Target="2008/Inf%20Res13,%20342.pdf" TargetMode="External"/><Relationship Id="rId1558" Type="http://schemas.openxmlformats.org/officeDocument/2006/relationships/hyperlink" Target="2002/Int%20Med41,%20626.pdf" TargetMode="External"/><Relationship Id="rId1765" Type="http://schemas.openxmlformats.org/officeDocument/2006/relationships/hyperlink" Target="2008/Int%20J%20Env%20Pol34,%20122.pdf" TargetMode="External"/><Relationship Id="rId57" Type="http://schemas.openxmlformats.org/officeDocument/2006/relationships/hyperlink" Target="2009/Fib%20Pol10,%20636.pdf" TargetMode="External"/><Relationship Id="rId1113" Type="http://schemas.openxmlformats.org/officeDocument/2006/relationships/hyperlink" Target="I/Ind%20Eng%20Che%20Res37,%204536.pdf" TargetMode="External"/><Relationship Id="rId1320" Type="http://schemas.openxmlformats.org/officeDocument/2006/relationships/hyperlink" Target="2010/Ind%20Eng%20Che%20Res49,%207060.pdf" TargetMode="External"/><Relationship Id="rId1418" Type="http://schemas.openxmlformats.org/officeDocument/2006/relationships/hyperlink" Target="2005/Inf%20Pro%20Man41,%201403.pdf" TargetMode="External"/><Relationship Id="rId1972" Type="http://schemas.openxmlformats.org/officeDocument/2006/relationships/hyperlink" Target="2006/Int%20J%20Med%20Mic296,%20179.pdf" TargetMode="External"/><Relationship Id="rId1625" Type="http://schemas.openxmlformats.org/officeDocument/2006/relationships/hyperlink" Target="I/Int%20Inf%20Lib%20Rev34,%20341.pdf" TargetMode="External"/><Relationship Id="rId1832" Type="http://schemas.openxmlformats.org/officeDocument/2006/relationships/hyperlink" Target="2007/Int%20J%20Env%20Sci%20Tec4,%2011.pdf" TargetMode="External"/><Relationship Id="rId2094" Type="http://schemas.openxmlformats.org/officeDocument/2006/relationships/hyperlink" Target="I/Int%20Lib%20Rev21,%20355.pdf" TargetMode="External"/><Relationship Id="rId273" Type="http://schemas.openxmlformats.org/officeDocument/2006/relationships/hyperlink" Target="http://uk.jstor.org/journals/02698463.html" TargetMode="External"/><Relationship Id="rId480" Type="http://schemas.openxmlformats.org/officeDocument/2006/relationships/hyperlink" Target="G/Glo%20Nes%20Int%20J3,%20189.pdf" TargetMode="External"/><Relationship Id="rId2161" Type="http://schemas.openxmlformats.org/officeDocument/2006/relationships/hyperlink" Target="I/Isl%20Arc7,%20621.pdf" TargetMode="External"/><Relationship Id="rId133" Type="http://schemas.openxmlformats.org/officeDocument/2006/relationships/hyperlink" Target="2001/Fre%20Env%20Bul10,%20363.pdf" TargetMode="External"/><Relationship Id="rId340" Type="http://schemas.openxmlformats.org/officeDocument/2006/relationships/hyperlink" Target="2004/Gen%20Mol%20Res3,%20575.pdf" TargetMode="External"/><Relationship Id="rId578" Type="http://schemas.openxmlformats.org/officeDocument/2006/relationships/hyperlink" Target="http://www.informaworld.com/smpp/title~db=all~content=t713424479~tab=issueslist" TargetMode="External"/><Relationship Id="rId785" Type="http://schemas.openxmlformats.org/officeDocument/2006/relationships/hyperlink" Target="2005/Hydrometallurgy80,%2013.pdf" TargetMode="External"/><Relationship Id="rId992" Type="http://schemas.openxmlformats.org/officeDocument/2006/relationships/hyperlink" Target="I/Ind%20Eng%20Che45,%20589.pdf" TargetMode="External"/><Relationship Id="rId2021" Type="http://schemas.openxmlformats.org/officeDocument/2006/relationships/hyperlink" Target="I/Int%20J%20Par1,%20125.pdf" TargetMode="External"/><Relationship Id="rId200" Type="http://schemas.openxmlformats.org/officeDocument/2006/relationships/hyperlink" Target="2011/Fre%20Env%20Bul20,%202232.pdf" TargetMode="External"/><Relationship Id="rId438" Type="http://schemas.openxmlformats.org/officeDocument/2006/relationships/hyperlink" Target="http://www.ingentaconnect.com/content/tandf/ugmb" TargetMode="External"/><Relationship Id="rId645" Type="http://schemas.openxmlformats.org/officeDocument/2006/relationships/hyperlink" Target="2007/Hig%20Edu54,%20501.pdf" TargetMode="External"/><Relationship Id="rId852" Type="http://schemas.openxmlformats.org/officeDocument/2006/relationships/hyperlink" Target="2004/Ind%20J%20Che%20Tec11,%2051.pdf" TargetMode="External"/><Relationship Id="rId1068" Type="http://schemas.openxmlformats.org/officeDocument/2006/relationships/hyperlink" Target="I/Ind%20Eng%20Che%20Res30,%20385.pdf" TargetMode="External"/><Relationship Id="rId1275" Type="http://schemas.openxmlformats.org/officeDocument/2006/relationships/hyperlink" Target="2008/Ind%20Eng%20Che%20Res47,%201026.pdf" TargetMode="External"/><Relationship Id="rId1482" Type="http://schemas.openxmlformats.org/officeDocument/2006/relationships/hyperlink" Target="2010/Inf%20Sci180,%202156.pdf" TargetMode="External"/><Relationship Id="rId2119" Type="http://schemas.openxmlformats.org/officeDocument/2006/relationships/hyperlink" Target="2010/Int%20Rev%20Adm%20Sci76,%20577.pdf" TargetMode="External"/><Relationship Id="rId505" Type="http://schemas.openxmlformats.org/officeDocument/2006/relationships/hyperlink" Target="http://global.umi.com/pqdweb?TS=0&amp;JSEnabled=1&amp;RQT=317&amp;SK=2&amp;ScQ=000028089&amp;TS=1036747145" TargetMode="External"/><Relationship Id="rId712" Type="http://schemas.openxmlformats.org/officeDocument/2006/relationships/hyperlink" Target="http://sdos.ejournal.ascc.net/cgi-bin/sciserv.pl?collection=journals&amp;journal=0304386x" TargetMode="External"/><Relationship Id="rId1135" Type="http://schemas.openxmlformats.org/officeDocument/2006/relationships/hyperlink" Target="I/Ind%20Eng%20Che%20Res39,%202221.pdf" TargetMode="External"/><Relationship Id="rId1342" Type="http://schemas.openxmlformats.org/officeDocument/2006/relationships/hyperlink" Target="2007/Ind%20Hea45,%20730.pdf" TargetMode="External"/><Relationship Id="rId1787" Type="http://schemas.openxmlformats.org/officeDocument/2006/relationships/hyperlink" Target="2008/Int%20J%20Env%20Pol34,%20451.pdf" TargetMode="External"/><Relationship Id="rId1994" Type="http://schemas.openxmlformats.org/officeDocument/2006/relationships/hyperlink" Target="http://www.worldscinet.com/cgi-bin/details.cgi?id=pii:S0217979207037533&amp;type=html" TargetMode="External"/><Relationship Id="rId79" Type="http://schemas.openxmlformats.org/officeDocument/2006/relationships/hyperlink" Target="F/Foo%20Che%20Tox29,%20131.pdf" TargetMode="External"/><Relationship Id="rId1202" Type="http://schemas.openxmlformats.org/officeDocument/2006/relationships/hyperlink" Target="I/Ind%20Eng%20Che%20Res43,%201608.pdf" TargetMode="External"/><Relationship Id="rId1647" Type="http://schemas.openxmlformats.org/officeDocument/2006/relationships/hyperlink" Target="I/Int%20J%20Bio%20Mac28,%20401.pdf" TargetMode="External"/><Relationship Id="rId1854" Type="http://schemas.openxmlformats.org/officeDocument/2006/relationships/hyperlink" Target="2009/Int%20J%20Env%20Sci%20Tec6,%20451.pdf" TargetMode="External"/><Relationship Id="rId1507" Type="http://schemas.openxmlformats.org/officeDocument/2006/relationships/hyperlink" Target="2011/Inf%20Sys%20Man28,%2043.pdf" TargetMode="External"/><Relationship Id="rId1714" Type="http://schemas.openxmlformats.org/officeDocument/2006/relationships/hyperlink" Target="I/Int%20J%20Coa%20Geo26,%20117.pdf" TargetMode="External"/><Relationship Id="rId295" Type="http://schemas.openxmlformats.org/officeDocument/2006/relationships/hyperlink" Target="2005/Gac%20San19,%20135.pdf" TargetMode="External"/><Relationship Id="rId1921" Type="http://schemas.openxmlformats.org/officeDocument/2006/relationships/hyperlink" Target="2009/Int%20J%20Gyn%20Obs104,%2085.pdf" TargetMode="External"/><Relationship Id="rId155" Type="http://schemas.openxmlformats.org/officeDocument/2006/relationships/hyperlink" Target="2004/Fre%20Env%20Bul13,%20307.pdf" TargetMode="External"/><Relationship Id="rId362" Type="http://schemas.openxmlformats.org/officeDocument/2006/relationships/hyperlink" Target="G/Geo%20Cos%20Act60,%203541.pdf" TargetMode="External"/><Relationship Id="rId1297" Type="http://schemas.openxmlformats.org/officeDocument/2006/relationships/hyperlink" Target="2009/Ind%20Eng%20Che%20Res48,%204160.pdf" TargetMode="External"/><Relationship Id="rId2043" Type="http://schemas.openxmlformats.org/officeDocument/2006/relationships/hyperlink" Target="2010/Int%20J%20Phy%20Sci5,%201270.pdf" TargetMode="External"/><Relationship Id="rId222" Type="http://schemas.openxmlformats.org/officeDocument/2006/relationships/hyperlink" Target="2009/Fruits64,%20305.pdf" TargetMode="External"/><Relationship Id="rId667" Type="http://schemas.openxmlformats.org/officeDocument/2006/relationships/hyperlink" Target="2011/HIV%20Med12,%20453.pdf" TargetMode="External"/><Relationship Id="rId874" Type="http://schemas.openxmlformats.org/officeDocument/2006/relationships/hyperlink" Target="2005/Ind%20J%20Che%20Tec13,%2017.pdf" TargetMode="External"/><Relationship Id="rId2110" Type="http://schemas.openxmlformats.org/officeDocument/2006/relationships/hyperlink" Target="2009/Int%20Psy21,%20855.pdf" TargetMode="External"/><Relationship Id="rId527" Type="http://schemas.openxmlformats.org/officeDocument/2006/relationships/hyperlink" Target="2008/Har%20Alg7,%20545.pdf" TargetMode="External"/><Relationship Id="rId734" Type="http://schemas.openxmlformats.org/officeDocument/2006/relationships/hyperlink" Target="H/Hydrometallurgy50,%20297.pdf" TargetMode="External"/><Relationship Id="rId941" Type="http://schemas.openxmlformats.org/officeDocument/2006/relationships/hyperlink" Target="2011/Ind%20J%20Che%20Tec18,%20381.pdf" TargetMode="External"/><Relationship Id="rId1157" Type="http://schemas.openxmlformats.org/officeDocument/2006/relationships/hyperlink" Target="I/Ind%20Eng%20Che%20Res40,%201615.pdf" TargetMode="External"/><Relationship Id="rId1364" Type="http://schemas.openxmlformats.org/officeDocument/2006/relationships/hyperlink" Target="1981/Inf%20Pro%20Man17,%2039.pdf" TargetMode="External"/><Relationship Id="rId1571" Type="http://schemas.openxmlformats.org/officeDocument/2006/relationships/hyperlink" Target="http://www.sciencedirect.com/science?_ob=JournalURL&amp;_cdi=6030&amp;_auth=y&amp;_acct=C000011279&amp;_version=1&amp;_urlVersion=0&amp;_userid=1134284&amp;md5=164d26b70825bfe157d816f170552bfb" TargetMode="External"/><Relationship Id="rId70" Type="http://schemas.openxmlformats.org/officeDocument/2006/relationships/hyperlink" Target="1960-80/Flu%20Pha%20Equ3,%20255.pdf" TargetMode="External"/><Relationship Id="rId166" Type="http://schemas.openxmlformats.org/officeDocument/2006/relationships/hyperlink" Target="2005/Fre%20Env%20Bul14,%20976.pdf" TargetMode="External"/><Relationship Id="rId373" Type="http://schemas.openxmlformats.org/officeDocument/2006/relationships/hyperlink" Target="G/Geo%20Cos%20Act63,%202957.pdf" TargetMode="External"/><Relationship Id="rId580" Type="http://schemas.openxmlformats.org/officeDocument/2006/relationships/hyperlink" Target="2010/Hea%20Ris%20Soc12,%201.pdf" TargetMode="External"/><Relationship Id="rId801" Type="http://schemas.openxmlformats.org/officeDocument/2006/relationships/hyperlink" Target="2009/Hydrometallurgy97,%20237.pdf" TargetMode="External"/><Relationship Id="rId1017" Type="http://schemas.openxmlformats.org/officeDocument/2006/relationships/hyperlink" Target="I/Ind%20Eng%20Che%20Fun8,%20193.pdf" TargetMode="External"/><Relationship Id="rId1224" Type="http://schemas.openxmlformats.org/officeDocument/2006/relationships/hyperlink" Target="I/Ind%20Eng%20Che%20Res43,%207581.pdf" TargetMode="External"/><Relationship Id="rId1431" Type="http://schemas.openxmlformats.org/officeDocument/2006/relationships/hyperlink" Target="2007/Inf%20Pro%20Man43,%201121.pdf" TargetMode="External"/><Relationship Id="rId1669" Type="http://schemas.openxmlformats.org/officeDocument/2006/relationships/hyperlink" Target="1992/Int%20J%20Can52,%20491.pdf" TargetMode="External"/><Relationship Id="rId1876" Type="http://schemas.openxmlformats.org/officeDocument/2006/relationships/hyperlink" Target="http://www.ingentaconnect.com/content/routledg/genv;jsessionid=2ocbd5laji1tc.henrietta" TargetMode="External"/><Relationship Id="rId2054" Type="http://schemas.openxmlformats.org/officeDocument/2006/relationships/hyperlink" Target="2009/Int%20J%20Pro%20Man27,%201.pdf" TargetMode="External"/><Relationship Id="rId1" Type="http://schemas.openxmlformats.org/officeDocument/2006/relationships/numbering" Target="numbering.xml"/><Relationship Id="rId233" Type="http://schemas.openxmlformats.org/officeDocument/2006/relationships/hyperlink" Target="F/Fuel72,%20239.pdf" TargetMode="External"/><Relationship Id="rId440" Type="http://schemas.openxmlformats.org/officeDocument/2006/relationships/hyperlink" Target="2006/Geo%20J23,%20333.pdf" TargetMode="External"/><Relationship Id="rId678" Type="http://schemas.openxmlformats.org/officeDocument/2006/relationships/hyperlink" Target="H/Hor%20Beh43,%20375.pdf" TargetMode="External"/><Relationship Id="rId885" Type="http://schemas.openxmlformats.org/officeDocument/2006/relationships/hyperlink" Target="2006/Ind%20J%20Che%20Tec13,%20567.pdf" TargetMode="External"/><Relationship Id="rId1070" Type="http://schemas.openxmlformats.org/officeDocument/2006/relationships/hyperlink" Target="I/Ind%20Eng%20Che%20Res30,%201897.pdf" TargetMode="External"/><Relationship Id="rId1529" Type="http://schemas.openxmlformats.org/officeDocument/2006/relationships/hyperlink" Target="http://www.sciencedirect.com/science/journal/01602896" TargetMode="External"/><Relationship Id="rId1736" Type="http://schemas.openxmlformats.org/officeDocument/2006/relationships/hyperlink" Target="http://www3.interscience.wiley.com/cgi-bin/jtoc?ID=3343" TargetMode="External"/><Relationship Id="rId1943" Type="http://schemas.openxmlformats.org/officeDocument/2006/relationships/hyperlink" Target="2000/Int%20J%20Inf%20Dis4,%20100.pdf" TargetMode="External"/><Relationship Id="rId2121" Type="http://schemas.openxmlformats.org/officeDocument/2006/relationships/hyperlink" Target="http://www.kluweronline.com/issn/0167-6997/" TargetMode="External"/><Relationship Id="rId28" Type="http://schemas.openxmlformats.org/officeDocument/2006/relationships/hyperlink" Target="2011/Fas%20J25,%202129.pdf" TargetMode="External"/><Relationship Id="rId300" Type="http://schemas.openxmlformats.org/officeDocument/2006/relationships/hyperlink" Target="2009/Gac%20San23,%20352.pdf" TargetMode="External"/><Relationship Id="rId538" Type="http://schemas.openxmlformats.org/officeDocument/2006/relationships/hyperlink" Target="http://www.informaworld.com/smpp/title~content=t775653649" TargetMode="External"/><Relationship Id="rId745" Type="http://schemas.openxmlformats.org/officeDocument/2006/relationships/hyperlink" Target="H/Hydrometallurgy59,%20407.pdf" TargetMode="External"/><Relationship Id="rId952" Type="http://schemas.openxmlformats.org/officeDocument/2006/relationships/hyperlink" Target="http://www.icmr.nic.in/ijmr/ijmr.htm" TargetMode="External"/><Relationship Id="rId1168" Type="http://schemas.openxmlformats.org/officeDocument/2006/relationships/hyperlink" Target="I/Ind%20Eng%20Che%20Res40,%204283.pdf" TargetMode="External"/><Relationship Id="rId1375" Type="http://schemas.openxmlformats.org/officeDocument/2006/relationships/hyperlink" Target="1988/Inf%20Pro%20Man24,%20469.pdf" TargetMode="External"/><Relationship Id="rId1582" Type="http://schemas.openxmlformats.org/officeDocument/2006/relationships/hyperlink" Target="I/Int%20Bio%20Bio38,%20215.pdf" TargetMode="External"/><Relationship Id="rId1803" Type="http://schemas.openxmlformats.org/officeDocument/2006/relationships/hyperlink" Target="http://ijer.ut.ac.ir/images/Issues.html" TargetMode="External"/><Relationship Id="rId81" Type="http://schemas.openxmlformats.org/officeDocument/2006/relationships/hyperlink" Target="F/Foo%20Che%20Tox33,%201027.pdf" TargetMode="External"/><Relationship Id="rId177" Type="http://schemas.openxmlformats.org/officeDocument/2006/relationships/hyperlink" Target="2006/Fre%20Env%20Bul15,%201442.pdf" TargetMode="External"/><Relationship Id="rId384" Type="http://schemas.openxmlformats.org/officeDocument/2006/relationships/hyperlink" Target="G/Geo%20Cos%20Act65,%202037.pdf" TargetMode="External"/><Relationship Id="rId591" Type="http://schemas.openxmlformats.org/officeDocument/2006/relationships/hyperlink" Target="2009/Hea%20Tec%20Ass13,%201.pdf" TargetMode="External"/><Relationship Id="rId605" Type="http://schemas.openxmlformats.org/officeDocument/2006/relationships/hyperlink" Target="2010/Hea%20Tec%20Ass14-53,%201.pdf" TargetMode="External"/><Relationship Id="rId812" Type="http://schemas.openxmlformats.org/officeDocument/2006/relationships/hyperlink" Target="I/IASLIC%20Bul43,%2049.pdf" TargetMode="External"/><Relationship Id="rId1028" Type="http://schemas.openxmlformats.org/officeDocument/2006/relationships/hyperlink" Target="1960-80/Ind%20Eng%20Che%20Fun12,%20360.pdf" TargetMode="External"/><Relationship Id="rId1235" Type="http://schemas.openxmlformats.org/officeDocument/2006/relationships/hyperlink" Target="I/Ind%20Eng%20Che%20Res44,%203655.pdf" TargetMode="External"/><Relationship Id="rId1442" Type="http://schemas.openxmlformats.org/officeDocument/2006/relationships/hyperlink" Target="2010/Inf%20Pro%20Man46,%201.pdf" TargetMode="External"/><Relationship Id="rId1887" Type="http://schemas.openxmlformats.org/officeDocument/2006/relationships/hyperlink" Target="I/Int%20J%20Epi27,%20307.pdf" TargetMode="External"/><Relationship Id="rId2065" Type="http://schemas.openxmlformats.org/officeDocument/2006/relationships/hyperlink" Target="2009/Int%20J%20Rad%20Onc%20Bio%20Phy74,%20172.pdf" TargetMode="External"/><Relationship Id="rId244" Type="http://schemas.openxmlformats.org/officeDocument/2006/relationships/hyperlink" Target="2005/Fuel84,%201653.pdf" TargetMode="External"/><Relationship Id="rId689" Type="http://schemas.openxmlformats.org/officeDocument/2006/relationships/hyperlink" Target="2000/Hum%20Rep15,%202063.pdf" TargetMode="External"/><Relationship Id="rId896" Type="http://schemas.openxmlformats.org/officeDocument/2006/relationships/hyperlink" Target="2007/Ind%20J%20Che%20Tec14,%20592.pdf" TargetMode="External"/><Relationship Id="rId1081" Type="http://schemas.openxmlformats.org/officeDocument/2006/relationships/hyperlink" Target="I/Ind%20Eng%20Che%20Res34,%20177.pdf" TargetMode="External"/><Relationship Id="rId1302" Type="http://schemas.openxmlformats.org/officeDocument/2006/relationships/hyperlink" Target="2009/Ind%20Eng%20Che%20Res48,%206188.pdf" TargetMode="External"/><Relationship Id="rId1747" Type="http://schemas.openxmlformats.org/officeDocument/2006/relationships/hyperlink" Target="I/Int%20J%20Env%20Pol19,%20177.pdf" TargetMode="External"/><Relationship Id="rId1954" Type="http://schemas.openxmlformats.org/officeDocument/2006/relationships/hyperlink" Target="http://ijl.oxfordjournals.org/archive/" TargetMode="External"/><Relationship Id="rId39" Type="http://schemas.openxmlformats.org/officeDocument/2006/relationships/hyperlink" Target="F/FEMS%20Mic%20Let214,%20211.pdf" TargetMode="External"/><Relationship Id="rId451" Type="http://schemas.openxmlformats.org/officeDocument/2006/relationships/hyperlink" Target="1997/Geo%20Res%20Let24,%201019.pdf" TargetMode="External"/><Relationship Id="rId549" Type="http://schemas.openxmlformats.org/officeDocument/2006/relationships/hyperlink" Target="http://her.oxfordjournals.org/" TargetMode="External"/><Relationship Id="rId756" Type="http://schemas.openxmlformats.org/officeDocument/2006/relationships/hyperlink" Target="H/Hydrometallurgy66,%20101.pdf" TargetMode="External"/><Relationship Id="rId1179" Type="http://schemas.openxmlformats.org/officeDocument/2006/relationships/hyperlink" Target="PDF-Ref/Ind%20Eng%20Che%20Res41,%20180.pdf" TargetMode="External"/><Relationship Id="rId1386" Type="http://schemas.openxmlformats.org/officeDocument/2006/relationships/hyperlink" Target="1992/Inf%20Pro%20Man28,%205.pdf" TargetMode="External"/><Relationship Id="rId1593" Type="http://schemas.openxmlformats.org/officeDocument/2006/relationships/hyperlink" Target="2010/Int%20Bio%20Bio64,%20734.pdf" TargetMode="External"/><Relationship Id="rId1607" Type="http://schemas.openxmlformats.org/officeDocument/2006/relationships/hyperlink" Target="I/Int%20Con%20Wet%20Sys%20Wat%20Pol%20Con,%201.pdf" TargetMode="External"/><Relationship Id="rId1814" Type="http://schemas.openxmlformats.org/officeDocument/2006/relationships/hyperlink" Target="2009/Int%20J%20Env%20Res3,%20471.pdf" TargetMode="External"/><Relationship Id="rId2132" Type="http://schemas.openxmlformats.org/officeDocument/2006/relationships/hyperlink" Target="2004/Ira%20J%20Env%20Hea%20Sci%20Eng1,%2058.pdf" TargetMode="External"/><Relationship Id="rId104" Type="http://schemas.openxmlformats.org/officeDocument/2006/relationships/hyperlink" Target="http://www.sciencedirect.com/science?_ob=JournalURL&amp;_cdi=6800&amp;_auth=y&amp;_acct=C000047720&amp;_version=1&amp;_urlVersion=0&amp;_userid=2007471&amp;md5=645764eb56a92f6d8a3701f644096152" TargetMode="External"/><Relationship Id="rId188" Type="http://schemas.openxmlformats.org/officeDocument/2006/relationships/hyperlink" Target="2010/Fre%20Env%20Bul-He.pdf" TargetMode="External"/><Relationship Id="rId311" Type="http://schemas.openxmlformats.org/officeDocument/2006/relationships/hyperlink" Target="2005/Gas%20Ads%20Equ,%201.pdf" TargetMode="External"/><Relationship Id="rId395" Type="http://schemas.openxmlformats.org/officeDocument/2006/relationships/image" Target="media/image4.png"/><Relationship Id="rId409" Type="http://schemas.openxmlformats.org/officeDocument/2006/relationships/hyperlink" Target="1995/Geoderma67,%20103.pdf" TargetMode="External"/><Relationship Id="rId963" Type="http://schemas.openxmlformats.org/officeDocument/2006/relationships/hyperlink" Target="http://indianpediatrics.net/" TargetMode="External"/><Relationship Id="rId1039" Type="http://schemas.openxmlformats.org/officeDocument/2006/relationships/hyperlink" Target="http://pubs3.acs.org/acs/journals/toc.page?incoden=iechad" TargetMode="External"/><Relationship Id="rId1246" Type="http://schemas.openxmlformats.org/officeDocument/2006/relationships/hyperlink" Target="2006/Ind%20Eng%20Che%20Res45,%202850.pdf" TargetMode="External"/><Relationship Id="rId1898" Type="http://schemas.openxmlformats.org/officeDocument/2006/relationships/hyperlink" Target="2010/Int%20J%20Epi39,%201605.pdf" TargetMode="External"/><Relationship Id="rId2076" Type="http://schemas.openxmlformats.org/officeDocument/2006/relationships/hyperlink" Target="http://www.sciencedirect.com/science?_ob=JournalURL&amp;_cdi=28553&amp;_auth=y&amp;_acct=C000053193&amp;_version=1&amp;_urlVersion=0&amp;_userid=1495547&amp;md5=10e6df541a97a04f67ad1c5ab3022a7b" TargetMode="External"/><Relationship Id="rId92" Type="http://schemas.openxmlformats.org/officeDocument/2006/relationships/hyperlink" Target="F/Foo%20Che%20Tox42,%20835.pdf" TargetMode="External"/><Relationship Id="rId616" Type="http://schemas.openxmlformats.org/officeDocument/2006/relationships/hyperlink" Target="2011/Heart97,%2098.pdf" TargetMode="External"/><Relationship Id="rId823" Type="http://schemas.openxmlformats.org/officeDocument/2006/relationships/hyperlink" Target="http://ieeexplore.ieee.org/xpl/periodicals.jsp" TargetMode="External"/><Relationship Id="rId1453" Type="http://schemas.openxmlformats.org/officeDocument/2006/relationships/hyperlink" Target="2003/Inf%20Res8,%20147.pdf" TargetMode="External"/><Relationship Id="rId1660" Type="http://schemas.openxmlformats.org/officeDocument/2006/relationships/hyperlink" Target="2010/Int%20J%20Bio%20Mac46,%20524.pdf" TargetMode="External"/><Relationship Id="rId1758" Type="http://schemas.openxmlformats.org/officeDocument/2006/relationships/hyperlink" Target="2008/Int%20J%20Env%20Pol34,%2028.pdf" TargetMode="External"/><Relationship Id="rId255" Type="http://schemas.openxmlformats.org/officeDocument/2006/relationships/hyperlink" Target="F/Fue%20Ene%20Abs36,%20385.pdf" TargetMode="External"/><Relationship Id="rId462" Type="http://schemas.openxmlformats.org/officeDocument/2006/relationships/hyperlink" Target="2006/Geo%20Res%20Let33,%20L02104.pdf" TargetMode="External"/><Relationship Id="rId1092" Type="http://schemas.openxmlformats.org/officeDocument/2006/relationships/hyperlink" Target="I/Ind%20Eng%20Che%20Res36,%20808.pdf" TargetMode="External"/><Relationship Id="rId1106" Type="http://schemas.openxmlformats.org/officeDocument/2006/relationships/hyperlink" Target="I/Ind%20Eng%20Che%20Res37,%201107.pdf" TargetMode="External"/><Relationship Id="rId1313" Type="http://schemas.openxmlformats.org/officeDocument/2006/relationships/hyperlink" Target="2010/Ind%20Eng%20Che%20Res49,%202548.pdf" TargetMode="External"/><Relationship Id="rId1397" Type="http://schemas.openxmlformats.org/officeDocument/2006/relationships/hyperlink" Target="1998/Inf%20Pro%20Man34,%2069.pdf" TargetMode="External"/><Relationship Id="rId1520" Type="http://schemas.openxmlformats.org/officeDocument/2006/relationships/hyperlink" Target="I/Ino%20Che378,%204740.pdf" TargetMode="External"/><Relationship Id="rId1965" Type="http://schemas.openxmlformats.org/officeDocument/2006/relationships/hyperlink" Target="2006/Int%20J%20Med%20Inf75,%2058.pdf" TargetMode="External"/><Relationship Id="rId2143" Type="http://schemas.openxmlformats.org/officeDocument/2006/relationships/hyperlink" Target="2008/Ira%20J%20Env%20Hea%20Sci%20Eng5,%201.pdf" TargetMode="External"/><Relationship Id="rId115" Type="http://schemas.openxmlformats.org/officeDocument/2006/relationships/hyperlink" Target="F/For%20Sci%20Int141,%2049.pdf" TargetMode="External"/><Relationship Id="rId322" Type="http://schemas.openxmlformats.org/officeDocument/2006/relationships/hyperlink" Target="G/Gas%20Sep%20Pur7,%2039.pdf" TargetMode="External"/><Relationship Id="rId767" Type="http://schemas.openxmlformats.org/officeDocument/2006/relationships/hyperlink" Target="H/Hydrometallurgy71,%20277.pdf" TargetMode="External"/><Relationship Id="rId974" Type="http://schemas.openxmlformats.org/officeDocument/2006/relationships/hyperlink" Target="2009/Ind%20Cro%20Pro29,%20516.pdf" TargetMode="External"/><Relationship Id="rId1618" Type="http://schemas.openxmlformats.org/officeDocument/2006/relationships/hyperlink" Target="I/Int%20Inf%20Lib%20Rev25,%2093.pdf" TargetMode="External"/><Relationship Id="rId1825" Type="http://schemas.openxmlformats.org/officeDocument/2006/relationships/hyperlink" Target="http://www.mdpi.com/journal/ijerph/index" TargetMode="External"/><Relationship Id="rId2003" Type="http://schemas.openxmlformats.org/officeDocument/2006/relationships/hyperlink" Target="1999/Int%20J%20Nur%20Stu36,%20281.pdf" TargetMode="External"/><Relationship Id="rId199" Type="http://schemas.openxmlformats.org/officeDocument/2006/relationships/hyperlink" Target="2011/Fre%20Env%20Bul20,%201288.pdf" TargetMode="External"/><Relationship Id="rId627" Type="http://schemas.openxmlformats.org/officeDocument/2006/relationships/hyperlink" Target="http://www3.interscience.wiley.com/journal/118536176/home" TargetMode="External"/><Relationship Id="rId834" Type="http://schemas.openxmlformats.org/officeDocument/2006/relationships/hyperlink" Target="http://www.ifla.org/IV/" TargetMode="External"/><Relationship Id="rId1257" Type="http://schemas.openxmlformats.org/officeDocument/2006/relationships/hyperlink" Target="2006/Ind%20Eng%20Che%20Res45,%208623.pdf" TargetMode="External"/><Relationship Id="rId1464" Type="http://schemas.openxmlformats.org/officeDocument/2006/relationships/hyperlink" Target="http://www.springerlink.com/content/91q64178x503610u/" TargetMode="External"/><Relationship Id="rId1671" Type="http://schemas.openxmlformats.org/officeDocument/2006/relationships/hyperlink" Target="1996/Int%20J%20Can67,%20498.pdf" TargetMode="External"/><Relationship Id="rId2087" Type="http://schemas.openxmlformats.org/officeDocument/2006/relationships/hyperlink" Target="I/Int%20J%20Tox20,%2057.pdf" TargetMode="External"/><Relationship Id="rId266" Type="http://schemas.openxmlformats.org/officeDocument/2006/relationships/hyperlink" Target="2009/Fue%20Pro%20Tec90,%20375.pdf" TargetMode="External"/><Relationship Id="rId473" Type="http://schemas.openxmlformats.org/officeDocument/2006/relationships/hyperlink" Target="http://www.sciencedirect.com/science?_ob=JournalURL&amp;_cdi=6020&amp;_auth=y&amp;_acct=C000053193&amp;_version=1&amp;_urlVersion=0&amp;_userid=1495547&amp;md5=73f3cac9f2f4cb1456b8d74a58f36bee" TargetMode="External"/><Relationship Id="rId680" Type="http://schemas.openxmlformats.org/officeDocument/2006/relationships/hyperlink" Target="http://www.scopus.com/scopus/source/sourceInfo.url?sourceId=96594" TargetMode="External"/><Relationship Id="rId901" Type="http://schemas.openxmlformats.org/officeDocument/2006/relationships/hyperlink" Target="2008/Ind%20J%20Che%20Tec15,%20140.pdf" TargetMode="External"/><Relationship Id="rId1117" Type="http://schemas.openxmlformats.org/officeDocument/2006/relationships/hyperlink" Target="I/Ind%20Eng%20Che%20Res38,%204011.pdf" TargetMode="External"/><Relationship Id="rId1324" Type="http://schemas.openxmlformats.org/officeDocument/2006/relationships/hyperlink" Target="2010/Ind%20Eng%20Che%20Res49,%209998.pdf" TargetMode="External"/><Relationship Id="rId1531" Type="http://schemas.openxmlformats.org/officeDocument/2006/relationships/hyperlink" Target="http://www.springerlink.com/content/100428/?p=f13ec6a0baf446cb878588297258376d&amp;pi=0" TargetMode="External"/><Relationship Id="rId1769" Type="http://schemas.openxmlformats.org/officeDocument/2006/relationships/hyperlink" Target="2008/Int%20J%20Env%20Pol34,%20195.pdf" TargetMode="External"/><Relationship Id="rId1976" Type="http://schemas.openxmlformats.org/officeDocument/2006/relationships/hyperlink" Target="1982/Int%20J%20Min%20Pro9,%20303.pdf" TargetMode="External"/><Relationship Id="rId2154" Type="http://schemas.openxmlformats.org/officeDocument/2006/relationships/hyperlink" Target="1997/Ira%20Pol%20J6,%20169.pdf" TargetMode="External"/><Relationship Id="rId30" Type="http://schemas.openxmlformats.org/officeDocument/2006/relationships/hyperlink" Target="2008/FEB%20J275,%20410.pdf" TargetMode="External"/><Relationship Id="rId126" Type="http://schemas.openxmlformats.org/officeDocument/2006/relationships/hyperlink" Target="http://www.sciencedirect.com/science?_ob=JournalURL&amp;_cdi=4940&amp;_auth=y&amp;_acct=C000050221&amp;_version=1&amp;_urlVersion=0&amp;_userid=10&amp;md5=2f29861bd144c796ae910a5106070e28" TargetMode="External"/><Relationship Id="rId333" Type="http://schemas.openxmlformats.org/officeDocument/2006/relationships/hyperlink" Target="2010/Gastroenterology139,%201246.pdf" TargetMode="External"/><Relationship Id="rId540" Type="http://schemas.openxmlformats.org/officeDocument/2006/relationships/hyperlink" Target="2007/Hea%20Com22,%20253.pdf" TargetMode="External"/><Relationship Id="rId778" Type="http://schemas.openxmlformats.org/officeDocument/2006/relationships/hyperlink" Target="H/Hydrometallurgy73,%20225.pdf" TargetMode="External"/><Relationship Id="rId985" Type="http://schemas.openxmlformats.org/officeDocument/2006/relationships/hyperlink" Target="I/Ind%20Eng%20Che40,%201506.pdf" TargetMode="External"/><Relationship Id="rId1170" Type="http://schemas.openxmlformats.org/officeDocument/2006/relationships/hyperlink" Target="I/Ind%20Eng%20Che%20Res40,%204444.pdf" TargetMode="External"/><Relationship Id="rId1629" Type="http://schemas.openxmlformats.org/officeDocument/2006/relationships/hyperlink" Target="I/Int%20Inf%20Lib%20Rev34,%20309.pdf" TargetMode="External"/><Relationship Id="rId1836" Type="http://schemas.openxmlformats.org/officeDocument/2006/relationships/hyperlink" Target="2007/Int%20J%20Env%20Sci%20Tec4,%20433.pdf" TargetMode="External"/><Relationship Id="rId2014" Type="http://schemas.openxmlformats.org/officeDocument/2006/relationships/hyperlink" Target="I/Int%20J%20Ope%20Pro%20Man19,%207.pdf" TargetMode="External"/><Relationship Id="rId638" Type="http://schemas.openxmlformats.org/officeDocument/2006/relationships/hyperlink" Target="2009/Her%20Rus%20Aca%20Sci79,%20412.pdf" TargetMode="External"/><Relationship Id="rId845" Type="http://schemas.openxmlformats.org/officeDocument/2006/relationships/hyperlink" Target="http://www.informaworld.com/smpp/title~content=t908483045~db=jour" TargetMode="External"/><Relationship Id="rId1030" Type="http://schemas.openxmlformats.org/officeDocument/2006/relationships/hyperlink" Target="I/Ind%20Eng%20Che%20Fun12,%20440.pdf" TargetMode="External"/><Relationship Id="rId1268" Type="http://schemas.openxmlformats.org/officeDocument/2006/relationships/hyperlink" Target="2007/Ind%20Eng%20Che%20Res46,%205346.pdf" TargetMode="External"/><Relationship Id="rId1475" Type="http://schemas.openxmlformats.org/officeDocument/2006/relationships/hyperlink" Target="2004/Inf%20Sci22,%20551.pdf" TargetMode="External"/><Relationship Id="rId1682" Type="http://schemas.openxmlformats.org/officeDocument/2006/relationships/hyperlink" Target="2010/Int%20J%20Car140,%20304.pdf" TargetMode="External"/><Relationship Id="rId1903" Type="http://schemas.openxmlformats.org/officeDocument/2006/relationships/hyperlink" Target="I/Int%20J%20Foo%20Mic2,%20341.pdf" TargetMode="External"/><Relationship Id="rId2098" Type="http://schemas.openxmlformats.org/officeDocument/2006/relationships/hyperlink" Target="http://www.blackwell-synergy.com/servlet/useragent?func=showIssues&amp;code=inr" TargetMode="External"/><Relationship Id="rId277" Type="http://schemas.openxmlformats.org/officeDocument/2006/relationships/hyperlink" Target="F/Fun%20App%20Tox20,%2030.pdf" TargetMode="External"/><Relationship Id="rId400" Type="http://schemas.openxmlformats.org/officeDocument/2006/relationships/hyperlink" Target="G/Geo%20Exp%20Env%20Ana2,%200.pdf" TargetMode="External"/><Relationship Id="rId484" Type="http://schemas.openxmlformats.org/officeDocument/2006/relationships/hyperlink" Target="2009/Glo%20Nes%20J11,%20205.pdf" TargetMode="External"/><Relationship Id="rId705" Type="http://schemas.openxmlformats.org/officeDocument/2006/relationships/hyperlink" Target="http://www3.interscience.wiley.com/cgi-bin/issuetoc?ID=20898" TargetMode="External"/><Relationship Id="rId1128" Type="http://schemas.openxmlformats.org/officeDocument/2006/relationships/hyperlink" Target="I/Ind%20Eng%20Che%20Res39,%201095.pdf" TargetMode="External"/><Relationship Id="rId1335" Type="http://schemas.openxmlformats.org/officeDocument/2006/relationships/hyperlink" Target="2011/Ind%20Eng%20Che%20Res50,%207733.pdf" TargetMode="External"/><Relationship Id="rId1542" Type="http://schemas.openxmlformats.org/officeDocument/2006/relationships/hyperlink" Target="2006/Interciencia31,%20284.pdf" TargetMode="External"/><Relationship Id="rId1987" Type="http://schemas.openxmlformats.org/officeDocument/2006/relationships/hyperlink" Target="2006/Int%20J%20Min%20Pro78,%20131.pdf" TargetMode="External"/><Relationship Id="rId2165" Type="http://schemas.openxmlformats.org/officeDocument/2006/relationships/hyperlink" Target="http://journalsonline.tandf.co.uk/(tzkpny55wsq3rbe3ftsoiy45)/app/home/journal.asp?referrer=backto&amp;backto=linkingpublicationresults,1:300252,1;&amp;absoluteposition=18" TargetMode="External"/><Relationship Id="rId137" Type="http://schemas.openxmlformats.org/officeDocument/2006/relationships/hyperlink" Target="2002/Fre%20Env%20Bul11,%20194.pdf" TargetMode="External"/><Relationship Id="rId344" Type="http://schemas.openxmlformats.org/officeDocument/2006/relationships/hyperlink" Target="G/Geo%20Cos%20Act36,%2035.pdf" TargetMode="External"/><Relationship Id="rId691" Type="http://schemas.openxmlformats.org/officeDocument/2006/relationships/hyperlink" Target="2011/Hum%20Rep%20Upd17,%20347.pdf" TargetMode="External"/><Relationship Id="rId789" Type="http://schemas.openxmlformats.org/officeDocument/2006/relationships/hyperlink" Target="2006/Hydrometallurgy80,%201.pdf" TargetMode="External"/><Relationship Id="rId912" Type="http://schemas.openxmlformats.org/officeDocument/2006/relationships/hyperlink" Target="2008/Ind%20J%20Che%20Tec15,%20533.pdf" TargetMode="External"/><Relationship Id="rId996" Type="http://schemas.openxmlformats.org/officeDocument/2006/relationships/hyperlink" Target="I/Ind%20Eng%20Che47,%20193.pdf" TargetMode="External"/><Relationship Id="rId1847" Type="http://schemas.openxmlformats.org/officeDocument/2006/relationships/hyperlink" Target="2008/Int%20J%20Env%20Sci%20Tec5,%20501.pdf" TargetMode="External"/><Relationship Id="rId2025" Type="http://schemas.openxmlformats.org/officeDocument/2006/relationships/hyperlink" Target="2011/Int%20J%20Pha405,%20153.pdf" TargetMode="External"/><Relationship Id="rId41" Type="http://schemas.openxmlformats.org/officeDocument/2006/relationships/hyperlink" Target="http://www3.interscience.wiley.com/journal/118494448/home" TargetMode="External"/><Relationship Id="rId551" Type="http://schemas.openxmlformats.org/officeDocument/2006/relationships/hyperlink" Target="1992/Hea%20Edu%20Res7,%20117.pdf" TargetMode="External"/><Relationship Id="rId649" Type="http://schemas.openxmlformats.org/officeDocument/2006/relationships/hyperlink" Target="2010/Hig%20Edu59,%2069.pdf" TargetMode="External"/><Relationship Id="rId856" Type="http://schemas.openxmlformats.org/officeDocument/2006/relationships/hyperlink" Target="2004/Ind%20J%20Che%20Tec11,%20299.pdf" TargetMode="External"/><Relationship Id="rId1181" Type="http://schemas.openxmlformats.org/officeDocument/2006/relationships/hyperlink" Target="I/Ind%20&amp;%20Eng%20Che%20Res41,%203580.pdf" TargetMode="External"/><Relationship Id="rId1279" Type="http://schemas.openxmlformats.org/officeDocument/2006/relationships/hyperlink" Target="2008/Ind%20Eng%20Che%20Res47,%203813.pdf" TargetMode="External"/><Relationship Id="rId1402" Type="http://schemas.openxmlformats.org/officeDocument/2006/relationships/hyperlink" Target="1998/Inf%20Pro%20Man34,%20775.pdf" TargetMode="External"/><Relationship Id="rId1486" Type="http://schemas.openxmlformats.org/officeDocument/2006/relationships/hyperlink" Target="2005/Inf%20Sof%20Tec47,%20955.pdf" TargetMode="External"/><Relationship Id="rId1707" Type="http://schemas.openxmlformats.org/officeDocument/2006/relationships/hyperlink" Target="http://redalyc.uaemex.mx/redalyc/src/inicio/HomRevRed.jsp?iCveEntRev=337" TargetMode="External"/><Relationship Id="rId190" Type="http://schemas.openxmlformats.org/officeDocument/2006/relationships/hyperlink" Target="2010/Fre%20Env%20Bul19,%202548.pdf" TargetMode="External"/><Relationship Id="rId204" Type="http://schemas.openxmlformats.org/officeDocument/2006/relationships/hyperlink" Target="F/Fre%20J%20Ana%20Che362,%20239.pdf" TargetMode="External"/><Relationship Id="rId288" Type="http://schemas.openxmlformats.org/officeDocument/2006/relationships/hyperlink" Target="2010/Fut%20Gen%20Com%20Sys26,%20400.pdf" TargetMode="External"/><Relationship Id="rId411" Type="http://schemas.openxmlformats.org/officeDocument/2006/relationships/hyperlink" Target="G/Geoderma73,%20197.pdf" TargetMode="External"/><Relationship Id="rId509" Type="http://schemas.openxmlformats.org/officeDocument/2006/relationships/hyperlink" Target="G/Gut49,%20295.pdf" TargetMode="External"/><Relationship Id="rId1041" Type="http://schemas.openxmlformats.org/officeDocument/2006/relationships/hyperlink" Target="http://pubs3.acs.org/acs/journals/toc.page?incoden=iepdaw" TargetMode="External"/><Relationship Id="rId1139" Type="http://schemas.openxmlformats.org/officeDocument/2006/relationships/hyperlink" Target="I/Ind%20Eng%20Che%20Res39,%202601.pdf" TargetMode="External"/><Relationship Id="rId1346" Type="http://schemas.openxmlformats.org/officeDocument/2006/relationships/hyperlink" Target="2011/Ind%20Mar%20Man40,%20940.pdf" TargetMode="External"/><Relationship Id="rId1693" Type="http://schemas.openxmlformats.org/officeDocument/2006/relationships/hyperlink" Target="2009/Int%20J%20Che%20Rea%20Eng7,%20A33.pdf" TargetMode="External"/><Relationship Id="rId1914" Type="http://schemas.openxmlformats.org/officeDocument/2006/relationships/hyperlink" Target="I/Int%20J%20Ger%20Psy18,%2041.pdf" TargetMode="External"/><Relationship Id="rId1998" Type="http://schemas.openxmlformats.org/officeDocument/2006/relationships/hyperlink" Target="2010/Int%20J%20Mor28,%20461.pdf" TargetMode="External"/><Relationship Id="rId495" Type="http://schemas.openxmlformats.org/officeDocument/2006/relationships/hyperlink" Target="2004/Gre%20Che6,%20395.pdf" TargetMode="External"/><Relationship Id="rId716" Type="http://schemas.openxmlformats.org/officeDocument/2006/relationships/hyperlink" Target="H/Hydrometallurgy21,%20213.pdf" TargetMode="External"/><Relationship Id="rId923" Type="http://schemas.openxmlformats.org/officeDocument/2006/relationships/hyperlink" Target="2009/Ind%20J%20Che%20Tec16,%20308.pdf" TargetMode="External"/><Relationship Id="rId1553" Type="http://schemas.openxmlformats.org/officeDocument/2006/relationships/hyperlink" Target="2010/Interfaces40,%20454.pdf" TargetMode="External"/><Relationship Id="rId1760" Type="http://schemas.openxmlformats.org/officeDocument/2006/relationships/hyperlink" Target="2008/Int%20J%20Env%20Pol34,%2057.pdf" TargetMode="External"/><Relationship Id="rId1858" Type="http://schemas.openxmlformats.org/officeDocument/2006/relationships/hyperlink" Target="2010/Int%20J%20Env%20Sci%20Tec7,%201.pdf" TargetMode="External"/><Relationship Id="rId52" Type="http://schemas.openxmlformats.org/officeDocument/2006/relationships/hyperlink" Target="1995/Fer%20Res40,%2031.pdf" TargetMode="External"/><Relationship Id="rId148" Type="http://schemas.openxmlformats.org/officeDocument/2006/relationships/hyperlink" Target="2003/Fre%20Env%20Bul12,%201328.pdf" TargetMode="External"/><Relationship Id="rId355" Type="http://schemas.openxmlformats.org/officeDocument/2006/relationships/hyperlink" Target="1992/Geo%20Cos%20Act56,%201157.pdf" TargetMode="External"/><Relationship Id="rId562" Type="http://schemas.openxmlformats.org/officeDocument/2006/relationships/hyperlink" Target="2009/Hea%20Inf%20Lib%20J26,%2022.pdf" TargetMode="External"/><Relationship Id="rId1192" Type="http://schemas.openxmlformats.org/officeDocument/2006/relationships/hyperlink" Target="I/Ind%20Eng%20Che%20Res42,%202223.pdf" TargetMode="External"/><Relationship Id="rId1206" Type="http://schemas.openxmlformats.org/officeDocument/2006/relationships/hyperlink" Target="I/Ind%20Eng%20Che%20Res43,%201882.pdf" TargetMode="External"/><Relationship Id="rId1413" Type="http://schemas.openxmlformats.org/officeDocument/2006/relationships/hyperlink" Target="2005/Inf%20Pro%20Man41,%201311.pdf" TargetMode="External"/><Relationship Id="rId1620" Type="http://schemas.openxmlformats.org/officeDocument/2006/relationships/hyperlink" Target="I/Int%20Inf%20Lib%20Rev27,%20237.pdf" TargetMode="External"/><Relationship Id="rId2036" Type="http://schemas.openxmlformats.org/officeDocument/2006/relationships/hyperlink" Target="2007/Int%20J%20Phy%20Sci2,%20188.pdf" TargetMode="External"/><Relationship Id="rId215" Type="http://schemas.openxmlformats.org/officeDocument/2006/relationships/hyperlink" Target="2009/Fro%20Env%20Sci%20Eng%20Chi3,%2069.pdf" TargetMode="External"/><Relationship Id="rId422" Type="http://schemas.openxmlformats.org/officeDocument/2006/relationships/hyperlink" Target="2006/Geoderma133,%20217.pdf" TargetMode="External"/><Relationship Id="rId867" Type="http://schemas.openxmlformats.org/officeDocument/2006/relationships/hyperlink" Target="2005/Ind%20J%20Che%20Tec12,%20285.pdf" TargetMode="External"/><Relationship Id="rId1052" Type="http://schemas.openxmlformats.org/officeDocument/2006/relationships/hyperlink" Target="I/Ind%20Eng%20Che%20Pro%20Des%20Dev24,%201188.pdf" TargetMode="External"/><Relationship Id="rId1497" Type="http://schemas.openxmlformats.org/officeDocument/2006/relationships/hyperlink" Target="1960-80/Inf%20Sto%20Ret7,%20169.pdf" TargetMode="External"/><Relationship Id="rId1718" Type="http://schemas.openxmlformats.org/officeDocument/2006/relationships/hyperlink" Target="I/Int%20J%20Coa%20Geo39,%20121.pdf" TargetMode="External"/><Relationship Id="rId1925" Type="http://schemas.openxmlformats.org/officeDocument/2006/relationships/hyperlink" Target="2003/Int%20J%20Hea%20Mas%20Tra46,%202665.pdf" TargetMode="External"/><Relationship Id="rId2103" Type="http://schemas.openxmlformats.org/officeDocument/2006/relationships/hyperlink" Target="http://www.springerlink.com/content/100518/?p=3e34de20b2d040d9b9f920720509eaa0&amp;pi=0" TargetMode="External"/><Relationship Id="rId299" Type="http://schemas.openxmlformats.org/officeDocument/2006/relationships/hyperlink" Target="2008/Gac%20San22,%2058.pdf" TargetMode="External"/><Relationship Id="rId727" Type="http://schemas.openxmlformats.org/officeDocument/2006/relationships/hyperlink" Target="H/Hydrometallurgy44,%20301.pdf" TargetMode="External"/><Relationship Id="rId934" Type="http://schemas.openxmlformats.org/officeDocument/2006/relationships/hyperlink" Target="2010/Ind%20J%20Che%20Tec17,%20303.pdf" TargetMode="External"/><Relationship Id="rId1357" Type="http://schemas.openxmlformats.org/officeDocument/2006/relationships/hyperlink" Target="2011/Inf%20Dev27,%2092.pdf" TargetMode="External"/><Relationship Id="rId1564" Type="http://schemas.openxmlformats.org/officeDocument/2006/relationships/hyperlink" Target="http://onlinelibrary.wiley.com/journal/10.1111/(ISSN)1445-5994/issues" TargetMode="External"/><Relationship Id="rId1771" Type="http://schemas.openxmlformats.org/officeDocument/2006/relationships/hyperlink" Target="2008/Int%20J%20Env%20Pol34,%20215.pdf" TargetMode="External"/><Relationship Id="rId63" Type="http://schemas.openxmlformats.org/officeDocument/2006/relationships/hyperlink" Target="F/Fil%20Sep33,%20375.pdf" TargetMode="External"/><Relationship Id="rId159" Type="http://schemas.openxmlformats.org/officeDocument/2006/relationships/hyperlink" Target="2004/Fre%20Env%20Bul13,%20585.pdf" TargetMode="External"/><Relationship Id="rId366" Type="http://schemas.openxmlformats.org/officeDocument/2006/relationships/hyperlink" Target="G/Geo%20Cos%20Act61,%203051.pdf" TargetMode="External"/><Relationship Id="rId573" Type="http://schemas.openxmlformats.org/officeDocument/2006/relationships/hyperlink" Target="2011/Hea%20Psy%20Rev5,%209.pdf" TargetMode="External"/><Relationship Id="rId780" Type="http://schemas.openxmlformats.org/officeDocument/2006/relationships/hyperlink" Target="H/Hydrometallurgy75,%2055.pdf" TargetMode="External"/><Relationship Id="rId1217" Type="http://schemas.openxmlformats.org/officeDocument/2006/relationships/hyperlink" Target="I/Ind%20Eng%20Che%20Res43,%206150.pdf" TargetMode="External"/><Relationship Id="rId1424" Type="http://schemas.openxmlformats.org/officeDocument/2006/relationships/hyperlink" Target="2006/Inf%20Pro%20Man42,%201484.pdf" TargetMode="External"/><Relationship Id="rId1631" Type="http://schemas.openxmlformats.org/officeDocument/2006/relationships/hyperlink" Target="http://www.springerlink.com/(pnqyh155dzsn3i45qywmpyna)/app/home/journal.asp?referrer=backto&amp;backto=linkingpublicationresults,1:102823,1;&amp;absoluteposition=3" TargetMode="External"/><Relationship Id="rId1869" Type="http://schemas.openxmlformats.org/officeDocument/2006/relationships/hyperlink" Target="2010/Int%20J%20Env%20Sci%20Tec7,%20687.pdf" TargetMode="External"/><Relationship Id="rId2047" Type="http://schemas.openxmlformats.org/officeDocument/2006/relationships/hyperlink" Target="http://www.sciencedirect.com/science/journal/09255273" TargetMode="External"/><Relationship Id="rId226" Type="http://schemas.openxmlformats.org/officeDocument/2006/relationships/hyperlink" Target="1960-80/Fuel51,%20221.pdf" TargetMode="External"/><Relationship Id="rId433" Type="http://schemas.openxmlformats.org/officeDocument/2006/relationships/hyperlink" Target="2010/Geo%20Res48,%20166.pdf" TargetMode="External"/><Relationship Id="rId878" Type="http://schemas.openxmlformats.org/officeDocument/2006/relationships/hyperlink" Target="2006/Ind%20J%20Che%20Tec13,%20218.pdf" TargetMode="External"/><Relationship Id="rId1063" Type="http://schemas.openxmlformats.org/officeDocument/2006/relationships/hyperlink" Target="http://pubs.acs.org/scope/iecred.pdf" TargetMode="External"/><Relationship Id="rId1270" Type="http://schemas.openxmlformats.org/officeDocument/2006/relationships/hyperlink" Target="2007/Ind%20Eng%20Che%20Res46,%207802.pdf" TargetMode="External"/><Relationship Id="rId1729" Type="http://schemas.openxmlformats.org/officeDocument/2006/relationships/hyperlink" Target="1999/Int%20J%20Der38,%20357.pdf" TargetMode="External"/><Relationship Id="rId1936" Type="http://schemas.openxmlformats.org/officeDocument/2006/relationships/hyperlink" Target="2011/Int%20J%20Hyd%20Ene36,%206957.pdf" TargetMode="External"/><Relationship Id="rId2114" Type="http://schemas.openxmlformats.org/officeDocument/2006/relationships/hyperlink" Target="2010/Int%20Psy22,%20189.pdf" TargetMode="External"/><Relationship Id="rId640" Type="http://schemas.openxmlformats.org/officeDocument/2006/relationships/hyperlink" Target="2011/Her%20Rus%20Aca%20Sci81,%2051.pdf" TargetMode="External"/><Relationship Id="rId738" Type="http://schemas.openxmlformats.org/officeDocument/2006/relationships/hyperlink" Target="H/Hydrometallurgy59,%2077.pdf" TargetMode="External"/><Relationship Id="rId945" Type="http://schemas.openxmlformats.org/officeDocument/2006/relationships/hyperlink" Target="2005/Ind%20J%20Eng%20Mat%20Sci12,%20248.pdf" TargetMode="External"/><Relationship Id="rId1368" Type="http://schemas.openxmlformats.org/officeDocument/2006/relationships/hyperlink" Target="1985/Inf%20Pro%20Man21,%20305.pdf" TargetMode="External"/><Relationship Id="rId1575" Type="http://schemas.openxmlformats.org/officeDocument/2006/relationships/hyperlink" Target="I/Int%20Bio%20Bio35,%20129.pdf" TargetMode="External"/><Relationship Id="rId1782" Type="http://schemas.openxmlformats.org/officeDocument/2006/relationships/hyperlink" Target="2008/Int%20J%20Env%20Pol34,%20364.pdf" TargetMode="External"/><Relationship Id="rId74" Type="http://schemas.openxmlformats.org/officeDocument/2006/relationships/hyperlink" Target="2007/Fol%20Pho%20Log59,%20281.pdf" TargetMode="External"/><Relationship Id="rId377" Type="http://schemas.openxmlformats.org/officeDocument/2006/relationships/hyperlink" Target="G/Geo%20Cos%20Act63,%203379.pdf" TargetMode="External"/><Relationship Id="rId500" Type="http://schemas.openxmlformats.org/officeDocument/2006/relationships/hyperlink" Target="1991/Gro%20Wat29,%20239.pdf" TargetMode="External"/><Relationship Id="rId584" Type="http://schemas.openxmlformats.org/officeDocument/2006/relationships/hyperlink" Target="H/Hea%20Ser%20Res37,%20xiv.pdf" TargetMode="External"/><Relationship Id="rId805" Type="http://schemas.openxmlformats.org/officeDocument/2006/relationships/hyperlink" Target="2010/Hydrometallurgy103,%20180.pdf" TargetMode="External"/><Relationship Id="rId1130" Type="http://schemas.openxmlformats.org/officeDocument/2006/relationships/hyperlink" Target="I/Ind%20Eng%20Che%20Res39,%201235.pdf" TargetMode="External"/><Relationship Id="rId1228" Type="http://schemas.openxmlformats.org/officeDocument/2006/relationships/hyperlink" Target="I/Ind%20Eng%20Che%20Res44,%201027.pdf" TargetMode="External"/><Relationship Id="rId1435" Type="http://schemas.openxmlformats.org/officeDocument/2006/relationships/hyperlink" Target="2008/Inf%20Pro%20Man44,%20948.pdf" TargetMode="External"/><Relationship Id="rId2058" Type="http://schemas.openxmlformats.org/officeDocument/2006/relationships/hyperlink" Target="http://intqhc.oxfordjournals.org/" TargetMode="External"/><Relationship Id="rId5" Type="http://schemas.openxmlformats.org/officeDocument/2006/relationships/footnotes" Target="footnotes.xml"/><Relationship Id="rId237" Type="http://schemas.openxmlformats.org/officeDocument/2006/relationships/hyperlink" Target="F/Fuel77,%201147.pdf" TargetMode="External"/><Relationship Id="rId791" Type="http://schemas.openxmlformats.org/officeDocument/2006/relationships/hyperlink" Target="2006/Hydrometallurgy80,%20219.pdf" TargetMode="External"/><Relationship Id="rId889" Type="http://schemas.openxmlformats.org/officeDocument/2006/relationships/hyperlink" Target="2007/Ind%20J%20Che%20Tec14,%20269.pdf" TargetMode="External"/><Relationship Id="rId1074" Type="http://schemas.openxmlformats.org/officeDocument/2006/relationships/hyperlink" Target="I/Ind%20Eng%20Che%20Res30,%201513.pdf" TargetMode="External"/><Relationship Id="rId1642" Type="http://schemas.openxmlformats.org/officeDocument/2006/relationships/hyperlink" Target="http://www.sciencedirect.com/science?_ob=JournalURL&amp;_cdi=5060&amp;_auth=y&amp;_acct=C000011279&amp;_version=1&amp;_urlVersion=0&amp;_userid=1134284&amp;md5=052ca7885601863654e36c4fff191588" TargetMode="External"/><Relationship Id="rId1947" Type="http://schemas.openxmlformats.org/officeDocument/2006/relationships/hyperlink" Target="2011/Int%20J%20Inf%20Man31,%2014.pdf" TargetMode="External"/><Relationship Id="rId444" Type="http://schemas.openxmlformats.org/officeDocument/2006/relationships/hyperlink" Target="http://www.agu.org/pubs/back/gl/index.shtml" TargetMode="External"/><Relationship Id="rId651" Type="http://schemas.openxmlformats.org/officeDocument/2006/relationships/hyperlink" Target="2011/Hig%20Edu62,%20163.pdf" TargetMode="External"/><Relationship Id="rId749" Type="http://schemas.openxmlformats.org/officeDocument/2006/relationships/hyperlink" Target="H/Hydrometallurgy61,%20121.pdf" TargetMode="External"/><Relationship Id="rId1281" Type="http://schemas.openxmlformats.org/officeDocument/2006/relationships/hyperlink" Target="2008/Ind%20Eng%20Che%20Res47,%204917.pdf" TargetMode="External"/><Relationship Id="rId1379" Type="http://schemas.openxmlformats.org/officeDocument/2006/relationships/hyperlink" Target="1989/Inf%20Pro%20Man25,%20713.pdf" TargetMode="External"/><Relationship Id="rId1502" Type="http://schemas.openxmlformats.org/officeDocument/2006/relationships/hyperlink" Target="1960-80/Inf%20Sto%20Ret10,%20189.pdf" TargetMode="External"/><Relationship Id="rId1586" Type="http://schemas.openxmlformats.org/officeDocument/2006/relationships/hyperlink" Target="I/Int%20Bio%20Bio46,%2011.pdf" TargetMode="External"/><Relationship Id="rId1807" Type="http://schemas.openxmlformats.org/officeDocument/2006/relationships/hyperlink" Target="2008/Int%20J%20Env%20Res2,%20307.pdf" TargetMode="External"/><Relationship Id="rId2125" Type="http://schemas.openxmlformats.org/officeDocument/2006/relationships/hyperlink" Target="2005/Ira%20J%20Che%20Che%20Eng-Int%20Eng%20Edi26,%2083.pdf" TargetMode="External"/><Relationship Id="rId290" Type="http://schemas.openxmlformats.org/officeDocument/2006/relationships/hyperlink" Target="http://www.sciencedirect.com/science?_ob=JournalURL&amp;_cdi=5637&amp;_auth=y&amp;_acct=C000047720&amp;_version=1&amp;_urlVersion=0&amp;_userid=2007471&amp;md5=4a54757212ce8b680b88ff678ef9befb" TargetMode="External"/><Relationship Id="rId304" Type="http://schemas.openxmlformats.org/officeDocument/2006/relationships/hyperlink" Target="2010/GAI-Eco%20Per%20Sci%20Soc19,%20140.pdf" TargetMode="External"/><Relationship Id="rId388" Type="http://schemas.openxmlformats.org/officeDocument/2006/relationships/hyperlink" Target="2003/Geo%20Cos%20Act65,%20A385.pdf" TargetMode="External"/><Relationship Id="rId511" Type="http://schemas.openxmlformats.org/officeDocument/2006/relationships/hyperlink" Target="2007/Gut56,%20895.pdf" TargetMode="External"/><Relationship Id="rId609" Type="http://schemas.openxmlformats.org/officeDocument/2006/relationships/hyperlink" Target="2011/Hea%20Tec%20Ass15-11,%201.pdf" TargetMode="External"/><Relationship Id="rId956" Type="http://schemas.openxmlformats.org/officeDocument/2006/relationships/hyperlink" Target="http://indianpediatrics.net/" TargetMode="External"/><Relationship Id="rId1141" Type="http://schemas.openxmlformats.org/officeDocument/2006/relationships/hyperlink" Target="I/Ind%20Eng%20Che%20Res39,%202797.pdf" TargetMode="External"/><Relationship Id="rId1239" Type="http://schemas.openxmlformats.org/officeDocument/2006/relationships/hyperlink" Target="2006/Ind%20Eng%20Che%20Res45,%20330.pdf" TargetMode="External"/><Relationship Id="rId1793" Type="http://schemas.openxmlformats.org/officeDocument/2006/relationships/hyperlink" Target="https://www.inderscience.com/browse/index.php?journalID=75" TargetMode="External"/><Relationship Id="rId2069" Type="http://schemas.openxmlformats.org/officeDocument/2006/relationships/hyperlink" Target="http://www.sciencedirect.com/science/journal/02634368" TargetMode="External"/><Relationship Id="rId85" Type="http://schemas.openxmlformats.org/officeDocument/2006/relationships/hyperlink" Target="F/Foo%20Che%20Tox38,%20S29.pdf" TargetMode="External"/><Relationship Id="rId150" Type="http://schemas.openxmlformats.org/officeDocument/2006/relationships/hyperlink" Target="2003/Fre%20Env%20Bul12,%201450.pdf" TargetMode="External"/><Relationship Id="rId595" Type="http://schemas.openxmlformats.org/officeDocument/2006/relationships/hyperlink" Target="2010/Hea%20Tec%20Ass14-11,%201.pdf" TargetMode="External"/><Relationship Id="rId816" Type="http://schemas.openxmlformats.org/officeDocument/2006/relationships/hyperlink" Target="2005/IEE%20Sof22,%208.pdf" TargetMode="External"/><Relationship Id="rId1001" Type="http://schemas.openxmlformats.org/officeDocument/2006/relationships/hyperlink" Target="http://pubs3.acs.org/acs/journals/toc.page?incoden=iecfa7" TargetMode="External"/><Relationship Id="rId1446" Type="http://schemas.openxmlformats.org/officeDocument/2006/relationships/hyperlink" Target="2011/Inf%20Pro%20Man47,%20300.pdf" TargetMode="External"/><Relationship Id="rId1653" Type="http://schemas.openxmlformats.org/officeDocument/2006/relationships/hyperlink" Target="2006/Int%20J%20Bio%20Mac38,%20126.pdf" TargetMode="External"/><Relationship Id="rId1860" Type="http://schemas.openxmlformats.org/officeDocument/2006/relationships/hyperlink" Target="2010/Int%20J%20Env%20Sci%20Tec7,%2085.pdf" TargetMode="External"/><Relationship Id="rId248" Type="http://schemas.openxmlformats.org/officeDocument/2006/relationships/hyperlink" Target="2008/Fuel87,%203040.pdf" TargetMode="External"/><Relationship Id="rId455" Type="http://schemas.openxmlformats.org/officeDocument/2006/relationships/hyperlink" Target="1998/Geo%20Res%20Let25,%204027.pdf" TargetMode="External"/><Relationship Id="rId662" Type="http://schemas.openxmlformats.org/officeDocument/2006/relationships/hyperlink" Target="1996/His%20Mat23,%20288.pdf" TargetMode="External"/><Relationship Id="rId1085" Type="http://schemas.openxmlformats.org/officeDocument/2006/relationships/hyperlink" Target="I/Ind%20Eng%20Che%20Res34,%203090.pdf" TargetMode="External"/><Relationship Id="rId1292" Type="http://schemas.openxmlformats.org/officeDocument/2006/relationships/hyperlink" Target="2009/Ind%20Eng%20Che%20Res48,%202786.pdf" TargetMode="External"/><Relationship Id="rId1306" Type="http://schemas.openxmlformats.org/officeDocument/2006/relationships/hyperlink" Target="2009/Ind%20Eng%20Che%20Res48,%207893.pdf" TargetMode="External"/><Relationship Id="rId1513" Type="http://schemas.openxmlformats.org/officeDocument/2006/relationships/hyperlink" Target="2003/Inf%20Tec%20Lib22,%20158.pdf" TargetMode="External"/><Relationship Id="rId1720" Type="http://schemas.openxmlformats.org/officeDocument/2006/relationships/hyperlink" Target="I/Int%20J%20Coa%20Geo47,%20189.pdf" TargetMode="External"/><Relationship Id="rId1958" Type="http://schemas.openxmlformats.org/officeDocument/2006/relationships/hyperlink" Target="http://www.inderscience.com/browse/index.php?journalID=89&amp;year=2007&amp;vol=4&amp;issue=4" TargetMode="External"/><Relationship Id="rId2136" Type="http://schemas.openxmlformats.org/officeDocument/2006/relationships/hyperlink" Target="2006/Ira%20J%20Env%20Hea%20Sci%20Eng3,%2097.pdf" TargetMode="External"/><Relationship Id="rId12" Type="http://schemas.openxmlformats.org/officeDocument/2006/relationships/footer" Target="footer3.xml"/><Relationship Id="rId108" Type="http://schemas.openxmlformats.org/officeDocument/2006/relationships/hyperlink" Target="F/Foo%20Res%20Int34,%20501.pdf" TargetMode="External"/><Relationship Id="rId315" Type="http://schemas.openxmlformats.org/officeDocument/2006/relationships/hyperlink" Target="2005/Gas%20Ads%20Equ,%20181.pdf" TargetMode="External"/><Relationship Id="rId522" Type="http://schemas.openxmlformats.org/officeDocument/2006/relationships/hyperlink" Target="1999/Haematologica84,%20437.pdf" TargetMode="External"/><Relationship Id="rId967" Type="http://schemas.openxmlformats.org/officeDocument/2006/relationships/hyperlink" Target="2009/Ind%20Air19,%2091.pdf" TargetMode="External"/><Relationship Id="rId1152" Type="http://schemas.openxmlformats.org/officeDocument/2006/relationships/hyperlink" Target="I/Ind%20Eng%20Che%20Res40,%20369.pdf" TargetMode="External"/><Relationship Id="rId1597" Type="http://schemas.openxmlformats.org/officeDocument/2006/relationships/hyperlink" Target="I/Int%20Bio%20Sym,%20181.pdf" TargetMode="External"/><Relationship Id="rId1818" Type="http://schemas.openxmlformats.org/officeDocument/2006/relationships/hyperlink" Target="2010/Int%20J%20Env%20Res4,%20201.pdf" TargetMode="External"/><Relationship Id="rId96" Type="http://schemas.openxmlformats.org/officeDocument/2006/relationships/hyperlink" Target="F/Foo%20Che61,%20249.pdf" TargetMode="External"/><Relationship Id="rId161" Type="http://schemas.openxmlformats.org/officeDocument/2006/relationships/hyperlink" Target="2005/Fre%20Env%20Bul14,%20212.pdf" TargetMode="External"/><Relationship Id="rId399" Type="http://schemas.openxmlformats.org/officeDocument/2006/relationships/hyperlink" Target="2007/Geo%20Cos%20Act71,%203698.pdf" TargetMode="External"/><Relationship Id="rId827" Type="http://schemas.openxmlformats.org/officeDocument/2006/relationships/hyperlink" Target="http://ieeexplore.ieee.org/xpl/RecentIssue.jsp?punumber=18" TargetMode="External"/><Relationship Id="rId1012" Type="http://schemas.openxmlformats.org/officeDocument/2006/relationships/hyperlink" Target="I/Ind%20Eng%20Che%20Fun2,%20126.pdf" TargetMode="External"/><Relationship Id="rId1457" Type="http://schemas.openxmlformats.org/officeDocument/2006/relationships/hyperlink" Target="2005/Inf%20Res10,%20235.pdf" TargetMode="External"/><Relationship Id="rId1664" Type="http://schemas.openxmlformats.org/officeDocument/2006/relationships/hyperlink" Target="2011/Int%20J%20Bio%20Mac49,%20513.pdf" TargetMode="External"/><Relationship Id="rId1871" Type="http://schemas.openxmlformats.org/officeDocument/2006/relationships/hyperlink" Target="2010/Int%20J%20Env%20Sci%20Tec7,%20793.pdf" TargetMode="External"/><Relationship Id="rId259" Type="http://schemas.openxmlformats.org/officeDocument/2006/relationships/hyperlink" Target="F/Fue%20Ene%20Abs39,%2029.pdf" TargetMode="External"/><Relationship Id="rId466" Type="http://schemas.openxmlformats.org/officeDocument/2006/relationships/hyperlink" Target="http://www.sciencedirect.com/science/journal/01974572" TargetMode="External"/><Relationship Id="rId673" Type="http://schemas.openxmlformats.org/officeDocument/2006/relationships/hyperlink" Target="H/Hol%20Als%20Roh%20Wer62,%2074.pdf" TargetMode="External"/><Relationship Id="rId880" Type="http://schemas.openxmlformats.org/officeDocument/2006/relationships/hyperlink" Target="2006/Ind%20J%20Che%20Tec13,%20319.pdf" TargetMode="External"/><Relationship Id="rId1096" Type="http://schemas.openxmlformats.org/officeDocument/2006/relationships/hyperlink" Target="I/Ind%20Eng%20Che%20Res36,%202109.pdf" TargetMode="External"/><Relationship Id="rId1317" Type="http://schemas.openxmlformats.org/officeDocument/2006/relationships/hyperlink" Target="2010/Ind%20Eng%20Che%20Res49,%204528.pdf" TargetMode="External"/><Relationship Id="rId1524" Type="http://schemas.openxmlformats.org/officeDocument/2006/relationships/hyperlink" Target="I/Ino%20Chi%20Act232,%20227.pdf" TargetMode="External"/><Relationship Id="rId1731" Type="http://schemas.openxmlformats.org/officeDocument/2006/relationships/hyperlink" Target="2006/Int%20J%20Der45,%20922.pdf" TargetMode="External"/><Relationship Id="rId1969" Type="http://schemas.openxmlformats.org/officeDocument/2006/relationships/hyperlink" Target="2011/Int%20J%20Med%20Inf80,%20389.pdf" TargetMode="External"/><Relationship Id="rId2147" Type="http://schemas.openxmlformats.org/officeDocument/2006/relationships/hyperlink" Target="2009/Ira%20J%20Env%20Hea%20Sci%20Eng6,%201.pdf" TargetMode="External"/><Relationship Id="rId23" Type="http://schemas.openxmlformats.org/officeDocument/2006/relationships/hyperlink" Target="2005/Fas%20J19,%201943.pdf" TargetMode="External"/><Relationship Id="rId119" Type="http://schemas.openxmlformats.org/officeDocument/2006/relationships/hyperlink" Target="F/For%20Eco%20Man79,%20185.pdf" TargetMode="External"/><Relationship Id="rId326" Type="http://schemas.openxmlformats.org/officeDocument/2006/relationships/hyperlink" Target="G/Gas%20Sep%20Pur8,%20187.pdf" TargetMode="External"/><Relationship Id="rId533" Type="http://schemas.openxmlformats.org/officeDocument/2006/relationships/hyperlink" Target="1999/Haz%20Was%20Con17,%20A11.pdf" TargetMode="External"/><Relationship Id="rId978" Type="http://schemas.openxmlformats.org/officeDocument/2006/relationships/hyperlink" Target="http://pubs3.acs.org/acs/journals/toc.page?incoden=iechad" TargetMode="External"/><Relationship Id="rId1163" Type="http://schemas.openxmlformats.org/officeDocument/2006/relationships/hyperlink" Target="2001/Ind%20Eng%20Che%20Res40,%203775.pdf" TargetMode="External"/><Relationship Id="rId1370" Type="http://schemas.openxmlformats.org/officeDocument/2006/relationships/hyperlink" Target="1986/Inf%20Pro%20Man22,%20251.pdf" TargetMode="External"/><Relationship Id="rId1829" Type="http://schemas.openxmlformats.org/officeDocument/2006/relationships/hyperlink" Target="2011/Int%20J%20Env%20Res%20Pub%20Hea8,%204550.pdf" TargetMode="External"/><Relationship Id="rId2007" Type="http://schemas.openxmlformats.org/officeDocument/2006/relationships/hyperlink" Target="2008/Int%20J%20Nur%20Stu45,%20626.pdf" TargetMode="External"/><Relationship Id="rId740" Type="http://schemas.openxmlformats.org/officeDocument/2006/relationships/hyperlink" Target="H/Hydrometallurgy59,%20101.pdf" TargetMode="External"/><Relationship Id="rId838" Type="http://schemas.openxmlformats.org/officeDocument/2006/relationships/hyperlink" Target="2009/IFLA%20J35,%20341.pdf" TargetMode="External"/><Relationship Id="rId1023" Type="http://schemas.openxmlformats.org/officeDocument/2006/relationships/hyperlink" Target="I/Ind%20Eng%20Che%20Fun10,%20328.pdf" TargetMode="External"/><Relationship Id="rId1468" Type="http://schemas.openxmlformats.org/officeDocument/2006/relationships/hyperlink" Target="2000/Inf%20Sci18,%20758.pdf" TargetMode="External"/><Relationship Id="rId1675" Type="http://schemas.openxmlformats.org/officeDocument/2006/relationships/hyperlink" Target="I/Int%20J%20Can83,%2077.pdf" TargetMode="External"/><Relationship Id="rId1882" Type="http://schemas.openxmlformats.org/officeDocument/2006/relationships/hyperlink" Target="1995/Int%20J%20Epi24,%201182.pdf" TargetMode="External"/><Relationship Id="rId172" Type="http://schemas.openxmlformats.org/officeDocument/2006/relationships/hyperlink" Target="2005/Fre%20Env%20Bul14,%201196.pdf" TargetMode="External"/><Relationship Id="rId477" Type="http://schemas.openxmlformats.org/officeDocument/2006/relationships/hyperlink" Target="G/Glo%20Nes%20Int%20J1,%20143.pdf" TargetMode="External"/><Relationship Id="rId600" Type="http://schemas.openxmlformats.org/officeDocument/2006/relationships/hyperlink" Target="2010/Hea%20Tec%20Ass14-39,%201.pdf" TargetMode="External"/><Relationship Id="rId684" Type="http://schemas.openxmlformats.org/officeDocument/2006/relationships/hyperlink" Target="2008/Hum%20Com%20Res34,%20505.pdf" TargetMode="External"/><Relationship Id="rId1230" Type="http://schemas.openxmlformats.org/officeDocument/2006/relationships/hyperlink" Target="2005/Ind%20Eng%20Che%20Res44,%201942.pdf" TargetMode="External"/><Relationship Id="rId1328" Type="http://schemas.openxmlformats.org/officeDocument/2006/relationships/hyperlink" Target="2011/Ind%20Eng%20Che%20Res50,%202800.pdf" TargetMode="External"/><Relationship Id="rId1535" Type="http://schemas.openxmlformats.org/officeDocument/2006/relationships/hyperlink" Target="http://www.scielo.org.ve/scielo.php?pid=0378-1844&amp;script=sci_serial" TargetMode="External"/><Relationship Id="rId2060" Type="http://schemas.openxmlformats.org/officeDocument/2006/relationships/hyperlink" Target="2009/Int%20J%20Qua%20Hea%20Car21,%20153.pdf" TargetMode="External"/><Relationship Id="rId2158" Type="http://schemas.openxmlformats.org/officeDocument/2006/relationships/hyperlink" Target="1988/ISIS79,%20606.pdf" TargetMode="External"/><Relationship Id="rId337" Type="http://schemas.openxmlformats.org/officeDocument/2006/relationships/hyperlink" Target="http://sdos.ejournal.ascc.net/cgi-bin/sciserv.pl?collection=journals&amp;journal=01638343" TargetMode="External"/><Relationship Id="rId891" Type="http://schemas.openxmlformats.org/officeDocument/2006/relationships/hyperlink" Target="2007/Ind%20J%20Che%20Tec14,%20350.pdf" TargetMode="External"/><Relationship Id="rId905" Type="http://schemas.openxmlformats.org/officeDocument/2006/relationships/hyperlink" Target="2008/Ind%20J%20Che%20Tec15,%20349.pdf" TargetMode="External"/><Relationship Id="rId989" Type="http://schemas.openxmlformats.org/officeDocument/2006/relationships/hyperlink" Target="I/Ind%20Eng%20Che44,%20383.pdf" TargetMode="External"/><Relationship Id="rId1742" Type="http://schemas.openxmlformats.org/officeDocument/2006/relationships/hyperlink" Target="I/Int%20J%20Env%20Pol15,%20528.pdf" TargetMode="External"/><Relationship Id="rId2018" Type="http://schemas.openxmlformats.org/officeDocument/2006/relationships/hyperlink" Target="2011/Int%20J%20Oph4,%201.docx" TargetMode="External"/><Relationship Id="rId34" Type="http://schemas.openxmlformats.org/officeDocument/2006/relationships/hyperlink" Target="http://www.sciencedirect.com/science?_ob=JournalURL&amp;_cdi=4929&amp;_auth=y&amp;_acct=C000050221&amp;_version=1&amp;_urlVersion=0&amp;_userid=10&amp;md5=cfc39ccbc66ce70127b3f5b2414d4b5c" TargetMode="External"/><Relationship Id="rId544" Type="http://schemas.openxmlformats.org/officeDocument/2006/relationships/hyperlink" Target="2003/Hea%20Eco12,%20403.pdf" TargetMode="External"/><Relationship Id="rId751" Type="http://schemas.openxmlformats.org/officeDocument/2006/relationships/hyperlink" Target="H/Hydrometallurgy62,%20107.pdf" TargetMode="External"/><Relationship Id="rId849" Type="http://schemas.openxmlformats.org/officeDocument/2006/relationships/hyperlink" Target="I/Ind%20J%20Che%20Tec4,%20217.pdf" TargetMode="External"/><Relationship Id="rId1174" Type="http://schemas.openxmlformats.org/officeDocument/2006/relationships/hyperlink" Target="PDF-Ref/Ind%20Eng%20Che%20Res41,%20180.pdf" TargetMode="External"/><Relationship Id="rId1381" Type="http://schemas.openxmlformats.org/officeDocument/2006/relationships/hyperlink" Target="1990/Inf%20Pro%20Man26,%20655.pdf" TargetMode="External"/><Relationship Id="rId1479" Type="http://schemas.openxmlformats.org/officeDocument/2006/relationships/hyperlink" Target="2006/Inf%20Sci24,%201269.pdf" TargetMode="External"/><Relationship Id="rId1602" Type="http://schemas.openxmlformats.org/officeDocument/2006/relationships/hyperlink" Target="I/Int%20Com%20Hea%20Mas%20Tra20,%20535.pdf" TargetMode="External"/><Relationship Id="rId1686" Type="http://schemas.openxmlformats.org/officeDocument/2006/relationships/hyperlink" Target="http://www3.interscience.wiley.com/cgi-bin/jhome/109569276" TargetMode="External"/><Relationship Id="rId183" Type="http://schemas.openxmlformats.org/officeDocument/2006/relationships/hyperlink" Target="2009/Fre%20Env%20Bul18,%201681.pdf" TargetMode="External"/><Relationship Id="rId390" Type="http://schemas.openxmlformats.org/officeDocument/2006/relationships/hyperlink" Target="G/Geo%20Cos%20Act68,%202437.pdf" TargetMode="External"/><Relationship Id="rId404" Type="http://schemas.openxmlformats.org/officeDocument/2006/relationships/hyperlink" Target="G/Geoderma15,%20231.pdf" TargetMode="External"/><Relationship Id="rId611" Type="http://schemas.openxmlformats.org/officeDocument/2006/relationships/hyperlink" Target="2011/Hea%20Tec%20Ass15-31,%201.pdf" TargetMode="External"/><Relationship Id="rId1034" Type="http://schemas.openxmlformats.org/officeDocument/2006/relationships/hyperlink" Target="1983/Ind%20Eng%20Che%20Fun22,%20167.pdf" TargetMode="External"/><Relationship Id="rId1241" Type="http://schemas.openxmlformats.org/officeDocument/2006/relationships/hyperlink" Target="2006/Ind%20Eng%20Che%20Res45,%201113.pdf" TargetMode="External"/><Relationship Id="rId1339" Type="http://schemas.openxmlformats.org/officeDocument/2006/relationships/hyperlink" Target="2012/Ind%20Eng%20Che%20Res51,%20285.pdf" TargetMode="External"/><Relationship Id="rId1893" Type="http://schemas.openxmlformats.org/officeDocument/2006/relationships/hyperlink" Target="2002/Int%20J%20Epi31,%20150.pdf" TargetMode="External"/><Relationship Id="rId1907" Type="http://schemas.openxmlformats.org/officeDocument/2006/relationships/hyperlink" Target="I/Int%20J%20Foo%20Mic28,%20101.pdf" TargetMode="External"/><Relationship Id="rId2071" Type="http://schemas.openxmlformats.org/officeDocument/2006/relationships/hyperlink" Target="http://sdos.ejournal.ascc.net/cgi-bin/sciserv.pl?collection=journals&amp;journal=01678116" TargetMode="External"/><Relationship Id="rId250" Type="http://schemas.openxmlformats.org/officeDocument/2006/relationships/hyperlink" Target="2009/Fuel89,%20365.pdf" TargetMode="External"/><Relationship Id="rId488" Type="http://schemas.openxmlformats.org/officeDocument/2006/relationships/hyperlink" Target="file:///F:/Bibliometric%20References/2011/Glo%20Pla%20Cha-Li1.pdf" TargetMode="External"/><Relationship Id="rId695" Type="http://schemas.openxmlformats.org/officeDocument/2006/relationships/hyperlink" Target="2010/Hum%20Res%20Hea8,%208.pdf" TargetMode="External"/><Relationship Id="rId709" Type="http://schemas.openxmlformats.org/officeDocument/2006/relationships/hyperlink" Target="2003/Hyd%20Sci%20J-J%20Sci%20Hyd46,%20419.pdf" TargetMode="External"/><Relationship Id="rId916" Type="http://schemas.openxmlformats.org/officeDocument/2006/relationships/hyperlink" Target="2009/Ind%20J%20Che%20Tec16,%20136.pdf" TargetMode="External"/><Relationship Id="rId1101" Type="http://schemas.openxmlformats.org/officeDocument/2006/relationships/hyperlink" Target="I/Ind%20Eng%20Che%20Res36,%205545.pdf" TargetMode="External"/><Relationship Id="rId1546" Type="http://schemas.openxmlformats.org/officeDocument/2006/relationships/hyperlink" Target="2009/Interciencia34,%20140.pdf" TargetMode="External"/><Relationship Id="rId1753" Type="http://schemas.openxmlformats.org/officeDocument/2006/relationships/hyperlink" Target="I/Int%20J%20Env%20Pol22,%20732.pdf" TargetMode="External"/><Relationship Id="rId1960" Type="http://schemas.openxmlformats.org/officeDocument/2006/relationships/hyperlink" Target="I/Int%20J%20Man%20Rev4,%20179.pdf" TargetMode="External"/><Relationship Id="rId2169" Type="http://schemas.openxmlformats.org/officeDocument/2006/relationships/hyperlink" Target="2000/Iss%20Stu36,%2061.pdf" TargetMode="External"/><Relationship Id="rId45" Type="http://schemas.openxmlformats.org/officeDocument/2006/relationships/hyperlink" Target="F/FEMS%20Mic%20Rev23,%20527.pdf" TargetMode="External"/><Relationship Id="rId110" Type="http://schemas.openxmlformats.org/officeDocument/2006/relationships/hyperlink" Target="2011/Foo%20Res%20Int44,%201238.pdf" TargetMode="External"/><Relationship Id="rId348" Type="http://schemas.openxmlformats.org/officeDocument/2006/relationships/hyperlink" Target="1960-80/Geo%20Cos%20Act44,%201701.pdf" TargetMode="External"/><Relationship Id="rId555" Type="http://schemas.openxmlformats.org/officeDocument/2006/relationships/hyperlink" Target="H/Hea%20Inf%20Lib%20J18,%2091.pdf" TargetMode="External"/><Relationship Id="rId762" Type="http://schemas.openxmlformats.org/officeDocument/2006/relationships/hyperlink" Target="H/Hydrometallurgy70,%20101.pdf" TargetMode="External"/><Relationship Id="rId1185" Type="http://schemas.openxmlformats.org/officeDocument/2006/relationships/hyperlink" Target="I/Ind%20&amp;%20Eng%20Che%20Res41,%205491.pdf" TargetMode="External"/><Relationship Id="rId1392" Type="http://schemas.openxmlformats.org/officeDocument/2006/relationships/hyperlink" Target="1995/Inf%20Pro%20Man31,%20499.pdf" TargetMode="External"/><Relationship Id="rId1406" Type="http://schemas.openxmlformats.org/officeDocument/2006/relationships/hyperlink" Target="2003/Inf%20Pro%20Man39,%20639.pdf" TargetMode="External"/><Relationship Id="rId1613" Type="http://schemas.openxmlformats.org/officeDocument/2006/relationships/hyperlink" Target="1960-80/Int%20For%20Inf%20Doc1,%2019.pdf" TargetMode="External"/><Relationship Id="rId1820" Type="http://schemas.openxmlformats.org/officeDocument/2006/relationships/hyperlink" Target="2010/Int%20J%20Env%20Res4,%20427.pdf" TargetMode="External"/><Relationship Id="rId2029" Type="http://schemas.openxmlformats.org/officeDocument/2006/relationships/hyperlink" Target="2011/Int%20J%20Pha7,%20161.pdf" TargetMode="External"/><Relationship Id="rId194" Type="http://schemas.openxmlformats.org/officeDocument/2006/relationships/hyperlink" Target="2011/Fre%20Env%20Bul20,%20219.pdf" TargetMode="External"/><Relationship Id="rId208" Type="http://schemas.openxmlformats.org/officeDocument/2006/relationships/hyperlink" Target="F/Fre%20J%20Ana%20Che368,%20638.pdf" TargetMode="External"/><Relationship Id="rId415" Type="http://schemas.openxmlformats.org/officeDocument/2006/relationships/hyperlink" Target="G/Geoderma95,%20247.pdf" TargetMode="External"/><Relationship Id="rId622" Type="http://schemas.openxmlformats.org/officeDocument/2006/relationships/hyperlink" Target="2009/Heavy%20Metals%20in%20the%20Environment%20Index.pdf" TargetMode="External"/><Relationship Id="rId1045" Type="http://schemas.openxmlformats.org/officeDocument/2006/relationships/hyperlink" Target="1960-80/Ind%20Eng%20Che%20Pro%20Des%20Dev14,%20204.pdf" TargetMode="External"/><Relationship Id="rId1252" Type="http://schemas.openxmlformats.org/officeDocument/2006/relationships/hyperlink" Target="2006/Ind%20Eng%20Che%20Res45,%205920.pdf" TargetMode="External"/><Relationship Id="rId1697" Type="http://schemas.openxmlformats.org/officeDocument/2006/relationships/hyperlink" Target="2010/Int%20J%20Che%20Rea%20Eng8,%20A138.pdf" TargetMode="External"/><Relationship Id="rId1918" Type="http://schemas.openxmlformats.org/officeDocument/2006/relationships/hyperlink" Target="http://ovidsp.tx.ovid.com/sp-2.3.1b/ovidweb.cgi?QS2=434f4e1a73d37e8c01e9bb09ab15b39240ab4e8d8141bc6abe2090a0a7667ebc46855b6b4e6532689baf9303fab4afcbfd4359d57741daa8ae4298e6cf2d842c85e341bf292c63221a0b7afb6ce69c078e24831e585d25b492ac00bb9157e4c1538eca2c3825" TargetMode="External"/><Relationship Id="rId2082" Type="http://schemas.openxmlformats.org/officeDocument/2006/relationships/hyperlink" Target="2003/Int%20J%20Tec%20Ass%20Hea%20Car19,%20711.pdf" TargetMode="External"/><Relationship Id="rId261" Type="http://schemas.openxmlformats.org/officeDocument/2006/relationships/hyperlink" Target="F/Fue%20Pro%20Tec47,%2079.pdf" TargetMode="External"/><Relationship Id="rId499" Type="http://schemas.openxmlformats.org/officeDocument/2006/relationships/hyperlink" Target="1991/Gro%20Wat29,%20199.pdf" TargetMode="External"/><Relationship Id="rId927" Type="http://schemas.openxmlformats.org/officeDocument/2006/relationships/hyperlink" Target="2009/Ind%20J%20Che%20Tec16,%20471.pdf" TargetMode="External"/><Relationship Id="rId1112" Type="http://schemas.openxmlformats.org/officeDocument/2006/relationships/hyperlink" Target="I/Ind%20Eng%20Che%20Res37,%204296.pdf" TargetMode="External"/><Relationship Id="rId1557" Type="http://schemas.openxmlformats.org/officeDocument/2006/relationships/hyperlink" Target="http://www.jstage.jst.go.jp/browse/internalmedicine/_vols" TargetMode="External"/><Relationship Id="rId1764" Type="http://schemas.openxmlformats.org/officeDocument/2006/relationships/hyperlink" Target="2008/Int%20J%20Env%20Pol34,%20111.pdf" TargetMode="External"/><Relationship Id="rId1971" Type="http://schemas.openxmlformats.org/officeDocument/2006/relationships/hyperlink" Target="http://www.sciencedirect.com/science/journal/14384221" TargetMode="External"/><Relationship Id="rId56" Type="http://schemas.openxmlformats.org/officeDocument/2006/relationships/hyperlink" Target="2009/Fib%20Pol10,%20481.pdf" TargetMode="External"/><Relationship Id="rId359" Type="http://schemas.openxmlformats.org/officeDocument/2006/relationships/hyperlink" Target="G/Geo%20Cos%20Act60,%20387.pdf" TargetMode="External"/><Relationship Id="rId566" Type="http://schemas.openxmlformats.org/officeDocument/2006/relationships/hyperlink" Target="2005/Hea%20Med%20Rec%20Pra2,%2045.pdf" TargetMode="External"/><Relationship Id="rId773" Type="http://schemas.openxmlformats.org/officeDocument/2006/relationships/hyperlink" Target="H/Hydrometallurgy73,%201.pdf" TargetMode="External"/><Relationship Id="rId1196" Type="http://schemas.openxmlformats.org/officeDocument/2006/relationships/hyperlink" Target="I/Ind%20Eng%20Che%20Res42,%205559.pdf" TargetMode="External"/><Relationship Id="rId1417" Type="http://schemas.openxmlformats.org/officeDocument/2006/relationships/hyperlink" Target="2005/Inf%20Pro%20Man41,%201387.pdf" TargetMode="External"/><Relationship Id="rId1624" Type="http://schemas.openxmlformats.org/officeDocument/2006/relationships/hyperlink" Target="I/Int%20Inf%20Lib%20Rev34,%2021.pdf" TargetMode="External"/><Relationship Id="rId1831" Type="http://schemas.openxmlformats.org/officeDocument/2006/relationships/hyperlink" Target="http://www.ijest.org/" TargetMode="External"/><Relationship Id="rId121" Type="http://schemas.openxmlformats.org/officeDocument/2006/relationships/hyperlink" Target="2007/For%20Pol%20Eco10,%201.pdf" TargetMode="External"/><Relationship Id="rId219" Type="http://schemas.openxmlformats.org/officeDocument/2006/relationships/hyperlink" Target="2009/Fro%20Env%20Sci%20Eng%20Chi,%203,%20434.pdf" TargetMode="External"/><Relationship Id="rId426" Type="http://schemas.openxmlformats.org/officeDocument/2006/relationships/hyperlink" Target="2011/Geoderma164,%20215.pdf" TargetMode="External"/><Relationship Id="rId633" Type="http://schemas.openxmlformats.org/officeDocument/2006/relationships/hyperlink" Target="2011/Hem%20Ind65,%20123.pdf" TargetMode="External"/><Relationship Id="rId980" Type="http://schemas.openxmlformats.org/officeDocument/2006/relationships/hyperlink" Target="-1959/Ind%20Eng%20Che16,%201186.pdf" TargetMode="External"/><Relationship Id="rId1056" Type="http://schemas.openxmlformats.org/officeDocument/2006/relationships/hyperlink" Target="1984/Ind%20Eng%20Che%20Pro%20Res%20Dev23,%20168.pdf" TargetMode="External"/><Relationship Id="rId1263" Type="http://schemas.openxmlformats.org/officeDocument/2006/relationships/hyperlink" Target="2007/Ind%20Eng%20Che%20Res46,%202834.pdf" TargetMode="External"/><Relationship Id="rId1929" Type="http://schemas.openxmlformats.org/officeDocument/2006/relationships/hyperlink" Target="2006/Int%20J%20Hum-Com%20Stu64,%20420.pdf" TargetMode="External"/><Relationship Id="rId2093" Type="http://schemas.openxmlformats.org/officeDocument/2006/relationships/hyperlink" Target="I/Int%20Lib%20Rev19,%20401.pdf" TargetMode="External"/><Relationship Id="rId2107" Type="http://schemas.openxmlformats.org/officeDocument/2006/relationships/hyperlink" Target="2009/Int%20Psy21,%20265.pdf" TargetMode="External"/><Relationship Id="rId840" Type="http://schemas.openxmlformats.org/officeDocument/2006/relationships/hyperlink" Target="2008/Imp%20Sci3,%2049.pdf" TargetMode="External"/><Relationship Id="rId938" Type="http://schemas.openxmlformats.org/officeDocument/2006/relationships/hyperlink" Target="2011/Ind%20J%20Che%20Tec18,%20188.pdf" TargetMode="External"/><Relationship Id="rId1470" Type="http://schemas.openxmlformats.org/officeDocument/2006/relationships/hyperlink" Target="2001/Inf%20Sci19,%20884.pdf" TargetMode="External"/><Relationship Id="rId1568" Type="http://schemas.openxmlformats.org/officeDocument/2006/relationships/hyperlink" Target="I/Int%20Arc%20Occ%20Env%20Hea71,%20125.pdf" TargetMode="External"/><Relationship Id="rId1775" Type="http://schemas.openxmlformats.org/officeDocument/2006/relationships/hyperlink" Target="2008/Int%20J%20Env%20Pol34,%20275.pdf" TargetMode="External"/><Relationship Id="rId67" Type="http://schemas.openxmlformats.org/officeDocument/2006/relationships/hyperlink" Target="2004/Fin%20Man33,%20133.pdf" TargetMode="External"/><Relationship Id="rId272" Type="http://schemas.openxmlformats.org/officeDocument/2006/relationships/hyperlink" Target="2010/Ful%20Nan%20Car%20Nan18,%20285.pdf" TargetMode="External"/><Relationship Id="rId577" Type="http://schemas.openxmlformats.org/officeDocument/2006/relationships/hyperlink" Target="2008/Hea%20Res%20Pol%20Sys6,%206.pdf" TargetMode="External"/><Relationship Id="rId700" Type="http://schemas.openxmlformats.org/officeDocument/2006/relationships/hyperlink" Target="1996/Hydrobiologia324,%20117.pdf" TargetMode="External"/><Relationship Id="rId1123" Type="http://schemas.openxmlformats.org/officeDocument/2006/relationships/hyperlink" Target="I/Ind%20Eng%20Che%20Res39,%20161.pdf" TargetMode="External"/><Relationship Id="rId1330" Type="http://schemas.openxmlformats.org/officeDocument/2006/relationships/hyperlink" Target="2011/Ind%20Eng%20Che%20Res50,%204217.pdf" TargetMode="External"/><Relationship Id="rId1428" Type="http://schemas.openxmlformats.org/officeDocument/2006/relationships/hyperlink" Target="2006/Inf%20Pro%20Man42,%201614.pdf" TargetMode="External"/><Relationship Id="rId1635" Type="http://schemas.openxmlformats.org/officeDocument/2006/relationships/hyperlink" Target="http://www.springerlink.com/content/g1534555k303/" TargetMode="External"/><Relationship Id="rId1982" Type="http://schemas.openxmlformats.org/officeDocument/2006/relationships/hyperlink" Target="I/Int%20J%20Min%20Pro62,%20111.pdf" TargetMode="External"/><Relationship Id="rId2160" Type="http://schemas.openxmlformats.org/officeDocument/2006/relationships/hyperlink" Target="1999/Isis90,%20387.pdf" TargetMode="External"/><Relationship Id="rId132" Type="http://schemas.openxmlformats.org/officeDocument/2006/relationships/hyperlink" Target="2001/Fre%20Env%20Bul10,%20267.pdf" TargetMode="External"/><Relationship Id="rId784" Type="http://schemas.openxmlformats.org/officeDocument/2006/relationships/hyperlink" Target="2005/Hydrometallurgy79,%20182.pdf" TargetMode="External"/><Relationship Id="rId991" Type="http://schemas.openxmlformats.org/officeDocument/2006/relationships/hyperlink" Target="I/Ind%20Eng%20Che44,%201698.pdf" TargetMode="External"/><Relationship Id="rId1067" Type="http://schemas.openxmlformats.org/officeDocument/2006/relationships/hyperlink" Target="I/Ind%20Eng%20Che%20Res29,%20282.pdf" TargetMode="External"/><Relationship Id="rId1842" Type="http://schemas.openxmlformats.org/officeDocument/2006/relationships/hyperlink" Target="2008/Int%20J%20Env%20Sci%20Tec5,%20161.pdf" TargetMode="External"/><Relationship Id="rId2020" Type="http://schemas.openxmlformats.org/officeDocument/2006/relationships/hyperlink" Target="2010/Int%20J%20Ost20,%20192.pdf" TargetMode="External"/><Relationship Id="rId437" Type="http://schemas.openxmlformats.org/officeDocument/2006/relationships/hyperlink" Target="http://www.gsajournals.org/gsaonline/?request=get-archive&amp;issn=0091-7613" TargetMode="External"/><Relationship Id="rId644" Type="http://schemas.openxmlformats.org/officeDocument/2006/relationships/hyperlink" Target="http://www.springerlink.com/content/102901/?p=de1721714348430da6cce10a18c24685&amp;pi=0" TargetMode="External"/><Relationship Id="rId851" Type="http://schemas.openxmlformats.org/officeDocument/2006/relationships/hyperlink" Target="2004/Ind%20J%20Che%20Tec11,%2042.pdf" TargetMode="External"/><Relationship Id="rId1274" Type="http://schemas.openxmlformats.org/officeDocument/2006/relationships/hyperlink" Target="2008/Ind%20Eng%20Che%20Res47,%20980.pdf" TargetMode="External"/><Relationship Id="rId1481" Type="http://schemas.openxmlformats.org/officeDocument/2006/relationships/hyperlink" Target="2007/Inf%20Sci177,%203539.pdf" TargetMode="External"/><Relationship Id="rId1579" Type="http://schemas.openxmlformats.org/officeDocument/2006/relationships/hyperlink" Target="I/Int%20Bio%20Bio37,%20241.pdf" TargetMode="External"/><Relationship Id="rId1702" Type="http://schemas.openxmlformats.org/officeDocument/2006/relationships/hyperlink" Target="2011/Int%20J%20Che%20Rea%20Eng9,%20A93.pdf" TargetMode="External"/><Relationship Id="rId2118" Type="http://schemas.openxmlformats.org/officeDocument/2006/relationships/hyperlink" Target="http://ras.sagepub.com/content/by/year" TargetMode="External"/><Relationship Id="rId283" Type="http://schemas.openxmlformats.org/officeDocument/2006/relationships/hyperlink" Target="2008/Fun%20Cli%20Pha22,%2017.pdf" TargetMode="External"/><Relationship Id="rId490" Type="http://schemas.openxmlformats.org/officeDocument/2006/relationships/hyperlink" Target="http://www.sciencedirect.com/science?_ob=JournalURL&amp;_cdi=6542&amp;_auth=y&amp;_acct=C000011279&amp;_version=1&amp;_urlVersion=0&amp;_userid=1134284&amp;md5=9d8a45e59b84ede19aa666aa33ba7359" TargetMode="External"/><Relationship Id="rId504" Type="http://schemas.openxmlformats.org/officeDocument/2006/relationships/hyperlink" Target="2002/Gro%20Wat40,%20317.pdf" TargetMode="External"/><Relationship Id="rId711" Type="http://schemas.openxmlformats.org/officeDocument/2006/relationships/hyperlink" Target="2007/Hyd%20Ear%20Sys%20Sci11,%201633.pdf" TargetMode="External"/><Relationship Id="rId949" Type="http://schemas.openxmlformats.org/officeDocument/2006/relationships/hyperlink" Target="I/Ind%20J%20Env%20Hea30,%20376.pdf" TargetMode="External"/><Relationship Id="rId1134" Type="http://schemas.openxmlformats.org/officeDocument/2006/relationships/hyperlink" Target="I/Ind%20Eng%20Che%20Res39,%202214.pdf" TargetMode="External"/><Relationship Id="rId1341" Type="http://schemas.openxmlformats.org/officeDocument/2006/relationships/hyperlink" Target="1994/Ind%20Hea32,%20207.pdf" TargetMode="External"/><Relationship Id="rId1786" Type="http://schemas.openxmlformats.org/officeDocument/2006/relationships/hyperlink" Target="2008/Int%20J%20Env%20Pol34,%20427.pdf" TargetMode="External"/><Relationship Id="rId1993" Type="http://schemas.openxmlformats.org/officeDocument/2006/relationships/hyperlink" Target="2011/Int%20J%20Min%20Pro101,%2081.pdf" TargetMode="External"/><Relationship Id="rId2171" Type="http://schemas.openxmlformats.org/officeDocument/2006/relationships/hyperlink" Target="1995/Ita%20J%20Neu%20Sci16,%20473.pdf" TargetMode="External"/><Relationship Id="rId78" Type="http://schemas.openxmlformats.org/officeDocument/2006/relationships/hyperlink" Target="F/Foo%20Che%20Tox28,%20205.pdf" TargetMode="External"/><Relationship Id="rId143" Type="http://schemas.openxmlformats.org/officeDocument/2006/relationships/hyperlink" Target="2003/Fre%20Env%20Bul12,%20797.pdf" TargetMode="External"/><Relationship Id="rId350" Type="http://schemas.openxmlformats.org/officeDocument/2006/relationships/hyperlink" Target="G/Geo%20Cos%20Act46,%201253.pdf" TargetMode="External"/><Relationship Id="rId588" Type="http://schemas.openxmlformats.org/officeDocument/2006/relationships/hyperlink" Target="2009/Hea%20Tec%20Ass13-41,%201.pdf" TargetMode="External"/><Relationship Id="rId795" Type="http://schemas.openxmlformats.org/officeDocument/2006/relationships/hyperlink" Target="2007/Hydrometallurgy89,%2072.pdf" TargetMode="External"/><Relationship Id="rId809" Type="http://schemas.openxmlformats.org/officeDocument/2006/relationships/hyperlink" Target="2000/Hyp%20Int126,%2089.pdf" TargetMode="External"/><Relationship Id="rId1201" Type="http://schemas.openxmlformats.org/officeDocument/2006/relationships/hyperlink" Target="I/Ind%20Eng%20Che%20Res43,%201512.pdf" TargetMode="External"/><Relationship Id="rId1439" Type="http://schemas.openxmlformats.org/officeDocument/2006/relationships/hyperlink" Target="2009/Inf%20Pro%20Man45,%20288.pdf" TargetMode="External"/><Relationship Id="rId1646" Type="http://schemas.openxmlformats.org/officeDocument/2006/relationships/hyperlink" Target="I/Int%20J%20Bio%20Mac27,%2099.pdf" TargetMode="External"/><Relationship Id="rId1853" Type="http://schemas.openxmlformats.org/officeDocument/2006/relationships/hyperlink" Target="2009/Int%20J%20Env%20Sci%20Tec6,%20425.pdf" TargetMode="External"/><Relationship Id="rId2031" Type="http://schemas.openxmlformats.org/officeDocument/2006/relationships/hyperlink" Target="2006/Int%20J%20Phi%20Stu14,%20505.pdf" TargetMode="External"/><Relationship Id="rId9" Type="http://schemas.openxmlformats.org/officeDocument/2006/relationships/footer" Target="footer1.xml"/><Relationship Id="rId210" Type="http://schemas.openxmlformats.org/officeDocument/2006/relationships/hyperlink" Target="http://www3.interscience.wiley.com/journal/117962093/home" TargetMode="External"/><Relationship Id="rId448" Type="http://schemas.openxmlformats.org/officeDocument/2006/relationships/hyperlink" Target="1995/Geo%20Res%20Let22,%20101.pdf" TargetMode="External"/><Relationship Id="rId655" Type="http://schemas.openxmlformats.org/officeDocument/2006/relationships/hyperlink" Target="2002/Hig%20Edu%20Eur27,%20389.pdf" TargetMode="External"/><Relationship Id="rId862" Type="http://schemas.openxmlformats.org/officeDocument/2006/relationships/hyperlink" Target="2005/Ind%20J%20Che%20Tec12,%20156.pdf" TargetMode="External"/><Relationship Id="rId1078" Type="http://schemas.openxmlformats.org/officeDocument/2006/relationships/hyperlink" Target="I/Ind%20Eng%20Che%20Res32,%202170.pdf" TargetMode="External"/><Relationship Id="rId1285" Type="http://schemas.openxmlformats.org/officeDocument/2006/relationships/hyperlink" Target="2008/Ind%20Eng%20Che%20Res47,%206175.pdf" TargetMode="External"/><Relationship Id="rId1492" Type="http://schemas.openxmlformats.org/officeDocument/2006/relationships/hyperlink" Target="2009/Inf%20Sof%20Tec51,%201.pdf" TargetMode="External"/><Relationship Id="rId1506" Type="http://schemas.openxmlformats.org/officeDocument/2006/relationships/hyperlink" Target="2009/Inf%20Stu%20The%20App32,%2053.pdf" TargetMode="External"/><Relationship Id="rId1713" Type="http://schemas.openxmlformats.org/officeDocument/2006/relationships/hyperlink" Target="I/Int%20J%20Coa%20Geo25,%20171.pdf" TargetMode="External"/><Relationship Id="rId1920" Type="http://schemas.openxmlformats.org/officeDocument/2006/relationships/hyperlink" Target="1991/Int%20J%20Gyn%20Obs36,%20233.pdf" TargetMode="External"/><Relationship Id="rId2129" Type="http://schemas.openxmlformats.org/officeDocument/2006/relationships/hyperlink" Target="http://idosi.org/ijee/online.htm" TargetMode="External"/><Relationship Id="rId294" Type="http://schemas.openxmlformats.org/officeDocument/2006/relationships/hyperlink" Target="http://www.sciencedirect.com/science/journal/02139111" TargetMode="External"/><Relationship Id="rId308" Type="http://schemas.openxmlformats.org/officeDocument/2006/relationships/hyperlink" Target="http://www.sciencedirect.com/science?_ob=JournalURL&amp;_cdi=6805&amp;_auth=y&amp;_acct=C000047720&amp;_version=1&amp;_urlVersion=0&amp;_userid=2007471&amp;md5=8d3c3b5711f89c17c46164e2750d5083" TargetMode="External"/><Relationship Id="rId515" Type="http://schemas.openxmlformats.org/officeDocument/2006/relationships/hyperlink" Target="http://www.springerlink.com/app/home/main.asp?wasp=cmw7ypruqk7vneg2dr2p" TargetMode="External"/><Relationship Id="rId722" Type="http://schemas.openxmlformats.org/officeDocument/2006/relationships/hyperlink" Target="H/Hydrometallurgy40,%2011.pdf" TargetMode="External"/><Relationship Id="rId1145" Type="http://schemas.openxmlformats.org/officeDocument/2006/relationships/hyperlink" Target="I/Ind%20Eng%20Che%20Res39,%203272.pdf" TargetMode="External"/><Relationship Id="rId1352" Type="http://schemas.openxmlformats.org/officeDocument/2006/relationships/hyperlink" Target="I/Inf%20Gen%20Evo3,%2083.pdf" TargetMode="External"/><Relationship Id="rId1797" Type="http://schemas.openxmlformats.org/officeDocument/2006/relationships/hyperlink" Target="2004/Int%20J%20Env%20Ana%20Che84,%20315.pdf" TargetMode="External"/><Relationship Id="rId89" Type="http://schemas.openxmlformats.org/officeDocument/2006/relationships/hyperlink" Target="F/Foo%20Che%20Tox38,%20S73.pdf" TargetMode="External"/><Relationship Id="rId154" Type="http://schemas.openxmlformats.org/officeDocument/2006/relationships/hyperlink" Target="2004/Fre%20Env%20Bul13,%20366.pdf" TargetMode="External"/><Relationship Id="rId361" Type="http://schemas.openxmlformats.org/officeDocument/2006/relationships/hyperlink" Target="G/Geo%20Cos%20Act60,%203399.pdf" TargetMode="External"/><Relationship Id="rId599" Type="http://schemas.openxmlformats.org/officeDocument/2006/relationships/hyperlink" Target="2010/Hea%20Tec%20Ass14-32,%201.pdf" TargetMode="External"/><Relationship Id="rId1005" Type="http://schemas.openxmlformats.org/officeDocument/2006/relationships/hyperlink" Target="I/Ind%20Eng%20Che44,%201922.pdf" TargetMode="External"/><Relationship Id="rId1212" Type="http://schemas.openxmlformats.org/officeDocument/2006/relationships/hyperlink" Target="2004/Ind%20Eng%20Che%20Res43,%202887.pdf" TargetMode="External"/><Relationship Id="rId1657" Type="http://schemas.openxmlformats.org/officeDocument/2006/relationships/hyperlink" Target="2006/Int%20J%20Bio%20Mac39,%20185.pdf" TargetMode="External"/><Relationship Id="rId1864" Type="http://schemas.openxmlformats.org/officeDocument/2006/relationships/hyperlink" Target="2010/Int%20J%20Env%20Sci%20Tec7,%20509.pdf" TargetMode="External"/><Relationship Id="rId2042" Type="http://schemas.openxmlformats.org/officeDocument/2006/relationships/hyperlink" Target="2010/Int%20J%20Phy%20Sci5,%20582.pdf" TargetMode="External"/><Relationship Id="rId459" Type="http://schemas.openxmlformats.org/officeDocument/2006/relationships/hyperlink" Target="1999/Geo%20Res%20Let26,%202561.pdf" TargetMode="External"/><Relationship Id="rId666" Type="http://schemas.openxmlformats.org/officeDocument/2006/relationships/hyperlink" Target="2011/His%20Psy14,%20383.pdf" TargetMode="External"/><Relationship Id="rId873" Type="http://schemas.openxmlformats.org/officeDocument/2006/relationships/hyperlink" Target="2005/Ind%20J%20Che%20Tec12,%20522.pdf" TargetMode="External"/><Relationship Id="rId1089" Type="http://schemas.openxmlformats.org/officeDocument/2006/relationships/hyperlink" Target="I/Ind%20Eng%20Che%20Res35,%201472.pdf" TargetMode="External"/><Relationship Id="rId1296" Type="http://schemas.openxmlformats.org/officeDocument/2006/relationships/hyperlink" Target="2009/Ind%20Eng%20Che%20Res48,%203595.pdf" TargetMode="External"/><Relationship Id="rId1517" Type="http://schemas.openxmlformats.org/officeDocument/2006/relationships/hyperlink" Target="2009/Inh%20Tox21,%20965.pdf" TargetMode="External"/><Relationship Id="rId1724" Type="http://schemas.openxmlformats.org/officeDocument/2006/relationships/hyperlink" Target="2010/Int%20J%20Col%20Dis25,%20161.pdf" TargetMode="External"/><Relationship Id="rId16" Type="http://schemas.openxmlformats.org/officeDocument/2006/relationships/hyperlink" Target="2007/Fam%20Bus%20Rev20,%20141.pdf" TargetMode="External"/><Relationship Id="rId221" Type="http://schemas.openxmlformats.org/officeDocument/2006/relationships/hyperlink" Target="2010/Fro%20Env%20Sci%20Eng%20Chi4,%20414.pdf" TargetMode="External"/><Relationship Id="rId319" Type="http://schemas.openxmlformats.org/officeDocument/2006/relationships/hyperlink" Target="http://www.sciencedirect.com/science?_ob=JournalURL&amp;_cdi=5244&amp;_auth=y&amp;_acct=C000011279&amp;_version=1&amp;_urlVersion=0&amp;_userid=1134284&amp;md5=b9c5e2caaca136dcdc06e1bba6c6a453" TargetMode="External"/><Relationship Id="rId526" Type="http://schemas.openxmlformats.org/officeDocument/2006/relationships/hyperlink" Target="http://www.sciencedirect.com/science/journal/15689883" TargetMode="External"/><Relationship Id="rId1156" Type="http://schemas.openxmlformats.org/officeDocument/2006/relationships/hyperlink" Target="I/Ind%20Eng%20Che%20Res40,%201406.pdf" TargetMode="External"/><Relationship Id="rId1363" Type="http://schemas.openxmlformats.org/officeDocument/2006/relationships/hyperlink" Target="1960-80/Inf%20Pro%20Man15,%20170.pdf" TargetMode="External"/><Relationship Id="rId1931" Type="http://schemas.openxmlformats.org/officeDocument/2006/relationships/hyperlink" Target="2010/Int%20J%20Hum-Com%20Stu68,%20183.pdf" TargetMode="External"/><Relationship Id="rId733" Type="http://schemas.openxmlformats.org/officeDocument/2006/relationships/hyperlink" Target="H/Hydrometallurgy49,%20213.pdf" TargetMode="External"/><Relationship Id="rId940" Type="http://schemas.openxmlformats.org/officeDocument/2006/relationships/hyperlink" Target="2011/Ind%20J%20Che%20Tec18,%20220.pdf" TargetMode="External"/><Relationship Id="rId1016" Type="http://schemas.openxmlformats.org/officeDocument/2006/relationships/hyperlink" Target="I/Ind%20Eng%20Che%20Fun7,%20274.pdf" TargetMode="External"/><Relationship Id="rId1570" Type="http://schemas.openxmlformats.org/officeDocument/2006/relationships/hyperlink" Target="I/Int%20Arc%20Occ%20Env%20Hea72,%20M8.pdf" TargetMode="External"/><Relationship Id="rId1668" Type="http://schemas.openxmlformats.org/officeDocument/2006/relationships/hyperlink" Target="1991/Int%20J%20Can48,%20182.pdf" TargetMode="External"/><Relationship Id="rId1875" Type="http://schemas.openxmlformats.org/officeDocument/2006/relationships/hyperlink" Target="2011/Int%20J%20Env%20Sci1,%201079.pdf" TargetMode="External"/><Relationship Id="rId165" Type="http://schemas.openxmlformats.org/officeDocument/2006/relationships/hyperlink" Target="2005/Fre%20Env%20Bul14,%20972.pdf" TargetMode="External"/><Relationship Id="rId372" Type="http://schemas.openxmlformats.org/officeDocument/2006/relationships/hyperlink" Target="G/Geo%20Cos%20Act63,%202903.pdf" TargetMode="External"/><Relationship Id="rId677" Type="http://schemas.openxmlformats.org/officeDocument/2006/relationships/hyperlink" Target="2011/Hor%20Met%20Res43,%20899.pdf" TargetMode="External"/><Relationship Id="rId800" Type="http://schemas.openxmlformats.org/officeDocument/2006/relationships/hyperlink" Target="2009/Hydrometallurgy97,%2046.pdf" TargetMode="External"/><Relationship Id="rId1223" Type="http://schemas.openxmlformats.org/officeDocument/2006/relationships/hyperlink" Target="I/Ind%20Eng%20Che%20Res43,%207513.pdf" TargetMode="External"/><Relationship Id="rId1430" Type="http://schemas.openxmlformats.org/officeDocument/2006/relationships/hyperlink" Target="2007/Inf%20Pro%20Man43,%20273.pdf" TargetMode="External"/><Relationship Id="rId1528" Type="http://schemas.openxmlformats.org/officeDocument/2006/relationships/hyperlink" Target="2009/Ino%20Chi%20Act362,%202222.pdf" TargetMode="External"/><Relationship Id="rId2053" Type="http://schemas.openxmlformats.org/officeDocument/2006/relationships/hyperlink" Target="2005/Int%20J%20Pro%20Man23,%20343.pdf" TargetMode="External"/><Relationship Id="rId232" Type="http://schemas.openxmlformats.org/officeDocument/2006/relationships/hyperlink" Target="F/Fuel70,%201143.pdf" TargetMode="External"/><Relationship Id="rId884" Type="http://schemas.openxmlformats.org/officeDocument/2006/relationships/hyperlink" Target="2006/Ind%20J%20Che%20Tec13,%20539.pdf" TargetMode="External"/><Relationship Id="rId1735" Type="http://schemas.openxmlformats.org/officeDocument/2006/relationships/hyperlink" Target="2009/Int%20J%20Ele%20Sci4,%20173.pdf" TargetMode="External"/><Relationship Id="rId1942" Type="http://schemas.openxmlformats.org/officeDocument/2006/relationships/hyperlink" Target="2000/Int%20J%20Inf%20Dis4,%201.pdf" TargetMode="External"/><Relationship Id="rId2120" Type="http://schemas.openxmlformats.org/officeDocument/2006/relationships/hyperlink" Target="2010/Int%20Stu%20Qua54,%20587.pdf" TargetMode="External"/><Relationship Id="rId27" Type="http://schemas.openxmlformats.org/officeDocument/2006/relationships/hyperlink" Target="2010/Fas%20J24,%204635.pdf" TargetMode="External"/><Relationship Id="rId537" Type="http://schemas.openxmlformats.org/officeDocument/2006/relationships/hyperlink" Target="2007/Health11,%20371.pdf" TargetMode="External"/><Relationship Id="rId744" Type="http://schemas.openxmlformats.org/officeDocument/2006/relationships/hyperlink" Target="H/Hydrometallurgy59,%20395.pdf" TargetMode="External"/><Relationship Id="rId951" Type="http://schemas.openxmlformats.org/officeDocument/2006/relationships/hyperlink" Target="I/Ind%20J%20Env%20Hea35,%20169.pdf" TargetMode="External"/><Relationship Id="rId1167" Type="http://schemas.openxmlformats.org/officeDocument/2006/relationships/hyperlink" Target="I/Ind%20Eng%20Che%20Res40,%204005.pdf" TargetMode="External"/><Relationship Id="rId1374" Type="http://schemas.openxmlformats.org/officeDocument/2006/relationships/hyperlink" Target="1988/Inf%20Pro%20Man24,%2039.pdf" TargetMode="External"/><Relationship Id="rId1581" Type="http://schemas.openxmlformats.org/officeDocument/2006/relationships/hyperlink" Target="I/Int%20Bio%20Bio38,%2019.pdf" TargetMode="External"/><Relationship Id="rId1679" Type="http://schemas.openxmlformats.org/officeDocument/2006/relationships/hyperlink" Target="http://www.sciencedirect.com/science/journal/01675273" TargetMode="External"/><Relationship Id="rId1802" Type="http://schemas.openxmlformats.org/officeDocument/2006/relationships/hyperlink" Target="2001/Int%20J%20Env%20Hea%20Res11,%20161.pdf" TargetMode="External"/><Relationship Id="rId80" Type="http://schemas.openxmlformats.org/officeDocument/2006/relationships/hyperlink" Target="1994/Foo%20Che%20Tox32,%20133.pdf" TargetMode="External"/><Relationship Id="rId176" Type="http://schemas.openxmlformats.org/officeDocument/2006/relationships/hyperlink" Target="2006/Fre%20Env%20Bul15,%20512.pdf" TargetMode="External"/><Relationship Id="rId383" Type="http://schemas.openxmlformats.org/officeDocument/2006/relationships/hyperlink" Target="G/Geo%20Cos%20Act65,%201025.pdf" TargetMode="External"/><Relationship Id="rId590" Type="http://schemas.openxmlformats.org/officeDocument/2006/relationships/hyperlink" Target="2009/Hea%20Tec%20Ass13-52,%201.pdf" TargetMode="External"/><Relationship Id="rId604" Type="http://schemas.openxmlformats.org/officeDocument/2006/relationships/hyperlink" Target="2010/Hea%20Tec%20Ass14-51,%201.pdf" TargetMode="External"/><Relationship Id="rId811" Type="http://schemas.openxmlformats.org/officeDocument/2006/relationships/hyperlink" Target="H/Hypertension25,%2053.pdf" TargetMode="External"/><Relationship Id="rId1027" Type="http://schemas.openxmlformats.org/officeDocument/2006/relationships/hyperlink" Target="I/Ind%20Eng%20Che%20Fun12,%20197.pdf" TargetMode="External"/><Relationship Id="rId1234" Type="http://schemas.openxmlformats.org/officeDocument/2006/relationships/hyperlink" Target="I/Ind%20Eng%20Che%20Res44,%202997.pdf" TargetMode="External"/><Relationship Id="rId1441" Type="http://schemas.openxmlformats.org/officeDocument/2006/relationships/hyperlink" Target="2009/Inf%20Pro%20Man45,%20683.pdf" TargetMode="External"/><Relationship Id="rId1886" Type="http://schemas.openxmlformats.org/officeDocument/2006/relationships/hyperlink" Target="I/Int%20J%20Epi26,%2024.pdf" TargetMode="External"/><Relationship Id="rId2064" Type="http://schemas.openxmlformats.org/officeDocument/2006/relationships/hyperlink" Target="2006/Int%20J%20Rad%20Onc%20Bio%20Phy66,%20S459.pdf" TargetMode="External"/><Relationship Id="rId243" Type="http://schemas.openxmlformats.org/officeDocument/2006/relationships/hyperlink" Target="2005/Fuel84,%20305.pdf" TargetMode="External"/><Relationship Id="rId450" Type="http://schemas.openxmlformats.org/officeDocument/2006/relationships/hyperlink" Target="1997/Geo%20Res%20Let24,%20775.pdf" TargetMode="External"/><Relationship Id="rId688" Type="http://schemas.openxmlformats.org/officeDocument/2006/relationships/hyperlink" Target="http://www.human-resources-health.com/articles/browse.asp" TargetMode="External"/><Relationship Id="rId895" Type="http://schemas.openxmlformats.org/officeDocument/2006/relationships/hyperlink" Target="2007/Ind%20J%20Che%20Tec14,%20507.pdf" TargetMode="External"/><Relationship Id="rId909" Type="http://schemas.openxmlformats.org/officeDocument/2006/relationships/hyperlink" Target="2008/Ind%20J%20Che%20Tec15,%20443.pdf" TargetMode="External"/><Relationship Id="rId1080" Type="http://schemas.openxmlformats.org/officeDocument/2006/relationships/hyperlink" Target="I/Ind%20Eng%20Che%20Res33,%20922.pdf" TargetMode="External"/><Relationship Id="rId1301" Type="http://schemas.openxmlformats.org/officeDocument/2006/relationships/hyperlink" Target="2009/Ind%20Eng%20Che%20Res48,%205920.pdf" TargetMode="External"/><Relationship Id="rId1539" Type="http://schemas.openxmlformats.org/officeDocument/2006/relationships/hyperlink" Target="2002/Interciencia27,%20347.pdf" TargetMode="External"/><Relationship Id="rId1746" Type="http://schemas.openxmlformats.org/officeDocument/2006/relationships/hyperlink" Target="I/Int%20J%20Env%20Pol19,%20160.pdf" TargetMode="External"/><Relationship Id="rId1953" Type="http://schemas.openxmlformats.org/officeDocument/2006/relationships/hyperlink" Target="2012/Int%20J%20Leg%20Med126,%20129.pdf" TargetMode="External"/><Relationship Id="rId2131" Type="http://schemas.openxmlformats.org/officeDocument/2006/relationships/hyperlink" Target="http://journals.tums.ac.ir/description.aspx?org_id=59&amp;culture_var=en&amp;journal_id=13&amp;segment=en" TargetMode="External"/><Relationship Id="rId38" Type="http://schemas.openxmlformats.org/officeDocument/2006/relationships/hyperlink" Target="F/FEMS%20Mic%20Let179,%20333.pdf" TargetMode="External"/><Relationship Id="rId103" Type="http://schemas.openxmlformats.org/officeDocument/2006/relationships/hyperlink" Target="2012/Foo%20Con23,%207.pdf" TargetMode="External"/><Relationship Id="rId310" Type="http://schemas.openxmlformats.org/officeDocument/2006/relationships/hyperlink" Target="2005/Gas%20adsorption%20Equilibria%20index.pdf" TargetMode="External"/><Relationship Id="rId548" Type="http://schemas.openxmlformats.org/officeDocument/2006/relationships/hyperlink" Target="2008/Hea%20Edu%20J67,%20285.pdf" TargetMode="External"/><Relationship Id="rId755" Type="http://schemas.openxmlformats.org/officeDocument/2006/relationships/hyperlink" Target="H/Hydrometallurgy65,%2043.pdf" TargetMode="External"/><Relationship Id="rId962" Type="http://schemas.openxmlformats.org/officeDocument/2006/relationships/hyperlink" Target="1998/Ind%20J%20Ped65,%20371.pdf" TargetMode="External"/><Relationship Id="rId1178" Type="http://schemas.openxmlformats.org/officeDocument/2006/relationships/hyperlink" Target="I/Ind%20Eng%20Che%20Res41,%201946.pdf" TargetMode="External"/><Relationship Id="rId1385" Type="http://schemas.openxmlformats.org/officeDocument/2006/relationships/hyperlink" Target="1992/Inf%20Pro%20Man28,%201.pdf" TargetMode="External"/><Relationship Id="rId1592" Type="http://schemas.openxmlformats.org/officeDocument/2006/relationships/hyperlink" Target="2009/Int%20Bio%20Bio63,%20782.pdf" TargetMode="External"/><Relationship Id="rId1606" Type="http://schemas.openxmlformats.org/officeDocument/2006/relationships/hyperlink" Target="2001/IEEE%20Tra%20Eng%20Man48,%20132.pdf" TargetMode="External"/><Relationship Id="rId1813" Type="http://schemas.openxmlformats.org/officeDocument/2006/relationships/hyperlink" Target="2009/Int%20J%20Env%20Res3,%20229.pdf" TargetMode="External"/><Relationship Id="rId91" Type="http://schemas.openxmlformats.org/officeDocument/2006/relationships/hyperlink" Target="F/Foo%20Che%20Tox38,%20S87.pdf" TargetMode="External"/><Relationship Id="rId187" Type="http://schemas.openxmlformats.org/officeDocument/2006/relationships/hyperlink" Target="2010/Fre%20Env%20Bul19,%202651.pdf" TargetMode="External"/><Relationship Id="rId394" Type="http://schemas.openxmlformats.org/officeDocument/2006/relationships/image" Target="media/image3.png"/><Relationship Id="rId408" Type="http://schemas.openxmlformats.org/officeDocument/2006/relationships/hyperlink" Target="1995/Geoderma67,%2055.pdf" TargetMode="External"/><Relationship Id="rId615" Type="http://schemas.openxmlformats.org/officeDocument/2006/relationships/hyperlink" Target="2009/Heart95,%201399.pdf" TargetMode="External"/><Relationship Id="rId822" Type="http://schemas.openxmlformats.org/officeDocument/2006/relationships/hyperlink" Target="2001/IEEE%20Tra%20Eng%20Man48,%20132.pdf" TargetMode="External"/><Relationship Id="rId1038" Type="http://schemas.openxmlformats.org/officeDocument/2006/relationships/hyperlink" Target="http://pubs.acs.org/journals/iecred/index.html" TargetMode="External"/><Relationship Id="rId1245" Type="http://schemas.openxmlformats.org/officeDocument/2006/relationships/hyperlink" Target="2006/Ind%20Eng%20Che%20Res45,%202715.pdf" TargetMode="External"/><Relationship Id="rId1452" Type="http://schemas.openxmlformats.org/officeDocument/2006/relationships/hyperlink" Target="http://informationr.net/ir/index.html" TargetMode="External"/><Relationship Id="rId1897" Type="http://schemas.openxmlformats.org/officeDocument/2006/relationships/hyperlink" Target="2009/Int%20J%20Epi38,%201532.pdf" TargetMode="External"/><Relationship Id="rId2075" Type="http://schemas.openxmlformats.org/officeDocument/2006/relationships/hyperlink" Target="I/Int%20J%20Spe%20Lib35,%20147.pdf" TargetMode="External"/><Relationship Id="rId254" Type="http://schemas.openxmlformats.org/officeDocument/2006/relationships/hyperlink" Target="F/Fue%20Ene%20Abs36,%20377.pdf" TargetMode="External"/><Relationship Id="rId699" Type="http://schemas.openxmlformats.org/officeDocument/2006/relationships/hyperlink" Target="1993/Hydrobiologia253,%20249.pdf" TargetMode="External"/><Relationship Id="rId1091" Type="http://schemas.openxmlformats.org/officeDocument/2006/relationships/hyperlink" Target="I/Ind%20Eng%20Che%20Res35,%203697.pdf" TargetMode="External"/><Relationship Id="rId1105" Type="http://schemas.openxmlformats.org/officeDocument/2006/relationships/hyperlink" Target="I/Ind%20Eng%20Che%20Res37,%20309.pdf" TargetMode="External"/><Relationship Id="rId1312" Type="http://schemas.openxmlformats.org/officeDocument/2006/relationships/hyperlink" Target="2010/Ind%20Eng%20Che%20Res49,%202388.pdf" TargetMode="External"/><Relationship Id="rId1757" Type="http://schemas.openxmlformats.org/officeDocument/2006/relationships/hyperlink" Target="2008/Int%20J%20Env%20Pol34,%2014.pdf" TargetMode="External"/><Relationship Id="rId1964" Type="http://schemas.openxmlformats.org/officeDocument/2006/relationships/hyperlink" Target="2005/Int%20J%20Med%20Inf74,%20745.pdf" TargetMode="External"/><Relationship Id="rId49" Type="http://schemas.openxmlformats.org/officeDocument/2006/relationships/hyperlink" Target="2002/Fer%20Ste77,%20883.pdf" TargetMode="External"/><Relationship Id="rId114" Type="http://schemas.openxmlformats.org/officeDocument/2006/relationships/hyperlink" Target="F/For%20Sci%20Int133,%201.pdf" TargetMode="External"/><Relationship Id="rId461" Type="http://schemas.openxmlformats.org/officeDocument/2006/relationships/hyperlink" Target="2004/Geo%20Res%20Let31,%20L24618.pdf" TargetMode="External"/><Relationship Id="rId559" Type="http://schemas.openxmlformats.org/officeDocument/2006/relationships/hyperlink" Target="2008/Hea%20Inf%20Lib%20J25,%2050.pdf" TargetMode="External"/><Relationship Id="rId766" Type="http://schemas.openxmlformats.org/officeDocument/2006/relationships/hyperlink" Target="H/Hydrometallurgy71,%20209.pdf" TargetMode="External"/><Relationship Id="rId1189" Type="http://schemas.openxmlformats.org/officeDocument/2006/relationships/hyperlink" Target="I/Ind%20Eng%20Che%20Res42,%2072.pdf" TargetMode="External"/><Relationship Id="rId1396" Type="http://schemas.openxmlformats.org/officeDocument/2006/relationships/hyperlink" Target="1997/Inf%20Pro%20Man33,%2091.pdf" TargetMode="External"/><Relationship Id="rId1617" Type="http://schemas.openxmlformats.org/officeDocument/2006/relationships/hyperlink" Target="I/Int%20Inf%20Lib%20Rev25,%2061.pdf" TargetMode="External"/><Relationship Id="rId1824" Type="http://schemas.openxmlformats.org/officeDocument/2006/relationships/hyperlink" Target="2012/Int%20J%20Env%20Res6,%20297.pdf" TargetMode="External"/><Relationship Id="rId2142" Type="http://schemas.openxmlformats.org/officeDocument/2006/relationships/hyperlink" Target="2007/Ira%20J%20Env%20Hea%20Sci%20Eng4,%20191.pdf" TargetMode="External"/><Relationship Id="rId198" Type="http://schemas.openxmlformats.org/officeDocument/2006/relationships/hyperlink" Target="2011/Fre%20Env%20Bul20,%201155.pdf" TargetMode="External"/><Relationship Id="rId321" Type="http://schemas.openxmlformats.org/officeDocument/2006/relationships/hyperlink" Target="G/Gas%20Sep%20Pur5,%2035.pdf" TargetMode="External"/><Relationship Id="rId419" Type="http://schemas.openxmlformats.org/officeDocument/2006/relationships/hyperlink" Target="G/Geoderma102,%20405.pdf" TargetMode="External"/><Relationship Id="rId626" Type="http://schemas.openxmlformats.org/officeDocument/2006/relationships/hyperlink" Target="http://www.blackwell-synergy.com/loi/hel" TargetMode="External"/><Relationship Id="rId973" Type="http://schemas.openxmlformats.org/officeDocument/2006/relationships/hyperlink" Target="2009/Ind%20Cro%20Pro29,%20336.pdf" TargetMode="External"/><Relationship Id="rId1049" Type="http://schemas.openxmlformats.org/officeDocument/2006/relationships/hyperlink" Target="I/Ind%20Eng%20Che%20Pro%20Des%20Dev21,%20197.pdf" TargetMode="External"/><Relationship Id="rId1256" Type="http://schemas.openxmlformats.org/officeDocument/2006/relationships/hyperlink" Target="2006/Ind%20Eng%20Che%20Res45,%207627.pdf" TargetMode="External"/><Relationship Id="rId2002" Type="http://schemas.openxmlformats.org/officeDocument/2006/relationships/hyperlink" Target="http://www.sciencedirect.com/science?_ob=PublicationURL&amp;_cdi=5067&amp;_pubType=J&amp;_auth=y&amp;_acct=C000053193&amp;_version=1&amp;_urlVersion=0&amp;_userid=1495547&amp;md5=ebc90476867c8fe0415dbaa5ff83c3fa" TargetMode="External"/><Relationship Id="rId2086" Type="http://schemas.openxmlformats.org/officeDocument/2006/relationships/hyperlink" Target="http://www.kluweronline.com/issn/0195-928X/" TargetMode="External"/><Relationship Id="rId833" Type="http://schemas.openxmlformats.org/officeDocument/2006/relationships/hyperlink" Target="2010/IEE%20Tra%20Pro%20Com53,%20317.pdf" TargetMode="External"/><Relationship Id="rId1116" Type="http://schemas.openxmlformats.org/officeDocument/2006/relationships/hyperlink" Target="I/Ind%20Eng%20Che%20Res38,%201411.pdf" TargetMode="External"/><Relationship Id="rId1463" Type="http://schemas.openxmlformats.org/officeDocument/2006/relationships/hyperlink" Target="2009/Inf%20Res14,%20406.pdf" TargetMode="External"/><Relationship Id="rId1670" Type="http://schemas.openxmlformats.org/officeDocument/2006/relationships/hyperlink" Target="1994/Int%20J%20CanS8,%2070.pdf" TargetMode="External"/><Relationship Id="rId1768" Type="http://schemas.openxmlformats.org/officeDocument/2006/relationships/hyperlink" Target="2008/Int%20J%20Env%20Pol34,%20164.pdf" TargetMode="External"/><Relationship Id="rId265" Type="http://schemas.openxmlformats.org/officeDocument/2006/relationships/hyperlink" Target="2003/Fue%20Pro%20Tec82,%2089.pdf" TargetMode="External"/><Relationship Id="rId472" Type="http://schemas.openxmlformats.org/officeDocument/2006/relationships/hyperlink" Target="2011/Glo%20Eco%20Bio20,%20789.pdf" TargetMode="External"/><Relationship Id="rId900" Type="http://schemas.openxmlformats.org/officeDocument/2006/relationships/hyperlink" Target="2008/Ind%20J%20Che%20Tec15,%20130.pdf" TargetMode="External"/><Relationship Id="rId1323" Type="http://schemas.openxmlformats.org/officeDocument/2006/relationships/hyperlink" Target="2010/Ind%20Eng%20Che%20Res49,%209238.pdf" TargetMode="External"/><Relationship Id="rId1530" Type="http://schemas.openxmlformats.org/officeDocument/2006/relationships/hyperlink" Target="2009/Intelligence37,%20443.pdf" TargetMode="External"/><Relationship Id="rId1628" Type="http://schemas.openxmlformats.org/officeDocument/2006/relationships/hyperlink" Target="I/Int%20Inf%20Lib%20Rev34,%20289.pdf" TargetMode="External"/><Relationship Id="rId1975" Type="http://schemas.openxmlformats.org/officeDocument/2006/relationships/image" Target="media/image7.wmf"/><Relationship Id="rId2153" Type="http://schemas.openxmlformats.org/officeDocument/2006/relationships/hyperlink" Target="2011/Ira%20J%20Env%20Hea%20Sci%20Eng8,%20181.pdf" TargetMode="External"/><Relationship Id="rId125" Type="http://schemas.openxmlformats.org/officeDocument/2006/relationships/hyperlink" Target="2004/Fra-Com%20Geo%20Pat%20Sca%20Nat%20Soc12,%201.pdf" TargetMode="External"/><Relationship Id="rId332" Type="http://schemas.openxmlformats.org/officeDocument/2006/relationships/hyperlink" Target="2010/Gastroenterology138,%201714.pdf" TargetMode="External"/><Relationship Id="rId777" Type="http://schemas.openxmlformats.org/officeDocument/2006/relationships/hyperlink" Target="H/Hydrometallurgy73,%20147.pdf" TargetMode="External"/><Relationship Id="rId984" Type="http://schemas.openxmlformats.org/officeDocument/2006/relationships/hyperlink" Target="I/Ind%20Eng%20Che37,%2043.pdf" TargetMode="External"/><Relationship Id="rId1835" Type="http://schemas.openxmlformats.org/officeDocument/2006/relationships/hyperlink" Target="2007/Int%20J%20Env%20Sci%20Tec4,%20331.pdf" TargetMode="External"/><Relationship Id="rId2013" Type="http://schemas.openxmlformats.org/officeDocument/2006/relationships/hyperlink" Target="http://www.emeraldinsight.com/Insight/viewContainer.do?containerType=Journal&amp;containerId=200" TargetMode="External"/><Relationship Id="rId637" Type="http://schemas.openxmlformats.org/officeDocument/2006/relationships/hyperlink" Target="2009/Her%20Rus%20Aca%20Sci79,%20197.pdf" TargetMode="External"/><Relationship Id="rId844" Type="http://schemas.openxmlformats.org/officeDocument/2006/relationships/hyperlink" Target="http://www.ice.org.in/journal.html" TargetMode="External"/><Relationship Id="rId1267" Type="http://schemas.openxmlformats.org/officeDocument/2006/relationships/hyperlink" Target="2007/Ind%20Eng%20Che%20Res46,%204764.pdf" TargetMode="External"/><Relationship Id="rId1474" Type="http://schemas.openxmlformats.org/officeDocument/2006/relationships/hyperlink" Target="2004/Inf%20Sci22,%20315.pdf" TargetMode="External"/><Relationship Id="rId1681" Type="http://schemas.openxmlformats.org/officeDocument/2006/relationships/hyperlink" Target="2009/Int%20J%20Car131,%20149.pdf" TargetMode="External"/><Relationship Id="rId1902" Type="http://schemas.openxmlformats.org/officeDocument/2006/relationships/hyperlink" Target="Int%20J%20Coa%20Geo27,%2059" TargetMode="External"/><Relationship Id="rId2097" Type="http://schemas.openxmlformats.org/officeDocument/2006/relationships/hyperlink" Target="2008/Int%20Mic11,%20213.pdf" TargetMode="External"/><Relationship Id="rId276" Type="http://schemas.openxmlformats.org/officeDocument/2006/relationships/hyperlink" Target="F/Fun%20App%20Tox19,%20505.pdf" TargetMode="External"/><Relationship Id="rId483" Type="http://schemas.openxmlformats.org/officeDocument/2006/relationships/hyperlink" Target="2009/Glo%20Nes%20J11,%20196.pdf" TargetMode="External"/><Relationship Id="rId690" Type="http://schemas.openxmlformats.org/officeDocument/2006/relationships/hyperlink" Target="2009/Hum%20Rep%20Upd15,%20153.pdf" TargetMode="External"/><Relationship Id="rId704" Type="http://schemas.openxmlformats.org/officeDocument/2006/relationships/hyperlink" Target="2005/Hyd%20J13,%2025.pdf" TargetMode="External"/><Relationship Id="rId911" Type="http://schemas.openxmlformats.org/officeDocument/2006/relationships/hyperlink" Target="2008/Ind%20J%20Che%20Tec15,%20525.pdf" TargetMode="External"/><Relationship Id="rId1127" Type="http://schemas.openxmlformats.org/officeDocument/2006/relationships/hyperlink" Target="I/Ind%20Eng%20Che%20Res39,%201074.pdf" TargetMode="External"/><Relationship Id="rId1334" Type="http://schemas.openxmlformats.org/officeDocument/2006/relationships/hyperlink" Target="2011/Ind%20Eng%20Che%20Res50,%207228.pdf" TargetMode="External"/><Relationship Id="rId1541" Type="http://schemas.openxmlformats.org/officeDocument/2006/relationships/hyperlink" Target="2005/Interciencia30,%20735.pdf" TargetMode="External"/><Relationship Id="rId1779" Type="http://schemas.openxmlformats.org/officeDocument/2006/relationships/hyperlink" Target="2008/Int%20J%20Env%20Pol34,%20325.pdf" TargetMode="External"/><Relationship Id="rId1986" Type="http://schemas.openxmlformats.org/officeDocument/2006/relationships/hyperlink" Target="I/Int%20J%20Min%20Pro75,%2021.pdf" TargetMode="External"/><Relationship Id="rId2164" Type="http://schemas.openxmlformats.org/officeDocument/2006/relationships/hyperlink" Target="2011/Ionics17,%20535.pdf" TargetMode="External"/><Relationship Id="rId40" Type="http://schemas.openxmlformats.org/officeDocument/2006/relationships/hyperlink" Target="http://www.sciencedirect.com/science?_ob=JournalURL&amp;_cdi=4939&amp;_auth=y&amp;_acct=C000050221&amp;_version=1&amp;_urlVersion=0&amp;_userid=10&amp;md5=dfcba2fc2f95c61acc27a3de0220bacf" TargetMode="External"/><Relationship Id="rId136" Type="http://schemas.openxmlformats.org/officeDocument/2006/relationships/hyperlink" Target="2002/Fre%20Env%20Bul11,%20123.pdf" TargetMode="External"/><Relationship Id="rId343" Type="http://schemas.openxmlformats.org/officeDocument/2006/relationships/hyperlink" Target="http://www.sciencedirect.com/science?_ob=JournalURL&amp;_cdi=5806&amp;_auth=y&amp;_acct=C000011279&amp;_version=1&amp;_urlVersion=0&amp;_userid=1134284&amp;md5=f52bd1fdc93101933d25222270751cf5" TargetMode="External"/><Relationship Id="rId550" Type="http://schemas.openxmlformats.org/officeDocument/2006/relationships/hyperlink" Target="http://www.swetswise.com/eAccess/viewTitleIssues.do?titleID=90882" TargetMode="External"/><Relationship Id="rId788" Type="http://schemas.openxmlformats.org/officeDocument/2006/relationships/hyperlink" Target="2005/Hydrometallurgy80,%20232.pdf" TargetMode="External"/><Relationship Id="rId995" Type="http://schemas.openxmlformats.org/officeDocument/2006/relationships/hyperlink" Target="I/Ind%20Eng%20Che46,%202294.pdf" TargetMode="External"/><Relationship Id="rId1180" Type="http://schemas.openxmlformats.org/officeDocument/2006/relationships/hyperlink" Target="I/Ind%20Eng%20Che%20Res41,%203580.pdf" TargetMode="External"/><Relationship Id="rId1401" Type="http://schemas.openxmlformats.org/officeDocument/2006/relationships/hyperlink" Target="1998/Inf%20Pro%20Man34,%20771.pdf" TargetMode="External"/><Relationship Id="rId1639" Type="http://schemas.openxmlformats.org/officeDocument/2006/relationships/hyperlink" Target="2009/Int%20J%20Beh%20Nut%20Phy%20Act6,%2039.pdf" TargetMode="External"/><Relationship Id="rId1846" Type="http://schemas.openxmlformats.org/officeDocument/2006/relationships/hyperlink" Target="2008/Int%20J%20Env%20Sci%20Tec5,%20409.pdf" TargetMode="External"/><Relationship Id="rId2024" Type="http://schemas.openxmlformats.org/officeDocument/2006/relationships/hyperlink" Target="2011/Int%20J%20Ped%20Oto75,%20721.pdf" TargetMode="External"/><Relationship Id="rId203" Type="http://schemas.openxmlformats.org/officeDocument/2006/relationships/hyperlink" Target="F/Fre%20J%20Ana%20Che361,%20803.pdf" TargetMode="External"/><Relationship Id="rId648" Type="http://schemas.openxmlformats.org/officeDocument/2006/relationships/hyperlink" Target="2009/Hig%20Edu58,%20689.pdf" TargetMode="External"/><Relationship Id="rId855" Type="http://schemas.openxmlformats.org/officeDocument/2006/relationships/hyperlink" Target="2004/Ind%20J%20Che%20Tec11,%2095.pdf" TargetMode="External"/><Relationship Id="rId1040" Type="http://schemas.openxmlformats.org/officeDocument/2006/relationships/hyperlink" Target="http://pubs3.acs.org/acs/journals/toc.page?incoden=iecfa7" TargetMode="External"/><Relationship Id="rId1278" Type="http://schemas.openxmlformats.org/officeDocument/2006/relationships/hyperlink" Target="2008/Ind%20Eng%20Che%20Res47,%203192.pdf" TargetMode="External"/><Relationship Id="rId1485" Type="http://schemas.openxmlformats.org/officeDocument/2006/relationships/hyperlink" Target="http://www.sciencedirect.com/science?_ob=PublicationURL&amp;_cdi=5642&amp;_pubType=J&amp;_auth=y&amp;_acct=C000053193&amp;_version=1&amp;_urlVersion=0&amp;_userid=1495547&amp;md5=8fbcd59f32588d005329374935fc7539" TargetMode="External"/><Relationship Id="rId1692" Type="http://schemas.openxmlformats.org/officeDocument/2006/relationships/hyperlink" Target="2009/Int%20J%20Che%20Rea%20Eng7,%20A5.pdf" TargetMode="External"/><Relationship Id="rId1706" Type="http://schemas.openxmlformats.org/officeDocument/2006/relationships/hyperlink" Target="2011/Int%20J%20Cir%20Hea70,%20128.pdf" TargetMode="External"/><Relationship Id="rId1913" Type="http://schemas.openxmlformats.org/officeDocument/2006/relationships/hyperlink" Target="http://www3.interscience.wiley.com/cgi-bin/jtoc?ID=4294" TargetMode="External"/><Relationship Id="rId287" Type="http://schemas.openxmlformats.org/officeDocument/2006/relationships/hyperlink" Target="http://www.sciencedirect.com/science/journal/0167739X" TargetMode="External"/><Relationship Id="rId410" Type="http://schemas.openxmlformats.org/officeDocument/2006/relationships/hyperlink" Target="G/Geoderma68,%20123.pdf" TargetMode="External"/><Relationship Id="rId494" Type="http://schemas.openxmlformats.org/officeDocument/2006/relationships/hyperlink" Target="2002/Gre%20Che4,%20555.pdf" TargetMode="External"/><Relationship Id="rId508" Type="http://schemas.openxmlformats.org/officeDocument/2006/relationships/hyperlink" Target="G/Gut43,%20288.pdf" TargetMode="External"/><Relationship Id="rId715" Type="http://schemas.openxmlformats.org/officeDocument/2006/relationships/hyperlink" Target="H/Hydrometallurgy15,%20209.pdf" TargetMode="External"/><Relationship Id="rId922" Type="http://schemas.openxmlformats.org/officeDocument/2006/relationships/hyperlink" Target="2009/Ind%20J%20Che%20Tec16,%20301.pdf" TargetMode="External"/><Relationship Id="rId1138" Type="http://schemas.openxmlformats.org/officeDocument/2006/relationships/hyperlink" Target="I/Ind%20Eng%20Che%20Res39,%202480.pdf" TargetMode="External"/><Relationship Id="rId1345" Type="http://schemas.openxmlformats.org/officeDocument/2006/relationships/hyperlink" Target="2010/Ind%20Hea48,%20197.pdf" TargetMode="External"/><Relationship Id="rId1552" Type="http://schemas.openxmlformats.org/officeDocument/2006/relationships/hyperlink" Target="2008/Interfaces38,%20136.pdf" TargetMode="External"/><Relationship Id="rId1997" Type="http://schemas.openxmlformats.org/officeDocument/2006/relationships/hyperlink" Target="http://www.scielo.cl/scielo.php?script=sci_issues&amp;pid=0717-9502&amp;lng=es&amp;nrm=iso" TargetMode="External"/><Relationship Id="rId2175" Type="http://schemas.openxmlformats.org/officeDocument/2006/relationships/theme" Target="theme/theme1.xml"/><Relationship Id="rId147" Type="http://schemas.openxmlformats.org/officeDocument/2006/relationships/hyperlink" Target="2003/Fre%20Env%20Bul12,%201294.pdf" TargetMode="External"/><Relationship Id="rId354" Type="http://schemas.openxmlformats.org/officeDocument/2006/relationships/hyperlink" Target="1991/Geo%20Cos%20Act55,%20433.pdf" TargetMode="External"/><Relationship Id="rId799" Type="http://schemas.openxmlformats.org/officeDocument/2006/relationships/hyperlink" Target="2009/Hydrometallurgy97,%2021.pdf" TargetMode="External"/><Relationship Id="rId1191" Type="http://schemas.openxmlformats.org/officeDocument/2006/relationships/hyperlink" Target="I/Ind%20Eng%20Che%20Res42,%201965.pdf" TargetMode="External"/><Relationship Id="rId1205" Type="http://schemas.openxmlformats.org/officeDocument/2006/relationships/hyperlink" Target="I/Ind%20Eng%20Che%20Res43,%201748.pdf" TargetMode="External"/><Relationship Id="rId1857" Type="http://schemas.openxmlformats.org/officeDocument/2006/relationships/hyperlink" Target="2009/Int%20J%20Env%20Sci%20Tec6,%20633.pdf" TargetMode="External"/><Relationship Id="rId2035" Type="http://schemas.openxmlformats.org/officeDocument/2006/relationships/hyperlink" Target="2007/Int%20J%20Phy%20Sci2,%2010.pdf" TargetMode="External"/><Relationship Id="rId51" Type="http://schemas.openxmlformats.org/officeDocument/2006/relationships/hyperlink" Target="2008/Fer%20Ste90,%20941.pdf" TargetMode="External"/><Relationship Id="rId561" Type="http://schemas.openxmlformats.org/officeDocument/2006/relationships/hyperlink" Target="2009/Hea%20Inf%20Lib%20J26,%204.pdf" TargetMode="External"/><Relationship Id="rId659" Type="http://schemas.openxmlformats.org/officeDocument/2006/relationships/hyperlink" Target="2003/Hig%20Edu%20Res%20Dev22,%2027.pdf" TargetMode="External"/><Relationship Id="rId866" Type="http://schemas.openxmlformats.org/officeDocument/2006/relationships/hyperlink" Target="2005/Ind%20J%20Che%20Tec12,%20281.pdf" TargetMode="External"/><Relationship Id="rId1289" Type="http://schemas.openxmlformats.org/officeDocument/2006/relationships/hyperlink" Target="2009/Ind%20Eng%20Che%20Res48,%202118.pdf" TargetMode="External"/><Relationship Id="rId1412" Type="http://schemas.openxmlformats.org/officeDocument/2006/relationships/hyperlink" Target="2005/Inf%20Pro%20Man41,%20313.pdf" TargetMode="External"/><Relationship Id="rId1496" Type="http://schemas.openxmlformats.org/officeDocument/2006/relationships/hyperlink" Target="http://www.sciencedirect.com/science?_ob=JournalURL&amp;_cdi=7272&amp;_auth=y&amp;_acct=C000011279&amp;_version=1&amp;_urlVersion=0&amp;_userid=1134284&amp;md5=8b5f69a91002115440b541d78d2352e8" TargetMode="External"/><Relationship Id="rId1717" Type="http://schemas.openxmlformats.org/officeDocument/2006/relationships/hyperlink" Target="I/Int%20J%20Coa%20Geo31,%20249.pdf" TargetMode="External"/><Relationship Id="rId1924" Type="http://schemas.openxmlformats.org/officeDocument/2006/relationships/hyperlink" Target="2011/Int%20J%20Hea%20Geo10,%2055.pdf" TargetMode="External"/><Relationship Id="rId214" Type="http://schemas.openxmlformats.org/officeDocument/2006/relationships/hyperlink" Target="http://www.springerlink.com/content/1673-7415" TargetMode="External"/><Relationship Id="rId298" Type="http://schemas.openxmlformats.org/officeDocument/2006/relationships/hyperlink" Target="2008/Gac%20San22,%2020.pdf" TargetMode="External"/><Relationship Id="rId421" Type="http://schemas.openxmlformats.org/officeDocument/2006/relationships/hyperlink" Target="G/Geoderma114,%2081.pdf" TargetMode="External"/><Relationship Id="rId519" Type="http://schemas.openxmlformats.org/officeDocument/2006/relationships/hyperlink" Target="1997/Haematologica82,%20710.pdf" TargetMode="External"/><Relationship Id="rId1051" Type="http://schemas.openxmlformats.org/officeDocument/2006/relationships/hyperlink" Target="I/Ind%20Eng%20Che%20Pro%20Des%20Dev23,%20221.pdf" TargetMode="External"/><Relationship Id="rId1149" Type="http://schemas.openxmlformats.org/officeDocument/2006/relationships/hyperlink" Target="I/Ind%20Eng%20Che%20Res39,%204536.pdf" TargetMode="External"/><Relationship Id="rId1356" Type="http://schemas.openxmlformats.org/officeDocument/2006/relationships/hyperlink" Target="2011/Inf%20Com%20Soc14,%20375.pdf" TargetMode="External"/><Relationship Id="rId2102" Type="http://schemas.openxmlformats.org/officeDocument/2006/relationships/hyperlink" Target="2011/Int%20Nur%20Rev58,%2026.pdf" TargetMode="External"/><Relationship Id="rId158" Type="http://schemas.openxmlformats.org/officeDocument/2006/relationships/hyperlink" Target="2004/Fre%20Env%20Bul13,%20574.pdf" TargetMode="External"/><Relationship Id="rId726" Type="http://schemas.openxmlformats.org/officeDocument/2006/relationships/hyperlink" Target="H/Hydrometallurgy44,%20261.pdf" TargetMode="External"/><Relationship Id="rId933" Type="http://schemas.openxmlformats.org/officeDocument/2006/relationships/hyperlink" Target="2010/Ind%20J%20Che%20Tec17,%20247.pdf" TargetMode="External"/><Relationship Id="rId1009" Type="http://schemas.openxmlformats.org/officeDocument/2006/relationships/hyperlink" Target="http://pubs3.acs.org/acs/journals/toc.page?incoden=iecfa7" TargetMode="External"/><Relationship Id="rId1563" Type="http://schemas.openxmlformats.org/officeDocument/2006/relationships/hyperlink" Target="2011/Int%20Med50,%202099.pdf" TargetMode="External"/><Relationship Id="rId1770" Type="http://schemas.openxmlformats.org/officeDocument/2006/relationships/hyperlink" Target="2008/Int%20J%20Env%20Pol34,%20203.pdf" TargetMode="External"/><Relationship Id="rId1868" Type="http://schemas.openxmlformats.org/officeDocument/2006/relationships/hyperlink" Target="2010/Int%20J%20Env%20Sci%20Tec7,%20619.pdf" TargetMode="External"/><Relationship Id="rId62" Type="http://schemas.openxmlformats.org/officeDocument/2006/relationships/hyperlink" Target="http://www.sciencedirect.com/science?_ob=JournalURL&amp;_cdi=6098&amp;_auth=y&amp;_acct=C000050221&amp;_version=1&amp;_urlVersion=0&amp;_userid=10&amp;md5=8e00e29b72e7042214d91aa7fb51f9af" TargetMode="External"/><Relationship Id="rId365" Type="http://schemas.openxmlformats.org/officeDocument/2006/relationships/hyperlink" Target="G/Geo%20Cos%20Act61,%202639.pdf" TargetMode="External"/><Relationship Id="rId572" Type="http://schemas.openxmlformats.org/officeDocument/2006/relationships/hyperlink" Target="2010/Hea%20Pol97,%201.pdf" TargetMode="External"/><Relationship Id="rId1216" Type="http://schemas.openxmlformats.org/officeDocument/2006/relationships/hyperlink" Target="2004/Ind%20Eng%20Che%20Res43,%205310.pdf" TargetMode="External"/><Relationship Id="rId1423" Type="http://schemas.openxmlformats.org/officeDocument/2006/relationships/hyperlink" Target="2006/Inf%20Pro%20Man42,%20785.pdf" TargetMode="External"/><Relationship Id="rId1630" Type="http://schemas.openxmlformats.org/officeDocument/2006/relationships/hyperlink" Target="I/Int%20Inf%20Lib%20Rev36,%2095.pdf" TargetMode="External"/><Relationship Id="rId2046" Type="http://schemas.openxmlformats.org/officeDocument/2006/relationships/hyperlink" Target="2008/Int%20J%20Phy10,%20264.pdf" TargetMode="External"/><Relationship Id="rId225" Type="http://schemas.openxmlformats.org/officeDocument/2006/relationships/hyperlink" Target="1960-80/Fuel49,%2061.pdf" TargetMode="External"/><Relationship Id="rId432" Type="http://schemas.openxmlformats.org/officeDocument/2006/relationships/hyperlink" Target="2008/Geo%20Res174,%205.pdf" TargetMode="External"/><Relationship Id="rId877" Type="http://schemas.openxmlformats.org/officeDocument/2006/relationships/hyperlink" Target="2006/Ind%20J%20Che%20Tec13,%20203.pdf" TargetMode="External"/><Relationship Id="rId1062" Type="http://schemas.openxmlformats.org/officeDocument/2006/relationships/hyperlink" Target="http://pubs3.acs.org/acs/journals/toc.page?incoden=iepra6" TargetMode="External"/><Relationship Id="rId1728" Type="http://schemas.openxmlformats.org/officeDocument/2006/relationships/hyperlink" Target="1997/Int%20J%20Der386,%20241.pdf" TargetMode="External"/><Relationship Id="rId1935" Type="http://schemas.openxmlformats.org/officeDocument/2006/relationships/hyperlink" Target="2010/Int%20J%20Hyd%20Ene35,%209.pdf" TargetMode="External"/><Relationship Id="rId2113" Type="http://schemas.openxmlformats.org/officeDocument/2006/relationships/hyperlink" Target="2009/Int%20Psy21,%201037.pdf" TargetMode="External"/><Relationship Id="rId737" Type="http://schemas.openxmlformats.org/officeDocument/2006/relationships/hyperlink" Target="H/Hydrometallurgy56,%20359.pdf" TargetMode="External"/><Relationship Id="rId944" Type="http://schemas.openxmlformats.org/officeDocument/2006/relationships/hyperlink" Target="2009/Ind%20J%20Der%20Ven%20Lep75,%20211.pdf" TargetMode="External"/><Relationship Id="rId1367" Type="http://schemas.openxmlformats.org/officeDocument/2006/relationships/hyperlink" Target="1984/Inf%20Pro%20Man20,%2037.pdf" TargetMode="External"/><Relationship Id="rId1574" Type="http://schemas.openxmlformats.org/officeDocument/2006/relationships/hyperlink" Target="I/Int%20Bio%20Bio35,%2017.pdf" TargetMode="External"/><Relationship Id="rId1781" Type="http://schemas.openxmlformats.org/officeDocument/2006/relationships/hyperlink" Target="2008/Int%20J%20Env%20Pol34,%20353.pdf" TargetMode="External"/><Relationship Id="rId73" Type="http://schemas.openxmlformats.org/officeDocument/2006/relationships/hyperlink" Target="http://content.karger.com/ProdukteDB/produkte.asp?Aktion=JournalHome&amp;ProduktNr=224177" TargetMode="External"/><Relationship Id="rId169" Type="http://schemas.openxmlformats.org/officeDocument/2006/relationships/hyperlink" Target="2005/Fre%20Env%20Bul14,%201105.pdf" TargetMode="External"/><Relationship Id="rId376" Type="http://schemas.openxmlformats.org/officeDocument/2006/relationships/hyperlink" Target="G/Geo%20Cos%20Act63,%203205.pdf" TargetMode="External"/><Relationship Id="rId583" Type="http://schemas.openxmlformats.org/officeDocument/2006/relationships/hyperlink" Target="http://infotrac.galegroup.com/itw/infomark/0/1/1/purl=rc18_EAIM_0__jn+%22Health+Services+Research%22?sw_aep=jrycal5" TargetMode="External"/><Relationship Id="rId790" Type="http://schemas.openxmlformats.org/officeDocument/2006/relationships/hyperlink" Target="2006/Hydrometallurgy80,%2040.pdf" TargetMode="External"/><Relationship Id="rId804" Type="http://schemas.openxmlformats.org/officeDocument/2006/relationships/hyperlink" Target="2009/Hydrometallurgy100,%2065.pdf" TargetMode="External"/><Relationship Id="rId1227" Type="http://schemas.openxmlformats.org/officeDocument/2006/relationships/hyperlink" Target="I/Ind%20Eng%20Che%20Res43,%207900.pdf" TargetMode="External"/><Relationship Id="rId1434" Type="http://schemas.openxmlformats.org/officeDocument/2006/relationships/hyperlink" Target="2008/Inf%20Pro%20Man44,%20800.pdf" TargetMode="External"/><Relationship Id="rId1641" Type="http://schemas.openxmlformats.org/officeDocument/2006/relationships/hyperlink" Target="2004/Int%20J%20Bif%20Cha14,%2061.pdf" TargetMode="External"/><Relationship Id="rId1879" Type="http://schemas.openxmlformats.org/officeDocument/2006/relationships/hyperlink" Target="1989/Int%20J%20Epi18,%20248.pdf" TargetMode="External"/><Relationship Id="rId2057" Type="http://schemas.openxmlformats.org/officeDocument/2006/relationships/hyperlink" Target="2007/Int%20J%20Psy63,%20138.pdf" TargetMode="External"/><Relationship Id="rId4" Type="http://schemas.openxmlformats.org/officeDocument/2006/relationships/webSettings" Target="webSettings.xml"/><Relationship Id="rId236" Type="http://schemas.openxmlformats.org/officeDocument/2006/relationships/image" Target="media/image1.png"/><Relationship Id="rId443" Type="http://schemas.openxmlformats.org/officeDocument/2006/relationships/hyperlink" Target="2005/Geomorphology72,%20238.pdf" TargetMode="External"/><Relationship Id="rId650" Type="http://schemas.openxmlformats.org/officeDocument/2006/relationships/hyperlink" Target="2011/Hig%20Edu61,%20693.pdf" TargetMode="External"/><Relationship Id="rId888" Type="http://schemas.openxmlformats.org/officeDocument/2006/relationships/hyperlink" Target="2007/Ind%20J%20Che%20Tec14,%20240.pdf" TargetMode="External"/><Relationship Id="rId1073" Type="http://schemas.openxmlformats.org/officeDocument/2006/relationships/hyperlink" Target="I/Ind%20Eng%20Che%20Res31,%201510.pdf" TargetMode="External"/><Relationship Id="rId1280" Type="http://schemas.openxmlformats.org/officeDocument/2006/relationships/hyperlink" Target="2008/Ind%20Eng%20Che%20Res47,%204891.pdf" TargetMode="External"/><Relationship Id="rId1501" Type="http://schemas.openxmlformats.org/officeDocument/2006/relationships/hyperlink" Target="1960-80/Inf%20Sto%20Ret8,%20171.pdf" TargetMode="External"/><Relationship Id="rId1739" Type="http://schemas.openxmlformats.org/officeDocument/2006/relationships/hyperlink" Target="http://www.ijee.ie/" TargetMode="External"/><Relationship Id="rId1946" Type="http://schemas.openxmlformats.org/officeDocument/2006/relationships/hyperlink" Target="1986/Int%20J%20Inf%20Man6,%20145.pdf" TargetMode="External"/><Relationship Id="rId2124" Type="http://schemas.openxmlformats.org/officeDocument/2006/relationships/hyperlink" Target="http://ijb.nigeb.ac.ir/index.php/ijb/index" TargetMode="External"/><Relationship Id="rId303" Type="http://schemas.openxmlformats.org/officeDocument/2006/relationships/hyperlink" Target="2009/GAI-Eco%20Per%20Sci%20Soc18,%20281.pdf" TargetMode="External"/><Relationship Id="rId748" Type="http://schemas.openxmlformats.org/officeDocument/2006/relationships/hyperlink" Target="H/Hydrometallurgy61,%20105.pdf" TargetMode="External"/><Relationship Id="rId955" Type="http://schemas.openxmlformats.org/officeDocument/2006/relationships/hyperlink" Target="2011/Ind%20J%20Med%20Res134,%20232.pdf" TargetMode="External"/><Relationship Id="rId1140" Type="http://schemas.openxmlformats.org/officeDocument/2006/relationships/hyperlink" Target="I/Ind%20Eng%20Che%20Res39,%202612.pdf" TargetMode="External"/><Relationship Id="rId1378" Type="http://schemas.openxmlformats.org/officeDocument/2006/relationships/hyperlink" Target="1989/Inf%20Pro%20Man25,%20527.pdf" TargetMode="External"/><Relationship Id="rId1585" Type="http://schemas.openxmlformats.org/officeDocument/2006/relationships/hyperlink" Target="I/Int%20Bio%20Bio44,%20101.pdf" TargetMode="External"/><Relationship Id="rId1792" Type="http://schemas.openxmlformats.org/officeDocument/2006/relationships/hyperlink" Target="2012/Int%20J%20Env%20Pol-Zhang.pdf" TargetMode="External"/><Relationship Id="rId1806" Type="http://schemas.openxmlformats.org/officeDocument/2006/relationships/hyperlink" Target="2008/Int%20J%20Env%20Res2,%20275.pdf" TargetMode="External"/><Relationship Id="rId84" Type="http://schemas.openxmlformats.org/officeDocument/2006/relationships/hyperlink" Target="F/Foo%20Che%20Tox38,%20S21.pdf" TargetMode="External"/><Relationship Id="rId387" Type="http://schemas.openxmlformats.org/officeDocument/2006/relationships/hyperlink" Target="G/Geo%20Cos%20Act65,%204267.pdf" TargetMode="External"/><Relationship Id="rId510" Type="http://schemas.openxmlformats.org/officeDocument/2006/relationships/hyperlink" Target="2004/Gut53,%201244.pdf" TargetMode="External"/><Relationship Id="rId594" Type="http://schemas.openxmlformats.org/officeDocument/2006/relationships/hyperlink" Target="2010/Hea%20Tec%20Ass14,%201.pdf" TargetMode="External"/><Relationship Id="rId608" Type="http://schemas.openxmlformats.org/officeDocument/2006/relationships/hyperlink" Target="2011/Hea%20Tec%20Ass15-10,%201.pdf" TargetMode="External"/><Relationship Id="rId815" Type="http://schemas.openxmlformats.org/officeDocument/2006/relationships/hyperlink" Target="I/IEEE%20Int%20Sym%20Tec%20Soc,%2091.pdf" TargetMode="External"/><Relationship Id="rId1238" Type="http://schemas.openxmlformats.org/officeDocument/2006/relationships/hyperlink" Target="2005/Ind%20Eng%20Che%20Res44,%207049.pdf" TargetMode="External"/><Relationship Id="rId1445" Type="http://schemas.openxmlformats.org/officeDocument/2006/relationships/hyperlink" Target="2010/Inf%20Pro%20Man47,%20135.pdf" TargetMode="External"/><Relationship Id="rId1652" Type="http://schemas.openxmlformats.org/officeDocument/2006/relationships/hyperlink" Target="2006/Int%20J%20Bio%20Mac38,%2099.pdf" TargetMode="External"/><Relationship Id="rId2068" Type="http://schemas.openxmlformats.org/officeDocument/2006/relationships/hyperlink" Target="file:///H:\Bibliometric%20References\2012\Int%20J%20Rad%20Onc%20Bio%20Phy82,%20408.pdf" TargetMode="External"/><Relationship Id="rId247" Type="http://schemas.openxmlformats.org/officeDocument/2006/relationships/hyperlink" Target="2008/Fuel87,%201355.pdf" TargetMode="External"/><Relationship Id="rId899" Type="http://schemas.openxmlformats.org/officeDocument/2006/relationships/hyperlink" Target="2008/Ind%20J%20Che%20Tec15,%2075.pdf" TargetMode="External"/><Relationship Id="rId1000" Type="http://schemas.openxmlformats.org/officeDocument/2006/relationships/hyperlink" Target="http://pubs3.acs.org/acs/journals/toc.page?incoden=iechad" TargetMode="External"/><Relationship Id="rId1084" Type="http://schemas.openxmlformats.org/officeDocument/2006/relationships/hyperlink" Target="I/Ind%20Eng%20Che%20Res34,%202849.pdf" TargetMode="External"/><Relationship Id="rId1305" Type="http://schemas.openxmlformats.org/officeDocument/2006/relationships/hyperlink" Target="2009/Ind%20Eng%20Che%20Res48,%207852.pdf" TargetMode="External"/><Relationship Id="rId1957" Type="http://schemas.openxmlformats.org/officeDocument/2006/relationships/hyperlink" Target="2011/Int%20J%20Lif%20Cyc%20Ass16,%20561.pdf" TargetMode="External"/><Relationship Id="rId107" Type="http://schemas.openxmlformats.org/officeDocument/2006/relationships/hyperlink" Target="F/Foo%20Res%20Int33,%20233.pdf" TargetMode="External"/><Relationship Id="rId454" Type="http://schemas.openxmlformats.org/officeDocument/2006/relationships/hyperlink" Target="1998/Geo%20Res%20Let25,%202857.pdf" TargetMode="External"/><Relationship Id="rId661" Type="http://schemas.openxmlformats.org/officeDocument/2006/relationships/hyperlink" Target="1960-80/His%20Mat23,%2030.pdf" TargetMode="External"/><Relationship Id="rId759" Type="http://schemas.openxmlformats.org/officeDocument/2006/relationships/hyperlink" Target="H/Hydrometallurgy67,%2031.pdf" TargetMode="External"/><Relationship Id="rId966" Type="http://schemas.openxmlformats.org/officeDocument/2006/relationships/hyperlink" Target="http://indianpediatrics.net/" TargetMode="External"/><Relationship Id="rId1291" Type="http://schemas.openxmlformats.org/officeDocument/2006/relationships/hyperlink" Target="2009/Ind%20Eng%20Che%20Res48,%202652.pdf" TargetMode="External"/><Relationship Id="rId1389" Type="http://schemas.openxmlformats.org/officeDocument/2006/relationships/hyperlink" Target="1994/Inf%20Pro%20Man30,%20239.pdf" TargetMode="External"/><Relationship Id="rId1512" Type="http://schemas.openxmlformats.org/officeDocument/2006/relationships/hyperlink" Target="I/Inf%20Tec%20Lib22,%20146.pdf" TargetMode="External"/><Relationship Id="rId1596" Type="http://schemas.openxmlformats.org/officeDocument/2006/relationships/hyperlink" Target="I/Int%20Bio%20Sym,%2069.pdf" TargetMode="External"/><Relationship Id="rId1817" Type="http://schemas.openxmlformats.org/officeDocument/2006/relationships/hyperlink" Target="2010/Int%20J%20Env%20Res4,%2027.pdf" TargetMode="External"/><Relationship Id="rId2135" Type="http://schemas.openxmlformats.org/officeDocument/2006/relationships/hyperlink" Target="2005/Ira%20J%20Env%20Hea%20Sci%20Eng2,%20221.pdf" TargetMode="External"/><Relationship Id="rId11" Type="http://schemas.openxmlformats.org/officeDocument/2006/relationships/header" Target="header3.xml"/><Relationship Id="rId314" Type="http://schemas.openxmlformats.org/officeDocument/2006/relationships/hyperlink" Target="2005/Gas%20Ads%20Equ,%20117.pdf" TargetMode="External"/><Relationship Id="rId398" Type="http://schemas.openxmlformats.org/officeDocument/2006/relationships/hyperlink" Target="2006/Geo%20Cos%20Act70,%205134.pdf" TargetMode="External"/><Relationship Id="rId521" Type="http://schemas.openxmlformats.org/officeDocument/2006/relationships/hyperlink" Target="1998/Haematologica83,%20159.pdf" TargetMode="External"/><Relationship Id="rId619" Type="http://schemas.openxmlformats.org/officeDocument/2006/relationships/hyperlink" Target="http://www.sciencedirect.com/science/journal/03635023" TargetMode="External"/><Relationship Id="rId1151" Type="http://schemas.openxmlformats.org/officeDocument/2006/relationships/hyperlink" Target="I/Ind%20Eng%20Che%20Res39,%204707.pdf" TargetMode="External"/><Relationship Id="rId1249" Type="http://schemas.openxmlformats.org/officeDocument/2006/relationships/hyperlink" Target="2006/Ind%20Eng%20Che%20Res45,%203969.pdf" TargetMode="External"/><Relationship Id="rId2079" Type="http://schemas.openxmlformats.org/officeDocument/2006/relationships/hyperlink" Target="I/Int%20J%20Sur%20Pat11,%20118.pdf" TargetMode="External"/><Relationship Id="rId95" Type="http://schemas.openxmlformats.org/officeDocument/2006/relationships/hyperlink" Target="1987/Foo%20Che26,%2071.pdf" TargetMode="External"/><Relationship Id="rId160" Type="http://schemas.openxmlformats.org/officeDocument/2006/relationships/hyperlink" Target="2004/Fre%20Env%20Bul13,%201112.pdf" TargetMode="External"/><Relationship Id="rId826" Type="http://schemas.openxmlformats.org/officeDocument/2006/relationships/hyperlink" Target="2007/IEE%20Tra%20Inf%20Tec%20Bio11,%20237.pdf" TargetMode="External"/><Relationship Id="rId1011" Type="http://schemas.openxmlformats.org/officeDocument/2006/relationships/hyperlink" Target="http://pubs3.acs.org/acs/journals/toc.page?incoden=iepra6" TargetMode="External"/><Relationship Id="rId1109" Type="http://schemas.openxmlformats.org/officeDocument/2006/relationships/hyperlink" Target="I/Ind%20Eng%20Che%20Res37,%201454.pdf" TargetMode="External"/><Relationship Id="rId1456" Type="http://schemas.openxmlformats.org/officeDocument/2006/relationships/hyperlink" Target="2005/Inf%20Res10,%20220.pdf" TargetMode="External"/><Relationship Id="rId1663" Type="http://schemas.openxmlformats.org/officeDocument/2006/relationships/hyperlink" Target="2010/Int%20J%20Bio%20Mac47,%20410.pdf" TargetMode="External"/><Relationship Id="rId1870" Type="http://schemas.openxmlformats.org/officeDocument/2006/relationships/hyperlink" Target="2010/Int%20J%20Env%20Sci%20Tec7,%20751.pdf" TargetMode="External"/><Relationship Id="rId1968" Type="http://schemas.openxmlformats.org/officeDocument/2006/relationships/hyperlink" Target="2007/Int%20J%20Med%20Inf76,%20565.pdf" TargetMode="External"/><Relationship Id="rId258" Type="http://schemas.openxmlformats.org/officeDocument/2006/relationships/hyperlink" Target="F/Fue%20Ene%20Abs39,%2029.pdf" TargetMode="External"/><Relationship Id="rId465" Type="http://schemas.openxmlformats.org/officeDocument/2006/relationships/hyperlink" Target="2005/Geophysics70,%203MA.pdf" TargetMode="External"/><Relationship Id="rId672" Type="http://schemas.openxmlformats.org/officeDocument/2006/relationships/hyperlink" Target="H/Hol%20Als%20Roh%20Wer62,%2069.pdf" TargetMode="External"/><Relationship Id="rId1095" Type="http://schemas.openxmlformats.org/officeDocument/2006/relationships/hyperlink" Target="I/Ind%20Eng%20Che%20Res36,%202184.pdf" TargetMode="External"/><Relationship Id="rId1316" Type="http://schemas.openxmlformats.org/officeDocument/2006/relationships/hyperlink" Target="2010/Ind%20Eng%20Che%20Res49,%203207.pdf" TargetMode="External"/><Relationship Id="rId1523" Type="http://schemas.openxmlformats.org/officeDocument/2006/relationships/hyperlink" Target="I/Ino%20Chi%20Act212,%2065.pdf" TargetMode="External"/><Relationship Id="rId1730" Type="http://schemas.openxmlformats.org/officeDocument/2006/relationships/hyperlink" Target="I/Int%20J%20Der42,%20398.pdf" TargetMode="External"/><Relationship Id="rId2146" Type="http://schemas.openxmlformats.org/officeDocument/2006/relationships/hyperlink" Target="2008/Ira%20J%20Env%20Hea%20Sci%20Eng5,%20277.pdf" TargetMode="External"/><Relationship Id="rId22" Type="http://schemas.openxmlformats.org/officeDocument/2006/relationships/hyperlink" Target="1998/Fas%20J12,%203.pdf" TargetMode="External"/><Relationship Id="rId118" Type="http://schemas.openxmlformats.org/officeDocument/2006/relationships/hyperlink" Target="http://www.sciencedirect.com/science?_ob=JournalURL&amp;_cdi=5042&amp;_auth=y&amp;_acct=C000050221&amp;_version=1&amp;_urlVersion=0&amp;_userid=10&amp;md5=26b6783ee9d340da41c7bc5c54a08b7f" TargetMode="External"/><Relationship Id="rId325" Type="http://schemas.openxmlformats.org/officeDocument/2006/relationships/hyperlink" Target="G/Gas%20Sep%20Pur8,%20175.pdf" TargetMode="External"/><Relationship Id="rId532" Type="http://schemas.openxmlformats.org/officeDocument/2006/relationships/hyperlink" Target="H/Haz%20Was%20Con15,%20A8.pdf" TargetMode="External"/><Relationship Id="rId977" Type="http://schemas.openxmlformats.org/officeDocument/2006/relationships/hyperlink" Target="2012/Ind%20Cro%20Pro35,%20295.pdf" TargetMode="External"/><Relationship Id="rId1162" Type="http://schemas.openxmlformats.org/officeDocument/2006/relationships/hyperlink" Target="I/Ind%20Eng%20Che%20Res40,%202693.pdf" TargetMode="External"/><Relationship Id="rId1828" Type="http://schemas.openxmlformats.org/officeDocument/2006/relationships/hyperlink" Target="2009/Int%20J%20Env%20Res%20Pub%20Hea6,%202919.pdf" TargetMode="External"/><Relationship Id="rId2006" Type="http://schemas.openxmlformats.org/officeDocument/2006/relationships/hyperlink" Target="2008/Int%20J%20Nur%20Stu45,%20580.pdf" TargetMode="External"/><Relationship Id="rId171" Type="http://schemas.openxmlformats.org/officeDocument/2006/relationships/hyperlink" Target="2005/Fre%20Env%20Bul14,%201153.pdf" TargetMode="External"/><Relationship Id="rId837" Type="http://schemas.openxmlformats.org/officeDocument/2006/relationships/hyperlink" Target="http://ifl.sagepub.com/content/by/year" TargetMode="External"/><Relationship Id="rId1022" Type="http://schemas.openxmlformats.org/officeDocument/2006/relationships/hyperlink" Target="I/Ind%20Eng%20Che%20Fun10,%20327.pdf" TargetMode="External"/><Relationship Id="rId1467" Type="http://schemas.openxmlformats.org/officeDocument/2006/relationships/hyperlink" Target="2000/Inf%20Sci18,%20177.pdf" TargetMode="External"/><Relationship Id="rId1674" Type="http://schemas.openxmlformats.org/officeDocument/2006/relationships/hyperlink" Target="I/Int%20J%20Can82,%20484.pdf" TargetMode="External"/><Relationship Id="rId1881" Type="http://schemas.openxmlformats.org/officeDocument/2006/relationships/hyperlink" Target="1991/Int%20J%20Epi20,%201081.pdf" TargetMode="External"/><Relationship Id="rId269" Type="http://schemas.openxmlformats.org/officeDocument/2006/relationships/hyperlink" Target="2011/Fue%20Pro%20Tec92,%202123.pdf" TargetMode="External"/><Relationship Id="rId476" Type="http://schemas.openxmlformats.org/officeDocument/2006/relationships/hyperlink" Target="http://www.gnest.org/Journal/journal.htm" TargetMode="External"/><Relationship Id="rId683" Type="http://schemas.openxmlformats.org/officeDocument/2006/relationships/hyperlink" Target="1996/Hum%20Com%20Res22,%20563.pdf" TargetMode="External"/><Relationship Id="rId890" Type="http://schemas.openxmlformats.org/officeDocument/2006/relationships/hyperlink" Target="2007/Ind%20J%20Che%20Tec14,%20276.pdf" TargetMode="External"/><Relationship Id="rId904" Type="http://schemas.openxmlformats.org/officeDocument/2006/relationships/hyperlink" Target="2008/Ind%20J%20Che%20Tec15,%20341.pdf" TargetMode="External"/><Relationship Id="rId1327" Type="http://schemas.openxmlformats.org/officeDocument/2006/relationships/hyperlink" Target="2011/Ind%20Eng%20Che%20Res50,%201866.pdf" TargetMode="External"/><Relationship Id="rId1534" Type="http://schemas.openxmlformats.org/officeDocument/2006/relationships/hyperlink" Target="2009/Int-Asi%20Cul%20Stu10,%20206.pdf" TargetMode="External"/><Relationship Id="rId1741" Type="http://schemas.openxmlformats.org/officeDocument/2006/relationships/hyperlink" Target="http://www.inderscience.com/" TargetMode="External"/><Relationship Id="rId1979" Type="http://schemas.openxmlformats.org/officeDocument/2006/relationships/hyperlink" Target="1997/Int%20J%20Min%20Pro50,%2027.pdf" TargetMode="External"/><Relationship Id="rId2157" Type="http://schemas.openxmlformats.org/officeDocument/2006/relationships/hyperlink" Target="file:///F:/Bibliometric%20References/2009/Ira%20J%20Pub%20Hea38,%2047.pdf" TargetMode="External"/><Relationship Id="rId33" Type="http://schemas.openxmlformats.org/officeDocument/2006/relationships/hyperlink" Target="F/FEM%20Mic%20Eco12,%209.pdf" TargetMode="External"/><Relationship Id="rId129" Type="http://schemas.openxmlformats.org/officeDocument/2006/relationships/hyperlink" Target="2000/Fre%20Rad%20Bio%20Med29,%20927.pdf" TargetMode="External"/><Relationship Id="rId336" Type="http://schemas.openxmlformats.org/officeDocument/2006/relationships/hyperlink" Target="1960-80/Gen%20Com%20End13,%2060.pdf" TargetMode="External"/><Relationship Id="rId543" Type="http://schemas.openxmlformats.org/officeDocument/2006/relationships/hyperlink" Target="2000/Hea%20Eco9,%20183.pdf" TargetMode="External"/><Relationship Id="rId988" Type="http://schemas.openxmlformats.org/officeDocument/2006/relationships/hyperlink" Target="-1959/Ind%20Eng%20Che43,%202156.pdf" TargetMode="External"/><Relationship Id="rId1173" Type="http://schemas.openxmlformats.org/officeDocument/2006/relationships/hyperlink" Target="I/Ind%20Eng%20Che%20Res41,%20180.pdf" TargetMode="External"/><Relationship Id="rId1380" Type="http://schemas.openxmlformats.org/officeDocument/2006/relationships/hyperlink" Target="1989/Inf%20Pro%20Man25,%20721.pdf" TargetMode="External"/><Relationship Id="rId1601" Type="http://schemas.openxmlformats.org/officeDocument/2006/relationships/hyperlink" Target="http://www.sciencedirect.com/science?_ob=JournalURL&amp;_cdi=5732&amp;_auth=y&amp;_acct=C000011279&amp;_version=1&amp;_urlVersion=0&amp;_userid=1134284&amp;md5=335273a9c945d9cc4ca6eaee9424c31e" TargetMode="External"/><Relationship Id="rId1839" Type="http://schemas.openxmlformats.org/officeDocument/2006/relationships/hyperlink" Target="2008/Int%20J%20Env%20Sci%20Tec5,%2027.pdf" TargetMode="External"/><Relationship Id="rId2017" Type="http://schemas.openxmlformats.org/officeDocument/2006/relationships/hyperlink" Target="http://cnki50.csis.com.tw/kns50/Navi/item.aspx?NaviID=1&amp;BaseID=GJYK&amp;NaviLink=%e5%9b%bd%e9%99%85%e7%9c%bc%e7%a7%91%e6%9d%82%e5%bf%97" TargetMode="External"/><Relationship Id="rId182" Type="http://schemas.openxmlformats.org/officeDocument/2006/relationships/hyperlink" Target="2009/Fre%20Env%20Bul18,%201302.pdf" TargetMode="External"/><Relationship Id="rId403" Type="http://schemas.openxmlformats.org/officeDocument/2006/relationships/hyperlink" Target="1960-80/Geoderma8,%20281.pdf" TargetMode="External"/><Relationship Id="rId750" Type="http://schemas.openxmlformats.org/officeDocument/2006/relationships/hyperlink" Target="H/Hydrometallurgy61,%20157.pdf" TargetMode="External"/><Relationship Id="rId848" Type="http://schemas.openxmlformats.org/officeDocument/2006/relationships/hyperlink" Target="I/Ind%20J%20Che%20Tec4,%20157.pdf" TargetMode="External"/><Relationship Id="rId1033" Type="http://schemas.openxmlformats.org/officeDocument/2006/relationships/hyperlink" Target="I/Ind%20Eng%20Che%20Fun21,%20141.pdf" TargetMode="External"/><Relationship Id="rId1478" Type="http://schemas.openxmlformats.org/officeDocument/2006/relationships/hyperlink" Target="2006/Inf%20Sci24,%201253.pdf" TargetMode="External"/><Relationship Id="rId1685" Type="http://schemas.openxmlformats.org/officeDocument/2006/relationships/hyperlink" Target="http://www.hindawi.com/journals/ijce/contents.html" TargetMode="External"/><Relationship Id="rId1892" Type="http://schemas.openxmlformats.org/officeDocument/2006/relationships/hyperlink" Target="2000/Int%20J%20Epi29,%201047.pdf" TargetMode="External"/><Relationship Id="rId1906" Type="http://schemas.openxmlformats.org/officeDocument/2006/relationships/hyperlink" Target="I/Int%20J%20Foo%20Mic20,%20179.pdf" TargetMode="External"/><Relationship Id="rId487" Type="http://schemas.openxmlformats.org/officeDocument/2006/relationships/hyperlink" Target="2011/Glo%20Pla%20Cha77,%2013.pdf" TargetMode="External"/><Relationship Id="rId610" Type="http://schemas.openxmlformats.org/officeDocument/2006/relationships/hyperlink" Target="2011/Hea%20Tec%20Ass15-25,%201.pdf" TargetMode="External"/><Relationship Id="rId694" Type="http://schemas.openxmlformats.org/officeDocument/2006/relationships/hyperlink" Target="http://www.human-resources-health.com/articles/browse.asp" TargetMode="External"/><Relationship Id="rId708" Type="http://schemas.openxmlformats.org/officeDocument/2006/relationships/hyperlink" Target="H/Hyd%20Sci%20J-J%20Sci%20Hyd46,%20419.pdf" TargetMode="External"/><Relationship Id="rId915" Type="http://schemas.openxmlformats.org/officeDocument/2006/relationships/hyperlink" Target="2009/Ind%20J%20Che%20Tec16,%2084.pdf" TargetMode="External"/><Relationship Id="rId1240" Type="http://schemas.openxmlformats.org/officeDocument/2006/relationships/hyperlink" Target="2006/Ind%20Eng%20Che%20Res45,%20733.pdf" TargetMode="External"/><Relationship Id="rId1338" Type="http://schemas.openxmlformats.org/officeDocument/2006/relationships/hyperlink" Target="2011/Ind%20Eng%20Che%20Res50,%2013628.pdf" TargetMode="External"/><Relationship Id="rId1545" Type="http://schemas.openxmlformats.org/officeDocument/2006/relationships/hyperlink" Target="2008/Interciencia33,%20754.pdf" TargetMode="External"/><Relationship Id="rId2070" Type="http://schemas.openxmlformats.org/officeDocument/2006/relationships/hyperlink" Target="2010/Int%20J%20Ref%20Met%20Har%20Mat28,%20559.pdf" TargetMode="External"/><Relationship Id="rId2168" Type="http://schemas.openxmlformats.org/officeDocument/2006/relationships/hyperlink" Target="http://iir.nccu.edu.tw/ise/ise200303.htm" TargetMode="External"/><Relationship Id="rId347" Type="http://schemas.openxmlformats.org/officeDocument/2006/relationships/hyperlink" Target="1960-80/Geo%20Cos%20Act43,%20781.pdf" TargetMode="External"/><Relationship Id="rId999" Type="http://schemas.openxmlformats.org/officeDocument/2006/relationships/hyperlink" Target="http://pubs.acs.org/journals/iecred/index.html" TargetMode="External"/><Relationship Id="rId1100" Type="http://schemas.openxmlformats.org/officeDocument/2006/relationships/hyperlink" Target="I/Ind%20Eng%20Che%20Res36,%205403.pdf" TargetMode="External"/><Relationship Id="rId1184" Type="http://schemas.openxmlformats.org/officeDocument/2006/relationships/hyperlink" Target="I/Ind%20&amp;%20Eng%20Che%20Res41,%205341.pdf" TargetMode="External"/><Relationship Id="rId1405" Type="http://schemas.openxmlformats.org/officeDocument/2006/relationships/hyperlink" Target="2002/Inf%20Pro%20Man38,%20491.pdf" TargetMode="External"/><Relationship Id="rId1752" Type="http://schemas.openxmlformats.org/officeDocument/2006/relationships/hyperlink" Target="I/Int%20J%20Env%20Pol21,%20211.pdf" TargetMode="External"/><Relationship Id="rId2028" Type="http://schemas.openxmlformats.org/officeDocument/2006/relationships/hyperlink" Target="2011/Int%20J%20Pha7,%2012.pdf" TargetMode="External"/><Relationship Id="rId44" Type="http://schemas.openxmlformats.org/officeDocument/2006/relationships/hyperlink" Target="1994/FEMS%20Mic%20Rev14,%20325.pdf" TargetMode="External"/><Relationship Id="rId554" Type="http://schemas.openxmlformats.org/officeDocument/2006/relationships/hyperlink" Target="http://weblinks3.epnet.com/HJAFdetail.asp?tb=1&amp;_ug=dbs+0+ln+en%2Dus+sid+C3CD5652%2D8CBD%2D4FA1%2DA812%2DFAF430A672EE%40Sessionmgr2+2BDF&amp;_uh=btn+N+idb+afhish+jdb+afhjnh+op+phrase+ss+ID++EVZ+87CD&amp;_us=sm+ES+E6C7&amp;" TargetMode="External"/><Relationship Id="rId761" Type="http://schemas.openxmlformats.org/officeDocument/2006/relationships/hyperlink" Target="H/Hydrometallurgy67,%20109.pdf" TargetMode="External"/><Relationship Id="rId859" Type="http://schemas.openxmlformats.org/officeDocument/2006/relationships/hyperlink" Target="2004/Ind%20J%20Che%20Tec11,%20617.pdf" TargetMode="External"/><Relationship Id="rId1391" Type="http://schemas.openxmlformats.org/officeDocument/2006/relationships/hyperlink" Target="1994/Inf%20Pro%20Man30,%20535.pdf" TargetMode="External"/><Relationship Id="rId1489" Type="http://schemas.openxmlformats.org/officeDocument/2006/relationships/hyperlink" Target="2007/Inf%20Sof%20Tec49,%202.pdf" TargetMode="External"/><Relationship Id="rId1612" Type="http://schemas.openxmlformats.org/officeDocument/2006/relationships/hyperlink" Target="1960-80/Int%20For%20Inf%20Doc1,%2017.pdf" TargetMode="External"/><Relationship Id="rId1696" Type="http://schemas.openxmlformats.org/officeDocument/2006/relationships/hyperlink" Target="2010/Int%20J%20Che%20Rea%20Eng8,%20A108.pdf" TargetMode="External"/><Relationship Id="rId1917" Type="http://schemas.openxmlformats.org/officeDocument/2006/relationships/hyperlink" Target="http://www3.interscience.wiley.com/journal/118544021/home?CRETRY=1&amp;SRETRY=0" TargetMode="External"/><Relationship Id="rId193" Type="http://schemas.openxmlformats.org/officeDocument/2006/relationships/hyperlink" Target="2011/Fre%20Env%20Bul20,%20127.pdf" TargetMode="External"/><Relationship Id="rId207" Type="http://schemas.openxmlformats.org/officeDocument/2006/relationships/hyperlink" Target="1999/Fre%20J%20Ana%20Che363,%20224.pdf" TargetMode="External"/><Relationship Id="rId414" Type="http://schemas.openxmlformats.org/officeDocument/2006/relationships/hyperlink" Target="G/Geoderma90,%20131.pdf" TargetMode="External"/><Relationship Id="rId498" Type="http://schemas.openxmlformats.org/officeDocument/2006/relationships/hyperlink" Target="http://www.blackwell-synergy.com/loi/gwat" TargetMode="External"/><Relationship Id="rId621" Type="http://schemas.openxmlformats.org/officeDocument/2006/relationships/hyperlink" Target="http://books.google.com/books?id=9Vqzv-j41KUC&amp;pg=PT13&amp;dq=yuh-shan+ho&amp;hl=zh-TW" TargetMode="External"/><Relationship Id="rId1044" Type="http://schemas.openxmlformats.org/officeDocument/2006/relationships/hyperlink" Target="I/Ind%20Eng%20Che%20Pro%20Des%20Dev11,%20122.pdf" TargetMode="External"/><Relationship Id="rId1251" Type="http://schemas.openxmlformats.org/officeDocument/2006/relationships/hyperlink" Target="2006/Ind%20Eng%20Che%20Res45,%205165.pdf" TargetMode="External"/><Relationship Id="rId1349" Type="http://schemas.openxmlformats.org/officeDocument/2006/relationships/hyperlink" Target="2004/Ind%20Wat%20Tre27,%2052.pdf" TargetMode="External"/><Relationship Id="rId2081" Type="http://schemas.openxmlformats.org/officeDocument/2006/relationships/hyperlink" Target="2003/Int%20J%20Tec%20Ass%20Hea%20Car19,%20591.pdf" TargetMode="External"/><Relationship Id="rId260" Type="http://schemas.openxmlformats.org/officeDocument/2006/relationships/hyperlink" Target="http://www.sciencedirect.com/science?_ob=JournalURL&amp;_cdi=5243&amp;_auth=y&amp;_acct=C000011279&amp;_version=1&amp;_urlVersion=0&amp;_userid=1134284&amp;md5=eac95cc10acee30c3f46a4f31dc9bc69" TargetMode="External"/><Relationship Id="rId719" Type="http://schemas.openxmlformats.org/officeDocument/2006/relationships/image" Target="media/image6.wmf"/><Relationship Id="rId926" Type="http://schemas.openxmlformats.org/officeDocument/2006/relationships/hyperlink" Target="2009/Ind%20J%20Che%20Tec16,%20457.pdf" TargetMode="External"/><Relationship Id="rId1111" Type="http://schemas.openxmlformats.org/officeDocument/2006/relationships/hyperlink" Target="I/Ind%20Eng%20Che%20Res37,%202812.pdf" TargetMode="External"/><Relationship Id="rId1556" Type="http://schemas.openxmlformats.org/officeDocument/2006/relationships/hyperlink" Target="2005/Int%20Doc%20Sup33,%2090.pdf" TargetMode="External"/><Relationship Id="rId1763" Type="http://schemas.openxmlformats.org/officeDocument/2006/relationships/hyperlink" Target="2008/Int%20J%20Env%20Pol34,%2097.pdf" TargetMode="External"/><Relationship Id="rId1970" Type="http://schemas.openxmlformats.org/officeDocument/2006/relationships/hyperlink" Target="2011/Int%20J%20Med%20Inf80,%20849.pdf" TargetMode="External"/><Relationship Id="rId55" Type="http://schemas.openxmlformats.org/officeDocument/2006/relationships/hyperlink" Target="1960-80/Fet%20Sei%20Ans%20Ver%20Mit%20Zei%20Ern72,%2025.pdf" TargetMode="External"/><Relationship Id="rId120" Type="http://schemas.openxmlformats.org/officeDocument/2006/relationships/hyperlink" Target="http://www.sciencedirect.com/science/journal/13899341" TargetMode="External"/><Relationship Id="rId358" Type="http://schemas.openxmlformats.org/officeDocument/2006/relationships/hyperlink" Target="G/Geo%20Cos%20Act59,%203535.pdf" TargetMode="External"/><Relationship Id="rId565" Type="http://schemas.openxmlformats.org/officeDocument/2006/relationships/hyperlink" Target="http://e29.cnki.net/KNS50/Navi/item.aspx?NaviID=1&amp;BaseID=&amp;NaviLink=%e9%ab%98%e6%a0%a1%e4%bf%9d%e5%81%a5%e5%8c%bb%e5%ad%a6%e7%a0%94%e7%a9%b6%e4%b8%8e%e5%ae%9e%e8%b7%b5" TargetMode="External"/><Relationship Id="rId772" Type="http://schemas.openxmlformats.org/officeDocument/2006/relationships/hyperlink" Target="H/Hydrometallurgy72,%20327.pdf" TargetMode="External"/><Relationship Id="rId1195" Type="http://schemas.openxmlformats.org/officeDocument/2006/relationships/hyperlink" Target="I/Ind%20Eng%20Che%20Res42,%204881.pdf" TargetMode="External"/><Relationship Id="rId1209" Type="http://schemas.openxmlformats.org/officeDocument/2006/relationships/hyperlink" Target="I/Ind%20Eng%20Che%20Res43,%202247.pdf" TargetMode="External"/><Relationship Id="rId1416" Type="http://schemas.openxmlformats.org/officeDocument/2006/relationships/hyperlink" Target="2005/Inf%20Pro%20Man41,%201369.pdf" TargetMode="External"/><Relationship Id="rId1623" Type="http://schemas.openxmlformats.org/officeDocument/2006/relationships/hyperlink" Target="I/Int%20Inf%20Lib%20Rev30,%20367.pdf" TargetMode="External"/><Relationship Id="rId1830" Type="http://schemas.openxmlformats.org/officeDocument/2006/relationships/hyperlink" Target="http://www.ceers.org/ijest/issues/Browse_issues.asp" TargetMode="External"/><Relationship Id="rId2039" Type="http://schemas.openxmlformats.org/officeDocument/2006/relationships/hyperlink" Target="2009/Int%20J%20Phy%20Sci4,%20423.pdf" TargetMode="External"/><Relationship Id="rId218" Type="http://schemas.openxmlformats.org/officeDocument/2006/relationships/hyperlink" Target="2009/Fro%20Env%20Sci%20Eng%20Chi,%203,%20320.pdf" TargetMode="External"/><Relationship Id="rId425" Type="http://schemas.openxmlformats.org/officeDocument/2006/relationships/hyperlink" Target="2010/Geoderma155,%20434.pdf" TargetMode="External"/><Relationship Id="rId632" Type="http://schemas.openxmlformats.org/officeDocument/2006/relationships/hyperlink" Target="2011/Hem%20Ind65,%2023.pdf" TargetMode="External"/><Relationship Id="rId1055" Type="http://schemas.openxmlformats.org/officeDocument/2006/relationships/hyperlink" Target="1960-80/Ind%20Eng%20Che%20Pro%20Res%20Dev16,%20257.pdf" TargetMode="External"/><Relationship Id="rId1262" Type="http://schemas.openxmlformats.org/officeDocument/2006/relationships/hyperlink" Target="2007/Ind%20Eng%20Che%20Res46,%202438.pdf" TargetMode="External"/><Relationship Id="rId1928" Type="http://schemas.openxmlformats.org/officeDocument/2006/relationships/hyperlink" Target="http://www.sciencedirect.com/science?_ob=JournalURL&amp;_cdi=6829&amp;_auth=y&amp;_acct=C000053193&amp;_version=1&amp;_urlVersion=0&amp;_userid=1495547&amp;md5=ea8cfb5a71b783b9a9bf7f5165d414b4" TargetMode="External"/><Relationship Id="rId2092" Type="http://schemas.openxmlformats.org/officeDocument/2006/relationships/hyperlink" Target="http://www.sciencedirect.com/science?_ob=JournalURL&amp;_cdi=23223&amp;_auth=y&amp;_acct=C000047720&amp;_version=1&amp;_urlVersion=0&amp;_userid=2007471&amp;md5=d1c1fa1e9a483b354fcf3598a7391c81" TargetMode="External"/><Relationship Id="rId2106" Type="http://schemas.openxmlformats.org/officeDocument/2006/relationships/hyperlink" Target="2005/Int%20Psy17,%2031.pdf" TargetMode="External"/><Relationship Id="rId271" Type="http://schemas.openxmlformats.org/officeDocument/2006/relationships/hyperlink" Target="2006/Ful%20Nan%20Car%20Nan14,%20579.pdf" TargetMode="External"/><Relationship Id="rId937" Type="http://schemas.openxmlformats.org/officeDocument/2006/relationships/hyperlink" Target="2011/Ind%20J%20Che%20Tec18,%20137.pdf" TargetMode="External"/><Relationship Id="rId1122" Type="http://schemas.openxmlformats.org/officeDocument/2006/relationships/hyperlink" Target="I/Ind%20Eng%20Che%20Res38,%204946.pdf" TargetMode="External"/><Relationship Id="rId1567" Type="http://schemas.openxmlformats.org/officeDocument/2006/relationships/hyperlink" Target="http://springerlink.metapress.com/app/home/journal.asp?wasp=ngda3qwtlp0jrk5jte27&amp;referrer=parent&amp;backto=searchpublicationsresults,1,1;" TargetMode="External"/><Relationship Id="rId1774" Type="http://schemas.openxmlformats.org/officeDocument/2006/relationships/hyperlink" Target="2008/Int%20J%20Env%20Pol34,%20261.pdf" TargetMode="External"/><Relationship Id="rId1981" Type="http://schemas.openxmlformats.org/officeDocument/2006/relationships/hyperlink" Target="I/Int%20J%20Min%20Pro53,%20107.pdf" TargetMode="External"/><Relationship Id="rId66" Type="http://schemas.openxmlformats.org/officeDocument/2006/relationships/hyperlink" Target="1960-80/Fin%20Man30,%2099.pdf" TargetMode="External"/><Relationship Id="rId131" Type="http://schemas.openxmlformats.org/officeDocument/2006/relationships/hyperlink" Target="2001/Fre%20Env%20Bul10,%20197.pdf" TargetMode="External"/><Relationship Id="rId369" Type="http://schemas.openxmlformats.org/officeDocument/2006/relationships/hyperlink" Target="G/Geo%20Cos%20Act62,%20417.pdf" TargetMode="External"/><Relationship Id="rId576" Type="http://schemas.openxmlformats.org/officeDocument/2006/relationships/hyperlink" Target="2006/Hea%20Res%20Pol%20Sys4,%207.pdf" TargetMode="External"/><Relationship Id="rId783" Type="http://schemas.openxmlformats.org/officeDocument/2006/relationships/hyperlink" Target="2005/Hydrometallurgy79,%20154.pdf" TargetMode="External"/><Relationship Id="rId990" Type="http://schemas.openxmlformats.org/officeDocument/2006/relationships/hyperlink" Target="I/Ind%20Eng%20Che44,%20591.pdf" TargetMode="External"/><Relationship Id="rId1427" Type="http://schemas.openxmlformats.org/officeDocument/2006/relationships/hyperlink" Target="2006/Inf%20Pro%20Man42,%201592.pdf" TargetMode="External"/><Relationship Id="rId1634" Type="http://schemas.openxmlformats.org/officeDocument/2006/relationships/hyperlink" Target="http://www.artificial-organs.com/public/IJAO/Issue/Issue_List.aspx?Status=Archive" TargetMode="External"/><Relationship Id="rId1841" Type="http://schemas.openxmlformats.org/officeDocument/2006/relationships/hyperlink" Target="2008/Int%20J%20Env%20Sci%20Tec5,%2083.pdf" TargetMode="External"/><Relationship Id="rId229" Type="http://schemas.openxmlformats.org/officeDocument/2006/relationships/hyperlink" Target="F/Fuel67,%201703.pdf" TargetMode="External"/><Relationship Id="rId436" Type="http://schemas.openxmlformats.org/officeDocument/2006/relationships/hyperlink" Target="1988/Geo%20Soc%20Ame%20Bul100,%20625.pdf" TargetMode="External"/><Relationship Id="rId643" Type="http://schemas.openxmlformats.org/officeDocument/2006/relationships/hyperlink" Target="2011/Hernia15,%20615.pdf" TargetMode="External"/><Relationship Id="rId1066" Type="http://schemas.openxmlformats.org/officeDocument/2006/relationships/hyperlink" Target="I/Ind%20Eng%20Che%20Res26,%202042.pdf" TargetMode="External"/><Relationship Id="rId1273" Type="http://schemas.openxmlformats.org/officeDocument/2006/relationships/hyperlink" Target="2008/Ind%20Eng%20Che%20Res47,%20486.pdf" TargetMode="External"/><Relationship Id="rId1480" Type="http://schemas.openxmlformats.org/officeDocument/2006/relationships/hyperlink" Target="http://www.sciencedirect.com/science/journal/00200255" TargetMode="External"/><Relationship Id="rId1939" Type="http://schemas.openxmlformats.org/officeDocument/2006/relationships/hyperlink" Target="2011/Int%20J%20Imm38,%20411.pdf" TargetMode="External"/><Relationship Id="rId2117" Type="http://schemas.openxmlformats.org/officeDocument/2006/relationships/hyperlink" Target="2011/Int%20Psy23,%201026.pdf" TargetMode="External"/><Relationship Id="rId850" Type="http://schemas.openxmlformats.org/officeDocument/2006/relationships/hyperlink" Target="2004/Ind%20J%20Che%20Tec11,%2035.pdf" TargetMode="External"/><Relationship Id="rId948" Type="http://schemas.openxmlformats.org/officeDocument/2006/relationships/hyperlink" Target="I/Ind%20J%20Env%20Hea20,%20268.pdf" TargetMode="External"/><Relationship Id="rId1133" Type="http://schemas.openxmlformats.org/officeDocument/2006/relationships/hyperlink" Target="I/Ind%20Eng%20Che%20Res39,%202190.pdf" TargetMode="External"/><Relationship Id="rId1578" Type="http://schemas.openxmlformats.org/officeDocument/2006/relationships/hyperlink" Target="I/Int%20Bio%20Bio37,%20241.pdf" TargetMode="External"/><Relationship Id="rId1701" Type="http://schemas.openxmlformats.org/officeDocument/2006/relationships/hyperlink" Target="2011/Int%20J%20Che%20Rea%20Eng9,%20A90.pdf" TargetMode="External"/><Relationship Id="rId1785" Type="http://schemas.openxmlformats.org/officeDocument/2006/relationships/hyperlink" Target="2008/Int%20J%20Env%20Pol34,%20412.pdf" TargetMode="External"/><Relationship Id="rId1992" Type="http://schemas.openxmlformats.org/officeDocument/2006/relationships/hyperlink" Target="2011/Int%20J%20Min%20Pro100,%2072.pdf" TargetMode="External"/><Relationship Id="rId77" Type="http://schemas.openxmlformats.org/officeDocument/2006/relationships/hyperlink" Target="http://www.sciencedirect.com/science?_ob=PublicationURL&amp;_cdi=5036&amp;_pubType=J&amp;_auth=y&amp;_acct=C000053193&amp;_version=1&amp;_urlVersion=0&amp;_userid=1495547&amp;md5=424e17d68072e4f235bd48cd0d0a2ee6" TargetMode="External"/><Relationship Id="rId282" Type="http://schemas.openxmlformats.org/officeDocument/2006/relationships/hyperlink" Target="2002/Fun%20Cli%20Pha16,%2049.pdf" TargetMode="External"/><Relationship Id="rId503" Type="http://schemas.openxmlformats.org/officeDocument/2006/relationships/hyperlink" Target="2001/Gro%20Wat39,%20492.pdf" TargetMode="External"/><Relationship Id="rId587" Type="http://schemas.openxmlformats.org/officeDocument/2006/relationships/hyperlink" Target="1997/Hea%20Tec%20Ass1-14,%201.pdf" TargetMode="External"/><Relationship Id="rId710" Type="http://schemas.openxmlformats.org/officeDocument/2006/relationships/hyperlink" Target="2002/Hyd%20Ear%20Sys%20Sci6,%2085.pdf" TargetMode="External"/><Relationship Id="rId808" Type="http://schemas.openxmlformats.org/officeDocument/2006/relationships/hyperlink" Target="http://www.springerlink.com/(2nmrnq45kvy1zcuxgv3epdze)/app/home/contribution.asp?referrer=parent&amp;backto=issue,14,67;journal,28,51;linkingpublicationresults,1:101746,1" TargetMode="External"/><Relationship Id="rId1340" Type="http://schemas.openxmlformats.org/officeDocument/2006/relationships/hyperlink" Target="2012/Ind%20Eng%20Che%20Res51,%20454.pdf" TargetMode="External"/><Relationship Id="rId1438" Type="http://schemas.openxmlformats.org/officeDocument/2006/relationships/hyperlink" Target="2009/Inf%20Pro%20Man45,%20131.pdf" TargetMode="External"/><Relationship Id="rId1645" Type="http://schemas.openxmlformats.org/officeDocument/2006/relationships/hyperlink" Target="I/Int%20J%20Bio%20Mac24,%2049.pdf" TargetMode="External"/><Relationship Id="rId2170" Type="http://schemas.openxmlformats.org/officeDocument/2006/relationships/hyperlink" Target="http://www.springerlink.com/content/103371/" TargetMode="External"/><Relationship Id="rId8" Type="http://schemas.openxmlformats.org/officeDocument/2006/relationships/header" Target="header2.xml"/><Relationship Id="rId142" Type="http://schemas.openxmlformats.org/officeDocument/2006/relationships/hyperlink" Target="2003/Fre%20Env%20Bul12,%20736.pdf" TargetMode="External"/><Relationship Id="rId447" Type="http://schemas.openxmlformats.org/officeDocument/2006/relationships/hyperlink" Target="1995/Geo%20Res%20Let22,%209.pdf" TargetMode="External"/><Relationship Id="rId794" Type="http://schemas.openxmlformats.org/officeDocument/2006/relationships/hyperlink" Target="2007/Hydrometallurgy87,%20197.pdf" TargetMode="External"/><Relationship Id="rId1077" Type="http://schemas.openxmlformats.org/officeDocument/2006/relationships/hyperlink" Target="I/Ind%20Eng%20Che%20Res31,%202779.pdf" TargetMode="External"/><Relationship Id="rId1200" Type="http://schemas.openxmlformats.org/officeDocument/2006/relationships/hyperlink" Target="I/Ind%20Eng%20Che%20Res43,%20475.pdf" TargetMode="External"/><Relationship Id="rId1852" Type="http://schemas.openxmlformats.org/officeDocument/2006/relationships/hyperlink" Target="2009/Int%20J%20Env%20Sci%20Tec6,%20267.pdf" TargetMode="External"/><Relationship Id="rId2030" Type="http://schemas.openxmlformats.org/officeDocument/2006/relationships/hyperlink" Target="2011/Int%20J%20Pha7,%20325.pdf" TargetMode="External"/><Relationship Id="rId2128" Type="http://schemas.openxmlformats.org/officeDocument/2006/relationships/hyperlink" Target="2011/Ira%20J%20Che%20Che%20Eng-Int%20Eng%20Edi30,%2097.pdf" TargetMode="External"/><Relationship Id="rId654" Type="http://schemas.openxmlformats.org/officeDocument/2006/relationships/hyperlink" Target="2000/Hig%20Edu%20Eur25,%20193.pdf" TargetMode="External"/><Relationship Id="rId861" Type="http://schemas.openxmlformats.org/officeDocument/2006/relationships/hyperlink" Target="2004/Ind%20J%20Che%20Tec11,%20825.pdf" TargetMode="External"/><Relationship Id="rId959" Type="http://schemas.openxmlformats.org/officeDocument/2006/relationships/hyperlink" Target="2011/Ind%20J%20Pha%20Edu%20Res45,%2015.pdf" TargetMode="External"/><Relationship Id="rId1284" Type="http://schemas.openxmlformats.org/officeDocument/2006/relationships/hyperlink" Target="2008/Ind%20Eng%20Che%20Res47,%205623.pdf" TargetMode="External"/><Relationship Id="rId1491" Type="http://schemas.openxmlformats.org/officeDocument/2006/relationships/hyperlink" Target="2008/Inf%20Sof%20Tec50,%203.pdf" TargetMode="External"/><Relationship Id="rId1505" Type="http://schemas.openxmlformats.org/officeDocument/2006/relationships/hyperlink" Target="2003/Inf%20Stu%20The%20App26,%20371.pdf" TargetMode="External"/><Relationship Id="rId1589" Type="http://schemas.openxmlformats.org/officeDocument/2006/relationships/hyperlink" Target="I/Int%20Bio%20Bio54,%20203.pdf" TargetMode="External"/><Relationship Id="rId1712" Type="http://schemas.openxmlformats.org/officeDocument/2006/relationships/hyperlink" Target="I/Int%20J%20Coa%20Geo16,%201.pdf" TargetMode="External"/><Relationship Id="rId293" Type="http://schemas.openxmlformats.org/officeDocument/2006/relationships/hyperlink" Target="1999/Fuz%20Set%20Sys100,%20IX.pdf" TargetMode="External"/><Relationship Id="rId307" Type="http://schemas.openxmlformats.org/officeDocument/2006/relationships/hyperlink" Target="2011/Gai%20Pos34,%20443.pdf" TargetMode="External"/><Relationship Id="rId514" Type="http://schemas.openxmlformats.org/officeDocument/2006/relationships/hyperlink" Target="1999/Gyn%20End8,%20257.pdf" TargetMode="External"/><Relationship Id="rId721" Type="http://schemas.openxmlformats.org/officeDocument/2006/relationships/hyperlink" Target="H/Hydrometallurgy37,%2033.pdf" TargetMode="External"/><Relationship Id="rId1144" Type="http://schemas.openxmlformats.org/officeDocument/2006/relationships/hyperlink" Target="I/Ind%20Eng%20Che%20Res39,%203212.pdf" TargetMode="External"/><Relationship Id="rId1351" Type="http://schemas.openxmlformats.org/officeDocument/2006/relationships/hyperlink" Target="http://www.sciencedirect.com/science?_ob=JournalURL&amp;_cdi=6650&amp;_auth=y&amp;_acct=C000047720&amp;_version=1&amp;_urlVersion=0&amp;_userid=2007471&amp;md5=e75c0f8c24c7f050596233ef8244a1b5" TargetMode="External"/><Relationship Id="rId1449" Type="http://schemas.openxmlformats.org/officeDocument/2006/relationships/hyperlink" Target="I/Inf%20Res6%20(1).pdf" TargetMode="External"/><Relationship Id="rId1796" Type="http://schemas.openxmlformats.org/officeDocument/2006/relationships/hyperlink" Target="2004/Int%20J%20Env%20Ana%20Che84,%20133.pdf" TargetMode="External"/><Relationship Id="rId88" Type="http://schemas.openxmlformats.org/officeDocument/2006/relationships/hyperlink" Target="F/Foo%20Che%20Tox38,%20S65.pdf" TargetMode="External"/><Relationship Id="rId153" Type="http://schemas.openxmlformats.org/officeDocument/2006/relationships/hyperlink" Target="2004/Fre%20Env%20Bul13,%20251.pdf" TargetMode="External"/><Relationship Id="rId360" Type="http://schemas.openxmlformats.org/officeDocument/2006/relationships/hyperlink" Target="G/Geo%20Cos%20Act60,%202929.pdf" TargetMode="External"/><Relationship Id="rId598" Type="http://schemas.openxmlformats.org/officeDocument/2006/relationships/hyperlink" Target="2010/Hea%20Tec%20Ass14-30,%201.pdf" TargetMode="External"/><Relationship Id="rId819" Type="http://schemas.openxmlformats.org/officeDocument/2006/relationships/hyperlink" Target="-1959/IEE%20Tra%20Aut%20Con6,%20716.pdf" TargetMode="External"/><Relationship Id="rId1004" Type="http://schemas.openxmlformats.org/officeDocument/2006/relationships/hyperlink" Target="I/Ind%20Eng%20Che26,%20849.pdf" TargetMode="External"/><Relationship Id="rId1211" Type="http://schemas.openxmlformats.org/officeDocument/2006/relationships/hyperlink" Target="I/Ind%20Eng%20Che%20Res43,%202759.pdf" TargetMode="External"/><Relationship Id="rId1656" Type="http://schemas.openxmlformats.org/officeDocument/2006/relationships/hyperlink" Target="2006/Int%20J%20Bio%20Mac-Ho.pdf" TargetMode="External"/><Relationship Id="rId1863" Type="http://schemas.openxmlformats.org/officeDocument/2006/relationships/hyperlink" Target="2010/Int%20J%20Env%20Sci%20Tec7,%20497.pdf" TargetMode="External"/><Relationship Id="rId2041" Type="http://schemas.openxmlformats.org/officeDocument/2006/relationships/hyperlink" Target="2010/Int%20J%20Phy%20Sci5,%2062.pdf" TargetMode="External"/><Relationship Id="rId220" Type="http://schemas.openxmlformats.org/officeDocument/2006/relationships/hyperlink" Target="2010/Fro%20Env%20Sci%20Eng%20Chi4,%20116.pdf" TargetMode="External"/><Relationship Id="rId458" Type="http://schemas.openxmlformats.org/officeDocument/2006/relationships/hyperlink" Target="1999/Geo%20Res%20Let26,%201973.pdf" TargetMode="External"/><Relationship Id="rId665" Type="http://schemas.openxmlformats.org/officeDocument/2006/relationships/hyperlink" Target="2005/His%20Psy8,%20194.pdf" TargetMode="External"/><Relationship Id="rId872" Type="http://schemas.openxmlformats.org/officeDocument/2006/relationships/hyperlink" Target="2005/Ind%20J%20Che%20Tec12,%20513.pdf" TargetMode="External"/><Relationship Id="rId1088" Type="http://schemas.openxmlformats.org/officeDocument/2006/relationships/hyperlink" Target="I/Ind%20Eng%20Che%20Res35,%201378.pdf" TargetMode="External"/><Relationship Id="rId1295" Type="http://schemas.openxmlformats.org/officeDocument/2006/relationships/hyperlink" Target="2009/Ind%20Eng%20Che%20Res48,%203261.pdf" TargetMode="External"/><Relationship Id="rId1309" Type="http://schemas.openxmlformats.org/officeDocument/2006/relationships/hyperlink" Target="2009/Ind%20Eng%20Che%20Res48,%2010627.pdf" TargetMode="External"/><Relationship Id="rId1516" Type="http://schemas.openxmlformats.org/officeDocument/2006/relationships/hyperlink" Target="http://informahealthcare.com/loi/iht" TargetMode="External"/><Relationship Id="rId1723" Type="http://schemas.openxmlformats.org/officeDocument/2006/relationships/hyperlink" Target="http://www.springerlink.com/content/100430/?p=a67b994874d9479c8e3307b29d3cb98a&amp;pi=0" TargetMode="External"/><Relationship Id="rId1930" Type="http://schemas.openxmlformats.org/officeDocument/2006/relationships/hyperlink" Target="2007/Int%20J%20Hum-Com%20Stu65,%2042.pdf" TargetMode="External"/><Relationship Id="rId2139" Type="http://schemas.openxmlformats.org/officeDocument/2006/relationships/hyperlink" Target="2007/Ira%20J%20Env%20Hea%20Sci%20Eng4,%2085.pdf" TargetMode="External"/><Relationship Id="rId15" Type="http://schemas.openxmlformats.org/officeDocument/2006/relationships/hyperlink" Target="http://www.blackwell-synergy.com/loi/fabr" TargetMode="External"/><Relationship Id="rId318" Type="http://schemas.openxmlformats.org/officeDocument/2006/relationships/hyperlink" Target="2005/Gas%20Ads%20Equ,%20359.pdf" TargetMode="External"/><Relationship Id="rId525" Type="http://schemas.openxmlformats.org/officeDocument/2006/relationships/hyperlink" Target="2000/Haematologica85,%201172.pdf" TargetMode="External"/><Relationship Id="rId732" Type="http://schemas.openxmlformats.org/officeDocument/2006/relationships/hyperlink" Target="H/Hydrometallurgy49%20,151.pdf" TargetMode="External"/><Relationship Id="rId1155" Type="http://schemas.openxmlformats.org/officeDocument/2006/relationships/hyperlink" Target="I/Ind%20Eng%20Che%20Res40,%201200.pdf" TargetMode="External"/><Relationship Id="rId1362" Type="http://schemas.openxmlformats.org/officeDocument/2006/relationships/hyperlink" Target="1960-80/Inf%20Pro%20Man13,%201.pdf" TargetMode="External"/><Relationship Id="rId99" Type="http://schemas.openxmlformats.org/officeDocument/2006/relationships/hyperlink" Target="2012/Foo%20Che130,%20417.pdf" TargetMode="External"/><Relationship Id="rId164" Type="http://schemas.openxmlformats.org/officeDocument/2006/relationships/hyperlink" Target="2005/Fre%20Env%20Bul14,%20928.pdf" TargetMode="External"/><Relationship Id="rId371" Type="http://schemas.openxmlformats.org/officeDocument/2006/relationships/hyperlink" Target="G/Geo%20Cos%20Act63,%202891.pdf" TargetMode="External"/><Relationship Id="rId1015" Type="http://schemas.openxmlformats.org/officeDocument/2006/relationships/hyperlink" Target="I/Ind%20Eng%20Che%20Fun6,%20308.pdf" TargetMode="External"/><Relationship Id="rId1222" Type="http://schemas.openxmlformats.org/officeDocument/2006/relationships/hyperlink" Target="2004/Ind%20Eng%20Che%20Res43,%206629.pdf" TargetMode="External"/><Relationship Id="rId1667" Type="http://schemas.openxmlformats.org/officeDocument/2006/relationships/hyperlink" Target="1990/Int%20J%20Can46,%20608.pdf" TargetMode="External"/><Relationship Id="rId1874" Type="http://schemas.openxmlformats.org/officeDocument/2006/relationships/hyperlink" Target="2011/Int%20J%20Env%20Sci%20Tec8,%20631.pdf" TargetMode="External"/><Relationship Id="rId2052" Type="http://schemas.openxmlformats.org/officeDocument/2006/relationships/hyperlink" Target="1995/Int%20J%20Pro%20Man13,%20207.pdf" TargetMode="External"/><Relationship Id="rId469" Type="http://schemas.openxmlformats.org/officeDocument/2006/relationships/hyperlink" Target="1997/Glo%20Bio%20Cyc11,%2043.pdf" TargetMode="External"/><Relationship Id="rId676" Type="http://schemas.openxmlformats.org/officeDocument/2006/relationships/hyperlink" Target="2010/Homeopathy99,%2025.pdf" TargetMode="External"/><Relationship Id="rId883" Type="http://schemas.openxmlformats.org/officeDocument/2006/relationships/hyperlink" Target="2006/Ind%20J%20Che%20Tec13,%20476.pdf" TargetMode="External"/><Relationship Id="rId1099" Type="http://schemas.openxmlformats.org/officeDocument/2006/relationships/hyperlink" Target="I/Ind%20Eng%20Che%20Res36,%203631.pdf" TargetMode="External"/><Relationship Id="rId1527" Type="http://schemas.openxmlformats.org/officeDocument/2006/relationships/hyperlink" Target="I/Ino%20Chi%20Act266,%20125.pdf" TargetMode="External"/><Relationship Id="rId1734" Type="http://schemas.openxmlformats.org/officeDocument/2006/relationships/hyperlink" Target="http://www.electrochemsci.org/archive.htm" TargetMode="External"/><Relationship Id="rId1941" Type="http://schemas.openxmlformats.org/officeDocument/2006/relationships/hyperlink" Target="http://www.sciencedirect.com/science/journal/12019712" TargetMode="External"/><Relationship Id="rId26" Type="http://schemas.openxmlformats.org/officeDocument/2006/relationships/hyperlink" Target="2009/Fas%20J23,%202345.pdf" TargetMode="External"/><Relationship Id="rId231" Type="http://schemas.openxmlformats.org/officeDocument/2006/relationships/hyperlink" Target="F/Fuel69,%20516.pdf" TargetMode="External"/><Relationship Id="rId329" Type="http://schemas.openxmlformats.org/officeDocument/2006/relationships/hyperlink" Target="2003/Gastroenterology124,%2047.pdf" TargetMode="External"/><Relationship Id="rId536" Type="http://schemas.openxmlformats.org/officeDocument/2006/relationships/hyperlink" Target="http://hea.sagepub.com/archive/" TargetMode="External"/><Relationship Id="rId1166" Type="http://schemas.openxmlformats.org/officeDocument/2006/relationships/hyperlink" Target="I/Ind%20Eng%20Che%20Res40,%203973.pdf" TargetMode="External"/><Relationship Id="rId1373" Type="http://schemas.openxmlformats.org/officeDocument/2006/relationships/hyperlink" Target="1987/Inf%20Pro%20Man23,%20171.pdf" TargetMode="External"/><Relationship Id="rId175" Type="http://schemas.openxmlformats.org/officeDocument/2006/relationships/hyperlink" Target="2006/Fre%20Env%20Bul15,%20489.pdf" TargetMode="External"/><Relationship Id="rId743" Type="http://schemas.openxmlformats.org/officeDocument/2006/relationships/hyperlink" Target="H/Hydrometallurgy59,%20241.pdf" TargetMode="External"/><Relationship Id="rId950" Type="http://schemas.openxmlformats.org/officeDocument/2006/relationships/hyperlink" Target="I/Ind%20J%20Env%20Hea33,%20433.pdf" TargetMode="External"/><Relationship Id="rId1026" Type="http://schemas.openxmlformats.org/officeDocument/2006/relationships/hyperlink" Target="I/Ind%20Eng%20Che%20Fun12,%2095.pdf" TargetMode="External"/><Relationship Id="rId1580" Type="http://schemas.openxmlformats.org/officeDocument/2006/relationships/hyperlink" Target="I/Int%20Bio%20Bio37,%20242.pdf" TargetMode="External"/><Relationship Id="rId1678" Type="http://schemas.openxmlformats.org/officeDocument/2006/relationships/hyperlink" Target="2002/Int%20J%20Can97,%20365.pdf" TargetMode="External"/><Relationship Id="rId1801" Type="http://schemas.openxmlformats.org/officeDocument/2006/relationships/hyperlink" Target="http://journalsonline.tandf.co.uk/(k4sojz551e1fr4rnl3dw1t45)/app/home/journal.asp?referrer=backto&amp;backto=linkingpublicationresults,1:100636,1;&amp;absoluteposition=28" TargetMode="External"/><Relationship Id="rId1885" Type="http://schemas.openxmlformats.org/officeDocument/2006/relationships/hyperlink" Target="I/Int%20J%20Epi26,%2014.pdf" TargetMode="External"/><Relationship Id="rId382" Type="http://schemas.openxmlformats.org/officeDocument/2006/relationships/hyperlink" Target="G/Geo%20Cos%20Act65,%20803.pdf" TargetMode="External"/><Relationship Id="rId603" Type="http://schemas.openxmlformats.org/officeDocument/2006/relationships/hyperlink" Target="2010/Hea%20Tec%20Ass14-49,%201.pdf" TargetMode="External"/><Relationship Id="rId687" Type="http://schemas.openxmlformats.org/officeDocument/2006/relationships/hyperlink" Target="2010/Hum%20Eco%20Ris%20Ass-Mao.pdf" TargetMode="External"/><Relationship Id="rId810" Type="http://schemas.openxmlformats.org/officeDocument/2006/relationships/hyperlink" Target="http://ill.stic.gov.tw/e_pqlink.asp?pubID=000018021" TargetMode="External"/><Relationship Id="rId908" Type="http://schemas.openxmlformats.org/officeDocument/2006/relationships/hyperlink" Target="2008/Ind%20J%20Che%20Tec15,%20433.pdf" TargetMode="External"/><Relationship Id="rId1233" Type="http://schemas.openxmlformats.org/officeDocument/2006/relationships/hyperlink" Target="I/Ind%20Eng%20Che%20Res44,%202281.pdf" TargetMode="External"/><Relationship Id="rId1440" Type="http://schemas.openxmlformats.org/officeDocument/2006/relationships/hyperlink" Target="2009/Inf%20Pro%20Man45,%20469.pdf" TargetMode="External"/><Relationship Id="rId1538" Type="http://schemas.openxmlformats.org/officeDocument/2006/relationships/hyperlink" Target="2000/Interciencia25,%2037.pdf" TargetMode="External"/><Relationship Id="rId2063" Type="http://schemas.openxmlformats.org/officeDocument/2006/relationships/hyperlink" Target="2006/Int%20J%20Rad%20Onc%20Bio%20Phy65,%20965.pdf" TargetMode="External"/><Relationship Id="rId242" Type="http://schemas.openxmlformats.org/officeDocument/2006/relationships/hyperlink" Target="F/Fuel83,%20981.pdf" TargetMode="External"/><Relationship Id="rId894" Type="http://schemas.openxmlformats.org/officeDocument/2006/relationships/hyperlink" Target="2007/Ind%20J%20Che%20Tec14,%20441.pdf" TargetMode="External"/><Relationship Id="rId1177" Type="http://schemas.openxmlformats.org/officeDocument/2006/relationships/hyperlink" Target="PDF-Ref/Ind%20Eng%20Che%20Res41,%20180.pdf" TargetMode="External"/><Relationship Id="rId1300" Type="http://schemas.openxmlformats.org/officeDocument/2006/relationships/hyperlink" Target="2009/Ind%20Eng%20Che%20Res48,%205919.pdf" TargetMode="External"/><Relationship Id="rId1745" Type="http://schemas.openxmlformats.org/officeDocument/2006/relationships/hyperlink" Target="I/Int%20J%20Env%20Pol19,%20150.pdf" TargetMode="External"/><Relationship Id="rId1952" Type="http://schemas.openxmlformats.org/officeDocument/2006/relationships/hyperlink" Target="2011/Int%20J%20Leg%20Med125,%20717.pdf" TargetMode="External"/><Relationship Id="rId2130" Type="http://schemas.openxmlformats.org/officeDocument/2006/relationships/hyperlink" Target="2011/Ira%20J%20Ene%20Env2,%20250.pdf" TargetMode="External"/><Relationship Id="rId37" Type="http://schemas.openxmlformats.org/officeDocument/2006/relationships/hyperlink" Target="F/FEMS%20Mic%20Let100,%2033.pdf" TargetMode="External"/><Relationship Id="rId102" Type="http://schemas.openxmlformats.org/officeDocument/2006/relationships/hyperlink" Target="F/Foo%20Con12,%20311.pdf" TargetMode="External"/><Relationship Id="rId547" Type="http://schemas.openxmlformats.org/officeDocument/2006/relationships/hyperlink" Target="2007/Hea%20Edu%20Beh34,%2026.pdf" TargetMode="External"/><Relationship Id="rId754" Type="http://schemas.openxmlformats.org/officeDocument/2006/relationships/hyperlink" Target="H/Hydrometallurgy63,%2055.pdf" TargetMode="External"/><Relationship Id="rId961" Type="http://schemas.openxmlformats.org/officeDocument/2006/relationships/hyperlink" Target="http://www.springerlink.com/content/120545/?p=2b13b8da9b8941ff923a0dd87be7ee9b&amp;pi=0" TargetMode="External"/><Relationship Id="rId1384" Type="http://schemas.openxmlformats.org/officeDocument/2006/relationships/hyperlink" Target="1991/Inf%20Pro%20Man27,%20203.pdf" TargetMode="External"/><Relationship Id="rId1591" Type="http://schemas.openxmlformats.org/officeDocument/2006/relationships/hyperlink" Target="2007/Int%20Bio%20Bio59,%2073.pdf" TargetMode="External"/><Relationship Id="rId1605" Type="http://schemas.openxmlformats.org/officeDocument/2006/relationships/hyperlink" Target="2004/Int%20Con%20Exh%20Che%20Ind.pdf" TargetMode="External"/><Relationship Id="rId1689" Type="http://schemas.openxmlformats.org/officeDocument/2006/relationships/hyperlink" Target="2008/Int%20J%20Che%20Rea%20Eng6,%20A10.pdf" TargetMode="External"/><Relationship Id="rId1812" Type="http://schemas.openxmlformats.org/officeDocument/2006/relationships/hyperlink" Target="2009/Int%20J%20Env%20Res3,%20121.pdf" TargetMode="External"/><Relationship Id="rId90" Type="http://schemas.openxmlformats.org/officeDocument/2006/relationships/hyperlink" Target="F/Foo%20Che%20Tox38,%20S81.pdf" TargetMode="External"/><Relationship Id="rId186" Type="http://schemas.openxmlformats.org/officeDocument/2006/relationships/hyperlink" Target="2010/Fre%20Env%20Bul19,%20945.pdf" TargetMode="External"/><Relationship Id="rId393" Type="http://schemas.openxmlformats.org/officeDocument/2006/relationships/hyperlink" Target="http://www.sciencedirect.com/science?_ob=ArticleURL&amp;_aset=V-WA-A-W-CYD-MsSAYWA-UUW-U-AAVUEEEBDC-AABYCYUADC-ZAEUEDDZB-CYD-U&amp;_rdoc=5&amp;_fmt=full&amp;_udi=B6V66-4J4H8K7-1&amp;_coverDate=02%2F01%2F2006&amp;_cdi=5806&amp;_orig=search&amp;_st=13&amp;_sort=d&amp;view=c&amp;_acct=C000053193&amp;_version=1&amp;_urlVersion=0&amp;_userid=1495547&amp;md5=74fb13903a695504d6053a589f15c989" TargetMode="External"/><Relationship Id="rId407" Type="http://schemas.openxmlformats.org/officeDocument/2006/relationships/hyperlink" Target="G/Geoderma38,%20131.pdf" TargetMode="External"/><Relationship Id="rId614" Type="http://schemas.openxmlformats.org/officeDocument/2006/relationships/hyperlink" Target="2007/Heart93,%20303.pdf" TargetMode="External"/><Relationship Id="rId821" Type="http://schemas.openxmlformats.org/officeDocument/2006/relationships/hyperlink" Target="2008/IEE%20Tra%20Edu51,%20195.pdf" TargetMode="External"/><Relationship Id="rId1037" Type="http://schemas.openxmlformats.org/officeDocument/2006/relationships/hyperlink" Target="1960-80/Ind%20Eng%20Che%20Fun18,%20197.pdf" TargetMode="External"/><Relationship Id="rId1244" Type="http://schemas.openxmlformats.org/officeDocument/2006/relationships/hyperlink" Target="2006/Ind%20Eng%20Che%20Res45,%202255.pdf" TargetMode="External"/><Relationship Id="rId1451" Type="http://schemas.openxmlformats.org/officeDocument/2006/relationships/hyperlink" Target="I/Inf%20Res7%20(1).pdf" TargetMode="External"/><Relationship Id="rId1896" Type="http://schemas.openxmlformats.org/officeDocument/2006/relationships/hyperlink" Target="2008/Int%20J%20Epi37,%201041.pdf" TargetMode="External"/><Relationship Id="rId2074" Type="http://schemas.openxmlformats.org/officeDocument/2006/relationships/hyperlink" Target="I/Int%20J%20Ret%20Dis%20Man30,%20373.pdf" TargetMode="External"/><Relationship Id="rId253" Type="http://schemas.openxmlformats.org/officeDocument/2006/relationships/hyperlink" Target="http://www.sciencedirect.com/science?_ob=JournalURL&amp;_cdi=5725&amp;_auth=y&amp;_acct=C000050221&amp;_version=1&amp;_urlVersion=0&amp;_userid=10&amp;md5=ea5d48e687ba09ad292dc75b56cab666" TargetMode="External"/><Relationship Id="rId460" Type="http://schemas.openxmlformats.org/officeDocument/2006/relationships/hyperlink" Target="2003/Geo%20Res%20Let30,%201941.pdf" TargetMode="External"/><Relationship Id="rId698" Type="http://schemas.openxmlformats.org/officeDocument/2006/relationships/hyperlink" Target="1989/Hydrobiologia188,%20445.pdf" TargetMode="External"/><Relationship Id="rId919" Type="http://schemas.openxmlformats.org/officeDocument/2006/relationships/hyperlink" Target="2009/Ind%20J%20Che%20Tec16,%20240.pdf" TargetMode="External"/><Relationship Id="rId1090" Type="http://schemas.openxmlformats.org/officeDocument/2006/relationships/hyperlink" Target="I/Ind%20Eng%20Che%20Res35,%203171.pdf" TargetMode="External"/><Relationship Id="rId1104" Type="http://schemas.openxmlformats.org/officeDocument/2006/relationships/hyperlink" Target="I/Ind%20Eng%20Che%20Res37,%20253.pdf" TargetMode="External"/><Relationship Id="rId1311" Type="http://schemas.openxmlformats.org/officeDocument/2006/relationships/hyperlink" Target="2009/Ind%20Eng%20Che%20Res48,%2011236.pdf" TargetMode="External"/><Relationship Id="rId1549" Type="http://schemas.openxmlformats.org/officeDocument/2006/relationships/hyperlink" Target="2010/Interciencia35,%20510.pdf" TargetMode="External"/><Relationship Id="rId1756" Type="http://schemas.openxmlformats.org/officeDocument/2006/relationships/hyperlink" Target="2008/Int%20J%20Env%20Pol34,%201.pdf" TargetMode="External"/><Relationship Id="rId1963" Type="http://schemas.openxmlformats.org/officeDocument/2006/relationships/hyperlink" Target="http://www.sciencedirect.com/science/journal/13865056" TargetMode="External"/><Relationship Id="rId2141" Type="http://schemas.openxmlformats.org/officeDocument/2006/relationships/hyperlink" Target="2007/Ira%20J%20Env%20Hea%20Sci%20Eng4,%20169.pdf" TargetMode="External"/><Relationship Id="rId48" Type="http://schemas.openxmlformats.org/officeDocument/2006/relationships/hyperlink" Target="http://www.sciencedirect.com/science/journal/00150282" TargetMode="External"/><Relationship Id="rId113" Type="http://schemas.openxmlformats.org/officeDocument/2006/relationships/hyperlink" Target="F/For%20Sci%20Int62,%20173.pdf" TargetMode="External"/><Relationship Id="rId320" Type="http://schemas.openxmlformats.org/officeDocument/2006/relationships/hyperlink" Target="G/Gas%20Sep%20Pur3,%20187.pdf" TargetMode="External"/><Relationship Id="rId558" Type="http://schemas.openxmlformats.org/officeDocument/2006/relationships/hyperlink" Target="2006/Hea%20Inf%20Lib%20J23,%2013.pdf" TargetMode="External"/><Relationship Id="rId765" Type="http://schemas.openxmlformats.org/officeDocument/2006/relationships/hyperlink" Target="H/Hydrometallurgy71,%20201.pdf" TargetMode="External"/><Relationship Id="rId972" Type="http://schemas.openxmlformats.org/officeDocument/2006/relationships/hyperlink" Target="I/Ind%20Cro%20Pro7,%20239.pdf" TargetMode="External"/><Relationship Id="rId1188" Type="http://schemas.openxmlformats.org/officeDocument/2006/relationships/hyperlink" Target="I/Ind%20Eng%20Che%20Res41,%206436.pdf" TargetMode="External"/><Relationship Id="rId1395" Type="http://schemas.openxmlformats.org/officeDocument/2006/relationships/hyperlink" Target="1997/Inf%20Pro%20Man33,%2081.pdf" TargetMode="External"/><Relationship Id="rId1409" Type="http://schemas.openxmlformats.org/officeDocument/2006/relationships/hyperlink" Target="2003/Inf%20Pro%20Man39,%20889.pdf" TargetMode="External"/><Relationship Id="rId1616" Type="http://schemas.openxmlformats.org/officeDocument/2006/relationships/hyperlink" Target="http://www.sciencedirect.com/science?_ob=PublicationURL&amp;_cdi=6828&amp;_pubType=J&amp;_auth=y&amp;_acct=C000050221&amp;_version=1&amp;_urlVersion=0&amp;_userid=10&amp;md5=fef3dcd36aaafda7923f051b208be064" TargetMode="External"/><Relationship Id="rId1823" Type="http://schemas.openxmlformats.org/officeDocument/2006/relationships/hyperlink" Target="2011/Int%20J%20Env%20Res5,%20447.pdf" TargetMode="External"/><Relationship Id="rId2001" Type="http://schemas.openxmlformats.org/officeDocument/2006/relationships/hyperlink" Target="I/Int%20J%20Mul%20Flo22,%2096.pdf" TargetMode="External"/><Relationship Id="rId197" Type="http://schemas.openxmlformats.org/officeDocument/2006/relationships/hyperlink" Target="2011/Fre%20Env%20Bul20,%20764.pdf" TargetMode="External"/><Relationship Id="rId418" Type="http://schemas.openxmlformats.org/officeDocument/2006/relationships/hyperlink" Target="G/Geoderma102,%201.pdf" TargetMode="External"/><Relationship Id="rId625" Type="http://schemas.openxmlformats.org/officeDocument/2006/relationships/hyperlink" Target="2010/Hel%20Mar%20Res64,%20149.pdf" TargetMode="External"/><Relationship Id="rId832" Type="http://schemas.openxmlformats.org/officeDocument/2006/relationships/hyperlink" Target="2007/IEE%20Tra%20Pro%20Com50,%20352.pdf" TargetMode="External"/><Relationship Id="rId1048" Type="http://schemas.openxmlformats.org/officeDocument/2006/relationships/hyperlink" Target="I/Ind%20Eng%20Che%20Pro%20Des%20Dev19,%20712.pdf" TargetMode="External"/><Relationship Id="rId1255" Type="http://schemas.openxmlformats.org/officeDocument/2006/relationships/hyperlink" Target="2006/Ind%20Eng%20Che%20Res45,%207362.pdf" TargetMode="External"/><Relationship Id="rId1462" Type="http://schemas.openxmlformats.org/officeDocument/2006/relationships/hyperlink" Target="2009/Inf%20Res14,%20404.pdf" TargetMode="External"/><Relationship Id="rId2085" Type="http://schemas.openxmlformats.org/officeDocument/2006/relationships/hyperlink" Target="2011/Int%20J%20Tec%20Man53,%20161.pdf" TargetMode="External"/><Relationship Id="rId264" Type="http://schemas.openxmlformats.org/officeDocument/2006/relationships/hyperlink" Target="2008/Fue%20Pro%20Tec89,%2062.pdf" TargetMode="External"/><Relationship Id="rId471" Type="http://schemas.openxmlformats.org/officeDocument/2006/relationships/hyperlink" Target="2010/Glo%20Eco%20Bio19,%20287.pdf" TargetMode="External"/><Relationship Id="rId1115" Type="http://schemas.openxmlformats.org/officeDocument/2006/relationships/hyperlink" Target="I/Ind%20Eng%20Che%20Res38,%20270.pdf" TargetMode="External"/><Relationship Id="rId1322" Type="http://schemas.openxmlformats.org/officeDocument/2006/relationships/hyperlink" Target="2010/Ind%20Eng%20Che%20Res49,%208927.pdf" TargetMode="External"/><Relationship Id="rId1767" Type="http://schemas.openxmlformats.org/officeDocument/2006/relationships/hyperlink" Target="2008/Int%20J%20Env%20Pol34,%20151.pdf" TargetMode="External"/><Relationship Id="rId1974" Type="http://schemas.openxmlformats.org/officeDocument/2006/relationships/hyperlink" Target="I/Int%20J%20Min%20Pro5,%20241.pdf" TargetMode="External"/><Relationship Id="rId2152" Type="http://schemas.openxmlformats.org/officeDocument/2006/relationships/hyperlink" Target="2011/Ira%20J%20Env%20Hea%20Sci%20Eng8,%20101.pdf" TargetMode="External"/><Relationship Id="rId59" Type="http://schemas.openxmlformats.org/officeDocument/2006/relationships/hyperlink" Target="http://www.fibtex.lodz.pl/" TargetMode="External"/><Relationship Id="rId124" Type="http://schemas.openxmlformats.org/officeDocument/2006/relationships/hyperlink" Target="http://www.worldscinet.com/fractals/17/1704/S0218348X091704.html" TargetMode="External"/><Relationship Id="rId569" Type="http://schemas.openxmlformats.org/officeDocument/2006/relationships/hyperlink" Target="http://www.sciencedirect.com/science?_ob=JournalURL&amp;_cdi=5882&amp;_auth=y&amp;_acct=C000011279&amp;_version=1&amp;_urlVersion=0&amp;_userid=1134284&amp;md5=556f0e287411ba9199b076fecca7a232" TargetMode="External"/><Relationship Id="rId776" Type="http://schemas.openxmlformats.org/officeDocument/2006/relationships/hyperlink" Target="H/Hydrometallurgy73,%20123.pdf" TargetMode="External"/><Relationship Id="rId983" Type="http://schemas.openxmlformats.org/officeDocument/2006/relationships/hyperlink" Target="I/Ind%20Eng%20Che26,%20849.pdf" TargetMode="External"/><Relationship Id="rId1199" Type="http://schemas.openxmlformats.org/officeDocument/2006/relationships/hyperlink" Target="I/Ind%20Eng%20Che%20Res43,%201.pdf" TargetMode="External"/><Relationship Id="rId1627" Type="http://schemas.openxmlformats.org/officeDocument/2006/relationships/hyperlink" Target="I/Int%20Inf%20Lib%20Rev34,%20271.pdf" TargetMode="External"/><Relationship Id="rId1834" Type="http://schemas.openxmlformats.org/officeDocument/2006/relationships/hyperlink" Target="2007/Int%20J%20Env%20Sci%20Tec4,%2099.pdf" TargetMode="External"/><Relationship Id="rId331" Type="http://schemas.openxmlformats.org/officeDocument/2006/relationships/hyperlink" Target="2009/Gastroenterology136,%20A6.pdf" TargetMode="External"/><Relationship Id="rId429" Type="http://schemas.openxmlformats.org/officeDocument/2006/relationships/hyperlink" Target="2007/Geoforum38,%201190.pdf" TargetMode="External"/><Relationship Id="rId636" Type="http://schemas.openxmlformats.org/officeDocument/2006/relationships/hyperlink" Target="2008/Her%20Rus%20Aca%20Sci78,%20247.pdf" TargetMode="External"/><Relationship Id="rId1059" Type="http://schemas.openxmlformats.org/officeDocument/2006/relationships/hyperlink" Target="http://pubs3.acs.org/acs/journals/toc.page?incoden=iechad" TargetMode="External"/><Relationship Id="rId1266" Type="http://schemas.openxmlformats.org/officeDocument/2006/relationships/hyperlink" Target="2007/Ind%20Eng%20Che%20Res46,%203734.pdf" TargetMode="External"/><Relationship Id="rId1473" Type="http://schemas.openxmlformats.org/officeDocument/2006/relationships/hyperlink" Target="2003/Inf%20Sci21,%202173.pdf" TargetMode="External"/><Relationship Id="rId2012" Type="http://schemas.openxmlformats.org/officeDocument/2006/relationships/hyperlink" Target="2011/Int%20J%20Nur%20Stu48,%201140.pdf" TargetMode="External"/><Relationship Id="rId2096" Type="http://schemas.openxmlformats.org/officeDocument/2006/relationships/hyperlink" Target="I/Int%20Mic3,%2017.pdf" TargetMode="External"/><Relationship Id="rId843" Type="http://schemas.openxmlformats.org/officeDocument/2006/relationships/hyperlink" Target="2011/Imp%20Sci6,%2021.pdf" TargetMode="External"/><Relationship Id="rId1126" Type="http://schemas.openxmlformats.org/officeDocument/2006/relationships/hyperlink" Target="I/Ind%20Eng%20Che%20Res39,%201039.pdf" TargetMode="External"/><Relationship Id="rId1680" Type="http://schemas.openxmlformats.org/officeDocument/2006/relationships/hyperlink" Target="2005/Int%20J%20Car105,%20123.pdf" TargetMode="External"/><Relationship Id="rId1778" Type="http://schemas.openxmlformats.org/officeDocument/2006/relationships/hyperlink" Target="2008/Int%20J%20Env%20Pol34,%20308.pdf" TargetMode="External"/><Relationship Id="rId1901" Type="http://schemas.openxmlformats.org/officeDocument/2006/relationships/hyperlink" Target="2011/Int%20J%20Epi40,%201109.pdf" TargetMode="External"/><Relationship Id="rId1985" Type="http://schemas.openxmlformats.org/officeDocument/2006/relationships/hyperlink" Target="I/Int%20J%20Min%20Pro74,%20317.pdf" TargetMode="External"/><Relationship Id="rId275" Type="http://schemas.openxmlformats.org/officeDocument/2006/relationships/hyperlink" Target="http://www.sciencedirect.com/science?_ob=JournalURL&amp;_cdi=6803&amp;_auth=y&amp;_acct=C000047720&amp;_version=1&amp;_urlVersion=0&amp;_userid=2007471&amp;md5=9e24fd4aca0192dc76de07f359f3ecab" TargetMode="External"/><Relationship Id="rId482" Type="http://schemas.openxmlformats.org/officeDocument/2006/relationships/hyperlink" Target="http://www.gnest.org/Journal/journal.htm" TargetMode="External"/><Relationship Id="rId703" Type="http://schemas.openxmlformats.org/officeDocument/2006/relationships/hyperlink" Target="2010/Hydrobiologia653,%207.pdf" TargetMode="External"/><Relationship Id="rId910" Type="http://schemas.openxmlformats.org/officeDocument/2006/relationships/hyperlink" Target="2008/Ind%20J%20Che%20Tec15,%20500.pdf" TargetMode="External"/><Relationship Id="rId1333" Type="http://schemas.openxmlformats.org/officeDocument/2006/relationships/hyperlink" Target="2011/Ind%20Eng%20Che%20Res50,%206609.pdf" TargetMode="External"/><Relationship Id="rId1540" Type="http://schemas.openxmlformats.org/officeDocument/2006/relationships/hyperlink" Target="2005/Interciencia30,%20370.pdf" TargetMode="External"/><Relationship Id="rId1638" Type="http://schemas.openxmlformats.org/officeDocument/2006/relationships/hyperlink" Target="2009/Int%20J%20Beh%20Nut%20Phy%20Act6,%2028.pdf" TargetMode="External"/><Relationship Id="rId2163" Type="http://schemas.openxmlformats.org/officeDocument/2006/relationships/hyperlink" Target="2010/Ionics16,%20733.pdf" TargetMode="External"/><Relationship Id="rId135" Type="http://schemas.openxmlformats.org/officeDocument/2006/relationships/hyperlink" Target="2001/Fre%20Env%20Bul10,%20814.pdf" TargetMode="External"/><Relationship Id="rId342" Type="http://schemas.openxmlformats.org/officeDocument/2006/relationships/hyperlink" Target="2007/Gen%20Bio8,%20406.pdf" TargetMode="External"/><Relationship Id="rId787" Type="http://schemas.openxmlformats.org/officeDocument/2006/relationships/hyperlink" Target="2005/Hydrometallurgy80,%20107.pdf" TargetMode="External"/><Relationship Id="rId994" Type="http://schemas.openxmlformats.org/officeDocument/2006/relationships/hyperlink" Target="I/Ind%20Eng%20Che45,%201664.pdf" TargetMode="External"/><Relationship Id="rId1400" Type="http://schemas.openxmlformats.org/officeDocument/2006/relationships/hyperlink" Target="1998/Inf%20Pro%20Man34,%20465.pdf" TargetMode="External"/><Relationship Id="rId1845" Type="http://schemas.openxmlformats.org/officeDocument/2006/relationships/hyperlink" Target="2008/Int%20J%20Env%20Sci%20Tec5,%20275.pdf" TargetMode="External"/><Relationship Id="rId2023" Type="http://schemas.openxmlformats.org/officeDocument/2006/relationships/hyperlink" Target="2009/Int%20J%20Ped%20Oto73,%20513.pdf" TargetMode="External"/><Relationship Id="rId202" Type="http://schemas.openxmlformats.org/officeDocument/2006/relationships/hyperlink" Target="F/Fre%20J%20Ana%20Che357,%20801.pdf" TargetMode="External"/><Relationship Id="rId647" Type="http://schemas.openxmlformats.org/officeDocument/2006/relationships/hyperlink" Target="2009/Hig%20Edu57,%20393.pdf" TargetMode="External"/><Relationship Id="rId854" Type="http://schemas.openxmlformats.org/officeDocument/2006/relationships/hyperlink" Target="2004/Ind%20J%20Che%20Tec11,%2089.pdf" TargetMode="External"/><Relationship Id="rId1277" Type="http://schemas.openxmlformats.org/officeDocument/2006/relationships/hyperlink" Target="2008/Ind%20Eng%20Che%20Res47,%202018.pdf" TargetMode="External"/><Relationship Id="rId1484" Type="http://schemas.openxmlformats.org/officeDocument/2006/relationships/hyperlink" Target="http://www.revue-i3.org/index.php" TargetMode="External"/><Relationship Id="rId1691" Type="http://schemas.openxmlformats.org/officeDocument/2006/relationships/hyperlink" Target="2008/Int%20J%20Che%20Rea%20Eng6,%20A102.pdf" TargetMode="External"/><Relationship Id="rId1705" Type="http://schemas.openxmlformats.org/officeDocument/2006/relationships/hyperlink" Target="2011/Int%20J%20Cir%20Hea70,%20113.pdf" TargetMode="External"/><Relationship Id="rId1912" Type="http://schemas.openxmlformats.org/officeDocument/2006/relationships/hyperlink" Target="2011/Int%20J%20For27,%20166.pdf" TargetMode="External"/><Relationship Id="rId286" Type="http://schemas.openxmlformats.org/officeDocument/2006/relationships/hyperlink" Target="2008/Fus%20Eng%20Des83,%2039.pdf" TargetMode="External"/><Relationship Id="rId493" Type="http://schemas.openxmlformats.org/officeDocument/2006/relationships/hyperlink" Target="http://www.rsc.org/Publishing/Journals/GC/article.asp?type=CurrentIssue" TargetMode="External"/><Relationship Id="rId507" Type="http://schemas.openxmlformats.org/officeDocument/2006/relationships/hyperlink" Target="G/Gut41,%2014.pdf" TargetMode="External"/><Relationship Id="rId714" Type="http://schemas.openxmlformats.org/officeDocument/2006/relationships/hyperlink" Target="H/Hydrometallurgy6,%20311.pdf" TargetMode="External"/><Relationship Id="rId921" Type="http://schemas.openxmlformats.org/officeDocument/2006/relationships/hyperlink" Target="2009/Ind%20J%20Che%20Tec16,%20291.pdf" TargetMode="External"/><Relationship Id="rId1137" Type="http://schemas.openxmlformats.org/officeDocument/2006/relationships/hyperlink" Target="I/Ind%20Eng%20Che%20Res39,%202459.pdf" TargetMode="External"/><Relationship Id="rId1344" Type="http://schemas.openxmlformats.org/officeDocument/2006/relationships/hyperlink" Target="2009/Ind%20Hea47,%20202.pdf" TargetMode="External"/><Relationship Id="rId1551" Type="http://schemas.openxmlformats.org/officeDocument/2006/relationships/hyperlink" Target="2008/Interfaces38,%20125.pdf" TargetMode="External"/><Relationship Id="rId1789" Type="http://schemas.openxmlformats.org/officeDocument/2006/relationships/hyperlink" Target="2005/Int%20J%20Env%20Pol-Ho1.pdf" TargetMode="External"/><Relationship Id="rId1996" Type="http://schemas.openxmlformats.org/officeDocument/2006/relationships/hyperlink" Target="2008/Int%20J%20Mod%20Phy%20C19,%20371.pdf" TargetMode="External"/><Relationship Id="rId2174" Type="http://schemas.openxmlformats.org/officeDocument/2006/relationships/fontTable" Target="fontTable.xml"/><Relationship Id="rId50" Type="http://schemas.openxmlformats.org/officeDocument/2006/relationships/hyperlink" Target="2006/Fer%20Ste86,%20795.pdf" TargetMode="External"/><Relationship Id="rId146" Type="http://schemas.openxmlformats.org/officeDocument/2006/relationships/hyperlink" Target="2003/Fre%20Env%20Bul12,%201239.pdf" TargetMode="External"/><Relationship Id="rId353" Type="http://schemas.openxmlformats.org/officeDocument/2006/relationships/hyperlink" Target="G/Geo%20Cos%20Act54,%20761.pdf" TargetMode="External"/><Relationship Id="rId560" Type="http://schemas.openxmlformats.org/officeDocument/2006/relationships/hyperlink" Target="2008/Hea%20Inf%20Lib%20J25,%20116.pdf" TargetMode="External"/><Relationship Id="rId798" Type="http://schemas.openxmlformats.org/officeDocument/2006/relationships/hyperlink" Target="2008/Hydrometallurgy93,%201.pdf" TargetMode="External"/><Relationship Id="rId1190" Type="http://schemas.openxmlformats.org/officeDocument/2006/relationships/hyperlink" Target="I/Ind%20Eng%20Che%20Res42,%201955.pdf" TargetMode="External"/><Relationship Id="rId1204" Type="http://schemas.openxmlformats.org/officeDocument/2006/relationships/hyperlink" Target="I/Ind%20Eng%20Che%20Res43,%201740.pdf" TargetMode="External"/><Relationship Id="rId1411" Type="http://schemas.openxmlformats.org/officeDocument/2006/relationships/hyperlink" Target="2004/Inf%20Pro%20Man40,%20515.pdf" TargetMode="External"/><Relationship Id="rId1649" Type="http://schemas.openxmlformats.org/officeDocument/2006/relationships/hyperlink" Target="I/Int%20J%20Bio%20Mac33,%2057.pdf" TargetMode="External"/><Relationship Id="rId1856" Type="http://schemas.openxmlformats.org/officeDocument/2006/relationships/hyperlink" Target="2009/Int%20J%20Env%20Sci%20Tec6,%20629.pdf" TargetMode="External"/><Relationship Id="rId2034" Type="http://schemas.openxmlformats.org/officeDocument/2006/relationships/hyperlink" Target="http://www.acadjourn.org/IJPS/Archive.htm" TargetMode="External"/><Relationship Id="rId213" Type="http://schemas.openxmlformats.org/officeDocument/2006/relationships/hyperlink" Target="2012/Fro%20Com%20Neu6,%201.pdf" TargetMode="External"/><Relationship Id="rId420" Type="http://schemas.openxmlformats.org/officeDocument/2006/relationships/hyperlink" Target="G/Geoderma113,%2077.pdf" TargetMode="External"/><Relationship Id="rId658" Type="http://schemas.openxmlformats.org/officeDocument/2006/relationships/hyperlink" Target="http://taylorandfrancis.metapress.com/(plsdpyqrlg5uhw55p1tdph55)/app/home/journal.asp?referrer=parent&amp;backto=linkingpublicationresults,1:105359,1" TargetMode="External"/><Relationship Id="rId865" Type="http://schemas.openxmlformats.org/officeDocument/2006/relationships/hyperlink" Target="2005/Ind%20J%20Che%20Tec12,%20263.pdf" TargetMode="External"/><Relationship Id="rId1050" Type="http://schemas.openxmlformats.org/officeDocument/2006/relationships/hyperlink" Target="I/Ind%20Eng%20Che%20Pro%20Des%20Dev23,%20181.pdf" TargetMode="External"/><Relationship Id="rId1288" Type="http://schemas.openxmlformats.org/officeDocument/2006/relationships/hyperlink" Target="2009/Ind%20Eng%20Che%20Res48,%20870.pdf" TargetMode="External"/><Relationship Id="rId1495" Type="http://schemas.openxmlformats.org/officeDocument/2006/relationships/hyperlink" Target="http://www.sciencedirect.com/science?_ob=JournalURL&amp;_cdi=5948&amp;_auth=y&amp;_acct=C000011279&amp;_version=1&amp;_urlVersion=0&amp;_userid=1134284&amp;md5=f35a70b413655ede29ab59e469f919fd" TargetMode="External"/><Relationship Id="rId1509" Type="http://schemas.openxmlformats.org/officeDocument/2006/relationships/hyperlink" Target="2006/Inf%20Sys%20Res17,%20107.pdf" TargetMode="External"/><Relationship Id="rId1716" Type="http://schemas.openxmlformats.org/officeDocument/2006/relationships/hyperlink" Target="I/Int%20J%20Coa%20Geo27,%20227.pdf" TargetMode="External"/><Relationship Id="rId1923" Type="http://schemas.openxmlformats.org/officeDocument/2006/relationships/hyperlink" Target="2007/Int%20J%20Hea%20Geo6,%2046.pdf" TargetMode="External"/><Relationship Id="rId2101" Type="http://schemas.openxmlformats.org/officeDocument/2006/relationships/hyperlink" Target="2011/Int%20Nur%20Rev58,%2021.pdf" TargetMode="External"/><Relationship Id="rId297" Type="http://schemas.openxmlformats.org/officeDocument/2006/relationships/hyperlink" Target="2007/Gac%20San21,%20425.pdf" TargetMode="External"/><Relationship Id="rId518" Type="http://schemas.openxmlformats.org/officeDocument/2006/relationships/hyperlink" Target="1997/Haematologica82,%20496.pdf" TargetMode="External"/><Relationship Id="rId725" Type="http://schemas.openxmlformats.org/officeDocument/2006/relationships/hyperlink" Target="H/Hydrometallurgy42,%20245.pdf" TargetMode="External"/><Relationship Id="rId932" Type="http://schemas.openxmlformats.org/officeDocument/2006/relationships/hyperlink" Target="2010/Ind%20J%20Che%20Tec17,%20198.pdf" TargetMode="External"/><Relationship Id="rId1148" Type="http://schemas.openxmlformats.org/officeDocument/2006/relationships/hyperlink" Target="I/Ind%20Eng%20Che%20Res39,%204365.pdf" TargetMode="External"/><Relationship Id="rId1355" Type="http://schemas.openxmlformats.org/officeDocument/2006/relationships/hyperlink" Target="2010/Inf%20Soc-Est20,%2041.pdf" TargetMode="External"/><Relationship Id="rId1562" Type="http://schemas.openxmlformats.org/officeDocument/2006/relationships/hyperlink" Target="2010/Int%20Med49-Ho.pdf" TargetMode="External"/><Relationship Id="rId157" Type="http://schemas.openxmlformats.org/officeDocument/2006/relationships/hyperlink" Target="2004/Fre%20Env%20Bul13,%20560.pdf" TargetMode="External"/><Relationship Id="rId364" Type="http://schemas.openxmlformats.org/officeDocument/2006/relationships/hyperlink" Target="G/Geo%20Cos%20Act61,%202617.pdf" TargetMode="External"/><Relationship Id="rId1008" Type="http://schemas.openxmlformats.org/officeDocument/2006/relationships/hyperlink" Target="http://pubs3.acs.org/acs/journals/toc.page?incoden=iechad" TargetMode="External"/><Relationship Id="rId1215" Type="http://schemas.openxmlformats.org/officeDocument/2006/relationships/hyperlink" Target="I/Ind%20Eng%20Che%20Res43,%205032.pdf" TargetMode="External"/><Relationship Id="rId1422" Type="http://schemas.openxmlformats.org/officeDocument/2006/relationships/hyperlink" Target="2004/Inf%20Pro%20Man41,%20839.pdf" TargetMode="External"/><Relationship Id="rId1867" Type="http://schemas.openxmlformats.org/officeDocument/2006/relationships/hyperlink" Target="2010/Int%20J%20Env%20Sci%20Tec7,%20591.pdf" TargetMode="External"/><Relationship Id="rId2045" Type="http://schemas.openxmlformats.org/officeDocument/2006/relationships/hyperlink" Target="2008/Int%20J%20Phy10,%20133.pdf" TargetMode="External"/><Relationship Id="rId61" Type="http://schemas.openxmlformats.org/officeDocument/2006/relationships/hyperlink" Target="F/Fib%20Tex%20Eas%20Eur11,%2066.pdf" TargetMode="External"/><Relationship Id="rId571" Type="http://schemas.openxmlformats.org/officeDocument/2006/relationships/hyperlink" Target="H/Hea%20Pol45,%20133.pdf" TargetMode="External"/><Relationship Id="rId669" Type="http://schemas.openxmlformats.org/officeDocument/2006/relationships/hyperlink" Target="http://www.springeronline.com/sgw/cda/frontpage/0,11855,5-175-70-1007027-0,00.html" TargetMode="External"/><Relationship Id="rId876" Type="http://schemas.openxmlformats.org/officeDocument/2006/relationships/hyperlink" Target="2006/Ind%20J%20Che%20Tec13,%20122.pdf" TargetMode="External"/><Relationship Id="rId1299" Type="http://schemas.openxmlformats.org/officeDocument/2006/relationships/hyperlink" Target="2009/Ind%20Eng%20Che%20Res48,%205105.pdf" TargetMode="External"/><Relationship Id="rId1727" Type="http://schemas.openxmlformats.org/officeDocument/2006/relationships/hyperlink" Target="http://www.blackwell-synergy.com/servlet/useragent?func=synergy&amp;synergyAction=showFullText&amp;doi=10.1046/j.1365-4362.2003.01578.x&amp;area=production&amp;prevSearch=%2Ballfield%3Abibliometric" TargetMode="External"/><Relationship Id="rId1934" Type="http://schemas.openxmlformats.org/officeDocument/2006/relationships/hyperlink" Target="2001/Int%20J%20Hyd%20Ene26,%2013.pdf" TargetMode="External"/><Relationship Id="rId19" Type="http://schemas.openxmlformats.org/officeDocument/2006/relationships/hyperlink" Target="2012/Fam%20Pra29,%208.pdf" TargetMode="External"/><Relationship Id="rId224" Type="http://schemas.openxmlformats.org/officeDocument/2006/relationships/hyperlink" Target="http://www.sciencedirect.com/science?_ob=JournalURL&amp;_cdi=5726&amp;_auth=y&amp;_acct=C000050221&amp;_version=1&amp;_urlVersion=0&amp;_userid=10&amp;md5=4e523308cb5ed36d049b9168d774092c" TargetMode="External"/><Relationship Id="rId431" Type="http://schemas.openxmlformats.org/officeDocument/2006/relationships/hyperlink" Target="-1959/Geo%20Res125,%20398.pdf" TargetMode="External"/><Relationship Id="rId529" Type="http://schemas.openxmlformats.org/officeDocument/2006/relationships/hyperlink" Target="H/Hautarzt49,%20453.pdf" TargetMode="External"/><Relationship Id="rId736" Type="http://schemas.openxmlformats.org/officeDocument/2006/relationships/hyperlink" Target="H/Hydrometallurgy55,%20165.pdf" TargetMode="External"/><Relationship Id="rId1061" Type="http://schemas.openxmlformats.org/officeDocument/2006/relationships/hyperlink" Target="http://pubs3.acs.org/acs/journals/toc.page?incoden=iepdaw" TargetMode="External"/><Relationship Id="rId1159" Type="http://schemas.openxmlformats.org/officeDocument/2006/relationships/hyperlink" Target="I/Ind%20Eng%20Che%20Res40,%201712.pdf" TargetMode="External"/><Relationship Id="rId1366" Type="http://schemas.openxmlformats.org/officeDocument/2006/relationships/hyperlink" Target="1983/Inf%20Pro%20Man19,%20361.pdf" TargetMode="External"/><Relationship Id="rId2112" Type="http://schemas.openxmlformats.org/officeDocument/2006/relationships/hyperlink" Target="2009/Int%20Psy21,%201031.pdf" TargetMode="External"/><Relationship Id="rId168" Type="http://schemas.openxmlformats.org/officeDocument/2006/relationships/hyperlink" Target="2005/Fre%20Env%20Bul14,%20986.pdf" TargetMode="External"/><Relationship Id="rId943" Type="http://schemas.openxmlformats.org/officeDocument/2006/relationships/hyperlink" Target="http://www.niscair.res.in/sciencecommunication/researchjournals/rejour/ijca/ijca0.asp" TargetMode="External"/><Relationship Id="rId1019" Type="http://schemas.openxmlformats.org/officeDocument/2006/relationships/hyperlink" Target="I/Ind%20Eng%20Che%20Fun9,%20179.pdf" TargetMode="External"/><Relationship Id="rId1573" Type="http://schemas.openxmlformats.org/officeDocument/2006/relationships/hyperlink" Target="I/Int%20Bio%20Bio35,%205.pdf" TargetMode="External"/><Relationship Id="rId1780" Type="http://schemas.openxmlformats.org/officeDocument/2006/relationships/hyperlink" Target="2008/Int%20J%20Env%20Pol34,%20340.pdf" TargetMode="External"/><Relationship Id="rId1878" Type="http://schemas.openxmlformats.org/officeDocument/2006/relationships/hyperlink" Target="1988/Int%20J%20Epi17,%20434.pdf" TargetMode="External"/><Relationship Id="rId72" Type="http://schemas.openxmlformats.org/officeDocument/2006/relationships/hyperlink" Target="F/Flu%20Pha%20Equ160,%20557.pdf" TargetMode="External"/><Relationship Id="rId375" Type="http://schemas.openxmlformats.org/officeDocument/2006/relationships/hyperlink" Target="G/Geo%20Cos%20Act63,%203059.pdf" TargetMode="External"/><Relationship Id="rId582" Type="http://schemas.openxmlformats.org/officeDocument/2006/relationships/hyperlink" Target="http://www.blackwell-synergy.com/loi/hesr" TargetMode="External"/><Relationship Id="rId803" Type="http://schemas.openxmlformats.org/officeDocument/2006/relationships/hyperlink" Target="2009/Hydrometallurgy98,%20257.pdf" TargetMode="External"/><Relationship Id="rId1226" Type="http://schemas.openxmlformats.org/officeDocument/2006/relationships/hyperlink" Target="2004/Ind%20Eng%20Che%20Res43,%207865.pdf" TargetMode="External"/><Relationship Id="rId1433" Type="http://schemas.openxmlformats.org/officeDocument/2006/relationships/hyperlink" Target="2008/Inf%20Pro%20Man44,%20770.pdf" TargetMode="External"/><Relationship Id="rId1640" Type="http://schemas.openxmlformats.org/officeDocument/2006/relationships/hyperlink" Target="http://www.worldscinet.com/ijbc/19/1911/S02181274091911.html" TargetMode="External"/><Relationship Id="rId1738" Type="http://schemas.openxmlformats.org/officeDocument/2006/relationships/hyperlink" Target="I/Int%20J%20Ene%20Res22,%20943.pdf" TargetMode="External"/><Relationship Id="rId2056" Type="http://schemas.openxmlformats.org/officeDocument/2006/relationships/hyperlink" Target="http://www.sciencedirect.com/science/journal/01678760" TargetMode="External"/><Relationship Id="rId3" Type="http://schemas.openxmlformats.org/officeDocument/2006/relationships/settings" Target="settings.xml"/><Relationship Id="rId235" Type="http://schemas.openxmlformats.org/officeDocument/2006/relationships/hyperlink" Target="F/Fuel77,%201059.pdf" TargetMode="External"/><Relationship Id="rId442" Type="http://schemas.openxmlformats.org/officeDocument/2006/relationships/hyperlink" Target="G/Geomorphology17,%20207.pdf" TargetMode="External"/><Relationship Id="rId887" Type="http://schemas.openxmlformats.org/officeDocument/2006/relationships/hyperlink" Target="2006/Ind%20J%20Che%20Tec13,%20591.pdf" TargetMode="External"/><Relationship Id="rId1072" Type="http://schemas.openxmlformats.org/officeDocument/2006/relationships/hyperlink" Target="1991/Ind%20Eng%20Che%20Res30,%202523.pdf" TargetMode="External"/><Relationship Id="rId1500" Type="http://schemas.openxmlformats.org/officeDocument/2006/relationships/hyperlink" Target="1960-80/Inf%20Sto%20Ret7,%20141.pdf" TargetMode="External"/><Relationship Id="rId1945" Type="http://schemas.openxmlformats.org/officeDocument/2006/relationships/hyperlink" Target="http://www.sciencedirect.com/science/journal/02684012" TargetMode="External"/><Relationship Id="rId2123" Type="http://schemas.openxmlformats.org/officeDocument/2006/relationships/hyperlink" Target="2006/Ion%20Exc%20Ads22,%20134.pdf" TargetMode="External"/><Relationship Id="rId302" Type="http://schemas.openxmlformats.org/officeDocument/2006/relationships/hyperlink" Target="http://www.ingentaconnect.com/content/oekom/gaia;jsessionid=703ej077ts742.alice" TargetMode="External"/><Relationship Id="rId747" Type="http://schemas.openxmlformats.org/officeDocument/2006/relationships/hyperlink" Target="H/Hydrometallurgy60,%20129.pdf" TargetMode="External"/><Relationship Id="rId954" Type="http://schemas.openxmlformats.org/officeDocument/2006/relationships/hyperlink" Target="2010/Ind%20J%20Med%20Res131,%20373.pdf" TargetMode="External"/><Relationship Id="rId1377" Type="http://schemas.openxmlformats.org/officeDocument/2006/relationships/hyperlink" Target="1989/Inf%20Pro%20Man25,%20315.pdf" TargetMode="External"/><Relationship Id="rId1584" Type="http://schemas.openxmlformats.org/officeDocument/2006/relationships/hyperlink" Target="I/Int%20Bio%20Bio40,%20125.pdf" TargetMode="External"/><Relationship Id="rId1791" Type="http://schemas.openxmlformats.org/officeDocument/2006/relationships/hyperlink" Target="2011/Int%20J%20Env%20Pol45,%20123.pdf" TargetMode="External"/><Relationship Id="rId1805" Type="http://schemas.openxmlformats.org/officeDocument/2006/relationships/hyperlink" Target="2008/Int%20J%20Env%20Res2,%20239.pdf" TargetMode="External"/><Relationship Id="rId83" Type="http://schemas.openxmlformats.org/officeDocument/2006/relationships/hyperlink" Target="F/Foo%20Che%20Tox38,%20S13.pdf" TargetMode="External"/><Relationship Id="rId179" Type="http://schemas.openxmlformats.org/officeDocument/2006/relationships/hyperlink" Target="2008/Fre%20Env%20Bul17,%201307.pdf" TargetMode="External"/><Relationship Id="rId386" Type="http://schemas.openxmlformats.org/officeDocument/2006/relationships/hyperlink" Target="G/Geo%20Cos%20Act65,%203055.pdf" TargetMode="External"/><Relationship Id="rId593" Type="http://schemas.openxmlformats.org/officeDocument/2006/relationships/hyperlink" Target="2009/Hea%20Tec%20Ass13-62,%201.pdf" TargetMode="External"/><Relationship Id="rId607" Type="http://schemas.openxmlformats.org/officeDocument/2006/relationships/hyperlink" Target="2010/Hea%20Tec%20Ass14-55,%20493.pdf" TargetMode="External"/><Relationship Id="rId814" Type="http://schemas.openxmlformats.org/officeDocument/2006/relationships/hyperlink" Target="2008/IEE%20Int%20Sys23,%2010.pdf" TargetMode="External"/><Relationship Id="rId1237" Type="http://schemas.openxmlformats.org/officeDocument/2006/relationships/hyperlink" Target="I/Ind%20Eng%20Che%20Res44,%204221.pdf" TargetMode="External"/><Relationship Id="rId1444" Type="http://schemas.openxmlformats.org/officeDocument/2006/relationships/hyperlink" Target="2010/Inf%20Pro%20Man47,%20125.pdf" TargetMode="External"/><Relationship Id="rId1651" Type="http://schemas.openxmlformats.org/officeDocument/2006/relationships/hyperlink" Target="2006/Int%20J%20Bio%20Mac38,%2077.pdf" TargetMode="External"/><Relationship Id="rId1889" Type="http://schemas.openxmlformats.org/officeDocument/2006/relationships/hyperlink" Target="I/Int%20J%20Epi27,%20722.pdf" TargetMode="External"/><Relationship Id="rId2067" Type="http://schemas.openxmlformats.org/officeDocument/2006/relationships/hyperlink" Target="2011/Int%20J%20Rad%20Onc%20Bio%20Phy79,%20957.pdf" TargetMode="External"/><Relationship Id="rId246" Type="http://schemas.openxmlformats.org/officeDocument/2006/relationships/hyperlink" Target="2007/Fuel86,%20853.pdf" TargetMode="External"/><Relationship Id="rId453" Type="http://schemas.openxmlformats.org/officeDocument/2006/relationships/hyperlink" Target="1998/Geo%20Res%20Let25,%20547.pdf" TargetMode="External"/><Relationship Id="rId660" Type="http://schemas.openxmlformats.org/officeDocument/2006/relationships/hyperlink" Target="http://www.sciencedirect.com/science?_ob=JournalURL&amp;_cdi=6817&amp;_auth=y&amp;_acct=C000047720&amp;_version=1&amp;_urlVersion=0&amp;_userid=2007471&amp;md5=6c6196d4fb6666c43f398d84ffe1d170" TargetMode="External"/><Relationship Id="rId898" Type="http://schemas.openxmlformats.org/officeDocument/2006/relationships/hyperlink" Target="2008/Ind%20J%20Che%20Tec15,%2012.pdf" TargetMode="External"/><Relationship Id="rId1083" Type="http://schemas.openxmlformats.org/officeDocument/2006/relationships/hyperlink" Target="I/Ind%20Eng%20Che%20Res34,%20869.pdf" TargetMode="External"/><Relationship Id="rId1290" Type="http://schemas.openxmlformats.org/officeDocument/2006/relationships/hyperlink" Target="2009/Ind%20Eng%20Che%20Res48,%202125.pdf" TargetMode="External"/><Relationship Id="rId1304" Type="http://schemas.openxmlformats.org/officeDocument/2006/relationships/hyperlink" Target="2009/Ind%20Eng%20Che%20Res48,%207767.pdf" TargetMode="External"/><Relationship Id="rId1511" Type="http://schemas.openxmlformats.org/officeDocument/2006/relationships/hyperlink" Target="http://www.ala.org/ala/lita/litapublications/ital/italinformation.htm" TargetMode="External"/><Relationship Id="rId1749" Type="http://schemas.openxmlformats.org/officeDocument/2006/relationships/hyperlink" Target="I/Int%20J%20Env%20Pol19,%20603.pdf" TargetMode="External"/><Relationship Id="rId1956" Type="http://schemas.openxmlformats.org/officeDocument/2006/relationships/hyperlink" Target="2009/Int%20J%20Lib%20Inf%20Sci1,%2055.pdf" TargetMode="External"/><Relationship Id="rId2134" Type="http://schemas.openxmlformats.org/officeDocument/2006/relationships/hyperlink" Target="2005/Ira%20J%20Env%20Hea%20Sci%20Eng2,%20159.pdf" TargetMode="External"/><Relationship Id="rId106" Type="http://schemas.openxmlformats.org/officeDocument/2006/relationships/hyperlink" Target="http://www.sciencedirect.com/science?_ob=JournalURL&amp;_cdi=5040&amp;_auth=y&amp;_acct=C000047720&amp;_version=1&amp;_urlVersion=0&amp;_userid=2007471&amp;md5=a9f2353a3e5683582b2af26661ad545a" TargetMode="External"/><Relationship Id="rId313" Type="http://schemas.openxmlformats.org/officeDocument/2006/relationships/hyperlink" Target="2005/Gas%20Ads%20Equ,%2079.pdf" TargetMode="External"/><Relationship Id="rId758" Type="http://schemas.openxmlformats.org/officeDocument/2006/relationships/hyperlink" Target="H/Hydrometallurgy67,%2019.pdf" TargetMode="External"/><Relationship Id="rId965" Type="http://schemas.openxmlformats.org/officeDocument/2006/relationships/hyperlink" Target="2007/Ind%20Ped44,%2037.pdf" TargetMode="External"/><Relationship Id="rId1150" Type="http://schemas.openxmlformats.org/officeDocument/2006/relationships/hyperlink" Target="I/Ind%20Eng%20Che%20Res39,%204597.pdf" TargetMode="External"/><Relationship Id="rId1388" Type="http://schemas.openxmlformats.org/officeDocument/2006/relationships/hyperlink" Target="1994/Inf%20Pro%20Man30,%2033.pdf" TargetMode="External"/><Relationship Id="rId1595" Type="http://schemas.openxmlformats.org/officeDocument/2006/relationships/hyperlink" Target="2011/Int%20Bio%20Bio65,%20656.pdf" TargetMode="External"/><Relationship Id="rId1609" Type="http://schemas.openxmlformats.org/officeDocument/2006/relationships/hyperlink" Target="1998/Int%20Den%20J48,%20359.pdf" TargetMode="External"/><Relationship Id="rId1816" Type="http://schemas.openxmlformats.org/officeDocument/2006/relationships/hyperlink" Target="2009/Int%20J%20Env%20Res3,%20605.pdf" TargetMode="External"/><Relationship Id="rId10" Type="http://schemas.openxmlformats.org/officeDocument/2006/relationships/footer" Target="footer2.xml"/><Relationship Id="rId94" Type="http://schemas.openxmlformats.org/officeDocument/2006/relationships/hyperlink" Target="http://www.sciencedirect.com/science?_ob=JournalURL&amp;_cdi=5037&amp;_auth=y&amp;_acct=C000047720&amp;_version=1&amp;_urlVersion=0&amp;_userid=2007471&amp;md5=c2d863a29762abb6ff0e7cb27cfebde8" TargetMode="External"/><Relationship Id="rId397" Type="http://schemas.openxmlformats.org/officeDocument/2006/relationships/hyperlink" Target="2006/Geo%20Cos%20Act70,%20A474.pdf" TargetMode="External"/><Relationship Id="rId520" Type="http://schemas.openxmlformats.org/officeDocument/2006/relationships/hyperlink" Target="1997/Haematologica82,%20713.pdf" TargetMode="External"/><Relationship Id="rId618" Type="http://schemas.openxmlformats.org/officeDocument/2006/relationships/hyperlink" Target="2012/Heart98,%20185.pdf" TargetMode="External"/><Relationship Id="rId825" Type="http://schemas.openxmlformats.org/officeDocument/2006/relationships/hyperlink" Target="http://ieeexplore.ieee.org/Xplore/guesthome.jsp" TargetMode="External"/><Relationship Id="rId1248" Type="http://schemas.openxmlformats.org/officeDocument/2006/relationships/hyperlink" Target="2006/Ind%20Eng%20Che%20Res45,%203934.pdf" TargetMode="External"/><Relationship Id="rId1455" Type="http://schemas.openxmlformats.org/officeDocument/2006/relationships/hyperlink" Target="2004/Inf%20Res9,%20182.pdf" TargetMode="External"/><Relationship Id="rId1662" Type="http://schemas.openxmlformats.org/officeDocument/2006/relationships/hyperlink" Target="2010/Int%20J%20Bio%20Mac47,%20348.pdf" TargetMode="External"/><Relationship Id="rId2078" Type="http://schemas.openxmlformats.org/officeDocument/2006/relationships/hyperlink" Target="2011/Int%20J%20Sur9,%20451.pdf" TargetMode="External"/><Relationship Id="rId257" Type="http://schemas.openxmlformats.org/officeDocument/2006/relationships/hyperlink" Target="F/Fue%20Ene%20Abs37,%20140.pdf" TargetMode="External"/><Relationship Id="rId464" Type="http://schemas.openxmlformats.org/officeDocument/2006/relationships/hyperlink" Target="1991/Geophysics56,%20844.pdf" TargetMode="External"/><Relationship Id="rId1010" Type="http://schemas.openxmlformats.org/officeDocument/2006/relationships/hyperlink" Target="http://pubs3.acs.org/acs/journals/toc.page?incoden=iepdaw" TargetMode="External"/><Relationship Id="rId1094" Type="http://schemas.openxmlformats.org/officeDocument/2006/relationships/hyperlink" Target="I/Ind%20Eng%20Che%20Res36,%201524.pdf" TargetMode="External"/><Relationship Id="rId1108" Type="http://schemas.openxmlformats.org/officeDocument/2006/relationships/hyperlink" Target="I/Ind%20Eng%20Che%20Res37,%201422.pdf" TargetMode="External"/><Relationship Id="rId1315" Type="http://schemas.openxmlformats.org/officeDocument/2006/relationships/hyperlink" Target="2010/Ind%20Eng%20Che%20Res49,%202716.pdf" TargetMode="External"/><Relationship Id="rId1967" Type="http://schemas.openxmlformats.org/officeDocument/2006/relationships/hyperlink" Target="2009/Int%20J%20Med%20Inf78,%20293.pdf" TargetMode="External"/><Relationship Id="rId2145" Type="http://schemas.openxmlformats.org/officeDocument/2006/relationships/hyperlink" Target="2008/Ira%20J%20Env%20Hea%20Sci%20Eng5,%20195.pdf" TargetMode="External"/><Relationship Id="rId117" Type="http://schemas.openxmlformats.org/officeDocument/2006/relationships/hyperlink" Target="2007/Foresight9,%2033.pdf" TargetMode="External"/><Relationship Id="rId671" Type="http://schemas.openxmlformats.org/officeDocument/2006/relationships/hyperlink" Target="H/Hol%20Als%20Roh%20Wer62,%2050.pdf" TargetMode="External"/><Relationship Id="rId769" Type="http://schemas.openxmlformats.org/officeDocument/2006/relationships/hyperlink" Target="H/Hydrometallurgy72,%2021.pdf" TargetMode="External"/><Relationship Id="rId976" Type="http://schemas.openxmlformats.org/officeDocument/2006/relationships/hyperlink" Target="2011/Ind%20Cro%20Pro33,%20418.pdf" TargetMode="External"/><Relationship Id="rId1399" Type="http://schemas.openxmlformats.org/officeDocument/2006/relationships/hyperlink" Target="1998/Inf%20Pro%20Man34,%20341.pdf" TargetMode="External"/><Relationship Id="rId324" Type="http://schemas.openxmlformats.org/officeDocument/2006/relationships/hyperlink" Target="G/Gas%20Sep%20Pur8,%2067.pdf" TargetMode="External"/><Relationship Id="rId531" Type="http://schemas.openxmlformats.org/officeDocument/2006/relationships/hyperlink" Target="H/Haz%20Was%20Con12,%201.19.pdf" TargetMode="External"/><Relationship Id="rId629" Type="http://schemas.openxmlformats.org/officeDocument/2006/relationships/hyperlink" Target="2007/Helicobacter12,%201.pdf" TargetMode="External"/><Relationship Id="rId1161" Type="http://schemas.openxmlformats.org/officeDocument/2006/relationships/hyperlink" Target="I/Ind%20Eng%20Che%20Res40,%202302.pdf" TargetMode="External"/><Relationship Id="rId1259" Type="http://schemas.openxmlformats.org/officeDocument/2006/relationships/hyperlink" Target="2006/Ind%20Eng%20Che%20Res45,%209122.pdf" TargetMode="External"/><Relationship Id="rId1466" Type="http://schemas.openxmlformats.org/officeDocument/2006/relationships/hyperlink" Target="http://e41.cnki.net/KNS50/Navi/Bridge.aspx?LinkType=BaseLink&amp;DBCode=cjfd&amp;TableName=cjfdbaseinfo&amp;Field=BaseID&amp;Value=QBKX&amp;NaviLink=%e6%83%85%e6%8a%a5%e7%a7%91%e5%ad%a6" TargetMode="External"/><Relationship Id="rId2005" Type="http://schemas.openxmlformats.org/officeDocument/2006/relationships/hyperlink" Target="2008/Int%20J%20Nur%20Stu45,%20487.pdf" TargetMode="External"/><Relationship Id="rId836" Type="http://schemas.openxmlformats.org/officeDocument/2006/relationships/hyperlink" Target="I/IFLA%20Gen%20Con-Rios.pdf" TargetMode="External"/><Relationship Id="rId1021" Type="http://schemas.openxmlformats.org/officeDocument/2006/relationships/hyperlink" Target="I/Ind%20Eng%20Che%20Fun10,%2065.pdf" TargetMode="External"/><Relationship Id="rId1119" Type="http://schemas.openxmlformats.org/officeDocument/2006/relationships/hyperlink" Target="I/Ind%20Eng%20Che%20Res38,%204402.pdf" TargetMode="External"/><Relationship Id="rId1673" Type="http://schemas.openxmlformats.org/officeDocument/2006/relationships/hyperlink" Target="I/Int%20J%20Can77,%20528.pdf" TargetMode="External"/><Relationship Id="rId1880" Type="http://schemas.openxmlformats.org/officeDocument/2006/relationships/hyperlink" Target="1991/Int%20J%20Epi20,%20852.pdf" TargetMode="External"/><Relationship Id="rId1978" Type="http://schemas.openxmlformats.org/officeDocument/2006/relationships/hyperlink" Target="I/Int%20J%20Min%20Pro35,%2085.pdf" TargetMode="External"/><Relationship Id="rId903" Type="http://schemas.openxmlformats.org/officeDocument/2006/relationships/hyperlink" Target="2008/Ind%20J%20Che%20Tec15,%20163.pdf" TargetMode="External"/><Relationship Id="rId1326" Type="http://schemas.openxmlformats.org/officeDocument/2006/relationships/hyperlink" Target="2011/Ind%20Eng%20Che%20Res50,%20843.pdf" TargetMode="External"/><Relationship Id="rId1533" Type="http://schemas.openxmlformats.org/officeDocument/2006/relationships/hyperlink" Target="http://www.informaworld.com/smpp/title~db=all~content=t713701267" TargetMode="External"/><Relationship Id="rId1740" Type="http://schemas.openxmlformats.org/officeDocument/2006/relationships/hyperlink" Target="2011/Int%20J%20Eng%20Edu27,%2077.pdf" TargetMode="External"/><Relationship Id="rId32" Type="http://schemas.openxmlformats.org/officeDocument/2006/relationships/hyperlink" Target="http://www.sciencedirect.com/science?_ob=JournalURL&amp;_cdi=4928&amp;_auth=y&amp;_acct=C000050221&amp;_version=1&amp;_urlVersion=0&amp;_userid=10&amp;md5=1265e0c13fd5b3742a383d89103ff045" TargetMode="External"/><Relationship Id="rId1600" Type="http://schemas.openxmlformats.org/officeDocument/2006/relationships/hyperlink" Target="2010/Int%20Bus%20Rev19,%20235.pdf" TargetMode="External"/><Relationship Id="rId1838" Type="http://schemas.openxmlformats.org/officeDocument/2006/relationships/hyperlink" Target="2007/Int%20J%20Env%20Sci%20Tec4,%20525.pdf" TargetMode="External"/><Relationship Id="rId181" Type="http://schemas.openxmlformats.org/officeDocument/2006/relationships/hyperlink" Target="2009/Fre%20Env%20Bul18,%20369.pdf" TargetMode="External"/><Relationship Id="rId1905" Type="http://schemas.openxmlformats.org/officeDocument/2006/relationships/hyperlink" Target="I/Int%20J%20Foo%20Mic18,%20245.pdf" TargetMode="External"/><Relationship Id="rId279" Type="http://schemas.openxmlformats.org/officeDocument/2006/relationships/hyperlink" Target="F/Fun%20App%20Tox28,%20155.pdf" TargetMode="External"/><Relationship Id="rId486" Type="http://schemas.openxmlformats.org/officeDocument/2006/relationships/hyperlink" Target="http://www.sciencedirect.com/science/journal/09218181" TargetMode="External"/><Relationship Id="rId693" Type="http://schemas.openxmlformats.org/officeDocument/2006/relationships/hyperlink" Target="2011/Hum%20Rep%20Upd17,%20761.pdf" TargetMode="External"/><Relationship Id="rId2167" Type="http://schemas.openxmlformats.org/officeDocument/2006/relationships/hyperlink" Target="http://www.ceps.com.tw/ec/ecJnlIntro.aspx?Jnliid=768" TargetMode="External"/><Relationship Id="rId139" Type="http://schemas.openxmlformats.org/officeDocument/2006/relationships/hyperlink" Target="2002/Fre%20Env%20Bul11,%20377.pdf" TargetMode="External"/><Relationship Id="rId346" Type="http://schemas.openxmlformats.org/officeDocument/2006/relationships/hyperlink" Target="G/Geo%20Cos%20Act40,%20369.pdf" TargetMode="External"/><Relationship Id="rId553" Type="http://schemas.openxmlformats.org/officeDocument/2006/relationships/hyperlink" Target="2011/Hea%20Edu%20Res26,%201025.pdf" TargetMode="External"/><Relationship Id="rId760" Type="http://schemas.openxmlformats.org/officeDocument/2006/relationships/hyperlink" Target="H/Hydrometallurgy67,%2053.pdf" TargetMode="External"/><Relationship Id="rId998" Type="http://schemas.openxmlformats.org/officeDocument/2006/relationships/hyperlink" Target="1960-80/Ind%20Eng%20Che59,%2058.pdf" TargetMode="External"/><Relationship Id="rId1183" Type="http://schemas.openxmlformats.org/officeDocument/2006/relationships/hyperlink" Target="I/Ind%20&amp;%20Eng%20Che%20Res41,%205085.pdf" TargetMode="External"/><Relationship Id="rId1390" Type="http://schemas.openxmlformats.org/officeDocument/2006/relationships/hyperlink" Target="1994/Inf%20Pro%20Man30,%20407.pdf" TargetMode="External"/><Relationship Id="rId2027" Type="http://schemas.openxmlformats.org/officeDocument/2006/relationships/hyperlink" Target="2010/Int%20J%20Pha6,%20826.pdf" TargetMode="External"/><Relationship Id="rId206" Type="http://schemas.openxmlformats.org/officeDocument/2006/relationships/hyperlink" Target="F/Fre%20J%20Ana%20Che362,%20285.pdf" TargetMode="External"/><Relationship Id="rId413" Type="http://schemas.openxmlformats.org/officeDocument/2006/relationships/hyperlink" Target="G/Geoderma84,%20169.pdf" TargetMode="External"/><Relationship Id="rId858" Type="http://schemas.openxmlformats.org/officeDocument/2006/relationships/hyperlink" Target="2004/Ind%20J%20Che%20Tec11,%20607.pdf" TargetMode="External"/><Relationship Id="rId1043" Type="http://schemas.openxmlformats.org/officeDocument/2006/relationships/hyperlink" Target="I/Ind%20Eng%20Che%20Pro%20Des%20Dev5,%20177.pdf" TargetMode="External"/><Relationship Id="rId1488" Type="http://schemas.openxmlformats.org/officeDocument/2006/relationships/hyperlink" Target="2007/Inf%20Sof%20Tec49,%201.pdf" TargetMode="External"/><Relationship Id="rId1695" Type="http://schemas.openxmlformats.org/officeDocument/2006/relationships/hyperlink" Target="2010/Int%20J%20Che%20Rea%20Eng8,%20A98.pdf" TargetMode="External"/><Relationship Id="rId620" Type="http://schemas.openxmlformats.org/officeDocument/2006/relationships/hyperlink" Target="2008/Hea%20Lun%20Cir17,%20375.pdf" TargetMode="External"/><Relationship Id="rId718" Type="http://schemas.openxmlformats.org/officeDocument/2006/relationships/hyperlink" Target="H/Hydrometallurgy23,%20309.pdf" TargetMode="External"/><Relationship Id="rId925" Type="http://schemas.openxmlformats.org/officeDocument/2006/relationships/hyperlink" Target="2009/Ind%20J%20Che%20Tec16,%20417.pdf" TargetMode="External"/><Relationship Id="rId1250" Type="http://schemas.openxmlformats.org/officeDocument/2006/relationships/hyperlink" Target="2006/Ind%20Eng%20Che%20Res45,%204732.pdf" TargetMode="External"/><Relationship Id="rId1348" Type="http://schemas.openxmlformats.org/officeDocument/2006/relationships/hyperlink" Target="2004/Ind%20Wat%20Tre24,%201.pdf" TargetMode="External"/><Relationship Id="rId1555" Type="http://schemas.openxmlformats.org/officeDocument/2006/relationships/hyperlink" Target="I/Int%20Doc%20Sup30,%2080.pdf" TargetMode="External"/><Relationship Id="rId1762" Type="http://schemas.openxmlformats.org/officeDocument/2006/relationships/hyperlink" Target="2008/Int%20J%20Env%20Pol34,%2083.pdf" TargetMode="External"/><Relationship Id="rId1110" Type="http://schemas.openxmlformats.org/officeDocument/2006/relationships/hyperlink" Target="I/Ind%20Eng%20Che%20Res37,%202541.pdf" TargetMode="External"/><Relationship Id="rId1208" Type="http://schemas.openxmlformats.org/officeDocument/2006/relationships/hyperlink" Target="I/Ind%20Eng%20Che%20Res43,%202222.pdf" TargetMode="External"/><Relationship Id="rId1415" Type="http://schemas.openxmlformats.org/officeDocument/2006/relationships/hyperlink" Target="2005/Inf%20Pro%20Man41,%201360.pdf" TargetMode="External"/><Relationship Id="rId54" Type="http://schemas.openxmlformats.org/officeDocument/2006/relationships/hyperlink" Target="1960-80/Fet%20Sei%20Ans%20Ver%20Mit%20Zei%20Ern72,%2025.pdf" TargetMode="External"/><Relationship Id="rId1622" Type="http://schemas.openxmlformats.org/officeDocument/2006/relationships/hyperlink" Target="I/Int%20Inf%20Lib%20Rev30,%20169.pdf" TargetMode="External"/><Relationship Id="rId1927" Type="http://schemas.openxmlformats.org/officeDocument/2006/relationships/hyperlink" Target="1998/Int%20J%20Hig%20Per%20Com%20App12,%20411.%20pdf" TargetMode="External"/><Relationship Id="rId2091" Type="http://schemas.openxmlformats.org/officeDocument/2006/relationships/hyperlink" Target="http://www.sciencedirect.com/science?_ob=JournalURL&amp;_cdi=6828&amp;_auth=y&amp;_acct=C000047720&amp;_version=1&amp;_urlVersion=0&amp;_userid=2007471&amp;md5=fd59de0a60354431098b035e1c9189ce" TargetMode="External"/><Relationship Id="rId270" Type="http://schemas.openxmlformats.org/officeDocument/2006/relationships/hyperlink" Target="http://taylorandfrancis.metapress.com/(lzgo3tetaosmd445ohso5j55)/app/home/journal.asp?referrer=backto&amp;backto=linkingpublicationresults,1:107832,1;&amp;absoluteposition=1" TargetMode="External"/><Relationship Id="rId130" Type="http://schemas.openxmlformats.org/officeDocument/2006/relationships/hyperlink" Target="http://www.psp-parlar.de/" TargetMode="External"/><Relationship Id="rId368" Type="http://schemas.openxmlformats.org/officeDocument/2006/relationships/hyperlink" Target="G/Geo%20Cos%20Act61,%203319.pdf" TargetMode="External"/><Relationship Id="rId575" Type="http://schemas.openxmlformats.org/officeDocument/2006/relationships/hyperlink" Target="http://www.pubmedcentral.nih.gov/tocrender.fcgi?journal=143&amp;action=archive" TargetMode="External"/><Relationship Id="rId782" Type="http://schemas.openxmlformats.org/officeDocument/2006/relationships/hyperlink" Target="2005/Hydrometallurgy78,%20137.pdf" TargetMode="External"/><Relationship Id="rId2049" Type="http://schemas.openxmlformats.org/officeDocument/2006/relationships/hyperlink" Target="2010/Int%20J%20Pro%20Eco125,%20335.pdf" TargetMode="External"/><Relationship Id="rId228" Type="http://schemas.openxmlformats.org/officeDocument/2006/relationships/hyperlink" Target="F/Fuel66,%201171.pdf" TargetMode="External"/><Relationship Id="rId435" Type="http://schemas.openxmlformats.org/officeDocument/2006/relationships/hyperlink" Target="-1959/Geo%20Soc%20Ame%20Bul59,%20995.pdf" TargetMode="External"/><Relationship Id="rId642" Type="http://schemas.openxmlformats.org/officeDocument/2006/relationships/hyperlink" Target="2011/Her%20Rus%20Aca%20Sci81,%20569.pdf" TargetMode="External"/><Relationship Id="rId1065" Type="http://schemas.openxmlformats.org/officeDocument/2006/relationships/hyperlink" Target="http://pubs.acs.org/journals/iecred/index.html" TargetMode="External"/><Relationship Id="rId1272" Type="http://schemas.openxmlformats.org/officeDocument/2006/relationships/hyperlink" Target="2007/Ind%20Eng%20Che%20Res46,%208729.pdf" TargetMode="External"/><Relationship Id="rId2116" Type="http://schemas.openxmlformats.org/officeDocument/2006/relationships/hyperlink" Target="2011/Int%20Psy23,%20858.pdf" TargetMode="External"/><Relationship Id="rId502" Type="http://schemas.openxmlformats.org/officeDocument/2006/relationships/hyperlink" Target="2000/Gro%20Wat38,%20589.pdf" TargetMode="External"/><Relationship Id="rId947" Type="http://schemas.openxmlformats.org/officeDocument/2006/relationships/hyperlink" Target="2010/Ind%20J%20Eng%20Mat%20Sci17,%20382.pdf" TargetMode="External"/><Relationship Id="rId1132" Type="http://schemas.openxmlformats.org/officeDocument/2006/relationships/hyperlink" Target="I/Ind%20Eng%20Che%20Res39,%202169.pdf" TargetMode="External"/><Relationship Id="rId1577" Type="http://schemas.openxmlformats.org/officeDocument/2006/relationships/hyperlink" Target="I/Int%20Bio%20Bio37,%20239.pdf" TargetMode="External"/><Relationship Id="rId1784" Type="http://schemas.openxmlformats.org/officeDocument/2006/relationships/hyperlink" Target="2008/Int%20J%20Env%20Pol34,%20400.pdf" TargetMode="External"/><Relationship Id="rId1991" Type="http://schemas.openxmlformats.org/officeDocument/2006/relationships/hyperlink" Target="2010/Int%20J%20Min%20Pro97,%2068.pdf" TargetMode="External"/><Relationship Id="rId76" Type="http://schemas.openxmlformats.org/officeDocument/2006/relationships/hyperlink" Target="2011/Foo%20Bio%20Tec4,%20661.pdf" TargetMode="External"/><Relationship Id="rId807" Type="http://schemas.openxmlformats.org/officeDocument/2006/relationships/hyperlink" Target="2011/Hydrometallurgy105,%20314.pdf" TargetMode="External"/><Relationship Id="rId1437" Type="http://schemas.openxmlformats.org/officeDocument/2006/relationships/hyperlink" Target="2008/Inf%20Pro%20Man44,%201794.pdf" TargetMode="External"/><Relationship Id="rId1644" Type="http://schemas.openxmlformats.org/officeDocument/2006/relationships/hyperlink" Target="I/Int%20J%20Bio%20Mac21,%20115.pdf" TargetMode="External"/><Relationship Id="rId1851" Type="http://schemas.openxmlformats.org/officeDocument/2006/relationships/hyperlink" Target="2009/Int%20J%20Env%20Sci%20Tec6,%20243.pdf" TargetMode="External"/><Relationship Id="rId1504" Type="http://schemas.openxmlformats.org/officeDocument/2006/relationships/hyperlink" Target="http://www.defenseonline.com.cn/qbll/" TargetMode="External"/><Relationship Id="rId1711" Type="http://schemas.openxmlformats.org/officeDocument/2006/relationships/hyperlink" Target="I/Int%20J%20Coa%20Geo10,%20239.pdf" TargetMode="External"/><Relationship Id="rId1949" Type="http://schemas.openxmlformats.org/officeDocument/2006/relationships/hyperlink" Target="http://www.springerlink.com/app/home/contribution.asp?wasp=7cdbb931ec104d8fb772dd1eb9064225&amp;referrer=parent&amp;backto=issue,1,16;journal,4,54;searchpublicationsresults,1,2;" TargetMode="External"/><Relationship Id="rId292" Type="http://schemas.openxmlformats.org/officeDocument/2006/relationships/hyperlink" Target="F/Fuz%20Set%20Sys89,%20181.pdf" TargetMode="External"/><Relationship Id="rId1809" Type="http://schemas.openxmlformats.org/officeDocument/2006/relationships/hyperlink" Target="2008/Int%20J%20Env%20Res2,%20411.pdf" TargetMode="External"/><Relationship Id="rId597" Type="http://schemas.openxmlformats.org/officeDocument/2006/relationships/hyperlink" Target="2010/Hea%20Tec%20Ass14-16,%201.pdf" TargetMode="External"/><Relationship Id="rId152" Type="http://schemas.openxmlformats.org/officeDocument/2006/relationships/hyperlink" Target="2004/Fre%20Env%20Bul13,%20244.pdf" TargetMode="External"/><Relationship Id="rId457" Type="http://schemas.openxmlformats.org/officeDocument/2006/relationships/hyperlink" Target="1999/Geo%20Res%20Let26,%20759.pdf" TargetMode="External"/><Relationship Id="rId1087" Type="http://schemas.openxmlformats.org/officeDocument/2006/relationships/hyperlink" Target="1996/Ind%20Eng%20Che%20Res35,%20553.pdf" TargetMode="External"/><Relationship Id="rId1294" Type="http://schemas.openxmlformats.org/officeDocument/2006/relationships/hyperlink" Target="2009/Ind%20Eng%20Che%20Res48,%203589.pdf" TargetMode="External"/><Relationship Id="rId2040" Type="http://schemas.openxmlformats.org/officeDocument/2006/relationships/hyperlink" Target="2009/Int%20J%20Phy%20Sci4,%20683.pdf" TargetMode="External"/><Relationship Id="rId2138" Type="http://schemas.openxmlformats.org/officeDocument/2006/relationships/hyperlink" Target="2007/Ira%20J%20Env%20Hea%20Sci%20Eng4,%209.pdf" TargetMode="External"/><Relationship Id="rId664" Type="http://schemas.openxmlformats.org/officeDocument/2006/relationships/hyperlink" Target="http://www.sciencedirect.com/science?_ob=JournalURL&amp;_cdi=7190&amp;_auth=y&amp;_acct=C000011279&amp;_version=1&amp;_urlVersion=0&amp;_userid=3281709&amp;md5=e437b344528451847e9334ff99aab3c1" TargetMode="External"/><Relationship Id="rId871" Type="http://schemas.openxmlformats.org/officeDocument/2006/relationships/hyperlink" Target="2005/Ind%20J%20Che%20Tec12,%20425.pdf" TargetMode="External"/><Relationship Id="rId969" Type="http://schemas.openxmlformats.org/officeDocument/2006/relationships/hyperlink" Target="I/Ind%20Cor%20Cha9,%20143.pdf" TargetMode="External"/><Relationship Id="rId1599" Type="http://schemas.openxmlformats.org/officeDocument/2006/relationships/hyperlink" Target="http://www.sciencedirect.com/science/journal/09695931" TargetMode="External"/><Relationship Id="rId317" Type="http://schemas.openxmlformats.org/officeDocument/2006/relationships/hyperlink" Target="2005/Gas%20Ads%20Equ,%20287.pdf" TargetMode="External"/><Relationship Id="rId524" Type="http://schemas.openxmlformats.org/officeDocument/2006/relationships/hyperlink" Target="2001/Haematologica86,%201015.pdf" TargetMode="External"/><Relationship Id="rId731" Type="http://schemas.openxmlformats.org/officeDocument/2006/relationships/hyperlink" Target="H/Hydrometallurgy48,%2065.pdf" TargetMode="External"/><Relationship Id="rId1154" Type="http://schemas.openxmlformats.org/officeDocument/2006/relationships/hyperlink" Target="I/Ind%20Eng%20Che%20Res40,%20862.pdf" TargetMode="External"/><Relationship Id="rId1361" Type="http://schemas.openxmlformats.org/officeDocument/2006/relationships/hyperlink" Target="http://www.sciencedirect.com/science?_ob=JournalURL&amp;_cdi=5948&amp;_auth=y&amp;_acct=C000011279&amp;_version=1&amp;_urlVersion=0&amp;_userid=1134284&amp;md5=f35a70b413655ede29ab59e469f919fd" TargetMode="External"/><Relationship Id="rId1459" Type="http://schemas.openxmlformats.org/officeDocument/2006/relationships/hyperlink" Target="2005/Inf%20Res11,%20245.pdf" TargetMode="External"/><Relationship Id="rId98" Type="http://schemas.openxmlformats.org/officeDocument/2006/relationships/hyperlink" Target="2010/Foo%20Che123,%201027.pdf" TargetMode="External"/><Relationship Id="rId829" Type="http://schemas.openxmlformats.org/officeDocument/2006/relationships/hyperlink" Target="2011/IEE%20Tra%20Kno%20Dat%20Eng23,%201274.pdf" TargetMode="External"/><Relationship Id="rId1014" Type="http://schemas.openxmlformats.org/officeDocument/2006/relationships/hyperlink" Target="I/Ind%20Eng%20Che%20Fun6,%20156.pdf" TargetMode="External"/><Relationship Id="rId1221" Type="http://schemas.openxmlformats.org/officeDocument/2006/relationships/hyperlink" Target="2004/Ind%20Eng%20Che%20Res43,%206507.pdf" TargetMode="External"/><Relationship Id="rId1666" Type="http://schemas.openxmlformats.org/officeDocument/2006/relationships/hyperlink" Target="http://www3.interscience.wiley.com/cgi-bin/jtoc?ID=29331" TargetMode="External"/><Relationship Id="rId1873" Type="http://schemas.openxmlformats.org/officeDocument/2006/relationships/hyperlink" Target="2011/Int%20J%20Env%20Sci%20Tec8,%20561.pdf" TargetMode="External"/><Relationship Id="rId1319" Type="http://schemas.openxmlformats.org/officeDocument/2006/relationships/hyperlink" Target="2010/Ind%20Eng%20Che%20Res49,%207017.pdf" TargetMode="External"/><Relationship Id="rId1526" Type="http://schemas.openxmlformats.org/officeDocument/2006/relationships/hyperlink" Target="I/Ino%20Chi%20Act259,%20179.pdf" TargetMode="External"/><Relationship Id="rId1733" Type="http://schemas.openxmlformats.org/officeDocument/2006/relationships/hyperlink" Target="2010/Int%20J%20Der49,%201276.pdf" TargetMode="External"/><Relationship Id="rId1940" Type="http://schemas.openxmlformats.org/officeDocument/2006/relationships/hyperlink" Target="2008/Int%20J%20Ind%20Org26,%201044.pdf" TargetMode="External"/><Relationship Id="rId25" Type="http://schemas.openxmlformats.org/officeDocument/2006/relationships/hyperlink" Target="2008/Fas%20J22,%202623.pdf" TargetMode="External"/><Relationship Id="rId1800" Type="http://schemas.openxmlformats.org/officeDocument/2006/relationships/hyperlink" Target="2011/Int%20J%20Env%20Ana%20Che91,%20615.pdf" TargetMode="External"/><Relationship Id="rId174" Type="http://schemas.openxmlformats.org/officeDocument/2006/relationships/hyperlink" Target="2006/Fre%20Env%20Bul15,%20437.pdf" TargetMode="External"/><Relationship Id="rId381" Type="http://schemas.openxmlformats.org/officeDocument/2006/relationships/hyperlink" Target="G/Geo%20Cos%20Act64,%202637.pdf" TargetMode="External"/><Relationship Id="rId2062" Type="http://schemas.openxmlformats.org/officeDocument/2006/relationships/hyperlink" Target="http://www.sciencedirect.com/science/journal/03603016" TargetMode="External"/><Relationship Id="rId241" Type="http://schemas.openxmlformats.org/officeDocument/2006/relationships/hyperlink" Target="2002/Fuel81,%202407.pdf" TargetMode="External"/><Relationship Id="rId479" Type="http://schemas.openxmlformats.org/officeDocument/2006/relationships/hyperlink" Target="G/Glo%20Nes%20Int%20J2,%20237.pdf" TargetMode="External"/><Relationship Id="rId686" Type="http://schemas.openxmlformats.org/officeDocument/2006/relationships/hyperlink" Target="2010/Hum%20Eco%20Ris%20Ass16,%20801.pdf" TargetMode="External"/><Relationship Id="rId893" Type="http://schemas.openxmlformats.org/officeDocument/2006/relationships/hyperlink" Target="2007/Ind%20J%20Che%20Tec14,%20362.pdf" TargetMode="External"/><Relationship Id="rId339" Type="http://schemas.openxmlformats.org/officeDocument/2006/relationships/hyperlink" Target="http://www.funpecrp.com.br/gmr/all_issues.htm" TargetMode="External"/><Relationship Id="rId546" Type="http://schemas.openxmlformats.org/officeDocument/2006/relationships/hyperlink" Target="http://heb.sagepub.com/archive/" TargetMode="External"/><Relationship Id="rId753" Type="http://schemas.openxmlformats.org/officeDocument/2006/relationships/hyperlink" Target="H/Hydrometallurgy63,%2031.pdf" TargetMode="External"/><Relationship Id="rId1176" Type="http://schemas.openxmlformats.org/officeDocument/2006/relationships/hyperlink" Target="I/Ind%20Eng%20Che%20Res41,%201651.pdf" TargetMode="External"/><Relationship Id="rId1383" Type="http://schemas.openxmlformats.org/officeDocument/2006/relationships/hyperlink" Target="1990/Inf%20Pro%20Man26,%20777.pdf" TargetMode="External"/><Relationship Id="rId101" Type="http://schemas.openxmlformats.org/officeDocument/2006/relationships/hyperlink" Target="http://www.sciencedirect.com/science?_ob=JournalURL&amp;_cdi=5038&amp;_auth=y&amp;_acct=C000047720&amp;_version=1&amp;_urlVersion=0&amp;_userid=2007471&amp;md5=20407eef5e7335bca25de2f0a002fa06" TargetMode="External"/><Relationship Id="rId406" Type="http://schemas.openxmlformats.org/officeDocument/2006/relationships/hyperlink" Target="G/Geoderma19,%20159.pdf" TargetMode="External"/><Relationship Id="rId960" Type="http://schemas.openxmlformats.org/officeDocument/2006/relationships/hyperlink" Target="http://indianpediatrics.net/" TargetMode="External"/><Relationship Id="rId1036" Type="http://schemas.openxmlformats.org/officeDocument/2006/relationships/hyperlink" Target="1960-80/Ind%20Eng%20Che%20Fun18,%20197.pdf" TargetMode="External"/><Relationship Id="rId1243" Type="http://schemas.openxmlformats.org/officeDocument/2006/relationships/hyperlink" Target="2006/Ind%20Eng%20Che%20Res45,%201780.pdf" TargetMode="External"/><Relationship Id="rId1590" Type="http://schemas.openxmlformats.org/officeDocument/2006/relationships/hyperlink" Target="I/Int%20Bio%20Bio54,%20209.pdf" TargetMode="External"/><Relationship Id="rId1688" Type="http://schemas.openxmlformats.org/officeDocument/2006/relationships/hyperlink" Target="2006/Int%20J%20Che%20Rea%20Eng4,%20A16.pdf" TargetMode="External"/><Relationship Id="rId1895" Type="http://schemas.openxmlformats.org/officeDocument/2006/relationships/hyperlink" Target="2005/Int%20J%20Epi34,%201425.pdf" TargetMode="External"/><Relationship Id="rId613" Type="http://schemas.openxmlformats.org/officeDocument/2006/relationships/hyperlink" Target="1999/Heart82,%20455.pdf" TargetMode="External"/><Relationship Id="rId820" Type="http://schemas.openxmlformats.org/officeDocument/2006/relationships/hyperlink" Target="2008/IEE%20Tra%20Edu51,%20152.pdf" TargetMode="External"/><Relationship Id="rId918" Type="http://schemas.openxmlformats.org/officeDocument/2006/relationships/hyperlink" Target="2009/Ind%20J%20Che%20Tec16,%20234.pdf" TargetMode="External"/><Relationship Id="rId1450" Type="http://schemas.openxmlformats.org/officeDocument/2006/relationships/hyperlink" Target="I/Inf%20Res6%20(3).pdf" TargetMode="External"/><Relationship Id="rId1548" Type="http://schemas.openxmlformats.org/officeDocument/2006/relationships/hyperlink" Target="2009/Interciencia34,%20830.pdf" TargetMode="External"/><Relationship Id="rId1755" Type="http://schemas.openxmlformats.org/officeDocument/2006/relationships/hyperlink" Target="2006/Int%20J%20Env%20Pol27,%20285.pdf" TargetMode="External"/><Relationship Id="rId1103" Type="http://schemas.openxmlformats.org/officeDocument/2006/relationships/hyperlink" Target="I/Ind%20Eng%20Che%20Res37,%20228.pdf" TargetMode="External"/><Relationship Id="rId1310" Type="http://schemas.openxmlformats.org/officeDocument/2006/relationships/hyperlink" Target="2009/Ind%20Eng%20Che%20Res48,%2010657.pdf" TargetMode="External"/><Relationship Id="rId1408" Type="http://schemas.openxmlformats.org/officeDocument/2006/relationships/hyperlink" Target="2003/Inf%20Pro%20Man39,%20761.pdf" TargetMode="External"/><Relationship Id="rId1962" Type="http://schemas.openxmlformats.org/officeDocument/2006/relationships/hyperlink" Target="I/Int%20J%20Mas%20Spe%20Ion%20Pro118-119,%20683.pdf" TargetMode="External"/><Relationship Id="rId47" Type="http://schemas.openxmlformats.org/officeDocument/2006/relationships/hyperlink" Target="http://www.sciencedirect.com/science?_ob=JournalURL&amp;_cdi=5033&amp;_auth=y&amp;_acct=C000050221&amp;_version=1&amp;_urlVersion=0&amp;_userid=10&amp;md5=75b5636261386c9def249a79872b7ed6" TargetMode="External"/><Relationship Id="rId1615" Type="http://schemas.openxmlformats.org/officeDocument/2006/relationships/hyperlink" Target="http://www.sciencedirect.com/science?_ob=JournalURL&amp;_cdi=23223&amp;_auth=y&amp;_acct=C000047720&amp;_version=1&amp;_urlVersion=0&amp;_userid=2007471&amp;md5=d1c1fa1e9a483b354fcf3598a7391c81" TargetMode="External"/><Relationship Id="rId1822" Type="http://schemas.openxmlformats.org/officeDocument/2006/relationships/hyperlink" Target="2011/Int%20J%20Env%20Res5,%20177.pdf" TargetMode="External"/><Relationship Id="rId196" Type="http://schemas.openxmlformats.org/officeDocument/2006/relationships/hyperlink" Target="2011/Fre%20Env%20Bul20,%20720.pdf" TargetMode="External"/><Relationship Id="rId2084" Type="http://schemas.openxmlformats.org/officeDocument/2006/relationships/hyperlink" Target="2008/Int%20J%20Tec%20Ass%20Hea%20Car24,%2070.pdf" TargetMode="External"/><Relationship Id="rId263" Type="http://schemas.openxmlformats.org/officeDocument/2006/relationships/hyperlink" Target="F/Fue%20Pro%20Tec81,%2057.pdf" TargetMode="External"/><Relationship Id="rId470" Type="http://schemas.openxmlformats.org/officeDocument/2006/relationships/hyperlink" Target="1994/Glo%20Bio%20Cyc7,%20357.pdf" TargetMode="External"/><Relationship Id="rId2151" Type="http://schemas.openxmlformats.org/officeDocument/2006/relationships/hyperlink" Target="2010/Ira%20J%20Env%20Hea%20Sci%20Eng7,%20241.pdf" TargetMode="External"/><Relationship Id="rId123" Type="http://schemas.openxmlformats.org/officeDocument/2006/relationships/hyperlink" Target="2008/For%20Chr84,%20231.pdf" TargetMode="External"/><Relationship Id="rId330" Type="http://schemas.openxmlformats.org/officeDocument/2006/relationships/hyperlink" Target="2003/Gastroenterology124,%201724.pdf" TargetMode="External"/><Relationship Id="rId568" Type="http://schemas.openxmlformats.org/officeDocument/2006/relationships/hyperlink" Target="2008/Hea%20Pla,14,%20106.pdf" TargetMode="External"/><Relationship Id="rId775" Type="http://schemas.openxmlformats.org/officeDocument/2006/relationships/hyperlink" Target="H/Hydrometallurgy-Ho.pdf" TargetMode="External"/><Relationship Id="rId982" Type="http://schemas.openxmlformats.org/officeDocument/2006/relationships/hyperlink" Target="-1959/Ind%20Eng%20Che22,%201231.pdf" TargetMode="External"/><Relationship Id="rId1198" Type="http://schemas.openxmlformats.org/officeDocument/2006/relationships/hyperlink" Target="I/Ind%20Eng%20Che%20Res42,%206911.pdf" TargetMode="External"/><Relationship Id="rId2011" Type="http://schemas.openxmlformats.org/officeDocument/2006/relationships/hyperlink" Target="2011/Int%20J%20Nur%20Stu48,%20881.pdf" TargetMode="External"/><Relationship Id="rId428" Type="http://schemas.openxmlformats.org/officeDocument/2006/relationships/hyperlink" Target="2009/Geofizika26,%20229.pdf" TargetMode="External"/><Relationship Id="rId635" Type="http://schemas.openxmlformats.org/officeDocument/2006/relationships/hyperlink" Target="2006/Her%20Rus%20Aca%20Sci76,%20530.pdf" TargetMode="External"/><Relationship Id="rId842" Type="http://schemas.openxmlformats.org/officeDocument/2006/relationships/hyperlink" Target="2009/Imp%20Sci4,%2037.pdf" TargetMode="External"/><Relationship Id="rId1058" Type="http://schemas.openxmlformats.org/officeDocument/2006/relationships/hyperlink" Target="http://pubs.acs.org/journals/iecred/index.html" TargetMode="External"/><Relationship Id="rId1265" Type="http://schemas.openxmlformats.org/officeDocument/2006/relationships/hyperlink" Target="2007/Ind%20Eng%20Che%20Res46,%202853.pdf" TargetMode="External"/><Relationship Id="rId1472" Type="http://schemas.openxmlformats.org/officeDocument/2006/relationships/hyperlink" Target="2002/Inf%20Sci20,%20595.pdf" TargetMode="External"/><Relationship Id="rId2109" Type="http://schemas.openxmlformats.org/officeDocument/2006/relationships/hyperlink" Target="2009/Int%20Psy21,%20667.pdf" TargetMode="External"/><Relationship Id="rId702" Type="http://schemas.openxmlformats.org/officeDocument/2006/relationships/hyperlink" Target="1996/Hydrobiologia332,%20167.pdf" TargetMode="External"/><Relationship Id="rId1125" Type="http://schemas.openxmlformats.org/officeDocument/2006/relationships/hyperlink" Target="I/Ind%20Eng%20Che%20Res39,%201030.pdf" TargetMode="External"/><Relationship Id="rId1332" Type="http://schemas.openxmlformats.org/officeDocument/2006/relationships/hyperlink" Target="2011/Ind%20Eng%20Che%20Res50,%206355.pdf" TargetMode="External"/><Relationship Id="rId1777" Type="http://schemas.openxmlformats.org/officeDocument/2006/relationships/hyperlink" Target="2008/Int%20J%20Env%20Pol34,%20297.pdf" TargetMode="External"/><Relationship Id="rId1984" Type="http://schemas.openxmlformats.org/officeDocument/2006/relationships/hyperlink" Target="I/Int%20J%20Min%20Pro70,%2099.pdf" TargetMode="External"/><Relationship Id="rId69" Type="http://schemas.openxmlformats.org/officeDocument/2006/relationships/hyperlink" Target="http://www.sciencedirect.com/science?_ob=JournalURL&amp;_cdi=5242&amp;_auth=y&amp;_acct=C000050221&amp;_version=1&amp;_urlVersion=0&amp;_userid=10&amp;md5=9e001fb3a46ce04f76486bb27e28f25e" TargetMode="External"/><Relationship Id="rId1637" Type="http://schemas.openxmlformats.org/officeDocument/2006/relationships/hyperlink" Target="2009/Int%20J%20Beh%20Nut%20Phy%20Act6,%2026.pdf" TargetMode="External"/><Relationship Id="rId1844" Type="http://schemas.openxmlformats.org/officeDocument/2006/relationships/hyperlink" Target="2008/Int%20J%20Env%20Sci%20Tec5,%20233.pdf" TargetMode="External"/><Relationship Id="rId1704" Type="http://schemas.openxmlformats.org/officeDocument/2006/relationships/hyperlink" Target="2008/Int%20J%20Cir%20Hea67,%20179.pdf" TargetMode="External"/><Relationship Id="rId285" Type="http://schemas.openxmlformats.org/officeDocument/2006/relationships/hyperlink" Target="http://www.sciencedirect.com/science/journal/09203796" TargetMode="External"/><Relationship Id="rId1911" Type="http://schemas.openxmlformats.org/officeDocument/2006/relationships/hyperlink" Target="http://www.sciencedirect.com/science/journal/01692070" TargetMode="External"/><Relationship Id="rId492" Type="http://schemas.openxmlformats.org/officeDocument/2006/relationships/hyperlink" Target="http://www.sciencedirect.com/science/journal/02779390" TargetMode="External"/><Relationship Id="rId797" Type="http://schemas.openxmlformats.org/officeDocument/2006/relationships/hyperlink" Target="2008/Hydrometallurgy92,%201.pdf" TargetMode="External"/><Relationship Id="rId2173" Type="http://schemas.openxmlformats.org/officeDocument/2006/relationships/footer" Target="footer5.xml"/><Relationship Id="rId145" Type="http://schemas.openxmlformats.org/officeDocument/2006/relationships/hyperlink" Target="2003/Fre%20Env%20Bul12,%201092.pdf" TargetMode="External"/><Relationship Id="rId352" Type="http://schemas.openxmlformats.org/officeDocument/2006/relationships/hyperlink" Target="1987/Geo%20Cos%20Act51,%203193.pdf" TargetMode="External"/><Relationship Id="rId1287" Type="http://schemas.openxmlformats.org/officeDocument/2006/relationships/hyperlink" Target="2008/Ind%20Eng%20Che%20Res47,%209715.pdf" TargetMode="External"/><Relationship Id="rId2033" Type="http://schemas.openxmlformats.org/officeDocument/2006/relationships/hyperlink" Target="2008/Int%20J%20Pho827605.pdf" TargetMode="External"/><Relationship Id="rId212" Type="http://schemas.openxmlformats.org/officeDocument/2006/relationships/hyperlink" Target="2011/Fro%20Com%20Neu5,%2048.pdf" TargetMode="External"/><Relationship Id="rId657" Type="http://schemas.openxmlformats.org/officeDocument/2006/relationships/hyperlink" Target="H/Hig%20Edu%20Pol10,%20297.pdf" TargetMode="External"/><Relationship Id="rId864" Type="http://schemas.openxmlformats.org/officeDocument/2006/relationships/hyperlink" Target="2005/Ind%20J%20Che%20Tec12,%20225.pdf" TargetMode="External"/><Relationship Id="rId1494" Type="http://schemas.openxmlformats.org/officeDocument/2006/relationships/hyperlink" Target="http://www.sciencedirect.com/science?_ob=JournalURL&amp;_cdi=5948&amp;_auth=y&amp;_acct=C000011279&amp;_version=1&amp;_urlVersion=0&amp;_userid=1134284&amp;md5=f35a70b413655ede29ab59e469f919fd" TargetMode="External"/><Relationship Id="rId1799" Type="http://schemas.openxmlformats.org/officeDocument/2006/relationships/hyperlink" Target="2010/Int%20J%20Env%20Ana%20Che90,%201063.pdf" TargetMode="External"/><Relationship Id="rId2100" Type="http://schemas.openxmlformats.org/officeDocument/2006/relationships/hyperlink" Target="2010/Int%20Nur%20Rev57,%2049.pdf" TargetMode="External"/><Relationship Id="rId517" Type="http://schemas.openxmlformats.org/officeDocument/2006/relationships/hyperlink" Target="1997/Haematologica82,%20446.pdf" TargetMode="External"/><Relationship Id="rId724" Type="http://schemas.openxmlformats.org/officeDocument/2006/relationships/hyperlink" Target="H/Hydrometallurgy42,%20125.pdf" TargetMode="External"/><Relationship Id="rId931" Type="http://schemas.openxmlformats.org/officeDocument/2006/relationships/hyperlink" Target="2010/Ind%20J%20Che%20Tec17,%20120.pdf" TargetMode="External"/><Relationship Id="rId1147" Type="http://schemas.openxmlformats.org/officeDocument/2006/relationships/hyperlink" Target="I/Ind%20Eng%20Che%20Res39,%204166.pdf" TargetMode="External"/><Relationship Id="rId1354" Type="http://schemas.openxmlformats.org/officeDocument/2006/relationships/hyperlink" Target="2012/Inf%20Bow%20Dis18,%20359.pdf" TargetMode="External"/><Relationship Id="rId1561" Type="http://schemas.openxmlformats.org/officeDocument/2006/relationships/hyperlink" Target="2010/Int%20Med49,%202219.pdf" TargetMode="External"/><Relationship Id="rId60" Type="http://schemas.openxmlformats.org/officeDocument/2006/relationships/hyperlink" Target="http://www.fibtex.lodz.pl/" TargetMode="External"/><Relationship Id="rId1007" Type="http://schemas.openxmlformats.org/officeDocument/2006/relationships/hyperlink" Target="http://pubs.acs.org/journals/iecred/index.html" TargetMode="External"/><Relationship Id="rId1214" Type="http://schemas.openxmlformats.org/officeDocument/2006/relationships/hyperlink" Target="I/Ind%20Eng%20Che%20Res43,%204124.pdf" TargetMode="External"/><Relationship Id="rId1421" Type="http://schemas.openxmlformats.org/officeDocument/2006/relationships/hyperlink" Target="2005/Inf%20Pro%20Man41,%201548.pdf" TargetMode="External"/><Relationship Id="rId1659" Type="http://schemas.openxmlformats.org/officeDocument/2006/relationships/hyperlink" Target="2008/Int%20J%20Bio%20Mac42,%20152.pdf" TargetMode="External"/><Relationship Id="rId1866" Type="http://schemas.openxmlformats.org/officeDocument/2006/relationships/hyperlink" Target="2010/Int%20J%20Env%20Sci%20Tec7,%20581.pdf" TargetMode="External"/><Relationship Id="rId1519" Type="http://schemas.openxmlformats.org/officeDocument/2006/relationships/hyperlink" Target="2003/Inj%20Pre9,%20200.pdf" TargetMode="External"/><Relationship Id="rId1726" Type="http://schemas.openxmlformats.org/officeDocument/2006/relationships/hyperlink" Target="2010/Int%20J%20Com%20Com%20Con5,%20432.pdf" TargetMode="External"/><Relationship Id="rId1933" Type="http://schemas.openxmlformats.org/officeDocument/2006/relationships/hyperlink" Target="1990/Int%20J%20Hyd%20Ene15,%20655.pdf" TargetMode="External"/><Relationship Id="rId18" Type="http://schemas.openxmlformats.org/officeDocument/2006/relationships/hyperlink" Target="2011/Fam%20Pra28,%20351.pdf" TargetMode="External"/><Relationship Id="rId167" Type="http://schemas.openxmlformats.org/officeDocument/2006/relationships/hyperlink" Target="2005/Fre%20Env%20Bul14,%20983.pdf" TargetMode="External"/><Relationship Id="rId374" Type="http://schemas.openxmlformats.org/officeDocument/2006/relationships/hyperlink" Target="G/Geo%20Cos%20Act63,%203003.pdf" TargetMode="External"/><Relationship Id="rId581" Type="http://schemas.openxmlformats.org/officeDocument/2006/relationships/hyperlink" Target="2010/Hea%20Ris%20Soc12,%2081.pdf" TargetMode="External"/><Relationship Id="rId2055" Type="http://schemas.openxmlformats.org/officeDocument/2006/relationships/hyperlink" Target="1997/Int%20J%20Psy32,%20409.pdf" TargetMode="External"/><Relationship Id="rId234" Type="http://schemas.openxmlformats.org/officeDocument/2006/relationships/hyperlink" Target="F/Fuel74,%201786.pdf" TargetMode="External"/><Relationship Id="rId679" Type="http://schemas.openxmlformats.org/officeDocument/2006/relationships/hyperlink" Target="2010/HPB12,%20155.pdf" TargetMode="External"/><Relationship Id="rId886" Type="http://schemas.openxmlformats.org/officeDocument/2006/relationships/hyperlink" Target="2006/Ind%20J%20Che%20Tec13,%20576.pdf" TargetMode="External"/><Relationship Id="rId2" Type="http://schemas.openxmlformats.org/officeDocument/2006/relationships/styles" Target="styles.xml"/><Relationship Id="rId441" Type="http://schemas.openxmlformats.org/officeDocument/2006/relationships/hyperlink" Target="http://www.sciencedirect.com/science?_ob=JournalURL&amp;_cdi=5887&amp;_auth=y&amp;_acct=C000010279&amp;_version=1&amp;_urlVersion=0&amp;_userid=1187928&amp;md5=bc4f0aba1f01f3b83566b780ec9dac81" TargetMode="External"/><Relationship Id="rId539" Type="http://schemas.openxmlformats.org/officeDocument/2006/relationships/hyperlink" Target="2007/Hea%20Com22,%20229.pdf" TargetMode="External"/><Relationship Id="rId746" Type="http://schemas.openxmlformats.org/officeDocument/2006/relationships/hyperlink" Target="H/Hydrometallurgy60,%20105.pdf" TargetMode="External"/><Relationship Id="rId1071" Type="http://schemas.openxmlformats.org/officeDocument/2006/relationships/hyperlink" Target="I/Ind%20Eng%20Che%20Res30,%202340.pdf" TargetMode="External"/><Relationship Id="rId1169" Type="http://schemas.openxmlformats.org/officeDocument/2006/relationships/hyperlink" Target="I/Ind%20Eng%20Che%20Res40,%204428.pdf" TargetMode="External"/><Relationship Id="rId1376" Type="http://schemas.openxmlformats.org/officeDocument/2006/relationships/hyperlink" Target="1988/Inf%20Pro%20Man24,%20567.pdf" TargetMode="External"/><Relationship Id="rId1583" Type="http://schemas.openxmlformats.org/officeDocument/2006/relationships/hyperlink" Target="I/Int%20Bio%20Bio40,%20107.pdf" TargetMode="External"/><Relationship Id="rId2122" Type="http://schemas.openxmlformats.org/officeDocument/2006/relationships/hyperlink" Target="http://www.ejournal.unam.mx/cuadros2.php?r=13" TargetMode="External"/><Relationship Id="rId301" Type="http://schemas.openxmlformats.org/officeDocument/2006/relationships/hyperlink" Target="2010/Gac%20San24,%20225.pdf" TargetMode="External"/><Relationship Id="rId953" Type="http://schemas.openxmlformats.org/officeDocument/2006/relationships/hyperlink" Target="2009/Ind%20J%20Med%20Res129,%20321.pdf" TargetMode="External"/><Relationship Id="rId1029" Type="http://schemas.openxmlformats.org/officeDocument/2006/relationships/hyperlink" Target="1960-80/Ind%20Eng%20Che%20Fun12,%20388.pdf" TargetMode="External"/><Relationship Id="rId1236" Type="http://schemas.openxmlformats.org/officeDocument/2006/relationships/hyperlink" Target="I/Ind%20Eng%20Che%20Res44,%204128.pdf" TargetMode="External"/><Relationship Id="rId1790" Type="http://schemas.openxmlformats.org/officeDocument/2006/relationships/hyperlink" Target="2005/Int%20J%20Env%20Pol-Ho2.pdf" TargetMode="External"/><Relationship Id="rId1888" Type="http://schemas.openxmlformats.org/officeDocument/2006/relationships/hyperlink" Target="I/Int%20J%20Epi27,%20561.pdf" TargetMode="External"/><Relationship Id="rId82" Type="http://schemas.openxmlformats.org/officeDocument/2006/relationships/hyperlink" Target="F/Foo%20Che%20Tox35,%20615.pdf" TargetMode="External"/><Relationship Id="rId606" Type="http://schemas.openxmlformats.org/officeDocument/2006/relationships/hyperlink" Target="2010/Hea%20Tec%20Ass14-54,%201.pdf" TargetMode="External"/><Relationship Id="rId813" Type="http://schemas.openxmlformats.org/officeDocument/2006/relationships/hyperlink" Target="I/IASLIC%20Bul48,%20213.pdf" TargetMode="External"/><Relationship Id="rId1443" Type="http://schemas.openxmlformats.org/officeDocument/2006/relationships/hyperlink" Target="2010/Inf%20Pro%20Man47,%20117.pdf" TargetMode="External"/><Relationship Id="rId1650" Type="http://schemas.openxmlformats.org/officeDocument/2006/relationships/hyperlink" Target="I/Int%20J%20Bio%20Mac34,%20155.pdf" TargetMode="External"/><Relationship Id="rId1748" Type="http://schemas.openxmlformats.org/officeDocument/2006/relationships/hyperlink" Target="I/Int%20J%20Env%20Pol19,%20421.pdf" TargetMode="External"/><Relationship Id="rId1303" Type="http://schemas.openxmlformats.org/officeDocument/2006/relationships/hyperlink" Target="2009/Ind%20Eng%20Che%20Res48,%206789.pdf" TargetMode="External"/><Relationship Id="rId1510" Type="http://schemas.openxmlformats.org/officeDocument/2006/relationships/hyperlink" Target="2010/Inf%20Sys%20Res21,%20983.pdf" TargetMode="External"/><Relationship Id="rId1955" Type="http://schemas.openxmlformats.org/officeDocument/2006/relationships/hyperlink" Target="http://www.academicjournals.org/IJLIS/Archive.htm" TargetMode="External"/><Relationship Id="rId1608" Type="http://schemas.openxmlformats.org/officeDocument/2006/relationships/hyperlink" Target="http://www.idjonline.org/" TargetMode="External"/><Relationship Id="rId1815" Type="http://schemas.openxmlformats.org/officeDocument/2006/relationships/hyperlink" Target="2009/Int%20J%20Env%20Res3,%20557.pdf" TargetMode="External"/><Relationship Id="rId189" Type="http://schemas.openxmlformats.org/officeDocument/2006/relationships/hyperlink" Target="2010/Fre%20Env%20Bul19,%201894.pdf" TargetMode="External"/><Relationship Id="rId396" Type="http://schemas.openxmlformats.org/officeDocument/2006/relationships/image" Target="media/image5.png"/><Relationship Id="rId2077" Type="http://schemas.openxmlformats.org/officeDocument/2006/relationships/hyperlink" Target="2006/Int%20J%20Sur4,%20122.pdf" TargetMode="External"/><Relationship Id="rId256" Type="http://schemas.openxmlformats.org/officeDocument/2006/relationships/hyperlink" Target="F/Fue%20Ene%20Abs36,%20457.pdf" TargetMode="External"/><Relationship Id="rId463" Type="http://schemas.openxmlformats.org/officeDocument/2006/relationships/hyperlink" Target="http://segdl.aip.org/dbt/dbt.jsp?KEY=GPYSA7" TargetMode="External"/><Relationship Id="rId670" Type="http://schemas.openxmlformats.org/officeDocument/2006/relationships/hyperlink" Target="H/Hol%20Als%20Roh%20Wer61,%20382.pdf" TargetMode="External"/><Relationship Id="rId1093" Type="http://schemas.openxmlformats.org/officeDocument/2006/relationships/hyperlink" Target="I/Ind%20Eng%20Che%20Res36,%20813.pdf" TargetMode="External"/><Relationship Id="rId2144" Type="http://schemas.openxmlformats.org/officeDocument/2006/relationships/hyperlink" Target="2008/Ira%20J%20Env%20Hea%20Sci%20Eng5,%2073.pdf" TargetMode="External"/><Relationship Id="rId116" Type="http://schemas.openxmlformats.org/officeDocument/2006/relationships/hyperlink" Target="2007/For%20Sci%20Int165,%20115.pdf" TargetMode="External"/><Relationship Id="rId323" Type="http://schemas.openxmlformats.org/officeDocument/2006/relationships/hyperlink" Target="G/Gas%20Sep%20Pur7,%20197.pdf" TargetMode="External"/><Relationship Id="rId530" Type="http://schemas.openxmlformats.org/officeDocument/2006/relationships/hyperlink" Target="http://sdos.ejournal.ascc.net/cgi-bin/sciserv.pl?collection=journals&amp;journal=07380232" TargetMode="External"/><Relationship Id="rId768" Type="http://schemas.openxmlformats.org/officeDocument/2006/relationships/hyperlink" Target="H/Hydrometallurgy71,%20421.pdf" TargetMode="External"/><Relationship Id="rId975" Type="http://schemas.openxmlformats.org/officeDocument/2006/relationships/hyperlink" Target="2009/Ind%20Cro%20Pro30,%20152.pdf" TargetMode="External"/><Relationship Id="rId1160" Type="http://schemas.openxmlformats.org/officeDocument/2006/relationships/hyperlink" Target="I/Ind%20Eng%20Che%20Res40,%202289.pdf" TargetMode="External"/><Relationship Id="rId1398" Type="http://schemas.openxmlformats.org/officeDocument/2006/relationships/hyperlink" Target="1998/Inf%20Pro%20Man34,%20121.pdf" TargetMode="External"/><Relationship Id="rId2004" Type="http://schemas.openxmlformats.org/officeDocument/2006/relationships/hyperlink" Target="2007/Int%20J%20Nur%20Stu44,%201.pdf" TargetMode="External"/><Relationship Id="rId628" Type="http://schemas.openxmlformats.org/officeDocument/2006/relationships/hyperlink" Target="2003/Helicobacter8,%20385.pdf" TargetMode="External"/><Relationship Id="rId835" Type="http://schemas.openxmlformats.org/officeDocument/2006/relationships/hyperlink" Target="I/IFLA%20Gen%20Con-von%20Ungern-Sternberg.pdf" TargetMode="External"/><Relationship Id="rId1258" Type="http://schemas.openxmlformats.org/officeDocument/2006/relationships/hyperlink" Target="2006/Ind%20Eng%20Che%20Res45,%208891.pdf" TargetMode="External"/><Relationship Id="rId1465" Type="http://schemas.openxmlformats.org/officeDocument/2006/relationships/hyperlink" Target="2010/Inf%20Ret13,%20315.pdf" TargetMode="External"/><Relationship Id="rId1672" Type="http://schemas.openxmlformats.org/officeDocument/2006/relationships/hyperlink" Target="I/Int%20J%20Can72,%20574.pdf" TargetMode="External"/><Relationship Id="rId1020" Type="http://schemas.openxmlformats.org/officeDocument/2006/relationships/hyperlink" Target="I/Ind%20Eng%20Che%20Fun9,%20620.pdf" TargetMode="External"/><Relationship Id="rId1118" Type="http://schemas.openxmlformats.org/officeDocument/2006/relationships/hyperlink" Target="I/Ind%20Eng%20Che%20Res38,%204086.pdf" TargetMode="External"/><Relationship Id="rId1325" Type="http://schemas.openxmlformats.org/officeDocument/2006/relationships/hyperlink" Target="2010/Ind%20Eng%20Che%20Res49,%2012254.pdf" TargetMode="External"/><Relationship Id="rId1532" Type="http://schemas.openxmlformats.org/officeDocument/2006/relationships/hyperlink" Target="2004/Int%20Car%20Med30,%20902.pdf" TargetMode="External"/><Relationship Id="rId1977" Type="http://schemas.openxmlformats.org/officeDocument/2006/relationships/hyperlink" Target="1989/Int%20J%20Min%20Pro26,%20297.pdf" TargetMode="External"/><Relationship Id="rId902" Type="http://schemas.openxmlformats.org/officeDocument/2006/relationships/hyperlink" Target="2008/Ind%20J%20Che%20Tec15,%20146.pdf" TargetMode="External"/><Relationship Id="rId1837" Type="http://schemas.openxmlformats.org/officeDocument/2006/relationships/hyperlink" Target="2007/Int%20J%20Env%20Sci%20Tec4,%20451.pdf" TargetMode="External"/><Relationship Id="rId31" Type="http://schemas.openxmlformats.org/officeDocument/2006/relationships/hyperlink" Target="1997/FEBS%20Let416,%2015.pdf" TargetMode="External"/><Relationship Id="rId2099" Type="http://schemas.openxmlformats.org/officeDocument/2006/relationships/hyperlink" Target="2008/Int%20Nur%20Rev55,%20227.pdf" TargetMode="External"/><Relationship Id="rId180" Type="http://schemas.openxmlformats.org/officeDocument/2006/relationships/hyperlink" Target="2008/Fre%20Env%20Bul17,%202091.pdf" TargetMode="External"/><Relationship Id="rId278" Type="http://schemas.openxmlformats.org/officeDocument/2006/relationships/hyperlink" Target="F/Fun%20App%20Tox21,%20104.pdf" TargetMode="External"/><Relationship Id="rId1904" Type="http://schemas.openxmlformats.org/officeDocument/2006/relationships/hyperlink" Target="I/Int%20J%20Foo%20Mic13,%20217.pdf" TargetMode="External"/><Relationship Id="rId485" Type="http://schemas.openxmlformats.org/officeDocument/2006/relationships/hyperlink" Target="2009/Glo%20Nes%20J11,%20223.pdf" TargetMode="External"/><Relationship Id="rId692" Type="http://schemas.openxmlformats.org/officeDocument/2006/relationships/hyperlink" Target="2011/Hum%20Rep%20Upd17,%20667.pdf" TargetMode="External"/><Relationship Id="rId2166" Type="http://schemas.openxmlformats.org/officeDocument/2006/relationships/hyperlink" Target="http://www.ima.org.il/imaj/" TargetMode="External"/><Relationship Id="rId138" Type="http://schemas.openxmlformats.org/officeDocument/2006/relationships/hyperlink" Target="2002/Fre%20Env%20Bul11,%20270.pdf" TargetMode="External"/><Relationship Id="rId345" Type="http://schemas.openxmlformats.org/officeDocument/2006/relationships/hyperlink" Target="G/Geo%20Cos%20Act37,%201277.pdf" TargetMode="External"/><Relationship Id="rId552" Type="http://schemas.openxmlformats.org/officeDocument/2006/relationships/hyperlink" Target="1999/Hea%20Edu%20Res14,%2027.pdf" TargetMode="External"/><Relationship Id="rId997" Type="http://schemas.openxmlformats.org/officeDocument/2006/relationships/hyperlink" Target="1960-80/Ind%20Eng%20Che58,%2018.pdf" TargetMode="External"/><Relationship Id="rId1182" Type="http://schemas.openxmlformats.org/officeDocument/2006/relationships/hyperlink" Target="I/Ind%20Eng%20Che%20Res41,%203688.pdf" TargetMode="External"/><Relationship Id="rId2026" Type="http://schemas.openxmlformats.org/officeDocument/2006/relationships/hyperlink" Target="2010/Int%20J%20Pha6,%20691.pdf" TargetMode="External"/><Relationship Id="rId205" Type="http://schemas.openxmlformats.org/officeDocument/2006/relationships/hyperlink" Target="F/Fre%20J%20Ana%20Che362,%20258.pdf" TargetMode="External"/><Relationship Id="rId412" Type="http://schemas.openxmlformats.org/officeDocument/2006/relationships/hyperlink" Target="G/Geoderma84,%20121.pdf" TargetMode="External"/><Relationship Id="rId857" Type="http://schemas.openxmlformats.org/officeDocument/2006/relationships/hyperlink" Target="2004/Ind%20J%20Che%20Tec11,%20304.pdf" TargetMode="External"/><Relationship Id="rId1042" Type="http://schemas.openxmlformats.org/officeDocument/2006/relationships/hyperlink" Target="http://pubs3.acs.org/acs/journals/toc.page?incoden=iepra6" TargetMode="External"/><Relationship Id="rId1487" Type="http://schemas.openxmlformats.org/officeDocument/2006/relationships/hyperlink" Target="2005/Inf%20Sof%20Tec47,%20957.pdf" TargetMode="External"/><Relationship Id="rId1694" Type="http://schemas.openxmlformats.org/officeDocument/2006/relationships/hyperlink" Target="2009/Int%20J%20Che%20Rea%20Eng7,%20A43.pdf" TargetMode="External"/><Relationship Id="rId717" Type="http://schemas.openxmlformats.org/officeDocument/2006/relationships/hyperlink" Target="H/Hydrometallurgy21,%20319.pdf" TargetMode="External"/><Relationship Id="rId924" Type="http://schemas.openxmlformats.org/officeDocument/2006/relationships/hyperlink" Target="2009/Ind%20J%20Che%20Tec16,%20361.pdf" TargetMode="External"/><Relationship Id="rId1347" Type="http://schemas.openxmlformats.org/officeDocument/2006/relationships/hyperlink" Target="http://www.ilib2.com/P-ISSN~1005-829X.html" TargetMode="External"/><Relationship Id="rId1554" Type="http://schemas.openxmlformats.org/officeDocument/2006/relationships/hyperlink" Target="http://www.emeraldinsight.com/Insight/viewContainer.do?containerType=Journal&amp;containerId=10957" TargetMode="External"/><Relationship Id="rId1761" Type="http://schemas.openxmlformats.org/officeDocument/2006/relationships/hyperlink" Target="2008/Int%20J%20Env%20Pol34,%2071.pdf" TargetMode="External"/><Relationship Id="rId1999" Type="http://schemas.openxmlformats.org/officeDocument/2006/relationships/hyperlink" Target="http://www.sciencedirect.com/science?_ob=JournalURL&amp;_cdi=5749&amp;_auth=y&amp;_acct=C000047720&amp;_version=1&amp;_urlVersion=0&amp;_userid=2007471&amp;md5=1e3d038721f5cabce3961a50fdd98828" TargetMode="External"/><Relationship Id="rId53" Type="http://schemas.openxmlformats.org/officeDocument/2006/relationships/hyperlink" Target="http://www3.interscience.wiley.com/journal/117945788/grouphome/home.html" TargetMode="External"/><Relationship Id="rId1207" Type="http://schemas.openxmlformats.org/officeDocument/2006/relationships/hyperlink" Target="I/Ind%20Eng%20Che%20Res43,%202209.pdf" TargetMode="External"/><Relationship Id="rId1414" Type="http://schemas.openxmlformats.org/officeDocument/2006/relationships/hyperlink" Target="2005/Inf%20Pro%20Man41,%201403.pdf" TargetMode="External"/><Relationship Id="rId1621" Type="http://schemas.openxmlformats.org/officeDocument/2006/relationships/hyperlink" Target="I/Int%20Inf%20Lib%20Rev28,%20383.pdf" TargetMode="External"/><Relationship Id="rId1859" Type="http://schemas.openxmlformats.org/officeDocument/2006/relationships/hyperlink" Target="2010/Int%20J%20Env%20Sci%20Tec7,%20147.pdf" TargetMode="External"/><Relationship Id="rId1719" Type="http://schemas.openxmlformats.org/officeDocument/2006/relationships/hyperlink" Target="I/Int%20J%20Coa%20Geo42,%20185.pdf" TargetMode="External"/><Relationship Id="rId1926" Type="http://schemas.openxmlformats.org/officeDocument/2006/relationships/hyperlink" Target="2006/Int%20J%20Hea%20Mas%20Tra49,%201753.pdf" TargetMode="External"/><Relationship Id="rId2090" Type="http://schemas.openxmlformats.org/officeDocument/2006/relationships/hyperlink" Target="http://www.inderscience.com/browse/index.php?journalID=32" TargetMode="External"/><Relationship Id="rId367" Type="http://schemas.openxmlformats.org/officeDocument/2006/relationships/hyperlink" Target="G/Geo%20Cos%20Act61,%203319.pdf" TargetMode="External"/><Relationship Id="rId574" Type="http://schemas.openxmlformats.org/officeDocument/2006/relationships/hyperlink" Target="2011/Hea%20Psy%20Rev5,%2055.pdf" TargetMode="External"/><Relationship Id="rId2048" Type="http://schemas.openxmlformats.org/officeDocument/2006/relationships/hyperlink" Target="2009/Int%20J%20Pro%20Eco120,%20540.pdf" TargetMode="External"/><Relationship Id="rId227" Type="http://schemas.openxmlformats.org/officeDocument/2006/relationships/hyperlink" Target="F/Fuel54,%20276.pdf" TargetMode="External"/><Relationship Id="rId781" Type="http://schemas.openxmlformats.org/officeDocument/2006/relationships/hyperlink" Target="H/Hydrometallurgy76,%2073.pdf" TargetMode="External"/><Relationship Id="rId879" Type="http://schemas.openxmlformats.org/officeDocument/2006/relationships/hyperlink" Target="2006/Ind%20J%20Che%20Tec13,%20298.pdf" TargetMode="External"/><Relationship Id="rId434" Type="http://schemas.openxmlformats.org/officeDocument/2006/relationships/hyperlink" Target="1993/Geo%20J28,%20327.pdf" TargetMode="External"/><Relationship Id="rId641" Type="http://schemas.openxmlformats.org/officeDocument/2006/relationships/hyperlink" Target="2011/Her%20Rus%20Aca%20Sci81,%20406.pdf" TargetMode="External"/><Relationship Id="rId739" Type="http://schemas.openxmlformats.org/officeDocument/2006/relationships/hyperlink" Target="H/Hydrometallurgy59,%2089.pdf" TargetMode="External"/><Relationship Id="rId1064" Type="http://schemas.openxmlformats.org/officeDocument/2006/relationships/hyperlink" Target="PDF-Ref/Guidelines-Ind%20Eng%20Che%20Res.pdf" TargetMode="External"/><Relationship Id="rId1271" Type="http://schemas.openxmlformats.org/officeDocument/2006/relationships/hyperlink" Target="2007/Ind%20Eng%20Che%20Res46,%208255.pdf" TargetMode="External"/><Relationship Id="rId1369" Type="http://schemas.openxmlformats.org/officeDocument/2006/relationships/hyperlink" Target="1986/Inf%20Pro%20Man22,%207.pdf" TargetMode="External"/><Relationship Id="rId1576" Type="http://schemas.openxmlformats.org/officeDocument/2006/relationships/hyperlink" Target="I/Int%20Bio%20Bio37,%20239.pdf" TargetMode="External"/><Relationship Id="rId2115" Type="http://schemas.openxmlformats.org/officeDocument/2006/relationships/hyperlink" Target="2011/Int%20Psy23,%204.pdf" TargetMode="External"/><Relationship Id="rId501" Type="http://schemas.openxmlformats.org/officeDocument/2006/relationships/hyperlink" Target="1994/Gro%20Wat32,%20958.pdf" TargetMode="External"/><Relationship Id="rId946" Type="http://schemas.openxmlformats.org/officeDocument/2006/relationships/hyperlink" Target="2010/Ind%20J%20Eng%20Mat%20Sci17,%20373.pdf" TargetMode="External"/><Relationship Id="rId1131" Type="http://schemas.openxmlformats.org/officeDocument/2006/relationships/hyperlink" Target="I/Ind%20Eng%20Che%20Res39,%201723.pdf" TargetMode="External"/><Relationship Id="rId1229" Type="http://schemas.openxmlformats.org/officeDocument/2006/relationships/hyperlink" Target="I/Ind%20Eng%20Che%20Res44,%201438.pdf" TargetMode="External"/><Relationship Id="rId1783" Type="http://schemas.openxmlformats.org/officeDocument/2006/relationships/hyperlink" Target="2008/Int%20J%20Env%20Pol34,%20374.pdf" TargetMode="External"/><Relationship Id="rId1990" Type="http://schemas.openxmlformats.org/officeDocument/2006/relationships/hyperlink" Target="2009/Int%20J%20Min%20Pro93,%2073.pdf" TargetMode="External"/><Relationship Id="rId75" Type="http://schemas.openxmlformats.org/officeDocument/2006/relationships/hyperlink" Target="F/Foot11,%20113.pdf" TargetMode="External"/><Relationship Id="rId806" Type="http://schemas.openxmlformats.org/officeDocument/2006/relationships/hyperlink" Target="2010/Hydrometallurgy104,%20150.pdf" TargetMode="External"/><Relationship Id="rId1436" Type="http://schemas.openxmlformats.org/officeDocument/2006/relationships/hyperlink" Target="2008/Inf%20Pro%20Man44,%201234.pdf" TargetMode="External"/><Relationship Id="rId1643" Type="http://schemas.openxmlformats.org/officeDocument/2006/relationships/hyperlink" Target="1995/Int%20J%20Bio%20Mac17,%2021.pdf" TargetMode="External"/><Relationship Id="rId1850" Type="http://schemas.openxmlformats.org/officeDocument/2006/relationships/hyperlink" Target="2009/Int%20J%20Env%20Sci%20Tec6,%20233.pdf" TargetMode="External"/><Relationship Id="rId1503" Type="http://schemas.openxmlformats.org/officeDocument/2006/relationships/hyperlink" Target="I/Inf%20Sto%20Ret10,%20420.pdf" TargetMode="External"/><Relationship Id="rId1710" Type="http://schemas.openxmlformats.org/officeDocument/2006/relationships/hyperlink" Target="http://www.sciencedirect.com/science?_ob=JournalURL&amp;_cdi=5867&amp;_auth=y&amp;_acct=C000011279&amp;_version=1&amp;_urlVersion=0&amp;_userid=1134284&amp;md5=fc53eb1c0c91a077bce36428558714e4" TargetMode="External"/><Relationship Id="rId1948" Type="http://schemas.openxmlformats.org/officeDocument/2006/relationships/hyperlink" Target="I/Int%20J%20Lan%20Com%20Dis38,%2065.pdf" TargetMode="External"/><Relationship Id="rId291" Type="http://schemas.openxmlformats.org/officeDocument/2006/relationships/hyperlink" Target="F/Fuz%20Set%20Sys79,%20191.pdf" TargetMode="External"/><Relationship Id="rId1808" Type="http://schemas.openxmlformats.org/officeDocument/2006/relationships/hyperlink" Target="2008/Int%20J%20Env%20Res2,%20385.pdf" TargetMode="External"/><Relationship Id="rId151" Type="http://schemas.openxmlformats.org/officeDocument/2006/relationships/hyperlink" Target="2003/Fre%20Env%20Bul12,%201499.pdf" TargetMode="External"/><Relationship Id="rId389" Type="http://schemas.openxmlformats.org/officeDocument/2006/relationships/hyperlink" Target="G/Geo%20Cos%20Act68,%201489.pdf" TargetMode="External"/><Relationship Id="rId596" Type="http://schemas.openxmlformats.org/officeDocument/2006/relationships/hyperlink" Target="2010/Hea%20Tec%20Ass14-12,%201.pdf" TargetMode="External"/><Relationship Id="rId249" Type="http://schemas.openxmlformats.org/officeDocument/2006/relationships/hyperlink" Target="2008/Fuel87,%203278.pdf" TargetMode="External"/><Relationship Id="rId456" Type="http://schemas.openxmlformats.org/officeDocument/2006/relationships/hyperlink" Target="1998/Geo%20Res%20Let25,%204541.pdf" TargetMode="External"/><Relationship Id="rId663" Type="http://schemas.openxmlformats.org/officeDocument/2006/relationships/hyperlink" Target="2011/His%20J54,%201141.pdf" TargetMode="External"/><Relationship Id="rId870" Type="http://schemas.openxmlformats.org/officeDocument/2006/relationships/hyperlink" Target="2005/Ind%20J%20Che%20Tec12,%20413.pdf" TargetMode="External"/><Relationship Id="rId1086" Type="http://schemas.openxmlformats.org/officeDocument/2006/relationships/hyperlink" Target="1995/Ind%20Eng%20Che%20Res34,%203159.pdf" TargetMode="External"/><Relationship Id="rId1293" Type="http://schemas.openxmlformats.org/officeDocument/2006/relationships/hyperlink" Target="2009/Ind%20Eng%20Che%20Res48,%203398.pdf" TargetMode="External"/><Relationship Id="rId2137" Type="http://schemas.openxmlformats.org/officeDocument/2006/relationships/hyperlink" Target="2006/Ira%20J%20Env%20Hea%20Sci%20Eng3,%20239.pdf" TargetMode="External"/><Relationship Id="rId109" Type="http://schemas.openxmlformats.org/officeDocument/2006/relationships/hyperlink" Target="2010/Foo%20Res%20Int43,%20683.pdf" TargetMode="External"/><Relationship Id="rId316" Type="http://schemas.openxmlformats.org/officeDocument/2006/relationships/hyperlink" Target="2005/Gas%20Ads%20Equ,%20235.pdf" TargetMode="External"/><Relationship Id="rId523" Type="http://schemas.openxmlformats.org/officeDocument/2006/relationships/hyperlink" Target="2000/Haematologica85,%20967.pdf" TargetMode="External"/><Relationship Id="rId968" Type="http://schemas.openxmlformats.org/officeDocument/2006/relationships/hyperlink" Target="http://icc.oupjournals.org/" TargetMode="External"/><Relationship Id="rId1153" Type="http://schemas.openxmlformats.org/officeDocument/2006/relationships/hyperlink" Target="I/Ind%20Eng%20Che%20Res40,%20377.pdf" TargetMode="External"/><Relationship Id="rId1598" Type="http://schemas.openxmlformats.org/officeDocument/2006/relationships/hyperlink" Target="I/Int%20Bio%20Sym,%20189.pdf" TargetMode="External"/><Relationship Id="rId97" Type="http://schemas.openxmlformats.org/officeDocument/2006/relationships/hyperlink" Target="F/Foo%20Che82,%20195.pdf" TargetMode="External"/><Relationship Id="rId730" Type="http://schemas.openxmlformats.org/officeDocument/2006/relationships/hyperlink" Target="H/Hydrometallurgy46,%20121.pdf" TargetMode="External"/><Relationship Id="rId828" Type="http://schemas.openxmlformats.org/officeDocument/2006/relationships/hyperlink" Target="1992/IEE%20Tra%20Inf%20The38,%201842.pdf" TargetMode="External"/><Relationship Id="rId1013" Type="http://schemas.openxmlformats.org/officeDocument/2006/relationships/hyperlink" Target="I/Ind%20Eng%20Che%20Fun5,%20212.pdf" TargetMode="External"/><Relationship Id="rId1360" Type="http://schemas.openxmlformats.org/officeDocument/2006/relationships/hyperlink" Target="http://www.sciencedirect.com/science?_ob=QuickSearchListURL&amp;_method=list&amp;_aset=A-WA-A-WC-MsSAYWA-UUW-AUVWUUZUEZ-ABUDVEEZY-WC-U&amp;_sort=d&amp;wchp=dGLbVzb-lSztz&amp;_acct=C000011279&amp;_version=1&amp;_userid=1134284&amp;md5=02add6421fb1cfcf7c5a9015675981a0" TargetMode="External"/><Relationship Id="rId1458" Type="http://schemas.openxmlformats.org/officeDocument/2006/relationships/hyperlink" Target="2005/Inf%20Res11,%20243.pdf" TargetMode="External"/><Relationship Id="rId1665" Type="http://schemas.openxmlformats.org/officeDocument/2006/relationships/hyperlink" Target="2011/Int%20J%20Bio%20Mac49,%20643.pdf" TargetMode="External"/><Relationship Id="rId1872" Type="http://schemas.openxmlformats.org/officeDocument/2006/relationships/hyperlink" Target="2011/Int%20J%20Env%20Sci%20Tec8,%20195.pdf" TargetMode="External"/><Relationship Id="rId1220" Type="http://schemas.openxmlformats.org/officeDocument/2006/relationships/hyperlink" Target="I/Ind%20Eng%20Che%20Res43,%206266.pdf" TargetMode="External"/><Relationship Id="rId1318" Type="http://schemas.openxmlformats.org/officeDocument/2006/relationships/hyperlink" Target="2010/Ind%20Eng%20Che%20Res49,%204873.pdf" TargetMode="External"/><Relationship Id="rId1525" Type="http://schemas.openxmlformats.org/officeDocument/2006/relationships/hyperlink" Target="I/Ino%20Chi%20Act253,%20111.pdf" TargetMode="External"/><Relationship Id="rId1732" Type="http://schemas.openxmlformats.org/officeDocument/2006/relationships/hyperlink" Target="2007/Int%20J%20Der46,%20659.pdf" TargetMode="External"/><Relationship Id="rId24" Type="http://schemas.openxmlformats.org/officeDocument/2006/relationships/hyperlink" Target="2006/Fas%20J20,%201039.pdf" TargetMode="External"/><Relationship Id="rId173" Type="http://schemas.openxmlformats.org/officeDocument/2006/relationships/hyperlink" Target="2006/Fre%20Env%20Bul15,%20283.pdf" TargetMode="External"/><Relationship Id="rId380" Type="http://schemas.openxmlformats.org/officeDocument/2006/relationships/image" Target="media/image2.png"/><Relationship Id="rId2061" Type="http://schemas.openxmlformats.org/officeDocument/2006/relationships/hyperlink" Target="1960-80/Int%20J%20Qua%20Che9,%20229.pdf" TargetMode="External"/><Relationship Id="rId240" Type="http://schemas.openxmlformats.org/officeDocument/2006/relationships/hyperlink" Target="2002/Fuel81,%20691.pdf" TargetMode="External"/><Relationship Id="rId478" Type="http://schemas.openxmlformats.org/officeDocument/2006/relationships/hyperlink" Target="G/Glo%20Nes%20Int%20J2,%20139.pdf" TargetMode="External"/><Relationship Id="rId685" Type="http://schemas.openxmlformats.org/officeDocument/2006/relationships/hyperlink" Target="http://www.informaworld.com/smpp/title~content=t713400879" TargetMode="External"/><Relationship Id="rId892" Type="http://schemas.openxmlformats.org/officeDocument/2006/relationships/hyperlink" Target="2007/Ind%20J%20Che%20Tec14,%20355.pdf" TargetMode="External"/><Relationship Id="rId2159" Type="http://schemas.openxmlformats.org/officeDocument/2006/relationships/hyperlink" Target="1996/Isis87,%20709.pdf" TargetMode="External"/><Relationship Id="rId100" Type="http://schemas.openxmlformats.org/officeDocument/2006/relationships/hyperlink" Target="2011/Foo%20Che130,%20632.pdf" TargetMode="External"/><Relationship Id="rId338" Type="http://schemas.openxmlformats.org/officeDocument/2006/relationships/hyperlink" Target="2006/Gen%20Hos%20Psy28,%20145.pdf" TargetMode="External"/><Relationship Id="rId545" Type="http://schemas.openxmlformats.org/officeDocument/2006/relationships/hyperlink" Target="2011/Hea%20Eco20,%2073.pdf" TargetMode="External"/><Relationship Id="rId752" Type="http://schemas.openxmlformats.org/officeDocument/2006/relationships/hyperlink" Target="H/Hydrometallurgy62,%20185.pdf" TargetMode="External"/><Relationship Id="rId1175" Type="http://schemas.openxmlformats.org/officeDocument/2006/relationships/hyperlink" Target="I/Ind%20Eng%20Che%20Res41,%20853.pdf" TargetMode="External"/><Relationship Id="rId1382" Type="http://schemas.openxmlformats.org/officeDocument/2006/relationships/hyperlink" Target="1990/Inf%20Pro%20Man26,%20673.pdf" TargetMode="External"/><Relationship Id="rId2019" Type="http://schemas.openxmlformats.org/officeDocument/2006/relationships/hyperlink" Target="http://www3.interscience.wiley.com/journal/5488/home" TargetMode="External"/><Relationship Id="rId405" Type="http://schemas.openxmlformats.org/officeDocument/2006/relationships/hyperlink" Target="G/Geoderma18,%20193.pdf" TargetMode="External"/><Relationship Id="rId612" Type="http://schemas.openxmlformats.org/officeDocument/2006/relationships/hyperlink" Target="2011/Hea%20Tec%20Ass15-36,%201.pdf" TargetMode="External"/><Relationship Id="rId1035" Type="http://schemas.openxmlformats.org/officeDocument/2006/relationships/hyperlink" Target="1960-80/Ind%20Eng%20Che%20Fun15,%2059.pdf" TargetMode="External"/><Relationship Id="rId1242" Type="http://schemas.openxmlformats.org/officeDocument/2006/relationships/hyperlink" Target="2006/Ind%20Eng%20Che%20Res45,%201446.pdf" TargetMode="External"/><Relationship Id="rId1687" Type="http://schemas.openxmlformats.org/officeDocument/2006/relationships/hyperlink" Target="http://www.bepress.com/ijcre/" TargetMode="External"/><Relationship Id="rId1894" Type="http://schemas.openxmlformats.org/officeDocument/2006/relationships/hyperlink" Target="2003/Int%20J%20Epi32,%20862.pdf" TargetMode="External"/><Relationship Id="rId917" Type="http://schemas.openxmlformats.org/officeDocument/2006/relationships/hyperlink" Target="2009/Ind%20J%20Che%20Tec16,%20142.pdf" TargetMode="External"/><Relationship Id="rId1102" Type="http://schemas.openxmlformats.org/officeDocument/2006/relationships/hyperlink" Target="I/Ind%20Eng%20Che%20Res37,%20192.pdf" TargetMode="External"/><Relationship Id="rId1547" Type="http://schemas.openxmlformats.org/officeDocument/2006/relationships/hyperlink" Target="2009/Interciencia34,%20689.pdf" TargetMode="External"/><Relationship Id="rId1754" Type="http://schemas.openxmlformats.org/officeDocument/2006/relationships/hyperlink" Target="2005/Int%20J%20Env%20Pol23,%20112.pdf" TargetMode="External"/><Relationship Id="rId1961" Type="http://schemas.openxmlformats.org/officeDocument/2006/relationships/hyperlink" Target="http://www.sciencedirect.com/science?_ob=JournalURL&amp;_cdi=5246&amp;_auth=y&amp;_acct=C000011279&amp;_version=1&amp;_urlVersion=0&amp;_userid=1134284&amp;md5=5aaf1dc705a1c0c20b4a66c1b011a05b" TargetMode="External"/><Relationship Id="rId46" Type="http://schemas.openxmlformats.org/officeDocument/2006/relationships/hyperlink" Target="F/FEMS%20Mic%20Rev25,%20335.pdf" TargetMode="External"/><Relationship Id="rId1407" Type="http://schemas.openxmlformats.org/officeDocument/2006/relationships/hyperlink" Target="2003/Inf%20Pro%20Man39,%20689.pdf" TargetMode="External"/><Relationship Id="rId1614" Type="http://schemas.openxmlformats.org/officeDocument/2006/relationships/hyperlink" Target="I/Int%20Inf%20Com%20Edu13,%20208.pdf" TargetMode="External"/><Relationship Id="rId1821" Type="http://schemas.openxmlformats.org/officeDocument/2006/relationships/hyperlink" Target="2010/Int%20J%20Env%20Res4,%20491.pdf" TargetMode="External"/><Relationship Id="rId195" Type="http://schemas.openxmlformats.org/officeDocument/2006/relationships/hyperlink" Target="2011/Fre%20Env%20Bul20,%20561.pdf" TargetMode="External"/><Relationship Id="rId1919" Type="http://schemas.openxmlformats.org/officeDocument/2006/relationships/hyperlink" Target="http://www.sciencedirect.com/science/journal/00207292" TargetMode="External"/><Relationship Id="rId2083" Type="http://schemas.openxmlformats.org/officeDocument/2006/relationships/hyperlink" Target="2007/Int%20J%20Tec%20Ass%20Hea%20Car23,%20255.pdf" TargetMode="External"/><Relationship Id="rId262" Type="http://schemas.openxmlformats.org/officeDocument/2006/relationships/hyperlink" Target="F/Fue%20Pro%20Tec68,%20111.pdf" TargetMode="External"/><Relationship Id="rId567" Type="http://schemas.openxmlformats.org/officeDocument/2006/relationships/hyperlink" Target="http://www.sciencedirect.com/science/journal/13538292" TargetMode="External"/><Relationship Id="rId1197" Type="http://schemas.openxmlformats.org/officeDocument/2006/relationships/hyperlink" Target="I/Ind%20Eng%20Che%20Res42,%206619.pdf" TargetMode="External"/><Relationship Id="rId2150" Type="http://schemas.openxmlformats.org/officeDocument/2006/relationships/hyperlink" Target="2009/Ira%20J%20Env%20Hea%20Sci%20Eng6,%20285.pdf" TargetMode="External"/><Relationship Id="rId122" Type="http://schemas.openxmlformats.org/officeDocument/2006/relationships/hyperlink" Target="http://www.scopus.com/scopus/source/sourceInfo.url?sourceId=24976" TargetMode="External"/><Relationship Id="rId774" Type="http://schemas.openxmlformats.org/officeDocument/2006/relationships/hyperlink" Target="H/Hydrometallurgy73,%2055.pdf" TargetMode="External"/><Relationship Id="rId981" Type="http://schemas.openxmlformats.org/officeDocument/2006/relationships/hyperlink" Target="-1959/Ind%20Eng%20Che16,%201215.pdf" TargetMode="External"/><Relationship Id="rId1057" Type="http://schemas.openxmlformats.org/officeDocument/2006/relationships/hyperlink" Target="1984/Ind%20Eng%20Che%20Pro%20Res%20Dev23,%20269.pdf" TargetMode="External"/><Relationship Id="rId2010" Type="http://schemas.openxmlformats.org/officeDocument/2006/relationships/hyperlink" Target="2010/Int%20J%20Nur%20Stu47,%201491.pdf" TargetMode="External"/><Relationship Id="rId427" Type="http://schemas.openxmlformats.org/officeDocument/2006/relationships/hyperlink" Target="http://geofizika-journal.gfz.unizg.hr/past-issues.htm" TargetMode="External"/><Relationship Id="rId634" Type="http://schemas.openxmlformats.org/officeDocument/2006/relationships/hyperlink" Target="http://www.springerlink.com/content/119879/" TargetMode="External"/><Relationship Id="rId841" Type="http://schemas.openxmlformats.org/officeDocument/2006/relationships/hyperlink" Target="2009/Imp%20Sci4,%2035.pdf" TargetMode="External"/><Relationship Id="rId1264" Type="http://schemas.openxmlformats.org/officeDocument/2006/relationships/hyperlink" Target="2007/Ind%20Eng%20Che%20Res46,%202843.pdf" TargetMode="External"/><Relationship Id="rId1471" Type="http://schemas.openxmlformats.org/officeDocument/2006/relationships/hyperlink" Target="2002/Inf%20Sci20,%20493.pdf" TargetMode="External"/><Relationship Id="rId1569" Type="http://schemas.openxmlformats.org/officeDocument/2006/relationships/hyperlink" Target="I/Int%20Arc%20Occ%20Env%20Hea72,%20M5.pdf" TargetMode="External"/><Relationship Id="rId2108" Type="http://schemas.openxmlformats.org/officeDocument/2006/relationships/hyperlink" Target="2009/Int%20Psy21,%20454.pdf" TargetMode="External"/><Relationship Id="rId701" Type="http://schemas.openxmlformats.org/officeDocument/2006/relationships/hyperlink" Target="1996/Hydrobiologia325,%2039.pdf" TargetMode="External"/><Relationship Id="rId939" Type="http://schemas.openxmlformats.org/officeDocument/2006/relationships/hyperlink" Target="2011/Ind%20J%20Che%20Tec18,%20207.pdf" TargetMode="External"/><Relationship Id="rId1124" Type="http://schemas.openxmlformats.org/officeDocument/2006/relationships/hyperlink" Target="I/Ind%20Eng%20Che%20Res39,%20257.pdf" TargetMode="External"/><Relationship Id="rId1331" Type="http://schemas.openxmlformats.org/officeDocument/2006/relationships/hyperlink" Target="2011/Ind%20Eng%20Che%20Res50,%206138.pdf" TargetMode="External"/><Relationship Id="rId1776" Type="http://schemas.openxmlformats.org/officeDocument/2006/relationships/hyperlink" Target="2008/Int%20J%20Env%20Pol34,%20285.pdf" TargetMode="External"/><Relationship Id="rId1983" Type="http://schemas.openxmlformats.org/officeDocument/2006/relationships/hyperlink" Target="I/Int%20J%20Min%20Pro68,%2037.pdf" TargetMode="External"/><Relationship Id="rId68" Type="http://schemas.openxmlformats.org/officeDocument/2006/relationships/hyperlink" Target="2004/Fin%20Man33,%20133-1.pdf" TargetMode="External"/><Relationship Id="rId1429" Type="http://schemas.openxmlformats.org/officeDocument/2006/relationships/hyperlink" Target="2006/Inf%20Pro%20Man42,%201652.pdf" TargetMode="External"/><Relationship Id="rId1636" Type="http://schemas.openxmlformats.org/officeDocument/2006/relationships/hyperlink" Target="2010/Int%20J%20Beh%20Med17,%2046.pdf" TargetMode="External"/><Relationship Id="rId1843" Type="http://schemas.openxmlformats.org/officeDocument/2006/relationships/hyperlink" Target="2008/Int%20J%20Env%20Sci%20Tec5,%20217.pdf" TargetMode="External"/><Relationship Id="rId1703" Type="http://schemas.openxmlformats.org/officeDocument/2006/relationships/hyperlink" Target="http://ijch.fi/Issues.htm" TargetMode="External"/><Relationship Id="rId1910" Type="http://schemas.openxmlformats.org/officeDocument/2006/relationships/hyperlink" Target="I/Int%20J%20Foo%20Mic45,%2035.pdf" TargetMode="External"/><Relationship Id="rId284" Type="http://schemas.openxmlformats.org/officeDocument/2006/relationships/hyperlink" Target="2009/Fun%20Cli%20Pha23,%20159.pdf" TargetMode="External"/><Relationship Id="rId491" Type="http://schemas.openxmlformats.org/officeDocument/2006/relationships/hyperlink" Target="G/Gov%20Inf%20Qua5,%2045.pdf" TargetMode="External"/><Relationship Id="rId2172" Type="http://schemas.openxmlformats.org/officeDocument/2006/relationships/hyperlink" Target="2008/Ita%20Stu63,%20159.pdf" TargetMode="External"/><Relationship Id="rId144" Type="http://schemas.openxmlformats.org/officeDocument/2006/relationships/hyperlink" Target="2003/Fre%20Env%20Bul12,%201050.pdf" TargetMode="External"/><Relationship Id="rId589" Type="http://schemas.openxmlformats.org/officeDocument/2006/relationships/hyperlink" Target="2009/Hea%20Tec%20Ass13-48,%201.pdf" TargetMode="External"/><Relationship Id="rId796" Type="http://schemas.openxmlformats.org/officeDocument/2006/relationships/hyperlink" Target="2008/Hydrometallurgy91,%20138.pdf" TargetMode="External"/><Relationship Id="rId351" Type="http://schemas.openxmlformats.org/officeDocument/2006/relationships/hyperlink" Target="G/Geo%20Cos%20Act50,%201455.pdf" TargetMode="External"/><Relationship Id="rId449" Type="http://schemas.openxmlformats.org/officeDocument/2006/relationships/hyperlink" Target="1996/Geo%20Res%20Let23,%2029.pdf" TargetMode="External"/><Relationship Id="rId656" Type="http://schemas.openxmlformats.org/officeDocument/2006/relationships/hyperlink" Target="http://sdos.ejournal.ascc.net/cgi-bin/sciserv.pl?collection=journals&amp;journal=09528733" TargetMode="External"/><Relationship Id="rId863" Type="http://schemas.openxmlformats.org/officeDocument/2006/relationships/hyperlink" Target="2005/Ind%20J%20Che%20Tec12,%20181.pdf" TargetMode="External"/><Relationship Id="rId1079" Type="http://schemas.openxmlformats.org/officeDocument/2006/relationships/hyperlink" Target="I/Ind%20Eng%20Che%20Res33,%20317.pdf" TargetMode="External"/><Relationship Id="rId1286" Type="http://schemas.openxmlformats.org/officeDocument/2006/relationships/hyperlink" Target="2008/Ind%20Eng%20Che%20Res47,%206221.pdf" TargetMode="External"/><Relationship Id="rId1493" Type="http://schemas.openxmlformats.org/officeDocument/2006/relationships/hyperlink" Target="2009/Inf%20Sof%20Tec51,%202.pdf" TargetMode="External"/><Relationship Id="rId2032" Type="http://schemas.openxmlformats.org/officeDocument/2006/relationships/hyperlink" Target="http://www.hindawi.com/journals/ijp/contents.html" TargetMode="External"/><Relationship Id="rId211" Type="http://schemas.openxmlformats.org/officeDocument/2006/relationships/hyperlink" Target="1998/Fre%20Bio39,%20557.pdf" TargetMode="External"/><Relationship Id="rId309" Type="http://schemas.openxmlformats.org/officeDocument/2006/relationships/hyperlink" Target="http://books.google.com/books?id=ZxrHRZc4SDcC&amp;printsec=frontcover&amp;dq=GAS+ADSORPTION+EQUILIBRIA&amp;source=bl&amp;ots=Cqtg50Vf8Y&amp;sig=VyVwl1zQrOIYifPi8Yq3wd3V_uE&amp;hl=zh-TW&amp;ei=nFpzS-jzOMuknQfC_dGTCw&amp;sa=X&amp;oi=book_result&amp;ct=result&amp;resnum=1&amp;ved=0CAwQ6AEwAA" TargetMode="External"/><Relationship Id="rId516" Type="http://schemas.openxmlformats.org/officeDocument/2006/relationships/hyperlink" Target="G/Gyn%20End3,%20163.pdf" TargetMode="External"/><Relationship Id="rId1146" Type="http://schemas.openxmlformats.org/officeDocument/2006/relationships/hyperlink" Target="I/Ind%20Eng%20Che%20Res39,%203387.pdf" TargetMode="External"/><Relationship Id="rId1798" Type="http://schemas.openxmlformats.org/officeDocument/2006/relationships/hyperlink" Target="2009/Int%20J%20Env%20Ana%20Che89,%2035.pdf" TargetMode="External"/><Relationship Id="rId723" Type="http://schemas.openxmlformats.org/officeDocument/2006/relationships/hyperlink" Target="H/Hydrometallurgy40,%20369.pdf" TargetMode="External"/><Relationship Id="rId930" Type="http://schemas.openxmlformats.org/officeDocument/2006/relationships/hyperlink" Target="2010/Ind%20J%20Che%20Tec17,%2028.pdf" TargetMode="External"/><Relationship Id="rId1006" Type="http://schemas.openxmlformats.org/officeDocument/2006/relationships/hyperlink" Target="I/Ind%20Eng%20Che45,%201664.pdf" TargetMode="External"/><Relationship Id="rId1353" Type="http://schemas.openxmlformats.org/officeDocument/2006/relationships/hyperlink" Target="2010/Inf%20Bow%20Dis16,%201421.pdf" TargetMode="External"/><Relationship Id="rId1560" Type="http://schemas.openxmlformats.org/officeDocument/2006/relationships/hyperlink" Target="2010/Int%20Med49,%201103.pdf" TargetMode="External"/><Relationship Id="rId1658" Type="http://schemas.openxmlformats.org/officeDocument/2006/relationships/hyperlink" Target="2006/Int%20J%20Bio%20Mac39,%20222.pdf" TargetMode="External"/><Relationship Id="rId1865" Type="http://schemas.openxmlformats.org/officeDocument/2006/relationships/hyperlink" Target="2010/Int%20J%20Env%20Sci%20Tec7,%20545.pdf" TargetMode="External"/><Relationship Id="rId1213" Type="http://schemas.openxmlformats.org/officeDocument/2006/relationships/hyperlink" Target="I/Ind%20Eng%20Che%20Res43,%204054.pdf" TargetMode="External"/><Relationship Id="rId1420" Type="http://schemas.openxmlformats.org/officeDocument/2006/relationships/hyperlink" Target="2005/Inf%20Pro%20Man41,%201534.pdf" TargetMode="External"/><Relationship Id="rId1518" Type="http://schemas.openxmlformats.org/officeDocument/2006/relationships/hyperlink" Target="2011/Inj-Int%20J%20Car%20Inj42,%20S40.pdf" TargetMode="External"/><Relationship Id="rId1725" Type="http://schemas.openxmlformats.org/officeDocument/2006/relationships/hyperlink" Target="2010/Int%20J%20Com%20Com%20Con5,%20171.pdf" TargetMode="External"/><Relationship Id="rId1932" Type="http://schemas.openxmlformats.org/officeDocument/2006/relationships/hyperlink" Target="http://www.sciencedirect.com/science?_ob=JournalURL&amp;_cdi=5729&amp;_auth=y&amp;_acct=C000053193&amp;_version=1&amp;_urlVersion=0&amp;_userid=1495547&amp;md5=e6e18bac11598124043768bd72517b0b" TargetMode="External"/><Relationship Id="rId17" Type="http://schemas.openxmlformats.org/officeDocument/2006/relationships/hyperlink" Target="2011/Fam%20Pra28,%20239.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4102</TotalTime>
  <Pages>1924</Pages>
  <Words>655401</Words>
  <Characters>3735787</Characters>
  <Application>Microsoft Office Word</Application>
  <DocSecurity>0</DocSecurity>
  <Lines>31131</Lines>
  <Paragraphs>8764</Paragraphs>
  <ScaleCrop>false</ScaleCrop>
  <Company/>
  <LinksUpToDate>false</LinksUpToDate>
  <CharactersWithSpaces>4382424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Yuh-Shan Ho</dc:creator>
  <cp:lastModifiedBy>YSHo</cp:lastModifiedBy>
  <cp:revision>1046</cp:revision>
  <dcterms:created xsi:type="dcterms:W3CDTF">2009-07-28T03:15:00Z</dcterms:created>
  <dcterms:modified xsi:type="dcterms:W3CDTF">2012-02-16T18:04:00Z</dcterms:modified>
</cp:coreProperties>
</file>